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before="140" w:line="16382" w:lineRule="exact"/>
        <w:rPr/>
      </w:pPr>
      <w:r>
        <w:rPr>
          <w:position w:val="-327"/>
        </w:rPr>
        <w:drawing>
          <wp:inline distT="0" distB="0" distL="0" distR="0">
            <wp:extent cx="7360919" cy="10402823"/>
            <wp:effectExtent l="0" t="0" r="0" b="0"/>
            <wp:docPr id="2" name="IM 2"/>
            <wp:cNvGraphicFramePr/>
            <a:graphic>
              <a:graphicData uri="http://schemas.openxmlformats.org/drawingml/2006/picture">
                <pic:pic>
                  <pic:nvPicPr>
                    <pic:cNvPr id="2" name="IM 2"/>
                    <pic:cNvPicPr/>
                  </pic:nvPicPr>
                  <pic:blipFill>
                    <a:blip r:embed="rId2"/>
                    <a:stretch>
                      <a:fillRect/>
                    </a:stretch>
                  </pic:blipFill>
                  <pic:spPr>
                    <a:xfrm rot="0">
                      <a:off x="0" y="0"/>
                      <a:ext cx="7360919" cy="10402823"/>
                    </a:xfrm>
                    <a:prstGeom prst="rect">
                      <a:avLst/>
                    </a:prstGeom>
                  </pic:spPr>
                </pic:pic>
              </a:graphicData>
            </a:graphic>
          </wp:inline>
        </w:drawing>
      </w:r>
    </w:p>
    <w:p>
      <w:pPr>
        <w:spacing w:line="16382" w:lineRule="exact"/>
        <w:sectPr>
          <w:headerReference w:type="default" r:id="rId1"/>
          <w:pgSz w:w="11906" w:h="16839"/>
          <w:pgMar w:top="1" w:right="196" w:bottom="0" w:left="117" w:header="0" w:footer="0" w:gutter="0"/>
        </w:sectPr>
        <w:rPr/>
      </w:pP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13773" w:lineRule="exact"/>
        <w:rPr/>
      </w:pPr>
      <w:r>
        <w:rPr>
          <w:position w:val="-275"/>
        </w:rPr>
        <w:drawing>
          <wp:inline distT="0" distB="0" distL="0" distR="0">
            <wp:extent cx="5934455" cy="8746235"/>
            <wp:effectExtent l="0" t="0" r="0" b="0"/>
            <wp:docPr id="6" name="IM 6"/>
            <wp:cNvGraphicFramePr/>
            <a:graphic>
              <a:graphicData uri="http://schemas.openxmlformats.org/drawingml/2006/picture">
                <pic:pic>
                  <pic:nvPicPr>
                    <pic:cNvPr id="6" name="IM 6"/>
                    <pic:cNvPicPr/>
                  </pic:nvPicPr>
                  <pic:blipFill>
                    <a:blip r:embed="rId4"/>
                    <a:stretch>
                      <a:fillRect/>
                    </a:stretch>
                  </pic:blipFill>
                  <pic:spPr>
                    <a:xfrm rot="0">
                      <a:off x="0" y="0"/>
                      <a:ext cx="5934455" cy="8746235"/>
                    </a:xfrm>
                    <a:prstGeom prst="rect">
                      <a:avLst/>
                    </a:prstGeom>
                  </pic:spPr>
                </pic:pic>
              </a:graphicData>
            </a:graphic>
          </wp:inline>
        </w:drawing>
      </w:r>
    </w:p>
    <w:p>
      <w:pPr>
        <w:spacing w:line="13773" w:lineRule="exact"/>
        <w:sectPr>
          <w:footerReference w:type="default" r:id="rId3"/>
          <w:pgSz w:w="11906" w:h="16839"/>
          <w:pgMar w:top="400" w:right="1182" w:bottom="1672" w:left="1377" w:header="0" w:footer="1277" w:gutter="0"/>
        </w:sectPr>
        <w:rPr/>
      </w:pP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pStyle w:val="BodyText"/>
        <w:ind w:left="2890"/>
        <w:spacing w:before="140" w:line="217" w:lineRule="auto"/>
        <w:rPr>
          <w:sz w:val="43"/>
          <w:szCs w:val="43"/>
        </w:rPr>
      </w:pPr>
      <w:r>
        <w:rPr>
          <w:sz w:val="43"/>
          <w:szCs w:val="43"/>
          <w:b/>
          <w:bCs/>
          <w:spacing w:val="1"/>
        </w:rPr>
        <w:t>固原市人民政府</w:t>
      </w:r>
    </w:p>
    <w:p>
      <w:pPr>
        <w:pStyle w:val="BodyText"/>
        <w:ind w:left="445"/>
        <w:spacing w:before="67" w:line="221" w:lineRule="auto"/>
        <w:rPr>
          <w:sz w:val="43"/>
          <w:szCs w:val="43"/>
        </w:rPr>
      </w:pPr>
      <w:r>
        <w:rPr>
          <w:sz w:val="43"/>
          <w:szCs w:val="43"/>
          <w:b/>
          <w:bCs/>
          <w:spacing w:val="5"/>
        </w:rPr>
        <w:t>关于公布第二批历史建筑保护名录的通知</w:t>
      </w:r>
    </w:p>
    <w:p>
      <w:pPr>
        <w:spacing w:line="420" w:lineRule="auto"/>
        <w:rPr>
          <w:rFonts w:ascii="Arial"/>
          <w:sz w:val="21"/>
        </w:rPr>
      </w:pPr>
      <w:r/>
    </w:p>
    <w:p>
      <w:pPr>
        <w:pStyle w:val="BodyText"/>
        <w:ind w:right="28"/>
        <w:spacing w:before="65" w:line="279" w:lineRule="exact"/>
        <w:jc w:val="right"/>
        <w:rPr/>
      </w:pPr>
      <w:r>
        <w:rPr>
          <w:spacing w:val="3"/>
          <w:position w:val="1"/>
        </w:rPr>
        <w:t>固政发〔</w:t>
      </w:r>
      <w:r>
        <w:rPr>
          <w:rFonts w:ascii="Times New Roman" w:hAnsi="Times New Roman" w:eastAsia="Times New Roman" w:cs="Times New Roman"/>
          <w:spacing w:val="3"/>
          <w:position w:val="1"/>
        </w:rPr>
        <w:t>2021</w:t>
      </w:r>
      <w:r>
        <w:rPr>
          <w:rFonts w:ascii="Times New Roman" w:hAnsi="Times New Roman" w:eastAsia="Times New Roman" w:cs="Times New Roman"/>
          <w:spacing w:val="-27"/>
          <w:position w:val="1"/>
        </w:rPr>
        <w:t xml:space="preserve"> </w:t>
      </w:r>
      <w:r>
        <w:rPr>
          <w:spacing w:val="3"/>
          <w:position w:val="1"/>
        </w:rPr>
        <w:t>〕</w:t>
      </w:r>
      <w:r>
        <w:rPr>
          <w:rFonts w:ascii="Times New Roman" w:hAnsi="Times New Roman" w:eastAsia="Times New Roman" w:cs="Times New Roman"/>
          <w:spacing w:val="3"/>
          <w:position w:val="1"/>
        </w:rPr>
        <w:t>2 </w:t>
      </w:r>
      <w:r>
        <w:rPr>
          <w:spacing w:val="3"/>
          <w:position w:val="1"/>
        </w:rPr>
        <w:t>号</w:t>
      </w:r>
    </w:p>
    <w:p>
      <w:pPr>
        <w:spacing w:line="421" w:lineRule="auto"/>
        <w:rPr>
          <w:rFonts w:ascii="Arial"/>
          <w:sz w:val="21"/>
        </w:rPr>
      </w:pPr>
      <w:r/>
    </w:p>
    <w:p>
      <w:pPr>
        <w:pStyle w:val="BodyText"/>
        <w:ind w:left="40"/>
        <w:spacing w:before="65" w:line="277" w:lineRule="exact"/>
        <w:rPr/>
      </w:pPr>
      <w:r>
        <w:rPr>
          <w:spacing w:val="7"/>
          <w:position w:val="1"/>
        </w:rPr>
        <w:t>各县（</w:t>
      </w:r>
      <w:r>
        <w:rPr>
          <w:spacing w:val="-37"/>
          <w:position w:val="1"/>
        </w:rPr>
        <w:t xml:space="preserve"> </w:t>
      </w:r>
      <w:r>
        <w:rPr>
          <w:spacing w:val="7"/>
          <w:position w:val="1"/>
        </w:rPr>
        <w:t>区）人民政府，市政府各部门、派出机构、事业单位：</w:t>
      </w:r>
    </w:p>
    <w:p>
      <w:pPr>
        <w:pStyle w:val="BodyText"/>
        <w:ind w:left="39" w:right="28" w:firstLine="421"/>
        <w:spacing w:before="96" w:line="337" w:lineRule="auto"/>
        <w:jc w:val="both"/>
        <w:rPr/>
      </w:pPr>
      <w:r>
        <w:rPr>
          <w:spacing w:val="8"/>
        </w:rPr>
        <w:t>历史建筑承载着不可再生的历史信息和宝贵的文化资</w:t>
      </w:r>
      <w:r>
        <w:rPr>
          <w:spacing w:val="7"/>
        </w:rPr>
        <w:t>源，具有重要的历史文化价值，为提高</w:t>
      </w:r>
      <w:r>
        <w:rPr>
          <w:spacing w:val="10"/>
        </w:rPr>
        <w:t>新型城镇化质量，延续城市文脉，根据《中共中央 国务院关于进一步加强城市规划建设管理工</w:t>
      </w:r>
      <w:r>
        <w:rPr>
          <w:spacing w:val="6"/>
        </w:rPr>
        <w:t>作的若干意见》（</w:t>
      </w:r>
      <w:r>
        <w:rPr>
          <w:spacing w:val="-44"/>
        </w:rPr>
        <w:t xml:space="preserve"> </w:t>
      </w:r>
      <w:r>
        <w:rPr>
          <w:spacing w:val="6"/>
        </w:rPr>
        <w:t>中发〔</w:t>
      </w:r>
      <w:r>
        <w:rPr>
          <w:rFonts w:ascii="Times New Roman" w:hAnsi="Times New Roman" w:eastAsia="Times New Roman" w:cs="Times New Roman"/>
          <w:spacing w:val="6"/>
        </w:rPr>
        <w:t>2016</w:t>
      </w:r>
      <w:r>
        <w:rPr>
          <w:rFonts w:ascii="Times New Roman" w:hAnsi="Times New Roman" w:eastAsia="Times New Roman" w:cs="Times New Roman"/>
          <w:spacing w:val="-28"/>
        </w:rPr>
        <w:t xml:space="preserve"> </w:t>
      </w:r>
      <w:r>
        <w:rPr>
          <w:spacing w:val="6"/>
        </w:rPr>
        <w:t>〕</w:t>
      </w:r>
      <w:r>
        <w:rPr>
          <w:rFonts w:ascii="Times New Roman" w:hAnsi="Times New Roman" w:eastAsia="Times New Roman" w:cs="Times New Roman"/>
          <w:spacing w:val="6"/>
        </w:rPr>
        <w:t>6 </w:t>
      </w:r>
      <w:r>
        <w:rPr>
          <w:spacing w:val="6"/>
        </w:rPr>
        <w:t>号）提出的</w:t>
      </w:r>
      <w:r>
        <w:rPr>
          <w:spacing w:val="-64"/>
        </w:rPr>
        <w:t xml:space="preserve"> </w:t>
      </w:r>
      <w:r>
        <w:rPr>
          <w:rFonts w:ascii="FangSong" w:hAnsi="FangSong" w:eastAsia="FangSong" w:cs="FangSong"/>
          <w:spacing w:val="6"/>
        </w:rPr>
        <w:t>“</w:t>
      </w:r>
      <w:r>
        <w:rPr>
          <w:spacing w:val="6"/>
        </w:rPr>
        <w:t>用五年左右时间，完</w:t>
      </w:r>
      <w:r>
        <w:rPr>
          <w:spacing w:val="5"/>
        </w:rPr>
        <w:t>成所有城市历史文化街区划</w:t>
      </w:r>
      <w:r>
        <w:rPr>
          <w:spacing w:val="8"/>
        </w:rPr>
        <w:t>定和历史建筑确定工作</w:t>
      </w:r>
      <w:r>
        <w:rPr>
          <w:rFonts w:ascii="FangSong" w:hAnsi="FangSong" w:eastAsia="FangSong" w:cs="FangSong"/>
          <w:spacing w:val="8"/>
        </w:rPr>
        <w:t>”</w:t>
      </w:r>
      <w:r>
        <w:rPr>
          <w:spacing w:val="8"/>
        </w:rPr>
        <w:t>要求，我市对城市规划区内的历史建筑进行了</w:t>
      </w:r>
      <w:r>
        <w:rPr>
          <w:spacing w:val="7"/>
        </w:rPr>
        <w:t>第三轮普查，确定固原市</w:t>
      </w:r>
      <w:r>
        <w:rPr>
          <w:spacing w:val="9"/>
        </w:rPr>
        <w:t>博物馆为历史建筑，现按照要求对确定的历史建筑予以公布。</w:t>
      </w:r>
    </w:p>
    <w:p>
      <w:pPr>
        <w:pStyle w:val="BodyText"/>
        <w:ind w:left="39" w:right="28" w:firstLine="422"/>
        <w:spacing w:before="22" w:line="342" w:lineRule="auto"/>
        <w:jc w:val="both"/>
        <w:rPr/>
      </w:pPr>
      <w:r>
        <w:rPr>
          <w:spacing w:val="8"/>
        </w:rPr>
        <w:t>原州区人民政府，市自然资源、文旅、住建等部门应</w:t>
      </w:r>
      <w:r>
        <w:rPr>
          <w:spacing w:val="7"/>
        </w:rPr>
        <w:t>根据各自职责对已确定的历史建筑指定</w:t>
      </w:r>
      <w:r>
        <w:rPr>
          <w:spacing w:val="8"/>
        </w:rPr>
        <w:t>保护与利用的鼓励、激励措施，调动历史建筑所有人、使用人、管理人</w:t>
      </w:r>
      <w:r>
        <w:rPr>
          <w:spacing w:val="7"/>
        </w:rPr>
        <w:t>保护与利用的积极性，并</w:t>
      </w:r>
      <w:r>
        <w:rPr>
          <w:spacing w:val="8"/>
        </w:rPr>
        <w:t>由市自然资源局代表市人民政府对历史建筑进行挂牌，市、区两</w:t>
      </w:r>
      <w:r>
        <w:rPr>
          <w:spacing w:val="7"/>
        </w:rPr>
        <w:t>级宣传部门应加强对历史建筑保</w:t>
      </w:r>
      <w:r>
        <w:rPr>
          <w:spacing w:val="9"/>
        </w:rPr>
        <w:t>护与利用的宣传，增强全社会保护历史建筑的意识。</w:t>
      </w:r>
    </w:p>
    <w:p>
      <w:pPr>
        <w:pStyle w:val="BodyText"/>
        <w:ind w:left="473"/>
        <w:spacing w:before="5" w:line="277" w:lineRule="exact"/>
        <w:rPr/>
      </w:pPr>
      <w:r>
        <w:rPr>
          <w:spacing w:val="8"/>
          <w:position w:val="1"/>
        </w:rPr>
        <w:t>附件：固原市第二批历史建筑保护名录</w:t>
      </w:r>
    </w:p>
    <w:p>
      <w:pPr>
        <w:spacing w:line="423" w:lineRule="auto"/>
        <w:rPr>
          <w:rFonts w:ascii="Arial"/>
          <w:sz w:val="21"/>
        </w:rPr>
      </w:pPr>
      <w:r/>
    </w:p>
    <w:p>
      <w:pPr>
        <w:pStyle w:val="BodyText"/>
        <w:ind w:left="7228"/>
        <w:spacing w:before="65" w:line="218" w:lineRule="auto"/>
        <w:rPr/>
      </w:pPr>
      <w:r>
        <w:rPr>
          <w:spacing w:val="6"/>
        </w:rPr>
        <w:t>固原市人民政府</w:t>
      </w:r>
    </w:p>
    <w:p>
      <w:pPr>
        <w:pStyle w:val="BodyText"/>
        <w:ind w:right="22"/>
        <w:spacing w:before="125" w:line="218" w:lineRule="auto"/>
        <w:jc w:val="right"/>
        <w:rPr/>
      </w:pPr>
      <w:r>
        <w:rPr>
          <w:rFonts w:ascii="Times New Roman" w:hAnsi="Times New Roman" w:eastAsia="Times New Roman" w:cs="Times New Roman"/>
          <w:spacing w:val="-2"/>
        </w:rPr>
        <w:t>2021 </w:t>
      </w:r>
      <w:r>
        <w:rPr>
          <w:spacing w:val="-2"/>
        </w:rPr>
        <w:t>年</w:t>
      </w:r>
      <w:r>
        <w:rPr>
          <w:spacing w:val="-10"/>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8"/>
        </w:rPr>
        <w:t xml:space="preserve"> </w:t>
      </w:r>
      <w:r>
        <w:rPr>
          <w:spacing w:val="-2"/>
        </w:rPr>
        <w:t>月</w:t>
      </w:r>
      <w:r>
        <w:rPr>
          <w:spacing w:val="-20"/>
        </w:rPr>
        <w:t xml:space="preserve"> </w:t>
      </w:r>
      <w:r>
        <w:rPr>
          <w:rFonts w:ascii="Times New Roman" w:hAnsi="Times New Roman" w:eastAsia="Times New Roman" w:cs="Times New Roman"/>
          <w:spacing w:val="-2"/>
        </w:rPr>
        <w:t>11  </w:t>
      </w:r>
      <w:r>
        <w:rPr>
          <w:spacing w:val="-2"/>
        </w:rPr>
        <w:t>日</w:t>
      </w:r>
    </w:p>
    <w:p>
      <w:pPr>
        <w:pStyle w:val="BodyText"/>
        <w:ind w:left="452"/>
        <w:spacing w:before="102" w:line="277" w:lineRule="exact"/>
        <w:rPr/>
      </w:pPr>
      <w:r>
        <w:rPr>
          <w:spacing w:val="10"/>
          <w:position w:val="1"/>
        </w:rPr>
        <w:t>（此件公开发布）</w:t>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59"/>
        <w:spacing w:before="78" w:line="224" w:lineRule="auto"/>
        <w:rPr>
          <w:rFonts w:ascii="SimHei" w:hAnsi="SimHei" w:eastAsia="SimHei" w:cs="SimHei"/>
          <w:sz w:val="24"/>
          <w:szCs w:val="24"/>
        </w:rPr>
      </w:pPr>
      <w:r>
        <w:rPr>
          <w:rFonts w:ascii="SimHei" w:hAnsi="SimHei" w:eastAsia="SimHei" w:cs="SimHei"/>
          <w:sz w:val="24"/>
          <w:szCs w:val="24"/>
          <w:spacing w:val="-12"/>
        </w:rPr>
        <w:t>附件</w:t>
      </w:r>
    </w:p>
    <w:p>
      <w:pPr>
        <w:ind w:left="1349"/>
        <w:spacing w:before="55" w:line="160"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7"/>
        </w:rPr>
        <w:t>固原市第二批历史建筑保护名录</w:t>
      </w:r>
    </w:p>
    <w:tbl>
      <w:tblPr>
        <w:tblStyle w:val="TableNormal"/>
        <w:tblW w:w="8421" w:type="dxa"/>
        <w:tblInd w:w="18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4"/>
        <w:gridCol w:w="546"/>
        <w:gridCol w:w="630"/>
        <w:gridCol w:w="671"/>
        <w:gridCol w:w="699"/>
        <w:gridCol w:w="588"/>
        <w:gridCol w:w="4753"/>
      </w:tblGrid>
      <w:tr>
        <w:trPr>
          <w:trHeight w:val="668" w:hRule="atLeast"/>
        </w:trPr>
        <w:tc>
          <w:tcPr>
            <w:tcW w:w="534" w:type="dxa"/>
            <w:vAlign w:val="top"/>
          </w:tcPr>
          <w:p>
            <w:pPr>
              <w:pStyle w:val="TableText"/>
              <w:ind w:left="93"/>
              <w:spacing w:before="263" w:line="208" w:lineRule="auto"/>
              <w:rPr/>
            </w:pPr>
            <w:r>
              <w:rPr>
                <w:spacing w:val="-5"/>
              </w:rPr>
              <w:t>编号</w:t>
            </w:r>
          </w:p>
        </w:tc>
        <w:tc>
          <w:tcPr>
            <w:tcW w:w="546" w:type="dxa"/>
            <w:vAlign w:val="top"/>
          </w:tcPr>
          <w:p>
            <w:pPr>
              <w:pStyle w:val="TableText"/>
              <w:ind w:left="92" w:right="92"/>
              <w:spacing w:before="136" w:line="250" w:lineRule="auto"/>
              <w:rPr/>
            </w:pPr>
            <w:r>
              <w:rPr>
                <w:spacing w:val="-3"/>
              </w:rPr>
              <w:t>城市</w:t>
            </w:r>
            <w:r>
              <w:rPr>
                <w:spacing w:val="-3"/>
              </w:rPr>
              <w:t>名称</w:t>
            </w:r>
          </w:p>
        </w:tc>
        <w:tc>
          <w:tcPr>
            <w:tcW w:w="630" w:type="dxa"/>
            <w:vAlign w:val="top"/>
          </w:tcPr>
          <w:p>
            <w:pPr>
              <w:pStyle w:val="TableText"/>
              <w:ind w:left="134" w:right="134" w:hanging="1"/>
              <w:spacing w:before="132" w:line="251" w:lineRule="auto"/>
              <w:rPr/>
            </w:pPr>
            <w:r>
              <w:rPr>
                <w:spacing w:val="-2"/>
              </w:rPr>
              <w:t>建筑</w:t>
            </w:r>
            <w:r>
              <w:rPr>
                <w:spacing w:val="-3"/>
              </w:rPr>
              <w:t>名称</w:t>
            </w:r>
          </w:p>
        </w:tc>
        <w:tc>
          <w:tcPr>
            <w:tcW w:w="671" w:type="dxa"/>
            <w:vAlign w:val="top"/>
          </w:tcPr>
          <w:p>
            <w:pPr>
              <w:pStyle w:val="TableText"/>
              <w:ind w:left="153"/>
              <w:spacing w:before="31" w:line="208" w:lineRule="auto"/>
              <w:rPr/>
            </w:pPr>
            <w:r>
              <w:rPr>
                <w:spacing w:val="-2"/>
              </w:rPr>
              <w:t>所在</w:t>
            </w:r>
          </w:p>
          <w:p>
            <w:pPr>
              <w:pStyle w:val="TableText"/>
              <w:ind w:left="65" w:right="5" w:firstLine="89"/>
              <w:spacing w:before="15" w:line="209" w:lineRule="auto"/>
              <w:rPr/>
            </w:pPr>
            <w:r>
              <w:rPr>
                <w:spacing w:val="-2"/>
              </w:rPr>
              <w:t>位置</w:t>
            </w:r>
            <w:r>
              <w:rPr/>
              <w:t xml:space="preserve"> </w:t>
            </w:r>
            <w:r>
              <w:rPr>
                <w:spacing w:val="-21"/>
                <w:w w:val="97"/>
              </w:rPr>
              <w:t>(门牌号)</w:t>
            </w:r>
          </w:p>
        </w:tc>
        <w:tc>
          <w:tcPr>
            <w:tcW w:w="699" w:type="dxa"/>
            <w:vAlign w:val="top"/>
          </w:tcPr>
          <w:p>
            <w:pPr>
              <w:pStyle w:val="TableText"/>
              <w:ind w:left="34" w:right="26" w:firstLine="135"/>
              <w:spacing w:before="26" w:line="216" w:lineRule="auto"/>
              <w:rPr/>
            </w:pPr>
            <w:r>
              <w:rPr>
                <w:spacing w:val="-2"/>
              </w:rPr>
              <w:t>建筑</w:t>
            </w:r>
            <w:r>
              <w:rPr>
                <w:spacing w:val="-22"/>
              </w:rPr>
              <w:t>面积（平</w:t>
            </w:r>
            <w:r>
              <w:rPr>
                <w:spacing w:val="16"/>
              </w:rPr>
              <w:t>方米）</w:t>
            </w:r>
          </w:p>
        </w:tc>
        <w:tc>
          <w:tcPr>
            <w:tcW w:w="588" w:type="dxa"/>
            <w:vAlign w:val="top"/>
          </w:tcPr>
          <w:p>
            <w:pPr>
              <w:pStyle w:val="TableText"/>
              <w:ind w:left="117" w:right="110" w:hanging="1"/>
              <w:spacing w:before="132" w:line="249" w:lineRule="auto"/>
              <w:rPr/>
            </w:pPr>
            <w:r>
              <w:rPr>
                <w:spacing w:val="-2"/>
              </w:rPr>
              <w:t>建筑</w:t>
            </w:r>
            <w:r>
              <w:rPr>
                <w:spacing w:val="-3"/>
              </w:rPr>
              <w:t>年代</w:t>
            </w:r>
          </w:p>
        </w:tc>
        <w:tc>
          <w:tcPr>
            <w:tcW w:w="4753" w:type="dxa"/>
            <w:vAlign w:val="top"/>
          </w:tcPr>
          <w:p>
            <w:pPr>
              <w:pStyle w:val="TableText"/>
              <w:ind w:left="1836"/>
              <w:spacing w:before="260" w:line="214" w:lineRule="auto"/>
              <w:rPr/>
            </w:pPr>
            <w:r>
              <w:rPr>
                <w:spacing w:val="-1"/>
              </w:rPr>
              <w:t>历史建筑简介</w:t>
            </w:r>
          </w:p>
        </w:tc>
      </w:tr>
      <w:tr>
        <w:trPr>
          <w:trHeight w:val="1966" w:hRule="atLeast"/>
        </w:trPr>
        <w:tc>
          <w:tcPr>
            <w:tcW w:w="534" w:type="dxa"/>
            <w:vAlign w:val="top"/>
          </w:tcPr>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pStyle w:val="TableText"/>
              <w:ind w:left="60"/>
              <w:spacing w:before="59" w:line="260" w:lineRule="exact"/>
              <w:rPr/>
            </w:pPr>
            <w:r>
              <w:rPr>
                <w:spacing w:val="-17"/>
                <w:position w:val="1"/>
              </w:rPr>
              <w:t>2020.1</w:t>
            </w:r>
          </w:p>
        </w:tc>
        <w:tc>
          <w:tcPr>
            <w:tcW w:w="546" w:type="dxa"/>
            <w:vAlign w:val="top"/>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pStyle w:val="TableText"/>
              <w:ind w:left="11"/>
              <w:spacing w:before="59" w:line="210" w:lineRule="auto"/>
              <w:rPr/>
            </w:pPr>
            <w:r>
              <w:rPr>
                <w:spacing w:val="-8"/>
              </w:rPr>
              <w:t>固原市</w:t>
            </w:r>
          </w:p>
        </w:tc>
        <w:tc>
          <w:tcPr>
            <w:tcW w:w="630" w:type="dxa"/>
            <w:vAlign w:val="top"/>
          </w:tcPr>
          <w:p>
            <w:pPr>
              <w:spacing w:line="357" w:lineRule="auto"/>
              <w:rPr>
                <w:rFonts w:ascii="Arial"/>
                <w:sz w:val="21"/>
              </w:rPr>
            </w:pPr>
            <w:r/>
          </w:p>
          <w:p>
            <w:pPr>
              <w:spacing w:line="358" w:lineRule="auto"/>
              <w:rPr>
                <w:rFonts w:ascii="Arial"/>
                <w:sz w:val="21"/>
              </w:rPr>
            </w:pPr>
            <w:r/>
          </w:p>
          <w:p>
            <w:pPr>
              <w:pStyle w:val="TableText"/>
              <w:ind w:left="136" w:right="43" w:hanging="73"/>
              <w:spacing w:before="59" w:line="270" w:lineRule="auto"/>
              <w:rPr/>
            </w:pPr>
            <w:r>
              <w:rPr>
                <w:spacing w:val="-8"/>
              </w:rPr>
              <w:t>固原博</w:t>
            </w:r>
            <w:r>
              <w:rPr>
                <w:spacing w:val="-4"/>
              </w:rPr>
              <w:t>物馆</w:t>
            </w:r>
          </w:p>
        </w:tc>
        <w:tc>
          <w:tcPr>
            <w:tcW w:w="671" w:type="dxa"/>
            <w:vAlign w:val="top"/>
          </w:tcPr>
          <w:p>
            <w:pPr>
              <w:spacing w:line="358" w:lineRule="auto"/>
              <w:rPr>
                <w:rFonts w:ascii="Arial"/>
                <w:sz w:val="21"/>
              </w:rPr>
            </w:pPr>
            <w:r/>
          </w:p>
          <w:p>
            <w:pPr>
              <w:spacing w:line="358" w:lineRule="auto"/>
              <w:rPr>
                <w:rFonts w:ascii="Arial"/>
                <w:sz w:val="21"/>
              </w:rPr>
            </w:pPr>
            <w:r/>
          </w:p>
          <w:p>
            <w:pPr>
              <w:pStyle w:val="TableText"/>
              <w:ind w:left="155" w:right="64" w:hanging="88"/>
              <w:spacing w:before="59" w:line="269" w:lineRule="auto"/>
              <w:rPr/>
            </w:pPr>
            <w:r>
              <w:rPr>
                <w:spacing w:val="-2"/>
              </w:rPr>
              <w:t>西城路</w:t>
            </w:r>
            <w:r>
              <w:rPr>
                <w:spacing w:val="-3"/>
              </w:rPr>
              <w:t>西侧</w:t>
            </w:r>
          </w:p>
        </w:tc>
        <w:tc>
          <w:tcPr>
            <w:tcW w:w="699" w:type="dxa"/>
            <w:vAlign w:val="top"/>
          </w:tcPr>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pStyle w:val="TableText"/>
              <w:ind w:left="79"/>
              <w:spacing w:before="59" w:line="260" w:lineRule="exact"/>
              <w:rPr/>
            </w:pPr>
            <w:r>
              <w:rPr>
                <w:spacing w:val="-18"/>
                <w:position w:val="1"/>
              </w:rPr>
              <w:t>11256.03</w:t>
            </w:r>
          </w:p>
        </w:tc>
        <w:tc>
          <w:tcPr>
            <w:tcW w:w="588" w:type="dxa"/>
            <w:vAlign w:val="top"/>
          </w:tcPr>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pStyle w:val="TableText"/>
              <w:ind w:right="9"/>
              <w:spacing w:before="59" w:line="241" w:lineRule="exact"/>
              <w:jc w:val="right"/>
              <w:rPr/>
            </w:pPr>
            <w:r>
              <w:rPr>
                <w:spacing w:val="-6"/>
                <w:position w:val="1"/>
              </w:rPr>
              <w:t>1988年</w:t>
            </w:r>
          </w:p>
        </w:tc>
        <w:tc>
          <w:tcPr>
            <w:tcW w:w="4753" w:type="dxa"/>
            <w:vAlign w:val="top"/>
          </w:tcPr>
          <w:p>
            <w:pPr>
              <w:pStyle w:val="TableText"/>
              <w:ind w:left="29" w:firstLine="375"/>
              <w:spacing w:before="72" w:line="276" w:lineRule="auto"/>
              <w:jc w:val="both"/>
              <w:rPr/>
            </w:pPr>
            <w:r>
              <w:rPr>
                <w:spacing w:val="-6"/>
              </w:rPr>
              <w:t>固原博物馆建成于</w:t>
            </w:r>
            <w:r>
              <w:rPr>
                <w:spacing w:val="-25"/>
              </w:rPr>
              <w:t xml:space="preserve"> </w:t>
            </w:r>
            <w:r>
              <w:rPr>
                <w:spacing w:val="-6"/>
              </w:rPr>
              <w:t>1988</w:t>
            </w:r>
            <w:r>
              <w:rPr>
                <w:spacing w:val="-40"/>
              </w:rPr>
              <w:t xml:space="preserve"> </w:t>
            </w:r>
            <w:r>
              <w:rPr>
                <w:spacing w:val="-6"/>
              </w:rPr>
              <w:t>年，隶属自治区文化厅，</w:t>
            </w:r>
            <w:r>
              <w:rPr>
                <w:spacing w:val="-7"/>
              </w:rPr>
              <w:t>位于固</w:t>
            </w:r>
            <w:r>
              <w:rPr>
                <w:spacing w:val="-5"/>
              </w:rPr>
              <w:t>原市城区中心，是一座历史文物征集收藏、</w:t>
            </w:r>
            <w:r>
              <w:rPr>
                <w:spacing w:val="-6"/>
              </w:rPr>
              <w:t>科学研究、陈列、</w:t>
            </w:r>
            <w:r>
              <w:rPr>
                <w:spacing w:val="-1"/>
              </w:rPr>
              <w:t>宣传、教育于一体的综合性省级博物馆，全国重</w:t>
            </w:r>
            <w:r>
              <w:rPr>
                <w:spacing w:val="-2"/>
              </w:rPr>
              <w:t>点馆，占地</w:t>
            </w:r>
            <w:r>
              <w:rPr>
                <w:spacing w:val="-3"/>
              </w:rPr>
              <w:t>面积</w:t>
            </w:r>
            <w:r>
              <w:rPr>
                <w:spacing w:val="-37"/>
              </w:rPr>
              <w:t xml:space="preserve"> </w:t>
            </w:r>
            <w:r>
              <w:rPr>
                <w:spacing w:val="-3"/>
              </w:rPr>
              <w:t>4</w:t>
            </w:r>
            <w:r>
              <w:rPr>
                <w:spacing w:val="-44"/>
              </w:rPr>
              <w:t xml:space="preserve"> </w:t>
            </w:r>
            <w:r>
              <w:rPr>
                <w:spacing w:val="-3"/>
              </w:rPr>
              <w:t>万多平方米，建筑面积</w:t>
            </w:r>
            <w:r>
              <w:rPr>
                <w:spacing w:val="-28"/>
              </w:rPr>
              <w:t xml:space="preserve"> </w:t>
            </w:r>
            <w:r>
              <w:rPr>
                <w:spacing w:val="-3"/>
              </w:rPr>
              <w:t>11256.03</w:t>
            </w:r>
            <w:r>
              <w:rPr>
                <w:spacing w:val="-42"/>
              </w:rPr>
              <w:t xml:space="preserve"> </w:t>
            </w:r>
            <w:r>
              <w:rPr>
                <w:spacing w:val="-3"/>
              </w:rPr>
              <w:t>平方米万多平方米，</w:t>
            </w:r>
            <w:r>
              <w:rPr>
                <w:spacing w:val="-1"/>
              </w:rPr>
              <w:t>由陈列区、办公区和生活服务区三部分组成，整</w:t>
            </w:r>
            <w:r>
              <w:rPr>
                <w:spacing w:val="-2"/>
              </w:rPr>
              <w:t>个建筑古朴</w:t>
            </w:r>
            <w:r>
              <w:rPr>
                <w:spacing w:val="-1"/>
              </w:rPr>
              <w:t>典雅、色泽庄重、风格鲜明，已成为固原市的一</w:t>
            </w:r>
            <w:r>
              <w:rPr>
                <w:spacing w:val="-2"/>
              </w:rPr>
              <w:t>个亮点，也</w:t>
            </w:r>
            <w:r>
              <w:rPr>
                <w:spacing w:val="-2"/>
              </w:rPr>
              <w:t>是展示固原古代文明和进行爱国主义教育的重要阵地。</w:t>
            </w:r>
          </w:p>
        </w:tc>
      </w:tr>
    </w:tbl>
    <w:p>
      <w:pPr>
        <w:rPr>
          <w:rFonts w:ascii="Arial"/>
          <w:sz w:val="21"/>
        </w:rPr>
      </w:pPr>
      <w:r/>
    </w:p>
    <w:p>
      <w:pPr>
        <w:sectPr>
          <w:headerReference w:type="default" r:id="rId5"/>
          <w:footerReference w:type="default" r:id="rId6"/>
          <w:pgSz w:w="11906" w:h="16839"/>
          <w:pgMar w:top="1845" w:right="1559" w:bottom="1661" w:left="1551" w:header="1428" w:footer="1289" w:gutter="0"/>
        </w:sectPr>
        <w:rPr>
          <w:rFonts w:ascii="Arial" w:hAnsi="Arial" w:eastAsia="Arial" w:cs="Arial"/>
          <w:sz w:val="21"/>
          <w:szCs w:val="21"/>
        </w:rPr>
      </w:pPr>
    </w:p>
    <w:p>
      <w:pPr>
        <w:spacing w:line="349" w:lineRule="auto"/>
        <w:rPr>
          <w:rFonts w:ascii="Arial"/>
          <w:sz w:val="21"/>
        </w:rPr>
      </w:pPr>
      <w:r/>
    </w:p>
    <w:p>
      <w:pPr>
        <w:spacing w:line="349" w:lineRule="auto"/>
        <w:rPr>
          <w:rFonts w:ascii="Arial"/>
          <w:sz w:val="21"/>
        </w:rPr>
      </w:pPr>
      <w:r/>
    </w:p>
    <w:p>
      <w:pPr>
        <w:ind w:left="2001"/>
        <w:spacing w:before="185" w:line="175"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7"/>
        </w:rPr>
        <w:t>固原市人民政府关于印发</w:t>
      </w:r>
    </w:p>
    <w:p>
      <w:pPr>
        <w:ind w:left="850"/>
        <w:spacing w:line="216"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11"/>
        </w:rPr>
        <w:t>《固原市安全生产责任体系》的通知</w:t>
      </w:r>
    </w:p>
    <w:p>
      <w:pPr>
        <w:spacing w:line="304" w:lineRule="auto"/>
        <w:rPr>
          <w:rFonts w:ascii="Arial"/>
          <w:sz w:val="21"/>
        </w:rPr>
      </w:pPr>
      <w:r/>
    </w:p>
    <w:p>
      <w:pPr>
        <w:pStyle w:val="BodyText"/>
        <w:ind w:left="6946"/>
        <w:spacing w:before="65" w:line="279" w:lineRule="exact"/>
        <w:rPr/>
      </w:pPr>
      <w:r>
        <w:rPr>
          <w:spacing w:val="3"/>
          <w:position w:val="1"/>
        </w:rPr>
        <w:t>固政发〔</w:t>
      </w:r>
      <w:r>
        <w:rPr>
          <w:rFonts w:ascii="Times New Roman" w:hAnsi="Times New Roman" w:eastAsia="Times New Roman" w:cs="Times New Roman"/>
          <w:spacing w:val="3"/>
          <w:position w:val="1"/>
        </w:rPr>
        <w:t>2021</w:t>
      </w:r>
      <w:r>
        <w:rPr>
          <w:rFonts w:ascii="Times New Roman" w:hAnsi="Times New Roman" w:eastAsia="Times New Roman" w:cs="Times New Roman"/>
          <w:spacing w:val="-27"/>
          <w:position w:val="1"/>
        </w:rPr>
        <w:t xml:space="preserve"> </w:t>
      </w:r>
      <w:r>
        <w:rPr>
          <w:spacing w:val="3"/>
          <w:position w:val="1"/>
        </w:rPr>
        <w:t>〕</w:t>
      </w:r>
      <w:r>
        <w:rPr>
          <w:rFonts w:ascii="Times New Roman" w:hAnsi="Times New Roman" w:eastAsia="Times New Roman" w:cs="Times New Roman"/>
          <w:spacing w:val="3"/>
          <w:position w:val="1"/>
        </w:rPr>
        <w:t>3 </w:t>
      </w:r>
      <w:r>
        <w:rPr>
          <w:spacing w:val="3"/>
          <w:position w:val="1"/>
        </w:rPr>
        <w:t>号</w:t>
      </w:r>
    </w:p>
    <w:p>
      <w:pPr>
        <w:spacing w:line="433" w:lineRule="auto"/>
        <w:rPr>
          <w:rFonts w:ascii="Arial"/>
          <w:sz w:val="21"/>
        </w:rPr>
      </w:pPr>
      <w:r/>
    </w:p>
    <w:p>
      <w:pPr>
        <w:pStyle w:val="BodyText"/>
        <w:ind w:left="32"/>
        <w:spacing w:before="65" w:line="277" w:lineRule="exact"/>
        <w:rPr/>
      </w:pPr>
      <w:r>
        <w:rPr>
          <w:spacing w:val="7"/>
          <w:position w:val="1"/>
        </w:rPr>
        <w:t>各县（</w:t>
      </w:r>
      <w:r>
        <w:rPr>
          <w:spacing w:val="-37"/>
          <w:position w:val="1"/>
        </w:rPr>
        <w:t xml:space="preserve"> </w:t>
      </w:r>
      <w:r>
        <w:rPr>
          <w:spacing w:val="7"/>
          <w:position w:val="1"/>
        </w:rPr>
        <w:t>区）人民政府，市政府各部门、派出机构、事业单位：</w:t>
      </w:r>
    </w:p>
    <w:p>
      <w:pPr>
        <w:pStyle w:val="BodyText"/>
        <w:ind w:left="29" w:right="140" w:firstLine="406"/>
        <w:spacing w:before="103" w:line="332" w:lineRule="auto"/>
        <w:rPr/>
      </w:pPr>
      <w:r>
        <w:rPr>
          <w:spacing w:val="9"/>
        </w:rPr>
        <w:t>《固原市安全生产责任体系》已经市人民政府第</w:t>
      </w:r>
      <w:r>
        <w:rPr>
          <w:spacing w:val="-37"/>
        </w:rPr>
        <w:t xml:space="preserve"> </w:t>
      </w:r>
      <w:r>
        <w:rPr>
          <w:rFonts w:ascii="Times New Roman" w:hAnsi="Times New Roman" w:eastAsia="Times New Roman" w:cs="Times New Roman"/>
          <w:spacing w:val="9"/>
        </w:rPr>
        <w:t>57 </w:t>
      </w:r>
      <w:r>
        <w:rPr>
          <w:spacing w:val="9"/>
        </w:rPr>
        <w:t>次常务会议研究通过，现印发给</w:t>
      </w:r>
      <w:r>
        <w:rPr>
          <w:spacing w:val="8"/>
        </w:rPr>
        <w:t>你们，</w:t>
      </w:r>
      <w:r>
        <w:rPr>
          <w:spacing w:val="8"/>
        </w:rPr>
        <w:t>请认真贯彻执行。</w:t>
      </w:r>
    </w:p>
    <w:p>
      <w:pPr>
        <w:spacing w:line="357" w:lineRule="auto"/>
        <w:rPr>
          <w:rFonts w:ascii="Arial"/>
          <w:sz w:val="21"/>
        </w:rPr>
      </w:pPr>
      <w:r/>
    </w:p>
    <w:p>
      <w:pPr>
        <w:pStyle w:val="BodyText"/>
        <w:ind w:left="7220"/>
        <w:spacing w:before="65" w:line="218" w:lineRule="auto"/>
        <w:rPr/>
      </w:pPr>
      <w:r>
        <w:rPr>
          <w:spacing w:val="6"/>
        </w:rPr>
        <w:t>固原市人民政府</w:t>
      </w:r>
    </w:p>
    <w:p>
      <w:pPr>
        <w:pStyle w:val="BodyText"/>
        <w:ind w:left="7137"/>
        <w:spacing w:before="143" w:line="218" w:lineRule="auto"/>
        <w:rPr/>
      </w:pPr>
      <w:r>
        <w:rPr>
          <w:rFonts w:ascii="Times New Roman" w:hAnsi="Times New Roman" w:eastAsia="Times New Roman" w:cs="Times New Roman"/>
          <w:spacing w:val="1"/>
        </w:rPr>
        <w:t>2021 </w:t>
      </w:r>
      <w:r>
        <w:rPr>
          <w:spacing w:val="1"/>
        </w:rPr>
        <w:t>年</w:t>
      </w:r>
      <w:r>
        <w:rPr>
          <w:spacing w:val="-22"/>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11"/>
        </w:rPr>
        <w:t xml:space="preserve"> </w:t>
      </w:r>
      <w:r>
        <w:rPr>
          <w:spacing w:val="1"/>
        </w:rPr>
        <w:t>月</w:t>
      </w:r>
      <w:r>
        <w:rPr>
          <w:spacing w:val="-43"/>
        </w:rPr>
        <w:t xml:space="preserve"> </w:t>
      </w:r>
      <w:r>
        <w:rPr>
          <w:rFonts w:ascii="Times New Roman" w:hAnsi="Times New Roman" w:eastAsia="Times New Roman" w:cs="Times New Roman"/>
          <w:spacing w:val="1"/>
        </w:rPr>
        <w:t>29  </w:t>
      </w:r>
      <w:r>
        <w:rPr>
          <w:spacing w:val="1"/>
        </w:rPr>
        <w:t>日</w:t>
      </w:r>
    </w:p>
    <w:p>
      <w:pPr>
        <w:pStyle w:val="BodyText"/>
        <w:ind w:left="444"/>
        <w:spacing w:before="140" w:line="277" w:lineRule="exact"/>
        <w:rPr/>
      </w:pPr>
      <w:r>
        <w:rPr>
          <w:spacing w:val="10"/>
          <w:position w:val="1"/>
        </w:rPr>
        <w:t>（此件公开发布）</w:t>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ind w:left="2001"/>
        <w:spacing w:before="184" w:line="187"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7"/>
        </w:rPr>
        <w:t>固原市安全生产责任体系</w:t>
      </w:r>
    </w:p>
    <w:p>
      <w:pPr>
        <w:spacing w:before="63"/>
        <w:rPr/>
      </w:pPr>
      <w:r/>
    </w:p>
    <w:p>
      <w:pPr>
        <w:spacing w:before="63"/>
        <w:rPr/>
      </w:pPr>
      <w:r/>
    </w:p>
    <w:p>
      <w:pPr>
        <w:sectPr>
          <w:headerReference w:type="default" r:id="rId7"/>
          <w:footerReference w:type="default" r:id="rId8"/>
          <w:pgSz w:w="11906" w:h="16839"/>
          <w:pgMar w:top="1845" w:right="1489" w:bottom="1672" w:left="1560" w:header="1428" w:footer="1277" w:gutter="0"/>
          <w:cols w:equalWidth="0" w:num="1">
            <w:col w:w="8857" w:space="0"/>
          </w:cols>
        </w:sectPr>
        <w:rPr/>
      </w:pPr>
    </w:p>
    <w:p>
      <w:pPr>
        <w:pStyle w:val="BodyText"/>
        <w:ind w:left="32" w:right="328" w:firstLine="426"/>
        <w:spacing w:before="46" w:line="384" w:lineRule="auto"/>
        <w:jc w:val="both"/>
        <w:rPr/>
      </w:pPr>
      <w:r>
        <w:rPr>
          <w:spacing w:val="6"/>
        </w:rPr>
        <w:t>为认真贯彻落实中共中央办公厅、国务院</w:t>
      </w:r>
      <w:r>
        <w:rPr>
          <w:spacing w:val="7"/>
        </w:rPr>
        <w:t>办公厅《地方党政领导干部安全生产责任制规</w:t>
      </w:r>
      <w:r>
        <w:rPr>
          <w:spacing w:val="4"/>
        </w:rPr>
        <w:t>定》以及《</w:t>
      </w:r>
      <w:r>
        <w:rPr>
          <w:spacing w:val="-35"/>
        </w:rPr>
        <w:t xml:space="preserve"> </w:t>
      </w:r>
      <w:r>
        <w:rPr>
          <w:spacing w:val="4"/>
        </w:rPr>
        <w:t>自治区党政领导干部安全生产责任</w:t>
      </w:r>
      <w:r>
        <w:rPr>
          <w:spacing w:val="14"/>
        </w:rPr>
        <w:t>制实施细则》《</w:t>
      </w:r>
      <w:r>
        <w:rPr>
          <w:spacing w:val="-21"/>
        </w:rPr>
        <w:t xml:space="preserve"> </w:t>
      </w:r>
      <w:r>
        <w:rPr>
          <w:spacing w:val="14"/>
        </w:rPr>
        <w:t>自治区安全生产行政责任规</w:t>
      </w:r>
      <w:r>
        <w:rPr>
          <w:spacing w:val="5"/>
        </w:rPr>
        <w:t>定》，切实加强全市安全生产工作组织领导</w:t>
      </w:r>
      <w:r>
        <w:rPr>
          <w:spacing w:val="-55"/>
        </w:rPr>
        <w:t xml:space="preserve"> </w:t>
      </w:r>
      <w:r>
        <w:rPr>
          <w:spacing w:val="5"/>
        </w:rPr>
        <w:t>，</w:t>
      </w:r>
      <w:r>
        <w:rPr>
          <w:spacing w:val="5"/>
        </w:rPr>
        <w:t>按照</w:t>
      </w:r>
      <w:r>
        <w:rPr>
          <w:spacing w:val="-55"/>
        </w:rPr>
        <w:t xml:space="preserve"> </w:t>
      </w:r>
      <w:r>
        <w:rPr>
          <w:rFonts w:ascii="FangSong" w:hAnsi="FangSong" w:eastAsia="FangSong" w:cs="FangSong"/>
          <w:spacing w:val="5"/>
        </w:rPr>
        <w:t>“</w:t>
      </w:r>
      <w:r>
        <w:rPr>
          <w:spacing w:val="5"/>
        </w:rPr>
        <w:t>党政同责、一岗双责、齐抓共管、失职</w:t>
      </w:r>
      <w:r>
        <w:rPr>
          <w:spacing w:val="5"/>
        </w:rPr>
        <w:t>追责</w:t>
      </w:r>
      <w:r>
        <w:rPr>
          <w:rFonts w:ascii="FangSong" w:hAnsi="FangSong" w:eastAsia="FangSong" w:cs="FangSong"/>
          <w:spacing w:val="5"/>
        </w:rPr>
        <w:t>”</w:t>
      </w:r>
      <w:r>
        <w:rPr>
          <w:spacing w:val="5"/>
        </w:rPr>
        <w:t>责任制和</w:t>
      </w:r>
      <w:r>
        <w:rPr>
          <w:spacing w:val="-55"/>
        </w:rPr>
        <w:t xml:space="preserve"> </w:t>
      </w:r>
      <w:r>
        <w:rPr>
          <w:rFonts w:ascii="FangSong" w:hAnsi="FangSong" w:eastAsia="FangSong" w:cs="FangSong"/>
          <w:spacing w:val="5"/>
        </w:rPr>
        <w:t>“</w:t>
      </w:r>
      <w:r>
        <w:rPr>
          <w:spacing w:val="5"/>
        </w:rPr>
        <w:t>管行业必须管安全、管业务</w:t>
      </w:r>
      <w:r>
        <w:rPr>
          <w:spacing w:val="16"/>
        </w:rPr>
        <w:t>必须管安全、管生产经营必须管安全</w:t>
      </w:r>
      <w:r>
        <w:rPr>
          <w:rFonts w:ascii="FangSong" w:hAnsi="FangSong" w:eastAsia="FangSong" w:cs="FangSong"/>
          <w:spacing w:val="16"/>
        </w:rPr>
        <w:t>”</w:t>
      </w:r>
      <w:r>
        <w:rPr>
          <w:rFonts w:ascii="FangSong" w:hAnsi="FangSong" w:eastAsia="FangSong" w:cs="FangSong"/>
          <w:spacing w:val="-59"/>
        </w:rPr>
        <w:t xml:space="preserve"> </w:t>
      </w:r>
      <w:r>
        <w:rPr>
          <w:spacing w:val="16"/>
        </w:rPr>
        <w:t>的要</w:t>
      </w:r>
      <w:r>
        <w:rPr>
          <w:spacing w:val="7"/>
        </w:rPr>
        <w:t>求，结合市长、副市长工作分工和市安委会成</w:t>
      </w:r>
      <w:r>
        <w:rPr>
          <w:spacing w:val="4"/>
        </w:rPr>
        <w:t>员单位及县（</w:t>
      </w:r>
      <w:r>
        <w:rPr>
          <w:spacing w:val="-35"/>
        </w:rPr>
        <w:t xml:space="preserve"> </w:t>
      </w:r>
      <w:r>
        <w:rPr>
          <w:spacing w:val="4"/>
        </w:rPr>
        <w:t>区）安委会安全生产职责，对固</w:t>
      </w:r>
      <w:r>
        <w:rPr>
          <w:spacing w:val="8"/>
        </w:rPr>
        <w:t>原市安全生产责任体系明确如下：</w:t>
      </w:r>
    </w:p>
    <w:p>
      <w:pPr>
        <w:ind w:left="461"/>
        <w:spacing w:before="1" w:line="18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一、固原市安委会主任</w:t>
      </w:r>
    </w:p>
    <w:p>
      <w:pPr>
        <w:pStyle w:val="BodyText"/>
        <w:ind w:left="460"/>
        <w:spacing w:before="149" w:line="221" w:lineRule="auto"/>
        <w:rPr/>
      </w:pPr>
      <w:r>
        <w:rPr>
          <w:spacing w:val="6"/>
        </w:rPr>
        <w:t>马汉成  主任：领导固原市安全生产委员</w:t>
      </w:r>
    </w:p>
    <w:p>
      <w:pPr>
        <w:spacing w:line="14" w:lineRule="auto"/>
        <w:rPr>
          <w:rFonts w:ascii="Arial"/>
          <w:sz w:val="2"/>
        </w:rPr>
      </w:pPr>
      <w:r>
        <w:rPr>
          <w:rFonts w:ascii="Arial" w:hAnsi="Arial" w:eastAsia="Arial" w:cs="Arial"/>
          <w:sz w:val="2"/>
          <w:szCs w:val="2"/>
        </w:rPr>
        <w:br w:type="column"/>
      </w:r>
    </w:p>
    <w:p>
      <w:pPr>
        <w:pStyle w:val="BodyText"/>
        <w:ind w:right="71"/>
        <w:spacing w:before="37" w:line="385" w:lineRule="auto"/>
        <w:jc w:val="both"/>
        <w:rPr/>
      </w:pPr>
      <w:r>
        <w:rPr>
          <w:spacing w:val="7"/>
        </w:rPr>
        <w:t>会全面工作，推动构建安全生责任体系。负责</w:t>
      </w:r>
      <w:r>
        <w:rPr>
          <w:spacing w:val="7"/>
        </w:rPr>
        <w:t>贯彻落实安全生产方针政策、法律法规以及党</w:t>
      </w:r>
      <w:r>
        <w:rPr>
          <w:spacing w:val="7"/>
        </w:rPr>
        <w:t>中央、国务院和区、市党委、政府关于安全生</w:t>
      </w:r>
      <w:r>
        <w:rPr>
          <w:spacing w:val="7"/>
        </w:rPr>
        <w:t>产的决策部署，统筹协调安全生产工作，组织</w:t>
      </w:r>
      <w:r>
        <w:rPr>
          <w:spacing w:val="7"/>
        </w:rPr>
        <w:t>研究解决安全生产突出问题。统筹安排全市较</w:t>
      </w:r>
      <w:r>
        <w:rPr>
          <w:spacing w:val="-2"/>
        </w:rPr>
        <w:t>大及以上生产安全事故处置和应急救援工作等。</w:t>
      </w:r>
    </w:p>
    <w:p>
      <w:pPr>
        <w:ind w:left="430"/>
        <w:spacing w:before="1" w:line="18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二、固原市安委会副主任</w:t>
      </w:r>
    </w:p>
    <w:p>
      <w:pPr>
        <w:pStyle w:val="BodyText"/>
        <w:ind w:left="1" w:right="101" w:firstLine="420"/>
        <w:spacing w:before="149" w:line="357" w:lineRule="auto"/>
        <w:jc w:val="both"/>
        <w:rPr/>
      </w:pPr>
      <w:r>
        <w:rPr>
          <w:spacing w:val="6"/>
        </w:rPr>
        <w:t>李志达  副主任：负责领导固原市安全生</w:t>
      </w:r>
      <w:r>
        <w:rPr>
          <w:spacing w:val="18"/>
        </w:rPr>
        <w:t>产委员会日常工作。组织制定贯彻落实党中</w:t>
      </w:r>
      <w:r>
        <w:rPr>
          <w:spacing w:val="7"/>
        </w:rPr>
        <w:t>央、国务院和区、市党委、政府关于安全生产</w:t>
      </w:r>
      <w:r>
        <w:rPr>
          <w:spacing w:val="7"/>
        </w:rPr>
        <w:t>的决策部署，安全生产方针政策、法律法规的</w:t>
      </w:r>
      <w:r>
        <w:rPr>
          <w:spacing w:val="7"/>
        </w:rPr>
        <w:t>具体措施。协助市委主要负责人落实党委对安</w:t>
      </w:r>
      <w:r>
        <w:rPr>
          <w:spacing w:val="7"/>
        </w:rPr>
        <w:t>全生产的领导职责。协助市政府主要负责人统</w:t>
      </w:r>
    </w:p>
    <w:p>
      <w:pPr>
        <w:spacing w:line="357" w:lineRule="auto"/>
        <w:sectPr>
          <w:type w:val="continuous"/>
          <w:pgSz w:w="11906" w:h="16839"/>
          <w:pgMar w:top="1845" w:right="1489" w:bottom="1672" w:left="1560" w:header="1428" w:footer="1277" w:gutter="0"/>
          <w:cols w:equalWidth="0" w:num="2">
            <w:col w:w="4508" w:space="100"/>
            <w:col w:w="4250" w:space="0"/>
          </w:cols>
        </w:sectPr>
        <w:rPr/>
      </w:pPr>
    </w:p>
    <w:p>
      <w:pPr>
        <w:spacing w:before="114"/>
        <w:rPr/>
      </w:pPr>
      <w:r/>
    </w:p>
    <w:p>
      <w:pPr>
        <w:sectPr>
          <w:headerReference w:type="default" r:id="rId5"/>
          <w:footerReference w:type="default" r:id="rId9"/>
          <w:pgSz w:w="11906" w:h="16839"/>
          <w:pgMar w:top="1845" w:right="1559" w:bottom="1661" w:left="1551" w:header="1428" w:footer="1289" w:gutter="0"/>
          <w:cols w:equalWidth="0" w:num="1">
            <w:col w:w="8795" w:space="0"/>
          </w:cols>
        </w:sectPr>
        <w:rPr/>
      </w:pPr>
    </w:p>
    <w:p>
      <w:pPr>
        <w:pStyle w:val="BodyText"/>
        <w:ind w:left="39" w:right="248"/>
        <w:spacing w:before="38" w:line="382" w:lineRule="auto"/>
        <w:jc w:val="both"/>
        <w:rPr/>
      </w:pPr>
      <w:r>
        <w:rPr>
          <w:spacing w:val="1"/>
        </w:rPr>
        <w:t>筹推进全市安全生产工作。履行“一岗双责”，</w:t>
      </w:r>
      <w:r>
        <w:rPr>
          <w:spacing w:val="10"/>
        </w:rPr>
        <w:t>组织分管的市政府办公室（督查室、外事办、</w:t>
      </w:r>
      <w:r>
        <w:rPr>
          <w:spacing w:val="7"/>
        </w:rPr>
        <w:t>政务公开办）、发展和改革委员会（营商环境</w:t>
      </w:r>
      <w:r>
        <w:rPr>
          <w:spacing w:val="1"/>
        </w:rPr>
        <w:t>建设局）、教育体育局、财政局、应急管理局、</w:t>
      </w:r>
      <w:r>
        <w:rPr>
          <w:spacing w:val="7"/>
        </w:rPr>
        <w:t>国有资产监督管理委员会（金融工作局）、机</w:t>
      </w:r>
      <w:r>
        <w:rPr>
          <w:spacing w:val="7"/>
        </w:rPr>
        <w:t>关事务管理局、固原经济开发区管委会健全和</w:t>
      </w:r>
      <w:r>
        <w:rPr>
          <w:spacing w:val="7"/>
        </w:rPr>
        <w:t>落实安全生产责任制，联系协调市总工会、团</w:t>
      </w:r>
      <w:r>
        <w:rPr>
          <w:spacing w:val="7"/>
        </w:rPr>
        <w:t>市委、固原银监分局支持、保障全市安全生产</w:t>
      </w:r>
      <w:r>
        <w:rPr>
          <w:spacing w:val="10"/>
        </w:rPr>
        <w:t>工作，指导、推进危险化学品、矿山、能源、</w:t>
      </w:r>
      <w:r>
        <w:rPr>
          <w:spacing w:val="11"/>
        </w:rPr>
        <w:t>消防以及国有企业等行业领域安全生产工作，</w:t>
      </w:r>
      <w:r>
        <w:rPr>
          <w:spacing w:val="18"/>
        </w:rPr>
        <w:t>牵头负责分管行业领域较大及以上生产安全</w:t>
      </w:r>
      <w:r>
        <w:rPr>
          <w:spacing w:val="8"/>
        </w:rPr>
        <w:t>事故处置和应急救援工作。</w:t>
      </w:r>
    </w:p>
    <w:p>
      <w:pPr>
        <w:pStyle w:val="BodyText"/>
        <w:ind w:left="39" w:right="329" w:firstLine="428"/>
        <w:spacing w:before="34" w:line="397" w:lineRule="auto"/>
        <w:jc w:val="both"/>
        <w:rPr/>
      </w:pPr>
      <w:r>
        <w:rPr>
          <w:spacing w:val="6"/>
        </w:rPr>
        <w:t>马煜洲  副主任：履行“一岗双责”，组</w:t>
      </w:r>
      <w:r>
        <w:rPr>
          <w:spacing w:val="7"/>
        </w:rPr>
        <w:t>织分管的市人力资源和社会保障局、市场监督</w:t>
      </w:r>
      <w:r>
        <w:rPr>
          <w:spacing w:val="7"/>
        </w:rPr>
        <w:t>管理局、社会保险事业管理中心健全和落实安</w:t>
      </w:r>
      <w:r>
        <w:rPr>
          <w:spacing w:val="7"/>
        </w:rPr>
        <w:t>全生产责任制，指导、推进特种设备等行业领</w:t>
      </w:r>
      <w:r>
        <w:rPr>
          <w:spacing w:val="7"/>
        </w:rPr>
        <w:t>域安全生产工作，牵头负责分管行业领域较大</w:t>
      </w:r>
      <w:r>
        <w:rPr>
          <w:spacing w:val="9"/>
        </w:rPr>
        <w:t>及以上生产安全事故处置和应急救援工作。</w:t>
      </w:r>
    </w:p>
    <w:p>
      <w:pPr>
        <w:pStyle w:val="BodyText"/>
        <w:ind w:left="40" w:right="248" w:firstLine="420"/>
        <w:spacing w:line="397" w:lineRule="auto"/>
        <w:jc w:val="both"/>
        <w:rPr/>
      </w:pPr>
      <w:r>
        <w:rPr>
          <w:spacing w:val="6"/>
        </w:rPr>
        <w:t>周恭伟  副主任：履行“一岗双责”，组</w:t>
      </w:r>
      <w:r>
        <w:rPr>
          <w:spacing w:val="7"/>
        </w:rPr>
        <w:t>织分管的市卫生健康委员会、医疗保障局健全</w:t>
      </w:r>
      <w:r>
        <w:rPr>
          <w:spacing w:val="10"/>
        </w:rPr>
        <w:t>和落实安全生产责任制，联系市妇联、残联、</w:t>
      </w:r>
      <w:r>
        <w:rPr>
          <w:spacing w:val="1"/>
        </w:rPr>
        <w:t>红十字会支持、保障全市安全生产工作，指导、</w:t>
      </w:r>
      <w:r>
        <w:rPr>
          <w:spacing w:val="7"/>
        </w:rPr>
        <w:t>推进卫生健康等行业领域安全生产工作，牵头</w:t>
      </w:r>
      <w:r>
        <w:rPr>
          <w:spacing w:val="18"/>
        </w:rPr>
        <w:t>负责分管行业领域较大及以上生产安全事故</w:t>
      </w:r>
      <w:r>
        <w:rPr>
          <w:spacing w:val="8"/>
        </w:rPr>
        <w:t>处置和应急救援工作。</w:t>
      </w:r>
    </w:p>
    <w:p>
      <w:pPr>
        <w:pStyle w:val="BodyText"/>
        <w:ind w:left="39" w:right="317" w:firstLine="425"/>
        <w:spacing w:before="2" w:line="386" w:lineRule="auto"/>
        <w:jc w:val="both"/>
        <w:rPr/>
      </w:pPr>
      <w:r>
        <w:rPr>
          <w:spacing w:val="6"/>
        </w:rPr>
        <w:t>王新军  副主任：履行“一岗双责”，组</w:t>
      </w:r>
      <w:r>
        <w:rPr>
          <w:spacing w:val="7"/>
        </w:rPr>
        <w:t>织分管的市民政局、生态环境局、水务局、农</w:t>
      </w:r>
      <w:r>
        <w:rPr>
          <w:spacing w:val="7"/>
        </w:rPr>
        <w:t>业农村局、粮食和物资储备局、扶贫开发办公</w:t>
      </w:r>
      <w:r>
        <w:rPr>
          <w:spacing w:val="7"/>
        </w:rPr>
        <w:t>室、六盘山林业局、供销社健全和落实安全生</w:t>
      </w:r>
      <w:r>
        <w:rPr>
          <w:spacing w:val="-2"/>
        </w:rPr>
        <w:t>产责任制，联系协调市气象局、宁夏农林科</w:t>
      </w:r>
      <w:r>
        <w:rPr>
          <w:spacing w:val="-3"/>
        </w:rPr>
        <w:t>学院</w:t>
      </w:r>
    </w:p>
    <w:p>
      <w:pPr>
        <w:spacing w:line="14" w:lineRule="auto"/>
        <w:rPr>
          <w:rFonts w:ascii="Arial"/>
          <w:sz w:val="2"/>
        </w:rPr>
      </w:pPr>
      <w:r>
        <w:rPr>
          <w:rFonts w:ascii="Arial" w:hAnsi="Arial" w:eastAsia="Arial" w:cs="Arial"/>
          <w:sz w:val="2"/>
          <w:szCs w:val="2"/>
        </w:rPr>
        <w:br w:type="column"/>
      </w:r>
    </w:p>
    <w:p>
      <w:pPr>
        <w:pStyle w:val="BodyText"/>
        <w:ind w:right="19" w:firstLine="21"/>
        <w:spacing w:before="52" w:line="396" w:lineRule="auto"/>
        <w:jc w:val="both"/>
        <w:rPr/>
      </w:pPr>
      <w:r>
        <w:rPr>
          <w:spacing w:val="-4"/>
        </w:rPr>
        <w:t>固原分院履行行业领域安全生产职责，指导推进</w:t>
      </w:r>
      <w:r>
        <w:rPr>
          <w:spacing w:val="-2"/>
        </w:rPr>
        <w:t>社会福利机构、农业机械、粮储、水利等行业领</w:t>
      </w:r>
      <w:r>
        <w:rPr>
          <w:spacing w:val="-3"/>
        </w:rPr>
        <w:t>域安全生产工作，牵头负责分管行业领域较大及</w:t>
      </w:r>
      <w:r>
        <w:rPr/>
        <w:t>以上生产安全事故处置和应急救援工作。</w:t>
      </w:r>
    </w:p>
    <w:p>
      <w:pPr>
        <w:pStyle w:val="BodyText"/>
        <w:ind w:right="8" w:firstLine="420"/>
        <w:spacing w:before="11" w:line="396" w:lineRule="auto"/>
        <w:jc w:val="both"/>
        <w:rPr/>
      </w:pPr>
      <w:r>
        <w:rPr>
          <w:spacing w:val="5"/>
        </w:rPr>
        <w:t>吴  璞</w:t>
      </w:r>
      <w:r>
        <w:rPr>
          <w:spacing w:val="17"/>
        </w:rPr>
        <w:t xml:space="preserve">  </w:t>
      </w:r>
      <w:r>
        <w:rPr>
          <w:spacing w:val="5"/>
        </w:rPr>
        <w:t>副主任：履行“一岗双责”，组</w:t>
      </w:r>
      <w:r>
        <w:rPr>
          <w:spacing w:val="8"/>
        </w:rPr>
        <w:t>织分管的市自然资源局、住房和城乡建设局、</w:t>
      </w:r>
      <w:r>
        <w:rPr>
          <w:spacing w:val="7"/>
        </w:rPr>
        <w:t>退役军人事务局、城市管理局、人民防空办公</w:t>
      </w:r>
      <w:r>
        <w:rPr>
          <w:spacing w:val="7"/>
        </w:rPr>
        <w:t>室、地震局、住房公积金管理中心、林业草原</w:t>
      </w:r>
      <w:r>
        <w:rPr>
          <w:spacing w:val="7"/>
        </w:rPr>
        <w:t>发展中心健全和落实安全生产责任制，联系协</w:t>
      </w:r>
      <w:r>
        <w:rPr>
          <w:spacing w:val="8"/>
        </w:rPr>
        <w:t>调固原军分区、驻固部队、市中级人民法院、</w:t>
      </w:r>
      <w:r>
        <w:rPr>
          <w:spacing w:val="7"/>
        </w:rPr>
        <w:t>人民检察院，以及国网固原供电公司、六盘山</w:t>
      </w:r>
      <w:r>
        <w:rPr>
          <w:spacing w:val="8"/>
        </w:rPr>
        <w:t>水务有限公司支持、保障全市安全生产工作，</w:t>
      </w:r>
      <w:r>
        <w:rPr>
          <w:spacing w:val="7"/>
        </w:rPr>
        <w:t>指导推进森林草原、建筑施工等行业领域安全</w:t>
      </w:r>
      <w:r>
        <w:rPr>
          <w:spacing w:val="7"/>
        </w:rPr>
        <w:t>生产工作，牵头负责分管行业领域较大及以上</w:t>
      </w:r>
      <w:r>
        <w:rPr>
          <w:spacing w:val="9"/>
        </w:rPr>
        <w:t>生产安全事故处置和应急救援工作。</w:t>
      </w:r>
    </w:p>
    <w:p>
      <w:pPr>
        <w:pStyle w:val="BodyText"/>
        <w:ind w:right="8" w:firstLine="422"/>
        <w:spacing w:line="383" w:lineRule="auto"/>
        <w:jc w:val="both"/>
        <w:rPr/>
      </w:pPr>
      <w:r>
        <w:rPr>
          <w:spacing w:val="6"/>
        </w:rPr>
        <w:t>任立新  副主任：履行“一岗双责”，组</w:t>
      </w:r>
      <w:r>
        <w:rPr>
          <w:spacing w:val="4"/>
        </w:rPr>
        <w:t>织分管的市科学技术局、工业和信息化局（</w:t>
      </w:r>
      <w:r>
        <w:rPr>
          <w:spacing w:val="-34"/>
        </w:rPr>
        <w:t xml:space="preserve"> </w:t>
      </w:r>
      <w:r>
        <w:rPr>
          <w:spacing w:val="4"/>
        </w:rPr>
        <w:t>中</w:t>
      </w:r>
      <w:r>
        <w:rPr>
          <w:spacing w:val="7"/>
        </w:rPr>
        <w:t>小企业发展局）、交通运输局、商务和投资促</w:t>
      </w:r>
      <w:r>
        <w:rPr>
          <w:spacing w:val="7"/>
        </w:rPr>
        <w:t>进局、审批服务管理局、投资促进服务中心健</w:t>
      </w:r>
      <w:r>
        <w:rPr>
          <w:spacing w:val="7"/>
        </w:rPr>
        <w:t>全和落实安全生产责任制，联系协调市工商业</w:t>
      </w:r>
      <w:r>
        <w:rPr>
          <w:spacing w:val="7"/>
        </w:rPr>
        <w:t>联合会、科协、伊协、宁夏交通运输综合执法</w:t>
      </w:r>
      <w:r>
        <w:rPr>
          <w:spacing w:val="7"/>
        </w:rPr>
        <w:t>监督局固原分局、宁夏公路管理中心固原分中</w:t>
      </w:r>
      <w:r>
        <w:rPr>
          <w:spacing w:val="7"/>
        </w:rPr>
        <w:t>心、中国电信、中国移动、中铝宁夏能源集团</w:t>
      </w:r>
      <w:r>
        <w:rPr>
          <w:spacing w:val="7"/>
        </w:rPr>
        <w:t>六盘山热电厂、王洼煤业公司、中石油、中石</w:t>
      </w:r>
      <w:r>
        <w:rPr>
          <w:spacing w:val="8"/>
        </w:rPr>
        <w:t>化固原销售分公司，兰州铁路局固原车务段、</w:t>
      </w:r>
      <w:r>
        <w:rPr>
          <w:spacing w:val="8"/>
        </w:rPr>
        <w:t>西部机场集团宁夏机场有限公司固原分公司、</w:t>
      </w:r>
      <w:r>
        <w:rPr>
          <w:spacing w:val="18"/>
        </w:rPr>
        <w:t>宁夏天豹固原汽车运输有限责任公司在履行</w:t>
      </w:r>
      <w:r>
        <w:rPr>
          <w:spacing w:val="7"/>
        </w:rPr>
        <w:t>好各自安全生产工作职责的同时，支持和保障</w:t>
      </w:r>
      <w:r>
        <w:rPr>
          <w:spacing w:val="7"/>
        </w:rPr>
        <w:t>安全生产工作。牵头负责分管行业领域较大及</w:t>
      </w:r>
      <w:r>
        <w:rPr>
          <w:spacing w:val="9"/>
        </w:rPr>
        <w:t>以上生产安全事故处置和应急救援工作。</w:t>
      </w:r>
    </w:p>
    <w:p>
      <w:pPr>
        <w:spacing w:line="383" w:lineRule="auto"/>
        <w:sectPr>
          <w:type w:val="continuous"/>
          <w:pgSz w:w="11906" w:h="16839"/>
          <w:pgMar w:top="1845" w:right="1559" w:bottom="1661" w:left="1551" w:header="1428" w:footer="1289" w:gutter="0"/>
          <w:cols w:equalWidth="0" w:num="2">
            <w:col w:w="4517" w:space="100"/>
            <w:col w:w="4179" w:space="0"/>
          </w:cols>
        </w:sectPr>
        <w:rPr/>
      </w:pPr>
    </w:p>
    <w:p>
      <w:pPr>
        <w:spacing w:before="114"/>
        <w:rPr/>
      </w:pPr>
      <w:r/>
    </w:p>
    <w:p>
      <w:pPr>
        <w:sectPr>
          <w:headerReference w:type="default" r:id="rId7"/>
          <w:footerReference w:type="default" r:id="rId10"/>
          <w:pgSz w:w="11906" w:h="16839"/>
          <w:pgMar w:top="1845" w:right="1489" w:bottom="1672" w:left="1560" w:header="1428" w:footer="1277" w:gutter="0"/>
          <w:cols w:equalWidth="0" w:num="1">
            <w:col w:w="8857" w:space="0"/>
          </w:cols>
        </w:sectPr>
        <w:rPr/>
      </w:pPr>
    </w:p>
    <w:p>
      <w:pPr>
        <w:pStyle w:val="BodyText"/>
        <w:ind w:left="30" w:right="329" w:firstLine="426"/>
        <w:spacing w:before="47" w:line="397" w:lineRule="auto"/>
        <w:jc w:val="both"/>
        <w:rPr/>
      </w:pPr>
      <w:r>
        <w:rPr>
          <w:spacing w:val="5"/>
        </w:rPr>
        <w:t>童  东</w:t>
      </w:r>
      <w:r>
        <w:rPr>
          <w:spacing w:val="15"/>
        </w:rPr>
        <w:t xml:space="preserve">  </w:t>
      </w:r>
      <w:r>
        <w:rPr>
          <w:spacing w:val="5"/>
        </w:rPr>
        <w:t>副主任：履行“一岗双责”，组</w:t>
      </w:r>
      <w:r>
        <w:rPr>
          <w:spacing w:val="7"/>
        </w:rPr>
        <w:t>织主持工作的市公安局以及分管的司法局、信</w:t>
      </w:r>
      <w:r>
        <w:rPr>
          <w:spacing w:val="7"/>
        </w:rPr>
        <w:t>访局健全和落实安全生产责任，指导推进道路</w:t>
      </w:r>
      <w:r>
        <w:rPr>
          <w:spacing w:val="7"/>
        </w:rPr>
        <w:t>交通等行业领域安全生产工作，牵头负责分管</w:t>
      </w:r>
      <w:r>
        <w:rPr>
          <w:spacing w:val="18"/>
        </w:rPr>
        <w:t>行业领域较大及以上生产安全事故处置和应</w:t>
      </w:r>
      <w:r>
        <w:rPr>
          <w:spacing w:val="7"/>
        </w:rPr>
        <w:t>急救援工作。</w:t>
      </w:r>
    </w:p>
    <w:p>
      <w:pPr>
        <w:pStyle w:val="BodyText"/>
        <w:ind w:left="34" w:right="329" w:firstLine="419"/>
        <w:spacing w:before="4" w:line="397" w:lineRule="auto"/>
        <w:rPr/>
      </w:pPr>
      <w:r>
        <w:rPr>
          <w:spacing w:val="6"/>
        </w:rPr>
        <w:t>未列入的市属事业单位及机构，随归口管</w:t>
      </w:r>
      <w:r>
        <w:rPr>
          <w:spacing w:val="8"/>
        </w:rPr>
        <w:t>理部门由市安委会分管领导分管。</w:t>
      </w:r>
    </w:p>
    <w:p>
      <w:pPr>
        <w:ind w:left="464"/>
        <w:spacing w:before="5"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三、固原市政府办公室</w:t>
      </w:r>
    </w:p>
    <w:p>
      <w:pPr>
        <w:pStyle w:val="BodyText"/>
        <w:ind w:left="33" w:right="329" w:firstLine="417"/>
        <w:spacing w:before="166" w:line="395" w:lineRule="auto"/>
        <w:jc w:val="both"/>
        <w:rPr/>
      </w:pPr>
      <w:r>
        <w:rPr>
          <w:spacing w:val="7"/>
        </w:rPr>
        <w:t>综合协调市安委会主任、各副主任落实安</w:t>
      </w:r>
      <w:r>
        <w:rPr>
          <w:spacing w:val="5"/>
        </w:rPr>
        <w:t>全生产</w:t>
      </w:r>
      <w:r>
        <w:rPr>
          <w:spacing w:val="-57"/>
        </w:rPr>
        <w:t xml:space="preserve"> </w:t>
      </w:r>
      <w:r>
        <w:rPr>
          <w:rFonts w:ascii="FangSong" w:hAnsi="FangSong" w:eastAsia="FangSong" w:cs="FangSong"/>
          <w:spacing w:val="5"/>
        </w:rPr>
        <w:t>“</w:t>
      </w:r>
      <w:r>
        <w:rPr>
          <w:spacing w:val="5"/>
        </w:rPr>
        <w:t>一岗双责</w:t>
      </w:r>
      <w:r>
        <w:rPr>
          <w:rFonts w:ascii="FangSong" w:hAnsi="FangSong" w:eastAsia="FangSong" w:cs="FangSong"/>
          <w:spacing w:val="5"/>
        </w:rPr>
        <w:t>”</w:t>
      </w:r>
      <w:r>
        <w:rPr>
          <w:spacing w:val="5"/>
        </w:rPr>
        <w:t>，协助分管安全生产工作</w:t>
      </w:r>
      <w:r>
        <w:rPr>
          <w:spacing w:val="7"/>
        </w:rPr>
        <w:t>的政府领导落实市安委会日常工作。组织、协</w:t>
      </w:r>
      <w:r>
        <w:rPr>
          <w:spacing w:val="8"/>
        </w:rPr>
        <w:t>调、安排有关会议、文件办理等事宜。</w:t>
      </w:r>
    </w:p>
    <w:p>
      <w:pPr>
        <w:ind w:left="473"/>
        <w:spacing w:line="21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四、固原市安委会办公室（ 应急管理局 ）</w:t>
      </w:r>
    </w:p>
    <w:p>
      <w:pPr>
        <w:pStyle w:val="BodyText"/>
        <w:ind w:left="30" w:right="329" w:firstLine="423"/>
        <w:spacing w:before="135" w:line="393" w:lineRule="auto"/>
        <w:rPr/>
      </w:pPr>
      <w:r>
        <w:rPr>
          <w:spacing w:val="6"/>
        </w:rPr>
        <w:t>统筹全市安全生产工作，承担固原市安委</w:t>
      </w:r>
      <w:r>
        <w:rPr>
          <w:spacing w:val="7"/>
        </w:rPr>
        <w:t>会日常工作。依法行使安全生产综合监督管理</w:t>
      </w:r>
      <w:r>
        <w:rPr>
          <w:spacing w:val="-3"/>
        </w:rPr>
        <w:t>职权，指导协调、监督检查固原市有关部门（单</w:t>
      </w:r>
      <w:r>
        <w:rPr>
          <w:spacing w:val="5"/>
        </w:rPr>
        <w:t>位）和县（</w:t>
      </w:r>
      <w:r>
        <w:rPr>
          <w:spacing w:val="-53"/>
        </w:rPr>
        <w:t xml:space="preserve"> </w:t>
      </w:r>
      <w:r>
        <w:rPr>
          <w:spacing w:val="5"/>
        </w:rPr>
        <w:t>区）安全生产工作，组织开展安全</w:t>
      </w:r>
      <w:r>
        <w:rPr>
          <w:spacing w:val="4"/>
        </w:rPr>
        <w:t>生产巡查、考核工作。指导县（</w:t>
      </w:r>
      <w:r>
        <w:rPr>
          <w:spacing w:val="-33"/>
        </w:rPr>
        <w:t xml:space="preserve"> </w:t>
      </w:r>
      <w:r>
        <w:rPr>
          <w:spacing w:val="4"/>
        </w:rPr>
        <w:t>区）和市直有</w:t>
      </w:r>
      <w:r>
        <w:rPr>
          <w:spacing w:val="18"/>
        </w:rPr>
        <w:t>关部门应对安全生产类突发事件和综合防灾</w:t>
      </w:r>
      <w:r>
        <w:rPr>
          <w:spacing w:val="7"/>
        </w:rPr>
        <w:t>减灾救灾工作。负责工矿、危险化学品、煤矿</w:t>
      </w:r>
      <w:r>
        <w:rPr>
          <w:spacing w:val="9"/>
        </w:rPr>
        <w:t>等行业安全生产监督管理工作。</w:t>
      </w:r>
    </w:p>
    <w:p>
      <w:pPr>
        <w:ind w:left="459"/>
        <w:spacing w:before="38" w:line="18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五、固原市安委会成员单位</w:t>
      </w:r>
    </w:p>
    <w:p>
      <w:pPr>
        <w:pStyle w:val="BodyText"/>
        <w:ind w:left="29" w:right="248" w:firstLine="414"/>
        <w:spacing w:before="159" w:line="368" w:lineRule="auto"/>
        <w:jc w:val="both"/>
        <w:rPr/>
      </w:pPr>
      <w:r>
        <w:rPr>
          <w:rFonts w:ascii="KaiTi" w:hAnsi="KaiTi" w:eastAsia="KaiTi" w:cs="KaiTi"/>
          <w:b/>
          <w:bCs/>
          <w:spacing w:val="10"/>
        </w:rPr>
        <w:t>（</w:t>
      </w:r>
      <w:r>
        <w:rPr>
          <w:rFonts w:ascii="KaiTi" w:hAnsi="KaiTi" w:eastAsia="KaiTi" w:cs="KaiTi"/>
          <w:spacing w:val="-27"/>
        </w:rPr>
        <w:t xml:space="preserve"> </w:t>
      </w:r>
      <w:r>
        <w:rPr>
          <w:rFonts w:ascii="KaiTi" w:hAnsi="KaiTi" w:eastAsia="KaiTi" w:cs="KaiTi"/>
          <w:b/>
          <w:bCs/>
          <w:spacing w:val="10"/>
        </w:rPr>
        <w:t>一</w:t>
      </w:r>
      <w:r>
        <w:rPr>
          <w:rFonts w:ascii="KaiTi" w:hAnsi="KaiTi" w:eastAsia="KaiTi" w:cs="KaiTi"/>
          <w:spacing w:val="-32"/>
        </w:rPr>
        <w:t xml:space="preserve"> </w:t>
      </w:r>
      <w:r>
        <w:rPr>
          <w:rFonts w:ascii="KaiTi" w:hAnsi="KaiTi" w:eastAsia="KaiTi" w:cs="KaiTi"/>
          <w:b/>
          <w:bCs/>
          <w:spacing w:val="10"/>
        </w:rPr>
        <w:t>）负有安全生产监督管理职责的部</w:t>
      </w:r>
      <w:r>
        <w:rPr>
          <w:rFonts w:ascii="KaiTi" w:hAnsi="KaiTi" w:eastAsia="KaiTi" w:cs="KaiTi"/>
          <w:b/>
          <w:bCs/>
          <w:spacing w:val="7"/>
        </w:rPr>
        <w:t>门：</w:t>
      </w:r>
      <w:r>
        <w:rPr>
          <w:spacing w:val="7"/>
        </w:rPr>
        <w:t>市发展改革委、教育体育局、工业和信息</w:t>
      </w:r>
      <w:r>
        <w:rPr>
          <w:spacing w:val="7"/>
        </w:rPr>
        <w:t>化局、公安局、民政局、自然资源局、生态环</w:t>
      </w:r>
      <w:r>
        <w:rPr>
          <w:spacing w:val="1"/>
        </w:rPr>
        <w:t>境局、住房城乡建设局、交通运输局、水务局、</w:t>
      </w:r>
      <w:r>
        <w:rPr>
          <w:spacing w:val="7"/>
        </w:rPr>
        <w:t>农业农村局、商务投资促进局、文化旅游广电</w:t>
      </w:r>
      <w:r>
        <w:rPr>
          <w:spacing w:val="7"/>
        </w:rPr>
        <w:t>局、卫生健康委、应急局、市场监管局、国资</w:t>
      </w:r>
      <w:r>
        <w:rPr>
          <w:spacing w:val="9"/>
        </w:rPr>
        <w:t>委、城管局、六林局、供销社、邮政管理局、</w:t>
      </w:r>
    </w:p>
    <w:p>
      <w:pPr>
        <w:spacing w:line="14" w:lineRule="auto"/>
        <w:rPr>
          <w:rFonts w:ascii="Arial"/>
          <w:sz w:val="2"/>
        </w:rPr>
      </w:pPr>
      <w:r>
        <w:rPr>
          <w:rFonts w:ascii="Arial" w:hAnsi="Arial" w:eastAsia="Arial" w:cs="Arial"/>
          <w:sz w:val="2"/>
          <w:szCs w:val="2"/>
        </w:rPr>
        <w:br w:type="column"/>
      </w:r>
    </w:p>
    <w:p>
      <w:pPr>
        <w:pStyle w:val="BodyText"/>
        <w:ind w:right="23"/>
        <w:spacing w:before="51" w:line="396" w:lineRule="auto"/>
        <w:jc w:val="both"/>
        <w:rPr/>
      </w:pPr>
      <w:r>
        <w:rPr>
          <w:spacing w:val="7"/>
        </w:rPr>
        <w:t>公安交警分局、消防救援支队、供电公司、固</w:t>
      </w:r>
      <w:r>
        <w:rPr>
          <w:spacing w:val="5"/>
        </w:rPr>
        <w:t>原公路分中心、西部机场固原分公司按照</w:t>
      </w:r>
      <w:r>
        <w:rPr>
          <w:spacing w:val="-54"/>
        </w:rPr>
        <w:t xml:space="preserve"> </w:t>
      </w:r>
      <w:r>
        <w:rPr>
          <w:rFonts w:ascii="FangSong" w:hAnsi="FangSong" w:eastAsia="FangSong" w:cs="FangSong"/>
          <w:spacing w:val="5"/>
        </w:rPr>
        <w:t>“</w:t>
      </w:r>
      <w:r>
        <w:rPr>
          <w:spacing w:val="5"/>
        </w:rPr>
        <w:t>三</w:t>
      </w:r>
      <w:r>
        <w:rPr>
          <w:spacing w:val="7"/>
        </w:rPr>
        <w:t>个必须</w:t>
      </w:r>
      <w:r>
        <w:rPr>
          <w:rFonts w:ascii="FangSong" w:hAnsi="FangSong" w:eastAsia="FangSong" w:cs="FangSong"/>
          <w:spacing w:val="7"/>
        </w:rPr>
        <w:t>”</w:t>
      </w:r>
      <w:r>
        <w:rPr>
          <w:spacing w:val="7"/>
        </w:rPr>
        <w:t>原则，履行行业领域安全生产监督管</w:t>
      </w:r>
      <w:r>
        <w:rPr>
          <w:spacing w:val="1"/>
        </w:rPr>
        <w:t>理职责，指导县（区）行业部门安全生产工作。</w:t>
      </w:r>
    </w:p>
    <w:p>
      <w:pPr>
        <w:pStyle w:val="BodyText"/>
        <w:ind w:right="18" w:firstLine="413"/>
        <w:spacing w:before="2" w:line="396" w:lineRule="auto"/>
        <w:jc w:val="both"/>
        <w:rPr/>
      </w:pPr>
      <w:r>
        <w:rPr>
          <w:rFonts w:ascii="KaiTi" w:hAnsi="KaiTi" w:eastAsia="KaiTi" w:cs="KaiTi"/>
          <w:b/>
          <w:bCs/>
          <w:spacing w:val="3"/>
        </w:rPr>
        <w:t>（</w:t>
      </w:r>
      <w:r>
        <w:rPr>
          <w:rFonts w:ascii="KaiTi" w:hAnsi="KaiTi" w:eastAsia="KaiTi" w:cs="KaiTi"/>
          <w:spacing w:val="-45"/>
        </w:rPr>
        <w:t xml:space="preserve"> </w:t>
      </w:r>
      <w:r>
        <w:rPr>
          <w:rFonts w:ascii="KaiTi" w:hAnsi="KaiTi" w:eastAsia="KaiTi" w:cs="KaiTi"/>
          <w:b/>
          <w:bCs/>
          <w:spacing w:val="3"/>
        </w:rPr>
        <w:t>二）负有支持、保障安全生产职责的部</w:t>
      </w:r>
      <w:r>
        <w:rPr>
          <w:rFonts w:ascii="KaiTi" w:hAnsi="KaiTi" w:eastAsia="KaiTi" w:cs="KaiTi"/>
          <w:b/>
          <w:bCs/>
          <w:spacing w:val="10"/>
        </w:rPr>
        <w:t>门：</w:t>
      </w:r>
      <w:r>
        <w:rPr>
          <w:spacing w:val="10"/>
        </w:rPr>
        <w:t>市纪委监委、政府办、宣传部、政法委、</w:t>
      </w:r>
      <w:r>
        <w:rPr>
          <w:spacing w:val="7"/>
        </w:rPr>
        <w:t>编办、科技局、司法局、财政局、人力资源和</w:t>
      </w:r>
      <w:r>
        <w:rPr>
          <w:spacing w:val="7"/>
        </w:rPr>
        <w:t>社会保障局、审批局、粮食和物资储备局、人</w:t>
      </w:r>
      <w:r>
        <w:rPr>
          <w:spacing w:val="7"/>
        </w:rPr>
        <w:t>防办、市委督查室、总工会、团委、妇联、地</w:t>
      </w:r>
      <w:r>
        <w:rPr>
          <w:spacing w:val="7"/>
        </w:rPr>
        <w:t>震局、电信公司、固原军分区、武警支队、车</w:t>
      </w:r>
      <w:r>
        <w:rPr>
          <w:spacing w:val="10"/>
        </w:rPr>
        <w:t>务段、气象局、电信公司、固原银保监分局、</w:t>
      </w:r>
      <w:r>
        <w:rPr>
          <w:spacing w:val="7"/>
        </w:rPr>
        <w:t>市医院依照有关法律、法规等规定，在各自职</w:t>
      </w:r>
      <w:r>
        <w:rPr>
          <w:spacing w:val="-8"/>
        </w:rPr>
        <w:t>责范围内履行支持、保障全市安全生产工作职责。</w:t>
      </w:r>
    </w:p>
    <w:p>
      <w:pPr>
        <w:ind w:left="429"/>
        <w:spacing w:line="21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六、县（</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1"/>
        </w:rPr>
        <w:t>区 ）安委会、各类园区</w:t>
      </w:r>
    </w:p>
    <w:p>
      <w:pPr>
        <w:pStyle w:val="BodyText"/>
        <w:ind w:right="18" w:firstLine="412"/>
        <w:spacing w:before="131" w:line="363" w:lineRule="auto"/>
        <w:rPr/>
      </w:pPr>
      <w:r>
        <w:rPr>
          <w:rFonts w:ascii="KaiTi" w:hAnsi="KaiTi" w:eastAsia="KaiTi" w:cs="KaiTi"/>
          <w:b/>
          <w:bCs/>
          <w:spacing w:val="-1"/>
        </w:rPr>
        <w:t>（</w:t>
      </w:r>
      <w:r>
        <w:rPr>
          <w:rFonts w:ascii="KaiTi" w:hAnsi="KaiTi" w:eastAsia="KaiTi" w:cs="KaiTi"/>
          <w:spacing w:val="-39"/>
        </w:rPr>
        <w:t xml:space="preserve"> </w:t>
      </w:r>
      <w:r>
        <w:rPr>
          <w:rFonts w:ascii="KaiTi" w:hAnsi="KaiTi" w:eastAsia="KaiTi" w:cs="KaiTi"/>
          <w:b/>
          <w:bCs/>
          <w:spacing w:val="-1"/>
        </w:rPr>
        <w:t>一）各县（</w:t>
      </w:r>
      <w:r>
        <w:rPr>
          <w:rFonts w:ascii="KaiTi" w:hAnsi="KaiTi" w:eastAsia="KaiTi" w:cs="KaiTi"/>
          <w:spacing w:val="-28"/>
        </w:rPr>
        <w:t xml:space="preserve"> </w:t>
      </w:r>
      <w:r>
        <w:rPr>
          <w:rFonts w:ascii="KaiTi" w:hAnsi="KaiTi" w:eastAsia="KaiTi" w:cs="KaiTi"/>
          <w:b/>
          <w:bCs/>
          <w:spacing w:val="-1"/>
        </w:rPr>
        <w:t>区）安委会：</w:t>
      </w:r>
      <w:r>
        <w:rPr>
          <w:spacing w:val="-1"/>
        </w:rPr>
        <w:t>落实安全生产</w:t>
      </w:r>
      <w:r>
        <w:rPr>
          <w:spacing w:val="11"/>
        </w:rPr>
        <w:t>属地管理责任，建立健全安全生产责任体系，</w:t>
      </w:r>
      <w:r>
        <w:rPr>
          <w:spacing w:val="18"/>
        </w:rPr>
        <w:t>对本行政区域内生产经营单位安全生产状况</w:t>
      </w:r>
      <w:r>
        <w:rPr>
          <w:spacing w:val="7"/>
        </w:rPr>
        <w:t>进行监督检查，督促生产经营单位落实安全生</w:t>
      </w:r>
      <w:r>
        <w:rPr>
          <w:spacing w:val="-8"/>
        </w:rPr>
        <w:t>产主体责任，防范化解风险，消除各类事故隐患。</w:t>
      </w:r>
    </w:p>
    <w:p>
      <w:pPr>
        <w:pStyle w:val="BodyText"/>
        <w:ind w:left="4" w:right="86" w:firstLine="408"/>
        <w:spacing w:before="184" w:line="363" w:lineRule="auto"/>
        <w:rPr/>
      </w:pPr>
      <w:r>
        <w:rPr>
          <w:rFonts w:ascii="KaiTi" w:hAnsi="KaiTi" w:eastAsia="KaiTi" w:cs="KaiTi"/>
          <w:b/>
          <w:bCs/>
          <w:spacing w:val="11"/>
        </w:rPr>
        <w:t>（</w:t>
      </w:r>
      <w:r>
        <w:rPr>
          <w:rFonts w:ascii="KaiTi" w:hAnsi="KaiTi" w:eastAsia="KaiTi" w:cs="KaiTi"/>
          <w:spacing w:val="-44"/>
        </w:rPr>
        <w:t xml:space="preserve"> </w:t>
      </w:r>
      <w:r>
        <w:rPr>
          <w:rFonts w:ascii="KaiTi" w:hAnsi="KaiTi" w:eastAsia="KaiTi" w:cs="KaiTi"/>
          <w:b/>
          <w:bCs/>
          <w:spacing w:val="11"/>
        </w:rPr>
        <w:t>二</w:t>
      </w:r>
      <w:r>
        <w:rPr>
          <w:rFonts w:ascii="KaiTi" w:hAnsi="KaiTi" w:eastAsia="KaiTi" w:cs="KaiTi"/>
          <w:spacing w:val="-32"/>
        </w:rPr>
        <w:t xml:space="preserve"> </w:t>
      </w:r>
      <w:r>
        <w:rPr>
          <w:rFonts w:ascii="KaiTi" w:hAnsi="KaiTi" w:eastAsia="KaiTi" w:cs="KaiTi"/>
          <w:b/>
          <w:bCs/>
          <w:spacing w:val="11"/>
        </w:rPr>
        <w:t>）固原经济开发区管委会及各类园</w:t>
      </w:r>
      <w:r>
        <w:rPr>
          <w:rFonts w:ascii="KaiTi" w:hAnsi="KaiTi" w:eastAsia="KaiTi" w:cs="KaiTi"/>
          <w:b/>
          <w:bCs/>
          <w:spacing w:val="15"/>
        </w:rPr>
        <w:t>区</w:t>
      </w:r>
      <w:r>
        <w:rPr>
          <w:rFonts w:ascii="KaiTi" w:hAnsi="KaiTi" w:eastAsia="KaiTi" w:cs="KaiTi"/>
          <w:spacing w:val="-46"/>
        </w:rPr>
        <w:t xml:space="preserve"> </w:t>
      </w:r>
      <w:r>
        <w:rPr>
          <w:rFonts w:ascii="KaiTi" w:hAnsi="KaiTi" w:eastAsia="KaiTi" w:cs="KaiTi"/>
          <w:b/>
          <w:bCs/>
          <w:spacing w:val="15"/>
        </w:rPr>
        <w:t>：</w:t>
      </w:r>
      <w:r>
        <w:rPr>
          <w:spacing w:val="15"/>
        </w:rPr>
        <w:t>按照有关规定履行园区安全生产管理职</w:t>
      </w:r>
      <w:r>
        <w:rPr>
          <w:spacing w:val="7"/>
        </w:rPr>
        <w:t>责，依法开展安全生产监督检查，督促生产经</w:t>
      </w:r>
      <w:r>
        <w:rPr>
          <w:spacing w:val="15"/>
        </w:rPr>
        <w:t>营单位落实安全生产主体责任</w:t>
      </w:r>
      <w:r>
        <w:rPr>
          <w:spacing w:val="-44"/>
        </w:rPr>
        <w:t xml:space="preserve"> </w:t>
      </w:r>
      <w:r>
        <w:rPr>
          <w:spacing w:val="15"/>
        </w:rPr>
        <w:t>，防范化解风</w:t>
      </w:r>
      <w:r>
        <w:rPr>
          <w:spacing w:val="8"/>
        </w:rPr>
        <w:t>险，消除各类事故隐患。</w:t>
      </w:r>
    </w:p>
    <w:p>
      <w:pPr>
        <w:ind w:left="426"/>
        <w:spacing w:before="192" w:line="18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七、各类生产经营单位</w:t>
      </w:r>
    </w:p>
    <w:p>
      <w:pPr>
        <w:pStyle w:val="BodyText"/>
        <w:ind w:left="1" w:right="101" w:hanging="1"/>
        <w:spacing w:before="168" w:line="355" w:lineRule="auto"/>
        <w:jc w:val="both"/>
        <w:rPr/>
      </w:pPr>
      <w:r>
        <w:rPr>
          <w:spacing w:val="7"/>
        </w:rPr>
        <w:t>严格遵守安全生产法律法规规定，认真履行安</w:t>
      </w:r>
      <w:r>
        <w:rPr>
          <w:spacing w:val="7"/>
        </w:rPr>
        <w:t>全生产主体责任，加强企业安全生产管理，建</w:t>
      </w:r>
      <w:r>
        <w:rPr>
          <w:spacing w:val="18"/>
        </w:rPr>
        <w:t>立、健全安全生产责任制和安全生产规章制</w:t>
      </w:r>
      <w:r>
        <w:rPr>
          <w:spacing w:val="7"/>
        </w:rPr>
        <w:t>度，改善安全生产条件，推进安全生产标准化</w:t>
      </w:r>
      <w:r>
        <w:rPr>
          <w:spacing w:val="9"/>
        </w:rPr>
        <w:t>建设，提高安全生产水平，确保安全生产。</w:t>
      </w:r>
    </w:p>
    <w:p>
      <w:pPr>
        <w:spacing w:line="355" w:lineRule="auto"/>
        <w:sectPr>
          <w:type w:val="continuous"/>
          <w:pgSz w:w="11906" w:h="16839"/>
          <w:pgMar w:top="1845" w:right="1489" w:bottom="1672" w:left="1560" w:header="1428" w:footer="1277" w:gutter="0"/>
          <w:cols w:equalWidth="0" w:num="2">
            <w:col w:w="4509" w:space="100"/>
            <w:col w:w="4249" w:space="0"/>
          </w:cols>
        </w:sectPr>
        <w:rPr/>
      </w:pPr>
    </w:p>
    <w:p>
      <w:pPr>
        <w:spacing w:line="311" w:lineRule="auto"/>
        <w:rPr>
          <w:rFonts w:ascii="Arial"/>
          <w:sz w:val="21"/>
        </w:rPr>
      </w:pPr>
      <w:r/>
    </w:p>
    <w:p>
      <w:pPr>
        <w:spacing w:line="311" w:lineRule="auto"/>
        <w:rPr>
          <w:rFonts w:ascii="Arial"/>
          <w:sz w:val="21"/>
        </w:rPr>
      </w:pPr>
      <w:r/>
    </w:p>
    <w:p>
      <w:pPr>
        <w:spacing w:line="311" w:lineRule="auto"/>
        <w:rPr>
          <w:rFonts w:ascii="Arial"/>
          <w:sz w:val="21"/>
        </w:rPr>
      </w:pPr>
      <w:r/>
    </w:p>
    <w:p>
      <w:pPr>
        <w:ind w:left="1988"/>
        <w:spacing w:before="185" w:line="186"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10"/>
        </w:rPr>
        <w:t>固原市人民政府关于印发</w:t>
      </w:r>
    </w:p>
    <w:p>
      <w:pPr>
        <w:ind w:left="640"/>
        <w:spacing w:line="187"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12"/>
        </w:rPr>
        <w:t>市长副市长党组成员等工作分工的通知</w:t>
      </w:r>
    </w:p>
    <w:p>
      <w:pPr>
        <w:spacing w:line="338" w:lineRule="auto"/>
        <w:rPr>
          <w:rFonts w:ascii="Arial"/>
          <w:sz w:val="21"/>
        </w:rPr>
      </w:pPr>
      <w:r/>
    </w:p>
    <w:p>
      <w:pPr>
        <w:pStyle w:val="BodyText"/>
        <w:ind w:left="6959"/>
        <w:spacing w:before="65" w:line="279" w:lineRule="exact"/>
        <w:rPr/>
      </w:pPr>
      <w:r>
        <w:rPr>
          <w:spacing w:val="4"/>
          <w:position w:val="1"/>
        </w:rPr>
        <w:t>固政发〔2021〕7</w:t>
      </w:r>
      <w:r>
        <w:rPr>
          <w:spacing w:val="-39"/>
          <w:position w:val="1"/>
        </w:rPr>
        <w:t xml:space="preserve"> </w:t>
      </w:r>
      <w:r>
        <w:rPr>
          <w:spacing w:val="4"/>
          <w:position w:val="1"/>
        </w:rPr>
        <w:t>号</w:t>
      </w:r>
    </w:p>
    <w:p>
      <w:pPr>
        <w:spacing w:before="176"/>
        <w:rPr/>
      </w:pPr>
      <w:r/>
    </w:p>
    <w:p>
      <w:pPr>
        <w:sectPr>
          <w:headerReference w:type="default" r:id="rId11"/>
          <w:footerReference w:type="default" r:id="rId12"/>
          <w:pgSz w:w="11906" w:h="16839"/>
          <w:pgMar w:top="1845" w:right="1508" w:bottom="1661" w:left="1551" w:header="1428" w:footer="1289" w:gutter="0"/>
          <w:cols w:equalWidth="0" w:num="1">
            <w:col w:w="8846" w:space="0"/>
          </w:cols>
        </w:sectPr>
        <w:rPr/>
      </w:pPr>
    </w:p>
    <w:p>
      <w:pPr>
        <w:pStyle w:val="BodyText"/>
        <w:ind w:left="41" w:right="331" w:hanging="1"/>
        <w:spacing w:before="47" w:line="332" w:lineRule="auto"/>
        <w:rPr/>
      </w:pPr>
      <w:r>
        <w:rPr>
          <w:spacing w:val="4"/>
        </w:rPr>
        <w:t>各县（</w:t>
      </w:r>
      <w:r>
        <w:rPr>
          <w:spacing w:val="-36"/>
        </w:rPr>
        <w:t xml:space="preserve"> </w:t>
      </w:r>
      <w:r>
        <w:rPr>
          <w:spacing w:val="4"/>
        </w:rPr>
        <w:t>区）人民政府，市政府各部门、派出机</w:t>
      </w:r>
      <w:r>
        <w:rPr>
          <w:spacing w:val="7"/>
        </w:rPr>
        <w:t>构、事业单位：</w:t>
      </w:r>
    </w:p>
    <w:p>
      <w:pPr>
        <w:pStyle w:val="BodyText"/>
        <w:ind w:left="43" w:right="331" w:firstLine="436"/>
        <w:spacing w:before="6" w:line="332" w:lineRule="auto"/>
        <w:rPr/>
      </w:pPr>
      <w:r>
        <w:rPr>
          <w:spacing w:val="5"/>
        </w:rPr>
        <w:t>因人事变动和工作需要，现就市长、副市</w:t>
      </w:r>
      <w:r>
        <w:rPr>
          <w:spacing w:val="9"/>
        </w:rPr>
        <w:t>长和党组成员等工作分工事宜通知如下：</w:t>
      </w:r>
    </w:p>
    <w:p>
      <w:pPr>
        <w:pStyle w:val="BodyText"/>
        <w:ind w:left="43" w:right="331" w:firstLine="425"/>
        <w:spacing w:before="1" w:line="332" w:lineRule="auto"/>
        <w:rPr/>
      </w:pPr>
      <w:r>
        <w:rPr>
          <w:spacing w:val="5"/>
        </w:rPr>
        <w:t>马汉成  市人民政府党组书记、市长  领</w:t>
      </w:r>
      <w:r>
        <w:rPr>
          <w:spacing w:val="8"/>
        </w:rPr>
        <w:t>导市政府全面工作，主管审计工作。</w:t>
      </w:r>
    </w:p>
    <w:p>
      <w:pPr>
        <w:pStyle w:val="BodyText"/>
        <w:ind w:left="461"/>
        <w:spacing w:line="220" w:lineRule="auto"/>
        <w:rPr/>
      </w:pPr>
      <w:r>
        <w:rPr>
          <w:spacing w:val="7"/>
        </w:rPr>
        <w:t>分管市审计局。</w:t>
      </w:r>
    </w:p>
    <w:p>
      <w:pPr>
        <w:pStyle w:val="BodyText"/>
        <w:ind w:left="40" w:right="250" w:firstLine="420"/>
        <w:spacing w:before="122" w:line="332" w:lineRule="auto"/>
        <w:rPr/>
      </w:pPr>
      <w:r>
        <w:rPr/>
        <w:t>联系市人大常委会、市政协、监察委员会、</w:t>
      </w:r>
      <w:r>
        <w:rPr>
          <w:spacing w:val="7"/>
        </w:rPr>
        <w:t>各民主党派。</w:t>
      </w:r>
    </w:p>
    <w:p>
      <w:pPr>
        <w:pStyle w:val="BodyText"/>
        <w:ind w:left="39" w:right="328" w:firstLine="420"/>
        <w:spacing w:before="4" w:line="331" w:lineRule="auto"/>
        <w:jc w:val="both"/>
        <w:rPr/>
      </w:pPr>
      <w:r>
        <w:rPr>
          <w:spacing w:val="6"/>
        </w:rPr>
        <w:t>李志达  市人民政府党组副书记、常务副</w:t>
      </w:r>
      <w:r>
        <w:rPr>
          <w:spacing w:val="7"/>
        </w:rPr>
        <w:t>市长  负责市政府常务工作，协助市长协调推</w:t>
      </w:r>
      <w:r>
        <w:rPr>
          <w:spacing w:val="7"/>
        </w:rPr>
        <w:t>进各副市长分管工作，分管政府行政事务、外</w:t>
      </w:r>
      <w:r>
        <w:rPr>
          <w:spacing w:val="7"/>
        </w:rPr>
        <w:t>事、地方志、发展改革、营商环境、财政、统</w:t>
      </w:r>
      <w:r>
        <w:rPr>
          <w:spacing w:val="7"/>
        </w:rPr>
        <w:t>计、应急管理、金融、机关事务、公共资源交</w:t>
      </w:r>
      <w:r>
        <w:rPr>
          <w:spacing w:val="9"/>
        </w:rPr>
        <w:t>易方面的工作，协管审计工作。</w:t>
      </w:r>
    </w:p>
    <w:p>
      <w:pPr>
        <w:pStyle w:val="BodyText"/>
        <w:ind w:left="40" w:right="250" w:firstLine="420"/>
        <w:spacing w:before="1" w:line="327" w:lineRule="auto"/>
        <w:jc w:val="both"/>
        <w:rPr/>
      </w:pPr>
      <w:r>
        <w:rPr/>
        <w:t>分管市人民政府办公室（督查室、外事办、</w:t>
      </w:r>
      <w:r>
        <w:rPr>
          <w:spacing w:val="7"/>
        </w:rPr>
        <w:t>政务公开办）、发展和改革委员会（营商环境</w:t>
      </w:r>
      <w:r>
        <w:rPr>
          <w:spacing w:val="1"/>
        </w:rPr>
        <w:t>建设局）、财政局、应急管理局、金融工作局、</w:t>
      </w:r>
      <w:r>
        <w:rPr>
          <w:spacing w:val="1"/>
        </w:rPr>
        <w:t>统计局、机关事务管理局、公共资源交易中心、</w:t>
      </w:r>
      <w:r>
        <w:rPr>
          <w:spacing w:val="9"/>
        </w:rPr>
        <w:t>固原行政学院、固原经济开发区管理委员会。</w:t>
      </w:r>
    </w:p>
    <w:p>
      <w:pPr>
        <w:pStyle w:val="BodyText"/>
        <w:ind w:left="39" w:right="250" w:firstLine="421"/>
        <w:spacing w:before="34" w:line="332" w:lineRule="auto"/>
        <w:jc w:val="both"/>
        <w:rPr/>
      </w:pPr>
      <w:r>
        <w:rPr>
          <w:spacing w:val="6"/>
        </w:rPr>
        <w:t>联系市总工会、团市委、税务局、国家统</w:t>
      </w:r>
      <w:r>
        <w:rPr>
          <w:spacing w:val="7"/>
        </w:rPr>
        <w:t>计局固原调查队、人行固原市中心支行、固原</w:t>
      </w:r>
      <w:r>
        <w:rPr>
          <w:spacing w:val="1"/>
        </w:rPr>
        <w:t>银保监分局、固原市各类金融机构、人保财险、</w:t>
      </w:r>
      <w:r>
        <w:rPr>
          <w:spacing w:val="9"/>
        </w:rPr>
        <w:t>人寿保险固原分公司等各类保险机构。</w:t>
      </w:r>
    </w:p>
    <w:p>
      <w:pPr>
        <w:pStyle w:val="BodyText"/>
        <w:ind w:left="40" w:right="331" w:firstLine="428"/>
        <w:spacing w:before="2" w:line="283" w:lineRule="auto"/>
        <w:jc w:val="both"/>
        <w:rPr/>
      </w:pPr>
      <w:r>
        <w:rPr>
          <w:spacing w:val="17"/>
        </w:rPr>
        <w:t>马煜洲  市人民政府党组成员、副市长</w:t>
      </w:r>
      <w:r>
        <w:rPr>
          <w:spacing w:val="7"/>
        </w:rPr>
        <w:t>分管人力资源、社会保障、市场监管、知识产</w:t>
      </w:r>
      <w:r>
        <w:rPr>
          <w:spacing w:val="7"/>
        </w:rPr>
        <w:t>权方面的工作，协管法治政府建设、招商引资</w:t>
      </w:r>
    </w:p>
    <w:p>
      <w:pPr>
        <w:spacing w:line="14" w:lineRule="auto"/>
        <w:rPr>
          <w:rFonts w:ascii="Arial"/>
          <w:sz w:val="2"/>
        </w:rPr>
      </w:pPr>
      <w:r>
        <w:rPr>
          <w:rFonts w:ascii="Arial" w:hAnsi="Arial" w:eastAsia="Arial" w:cs="Arial"/>
          <w:sz w:val="2"/>
          <w:szCs w:val="2"/>
        </w:rPr>
        <w:br w:type="column"/>
      </w:r>
    </w:p>
    <w:p>
      <w:pPr>
        <w:pStyle w:val="BodyText"/>
        <w:ind w:left="2" w:right="82" w:hanging="2"/>
        <w:spacing w:before="50" w:line="332" w:lineRule="auto"/>
        <w:rPr/>
      </w:pPr>
      <w:r>
        <w:rPr>
          <w:spacing w:val="7"/>
        </w:rPr>
        <w:t>工作，主抓中国商用飞机有限责任公司帮扶西</w:t>
      </w:r>
      <w:r>
        <w:rPr>
          <w:spacing w:val="6"/>
        </w:rPr>
        <w:t>吉县工作。</w:t>
      </w:r>
    </w:p>
    <w:p>
      <w:pPr>
        <w:pStyle w:val="BodyText"/>
        <w:ind w:left="2" w:firstLine="418"/>
        <w:spacing w:before="1" w:line="332" w:lineRule="auto"/>
        <w:rPr/>
      </w:pPr>
      <w:r>
        <w:rPr>
          <w:spacing w:val="6"/>
        </w:rPr>
        <w:t>分管市人力资源和社会保障局、市场监督</w:t>
      </w:r>
      <w:r>
        <w:rPr>
          <w:spacing w:val="-8"/>
        </w:rPr>
        <w:t>管理局（知识产权局）、社会保险事业管理中心。</w:t>
      </w:r>
    </w:p>
    <w:p>
      <w:pPr>
        <w:pStyle w:val="BodyText"/>
        <w:ind w:right="1" w:firstLine="419"/>
        <w:spacing w:line="332" w:lineRule="auto"/>
        <w:rPr/>
      </w:pPr>
      <w:r>
        <w:rPr>
          <w:spacing w:val="18"/>
        </w:rPr>
        <w:t>周恭伟  市人民政府党组成员、副市长</w:t>
      </w:r>
      <w:r>
        <w:rPr>
          <w:spacing w:val="-2"/>
        </w:rPr>
        <w:t>分管卫生健康、医疗保障方面的工作，协助常务</w:t>
      </w:r>
      <w:r>
        <w:rPr>
          <w:spacing w:val="-8"/>
        </w:rPr>
        <w:t>副市长抓好发展改革、</w:t>
      </w:r>
      <w:r>
        <w:rPr>
          <w:rFonts w:ascii="FangSong" w:hAnsi="FangSong" w:eastAsia="FangSong" w:cs="FangSong"/>
          <w:spacing w:val="-8"/>
        </w:rPr>
        <w:t>“</w:t>
      </w:r>
      <w:r>
        <w:rPr>
          <w:spacing w:val="-8"/>
        </w:rPr>
        <w:t>十四五</w:t>
      </w:r>
      <w:r>
        <w:rPr>
          <w:rFonts w:ascii="FangSong" w:hAnsi="FangSong" w:eastAsia="FangSong" w:cs="FangSong"/>
          <w:spacing w:val="-8"/>
        </w:rPr>
        <w:t>”</w:t>
      </w:r>
      <w:r>
        <w:rPr>
          <w:spacing w:val="-8"/>
        </w:rPr>
        <w:t>规划编制工作。</w:t>
      </w:r>
    </w:p>
    <w:p>
      <w:pPr>
        <w:pStyle w:val="BodyText"/>
        <w:ind w:left="2" w:right="82" w:firstLine="418"/>
        <w:spacing w:before="1" w:line="332" w:lineRule="auto"/>
        <w:rPr/>
      </w:pPr>
      <w:r>
        <w:rPr>
          <w:spacing w:val="6"/>
        </w:rPr>
        <w:t>分管市卫生健康委员会、医疗保障局，协</w:t>
      </w:r>
      <w:r>
        <w:rPr>
          <w:spacing w:val="8"/>
        </w:rPr>
        <w:t>管市发展和改革委员会。</w:t>
      </w:r>
    </w:p>
    <w:p>
      <w:pPr>
        <w:pStyle w:val="BodyText"/>
        <w:ind w:left="420"/>
        <w:spacing w:before="1" w:line="219" w:lineRule="auto"/>
        <w:rPr/>
      </w:pPr>
      <w:r>
        <w:rPr>
          <w:spacing w:val="8"/>
        </w:rPr>
        <w:t>联系市妇联、残联、红十字会。</w:t>
      </w:r>
    </w:p>
    <w:p>
      <w:pPr>
        <w:pStyle w:val="BodyText"/>
        <w:ind w:right="59" w:firstLine="423"/>
        <w:spacing w:before="124" w:line="331" w:lineRule="auto"/>
        <w:rPr/>
      </w:pPr>
      <w:r>
        <w:rPr>
          <w:spacing w:val="7"/>
        </w:rPr>
        <w:t>王新军  市人民政府副市长  分管教育、</w:t>
      </w:r>
      <w:r>
        <w:rPr>
          <w:spacing w:val="7"/>
        </w:rPr>
        <w:t>体育、生态环境保护、水利、国有资产监管方</w:t>
      </w:r>
      <w:r>
        <w:rPr>
          <w:spacing w:val="6"/>
        </w:rPr>
        <w:t>面的工作。</w:t>
      </w:r>
    </w:p>
    <w:p>
      <w:pPr>
        <w:pStyle w:val="BodyText"/>
        <w:ind w:right="1" w:firstLine="420"/>
        <w:spacing w:before="1" w:line="333" w:lineRule="auto"/>
        <w:jc w:val="both"/>
        <w:rPr/>
      </w:pPr>
      <w:r>
        <w:rPr/>
        <w:t>分管市教育体育局、生态环境局、水务局、</w:t>
      </w:r>
      <w:r>
        <w:rPr>
          <w:spacing w:val="18"/>
        </w:rPr>
        <w:t>国有资产监督管理委员会、九龙城市建设集</w:t>
      </w:r>
      <w:r>
        <w:rPr>
          <w:spacing w:val="7"/>
        </w:rPr>
        <w:t>团、六盘山产业扶贫开发投融资集团、六盘山</w:t>
      </w:r>
      <w:r>
        <w:rPr>
          <w:spacing w:val="6"/>
        </w:rPr>
        <w:t>交通集团。</w:t>
      </w:r>
    </w:p>
    <w:p>
      <w:pPr>
        <w:pStyle w:val="BodyText"/>
        <w:ind w:right="24"/>
        <w:spacing w:before="1" w:line="217" w:lineRule="auto"/>
        <w:jc w:val="right"/>
        <w:rPr/>
      </w:pPr>
      <w:r>
        <w:rPr/>
        <w:t>联系宁夏师范学院、六盘山水务有限公司。</w:t>
      </w:r>
    </w:p>
    <w:p>
      <w:pPr>
        <w:pStyle w:val="BodyText"/>
        <w:ind w:right="59" w:firstLine="419"/>
        <w:spacing w:before="123" w:line="331" w:lineRule="auto"/>
        <w:rPr/>
      </w:pPr>
      <w:r>
        <w:rPr>
          <w:spacing w:val="16"/>
        </w:rPr>
        <w:t>吴  璞</w:t>
      </w:r>
      <w:r>
        <w:rPr>
          <w:spacing w:val="26"/>
        </w:rPr>
        <w:t xml:space="preserve">  </w:t>
      </w:r>
      <w:r>
        <w:rPr>
          <w:spacing w:val="16"/>
        </w:rPr>
        <w:t>市人民政府党组成员、副市长</w:t>
      </w:r>
      <w:r>
        <w:rPr>
          <w:spacing w:val="8"/>
        </w:rPr>
        <w:t>分管自然资源、城乡建设、城市管理、人防、</w:t>
      </w:r>
      <w:r>
        <w:rPr>
          <w:spacing w:val="8"/>
        </w:rPr>
        <w:t>地震方面的工作，协管信访工作。</w:t>
      </w:r>
    </w:p>
    <w:p>
      <w:pPr>
        <w:pStyle w:val="BodyText"/>
        <w:ind w:right="59" w:firstLine="420"/>
        <w:spacing w:line="327" w:lineRule="auto"/>
        <w:jc w:val="both"/>
        <w:rPr/>
      </w:pPr>
      <w:r>
        <w:rPr>
          <w:spacing w:val="6"/>
        </w:rPr>
        <w:t>分管市自然资源局（规划管理委员会办公</w:t>
      </w:r>
      <w:r>
        <w:rPr>
          <w:spacing w:val="7"/>
        </w:rPr>
        <w:t>室、林业和草原局）、住房和城乡建设局、城</w:t>
      </w:r>
      <w:r>
        <w:rPr>
          <w:spacing w:val="7"/>
        </w:rPr>
        <w:t>市管理局（城市管理综合执法监督局）、人民</w:t>
      </w:r>
      <w:r>
        <w:rPr>
          <w:spacing w:val="8"/>
        </w:rPr>
        <w:t>防空办公室、地震局、住房公积金管理中心、</w:t>
      </w:r>
      <w:r>
        <w:rPr>
          <w:spacing w:val="9"/>
        </w:rPr>
        <w:t>六盘山林业局、林业草原发展中心。</w:t>
      </w:r>
    </w:p>
    <w:p>
      <w:pPr>
        <w:pStyle w:val="BodyText"/>
        <w:ind w:left="420"/>
        <w:spacing w:before="32" w:line="188" w:lineRule="auto"/>
        <w:rPr/>
      </w:pPr>
      <w:r>
        <w:rPr>
          <w:spacing w:val="8"/>
        </w:rPr>
        <w:t>联系国网固原供电公司。</w:t>
      </w:r>
    </w:p>
    <w:p>
      <w:pPr>
        <w:spacing w:line="188" w:lineRule="auto"/>
        <w:sectPr>
          <w:type w:val="continuous"/>
          <w:pgSz w:w="11906" w:h="16839"/>
          <w:pgMar w:top="1845" w:right="1508" w:bottom="1661" w:left="1551" w:header="1428" w:footer="1289" w:gutter="0"/>
          <w:cols w:equalWidth="0" w:num="2">
            <w:col w:w="4518" w:space="100"/>
            <w:col w:w="4228" w:space="0"/>
          </w:cols>
        </w:sectPr>
        <w:rPr/>
      </w:pPr>
    </w:p>
    <w:p>
      <w:pPr>
        <w:spacing w:before="71"/>
        <w:rPr/>
      </w:pPr>
      <w:r/>
    </w:p>
    <w:p>
      <w:pPr>
        <w:sectPr>
          <w:headerReference w:type="default" r:id="rId13"/>
          <w:footerReference w:type="default" r:id="rId14"/>
          <w:pgSz w:w="11906" w:h="16839"/>
          <w:pgMar w:top="1845" w:right="1472" w:bottom="1672" w:left="1560" w:header="1428" w:footer="1277" w:gutter="0"/>
          <w:cols w:equalWidth="0" w:num="1">
            <w:col w:w="8874" w:space="0"/>
          </w:cols>
        </w:sectPr>
        <w:rPr/>
      </w:pPr>
    </w:p>
    <w:p>
      <w:pPr>
        <w:pStyle w:val="BodyText"/>
        <w:ind w:left="33" w:right="307" w:firstLine="420"/>
        <w:spacing w:before="40" w:line="331" w:lineRule="auto"/>
        <w:jc w:val="both"/>
        <w:rPr/>
      </w:pPr>
      <w:r>
        <w:rPr>
          <w:spacing w:val="18"/>
        </w:rPr>
        <w:t>任立新  市人民政府党组成员、副市长</w:t>
      </w:r>
      <w:r>
        <w:rPr>
          <w:spacing w:val="8"/>
        </w:rPr>
        <w:t>分管科技、工业、信息化、审批服务、交通、</w:t>
      </w:r>
      <w:r>
        <w:rPr>
          <w:spacing w:val="8"/>
        </w:rPr>
        <w:t>商务、招商引资方面的工作。</w:t>
      </w:r>
    </w:p>
    <w:p>
      <w:pPr>
        <w:pStyle w:val="BodyText"/>
        <w:ind w:left="32" w:right="310" w:firstLine="420"/>
        <w:spacing w:before="2" w:line="319" w:lineRule="auto"/>
        <w:jc w:val="both"/>
        <w:rPr/>
      </w:pPr>
      <w:r>
        <w:rPr>
          <w:spacing w:val="3"/>
        </w:rPr>
        <w:t>分管市科学技术局、工业和信息化局（</w:t>
      </w:r>
      <w:r>
        <w:rPr>
          <w:spacing w:val="-31"/>
        </w:rPr>
        <w:t xml:space="preserve"> </w:t>
      </w:r>
      <w:r>
        <w:rPr>
          <w:spacing w:val="3"/>
        </w:rPr>
        <w:t>中</w:t>
      </w:r>
      <w:r>
        <w:rPr>
          <w:spacing w:val="7"/>
        </w:rPr>
        <w:t>小企业发展局）、交通运输局、商务和投资促</w:t>
      </w:r>
      <w:r>
        <w:rPr>
          <w:spacing w:val="8"/>
        </w:rPr>
        <w:t>进局、审批服务管理局、投资促进服务中心。</w:t>
      </w:r>
    </w:p>
    <w:p>
      <w:pPr>
        <w:pStyle w:val="BodyText"/>
        <w:ind w:left="32" w:right="249" w:firstLine="420"/>
        <w:spacing w:before="44" w:line="332" w:lineRule="auto"/>
        <w:jc w:val="both"/>
        <w:rPr/>
      </w:pPr>
      <w:r>
        <w:rPr>
          <w:spacing w:val="6"/>
        </w:rPr>
        <w:t>联系市工商业联合会、科协、伊协、宁夏</w:t>
      </w:r>
      <w:r>
        <w:rPr>
          <w:spacing w:val="7"/>
        </w:rPr>
        <w:t>交通运输综合执法监督局固原分局、宁夏公路</w:t>
      </w:r>
      <w:r>
        <w:rPr>
          <w:spacing w:val="10"/>
        </w:rPr>
        <w:t>管理中心固原分中心、中国电信、中国移动、</w:t>
      </w:r>
      <w:r>
        <w:rPr>
          <w:spacing w:val="7"/>
        </w:rPr>
        <w:t>中国联通、中国铁塔固原分公司，中国邮政集</w:t>
      </w:r>
      <w:r>
        <w:rPr>
          <w:spacing w:val="1"/>
        </w:rPr>
        <w:t>团公司固原分公司、邮政管理局、烟草专卖局、</w:t>
      </w:r>
      <w:r>
        <w:rPr>
          <w:spacing w:val="7"/>
        </w:rPr>
        <w:t>中盐宁夏商业集团公司固原分公司，中铝宁夏</w:t>
      </w:r>
      <w:r>
        <w:rPr>
          <w:spacing w:val="7"/>
        </w:rPr>
        <w:t>能源集团六盘山热电厂、王洼煤业公司、中石</w:t>
      </w:r>
      <w:r>
        <w:rPr>
          <w:spacing w:val="7"/>
        </w:rPr>
        <w:t>油、中石化固原销售分公司，兰州铁路局固原</w:t>
      </w:r>
      <w:r>
        <w:rPr>
          <w:spacing w:val="7"/>
        </w:rPr>
        <w:t>车务段、西部机场集团宁夏机场有限公司固原</w:t>
      </w:r>
      <w:r>
        <w:rPr/>
        <w:t>分公司、宁夏天豹固原汽车运输有限责任公司。</w:t>
      </w:r>
    </w:p>
    <w:p>
      <w:pPr>
        <w:pStyle w:val="BodyText"/>
        <w:ind w:left="33" w:right="252" w:firstLine="423"/>
        <w:spacing w:before="5" w:line="331" w:lineRule="auto"/>
        <w:rPr/>
      </w:pPr>
      <w:r>
        <w:rPr>
          <w:spacing w:val="16"/>
        </w:rPr>
        <w:t>童  东</w:t>
      </w:r>
      <w:r>
        <w:rPr>
          <w:spacing w:val="24"/>
        </w:rPr>
        <w:t xml:space="preserve">  </w:t>
      </w:r>
      <w:r>
        <w:rPr>
          <w:spacing w:val="16"/>
        </w:rPr>
        <w:t>市人民政府党组成员、副市长</w:t>
      </w:r>
      <w:r>
        <w:rPr>
          <w:spacing w:val="1"/>
        </w:rPr>
        <w:t>分管公安、司法、综合执法、信访方面的工作。</w:t>
      </w:r>
    </w:p>
    <w:p>
      <w:pPr>
        <w:pStyle w:val="BodyText"/>
        <w:ind w:left="452" w:right="248" w:hanging="13"/>
        <w:spacing w:before="2" w:line="332" w:lineRule="auto"/>
        <w:rPr/>
      </w:pPr>
      <w:r>
        <w:rPr>
          <w:spacing w:val="-9"/>
        </w:rPr>
        <w:t>主持市公安局工作，分管市司法局、信访局。</w:t>
      </w:r>
      <w:r>
        <w:rPr>
          <w:spacing w:val="8"/>
        </w:rPr>
        <w:t>联系市国家安全局。</w:t>
      </w:r>
    </w:p>
    <w:p>
      <w:pPr>
        <w:pStyle w:val="BodyText"/>
        <w:ind w:left="32" w:right="330" w:firstLine="426"/>
        <w:spacing w:before="3" w:line="333" w:lineRule="auto"/>
        <w:jc w:val="both"/>
        <w:rPr/>
      </w:pPr>
      <w:r>
        <w:rPr>
          <w:spacing w:val="17"/>
        </w:rPr>
        <w:t>张立君  市人民政府党组成员、副市长</w:t>
      </w:r>
      <w:r>
        <w:rPr>
          <w:spacing w:val="7"/>
        </w:rPr>
        <w:t>分管农业农村、乡村振兴、扶贫开发、闽宁协</w:t>
      </w:r>
      <w:r>
        <w:rPr>
          <w:spacing w:val="7"/>
        </w:rPr>
        <w:t>作、民政、退役军人事务、粮食物资储备方面</w:t>
      </w:r>
    </w:p>
    <w:p>
      <w:pPr>
        <w:spacing w:line="29" w:lineRule="exact"/>
        <w:rPr/>
      </w:pPr>
      <w:r/>
    </w:p>
    <w:p>
      <w:pPr>
        <w:spacing w:line="14" w:lineRule="auto"/>
        <w:rPr>
          <w:rFonts w:ascii="Arial"/>
          <w:sz w:val="2"/>
        </w:rPr>
      </w:pPr>
      <w:r>
        <w:rPr>
          <w:rFonts w:ascii="Arial" w:hAnsi="Arial" w:eastAsia="Arial" w:cs="Arial"/>
          <w:sz w:val="2"/>
          <w:szCs w:val="2"/>
        </w:rPr>
        <w:br w:type="column"/>
      </w:r>
    </w:p>
    <w:p>
      <w:pPr>
        <w:pStyle w:val="BodyText"/>
        <w:ind w:left="17"/>
        <w:spacing w:before="40" w:line="220" w:lineRule="auto"/>
        <w:rPr/>
      </w:pPr>
      <w:r>
        <w:rPr>
          <w:spacing w:val="1"/>
        </w:rPr>
        <w:t>的工作。</w:t>
      </w:r>
    </w:p>
    <w:p>
      <w:pPr>
        <w:pStyle w:val="BodyText"/>
        <w:ind w:right="94" w:firstLine="421"/>
        <w:spacing w:before="120" w:line="333" w:lineRule="auto"/>
        <w:jc w:val="both"/>
        <w:rPr/>
      </w:pPr>
      <w:r>
        <w:rPr>
          <w:spacing w:val="6"/>
        </w:rPr>
        <w:t>分管市民政局、农业农村局、退役军人事</w:t>
      </w:r>
      <w:r>
        <w:rPr>
          <w:spacing w:val="8"/>
        </w:rPr>
        <w:t>务局、扶贫开发办公室、粮食和物资储备局、</w:t>
      </w:r>
      <w:r>
        <w:rPr>
          <w:spacing w:val="6"/>
        </w:rPr>
        <w:t>供销社。</w:t>
      </w:r>
    </w:p>
    <w:p>
      <w:pPr>
        <w:pStyle w:val="BodyText"/>
        <w:ind w:left="1" w:right="117" w:firstLine="419"/>
        <w:spacing w:line="332" w:lineRule="auto"/>
        <w:jc w:val="both"/>
        <w:rPr/>
      </w:pPr>
      <w:r>
        <w:rPr>
          <w:spacing w:val="6"/>
        </w:rPr>
        <w:t>联系固原军分区、驻固部队、市中级人民</w:t>
      </w:r>
      <w:r>
        <w:rPr>
          <w:spacing w:val="7"/>
        </w:rPr>
        <w:t>法院、人民检察院、气象局、宁夏农林科学院</w:t>
      </w:r>
      <w:r>
        <w:rPr>
          <w:spacing w:val="6"/>
        </w:rPr>
        <w:t>固原分院。</w:t>
      </w:r>
    </w:p>
    <w:p>
      <w:pPr>
        <w:pStyle w:val="BodyText"/>
        <w:ind w:left="1" w:right="117" w:firstLine="417"/>
        <w:spacing w:before="2" w:line="330" w:lineRule="auto"/>
        <w:jc w:val="both"/>
        <w:rPr/>
      </w:pPr>
      <w:r>
        <w:rPr>
          <w:spacing w:val="6"/>
        </w:rPr>
        <w:t>何永吉  市人民政府党组成员、宁夏六盘</w:t>
      </w:r>
      <w:r>
        <w:rPr>
          <w:spacing w:val="18"/>
        </w:rPr>
        <w:t>山旅游扶贫试验区开发建设管委会专职副主</w:t>
      </w:r>
      <w:r>
        <w:rPr>
          <w:spacing w:val="8"/>
        </w:rPr>
        <w:t>任  分管文化旅游、文物保护方面的工作。</w:t>
      </w:r>
    </w:p>
    <w:p>
      <w:pPr>
        <w:pStyle w:val="BodyText"/>
        <w:ind w:left="421"/>
        <w:spacing w:line="277" w:lineRule="exact"/>
        <w:rPr/>
      </w:pPr>
      <w:r>
        <w:rPr>
          <w:spacing w:val="3"/>
          <w:position w:val="1"/>
        </w:rPr>
        <w:t>分管市文化旅游广电局（文物局）。</w:t>
      </w:r>
    </w:p>
    <w:p>
      <w:pPr>
        <w:pStyle w:val="BodyText"/>
        <w:ind w:left="40" w:right="36" w:firstLine="380"/>
        <w:spacing w:before="85" w:line="333" w:lineRule="auto"/>
        <w:rPr/>
      </w:pPr>
      <w:r>
        <w:rPr/>
        <w:t>联系市文联、新闻传媒中心、固原博物馆、</w:t>
      </w:r>
      <w:r>
        <w:rPr>
          <w:spacing w:val="7"/>
        </w:rPr>
        <w:t>自治区驻固新闻单位、宁夏旅游投资集团。</w:t>
      </w:r>
    </w:p>
    <w:p>
      <w:pPr>
        <w:pStyle w:val="BodyText"/>
        <w:ind w:right="117" w:firstLine="426"/>
        <w:spacing w:before="1" w:line="332" w:lineRule="auto"/>
        <w:jc w:val="both"/>
        <w:rPr/>
      </w:pPr>
      <w:r>
        <w:rPr>
          <w:spacing w:val="17"/>
        </w:rPr>
        <w:t>张汉斌同志  协助李志达同志抓好金融</w:t>
      </w:r>
      <w:r>
        <w:rPr>
          <w:spacing w:val="15"/>
        </w:rPr>
        <w:t>工作</w:t>
      </w:r>
      <w:r>
        <w:rPr>
          <w:spacing w:val="-40"/>
        </w:rPr>
        <w:t xml:space="preserve"> </w:t>
      </w:r>
      <w:r>
        <w:rPr>
          <w:spacing w:val="15"/>
        </w:rPr>
        <w:t>，协助王新军同志抓好国有资产监管工</w:t>
      </w:r>
      <w:r>
        <w:rPr>
          <w:spacing w:val="9"/>
        </w:rPr>
        <w:t>作，协助任立新同志抓好招商引资工作。</w:t>
      </w:r>
    </w:p>
    <w:p>
      <w:pPr>
        <w:pStyle w:val="BodyText"/>
        <w:ind w:right="7" w:firstLine="421"/>
        <w:spacing w:before="2" w:line="324" w:lineRule="auto"/>
        <w:rPr/>
      </w:pPr>
      <w:r>
        <w:rPr>
          <w:spacing w:val="6"/>
        </w:rPr>
        <w:t>根据以上工作分工调整，对市人民政府成</w:t>
      </w:r>
      <w:r>
        <w:rPr>
          <w:spacing w:val="2"/>
        </w:rPr>
        <w:t>立的有关议事协调机构组长（主任、总召集人）</w:t>
      </w:r>
      <w:r>
        <w:rPr>
          <w:spacing w:val="8"/>
        </w:rPr>
        <w:t>进行同步调整，不再另行发文。</w:t>
      </w:r>
    </w:p>
    <w:p>
      <w:pPr>
        <w:spacing w:line="317" w:lineRule="auto"/>
        <w:rPr>
          <w:rFonts w:ascii="Arial"/>
          <w:sz w:val="21"/>
        </w:rPr>
      </w:pPr>
      <w:r/>
    </w:p>
    <w:p>
      <w:pPr>
        <w:pStyle w:val="BodyText"/>
        <w:ind w:left="2702"/>
        <w:spacing w:before="66" w:line="218" w:lineRule="auto"/>
        <w:rPr/>
      </w:pPr>
      <w:r>
        <w:rPr>
          <w:spacing w:val="6"/>
        </w:rPr>
        <w:t>固原市人民政府</w:t>
      </w:r>
    </w:p>
    <w:p>
      <w:pPr>
        <w:pStyle w:val="BodyText"/>
        <w:spacing w:before="125" w:line="218" w:lineRule="auto"/>
        <w:jc w:val="right"/>
        <w:rPr/>
      </w:pPr>
      <w:r>
        <w:rPr>
          <w:rFonts w:ascii="Times New Roman" w:hAnsi="Times New Roman" w:eastAsia="Times New Roman" w:cs="Times New Roman"/>
          <w:spacing w:val="-3"/>
        </w:rPr>
        <w:t>2021 </w:t>
      </w:r>
      <w:r>
        <w:rPr>
          <w:spacing w:val="-3"/>
        </w:rPr>
        <w:t>年</w:t>
      </w:r>
      <w:r>
        <w:rPr>
          <w:spacing w:val="-30"/>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9"/>
        </w:rPr>
        <w:t xml:space="preserve"> </w:t>
      </w:r>
      <w:r>
        <w:rPr>
          <w:spacing w:val="-3"/>
        </w:rPr>
        <w:t>月</w:t>
      </w:r>
      <w:r>
        <w:rPr>
          <w:spacing w:val="-21"/>
        </w:rPr>
        <w:t xml:space="preserve"> </w:t>
      </w:r>
      <w:r>
        <w:rPr>
          <w:rFonts w:ascii="Times New Roman" w:hAnsi="Times New Roman" w:eastAsia="Times New Roman" w:cs="Times New Roman"/>
          <w:spacing w:val="-3"/>
        </w:rPr>
        <w:t>10  </w:t>
      </w:r>
      <w:r>
        <w:rPr>
          <w:spacing w:val="-3"/>
        </w:rPr>
        <w:t>日</w:t>
      </w:r>
    </w:p>
    <w:p>
      <w:pPr>
        <w:pStyle w:val="BodyText"/>
        <w:ind w:left="412"/>
        <w:spacing w:before="118" w:line="277" w:lineRule="exact"/>
        <w:rPr/>
      </w:pPr>
      <w:r>
        <w:rPr>
          <w:spacing w:val="10"/>
          <w:position w:val="1"/>
        </w:rPr>
        <w:t>（此件公开发布）</w:t>
      </w:r>
    </w:p>
    <w:p>
      <w:pPr>
        <w:spacing w:line="277" w:lineRule="exact"/>
        <w:sectPr>
          <w:type w:val="continuous"/>
          <w:pgSz w:w="11906" w:h="16839"/>
          <w:pgMar w:top="1845" w:right="1472" w:bottom="1672" w:left="1560" w:header="1428" w:footer="1277" w:gutter="0"/>
          <w:cols w:equalWidth="0" w:num="2">
            <w:col w:w="4509" w:space="100"/>
            <w:col w:w="4265" w:space="0"/>
          </w:cols>
        </w:sectPr>
        <w:rPr/>
      </w:pPr>
    </w:p>
    <w:p>
      <w:pPr>
        <w:ind w:left="2882"/>
        <w:spacing w:before="343" w:line="183"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5"/>
        </w:rPr>
        <w:t>固原市人民政府</w:t>
      </w:r>
    </w:p>
    <w:p>
      <w:pPr>
        <w:ind w:left="1428"/>
        <w:spacing w:before="8" w:line="185"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6"/>
        </w:rPr>
        <w:t>关于下达固原市本级 </w:t>
      </w:r>
      <w:r>
        <w:rPr>
          <w:rFonts w:ascii="Times New Roman" w:hAnsi="Times New Roman" w:eastAsia="Times New Roman" w:cs="Times New Roman"/>
          <w:sz w:val="43"/>
          <w:szCs w:val="43"/>
          <w:spacing w:val="6"/>
        </w:rPr>
        <w:t>2021 </w:t>
      </w:r>
      <w:r>
        <w:rPr>
          <w:rFonts w:ascii="Microsoft YaHei" w:hAnsi="Microsoft YaHei" w:eastAsia="Microsoft YaHei" w:cs="Microsoft YaHei"/>
          <w:sz w:val="43"/>
          <w:szCs w:val="43"/>
          <w:spacing w:val="6"/>
        </w:rPr>
        <w:t>年度</w:t>
      </w:r>
    </w:p>
    <w:p>
      <w:pPr>
        <w:ind w:left="1978"/>
        <w:spacing w:before="11" w:line="184"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9"/>
        </w:rPr>
        <w:t>地方财政收支预算的通知</w:t>
      </w:r>
    </w:p>
    <w:p>
      <w:pPr>
        <w:spacing w:line="338" w:lineRule="auto"/>
        <w:rPr>
          <w:rFonts w:ascii="Arial"/>
          <w:sz w:val="21"/>
        </w:rPr>
      </w:pPr>
      <w:r/>
    </w:p>
    <w:p>
      <w:pPr>
        <w:pStyle w:val="BodyText"/>
        <w:ind w:left="6946"/>
        <w:spacing w:before="66" w:line="278" w:lineRule="exact"/>
        <w:rPr/>
      </w:pPr>
      <w:r>
        <w:rPr>
          <w:spacing w:val="3"/>
          <w:position w:val="1"/>
        </w:rPr>
        <w:t>固政发〔</w:t>
      </w:r>
      <w:r>
        <w:rPr>
          <w:rFonts w:ascii="Times New Roman" w:hAnsi="Times New Roman" w:eastAsia="Times New Roman" w:cs="Times New Roman"/>
          <w:spacing w:val="3"/>
          <w:position w:val="1"/>
        </w:rPr>
        <w:t>2021</w:t>
      </w:r>
      <w:r>
        <w:rPr>
          <w:rFonts w:ascii="Times New Roman" w:hAnsi="Times New Roman" w:eastAsia="Times New Roman" w:cs="Times New Roman"/>
          <w:spacing w:val="-27"/>
          <w:position w:val="1"/>
        </w:rPr>
        <w:t xml:space="preserve"> </w:t>
      </w:r>
      <w:r>
        <w:rPr>
          <w:spacing w:val="3"/>
          <w:position w:val="1"/>
        </w:rPr>
        <w:t>〕</w:t>
      </w:r>
      <w:r>
        <w:rPr>
          <w:rFonts w:ascii="Times New Roman" w:hAnsi="Times New Roman" w:eastAsia="Times New Roman" w:cs="Times New Roman"/>
          <w:spacing w:val="3"/>
          <w:position w:val="1"/>
        </w:rPr>
        <w:t>8 </w:t>
      </w:r>
      <w:r>
        <w:rPr>
          <w:spacing w:val="3"/>
          <w:position w:val="1"/>
        </w:rPr>
        <w:t>号</w:t>
      </w:r>
    </w:p>
    <w:p>
      <w:pPr>
        <w:spacing w:before="188"/>
        <w:rPr/>
      </w:pPr>
      <w:r/>
    </w:p>
    <w:p>
      <w:pPr>
        <w:sectPr>
          <w:type w:val="continuous"/>
          <w:pgSz w:w="11906" w:h="16839"/>
          <w:pgMar w:top="1845" w:right="1472" w:bottom="1672" w:left="1560" w:header="1428" w:footer="1277" w:gutter="0"/>
          <w:cols w:equalWidth="0" w:num="1">
            <w:col w:w="8874" w:space="0"/>
          </w:cols>
        </w:sectPr>
        <w:rPr/>
      </w:pPr>
    </w:p>
    <w:p>
      <w:pPr>
        <w:pStyle w:val="BodyText"/>
        <w:ind w:left="34"/>
        <w:spacing w:before="48" w:line="277" w:lineRule="exact"/>
        <w:rPr/>
      </w:pPr>
      <w:r>
        <w:rPr>
          <w:spacing w:val="8"/>
          <w:position w:val="1"/>
        </w:rPr>
        <w:t>市政府各部门、派出机构、事业单位：</w:t>
      </w:r>
    </w:p>
    <w:p>
      <w:pPr>
        <w:pStyle w:val="BodyText"/>
        <w:ind w:left="32" w:right="333" w:firstLine="421"/>
        <w:spacing w:before="127" w:line="278" w:lineRule="auto"/>
        <w:rPr/>
      </w:pPr>
      <w:r>
        <w:rPr>
          <w:rFonts w:ascii="Times New Roman" w:hAnsi="Times New Roman" w:eastAsia="Times New Roman" w:cs="Times New Roman"/>
          <w:spacing w:val="13"/>
        </w:rPr>
        <w:t>2021 </w:t>
      </w:r>
      <w:r>
        <w:rPr>
          <w:spacing w:val="13"/>
        </w:rPr>
        <w:t>年度市本级财政收支预算已经市四</w:t>
      </w:r>
      <w:r>
        <w:rPr>
          <w:spacing w:val="7"/>
        </w:rPr>
        <w:t>届人大五次会议审议通过，现将年度收支预算</w:t>
      </w:r>
    </w:p>
    <w:p>
      <w:pPr>
        <w:spacing w:line="14" w:lineRule="auto"/>
        <w:rPr>
          <w:rFonts w:ascii="Arial"/>
          <w:sz w:val="2"/>
        </w:rPr>
      </w:pPr>
      <w:r>
        <w:rPr>
          <w:rFonts w:ascii="Arial" w:hAnsi="Arial" w:eastAsia="Arial" w:cs="Arial"/>
          <w:sz w:val="2"/>
          <w:szCs w:val="2"/>
        </w:rPr>
        <w:br w:type="column"/>
      </w:r>
    </w:p>
    <w:p>
      <w:pPr>
        <w:pStyle w:val="BodyText"/>
        <w:spacing w:before="47" w:line="277" w:lineRule="exact"/>
        <w:rPr/>
      </w:pPr>
      <w:r>
        <w:rPr>
          <w:spacing w:val="9"/>
          <w:position w:val="1"/>
        </w:rPr>
        <w:t>指标予以下达，并就有关事宜通知如下：</w:t>
      </w:r>
    </w:p>
    <w:p>
      <w:pPr>
        <w:ind w:left="4" w:right="115" w:firstLine="422"/>
        <w:spacing w:before="117" w:line="21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一</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8"/>
        </w:rPr>
        <w:t>、2021 年市本级地方财政预算收支安</w:t>
      </w:r>
      <w:r>
        <w:rPr>
          <w:rFonts w:ascii="Microsoft YaHei" w:hAnsi="Microsoft YaHei" w:eastAsia="Microsoft YaHei" w:cs="Microsoft YaHei"/>
          <w:sz w:val="20"/>
          <w:szCs w:val="20"/>
          <w:spacing w:val="6"/>
        </w:rPr>
        <w:t>排情况</w:t>
      </w:r>
    </w:p>
    <w:p>
      <w:pPr>
        <w:spacing w:line="214" w:lineRule="auto"/>
        <w:sectPr>
          <w:type w:val="continuous"/>
          <w:pgSz w:w="11906" w:h="16839"/>
          <w:pgMar w:top="1845" w:right="1472" w:bottom="1672" w:left="1560" w:header="1428" w:footer="1277" w:gutter="0"/>
          <w:cols w:equalWidth="0" w:num="2">
            <w:col w:w="4513" w:space="100"/>
            <w:col w:w="4261" w:space="0"/>
          </w:cols>
        </w:sectPr>
        <w:rPr>
          <w:rFonts w:ascii="Microsoft YaHei" w:hAnsi="Microsoft YaHei" w:eastAsia="Microsoft YaHei" w:cs="Microsoft YaHei"/>
          <w:sz w:val="20"/>
          <w:szCs w:val="20"/>
        </w:rPr>
      </w:pPr>
    </w:p>
    <w:p>
      <w:pPr>
        <w:spacing w:before="98"/>
        <w:rPr/>
      </w:pPr>
      <w:r/>
    </w:p>
    <w:p>
      <w:pPr>
        <w:sectPr>
          <w:headerReference w:type="default" r:id="rId15"/>
          <w:footerReference w:type="default" r:id="rId16"/>
          <w:pgSz w:w="11906" w:h="16839"/>
          <w:pgMar w:top="1845" w:right="1442" w:bottom="1661" w:left="1551" w:header="1428" w:footer="1289" w:gutter="0"/>
          <w:cols w:equalWidth="0" w:num="1">
            <w:col w:w="8912" w:space="0"/>
          </w:cols>
        </w:sectPr>
        <w:rPr/>
      </w:pPr>
    </w:p>
    <w:p>
      <w:pPr>
        <w:pStyle w:val="BodyText"/>
        <w:ind w:left="32" w:right="245" w:firstLine="420"/>
        <w:spacing w:before="65" w:line="395" w:lineRule="auto"/>
        <w:jc w:val="both"/>
        <w:rPr/>
      </w:pPr>
      <w:r>
        <w:rPr>
          <w:rFonts w:ascii="KaiTi" w:hAnsi="KaiTi" w:eastAsia="KaiTi" w:cs="KaiTi"/>
          <w:b/>
          <w:bCs/>
          <w:spacing w:val="4"/>
        </w:rPr>
        <w:t>（</w:t>
      </w:r>
      <w:r>
        <w:rPr>
          <w:rFonts w:ascii="KaiTi" w:hAnsi="KaiTi" w:eastAsia="KaiTi" w:cs="KaiTi"/>
          <w:spacing w:val="-41"/>
        </w:rPr>
        <w:t xml:space="preserve"> </w:t>
      </w:r>
      <w:r>
        <w:rPr>
          <w:rFonts w:ascii="KaiTi" w:hAnsi="KaiTi" w:eastAsia="KaiTi" w:cs="KaiTi"/>
          <w:b/>
          <w:bCs/>
          <w:spacing w:val="4"/>
        </w:rPr>
        <w:t>一</w:t>
      </w:r>
      <w:r>
        <w:rPr>
          <w:rFonts w:ascii="KaiTi" w:hAnsi="KaiTi" w:eastAsia="KaiTi" w:cs="KaiTi"/>
          <w:spacing w:val="-34"/>
        </w:rPr>
        <w:t xml:space="preserve"> </w:t>
      </w:r>
      <w:r>
        <w:rPr>
          <w:rFonts w:ascii="KaiTi" w:hAnsi="KaiTi" w:eastAsia="KaiTi" w:cs="KaiTi"/>
          <w:b/>
          <w:bCs/>
          <w:spacing w:val="4"/>
        </w:rPr>
        <w:t>）一般公共预算收支。2</w:t>
      </w:r>
      <w:r>
        <w:rPr>
          <w:rFonts w:ascii="Times New Roman" w:hAnsi="Times New Roman" w:eastAsia="Times New Roman" w:cs="Times New Roman"/>
          <w:spacing w:val="4"/>
        </w:rPr>
        <w:t>021</w:t>
      </w:r>
      <w:r>
        <w:rPr>
          <w:rFonts w:ascii="Times New Roman" w:hAnsi="Times New Roman" w:eastAsia="Times New Roman" w:cs="Times New Roman"/>
          <w:spacing w:val="18"/>
        </w:rPr>
        <w:t xml:space="preserve"> </w:t>
      </w:r>
      <w:r>
        <w:rPr>
          <w:spacing w:val="4"/>
        </w:rPr>
        <w:t>年</w:t>
      </w:r>
      <w:r>
        <w:rPr>
          <w:spacing w:val="-54"/>
        </w:rPr>
        <w:t xml:space="preserve"> </w:t>
      </w:r>
      <w:r>
        <w:rPr>
          <w:spacing w:val="4"/>
        </w:rPr>
        <w:t>，市</w:t>
      </w:r>
      <w:r>
        <w:rPr>
          <w:spacing w:val="12"/>
        </w:rPr>
        <w:t>本级地方一般公共预算收入安排</w:t>
      </w:r>
      <w:r>
        <w:rPr>
          <w:spacing w:val="-23"/>
        </w:rPr>
        <w:t xml:space="preserve"> </w:t>
      </w:r>
      <w:r>
        <w:rPr>
          <w:rFonts w:ascii="Times New Roman" w:hAnsi="Times New Roman" w:eastAsia="Times New Roman" w:cs="Times New Roman"/>
          <w:spacing w:val="12"/>
        </w:rPr>
        <w:t>68,000 </w:t>
      </w:r>
      <w:r>
        <w:rPr>
          <w:spacing w:val="12"/>
        </w:rPr>
        <w:t>万元</w:t>
      </w:r>
      <w:r>
        <w:rPr>
          <w:spacing w:val="4"/>
        </w:rPr>
        <w:t>（其中：税收收入安排</w:t>
      </w:r>
      <w:r>
        <w:rPr>
          <w:spacing w:val="-41"/>
        </w:rPr>
        <w:t xml:space="preserve"> </w:t>
      </w:r>
      <w:r>
        <w:rPr>
          <w:rFonts w:ascii="Times New Roman" w:hAnsi="Times New Roman" w:eastAsia="Times New Roman" w:cs="Times New Roman"/>
          <w:spacing w:val="4"/>
        </w:rPr>
        <w:t>40,000 </w:t>
      </w:r>
      <w:r>
        <w:rPr>
          <w:spacing w:val="4"/>
        </w:rPr>
        <w:t>万元，非税收入</w:t>
      </w:r>
      <w:r>
        <w:rPr>
          <w:spacing w:val="7"/>
        </w:rPr>
        <w:t>安排</w:t>
      </w:r>
      <w:r>
        <w:rPr>
          <w:spacing w:val="-38"/>
        </w:rPr>
        <w:t xml:space="preserve"> </w:t>
      </w:r>
      <w:r>
        <w:rPr>
          <w:rFonts w:ascii="Times New Roman" w:hAnsi="Times New Roman" w:eastAsia="Times New Roman" w:cs="Times New Roman"/>
          <w:spacing w:val="7"/>
        </w:rPr>
        <w:t>28,000 </w:t>
      </w:r>
      <w:r>
        <w:rPr>
          <w:spacing w:val="7"/>
        </w:rPr>
        <w:t>万元</w:t>
      </w:r>
      <w:r>
        <w:rPr>
          <w:spacing w:val="-18"/>
        </w:rPr>
        <w:t>），</w:t>
      </w:r>
      <w:r>
        <w:rPr>
          <w:spacing w:val="7"/>
        </w:rPr>
        <w:t>同比增长</w:t>
      </w:r>
      <w:r>
        <w:rPr>
          <w:spacing w:val="-34"/>
        </w:rPr>
        <w:t xml:space="preserve"> </w:t>
      </w:r>
      <w:r>
        <w:rPr>
          <w:rFonts w:ascii="Times New Roman" w:hAnsi="Times New Roman" w:eastAsia="Times New Roman" w:cs="Times New Roman"/>
          <w:spacing w:val="7"/>
        </w:rPr>
        <w:t>3%</w:t>
      </w:r>
      <w:r>
        <w:rPr>
          <w:rFonts w:ascii="Times New Roman" w:hAnsi="Times New Roman" w:eastAsia="Times New Roman" w:cs="Times New Roman"/>
          <w:spacing w:val="-7"/>
        </w:rPr>
        <w:t xml:space="preserve"> </w:t>
      </w:r>
      <w:r>
        <w:rPr>
          <w:spacing w:val="7"/>
        </w:rPr>
        <w:t>，加上自治</w:t>
      </w:r>
      <w:r>
        <w:rPr>
          <w:spacing w:val="8"/>
        </w:rPr>
        <w:t>区各项补助收入</w:t>
      </w:r>
      <w:r>
        <w:rPr>
          <w:spacing w:val="-37"/>
        </w:rPr>
        <w:t xml:space="preserve"> </w:t>
      </w:r>
      <w:r>
        <w:rPr>
          <w:rFonts w:ascii="Times New Roman" w:hAnsi="Times New Roman" w:eastAsia="Times New Roman" w:cs="Times New Roman"/>
          <w:spacing w:val="8"/>
        </w:rPr>
        <w:t>253,867 </w:t>
      </w:r>
      <w:r>
        <w:rPr>
          <w:spacing w:val="8"/>
        </w:rPr>
        <w:t>万元（其中：返还性</w:t>
      </w:r>
      <w:r>
        <w:rPr>
          <w:spacing w:val="4"/>
        </w:rPr>
        <w:t>收</w:t>
      </w:r>
      <w:r>
        <w:rPr>
          <w:spacing w:val="-46"/>
        </w:rPr>
        <w:t xml:space="preserve"> </w:t>
      </w:r>
      <w:r>
        <w:rPr>
          <w:spacing w:val="4"/>
        </w:rPr>
        <w:t>入 </w:t>
      </w:r>
      <w:r>
        <w:rPr>
          <w:rFonts w:ascii="Times New Roman" w:hAnsi="Times New Roman" w:eastAsia="Times New Roman" w:cs="Times New Roman"/>
          <w:spacing w:val="4"/>
        </w:rPr>
        <w:t>19,561  </w:t>
      </w:r>
      <w:r>
        <w:rPr>
          <w:spacing w:val="4"/>
        </w:rPr>
        <w:t>万</w:t>
      </w:r>
      <w:r>
        <w:rPr>
          <w:spacing w:val="-60"/>
        </w:rPr>
        <w:t xml:space="preserve"> </w:t>
      </w:r>
      <w:r>
        <w:rPr>
          <w:spacing w:val="4"/>
        </w:rPr>
        <w:t>元</w:t>
      </w:r>
      <w:r>
        <w:rPr>
          <w:spacing w:val="-36"/>
        </w:rPr>
        <w:t xml:space="preserve"> </w:t>
      </w:r>
      <w:r>
        <w:rPr>
          <w:spacing w:val="4"/>
        </w:rPr>
        <w:t>、一</w:t>
      </w:r>
      <w:r>
        <w:rPr>
          <w:spacing w:val="-58"/>
        </w:rPr>
        <w:t xml:space="preserve"> </w:t>
      </w:r>
      <w:r>
        <w:rPr>
          <w:spacing w:val="4"/>
        </w:rPr>
        <w:t>般</w:t>
      </w:r>
      <w:r>
        <w:rPr>
          <w:spacing w:val="-56"/>
        </w:rPr>
        <w:t xml:space="preserve"> </w:t>
      </w:r>
      <w:r>
        <w:rPr>
          <w:spacing w:val="4"/>
        </w:rPr>
        <w:t>性</w:t>
      </w:r>
      <w:r>
        <w:rPr>
          <w:spacing w:val="-57"/>
        </w:rPr>
        <w:t xml:space="preserve"> </w:t>
      </w:r>
      <w:r>
        <w:rPr>
          <w:spacing w:val="4"/>
        </w:rPr>
        <w:t>转</w:t>
      </w:r>
      <w:r>
        <w:rPr>
          <w:spacing w:val="-57"/>
        </w:rPr>
        <w:t xml:space="preserve"> </w:t>
      </w:r>
      <w:r>
        <w:rPr>
          <w:spacing w:val="4"/>
        </w:rPr>
        <w:t>移</w:t>
      </w:r>
      <w:r>
        <w:rPr>
          <w:spacing w:val="-56"/>
        </w:rPr>
        <w:t xml:space="preserve"> </w:t>
      </w:r>
      <w:r>
        <w:rPr>
          <w:spacing w:val="4"/>
        </w:rPr>
        <w:t>支</w:t>
      </w:r>
      <w:r>
        <w:rPr>
          <w:spacing w:val="-55"/>
        </w:rPr>
        <w:t xml:space="preserve"> </w:t>
      </w:r>
      <w:r>
        <w:rPr>
          <w:spacing w:val="4"/>
        </w:rPr>
        <w:t>付</w:t>
      </w:r>
      <w:r>
        <w:rPr>
          <w:spacing w:val="-51"/>
        </w:rPr>
        <w:t xml:space="preserve"> </w:t>
      </w:r>
      <w:r>
        <w:rPr>
          <w:spacing w:val="4"/>
        </w:rPr>
        <w:t>收</w:t>
      </w:r>
      <w:r>
        <w:rPr>
          <w:spacing w:val="-55"/>
        </w:rPr>
        <w:t xml:space="preserve"> </w:t>
      </w:r>
      <w:r>
        <w:rPr>
          <w:spacing w:val="4"/>
        </w:rPr>
        <w:t>入</w:t>
      </w:r>
      <w:r>
        <w:rPr>
          <w:rFonts w:ascii="Times New Roman" w:hAnsi="Times New Roman" w:eastAsia="Times New Roman" w:cs="Times New Roman"/>
          <w:spacing w:val="-1"/>
        </w:rPr>
        <w:t>224,829 </w:t>
      </w:r>
      <w:r>
        <w:rPr>
          <w:spacing w:val="-1"/>
        </w:rPr>
        <w:t>万元、专项转移支付收入</w:t>
      </w:r>
      <w:r>
        <w:rPr>
          <w:spacing w:val="-35"/>
        </w:rPr>
        <w:t xml:space="preserve"> </w:t>
      </w:r>
      <w:r>
        <w:rPr>
          <w:rFonts w:ascii="Times New Roman" w:hAnsi="Times New Roman" w:eastAsia="Times New Roman" w:cs="Times New Roman"/>
          <w:spacing w:val="-1"/>
        </w:rPr>
        <w:t>9,477 </w:t>
      </w:r>
      <w:r>
        <w:rPr>
          <w:spacing w:val="-1"/>
        </w:rPr>
        <w:t>万元）、</w:t>
      </w:r>
      <w:r>
        <w:rPr>
          <w:spacing w:val="8"/>
        </w:rPr>
        <w:t>上年结转资金</w:t>
      </w:r>
      <w:r>
        <w:rPr>
          <w:spacing w:val="-31"/>
        </w:rPr>
        <w:t xml:space="preserve"> </w:t>
      </w:r>
      <w:r>
        <w:rPr>
          <w:rFonts w:ascii="Times New Roman" w:hAnsi="Times New Roman" w:eastAsia="Times New Roman" w:cs="Times New Roman"/>
          <w:spacing w:val="8"/>
        </w:rPr>
        <w:t>2,482 </w:t>
      </w:r>
      <w:r>
        <w:rPr>
          <w:spacing w:val="8"/>
        </w:rPr>
        <w:t>万元，调入国有资本经营</w:t>
      </w:r>
      <w:r>
        <w:rPr>
          <w:spacing w:val="6"/>
        </w:rPr>
        <w:t>预算收入</w:t>
      </w:r>
      <w:r>
        <w:rPr>
          <w:spacing w:val="-29"/>
        </w:rPr>
        <w:t xml:space="preserve"> </w:t>
      </w:r>
      <w:r>
        <w:rPr>
          <w:rFonts w:ascii="Times New Roman" w:hAnsi="Times New Roman" w:eastAsia="Times New Roman" w:cs="Times New Roman"/>
          <w:spacing w:val="6"/>
        </w:rPr>
        <w:t>550 </w:t>
      </w:r>
      <w:r>
        <w:rPr>
          <w:spacing w:val="6"/>
        </w:rPr>
        <w:t>万元，当年一般公共预算总资金</w:t>
      </w:r>
      <w:r>
        <w:rPr>
          <w:spacing w:val="8"/>
        </w:rPr>
        <w:t>来源为</w:t>
      </w:r>
      <w:r>
        <w:rPr>
          <w:spacing w:val="-39"/>
        </w:rPr>
        <w:t xml:space="preserve"> </w:t>
      </w:r>
      <w:r>
        <w:rPr>
          <w:rFonts w:ascii="Times New Roman" w:hAnsi="Times New Roman" w:eastAsia="Times New Roman" w:cs="Times New Roman"/>
          <w:spacing w:val="8"/>
        </w:rPr>
        <w:t>324,899 </w:t>
      </w:r>
      <w:r>
        <w:rPr>
          <w:spacing w:val="8"/>
        </w:rPr>
        <w:t>万元。一般公共预算支</w:t>
      </w:r>
      <w:r>
        <w:rPr>
          <w:spacing w:val="7"/>
        </w:rPr>
        <w:t>出安排</w:t>
      </w:r>
      <w:r>
        <w:rPr>
          <w:rFonts w:ascii="Times New Roman" w:hAnsi="Times New Roman" w:eastAsia="Times New Roman" w:cs="Times New Roman"/>
          <w:spacing w:val="6"/>
        </w:rPr>
        <w:t>319,361 </w:t>
      </w:r>
      <w:r>
        <w:rPr>
          <w:spacing w:val="6"/>
        </w:rPr>
        <w:t>万元</w:t>
      </w:r>
      <w:r>
        <w:rPr>
          <w:spacing w:val="-59"/>
        </w:rPr>
        <w:t xml:space="preserve"> </w:t>
      </w:r>
      <w:r>
        <w:rPr>
          <w:spacing w:val="6"/>
        </w:rPr>
        <w:t>，专项上解支出</w:t>
      </w:r>
      <w:r>
        <w:rPr>
          <w:spacing w:val="-33"/>
        </w:rPr>
        <w:t xml:space="preserve"> </w:t>
      </w:r>
      <w:r>
        <w:rPr>
          <w:rFonts w:ascii="Times New Roman" w:hAnsi="Times New Roman" w:eastAsia="Times New Roman" w:cs="Times New Roman"/>
          <w:spacing w:val="6"/>
        </w:rPr>
        <w:t>538 </w:t>
      </w:r>
      <w:r>
        <w:rPr>
          <w:spacing w:val="6"/>
        </w:rPr>
        <w:t>万元</w:t>
      </w:r>
      <w:r>
        <w:rPr>
          <w:spacing w:val="-56"/>
        </w:rPr>
        <w:t xml:space="preserve"> </w:t>
      </w:r>
      <w:r>
        <w:rPr>
          <w:spacing w:val="5"/>
        </w:rPr>
        <w:t>，地方</w:t>
      </w:r>
      <w:r>
        <w:rPr>
          <w:spacing w:val="7"/>
        </w:rPr>
        <w:t>政府一般债务还本支</w:t>
      </w:r>
      <w:r>
        <w:rPr>
          <w:spacing w:val="-38"/>
        </w:rPr>
        <w:t xml:space="preserve"> </w:t>
      </w:r>
      <w:r>
        <w:rPr>
          <w:rFonts w:ascii="Times New Roman" w:hAnsi="Times New Roman" w:eastAsia="Times New Roman" w:cs="Times New Roman"/>
          <w:spacing w:val="7"/>
        </w:rPr>
        <w:t>5,000 </w:t>
      </w:r>
      <w:r>
        <w:rPr>
          <w:spacing w:val="7"/>
        </w:rPr>
        <w:t>万元。</w:t>
      </w:r>
    </w:p>
    <w:p>
      <w:pPr>
        <w:pStyle w:val="BodyText"/>
        <w:ind w:left="32" w:right="251" w:firstLine="420"/>
        <w:spacing w:before="24" w:line="359" w:lineRule="auto"/>
        <w:rPr/>
      </w:pPr>
      <w:r>
        <w:rPr>
          <w:rFonts w:ascii="KaiTi" w:hAnsi="KaiTi" w:eastAsia="KaiTi" w:cs="KaiTi"/>
          <w:b/>
          <w:bCs/>
          <w:spacing w:val="7"/>
        </w:rPr>
        <w:t>（</w:t>
      </w:r>
      <w:r>
        <w:rPr>
          <w:rFonts w:ascii="KaiTi" w:hAnsi="KaiTi" w:eastAsia="KaiTi" w:cs="KaiTi"/>
          <w:spacing w:val="-45"/>
        </w:rPr>
        <w:t xml:space="preserve"> </w:t>
      </w:r>
      <w:r>
        <w:rPr>
          <w:rFonts w:ascii="KaiTi" w:hAnsi="KaiTi" w:eastAsia="KaiTi" w:cs="KaiTi"/>
          <w:b/>
          <w:bCs/>
          <w:spacing w:val="7"/>
        </w:rPr>
        <w:t>二</w:t>
      </w:r>
      <w:r>
        <w:rPr>
          <w:rFonts w:ascii="KaiTi" w:hAnsi="KaiTi" w:eastAsia="KaiTi" w:cs="KaiTi"/>
          <w:spacing w:val="-56"/>
        </w:rPr>
        <w:t xml:space="preserve"> </w:t>
      </w:r>
      <w:r>
        <w:rPr>
          <w:rFonts w:ascii="KaiTi" w:hAnsi="KaiTi" w:eastAsia="KaiTi" w:cs="KaiTi"/>
          <w:b/>
          <w:bCs/>
          <w:spacing w:val="7"/>
        </w:rPr>
        <w:t>）政府性基金预算收支。</w:t>
      </w:r>
      <w:r>
        <w:rPr>
          <w:rFonts w:ascii="Times New Roman" w:hAnsi="Times New Roman" w:eastAsia="Times New Roman" w:cs="Times New Roman"/>
          <w:spacing w:val="7"/>
        </w:rPr>
        <w:t>2021</w:t>
      </w:r>
      <w:r>
        <w:rPr>
          <w:rFonts w:ascii="Times New Roman" w:hAnsi="Times New Roman" w:eastAsia="Times New Roman" w:cs="Times New Roman"/>
          <w:spacing w:val="17"/>
          <w:w w:val="101"/>
        </w:rPr>
        <w:t xml:space="preserve"> </w:t>
      </w:r>
      <w:r>
        <w:rPr>
          <w:spacing w:val="7"/>
        </w:rPr>
        <w:t>年</w:t>
      </w:r>
      <w:r>
        <w:rPr>
          <w:spacing w:val="-54"/>
        </w:rPr>
        <w:t xml:space="preserve"> </w:t>
      </w:r>
      <w:r>
        <w:rPr>
          <w:spacing w:val="7"/>
        </w:rPr>
        <w:t>，</w:t>
      </w:r>
      <w:r>
        <w:rPr>
          <w:spacing w:val="6"/>
        </w:rPr>
        <w:t>市本级政府性基金预算收入安排</w:t>
      </w:r>
      <w:r>
        <w:rPr>
          <w:spacing w:val="-14"/>
        </w:rPr>
        <w:t xml:space="preserve"> </w:t>
      </w:r>
      <w:r>
        <w:rPr>
          <w:rFonts w:ascii="Times New Roman" w:hAnsi="Times New Roman" w:eastAsia="Times New Roman" w:cs="Times New Roman"/>
          <w:spacing w:val="6"/>
        </w:rPr>
        <w:t>102,</w:t>
      </w:r>
      <w:r>
        <w:rPr>
          <w:rFonts w:ascii="Times New Roman" w:hAnsi="Times New Roman" w:eastAsia="Times New Roman" w:cs="Times New Roman"/>
          <w:spacing w:val="-25"/>
        </w:rPr>
        <w:t xml:space="preserve"> </w:t>
      </w:r>
      <w:r>
        <w:rPr>
          <w:rFonts w:ascii="Times New Roman" w:hAnsi="Times New Roman" w:eastAsia="Times New Roman" w:cs="Times New Roman"/>
          <w:spacing w:val="6"/>
        </w:rPr>
        <w:t>194 </w:t>
      </w:r>
      <w:r>
        <w:rPr>
          <w:spacing w:val="6"/>
        </w:rPr>
        <w:t>万元</w:t>
      </w:r>
      <w:r>
        <w:rPr>
          <w:spacing w:val="7"/>
        </w:rPr>
        <w:t>（其中：政府性基金收入</w:t>
      </w:r>
      <w:r>
        <w:rPr>
          <w:spacing w:val="-13"/>
        </w:rPr>
        <w:t xml:space="preserve"> </w:t>
      </w:r>
      <w:r>
        <w:rPr>
          <w:rFonts w:ascii="Times New Roman" w:hAnsi="Times New Roman" w:eastAsia="Times New Roman" w:cs="Times New Roman"/>
          <w:spacing w:val="7"/>
        </w:rPr>
        <w:t>100,700 </w:t>
      </w:r>
      <w:r>
        <w:rPr>
          <w:spacing w:val="7"/>
        </w:rPr>
        <w:t>万元，上级</w:t>
      </w:r>
      <w:r>
        <w:rPr>
          <w:spacing w:val="2"/>
        </w:rPr>
        <w:t>补助收入</w:t>
      </w:r>
      <w:r>
        <w:rPr>
          <w:spacing w:val="-34"/>
        </w:rPr>
        <w:t xml:space="preserve"> </w:t>
      </w:r>
      <w:r>
        <w:rPr>
          <w:rFonts w:ascii="Times New Roman" w:hAnsi="Times New Roman" w:eastAsia="Times New Roman" w:cs="Times New Roman"/>
          <w:spacing w:val="2"/>
        </w:rPr>
        <w:t>1,494 </w:t>
      </w:r>
      <w:r>
        <w:rPr>
          <w:spacing w:val="2"/>
        </w:rPr>
        <w:t>万元</w:t>
      </w:r>
      <w:r>
        <w:rPr>
          <w:spacing w:val="-39"/>
          <w:w w:val="74"/>
        </w:rPr>
        <w:t>），</w:t>
      </w:r>
      <w:r>
        <w:rPr>
          <w:spacing w:val="2"/>
        </w:rPr>
        <w:t>支出安排</w:t>
      </w:r>
      <w:r>
        <w:rPr>
          <w:spacing w:val="-33"/>
        </w:rPr>
        <w:t xml:space="preserve"> </w:t>
      </w:r>
      <w:r>
        <w:rPr>
          <w:rFonts w:ascii="Times New Roman" w:hAnsi="Times New Roman" w:eastAsia="Times New Roman" w:cs="Times New Roman"/>
          <w:spacing w:val="2"/>
        </w:rPr>
        <w:t>102,</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194 </w:t>
      </w:r>
      <w:r>
        <w:rPr>
          <w:spacing w:val="2"/>
        </w:rPr>
        <w:t>万元。</w:t>
      </w:r>
    </w:p>
    <w:p>
      <w:pPr>
        <w:pStyle w:val="BodyText"/>
        <w:ind w:left="39" w:right="251" w:firstLine="413"/>
        <w:spacing w:before="167" w:line="372" w:lineRule="auto"/>
        <w:rPr/>
      </w:pPr>
      <w:r>
        <w:rPr>
          <w:rFonts w:ascii="KaiTi" w:hAnsi="KaiTi" w:eastAsia="KaiTi" w:cs="KaiTi"/>
          <w:b/>
          <w:bCs/>
          <w:spacing w:val="1"/>
        </w:rPr>
        <w:t>（</w:t>
      </w:r>
      <w:r>
        <w:rPr>
          <w:rFonts w:ascii="KaiTi" w:hAnsi="KaiTi" w:eastAsia="KaiTi" w:cs="KaiTi"/>
          <w:spacing w:val="-49"/>
        </w:rPr>
        <w:t xml:space="preserve"> </w:t>
      </w:r>
      <w:r>
        <w:rPr>
          <w:rFonts w:ascii="KaiTi" w:hAnsi="KaiTi" w:eastAsia="KaiTi" w:cs="KaiTi"/>
          <w:b/>
          <w:bCs/>
          <w:spacing w:val="1"/>
        </w:rPr>
        <w:t>三</w:t>
      </w:r>
      <w:r>
        <w:rPr>
          <w:rFonts w:ascii="KaiTi" w:hAnsi="KaiTi" w:eastAsia="KaiTi" w:cs="KaiTi"/>
          <w:spacing w:val="-41"/>
        </w:rPr>
        <w:t xml:space="preserve"> </w:t>
      </w:r>
      <w:r>
        <w:rPr>
          <w:rFonts w:ascii="KaiTi" w:hAnsi="KaiTi" w:eastAsia="KaiTi" w:cs="KaiTi"/>
          <w:b/>
          <w:bCs/>
          <w:spacing w:val="1"/>
        </w:rPr>
        <w:t>）国有资本经营预算收支。</w:t>
      </w:r>
      <w:r>
        <w:rPr>
          <w:rFonts w:ascii="Times New Roman" w:hAnsi="Times New Roman" w:eastAsia="Times New Roman" w:cs="Times New Roman"/>
          <w:spacing w:val="1"/>
        </w:rPr>
        <w:t>2021 </w:t>
      </w:r>
      <w:r>
        <w:rPr>
          <w:spacing w:val="1"/>
        </w:rPr>
        <w:t>年，</w:t>
      </w:r>
      <w:r>
        <w:rPr>
          <w:spacing w:val="9"/>
        </w:rPr>
        <w:t>市本级国有资本经营预算收入安排</w:t>
      </w:r>
      <w:r>
        <w:rPr>
          <w:spacing w:val="-25"/>
        </w:rPr>
        <w:t xml:space="preserve"> </w:t>
      </w:r>
      <w:r>
        <w:rPr>
          <w:rFonts w:ascii="Times New Roman" w:hAnsi="Times New Roman" w:eastAsia="Times New Roman" w:cs="Times New Roman"/>
          <w:spacing w:val="9"/>
        </w:rPr>
        <w:t>550 </w:t>
      </w:r>
      <w:r>
        <w:rPr>
          <w:spacing w:val="9"/>
        </w:rPr>
        <w:t>万元，</w:t>
      </w:r>
      <w:r>
        <w:rPr>
          <w:spacing w:val="6"/>
        </w:rPr>
        <w:t>国有资本经营预算转移支付收入</w:t>
      </w:r>
      <w:r>
        <w:rPr>
          <w:spacing w:val="-28"/>
        </w:rPr>
        <w:t xml:space="preserve"> </w:t>
      </w:r>
      <w:r>
        <w:rPr>
          <w:rFonts w:ascii="Times New Roman" w:hAnsi="Times New Roman" w:eastAsia="Times New Roman" w:cs="Times New Roman"/>
          <w:spacing w:val="6"/>
        </w:rPr>
        <w:t>6 </w:t>
      </w:r>
      <w:r>
        <w:rPr>
          <w:spacing w:val="6"/>
        </w:rPr>
        <w:t>万元，当年</w:t>
      </w:r>
      <w:r>
        <w:rPr>
          <w:spacing w:val="6"/>
        </w:rPr>
        <w:t>国有资本经营预算收入</w:t>
      </w:r>
      <w:r>
        <w:rPr>
          <w:spacing w:val="-36"/>
        </w:rPr>
        <w:t xml:space="preserve"> </w:t>
      </w:r>
      <w:r>
        <w:rPr>
          <w:rFonts w:ascii="Times New Roman" w:hAnsi="Times New Roman" w:eastAsia="Times New Roman" w:cs="Times New Roman"/>
          <w:spacing w:val="6"/>
        </w:rPr>
        <w:t>556 </w:t>
      </w:r>
      <w:r>
        <w:rPr>
          <w:spacing w:val="6"/>
        </w:rPr>
        <w:t>万元。国有资本经</w:t>
      </w:r>
      <w:r>
        <w:rPr>
          <w:spacing w:val="6"/>
        </w:rPr>
        <w:t>营预算支出安排</w:t>
      </w:r>
      <w:r>
        <w:rPr>
          <w:spacing w:val="-36"/>
        </w:rPr>
        <w:t xml:space="preserve"> </w:t>
      </w:r>
      <w:r>
        <w:rPr>
          <w:rFonts w:ascii="Times New Roman" w:hAnsi="Times New Roman" w:eastAsia="Times New Roman" w:cs="Times New Roman"/>
          <w:spacing w:val="6"/>
        </w:rPr>
        <w:t>556 </w:t>
      </w:r>
      <w:r>
        <w:rPr>
          <w:spacing w:val="6"/>
        </w:rPr>
        <w:t>万元，其中：调入一般公</w:t>
      </w:r>
      <w:r>
        <w:rPr>
          <w:spacing w:val="10"/>
        </w:rPr>
        <w:t>共预算统筹安排用于支持国有企业发展</w:t>
      </w:r>
      <w:r>
        <w:rPr>
          <w:rFonts w:ascii="Times New Roman" w:hAnsi="Times New Roman" w:eastAsia="Times New Roman" w:cs="Times New Roman"/>
          <w:spacing w:val="10"/>
        </w:rPr>
        <w:t>550</w:t>
      </w:r>
      <w:r>
        <w:rPr>
          <w:rFonts w:ascii="Times New Roman" w:hAnsi="Times New Roman" w:eastAsia="Times New Roman" w:cs="Times New Roman"/>
          <w:spacing w:val="-12"/>
        </w:rPr>
        <w:t xml:space="preserve"> </w:t>
      </w:r>
      <w:r>
        <w:rPr>
          <w:spacing w:val="10"/>
        </w:rPr>
        <w:t>万</w:t>
      </w:r>
      <w:r>
        <w:rPr>
          <w:spacing w:val="4"/>
        </w:rPr>
        <w:t>元，解决历史遗留问题及改革成本支出</w:t>
      </w:r>
      <w:r>
        <w:rPr>
          <w:rFonts w:ascii="Times New Roman" w:hAnsi="Times New Roman" w:eastAsia="Times New Roman" w:cs="Times New Roman"/>
          <w:spacing w:val="4"/>
        </w:rPr>
        <w:t>6</w:t>
      </w:r>
      <w:r>
        <w:rPr>
          <w:rFonts w:ascii="Times New Roman" w:hAnsi="Times New Roman" w:eastAsia="Times New Roman" w:cs="Times New Roman"/>
          <w:spacing w:val="-11"/>
        </w:rPr>
        <w:t xml:space="preserve"> </w:t>
      </w:r>
      <w:r>
        <w:rPr>
          <w:spacing w:val="4"/>
        </w:rPr>
        <w:t>万元。</w:t>
      </w:r>
    </w:p>
    <w:p>
      <w:pPr>
        <w:pStyle w:val="BodyText"/>
        <w:ind w:left="38" w:right="246" w:firstLine="413"/>
        <w:spacing w:before="185" w:line="362" w:lineRule="auto"/>
        <w:rPr/>
      </w:pPr>
      <w:r>
        <w:rPr>
          <w:rFonts w:ascii="KaiTi" w:hAnsi="KaiTi" w:eastAsia="KaiTi" w:cs="KaiTi"/>
          <w:b/>
          <w:bCs/>
          <w:spacing w:val="4"/>
        </w:rPr>
        <w:t>（</w:t>
      </w:r>
      <w:r>
        <w:rPr>
          <w:rFonts w:ascii="KaiTi" w:hAnsi="KaiTi" w:eastAsia="KaiTi" w:cs="KaiTi"/>
          <w:spacing w:val="-48"/>
        </w:rPr>
        <w:t xml:space="preserve"> </w:t>
      </w:r>
      <w:r>
        <w:rPr>
          <w:rFonts w:ascii="KaiTi" w:hAnsi="KaiTi" w:eastAsia="KaiTi" w:cs="KaiTi"/>
          <w:b/>
          <w:bCs/>
          <w:spacing w:val="4"/>
        </w:rPr>
        <w:t>四）社会保险基金预算收支。</w:t>
      </w:r>
      <w:r>
        <w:rPr>
          <w:rFonts w:ascii="Times New Roman" w:hAnsi="Times New Roman" w:eastAsia="Times New Roman" w:cs="Times New Roman"/>
          <w:spacing w:val="4"/>
        </w:rPr>
        <w:t>2021 </w:t>
      </w:r>
      <w:r>
        <w:rPr>
          <w:spacing w:val="4"/>
        </w:rPr>
        <w:t>年，</w:t>
      </w:r>
      <w:r>
        <w:rPr>
          <w:spacing w:val="9"/>
        </w:rPr>
        <w:t>市本级社保基金预算收入安排</w:t>
      </w:r>
      <w:r>
        <w:rPr>
          <w:spacing w:val="-42"/>
        </w:rPr>
        <w:t xml:space="preserve"> </w:t>
      </w:r>
      <w:r>
        <w:rPr>
          <w:rFonts w:ascii="Times New Roman" w:hAnsi="Times New Roman" w:eastAsia="Times New Roman" w:cs="Times New Roman"/>
          <w:spacing w:val="9"/>
        </w:rPr>
        <w:t>226,060 </w:t>
      </w:r>
      <w:r>
        <w:rPr>
          <w:spacing w:val="9"/>
        </w:rPr>
        <w:t>万元，</w:t>
      </w:r>
      <w:r>
        <w:rPr>
          <w:spacing w:val="8"/>
        </w:rPr>
        <w:t>上年结余资金</w:t>
      </w:r>
      <w:r>
        <w:rPr>
          <w:spacing w:val="-43"/>
        </w:rPr>
        <w:t xml:space="preserve"> </w:t>
      </w:r>
      <w:r>
        <w:rPr>
          <w:rFonts w:ascii="Times New Roman" w:hAnsi="Times New Roman" w:eastAsia="Times New Roman" w:cs="Times New Roman"/>
          <w:spacing w:val="8"/>
        </w:rPr>
        <w:t>203,912 </w:t>
      </w:r>
      <w:r>
        <w:rPr>
          <w:spacing w:val="8"/>
        </w:rPr>
        <w:t>万元，社保基金总资金</w:t>
      </w:r>
      <w:r>
        <w:rPr>
          <w:spacing w:val="4"/>
        </w:rPr>
        <w:t>来源为</w:t>
      </w:r>
      <w:r>
        <w:rPr>
          <w:spacing w:val="-44"/>
        </w:rPr>
        <w:t xml:space="preserve"> </w:t>
      </w:r>
      <w:r>
        <w:rPr>
          <w:rFonts w:ascii="Times New Roman" w:hAnsi="Times New Roman" w:eastAsia="Times New Roman" w:cs="Times New Roman"/>
          <w:spacing w:val="4"/>
        </w:rPr>
        <w:t>429,972 </w:t>
      </w:r>
      <w:r>
        <w:rPr>
          <w:spacing w:val="4"/>
        </w:rPr>
        <w:t>万元。支出安排</w:t>
      </w:r>
      <w:r>
        <w:rPr>
          <w:spacing w:val="-43"/>
        </w:rPr>
        <w:t xml:space="preserve"> </w:t>
      </w:r>
      <w:r>
        <w:rPr>
          <w:rFonts w:ascii="Times New Roman" w:hAnsi="Times New Roman" w:eastAsia="Times New Roman" w:cs="Times New Roman"/>
          <w:spacing w:val="4"/>
        </w:rPr>
        <w:t>201,483 </w:t>
      </w:r>
      <w:r>
        <w:rPr>
          <w:spacing w:val="4"/>
        </w:rPr>
        <w:t>万元，</w:t>
      </w:r>
      <w:r>
        <w:rPr>
          <w:spacing w:val="-5"/>
        </w:rPr>
        <w:t>年终结余</w:t>
      </w:r>
      <w:r>
        <w:rPr>
          <w:spacing w:val="-41"/>
        </w:rPr>
        <w:t xml:space="preserve"> </w:t>
      </w:r>
      <w:r>
        <w:rPr>
          <w:rFonts w:ascii="Times New Roman" w:hAnsi="Times New Roman" w:eastAsia="Times New Roman" w:cs="Times New Roman"/>
          <w:spacing w:val="-5"/>
        </w:rPr>
        <w:t>228,489 </w:t>
      </w:r>
      <w:r>
        <w:rPr>
          <w:spacing w:val="-5"/>
        </w:rPr>
        <w:t>万元，结转下年继续安排使用。</w:t>
      </w:r>
    </w:p>
    <w:p>
      <w:pPr>
        <w:pStyle w:val="BodyText"/>
        <w:ind w:left="42" w:right="326" w:firstLine="409"/>
        <w:spacing w:before="173" w:line="300" w:lineRule="auto"/>
        <w:rPr/>
      </w:pPr>
      <w:r>
        <w:rPr>
          <w:rFonts w:ascii="KaiTi" w:hAnsi="KaiTi" w:eastAsia="KaiTi" w:cs="KaiTi"/>
          <w:b/>
          <w:bCs/>
          <w:spacing w:val="9"/>
        </w:rPr>
        <w:t>（</w:t>
      </w:r>
      <w:r>
        <w:rPr>
          <w:rFonts w:ascii="KaiTi" w:hAnsi="KaiTi" w:eastAsia="KaiTi" w:cs="KaiTi"/>
          <w:spacing w:val="-29"/>
        </w:rPr>
        <w:t xml:space="preserve"> </w:t>
      </w:r>
      <w:r>
        <w:rPr>
          <w:rFonts w:ascii="KaiTi" w:hAnsi="KaiTi" w:eastAsia="KaiTi" w:cs="KaiTi"/>
          <w:b/>
          <w:bCs/>
          <w:spacing w:val="9"/>
        </w:rPr>
        <w:t>五）政府债务预算收支。</w:t>
      </w:r>
      <w:r>
        <w:rPr>
          <w:rFonts w:ascii="Times New Roman" w:hAnsi="Times New Roman" w:eastAsia="Times New Roman" w:cs="Times New Roman"/>
          <w:spacing w:val="9"/>
        </w:rPr>
        <w:t>2021</w:t>
      </w:r>
      <w:r>
        <w:rPr>
          <w:rFonts w:ascii="Times New Roman" w:hAnsi="Times New Roman" w:eastAsia="Times New Roman" w:cs="Times New Roman"/>
          <w:spacing w:val="18"/>
        </w:rPr>
        <w:t xml:space="preserve"> </w:t>
      </w:r>
      <w:r>
        <w:rPr>
          <w:spacing w:val="9"/>
        </w:rPr>
        <w:t>年初，</w:t>
      </w:r>
      <w:r>
        <w:rPr>
          <w:spacing w:val="8"/>
        </w:rPr>
        <w:t>市本级政府债务余额</w:t>
      </w:r>
      <w:r>
        <w:rPr>
          <w:spacing w:val="-39"/>
        </w:rPr>
        <w:t xml:space="preserve"> </w:t>
      </w:r>
      <w:r>
        <w:rPr>
          <w:rFonts w:ascii="Times New Roman" w:hAnsi="Times New Roman" w:eastAsia="Times New Roman" w:cs="Times New Roman"/>
          <w:spacing w:val="8"/>
        </w:rPr>
        <w:t>64.92 </w:t>
      </w:r>
      <w:r>
        <w:rPr>
          <w:spacing w:val="8"/>
        </w:rPr>
        <w:t>亿元（其中：一般</w:t>
      </w:r>
    </w:p>
    <w:p>
      <w:pPr>
        <w:spacing w:line="14" w:lineRule="auto"/>
        <w:rPr>
          <w:rFonts w:ascii="Arial"/>
          <w:sz w:val="2"/>
        </w:rPr>
      </w:pPr>
      <w:r>
        <w:rPr>
          <w:rFonts w:ascii="Arial" w:hAnsi="Arial" w:eastAsia="Arial" w:cs="Arial"/>
          <w:sz w:val="2"/>
          <w:szCs w:val="2"/>
        </w:rPr>
        <w:br w:type="column"/>
      </w:r>
    </w:p>
    <w:p>
      <w:pPr>
        <w:pStyle w:val="BodyText"/>
        <w:ind w:right="142" w:firstLine="2"/>
        <w:spacing w:before="44" w:line="381" w:lineRule="auto"/>
        <w:jc w:val="both"/>
        <w:rPr/>
      </w:pPr>
      <w:r>
        <w:rPr>
          <w:spacing w:val="4"/>
        </w:rPr>
        <w:t>债券</w:t>
      </w:r>
      <w:r>
        <w:rPr>
          <w:spacing w:val="-40"/>
        </w:rPr>
        <w:t xml:space="preserve"> </w:t>
      </w:r>
      <w:r>
        <w:rPr>
          <w:rFonts w:ascii="Times New Roman" w:hAnsi="Times New Roman" w:eastAsia="Times New Roman" w:cs="Times New Roman"/>
          <w:spacing w:val="4"/>
        </w:rPr>
        <w:t>50.94 </w:t>
      </w:r>
      <w:r>
        <w:rPr>
          <w:spacing w:val="4"/>
        </w:rPr>
        <w:t>亿元，专项债券</w:t>
      </w:r>
      <w:r>
        <w:rPr>
          <w:spacing w:val="-23"/>
        </w:rPr>
        <w:t xml:space="preserve"> </w:t>
      </w:r>
      <w:r>
        <w:rPr>
          <w:rFonts w:ascii="Times New Roman" w:hAnsi="Times New Roman" w:eastAsia="Times New Roman" w:cs="Times New Roman"/>
          <w:spacing w:val="4"/>
        </w:rPr>
        <w:t>13.97 </w:t>
      </w:r>
      <w:r>
        <w:rPr>
          <w:spacing w:val="4"/>
        </w:rPr>
        <w:t>亿元</w:t>
      </w:r>
      <w:r>
        <w:rPr>
          <w:spacing w:val="-44"/>
        </w:rPr>
        <w:t>），</w:t>
      </w:r>
      <w:r>
        <w:rPr>
          <w:spacing w:val="4"/>
        </w:rPr>
        <w:t>当年</w:t>
      </w:r>
      <w:r>
        <w:rPr>
          <w:spacing w:val="3"/>
        </w:rPr>
        <w:t>预计无新增一般债券，偿还</w:t>
      </w:r>
      <w:r>
        <w:rPr>
          <w:spacing w:val="-20"/>
        </w:rPr>
        <w:t xml:space="preserve"> </w:t>
      </w:r>
      <w:r>
        <w:rPr>
          <w:rFonts w:ascii="Times New Roman" w:hAnsi="Times New Roman" w:eastAsia="Times New Roman" w:cs="Times New Roman"/>
          <w:spacing w:val="3"/>
        </w:rPr>
        <w:t>1.85 </w:t>
      </w:r>
      <w:r>
        <w:rPr>
          <w:spacing w:val="3"/>
        </w:rPr>
        <w:t>亿元，预计年</w:t>
      </w:r>
      <w:r>
        <w:rPr>
          <w:spacing w:val="3"/>
        </w:rPr>
        <w:t>末债务余额</w:t>
      </w:r>
      <w:r>
        <w:rPr>
          <w:spacing w:val="-38"/>
        </w:rPr>
        <w:t xml:space="preserve"> </w:t>
      </w:r>
      <w:r>
        <w:rPr>
          <w:rFonts w:ascii="Times New Roman" w:hAnsi="Times New Roman" w:eastAsia="Times New Roman" w:cs="Times New Roman"/>
          <w:spacing w:val="3"/>
        </w:rPr>
        <w:t>63.06 </w:t>
      </w:r>
      <w:r>
        <w:rPr>
          <w:spacing w:val="3"/>
        </w:rPr>
        <w:t>亿元（其中：一般债券</w:t>
      </w:r>
      <w:r>
        <w:rPr>
          <w:spacing w:val="-37"/>
        </w:rPr>
        <w:t xml:space="preserve"> </w:t>
      </w:r>
      <w:r>
        <w:rPr>
          <w:rFonts w:ascii="Times New Roman" w:hAnsi="Times New Roman" w:eastAsia="Times New Roman" w:cs="Times New Roman"/>
          <w:spacing w:val="3"/>
        </w:rPr>
        <w:t>50.44</w:t>
      </w:r>
      <w:r>
        <w:rPr>
          <w:spacing w:val="4"/>
        </w:rPr>
        <w:t>亿元，专项债券</w:t>
      </w:r>
      <w:r>
        <w:rPr>
          <w:spacing w:val="-21"/>
        </w:rPr>
        <w:t xml:space="preserve"> </w:t>
      </w:r>
      <w:r>
        <w:rPr>
          <w:rFonts w:ascii="Times New Roman" w:hAnsi="Times New Roman" w:eastAsia="Times New Roman" w:cs="Times New Roman"/>
          <w:spacing w:val="4"/>
        </w:rPr>
        <w:t>12.62 </w:t>
      </w:r>
      <w:r>
        <w:rPr>
          <w:spacing w:val="4"/>
        </w:rPr>
        <w:t>亿元</w:t>
      </w:r>
      <w:r>
        <w:rPr>
          <w:spacing w:val="-51"/>
          <w:w w:val="96"/>
        </w:rPr>
        <w:t>），</w:t>
      </w:r>
      <w:r>
        <w:rPr>
          <w:spacing w:val="4"/>
        </w:rPr>
        <w:t>没有超出自治区</w:t>
      </w:r>
      <w:r>
        <w:rPr>
          <w:spacing w:val="2"/>
        </w:rPr>
        <w:t>核定的政府债务限额</w:t>
      </w:r>
      <w:r>
        <w:rPr>
          <w:spacing w:val="-33"/>
        </w:rPr>
        <w:t xml:space="preserve"> </w:t>
      </w:r>
      <w:r>
        <w:rPr>
          <w:rFonts w:ascii="Times New Roman" w:hAnsi="Times New Roman" w:eastAsia="Times New Roman" w:cs="Times New Roman"/>
          <w:spacing w:val="2"/>
        </w:rPr>
        <w:t>73.</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17 </w:t>
      </w:r>
      <w:r>
        <w:rPr>
          <w:spacing w:val="2"/>
        </w:rPr>
        <w:t>亿元（预计数）。</w:t>
      </w:r>
    </w:p>
    <w:p>
      <w:pPr>
        <w:ind w:left="430"/>
        <w:spacing w:before="1"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二、工作要求</w:t>
      </w:r>
    </w:p>
    <w:p>
      <w:pPr>
        <w:pStyle w:val="BodyText"/>
        <w:ind w:firstLine="413"/>
        <w:spacing w:before="137" w:line="372" w:lineRule="auto"/>
        <w:rPr/>
      </w:pPr>
      <w:r>
        <w:rPr>
          <w:rFonts w:ascii="KaiTi" w:hAnsi="KaiTi" w:eastAsia="KaiTi" w:cs="KaiTi"/>
          <w:b/>
          <w:bCs/>
          <w:spacing w:val="1"/>
        </w:rPr>
        <w:t>（一）强化财源建设，提高财政保障能力。</w:t>
      </w:r>
      <w:r>
        <w:rPr>
          <w:spacing w:val="7"/>
        </w:rPr>
        <w:t>一是壮大财政实力。在新发展阶段、新发展格</w:t>
      </w:r>
      <w:r>
        <w:rPr>
          <w:spacing w:val="3"/>
        </w:rPr>
        <w:t>局下，积极支持构建现代产业体系，调优一产、</w:t>
      </w:r>
      <w:r>
        <w:rPr>
          <w:spacing w:val="7"/>
        </w:rPr>
        <w:t>突破二产、协同配套三产，落实好招商引资政</w:t>
      </w:r>
      <w:r>
        <w:rPr>
          <w:spacing w:val="7"/>
        </w:rPr>
        <w:t>策，支持企业落地做实，涵养财源，培植新的</w:t>
      </w:r>
      <w:r>
        <w:rPr>
          <w:spacing w:val="7"/>
        </w:rPr>
        <w:t>收入增长点；在落实好国家减税降费政策的基</w:t>
      </w:r>
      <w:r>
        <w:rPr>
          <w:spacing w:val="7"/>
        </w:rPr>
        <w:t>础上，充分发挥综合治税平台作用，加强财税</w:t>
      </w:r>
      <w:r>
        <w:rPr>
          <w:spacing w:val="7"/>
        </w:rPr>
        <w:t>部门协作联动，形成征管合力，积极挖掘增收</w:t>
      </w:r>
      <w:r>
        <w:rPr>
          <w:spacing w:val="11"/>
        </w:rPr>
        <w:t>潜力，清收各项欠税欠费和欠缴土地出让金，</w:t>
      </w:r>
      <w:r>
        <w:rPr>
          <w:spacing w:val="7"/>
        </w:rPr>
        <w:t>严格执行各项行政事业收费规定，通过公开拍</w:t>
      </w:r>
      <w:r>
        <w:rPr>
          <w:spacing w:val="7"/>
        </w:rPr>
        <w:t>卖、分类处置等措施盘活存量资产，转让城市</w:t>
      </w:r>
      <w:r>
        <w:rPr>
          <w:spacing w:val="7"/>
        </w:rPr>
        <w:t>停车场特许经营权、政府购买公园广场管护服</w:t>
      </w:r>
      <w:r>
        <w:rPr>
          <w:spacing w:val="10"/>
        </w:rPr>
        <w:t>务等做好经营城市文章，努力完成全年</w:t>
      </w:r>
      <w:r>
        <w:rPr>
          <w:spacing w:val="-18"/>
        </w:rPr>
        <w:t xml:space="preserve"> </w:t>
      </w:r>
      <w:r>
        <w:rPr>
          <w:rFonts w:ascii="Times New Roman" w:hAnsi="Times New Roman" w:eastAsia="Times New Roman" w:cs="Times New Roman"/>
          <w:spacing w:val="10"/>
        </w:rPr>
        <w:t>3%</w:t>
      </w:r>
      <w:r>
        <w:rPr>
          <w:spacing w:val="10"/>
        </w:rPr>
        <w:t>的</w:t>
      </w:r>
      <w:r>
        <w:rPr>
          <w:spacing w:val="7"/>
        </w:rPr>
        <w:t>收入目标任务。二是强化资金争取。紧盯国家</w:t>
      </w:r>
      <w:r>
        <w:rPr>
          <w:spacing w:val="7"/>
        </w:rPr>
        <w:t>宏观政策导向和区域发展投资走向，围绕市委</w:t>
      </w:r>
      <w:r>
        <w:rPr>
          <w:spacing w:val="3"/>
        </w:rPr>
        <w:t>提出的“守好三条生命线、走出一条生态优先、</w:t>
      </w:r>
      <w:r>
        <w:rPr>
          <w:spacing w:val="14"/>
        </w:rPr>
        <w:t>绿色发展新路子，构建五美融合发展新格局”</w:t>
      </w:r>
      <w:r>
        <w:rPr>
          <w:spacing w:val="5"/>
        </w:rPr>
        <w:t>等发展思路</w:t>
      </w:r>
      <w:r>
        <w:rPr>
          <w:spacing w:val="-54"/>
        </w:rPr>
        <w:t xml:space="preserve"> </w:t>
      </w:r>
      <w:r>
        <w:rPr>
          <w:spacing w:val="5"/>
        </w:rPr>
        <w:t>，扎实做好“两新一重”、生态治</w:t>
      </w:r>
      <w:r>
        <w:rPr>
          <w:spacing w:val="7"/>
        </w:rPr>
        <w:t>理、公共卫生、民生保障、乡村振兴等基础设</w:t>
      </w:r>
      <w:r>
        <w:rPr>
          <w:spacing w:val="7"/>
        </w:rPr>
        <w:t>施和生态经济、特色农业、文化旅游等重点产</w:t>
      </w:r>
      <w:r>
        <w:rPr>
          <w:spacing w:val="7"/>
        </w:rPr>
        <w:t>业方面项目储备工作，明确细化责任，常态化</w:t>
      </w:r>
      <w:r>
        <w:rPr>
          <w:spacing w:val="7"/>
        </w:rPr>
        <w:t>对接，争取中央和自治区政策和资金支持，增</w:t>
      </w:r>
      <w:r>
        <w:rPr>
          <w:spacing w:val="9"/>
        </w:rPr>
        <w:t>强财政提供基本公共服务保障能力。</w:t>
      </w:r>
    </w:p>
    <w:p>
      <w:pPr>
        <w:pStyle w:val="BodyText"/>
        <w:ind w:left="3" w:right="56" w:firstLine="410"/>
        <w:spacing w:before="167" w:line="300" w:lineRule="auto"/>
        <w:rPr/>
      </w:pPr>
      <w:r>
        <w:rPr>
          <w:rFonts w:ascii="KaiTi" w:hAnsi="KaiTi" w:eastAsia="KaiTi" w:cs="KaiTi"/>
          <w:b/>
          <w:bCs/>
          <w:spacing w:val="-4"/>
        </w:rPr>
        <w:t>（</w:t>
      </w:r>
      <w:r>
        <w:rPr>
          <w:rFonts w:ascii="KaiTi" w:hAnsi="KaiTi" w:eastAsia="KaiTi" w:cs="KaiTi"/>
          <w:spacing w:val="-39"/>
        </w:rPr>
        <w:t xml:space="preserve"> </w:t>
      </w:r>
      <w:r>
        <w:rPr>
          <w:rFonts w:ascii="KaiTi" w:hAnsi="KaiTi" w:eastAsia="KaiTi" w:cs="KaiTi"/>
          <w:b/>
          <w:bCs/>
          <w:spacing w:val="-4"/>
        </w:rPr>
        <w:t>二）守牢民生底线，优先保障重点支出。</w:t>
      </w:r>
      <w:r>
        <w:rPr>
          <w:spacing w:val="5"/>
        </w:rPr>
        <w:t>一是兜牢</w:t>
      </w:r>
      <w:r>
        <w:rPr>
          <w:spacing w:val="-57"/>
        </w:rPr>
        <w:t xml:space="preserve"> </w:t>
      </w:r>
      <w:r>
        <w:rPr>
          <w:rFonts w:ascii="FangSong" w:hAnsi="FangSong" w:eastAsia="FangSong" w:cs="FangSong"/>
          <w:spacing w:val="5"/>
        </w:rPr>
        <w:t>“</w:t>
      </w:r>
      <w:r>
        <w:rPr>
          <w:spacing w:val="5"/>
        </w:rPr>
        <w:t>三保</w:t>
      </w:r>
      <w:r>
        <w:rPr>
          <w:rFonts w:ascii="FangSong" w:hAnsi="FangSong" w:eastAsia="FangSong" w:cs="FangSong"/>
          <w:spacing w:val="5"/>
        </w:rPr>
        <w:t>”</w:t>
      </w:r>
      <w:r>
        <w:rPr>
          <w:spacing w:val="5"/>
        </w:rPr>
        <w:t>支出底线。在财政收支矛盾</w:t>
      </w:r>
    </w:p>
    <w:p>
      <w:pPr>
        <w:spacing w:line="300" w:lineRule="auto"/>
        <w:sectPr>
          <w:type w:val="continuous"/>
          <w:pgSz w:w="11906" w:h="16839"/>
          <w:pgMar w:top="1845" w:right="1442" w:bottom="1661" w:left="1551" w:header="1428" w:footer="1289" w:gutter="0"/>
          <w:cols w:equalWidth="0" w:num="2">
            <w:col w:w="4516" w:space="100"/>
            <w:col w:w="4297" w:space="0"/>
          </w:cols>
        </w:sectPr>
        <w:rPr/>
      </w:pPr>
    </w:p>
    <w:p>
      <w:pPr>
        <w:spacing w:before="109"/>
        <w:rPr/>
      </w:pPr>
      <w:r/>
    </w:p>
    <w:p>
      <w:pPr>
        <w:sectPr>
          <w:headerReference w:type="default" r:id="rId17"/>
          <w:footerReference w:type="default" r:id="rId18"/>
          <w:pgSz w:w="11906" w:h="16839"/>
          <w:pgMar w:top="1845" w:right="1489" w:bottom="1672" w:left="1560" w:header="1428" w:footer="1277" w:gutter="0"/>
          <w:cols w:equalWidth="0" w:num="1">
            <w:col w:w="8857" w:space="0"/>
          </w:cols>
        </w:sectPr>
        <w:rPr/>
      </w:pPr>
    </w:p>
    <w:p>
      <w:pPr>
        <w:pStyle w:val="BodyText"/>
        <w:ind w:left="32" w:right="283" w:firstLine="6"/>
        <w:spacing w:before="35" w:line="378" w:lineRule="auto"/>
        <w:jc w:val="both"/>
        <w:rPr/>
      </w:pPr>
      <w:r>
        <w:rPr>
          <w:spacing w:val="6"/>
        </w:rPr>
        <w:t>突出的情况下，认真贯彻落实中央和自治区关</w:t>
      </w:r>
      <w:r>
        <w:rPr>
          <w:spacing w:val="7"/>
        </w:rPr>
        <w:t>于党政机关树牢过紧日子思想的要求，在预算</w:t>
      </w:r>
      <w:r>
        <w:rPr>
          <w:spacing w:val="5"/>
        </w:rPr>
        <w:t>支出安排顺序上，坚持</w:t>
      </w:r>
      <w:r>
        <w:rPr>
          <w:spacing w:val="-55"/>
        </w:rPr>
        <w:t xml:space="preserve"> </w:t>
      </w:r>
      <w:r>
        <w:rPr>
          <w:rFonts w:ascii="FangSong" w:hAnsi="FangSong" w:eastAsia="FangSong" w:cs="FangSong"/>
          <w:spacing w:val="5"/>
        </w:rPr>
        <w:t>“</w:t>
      </w:r>
      <w:r>
        <w:rPr>
          <w:spacing w:val="5"/>
        </w:rPr>
        <w:t>三保</w:t>
      </w:r>
      <w:r>
        <w:rPr>
          <w:rFonts w:ascii="FangSong" w:hAnsi="FangSong" w:eastAsia="FangSong" w:cs="FangSong"/>
          <w:spacing w:val="5"/>
        </w:rPr>
        <w:t>”</w:t>
      </w:r>
      <w:r>
        <w:rPr>
          <w:spacing w:val="5"/>
        </w:rPr>
        <w:t>支出优先；在</w:t>
      </w:r>
      <w:r>
        <w:rPr>
          <w:spacing w:val="5"/>
        </w:rPr>
        <w:t>预算执行中，统筹各类资金保障</w:t>
      </w:r>
      <w:r>
        <w:rPr>
          <w:spacing w:val="-55"/>
        </w:rPr>
        <w:t xml:space="preserve"> </w:t>
      </w:r>
      <w:r>
        <w:rPr>
          <w:rFonts w:ascii="FangSong" w:hAnsi="FangSong" w:eastAsia="FangSong" w:cs="FangSong"/>
          <w:spacing w:val="5"/>
        </w:rPr>
        <w:t>“</w:t>
      </w:r>
      <w:r>
        <w:rPr>
          <w:spacing w:val="5"/>
        </w:rPr>
        <w:t>三保</w:t>
      </w:r>
      <w:r>
        <w:rPr>
          <w:rFonts w:ascii="FangSong" w:hAnsi="FangSong" w:eastAsia="FangSong" w:cs="FangSong"/>
          <w:spacing w:val="5"/>
        </w:rPr>
        <w:t>”</w:t>
      </w:r>
      <w:r>
        <w:rPr>
          <w:spacing w:val="5"/>
        </w:rPr>
        <w:t>支出</w:t>
      </w:r>
      <w:r>
        <w:rPr>
          <w:spacing w:val="5"/>
        </w:rPr>
        <w:t>优先，确保</w:t>
      </w:r>
      <w:r>
        <w:rPr>
          <w:spacing w:val="-55"/>
        </w:rPr>
        <w:t xml:space="preserve"> </w:t>
      </w:r>
      <w:r>
        <w:rPr>
          <w:rFonts w:ascii="FangSong" w:hAnsi="FangSong" w:eastAsia="FangSong" w:cs="FangSong"/>
          <w:spacing w:val="5"/>
        </w:rPr>
        <w:t>“</w:t>
      </w:r>
      <w:r>
        <w:rPr>
          <w:spacing w:val="5"/>
        </w:rPr>
        <w:t>三保</w:t>
      </w:r>
      <w:r>
        <w:rPr>
          <w:rFonts w:ascii="FangSong" w:hAnsi="FangSong" w:eastAsia="FangSong" w:cs="FangSong"/>
          <w:spacing w:val="5"/>
        </w:rPr>
        <w:t>”</w:t>
      </w:r>
      <w:r>
        <w:rPr>
          <w:spacing w:val="5"/>
        </w:rPr>
        <w:t>支出不出风险。二是保障</w:t>
      </w:r>
      <w:r>
        <w:rPr>
          <w:spacing w:val="5"/>
        </w:rPr>
        <w:t>重大决策落实。聚焦市委市政府重大决策部署</w:t>
      </w:r>
      <w:r>
        <w:rPr>
          <w:spacing w:val="16"/>
        </w:rPr>
        <w:t xml:space="preserve"> </w:t>
      </w:r>
      <w:r>
        <w:rPr>
          <w:spacing w:val="5"/>
        </w:rPr>
        <w:t>,</w:t>
      </w:r>
      <w:r>
        <w:rPr>
          <w:spacing w:val="57"/>
        </w:rPr>
        <w:t xml:space="preserve"> </w:t>
      </w:r>
      <w:r>
        <w:rPr>
          <w:spacing w:val="5"/>
        </w:rPr>
        <w:t>在兜牢</w:t>
      </w:r>
      <w:r>
        <w:rPr>
          <w:spacing w:val="-66"/>
        </w:rPr>
        <w:t xml:space="preserve"> </w:t>
      </w:r>
      <w:r>
        <w:rPr>
          <w:rFonts w:ascii="FangSong" w:hAnsi="FangSong" w:eastAsia="FangSong" w:cs="FangSong"/>
          <w:spacing w:val="5"/>
        </w:rPr>
        <w:t>“</w:t>
      </w:r>
      <w:r>
        <w:rPr>
          <w:spacing w:val="5"/>
        </w:rPr>
        <w:t>三保</w:t>
      </w:r>
      <w:r>
        <w:rPr>
          <w:rFonts w:ascii="FangSong" w:hAnsi="FangSong" w:eastAsia="FangSong" w:cs="FangSong"/>
          <w:spacing w:val="5"/>
        </w:rPr>
        <w:t>”</w:t>
      </w:r>
      <w:r>
        <w:rPr>
          <w:spacing w:val="5"/>
        </w:rPr>
        <w:t>支出的前提下，按照可持续</w:t>
      </w:r>
      <w:r>
        <w:rPr/>
        <w:t xml:space="preserve"> </w:t>
      </w:r>
      <w:r>
        <w:rPr>
          <w:spacing w:val="17"/>
        </w:rPr>
        <w:t>、保重点的原则集中财力向民生实事、重大</w:t>
      </w:r>
      <w:r>
        <w:rPr>
          <w:spacing w:val="7"/>
        </w:rPr>
        <w:t>决策、重点项目倾斜，保障重大决策落实和重</w:t>
      </w:r>
      <w:r>
        <w:rPr>
          <w:spacing w:val="7"/>
        </w:rPr>
        <w:t>点项目顺利实施。支持“四个一”林草和文化</w:t>
      </w:r>
      <w:r>
        <w:rPr>
          <w:spacing w:val="7"/>
        </w:rPr>
        <w:t>旅游产业发展、债务化解、科研投入、航线补</w:t>
      </w:r>
      <w:r>
        <w:rPr>
          <w:spacing w:val="8"/>
        </w:rPr>
        <w:t>贴等民生和重大决策落实。</w:t>
      </w:r>
    </w:p>
    <w:p>
      <w:pPr>
        <w:pStyle w:val="BodyText"/>
        <w:ind w:left="30" w:right="237" w:firstLine="413"/>
        <w:spacing w:before="16" w:line="360" w:lineRule="auto"/>
        <w:rPr/>
      </w:pPr>
      <w:r>
        <w:rPr>
          <w:rFonts w:ascii="KaiTi" w:hAnsi="KaiTi" w:eastAsia="KaiTi" w:cs="KaiTi"/>
          <w:b/>
          <w:bCs/>
          <w:spacing w:val="-4"/>
        </w:rPr>
        <w:t>（</w:t>
      </w:r>
      <w:r>
        <w:rPr>
          <w:rFonts w:ascii="KaiTi" w:hAnsi="KaiTi" w:eastAsia="KaiTi" w:cs="KaiTi"/>
          <w:spacing w:val="-39"/>
        </w:rPr>
        <w:t xml:space="preserve"> </w:t>
      </w:r>
      <w:r>
        <w:rPr>
          <w:rFonts w:ascii="KaiTi" w:hAnsi="KaiTi" w:eastAsia="KaiTi" w:cs="KaiTi"/>
          <w:b/>
          <w:bCs/>
          <w:spacing w:val="-4"/>
        </w:rPr>
        <w:t>三）完善管理制度，防范化解债务风险。</w:t>
      </w:r>
      <w:r>
        <w:rPr>
          <w:spacing w:val="7"/>
        </w:rPr>
        <w:t>一是健全债务管理机制。合理确定政府债务规</w:t>
      </w:r>
      <w:r>
        <w:rPr>
          <w:spacing w:val="1"/>
        </w:rPr>
        <w:t>模，依法构建管理规范、责任清晰、公开透明、</w:t>
      </w:r>
      <w:r>
        <w:rPr>
          <w:spacing w:val="7"/>
        </w:rPr>
        <w:t>风险可控的地方政府举债融资机制；建立健全</w:t>
      </w:r>
      <w:r>
        <w:rPr>
          <w:spacing w:val="7"/>
        </w:rPr>
        <w:t>地方政府债务风险评估指标体系、偿债能力评</w:t>
      </w:r>
      <w:r>
        <w:rPr>
          <w:spacing w:val="7"/>
        </w:rPr>
        <w:t>估机制、风险预警机制；防范化解地方政府隐</w:t>
      </w:r>
      <w:r>
        <w:rPr>
          <w:spacing w:val="7"/>
        </w:rPr>
        <w:t>性债务风险，完善常态化监控机制，决不允许</w:t>
      </w:r>
      <w:r>
        <w:rPr>
          <w:spacing w:val="7"/>
        </w:rPr>
        <w:t>通过新增隐性债务上新项目、铺新摊子；全面</w:t>
      </w:r>
      <w:r>
        <w:rPr>
          <w:spacing w:val="7"/>
        </w:rPr>
        <w:t>加强项目财政承受能力论证和预算评审，涉及</w:t>
      </w:r>
      <w:r>
        <w:rPr>
          <w:spacing w:val="7"/>
        </w:rPr>
        <w:t>财政支出的全部依法纳入预算管理；清理规范</w:t>
      </w:r>
      <w:r>
        <w:rPr>
          <w:spacing w:val="7"/>
        </w:rPr>
        <w:t>地方融资平台公司，剥离其政府融资职能；健</w:t>
      </w:r>
      <w:r>
        <w:rPr>
          <w:spacing w:val="7"/>
        </w:rPr>
        <w:t>全市场化、法制化的债务违约处置机制，坚决</w:t>
      </w:r>
      <w:r>
        <w:rPr>
          <w:spacing w:val="7"/>
        </w:rPr>
        <w:t>防止风险累积形成系统性风险。二是制定《固</w:t>
      </w:r>
      <w:r>
        <w:rPr>
          <w:spacing w:val="2"/>
        </w:rPr>
        <w:t>原市本级</w:t>
      </w:r>
      <w:r>
        <w:rPr>
          <w:spacing w:val="-45"/>
        </w:rPr>
        <w:t xml:space="preserve"> </w:t>
      </w:r>
      <w:r>
        <w:rPr>
          <w:rFonts w:ascii="Times New Roman" w:hAnsi="Times New Roman" w:eastAsia="Times New Roman" w:cs="Times New Roman"/>
          <w:spacing w:val="2"/>
        </w:rPr>
        <w:t>2021 </w:t>
      </w:r>
      <w:r>
        <w:rPr>
          <w:spacing w:val="2"/>
        </w:rPr>
        <w:t>年政府债务偿还工作方案》</w:t>
      </w:r>
      <w:r>
        <w:rPr>
          <w:spacing w:val="1"/>
        </w:rPr>
        <w:t>，多</w:t>
      </w:r>
      <w:r>
        <w:rPr>
          <w:spacing w:val="7"/>
        </w:rPr>
        <w:t>渠道多措施控增量、化存量，完成限额内政府</w:t>
      </w:r>
      <w:r>
        <w:rPr>
          <w:spacing w:val="7"/>
        </w:rPr>
        <w:t>债务不超自治区核定的限额、隐性债务只减不</w:t>
      </w:r>
      <w:r>
        <w:rPr>
          <w:spacing w:val="9"/>
        </w:rPr>
        <w:t>增的目标，确保不发生系统性、区域性风险。</w:t>
      </w:r>
    </w:p>
    <w:p>
      <w:pPr>
        <w:pStyle w:val="BodyText"/>
        <w:ind w:left="31" w:right="237" w:firstLine="413"/>
        <w:spacing w:before="169" w:line="323" w:lineRule="auto"/>
        <w:rPr/>
      </w:pPr>
      <w:r>
        <w:rPr>
          <w:rFonts w:ascii="KaiTi" w:hAnsi="KaiTi" w:eastAsia="KaiTi" w:cs="KaiTi"/>
          <w:b/>
          <w:bCs/>
          <w:spacing w:val="-4"/>
        </w:rPr>
        <w:t>（</w:t>
      </w:r>
      <w:r>
        <w:rPr>
          <w:rFonts w:ascii="KaiTi" w:hAnsi="KaiTi" w:eastAsia="KaiTi" w:cs="KaiTi"/>
          <w:spacing w:val="-39"/>
        </w:rPr>
        <w:t xml:space="preserve"> </w:t>
      </w:r>
      <w:r>
        <w:rPr>
          <w:rFonts w:ascii="KaiTi" w:hAnsi="KaiTi" w:eastAsia="KaiTi" w:cs="KaiTi"/>
          <w:b/>
          <w:bCs/>
          <w:spacing w:val="-4"/>
        </w:rPr>
        <w:t>四）深化财政改革，提升预算管理水平。</w:t>
      </w:r>
      <w:r>
        <w:rPr>
          <w:spacing w:val="7"/>
        </w:rPr>
        <w:t>一是深化财税体制改革。完善全口径的政府预</w:t>
      </w:r>
      <w:r>
        <w:rPr>
          <w:spacing w:val="6"/>
        </w:rPr>
        <w:t>算管理体系，做好</w:t>
      </w:r>
      <w:r>
        <w:rPr>
          <w:spacing w:val="-61"/>
        </w:rPr>
        <w:t xml:space="preserve"> </w:t>
      </w:r>
      <w:r>
        <w:rPr>
          <w:rFonts w:ascii="FangSong" w:hAnsi="FangSong" w:eastAsia="FangSong" w:cs="FangSong"/>
          <w:spacing w:val="6"/>
        </w:rPr>
        <w:t>“</w:t>
      </w:r>
      <w:r>
        <w:rPr>
          <w:rFonts w:ascii="FangSong" w:hAnsi="FangSong" w:eastAsia="FangSong" w:cs="FangSong"/>
          <w:spacing w:val="-74"/>
        </w:rPr>
        <w:t xml:space="preserve"> </w:t>
      </w:r>
      <w:r>
        <w:rPr>
          <w:spacing w:val="6"/>
        </w:rPr>
        <w:t>四本</w:t>
      </w:r>
      <w:r>
        <w:rPr>
          <w:rFonts w:ascii="FangSong" w:hAnsi="FangSong" w:eastAsia="FangSong" w:cs="FangSong"/>
          <w:spacing w:val="6"/>
        </w:rPr>
        <w:t>”</w:t>
      </w:r>
      <w:r>
        <w:rPr>
          <w:spacing w:val="6"/>
        </w:rPr>
        <w:t>预算的统筹衔接；</w:t>
      </w:r>
    </w:p>
    <w:p>
      <w:pPr>
        <w:spacing w:line="14" w:lineRule="auto"/>
        <w:rPr>
          <w:rFonts w:ascii="Arial"/>
          <w:sz w:val="2"/>
        </w:rPr>
      </w:pPr>
      <w:r>
        <w:rPr>
          <w:rFonts w:ascii="Arial" w:hAnsi="Arial" w:eastAsia="Arial" w:cs="Arial"/>
          <w:sz w:val="2"/>
          <w:szCs w:val="2"/>
        </w:rPr>
        <w:br w:type="column"/>
      </w:r>
    </w:p>
    <w:p>
      <w:pPr>
        <w:pStyle w:val="BodyText"/>
        <w:ind w:right="101" w:firstLine="3"/>
        <w:spacing w:before="42" w:line="388" w:lineRule="auto"/>
        <w:jc w:val="both"/>
        <w:rPr/>
      </w:pPr>
      <w:r>
        <w:rPr>
          <w:spacing w:val="18"/>
        </w:rPr>
        <w:t>深入贯彻落实中央全面实施预算绩效管理的</w:t>
      </w:r>
      <w:r>
        <w:rPr>
          <w:spacing w:val="7"/>
        </w:rPr>
        <w:t>决定，加快建立全方位、全过程、全覆盖的预</w:t>
      </w:r>
      <w:r>
        <w:rPr>
          <w:spacing w:val="15"/>
        </w:rPr>
        <w:t>算绩效管理体系</w:t>
      </w:r>
      <w:r>
        <w:rPr>
          <w:spacing w:val="-39"/>
        </w:rPr>
        <w:t xml:space="preserve"> </w:t>
      </w:r>
      <w:r>
        <w:rPr>
          <w:spacing w:val="15"/>
        </w:rPr>
        <w:t>，推动预算和绩效管理一体</w:t>
      </w:r>
      <w:r>
        <w:rPr>
          <w:spacing w:val="7"/>
        </w:rPr>
        <w:t>化，提高财政资源配置效率和使用效益；认真</w:t>
      </w:r>
      <w:r>
        <w:rPr>
          <w:spacing w:val="18"/>
        </w:rPr>
        <w:t>落实人大预算审查监督重点向支出预算和政</w:t>
      </w:r>
      <w:r>
        <w:rPr>
          <w:spacing w:val="15"/>
        </w:rPr>
        <w:t>策拓展的要求</w:t>
      </w:r>
      <w:r>
        <w:rPr>
          <w:spacing w:val="-39"/>
        </w:rPr>
        <w:t xml:space="preserve"> </w:t>
      </w:r>
      <w:r>
        <w:rPr>
          <w:spacing w:val="15"/>
        </w:rPr>
        <w:t>，推行国有资产向人大报告制</w:t>
      </w:r>
      <w:r>
        <w:rPr>
          <w:spacing w:val="7"/>
        </w:rPr>
        <w:t>度，加大预决算公开力度，提高预算支出和政</w:t>
      </w:r>
      <w:r>
        <w:rPr>
          <w:spacing w:val="7"/>
        </w:rPr>
        <w:t>策透明度；强化预算执行管理，加快财政性资</w:t>
      </w:r>
      <w:r>
        <w:rPr>
          <w:spacing w:val="7"/>
        </w:rPr>
        <w:t>金支付进度，确保资金落地发挥效益；健全完</w:t>
      </w:r>
      <w:r>
        <w:rPr>
          <w:spacing w:val="5"/>
        </w:rPr>
        <w:t>善财务内控机制，严格执行</w:t>
      </w:r>
      <w:r>
        <w:rPr>
          <w:spacing w:val="-54"/>
        </w:rPr>
        <w:t xml:space="preserve"> </w:t>
      </w:r>
      <w:r>
        <w:rPr>
          <w:rFonts w:ascii="FangSong" w:hAnsi="FangSong" w:eastAsia="FangSong" w:cs="FangSong"/>
          <w:spacing w:val="5"/>
        </w:rPr>
        <w:t>“</w:t>
      </w:r>
      <w:r>
        <w:rPr>
          <w:spacing w:val="5"/>
        </w:rPr>
        <w:t>三重一大</w:t>
      </w:r>
      <w:r>
        <w:rPr>
          <w:rFonts w:ascii="FangSong" w:hAnsi="FangSong" w:eastAsia="FangSong" w:cs="FangSong"/>
          <w:spacing w:val="5"/>
        </w:rPr>
        <w:t>”</w:t>
      </w:r>
      <w:r>
        <w:rPr>
          <w:spacing w:val="5"/>
        </w:rPr>
        <w:t>事项</w:t>
      </w:r>
      <w:r>
        <w:rPr>
          <w:spacing w:val="7"/>
        </w:rPr>
        <w:t>审批制度，提高财务管理水平。二是推进事权</w:t>
      </w:r>
      <w:r>
        <w:rPr>
          <w:spacing w:val="7"/>
        </w:rPr>
        <w:t>支出划分。全面贯彻落实中央和自治区有关推</w:t>
      </w:r>
      <w:r>
        <w:rPr>
          <w:spacing w:val="7"/>
        </w:rPr>
        <w:t>进财政事权和支出责任改革要求，进一步明确</w:t>
      </w:r>
      <w:r>
        <w:rPr>
          <w:spacing w:val="15"/>
        </w:rPr>
        <w:t>市与辖区的职责范围</w:t>
      </w:r>
      <w:r>
        <w:rPr>
          <w:spacing w:val="-39"/>
        </w:rPr>
        <w:t xml:space="preserve"> </w:t>
      </w:r>
      <w:r>
        <w:rPr>
          <w:spacing w:val="15"/>
        </w:rPr>
        <w:t>，合理划分市级财政事</w:t>
      </w:r>
      <w:r>
        <w:rPr>
          <w:spacing w:val="18"/>
        </w:rPr>
        <w:t>权、市辖区财政事权及市与辖区财政共同事</w:t>
      </w:r>
      <w:r>
        <w:rPr>
          <w:spacing w:val="7"/>
        </w:rPr>
        <w:t>权，逐步建立权责清晰、财力协调、区域均衡</w:t>
      </w:r>
      <w:r>
        <w:rPr>
          <w:spacing w:val="7"/>
        </w:rPr>
        <w:t>的市与辖区财政关系，推动形成稳定的各级政</w:t>
      </w:r>
      <w:r>
        <w:rPr>
          <w:spacing w:val="9"/>
        </w:rPr>
        <w:t>府事权、支出责任和财力相适应的制度。</w:t>
      </w:r>
    </w:p>
    <w:p>
      <w:pPr>
        <w:pStyle w:val="BodyText"/>
        <w:ind w:right="36" w:firstLine="421"/>
        <w:spacing w:before="7" w:line="386" w:lineRule="auto"/>
        <w:jc w:val="both"/>
        <w:rPr/>
      </w:pPr>
      <w:r>
        <w:rPr>
          <w:rFonts w:ascii="Times New Roman" w:hAnsi="Times New Roman" w:eastAsia="Times New Roman" w:cs="Times New Roman"/>
          <w:spacing w:val="13"/>
        </w:rPr>
        <w:t>2021 </w:t>
      </w:r>
      <w:r>
        <w:rPr>
          <w:spacing w:val="13"/>
        </w:rPr>
        <w:t>年我市财政工作面临诸多的困难和</w:t>
      </w:r>
      <w:r>
        <w:rPr>
          <w:spacing w:val="7"/>
        </w:rPr>
        <w:t>矛盾，完成全年财政目标任务十分艰巨，各部</w:t>
      </w:r>
      <w:r>
        <w:rPr/>
        <w:t>门（单位）都要提高政治站位，强化大局意识，</w:t>
      </w:r>
      <w:r>
        <w:rPr>
          <w:spacing w:val="7"/>
        </w:rPr>
        <w:t>立足市情，牢固树立过紧日子的思想，发扬艰</w:t>
      </w:r>
      <w:r>
        <w:rPr>
          <w:spacing w:val="7"/>
        </w:rPr>
        <w:t>苦奋斗、勤俭办事的优良传统，量入为出、厉</w:t>
      </w:r>
      <w:r>
        <w:rPr>
          <w:spacing w:val="7"/>
        </w:rPr>
        <w:t>行节约、反对铺张浪费，合理安排支出，开源</w:t>
      </w:r>
      <w:r>
        <w:rPr>
          <w:spacing w:val="7"/>
        </w:rPr>
        <w:t>节流，努力增收节支，确保全年财政预算收支</w:t>
      </w:r>
      <w:r>
        <w:rPr>
          <w:spacing w:val="8"/>
        </w:rPr>
        <w:t>任务的圆满完成。</w:t>
      </w:r>
    </w:p>
    <w:p>
      <w:pPr>
        <w:pStyle w:val="BodyText"/>
        <w:ind w:left="434"/>
        <w:spacing w:before="4" w:line="277" w:lineRule="exact"/>
        <w:rPr/>
      </w:pPr>
      <w:r>
        <w:rPr>
          <w:spacing w:val="7"/>
          <w:position w:val="1"/>
        </w:rPr>
        <w:t>附件：固原市本级</w:t>
      </w:r>
      <w:r>
        <w:rPr>
          <w:spacing w:val="-36"/>
          <w:position w:val="1"/>
        </w:rPr>
        <w:t xml:space="preserve"> </w:t>
      </w:r>
      <w:r>
        <w:rPr>
          <w:rFonts w:ascii="Times New Roman" w:hAnsi="Times New Roman" w:eastAsia="Times New Roman" w:cs="Times New Roman"/>
          <w:spacing w:val="7"/>
          <w:position w:val="1"/>
        </w:rPr>
        <w:t>2021 </w:t>
      </w:r>
      <w:r>
        <w:rPr>
          <w:spacing w:val="7"/>
          <w:position w:val="1"/>
        </w:rPr>
        <w:t>年政府预算报表</w:t>
      </w:r>
    </w:p>
    <w:p>
      <w:pPr>
        <w:spacing w:line="463" w:lineRule="auto"/>
        <w:rPr>
          <w:rFonts w:ascii="Arial"/>
          <w:sz w:val="21"/>
        </w:rPr>
      </w:pPr>
      <w:r/>
    </w:p>
    <w:p>
      <w:pPr>
        <w:pStyle w:val="BodyText"/>
        <w:ind w:left="2703"/>
        <w:spacing w:before="65" w:line="218" w:lineRule="auto"/>
        <w:rPr/>
      </w:pPr>
      <w:r>
        <w:rPr>
          <w:spacing w:val="6"/>
        </w:rPr>
        <w:t>固原市人民政府</w:t>
      </w:r>
    </w:p>
    <w:p>
      <w:pPr>
        <w:pStyle w:val="BodyText"/>
        <w:ind w:left="2632"/>
        <w:spacing w:before="163" w:line="218" w:lineRule="auto"/>
        <w:rPr/>
      </w:pPr>
      <w:r>
        <w:rPr>
          <w:rFonts w:ascii="Times New Roman" w:hAnsi="Times New Roman" w:eastAsia="Times New Roman" w:cs="Times New Roman"/>
          <w:spacing w:val="2"/>
        </w:rPr>
        <w:t>2021 </w:t>
      </w:r>
      <w:r>
        <w:rPr>
          <w:spacing w:val="2"/>
        </w:rPr>
        <w:t>年</w:t>
      </w:r>
      <w:r>
        <w:rPr>
          <w:spacing w:val="-35"/>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月</w:t>
      </w:r>
      <w:r>
        <w:rPr>
          <w:spacing w:val="-41"/>
        </w:rPr>
        <w:t xml:space="preserve"> </w:t>
      </w:r>
      <w:r>
        <w:rPr>
          <w:rFonts w:ascii="Times New Roman" w:hAnsi="Times New Roman" w:eastAsia="Times New Roman" w:cs="Times New Roman"/>
          <w:spacing w:val="2"/>
        </w:rPr>
        <w:t>4  </w:t>
      </w:r>
      <w:r>
        <w:rPr>
          <w:spacing w:val="2"/>
        </w:rPr>
        <w:t>日</w:t>
      </w:r>
    </w:p>
    <w:p>
      <w:pPr>
        <w:pStyle w:val="BodyText"/>
        <w:ind w:left="413"/>
        <w:spacing w:before="158" w:line="227" w:lineRule="auto"/>
        <w:rPr/>
      </w:pPr>
      <w:r>
        <w:rPr>
          <w:spacing w:val="10"/>
        </w:rPr>
        <w:t>（此件公开发布）</w:t>
      </w:r>
    </w:p>
    <w:p>
      <w:pPr>
        <w:spacing w:line="227" w:lineRule="auto"/>
        <w:sectPr>
          <w:type w:val="continuous"/>
          <w:pgSz w:w="11906" w:h="16839"/>
          <w:pgMar w:top="1845" w:right="1489" w:bottom="1672" w:left="1560" w:header="1428" w:footer="1277" w:gutter="0"/>
          <w:cols w:equalWidth="0" w:num="2">
            <w:col w:w="4509" w:space="100"/>
            <w:col w:w="4249" w:space="0"/>
          </w:cols>
        </w:sectPr>
        <w:rPr/>
      </w:pPr>
    </w:p>
    <w:p>
      <w:pPr>
        <w:ind w:left="139"/>
        <w:spacing w:before="180"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附件</w:t>
      </w:r>
    </w:p>
    <w:p>
      <w:pPr>
        <w:pStyle w:val="BodyText"/>
        <w:ind w:left="1033"/>
        <w:spacing w:before="231" w:line="660" w:lineRule="exact"/>
        <w:rPr>
          <w:sz w:val="47"/>
          <w:szCs w:val="47"/>
        </w:rPr>
      </w:pPr>
      <w:r>
        <w:rPr>
          <w:sz w:val="47"/>
          <w:szCs w:val="47"/>
          <w:b/>
          <w:bCs/>
          <w:position w:val="3"/>
        </w:rPr>
        <w:t>固原市本级</w:t>
      </w:r>
      <w:r>
        <w:rPr>
          <w:sz w:val="47"/>
          <w:szCs w:val="47"/>
          <w:spacing w:val="-98"/>
          <w:position w:val="3"/>
        </w:rPr>
        <w:t xml:space="preserve"> </w:t>
      </w:r>
      <w:r>
        <w:rPr>
          <w:sz w:val="47"/>
          <w:szCs w:val="47"/>
          <w:b/>
          <w:bCs/>
          <w:position w:val="3"/>
        </w:rPr>
        <w:t>2021</w:t>
      </w:r>
      <w:r>
        <w:rPr>
          <w:sz w:val="47"/>
          <w:szCs w:val="47"/>
          <w:spacing w:val="-104"/>
          <w:position w:val="3"/>
        </w:rPr>
        <w:t xml:space="preserve"> </w:t>
      </w:r>
      <w:r>
        <w:rPr>
          <w:sz w:val="47"/>
          <w:szCs w:val="47"/>
          <w:b/>
          <w:bCs/>
          <w:position w:val="3"/>
        </w:rPr>
        <w:t>年政府预算报表</w:t>
      </w:r>
    </w:p>
    <w:p>
      <w:pPr>
        <w:spacing w:before="160"/>
        <w:rPr/>
      </w:pPr>
      <w:r/>
    </w:p>
    <w:p>
      <w:pPr>
        <w:sectPr>
          <w:headerReference w:type="default" r:id="rId19"/>
          <w:footerReference w:type="default" r:id="rId20"/>
          <w:pgSz w:w="11906" w:h="16839"/>
          <w:pgMar w:top="1819" w:right="1530" w:bottom="1661" w:left="1470" w:header="1428" w:footer="1289" w:gutter="0"/>
          <w:cols w:equalWidth="0" w:num="1">
            <w:col w:w="8905" w:space="0"/>
          </w:cols>
        </w:sectPr>
        <w:rPr/>
      </w:pPr>
    </w:p>
    <w:p>
      <w:pPr>
        <w:pStyle w:val="BodyText"/>
        <w:ind w:left="1714"/>
        <w:spacing w:before="76" w:line="216" w:lineRule="auto"/>
        <w:rPr>
          <w:sz w:val="35"/>
          <w:szCs w:val="35"/>
        </w:rPr>
      </w:pPr>
      <w:r>
        <w:rPr>
          <w:sz w:val="35"/>
          <w:szCs w:val="35"/>
          <w:b/>
          <w:bCs/>
          <w:spacing w:val="-29"/>
        </w:rPr>
        <w:t>目</w:t>
      </w:r>
      <w:r>
        <w:rPr>
          <w:sz w:val="35"/>
          <w:szCs w:val="35"/>
          <w:spacing w:val="11"/>
        </w:rPr>
        <w:t xml:space="preserve">  </w:t>
      </w:r>
      <w:r>
        <w:rPr>
          <w:sz w:val="35"/>
          <w:szCs w:val="35"/>
          <w:b/>
          <w:bCs/>
          <w:spacing w:val="-29"/>
        </w:rPr>
        <w:t>录</w:t>
      </w:r>
    </w:p>
    <w:p>
      <w:pPr>
        <w:spacing w:line="256" w:lineRule="auto"/>
        <w:rPr>
          <w:rFonts w:ascii="Arial"/>
          <w:sz w:val="21"/>
        </w:rPr>
      </w:pPr>
      <w:r/>
    </w:p>
    <w:p>
      <w:pPr>
        <w:spacing w:line="256" w:lineRule="auto"/>
        <w:rPr>
          <w:rFonts w:ascii="Arial"/>
          <w:sz w:val="21"/>
        </w:rPr>
      </w:pPr>
      <w:r/>
    </w:p>
    <w:p>
      <w:pPr>
        <w:pStyle w:val="BodyText"/>
        <w:ind w:left="124"/>
        <w:spacing w:before="65" w:line="277" w:lineRule="exact"/>
        <w:rPr/>
      </w:pPr>
      <w:r>
        <w:rPr>
          <w:spacing w:val="-3"/>
          <w:position w:val="1"/>
        </w:rPr>
        <w:t>表一</w:t>
      </w:r>
      <w:r>
        <w:rPr>
          <w:spacing w:val="21"/>
          <w:position w:val="1"/>
        </w:rPr>
        <w:t xml:space="preserve">  </w:t>
      </w:r>
      <w:r>
        <w:rPr>
          <w:spacing w:val="-3"/>
          <w:position w:val="1"/>
        </w:rPr>
        <w:t>固原市本级</w:t>
      </w:r>
      <w:r>
        <w:rPr>
          <w:spacing w:val="-51"/>
          <w:position w:val="1"/>
        </w:rPr>
        <w:t xml:space="preserve"> </w:t>
      </w:r>
      <w:r>
        <w:rPr>
          <w:spacing w:val="-3"/>
          <w:position w:val="1"/>
        </w:rPr>
        <w:t>2021</w:t>
      </w:r>
      <w:r>
        <w:rPr>
          <w:spacing w:val="-51"/>
          <w:position w:val="1"/>
        </w:rPr>
        <w:t xml:space="preserve"> </w:t>
      </w:r>
      <w:r>
        <w:rPr>
          <w:spacing w:val="-3"/>
          <w:position w:val="1"/>
        </w:rPr>
        <w:t>年一般公共预算收入表</w:t>
      </w:r>
    </w:p>
    <w:p>
      <w:pPr>
        <w:pStyle w:val="BodyText"/>
        <w:ind w:left="124"/>
        <w:spacing w:before="64" w:line="277" w:lineRule="exact"/>
        <w:rPr/>
      </w:pPr>
      <w:r>
        <w:rPr>
          <w:spacing w:val="-3"/>
          <w:position w:val="1"/>
        </w:rPr>
        <w:t>表二</w:t>
      </w:r>
      <w:r>
        <w:rPr>
          <w:spacing w:val="21"/>
          <w:position w:val="1"/>
        </w:rPr>
        <w:t xml:space="preserve">  </w:t>
      </w:r>
      <w:r>
        <w:rPr>
          <w:spacing w:val="-3"/>
          <w:position w:val="1"/>
        </w:rPr>
        <w:t>固原市本级</w:t>
      </w:r>
      <w:r>
        <w:rPr>
          <w:spacing w:val="-51"/>
          <w:position w:val="1"/>
        </w:rPr>
        <w:t xml:space="preserve"> </w:t>
      </w:r>
      <w:r>
        <w:rPr>
          <w:spacing w:val="-3"/>
          <w:position w:val="1"/>
        </w:rPr>
        <w:t>2021</w:t>
      </w:r>
      <w:r>
        <w:rPr>
          <w:spacing w:val="-51"/>
          <w:position w:val="1"/>
        </w:rPr>
        <w:t xml:space="preserve"> </w:t>
      </w:r>
      <w:r>
        <w:rPr>
          <w:spacing w:val="-3"/>
          <w:position w:val="1"/>
        </w:rPr>
        <w:t>年一般公共预算支出表</w:t>
      </w:r>
    </w:p>
    <w:p>
      <w:pPr>
        <w:pStyle w:val="BodyText"/>
        <w:ind w:left="768" w:right="392" w:hanging="644"/>
        <w:spacing w:before="64" w:line="298" w:lineRule="auto"/>
        <w:rPr/>
      </w:pPr>
      <w:r>
        <w:rPr>
          <w:spacing w:val="10"/>
        </w:rPr>
        <w:t>表三  固原市本级2021</w:t>
      </w:r>
      <w:r>
        <w:rPr>
          <w:spacing w:val="-37"/>
        </w:rPr>
        <w:t xml:space="preserve"> </w:t>
      </w:r>
      <w:r>
        <w:rPr>
          <w:spacing w:val="10"/>
        </w:rPr>
        <w:t>年一般公共预算支出</w:t>
      </w:r>
      <w:r>
        <w:rPr>
          <w:spacing w:val="2"/>
        </w:rPr>
        <w:t>明细表</w:t>
      </w:r>
    </w:p>
    <w:p>
      <w:pPr>
        <w:pStyle w:val="BodyText"/>
        <w:ind w:left="750" w:right="392" w:hanging="626"/>
        <w:spacing w:before="34" w:line="301" w:lineRule="auto"/>
        <w:rPr/>
      </w:pPr>
      <w:r>
        <w:rPr>
          <w:spacing w:val="10"/>
        </w:rPr>
        <w:t>表四  固原市本级2021</w:t>
      </w:r>
      <w:r>
        <w:rPr>
          <w:spacing w:val="-37"/>
        </w:rPr>
        <w:t xml:space="preserve"> </w:t>
      </w:r>
      <w:r>
        <w:rPr>
          <w:spacing w:val="10"/>
        </w:rPr>
        <w:t>年一般公共预算收支</w:t>
      </w:r>
      <w:r>
        <w:rPr>
          <w:spacing w:val="8"/>
        </w:rPr>
        <w:t>平衡表</w:t>
      </w:r>
    </w:p>
    <w:p>
      <w:pPr>
        <w:pStyle w:val="BodyText"/>
        <w:ind w:left="756" w:right="392" w:hanging="632"/>
        <w:spacing w:before="26" w:line="300" w:lineRule="auto"/>
        <w:rPr/>
      </w:pPr>
      <w:r>
        <w:rPr>
          <w:spacing w:val="10"/>
        </w:rPr>
        <w:t>表五  固原市本级2021</w:t>
      </w:r>
      <w:r>
        <w:rPr>
          <w:spacing w:val="-37"/>
        </w:rPr>
        <w:t xml:space="preserve"> </w:t>
      </w:r>
      <w:r>
        <w:rPr>
          <w:spacing w:val="10"/>
        </w:rPr>
        <w:t>年一般公共预算支出</w:t>
      </w:r>
      <w:r>
        <w:rPr>
          <w:spacing w:val="8"/>
        </w:rPr>
        <w:t>资金来源情况表</w:t>
      </w:r>
    </w:p>
    <w:p>
      <w:pPr>
        <w:pStyle w:val="BodyText"/>
        <w:ind w:left="751" w:right="392" w:hanging="627"/>
        <w:spacing w:before="31" w:line="299" w:lineRule="auto"/>
        <w:rPr/>
      </w:pPr>
      <w:r>
        <w:rPr>
          <w:spacing w:val="10"/>
        </w:rPr>
        <w:t>表六  固原市本级2021</w:t>
      </w:r>
      <w:r>
        <w:rPr>
          <w:spacing w:val="-37"/>
        </w:rPr>
        <w:t xml:space="preserve"> </w:t>
      </w:r>
      <w:r>
        <w:rPr>
          <w:spacing w:val="10"/>
        </w:rPr>
        <w:t>年政府预算支出经济</w:t>
      </w:r>
      <w:r>
        <w:rPr>
          <w:spacing w:val="8"/>
        </w:rPr>
        <w:t>分类情况表</w:t>
      </w:r>
    </w:p>
    <w:p>
      <w:pPr>
        <w:pStyle w:val="BodyText"/>
        <w:ind w:left="124"/>
        <w:spacing w:before="32" w:line="277" w:lineRule="exact"/>
        <w:rPr/>
      </w:pPr>
      <w:r>
        <w:rPr>
          <w:spacing w:val="-1"/>
          <w:position w:val="1"/>
        </w:rPr>
        <w:t>表七</w:t>
      </w:r>
      <w:r>
        <w:rPr>
          <w:spacing w:val="27"/>
          <w:position w:val="1"/>
        </w:rPr>
        <w:t xml:space="preserve">  </w:t>
      </w:r>
      <w:r>
        <w:rPr>
          <w:spacing w:val="-1"/>
          <w:position w:val="1"/>
        </w:rPr>
        <w:t>固原市本级</w:t>
      </w:r>
      <w:r>
        <w:rPr>
          <w:spacing w:val="-52"/>
          <w:position w:val="1"/>
        </w:rPr>
        <w:t xml:space="preserve"> </w:t>
      </w:r>
      <w:r>
        <w:rPr>
          <w:spacing w:val="-1"/>
          <w:position w:val="1"/>
        </w:rPr>
        <w:t>2021</w:t>
      </w:r>
      <w:r>
        <w:rPr>
          <w:spacing w:val="-53"/>
          <w:position w:val="1"/>
        </w:rPr>
        <w:t xml:space="preserve"> </w:t>
      </w:r>
      <w:r>
        <w:rPr>
          <w:spacing w:val="-1"/>
          <w:position w:val="1"/>
        </w:rPr>
        <w:t>年“三公经费”预算表</w:t>
      </w:r>
    </w:p>
    <w:p>
      <w:pPr>
        <w:pStyle w:val="BodyText"/>
        <w:ind w:left="749" w:right="392" w:hanging="625"/>
        <w:spacing w:before="64" w:line="298" w:lineRule="auto"/>
        <w:rPr/>
      </w:pPr>
      <w:r>
        <w:rPr>
          <w:spacing w:val="10"/>
        </w:rPr>
        <w:t>表八  固原市本级2021</w:t>
      </w:r>
      <w:r>
        <w:rPr>
          <w:spacing w:val="-37"/>
        </w:rPr>
        <w:t xml:space="preserve"> </w:t>
      </w:r>
      <w:r>
        <w:rPr>
          <w:spacing w:val="10"/>
        </w:rPr>
        <w:t>年财政专户资金收支</w:t>
      </w:r>
      <w:r>
        <w:rPr>
          <w:spacing w:val="8"/>
        </w:rPr>
        <w:t>计划表</w:t>
      </w:r>
    </w:p>
    <w:p>
      <w:pPr>
        <w:spacing w:line="14" w:lineRule="auto"/>
        <w:rPr>
          <w:rFonts w:ascii="Arial"/>
          <w:sz w:val="2"/>
        </w:rPr>
      </w:pPr>
      <w:r>
        <w:rPr>
          <w:rFonts w:ascii="Arial" w:hAnsi="Arial" w:eastAsia="Arial" w:cs="Arial"/>
          <w:sz w:val="2"/>
          <w:szCs w:val="2"/>
        </w:rPr>
        <w:br w:type="column"/>
      </w:r>
    </w:p>
    <w:p>
      <w:pPr>
        <w:pStyle w:val="BodyText"/>
        <w:ind w:left="627" w:right="122" w:hanging="627"/>
        <w:spacing w:before="67" w:line="311" w:lineRule="auto"/>
        <w:rPr/>
      </w:pPr>
      <w:r>
        <w:rPr>
          <w:spacing w:val="10"/>
        </w:rPr>
        <w:t>表九  固原市级</w:t>
      </w:r>
      <w:r>
        <w:rPr>
          <w:spacing w:val="-40"/>
        </w:rPr>
        <w:t xml:space="preserve"> </w:t>
      </w:r>
      <w:r>
        <w:rPr>
          <w:spacing w:val="10"/>
        </w:rPr>
        <w:t>2021年对下一般公共预算转</w:t>
      </w:r>
      <w:r>
        <w:rPr>
          <w:spacing w:val="9"/>
        </w:rPr>
        <w:t>移支付表（分地区）</w:t>
      </w:r>
    </w:p>
    <w:p>
      <w:pPr>
        <w:pStyle w:val="BodyText"/>
        <w:ind w:left="627" w:right="122" w:hanging="627"/>
        <w:spacing w:before="6" w:line="313" w:lineRule="auto"/>
        <w:rPr/>
      </w:pPr>
      <w:r>
        <w:rPr>
          <w:spacing w:val="10"/>
        </w:rPr>
        <w:t>表十  固原市级</w:t>
      </w:r>
      <w:r>
        <w:rPr>
          <w:spacing w:val="-40"/>
        </w:rPr>
        <w:t xml:space="preserve"> </w:t>
      </w:r>
      <w:r>
        <w:rPr>
          <w:spacing w:val="10"/>
        </w:rPr>
        <w:t>2021年对下一般公共预算专</w:t>
      </w:r>
      <w:r>
        <w:rPr>
          <w:spacing w:val="9"/>
        </w:rPr>
        <w:t>项支付表（分地区）</w:t>
      </w:r>
    </w:p>
    <w:p>
      <w:pPr>
        <w:pStyle w:val="BodyText"/>
        <w:ind w:left="845" w:right="122" w:hanging="845"/>
        <w:spacing w:line="300" w:lineRule="auto"/>
        <w:rPr/>
      </w:pPr>
      <w:r>
        <w:rPr>
          <w:spacing w:val="12"/>
        </w:rPr>
        <w:t>表十一  固原市本级2021年政府性基金预算</w:t>
      </w:r>
      <w:r>
        <w:rPr>
          <w:spacing w:val="5"/>
        </w:rPr>
        <w:t>收支表</w:t>
      </w:r>
    </w:p>
    <w:p>
      <w:pPr>
        <w:pStyle w:val="BodyText"/>
        <w:ind w:left="845" w:right="122" w:hanging="845"/>
        <w:spacing w:before="31" w:line="298" w:lineRule="auto"/>
        <w:rPr/>
      </w:pPr>
      <w:r>
        <w:rPr>
          <w:spacing w:val="12"/>
        </w:rPr>
        <w:t>表十二  固原市本级2021年政府性基金预算</w:t>
      </w:r>
      <w:r>
        <w:rPr>
          <w:spacing w:val="7"/>
        </w:rPr>
        <w:t>收支明细表</w:t>
      </w:r>
    </w:p>
    <w:p>
      <w:pPr>
        <w:pStyle w:val="BodyText"/>
        <w:ind w:left="840" w:right="122" w:hanging="840"/>
        <w:spacing w:before="33" w:line="300" w:lineRule="auto"/>
        <w:rPr/>
      </w:pPr>
      <w:r>
        <w:rPr>
          <w:spacing w:val="12"/>
        </w:rPr>
        <w:t>表十三  固原市本级2021年政府性基金预算</w:t>
      </w:r>
      <w:r>
        <w:rPr>
          <w:spacing w:val="9"/>
        </w:rPr>
        <w:t>支出资金来源情况表</w:t>
      </w:r>
    </w:p>
    <w:p>
      <w:pPr>
        <w:pStyle w:val="BodyText"/>
        <w:ind w:left="845" w:right="119" w:hanging="845"/>
        <w:spacing w:before="30" w:line="300" w:lineRule="auto"/>
        <w:rPr/>
      </w:pPr>
      <w:r>
        <w:rPr>
          <w:spacing w:val="10"/>
        </w:rPr>
        <w:t>表十四  固原市级2021</w:t>
      </w:r>
      <w:r>
        <w:rPr>
          <w:spacing w:val="-37"/>
        </w:rPr>
        <w:t xml:space="preserve"> </w:t>
      </w:r>
      <w:r>
        <w:rPr>
          <w:spacing w:val="10"/>
        </w:rPr>
        <w:t>年国有资本经营预算</w:t>
      </w:r>
      <w:r>
        <w:rPr>
          <w:spacing w:val="6"/>
        </w:rPr>
        <w:t>收支总表</w:t>
      </w:r>
    </w:p>
    <w:p>
      <w:pPr>
        <w:pStyle w:val="BodyText"/>
        <w:ind w:left="835" w:right="122" w:hanging="836"/>
        <w:spacing w:before="31" w:line="298" w:lineRule="auto"/>
        <w:rPr/>
      </w:pPr>
      <w:r>
        <w:rPr>
          <w:spacing w:val="12"/>
        </w:rPr>
        <w:t>表十五  固原市本级2021年社会保险基金预</w:t>
      </w:r>
      <w:r>
        <w:rPr>
          <w:spacing w:val="8"/>
        </w:rPr>
        <w:t>算收支表</w:t>
      </w:r>
    </w:p>
    <w:p>
      <w:pPr>
        <w:pStyle w:val="BodyText"/>
        <w:spacing w:before="34" w:line="277" w:lineRule="exact"/>
        <w:rPr/>
      </w:pPr>
      <w:r>
        <w:rPr>
          <w:spacing w:val="12"/>
          <w:position w:val="1"/>
        </w:rPr>
        <w:t>表十六  固原市本级2021年政府债务情况表</w:t>
      </w:r>
    </w:p>
    <w:p>
      <w:pPr>
        <w:spacing w:line="277" w:lineRule="exact"/>
        <w:sectPr>
          <w:type w:val="continuous"/>
          <w:pgSz w:w="11906" w:h="16839"/>
          <w:pgMar w:top="1819" w:right="1530" w:bottom="1661" w:left="1470" w:header="1428" w:footer="1289" w:gutter="0"/>
          <w:cols w:equalWidth="0" w:num="2">
            <w:col w:w="4601" w:space="100"/>
            <w:col w:w="4204" w:space="0"/>
          </w:cols>
        </w:sectPr>
        <w:rPr/>
      </w:pPr>
    </w:p>
    <w:p>
      <w:pPr>
        <w:spacing w:line="306" w:lineRule="auto"/>
        <w:rPr>
          <w:rFonts w:ascii="Arial"/>
          <w:sz w:val="21"/>
        </w:rPr>
      </w:pPr>
      <w:r/>
    </w:p>
    <w:p>
      <w:pPr>
        <w:ind w:left="125"/>
        <w:spacing w:before="87"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表一</w:t>
      </w:r>
    </w:p>
    <w:p>
      <w:pPr>
        <w:spacing w:line="249" w:lineRule="auto"/>
        <w:rPr>
          <w:rFonts w:ascii="Arial"/>
          <w:sz w:val="21"/>
        </w:rPr>
      </w:pPr>
      <w:r/>
    </w:p>
    <w:p>
      <w:pPr>
        <w:pStyle w:val="BodyText"/>
        <w:ind w:left="1356"/>
        <w:spacing w:before="114" w:line="223" w:lineRule="auto"/>
        <w:rPr>
          <w:sz w:val="35"/>
          <w:szCs w:val="35"/>
        </w:rPr>
      </w:pPr>
      <w:r>
        <w:rPr>
          <w:sz w:val="35"/>
          <w:szCs w:val="35"/>
          <w:b/>
          <w:bCs/>
          <w:spacing w:val="3"/>
        </w:rPr>
        <w:t>固原市本级</w:t>
      </w:r>
      <w:r>
        <w:rPr>
          <w:sz w:val="35"/>
          <w:szCs w:val="35"/>
          <w:spacing w:val="-77"/>
        </w:rPr>
        <w:t xml:space="preserve"> </w:t>
      </w:r>
      <w:r>
        <w:rPr>
          <w:sz w:val="35"/>
          <w:szCs w:val="35"/>
          <w:b/>
          <w:bCs/>
          <w:spacing w:val="3"/>
        </w:rPr>
        <w:t>2021</w:t>
      </w:r>
      <w:r>
        <w:rPr>
          <w:sz w:val="35"/>
          <w:szCs w:val="35"/>
          <w:spacing w:val="-75"/>
        </w:rPr>
        <w:t xml:space="preserve"> </w:t>
      </w:r>
      <w:r>
        <w:rPr>
          <w:sz w:val="35"/>
          <w:szCs w:val="35"/>
          <w:b/>
          <w:bCs/>
          <w:spacing w:val="3"/>
        </w:rPr>
        <w:t>年一般公共预算收入表</w:t>
      </w:r>
    </w:p>
    <w:p>
      <w:pPr>
        <w:pStyle w:val="BodyText"/>
        <w:ind w:left="7801"/>
        <w:spacing w:line="210" w:lineRule="auto"/>
        <w:rPr/>
      </w:pPr>
      <w:r>
        <w:rPr>
          <w:spacing w:val="9"/>
        </w:rPr>
        <w:t>单位：万元</w:t>
      </w:r>
    </w:p>
    <w:tbl>
      <w:tblPr>
        <w:tblStyle w:val="TableNormal"/>
        <w:tblW w:w="8793"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46"/>
        <w:gridCol w:w="1917"/>
        <w:gridCol w:w="1680"/>
        <w:gridCol w:w="1850"/>
      </w:tblGrid>
      <w:tr>
        <w:trPr>
          <w:trHeight w:val="489" w:hRule="atLeast"/>
        </w:trPr>
        <w:tc>
          <w:tcPr>
            <w:tcW w:w="3346" w:type="dxa"/>
            <w:vAlign w:val="top"/>
            <w:tcBorders>
              <w:left w:val="single" w:color="000000" w:sz="6" w:space="0"/>
              <w:top w:val="single" w:color="000000" w:sz="6" w:space="0"/>
            </w:tcBorders>
          </w:tcPr>
          <w:p>
            <w:pPr>
              <w:pStyle w:val="TableText"/>
              <w:ind w:left="1470"/>
              <w:spacing w:before="149" w:line="212" w:lineRule="auto"/>
              <w:rPr>
                <w:sz w:val="19"/>
                <w:szCs w:val="19"/>
              </w:rPr>
            </w:pPr>
            <w:r>
              <w:rPr>
                <w:sz w:val="19"/>
                <w:szCs w:val="19"/>
                <w:b/>
                <w:bCs/>
                <w:spacing w:val="6"/>
              </w:rPr>
              <w:t>项目</w:t>
            </w:r>
          </w:p>
        </w:tc>
        <w:tc>
          <w:tcPr>
            <w:tcW w:w="1917" w:type="dxa"/>
            <w:vAlign w:val="top"/>
            <w:tcBorders>
              <w:top w:val="single" w:color="000000" w:sz="6" w:space="0"/>
            </w:tcBorders>
          </w:tcPr>
          <w:p>
            <w:pPr>
              <w:pStyle w:val="TableText"/>
              <w:ind w:left="129"/>
              <w:spacing w:before="140" w:line="264" w:lineRule="exact"/>
              <w:rPr>
                <w:sz w:val="19"/>
                <w:szCs w:val="19"/>
              </w:rPr>
            </w:pPr>
            <w:r>
              <w:rPr>
                <w:sz w:val="19"/>
                <w:szCs w:val="19"/>
                <w:b/>
                <w:bCs/>
                <w:spacing w:val="2"/>
                <w:position w:val="1"/>
              </w:rPr>
              <w:t>上年决算（执行)数</w:t>
            </w:r>
          </w:p>
        </w:tc>
        <w:tc>
          <w:tcPr>
            <w:tcW w:w="1680" w:type="dxa"/>
            <w:vAlign w:val="top"/>
            <w:tcBorders>
              <w:top w:val="single" w:color="000000" w:sz="6" w:space="0"/>
            </w:tcBorders>
          </w:tcPr>
          <w:p>
            <w:pPr>
              <w:pStyle w:val="TableText"/>
              <w:ind w:left="545"/>
              <w:spacing w:before="143" w:line="221" w:lineRule="auto"/>
              <w:rPr>
                <w:sz w:val="19"/>
                <w:szCs w:val="19"/>
              </w:rPr>
            </w:pPr>
            <w:r>
              <w:rPr>
                <w:sz w:val="19"/>
                <w:szCs w:val="19"/>
                <w:b/>
                <w:bCs/>
                <w:spacing w:val="5"/>
              </w:rPr>
              <w:t>预算数</w:t>
            </w:r>
          </w:p>
        </w:tc>
        <w:tc>
          <w:tcPr>
            <w:tcW w:w="1850" w:type="dxa"/>
            <w:vAlign w:val="top"/>
            <w:tcBorders>
              <w:right w:val="single" w:color="000000" w:sz="6" w:space="0"/>
              <w:top w:val="single" w:color="000000" w:sz="6" w:space="0"/>
            </w:tcBorders>
          </w:tcPr>
          <w:p>
            <w:pPr>
              <w:pStyle w:val="TableText"/>
              <w:ind w:left="331" w:right="313" w:hanging="2"/>
              <w:spacing w:before="24" w:line="221" w:lineRule="auto"/>
              <w:rPr>
                <w:sz w:val="19"/>
                <w:szCs w:val="19"/>
              </w:rPr>
            </w:pPr>
            <w:r>
              <w:rPr>
                <w:sz w:val="19"/>
                <w:szCs w:val="19"/>
                <w:b/>
                <w:bCs/>
                <w:spacing w:val="7"/>
              </w:rPr>
              <w:t>预算数为决算</w:t>
            </w:r>
            <w:r>
              <w:rPr>
                <w:sz w:val="19"/>
                <w:szCs w:val="19"/>
                <w:b/>
                <w:bCs/>
                <w:spacing w:val="19"/>
              </w:rPr>
              <w:t>（执行）数%</w:t>
            </w:r>
          </w:p>
        </w:tc>
      </w:tr>
      <w:tr>
        <w:trPr>
          <w:trHeight w:val="243" w:hRule="atLeast"/>
        </w:trPr>
        <w:tc>
          <w:tcPr>
            <w:tcW w:w="3346" w:type="dxa"/>
            <w:vAlign w:val="top"/>
            <w:tcBorders>
              <w:left w:val="single" w:color="000000" w:sz="6" w:space="0"/>
            </w:tcBorders>
          </w:tcPr>
          <w:p>
            <w:pPr>
              <w:pStyle w:val="TableText"/>
              <w:ind w:left="107"/>
              <w:spacing w:before="23" w:line="204" w:lineRule="auto"/>
              <w:rPr>
                <w:sz w:val="19"/>
                <w:szCs w:val="19"/>
              </w:rPr>
            </w:pPr>
            <w:r>
              <w:rPr>
                <w:sz w:val="19"/>
                <w:szCs w:val="19"/>
                <w:spacing w:val="9"/>
              </w:rPr>
              <w:t>一、税收收入</w:t>
            </w:r>
          </w:p>
        </w:tc>
        <w:tc>
          <w:tcPr>
            <w:tcW w:w="1917" w:type="dxa"/>
            <w:vAlign w:val="top"/>
          </w:tcPr>
          <w:p>
            <w:pPr>
              <w:pStyle w:val="TableText"/>
              <w:ind w:left="1318"/>
              <w:spacing w:before="15" w:line="211" w:lineRule="auto"/>
              <w:rPr>
                <w:sz w:val="19"/>
                <w:szCs w:val="19"/>
              </w:rPr>
            </w:pPr>
            <w:r>
              <w:rPr>
                <w:sz w:val="19"/>
                <w:szCs w:val="19"/>
                <w:spacing w:val="2"/>
              </w:rPr>
              <w:t>36079</w:t>
            </w:r>
          </w:p>
        </w:tc>
        <w:tc>
          <w:tcPr>
            <w:tcW w:w="1680" w:type="dxa"/>
            <w:vAlign w:val="top"/>
          </w:tcPr>
          <w:p>
            <w:pPr>
              <w:pStyle w:val="TableText"/>
              <w:ind w:left="1078"/>
              <w:spacing w:before="15" w:line="211" w:lineRule="auto"/>
              <w:rPr>
                <w:sz w:val="19"/>
                <w:szCs w:val="19"/>
              </w:rPr>
            </w:pPr>
            <w:r>
              <w:rPr>
                <w:sz w:val="19"/>
                <w:szCs w:val="19"/>
                <w:spacing w:val="3"/>
              </w:rPr>
              <w:t>40000</w:t>
            </w:r>
          </w:p>
        </w:tc>
        <w:tc>
          <w:tcPr>
            <w:tcW w:w="1850" w:type="dxa"/>
            <w:vAlign w:val="top"/>
            <w:tcBorders>
              <w:right w:val="single" w:color="000000" w:sz="6" w:space="0"/>
            </w:tcBorders>
          </w:tcPr>
          <w:p>
            <w:pPr>
              <w:pStyle w:val="TableText"/>
              <w:ind w:left="1294"/>
              <w:spacing w:before="15" w:line="211" w:lineRule="auto"/>
              <w:rPr>
                <w:sz w:val="19"/>
                <w:szCs w:val="19"/>
              </w:rPr>
            </w:pPr>
            <w:r>
              <w:rPr>
                <w:sz w:val="19"/>
                <w:szCs w:val="19"/>
                <w:spacing w:val="14"/>
              </w:rPr>
              <w:t>111%</w:t>
            </w:r>
          </w:p>
        </w:tc>
      </w:tr>
      <w:tr>
        <w:trPr>
          <w:trHeight w:val="244" w:hRule="atLeast"/>
        </w:trPr>
        <w:tc>
          <w:tcPr>
            <w:tcW w:w="3346" w:type="dxa"/>
            <w:vAlign w:val="top"/>
            <w:tcBorders>
              <w:left w:val="single" w:color="000000" w:sz="6" w:space="0"/>
            </w:tcBorders>
          </w:tcPr>
          <w:p>
            <w:pPr>
              <w:pStyle w:val="TableText"/>
              <w:ind w:left="504"/>
              <w:spacing w:before="20" w:line="207" w:lineRule="auto"/>
              <w:rPr>
                <w:sz w:val="19"/>
                <w:szCs w:val="19"/>
              </w:rPr>
            </w:pPr>
            <w:r>
              <w:rPr>
                <w:sz w:val="19"/>
                <w:szCs w:val="19"/>
                <w:spacing w:val="8"/>
              </w:rPr>
              <w:t>增值税</w:t>
            </w:r>
          </w:p>
        </w:tc>
        <w:tc>
          <w:tcPr>
            <w:tcW w:w="1917" w:type="dxa"/>
            <w:vAlign w:val="top"/>
          </w:tcPr>
          <w:p>
            <w:pPr>
              <w:pStyle w:val="TableText"/>
              <w:ind w:left="1331"/>
              <w:spacing w:before="16" w:line="211" w:lineRule="auto"/>
              <w:rPr>
                <w:sz w:val="19"/>
                <w:szCs w:val="19"/>
              </w:rPr>
            </w:pPr>
            <w:r>
              <w:rPr>
                <w:sz w:val="19"/>
                <w:szCs w:val="19"/>
                <w:spacing w:val="-1"/>
              </w:rPr>
              <w:t>11296</w:t>
            </w:r>
          </w:p>
        </w:tc>
        <w:tc>
          <w:tcPr>
            <w:tcW w:w="1680" w:type="dxa"/>
            <w:vAlign w:val="top"/>
          </w:tcPr>
          <w:p>
            <w:pPr>
              <w:pStyle w:val="TableText"/>
              <w:ind w:left="636"/>
              <w:spacing w:before="16" w:line="211" w:lineRule="auto"/>
              <w:rPr>
                <w:sz w:val="19"/>
                <w:szCs w:val="19"/>
              </w:rPr>
            </w:pPr>
            <w:r>
              <w:rPr>
                <w:sz w:val="19"/>
                <w:szCs w:val="19"/>
                <w:spacing w:val="-9"/>
              </w:rPr>
              <w:t>14,735</w:t>
            </w:r>
          </w:p>
        </w:tc>
        <w:tc>
          <w:tcPr>
            <w:tcW w:w="1850" w:type="dxa"/>
            <w:vAlign w:val="top"/>
            <w:tcBorders>
              <w:right w:val="single" w:color="000000" w:sz="6" w:space="0"/>
            </w:tcBorders>
          </w:tcPr>
          <w:p>
            <w:pPr>
              <w:pStyle w:val="TableText"/>
              <w:ind w:left="1294"/>
              <w:spacing w:before="16" w:line="211" w:lineRule="auto"/>
              <w:rPr>
                <w:sz w:val="19"/>
                <w:szCs w:val="19"/>
              </w:rPr>
            </w:pPr>
            <w:r>
              <w:rPr>
                <w:sz w:val="19"/>
                <w:szCs w:val="19"/>
                <w:spacing w:val="14"/>
              </w:rPr>
              <w:t>130%</w:t>
            </w:r>
          </w:p>
        </w:tc>
      </w:tr>
      <w:tr>
        <w:trPr>
          <w:trHeight w:val="243" w:hRule="atLeast"/>
        </w:trPr>
        <w:tc>
          <w:tcPr>
            <w:tcW w:w="3346" w:type="dxa"/>
            <w:vAlign w:val="top"/>
            <w:tcBorders>
              <w:left w:val="single" w:color="000000" w:sz="6" w:space="0"/>
            </w:tcBorders>
          </w:tcPr>
          <w:p>
            <w:pPr>
              <w:pStyle w:val="TableText"/>
              <w:ind w:left="505"/>
              <w:spacing w:before="25" w:line="202" w:lineRule="auto"/>
              <w:rPr>
                <w:sz w:val="19"/>
                <w:szCs w:val="19"/>
              </w:rPr>
            </w:pPr>
            <w:r>
              <w:rPr>
                <w:sz w:val="19"/>
                <w:szCs w:val="19"/>
                <w:spacing w:val="8"/>
              </w:rPr>
              <w:t>企业所得税</w:t>
            </w:r>
          </w:p>
        </w:tc>
        <w:tc>
          <w:tcPr>
            <w:tcW w:w="1917" w:type="dxa"/>
            <w:vAlign w:val="top"/>
          </w:tcPr>
          <w:p>
            <w:pPr>
              <w:pStyle w:val="TableText"/>
              <w:ind w:left="1414"/>
              <w:spacing w:before="17" w:line="209" w:lineRule="auto"/>
              <w:rPr>
                <w:sz w:val="19"/>
                <w:szCs w:val="19"/>
              </w:rPr>
            </w:pPr>
            <w:r>
              <w:rPr>
                <w:sz w:val="19"/>
                <w:szCs w:val="19"/>
                <w:spacing w:val="2"/>
              </w:rPr>
              <w:t>2273</w:t>
            </w:r>
          </w:p>
        </w:tc>
        <w:tc>
          <w:tcPr>
            <w:tcW w:w="1680" w:type="dxa"/>
            <w:vAlign w:val="top"/>
          </w:tcPr>
          <w:p>
            <w:pPr>
              <w:pStyle w:val="TableText"/>
              <w:ind w:left="670"/>
              <w:spacing w:before="17" w:line="209" w:lineRule="auto"/>
              <w:rPr>
                <w:sz w:val="19"/>
                <w:szCs w:val="19"/>
              </w:rPr>
            </w:pPr>
            <w:r>
              <w:rPr>
                <w:sz w:val="19"/>
                <w:szCs w:val="19"/>
                <w:spacing w:val="-8"/>
              </w:rPr>
              <w:t>2,592</w:t>
            </w:r>
          </w:p>
        </w:tc>
        <w:tc>
          <w:tcPr>
            <w:tcW w:w="1850" w:type="dxa"/>
            <w:vAlign w:val="top"/>
            <w:tcBorders>
              <w:right w:val="single" w:color="000000" w:sz="6" w:space="0"/>
            </w:tcBorders>
          </w:tcPr>
          <w:p>
            <w:pPr>
              <w:pStyle w:val="TableText"/>
              <w:ind w:left="1294"/>
              <w:spacing w:before="17" w:line="209" w:lineRule="auto"/>
              <w:rPr>
                <w:sz w:val="19"/>
                <w:szCs w:val="19"/>
              </w:rPr>
            </w:pPr>
            <w:r>
              <w:rPr>
                <w:sz w:val="19"/>
                <w:szCs w:val="19"/>
                <w:spacing w:val="14"/>
              </w:rPr>
              <w:t>114%</w:t>
            </w:r>
          </w:p>
        </w:tc>
      </w:tr>
      <w:tr>
        <w:trPr>
          <w:trHeight w:val="244" w:hRule="atLeast"/>
        </w:trPr>
        <w:tc>
          <w:tcPr>
            <w:tcW w:w="3346" w:type="dxa"/>
            <w:vAlign w:val="top"/>
            <w:tcBorders>
              <w:left w:val="single" w:color="000000" w:sz="6" w:space="0"/>
            </w:tcBorders>
          </w:tcPr>
          <w:p>
            <w:pPr>
              <w:pStyle w:val="TableText"/>
              <w:ind w:left="505"/>
              <w:spacing w:before="29" w:line="199" w:lineRule="auto"/>
              <w:rPr>
                <w:sz w:val="19"/>
                <w:szCs w:val="19"/>
              </w:rPr>
            </w:pPr>
            <w:r>
              <w:rPr>
                <w:sz w:val="19"/>
                <w:szCs w:val="19"/>
                <w:spacing w:val="9"/>
              </w:rPr>
              <w:t>企业所得税退税</w:t>
            </w:r>
          </w:p>
        </w:tc>
        <w:tc>
          <w:tcPr>
            <w:tcW w:w="1917" w:type="dxa"/>
            <w:vAlign w:val="top"/>
          </w:tcPr>
          <w:p>
            <w:pPr>
              <w:spacing w:line="233" w:lineRule="exact"/>
              <w:rPr>
                <w:rFonts w:ascii="Arial"/>
                <w:sz w:val="20"/>
              </w:rPr>
            </w:pPr>
            <w:r/>
          </w:p>
        </w:tc>
        <w:tc>
          <w:tcPr>
            <w:tcW w:w="1680" w:type="dxa"/>
            <w:vAlign w:val="top"/>
          </w:tcPr>
          <w:p>
            <w:pPr>
              <w:spacing w:line="233" w:lineRule="exact"/>
              <w:rPr>
                <w:rFonts w:ascii="Arial"/>
                <w:sz w:val="20"/>
              </w:rPr>
            </w:pPr>
            <w:r/>
          </w:p>
        </w:tc>
        <w:tc>
          <w:tcPr>
            <w:tcW w:w="1850" w:type="dxa"/>
            <w:vAlign w:val="top"/>
            <w:tcBorders>
              <w:right w:val="single" w:color="000000" w:sz="6" w:space="0"/>
            </w:tcBorders>
          </w:tcPr>
          <w:p>
            <w:pPr>
              <w:spacing w:line="233" w:lineRule="exact"/>
              <w:rPr>
                <w:rFonts w:ascii="Arial"/>
                <w:sz w:val="20"/>
              </w:rPr>
            </w:pPr>
            <w:r/>
          </w:p>
        </w:tc>
      </w:tr>
      <w:tr>
        <w:trPr>
          <w:trHeight w:val="244" w:hRule="atLeast"/>
        </w:trPr>
        <w:tc>
          <w:tcPr>
            <w:tcW w:w="3346" w:type="dxa"/>
            <w:vAlign w:val="top"/>
            <w:tcBorders>
              <w:left w:val="single" w:color="000000" w:sz="6" w:space="0"/>
            </w:tcBorders>
          </w:tcPr>
          <w:p>
            <w:pPr>
              <w:pStyle w:val="TableText"/>
              <w:ind w:left="504"/>
              <w:spacing w:before="28" w:line="200" w:lineRule="auto"/>
              <w:rPr>
                <w:sz w:val="19"/>
                <w:szCs w:val="19"/>
              </w:rPr>
            </w:pPr>
            <w:r>
              <w:rPr>
                <w:sz w:val="19"/>
                <w:szCs w:val="19"/>
                <w:spacing w:val="9"/>
              </w:rPr>
              <w:t>个人所得税</w:t>
            </w:r>
          </w:p>
        </w:tc>
        <w:tc>
          <w:tcPr>
            <w:tcW w:w="1917" w:type="dxa"/>
            <w:vAlign w:val="top"/>
          </w:tcPr>
          <w:p>
            <w:pPr>
              <w:pStyle w:val="TableText"/>
              <w:ind w:left="1430"/>
              <w:spacing w:before="21" w:line="206" w:lineRule="auto"/>
              <w:rPr>
                <w:sz w:val="19"/>
                <w:szCs w:val="19"/>
              </w:rPr>
            </w:pPr>
            <w:r>
              <w:rPr>
                <w:sz w:val="19"/>
                <w:szCs w:val="19"/>
                <w:spacing w:val="-2"/>
              </w:rPr>
              <w:t>1075</w:t>
            </w:r>
          </w:p>
        </w:tc>
        <w:tc>
          <w:tcPr>
            <w:tcW w:w="1680" w:type="dxa"/>
            <w:vAlign w:val="top"/>
          </w:tcPr>
          <w:p>
            <w:pPr>
              <w:pStyle w:val="TableText"/>
              <w:ind w:left="686"/>
              <w:spacing w:before="21" w:line="206" w:lineRule="auto"/>
              <w:rPr>
                <w:sz w:val="19"/>
                <w:szCs w:val="19"/>
              </w:rPr>
            </w:pPr>
            <w:r>
              <w:rPr>
                <w:sz w:val="19"/>
                <w:szCs w:val="19"/>
                <w:spacing w:val="-11"/>
              </w:rPr>
              <w:t>1,015</w:t>
            </w:r>
          </w:p>
        </w:tc>
        <w:tc>
          <w:tcPr>
            <w:tcW w:w="1850" w:type="dxa"/>
            <w:vAlign w:val="top"/>
            <w:tcBorders>
              <w:right w:val="single" w:color="000000" w:sz="6" w:space="0"/>
            </w:tcBorders>
          </w:tcPr>
          <w:p>
            <w:pPr>
              <w:pStyle w:val="TableText"/>
              <w:ind w:left="1376"/>
              <w:spacing w:before="21" w:line="206" w:lineRule="auto"/>
              <w:rPr>
                <w:sz w:val="19"/>
                <w:szCs w:val="19"/>
              </w:rPr>
            </w:pPr>
            <w:r>
              <w:rPr>
                <w:sz w:val="19"/>
                <w:szCs w:val="19"/>
                <w:spacing w:val="11"/>
                <w:w w:val="113"/>
              </w:rPr>
              <w:t>94%</w:t>
            </w:r>
          </w:p>
        </w:tc>
      </w:tr>
      <w:tr>
        <w:trPr>
          <w:trHeight w:val="244" w:hRule="atLeast"/>
        </w:trPr>
        <w:tc>
          <w:tcPr>
            <w:tcW w:w="3346" w:type="dxa"/>
            <w:vAlign w:val="top"/>
            <w:tcBorders>
              <w:left w:val="single" w:color="000000" w:sz="6" w:space="0"/>
            </w:tcBorders>
          </w:tcPr>
          <w:p>
            <w:pPr>
              <w:pStyle w:val="TableText"/>
              <w:ind w:left="510"/>
              <w:spacing w:before="25" w:line="203" w:lineRule="auto"/>
              <w:rPr>
                <w:sz w:val="19"/>
                <w:szCs w:val="19"/>
              </w:rPr>
            </w:pPr>
            <w:r>
              <w:rPr>
                <w:sz w:val="19"/>
                <w:szCs w:val="19"/>
                <w:spacing w:val="7"/>
              </w:rPr>
              <w:t>资源税</w:t>
            </w:r>
          </w:p>
        </w:tc>
        <w:tc>
          <w:tcPr>
            <w:tcW w:w="1917" w:type="dxa"/>
            <w:vAlign w:val="top"/>
          </w:tcPr>
          <w:p>
            <w:pPr>
              <w:spacing w:line="233" w:lineRule="exact"/>
              <w:rPr>
                <w:rFonts w:ascii="Arial"/>
                <w:sz w:val="20"/>
              </w:rPr>
            </w:pPr>
            <w:r/>
          </w:p>
        </w:tc>
        <w:tc>
          <w:tcPr>
            <w:tcW w:w="1680" w:type="dxa"/>
            <w:vAlign w:val="top"/>
          </w:tcPr>
          <w:p>
            <w:pPr>
              <w:spacing w:line="233" w:lineRule="exact"/>
              <w:rPr>
                <w:rFonts w:ascii="Arial"/>
                <w:sz w:val="20"/>
              </w:rPr>
            </w:pPr>
            <w:r/>
          </w:p>
        </w:tc>
        <w:tc>
          <w:tcPr>
            <w:tcW w:w="1850" w:type="dxa"/>
            <w:vAlign w:val="top"/>
            <w:tcBorders>
              <w:right w:val="single" w:color="000000" w:sz="6" w:space="0"/>
            </w:tcBorders>
          </w:tcPr>
          <w:p>
            <w:pPr>
              <w:spacing w:line="233" w:lineRule="exact"/>
              <w:rPr>
                <w:rFonts w:ascii="Arial"/>
                <w:sz w:val="20"/>
              </w:rPr>
            </w:pPr>
            <w:r/>
          </w:p>
        </w:tc>
      </w:tr>
      <w:tr>
        <w:trPr>
          <w:trHeight w:val="244" w:hRule="atLeast"/>
        </w:trPr>
        <w:tc>
          <w:tcPr>
            <w:tcW w:w="3346" w:type="dxa"/>
            <w:vAlign w:val="top"/>
            <w:tcBorders>
              <w:left w:val="single" w:color="000000" w:sz="6" w:space="0"/>
            </w:tcBorders>
          </w:tcPr>
          <w:p>
            <w:pPr>
              <w:pStyle w:val="TableText"/>
              <w:ind w:left="506"/>
              <w:spacing w:before="24" w:line="204" w:lineRule="auto"/>
              <w:rPr>
                <w:sz w:val="19"/>
                <w:szCs w:val="19"/>
              </w:rPr>
            </w:pPr>
            <w:r>
              <w:rPr>
                <w:sz w:val="19"/>
                <w:szCs w:val="19"/>
                <w:spacing w:val="9"/>
              </w:rPr>
              <w:t>城市维护建设税</w:t>
            </w:r>
          </w:p>
        </w:tc>
        <w:tc>
          <w:tcPr>
            <w:tcW w:w="1917" w:type="dxa"/>
            <w:vAlign w:val="top"/>
          </w:tcPr>
          <w:p>
            <w:pPr>
              <w:pStyle w:val="TableText"/>
              <w:ind w:left="1411"/>
              <w:spacing w:before="21" w:line="206" w:lineRule="auto"/>
              <w:rPr>
                <w:sz w:val="19"/>
                <w:szCs w:val="19"/>
              </w:rPr>
            </w:pPr>
            <w:r>
              <w:rPr>
                <w:sz w:val="19"/>
                <w:szCs w:val="19"/>
                <w:spacing w:val="3"/>
              </w:rPr>
              <w:t>4336</w:t>
            </w:r>
          </w:p>
        </w:tc>
        <w:tc>
          <w:tcPr>
            <w:tcW w:w="1680" w:type="dxa"/>
            <w:vAlign w:val="top"/>
          </w:tcPr>
          <w:p>
            <w:pPr>
              <w:pStyle w:val="TableText"/>
              <w:ind w:left="667"/>
              <w:spacing w:before="21" w:line="206" w:lineRule="auto"/>
              <w:rPr>
                <w:sz w:val="19"/>
                <w:szCs w:val="19"/>
              </w:rPr>
            </w:pPr>
            <w:r>
              <w:rPr>
                <w:sz w:val="19"/>
                <w:szCs w:val="19"/>
                <w:spacing w:val="-7"/>
              </w:rPr>
              <w:t>4,336</w:t>
            </w:r>
          </w:p>
        </w:tc>
        <w:tc>
          <w:tcPr>
            <w:tcW w:w="1850" w:type="dxa"/>
            <w:vAlign w:val="top"/>
            <w:tcBorders>
              <w:right w:val="single" w:color="000000" w:sz="6" w:space="0"/>
            </w:tcBorders>
          </w:tcPr>
          <w:p>
            <w:pPr>
              <w:pStyle w:val="TableText"/>
              <w:ind w:left="1294"/>
              <w:spacing w:before="21" w:line="206" w:lineRule="auto"/>
              <w:rPr>
                <w:sz w:val="19"/>
                <w:szCs w:val="19"/>
              </w:rPr>
            </w:pPr>
            <w:r>
              <w:rPr>
                <w:sz w:val="19"/>
                <w:szCs w:val="19"/>
                <w:spacing w:val="14"/>
              </w:rPr>
              <w:t>100%</w:t>
            </w:r>
          </w:p>
        </w:tc>
      </w:tr>
      <w:tr>
        <w:trPr>
          <w:trHeight w:val="244" w:hRule="atLeast"/>
        </w:trPr>
        <w:tc>
          <w:tcPr>
            <w:tcW w:w="3346" w:type="dxa"/>
            <w:vAlign w:val="top"/>
            <w:tcBorders>
              <w:left w:val="single" w:color="000000" w:sz="6" w:space="0"/>
            </w:tcBorders>
          </w:tcPr>
          <w:p>
            <w:pPr>
              <w:pStyle w:val="TableText"/>
              <w:ind w:left="507"/>
              <w:spacing w:before="29" w:line="199" w:lineRule="auto"/>
              <w:rPr>
                <w:sz w:val="19"/>
                <w:szCs w:val="19"/>
              </w:rPr>
            </w:pPr>
            <w:r>
              <w:rPr>
                <w:sz w:val="19"/>
                <w:szCs w:val="19"/>
                <w:spacing w:val="8"/>
              </w:rPr>
              <w:t>房产税</w:t>
            </w:r>
          </w:p>
        </w:tc>
        <w:tc>
          <w:tcPr>
            <w:tcW w:w="1917" w:type="dxa"/>
            <w:vAlign w:val="top"/>
          </w:tcPr>
          <w:p>
            <w:pPr>
              <w:pStyle w:val="TableText"/>
              <w:ind w:left="1430"/>
              <w:spacing w:before="25" w:line="203" w:lineRule="auto"/>
              <w:rPr>
                <w:sz w:val="19"/>
                <w:szCs w:val="19"/>
              </w:rPr>
            </w:pPr>
            <w:r>
              <w:rPr>
                <w:sz w:val="19"/>
                <w:szCs w:val="19"/>
                <w:spacing w:val="-2"/>
              </w:rPr>
              <w:t>1573</w:t>
            </w:r>
          </w:p>
        </w:tc>
        <w:tc>
          <w:tcPr>
            <w:tcW w:w="1680" w:type="dxa"/>
            <w:vAlign w:val="top"/>
          </w:tcPr>
          <w:p>
            <w:pPr>
              <w:pStyle w:val="TableText"/>
              <w:ind w:left="686"/>
              <w:spacing w:before="25" w:line="203" w:lineRule="auto"/>
              <w:rPr>
                <w:sz w:val="19"/>
                <w:szCs w:val="19"/>
              </w:rPr>
            </w:pPr>
            <w:r>
              <w:rPr>
                <w:sz w:val="19"/>
                <w:szCs w:val="19"/>
                <w:spacing w:val="-11"/>
              </w:rPr>
              <w:t>1,742</w:t>
            </w:r>
          </w:p>
        </w:tc>
        <w:tc>
          <w:tcPr>
            <w:tcW w:w="1850" w:type="dxa"/>
            <w:vAlign w:val="top"/>
            <w:tcBorders>
              <w:right w:val="single" w:color="000000" w:sz="6" w:space="0"/>
            </w:tcBorders>
          </w:tcPr>
          <w:p>
            <w:pPr>
              <w:pStyle w:val="TableText"/>
              <w:ind w:left="1294"/>
              <w:spacing w:before="25" w:line="203" w:lineRule="auto"/>
              <w:rPr>
                <w:sz w:val="19"/>
                <w:szCs w:val="19"/>
              </w:rPr>
            </w:pPr>
            <w:r>
              <w:rPr>
                <w:sz w:val="19"/>
                <w:szCs w:val="19"/>
                <w:spacing w:val="14"/>
              </w:rPr>
              <w:t>111%</w:t>
            </w:r>
          </w:p>
        </w:tc>
      </w:tr>
      <w:tr>
        <w:trPr>
          <w:trHeight w:val="244" w:hRule="atLeast"/>
        </w:trPr>
        <w:tc>
          <w:tcPr>
            <w:tcW w:w="3346" w:type="dxa"/>
            <w:vAlign w:val="top"/>
            <w:tcBorders>
              <w:left w:val="single" w:color="000000" w:sz="6" w:space="0"/>
            </w:tcBorders>
          </w:tcPr>
          <w:p>
            <w:pPr>
              <w:pStyle w:val="TableText"/>
              <w:ind w:left="517"/>
              <w:spacing w:before="31" w:line="197" w:lineRule="auto"/>
              <w:rPr>
                <w:sz w:val="19"/>
                <w:szCs w:val="19"/>
              </w:rPr>
            </w:pPr>
            <w:r>
              <w:rPr>
                <w:sz w:val="19"/>
                <w:szCs w:val="19"/>
                <w:spacing w:val="4"/>
              </w:rPr>
              <w:t>印花税</w:t>
            </w:r>
          </w:p>
        </w:tc>
        <w:tc>
          <w:tcPr>
            <w:tcW w:w="1917" w:type="dxa"/>
            <w:vAlign w:val="top"/>
          </w:tcPr>
          <w:p>
            <w:pPr>
              <w:pStyle w:val="TableText"/>
              <w:ind w:left="1513"/>
              <w:spacing w:before="25" w:line="203" w:lineRule="auto"/>
              <w:rPr>
                <w:sz w:val="19"/>
                <w:szCs w:val="19"/>
              </w:rPr>
            </w:pPr>
            <w:r>
              <w:rPr>
                <w:sz w:val="19"/>
                <w:szCs w:val="19"/>
                <w:spacing w:val="1"/>
              </w:rPr>
              <w:t>562</w:t>
            </w:r>
          </w:p>
        </w:tc>
        <w:tc>
          <w:tcPr>
            <w:tcW w:w="1680" w:type="dxa"/>
            <w:vAlign w:val="top"/>
          </w:tcPr>
          <w:p>
            <w:pPr>
              <w:pStyle w:val="TableText"/>
              <w:ind w:left="745"/>
              <w:spacing w:before="25" w:line="203" w:lineRule="auto"/>
              <w:rPr>
                <w:sz w:val="19"/>
                <w:szCs w:val="19"/>
              </w:rPr>
            </w:pPr>
            <w:r>
              <w:rPr>
                <w:sz w:val="19"/>
                <w:szCs w:val="19"/>
                <w:spacing w:val="1"/>
              </w:rPr>
              <w:t>585</w:t>
            </w:r>
          </w:p>
        </w:tc>
        <w:tc>
          <w:tcPr>
            <w:tcW w:w="1850" w:type="dxa"/>
            <w:vAlign w:val="top"/>
            <w:tcBorders>
              <w:right w:val="single" w:color="000000" w:sz="6" w:space="0"/>
            </w:tcBorders>
          </w:tcPr>
          <w:p>
            <w:pPr>
              <w:pStyle w:val="TableText"/>
              <w:ind w:left="1294"/>
              <w:spacing w:before="25" w:line="203" w:lineRule="auto"/>
              <w:rPr>
                <w:sz w:val="19"/>
                <w:szCs w:val="19"/>
              </w:rPr>
            </w:pPr>
            <w:r>
              <w:rPr>
                <w:sz w:val="19"/>
                <w:szCs w:val="19"/>
                <w:spacing w:val="14"/>
              </w:rPr>
              <w:t>104%</w:t>
            </w:r>
          </w:p>
        </w:tc>
      </w:tr>
      <w:tr>
        <w:trPr>
          <w:trHeight w:val="244" w:hRule="atLeast"/>
        </w:trPr>
        <w:tc>
          <w:tcPr>
            <w:tcW w:w="3346" w:type="dxa"/>
            <w:vAlign w:val="top"/>
            <w:tcBorders>
              <w:left w:val="single" w:color="000000" w:sz="6" w:space="0"/>
            </w:tcBorders>
          </w:tcPr>
          <w:p>
            <w:pPr>
              <w:pStyle w:val="TableText"/>
              <w:ind w:left="506"/>
              <w:spacing w:before="28" w:line="200" w:lineRule="auto"/>
              <w:rPr>
                <w:sz w:val="19"/>
                <w:szCs w:val="19"/>
              </w:rPr>
            </w:pPr>
            <w:r>
              <w:rPr>
                <w:sz w:val="19"/>
                <w:szCs w:val="19"/>
                <w:spacing w:val="9"/>
              </w:rPr>
              <w:t>城镇土地使用税</w:t>
            </w:r>
          </w:p>
        </w:tc>
        <w:tc>
          <w:tcPr>
            <w:tcW w:w="1917" w:type="dxa"/>
            <w:vAlign w:val="top"/>
          </w:tcPr>
          <w:p>
            <w:pPr>
              <w:pStyle w:val="TableText"/>
              <w:ind w:left="1430"/>
              <w:spacing w:before="25" w:line="203" w:lineRule="auto"/>
              <w:rPr>
                <w:sz w:val="19"/>
                <w:szCs w:val="19"/>
              </w:rPr>
            </w:pPr>
            <w:r>
              <w:rPr>
                <w:sz w:val="19"/>
                <w:szCs w:val="19"/>
                <w:spacing w:val="-2"/>
              </w:rPr>
              <w:t>1223</w:t>
            </w:r>
          </w:p>
        </w:tc>
        <w:tc>
          <w:tcPr>
            <w:tcW w:w="1680" w:type="dxa"/>
            <w:vAlign w:val="top"/>
          </w:tcPr>
          <w:p>
            <w:pPr>
              <w:pStyle w:val="TableText"/>
              <w:ind w:left="686"/>
              <w:spacing w:before="25" w:line="203" w:lineRule="auto"/>
              <w:rPr>
                <w:sz w:val="19"/>
                <w:szCs w:val="19"/>
              </w:rPr>
            </w:pPr>
            <w:r>
              <w:rPr>
                <w:sz w:val="19"/>
                <w:szCs w:val="19"/>
                <w:spacing w:val="-11"/>
              </w:rPr>
              <w:t>1,349</w:t>
            </w:r>
          </w:p>
        </w:tc>
        <w:tc>
          <w:tcPr>
            <w:tcW w:w="1850" w:type="dxa"/>
            <w:vAlign w:val="top"/>
            <w:tcBorders>
              <w:right w:val="single" w:color="000000" w:sz="6" w:space="0"/>
            </w:tcBorders>
          </w:tcPr>
          <w:p>
            <w:pPr>
              <w:pStyle w:val="TableText"/>
              <w:ind w:left="1294"/>
              <w:spacing w:before="25" w:line="203" w:lineRule="auto"/>
              <w:rPr>
                <w:sz w:val="19"/>
                <w:szCs w:val="19"/>
              </w:rPr>
            </w:pPr>
            <w:r>
              <w:rPr>
                <w:sz w:val="19"/>
                <w:szCs w:val="19"/>
                <w:spacing w:val="14"/>
              </w:rPr>
              <w:t>110%</w:t>
            </w:r>
          </w:p>
        </w:tc>
      </w:tr>
      <w:tr>
        <w:trPr>
          <w:trHeight w:val="244" w:hRule="atLeast"/>
        </w:trPr>
        <w:tc>
          <w:tcPr>
            <w:tcW w:w="3346" w:type="dxa"/>
            <w:vAlign w:val="top"/>
            <w:tcBorders>
              <w:left w:val="single" w:color="000000" w:sz="6" w:space="0"/>
            </w:tcBorders>
          </w:tcPr>
          <w:p>
            <w:pPr>
              <w:pStyle w:val="TableText"/>
              <w:ind w:left="510"/>
              <w:spacing w:before="29" w:line="199" w:lineRule="auto"/>
              <w:rPr>
                <w:sz w:val="19"/>
                <w:szCs w:val="19"/>
              </w:rPr>
            </w:pPr>
            <w:r>
              <w:rPr>
                <w:sz w:val="19"/>
                <w:szCs w:val="19"/>
                <w:spacing w:val="7"/>
              </w:rPr>
              <w:t>土地增值税</w:t>
            </w:r>
          </w:p>
        </w:tc>
        <w:tc>
          <w:tcPr>
            <w:tcW w:w="1917" w:type="dxa"/>
            <w:vAlign w:val="top"/>
          </w:tcPr>
          <w:p>
            <w:pPr>
              <w:pStyle w:val="TableText"/>
              <w:ind w:left="1414"/>
              <w:spacing w:before="26" w:line="202" w:lineRule="auto"/>
              <w:rPr>
                <w:sz w:val="19"/>
                <w:szCs w:val="19"/>
              </w:rPr>
            </w:pPr>
            <w:r>
              <w:rPr>
                <w:sz w:val="19"/>
                <w:szCs w:val="19"/>
                <w:spacing w:val="2"/>
              </w:rPr>
              <w:t>2882</w:t>
            </w:r>
          </w:p>
        </w:tc>
        <w:tc>
          <w:tcPr>
            <w:tcW w:w="1680" w:type="dxa"/>
            <w:vAlign w:val="top"/>
          </w:tcPr>
          <w:p>
            <w:pPr>
              <w:pStyle w:val="TableText"/>
              <w:ind w:left="670"/>
              <w:spacing w:before="26" w:line="202" w:lineRule="auto"/>
              <w:rPr>
                <w:sz w:val="19"/>
                <w:szCs w:val="19"/>
              </w:rPr>
            </w:pPr>
            <w:r>
              <w:rPr>
                <w:sz w:val="19"/>
                <w:szCs w:val="19"/>
                <w:spacing w:val="-8"/>
              </w:rPr>
              <w:t>2,927</w:t>
            </w:r>
          </w:p>
        </w:tc>
        <w:tc>
          <w:tcPr>
            <w:tcW w:w="1850" w:type="dxa"/>
            <w:vAlign w:val="top"/>
            <w:tcBorders>
              <w:right w:val="single" w:color="000000" w:sz="6" w:space="0"/>
            </w:tcBorders>
          </w:tcPr>
          <w:p>
            <w:pPr>
              <w:pStyle w:val="TableText"/>
              <w:ind w:left="1294"/>
              <w:spacing w:before="26" w:line="202" w:lineRule="auto"/>
              <w:rPr>
                <w:sz w:val="19"/>
                <w:szCs w:val="19"/>
              </w:rPr>
            </w:pPr>
            <w:r>
              <w:rPr>
                <w:sz w:val="19"/>
                <w:szCs w:val="19"/>
                <w:spacing w:val="14"/>
              </w:rPr>
              <w:t>102%</w:t>
            </w:r>
          </w:p>
        </w:tc>
      </w:tr>
      <w:tr>
        <w:trPr>
          <w:trHeight w:val="244" w:hRule="atLeast"/>
        </w:trPr>
        <w:tc>
          <w:tcPr>
            <w:tcW w:w="3346" w:type="dxa"/>
            <w:vAlign w:val="top"/>
            <w:tcBorders>
              <w:left w:val="single" w:color="000000" w:sz="6" w:space="0"/>
            </w:tcBorders>
          </w:tcPr>
          <w:p>
            <w:pPr>
              <w:pStyle w:val="TableText"/>
              <w:ind w:left="511"/>
              <w:spacing w:before="33" w:line="195" w:lineRule="auto"/>
              <w:rPr>
                <w:sz w:val="19"/>
                <w:szCs w:val="19"/>
              </w:rPr>
            </w:pPr>
            <w:r>
              <w:rPr>
                <w:sz w:val="19"/>
                <w:szCs w:val="19"/>
                <w:spacing w:val="6"/>
              </w:rPr>
              <w:t>车船税</w:t>
            </w:r>
          </w:p>
        </w:tc>
        <w:tc>
          <w:tcPr>
            <w:tcW w:w="1917" w:type="dxa"/>
            <w:vAlign w:val="top"/>
          </w:tcPr>
          <w:p>
            <w:pPr>
              <w:pStyle w:val="TableText"/>
              <w:ind w:left="1528"/>
              <w:spacing w:before="28" w:line="200" w:lineRule="auto"/>
              <w:rPr>
                <w:sz w:val="19"/>
                <w:szCs w:val="19"/>
              </w:rPr>
            </w:pPr>
            <w:r>
              <w:rPr>
                <w:sz w:val="19"/>
                <w:szCs w:val="19"/>
                <w:spacing w:val="-4"/>
              </w:rPr>
              <w:t>167</w:t>
            </w:r>
          </w:p>
        </w:tc>
        <w:tc>
          <w:tcPr>
            <w:tcW w:w="1680" w:type="dxa"/>
            <w:vAlign w:val="top"/>
          </w:tcPr>
          <w:p>
            <w:pPr>
              <w:pStyle w:val="TableText"/>
              <w:ind w:left="761"/>
              <w:spacing w:before="28" w:line="200" w:lineRule="auto"/>
              <w:rPr>
                <w:sz w:val="19"/>
                <w:szCs w:val="19"/>
              </w:rPr>
            </w:pPr>
            <w:r>
              <w:rPr>
                <w:sz w:val="19"/>
                <w:szCs w:val="19"/>
                <w:spacing w:val="-4"/>
              </w:rPr>
              <w:t>169</w:t>
            </w:r>
          </w:p>
        </w:tc>
        <w:tc>
          <w:tcPr>
            <w:tcW w:w="1850" w:type="dxa"/>
            <w:vAlign w:val="top"/>
            <w:tcBorders>
              <w:right w:val="single" w:color="000000" w:sz="6" w:space="0"/>
            </w:tcBorders>
          </w:tcPr>
          <w:p>
            <w:pPr>
              <w:pStyle w:val="TableText"/>
              <w:ind w:left="1294"/>
              <w:spacing w:before="28" w:line="200" w:lineRule="auto"/>
              <w:rPr>
                <w:sz w:val="19"/>
                <w:szCs w:val="19"/>
              </w:rPr>
            </w:pPr>
            <w:r>
              <w:rPr>
                <w:sz w:val="19"/>
                <w:szCs w:val="19"/>
                <w:spacing w:val="14"/>
              </w:rPr>
              <w:t>101%</w:t>
            </w:r>
          </w:p>
        </w:tc>
      </w:tr>
      <w:tr>
        <w:trPr>
          <w:trHeight w:val="243" w:hRule="atLeast"/>
        </w:trPr>
        <w:tc>
          <w:tcPr>
            <w:tcW w:w="3346" w:type="dxa"/>
            <w:vAlign w:val="top"/>
            <w:tcBorders>
              <w:left w:val="single" w:color="000000" w:sz="6" w:space="0"/>
            </w:tcBorders>
          </w:tcPr>
          <w:p>
            <w:pPr>
              <w:pStyle w:val="TableText"/>
              <w:ind w:left="504"/>
              <w:spacing w:before="31" w:line="196" w:lineRule="auto"/>
              <w:rPr>
                <w:sz w:val="19"/>
                <w:szCs w:val="19"/>
              </w:rPr>
            </w:pPr>
            <w:r>
              <w:rPr>
                <w:sz w:val="19"/>
                <w:szCs w:val="19"/>
                <w:spacing w:val="8"/>
              </w:rPr>
              <w:t>耕地占用税</w:t>
            </w:r>
          </w:p>
        </w:tc>
        <w:tc>
          <w:tcPr>
            <w:tcW w:w="1917" w:type="dxa"/>
            <w:vAlign w:val="top"/>
          </w:tcPr>
          <w:p>
            <w:pPr>
              <w:pStyle w:val="TableText"/>
              <w:ind w:left="1430"/>
              <w:spacing w:before="29" w:line="198" w:lineRule="auto"/>
              <w:rPr>
                <w:sz w:val="19"/>
                <w:szCs w:val="19"/>
              </w:rPr>
            </w:pPr>
            <w:r>
              <w:rPr>
                <w:sz w:val="19"/>
                <w:szCs w:val="19"/>
                <w:spacing w:val="-2"/>
              </w:rPr>
              <w:t>1763</w:t>
            </w:r>
          </w:p>
        </w:tc>
        <w:tc>
          <w:tcPr>
            <w:tcW w:w="1680" w:type="dxa"/>
            <w:vAlign w:val="top"/>
          </w:tcPr>
          <w:p>
            <w:pPr>
              <w:pStyle w:val="TableText"/>
              <w:ind w:left="686"/>
              <w:spacing w:before="29" w:line="198" w:lineRule="auto"/>
              <w:rPr>
                <w:sz w:val="19"/>
                <w:szCs w:val="19"/>
              </w:rPr>
            </w:pPr>
            <w:r>
              <w:rPr>
                <w:sz w:val="19"/>
                <w:szCs w:val="19"/>
                <w:spacing w:val="-11"/>
              </w:rPr>
              <w:t>1,770</w:t>
            </w:r>
          </w:p>
        </w:tc>
        <w:tc>
          <w:tcPr>
            <w:tcW w:w="1850" w:type="dxa"/>
            <w:vAlign w:val="top"/>
            <w:tcBorders>
              <w:right w:val="single" w:color="000000" w:sz="6" w:space="0"/>
            </w:tcBorders>
          </w:tcPr>
          <w:p>
            <w:pPr>
              <w:pStyle w:val="TableText"/>
              <w:ind w:left="1294"/>
              <w:spacing w:before="29" w:line="198" w:lineRule="auto"/>
              <w:rPr>
                <w:sz w:val="19"/>
                <w:szCs w:val="19"/>
              </w:rPr>
            </w:pPr>
            <w:r>
              <w:rPr>
                <w:sz w:val="19"/>
                <w:szCs w:val="19"/>
                <w:spacing w:val="14"/>
              </w:rPr>
              <w:t>100%</w:t>
            </w:r>
          </w:p>
        </w:tc>
      </w:tr>
      <w:tr>
        <w:trPr>
          <w:trHeight w:val="244" w:hRule="atLeast"/>
        </w:trPr>
        <w:tc>
          <w:tcPr>
            <w:tcW w:w="3346" w:type="dxa"/>
            <w:vAlign w:val="top"/>
            <w:tcBorders>
              <w:left w:val="single" w:color="000000" w:sz="6" w:space="0"/>
            </w:tcBorders>
          </w:tcPr>
          <w:p>
            <w:pPr>
              <w:pStyle w:val="TableText"/>
              <w:ind w:left="508"/>
              <w:spacing w:before="37" w:line="191" w:lineRule="auto"/>
              <w:rPr>
                <w:sz w:val="19"/>
                <w:szCs w:val="19"/>
              </w:rPr>
            </w:pPr>
            <w:r>
              <w:rPr>
                <w:sz w:val="19"/>
                <w:szCs w:val="19"/>
                <w:spacing w:val="5"/>
              </w:rPr>
              <w:t>契税</w:t>
            </w:r>
          </w:p>
        </w:tc>
        <w:tc>
          <w:tcPr>
            <w:tcW w:w="1917" w:type="dxa"/>
            <w:vAlign w:val="top"/>
          </w:tcPr>
          <w:p>
            <w:pPr>
              <w:pStyle w:val="TableText"/>
              <w:ind w:left="1416"/>
              <w:spacing w:before="30" w:line="198" w:lineRule="auto"/>
              <w:rPr>
                <w:sz w:val="19"/>
                <w:szCs w:val="19"/>
              </w:rPr>
            </w:pPr>
            <w:r>
              <w:rPr>
                <w:sz w:val="19"/>
                <w:szCs w:val="19"/>
                <w:spacing w:val="2"/>
              </w:rPr>
              <w:t>8840</w:t>
            </w:r>
          </w:p>
        </w:tc>
        <w:tc>
          <w:tcPr>
            <w:tcW w:w="1680" w:type="dxa"/>
            <w:vAlign w:val="top"/>
          </w:tcPr>
          <w:p>
            <w:pPr>
              <w:pStyle w:val="TableText"/>
              <w:ind w:left="673"/>
              <w:spacing w:before="30" w:line="198" w:lineRule="auto"/>
              <w:rPr>
                <w:sz w:val="19"/>
                <w:szCs w:val="19"/>
              </w:rPr>
            </w:pPr>
            <w:r>
              <w:rPr>
                <w:sz w:val="19"/>
                <w:szCs w:val="19"/>
                <w:spacing w:val="-8"/>
              </w:rPr>
              <w:t>8,680</w:t>
            </w:r>
          </w:p>
        </w:tc>
        <w:tc>
          <w:tcPr>
            <w:tcW w:w="1850" w:type="dxa"/>
            <w:vAlign w:val="top"/>
            <w:tcBorders>
              <w:right w:val="single" w:color="000000" w:sz="6" w:space="0"/>
            </w:tcBorders>
          </w:tcPr>
          <w:p>
            <w:pPr>
              <w:pStyle w:val="TableText"/>
              <w:ind w:left="1376"/>
              <w:spacing w:before="30" w:line="198" w:lineRule="auto"/>
              <w:rPr>
                <w:sz w:val="19"/>
                <w:szCs w:val="19"/>
              </w:rPr>
            </w:pPr>
            <w:r>
              <w:rPr>
                <w:sz w:val="19"/>
                <w:szCs w:val="19"/>
                <w:spacing w:val="12"/>
                <w:w w:val="112"/>
              </w:rPr>
              <w:t>98%</w:t>
            </w:r>
          </w:p>
        </w:tc>
      </w:tr>
      <w:tr>
        <w:trPr>
          <w:trHeight w:val="253" w:hRule="atLeast"/>
        </w:trPr>
        <w:tc>
          <w:tcPr>
            <w:tcW w:w="3346" w:type="dxa"/>
            <w:vAlign w:val="top"/>
            <w:tcBorders>
              <w:left w:val="single" w:color="000000" w:sz="6" w:space="0"/>
              <w:bottom w:val="single" w:color="000000" w:sz="6" w:space="0"/>
            </w:tcBorders>
          </w:tcPr>
          <w:p>
            <w:pPr>
              <w:pStyle w:val="TableText"/>
              <w:ind w:left="510"/>
              <w:spacing w:before="38" w:line="199" w:lineRule="auto"/>
              <w:rPr>
                <w:sz w:val="19"/>
                <w:szCs w:val="19"/>
              </w:rPr>
            </w:pPr>
            <w:r>
              <w:rPr>
                <w:sz w:val="19"/>
                <w:szCs w:val="19"/>
                <w:spacing w:val="7"/>
              </w:rPr>
              <w:t>烟叶税</w:t>
            </w:r>
          </w:p>
        </w:tc>
        <w:tc>
          <w:tcPr>
            <w:tcW w:w="1917" w:type="dxa"/>
            <w:vAlign w:val="top"/>
            <w:tcBorders>
              <w:bottom w:val="single" w:color="000000" w:sz="6" w:space="0"/>
            </w:tcBorders>
          </w:tcPr>
          <w:p>
            <w:pPr>
              <w:rPr>
                <w:rFonts w:ascii="Arial"/>
                <w:sz w:val="21"/>
              </w:rPr>
            </w:pPr>
            <w:r/>
          </w:p>
        </w:tc>
        <w:tc>
          <w:tcPr>
            <w:tcW w:w="1680" w:type="dxa"/>
            <w:vAlign w:val="top"/>
            <w:tcBorders>
              <w:bottom w:val="single" w:color="000000" w:sz="6" w:space="0"/>
            </w:tcBorders>
          </w:tcPr>
          <w:p>
            <w:pPr>
              <w:pStyle w:val="TableText"/>
              <w:ind w:left="841"/>
              <w:spacing w:before="147" w:line="96" w:lineRule="exact"/>
              <w:rPr>
                <w:sz w:val="19"/>
                <w:szCs w:val="19"/>
              </w:rPr>
            </w:pPr>
            <w:r>
              <w:rPr>
                <w:sz w:val="19"/>
                <w:szCs w:val="19"/>
                <w:spacing w:val="5"/>
                <w:position w:val="-4"/>
              </w:rPr>
              <w:t>-</w:t>
            </w:r>
          </w:p>
        </w:tc>
        <w:tc>
          <w:tcPr>
            <w:tcW w:w="1850" w:type="dxa"/>
            <w:vAlign w:val="top"/>
            <w:tcBorders>
              <w:bottom w:val="single" w:color="000000" w:sz="6" w:space="0"/>
              <w:right w:val="single" w:color="000000" w:sz="6" w:space="0"/>
            </w:tcBorders>
          </w:tcPr>
          <w:p>
            <w:pPr>
              <w:rPr>
                <w:rFonts w:ascii="Arial"/>
                <w:sz w:val="21"/>
              </w:rPr>
            </w:pPr>
            <w:r/>
          </w:p>
        </w:tc>
      </w:tr>
    </w:tbl>
    <w:p>
      <w:pPr>
        <w:spacing w:line="14" w:lineRule="auto"/>
        <w:rPr>
          <w:rFonts w:ascii="Arial"/>
          <w:sz w:val="2"/>
        </w:rPr>
      </w:pPr>
      <w:r/>
    </w:p>
    <w:p>
      <w:pPr>
        <w:spacing w:line="14" w:lineRule="auto"/>
        <w:sectPr>
          <w:type w:val="continuous"/>
          <w:pgSz w:w="11906" w:h="16839"/>
          <w:pgMar w:top="1819" w:right="1530" w:bottom="1661" w:left="1470" w:header="1428" w:footer="1289" w:gutter="0"/>
          <w:cols w:equalWidth="0" w:num="1">
            <w:col w:w="8905" w:space="0"/>
          </w:cols>
        </w:sectPr>
        <w:rPr>
          <w:rFonts w:ascii="Arial" w:hAnsi="Arial" w:eastAsia="Arial" w:cs="Arial"/>
          <w:sz w:val="2"/>
          <w:szCs w:val="2"/>
        </w:rPr>
      </w:pPr>
    </w:p>
    <w:p>
      <w:pPr>
        <w:spacing w:line="240" w:lineRule="exact"/>
        <w:rPr/>
      </w:pPr>
      <w:r/>
    </w:p>
    <w:tbl>
      <w:tblPr>
        <w:tblStyle w:val="TableNormal"/>
        <w:tblW w:w="8793"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46"/>
        <w:gridCol w:w="1917"/>
        <w:gridCol w:w="1680"/>
        <w:gridCol w:w="1850"/>
      </w:tblGrid>
      <w:tr>
        <w:trPr>
          <w:trHeight w:val="251" w:hRule="atLeast"/>
        </w:trPr>
        <w:tc>
          <w:tcPr>
            <w:tcW w:w="3346" w:type="dxa"/>
            <w:vAlign w:val="top"/>
            <w:tcBorders>
              <w:left w:val="single" w:color="000000" w:sz="6" w:space="0"/>
              <w:top w:val="single" w:color="000000" w:sz="6" w:space="0"/>
            </w:tcBorders>
          </w:tcPr>
          <w:p>
            <w:pPr>
              <w:pStyle w:val="TableText"/>
              <w:ind w:left="507"/>
              <w:spacing w:before="30" w:line="205" w:lineRule="auto"/>
              <w:rPr>
                <w:sz w:val="19"/>
                <w:szCs w:val="19"/>
              </w:rPr>
            </w:pPr>
            <w:r>
              <w:rPr>
                <w:sz w:val="19"/>
                <w:szCs w:val="19"/>
                <w:spacing w:val="8"/>
              </w:rPr>
              <w:t>环境保护税</w:t>
            </w:r>
          </w:p>
        </w:tc>
        <w:tc>
          <w:tcPr>
            <w:tcW w:w="1917" w:type="dxa"/>
            <w:vAlign w:val="top"/>
            <w:tcBorders>
              <w:top w:val="single" w:color="000000" w:sz="6" w:space="0"/>
            </w:tcBorders>
          </w:tcPr>
          <w:p>
            <w:pPr>
              <w:pStyle w:val="TableText"/>
              <w:ind w:left="1616"/>
              <w:spacing w:before="24" w:line="210" w:lineRule="auto"/>
              <w:rPr>
                <w:sz w:val="19"/>
                <w:szCs w:val="19"/>
              </w:rPr>
            </w:pPr>
            <w:r>
              <w:rPr>
                <w:sz w:val="19"/>
                <w:szCs w:val="19"/>
                <w:spacing w:val="-1"/>
              </w:rPr>
              <w:t>33</w:t>
            </w:r>
          </w:p>
        </w:tc>
        <w:tc>
          <w:tcPr>
            <w:tcW w:w="1680" w:type="dxa"/>
            <w:vAlign w:val="top"/>
            <w:tcBorders>
              <w:top w:val="single" w:color="000000" w:sz="6" w:space="0"/>
            </w:tcBorders>
          </w:tcPr>
          <w:p>
            <w:pPr>
              <w:pStyle w:val="TableText"/>
              <w:ind w:left="1381"/>
              <w:spacing w:before="24" w:line="210" w:lineRule="auto"/>
              <w:rPr>
                <w:sz w:val="19"/>
                <w:szCs w:val="19"/>
              </w:rPr>
            </w:pPr>
            <w:r>
              <w:rPr>
                <w:sz w:val="19"/>
                <w:szCs w:val="19"/>
                <w:spacing w:val="-1"/>
              </w:rPr>
              <w:t>38</w:t>
            </w:r>
          </w:p>
        </w:tc>
        <w:tc>
          <w:tcPr>
            <w:tcW w:w="1850" w:type="dxa"/>
            <w:vAlign w:val="top"/>
            <w:tcBorders>
              <w:right w:val="single" w:color="000000" w:sz="6" w:space="0"/>
              <w:top w:val="single" w:color="000000" w:sz="6" w:space="0"/>
            </w:tcBorders>
          </w:tcPr>
          <w:p>
            <w:pPr>
              <w:pStyle w:val="TableText"/>
              <w:ind w:left="1294"/>
              <w:spacing w:before="24" w:line="210" w:lineRule="auto"/>
              <w:rPr>
                <w:sz w:val="19"/>
                <w:szCs w:val="19"/>
              </w:rPr>
            </w:pPr>
            <w:r>
              <w:rPr>
                <w:sz w:val="19"/>
                <w:szCs w:val="19"/>
                <w:spacing w:val="14"/>
              </w:rPr>
              <w:t>115%</w:t>
            </w:r>
          </w:p>
        </w:tc>
      </w:tr>
      <w:tr>
        <w:trPr>
          <w:trHeight w:val="243" w:hRule="atLeast"/>
        </w:trPr>
        <w:tc>
          <w:tcPr>
            <w:tcW w:w="3346" w:type="dxa"/>
            <w:vAlign w:val="top"/>
            <w:tcBorders>
              <w:left w:val="single" w:color="000000" w:sz="6" w:space="0"/>
            </w:tcBorders>
          </w:tcPr>
          <w:p>
            <w:pPr>
              <w:pStyle w:val="TableText"/>
              <w:ind w:left="504"/>
              <w:spacing w:before="22" w:line="205" w:lineRule="auto"/>
              <w:rPr>
                <w:sz w:val="19"/>
                <w:szCs w:val="19"/>
              </w:rPr>
            </w:pPr>
            <w:r>
              <w:rPr>
                <w:sz w:val="19"/>
                <w:szCs w:val="19"/>
                <w:spacing w:val="9"/>
              </w:rPr>
              <w:t>其他税收收入</w:t>
            </w:r>
          </w:p>
        </w:tc>
        <w:tc>
          <w:tcPr>
            <w:tcW w:w="1917" w:type="dxa"/>
            <w:vAlign w:val="top"/>
          </w:tcPr>
          <w:p>
            <w:pPr>
              <w:pStyle w:val="TableText"/>
              <w:ind w:left="1614"/>
              <w:spacing w:before="18" w:line="208" w:lineRule="auto"/>
              <w:rPr>
                <w:sz w:val="19"/>
                <w:szCs w:val="19"/>
              </w:rPr>
            </w:pPr>
            <w:r>
              <w:rPr>
                <w:sz w:val="19"/>
                <w:szCs w:val="19"/>
              </w:rPr>
              <w:t>56</w:t>
            </w:r>
          </w:p>
        </w:tc>
        <w:tc>
          <w:tcPr>
            <w:tcW w:w="1680" w:type="dxa"/>
            <w:vAlign w:val="top"/>
          </w:tcPr>
          <w:p>
            <w:pPr>
              <w:pStyle w:val="TableText"/>
              <w:ind w:left="1379"/>
              <w:spacing w:before="18" w:line="208" w:lineRule="auto"/>
              <w:rPr>
                <w:sz w:val="19"/>
                <w:szCs w:val="19"/>
              </w:rPr>
            </w:pPr>
            <w:r>
              <w:rPr>
                <w:sz w:val="19"/>
                <w:szCs w:val="19"/>
              </w:rPr>
              <w:t>62</w:t>
            </w:r>
          </w:p>
        </w:tc>
        <w:tc>
          <w:tcPr>
            <w:tcW w:w="1850" w:type="dxa"/>
            <w:vAlign w:val="top"/>
            <w:tcBorders>
              <w:right w:val="single" w:color="000000" w:sz="6" w:space="0"/>
            </w:tcBorders>
          </w:tcPr>
          <w:p>
            <w:pPr>
              <w:pStyle w:val="TableText"/>
              <w:ind w:left="1294"/>
              <w:spacing w:before="18" w:line="208" w:lineRule="auto"/>
              <w:rPr>
                <w:sz w:val="19"/>
                <w:szCs w:val="19"/>
              </w:rPr>
            </w:pPr>
            <w:r>
              <w:rPr>
                <w:sz w:val="19"/>
                <w:szCs w:val="19"/>
                <w:spacing w:val="14"/>
              </w:rPr>
              <w:t>111%</w:t>
            </w:r>
          </w:p>
        </w:tc>
      </w:tr>
      <w:tr>
        <w:trPr>
          <w:trHeight w:val="243" w:hRule="atLeast"/>
        </w:trPr>
        <w:tc>
          <w:tcPr>
            <w:tcW w:w="3346" w:type="dxa"/>
            <w:vAlign w:val="top"/>
            <w:tcBorders>
              <w:left w:val="single" w:color="000000" w:sz="6" w:space="0"/>
            </w:tcBorders>
          </w:tcPr>
          <w:p>
            <w:pPr>
              <w:pStyle w:val="TableText"/>
              <w:ind w:left="107"/>
              <w:spacing w:before="28" w:line="199" w:lineRule="auto"/>
              <w:rPr>
                <w:sz w:val="19"/>
                <w:szCs w:val="19"/>
              </w:rPr>
            </w:pPr>
            <w:r>
              <w:rPr>
                <w:sz w:val="19"/>
                <w:szCs w:val="19"/>
                <w:spacing w:val="9"/>
              </w:rPr>
              <w:t>二、非税收入</w:t>
            </w:r>
          </w:p>
        </w:tc>
        <w:tc>
          <w:tcPr>
            <w:tcW w:w="1917" w:type="dxa"/>
            <w:vAlign w:val="top"/>
          </w:tcPr>
          <w:p>
            <w:pPr>
              <w:pStyle w:val="TableText"/>
              <w:ind w:left="1315"/>
              <w:spacing w:before="22" w:line="205" w:lineRule="auto"/>
              <w:rPr>
                <w:sz w:val="19"/>
                <w:szCs w:val="19"/>
              </w:rPr>
            </w:pPr>
            <w:r>
              <w:rPr>
                <w:sz w:val="19"/>
                <w:szCs w:val="19"/>
                <w:spacing w:val="2"/>
              </w:rPr>
              <w:t>29929</w:t>
            </w:r>
          </w:p>
        </w:tc>
        <w:tc>
          <w:tcPr>
            <w:tcW w:w="1680" w:type="dxa"/>
            <w:vAlign w:val="top"/>
          </w:tcPr>
          <w:p>
            <w:pPr>
              <w:pStyle w:val="TableText"/>
              <w:ind w:left="1081"/>
              <w:spacing w:before="22" w:line="205" w:lineRule="auto"/>
              <w:rPr>
                <w:sz w:val="19"/>
                <w:szCs w:val="19"/>
              </w:rPr>
            </w:pPr>
            <w:r>
              <w:rPr>
                <w:sz w:val="19"/>
                <w:szCs w:val="19"/>
                <w:spacing w:val="2"/>
              </w:rPr>
              <w:t>28000</w:t>
            </w:r>
          </w:p>
        </w:tc>
        <w:tc>
          <w:tcPr>
            <w:tcW w:w="1850" w:type="dxa"/>
            <w:vAlign w:val="top"/>
            <w:tcBorders>
              <w:right w:val="single" w:color="000000" w:sz="6" w:space="0"/>
            </w:tcBorders>
          </w:tcPr>
          <w:p>
            <w:pPr>
              <w:pStyle w:val="TableText"/>
              <w:ind w:left="1376"/>
              <w:spacing w:before="22" w:line="205" w:lineRule="auto"/>
              <w:rPr>
                <w:sz w:val="19"/>
                <w:szCs w:val="19"/>
              </w:rPr>
            </w:pPr>
            <w:r>
              <w:rPr>
                <w:sz w:val="19"/>
                <w:szCs w:val="19"/>
                <w:spacing w:val="11"/>
                <w:w w:val="113"/>
              </w:rPr>
              <w:t>94%</w:t>
            </w:r>
          </w:p>
        </w:tc>
      </w:tr>
      <w:tr>
        <w:trPr>
          <w:trHeight w:val="244" w:hRule="atLeast"/>
        </w:trPr>
        <w:tc>
          <w:tcPr>
            <w:tcW w:w="3346" w:type="dxa"/>
            <w:vAlign w:val="top"/>
            <w:tcBorders>
              <w:left w:val="single" w:color="000000" w:sz="6" w:space="0"/>
            </w:tcBorders>
          </w:tcPr>
          <w:p>
            <w:pPr>
              <w:pStyle w:val="TableText"/>
              <w:ind w:left="505"/>
              <w:spacing w:before="27" w:line="201" w:lineRule="auto"/>
              <w:rPr>
                <w:sz w:val="19"/>
                <w:szCs w:val="19"/>
              </w:rPr>
            </w:pPr>
            <w:r>
              <w:rPr>
                <w:sz w:val="19"/>
                <w:szCs w:val="19"/>
                <w:spacing w:val="8"/>
              </w:rPr>
              <w:t>专项收入</w:t>
            </w:r>
          </w:p>
        </w:tc>
        <w:tc>
          <w:tcPr>
            <w:tcW w:w="1917" w:type="dxa"/>
            <w:vAlign w:val="top"/>
          </w:tcPr>
          <w:p>
            <w:pPr>
              <w:pStyle w:val="TableText"/>
              <w:ind w:left="1416"/>
              <w:spacing w:before="24" w:line="204" w:lineRule="auto"/>
              <w:rPr>
                <w:sz w:val="19"/>
                <w:szCs w:val="19"/>
              </w:rPr>
            </w:pPr>
            <w:r>
              <w:rPr>
                <w:sz w:val="19"/>
                <w:szCs w:val="19"/>
                <w:spacing w:val="2"/>
              </w:rPr>
              <w:t>8248</w:t>
            </w:r>
          </w:p>
        </w:tc>
        <w:tc>
          <w:tcPr>
            <w:tcW w:w="1680" w:type="dxa"/>
            <w:vAlign w:val="top"/>
          </w:tcPr>
          <w:p>
            <w:pPr>
              <w:pStyle w:val="TableText"/>
              <w:ind w:left="1180"/>
              <w:spacing w:before="24" w:line="204" w:lineRule="auto"/>
              <w:rPr>
                <w:sz w:val="19"/>
                <w:szCs w:val="19"/>
              </w:rPr>
            </w:pPr>
            <w:r>
              <w:rPr>
                <w:sz w:val="19"/>
                <w:szCs w:val="19"/>
                <w:spacing w:val="2"/>
              </w:rPr>
              <w:t>5000</w:t>
            </w:r>
          </w:p>
        </w:tc>
        <w:tc>
          <w:tcPr>
            <w:tcW w:w="1850" w:type="dxa"/>
            <w:vAlign w:val="top"/>
            <w:tcBorders>
              <w:right w:val="single" w:color="000000" w:sz="6" w:space="0"/>
            </w:tcBorders>
          </w:tcPr>
          <w:p>
            <w:pPr>
              <w:pStyle w:val="TableText"/>
              <w:ind w:left="1377"/>
              <w:spacing w:before="24" w:line="204" w:lineRule="auto"/>
              <w:rPr>
                <w:sz w:val="19"/>
                <w:szCs w:val="19"/>
              </w:rPr>
            </w:pPr>
            <w:r>
              <w:rPr>
                <w:sz w:val="19"/>
                <w:szCs w:val="19"/>
                <w:spacing w:val="23"/>
              </w:rPr>
              <w:t>61%</w:t>
            </w:r>
          </w:p>
        </w:tc>
      </w:tr>
      <w:tr>
        <w:trPr>
          <w:trHeight w:val="244" w:hRule="atLeast"/>
        </w:trPr>
        <w:tc>
          <w:tcPr>
            <w:tcW w:w="3346" w:type="dxa"/>
            <w:vAlign w:val="top"/>
            <w:tcBorders>
              <w:left w:val="single" w:color="000000" w:sz="6" w:space="0"/>
            </w:tcBorders>
          </w:tcPr>
          <w:p>
            <w:pPr>
              <w:pStyle w:val="TableText"/>
              <w:ind w:left="504"/>
              <w:spacing w:before="28" w:line="200" w:lineRule="auto"/>
              <w:rPr>
                <w:sz w:val="19"/>
                <w:szCs w:val="19"/>
              </w:rPr>
            </w:pPr>
            <w:r>
              <w:rPr>
                <w:sz w:val="19"/>
                <w:szCs w:val="19"/>
                <w:spacing w:val="9"/>
              </w:rPr>
              <w:t>行政事业性收费收入</w:t>
            </w:r>
          </w:p>
        </w:tc>
        <w:tc>
          <w:tcPr>
            <w:tcW w:w="1917" w:type="dxa"/>
            <w:vAlign w:val="top"/>
          </w:tcPr>
          <w:p>
            <w:pPr>
              <w:pStyle w:val="TableText"/>
              <w:ind w:left="1513"/>
              <w:spacing w:before="24" w:line="204" w:lineRule="auto"/>
              <w:rPr>
                <w:sz w:val="19"/>
                <w:szCs w:val="19"/>
              </w:rPr>
            </w:pPr>
            <w:r>
              <w:rPr>
                <w:sz w:val="19"/>
                <w:szCs w:val="19"/>
                <w:spacing w:val="1"/>
              </w:rPr>
              <w:t>626</w:t>
            </w:r>
          </w:p>
        </w:tc>
        <w:tc>
          <w:tcPr>
            <w:tcW w:w="1680" w:type="dxa"/>
            <w:vAlign w:val="top"/>
          </w:tcPr>
          <w:p>
            <w:pPr>
              <w:pStyle w:val="TableText"/>
              <w:ind w:left="1281"/>
              <w:spacing w:before="24" w:line="204" w:lineRule="auto"/>
              <w:rPr>
                <w:sz w:val="19"/>
                <w:szCs w:val="19"/>
              </w:rPr>
            </w:pPr>
            <w:r>
              <w:rPr>
                <w:sz w:val="19"/>
                <w:szCs w:val="19"/>
                <w:spacing w:val="1"/>
              </w:rPr>
              <w:t>500</w:t>
            </w:r>
          </w:p>
        </w:tc>
        <w:tc>
          <w:tcPr>
            <w:tcW w:w="1850" w:type="dxa"/>
            <w:vAlign w:val="top"/>
            <w:tcBorders>
              <w:right w:val="single" w:color="000000" w:sz="6" w:space="0"/>
            </w:tcBorders>
          </w:tcPr>
          <w:p>
            <w:pPr>
              <w:pStyle w:val="TableText"/>
              <w:ind w:left="1378"/>
              <w:spacing w:before="24" w:line="204" w:lineRule="auto"/>
              <w:rPr>
                <w:sz w:val="19"/>
                <w:szCs w:val="19"/>
              </w:rPr>
            </w:pPr>
            <w:r>
              <w:rPr>
                <w:sz w:val="19"/>
                <w:szCs w:val="19"/>
                <w:spacing w:val="23"/>
              </w:rPr>
              <w:t>80%</w:t>
            </w:r>
          </w:p>
        </w:tc>
      </w:tr>
      <w:tr>
        <w:trPr>
          <w:trHeight w:val="244" w:hRule="atLeast"/>
        </w:trPr>
        <w:tc>
          <w:tcPr>
            <w:tcW w:w="3346" w:type="dxa"/>
            <w:vAlign w:val="top"/>
            <w:tcBorders>
              <w:left w:val="single" w:color="000000" w:sz="6" w:space="0"/>
            </w:tcBorders>
          </w:tcPr>
          <w:p>
            <w:pPr>
              <w:pStyle w:val="TableText"/>
              <w:ind w:left="506"/>
              <w:spacing w:before="32" w:line="196" w:lineRule="auto"/>
              <w:rPr>
                <w:sz w:val="19"/>
                <w:szCs w:val="19"/>
              </w:rPr>
            </w:pPr>
            <w:r>
              <w:rPr>
                <w:sz w:val="19"/>
                <w:szCs w:val="19"/>
                <w:spacing w:val="8"/>
              </w:rPr>
              <w:t>罚没收入</w:t>
            </w:r>
          </w:p>
        </w:tc>
        <w:tc>
          <w:tcPr>
            <w:tcW w:w="1917" w:type="dxa"/>
            <w:vAlign w:val="top"/>
          </w:tcPr>
          <w:p>
            <w:pPr>
              <w:pStyle w:val="TableText"/>
              <w:ind w:left="1417"/>
              <w:spacing w:before="24" w:line="204" w:lineRule="auto"/>
              <w:rPr>
                <w:sz w:val="19"/>
                <w:szCs w:val="19"/>
              </w:rPr>
            </w:pPr>
            <w:r>
              <w:rPr>
                <w:sz w:val="19"/>
                <w:szCs w:val="19"/>
                <w:spacing w:val="1"/>
              </w:rPr>
              <w:t>3771</w:t>
            </w:r>
          </w:p>
        </w:tc>
        <w:tc>
          <w:tcPr>
            <w:tcW w:w="1680" w:type="dxa"/>
            <w:vAlign w:val="top"/>
          </w:tcPr>
          <w:p>
            <w:pPr>
              <w:pStyle w:val="TableText"/>
              <w:ind w:left="1182"/>
              <w:spacing w:before="24" w:line="204" w:lineRule="auto"/>
              <w:rPr>
                <w:sz w:val="19"/>
                <w:szCs w:val="19"/>
              </w:rPr>
            </w:pPr>
            <w:r>
              <w:rPr>
                <w:sz w:val="19"/>
                <w:szCs w:val="19"/>
                <w:spacing w:val="1"/>
              </w:rPr>
              <w:t>3300</w:t>
            </w:r>
          </w:p>
        </w:tc>
        <w:tc>
          <w:tcPr>
            <w:tcW w:w="1850" w:type="dxa"/>
            <w:vAlign w:val="top"/>
            <w:tcBorders>
              <w:right w:val="single" w:color="000000" w:sz="6" w:space="0"/>
            </w:tcBorders>
          </w:tcPr>
          <w:p>
            <w:pPr>
              <w:pStyle w:val="TableText"/>
              <w:ind w:left="1378"/>
              <w:spacing w:before="24" w:line="204" w:lineRule="auto"/>
              <w:rPr>
                <w:sz w:val="19"/>
                <w:szCs w:val="19"/>
              </w:rPr>
            </w:pPr>
            <w:r>
              <w:rPr>
                <w:sz w:val="19"/>
                <w:szCs w:val="19"/>
                <w:spacing w:val="23"/>
              </w:rPr>
              <w:t>88%</w:t>
            </w:r>
          </w:p>
        </w:tc>
      </w:tr>
      <w:tr>
        <w:trPr>
          <w:trHeight w:val="244" w:hRule="atLeast"/>
        </w:trPr>
        <w:tc>
          <w:tcPr>
            <w:tcW w:w="3346" w:type="dxa"/>
            <w:vAlign w:val="top"/>
            <w:tcBorders>
              <w:left w:val="single" w:color="000000" w:sz="6" w:space="0"/>
            </w:tcBorders>
          </w:tcPr>
          <w:p>
            <w:pPr>
              <w:pStyle w:val="TableText"/>
              <w:ind w:left="525"/>
              <w:spacing w:before="31" w:line="197" w:lineRule="auto"/>
              <w:rPr>
                <w:sz w:val="19"/>
                <w:szCs w:val="19"/>
              </w:rPr>
            </w:pPr>
            <w:r>
              <w:rPr>
                <w:sz w:val="19"/>
                <w:szCs w:val="19"/>
                <w:spacing w:val="6"/>
              </w:rPr>
              <w:t>国有资本经营收入</w:t>
            </w:r>
          </w:p>
        </w:tc>
        <w:tc>
          <w:tcPr>
            <w:tcW w:w="1917" w:type="dxa"/>
            <w:vAlign w:val="top"/>
          </w:tcPr>
          <w:p>
            <w:pPr>
              <w:spacing w:line="234" w:lineRule="exact"/>
              <w:rPr>
                <w:rFonts w:ascii="Arial"/>
                <w:sz w:val="20"/>
              </w:rPr>
            </w:pPr>
            <w:r/>
          </w:p>
        </w:tc>
        <w:tc>
          <w:tcPr>
            <w:tcW w:w="1680" w:type="dxa"/>
            <w:vAlign w:val="top"/>
          </w:tcPr>
          <w:p>
            <w:pPr>
              <w:spacing w:line="234" w:lineRule="exact"/>
              <w:rPr>
                <w:rFonts w:ascii="Arial"/>
                <w:sz w:val="20"/>
              </w:rPr>
            </w:pPr>
            <w:r/>
          </w:p>
        </w:tc>
        <w:tc>
          <w:tcPr>
            <w:tcW w:w="1850" w:type="dxa"/>
            <w:vAlign w:val="top"/>
            <w:tcBorders>
              <w:right w:val="single" w:color="000000" w:sz="6" w:space="0"/>
            </w:tcBorders>
          </w:tcPr>
          <w:p>
            <w:pPr>
              <w:spacing w:line="234" w:lineRule="exact"/>
              <w:rPr>
                <w:rFonts w:ascii="Arial"/>
                <w:sz w:val="20"/>
              </w:rPr>
            </w:pPr>
            <w:r/>
          </w:p>
        </w:tc>
      </w:tr>
      <w:tr>
        <w:trPr>
          <w:trHeight w:val="244" w:hRule="atLeast"/>
        </w:trPr>
        <w:tc>
          <w:tcPr>
            <w:tcW w:w="3346" w:type="dxa"/>
            <w:vAlign w:val="top"/>
            <w:tcBorders>
              <w:left w:val="single" w:color="000000" w:sz="6" w:space="0"/>
            </w:tcBorders>
          </w:tcPr>
          <w:p>
            <w:pPr>
              <w:pStyle w:val="TableText"/>
              <w:ind w:left="525"/>
              <w:spacing w:before="28" w:line="200" w:lineRule="auto"/>
              <w:rPr>
                <w:sz w:val="19"/>
                <w:szCs w:val="19"/>
              </w:rPr>
            </w:pPr>
            <w:r>
              <w:rPr>
                <w:sz w:val="19"/>
                <w:szCs w:val="19"/>
                <w:spacing w:val="3"/>
              </w:rPr>
              <w:t>国有资源（资产）有偿使用收入</w:t>
            </w:r>
          </w:p>
        </w:tc>
        <w:tc>
          <w:tcPr>
            <w:tcW w:w="1917" w:type="dxa"/>
            <w:vAlign w:val="top"/>
          </w:tcPr>
          <w:p>
            <w:pPr>
              <w:pStyle w:val="TableText"/>
              <w:ind w:left="1331"/>
              <w:spacing w:before="28" w:line="200" w:lineRule="auto"/>
              <w:rPr>
                <w:sz w:val="19"/>
                <w:szCs w:val="19"/>
              </w:rPr>
            </w:pPr>
            <w:r>
              <w:rPr>
                <w:sz w:val="19"/>
                <w:szCs w:val="19"/>
                <w:spacing w:val="-1"/>
              </w:rPr>
              <w:t>14869</w:t>
            </w:r>
          </w:p>
        </w:tc>
        <w:tc>
          <w:tcPr>
            <w:tcW w:w="1680" w:type="dxa"/>
            <w:vAlign w:val="top"/>
          </w:tcPr>
          <w:p>
            <w:pPr>
              <w:pStyle w:val="TableText"/>
              <w:ind w:left="1097"/>
              <w:spacing w:before="28" w:line="200" w:lineRule="auto"/>
              <w:rPr>
                <w:sz w:val="19"/>
                <w:szCs w:val="19"/>
              </w:rPr>
            </w:pPr>
            <w:r>
              <w:rPr>
                <w:sz w:val="19"/>
                <w:szCs w:val="19"/>
                <w:spacing w:val="-1"/>
              </w:rPr>
              <w:t>15029</w:t>
            </w:r>
          </w:p>
        </w:tc>
        <w:tc>
          <w:tcPr>
            <w:tcW w:w="1850" w:type="dxa"/>
            <w:vAlign w:val="top"/>
            <w:tcBorders>
              <w:right w:val="single" w:color="000000" w:sz="6" w:space="0"/>
            </w:tcBorders>
          </w:tcPr>
          <w:p>
            <w:pPr>
              <w:pStyle w:val="TableText"/>
              <w:ind w:left="1294"/>
              <w:spacing w:before="28" w:line="200" w:lineRule="auto"/>
              <w:rPr>
                <w:sz w:val="19"/>
                <w:szCs w:val="19"/>
              </w:rPr>
            </w:pPr>
            <w:r>
              <w:rPr>
                <w:sz w:val="19"/>
                <w:szCs w:val="19"/>
                <w:spacing w:val="14"/>
              </w:rPr>
              <w:t>101%</w:t>
            </w:r>
          </w:p>
        </w:tc>
      </w:tr>
      <w:tr>
        <w:trPr>
          <w:trHeight w:val="244" w:hRule="atLeast"/>
        </w:trPr>
        <w:tc>
          <w:tcPr>
            <w:tcW w:w="3346" w:type="dxa"/>
            <w:vAlign w:val="top"/>
            <w:tcBorders>
              <w:left w:val="single" w:color="000000" w:sz="6" w:space="0"/>
            </w:tcBorders>
          </w:tcPr>
          <w:p>
            <w:pPr>
              <w:pStyle w:val="TableText"/>
              <w:ind w:left="507"/>
              <w:spacing w:before="35" w:line="193" w:lineRule="auto"/>
              <w:rPr>
                <w:sz w:val="19"/>
                <w:szCs w:val="19"/>
              </w:rPr>
            </w:pPr>
            <w:r>
              <w:rPr>
                <w:sz w:val="19"/>
                <w:szCs w:val="19"/>
                <w:spacing w:val="8"/>
              </w:rPr>
              <w:t>捐赠收入</w:t>
            </w:r>
          </w:p>
        </w:tc>
        <w:tc>
          <w:tcPr>
            <w:tcW w:w="1917" w:type="dxa"/>
            <w:vAlign w:val="top"/>
          </w:tcPr>
          <w:p>
            <w:pPr>
              <w:spacing w:line="234" w:lineRule="exact"/>
              <w:rPr>
                <w:rFonts w:ascii="Arial"/>
                <w:sz w:val="20"/>
              </w:rPr>
            </w:pPr>
            <w:r/>
          </w:p>
        </w:tc>
        <w:tc>
          <w:tcPr>
            <w:tcW w:w="1680" w:type="dxa"/>
            <w:vAlign w:val="top"/>
          </w:tcPr>
          <w:p>
            <w:pPr>
              <w:spacing w:line="234" w:lineRule="exact"/>
              <w:rPr>
                <w:rFonts w:ascii="Arial"/>
                <w:sz w:val="20"/>
              </w:rPr>
            </w:pPr>
            <w:r/>
          </w:p>
        </w:tc>
        <w:tc>
          <w:tcPr>
            <w:tcW w:w="1850" w:type="dxa"/>
            <w:vAlign w:val="top"/>
            <w:tcBorders>
              <w:right w:val="single" w:color="000000" w:sz="6" w:space="0"/>
            </w:tcBorders>
          </w:tcPr>
          <w:p>
            <w:pPr>
              <w:spacing w:line="234" w:lineRule="exact"/>
              <w:rPr>
                <w:rFonts w:ascii="Arial"/>
                <w:sz w:val="20"/>
              </w:rPr>
            </w:pPr>
            <w:r/>
          </w:p>
        </w:tc>
      </w:tr>
      <w:tr>
        <w:trPr>
          <w:trHeight w:val="244" w:hRule="atLeast"/>
        </w:trPr>
        <w:tc>
          <w:tcPr>
            <w:tcW w:w="3346" w:type="dxa"/>
            <w:vAlign w:val="top"/>
            <w:tcBorders>
              <w:left w:val="single" w:color="000000" w:sz="6" w:space="0"/>
            </w:tcBorders>
          </w:tcPr>
          <w:p>
            <w:pPr>
              <w:pStyle w:val="TableText"/>
              <w:ind w:left="506"/>
              <w:spacing w:before="33" w:line="195" w:lineRule="auto"/>
              <w:rPr>
                <w:sz w:val="19"/>
                <w:szCs w:val="19"/>
              </w:rPr>
            </w:pPr>
            <w:r>
              <w:rPr>
                <w:sz w:val="19"/>
                <w:szCs w:val="19"/>
                <w:spacing w:val="9"/>
              </w:rPr>
              <w:t>政府住房基金收入</w:t>
            </w:r>
          </w:p>
        </w:tc>
        <w:tc>
          <w:tcPr>
            <w:tcW w:w="1917" w:type="dxa"/>
            <w:vAlign w:val="top"/>
          </w:tcPr>
          <w:p>
            <w:pPr>
              <w:pStyle w:val="TableText"/>
              <w:ind w:left="1414"/>
              <w:spacing w:before="28" w:line="200" w:lineRule="auto"/>
              <w:rPr>
                <w:sz w:val="19"/>
                <w:szCs w:val="19"/>
              </w:rPr>
            </w:pPr>
            <w:r>
              <w:rPr>
                <w:sz w:val="19"/>
                <w:szCs w:val="19"/>
                <w:spacing w:val="2"/>
              </w:rPr>
              <w:t>2171</w:t>
            </w:r>
          </w:p>
        </w:tc>
        <w:tc>
          <w:tcPr>
            <w:tcW w:w="1680" w:type="dxa"/>
            <w:vAlign w:val="top"/>
          </w:tcPr>
          <w:p>
            <w:pPr>
              <w:pStyle w:val="TableText"/>
              <w:ind w:left="1179"/>
              <w:spacing w:before="28" w:line="200" w:lineRule="auto"/>
              <w:rPr>
                <w:sz w:val="19"/>
                <w:szCs w:val="19"/>
              </w:rPr>
            </w:pPr>
            <w:r>
              <w:rPr>
                <w:sz w:val="19"/>
                <w:szCs w:val="19"/>
                <w:spacing w:val="2"/>
              </w:rPr>
              <w:t>2171</w:t>
            </w:r>
          </w:p>
        </w:tc>
        <w:tc>
          <w:tcPr>
            <w:tcW w:w="1850" w:type="dxa"/>
            <w:vAlign w:val="top"/>
            <w:tcBorders>
              <w:right w:val="single" w:color="000000" w:sz="6" w:space="0"/>
            </w:tcBorders>
          </w:tcPr>
          <w:p>
            <w:pPr>
              <w:pStyle w:val="TableText"/>
              <w:ind w:left="1294"/>
              <w:spacing w:before="28" w:line="200" w:lineRule="auto"/>
              <w:rPr>
                <w:sz w:val="19"/>
                <w:szCs w:val="19"/>
              </w:rPr>
            </w:pPr>
            <w:r>
              <w:rPr>
                <w:sz w:val="19"/>
                <w:szCs w:val="19"/>
                <w:spacing w:val="14"/>
              </w:rPr>
              <w:t>100%</w:t>
            </w:r>
          </w:p>
        </w:tc>
      </w:tr>
      <w:tr>
        <w:trPr>
          <w:trHeight w:val="244" w:hRule="atLeast"/>
        </w:trPr>
        <w:tc>
          <w:tcPr>
            <w:tcW w:w="3346" w:type="dxa"/>
            <w:vAlign w:val="top"/>
            <w:tcBorders>
              <w:left w:val="single" w:color="000000" w:sz="6" w:space="0"/>
            </w:tcBorders>
          </w:tcPr>
          <w:p>
            <w:pPr>
              <w:pStyle w:val="TableText"/>
              <w:ind w:left="504"/>
              <w:spacing w:before="34" w:line="194" w:lineRule="auto"/>
              <w:rPr>
                <w:sz w:val="19"/>
                <w:szCs w:val="19"/>
              </w:rPr>
            </w:pPr>
            <w:r>
              <w:rPr>
                <w:sz w:val="19"/>
                <w:szCs w:val="19"/>
                <w:spacing w:val="8"/>
              </w:rPr>
              <w:t>其他收入</w:t>
            </w:r>
          </w:p>
        </w:tc>
        <w:tc>
          <w:tcPr>
            <w:tcW w:w="1917" w:type="dxa"/>
            <w:vAlign w:val="top"/>
          </w:tcPr>
          <w:p>
            <w:pPr>
              <w:pStyle w:val="TableText"/>
              <w:ind w:left="1512"/>
              <w:spacing w:before="31" w:line="197" w:lineRule="auto"/>
              <w:rPr>
                <w:sz w:val="19"/>
                <w:szCs w:val="19"/>
              </w:rPr>
            </w:pPr>
            <w:r>
              <w:rPr>
                <w:sz w:val="19"/>
                <w:szCs w:val="19"/>
                <w:spacing w:val="1"/>
              </w:rPr>
              <w:t>244</w:t>
            </w:r>
          </w:p>
        </w:tc>
        <w:tc>
          <w:tcPr>
            <w:tcW w:w="1680" w:type="dxa"/>
            <w:vAlign w:val="top"/>
          </w:tcPr>
          <w:p>
            <w:pPr>
              <w:pStyle w:val="TableText"/>
              <w:ind w:left="1179"/>
              <w:spacing w:before="31" w:line="197" w:lineRule="auto"/>
              <w:rPr>
                <w:sz w:val="19"/>
                <w:szCs w:val="19"/>
              </w:rPr>
            </w:pPr>
            <w:r>
              <w:rPr>
                <w:sz w:val="19"/>
                <w:szCs w:val="19"/>
                <w:spacing w:val="2"/>
              </w:rPr>
              <w:t>2000</w:t>
            </w:r>
          </w:p>
        </w:tc>
        <w:tc>
          <w:tcPr>
            <w:tcW w:w="1850" w:type="dxa"/>
            <w:vAlign w:val="top"/>
            <w:tcBorders>
              <w:right w:val="single" w:color="000000" w:sz="6" w:space="0"/>
            </w:tcBorders>
          </w:tcPr>
          <w:p>
            <w:pPr>
              <w:pStyle w:val="TableText"/>
              <w:ind w:left="1280"/>
              <w:spacing w:before="31" w:line="197" w:lineRule="auto"/>
              <w:rPr>
                <w:sz w:val="19"/>
                <w:szCs w:val="19"/>
              </w:rPr>
            </w:pPr>
            <w:r>
              <w:rPr>
                <w:sz w:val="19"/>
                <w:szCs w:val="19"/>
                <w:spacing w:val="18"/>
              </w:rPr>
              <w:t>820%</w:t>
            </w:r>
          </w:p>
        </w:tc>
      </w:tr>
      <w:tr>
        <w:trPr>
          <w:trHeight w:val="255" w:hRule="atLeast"/>
        </w:trPr>
        <w:tc>
          <w:tcPr>
            <w:tcW w:w="3346" w:type="dxa"/>
            <w:vAlign w:val="top"/>
            <w:tcBorders>
              <w:left w:val="single" w:color="000000" w:sz="6" w:space="0"/>
              <w:bottom w:val="single" w:color="000000" w:sz="6" w:space="0"/>
            </w:tcBorders>
          </w:tcPr>
          <w:p>
            <w:pPr>
              <w:pStyle w:val="TableText"/>
              <w:ind w:left="114"/>
              <w:spacing w:before="35" w:line="204" w:lineRule="auto"/>
              <w:rPr>
                <w:sz w:val="19"/>
                <w:szCs w:val="19"/>
              </w:rPr>
            </w:pPr>
            <w:r>
              <w:rPr>
                <w:sz w:val="19"/>
                <w:szCs w:val="19"/>
                <w:b/>
                <w:bCs/>
                <w:spacing w:val="5"/>
              </w:rPr>
              <w:t>收入合计</w:t>
            </w:r>
          </w:p>
        </w:tc>
        <w:tc>
          <w:tcPr>
            <w:tcW w:w="1917" w:type="dxa"/>
            <w:vAlign w:val="top"/>
            <w:tcBorders>
              <w:bottom w:val="single" w:color="000000" w:sz="6" w:space="0"/>
            </w:tcBorders>
          </w:tcPr>
          <w:p>
            <w:pPr>
              <w:pStyle w:val="TableText"/>
              <w:ind w:left="1316"/>
              <w:spacing w:before="31" w:line="207" w:lineRule="auto"/>
              <w:rPr>
                <w:sz w:val="19"/>
                <w:szCs w:val="19"/>
              </w:rPr>
            </w:pPr>
            <w:r>
              <w:rPr>
                <w:sz w:val="19"/>
                <w:szCs w:val="19"/>
                <w:spacing w:val="2"/>
              </w:rPr>
              <w:t>66008</w:t>
            </w:r>
          </w:p>
        </w:tc>
        <w:tc>
          <w:tcPr>
            <w:tcW w:w="1680" w:type="dxa"/>
            <w:vAlign w:val="top"/>
            <w:tcBorders>
              <w:bottom w:val="single" w:color="000000" w:sz="6" w:space="0"/>
            </w:tcBorders>
          </w:tcPr>
          <w:p>
            <w:pPr>
              <w:pStyle w:val="TableText"/>
              <w:ind w:left="1081"/>
              <w:spacing w:before="31" w:line="207" w:lineRule="auto"/>
              <w:rPr>
                <w:sz w:val="19"/>
                <w:szCs w:val="19"/>
              </w:rPr>
            </w:pPr>
            <w:r>
              <w:rPr>
                <w:sz w:val="19"/>
                <w:szCs w:val="19"/>
                <w:spacing w:val="2"/>
              </w:rPr>
              <w:t>68000</w:t>
            </w:r>
          </w:p>
        </w:tc>
        <w:tc>
          <w:tcPr>
            <w:tcW w:w="1850" w:type="dxa"/>
            <w:vAlign w:val="top"/>
            <w:tcBorders>
              <w:bottom w:val="single" w:color="000000" w:sz="6" w:space="0"/>
              <w:right w:val="single" w:color="000000" w:sz="6" w:space="0"/>
            </w:tcBorders>
          </w:tcPr>
          <w:p>
            <w:pPr>
              <w:pStyle w:val="TableText"/>
              <w:ind w:left="1294"/>
              <w:spacing w:before="31" w:line="207" w:lineRule="auto"/>
              <w:rPr>
                <w:sz w:val="19"/>
                <w:szCs w:val="19"/>
              </w:rPr>
            </w:pPr>
            <w:r>
              <w:rPr>
                <w:sz w:val="19"/>
                <w:szCs w:val="19"/>
                <w:spacing w:val="14"/>
              </w:rPr>
              <w:t>103%</w:t>
            </w:r>
          </w:p>
        </w:tc>
      </w:tr>
    </w:tbl>
    <w:p>
      <w:pPr>
        <w:spacing w:line="433" w:lineRule="auto"/>
        <w:rPr>
          <w:rFonts w:ascii="Arial"/>
          <w:sz w:val="21"/>
        </w:rPr>
      </w:pPr>
      <w:r/>
    </w:p>
    <w:p>
      <w:pPr>
        <w:ind w:left="125"/>
        <w:spacing w:before="85" w:line="214"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position w:val="-2"/>
        </w:rPr>
        <w:t>表二</w:t>
      </w:r>
    </w:p>
    <w:p>
      <w:pPr>
        <w:pStyle w:val="BodyText"/>
        <w:ind w:left="1356"/>
        <w:spacing w:line="475" w:lineRule="exact"/>
        <w:rPr>
          <w:sz w:val="35"/>
          <w:szCs w:val="35"/>
        </w:rPr>
      </w:pPr>
      <w:r>
        <w:rPr>
          <w:sz w:val="35"/>
          <w:szCs w:val="35"/>
          <w:b/>
          <w:bCs/>
          <w:spacing w:val="3"/>
          <w:position w:val="2"/>
        </w:rPr>
        <w:t>固原市本级</w:t>
      </w:r>
      <w:r>
        <w:rPr>
          <w:sz w:val="35"/>
          <w:szCs w:val="35"/>
          <w:spacing w:val="-77"/>
          <w:position w:val="2"/>
        </w:rPr>
        <w:t xml:space="preserve"> </w:t>
      </w:r>
      <w:r>
        <w:rPr>
          <w:sz w:val="35"/>
          <w:szCs w:val="35"/>
          <w:b/>
          <w:bCs/>
          <w:spacing w:val="3"/>
          <w:position w:val="2"/>
        </w:rPr>
        <w:t>2021</w:t>
      </w:r>
      <w:r>
        <w:rPr>
          <w:sz w:val="35"/>
          <w:szCs w:val="35"/>
          <w:spacing w:val="-75"/>
          <w:position w:val="2"/>
        </w:rPr>
        <w:t xml:space="preserve"> </w:t>
      </w:r>
      <w:r>
        <w:rPr>
          <w:sz w:val="35"/>
          <w:szCs w:val="35"/>
          <w:b/>
          <w:bCs/>
          <w:spacing w:val="3"/>
          <w:position w:val="2"/>
        </w:rPr>
        <w:t>年一般公共预算支出表</w:t>
      </w:r>
    </w:p>
    <w:p>
      <w:pPr>
        <w:pStyle w:val="BodyText"/>
        <w:ind w:left="7650"/>
        <w:spacing w:line="215" w:lineRule="auto"/>
        <w:rPr>
          <w:sz w:val="18"/>
          <w:szCs w:val="18"/>
        </w:rPr>
      </w:pPr>
      <w:r>
        <w:rPr>
          <w:sz w:val="18"/>
          <w:szCs w:val="18"/>
          <w:spacing w:val="-1"/>
        </w:rPr>
        <w:t>单位：万元</w:t>
      </w:r>
    </w:p>
    <w:tbl>
      <w:tblPr>
        <w:tblStyle w:val="TableNormal"/>
        <w:tblW w:w="8793" w:type="dxa"/>
        <w:tblInd w:w="8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78"/>
        <w:gridCol w:w="3251"/>
        <w:gridCol w:w="1585"/>
        <w:gridCol w:w="1544"/>
        <w:gridCol w:w="1335"/>
      </w:tblGrid>
      <w:tr>
        <w:trPr>
          <w:trHeight w:val="611" w:hRule="atLeast"/>
        </w:trPr>
        <w:tc>
          <w:tcPr>
            <w:tcW w:w="1078" w:type="dxa"/>
            <w:vAlign w:val="top"/>
            <w:tcBorders>
              <w:left w:val="single" w:color="000000" w:sz="6" w:space="0"/>
              <w:top w:val="single" w:color="000000" w:sz="6" w:space="0"/>
            </w:tcBorders>
          </w:tcPr>
          <w:p>
            <w:pPr>
              <w:pStyle w:val="TableText"/>
              <w:ind w:left="130"/>
              <w:spacing w:before="228" w:line="218" w:lineRule="auto"/>
              <w:rPr>
                <w:sz w:val="19"/>
                <w:szCs w:val="19"/>
              </w:rPr>
            </w:pPr>
            <w:r>
              <w:rPr>
                <w:sz w:val="19"/>
                <w:szCs w:val="19"/>
                <w:b/>
                <w:bCs/>
                <w:spacing w:val="7"/>
              </w:rPr>
              <w:t>科目编码</w:t>
            </w:r>
          </w:p>
        </w:tc>
        <w:tc>
          <w:tcPr>
            <w:tcW w:w="3251" w:type="dxa"/>
            <w:vAlign w:val="top"/>
            <w:tcBorders>
              <w:top w:val="single" w:color="000000" w:sz="6" w:space="0"/>
            </w:tcBorders>
          </w:tcPr>
          <w:p>
            <w:pPr>
              <w:pStyle w:val="TableText"/>
              <w:ind w:left="1225"/>
              <w:spacing w:before="228" w:line="218" w:lineRule="auto"/>
              <w:rPr>
                <w:sz w:val="19"/>
                <w:szCs w:val="19"/>
              </w:rPr>
            </w:pPr>
            <w:r>
              <w:rPr>
                <w:sz w:val="19"/>
                <w:szCs w:val="19"/>
                <w:b/>
                <w:bCs/>
                <w:spacing w:val="6"/>
              </w:rPr>
              <w:t>功能科目</w:t>
            </w:r>
          </w:p>
        </w:tc>
        <w:tc>
          <w:tcPr>
            <w:tcW w:w="1585" w:type="dxa"/>
            <w:vAlign w:val="top"/>
            <w:tcBorders>
              <w:top w:val="single" w:color="000000" w:sz="6" w:space="0"/>
            </w:tcBorders>
          </w:tcPr>
          <w:p>
            <w:pPr>
              <w:pStyle w:val="TableText"/>
              <w:ind w:left="168"/>
              <w:spacing w:before="224" w:line="264" w:lineRule="exact"/>
              <w:rPr>
                <w:sz w:val="19"/>
                <w:szCs w:val="19"/>
              </w:rPr>
            </w:pPr>
            <w:r>
              <w:rPr>
                <w:sz w:val="19"/>
                <w:szCs w:val="19"/>
                <w:b/>
                <w:bCs/>
                <w:spacing w:val="4"/>
                <w:position w:val="1"/>
              </w:rPr>
              <w:t>2020</w:t>
            </w:r>
            <w:r>
              <w:rPr>
                <w:sz w:val="19"/>
                <w:szCs w:val="19"/>
                <w:spacing w:val="-37"/>
                <w:position w:val="1"/>
              </w:rPr>
              <w:t xml:space="preserve"> </w:t>
            </w:r>
            <w:r>
              <w:rPr>
                <w:sz w:val="19"/>
                <w:szCs w:val="19"/>
                <w:b/>
                <w:bCs/>
                <w:spacing w:val="4"/>
                <w:position w:val="1"/>
              </w:rPr>
              <w:t>年预算数</w:t>
            </w:r>
          </w:p>
        </w:tc>
        <w:tc>
          <w:tcPr>
            <w:tcW w:w="1544" w:type="dxa"/>
            <w:vAlign w:val="top"/>
            <w:tcBorders>
              <w:top w:val="single" w:color="000000" w:sz="6" w:space="0"/>
            </w:tcBorders>
          </w:tcPr>
          <w:p>
            <w:pPr>
              <w:pStyle w:val="TableText"/>
              <w:ind w:left="150"/>
              <w:spacing w:before="224" w:line="264" w:lineRule="exact"/>
              <w:rPr>
                <w:sz w:val="19"/>
                <w:szCs w:val="19"/>
              </w:rPr>
            </w:pPr>
            <w:r>
              <w:rPr>
                <w:sz w:val="19"/>
                <w:szCs w:val="19"/>
                <w:b/>
                <w:bCs/>
                <w:spacing w:val="11"/>
                <w:position w:val="1"/>
              </w:rPr>
              <w:t>2021年预算数</w:t>
            </w:r>
          </w:p>
        </w:tc>
        <w:tc>
          <w:tcPr>
            <w:tcW w:w="1335" w:type="dxa"/>
            <w:vAlign w:val="top"/>
            <w:tcBorders>
              <w:right w:val="single" w:color="000000" w:sz="6" w:space="0"/>
              <w:top w:val="single" w:color="000000" w:sz="6" w:space="0"/>
            </w:tcBorders>
          </w:tcPr>
          <w:p>
            <w:pPr>
              <w:pStyle w:val="TableText"/>
              <w:ind w:left="382" w:right="55" w:hanging="290"/>
              <w:spacing w:before="76" w:line="255" w:lineRule="auto"/>
              <w:rPr>
                <w:sz w:val="19"/>
                <w:szCs w:val="19"/>
              </w:rPr>
            </w:pPr>
            <w:r>
              <w:rPr>
                <w:sz w:val="19"/>
                <w:szCs w:val="19"/>
                <w:b/>
                <w:bCs/>
                <w:spacing w:val="3"/>
              </w:rPr>
              <w:t>比上年预算数</w:t>
            </w:r>
            <w:r>
              <w:rPr>
                <w:sz w:val="19"/>
                <w:szCs w:val="19"/>
                <w:b/>
                <w:bCs/>
                <w:spacing w:val="27"/>
              </w:rPr>
              <w:t>增减%</w:t>
            </w:r>
          </w:p>
        </w:tc>
      </w:tr>
      <w:tr>
        <w:trPr>
          <w:trHeight w:val="304" w:hRule="atLeast"/>
        </w:trPr>
        <w:tc>
          <w:tcPr>
            <w:tcW w:w="1078" w:type="dxa"/>
            <w:vAlign w:val="top"/>
            <w:tcBorders>
              <w:left w:val="single" w:color="000000" w:sz="6" w:space="0"/>
            </w:tcBorders>
          </w:tcPr>
          <w:p>
            <w:pPr>
              <w:pStyle w:val="TableText"/>
              <w:ind w:left="385"/>
              <w:spacing w:before="66" w:line="221" w:lineRule="auto"/>
              <w:rPr>
                <w:sz w:val="19"/>
                <w:szCs w:val="19"/>
              </w:rPr>
            </w:pPr>
            <w:r>
              <w:rPr>
                <w:sz w:val="19"/>
                <w:szCs w:val="19"/>
                <w:spacing w:val="1"/>
              </w:rPr>
              <w:t>201</w:t>
            </w:r>
          </w:p>
        </w:tc>
        <w:tc>
          <w:tcPr>
            <w:tcW w:w="3251" w:type="dxa"/>
            <w:vAlign w:val="top"/>
          </w:tcPr>
          <w:p>
            <w:pPr>
              <w:pStyle w:val="TableText"/>
              <w:ind w:left="10"/>
              <w:spacing w:before="71" w:line="216" w:lineRule="auto"/>
              <w:rPr>
                <w:sz w:val="19"/>
                <w:szCs w:val="19"/>
              </w:rPr>
            </w:pPr>
            <w:r>
              <w:rPr>
                <w:sz w:val="19"/>
                <w:szCs w:val="19"/>
                <w:spacing w:val="9"/>
              </w:rPr>
              <w:t>一般公共服务支出</w:t>
            </w:r>
          </w:p>
        </w:tc>
        <w:tc>
          <w:tcPr>
            <w:tcW w:w="1585" w:type="dxa"/>
            <w:vAlign w:val="top"/>
          </w:tcPr>
          <w:p>
            <w:pPr>
              <w:pStyle w:val="TableText"/>
              <w:ind w:left="521"/>
              <w:spacing w:before="66" w:line="221" w:lineRule="auto"/>
              <w:rPr>
                <w:sz w:val="19"/>
                <w:szCs w:val="19"/>
              </w:rPr>
            </w:pPr>
            <w:r>
              <w:rPr>
                <w:sz w:val="19"/>
                <w:szCs w:val="19"/>
                <w:spacing w:val="-6"/>
              </w:rPr>
              <w:t>25,029</w:t>
            </w:r>
          </w:p>
        </w:tc>
        <w:tc>
          <w:tcPr>
            <w:tcW w:w="1544" w:type="dxa"/>
            <w:vAlign w:val="top"/>
          </w:tcPr>
          <w:p>
            <w:pPr>
              <w:pStyle w:val="TableText"/>
              <w:ind w:left="503"/>
              <w:spacing w:before="66" w:line="221" w:lineRule="auto"/>
              <w:rPr>
                <w:sz w:val="19"/>
                <w:szCs w:val="19"/>
              </w:rPr>
            </w:pPr>
            <w:r>
              <w:rPr>
                <w:sz w:val="19"/>
                <w:szCs w:val="19"/>
                <w:spacing w:val="-6"/>
              </w:rPr>
              <w:t>28,191</w:t>
            </w:r>
          </w:p>
        </w:tc>
        <w:tc>
          <w:tcPr>
            <w:tcW w:w="1335" w:type="dxa"/>
            <w:vAlign w:val="top"/>
            <w:tcBorders>
              <w:right w:val="single" w:color="000000" w:sz="6" w:space="0"/>
            </w:tcBorders>
          </w:tcPr>
          <w:p>
            <w:pPr>
              <w:pStyle w:val="TableText"/>
              <w:ind w:left="379"/>
              <w:spacing w:before="66" w:line="221" w:lineRule="auto"/>
              <w:rPr>
                <w:sz w:val="19"/>
                <w:szCs w:val="19"/>
              </w:rPr>
            </w:pPr>
            <w:r>
              <w:rPr>
                <w:sz w:val="19"/>
                <w:szCs w:val="19"/>
                <w:spacing w:val="2"/>
              </w:rPr>
              <w:t>12.63%</w:t>
            </w:r>
          </w:p>
        </w:tc>
      </w:tr>
      <w:tr>
        <w:trPr>
          <w:trHeight w:val="304" w:hRule="atLeast"/>
        </w:trPr>
        <w:tc>
          <w:tcPr>
            <w:tcW w:w="1078" w:type="dxa"/>
            <w:vAlign w:val="top"/>
            <w:tcBorders>
              <w:left w:val="single" w:color="000000" w:sz="6" w:space="0"/>
            </w:tcBorders>
          </w:tcPr>
          <w:p>
            <w:pPr>
              <w:pStyle w:val="TableText"/>
              <w:ind w:left="385"/>
              <w:spacing w:before="68" w:line="219" w:lineRule="auto"/>
              <w:rPr>
                <w:sz w:val="19"/>
                <w:szCs w:val="19"/>
              </w:rPr>
            </w:pPr>
            <w:r>
              <w:rPr>
                <w:sz w:val="19"/>
                <w:szCs w:val="19"/>
                <w:spacing w:val="1"/>
              </w:rPr>
              <w:t>202</w:t>
            </w:r>
          </w:p>
        </w:tc>
        <w:tc>
          <w:tcPr>
            <w:tcW w:w="3251" w:type="dxa"/>
            <w:vAlign w:val="top"/>
          </w:tcPr>
          <w:p>
            <w:pPr>
              <w:pStyle w:val="TableText"/>
              <w:ind w:left="9"/>
              <w:spacing w:before="74" w:line="213" w:lineRule="auto"/>
              <w:rPr>
                <w:sz w:val="19"/>
                <w:szCs w:val="19"/>
              </w:rPr>
            </w:pPr>
            <w:r>
              <w:rPr>
                <w:sz w:val="19"/>
                <w:szCs w:val="19"/>
                <w:spacing w:val="8"/>
              </w:rPr>
              <w:t>外交支出</w:t>
            </w:r>
          </w:p>
        </w:tc>
        <w:tc>
          <w:tcPr>
            <w:tcW w:w="1585" w:type="dxa"/>
            <w:vAlign w:val="top"/>
          </w:tcPr>
          <w:p>
            <w:pPr>
              <w:rPr>
                <w:rFonts w:ascii="Arial"/>
                <w:sz w:val="21"/>
              </w:rPr>
            </w:pPr>
            <w:r/>
          </w:p>
        </w:tc>
        <w:tc>
          <w:tcPr>
            <w:tcW w:w="1544" w:type="dxa"/>
            <w:vAlign w:val="top"/>
          </w:tcPr>
          <w:p>
            <w:pPr>
              <w:rPr>
                <w:rFonts w:ascii="Arial"/>
                <w:sz w:val="21"/>
              </w:rPr>
            </w:pPr>
            <w:r/>
          </w:p>
        </w:tc>
        <w:tc>
          <w:tcPr>
            <w:tcW w:w="1335" w:type="dxa"/>
            <w:vAlign w:val="top"/>
            <w:tcBorders>
              <w:right w:val="single" w:color="000000" w:sz="6" w:space="0"/>
            </w:tcBorders>
          </w:tcPr>
          <w:p>
            <w:pPr>
              <w:rPr>
                <w:rFonts w:ascii="Arial"/>
                <w:sz w:val="21"/>
              </w:rPr>
            </w:pPr>
            <w:r/>
          </w:p>
        </w:tc>
      </w:tr>
      <w:tr>
        <w:trPr>
          <w:trHeight w:val="304" w:hRule="atLeast"/>
        </w:trPr>
        <w:tc>
          <w:tcPr>
            <w:tcW w:w="1078" w:type="dxa"/>
            <w:vAlign w:val="top"/>
            <w:tcBorders>
              <w:left w:val="single" w:color="000000" w:sz="6" w:space="0"/>
            </w:tcBorders>
          </w:tcPr>
          <w:p>
            <w:pPr>
              <w:pStyle w:val="TableText"/>
              <w:ind w:left="385"/>
              <w:spacing w:before="69" w:line="218" w:lineRule="auto"/>
              <w:rPr>
                <w:sz w:val="19"/>
                <w:szCs w:val="19"/>
              </w:rPr>
            </w:pPr>
            <w:r>
              <w:rPr>
                <w:sz w:val="19"/>
                <w:szCs w:val="19"/>
                <w:spacing w:val="1"/>
              </w:rPr>
              <w:t>203</w:t>
            </w:r>
          </w:p>
        </w:tc>
        <w:tc>
          <w:tcPr>
            <w:tcW w:w="3251" w:type="dxa"/>
            <w:vAlign w:val="top"/>
          </w:tcPr>
          <w:p>
            <w:pPr>
              <w:pStyle w:val="TableText"/>
              <w:ind w:left="29"/>
              <w:spacing w:before="74" w:line="213" w:lineRule="auto"/>
              <w:rPr>
                <w:sz w:val="19"/>
                <w:szCs w:val="19"/>
              </w:rPr>
            </w:pPr>
            <w:r>
              <w:rPr>
                <w:sz w:val="19"/>
                <w:szCs w:val="19"/>
                <w:spacing w:val="3"/>
              </w:rPr>
              <w:t>国防支出</w:t>
            </w:r>
          </w:p>
        </w:tc>
        <w:tc>
          <w:tcPr>
            <w:tcW w:w="1585" w:type="dxa"/>
            <w:vAlign w:val="top"/>
          </w:tcPr>
          <w:p>
            <w:pPr>
              <w:pStyle w:val="TableText"/>
              <w:ind w:left="643"/>
              <w:spacing w:before="69" w:line="218" w:lineRule="auto"/>
              <w:rPr>
                <w:sz w:val="19"/>
                <w:szCs w:val="19"/>
              </w:rPr>
            </w:pPr>
            <w:r>
              <w:rPr>
                <w:sz w:val="19"/>
                <w:szCs w:val="19"/>
                <w:spacing w:val="1"/>
              </w:rPr>
              <w:t>291</w:t>
            </w:r>
          </w:p>
        </w:tc>
        <w:tc>
          <w:tcPr>
            <w:tcW w:w="1544" w:type="dxa"/>
            <w:vAlign w:val="top"/>
          </w:tcPr>
          <w:p>
            <w:pPr>
              <w:pStyle w:val="TableText"/>
              <w:ind w:left="631"/>
              <w:spacing w:before="69" w:line="218" w:lineRule="auto"/>
              <w:rPr>
                <w:sz w:val="19"/>
                <w:szCs w:val="19"/>
              </w:rPr>
            </w:pPr>
            <w:r>
              <w:rPr>
                <w:sz w:val="19"/>
                <w:szCs w:val="19"/>
              </w:rPr>
              <w:t>322</w:t>
            </w:r>
          </w:p>
        </w:tc>
        <w:tc>
          <w:tcPr>
            <w:tcW w:w="1335" w:type="dxa"/>
            <w:vAlign w:val="top"/>
            <w:tcBorders>
              <w:right w:val="single" w:color="000000" w:sz="6" w:space="0"/>
            </w:tcBorders>
          </w:tcPr>
          <w:p>
            <w:pPr>
              <w:pStyle w:val="TableText"/>
              <w:ind w:left="379"/>
              <w:spacing w:before="69" w:line="218" w:lineRule="auto"/>
              <w:rPr>
                <w:sz w:val="19"/>
                <w:szCs w:val="19"/>
              </w:rPr>
            </w:pPr>
            <w:r>
              <w:rPr>
                <w:sz w:val="19"/>
                <w:szCs w:val="19"/>
                <w:spacing w:val="2"/>
              </w:rPr>
              <w:t>10.65%</w:t>
            </w:r>
          </w:p>
        </w:tc>
      </w:tr>
      <w:tr>
        <w:trPr>
          <w:trHeight w:val="304" w:hRule="atLeast"/>
        </w:trPr>
        <w:tc>
          <w:tcPr>
            <w:tcW w:w="1078" w:type="dxa"/>
            <w:vAlign w:val="top"/>
            <w:tcBorders>
              <w:left w:val="single" w:color="000000" w:sz="6" w:space="0"/>
            </w:tcBorders>
          </w:tcPr>
          <w:p>
            <w:pPr>
              <w:pStyle w:val="TableText"/>
              <w:ind w:left="385"/>
              <w:spacing w:before="69" w:line="218" w:lineRule="auto"/>
              <w:rPr>
                <w:sz w:val="19"/>
                <w:szCs w:val="19"/>
              </w:rPr>
            </w:pPr>
            <w:r>
              <w:rPr>
                <w:sz w:val="19"/>
                <w:szCs w:val="19"/>
                <w:spacing w:val="1"/>
              </w:rPr>
              <w:t>204</w:t>
            </w:r>
          </w:p>
        </w:tc>
        <w:tc>
          <w:tcPr>
            <w:tcW w:w="3251" w:type="dxa"/>
            <w:vAlign w:val="top"/>
          </w:tcPr>
          <w:p>
            <w:pPr>
              <w:pStyle w:val="TableText"/>
              <w:ind w:left="8"/>
              <w:spacing w:before="74" w:line="213" w:lineRule="auto"/>
              <w:rPr>
                <w:sz w:val="19"/>
                <w:szCs w:val="19"/>
              </w:rPr>
            </w:pPr>
            <w:r>
              <w:rPr>
                <w:sz w:val="19"/>
                <w:szCs w:val="19"/>
                <w:spacing w:val="9"/>
              </w:rPr>
              <w:t>公共安全支出</w:t>
            </w:r>
          </w:p>
        </w:tc>
        <w:tc>
          <w:tcPr>
            <w:tcW w:w="1585" w:type="dxa"/>
            <w:vAlign w:val="top"/>
          </w:tcPr>
          <w:p>
            <w:pPr>
              <w:pStyle w:val="TableText"/>
              <w:ind w:left="537"/>
              <w:spacing w:before="69" w:line="218" w:lineRule="auto"/>
              <w:rPr>
                <w:sz w:val="19"/>
                <w:szCs w:val="19"/>
              </w:rPr>
            </w:pPr>
            <w:r>
              <w:rPr>
                <w:sz w:val="19"/>
                <w:szCs w:val="19"/>
                <w:spacing w:val="-9"/>
              </w:rPr>
              <w:t>16,682</w:t>
            </w:r>
          </w:p>
        </w:tc>
        <w:tc>
          <w:tcPr>
            <w:tcW w:w="1544" w:type="dxa"/>
            <w:vAlign w:val="top"/>
          </w:tcPr>
          <w:p>
            <w:pPr>
              <w:pStyle w:val="TableText"/>
              <w:ind w:left="503"/>
              <w:spacing w:before="69" w:line="218" w:lineRule="auto"/>
              <w:rPr>
                <w:sz w:val="19"/>
                <w:szCs w:val="19"/>
              </w:rPr>
            </w:pPr>
            <w:r>
              <w:rPr>
                <w:sz w:val="19"/>
                <w:szCs w:val="19"/>
                <w:spacing w:val="-6"/>
              </w:rPr>
              <w:t>21,105</w:t>
            </w:r>
          </w:p>
        </w:tc>
        <w:tc>
          <w:tcPr>
            <w:tcW w:w="1335" w:type="dxa"/>
            <w:vAlign w:val="top"/>
            <w:tcBorders>
              <w:right w:val="single" w:color="000000" w:sz="6" w:space="0"/>
            </w:tcBorders>
          </w:tcPr>
          <w:p>
            <w:pPr>
              <w:pStyle w:val="TableText"/>
              <w:ind w:left="363"/>
              <w:spacing w:before="69" w:line="218" w:lineRule="auto"/>
              <w:rPr>
                <w:sz w:val="19"/>
                <w:szCs w:val="19"/>
              </w:rPr>
            </w:pPr>
            <w:r>
              <w:rPr>
                <w:sz w:val="19"/>
                <w:szCs w:val="19"/>
                <w:spacing w:val="5"/>
              </w:rPr>
              <w:t>26.51%</w:t>
            </w:r>
          </w:p>
        </w:tc>
      </w:tr>
      <w:tr>
        <w:trPr>
          <w:trHeight w:val="304" w:hRule="atLeast"/>
        </w:trPr>
        <w:tc>
          <w:tcPr>
            <w:tcW w:w="1078" w:type="dxa"/>
            <w:vAlign w:val="top"/>
            <w:tcBorders>
              <w:left w:val="single" w:color="000000" w:sz="6" w:space="0"/>
            </w:tcBorders>
          </w:tcPr>
          <w:p>
            <w:pPr>
              <w:pStyle w:val="TableText"/>
              <w:ind w:left="385"/>
              <w:spacing w:before="70" w:line="217" w:lineRule="auto"/>
              <w:rPr>
                <w:sz w:val="19"/>
                <w:szCs w:val="19"/>
              </w:rPr>
            </w:pPr>
            <w:r>
              <w:rPr>
                <w:sz w:val="19"/>
                <w:szCs w:val="19"/>
                <w:spacing w:val="1"/>
              </w:rPr>
              <w:t>205</w:t>
            </w:r>
          </w:p>
        </w:tc>
        <w:tc>
          <w:tcPr>
            <w:tcW w:w="3251" w:type="dxa"/>
            <w:vAlign w:val="top"/>
          </w:tcPr>
          <w:p>
            <w:pPr>
              <w:pStyle w:val="TableText"/>
              <w:ind w:left="10"/>
              <w:spacing w:before="74" w:line="213" w:lineRule="auto"/>
              <w:rPr>
                <w:sz w:val="19"/>
                <w:szCs w:val="19"/>
              </w:rPr>
            </w:pPr>
            <w:r>
              <w:rPr>
                <w:sz w:val="19"/>
                <w:szCs w:val="19"/>
                <w:spacing w:val="8"/>
              </w:rPr>
              <w:t>教育支出</w:t>
            </w:r>
          </w:p>
        </w:tc>
        <w:tc>
          <w:tcPr>
            <w:tcW w:w="1585" w:type="dxa"/>
            <w:vAlign w:val="top"/>
          </w:tcPr>
          <w:p>
            <w:pPr>
              <w:pStyle w:val="TableText"/>
              <w:ind w:left="524"/>
              <w:spacing w:before="70" w:line="217" w:lineRule="auto"/>
              <w:rPr>
                <w:sz w:val="19"/>
                <w:szCs w:val="19"/>
              </w:rPr>
            </w:pPr>
            <w:r>
              <w:rPr>
                <w:sz w:val="19"/>
                <w:szCs w:val="19"/>
                <w:spacing w:val="-6"/>
              </w:rPr>
              <w:t>30,977</w:t>
            </w:r>
          </w:p>
        </w:tc>
        <w:tc>
          <w:tcPr>
            <w:tcW w:w="1544" w:type="dxa"/>
            <w:vAlign w:val="top"/>
          </w:tcPr>
          <w:p>
            <w:pPr>
              <w:pStyle w:val="TableText"/>
              <w:ind w:left="500"/>
              <w:spacing w:before="70" w:line="217" w:lineRule="auto"/>
              <w:rPr>
                <w:sz w:val="19"/>
                <w:szCs w:val="19"/>
              </w:rPr>
            </w:pPr>
            <w:r>
              <w:rPr>
                <w:sz w:val="19"/>
                <w:szCs w:val="19"/>
                <w:spacing w:val="-5"/>
              </w:rPr>
              <w:t>41,188</w:t>
            </w:r>
          </w:p>
        </w:tc>
        <w:tc>
          <w:tcPr>
            <w:tcW w:w="1335" w:type="dxa"/>
            <w:vAlign w:val="top"/>
            <w:tcBorders>
              <w:right w:val="single" w:color="000000" w:sz="6" w:space="0"/>
            </w:tcBorders>
          </w:tcPr>
          <w:p>
            <w:pPr>
              <w:pStyle w:val="TableText"/>
              <w:ind w:left="366"/>
              <w:spacing w:before="70" w:line="217" w:lineRule="auto"/>
              <w:rPr>
                <w:sz w:val="19"/>
                <w:szCs w:val="19"/>
              </w:rPr>
            </w:pPr>
            <w:r>
              <w:rPr>
                <w:sz w:val="19"/>
                <w:szCs w:val="19"/>
                <w:spacing w:val="5"/>
              </w:rPr>
              <w:t>32.96%</w:t>
            </w:r>
          </w:p>
        </w:tc>
      </w:tr>
      <w:tr>
        <w:trPr>
          <w:trHeight w:val="304" w:hRule="atLeast"/>
        </w:trPr>
        <w:tc>
          <w:tcPr>
            <w:tcW w:w="1078" w:type="dxa"/>
            <w:vAlign w:val="top"/>
            <w:tcBorders>
              <w:left w:val="single" w:color="000000" w:sz="6" w:space="0"/>
            </w:tcBorders>
          </w:tcPr>
          <w:p>
            <w:pPr>
              <w:pStyle w:val="TableText"/>
              <w:ind w:left="385"/>
              <w:spacing w:before="72" w:line="215" w:lineRule="auto"/>
              <w:rPr>
                <w:sz w:val="19"/>
                <w:szCs w:val="19"/>
              </w:rPr>
            </w:pPr>
            <w:r>
              <w:rPr>
                <w:sz w:val="19"/>
                <w:szCs w:val="19"/>
                <w:spacing w:val="1"/>
              </w:rPr>
              <w:t>206</w:t>
            </w:r>
          </w:p>
        </w:tc>
        <w:tc>
          <w:tcPr>
            <w:tcW w:w="3251" w:type="dxa"/>
            <w:vAlign w:val="top"/>
          </w:tcPr>
          <w:p>
            <w:pPr>
              <w:pStyle w:val="TableText"/>
              <w:ind w:left="8"/>
              <w:spacing w:before="77" w:line="210" w:lineRule="auto"/>
              <w:rPr>
                <w:sz w:val="19"/>
                <w:szCs w:val="19"/>
              </w:rPr>
            </w:pPr>
            <w:r>
              <w:rPr>
                <w:sz w:val="19"/>
                <w:szCs w:val="19"/>
                <w:spacing w:val="9"/>
              </w:rPr>
              <w:t>科学技术支出</w:t>
            </w:r>
          </w:p>
        </w:tc>
        <w:tc>
          <w:tcPr>
            <w:tcW w:w="1585" w:type="dxa"/>
            <w:vAlign w:val="top"/>
          </w:tcPr>
          <w:p>
            <w:pPr>
              <w:pStyle w:val="TableText"/>
              <w:ind w:left="568"/>
              <w:spacing w:before="72" w:line="215" w:lineRule="auto"/>
              <w:rPr>
                <w:sz w:val="19"/>
                <w:szCs w:val="19"/>
              </w:rPr>
            </w:pPr>
            <w:r>
              <w:rPr>
                <w:sz w:val="19"/>
                <w:szCs w:val="19"/>
                <w:spacing w:val="-7"/>
              </w:rPr>
              <w:t>4,277</w:t>
            </w:r>
          </w:p>
        </w:tc>
        <w:tc>
          <w:tcPr>
            <w:tcW w:w="1544" w:type="dxa"/>
            <w:vAlign w:val="top"/>
          </w:tcPr>
          <w:p>
            <w:pPr>
              <w:pStyle w:val="TableText"/>
              <w:ind w:left="553"/>
              <w:spacing w:before="72" w:line="215" w:lineRule="auto"/>
              <w:rPr>
                <w:sz w:val="19"/>
                <w:szCs w:val="19"/>
              </w:rPr>
            </w:pPr>
            <w:r>
              <w:rPr>
                <w:sz w:val="19"/>
                <w:szCs w:val="19"/>
                <w:spacing w:val="-8"/>
              </w:rPr>
              <w:t>2,547</w:t>
            </w:r>
          </w:p>
        </w:tc>
        <w:tc>
          <w:tcPr>
            <w:tcW w:w="1335" w:type="dxa"/>
            <w:vAlign w:val="top"/>
            <w:tcBorders>
              <w:right w:val="single" w:color="000000" w:sz="6" w:space="0"/>
            </w:tcBorders>
          </w:tcPr>
          <w:p>
            <w:pPr>
              <w:pStyle w:val="TableText"/>
              <w:ind w:left="313"/>
              <w:spacing w:before="72" w:line="215" w:lineRule="auto"/>
              <w:rPr>
                <w:sz w:val="19"/>
                <w:szCs w:val="19"/>
              </w:rPr>
            </w:pPr>
            <w:r>
              <w:rPr>
                <w:sz w:val="19"/>
                <w:szCs w:val="19"/>
                <w:spacing w:val="6"/>
              </w:rPr>
              <w:t>-40.45%</w:t>
            </w:r>
          </w:p>
        </w:tc>
      </w:tr>
      <w:tr>
        <w:trPr>
          <w:trHeight w:val="305" w:hRule="atLeast"/>
        </w:trPr>
        <w:tc>
          <w:tcPr>
            <w:tcW w:w="1078" w:type="dxa"/>
            <w:vAlign w:val="top"/>
            <w:tcBorders>
              <w:left w:val="single" w:color="000000" w:sz="6" w:space="0"/>
            </w:tcBorders>
          </w:tcPr>
          <w:p>
            <w:pPr>
              <w:pStyle w:val="TableText"/>
              <w:ind w:left="385"/>
              <w:spacing w:before="73" w:line="215" w:lineRule="auto"/>
              <w:rPr>
                <w:sz w:val="19"/>
                <w:szCs w:val="19"/>
              </w:rPr>
            </w:pPr>
            <w:r>
              <w:rPr>
                <w:sz w:val="19"/>
                <w:szCs w:val="19"/>
                <w:spacing w:val="1"/>
              </w:rPr>
              <w:t>207</w:t>
            </w:r>
          </w:p>
        </w:tc>
        <w:tc>
          <w:tcPr>
            <w:tcW w:w="3251" w:type="dxa"/>
            <w:vAlign w:val="top"/>
          </w:tcPr>
          <w:p>
            <w:pPr>
              <w:pStyle w:val="TableText"/>
              <w:ind w:left="12"/>
              <w:spacing w:before="75" w:line="213" w:lineRule="auto"/>
              <w:rPr>
                <w:sz w:val="19"/>
                <w:szCs w:val="19"/>
              </w:rPr>
            </w:pPr>
            <w:r>
              <w:rPr>
                <w:sz w:val="19"/>
                <w:szCs w:val="19"/>
                <w:spacing w:val="9"/>
              </w:rPr>
              <w:t>文化旅游体育与传媒支出</w:t>
            </w:r>
          </w:p>
        </w:tc>
        <w:tc>
          <w:tcPr>
            <w:tcW w:w="1585" w:type="dxa"/>
            <w:vAlign w:val="top"/>
          </w:tcPr>
          <w:p>
            <w:pPr>
              <w:pStyle w:val="TableText"/>
              <w:ind w:left="572"/>
              <w:spacing w:before="73" w:line="215" w:lineRule="auto"/>
              <w:rPr>
                <w:sz w:val="19"/>
                <w:szCs w:val="19"/>
              </w:rPr>
            </w:pPr>
            <w:r>
              <w:rPr>
                <w:sz w:val="19"/>
                <w:szCs w:val="19"/>
                <w:spacing w:val="-8"/>
              </w:rPr>
              <w:t>5,778</w:t>
            </w:r>
          </w:p>
        </w:tc>
        <w:tc>
          <w:tcPr>
            <w:tcW w:w="1544" w:type="dxa"/>
            <w:vAlign w:val="top"/>
          </w:tcPr>
          <w:p>
            <w:pPr>
              <w:pStyle w:val="TableText"/>
              <w:ind w:left="554"/>
              <w:spacing w:before="73" w:line="215" w:lineRule="auto"/>
              <w:rPr>
                <w:sz w:val="19"/>
                <w:szCs w:val="19"/>
              </w:rPr>
            </w:pPr>
            <w:r>
              <w:rPr>
                <w:sz w:val="19"/>
                <w:szCs w:val="19"/>
                <w:spacing w:val="-8"/>
              </w:rPr>
              <w:t>5,834</w:t>
            </w:r>
          </w:p>
        </w:tc>
        <w:tc>
          <w:tcPr>
            <w:tcW w:w="1335" w:type="dxa"/>
            <w:vAlign w:val="top"/>
            <w:tcBorders>
              <w:right w:val="single" w:color="000000" w:sz="6" w:space="0"/>
            </w:tcBorders>
          </w:tcPr>
          <w:p>
            <w:pPr>
              <w:pStyle w:val="TableText"/>
              <w:ind w:left="412"/>
              <w:spacing w:before="73" w:line="215" w:lineRule="auto"/>
              <w:rPr>
                <w:sz w:val="19"/>
                <w:szCs w:val="19"/>
              </w:rPr>
            </w:pPr>
            <w:r>
              <w:rPr>
                <w:sz w:val="19"/>
                <w:szCs w:val="19"/>
                <w:spacing w:val="6"/>
              </w:rPr>
              <w:t>0.97%</w:t>
            </w:r>
          </w:p>
        </w:tc>
      </w:tr>
      <w:tr>
        <w:trPr>
          <w:trHeight w:val="305" w:hRule="atLeast"/>
        </w:trPr>
        <w:tc>
          <w:tcPr>
            <w:tcW w:w="1078" w:type="dxa"/>
            <w:vAlign w:val="top"/>
            <w:tcBorders>
              <w:left w:val="single" w:color="000000" w:sz="6" w:space="0"/>
            </w:tcBorders>
          </w:tcPr>
          <w:p>
            <w:pPr>
              <w:pStyle w:val="TableText"/>
              <w:ind w:left="385"/>
              <w:spacing w:before="72" w:line="216" w:lineRule="auto"/>
              <w:rPr>
                <w:sz w:val="19"/>
                <w:szCs w:val="19"/>
              </w:rPr>
            </w:pPr>
            <w:r>
              <w:rPr>
                <w:sz w:val="19"/>
                <w:szCs w:val="19"/>
                <w:spacing w:val="1"/>
              </w:rPr>
              <w:t>208</w:t>
            </w:r>
          </w:p>
        </w:tc>
        <w:tc>
          <w:tcPr>
            <w:tcW w:w="3251" w:type="dxa"/>
            <w:vAlign w:val="top"/>
          </w:tcPr>
          <w:p>
            <w:pPr>
              <w:pStyle w:val="TableText"/>
              <w:ind w:left="9"/>
              <w:spacing w:before="75" w:line="213" w:lineRule="auto"/>
              <w:rPr>
                <w:sz w:val="19"/>
                <w:szCs w:val="19"/>
              </w:rPr>
            </w:pPr>
            <w:r>
              <w:rPr>
                <w:sz w:val="19"/>
                <w:szCs w:val="19"/>
                <w:spacing w:val="9"/>
              </w:rPr>
              <w:t>社会保障和就业支出</w:t>
            </w:r>
          </w:p>
        </w:tc>
        <w:tc>
          <w:tcPr>
            <w:tcW w:w="1585" w:type="dxa"/>
            <w:vAlign w:val="top"/>
          </w:tcPr>
          <w:p>
            <w:pPr>
              <w:pStyle w:val="TableText"/>
              <w:ind w:left="518"/>
              <w:spacing w:before="72" w:line="216" w:lineRule="auto"/>
              <w:rPr>
                <w:sz w:val="19"/>
                <w:szCs w:val="19"/>
              </w:rPr>
            </w:pPr>
            <w:r>
              <w:rPr>
                <w:sz w:val="19"/>
                <w:szCs w:val="19"/>
                <w:spacing w:val="-5"/>
              </w:rPr>
              <w:t>47,097</w:t>
            </w:r>
          </w:p>
        </w:tc>
        <w:tc>
          <w:tcPr>
            <w:tcW w:w="1544" w:type="dxa"/>
            <w:vAlign w:val="top"/>
          </w:tcPr>
          <w:p>
            <w:pPr>
              <w:pStyle w:val="TableText"/>
              <w:ind w:left="500"/>
              <w:spacing w:before="72" w:line="216" w:lineRule="auto"/>
              <w:rPr>
                <w:sz w:val="19"/>
                <w:szCs w:val="19"/>
              </w:rPr>
            </w:pPr>
            <w:r>
              <w:rPr>
                <w:sz w:val="19"/>
                <w:szCs w:val="19"/>
                <w:spacing w:val="-5"/>
              </w:rPr>
              <w:t>43,677</w:t>
            </w:r>
          </w:p>
        </w:tc>
        <w:tc>
          <w:tcPr>
            <w:tcW w:w="1335" w:type="dxa"/>
            <w:vAlign w:val="top"/>
            <w:tcBorders>
              <w:right w:val="single" w:color="000000" w:sz="6" w:space="0"/>
            </w:tcBorders>
          </w:tcPr>
          <w:p>
            <w:pPr>
              <w:pStyle w:val="TableText"/>
              <w:ind w:left="361"/>
              <w:spacing w:before="72" w:line="216" w:lineRule="auto"/>
              <w:rPr>
                <w:sz w:val="19"/>
                <w:szCs w:val="19"/>
              </w:rPr>
            </w:pPr>
            <w:r>
              <w:rPr>
                <w:sz w:val="19"/>
                <w:szCs w:val="19"/>
                <w:spacing w:val="7"/>
              </w:rPr>
              <w:t>-7.26%</w:t>
            </w:r>
          </w:p>
        </w:tc>
      </w:tr>
      <w:tr>
        <w:trPr>
          <w:trHeight w:val="305" w:hRule="atLeast"/>
        </w:trPr>
        <w:tc>
          <w:tcPr>
            <w:tcW w:w="1078" w:type="dxa"/>
            <w:vAlign w:val="top"/>
            <w:tcBorders>
              <w:left w:val="single" w:color="000000" w:sz="6" w:space="0"/>
            </w:tcBorders>
          </w:tcPr>
          <w:p>
            <w:pPr>
              <w:pStyle w:val="TableText"/>
              <w:ind w:left="385"/>
              <w:spacing w:before="72" w:line="216" w:lineRule="auto"/>
              <w:rPr>
                <w:sz w:val="19"/>
                <w:szCs w:val="19"/>
              </w:rPr>
            </w:pPr>
            <w:r>
              <w:rPr>
                <w:sz w:val="19"/>
                <w:szCs w:val="19"/>
                <w:spacing w:val="1"/>
              </w:rPr>
              <w:t>210</w:t>
            </w:r>
          </w:p>
        </w:tc>
        <w:tc>
          <w:tcPr>
            <w:tcW w:w="3251" w:type="dxa"/>
            <w:vAlign w:val="top"/>
          </w:tcPr>
          <w:p>
            <w:pPr>
              <w:pStyle w:val="TableText"/>
              <w:ind w:left="9"/>
              <w:spacing w:before="74" w:line="214" w:lineRule="auto"/>
              <w:rPr>
                <w:sz w:val="19"/>
                <w:szCs w:val="19"/>
              </w:rPr>
            </w:pPr>
            <w:r>
              <w:rPr>
                <w:sz w:val="19"/>
                <w:szCs w:val="19"/>
                <w:spacing w:val="9"/>
              </w:rPr>
              <w:t>卫生健康支出</w:t>
            </w:r>
          </w:p>
        </w:tc>
        <w:tc>
          <w:tcPr>
            <w:tcW w:w="1585" w:type="dxa"/>
            <w:vAlign w:val="top"/>
          </w:tcPr>
          <w:p>
            <w:pPr>
              <w:pStyle w:val="TableText"/>
              <w:ind w:left="519"/>
              <w:spacing w:before="72" w:line="216" w:lineRule="auto"/>
              <w:rPr>
                <w:sz w:val="19"/>
                <w:szCs w:val="19"/>
              </w:rPr>
            </w:pPr>
            <w:r>
              <w:rPr>
                <w:sz w:val="19"/>
                <w:szCs w:val="19"/>
                <w:spacing w:val="-6"/>
              </w:rPr>
              <w:t>79,582</w:t>
            </w:r>
          </w:p>
        </w:tc>
        <w:tc>
          <w:tcPr>
            <w:tcW w:w="1544" w:type="dxa"/>
            <w:vAlign w:val="top"/>
          </w:tcPr>
          <w:p>
            <w:pPr>
              <w:pStyle w:val="TableText"/>
              <w:ind w:left="505"/>
              <w:spacing w:before="72" w:line="216" w:lineRule="auto"/>
              <w:rPr>
                <w:sz w:val="19"/>
                <w:szCs w:val="19"/>
              </w:rPr>
            </w:pPr>
            <w:r>
              <w:rPr>
                <w:sz w:val="19"/>
                <w:szCs w:val="19"/>
                <w:spacing w:val="-6"/>
              </w:rPr>
              <w:t>84,945</w:t>
            </w:r>
          </w:p>
        </w:tc>
        <w:tc>
          <w:tcPr>
            <w:tcW w:w="1335" w:type="dxa"/>
            <w:vAlign w:val="top"/>
            <w:tcBorders>
              <w:right w:val="single" w:color="000000" w:sz="6" w:space="0"/>
            </w:tcBorders>
          </w:tcPr>
          <w:p>
            <w:pPr>
              <w:pStyle w:val="TableText"/>
              <w:ind w:left="414"/>
              <w:spacing w:before="72" w:line="216" w:lineRule="auto"/>
              <w:rPr>
                <w:sz w:val="19"/>
                <w:szCs w:val="19"/>
              </w:rPr>
            </w:pPr>
            <w:r>
              <w:rPr>
                <w:sz w:val="19"/>
                <w:szCs w:val="19"/>
                <w:spacing w:val="5"/>
              </w:rPr>
              <w:t>6.74%</w:t>
            </w:r>
          </w:p>
        </w:tc>
      </w:tr>
      <w:tr>
        <w:trPr>
          <w:trHeight w:val="305" w:hRule="atLeast"/>
        </w:trPr>
        <w:tc>
          <w:tcPr>
            <w:tcW w:w="1078" w:type="dxa"/>
            <w:vAlign w:val="top"/>
            <w:tcBorders>
              <w:left w:val="single" w:color="000000" w:sz="6" w:space="0"/>
            </w:tcBorders>
          </w:tcPr>
          <w:p>
            <w:pPr>
              <w:pStyle w:val="TableText"/>
              <w:ind w:left="385"/>
              <w:spacing w:before="73" w:line="215" w:lineRule="auto"/>
              <w:rPr>
                <w:sz w:val="19"/>
                <w:szCs w:val="19"/>
              </w:rPr>
            </w:pPr>
            <w:r>
              <w:rPr>
                <w:sz w:val="19"/>
                <w:szCs w:val="19"/>
                <w:spacing w:val="1"/>
              </w:rPr>
              <w:t>211</w:t>
            </w:r>
          </w:p>
        </w:tc>
        <w:tc>
          <w:tcPr>
            <w:tcW w:w="3251" w:type="dxa"/>
            <w:vAlign w:val="top"/>
          </w:tcPr>
          <w:p>
            <w:pPr>
              <w:pStyle w:val="TableText"/>
              <w:ind w:left="10"/>
              <w:spacing w:before="78" w:line="210" w:lineRule="auto"/>
              <w:rPr>
                <w:sz w:val="19"/>
                <w:szCs w:val="19"/>
              </w:rPr>
            </w:pPr>
            <w:r>
              <w:rPr>
                <w:sz w:val="19"/>
                <w:szCs w:val="19"/>
                <w:spacing w:val="9"/>
              </w:rPr>
              <w:t>节能环保支出</w:t>
            </w:r>
          </w:p>
        </w:tc>
        <w:tc>
          <w:tcPr>
            <w:tcW w:w="1585" w:type="dxa"/>
            <w:vAlign w:val="top"/>
          </w:tcPr>
          <w:p>
            <w:pPr>
              <w:pStyle w:val="TableText"/>
              <w:ind w:left="572"/>
              <w:spacing w:before="73" w:line="215" w:lineRule="auto"/>
              <w:rPr>
                <w:sz w:val="19"/>
                <w:szCs w:val="19"/>
              </w:rPr>
            </w:pPr>
            <w:r>
              <w:rPr>
                <w:sz w:val="19"/>
                <w:szCs w:val="19"/>
                <w:spacing w:val="-8"/>
              </w:rPr>
              <w:t>5,208</w:t>
            </w:r>
          </w:p>
        </w:tc>
        <w:tc>
          <w:tcPr>
            <w:tcW w:w="1544" w:type="dxa"/>
            <w:vAlign w:val="top"/>
          </w:tcPr>
          <w:p>
            <w:pPr>
              <w:pStyle w:val="TableText"/>
              <w:ind w:left="553"/>
              <w:spacing w:before="73" w:line="215" w:lineRule="auto"/>
              <w:rPr>
                <w:sz w:val="19"/>
                <w:szCs w:val="19"/>
              </w:rPr>
            </w:pPr>
            <w:r>
              <w:rPr>
                <w:sz w:val="19"/>
                <w:szCs w:val="19"/>
                <w:spacing w:val="-8"/>
              </w:rPr>
              <w:t>9,683</w:t>
            </w:r>
          </w:p>
        </w:tc>
        <w:tc>
          <w:tcPr>
            <w:tcW w:w="1335" w:type="dxa"/>
            <w:vAlign w:val="top"/>
            <w:tcBorders>
              <w:right w:val="single" w:color="000000" w:sz="6" w:space="0"/>
            </w:tcBorders>
          </w:tcPr>
          <w:p>
            <w:pPr>
              <w:pStyle w:val="TableText"/>
              <w:ind w:left="365"/>
              <w:spacing w:before="73" w:line="215" w:lineRule="auto"/>
              <w:rPr>
                <w:sz w:val="19"/>
                <w:szCs w:val="19"/>
              </w:rPr>
            </w:pPr>
            <w:r>
              <w:rPr>
                <w:sz w:val="19"/>
                <w:szCs w:val="19"/>
                <w:spacing w:val="5"/>
              </w:rPr>
              <w:t>85.93%</w:t>
            </w:r>
          </w:p>
        </w:tc>
      </w:tr>
      <w:tr>
        <w:trPr>
          <w:trHeight w:val="304" w:hRule="atLeast"/>
        </w:trPr>
        <w:tc>
          <w:tcPr>
            <w:tcW w:w="1078" w:type="dxa"/>
            <w:vAlign w:val="top"/>
            <w:tcBorders>
              <w:left w:val="single" w:color="000000" w:sz="6" w:space="0"/>
            </w:tcBorders>
          </w:tcPr>
          <w:p>
            <w:pPr>
              <w:pStyle w:val="TableText"/>
              <w:ind w:left="385"/>
              <w:spacing w:before="73" w:line="214" w:lineRule="auto"/>
              <w:rPr>
                <w:sz w:val="19"/>
                <w:szCs w:val="19"/>
              </w:rPr>
            </w:pPr>
            <w:r>
              <w:rPr>
                <w:sz w:val="19"/>
                <w:szCs w:val="19"/>
                <w:spacing w:val="1"/>
              </w:rPr>
              <w:t>212</w:t>
            </w:r>
          </w:p>
        </w:tc>
        <w:tc>
          <w:tcPr>
            <w:tcW w:w="3251" w:type="dxa"/>
            <w:vAlign w:val="top"/>
          </w:tcPr>
          <w:p>
            <w:pPr>
              <w:pStyle w:val="TableText"/>
              <w:ind w:left="10"/>
              <w:spacing w:before="78" w:line="209" w:lineRule="auto"/>
              <w:rPr>
                <w:sz w:val="19"/>
                <w:szCs w:val="19"/>
              </w:rPr>
            </w:pPr>
            <w:r>
              <w:rPr>
                <w:sz w:val="19"/>
                <w:szCs w:val="19"/>
                <w:spacing w:val="9"/>
              </w:rPr>
              <w:t>城乡社区支出</w:t>
            </w:r>
          </w:p>
        </w:tc>
        <w:tc>
          <w:tcPr>
            <w:tcW w:w="1585" w:type="dxa"/>
            <w:vAlign w:val="top"/>
          </w:tcPr>
          <w:p>
            <w:pPr>
              <w:pStyle w:val="TableText"/>
              <w:ind w:left="524"/>
              <w:spacing w:before="73" w:line="214" w:lineRule="auto"/>
              <w:rPr>
                <w:sz w:val="19"/>
                <w:szCs w:val="19"/>
              </w:rPr>
            </w:pPr>
            <w:r>
              <w:rPr>
                <w:sz w:val="19"/>
                <w:szCs w:val="19"/>
                <w:spacing w:val="-6"/>
              </w:rPr>
              <w:t>32,804</w:t>
            </w:r>
          </w:p>
        </w:tc>
        <w:tc>
          <w:tcPr>
            <w:tcW w:w="1544" w:type="dxa"/>
            <w:vAlign w:val="top"/>
          </w:tcPr>
          <w:p>
            <w:pPr>
              <w:pStyle w:val="TableText"/>
              <w:ind w:left="519"/>
              <w:spacing w:before="73" w:line="214" w:lineRule="auto"/>
              <w:rPr>
                <w:sz w:val="19"/>
                <w:szCs w:val="19"/>
              </w:rPr>
            </w:pPr>
            <w:r>
              <w:rPr>
                <w:sz w:val="19"/>
                <w:szCs w:val="19"/>
                <w:spacing w:val="-9"/>
              </w:rPr>
              <w:t>15,040</w:t>
            </w:r>
          </w:p>
        </w:tc>
        <w:tc>
          <w:tcPr>
            <w:tcW w:w="1335" w:type="dxa"/>
            <w:vAlign w:val="top"/>
            <w:tcBorders>
              <w:right w:val="single" w:color="000000" w:sz="6" w:space="0"/>
            </w:tcBorders>
          </w:tcPr>
          <w:p>
            <w:pPr>
              <w:pStyle w:val="TableText"/>
              <w:ind w:left="313"/>
              <w:spacing w:before="73" w:line="214" w:lineRule="auto"/>
              <w:rPr>
                <w:sz w:val="19"/>
                <w:szCs w:val="19"/>
              </w:rPr>
            </w:pPr>
            <w:r>
              <w:rPr>
                <w:sz w:val="19"/>
                <w:szCs w:val="19"/>
                <w:spacing w:val="6"/>
              </w:rPr>
              <w:t>-54.15%</w:t>
            </w:r>
          </w:p>
        </w:tc>
      </w:tr>
      <w:tr>
        <w:trPr>
          <w:trHeight w:val="305" w:hRule="atLeast"/>
        </w:trPr>
        <w:tc>
          <w:tcPr>
            <w:tcW w:w="1078" w:type="dxa"/>
            <w:vAlign w:val="top"/>
            <w:tcBorders>
              <w:left w:val="single" w:color="000000" w:sz="6" w:space="0"/>
            </w:tcBorders>
          </w:tcPr>
          <w:p>
            <w:pPr>
              <w:pStyle w:val="TableText"/>
              <w:ind w:left="385"/>
              <w:spacing w:before="73" w:line="215" w:lineRule="auto"/>
              <w:rPr>
                <w:sz w:val="19"/>
                <w:szCs w:val="19"/>
              </w:rPr>
            </w:pPr>
            <w:r>
              <w:rPr>
                <w:sz w:val="19"/>
                <w:szCs w:val="19"/>
                <w:spacing w:val="1"/>
              </w:rPr>
              <w:t>213</w:t>
            </w:r>
          </w:p>
        </w:tc>
        <w:tc>
          <w:tcPr>
            <w:tcW w:w="3251" w:type="dxa"/>
            <w:vAlign w:val="top"/>
          </w:tcPr>
          <w:p>
            <w:pPr>
              <w:pStyle w:val="TableText"/>
              <w:ind w:left="6"/>
              <w:spacing w:before="78" w:line="210" w:lineRule="auto"/>
              <w:rPr>
                <w:sz w:val="19"/>
                <w:szCs w:val="19"/>
              </w:rPr>
            </w:pPr>
            <w:r>
              <w:rPr>
                <w:sz w:val="19"/>
                <w:szCs w:val="19"/>
                <w:spacing w:val="9"/>
              </w:rPr>
              <w:t>农林水支出</w:t>
            </w:r>
          </w:p>
        </w:tc>
        <w:tc>
          <w:tcPr>
            <w:tcW w:w="1585" w:type="dxa"/>
            <w:vAlign w:val="top"/>
          </w:tcPr>
          <w:p>
            <w:pPr>
              <w:pStyle w:val="TableText"/>
              <w:ind w:left="537"/>
              <w:spacing w:before="73" w:line="215" w:lineRule="auto"/>
              <w:rPr>
                <w:sz w:val="19"/>
                <w:szCs w:val="19"/>
              </w:rPr>
            </w:pPr>
            <w:r>
              <w:rPr>
                <w:sz w:val="19"/>
                <w:szCs w:val="19"/>
                <w:spacing w:val="-9"/>
              </w:rPr>
              <w:t>16,033</w:t>
            </w:r>
          </w:p>
        </w:tc>
        <w:tc>
          <w:tcPr>
            <w:tcW w:w="1544" w:type="dxa"/>
            <w:vAlign w:val="top"/>
          </w:tcPr>
          <w:p>
            <w:pPr>
              <w:pStyle w:val="TableText"/>
              <w:ind w:left="519"/>
              <w:spacing w:before="73" w:line="215" w:lineRule="auto"/>
              <w:rPr>
                <w:sz w:val="19"/>
                <w:szCs w:val="19"/>
              </w:rPr>
            </w:pPr>
            <w:r>
              <w:rPr>
                <w:sz w:val="19"/>
                <w:szCs w:val="19"/>
                <w:spacing w:val="-9"/>
              </w:rPr>
              <w:t>13,560</w:t>
            </w:r>
          </w:p>
        </w:tc>
        <w:tc>
          <w:tcPr>
            <w:tcW w:w="1335" w:type="dxa"/>
            <w:vAlign w:val="top"/>
            <w:tcBorders>
              <w:right w:val="single" w:color="000000" w:sz="6" w:space="0"/>
            </w:tcBorders>
          </w:tcPr>
          <w:p>
            <w:pPr>
              <w:pStyle w:val="TableText"/>
              <w:ind w:left="313"/>
              <w:spacing w:before="73" w:line="215" w:lineRule="auto"/>
              <w:rPr>
                <w:sz w:val="19"/>
                <w:szCs w:val="19"/>
              </w:rPr>
            </w:pPr>
            <w:r>
              <w:rPr>
                <w:sz w:val="19"/>
                <w:szCs w:val="19"/>
                <w:spacing w:val="6"/>
              </w:rPr>
              <w:t>-15.42%</w:t>
            </w:r>
          </w:p>
        </w:tc>
      </w:tr>
      <w:tr>
        <w:trPr>
          <w:trHeight w:val="304" w:hRule="atLeast"/>
        </w:trPr>
        <w:tc>
          <w:tcPr>
            <w:tcW w:w="1078" w:type="dxa"/>
            <w:vAlign w:val="top"/>
            <w:tcBorders>
              <w:left w:val="single" w:color="000000" w:sz="6" w:space="0"/>
            </w:tcBorders>
          </w:tcPr>
          <w:p>
            <w:pPr>
              <w:pStyle w:val="TableText"/>
              <w:ind w:left="385"/>
              <w:spacing w:before="73" w:line="214" w:lineRule="auto"/>
              <w:rPr>
                <w:sz w:val="19"/>
                <w:szCs w:val="19"/>
              </w:rPr>
            </w:pPr>
            <w:r>
              <w:rPr>
                <w:sz w:val="19"/>
                <w:szCs w:val="19"/>
                <w:spacing w:val="1"/>
              </w:rPr>
              <w:t>214</w:t>
            </w:r>
          </w:p>
        </w:tc>
        <w:tc>
          <w:tcPr>
            <w:tcW w:w="3251" w:type="dxa"/>
            <w:vAlign w:val="top"/>
          </w:tcPr>
          <w:p>
            <w:pPr>
              <w:pStyle w:val="TableText"/>
              <w:ind w:left="9"/>
              <w:spacing w:before="78" w:line="209" w:lineRule="auto"/>
              <w:rPr>
                <w:sz w:val="19"/>
                <w:szCs w:val="19"/>
              </w:rPr>
            </w:pPr>
            <w:r>
              <w:rPr>
                <w:sz w:val="19"/>
                <w:szCs w:val="19"/>
                <w:spacing w:val="9"/>
              </w:rPr>
              <w:t>交通运输支出</w:t>
            </w:r>
          </w:p>
        </w:tc>
        <w:tc>
          <w:tcPr>
            <w:tcW w:w="1585" w:type="dxa"/>
            <w:vAlign w:val="top"/>
          </w:tcPr>
          <w:p>
            <w:pPr>
              <w:pStyle w:val="TableText"/>
              <w:ind w:left="568"/>
              <w:spacing w:before="73" w:line="214" w:lineRule="auto"/>
              <w:rPr>
                <w:sz w:val="19"/>
                <w:szCs w:val="19"/>
              </w:rPr>
            </w:pPr>
            <w:r>
              <w:rPr>
                <w:sz w:val="19"/>
                <w:szCs w:val="19"/>
                <w:spacing w:val="-7"/>
              </w:rPr>
              <w:t>4,036</w:t>
            </w:r>
          </w:p>
        </w:tc>
        <w:tc>
          <w:tcPr>
            <w:tcW w:w="1544" w:type="dxa"/>
            <w:vAlign w:val="top"/>
          </w:tcPr>
          <w:p>
            <w:pPr>
              <w:pStyle w:val="TableText"/>
              <w:ind w:left="554"/>
              <w:spacing w:before="73" w:line="214" w:lineRule="auto"/>
              <w:rPr>
                <w:sz w:val="19"/>
                <w:szCs w:val="19"/>
              </w:rPr>
            </w:pPr>
            <w:r>
              <w:rPr>
                <w:sz w:val="19"/>
                <w:szCs w:val="19"/>
                <w:spacing w:val="-8"/>
              </w:rPr>
              <w:t>6,154</w:t>
            </w:r>
          </w:p>
        </w:tc>
        <w:tc>
          <w:tcPr>
            <w:tcW w:w="1335" w:type="dxa"/>
            <w:vAlign w:val="top"/>
            <w:tcBorders>
              <w:right w:val="single" w:color="000000" w:sz="6" w:space="0"/>
            </w:tcBorders>
          </w:tcPr>
          <w:p>
            <w:pPr>
              <w:pStyle w:val="TableText"/>
              <w:ind w:left="364"/>
              <w:spacing w:before="73" w:line="214" w:lineRule="auto"/>
              <w:rPr>
                <w:sz w:val="19"/>
                <w:szCs w:val="19"/>
              </w:rPr>
            </w:pPr>
            <w:r>
              <w:rPr>
                <w:sz w:val="19"/>
                <w:szCs w:val="19"/>
                <w:spacing w:val="5"/>
              </w:rPr>
              <w:t>52.48%</w:t>
            </w:r>
          </w:p>
        </w:tc>
      </w:tr>
      <w:tr>
        <w:trPr>
          <w:trHeight w:val="305" w:hRule="atLeast"/>
        </w:trPr>
        <w:tc>
          <w:tcPr>
            <w:tcW w:w="1078" w:type="dxa"/>
            <w:vAlign w:val="top"/>
            <w:tcBorders>
              <w:left w:val="single" w:color="000000" w:sz="6" w:space="0"/>
            </w:tcBorders>
          </w:tcPr>
          <w:p>
            <w:pPr>
              <w:pStyle w:val="TableText"/>
              <w:ind w:left="385"/>
              <w:spacing w:before="75" w:line="213" w:lineRule="auto"/>
              <w:rPr>
                <w:sz w:val="19"/>
                <w:szCs w:val="19"/>
              </w:rPr>
            </w:pPr>
            <w:r>
              <w:rPr>
                <w:sz w:val="19"/>
                <w:szCs w:val="19"/>
                <w:spacing w:val="1"/>
              </w:rPr>
              <w:t>215</w:t>
            </w:r>
          </w:p>
        </w:tc>
        <w:tc>
          <w:tcPr>
            <w:tcW w:w="3251" w:type="dxa"/>
            <w:vAlign w:val="top"/>
          </w:tcPr>
          <w:p>
            <w:pPr>
              <w:pStyle w:val="TableText"/>
              <w:ind w:left="14"/>
              <w:spacing w:before="78" w:line="210" w:lineRule="auto"/>
              <w:rPr>
                <w:sz w:val="19"/>
                <w:szCs w:val="19"/>
              </w:rPr>
            </w:pPr>
            <w:r>
              <w:rPr>
                <w:sz w:val="19"/>
                <w:szCs w:val="19"/>
                <w:spacing w:val="9"/>
              </w:rPr>
              <w:t>资源勘探工业信息等支出</w:t>
            </w:r>
          </w:p>
        </w:tc>
        <w:tc>
          <w:tcPr>
            <w:tcW w:w="1585" w:type="dxa"/>
            <w:vAlign w:val="top"/>
          </w:tcPr>
          <w:p>
            <w:pPr>
              <w:pStyle w:val="TableText"/>
              <w:ind w:left="571"/>
              <w:spacing w:before="75" w:line="213" w:lineRule="auto"/>
              <w:rPr>
                <w:sz w:val="19"/>
                <w:szCs w:val="19"/>
              </w:rPr>
            </w:pPr>
            <w:r>
              <w:rPr>
                <w:sz w:val="19"/>
                <w:szCs w:val="19"/>
                <w:spacing w:val="-8"/>
              </w:rPr>
              <w:t>2,916</w:t>
            </w:r>
          </w:p>
        </w:tc>
        <w:tc>
          <w:tcPr>
            <w:tcW w:w="1544" w:type="dxa"/>
            <w:vAlign w:val="top"/>
          </w:tcPr>
          <w:p>
            <w:pPr>
              <w:pStyle w:val="TableText"/>
              <w:ind w:left="569"/>
              <w:spacing w:before="75" w:line="213" w:lineRule="auto"/>
              <w:rPr>
                <w:sz w:val="19"/>
                <w:szCs w:val="19"/>
              </w:rPr>
            </w:pPr>
            <w:r>
              <w:rPr>
                <w:sz w:val="19"/>
                <w:szCs w:val="19"/>
                <w:spacing w:val="-11"/>
              </w:rPr>
              <w:t>1,045</w:t>
            </w:r>
          </w:p>
        </w:tc>
        <w:tc>
          <w:tcPr>
            <w:tcW w:w="1335" w:type="dxa"/>
            <w:vAlign w:val="top"/>
            <w:tcBorders>
              <w:right w:val="single" w:color="000000" w:sz="6" w:space="0"/>
            </w:tcBorders>
          </w:tcPr>
          <w:p>
            <w:pPr>
              <w:pStyle w:val="TableText"/>
              <w:ind w:left="313"/>
              <w:spacing w:before="75" w:line="213" w:lineRule="auto"/>
              <w:rPr>
                <w:sz w:val="19"/>
                <w:szCs w:val="19"/>
              </w:rPr>
            </w:pPr>
            <w:r>
              <w:rPr>
                <w:sz w:val="19"/>
                <w:szCs w:val="19"/>
                <w:spacing w:val="6"/>
              </w:rPr>
              <w:t>-64.16%</w:t>
            </w:r>
          </w:p>
        </w:tc>
      </w:tr>
      <w:tr>
        <w:trPr>
          <w:trHeight w:val="304" w:hRule="atLeast"/>
        </w:trPr>
        <w:tc>
          <w:tcPr>
            <w:tcW w:w="1078" w:type="dxa"/>
            <w:vAlign w:val="top"/>
            <w:tcBorders>
              <w:left w:val="single" w:color="000000" w:sz="6" w:space="0"/>
            </w:tcBorders>
          </w:tcPr>
          <w:p>
            <w:pPr>
              <w:pStyle w:val="TableText"/>
              <w:ind w:left="385"/>
              <w:spacing w:before="75" w:line="212" w:lineRule="auto"/>
              <w:rPr>
                <w:sz w:val="19"/>
                <w:szCs w:val="19"/>
              </w:rPr>
            </w:pPr>
            <w:r>
              <w:rPr>
                <w:sz w:val="19"/>
                <w:szCs w:val="19"/>
                <w:spacing w:val="1"/>
              </w:rPr>
              <w:t>216</w:t>
            </w:r>
          </w:p>
        </w:tc>
        <w:tc>
          <w:tcPr>
            <w:tcW w:w="3251" w:type="dxa"/>
            <w:vAlign w:val="top"/>
          </w:tcPr>
          <w:p>
            <w:pPr>
              <w:pStyle w:val="TableText"/>
              <w:ind w:left="11"/>
              <w:spacing w:before="78" w:line="209" w:lineRule="auto"/>
              <w:rPr>
                <w:sz w:val="19"/>
                <w:szCs w:val="19"/>
              </w:rPr>
            </w:pPr>
            <w:r>
              <w:rPr>
                <w:sz w:val="19"/>
                <w:szCs w:val="19"/>
                <w:spacing w:val="9"/>
              </w:rPr>
              <w:t>商业服务业等支出</w:t>
            </w:r>
          </w:p>
        </w:tc>
        <w:tc>
          <w:tcPr>
            <w:tcW w:w="1585" w:type="dxa"/>
            <w:vAlign w:val="top"/>
          </w:tcPr>
          <w:p>
            <w:pPr>
              <w:pStyle w:val="TableText"/>
              <w:ind w:left="587"/>
              <w:spacing w:before="75" w:line="212" w:lineRule="auto"/>
              <w:rPr>
                <w:sz w:val="19"/>
                <w:szCs w:val="19"/>
              </w:rPr>
            </w:pPr>
            <w:r>
              <w:rPr>
                <w:sz w:val="19"/>
                <w:szCs w:val="19"/>
                <w:spacing w:val="-11"/>
              </w:rPr>
              <w:t>1,288</w:t>
            </w:r>
          </w:p>
        </w:tc>
        <w:tc>
          <w:tcPr>
            <w:tcW w:w="1544" w:type="dxa"/>
            <w:vAlign w:val="top"/>
          </w:tcPr>
          <w:p>
            <w:pPr>
              <w:pStyle w:val="TableText"/>
              <w:ind w:left="553"/>
              <w:spacing w:before="75" w:line="212" w:lineRule="auto"/>
              <w:rPr>
                <w:sz w:val="19"/>
                <w:szCs w:val="19"/>
              </w:rPr>
            </w:pPr>
            <w:r>
              <w:rPr>
                <w:sz w:val="19"/>
                <w:szCs w:val="19"/>
                <w:spacing w:val="-8"/>
              </w:rPr>
              <w:t>2,466</w:t>
            </w:r>
          </w:p>
        </w:tc>
        <w:tc>
          <w:tcPr>
            <w:tcW w:w="1335" w:type="dxa"/>
            <w:vAlign w:val="top"/>
            <w:tcBorders>
              <w:right w:val="single" w:color="000000" w:sz="6" w:space="0"/>
            </w:tcBorders>
          </w:tcPr>
          <w:p>
            <w:pPr>
              <w:pStyle w:val="TableText"/>
              <w:ind w:left="363"/>
              <w:spacing w:before="75" w:line="212" w:lineRule="auto"/>
              <w:rPr>
                <w:sz w:val="19"/>
                <w:szCs w:val="19"/>
              </w:rPr>
            </w:pPr>
            <w:r>
              <w:rPr>
                <w:sz w:val="19"/>
                <w:szCs w:val="19"/>
                <w:spacing w:val="5"/>
              </w:rPr>
              <w:t>91.46%</w:t>
            </w:r>
          </w:p>
        </w:tc>
      </w:tr>
      <w:tr>
        <w:trPr>
          <w:trHeight w:val="305" w:hRule="atLeast"/>
        </w:trPr>
        <w:tc>
          <w:tcPr>
            <w:tcW w:w="1078" w:type="dxa"/>
            <w:vAlign w:val="top"/>
            <w:tcBorders>
              <w:left w:val="single" w:color="000000" w:sz="6" w:space="0"/>
            </w:tcBorders>
          </w:tcPr>
          <w:p>
            <w:pPr>
              <w:pStyle w:val="TableText"/>
              <w:ind w:left="385"/>
              <w:spacing w:before="75" w:line="213" w:lineRule="auto"/>
              <w:rPr>
                <w:sz w:val="19"/>
                <w:szCs w:val="19"/>
              </w:rPr>
            </w:pPr>
            <w:r>
              <w:rPr>
                <w:sz w:val="19"/>
                <w:szCs w:val="19"/>
                <w:spacing w:val="1"/>
              </w:rPr>
              <w:t>217</w:t>
            </w:r>
          </w:p>
        </w:tc>
        <w:tc>
          <w:tcPr>
            <w:tcW w:w="3251" w:type="dxa"/>
            <w:vAlign w:val="top"/>
          </w:tcPr>
          <w:p>
            <w:pPr>
              <w:pStyle w:val="TableText"/>
              <w:ind w:left="9"/>
              <w:spacing w:before="80" w:line="208" w:lineRule="auto"/>
              <w:rPr>
                <w:sz w:val="19"/>
                <w:szCs w:val="19"/>
              </w:rPr>
            </w:pPr>
            <w:r>
              <w:rPr>
                <w:sz w:val="19"/>
                <w:szCs w:val="19"/>
                <w:spacing w:val="8"/>
              </w:rPr>
              <w:t>金融支出</w:t>
            </w:r>
          </w:p>
        </w:tc>
        <w:tc>
          <w:tcPr>
            <w:tcW w:w="1585" w:type="dxa"/>
            <w:vAlign w:val="top"/>
          </w:tcPr>
          <w:p>
            <w:pPr>
              <w:pStyle w:val="TableText"/>
              <w:ind w:left="693"/>
              <w:spacing w:before="75" w:line="213" w:lineRule="auto"/>
              <w:rPr>
                <w:sz w:val="19"/>
                <w:szCs w:val="19"/>
              </w:rPr>
            </w:pPr>
            <w:r>
              <w:rPr>
                <w:sz w:val="19"/>
                <w:szCs w:val="19"/>
              </w:rPr>
              <w:t>25</w:t>
            </w:r>
          </w:p>
        </w:tc>
        <w:tc>
          <w:tcPr>
            <w:tcW w:w="1544" w:type="dxa"/>
            <w:vAlign w:val="top"/>
          </w:tcPr>
          <w:p>
            <w:pPr>
              <w:pStyle w:val="TableText"/>
              <w:ind w:left="644"/>
              <w:spacing w:before="75" w:line="213" w:lineRule="auto"/>
              <w:rPr>
                <w:sz w:val="19"/>
                <w:szCs w:val="19"/>
              </w:rPr>
            </w:pPr>
            <w:r>
              <w:rPr>
                <w:sz w:val="19"/>
                <w:szCs w:val="19"/>
                <w:spacing w:val="-4"/>
              </w:rPr>
              <w:t>160</w:t>
            </w:r>
          </w:p>
        </w:tc>
        <w:tc>
          <w:tcPr>
            <w:tcW w:w="1335" w:type="dxa"/>
            <w:vAlign w:val="top"/>
            <w:tcBorders>
              <w:right w:val="single" w:color="000000" w:sz="6" w:space="0"/>
            </w:tcBorders>
          </w:tcPr>
          <w:p>
            <w:pPr>
              <w:pStyle w:val="TableText"/>
              <w:ind w:left="316"/>
              <w:spacing w:before="75" w:line="213" w:lineRule="auto"/>
              <w:rPr>
                <w:sz w:val="19"/>
                <w:szCs w:val="19"/>
              </w:rPr>
            </w:pPr>
            <w:r>
              <w:rPr>
                <w:sz w:val="19"/>
                <w:szCs w:val="19"/>
                <w:spacing w:val="5"/>
              </w:rPr>
              <w:t>540.00%</w:t>
            </w:r>
          </w:p>
        </w:tc>
      </w:tr>
      <w:tr>
        <w:trPr>
          <w:trHeight w:val="304" w:hRule="atLeast"/>
        </w:trPr>
        <w:tc>
          <w:tcPr>
            <w:tcW w:w="1078" w:type="dxa"/>
            <w:vAlign w:val="top"/>
            <w:tcBorders>
              <w:left w:val="single" w:color="000000" w:sz="6" w:space="0"/>
            </w:tcBorders>
          </w:tcPr>
          <w:p>
            <w:pPr>
              <w:pStyle w:val="TableText"/>
              <w:ind w:left="385"/>
              <w:spacing w:before="74" w:line="213" w:lineRule="auto"/>
              <w:rPr>
                <w:sz w:val="19"/>
                <w:szCs w:val="19"/>
              </w:rPr>
            </w:pPr>
            <w:r>
              <w:rPr>
                <w:sz w:val="19"/>
                <w:szCs w:val="19"/>
                <w:spacing w:val="1"/>
              </w:rPr>
              <w:t>220</w:t>
            </w:r>
          </w:p>
        </w:tc>
        <w:tc>
          <w:tcPr>
            <w:tcW w:w="3251" w:type="dxa"/>
            <w:vAlign w:val="top"/>
          </w:tcPr>
          <w:p>
            <w:pPr>
              <w:pStyle w:val="TableText"/>
              <w:ind w:left="47"/>
              <w:spacing w:before="78" w:line="209" w:lineRule="auto"/>
              <w:rPr>
                <w:sz w:val="19"/>
                <w:szCs w:val="19"/>
              </w:rPr>
            </w:pPr>
            <w:r>
              <w:rPr>
                <w:sz w:val="19"/>
                <w:szCs w:val="19"/>
                <w:spacing w:val="6"/>
              </w:rPr>
              <w:t>自然资源海洋气象等支出</w:t>
            </w:r>
          </w:p>
        </w:tc>
        <w:tc>
          <w:tcPr>
            <w:tcW w:w="1585" w:type="dxa"/>
            <w:vAlign w:val="top"/>
          </w:tcPr>
          <w:p>
            <w:pPr>
              <w:pStyle w:val="TableText"/>
              <w:ind w:left="587"/>
              <w:spacing w:before="74" w:line="213" w:lineRule="auto"/>
              <w:rPr>
                <w:sz w:val="19"/>
                <w:szCs w:val="19"/>
              </w:rPr>
            </w:pPr>
            <w:r>
              <w:rPr>
                <w:sz w:val="19"/>
                <w:szCs w:val="19"/>
                <w:spacing w:val="-11"/>
              </w:rPr>
              <w:t>1,914</w:t>
            </w:r>
          </w:p>
        </w:tc>
        <w:tc>
          <w:tcPr>
            <w:tcW w:w="1544" w:type="dxa"/>
            <w:vAlign w:val="top"/>
          </w:tcPr>
          <w:p>
            <w:pPr>
              <w:pStyle w:val="TableText"/>
              <w:ind w:left="569"/>
              <w:spacing w:before="74" w:line="213" w:lineRule="auto"/>
              <w:rPr>
                <w:sz w:val="19"/>
                <w:szCs w:val="19"/>
              </w:rPr>
            </w:pPr>
            <w:r>
              <w:rPr>
                <w:sz w:val="19"/>
                <w:szCs w:val="19"/>
                <w:spacing w:val="-11"/>
              </w:rPr>
              <w:t>1,659</w:t>
            </w:r>
          </w:p>
        </w:tc>
        <w:tc>
          <w:tcPr>
            <w:tcW w:w="1335" w:type="dxa"/>
            <w:vAlign w:val="top"/>
            <w:tcBorders>
              <w:right w:val="single" w:color="000000" w:sz="6" w:space="0"/>
            </w:tcBorders>
          </w:tcPr>
          <w:p>
            <w:pPr>
              <w:pStyle w:val="TableText"/>
              <w:ind w:left="313"/>
              <w:spacing w:before="74" w:line="213" w:lineRule="auto"/>
              <w:rPr>
                <w:sz w:val="19"/>
                <w:szCs w:val="19"/>
              </w:rPr>
            </w:pPr>
            <w:r>
              <w:rPr>
                <w:sz w:val="19"/>
                <w:szCs w:val="19"/>
                <w:spacing w:val="6"/>
              </w:rPr>
              <w:t>-13.32%</w:t>
            </w:r>
          </w:p>
        </w:tc>
      </w:tr>
      <w:tr>
        <w:trPr>
          <w:trHeight w:val="305" w:hRule="atLeast"/>
        </w:trPr>
        <w:tc>
          <w:tcPr>
            <w:tcW w:w="1078" w:type="dxa"/>
            <w:vAlign w:val="top"/>
            <w:tcBorders>
              <w:left w:val="single" w:color="000000" w:sz="6" w:space="0"/>
            </w:tcBorders>
          </w:tcPr>
          <w:p>
            <w:pPr>
              <w:pStyle w:val="TableText"/>
              <w:ind w:left="385"/>
              <w:spacing w:before="77" w:line="211" w:lineRule="auto"/>
              <w:rPr>
                <w:sz w:val="19"/>
                <w:szCs w:val="19"/>
              </w:rPr>
            </w:pPr>
            <w:r>
              <w:rPr>
                <w:sz w:val="19"/>
                <w:szCs w:val="19"/>
                <w:spacing w:val="1"/>
              </w:rPr>
              <w:t>221</w:t>
            </w:r>
          </w:p>
        </w:tc>
        <w:tc>
          <w:tcPr>
            <w:tcW w:w="3251" w:type="dxa"/>
            <w:vAlign w:val="top"/>
          </w:tcPr>
          <w:p>
            <w:pPr>
              <w:pStyle w:val="TableText"/>
              <w:ind w:left="9"/>
              <w:spacing w:before="80" w:line="208" w:lineRule="auto"/>
              <w:rPr>
                <w:sz w:val="19"/>
                <w:szCs w:val="19"/>
              </w:rPr>
            </w:pPr>
            <w:r>
              <w:rPr>
                <w:sz w:val="19"/>
                <w:szCs w:val="19"/>
                <w:spacing w:val="9"/>
              </w:rPr>
              <w:t>住房保障支出</w:t>
            </w:r>
          </w:p>
        </w:tc>
        <w:tc>
          <w:tcPr>
            <w:tcW w:w="1585" w:type="dxa"/>
            <w:vAlign w:val="top"/>
          </w:tcPr>
          <w:p>
            <w:pPr>
              <w:pStyle w:val="TableText"/>
              <w:ind w:left="521"/>
              <w:spacing w:before="77" w:line="211" w:lineRule="auto"/>
              <w:rPr>
                <w:sz w:val="19"/>
                <w:szCs w:val="19"/>
              </w:rPr>
            </w:pPr>
            <w:r>
              <w:rPr>
                <w:sz w:val="19"/>
                <w:szCs w:val="19"/>
                <w:spacing w:val="-6"/>
              </w:rPr>
              <w:t>24,050</w:t>
            </w:r>
          </w:p>
        </w:tc>
        <w:tc>
          <w:tcPr>
            <w:tcW w:w="1544" w:type="dxa"/>
            <w:vAlign w:val="top"/>
          </w:tcPr>
          <w:p>
            <w:pPr>
              <w:pStyle w:val="TableText"/>
              <w:ind w:left="519"/>
              <w:spacing w:before="77" w:line="211" w:lineRule="auto"/>
              <w:rPr>
                <w:sz w:val="19"/>
                <w:szCs w:val="19"/>
              </w:rPr>
            </w:pPr>
            <w:r>
              <w:rPr>
                <w:sz w:val="19"/>
                <w:szCs w:val="19"/>
                <w:spacing w:val="-9"/>
              </w:rPr>
              <w:t>17,145</w:t>
            </w:r>
          </w:p>
        </w:tc>
        <w:tc>
          <w:tcPr>
            <w:tcW w:w="1335" w:type="dxa"/>
            <w:vAlign w:val="top"/>
            <w:tcBorders>
              <w:right w:val="single" w:color="000000" w:sz="6" w:space="0"/>
            </w:tcBorders>
          </w:tcPr>
          <w:p>
            <w:pPr>
              <w:pStyle w:val="TableText"/>
              <w:ind w:left="313"/>
              <w:spacing w:before="77" w:line="211" w:lineRule="auto"/>
              <w:rPr>
                <w:sz w:val="19"/>
                <w:szCs w:val="19"/>
              </w:rPr>
            </w:pPr>
            <w:r>
              <w:rPr>
                <w:sz w:val="19"/>
                <w:szCs w:val="19"/>
                <w:spacing w:val="6"/>
              </w:rPr>
              <w:t>-28.71%</w:t>
            </w:r>
          </w:p>
        </w:tc>
      </w:tr>
      <w:tr>
        <w:trPr>
          <w:trHeight w:val="304" w:hRule="atLeast"/>
        </w:trPr>
        <w:tc>
          <w:tcPr>
            <w:tcW w:w="1078" w:type="dxa"/>
            <w:vAlign w:val="top"/>
            <w:tcBorders>
              <w:left w:val="single" w:color="000000" w:sz="6" w:space="0"/>
            </w:tcBorders>
          </w:tcPr>
          <w:p>
            <w:pPr>
              <w:pStyle w:val="TableText"/>
              <w:ind w:left="385"/>
              <w:spacing w:before="77" w:line="210" w:lineRule="auto"/>
              <w:rPr>
                <w:sz w:val="19"/>
                <w:szCs w:val="19"/>
              </w:rPr>
            </w:pPr>
            <w:r>
              <w:rPr>
                <w:sz w:val="19"/>
                <w:szCs w:val="19"/>
                <w:spacing w:val="1"/>
              </w:rPr>
              <w:t>222</w:t>
            </w:r>
          </w:p>
        </w:tc>
        <w:tc>
          <w:tcPr>
            <w:tcW w:w="3251" w:type="dxa"/>
            <w:vAlign w:val="top"/>
          </w:tcPr>
          <w:p>
            <w:pPr>
              <w:pStyle w:val="TableText"/>
              <w:ind w:left="9"/>
              <w:spacing w:before="80" w:line="207" w:lineRule="auto"/>
              <w:rPr>
                <w:sz w:val="19"/>
                <w:szCs w:val="19"/>
              </w:rPr>
            </w:pPr>
            <w:r>
              <w:rPr>
                <w:sz w:val="19"/>
                <w:szCs w:val="19"/>
                <w:spacing w:val="9"/>
              </w:rPr>
              <w:t>粮油物资储备支出</w:t>
            </w:r>
          </w:p>
        </w:tc>
        <w:tc>
          <w:tcPr>
            <w:tcW w:w="1585" w:type="dxa"/>
            <w:vAlign w:val="top"/>
          </w:tcPr>
          <w:p>
            <w:pPr>
              <w:pStyle w:val="TableText"/>
              <w:ind w:left="643"/>
              <w:spacing w:before="77" w:line="210" w:lineRule="auto"/>
              <w:rPr>
                <w:sz w:val="19"/>
                <w:szCs w:val="19"/>
              </w:rPr>
            </w:pPr>
            <w:r>
              <w:rPr>
                <w:sz w:val="19"/>
                <w:szCs w:val="19"/>
                <w:spacing w:val="1"/>
              </w:rPr>
              <w:t>283</w:t>
            </w:r>
          </w:p>
        </w:tc>
        <w:tc>
          <w:tcPr>
            <w:tcW w:w="1544" w:type="dxa"/>
            <w:vAlign w:val="top"/>
          </w:tcPr>
          <w:p>
            <w:pPr>
              <w:pStyle w:val="TableText"/>
              <w:ind w:left="628"/>
              <w:spacing w:before="77" w:line="210" w:lineRule="auto"/>
              <w:rPr>
                <w:sz w:val="19"/>
                <w:szCs w:val="19"/>
              </w:rPr>
            </w:pPr>
            <w:r>
              <w:rPr>
                <w:sz w:val="19"/>
                <w:szCs w:val="19"/>
                <w:spacing w:val="1"/>
              </w:rPr>
              <w:t>272</w:t>
            </w:r>
          </w:p>
        </w:tc>
        <w:tc>
          <w:tcPr>
            <w:tcW w:w="1335" w:type="dxa"/>
            <w:vAlign w:val="top"/>
            <w:tcBorders>
              <w:right w:val="single" w:color="000000" w:sz="6" w:space="0"/>
            </w:tcBorders>
          </w:tcPr>
          <w:p>
            <w:pPr>
              <w:pStyle w:val="TableText"/>
              <w:ind w:left="361"/>
              <w:spacing w:before="77" w:line="210" w:lineRule="auto"/>
              <w:rPr>
                <w:sz w:val="19"/>
                <w:szCs w:val="19"/>
              </w:rPr>
            </w:pPr>
            <w:r>
              <w:rPr>
                <w:sz w:val="19"/>
                <w:szCs w:val="19"/>
                <w:spacing w:val="7"/>
              </w:rPr>
              <w:t>-3.89%</w:t>
            </w:r>
          </w:p>
        </w:tc>
      </w:tr>
      <w:tr>
        <w:trPr>
          <w:trHeight w:val="305" w:hRule="atLeast"/>
        </w:trPr>
        <w:tc>
          <w:tcPr>
            <w:tcW w:w="1078" w:type="dxa"/>
            <w:vAlign w:val="top"/>
            <w:tcBorders>
              <w:left w:val="single" w:color="000000" w:sz="6" w:space="0"/>
            </w:tcBorders>
          </w:tcPr>
          <w:p>
            <w:pPr>
              <w:pStyle w:val="TableText"/>
              <w:ind w:left="385"/>
              <w:spacing w:before="77" w:line="211" w:lineRule="auto"/>
              <w:rPr>
                <w:sz w:val="19"/>
                <w:szCs w:val="19"/>
              </w:rPr>
            </w:pPr>
            <w:r>
              <w:rPr>
                <w:sz w:val="19"/>
                <w:szCs w:val="19"/>
                <w:spacing w:val="1"/>
              </w:rPr>
              <w:t>224</w:t>
            </w:r>
          </w:p>
        </w:tc>
        <w:tc>
          <w:tcPr>
            <w:tcW w:w="3251" w:type="dxa"/>
            <w:vAlign w:val="top"/>
          </w:tcPr>
          <w:p>
            <w:pPr>
              <w:pStyle w:val="TableText"/>
              <w:ind w:left="10"/>
              <w:spacing w:before="82" w:line="206" w:lineRule="auto"/>
              <w:rPr>
                <w:sz w:val="19"/>
                <w:szCs w:val="19"/>
              </w:rPr>
            </w:pPr>
            <w:r>
              <w:rPr>
                <w:sz w:val="19"/>
                <w:szCs w:val="19"/>
                <w:spacing w:val="9"/>
              </w:rPr>
              <w:t>灾害防治及应急管理支出</w:t>
            </w:r>
          </w:p>
        </w:tc>
        <w:tc>
          <w:tcPr>
            <w:tcW w:w="1585" w:type="dxa"/>
            <w:vAlign w:val="top"/>
          </w:tcPr>
          <w:p>
            <w:pPr>
              <w:pStyle w:val="TableText"/>
              <w:ind w:left="587"/>
              <w:spacing w:before="77" w:line="211" w:lineRule="auto"/>
              <w:rPr>
                <w:sz w:val="19"/>
                <w:szCs w:val="19"/>
              </w:rPr>
            </w:pPr>
            <w:r>
              <w:rPr>
                <w:sz w:val="19"/>
                <w:szCs w:val="19"/>
                <w:spacing w:val="-11"/>
              </w:rPr>
              <w:t>1,933</w:t>
            </w:r>
          </w:p>
        </w:tc>
        <w:tc>
          <w:tcPr>
            <w:tcW w:w="1544" w:type="dxa"/>
            <w:vAlign w:val="top"/>
          </w:tcPr>
          <w:p>
            <w:pPr>
              <w:pStyle w:val="TableText"/>
              <w:ind w:left="556"/>
              <w:spacing w:before="77" w:line="211" w:lineRule="auto"/>
              <w:rPr>
                <w:sz w:val="19"/>
                <w:szCs w:val="19"/>
              </w:rPr>
            </w:pPr>
            <w:r>
              <w:rPr>
                <w:sz w:val="19"/>
                <w:szCs w:val="19"/>
                <w:spacing w:val="-8"/>
              </w:rPr>
              <w:t>3,285</w:t>
            </w:r>
          </w:p>
        </w:tc>
        <w:tc>
          <w:tcPr>
            <w:tcW w:w="1335" w:type="dxa"/>
            <w:vAlign w:val="top"/>
            <w:tcBorders>
              <w:right w:val="single" w:color="000000" w:sz="6" w:space="0"/>
            </w:tcBorders>
          </w:tcPr>
          <w:p>
            <w:pPr>
              <w:pStyle w:val="TableText"/>
              <w:ind w:left="364"/>
              <w:spacing w:before="77" w:line="211" w:lineRule="auto"/>
              <w:rPr>
                <w:sz w:val="19"/>
                <w:szCs w:val="19"/>
              </w:rPr>
            </w:pPr>
            <w:r>
              <w:rPr>
                <w:sz w:val="19"/>
                <w:szCs w:val="19"/>
                <w:spacing w:val="5"/>
              </w:rPr>
              <w:t>69.94%</w:t>
            </w:r>
          </w:p>
        </w:tc>
      </w:tr>
      <w:tr>
        <w:trPr>
          <w:trHeight w:val="304" w:hRule="atLeast"/>
        </w:trPr>
        <w:tc>
          <w:tcPr>
            <w:tcW w:w="1078" w:type="dxa"/>
            <w:vAlign w:val="top"/>
            <w:tcBorders>
              <w:left w:val="single" w:color="000000" w:sz="6" w:space="0"/>
            </w:tcBorders>
          </w:tcPr>
          <w:p>
            <w:pPr>
              <w:pStyle w:val="TableText"/>
              <w:ind w:left="385"/>
              <w:spacing w:before="76" w:line="211" w:lineRule="auto"/>
              <w:rPr>
                <w:sz w:val="19"/>
                <w:szCs w:val="19"/>
              </w:rPr>
            </w:pPr>
            <w:r>
              <w:rPr>
                <w:sz w:val="19"/>
                <w:szCs w:val="19"/>
                <w:spacing w:val="1"/>
              </w:rPr>
              <w:t>227</w:t>
            </w:r>
          </w:p>
        </w:tc>
        <w:tc>
          <w:tcPr>
            <w:tcW w:w="3251" w:type="dxa"/>
            <w:vAlign w:val="top"/>
          </w:tcPr>
          <w:p>
            <w:pPr>
              <w:pStyle w:val="TableText"/>
              <w:ind w:left="13"/>
              <w:spacing w:before="80" w:line="207" w:lineRule="auto"/>
              <w:rPr>
                <w:sz w:val="19"/>
                <w:szCs w:val="19"/>
              </w:rPr>
            </w:pPr>
            <w:r>
              <w:rPr>
                <w:sz w:val="19"/>
                <w:szCs w:val="19"/>
                <w:spacing w:val="7"/>
              </w:rPr>
              <w:t>预备费</w:t>
            </w:r>
          </w:p>
        </w:tc>
        <w:tc>
          <w:tcPr>
            <w:tcW w:w="1585" w:type="dxa"/>
            <w:vAlign w:val="top"/>
          </w:tcPr>
          <w:p>
            <w:pPr>
              <w:pStyle w:val="TableText"/>
              <w:ind w:left="571"/>
              <w:spacing w:before="76" w:line="211" w:lineRule="auto"/>
              <w:rPr>
                <w:sz w:val="19"/>
                <w:szCs w:val="19"/>
              </w:rPr>
            </w:pPr>
            <w:r>
              <w:rPr>
                <w:sz w:val="19"/>
                <w:szCs w:val="19"/>
                <w:spacing w:val="-8"/>
              </w:rPr>
              <w:t>2,200</w:t>
            </w:r>
          </w:p>
        </w:tc>
        <w:tc>
          <w:tcPr>
            <w:tcW w:w="1544" w:type="dxa"/>
            <w:vAlign w:val="top"/>
          </w:tcPr>
          <w:p>
            <w:pPr>
              <w:pStyle w:val="TableText"/>
              <w:ind w:left="553"/>
              <w:spacing w:before="76" w:line="211" w:lineRule="auto"/>
              <w:rPr>
                <w:sz w:val="19"/>
                <w:szCs w:val="19"/>
              </w:rPr>
            </w:pPr>
            <w:r>
              <w:rPr>
                <w:sz w:val="19"/>
                <w:szCs w:val="19"/>
                <w:spacing w:val="-8"/>
              </w:rPr>
              <w:t>2,000</w:t>
            </w:r>
          </w:p>
        </w:tc>
        <w:tc>
          <w:tcPr>
            <w:tcW w:w="1335" w:type="dxa"/>
            <w:vAlign w:val="top"/>
            <w:tcBorders>
              <w:right w:val="single" w:color="000000" w:sz="6" w:space="0"/>
            </w:tcBorders>
          </w:tcPr>
          <w:p>
            <w:pPr>
              <w:pStyle w:val="TableText"/>
              <w:ind w:left="361"/>
              <w:spacing w:before="76" w:line="211" w:lineRule="auto"/>
              <w:rPr>
                <w:sz w:val="19"/>
                <w:szCs w:val="19"/>
              </w:rPr>
            </w:pPr>
            <w:r>
              <w:rPr>
                <w:sz w:val="19"/>
                <w:szCs w:val="19"/>
                <w:spacing w:val="7"/>
              </w:rPr>
              <w:t>-9.09%</w:t>
            </w:r>
          </w:p>
        </w:tc>
      </w:tr>
      <w:tr>
        <w:trPr>
          <w:trHeight w:val="305" w:hRule="atLeast"/>
        </w:trPr>
        <w:tc>
          <w:tcPr>
            <w:tcW w:w="1078" w:type="dxa"/>
            <w:vAlign w:val="top"/>
            <w:tcBorders>
              <w:left w:val="single" w:color="000000" w:sz="6" w:space="0"/>
            </w:tcBorders>
          </w:tcPr>
          <w:p>
            <w:pPr>
              <w:pStyle w:val="TableText"/>
              <w:ind w:left="385"/>
              <w:spacing w:before="79" w:line="209" w:lineRule="auto"/>
              <w:rPr>
                <w:sz w:val="19"/>
                <w:szCs w:val="19"/>
              </w:rPr>
            </w:pPr>
            <w:r>
              <w:rPr>
                <w:sz w:val="19"/>
                <w:szCs w:val="19"/>
                <w:spacing w:val="1"/>
              </w:rPr>
              <w:t>229</w:t>
            </w:r>
          </w:p>
        </w:tc>
        <w:tc>
          <w:tcPr>
            <w:tcW w:w="3251" w:type="dxa"/>
            <w:vAlign w:val="top"/>
          </w:tcPr>
          <w:p>
            <w:pPr>
              <w:pStyle w:val="TableText"/>
              <w:ind w:left="9"/>
              <w:spacing w:before="84" w:line="205" w:lineRule="auto"/>
              <w:rPr>
                <w:sz w:val="19"/>
                <w:szCs w:val="19"/>
              </w:rPr>
            </w:pPr>
            <w:r>
              <w:rPr>
                <w:sz w:val="19"/>
                <w:szCs w:val="19"/>
                <w:spacing w:val="8"/>
              </w:rPr>
              <w:t>其他支出</w:t>
            </w:r>
          </w:p>
        </w:tc>
        <w:tc>
          <w:tcPr>
            <w:tcW w:w="1585" w:type="dxa"/>
            <w:vAlign w:val="top"/>
          </w:tcPr>
          <w:p>
            <w:pPr>
              <w:rPr>
                <w:rFonts w:ascii="Arial"/>
                <w:sz w:val="21"/>
              </w:rPr>
            </w:pPr>
            <w:r/>
          </w:p>
        </w:tc>
        <w:tc>
          <w:tcPr>
            <w:tcW w:w="1544" w:type="dxa"/>
            <w:vAlign w:val="top"/>
          </w:tcPr>
          <w:p>
            <w:pPr>
              <w:rPr>
                <w:rFonts w:ascii="Arial"/>
                <w:sz w:val="21"/>
              </w:rPr>
            </w:pPr>
            <w:r/>
          </w:p>
        </w:tc>
        <w:tc>
          <w:tcPr>
            <w:tcW w:w="1335" w:type="dxa"/>
            <w:vAlign w:val="top"/>
            <w:tcBorders>
              <w:right w:val="single" w:color="000000" w:sz="6" w:space="0"/>
            </w:tcBorders>
          </w:tcPr>
          <w:p>
            <w:pPr>
              <w:rPr>
                <w:rFonts w:ascii="Arial"/>
                <w:sz w:val="21"/>
              </w:rPr>
            </w:pPr>
            <w:r/>
          </w:p>
        </w:tc>
      </w:tr>
      <w:tr>
        <w:trPr>
          <w:trHeight w:val="304" w:hRule="atLeast"/>
        </w:trPr>
        <w:tc>
          <w:tcPr>
            <w:tcW w:w="1078" w:type="dxa"/>
            <w:vAlign w:val="top"/>
            <w:tcBorders>
              <w:left w:val="single" w:color="000000" w:sz="6" w:space="0"/>
            </w:tcBorders>
          </w:tcPr>
          <w:p>
            <w:pPr>
              <w:pStyle w:val="TableText"/>
              <w:ind w:left="385"/>
              <w:spacing w:before="79" w:line="208" w:lineRule="auto"/>
              <w:rPr>
                <w:sz w:val="19"/>
                <w:szCs w:val="19"/>
              </w:rPr>
            </w:pPr>
            <w:r>
              <w:rPr>
                <w:sz w:val="19"/>
                <w:szCs w:val="19"/>
                <w:spacing w:val="1"/>
              </w:rPr>
              <w:t>232</w:t>
            </w:r>
          </w:p>
        </w:tc>
        <w:tc>
          <w:tcPr>
            <w:tcW w:w="3251" w:type="dxa"/>
            <w:vAlign w:val="top"/>
          </w:tcPr>
          <w:p>
            <w:pPr>
              <w:pStyle w:val="TableText"/>
              <w:ind w:left="9"/>
              <w:spacing w:before="80" w:line="207" w:lineRule="auto"/>
              <w:rPr>
                <w:sz w:val="19"/>
                <w:szCs w:val="19"/>
              </w:rPr>
            </w:pPr>
            <w:r>
              <w:rPr>
                <w:sz w:val="19"/>
                <w:szCs w:val="19"/>
                <w:spacing w:val="9"/>
              </w:rPr>
              <w:t>债务付息支出</w:t>
            </w:r>
          </w:p>
        </w:tc>
        <w:tc>
          <w:tcPr>
            <w:tcW w:w="1585" w:type="dxa"/>
            <w:vAlign w:val="top"/>
          </w:tcPr>
          <w:p>
            <w:pPr>
              <w:pStyle w:val="TableText"/>
              <w:ind w:left="537"/>
              <w:spacing w:before="79" w:line="208" w:lineRule="auto"/>
              <w:rPr>
                <w:sz w:val="19"/>
                <w:szCs w:val="19"/>
              </w:rPr>
            </w:pPr>
            <w:r>
              <w:rPr>
                <w:sz w:val="19"/>
                <w:szCs w:val="19"/>
                <w:spacing w:val="-9"/>
              </w:rPr>
              <w:t>18,506</w:t>
            </w:r>
          </w:p>
        </w:tc>
        <w:tc>
          <w:tcPr>
            <w:tcW w:w="1544" w:type="dxa"/>
            <w:vAlign w:val="top"/>
          </w:tcPr>
          <w:p>
            <w:pPr>
              <w:pStyle w:val="TableText"/>
              <w:ind w:left="519"/>
              <w:spacing w:before="79" w:line="208" w:lineRule="auto"/>
              <w:rPr>
                <w:sz w:val="19"/>
                <w:szCs w:val="19"/>
              </w:rPr>
            </w:pPr>
            <w:r>
              <w:rPr>
                <w:sz w:val="19"/>
                <w:szCs w:val="19"/>
                <w:spacing w:val="-9"/>
              </w:rPr>
              <w:t>19,083</w:t>
            </w:r>
          </w:p>
        </w:tc>
        <w:tc>
          <w:tcPr>
            <w:tcW w:w="1335" w:type="dxa"/>
            <w:vAlign w:val="top"/>
            <w:tcBorders>
              <w:right w:val="single" w:color="000000" w:sz="6" w:space="0"/>
            </w:tcBorders>
          </w:tcPr>
          <w:p>
            <w:pPr>
              <w:pStyle w:val="TableText"/>
              <w:ind w:left="416"/>
              <w:spacing w:before="79" w:line="208" w:lineRule="auto"/>
              <w:rPr>
                <w:sz w:val="19"/>
                <w:szCs w:val="19"/>
              </w:rPr>
            </w:pPr>
            <w:r>
              <w:rPr>
                <w:sz w:val="19"/>
                <w:szCs w:val="19"/>
                <w:spacing w:val="5"/>
              </w:rPr>
              <w:t>3.12%</w:t>
            </w:r>
          </w:p>
        </w:tc>
      </w:tr>
      <w:tr>
        <w:trPr>
          <w:trHeight w:val="305" w:hRule="atLeast"/>
        </w:trPr>
        <w:tc>
          <w:tcPr>
            <w:tcW w:w="1078" w:type="dxa"/>
            <w:vAlign w:val="top"/>
            <w:tcBorders>
              <w:left w:val="single" w:color="000000" w:sz="6" w:space="0"/>
            </w:tcBorders>
          </w:tcPr>
          <w:p>
            <w:pPr>
              <w:pStyle w:val="TableText"/>
              <w:ind w:left="385"/>
              <w:spacing w:before="79" w:line="209" w:lineRule="auto"/>
              <w:rPr>
                <w:sz w:val="19"/>
                <w:szCs w:val="19"/>
              </w:rPr>
            </w:pPr>
            <w:r>
              <w:rPr>
                <w:sz w:val="19"/>
                <w:szCs w:val="19"/>
                <w:spacing w:val="1"/>
              </w:rPr>
              <w:t>233</w:t>
            </w:r>
          </w:p>
        </w:tc>
        <w:tc>
          <w:tcPr>
            <w:tcW w:w="3251" w:type="dxa"/>
            <w:vAlign w:val="top"/>
          </w:tcPr>
          <w:p>
            <w:pPr>
              <w:pStyle w:val="TableText"/>
              <w:ind w:left="9"/>
              <w:spacing w:before="84" w:line="205" w:lineRule="auto"/>
              <w:rPr>
                <w:sz w:val="19"/>
                <w:szCs w:val="19"/>
              </w:rPr>
            </w:pPr>
            <w:r>
              <w:rPr>
                <w:sz w:val="19"/>
                <w:szCs w:val="19"/>
                <w:spacing w:val="9"/>
              </w:rPr>
              <w:t>债务发行费用支出</w:t>
            </w:r>
          </w:p>
        </w:tc>
        <w:tc>
          <w:tcPr>
            <w:tcW w:w="1585" w:type="dxa"/>
            <w:vAlign w:val="top"/>
          </w:tcPr>
          <w:p>
            <w:pPr>
              <w:rPr>
                <w:rFonts w:ascii="Arial"/>
                <w:sz w:val="21"/>
              </w:rPr>
            </w:pPr>
            <w:r/>
          </w:p>
        </w:tc>
        <w:tc>
          <w:tcPr>
            <w:tcW w:w="1544" w:type="dxa"/>
            <w:vAlign w:val="top"/>
          </w:tcPr>
          <w:p>
            <w:pPr>
              <w:rPr>
                <w:rFonts w:ascii="Arial"/>
                <w:sz w:val="21"/>
              </w:rPr>
            </w:pPr>
            <w:r/>
          </w:p>
        </w:tc>
        <w:tc>
          <w:tcPr>
            <w:tcW w:w="1335" w:type="dxa"/>
            <w:vAlign w:val="top"/>
            <w:tcBorders>
              <w:right w:val="single" w:color="000000" w:sz="6" w:space="0"/>
            </w:tcBorders>
          </w:tcPr>
          <w:p>
            <w:pPr>
              <w:rPr>
                <w:rFonts w:ascii="Arial"/>
                <w:sz w:val="21"/>
              </w:rPr>
            </w:pPr>
            <w:r/>
          </w:p>
        </w:tc>
      </w:tr>
      <w:tr>
        <w:trPr>
          <w:trHeight w:val="316" w:hRule="atLeast"/>
        </w:trPr>
        <w:tc>
          <w:tcPr>
            <w:tcW w:w="1078" w:type="dxa"/>
            <w:vAlign w:val="top"/>
            <w:tcBorders>
              <w:left w:val="single" w:color="000000" w:sz="6" w:space="0"/>
              <w:bottom w:val="single" w:color="000000" w:sz="6" w:space="0"/>
            </w:tcBorders>
          </w:tcPr>
          <w:p>
            <w:pPr>
              <w:rPr>
                <w:rFonts w:ascii="Arial"/>
                <w:sz w:val="21"/>
              </w:rPr>
            </w:pPr>
            <w:r/>
          </w:p>
        </w:tc>
        <w:tc>
          <w:tcPr>
            <w:tcW w:w="3251" w:type="dxa"/>
            <w:vAlign w:val="top"/>
            <w:tcBorders>
              <w:bottom w:val="single" w:color="000000" w:sz="6" w:space="0"/>
            </w:tcBorders>
          </w:tcPr>
          <w:p>
            <w:pPr>
              <w:pStyle w:val="TableText"/>
              <w:ind w:left="1072"/>
              <w:spacing w:before="82" w:line="217" w:lineRule="auto"/>
              <w:rPr>
                <w:sz w:val="19"/>
                <w:szCs w:val="19"/>
              </w:rPr>
            </w:pPr>
            <w:r>
              <w:rPr>
                <w:sz w:val="19"/>
                <w:szCs w:val="19"/>
                <w:b/>
                <w:bCs/>
                <w:spacing w:val="1"/>
              </w:rPr>
              <w:t>支</w:t>
            </w:r>
            <w:r>
              <w:rPr>
                <w:sz w:val="19"/>
                <w:szCs w:val="19"/>
                <w:spacing w:val="27"/>
              </w:rPr>
              <w:t xml:space="preserve"> </w:t>
            </w:r>
            <w:r>
              <w:rPr>
                <w:sz w:val="19"/>
                <w:szCs w:val="19"/>
                <w:b/>
                <w:bCs/>
                <w:spacing w:val="1"/>
              </w:rPr>
              <w:t>出</w:t>
            </w:r>
            <w:r>
              <w:rPr>
                <w:sz w:val="19"/>
                <w:szCs w:val="19"/>
                <w:spacing w:val="10"/>
              </w:rPr>
              <w:t xml:space="preserve"> </w:t>
            </w:r>
            <w:r>
              <w:rPr>
                <w:sz w:val="19"/>
                <w:szCs w:val="19"/>
                <w:b/>
                <w:bCs/>
                <w:spacing w:val="1"/>
              </w:rPr>
              <w:t>合</w:t>
            </w:r>
            <w:r>
              <w:rPr>
                <w:sz w:val="19"/>
                <w:szCs w:val="19"/>
                <w:spacing w:val="1"/>
              </w:rPr>
              <w:t xml:space="preserve"> </w:t>
            </w:r>
            <w:r>
              <w:rPr>
                <w:sz w:val="19"/>
                <w:szCs w:val="19"/>
                <w:b/>
                <w:bCs/>
                <w:spacing w:val="1"/>
              </w:rPr>
              <w:t>计</w:t>
            </w:r>
          </w:p>
        </w:tc>
        <w:tc>
          <w:tcPr>
            <w:tcW w:w="1585" w:type="dxa"/>
            <w:vAlign w:val="top"/>
            <w:tcBorders>
              <w:bottom w:val="single" w:color="000000" w:sz="6" w:space="0"/>
            </w:tcBorders>
          </w:tcPr>
          <w:p>
            <w:pPr>
              <w:pStyle w:val="TableText"/>
              <w:ind w:left="471"/>
              <w:spacing w:before="79" w:line="220" w:lineRule="auto"/>
              <w:rPr>
                <w:sz w:val="19"/>
                <w:szCs w:val="19"/>
              </w:rPr>
            </w:pPr>
            <w:r>
              <w:rPr>
                <w:sz w:val="19"/>
                <w:szCs w:val="19"/>
                <w:b/>
                <w:bCs/>
                <w:spacing w:val="-6"/>
              </w:rPr>
              <w:t>320,909</w:t>
            </w:r>
          </w:p>
        </w:tc>
        <w:tc>
          <w:tcPr>
            <w:tcW w:w="1544" w:type="dxa"/>
            <w:vAlign w:val="top"/>
            <w:tcBorders>
              <w:bottom w:val="single" w:color="000000" w:sz="6" w:space="0"/>
            </w:tcBorders>
          </w:tcPr>
          <w:p>
            <w:pPr>
              <w:pStyle w:val="TableText"/>
              <w:ind w:left="453"/>
              <w:spacing w:before="79" w:line="220" w:lineRule="auto"/>
              <w:rPr>
                <w:sz w:val="19"/>
                <w:szCs w:val="19"/>
              </w:rPr>
            </w:pPr>
            <w:r>
              <w:rPr>
                <w:sz w:val="19"/>
                <w:szCs w:val="19"/>
                <w:b/>
                <w:bCs/>
                <w:spacing w:val="-6"/>
              </w:rPr>
              <w:t>319,361</w:t>
            </w:r>
          </w:p>
        </w:tc>
        <w:tc>
          <w:tcPr>
            <w:tcW w:w="1335" w:type="dxa"/>
            <w:vAlign w:val="top"/>
            <w:tcBorders>
              <w:bottom w:val="single" w:color="000000" w:sz="6" w:space="0"/>
              <w:right w:val="single" w:color="000000" w:sz="6" w:space="0"/>
            </w:tcBorders>
          </w:tcPr>
          <w:p>
            <w:pPr>
              <w:pStyle w:val="TableText"/>
              <w:ind w:left="359"/>
              <w:spacing w:before="79" w:line="220" w:lineRule="auto"/>
              <w:rPr>
                <w:sz w:val="19"/>
                <w:szCs w:val="19"/>
              </w:rPr>
            </w:pPr>
            <w:r>
              <w:rPr>
                <w:sz w:val="19"/>
                <w:szCs w:val="19"/>
                <w:b/>
                <w:bCs/>
                <w:spacing w:val="5"/>
              </w:rPr>
              <w:t>-0.48%</w:t>
            </w:r>
          </w:p>
        </w:tc>
      </w:tr>
    </w:tbl>
    <w:p>
      <w:pPr>
        <w:spacing w:line="51" w:lineRule="exact"/>
        <w:rPr>
          <w:rFonts w:ascii="Arial"/>
          <w:sz w:val="4"/>
        </w:rPr>
      </w:pPr>
      <w:r/>
    </w:p>
    <w:p>
      <w:pPr>
        <w:spacing w:line="51" w:lineRule="exact"/>
        <w:sectPr>
          <w:headerReference w:type="default" r:id="rId21"/>
          <w:footerReference w:type="default" r:id="rId22"/>
          <w:pgSz w:w="11906" w:h="16839"/>
          <w:pgMar w:top="1845" w:right="1530" w:bottom="1672" w:left="1470" w:header="1428" w:footer="1277" w:gutter="0"/>
        </w:sectPr>
        <w:rPr>
          <w:rFonts w:ascii="Arial" w:hAnsi="Arial" w:eastAsia="Arial" w:cs="Arial"/>
          <w:sz w:val="4"/>
          <w:szCs w:val="4"/>
        </w:rPr>
      </w:pPr>
    </w:p>
    <w:p>
      <w:pPr>
        <w:ind w:left="70"/>
        <w:spacing w:before="210"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表三</w:t>
      </w:r>
    </w:p>
    <w:p>
      <w:pPr>
        <w:pStyle w:val="BodyText"/>
        <w:ind w:left="166"/>
        <w:spacing w:before="275" w:line="586" w:lineRule="exact"/>
        <w:rPr>
          <w:sz w:val="43"/>
          <w:szCs w:val="43"/>
        </w:rPr>
      </w:pPr>
      <w:r>
        <w:rPr>
          <w:sz w:val="43"/>
          <w:szCs w:val="43"/>
          <w:b/>
          <w:bCs/>
          <w:spacing w:val="2"/>
          <w:position w:val="2"/>
        </w:rPr>
        <w:t>固原市本级</w:t>
      </w:r>
      <w:r>
        <w:rPr>
          <w:sz w:val="43"/>
          <w:szCs w:val="43"/>
          <w:spacing w:val="-94"/>
          <w:position w:val="2"/>
        </w:rPr>
        <w:t xml:space="preserve"> </w:t>
      </w:r>
      <w:r>
        <w:rPr>
          <w:sz w:val="43"/>
          <w:szCs w:val="43"/>
          <w:b/>
          <w:bCs/>
          <w:spacing w:val="2"/>
          <w:position w:val="2"/>
        </w:rPr>
        <w:t>2021</w:t>
      </w:r>
      <w:r>
        <w:rPr>
          <w:sz w:val="43"/>
          <w:szCs w:val="43"/>
          <w:spacing w:val="-94"/>
          <w:position w:val="2"/>
        </w:rPr>
        <w:t xml:space="preserve"> </w:t>
      </w:r>
      <w:r>
        <w:rPr>
          <w:sz w:val="43"/>
          <w:szCs w:val="43"/>
          <w:b/>
          <w:bCs/>
          <w:spacing w:val="2"/>
          <w:position w:val="2"/>
        </w:rPr>
        <w:t>年一般公共预算支出明细表</w:t>
      </w:r>
    </w:p>
    <w:p>
      <w:pPr>
        <w:pStyle w:val="BodyText"/>
        <w:ind w:left="7897"/>
        <w:spacing w:line="219" w:lineRule="auto"/>
        <w:rPr>
          <w:sz w:val="18"/>
          <w:szCs w:val="18"/>
        </w:rPr>
      </w:pPr>
      <w:r>
        <w:rPr>
          <w:sz w:val="18"/>
          <w:szCs w:val="18"/>
          <w:spacing w:val="-1"/>
        </w:rPr>
        <w:t>单位：万元</w:t>
      </w:r>
    </w:p>
    <w:tbl>
      <w:tblPr>
        <w:tblStyle w:val="TableNormal"/>
        <w:tblW w:w="8841"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12"/>
        <w:gridCol w:w="2216"/>
        <w:gridCol w:w="2013"/>
      </w:tblGrid>
      <w:tr>
        <w:trPr>
          <w:trHeight w:val="312" w:hRule="atLeast"/>
        </w:trPr>
        <w:tc>
          <w:tcPr>
            <w:tcW w:w="4612" w:type="dxa"/>
            <w:vAlign w:val="top"/>
            <w:tcBorders>
              <w:left w:val="single" w:color="000000" w:sz="6" w:space="0"/>
              <w:top w:val="single" w:color="000000" w:sz="6" w:space="0"/>
            </w:tcBorders>
          </w:tcPr>
          <w:p>
            <w:pPr>
              <w:pStyle w:val="TableText"/>
              <w:ind w:left="2104"/>
              <w:spacing w:before="82" w:line="212" w:lineRule="auto"/>
              <w:rPr>
                <w:sz w:val="19"/>
                <w:szCs w:val="19"/>
              </w:rPr>
            </w:pPr>
            <w:r>
              <w:rPr>
                <w:sz w:val="19"/>
                <w:szCs w:val="19"/>
                <w:b/>
                <w:bCs/>
                <w:spacing w:val="6"/>
              </w:rPr>
              <w:t>项目</w:t>
            </w:r>
          </w:p>
        </w:tc>
        <w:tc>
          <w:tcPr>
            <w:tcW w:w="2216" w:type="dxa"/>
            <w:vAlign w:val="top"/>
            <w:tcBorders>
              <w:top w:val="single" w:color="000000" w:sz="6" w:space="0"/>
            </w:tcBorders>
          </w:tcPr>
          <w:p>
            <w:pPr>
              <w:pStyle w:val="TableText"/>
              <w:ind w:left="813"/>
              <w:spacing w:before="77" w:line="218" w:lineRule="auto"/>
              <w:rPr>
                <w:sz w:val="19"/>
                <w:szCs w:val="19"/>
              </w:rPr>
            </w:pPr>
            <w:r>
              <w:rPr>
                <w:sz w:val="19"/>
                <w:szCs w:val="19"/>
                <w:b/>
                <w:bCs/>
                <w:spacing w:val="5"/>
              </w:rPr>
              <w:t>预算数</w:t>
            </w:r>
          </w:p>
        </w:tc>
        <w:tc>
          <w:tcPr>
            <w:tcW w:w="2013" w:type="dxa"/>
            <w:vAlign w:val="top"/>
            <w:tcBorders>
              <w:right w:val="single" w:color="000000" w:sz="6" w:space="0"/>
              <w:top w:val="single" w:color="000000" w:sz="6" w:space="0"/>
            </w:tcBorders>
          </w:tcPr>
          <w:p>
            <w:pPr>
              <w:pStyle w:val="TableText"/>
              <w:ind w:left="806"/>
              <w:spacing w:before="77" w:line="218" w:lineRule="auto"/>
              <w:rPr>
                <w:sz w:val="19"/>
                <w:szCs w:val="19"/>
              </w:rPr>
            </w:pPr>
            <w:r>
              <w:rPr>
                <w:sz w:val="19"/>
                <w:szCs w:val="19"/>
                <w:b/>
                <w:bCs/>
                <w:spacing w:val="6"/>
              </w:rPr>
              <w:t>备注</w:t>
            </w:r>
          </w:p>
        </w:tc>
      </w:tr>
      <w:tr>
        <w:trPr>
          <w:trHeight w:val="304" w:hRule="atLeast"/>
        </w:trPr>
        <w:tc>
          <w:tcPr>
            <w:tcW w:w="4612" w:type="dxa"/>
            <w:vAlign w:val="top"/>
            <w:tcBorders>
              <w:left w:val="single" w:color="000000" w:sz="6" w:space="0"/>
            </w:tcBorders>
          </w:tcPr>
          <w:p>
            <w:pPr>
              <w:pStyle w:val="TableText"/>
              <w:ind w:left="16"/>
              <w:spacing w:before="71" w:line="216" w:lineRule="auto"/>
              <w:rPr>
                <w:sz w:val="19"/>
                <w:szCs w:val="19"/>
              </w:rPr>
            </w:pPr>
            <w:r>
              <w:rPr>
                <w:sz w:val="19"/>
                <w:szCs w:val="19"/>
                <w:spacing w:val="9"/>
              </w:rPr>
              <w:t>一、一般公共服务</w:t>
            </w:r>
          </w:p>
        </w:tc>
        <w:tc>
          <w:tcPr>
            <w:tcW w:w="2216" w:type="dxa"/>
            <w:vAlign w:val="top"/>
          </w:tcPr>
          <w:p>
            <w:pPr>
              <w:pStyle w:val="TableText"/>
              <w:ind w:right="8"/>
              <w:spacing w:before="66" w:line="221" w:lineRule="auto"/>
              <w:jc w:val="right"/>
              <w:rPr>
                <w:sz w:val="19"/>
                <w:szCs w:val="19"/>
              </w:rPr>
            </w:pPr>
            <w:r>
              <w:rPr>
                <w:sz w:val="19"/>
                <w:szCs w:val="19"/>
                <w:spacing w:val="2"/>
              </w:rPr>
              <w:t>28191</w:t>
            </w:r>
          </w:p>
        </w:tc>
        <w:tc>
          <w:tcPr>
            <w:tcW w:w="2013" w:type="dxa"/>
            <w:vAlign w:val="top"/>
            <w:tcBorders>
              <w:right w:val="single" w:color="000000" w:sz="6" w:space="0"/>
            </w:tcBorders>
          </w:tcPr>
          <w:p>
            <w:pPr>
              <w:pStyle w:val="TableText"/>
              <w:ind w:right="11"/>
              <w:spacing w:before="66" w:line="221" w:lineRule="auto"/>
              <w:jc w:val="right"/>
              <w:rPr>
                <w:sz w:val="19"/>
                <w:szCs w:val="19"/>
              </w:rPr>
            </w:pPr>
            <w:r>
              <w:rPr>
                <w:sz w:val="19"/>
                <w:szCs w:val="19"/>
              </w:rPr>
              <w:t>0</w:t>
            </w:r>
          </w:p>
        </w:tc>
      </w:tr>
      <w:tr>
        <w:trPr>
          <w:trHeight w:val="304" w:hRule="atLeast"/>
        </w:trPr>
        <w:tc>
          <w:tcPr>
            <w:tcW w:w="4612" w:type="dxa"/>
            <w:vAlign w:val="top"/>
            <w:tcBorders>
              <w:left w:val="single" w:color="000000" w:sz="6" w:space="0"/>
            </w:tcBorders>
          </w:tcPr>
          <w:p>
            <w:pPr>
              <w:pStyle w:val="TableText"/>
              <w:ind w:left="413"/>
              <w:spacing w:before="71" w:line="216" w:lineRule="auto"/>
              <w:rPr>
                <w:sz w:val="19"/>
                <w:szCs w:val="19"/>
              </w:rPr>
            </w:pPr>
            <w:r>
              <w:rPr>
                <w:sz w:val="19"/>
                <w:szCs w:val="19"/>
                <w:spacing w:val="8"/>
              </w:rPr>
              <w:t>人大事务</w:t>
            </w:r>
          </w:p>
        </w:tc>
        <w:tc>
          <w:tcPr>
            <w:tcW w:w="2216" w:type="dxa"/>
            <w:vAlign w:val="top"/>
          </w:tcPr>
          <w:p>
            <w:pPr>
              <w:pStyle w:val="TableText"/>
              <w:ind w:right="8"/>
              <w:spacing w:before="66" w:line="221" w:lineRule="auto"/>
              <w:jc w:val="right"/>
              <w:rPr>
                <w:sz w:val="19"/>
                <w:szCs w:val="19"/>
              </w:rPr>
            </w:pPr>
            <w:r>
              <w:rPr>
                <w:sz w:val="19"/>
                <w:szCs w:val="19"/>
              </w:rPr>
              <w:t>894</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2" w:line="215" w:lineRule="auto"/>
              <w:rPr>
                <w:sz w:val="19"/>
                <w:szCs w:val="19"/>
              </w:rPr>
            </w:pPr>
            <w:r>
              <w:rPr>
                <w:sz w:val="19"/>
                <w:szCs w:val="19"/>
                <w:spacing w:val="8"/>
              </w:rPr>
              <w:t>行政运行</w:t>
            </w:r>
          </w:p>
        </w:tc>
        <w:tc>
          <w:tcPr>
            <w:tcW w:w="2216" w:type="dxa"/>
            <w:vAlign w:val="top"/>
          </w:tcPr>
          <w:p>
            <w:pPr>
              <w:pStyle w:val="TableText"/>
              <w:ind w:right="8"/>
              <w:spacing w:before="67" w:line="220" w:lineRule="auto"/>
              <w:jc w:val="right"/>
              <w:rPr>
                <w:sz w:val="19"/>
                <w:szCs w:val="19"/>
              </w:rPr>
            </w:pPr>
            <w:r>
              <w:rPr>
                <w:sz w:val="19"/>
                <w:szCs w:val="19"/>
                <w:spacing w:val="2"/>
              </w:rPr>
              <w:t>749</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4" w:line="213"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75" w:line="212"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6" w:line="211" w:lineRule="auto"/>
              <w:rPr>
                <w:sz w:val="19"/>
                <w:szCs w:val="19"/>
              </w:rPr>
            </w:pPr>
            <w:r>
              <w:rPr>
                <w:sz w:val="19"/>
                <w:szCs w:val="19"/>
                <w:spacing w:val="8"/>
              </w:rPr>
              <w:t>人大会议</w:t>
            </w:r>
          </w:p>
        </w:tc>
        <w:tc>
          <w:tcPr>
            <w:tcW w:w="2216" w:type="dxa"/>
            <w:vAlign w:val="top"/>
          </w:tcPr>
          <w:p>
            <w:pPr>
              <w:pStyle w:val="TableText"/>
              <w:ind w:right="8"/>
              <w:spacing w:before="70" w:line="217" w:lineRule="auto"/>
              <w:jc w:val="right"/>
              <w:rPr>
                <w:sz w:val="19"/>
                <w:szCs w:val="19"/>
              </w:rPr>
            </w:pPr>
            <w:r>
              <w:rPr>
                <w:sz w:val="19"/>
                <w:szCs w:val="19"/>
                <w:spacing w:val="-1"/>
              </w:rPr>
              <w:t>80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7" w:line="210" w:lineRule="auto"/>
              <w:rPr>
                <w:sz w:val="19"/>
                <w:szCs w:val="19"/>
              </w:rPr>
            </w:pPr>
            <w:r>
              <w:rPr>
                <w:sz w:val="19"/>
                <w:szCs w:val="19"/>
                <w:spacing w:val="8"/>
              </w:rPr>
              <w:t>人大立法</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9" w:line="208" w:lineRule="auto"/>
              <w:rPr>
                <w:sz w:val="19"/>
                <w:szCs w:val="19"/>
              </w:rPr>
            </w:pPr>
            <w:r>
              <w:rPr>
                <w:sz w:val="19"/>
                <w:szCs w:val="19"/>
                <w:spacing w:val="8"/>
              </w:rPr>
              <w:t>人大监督</w:t>
            </w:r>
          </w:p>
        </w:tc>
        <w:tc>
          <w:tcPr>
            <w:tcW w:w="2216" w:type="dxa"/>
            <w:vAlign w:val="top"/>
          </w:tcPr>
          <w:p>
            <w:pPr>
              <w:pStyle w:val="TableText"/>
              <w:ind w:right="8"/>
              <w:spacing w:before="73" w:line="214" w:lineRule="auto"/>
              <w:jc w:val="right"/>
              <w:rPr>
                <w:sz w:val="19"/>
                <w:szCs w:val="19"/>
              </w:rPr>
            </w:pPr>
            <w:r>
              <w:rPr>
                <w:sz w:val="19"/>
                <w:szCs w:val="19"/>
                <w:spacing w:val="2"/>
              </w:rPr>
              <w:t>45</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7" w:line="211" w:lineRule="auto"/>
              <w:rPr>
                <w:sz w:val="19"/>
                <w:szCs w:val="19"/>
              </w:rPr>
            </w:pPr>
            <w:r>
              <w:rPr>
                <w:sz w:val="19"/>
                <w:szCs w:val="19"/>
                <w:spacing w:val="9"/>
              </w:rPr>
              <w:t>人大代表履职能力提升</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7" w:line="211" w:lineRule="auto"/>
              <w:rPr>
                <w:sz w:val="19"/>
                <w:szCs w:val="19"/>
              </w:rPr>
            </w:pPr>
            <w:r>
              <w:rPr>
                <w:sz w:val="19"/>
                <w:szCs w:val="19"/>
                <w:spacing w:val="8"/>
              </w:rPr>
              <w:t>代表工作</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5" w:line="212" w:lineRule="auto"/>
              <w:rPr>
                <w:sz w:val="19"/>
                <w:szCs w:val="19"/>
              </w:rPr>
            </w:pPr>
            <w:r>
              <w:rPr>
                <w:sz w:val="19"/>
                <w:szCs w:val="19"/>
                <w:spacing w:val="9"/>
              </w:rPr>
              <w:t>人大信访工作</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0" w:line="208"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8" w:line="209" w:lineRule="auto"/>
              <w:rPr>
                <w:sz w:val="19"/>
                <w:szCs w:val="19"/>
              </w:rPr>
            </w:pPr>
            <w:r>
              <w:rPr>
                <w:sz w:val="19"/>
                <w:szCs w:val="19"/>
                <w:spacing w:val="9"/>
              </w:rPr>
              <w:t>其他人大事务支出</w:t>
            </w:r>
          </w:p>
        </w:tc>
        <w:tc>
          <w:tcPr>
            <w:tcW w:w="2216" w:type="dxa"/>
            <w:vAlign w:val="top"/>
          </w:tcPr>
          <w:p>
            <w:pPr>
              <w:pStyle w:val="TableText"/>
              <w:ind w:right="8"/>
              <w:spacing w:before="75" w:line="212" w:lineRule="auto"/>
              <w:jc w:val="right"/>
              <w:rPr>
                <w:sz w:val="19"/>
                <w:szCs w:val="19"/>
              </w:rPr>
            </w:pPr>
            <w:r>
              <w:rPr>
                <w:sz w:val="19"/>
                <w:szCs w:val="19"/>
              </w:rPr>
              <w:t>20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5"/>
              <w:spacing w:before="80" w:line="208" w:lineRule="auto"/>
              <w:rPr>
                <w:sz w:val="19"/>
                <w:szCs w:val="19"/>
              </w:rPr>
            </w:pPr>
            <w:r>
              <w:rPr>
                <w:sz w:val="19"/>
                <w:szCs w:val="19"/>
                <w:spacing w:val="8"/>
              </w:rPr>
              <w:t>政协事务</w:t>
            </w:r>
          </w:p>
        </w:tc>
        <w:tc>
          <w:tcPr>
            <w:tcW w:w="2216" w:type="dxa"/>
            <w:vAlign w:val="top"/>
          </w:tcPr>
          <w:p>
            <w:pPr>
              <w:pStyle w:val="TableText"/>
              <w:ind w:right="8"/>
              <w:spacing w:before="75" w:line="213" w:lineRule="auto"/>
              <w:jc w:val="right"/>
              <w:rPr>
                <w:sz w:val="19"/>
                <w:szCs w:val="19"/>
              </w:rPr>
            </w:pPr>
            <w:r>
              <w:rPr>
                <w:sz w:val="19"/>
                <w:szCs w:val="19"/>
              </w:rPr>
              <w:t>891</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80" w:line="207" w:lineRule="auto"/>
              <w:rPr>
                <w:sz w:val="19"/>
                <w:szCs w:val="19"/>
              </w:rPr>
            </w:pPr>
            <w:r>
              <w:rPr>
                <w:sz w:val="19"/>
                <w:szCs w:val="19"/>
                <w:spacing w:val="8"/>
              </w:rPr>
              <w:t>行政运行</w:t>
            </w:r>
          </w:p>
        </w:tc>
        <w:tc>
          <w:tcPr>
            <w:tcW w:w="2216" w:type="dxa"/>
            <w:vAlign w:val="top"/>
          </w:tcPr>
          <w:p>
            <w:pPr>
              <w:pStyle w:val="TableText"/>
              <w:ind w:right="8"/>
              <w:spacing w:before="74" w:line="213" w:lineRule="auto"/>
              <w:jc w:val="right"/>
              <w:rPr>
                <w:sz w:val="19"/>
                <w:szCs w:val="19"/>
              </w:rPr>
            </w:pPr>
            <w:r>
              <w:rPr>
                <w:sz w:val="19"/>
                <w:szCs w:val="19"/>
                <w:spacing w:val="2"/>
              </w:rPr>
              <w:t>749</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2" w:line="206" w:lineRule="auto"/>
              <w:rPr>
                <w:sz w:val="19"/>
                <w:szCs w:val="19"/>
              </w:rPr>
            </w:pPr>
            <w:r>
              <w:rPr>
                <w:sz w:val="19"/>
                <w:szCs w:val="19"/>
                <w:spacing w:val="9"/>
              </w:rPr>
              <w:t>一般行政管理事务</w:t>
            </w:r>
          </w:p>
        </w:tc>
        <w:tc>
          <w:tcPr>
            <w:tcW w:w="2216" w:type="dxa"/>
            <w:vAlign w:val="top"/>
          </w:tcPr>
          <w:p>
            <w:pPr>
              <w:pStyle w:val="TableText"/>
              <w:ind w:right="8"/>
              <w:spacing w:before="77" w:line="211" w:lineRule="auto"/>
              <w:jc w:val="right"/>
              <w:rPr>
                <w:sz w:val="19"/>
                <w:szCs w:val="19"/>
              </w:rPr>
            </w:pPr>
            <w:r>
              <w:rPr>
                <w:sz w:val="19"/>
                <w:szCs w:val="19"/>
              </w:rPr>
              <w:t>20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83" w:line="205"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2" w:line="206" w:lineRule="auto"/>
              <w:rPr>
                <w:sz w:val="19"/>
                <w:szCs w:val="19"/>
              </w:rPr>
            </w:pPr>
            <w:r>
              <w:rPr>
                <w:sz w:val="19"/>
                <w:szCs w:val="19"/>
                <w:spacing w:val="8"/>
              </w:rPr>
              <w:t>政协会议</w:t>
            </w:r>
          </w:p>
        </w:tc>
        <w:tc>
          <w:tcPr>
            <w:tcW w:w="2216" w:type="dxa"/>
            <w:vAlign w:val="top"/>
          </w:tcPr>
          <w:p>
            <w:pPr>
              <w:pStyle w:val="TableText"/>
              <w:ind w:right="8"/>
              <w:spacing w:before="77" w:line="211" w:lineRule="auto"/>
              <w:jc w:val="right"/>
              <w:rPr>
                <w:sz w:val="19"/>
                <w:szCs w:val="19"/>
              </w:rPr>
            </w:pPr>
            <w:r>
              <w:rPr>
                <w:sz w:val="19"/>
                <w:szCs w:val="19"/>
                <w:spacing w:val="-1"/>
              </w:rPr>
              <w:t>80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8"/>
              <w:spacing w:before="81" w:line="206" w:lineRule="auto"/>
              <w:rPr>
                <w:sz w:val="19"/>
                <w:szCs w:val="19"/>
              </w:rPr>
            </w:pPr>
            <w:r>
              <w:rPr>
                <w:sz w:val="19"/>
                <w:szCs w:val="19"/>
                <w:spacing w:val="8"/>
              </w:rPr>
              <w:t>委员视察</w:t>
            </w:r>
          </w:p>
        </w:tc>
        <w:tc>
          <w:tcPr>
            <w:tcW w:w="2216" w:type="dxa"/>
            <w:vAlign w:val="top"/>
          </w:tcPr>
          <w:p>
            <w:pPr>
              <w:pStyle w:val="TableText"/>
              <w:ind w:right="8"/>
              <w:spacing w:before="76" w:line="211" w:lineRule="auto"/>
              <w:jc w:val="right"/>
              <w:rPr>
                <w:sz w:val="19"/>
                <w:szCs w:val="19"/>
              </w:rPr>
            </w:pPr>
            <w:r>
              <w:rPr>
                <w:sz w:val="19"/>
                <w:szCs w:val="19"/>
                <w:spacing w:val="2"/>
              </w:rPr>
              <w:t>42</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4"/>
              <w:spacing w:before="82" w:line="206" w:lineRule="auto"/>
              <w:rPr>
                <w:sz w:val="19"/>
                <w:szCs w:val="19"/>
              </w:rPr>
            </w:pPr>
            <w:r>
              <w:rPr>
                <w:sz w:val="19"/>
                <w:szCs w:val="19"/>
                <w:spacing w:val="9"/>
              </w:rPr>
              <w:t>参政议政</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84" w:line="204"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2" w:line="206" w:lineRule="auto"/>
              <w:rPr>
                <w:sz w:val="19"/>
                <w:szCs w:val="19"/>
              </w:rPr>
            </w:pPr>
            <w:r>
              <w:rPr>
                <w:sz w:val="19"/>
                <w:szCs w:val="19"/>
                <w:spacing w:val="9"/>
              </w:rPr>
              <w:t>其他政协事务支出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5"/>
              <w:spacing w:before="78" w:line="210" w:lineRule="auto"/>
              <w:rPr>
                <w:sz w:val="19"/>
                <w:szCs w:val="19"/>
              </w:rPr>
            </w:pPr>
            <w:r>
              <w:rPr>
                <w:sz w:val="19"/>
                <w:szCs w:val="19"/>
                <w:spacing w:val="2"/>
              </w:rPr>
              <w:t>政府办公厅(室)及相关机构事务</w:t>
            </w:r>
          </w:p>
        </w:tc>
        <w:tc>
          <w:tcPr>
            <w:tcW w:w="2216" w:type="dxa"/>
            <w:vAlign w:val="top"/>
          </w:tcPr>
          <w:p>
            <w:pPr>
              <w:pStyle w:val="TableText"/>
              <w:ind w:right="8"/>
              <w:spacing w:before="78" w:line="210" w:lineRule="auto"/>
              <w:jc w:val="right"/>
              <w:rPr>
                <w:sz w:val="19"/>
                <w:szCs w:val="19"/>
              </w:rPr>
            </w:pPr>
            <w:r>
              <w:rPr>
                <w:sz w:val="19"/>
                <w:szCs w:val="19"/>
                <w:spacing w:val="3"/>
              </w:rPr>
              <w:t>4725</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6" w:line="203" w:lineRule="auto"/>
              <w:rPr>
                <w:sz w:val="19"/>
                <w:szCs w:val="19"/>
              </w:rPr>
            </w:pPr>
            <w:r>
              <w:rPr>
                <w:sz w:val="19"/>
                <w:szCs w:val="19"/>
                <w:spacing w:val="8"/>
              </w:rPr>
              <w:t>行政运行</w:t>
            </w:r>
          </w:p>
        </w:tc>
        <w:tc>
          <w:tcPr>
            <w:tcW w:w="2216" w:type="dxa"/>
            <w:vAlign w:val="top"/>
          </w:tcPr>
          <w:p>
            <w:pPr>
              <w:pStyle w:val="TableText"/>
              <w:ind w:right="8"/>
              <w:spacing w:before="80" w:line="208" w:lineRule="auto"/>
              <w:jc w:val="right"/>
              <w:rPr>
                <w:sz w:val="19"/>
                <w:szCs w:val="19"/>
              </w:rPr>
            </w:pPr>
            <w:r>
              <w:rPr>
                <w:sz w:val="19"/>
                <w:szCs w:val="19"/>
                <w:spacing w:val="2"/>
              </w:rPr>
              <w:t>704</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5" w:line="204" w:lineRule="auto"/>
              <w:rPr>
                <w:sz w:val="19"/>
                <w:szCs w:val="19"/>
              </w:rPr>
            </w:pPr>
            <w:r>
              <w:rPr>
                <w:sz w:val="19"/>
                <w:szCs w:val="19"/>
                <w:spacing w:val="9"/>
              </w:rPr>
              <w:t>一般行政管理事务</w:t>
            </w:r>
          </w:p>
        </w:tc>
        <w:tc>
          <w:tcPr>
            <w:tcW w:w="2216" w:type="dxa"/>
            <w:vAlign w:val="top"/>
          </w:tcPr>
          <w:p>
            <w:pPr>
              <w:pStyle w:val="TableText"/>
              <w:ind w:right="8"/>
              <w:spacing w:before="80" w:line="208" w:lineRule="auto"/>
              <w:jc w:val="right"/>
              <w:rPr>
                <w:sz w:val="19"/>
                <w:szCs w:val="19"/>
              </w:rPr>
            </w:pPr>
            <w:r>
              <w:rPr>
                <w:sz w:val="19"/>
                <w:szCs w:val="19"/>
                <w:spacing w:val="-4"/>
              </w:rPr>
              <w:t>100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5" w:line="204" w:lineRule="auto"/>
              <w:rPr>
                <w:sz w:val="19"/>
                <w:szCs w:val="19"/>
              </w:rPr>
            </w:pPr>
            <w:r>
              <w:rPr>
                <w:sz w:val="19"/>
                <w:szCs w:val="19"/>
                <w:spacing w:val="8"/>
              </w:rPr>
              <w:t>机关服务</w:t>
            </w:r>
          </w:p>
        </w:tc>
        <w:tc>
          <w:tcPr>
            <w:tcW w:w="2216" w:type="dxa"/>
            <w:vAlign w:val="top"/>
          </w:tcPr>
          <w:p>
            <w:pPr>
              <w:pStyle w:val="TableText"/>
              <w:ind w:right="8"/>
              <w:spacing w:before="79" w:line="209" w:lineRule="auto"/>
              <w:jc w:val="right"/>
              <w:rPr>
                <w:sz w:val="19"/>
                <w:szCs w:val="19"/>
              </w:rPr>
            </w:pPr>
            <w:r>
              <w:rPr>
                <w:sz w:val="19"/>
                <w:szCs w:val="19"/>
                <w:spacing w:val="1"/>
              </w:rPr>
              <w:t>3742</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2" w:line="206" w:lineRule="auto"/>
              <w:rPr>
                <w:sz w:val="19"/>
                <w:szCs w:val="19"/>
              </w:rPr>
            </w:pPr>
            <w:r>
              <w:rPr>
                <w:sz w:val="19"/>
                <w:szCs w:val="19"/>
                <w:spacing w:val="8"/>
              </w:rPr>
              <w:t>专项服务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5" w:line="204" w:lineRule="auto"/>
              <w:rPr>
                <w:sz w:val="19"/>
                <w:szCs w:val="19"/>
              </w:rPr>
            </w:pPr>
            <w:r>
              <w:rPr>
                <w:sz w:val="19"/>
                <w:szCs w:val="19"/>
                <w:spacing w:val="9"/>
              </w:rPr>
              <w:t>专项业务及机关事务管理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6" w:line="203" w:lineRule="auto"/>
              <w:rPr>
                <w:sz w:val="19"/>
                <w:szCs w:val="19"/>
              </w:rPr>
            </w:pPr>
            <w:r>
              <w:rPr>
                <w:sz w:val="19"/>
                <w:szCs w:val="19"/>
                <w:spacing w:val="9"/>
              </w:rPr>
              <w:t>政务公开审批</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2" w:line="206" w:lineRule="auto"/>
              <w:rPr>
                <w:sz w:val="19"/>
                <w:szCs w:val="19"/>
              </w:rPr>
            </w:pPr>
            <w:r>
              <w:rPr>
                <w:sz w:val="19"/>
                <w:szCs w:val="19"/>
                <w:spacing w:val="8"/>
              </w:rPr>
              <w:t>信访事务</w:t>
            </w:r>
          </w:p>
        </w:tc>
        <w:tc>
          <w:tcPr>
            <w:tcW w:w="2216" w:type="dxa"/>
            <w:vAlign w:val="top"/>
          </w:tcPr>
          <w:p>
            <w:pPr>
              <w:pStyle w:val="TableText"/>
              <w:ind w:right="8"/>
              <w:spacing w:before="79" w:line="209" w:lineRule="auto"/>
              <w:jc w:val="right"/>
              <w:rPr>
                <w:sz w:val="19"/>
                <w:szCs w:val="19"/>
              </w:rPr>
            </w:pPr>
            <w:r>
              <w:rPr>
                <w:sz w:val="19"/>
                <w:szCs w:val="19"/>
                <w:spacing w:val="-4"/>
              </w:rPr>
              <w:t>179</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4"/>
              <w:spacing w:before="81" w:line="207" w:lineRule="auto"/>
              <w:rPr>
                <w:sz w:val="19"/>
                <w:szCs w:val="19"/>
              </w:rPr>
            </w:pPr>
            <w:r>
              <w:rPr>
                <w:sz w:val="19"/>
                <w:szCs w:val="19"/>
                <w:spacing w:val="9"/>
              </w:rPr>
              <w:t>参事事务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6" w:line="203"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0" w:line="208" w:lineRule="auto"/>
              <w:rPr>
                <w:sz w:val="19"/>
                <w:szCs w:val="19"/>
              </w:rPr>
            </w:pPr>
            <w:r>
              <w:rPr>
                <w:sz w:val="19"/>
                <w:szCs w:val="19"/>
                <w:spacing w:val="9"/>
              </w:rPr>
              <w:t>其他政府办公厅（室）及相关机构事务支出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6"/>
              <w:spacing w:before="84" w:line="205" w:lineRule="auto"/>
              <w:rPr>
                <w:sz w:val="19"/>
                <w:szCs w:val="19"/>
              </w:rPr>
            </w:pPr>
            <w:r>
              <w:rPr>
                <w:sz w:val="19"/>
                <w:szCs w:val="19"/>
                <w:spacing w:val="9"/>
              </w:rPr>
              <w:t>发展与改革事务</w:t>
            </w:r>
          </w:p>
        </w:tc>
        <w:tc>
          <w:tcPr>
            <w:tcW w:w="2216" w:type="dxa"/>
            <w:vAlign w:val="top"/>
          </w:tcPr>
          <w:p>
            <w:pPr>
              <w:pStyle w:val="TableText"/>
              <w:ind w:right="8"/>
              <w:spacing w:before="79" w:line="209" w:lineRule="auto"/>
              <w:jc w:val="right"/>
              <w:rPr>
                <w:sz w:val="19"/>
                <w:szCs w:val="19"/>
              </w:rPr>
            </w:pPr>
            <w:r>
              <w:rPr>
                <w:sz w:val="19"/>
                <w:szCs w:val="19"/>
                <w:spacing w:val="1"/>
              </w:rPr>
              <w:t>551</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5" w:line="204" w:lineRule="auto"/>
              <w:rPr>
                <w:sz w:val="19"/>
                <w:szCs w:val="19"/>
              </w:rPr>
            </w:pPr>
            <w:r>
              <w:rPr>
                <w:sz w:val="19"/>
                <w:szCs w:val="19"/>
                <w:spacing w:val="8"/>
              </w:rPr>
              <w:t>行政运行</w:t>
            </w:r>
          </w:p>
        </w:tc>
        <w:tc>
          <w:tcPr>
            <w:tcW w:w="2216" w:type="dxa"/>
            <w:vAlign w:val="top"/>
          </w:tcPr>
          <w:p>
            <w:pPr>
              <w:pStyle w:val="TableText"/>
              <w:ind w:right="8"/>
              <w:spacing w:before="78" w:line="210" w:lineRule="auto"/>
              <w:jc w:val="right"/>
              <w:rPr>
                <w:sz w:val="19"/>
                <w:szCs w:val="19"/>
              </w:rPr>
            </w:pPr>
            <w:r>
              <w:rPr>
                <w:sz w:val="19"/>
                <w:szCs w:val="19"/>
                <w:spacing w:val="1"/>
              </w:rPr>
              <w:t>531</w:t>
            </w:r>
          </w:p>
        </w:tc>
        <w:tc>
          <w:tcPr>
            <w:tcW w:w="2013" w:type="dxa"/>
            <w:vAlign w:val="top"/>
            <w:tcBorders>
              <w:right w:val="single" w:color="000000" w:sz="6" w:space="0"/>
            </w:tcBorders>
          </w:tcPr>
          <w:p>
            <w:pPr>
              <w:rPr>
                <w:rFonts w:ascii="Arial"/>
                <w:sz w:val="21"/>
              </w:rPr>
            </w:pPr>
            <w:r/>
          </w:p>
        </w:tc>
      </w:tr>
      <w:tr>
        <w:trPr>
          <w:trHeight w:val="314" w:hRule="atLeast"/>
        </w:trPr>
        <w:tc>
          <w:tcPr>
            <w:tcW w:w="4612" w:type="dxa"/>
            <w:vAlign w:val="top"/>
            <w:tcBorders>
              <w:left w:val="single" w:color="000000" w:sz="6" w:space="0"/>
              <w:bottom w:val="single" w:color="000000" w:sz="6" w:space="0"/>
            </w:tcBorders>
          </w:tcPr>
          <w:p>
            <w:pPr>
              <w:pStyle w:val="TableText"/>
              <w:ind w:left="616"/>
              <w:spacing w:before="85" w:line="212" w:lineRule="auto"/>
              <w:rPr>
                <w:sz w:val="19"/>
                <w:szCs w:val="19"/>
              </w:rPr>
            </w:pPr>
            <w:r>
              <w:rPr>
                <w:sz w:val="19"/>
                <w:szCs w:val="19"/>
                <w:spacing w:val="9"/>
              </w:rPr>
              <w:t>一般行政管理事务</w:t>
            </w:r>
          </w:p>
        </w:tc>
        <w:tc>
          <w:tcPr>
            <w:tcW w:w="2216" w:type="dxa"/>
            <w:vAlign w:val="top"/>
            <w:tcBorders>
              <w:bottom w:val="single" w:color="000000" w:sz="6" w:space="0"/>
            </w:tcBorders>
          </w:tcPr>
          <w:p>
            <w:pPr>
              <w:pStyle w:val="TableText"/>
              <w:ind w:right="8"/>
              <w:spacing w:before="80" w:line="217" w:lineRule="auto"/>
              <w:jc w:val="right"/>
              <w:rPr>
                <w:sz w:val="19"/>
                <w:szCs w:val="19"/>
              </w:rPr>
            </w:pPr>
            <w:r>
              <w:rPr>
                <w:sz w:val="19"/>
                <w:szCs w:val="19"/>
              </w:rPr>
              <w:t>20</w:t>
            </w:r>
          </w:p>
        </w:tc>
        <w:tc>
          <w:tcPr>
            <w:tcW w:w="2013" w:type="dxa"/>
            <w:vAlign w:val="top"/>
            <w:tcBorders>
              <w:bottom w:val="single" w:color="000000" w:sz="6" w:space="0"/>
              <w:right w:val="single" w:color="000000" w:sz="6" w:space="0"/>
            </w:tcBorders>
          </w:tcPr>
          <w:p>
            <w:pPr>
              <w:rPr>
                <w:rFonts w:ascii="Arial"/>
                <w:sz w:val="21"/>
              </w:rPr>
            </w:pPr>
            <w:r/>
          </w:p>
        </w:tc>
      </w:tr>
    </w:tbl>
    <w:p>
      <w:pPr>
        <w:spacing w:line="146" w:lineRule="exact"/>
        <w:rPr>
          <w:rFonts w:ascii="Arial"/>
          <w:sz w:val="12"/>
        </w:rPr>
      </w:pPr>
      <w:r/>
    </w:p>
    <w:p>
      <w:pPr>
        <w:spacing w:line="146" w:lineRule="exact"/>
        <w:sectPr>
          <w:headerReference w:type="default" r:id="rId23"/>
          <w:footerReference w:type="default" r:id="rId24"/>
          <w:pgSz w:w="11907" w:h="16840"/>
          <w:pgMar w:top="1801" w:right="1525" w:bottom="1660" w:left="1525" w:header="1428" w:footer="1289" w:gutter="0"/>
        </w:sectPr>
        <w:rPr>
          <w:rFonts w:ascii="Arial" w:hAnsi="Arial" w:eastAsia="Arial" w:cs="Arial"/>
          <w:sz w:val="12"/>
          <w:szCs w:val="12"/>
        </w:rPr>
      </w:pPr>
    </w:p>
    <w:p>
      <w:pPr>
        <w:spacing w:line="240" w:lineRule="exact"/>
        <w:rPr/>
      </w:pPr>
      <w:r/>
    </w:p>
    <w:tbl>
      <w:tblPr>
        <w:tblStyle w:val="TableNormal"/>
        <w:tblW w:w="8841"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12"/>
        <w:gridCol w:w="2216"/>
        <w:gridCol w:w="2013"/>
      </w:tblGrid>
      <w:tr>
        <w:trPr>
          <w:trHeight w:val="312" w:hRule="atLeast"/>
        </w:trPr>
        <w:tc>
          <w:tcPr>
            <w:tcW w:w="4612" w:type="dxa"/>
            <w:vAlign w:val="top"/>
            <w:tcBorders>
              <w:left w:val="single" w:color="000000" w:sz="6" w:space="0"/>
              <w:top w:val="single" w:color="000000" w:sz="6" w:space="0"/>
            </w:tcBorders>
          </w:tcPr>
          <w:p>
            <w:pPr>
              <w:pStyle w:val="TableText"/>
              <w:ind w:left="2104"/>
              <w:spacing w:before="81" w:line="212" w:lineRule="auto"/>
              <w:rPr>
                <w:sz w:val="19"/>
                <w:szCs w:val="19"/>
              </w:rPr>
            </w:pPr>
            <w:r>
              <w:rPr>
                <w:sz w:val="19"/>
                <w:szCs w:val="19"/>
                <w:b/>
                <w:bCs/>
                <w:spacing w:val="6"/>
              </w:rPr>
              <w:t>项目</w:t>
            </w:r>
          </w:p>
        </w:tc>
        <w:tc>
          <w:tcPr>
            <w:tcW w:w="2216" w:type="dxa"/>
            <w:vAlign w:val="top"/>
            <w:tcBorders>
              <w:top w:val="single" w:color="000000" w:sz="6" w:space="0"/>
            </w:tcBorders>
          </w:tcPr>
          <w:p>
            <w:pPr>
              <w:pStyle w:val="TableText"/>
              <w:ind w:left="813"/>
              <w:spacing w:before="76" w:line="219" w:lineRule="auto"/>
              <w:rPr>
                <w:sz w:val="19"/>
                <w:szCs w:val="19"/>
              </w:rPr>
            </w:pPr>
            <w:r>
              <w:rPr>
                <w:sz w:val="19"/>
                <w:szCs w:val="19"/>
                <w:b/>
                <w:bCs/>
                <w:spacing w:val="5"/>
              </w:rPr>
              <w:t>预算数</w:t>
            </w:r>
          </w:p>
        </w:tc>
        <w:tc>
          <w:tcPr>
            <w:tcW w:w="2013" w:type="dxa"/>
            <w:vAlign w:val="top"/>
            <w:tcBorders>
              <w:right w:val="single" w:color="000000" w:sz="6" w:space="0"/>
              <w:top w:val="single" w:color="000000" w:sz="6" w:space="0"/>
            </w:tcBorders>
          </w:tcPr>
          <w:p>
            <w:pPr>
              <w:pStyle w:val="TableText"/>
              <w:ind w:left="806"/>
              <w:spacing w:before="76" w:line="219" w:lineRule="auto"/>
              <w:rPr>
                <w:sz w:val="19"/>
                <w:szCs w:val="19"/>
              </w:rPr>
            </w:pPr>
            <w:r>
              <w:rPr>
                <w:sz w:val="19"/>
                <w:szCs w:val="19"/>
                <w:b/>
                <w:bCs/>
                <w:spacing w:val="6"/>
              </w:rPr>
              <w:t>备注</w:t>
            </w:r>
          </w:p>
        </w:tc>
      </w:tr>
      <w:tr>
        <w:trPr>
          <w:trHeight w:val="304" w:hRule="atLeast"/>
        </w:trPr>
        <w:tc>
          <w:tcPr>
            <w:tcW w:w="4612" w:type="dxa"/>
            <w:vAlign w:val="top"/>
            <w:tcBorders>
              <w:left w:val="single" w:color="000000" w:sz="6" w:space="0"/>
            </w:tcBorders>
          </w:tcPr>
          <w:p>
            <w:pPr>
              <w:pStyle w:val="TableText"/>
              <w:ind w:left="617"/>
              <w:spacing w:before="70" w:line="217"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27"/>
              <w:spacing w:before="73" w:line="214" w:lineRule="auto"/>
              <w:rPr>
                <w:sz w:val="19"/>
                <w:szCs w:val="19"/>
              </w:rPr>
            </w:pPr>
            <w:r>
              <w:rPr>
                <w:sz w:val="19"/>
                <w:szCs w:val="19"/>
                <w:spacing w:val="7"/>
              </w:rPr>
              <w:t>战略规划与实施</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58"/>
              <w:spacing w:before="72" w:line="215" w:lineRule="auto"/>
              <w:rPr>
                <w:sz w:val="19"/>
                <w:szCs w:val="19"/>
              </w:rPr>
            </w:pPr>
            <w:r>
              <w:rPr>
                <w:sz w:val="19"/>
                <w:szCs w:val="19"/>
                <w:spacing w:val="3"/>
              </w:rPr>
              <w:t>日常经济运行调节</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3" w:line="214" w:lineRule="auto"/>
              <w:rPr>
                <w:sz w:val="19"/>
                <w:szCs w:val="19"/>
              </w:rPr>
            </w:pPr>
            <w:r>
              <w:rPr>
                <w:sz w:val="19"/>
                <w:szCs w:val="19"/>
                <w:spacing w:val="9"/>
              </w:rPr>
              <w:t>社会事业发展规划</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8"/>
              <w:spacing w:before="71" w:line="216" w:lineRule="auto"/>
              <w:rPr>
                <w:sz w:val="19"/>
                <w:szCs w:val="19"/>
              </w:rPr>
            </w:pPr>
            <w:r>
              <w:rPr>
                <w:sz w:val="19"/>
                <w:szCs w:val="19"/>
                <w:spacing w:val="8"/>
              </w:rPr>
              <w:t>经济体制改革研究</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9"/>
              <w:spacing w:before="77" w:line="210" w:lineRule="auto"/>
              <w:rPr>
                <w:sz w:val="19"/>
                <w:szCs w:val="19"/>
              </w:rPr>
            </w:pPr>
            <w:r>
              <w:rPr>
                <w:sz w:val="19"/>
                <w:szCs w:val="19"/>
                <w:spacing w:val="8"/>
              </w:rPr>
              <w:t>物价管理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6" w:line="212"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5" w:line="213" w:lineRule="auto"/>
              <w:rPr>
                <w:sz w:val="19"/>
                <w:szCs w:val="19"/>
              </w:rPr>
            </w:pPr>
            <w:r>
              <w:rPr>
                <w:sz w:val="19"/>
                <w:szCs w:val="19"/>
                <w:spacing w:val="9"/>
              </w:rPr>
              <w:t>其他发展与改革事务支出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6"/>
              <w:spacing w:before="73" w:line="215" w:lineRule="auto"/>
              <w:rPr>
                <w:sz w:val="19"/>
                <w:szCs w:val="19"/>
              </w:rPr>
            </w:pPr>
            <w:r>
              <w:rPr>
                <w:sz w:val="19"/>
                <w:szCs w:val="19"/>
                <w:spacing w:val="9"/>
              </w:rPr>
              <w:t>统计信息事务</w:t>
            </w:r>
          </w:p>
        </w:tc>
        <w:tc>
          <w:tcPr>
            <w:tcW w:w="2216" w:type="dxa"/>
            <w:vAlign w:val="top"/>
          </w:tcPr>
          <w:p>
            <w:pPr>
              <w:pStyle w:val="TableText"/>
              <w:ind w:right="8"/>
              <w:spacing w:before="71" w:line="217" w:lineRule="auto"/>
              <w:jc w:val="right"/>
              <w:rPr>
                <w:sz w:val="19"/>
                <w:szCs w:val="19"/>
              </w:rPr>
            </w:pPr>
            <w:r>
              <w:rPr>
                <w:sz w:val="19"/>
                <w:szCs w:val="19"/>
                <w:spacing w:val="1"/>
              </w:rPr>
              <w:t>241</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8" w:line="210" w:lineRule="auto"/>
              <w:rPr>
                <w:sz w:val="19"/>
                <w:szCs w:val="19"/>
              </w:rPr>
            </w:pPr>
            <w:r>
              <w:rPr>
                <w:sz w:val="19"/>
                <w:szCs w:val="19"/>
                <w:spacing w:val="8"/>
              </w:rPr>
              <w:t>行政运行</w:t>
            </w:r>
          </w:p>
        </w:tc>
        <w:tc>
          <w:tcPr>
            <w:tcW w:w="2216" w:type="dxa"/>
            <w:vAlign w:val="top"/>
          </w:tcPr>
          <w:p>
            <w:pPr>
              <w:pStyle w:val="TableText"/>
              <w:ind w:right="8"/>
              <w:spacing w:before="73" w:line="215" w:lineRule="auto"/>
              <w:jc w:val="right"/>
              <w:rPr>
                <w:sz w:val="19"/>
                <w:szCs w:val="19"/>
              </w:rPr>
            </w:pPr>
            <w:r>
              <w:rPr>
                <w:sz w:val="19"/>
                <w:szCs w:val="19"/>
                <w:spacing w:val="1"/>
              </w:rPr>
              <w:t>201</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6" w:line="212" w:lineRule="auto"/>
              <w:rPr>
                <w:sz w:val="19"/>
                <w:szCs w:val="19"/>
              </w:rPr>
            </w:pPr>
            <w:r>
              <w:rPr>
                <w:sz w:val="19"/>
                <w:szCs w:val="19"/>
                <w:spacing w:val="9"/>
              </w:rPr>
              <w:t>一般行政管理事务</w:t>
            </w:r>
          </w:p>
        </w:tc>
        <w:tc>
          <w:tcPr>
            <w:tcW w:w="2216" w:type="dxa"/>
            <w:vAlign w:val="top"/>
          </w:tcPr>
          <w:p>
            <w:pPr>
              <w:pStyle w:val="TableText"/>
              <w:ind w:right="8"/>
              <w:spacing w:before="72" w:line="216" w:lineRule="auto"/>
              <w:jc w:val="right"/>
              <w:rPr>
                <w:sz w:val="19"/>
                <w:szCs w:val="19"/>
              </w:rPr>
            </w:pPr>
            <w:r>
              <w:rPr>
                <w:sz w:val="19"/>
                <w:szCs w:val="19"/>
              </w:rPr>
              <w:t>20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7" w:line="211"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3" w:line="215" w:lineRule="auto"/>
              <w:rPr>
                <w:sz w:val="19"/>
                <w:szCs w:val="19"/>
              </w:rPr>
            </w:pPr>
            <w:r>
              <w:rPr>
                <w:sz w:val="19"/>
                <w:szCs w:val="19"/>
                <w:spacing w:val="8"/>
              </w:rPr>
              <w:t>信息事务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6" w:line="211" w:lineRule="auto"/>
              <w:rPr>
                <w:sz w:val="19"/>
                <w:szCs w:val="19"/>
              </w:rPr>
            </w:pPr>
            <w:r>
              <w:rPr>
                <w:sz w:val="19"/>
                <w:szCs w:val="19"/>
                <w:spacing w:val="9"/>
              </w:rPr>
              <w:t>专项统计业务</w:t>
            </w:r>
          </w:p>
        </w:tc>
        <w:tc>
          <w:tcPr>
            <w:tcW w:w="2216" w:type="dxa"/>
            <w:vAlign w:val="top"/>
          </w:tcPr>
          <w:p>
            <w:pPr>
              <w:pStyle w:val="TableText"/>
              <w:ind w:right="8"/>
              <w:spacing w:before="73" w:line="214" w:lineRule="auto"/>
              <w:jc w:val="right"/>
              <w:rPr>
                <w:sz w:val="19"/>
                <w:szCs w:val="19"/>
              </w:rPr>
            </w:pPr>
            <w:r>
              <w:rPr>
                <w:sz w:val="19"/>
                <w:szCs w:val="19"/>
              </w:rPr>
              <w:t>20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7" w:line="211" w:lineRule="auto"/>
              <w:rPr>
                <w:sz w:val="19"/>
                <w:szCs w:val="19"/>
              </w:rPr>
            </w:pPr>
            <w:r>
              <w:rPr>
                <w:sz w:val="19"/>
                <w:szCs w:val="19"/>
                <w:spacing w:val="8"/>
              </w:rPr>
              <w:t>统计管理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6" w:line="212" w:lineRule="auto"/>
              <w:rPr>
                <w:sz w:val="19"/>
                <w:szCs w:val="19"/>
              </w:rPr>
            </w:pPr>
            <w:r>
              <w:rPr>
                <w:sz w:val="19"/>
                <w:szCs w:val="19"/>
                <w:spacing w:val="9"/>
              </w:rPr>
              <w:t>专项普查活动</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6" w:line="212" w:lineRule="auto"/>
              <w:rPr>
                <w:sz w:val="19"/>
                <w:szCs w:val="19"/>
              </w:rPr>
            </w:pPr>
            <w:r>
              <w:rPr>
                <w:sz w:val="19"/>
                <w:szCs w:val="19"/>
                <w:spacing w:val="9"/>
              </w:rPr>
              <w:t>统计抽样调查</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8" w:line="210"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6" w:line="212" w:lineRule="auto"/>
              <w:rPr>
                <w:sz w:val="19"/>
                <w:szCs w:val="19"/>
              </w:rPr>
            </w:pPr>
            <w:r>
              <w:rPr>
                <w:sz w:val="19"/>
                <w:szCs w:val="19"/>
                <w:spacing w:val="9"/>
              </w:rPr>
              <w:t>其他统计信息事务支出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6"/>
              <w:spacing w:before="77" w:line="211" w:lineRule="auto"/>
              <w:rPr>
                <w:sz w:val="19"/>
                <w:szCs w:val="19"/>
              </w:rPr>
            </w:pPr>
            <w:r>
              <w:rPr>
                <w:sz w:val="19"/>
                <w:szCs w:val="19"/>
                <w:spacing w:val="8"/>
              </w:rPr>
              <w:t>财政事务</w:t>
            </w:r>
          </w:p>
        </w:tc>
        <w:tc>
          <w:tcPr>
            <w:tcW w:w="2216" w:type="dxa"/>
            <w:vAlign w:val="top"/>
          </w:tcPr>
          <w:p>
            <w:pPr>
              <w:pStyle w:val="TableText"/>
              <w:ind w:right="8"/>
              <w:spacing w:before="72" w:line="216" w:lineRule="auto"/>
              <w:jc w:val="right"/>
              <w:rPr>
                <w:sz w:val="19"/>
                <w:szCs w:val="19"/>
              </w:rPr>
            </w:pPr>
            <w:r>
              <w:rPr>
                <w:sz w:val="19"/>
                <w:szCs w:val="19"/>
              </w:rPr>
              <w:t>880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7" w:line="211" w:lineRule="auto"/>
              <w:rPr>
                <w:sz w:val="19"/>
                <w:szCs w:val="19"/>
              </w:rPr>
            </w:pPr>
            <w:r>
              <w:rPr>
                <w:sz w:val="19"/>
                <w:szCs w:val="19"/>
                <w:spacing w:val="8"/>
              </w:rPr>
              <w:t>行政运行</w:t>
            </w:r>
          </w:p>
        </w:tc>
        <w:tc>
          <w:tcPr>
            <w:tcW w:w="2216" w:type="dxa"/>
            <w:vAlign w:val="top"/>
          </w:tcPr>
          <w:p>
            <w:pPr>
              <w:pStyle w:val="TableText"/>
              <w:ind w:right="8"/>
              <w:spacing w:before="72" w:line="216" w:lineRule="auto"/>
              <w:jc w:val="right"/>
              <w:rPr>
                <w:sz w:val="19"/>
                <w:szCs w:val="19"/>
              </w:rPr>
            </w:pPr>
            <w:r>
              <w:rPr>
                <w:sz w:val="19"/>
                <w:szCs w:val="19"/>
              </w:rPr>
              <w:t>806</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8" w:line="210" w:lineRule="auto"/>
              <w:rPr>
                <w:sz w:val="19"/>
                <w:szCs w:val="19"/>
              </w:rPr>
            </w:pPr>
            <w:r>
              <w:rPr>
                <w:sz w:val="19"/>
                <w:szCs w:val="19"/>
                <w:spacing w:val="9"/>
              </w:rPr>
              <w:t>一般行政管理事务</w:t>
            </w:r>
          </w:p>
        </w:tc>
        <w:tc>
          <w:tcPr>
            <w:tcW w:w="2216" w:type="dxa"/>
            <w:vAlign w:val="top"/>
          </w:tcPr>
          <w:p>
            <w:pPr>
              <w:pStyle w:val="TableText"/>
              <w:ind w:right="8"/>
              <w:spacing w:before="74" w:line="214" w:lineRule="auto"/>
              <w:jc w:val="right"/>
              <w:rPr>
                <w:sz w:val="19"/>
                <w:szCs w:val="19"/>
              </w:rPr>
            </w:pPr>
            <w:r>
              <w:rPr>
                <w:sz w:val="19"/>
                <w:szCs w:val="19"/>
                <w:spacing w:val="1"/>
              </w:rPr>
              <w:t>74</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8" w:line="210"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20"/>
              <w:spacing w:before="76" w:line="212" w:lineRule="auto"/>
              <w:rPr>
                <w:sz w:val="19"/>
                <w:szCs w:val="19"/>
              </w:rPr>
            </w:pPr>
            <w:r>
              <w:rPr>
                <w:sz w:val="19"/>
                <w:szCs w:val="19"/>
                <w:spacing w:val="8"/>
              </w:rPr>
              <w:t>预算改革业务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5" w:line="213" w:lineRule="auto"/>
              <w:rPr>
                <w:sz w:val="19"/>
                <w:szCs w:val="19"/>
              </w:rPr>
            </w:pPr>
            <w:r>
              <w:rPr>
                <w:sz w:val="19"/>
                <w:szCs w:val="19"/>
                <w:spacing w:val="9"/>
              </w:rPr>
              <w:t>财政国库业务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78" w:line="209" w:lineRule="auto"/>
              <w:rPr>
                <w:sz w:val="19"/>
                <w:szCs w:val="19"/>
              </w:rPr>
            </w:pPr>
            <w:r>
              <w:rPr>
                <w:sz w:val="19"/>
                <w:szCs w:val="19"/>
                <w:spacing w:val="8"/>
              </w:rPr>
              <w:t>财政监察</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6" w:line="212" w:lineRule="auto"/>
              <w:rPr>
                <w:sz w:val="19"/>
                <w:szCs w:val="19"/>
              </w:rPr>
            </w:pPr>
            <w:r>
              <w:rPr>
                <w:sz w:val="19"/>
                <w:szCs w:val="19"/>
                <w:spacing w:val="8"/>
              </w:rPr>
              <w:t>信息化建设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79" w:line="208" w:lineRule="auto"/>
              <w:rPr>
                <w:sz w:val="19"/>
                <w:szCs w:val="19"/>
              </w:rPr>
            </w:pPr>
            <w:r>
              <w:rPr>
                <w:sz w:val="19"/>
                <w:szCs w:val="19"/>
                <w:spacing w:val="9"/>
              </w:rPr>
              <w:t>财政委托业务支出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8" w:line="210"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9" w:line="208" w:lineRule="auto"/>
              <w:rPr>
                <w:sz w:val="19"/>
                <w:szCs w:val="19"/>
              </w:rPr>
            </w:pPr>
            <w:r>
              <w:rPr>
                <w:sz w:val="19"/>
                <w:szCs w:val="19"/>
                <w:spacing w:val="9"/>
              </w:rPr>
              <w:t>其他财政事务支出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3"/>
              <w:spacing w:before="80" w:line="208" w:lineRule="auto"/>
              <w:rPr>
                <w:sz w:val="19"/>
                <w:szCs w:val="19"/>
              </w:rPr>
            </w:pPr>
            <w:r>
              <w:rPr>
                <w:sz w:val="19"/>
                <w:szCs w:val="19"/>
                <w:spacing w:val="9"/>
              </w:rPr>
              <w:t>税收事务</w:t>
            </w:r>
          </w:p>
        </w:tc>
        <w:tc>
          <w:tcPr>
            <w:tcW w:w="2216" w:type="dxa"/>
            <w:vAlign w:val="top"/>
          </w:tcPr>
          <w:p>
            <w:pPr>
              <w:pStyle w:val="TableText"/>
              <w:ind w:right="8"/>
              <w:spacing w:before="76" w:line="212" w:lineRule="auto"/>
              <w:jc w:val="right"/>
              <w:rPr>
                <w:sz w:val="19"/>
                <w:szCs w:val="19"/>
              </w:rPr>
            </w:pPr>
            <w:r>
              <w:rPr>
                <w:sz w:val="19"/>
                <w:szCs w:val="19"/>
                <w:spacing w:val="1"/>
              </w:rPr>
              <w:t>200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80" w:line="207" w:lineRule="auto"/>
              <w:rPr>
                <w:sz w:val="19"/>
                <w:szCs w:val="19"/>
              </w:rPr>
            </w:pPr>
            <w:r>
              <w:rPr>
                <w:sz w:val="19"/>
                <w:szCs w:val="19"/>
                <w:spacing w:val="8"/>
              </w:rPr>
              <w:t>行政运行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0" w:line="208"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84" w:line="204"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0" w:line="208" w:lineRule="auto"/>
              <w:rPr>
                <w:sz w:val="19"/>
                <w:szCs w:val="19"/>
              </w:rPr>
            </w:pPr>
            <w:r>
              <w:rPr>
                <w:sz w:val="19"/>
                <w:szCs w:val="19"/>
                <w:spacing w:val="8"/>
              </w:rPr>
              <w:t>信息化建设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4"/>
              <w:spacing w:before="85" w:line="203" w:lineRule="auto"/>
              <w:rPr>
                <w:sz w:val="19"/>
                <w:szCs w:val="19"/>
              </w:rPr>
            </w:pPr>
            <w:r>
              <w:rPr>
                <w:sz w:val="19"/>
                <w:szCs w:val="19"/>
                <w:spacing w:val="9"/>
              </w:rPr>
              <w:t>税收业务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2" w:line="206"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84" w:line="204" w:lineRule="auto"/>
              <w:rPr>
                <w:sz w:val="19"/>
                <w:szCs w:val="19"/>
              </w:rPr>
            </w:pPr>
            <w:r>
              <w:rPr>
                <w:sz w:val="19"/>
                <w:szCs w:val="19"/>
                <w:spacing w:val="9"/>
              </w:rPr>
              <w:t>其他税收事务支出</w:t>
            </w:r>
          </w:p>
        </w:tc>
        <w:tc>
          <w:tcPr>
            <w:tcW w:w="2216" w:type="dxa"/>
            <w:vAlign w:val="top"/>
          </w:tcPr>
          <w:p>
            <w:pPr>
              <w:pStyle w:val="TableText"/>
              <w:ind w:right="8"/>
              <w:spacing w:before="79" w:line="208" w:lineRule="auto"/>
              <w:jc w:val="right"/>
              <w:rPr>
                <w:sz w:val="19"/>
                <w:szCs w:val="19"/>
              </w:rPr>
            </w:pPr>
            <w:r>
              <w:rPr>
                <w:sz w:val="19"/>
                <w:szCs w:val="19"/>
                <w:spacing w:val="1"/>
              </w:rPr>
              <w:t>200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20"/>
              <w:spacing w:before="85" w:line="204" w:lineRule="auto"/>
              <w:rPr>
                <w:sz w:val="19"/>
                <w:szCs w:val="19"/>
              </w:rPr>
            </w:pPr>
            <w:r>
              <w:rPr>
                <w:sz w:val="19"/>
                <w:szCs w:val="19"/>
                <w:spacing w:val="7"/>
              </w:rPr>
              <w:t>审计事务</w:t>
            </w:r>
          </w:p>
        </w:tc>
        <w:tc>
          <w:tcPr>
            <w:tcW w:w="2216" w:type="dxa"/>
            <w:vAlign w:val="top"/>
          </w:tcPr>
          <w:p>
            <w:pPr>
              <w:pStyle w:val="TableText"/>
              <w:ind w:right="8"/>
              <w:spacing w:before="80" w:line="208" w:lineRule="auto"/>
              <w:jc w:val="right"/>
              <w:rPr>
                <w:sz w:val="19"/>
                <w:szCs w:val="19"/>
              </w:rPr>
            </w:pPr>
            <w:r>
              <w:rPr>
                <w:sz w:val="19"/>
                <w:szCs w:val="19"/>
                <w:spacing w:val="1"/>
              </w:rPr>
              <w:t>257</w:t>
            </w:r>
          </w:p>
        </w:tc>
        <w:tc>
          <w:tcPr>
            <w:tcW w:w="2013" w:type="dxa"/>
            <w:vAlign w:val="top"/>
            <w:tcBorders>
              <w:right w:val="single" w:color="000000" w:sz="6" w:space="0"/>
            </w:tcBorders>
          </w:tcPr>
          <w:p>
            <w:pPr>
              <w:rPr>
                <w:rFonts w:ascii="Arial"/>
                <w:sz w:val="21"/>
              </w:rPr>
            </w:pPr>
            <w:r/>
          </w:p>
        </w:tc>
      </w:tr>
      <w:tr>
        <w:trPr>
          <w:trHeight w:val="314" w:hRule="atLeast"/>
        </w:trPr>
        <w:tc>
          <w:tcPr>
            <w:tcW w:w="4612" w:type="dxa"/>
            <w:vAlign w:val="top"/>
            <w:tcBorders>
              <w:left w:val="single" w:color="000000" w:sz="6" w:space="0"/>
              <w:bottom w:val="single" w:color="000000" w:sz="6" w:space="0"/>
            </w:tcBorders>
          </w:tcPr>
          <w:p>
            <w:pPr>
              <w:pStyle w:val="TableText"/>
              <w:ind w:left="615"/>
              <w:spacing w:before="85" w:line="212" w:lineRule="auto"/>
              <w:rPr>
                <w:sz w:val="19"/>
                <w:szCs w:val="19"/>
              </w:rPr>
            </w:pPr>
            <w:r>
              <w:rPr>
                <w:sz w:val="19"/>
                <w:szCs w:val="19"/>
                <w:spacing w:val="8"/>
              </w:rPr>
              <w:t>行政运行</w:t>
            </w:r>
          </w:p>
        </w:tc>
        <w:tc>
          <w:tcPr>
            <w:tcW w:w="2216" w:type="dxa"/>
            <w:vAlign w:val="top"/>
            <w:tcBorders>
              <w:bottom w:val="single" w:color="000000" w:sz="6" w:space="0"/>
            </w:tcBorders>
          </w:tcPr>
          <w:p>
            <w:pPr>
              <w:pStyle w:val="TableText"/>
              <w:ind w:right="8"/>
              <w:spacing w:before="79" w:line="218" w:lineRule="auto"/>
              <w:jc w:val="right"/>
              <w:rPr>
                <w:sz w:val="19"/>
                <w:szCs w:val="19"/>
              </w:rPr>
            </w:pPr>
            <w:r>
              <w:rPr>
                <w:sz w:val="19"/>
                <w:szCs w:val="19"/>
                <w:spacing w:val="1"/>
              </w:rPr>
              <w:t>222</w:t>
            </w:r>
          </w:p>
        </w:tc>
        <w:tc>
          <w:tcPr>
            <w:tcW w:w="2013" w:type="dxa"/>
            <w:vAlign w:val="top"/>
            <w:tcBorders>
              <w:bottom w:val="single" w:color="000000" w:sz="6" w:space="0"/>
              <w:right w:val="single" w:color="000000" w:sz="6" w:space="0"/>
            </w:tcBorders>
          </w:tcPr>
          <w:p>
            <w:pPr>
              <w:rPr>
                <w:rFonts w:ascii="Arial"/>
                <w:sz w:val="21"/>
              </w:rPr>
            </w:pPr>
            <w:r/>
          </w:p>
        </w:tc>
      </w:tr>
    </w:tbl>
    <w:p>
      <w:pPr>
        <w:spacing w:line="134" w:lineRule="exact"/>
        <w:rPr>
          <w:rFonts w:ascii="Arial"/>
          <w:sz w:val="11"/>
        </w:rPr>
      </w:pPr>
      <w:r/>
    </w:p>
    <w:p>
      <w:pPr>
        <w:spacing w:line="134" w:lineRule="exact"/>
        <w:sectPr>
          <w:headerReference w:type="default" r:id="rId25"/>
          <w:footerReference w:type="default" r:id="rId26"/>
          <w:pgSz w:w="11907" w:h="16840"/>
          <w:pgMar w:top="1845" w:right="1525" w:bottom="1671" w:left="1525" w:header="1428" w:footer="1277" w:gutter="0"/>
        </w:sectPr>
        <w:rPr>
          <w:rFonts w:ascii="Arial" w:hAnsi="Arial" w:eastAsia="Arial" w:cs="Arial"/>
          <w:sz w:val="11"/>
          <w:szCs w:val="11"/>
        </w:rPr>
      </w:pPr>
    </w:p>
    <w:p>
      <w:pPr>
        <w:spacing w:line="143" w:lineRule="exact"/>
        <w:rPr/>
      </w:pPr>
      <w:r/>
    </w:p>
    <w:tbl>
      <w:tblPr>
        <w:tblStyle w:val="TableNormal"/>
        <w:tblW w:w="8841"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12"/>
        <w:gridCol w:w="2216"/>
        <w:gridCol w:w="2013"/>
      </w:tblGrid>
      <w:tr>
        <w:trPr>
          <w:trHeight w:val="312" w:hRule="atLeast"/>
        </w:trPr>
        <w:tc>
          <w:tcPr>
            <w:tcW w:w="4612" w:type="dxa"/>
            <w:vAlign w:val="top"/>
            <w:tcBorders>
              <w:left w:val="single" w:color="000000" w:sz="6" w:space="0"/>
              <w:top w:val="single" w:color="000000" w:sz="6" w:space="0"/>
            </w:tcBorders>
          </w:tcPr>
          <w:p>
            <w:pPr>
              <w:pStyle w:val="TableText"/>
              <w:ind w:left="2104"/>
              <w:spacing w:before="81" w:line="212" w:lineRule="auto"/>
              <w:rPr>
                <w:sz w:val="19"/>
                <w:szCs w:val="19"/>
              </w:rPr>
            </w:pPr>
            <w:r>
              <w:rPr>
                <w:sz w:val="19"/>
                <w:szCs w:val="19"/>
                <w:b/>
                <w:bCs/>
                <w:spacing w:val="6"/>
              </w:rPr>
              <w:t>项目</w:t>
            </w:r>
          </w:p>
        </w:tc>
        <w:tc>
          <w:tcPr>
            <w:tcW w:w="2216" w:type="dxa"/>
            <w:vAlign w:val="top"/>
            <w:tcBorders>
              <w:top w:val="single" w:color="000000" w:sz="6" w:space="0"/>
            </w:tcBorders>
          </w:tcPr>
          <w:p>
            <w:pPr>
              <w:pStyle w:val="TableText"/>
              <w:ind w:left="813"/>
              <w:spacing w:before="75" w:line="220" w:lineRule="auto"/>
              <w:rPr>
                <w:sz w:val="19"/>
                <w:szCs w:val="19"/>
              </w:rPr>
            </w:pPr>
            <w:r>
              <w:rPr>
                <w:sz w:val="19"/>
                <w:szCs w:val="19"/>
                <w:b/>
                <w:bCs/>
                <w:spacing w:val="5"/>
              </w:rPr>
              <w:t>预算数</w:t>
            </w:r>
          </w:p>
        </w:tc>
        <w:tc>
          <w:tcPr>
            <w:tcW w:w="2013" w:type="dxa"/>
            <w:vAlign w:val="top"/>
            <w:tcBorders>
              <w:right w:val="single" w:color="000000" w:sz="6" w:space="0"/>
              <w:top w:val="single" w:color="000000" w:sz="6" w:space="0"/>
            </w:tcBorders>
          </w:tcPr>
          <w:p>
            <w:pPr>
              <w:pStyle w:val="TableText"/>
              <w:ind w:left="806"/>
              <w:spacing w:before="75" w:line="220" w:lineRule="auto"/>
              <w:rPr>
                <w:sz w:val="19"/>
                <w:szCs w:val="19"/>
              </w:rPr>
            </w:pPr>
            <w:r>
              <w:rPr>
                <w:sz w:val="19"/>
                <w:szCs w:val="19"/>
                <w:b/>
                <w:bCs/>
                <w:spacing w:val="6"/>
              </w:rPr>
              <w:t>备注</w:t>
            </w:r>
          </w:p>
        </w:tc>
      </w:tr>
      <w:tr>
        <w:trPr>
          <w:trHeight w:val="304" w:hRule="atLeast"/>
        </w:trPr>
        <w:tc>
          <w:tcPr>
            <w:tcW w:w="4612" w:type="dxa"/>
            <w:vAlign w:val="top"/>
            <w:tcBorders>
              <w:left w:val="single" w:color="000000" w:sz="6" w:space="0"/>
            </w:tcBorders>
          </w:tcPr>
          <w:p>
            <w:pPr>
              <w:pStyle w:val="TableText"/>
              <w:ind w:left="616"/>
              <w:spacing w:before="71" w:line="216" w:lineRule="auto"/>
              <w:rPr>
                <w:sz w:val="19"/>
                <w:szCs w:val="19"/>
              </w:rPr>
            </w:pPr>
            <w:r>
              <w:rPr>
                <w:sz w:val="19"/>
                <w:szCs w:val="19"/>
                <w:spacing w:val="9"/>
              </w:rPr>
              <w:t>一般行政管理事务</w:t>
            </w:r>
          </w:p>
        </w:tc>
        <w:tc>
          <w:tcPr>
            <w:tcW w:w="2216" w:type="dxa"/>
            <w:vAlign w:val="top"/>
          </w:tcPr>
          <w:p>
            <w:pPr>
              <w:pStyle w:val="TableText"/>
              <w:ind w:right="8"/>
              <w:spacing w:before="67" w:line="220" w:lineRule="auto"/>
              <w:jc w:val="right"/>
              <w:rPr>
                <w:sz w:val="19"/>
                <w:szCs w:val="19"/>
              </w:rPr>
            </w:pPr>
            <w:r>
              <w:rPr>
                <w:sz w:val="19"/>
                <w:szCs w:val="19"/>
                <w:spacing w:val="-1"/>
              </w:rPr>
              <w:t>35</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72" w:line="215"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21"/>
              <w:spacing w:before="72" w:line="215" w:lineRule="auto"/>
              <w:rPr>
                <w:sz w:val="19"/>
                <w:szCs w:val="19"/>
              </w:rPr>
            </w:pPr>
            <w:r>
              <w:rPr>
                <w:sz w:val="19"/>
                <w:szCs w:val="19"/>
                <w:spacing w:val="7"/>
              </w:rPr>
              <w:t>审计业务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21"/>
              <w:spacing w:before="72" w:line="215" w:lineRule="auto"/>
              <w:rPr>
                <w:sz w:val="19"/>
                <w:szCs w:val="19"/>
              </w:rPr>
            </w:pPr>
            <w:r>
              <w:rPr>
                <w:sz w:val="19"/>
                <w:szCs w:val="19"/>
                <w:spacing w:val="7"/>
              </w:rPr>
              <w:t>审计管理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3" w:line="214" w:lineRule="auto"/>
              <w:rPr>
                <w:sz w:val="19"/>
                <w:szCs w:val="19"/>
              </w:rPr>
            </w:pPr>
            <w:r>
              <w:rPr>
                <w:sz w:val="19"/>
                <w:szCs w:val="19"/>
                <w:spacing w:val="8"/>
              </w:rPr>
              <w:t>信息化建设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5" w:line="212"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5" w:line="212" w:lineRule="auto"/>
              <w:rPr>
                <w:sz w:val="19"/>
                <w:szCs w:val="19"/>
              </w:rPr>
            </w:pPr>
            <w:r>
              <w:rPr>
                <w:sz w:val="19"/>
                <w:szCs w:val="19"/>
                <w:spacing w:val="9"/>
              </w:rPr>
              <w:t>其他审计事务支出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5"/>
              <w:spacing w:before="76" w:line="211" w:lineRule="auto"/>
              <w:rPr>
                <w:sz w:val="19"/>
                <w:szCs w:val="19"/>
              </w:rPr>
            </w:pPr>
            <w:r>
              <w:rPr>
                <w:sz w:val="19"/>
                <w:szCs w:val="19"/>
                <w:spacing w:val="8"/>
              </w:rPr>
              <w:t>海关事务</w:t>
            </w:r>
          </w:p>
        </w:tc>
        <w:tc>
          <w:tcPr>
            <w:tcW w:w="2216" w:type="dxa"/>
            <w:vAlign w:val="top"/>
          </w:tcPr>
          <w:p>
            <w:pPr>
              <w:pStyle w:val="TableText"/>
              <w:ind w:right="7"/>
              <w:spacing w:before="72" w:line="215"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0" w:line="208" w:lineRule="auto"/>
              <w:rPr>
                <w:sz w:val="19"/>
                <w:szCs w:val="19"/>
              </w:rPr>
            </w:pPr>
            <w:r>
              <w:rPr>
                <w:sz w:val="19"/>
                <w:szCs w:val="19"/>
                <w:spacing w:val="8"/>
              </w:rPr>
              <w:t>行政运行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8" w:line="210"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9" w:line="209"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7" w:line="211" w:lineRule="auto"/>
              <w:rPr>
                <w:sz w:val="19"/>
                <w:szCs w:val="19"/>
              </w:rPr>
            </w:pPr>
            <w:r>
              <w:rPr>
                <w:sz w:val="19"/>
                <w:szCs w:val="19"/>
                <w:spacing w:val="8"/>
              </w:rPr>
              <w:t>缉私办案</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49"/>
              <w:spacing w:before="80" w:line="208" w:lineRule="auto"/>
              <w:rPr>
                <w:sz w:val="19"/>
                <w:szCs w:val="19"/>
              </w:rPr>
            </w:pPr>
            <w:r>
              <w:rPr>
                <w:sz w:val="19"/>
                <w:szCs w:val="19"/>
              </w:rPr>
              <w:t>口岸管理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6" w:line="212" w:lineRule="auto"/>
              <w:rPr>
                <w:sz w:val="19"/>
                <w:szCs w:val="19"/>
              </w:rPr>
            </w:pPr>
            <w:r>
              <w:rPr>
                <w:sz w:val="19"/>
                <w:szCs w:val="19"/>
                <w:spacing w:val="8"/>
              </w:rPr>
              <w:t>信息化建设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9" w:line="208" w:lineRule="auto"/>
              <w:rPr>
                <w:sz w:val="19"/>
                <w:szCs w:val="19"/>
              </w:rPr>
            </w:pPr>
            <w:r>
              <w:rPr>
                <w:sz w:val="19"/>
                <w:szCs w:val="19"/>
                <w:spacing w:val="8"/>
              </w:rPr>
              <w:t>海关关务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4"/>
              <w:spacing w:before="79" w:line="209" w:lineRule="auto"/>
              <w:rPr>
                <w:sz w:val="19"/>
                <w:szCs w:val="19"/>
              </w:rPr>
            </w:pPr>
            <w:r>
              <w:rPr>
                <w:sz w:val="19"/>
                <w:szCs w:val="19"/>
                <w:spacing w:val="9"/>
              </w:rPr>
              <w:t>关税征管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81" w:line="206" w:lineRule="auto"/>
              <w:rPr>
                <w:sz w:val="19"/>
                <w:szCs w:val="19"/>
              </w:rPr>
            </w:pPr>
            <w:r>
              <w:rPr>
                <w:sz w:val="19"/>
                <w:szCs w:val="19"/>
                <w:spacing w:val="8"/>
              </w:rPr>
              <w:t>海关监管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1" w:line="207" w:lineRule="auto"/>
              <w:rPr>
                <w:sz w:val="19"/>
                <w:szCs w:val="19"/>
              </w:rPr>
            </w:pPr>
            <w:r>
              <w:rPr>
                <w:sz w:val="19"/>
                <w:szCs w:val="19"/>
                <w:spacing w:val="8"/>
              </w:rPr>
              <w:t>检验检疫</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80" w:line="207"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9" w:line="209" w:lineRule="auto"/>
              <w:rPr>
                <w:sz w:val="19"/>
                <w:szCs w:val="19"/>
              </w:rPr>
            </w:pPr>
            <w:r>
              <w:rPr>
                <w:sz w:val="19"/>
                <w:szCs w:val="19"/>
                <w:spacing w:val="9"/>
              </w:rPr>
              <w:t>其他海关事务支出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8"/>
              <w:spacing w:before="83" w:line="205" w:lineRule="auto"/>
              <w:rPr>
                <w:sz w:val="19"/>
                <w:szCs w:val="19"/>
              </w:rPr>
            </w:pPr>
            <w:r>
              <w:rPr>
                <w:sz w:val="19"/>
                <w:szCs w:val="19"/>
                <w:spacing w:val="8"/>
              </w:rPr>
              <w:t>纪检监察事务</w:t>
            </w:r>
          </w:p>
        </w:tc>
        <w:tc>
          <w:tcPr>
            <w:tcW w:w="2216" w:type="dxa"/>
            <w:vAlign w:val="top"/>
          </w:tcPr>
          <w:p>
            <w:pPr>
              <w:pStyle w:val="TableText"/>
              <w:ind w:right="8"/>
              <w:spacing w:before="77" w:line="210" w:lineRule="auto"/>
              <w:jc w:val="right"/>
              <w:rPr>
                <w:sz w:val="19"/>
                <w:szCs w:val="19"/>
              </w:rPr>
            </w:pPr>
            <w:r>
              <w:rPr>
                <w:sz w:val="19"/>
                <w:szCs w:val="19"/>
                <w:spacing w:val="-2"/>
              </w:rPr>
              <w:t>1455</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4" w:line="205" w:lineRule="auto"/>
              <w:rPr>
                <w:sz w:val="19"/>
                <w:szCs w:val="19"/>
              </w:rPr>
            </w:pPr>
            <w:r>
              <w:rPr>
                <w:sz w:val="19"/>
                <w:szCs w:val="19"/>
                <w:spacing w:val="8"/>
              </w:rPr>
              <w:t>行政运行</w:t>
            </w:r>
          </w:p>
        </w:tc>
        <w:tc>
          <w:tcPr>
            <w:tcW w:w="2216" w:type="dxa"/>
            <w:vAlign w:val="top"/>
          </w:tcPr>
          <w:p>
            <w:pPr>
              <w:pStyle w:val="TableText"/>
              <w:ind w:right="8"/>
              <w:spacing w:before="78" w:line="210" w:lineRule="auto"/>
              <w:jc w:val="right"/>
              <w:rPr>
                <w:sz w:val="19"/>
                <w:szCs w:val="19"/>
              </w:rPr>
            </w:pPr>
            <w:r>
              <w:rPr>
                <w:sz w:val="19"/>
                <w:szCs w:val="19"/>
                <w:spacing w:val="-2"/>
              </w:rPr>
              <w:t>1343</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83" w:line="205" w:lineRule="auto"/>
              <w:rPr>
                <w:sz w:val="19"/>
                <w:szCs w:val="19"/>
              </w:rPr>
            </w:pPr>
            <w:r>
              <w:rPr>
                <w:sz w:val="19"/>
                <w:szCs w:val="19"/>
                <w:spacing w:val="9"/>
              </w:rPr>
              <w:t>一般行政管理事务</w:t>
            </w:r>
          </w:p>
        </w:tc>
        <w:tc>
          <w:tcPr>
            <w:tcW w:w="2216" w:type="dxa"/>
            <w:vAlign w:val="top"/>
          </w:tcPr>
          <w:p>
            <w:pPr>
              <w:pStyle w:val="TableText"/>
              <w:ind w:right="8"/>
              <w:spacing w:before="77" w:line="210" w:lineRule="auto"/>
              <w:jc w:val="right"/>
              <w:rPr>
                <w:sz w:val="19"/>
                <w:szCs w:val="19"/>
              </w:rPr>
            </w:pPr>
            <w:r>
              <w:rPr>
                <w:sz w:val="19"/>
                <w:szCs w:val="19"/>
                <w:spacing w:val="-4"/>
              </w:rPr>
              <w:t>112</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4" w:line="205"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20"/>
              <w:spacing w:before="85" w:line="203" w:lineRule="auto"/>
              <w:rPr>
                <w:sz w:val="19"/>
                <w:szCs w:val="19"/>
              </w:rPr>
            </w:pPr>
            <w:r>
              <w:rPr>
                <w:sz w:val="19"/>
                <w:szCs w:val="19"/>
                <w:spacing w:val="8"/>
              </w:rPr>
              <w:t>大案要案查处</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9"/>
              <w:spacing w:before="86" w:line="203" w:lineRule="auto"/>
              <w:rPr>
                <w:sz w:val="19"/>
                <w:szCs w:val="19"/>
              </w:rPr>
            </w:pPr>
            <w:r>
              <w:rPr>
                <w:sz w:val="19"/>
                <w:szCs w:val="19"/>
                <w:spacing w:val="8"/>
              </w:rPr>
              <w:t>派驻派出机构</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5" w:line="204" w:lineRule="auto"/>
              <w:rPr>
                <w:sz w:val="19"/>
                <w:szCs w:val="19"/>
              </w:rPr>
            </w:pPr>
            <w:r>
              <w:rPr>
                <w:sz w:val="19"/>
                <w:szCs w:val="19"/>
                <w:spacing w:val="8"/>
              </w:rPr>
              <w:t>巡视工作</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4" w:line="205"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5" w:line="204" w:lineRule="auto"/>
              <w:rPr>
                <w:sz w:val="19"/>
                <w:szCs w:val="19"/>
              </w:rPr>
            </w:pPr>
            <w:r>
              <w:rPr>
                <w:sz w:val="19"/>
                <w:szCs w:val="19"/>
                <w:spacing w:val="9"/>
              </w:rPr>
              <w:t>其他纪检监察事务支出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6"/>
              <w:spacing w:before="84" w:line="205" w:lineRule="auto"/>
              <w:rPr>
                <w:sz w:val="19"/>
                <w:szCs w:val="19"/>
              </w:rPr>
            </w:pPr>
            <w:r>
              <w:rPr>
                <w:sz w:val="19"/>
                <w:szCs w:val="19"/>
                <w:spacing w:val="8"/>
              </w:rPr>
              <w:t>商贸事务</w:t>
            </w:r>
          </w:p>
        </w:tc>
        <w:tc>
          <w:tcPr>
            <w:tcW w:w="2216" w:type="dxa"/>
            <w:vAlign w:val="top"/>
          </w:tcPr>
          <w:p>
            <w:pPr>
              <w:pStyle w:val="TableText"/>
              <w:ind w:right="8"/>
              <w:spacing w:before="80" w:line="208" w:lineRule="auto"/>
              <w:jc w:val="right"/>
              <w:rPr>
                <w:sz w:val="19"/>
                <w:szCs w:val="19"/>
              </w:rPr>
            </w:pPr>
            <w:r>
              <w:rPr>
                <w:sz w:val="19"/>
                <w:szCs w:val="19"/>
                <w:spacing w:val="1"/>
              </w:rPr>
              <w:t>512</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5" w:line="204" w:lineRule="auto"/>
              <w:rPr>
                <w:sz w:val="19"/>
                <w:szCs w:val="19"/>
              </w:rPr>
            </w:pPr>
            <w:r>
              <w:rPr>
                <w:sz w:val="19"/>
                <w:szCs w:val="19"/>
                <w:spacing w:val="8"/>
              </w:rPr>
              <w:t>行政运行</w:t>
            </w:r>
          </w:p>
        </w:tc>
        <w:tc>
          <w:tcPr>
            <w:tcW w:w="2216" w:type="dxa"/>
            <w:vAlign w:val="top"/>
          </w:tcPr>
          <w:p>
            <w:pPr>
              <w:pStyle w:val="TableText"/>
              <w:ind w:right="8"/>
              <w:spacing w:before="79" w:line="209" w:lineRule="auto"/>
              <w:jc w:val="right"/>
              <w:rPr>
                <w:sz w:val="19"/>
                <w:szCs w:val="19"/>
              </w:rPr>
            </w:pPr>
            <w:r>
              <w:rPr>
                <w:sz w:val="19"/>
                <w:szCs w:val="19"/>
                <w:spacing w:val="2"/>
              </w:rPr>
              <w:t>402</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4" w:line="205" w:lineRule="auto"/>
              <w:rPr>
                <w:sz w:val="19"/>
                <w:szCs w:val="19"/>
              </w:rPr>
            </w:pPr>
            <w:r>
              <w:rPr>
                <w:sz w:val="19"/>
                <w:szCs w:val="19"/>
                <w:spacing w:val="9"/>
              </w:rPr>
              <w:t>一般行政管理事务</w:t>
            </w:r>
          </w:p>
        </w:tc>
        <w:tc>
          <w:tcPr>
            <w:tcW w:w="2216" w:type="dxa"/>
            <w:vAlign w:val="top"/>
          </w:tcPr>
          <w:p>
            <w:pPr>
              <w:pStyle w:val="TableText"/>
              <w:ind w:right="8"/>
              <w:spacing w:before="79" w:line="209" w:lineRule="auto"/>
              <w:jc w:val="right"/>
              <w:rPr>
                <w:sz w:val="19"/>
                <w:szCs w:val="19"/>
              </w:rPr>
            </w:pPr>
            <w:r>
              <w:rPr>
                <w:sz w:val="19"/>
                <w:szCs w:val="19"/>
                <w:spacing w:val="-4"/>
              </w:rPr>
              <w:t>110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7" w:line="202"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6" w:line="203" w:lineRule="auto"/>
              <w:rPr>
                <w:sz w:val="19"/>
                <w:szCs w:val="19"/>
              </w:rPr>
            </w:pPr>
            <w:r>
              <w:rPr>
                <w:sz w:val="19"/>
                <w:szCs w:val="19"/>
                <w:spacing w:val="9"/>
              </w:rPr>
              <w:t>对外贸易管理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36"/>
              <w:spacing w:before="84" w:line="205" w:lineRule="auto"/>
              <w:rPr>
                <w:sz w:val="19"/>
                <w:szCs w:val="19"/>
              </w:rPr>
            </w:pPr>
            <w:r>
              <w:rPr>
                <w:sz w:val="19"/>
                <w:szCs w:val="19"/>
                <w:spacing w:val="5"/>
              </w:rPr>
              <w:t>国际经济合作</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2" w:line="206" w:lineRule="auto"/>
              <w:rPr>
                <w:sz w:val="19"/>
                <w:szCs w:val="19"/>
              </w:rPr>
            </w:pPr>
            <w:r>
              <w:rPr>
                <w:sz w:val="19"/>
                <w:szCs w:val="19"/>
                <w:spacing w:val="8"/>
              </w:rPr>
              <w:t>外资管理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36"/>
              <w:spacing w:before="87" w:line="202" w:lineRule="auto"/>
              <w:rPr>
                <w:sz w:val="19"/>
                <w:szCs w:val="19"/>
              </w:rPr>
            </w:pPr>
            <w:r>
              <w:rPr>
                <w:sz w:val="19"/>
                <w:szCs w:val="19"/>
                <w:spacing w:val="5"/>
              </w:rPr>
              <w:t>国内贸易管理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4" w:line="205" w:lineRule="auto"/>
              <w:rPr>
                <w:sz w:val="19"/>
                <w:szCs w:val="19"/>
              </w:rPr>
            </w:pPr>
            <w:r>
              <w:rPr>
                <w:sz w:val="19"/>
                <w:szCs w:val="19"/>
                <w:spacing w:val="8"/>
              </w:rPr>
              <w:t>招商引资</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5" w:line="204"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14" w:hRule="atLeast"/>
        </w:trPr>
        <w:tc>
          <w:tcPr>
            <w:tcW w:w="4612" w:type="dxa"/>
            <w:vAlign w:val="top"/>
            <w:tcBorders>
              <w:left w:val="single" w:color="000000" w:sz="6" w:space="0"/>
              <w:bottom w:val="single" w:color="000000" w:sz="6" w:space="0"/>
            </w:tcBorders>
          </w:tcPr>
          <w:p>
            <w:pPr>
              <w:pStyle w:val="TableText"/>
              <w:ind w:left="615"/>
              <w:spacing w:before="82" w:line="215" w:lineRule="auto"/>
              <w:rPr>
                <w:sz w:val="19"/>
                <w:szCs w:val="19"/>
              </w:rPr>
            </w:pPr>
            <w:r>
              <w:rPr>
                <w:sz w:val="19"/>
                <w:szCs w:val="19"/>
                <w:spacing w:val="9"/>
              </w:rPr>
              <w:t>其他商贸事务支出</w:t>
            </w:r>
          </w:p>
        </w:tc>
        <w:tc>
          <w:tcPr>
            <w:tcW w:w="2216" w:type="dxa"/>
            <w:vAlign w:val="top"/>
            <w:tcBorders>
              <w:bottom w:val="single" w:color="000000" w:sz="6" w:space="0"/>
            </w:tcBorders>
          </w:tcPr>
          <w:p>
            <w:pPr>
              <w:rPr>
                <w:rFonts w:ascii="Arial"/>
                <w:sz w:val="21"/>
              </w:rPr>
            </w:pPr>
            <w:r/>
          </w:p>
        </w:tc>
        <w:tc>
          <w:tcPr>
            <w:tcW w:w="2013"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23"/>
          <w:footerReference w:type="default" r:id="rId27"/>
          <w:pgSz w:w="11907" w:h="16840"/>
          <w:pgMar w:top="1801" w:right="1525" w:bottom="1660" w:left="1525" w:header="1428" w:footer="1289" w:gutter="0"/>
        </w:sectPr>
        <w:rPr>
          <w:rFonts w:ascii="Arial" w:hAnsi="Arial" w:eastAsia="Arial" w:cs="Arial"/>
          <w:sz w:val="21"/>
          <w:szCs w:val="21"/>
        </w:rPr>
      </w:pPr>
    </w:p>
    <w:p>
      <w:pPr>
        <w:spacing w:line="240" w:lineRule="exact"/>
        <w:rPr/>
      </w:pPr>
      <w:r/>
    </w:p>
    <w:tbl>
      <w:tblPr>
        <w:tblStyle w:val="TableNormal"/>
        <w:tblW w:w="8841"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12"/>
        <w:gridCol w:w="2216"/>
        <w:gridCol w:w="2013"/>
      </w:tblGrid>
      <w:tr>
        <w:trPr>
          <w:trHeight w:val="312" w:hRule="atLeast"/>
        </w:trPr>
        <w:tc>
          <w:tcPr>
            <w:tcW w:w="4612" w:type="dxa"/>
            <w:vAlign w:val="top"/>
            <w:tcBorders>
              <w:left w:val="single" w:color="000000" w:sz="6" w:space="0"/>
              <w:top w:val="single" w:color="000000" w:sz="6" w:space="0"/>
            </w:tcBorders>
          </w:tcPr>
          <w:p>
            <w:pPr>
              <w:pStyle w:val="TableText"/>
              <w:ind w:left="2104"/>
              <w:spacing w:before="81" w:line="212" w:lineRule="auto"/>
              <w:rPr>
                <w:sz w:val="19"/>
                <w:szCs w:val="19"/>
              </w:rPr>
            </w:pPr>
            <w:r>
              <w:rPr>
                <w:sz w:val="19"/>
                <w:szCs w:val="19"/>
                <w:b/>
                <w:bCs/>
                <w:spacing w:val="6"/>
              </w:rPr>
              <w:t>项目</w:t>
            </w:r>
          </w:p>
        </w:tc>
        <w:tc>
          <w:tcPr>
            <w:tcW w:w="2216" w:type="dxa"/>
            <w:vAlign w:val="top"/>
            <w:tcBorders>
              <w:top w:val="single" w:color="000000" w:sz="6" w:space="0"/>
            </w:tcBorders>
          </w:tcPr>
          <w:p>
            <w:pPr>
              <w:pStyle w:val="TableText"/>
              <w:ind w:left="813"/>
              <w:spacing w:before="76" w:line="219" w:lineRule="auto"/>
              <w:rPr>
                <w:sz w:val="19"/>
                <w:szCs w:val="19"/>
              </w:rPr>
            </w:pPr>
            <w:r>
              <w:rPr>
                <w:sz w:val="19"/>
                <w:szCs w:val="19"/>
                <w:b/>
                <w:bCs/>
                <w:spacing w:val="5"/>
              </w:rPr>
              <w:t>预算数</w:t>
            </w:r>
          </w:p>
        </w:tc>
        <w:tc>
          <w:tcPr>
            <w:tcW w:w="2013" w:type="dxa"/>
            <w:vAlign w:val="top"/>
            <w:tcBorders>
              <w:right w:val="single" w:color="000000" w:sz="6" w:space="0"/>
              <w:top w:val="single" w:color="000000" w:sz="6" w:space="0"/>
            </w:tcBorders>
          </w:tcPr>
          <w:p>
            <w:pPr>
              <w:pStyle w:val="TableText"/>
              <w:ind w:left="806"/>
              <w:spacing w:before="76" w:line="219" w:lineRule="auto"/>
              <w:rPr>
                <w:sz w:val="19"/>
                <w:szCs w:val="19"/>
              </w:rPr>
            </w:pPr>
            <w:r>
              <w:rPr>
                <w:sz w:val="19"/>
                <w:szCs w:val="19"/>
                <w:b/>
                <w:bCs/>
                <w:spacing w:val="6"/>
              </w:rPr>
              <w:t>备注</w:t>
            </w:r>
          </w:p>
        </w:tc>
      </w:tr>
      <w:tr>
        <w:trPr>
          <w:trHeight w:val="304" w:hRule="atLeast"/>
        </w:trPr>
        <w:tc>
          <w:tcPr>
            <w:tcW w:w="4612" w:type="dxa"/>
            <w:vAlign w:val="top"/>
            <w:tcBorders>
              <w:left w:val="single" w:color="000000" w:sz="6" w:space="0"/>
            </w:tcBorders>
          </w:tcPr>
          <w:p>
            <w:pPr>
              <w:pStyle w:val="TableText"/>
              <w:ind w:left="417"/>
              <w:spacing w:before="69" w:line="218" w:lineRule="auto"/>
              <w:rPr>
                <w:sz w:val="19"/>
                <w:szCs w:val="19"/>
              </w:rPr>
            </w:pPr>
            <w:r>
              <w:rPr>
                <w:sz w:val="19"/>
                <w:szCs w:val="19"/>
                <w:spacing w:val="8"/>
              </w:rPr>
              <w:t>知识产权事务</w:t>
            </w:r>
          </w:p>
        </w:tc>
        <w:tc>
          <w:tcPr>
            <w:tcW w:w="2216" w:type="dxa"/>
            <w:vAlign w:val="top"/>
          </w:tcPr>
          <w:p>
            <w:pPr>
              <w:pStyle w:val="TableText"/>
              <w:ind w:right="7"/>
              <w:spacing w:before="65" w:line="222"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3" w:line="214" w:lineRule="auto"/>
              <w:rPr>
                <w:sz w:val="19"/>
                <w:szCs w:val="19"/>
              </w:rPr>
            </w:pPr>
            <w:r>
              <w:rPr>
                <w:sz w:val="19"/>
                <w:szCs w:val="19"/>
                <w:spacing w:val="8"/>
              </w:rPr>
              <w:t>行政运行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2" w:line="215"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74" w:line="213"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2" w:line="215" w:lineRule="auto"/>
              <w:rPr>
                <w:sz w:val="19"/>
                <w:szCs w:val="19"/>
              </w:rPr>
            </w:pPr>
            <w:r>
              <w:rPr>
                <w:sz w:val="19"/>
                <w:szCs w:val="19"/>
                <w:spacing w:val="8"/>
              </w:rPr>
              <w:t>专利审批</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9"/>
              <w:spacing w:before="76" w:line="211" w:lineRule="auto"/>
              <w:rPr>
                <w:sz w:val="19"/>
                <w:szCs w:val="19"/>
              </w:rPr>
            </w:pPr>
            <w:r>
              <w:rPr>
                <w:sz w:val="19"/>
                <w:szCs w:val="19"/>
                <w:spacing w:val="9"/>
              </w:rPr>
              <w:t>知识产权战略和规划</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36"/>
              <w:spacing w:before="75" w:line="213" w:lineRule="auto"/>
              <w:rPr>
                <w:sz w:val="19"/>
                <w:szCs w:val="19"/>
              </w:rPr>
            </w:pPr>
            <w:r>
              <w:rPr>
                <w:sz w:val="19"/>
                <w:szCs w:val="19"/>
                <w:spacing w:val="6"/>
              </w:rPr>
              <w:t>国际合作与交流</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9"/>
              <w:spacing w:before="76" w:line="212" w:lineRule="auto"/>
              <w:rPr>
                <w:sz w:val="19"/>
                <w:szCs w:val="19"/>
              </w:rPr>
            </w:pPr>
            <w:r>
              <w:rPr>
                <w:sz w:val="19"/>
                <w:szCs w:val="19"/>
                <w:spacing w:val="8"/>
              </w:rPr>
              <w:t>知识产权宏观管理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4" w:line="214" w:lineRule="auto"/>
              <w:rPr>
                <w:sz w:val="19"/>
                <w:szCs w:val="19"/>
              </w:rPr>
            </w:pPr>
            <w:r>
              <w:rPr>
                <w:sz w:val="19"/>
                <w:szCs w:val="19"/>
                <w:spacing w:val="8"/>
              </w:rPr>
              <w:t>商标管理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7" w:line="211" w:lineRule="auto"/>
              <w:rPr>
                <w:sz w:val="19"/>
                <w:szCs w:val="19"/>
              </w:rPr>
            </w:pPr>
            <w:r>
              <w:rPr>
                <w:sz w:val="19"/>
                <w:szCs w:val="19"/>
                <w:spacing w:val="9"/>
              </w:rPr>
              <w:t>原产地地理标志管理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6" w:line="212"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5" w:line="213" w:lineRule="auto"/>
              <w:rPr>
                <w:sz w:val="19"/>
                <w:szCs w:val="19"/>
              </w:rPr>
            </w:pPr>
            <w:r>
              <w:rPr>
                <w:sz w:val="19"/>
                <w:szCs w:val="19"/>
                <w:spacing w:val="9"/>
              </w:rPr>
              <w:t>其他知识产权事务支出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32"/>
              <w:spacing w:before="74" w:line="214" w:lineRule="auto"/>
              <w:rPr>
                <w:sz w:val="19"/>
                <w:szCs w:val="19"/>
              </w:rPr>
            </w:pPr>
            <w:r>
              <w:rPr>
                <w:sz w:val="19"/>
                <w:szCs w:val="19"/>
                <w:spacing w:val="4"/>
              </w:rPr>
              <w:t>民族事务</w:t>
            </w:r>
          </w:p>
        </w:tc>
        <w:tc>
          <w:tcPr>
            <w:tcW w:w="2216" w:type="dxa"/>
            <w:vAlign w:val="top"/>
          </w:tcPr>
          <w:p>
            <w:pPr>
              <w:pStyle w:val="TableText"/>
              <w:ind w:right="4"/>
              <w:spacing w:before="71" w:line="217" w:lineRule="auto"/>
              <w:jc w:val="right"/>
              <w:rPr>
                <w:sz w:val="19"/>
                <w:szCs w:val="19"/>
              </w:rPr>
            </w:pPr>
            <w:r>
              <w:rPr>
                <w:sz w:val="19"/>
                <w:szCs w:val="19"/>
              </w:rPr>
              <w:t>8</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8" w:line="209" w:lineRule="auto"/>
              <w:rPr>
                <w:sz w:val="19"/>
                <w:szCs w:val="19"/>
              </w:rPr>
            </w:pPr>
            <w:r>
              <w:rPr>
                <w:sz w:val="19"/>
                <w:szCs w:val="19"/>
                <w:spacing w:val="8"/>
              </w:rPr>
              <w:t>行政运行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7" w:line="211"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8" w:line="210"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34"/>
              <w:spacing w:before="75" w:line="213" w:lineRule="auto"/>
              <w:rPr>
                <w:sz w:val="19"/>
                <w:szCs w:val="19"/>
              </w:rPr>
            </w:pPr>
            <w:r>
              <w:rPr>
                <w:sz w:val="19"/>
                <w:szCs w:val="19"/>
                <w:spacing w:val="6"/>
              </w:rPr>
              <w:t>民族工作专项</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8" w:line="210"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6" w:line="212" w:lineRule="auto"/>
              <w:rPr>
                <w:sz w:val="19"/>
                <w:szCs w:val="19"/>
              </w:rPr>
            </w:pPr>
            <w:r>
              <w:rPr>
                <w:sz w:val="19"/>
                <w:szCs w:val="19"/>
                <w:spacing w:val="9"/>
              </w:rPr>
              <w:t>其他民族事务支出</w:t>
            </w:r>
          </w:p>
        </w:tc>
        <w:tc>
          <w:tcPr>
            <w:tcW w:w="2216" w:type="dxa"/>
            <w:vAlign w:val="top"/>
          </w:tcPr>
          <w:p>
            <w:pPr>
              <w:pStyle w:val="TableText"/>
              <w:ind w:right="4"/>
              <w:spacing w:before="73" w:line="215" w:lineRule="auto"/>
              <w:jc w:val="right"/>
              <w:rPr>
                <w:sz w:val="19"/>
                <w:szCs w:val="19"/>
              </w:rPr>
            </w:pPr>
            <w:r>
              <w:rPr>
                <w:sz w:val="19"/>
                <w:szCs w:val="19"/>
              </w:rPr>
              <w:t>8</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5"/>
              <w:spacing w:before="76" w:line="212" w:lineRule="auto"/>
              <w:rPr>
                <w:sz w:val="19"/>
                <w:szCs w:val="19"/>
              </w:rPr>
            </w:pPr>
            <w:r>
              <w:rPr>
                <w:sz w:val="19"/>
                <w:szCs w:val="19"/>
                <w:spacing w:val="8"/>
              </w:rPr>
              <w:t>港澳台事务</w:t>
            </w:r>
          </w:p>
        </w:tc>
        <w:tc>
          <w:tcPr>
            <w:tcW w:w="2216" w:type="dxa"/>
            <w:vAlign w:val="top"/>
          </w:tcPr>
          <w:p>
            <w:pPr>
              <w:pStyle w:val="TableText"/>
              <w:ind w:right="7"/>
              <w:spacing w:before="72" w:line="216"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7" w:line="211" w:lineRule="auto"/>
              <w:rPr>
                <w:sz w:val="19"/>
                <w:szCs w:val="19"/>
              </w:rPr>
            </w:pPr>
            <w:r>
              <w:rPr>
                <w:sz w:val="19"/>
                <w:szCs w:val="19"/>
                <w:spacing w:val="8"/>
              </w:rPr>
              <w:t>行政运行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8" w:line="210"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8" w:line="210"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7" w:line="211" w:lineRule="auto"/>
              <w:rPr>
                <w:sz w:val="19"/>
                <w:szCs w:val="19"/>
              </w:rPr>
            </w:pPr>
            <w:r>
              <w:rPr>
                <w:sz w:val="19"/>
                <w:szCs w:val="19"/>
                <w:spacing w:val="8"/>
              </w:rPr>
              <w:t>港澳事务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31"/>
              <w:spacing w:before="75" w:line="213" w:lineRule="auto"/>
              <w:rPr>
                <w:sz w:val="19"/>
                <w:szCs w:val="19"/>
              </w:rPr>
            </w:pPr>
            <w:r>
              <w:rPr>
                <w:sz w:val="19"/>
                <w:szCs w:val="19"/>
                <w:spacing w:val="4"/>
              </w:rPr>
              <w:t>台湾事务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8" w:line="209"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7" w:line="211" w:lineRule="auto"/>
              <w:rPr>
                <w:sz w:val="19"/>
                <w:szCs w:val="19"/>
              </w:rPr>
            </w:pPr>
            <w:r>
              <w:rPr>
                <w:sz w:val="19"/>
                <w:szCs w:val="19"/>
                <w:spacing w:val="9"/>
              </w:rPr>
              <w:t>其他港澳台事务支出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6"/>
              <w:spacing w:before="78" w:line="209" w:lineRule="auto"/>
              <w:rPr>
                <w:sz w:val="19"/>
                <w:szCs w:val="19"/>
              </w:rPr>
            </w:pPr>
            <w:r>
              <w:rPr>
                <w:sz w:val="19"/>
                <w:szCs w:val="19"/>
                <w:spacing w:val="8"/>
              </w:rPr>
              <w:t>档案事务</w:t>
            </w:r>
          </w:p>
        </w:tc>
        <w:tc>
          <w:tcPr>
            <w:tcW w:w="2216" w:type="dxa"/>
            <w:vAlign w:val="top"/>
          </w:tcPr>
          <w:p>
            <w:pPr>
              <w:pStyle w:val="TableText"/>
              <w:ind w:right="8"/>
              <w:spacing w:before="73" w:line="214" w:lineRule="auto"/>
              <w:jc w:val="right"/>
              <w:rPr>
                <w:sz w:val="19"/>
                <w:szCs w:val="19"/>
              </w:rPr>
            </w:pPr>
            <w:r>
              <w:rPr>
                <w:sz w:val="19"/>
                <w:szCs w:val="19"/>
                <w:spacing w:val="1"/>
              </w:rPr>
              <w:t>227</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9" w:line="209" w:lineRule="auto"/>
              <w:rPr>
                <w:sz w:val="19"/>
                <w:szCs w:val="19"/>
              </w:rPr>
            </w:pPr>
            <w:r>
              <w:rPr>
                <w:sz w:val="19"/>
                <w:szCs w:val="19"/>
                <w:spacing w:val="8"/>
              </w:rPr>
              <w:t>行政运行</w:t>
            </w:r>
          </w:p>
        </w:tc>
        <w:tc>
          <w:tcPr>
            <w:tcW w:w="2216" w:type="dxa"/>
            <w:vAlign w:val="top"/>
          </w:tcPr>
          <w:p>
            <w:pPr>
              <w:pStyle w:val="TableText"/>
              <w:ind w:right="8"/>
              <w:spacing w:before="74" w:line="214" w:lineRule="auto"/>
              <w:jc w:val="right"/>
              <w:rPr>
                <w:sz w:val="19"/>
                <w:szCs w:val="19"/>
              </w:rPr>
            </w:pPr>
            <w:r>
              <w:rPr>
                <w:sz w:val="19"/>
                <w:szCs w:val="19"/>
                <w:spacing w:val="1"/>
              </w:rPr>
              <w:t>227</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80" w:line="207"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1" w:line="207"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80" w:line="207" w:lineRule="auto"/>
              <w:rPr>
                <w:sz w:val="19"/>
                <w:szCs w:val="19"/>
              </w:rPr>
            </w:pPr>
            <w:r>
              <w:rPr>
                <w:sz w:val="19"/>
                <w:szCs w:val="19"/>
                <w:spacing w:val="8"/>
              </w:rPr>
              <w:t>档案馆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9" w:line="209" w:lineRule="auto"/>
              <w:rPr>
                <w:sz w:val="19"/>
                <w:szCs w:val="19"/>
              </w:rPr>
            </w:pPr>
            <w:r>
              <w:rPr>
                <w:sz w:val="19"/>
                <w:szCs w:val="19"/>
                <w:spacing w:val="9"/>
              </w:rPr>
              <w:t>其他档案事务支出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32"/>
              <w:spacing w:before="81" w:line="206" w:lineRule="auto"/>
              <w:rPr>
                <w:sz w:val="19"/>
                <w:szCs w:val="19"/>
              </w:rPr>
            </w:pPr>
            <w:r>
              <w:rPr>
                <w:sz w:val="19"/>
                <w:szCs w:val="19"/>
                <w:spacing w:val="7"/>
              </w:rPr>
              <w:t>民主党派及工商联事务</w:t>
            </w:r>
          </w:p>
        </w:tc>
        <w:tc>
          <w:tcPr>
            <w:tcW w:w="2216" w:type="dxa"/>
            <w:vAlign w:val="top"/>
          </w:tcPr>
          <w:p>
            <w:pPr>
              <w:pStyle w:val="TableText"/>
              <w:ind w:right="8"/>
              <w:spacing w:before="77" w:line="210" w:lineRule="auto"/>
              <w:jc w:val="right"/>
              <w:rPr>
                <w:sz w:val="19"/>
                <w:szCs w:val="19"/>
              </w:rPr>
            </w:pPr>
            <w:r>
              <w:rPr>
                <w:sz w:val="19"/>
                <w:szCs w:val="19"/>
                <w:spacing w:val="1"/>
              </w:rPr>
              <w:t>212</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4" w:line="205" w:lineRule="auto"/>
              <w:rPr>
                <w:sz w:val="19"/>
                <w:szCs w:val="19"/>
              </w:rPr>
            </w:pPr>
            <w:r>
              <w:rPr>
                <w:sz w:val="19"/>
                <w:szCs w:val="19"/>
                <w:spacing w:val="8"/>
              </w:rPr>
              <w:t>行政运行</w:t>
            </w:r>
          </w:p>
        </w:tc>
        <w:tc>
          <w:tcPr>
            <w:tcW w:w="2216" w:type="dxa"/>
            <w:vAlign w:val="top"/>
          </w:tcPr>
          <w:p>
            <w:pPr>
              <w:pStyle w:val="TableText"/>
              <w:ind w:right="8"/>
              <w:spacing w:before="78" w:line="210" w:lineRule="auto"/>
              <w:jc w:val="right"/>
              <w:rPr>
                <w:sz w:val="19"/>
                <w:szCs w:val="19"/>
              </w:rPr>
            </w:pPr>
            <w:r>
              <w:rPr>
                <w:sz w:val="19"/>
                <w:szCs w:val="19"/>
                <w:spacing w:val="-4"/>
              </w:rPr>
              <w:t>195</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83" w:line="205" w:lineRule="auto"/>
              <w:rPr>
                <w:sz w:val="19"/>
                <w:szCs w:val="19"/>
              </w:rPr>
            </w:pPr>
            <w:r>
              <w:rPr>
                <w:sz w:val="19"/>
                <w:szCs w:val="19"/>
                <w:spacing w:val="9"/>
              </w:rPr>
              <w:t>一般行政管理事务</w:t>
            </w:r>
          </w:p>
        </w:tc>
        <w:tc>
          <w:tcPr>
            <w:tcW w:w="2216" w:type="dxa"/>
            <w:vAlign w:val="top"/>
          </w:tcPr>
          <w:p>
            <w:pPr>
              <w:pStyle w:val="TableText"/>
              <w:ind w:right="8"/>
              <w:spacing w:before="77" w:line="210" w:lineRule="auto"/>
              <w:jc w:val="right"/>
              <w:rPr>
                <w:sz w:val="19"/>
                <w:szCs w:val="19"/>
              </w:rPr>
            </w:pPr>
            <w:r>
              <w:rPr>
                <w:sz w:val="19"/>
                <w:szCs w:val="19"/>
                <w:spacing w:val="-8"/>
              </w:rPr>
              <w:t>17</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4" w:line="205"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4"/>
              <w:spacing w:before="83" w:line="205" w:lineRule="auto"/>
              <w:rPr>
                <w:sz w:val="19"/>
                <w:szCs w:val="19"/>
              </w:rPr>
            </w:pPr>
            <w:r>
              <w:rPr>
                <w:sz w:val="19"/>
                <w:szCs w:val="19"/>
                <w:spacing w:val="9"/>
              </w:rPr>
              <w:t>参政议政</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5" w:line="204"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14" w:hRule="atLeast"/>
        </w:trPr>
        <w:tc>
          <w:tcPr>
            <w:tcW w:w="4612" w:type="dxa"/>
            <w:vAlign w:val="top"/>
            <w:tcBorders>
              <w:left w:val="single" w:color="000000" w:sz="6" w:space="0"/>
              <w:bottom w:val="single" w:color="000000" w:sz="6" w:space="0"/>
            </w:tcBorders>
          </w:tcPr>
          <w:p>
            <w:pPr>
              <w:pStyle w:val="TableText"/>
              <w:ind w:left="615"/>
              <w:spacing w:before="83" w:line="214" w:lineRule="auto"/>
              <w:rPr>
                <w:sz w:val="19"/>
                <w:szCs w:val="19"/>
              </w:rPr>
            </w:pPr>
            <w:r>
              <w:rPr>
                <w:sz w:val="19"/>
                <w:szCs w:val="19"/>
                <w:spacing w:val="9"/>
              </w:rPr>
              <w:t>其他民主党派及工商联事务支出</w:t>
            </w:r>
          </w:p>
        </w:tc>
        <w:tc>
          <w:tcPr>
            <w:tcW w:w="2216" w:type="dxa"/>
            <w:vAlign w:val="top"/>
            <w:tcBorders>
              <w:bottom w:val="single" w:color="000000" w:sz="6" w:space="0"/>
            </w:tcBorders>
          </w:tcPr>
          <w:p>
            <w:pPr>
              <w:rPr>
                <w:rFonts w:ascii="Arial"/>
                <w:sz w:val="21"/>
              </w:rPr>
            </w:pPr>
            <w:r/>
          </w:p>
        </w:tc>
        <w:tc>
          <w:tcPr>
            <w:tcW w:w="2013" w:type="dxa"/>
            <w:vAlign w:val="top"/>
            <w:tcBorders>
              <w:bottom w:val="single" w:color="000000" w:sz="6" w:space="0"/>
              <w:right w:val="single" w:color="000000" w:sz="6" w:space="0"/>
            </w:tcBorders>
          </w:tcPr>
          <w:p>
            <w:pPr>
              <w:rPr>
                <w:rFonts w:ascii="Arial"/>
                <w:sz w:val="21"/>
              </w:rPr>
            </w:pPr>
            <w:r/>
          </w:p>
        </w:tc>
      </w:tr>
    </w:tbl>
    <w:p>
      <w:pPr>
        <w:spacing w:line="134" w:lineRule="exact"/>
        <w:rPr>
          <w:rFonts w:ascii="Arial"/>
          <w:sz w:val="11"/>
        </w:rPr>
      </w:pPr>
      <w:r/>
    </w:p>
    <w:p>
      <w:pPr>
        <w:spacing w:line="134" w:lineRule="exact"/>
        <w:sectPr>
          <w:headerReference w:type="default" r:id="rId25"/>
          <w:footerReference w:type="default" r:id="rId28"/>
          <w:pgSz w:w="11907" w:h="16840"/>
          <w:pgMar w:top="1845" w:right="1525" w:bottom="1671" w:left="1525" w:header="1428" w:footer="1277" w:gutter="0"/>
        </w:sectPr>
        <w:rPr>
          <w:rFonts w:ascii="Arial" w:hAnsi="Arial" w:eastAsia="Arial" w:cs="Arial"/>
          <w:sz w:val="11"/>
          <w:szCs w:val="11"/>
        </w:rPr>
      </w:pPr>
    </w:p>
    <w:p>
      <w:pPr>
        <w:spacing w:line="143" w:lineRule="exact"/>
        <w:rPr/>
      </w:pPr>
      <w:r/>
    </w:p>
    <w:tbl>
      <w:tblPr>
        <w:tblStyle w:val="TableNormal"/>
        <w:tblW w:w="8841"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12"/>
        <w:gridCol w:w="2216"/>
        <w:gridCol w:w="2013"/>
      </w:tblGrid>
      <w:tr>
        <w:trPr>
          <w:trHeight w:val="312" w:hRule="atLeast"/>
        </w:trPr>
        <w:tc>
          <w:tcPr>
            <w:tcW w:w="4612" w:type="dxa"/>
            <w:vAlign w:val="top"/>
            <w:tcBorders>
              <w:left w:val="single" w:color="000000" w:sz="6" w:space="0"/>
              <w:top w:val="single" w:color="000000" w:sz="6" w:space="0"/>
            </w:tcBorders>
          </w:tcPr>
          <w:p>
            <w:pPr>
              <w:pStyle w:val="TableText"/>
              <w:ind w:left="2104"/>
              <w:spacing w:before="81" w:line="212" w:lineRule="auto"/>
              <w:rPr>
                <w:sz w:val="19"/>
                <w:szCs w:val="19"/>
              </w:rPr>
            </w:pPr>
            <w:r>
              <w:rPr>
                <w:sz w:val="19"/>
                <w:szCs w:val="19"/>
                <w:b/>
                <w:bCs/>
                <w:spacing w:val="6"/>
              </w:rPr>
              <w:t>项目</w:t>
            </w:r>
          </w:p>
        </w:tc>
        <w:tc>
          <w:tcPr>
            <w:tcW w:w="2216" w:type="dxa"/>
            <w:vAlign w:val="top"/>
            <w:tcBorders>
              <w:top w:val="single" w:color="000000" w:sz="6" w:space="0"/>
            </w:tcBorders>
          </w:tcPr>
          <w:p>
            <w:pPr>
              <w:pStyle w:val="TableText"/>
              <w:ind w:left="813"/>
              <w:spacing w:before="75" w:line="220" w:lineRule="auto"/>
              <w:rPr>
                <w:sz w:val="19"/>
                <w:szCs w:val="19"/>
              </w:rPr>
            </w:pPr>
            <w:r>
              <w:rPr>
                <w:sz w:val="19"/>
                <w:szCs w:val="19"/>
                <w:b/>
                <w:bCs/>
                <w:spacing w:val="5"/>
              </w:rPr>
              <w:t>预算数</w:t>
            </w:r>
          </w:p>
        </w:tc>
        <w:tc>
          <w:tcPr>
            <w:tcW w:w="2013" w:type="dxa"/>
            <w:vAlign w:val="top"/>
            <w:tcBorders>
              <w:right w:val="single" w:color="000000" w:sz="6" w:space="0"/>
              <w:top w:val="single" w:color="000000" w:sz="6" w:space="0"/>
            </w:tcBorders>
          </w:tcPr>
          <w:p>
            <w:pPr>
              <w:pStyle w:val="TableText"/>
              <w:ind w:left="806"/>
              <w:spacing w:before="75" w:line="220" w:lineRule="auto"/>
              <w:rPr>
                <w:sz w:val="19"/>
                <w:szCs w:val="19"/>
              </w:rPr>
            </w:pPr>
            <w:r>
              <w:rPr>
                <w:sz w:val="19"/>
                <w:szCs w:val="19"/>
                <w:b/>
                <w:bCs/>
                <w:spacing w:val="6"/>
              </w:rPr>
              <w:t>备注</w:t>
            </w:r>
          </w:p>
        </w:tc>
      </w:tr>
      <w:tr>
        <w:trPr>
          <w:trHeight w:val="304" w:hRule="atLeast"/>
        </w:trPr>
        <w:tc>
          <w:tcPr>
            <w:tcW w:w="4612" w:type="dxa"/>
            <w:vAlign w:val="top"/>
            <w:tcBorders>
              <w:left w:val="single" w:color="000000" w:sz="6" w:space="0"/>
            </w:tcBorders>
          </w:tcPr>
          <w:p>
            <w:pPr>
              <w:pStyle w:val="TableText"/>
              <w:ind w:left="415"/>
              <w:spacing w:before="69" w:line="218" w:lineRule="auto"/>
              <w:rPr>
                <w:sz w:val="19"/>
                <w:szCs w:val="19"/>
              </w:rPr>
            </w:pPr>
            <w:r>
              <w:rPr>
                <w:sz w:val="19"/>
                <w:szCs w:val="19"/>
                <w:spacing w:val="9"/>
              </w:rPr>
              <w:t>群众团体事务</w:t>
            </w:r>
          </w:p>
        </w:tc>
        <w:tc>
          <w:tcPr>
            <w:tcW w:w="2216" w:type="dxa"/>
            <w:vAlign w:val="top"/>
          </w:tcPr>
          <w:p>
            <w:pPr>
              <w:pStyle w:val="TableText"/>
              <w:ind w:right="8"/>
              <w:spacing w:before="67" w:line="220" w:lineRule="auto"/>
              <w:jc w:val="right"/>
              <w:rPr>
                <w:sz w:val="19"/>
                <w:szCs w:val="19"/>
              </w:rPr>
            </w:pPr>
            <w:r>
              <w:rPr>
                <w:sz w:val="19"/>
                <w:szCs w:val="19"/>
              </w:rPr>
              <w:t>885</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2" w:line="215" w:lineRule="auto"/>
              <w:rPr>
                <w:sz w:val="19"/>
                <w:szCs w:val="19"/>
              </w:rPr>
            </w:pPr>
            <w:r>
              <w:rPr>
                <w:sz w:val="19"/>
                <w:szCs w:val="19"/>
                <w:spacing w:val="8"/>
              </w:rPr>
              <w:t>行政运行</w:t>
            </w:r>
          </w:p>
        </w:tc>
        <w:tc>
          <w:tcPr>
            <w:tcW w:w="2216" w:type="dxa"/>
            <w:vAlign w:val="top"/>
          </w:tcPr>
          <w:p>
            <w:pPr>
              <w:pStyle w:val="TableText"/>
              <w:ind w:right="8"/>
              <w:spacing w:before="67" w:line="220" w:lineRule="auto"/>
              <w:jc w:val="right"/>
              <w:rPr>
                <w:sz w:val="19"/>
                <w:szCs w:val="19"/>
              </w:rPr>
            </w:pPr>
            <w:r>
              <w:rPr>
                <w:sz w:val="19"/>
                <w:szCs w:val="19"/>
                <w:spacing w:val="1"/>
              </w:rPr>
              <w:t>292</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2" w:line="215" w:lineRule="auto"/>
              <w:rPr>
                <w:sz w:val="19"/>
                <w:szCs w:val="19"/>
              </w:rPr>
            </w:pPr>
            <w:r>
              <w:rPr>
                <w:sz w:val="19"/>
                <w:szCs w:val="19"/>
                <w:spacing w:val="9"/>
              </w:rPr>
              <w:t>一般行政管理事务</w:t>
            </w:r>
          </w:p>
        </w:tc>
        <w:tc>
          <w:tcPr>
            <w:tcW w:w="2216" w:type="dxa"/>
            <w:vAlign w:val="top"/>
          </w:tcPr>
          <w:p>
            <w:pPr>
              <w:pStyle w:val="TableText"/>
              <w:ind w:right="8"/>
              <w:spacing w:before="67" w:line="220" w:lineRule="auto"/>
              <w:jc w:val="right"/>
              <w:rPr>
                <w:sz w:val="19"/>
                <w:szCs w:val="19"/>
              </w:rPr>
            </w:pPr>
            <w:r>
              <w:rPr>
                <w:sz w:val="19"/>
                <w:szCs w:val="19"/>
              </w:rPr>
              <w:t>20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73" w:line="214"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5" w:line="212" w:lineRule="auto"/>
              <w:rPr>
                <w:sz w:val="19"/>
                <w:szCs w:val="19"/>
              </w:rPr>
            </w:pPr>
            <w:r>
              <w:rPr>
                <w:sz w:val="19"/>
                <w:szCs w:val="19"/>
                <w:spacing w:val="8"/>
              </w:rPr>
              <w:t>工会事务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5" w:line="212"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3" w:line="214" w:lineRule="auto"/>
              <w:rPr>
                <w:sz w:val="19"/>
                <w:szCs w:val="19"/>
              </w:rPr>
            </w:pPr>
            <w:r>
              <w:rPr>
                <w:sz w:val="19"/>
                <w:szCs w:val="19"/>
                <w:spacing w:val="9"/>
              </w:rPr>
              <w:t>其他群众团体事务支出</w:t>
            </w:r>
          </w:p>
        </w:tc>
        <w:tc>
          <w:tcPr>
            <w:tcW w:w="2216" w:type="dxa"/>
            <w:vAlign w:val="top"/>
          </w:tcPr>
          <w:p>
            <w:pPr>
              <w:pStyle w:val="TableText"/>
              <w:ind w:right="8"/>
              <w:spacing w:before="71" w:line="216" w:lineRule="auto"/>
              <w:jc w:val="right"/>
              <w:rPr>
                <w:sz w:val="19"/>
                <w:szCs w:val="19"/>
              </w:rPr>
            </w:pPr>
            <w:r>
              <w:rPr>
                <w:sz w:val="19"/>
                <w:szCs w:val="19"/>
                <w:spacing w:val="1"/>
              </w:rPr>
              <w:t>573</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5"/>
              <w:spacing w:before="72" w:line="215" w:lineRule="auto"/>
              <w:rPr>
                <w:sz w:val="19"/>
                <w:szCs w:val="19"/>
              </w:rPr>
            </w:pPr>
            <w:r>
              <w:rPr>
                <w:sz w:val="19"/>
                <w:szCs w:val="19"/>
                <w:spacing w:val="9"/>
              </w:rPr>
              <w:t>党委办公厅（室）及相关机构事务</w:t>
            </w:r>
          </w:p>
        </w:tc>
        <w:tc>
          <w:tcPr>
            <w:tcW w:w="2216" w:type="dxa"/>
            <w:vAlign w:val="top"/>
          </w:tcPr>
          <w:p>
            <w:pPr>
              <w:pStyle w:val="TableText"/>
              <w:ind w:right="8"/>
              <w:spacing w:before="72" w:line="215" w:lineRule="auto"/>
              <w:jc w:val="right"/>
              <w:rPr>
                <w:sz w:val="19"/>
                <w:szCs w:val="19"/>
              </w:rPr>
            </w:pPr>
            <w:r>
              <w:rPr>
                <w:sz w:val="19"/>
                <w:szCs w:val="19"/>
                <w:spacing w:val="-2"/>
              </w:rPr>
              <w:t>1401</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0" w:line="208" w:lineRule="auto"/>
              <w:rPr>
                <w:sz w:val="19"/>
                <w:szCs w:val="19"/>
              </w:rPr>
            </w:pPr>
            <w:r>
              <w:rPr>
                <w:sz w:val="19"/>
                <w:szCs w:val="19"/>
                <w:spacing w:val="8"/>
              </w:rPr>
              <w:t>行政运行</w:t>
            </w:r>
          </w:p>
        </w:tc>
        <w:tc>
          <w:tcPr>
            <w:tcW w:w="2216" w:type="dxa"/>
            <w:vAlign w:val="top"/>
          </w:tcPr>
          <w:p>
            <w:pPr>
              <w:pStyle w:val="TableText"/>
              <w:ind w:right="8"/>
              <w:spacing w:before="74" w:line="214" w:lineRule="auto"/>
              <w:jc w:val="right"/>
              <w:rPr>
                <w:sz w:val="19"/>
                <w:szCs w:val="19"/>
              </w:rPr>
            </w:pPr>
            <w:r>
              <w:rPr>
                <w:sz w:val="19"/>
                <w:szCs w:val="19"/>
                <w:spacing w:val="2"/>
              </w:rPr>
              <w:t>483</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8" w:line="210" w:lineRule="auto"/>
              <w:rPr>
                <w:sz w:val="19"/>
                <w:szCs w:val="19"/>
              </w:rPr>
            </w:pPr>
            <w:r>
              <w:rPr>
                <w:sz w:val="19"/>
                <w:szCs w:val="19"/>
                <w:spacing w:val="9"/>
              </w:rPr>
              <w:t>一般行政管理事务</w:t>
            </w:r>
          </w:p>
        </w:tc>
        <w:tc>
          <w:tcPr>
            <w:tcW w:w="2216" w:type="dxa"/>
            <w:vAlign w:val="top"/>
          </w:tcPr>
          <w:p>
            <w:pPr>
              <w:pStyle w:val="TableText"/>
              <w:ind w:right="8"/>
              <w:spacing w:before="74" w:line="214" w:lineRule="auto"/>
              <w:jc w:val="right"/>
              <w:rPr>
                <w:sz w:val="19"/>
                <w:szCs w:val="19"/>
              </w:rPr>
            </w:pPr>
            <w:r>
              <w:rPr>
                <w:sz w:val="19"/>
                <w:szCs w:val="19"/>
                <w:spacing w:val="1"/>
              </w:rPr>
              <w:t>918</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9" w:line="209"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6" w:line="212" w:lineRule="auto"/>
              <w:rPr>
                <w:sz w:val="19"/>
                <w:szCs w:val="19"/>
              </w:rPr>
            </w:pPr>
            <w:r>
              <w:rPr>
                <w:sz w:val="19"/>
                <w:szCs w:val="19"/>
                <w:spacing w:val="8"/>
              </w:rPr>
              <w:t>专项业务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9" w:line="209"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4" w:line="214" w:lineRule="auto"/>
              <w:rPr>
                <w:sz w:val="19"/>
                <w:szCs w:val="19"/>
              </w:rPr>
            </w:pPr>
            <w:r>
              <w:rPr>
                <w:sz w:val="19"/>
                <w:szCs w:val="19"/>
                <w:spacing w:val="9"/>
              </w:rPr>
              <w:t>其他党委办公厅（室）及相关机构事务支出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4"/>
              <w:spacing w:before="78" w:line="209" w:lineRule="auto"/>
              <w:rPr>
                <w:sz w:val="19"/>
                <w:szCs w:val="19"/>
              </w:rPr>
            </w:pPr>
            <w:r>
              <w:rPr>
                <w:sz w:val="19"/>
                <w:szCs w:val="19"/>
                <w:spacing w:val="8"/>
              </w:rPr>
              <w:t>组织事务</w:t>
            </w:r>
          </w:p>
        </w:tc>
        <w:tc>
          <w:tcPr>
            <w:tcW w:w="2216" w:type="dxa"/>
            <w:vAlign w:val="top"/>
          </w:tcPr>
          <w:p>
            <w:pPr>
              <w:pStyle w:val="TableText"/>
              <w:ind w:right="8"/>
              <w:spacing w:before="73" w:line="214" w:lineRule="auto"/>
              <w:jc w:val="right"/>
              <w:rPr>
                <w:sz w:val="19"/>
                <w:szCs w:val="19"/>
              </w:rPr>
            </w:pPr>
            <w:r>
              <w:rPr>
                <w:sz w:val="19"/>
                <w:szCs w:val="19"/>
                <w:spacing w:val="1"/>
              </w:rPr>
              <w:t>971</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9" w:line="209" w:lineRule="auto"/>
              <w:rPr>
                <w:sz w:val="19"/>
                <w:szCs w:val="19"/>
              </w:rPr>
            </w:pPr>
            <w:r>
              <w:rPr>
                <w:sz w:val="19"/>
                <w:szCs w:val="19"/>
                <w:spacing w:val="8"/>
              </w:rPr>
              <w:t>行政运行</w:t>
            </w:r>
          </w:p>
        </w:tc>
        <w:tc>
          <w:tcPr>
            <w:tcW w:w="2216" w:type="dxa"/>
            <w:vAlign w:val="top"/>
          </w:tcPr>
          <w:p>
            <w:pPr>
              <w:pStyle w:val="TableText"/>
              <w:ind w:right="8"/>
              <w:spacing w:before="74" w:line="214" w:lineRule="auto"/>
              <w:jc w:val="right"/>
              <w:rPr>
                <w:sz w:val="19"/>
                <w:szCs w:val="19"/>
              </w:rPr>
            </w:pPr>
            <w:r>
              <w:rPr>
                <w:sz w:val="19"/>
                <w:szCs w:val="19"/>
                <w:spacing w:val="2"/>
              </w:rPr>
              <w:t>451</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80" w:line="207" w:lineRule="auto"/>
              <w:rPr>
                <w:sz w:val="19"/>
                <w:szCs w:val="19"/>
              </w:rPr>
            </w:pPr>
            <w:r>
              <w:rPr>
                <w:sz w:val="19"/>
                <w:szCs w:val="19"/>
                <w:spacing w:val="9"/>
              </w:rPr>
              <w:t>一般行政管理事务</w:t>
            </w:r>
          </w:p>
        </w:tc>
        <w:tc>
          <w:tcPr>
            <w:tcW w:w="2216" w:type="dxa"/>
            <w:vAlign w:val="top"/>
          </w:tcPr>
          <w:p>
            <w:pPr>
              <w:pStyle w:val="TableText"/>
              <w:ind w:right="8"/>
              <w:spacing w:before="75" w:line="212" w:lineRule="auto"/>
              <w:jc w:val="right"/>
              <w:rPr>
                <w:sz w:val="19"/>
                <w:szCs w:val="19"/>
              </w:rPr>
            </w:pPr>
            <w:r>
              <w:rPr>
                <w:sz w:val="19"/>
                <w:szCs w:val="19"/>
                <w:spacing w:val="1"/>
              </w:rPr>
              <w:t>520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1" w:line="207"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4"/>
              <w:spacing w:before="80" w:line="207" w:lineRule="auto"/>
              <w:rPr>
                <w:sz w:val="19"/>
                <w:szCs w:val="19"/>
              </w:rPr>
            </w:pPr>
            <w:r>
              <w:rPr>
                <w:sz w:val="19"/>
                <w:szCs w:val="19"/>
                <w:spacing w:val="9"/>
              </w:rPr>
              <w:t>公务员事务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0" w:line="208"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81" w:line="206" w:lineRule="auto"/>
              <w:rPr>
                <w:sz w:val="19"/>
                <w:szCs w:val="19"/>
              </w:rPr>
            </w:pPr>
            <w:r>
              <w:rPr>
                <w:sz w:val="19"/>
                <w:szCs w:val="19"/>
                <w:spacing w:val="9"/>
              </w:rPr>
              <w:t>其他组织事务支出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6"/>
              <w:spacing w:before="80" w:line="208" w:lineRule="auto"/>
              <w:rPr>
                <w:sz w:val="19"/>
                <w:szCs w:val="19"/>
              </w:rPr>
            </w:pPr>
            <w:r>
              <w:rPr>
                <w:sz w:val="19"/>
                <w:szCs w:val="19"/>
                <w:spacing w:val="8"/>
              </w:rPr>
              <w:t>宣传事务</w:t>
            </w:r>
          </w:p>
        </w:tc>
        <w:tc>
          <w:tcPr>
            <w:tcW w:w="2216" w:type="dxa"/>
            <w:vAlign w:val="top"/>
          </w:tcPr>
          <w:p>
            <w:pPr>
              <w:pStyle w:val="TableText"/>
              <w:ind w:right="8"/>
              <w:spacing w:before="78" w:line="210" w:lineRule="auto"/>
              <w:jc w:val="right"/>
              <w:rPr>
                <w:sz w:val="19"/>
                <w:szCs w:val="19"/>
              </w:rPr>
            </w:pPr>
            <w:r>
              <w:rPr>
                <w:sz w:val="19"/>
                <w:szCs w:val="19"/>
              </w:rPr>
              <w:t>394</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83" w:line="205" w:lineRule="auto"/>
              <w:rPr>
                <w:sz w:val="19"/>
                <w:szCs w:val="19"/>
              </w:rPr>
            </w:pPr>
            <w:r>
              <w:rPr>
                <w:sz w:val="19"/>
                <w:szCs w:val="19"/>
                <w:spacing w:val="8"/>
              </w:rPr>
              <w:t>行政运行</w:t>
            </w:r>
          </w:p>
        </w:tc>
        <w:tc>
          <w:tcPr>
            <w:tcW w:w="2216" w:type="dxa"/>
            <w:vAlign w:val="top"/>
          </w:tcPr>
          <w:p>
            <w:pPr>
              <w:pStyle w:val="TableText"/>
              <w:ind w:right="8"/>
              <w:spacing w:before="77" w:line="210" w:lineRule="auto"/>
              <w:jc w:val="right"/>
              <w:rPr>
                <w:sz w:val="19"/>
                <w:szCs w:val="19"/>
              </w:rPr>
            </w:pPr>
            <w:r>
              <w:rPr>
                <w:sz w:val="19"/>
                <w:szCs w:val="19"/>
                <w:spacing w:val="1"/>
              </w:rPr>
              <w:t>244</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2" w:line="206" w:lineRule="auto"/>
              <w:rPr>
                <w:sz w:val="19"/>
                <w:szCs w:val="19"/>
              </w:rPr>
            </w:pPr>
            <w:r>
              <w:rPr>
                <w:sz w:val="19"/>
                <w:szCs w:val="19"/>
                <w:spacing w:val="9"/>
              </w:rPr>
              <w:t>一般行政管理事务</w:t>
            </w:r>
          </w:p>
        </w:tc>
        <w:tc>
          <w:tcPr>
            <w:tcW w:w="2216" w:type="dxa"/>
            <w:vAlign w:val="top"/>
          </w:tcPr>
          <w:p>
            <w:pPr>
              <w:pStyle w:val="TableText"/>
              <w:ind w:right="8"/>
              <w:spacing w:before="78" w:line="210" w:lineRule="auto"/>
              <w:jc w:val="right"/>
              <w:rPr>
                <w:sz w:val="19"/>
                <w:szCs w:val="19"/>
              </w:rPr>
            </w:pPr>
            <w:r>
              <w:rPr>
                <w:sz w:val="19"/>
                <w:szCs w:val="19"/>
                <w:spacing w:val="-4"/>
              </w:rPr>
              <w:t>150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86" w:line="202"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8"/>
              <w:spacing w:before="82" w:line="206" w:lineRule="auto"/>
              <w:rPr>
                <w:sz w:val="19"/>
                <w:szCs w:val="19"/>
              </w:rPr>
            </w:pPr>
            <w:r>
              <w:rPr>
                <w:sz w:val="19"/>
                <w:szCs w:val="19"/>
                <w:spacing w:val="8"/>
              </w:rPr>
              <w:t>宣传管理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5" w:line="204"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1" w:line="207" w:lineRule="auto"/>
              <w:rPr>
                <w:sz w:val="19"/>
                <w:szCs w:val="19"/>
              </w:rPr>
            </w:pPr>
            <w:r>
              <w:rPr>
                <w:sz w:val="19"/>
                <w:szCs w:val="19"/>
                <w:spacing w:val="9"/>
              </w:rPr>
              <w:t>其他宣传事务支出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6"/>
              <w:spacing w:before="86" w:line="203" w:lineRule="auto"/>
              <w:rPr>
                <w:sz w:val="19"/>
                <w:szCs w:val="19"/>
              </w:rPr>
            </w:pPr>
            <w:r>
              <w:rPr>
                <w:sz w:val="19"/>
                <w:szCs w:val="19"/>
                <w:spacing w:val="8"/>
              </w:rPr>
              <w:t>统战事务</w:t>
            </w:r>
          </w:p>
        </w:tc>
        <w:tc>
          <w:tcPr>
            <w:tcW w:w="2216" w:type="dxa"/>
            <w:vAlign w:val="top"/>
          </w:tcPr>
          <w:p>
            <w:pPr>
              <w:pStyle w:val="TableText"/>
              <w:ind w:right="8"/>
              <w:spacing w:before="80" w:line="208" w:lineRule="auto"/>
              <w:jc w:val="right"/>
              <w:rPr>
                <w:sz w:val="19"/>
                <w:szCs w:val="19"/>
              </w:rPr>
            </w:pPr>
            <w:r>
              <w:rPr>
                <w:sz w:val="19"/>
                <w:szCs w:val="19"/>
              </w:rPr>
              <w:t>330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6" w:line="203" w:lineRule="auto"/>
              <w:rPr>
                <w:sz w:val="19"/>
                <w:szCs w:val="19"/>
              </w:rPr>
            </w:pPr>
            <w:r>
              <w:rPr>
                <w:sz w:val="19"/>
                <w:szCs w:val="19"/>
                <w:spacing w:val="8"/>
              </w:rPr>
              <w:t>行政运行</w:t>
            </w:r>
          </w:p>
        </w:tc>
        <w:tc>
          <w:tcPr>
            <w:tcW w:w="2216" w:type="dxa"/>
            <w:vAlign w:val="top"/>
          </w:tcPr>
          <w:p>
            <w:pPr>
              <w:pStyle w:val="TableText"/>
              <w:ind w:right="8"/>
              <w:spacing w:before="80" w:line="208" w:lineRule="auto"/>
              <w:jc w:val="right"/>
              <w:rPr>
                <w:sz w:val="19"/>
                <w:szCs w:val="19"/>
              </w:rPr>
            </w:pPr>
            <w:r>
              <w:rPr>
                <w:sz w:val="19"/>
                <w:szCs w:val="19"/>
              </w:rPr>
              <w:t>305</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5" w:line="204" w:lineRule="auto"/>
              <w:rPr>
                <w:sz w:val="19"/>
                <w:szCs w:val="19"/>
              </w:rPr>
            </w:pPr>
            <w:r>
              <w:rPr>
                <w:sz w:val="19"/>
                <w:szCs w:val="19"/>
                <w:spacing w:val="9"/>
              </w:rPr>
              <w:t>一般行政管理事务</w:t>
            </w:r>
          </w:p>
        </w:tc>
        <w:tc>
          <w:tcPr>
            <w:tcW w:w="2216" w:type="dxa"/>
            <w:vAlign w:val="top"/>
          </w:tcPr>
          <w:p>
            <w:pPr>
              <w:pStyle w:val="TableText"/>
              <w:ind w:right="8"/>
              <w:spacing w:before="79" w:line="209" w:lineRule="auto"/>
              <w:jc w:val="right"/>
              <w:rPr>
                <w:sz w:val="19"/>
                <w:szCs w:val="19"/>
              </w:rPr>
            </w:pPr>
            <w:r>
              <w:rPr>
                <w:sz w:val="19"/>
                <w:szCs w:val="19"/>
              </w:rPr>
              <w:t>25</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5" w:line="204"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6" w:line="203" w:lineRule="auto"/>
              <w:rPr>
                <w:sz w:val="19"/>
                <w:szCs w:val="19"/>
              </w:rPr>
            </w:pPr>
            <w:r>
              <w:rPr>
                <w:sz w:val="19"/>
                <w:szCs w:val="19"/>
                <w:spacing w:val="8"/>
              </w:rPr>
              <w:t>宗教事务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4" w:line="205" w:lineRule="auto"/>
              <w:rPr>
                <w:sz w:val="19"/>
                <w:szCs w:val="19"/>
              </w:rPr>
            </w:pPr>
            <w:r>
              <w:rPr>
                <w:sz w:val="19"/>
                <w:szCs w:val="19"/>
                <w:spacing w:val="8"/>
              </w:rPr>
              <w:t>华侨事务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5" w:line="204"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2" w:line="206" w:lineRule="auto"/>
              <w:rPr>
                <w:sz w:val="19"/>
                <w:szCs w:val="19"/>
              </w:rPr>
            </w:pPr>
            <w:r>
              <w:rPr>
                <w:sz w:val="19"/>
                <w:szCs w:val="19"/>
                <w:spacing w:val="9"/>
              </w:rPr>
              <w:t>其他统战事务支出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3"/>
              <w:spacing w:before="86" w:line="203" w:lineRule="auto"/>
              <w:rPr>
                <w:sz w:val="19"/>
                <w:szCs w:val="19"/>
              </w:rPr>
            </w:pPr>
            <w:r>
              <w:rPr>
                <w:sz w:val="19"/>
                <w:szCs w:val="19"/>
                <w:spacing w:val="9"/>
              </w:rPr>
              <w:t>对外联络事务</w:t>
            </w:r>
          </w:p>
        </w:tc>
        <w:tc>
          <w:tcPr>
            <w:tcW w:w="2216" w:type="dxa"/>
            <w:vAlign w:val="top"/>
          </w:tcPr>
          <w:p>
            <w:pPr>
              <w:pStyle w:val="TableText"/>
              <w:ind w:right="7"/>
              <w:spacing w:before="80" w:line="208" w:lineRule="auto"/>
              <w:jc w:val="right"/>
              <w:rPr>
                <w:sz w:val="19"/>
                <w:szCs w:val="19"/>
              </w:rPr>
            </w:pPr>
            <w:r>
              <w:rPr>
                <w:sz w:val="19"/>
                <w:szCs w:val="19"/>
                <w:b/>
                <w:bCs/>
                <w:spacing w:val="-2"/>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6" w:line="203" w:lineRule="auto"/>
              <w:rPr>
                <w:sz w:val="19"/>
                <w:szCs w:val="19"/>
              </w:rPr>
            </w:pPr>
            <w:r>
              <w:rPr>
                <w:sz w:val="19"/>
                <w:szCs w:val="19"/>
                <w:spacing w:val="8"/>
              </w:rPr>
              <w:t>行政运行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5" w:line="204"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14" w:hRule="atLeast"/>
        </w:trPr>
        <w:tc>
          <w:tcPr>
            <w:tcW w:w="4612" w:type="dxa"/>
            <w:vAlign w:val="top"/>
            <w:tcBorders>
              <w:left w:val="single" w:color="000000" w:sz="6" w:space="0"/>
              <w:bottom w:val="single" w:color="000000" w:sz="6" w:space="0"/>
            </w:tcBorders>
          </w:tcPr>
          <w:p>
            <w:pPr>
              <w:pStyle w:val="TableText"/>
              <w:ind w:left="617"/>
              <w:spacing w:before="84" w:line="213" w:lineRule="auto"/>
              <w:rPr>
                <w:sz w:val="19"/>
                <w:szCs w:val="19"/>
              </w:rPr>
            </w:pPr>
            <w:r>
              <w:rPr>
                <w:sz w:val="19"/>
                <w:szCs w:val="19"/>
                <w:spacing w:val="8"/>
              </w:rPr>
              <w:t>机关服务</w:t>
            </w:r>
          </w:p>
        </w:tc>
        <w:tc>
          <w:tcPr>
            <w:tcW w:w="2216" w:type="dxa"/>
            <w:vAlign w:val="top"/>
            <w:tcBorders>
              <w:bottom w:val="single" w:color="000000" w:sz="6" w:space="0"/>
            </w:tcBorders>
          </w:tcPr>
          <w:p>
            <w:pPr>
              <w:rPr>
                <w:rFonts w:ascii="Arial"/>
                <w:sz w:val="21"/>
              </w:rPr>
            </w:pPr>
            <w:r/>
          </w:p>
        </w:tc>
        <w:tc>
          <w:tcPr>
            <w:tcW w:w="2013"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23"/>
          <w:footerReference w:type="default" r:id="rId29"/>
          <w:pgSz w:w="11907" w:h="16840"/>
          <w:pgMar w:top="1801" w:right="1525" w:bottom="1660" w:left="1525" w:header="1428" w:footer="1289" w:gutter="0"/>
        </w:sectPr>
        <w:rPr>
          <w:rFonts w:ascii="Arial" w:hAnsi="Arial" w:eastAsia="Arial" w:cs="Arial"/>
          <w:sz w:val="21"/>
          <w:szCs w:val="21"/>
        </w:rPr>
      </w:pPr>
    </w:p>
    <w:p>
      <w:pPr>
        <w:spacing w:line="240" w:lineRule="exact"/>
        <w:rPr/>
      </w:pPr>
      <w:r/>
    </w:p>
    <w:tbl>
      <w:tblPr>
        <w:tblStyle w:val="TableNormal"/>
        <w:tblW w:w="8841"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12"/>
        <w:gridCol w:w="2216"/>
        <w:gridCol w:w="2013"/>
      </w:tblGrid>
      <w:tr>
        <w:trPr>
          <w:trHeight w:val="312" w:hRule="atLeast"/>
        </w:trPr>
        <w:tc>
          <w:tcPr>
            <w:tcW w:w="4612" w:type="dxa"/>
            <w:vAlign w:val="top"/>
            <w:tcBorders>
              <w:left w:val="single" w:color="000000" w:sz="6" w:space="0"/>
              <w:top w:val="single" w:color="000000" w:sz="6" w:space="0"/>
            </w:tcBorders>
          </w:tcPr>
          <w:p>
            <w:pPr>
              <w:pStyle w:val="TableText"/>
              <w:ind w:left="2104"/>
              <w:spacing w:before="81" w:line="212" w:lineRule="auto"/>
              <w:rPr>
                <w:sz w:val="19"/>
                <w:szCs w:val="19"/>
              </w:rPr>
            </w:pPr>
            <w:r>
              <w:rPr>
                <w:sz w:val="19"/>
                <w:szCs w:val="19"/>
                <w:b/>
                <w:bCs/>
                <w:spacing w:val="6"/>
              </w:rPr>
              <w:t>项目</w:t>
            </w:r>
          </w:p>
        </w:tc>
        <w:tc>
          <w:tcPr>
            <w:tcW w:w="2216" w:type="dxa"/>
            <w:vAlign w:val="top"/>
            <w:tcBorders>
              <w:top w:val="single" w:color="000000" w:sz="6" w:space="0"/>
            </w:tcBorders>
          </w:tcPr>
          <w:p>
            <w:pPr>
              <w:pStyle w:val="TableText"/>
              <w:ind w:left="813"/>
              <w:spacing w:before="76" w:line="219" w:lineRule="auto"/>
              <w:rPr>
                <w:sz w:val="19"/>
                <w:szCs w:val="19"/>
              </w:rPr>
            </w:pPr>
            <w:r>
              <w:rPr>
                <w:sz w:val="19"/>
                <w:szCs w:val="19"/>
                <w:b/>
                <w:bCs/>
                <w:spacing w:val="5"/>
              </w:rPr>
              <w:t>预算数</w:t>
            </w:r>
          </w:p>
        </w:tc>
        <w:tc>
          <w:tcPr>
            <w:tcW w:w="2013" w:type="dxa"/>
            <w:vAlign w:val="top"/>
            <w:tcBorders>
              <w:right w:val="single" w:color="000000" w:sz="6" w:space="0"/>
              <w:top w:val="single" w:color="000000" w:sz="6" w:space="0"/>
            </w:tcBorders>
          </w:tcPr>
          <w:p>
            <w:pPr>
              <w:pStyle w:val="TableText"/>
              <w:ind w:left="806"/>
              <w:spacing w:before="76" w:line="219" w:lineRule="auto"/>
              <w:rPr>
                <w:sz w:val="19"/>
                <w:szCs w:val="19"/>
              </w:rPr>
            </w:pPr>
            <w:r>
              <w:rPr>
                <w:sz w:val="19"/>
                <w:szCs w:val="19"/>
                <w:b/>
                <w:bCs/>
                <w:spacing w:val="6"/>
              </w:rPr>
              <w:t>备注</w:t>
            </w:r>
          </w:p>
        </w:tc>
      </w:tr>
      <w:tr>
        <w:trPr>
          <w:trHeight w:val="304" w:hRule="atLeast"/>
        </w:trPr>
        <w:tc>
          <w:tcPr>
            <w:tcW w:w="4612" w:type="dxa"/>
            <w:vAlign w:val="top"/>
            <w:tcBorders>
              <w:left w:val="single" w:color="000000" w:sz="6" w:space="0"/>
            </w:tcBorders>
          </w:tcPr>
          <w:p>
            <w:pPr>
              <w:pStyle w:val="TableText"/>
              <w:ind w:left="616"/>
              <w:spacing w:before="69" w:line="218"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1" w:line="216" w:lineRule="auto"/>
              <w:rPr>
                <w:sz w:val="19"/>
                <w:szCs w:val="19"/>
              </w:rPr>
            </w:pPr>
            <w:r>
              <w:rPr>
                <w:sz w:val="19"/>
                <w:szCs w:val="19"/>
                <w:spacing w:val="9"/>
              </w:rPr>
              <w:t>其他对外联络事务支出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3"/>
              <w:spacing w:before="72" w:line="215" w:lineRule="auto"/>
              <w:rPr>
                <w:sz w:val="19"/>
                <w:szCs w:val="19"/>
              </w:rPr>
            </w:pPr>
            <w:r>
              <w:rPr>
                <w:sz w:val="19"/>
                <w:szCs w:val="19"/>
                <w:spacing w:val="9"/>
              </w:rPr>
              <w:t>其他共产党事务支出</w:t>
            </w:r>
          </w:p>
        </w:tc>
        <w:tc>
          <w:tcPr>
            <w:tcW w:w="2216" w:type="dxa"/>
            <w:vAlign w:val="top"/>
          </w:tcPr>
          <w:p>
            <w:pPr>
              <w:pStyle w:val="TableText"/>
              <w:ind w:right="8"/>
              <w:spacing w:before="68" w:line="219" w:lineRule="auto"/>
              <w:jc w:val="right"/>
              <w:rPr>
                <w:sz w:val="19"/>
                <w:szCs w:val="19"/>
              </w:rPr>
            </w:pPr>
            <w:r>
              <w:rPr>
                <w:sz w:val="19"/>
                <w:szCs w:val="19"/>
                <w:spacing w:val="-2"/>
              </w:rPr>
              <w:t>1325</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4" w:line="213" w:lineRule="auto"/>
              <w:rPr>
                <w:sz w:val="19"/>
                <w:szCs w:val="19"/>
              </w:rPr>
            </w:pPr>
            <w:r>
              <w:rPr>
                <w:sz w:val="19"/>
                <w:szCs w:val="19"/>
                <w:spacing w:val="8"/>
              </w:rPr>
              <w:t>行政运行</w:t>
            </w:r>
          </w:p>
        </w:tc>
        <w:tc>
          <w:tcPr>
            <w:tcW w:w="2216" w:type="dxa"/>
            <w:vAlign w:val="top"/>
          </w:tcPr>
          <w:p>
            <w:pPr>
              <w:pStyle w:val="TableText"/>
              <w:ind w:right="8"/>
              <w:spacing w:before="68" w:line="219" w:lineRule="auto"/>
              <w:jc w:val="right"/>
              <w:rPr>
                <w:sz w:val="19"/>
                <w:szCs w:val="19"/>
              </w:rPr>
            </w:pPr>
            <w:r>
              <w:rPr>
                <w:sz w:val="19"/>
                <w:szCs w:val="19"/>
                <w:spacing w:val="-2"/>
              </w:rPr>
              <w:t>1096</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3" w:line="214" w:lineRule="auto"/>
              <w:rPr>
                <w:sz w:val="19"/>
                <w:szCs w:val="19"/>
              </w:rPr>
            </w:pPr>
            <w:r>
              <w:rPr>
                <w:sz w:val="19"/>
                <w:szCs w:val="19"/>
                <w:spacing w:val="9"/>
              </w:rPr>
              <w:t>一般行政管理事务</w:t>
            </w:r>
          </w:p>
        </w:tc>
        <w:tc>
          <w:tcPr>
            <w:tcW w:w="2216" w:type="dxa"/>
            <w:vAlign w:val="top"/>
          </w:tcPr>
          <w:p>
            <w:pPr>
              <w:pStyle w:val="TableText"/>
              <w:ind w:right="8"/>
              <w:spacing w:before="69" w:line="218" w:lineRule="auto"/>
              <w:jc w:val="right"/>
              <w:rPr>
                <w:sz w:val="19"/>
                <w:szCs w:val="19"/>
              </w:rPr>
            </w:pPr>
            <w:r>
              <w:rPr>
                <w:sz w:val="19"/>
                <w:szCs w:val="19"/>
                <w:spacing w:val="-4"/>
              </w:rPr>
              <w:t>125</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77" w:line="210"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6" w:line="212" w:lineRule="auto"/>
              <w:rPr>
                <w:sz w:val="19"/>
                <w:szCs w:val="19"/>
              </w:rPr>
            </w:pPr>
            <w:r>
              <w:rPr>
                <w:sz w:val="19"/>
                <w:szCs w:val="19"/>
                <w:spacing w:val="8"/>
              </w:rPr>
              <w:t>事业运行</w:t>
            </w:r>
          </w:p>
        </w:tc>
        <w:tc>
          <w:tcPr>
            <w:tcW w:w="2216" w:type="dxa"/>
            <w:vAlign w:val="top"/>
          </w:tcPr>
          <w:p>
            <w:pPr>
              <w:pStyle w:val="TableText"/>
              <w:ind w:right="8"/>
              <w:spacing w:before="72" w:line="216" w:lineRule="auto"/>
              <w:jc w:val="right"/>
              <w:rPr>
                <w:sz w:val="19"/>
                <w:szCs w:val="19"/>
              </w:rPr>
            </w:pPr>
            <w:r>
              <w:rPr>
                <w:sz w:val="19"/>
                <w:szCs w:val="19"/>
                <w:spacing w:val="-4"/>
              </w:rPr>
              <w:t>104</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5" w:line="213" w:lineRule="auto"/>
              <w:rPr>
                <w:sz w:val="19"/>
                <w:szCs w:val="19"/>
              </w:rPr>
            </w:pPr>
            <w:r>
              <w:rPr>
                <w:sz w:val="19"/>
                <w:szCs w:val="19"/>
                <w:spacing w:val="9"/>
              </w:rPr>
              <w:t>其他共产党事务支出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32"/>
              <w:spacing w:before="73" w:line="215" w:lineRule="auto"/>
              <w:rPr>
                <w:sz w:val="19"/>
                <w:szCs w:val="19"/>
              </w:rPr>
            </w:pPr>
            <w:r>
              <w:rPr>
                <w:sz w:val="19"/>
                <w:szCs w:val="19"/>
                <w:spacing w:val="4"/>
              </w:rPr>
              <w:t>网信事务</w:t>
            </w:r>
          </w:p>
        </w:tc>
        <w:tc>
          <w:tcPr>
            <w:tcW w:w="2216" w:type="dxa"/>
            <w:vAlign w:val="top"/>
          </w:tcPr>
          <w:p>
            <w:pPr>
              <w:pStyle w:val="TableText"/>
              <w:ind w:right="8"/>
              <w:spacing w:before="71" w:line="217" w:lineRule="auto"/>
              <w:jc w:val="right"/>
              <w:rPr>
                <w:sz w:val="19"/>
                <w:szCs w:val="19"/>
              </w:rPr>
            </w:pPr>
            <w:r>
              <w:rPr>
                <w:sz w:val="19"/>
                <w:szCs w:val="19"/>
                <w:spacing w:val="1"/>
              </w:rPr>
              <w:t>274</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8" w:line="210" w:lineRule="auto"/>
              <w:rPr>
                <w:sz w:val="19"/>
                <w:szCs w:val="19"/>
              </w:rPr>
            </w:pPr>
            <w:r>
              <w:rPr>
                <w:sz w:val="19"/>
                <w:szCs w:val="19"/>
                <w:spacing w:val="8"/>
              </w:rPr>
              <w:t>行政运行</w:t>
            </w:r>
          </w:p>
        </w:tc>
        <w:tc>
          <w:tcPr>
            <w:tcW w:w="2216" w:type="dxa"/>
            <w:vAlign w:val="top"/>
          </w:tcPr>
          <w:p>
            <w:pPr>
              <w:pStyle w:val="TableText"/>
              <w:ind w:right="8"/>
              <w:spacing w:before="73" w:line="215" w:lineRule="auto"/>
              <w:jc w:val="right"/>
              <w:rPr>
                <w:sz w:val="19"/>
                <w:szCs w:val="19"/>
              </w:rPr>
            </w:pPr>
            <w:r>
              <w:rPr>
                <w:sz w:val="19"/>
                <w:szCs w:val="19"/>
                <w:spacing w:val="1"/>
              </w:rPr>
              <w:t>224</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6" w:line="212"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7" w:line="211"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3" w:line="215" w:lineRule="auto"/>
              <w:rPr>
                <w:sz w:val="19"/>
                <w:szCs w:val="19"/>
              </w:rPr>
            </w:pPr>
            <w:r>
              <w:rPr>
                <w:sz w:val="19"/>
                <w:szCs w:val="19"/>
                <w:spacing w:val="9"/>
              </w:rPr>
              <w:t>信息安全事务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7" w:line="210"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6" w:line="212" w:lineRule="auto"/>
              <w:rPr>
                <w:sz w:val="19"/>
                <w:szCs w:val="19"/>
              </w:rPr>
            </w:pPr>
            <w:r>
              <w:rPr>
                <w:sz w:val="19"/>
                <w:szCs w:val="19"/>
                <w:spacing w:val="9"/>
              </w:rPr>
              <w:t>其他网信事务支出</w:t>
            </w:r>
          </w:p>
        </w:tc>
        <w:tc>
          <w:tcPr>
            <w:tcW w:w="2216" w:type="dxa"/>
            <w:vAlign w:val="top"/>
          </w:tcPr>
          <w:p>
            <w:pPr>
              <w:pStyle w:val="TableText"/>
              <w:ind w:right="8"/>
              <w:spacing w:before="73" w:line="215" w:lineRule="auto"/>
              <w:jc w:val="right"/>
              <w:rPr>
                <w:sz w:val="19"/>
                <w:szCs w:val="19"/>
              </w:rPr>
            </w:pPr>
            <w:r>
              <w:rPr>
                <w:sz w:val="19"/>
                <w:szCs w:val="19"/>
              </w:rPr>
              <w:t>50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6"/>
              <w:spacing w:before="77" w:line="211" w:lineRule="auto"/>
              <w:rPr>
                <w:sz w:val="19"/>
                <w:szCs w:val="19"/>
              </w:rPr>
            </w:pPr>
            <w:r>
              <w:rPr>
                <w:sz w:val="19"/>
                <w:szCs w:val="19"/>
                <w:spacing w:val="9"/>
              </w:rPr>
              <w:t>市场监督管理事务</w:t>
            </w:r>
          </w:p>
        </w:tc>
        <w:tc>
          <w:tcPr>
            <w:tcW w:w="2216" w:type="dxa"/>
            <w:vAlign w:val="top"/>
          </w:tcPr>
          <w:p>
            <w:pPr>
              <w:pStyle w:val="TableText"/>
              <w:ind w:right="8"/>
              <w:spacing w:before="72" w:line="216" w:lineRule="auto"/>
              <w:jc w:val="right"/>
              <w:rPr>
                <w:sz w:val="19"/>
                <w:szCs w:val="19"/>
              </w:rPr>
            </w:pPr>
            <w:r>
              <w:rPr>
                <w:sz w:val="19"/>
                <w:szCs w:val="19"/>
                <w:spacing w:val="1"/>
              </w:rPr>
              <w:t>3219</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7" w:line="211" w:lineRule="auto"/>
              <w:rPr>
                <w:sz w:val="19"/>
                <w:szCs w:val="19"/>
              </w:rPr>
            </w:pPr>
            <w:r>
              <w:rPr>
                <w:sz w:val="19"/>
                <w:szCs w:val="19"/>
                <w:spacing w:val="8"/>
              </w:rPr>
              <w:t>行政运行</w:t>
            </w:r>
          </w:p>
        </w:tc>
        <w:tc>
          <w:tcPr>
            <w:tcW w:w="2216" w:type="dxa"/>
            <w:vAlign w:val="top"/>
          </w:tcPr>
          <w:p>
            <w:pPr>
              <w:pStyle w:val="TableText"/>
              <w:ind w:right="8"/>
              <w:spacing w:before="72" w:line="216" w:lineRule="auto"/>
              <w:jc w:val="right"/>
              <w:rPr>
                <w:sz w:val="19"/>
                <w:szCs w:val="19"/>
              </w:rPr>
            </w:pPr>
            <w:r>
              <w:rPr>
                <w:sz w:val="19"/>
                <w:szCs w:val="19"/>
                <w:spacing w:val="2"/>
              </w:rPr>
              <w:t>2332</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8" w:line="210" w:lineRule="auto"/>
              <w:rPr>
                <w:sz w:val="19"/>
                <w:szCs w:val="19"/>
              </w:rPr>
            </w:pPr>
            <w:r>
              <w:rPr>
                <w:sz w:val="19"/>
                <w:szCs w:val="19"/>
                <w:spacing w:val="9"/>
              </w:rPr>
              <w:t>一般行政管理事务</w:t>
            </w:r>
          </w:p>
        </w:tc>
        <w:tc>
          <w:tcPr>
            <w:tcW w:w="2216" w:type="dxa"/>
            <w:vAlign w:val="top"/>
          </w:tcPr>
          <w:p>
            <w:pPr>
              <w:pStyle w:val="TableText"/>
              <w:ind w:right="8"/>
              <w:spacing w:before="74" w:line="214" w:lineRule="auto"/>
              <w:jc w:val="right"/>
              <w:rPr>
                <w:sz w:val="19"/>
                <w:szCs w:val="19"/>
              </w:rPr>
            </w:pPr>
            <w:r>
              <w:rPr>
                <w:sz w:val="19"/>
                <w:szCs w:val="19"/>
                <w:spacing w:val="2"/>
              </w:rPr>
              <w:t>42</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8" w:line="210"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4" w:line="214" w:lineRule="auto"/>
              <w:rPr>
                <w:sz w:val="19"/>
                <w:szCs w:val="19"/>
              </w:rPr>
            </w:pPr>
            <w:r>
              <w:rPr>
                <w:sz w:val="19"/>
                <w:szCs w:val="19"/>
                <w:spacing w:val="9"/>
              </w:rPr>
              <w:t>市场主体管理</w:t>
            </w:r>
          </w:p>
        </w:tc>
        <w:tc>
          <w:tcPr>
            <w:tcW w:w="2216" w:type="dxa"/>
            <w:vAlign w:val="top"/>
          </w:tcPr>
          <w:p>
            <w:pPr>
              <w:pStyle w:val="TableText"/>
              <w:ind w:right="8"/>
              <w:spacing w:before="72" w:line="216" w:lineRule="auto"/>
              <w:jc w:val="right"/>
              <w:rPr>
                <w:sz w:val="19"/>
                <w:szCs w:val="19"/>
              </w:rPr>
            </w:pPr>
            <w:r>
              <w:rPr>
                <w:sz w:val="19"/>
                <w:szCs w:val="19"/>
                <w:spacing w:val="-4"/>
              </w:rPr>
              <w:t>150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5" w:line="213" w:lineRule="auto"/>
              <w:rPr>
                <w:sz w:val="19"/>
                <w:szCs w:val="19"/>
              </w:rPr>
            </w:pPr>
            <w:r>
              <w:rPr>
                <w:sz w:val="19"/>
                <w:szCs w:val="19"/>
                <w:spacing w:val="9"/>
              </w:rPr>
              <w:t>市场秩序执法</w:t>
            </w:r>
          </w:p>
        </w:tc>
        <w:tc>
          <w:tcPr>
            <w:tcW w:w="2216" w:type="dxa"/>
            <w:vAlign w:val="top"/>
          </w:tcPr>
          <w:p>
            <w:pPr>
              <w:pStyle w:val="TableText"/>
              <w:ind w:right="8"/>
              <w:spacing w:before="72" w:line="216" w:lineRule="auto"/>
              <w:jc w:val="right"/>
              <w:rPr>
                <w:sz w:val="19"/>
                <w:szCs w:val="19"/>
              </w:rPr>
            </w:pPr>
            <w:r>
              <w:rPr>
                <w:sz w:val="19"/>
                <w:szCs w:val="19"/>
                <w:spacing w:val="-8"/>
              </w:rPr>
              <w:t>16</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5" w:line="213" w:lineRule="auto"/>
              <w:rPr>
                <w:sz w:val="19"/>
                <w:szCs w:val="19"/>
              </w:rPr>
            </w:pPr>
            <w:r>
              <w:rPr>
                <w:sz w:val="19"/>
                <w:szCs w:val="19"/>
                <w:spacing w:val="8"/>
              </w:rPr>
              <w:t>信息化建设</w:t>
            </w:r>
          </w:p>
        </w:tc>
        <w:tc>
          <w:tcPr>
            <w:tcW w:w="2216" w:type="dxa"/>
            <w:vAlign w:val="top"/>
          </w:tcPr>
          <w:p>
            <w:pPr>
              <w:pStyle w:val="TableText"/>
              <w:ind w:right="5"/>
              <w:spacing w:before="74" w:line="214" w:lineRule="auto"/>
              <w:jc w:val="right"/>
              <w:rPr>
                <w:sz w:val="19"/>
                <w:szCs w:val="19"/>
              </w:rPr>
            </w:pPr>
            <w:r>
              <w:rPr>
                <w:sz w:val="19"/>
                <w:szCs w:val="19"/>
              </w:rPr>
              <w:t>5</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0" w:line="208" w:lineRule="auto"/>
              <w:rPr>
                <w:sz w:val="19"/>
                <w:szCs w:val="19"/>
              </w:rPr>
            </w:pPr>
            <w:r>
              <w:rPr>
                <w:sz w:val="19"/>
                <w:szCs w:val="19"/>
                <w:spacing w:val="8"/>
              </w:rPr>
              <w:t>质量基础</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2" w:line="216" w:lineRule="auto"/>
              <w:rPr>
                <w:sz w:val="19"/>
                <w:szCs w:val="19"/>
              </w:rPr>
            </w:pPr>
            <w:r>
              <w:rPr>
                <w:sz w:val="19"/>
                <w:szCs w:val="19"/>
                <w:spacing w:val="8"/>
              </w:rPr>
              <w:t>药品事务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28"/>
              <w:spacing w:before="76" w:line="212" w:lineRule="auto"/>
              <w:rPr>
                <w:sz w:val="19"/>
                <w:szCs w:val="19"/>
              </w:rPr>
            </w:pPr>
            <w:r>
              <w:rPr>
                <w:sz w:val="19"/>
                <w:szCs w:val="19"/>
                <w:spacing w:val="7"/>
              </w:rPr>
              <w:t>医疗器械事务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3" w:line="214" w:lineRule="auto"/>
              <w:rPr>
                <w:sz w:val="19"/>
                <w:szCs w:val="19"/>
              </w:rPr>
            </w:pPr>
            <w:r>
              <w:rPr>
                <w:sz w:val="19"/>
                <w:szCs w:val="19"/>
                <w:spacing w:val="8"/>
              </w:rPr>
              <w:t>化妆品事务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9" w:line="209" w:lineRule="auto"/>
              <w:rPr>
                <w:sz w:val="19"/>
                <w:szCs w:val="19"/>
              </w:rPr>
            </w:pPr>
            <w:r>
              <w:rPr>
                <w:sz w:val="19"/>
                <w:szCs w:val="19"/>
                <w:spacing w:val="9"/>
              </w:rPr>
              <w:t>质量安全监管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3"/>
              <w:spacing w:before="73" w:line="214" w:lineRule="auto"/>
              <w:rPr>
                <w:sz w:val="19"/>
                <w:szCs w:val="19"/>
              </w:rPr>
            </w:pPr>
            <w:r>
              <w:rPr>
                <w:sz w:val="19"/>
                <w:szCs w:val="19"/>
                <w:spacing w:val="9"/>
              </w:rPr>
              <w:t>食品安全监管</w:t>
            </w:r>
          </w:p>
        </w:tc>
        <w:tc>
          <w:tcPr>
            <w:tcW w:w="2216" w:type="dxa"/>
            <w:vAlign w:val="top"/>
          </w:tcPr>
          <w:p>
            <w:pPr>
              <w:pStyle w:val="TableText"/>
              <w:ind w:right="8"/>
              <w:spacing w:before="73" w:line="214" w:lineRule="auto"/>
              <w:jc w:val="right"/>
              <w:rPr>
                <w:sz w:val="19"/>
                <w:szCs w:val="19"/>
              </w:rPr>
            </w:pPr>
            <w:r>
              <w:rPr>
                <w:sz w:val="19"/>
                <w:szCs w:val="19"/>
                <w:spacing w:val="-4"/>
              </w:rPr>
              <w:t>146</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8" w:line="210" w:lineRule="auto"/>
              <w:rPr>
                <w:sz w:val="19"/>
                <w:szCs w:val="19"/>
              </w:rPr>
            </w:pPr>
            <w:r>
              <w:rPr>
                <w:sz w:val="19"/>
                <w:szCs w:val="19"/>
                <w:spacing w:val="8"/>
              </w:rPr>
              <w:t>事业运行</w:t>
            </w:r>
          </w:p>
        </w:tc>
        <w:tc>
          <w:tcPr>
            <w:tcW w:w="2216" w:type="dxa"/>
            <w:vAlign w:val="top"/>
          </w:tcPr>
          <w:p>
            <w:pPr>
              <w:pStyle w:val="TableText"/>
              <w:ind w:right="8"/>
              <w:spacing w:before="74" w:line="214" w:lineRule="auto"/>
              <w:jc w:val="right"/>
              <w:rPr>
                <w:sz w:val="19"/>
                <w:szCs w:val="19"/>
              </w:rPr>
            </w:pPr>
            <w:r>
              <w:rPr>
                <w:sz w:val="19"/>
                <w:szCs w:val="19"/>
                <w:spacing w:val="1"/>
              </w:rPr>
              <w:t>528</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9" w:line="208" w:lineRule="auto"/>
              <w:rPr>
                <w:sz w:val="19"/>
                <w:szCs w:val="19"/>
              </w:rPr>
            </w:pPr>
            <w:r>
              <w:rPr>
                <w:sz w:val="19"/>
                <w:szCs w:val="19"/>
                <w:spacing w:val="9"/>
              </w:rPr>
              <w:t>其他市场监督管理事务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3"/>
              <w:spacing w:before="79" w:line="209" w:lineRule="auto"/>
              <w:rPr>
                <w:sz w:val="19"/>
                <w:szCs w:val="19"/>
              </w:rPr>
            </w:pPr>
            <w:r>
              <w:rPr>
                <w:sz w:val="19"/>
                <w:szCs w:val="19"/>
                <w:spacing w:val="9"/>
              </w:rPr>
              <w:t>其他一般公共服务支出</w:t>
            </w:r>
          </w:p>
        </w:tc>
        <w:tc>
          <w:tcPr>
            <w:tcW w:w="2216" w:type="dxa"/>
            <w:vAlign w:val="top"/>
          </w:tcPr>
          <w:p>
            <w:pPr>
              <w:pStyle w:val="TableText"/>
              <w:ind w:right="8"/>
              <w:spacing w:before="76" w:line="212" w:lineRule="auto"/>
              <w:jc w:val="right"/>
              <w:rPr>
                <w:sz w:val="19"/>
                <w:szCs w:val="19"/>
              </w:rPr>
            </w:pPr>
            <w:r>
              <w:rPr>
                <w:sz w:val="19"/>
                <w:szCs w:val="19"/>
                <w:spacing w:val="2"/>
              </w:rPr>
              <w:t>8339</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36"/>
              <w:spacing w:before="80" w:line="207" w:lineRule="auto"/>
              <w:rPr>
                <w:sz w:val="19"/>
                <w:szCs w:val="19"/>
              </w:rPr>
            </w:pPr>
            <w:r>
              <w:rPr>
                <w:sz w:val="19"/>
                <w:szCs w:val="19"/>
                <w:spacing w:val="6"/>
              </w:rPr>
              <w:t>国家赔偿费用支出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9" w:line="209" w:lineRule="auto"/>
              <w:rPr>
                <w:sz w:val="19"/>
                <w:szCs w:val="19"/>
              </w:rPr>
            </w:pPr>
            <w:r>
              <w:rPr>
                <w:sz w:val="19"/>
                <w:szCs w:val="19"/>
                <w:spacing w:val="9"/>
              </w:rPr>
              <w:t>其他一般公共服务支出</w:t>
            </w:r>
          </w:p>
        </w:tc>
        <w:tc>
          <w:tcPr>
            <w:tcW w:w="2216" w:type="dxa"/>
            <w:vAlign w:val="top"/>
          </w:tcPr>
          <w:p>
            <w:pPr>
              <w:pStyle w:val="TableText"/>
              <w:ind w:right="8"/>
              <w:spacing w:before="76" w:line="212" w:lineRule="auto"/>
              <w:jc w:val="right"/>
              <w:rPr>
                <w:sz w:val="19"/>
                <w:szCs w:val="19"/>
              </w:rPr>
            </w:pPr>
            <w:r>
              <w:rPr>
                <w:sz w:val="19"/>
                <w:szCs w:val="19"/>
                <w:spacing w:val="2"/>
              </w:rPr>
              <w:t>8339</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16"/>
              <w:spacing w:before="84" w:line="204" w:lineRule="auto"/>
              <w:rPr>
                <w:sz w:val="19"/>
                <w:szCs w:val="19"/>
              </w:rPr>
            </w:pPr>
            <w:r>
              <w:rPr>
                <w:sz w:val="19"/>
                <w:szCs w:val="19"/>
                <w:spacing w:val="9"/>
              </w:rPr>
              <w:t>二、外交支出</w:t>
            </w:r>
          </w:p>
        </w:tc>
        <w:tc>
          <w:tcPr>
            <w:tcW w:w="2216" w:type="dxa"/>
            <w:vAlign w:val="top"/>
          </w:tcPr>
          <w:p>
            <w:pPr>
              <w:pStyle w:val="TableText"/>
              <w:ind w:right="7"/>
              <w:spacing w:before="77" w:line="210"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3"/>
              <w:spacing w:before="81" w:line="207" w:lineRule="auto"/>
              <w:rPr>
                <w:sz w:val="19"/>
                <w:szCs w:val="19"/>
              </w:rPr>
            </w:pPr>
            <w:r>
              <w:rPr>
                <w:sz w:val="19"/>
                <w:szCs w:val="19"/>
                <w:spacing w:val="9"/>
              </w:rPr>
              <w:t>对外合作与交流</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3"/>
              <w:spacing w:before="81" w:line="206" w:lineRule="auto"/>
              <w:rPr>
                <w:sz w:val="19"/>
                <w:szCs w:val="19"/>
              </w:rPr>
            </w:pPr>
            <w:r>
              <w:rPr>
                <w:sz w:val="19"/>
                <w:szCs w:val="19"/>
                <w:spacing w:val="9"/>
              </w:rPr>
              <w:t>其他外交支出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20"/>
              <w:spacing w:before="84" w:line="205" w:lineRule="auto"/>
              <w:rPr>
                <w:sz w:val="19"/>
                <w:szCs w:val="19"/>
              </w:rPr>
            </w:pPr>
            <w:r>
              <w:rPr>
                <w:sz w:val="19"/>
                <w:szCs w:val="19"/>
                <w:spacing w:val="8"/>
              </w:rPr>
              <w:t>三、国防支出</w:t>
            </w:r>
          </w:p>
        </w:tc>
        <w:tc>
          <w:tcPr>
            <w:tcW w:w="2216" w:type="dxa"/>
            <w:vAlign w:val="top"/>
          </w:tcPr>
          <w:p>
            <w:pPr>
              <w:pStyle w:val="TableText"/>
              <w:ind w:right="8"/>
              <w:spacing w:before="78" w:line="210" w:lineRule="auto"/>
              <w:jc w:val="right"/>
              <w:rPr>
                <w:sz w:val="19"/>
                <w:szCs w:val="19"/>
              </w:rPr>
            </w:pPr>
            <w:r>
              <w:rPr>
                <w:sz w:val="19"/>
                <w:szCs w:val="19"/>
              </w:rPr>
              <w:t>322</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34"/>
              <w:spacing w:before="86" w:line="202" w:lineRule="auto"/>
              <w:rPr>
                <w:sz w:val="19"/>
                <w:szCs w:val="19"/>
              </w:rPr>
            </w:pPr>
            <w:r>
              <w:rPr>
                <w:sz w:val="19"/>
                <w:szCs w:val="19"/>
                <w:spacing w:val="3"/>
              </w:rPr>
              <w:t>国防动员</w:t>
            </w:r>
          </w:p>
        </w:tc>
        <w:tc>
          <w:tcPr>
            <w:tcW w:w="2216" w:type="dxa"/>
            <w:vAlign w:val="top"/>
          </w:tcPr>
          <w:p>
            <w:pPr>
              <w:pStyle w:val="TableText"/>
              <w:ind w:right="8"/>
              <w:spacing w:before="79" w:line="208" w:lineRule="auto"/>
              <w:jc w:val="right"/>
              <w:rPr>
                <w:sz w:val="19"/>
                <w:szCs w:val="19"/>
              </w:rPr>
            </w:pPr>
            <w:r>
              <w:rPr>
                <w:sz w:val="19"/>
                <w:szCs w:val="19"/>
              </w:rPr>
              <w:t>322</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5" w:line="204" w:lineRule="auto"/>
              <w:rPr>
                <w:sz w:val="19"/>
                <w:szCs w:val="19"/>
              </w:rPr>
            </w:pPr>
            <w:r>
              <w:rPr>
                <w:sz w:val="19"/>
                <w:szCs w:val="19"/>
                <w:spacing w:val="8"/>
              </w:rPr>
              <w:t>兵役征集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14" w:hRule="atLeast"/>
        </w:trPr>
        <w:tc>
          <w:tcPr>
            <w:tcW w:w="4612" w:type="dxa"/>
            <w:vAlign w:val="top"/>
            <w:tcBorders>
              <w:left w:val="single" w:color="000000" w:sz="6" w:space="0"/>
              <w:bottom w:val="single" w:color="000000" w:sz="6" w:space="0"/>
            </w:tcBorders>
          </w:tcPr>
          <w:p>
            <w:pPr>
              <w:pStyle w:val="TableText"/>
              <w:ind w:left="618"/>
              <w:spacing w:before="83" w:line="214" w:lineRule="auto"/>
              <w:rPr>
                <w:sz w:val="19"/>
                <w:szCs w:val="19"/>
              </w:rPr>
            </w:pPr>
            <w:r>
              <w:rPr>
                <w:sz w:val="19"/>
                <w:szCs w:val="19"/>
                <w:spacing w:val="8"/>
              </w:rPr>
              <w:t>经济动员</w:t>
            </w:r>
          </w:p>
        </w:tc>
        <w:tc>
          <w:tcPr>
            <w:tcW w:w="2216" w:type="dxa"/>
            <w:vAlign w:val="top"/>
            <w:tcBorders>
              <w:bottom w:val="single" w:color="000000" w:sz="6" w:space="0"/>
            </w:tcBorders>
          </w:tcPr>
          <w:p>
            <w:pPr>
              <w:rPr>
                <w:rFonts w:ascii="Arial"/>
                <w:sz w:val="21"/>
              </w:rPr>
            </w:pPr>
            <w:r/>
          </w:p>
        </w:tc>
        <w:tc>
          <w:tcPr>
            <w:tcW w:w="2013" w:type="dxa"/>
            <w:vAlign w:val="top"/>
            <w:tcBorders>
              <w:bottom w:val="single" w:color="000000" w:sz="6" w:space="0"/>
              <w:right w:val="single" w:color="000000" w:sz="6" w:space="0"/>
            </w:tcBorders>
          </w:tcPr>
          <w:p>
            <w:pPr>
              <w:rPr>
                <w:rFonts w:ascii="Arial"/>
                <w:sz w:val="21"/>
              </w:rPr>
            </w:pPr>
            <w:r/>
          </w:p>
        </w:tc>
      </w:tr>
    </w:tbl>
    <w:p>
      <w:pPr>
        <w:spacing w:line="134" w:lineRule="exact"/>
        <w:rPr>
          <w:rFonts w:ascii="Arial"/>
          <w:sz w:val="11"/>
        </w:rPr>
      </w:pPr>
      <w:r/>
    </w:p>
    <w:p>
      <w:pPr>
        <w:spacing w:line="134" w:lineRule="exact"/>
        <w:sectPr>
          <w:headerReference w:type="default" r:id="rId25"/>
          <w:footerReference w:type="default" r:id="rId30"/>
          <w:pgSz w:w="11907" w:h="16840"/>
          <w:pgMar w:top="1845" w:right="1525" w:bottom="1671" w:left="1525" w:header="1428" w:footer="1277" w:gutter="0"/>
        </w:sectPr>
        <w:rPr>
          <w:rFonts w:ascii="Arial" w:hAnsi="Arial" w:eastAsia="Arial" w:cs="Arial"/>
          <w:sz w:val="11"/>
          <w:szCs w:val="11"/>
        </w:rPr>
      </w:pPr>
    </w:p>
    <w:p>
      <w:pPr>
        <w:spacing w:line="143" w:lineRule="exact"/>
        <w:rPr/>
      </w:pPr>
      <w:r/>
    </w:p>
    <w:tbl>
      <w:tblPr>
        <w:tblStyle w:val="TableNormal"/>
        <w:tblW w:w="8841"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12"/>
        <w:gridCol w:w="2216"/>
        <w:gridCol w:w="2013"/>
      </w:tblGrid>
      <w:tr>
        <w:trPr>
          <w:trHeight w:val="312" w:hRule="atLeast"/>
        </w:trPr>
        <w:tc>
          <w:tcPr>
            <w:tcW w:w="4612" w:type="dxa"/>
            <w:vAlign w:val="top"/>
            <w:tcBorders>
              <w:left w:val="single" w:color="000000" w:sz="6" w:space="0"/>
              <w:top w:val="single" w:color="000000" w:sz="6" w:space="0"/>
            </w:tcBorders>
          </w:tcPr>
          <w:p>
            <w:pPr>
              <w:pStyle w:val="TableText"/>
              <w:ind w:left="2104"/>
              <w:spacing w:before="81" w:line="212" w:lineRule="auto"/>
              <w:rPr>
                <w:sz w:val="19"/>
                <w:szCs w:val="19"/>
              </w:rPr>
            </w:pPr>
            <w:r>
              <w:rPr>
                <w:sz w:val="19"/>
                <w:szCs w:val="19"/>
                <w:b/>
                <w:bCs/>
                <w:spacing w:val="6"/>
              </w:rPr>
              <w:t>项目</w:t>
            </w:r>
          </w:p>
        </w:tc>
        <w:tc>
          <w:tcPr>
            <w:tcW w:w="2216" w:type="dxa"/>
            <w:vAlign w:val="top"/>
            <w:tcBorders>
              <w:top w:val="single" w:color="000000" w:sz="6" w:space="0"/>
            </w:tcBorders>
          </w:tcPr>
          <w:p>
            <w:pPr>
              <w:pStyle w:val="TableText"/>
              <w:ind w:left="813"/>
              <w:spacing w:before="75" w:line="220" w:lineRule="auto"/>
              <w:rPr>
                <w:sz w:val="19"/>
                <w:szCs w:val="19"/>
              </w:rPr>
            </w:pPr>
            <w:r>
              <w:rPr>
                <w:sz w:val="19"/>
                <w:szCs w:val="19"/>
                <w:b/>
                <w:bCs/>
                <w:spacing w:val="5"/>
              </w:rPr>
              <w:t>预算数</w:t>
            </w:r>
          </w:p>
        </w:tc>
        <w:tc>
          <w:tcPr>
            <w:tcW w:w="2013" w:type="dxa"/>
            <w:vAlign w:val="top"/>
            <w:tcBorders>
              <w:right w:val="single" w:color="000000" w:sz="6" w:space="0"/>
              <w:top w:val="single" w:color="000000" w:sz="6" w:space="0"/>
            </w:tcBorders>
          </w:tcPr>
          <w:p>
            <w:pPr>
              <w:pStyle w:val="TableText"/>
              <w:ind w:left="806"/>
              <w:spacing w:before="75" w:line="220" w:lineRule="auto"/>
              <w:rPr>
                <w:sz w:val="19"/>
                <w:szCs w:val="19"/>
              </w:rPr>
            </w:pPr>
            <w:r>
              <w:rPr>
                <w:sz w:val="19"/>
                <w:szCs w:val="19"/>
                <w:b/>
                <w:bCs/>
                <w:spacing w:val="6"/>
              </w:rPr>
              <w:t>备注</w:t>
            </w:r>
          </w:p>
        </w:tc>
      </w:tr>
      <w:tr>
        <w:trPr>
          <w:trHeight w:val="304" w:hRule="atLeast"/>
        </w:trPr>
        <w:tc>
          <w:tcPr>
            <w:tcW w:w="4612" w:type="dxa"/>
            <w:vAlign w:val="top"/>
            <w:tcBorders>
              <w:left w:val="single" w:color="000000" w:sz="6" w:space="0"/>
            </w:tcBorders>
          </w:tcPr>
          <w:p>
            <w:pPr>
              <w:pStyle w:val="TableText"/>
              <w:ind w:left="615"/>
              <w:spacing w:before="73" w:line="214" w:lineRule="auto"/>
              <w:rPr>
                <w:sz w:val="19"/>
                <w:szCs w:val="19"/>
              </w:rPr>
            </w:pPr>
            <w:r>
              <w:rPr>
                <w:sz w:val="19"/>
                <w:szCs w:val="19"/>
                <w:spacing w:val="8"/>
              </w:rPr>
              <w:t>人民防空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1" w:line="216" w:lineRule="auto"/>
              <w:rPr>
                <w:sz w:val="19"/>
                <w:szCs w:val="19"/>
              </w:rPr>
            </w:pPr>
            <w:r>
              <w:rPr>
                <w:sz w:val="19"/>
                <w:szCs w:val="19"/>
                <w:spacing w:val="8"/>
              </w:rPr>
              <w:t>交通战备</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36"/>
              <w:spacing w:before="72" w:line="215" w:lineRule="auto"/>
              <w:rPr>
                <w:sz w:val="19"/>
                <w:szCs w:val="19"/>
              </w:rPr>
            </w:pPr>
            <w:r>
              <w:rPr>
                <w:sz w:val="19"/>
                <w:szCs w:val="19"/>
                <w:spacing w:val="3"/>
              </w:rPr>
              <w:t>国防教育</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20"/>
              <w:spacing w:before="71" w:line="216" w:lineRule="auto"/>
              <w:rPr>
                <w:sz w:val="19"/>
                <w:szCs w:val="19"/>
              </w:rPr>
            </w:pPr>
            <w:r>
              <w:rPr>
                <w:sz w:val="19"/>
                <w:szCs w:val="19"/>
                <w:spacing w:val="8"/>
              </w:rPr>
              <w:t>预备役部队</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34"/>
              <w:spacing w:before="79" w:line="208" w:lineRule="auto"/>
              <w:rPr>
                <w:sz w:val="19"/>
                <w:szCs w:val="19"/>
              </w:rPr>
            </w:pPr>
            <w:r>
              <w:rPr>
                <w:sz w:val="19"/>
                <w:szCs w:val="19"/>
                <w:spacing w:val="-2"/>
              </w:rPr>
              <w:t>民兵</w:t>
            </w:r>
          </w:p>
        </w:tc>
        <w:tc>
          <w:tcPr>
            <w:tcW w:w="2216" w:type="dxa"/>
            <w:vAlign w:val="top"/>
          </w:tcPr>
          <w:p>
            <w:pPr>
              <w:pStyle w:val="TableText"/>
              <w:ind w:right="8"/>
              <w:spacing w:before="71" w:line="216" w:lineRule="auto"/>
              <w:jc w:val="right"/>
              <w:rPr>
                <w:sz w:val="19"/>
                <w:szCs w:val="19"/>
              </w:rPr>
            </w:pPr>
            <w:r>
              <w:rPr>
                <w:sz w:val="19"/>
                <w:szCs w:val="19"/>
              </w:rPr>
              <w:t>322</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8" w:line="209" w:lineRule="auto"/>
              <w:rPr>
                <w:sz w:val="19"/>
                <w:szCs w:val="19"/>
              </w:rPr>
            </w:pPr>
            <w:r>
              <w:rPr>
                <w:sz w:val="19"/>
                <w:szCs w:val="19"/>
                <w:spacing w:val="8"/>
              </w:rPr>
              <w:t>边海防</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5" w:line="212" w:lineRule="auto"/>
              <w:rPr>
                <w:sz w:val="19"/>
                <w:szCs w:val="19"/>
              </w:rPr>
            </w:pPr>
            <w:r>
              <w:rPr>
                <w:sz w:val="19"/>
                <w:szCs w:val="19"/>
                <w:spacing w:val="9"/>
              </w:rPr>
              <w:t>其他国防动员支出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3"/>
              <w:spacing w:before="75" w:line="212" w:lineRule="auto"/>
              <w:rPr>
                <w:sz w:val="19"/>
                <w:szCs w:val="19"/>
              </w:rPr>
            </w:pPr>
            <w:r>
              <w:rPr>
                <w:sz w:val="19"/>
                <w:szCs w:val="19"/>
                <w:spacing w:val="9"/>
              </w:rPr>
              <w:t>其他国防支出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37"/>
              <w:spacing w:before="80" w:line="208" w:lineRule="auto"/>
              <w:rPr>
                <w:sz w:val="19"/>
                <w:szCs w:val="19"/>
              </w:rPr>
            </w:pPr>
            <w:r>
              <w:rPr>
                <w:sz w:val="19"/>
                <w:szCs w:val="19"/>
                <w:spacing w:val="6"/>
              </w:rPr>
              <w:t>四、公共安全支出</w:t>
            </w:r>
          </w:p>
        </w:tc>
        <w:tc>
          <w:tcPr>
            <w:tcW w:w="2216" w:type="dxa"/>
            <w:vAlign w:val="top"/>
          </w:tcPr>
          <w:p>
            <w:pPr>
              <w:pStyle w:val="TableText"/>
              <w:ind w:right="8"/>
              <w:spacing w:before="74" w:line="214" w:lineRule="auto"/>
              <w:jc w:val="right"/>
              <w:rPr>
                <w:sz w:val="19"/>
                <w:szCs w:val="19"/>
              </w:rPr>
            </w:pPr>
            <w:r>
              <w:rPr>
                <w:sz w:val="19"/>
                <w:szCs w:val="19"/>
                <w:spacing w:val="2"/>
              </w:rPr>
              <w:t>21105</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6"/>
              <w:spacing w:before="78" w:line="210" w:lineRule="auto"/>
              <w:rPr>
                <w:sz w:val="19"/>
                <w:szCs w:val="19"/>
              </w:rPr>
            </w:pPr>
            <w:r>
              <w:rPr>
                <w:sz w:val="19"/>
                <w:szCs w:val="19"/>
                <w:spacing w:val="8"/>
              </w:rPr>
              <w:t>武装警察部队</w:t>
            </w:r>
          </w:p>
        </w:tc>
        <w:tc>
          <w:tcPr>
            <w:tcW w:w="2216" w:type="dxa"/>
            <w:vAlign w:val="top"/>
          </w:tcPr>
          <w:p>
            <w:pPr>
              <w:pStyle w:val="TableText"/>
              <w:ind w:right="8"/>
              <w:spacing w:before="74" w:line="214" w:lineRule="auto"/>
              <w:jc w:val="right"/>
              <w:rPr>
                <w:sz w:val="19"/>
                <w:szCs w:val="19"/>
              </w:rPr>
            </w:pPr>
            <w:r>
              <w:rPr>
                <w:sz w:val="19"/>
                <w:szCs w:val="19"/>
              </w:rPr>
              <w:t>50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8"/>
              <w:spacing w:before="78" w:line="210" w:lineRule="auto"/>
              <w:rPr>
                <w:sz w:val="19"/>
                <w:szCs w:val="19"/>
              </w:rPr>
            </w:pPr>
            <w:r>
              <w:rPr>
                <w:sz w:val="19"/>
                <w:szCs w:val="19"/>
                <w:spacing w:val="8"/>
              </w:rPr>
              <w:t>武装警察部队</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6" w:line="212" w:lineRule="auto"/>
              <w:rPr>
                <w:sz w:val="19"/>
                <w:szCs w:val="19"/>
              </w:rPr>
            </w:pPr>
            <w:r>
              <w:rPr>
                <w:sz w:val="19"/>
                <w:szCs w:val="19"/>
                <w:spacing w:val="9"/>
              </w:rPr>
              <w:t>其他武装警察部队支出</w:t>
            </w:r>
          </w:p>
        </w:tc>
        <w:tc>
          <w:tcPr>
            <w:tcW w:w="2216" w:type="dxa"/>
            <w:vAlign w:val="top"/>
          </w:tcPr>
          <w:p>
            <w:pPr>
              <w:pStyle w:val="TableText"/>
              <w:ind w:right="8"/>
              <w:spacing w:before="73" w:line="215" w:lineRule="auto"/>
              <w:jc w:val="right"/>
              <w:rPr>
                <w:sz w:val="19"/>
                <w:szCs w:val="19"/>
              </w:rPr>
            </w:pPr>
            <w:r>
              <w:rPr>
                <w:sz w:val="19"/>
                <w:szCs w:val="19"/>
              </w:rPr>
              <w:t>50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3"/>
              <w:spacing w:before="82" w:line="206" w:lineRule="auto"/>
              <w:rPr>
                <w:sz w:val="19"/>
                <w:szCs w:val="19"/>
              </w:rPr>
            </w:pPr>
            <w:r>
              <w:rPr>
                <w:sz w:val="19"/>
                <w:szCs w:val="19"/>
                <w:spacing w:val="7"/>
              </w:rPr>
              <w:t>公安</w:t>
            </w:r>
          </w:p>
        </w:tc>
        <w:tc>
          <w:tcPr>
            <w:tcW w:w="2216" w:type="dxa"/>
            <w:vAlign w:val="top"/>
          </w:tcPr>
          <w:p>
            <w:pPr>
              <w:pStyle w:val="TableText"/>
              <w:ind w:right="8"/>
              <w:spacing w:before="74" w:line="214" w:lineRule="auto"/>
              <w:jc w:val="right"/>
              <w:rPr>
                <w:sz w:val="19"/>
                <w:szCs w:val="19"/>
              </w:rPr>
            </w:pPr>
            <w:r>
              <w:rPr>
                <w:sz w:val="19"/>
                <w:szCs w:val="19"/>
                <w:spacing w:val="-1"/>
              </w:rPr>
              <w:t>19816</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9" w:line="209" w:lineRule="auto"/>
              <w:rPr>
                <w:sz w:val="19"/>
                <w:szCs w:val="19"/>
              </w:rPr>
            </w:pPr>
            <w:r>
              <w:rPr>
                <w:sz w:val="19"/>
                <w:szCs w:val="19"/>
                <w:spacing w:val="8"/>
              </w:rPr>
              <w:t>行政运行</w:t>
            </w:r>
          </w:p>
        </w:tc>
        <w:tc>
          <w:tcPr>
            <w:tcW w:w="2216" w:type="dxa"/>
            <w:vAlign w:val="top"/>
          </w:tcPr>
          <w:p>
            <w:pPr>
              <w:pStyle w:val="TableText"/>
              <w:ind w:right="8"/>
              <w:spacing w:before="74" w:line="214" w:lineRule="auto"/>
              <w:jc w:val="right"/>
              <w:rPr>
                <w:sz w:val="19"/>
                <w:szCs w:val="19"/>
              </w:rPr>
            </w:pPr>
            <w:r>
              <w:rPr>
                <w:sz w:val="19"/>
                <w:szCs w:val="19"/>
                <w:spacing w:val="-1"/>
              </w:rPr>
              <w:t>12457</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8" w:line="209" w:lineRule="auto"/>
              <w:rPr>
                <w:sz w:val="19"/>
                <w:szCs w:val="19"/>
              </w:rPr>
            </w:pPr>
            <w:r>
              <w:rPr>
                <w:sz w:val="19"/>
                <w:szCs w:val="19"/>
                <w:spacing w:val="9"/>
              </w:rPr>
              <w:t>一般行政管理事务</w:t>
            </w:r>
          </w:p>
        </w:tc>
        <w:tc>
          <w:tcPr>
            <w:tcW w:w="2216" w:type="dxa"/>
            <w:vAlign w:val="top"/>
          </w:tcPr>
          <w:p>
            <w:pPr>
              <w:pStyle w:val="TableText"/>
              <w:ind w:right="8"/>
              <w:spacing w:before="73" w:line="214" w:lineRule="auto"/>
              <w:jc w:val="right"/>
              <w:rPr>
                <w:sz w:val="19"/>
                <w:szCs w:val="19"/>
              </w:rPr>
            </w:pPr>
            <w:r>
              <w:rPr>
                <w:sz w:val="19"/>
                <w:szCs w:val="19"/>
                <w:spacing w:val="2"/>
              </w:rPr>
              <w:t>6622</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9" w:line="209" w:lineRule="auto"/>
              <w:rPr>
                <w:sz w:val="19"/>
                <w:szCs w:val="19"/>
              </w:rPr>
            </w:pPr>
            <w:r>
              <w:rPr>
                <w:sz w:val="19"/>
                <w:szCs w:val="19"/>
                <w:spacing w:val="8"/>
              </w:rPr>
              <w:t>机关服务</w:t>
            </w:r>
          </w:p>
        </w:tc>
        <w:tc>
          <w:tcPr>
            <w:tcW w:w="2216" w:type="dxa"/>
            <w:vAlign w:val="top"/>
          </w:tcPr>
          <w:p>
            <w:pPr>
              <w:pStyle w:val="TableText"/>
              <w:ind w:right="8"/>
              <w:spacing w:before="74" w:line="214" w:lineRule="auto"/>
              <w:jc w:val="right"/>
              <w:rPr>
                <w:sz w:val="19"/>
                <w:szCs w:val="19"/>
              </w:rPr>
            </w:pPr>
            <w:r>
              <w:rPr>
                <w:sz w:val="19"/>
                <w:szCs w:val="19"/>
              </w:rPr>
              <w:t>24</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7" w:line="210" w:lineRule="auto"/>
              <w:rPr>
                <w:sz w:val="19"/>
                <w:szCs w:val="19"/>
              </w:rPr>
            </w:pPr>
            <w:r>
              <w:rPr>
                <w:sz w:val="19"/>
                <w:szCs w:val="19"/>
                <w:spacing w:val="8"/>
              </w:rPr>
              <w:t>信息化建设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0" w:line="208" w:lineRule="auto"/>
              <w:rPr>
                <w:sz w:val="19"/>
                <w:szCs w:val="19"/>
              </w:rPr>
            </w:pPr>
            <w:r>
              <w:rPr>
                <w:sz w:val="19"/>
                <w:szCs w:val="19"/>
                <w:spacing w:val="8"/>
              </w:rPr>
              <w:t>执法办案</w:t>
            </w:r>
          </w:p>
        </w:tc>
        <w:tc>
          <w:tcPr>
            <w:tcW w:w="2216" w:type="dxa"/>
            <w:vAlign w:val="top"/>
          </w:tcPr>
          <w:p>
            <w:pPr>
              <w:pStyle w:val="TableText"/>
              <w:ind w:right="8"/>
              <w:spacing w:before="76" w:line="212" w:lineRule="auto"/>
              <w:jc w:val="right"/>
              <w:rPr>
                <w:sz w:val="19"/>
                <w:szCs w:val="19"/>
              </w:rPr>
            </w:pPr>
            <w:r>
              <w:rPr>
                <w:sz w:val="19"/>
                <w:szCs w:val="19"/>
                <w:spacing w:val="1"/>
              </w:rPr>
              <w:t>563</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8"/>
              <w:spacing w:before="80" w:line="207" w:lineRule="auto"/>
              <w:rPr>
                <w:sz w:val="19"/>
                <w:szCs w:val="19"/>
              </w:rPr>
            </w:pPr>
            <w:r>
              <w:rPr>
                <w:sz w:val="19"/>
                <w:szCs w:val="19"/>
                <w:spacing w:val="8"/>
              </w:rPr>
              <w:t>特别业务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8"/>
              <w:spacing w:before="81" w:line="207" w:lineRule="auto"/>
              <w:rPr>
                <w:sz w:val="19"/>
                <w:szCs w:val="19"/>
              </w:rPr>
            </w:pPr>
            <w:r>
              <w:rPr>
                <w:sz w:val="19"/>
                <w:szCs w:val="19"/>
                <w:spacing w:val="8"/>
              </w:rPr>
              <w:t>特勤业务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83" w:line="205" w:lineRule="auto"/>
              <w:rPr>
                <w:sz w:val="19"/>
                <w:szCs w:val="19"/>
              </w:rPr>
            </w:pPr>
            <w:r>
              <w:rPr>
                <w:sz w:val="19"/>
                <w:szCs w:val="19"/>
                <w:spacing w:val="8"/>
              </w:rPr>
              <w:t>移民事务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2" w:line="206" w:lineRule="auto"/>
              <w:rPr>
                <w:sz w:val="19"/>
                <w:szCs w:val="19"/>
              </w:rPr>
            </w:pPr>
            <w:r>
              <w:rPr>
                <w:sz w:val="19"/>
                <w:szCs w:val="19"/>
                <w:spacing w:val="8"/>
              </w:rPr>
              <w:t>事业运行</w:t>
            </w:r>
          </w:p>
        </w:tc>
        <w:tc>
          <w:tcPr>
            <w:tcW w:w="2216" w:type="dxa"/>
            <w:vAlign w:val="top"/>
          </w:tcPr>
          <w:p>
            <w:pPr>
              <w:pStyle w:val="TableText"/>
              <w:ind w:right="8"/>
              <w:spacing w:before="78" w:line="210" w:lineRule="auto"/>
              <w:jc w:val="right"/>
              <w:rPr>
                <w:sz w:val="19"/>
                <w:szCs w:val="19"/>
              </w:rPr>
            </w:pPr>
            <w:r>
              <w:rPr>
                <w:sz w:val="19"/>
                <w:szCs w:val="19"/>
                <w:spacing w:val="-4"/>
              </w:rPr>
              <w:t>150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81" w:line="206" w:lineRule="auto"/>
              <w:rPr>
                <w:sz w:val="19"/>
                <w:szCs w:val="19"/>
              </w:rPr>
            </w:pPr>
            <w:r>
              <w:rPr>
                <w:sz w:val="19"/>
                <w:szCs w:val="19"/>
                <w:spacing w:val="9"/>
              </w:rPr>
              <w:t>其他公安支出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34"/>
              <w:spacing w:before="84" w:line="205" w:lineRule="auto"/>
              <w:rPr>
                <w:sz w:val="19"/>
                <w:szCs w:val="19"/>
              </w:rPr>
            </w:pPr>
            <w:r>
              <w:rPr>
                <w:sz w:val="19"/>
                <w:szCs w:val="19"/>
                <w:spacing w:val="3"/>
              </w:rPr>
              <w:t>国家安全</w:t>
            </w:r>
          </w:p>
        </w:tc>
        <w:tc>
          <w:tcPr>
            <w:tcW w:w="2216" w:type="dxa"/>
            <w:vAlign w:val="top"/>
          </w:tcPr>
          <w:p>
            <w:pPr>
              <w:pStyle w:val="TableText"/>
              <w:ind w:right="7"/>
              <w:spacing w:before="78" w:line="210"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86" w:line="202" w:lineRule="auto"/>
              <w:rPr>
                <w:sz w:val="19"/>
                <w:szCs w:val="19"/>
              </w:rPr>
            </w:pPr>
            <w:r>
              <w:rPr>
                <w:sz w:val="19"/>
                <w:szCs w:val="19"/>
                <w:spacing w:val="8"/>
              </w:rPr>
              <w:t>行政运行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5" w:line="204"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5" w:line="204"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6" w:line="203" w:lineRule="auto"/>
              <w:rPr>
                <w:sz w:val="19"/>
                <w:szCs w:val="19"/>
              </w:rPr>
            </w:pPr>
            <w:r>
              <w:rPr>
                <w:sz w:val="19"/>
                <w:szCs w:val="19"/>
                <w:spacing w:val="8"/>
              </w:rPr>
              <w:t>安全业务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6" w:line="203"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4" w:line="205" w:lineRule="auto"/>
              <w:rPr>
                <w:sz w:val="19"/>
                <w:szCs w:val="19"/>
              </w:rPr>
            </w:pPr>
            <w:r>
              <w:rPr>
                <w:sz w:val="19"/>
                <w:szCs w:val="19"/>
                <w:spacing w:val="9"/>
              </w:rPr>
              <w:t>其他国家安全支出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6"/>
              <w:spacing w:before="85" w:line="204" w:lineRule="auto"/>
              <w:rPr>
                <w:sz w:val="19"/>
                <w:szCs w:val="19"/>
              </w:rPr>
            </w:pPr>
            <w:r>
              <w:rPr>
                <w:sz w:val="19"/>
                <w:szCs w:val="19"/>
                <w:spacing w:val="6"/>
              </w:rPr>
              <w:t>检察</w:t>
            </w:r>
          </w:p>
        </w:tc>
        <w:tc>
          <w:tcPr>
            <w:tcW w:w="2216" w:type="dxa"/>
            <w:vAlign w:val="top"/>
          </w:tcPr>
          <w:p>
            <w:pPr>
              <w:pStyle w:val="TableText"/>
              <w:ind w:right="7"/>
              <w:spacing w:before="79" w:line="209"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5" w:line="204" w:lineRule="auto"/>
              <w:rPr>
                <w:sz w:val="19"/>
                <w:szCs w:val="19"/>
              </w:rPr>
            </w:pPr>
            <w:r>
              <w:rPr>
                <w:sz w:val="19"/>
                <w:szCs w:val="19"/>
                <w:spacing w:val="8"/>
              </w:rPr>
              <w:t>行政运行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6" w:line="203"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6" w:line="203"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1" w:line="207" w:lineRule="auto"/>
              <w:rPr>
                <w:sz w:val="19"/>
                <w:szCs w:val="19"/>
              </w:rPr>
            </w:pPr>
            <w:r>
              <w:rPr>
                <w:sz w:val="19"/>
                <w:szCs w:val="19"/>
                <w:spacing w:val="8"/>
              </w:rPr>
              <w:t>“两房”建设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5" w:line="204" w:lineRule="auto"/>
              <w:rPr>
                <w:sz w:val="19"/>
                <w:szCs w:val="19"/>
              </w:rPr>
            </w:pPr>
            <w:r>
              <w:rPr>
                <w:sz w:val="19"/>
                <w:szCs w:val="19"/>
                <w:spacing w:val="8"/>
              </w:rPr>
              <w:t>检查监督</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6" w:line="203"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4" w:line="205" w:lineRule="auto"/>
              <w:rPr>
                <w:sz w:val="19"/>
                <w:szCs w:val="19"/>
              </w:rPr>
            </w:pPr>
            <w:r>
              <w:rPr>
                <w:sz w:val="19"/>
                <w:szCs w:val="19"/>
                <w:spacing w:val="9"/>
              </w:rPr>
              <w:t>其他检察支出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5"/>
              <w:spacing w:before="85" w:line="204" w:lineRule="auto"/>
              <w:rPr>
                <w:sz w:val="19"/>
                <w:szCs w:val="19"/>
              </w:rPr>
            </w:pPr>
            <w:r>
              <w:rPr>
                <w:sz w:val="19"/>
                <w:szCs w:val="19"/>
                <w:spacing w:val="6"/>
              </w:rPr>
              <w:t>法院</w:t>
            </w:r>
          </w:p>
        </w:tc>
        <w:tc>
          <w:tcPr>
            <w:tcW w:w="2216" w:type="dxa"/>
            <w:vAlign w:val="top"/>
          </w:tcPr>
          <w:p>
            <w:pPr>
              <w:pStyle w:val="TableText"/>
              <w:ind w:right="7"/>
              <w:spacing w:before="79" w:line="209"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14" w:hRule="atLeast"/>
        </w:trPr>
        <w:tc>
          <w:tcPr>
            <w:tcW w:w="4612" w:type="dxa"/>
            <w:vAlign w:val="top"/>
            <w:tcBorders>
              <w:left w:val="single" w:color="000000" w:sz="6" w:space="0"/>
              <w:bottom w:val="single" w:color="000000" w:sz="6" w:space="0"/>
            </w:tcBorders>
          </w:tcPr>
          <w:p>
            <w:pPr>
              <w:pStyle w:val="TableText"/>
              <w:ind w:left="615"/>
              <w:spacing w:before="84" w:line="213" w:lineRule="auto"/>
              <w:rPr>
                <w:sz w:val="19"/>
                <w:szCs w:val="19"/>
              </w:rPr>
            </w:pPr>
            <w:r>
              <w:rPr>
                <w:sz w:val="19"/>
                <w:szCs w:val="19"/>
                <w:spacing w:val="8"/>
              </w:rPr>
              <w:t>行政运行</w:t>
            </w:r>
          </w:p>
        </w:tc>
        <w:tc>
          <w:tcPr>
            <w:tcW w:w="2216" w:type="dxa"/>
            <w:vAlign w:val="top"/>
            <w:tcBorders>
              <w:bottom w:val="single" w:color="000000" w:sz="6" w:space="0"/>
            </w:tcBorders>
          </w:tcPr>
          <w:p>
            <w:pPr>
              <w:rPr>
                <w:rFonts w:ascii="Arial"/>
                <w:sz w:val="21"/>
              </w:rPr>
            </w:pPr>
            <w:r/>
          </w:p>
        </w:tc>
        <w:tc>
          <w:tcPr>
            <w:tcW w:w="2013"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23"/>
          <w:footerReference w:type="default" r:id="rId31"/>
          <w:pgSz w:w="11907" w:h="16840"/>
          <w:pgMar w:top="1801" w:right="1525" w:bottom="1660" w:left="1525" w:header="1428" w:footer="1289" w:gutter="0"/>
        </w:sectPr>
        <w:rPr>
          <w:rFonts w:ascii="Arial" w:hAnsi="Arial" w:eastAsia="Arial" w:cs="Arial"/>
          <w:sz w:val="21"/>
          <w:szCs w:val="21"/>
        </w:rPr>
      </w:pPr>
    </w:p>
    <w:p>
      <w:pPr>
        <w:spacing w:line="240" w:lineRule="exact"/>
        <w:rPr/>
      </w:pPr>
      <w:r/>
    </w:p>
    <w:tbl>
      <w:tblPr>
        <w:tblStyle w:val="TableNormal"/>
        <w:tblW w:w="8841"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12"/>
        <w:gridCol w:w="2216"/>
        <w:gridCol w:w="2013"/>
      </w:tblGrid>
      <w:tr>
        <w:trPr>
          <w:trHeight w:val="312" w:hRule="atLeast"/>
        </w:trPr>
        <w:tc>
          <w:tcPr>
            <w:tcW w:w="4612" w:type="dxa"/>
            <w:vAlign w:val="top"/>
            <w:tcBorders>
              <w:left w:val="single" w:color="000000" w:sz="6" w:space="0"/>
              <w:top w:val="single" w:color="000000" w:sz="6" w:space="0"/>
            </w:tcBorders>
          </w:tcPr>
          <w:p>
            <w:pPr>
              <w:pStyle w:val="TableText"/>
              <w:ind w:left="2104"/>
              <w:spacing w:before="81" w:line="212" w:lineRule="auto"/>
              <w:rPr>
                <w:sz w:val="19"/>
                <w:szCs w:val="19"/>
              </w:rPr>
            </w:pPr>
            <w:r>
              <w:rPr>
                <w:sz w:val="19"/>
                <w:szCs w:val="19"/>
                <w:b/>
                <w:bCs/>
                <w:spacing w:val="6"/>
              </w:rPr>
              <w:t>项目</w:t>
            </w:r>
          </w:p>
        </w:tc>
        <w:tc>
          <w:tcPr>
            <w:tcW w:w="2216" w:type="dxa"/>
            <w:vAlign w:val="top"/>
            <w:tcBorders>
              <w:top w:val="single" w:color="000000" w:sz="6" w:space="0"/>
            </w:tcBorders>
          </w:tcPr>
          <w:p>
            <w:pPr>
              <w:pStyle w:val="TableText"/>
              <w:ind w:left="813"/>
              <w:spacing w:before="76" w:line="219" w:lineRule="auto"/>
              <w:rPr>
                <w:sz w:val="19"/>
                <w:szCs w:val="19"/>
              </w:rPr>
            </w:pPr>
            <w:r>
              <w:rPr>
                <w:sz w:val="19"/>
                <w:szCs w:val="19"/>
                <w:b/>
                <w:bCs/>
                <w:spacing w:val="5"/>
              </w:rPr>
              <w:t>预算数</w:t>
            </w:r>
          </w:p>
        </w:tc>
        <w:tc>
          <w:tcPr>
            <w:tcW w:w="2013" w:type="dxa"/>
            <w:vAlign w:val="top"/>
            <w:tcBorders>
              <w:right w:val="single" w:color="000000" w:sz="6" w:space="0"/>
              <w:top w:val="single" w:color="000000" w:sz="6" w:space="0"/>
            </w:tcBorders>
          </w:tcPr>
          <w:p>
            <w:pPr>
              <w:pStyle w:val="TableText"/>
              <w:ind w:left="806"/>
              <w:spacing w:before="76" w:line="219" w:lineRule="auto"/>
              <w:rPr>
                <w:sz w:val="19"/>
                <w:szCs w:val="19"/>
              </w:rPr>
            </w:pPr>
            <w:r>
              <w:rPr>
                <w:sz w:val="19"/>
                <w:szCs w:val="19"/>
                <w:b/>
                <w:bCs/>
                <w:spacing w:val="6"/>
              </w:rPr>
              <w:t>备注</w:t>
            </w:r>
          </w:p>
        </w:tc>
      </w:tr>
      <w:tr>
        <w:trPr>
          <w:trHeight w:val="304" w:hRule="atLeast"/>
        </w:trPr>
        <w:tc>
          <w:tcPr>
            <w:tcW w:w="4612" w:type="dxa"/>
            <w:vAlign w:val="top"/>
            <w:tcBorders>
              <w:left w:val="single" w:color="000000" w:sz="6" w:space="0"/>
            </w:tcBorders>
          </w:tcPr>
          <w:p>
            <w:pPr>
              <w:pStyle w:val="TableText"/>
              <w:ind w:left="616"/>
              <w:spacing w:before="69" w:line="218"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73" w:line="214"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72" w:line="215" w:lineRule="auto"/>
              <w:rPr>
                <w:sz w:val="19"/>
                <w:szCs w:val="19"/>
              </w:rPr>
            </w:pPr>
            <w:r>
              <w:rPr>
                <w:sz w:val="19"/>
                <w:szCs w:val="19"/>
                <w:spacing w:val="8"/>
              </w:rPr>
              <w:t>案件审判</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73" w:line="214" w:lineRule="auto"/>
              <w:rPr>
                <w:sz w:val="19"/>
                <w:szCs w:val="19"/>
              </w:rPr>
            </w:pPr>
            <w:r>
              <w:rPr>
                <w:sz w:val="19"/>
                <w:szCs w:val="19"/>
                <w:spacing w:val="8"/>
              </w:rPr>
              <w:t>案件执行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1" w:line="216" w:lineRule="auto"/>
              <w:rPr>
                <w:sz w:val="19"/>
                <w:szCs w:val="19"/>
              </w:rPr>
            </w:pPr>
            <w:r>
              <w:rPr>
                <w:sz w:val="19"/>
                <w:szCs w:val="19"/>
                <w:spacing w:val="8"/>
              </w:rPr>
              <w:t>“两庭”建设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6" w:line="211"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5" w:line="213" w:lineRule="auto"/>
              <w:rPr>
                <w:sz w:val="19"/>
                <w:szCs w:val="19"/>
              </w:rPr>
            </w:pPr>
            <w:r>
              <w:rPr>
                <w:sz w:val="19"/>
                <w:szCs w:val="19"/>
                <w:spacing w:val="9"/>
              </w:rPr>
              <w:t>其他法院支出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25"/>
              <w:spacing w:before="81" w:line="207" w:lineRule="auto"/>
              <w:rPr>
                <w:sz w:val="19"/>
                <w:szCs w:val="19"/>
              </w:rPr>
            </w:pPr>
            <w:r>
              <w:rPr>
                <w:sz w:val="19"/>
                <w:szCs w:val="19"/>
                <w:spacing w:val="1"/>
              </w:rPr>
              <w:t>司法</w:t>
            </w:r>
          </w:p>
        </w:tc>
        <w:tc>
          <w:tcPr>
            <w:tcW w:w="2216" w:type="dxa"/>
            <w:vAlign w:val="top"/>
          </w:tcPr>
          <w:p>
            <w:pPr>
              <w:pStyle w:val="TableText"/>
              <w:ind w:right="8"/>
              <w:spacing w:before="71" w:line="217" w:lineRule="auto"/>
              <w:jc w:val="right"/>
              <w:rPr>
                <w:sz w:val="19"/>
                <w:szCs w:val="19"/>
              </w:rPr>
            </w:pPr>
            <w:r>
              <w:rPr>
                <w:sz w:val="19"/>
                <w:szCs w:val="19"/>
                <w:spacing w:val="2"/>
              </w:rPr>
              <w:t>490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6" w:line="212" w:lineRule="auto"/>
              <w:rPr>
                <w:sz w:val="19"/>
                <w:szCs w:val="19"/>
              </w:rPr>
            </w:pPr>
            <w:r>
              <w:rPr>
                <w:sz w:val="19"/>
                <w:szCs w:val="19"/>
                <w:spacing w:val="8"/>
              </w:rPr>
              <w:t>行政运行</w:t>
            </w:r>
          </w:p>
        </w:tc>
        <w:tc>
          <w:tcPr>
            <w:tcW w:w="2216" w:type="dxa"/>
            <w:vAlign w:val="top"/>
          </w:tcPr>
          <w:p>
            <w:pPr>
              <w:pStyle w:val="TableText"/>
              <w:ind w:right="8"/>
              <w:spacing w:before="71" w:line="217" w:lineRule="auto"/>
              <w:jc w:val="right"/>
              <w:rPr>
                <w:sz w:val="19"/>
                <w:szCs w:val="19"/>
              </w:rPr>
            </w:pPr>
            <w:r>
              <w:rPr>
                <w:sz w:val="19"/>
                <w:szCs w:val="19"/>
              </w:rPr>
              <w:t>390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7" w:line="211" w:lineRule="auto"/>
              <w:rPr>
                <w:sz w:val="19"/>
                <w:szCs w:val="19"/>
              </w:rPr>
            </w:pPr>
            <w:r>
              <w:rPr>
                <w:sz w:val="19"/>
                <w:szCs w:val="19"/>
                <w:spacing w:val="9"/>
              </w:rPr>
              <w:t>一般行政管理事务</w:t>
            </w:r>
          </w:p>
        </w:tc>
        <w:tc>
          <w:tcPr>
            <w:tcW w:w="2216" w:type="dxa"/>
            <w:vAlign w:val="top"/>
          </w:tcPr>
          <w:p>
            <w:pPr>
              <w:pStyle w:val="TableText"/>
              <w:ind w:right="8"/>
              <w:spacing w:before="73" w:line="215" w:lineRule="auto"/>
              <w:jc w:val="right"/>
              <w:rPr>
                <w:sz w:val="19"/>
                <w:szCs w:val="19"/>
              </w:rPr>
            </w:pPr>
            <w:r>
              <w:rPr>
                <w:sz w:val="19"/>
                <w:szCs w:val="19"/>
              </w:rPr>
              <w:t>50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7" w:line="211"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8" w:line="210" w:lineRule="auto"/>
              <w:rPr>
                <w:sz w:val="19"/>
                <w:szCs w:val="19"/>
              </w:rPr>
            </w:pPr>
            <w:r>
              <w:rPr>
                <w:sz w:val="19"/>
                <w:szCs w:val="19"/>
                <w:spacing w:val="9"/>
              </w:rPr>
              <w:t>基层司法业务</w:t>
            </w:r>
          </w:p>
        </w:tc>
        <w:tc>
          <w:tcPr>
            <w:tcW w:w="2216" w:type="dxa"/>
            <w:vAlign w:val="top"/>
          </w:tcPr>
          <w:p>
            <w:pPr>
              <w:pStyle w:val="TableText"/>
              <w:ind w:right="8"/>
              <w:spacing w:before="71" w:line="217" w:lineRule="auto"/>
              <w:jc w:val="right"/>
              <w:rPr>
                <w:sz w:val="19"/>
                <w:szCs w:val="19"/>
              </w:rPr>
            </w:pPr>
            <w:r>
              <w:rPr>
                <w:sz w:val="19"/>
                <w:szCs w:val="19"/>
                <w:spacing w:val="2"/>
              </w:rPr>
              <w:t>40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3" w:line="215" w:lineRule="auto"/>
              <w:rPr>
                <w:sz w:val="19"/>
                <w:szCs w:val="19"/>
              </w:rPr>
            </w:pPr>
            <w:r>
              <w:rPr>
                <w:sz w:val="19"/>
                <w:szCs w:val="19"/>
                <w:spacing w:val="8"/>
              </w:rPr>
              <w:t>普法宣传</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8" w:line="209" w:lineRule="auto"/>
              <w:rPr>
                <w:sz w:val="19"/>
                <w:szCs w:val="19"/>
              </w:rPr>
            </w:pPr>
            <w:r>
              <w:rPr>
                <w:sz w:val="19"/>
                <w:szCs w:val="19"/>
                <w:spacing w:val="8"/>
              </w:rPr>
              <w:t>律师管理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4"/>
              <w:spacing w:before="78" w:line="210" w:lineRule="auto"/>
              <w:rPr>
                <w:sz w:val="19"/>
                <w:szCs w:val="19"/>
              </w:rPr>
            </w:pPr>
            <w:r>
              <w:rPr>
                <w:sz w:val="19"/>
                <w:szCs w:val="19"/>
                <w:spacing w:val="9"/>
              </w:rPr>
              <w:t>公共法律服务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36"/>
              <w:spacing w:before="76" w:line="212" w:lineRule="auto"/>
              <w:rPr>
                <w:sz w:val="19"/>
                <w:szCs w:val="19"/>
              </w:rPr>
            </w:pPr>
            <w:r>
              <w:rPr>
                <w:sz w:val="19"/>
                <w:szCs w:val="19"/>
                <w:spacing w:val="7"/>
              </w:rPr>
              <w:t>国家统一法律职业资格考试</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0" w:line="208" w:lineRule="auto"/>
              <w:rPr>
                <w:sz w:val="19"/>
                <w:szCs w:val="19"/>
              </w:rPr>
            </w:pPr>
            <w:r>
              <w:rPr>
                <w:sz w:val="19"/>
                <w:szCs w:val="19"/>
                <w:spacing w:val="8"/>
              </w:rPr>
              <w:t>社区矫正</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5" w:line="213" w:lineRule="auto"/>
              <w:rPr>
                <w:sz w:val="19"/>
                <w:szCs w:val="19"/>
              </w:rPr>
            </w:pPr>
            <w:r>
              <w:rPr>
                <w:sz w:val="19"/>
                <w:szCs w:val="19"/>
                <w:spacing w:val="8"/>
              </w:rPr>
              <w:t>法制建设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5" w:line="213" w:lineRule="auto"/>
              <w:rPr>
                <w:sz w:val="19"/>
                <w:szCs w:val="19"/>
              </w:rPr>
            </w:pPr>
            <w:r>
              <w:rPr>
                <w:sz w:val="19"/>
                <w:szCs w:val="19"/>
                <w:spacing w:val="8"/>
              </w:rPr>
              <w:t>信息化建设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7" w:line="211"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5" w:line="213" w:lineRule="auto"/>
              <w:rPr>
                <w:sz w:val="19"/>
                <w:szCs w:val="19"/>
              </w:rPr>
            </w:pPr>
            <w:r>
              <w:rPr>
                <w:sz w:val="19"/>
                <w:szCs w:val="19"/>
                <w:spacing w:val="9"/>
              </w:rPr>
              <w:t>其他司法支出</w:t>
            </w:r>
          </w:p>
        </w:tc>
        <w:tc>
          <w:tcPr>
            <w:tcW w:w="2216" w:type="dxa"/>
            <w:vAlign w:val="top"/>
          </w:tcPr>
          <w:p>
            <w:pPr>
              <w:pStyle w:val="TableText"/>
              <w:ind w:right="8"/>
              <w:spacing w:before="72" w:line="216" w:lineRule="auto"/>
              <w:jc w:val="right"/>
              <w:rPr>
                <w:sz w:val="19"/>
                <w:szCs w:val="19"/>
              </w:rPr>
            </w:pPr>
            <w:r>
              <w:rPr>
                <w:sz w:val="19"/>
                <w:szCs w:val="19"/>
                <w:spacing w:val="-8"/>
              </w:rPr>
              <w:t>10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3"/>
              <w:spacing w:before="80" w:line="208" w:lineRule="auto"/>
              <w:rPr>
                <w:sz w:val="19"/>
                <w:szCs w:val="19"/>
              </w:rPr>
            </w:pPr>
            <w:r>
              <w:rPr>
                <w:sz w:val="19"/>
                <w:szCs w:val="19"/>
                <w:spacing w:val="7"/>
              </w:rPr>
              <w:t>监狱</w:t>
            </w:r>
          </w:p>
        </w:tc>
        <w:tc>
          <w:tcPr>
            <w:tcW w:w="2216" w:type="dxa"/>
            <w:vAlign w:val="top"/>
          </w:tcPr>
          <w:p>
            <w:pPr>
              <w:pStyle w:val="TableText"/>
              <w:ind w:right="7"/>
              <w:spacing w:before="74" w:line="214"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8" w:line="210" w:lineRule="auto"/>
              <w:rPr>
                <w:sz w:val="19"/>
                <w:szCs w:val="19"/>
              </w:rPr>
            </w:pPr>
            <w:r>
              <w:rPr>
                <w:sz w:val="19"/>
                <w:szCs w:val="19"/>
                <w:spacing w:val="8"/>
              </w:rPr>
              <w:t>行政运行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7" w:line="211"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7" w:line="211"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84" w:line="204" w:lineRule="auto"/>
              <w:rPr>
                <w:sz w:val="19"/>
                <w:szCs w:val="19"/>
              </w:rPr>
            </w:pPr>
            <w:r>
              <w:rPr>
                <w:sz w:val="19"/>
                <w:szCs w:val="19"/>
                <w:spacing w:val="8"/>
              </w:rPr>
              <w:t>犯人生活</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1" w:line="207" w:lineRule="auto"/>
              <w:rPr>
                <w:sz w:val="19"/>
                <w:szCs w:val="19"/>
              </w:rPr>
            </w:pPr>
            <w:r>
              <w:rPr>
                <w:sz w:val="19"/>
                <w:szCs w:val="19"/>
                <w:spacing w:val="8"/>
              </w:rPr>
              <w:t>犯人改造</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5" w:line="212" w:lineRule="auto"/>
              <w:rPr>
                <w:sz w:val="19"/>
                <w:szCs w:val="19"/>
              </w:rPr>
            </w:pPr>
            <w:r>
              <w:rPr>
                <w:sz w:val="19"/>
                <w:szCs w:val="19"/>
                <w:spacing w:val="9"/>
              </w:rPr>
              <w:t>狱政设施建设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6" w:line="212" w:lineRule="auto"/>
              <w:rPr>
                <w:sz w:val="19"/>
                <w:szCs w:val="19"/>
              </w:rPr>
            </w:pPr>
            <w:r>
              <w:rPr>
                <w:sz w:val="19"/>
                <w:szCs w:val="19"/>
                <w:spacing w:val="8"/>
              </w:rPr>
              <w:t>信息化建设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80" w:line="207"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9" w:line="209" w:lineRule="auto"/>
              <w:rPr>
                <w:sz w:val="19"/>
                <w:szCs w:val="19"/>
              </w:rPr>
            </w:pPr>
            <w:r>
              <w:rPr>
                <w:sz w:val="19"/>
                <w:szCs w:val="19"/>
                <w:spacing w:val="9"/>
              </w:rPr>
              <w:t>其他监狱支出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6"/>
              <w:spacing w:before="80" w:line="207" w:lineRule="auto"/>
              <w:rPr>
                <w:sz w:val="19"/>
                <w:szCs w:val="19"/>
              </w:rPr>
            </w:pPr>
            <w:r>
              <w:rPr>
                <w:sz w:val="19"/>
                <w:szCs w:val="19"/>
                <w:spacing w:val="8"/>
              </w:rPr>
              <w:t>强制隔离戒毒</w:t>
            </w:r>
          </w:p>
        </w:tc>
        <w:tc>
          <w:tcPr>
            <w:tcW w:w="2216" w:type="dxa"/>
            <w:vAlign w:val="top"/>
          </w:tcPr>
          <w:p>
            <w:pPr>
              <w:pStyle w:val="TableText"/>
              <w:ind w:right="7"/>
              <w:spacing w:before="75" w:line="212"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1" w:line="207" w:lineRule="auto"/>
              <w:rPr>
                <w:sz w:val="19"/>
                <w:szCs w:val="19"/>
              </w:rPr>
            </w:pPr>
            <w:r>
              <w:rPr>
                <w:sz w:val="19"/>
                <w:szCs w:val="19"/>
                <w:spacing w:val="8"/>
              </w:rPr>
              <w:t>行政运行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83" w:line="205"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4" w:line="205"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8"/>
              <w:spacing w:before="83" w:line="205" w:lineRule="auto"/>
              <w:rPr>
                <w:sz w:val="19"/>
                <w:szCs w:val="19"/>
              </w:rPr>
            </w:pPr>
            <w:r>
              <w:rPr>
                <w:sz w:val="19"/>
                <w:szCs w:val="19"/>
                <w:spacing w:val="9"/>
              </w:rPr>
              <w:t>强制隔离戒毒人员生活</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8"/>
              <w:spacing w:before="82" w:line="206" w:lineRule="auto"/>
              <w:rPr>
                <w:sz w:val="19"/>
                <w:szCs w:val="19"/>
              </w:rPr>
            </w:pPr>
            <w:r>
              <w:rPr>
                <w:sz w:val="19"/>
                <w:szCs w:val="19"/>
                <w:spacing w:val="9"/>
              </w:rPr>
              <w:t>强制隔离戒毒人员教育</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81" w:line="206" w:lineRule="auto"/>
              <w:rPr>
                <w:sz w:val="19"/>
                <w:szCs w:val="19"/>
              </w:rPr>
            </w:pPr>
            <w:r>
              <w:rPr>
                <w:sz w:val="19"/>
                <w:szCs w:val="19"/>
                <w:spacing w:val="9"/>
              </w:rPr>
              <w:t>所政设施建设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2" w:line="206" w:lineRule="auto"/>
              <w:rPr>
                <w:sz w:val="19"/>
                <w:szCs w:val="19"/>
              </w:rPr>
            </w:pPr>
            <w:r>
              <w:rPr>
                <w:sz w:val="19"/>
                <w:szCs w:val="19"/>
                <w:spacing w:val="8"/>
              </w:rPr>
              <w:t>信息化建设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14" w:hRule="atLeast"/>
        </w:trPr>
        <w:tc>
          <w:tcPr>
            <w:tcW w:w="4612" w:type="dxa"/>
            <w:vAlign w:val="top"/>
            <w:tcBorders>
              <w:left w:val="single" w:color="000000" w:sz="6" w:space="0"/>
              <w:bottom w:val="single" w:color="000000" w:sz="6" w:space="0"/>
            </w:tcBorders>
          </w:tcPr>
          <w:p>
            <w:pPr>
              <w:pStyle w:val="TableText"/>
              <w:ind w:left="616"/>
              <w:spacing w:before="84" w:line="213" w:lineRule="auto"/>
              <w:rPr>
                <w:sz w:val="19"/>
                <w:szCs w:val="19"/>
              </w:rPr>
            </w:pPr>
            <w:r>
              <w:rPr>
                <w:sz w:val="19"/>
                <w:szCs w:val="19"/>
                <w:spacing w:val="8"/>
              </w:rPr>
              <w:t>事业运行</w:t>
            </w:r>
          </w:p>
        </w:tc>
        <w:tc>
          <w:tcPr>
            <w:tcW w:w="2216" w:type="dxa"/>
            <w:vAlign w:val="top"/>
            <w:tcBorders>
              <w:bottom w:val="single" w:color="000000" w:sz="6" w:space="0"/>
            </w:tcBorders>
          </w:tcPr>
          <w:p>
            <w:pPr>
              <w:rPr>
                <w:rFonts w:ascii="Arial"/>
                <w:sz w:val="21"/>
              </w:rPr>
            </w:pPr>
            <w:r/>
          </w:p>
        </w:tc>
        <w:tc>
          <w:tcPr>
            <w:tcW w:w="2013" w:type="dxa"/>
            <w:vAlign w:val="top"/>
            <w:tcBorders>
              <w:bottom w:val="single" w:color="000000" w:sz="6" w:space="0"/>
              <w:right w:val="single" w:color="000000" w:sz="6" w:space="0"/>
            </w:tcBorders>
          </w:tcPr>
          <w:p>
            <w:pPr>
              <w:rPr>
                <w:rFonts w:ascii="Arial"/>
                <w:sz w:val="21"/>
              </w:rPr>
            </w:pPr>
            <w:r/>
          </w:p>
        </w:tc>
      </w:tr>
    </w:tbl>
    <w:p>
      <w:pPr>
        <w:spacing w:line="134" w:lineRule="exact"/>
        <w:rPr>
          <w:rFonts w:ascii="Arial"/>
          <w:sz w:val="11"/>
        </w:rPr>
      </w:pPr>
      <w:r/>
    </w:p>
    <w:p>
      <w:pPr>
        <w:spacing w:line="134" w:lineRule="exact"/>
        <w:sectPr>
          <w:headerReference w:type="default" r:id="rId25"/>
          <w:footerReference w:type="default" r:id="rId32"/>
          <w:pgSz w:w="11907" w:h="16840"/>
          <w:pgMar w:top="1845" w:right="1525" w:bottom="1671" w:left="1525" w:header="1428" w:footer="1277" w:gutter="0"/>
        </w:sectPr>
        <w:rPr>
          <w:rFonts w:ascii="Arial" w:hAnsi="Arial" w:eastAsia="Arial" w:cs="Arial"/>
          <w:sz w:val="11"/>
          <w:szCs w:val="11"/>
        </w:rPr>
      </w:pPr>
    </w:p>
    <w:p>
      <w:pPr>
        <w:spacing w:line="143" w:lineRule="exact"/>
        <w:rPr/>
      </w:pPr>
      <w:r/>
    </w:p>
    <w:tbl>
      <w:tblPr>
        <w:tblStyle w:val="TableNormal"/>
        <w:tblW w:w="8841"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12"/>
        <w:gridCol w:w="2216"/>
        <w:gridCol w:w="2013"/>
      </w:tblGrid>
      <w:tr>
        <w:trPr>
          <w:trHeight w:val="312" w:hRule="atLeast"/>
        </w:trPr>
        <w:tc>
          <w:tcPr>
            <w:tcW w:w="4612" w:type="dxa"/>
            <w:vAlign w:val="top"/>
            <w:tcBorders>
              <w:left w:val="single" w:color="000000" w:sz="6" w:space="0"/>
              <w:top w:val="single" w:color="000000" w:sz="6" w:space="0"/>
            </w:tcBorders>
          </w:tcPr>
          <w:p>
            <w:pPr>
              <w:pStyle w:val="TableText"/>
              <w:ind w:left="2104"/>
              <w:spacing w:before="81" w:line="212" w:lineRule="auto"/>
              <w:rPr>
                <w:sz w:val="19"/>
                <w:szCs w:val="19"/>
              </w:rPr>
            </w:pPr>
            <w:r>
              <w:rPr>
                <w:sz w:val="19"/>
                <w:szCs w:val="19"/>
                <w:b/>
                <w:bCs/>
                <w:spacing w:val="6"/>
              </w:rPr>
              <w:t>项目</w:t>
            </w:r>
          </w:p>
        </w:tc>
        <w:tc>
          <w:tcPr>
            <w:tcW w:w="2216" w:type="dxa"/>
            <w:vAlign w:val="top"/>
            <w:tcBorders>
              <w:top w:val="single" w:color="000000" w:sz="6" w:space="0"/>
            </w:tcBorders>
          </w:tcPr>
          <w:p>
            <w:pPr>
              <w:pStyle w:val="TableText"/>
              <w:ind w:left="813"/>
              <w:spacing w:before="75" w:line="220" w:lineRule="auto"/>
              <w:rPr>
                <w:sz w:val="19"/>
                <w:szCs w:val="19"/>
              </w:rPr>
            </w:pPr>
            <w:r>
              <w:rPr>
                <w:sz w:val="19"/>
                <w:szCs w:val="19"/>
                <w:b/>
                <w:bCs/>
                <w:spacing w:val="5"/>
              </w:rPr>
              <w:t>预算数</w:t>
            </w:r>
          </w:p>
        </w:tc>
        <w:tc>
          <w:tcPr>
            <w:tcW w:w="2013" w:type="dxa"/>
            <w:vAlign w:val="top"/>
            <w:tcBorders>
              <w:right w:val="single" w:color="000000" w:sz="6" w:space="0"/>
              <w:top w:val="single" w:color="000000" w:sz="6" w:space="0"/>
            </w:tcBorders>
          </w:tcPr>
          <w:p>
            <w:pPr>
              <w:pStyle w:val="TableText"/>
              <w:ind w:left="806"/>
              <w:spacing w:before="75" w:line="220" w:lineRule="auto"/>
              <w:rPr>
                <w:sz w:val="19"/>
                <w:szCs w:val="19"/>
              </w:rPr>
            </w:pPr>
            <w:r>
              <w:rPr>
                <w:sz w:val="19"/>
                <w:szCs w:val="19"/>
                <w:b/>
                <w:bCs/>
                <w:spacing w:val="6"/>
              </w:rPr>
              <w:t>备注</w:t>
            </w:r>
          </w:p>
        </w:tc>
      </w:tr>
      <w:tr>
        <w:trPr>
          <w:trHeight w:val="304" w:hRule="atLeast"/>
        </w:trPr>
        <w:tc>
          <w:tcPr>
            <w:tcW w:w="4612" w:type="dxa"/>
            <w:vAlign w:val="top"/>
            <w:tcBorders>
              <w:left w:val="single" w:color="000000" w:sz="6" w:space="0"/>
            </w:tcBorders>
          </w:tcPr>
          <w:p>
            <w:pPr>
              <w:pStyle w:val="TableText"/>
              <w:ind w:left="615"/>
              <w:spacing w:before="70" w:line="217" w:lineRule="auto"/>
              <w:rPr>
                <w:sz w:val="19"/>
                <w:szCs w:val="19"/>
              </w:rPr>
            </w:pPr>
            <w:r>
              <w:rPr>
                <w:sz w:val="19"/>
                <w:szCs w:val="19"/>
                <w:spacing w:val="9"/>
              </w:rPr>
              <w:t>其他强制隔离戒毒支出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34"/>
              <w:spacing w:before="72" w:line="215" w:lineRule="auto"/>
              <w:rPr>
                <w:sz w:val="19"/>
                <w:szCs w:val="19"/>
              </w:rPr>
            </w:pPr>
            <w:r>
              <w:rPr>
                <w:sz w:val="19"/>
                <w:szCs w:val="19"/>
                <w:spacing w:val="3"/>
              </w:rPr>
              <w:t>国家保密</w:t>
            </w:r>
          </w:p>
        </w:tc>
        <w:tc>
          <w:tcPr>
            <w:tcW w:w="2216" w:type="dxa"/>
            <w:vAlign w:val="top"/>
          </w:tcPr>
          <w:p>
            <w:pPr>
              <w:pStyle w:val="TableText"/>
              <w:ind w:right="7"/>
              <w:spacing w:before="67" w:line="220"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3" w:line="214" w:lineRule="auto"/>
              <w:rPr>
                <w:sz w:val="19"/>
                <w:szCs w:val="19"/>
              </w:rPr>
            </w:pPr>
            <w:r>
              <w:rPr>
                <w:sz w:val="19"/>
                <w:szCs w:val="19"/>
                <w:spacing w:val="8"/>
              </w:rPr>
              <w:t>行政运行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2" w:line="215"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76" w:line="211"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4"/>
              <w:spacing w:before="75" w:line="212" w:lineRule="auto"/>
              <w:rPr>
                <w:sz w:val="19"/>
                <w:szCs w:val="19"/>
              </w:rPr>
            </w:pPr>
            <w:r>
              <w:rPr>
                <w:sz w:val="19"/>
                <w:szCs w:val="19"/>
                <w:spacing w:val="9"/>
              </w:rPr>
              <w:t>保密技术</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4"/>
              <w:spacing w:before="76" w:line="211" w:lineRule="auto"/>
              <w:rPr>
                <w:sz w:val="19"/>
                <w:szCs w:val="19"/>
              </w:rPr>
            </w:pPr>
            <w:r>
              <w:rPr>
                <w:sz w:val="19"/>
                <w:szCs w:val="19"/>
                <w:spacing w:val="9"/>
              </w:rPr>
              <w:t>保密管理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6" w:line="211"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8" w:line="210" w:lineRule="auto"/>
              <w:rPr>
                <w:sz w:val="19"/>
                <w:szCs w:val="19"/>
              </w:rPr>
            </w:pPr>
            <w:r>
              <w:rPr>
                <w:sz w:val="19"/>
                <w:szCs w:val="19"/>
                <w:spacing w:val="9"/>
              </w:rPr>
              <w:t>其他国家保密支出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5"/>
              <w:spacing w:before="78" w:line="210" w:lineRule="auto"/>
              <w:rPr>
                <w:sz w:val="19"/>
                <w:szCs w:val="19"/>
              </w:rPr>
            </w:pPr>
            <w:r>
              <w:rPr>
                <w:sz w:val="19"/>
                <w:szCs w:val="19"/>
                <w:spacing w:val="8"/>
              </w:rPr>
              <w:t>缉私警察</w:t>
            </w:r>
          </w:p>
        </w:tc>
        <w:tc>
          <w:tcPr>
            <w:tcW w:w="2216" w:type="dxa"/>
            <w:vAlign w:val="top"/>
          </w:tcPr>
          <w:p>
            <w:pPr>
              <w:pStyle w:val="TableText"/>
              <w:ind w:right="7"/>
              <w:spacing w:before="74" w:line="214"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9" w:line="209" w:lineRule="auto"/>
              <w:rPr>
                <w:sz w:val="19"/>
                <w:szCs w:val="19"/>
              </w:rPr>
            </w:pPr>
            <w:r>
              <w:rPr>
                <w:sz w:val="19"/>
                <w:szCs w:val="19"/>
                <w:spacing w:val="8"/>
              </w:rPr>
              <w:t>行政运行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7" w:line="211"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6" w:line="212" w:lineRule="auto"/>
              <w:rPr>
                <w:sz w:val="19"/>
                <w:szCs w:val="19"/>
              </w:rPr>
            </w:pPr>
            <w:r>
              <w:rPr>
                <w:sz w:val="19"/>
                <w:szCs w:val="19"/>
                <w:spacing w:val="8"/>
              </w:rPr>
              <w:t>信息化建设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9" w:line="209" w:lineRule="auto"/>
              <w:rPr>
                <w:sz w:val="19"/>
                <w:szCs w:val="19"/>
              </w:rPr>
            </w:pPr>
            <w:r>
              <w:rPr>
                <w:sz w:val="19"/>
                <w:szCs w:val="19"/>
                <w:spacing w:val="8"/>
              </w:rPr>
              <w:t>缉私业务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7" w:line="210" w:lineRule="auto"/>
              <w:rPr>
                <w:sz w:val="19"/>
                <w:szCs w:val="19"/>
              </w:rPr>
            </w:pPr>
            <w:r>
              <w:rPr>
                <w:sz w:val="19"/>
                <w:szCs w:val="19"/>
                <w:spacing w:val="9"/>
              </w:rPr>
              <w:t>其他缉私警察支出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3"/>
              <w:spacing w:before="77" w:line="211" w:lineRule="auto"/>
              <w:rPr>
                <w:sz w:val="19"/>
                <w:szCs w:val="19"/>
              </w:rPr>
            </w:pPr>
            <w:r>
              <w:rPr>
                <w:sz w:val="19"/>
                <w:szCs w:val="19"/>
                <w:spacing w:val="9"/>
              </w:rPr>
              <w:t>其他公共安全支出</w:t>
            </w:r>
          </w:p>
        </w:tc>
        <w:tc>
          <w:tcPr>
            <w:tcW w:w="2216" w:type="dxa"/>
            <w:vAlign w:val="top"/>
          </w:tcPr>
          <w:p>
            <w:pPr>
              <w:pStyle w:val="TableText"/>
              <w:ind w:right="8"/>
              <w:spacing w:before="74" w:line="214" w:lineRule="auto"/>
              <w:jc w:val="right"/>
              <w:rPr>
                <w:sz w:val="19"/>
                <w:szCs w:val="19"/>
              </w:rPr>
            </w:pPr>
            <w:r>
              <w:rPr>
                <w:sz w:val="19"/>
                <w:szCs w:val="19"/>
                <w:spacing w:val="2"/>
              </w:rPr>
              <w:t>749</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36"/>
              <w:spacing w:before="80" w:line="207" w:lineRule="auto"/>
              <w:rPr>
                <w:sz w:val="19"/>
                <w:szCs w:val="19"/>
              </w:rPr>
            </w:pPr>
            <w:r>
              <w:rPr>
                <w:sz w:val="19"/>
                <w:szCs w:val="19"/>
                <w:spacing w:val="6"/>
              </w:rPr>
              <w:t>国家司法救助支出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9" w:line="209" w:lineRule="auto"/>
              <w:rPr>
                <w:sz w:val="19"/>
                <w:szCs w:val="19"/>
              </w:rPr>
            </w:pPr>
            <w:r>
              <w:rPr>
                <w:sz w:val="19"/>
                <w:szCs w:val="19"/>
                <w:spacing w:val="9"/>
              </w:rPr>
              <w:t>其他公共安全支出</w:t>
            </w:r>
          </w:p>
        </w:tc>
        <w:tc>
          <w:tcPr>
            <w:tcW w:w="2216" w:type="dxa"/>
            <w:vAlign w:val="top"/>
          </w:tcPr>
          <w:p>
            <w:pPr>
              <w:pStyle w:val="TableText"/>
              <w:ind w:right="8"/>
              <w:spacing w:before="76" w:line="212" w:lineRule="auto"/>
              <w:jc w:val="right"/>
              <w:rPr>
                <w:sz w:val="19"/>
                <w:szCs w:val="19"/>
              </w:rPr>
            </w:pPr>
            <w:r>
              <w:rPr>
                <w:sz w:val="19"/>
                <w:szCs w:val="19"/>
                <w:spacing w:val="2"/>
              </w:rPr>
              <w:t>749</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20"/>
              <w:spacing w:before="80" w:line="207" w:lineRule="auto"/>
              <w:rPr>
                <w:sz w:val="19"/>
                <w:szCs w:val="19"/>
              </w:rPr>
            </w:pPr>
            <w:r>
              <w:rPr>
                <w:sz w:val="19"/>
                <w:szCs w:val="19"/>
                <w:spacing w:val="8"/>
              </w:rPr>
              <w:t>五、教育支出</w:t>
            </w:r>
          </w:p>
        </w:tc>
        <w:tc>
          <w:tcPr>
            <w:tcW w:w="2216" w:type="dxa"/>
            <w:vAlign w:val="top"/>
          </w:tcPr>
          <w:p>
            <w:pPr>
              <w:pStyle w:val="TableText"/>
              <w:ind w:right="8"/>
              <w:spacing w:before="75" w:line="212" w:lineRule="auto"/>
              <w:jc w:val="right"/>
              <w:rPr>
                <w:sz w:val="19"/>
                <w:szCs w:val="19"/>
              </w:rPr>
            </w:pPr>
            <w:r>
              <w:rPr>
                <w:sz w:val="19"/>
                <w:szCs w:val="19"/>
                <w:spacing w:val="3"/>
              </w:rPr>
              <w:t>41188</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5"/>
              <w:spacing w:before="80" w:line="208" w:lineRule="auto"/>
              <w:rPr>
                <w:sz w:val="19"/>
                <w:szCs w:val="19"/>
              </w:rPr>
            </w:pPr>
            <w:r>
              <w:rPr>
                <w:sz w:val="19"/>
                <w:szCs w:val="19"/>
                <w:spacing w:val="9"/>
              </w:rPr>
              <w:t>教育管理事务</w:t>
            </w:r>
          </w:p>
        </w:tc>
        <w:tc>
          <w:tcPr>
            <w:tcW w:w="2216" w:type="dxa"/>
            <w:vAlign w:val="top"/>
          </w:tcPr>
          <w:p>
            <w:pPr>
              <w:pStyle w:val="TableText"/>
              <w:ind w:right="8"/>
              <w:spacing w:before="76" w:line="212" w:lineRule="auto"/>
              <w:jc w:val="right"/>
              <w:rPr>
                <w:sz w:val="19"/>
                <w:szCs w:val="19"/>
              </w:rPr>
            </w:pPr>
            <w:r>
              <w:rPr>
                <w:sz w:val="19"/>
                <w:szCs w:val="19"/>
                <w:spacing w:val="1"/>
              </w:rPr>
              <w:t>601</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84" w:line="204" w:lineRule="auto"/>
              <w:rPr>
                <w:sz w:val="19"/>
                <w:szCs w:val="19"/>
              </w:rPr>
            </w:pPr>
            <w:r>
              <w:rPr>
                <w:sz w:val="19"/>
                <w:szCs w:val="19"/>
                <w:spacing w:val="8"/>
              </w:rPr>
              <w:t>行政运行</w:t>
            </w:r>
          </w:p>
        </w:tc>
        <w:tc>
          <w:tcPr>
            <w:tcW w:w="2216" w:type="dxa"/>
            <w:vAlign w:val="top"/>
          </w:tcPr>
          <w:p>
            <w:pPr>
              <w:pStyle w:val="TableText"/>
              <w:ind w:right="8"/>
              <w:spacing w:before="77" w:line="210" w:lineRule="auto"/>
              <w:jc w:val="right"/>
              <w:rPr>
                <w:sz w:val="19"/>
                <w:szCs w:val="19"/>
              </w:rPr>
            </w:pPr>
            <w:r>
              <w:rPr>
                <w:sz w:val="19"/>
                <w:szCs w:val="19"/>
                <w:spacing w:val="1"/>
              </w:rPr>
              <w:t>516</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2" w:line="206" w:lineRule="auto"/>
              <w:rPr>
                <w:sz w:val="19"/>
                <w:szCs w:val="19"/>
              </w:rPr>
            </w:pPr>
            <w:r>
              <w:rPr>
                <w:sz w:val="19"/>
                <w:szCs w:val="19"/>
                <w:spacing w:val="9"/>
              </w:rPr>
              <w:t>一般行政管理事务</w:t>
            </w:r>
          </w:p>
        </w:tc>
        <w:tc>
          <w:tcPr>
            <w:tcW w:w="2216" w:type="dxa"/>
            <w:vAlign w:val="top"/>
          </w:tcPr>
          <w:p>
            <w:pPr>
              <w:pStyle w:val="TableText"/>
              <w:ind w:right="8"/>
              <w:spacing w:before="78" w:line="210" w:lineRule="auto"/>
              <w:jc w:val="right"/>
              <w:rPr>
                <w:sz w:val="19"/>
                <w:szCs w:val="19"/>
              </w:rPr>
            </w:pPr>
            <w:r>
              <w:rPr>
                <w:sz w:val="19"/>
                <w:szCs w:val="19"/>
                <w:spacing w:val="-1"/>
              </w:rPr>
              <w:t>85</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83" w:line="205"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1" w:line="207" w:lineRule="auto"/>
              <w:rPr>
                <w:sz w:val="19"/>
                <w:szCs w:val="19"/>
              </w:rPr>
            </w:pPr>
            <w:r>
              <w:rPr>
                <w:sz w:val="19"/>
                <w:szCs w:val="19"/>
                <w:spacing w:val="9"/>
              </w:rPr>
              <w:t>其他教育管理事务支出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3"/>
              <w:spacing w:before="85" w:line="203" w:lineRule="auto"/>
              <w:rPr>
                <w:sz w:val="19"/>
                <w:szCs w:val="19"/>
              </w:rPr>
            </w:pPr>
            <w:r>
              <w:rPr>
                <w:sz w:val="19"/>
                <w:szCs w:val="19"/>
                <w:spacing w:val="8"/>
              </w:rPr>
              <w:t>普通教育</w:t>
            </w:r>
          </w:p>
        </w:tc>
        <w:tc>
          <w:tcPr>
            <w:tcW w:w="2216" w:type="dxa"/>
            <w:vAlign w:val="top"/>
          </w:tcPr>
          <w:p>
            <w:pPr>
              <w:pStyle w:val="TableText"/>
              <w:ind w:right="8"/>
              <w:spacing w:before="79" w:line="208" w:lineRule="auto"/>
              <w:jc w:val="right"/>
              <w:rPr>
                <w:sz w:val="19"/>
                <w:szCs w:val="19"/>
              </w:rPr>
            </w:pPr>
            <w:r>
              <w:rPr>
                <w:sz w:val="19"/>
                <w:szCs w:val="19"/>
                <w:spacing w:val="2"/>
              </w:rPr>
              <w:t>29907</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8"/>
              <w:spacing w:before="85" w:line="204" w:lineRule="auto"/>
              <w:rPr>
                <w:sz w:val="19"/>
                <w:szCs w:val="19"/>
              </w:rPr>
            </w:pPr>
            <w:r>
              <w:rPr>
                <w:sz w:val="19"/>
                <w:szCs w:val="19"/>
                <w:spacing w:val="8"/>
              </w:rPr>
              <w:t>学前教育</w:t>
            </w:r>
          </w:p>
        </w:tc>
        <w:tc>
          <w:tcPr>
            <w:tcW w:w="2216" w:type="dxa"/>
            <w:vAlign w:val="top"/>
          </w:tcPr>
          <w:p>
            <w:pPr>
              <w:pStyle w:val="TableText"/>
              <w:ind w:right="8"/>
              <w:spacing w:before="80" w:line="208" w:lineRule="auto"/>
              <w:jc w:val="right"/>
              <w:rPr>
                <w:sz w:val="19"/>
                <w:szCs w:val="19"/>
              </w:rPr>
            </w:pPr>
            <w:r>
              <w:rPr>
                <w:sz w:val="19"/>
                <w:szCs w:val="19"/>
                <w:spacing w:val="2"/>
              </w:rPr>
              <w:t>2068</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5" w:line="204" w:lineRule="auto"/>
              <w:rPr>
                <w:sz w:val="19"/>
                <w:szCs w:val="19"/>
              </w:rPr>
            </w:pPr>
            <w:r>
              <w:rPr>
                <w:sz w:val="19"/>
                <w:szCs w:val="19"/>
                <w:spacing w:val="8"/>
              </w:rPr>
              <w:t>小学教育</w:t>
            </w:r>
          </w:p>
        </w:tc>
        <w:tc>
          <w:tcPr>
            <w:tcW w:w="2216" w:type="dxa"/>
            <w:vAlign w:val="top"/>
          </w:tcPr>
          <w:p>
            <w:pPr>
              <w:pStyle w:val="TableText"/>
              <w:ind w:right="8"/>
              <w:spacing w:before="79" w:line="209" w:lineRule="auto"/>
              <w:jc w:val="right"/>
              <w:rPr>
                <w:sz w:val="19"/>
                <w:szCs w:val="19"/>
              </w:rPr>
            </w:pPr>
            <w:r>
              <w:rPr>
                <w:sz w:val="19"/>
                <w:szCs w:val="19"/>
                <w:spacing w:val="2"/>
              </w:rPr>
              <w:t>2299</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4" w:line="205" w:lineRule="auto"/>
              <w:rPr>
                <w:sz w:val="19"/>
                <w:szCs w:val="19"/>
              </w:rPr>
            </w:pPr>
            <w:r>
              <w:rPr>
                <w:sz w:val="19"/>
                <w:szCs w:val="19"/>
                <w:spacing w:val="8"/>
              </w:rPr>
              <w:t>初中教育</w:t>
            </w:r>
          </w:p>
        </w:tc>
        <w:tc>
          <w:tcPr>
            <w:tcW w:w="2216" w:type="dxa"/>
            <w:vAlign w:val="top"/>
          </w:tcPr>
          <w:p>
            <w:pPr>
              <w:pStyle w:val="TableText"/>
              <w:ind w:right="8"/>
              <w:spacing w:before="79" w:line="209" w:lineRule="auto"/>
              <w:jc w:val="right"/>
              <w:rPr>
                <w:sz w:val="19"/>
                <w:szCs w:val="19"/>
              </w:rPr>
            </w:pPr>
            <w:r>
              <w:rPr>
                <w:sz w:val="19"/>
                <w:szCs w:val="19"/>
                <w:spacing w:val="3"/>
              </w:rPr>
              <w:t>7291</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20"/>
              <w:spacing w:before="85" w:line="204" w:lineRule="auto"/>
              <w:rPr>
                <w:sz w:val="19"/>
                <w:szCs w:val="19"/>
              </w:rPr>
            </w:pPr>
            <w:r>
              <w:rPr>
                <w:sz w:val="19"/>
                <w:szCs w:val="19"/>
                <w:spacing w:val="7"/>
              </w:rPr>
              <w:t>高中教育</w:t>
            </w:r>
          </w:p>
        </w:tc>
        <w:tc>
          <w:tcPr>
            <w:tcW w:w="2216" w:type="dxa"/>
            <w:vAlign w:val="top"/>
          </w:tcPr>
          <w:p>
            <w:pPr>
              <w:pStyle w:val="TableText"/>
              <w:ind w:right="8"/>
              <w:spacing w:before="80" w:line="208" w:lineRule="auto"/>
              <w:jc w:val="right"/>
              <w:rPr>
                <w:sz w:val="19"/>
                <w:szCs w:val="19"/>
              </w:rPr>
            </w:pPr>
            <w:r>
              <w:rPr>
                <w:sz w:val="19"/>
                <w:szCs w:val="19"/>
                <w:spacing w:val="-1"/>
              </w:rPr>
              <w:t>16286</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20"/>
              <w:spacing w:before="84" w:line="205" w:lineRule="auto"/>
              <w:rPr>
                <w:sz w:val="19"/>
                <w:szCs w:val="19"/>
              </w:rPr>
            </w:pPr>
            <w:r>
              <w:rPr>
                <w:sz w:val="19"/>
                <w:szCs w:val="19"/>
                <w:spacing w:val="7"/>
              </w:rPr>
              <w:t>高等教育</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4" w:line="205" w:lineRule="auto"/>
              <w:rPr>
                <w:sz w:val="19"/>
                <w:szCs w:val="19"/>
              </w:rPr>
            </w:pPr>
            <w:r>
              <w:rPr>
                <w:sz w:val="19"/>
                <w:szCs w:val="19"/>
                <w:spacing w:val="9"/>
              </w:rPr>
              <w:t>其他普通教育支出</w:t>
            </w:r>
          </w:p>
        </w:tc>
        <w:tc>
          <w:tcPr>
            <w:tcW w:w="2216" w:type="dxa"/>
            <w:vAlign w:val="top"/>
          </w:tcPr>
          <w:p>
            <w:pPr>
              <w:pStyle w:val="TableText"/>
              <w:ind w:right="8"/>
              <w:spacing w:before="79" w:line="209" w:lineRule="auto"/>
              <w:jc w:val="right"/>
              <w:rPr>
                <w:sz w:val="19"/>
                <w:szCs w:val="19"/>
              </w:rPr>
            </w:pPr>
            <w:r>
              <w:rPr>
                <w:sz w:val="19"/>
                <w:szCs w:val="19"/>
                <w:spacing w:val="-2"/>
              </w:rPr>
              <w:t>1963</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8"/>
              <w:spacing w:before="84" w:line="205" w:lineRule="auto"/>
              <w:rPr>
                <w:sz w:val="19"/>
                <w:szCs w:val="19"/>
              </w:rPr>
            </w:pPr>
            <w:r>
              <w:rPr>
                <w:sz w:val="19"/>
                <w:szCs w:val="19"/>
                <w:spacing w:val="7"/>
              </w:rPr>
              <w:t>职业教育</w:t>
            </w:r>
          </w:p>
        </w:tc>
        <w:tc>
          <w:tcPr>
            <w:tcW w:w="2216" w:type="dxa"/>
            <w:vAlign w:val="top"/>
          </w:tcPr>
          <w:p>
            <w:pPr>
              <w:pStyle w:val="TableText"/>
              <w:ind w:right="8"/>
              <w:spacing w:before="79" w:line="209" w:lineRule="auto"/>
              <w:jc w:val="right"/>
              <w:rPr>
                <w:sz w:val="19"/>
                <w:szCs w:val="19"/>
              </w:rPr>
            </w:pPr>
            <w:r>
              <w:rPr>
                <w:sz w:val="19"/>
                <w:szCs w:val="19"/>
                <w:spacing w:val="2"/>
              </w:rPr>
              <w:t>6448</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5" w:line="204" w:lineRule="auto"/>
              <w:rPr>
                <w:sz w:val="19"/>
                <w:szCs w:val="19"/>
              </w:rPr>
            </w:pPr>
            <w:r>
              <w:rPr>
                <w:sz w:val="19"/>
                <w:szCs w:val="19"/>
                <w:spacing w:val="9"/>
              </w:rPr>
              <w:t>初等职业教育</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36"/>
              <w:spacing w:before="84" w:line="205" w:lineRule="auto"/>
              <w:rPr>
                <w:sz w:val="19"/>
                <w:szCs w:val="19"/>
              </w:rPr>
            </w:pPr>
            <w:r>
              <w:rPr>
                <w:sz w:val="19"/>
                <w:szCs w:val="19"/>
                <w:spacing w:val="5"/>
              </w:rPr>
              <w:t>中等职业教育</w:t>
            </w:r>
          </w:p>
        </w:tc>
        <w:tc>
          <w:tcPr>
            <w:tcW w:w="2216" w:type="dxa"/>
            <w:vAlign w:val="top"/>
          </w:tcPr>
          <w:p>
            <w:pPr>
              <w:pStyle w:val="TableText"/>
              <w:ind w:right="8"/>
              <w:spacing w:before="80" w:line="208" w:lineRule="auto"/>
              <w:jc w:val="right"/>
              <w:rPr>
                <w:sz w:val="19"/>
                <w:szCs w:val="19"/>
              </w:rPr>
            </w:pPr>
            <w:r>
              <w:rPr>
                <w:sz w:val="19"/>
                <w:szCs w:val="19"/>
                <w:spacing w:val="2"/>
              </w:rPr>
              <w:t>6448</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5" w:line="204" w:lineRule="auto"/>
              <w:rPr>
                <w:sz w:val="19"/>
                <w:szCs w:val="19"/>
              </w:rPr>
            </w:pPr>
            <w:r>
              <w:rPr>
                <w:sz w:val="19"/>
                <w:szCs w:val="19"/>
                <w:spacing w:val="8"/>
              </w:rPr>
              <w:t>技校教育</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20"/>
              <w:spacing w:before="82" w:line="206" w:lineRule="auto"/>
              <w:rPr>
                <w:sz w:val="19"/>
                <w:szCs w:val="19"/>
              </w:rPr>
            </w:pPr>
            <w:r>
              <w:rPr>
                <w:sz w:val="19"/>
                <w:szCs w:val="19"/>
                <w:spacing w:val="8"/>
              </w:rPr>
              <w:t>高等职业教育</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5" w:line="204" w:lineRule="auto"/>
              <w:rPr>
                <w:sz w:val="19"/>
                <w:szCs w:val="19"/>
              </w:rPr>
            </w:pPr>
            <w:r>
              <w:rPr>
                <w:sz w:val="19"/>
                <w:szCs w:val="19"/>
                <w:spacing w:val="9"/>
              </w:rPr>
              <w:t>其他职业教育支出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4"/>
              <w:spacing w:before="85" w:line="204" w:lineRule="auto"/>
              <w:rPr>
                <w:sz w:val="19"/>
                <w:szCs w:val="19"/>
              </w:rPr>
            </w:pPr>
            <w:r>
              <w:rPr>
                <w:sz w:val="19"/>
                <w:szCs w:val="19"/>
                <w:spacing w:val="8"/>
              </w:rPr>
              <w:t>成人教育</w:t>
            </w:r>
          </w:p>
        </w:tc>
        <w:tc>
          <w:tcPr>
            <w:tcW w:w="2216" w:type="dxa"/>
            <w:vAlign w:val="top"/>
          </w:tcPr>
          <w:p>
            <w:pPr>
              <w:pStyle w:val="TableText"/>
              <w:ind w:right="7"/>
              <w:spacing w:before="80" w:line="208"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4" w:line="205" w:lineRule="auto"/>
              <w:rPr>
                <w:sz w:val="19"/>
                <w:szCs w:val="19"/>
              </w:rPr>
            </w:pPr>
            <w:r>
              <w:rPr>
                <w:sz w:val="19"/>
                <w:szCs w:val="19"/>
                <w:spacing w:val="9"/>
              </w:rPr>
              <w:t>成人初等教育</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14" w:hRule="atLeast"/>
        </w:trPr>
        <w:tc>
          <w:tcPr>
            <w:tcW w:w="4612" w:type="dxa"/>
            <w:vAlign w:val="top"/>
            <w:tcBorders>
              <w:left w:val="single" w:color="000000" w:sz="6" w:space="0"/>
              <w:bottom w:val="single" w:color="000000" w:sz="6" w:space="0"/>
            </w:tcBorders>
          </w:tcPr>
          <w:p>
            <w:pPr>
              <w:pStyle w:val="TableText"/>
              <w:ind w:left="616"/>
              <w:spacing w:before="82" w:line="215" w:lineRule="auto"/>
              <w:rPr>
                <w:sz w:val="19"/>
                <w:szCs w:val="19"/>
              </w:rPr>
            </w:pPr>
            <w:r>
              <w:rPr>
                <w:sz w:val="19"/>
                <w:szCs w:val="19"/>
                <w:spacing w:val="9"/>
              </w:rPr>
              <w:t>成人中等教育</w:t>
            </w:r>
          </w:p>
        </w:tc>
        <w:tc>
          <w:tcPr>
            <w:tcW w:w="2216" w:type="dxa"/>
            <w:vAlign w:val="top"/>
            <w:tcBorders>
              <w:bottom w:val="single" w:color="000000" w:sz="6" w:space="0"/>
            </w:tcBorders>
          </w:tcPr>
          <w:p>
            <w:pPr>
              <w:rPr>
                <w:rFonts w:ascii="Arial"/>
                <w:sz w:val="21"/>
              </w:rPr>
            </w:pPr>
            <w:r/>
          </w:p>
        </w:tc>
        <w:tc>
          <w:tcPr>
            <w:tcW w:w="2013"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23"/>
          <w:footerReference w:type="default" r:id="rId33"/>
          <w:pgSz w:w="11907" w:h="16840"/>
          <w:pgMar w:top="1801" w:right="1525" w:bottom="1660" w:left="1525" w:header="1428" w:footer="1289" w:gutter="0"/>
        </w:sectPr>
        <w:rPr>
          <w:rFonts w:ascii="Arial" w:hAnsi="Arial" w:eastAsia="Arial" w:cs="Arial"/>
          <w:sz w:val="21"/>
          <w:szCs w:val="21"/>
        </w:rPr>
      </w:pPr>
    </w:p>
    <w:p>
      <w:pPr>
        <w:spacing w:line="240" w:lineRule="exact"/>
        <w:rPr/>
      </w:pPr>
      <w:r/>
    </w:p>
    <w:tbl>
      <w:tblPr>
        <w:tblStyle w:val="TableNormal"/>
        <w:tblW w:w="8841"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12"/>
        <w:gridCol w:w="2216"/>
        <w:gridCol w:w="2013"/>
      </w:tblGrid>
      <w:tr>
        <w:trPr>
          <w:trHeight w:val="312" w:hRule="atLeast"/>
        </w:trPr>
        <w:tc>
          <w:tcPr>
            <w:tcW w:w="4612" w:type="dxa"/>
            <w:vAlign w:val="top"/>
            <w:tcBorders>
              <w:left w:val="single" w:color="000000" w:sz="6" w:space="0"/>
              <w:top w:val="single" w:color="000000" w:sz="6" w:space="0"/>
            </w:tcBorders>
          </w:tcPr>
          <w:p>
            <w:pPr>
              <w:pStyle w:val="TableText"/>
              <w:ind w:left="2104"/>
              <w:spacing w:before="81" w:line="212" w:lineRule="auto"/>
              <w:rPr>
                <w:sz w:val="19"/>
                <w:szCs w:val="19"/>
              </w:rPr>
            </w:pPr>
            <w:r>
              <w:rPr>
                <w:sz w:val="19"/>
                <w:szCs w:val="19"/>
                <w:b/>
                <w:bCs/>
                <w:spacing w:val="6"/>
              </w:rPr>
              <w:t>项目</w:t>
            </w:r>
          </w:p>
        </w:tc>
        <w:tc>
          <w:tcPr>
            <w:tcW w:w="2216" w:type="dxa"/>
            <w:vAlign w:val="top"/>
            <w:tcBorders>
              <w:top w:val="single" w:color="000000" w:sz="6" w:space="0"/>
            </w:tcBorders>
          </w:tcPr>
          <w:p>
            <w:pPr>
              <w:pStyle w:val="TableText"/>
              <w:ind w:left="813"/>
              <w:spacing w:before="76" w:line="219" w:lineRule="auto"/>
              <w:rPr>
                <w:sz w:val="19"/>
                <w:szCs w:val="19"/>
              </w:rPr>
            </w:pPr>
            <w:r>
              <w:rPr>
                <w:sz w:val="19"/>
                <w:szCs w:val="19"/>
                <w:b/>
                <w:bCs/>
                <w:spacing w:val="5"/>
              </w:rPr>
              <w:t>预算数</w:t>
            </w:r>
          </w:p>
        </w:tc>
        <w:tc>
          <w:tcPr>
            <w:tcW w:w="2013" w:type="dxa"/>
            <w:vAlign w:val="top"/>
            <w:tcBorders>
              <w:right w:val="single" w:color="000000" w:sz="6" w:space="0"/>
              <w:top w:val="single" w:color="000000" w:sz="6" w:space="0"/>
            </w:tcBorders>
          </w:tcPr>
          <w:p>
            <w:pPr>
              <w:pStyle w:val="TableText"/>
              <w:ind w:left="806"/>
              <w:spacing w:before="76" w:line="219" w:lineRule="auto"/>
              <w:rPr>
                <w:sz w:val="19"/>
                <w:szCs w:val="19"/>
              </w:rPr>
            </w:pPr>
            <w:r>
              <w:rPr>
                <w:sz w:val="19"/>
                <w:szCs w:val="19"/>
                <w:b/>
                <w:bCs/>
                <w:spacing w:val="6"/>
              </w:rPr>
              <w:t>备注</w:t>
            </w:r>
          </w:p>
        </w:tc>
      </w:tr>
      <w:tr>
        <w:trPr>
          <w:trHeight w:val="304" w:hRule="atLeast"/>
        </w:trPr>
        <w:tc>
          <w:tcPr>
            <w:tcW w:w="4612" w:type="dxa"/>
            <w:vAlign w:val="top"/>
            <w:tcBorders>
              <w:left w:val="single" w:color="000000" w:sz="6" w:space="0"/>
            </w:tcBorders>
          </w:tcPr>
          <w:p>
            <w:pPr>
              <w:pStyle w:val="TableText"/>
              <w:ind w:left="616"/>
              <w:spacing w:before="68" w:line="219" w:lineRule="auto"/>
              <w:rPr>
                <w:sz w:val="19"/>
                <w:szCs w:val="19"/>
              </w:rPr>
            </w:pPr>
            <w:r>
              <w:rPr>
                <w:sz w:val="19"/>
                <w:szCs w:val="19"/>
                <w:spacing w:val="9"/>
              </w:rPr>
              <w:t>成人高等教育</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2" w:line="215" w:lineRule="auto"/>
              <w:rPr>
                <w:sz w:val="19"/>
                <w:szCs w:val="19"/>
              </w:rPr>
            </w:pPr>
            <w:r>
              <w:rPr>
                <w:sz w:val="19"/>
                <w:szCs w:val="19"/>
                <w:spacing w:val="9"/>
              </w:rPr>
              <w:t>成人广播电视教育</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2" w:line="215" w:lineRule="auto"/>
              <w:rPr>
                <w:sz w:val="19"/>
                <w:szCs w:val="19"/>
              </w:rPr>
            </w:pPr>
            <w:r>
              <w:rPr>
                <w:sz w:val="19"/>
                <w:szCs w:val="19"/>
                <w:spacing w:val="9"/>
              </w:rPr>
              <w:t>其他成人教育支出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6"/>
              <w:spacing w:before="73" w:line="214" w:lineRule="auto"/>
              <w:rPr>
                <w:sz w:val="19"/>
                <w:szCs w:val="19"/>
              </w:rPr>
            </w:pPr>
            <w:r>
              <w:rPr>
                <w:sz w:val="19"/>
                <w:szCs w:val="19"/>
                <w:spacing w:val="9"/>
              </w:rPr>
              <w:t>广播电视教育</w:t>
            </w:r>
          </w:p>
        </w:tc>
        <w:tc>
          <w:tcPr>
            <w:tcW w:w="2216" w:type="dxa"/>
            <w:vAlign w:val="top"/>
          </w:tcPr>
          <w:p>
            <w:pPr>
              <w:pStyle w:val="TableText"/>
              <w:ind w:right="7"/>
              <w:spacing w:before="68" w:line="219"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74" w:line="213" w:lineRule="auto"/>
              <w:rPr>
                <w:sz w:val="19"/>
                <w:szCs w:val="19"/>
              </w:rPr>
            </w:pPr>
            <w:r>
              <w:rPr>
                <w:sz w:val="19"/>
                <w:szCs w:val="19"/>
                <w:spacing w:val="9"/>
              </w:rPr>
              <w:t>广播电视学校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5" w:line="212" w:lineRule="auto"/>
              <w:rPr>
                <w:sz w:val="19"/>
                <w:szCs w:val="19"/>
              </w:rPr>
            </w:pPr>
            <w:r>
              <w:rPr>
                <w:sz w:val="19"/>
                <w:szCs w:val="19"/>
                <w:spacing w:val="8"/>
              </w:rPr>
              <w:t>教育电视台</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5" w:line="213" w:lineRule="auto"/>
              <w:rPr>
                <w:sz w:val="19"/>
                <w:szCs w:val="19"/>
              </w:rPr>
            </w:pPr>
            <w:r>
              <w:rPr>
                <w:sz w:val="19"/>
                <w:szCs w:val="19"/>
                <w:spacing w:val="9"/>
              </w:rPr>
              <w:t>其他广播电视教育支出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32"/>
              <w:spacing w:before="76" w:line="212" w:lineRule="auto"/>
              <w:rPr>
                <w:sz w:val="19"/>
                <w:szCs w:val="19"/>
              </w:rPr>
            </w:pPr>
            <w:r>
              <w:rPr>
                <w:sz w:val="19"/>
                <w:szCs w:val="19"/>
                <w:spacing w:val="4"/>
              </w:rPr>
              <w:t>留学教育</w:t>
            </w:r>
          </w:p>
        </w:tc>
        <w:tc>
          <w:tcPr>
            <w:tcW w:w="2216" w:type="dxa"/>
            <w:vAlign w:val="top"/>
          </w:tcPr>
          <w:p>
            <w:pPr>
              <w:pStyle w:val="TableText"/>
              <w:ind w:right="7"/>
              <w:spacing w:before="71" w:line="217"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31"/>
              <w:spacing w:before="75" w:line="213" w:lineRule="auto"/>
              <w:rPr>
                <w:sz w:val="19"/>
                <w:szCs w:val="19"/>
              </w:rPr>
            </w:pPr>
            <w:r>
              <w:rPr>
                <w:sz w:val="19"/>
                <w:szCs w:val="19"/>
                <w:spacing w:val="6"/>
              </w:rPr>
              <w:t>出国留学教育</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3"/>
              <w:spacing w:before="77" w:line="211" w:lineRule="auto"/>
              <w:rPr>
                <w:sz w:val="19"/>
                <w:szCs w:val="19"/>
              </w:rPr>
            </w:pPr>
            <w:r>
              <w:rPr>
                <w:sz w:val="19"/>
                <w:szCs w:val="19"/>
                <w:spacing w:val="9"/>
              </w:rPr>
              <w:t>来华留学教育</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5" w:line="213" w:lineRule="auto"/>
              <w:rPr>
                <w:sz w:val="19"/>
                <w:szCs w:val="19"/>
              </w:rPr>
            </w:pPr>
            <w:r>
              <w:rPr>
                <w:sz w:val="19"/>
                <w:szCs w:val="19"/>
                <w:spacing w:val="9"/>
              </w:rPr>
              <w:t>其他留学教育支出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6"/>
              <w:spacing w:before="76" w:line="212" w:lineRule="auto"/>
              <w:rPr>
                <w:sz w:val="19"/>
                <w:szCs w:val="19"/>
              </w:rPr>
            </w:pPr>
            <w:r>
              <w:rPr>
                <w:sz w:val="19"/>
                <w:szCs w:val="19"/>
                <w:spacing w:val="8"/>
              </w:rPr>
              <w:t>特殊教育</w:t>
            </w:r>
          </w:p>
        </w:tc>
        <w:tc>
          <w:tcPr>
            <w:tcW w:w="2216" w:type="dxa"/>
            <w:vAlign w:val="top"/>
          </w:tcPr>
          <w:p>
            <w:pPr>
              <w:pStyle w:val="TableText"/>
              <w:ind w:right="8"/>
              <w:spacing w:before="71" w:line="217" w:lineRule="auto"/>
              <w:jc w:val="right"/>
              <w:rPr>
                <w:sz w:val="19"/>
                <w:szCs w:val="19"/>
              </w:rPr>
            </w:pPr>
            <w:r>
              <w:rPr>
                <w:sz w:val="19"/>
                <w:szCs w:val="19"/>
                <w:spacing w:val="-2"/>
              </w:rPr>
              <w:t>1585</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8"/>
              <w:spacing w:before="75" w:line="213" w:lineRule="auto"/>
              <w:rPr>
                <w:sz w:val="19"/>
                <w:szCs w:val="19"/>
              </w:rPr>
            </w:pPr>
            <w:r>
              <w:rPr>
                <w:sz w:val="19"/>
                <w:szCs w:val="19"/>
                <w:spacing w:val="8"/>
              </w:rPr>
              <w:t>特殊学校教育</w:t>
            </w:r>
          </w:p>
        </w:tc>
        <w:tc>
          <w:tcPr>
            <w:tcW w:w="2216" w:type="dxa"/>
            <w:vAlign w:val="top"/>
          </w:tcPr>
          <w:p>
            <w:pPr>
              <w:pStyle w:val="TableText"/>
              <w:ind w:right="8"/>
              <w:spacing w:before="71" w:line="217" w:lineRule="auto"/>
              <w:jc w:val="right"/>
              <w:rPr>
                <w:sz w:val="19"/>
                <w:szCs w:val="19"/>
              </w:rPr>
            </w:pPr>
            <w:r>
              <w:rPr>
                <w:sz w:val="19"/>
                <w:szCs w:val="19"/>
                <w:spacing w:val="-2"/>
              </w:rPr>
              <w:t>1585</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7" w:line="210" w:lineRule="auto"/>
              <w:rPr>
                <w:sz w:val="19"/>
                <w:szCs w:val="19"/>
              </w:rPr>
            </w:pPr>
            <w:r>
              <w:rPr>
                <w:sz w:val="19"/>
                <w:szCs w:val="19"/>
                <w:spacing w:val="9"/>
              </w:rPr>
              <w:t>工读学校教育</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6" w:line="212" w:lineRule="auto"/>
              <w:rPr>
                <w:sz w:val="19"/>
                <w:szCs w:val="19"/>
              </w:rPr>
            </w:pPr>
            <w:r>
              <w:rPr>
                <w:sz w:val="19"/>
                <w:szCs w:val="19"/>
                <w:spacing w:val="9"/>
              </w:rPr>
              <w:t>其他特殊教育支出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4"/>
              <w:spacing w:before="76" w:line="212" w:lineRule="auto"/>
              <w:rPr>
                <w:sz w:val="19"/>
                <w:szCs w:val="19"/>
              </w:rPr>
            </w:pPr>
            <w:r>
              <w:rPr>
                <w:sz w:val="19"/>
                <w:szCs w:val="19"/>
                <w:spacing w:val="8"/>
              </w:rPr>
              <w:t>进修及培训</w:t>
            </w:r>
          </w:p>
        </w:tc>
        <w:tc>
          <w:tcPr>
            <w:tcW w:w="2216" w:type="dxa"/>
            <w:vAlign w:val="top"/>
          </w:tcPr>
          <w:p>
            <w:pPr>
              <w:pStyle w:val="TableText"/>
              <w:ind w:right="8"/>
              <w:spacing w:before="72" w:line="216" w:lineRule="auto"/>
              <w:jc w:val="right"/>
              <w:rPr>
                <w:sz w:val="19"/>
                <w:szCs w:val="19"/>
              </w:rPr>
            </w:pPr>
            <w:r>
              <w:rPr>
                <w:sz w:val="19"/>
                <w:szCs w:val="19"/>
              </w:rPr>
              <w:t>888</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5" w:line="213" w:lineRule="auto"/>
              <w:rPr>
                <w:sz w:val="19"/>
                <w:szCs w:val="19"/>
              </w:rPr>
            </w:pPr>
            <w:r>
              <w:rPr>
                <w:sz w:val="19"/>
                <w:szCs w:val="19"/>
                <w:spacing w:val="8"/>
              </w:rPr>
              <w:t>教师进修</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20"/>
              <w:spacing w:before="78" w:line="210" w:lineRule="auto"/>
              <w:rPr>
                <w:sz w:val="19"/>
                <w:szCs w:val="19"/>
              </w:rPr>
            </w:pPr>
            <w:r>
              <w:rPr>
                <w:sz w:val="19"/>
                <w:szCs w:val="19"/>
                <w:spacing w:val="7"/>
              </w:rPr>
              <w:t>干部教育</w:t>
            </w:r>
          </w:p>
        </w:tc>
        <w:tc>
          <w:tcPr>
            <w:tcW w:w="2216" w:type="dxa"/>
            <w:vAlign w:val="top"/>
          </w:tcPr>
          <w:p>
            <w:pPr>
              <w:pStyle w:val="TableText"/>
              <w:ind w:right="8"/>
              <w:spacing w:before="74" w:line="214" w:lineRule="auto"/>
              <w:jc w:val="right"/>
              <w:rPr>
                <w:sz w:val="19"/>
                <w:szCs w:val="19"/>
              </w:rPr>
            </w:pPr>
            <w:r>
              <w:rPr>
                <w:sz w:val="19"/>
                <w:szCs w:val="19"/>
              </w:rPr>
              <w:t>888</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9"/>
              <w:spacing w:before="78" w:line="210" w:lineRule="auto"/>
              <w:rPr>
                <w:sz w:val="19"/>
                <w:szCs w:val="19"/>
              </w:rPr>
            </w:pPr>
            <w:r>
              <w:rPr>
                <w:sz w:val="19"/>
                <w:szCs w:val="19"/>
                <w:spacing w:val="8"/>
              </w:rPr>
              <w:t>培训支出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8" w:line="210" w:lineRule="auto"/>
              <w:rPr>
                <w:sz w:val="19"/>
                <w:szCs w:val="19"/>
              </w:rPr>
            </w:pPr>
            <w:r>
              <w:rPr>
                <w:sz w:val="19"/>
                <w:szCs w:val="19"/>
                <w:spacing w:val="9"/>
              </w:rPr>
              <w:t>退役士兵能力提升</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5" w:line="213" w:lineRule="auto"/>
              <w:rPr>
                <w:sz w:val="19"/>
                <w:szCs w:val="19"/>
              </w:rPr>
            </w:pPr>
            <w:r>
              <w:rPr>
                <w:sz w:val="19"/>
                <w:szCs w:val="19"/>
                <w:spacing w:val="9"/>
              </w:rPr>
              <w:t>其他进修及培训</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5"/>
              <w:spacing w:before="78" w:line="210" w:lineRule="auto"/>
              <w:rPr>
                <w:sz w:val="19"/>
                <w:szCs w:val="19"/>
              </w:rPr>
            </w:pPr>
            <w:r>
              <w:rPr>
                <w:sz w:val="19"/>
                <w:szCs w:val="19"/>
                <w:spacing w:val="9"/>
              </w:rPr>
              <w:t>教育费附加安排的支出</w:t>
            </w:r>
          </w:p>
        </w:tc>
        <w:tc>
          <w:tcPr>
            <w:tcW w:w="2216" w:type="dxa"/>
            <w:vAlign w:val="top"/>
          </w:tcPr>
          <w:p>
            <w:pPr>
              <w:pStyle w:val="TableText"/>
              <w:ind w:right="8"/>
              <w:spacing w:before="74" w:line="214" w:lineRule="auto"/>
              <w:jc w:val="right"/>
              <w:rPr>
                <w:sz w:val="19"/>
                <w:szCs w:val="19"/>
              </w:rPr>
            </w:pPr>
            <w:r>
              <w:rPr>
                <w:sz w:val="19"/>
                <w:szCs w:val="19"/>
                <w:spacing w:val="-2"/>
              </w:rPr>
              <w:t>1461</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3"/>
              <w:spacing w:before="75" w:line="213" w:lineRule="auto"/>
              <w:rPr>
                <w:sz w:val="19"/>
                <w:szCs w:val="19"/>
              </w:rPr>
            </w:pPr>
            <w:r>
              <w:rPr>
                <w:sz w:val="19"/>
                <w:szCs w:val="19"/>
                <w:spacing w:val="9"/>
              </w:rPr>
              <w:t>农村中小学校舍建设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3"/>
              <w:spacing w:before="78" w:line="210" w:lineRule="auto"/>
              <w:rPr>
                <w:sz w:val="19"/>
                <w:szCs w:val="19"/>
              </w:rPr>
            </w:pPr>
            <w:r>
              <w:rPr>
                <w:sz w:val="19"/>
                <w:szCs w:val="19"/>
                <w:spacing w:val="9"/>
              </w:rPr>
              <w:t>农村中小学教学设施</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4" w:line="214" w:lineRule="auto"/>
              <w:rPr>
                <w:sz w:val="19"/>
                <w:szCs w:val="19"/>
              </w:rPr>
            </w:pPr>
            <w:r>
              <w:rPr>
                <w:sz w:val="19"/>
                <w:szCs w:val="19"/>
                <w:spacing w:val="9"/>
              </w:rPr>
              <w:t>城市中小学校舍建设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9" w:line="208" w:lineRule="auto"/>
              <w:rPr>
                <w:sz w:val="19"/>
                <w:szCs w:val="19"/>
              </w:rPr>
            </w:pPr>
            <w:r>
              <w:rPr>
                <w:sz w:val="19"/>
                <w:szCs w:val="19"/>
                <w:spacing w:val="9"/>
              </w:rPr>
              <w:t>城市中小学教学设施</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36"/>
              <w:spacing w:before="77" w:line="211" w:lineRule="auto"/>
              <w:rPr>
                <w:sz w:val="19"/>
                <w:szCs w:val="19"/>
              </w:rPr>
            </w:pPr>
            <w:r>
              <w:rPr>
                <w:sz w:val="19"/>
                <w:szCs w:val="19"/>
                <w:spacing w:val="7"/>
              </w:rPr>
              <w:t>中等职业学校教学设施</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7" w:line="210" w:lineRule="auto"/>
              <w:rPr>
                <w:sz w:val="19"/>
                <w:szCs w:val="19"/>
              </w:rPr>
            </w:pPr>
            <w:r>
              <w:rPr>
                <w:sz w:val="19"/>
                <w:szCs w:val="19"/>
                <w:spacing w:val="9"/>
              </w:rPr>
              <w:t>其他教育费附加安排的支出</w:t>
            </w:r>
          </w:p>
        </w:tc>
        <w:tc>
          <w:tcPr>
            <w:tcW w:w="2216" w:type="dxa"/>
            <w:vAlign w:val="top"/>
          </w:tcPr>
          <w:p>
            <w:pPr>
              <w:pStyle w:val="TableText"/>
              <w:ind w:right="8"/>
              <w:spacing w:before="73" w:line="214" w:lineRule="auto"/>
              <w:jc w:val="right"/>
              <w:rPr>
                <w:sz w:val="19"/>
                <w:szCs w:val="19"/>
              </w:rPr>
            </w:pPr>
            <w:r>
              <w:rPr>
                <w:sz w:val="19"/>
                <w:szCs w:val="19"/>
                <w:spacing w:val="-2"/>
              </w:rPr>
              <w:t>1461</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3"/>
              <w:spacing w:before="77" w:line="211" w:lineRule="auto"/>
              <w:rPr>
                <w:sz w:val="19"/>
                <w:szCs w:val="19"/>
              </w:rPr>
            </w:pPr>
            <w:r>
              <w:rPr>
                <w:sz w:val="19"/>
                <w:szCs w:val="19"/>
                <w:spacing w:val="9"/>
              </w:rPr>
              <w:t>其他教育支出</w:t>
            </w:r>
          </w:p>
        </w:tc>
        <w:tc>
          <w:tcPr>
            <w:tcW w:w="2216" w:type="dxa"/>
            <w:vAlign w:val="top"/>
          </w:tcPr>
          <w:p>
            <w:pPr>
              <w:pStyle w:val="TableText"/>
              <w:ind w:right="8"/>
              <w:spacing w:before="74" w:line="214" w:lineRule="auto"/>
              <w:jc w:val="right"/>
              <w:rPr>
                <w:sz w:val="19"/>
                <w:szCs w:val="19"/>
              </w:rPr>
            </w:pPr>
            <w:r>
              <w:rPr>
                <w:sz w:val="19"/>
                <w:szCs w:val="19"/>
                <w:spacing w:val="1"/>
              </w:rPr>
              <w:t>298</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16"/>
              <w:spacing w:before="80" w:line="207" w:lineRule="auto"/>
              <w:rPr>
                <w:sz w:val="19"/>
                <w:szCs w:val="19"/>
              </w:rPr>
            </w:pPr>
            <w:r>
              <w:rPr>
                <w:sz w:val="19"/>
                <w:szCs w:val="19"/>
                <w:spacing w:val="9"/>
              </w:rPr>
              <w:t>六、科学技术支出</w:t>
            </w:r>
          </w:p>
        </w:tc>
        <w:tc>
          <w:tcPr>
            <w:tcW w:w="2216" w:type="dxa"/>
            <w:vAlign w:val="top"/>
          </w:tcPr>
          <w:p>
            <w:pPr>
              <w:pStyle w:val="TableText"/>
              <w:ind w:right="8"/>
              <w:spacing w:before="75" w:line="212" w:lineRule="auto"/>
              <w:jc w:val="right"/>
              <w:rPr>
                <w:sz w:val="19"/>
                <w:szCs w:val="19"/>
              </w:rPr>
            </w:pPr>
            <w:r>
              <w:rPr>
                <w:sz w:val="19"/>
                <w:szCs w:val="19"/>
                <w:spacing w:val="2"/>
              </w:rPr>
              <w:t>2547</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3"/>
              <w:spacing w:before="80" w:line="208" w:lineRule="auto"/>
              <w:rPr>
                <w:sz w:val="19"/>
                <w:szCs w:val="19"/>
              </w:rPr>
            </w:pPr>
            <w:r>
              <w:rPr>
                <w:sz w:val="19"/>
                <w:szCs w:val="19"/>
                <w:spacing w:val="9"/>
              </w:rPr>
              <w:t>科学技术管理事务</w:t>
            </w:r>
          </w:p>
        </w:tc>
        <w:tc>
          <w:tcPr>
            <w:tcW w:w="2216" w:type="dxa"/>
            <w:vAlign w:val="top"/>
          </w:tcPr>
          <w:p>
            <w:pPr>
              <w:pStyle w:val="TableText"/>
              <w:ind w:right="8"/>
              <w:spacing w:before="76" w:line="212" w:lineRule="auto"/>
              <w:jc w:val="right"/>
              <w:rPr>
                <w:sz w:val="19"/>
                <w:szCs w:val="19"/>
              </w:rPr>
            </w:pPr>
            <w:r>
              <w:rPr>
                <w:sz w:val="19"/>
                <w:szCs w:val="19"/>
                <w:spacing w:val="1"/>
              </w:rPr>
              <w:t>250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80" w:line="207" w:lineRule="auto"/>
              <w:rPr>
                <w:sz w:val="19"/>
                <w:szCs w:val="19"/>
              </w:rPr>
            </w:pPr>
            <w:r>
              <w:rPr>
                <w:sz w:val="19"/>
                <w:szCs w:val="19"/>
                <w:spacing w:val="8"/>
              </w:rPr>
              <w:t>行政运行</w:t>
            </w:r>
          </w:p>
        </w:tc>
        <w:tc>
          <w:tcPr>
            <w:tcW w:w="2216" w:type="dxa"/>
            <w:vAlign w:val="top"/>
          </w:tcPr>
          <w:p>
            <w:pPr>
              <w:pStyle w:val="TableText"/>
              <w:ind w:right="8"/>
              <w:spacing w:before="75" w:line="212" w:lineRule="auto"/>
              <w:jc w:val="right"/>
              <w:rPr>
                <w:sz w:val="19"/>
                <w:szCs w:val="19"/>
              </w:rPr>
            </w:pPr>
            <w:r>
              <w:rPr>
                <w:sz w:val="19"/>
                <w:szCs w:val="19"/>
                <w:spacing w:val="-4"/>
              </w:rPr>
              <w:t>197</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0" w:line="208"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84" w:line="204"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1" w:line="207" w:lineRule="auto"/>
              <w:rPr>
                <w:sz w:val="19"/>
                <w:szCs w:val="19"/>
              </w:rPr>
            </w:pPr>
            <w:r>
              <w:rPr>
                <w:sz w:val="19"/>
                <w:szCs w:val="19"/>
                <w:spacing w:val="9"/>
              </w:rPr>
              <w:t>其他科学技术管理事务支出</w:t>
            </w:r>
          </w:p>
        </w:tc>
        <w:tc>
          <w:tcPr>
            <w:tcW w:w="2216" w:type="dxa"/>
            <w:vAlign w:val="top"/>
          </w:tcPr>
          <w:p>
            <w:pPr>
              <w:pStyle w:val="TableText"/>
              <w:ind w:right="8"/>
              <w:spacing w:before="78" w:line="210" w:lineRule="auto"/>
              <w:jc w:val="right"/>
              <w:rPr>
                <w:sz w:val="19"/>
                <w:szCs w:val="19"/>
              </w:rPr>
            </w:pPr>
            <w:r>
              <w:rPr>
                <w:sz w:val="19"/>
                <w:szCs w:val="19"/>
              </w:rPr>
              <w:t>53</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3"/>
              <w:spacing w:before="83" w:line="205" w:lineRule="auto"/>
              <w:rPr>
                <w:sz w:val="19"/>
                <w:szCs w:val="19"/>
              </w:rPr>
            </w:pPr>
            <w:r>
              <w:rPr>
                <w:sz w:val="19"/>
                <w:szCs w:val="19"/>
                <w:spacing w:val="8"/>
              </w:rPr>
              <w:t>基础研究</w:t>
            </w:r>
          </w:p>
        </w:tc>
        <w:tc>
          <w:tcPr>
            <w:tcW w:w="2216" w:type="dxa"/>
            <w:vAlign w:val="top"/>
          </w:tcPr>
          <w:p>
            <w:pPr>
              <w:pStyle w:val="TableText"/>
              <w:ind w:right="7"/>
              <w:spacing w:before="77" w:line="210"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4" w:line="205" w:lineRule="auto"/>
              <w:rPr>
                <w:sz w:val="19"/>
                <w:szCs w:val="19"/>
              </w:rPr>
            </w:pPr>
            <w:r>
              <w:rPr>
                <w:sz w:val="19"/>
                <w:szCs w:val="19"/>
                <w:spacing w:val="8"/>
              </w:rPr>
              <w:t>机构运行</w:t>
            </w:r>
          </w:p>
        </w:tc>
        <w:tc>
          <w:tcPr>
            <w:tcW w:w="2216" w:type="dxa"/>
            <w:vAlign w:val="top"/>
          </w:tcPr>
          <w:p>
            <w:pPr>
              <w:pStyle w:val="TableText"/>
              <w:ind w:right="7"/>
              <w:spacing w:before="78" w:line="210"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54"/>
              <w:spacing w:before="85" w:line="203" w:lineRule="auto"/>
              <w:rPr>
                <w:sz w:val="19"/>
                <w:szCs w:val="19"/>
              </w:rPr>
            </w:pPr>
            <w:r>
              <w:rPr>
                <w:sz w:val="19"/>
                <w:szCs w:val="19"/>
                <w:spacing w:val="2"/>
              </w:rPr>
              <w:t>自然科学基金</w:t>
            </w:r>
          </w:p>
        </w:tc>
        <w:tc>
          <w:tcPr>
            <w:tcW w:w="2216" w:type="dxa"/>
            <w:vAlign w:val="top"/>
          </w:tcPr>
          <w:p>
            <w:pPr>
              <w:pStyle w:val="TableText"/>
              <w:ind w:right="7"/>
              <w:spacing w:before="79" w:line="208"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9"/>
              <w:spacing w:before="86" w:line="203" w:lineRule="auto"/>
              <w:rPr>
                <w:sz w:val="19"/>
                <w:szCs w:val="19"/>
              </w:rPr>
            </w:pPr>
            <w:r>
              <w:rPr>
                <w:sz w:val="19"/>
                <w:szCs w:val="19"/>
                <w:spacing w:val="8"/>
              </w:rPr>
              <w:t>实验室及相关设施</w:t>
            </w:r>
          </w:p>
        </w:tc>
        <w:tc>
          <w:tcPr>
            <w:tcW w:w="2216" w:type="dxa"/>
            <w:vAlign w:val="top"/>
          </w:tcPr>
          <w:p>
            <w:pPr>
              <w:pStyle w:val="TableText"/>
              <w:ind w:right="7"/>
              <w:spacing w:before="80" w:line="208"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14" w:hRule="atLeast"/>
        </w:trPr>
        <w:tc>
          <w:tcPr>
            <w:tcW w:w="4612" w:type="dxa"/>
            <w:vAlign w:val="top"/>
            <w:tcBorders>
              <w:left w:val="single" w:color="000000" w:sz="6" w:space="0"/>
              <w:bottom w:val="single" w:color="000000" w:sz="6" w:space="0"/>
            </w:tcBorders>
          </w:tcPr>
          <w:p>
            <w:pPr>
              <w:pStyle w:val="TableText"/>
              <w:ind w:left="617"/>
              <w:spacing w:before="84" w:line="213" w:lineRule="auto"/>
              <w:rPr>
                <w:sz w:val="19"/>
                <w:szCs w:val="19"/>
              </w:rPr>
            </w:pPr>
            <w:r>
              <w:rPr>
                <w:sz w:val="19"/>
                <w:szCs w:val="19"/>
                <w:spacing w:val="9"/>
              </w:rPr>
              <w:t>重大科学工程</w:t>
            </w:r>
          </w:p>
        </w:tc>
        <w:tc>
          <w:tcPr>
            <w:tcW w:w="2216" w:type="dxa"/>
            <w:vAlign w:val="top"/>
            <w:tcBorders>
              <w:bottom w:val="single" w:color="000000" w:sz="6" w:space="0"/>
            </w:tcBorders>
          </w:tcPr>
          <w:p>
            <w:pPr>
              <w:pStyle w:val="TableText"/>
              <w:ind w:right="7"/>
              <w:spacing w:before="79" w:line="218" w:lineRule="auto"/>
              <w:jc w:val="right"/>
              <w:rPr>
                <w:sz w:val="19"/>
                <w:szCs w:val="19"/>
              </w:rPr>
            </w:pPr>
            <w:r>
              <w:rPr>
                <w:sz w:val="19"/>
                <w:szCs w:val="19"/>
              </w:rPr>
              <w:t>0</w:t>
            </w:r>
          </w:p>
        </w:tc>
        <w:tc>
          <w:tcPr>
            <w:tcW w:w="2013" w:type="dxa"/>
            <w:vAlign w:val="top"/>
            <w:tcBorders>
              <w:bottom w:val="single" w:color="000000" w:sz="6" w:space="0"/>
              <w:right w:val="single" w:color="000000" w:sz="6" w:space="0"/>
            </w:tcBorders>
          </w:tcPr>
          <w:p>
            <w:pPr>
              <w:rPr>
                <w:rFonts w:ascii="Arial"/>
                <w:sz w:val="21"/>
              </w:rPr>
            </w:pPr>
            <w:r/>
          </w:p>
        </w:tc>
      </w:tr>
    </w:tbl>
    <w:p>
      <w:pPr>
        <w:spacing w:line="134" w:lineRule="exact"/>
        <w:rPr>
          <w:rFonts w:ascii="Arial"/>
          <w:sz w:val="11"/>
        </w:rPr>
      </w:pPr>
      <w:r/>
    </w:p>
    <w:p>
      <w:pPr>
        <w:spacing w:line="134" w:lineRule="exact"/>
        <w:sectPr>
          <w:headerReference w:type="default" r:id="rId25"/>
          <w:footerReference w:type="default" r:id="rId34"/>
          <w:pgSz w:w="11907" w:h="16840"/>
          <w:pgMar w:top="1845" w:right="1525" w:bottom="1671" w:left="1525" w:header="1428" w:footer="1277" w:gutter="0"/>
        </w:sectPr>
        <w:rPr>
          <w:rFonts w:ascii="Arial" w:hAnsi="Arial" w:eastAsia="Arial" w:cs="Arial"/>
          <w:sz w:val="11"/>
          <w:szCs w:val="11"/>
        </w:rPr>
      </w:pPr>
    </w:p>
    <w:p>
      <w:pPr>
        <w:spacing w:line="143" w:lineRule="exact"/>
        <w:rPr/>
      </w:pPr>
      <w:r/>
    </w:p>
    <w:tbl>
      <w:tblPr>
        <w:tblStyle w:val="TableNormal"/>
        <w:tblW w:w="8841"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12"/>
        <w:gridCol w:w="2216"/>
        <w:gridCol w:w="2013"/>
      </w:tblGrid>
      <w:tr>
        <w:trPr>
          <w:trHeight w:val="312" w:hRule="atLeast"/>
        </w:trPr>
        <w:tc>
          <w:tcPr>
            <w:tcW w:w="4612" w:type="dxa"/>
            <w:vAlign w:val="top"/>
            <w:tcBorders>
              <w:left w:val="single" w:color="000000" w:sz="6" w:space="0"/>
              <w:top w:val="single" w:color="000000" w:sz="6" w:space="0"/>
            </w:tcBorders>
          </w:tcPr>
          <w:p>
            <w:pPr>
              <w:pStyle w:val="TableText"/>
              <w:ind w:left="2104"/>
              <w:spacing w:before="81" w:line="212" w:lineRule="auto"/>
              <w:rPr>
                <w:sz w:val="19"/>
                <w:szCs w:val="19"/>
              </w:rPr>
            </w:pPr>
            <w:r>
              <w:rPr>
                <w:sz w:val="19"/>
                <w:szCs w:val="19"/>
                <w:b/>
                <w:bCs/>
                <w:spacing w:val="6"/>
              </w:rPr>
              <w:t>项目</w:t>
            </w:r>
          </w:p>
        </w:tc>
        <w:tc>
          <w:tcPr>
            <w:tcW w:w="2216" w:type="dxa"/>
            <w:vAlign w:val="top"/>
            <w:tcBorders>
              <w:top w:val="single" w:color="000000" w:sz="6" w:space="0"/>
            </w:tcBorders>
          </w:tcPr>
          <w:p>
            <w:pPr>
              <w:pStyle w:val="TableText"/>
              <w:ind w:left="813"/>
              <w:spacing w:before="75" w:line="220" w:lineRule="auto"/>
              <w:rPr>
                <w:sz w:val="19"/>
                <w:szCs w:val="19"/>
              </w:rPr>
            </w:pPr>
            <w:r>
              <w:rPr>
                <w:sz w:val="19"/>
                <w:szCs w:val="19"/>
                <w:b/>
                <w:bCs/>
                <w:spacing w:val="5"/>
              </w:rPr>
              <w:t>预算数</w:t>
            </w:r>
          </w:p>
        </w:tc>
        <w:tc>
          <w:tcPr>
            <w:tcW w:w="2013" w:type="dxa"/>
            <w:vAlign w:val="top"/>
            <w:tcBorders>
              <w:right w:val="single" w:color="000000" w:sz="6" w:space="0"/>
              <w:top w:val="single" w:color="000000" w:sz="6" w:space="0"/>
            </w:tcBorders>
          </w:tcPr>
          <w:p>
            <w:pPr>
              <w:pStyle w:val="TableText"/>
              <w:ind w:left="806"/>
              <w:spacing w:before="75" w:line="220" w:lineRule="auto"/>
              <w:rPr>
                <w:sz w:val="19"/>
                <w:szCs w:val="19"/>
              </w:rPr>
            </w:pPr>
            <w:r>
              <w:rPr>
                <w:sz w:val="19"/>
                <w:szCs w:val="19"/>
                <w:b/>
                <w:bCs/>
                <w:spacing w:val="6"/>
              </w:rPr>
              <w:t>备注</w:t>
            </w:r>
          </w:p>
        </w:tc>
      </w:tr>
      <w:tr>
        <w:trPr>
          <w:trHeight w:val="304" w:hRule="atLeast"/>
        </w:trPr>
        <w:tc>
          <w:tcPr>
            <w:tcW w:w="4612" w:type="dxa"/>
            <w:vAlign w:val="top"/>
            <w:tcBorders>
              <w:left w:val="single" w:color="000000" w:sz="6" w:space="0"/>
            </w:tcBorders>
          </w:tcPr>
          <w:p>
            <w:pPr>
              <w:pStyle w:val="TableText"/>
              <w:ind w:left="616"/>
              <w:spacing w:before="70" w:line="217" w:lineRule="auto"/>
              <w:rPr>
                <w:sz w:val="19"/>
                <w:szCs w:val="19"/>
              </w:rPr>
            </w:pPr>
            <w:r>
              <w:rPr>
                <w:sz w:val="19"/>
                <w:szCs w:val="19"/>
                <w:spacing w:val="9"/>
              </w:rPr>
              <w:t>专项基础科研</w:t>
            </w:r>
          </w:p>
        </w:tc>
        <w:tc>
          <w:tcPr>
            <w:tcW w:w="2216" w:type="dxa"/>
            <w:vAlign w:val="top"/>
          </w:tcPr>
          <w:p>
            <w:pPr>
              <w:pStyle w:val="TableText"/>
              <w:ind w:right="7"/>
              <w:spacing w:before="67" w:line="220"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1" w:line="216" w:lineRule="auto"/>
              <w:rPr>
                <w:sz w:val="19"/>
                <w:szCs w:val="19"/>
              </w:rPr>
            </w:pPr>
            <w:r>
              <w:rPr>
                <w:sz w:val="19"/>
                <w:szCs w:val="19"/>
                <w:spacing w:val="9"/>
              </w:rPr>
              <w:t>专项技术基础</w:t>
            </w:r>
          </w:p>
        </w:tc>
        <w:tc>
          <w:tcPr>
            <w:tcW w:w="2216" w:type="dxa"/>
            <w:vAlign w:val="top"/>
          </w:tcPr>
          <w:p>
            <w:pPr>
              <w:pStyle w:val="TableText"/>
              <w:ind w:right="7"/>
              <w:spacing w:before="67" w:line="220"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4"/>
              <w:spacing w:before="69" w:line="218" w:lineRule="auto"/>
              <w:rPr>
                <w:sz w:val="19"/>
                <w:szCs w:val="19"/>
              </w:rPr>
            </w:pPr>
            <w:r>
              <w:rPr>
                <w:sz w:val="19"/>
                <w:szCs w:val="19"/>
                <w:spacing w:val="9"/>
              </w:rPr>
              <w:t>科技人才队伍建设</w:t>
            </w:r>
          </w:p>
        </w:tc>
        <w:tc>
          <w:tcPr>
            <w:tcW w:w="2216" w:type="dxa"/>
            <w:vAlign w:val="top"/>
          </w:tcPr>
          <w:p>
            <w:pPr>
              <w:pStyle w:val="TableText"/>
              <w:ind w:right="7"/>
              <w:spacing w:before="67" w:line="220"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1" w:line="216" w:lineRule="auto"/>
              <w:rPr>
                <w:sz w:val="19"/>
                <w:szCs w:val="19"/>
              </w:rPr>
            </w:pPr>
            <w:r>
              <w:rPr>
                <w:sz w:val="19"/>
                <w:szCs w:val="19"/>
                <w:spacing w:val="9"/>
              </w:rPr>
              <w:t>其他基础研究支出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3"/>
              <w:spacing w:before="76" w:line="211" w:lineRule="auto"/>
              <w:rPr>
                <w:sz w:val="19"/>
                <w:szCs w:val="19"/>
              </w:rPr>
            </w:pPr>
            <w:r>
              <w:rPr>
                <w:sz w:val="19"/>
                <w:szCs w:val="19"/>
                <w:spacing w:val="8"/>
              </w:rPr>
              <w:t>应用研究</w:t>
            </w:r>
          </w:p>
        </w:tc>
        <w:tc>
          <w:tcPr>
            <w:tcW w:w="2216" w:type="dxa"/>
            <w:vAlign w:val="top"/>
          </w:tcPr>
          <w:p>
            <w:pPr>
              <w:pStyle w:val="TableText"/>
              <w:ind w:right="7"/>
              <w:spacing w:before="71" w:line="216"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76" w:line="211" w:lineRule="auto"/>
              <w:rPr>
                <w:sz w:val="19"/>
                <w:szCs w:val="19"/>
              </w:rPr>
            </w:pPr>
            <w:r>
              <w:rPr>
                <w:sz w:val="19"/>
                <w:szCs w:val="19"/>
                <w:spacing w:val="8"/>
              </w:rPr>
              <w:t>机构运行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7" w:line="210" w:lineRule="auto"/>
              <w:rPr>
                <w:sz w:val="19"/>
                <w:szCs w:val="19"/>
              </w:rPr>
            </w:pPr>
            <w:r>
              <w:rPr>
                <w:sz w:val="19"/>
                <w:szCs w:val="19"/>
                <w:spacing w:val="9"/>
              </w:rPr>
              <w:t>社会公益研究</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20"/>
              <w:spacing w:before="75" w:line="212" w:lineRule="auto"/>
              <w:rPr>
                <w:sz w:val="19"/>
                <w:szCs w:val="19"/>
              </w:rPr>
            </w:pPr>
            <w:r>
              <w:rPr>
                <w:sz w:val="19"/>
                <w:szCs w:val="19"/>
                <w:spacing w:val="8"/>
              </w:rPr>
              <w:t>高技术研究</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8" w:line="210" w:lineRule="auto"/>
              <w:rPr>
                <w:sz w:val="19"/>
                <w:szCs w:val="19"/>
              </w:rPr>
            </w:pPr>
            <w:r>
              <w:rPr>
                <w:sz w:val="19"/>
                <w:szCs w:val="19"/>
                <w:spacing w:val="9"/>
              </w:rPr>
              <w:t>专项科研试制</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7" w:line="211" w:lineRule="auto"/>
              <w:rPr>
                <w:sz w:val="19"/>
                <w:szCs w:val="19"/>
              </w:rPr>
            </w:pPr>
            <w:r>
              <w:rPr>
                <w:sz w:val="19"/>
                <w:szCs w:val="19"/>
                <w:spacing w:val="9"/>
              </w:rPr>
              <w:t>其他应用研究支出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4"/>
              <w:spacing w:before="79" w:line="209" w:lineRule="auto"/>
              <w:rPr>
                <w:sz w:val="19"/>
                <w:szCs w:val="19"/>
              </w:rPr>
            </w:pPr>
            <w:r>
              <w:rPr>
                <w:sz w:val="19"/>
                <w:szCs w:val="19"/>
                <w:spacing w:val="9"/>
              </w:rPr>
              <w:t>技术研究与开发</w:t>
            </w:r>
          </w:p>
        </w:tc>
        <w:tc>
          <w:tcPr>
            <w:tcW w:w="2216" w:type="dxa"/>
            <w:vAlign w:val="top"/>
          </w:tcPr>
          <w:p>
            <w:pPr>
              <w:pStyle w:val="TableText"/>
              <w:ind w:right="8"/>
              <w:spacing w:before="73" w:line="215" w:lineRule="auto"/>
              <w:jc w:val="right"/>
              <w:rPr>
                <w:sz w:val="19"/>
                <w:szCs w:val="19"/>
              </w:rPr>
            </w:pPr>
            <w:r>
              <w:rPr>
                <w:sz w:val="19"/>
                <w:szCs w:val="19"/>
                <w:spacing w:val="-2"/>
              </w:rPr>
              <w:t>1940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8" w:line="210" w:lineRule="auto"/>
              <w:rPr>
                <w:sz w:val="19"/>
                <w:szCs w:val="19"/>
              </w:rPr>
            </w:pPr>
            <w:r>
              <w:rPr>
                <w:sz w:val="19"/>
                <w:szCs w:val="19"/>
                <w:spacing w:val="8"/>
              </w:rPr>
              <w:t>机构运行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0" w:line="208" w:lineRule="auto"/>
              <w:rPr>
                <w:sz w:val="19"/>
                <w:szCs w:val="19"/>
              </w:rPr>
            </w:pPr>
            <w:r>
              <w:rPr>
                <w:sz w:val="19"/>
                <w:szCs w:val="19"/>
                <w:spacing w:val="9"/>
              </w:rPr>
              <w:t>共性技术研究与开发</w:t>
            </w:r>
          </w:p>
        </w:tc>
        <w:tc>
          <w:tcPr>
            <w:tcW w:w="2216" w:type="dxa"/>
            <w:vAlign w:val="top"/>
          </w:tcPr>
          <w:p>
            <w:pPr>
              <w:pStyle w:val="TableText"/>
              <w:ind w:right="8"/>
              <w:spacing w:before="74" w:line="214" w:lineRule="auto"/>
              <w:jc w:val="right"/>
              <w:rPr>
                <w:sz w:val="19"/>
                <w:szCs w:val="19"/>
              </w:rPr>
            </w:pPr>
            <w:r>
              <w:rPr>
                <w:sz w:val="19"/>
                <w:szCs w:val="19"/>
                <w:spacing w:val="-1"/>
              </w:rPr>
              <w:t>30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4"/>
              <w:spacing w:before="78" w:line="210" w:lineRule="auto"/>
              <w:rPr>
                <w:sz w:val="19"/>
                <w:szCs w:val="19"/>
              </w:rPr>
            </w:pPr>
            <w:r>
              <w:rPr>
                <w:sz w:val="19"/>
                <w:szCs w:val="19"/>
                <w:spacing w:val="9"/>
              </w:rPr>
              <w:t>科技成果转化与扩散</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7" w:line="210" w:lineRule="auto"/>
              <w:rPr>
                <w:sz w:val="19"/>
                <w:szCs w:val="19"/>
              </w:rPr>
            </w:pPr>
            <w:r>
              <w:rPr>
                <w:sz w:val="19"/>
                <w:szCs w:val="19"/>
                <w:spacing w:val="9"/>
              </w:rPr>
              <w:t>其他技术研究与开发支出</w:t>
            </w:r>
          </w:p>
        </w:tc>
        <w:tc>
          <w:tcPr>
            <w:tcW w:w="2216" w:type="dxa"/>
            <w:vAlign w:val="top"/>
          </w:tcPr>
          <w:p>
            <w:pPr>
              <w:pStyle w:val="TableText"/>
              <w:ind w:right="8"/>
              <w:spacing w:before="73" w:line="214" w:lineRule="auto"/>
              <w:jc w:val="right"/>
              <w:rPr>
                <w:sz w:val="19"/>
                <w:szCs w:val="19"/>
              </w:rPr>
            </w:pPr>
            <w:r>
              <w:rPr>
                <w:sz w:val="19"/>
                <w:szCs w:val="19"/>
                <w:spacing w:val="-2"/>
              </w:rPr>
              <w:t>1910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3"/>
              <w:spacing w:before="76" w:line="212" w:lineRule="auto"/>
              <w:rPr>
                <w:sz w:val="19"/>
                <w:szCs w:val="19"/>
              </w:rPr>
            </w:pPr>
            <w:r>
              <w:rPr>
                <w:sz w:val="19"/>
                <w:szCs w:val="19"/>
                <w:spacing w:val="9"/>
              </w:rPr>
              <w:t>科技条件与服务</w:t>
            </w:r>
          </w:p>
        </w:tc>
        <w:tc>
          <w:tcPr>
            <w:tcW w:w="2216" w:type="dxa"/>
            <w:vAlign w:val="top"/>
          </w:tcPr>
          <w:p>
            <w:pPr>
              <w:pStyle w:val="TableText"/>
              <w:ind w:right="7"/>
              <w:spacing w:before="74" w:line="214"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81" w:line="206" w:lineRule="auto"/>
              <w:rPr>
                <w:sz w:val="19"/>
                <w:szCs w:val="19"/>
              </w:rPr>
            </w:pPr>
            <w:r>
              <w:rPr>
                <w:sz w:val="19"/>
                <w:szCs w:val="19"/>
                <w:spacing w:val="8"/>
              </w:rPr>
              <w:t>机构运行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8" w:line="210" w:lineRule="auto"/>
              <w:rPr>
                <w:sz w:val="19"/>
                <w:szCs w:val="19"/>
              </w:rPr>
            </w:pPr>
            <w:r>
              <w:rPr>
                <w:sz w:val="19"/>
                <w:szCs w:val="19"/>
                <w:spacing w:val="9"/>
              </w:rPr>
              <w:t>技术创新服务体系</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4"/>
              <w:spacing w:before="78" w:line="209" w:lineRule="auto"/>
              <w:rPr>
                <w:sz w:val="19"/>
                <w:szCs w:val="19"/>
              </w:rPr>
            </w:pPr>
            <w:r>
              <w:rPr>
                <w:sz w:val="19"/>
                <w:szCs w:val="19"/>
                <w:spacing w:val="9"/>
              </w:rPr>
              <w:t>科技条件专项</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8" w:line="210" w:lineRule="auto"/>
              <w:rPr>
                <w:sz w:val="19"/>
                <w:szCs w:val="19"/>
              </w:rPr>
            </w:pPr>
            <w:r>
              <w:rPr>
                <w:sz w:val="19"/>
                <w:szCs w:val="19"/>
                <w:spacing w:val="9"/>
              </w:rPr>
              <w:t>其他科技条件与服务支出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3"/>
              <w:spacing w:before="83" w:line="205" w:lineRule="auto"/>
              <w:rPr>
                <w:sz w:val="19"/>
                <w:szCs w:val="19"/>
              </w:rPr>
            </w:pPr>
            <w:r>
              <w:rPr>
                <w:sz w:val="19"/>
                <w:szCs w:val="19"/>
                <w:spacing w:val="8"/>
              </w:rPr>
              <w:t>社会科学</w:t>
            </w:r>
          </w:p>
        </w:tc>
        <w:tc>
          <w:tcPr>
            <w:tcW w:w="2216" w:type="dxa"/>
            <w:vAlign w:val="top"/>
          </w:tcPr>
          <w:p>
            <w:pPr>
              <w:pStyle w:val="TableText"/>
              <w:ind w:right="8"/>
              <w:spacing w:before="77" w:line="210" w:lineRule="auto"/>
              <w:jc w:val="right"/>
              <w:rPr>
                <w:sz w:val="19"/>
                <w:szCs w:val="19"/>
              </w:rPr>
            </w:pPr>
            <w:r>
              <w:rPr>
                <w:sz w:val="19"/>
                <w:szCs w:val="19"/>
              </w:rPr>
              <w:t>50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2" w:line="206" w:lineRule="auto"/>
              <w:rPr>
                <w:sz w:val="19"/>
                <w:szCs w:val="19"/>
              </w:rPr>
            </w:pPr>
            <w:r>
              <w:rPr>
                <w:sz w:val="19"/>
                <w:szCs w:val="19"/>
                <w:spacing w:val="9"/>
              </w:rPr>
              <w:t>社会科学研究机构</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83" w:line="205" w:lineRule="auto"/>
              <w:rPr>
                <w:sz w:val="19"/>
                <w:szCs w:val="19"/>
              </w:rPr>
            </w:pPr>
            <w:r>
              <w:rPr>
                <w:sz w:val="19"/>
                <w:szCs w:val="19"/>
                <w:spacing w:val="9"/>
              </w:rPr>
              <w:t>社会科学研究</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2" w:line="206" w:lineRule="auto"/>
              <w:rPr>
                <w:sz w:val="19"/>
                <w:szCs w:val="19"/>
              </w:rPr>
            </w:pPr>
            <w:r>
              <w:rPr>
                <w:sz w:val="19"/>
                <w:szCs w:val="19"/>
                <w:spacing w:val="9"/>
              </w:rPr>
              <w:t>社科基金支出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84" w:line="204" w:lineRule="auto"/>
              <w:rPr>
                <w:sz w:val="19"/>
                <w:szCs w:val="19"/>
              </w:rPr>
            </w:pPr>
            <w:r>
              <w:rPr>
                <w:sz w:val="19"/>
                <w:szCs w:val="19"/>
                <w:spacing w:val="9"/>
              </w:rPr>
              <w:t>其他社会科学支出</w:t>
            </w:r>
          </w:p>
        </w:tc>
        <w:tc>
          <w:tcPr>
            <w:tcW w:w="2216" w:type="dxa"/>
            <w:vAlign w:val="top"/>
          </w:tcPr>
          <w:p>
            <w:pPr>
              <w:pStyle w:val="TableText"/>
              <w:ind w:right="8"/>
              <w:spacing w:before="79" w:line="208" w:lineRule="auto"/>
              <w:jc w:val="right"/>
              <w:rPr>
                <w:sz w:val="19"/>
                <w:szCs w:val="19"/>
              </w:rPr>
            </w:pPr>
            <w:r>
              <w:rPr>
                <w:sz w:val="19"/>
                <w:szCs w:val="19"/>
              </w:rPr>
              <w:t>50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3"/>
              <w:spacing w:before="85" w:line="204" w:lineRule="auto"/>
              <w:rPr>
                <w:sz w:val="19"/>
                <w:szCs w:val="19"/>
              </w:rPr>
            </w:pPr>
            <w:r>
              <w:rPr>
                <w:sz w:val="19"/>
                <w:szCs w:val="19"/>
                <w:spacing w:val="9"/>
              </w:rPr>
              <w:t>科学技术普及</w:t>
            </w:r>
          </w:p>
        </w:tc>
        <w:tc>
          <w:tcPr>
            <w:tcW w:w="2216" w:type="dxa"/>
            <w:vAlign w:val="top"/>
          </w:tcPr>
          <w:p>
            <w:pPr>
              <w:pStyle w:val="TableText"/>
              <w:ind w:right="8"/>
              <w:spacing w:before="80" w:line="208" w:lineRule="auto"/>
              <w:jc w:val="right"/>
              <w:rPr>
                <w:sz w:val="19"/>
                <w:szCs w:val="19"/>
              </w:rPr>
            </w:pPr>
            <w:r>
              <w:rPr>
                <w:sz w:val="19"/>
                <w:szCs w:val="19"/>
              </w:rPr>
              <w:t>307</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5" w:line="204" w:lineRule="auto"/>
              <w:rPr>
                <w:sz w:val="19"/>
                <w:szCs w:val="19"/>
              </w:rPr>
            </w:pPr>
            <w:r>
              <w:rPr>
                <w:sz w:val="19"/>
                <w:szCs w:val="19"/>
                <w:spacing w:val="8"/>
              </w:rPr>
              <w:t>机构运行</w:t>
            </w:r>
          </w:p>
        </w:tc>
        <w:tc>
          <w:tcPr>
            <w:tcW w:w="2216" w:type="dxa"/>
            <w:vAlign w:val="top"/>
          </w:tcPr>
          <w:p>
            <w:pPr>
              <w:pStyle w:val="TableText"/>
              <w:ind w:right="8"/>
              <w:spacing w:before="79" w:line="209" w:lineRule="auto"/>
              <w:jc w:val="right"/>
              <w:rPr>
                <w:sz w:val="19"/>
                <w:szCs w:val="19"/>
              </w:rPr>
            </w:pPr>
            <w:r>
              <w:rPr>
                <w:sz w:val="19"/>
                <w:szCs w:val="19"/>
                <w:spacing w:val="-4"/>
              </w:rPr>
              <w:t>127</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4"/>
              <w:spacing w:before="84" w:line="205" w:lineRule="auto"/>
              <w:rPr>
                <w:sz w:val="19"/>
                <w:szCs w:val="19"/>
              </w:rPr>
            </w:pPr>
            <w:r>
              <w:rPr>
                <w:sz w:val="19"/>
                <w:szCs w:val="19"/>
                <w:spacing w:val="9"/>
              </w:rPr>
              <w:t>科普活动</w:t>
            </w:r>
          </w:p>
        </w:tc>
        <w:tc>
          <w:tcPr>
            <w:tcW w:w="2216" w:type="dxa"/>
            <w:vAlign w:val="top"/>
          </w:tcPr>
          <w:p>
            <w:pPr>
              <w:pStyle w:val="TableText"/>
              <w:ind w:right="8"/>
              <w:spacing w:before="79" w:line="209" w:lineRule="auto"/>
              <w:jc w:val="right"/>
              <w:rPr>
                <w:sz w:val="19"/>
                <w:szCs w:val="19"/>
              </w:rPr>
            </w:pPr>
            <w:r>
              <w:rPr>
                <w:sz w:val="19"/>
                <w:szCs w:val="19"/>
              </w:rPr>
              <w:t>51</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6" w:line="203" w:lineRule="auto"/>
              <w:rPr>
                <w:sz w:val="19"/>
                <w:szCs w:val="19"/>
              </w:rPr>
            </w:pPr>
            <w:r>
              <w:rPr>
                <w:sz w:val="19"/>
                <w:szCs w:val="19"/>
                <w:spacing w:val="9"/>
              </w:rPr>
              <w:t>青少年科技活动</w:t>
            </w:r>
          </w:p>
        </w:tc>
        <w:tc>
          <w:tcPr>
            <w:tcW w:w="2216" w:type="dxa"/>
            <w:vAlign w:val="top"/>
          </w:tcPr>
          <w:p>
            <w:pPr>
              <w:pStyle w:val="TableText"/>
              <w:ind w:right="8"/>
              <w:spacing w:before="80" w:line="208" w:lineRule="auto"/>
              <w:jc w:val="right"/>
              <w:rPr>
                <w:sz w:val="19"/>
                <w:szCs w:val="19"/>
              </w:rPr>
            </w:pPr>
            <w:r>
              <w:rPr>
                <w:sz w:val="19"/>
                <w:szCs w:val="19"/>
                <w:spacing w:val="-8"/>
              </w:rPr>
              <w:t>10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8"/>
              <w:spacing w:before="86" w:line="203" w:lineRule="auto"/>
              <w:rPr>
                <w:sz w:val="19"/>
                <w:szCs w:val="19"/>
              </w:rPr>
            </w:pPr>
            <w:r>
              <w:rPr>
                <w:sz w:val="19"/>
                <w:szCs w:val="19"/>
                <w:spacing w:val="8"/>
              </w:rPr>
              <w:t>学术交流活动</w:t>
            </w:r>
          </w:p>
        </w:tc>
        <w:tc>
          <w:tcPr>
            <w:tcW w:w="2216" w:type="dxa"/>
            <w:vAlign w:val="top"/>
          </w:tcPr>
          <w:p>
            <w:pPr>
              <w:pStyle w:val="TableText"/>
              <w:ind w:right="8"/>
              <w:spacing w:before="80" w:line="208" w:lineRule="auto"/>
              <w:jc w:val="right"/>
              <w:rPr>
                <w:sz w:val="19"/>
                <w:szCs w:val="19"/>
              </w:rPr>
            </w:pPr>
            <w:r>
              <w:rPr>
                <w:sz w:val="19"/>
                <w:szCs w:val="19"/>
                <w:spacing w:val="-4"/>
              </w:rPr>
              <w:t>119</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4"/>
              <w:spacing w:before="85" w:line="204" w:lineRule="auto"/>
              <w:rPr>
                <w:sz w:val="19"/>
                <w:szCs w:val="19"/>
              </w:rPr>
            </w:pPr>
            <w:r>
              <w:rPr>
                <w:sz w:val="19"/>
                <w:szCs w:val="19"/>
                <w:spacing w:val="9"/>
              </w:rPr>
              <w:t>科技馆站</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2" w:line="206" w:lineRule="auto"/>
              <w:rPr>
                <w:sz w:val="19"/>
                <w:szCs w:val="19"/>
              </w:rPr>
            </w:pPr>
            <w:r>
              <w:rPr>
                <w:sz w:val="19"/>
                <w:szCs w:val="19"/>
                <w:spacing w:val="9"/>
              </w:rPr>
              <w:t>其他科学技术普及支出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3"/>
              <w:spacing w:before="85" w:line="204" w:lineRule="auto"/>
              <w:rPr>
                <w:sz w:val="19"/>
                <w:szCs w:val="19"/>
              </w:rPr>
            </w:pPr>
            <w:r>
              <w:rPr>
                <w:sz w:val="19"/>
                <w:szCs w:val="19"/>
                <w:spacing w:val="9"/>
              </w:rPr>
              <w:t>科技交流与合作</w:t>
            </w:r>
          </w:p>
        </w:tc>
        <w:tc>
          <w:tcPr>
            <w:tcW w:w="2216" w:type="dxa"/>
            <w:vAlign w:val="top"/>
          </w:tcPr>
          <w:p>
            <w:pPr>
              <w:pStyle w:val="TableText"/>
              <w:ind w:right="7"/>
              <w:spacing w:before="80" w:line="208"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36"/>
              <w:spacing w:before="84" w:line="205" w:lineRule="auto"/>
              <w:rPr>
                <w:sz w:val="19"/>
                <w:szCs w:val="19"/>
              </w:rPr>
            </w:pPr>
            <w:r>
              <w:rPr>
                <w:sz w:val="19"/>
                <w:szCs w:val="19"/>
                <w:spacing w:val="6"/>
              </w:rPr>
              <w:t>国际交流与合作</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4" w:line="205" w:lineRule="auto"/>
              <w:rPr>
                <w:sz w:val="19"/>
                <w:szCs w:val="19"/>
              </w:rPr>
            </w:pPr>
            <w:r>
              <w:rPr>
                <w:sz w:val="19"/>
                <w:szCs w:val="19"/>
                <w:spacing w:val="9"/>
              </w:rPr>
              <w:t>重大科技合作项目</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2" w:line="206" w:lineRule="auto"/>
              <w:rPr>
                <w:sz w:val="19"/>
                <w:szCs w:val="19"/>
              </w:rPr>
            </w:pPr>
            <w:r>
              <w:rPr>
                <w:sz w:val="19"/>
                <w:szCs w:val="19"/>
                <w:spacing w:val="9"/>
              </w:rPr>
              <w:t>其他科技交流与合作支出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3"/>
              <w:spacing w:before="86" w:line="203" w:lineRule="auto"/>
              <w:rPr>
                <w:sz w:val="19"/>
                <w:szCs w:val="19"/>
              </w:rPr>
            </w:pPr>
            <w:r>
              <w:rPr>
                <w:sz w:val="19"/>
                <w:szCs w:val="19"/>
                <w:spacing w:val="9"/>
              </w:rPr>
              <w:t>科技重大项目</w:t>
            </w:r>
          </w:p>
        </w:tc>
        <w:tc>
          <w:tcPr>
            <w:tcW w:w="2216" w:type="dxa"/>
            <w:vAlign w:val="top"/>
          </w:tcPr>
          <w:p>
            <w:pPr>
              <w:pStyle w:val="TableText"/>
              <w:ind w:right="7"/>
              <w:spacing w:before="80" w:line="208"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4"/>
              <w:spacing w:before="84" w:line="205" w:lineRule="auto"/>
              <w:rPr>
                <w:sz w:val="19"/>
                <w:szCs w:val="19"/>
              </w:rPr>
            </w:pPr>
            <w:r>
              <w:rPr>
                <w:sz w:val="19"/>
                <w:szCs w:val="19"/>
                <w:spacing w:val="9"/>
              </w:rPr>
              <w:t>科技重大专项</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5" w:line="204" w:lineRule="auto"/>
              <w:rPr>
                <w:sz w:val="19"/>
                <w:szCs w:val="19"/>
              </w:rPr>
            </w:pPr>
            <w:r>
              <w:rPr>
                <w:sz w:val="19"/>
                <w:szCs w:val="19"/>
                <w:spacing w:val="9"/>
              </w:rPr>
              <w:t>重点研发计划</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14" w:hRule="atLeast"/>
        </w:trPr>
        <w:tc>
          <w:tcPr>
            <w:tcW w:w="4612" w:type="dxa"/>
            <w:vAlign w:val="top"/>
            <w:tcBorders>
              <w:left w:val="single" w:color="000000" w:sz="6" w:space="0"/>
              <w:bottom w:val="single" w:color="000000" w:sz="6" w:space="0"/>
            </w:tcBorders>
          </w:tcPr>
          <w:p>
            <w:pPr>
              <w:pStyle w:val="TableText"/>
              <w:ind w:left="615"/>
              <w:spacing w:before="82" w:line="215" w:lineRule="auto"/>
              <w:rPr>
                <w:sz w:val="19"/>
                <w:szCs w:val="19"/>
              </w:rPr>
            </w:pPr>
            <w:r>
              <w:rPr>
                <w:sz w:val="19"/>
                <w:szCs w:val="19"/>
                <w:spacing w:val="9"/>
              </w:rPr>
              <w:t>其他科技重大项目</w:t>
            </w:r>
          </w:p>
        </w:tc>
        <w:tc>
          <w:tcPr>
            <w:tcW w:w="2216" w:type="dxa"/>
            <w:vAlign w:val="top"/>
            <w:tcBorders>
              <w:bottom w:val="single" w:color="000000" w:sz="6" w:space="0"/>
            </w:tcBorders>
          </w:tcPr>
          <w:p>
            <w:pPr>
              <w:rPr>
                <w:rFonts w:ascii="Arial"/>
                <w:sz w:val="21"/>
              </w:rPr>
            </w:pPr>
            <w:r/>
          </w:p>
        </w:tc>
        <w:tc>
          <w:tcPr>
            <w:tcW w:w="2013"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23"/>
          <w:footerReference w:type="default" r:id="rId35"/>
          <w:pgSz w:w="11907" w:h="16840"/>
          <w:pgMar w:top="1801" w:right="1525" w:bottom="1660" w:left="1525" w:header="1428" w:footer="1289" w:gutter="0"/>
        </w:sectPr>
        <w:rPr>
          <w:rFonts w:ascii="Arial" w:hAnsi="Arial" w:eastAsia="Arial" w:cs="Arial"/>
          <w:sz w:val="21"/>
          <w:szCs w:val="21"/>
        </w:rPr>
      </w:pPr>
    </w:p>
    <w:p>
      <w:pPr>
        <w:spacing w:line="240" w:lineRule="exact"/>
        <w:rPr/>
      </w:pPr>
      <w:r/>
    </w:p>
    <w:tbl>
      <w:tblPr>
        <w:tblStyle w:val="TableNormal"/>
        <w:tblW w:w="8841"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12"/>
        <w:gridCol w:w="2216"/>
        <w:gridCol w:w="2013"/>
      </w:tblGrid>
      <w:tr>
        <w:trPr>
          <w:trHeight w:val="312" w:hRule="atLeast"/>
        </w:trPr>
        <w:tc>
          <w:tcPr>
            <w:tcW w:w="4612" w:type="dxa"/>
            <w:vAlign w:val="top"/>
            <w:tcBorders>
              <w:left w:val="single" w:color="000000" w:sz="6" w:space="0"/>
              <w:top w:val="single" w:color="000000" w:sz="6" w:space="0"/>
            </w:tcBorders>
          </w:tcPr>
          <w:p>
            <w:pPr>
              <w:pStyle w:val="TableText"/>
              <w:ind w:left="2104"/>
              <w:spacing w:before="81" w:line="212" w:lineRule="auto"/>
              <w:rPr>
                <w:sz w:val="19"/>
                <w:szCs w:val="19"/>
              </w:rPr>
            </w:pPr>
            <w:r>
              <w:rPr>
                <w:sz w:val="19"/>
                <w:szCs w:val="19"/>
                <w:b/>
                <w:bCs/>
                <w:spacing w:val="6"/>
              </w:rPr>
              <w:t>项目</w:t>
            </w:r>
          </w:p>
        </w:tc>
        <w:tc>
          <w:tcPr>
            <w:tcW w:w="2216" w:type="dxa"/>
            <w:vAlign w:val="top"/>
            <w:tcBorders>
              <w:top w:val="single" w:color="000000" w:sz="6" w:space="0"/>
            </w:tcBorders>
          </w:tcPr>
          <w:p>
            <w:pPr>
              <w:pStyle w:val="TableText"/>
              <w:ind w:left="813"/>
              <w:spacing w:before="76" w:line="219" w:lineRule="auto"/>
              <w:rPr>
                <w:sz w:val="19"/>
                <w:szCs w:val="19"/>
              </w:rPr>
            </w:pPr>
            <w:r>
              <w:rPr>
                <w:sz w:val="19"/>
                <w:szCs w:val="19"/>
                <w:b/>
                <w:bCs/>
                <w:spacing w:val="5"/>
              </w:rPr>
              <w:t>预算数</w:t>
            </w:r>
          </w:p>
        </w:tc>
        <w:tc>
          <w:tcPr>
            <w:tcW w:w="2013" w:type="dxa"/>
            <w:vAlign w:val="top"/>
            <w:tcBorders>
              <w:right w:val="single" w:color="000000" w:sz="6" w:space="0"/>
              <w:top w:val="single" w:color="000000" w:sz="6" w:space="0"/>
            </w:tcBorders>
          </w:tcPr>
          <w:p>
            <w:pPr>
              <w:pStyle w:val="TableText"/>
              <w:ind w:left="806"/>
              <w:spacing w:before="76" w:line="219" w:lineRule="auto"/>
              <w:rPr>
                <w:sz w:val="19"/>
                <w:szCs w:val="19"/>
              </w:rPr>
            </w:pPr>
            <w:r>
              <w:rPr>
                <w:sz w:val="19"/>
                <w:szCs w:val="19"/>
                <w:b/>
                <w:bCs/>
                <w:spacing w:val="6"/>
              </w:rPr>
              <w:t>备注</w:t>
            </w:r>
          </w:p>
        </w:tc>
      </w:tr>
      <w:tr>
        <w:trPr>
          <w:trHeight w:val="304" w:hRule="atLeast"/>
        </w:trPr>
        <w:tc>
          <w:tcPr>
            <w:tcW w:w="4612" w:type="dxa"/>
            <w:vAlign w:val="top"/>
            <w:tcBorders>
              <w:left w:val="single" w:color="000000" w:sz="6" w:space="0"/>
            </w:tcBorders>
          </w:tcPr>
          <w:p>
            <w:pPr>
              <w:pStyle w:val="TableText"/>
              <w:ind w:left="413"/>
              <w:spacing w:before="68" w:line="219" w:lineRule="auto"/>
              <w:rPr>
                <w:sz w:val="19"/>
                <w:szCs w:val="19"/>
              </w:rPr>
            </w:pPr>
            <w:r>
              <w:rPr>
                <w:sz w:val="19"/>
                <w:szCs w:val="19"/>
                <w:spacing w:val="9"/>
              </w:rPr>
              <w:t>其他科学技术支出</w:t>
            </w:r>
          </w:p>
        </w:tc>
        <w:tc>
          <w:tcPr>
            <w:tcW w:w="2216" w:type="dxa"/>
            <w:vAlign w:val="top"/>
          </w:tcPr>
          <w:p>
            <w:pPr>
              <w:pStyle w:val="TableText"/>
              <w:ind w:right="7"/>
              <w:spacing w:before="65" w:line="222"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4"/>
              <w:spacing w:before="72" w:line="215" w:lineRule="auto"/>
              <w:rPr>
                <w:sz w:val="19"/>
                <w:szCs w:val="19"/>
              </w:rPr>
            </w:pPr>
            <w:r>
              <w:rPr>
                <w:sz w:val="19"/>
                <w:szCs w:val="19"/>
                <w:spacing w:val="9"/>
              </w:rPr>
              <w:t>科技奖励</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8"/>
              <w:spacing w:before="73" w:line="214" w:lineRule="auto"/>
              <w:rPr>
                <w:sz w:val="19"/>
                <w:szCs w:val="19"/>
              </w:rPr>
            </w:pPr>
            <w:r>
              <w:rPr>
                <w:sz w:val="19"/>
                <w:szCs w:val="19"/>
                <w:spacing w:val="7"/>
              </w:rPr>
              <w:t>核应急</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3" w:line="214" w:lineRule="auto"/>
              <w:rPr>
                <w:sz w:val="19"/>
                <w:szCs w:val="19"/>
              </w:rPr>
            </w:pPr>
            <w:r>
              <w:rPr>
                <w:sz w:val="19"/>
                <w:szCs w:val="19"/>
                <w:spacing w:val="9"/>
              </w:rPr>
              <w:t>转制科研机构</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2" w:line="215" w:lineRule="auto"/>
              <w:rPr>
                <w:sz w:val="19"/>
                <w:szCs w:val="19"/>
              </w:rPr>
            </w:pPr>
            <w:r>
              <w:rPr>
                <w:sz w:val="19"/>
                <w:szCs w:val="19"/>
                <w:spacing w:val="9"/>
              </w:rPr>
              <w:t>其他科学技术支出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15"/>
              <w:spacing w:before="73" w:line="214" w:lineRule="auto"/>
              <w:rPr>
                <w:sz w:val="19"/>
                <w:szCs w:val="19"/>
              </w:rPr>
            </w:pPr>
            <w:r>
              <w:rPr>
                <w:sz w:val="19"/>
                <w:szCs w:val="19"/>
                <w:spacing w:val="9"/>
              </w:rPr>
              <w:t>七、文化旅游体育与传媒支出</w:t>
            </w:r>
          </w:p>
        </w:tc>
        <w:tc>
          <w:tcPr>
            <w:tcW w:w="2216" w:type="dxa"/>
            <w:vAlign w:val="top"/>
          </w:tcPr>
          <w:p>
            <w:pPr>
              <w:pStyle w:val="TableText"/>
              <w:ind w:right="8"/>
              <w:spacing w:before="72" w:line="215" w:lineRule="auto"/>
              <w:jc w:val="right"/>
              <w:rPr>
                <w:sz w:val="19"/>
                <w:szCs w:val="19"/>
              </w:rPr>
            </w:pPr>
            <w:r>
              <w:rPr>
                <w:sz w:val="19"/>
                <w:szCs w:val="19"/>
                <w:spacing w:val="2"/>
              </w:rPr>
              <w:t>5834</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6"/>
              <w:spacing w:before="78" w:line="210" w:lineRule="auto"/>
              <w:rPr>
                <w:sz w:val="19"/>
                <w:szCs w:val="19"/>
              </w:rPr>
            </w:pPr>
            <w:r>
              <w:rPr>
                <w:sz w:val="19"/>
                <w:szCs w:val="19"/>
                <w:spacing w:val="8"/>
              </w:rPr>
              <w:t>文化和旅游</w:t>
            </w:r>
          </w:p>
        </w:tc>
        <w:tc>
          <w:tcPr>
            <w:tcW w:w="2216" w:type="dxa"/>
            <w:vAlign w:val="top"/>
          </w:tcPr>
          <w:p>
            <w:pPr>
              <w:pStyle w:val="TableText"/>
              <w:ind w:right="8"/>
              <w:spacing w:before="72" w:line="216" w:lineRule="auto"/>
              <w:jc w:val="right"/>
              <w:rPr>
                <w:sz w:val="19"/>
                <w:szCs w:val="19"/>
              </w:rPr>
            </w:pPr>
            <w:r>
              <w:rPr>
                <w:sz w:val="19"/>
                <w:szCs w:val="19"/>
                <w:spacing w:val="2"/>
              </w:rPr>
              <w:t>2800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7" w:line="211" w:lineRule="auto"/>
              <w:rPr>
                <w:sz w:val="19"/>
                <w:szCs w:val="19"/>
              </w:rPr>
            </w:pPr>
            <w:r>
              <w:rPr>
                <w:sz w:val="19"/>
                <w:szCs w:val="19"/>
                <w:spacing w:val="8"/>
              </w:rPr>
              <w:t>行政运行</w:t>
            </w:r>
          </w:p>
        </w:tc>
        <w:tc>
          <w:tcPr>
            <w:tcW w:w="2216" w:type="dxa"/>
            <w:vAlign w:val="top"/>
          </w:tcPr>
          <w:p>
            <w:pPr>
              <w:pStyle w:val="TableText"/>
              <w:ind w:right="8"/>
              <w:spacing w:before="71" w:line="217" w:lineRule="auto"/>
              <w:jc w:val="right"/>
              <w:rPr>
                <w:sz w:val="19"/>
                <w:szCs w:val="19"/>
              </w:rPr>
            </w:pPr>
            <w:r>
              <w:rPr>
                <w:sz w:val="19"/>
                <w:szCs w:val="19"/>
                <w:spacing w:val="1"/>
              </w:rPr>
              <w:t>596</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5" w:line="213" w:lineRule="auto"/>
              <w:rPr>
                <w:sz w:val="19"/>
                <w:szCs w:val="19"/>
              </w:rPr>
            </w:pPr>
            <w:r>
              <w:rPr>
                <w:sz w:val="19"/>
                <w:szCs w:val="19"/>
                <w:spacing w:val="9"/>
              </w:rPr>
              <w:t>一般行政管理事务</w:t>
            </w:r>
          </w:p>
        </w:tc>
        <w:tc>
          <w:tcPr>
            <w:tcW w:w="2216" w:type="dxa"/>
            <w:vAlign w:val="top"/>
          </w:tcPr>
          <w:p>
            <w:pPr>
              <w:pStyle w:val="TableText"/>
              <w:ind w:right="8"/>
              <w:spacing w:before="71" w:line="217" w:lineRule="auto"/>
              <w:jc w:val="right"/>
              <w:rPr>
                <w:sz w:val="19"/>
                <w:szCs w:val="19"/>
              </w:rPr>
            </w:pPr>
            <w:r>
              <w:rPr>
                <w:sz w:val="19"/>
                <w:szCs w:val="19"/>
                <w:spacing w:val="-1"/>
              </w:rPr>
              <w:t>30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8" w:line="210"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32"/>
              <w:spacing w:before="78" w:line="210" w:lineRule="auto"/>
              <w:rPr>
                <w:sz w:val="19"/>
                <w:szCs w:val="19"/>
              </w:rPr>
            </w:pPr>
            <w:r>
              <w:rPr>
                <w:sz w:val="19"/>
                <w:szCs w:val="19"/>
                <w:spacing w:val="3"/>
              </w:rPr>
              <w:t>图书馆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8"/>
              <w:spacing w:before="77" w:line="211" w:lineRule="auto"/>
              <w:rPr>
                <w:sz w:val="19"/>
                <w:szCs w:val="19"/>
              </w:rPr>
            </w:pPr>
            <w:r>
              <w:rPr>
                <w:sz w:val="19"/>
                <w:szCs w:val="19"/>
                <w:spacing w:val="9"/>
              </w:rPr>
              <w:t>文化展示及纪念机构</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6" w:line="212" w:lineRule="auto"/>
              <w:rPr>
                <w:sz w:val="19"/>
                <w:szCs w:val="19"/>
              </w:rPr>
            </w:pPr>
            <w:r>
              <w:rPr>
                <w:sz w:val="19"/>
                <w:szCs w:val="19"/>
                <w:spacing w:val="9"/>
              </w:rPr>
              <w:t>艺术表演场所</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4" w:line="213" w:lineRule="auto"/>
              <w:rPr>
                <w:sz w:val="19"/>
                <w:szCs w:val="19"/>
              </w:rPr>
            </w:pPr>
            <w:r>
              <w:rPr>
                <w:sz w:val="19"/>
                <w:szCs w:val="19"/>
                <w:spacing w:val="9"/>
              </w:rPr>
              <w:t>艺术表演团体</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8"/>
              <w:spacing w:before="79" w:line="209" w:lineRule="auto"/>
              <w:rPr>
                <w:sz w:val="19"/>
                <w:szCs w:val="19"/>
              </w:rPr>
            </w:pPr>
            <w:r>
              <w:rPr>
                <w:sz w:val="19"/>
                <w:szCs w:val="19"/>
                <w:spacing w:val="8"/>
              </w:rPr>
              <w:t>文化活动</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8" w:line="210" w:lineRule="auto"/>
              <w:rPr>
                <w:sz w:val="19"/>
                <w:szCs w:val="19"/>
              </w:rPr>
            </w:pPr>
            <w:r>
              <w:rPr>
                <w:sz w:val="19"/>
                <w:szCs w:val="19"/>
                <w:spacing w:val="8"/>
              </w:rPr>
              <w:t>群众文化</w:t>
            </w:r>
          </w:p>
        </w:tc>
        <w:tc>
          <w:tcPr>
            <w:tcW w:w="2216" w:type="dxa"/>
            <w:vAlign w:val="top"/>
          </w:tcPr>
          <w:p>
            <w:pPr>
              <w:pStyle w:val="TableText"/>
              <w:ind w:right="8"/>
              <w:spacing w:before="72" w:line="216" w:lineRule="auto"/>
              <w:jc w:val="right"/>
              <w:rPr>
                <w:sz w:val="19"/>
                <w:szCs w:val="19"/>
              </w:rPr>
            </w:pPr>
            <w:r>
              <w:rPr>
                <w:sz w:val="19"/>
                <w:szCs w:val="19"/>
              </w:rPr>
              <w:t>860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8"/>
              <w:spacing w:before="75" w:line="213" w:lineRule="auto"/>
              <w:rPr>
                <w:sz w:val="19"/>
                <w:szCs w:val="19"/>
              </w:rPr>
            </w:pPr>
            <w:r>
              <w:rPr>
                <w:sz w:val="19"/>
                <w:szCs w:val="19"/>
                <w:spacing w:val="9"/>
              </w:rPr>
              <w:t>文化和旅游交流与合作</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8"/>
              <w:spacing w:before="78" w:line="210" w:lineRule="auto"/>
              <w:rPr>
                <w:sz w:val="19"/>
                <w:szCs w:val="19"/>
              </w:rPr>
            </w:pPr>
            <w:r>
              <w:rPr>
                <w:sz w:val="19"/>
                <w:szCs w:val="19"/>
                <w:spacing w:val="8"/>
              </w:rPr>
              <w:t>文化创作与保护</w:t>
            </w:r>
          </w:p>
        </w:tc>
        <w:tc>
          <w:tcPr>
            <w:tcW w:w="2216" w:type="dxa"/>
            <w:vAlign w:val="top"/>
          </w:tcPr>
          <w:p>
            <w:pPr>
              <w:pStyle w:val="TableText"/>
              <w:ind w:right="8"/>
              <w:spacing w:before="74" w:line="214" w:lineRule="auto"/>
              <w:jc w:val="right"/>
              <w:rPr>
                <w:sz w:val="19"/>
                <w:szCs w:val="19"/>
              </w:rPr>
            </w:pPr>
            <w:r>
              <w:rPr>
                <w:sz w:val="19"/>
                <w:szCs w:val="19"/>
                <w:spacing w:val="2"/>
              </w:rPr>
              <w:t>40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8"/>
              <w:spacing w:before="78" w:line="210" w:lineRule="auto"/>
              <w:rPr>
                <w:sz w:val="19"/>
                <w:szCs w:val="19"/>
              </w:rPr>
            </w:pPr>
            <w:r>
              <w:rPr>
                <w:sz w:val="19"/>
                <w:szCs w:val="19"/>
                <w:spacing w:val="9"/>
              </w:rPr>
              <w:t>文化和旅游市场管理</w:t>
            </w:r>
          </w:p>
        </w:tc>
        <w:tc>
          <w:tcPr>
            <w:tcW w:w="2216" w:type="dxa"/>
            <w:vAlign w:val="top"/>
          </w:tcPr>
          <w:p>
            <w:pPr>
              <w:pStyle w:val="TableText"/>
              <w:ind w:right="8"/>
              <w:spacing w:before="73" w:line="215" w:lineRule="auto"/>
              <w:jc w:val="right"/>
              <w:rPr>
                <w:sz w:val="19"/>
                <w:szCs w:val="19"/>
              </w:rPr>
            </w:pPr>
            <w:r>
              <w:rPr>
                <w:sz w:val="19"/>
                <w:szCs w:val="19"/>
                <w:spacing w:val="-4"/>
              </w:rPr>
              <w:t>198</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5" w:line="213" w:lineRule="auto"/>
              <w:rPr>
                <w:sz w:val="19"/>
                <w:szCs w:val="19"/>
              </w:rPr>
            </w:pPr>
            <w:r>
              <w:rPr>
                <w:sz w:val="19"/>
                <w:szCs w:val="19"/>
                <w:spacing w:val="8"/>
              </w:rPr>
              <w:t>旅游宣传</w:t>
            </w:r>
          </w:p>
        </w:tc>
        <w:tc>
          <w:tcPr>
            <w:tcW w:w="2216" w:type="dxa"/>
            <w:vAlign w:val="top"/>
          </w:tcPr>
          <w:p>
            <w:pPr>
              <w:pStyle w:val="TableText"/>
              <w:ind w:right="8"/>
              <w:spacing w:before="72" w:line="216" w:lineRule="auto"/>
              <w:jc w:val="right"/>
              <w:rPr>
                <w:sz w:val="19"/>
                <w:szCs w:val="19"/>
              </w:rPr>
            </w:pPr>
            <w:r>
              <w:rPr>
                <w:sz w:val="19"/>
                <w:szCs w:val="19"/>
                <w:spacing w:val="-4"/>
              </w:rPr>
              <w:t>100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8"/>
              <w:spacing w:before="76" w:line="212" w:lineRule="auto"/>
              <w:rPr>
                <w:sz w:val="19"/>
                <w:szCs w:val="19"/>
              </w:rPr>
            </w:pPr>
            <w:r>
              <w:rPr>
                <w:sz w:val="19"/>
                <w:szCs w:val="19"/>
                <w:spacing w:val="9"/>
              </w:rPr>
              <w:t>文化和旅游管理事务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7" w:line="211" w:lineRule="auto"/>
              <w:rPr>
                <w:sz w:val="19"/>
                <w:szCs w:val="19"/>
              </w:rPr>
            </w:pPr>
            <w:r>
              <w:rPr>
                <w:sz w:val="19"/>
                <w:szCs w:val="19"/>
                <w:spacing w:val="9"/>
              </w:rPr>
              <w:t>其他文化和旅游支出</w:t>
            </w:r>
          </w:p>
        </w:tc>
        <w:tc>
          <w:tcPr>
            <w:tcW w:w="2216" w:type="dxa"/>
            <w:vAlign w:val="top"/>
          </w:tcPr>
          <w:p>
            <w:pPr>
              <w:pStyle w:val="TableText"/>
              <w:ind w:right="8"/>
              <w:spacing w:before="74" w:line="214" w:lineRule="auto"/>
              <w:jc w:val="right"/>
              <w:rPr>
                <w:sz w:val="19"/>
                <w:szCs w:val="19"/>
              </w:rPr>
            </w:pPr>
            <w:r>
              <w:rPr>
                <w:sz w:val="19"/>
                <w:szCs w:val="19"/>
                <w:spacing w:val="1"/>
              </w:rPr>
              <w:t>976</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6"/>
              <w:spacing w:before="79" w:line="209" w:lineRule="auto"/>
              <w:rPr>
                <w:sz w:val="19"/>
                <w:szCs w:val="19"/>
              </w:rPr>
            </w:pPr>
            <w:r>
              <w:rPr>
                <w:sz w:val="19"/>
                <w:szCs w:val="19"/>
                <w:spacing w:val="6"/>
              </w:rPr>
              <w:t>文物</w:t>
            </w:r>
          </w:p>
        </w:tc>
        <w:tc>
          <w:tcPr>
            <w:tcW w:w="2216" w:type="dxa"/>
            <w:vAlign w:val="top"/>
          </w:tcPr>
          <w:p>
            <w:pPr>
              <w:pStyle w:val="TableText"/>
              <w:ind w:right="8"/>
              <w:spacing w:before="73" w:line="215" w:lineRule="auto"/>
              <w:jc w:val="right"/>
              <w:rPr>
                <w:sz w:val="19"/>
                <w:szCs w:val="19"/>
              </w:rPr>
            </w:pPr>
            <w:r>
              <w:rPr>
                <w:sz w:val="19"/>
                <w:szCs w:val="19"/>
                <w:spacing w:val="1"/>
              </w:rPr>
              <w:t>520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8" w:line="210" w:lineRule="auto"/>
              <w:rPr>
                <w:sz w:val="19"/>
                <w:szCs w:val="19"/>
              </w:rPr>
            </w:pPr>
            <w:r>
              <w:rPr>
                <w:sz w:val="19"/>
                <w:szCs w:val="19"/>
                <w:spacing w:val="8"/>
              </w:rPr>
              <w:t>行政运行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6" w:line="212"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79" w:line="208"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8"/>
              <w:spacing w:before="78" w:line="210" w:lineRule="auto"/>
              <w:rPr>
                <w:sz w:val="19"/>
                <w:szCs w:val="19"/>
              </w:rPr>
            </w:pPr>
            <w:r>
              <w:rPr>
                <w:sz w:val="19"/>
                <w:szCs w:val="19"/>
                <w:spacing w:val="8"/>
              </w:rPr>
              <w:t>文物保护</w:t>
            </w:r>
          </w:p>
        </w:tc>
        <w:tc>
          <w:tcPr>
            <w:tcW w:w="2216" w:type="dxa"/>
            <w:vAlign w:val="top"/>
          </w:tcPr>
          <w:p>
            <w:pPr>
              <w:pStyle w:val="TableText"/>
              <w:ind w:right="8"/>
              <w:spacing w:before="74" w:line="214" w:lineRule="auto"/>
              <w:jc w:val="right"/>
              <w:rPr>
                <w:sz w:val="19"/>
                <w:szCs w:val="19"/>
              </w:rPr>
            </w:pPr>
            <w:r>
              <w:rPr>
                <w:sz w:val="19"/>
                <w:szCs w:val="19"/>
                <w:spacing w:val="1"/>
              </w:rPr>
              <w:t>520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7" w:line="210" w:lineRule="auto"/>
              <w:rPr>
                <w:sz w:val="19"/>
                <w:szCs w:val="19"/>
              </w:rPr>
            </w:pPr>
            <w:r>
              <w:rPr>
                <w:sz w:val="19"/>
                <w:szCs w:val="19"/>
                <w:spacing w:val="8"/>
              </w:rPr>
              <w:t>博物馆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8" w:line="210" w:lineRule="auto"/>
              <w:rPr>
                <w:sz w:val="19"/>
                <w:szCs w:val="19"/>
              </w:rPr>
            </w:pPr>
            <w:r>
              <w:rPr>
                <w:sz w:val="19"/>
                <w:szCs w:val="19"/>
                <w:spacing w:val="9"/>
              </w:rPr>
              <w:t>历史名城与古迹</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9" w:line="208" w:lineRule="auto"/>
              <w:rPr>
                <w:sz w:val="19"/>
                <w:szCs w:val="19"/>
              </w:rPr>
            </w:pPr>
            <w:r>
              <w:rPr>
                <w:sz w:val="19"/>
                <w:szCs w:val="19"/>
                <w:spacing w:val="9"/>
              </w:rPr>
              <w:t>其他文物支出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4"/>
              <w:spacing w:before="78" w:line="210" w:lineRule="auto"/>
              <w:rPr>
                <w:sz w:val="19"/>
                <w:szCs w:val="19"/>
              </w:rPr>
            </w:pPr>
            <w:r>
              <w:rPr>
                <w:sz w:val="19"/>
                <w:szCs w:val="19"/>
                <w:spacing w:val="7"/>
              </w:rPr>
              <w:t>体育</w:t>
            </w:r>
          </w:p>
        </w:tc>
        <w:tc>
          <w:tcPr>
            <w:tcW w:w="2216" w:type="dxa"/>
            <w:vAlign w:val="top"/>
          </w:tcPr>
          <w:p>
            <w:pPr>
              <w:pStyle w:val="TableText"/>
              <w:ind w:right="8"/>
              <w:spacing w:before="76" w:line="212" w:lineRule="auto"/>
              <w:jc w:val="right"/>
              <w:rPr>
                <w:sz w:val="19"/>
                <w:szCs w:val="19"/>
              </w:rPr>
            </w:pPr>
            <w:r>
              <w:rPr>
                <w:sz w:val="19"/>
                <w:szCs w:val="19"/>
                <w:spacing w:val="-1"/>
              </w:rPr>
              <w:t>87</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80" w:line="207" w:lineRule="auto"/>
              <w:rPr>
                <w:sz w:val="19"/>
                <w:szCs w:val="19"/>
              </w:rPr>
            </w:pPr>
            <w:r>
              <w:rPr>
                <w:sz w:val="19"/>
                <w:szCs w:val="19"/>
                <w:spacing w:val="8"/>
              </w:rPr>
              <w:t>行政运行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0" w:line="208"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84" w:line="204"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4" w:line="205" w:lineRule="auto"/>
              <w:rPr>
                <w:sz w:val="19"/>
                <w:szCs w:val="19"/>
              </w:rPr>
            </w:pPr>
            <w:r>
              <w:rPr>
                <w:sz w:val="19"/>
                <w:szCs w:val="19"/>
                <w:spacing w:val="9"/>
              </w:rPr>
              <w:t>运动项目管理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9" w:line="208" w:lineRule="auto"/>
              <w:rPr>
                <w:sz w:val="19"/>
                <w:szCs w:val="19"/>
              </w:rPr>
            </w:pPr>
            <w:r>
              <w:rPr>
                <w:sz w:val="19"/>
                <w:szCs w:val="19"/>
                <w:spacing w:val="8"/>
              </w:rPr>
              <w:t>体育竞赛</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0" w:line="208" w:lineRule="auto"/>
              <w:rPr>
                <w:sz w:val="19"/>
                <w:szCs w:val="19"/>
              </w:rPr>
            </w:pPr>
            <w:r>
              <w:rPr>
                <w:sz w:val="19"/>
                <w:szCs w:val="19"/>
                <w:spacing w:val="8"/>
              </w:rPr>
              <w:t>体育训练</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81" w:line="206" w:lineRule="auto"/>
              <w:rPr>
                <w:sz w:val="19"/>
                <w:szCs w:val="19"/>
              </w:rPr>
            </w:pPr>
            <w:r>
              <w:rPr>
                <w:sz w:val="19"/>
                <w:szCs w:val="19"/>
                <w:spacing w:val="8"/>
              </w:rPr>
              <w:t>体育场馆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2" w:line="206" w:lineRule="auto"/>
              <w:rPr>
                <w:sz w:val="19"/>
                <w:szCs w:val="19"/>
              </w:rPr>
            </w:pPr>
            <w:r>
              <w:rPr>
                <w:sz w:val="19"/>
                <w:szCs w:val="19"/>
                <w:spacing w:val="8"/>
              </w:rPr>
              <w:t>群众体育</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14" w:hRule="atLeast"/>
        </w:trPr>
        <w:tc>
          <w:tcPr>
            <w:tcW w:w="4612" w:type="dxa"/>
            <w:vAlign w:val="top"/>
            <w:tcBorders>
              <w:left w:val="single" w:color="000000" w:sz="6" w:space="0"/>
              <w:bottom w:val="single" w:color="000000" w:sz="6" w:space="0"/>
            </w:tcBorders>
          </w:tcPr>
          <w:p>
            <w:pPr>
              <w:pStyle w:val="TableText"/>
              <w:ind w:left="616"/>
              <w:spacing w:before="81" w:line="216" w:lineRule="auto"/>
              <w:rPr>
                <w:sz w:val="19"/>
                <w:szCs w:val="19"/>
              </w:rPr>
            </w:pPr>
            <w:r>
              <w:rPr>
                <w:sz w:val="19"/>
                <w:szCs w:val="19"/>
                <w:spacing w:val="9"/>
              </w:rPr>
              <w:t>体育交流与合作</w:t>
            </w:r>
          </w:p>
        </w:tc>
        <w:tc>
          <w:tcPr>
            <w:tcW w:w="2216" w:type="dxa"/>
            <w:vAlign w:val="top"/>
            <w:tcBorders>
              <w:bottom w:val="single" w:color="000000" w:sz="6" w:space="0"/>
            </w:tcBorders>
          </w:tcPr>
          <w:p>
            <w:pPr>
              <w:rPr>
                <w:rFonts w:ascii="Arial"/>
                <w:sz w:val="21"/>
              </w:rPr>
            </w:pPr>
            <w:r/>
          </w:p>
        </w:tc>
        <w:tc>
          <w:tcPr>
            <w:tcW w:w="2013" w:type="dxa"/>
            <w:vAlign w:val="top"/>
            <w:tcBorders>
              <w:bottom w:val="single" w:color="000000" w:sz="6" w:space="0"/>
              <w:right w:val="single" w:color="000000" w:sz="6" w:space="0"/>
            </w:tcBorders>
          </w:tcPr>
          <w:p>
            <w:pPr>
              <w:rPr>
                <w:rFonts w:ascii="Arial"/>
                <w:sz w:val="21"/>
              </w:rPr>
            </w:pPr>
            <w:r/>
          </w:p>
        </w:tc>
      </w:tr>
    </w:tbl>
    <w:p>
      <w:pPr>
        <w:spacing w:line="134" w:lineRule="exact"/>
        <w:rPr>
          <w:rFonts w:ascii="Arial"/>
          <w:sz w:val="11"/>
        </w:rPr>
      </w:pPr>
      <w:r/>
    </w:p>
    <w:p>
      <w:pPr>
        <w:spacing w:line="134" w:lineRule="exact"/>
        <w:sectPr>
          <w:headerReference w:type="default" r:id="rId25"/>
          <w:footerReference w:type="default" r:id="rId36"/>
          <w:pgSz w:w="11907" w:h="16840"/>
          <w:pgMar w:top="1845" w:right="1525" w:bottom="1671" w:left="1525" w:header="1428" w:footer="1277" w:gutter="0"/>
        </w:sectPr>
        <w:rPr>
          <w:rFonts w:ascii="Arial" w:hAnsi="Arial" w:eastAsia="Arial" w:cs="Arial"/>
          <w:sz w:val="11"/>
          <w:szCs w:val="11"/>
        </w:rPr>
      </w:pPr>
    </w:p>
    <w:p>
      <w:pPr>
        <w:spacing w:line="143" w:lineRule="exact"/>
        <w:rPr/>
      </w:pPr>
      <w:r/>
    </w:p>
    <w:tbl>
      <w:tblPr>
        <w:tblStyle w:val="TableNormal"/>
        <w:tblW w:w="8841"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12"/>
        <w:gridCol w:w="2216"/>
        <w:gridCol w:w="2013"/>
      </w:tblGrid>
      <w:tr>
        <w:trPr>
          <w:trHeight w:val="312" w:hRule="atLeast"/>
        </w:trPr>
        <w:tc>
          <w:tcPr>
            <w:tcW w:w="4612" w:type="dxa"/>
            <w:vAlign w:val="top"/>
            <w:tcBorders>
              <w:left w:val="single" w:color="000000" w:sz="6" w:space="0"/>
              <w:top w:val="single" w:color="000000" w:sz="6" w:space="0"/>
            </w:tcBorders>
          </w:tcPr>
          <w:p>
            <w:pPr>
              <w:pStyle w:val="TableText"/>
              <w:ind w:left="2104"/>
              <w:spacing w:before="81" w:line="212" w:lineRule="auto"/>
              <w:rPr>
                <w:sz w:val="19"/>
                <w:szCs w:val="19"/>
              </w:rPr>
            </w:pPr>
            <w:r>
              <w:rPr>
                <w:sz w:val="19"/>
                <w:szCs w:val="19"/>
                <w:b/>
                <w:bCs/>
                <w:spacing w:val="6"/>
              </w:rPr>
              <w:t>项目</w:t>
            </w:r>
          </w:p>
        </w:tc>
        <w:tc>
          <w:tcPr>
            <w:tcW w:w="2216" w:type="dxa"/>
            <w:vAlign w:val="top"/>
            <w:tcBorders>
              <w:top w:val="single" w:color="000000" w:sz="6" w:space="0"/>
            </w:tcBorders>
          </w:tcPr>
          <w:p>
            <w:pPr>
              <w:pStyle w:val="TableText"/>
              <w:ind w:left="813"/>
              <w:spacing w:before="75" w:line="220" w:lineRule="auto"/>
              <w:rPr>
                <w:sz w:val="19"/>
                <w:szCs w:val="19"/>
              </w:rPr>
            </w:pPr>
            <w:r>
              <w:rPr>
                <w:sz w:val="19"/>
                <w:szCs w:val="19"/>
                <w:b/>
                <w:bCs/>
                <w:spacing w:val="5"/>
              </w:rPr>
              <w:t>预算数</w:t>
            </w:r>
          </w:p>
        </w:tc>
        <w:tc>
          <w:tcPr>
            <w:tcW w:w="2013" w:type="dxa"/>
            <w:vAlign w:val="top"/>
            <w:tcBorders>
              <w:right w:val="single" w:color="000000" w:sz="6" w:space="0"/>
              <w:top w:val="single" w:color="000000" w:sz="6" w:space="0"/>
            </w:tcBorders>
          </w:tcPr>
          <w:p>
            <w:pPr>
              <w:pStyle w:val="TableText"/>
              <w:ind w:left="806"/>
              <w:spacing w:before="75" w:line="220" w:lineRule="auto"/>
              <w:rPr>
                <w:sz w:val="19"/>
                <w:szCs w:val="19"/>
              </w:rPr>
            </w:pPr>
            <w:r>
              <w:rPr>
                <w:sz w:val="19"/>
                <w:szCs w:val="19"/>
                <w:b/>
                <w:bCs/>
                <w:spacing w:val="6"/>
              </w:rPr>
              <w:t>备注</w:t>
            </w:r>
          </w:p>
        </w:tc>
      </w:tr>
      <w:tr>
        <w:trPr>
          <w:trHeight w:val="304" w:hRule="atLeast"/>
        </w:trPr>
        <w:tc>
          <w:tcPr>
            <w:tcW w:w="4612" w:type="dxa"/>
            <w:vAlign w:val="top"/>
            <w:tcBorders>
              <w:left w:val="single" w:color="000000" w:sz="6" w:space="0"/>
            </w:tcBorders>
          </w:tcPr>
          <w:p>
            <w:pPr>
              <w:pStyle w:val="TableText"/>
              <w:ind w:left="615"/>
              <w:spacing w:before="69" w:line="218" w:lineRule="auto"/>
              <w:rPr>
                <w:sz w:val="19"/>
                <w:szCs w:val="19"/>
              </w:rPr>
            </w:pPr>
            <w:r>
              <w:rPr>
                <w:sz w:val="19"/>
                <w:szCs w:val="19"/>
                <w:spacing w:val="9"/>
              </w:rPr>
              <w:t>其他体育支出</w:t>
            </w:r>
          </w:p>
        </w:tc>
        <w:tc>
          <w:tcPr>
            <w:tcW w:w="2216" w:type="dxa"/>
            <w:vAlign w:val="top"/>
          </w:tcPr>
          <w:p>
            <w:pPr>
              <w:pStyle w:val="TableText"/>
              <w:ind w:right="8"/>
              <w:spacing w:before="67" w:line="220" w:lineRule="auto"/>
              <w:jc w:val="right"/>
              <w:rPr>
                <w:sz w:val="19"/>
                <w:szCs w:val="19"/>
              </w:rPr>
            </w:pPr>
            <w:r>
              <w:rPr>
                <w:sz w:val="19"/>
                <w:szCs w:val="19"/>
                <w:spacing w:val="-1"/>
              </w:rPr>
              <w:t>87</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3"/>
              <w:spacing w:before="74" w:line="213" w:lineRule="auto"/>
              <w:rPr>
                <w:sz w:val="19"/>
                <w:szCs w:val="19"/>
              </w:rPr>
            </w:pPr>
            <w:r>
              <w:rPr>
                <w:sz w:val="19"/>
                <w:szCs w:val="19"/>
                <w:spacing w:val="9"/>
              </w:rPr>
              <w:t>新闻出版电影</w:t>
            </w:r>
          </w:p>
        </w:tc>
        <w:tc>
          <w:tcPr>
            <w:tcW w:w="2216" w:type="dxa"/>
            <w:vAlign w:val="top"/>
          </w:tcPr>
          <w:p>
            <w:pPr>
              <w:pStyle w:val="TableText"/>
              <w:ind w:right="8"/>
              <w:spacing w:before="67" w:line="220" w:lineRule="auto"/>
              <w:jc w:val="right"/>
              <w:rPr>
                <w:sz w:val="19"/>
                <w:szCs w:val="19"/>
              </w:rPr>
            </w:pPr>
            <w:r>
              <w:rPr>
                <w:sz w:val="19"/>
                <w:szCs w:val="19"/>
                <w:spacing w:val="-4"/>
              </w:rPr>
              <w:t>157</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3" w:line="214" w:lineRule="auto"/>
              <w:rPr>
                <w:sz w:val="19"/>
                <w:szCs w:val="19"/>
              </w:rPr>
            </w:pPr>
            <w:r>
              <w:rPr>
                <w:sz w:val="19"/>
                <w:szCs w:val="19"/>
                <w:spacing w:val="8"/>
              </w:rPr>
              <w:t>行政运行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2" w:line="215"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76" w:line="211"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4"/>
              <w:spacing w:before="78" w:line="209" w:lineRule="auto"/>
              <w:rPr>
                <w:sz w:val="19"/>
                <w:szCs w:val="19"/>
              </w:rPr>
            </w:pPr>
            <w:r>
              <w:rPr>
                <w:sz w:val="19"/>
                <w:szCs w:val="19"/>
                <w:spacing w:val="9"/>
              </w:rPr>
              <w:t>新闻通讯</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31"/>
              <w:spacing w:before="77" w:line="210" w:lineRule="auto"/>
              <w:rPr>
                <w:sz w:val="19"/>
                <w:szCs w:val="19"/>
              </w:rPr>
            </w:pPr>
            <w:r>
              <w:rPr>
                <w:sz w:val="19"/>
                <w:szCs w:val="19"/>
                <w:spacing w:val="4"/>
              </w:rPr>
              <w:t>出版发行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9"/>
              <w:spacing w:before="77" w:line="210" w:lineRule="auto"/>
              <w:rPr>
                <w:sz w:val="19"/>
                <w:szCs w:val="19"/>
              </w:rPr>
            </w:pPr>
            <w:r>
              <w:rPr>
                <w:sz w:val="19"/>
                <w:szCs w:val="19"/>
                <w:spacing w:val="8"/>
              </w:rPr>
              <w:t>版权管理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34"/>
              <w:spacing w:before="84" w:line="205" w:lineRule="auto"/>
              <w:rPr>
                <w:sz w:val="19"/>
                <w:szCs w:val="19"/>
              </w:rPr>
            </w:pPr>
            <w:r>
              <w:rPr>
                <w:sz w:val="19"/>
                <w:szCs w:val="19"/>
                <w:spacing w:val="-3"/>
              </w:rPr>
              <w:t>电影</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7" w:line="211" w:lineRule="auto"/>
              <w:rPr>
                <w:sz w:val="19"/>
                <w:szCs w:val="19"/>
              </w:rPr>
            </w:pPr>
            <w:r>
              <w:rPr>
                <w:sz w:val="19"/>
                <w:szCs w:val="19"/>
                <w:spacing w:val="9"/>
              </w:rPr>
              <w:t>其他新闻出版电影支出</w:t>
            </w:r>
          </w:p>
        </w:tc>
        <w:tc>
          <w:tcPr>
            <w:tcW w:w="2216" w:type="dxa"/>
            <w:vAlign w:val="top"/>
          </w:tcPr>
          <w:p>
            <w:pPr>
              <w:pStyle w:val="TableText"/>
              <w:ind w:right="8"/>
              <w:spacing w:before="74" w:line="214" w:lineRule="auto"/>
              <w:jc w:val="right"/>
              <w:rPr>
                <w:sz w:val="19"/>
                <w:szCs w:val="19"/>
              </w:rPr>
            </w:pPr>
            <w:r>
              <w:rPr>
                <w:sz w:val="19"/>
                <w:szCs w:val="19"/>
                <w:spacing w:val="-4"/>
              </w:rPr>
              <w:t>157</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6"/>
              <w:spacing w:before="79" w:line="209" w:lineRule="auto"/>
              <w:rPr>
                <w:sz w:val="19"/>
                <w:szCs w:val="19"/>
              </w:rPr>
            </w:pPr>
            <w:r>
              <w:rPr>
                <w:sz w:val="19"/>
                <w:szCs w:val="19"/>
                <w:spacing w:val="8"/>
              </w:rPr>
              <w:t>广播电视</w:t>
            </w:r>
          </w:p>
        </w:tc>
        <w:tc>
          <w:tcPr>
            <w:tcW w:w="2216" w:type="dxa"/>
            <w:vAlign w:val="top"/>
          </w:tcPr>
          <w:p>
            <w:pPr>
              <w:pStyle w:val="TableText"/>
              <w:ind w:right="8"/>
              <w:spacing w:before="73" w:line="215" w:lineRule="auto"/>
              <w:jc w:val="right"/>
              <w:rPr>
                <w:sz w:val="19"/>
                <w:szCs w:val="19"/>
              </w:rPr>
            </w:pPr>
            <w:r>
              <w:rPr>
                <w:sz w:val="19"/>
                <w:szCs w:val="19"/>
                <w:spacing w:val="2"/>
              </w:rPr>
              <w:t>2270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8" w:line="210" w:lineRule="auto"/>
              <w:rPr>
                <w:sz w:val="19"/>
                <w:szCs w:val="19"/>
              </w:rPr>
            </w:pPr>
            <w:r>
              <w:rPr>
                <w:sz w:val="19"/>
                <w:szCs w:val="19"/>
                <w:spacing w:val="8"/>
              </w:rPr>
              <w:t>行政运行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9" w:line="209"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9" w:line="209"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9" w:line="208" w:lineRule="auto"/>
              <w:rPr>
                <w:sz w:val="19"/>
                <w:szCs w:val="19"/>
              </w:rPr>
            </w:pPr>
            <w:r>
              <w:rPr>
                <w:sz w:val="19"/>
                <w:szCs w:val="19"/>
                <w:spacing w:val="8"/>
              </w:rPr>
              <w:t>监测监管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6" w:line="212" w:lineRule="auto"/>
              <w:rPr>
                <w:sz w:val="19"/>
                <w:szCs w:val="19"/>
              </w:rPr>
            </w:pPr>
            <w:r>
              <w:rPr>
                <w:sz w:val="19"/>
                <w:szCs w:val="19"/>
                <w:spacing w:val="8"/>
              </w:rPr>
              <w:t>传输发射</w:t>
            </w:r>
          </w:p>
        </w:tc>
        <w:tc>
          <w:tcPr>
            <w:tcW w:w="2216" w:type="dxa"/>
            <w:vAlign w:val="top"/>
          </w:tcPr>
          <w:p>
            <w:pPr>
              <w:pStyle w:val="TableText"/>
              <w:ind w:right="8"/>
              <w:spacing w:before="74" w:line="214" w:lineRule="auto"/>
              <w:jc w:val="right"/>
              <w:rPr>
                <w:sz w:val="19"/>
                <w:szCs w:val="19"/>
              </w:rPr>
            </w:pPr>
            <w:r>
              <w:rPr>
                <w:sz w:val="19"/>
                <w:szCs w:val="19"/>
                <w:spacing w:val="-4"/>
              </w:rPr>
              <w:t>105</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80" w:line="207" w:lineRule="auto"/>
              <w:rPr>
                <w:sz w:val="19"/>
                <w:szCs w:val="19"/>
              </w:rPr>
            </w:pPr>
            <w:r>
              <w:rPr>
                <w:sz w:val="19"/>
                <w:szCs w:val="19"/>
                <w:spacing w:val="9"/>
              </w:rPr>
              <w:t>广播电视事务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9" w:line="209" w:lineRule="auto"/>
              <w:rPr>
                <w:sz w:val="19"/>
                <w:szCs w:val="19"/>
              </w:rPr>
            </w:pPr>
            <w:r>
              <w:rPr>
                <w:sz w:val="19"/>
                <w:szCs w:val="19"/>
                <w:spacing w:val="9"/>
              </w:rPr>
              <w:t>其他广播电视支出</w:t>
            </w:r>
          </w:p>
        </w:tc>
        <w:tc>
          <w:tcPr>
            <w:tcW w:w="2216" w:type="dxa"/>
            <w:vAlign w:val="top"/>
          </w:tcPr>
          <w:p>
            <w:pPr>
              <w:pStyle w:val="TableText"/>
              <w:ind w:right="8"/>
              <w:spacing w:before="76" w:line="212" w:lineRule="auto"/>
              <w:jc w:val="right"/>
              <w:rPr>
                <w:sz w:val="19"/>
                <w:szCs w:val="19"/>
              </w:rPr>
            </w:pPr>
            <w:r>
              <w:rPr>
                <w:sz w:val="19"/>
                <w:szCs w:val="19"/>
                <w:spacing w:val="2"/>
              </w:rPr>
              <w:t>2165</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3"/>
              <w:spacing w:before="77" w:line="210" w:lineRule="auto"/>
              <w:rPr>
                <w:sz w:val="19"/>
                <w:szCs w:val="19"/>
              </w:rPr>
            </w:pPr>
            <w:r>
              <w:rPr>
                <w:sz w:val="19"/>
                <w:szCs w:val="19"/>
                <w:spacing w:val="9"/>
              </w:rPr>
              <w:t>其他文化旅游体育与传媒支出</w:t>
            </w:r>
          </w:p>
        </w:tc>
        <w:tc>
          <w:tcPr>
            <w:tcW w:w="2216" w:type="dxa"/>
            <w:vAlign w:val="top"/>
          </w:tcPr>
          <w:p>
            <w:pPr>
              <w:pStyle w:val="TableText"/>
              <w:ind w:right="7"/>
              <w:spacing w:before="75" w:line="212"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8"/>
              <w:spacing w:before="78" w:line="210" w:lineRule="auto"/>
              <w:rPr>
                <w:sz w:val="19"/>
                <w:szCs w:val="19"/>
              </w:rPr>
            </w:pPr>
            <w:r>
              <w:rPr>
                <w:sz w:val="19"/>
                <w:szCs w:val="19"/>
                <w:spacing w:val="9"/>
              </w:rPr>
              <w:t>宣传文化发展专项支出</w:t>
            </w:r>
          </w:p>
        </w:tc>
        <w:tc>
          <w:tcPr>
            <w:tcW w:w="2216" w:type="dxa"/>
            <w:vAlign w:val="top"/>
          </w:tcPr>
          <w:p>
            <w:pPr>
              <w:pStyle w:val="TableText"/>
              <w:ind w:right="7"/>
              <w:spacing w:before="76" w:line="212"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8"/>
              <w:spacing w:before="81" w:line="206" w:lineRule="auto"/>
              <w:rPr>
                <w:sz w:val="19"/>
                <w:szCs w:val="19"/>
              </w:rPr>
            </w:pPr>
            <w:r>
              <w:rPr>
                <w:sz w:val="19"/>
                <w:szCs w:val="19"/>
                <w:spacing w:val="9"/>
              </w:rPr>
              <w:t>文化产业发展专项支出</w:t>
            </w:r>
          </w:p>
        </w:tc>
        <w:tc>
          <w:tcPr>
            <w:tcW w:w="2216" w:type="dxa"/>
            <w:vAlign w:val="top"/>
          </w:tcPr>
          <w:p>
            <w:pPr>
              <w:pStyle w:val="TableText"/>
              <w:ind w:right="7"/>
              <w:spacing w:before="77" w:line="210"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0" w:line="208" w:lineRule="auto"/>
              <w:rPr>
                <w:sz w:val="19"/>
                <w:szCs w:val="19"/>
              </w:rPr>
            </w:pPr>
            <w:r>
              <w:rPr>
                <w:sz w:val="19"/>
                <w:szCs w:val="19"/>
                <w:spacing w:val="9"/>
              </w:rPr>
              <w:t>其他文化旅游体育与传媒支出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13"/>
              <w:spacing w:before="80" w:line="207" w:lineRule="auto"/>
              <w:rPr>
                <w:sz w:val="19"/>
                <w:szCs w:val="19"/>
              </w:rPr>
            </w:pPr>
            <w:r>
              <w:rPr>
                <w:sz w:val="19"/>
                <w:szCs w:val="19"/>
                <w:spacing w:val="9"/>
              </w:rPr>
              <w:t>八、社会保障和就业支出</w:t>
            </w:r>
          </w:p>
        </w:tc>
        <w:tc>
          <w:tcPr>
            <w:tcW w:w="2216" w:type="dxa"/>
            <w:vAlign w:val="top"/>
          </w:tcPr>
          <w:p>
            <w:pPr>
              <w:pStyle w:val="TableText"/>
              <w:ind w:right="8"/>
              <w:spacing w:before="77" w:line="210" w:lineRule="auto"/>
              <w:jc w:val="right"/>
              <w:rPr>
                <w:sz w:val="19"/>
                <w:szCs w:val="19"/>
              </w:rPr>
            </w:pPr>
            <w:r>
              <w:rPr>
                <w:sz w:val="19"/>
                <w:szCs w:val="19"/>
                <w:spacing w:val="3"/>
              </w:rPr>
              <w:t>43677</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3"/>
              <w:spacing w:before="80" w:line="208" w:lineRule="auto"/>
              <w:rPr>
                <w:sz w:val="19"/>
                <w:szCs w:val="19"/>
              </w:rPr>
            </w:pPr>
            <w:r>
              <w:rPr>
                <w:sz w:val="19"/>
                <w:szCs w:val="19"/>
                <w:spacing w:val="9"/>
              </w:rPr>
              <w:t>人力资源和社会保障管理事务</w:t>
            </w:r>
          </w:p>
        </w:tc>
        <w:tc>
          <w:tcPr>
            <w:tcW w:w="2216" w:type="dxa"/>
            <w:vAlign w:val="top"/>
          </w:tcPr>
          <w:p>
            <w:pPr>
              <w:pStyle w:val="TableText"/>
              <w:ind w:right="8"/>
              <w:spacing w:before="78" w:line="210" w:lineRule="auto"/>
              <w:jc w:val="right"/>
              <w:rPr>
                <w:sz w:val="19"/>
                <w:szCs w:val="19"/>
              </w:rPr>
            </w:pPr>
            <w:r>
              <w:rPr>
                <w:sz w:val="19"/>
                <w:szCs w:val="19"/>
                <w:spacing w:val="2"/>
              </w:rPr>
              <w:t>5077</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86" w:line="202" w:lineRule="auto"/>
              <w:rPr>
                <w:sz w:val="19"/>
                <w:szCs w:val="19"/>
              </w:rPr>
            </w:pPr>
            <w:r>
              <w:rPr>
                <w:sz w:val="19"/>
                <w:szCs w:val="19"/>
                <w:spacing w:val="8"/>
              </w:rPr>
              <w:t>行政运行</w:t>
            </w:r>
          </w:p>
        </w:tc>
        <w:tc>
          <w:tcPr>
            <w:tcW w:w="2216" w:type="dxa"/>
            <w:vAlign w:val="top"/>
          </w:tcPr>
          <w:p>
            <w:pPr>
              <w:pStyle w:val="TableText"/>
              <w:ind w:right="8"/>
              <w:spacing w:before="79" w:line="208" w:lineRule="auto"/>
              <w:jc w:val="right"/>
              <w:rPr>
                <w:sz w:val="19"/>
                <w:szCs w:val="19"/>
              </w:rPr>
            </w:pPr>
            <w:r>
              <w:rPr>
                <w:sz w:val="19"/>
                <w:szCs w:val="19"/>
                <w:spacing w:val="1"/>
              </w:rPr>
              <w:t>665</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5" w:line="204" w:lineRule="auto"/>
              <w:rPr>
                <w:sz w:val="19"/>
                <w:szCs w:val="19"/>
              </w:rPr>
            </w:pPr>
            <w:r>
              <w:rPr>
                <w:sz w:val="19"/>
                <w:szCs w:val="19"/>
                <w:spacing w:val="9"/>
              </w:rPr>
              <w:t>一般行政管理事务</w:t>
            </w:r>
          </w:p>
        </w:tc>
        <w:tc>
          <w:tcPr>
            <w:tcW w:w="2216" w:type="dxa"/>
            <w:vAlign w:val="top"/>
          </w:tcPr>
          <w:p>
            <w:pPr>
              <w:pStyle w:val="TableText"/>
              <w:ind w:right="8"/>
              <w:spacing w:before="80" w:line="208" w:lineRule="auto"/>
              <w:jc w:val="right"/>
              <w:rPr>
                <w:sz w:val="19"/>
                <w:szCs w:val="19"/>
              </w:rPr>
            </w:pPr>
            <w:r>
              <w:rPr>
                <w:sz w:val="19"/>
                <w:szCs w:val="19"/>
              </w:rPr>
              <w:t>61</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5" w:line="204"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4"/>
              <w:spacing w:before="82" w:line="206" w:lineRule="auto"/>
              <w:rPr>
                <w:sz w:val="19"/>
                <w:szCs w:val="19"/>
              </w:rPr>
            </w:pPr>
            <w:r>
              <w:rPr>
                <w:sz w:val="19"/>
                <w:szCs w:val="19"/>
                <w:spacing w:val="9"/>
              </w:rPr>
              <w:t>综合业务管理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20"/>
              <w:spacing w:before="84" w:line="205" w:lineRule="auto"/>
              <w:rPr>
                <w:sz w:val="19"/>
                <w:szCs w:val="19"/>
              </w:rPr>
            </w:pPr>
            <w:r>
              <w:rPr>
                <w:sz w:val="19"/>
                <w:szCs w:val="19"/>
                <w:spacing w:val="8"/>
              </w:rPr>
              <w:t>劳动保障监察</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8"/>
              <w:spacing w:before="85" w:line="204" w:lineRule="auto"/>
              <w:rPr>
                <w:sz w:val="19"/>
                <w:szCs w:val="19"/>
              </w:rPr>
            </w:pPr>
            <w:r>
              <w:rPr>
                <w:sz w:val="19"/>
                <w:szCs w:val="19"/>
                <w:spacing w:val="8"/>
              </w:rPr>
              <w:t>就业管理事务</w:t>
            </w:r>
          </w:p>
        </w:tc>
        <w:tc>
          <w:tcPr>
            <w:tcW w:w="2216" w:type="dxa"/>
            <w:vAlign w:val="top"/>
          </w:tcPr>
          <w:p>
            <w:pPr>
              <w:pStyle w:val="TableText"/>
              <w:ind w:right="5"/>
              <w:spacing w:before="80" w:line="208" w:lineRule="auto"/>
              <w:jc w:val="right"/>
              <w:rPr>
                <w:sz w:val="19"/>
                <w:szCs w:val="19"/>
              </w:rPr>
            </w:pPr>
            <w:r>
              <w:rPr>
                <w:sz w:val="19"/>
                <w:szCs w:val="19"/>
              </w:rPr>
              <w:t>5</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5" w:line="204" w:lineRule="auto"/>
              <w:rPr>
                <w:sz w:val="19"/>
                <w:szCs w:val="19"/>
              </w:rPr>
            </w:pPr>
            <w:r>
              <w:rPr>
                <w:sz w:val="19"/>
                <w:szCs w:val="19"/>
                <w:spacing w:val="9"/>
              </w:rPr>
              <w:t>社会保险业务管理事务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0" w:line="208" w:lineRule="auto"/>
              <w:rPr>
                <w:sz w:val="19"/>
                <w:szCs w:val="19"/>
              </w:rPr>
            </w:pPr>
            <w:r>
              <w:rPr>
                <w:sz w:val="19"/>
                <w:szCs w:val="19"/>
                <w:spacing w:val="8"/>
              </w:rPr>
              <w:t>信息化建设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6" w:line="203" w:lineRule="auto"/>
              <w:rPr>
                <w:sz w:val="19"/>
                <w:szCs w:val="19"/>
              </w:rPr>
            </w:pPr>
            <w:r>
              <w:rPr>
                <w:sz w:val="19"/>
                <w:szCs w:val="19"/>
                <w:spacing w:val="9"/>
              </w:rPr>
              <w:t>社会保险经办机构</w:t>
            </w:r>
          </w:p>
        </w:tc>
        <w:tc>
          <w:tcPr>
            <w:tcW w:w="2216" w:type="dxa"/>
            <w:vAlign w:val="top"/>
          </w:tcPr>
          <w:p>
            <w:pPr>
              <w:pStyle w:val="TableText"/>
              <w:ind w:right="8"/>
              <w:spacing w:before="80" w:line="208" w:lineRule="auto"/>
              <w:jc w:val="right"/>
              <w:rPr>
                <w:sz w:val="19"/>
                <w:szCs w:val="19"/>
              </w:rPr>
            </w:pPr>
            <w:r>
              <w:rPr>
                <w:sz w:val="19"/>
                <w:szCs w:val="19"/>
                <w:spacing w:val="3"/>
              </w:rPr>
              <w:t>4335</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20"/>
              <w:spacing w:before="86" w:line="203" w:lineRule="auto"/>
              <w:rPr>
                <w:sz w:val="19"/>
                <w:szCs w:val="19"/>
              </w:rPr>
            </w:pPr>
            <w:r>
              <w:rPr>
                <w:sz w:val="19"/>
                <w:szCs w:val="19"/>
                <w:spacing w:val="8"/>
              </w:rPr>
              <w:t>劳动关系和维权</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4"/>
              <w:spacing w:before="85" w:line="204" w:lineRule="auto"/>
              <w:rPr>
                <w:sz w:val="19"/>
                <w:szCs w:val="19"/>
              </w:rPr>
            </w:pPr>
            <w:r>
              <w:rPr>
                <w:sz w:val="19"/>
                <w:szCs w:val="19"/>
                <w:spacing w:val="9"/>
              </w:rPr>
              <w:t>公共就业服务和职业技能鉴定机构</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20"/>
              <w:spacing w:before="84" w:line="205" w:lineRule="auto"/>
              <w:rPr>
                <w:sz w:val="19"/>
                <w:szCs w:val="19"/>
              </w:rPr>
            </w:pPr>
            <w:r>
              <w:rPr>
                <w:sz w:val="19"/>
                <w:szCs w:val="19"/>
                <w:spacing w:val="9"/>
              </w:rPr>
              <w:t>劳动人事争议调解仲裁</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6" w:line="203" w:lineRule="auto"/>
              <w:rPr>
                <w:sz w:val="19"/>
                <w:szCs w:val="19"/>
              </w:rPr>
            </w:pPr>
            <w:r>
              <w:rPr>
                <w:sz w:val="19"/>
                <w:szCs w:val="19"/>
                <w:spacing w:val="9"/>
              </w:rPr>
              <w:t>政府特殊津贴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20"/>
              <w:spacing w:before="84" w:line="205" w:lineRule="auto"/>
              <w:rPr>
                <w:sz w:val="19"/>
                <w:szCs w:val="19"/>
              </w:rPr>
            </w:pPr>
            <w:r>
              <w:rPr>
                <w:sz w:val="19"/>
                <w:szCs w:val="19"/>
                <w:spacing w:val="8"/>
              </w:rPr>
              <w:t>资助留学回国人员</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4" w:line="205" w:lineRule="auto"/>
              <w:rPr>
                <w:sz w:val="19"/>
                <w:szCs w:val="19"/>
              </w:rPr>
            </w:pPr>
            <w:r>
              <w:rPr>
                <w:sz w:val="19"/>
                <w:szCs w:val="19"/>
                <w:spacing w:val="9"/>
              </w:rPr>
              <w:t>博士后日常经费</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14" w:hRule="atLeast"/>
        </w:trPr>
        <w:tc>
          <w:tcPr>
            <w:tcW w:w="4612" w:type="dxa"/>
            <w:vAlign w:val="top"/>
            <w:tcBorders>
              <w:left w:val="single" w:color="000000" w:sz="6" w:space="0"/>
              <w:bottom w:val="single" w:color="000000" w:sz="6" w:space="0"/>
            </w:tcBorders>
          </w:tcPr>
          <w:p>
            <w:pPr>
              <w:pStyle w:val="TableText"/>
              <w:ind w:left="623"/>
              <w:spacing w:before="84" w:line="213" w:lineRule="auto"/>
              <w:rPr>
                <w:sz w:val="19"/>
                <w:szCs w:val="19"/>
              </w:rPr>
            </w:pPr>
            <w:r>
              <w:rPr>
                <w:sz w:val="19"/>
                <w:szCs w:val="19"/>
                <w:spacing w:val="8"/>
              </w:rPr>
              <w:t>引进人才费用</w:t>
            </w:r>
          </w:p>
        </w:tc>
        <w:tc>
          <w:tcPr>
            <w:tcW w:w="2216" w:type="dxa"/>
            <w:vAlign w:val="top"/>
            <w:tcBorders>
              <w:bottom w:val="single" w:color="000000" w:sz="6" w:space="0"/>
            </w:tcBorders>
          </w:tcPr>
          <w:p>
            <w:pPr>
              <w:rPr>
                <w:rFonts w:ascii="Arial"/>
                <w:sz w:val="21"/>
              </w:rPr>
            </w:pPr>
            <w:r/>
          </w:p>
        </w:tc>
        <w:tc>
          <w:tcPr>
            <w:tcW w:w="2013"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23"/>
          <w:footerReference w:type="default" r:id="rId37"/>
          <w:pgSz w:w="11907" w:h="16840"/>
          <w:pgMar w:top="1801" w:right="1525" w:bottom="1660" w:left="1525" w:header="1428" w:footer="1289" w:gutter="0"/>
        </w:sectPr>
        <w:rPr>
          <w:rFonts w:ascii="Arial" w:hAnsi="Arial" w:eastAsia="Arial" w:cs="Arial"/>
          <w:sz w:val="21"/>
          <w:szCs w:val="21"/>
        </w:rPr>
      </w:pPr>
    </w:p>
    <w:p>
      <w:pPr>
        <w:spacing w:line="240" w:lineRule="exact"/>
        <w:rPr/>
      </w:pPr>
      <w:r/>
    </w:p>
    <w:tbl>
      <w:tblPr>
        <w:tblStyle w:val="TableNormal"/>
        <w:tblW w:w="8841"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12"/>
        <w:gridCol w:w="2216"/>
        <w:gridCol w:w="2013"/>
      </w:tblGrid>
      <w:tr>
        <w:trPr>
          <w:trHeight w:val="312" w:hRule="atLeast"/>
        </w:trPr>
        <w:tc>
          <w:tcPr>
            <w:tcW w:w="4612" w:type="dxa"/>
            <w:vAlign w:val="top"/>
            <w:tcBorders>
              <w:left w:val="single" w:color="000000" w:sz="6" w:space="0"/>
              <w:top w:val="single" w:color="000000" w:sz="6" w:space="0"/>
            </w:tcBorders>
          </w:tcPr>
          <w:p>
            <w:pPr>
              <w:pStyle w:val="TableText"/>
              <w:ind w:left="2104"/>
              <w:spacing w:before="81" w:line="212" w:lineRule="auto"/>
              <w:rPr>
                <w:sz w:val="19"/>
                <w:szCs w:val="19"/>
              </w:rPr>
            </w:pPr>
            <w:r>
              <w:rPr>
                <w:sz w:val="19"/>
                <w:szCs w:val="19"/>
                <w:b/>
                <w:bCs/>
                <w:spacing w:val="6"/>
              </w:rPr>
              <w:t>项目</w:t>
            </w:r>
          </w:p>
        </w:tc>
        <w:tc>
          <w:tcPr>
            <w:tcW w:w="2216" w:type="dxa"/>
            <w:vAlign w:val="top"/>
            <w:tcBorders>
              <w:top w:val="single" w:color="000000" w:sz="6" w:space="0"/>
            </w:tcBorders>
          </w:tcPr>
          <w:p>
            <w:pPr>
              <w:pStyle w:val="TableText"/>
              <w:ind w:left="813"/>
              <w:spacing w:before="76" w:line="219" w:lineRule="auto"/>
              <w:rPr>
                <w:sz w:val="19"/>
                <w:szCs w:val="19"/>
              </w:rPr>
            </w:pPr>
            <w:r>
              <w:rPr>
                <w:sz w:val="19"/>
                <w:szCs w:val="19"/>
                <w:b/>
                <w:bCs/>
                <w:spacing w:val="5"/>
              </w:rPr>
              <w:t>预算数</w:t>
            </w:r>
          </w:p>
        </w:tc>
        <w:tc>
          <w:tcPr>
            <w:tcW w:w="2013" w:type="dxa"/>
            <w:vAlign w:val="top"/>
            <w:tcBorders>
              <w:right w:val="single" w:color="000000" w:sz="6" w:space="0"/>
              <w:top w:val="single" w:color="000000" w:sz="6" w:space="0"/>
            </w:tcBorders>
          </w:tcPr>
          <w:p>
            <w:pPr>
              <w:pStyle w:val="TableText"/>
              <w:ind w:left="806"/>
              <w:spacing w:before="76" w:line="219" w:lineRule="auto"/>
              <w:rPr>
                <w:sz w:val="19"/>
                <w:szCs w:val="19"/>
              </w:rPr>
            </w:pPr>
            <w:r>
              <w:rPr>
                <w:sz w:val="19"/>
                <w:szCs w:val="19"/>
                <w:b/>
                <w:bCs/>
                <w:spacing w:val="6"/>
              </w:rPr>
              <w:t>备注</w:t>
            </w:r>
          </w:p>
        </w:tc>
      </w:tr>
      <w:tr>
        <w:trPr>
          <w:trHeight w:val="304" w:hRule="atLeast"/>
        </w:trPr>
        <w:tc>
          <w:tcPr>
            <w:tcW w:w="4612" w:type="dxa"/>
            <w:vAlign w:val="top"/>
            <w:tcBorders>
              <w:left w:val="single" w:color="000000" w:sz="6" w:space="0"/>
            </w:tcBorders>
          </w:tcPr>
          <w:p>
            <w:pPr>
              <w:pStyle w:val="TableText"/>
              <w:ind w:left="616"/>
              <w:spacing w:before="69" w:line="218"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0" w:line="217" w:lineRule="auto"/>
              <w:rPr>
                <w:sz w:val="19"/>
                <w:szCs w:val="19"/>
              </w:rPr>
            </w:pPr>
            <w:r>
              <w:rPr>
                <w:sz w:val="19"/>
                <w:szCs w:val="19"/>
                <w:spacing w:val="9"/>
              </w:rPr>
              <w:t>其他人力资源和社会保障管理事务支出</w:t>
            </w:r>
          </w:p>
        </w:tc>
        <w:tc>
          <w:tcPr>
            <w:tcW w:w="2216" w:type="dxa"/>
            <w:vAlign w:val="top"/>
          </w:tcPr>
          <w:p>
            <w:pPr>
              <w:pStyle w:val="TableText"/>
              <w:ind w:right="8"/>
              <w:spacing w:before="68" w:line="219" w:lineRule="auto"/>
              <w:jc w:val="right"/>
              <w:rPr>
                <w:sz w:val="19"/>
                <w:szCs w:val="19"/>
              </w:rPr>
            </w:pPr>
            <w:r>
              <w:rPr>
                <w:sz w:val="19"/>
                <w:szCs w:val="19"/>
                <w:spacing w:val="-8"/>
              </w:rPr>
              <w:t>11</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32"/>
              <w:spacing w:before="72" w:line="215" w:lineRule="auto"/>
              <w:rPr>
                <w:sz w:val="19"/>
                <w:szCs w:val="19"/>
              </w:rPr>
            </w:pPr>
            <w:r>
              <w:rPr>
                <w:sz w:val="19"/>
                <w:szCs w:val="19"/>
                <w:spacing w:val="6"/>
              </w:rPr>
              <w:t>民政管理事务</w:t>
            </w:r>
          </w:p>
        </w:tc>
        <w:tc>
          <w:tcPr>
            <w:tcW w:w="2216" w:type="dxa"/>
            <w:vAlign w:val="top"/>
          </w:tcPr>
          <w:p>
            <w:pPr>
              <w:pStyle w:val="TableText"/>
              <w:ind w:right="8"/>
              <w:spacing w:before="68" w:line="219" w:lineRule="auto"/>
              <w:jc w:val="right"/>
              <w:rPr>
                <w:sz w:val="19"/>
                <w:szCs w:val="19"/>
              </w:rPr>
            </w:pPr>
            <w:r>
              <w:rPr>
                <w:sz w:val="19"/>
                <w:szCs w:val="19"/>
                <w:spacing w:val="1"/>
              </w:rPr>
              <w:t>926</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4" w:line="213" w:lineRule="auto"/>
              <w:rPr>
                <w:sz w:val="19"/>
                <w:szCs w:val="19"/>
              </w:rPr>
            </w:pPr>
            <w:r>
              <w:rPr>
                <w:sz w:val="19"/>
                <w:szCs w:val="19"/>
                <w:spacing w:val="8"/>
              </w:rPr>
              <w:t>行政运行</w:t>
            </w:r>
          </w:p>
        </w:tc>
        <w:tc>
          <w:tcPr>
            <w:tcW w:w="2216" w:type="dxa"/>
            <w:vAlign w:val="top"/>
          </w:tcPr>
          <w:p>
            <w:pPr>
              <w:pStyle w:val="TableText"/>
              <w:ind w:right="8"/>
              <w:spacing w:before="68" w:line="219" w:lineRule="auto"/>
              <w:jc w:val="right"/>
              <w:rPr>
                <w:sz w:val="19"/>
                <w:szCs w:val="19"/>
              </w:rPr>
            </w:pPr>
            <w:r>
              <w:rPr>
                <w:sz w:val="19"/>
                <w:szCs w:val="19"/>
                <w:spacing w:val="-4"/>
              </w:rPr>
              <w:t>165</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3" w:line="214" w:lineRule="auto"/>
              <w:rPr>
                <w:sz w:val="19"/>
                <w:szCs w:val="19"/>
              </w:rPr>
            </w:pPr>
            <w:r>
              <w:rPr>
                <w:sz w:val="19"/>
                <w:szCs w:val="19"/>
                <w:spacing w:val="9"/>
              </w:rPr>
              <w:t>一般行政管理事务</w:t>
            </w:r>
          </w:p>
        </w:tc>
        <w:tc>
          <w:tcPr>
            <w:tcW w:w="2216" w:type="dxa"/>
            <w:vAlign w:val="top"/>
          </w:tcPr>
          <w:p>
            <w:pPr>
              <w:pStyle w:val="TableText"/>
              <w:ind w:right="8"/>
              <w:spacing w:before="69" w:line="218" w:lineRule="auto"/>
              <w:jc w:val="right"/>
              <w:rPr>
                <w:sz w:val="19"/>
                <w:szCs w:val="19"/>
              </w:rPr>
            </w:pPr>
            <w:r>
              <w:rPr>
                <w:sz w:val="19"/>
                <w:szCs w:val="19"/>
              </w:rPr>
              <w:t>97</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77" w:line="210"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7" w:line="211" w:lineRule="auto"/>
              <w:rPr>
                <w:sz w:val="19"/>
                <w:szCs w:val="19"/>
              </w:rPr>
            </w:pPr>
            <w:r>
              <w:rPr>
                <w:sz w:val="19"/>
                <w:szCs w:val="19"/>
                <w:spacing w:val="9"/>
              </w:rPr>
              <w:t>社会组织管理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7" w:line="211" w:lineRule="auto"/>
              <w:rPr>
                <w:sz w:val="19"/>
                <w:szCs w:val="19"/>
              </w:rPr>
            </w:pPr>
            <w:r>
              <w:rPr>
                <w:sz w:val="19"/>
                <w:szCs w:val="19"/>
                <w:spacing w:val="9"/>
              </w:rPr>
              <w:t>行政区划和地名管理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3" w:line="215" w:lineRule="auto"/>
              <w:rPr>
                <w:sz w:val="19"/>
                <w:szCs w:val="19"/>
              </w:rPr>
            </w:pPr>
            <w:r>
              <w:rPr>
                <w:sz w:val="19"/>
                <w:szCs w:val="19"/>
                <w:spacing w:val="9"/>
              </w:rPr>
              <w:t>基层政权建设和社区治理</w:t>
            </w:r>
          </w:p>
        </w:tc>
        <w:tc>
          <w:tcPr>
            <w:tcW w:w="2216" w:type="dxa"/>
            <w:vAlign w:val="top"/>
          </w:tcPr>
          <w:p>
            <w:pPr>
              <w:pStyle w:val="TableText"/>
              <w:ind w:right="8"/>
              <w:spacing w:before="71" w:line="217" w:lineRule="auto"/>
              <w:jc w:val="right"/>
              <w:rPr>
                <w:sz w:val="19"/>
                <w:szCs w:val="19"/>
              </w:rPr>
            </w:pPr>
            <w:r>
              <w:rPr>
                <w:sz w:val="19"/>
                <w:szCs w:val="19"/>
              </w:rPr>
              <w:t>397</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6" w:line="212" w:lineRule="auto"/>
              <w:rPr>
                <w:sz w:val="19"/>
                <w:szCs w:val="19"/>
              </w:rPr>
            </w:pPr>
            <w:r>
              <w:rPr>
                <w:sz w:val="19"/>
                <w:szCs w:val="19"/>
                <w:spacing w:val="9"/>
              </w:rPr>
              <w:t>其他民政管理事务支出</w:t>
            </w:r>
          </w:p>
        </w:tc>
        <w:tc>
          <w:tcPr>
            <w:tcW w:w="2216" w:type="dxa"/>
            <w:vAlign w:val="top"/>
          </w:tcPr>
          <w:p>
            <w:pPr>
              <w:pStyle w:val="TableText"/>
              <w:ind w:right="8"/>
              <w:spacing w:before="73" w:line="215" w:lineRule="auto"/>
              <w:jc w:val="right"/>
              <w:rPr>
                <w:sz w:val="19"/>
                <w:szCs w:val="19"/>
              </w:rPr>
            </w:pPr>
            <w:r>
              <w:rPr>
                <w:sz w:val="19"/>
                <w:szCs w:val="19"/>
                <w:spacing w:val="1"/>
              </w:rPr>
              <w:t>267</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6"/>
              <w:spacing w:before="75" w:line="213" w:lineRule="auto"/>
              <w:rPr>
                <w:sz w:val="19"/>
                <w:szCs w:val="19"/>
              </w:rPr>
            </w:pPr>
            <w:r>
              <w:rPr>
                <w:sz w:val="19"/>
                <w:szCs w:val="19"/>
                <w:spacing w:val="9"/>
              </w:rPr>
              <w:t>补充全国社会保障基金</w:t>
            </w:r>
          </w:p>
        </w:tc>
        <w:tc>
          <w:tcPr>
            <w:tcW w:w="2216" w:type="dxa"/>
            <w:vAlign w:val="top"/>
          </w:tcPr>
          <w:p>
            <w:pPr>
              <w:pStyle w:val="TableText"/>
              <w:ind w:right="7"/>
              <w:spacing w:before="72" w:line="216"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5" w:line="213" w:lineRule="auto"/>
              <w:rPr>
                <w:sz w:val="19"/>
                <w:szCs w:val="19"/>
              </w:rPr>
            </w:pPr>
            <w:r>
              <w:rPr>
                <w:sz w:val="19"/>
                <w:szCs w:val="19"/>
                <w:spacing w:val="9"/>
              </w:rPr>
              <w:t>用一般公共预算补充基金</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3"/>
              <w:spacing w:before="74" w:line="214" w:lineRule="auto"/>
              <w:rPr>
                <w:sz w:val="19"/>
                <w:szCs w:val="19"/>
              </w:rPr>
            </w:pPr>
            <w:r>
              <w:rPr>
                <w:sz w:val="19"/>
                <w:szCs w:val="19"/>
                <w:spacing w:val="9"/>
              </w:rPr>
              <w:t>行政事业单位养老支出</w:t>
            </w:r>
          </w:p>
        </w:tc>
        <w:tc>
          <w:tcPr>
            <w:tcW w:w="2216" w:type="dxa"/>
            <w:vAlign w:val="top"/>
          </w:tcPr>
          <w:p>
            <w:pPr>
              <w:pStyle w:val="TableText"/>
              <w:ind w:right="8"/>
              <w:spacing w:before="71" w:line="217" w:lineRule="auto"/>
              <w:jc w:val="right"/>
              <w:rPr>
                <w:sz w:val="19"/>
                <w:szCs w:val="19"/>
              </w:rPr>
            </w:pPr>
            <w:r>
              <w:rPr>
                <w:sz w:val="19"/>
                <w:szCs w:val="19"/>
                <w:spacing w:val="2"/>
              </w:rPr>
              <w:t>30182</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4" w:line="213" w:lineRule="auto"/>
              <w:rPr>
                <w:sz w:val="19"/>
                <w:szCs w:val="19"/>
              </w:rPr>
            </w:pPr>
            <w:r>
              <w:rPr>
                <w:sz w:val="19"/>
                <w:szCs w:val="19"/>
                <w:spacing w:val="9"/>
              </w:rPr>
              <w:t>行政单位离退休</w:t>
            </w:r>
          </w:p>
        </w:tc>
        <w:tc>
          <w:tcPr>
            <w:tcW w:w="2216" w:type="dxa"/>
            <w:vAlign w:val="top"/>
          </w:tcPr>
          <w:p>
            <w:pPr>
              <w:pStyle w:val="TableText"/>
              <w:ind w:right="8"/>
              <w:spacing w:before="73" w:line="214" w:lineRule="auto"/>
              <w:jc w:val="right"/>
              <w:rPr>
                <w:sz w:val="19"/>
                <w:szCs w:val="19"/>
              </w:rPr>
            </w:pPr>
            <w:r>
              <w:rPr>
                <w:sz w:val="19"/>
                <w:szCs w:val="19"/>
                <w:spacing w:val="1"/>
              </w:rPr>
              <w:t>208</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5" w:line="213" w:lineRule="auto"/>
              <w:rPr>
                <w:sz w:val="19"/>
                <w:szCs w:val="19"/>
              </w:rPr>
            </w:pPr>
            <w:r>
              <w:rPr>
                <w:sz w:val="19"/>
                <w:szCs w:val="19"/>
                <w:spacing w:val="9"/>
              </w:rPr>
              <w:t>事业单位离退休</w:t>
            </w:r>
          </w:p>
        </w:tc>
        <w:tc>
          <w:tcPr>
            <w:tcW w:w="2216" w:type="dxa"/>
            <w:vAlign w:val="top"/>
          </w:tcPr>
          <w:p>
            <w:pPr>
              <w:pStyle w:val="TableText"/>
              <w:ind w:right="8"/>
              <w:spacing w:before="73" w:line="215" w:lineRule="auto"/>
              <w:jc w:val="right"/>
              <w:rPr>
                <w:sz w:val="19"/>
                <w:szCs w:val="19"/>
              </w:rPr>
            </w:pPr>
            <w:r>
              <w:rPr>
                <w:sz w:val="19"/>
                <w:szCs w:val="19"/>
                <w:spacing w:val="-4"/>
              </w:rPr>
              <w:t>169</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4" w:line="214" w:lineRule="auto"/>
              <w:rPr>
                <w:sz w:val="19"/>
                <w:szCs w:val="19"/>
              </w:rPr>
            </w:pPr>
            <w:r>
              <w:rPr>
                <w:sz w:val="19"/>
                <w:szCs w:val="19"/>
                <w:spacing w:val="9"/>
              </w:rPr>
              <w:t>离退休人员管理机构</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5" w:line="213" w:lineRule="auto"/>
              <w:rPr>
                <w:sz w:val="19"/>
                <w:szCs w:val="19"/>
              </w:rPr>
            </w:pPr>
            <w:r>
              <w:rPr>
                <w:sz w:val="19"/>
                <w:szCs w:val="19"/>
                <w:spacing w:val="9"/>
              </w:rPr>
              <w:t>机关事业单位基本养老保险缴费支出</w:t>
            </w:r>
          </w:p>
        </w:tc>
        <w:tc>
          <w:tcPr>
            <w:tcW w:w="2216" w:type="dxa"/>
            <w:vAlign w:val="top"/>
          </w:tcPr>
          <w:p>
            <w:pPr>
              <w:pStyle w:val="TableText"/>
              <w:ind w:right="8"/>
              <w:spacing w:before="72" w:line="216" w:lineRule="auto"/>
              <w:jc w:val="right"/>
              <w:rPr>
                <w:sz w:val="19"/>
                <w:szCs w:val="19"/>
              </w:rPr>
            </w:pPr>
            <w:r>
              <w:rPr>
                <w:sz w:val="19"/>
                <w:szCs w:val="19"/>
                <w:spacing w:val="2"/>
              </w:rPr>
              <w:t>8009</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7" w:line="211" w:lineRule="auto"/>
              <w:rPr>
                <w:sz w:val="19"/>
                <w:szCs w:val="19"/>
              </w:rPr>
            </w:pPr>
            <w:r>
              <w:rPr>
                <w:sz w:val="19"/>
                <w:szCs w:val="19"/>
                <w:spacing w:val="9"/>
              </w:rPr>
              <w:t>机关事业单位职业年金缴费支出</w:t>
            </w:r>
          </w:p>
        </w:tc>
        <w:tc>
          <w:tcPr>
            <w:tcW w:w="2216" w:type="dxa"/>
            <w:vAlign w:val="top"/>
          </w:tcPr>
          <w:p>
            <w:pPr>
              <w:pStyle w:val="TableText"/>
              <w:ind w:right="8"/>
              <w:spacing w:before="74" w:line="214" w:lineRule="auto"/>
              <w:jc w:val="right"/>
              <w:rPr>
                <w:sz w:val="19"/>
                <w:szCs w:val="19"/>
              </w:rPr>
            </w:pPr>
            <w:r>
              <w:rPr>
                <w:sz w:val="19"/>
                <w:szCs w:val="19"/>
                <w:spacing w:val="-1"/>
              </w:rPr>
              <w:t>11005</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6" w:line="212" w:lineRule="auto"/>
              <w:rPr>
                <w:sz w:val="19"/>
                <w:szCs w:val="19"/>
              </w:rPr>
            </w:pPr>
            <w:r>
              <w:rPr>
                <w:sz w:val="19"/>
                <w:szCs w:val="19"/>
                <w:spacing w:val="9"/>
              </w:rPr>
              <w:t>对机关事业单位基本养老保险基金的补助</w:t>
            </w:r>
          </w:p>
        </w:tc>
        <w:tc>
          <w:tcPr>
            <w:tcW w:w="2216" w:type="dxa"/>
            <w:vAlign w:val="top"/>
          </w:tcPr>
          <w:p>
            <w:pPr>
              <w:pStyle w:val="TableText"/>
              <w:ind w:right="8"/>
              <w:spacing w:before="73" w:line="215" w:lineRule="auto"/>
              <w:jc w:val="right"/>
              <w:rPr>
                <w:sz w:val="19"/>
                <w:szCs w:val="19"/>
              </w:rPr>
            </w:pPr>
            <w:r>
              <w:rPr>
                <w:sz w:val="19"/>
                <w:szCs w:val="19"/>
                <w:spacing w:val="2"/>
              </w:rPr>
              <w:t>2956</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6" w:line="212" w:lineRule="auto"/>
              <w:rPr>
                <w:sz w:val="19"/>
                <w:szCs w:val="19"/>
              </w:rPr>
            </w:pPr>
            <w:r>
              <w:rPr>
                <w:sz w:val="19"/>
                <w:szCs w:val="19"/>
                <w:spacing w:val="9"/>
              </w:rPr>
              <w:t>其他行政事业单位养老支出</w:t>
            </w:r>
          </w:p>
        </w:tc>
        <w:tc>
          <w:tcPr>
            <w:tcW w:w="2216" w:type="dxa"/>
            <w:vAlign w:val="top"/>
          </w:tcPr>
          <w:p>
            <w:pPr>
              <w:pStyle w:val="TableText"/>
              <w:ind w:right="8"/>
              <w:spacing w:before="72" w:line="216" w:lineRule="auto"/>
              <w:jc w:val="right"/>
              <w:rPr>
                <w:sz w:val="19"/>
                <w:szCs w:val="19"/>
              </w:rPr>
            </w:pPr>
            <w:r>
              <w:rPr>
                <w:sz w:val="19"/>
                <w:szCs w:val="19"/>
                <w:spacing w:val="3"/>
              </w:rPr>
              <w:t>7835</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4"/>
              <w:spacing w:before="77" w:line="211" w:lineRule="auto"/>
              <w:rPr>
                <w:sz w:val="19"/>
                <w:szCs w:val="19"/>
              </w:rPr>
            </w:pPr>
            <w:r>
              <w:rPr>
                <w:sz w:val="19"/>
                <w:szCs w:val="19"/>
                <w:spacing w:val="9"/>
              </w:rPr>
              <w:t>企业改革补助</w:t>
            </w:r>
          </w:p>
        </w:tc>
        <w:tc>
          <w:tcPr>
            <w:tcW w:w="2216" w:type="dxa"/>
            <w:vAlign w:val="top"/>
          </w:tcPr>
          <w:p>
            <w:pPr>
              <w:pStyle w:val="TableText"/>
              <w:ind w:right="7"/>
              <w:spacing w:before="72" w:line="216"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8" w:line="210" w:lineRule="auto"/>
              <w:rPr>
                <w:sz w:val="19"/>
                <w:szCs w:val="19"/>
              </w:rPr>
            </w:pPr>
            <w:r>
              <w:rPr>
                <w:sz w:val="19"/>
                <w:szCs w:val="19"/>
                <w:spacing w:val="9"/>
              </w:rPr>
              <w:t>企业关闭破产补助</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20"/>
              <w:spacing w:before="75" w:line="213" w:lineRule="auto"/>
              <w:rPr>
                <w:sz w:val="19"/>
                <w:szCs w:val="19"/>
              </w:rPr>
            </w:pPr>
            <w:r>
              <w:rPr>
                <w:sz w:val="19"/>
                <w:szCs w:val="19"/>
                <w:spacing w:val="9"/>
              </w:rPr>
              <w:t>厂办大集体改革补助</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6" w:line="212" w:lineRule="auto"/>
              <w:rPr>
                <w:sz w:val="19"/>
                <w:szCs w:val="19"/>
              </w:rPr>
            </w:pPr>
            <w:r>
              <w:rPr>
                <w:sz w:val="19"/>
                <w:szCs w:val="19"/>
                <w:spacing w:val="9"/>
              </w:rPr>
              <w:t>其他企业改革发展补助</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6"/>
              <w:spacing w:before="79" w:line="209" w:lineRule="auto"/>
              <w:rPr>
                <w:sz w:val="19"/>
                <w:szCs w:val="19"/>
              </w:rPr>
            </w:pPr>
            <w:r>
              <w:rPr>
                <w:sz w:val="19"/>
                <w:szCs w:val="19"/>
                <w:spacing w:val="8"/>
              </w:rPr>
              <w:t>就业补助</w:t>
            </w:r>
          </w:p>
        </w:tc>
        <w:tc>
          <w:tcPr>
            <w:tcW w:w="2216" w:type="dxa"/>
            <w:vAlign w:val="top"/>
          </w:tcPr>
          <w:p>
            <w:pPr>
              <w:pStyle w:val="TableText"/>
              <w:ind w:right="8"/>
              <w:spacing w:before="72" w:line="216" w:lineRule="auto"/>
              <w:jc w:val="right"/>
              <w:rPr>
                <w:sz w:val="19"/>
                <w:szCs w:val="19"/>
              </w:rPr>
            </w:pPr>
            <w:r>
              <w:rPr>
                <w:sz w:val="19"/>
                <w:szCs w:val="19"/>
                <w:spacing w:val="2"/>
              </w:rPr>
              <w:t>5025</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8"/>
              <w:spacing w:before="79" w:line="208" w:lineRule="auto"/>
              <w:rPr>
                <w:sz w:val="19"/>
                <w:szCs w:val="19"/>
              </w:rPr>
            </w:pPr>
            <w:r>
              <w:rPr>
                <w:sz w:val="19"/>
                <w:szCs w:val="19"/>
                <w:spacing w:val="8"/>
              </w:rPr>
              <w:t>就业创业服务补贴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20"/>
              <w:spacing w:before="79" w:line="209" w:lineRule="auto"/>
              <w:rPr>
                <w:sz w:val="19"/>
                <w:szCs w:val="19"/>
              </w:rPr>
            </w:pPr>
            <w:r>
              <w:rPr>
                <w:sz w:val="19"/>
                <w:szCs w:val="19"/>
                <w:spacing w:val="8"/>
              </w:rPr>
              <w:t>职业培训补贴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8" w:line="209" w:lineRule="auto"/>
              <w:rPr>
                <w:sz w:val="19"/>
                <w:szCs w:val="19"/>
              </w:rPr>
            </w:pPr>
            <w:r>
              <w:rPr>
                <w:sz w:val="19"/>
                <w:szCs w:val="19"/>
                <w:spacing w:val="9"/>
              </w:rPr>
              <w:t>社会保险补贴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4"/>
              <w:spacing w:before="78" w:line="210" w:lineRule="auto"/>
              <w:rPr>
                <w:sz w:val="19"/>
                <w:szCs w:val="19"/>
              </w:rPr>
            </w:pPr>
            <w:r>
              <w:rPr>
                <w:sz w:val="19"/>
                <w:szCs w:val="19"/>
                <w:spacing w:val="9"/>
              </w:rPr>
              <w:t>公益性岗位补贴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20"/>
              <w:spacing w:before="81" w:line="206" w:lineRule="auto"/>
              <w:rPr>
                <w:sz w:val="19"/>
                <w:szCs w:val="19"/>
              </w:rPr>
            </w:pPr>
            <w:r>
              <w:rPr>
                <w:sz w:val="19"/>
                <w:szCs w:val="19"/>
                <w:spacing w:val="8"/>
              </w:rPr>
              <w:t>职业技能鉴定补贴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8"/>
              <w:spacing w:before="81" w:line="207" w:lineRule="auto"/>
              <w:rPr>
                <w:sz w:val="19"/>
                <w:szCs w:val="19"/>
              </w:rPr>
            </w:pPr>
            <w:r>
              <w:rPr>
                <w:sz w:val="19"/>
                <w:szCs w:val="19"/>
                <w:spacing w:val="8"/>
              </w:rPr>
              <w:t>就业见习补贴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20"/>
              <w:spacing w:before="79" w:line="208" w:lineRule="auto"/>
              <w:rPr>
                <w:sz w:val="19"/>
                <w:szCs w:val="19"/>
              </w:rPr>
            </w:pPr>
            <w:r>
              <w:rPr>
                <w:sz w:val="19"/>
                <w:szCs w:val="19"/>
                <w:spacing w:val="9"/>
              </w:rPr>
              <w:t>高技能人才培养补助</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4"/>
              <w:spacing w:before="80" w:line="208" w:lineRule="auto"/>
              <w:rPr>
                <w:sz w:val="19"/>
                <w:szCs w:val="19"/>
              </w:rPr>
            </w:pPr>
            <w:r>
              <w:rPr>
                <w:sz w:val="19"/>
                <w:szCs w:val="19"/>
                <w:spacing w:val="9"/>
              </w:rPr>
              <w:t>促进创业补贴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81" w:line="206" w:lineRule="auto"/>
              <w:rPr>
                <w:sz w:val="19"/>
                <w:szCs w:val="19"/>
              </w:rPr>
            </w:pPr>
            <w:r>
              <w:rPr>
                <w:sz w:val="19"/>
                <w:szCs w:val="19"/>
                <w:spacing w:val="9"/>
              </w:rPr>
              <w:t>其他就业补助支出</w:t>
            </w:r>
          </w:p>
        </w:tc>
        <w:tc>
          <w:tcPr>
            <w:tcW w:w="2216" w:type="dxa"/>
            <w:vAlign w:val="top"/>
          </w:tcPr>
          <w:p>
            <w:pPr>
              <w:pStyle w:val="TableText"/>
              <w:ind w:right="8"/>
              <w:spacing w:before="77" w:line="210" w:lineRule="auto"/>
              <w:jc w:val="right"/>
              <w:rPr>
                <w:sz w:val="19"/>
                <w:szCs w:val="19"/>
              </w:rPr>
            </w:pPr>
            <w:r>
              <w:rPr>
                <w:sz w:val="19"/>
                <w:szCs w:val="19"/>
                <w:spacing w:val="2"/>
              </w:rPr>
              <w:t>5025</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5"/>
              <w:spacing w:before="84" w:line="205" w:lineRule="auto"/>
              <w:rPr>
                <w:sz w:val="19"/>
                <w:szCs w:val="19"/>
              </w:rPr>
            </w:pPr>
            <w:r>
              <w:rPr>
                <w:sz w:val="19"/>
                <w:szCs w:val="19"/>
                <w:spacing w:val="6"/>
              </w:rPr>
              <w:t>抚恤</w:t>
            </w:r>
          </w:p>
        </w:tc>
        <w:tc>
          <w:tcPr>
            <w:tcW w:w="2216" w:type="dxa"/>
            <w:vAlign w:val="top"/>
          </w:tcPr>
          <w:p>
            <w:pPr>
              <w:pStyle w:val="TableText"/>
              <w:ind w:right="7"/>
              <w:spacing w:before="78" w:line="210"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83" w:line="205" w:lineRule="auto"/>
              <w:rPr>
                <w:sz w:val="19"/>
                <w:szCs w:val="19"/>
              </w:rPr>
            </w:pPr>
            <w:r>
              <w:rPr>
                <w:sz w:val="19"/>
                <w:szCs w:val="19"/>
                <w:spacing w:val="8"/>
              </w:rPr>
              <w:t>死亡抚恤</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8"/>
              <w:spacing w:before="81" w:line="207" w:lineRule="auto"/>
              <w:rPr>
                <w:sz w:val="19"/>
                <w:szCs w:val="19"/>
              </w:rPr>
            </w:pPr>
            <w:r>
              <w:rPr>
                <w:sz w:val="19"/>
                <w:szCs w:val="19"/>
                <w:spacing w:val="8"/>
              </w:rPr>
              <w:t>伤残抚恤</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84" w:line="204" w:lineRule="auto"/>
              <w:rPr>
                <w:sz w:val="19"/>
                <w:szCs w:val="19"/>
              </w:rPr>
            </w:pPr>
            <w:r>
              <w:rPr>
                <w:sz w:val="19"/>
                <w:szCs w:val="19"/>
                <w:spacing w:val="9"/>
              </w:rPr>
              <w:t>在乡复员、退伍军人生活补助</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4" w:line="205" w:lineRule="auto"/>
              <w:rPr>
                <w:sz w:val="19"/>
                <w:szCs w:val="19"/>
              </w:rPr>
            </w:pPr>
            <w:r>
              <w:rPr>
                <w:sz w:val="19"/>
                <w:szCs w:val="19"/>
                <w:spacing w:val="9"/>
              </w:rPr>
              <w:t>优抚事业单位支出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14" w:hRule="atLeast"/>
        </w:trPr>
        <w:tc>
          <w:tcPr>
            <w:tcW w:w="4612" w:type="dxa"/>
            <w:vAlign w:val="top"/>
            <w:tcBorders>
              <w:left w:val="single" w:color="000000" w:sz="6" w:space="0"/>
              <w:bottom w:val="single" w:color="000000" w:sz="6" w:space="0"/>
            </w:tcBorders>
          </w:tcPr>
          <w:p>
            <w:pPr>
              <w:pStyle w:val="TableText"/>
              <w:ind w:left="617"/>
              <w:spacing w:before="82" w:line="215" w:lineRule="auto"/>
              <w:rPr>
                <w:sz w:val="19"/>
                <w:szCs w:val="19"/>
              </w:rPr>
            </w:pPr>
            <w:r>
              <w:rPr>
                <w:sz w:val="19"/>
                <w:szCs w:val="19"/>
                <w:spacing w:val="8"/>
              </w:rPr>
              <w:t>义务兵优待</w:t>
            </w:r>
          </w:p>
        </w:tc>
        <w:tc>
          <w:tcPr>
            <w:tcW w:w="2216" w:type="dxa"/>
            <w:vAlign w:val="top"/>
            <w:tcBorders>
              <w:bottom w:val="single" w:color="000000" w:sz="6" w:space="0"/>
            </w:tcBorders>
          </w:tcPr>
          <w:p>
            <w:pPr>
              <w:rPr>
                <w:rFonts w:ascii="Arial"/>
                <w:sz w:val="21"/>
              </w:rPr>
            </w:pPr>
            <w:r/>
          </w:p>
        </w:tc>
        <w:tc>
          <w:tcPr>
            <w:tcW w:w="2013" w:type="dxa"/>
            <w:vAlign w:val="top"/>
            <w:tcBorders>
              <w:bottom w:val="single" w:color="000000" w:sz="6" w:space="0"/>
              <w:right w:val="single" w:color="000000" w:sz="6" w:space="0"/>
            </w:tcBorders>
          </w:tcPr>
          <w:p>
            <w:pPr>
              <w:rPr>
                <w:rFonts w:ascii="Arial"/>
                <w:sz w:val="21"/>
              </w:rPr>
            </w:pPr>
            <w:r/>
          </w:p>
        </w:tc>
      </w:tr>
    </w:tbl>
    <w:p>
      <w:pPr>
        <w:spacing w:line="134" w:lineRule="exact"/>
        <w:rPr>
          <w:rFonts w:ascii="Arial"/>
          <w:sz w:val="11"/>
        </w:rPr>
      </w:pPr>
      <w:r/>
    </w:p>
    <w:p>
      <w:pPr>
        <w:spacing w:line="134" w:lineRule="exact"/>
        <w:sectPr>
          <w:headerReference w:type="default" r:id="rId25"/>
          <w:footerReference w:type="default" r:id="rId38"/>
          <w:pgSz w:w="11907" w:h="16840"/>
          <w:pgMar w:top="1845" w:right="1525" w:bottom="1671" w:left="1525" w:header="1428" w:footer="1277" w:gutter="0"/>
        </w:sectPr>
        <w:rPr>
          <w:rFonts w:ascii="Arial" w:hAnsi="Arial" w:eastAsia="Arial" w:cs="Arial"/>
          <w:sz w:val="11"/>
          <w:szCs w:val="11"/>
        </w:rPr>
      </w:pPr>
    </w:p>
    <w:p>
      <w:pPr>
        <w:spacing w:line="143" w:lineRule="exact"/>
        <w:rPr/>
      </w:pPr>
      <w:r/>
    </w:p>
    <w:tbl>
      <w:tblPr>
        <w:tblStyle w:val="TableNormal"/>
        <w:tblW w:w="8841"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12"/>
        <w:gridCol w:w="2216"/>
        <w:gridCol w:w="2013"/>
      </w:tblGrid>
      <w:tr>
        <w:trPr>
          <w:trHeight w:val="312" w:hRule="atLeast"/>
        </w:trPr>
        <w:tc>
          <w:tcPr>
            <w:tcW w:w="4612" w:type="dxa"/>
            <w:vAlign w:val="top"/>
            <w:tcBorders>
              <w:left w:val="single" w:color="000000" w:sz="6" w:space="0"/>
              <w:top w:val="single" w:color="000000" w:sz="6" w:space="0"/>
            </w:tcBorders>
          </w:tcPr>
          <w:p>
            <w:pPr>
              <w:pStyle w:val="TableText"/>
              <w:ind w:left="2104"/>
              <w:spacing w:before="81" w:line="212" w:lineRule="auto"/>
              <w:rPr>
                <w:sz w:val="19"/>
                <w:szCs w:val="19"/>
              </w:rPr>
            </w:pPr>
            <w:r>
              <w:rPr>
                <w:sz w:val="19"/>
                <w:szCs w:val="19"/>
                <w:b/>
                <w:bCs/>
                <w:spacing w:val="6"/>
              </w:rPr>
              <w:t>项目</w:t>
            </w:r>
          </w:p>
        </w:tc>
        <w:tc>
          <w:tcPr>
            <w:tcW w:w="2216" w:type="dxa"/>
            <w:vAlign w:val="top"/>
            <w:tcBorders>
              <w:top w:val="single" w:color="000000" w:sz="6" w:space="0"/>
            </w:tcBorders>
          </w:tcPr>
          <w:p>
            <w:pPr>
              <w:pStyle w:val="TableText"/>
              <w:ind w:left="813"/>
              <w:spacing w:before="75" w:line="220" w:lineRule="auto"/>
              <w:rPr>
                <w:sz w:val="19"/>
                <w:szCs w:val="19"/>
              </w:rPr>
            </w:pPr>
            <w:r>
              <w:rPr>
                <w:sz w:val="19"/>
                <w:szCs w:val="19"/>
                <w:b/>
                <w:bCs/>
                <w:spacing w:val="5"/>
              </w:rPr>
              <w:t>预算数</w:t>
            </w:r>
          </w:p>
        </w:tc>
        <w:tc>
          <w:tcPr>
            <w:tcW w:w="2013" w:type="dxa"/>
            <w:vAlign w:val="top"/>
            <w:tcBorders>
              <w:right w:val="single" w:color="000000" w:sz="6" w:space="0"/>
              <w:top w:val="single" w:color="000000" w:sz="6" w:space="0"/>
            </w:tcBorders>
          </w:tcPr>
          <w:p>
            <w:pPr>
              <w:pStyle w:val="TableText"/>
              <w:ind w:left="806"/>
              <w:spacing w:before="75" w:line="220" w:lineRule="auto"/>
              <w:rPr>
                <w:sz w:val="19"/>
                <w:szCs w:val="19"/>
              </w:rPr>
            </w:pPr>
            <w:r>
              <w:rPr>
                <w:sz w:val="19"/>
                <w:szCs w:val="19"/>
                <w:b/>
                <w:bCs/>
                <w:spacing w:val="6"/>
              </w:rPr>
              <w:t>备注</w:t>
            </w:r>
          </w:p>
        </w:tc>
      </w:tr>
      <w:tr>
        <w:trPr>
          <w:trHeight w:val="304" w:hRule="atLeast"/>
        </w:trPr>
        <w:tc>
          <w:tcPr>
            <w:tcW w:w="4612" w:type="dxa"/>
            <w:vAlign w:val="top"/>
            <w:tcBorders>
              <w:left w:val="single" w:color="000000" w:sz="6" w:space="0"/>
            </w:tcBorders>
          </w:tcPr>
          <w:p>
            <w:pPr>
              <w:pStyle w:val="TableText"/>
              <w:ind w:left="613"/>
              <w:spacing w:before="72" w:line="215" w:lineRule="auto"/>
              <w:rPr>
                <w:sz w:val="19"/>
                <w:szCs w:val="19"/>
              </w:rPr>
            </w:pPr>
            <w:r>
              <w:rPr>
                <w:sz w:val="19"/>
                <w:szCs w:val="19"/>
                <w:spacing w:val="9"/>
              </w:rPr>
              <w:t>农村籍退役士兵老年生活补助</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1" w:line="216" w:lineRule="auto"/>
              <w:rPr>
                <w:sz w:val="19"/>
                <w:szCs w:val="19"/>
              </w:rPr>
            </w:pPr>
            <w:r>
              <w:rPr>
                <w:sz w:val="19"/>
                <w:szCs w:val="19"/>
                <w:spacing w:val="9"/>
              </w:rPr>
              <w:t>其他优抚支出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4"/>
              <w:spacing w:before="75" w:line="212" w:lineRule="auto"/>
              <w:rPr>
                <w:sz w:val="19"/>
                <w:szCs w:val="19"/>
              </w:rPr>
            </w:pPr>
            <w:r>
              <w:rPr>
                <w:sz w:val="19"/>
                <w:szCs w:val="19"/>
                <w:spacing w:val="8"/>
              </w:rPr>
              <w:t>退役安置</w:t>
            </w:r>
          </w:p>
        </w:tc>
        <w:tc>
          <w:tcPr>
            <w:tcW w:w="2216" w:type="dxa"/>
            <w:vAlign w:val="top"/>
          </w:tcPr>
          <w:p>
            <w:pPr>
              <w:pStyle w:val="TableText"/>
              <w:ind w:right="8"/>
              <w:spacing w:before="67" w:line="220" w:lineRule="auto"/>
              <w:jc w:val="right"/>
              <w:rPr>
                <w:sz w:val="19"/>
                <w:szCs w:val="19"/>
              </w:rPr>
            </w:pPr>
            <w:r>
              <w:rPr>
                <w:sz w:val="19"/>
                <w:szCs w:val="19"/>
                <w:spacing w:val="1"/>
              </w:rPr>
              <w:t>604</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5" w:line="212" w:lineRule="auto"/>
              <w:rPr>
                <w:sz w:val="19"/>
                <w:szCs w:val="19"/>
              </w:rPr>
            </w:pPr>
            <w:r>
              <w:rPr>
                <w:sz w:val="19"/>
                <w:szCs w:val="19"/>
                <w:spacing w:val="9"/>
              </w:rPr>
              <w:t>退役士兵安置</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73" w:line="214" w:lineRule="auto"/>
              <w:rPr>
                <w:sz w:val="19"/>
                <w:szCs w:val="19"/>
              </w:rPr>
            </w:pPr>
            <w:r>
              <w:rPr>
                <w:sz w:val="19"/>
                <w:szCs w:val="19"/>
                <w:spacing w:val="9"/>
              </w:rPr>
              <w:t>军队移交政府的离退休人员安置</w:t>
            </w:r>
          </w:p>
        </w:tc>
        <w:tc>
          <w:tcPr>
            <w:tcW w:w="2216" w:type="dxa"/>
            <w:vAlign w:val="top"/>
          </w:tcPr>
          <w:p>
            <w:pPr>
              <w:pStyle w:val="TableText"/>
              <w:ind w:right="8"/>
              <w:spacing w:before="71" w:line="216" w:lineRule="auto"/>
              <w:jc w:val="right"/>
              <w:rPr>
                <w:sz w:val="19"/>
                <w:szCs w:val="19"/>
              </w:rPr>
            </w:pPr>
            <w:r>
              <w:rPr>
                <w:sz w:val="19"/>
                <w:szCs w:val="19"/>
                <w:spacing w:val="1"/>
              </w:rPr>
              <w:t>508</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73" w:line="214" w:lineRule="auto"/>
              <w:rPr>
                <w:sz w:val="19"/>
                <w:szCs w:val="19"/>
              </w:rPr>
            </w:pPr>
            <w:r>
              <w:rPr>
                <w:sz w:val="19"/>
                <w:szCs w:val="19"/>
                <w:spacing w:val="9"/>
              </w:rPr>
              <w:t>军队移交政府离退休干部管理机构</w:t>
            </w:r>
          </w:p>
        </w:tc>
        <w:tc>
          <w:tcPr>
            <w:tcW w:w="2216" w:type="dxa"/>
            <w:vAlign w:val="top"/>
          </w:tcPr>
          <w:p>
            <w:pPr>
              <w:pStyle w:val="TableText"/>
              <w:ind w:right="8"/>
              <w:spacing w:before="71" w:line="216" w:lineRule="auto"/>
              <w:jc w:val="right"/>
              <w:rPr>
                <w:sz w:val="19"/>
                <w:szCs w:val="19"/>
              </w:rPr>
            </w:pPr>
            <w:r>
              <w:rPr>
                <w:sz w:val="19"/>
                <w:szCs w:val="19"/>
              </w:rPr>
              <w:t>96</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6" w:line="211" w:lineRule="auto"/>
              <w:rPr>
                <w:sz w:val="19"/>
                <w:szCs w:val="19"/>
              </w:rPr>
            </w:pPr>
            <w:r>
              <w:rPr>
                <w:sz w:val="19"/>
                <w:szCs w:val="19"/>
                <w:spacing w:val="9"/>
              </w:rPr>
              <w:t>退役士兵管理教育</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77" w:line="210" w:lineRule="auto"/>
              <w:rPr>
                <w:sz w:val="19"/>
                <w:szCs w:val="19"/>
              </w:rPr>
            </w:pPr>
            <w:r>
              <w:rPr>
                <w:sz w:val="19"/>
                <w:szCs w:val="19"/>
                <w:spacing w:val="9"/>
              </w:rPr>
              <w:t>军队转业干部安置</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8" w:line="210" w:lineRule="auto"/>
              <w:rPr>
                <w:sz w:val="19"/>
                <w:szCs w:val="19"/>
              </w:rPr>
            </w:pPr>
            <w:r>
              <w:rPr>
                <w:sz w:val="19"/>
                <w:szCs w:val="19"/>
                <w:spacing w:val="9"/>
              </w:rPr>
              <w:t>其他退役安置支出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3"/>
              <w:spacing w:before="80" w:line="208" w:lineRule="auto"/>
              <w:rPr>
                <w:sz w:val="19"/>
                <w:szCs w:val="19"/>
              </w:rPr>
            </w:pPr>
            <w:r>
              <w:rPr>
                <w:sz w:val="19"/>
                <w:szCs w:val="19"/>
                <w:spacing w:val="8"/>
              </w:rPr>
              <w:t>社会福利</w:t>
            </w:r>
          </w:p>
        </w:tc>
        <w:tc>
          <w:tcPr>
            <w:tcW w:w="2216" w:type="dxa"/>
            <w:vAlign w:val="top"/>
          </w:tcPr>
          <w:p>
            <w:pPr>
              <w:pStyle w:val="TableText"/>
              <w:ind w:right="8"/>
              <w:spacing w:before="74" w:line="214" w:lineRule="auto"/>
              <w:jc w:val="right"/>
              <w:rPr>
                <w:sz w:val="19"/>
                <w:szCs w:val="19"/>
              </w:rPr>
            </w:pPr>
            <w:r>
              <w:rPr>
                <w:sz w:val="19"/>
                <w:szCs w:val="19"/>
                <w:spacing w:val="2"/>
              </w:rPr>
              <w:t>407</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9" w:line="209" w:lineRule="auto"/>
              <w:rPr>
                <w:sz w:val="19"/>
                <w:szCs w:val="19"/>
              </w:rPr>
            </w:pPr>
            <w:r>
              <w:rPr>
                <w:sz w:val="19"/>
                <w:szCs w:val="19"/>
                <w:spacing w:val="8"/>
              </w:rPr>
              <w:t>儿童福利</w:t>
            </w:r>
          </w:p>
        </w:tc>
        <w:tc>
          <w:tcPr>
            <w:tcW w:w="2216" w:type="dxa"/>
            <w:vAlign w:val="top"/>
          </w:tcPr>
          <w:p>
            <w:pPr>
              <w:pStyle w:val="TableText"/>
              <w:ind w:right="8"/>
              <w:spacing w:before="73" w:line="215" w:lineRule="auto"/>
              <w:jc w:val="right"/>
              <w:rPr>
                <w:sz w:val="19"/>
                <w:szCs w:val="19"/>
              </w:rPr>
            </w:pPr>
            <w:r>
              <w:rPr>
                <w:sz w:val="19"/>
                <w:szCs w:val="19"/>
                <w:spacing w:val="-4"/>
              </w:rPr>
              <w:t>175</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20"/>
              <w:spacing w:before="78" w:line="210" w:lineRule="auto"/>
              <w:rPr>
                <w:sz w:val="19"/>
                <w:szCs w:val="19"/>
              </w:rPr>
            </w:pPr>
            <w:r>
              <w:rPr>
                <w:sz w:val="19"/>
                <w:szCs w:val="19"/>
                <w:spacing w:val="7"/>
              </w:rPr>
              <w:t>老年福利</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7" w:line="211" w:lineRule="auto"/>
              <w:rPr>
                <w:sz w:val="19"/>
                <w:szCs w:val="19"/>
              </w:rPr>
            </w:pPr>
            <w:r>
              <w:rPr>
                <w:sz w:val="19"/>
                <w:szCs w:val="19"/>
                <w:spacing w:val="8"/>
              </w:rPr>
              <w:t>康复辅具</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4"/>
              <w:spacing w:before="78" w:line="210" w:lineRule="auto"/>
              <w:rPr>
                <w:sz w:val="19"/>
                <w:szCs w:val="19"/>
              </w:rPr>
            </w:pPr>
            <w:r>
              <w:rPr>
                <w:sz w:val="19"/>
                <w:szCs w:val="19"/>
                <w:spacing w:val="7"/>
              </w:rPr>
              <w:t>殡葬</w:t>
            </w:r>
          </w:p>
        </w:tc>
        <w:tc>
          <w:tcPr>
            <w:tcW w:w="2216" w:type="dxa"/>
            <w:vAlign w:val="top"/>
          </w:tcPr>
          <w:p>
            <w:pPr>
              <w:pStyle w:val="TableText"/>
              <w:ind w:right="8"/>
              <w:spacing w:before="74" w:line="214" w:lineRule="auto"/>
              <w:jc w:val="right"/>
              <w:rPr>
                <w:sz w:val="19"/>
                <w:szCs w:val="19"/>
              </w:rPr>
            </w:pPr>
            <w:r>
              <w:rPr>
                <w:sz w:val="19"/>
                <w:szCs w:val="19"/>
                <w:spacing w:val="-4"/>
              </w:rPr>
              <w:t>154</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7" w:line="210" w:lineRule="auto"/>
              <w:rPr>
                <w:sz w:val="19"/>
                <w:szCs w:val="19"/>
              </w:rPr>
            </w:pPr>
            <w:r>
              <w:rPr>
                <w:sz w:val="19"/>
                <w:szCs w:val="19"/>
                <w:spacing w:val="9"/>
              </w:rPr>
              <w:t>社会福利事业单位</w:t>
            </w:r>
          </w:p>
        </w:tc>
        <w:tc>
          <w:tcPr>
            <w:tcW w:w="2216" w:type="dxa"/>
            <w:vAlign w:val="top"/>
          </w:tcPr>
          <w:p>
            <w:pPr>
              <w:pStyle w:val="TableText"/>
              <w:ind w:right="8"/>
              <w:spacing w:before="73" w:line="214" w:lineRule="auto"/>
              <w:jc w:val="right"/>
              <w:rPr>
                <w:sz w:val="19"/>
                <w:szCs w:val="19"/>
              </w:rPr>
            </w:pPr>
            <w:r>
              <w:rPr>
                <w:sz w:val="19"/>
                <w:szCs w:val="19"/>
                <w:spacing w:val="1"/>
              </w:rPr>
              <w:t>78</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8" w:line="210" w:lineRule="auto"/>
              <w:rPr>
                <w:sz w:val="19"/>
                <w:szCs w:val="19"/>
              </w:rPr>
            </w:pPr>
            <w:r>
              <w:rPr>
                <w:sz w:val="19"/>
                <w:szCs w:val="19"/>
                <w:spacing w:val="8"/>
              </w:rPr>
              <w:t>养老服务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9" w:line="208" w:lineRule="auto"/>
              <w:rPr>
                <w:sz w:val="19"/>
                <w:szCs w:val="19"/>
              </w:rPr>
            </w:pPr>
            <w:r>
              <w:rPr>
                <w:sz w:val="19"/>
                <w:szCs w:val="19"/>
                <w:spacing w:val="9"/>
              </w:rPr>
              <w:t>其他社会福利支出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4"/>
              <w:spacing w:before="80" w:line="208" w:lineRule="auto"/>
              <w:rPr>
                <w:sz w:val="19"/>
                <w:szCs w:val="19"/>
              </w:rPr>
            </w:pPr>
            <w:r>
              <w:rPr>
                <w:sz w:val="19"/>
                <w:szCs w:val="19"/>
                <w:spacing w:val="8"/>
              </w:rPr>
              <w:t>残疾人事业</w:t>
            </w:r>
          </w:p>
        </w:tc>
        <w:tc>
          <w:tcPr>
            <w:tcW w:w="2216" w:type="dxa"/>
            <w:vAlign w:val="top"/>
          </w:tcPr>
          <w:p>
            <w:pPr>
              <w:pStyle w:val="TableText"/>
              <w:ind w:right="8"/>
              <w:spacing w:before="76" w:line="212" w:lineRule="auto"/>
              <w:jc w:val="right"/>
              <w:rPr>
                <w:sz w:val="19"/>
                <w:szCs w:val="19"/>
              </w:rPr>
            </w:pPr>
            <w:r>
              <w:rPr>
                <w:sz w:val="19"/>
                <w:szCs w:val="19"/>
              </w:rPr>
              <w:t>346</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80" w:line="207" w:lineRule="auto"/>
              <w:rPr>
                <w:sz w:val="19"/>
                <w:szCs w:val="19"/>
              </w:rPr>
            </w:pPr>
            <w:r>
              <w:rPr>
                <w:sz w:val="19"/>
                <w:szCs w:val="19"/>
                <w:spacing w:val="8"/>
              </w:rPr>
              <w:t>行政运行</w:t>
            </w:r>
          </w:p>
        </w:tc>
        <w:tc>
          <w:tcPr>
            <w:tcW w:w="2216" w:type="dxa"/>
            <w:vAlign w:val="top"/>
          </w:tcPr>
          <w:p>
            <w:pPr>
              <w:pStyle w:val="TableText"/>
              <w:ind w:right="8"/>
              <w:spacing w:before="75" w:line="212" w:lineRule="auto"/>
              <w:jc w:val="right"/>
              <w:rPr>
                <w:sz w:val="19"/>
                <w:szCs w:val="19"/>
              </w:rPr>
            </w:pPr>
            <w:r>
              <w:rPr>
                <w:sz w:val="19"/>
                <w:szCs w:val="19"/>
                <w:spacing w:val="-4"/>
              </w:rPr>
              <w:t>128</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0" w:line="208"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84" w:line="204"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0" w:line="208" w:lineRule="auto"/>
              <w:rPr>
                <w:sz w:val="19"/>
                <w:szCs w:val="19"/>
              </w:rPr>
            </w:pPr>
            <w:r>
              <w:rPr>
                <w:sz w:val="19"/>
                <w:szCs w:val="19"/>
                <w:spacing w:val="8"/>
              </w:rPr>
              <w:t>残疾人康复</w:t>
            </w:r>
          </w:p>
        </w:tc>
        <w:tc>
          <w:tcPr>
            <w:tcW w:w="2216" w:type="dxa"/>
            <w:vAlign w:val="top"/>
          </w:tcPr>
          <w:p>
            <w:pPr>
              <w:pStyle w:val="TableText"/>
              <w:ind w:right="8"/>
              <w:spacing w:before="78" w:line="210" w:lineRule="auto"/>
              <w:jc w:val="right"/>
              <w:rPr>
                <w:sz w:val="19"/>
                <w:szCs w:val="19"/>
              </w:rPr>
            </w:pPr>
            <w:r>
              <w:rPr>
                <w:sz w:val="19"/>
                <w:szCs w:val="19"/>
              </w:rPr>
              <w:t>55</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83" w:line="205" w:lineRule="auto"/>
              <w:rPr>
                <w:sz w:val="19"/>
                <w:szCs w:val="19"/>
              </w:rPr>
            </w:pPr>
            <w:r>
              <w:rPr>
                <w:sz w:val="19"/>
                <w:szCs w:val="19"/>
                <w:spacing w:val="9"/>
              </w:rPr>
              <w:t>残疾人就业和扶贫</w:t>
            </w:r>
          </w:p>
        </w:tc>
        <w:tc>
          <w:tcPr>
            <w:tcW w:w="2216" w:type="dxa"/>
            <w:vAlign w:val="top"/>
          </w:tcPr>
          <w:p>
            <w:pPr>
              <w:pStyle w:val="TableText"/>
              <w:ind w:right="8"/>
              <w:spacing w:before="77" w:line="210" w:lineRule="auto"/>
              <w:jc w:val="right"/>
              <w:rPr>
                <w:sz w:val="19"/>
                <w:szCs w:val="19"/>
              </w:rPr>
            </w:pPr>
            <w:r>
              <w:rPr>
                <w:sz w:val="19"/>
                <w:szCs w:val="19"/>
                <w:spacing w:val="2"/>
              </w:rPr>
              <w:t>42</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0" w:line="208" w:lineRule="auto"/>
              <w:rPr>
                <w:sz w:val="19"/>
                <w:szCs w:val="19"/>
              </w:rPr>
            </w:pPr>
            <w:r>
              <w:rPr>
                <w:sz w:val="19"/>
                <w:szCs w:val="19"/>
                <w:spacing w:val="8"/>
              </w:rPr>
              <w:t>残疾人体育</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86" w:line="202" w:lineRule="auto"/>
              <w:rPr>
                <w:sz w:val="19"/>
                <w:szCs w:val="19"/>
              </w:rPr>
            </w:pPr>
            <w:r>
              <w:rPr>
                <w:sz w:val="19"/>
                <w:szCs w:val="19"/>
                <w:spacing w:val="9"/>
              </w:rPr>
              <w:t>残疾人生活和护理补贴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4" w:line="205" w:lineRule="auto"/>
              <w:rPr>
                <w:sz w:val="19"/>
                <w:szCs w:val="19"/>
              </w:rPr>
            </w:pPr>
            <w:r>
              <w:rPr>
                <w:sz w:val="19"/>
                <w:szCs w:val="19"/>
                <w:spacing w:val="9"/>
              </w:rPr>
              <w:t>其他残疾人事业支出</w:t>
            </w:r>
          </w:p>
        </w:tc>
        <w:tc>
          <w:tcPr>
            <w:tcW w:w="2216" w:type="dxa"/>
            <w:vAlign w:val="top"/>
          </w:tcPr>
          <w:p>
            <w:pPr>
              <w:pStyle w:val="TableText"/>
              <w:ind w:right="8"/>
              <w:spacing w:before="80" w:line="208" w:lineRule="auto"/>
              <w:jc w:val="right"/>
              <w:rPr>
                <w:sz w:val="19"/>
                <w:szCs w:val="19"/>
              </w:rPr>
            </w:pPr>
            <w:r>
              <w:rPr>
                <w:sz w:val="19"/>
                <w:szCs w:val="19"/>
                <w:spacing w:val="-4"/>
              </w:rPr>
              <w:t>121</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7"/>
              <w:spacing w:before="85" w:line="204" w:lineRule="auto"/>
              <w:rPr>
                <w:sz w:val="19"/>
                <w:szCs w:val="19"/>
              </w:rPr>
            </w:pPr>
            <w:r>
              <w:rPr>
                <w:sz w:val="19"/>
                <w:szCs w:val="19"/>
                <w:spacing w:val="8"/>
              </w:rPr>
              <w:t>红十字事业</w:t>
            </w:r>
          </w:p>
        </w:tc>
        <w:tc>
          <w:tcPr>
            <w:tcW w:w="2216" w:type="dxa"/>
            <w:vAlign w:val="top"/>
          </w:tcPr>
          <w:p>
            <w:pPr>
              <w:pStyle w:val="TableText"/>
              <w:ind w:right="8"/>
              <w:spacing w:before="79" w:line="209" w:lineRule="auto"/>
              <w:jc w:val="right"/>
              <w:rPr>
                <w:sz w:val="19"/>
                <w:szCs w:val="19"/>
              </w:rPr>
            </w:pPr>
            <w:r>
              <w:rPr>
                <w:sz w:val="19"/>
                <w:szCs w:val="19"/>
                <w:spacing w:val="-1"/>
              </w:rPr>
              <w:t>85</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5" w:line="204" w:lineRule="auto"/>
              <w:rPr>
                <w:sz w:val="19"/>
                <w:szCs w:val="19"/>
              </w:rPr>
            </w:pPr>
            <w:r>
              <w:rPr>
                <w:sz w:val="19"/>
                <w:szCs w:val="19"/>
                <w:spacing w:val="8"/>
              </w:rPr>
              <w:t>行政运行</w:t>
            </w:r>
          </w:p>
        </w:tc>
        <w:tc>
          <w:tcPr>
            <w:tcW w:w="2216" w:type="dxa"/>
            <w:vAlign w:val="top"/>
          </w:tcPr>
          <w:p>
            <w:pPr>
              <w:pStyle w:val="TableText"/>
              <w:ind w:right="8"/>
              <w:spacing w:before="79" w:line="209" w:lineRule="auto"/>
              <w:jc w:val="right"/>
              <w:rPr>
                <w:sz w:val="19"/>
                <w:szCs w:val="19"/>
              </w:rPr>
            </w:pPr>
            <w:r>
              <w:rPr>
                <w:sz w:val="19"/>
                <w:szCs w:val="19"/>
                <w:spacing w:val="1"/>
              </w:rPr>
              <w:t>77</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6" w:line="203" w:lineRule="auto"/>
              <w:rPr>
                <w:sz w:val="19"/>
                <w:szCs w:val="19"/>
              </w:rPr>
            </w:pPr>
            <w:r>
              <w:rPr>
                <w:sz w:val="19"/>
                <w:szCs w:val="19"/>
                <w:spacing w:val="9"/>
              </w:rPr>
              <w:t>一般行政管理事务</w:t>
            </w:r>
          </w:p>
        </w:tc>
        <w:tc>
          <w:tcPr>
            <w:tcW w:w="2216" w:type="dxa"/>
            <w:vAlign w:val="top"/>
          </w:tcPr>
          <w:p>
            <w:pPr>
              <w:pStyle w:val="TableText"/>
              <w:ind w:right="4"/>
              <w:spacing w:before="80" w:line="208" w:lineRule="auto"/>
              <w:jc w:val="right"/>
              <w:rPr>
                <w:sz w:val="19"/>
                <w:szCs w:val="19"/>
              </w:rPr>
            </w:pPr>
            <w:r>
              <w:rPr>
                <w:sz w:val="19"/>
                <w:szCs w:val="19"/>
              </w:rPr>
              <w:t>8</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6" w:line="203"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4" w:line="205" w:lineRule="auto"/>
              <w:rPr>
                <w:sz w:val="19"/>
                <w:szCs w:val="19"/>
              </w:rPr>
            </w:pPr>
            <w:r>
              <w:rPr>
                <w:sz w:val="19"/>
                <w:szCs w:val="19"/>
                <w:spacing w:val="9"/>
              </w:rPr>
              <w:t>其他红十字事业支出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5"/>
              <w:spacing w:before="81" w:line="207" w:lineRule="auto"/>
              <w:rPr>
                <w:sz w:val="19"/>
                <w:szCs w:val="19"/>
              </w:rPr>
            </w:pPr>
            <w:r>
              <w:rPr>
                <w:sz w:val="19"/>
                <w:szCs w:val="19"/>
                <w:spacing w:val="9"/>
              </w:rPr>
              <w:t>最低生活保障</w:t>
            </w:r>
          </w:p>
        </w:tc>
        <w:tc>
          <w:tcPr>
            <w:tcW w:w="2216" w:type="dxa"/>
            <w:vAlign w:val="top"/>
          </w:tcPr>
          <w:p>
            <w:pPr>
              <w:pStyle w:val="TableText"/>
              <w:ind w:right="7"/>
              <w:spacing w:before="79" w:line="209"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4" w:line="205" w:lineRule="auto"/>
              <w:rPr>
                <w:sz w:val="19"/>
                <w:szCs w:val="19"/>
              </w:rPr>
            </w:pPr>
            <w:r>
              <w:rPr>
                <w:sz w:val="19"/>
                <w:szCs w:val="19"/>
                <w:spacing w:val="9"/>
              </w:rPr>
              <w:t>城市最低生活保障金支出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3"/>
              <w:spacing w:before="82" w:line="206" w:lineRule="auto"/>
              <w:rPr>
                <w:sz w:val="19"/>
                <w:szCs w:val="19"/>
              </w:rPr>
            </w:pPr>
            <w:r>
              <w:rPr>
                <w:sz w:val="19"/>
                <w:szCs w:val="19"/>
                <w:spacing w:val="9"/>
              </w:rPr>
              <w:t>农村最低生活保障金支出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26"/>
              <w:spacing w:before="85" w:line="204" w:lineRule="auto"/>
              <w:rPr>
                <w:sz w:val="19"/>
                <w:szCs w:val="19"/>
              </w:rPr>
            </w:pPr>
            <w:r>
              <w:rPr>
                <w:sz w:val="19"/>
                <w:szCs w:val="19"/>
                <w:spacing w:val="5"/>
              </w:rPr>
              <w:t>临时救助</w:t>
            </w:r>
          </w:p>
        </w:tc>
        <w:tc>
          <w:tcPr>
            <w:tcW w:w="2216" w:type="dxa"/>
            <w:vAlign w:val="top"/>
          </w:tcPr>
          <w:p>
            <w:pPr>
              <w:pStyle w:val="TableText"/>
              <w:ind w:right="8"/>
              <w:spacing w:before="79" w:line="209" w:lineRule="auto"/>
              <w:jc w:val="right"/>
              <w:rPr>
                <w:sz w:val="19"/>
                <w:szCs w:val="19"/>
              </w:rPr>
            </w:pPr>
            <w:r>
              <w:rPr>
                <w:sz w:val="19"/>
                <w:szCs w:val="19"/>
                <w:spacing w:val="2"/>
              </w:rPr>
              <w:t>409</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27"/>
              <w:spacing w:before="84" w:line="205" w:lineRule="auto"/>
              <w:rPr>
                <w:sz w:val="19"/>
                <w:szCs w:val="19"/>
              </w:rPr>
            </w:pPr>
            <w:r>
              <w:rPr>
                <w:sz w:val="19"/>
                <w:szCs w:val="19"/>
                <w:spacing w:val="7"/>
              </w:rPr>
              <w:t>临时救助支出</w:t>
            </w:r>
          </w:p>
        </w:tc>
        <w:tc>
          <w:tcPr>
            <w:tcW w:w="2216" w:type="dxa"/>
            <w:vAlign w:val="top"/>
          </w:tcPr>
          <w:p>
            <w:pPr>
              <w:pStyle w:val="TableText"/>
              <w:ind w:right="8"/>
              <w:spacing w:before="79" w:line="209" w:lineRule="auto"/>
              <w:jc w:val="right"/>
              <w:rPr>
                <w:sz w:val="19"/>
                <w:szCs w:val="19"/>
              </w:rPr>
            </w:pPr>
            <w:r>
              <w:rPr>
                <w:sz w:val="19"/>
                <w:szCs w:val="19"/>
                <w:spacing w:val="1"/>
              </w:rPr>
              <w:t>216</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20"/>
              <w:spacing w:before="86" w:line="203" w:lineRule="auto"/>
              <w:rPr>
                <w:sz w:val="19"/>
                <w:szCs w:val="19"/>
              </w:rPr>
            </w:pPr>
            <w:r>
              <w:rPr>
                <w:sz w:val="19"/>
                <w:szCs w:val="19"/>
                <w:spacing w:val="9"/>
              </w:rPr>
              <w:t>流浪乞讨人员救助支出</w:t>
            </w:r>
          </w:p>
        </w:tc>
        <w:tc>
          <w:tcPr>
            <w:tcW w:w="2216" w:type="dxa"/>
            <w:vAlign w:val="top"/>
          </w:tcPr>
          <w:p>
            <w:pPr>
              <w:pStyle w:val="TableText"/>
              <w:ind w:right="8"/>
              <w:spacing w:before="80" w:line="208" w:lineRule="auto"/>
              <w:jc w:val="right"/>
              <w:rPr>
                <w:sz w:val="19"/>
                <w:szCs w:val="19"/>
              </w:rPr>
            </w:pPr>
            <w:r>
              <w:rPr>
                <w:sz w:val="19"/>
                <w:szCs w:val="19"/>
                <w:spacing w:val="-4"/>
              </w:rPr>
              <w:t>193</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6"/>
              <w:spacing w:before="84" w:line="205" w:lineRule="auto"/>
              <w:rPr>
                <w:sz w:val="19"/>
                <w:szCs w:val="19"/>
              </w:rPr>
            </w:pPr>
            <w:r>
              <w:rPr>
                <w:sz w:val="19"/>
                <w:szCs w:val="19"/>
                <w:spacing w:val="8"/>
              </w:rPr>
              <w:t>特困人员救助供养</w:t>
            </w:r>
          </w:p>
        </w:tc>
        <w:tc>
          <w:tcPr>
            <w:tcW w:w="2216" w:type="dxa"/>
            <w:vAlign w:val="top"/>
          </w:tcPr>
          <w:p>
            <w:pPr>
              <w:pStyle w:val="TableText"/>
              <w:ind w:right="7"/>
              <w:spacing w:before="80" w:line="208"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4" w:line="205" w:lineRule="auto"/>
              <w:rPr>
                <w:sz w:val="19"/>
                <w:szCs w:val="19"/>
              </w:rPr>
            </w:pPr>
            <w:r>
              <w:rPr>
                <w:sz w:val="19"/>
                <w:szCs w:val="19"/>
                <w:spacing w:val="9"/>
              </w:rPr>
              <w:t>城市特困人员救助供养支出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14" w:hRule="atLeast"/>
        </w:trPr>
        <w:tc>
          <w:tcPr>
            <w:tcW w:w="4612" w:type="dxa"/>
            <w:vAlign w:val="top"/>
            <w:tcBorders>
              <w:left w:val="single" w:color="000000" w:sz="6" w:space="0"/>
              <w:bottom w:val="single" w:color="000000" w:sz="6" w:space="0"/>
            </w:tcBorders>
          </w:tcPr>
          <w:p>
            <w:pPr>
              <w:pStyle w:val="TableText"/>
              <w:ind w:left="613"/>
              <w:spacing w:before="82" w:line="215" w:lineRule="auto"/>
              <w:rPr>
                <w:sz w:val="19"/>
                <w:szCs w:val="19"/>
              </w:rPr>
            </w:pPr>
            <w:r>
              <w:rPr>
                <w:sz w:val="19"/>
                <w:szCs w:val="19"/>
                <w:spacing w:val="9"/>
              </w:rPr>
              <w:t>农村特困人员救助供养支出</w:t>
            </w:r>
          </w:p>
        </w:tc>
        <w:tc>
          <w:tcPr>
            <w:tcW w:w="2216" w:type="dxa"/>
            <w:vAlign w:val="top"/>
            <w:tcBorders>
              <w:bottom w:val="single" w:color="000000" w:sz="6" w:space="0"/>
            </w:tcBorders>
          </w:tcPr>
          <w:p>
            <w:pPr>
              <w:rPr>
                <w:rFonts w:ascii="Arial"/>
                <w:sz w:val="21"/>
              </w:rPr>
            </w:pPr>
            <w:r/>
          </w:p>
        </w:tc>
        <w:tc>
          <w:tcPr>
            <w:tcW w:w="2013"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23"/>
          <w:footerReference w:type="default" r:id="rId39"/>
          <w:pgSz w:w="11907" w:h="16840"/>
          <w:pgMar w:top="1801" w:right="1525" w:bottom="1660" w:left="1525" w:header="1428" w:footer="1289" w:gutter="0"/>
        </w:sectPr>
        <w:rPr>
          <w:rFonts w:ascii="Arial" w:hAnsi="Arial" w:eastAsia="Arial" w:cs="Arial"/>
          <w:sz w:val="21"/>
          <w:szCs w:val="21"/>
        </w:rPr>
      </w:pPr>
    </w:p>
    <w:p>
      <w:pPr>
        <w:spacing w:line="240" w:lineRule="exact"/>
        <w:rPr/>
      </w:pPr>
      <w:r/>
    </w:p>
    <w:tbl>
      <w:tblPr>
        <w:tblStyle w:val="TableNormal"/>
        <w:tblW w:w="8841"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12"/>
        <w:gridCol w:w="2216"/>
        <w:gridCol w:w="2013"/>
      </w:tblGrid>
      <w:tr>
        <w:trPr>
          <w:trHeight w:val="312" w:hRule="atLeast"/>
        </w:trPr>
        <w:tc>
          <w:tcPr>
            <w:tcW w:w="4612" w:type="dxa"/>
            <w:vAlign w:val="top"/>
            <w:tcBorders>
              <w:left w:val="single" w:color="000000" w:sz="6" w:space="0"/>
              <w:top w:val="single" w:color="000000" w:sz="6" w:space="0"/>
            </w:tcBorders>
          </w:tcPr>
          <w:p>
            <w:pPr>
              <w:pStyle w:val="TableText"/>
              <w:ind w:left="2104"/>
              <w:spacing w:before="81" w:line="212" w:lineRule="auto"/>
              <w:rPr>
                <w:sz w:val="19"/>
                <w:szCs w:val="19"/>
              </w:rPr>
            </w:pPr>
            <w:r>
              <w:rPr>
                <w:sz w:val="19"/>
                <w:szCs w:val="19"/>
                <w:b/>
                <w:bCs/>
                <w:spacing w:val="6"/>
              </w:rPr>
              <w:t>项目</w:t>
            </w:r>
          </w:p>
        </w:tc>
        <w:tc>
          <w:tcPr>
            <w:tcW w:w="2216" w:type="dxa"/>
            <w:vAlign w:val="top"/>
            <w:tcBorders>
              <w:top w:val="single" w:color="000000" w:sz="6" w:space="0"/>
            </w:tcBorders>
          </w:tcPr>
          <w:p>
            <w:pPr>
              <w:pStyle w:val="TableText"/>
              <w:ind w:left="813"/>
              <w:spacing w:before="76" w:line="219" w:lineRule="auto"/>
              <w:rPr>
                <w:sz w:val="19"/>
                <w:szCs w:val="19"/>
              </w:rPr>
            </w:pPr>
            <w:r>
              <w:rPr>
                <w:sz w:val="19"/>
                <w:szCs w:val="19"/>
                <w:b/>
                <w:bCs/>
                <w:spacing w:val="5"/>
              </w:rPr>
              <w:t>预算数</w:t>
            </w:r>
          </w:p>
        </w:tc>
        <w:tc>
          <w:tcPr>
            <w:tcW w:w="2013" w:type="dxa"/>
            <w:vAlign w:val="top"/>
            <w:tcBorders>
              <w:right w:val="single" w:color="000000" w:sz="6" w:space="0"/>
              <w:top w:val="single" w:color="000000" w:sz="6" w:space="0"/>
            </w:tcBorders>
          </w:tcPr>
          <w:p>
            <w:pPr>
              <w:pStyle w:val="TableText"/>
              <w:ind w:left="806"/>
              <w:spacing w:before="76" w:line="219" w:lineRule="auto"/>
              <w:rPr>
                <w:sz w:val="19"/>
                <w:szCs w:val="19"/>
              </w:rPr>
            </w:pPr>
            <w:r>
              <w:rPr>
                <w:sz w:val="19"/>
                <w:szCs w:val="19"/>
                <w:b/>
                <w:bCs/>
                <w:spacing w:val="6"/>
              </w:rPr>
              <w:t>备注</w:t>
            </w:r>
          </w:p>
        </w:tc>
      </w:tr>
      <w:tr>
        <w:trPr>
          <w:trHeight w:val="304" w:hRule="atLeast"/>
        </w:trPr>
        <w:tc>
          <w:tcPr>
            <w:tcW w:w="4612" w:type="dxa"/>
            <w:vAlign w:val="top"/>
            <w:tcBorders>
              <w:left w:val="single" w:color="000000" w:sz="6" w:space="0"/>
            </w:tcBorders>
          </w:tcPr>
          <w:p>
            <w:pPr>
              <w:pStyle w:val="TableText"/>
              <w:ind w:left="416"/>
              <w:spacing w:before="69" w:line="218" w:lineRule="auto"/>
              <w:rPr>
                <w:sz w:val="19"/>
                <w:szCs w:val="19"/>
              </w:rPr>
            </w:pPr>
            <w:r>
              <w:rPr>
                <w:sz w:val="19"/>
                <w:szCs w:val="19"/>
                <w:spacing w:val="9"/>
              </w:rPr>
              <w:t>补充道路交通事故社会救助基金</w:t>
            </w:r>
          </w:p>
        </w:tc>
        <w:tc>
          <w:tcPr>
            <w:tcW w:w="2216" w:type="dxa"/>
            <w:vAlign w:val="top"/>
          </w:tcPr>
          <w:p>
            <w:pPr>
              <w:pStyle w:val="TableText"/>
              <w:ind w:right="7"/>
              <w:spacing w:before="65" w:line="222"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1" w:line="216" w:lineRule="auto"/>
              <w:rPr>
                <w:sz w:val="19"/>
                <w:szCs w:val="19"/>
              </w:rPr>
            </w:pPr>
            <w:r>
              <w:rPr>
                <w:sz w:val="19"/>
                <w:szCs w:val="19"/>
                <w:spacing w:val="9"/>
              </w:rPr>
              <w:t>交强险增值税补助基金支出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2" w:line="215" w:lineRule="auto"/>
              <w:rPr>
                <w:sz w:val="19"/>
                <w:szCs w:val="19"/>
              </w:rPr>
            </w:pPr>
            <w:r>
              <w:rPr>
                <w:sz w:val="19"/>
                <w:szCs w:val="19"/>
                <w:spacing w:val="9"/>
              </w:rPr>
              <w:t>交强险罚款收入补助基金支出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3"/>
              <w:spacing w:before="72" w:line="215" w:lineRule="auto"/>
              <w:rPr>
                <w:sz w:val="19"/>
                <w:szCs w:val="19"/>
              </w:rPr>
            </w:pPr>
            <w:r>
              <w:rPr>
                <w:sz w:val="19"/>
                <w:szCs w:val="19"/>
                <w:spacing w:val="9"/>
              </w:rPr>
              <w:t>其他生活救助</w:t>
            </w:r>
          </w:p>
        </w:tc>
        <w:tc>
          <w:tcPr>
            <w:tcW w:w="2216" w:type="dxa"/>
            <w:vAlign w:val="top"/>
          </w:tcPr>
          <w:p>
            <w:pPr>
              <w:pStyle w:val="TableText"/>
              <w:ind w:right="7"/>
              <w:spacing w:before="68" w:line="219"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2" w:line="215" w:lineRule="auto"/>
              <w:rPr>
                <w:sz w:val="19"/>
                <w:szCs w:val="19"/>
              </w:rPr>
            </w:pPr>
            <w:r>
              <w:rPr>
                <w:sz w:val="19"/>
                <w:szCs w:val="19"/>
                <w:spacing w:val="9"/>
              </w:rPr>
              <w:t>其他城市生活救助</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5" w:line="212" w:lineRule="auto"/>
              <w:rPr>
                <w:sz w:val="19"/>
                <w:szCs w:val="19"/>
              </w:rPr>
            </w:pPr>
            <w:r>
              <w:rPr>
                <w:sz w:val="19"/>
                <w:szCs w:val="19"/>
                <w:spacing w:val="9"/>
              </w:rPr>
              <w:t>其他农村生活救助</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6"/>
              <w:spacing w:before="76" w:line="212" w:lineRule="auto"/>
              <w:rPr>
                <w:sz w:val="19"/>
                <w:szCs w:val="19"/>
              </w:rPr>
            </w:pPr>
            <w:r>
              <w:rPr>
                <w:sz w:val="19"/>
                <w:szCs w:val="19"/>
                <w:spacing w:val="9"/>
              </w:rPr>
              <w:t>财政对基本养老保险基金的补助</w:t>
            </w:r>
          </w:p>
        </w:tc>
        <w:tc>
          <w:tcPr>
            <w:tcW w:w="2216" w:type="dxa"/>
            <w:vAlign w:val="top"/>
          </w:tcPr>
          <w:p>
            <w:pPr>
              <w:pStyle w:val="TableText"/>
              <w:ind w:right="7"/>
              <w:spacing w:before="72" w:line="216"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6" w:line="212" w:lineRule="auto"/>
              <w:rPr>
                <w:sz w:val="19"/>
                <w:szCs w:val="19"/>
              </w:rPr>
            </w:pPr>
            <w:r>
              <w:rPr>
                <w:sz w:val="19"/>
                <w:szCs w:val="19"/>
                <w:spacing w:val="9"/>
              </w:rPr>
              <w:t>财政对企业职工基本养老保险基金的补助</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5" w:line="213" w:lineRule="auto"/>
              <w:rPr>
                <w:sz w:val="19"/>
                <w:szCs w:val="19"/>
              </w:rPr>
            </w:pPr>
            <w:r>
              <w:rPr>
                <w:sz w:val="19"/>
                <w:szCs w:val="19"/>
                <w:spacing w:val="9"/>
              </w:rPr>
              <w:t>财政对城乡居民基本养老保险基金的补助</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6" w:line="212" w:lineRule="auto"/>
              <w:rPr>
                <w:sz w:val="19"/>
                <w:szCs w:val="19"/>
              </w:rPr>
            </w:pPr>
            <w:r>
              <w:rPr>
                <w:sz w:val="19"/>
                <w:szCs w:val="19"/>
                <w:spacing w:val="9"/>
              </w:rPr>
              <w:t>财政对其他基本养老保险基金的补助</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6"/>
              <w:spacing w:before="75" w:line="213" w:lineRule="auto"/>
              <w:rPr>
                <w:sz w:val="19"/>
                <w:szCs w:val="19"/>
              </w:rPr>
            </w:pPr>
            <w:r>
              <w:rPr>
                <w:sz w:val="19"/>
                <w:szCs w:val="19"/>
                <w:spacing w:val="9"/>
              </w:rPr>
              <w:t>财政对其他社会保险基金的补助</w:t>
            </w:r>
          </w:p>
        </w:tc>
        <w:tc>
          <w:tcPr>
            <w:tcW w:w="2216" w:type="dxa"/>
            <w:vAlign w:val="top"/>
          </w:tcPr>
          <w:p>
            <w:pPr>
              <w:pStyle w:val="TableText"/>
              <w:ind w:right="8"/>
              <w:spacing w:before="72" w:line="216" w:lineRule="auto"/>
              <w:jc w:val="right"/>
              <w:rPr>
                <w:sz w:val="19"/>
                <w:szCs w:val="19"/>
              </w:rPr>
            </w:pPr>
            <w:r>
              <w:rPr>
                <w:sz w:val="19"/>
                <w:szCs w:val="19"/>
                <w:spacing w:val="1"/>
              </w:rPr>
              <w:t>280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6" w:line="212" w:lineRule="auto"/>
              <w:rPr>
                <w:sz w:val="19"/>
                <w:szCs w:val="19"/>
              </w:rPr>
            </w:pPr>
            <w:r>
              <w:rPr>
                <w:sz w:val="19"/>
                <w:szCs w:val="19"/>
                <w:spacing w:val="9"/>
              </w:rPr>
              <w:t>财政对失业保险基金的补助</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4" w:line="214" w:lineRule="auto"/>
              <w:rPr>
                <w:sz w:val="19"/>
                <w:szCs w:val="19"/>
              </w:rPr>
            </w:pPr>
            <w:r>
              <w:rPr>
                <w:sz w:val="19"/>
                <w:szCs w:val="19"/>
                <w:spacing w:val="9"/>
              </w:rPr>
              <w:t>财政对工伤保险基金的补助</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77" w:line="210" w:lineRule="auto"/>
              <w:rPr>
                <w:sz w:val="19"/>
                <w:szCs w:val="19"/>
              </w:rPr>
            </w:pPr>
            <w:r>
              <w:rPr>
                <w:sz w:val="19"/>
                <w:szCs w:val="19"/>
                <w:spacing w:val="9"/>
              </w:rPr>
              <w:t>财政对生育保险基金的补助</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6" w:line="212" w:lineRule="auto"/>
              <w:rPr>
                <w:sz w:val="19"/>
                <w:szCs w:val="19"/>
              </w:rPr>
            </w:pPr>
            <w:r>
              <w:rPr>
                <w:sz w:val="19"/>
                <w:szCs w:val="19"/>
                <w:spacing w:val="9"/>
              </w:rPr>
              <w:t>其他财政对社会保险基金的补助</w:t>
            </w:r>
          </w:p>
        </w:tc>
        <w:tc>
          <w:tcPr>
            <w:tcW w:w="2216" w:type="dxa"/>
            <w:vAlign w:val="top"/>
          </w:tcPr>
          <w:p>
            <w:pPr>
              <w:pStyle w:val="TableText"/>
              <w:ind w:right="8"/>
              <w:spacing w:before="73" w:line="215" w:lineRule="auto"/>
              <w:jc w:val="right"/>
              <w:rPr>
                <w:sz w:val="19"/>
                <w:szCs w:val="19"/>
              </w:rPr>
            </w:pPr>
            <w:r>
              <w:rPr>
                <w:sz w:val="19"/>
                <w:szCs w:val="19"/>
                <w:spacing w:val="1"/>
              </w:rPr>
              <w:t>280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4"/>
              <w:spacing w:before="77" w:line="211" w:lineRule="auto"/>
              <w:rPr>
                <w:sz w:val="19"/>
                <w:szCs w:val="19"/>
              </w:rPr>
            </w:pPr>
            <w:r>
              <w:rPr>
                <w:sz w:val="19"/>
                <w:szCs w:val="19"/>
                <w:spacing w:val="9"/>
              </w:rPr>
              <w:t>退役军人管理事务</w:t>
            </w:r>
          </w:p>
        </w:tc>
        <w:tc>
          <w:tcPr>
            <w:tcW w:w="2216" w:type="dxa"/>
            <w:vAlign w:val="top"/>
          </w:tcPr>
          <w:p>
            <w:pPr>
              <w:pStyle w:val="TableText"/>
              <w:ind w:right="8"/>
              <w:spacing w:before="72" w:line="216" w:lineRule="auto"/>
              <w:jc w:val="right"/>
              <w:rPr>
                <w:sz w:val="19"/>
                <w:szCs w:val="19"/>
              </w:rPr>
            </w:pPr>
            <w:r>
              <w:rPr>
                <w:sz w:val="19"/>
                <w:szCs w:val="19"/>
              </w:rPr>
              <w:t>336</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7" w:line="211" w:lineRule="auto"/>
              <w:rPr>
                <w:sz w:val="19"/>
                <w:szCs w:val="19"/>
              </w:rPr>
            </w:pPr>
            <w:r>
              <w:rPr>
                <w:sz w:val="19"/>
                <w:szCs w:val="19"/>
                <w:spacing w:val="8"/>
              </w:rPr>
              <w:t>行政运行</w:t>
            </w:r>
          </w:p>
        </w:tc>
        <w:tc>
          <w:tcPr>
            <w:tcW w:w="2216" w:type="dxa"/>
            <w:vAlign w:val="top"/>
          </w:tcPr>
          <w:p>
            <w:pPr>
              <w:pStyle w:val="TableText"/>
              <w:ind w:right="8"/>
              <w:spacing w:before="72" w:line="216" w:lineRule="auto"/>
              <w:jc w:val="right"/>
              <w:rPr>
                <w:sz w:val="19"/>
                <w:szCs w:val="19"/>
              </w:rPr>
            </w:pPr>
            <w:r>
              <w:rPr>
                <w:sz w:val="19"/>
                <w:szCs w:val="19"/>
                <w:spacing w:val="1"/>
              </w:rPr>
              <w:t>216</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8" w:line="210" w:lineRule="auto"/>
              <w:rPr>
                <w:sz w:val="19"/>
                <w:szCs w:val="19"/>
              </w:rPr>
            </w:pPr>
            <w:r>
              <w:rPr>
                <w:sz w:val="19"/>
                <w:szCs w:val="19"/>
                <w:spacing w:val="9"/>
              </w:rPr>
              <w:t>一般行政管理事务</w:t>
            </w:r>
          </w:p>
        </w:tc>
        <w:tc>
          <w:tcPr>
            <w:tcW w:w="2216" w:type="dxa"/>
            <w:vAlign w:val="top"/>
          </w:tcPr>
          <w:p>
            <w:pPr>
              <w:pStyle w:val="TableText"/>
              <w:ind w:right="8"/>
              <w:spacing w:before="74" w:line="214" w:lineRule="auto"/>
              <w:jc w:val="right"/>
              <w:rPr>
                <w:sz w:val="19"/>
                <w:szCs w:val="19"/>
              </w:rPr>
            </w:pPr>
            <w:r>
              <w:rPr>
                <w:sz w:val="19"/>
                <w:szCs w:val="19"/>
                <w:spacing w:val="-4"/>
              </w:rPr>
              <w:t>100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8" w:line="210"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8" w:line="210" w:lineRule="auto"/>
              <w:rPr>
                <w:sz w:val="19"/>
                <w:szCs w:val="19"/>
              </w:rPr>
            </w:pPr>
            <w:r>
              <w:rPr>
                <w:sz w:val="19"/>
                <w:szCs w:val="19"/>
                <w:spacing w:val="8"/>
              </w:rPr>
              <w:t>拥军优属</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5" w:line="213" w:lineRule="auto"/>
              <w:rPr>
                <w:sz w:val="19"/>
                <w:szCs w:val="19"/>
              </w:rPr>
            </w:pPr>
            <w:r>
              <w:rPr>
                <w:sz w:val="19"/>
                <w:szCs w:val="19"/>
                <w:spacing w:val="8"/>
              </w:rPr>
              <w:t>部队供应</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8" w:line="210"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6" w:line="212" w:lineRule="auto"/>
              <w:rPr>
                <w:sz w:val="19"/>
                <w:szCs w:val="19"/>
              </w:rPr>
            </w:pPr>
            <w:r>
              <w:rPr>
                <w:sz w:val="19"/>
                <w:szCs w:val="19"/>
                <w:spacing w:val="9"/>
              </w:rPr>
              <w:t>其他退役军人事务管理支出</w:t>
            </w:r>
          </w:p>
        </w:tc>
        <w:tc>
          <w:tcPr>
            <w:tcW w:w="2216" w:type="dxa"/>
            <w:vAlign w:val="top"/>
          </w:tcPr>
          <w:p>
            <w:pPr>
              <w:pStyle w:val="TableText"/>
              <w:ind w:right="8"/>
              <w:spacing w:before="73" w:line="215" w:lineRule="auto"/>
              <w:jc w:val="right"/>
              <w:rPr>
                <w:sz w:val="19"/>
                <w:szCs w:val="19"/>
              </w:rPr>
            </w:pPr>
            <w:r>
              <w:rPr>
                <w:sz w:val="19"/>
                <w:szCs w:val="19"/>
              </w:rPr>
              <w:t>20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6"/>
              <w:spacing w:before="76" w:line="212" w:lineRule="auto"/>
              <w:rPr>
                <w:sz w:val="19"/>
                <w:szCs w:val="19"/>
              </w:rPr>
            </w:pPr>
            <w:r>
              <w:rPr>
                <w:sz w:val="19"/>
                <w:szCs w:val="19"/>
                <w:spacing w:val="9"/>
              </w:rPr>
              <w:t>财政代缴社会保险费支出</w:t>
            </w:r>
          </w:p>
        </w:tc>
        <w:tc>
          <w:tcPr>
            <w:tcW w:w="2216" w:type="dxa"/>
            <w:vAlign w:val="top"/>
          </w:tcPr>
          <w:p>
            <w:pPr>
              <w:pStyle w:val="TableText"/>
              <w:ind w:right="7"/>
              <w:spacing w:before="72" w:line="216"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5" w:line="213" w:lineRule="auto"/>
              <w:rPr>
                <w:sz w:val="19"/>
                <w:szCs w:val="19"/>
              </w:rPr>
            </w:pPr>
            <w:r>
              <w:rPr>
                <w:sz w:val="19"/>
                <w:szCs w:val="19"/>
                <w:spacing w:val="9"/>
              </w:rPr>
              <w:t>财政代缴城乡居民基本养老保险费支出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77" w:line="210" w:lineRule="auto"/>
              <w:rPr>
                <w:sz w:val="19"/>
                <w:szCs w:val="19"/>
              </w:rPr>
            </w:pPr>
            <w:r>
              <w:rPr>
                <w:sz w:val="19"/>
                <w:szCs w:val="19"/>
                <w:spacing w:val="9"/>
              </w:rPr>
              <w:t>财政代缴其他社会保险费支出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3"/>
              <w:spacing w:before="77" w:line="211" w:lineRule="auto"/>
              <w:rPr>
                <w:sz w:val="19"/>
                <w:szCs w:val="19"/>
              </w:rPr>
            </w:pPr>
            <w:r>
              <w:rPr>
                <w:sz w:val="19"/>
                <w:szCs w:val="19"/>
                <w:spacing w:val="9"/>
              </w:rPr>
              <w:t>其他社会保障和就业支出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18"/>
              <w:spacing w:before="76" w:line="211" w:lineRule="auto"/>
              <w:rPr>
                <w:sz w:val="19"/>
                <w:szCs w:val="19"/>
              </w:rPr>
            </w:pPr>
            <w:r>
              <w:rPr>
                <w:sz w:val="19"/>
                <w:szCs w:val="19"/>
                <w:spacing w:val="8"/>
              </w:rPr>
              <w:t>九、卫生健康支出</w:t>
            </w:r>
          </w:p>
        </w:tc>
        <w:tc>
          <w:tcPr>
            <w:tcW w:w="2216" w:type="dxa"/>
            <w:vAlign w:val="top"/>
          </w:tcPr>
          <w:p>
            <w:pPr>
              <w:pStyle w:val="TableText"/>
              <w:ind w:right="8"/>
              <w:spacing w:before="73" w:line="214" w:lineRule="auto"/>
              <w:jc w:val="right"/>
              <w:rPr>
                <w:sz w:val="19"/>
                <w:szCs w:val="19"/>
              </w:rPr>
            </w:pPr>
            <w:r>
              <w:rPr>
                <w:sz w:val="19"/>
                <w:szCs w:val="19"/>
                <w:spacing w:val="2"/>
              </w:rPr>
              <w:t>84945</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4"/>
              <w:spacing w:before="76" w:line="212" w:lineRule="auto"/>
              <w:rPr>
                <w:sz w:val="19"/>
                <w:szCs w:val="19"/>
              </w:rPr>
            </w:pPr>
            <w:r>
              <w:rPr>
                <w:sz w:val="19"/>
                <w:szCs w:val="19"/>
                <w:spacing w:val="9"/>
              </w:rPr>
              <w:t>卫生健康管理事务</w:t>
            </w:r>
          </w:p>
        </w:tc>
        <w:tc>
          <w:tcPr>
            <w:tcW w:w="2216" w:type="dxa"/>
            <w:vAlign w:val="top"/>
          </w:tcPr>
          <w:p>
            <w:pPr>
              <w:pStyle w:val="TableText"/>
              <w:ind w:right="8"/>
              <w:spacing w:before="74" w:line="214" w:lineRule="auto"/>
              <w:jc w:val="right"/>
              <w:rPr>
                <w:sz w:val="19"/>
                <w:szCs w:val="19"/>
              </w:rPr>
            </w:pPr>
            <w:r>
              <w:rPr>
                <w:sz w:val="19"/>
                <w:szCs w:val="19"/>
                <w:spacing w:val="2"/>
              </w:rPr>
              <w:t>484</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81" w:line="206" w:lineRule="auto"/>
              <w:rPr>
                <w:sz w:val="19"/>
                <w:szCs w:val="19"/>
              </w:rPr>
            </w:pPr>
            <w:r>
              <w:rPr>
                <w:sz w:val="19"/>
                <w:szCs w:val="19"/>
                <w:spacing w:val="8"/>
              </w:rPr>
              <w:t>行政运行</w:t>
            </w:r>
          </w:p>
        </w:tc>
        <w:tc>
          <w:tcPr>
            <w:tcW w:w="2216" w:type="dxa"/>
            <w:vAlign w:val="top"/>
          </w:tcPr>
          <w:p>
            <w:pPr>
              <w:pStyle w:val="TableText"/>
              <w:ind w:right="8"/>
              <w:spacing w:before="75" w:line="212" w:lineRule="auto"/>
              <w:jc w:val="right"/>
              <w:rPr>
                <w:sz w:val="19"/>
                <w:szCs w:val="19"/>
              </w:rPr>
            </w:pPr>
            <w:r>
              <w:rPr>
                <w:sz w:val="19"/>
                <w:szCs w:val="19"/>
                <w:spacing w:val="2"/>
              </w:rPr>
              <w:t>414</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0" w:line="208" w:lineRule="auto"/>
              <w:rPr>
                <w:sz w:val="19"/>
                <w:szCs w:val="19"/>
              </w:rPr>
            </w:pPr>
            <w:r>
              <w:rPr>
                <w:sz w:val="19"/>
                <w:szCs w:val="19"/>
                <w:spacing w:val="9"/>
              </w:rPr>
              <w:t>一般行政管理事务</w:t>
            </w:r>
          </w:p>
        </w:tc>
        <w:tc>
          <w:tcPr>
            <w:tcW w:w="2216" w:type="dxa"/>
            <w:vAlign w:val="top"/>
          </w:tcPr>
          <w:p>
            <w:pPr>
              <w:pStyle w:val="TableText"/>
              <w:ind w:right="8"/>
              <w:spacing w:before="76" w:line="212" w:lineRule="auto"/>
              <w:jc w:val="right"/>
              <w:rPr>
                <w:sz w:val="19"/>
                <w:szCs w:val="19"/>
              </w:rPr>
            </w:pPr>
            <w:r>
              <w:rPr>
                <w:sz w:val="19"/>
                <w:szCs w:val="19"/>
                <w:spacing w:val="1"/>
              </w:rPr>
              <w:t>70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80" w:line="207"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8" w:line="210" w:lineRule="auto"/>
              <w:rPr>
                <w:sz w:val="19"/>
                <w:szCs w:val="19"/>
              </w:rPr>
            </w:pPr>
            <w:r>
              <w:rPr>
                <w:sz w:val="19"/>
                <w:szCs w:val="19"/>
                <w:spacing w:val="9"/>
              </w:rPr>
              <w:t>其他卫生健康管理事务支出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3"/>
              <w:spacing w:before="84" w:line="204" w:lineRule="auto"/>
              <w:rPr>
                <w:sz w:val="19"/>
                <w:szCs w:val="19"/>
              </w:rPr>
            </w:pPr>
            <w:r>
              <w:rPr>
                <w:sz w:val="19"/>
                <w:szCs w:val="19"/>
                <w:spacing w:val="9"/>
              </w:rPr>
              <w:t>公立医院</w:t>
            </w:r>
          </w:p>
        </w:tc>
        <w:tc>
          <w:tcPr>
            <w:tcW w:w="2216" w:type="dxa"/>
            <w:vAlign w:val="top"/>
          </w:tcPr>
          <w:p>
            <w:pPr>
              <w:pStyle w:val="TableText"/>
              <w:ind w:right="8"/>
              <w:spacing w:before="77" w:line="210" w:lineRule="auto"/>
              <w:jc w:val="right"/>
              <w:rPr>
                <w:sz w:val="19"/>
                <w:szCs w:val="19"/>
              </w:rPr>
            </w:pPr>
            <w:r>
              <w:rPr>
                <w:sz w:val="19"/>
                <w:szCs w:val="19"/>
                <w:spacing w:val="2"/>
              </w:rPr>
              <w:t>9575</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4"/>
              <w:spacing w:before="81" w:line="207" w:lineRule="auto"/>
              <w:rPr>
                <w:sz w:val="19"/>
                <w:szCs w:val="19"/>
              </w:rPr>
            </w:pPr>
            <w:r>
              <w:rPr>
                <w:sz w:val="19"/>
                <w:szCs w:val="19"/>
                <w:spacing w:val="9"/>
              </w:rPr>
              <w:t>综合医院</w:t>
            </w:r>
          </w:p>
        </w:tc>
        <w:tc>
          <w:tcPr>
            <w:tcW w:w="2216" w:type="dxa"/>
            <w:vAlign w:val="top"/>
          </w:tcPr>
          <w:p>
            <w:pPr>
              <w:pStyle w:val="TableText"/>
              <w:ind w:right="8"/>
              <w:spacing w:before="78" w:line="210" w:lineRule="auto"/>
              <w:jc w:val="right"/>
              <w:rPr>
                <w:sz w:val="19"/>
                <w:szCs w:val="19"/>
              </w:rPr>
            </w:pPr>
            <w:r>
              <w:rPr>
                <w:sz w:val="19"/>
                <w:szCs w:val="19"/>
                <w:spacing w:val="3"/>
              </w:rPr>
              <w:t>7508</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36"/>
              <w:spacing w:before="77" w:line="210" w:lineRule="auto"/>
              <w:rPr>
                <w:sz w:val="19"/>
                <w:szCs w:val="19"/>
              </w:rPr>
            </w:pPr>
            <w:r>
              <w:rPr>
                <w:sz w:val="19"/>
                <w:szCs w:val="19"/>
              </w:rPr>
              <w:t>中医（</w:t>
            </w:r>
            <w:r>
              <w:rPr>
                <w:sz w:val="19"/>
                <w:szCs w:val="19"/>
                <w:spacing w:val="-42"/>
              </w:rPr>
              <w:t xml:space="preserve"> </w:t>
            </w:r>
            <w:r>
              <w:rPr>
                <w:sz w:val="19"/>
                <w:szCs w:val="19"/>
              </w:rPr>
              <w:t>民族）医院</w:t>
            </w:r>
          </w:p>
        </w:tc>
        <w:tc>
          <w:tcPr>
            <w:tcW w:w="2216" w:type="dxa"/>
            <w:vAlign w:val="top"/>
          </w:tcPr>
          <w:p>
            <w:pPr>
              <w:pStyle w:val="TableText"/>
              <w:ind w:right="8"/>
              <w:spacing w:before="77" w:line="210" w:lineRule="auto"/>
              <w:jc w:val="right"/>
              <w:rPr>
                <w:sz w:val="19"/>
                <w:szCs w:val="19"/>
              </w:rPr>
            </w:pPr>
            <w:r>
              <w:rPr>
                <w:sz w:val="19"/>
                <w:szCs w:val="19"/>
                <w:spacing w:val="-2"/>
              </w:rPr>
              <w:t>1422</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0" w:line="208" w:lineRule="auto"/>
              <w:rPr>
                <w:sz w:val="19"/>
                <w:szCs w:val="19"/>
              </w:rPr>
            </w:pPr>
            <w:r>
              <w:rPr>
                <w:sz w:val="19"/>
                <w:szCs w:val="19"/>
                <w:spacing w:val="8"/>
              </w:rPr>
              <w:t>传染病医院</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20"/>
              <w:spacing w:before="85" w:line="203" w:lineRule="auto"/>
              <w:rPr>
                <w:sz w:val="19"/>
                <w:szCs w:val="19"/>
              </w:rPr>
            </w:pPr>
            <w:r>
              <w:rPr>
                <w:sz w:val="19"/>
                <w:szCs w:val="19"/>
                <w:spacing w:val="8"/>
              </w:rPr>
              <w:t>职业病防治医院</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4" w:line="205" w:lineRule="auto"/>
              <w:rPr>
                <w:sz w:val="19"/>
                <w:szCs w:val="19"/>
              </w:rPr>
            </w:pPr>
            <w:r>
              <w:rPr>
                <w:sz w:val="19"/>
                <w:szCs w:val="19"/>
                <w:spacing w:val="8"/>
              </w:rPr>
              <w:t>精神病医院</w:t>
            </w:r>
          </w:p>
        </w:tc>
        <w:tc>
          <w:tcPr>
            <w:tcW w:w="2216" w:type="dxa"/>
            <w:vAlign w:val="top"/>
          </w:tcPr>
          <w:p>
            <w:pPr>
              <w:pStyle w:val="TableText"/>
              <w:ind w:right="8"/>
              <w:spacing w:before="80" w:line="208" w:lineRule="auto"/>
              <w:jc w:val="right"/>
              <w:rPr>
                <w:sz w:val="19"/>
                <w:szCs w:val="19"/>
              </w:rPr>
            </w:pPr>
            <w:r>
              <w:rPr>
                <w:sz w:val="19"/>
                <w:szCs w:val="19"/>
                <w:spacing w:val="1"/>
              </w:rPr>
              <w:t>645</w:t>
            </w:r>
          </w:p>
        </w:tc>
        <w:tc>
          <w:tcPr>
            <w:tcW w:w="2013" w:type="dxa"/>
            <w:vAlign w:val="top"/>
            <w:tcBorders>
              <w:right w:val="single" w:color="000000" w:sz="6" w:space="0"/>
            </w:tcBorders>
          </w:tcPr>
          <w:p>
            <w:pPr>
              <w:rPr>
                <w:rFonts w:ascii="Arial"/>
                <w:sz w:val="21"/>
              </w:rPr>
            </w:pPr>
            <w:r/>
          </w:p>
        </w:tc>
      </w:tr>
      <w:tr>
        <w:trPr>
          <w:trHeight w:val="314" w:hRule="atLeast"/>
        </w:trPr>
        <w:tc>
          <w:tcPr>
            <w:tcW w:w="4612" w:type="dxa"/>
            <w:vAlign w:val="top"/>
            <w:tcBorders>
              <w:left w:val="single" w:color="000000" w:sz="6" w:space="0"/>
              <w:bottom w:val="single" w:color="000000" w:sz="6" w:space="0"/>
            </w:tcBorders>
          </w:tcPr>
          <w:p>
            <w:pPr>
              <w:pStyle w:val="TableText"/>
              <w:ind w:left="615"/>
              <w:spacing w:before="84" w:line="213" w:lineRule="auto"/>
              <w:rPr>
                <w:sz w:val="19"/>
                <w:szCs w:val="19"/>
              </w:rPr>
            </w:pPr>
            <w:r>
              <w:rPr>
                <w:sz w:val="19"/>
                <w:szCs w:val="19"/>
                <w:spacing w:val="9"/>
              </w:rPr>
              <w:t>妇幼保健医院</w:t>
            </w:r>
          </w:p>
        </w:tc>
        <w:tc>
          <w:tcPr>
            <w:tcW w:w="2216" w:type="dxa"/>
            <w:vAlign w:val="top"/>
            <w:tcBorders>
              <w:bottom w:val="single" w:color="000000" w:sz="6" w:space="0"/>
            </w:tcBorders>
          </w:tcPr>
          <w:p>
            <w:pPr>
              <w:rPr>
                <w:rFonts w:ascii="Arial"/>
                <w:sz w:val="21"/>
              </w:rPr>
            </w:pPr>
            <w:r/>
          </w:p>
        </w:tc>
        <w:tc>
          <w:tcPr>
            <w:tcW w:w="2013" w:type="dxa"/>
            <w:vAlign w:val="top"/>
            <w:tcBorders>
              <w:bottom w:val="single" w:color="000000" w:sz="6" w:space="0"/>
              <w:right w:val="single" w:color="000000" w:sz="6" w:space="0"/>
            </w:tcBorders>
          </w:tcPr>
          <w:p>
            <w:pPr>
              <w:rPr>
                <w:rFonts w:ascii="Arial"/>
                <w:sz w:val="21"/>
              </w:rPr>
            </w:pPr>
            <w:r/>
          </w:p>
        </w:tc>
      </w:tr>
    </w:tbl>
    <w:p>
      <w:pPr>
        <w:spacing w:line="134" w:lineRule="exact"/>
        <w:rPr>
          <w:rFonts w:ascii="Arial"/>
          <w:sz w:val="11"/>
        </w:rPr>
      </w:pPr>
      <w:r/>
    </w:p>
    <w:p>
      <w:pPr>
        <w:spacing w:line="134" w:lineRule="exact"/>
        <w:sectPr>
          <w:headerReference w:type="default" r:id="rId25"/>
          <w:footerReference w:type="default" r:id="rId40"/>
          <w:pgSz w:w="11907" w:h="16840"/>
          <w:pgMar w:top="1845" w:right="1525" w:bottom="1671" w:left="1525" w:header="1428" w:footer="1277" w:gutter="0"/>
        </w:sectPr>
        <w:rPr>
          <w:rFonts w:ascii="Arial" w:hAnsi="Arial" w:eastAsia="Arial" w:cs="Arial"/>
          <w:sz w:val="11"/>
          <w:szCs w:val="11"/>
        </w:rPr>
      </w:pPr>
    </w:p>
    <w:p>
      <w:pPr>
        <w:spacing w:line="143" w:lineRule="exact"/>
        <w:rPr/>
      </w:pPr>
      <w:r/>
    </w:p>
    <w:tbl>
      <w:tblPr>
        <w:tblStyle w:val="TableNormal"/>
        <w:tblW w:w="8841"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12"/>
        <w:gridCol w:w="2216"/>
        <w:gridCol w:w="2013"/>
      </w:tblGrid>
      <w:tr>
        <w:trPr>
          <w:trHeight w:val="312" w:hRule="atLeast"/>
        </w:trPr>
        <w:tc>
          <w:tcPr>
            <w:tcW w:w="4612" w:type="dxa"/>
            <w:vAlign w:val="top"/>
            <w:tcBorders>
              <w:left w:val="single" w:color="000000" w:sz="6" w:space="0"/>
              <w:top w:val="single" w:color="000000" w:sz="6" w:space="0"/>
            </w:tcBorders>
          </w:tcPr>
          <w:p>
            <w:pPr>
              <w:pStyle w:val="TableText"/>
              <w:ind w:left="2104"/>
              <w:spacing w:before="81" w:line="212" w:lineRule="auto"/>
              <w:rPr>
                <w:sz w:val="19"/>
                <w:szCs w:val="19"/>
              </w:rPr>
            </w:pPr>
            <w:r>
              <w:rPr>
                <w:sz w:val="19"/>
                <w:szCs w:val="19"/>
                <w:b/>
                <w:bCs/>
                <w:spacing w:val="6"/>
              </w:rPr>
              <w:t>项目</w:t>
            </w:r>
          </w:p>
        </w:tc>
        <w:tc>
          <w:tcPr>
            <w:tcW w:w="2216" w:type="dxa"/>
            <w:vAlign w:val="top"/>
            <w:tcBorders>
              <w:top w:val="single" w:color="000000" w:sz="6" w:space="0"/>
            </w:tcBorders>
          </w:tcPr>
          <w:p>
            <w:pPr>
              <w:pStyle w:val="TableText"/>
              <w:ind w:left="813"/>
              <w:spacing w:before="75" w:line="220" w:lineRule="auto"/>
              <w:rPr>
                <w:sz w:val="19"/>
                <w:szCs w:val="19"/>
              </w:rPr>
            </w:pPr>
            <w:r>
              <w:rPr>
                <w:sz w:val="19"/>
                <w:szCs w:val="19"/>
                <w:b/>
                <w:bCs/>
                <w:spacing w:val="5"/>
              </w:rPr>
              <w:t>预算数</w:t>
            </w:r>
          </w:p>
        </w:tc>
        <w:tc>
          <w:tcPr>
            <w:tcW w:w="2013" w:type="dxa"/>
            <w:vAlign w:val="top"/>
            <w:tcBorders>
              <w:right w:val="single" w:color="000000" w:sz="6" w:space="0"/>
              <w:top w:val="single" w:color="000000" w:sz="6" w:space="0"/>
            </w:tcBorders>
          </w:tcPr>
          <w:p>
            <w:pPr>
              <w:pStyle w:val="TableText"/>
              <w:ind w:left="806"/>
              <w:spacing w:before="75" w:line="220" w:lineRule="auto"/>
              <w:rPr>
                <w:sz w:val="19"/>
                <w:szCs w:val="19"/>
              </w:rPr>
            </w:pPr>
            <w:r>
              <w:rPr>
                <w:sz w:val="19"/>
                <w:szCs w:val="19"/>
                <w:b/>
                <w:bCs/>
                <w:spacing w:val="6"/>
              </w:rPr>
              <w:t>备注</w:t>
            </w:r>
          </w:p>
        </w:tc>
      </w:tr>
      <w:tr>
        <w:trPr>
          <w:trHeight w:val="304" w:hRule="atLeast"/>
        </w:trPr>
        <w:tc>
          <w:tcPr>
            <w:tcW w:w="4612" w:type="dxa"/>
            <w:vAlign w:val="top"/>
            <w:tcBorders>
              <w:left w:val="single" w:color="000000" w:sz="6" w:space="0"/>
            </w:tcBorders>
          </w:tcPr>
          <w:p>
            <w:pPr>
              <w:pStyle w:val="TableText"/>
              <w:ind w:left="616"/>
              <w:spacing w:before="72" w:line="215" w:lineRule="auto"/>
              <w:rPr>
                <w:sz w:val="19"/>
                <w:szCs w:val="19"/>
              </w:rPr>
            </w:pPr>
            <w:r>
              <w:rPr>
                <w:sz w:val="19"/>
                <w:szCs w:val="19"/>
                <w:spacing w:val="8"/>
              </w:rPr>
              <w:t>儿童医院</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1" w:line="216" w:lineRule="auto"/>
              <w:rPr>
                <w:sz w:val="19"/>
                <w:szCs w:val="19"/>
              </w:rPr>
            </w:pPr>
            <w:r>
              <w:rPr>
                <w:sz w:val="19"/>
                <w:szCs w:val="19"/>
                <w:spacing w:val="9"/>
              </w:rPr>
              <w:t>其他专科医院</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3" w:line="214" w:lineRule="auto"/>
              <w:rPr>
                <w:sz w:val="19"/>
                <w:szCs w:val="19"/>
              </w:rPr>
            </w:pPr>
            <w:r>
              <w:rPr>
                <w:sz w:val="19"/>
                <w:szCs w:val="19"/>
                <w:spacing w:val="8"/>
              </w:rPr>
              <w:t>福利医院</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3" w:line="214" w:lineRule="auto"/>
              <w:rPr>
                <w:sz w:val="19"/>
                <w:szCs w:val="19"/>
              </w:rPr>
            </w:pPr>
            <w:r>
              <w:rPr>
                <w:sz w:val="19"/>
                <w:szCs w:val="19"/>
                <w:spacing w:val="8"/>
              </w:rPr>
              <w:t>行业医院</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6" w:line="211" w:lineRule="auto"/>
              <w:rPr>
                <w:sz w:val="19"/>
                <w:szCs w:val="19"/>
              </w:rPr>
            </w:pPr>
            <w:r>
              <w:rPr>
                <w:sz w:val="19"/>
                <w:szCs w:val="19"/>
                <w:spacing w:val="9"/>
              </w:rPr>
              <w:t>处理医疗欠费</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4" w:line="213" w:lineRule="auto"/>
              <w:rPr>
                <w:sz w:val="19"/>
                <w:szCs w:val="19"/>
              </w:rPr>
            </w:pPr>
            <w:r>
              <w:rPr>
                <w:sz w:val="19"/>
                <w:szCs w:val="19"/>
                <w:spacing w:val="8"/>
              </w:rPr>
              <w:t>康复医院</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5" w:line="212" w:lineRule="auto"/>
              <w:rPr>
                <w:sz w:val="19"/>
                <w:szCs w:val="19"/>
              </w:rPr>
            </w:pPr>
            <w:r>
              <w:rPr>
                <w:sz w:val="19"/>
                <w:szCs w:val="19"/>
                <w:spacing w:val="9"/>
              </w:rPr>
              <w:t>其他公立医院支出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3"/>
              <w:spacing w:before="77" w:line="210" w:lineRule="auto"/>
              <w:rPr>
                <w:sz w:val="19"/>
                <w:szCs w:val="19"/>
              </w:rPr>
            </w:pPr>
            <w:r>
              <w:rPr>
                <w:sz w:val="19"/>
                <w:szCs w:val="19"/>
                <w:spacing w:val="9"/>
              </w:rPr>
              <w:t>基层医疗卫生机构</w:t>
            </w:r>
          </w:p>
        </w:tc>
        <w:tc>
          <w:tcPr>
            <w:tcW w:w="2216" w:type="dxa"/>
            <w:vAlign w:val="top"/>
          </w:tcPr>
          <w:p>
            <w:pPr>
              <w:pStyle w:val="TableText"/>
              <w:ind w:right="8"/>
              <w:spacing w:before="72" w:line="215" w:lineRule="auto"/>
              <w:jc w:val="right"/>
              <w:rPr>
                <w:sz w:val="19"/>
                <w:szCs w:val="19"/>
              </w:rPr>
            </w:pPr>
            <w:r>
              <w:rPr>
                <w:sz w:val="19"/>
                <w:szCs w:val="19"/>
                <w:spacing w:val="-1"/>
              </w:rPr>
              <w:t>85</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0" w:line="208" w:lineRule="auto"/>
              <w:rPr>
                <w:sz w:val="19"/>
                <w:szCs w:val="19"/>
              </w:rPr>
            </w:pPr>
            <w:r>
              <w:rPr>
                <w:sz w:val="19"/>
                <w:szCs w:val="19"/>
                <w:spacing w:val="9"/>
              </w:rPr>
              <w:t>城市社区卫生机构</w:t>
            </w:r>
          </w:p>
        </w:tc>
        <w:tc>
          <w:tcPr>
            <w:tcW w:w="2216" w:type="dxa"/>
            <w:vAlign w:val="top"/>
          </w:tcPr>
          <w:p>
            <w:pPr>
              <w:pStyle w:val="TableText"/>
              <w:ind w:right="8"/>
              <w:spacing w:before="74" w:line="214" w:lineRule="auto"/>
              <w:jc w:val="right"/>
              <w:rPr>
                <w:sz w:val="19"/>
                <w:szCs w:val="19"/>
              </w:rPr>
            </w:pPr>
            <w:r>
              <w:rPr>
                <w:sz w:val="19"/>
                <w:szCs w:val="19"/>
                <w:spacing w:val="-1"/>
              </w:rPr>
              <w:t>85</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24"/>
              <w:spacing w:before="79" w:line="209" w:lineRule="auto"/>
              <w:rPr>
                <w:sz w:val="19"/>
                <w:szCs w:val="19"/>
              </w:rPr>
            </w:pPr>
            <w:r>
              <w:rPr>
                <w:sz w:val="19"/>
                <w:szCs w:val="19"/>
                <w:spacing w:val="7"/>
              </w:rPr>
              <w:t>乡镇卫生院</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7" w:line="211" w:lineRule="auto"/>
              <w:rPr>
                <w:sz w:val="19"/>
                <w:szCs w:val="19"/>
              </w:rPr>
            </w:pPr>
            <w:r>
              <w:rPr>
                <w:sz w:val="19"/>
                <w:szCs w:val="19"/>
                <w:spacing w:val="9"/>
              </w:rPr>
              <w:t>其他基层医疗卫生机构支出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3"/>
              <w:spacing w:before="78" w:line="210" w:lineRule="auto"/>
              <w:rPr>
                <w:sz w:val="19"/>
                <w:szCs w:val="19"/>
              </w:rPr>
            </w:pPr>
            <w:r>
              <w:rPr>
                <w:sz w:val="19"/>
                <w:szCs w:val="19"/>
                <w:spacing w:val="9"/>
              </w:rPr>
              <w:t>公共卫生</w:t>
            </w:r>
          </w:p>
        </w:tc>
        <w:tc>
          <w:tcPr>
            <w:tcW w:w="2216" w:type="dxa"/>
            <w:vAlign w:val="top"/>
          </w:tcPr>
          <w:p>
            <w:pPr>
              <w:pStyle w:val="TableText"/>
              <w:ind w:right="8"/>
              <w:spacing w:before="73" w:line="215" w:lineRule="auto"/>
              <w:jc w:val="right"/>
              <w:rPr>
                <w:sz w:val="19"/>
                <w:szCs w:val="19"/>
              </w:rPr>
            </w:pPr>
            <w:r>
              <w:rPr>
                <w:sz w:val="19"/>
                <w:szCs w:val="19"/>
                <w:spacing w:val="1"/>
              </w:rPr>
              <w:t>3769</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9" w:line="209" w:lineRule="auto"/>
              <w:rPr>
                <w:sz w:val="19"/>
                <w:szCs w:val="19"/>
              </w:rPr>
            </w:pPr>
            <w:r>
              <w:rPr>
                <w:sz w:val="19"/>
                <w:szCs w:val="19"/>
                <w:spacing w:val="9"/>
              </w:rPr>
              <w:t>疾病预防控制机构</w:t>
            </w:r>
          </w:p>
        </w:tc>
        <w:tc>
          <w:tcPr>
            <w:tcW w:w="2216" w:type="dxa"/>
            <w:vAlign w:val="top"/>
          </w:tcPr>
          <w:p>
            <w:pPr>
              <w:pStyle w:val="TableText"/>
              <w:ind w:right="8"/>
              <w:spacing w:before="74" w:line="214" w:lineRule="auto"/>
              <w:jc w:val="right"/>
              <w:rPr>
                <w:sz w:val="19"/>
                <w:szCs w:val="19"/>
              </w:rPr>
            </w:pPr>
            <w:r>
              <w:rPr>
                <w:sz w:val="19"/>
                <w:szCs w:val="19"/>
                <w:spacing w:val="1"/>
              </w:rPr>
              <w:t>998</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9" w:line="209" w:lineRule="auto"/>
              <w:rPr>
                <w:sz w:val="19"/>
                <w:szCs w:val="19"/>
              </w:rPr>
            </w:pPr>
            <w:r>
              <w:rPr>
                <w:sz w:val="19"/>
                <w:szCs w:val="19"/>
                <w:spacing w:val="9"/>
              </w:rPr>
              <w:t>卫生监督机构</w:t>
            </w:r>
          </w:p>
        </w:tc>
        <w:tc>
          <w:tcPr>
            <w:tcW w:w="2216" w:type="dxa"/>
            <w:vAlign w:val="top"/>
          </w:tcPr>
          <w:p>
            <w:pPr>
              <w:pStyle w:val="TableText"/>
              <w:ind w:right="8"/>
              <w:spacing w:before="74" w:line="214" w:lineRule="auto"/>
              <w:jc w:val="right"/>
              <w:rPr>
                <w:sz w:val="19"/>
                <w:szCs w:val="19"/>
              </w:rPr>
            </w:pPr>
            <w:r>
              <w:rPr>
                <w:sz w:val="19"/>
                <w:szCs w:val="19"/>
              </w:rPr>
              <w:t>300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8" w:line="209" w:lineRule="auto"/>
              <w:rPr>
                <w:sz w:val="19"/>
                <w:szCs w:val="19"/>
              </w:rPr>
            </w:pPr>
            <w:r>
              <w:rPr>
                <w:sz w:val="19"/>
                <w:szCs w:val="19"/>
                <w:spacing w:val="9"/>
              </w:rPr>
              <w:t>妇幼保健机构</w:t>
            </w:r>
          </w:p>
        </w:tc>
        <w:tc>
          <w:tcPr>
            <w:tcW w:w="2216" w:type="dxa"/>
            <w:vAlign w:val="top"/>
          </w:tcPr>
          <w:p>
            <w:pPr>
              <w:pStyle w:val="TableText"/>
              <w:ind w:right="8"/>
              <w:spacing w:before="73" w:line="214" w:lineRule="auto"/>
              <w:jc w:val="right"/>
              <w:rPr>
                <w:sz w:val="19"/>
                <w:szCs w:val="19"/>
              </w:rPr>
            </w:pPr>
            <w:r>
              <w:rPr>
                <w:sz w:val="19"/>
                <w:szCs w:val="19"/>
                <w:spacing w:val="-2"/>
              </w:rPr>
              <w:t>1416</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7" w:line="211" w:lineRule="auto"/>
              <w:rPr>
                <w:sz w:val="19"/>
                <w:szCs w:val="19"/>
              </w:rPr>
            </w:pPr>
            <w:r>
              <w:rPr>
                <w:sz w:val="19"/>
                <w:szCs w:val="19"/>
                <w:spacing w:val="9"/>
              </w:rPr>
              <w:t>精神卫生机构</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80" w:line="207" w:lineRule="auto"/>
              <w:rPr>
                <w:sz w:val="19"/>
                <w:szCs w:val="19"/>
              </w:rPr>
            </w:pPr>
            <w:r>
              <w:rPr>
                <w:sz w:val="19"/>
                <w:szCs w:val="19"/>
                <w:spacing w:val="9"/>
              </w:rPr>
              <w:t>应急救治机构</w:t>
            </w:r>
          </w:p>
        </w:tc>
        <w:tc>
          <w:tcPr>
            <w:tcW w:w="2216" w:type="dxa"/>
            <w:vAlign w:val="top"/>
          </w:tcPr>
          <w:p>
            <w:pPr>
              <w:pStyle w:val="TableText"/>
              <w:ind w:right="8"/>
              <w:spacing w:before="75" w:line="212" w:lineRule="auto"/>
              <w:jc w:val="right"/>
              <w:rPr>
                <w:sz w:val="19"/>
                <w:szCs w:val="19"/>
              </w:rPr>
            </w:pPr>
            <w:r>
              <w:rPr>
                <w:sz w:val="19"/>
                <w:szCs w:val="19"/>
                <w:spacing w:val="-4"/>
              </w:rPr>
              <w:t>131</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9" w:line="209" w:lineRule="auto"/>
              <w:rPr>
                <w:sz w:val="19"/>
                <w:szCs w:val="19"/>
              </w:rPr>
            </w:pPr>
            <w:r>
              <w:rPr>
                <w:sz w:val="19"/>
                <w:szCs w:val="19"/>
                <w:spacing w:val="8"/>
              </w:rPr>
              <w:t>采供血机构</w:t>
            </w:r>
          </w:p>
        </w:tc>
        <w:tc>
          <w:tcPr>
            <w:tcW w:w="2216" w:type="dxa"/>
            <w:vAlign w:val="top"/>
          </w:tcPr>
          <w:p>
            <w:pPr>
              <w:pStyle w:val="TableText"/>
              <w:ind w:right="8"/>
              <w:spacing w:before="76" w:line="212" w:lineRule="auto"/>
              <w:jc w:val="right"/>
              <w:rPr>
                <w:sz w:val="19"/>
                <w:szCs w:val="19"/>
              </w:rPr>
            </w:pPr>
            <w:r>
              <w:rPr>
                <w:sz w:val="19"/>
                <w:szCs w:val="19"/>
                <w:spacing w:val="1"/>
              </w:rPr>
              <w:t>252</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9" w:line="208" w:lineRule="auto"/>
              <w:rPr>
                <w:sz w:val="19"/>
                <w:szCs w:val="19"/>
              </w:rPr>
            </w:pPr>
            <w:r>
              <w:rPr>
                <w:sz w:val="19"/>
                <w:szCs w:val="19"/>
                <w:spacing w:val="9"/>
              </w:rPr>
              <w:t>其他专业公共卫生机构</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1" w:line="207" w:lineRule="auto"/>
              <w:rPr>
                <w:sz w:val="19"/>
                <w:szCs w:val="19"/>
              </w:rPr>
            </w:pPr>
            <w:r>
              <w:rPr>
                <w:sz w:val="19"/>
                <w:szCs w:val="19"/>
                <w:spacing w:val="9"/>
              </w:rPr>
              <w:t>基本公共卫生服务</w:t>
            </w:r>
          </w:p>
        </w:tc>
        <w:tc>
          <w:tcPr>
            <w:tcW w:w="2216" w:type="dxa"/>
            <w:vAlign w:val="top"/>
          </w:tcPr>
          <w:p>
            <w:pPr>
              <w:pStyle w:val="TableText"/>
              <w:ind w:right="8"/>
              <w:spacing w:before="76" w:line="212" w:lineRule="auto"/>
              <w:jc w:val="right"/>
              <w:rPr>
                <w:sz w:val="19"/>
                <w:szCs w:val="19"/>
              </w:rPr>
            </w:pPr>
            <w:r>
              <w:rPr>
                <w:sz w:val="19"/>
                <w:szCs w:val="19"/>
                <w:spacing w:val="-4"/>
              </w:rPr>
              <w:t>172</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84" w:line="204" w:lineRule="auto"/>
              <w:rPr>
                <w:sz w:val="19"/>
                <w:szCs w:val="19"/>
              </w:rPr>
            </w:pPr>
            <w:r>
              <w:rPr>
                <w:sz w:val="19"/>
                <w:szCs w:val="19"/>
                <w:spacing w:val="9"/>
              </w:rPr>
              <w:t>重大公共卫生服务</w:t>
            </w:r>
          </w:p>
        </w:tc>
        <w:tc>
          <w:tcPr>
            <w:tcW w:w="2216" w:type="dxa"/>
            <w:vAlign w:val="top"/>
          </w:tcPr>
          <w:p>
            <w:pPr>
              <w:pStyle w:val="TableText"/>
              <w:ind w:right="8"/>
              <w:spacing w:before="77" w:line="210" w:lineRule="auto"/>
              <w:jc w:val="right"/>
              <w:rPr>
                <w:sz w:val="19"/>
                <w:szCs w:val="19"/>
              </w:rPr>
            </w:pPr>
            <w:r>
              <w:rPr>
                <w:sz w:val="19"/>
                <w:szCs w:val="19"/>
                <w:spacing w:val="1"/>
              </w:rPr>
              <w:t>500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21"/>
              <w:spacing w:before="82" w:line="206" w:lineRule="auto"/>
              <w:rPr>
                <w:sz w:val="19"/>
                <w:szCs w:val="19"/>
              </w:rPr>
            </w:pPr>
            <w:r>
              <w:rPr>
                <w:sz w:val="19"/>
                <w:szCs w:val="19"/>
                <w:spacing w:val="9"/>
              </w:rPr>
              <w:t>突发公共卫生事件应急处理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81" w:line="206" w:lineRule="auto"/>
              <w:rPr>
                <w:sz w:val="19"/>
                <w:szCs w:val="19"/>
              </w:rPr>
            </w:pPr>
            <w:r>
              <w:rPr>
                <w:sz w:val="19"/>
                <w:szCs w:val="19"/>
                <w:spacing w:val="9"/>
              </w:rPr>
              <w:t>其他公共卫生支出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34"/>
              <w:spacing w:before="84" w:line="205" w:lineRule="auto"/>
              <w:rPr>
                <w:sz w:val="19"/>
                <w:szCs w:val="19"/>
              </w:rPr>
            </w:pPr>
            <w:r>
              <w:rPr>
                <w:sz w:val="19"/>
                <w:szCs w:val="19"/>
                <w:spacing w:val="1"/>
              </w:rPr>
              <w:t>中医药</w:t>
            </w:r>
          </w:p>
        </w:tc>
        <w:tc>
          <w:tcPr>
            <w:tcW w:w="2216" w:type="dxa"/>
            <w:vAlign w:val="top"/>
          </w:tcPr>
          <w:p>
            <w:pPr>
              <w:pStyle w:val="TableText"/>
              <w:ind w:right="8"/>
              <w:spacing w:before="78" w:line="210" w:lineRule="auto"/>
              <w:jc w:val="right"/>
              <w:rPr>
                <w:sz w:val="19"/>
                <w:szCs w:val="19"/>
              </w:rPr>
            </w:pPr>
            <w:r>
              <w:rPr>
                <w:sz w:val="19"/>
                <w:szCs w:val="19"/>
              </w:rPr>
              <w:t>53</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36"/>
              <w:spacing w:before="79" w:line="208" w:lineRule="auto"/>
              <w:rPr>
                <w:sz w:val="19"/>
                <w:szCs w:val="19"/>
              </w:rPr>
            </w:pPr>
            <w:r>
              <w:rPr>
                <w:sz w:val="19"/>
                <w:szCs w:val="19"/>
                <w:spacing w:val="2"/>
              </w:rPr>
              <w:t>中医（</w:t>
            </w:r>
            <w:r>
              <w:rPr>
                <w:sz w:val="19"/>
                <w:szCs w:val="19"/>
                <w:spacing w:val="-42"/>
              </w:rPr>
              <w:t xml:space="preserve"> </w:t>
            </w:r>
            <w:r>
              <w:rPr>
                <w:sz w:val="19"/>
                <w:szCs w:val="19"/>
                <w:spacing w:val="2"/>
              </w:rPr>
              <w:t>民族医）药专项</w:t>
            </w:r>
          </w:p>
        </w:tc>
        <w:tc>
          <w:tcPr>
            <w:tcW w:w="2216" w:type="dxa"/>
            <w:vAlign w:val="top"/>
          </w:tcPr>
          <w:p>
            <w:pPr>
              <w:pStyle w:val="TableText"/>
              <w:ind w:right="8"/>
              <w:spacing w:before="79" w:line="208" w:lineRule="auto"/>
              <w:jc w:val="right"/>
              <w:rPr>
                <w:sz w:val="19"/>
                <w:szCs w:val="19"/>
              </w:rPr>
            </w:pPr>
            <w:r>
              <w:rPr>
                <w:sz w:val="19"/>
                <w:szCs w:val="19"/>
              </w:rPr>
              <w:t>53</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4" w:line="205" w:lineRule="auto"/>
              <w:rPr>
                <w:sz w:val="19"/>
                <w:szCs w:val="19"/>
              </w:rPr>
            </w:pPr>
            <w:r>
              <w:rPr>
                <w:sz w:val="19"/>
                <w:szCs w:val="19"/>
                <w:spacing w:val="9"/>
              </w:rPr>
              <w:t>其他中医药支出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3"/>
              <w:spacing w:before="85" w:line="204" w:lineRule="auto"/>
              <w:rPr>
                <w:sz w:val="19"/>
                <w:szCs w:val="19"/>
              </w:rPr>
            </w:pPr>
            <w:r>
              <w:rPr>
                <w:sz w:val="19"/>
                <w:szCs w:val="19"/>
                <w:spacing w:val="9"/>
              </w:rPr>
              <w:t>计划生育事务</w:t>
            </w:r>
          </w:p>
        </w:tc>
        <w:tc>
          <w:tcPr>
            <w:tcW w:w="2216" w:type="dxa"/>
            <w:vAlign w:val="top"/>
          </w:tcPr>
          <w:p>
            <w:pPr>
              <w:pStyle w:val="TableText"/>
              <w:ind w:right="8"/>
              <w:spacing w:before="79" w:line="209" w:lineRule="auto"/>
              <w:jc w:val="right"/>
              <w:rPr>
                <w:sz w:val="19"/>
                <w:szCs w:val="19"/>
              </w:rPr>
            </w:pPr>
            <w:r>
              <w:rPr>
                <w:sz w:val="19"/>
                <w:szCs w:val="19"/>
                <w:spacing w:val="-4"/>
              </w:rPr>
              <w:t>100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4"/>
              <w:spacing w:before="84" w:line="205" w:lineRule="auto"/>
              <w:rPr>
                <w:sz w:val="19"/>
                <w:szCs w:val="19"/>
              </w:rPr>
            </w:pPr>
            <w:r>
              <w:rPr>
                <w:sz w:val="19"/>
                <w:szCs w:val="19"/>
                <w:spacing w:val="9"/>
              </w:rPr>
              <w:t>计划生育机构</w:t>
            </w:r>
          </w:p>
        </w:tc>
        <w:tc>
          <w:tcPr>
            <w:tcW w:w="2216" w:type="dxa"/>
            <w:vAlign w:val="top"/>
          </w:tcPr>
          <w:p>
            <w:pPr>
              <w:pStyle w:val="TableText"/>
              <w:ind w:right="8"/>
              <w:spacing w:before="79" w:line="209" w:lineRule="auto"/>
              <w:jc w:val="right"/>
              <w:rPr>
                <w:sz w:val="19"/>
                <w:szCs w:val="19"/>
              </w:rPr>
            </w:pPr>
            <w:r>
              <w:rPr>
                <w:sz w:val="19"/>
                <w:szCs w:val="19"/>
                <w:spacing w:val="-4"/>
              </w:rPr>
              <w:t>100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4"/>
              <w:spacing w:before="86" w:line="203" w:lineRule="auto"/>
              <w:rPr>
                <w:sz w:val="19"/>
                <w:szCs w:val="19"/>
              </w:rPr>
            </w:pPr>
            <w:r>
              <w:rPr>
                <w:sz w:val="19"/>
                <w:szCs w:val="19"/>
                <w:spacing w:val="9"/>
              </w:rPr>
              <w:t>计划生育服务</w:t>
            </w:r>
          </w:p>
        </w:tc>
        <w:tc>
          <w:tcPr>
            <w:tcW w:w="2216" w:type="dxa"/>
            <w:vAlign w:val="top"/>
          </w:tcPr>
          <w:p>
            <w:pPr>
              <w:pStyle w:val="TableText"/>
              <w:ind w:right="7"/>
              <w:spacing w:before="80" w:line="208"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4" w:line="205" w:lineRule="auto"/>
              <w:rPr>
                <w:sz w:val="19"/>
                <w:szCs w:val="19"/>
              </w:rPr>
            </w:pPr>
            <w:r>
              <w:rPr>
                <w:sz w:val="19"/>
                <w:szCs w:val="19"/>
                <w:spacing w:val="9"/>
              </w:rPr>
              <w:t>其他计划生育事务支出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3"/>
              <w:spacing w:before="84" w:line="205" w:lineRule="auto"/>
              <w:rPr>
                <w:sz w:val="19"/>
                <w:szCs w:val="19"/>
              </w:rPr>
            </w:pPr>
            <w:r>
              <w:rPr>
                <w:sz w:val="19"/>
                <w:szCs w:val="19"/>
                <w:spacing w:val="9"/>
              </w:rPr>
              <w:t>行政事业单位医疗</w:t>
            </w:r>
          </w:p>
        </w:tc>
        <w:tc>
          <w:tcPr>
            <w:tcW w:w="2216" w:type="dxa"/>
            <w:vAlign w:val="top"/>
          </w:tcPr>
          <w:p>
            <w:pPr>
              <w:pStyle w:val="TableText"/>
              <w:ind w:right="8"/>
              <w:spacing w:before="79" w:line="209" w:lineRule="auto"/>
              <w:jc w:val="right"/>
              <w:rPr>
                <w:sz w:val="19"/>
                <w:szCs w:val="19"/>
              </w:rPr>
            </w:pPr>
            <w:r>
              <w:rPr>
                <w:sz w:val="19"/>
                <w:szCs w:val="19"/>
                <w:spacing w:val="2"/>
              </w:rPr>
              <w:t>6312</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2" w:line="206" w:lineRule="auto"/>
              <w:rPr>
                <w:sz w:val="19"/>
                <w:szCs w:val="19"/>
              </w:rPr>
            </w:pPr>
            <w:r>
              <w:rPr>
                <w:sz w:val="19"/>
                <w:szCs w:val="19"/>
                <w:spacing w:val="9"/>
              </w:rPr>
              <w:t>行政单位医疗</w:t>
            </w:r>
          </w:p>
        </w:tc>
        <w:tc>
          <w:tcPr>
            <w:tcW w:w="2216" w:type="dxa"/>
            <w:vAlign w:val="top"/>
          </w:tcPr>
          <w:p>
            <w:pPr>
              <w:pStyle w:val="TableText"/>
              <w:ind w:right="8"/>
              <w:spacing w:before="79" w:line="209" w:lineRule="auto"/>
              <w:jc w:val="right"/>
              <w:rPr>
                <w:sz w:val="19"/>
                <w:szCs w:val="19"/>
              </w:rPr>
            </w:pPr>
            <w:r>
              <w:rPr>
                <w:sz w:val="19"/>
                <w:szCs w:val="19"/>
                <w:spacing w:val="-2"/>
              </w:rPr>
              <w:t>1864</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5" w:line="204" w:lineRule="auto"/>
              <w:rPr>
                <w:sz w:val="19"/>
                <w:szCs w:val="19"/>
              </w:rPr>
            </w:pPr>
            <w:r>
              <w:rPr>
                <w:sz w:val="19"/>
                <w:szCs w:val="19"/>
                <w:spacing w:val="9"/>
              </w:rPr>
              <w:t>事业单位医疗</w:t>
            </w:r>
          </w:p>
        </w:tc>
        <w:tc>
          <w:tcPr>
            <w:tcW w:w="2216" w:type="dxa"/>
            <w:vAlign w:val="top"/>
          </w:tcPr>
          <w:p>
            <w:pPr>
              <w:pStyle w:val="TableText"/>
              <w:ind w:right="8"/>
              <w:spacing w:before="80" w:line="208" w:lineRule="auto"/>
              <w:jc w:val="right"/>
              <w:rPr>
                <w:sz w:val="19"/>
                <w:szCs w:val="19"/>
              </w:rPr>
            </w:pPr>
            <w:r>
              <w:rPr>
                <w:sz w:val="19"/>
                <w:szCs w:val="19"/>
                <w:spacing w:val="2"/>
              </w:rPr>
              <w:t>2558</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4"/>
              <w:spacing w:before="86" w:line="203" w:lineRule="auto"/>
              <w:rPr>
                <w:sz w:val="19"/>
                <w:szCs w:val="19"/>
              </w:rPr>
            </w:pPr>
            <w:r>
              <w:rPr>
                <w:sz w:val="19"/>
                <w:szCs w:val="19"/>
                <w:spacing w:val="9"/>
              </w:rPr>
              <w:t>公务员医疗补助</w:t>
            </w:r>
          </w:p>
        </w:tc>
        <w:tc>
          <w:tcPr>
            <w:tcW w:w="2216" w:type="dxa"/>
            <w:vAlign w:val="top"/>
          </w:tcPr>
          <w:p>
            <w:pPr>
              <w:pStyle w:val="TableText"/>
              <w:ind w:right="8"/>
              <w:spacing w:before="80" w:line="208" w:lineRule="auto"/>
              <w:jc w:val="right"/>
              <w:rPr>
                <w:sz w:val="19"/>
                <w:szCs w:val="19"/>
              </w:rPr>
            </w:pPr>
            <w:r>
              <w:rPr>
                <w:sz w:val="19"/>
                <w:szCs w:val="19"/>
                <w:spacing w:val="-2"/>
              </w:rPr>
              <w:t>1675</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4" w:line="205" w:lineRule="auto"/>
              <w:rPr>
                <w:sz w:val="19"/>
                <w:szCs w:val="19"/>
              </w:rPr>
            </w:pPr>
            <w:r>
              <w:rPr>
                <w:sz w:val="19"/>
                <w:szCs w:val="19"/>
                <w:spacing w:val="9"/>
              </w:rPr>
              <w:t>其他行政事业单位医疗支出</w:t>
            </w:r>
          </w:p>
        </w:tc>
        <w:tc>
          <w:tcPr>
            <w:tcW w:w="2216" w:type="dxa"/>
            <w:vAlign w:val="top"/>
          </w:tcPr>
          <w:p>
            <w:pPr>
              <w:pStyle w:val="TableText"/>
              <w:ind w:right="8"/>
              <w:spacing w:before="79" w:line="209" w:lineRule="auto"/>
              <w:jc w:val="right"/>
              <w:rPr>
                <w:sz w:val="19"/>
                <w:szCs w:val="19"/>
              </w:rPr>
            </w:pPr>
            <w:r>
              <w:rPr>
                <w:sz w:val="19"/>
                <w:szCs w:val="19"/>
                <w:spacing w:val="1"/>
              </w:rPr>
              <w:t>215</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6"/>
              <w:spacing w:before="84" w:line="205" w:lineRule="auto"/>
              <w:rPr>
                <w:sz w:val="19"/>
                <w:szCs w:val="19"/>
              </w:rPr>
            </w:pPr>
            <w:r>
              <w:rPr>
                <w:sz w:val="19"/>
                <w:szCs w:val="19"/>
                <w:spacing w:val="9"/>
              </w:rPr>
              <w:t>财政对基本医疗保险基金的补助</w:t>
            </w:r>
          </w:p>
        </w:tc>
        <w:tc>
          <w:tcPr>
            <w:tcW w:w="2216" w:type="dxa"/>
            <w:vAlign w:val="top"/>
          </w:tcPr>
          <w:p>
            <w:pPr>
              <w:pStyle w:val="TableText"/>
              <w:ind w:right="8"/>
              <w:spacing w:before="79" w:line="209" w:lineRule="auto"/>
              <w:jc w:val="right"/>
              <w:rPr>
                <w:sz w:val="19"/>
                <w:szCs w:val="19"/>
              </w:rPr>
            </w:pPr>
            <w:r>
              <w:rPr>
                <w:sz w:val="19"/>
                <w:szCs w:val="19"/>
                <w:spacing w:val="2"/>
              </w:rPr>
              <w:t>64174</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6" w:line="203" w:lineRule="auto"/>
              <w:rPr>
                <w:sz w:val="19"/>
                <w:szCs w:val="19"/>
              </w:rPr>
            </w:pPr>
            <w:r>
              <w:rPr>
                <w:sz w:val="19"/>
                <w:szCs w:val="19"/>
                <w:spacing w:val="9"/>
              </w:rPr>
              <w:t>财政对职工基本医疗保险基金的补助</w:t>
            </w:r>
          </w:p>
        </w:tc>
        <w:tc>
          <w:tcPr>
            <w:tcW w:w="2216" w:type="dxa"/>
            <w:vAlign w:val="top"/>
          </w:tcPr>
          <w:p>
            <w:pPr>
              <w:pStyle w:val="TableText"/>
              <w:ind w:right="8"/>
              <w:spacing w:before="80" w:line="208" w:lineRule="auto"/>
              <w:jc w:val="right"/>
              <w:rPr>
                <w:sz w:val="19"/>
                <w:szCs w:val="19"/>
              </w:rPr>
            </w:pPr>
            <w:r>
              <w:rPr>
                <w:sz w:val="19"/>
                <w:szCs w:val="19"/>
              </w:rPr>
              <w:t>57</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5" w:line="204" w:lineRule="auto"/>
              <w:rPr>
                <w:sz w:val="19"/>
                <w:szCs w:val="19"/>
              </w:rPr>
            </w:pPr>
            <w:r>
              <w:rPr>
                <w:sz w:val="19"/>
                <w:szCs w:val="19"/>
                <w:spacing w:val="9"/>
              </w:rPr>
              <w:t>财政对城乡居民基本医疗保险基金的补助</w:t>
            </w:r>
          </w:p>
        </w:tc>
        <w:tc>
          <w:tcPr>
            <w:tcW w:w="2216" w:type="dxa"/>
            <w:vAlign w:val="top"/>
          </w:tcPr>
          <w:p>
            <w:pPr>
              <w:pStyle w:val="TableText"/>
              <w:ind w:right="8"/>
              <w:spacing w:before="80" w:line="208" w:lineRule="auto"/>
              <w:jc w:val="right"/>
              <w:rPr>
                <w:sz w:val="19"/>
                <w:szCs w:val="19"/>
              </w:rPr>
            </w:pPr>
            <w:r>
              <w:rPr>
                <w:sz w:val="19"/>
                <w:szCs w:val="19"/>
                <w:spacing w:val="2"/>
              </w:rPr>
              <w:t>64116</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4" w:line="205" w:lineRule="auto"/>
              <w:rPr>
                <w:sz w:val="19"/>
                <w:szCs w:val="19"/>
              </w:rPr>
            </w:pPr>
            <w:r>
              <w:rPr>
                <w:sz w:val="19"/>
                <w:szCs w:val="19"/>
                <w:spacing w:val="9"/>
              </w:rPr>
              <w:t>财政对其他基本医疗保险基金的补助</w:t>
            </w:r>
          </w:p>
        </w:tc>
        <w:tc>
          <w:tcPr>
            <w:tcW w:w="2216" w:type="dxa"/>
            <w:vAlign w:val="top"/>
          </w:tcPr>
          <w:p>
            <w:pPr>
              <w:pStyle w:val="TableText"/>
              <w:spacing w:before="79" w:line="209" w:lineRule="auto"/>
              <w:jc w:val="right"/>
              <w:rPr>
                <w:sz w:val="19"/>
                <w:szCs w:val="19"/>
              </w:rPr>
            </w:pPr>
            <w:r>
              <w:rPr>
                <w:sz w:val="19"/>
                <w:szCs w:val="19"/>
                <w:spacing w:val="-18"/>
              </w:rPr>
              <w:t>1</w:t>
            </w:r>
          </w:p>
        </w:tc>
        <w:tc>
          <w:tcPr>
            <w:tcW w:w="2013" w:type="dxa"/>
            <w:vAlign w:val="top"/>
            <w:tcBorders>
              <w:right w:val="single" w:color="000000" w:sz="6" w:space="0"/>
            </w:tcBorders>
          </w:tcPr>
          <w:p>
            <w:pPr>
              <w:rPr>
                <w:rFonts w:ascii="Arial"/>
                <w:sz w:val="21"/>
              </w:rPr>
            </w:pPr>
            <w:r/>
          </w:p>
        </w:tc>
      </w:tr>
      <w:tr>
        <w:trPr>
          <w:trHeight w:val="314" w:hRule="atLeast"/>
        </w:trPr>
        <w:tc>
          <w:tcPr>
            <w:tcW w:w="4612" w:type="dxa"/>
            <w:vAlign w:val="top"/>
            <w:tcBorders>
              <w:left w:val="single" w:color="000000" w:sz="6" w:space="0"/>
              <w:bottom w:val="single" w:color="000000" w:sz="6" w:space="0"/>
            </w:tcBorders>
          </w:tcPr>
          <w:p>
            <w:pPr>
              <w:pStyle w:val="TableText"/>
              <w:ind w:left="427"/>
              <w:spacing w:before="83" w:line="214" w:lineRule="auto"/>
              <w:rPr>
                <w:sz w:val="19"/>
                <w:szCs w:val="19"/>
              </w:rPr>
            </w:pPr>
            <w:r>
              <w:rPr>
                <w:sz w:val="19"/>
                <w:szCs w:val="19"/>
                <w:spacing w:val="5"/>
              </w:rPr>
              <w:t>医疗救助</w:t>
            </w:r>
          </w:p>
        </w:tc>
        <w:tc>
          <w:tcPr>
            <w:tcW w:w="2216" w:type="dxa"/>
            <w:vAlign w:val="top"/>
            <w:tcBorders>
              <w:bottom w:val="single" w:color="000000" w:sz="6" w:space="0"/>
            </w:tcBorders>
          </w:tcPr>
          <w:p>
            <w:pPr>
              <w:pStyle w:val="TableText"/>
              <w:ind w:right="7"/>
              <w:spacing w:before="79" w:line="218" w:lineRule="auto"/>
              <w:jc w:val="right"/>
              <w:rPr>
                <w:sz w:val="19"/>
                <w:szCs w:val="19"/>
              </w:rPr>
            </w:pPr>
            <w:r>
              <w:rPr>
                <w:sz w:val="19"/>
                <w:szCs w:val="19"/>
              </w:rPr>
              <w:t>0</w:t>
            </w:r>
          </w:p>
        </w:tc>
        <w:tc>
          <w:tcPr>
            <w:tcW w:w="2013"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23"/>
          <w:footerReference w:type="default" r:id="rId41"/>
          <w:pgSz w:w="11907" w:h="16840"/>
          <w:pgMar w:top="1801" w:right="1525" w:bottom="1660" w:left="1525" w:header="1428" w:footer="1289" w:gutter="0"/>
        </w:sectPr>
        <w:rPr>
          <w:rFonts w:ascii="Arial" w:hAnsi="Arial" w:eastAsia="Arial" w:cs="Arial"/>
          <w:sz w:val="21"/>
          <w:szCs w:val="21"/>
        </w:rPr>
      </w:pPr>
    </w:p>
    <w:p>
      <w:pPr>
        <w:spacing w:line="240" w:lineRule="exact"/>
        <w:rPr/>
      </w:pPr>
      <w:r/>
    </w:p>
    <w:tbl>
      <w:tblPr>
        <w:tblStyle w:val="TableNormal"/>
        <w:tblW w:w="8841"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12"/>
        <w:gridCol w:w="2216"/>
        <w:gridCol w:w="2013"/>
      </w:tblGrid>
      <w:tr>
        <w:trPr>
          <w:trHeight w:val="312" w:hRule="atLeast"/>
        </w:trPr>
        <w:tc>
          <w:tcPr>
            <w:tcW w:w="4612" w:type="dxa"/>
            <w:vAlign w:val="top"/>
            <w:tcBorders>
              <w:left w:val="single" w:color="000000" w:sz="6" w:space="0"/>
              <w:top w:val="single" w:color="000000" w:sz="6" w:space="0"/>
            </w:tcBorders>
          </w:tcPr>
          <w:p>
            <w:pPr>
              <w:pStyle w:val="TableText"/>
              <w:ind w:left="2104"/>
              <w:spacing w:before="81" w:line="212" w:lineRule="auto"/>
              <w:rPr>
                <w:sz w:val="19"/>
                <w:szCs w:val="19"/>
              </w:rPr>
            </w:pPr>
            <w:r>
              <w:rPr>
                <w:sz w:val="19"/>
                <w:szCs w:val="19"/>
                <w:b/>
                <w:bCs/>
                <w:spacing w:val="6"/>
              </w:rPr>
              <w:t>项目</w:t>
            </w:r>
          </w:p>
        </w:tc>
        <w:tc>
          <w:tcPr>
            <w:tcW w:w="2216" w:type="dxa"/>
            <w:vAlign w:val="top"/>
            <w:tcBorders>
              <w:top w:val="single" w:color="000000" w:sz="6" w:space="0"/>
            </w:tcBorders>
          </w:tcPr>
          <w:p>
            <w:pPr>
              <w:pStyle w:val="TableText"/>
              <w:ind w:left="813"/>
              <w:spacing w:before="76" w:line="219" w:lineRule="auto"/>
              <w:rPr>
                <w:sz w:val="19"/>
                <w:szCs w:val="19"/>
              </w:rPr>
            </w:pPr>
            <w:r>
              <w:rPr>
                <w:sz w:val="19"/>
                <w:szCs w:val="19"/>
                <w:b/>
                <w:bCs/>
                <w:spacing w:val="5"/>
              </w:rPr>
              <w:t>预算数</w:t>
            </w:r>
          </w:p>
        </w:tc>
        <w:tc>
          <w:tcPr>
            <w:tcW w:w="2013" w:type="dxa"/>
            <w:vAlign w:val="top"/>
            <w:tcBorders>
              <w:right w:val="single" w:color="000000" w:sz="6" w:space="0"/>
              <w:top w:val="single" w:color="000000" w:sz="6" w:space="0"/>
            </w:tcBorders>
          </w:tcPr>
          <w:p>
            <w:pPr>
              <w:pStyle w:val="TableText"/>
              <w:ind w:left="806"/>
              <w:spacing w:before="76" w:line="219" w:lineRule="auto"/>
              <w:rPr>
                <w:sz w:val="19"/>
                <w:szCs w:val="19"/>
              </w:rPr>
            </w:pPr>
            <w:r>
              <w:rPr>
                <w:sz w:val="19"/>
                <w:szCs w:val="19"/>
                <w:b/>
                <w:bCs/>
                <w:spacing w:val="6"/>
              </w:rPr>
              <w:t>备注</w:t>
            </w:r>
          </w:p>
        </w:tc>
      </w:tr>
      <w:tr>
        <w:trPr>
          <w:trHeight w:val="304" w:hRule="atLeast"/>
        </w:trPr>
        <w:tc>
          <w:tcPr>
            <w:tcW w:w="4612" w:type="dxa"/>
            <w:vAlign w:val="top"/>
            <w:tcBorders>
              <w:left w:val="single" w:color="000000" w:sz="6" w:space="0"/>
            </w:tcBorders>
          </w:tcPr>
          <w:p>
            <w:pPr>
              <w:pStyle w:val="TableText"/>
              <w:ind w:left="616"/>
              <w:spacing w:before="69" w:line="218" w:lineRule="auto"/>
              <w:rPr>
                <w:sz w:val="19"/>
                <w:szCs w:val="19"/>
              </w:rPr>
            </w:pPr>
            <w:r>
              <w:rPr>
                <w:sz w:val="19"/>
                <w:szCs w:val="19"/>
                <w:spacing w:val="9"/>
              </w:rPr>
              <w:t>城乡医疗救助</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2" w:line="215" w:lineRule="auto"/>
              <w:rPr>
                <w:sz w:val="19"/>
                <w:szCs w:val="19"/>
              </w:rPr>
            </w:pPr>
            <w:r>
              <w:rPr>
                <w:sz w:val="19"/>
                <w:szCs w:val="19"/>
                <w:spacing w:val="9"/>
              </w:rPr>
              <w:t>疾病应急救助</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2" w:line="215" w:lineRule="auto"/>
              <w:rPr>
                <w:sz w:val="19"/>
                <w:szCs w:val="19"/>
              </w:rPr>
            </w:pPr>
            <w:r>
              <w:rPr>
                <w:sz w:val="19"/>
                <w:szCs w:val="19"/>
                <w:spacing w:val="9"/>
              </w:rPr>
              <w:t>其他医疗救助支出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4"/>
              <w:spacing w:before="73" w:line="214" w:lineRule="auto"/>
              <w:rPr>
                <w:sz w:val="19"/>
                <w:szCs w:val="19"/>
              </w:rPr>
            </w:pPr>
            <w:r>
              <w:rPr>
                <w:sz w:val="19"/>
                <w:szCs w:val="19"/>
                <w:spacing w:val="9"/>
              </w:rPr>
              <w:t>优抚对象医疗</w:t>
            </w:r>
          </w:p>
        </w:tc>
        <w:tc>
          <w:tcPr>
            <w:tcW w:w="2216" w:type="dxa"/>
            <w:vAlign w:val="top"/>
          </w:tcPr>
          <w:p>
            <w:pPr>
              <w:pStyle w:val="TableText"/>
              <w:ind w:right="7"/>
              <w:spacing w:before="68" w:line="219"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3" w:line="214" w:lineRule="auto"/>
              <w:rPr>
                <w:sz w:val="19"/>
                <w:szCs w:val="19"/>
              </w:rPr>
            </w:pPr>
            <w:r>
              <w:rPr>
                <w:sz w:val="19"/>
                <w:szCs w:val="19"/>
                <w:spacing w:val="9"/>
              </w:rPr>
              <w:t>优抚对象医疗补助</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5" w:line="212" w:lineRule="auto"/>
              <w:rPr>
                <w:sz w:val="19"/>
                <w:szCs w:val="19"/>
              </w:rPr>
            </w:pPr>
            <w:r>
              <w:rPr>
                <w:sz w:val="19"/>
                <w:szCs w:val="19"/>
                <w:spacing w:val="9"/>
              </w:rPr>
              <w:t>其他优抚对象医疗支出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27"/>
              <w:spacing w:before="75" w:line="213" w:lineRule="auto"/>
              <w:rPr>
                <w:sz w:val="19"/>
                <w:szCs w:val="19"/>
              </w:rPr>
            </w:pPr>
            <w:r>
              <w:rPr>
                <w:sz w:val="19"/>
                <w:szCs w:val="19"/>
                <w:spacing w:val="7"/>
              </w:rPr>
              <w:t>医疗保障管理事务</w:t>
            </w:r>
          </w:p>
        </w:tc>
        <w:tc>
          <w:tcPr>
            <w:tcW w:w="2216" w:type="dxa"/>
            <w:vAlign w:val="top"/>
          </w:tcPr>
          <w:p>
            <w:pPr>
              <w:pStyle w:val="TableText"/>
              <w:ind w:right="8"/>
              <w:spacing w:before="72" w:line="216" w:lineRule="auto"/>
              <w:jc w:val="right"/>
              <w:rPr>
                <w:sz w:val="19"/>
                <w:szCs w:val="19"/>
              </w:rPr>
            </w:pPr>
            <w:r>
              <w:rPr>
                <w:sz w:val="19"/>
                <w:szCs w:val="19"/>
              </w:rPr>
              <w:t>388</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7" w:line="211" w:lineRule="auto"/>
              <w:rPr>
                <w:sz w:val="19"/>
                <w:szCs w:val="19"/>
              </w:rPr>
            </w:pPr>
            <w:r>
              <w:rPr>
                <w:sz w:val="19"/>
                <w:szCs w:val="19"/>
                <w:spacing w:val="8"/>
              </w:rPr>
              <w:t>行政运行</w:t>
            </w:r>
          </w:p>
        </w:tc>
        <w:tc>
          <w:tcPr>
            <w:tcW w:w="2216" w:type="dxa"/>
            <w:vAlign w:val="top"/>
          </w:tcPr>
          <w:p>
            <w:pPr>
              <w:pStyle w:val="TableText"/>
              <w:ind w:right="8"/>
              <w:spacing w:before="71" w:line="217" w:lineRule="auto"/>
              <w:jc w:val="right"/>
              <w:rPr>
                <w:sz w:val="19"/>
                <w:szCs w:val="19"/>
              </w:rPr>
            </w:pPr>
            <w:r>
              <w:rPr>
                <w:sz w:val="19"/>
                <w:szCs w:val="19"/>
                <w:spacing w:val="-4"/>
              </w:rPr>
              <w:t>128</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5" w:line="213" w:lineRule="auto"/>
              <w:rPr>
                <w:sz w:val="19"/>
                <w:szCs w:val="19"/>
              </w:rPr>
            </w:pPr>
            <w:r>
              <w:rPr>
                <w:sz w:val="19"/>
                <w:szCs w:val="19"/>
                <w:spacing w:val="9"/>
              </w:rPr>
              <w:t>一般行政管理事务</w:t>
            </w:r>
          </w:p>
        </w:tc>
        <w:tc>
          <w:tcPr>
            <w:tcW w:w="2216" w:type="dxa"/>
            <w:vAlign w:val="top"/>
          </w:tcPr>
          <w:p>
            <w:pPr>
              <w:pStyle w:val="TableText"/>
              <w:ind w:right="8"/>
              <w:spacing w:before="71" w:line="217" w:lineRule="auto"/>
              <w:jc w:val="right"/>
              <w:rPr>
                <w:sz w:val="19"/>
                <w:szCs w:val="19"/>
              </w:rPr>
            </w:pPr>
            <w:r>
              <w:rPr>
                <w:sz w:val="19"/>
                <w:szCs w:val="19"/>
                <w:spacing w:val="1"/>
              </w:rPr>
              <w:t>240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8" w:line="210"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4" w:line="214" w:lineRule="auto"/>
              <w:rPr>
                <w:sz w:val="19"/>
                <w:szCs w:val="19"/>
              </w:rPr>
            </w:pPr>
            <w:r>
              <w:rPr>
                <w:sz w:val="19"/>
                <w:szCs w:val="19"/>
                <w:spacing w:val="8"/>
              </w:rPr>
              <w:t>信息化建设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28"/>
              <w:spacing w:before="74" w:line="214" w:lineRule="auto"/>
              <w:rPr>
                <w:sz w:val="19"/>
                <w:szCs w:val="19"/>
              </w:rPr>
            </w:pPr>
            <w:r>
              <w:rPr>
                <w:sz w:val="19"/>
                <w:szCs w:val="19"/>
                <w:spacing w:val="7"/>
              </w:rPr>
              <w:t>医疗保障政策管理</w:t>
            </w:r>
          </w:p>
        </w:tc>
        <w:tc>
          <w:tcPr>
            <w:tcW w:w="2216" w:type="dxa"/>
            <w:vAlign w:val="top"/>
          </w:tcPr>
          <w:p>
            <w:pPr>
              <w:pStyle w:val="TableText"/>
              <w:ind w:right="8"/>
              <w:spacing w:before="71" w:line="217" w:lineRule="auto"/>
              <w:jc w:val="right"/>
              <w:rPr>
                <w:sz w:val="19"/>
                <w:szCs w:val="19"/>
              </w:rPr>
            </w:pPr>
            <w:r>
              <w:rPr>
                <w:sz w:val="19"/>
                <w:szCs w:val="19"/>
              </w:rPr>
              <w:t>20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28"/>
              <w:spacing w:before="73" w:line="215" w:lineRule="auto"/>
              <w:rPr>
                <w:sz w:val="19"/>
                <w:szCs w:val="19"/>
              </w:rPr>
            </w:pPr>
            <w:r>
              <w:rPr>
                <w:sz w:val="19"/>
                <w:szCs w:val="19"/>
                <w:spacing w:val="7"/>
              </w:rPr>
              <w:t>医疗保障经办事务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7" w:line="210"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6" w:line="212" w:lineRule="auto"/>
              <w:rPr>
                <w:sz w:val="19"/>
                <w:szCs w:val="19"/>
              </w:rPr>
            </w:pPr>
            <w:r>
              <w:rPr>
                <w:sz w:val="19"/>
                <w:szCs w:val="19"/>
                <w:spacing w:val="9"/>
              </w:rPr>
              <w:t>其他医疗保障管理事务支出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8"/>
              <w:spacing w:before="75" w:line="213" w:lineRule="auto"/>
              <w:rPr>
                <w:sz w:val="19"/>
                <w:szCs w:val="19"/>
              </w:rPr>
            </w:pPr>
            <w:r>
              <w:rPr>
                <w:sz w:val="19"/>
                <w:szCs w:val="19"/>
                <w:spacing w:val="8"/>
              </w:rPr>
              <w:t>老龄卫生健康服务</w:t>
            </w:r>
          </w:p>
        </w:tc>
        <w:tc>
          <w:tcPr>
            <w:tcW w:w="2216" w:type="dxa"/>
            <w:vAlign w:val="top"/>
          </w:tcPr>
          <w:p>
            <w:pPr>
              <w:pStyle w:val="TableText"/>
              <w:ind w:right="5"/>
              <w:spacing w:before="72" w:line="216" w:lineRule="auto"/>
              <w:jc w:val="right"/>
              <w:rPr>
                <w:sz w:val="19"/>
                <w:szCs w:val="19"/>
              </w:rPr>
            </w:pPr>
            <w:r>
              <w:rPr>
                <w:sz w:val="19"/>
                <w:szCs w:val="19"/>
              </w:rPr>
              <w:t>5</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3"/>
              <w:spacing w:before="74" w:line="214" w:lineRule="auto"/>
              <w:rPr>
                <w:sz w:val="19"/>
                <w:szCs w:val="19"/>
              </w:rPr>
            </w:pPr>
            <w:r>
              <w:rPr>
                <w:sz w:val="19"/>
                <w:szCs w:val="19"/>
                <w:spacing w:val="9"/>
              </w:rPr>
              <w:t>其他卫生健康支出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23"/>
              <w:spacing w:before="78" w:line="210" w:lineRule="auto"/>
              <w:rPr>
                <w:sz w:val="19"/>
                <w:szCs w:val="19"/>
              </w:rPr>
            </w:pPr>
            <w:r>
              <w:rPr>
                <w:sz w:val="19"/>
                <w:szCs w:val="19"/>
                <w:spacing w:val="8"/>
              </w:rPr>
              <w:t>十、节能环保支出</w:t>
            </w:r>
          </w:p>
        </w:tc>
        <w:tc>
          <w:tcPr>
            <w:tcW w:w="2216" w:type="dxa"/>
            <w:vAlign w:val="top"/>
          </w:tcPr>
          <w:p>
            <w:pPr>
              <w:pStyle w:val="TableText"/>
              <w:ind w:right="8"/>
              <w:spacing w:before="74" w:line="214" w:lineRule="auto"/>
              <w:jc w:val="right"/>
              <w:rPr>
                <w:sz w:val="19"/>
                <w:szCs w:val="19"/>
              </w:rPr>
            </w:pPr>
            <w:r>
              <w:rPr>
                <w:sz w:val="19"/>
                <w:szCs w:val="19"/>
                <w:spacing w:val="2"/>
              </w:rPr>
              <w:t>9683</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6"/>
              <w:spacing w:before="77" w:line="211" w:lineRule="auto"/>
              <w:rPr>
                <w:sz w:val="19"/>
                <w:szCs w:val="19"/>
              </w:rPr>
            </w:pPr>
            <w:r>
              <w:rPr>
                <w:sz w:val="19"/>
                <w:szCs w:val="19"/>
                <w:spacing w:val="9"/>
              </w:rPr>
              <w:t>环境保护管理事务</w:t>
            </w:r>
          </w:p>
        </w:tc>
        <w:tc>
          <w:tcPr>
            <w:tcW w:w="2216" w:type="dxa"/>
            <w:vAlign w:val="top"/>
          </w:tcPr>
          <w:p>
            <w:pPr>
              <w:pStyle w:val="TableText"/>
              <w:ind w:right="8"/>
              <w:spacing w:before="73" w:line="215" w:lineRule="auto"/>
              <w:jc w:val="right"/>
              <w:rPr>
                <w:sz w:val="19"/>
                <w:szCs w:val="19"/>
              </w:rPr>
            </w:pPr>
            <w:r>
              <w:rPr>
                <w:sz w:val="19"/>
                <w:szCs w:val="19"/>
                <w:spacing w:val="1"/>
              </w:rPr>
              <w:t>992</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8" w:line="210" w:lineRule="auto"/>
              <w:rPr>
                <w:sz w:val="19"/>
                <w:szCs w:val="19"/>
              </w:rPr>
            </w:pPr>
            <w:r>
              <w:rPr>
                <w:sz w:val="19"/>
                <w:szCs w:val="19"/>
                <w:spacing w:val="8"/>
              </w:rPr>
              <w:t>行政运行</w:t>
            </w:r>
          </w:p>
        </w:tc>
        <w:tc>
          <w:tcPr>
            <w:tcW w:w="2216" w:type="dxa"/>
            <w:vAlign w:val="top"/>
          </w:tcPr>
          <w:p>
            <w:pPr>
              <w:pStyle w:val="TableText"/>
              <w:ind w:right="8"/>
              <w:spacing w:before="72" w:line="216" w:lineRule="auto"/>
              <w:jc w:val="right"/>
              <w:rPr>
                <w:sz w:val="19"/>
                <w:szCs w:val="19"/>
              </w:rPr>
            </w:pPr>
            <w:r>
              <w:rPr>
                <w:sz w:val="19"/>
                <w:szCs w:val="19"/>
                <w:spacing w:val="1"/>
              </w:rPr>
              <w:t>932</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6" w:line="212" w:lineRule="auto"/>
              <w:rPr>
                <w:sz w:val="19"/>
                <w:szCs w:val="19"/>
              </w:rPr>
            </w:pPr>
            <w:r>
              <w:rPr>
                <w:sz w:val="19"/>
                <w:szCs w:val="19"/>
                <w:spacing w:val="9"/>
              </w:rPr>
              <w:t>一般行政管理事务</w:t>
            </w:r>
          </w:p>
        </w:tc>
        <w:tc>
          <w:tcPr>
            <w:tcW w:w="2216" w:type="dxa"/>
            <w:vAlign w:val="top"/>
          </w:tcPr>
          <w:p>
            <w:pPr>
              <w:pStyle w:val="TableText"/>
              <w:ind w:right="8"/>
              <w:spacing w:before="72" w:line="216" w:lineRule="auto"/>
              <w:jc w:val="right"/>
              <w:rPr>
                <w:sz w:val="19"/>
                <w:szCs w:val="19"/>
              </w:rPr>
            </w:pPr>
            <w:r>
              <w:rPr>
                <w:sz w:val="19"/>
                <w:szCs w:val="19"/>
              </w:rPr>
              <w:t>60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9" w:line="209"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8"/>
              <w:spacing w:before="76" w:line="212" w:lineRule="auto"/>
              <w:rPr>
                <w:sz w:val="19"/>
                <w:szCs w:val="19"/>
              </w:rPr>
            </w:pPr>
            <w:r>
              <w:rPr>
                <w:sz w:val="19"/>
                <w:szCs w:val="19"/>
                <w:spacing w:val="8"/>
              </w:rPr>
              <w:t>生态环境保护宣传</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7" w:line="211" w:lineRule="auto"/>
              <w:rPr>
                <w:sz w:val="19"/>
                <w:szCs w:val="19"/>
              </w:rPr>
            </w:pPr>
            <w:r>
              <w:rPr>
                <w:sz w:val="19"/>
                <w:szCs w:val="19"/>
                <w:spacing w:val="9"/>
              </w:rPr>
              <w:t>环境保护法规、规划及标准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8"/>
              <w:spacing w:before="75" w:line="213" w:lineRule="auto"/>
              <w:rPr>
                <w:sz w:val="19"/>
                <w:szCs w:val="19"/>
              </w:rPr>
            </w:pPr>
            <w:r>
              <w:rPr>
                <w:sz w:val="19"/>
                <w:szCs w:val="19"/>
                <w:spacing w:val="9"/>
              </w:rPr>
              <w:t>生态环境国际合作及履约</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8"/>
              <w:spacing w:before="78" w:line="209" w:lineRule="auto"/>
              <w:rPr>
                <w:sz w:val="19"/>
                <w:szCs w:val="19"/>
              </w:rPr>
            </w:pPr>
            <w:r>
              <w:rPr>
                <w:sz w:val="19"/>
                <w:szCs w:val="19"/>
                <w:spacing w:val="9"/>
              </w:rPr>
              <w:t>生态环境保护行政许可</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8" w:line="210" w:lineRule="auto"/>
              <w:rPr>
                <w:sz w:val="19"/>
                <w:szCs w:val="19"/>
              </w:rPr>
            </w:pPr>
            <w:r>
              <w:rPr>
                <w:sz w:val="19"/>
                <w:szCs w:val="19"/>
                <w:spacing w:val="9"/>
              </w:rPr>
              <w:t>应对气候变化管理事务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7" w:line="210" w:lineRule="auto"/>
              <w:rPr>
                <w:sz w:val="19"/>
                <w:szCs w:val="19"/>
              </w:rPr>
            </w:pPr>
            <w:r>
              <w:rPr>
                <w:sz w:val="19"/>
                <w:szCs w:val="19"/>
                <w:spacing w:val="9"/>
              </w:rPr>
              <w:t>其他环境保护管理事务支出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6"/>
              <w:spacing w:before="78" w:line="210" w:lineRule="auto"/>
              <w:rPr>
                <w:sz w:val="19"/>
                <w:szCs w:val="19"/>
              </w:rPr>
            </w:pPr>
            <w:r>
              <w:rPr>
                <w:sz w:val="19"/>
                <w:szCs w:val="19"/>
                <w:spacing w:val="9"/>
              </w:rPr>
              <w:t>环境监测与监察</w:t>
            </w:r>
          </w:p>
        </w:tc>
        <w:tc>
          <w:tcPr>
            <w:tcW w:w="2216" w:type="dxa"/>
            <w:vAlign w:val="top"/>
          </w:tcPr>
          <w:p>
            <w:pPr>
              <w:pStyle w:val="TableText"/>
              <w:ind w:right="7"/>
              <w:spacing w:before="74" w:line="214"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7" w:line="210" w:lineRule="auto"/>
              <w:rPr>
                <w:sz w:val="19"/>
                <w:szCs w:val="19"/>
              </w:rPr>
            </w:pPr>
            <w:r>
              <w:rPr>
                <w:sz w:val="19"/>
                <w:szCs w:val="19"/>
                <w:spacing w:val="9"/>
              </w:rPr>
              <w:t>建设项目环评审查与监督</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8"/>
              <w:spacing w:before="79" w:line="209" w:lineRule="auto"/>
              <w:rPr>
                <w:sz w:val="19"/>
                <w:szCs w:val="19"/>
              </w:rPr>
            </w:pPr>
            <w:r>
              <w:rPr>
                <w:sz w:val="19"/>
                <w:szCs w:val="19"/>
                <w:spacing w:val="8"/>
              </w:rPr>
              <w:t>核与辐射安全监督</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9" w:line="208" w:lineRule="auto"/>
              <w:rPr>
                <w:sz w:val="19"/>
                <w:szCs w:val="19"/>
              </w:rPr>
            </w:pPr>
            <w:r>
              <w:rPr>
                <w:sz w:val="19"/>
                <w:szCs w:val="19"/>
                <w:spacing w:val="9"/>
              </w:rPr>
              <w:t>其他环境监测与监察支出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8"/>
              <w:spacing w:before="81" w:line="207" w:lineRule="auto"/>
              <w:rPr>
                <w:sz w:val="19"/>
                <w:szCs w:val="19"/>
              </w:rPr>
            </w:pPr>
            <w:r>
              <w:rPr>
                <w:sz w:val="19"/>
                <w:szCs w:val="19"/>
                <w:spacing w:val="7"/>
              </w:rPr>
              <w:t>污染防治</w:t>
            </w:r>
          </w:p>
        </w:tc>
        <w:tc>
          <w:tcPr>
            <w:tcW w:w="2216" w:type="dxa"/>
            <w:vAlign w:val="top"/>
          </w:tcPr>
          <w:p>
            <w:pPr>
              <w:pStyle w:val="TableText"/>
              <w:ind w:right="8"/>
              <w:spacing w:before="76" w:line="212" w:lineRule="auto"/>
              <w:jc w:val="right"/>
              <w:rPr>
                <w:sz w:val="19"/>
                <w:szCs w:val="19"/>
              </w:rPr>
            </w:pPr>
            <w:r>
              <w:rPr>
                <w:sz w:val="19"/>
                <w:szCs w:val="19"/>
                <w:spacing w:val="2"/>
              </w:rPr>
              <w:t>6635</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20"/>
              <w:spacing w:before="83" w:line="205" w:lineRule="auto"/>
              <w:rPr>
                <w:sz w:val="19"/>
                <w:szCs w:val="19"/>
              </w:rPr>
            </w:pPr>
            <w:r>
              <w:rPr>
                <w:sz w:val="19"/>
                <w:szCs w:val="19"/>
                <w:spacing w:val="4"/>
              </w:rPr>
              <w:t>大气</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0" w:line="208" w:lineRule="auto"/>
              <w:rPr>
                <w:sz w:val="19"/>
                <w:szCs w:val="19"/>
              </w:rPr>
            </w:pPr>
            <w:r>
              <w:rPr>
                <w:sz w:val="19"/>
                <w:szCs w:val="19"/>
                <w:spacing w:val="7"/>
              </w:rPr>
              <w:t>水体</w:t>
            </w:r>
          </w:p>
        </w:tc>
        <w:tc>
          <w:tcPr>
            <w:tcW w:w="2216" w:type="dxa"/>
            <w:vAlign w:val="top"/>
          </w:tcPr>
          <w:p>
            <w:pPr>
              <w:pStyle w:val="TableText"/>
              <w:ind w:right="8"/>
              <w:spacing w:before="78" w:line="210" w:lineRule="auto"/>
              <w:jc w:val="right"/>
              <w:rPr>
                <w:sz w:val="19"/>
                <w:szCs w:val="19"/>
              </w:rPr>
            </w:pPr>
            <w:r>
              <w:rPr>
                <w:sz w:val="19"/>
                <w:szCs w:val="19"/>
                <w:spacing w:val="2"/>
              </w:rPr>
              <w:t>6180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26"/>
              <w:spacing w:before="83" w:line="205" w:lineRule="auto"/>
              <w:rPr>
                <w:sz w:val="19"/>
                <w:szCs w:val="19"/>
              </w:rPr>
            </w:pPr>
            <w:r>
              <w:rPr>
                <w:sz w:val="19"/>
                <w:szCs w:val="19"/>
                <w:spacing w:val="2"/>
              </w:rPr>
              <w:t>噪声</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36"/>
              <w:spacing w:before="78" w:line="210" w:lineRule="auto"/>
              <w:rPr>
                <w:sz w:val="19"/>
                <w:szCs w:val="19"/>
              </w:rPr>
            </w:pPr>
            <w:r>
              <w:rPr>
                <w:sz w:val="19"/>
                <w:szCs w:val="19"/>
                <w:spacing w:val="7"/>
              </w:rPr>
              <w:t>固体废弃物与化学品</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84" w:line="204" w:lineRule="auto"/>
              <w:rPr>
                <w:sz w:val="19"/>
                <w:szCs w:val="19"/>
              </w:rPr>
            </w:pPr>
            <w:r>
              <w:rPr>
                <w:sz w:val="19"/>
                <w:szCs w:val="19"/>
                <w:spacing w:val="9"/>
              </w:rPr>
              <w:t>放射源和放射性废物监管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4" w:line="205" w:lineRule="auto"/>
              <w:rPr>
                <w:sz w:val="19"/>
                <w:szCs w:val="19"/>
              </w:rPr>
            </w:pPr>
            <w:r>
              <w:rPr>
                <w:sz w:val="19"/>
                <w:szCs w:val="19"/>
                <w:spacing w:val="6"/>
              </w:rPr>
              <w:t>辐射</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14" w:hRule="atLeast"/>
        </w:trPr>
        <w:tc>
          <w:tcPr>
            <w:tcW w:w="4612" w:type="dxa"/>
            <w:vAlign w:val="top"/>
            <w:tcBorders>
              <w:left w:val="single" w:color="000000" w:sz="6" w:space="0"/>
              <w:bottom w:val="single" w:color="000000" w:sz="6" w:space="0"/>
            </w:tcBorders>
          </w:tcPr>
          <w:p>
            <w:pPr>
              <w:pStyle w:val="TableText"/>
              <w:ind w:left="620"/>
              <w:spacing w:before="85" w:line="212" w:lineRule="auto"/>
              <w:rPr>
                <w:sz w:val="19"/>
                <w:szCs w:val="19"/>
              </w:rPr>
            </w:pPr>
            <w:r>
              <w:rPr>
                <w:sz w:val="19"/>
                <w:szCs w:val="19"/>
                <w:spacing w:val="4"/>
              </w:rPr>
              <w:t>土壤</w:t>
            </w:r>
          </w:p>
        </w:tc>
        <w:tc>
          <w:tcPr>
            <w:tcW w:w="2216" w:type="dxa"/>
            <w:vAlign w:val="top"/>
            <w:tcBorders>
              <w:bottom w:val="single" w:color="000000" w:sz="6" w:space="0"/>
            </w:tcBorders>
          </w:tcPr>
          <w:p>
            <w:pPr>
              <w:pStyle w:val="TableText"/>
              <w:ind w:right="8"/>
              <w:spacing w:before="79" w:line="218" w:lineRule="auto"/>
              <w:jc w:val="right"/>
              <w:rPr>
                <w:sz w:val="19"/>
                <w:szCs w:val="19"/>
              </w:rPr>
            </w:pPr>
            <w:r>
              <w:rPr>
                <w:sz w:val="19"/>
                <w:szCs w:val="19"/>
                <w:spacing w:val="2"/>
              </w:rPr>
              <w:t>455</w:t>
            </w:r>
          </w:p>
        </w:tc>
        <w:tc>
          <w:tcPr>
            <w:tcW w:w="2013" w:type="dxa"/>
            <w:vAlign w:val="top"/>
            <w:tcBorders>
              <w:bottom w:val="single" w:color="000000" w:sz="6" w:space="0"/>
              <w:right w:val="single" w:color="000000" w:sz="6" w:space="0"/>
            </w:tcBorders>
          </w:tcPr>
          <w:p>
            <w:pPr>
              <w:rPr>
                <w:rFonts w:ascii="Arial"/>
                <w:sz w:val="21"/>
              </w:rPr>
            </w:pPr>
            <w:r/>
          </w:p>
        </w:tc>
      </w:tr>
    </w:tbl>
    <w:p>
      <w:pPr>
        <w:spacing w:line="134" w:lineRule="exact"/>
        <w:rPr>
          <w:rFonts w:ascii="Arial"/>
          <w:sz w:val="11"/>
        </w:rPr>
      </w:pPr>
      <w:r/>
    </w:p>
    <w:p>
      <w:pPr>
        <w:spacing w:line="134" w:lineRule="exact"/>
        <w:sectPr>
          <w:headerReference w:type="default" r:id="rId25"/>
          <w:footerReference w:type="default" r:id="rId42"/>
          <w:pgSz w:w="11907" w:h="16840"/>
          <w:pgMar w:top="1845" w:right="1525" w:bottom="1671" w:left="1525" w:header="1428" w:footer="1277" w:gutter="0"/>
        </w:sectPr>
        <w:rPr>
          <w:rFonts w:ascii="Arial" w:hAnsi="Arial" w:eastAsia="Arial" w:cs="Arial"/>
          <w:sz w:val="11"/>
          <w:szCs w:val="11"/>
        </w:rPr>
      </w:pPr>
    </w:p>
    <w:p>
      <w:pPr>
        <w:spacing w:line="143" w:lineRule="exact"/>
        <w:rPr/>
      </w:pPr>
      <w:r/>
    </w:p>
    <w:tbl>
      <w:tblPr>
        <w:tblStyle w:val="TableNormal"/>
        <w:tblW w:w="8841"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12"/>
        <w:gridCol w:w="2216"/>
        <w:gridCol w:w="2013"/>
      </w:tblGrid>
      <w:tr>
        <w:trPr>
          <w:trHeight w:val="312" w:hRule="atLeast"/>
        </w:trPr>
        <w:tc>
          <w:tcPr>
            <w:tcW w:w="4612" w:type="dxa"/>
            <w:vAlign w:val="top"/>
            <w:tcBorders>
              <w:left w:val="single" w:color="000000" w:sz="6" w:space="0"/>
              <w:top w:val="single" w:color="000000" w:sz="6" w:space="0"/>
            </w:tcBorders>
          </w:tcPr>
          <w:p>
            <w:pPr>
              <w:pStyle w:val="TableText"/>
              <w:ind w:left="2104"/>
              <w:spacing w:before="81" w:line="212" w:lineRule="auto"/>
              <w:rPr>
                <w:sz w:val="19"/>
                <w:szCs w:val="19"/>
              </w:rPr>
            </w:pPr>
            <w:r>
              <w:rPr>
                <w:sz w:val="19"/>
                <w:szCs w:val="19"/>
                <w:b/>
                <w:bCs/>
                <w:spacing w:val="6"/>
              </w:rPr>
              <w:t>项目</w:t>
            </w:r>
          </w:p>
        </w:tc>
        <w:tc>
          <w:tcPr>
            <w:tcW w:w="2216" w:type="dxa"/>
            <w:vAlign w:val="top"/>
            <w:tcBorders>
              <w:top w:val="single" w:color="000000" w:sz="6" w:space="0"/>
            </w:tcBorders>
          </w:tcPr>
          <w:p>
            <w:pPr>
              <w:pStyle w:val="TableText"/>
              <w:ind w:left="813"/>
              <w:spacing w:before="75" w:line="220" w:lineRule="auto"/>
              <w:rPr>
                <w:sz w:val="19"/>
                <w:szCs w:val="19"/>
              </w:rPr>
            </w:pPr>
            <w:r>
              <w:rPr>
                <w:sz w:val="19"/>
                <w:szCs w:val="19"/>
                <w:b/>
                <w:bCs/>
                <w:spacing w:val="5"/>
              </w:rPr>
              <w:t>预算数</w:t>
            </w:r>
          </w:p>
        </w:tc>
        <w:tc>
          <w:tcPr>
            <w:tcW w:w="2013" w:type="dxa"/>
            <w:vAlign w:val="top"/>
            <w:tcBorders>
              <w:right w:val="single" w:color="000000" w:sz="6" w:space="0"/>
              <w:top w:val="single" w:color="000000" w:sz="6" w:space="0"/>
            </w:tcBorders>
          </w:tcPr>
          <w:p>
            <w:pPr>
              <w:pStyle w:val="TableText"/>
              <w:ind w:left="806"/>
              <w:spacing w:before="75" w:line="220" w:lineRule="auto"/>
              <w:rPr>
                <w:sz w:val="19"/>
                <w:szCs w:val="19"/>
              </w:rPr>
            </w:pPr>
            <w:r>
              <w:rPr>
                <w:sz w:val="19"/>
                <w:szCs w:val="19"/>
                <w:b/>
                <w:bCs/>
                <w:spacing w:val="6"/>
              </w:rPr>
              <w:t>备注</w:t>
            </w:r>
          </w:p>
        </w:tc>
      </w:tr>
      <w:tr>
        <w:trPr>
          <w:trHeight w:val="304" w:hRule="atLeast"/>
        </w:trPr>
        <w:tc>
          <w:tcPr>
            <w:tcW w:w="4612" w:type="dxa"/>
            <w:vAlign w:val="top"/>
            <w:tcBorders>
              <w:left w:val="single" w:color="000000" w:sz="6" w:space="0"/>
            </w:tcBorders>
          </w:tcPr>
          <w:p>
            <w:pPr>
              <w:pStyle w:val="TableText"/>
              <w:ind w:left="615"/>
              <w:spacing w:before="70" w:line="217" w:lineRule="auto"/>
              <w:rPr>
                <w:sz w:val="19"/>
                <w:szCs w:val="19"/>
              </w:rPr>
            </w:pPr>
            <w:r>
              <w:rPr>
                <w:sz w:val="19"/>
                <w:szCs w:val="19"/>
                <w:spacing w:val="9"/>
              </w:rPr>
              <w:t>其他污染防治支出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52"/>
              <w:spacing w:before="72" w:line="215" w:lineRule="auto"/>
              <w:rPr>
                <w:sz w:val="19"/>
                <w:szCs w:val="19"/>
              </w:rPr>
            </w:pPr>
            <w:r>
              <w:rPr>
                <w:sz w:val="19"/>
                <w:szCs w:val="19"/>
                <w:spacing w:val="2"/>
              </w:rPr>
              <w:t>自然生态保护</w:t>
            </w:r>
          </w:p>
        </w:tc>
        <w:tc>
          <w:tcPr>
            <w:tcW w:w="2216" w:type="dxa"/>
            <w:vAlign w:val="top"/>
          </w:tcPr>
          <w:p>
            <w:pPr>
              <w:pStyle w:val="TableText"/>
              <w:ind w:right="7"/>
              <w:spacing w:before="67" w:line="220"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8"/>
              <w:spacing w:before="72" w:line="215" w:lineRule="auto"/>
              <w:rPr>
                <w:sz w:val="19"/>
                <w:szCs w:val="19"/>
              </w:rPr>
            </w:pPr>
            <w:r>
              <w:rPr>
                <w:sz w:val="19"/>
                <w:szCs w:val="19"/>
                <w:spacing w:val="8"/>
              </w:rPr>
              <w:t>生态保护</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3"/>
              <w:spacing w:before="72" w:line="215" w:lineRule="auto"/>
              <w:rPr>
                <w:sz w:val="19"/>
                <w:szCs w:val="19"/>
              </w:rPr>
            </w:pPr>
            <w:r>
              <w:rPr>
                <w:sz w:val="19"/>
                <w:szCs w:val="19"/>
                <w:spacing w:val="9"/>
              </w:rPr>
              <w:t>农村环境保护</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8"/>
              <w:spacing w:before="74" w:line="213" w:lineRule="auto"/>
              <w:rPr>
                <w:sz w:val="19"/>
                <w:szCs w:val="19"/>
              </w:rPr>
            </w:pPr>
            <w:r>
              <w:rPr>
                <w:sz w:val="19"/>
                <w:szCs w:val="19"/>
                <w:spacing w:val="9"/>
              </w:rPr>
              <w:t>生物及物种资源保护</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4" w:line="213" w:lineRule="auto"/>
              <w:rPr>
                <w:sz w:val="19"/>
                <w:szCs w:val="19"/>
              </w:rPr>
            </w:pPr>
            <w:r>
              <w:rPr>
                <w:sz w:val="19"/>
                <w:szCs w:val="19"/>
                <w:spacing w:val="9"/>
              </w:rPr>
              <w:t>其他自然生态保护支出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8"/>
              <w:spacing w:before="76" w:line="211" w:lineRule="auto"/>
              <w:rPr>
                <w:sz w:val="19"/>
                <w:szCs w:val="19"/>
              </w:rPr>
            </w:pPr>
            <w:r>
              <w:rPr>
                <w:sz w:val="19"/>
                <w:szCs w:val="19"/>
                <w:spacing w:val="8"/>
              </w:rPr>
              <w:t>天然林保护</w:t>
            </w:r>
          </w:p>
        </w:tc>
        <w:tc>
          <w:tcPr>
            <w:tcW w:w="2216" w:type="dxa"/>
            <w:vAlign w:val="top"/>
          </w:tcPr>
          <w:p>
            <w:pPr>
              <w:pStyle w:val="TableText"/>
              <w:ind w:right="8"/>
              <w:spacing w:before="71" w:line="216" w:lineRule="auto"/>
              <w:jc w:val="right"/>
              <w:rPr>
                <w:sz w:val="19"/>
                <w:szCs w:val="19"/>
              </w:rPr>
            </w:pPr>
            <w:r>
              <w:rPr>
                <w:sz w:val="19"/>
                <w:szCs w:val="19"/>
                <w:spacing w:val="1"/>
              </w:rPr>
              <w:t>549</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7" w:line="210" w:lineRule="auto"/>
              <w:rPr>
                <w:sz w:val="19"/>
                <w:szCs w:val="19"/>
              </w:rPr>
            </w:pPr>
            <w:r>
              <w:rPr>
                <w:sz w:val="19"/>
                <w:szCs w:val="19"/>
                <w:spacing w:val="8"/>
              </w:rPr>
              <w:t>森林管护</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9" w:line="209" w:lineRule="auto"/>
              <w:rPr>
                <w:sz w:val="19"/>
                <w:szCs w:val="19"/>
              </w:rPr>
            </w:pPr>
            <w:r>
              <w:rPr>
                <w:sz w:val="19"/>
                <w:szCs w:val="19"/>
                <w:spacing w:val="9"/>
              </w:rPr>
              <w:t>社会保险补助</w:t>
            </w:r>
          </w:p>
        </w:tc>
        <w:tc>
          <w:tcPr>
            <w:tcW w:w="2216" w:type="dxa"/>
            <w:vAlign w:val="top"/>
          </w:tcPr>
          <w:p>
            <w:pPr>
              <w:pStyle w:val="TableText"/>
              <w:ind w:right="8"/>
              <w:spacing w:before="74" w:line="214" w:lineRule="auto"/>
              <w:jc w:val="right"/>
              <w:rPr>
                <w:sz w:val="19"/>
                <w:szCs w:val="19"/>
              </w:rPr>
            </w:pPr>
            <w:r>
              <w:rPr>
                <w:sz w:val="19"/>
                <w:szCs w:val="19"/>
                <w:spacing w:val="1"/>
              </w:rPr>
              <w:t>549</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8" w:line="210" w:lineRule="auto"/>
              <w:rPr>
                <w:sz w:val="19"/>
                <w:szCs w:val="19"/>
              </w:rPr>
            </w:pPr>
            <w:r>
              <w:rPr>
                <w:sz w:val="19"/>
                <w:szCs w:val="19"/>
                <w:spacing w:val="9"/>
              </w:rPr>
              <w:t>政策性社会性支出补助</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20"/>
              <w:spacing w:before="75" w:line="213" w:lineRule="auto"/>
              <w:rPr>
                <w:sz w:val="19"/>
                <w:szCs w:val="19"/>
              </w:rPr>
            </w:pPr>
            <w:r>
              <w:rPr>
                <w:sz w:val="19"/>
                <w:szCs w:val="19"/>
                <w:spacing w:val="9"/>
              </w:rPr>
              <w:t>天然林保护工程建设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4"/>
              <w:spacing w:before="76" w:line="212" w:lineRule="auto"/>
              <w:rPr>
                <w:sz w:val="19"/>
                <w:szCs w:val="19"/>
              </w:rPr>
            </w:pPr>
            <w:r>
              <w:rPr>
                <w:sz w:val="19"/>
                <w:szCs w:val="19"/>
                <w:spacing w:val="9"/>
              </w:rPr>
              <w:t>停伐补助</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8" w:line="210" w:lineRule="auto"/>
              <w:rPr>
                <w:sz w:val="19"/>
                <w:szCs w:val="19"/>
              </w:rPr>
            </w:pPr>
            <w:r>
              <w:rPr>
                <w:sz w:val="19"/>
                <w:szCs w:val="19"/>
                <w:spacing w:val="9"/>
              </w:rPr>
              <w:t>其他天然林保护支出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4"/>
              <w:spacing w:before="77" w:line="211" w:lineRule="auto"/>
              <w:rPr>
                <w:sz w:val="19"/>
                <w:szCs w:val="19"/>
              </w:rPr>
            </w:pPr>
            <w:r>
              <w:rPr>
                <w:sz w:val="19"/>
                <w:szCs w:val="19"/>
                <w:spacing w:val="9"/>
              </w:rPr>
              <w:t>退耕还林还草</w:t>
            </w:r>
          </w:p>
        </w:tc>
        <w:tc>
          <w:tcPr>
            <w:tcW w:w="2216" w:type="dxa"/>
            <w:vAlign w:val="top"/>
          </w:tcPr>
          <w:p>
            <w:pPr>
              <w:pStyle w:val="TableText"/>
              <w:ind w:right="7"/>
              <w:spacing w:before="74" w:line="214"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6" w:line="211" w:lineRule="auto"/>
              <w:rPr>
                <w:sz w:val="19"/>
                <w:szCs w:val="19"/>
              </w:rPr>
            </w:pPr>
            <w:r>
              <w:rPr>
                <w:sz w:val="19"/>
                <w:szCs w:val="19"/>
                <w:spacing w:val="8"/>
              </w:rPr>
              <w:t>退耕现金</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6" w:line="212" w:lineRule="auto"/>
              <w:rPr>
                <w:sz w:val="19"/>
                <w:szCs w:val="19"/>
              </w:rPr>
            </w:pPr>
            <w:r>
              <w:rPr>
                <w:sz w:val="19"/>
                <w:szCs w:val="19"/>
                <w:spacing w:val="9"/>
              </w:rPr>
              <w:t>退耕还林粮食折现补贴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8" w:line="209" w:lineRule="auto"/>
              <w:rPr>
                <w:sz w:val="19"/>
                <w:szCs w:val="19"/>
              </w:rPr>
            </w:pPr>
            <w:r>
              <w:rPr>
                <w:sz w:val="19"/>
                <w:szCs w:val="19"/>
                <w:spacing w:val="9"/>
              </w:rPr>
              <w:t>退耕还林粮食费用补贴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8" w:line="210" w:lineRule="auto"/>
              <w:rPr>
                <w:sz w:val="19"/>
                <w:szCs w:val="19"/>
              </w:rPr>
            </w:pPr>
            <w:r>
              <w:rPr>
                <w:sz w:val="19"/>
                <w:szCs w:val="19"/>
                <w:spacing w:val="9"/>
              </w:rPr>
              <w:t>退耕还林工程建设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8" w:line="209" w:lineRule="auto"/>
              <w:rPr>
                <w:sz w:val="19"/>
                <w:szCs w:val="19"/>
              </w:rPr>
            </w:pPr>
            <w:r>
              <w:rPr>
                <w:sz w:val="19"/>
                <w:szCs w:val="19"/>
                <w:spacing w:val="9"/>
              </w:rPr>
              <w:t>其他退耕还林还草支出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7"/>
              <w:spacing w:before="79" w:line="209" w:lineRule="auto"/>
              <w:rPr>
                <w:sz w:val="19"/>
                <w:szCs w:val="19"/>
              </w:rPr>
            </w:pPr>
            <w:r>
              <w:rPr>
                <w:sz w:val="19"/>
                <w:szCs w:val="19"/>
                <w:spacing w:val="8"/>
              </w:rPr>
              <w:t>风沙荒漠治理</w:t>
            </w:r>
          </w:p>
        </w:tc>
        <w:tc>
          <w:tcPr>
            <w:tcW w:w="2216" w:type="dxa"/>
            <w:vAlign w:val="top"/>
          </w:tcPr>
          <w:p>
            <w:pPr>
              <w:pStyle w:val="TableText"/>
              <w:ind w:right="7"/>
              <w:spacing w:before="76" w:line="212"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9" w:line="208" w:lineRule="auto"/>
              <w:rPr>
                <w:sz w:val="19"/>
                <w:szCs w:val="19"/>
              </w:rPr>
            </w:pPr>
            <w:r>
              <w:rPr>
                <w:sz w:val="19"/>
                <w:szCs w:val="19"/>
                <w:spacing w:val="9"/>
              </w:rPr>
              <w:t>京津风沙源治理工程建设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1" w:line="207" w:lineRule="auto"/>
              <w:rPr>
                <w:sz w:val="19"/>
                <w:szCs w:val="19"/>
              </w:rPr>
            </w:pPr>
            <w:r>
              <w:rPr>
                <w:sz w:val="19"/>
                <w:szCs w:val="19"/>
                <w:spacing w:val="9"/>
              </w:rPr>
              <w:t>其他风沙荒漠治理支出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4"/>
              <w:spacing w:before="84" w:line="204" w:lineRule="auto"/>
              <w:rPr>
                <w:sz w:val="19"/>
                <w:szCs w:val="19"/>
              </w:rPr>
            </w:pPr>
            <w:r>
              <w:rPr>
                <w:sz w:val="19"/>
                <w:szCs w:val="19"/>
                <w:spacing w:val="8"/>
              </w:rPr>
              <w:t>退牧还草</w:t>
            </w:r>
          </w:p>
        </w:tc>
        <w:tc>
          <w:tcPr>
            <w:tcW w:w="2216" w:type="dxa"/>
            <w:vAlign w:val="top"/>
          </w:tcPr>
          <w:p>
            <w:pPr>
              <w:pStyle w:val="TableText"/>
              <w:ind w:right="7"/>
              <w:spacing w:before="77" w:line="210"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0" w:line="208" w:lineRule="auto"/>
              <w:rPr>
                <w:sz w:val="19"/>
                <w:szCs w:val="19"/>
              </w:rPr>
            </w:pPr>
            <w:r>
              <w:rPr>
                <w:sz w:val="19"/>
                <w:szCs w:val="19"/>
                <w:spacing w:val="9"/>
              </w:rPr>
              <w:t>退牧还草工程建设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84" w:line="204" w:lineRule="auto"/>
              <w:rPr>
                <w:sz w:val="19"/>
                <w:szCs w:val="19"/>
              </w:rPr>
            </w:pPr>
            <w:r>
              <w:rPr>
                <w:sz w:val="19"/>
                <w:szCs w:val="19"/>
                <w:spacing w:val="9"/>
              </w:rPr>
              <w:t>其他退牧还草支出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31"/>
              <w:spacing w:before="82" w:line="206" w:lineRule="auto"/>
              <w:rPr>
                <w:sz w:val="19"/>
                <w:szCs w:val="19"/>
              </w:rPr>
            </w:pPr>
            <w:r>
              <w:rPr>
                <w:sz w:val="19"/>
                <w:szCs w:val="19"/>
                <w:spacing w:val="7"/>
              </w:rPr>
              <w:t>已垦草原退耕还草</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9"/>
              <w:spacing w:before="86" w:line="203" w:lineRule="auto"/>
              <w:rPr>
                <w:sz w:val="19"/>
                <w:szCs w:val="19"/>
              </w:rPr>
            </w:pPr>
            <w:r>
              <w:rPr>
                <w:sz w:val="19"/>
                <w:szCs w:val="19"/>
                <w:spacing w:val="8"/>
              </w:rPr>
              <w:t>能源节约利用</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8"/>
              <w:spacing w:before="85" w:line="204" w:lineRule="auto"/>
              <w:rPr>
                <w:sz w:val="19"/>
                <w:szCs w:val="19"/>
              </w:rPr>
            </w:pPr>
            <w:r>
              <w:rPr>
                <w:sz w:val="19"/>
                <w:szCs w:val="19"/>
                <w:spacing w:val="7"/>
              </w:rPr>
              <w:t>污染减排</w:t>
            </w:r>
          </w:p>
        </w:tc>
        <w:tc>
          <w:tcPr>
            <w:tcW w:w="2216" w:type="dxa"/>
            <w:vAlign w:val="top"/>
          </w:tcPr>
          <w:p>
            <w:pPr>
              <w:pStyle w:val="TableText"/>
              <w:ind w:right="8"/>
              <w:spacing w:before="79" w:line="209" w:lineRule="auto"/>
              <w:jc w:val="right"/>
              <w:rPr>
                <w:sz w:val="19"/>
                <w:szCs w:val="19"/>
              </w:rPr>
            </w:pPr>
            <w:r>
              <w:rPr>
                <w:sz w:val="19"/>
                <w:szCs w:val="19"/>
                <w:spacing w:val="-2"/>
              </w:rPr>
              <w:t>1457</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8"/>
              <w:spacing w:before="84" w:line="205" w:lineRule="auto"/>
              <w:rPr>
                <w:sz w:val="19"/>
                <w:szCs w:val="19"/>
              </w:rPr>
            </w:pPr>
            <w:r>
              <w:rPr>
                <w:sz w:val="19"/>
                <w:szCs w:val="19"/>
                <w:spacing w:val="9"/>
              </w:rPr>
              <w:t>生态环境监测与信息</w:t>
            </w:r>
          </w:p>
        </w:tc>
        <w:tc>
          <w:tcPr>
            <w:tcW w:w="2216" w:type="dxa"/>
            <w:vAlign w:val="top"/>
          </w:tcPr>
          <w:p>
            <w:pPr>
              <w:pStyle w:val="TableText"/>
              <w:ind w:right="8"/>
              <w:spacing w:before="80" w:line="208" w:lineRule="auto"/>
              <w:jc w:val="right"/>
              <w:rPr>
                <w:sz w:val="19"/>
                <w:szCs w:val="19"/>
              </w:rPr>
            </w:pPr>
            <w:r>
              <w:rPr>
                <w:sz w:val="19"/>
                <w:szCs w:val="19"/>
                <w:spacing w:val="2"/>
              </w:rPr>
              <w:t>431</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8"/>
              <w:spacing w:before="85" w:line="204" w:lineRule="auto"/>
              <w:rPr>
                <w:sz w:val="19"/>
                <w:szCs w:val="19"/>
              </w:rPr>
            </w:pPr>
            <w:r>
              <w:rPr>
                <w:sz w:val="19"/>
                <w:szCs w:val="19"/>
                <w:spacing w:val="8"/>
              </w:rPr>
              <w:t>生态环境执法监察</w:t>
            </w:r>
          </w:p>
        </w:tc>
        <w:tc>
          <w:tcPr>
            <w:tcW w:w="2216" w:type="dxa"/>
            <w:vAlign w:val="top"/>
          </w:tcPr>
          <w:p>
            <w:pPr>
              <w:pStyle w:val="TableText"/>
              <w:ind w:right="8"/>
              <w:spacing w:before="80" w:line="208" w:lineRule="auto"/>
              <w:jc w:val="right"/>
              <w:rPr>
                <w:sz w:val="19"/>
                <w:szCs w:val="19"/>
              </w:rPr>
            </w:pPr>
            <w:r>
              <w:rPr>
                <w:sz w:val="19"/>
                <w:szCs w:val="19"/>
              </w:rPr>
              <w:t>322</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4" w:line="205" w:lineRule="auto"/>
              <w:rPr>
                <w:sz w:val="19"/>
                <w:szCs w:val="19"/>
              </w:rPr>
            </w:pPr>
            <w:r>
              <w:rPr>
                <w:sz w:val="19"/>
                <w:szCs w:val="19"/>
                <w:spacing w:val="9"/>
              </w:rPr>
              <w:t>减排专项支出</w:t>
            </w:r>
          </w:p>
        </w:tc>
        <w:tc>
          <w:tcPr>
            <w:tcW w:w="2216" w:type="dxa"/>
            <w:vAlign w:val="top"/>
          </w:tcPr>
          <w:p>
            <w:pPr>
              <w:pStyle w:val="TableText"/>
              <w:ind w:right="8"/>
              <w:spacing w:before="79" w:line="209" w:lineRule="auto"/>
              <w:jc w:val="right"/>
              <w:rPr>
                <w:sz w:val="19"/>
                <w:szCs w:val="19"/>
              </w:rPr>
            </w:pPr>
            <w:r>
              <w:rPr>
                <w:sz w:val="19"/>
                <w:szCs w:val="19"/>
                <w:spacing w:val="2"/>
              </w:rPr>
              <w:t>704</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20"/>
              <w:spacing w:before="82" w:line="206" w:lineRule="auto"/>
              <w:rPr>
                <w:sz w:val="19"/>
                <w:szCs w:val="19"/>
              </w:rPr>
            </w:pPr>
            <w:r>
              <w:rPr>
                <w:sz w:val="19"/>
                <w:szCs w:val="19"/>
                <w:spacing w:val="8"/>
              </w:rPr>
              <w:t>清洁生产专项支出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5" w:line="204" w:lineRule="auto"/>
              <w:rPr>
                <w:sz w:val="19"/>
                <w:szCs w:val="19"/>
              </w:rPr>
            </w:pPr>
            <w:r>
              <w:rPr>
                <w:sz w:val="19"/>
                <w:szCs w:val="19"/>
                <w:spacing w:val="9"/>
              </w:rPr>
              <w:t>其他污染减排支出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7"/>
              <w:spacing w:before="87" w:line="202" w:lineRule="auto"/>
              <w:rPr>
                <w:sz w:val="19"/>
                <w:szCs w:val="19"/>
              </w:rPr>
            </w:pPr>
            <w:r>
              <w:rPr>
                <w:sz w:val="19"/>
                <w:szCs w:val="19"/>
                <w:spacing w:val="8"/>
              </w:rPr>
              <w:t>可再生能源</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3"/>
              <w:spacing w:before="84" w:line="205" w:lineRule="auto"/>
              <w:rPr>
                <w:sz w:val="19"/>
                <w:szCs w:val="19"/>
              </w:rPr>
            </w:pPr>
            <w:r>
              <w:rPr>
                <w:sz w:val="19"/>
                <w:szCs w:val="19"/>
                <w:spacing w:val="9"/>
              </w:rPr>
              <w:t>循环经济</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9"/>
              <w:spacing w:before="84" w:line="205" w:lineRule="auto"/>
              <w:rPr>
                <w:sz w:val="19"/>
                <w:szCs w:val="19"/>
              </w:rPr>
            </w:pPr>
            <w:r>
              <w:rPr>
                <w:sz w:val="19"/>
                <w:szCs w:val="19"/>
                <w:spacing w:val="8"/>
              </w:rPr>
              <w:t>能源管理事务</w:t>
            </w:r>
          </w:p>
        </w:tc>
        <w:tc>
          <w:tcPr>
            <w:tcW w:w="2216" w:type="dxa"/>
            <w:vAlign w:val="top"/>
          </w:tcPr>
          <w:p>
            <w:pPr>
              <w:pStyle w:val="TableText"/>
              <w:ind w:right="7"/>
              <w:spacing w:before="79" w:line="209"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7" w:line="202" w:lineRule="auto"/>
              <w:rPr>
                <w:sz w:val="19"/>
                <w:szCs w:val="19"/>
              </w:rPr>
            </w:pPr>
            <w:r>
              <w:rPr>
                <w:sz w:val="19"/>
                <w:szCs w:val="19"/>
                <w:spacing w:val="8"/>
              </w:rPr>
              <w:t>行政运行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5" w:line="204"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5" w:line="204"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14" w:hRule="atLeast"/>
        </w:trPr>
        <w:tc>
          <w:tcPr>
            <w:tcW w:w="4612" w:type="dxa"/>
            <w:vAlign w:val="top"/>
            <w:tcBorders>
              <w:left w:val="single" w:color="000000" w:sz="6" w:space="0"/>
              <w:bottom w:val="single" w:color="000000" w:sz="6" w:space="0"/>
            </w:tcBorders>
          </w:tcPr>
          <w:p>
            <w:pPr>
              <w:pStyle w:val="TableText"/>
              <w:ind w:left="620"/>
              <w:spacing w:before="83" w:line="214" w:lineRule="auto"/>
              <w:rPr>
                <w:sz w:val="19"/>
                <w:szCs w:val="19"/>
              </w:rPr>
            </w:pPr>
            <w:r>
              <w:rPr>
                <w:sz w:val="19"/>
                <w:szCs w:val="19"/>
                <w:spacing w:val="8"/>
              </w:rPr>
              <w:t>能源预测预警</w:t>
            </w:r>
          </w:p>
        </w:tc>
        <w:tc>
          <w:tcPr>
            <w:tcW w:w="2216" w:type="dxa"/>
            <w:vAlign w:val="top"/>
            <w:tcBorders>
              <w:bottom w:val="single" w:color="000000" w:sz="6" w:space="0"/>
            </w:tcBorders>
          </w:tcPr>
          <w:p>
            <w:pPr>
              <w:rPr>
                <w:rFonts w:ascii="Arial"/>
                <w:sz w:val="21"/>
              </w:rPr>
            </w:pPr>
            <w:r/>
          </w:p>
        </w:tc>
        <w:tc>
          <w:tcPr>
            <w:tcW w:w="2013"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23"/>
          <w:footerReference w:type="default" r:id="rId43"/>
          <w:pgSz w:w="11907" w:h="16840"/>
          <w:pgMar w:top="1801" w:right="1525" w:bottom="1660" w:left="1525" w:header="1428" w:footer="1289" w:gutter="0"/>
        </w:sectPr>
        <w:rPr>
          <w:rFonts w:ascii="Arial" w:hAnsi="Arial" w:eastAsia="Arial" w:cs="Arial"/>
          <w:sz w:val="21"/>
          <w:szCs w:val="21"/>
        </w:rPr>
      </w:pPr>
    </w:p>
    <w:p>
      <w:pPr>
        <w:spacing w:line="240" w:lineRule="exact"/>
        <w:rPr/>
      </w:pPr>
      <w:r/>
    </w:p>
    <w:tbl>
      <w:tblPr>
        <w:tblStyle w:val="TableNormal"/>
        <w:tblW w:w="8841"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12"/>
        <w:gridCol w:w="2216"/>
        <w:gridCol w:w="2013"/>
      </w:tblGrid>
      <w:tr>
        <w:trPr>
          <w:trHeight w:val="312" w:hRule="atLeast"/>
        </w:trPr>
        <w:tc>
          <w:tcPr>
            <w:tcW w:w="4612" w:type="dxa"/>
            <w:vAlign w:val="top"/>
            <w:tcBorders>
              <w:left w:val="single" w:color="000000" w:sz="6" w:space="0"/>
              <w:top w:val="single" w:color="000000" w:sz="6" w:space="0"/>
            </w:tcBorders>
          </w:tcPr>
          <w:p>
            <w:pPr>
              <w:pStyle w:val="TableText"/>
              <w:ind w:left="2104"/>
              <w:spacing w:before="81" w:line="212" w:lineRule="auto"/>
              <w:rPr>
                <w:sz w:val="19"/>
                <w:szCs w:val="19"/>
              </w:rPr>
            </w:pPr>
            <w:r>
              <w:rPr>
                <w:sz w:val="19"/>
                <w:szCs w:val="19"/>
                <w:b/>
                <w:bCs/>
                <w:spacing w:val="6"/>
              </w:rPr>
              <w:t>项目</w:t>
            </w:r>
          </w:p>
        </w:tc>
        <w:tc>
          <w:tcPr>
            <w:tcW w:w="2216" w:type="dxa"/>
            <w:vAlign w:val="top"/>
            <w:tcBorders>
              <w:top w:val="single" w:color="000000" w:sz="6" w:space="0"/>
            </w:tcBorders>
          </w:tcPr>
          <w:p>
            <w:pPr>
              <w:pStyle w:val="TableText"/>
              <w:ind w:left="813"/>
              <w:spacing w:before="76" w:line="219" w:lineRule="auto"/>
              <w:rPr>
                <w:sz w:val="19"/>
                <w:szCs w:val="19"/>
              </w:rPr>
            </w:pPr>
            <w:r>
              <w:rPr>
                <w:sz w:val="19"/>
                <w:szCs w:val="19"/>
                <w:b/>
                <w:bCs/>
                <w:spacing w:val="5"/>
              </w:rPr>
              <w:t>预算数</w:t>
            </w:r>
          </w:p>
        </w:tc>
        <w:tc>
          <w:tcPr>
            <w:tcW w:w="2013" w:type="dxa"/>
            <w:vAlign w:val="top"/>
            <w:tcBorders>
              <w:right w:val="single" w:color="000000" w:sz="6" w:space="0"/>
              <w:top w:val="single" w:color="000000" w:sz="6" w:space="0"/>
            </w:tcBorders>
          </w:tcPr>
          <w:p>
            <w:pPr>
              <w:pStyle w:val="TableText"/>
              <w:ind w:left="806"/>
              <w:spacing w:before="76" w:line="219" w:lineRule="auto"/>
              <w:rPr>
                <w:sz w:val="19"/>
                <w:szCs w:val="19"/>
              </w:rPr>
            </w:pPr>
            <w:r>
              <w:rPr>
                <w:sz w:val="19"/>
                <w:szCs w:val="19"/>
                <w:b/>
                <w:bCs/>
                <w:spacing w:val="6"/>
              </w:rPr>
              <w:t>备注</w:t>
            </w:r>
          </w:p>
        </w:tc>
      </w:tr>
      <w:tr>
        <w:trPr>
          <w:trHeight w:val="304" w:hRule="atLeast"/>
        </w:trPr>
        <w:tc>
          <w:tcPr>
            <w:tcW w:w="4612" w:type="dxa"/>
            <w:vAlign w:val="top"/>
            <w:tcBorders>
              <w:left w:val="single" w:color="000000" w:sz="6" w:space="0"/>
            </w:tcBorders>
          </w:tcPr>
          <w:p>
            <w:pPr>
              <w:pStyle w:val="TableText"/>
              <w:ind w:left="620"/>
              <w:spacing w:before="70" w:line="217" w:lineRule="auto"/>
              <w:rPr>
                <w:sz w:val="19"/>
                <w:szCs w:val="19"/>
              </w:rPr>
            </w:pPr>
            <w:r>
              <w:rPr>
                <w:sz w:val="19"/>
                <w:szCs w:val="19"/>
                <w:spacing w:val="9"/>
              </w:rPr>
              <w:t>能源战略规划与实施</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20"/>
              <w:spacing w:before="71" w:line="216" w:lineRule="auto"/>
              <w:rPr>
                <w:sz w:val="19"/>
                <w:szCs w:val="19"/>
              </w:rPr>
            </w:pPr>
            <w:r>
              <w:rPr>
                <w:sz w:val="19"/>
                <w:szCs w:val="19"/>
                <w:spacing w:val="8"/>
              </w:rPr>
              <w:t>能源科技装备</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20"/>
              <w:spacing w:before="73" w:line="214" w:lineRule="auto"/>
              <w:rPr>
                <w:sz w:val="19"/>
                <w:szCs w:val="19"/>
              </w:rPr>
            </w:pPr>
            <w:r>
              <w:rPr>
                <w:sz w:val="19"/>
                <w:szCs w:val="19"/>
                <w:spacing w:val="8"/>
              </w:rPr>
              <w:t>能源行业管理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20"/>
              <w:spacing w:before="74" w:line="213" w:lineRule="auto"/>
              <w:rPr>
                <w:sz w:val="19"/>
                <w:szCs w:val="19"/>
              </w:rPr>
            </w:pPr>
            <w:r>
              <w:rPr>
                <w:sz w:val="19"/>
                <w:szCs w:val="19"/>
                <w:spacing w:val="7"/>
              </w:rPr>
              <w:t>能源管理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2" w:line="215" w:lineRule="auto"/>
              <w:rPr>
                <w:sz w:val="19"/>
                <w:szCs w:val="19"/>
              </w:rPr>
            </w:pPr>
            <w:r>
              <w:rPr>
                <w:sz w:val="19"/>
                <w:szCs w:val="19"/>
                <w:spacing w:val="9"/>
              </w:rPr>
              <w:t>石油储备发展管理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20"/>
              <w:spacing w:before="78" w:line="209" w:lineRule="auto"/>
              <w:rPr>
                <w:sz w:val="19"/>
                <w:szCs w:val="19"/>
              </w:rPr>
            </w:pPr>
            <w:r>
              <w:rPr>
                <w:sz w:val="19"/>
                <w:szCs w:val="19"/>
                <w:spacing w:val="7"/>
              </w:rPr>
              <w:t>能源调查</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4" w:line="214" w:lineRule="auto"/>
              <w:rPr>
                <w:sz w:val="19"/>
                <w:szCs w:val="19"/>
              </w:rPr>
            </w:pPr>
            <w:r>
              <w:rPr>
                <w:sz w:val="19"/>
                <w:szCs w:val="19"/>
                <w:spacing w:val="8"/>
              </w:rPr>
              <w:t>信息化建设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3"/>
              <w:spacing w:before="73" w:line="215" w:lineRule="auto"/>
              <w:rPr>
                <w:sz w:val="19"/>
                <w:szCs w:val="19"/>
              </w:rPr>
            </w:pPr>
            <w:r>
              <w:rPr>
                <w:sz w:val="19"/>
                <w:szCs w:val="19"/>
                <w:spacing w:val="9"/>
              </w:rPr>
              <w:t>农村电网建设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5" w:line="213"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6" w:line="212" w:lineRule="auto"/>
              <w:rPr>
                <w:sz w:val="19"/>
                <w:szCs w:val="19"/>
              </w:rPr>
            </w:pPr>
            <w:r>
              <w:rPr>
                <w:sz w:val="19"/>
                <w:szCs w:val="19"/>
                <w:spacing w:val="9"/>
              </w:rPr>
              <w:t>其他能源管理事务支出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3"/>
              <w:spacing w:before="75" w:line="213" w:lineRule="auto"/>
              <w:rPr>
                <w:sz w:val="19"/>
                <w:szCs w:val="19"/>
              </w:rPr>
            </w:pPr>
            <w:r>
              <w:rPr>
                <w:sz w:val="19"/>
                <w:szCs w:val="19"/>
                <w:spacing w:val="9"/>
              </w:rPr>
              <w:t>其他节能环保支出</w:t>
            </w:r>
          </w:p>
        </w:tc>
        <w:tc>
          <w:tcPr>
            <w:tcW w:w="2216" w:type="dxa"/>
            <w:vAlign w:val="top"/>
          </w:tcPr>
          <w:p>
            <w:pPr>
              <w:pStyle w:val="TableText"/>
              <w:ind w:right="8"/>
              <w:spacing w:before="72" w:line="216" w:lineRule="auto"/>
              <w:jc w:val="right"/>
              <w:rPr>
                <w:sz w:val="19"/>
                <w:szCs w:val="19"/>
              </w:rPr>
            </w:pPr>
            <w:r>
              <w:rPr>
                <w:sz w:val="19"/>
                <w:szCs w:val="19"/>
              </w:rPr>
              <w:t>50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23"/>
              <w:spacing w:before="77" w:line="211" w:lineRule="auto"/>
              <w:rPr>
                <w:sz w:val="19"/>
                <w:szCs w:val="19"/>
              </w:rPr>
            </w:pPr>
            <w:r>
              <w:rPr>
                <w:sz w:val="19"/>
                <w:szCs w:val="19"/>
                <w:spacing w:val="8"/>
              </w:rPr>
              <w:t>十一、城乡社区支出</w:t>
            </w:r>
          </w:p>
        </w:tc>
        <w:tc>
          <w:tcPr>
            <w:tcW w:w="2216" w:type="dxa"/>
            <w:vAlign w:val="top"/>
          </w:tcPr>
          <w:p>
            <w:pPr>
              <w:pStyle w:val="TableText"/>
              <w:ind w:right="8"/>
              <w:spacing w:before="71" w:line="217" w:lineRule="auto"/>
              <w:jc w:val="right"/>
              <w:rPr>
                <w:sz w:val="19"/>
                <w:szCs w:val="19"/>
              </w:rPr>
            </w:pPr>
            <w:r>
              <w:rPr>
                <w:sz w:val="19"/>
                <w:szCs w:val="19"/>
                <w:spacing w:val="-1"/>
              </w:rPr>
              <w:t>15040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5"/>
              <w:spacing w:before="75" w:line="213" w:lineRule="auto"/>
              <w:rPr>
                <w:sz w:val="19"/>
                <w:szCs w:val="19"/>
              </w:rPr>
            </w:pPr>
            <w:r>
              <w:rPr>
                <w:sz w:val="19"/>
                <w:szCs w:val="19"/>
                <w:spacing w:val="9"/>
              </w:rPr>
              <w:t>城乡社区管理事务</w:t>
            </w:r>
          </w:p>
        </w:tc>
        <w:tc>
          <w:tcPr>
            <w:tcW w:w="2216" w:type="dxa"/>
            <w:vAlign w:val="top"/>
          </w:tcPr>
          <w:p>
            <w:pPr>
              <w:pStyle w:val="TableText"/>
              <w:ind w:right="8"/>
              <w:spacing w:before="71" w:line="217" w:lineRule="auto"/>
              <w:jc w:val="right"/>
              <w:rPr>
                <w:sz w:val="19"/>
                <w:szCs w:val="19"/>
              </w:rPr>
            </w:pPr>
            <w:r>
              <w:rPr>
                <w:sz w:val="19"/>
                <w:szCs w:val="19"/>
                <w:spacing w:val="-2"/>
              </w:rPr>
              <w:t>1489</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8" w:line="209" w:lineRule="auto"/>
              <w:rPr>
                <w:sz w:val="19"/>
                <w:szCs w:val="19"/>
              </w:rPr>
            </w:pPr>
            <w:r>
              <w:rPr>
                <w:sz w:val="19"/>
                <w:szCs w:val="19"/>
                <w:spacing w:val="8"/>
              </w:rPr>
              <w:t>行政运行</w:t>
            </w:r>
          </w:p>
        </w:tc>
        <w:tc>
          <w:tcPr>
            <w:tcW w:w="2216" w:type="dxa"/>
            <w:vAlign w:val="top"/>
          </w:tcPr>
          <w:p>
            <w:pPr>
              <w:pStyle w:val="TableText"/>
              <w:ind w:right="8"/>
              <w:spacing w:before="73" w:line="214" w:lineRule="auto"/>
              <w:jc w:val="right"/>
              <w:rPr>
                <w:sz w:val="19"/>
                <w:szCs w:val="19"/>
              </w:rPr>
            </w:pPr>
            <w:r>
              <w:rPr>
                <w:sz w:val="19"/>
                <w:szCs w:val="19"/>
              </w:rPr>
              <w:t>366</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7" w:line="211" w:lineRule="auto"/>
              <w:rPr>
                <w:sz w:val="19"/>
                <w:szCs w:val="19"/>
              </w:rPr>
            </w:pPr>
            <w:r>
              <w:rPr>
                <w:sz w:val="19"/>
                <w:szCs w:val="19"/>
                <w:spacing w:val="9"/>
              </w:rPr>
              <w:t>一般行政管理事务</w:t>
            </w:r>
          </w:p>
        </w:tc>
        <w:tc>
          <w:tcPr>
            <w:tcW w:w="2216" w:type="dxa"/>
            <w:vAlign w:val="top"/>
          </w:tcPr>
          <w:p>
            <w:pPr>
              <w:pStyle w:val="TableText"/>
              <w:ind w:right="8"/>
              <w:spacing w:before="73" w:line="215" w:lineRule="auto"/>
              <w:jc w:val="right"/>
              <w:rPr>
                <w:sz w:val="19"/>
                <w:szCs w:val="19"/>
              </w:rPr>
            </w:pPr>
            <w:r>
              <w:rPr>
                <w:sz w:val="19"/>
                <w:szCs w:val="19"/>
                <w:spacing w:val="-1"/>
              </w:rPr>
              <w:t>35</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8" w:line="210"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7" w:line="211" w:lineRule="auto"/>
              <w:rPr>
                <w:sz w:val="19"/>
                <w:szCs w:val="19"/>
              </w:rPr>
            </w:pPr>
            <w:r>
              <w:rPr>
                <w:sz w:val="19"/>
                <w:szCs w:val="19"/>
                <w:spacing w:val="8"/>
              </w:rPr>
              <w:t>城管执法</w:t>
            </w:r>
          </w:p>
        </w:tc>
        <w:tc>
          <w:tcPr>
            <w:tcW w:w="2216" w:type="dxa"/>
            <w:vAlign w:val="top"/>
          </w:tcPr>
          <w:p>
            <w:pPr>
              <w:pStyle w:val="TableText"/>
              <w:ind w:right="8"/>
              <w:spacing w:before="72" w:line="216" w:lineRule="auto"/>
              <w:jc w:val="right"/>
              <w:rPr>
                <w:sz w:val="19"/>
                <w:szCs w:val="19"/>
              </w:rPr>
            </w:pPr>
            <w:r>
              <w:rPr>
                <w:sz w:val="19"/>
                <w:szCs w:val="19"/>
                <w:spacing w:val="1"/>
              </w:rPr>
              <w:t>257</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5" w:line="213" w:lineRule="auto"/>
              <w:rPr>
                <w:sz w:val="19"/>
                <w:szCs w:val="19"/>
              </w:rPr>
            </w:pPr>
            <w:r>
              <w:rPr>
                <w:sz w:val="19"/>
                <w:szCs w:val="19"/>
                <w:spacing w:val="9"/>
              </w:rPr>
              <w:t>工程建设国家标准规范编制与监管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5" w:line="213" w:lineRule="auto"/>
              <w:rPr>
                <w:sz w:val="19"/>
                <w:szCs w:val="19"/>
              </w:rPr>
            </w:pPr>
            <w:r>
              <w:rPr>
                <w:sz w:val="19"/>
                <w:szCs w:val="19"/>
                <w:spacing w:val="9"/>
              </w:rPr>
              <w:t>工程建设管理</w:t>
            </w:r>
          </w:p>
        </w:tc>
        <w:tc>
          <w:tcPr>
            <w:tcW w:w="2216" w:type="dxa"/>
            <w:vAlign w:val="top"/>
          </w:tcPr>
          <w:p>
            <w:pPr>
              <w:pStyle w:val="TableText"/>
              <w:ind w:right="8"/>
              <w:spacing w:before="73" w:line="215" w:lineRule="auto"/>
              <w:jc w:val="right"/>
              <w:rPr>
                <w:sz w:val="19"/>
                <w:szCs w:val="19"/>
              </w:rPr>
            </w:pPr>
            <w:r>
              <w:rPr>
                <w:sz w:val="19"/>
                <w:szCs w:val="19"/>
                <w:spacing w:val="2"/>
              </w:rPr>
              <w:t>415</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8" w:line="210" w:lineRule="auto"/>
              <w:rPr>
                <w:sz w:val="19"/>
                <w:szCs w:val="19"/>
              </w:rPr>
            </w:pPr>
            <w:r>
              <w:rPr>
                <w:sz w:val="19"/>
                <w:szCs w:val="19"/>
                <w:spacing w:val="9"/>
              </w:rPr>
              <w:t>市政公用行业市场监管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4" w:line="214" w:lineRule="auto"/>
              <w:rPr>
                <w:sz w:val="19"/>
                <w:szCs w:val="19"/>
              </w:rPr>
            </w:pPr>
            <w:r>
              <w:rPr>
                <w:sz w:val="19"/>
                <w:szCs w:val="19"/>
                <w:spacing w:val="9"/>
              </w:rPr>
              <w:t>住宅建设与房地产市场监管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7" w:line="211" w:lineRule="auto"/>
              <w:rPr>
                <w:sz w:val="19"/>
                <w:szCs w:val="19"/>
              </w:rPr>
            </w:pPr>
            <w:r>
              <w:rPr>
                <w:sz w:val="19"/>
                <w:szCs w:val="19"/>
                <w:spacing w:val="9"/>
              </w:rPr>
              <w:t>执业资格注册、资质审查</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6" w:line="212" w:lineRule="auto"/>
              <w:rPr>
                <w:sz w:val="19"/>
                <w:szCs w:val="19"/>
              </w:rPr>
            </w:pPr>
            <w:r>
              <w:rPr>
                <w:sz w:val="19"/>
                <w:szCs w:val="19"/>
                <w:spacing w:val="9"/>
              </w:rPr>
              <w:t>其他城乡社区管理事务支出</w:t>
            </w:r>
          </w:p>
        </w:tc>
        <w:tc>
          <w:tcPr>
            <w:tcW w:w="2216" w:type="dxa"/>
            <w:vAlign w:val="top"/>
          </w:tcPr>
          <w:p>
            <w:pPr>
              <w:pStyle w:val="TableText"/>
              <w:ind w:right="8"/>
              <w:spacing w:before="73" w:line="215" w:lineRule="auto"/>
              <w:jc w:val="right"/>
              <w:rPr>
                <w:sz w:val="19"/>
                <w:szCs w:val="19"/>
              </w:rPr>
            </w:pPr>
            <w:r>
              <w:rPr>
                <w:sz w:val="19"/>
                <w:szCs w:val="19"/>
                <w:spacing w:val="2"/>
              </w:rPr>
              <w:t>416</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5"/>
              <w:spacing w:before="78" w:line="210" w:lineRule="auto"/>
              <w:rPr>
                <w:sz w:val="19"/>
                <w:szCs w:val="19"/>
              </w:rPr>
            </w:pPr>
            <w:r>
              <w:rPr>
                <w:sz w:val="19"/>
                <w:szCs w:val="19"/>
                <w:spacing w:val="9"/>
              </w:rPr>
              <w:t>城乡社区规划与管理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5"/>
              <w:spacing w:before="77" w:line="211" w:lineRule="auto"/>
              <w:rPr>
                <w:sz w:val="19"/>
                <w:szCs w:val="19"/>
              </w:rPr>
            </w:pPr>
            <w:r>
              <w:rPr>
                <w:sz w:val="19"/>
                <w:szCs w:val="19"/>
                <w:spacing w:val="9"/>
              </w:rPr>
              <w:t>城乡社区公共设施</w:t>
            </w:r>
          </w:p>
        </w:tc>
        <w:tc>
          <w:tcPr>
            <w:tcW w:w="2216" w:type="dxa"/>
            <w:vAlign w:val="top"/>
          </w:tcPr>
          <w:p>
            <w:pPr>
              <w:pStyle w:val="TableText"/>
              <w:ind w:right="8"/>
              <w:spacing w:before="72" w:line="216" w:lineRule="auto"/>
              <w:jc w:val="right"/>
              <w:rPr>
                <w:sz w:val="19"/>
                <w:szCs w:val="19"/>
              </w:rPr>
            </w:pPr>
            <w:r>
              <w:rPr>
                <w:sz w:val="19"/>
                <w:szCs w:val="19"/>
                <w:spacing w:val="-1"/>
              </w:rPr>
              <w:t>12050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5" w:line="212" w:lineRule="auto"/>
              <w:rPr>
                <w:sz w:val="19"/>
                <w:szCs w:val="19"/>
              </w:rPr>
            </w:pPr>
            <w:r>
              <w:rPr>
                <w:sz w:val="19"/>
                <w:szCs w:val="19"/>
                <w:spacing w:val="9"/>
              </w:rPr>
              <w:t>小城镇基础设施建设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7" w:line="211" w:lineRule="auto"/>
              <w:rPr>
                <w:sz w:val="19"/>
                <w:szCs w:val="19"/>
              </w:rPr>
            </w:pPr>
            <w:r>
              <w:rPr>
                <w:sz w:val="19"/>
                <w:szCs w:val="19"/>
                <w:spacing w:val="9"/>
              </w:rPr>
              <w:t>其他城乡社区公共设施支出</w:t>
            </w:r>
          </w:p>
        </w:tc>
        <w:tc>
          <w:tcPr>
            <w:tcW w:w="2216" w:type="dxa"/>
            <w:vAlign w:val="top"/>
          </w:tcPr>
          <w:p>
            <w:pPr>
              <w:pStyle w:val="TableText"/>
              <w:ind w:right="8"/>
              <w:spacing w:before="74" w:line="214" w:lineRule="auto"/>
              <w:jc w:val="right"/>
              <w:rPr>
                <w:sz w:val="19"/>
                <w:szCs w:val="19"/>
              </w:rPr>
            </w:pPr>
            <w:r>
              <w:rPr>
                <w:sz w:val="19"/>
                <w:szCs w:val="19"/>
                <w:spacing w:val="-1"/>
              </w:rPr>
              <w:t>12050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5"/>
              <w:spacing w:before="79" w:line="208" w:lineRule="auto"/>
              <w:rPr>
                <w:sz w:val="19"/>
                <w:szCs w:val="19"/>
              </w:rPr>
            </w:pPr>
            <w:r>
              <w:rPr>
                <w:sz w:val="19"/>
                <w:szCs w:val="19"/>
                <w:spacing w:val="9"/>
              </w:rPr>
              <w:t>城乡社区环境卫生</w:t>
            </w:r>
          </w:p>
        </w:tc>
        <w:tc>
          <w:tcPr>
            <w:tcW w:w="2216" w:type="dxa"/>
            <w:vAlign w:val="top"/>
          </w:tcPr>
          <w:p>
            <w:pPr>
              <w:pStyle w:val="TableText"/>
              <w:ind w:right="8"/>
              <w:spacing w:before="73" w:line="214" w:lineRule="auto"/>
              <w:jc w:val="right"/>
              <w:rPr>
                <w:sz w:val="19"/>
                <w:szCs w:val="19"/>
              </w:rPr>
            </w:pPr>
            <w:r>
              <w:rPr>
                <w:sz w:val="19"/>
                <w:szCs w:val="19"/>
                <w:spacing w:val="-2"/>
              </w:rPr>
              <w:t>1501</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4"/>
              <w:spacing w:before="76" w:line="212" w:lineRule="auto"/>
              <w:rPr>
                <w:sz w:val="19"/>
                <w:szCs w:val="19"/>
              </w:rPr>
            </w:pPr>
            <w:r>
              <w:rPr>
                <w:sz w:val="19"/>
                <w:szCs w:val="19"/>
                <w:spacing w:val="9"/>
              </w:rPr>
              <w:t>建设市场管理与监督</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3"/>
              <w:spacing w:before="79" w:line="208" w:lineRule="auto"/>
              <w:rPr>
                <w:sz w:val="19"/>
                <w:szCs w:val="19"/>
              </w:rPr>
            </w:pPr>
            <w:r>
              <w:rPr>
                <w:sz w:val="19"/>
                <w:szCs w:val="19"/>
                <w:spacing w:val="9"/>
              </w:rPr>
              <w:t>其他城乡社区支出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23"/>
              <w:spacing w:before="81" w:line="207" w:lineRule="auto"/>
              <w:rPr>
                <w:sz w:val="19"/>
                <w:szCs w:val="19"/>
              </w:rPr>
            </w:pPr>
            <w:r>
              <w:rPr>
                <w:sz w:val="19"/>
                <w:szCs w:val="19"/>
                <w:spacing w:val="8"/>
              </w:rPr>
              <w:t>十二、农林水支出</w:t>
            </w:r>
          </w:p>
        </w:tc>
        <w:tc>
          <w:tcPr>
            <w:tcW w:w="2216" w:type="dxa"/>
            <w:vAlign w:val="top"/>
          </w:tcPr>
          <w:p>
            <w:pPr>
              <w:pStyle w:val="TableText"/>
              <w:ind w:right="8"/>
              <w:spacing w:before="76" w:line="212" w:lineRule="auto"/>
              <w:jc w:val="right"/>
              <w:rPr>
                <w:sz w:val="19"/>
                <w:szCs w:val="19"/>
              </w:rPr>
            </w:pPr>
            <w:r>
              <w:rPr>
                <w:sz w:val="19"/>
                <w:szCs w:val="19"/>
                <w:spacing w:val="-1"/>
              </w:rPr>
              <w:t>13560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1"/>
              <w:spacing w:before="80" w:line="207" w:lineRule="auto"/>
              <w:rPr>
                <w:sz w:val="19"/>
                <w:szCs w:val="19"/>
              </w:rPr>
            </w:pPr>
            <w:r>
              <w:rPr>
                <w:sz w:val="19"/>
                <w:szCs w:val="19"/>
                <w:spacing w:val="9"/>
              </w:rPr>
              <w:t>农业农村</w:t>
            </w:r>
          </w:p>
        </w:tc>
        <w:tc>
          <w:tcPr>
            <w:tcW w:w="2216" w:type="dxa"/>
            <w:vAlign w:val="top"/>
          </w:tcPr>
          <w:p>
            <w:pPr>
              <w:pStyle w:val="TableText"/>
              <w:ind w:right="8"/>
              <w:spacing w:before="75" w:line="212" w:lineRule="auto"/>
              <w:jc w:val="right"/>
              <w:rPr>
                <w:sz w:val="19"/>
                <w:szCs w:val="19"/>
              </w:rPr>
            </w:pPr>
            <w:r>
              <w:rPr>
                <w:sz w:val="19"/>
                <w:szCs w:val="19"/>
                <w:spacing w:val="2"/>
              </w:rPr>
              <w:t>2941</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1" w:line="207" w:lineRule="auto"/>
              <w:rPr>
                <w:sz w:val="19"/>
                <w:szCs w:val="19"/>
              </w:rPr>
            </w:pPr>
            <w:r>
              <w:rPr>
                <w:sz w:val="19"/>
                <w:szCs w:val="19"/>
                <w:spacing w:val="8"/>
              </w:rPr>
              <w:t>行政运行</w:t>
            </w:r>
          </w:p>
        </w:tc>
        <w:tc>
          <w:tcPr>
            <w:tcW w:w="2216" w:type="dxa"/>
            <w:vAlign w:val="top"/>
          </w:tcPr>
          <w:p>
            <w:pPr>
              <w:pStyle w:val="TableText"/>
              <w:ind w:right="8"/>
              <w:spacing w:before="76" w:line="212" w:lineRule="auto"/>
              <w:jc w:val="right"/>
              <w:rPr>
                <w:sz w:val="19"/>
                <w:szCs w:val="19"/>
              </w:rPr>
            </w:pPr>
            <w:r>
              <w:rPr>
                <w:sz w:val="19"/>
                <w:szCs w:val="19"/>
                <w:spacing w:val="1"/>
              </w:rPr>
              <w:t>264</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83" w:line="205" w:lineRule="auto"/>
              <w:rPr>
                <w:sz w:val="19"/>
                <w:szCs w:val="19"/>
              </w:rPr>
            </w:pPr>
            <w:r>
              <w:rPr>
                <w:sz w:val="19"/>
                <w:szCs w:val="19"/>
                <w:spacing w:val="9"/>
              </w:rPr>
              <w:t>一般行政管理事务</w:t>
            </w:r>
          </w:p>
        </w:tc>
        <w:tc>
          <w:tcPr>
            <w:tcW w:w="2216" w:type="dxa"/>
            <w:vAlign w:val="top"/>
          </w:tcPr>
          <w:p>
            <w:pPr>
              <w:pStyle w:val="TableText"/>
              <w:ind w:right="8"/>
              <w:spacing w:before="77" w:line="210" w:lineRule="auto"/>
              <w:jc w:val="right"/>
              <w:rPr>
                <w:sz w:val="19"/>
                <w:szCs w:val="19"/>
              </w:rPr>
            </w:pPr>
            <w:r>
              <w:rPr>
                <w:sz w:val="19"/>
                <w:szCs w:val="19"/>
              </w:rPr>
              <w:t>20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4" w:line="205"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83" w:line="205" w:lineRule="auto"/>
              <w:rPr>
                <w:sz w:val="19"/>
                <w:szCs w:val="19"/>
              </w:rPr>
            </w:pPr>
            <w:r>
              <w:rPr>
                <w:sz w:val="19"/>
                <w:szCs w:val="19"/>
                <w:spacing w:val="8"/>
              </w:rPr>
              <w:t>事业运行</w:t>
            </w:r>
          </w:p>
        </w:tc>
        <w:tc>
          <w:tcPr>
            <w:tcW w:w="2216" w:type="dxa"/>
            <w:vAlign w:val="top"/>
          </w:tcPr>
          <w:p>
            <w:pPr>
              <w:pStyle w:val="TableText"/>
              <w:ind w:right="8"/>
              <w:spacing w:before="77" w:line="210" w:lineRule="auto"/>
              <w:jc w:val="right"/>
              <w:rPr>
                <w:sz w:val="19"/>
                <w:szCs w:val="19"/>
              </w:rPr>
            </w:pPr>
            <w:r>
              <w:rPr>
                <w:sz w:val="19"/>
                <w:szCs w:val="19"/>
                <w:spacing w:val="-2"/>
              </w:rPr>
              <w:t>1206</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3"/>
              <w:spacing w:before="84" w:line="205" w:lineRule="auto"/>
              <w:rPr>
                <w:sz w:val="19"/>
                <w:szCs w:val="19"/>
              </w:rPr>
            </w:pPr>
            <w:r>
              <w:rPr>
                <w:sz w:val="19"/>
                <w:szCs w:val="19"/>
                <w:spacing w:val="9"/>
              </w:rPr>
              <w:t>农垦运行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4"/>
              <w:spacing w:before="85" w:line="203" w:lineRule="auto"/>
              <w:rPr>
                <w:sz w:val="19"/>
                <w:szCs w:val="19"/>
              </w:rPr>
            </w:pPr>
            <w:r>
              <w:rPr>
                <w:sz w:val="19"/>
                <w:szCs w:val="19"/>
                <w:spacing w:val="9"/>
              </w:rPr>
              <w:t>科技转化与推广服务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5" w:line="204" w:lineRule="auto"/>
              <w:rPr>
                <w:sz w:val="19"/>
                <w:szCs w:val="19"/>
              </w:rPr>
            </w:pPr>
            <w:r>
              <w:rPr>
                <w:sz w:val="19"/>
                <w:szCs w:val="19"/>
                <w:spacing w:val="8"/>
              </w:rPr>
              <w:t>病虫害控制</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14" w:hRule="atLeast"/>
        </w:trPr>
        <w:tc>
          <w:tcPr>
            <w:tcW w:w="4612" w:type="dxa"/>
            <w:vAlign w:val="top"/>
            <w:tcBorders>
              <w:left w:val="single" w:color="000000" w:sz="6" w:space="0"/>
              <w:bottom w:val="single" w:color="000000" w:sz="6" w:space="0"/>
            </w:tcBorders>
          </w:tcPr>
          <w:p>
            <w:pPr>
              <w:pStyle w:val="TableText"/>
              <w:ind w:left="613"/>
              <w:spacing w:before="79" w:line="218" w:lineRule="auto"/>
              <w:rPr>
                <w:sz w:val="19"/>
                <w:szCs w:val="19"/>
              </w:rPr>
            </w:pPr>
            <w:r>
              <w:rPr>
                <w:sz w:val="19"/>
                <w:szCs w:val="19"/>
                <w:spacing w:val="9"/>
              </w:rPr>
              <w:t>农产品质量安全</w:t>
            </w:r>
          </w:p>
        </w:tc>
        <w:tc>
          <w:tcPr>
            <w:tcW w:w="2216" w:type="dxa"/>
            <w:vAlign w:val="top"/>
            <w:tcBorders>
              <w:bottom w:val="single" w:color="000000" w:sz="6" w:space="0"/>
            </w:tcBorders>
          </w:tcPr>
          <w:p>
            <w:pPr>
              <w:rPr>
                <w:rFonts w:ascii="Arial"/>
                <w:sz w:val="21"/>
              </w:rPr>
            </w:pPr>
            <w:r/>
          </w:p>
        </w:tc>
        <w:tc>
          <w:tcPr>
            <w:tcW w:w="2013" w:type="dxa"/>
            <w:vAlign w:val="top"/>
            <w:tcBorders>
              <w:bottom w:val="single" w:color="000000" w:sz="6" w:space="0"/>
              <w:right w:val="single" w:color="000000" w:sz="6" w:space="0"/>
            </w:tcBorders>
          </w:tcPr>
          <w:p>
            <w:pPr>
              <w:rPr>
                <w:rFonts w:ascii="Arial"/>
                <w:sz w:val="21"/>
              </w:rPr>
            </w:pPr>
            <w:r/>
          </w:p>
        </w:tc>
      </w:tr>
    </w:tbl>
    <w:p>
      <w:pPr>
        <w:spacing w:line="134" w:lineRule="exact"/>
        <w:rPr>
          <w:rFonts w:ascii="Arial"/>
          <w:sz w:val="11"/>
        </w:rPr>
      </w:pPr>
      <w:r/>
    </w:p>
    <w:p>
      <w:pPr>
        <w:spacing w:line="134" w:lineRule="exact"/>
        <w:sectPr>
          <w:headerReference w:type="default" r:id="rId25"/>
          <w:footerReference w:type="default" r:id="rId44"/>
          <w:pgSz w:w="11907" w:h="16840"/>
          <w:pgMar w:top="1845" w:right="1525" w:bottom="1671" w:left="1525" w:header="1428" w:footer="1277" w:gutter="0"/>
        </w:sectPr>
        <w:rPr>
          <w:rFonts w:ascii="Arial" w:hAnsi="Arial" w:eastAsia="Arial" w:cs="Arial"/>
          <w:sz w:val="11"/>
          <w:szCs w:val="11"/>
        </w:rPr>
      </w:pPr>
    </w:p>
    <w:p>
      <w:pPr>
        <w:spacing w:line="143" w:lineRule="exact"/>
        <w:rPr/>
      </w:pPr>
      <w:r/>
    </w:p>
    <w:tbl>
      <w:tblPr>
        <w:tblStyle w:val="TableNormal"/>
        <w:tblW w:w="8841"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12"/>
        <w:gridCol w:w="2216"/>
        <w:gridCol w:w="2013"/>
      </w:tblGrid>
      <w:tr>
        <w:trPr>
          <w:trHeight w:val="312" w:hRule="atLeast"/>
        </w:trPr>
        <w:tc>
          <w:tcPr>
            <w:tcW w:w="4612" w:type="dxa"/>
            <w:vAlign w:val="top"/>
            <w:tcBorders>
              <w:left w:val="single" w:color="000000" w:sz="6" w:space="0"/>
              <w:top w:val="single" w:color="000000" w:sz="6" w:space="0"/>
            </w:tcBorders>
          </w:tcPr>
          <w:p>
            <w:pPr>
              <w:pStyle w:val="TableText"/>
              <w:ind w:left="2104"/>
              <w:spacing w:before="81" w:line="212" w:lineRule="auto"/>
              <w:rPr>
                <w:sz w:val="19"/>
                <w:szCs w:val="19"/>
              </w:rPr>
            </w:pPr>
            <w:r>
              <w:rPr>
                <w:sz w:val="19"/>
                <w:szCs w:val="19"/>
                <w:b/>
                <w:bCs/>
                <w:spacing w:val="6"/>
              </w:rPr>
              <w:t>项目</w:t>
            </w:r>
          </w:p>
        </w:tc>
        <w:tc>
          <w:tcPr>
            <w:tcW w:w="2216" w:type="dxa"/>
            <w:vAlign w:val="top"/>
            <w:tcBorders>
              <w:top w:val="single" w:color="000000" w:sz="6" w:space="0"/>
            </w:tcBorders>
          </w:tcPr>
          <w:p>
            <w:pPr>
              <w:pStyle w:val="TableText"/>
              <w:ind w:left="813"/>
              <w:spacing w:before="75" w:line="220" w:lineRule="auto"/>
              <w:rPr>
                <w:sz w:val="19"/>
                <w:szCs w:val="19"/>
              </w:rPr>
            </w:pPr>
            <w:r>
              <w:rPr>
                <w:sz w:val="19"/>
                <w:szCs w:val="19"/>
                <w:b/>
                <w:bCs/>
                <w:spacing w:val="5"/>
              </w:rPr>
              <w:t>预算数</w:t>
            </w:r>
          </w:p>
        </w:tc>
        <w:tc>
          <w:tcPr>
            <w:tcW w:w="2013" w:type="dxa"/>
            <w:vAlign w:val="top"/>
            <w:tcBorders>
              <w:right w:val="single" w:color="000000" w:sz="6" w:space="0"/>
              <w:top w:val="single" w:color="000000" w:sz="6" w:space="0"/>
            </w:tcBorders>
          </w:tcPr>
          <w:p>
            <w:pPr>
              <w:pStyle w:val="TableText"/>
              <w:ind w:left="806"/>
              <w:spacing w:before="75" w:line="220" w:lineRule="auto"/>
              <w:rPr>
                <w:sz w:val="19"/>
                <w:szCs w:val="19"/>
              </w:rPr>
            </w:pPr>
            <w:r>
              <w:rPr>
                <w:sz w:val="19"/>
                <w:szCs w:val="19"/>
                <w:b/>
                <w:bCs/>
                <w:spacing w:val="6"/>
              </w:rPr>
              <w:t>备注</w:t>
            </w:r>
          </w:p>
        </w:tc>
      </w:tr>
      <w:tr>
        <w:trPr>
          <w:trHeight w:val="304" w:hRule="atLeast"/>
        </w:trPr>
        <w:tc>
          <w:tcPr>
            <w:tcW w:w="4612" w:type="dxa"/>
            <w:vAlign w:val="top"/>
            <w:tcBorders>
              <w:left w:val="single" w:color="000000" w:sz="6" w:space="0"/>
            </w:tcBorders>
          </w:tcPr>
          <w:p>
            <w:pPr>
              <w:pStyle w:val="TableText"/>
              <w:ind w:left="616"/>
              <w:spacing w:before="72" w:line="215" w:lineRule="auto"/>
              <w:rPr>
                <w:sz w:val="19"/>
                <w:szCs w:val="19"/>
              </w:rPr>
            </w:pPr>
            <w:r>
              <w:rPr>
                <w:sz w:val="19"/>
                <w:szCs w:val="19"/>
                <w:spacing w:val="8"/>
              </w:rPr>
              <w:t>执法监管</w:t>
            </w:r>
          </w:p>
        </w:tc>
        <w:tc>
          <w:tcPr>
            <w:tcW w:w="2216" w:type="dxa"/>
            <w:vAlign w:val="top"/>
          </w:tcPr>
          <w:p>
            <w:pPr>
              <w:pStyle w:val="TableText"/>
              <w:ind w:right="5"/>
              <w:spacing w:before="67" w:line="220" w:lineRule="auto"/>
              <w:jc w:val="right"/>
              <w:rPr>
                <w:sz w:val="19"/>
                <w:szCs w:val="19"/>
              </w:rPr>
            </w:pPr>
            <w:r>
              <w:rPr>
                <w:sz w:val="19"/>
                <w:szCs w:val="19"/>
              </w:rPr>
              <w:t>6</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70" w:line="217" w:lineRule="auto"/>
              <w:rPr>
                <w:sz w:val="19"/>
                <w:szCs w:val="19"/>
              </w:rPr>
            </w:pPr>
            <w:r>
              <w:rPr>
                <w:sz w:val="19"/>
                <w:szCs w:val="19"/>
                <w:spacing w:val="9"/>
              </w:rPr>
              <w:t>统计监测与信息服务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3" w:line="214" w:lineRule="auto"/>
              <w:rPr>
                <w:sz w:val="19"/>
                <w:szCs w:val="19"/>
              </w:rPr>
            </w:pPr>
            <w:r>
              <w:rPr>
                <w:sz w:val="19"/>
                <w:szCs w:val="19"/>
                <w:spacing w:val="9"/>
              </w:rPr>
              <w:t>行业业务管理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1" w:line="216" w:lineRule="auto"/>
              <w:rPr>
                <w:sz w:val="19"/>
                <w:szCs w:val="19"/>
              </w:rPr>
            </w:pPr>
            <w:r>
              <w:rPr>
                <w:sz w:val="19"/>
                <w:szCs w:val="19"/>
                <w:spacing w:val="9"/>
              </w:rPr>
              <w:t>对外交流与合作</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30"/>
              <w:spacing w:before="75" w:line="212" w:lineRule="auto"/>
              <w:rPr>
                <w:sz w:val="19"/>
                <w:szCs w:val="19"/>
              </w:rPr>
            </w:pPr>
            <w:r>
              <w:rPr>
                <w:sz w:val="19"/>
                <w:szCs w:val="19"/>
                <w:spacing w:val="5"/>
              </w:rPr>
              <w:t>防灾救灾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6" w:line="211" w:lineRule="auto"/>
              <w:rPr>
                <w:sz w:val="19"/>
                <w:szCs w:val="19"/>
              </w:rPr>
            </w:pPr>
            <w:r>
              <w:rPr>
                <w:sz w:val="19"/>
                <w:szCs w:val="19"/>
                <w:spacing w:val="9"/>
              </w:rPr>
              <w:t>稳定农民收入补贴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3"/>
              <w:spacing w:before="77" w:line="210" w:lineRule="auto"/>
              <w:rPr>
                <w:sz w:val="19"/>
                <w:szCs w:val="19"/>
              </w:rPr>
            </w:pPr>
            <w:r>
              <w:rPr>
                <w:sz w:val="19"/>
                <w:szCs w:val="19"/>
                <w:spacing w:val="9"/>
              </w:rPr>
              <w:t>农业结构调整补贴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3"/>
              <w:spacing w:before="76" w:line="211" w:lineRule="auto"/>
              <w:rPr>
                <w:sz w:val="19"/>
                <w:szCs w:val="19"/>
              </w:rPr>
            </w:pPr>
            <w:r>
              <w:rPr>
                <w:sz w:val="19"/>
                <w:szCs w:val="19"/>
                <w:spacing w:val="9"/>
              </w:rPr>
              <w:t>农业生产发展</w:t>
            </w:r>
          </w:p>
        </w:tc>
        <w:tc>
          <w:tcPr>
            <w:tcW w:w="2216" w:type="dxa"/>
            <w:vAlign w:val="top"/>
          </w:tcPr>
          <w:p>
            <w:pPr>
              <w:pStyle w:val="TableText"/>
              <w:ind w:right="8"/>
              <w:spacing w:before="72" w:line="215" w:lineRule="auto"/>
              <w:jc w:val="right"/>
              <w:rPr>
                <w:sz w:val="19"/>
                <w:szCs w:val="19"/>
              </w:rPr>
            </w:pPr>
            <w:r>
              <w:rPr>
                <w:sz w:val="19"/>
                <w:szCs w:val="19"/>
              </w:rPr>
              <w:t>90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3"/>
              <w:spacing w:before="78" w:line="210" w:lineRule="auto"/>
              <w:rPr>
                <w:sz w:val="19"/>
                <w:szCs w:val="19"/>
              </w:rPr>
            </w:pPr>
            <w:r>
              <w:rPr>
                <w:sz w:val="19"/>
                <w:szCs w:val="19"/>
                <w:spacing w:val="9"/>
              </w:rPr>
              <w:t>农村合作经济</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3"/>
              <w:spacing w:before="74" w:line="214" w:lineRule="auto"/>
              <w:rPr>
                <w:sz w:val="19"/>
                <w:szCs w:val="19"/>
              </w:rPr>
            </w:pPr>
            <w:r>
              <w:rPr>
                <w:sz w:val="19"/>
                <w:szCs w:val="19"/>
                <w:spacing w:val="9"/>
              </w:rPr>
              <w:t>农产品加工与促销</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3"/>
              <w:spacing w:before="78" w:line="210" w:lineRule="auto"/>
              <w:rPr>
                <w:sz w:val="19"/>
                <w:szCs w:val="19"/>
              </w:rPr>
            </w:pPr>
            <w:r>
              <w:rPr>
                <w:sz w:val="19"/>
                <w:szCs w:val="19"/>
                <w:spacing w:val="9"/>
              </w:rPr>
              <w:t>农村社会事业</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3"/>
              <w:spacing w:before="76" w:line="212" w:lineRule="auto"/>
              <w:rPr>
                <w:sz w:val="19"/>
                <w:szCs w:val="19"/>
              </w:rPr>
            </w:pPr>
            <w:r>
              <w:rPr>
                <w:sz w:val="19"/>
                <w:szCs w:val="19"/>
                <w:spacing w:val="9"/>
              </w:rPr>
              <w:t>农业资源保护修复与利用</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3"/>
              <w:spacing w:before="76" w:line="212" w:lineRule="auto"/>
              <w:rPr>
                <w:sz w:val="19"/>
                <w:szCs w:val="19"/>
              </w:rPr>
            </w:pPr>
            <w:r>
              <w:rPr>
                <w:sz w:val="19"/>
                <w:szCs w:val="19"/>
                <w:spacing w:val="9"/>
              </w:rPr>
              <w:t>农村道路建设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4" w:line="214" w:lineRule="auto"/>
              <w:rPr>
                <w:sz w:val="19"/>
                <w:szCs w:val="19"/>
              </w:rPr>
            </w:pPr>
            <w:r>
              <w:rPr>
                <w:sz w:val="19"/>
                <w:szCs w:val="19"/>
                <w:spacing w:val="9"/>
              </w:rPr>
              <w:t>成品油价格改革对渔业的补贴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7" w:line="210" w:lineRule="auto"/>
              <w:rPr>
                <w:sz w:val="19"/>
                <w:szCs w:val="19"/>
              </w:rPr>
            </w:pPr>
            <w:r>
              <w:rPr>
                <w:sz w:val="19"/>
                <w:szCs w:val="19"/>
                <w:spacing w:val="9"/>
              </w:rPr>
              <w:t>对高校毕业生到基层任职补助</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3"/>
              <w:spacing w:before="76" w:line="212" w:lineRule="auto"/>
              <w:rPr>
                <w:sz w:val="19"/>
                <w:szCs w:val="19"/>
              </w:rPr>
            </w:pPr>
            <w:r>
              <w:rPr>
                <w:sz w:val="19"/>
                <w:szCs w:val="19"/>
                <w:spacing w:val="9"/>
              </w:rPr>
              <w:t>农田建设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9" w:line="208" w:lineRule="auto"/>
              <w:rPr>
                <w:sz w:val="19"/>
                <w:szCs w:val="19"/>
              </w:rPr>
            </w:pPr>
            <w:r>
              <w:rPr>
                <w:sz w:val="19"/>
                <w:szCs w:val="19"/>
                <w:spacing w:val="9"/>
              </w:rPr>
              <w:t>其他农业农村支出</w:t>
            </w:r>
          </w:p>
        </w:tc>
        <w:tc>
          <w:tcPr>
            <w:tcW w:w="2216" w:type="dxa"/>
            <w:vAlign w:val="top"/>
          </w:tcPr>
          <w:p>
            <w:pPr>
              <w:pStyle w:val="TableText"/>
              <w:ind w:right="8"/>
              <w:spacing w:before="75" w:line="212" w:lineRule="auto"/>
              <w:jc w:val="right"/>
              <w:rPr>
                <w:sz w:val="19"/>
                <w:szCs w:val="19"/>
              </w:rPr>
            </w:pPr>
            <w:r>
              <w:rPr>
                <w:sz w:val="19"/>
                <w:szCs w:val="19"/>
                <w:spacing w:val="-2"/>
              </w:rPr>
              <w:t>1355</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1"/>
              <w:spacing w:before="82" w:line="206" w:lineRule="auto"/>
              <w:rPr>
                <w:sz w:val="19"/>
                <w:szCs w:val="19"/>
              </w:rPr>
            </w:pPr>
            <w:r>
              <w:rPr>
                <w:sz w:val="19"/>
                <w:szCs w:val="19"/>
                <w:spacing w:val="9"/>
              </w:rPr>
              <w:t>林业和草原</w:t>
            </w:r>
          </w:p>
        </w:tc>
        <w:tc>
          <w:tcPr>
            <w:tcW w:w="2216" w:type="dxa"/>
            <w:vAlign w:val="top"/>
          </w:tcPr>
          <w:p>
            <w:pPr>
              <w:pStyle w:val="TableText"/>
              <w:ind w:right="8"/>
              <w:spacing w:before="76" w:line="212" w:lineRule="auto"/>
              <w:jc w:val="right"/>
              <w:rPr>
                <w:sz w:val="19"/>
                <w:szCs w:val="19"/>
              </w:rPr>
            </w:pPr>
            <w:r>
              <w:rPr>
                <w:sz w:val="19"/>
                <w:szCs w:val="19"/>
                <w:spacing w:val="3"/>
              </w:rPr>
              <w:t>7950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80" w:line="207" w:lineRule="auto"/>
              <w:rPr>
                <w:sz w:val="19"/>
                <w:szCs w:val="19"/>
              </w:rPr>
            </w:pPr>
            <w:r>
              <w:rPr>
                <w:sz w:val="19"/>
                <w:szCs w:val="19"/>
                <w:spacing w:val="8"/>
              </w:rPr>
              <w:t>行政运行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0" w:line="208"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84" w:line="204"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2" w:line="206" w:lineRule="auto"/>
              <w:rPr>
                <w:sz w:val="19"/>
                <w:szCs w:val="19"/>
              </w:rPr>
            </w:pPr>
            <w:r>
              <w:rPr>
                <w:sz w:val="19"/>
                <w:szCs w:val="19"/>
                <w:spacing w:val="8"/>
              </w:rPr>
              <w:t>事业机构</w:t>
            </w:r>
          </w:p>
        </w:tc>
        <w:tc>
          <w:tcPr>
            <w:tcW w:w="2216" w:type="dxa"/>
            <w:vAlign w:val="top"/>
          </w:tcPr>
          <w:p>
            <w:pPr>
              <w:pStyle w:val="TableText"/>
              <w:ind w:right="8"/>
              <w:spacing w:before="78" w:line="210" w:lineRule="auto"/>
              <w:jc w:val="right"/>
              <w:rPr>
                <w:sz w:val="19"/>
                <w:szCs w:val="19"/>
              </w:rPr>
            </w:pPr>
            <w:r>
              <w:rPr>
                <w:sz w:val="19"/>
                <w:szCs w:val="19"/>
                <w:spacing w:val="3"/>
              </w:rPr>
              <w:t>7628</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81" w:line="206" w:lineRule="auto"/>
              <w:rPr>
                <w:sz w:val="19"/>
                <w:szCs w:val="19"/>
              </w:rPr>
            </w:pPr>
            <w:r>
              <w:rPr>
                <w:sz w:val="19"/>
                <w:szCs w:val="19"/>
                <w:spacing w:val="9"/>
              </w:rPr>
              <w:t>森林资源培育</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4" w:line="205" w:lineRule="auto"/>
              <w:rPr>
                <w:sz w:val="19"/>
                <w:szCs w:val="19"/>
              </w:rPr>
            </w:pPr>
            <w:r>
              <w:rPr>
                <w:sz w:val="19"/>
                <w:szCs w:val="19"/>
                <w:spacing w:val="9"/>
              </w:rPr>
              <w:t>技术推广与转化</w:t>
            </w:r>
          </w:p>
        </w:tc>
        <w:tc>
          <w:tcPr>
            <w:tcW w:w="2216" w:type="dxa"/>
            <w:vAlign w:val="top"/>
          </w:tcPr>
          <w:p>
            <w:pPr>
              <w:pStyle w:val="TableText"/>
              <w:ind w:right="8"/>
              <w:spacing w:before="78" w:line="210" w:lineRule="auto"/>
              <w:jc w:val="right"/>
              <w:rPr>
                <w:sz w:val="19"/>
                <w:szCs w:val="19"/>
              </w:rPr>
            </w:pPr>
            <w:r>
              <w:rPr>
                <w:sz w:val="19"/>
                <w:szCs w:val="19"/>
              </w:rPr>
              <w:t>20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84" w:line="204" w:lineRule="auto"/>
              <w:rPr>
                <w:sz w:val="19"/>
                <w:szCs w:val="19"/>
              </w:rPr>
            </w:pPr>
            <w:r>
              <w:rPr>
                <w:sz w:val="19"/>
                <w:szCs w:val="19"/>
                <w:spacing w:val="9"/>
              </w:rPr>
              <w:t>森林资源管理</w:t>
            </w:r>
          </w:p>
        </w:tc>
        <w:tc>
          <w:tcPr>
            <w:tcW w:w="2216" w:type="dxa"/>
            <w:vAlign w:val="top"/>
          </w:tcPr>
          <w:p>
            <w:pPr>
              <w:pStyle w:val="TableText"/>
              <w:ind w:right="6"/>
              <w:spacing w:before="79" w:line="208" w:lineRule="auto"/>
              <w:jc w:val="right"/>
              <w:rPr>
                <w:sz w:val="19"/>
                <w:szCs w:val="19"/>
              </w:rPr>
            </w:pPr>
            <w:r>
              <w:rPr>
                <w:sz w:val="19"/>
                <w:szCs w:val="19"/>
              </w:rPr>
              <w:t>2</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5" w:line="204" w:lineRule="auto"/>
              <w:rPr>
                <w:sz w:val="19"/>
                <w:szCs w:val="19"/>
              </w:rPr>
            </w:pPr>
            <w:r>
              <w:rPr>
                <w:sz w:val="19"/>
                <w:szCs w:val="19"/>
                <w:spacing w:val="9"/>
              </w:rPr>
              <w:t>森林生态效益补偿</w:t>
            </w:r>
          </w:p>
        </w:tc>
        <w:tc>
          <w:tcPr>
            <w:tcW w:w="2216" w:type="dxa"/>
            <w:vAlign w:val="top"/>
          </w:tcPr>
          <w:p>
            <w:pPr>
              <w:pStyle w:val="TableText"/>
              <w:ind w:right="6"/>
              <w:spacing w:before="80" w:line="208" w:lineRule="auto"/>
              <w:jc w:val="right"/>
              <w:rPr>
                <w:sz w:val="19"/>
                <w:szCs w:val="19"/>
              </w:rPr>
            </w:pPr>
            <w:r>
              <w:rPr>
                <w:sz w:val="19"/>
                <w:szCs w:val="19"/>
              </w:rPr>
              <w:t>9</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54"/>
              <w:spacing w:before="84" w:line="205" w:lineRule="auto"/>
              <w:rPr>
                <w:sz w:val="19"/>
                <w:szCs w:val="19"/>
              </w:rPr>
            </w:pPr>
            <w:r>
              <w:rPr>
                <w:sz w:val="19"/>
                <w:szCs w:val="19"/>
                <w:spacing w:val="4"/>
              </w:rPr>
              <w:t>自然保护区等管理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9"/>
              <w:spacing w:before="84" w:line="205" w:lineRule="auto"/>
              <w:rPr>
                <w:sz w:val="19"/>
                <w:szCs w:val="19"/>
              </w:rPr>
            </w:pPr>
            <w:r>
              <w:rPr>
                <w:sz w:val="19"/>
                <w:szCs w:val="19"/>
                <w:spacing w:val="8"/>
              </w:rPr>
              <w:t>动植物保护</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6" w:line="203" w:lineRule="auto"/>
              <w:rPr>
                <w:sz w:val="19"/>
                <w:szCs w:val="19"/>
              </w:rPr>
            </w:pPr>
            <w:r>
              <w:rPr>
                <w:sz w:val="19"/>
                <w:szCs w:val="19"/>
                <w:spacing w:val="8"/>
              </w:rPr>
              <w:t>湿地保护</w:t>
            </w:r>
          </w:p>
        </w:tc>
        <w:tc>
          <w:tcPr>
            <w:tcW w:w="2216" w:type="dxa"/>
            <w:vAlign w:val="top"/>
          </w:tcPr>
          <w:p>
            <w:pPr>
              <w:pStyle w:val="TableText"/>
              <w:ind w:right="8"/>
              <w:spacing w:before="80" w:line="208" w:lineRule="auto"/>
              <w:jc w:val="right"/>
              <w:rPr>
                <w:sz w:val="19"/>
                <w:szCs w:val="19"/>
              </w:rPr>
            </w:pPr>
            <w:r>
              <w:rPr>
                <w:sz w:val="19"/>
                <w:szCs w:val="19"/>
                <w:spacing w:val="1"/>
              </w:rPr>
              <w:t>232</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6" w:line="203" w:lineRule="auto"/>
              <w:rPr>
                <w:sz w:val="19"/>
                <w:szCs w:val="19"/>
              </w:rPr>
            </w:pPr>
            <w:r>
              <w:rPr>
                <w:sz w:val="19"/>
                <w:szCs w:val="19"/>
                <w:spacing w:val="8"/>
              </w:rPr>
              <w:t>执法与监督</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30"/>
              <w:spacing w:before="85" w:line="204" w:lineRule="auto"/>
              <w:rPr>
                <w:sz w:val="19"/>
                <w:szCs w:val="19"/>
              </w:rPr>
            </w:pPr>
            <w:r>
              <w:rPr>
                <w:sz w:val="19"/>
                <w:szCs w:val="19"/>
                <w:spacing w:val="5"/>
              </w:rPr>
              <w:t>防沙治沙</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2" w:line="206" w:lineRule="auto"/>
              <w:rPr>
                <w:sz w:val="19"/>
                <w:szCs w:val="19"/>
              </w:rPr>
            </w:pPr>
            <w:r>
              <w:rPr>
                <w:sz w:val="19"/>
                <w:szCs w:val="19"/>
                <w:spacing w:val="9"/>
              </w:rPr>
              <w:t>对外合作与交流</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6" w:line="203" w:lineRule="auto"/>
              <w:rPr>
                <w:sz w:val="19"/>
                <w:szCs w:val="19"/>
              </w:rPr>
            </w:pPr>
            <w:r>
              <w:rPr>
                <w:sz w:val="19"/>
                <w:szCs w:val="19"/>
                <w:spacing w:val="8"/>
              </w:rPr>
              <w:t>产业化管理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2" w:line="206" w:lineRule="auto"/>
              <w:rPr>
                <w:sz w:val="19"/>
                <w:szCs w:val="19"/>
              </w:rPr>
            </w:pPr>
            <w:r>
              <w:rPr>
                <w:sz w:val="19"/>
                <w:szCs w:val="19"/>
                <w:spacing w:val="8"/>
              </w:rPr>
              <w:t>信息管理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3"/>
              <w:spacing w:before="85" w:line="204" w:lineRule="auto"/>
              <w:rPr>
                <w:sz w:val="19"/>
                <w:szCs w:val="19"/>
              </w:rPr>
            </w:pPr>
            <w:r>
              <w:rPr>
                <w:sz w:val="19"/>
                <w:szCs w:val="19"/>
                <w:spacing w:val="9"/>
              </w:rPr>
              <w:t>林区公共支出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1" w:line="207" w:lineRule="auto"/>
              <w:rPr>
                <w:sz w:val="19"/>
                <w:szCs w:val="19"/>
              </w:rPr>
            </w:pPr>
            <w:r>
              <w:rPr>
                <w:sz w:val="19"/>
                <w:szCs w:val="19"/>
                <w:spacing w:val="8"/>
              </w:rPr>
              <w:t>贷款贴息</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0" w:line="208" w:lineRule="auto"/>
              <w:rPr>
                <w:sz w:val="19"/>
                <w:szCs w:val="19"/>
              </w:rPr>
            </w:pPr>
            <w:r>
              <w:rPr>
                <w:sz w:val="19"/>
                <w:szCs w:val="19"/>
                <w:spacing w:val="9"/>
              </w:rPr>
              <w:t>成品油价格改革对林业的补贴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3"/>
              <w:spacing w:before="87" w:line="202" w:lineRule="auto"/>
              <w:rPr>
                <w:sz w:val="19"/>
                <w:szCs w:val="19"/>
              </w:rPr>
            </w:pPr>
            <w:r>
              <w:rPr>
                <w:sz w:val="19"/>
                <w:szCs w:val="19"/>
                <w:spacing w:val="9"/>
              </w:rPr>
              <w:t>林业草原防灾减灾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36"/>
              <w:spacing w:before="85" w:line="204" w:lineRule="auto"/>
              <w:rPr>
                <w:sz w:val="19"/>
                <w:szCs w:val="19"/>
              </w:rPr>
            </w:pPr>
            <w:r>
              <w:rPr>
                <w:sz w:val="19"/>
                <w:szCs w:val="19"/>
                <w:spacing w:val="3"/>
              </w:rPr>
              <w:t>国家公园</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14" w:hRule="atLeast"/>
        </w:trPr>
        <w:tc>
          <w:tcPr>
            <w:tcW w:w="4612" w:type="dxa"/>
            <w:vAlign w:val="top"/>
            <w:tcBorders>
              <w:left w:val="single" w:color="000000" w:sz="6" w:space="0"/>
              <w:bottom w:val="single" w:color="000000" w:sz="6" w:space="0"/>
            </w:tcBorders>
          </w:tcPr>
          <w:p>
            <w:pPr>
              <w:pStyle w:val="TableText"/>
              <w:ind w:left="618"/>
              <w:spacing w:before="84" w:line="213" w:lineRule="auto"/>
              <w:rPr>
                <w:sz w:val="19"/>
                <w:szCs w:val="19"/>
              </w:rPr>
            </w:pPr>
            <w:r>
              <w:rPr>
                <w:sz w:val="19"/>
                <w:szCs w:val="19"/>
                <w:spacing w:val="8"/>
              </w:rPr>
              <w:t>草原管理</w:t>
            </w:r>
          </w:p>
        </w:tc>
        <w:tc>
          <w:tcPr>
            <w:tcW w:w="2216" w:type="dxa"/>
            <w:vAlign w:val="top"/>
            <w:tcBorders>
              <w:bottom w:val="single" w:color="000000" w:sz="6" w:space="0"/>
            </w:tcBorders>
          </w:tcPr>
          <w:p>
            <w:pPr>
              <w:rPr>
                <w:rFonts w:ascii="Arial"/>
                <w:sz w:val="21"/>
              </w:rPr>
            </w:pPr>
            <w:r/>
          </w:p>
        </w:tc>
        <w:tc>
          <w:tcPr>
            <w:tcW w:w="2013"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23"/>
          <w:footerReference w:type="default" r:id="rId45"/>
          <w:pgSz w:w="11907" w:h="16840"/>
          <w:pgMar w:top="1801" w:right="1525" w:bottom="1660" w:left="1525" w:header="1428" w:footer="1289" w:gutter="0"/>
        </w:sectPr>
        <w:rPr>
          <w:rFonts w:ascii="Arial" w:hAnsi="Arial" w:eastAsia="Arial" w:cs="Arial"/>
          <w:sz w:val="21"/>
          <w:szCs w:val="21"/>
        </w:rPr>
      </w:pPr>
    </w:p>
    <w:p>
      <w:pPr>
        <w:spacing w:line="240" w:lineRule="exact"/>
        <w:rPr/>
      </w:pPr>
      <w:r/>
    </w:p>
    <w:tbl>
      <w:tblPr>
        <w:tblStyle w:val="TableNormal"/>
        <w:tblW w:w="8841"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12"/>
        <w:gridCol w:w="2216"/>
        <w:gridCol w:w="2013"/>
      </w:tblGrid>
      <w:tr>
        <w:trPr>
          <w:trHeight w:val="312" w:hRule="atLeast"/>
        </w:trPr>
        <w:tc>
          <w:tcPr>
            <w:tcW w:w="4612" w:type="dxa"/>
            <w:vAlign w:val="top"/>
            <w:tcBorders>
              <w:left w:val="single" w:color="000000" w:sz="6" w:space="0"/>
              <w:top w:val="single" w:color="000000" w:sz="6" w:space="0"/>
            </w:tcBorders>
          </w:tcPr>
          <w:p>
            <w:pPr>
              <w:pStyle w:val="TableText"/>
              <w:ind w:left="2104"/>
              <w:spacing w:before="81" w:line="212" w:lineRule="auto"/>
              <w:rPr>
                <w:sz w:val="19"/>
                <w:szCs w:val="19"/>
              </w:rPr>
            </w:pPr>
            <w:r>
              <w:rPr>
                <w:sz w:val="19"/>
                <w:szCs w:val="19"/>
                <w:b/>
                <w:bCs/>
                <w:spacing w:val="6"/>
              </w:rPr>
              <w:t>项目</w:t>
            </w:r>
          </w:p>
        </w:tc>
        <w:tc>
          <w:tcPr>
            <w:tcW w:w="2216" w:type="dxa"/>
            <w:vAlign w:val="top"/>
            <w:tcBorders>
              <w:top w:val="single" w:color="000000" w:sz="6" w:space="0"/>
            </w:tcBorders>
          </w:tcPr>
          <w:p>
            <w:pPr>
              <w:pStyle w:val="TableText"/>
              <w:ind w:left="813"/>
              <w:spacing w:before="76" w:line="219" w:lineRule="auto"/>
              <w:rPr>
                <w:sz w:val="19"/>
                <w:szCs w:val="19"/>
              </w:rPr>
            </w:pPr>
            <w:r>
              <w:rPr>
                <w:sz w:val="19"/>
                <w:szCs w:val="19"/>
                <w:b/>
                <w:bCs/>
                <w:spacing w:val="5"/>
              </w:rPr>
              <w:t>预算数</w:t>
            </w:r>
          </w:p>
        </w:tc>
        <w:tc>
          <w:tcPr>
            <w:tcW w:w="2013" w:type="dxa"/>
            <w:vAlign w:val="top"/>
            <w:tcBorders>
              <w:right w:val="single" w:color="000000" w:sz="6" w:space="0"/>
              <w:top w:val="single" w:color="000000" w:sz="6" w:space="0"/>
            </w:tcBorders>
          </w:tcPr>
          <w:p>
            <w:pPr>
              <w:pStyle w:val="TableText"/>
              <w:ind w:left="806"/>
              <w:spacing w:before="76" w:line="219" w:lineRule="auto"/>
              <w:rPr>
                <w:sz w:val="19"/>
                <w:szCs w:val="19"/>
              </w:rPr>
            </w:pPr>
            <w:r>
              <w:rPr>
                <w:sz w:val="19"/>
                <w:szCs w:val="19"/>
                <w:b/>
                <w:bCs/>
                <w:spacing w:val="6"/>
              </w:rPr>
              <w:t>备注</w:t>
            </w:r>
          </w:p>
        </w:tc>
      </w:tr>
      <w:tr>
        <w:trPr>
          <w:trHeight w:val="304" w:hRule="atLeast"/>
        </w:trPr>
        <w:tc>
          <w:tcPr>
            <w:tcW w:w="4612" w:type="dxa"/>
            <w:vAlign w:val="top"/>
            <w:tcBorders>
              <w:left w:val="single" w:color="000000" w:sz="6" w:space="0"/>
            </w:tcBorders>
          </w:tcPr>
          <w:p>
            <w:pPr>
              <w:pStyle w:val="TableText"/>
              <w:ind w:left="615"/>
              <w:spacing w:before="70" w:line="217" w:lineRule="auto"/>
              <w:rPr>
                <w:sz w:val="19"/>
                <w:szCs w:val="19"/>
              </w:rPr>
            </w:pPr>
            <w:r>
              <w:rPr>
                <w:sz w:val="19"/>
                <w:szCs w:val="19"/>
                <w:spacing w:val="9"/>
              </w:rPr>
              <w:t>行业业务管理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1" w:line="216" w:lineRule="auto"/>
              <w:rPr>
                <w:sz w:val="19"/>
                <w:szCs w:val="19"/>
              </w:rPr>
            </w:pPr>
            <w:r>
              <w:rPr>
                <w:sz w:val="19"/>
                <w:szCs w:val="19"/>
                <w:spacing w:val="9"/>
              </w:rPr>
              <w:t>其他林业和草原支出</w:t>
            </w:r>
          </w:p>
        </w:tc>
        <w:tc>
          <w:tcPr>
            <w:tcW w:w="2216" w:type="dxa"/>
            <w:vAlign w:val="top"/>
          </w:tcPr>
          <w:p>
            <w:pPr>
              <w:pStyle w:val="TableText"/>
              <w:ind w:right="8"/>
              <w:spacing w:before="68" w:line="219" w:lineRule="auto"/>
              <w:jc w:val="right"/>
              <w:rPr>
                <w:sz w:val="19"/>
                <w:szCs w:val="19"/>
              </w:rPr>
            </w:pPr>
            <w:r>
              <w:rPr>
                <w:sz w:val="19"/>
                <w:szCs w:val="19"/>
              </w:rPr>
              <w:t>59</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3"/>
              <w:spacing w:before="73" w:line="214" w:lineRule="auto"/>
              <w:rPr>
                <w:sz w:val="19"/>
                <w:szCs w:val="19"/>
              </w:rPr>
            </w:pPr>
            <w:r>
              <w:rPr>
                <w:sz w:val="19"/>
                <w:szCs w:val="19"/>
                <w:spacing w:val="7"/>
              </w:rPr>
              <w:t>水利</w:t>
            </w:r>
          </w:p>
        </w:tc>
        <w:tc>
          <w:tcPr>
            <w:tcW w:w="2216" w:type="dxa"/>
            <w:vAlign w:val="top"/>
          </w:tcPr>
          <w:p>
            <w:pPr>
              <w:pStyle w:val="TableText"/>
              <w:ind w:right="8"/>
              <w:spacing w:before="68" w:line="219" w:lineRule="auto"/>
              <w:jc w:val="right"/>
              <w:rPr>
                <w:sz w:val="19"/>
                <w:szCs w:val="19"/>
              </w:rPr>
            </w:pPr>
            <w:r>
              <w:rPr>
                <w:sz w:val="19"/>
                <w:szCs w:val="19"/>
                <w:spacing w:val="-2"/>
              </w:rPr>
              <w:t>1202</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4" w:line="213" w:lineRule="auto"/>
              <w:rPr>
                <w:sz w:val="19"/>
                <w:szCs w:val="19"/>
              </w:rPr>
            </w:pPr>
            <w:r>
              <w:rPr>
                <w:sz w:val="19"/>
                <w:szCs w:val="19"/>
                <w:spacing w:val="8"/>
              </w:rPr>
              <w:t>行政运行</w:t>
            </w:r>
          </w:p>
        </w:tc>
        <w:tc>
          <w:tcPr>
            <w:tcW w:w="2216" w:type="dxa"/>
            <w:vAlign w:val="top"/>
          </w:tcPr>
          <w:p>
            <w:pPr>
              <w:pStyle w:val="TableText"/>
              <w:ind w:right="8"/>
              <w:spacing w:before="68" w:line="219" w:lineRule="auto"/>
              <w:jc w:val="right"/>
              <w:rPr>
                <w:sz w:val="19"/>
                <w:szCs w:val="19"/>
              </w:rPr>
            </w:pPr>
            <w:r>
              <w:rPr>
                <w:sz w:val="19"/>
                <w:szCs w:val="19"/>
                <w:spacing w:val="-4"/>
              </w:rPr>
              <w:t>190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3" w:line="214" w:lineRule="auto"/>
              <w:rPr>
                <w:sz w:val="19"/>
                <w:szCs w:val="19"/>
              </w:rPr>
            </w:pPr>
            <w:r>
              <w:rPr>
                <w:sz w:val="19"/>
                <w:szCs w:val="19"/>
                <w:spacing w:val="9"/>
              </w:rPr>
              <w:t>一般行政管理事务</w:t>
            </w:r>
          </w:p>
        </w:tc>
        <w:tc>
          <w:tcPr>
            <w:tcW w:w="2216" w:type="dxa"/>
            <w:vAlign w:val="top"/>
          </w:tcPr>
          <w:p>
            <w:pPr>
              <w:pStyle w:val="TableText"/>
              <w:ind w:right="8"/>
              <w:spacing w:before="69" w:line="218" w:lineRule="auto"/>
              <w:jc w:val="right"/>
              <w:rPr>
                <w:sz w:val="19"/>
                <w:szCs w:val="19"/>
              </w:rPr>
            </w:pPr>
            <w:r>
              <w:rPr>
                <w:sz w:val="19"/>
                <w:szCs w:val="19"/>
              </w:rPr>
              <w:t>21</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77" w:line="210"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7" w:line="211" w:lineRule="auto"/>
              <w:rPr>
                <w:sz w:val="19"/>
                <w:szCs w:val="19"/>
              </w:rPr>
            </w:pPr>
            <w:r>
              <w:rPr>
                <w:sz w:val="19"/>
                <w:szCs w:val="19"/>
                <w:spacing w:val="9"/>
              </w:rPr>
              <w:t>水利行业业务管理</w:t>
            </w:r>
          </w:p>
        </w:tc>
        <w:tc>
          <w:tcPr>
            <w:tcW w:w="2216" w:type="dxa"/>
            <w:vAlign w:val="top"/>
          </w:tcPr>
          <w:p>
            <w:pPr>
              <w:pStyle w:val="TableText"/>
              <w:ind w:right="8"/>
              <w:spacing w:before="72" w:line="216" w:lineRule="auto"/>
              <w:jc w:val="right"/>
              <w:rPr>
                <w:sz w:val="19"/>
                <w:szCs w:val="19"/>
              </w:rPr>
            </w:pPr>
            <w:r>
              <w:rPr>
                <w:sz w:val="19"/>
                <w:szCs w:val="19"/>
              </w:rPr>
              <w:t>362</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3" w:line="215" w:lineRule="auto"/>
              <w:rPr>
                <w:sz w:val="19"/>
                <w:szCs w:val="19"/>
              </w:rPr>
            </w:pPr>
            <w:r>
              <w:rPr>
                <w:sz w:val="19"/>
                <w:szCs w:val="19"/>
                <w:spacing w:val="9"/>
              </w:rPr>
              <w:t>水利工程建设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6" w:line="212" w:lineRule="auto"/>
              <w:rPr>
                <w:sz w:val="19"/>
                <w:szCs w:val="19"/>
              </w:rPr>
            </w:pPr>
            <w:r>
              <w:rPr>
                <w:sz w:val="19"/>
                <w:szCs w:val="19"/>
                <w:spacing w:val="9"/>
              </w:rPr>
              <w:t>水利工程运行与维护</w:t>
            </w:r>
          </w:p>
        </w:tc>
        <w:tc>
          <w:tcPr>
            <w:tcW w:w="2216" w:type="dxa"/>
            <w:vAlign w:val="top"/>
          </w:tcPr>
          <w:p>
            <w:pPr>
              <w:pStyle w:val="TableText"/>
              <w:ind w:right="8"/>
              <w:spacing w:before="71" w:line="217" w:lineRule="auto"/>
              <w:jc w:val="right"/>
              <w:rPr>
                <w:sz w:val="19"/>
                <w:szCs w:val="19"/>
              </w:rPr>
            </w:pPr>
            <w:r>
              <w:rPr>
                <w:sz w:val="19"/>
                <w:szCs w:val="19"/>
                <w:spacing w:val="2"/>
              </w:rPr>
              <w:t>480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8"/>
              <w:spacing w:before="76" w:line="212" w:lineRule="auto"/>
              <w:rPr>
                <w:sz w:val="19"/>
                <w:szCs w:val="19"/>
              </w:rPr>
            </w:pPr>
            <w:r>
              <w:rPr>
                <w:sz w:val="19"/>
                <w:szCs w:val="19"/>
                <w:spacing w:val="9"/>
              </w:rPr>
              <w:t>长江黄河等流域管理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6" w:line="212" w:lineRule="auto"/>
              <w:rPr>
                <w:sz w:val="19"/>
                <w:szCs w:val="19"/>
              </w:rPr>
            </w:pPr>
            <w:r>
              <w:rPr>
                <w:sz w:val="19"/>
                <w:szCs w:val="19"/>
                <w:spacing w:val="9"/>
              </w:rPr>
              <w:t>水利前期工作</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7" w:line="211" w:lineRule="auto"/>
              <w:rPr>
                <w:sz w:val="19"/>
                <w:szCs w:val="19"/>
              </w:rPr>
            </w:pPr>
            <w:r>
              <w:rPr>
                <w:sz w:val="19"/>
                <w:szCs w:val="19"/>
                <w:spacing w:val="9"/>
              </w:rPr>
              <w:t>水利执法监督</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5" w:line="213" w:lineRule="auto"/>
              <w:rPr>
                <w:sz w:val="19"/>
                <w:szCs w:val="19"/>
              </w:rPr>
            </w:pPr>
            <w:r>
              <w:rPr>
                <w:sz w:val="19"/>
                <w:szCs w:val="19"/>
                <w:spacing w:val="8"/>
              </w:rPr>
              <w:t>水土保持</w:t>
            </w:r>
          </w:p>
        </w:tc>
        <w:tc>
          <w:tcPr>
            <w:tcW w:w="2216" w:type="dxa"/>
            <w:vAlign w:val="top"/>
          </w:tcPr>
          <w:p>
            <w:pPr>
              <w:pStyle w:val="TableText"/>
              <w:ind w:right="8"/>
              <w:spacing w:before="71" w:line="217" w:lineRule="auto"/>
              <w:jc w:val="right"/>
              <w:rPr>
                <w:sz w:val="19"/>
                <w:szCs w:val="19"/>
              </w:rPr>
            </w:pPr>
            <w:r>
              <w:rPr>
                <w:sz w:val="19"/>
                <w:szCs w:val="19"/>
                <w:spacing w:val="-4"/>
              </w:rPr>
              <w:t>147</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6" w:line="211" w:lineRule="auto"/>
              <w:rPr>
                <w:sz w:val="19"/>
                <w:szCs w:val="19"/>
              </w:rPr>
            </w:pPr>
            <w:r>
              <w:rPr>
                <w:sz w:val="19"/>
                <w:szCs w:val="19"/>
                <w:spacing w:val="9"/>
              </w:rPr>
              <w:t>水资源节约管理与保护</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8" w:line="210" w:lineRule="auto"/>
              <w:rPr>
                <w:sz w:val="19"/>
                <w:szCs w:val="19"/>
              </w:rPr>
            </w:pPr>
            <w:r>
              <w:rPr>
                <w:sz w:val="19"/>
                <w:szCs w:val="19"/>
                <w:spacing w:val="8"/>
              </w:rPr>
              <w:t>水质监测</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8" w:line="210" w:lineRule="auto"/>
              <w:rPr>
                <w:sz w:val="19"/>
                <w:szCs w:val="19"/>
              </w:rPr>
            </w:pPr>
            <w:r>
              <w:rPr>
                <w:sz w:val="19"/>
                <w:szCs w:val="19"/>
                <w:spacing w:val="8"/>
              </w:rPr>
              <w:t>水文测报</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30"/>
              <w:spacing w:before="79" w:line="209" w:lineRule="auto"/>
              <w:rPr>
                <w:sz w:val="19"/>
                <w:szCs w:val="19"/>
              </w:rPr>
            </w:pPr>
            <w:r>
              <w:rPr>
                <w:sz w:val="19"/>
                <w:szCs w:val="19"/>
              </w:rPr>
              <w:t>防汛</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4"/>
              <w:spacing w:before="80" w:line="208" w:lineRule="auto"/>
              <w:rPr>
                <w:sz w:val="19"/>
                <w:szCs w:val="19"/>
              </w:rPr>
            </w:pPr>
            <w:r>
              <w:rPr>
                <w:sz w:val="19"/>
                <w:szCs w:val="19"/>
                <w:spacing w:val="7"/>
              </w:rPr>
              <w:t>抗旱</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3"/>
              <w:spacing w:before="78" w:line="210" w:lineRule="auto"/>
              <w:rPr>
                <w:sz w:val="19"/>
                <w:szCs w:val="19"/>
              </w:rPr>
            </w:pPr>
            <w:r>
              <w:rPr>
                <w:sz w:val="19"/>
                <w:szCs w:val="19"/>
                <w:spacing w:val="9"/>
              </w:rPr>
              <w:t>农村水利</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8" w:line="210" w:lineRule="auto"/>
              <w:rPr>
                <w:sz w:val="19"/>
                <w:szCs w:val="19"/>
              </w:rPr>
            </w:pPr>
            <w:r>
              <w:rPr>
                <w:sz w:val="19"/>
                <w:szCs w:val="19"/>
                <w:spacing w:val="9"/>
              </w:rPr>
              <w:t>水利技术推广</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36"/>
              <w:spacing w:before="77" w:line="211" w:lineRule="auto"/>
              <w:rPr>
                <w:sz w:val="19"/>
                <w:szCs w:val="19"/>
              </w:rPr>
            </w:pPr>
            <w:r>
              <w:rPr>
                <w:sz w:val="19"/>
                <w:szCs w:val="19"/>
                <w:spacing w:val="7"/>
              </w:rPr>
              <w:t>国际河流治理与管理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20"/>
              <w:spacing w:before="77" w:line="211" w:lineRule="auto"/>
              <w:rPr>
                <w:sz w:val="19"/>
                <w:szCs w:val="19"/>
              </w:rPr>
            </w:pPr>
            <w:r>
              <w:rPr>
                <w:sz w:val="19"/>
                <w:szCs w:val="19"/>
                <w:spacing w:val="9"/>
              </w:rPr>
              <w:t>江河湖库水系综合整治</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20"/>
              <w:spacing w:before="76" w:line="212" w:lineRule="auto"/>
              <w:rPr>
                <w:sz w:val="19"/>
                <w:szCs w:val="19"/>
              </w:rPr>
            </w:pPr>
            <w:r>
              <w:rPr>
                <w:sz w:val="19"/>
                <w:szCs w:val="19"/>
                <w:spacing w:val="9"/>
              </w:rPr>
              <w:t>大中型水库移民后期扶持专项支出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8" w:line="210" w:lineRule="auto"/>
              <w:rPr>
                <w:sz w:val="19"/>
                <w:szCs w:val="19"/>
              </w:rPr>
            </w:pPr>
            <w:r>
              <w:rPr>
                <w:sz w:val="19"/>
                <w:szCs w:val="19"/>
                <w:spacing w:val="9"/>
              </w:rPr>
              <w:t>水利安全监督</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4" w:line="214" w:lineRule="auto"/>
              <w:rPr>
                <w:sz w:val="19"/>
                <w:szCs w:val="19"/>
              </w:rPr>
            </w:pPr>
            <w:r>
              <w:rPr>
                <w:sz w:val="19"/>
                <w:szCs w:val="19"/>
                <w:spacing w:val="8"/>
              </w:rPr>
              <w:t>信息管理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5" w:line="212" w:lineRule="auto"/>
              <w:rPr>
                <w:sz w:val="19"/>
                <w:szCs w:val="19"/>
              </w:rPr>
            </w:pPr>
            <w:r>
              <w:rPr>
                <w:sz w:val="19"/>
                <w:szCs w:val="19"/>
                <w:spacing w:val="9"/>
              </w:rPr>
              <w:t>水利建设征地及移民支出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3"/>
              <w:spacing w:before="78" w:line="210" w:lineRule="auto"/>
              <w:rPr>
                <w:sz w:val="19"/>
                <w:szCs w:val="19"/>
              </w:rPr>
            </w:pPr>
            <w:r>
              <w:rPr>
                <w:sz w:val="19"/>
                <w:szCs w:val="19"/>
                <w:spacing w:val="9"/>
              </w:rPr>
              <w:t>农村人畜饮水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5" w:line="212" w:lineRule="auto"/>
              <w:rPr>
                <w:sz w:val="19"/>
                <w:szCs w:val="19"/>
              </w:rPr>
            </w:pPr>
            <w:r>
              <w:rPr>
                <w:sz w:val="19"/>
                <w:szCs w:val="19"/>
                <w:spacing w:val="9"/>
              </w:rPr>
              <w:t>南水北调工程建设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8" w:line="210" w:lineRule="auto"/>
              <w:rPr>
                <w:sz w:val="19"/>
                <w:szCs w:val="19"/>
              </w:rPr>
            </w:pPr>
            <w:r>
              <w:rPr>
                <w:sz w:val="19"/>
                <w:szCs w:val="19"/>
                <w:spacing w:val="9"/>
              </w:rPr>
              <w:t>南水北调工程管理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9" w:line="208" w:lineRule="auto"/>
              <w:rPr>
                <w:sz w:val="19"/>
                <w:szCs w:val="19"/>
              </w:rPr>
            </w:pPr>
            <w:r>
              <w:rPr>
                <w:sz w:val="19"/>
                <w:szCs w:val="19"/>
                <w:spacing w:val="9"/>
              </w:rPr>
              <w:t>其他水利支出</w:t>
            </w:r>
          </w:p>
        </w:tc>
        <w:tc>
          <w:tcPr>
            <w:tcW w:w="2216" w:type="dxa"/>
            <w:vAlign w:val="top"/>
          </w:tcPr>
          <w:p>
            <w:pPr>
              <w:pStyle w:val="TableText"/>
              <w:ind w:right="6"/>
              <w:spacing w:before="75" w:line="212" w:lineRule="auto"/>
              <w:jc w:val="right"/>
              <w:rPr>
                <w:sz w:val="19"/>
                <w:szCs w:val="19"/>
              </w:rPr>
            </w:pPr>
            <w:r>
              <w:rPr>
                <w:sz w:val="19"/>
                <w:szCs w:val="19"/>
              </w:rPr>
              <w:t>2</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5"/>
              <w:spacing w:before="81" w:line="207" w:lineRule="auto"/>
              <w:rPr>
                <w:sz w:val="19"/>
                <w:szCs w:val="19"/>
              </w:rPr>
            </w:pPr>
            <w:r>
              <w:rPr>
                <w:sz w:val="19"/>
                <w:szCs w:val="19"/>
                <w:spacing w:val="6"/>
              </w:rPr>
              <w:t>扶贫</w:t>
            </w:r>
          </w:p>
        </w:tc>
        <w:tc>
          <w:tcPr>
            <w:tcW w:w="2216" w:type="dxa"/>
            <w:vAlign w:val="top"/>
          </w:tcPr>
          <w:p>
            <w:pPr>
              <w:pStyle w:val="TableText"/>
              <w:ind w:right="8"/>
              <w:spacing w:before="76" w:line="212" w:lineRule="auto"/>
              <w:jc w:val="right"/>
              <w:rPr>
                <w:sz w:val="19"/>
                <w:szCs w:val="19"/>
              </w:rPr>
            </w:pPr>
            <w:r>
              <w:rPr>
                <w:sz w:val="19"/>
                <w:szCs w:val="19"/>
              </w:rPr>
              <w:t>328</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80" w:line="207" w:lineRule="auto"/>
              <w:rPr>
                <w:sz w:val="19"/>
                <w:szCs w:val="19"/>
              </w:rPr>
            </w:pPr>
            <w:r>
              <w:rPr>
                <w:sz w:val="19"/>
                <w:szCs w:val="19"/>
                <w:spacing w:val="8"/>
              </w:rPr>
              <w:t>行政运行</w:t>
            </w:r>
          </w:p>
        </w:tc>
        <w:tc>
          <w:tcPr>
            <w:tcW w:w="2216" w:type="dxa"/>
            <w:vAlign w:val="top"/>
          </w:tcPr>
          <w:p>
            <w:pPr>
              <w:pStyle w:val="TableText"/>
              <w:ind w:right="8"/>
              <w:spacing w:before="75" w:line="212" w:lineRule="auto"/>
              <w:jc w:val="right"/>
              <w:rPr>
                <w:sz w:val="19"/>
                <w:szCs w:val="19"/>
              </w:rPr>
            </w:pPr>
            <w:r>
              <w:rPr>
                <w:sz w:val="19"/>
                <w:szCs w:val="19"/>
                <w:spacing w:val="1"/>
              </w:rPr>
              <w:t>228</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0" w:line="208" w:lineRule="auto"/>
              <w:rPr>
                <w:sz w:val="19"/>
                <w:szCs w:val="19"/>
              </w:rPr>
            </w:pPr>
            <w:r>
              <w:rPr>
                <w:sz w:val="19"/>
                <w:szCs w:val="19"/>
                <w:spacing w:val="9"/>
              </w:rPr>
              <w:t>一般行政管理事务</w:t>
            </w:r>
          </w:p>
        </w:tc>
        <w:tc>
          <w:tcPr>
            <w:tcW w:w="2216" w:type="dxa"/>
            <w:vAlign w:val="top"/>
          </w:tcPr>
          <w:p>
            <w:pPr>
              <w:pStyle w:val="TableText"/>
              <w:ind w:right="8"/>
              <w:spacing w:before="76" w:line="212" w:lineRule="auto"/>
              <w:jc w:val="right"/>
              <w:rPr>
                <w:sz w:val="19"/>
                <w:szCs w:val="19"/>
              </w:rPr>
            </w:pPr>
            <w:r>
              <w:rPr>
                <w:sz w:val="19"/>
                <w:szCs w:val="19"/>
                <w:spacing w:val="-4"/>
              </w:rPr>
              <w:t>100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84" w:line="204"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3"/>
              <w:spacing w:before="80" w:line="208" w:lineRule="auto"/>
              <w:rPr>
                <w:sz w:val="19"/>
                <w:szCs w:val="19"/>
              </w:rPr>
            </w:pPr>
            <w:r>
              <w:rPr>
                <w:sz w:val="19"/>
                <w:szCs w:val="19"/>
                <w:spacing w:val="9"/>
              </w:rPr>
              <w:t>农村基础设施建设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8"/>
              <w:spacing w:before="83" w:line="205" w:lineRule="auto"/>
              <w:rPr>
                <w:sz w:val="19"/>
                <w:szCs w:val="19"/>
              </w:rPr>
            </w:pPr>
            <w:r>
              <w:rPr>
                <w:sz w:val="19"/>
                <w:szCs w:val="19"/>
                <w:spacing w:val="8"/>
              </w:rPr>
              <w:t>生产发展</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5" w:line="204" w:lineRule="auto"/>
              <w:rPr>
                <w:sz w:val="19"/>
                <w:szCs w:val="19"/>
              </w:rPr>
            </w:pPr>
            <w:r>
              <w:rPr>
                <w:sz w:val="19"/>
                <w:szCs w:val="19"/>
                <w:spacing w:val="8"/>
              </w:rPr>
              <w:t>社会发展</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83" w:line="205" w:lineRule="auto"/>
              <w:rPr>
                <w:sz w:val="19"/>
                <w:szCs w:val="19"/>
              </w:rPr>
            </w:pPr>
            <w:r>
              <w:rPr>
                <w:sz w:val="19"/>
                <w:szCs w:val="19"/>
                <w:spacing w:val="9"/>
              </w:rPr>
              <w:t>扶贫贷款奖补和贴息</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715"/>
              <w:spacing w:before="82" w:line="206" w:lineRule="auto"/>
              <w:rPr>
                <w:sz w:val="19"/>
                <w:szCs w:val="19"/>
              </w:rPr>
            </w:pPr>
            <w:r>
              <w:rPr>
                <w:sz w:val="19"/>
                <w:szCs w:val="19"/>
                <w:spacing w:val="9"/>
              </w:rPr>
              <w:t>“三西”农业建设专项补助</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14" w:hRule="atLeast"/>
        </w:trPr>
        <w:tc>
          <w:tcPr>
            <w:tcW w:w="4612" w:type="dxa"/>
            <w:vAlign w:val="top"/>
            <w:tcBorders>
              <w:left w:val="single" w:color="000000" w:sz="6" w:space="0"/>
              <w:bottom w:val="single" w:color="000000" w:sz="6" w:space="0"/>
            </w:tcBorders>
          </w:tcPr>
          <w:p>
            <w:pPr>
              <w:pStyle w:val="TableText"/>
              <w:ind w:left="616"/>
              <w:spacing w:before="84" w:line="213" w:lineRule="auto"/>
              <w:rPr>
                <w:sz w:val="19"/>
                <w:szCs w:val="19"/>
              </w:rPr>
            </w:pPr>
            <w:r>
              <w:rPr>
                <w:sz w:val="19"/>
                <w:szCs w:val="19"/>
                <w:spacing w:val="9"/>
              </w:rPr>
              <w:t>扶贫事业机构</w:t>
            </w:r>
          </w:p>
        </w:tc>
        <w:tc>
          <w:tcPr>
            <w:tcW w:w="2216" w:type="dxa"/>
            <w:vAlign w:val="top"/>
            <w:tcBorders>
              <w:bottom w:val="single" w:color="000000" w:sz="6" w:space="0"/>
            </w:tcBorders>
          </w:tcPr>
          <w:p>
            <w:pPr>
              <w:rPr>
                <w:rFonts w:ascii="Arial"/>
                <w:sz w:val="21"/>
              </w:rPr>
            </w:pPr>
            <w:r/>
          </w:p>
        </w:tc>
        <w:tc>
          <w:tcPr>
            <w:tcW w:w="2013" w:type="dxa"/>
            <w:vAlign w:val="top"/>
            <w:tcBorders>
              <w:bottom w:val="single" w:color="000000" w:sz="6" w:space="0"/>
              <w:right w:val="single" w:color="000000" w:sz="6" w:space="0"/>
            </w:tcBorders>
          </w:tcPr>
          <w:p>
            <w:pPr>
              <w:rPr>
                <w:rFonts w:ascii="Arial"/>
                <w:sz w:val="21"/>
              </w:rPr>
            </w:pPr>
            <w:r/>
          </w:p>
        </w:tc>
      </w:tr>
    </w:tbl>
    <w:p>
      <w:pPr>
        <w:spacing w:line="134" w:lineRule="exact"/>
        <w:rPr>
          <w:rFonts w:ascii="Arial"/>
          <w:sz w:val="11"/>
        </w:rPr>
      </w:pPr>
      <w:r/>
    </w:p>
    <w:p>
      <w:pPr>
        <w:spacing w:line="134" w:lineRule="exact"/>
        <w:sectPr>
          <w:headerReference w:type="default" r:id="rId25"/>
          <w:footerReference w:type="default" r:id="rId46"/>
          <w:pgSz w:w="11907" w:h="16840"/>
          <w:pgMar w:top="1845" w:right="1525" w:bottom="1671" w:left="1525" w:header="1428" w:footer="1277" w:gutter="0"/>
        </w:sectPr>
        <w:rPr>
          <w:rFonts w:ascii="Arial" w:hAnsi="Arial" w:eastAsia="Arial" w:cs="Arial"/>
          <w:sz w:val="11"/>
          <w:szCs w:val="11"/>
        </w:rPr>
      </w:pPr>
    </w:p>
    <w:p>
      <w:pPr>
        <w:spacing w:line="143" w:lineRule="exact"/>
        <w:rPr/>
      </w:pPr>
      <w:r/>
    </w:p>
    <w:tbl>
      <w:tblPr>
        <w:tblStyle w:val="TableNormal"/>
        <w:tblW w:w="8841"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12"/>
        <w:gridCol w:w="2216"/>
        <w:gridCol w:w="2013"/>
      </w:tblGrid>
      <w:tr>
        <w:trPr>
          <w:trHeight w:val="312" w:hRule="atLeast"/>
        </w:trPr>
        <w:tc>
          <w:tcPr>
            <w:tcW w:w="4612" w:type="dxa"/>
            <w:vAlign w:val="top"/>
            <w:tcBorders>
              <w:left w:val="single" w:color="000000" w:sz="6" w:space="0"/>
              <w:top w:val="single" w:color="000000" w:sz="6" w:space="0"/>
            </w:tcBorders>
          </w:tcPr>
          <w:p>
            <w:pPr>
              <w:pStyle w:val="TableText"/>
              <w:ind w:left="2104"/>
              <w:spacing w:before="81" w:line="212" w:lineRule="auto"/>
              <w:rPr>
                <w:sz w:val="19"/>
                <w:szCs w:val="19"/>
              </w:rPr>
            </w:pPr>
            <w:r>
              <w:rPr>
                <w:sz w:val="19"/>
                <w:szCs w:val="19"/>
                <w:b/>
                <w:bCs/>
                <w:spacing w:val="6"/>
              </w:rPr>
              <w:t>项目</w:t>
            </w:r>
          </w:p>
        </w:tc>
        <w:tc>
          <w:tcPr>
            <w:tcW w:w="2216" w:type="dxa"/>
            <w:vAlign w:val="top"/>
            <w:tcBorders>
              <w:top w:val="single" w:color="000000" w:sz="6" w:space="0"/>
            </w:tcBorders>
          </w:tcPr>
          <w:p>
            <w:pPr>
              <w:pStyle w:val="TableText"/>
              <w:ind w:left="813"/>
              <w:spacing w:before="75" w:line="220" w:lineRule="auto"/>
              <w:rPr>
                <w:sz w:val="19"/>
                <w:szCs w:val="19"/>
              </w:rPr>
            </w:pPr>
            <w:r>
              <w:rPr>
                <w:sz w:val="19"/>
                <w:szCs w:val="19"/>
                <w:b/>
                <w:bCs/>
                <w:spacing w:val="5"/>
              </w:rPr>
              <w:t>预算数</w:t>
            </w:r>
          </w:p>
        </w:tc>
        <w:tc>
          <w:tcPr>
            <w:tcW w:w="2013" w:type="dxa"/>
            <w:vAlign w:val="top"/>
            <w:tcBorders>
              <w:right w:val="single" w:color="000000" w:sz="6" w:space="0"/>
              <w:top w:val="single" w:color="000000" w:sz="6" w:space="0"/>
            </w:tcBorders>
          </w:tcPr>
          <w:p>
            <w:pPr>
              <w:pStyle w:val="TableText"/>
              <w:ind w:left="806"/>
              <w:spacing w:before="75" w:line="220" w:lineRule="auto"/>
              <w:rPr>
                <w:sz w:val="19"/>
                <w:szCs w:val="19"/>
              </w:rPr>
            </w:pPr>
            <w:r>
              <w:rPr>
                <w:sz w:val="19"/>
                <w:szCs w:val="19"/>
                <w:b/>
                <w:bCs/>
                <w:spacing w:val="6"/>
              </w:rPr>
              <w:t>备注</w:t>
            </w:r>
          </w:p>
        </w:tc>
      </w:tr>
      <w:tr>
        <w:trPr>
          <w:trHeight w:val="304" w:hRule="atLeast"/>
        </w:trPr>
        <w:tc>
          <w:tcPr>
            <w:tcW w:w="4612" w:type="dxa"/>
            <w:vAlign w:val="top"/>
            <w:tcBorders>
              <w:left w:val="single" w:color="000000" w:sz="6" w:space="0"/>
            </w:tcBorders>
          </w:tcPr>
          <w:p>
            <w:pPr>
              <w:pStyle w:val="TableText"/>
              <w:ind w:left="615"/>
              <w:spacing w:before="70" w:line="217" w:lineRule="auto"/>
              <w:rPr>
                <w:sz w:val="19"/>
                <w:szCs w:val="19"/>
              </w:rPr>
            </w:pPr>
            <w:r>
              <w:rPr>
                <w:sz w:val="19"/>
                <w:szCs w:val="19"/>
                <w:spacing w:val="9"/>
              </w:rPr>
              <w:t>其他扶贫支出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1"/>
              <w:spacing w:before="71" w:line="216" w:lineRule="auto"/>
              <w:rPr>
                <w:sz w:val="19"/>
                <w:szCs w:val="19"/>
              </w:rPr>
            </w:pPr>
            <w:r>
              <w:rPr>
                <w:sz w:val="19"/>
                <w:szCs w:val="19"/>
                <w:spacing w:val="9"/>
              </w:rPr>
              <w:t>农村综合改革</w:t>
            </w:r>
          </w:p>
        </w:tc>
        <w:tc>
          <w:tcPr>
            <w:tcW w:w="2216" w:type="dxa"/>
            <w:vAlign w:val="top"/>
          </w:tcPr>
          <w:p>
            <w:pPr>
              <w:pStyle w:val="TableText"/>
              <w:ind w:right="7"/>
              <w:spacing w:before="67" w:line="220"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69" w:line="218" w:lineRule="auto"/>
              <w:rPr>
                <w:sz w:val="19"/>
                <w:szCs w:val="19"/>
              </w:rPr>
            </w:pPr>
            <w:r>
              <w:rPr>
                <w:sz w:val="19"/>
                <w:szCs w:val="19"/>
                <w:spacing w:val="9"/>
              </w:rPr>
              <w:t>对村级公益事业建设的补助</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36"/>
              <w:spacing w:before="73" w:line="214" w:lineRule="auto"/>
              <w:rPr>
                <w:sz w:val="19"/>
                <w:szCs w:val="19"/>
              </w:rPr>
            </w:pPr>
            <w:r>
              <w:rPr>
                <w:sz w:val="19"/>
                <w:szCs w:val="19"/>
                <w:spacing w:val="8"/>
              </w:rPr>
              <w:t>国有农场办社会职能改革补助</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6" w:line="211" w:lineRule="auto"/>
              <w:rPr>
                <w:sz w:val="19"/>
                <w:szCs w:val="19"/>
              </w:rPr>
            </w:pPr>
            <w:r>
              <w:rPr>
                <w:sz w:val="19"/>
                <w:szCs w:val="19"/>
                <w:spacing w:val="9"/>
              </w:rPr>
              <w:t>对村民委员会和村党支部的补助</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3" w:line="214" w:lineRule="auto"/>
              <w:rPr>
                <w:sz w:val="19"/>
                <w:szCs w:val="19"/>
              </w:rPr>
            </w:pPr>
            <w:r>
              <w:rPr>
                <w:sz w:val="19"/>
                <w:szCs w:val="19"/>
                <w:spacing w:val="9"/>
              </w:rPr>
              <w:t>对村集体经济组织的补助</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3"/>
              <w:spacing w:before="75" w:line="212" w:lineRule="auto"/>
              <w:rPr>
                <w:sz w:val="19"/>
                <w:szCs w:val="19"/>
              </w:rPr>
            </w:pPr>
            <w:r>
              <w:rPr>
                <w:sz w:val="19"/>
                <w:szCs w:val="19"/>
                <w:spacing w:val="9"/>
              </w:rPr>
              <w:t>农村综合改革示范试点补助</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5" w:line="212" w:lineRule="auto"/>
              <w:rPr>
                <w:sz w:val="19"/>
                <w:szCs w:val="19"/>
              </w:rPr>
            </w:pPr>
            <w:r>
              <w:rPr>
                <w:sz w:val="19"/>
                <w:szCs w:val="19"/>
                <w:spacing w:val="9"/>
              </w:rPr>
              <w:t>其他农村综合改革支出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3"/>
              <w:spacing w:before="79" w:line="209" w:lineRule="auto"/>
              <w:rPr>
                <w:sz w:val="19"/>
                <w:szCs w:val="19"/>
              </w:rPr>
            </w:pPr>
            <w:r>
              <w:rPr>
                <w:sz w:val="19"/>
                <w:szCs w:val="19"/>
                <w:spacing w:val="9"/>
              </w:rPr>
              <w:t>普惠金融发展支出</w:t>
            </w:r>
          </w:p>
        </w:tc>
        <w:tc>
          <w:tcPr>
            <w:tcW w:w="2216" w:type="dxa"/>
            <w:vAlign w:val="top"/>
          </w:tcPr>
          <w:p>
            <w:pPr>
              <w:pStyle w:val="TableText"/>
              <w:ind w:right="8"/>
              <w:spacing w:before="74" w:line="214" w:lineRule="auto"/>
              <w:jc w:val="right"/>
              <w:rPr>
                <w:sz w:val="19"/>
                <w:szCs w:val="19"/>
              </w:rPr>
            </w:pPr>
            <w:r>
              <w:rPr>
                <w:sz w:val="19"/>
                <w:szCs w:val="19"/>
                <w:spacing w:val="-2"/>
              </w:rPr>
              <w:t>1139</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8" w:line="210" w:lineRule="auto"/>
              <w:rPr>
                <w:sz w:val="19"/>
                <w:szCs w:val="19"/>
              </w:rPr>
            </w:pPr>
            <w:r>
              <w:rPr>
                <w:sz w:val="19"/>
                <w:szCs w:val="19"/>
                <w:spacing w:val="9"/>
              </w:rPr>
              <w:t>支持农村金融机构</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8"/>
              <w:spacing w:before="76" w:line="212" w:lineRule="auto"/>
              <w:rPr>
                <w:sz w:val="19"/>
                <w:szCs w:val="19"/>
              </w:rPr>
            </w:pPr>
            <w:r>
              <w:rPr>
                <w:sz w:val="19"/>
                <w:szCs w:val="19"/>
                <w:spacing w:val="8"/>
              </w:rPr>
              <w:t>涉农贷款增量奖励</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3"/>
              <w:spacing w:before="77" w:line="211" w:lineRule="auto"/>
              <w:rPr>
                <w:sz w:val="19"/>
                <w:szCs w:val="19"/>
              </w:rPr>
            </w:pPr>
            <w:r>
              <w:rPr>
                <w:sz w:val="19"/>
                <w:szCs w:val="19"/>
                <w:spacing w:val="9"/>
              </w:rPr>
              <w:t>农业保险保费补贴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7" w:line="211" w:lineRule="auto"/>
              <w:rPr>
                <w:sz w:val="19"/>
                <w:szCs w:val="19"/>
              </w:rPr>
            </w:pPr>
            <w:r>
              <w:rPr>
                <w:sz w:val="19"/>
                <w:szCs w:val="19"/>
                <w:spacing w:val="9"/>
              </w:rPr>
              <w:t>创业担保贷款贴息</w:t>
            </w:r>
          </w:p>
        </w:tc>
        <w:tc>
          <w:tcPr>
            <w:tcW w:w="2216" w:type="dxa"/>
            <w:vAlign w:val="top"/>
          </w:tcPr>
          <w:p>
            <w:pPr>
              <w:pStyle w:val="TableText"/>
              <w:ind w:right="8"/>
              <w:spacing w:before="74" w:line="214" w:lineRule="auto"/>
              <w:jc w:val="right"/>
              <w:rPr>
                <w:sz w:val="19"/>
                <w:szCs w:val="19"/>
              </w:rPr>
            </w:pPr>
            <w:r>
              <w:rPr>
                <w:sz w:val="19"/>
                <w:szCs w:val="19"/>
                <w:spacing w:val="-2"/>
              </w:rPr>
              <w:t>1139</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7" w:line="211" w:lineRule="auto"/>
              <w:rPr>
                <w:sz w:val="19"/>
                <w:szCs w:val="19"/>
              </w:rPr>
            </w:pPr>
            <w:r>
              <w:rPr>
                <w:sz w:val="19"/>
                <w:szCs w:val="19"/>
                <w:spacing w:val="9"/>
              </w:rPr>
              <w:t>补充创业担保贷款基金</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7" w:line="210" w:lineRule="auto"/>
              <w:rPr>
                <w:sz w:val="19"/>
                <w:szCs w:val="19"/>
              </w:rPr>
            </w:pPr>
            <w:r>
              <w:rPr>
                <w:sz w:val="19"/>
                <w:szCs w:val="19"/>
                <w:spacing w:val="9"/>
              </w:rPr>
              <w:t>其他普惠金融发展支出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52"/>
              <w:spacing w:before="79" w:line="209" w:lineRule="auto"/>
              <w:rPr>
                <w:sz w:val="19"/>
                <w:szCs w:val="19"/>
              </w:rPr>
            </w:pPr>
            <w:r>
              <w:rPr>
                <w:sz w:val="19"/>
                <w:szCs w:val="19"/>
                <w:spacing w:val="2"/>
              </w:rPr>
              <w:t>目标价格补贴</w:t>
            </w:r>
          </w:p>
        </w:tc>
        <w:tc>
          <w:tcPr>
            <w:tcW w:w="2216" w:type="dxa"/>
            <w:vAlign w:val="top"/>
          </w:tcPr>
          <w:p>
            <w:pPr>
              <w:pStyle w:val="TableText"/>
              <w:ind w:right="7"/>
              <w:spacing w:before="74" w:line="214"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80" w:line="207" w:lineRule="auto"/>
              <w:rPr>
                <w:sz w:val="19"/>
                <w:szCs w:val="19"/>
              </w:rPr>
            </w:pPr>
            <w:r>
              <w:rPr>
                <w:sz w:val="19"/>
                <w:szCs w:val="19"/>
                <w:spacing w:val="9"/>
              </w:rPr>
              <w:t>棉花目标价格补贴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9" w:line="209" w:lineRule="auto"/>
              <w:rPr>
                <w:sz w:val="19"/>
                <w:szCs w:val="19"/>
              </w:rPr>
            </w:pPr>
            <w:r>
              <w:rPr>
                <w:sz w:val="19"/>
                <w:szCs w:val="19"/>
                <w:spacing w:val="9"/>
              </w:rPr>
              <w:t>其他目标价格补贴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3"/>
              <w:spacing w:before="79" w:line="208" w:lineRule="auto"/>
              <w:rPr>
                <w:sz w:val="19"/>
                <w:szCs w:val="19"/>
              </w:rPr>
            </w:pPr>
            <w:r>
              <w:rPr>
                <w:sz w:val="19"/>
                <w:szCs w:val="19"/>
                <w:spacing w:val="9"/>
              </w:rPr>
              <w:t>其他农林水支出</w:t>
            </w:r>
          </w:p>
        </w:tc>
        <w:tc>
          <w:tcPr>
            <w:tcW w:w="2216" w:type="dxa"/>
            <w:vAlign w:val="top"/>
          </w:tcPr>
          <w:p>
            <w:pPr>
              <w:pStyle w:val="TableText"/>
              <w:ind w:right="7"/>
              <w:spacing w:before="75" w:line="212"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9" w:line="209" w:lineRule="auto"/>
              <w:rPr>
                <w:sz w:val="19"/>
                <w:szCs w:val="19"/>
              </w:rPr>
            </w:pPr>
            <w:r>
              <w:rPr>
                <w:sz w:val="19"/>
                <w:szCs w:val="19"/>
                <w:spacing w:val="9"/>
              </w:rPr>
              <w:t>化解其他公益性乡村债务支出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81" w:line="206" w:lineRule="auto"/>
              <w:rPr>
                <w:sz w:val="19"/>
                <w:szCs w:val="19"/>
              </w:rPr>
            </w:pPr>
            <w:r>
              <w:rPr>
                <w:sz w:val="19"/>
                <w:szCs w:val="19"/>
                <w:spacing w:val="9"/>
              </w:rPr>
              <w:t>其他农林水支出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23"/>
              <w:spacing w:before="84" w:line="205" w:lineRule="auto"/>
              <w:rPr>
                <w:sz w:val="19"/>
                <w:szCs w:val="19"/>
              </w:rPr>
            </w:pPr>
            <w:r>
              <w:rPr>
                <w:sz w:val="19"/>
                <w:szCs w:val="19"/>
                <w:spacing w:val="8"/>
              </w:rPr>
              <w:t>十三、交通运输支出</w:t>
            </w:r>
          </w:p>
        </w:tc>
        <w:tc>
          <w:tcPr>
            <w:tcW w:w="2216" w:type="dxa"/>
            <w:vAlign w:val="top"/>
          </w:tcPr>
          <w:p>
            <w:pPr>
              <w:pStyle w:val="TableText"/>
              <w:ind w:right="8"/>
              <w:spacing w:before="78" w:line="210" w:lineRule="auto"/>
              <w:jc w:val="right"/>
              <w:rPr>
                <w:sz w:val="19"/>
                <w:szCs w:val="19"/>
              </w:rPr>
            </w:pPr>
            <w:r>
              <w:rPr>
                <w:sz w:val="19"/>
                <w:szCs w:val="19"/>
                <w:spacing w:val="2"/>
              </w:rPr>
              <w:t>6154</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3"/>
              <w:spacing w:before="83" w:line="205" w:lineRule="auto"/>
              <w:rPr>
                <w:sz w:val="19"/>
                <w:szCs w:val="19"/>
              </w:rPr>
            </w:pPr>
            <w:r>
              <w:rPr>
                <w:sz w:val="19"/>
                <w:szCs w:val="19"/>
                <w:spacing w:val="9"/>
              </w:rPr>
              <w:t>公路水路运输</w:t>
            </w:r>
          </w:p>
        </w:tc>
        <w:tc>
          <w:tcPr>
            <w:tcW w:w="2216" w:type="dxa"/>
            <w:vAlign w:val="top"/>
          </w:tcPr>
          <w:p>
            <w:pPr>
              <w:pStyle w:val="TableText"/>
              <w:ind w:right="8"/>
              <w:spacing w:before="77" w:line="210" w:lineRule="auto"/>
              <w:jc w:val="right"/>
              <w:rPr>
                <w:sz w:val="19"/>
                <w:szCs w:val="19"/>
              </w:rPr>
            </w:pPr>
            <w:r>
              <w:rPr>
                <w:sz w:val="19"/>
                <w:szCs w:val="19"/>
                <w:spacing w:val="2"/>
              </w:rPr>
              <w:t>2154</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4" w:line="205" w:lineRule="auto"/>
              <w:rPr>
                <w:sz w:val="19"/>
                <w:szCs w:val="19"/>
              </w:rPr>
            </w:pPr>
            <w:r>
              <w:rPr>
                <w:sz w:val="19"/>
                <w:szCs w:val="19"/>
                <w:spacing w:val="8"/>
              </w:rPr>
              <w:t>行政运行</w:t>
            </w:r>
          </w:p>
        </w:tc>
        <w:tc>
          <w:tcPr>
            <w:tcW w:w="2216" w:type="dxa"/>
            <w:vAlign w:val="top"/>
          </w:tcPr>
          <w:p>
            <w:pPr>
              <w:pStyle w:val="TableText"/>
              <w:ind w:right="8"/>
              <w:spacing w:before="78" w:line="210" w:lineRule="auto"/>
              <w:jc w:val="right"/>
              <w:rPr>
                <w:sz w:val="19"/>
                <w:szCs w:val="19"/>
              </w:rPr>
            </w:pPr>
            <w:r>
              <w:rPr>
                <w:sz w:val="19"/>
                <w:szCs w:val="19"/>
                <w:spacing w:val="1"/>
              </w:rPr>
              <w:t>208</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85" w:line="203" w:lineRule="auto"/>
              <w:rPr>
                <w:sz w:val="19"/>
                <w:szCs w:val="19"/>
              </w:rPr>
            </w:pPr>
            <w:r>
              <w:rPr>
                <w:sz w:val="19"/>
                <w:szCs w:val="19"/>
                <w:spacing w:val="9"/>
              </w:rPr>
              <w:t>一般行政管理事务</w:t>
            </w:r>
          </w:p>
        </w:tc>
        <w:tc>
          <w:tcPr>
            <w:tcW w:w="2216" w:type="dxa"/>
            <w:vAlign w:val="top"/>
          </w:tcPr>
          <w:p>
            <w:pPr>
              <w:pStyle w:val="TableText"/>
              <w:ind w:right="8"/>
              <w:spacing w:before="79" w:line="208" w:lineRule="auto"/>
              <w:jc w:val="right"/>
              <w:rPr>
                <w:sz w:val="19"/>
                <w:szCs w:val="19"/>
              </w:rPr>
            </w:pPr>
            <w:r>
              <w:rPr>
                <w:sz w:val="19"/>
                <w:szCs w:val="19"/>
              </w:rPr>
              <w:t>63</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6" w:line="203"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4"/>
              <w:spacing w:before="81" w:line="207" w:lineRule="auto"/>
              <w:rPr>
                <w:sz w:val="19"/>
                <w:szCs w:val="19"/>
              </w:rPr>
            </w:pPr>
            <w:r>
              <w:rPr>
                <w:sz w:val="19"/>
                <w:szCs w:val="19"/>
                <w:spacing w:val="9"/>
              </w:rPr>
              <w:t>公路建设</w:t>
            </w:r>
          </w:p>
        </w:tc>
        <w:tc>
          <w:tcPr>
            <w:tcW w:w="2216" w:type="dxa"/>
            <w:vAlign w:val="top"/>
          </w:tcPr>
          <w:p>
            <w:pPr>
              <w:pStyle w:val="TableText"/>
              <w:ind w:right="8"/>
              <w:spacing w:before="79" w:line="209" w:lineRule="auto"/>
              <w:jc w:val="right"/>
              <w:rPr>
                <w:sz w:val="19"/>
                <w:szCs w:val="19"/>
              </w:rPr>
            </w:pPr>
            <w:r>
              <w:rPr>
                <w:sz w:val="19"/>
                <w:szCs w:val="19"/>
                <w:spacing w:val="2"/>
              </w:rPr>
              <w:t>700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4"/>
              <w:spacing w:before="84" w:line="205" w:lineRule="auto"/>
              <w:rPr>
                <w:sz w:val="19"/>
                <w:szCs w:val="19"/>
              </w:rPr>
            </w:pPr>
            <w:r>
              <w:rPr>
                <w:sz w:val="19"/>
                <w:szCs w:val="19"/>
                <w:spacing w:val="9"/>
              </w:rPr>
              <w:t>公路养护</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2" w:line="206" w:lineRule="auto"/>
              <w:rPr>
                <w:sz w:val="19"/>
                <w:szCs w:val="19"/>
              </w:rPr>
            </w:pPr>
            <w:r>
              <w:rPr>
                <w:sz w:val="19"/>
                <w:szCs w:val="19"/>
                <w:spacing w:val="9"/>
              </w:rPr>
              <w:t>交通运输信息化建设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4"/>
              <w:spacing w:before="85" w:line="204" w:lineRule="auto"/>
              <w:rPr>
                <w:sz w:val="19"/>
                <w:szCs w:val="19"/>
              </w:rPr>
            </w:pPr>
            <w:r>
              <w:rPr>
                <w:sz w:val="19"/>
                <w:szCs w:val="19"/>
                <w:spacing w:val="9"/>
              </w:rPr>
              <w:t>公路和运输安全</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4"/>
              <w:spacing w:before="82" w:line="206" w:lineRule="auto"/>
              <w:rPr>
                <w:sz w:val="19"/>
                <w:szCs w:val="19"/>
              </w:rPr>
            </w:pPr>
            <w:r>
              <w:rPr>
                <w:sz w:val="19"/>
                <w:szCs w:val="19"/>
                <w:spacing w:val="9"/>
              </w:rPr>
              <w:t>公路还贷专项</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4"/>
              <w:spacing w:before="84" w:line="205" w:lineRule="auto"/>
              <w:rPr>
                <w:sz w:val="19"/>
                <w:szCs w:val="19"/>
              </w:rPr>
            </w:pPr>
            <w:r>
              <w:rPr>
                <w:sz w:val="19"/>
                <w:szCs w:val="19"/>
                <w:spacing w:val="9"/>
              </w:rPr>
              <w:t>公路运输管理</w:t>
            </w:r>
          </w:p>
        </w:tc>
        <w:tc>
          <w:tcPr>
            <w:tcW w:w="2216" w:type="dxa"/>
            <w:vAlign w:val="top"/>
          </w:tcPr>
          <w:p>
            <w:pPr>
              <w:pStyle w:val="TableText"/>
              <w:ind w:right="8"/>
              <w:spacing w:before="79" w:line="209" w:lineRule="auto"/>
              <w:jc w:val="right"/>
              <w:rPr>
                <w:sz w:val="19"/>
                <w:szCs w:val="19"/>
              </w:rPr>
            </w:pPr>
            <w:r>
              <w:rPr>
                <w:sz w:val="19"/>
                <w:szCs w:val="19"/>
                <w:spacing w:val="-2"/>
              </w:rPr>
              <w:t>1141</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4"/>
              <w:spacing w:before="82" w:line="206" w:lineRule="auto"/>
              <w:rPr>
                <w:sz w:val="19"/>
                <w:szCs w:val="19"/>
              </w:rPr>
            </w:pPr>
            <w:r>
              <w:rPr>
                <w:sz w:val="19"/>
                <w:szCs w:val="19"/>
                <w:spacing w:val="9"/>
              </w:rPr>
              <w:t>公路和运输技术标准化建设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9" w:line="200" w:lineRule="auto"/>
              <w:rPr>
                <w:sz w:val="19"/>
                <w:szCs w:val="19"/>
              </w:rPr>
            </w:pPr>
            <w:r>
              <w:rPr>
                <w:sz w:val="19"/>
                <w:szCs w:val="19"/>
                <w:spacing w:val="8"/>
              </w:rPr>
              <w:t>港口设施</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5" w:line="204" w:lineRule="auto"/>
              <w:rPr>
                <w:sz w:val="19"/>
                <w:szCs w:val="19"/>
              </w:rPr>
            </w:pPr>
            <w:r>
              <w:rPr>
                <w:sz w:val="19"/>
                <w:szCs w:val="19"/>
                <w:spacing w:val="8"/>
              </w:rPr>
              <w:t>航道维护</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5" w:line="204" w:lineRule="auto"/>
              <w:rPr>
                <w:sz w:val="19"/>
                <w:szCs w:val="19"/>
              </w:rPr>
            </w:pPr>
            <w:r>
              <w:rPr>
                <w:sz w:val="19"/>
                <w:szCs w:val="19"/>
                <w:spacing w:val="8"/>
              </w:rPr>
              <w:t>船舶检验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6" w:line="203" w:lineRule="auto"/>
              <w:rPr>
                <w:sz w:val="19"/>
                <w:szCs w:val="19"/>
              </w:rPr>
            </w:pPr>
            <w:r>
              <w:rPr>
                <w:sz w:val="19"/>
                <w:szCs w:val="19"/>
                <w:spacing w:val="8"/>
              </w:rPr>
              <w:t>救助打捞</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37"/>
              <w:spacing w:before="86" w:line="203" w:lineRule="auto"/>
              <w:rPr>
                <w:sz w:val="19"/>
                <w:szCs w:val="19"/>
              </w:rPr>
            </w:pPr>
            <w:r>
              <w:rPr>
                <w:sz w:val="19"/>
                <w:szCs w:val="19"/>
                <w:spacing w:val="3"/>
              </w:rPr>
              <w:t>内河运输</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5" w:line="204" w:lineRule="auto"/>
              <w:rPr>
                <w:sz w:val="19"/>
                <w:szCs w:val="19"/>
              </w:rPr>
            </w:pPr>
            <w:r>
              <w:rPr>
                <w:sz w:val="19"/>
                <w:szCs w:val="19"/>
                <w:spacing w:val="8"/>
              </w:rPr>
              <w:t>远洋运输</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14" w:hRule="atLeast"/>
        </w:trPr>
        <w:tc>
          <w:tcPr>
            <w:tcW w:w="4612" w:type="dxa"/>
            <w:vAlign w:val="top"/>
            <w:tcBorders>
              <w:left w:val="single" w:color="000000" w:sz="6" w:space="0"/>
              <w:bottom w:val="single" w:color="000000" w:sz="6" w:space="0"/>
            </w:tcBorders>
          </w:tcPr>
          <w:p>
            <w:pPr>
              <w:pStyle w:val="TableText"/>
              <w:ind w:left="616"/>
              <w:spacing w:before="83" w:line="214" w:lineRule="auto"/>
              <w:rPr>
                <w:sz w:val="19"/>
                <w:szCs w:val="19"/>
              </w:rPr>
            </w:pPr>
            <w:r>
              <w:rPr>
                <w:sz w:val="19"/>
                <w:szCs w:val="19"/>
                <w:spacing w:val="8"/>
              </w:rPr>
              <w:t>海事管理</w:t>
            </w:r>
          </w:p>
        </w:tc>
        <w:tc>
          <w:tcPr>
            <w:tcW w:w="2216" w:type="dxa"/>
            <w:vAlign w:val="top"/>
            <w:tcBorders>
              <w:bottom w:val="single" w:color="000000" w:sz="6" w:space="0"/>
            </w:tcBorders>
          </w:tcPr>
          <w:p>
            <w:pPr>
              <w:rPr>
                <w:rFonts w:ascii="Arial"/>
                <w:sz w:val="21"/>
              </w:rPr>
            </w:pPr>
            <w:r/>
          </w:p>
        </w:tc>
        <w:tc>
          <w:tcPr>
            <w:tcW w:w="2013"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23"/>
          <w:footerReference w:type="default" r:id="rId47"/>
          <w:pgSz w:w="11907" w:h="16840"/>
          <w:pgMar w:top="1801" w:right="1525" w:bottom="1660" w:left="1525" w:header="1428" w:footer="1289" w:gutter="0"/>
        </w:sectPr>
        <w:rPr>
          <w:rFonts w:ascii="Arial" w:hAnsi="Arial" w:eastAsia="Arial" w:cs="Arial"/>
          <w:sz w:val="21"/>
          <w:szCs w:val="21"/>
        </w:rPr>
      </w:pPr>
    </w:p>
    <w:p>
      <w:pPr>
        <w:spacing w:line="240" w:lineRule="exact"/>
        <w:rPr/>
      </w:pPr>
      <w:r/>
    </w:p>
    <w:tbl>
      <w:tblPr>
        <w:tblStyle w:val="TableNormal"/>
        <w:tblW w:w="8841"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12"/>
        <w:gridCol w:w="2216"/>
        <w:gridCol w:w="2013"/>
      </w:tblGrid>
      <w:tr>
        <w:trPr>
          <w:trHeight w:val="312" w:hRule="atLeast"/>
        </w:trPr>
        <w:tc>
          <w:tcPr>
            <w:tcW w:w="4612" w:type="dxa"/>
            <w:vAlign w:val="top"/>
            <w:tcBorders>
              <w:left w:val="single" w:color="000000" w:sz="6" w:space="0"/>
              <w:top w:val="single" w:color="000000" w:sz="6" w:space="0"/>
            </w:tcBorders>
          </w:tcPr>
          <w:p>
            <w:pPr>
              <w:pStyle w:val="TableText"/>
              <w:ind w:left="2104"/>
              <w:spacing w:before="81" w:line="212" w:lineRule="auto"/>
              <w:rPr>
                <w:sz w:val="19"/>
                <w:szCs w:val="19"/>
              </w:rPr>
            </w:pPr>
            <w:r>
              <w:rPr>
                <w:sz w:val="19"/>
                <w:szCs w:val="19"/>
                <w:b/>
                <w:bCs/>
                <w:spacing w:val="6"/>
              </w:rPr>
              <w:t>项目</w:t>
            </w:r>
          </w:p>
        </w:tc>
        <w:tc>
          <w:tcPr>
            <w:tcW w:w="2216" w:type="dxa"/>
            <w:vAlign w:val="top"/>
            <w:tcBorders>
              <w:top w:val="single" w:color="000000" w:sz="6" w:space="0"/>
            </w:tcBorders>
          </w:tcPr>
          <w:p>
            <w:pPr>
              <w:pStyle w:val="TableText"/>
              <w:ind w:left="813"/>
              <w:spacing w:before="76" w:line="219" w:lineRule="auto"/>
              <w:rPr>
                <w:sz w:val="19"/>
                <w:szCs w:val="19"/>
              </w:rPr>
            </w:pPr>
            <w:r>
              <w:rPr>
                <w:sz w:val="19"/>
                <w:szCs w:val="19"/>
                <w:b/>
                <w:bCs/>
                <w:spacing w:val="5"/>
              </w:rPr>
              <w:t>预算数</w:t>
            </w:r>
          </w:p>
        </w:tc>
        <w:tc>
          <w:tcPr>
            <w:tcW w:w="2013" w:type="dxa"/>
            <w:vAlign w:val="top"/>
            <w:tcBorders>
              <w:right w:val="single" w:color="000000" w:sz="6" w:space="0"/>
              <w:top w:val="single" w:color="000000" w:sz="6" w:space="0"/>
            </w:tcBorders>
          </w:tcPr>
          <w:p>
            <w:pPr>
              <w:pStyle w:val="TableText"/>
              <w:ind w:left="806"/>
              <w:spacing w:before="76" w:line="219" w:lineRule="auto"/>
              <w:rPr>
                <w:sz w:val="19"/>
                <w:szCs w:val="19"/>
              </w:rPr>
            </w:pPr>
            <w:r>
              <w:rPr>
                <w:sz w:val="19"/>
                <w:szCs w:val="19"/>
                <w:b/>
                <w:bCs/>
                <w:spacing w:val="6"/>
              </w:rPr>
              <w:t>备注</w:t>
            </w:r>
          </w:p>
        </w:tc>
      </w:tr>
      <w:tr>
        <w:trPr>
          <w:trHeight w:val="304" w:hRule="atLeast"/>
        </w:trPr>
        <w:tc>
          <w:tcPr>
            <w:tcW w:w="4612" w:type="dxa"/>
            <w:vAlign w:val="top"/>
            <w:tcBorders>
              <w:left w:val="single" w:color="000000" w:sz="6" w:space="0"/>
            </w:tcBorders>
          </w:tcPr>
          <w:p>
            <w:pPr>
              <w:pStyle w:val="TableText"/>
              <w:ind w:left="615"/>
              <w:spacing w:before="69" w:line="218" w:lineRule="auto"/>
              <w:rPr>
                <w:sz w:val="19"/>
                <w:szCs w:val="19"/>
              </w:rPr>
            </w:pPr>
            <w:r>
              <w:rPr>
                <w:sz w:val="19"/>
                <w:szCs w:val="19"/>
                <w:spacing w:val="9"/>
              </w:rPr>
              <w:t>航标事业发展支出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2" w:line="215" w:lineRule="auto"/>
              <w:rPr>
                <w:sz w:val="19"/>
                <w:szCs w:val="19"/>
              </w:rPr>
            </w:pPr>
            <w:r>
              <w:rPr>
                <w:sz w:val="19"/>
                <w:szCs w:val="19"/>
                <w:spacing w:val="9"/>
              </w:rPr>
              <w:t>水路运输管理支出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49"/>
              <w:spacing w:before="70" w:line="217" w:lineRule="auto"/>
              <w:rPr>
                <w:sz w:val="19"/>
                <w:szCs w:val="19"/>
              </w:rPr>
            </w:pPr>
            <w:r>
              <w:rPr>
                <w:sz w:val="19"/>
                <w:szCs w:val="19"/>
              </w:rPr>
              <w:t>口岸建设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1" w:line="216" w:lineRule="auto"/>
              <w:rPr>
                <w:sz w:val="19"/>
                <w:szCs w:val="19"/>
              </w:rPr>
            </w:pPr>
            <w:r>
              <w:rPr>
                <w:sz w:val="19"/>
                <w:szCs w:val="19"/>
                <w:spacing w:val="9"/>
              </w:rPr>
              <w:t>取消政府还贷二级公路收费专项支出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2" w:line="215" w:lineRule="auto"/>
              <w:rPr>
                <w:sz w:val="19"/>
                <w:szCs w:val="19"/>
              </w:rPr>
            </w:pPr>
            <w:r>
              <w:rPr>
                <w:sz w:val="19"/>
                <w:szCs w:val="19"/>
                <w:spacing w:val="9"/>
              </w:rPr>
              <w:t>其他公路水路运输支出</w:t>
            </w:r>
          </w:p>
        </w:tc>
        <w:tc>
          <w:tcPr>
            <w:tcW w:w="2216" w:type="dxa"/>
            <w:vAlign w:val="top"/>
          </w:tcPr>
          <w:p>
            <w:pPr>
              <w:pStyle w:val="TableText"/>
              <w:ind w:right="8"/>
              <w:spacing w:before="69" w:line="218" w:lineRule="auto"/>
              <w:jc w:val="right"/>
              <w:rPr>
                <w:sz w:val="19"/>
                <w:szCs w:val="19"/>
              </w:rPr>
            </w:pPr>
            <w:r>
              <w:rPr>
                <w:sz w:val="19"/>
                <w:szCs w:val="19"/>
                <w:spacing w:val="2"/>
              </w:rPr>
              <w:t>42</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4"/>
              <w:spacing w:before="76" w:line="211" w:lineRule="auto"/>
              <w:rPr>
                <w:sz w:val="19"/>
                <w:szCs w:val="19"/>
              </w:rPr>
            </w:pPr>
            <w:r>
              <w:rPr>
                <w:sz w:val="19"/>
                <w:szCs w:val="19"/>
                <w:spacing w:val="8"/>
              </w:rPr>
              <w:t>铁路运输</w:t>
            </w:r>
          </w:p>
        </w:tc>
        <w:tc>
          <w:tcPr>
            <w:tcW w:w="2216" w:type="dxa"/>
            <w:vAlign w:val="top"/>
          </w:tcPr>
          <w:p>
            <w:pPr>
              <w:pStyle w:val="TableText"/>
              <w:ind w:right="7"/>
              <w:spacing w:before="72" w:line="215"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7" w:line="211" w:lineRule="auto"/>
              <w:rPr>
                <w:sz w:val="19"/>
                <w:szCs w:val="19"/>
              </w:rPr>
            </w:pPr>
            <w:r>
              <w:rPr>
                <w:sz w:val="19"/>
                <w:szCs w:val="19"/>
                <w:spacing w:val="8"/>
              </w:rPr>
              <w:t>行政运行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6" w:line="212"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6" w:line="212"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4" w:line="214" w:lineRule="auto"/>
              <w:rPr>
                <w:sz w:val="19"/>
                <w:szCs w:val="19"/>
              </w:rPr>
            </w:pPr>
            <w:r>
              <w:rPr>
                <w:sz w:val="19"/>
                <w:szCs w:val="19"/>
                <w:spacing w:val="9"/>
              </w:rPr>
              <w:t>铁路路网建设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5" w:line="213" w:lineRule="auto"/>
              <w:rPr>
                <w:sz w:val="19"/>
                <w:szCs w:val="19"/>
              </w:rPr>
            </w:pPr>
            <w:r>
              <w:rPr>
                <w:sz w:val="19"/>
                <w:szCs w:val="19"/>
                <w:spacing w:val="9"/>
              </w:rPr>
              <w:t>铁路还贷专项</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6" w:line="212" w:lineRule="auto"/>
              <w:rPr>
                <w:sz w:val="19"/>
                <w:szCs w:val="19"/>
              </w:rPr>
            </w:pPr>
            <w:r>
              <w:rPr>
                <w:sz w:val="19"/>
                <w:szCs w:val="19"/>
                <w:spacing w:val="8"/>
              </w:rPr>
              <w:t>铁路安全</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4" w:line="214" w:lineRule="auto"/>
              <w:rPr>
                <w:sz w:val="19"/>
                <w:szCs w:val="19"/>
              </w:rPr>
            </w:pPr>
            <w:r>
              <w:rPr>
                <w:sz w:val="19"/>
                <w:szCs w:val="19"/>
                <w:spacing w:val="9"/>
              </w:rPr>
              <w:t>铁路专项运输</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8" w:line="209" w:lineRule="auto"/>
              <w:rPr>
                <w:sz w:val="19"/>
                <w:szCs w:val="19"/>
              </w:rPr>
            </w:pPr>
            <w:r>
              <w:rPr>
                <w:sz w:val="19"/>
                <w:szCs w:val="19"/>
                <w:spacing w:val="8"/>
              </w:rPr>
              <w:t>行业监管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6" w:line="212" w:lineRule="auto"/>
              <w:rPr>
                <w:sz w:val="19"/>
                <w:szCs w:val="19"/>
              </w:rPr>
            </w:pPr>
            <w:r>
              <w:rPr>
                <w:sz w:val="19"/>
                <w:szCs w:val="19"/>
                <w:spacing w:val="9"/>
              </w:rPr>
              <w:t>其他铁路运输支出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32"/>
              <w:spacing w:before="78" w:line="210" w:lineRule="auto"/>
              <w:rPr>
                <w:sz w:val="19"/>
                <w:szCs w:val="19"/>
              </w:rPr>
            </w:pPr>
            <w:r>
              <w:rPr>
                <w:sz w:val="19"/>
                <w:szCs w:val="19"/>
                <w:spacing w:val="6"/>
              </w:rPr>
              <w:t>民用航空运输</w:t>
            </w:r>
          </w:p>
        </w:tc>
        <w:tc>
          <w:tcPr>
            <w:tcW w:w="2216" w:type="dxa"/>
            <w:vAlign w:val="top"/>
          </w:tcPr>
          <w:p>
            <w:pPr>
              <w:pStyle w:val="TableText"/>
              <w:ind w:right="8"/>
              <w:spacing w:before="72" w:line="216" w:lineRule="auto"/>
              <w:jc w:val="right"/>
              <w:rPr>
                <w:sz w:val="19"/>
                <w:szCs w:val="19"/>
              </w:rPr>
            </w:pPr>
            <w:r>
              <w:rPr>
                <w:sz w:val="19"/>
                <w:szCs w:val="19"/>
                <w:spacing w:val="3"/>
              </w:rPr>
              <w:t>4000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7" w:line="211" w:lineRule="auto"/>
              <w:rPr>
                <w:sz w:val="19"/>
                <w:szCs w:val="19"/>
              </w:rPr>
            </w:pPr>
            <w:r>
              <w:rPr>
                <w:sz w:val="19"/>
                <w:szCs w:val="19"/>
                <w:spacing w:val="8"/>
              </w:rPr>
              <w:t>行政运行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8" w:line="210"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8" w:line="210"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4" w:line="214" w:lineRule="auto"/>
              <w:rPr>
                <w:sz w:val="19"/>
                <w:szCs w:val="19"/>
              </w:rPr>
            </w:pPr>
            <w:r>
              <w:rPr>
                <w:sz w:val="19"/>
                <w:szCs w:val="19"/>
                <w:spacing w:val="8"/>
              </w:rPr>
              <w:t>机场建设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20"/>
              <w:spacing w:before="74" w:line="214" w:lineRule="auto"/>
              <w:rPr>
                <w:sz w:val="19"/>
                <w:szCs w:val="19"/>
              </w:rPr>
            </w:pPr>
            <w:r>
              <w:rPr>
                <w:sz w:val="19"/>
                <w:szCs w:val="19"/>
                <w:spacing w:val="8"/>
              </w:rPr>
              <w:t>空管系统建设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34"/>
              <w:spacing w:before="76" w:line="212" w:lineRule="auto"/>
              <w:rPr>
                <w:sz w:val="19"/>
                <w:szCs w:val="19"/>
              </w:rPr>
            </w:pPr>
            <w:r>
              <w:rPr>
                <w:sz w:val="19"/>
                <w:szCs w:val="19"/>
                <w:spacing w:val="7"/>
              </w:rPr>
              <w:t>民航还贷专项支出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34"/>
              <w:spacing w:before="78" w:line="210" w:lineRule="auto"/>
              <w:rPr>
                <w:sz w:val="19"/>
                <w:szCs w:val="19"/>
              </w:rPr>
            </w:pPr>
            <w:r>
              <w:rPr>
                <w:sz w:val="19"/>
                <w:szCs w:val="19"/>
                <w:spacing w:val="6"/>
              </w:rPr>
              <w:t>民用航空安全</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34"/>
              <w:spacing w:before="76" w:line="212" w:lineRule="auto"/>
              <w:rPr>
                <w:sz w:val="19"/>
                <w:szCs w:val="19"/>
              </w:rPr>
            </w:pPr>
            <w:r>
              <w:rPr>
                <w:sz w:val="19"/>
                <w:szCs w:val="19"/>
                <w:spacing w:val="6"/>
              </w:rPr>
              <w:t>民航专项运输</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5" w:line="213" w:lineRule="auto"/>
              <w:rPr>
                <w:sz w:val="19"/>
                <w:szCs w:val="19"/>
              </w:rPr>
            </w:pPr>
            <w:r>
              <w:rPr>
                <w:sz w:val="19"/>
                <w:szCs w:val="19"/>
                <w:spacing w:val="9"/>
              </w:rPr>
              <w:t>其他民用航空运输支出</w:t>
            </w:r>
          </w:p>
        </w:tc>
        <w:tc>
          <w:tcPr>
            <w:tcW w:w="2216" w:type="dxa"/>
            <w:vAlign w:val="top"/>
          </w:tcPr>
          <w:p>
            <w:pPr>
              <w:pStyle w:val="TableText"/>
              <w:ind w:right="8"/>
              <w:spacing w:before="72" w:line="216" w:lineRule="auto"/>
              <w:jc w:val="right"/>
              <w:rPr>
                <w:sz w:val="19"/>
                <w:szCs w:val="19"/>
              </w:rPr>
            </w:pPr>
            <w:r>
              <w:rPr>
                <w:sz w:val="19"/>
                <w:szCs w:val="19"/>
                <w:spacing w:val="3"/>
              </w:rPr>
              <w:t>4000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4"/>
              <w:spacing w:before="73" w:line="214" w:lineRule="auto"/>
              <w:rPr>
                <w:sz w:val="19"/>
                <w:szCs w:val="19"/>
              </w:rPr>
            </w:pPr>
            <w:r>
              <w:rPr>
                <w:sz w:val="19"/>
                <w:szCs w:val="19"/>
                <w:spacing w:val="9"/>
              </w:rPr>
              <w:t>成品油价格改革对交通运输的补贴</w:t>
            </w:r>
          </w:p>
        </w:tc>
        <w:tc>
          <w:tcPr>
            <w:tcW w:w="2216" w:type="dxa"/>
            <w:vAlign w:val="top"/>
          </w:tcPr>
          <w:p>
            <w:pPr>
              <w:pStyle w:val="TableText"/>
              <w:ind w:right="7"/>
              <w:spacing w:before="73" w:line="214"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9" w:line="209" w:lineRule="auto"/>
              <w:rPr>
                <w:sz w:val="19"/>
                <w:szCs w:val="19"/>
              </w:rPr>
            </w:pPr>
            <w:r>
              <w:rPr>
                <w:sz w:val="19"/>
                <w:szCs w:val="19"/>
                <w:spacing w:val="9"/>
              </w:rPr>
              <w:t>对城市公交的补贴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8" w:line="209" w:lineRule="auto"/>
              <w:rPr>
                <w:sz w:val="19"/>
                <w:szCs w:val="19"/>
              </w:rPr>
            </w:pPr>
            <w:r>
              <w:rPr>
                <w:sz w:val="19"/>
                <w:szCs w:val="19"/>
                <w:spacing w:val="9"/>
              </w:rPr>
              <w:t>对农村道路客运的补贴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8" w:line="210" w:lineRule="auto"/>
              <w:rPr>
                <w:sz w:val="19"/>
                <w:szCs w:val="19"/>
              </w:rPr>
            </w:pPr>
            <w:r>
              <w:rPr>
                <w:sz w:val="19"/>
                <w:szCs w:val="19"/>
                <w:spacing w:val="9"/>
              </w:rPr>
              <w:t>对出租车的补贴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5" w:line="212" w:lineRule="auto"/>
              <w:rPr>
                <w:sz w:val="19"/>
                <w:szCs w:val="19"/>
              </w:rPr>
            </w:pPr>
            <w:r>
              <w:rPr>
                <w:sz w:val="19"/>
                <w:szCs w:val="19"/>
                <w:spacing w:val="9"/>
              </w:rPr>
              <w:t>成品油价格改革补贴其他支出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28"/>
              <w:spacing w:before="80" w:line="208" w:lineRule="auto"/>
              <w:rPr>
                <w:sz w:val="19"/>
                <w:szCs w:val="19"/>
              </w:rPr>
            </w:pPr>
            <w:r>
              <w:rPr>
                <w:sz w:val="19"/>
                <w:szCs w:val="19"/>
                <w:spacing w:val="6"/>
              </w:rPr>
              <w:t>邮政业支出</w:t>
            </w:r>
          </w:p>
        </w:tc>
        <w:tc>
          <w:tcPr>
            <w:tcW w:w="2216" w:type="dxa"/>
            <w:vAlign w:val="top"/>
          </w:tcPr>
          <w:p>
            <w:pPr>
              <w:pStyle w:val="TableText"/>
              <w:ind w:right="7"/>
              <w:spacing w:before="76" w:line="212"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80" w:line="207" w:lineRule="auto"/>
              <w:rPr>
                <w:sz w:val="19"/>
                <w:szCs w:val="19"/>
              </w:rPr>
            </w:pPr>
            <w:r>
              <w:rPr>
                <w:sz w:val="19"/>
                <w:szCs w:val="19"/>
                <w:spacing w:val="8"/>
              </w:rPr>
              <w:t>行政运行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0" w:line="208"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84" w:line="204"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4" w:line="205" w:lineRule="auto"/>
              <w:rPr>
                <w:sz w:val="19"/>
                <w:szCs w:val="19"/>
              </w:rPr>
            </w:pPr>
            <w:r>
              <w:rPr>
                <w:sz w:val="19"/>
                <w:szCs w:val="19"/>
                <w:spacing w:val="8"/>
              </w:rPr>
              <w:t>行业监管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30"/>
              <w:spacing w:before="83" w:line="205" w:lineRule="auto"/>
              <w:rPr>
                <w:sz w:val="19"/>
                <w:szCs w:val="19"/>
              </w:rPr>
            </w:pPr>
            <w:r>
              <w:rPr>
                <w:sz w:val="19"/>
                <w:szCs w:val="19"/>
                <w:spacing w:val="8"/>
              </w:rPr>
              <w:t>邮政普遍服务与特殊服务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1" w:line="207" w:lineRule="auto"/>
              <w:rPr>
                <w:sz w:val="19"/>
                <w:szCs w:val="19"/>
              </w:rPr>
            </w:pPr>
            <w:r>
              <w:rPr>
                <w:sz w:val="19"/>
                <w:szCs w:val="19"/>
                <w:spacing w:val="9"/>
              </w:rPr>
              <w:t>其他邮政业支出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20"/>
              <w:spacing w:before="85" w:line="203" w:lineRule="auto"/>
              <w:rPr>
                <w:sz w:val="19"/>
                <w:szCs w:val="19"/>
              </w:rPr>
            </w:pPr>
            <w:r>
              <w:rPr>
                <w:sz w:val="19"/>
                <w:szCs w:val="19"/>
                <w:spacing w:val="8"/>
              </w:rPr>
              <w:t>车辆购置税支出</w:t>
            </w:r>
          </w:p>
        </w:tc>
        <w:tc>
          <w:tcPr>
            <w:tcW w:w="2216" w:type="dxa"/>
            <w:vAlign w:val="top"/>
          </w:tcPr>
          <w:p>
            <w:pPr>
              <w:pStyle w:val="TableText"/>
              <w:ind w:right="7"/>
              <w:spacing w:before="79" w:line="208"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21"/>
              <w:spacing w:before="82" w:line="206" w:lineRule="auto"/>
              <w:rPr>
                <w:sz w:val="19"/>
                <w:szCs w:val="19"/>
              </w:rPr>
            </w:pPr>
            <w:r>
              <w:rPr>
                <w:sz w:val="19"/>
                <w:szCs w:val="19"/>
                <w:spacing w:val="9"/>
              </w:rPr>
              <w:t>车辆购置税用于公路等基础设施建设支出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14" w:hRule="atLeast"/>
        </w:trPr>
        <w:tc>
          <w:tcPr>
            <w:tcW w:w="4612" w:type="dxa"/>
            <w:vAlign w:val="top"/>
            <w:tcBorders>
              <w:left w:val="single" w:color="000000" w:sz="6" w:space="0"/>
              <w:bottom w:val="single" w:color="000000" w:sz="6" w:space="0"/>
            </w:tcBorders>
          </w:tcPr>
          <w:p>
            <w:pPr>
              <w:pStyle w:val="TableText"/>
              <w:ind w:left="621"/>
              <w:spacing w:before="81" w:line="216" w:lineRule="auto"/>
              <w:rPr>
                <w:sz w:val="19"/>
                <w:szCs w:val="19"/>
              </w:rPr>
            </w:pPr>
            <w:r>
              <w:rPr>
                <w:sz w:val="19"/>
                <w:szCs w:val="19"/>
                <w:spacing w:val="9"/>
              </w:rPr>
              <w:t>车辆购置税用于农村公路建设支出</w:t>
            </w:r>
          </w:p>
        </w:tc>
        <w:tc>
          <w:tcPr>
            <w:tcW w:w="2216" w:type="dxa"/>
            <w:vAlign w:val="top"/>
            <w:tcBorders>
              <w:bottom w:val="single" w:color="000000" w:sz="6" w:space="0"/>
            </w:tcBorders>
          </w:tcPr>
          <w:p>
            <w:pPr>
              <w:rPr>
                <w:rFonts w:ascii="Arial"/>
                <w:sz w:val="21"/>
              </w:rPr>
            </w:pPr>
            <w:r/>
          </w:p>
        </w:tc>
        <w:tc>
          <w:tcPr>
            <w:tcW w:w="2013" w:type="dxa"/>
            <w:vAlign w:val="top"/>
            <w:tcBorders>
              <w:bottom w:val="single" w:color="000000" w:sz="6" w:space="0"/>
              <w:right w:val="single" w:color="000000" w:sz="6" w:space="0"/>
            </w:tcBorders>
          </w:tcPr>
          <w:p>
            <w:pPr>
              <w:rPr>
                <w:rFonts w:ascii="Arial"/>
                <w:sz w:val="21"/>
              </w:rPr>
            </w:pPr>
            <w:r/>
          </w:p>
        </w:tc>
      </w:tr>
    </w:tbl>
    <w:p>
      <w:pPr>
        <w:spacing w:line="134" w:lineRule="exact"/>
        <w:rPr>
          <w:rFonts w:ascii="Arial"/>
          <w:sz w:val="11"/>
        </w:rPr>
      </w:pPr>
      <w:r/>
    </w:p>
    <w:p>
      <w:pPr>
        <w:spacing w:line="134" w:lineRule="exact"/>
        <w:sectPr>
          <w:headerReference w:type="default" r:id="rId25"/>
          <w:footerReference w:type="default" r:id="rId48"/>
          <w:pgSz w:w="11907" w:h="16840"/>
          <w:pgMar w:top="1845" w:right="1525" w:bottom="1671" w:left="1525" w:header="1428" w:footer="1277" w:gutter="0"/>
        </w:sectPr>
        <w:rPr>
          <w:rFonts w:ascii="Arial" w:hAnsi="Arial" w:eastAsia="Arial" w:cs="Arial"/>
          <w:sz w:val="11"/>
          <w:szCs w:val="11"/>
        </w:rPr>
      </w:pPr>
    </w:p>
    <w:p>
      <w:pPr>
        <w:spacing w:line="143" w:lineRule="exact"/>
        <w:rPr/>
      </w:pPr>
      <w:r/>
    </w:p>
    <w:tbl>
      <w:tblPr>
        <w:tblStyle w:val="TableNormal"/>
        <w:tblW w:w="8841"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12"/>
        <w:gridCol w:w="2216"/>
        <w:gridCol w:w="2013"/>
      </w:tblGrid>
      <w:tr>
        <w:trPr>
          <w:trHeight w:val="312" w:hRule="atLeast"/>
        </w:trPr>
        <w:tc>
          <w:tcPr>
            <w:tcW w:w="4612" w:type="dxa"/>
            <w:vAlign w:val="top"/>
            <w:tcBorders>
              <w:left w:val="single" w:color="000000" w:sz="6" w:space="0"/>
              <w:top w:val="single" w:color="000000" w:sz="6" w:space="0"/>
            </w:tcBorders>
          </w:tcPr>
          <w:p>
            <w:pPr>
              <w:pStyle w:val="TableText"/>
              <w:ind w:left="2104"/>
              <w:spacing w:before="81" w:line="212" w:lineRule="auto"/>
              <w:rPr>
                <w:sz w:val="19"/>
                <w:szCs w:val="19"/>
              </w:rPr>
            </w:pPr>
            <w:r>
              <w:rPr>
                <w:sz w:val="19"/>
                <w:szCs w:val="19"/>
                <w:b/>
                <w:bCs/>
                <w:spacing w:val="6"/>
              </w:rPr>
              <w:t>项目</w:t>
            </w:r>
          </w:p>
        </w:tc>
        <w:tc>
          <w:tcPr>
            <w:tcW w:w="2216" w:type="dxa"/>
            <w:vAlign w:val="top"/>
            <w:tcBorders>
              <w:top w:val="single" w:color="000000" w:sz="6" w:space="0"/>
            </w:tcBorders>
          </w:tcPr>
          <w:p>
            <w:pPr>
              <w:pStyle w:val="TableText"/>
              <w:ind w:left="813"/>
              <w:spacing w:before="75" w:line="220" w:lineRule="auto"/>
              <w:rPr>
                <w:sz w:val="19"/>
                <w:szCs w:val="19"/>
              </w:rPr>
            </w:pPr>
            <w:r>
              <w:rPr>
                <w:sz w:val="19"/>
                <w:szCs w:val="19"/>
                <w:b/>
                <w:bCs/>
                <w:spacing w:val="5"/>
              </w:rPr>
              <w:t>预算数</w:t>
            </w:r>
          </w:p>
        </w:tc>
        <w:tc>
          <w:tcPr>
            <w:tcW w:w="2013" w:type="dxa"/>
            <w:vAlign w:val="top"/>
            <w:tcBorders>
              <w:right w:val="single" w:color="000000" w:sz="6" w:space="0"/>
              <w:top w:val="single" w:color="000000" w:sz="6" w:space="0"/>
            </w:tcBorders>
          </w:tcPr>
          <w:p>
            <w:pPr>
              <w:pStyle w:val="TableText"/>
              <w:ind w:left="806"/>
              <w:spacing w:before="75" w:line="220" w:lineRule="auto"/>
              <w:rPr>
                <w:sz w:val="19"/>
                <w:szCs w:val="19"/>
              </w:rPr>
            </w:pPr>
            <w:r>
              <w:rPr>
                <w:sz w:val="19"/>
                <w:szCs w:val="19"/>
                <w:b/>
                <w:bCs/>
                <w:spacing w:val="6"/>
              </w:rPr>
              <w:t>备注</w:t>
            </w:r>
          </w:p>
        </w:tc>
      </w:tr>
      <w:tr>
        <w:trPr>
          <w:trHeight w:val="304" w:hRule="atLeast"/>
        </w:trPr>
        <w:tc>
          <w:tcPr>
            <w:tcW w:w="4612" w:type="dxa"/>
            <w:vAlign w:val="top"/>
            <w:tcBorders>
              <w:left w:val="single" w:color="000000" w:sz="6" w:space="0"/>
            </w:tcBorders>
          </w:tcPr>
          <w:p>
            <w:pPr>
              <w:pStyle w:val="TableText"/>
              <w:ind w:left="621"/>
              <w:spacing w:before="71" w:line="216" w:lineRule="auto"/>
              <w:rPr>
                <w:sz w:val="19"/>
                <w:szCs w:val="19"/>
              </w:rPr>
            </w:pPr>
            <w:r>
              <w:rPr>
                <w:sz w:val="19"/>
                <w:szCs w:val="19"/>
                <w:spacing w:val="9"/>
              </w:rPr>
              <w:t>车辆购置税用于老旧汽车报废更新补贴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21"/>
              <w:spacing w:before="71" w:line="216" w:lineRule="auto"/>
              <w:rPr>
                <w:sz w:val="19"/>
                <w:szCs w:val="19"/>
              </w:rPr>
            </w:pPr>
            <w:r>
              <w:rPr>
                <w:sz w:val="19"/>
                <w:szCs w:val="19"/>
                <w:spacing w:val="8"/>
              </w:rPr>
              <w:t>车辆购置税其他支出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3"/>
              <w:spacing w:before="71" w:line="216" w:lineRule="auto"/>
              <w:rPr>
                <w:sz w:val="19"/>
                <w:szCs w:val="19"/>
              </w:rPr>
            </w:pPr>
            <w:r>
              <w:rPr>
                <w:sz w:val="19"/>
                <w:szCs w:val="19"/>
                <w:spacing w:val="9"/>
              </w:rPr>
              <w:t>其他交通运输支出</w:t>
            </w:r>
          </w:p>
        </w:tc>
        <w:tc>
          <w:tcPr>
            <w:tcW w:w="2216" w:type="dxa"/>
            <w:vAlign w:val="top"/>
          </w:tcPr>
          <w:p>
            <w:pPr>
              <w:pStyle w:val="TableText"/>
              <w:ind w:right="7"/>
              <w:spacing w:before="67" w:line="220"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4"/>
              <w:spacing w:before="73" w:line="214" w:lineRule="auto"/>
              <w:rPr>
                <w:sz w:val="19"/>
                <w:szCs w:val="19"/>
              </w:rPr>
            </w:pPr>
            <w:r>
              <w:rPr>
                <w:sz w:val="19"/>
                <w:szCs w:val="19"/>
                <w:spacing w:val="9"/>
              </w:rPr>
              <w:t>公共交通运营补助</w:t>
            </w:r>
          </w:p>
        </w:tc>
        <w:tc>
          <w:tcPr>
            <w:tcW w:w="2216" w:type="dxa"/>
            <w:vAlign w:val="top"/>
          </w:tcPr>
          <w:p>
            <w:pPr>
              <w:pStyle w:val="TableText"/>
              <w:ind w:right="7"/>
              <w:spacing w:before="68" w:line="219"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4" w:line="213" w:lineRule="auto"/>
              <w:rPr>
                <w:sz w:val="19"/>
                <w:szCs w:val="19"/>
              </w:rPr>
            </w:pPr>
            <w:r>
              <w:rPr>
                <w:sz w:val="19"/>
                <w:szCs w:val="19"/>
                <w:spacing w:val="9"/>
              </w:rPr>
              <w:t>其他交通运输支出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23"/>
              <w:spacing w:before="74" w:line="213" w:lineRule="auto"/>
              <w:rPr>
                <w:sz w:val="19"/>
                <w:szCs w:val="19"/>
              </w:rPr>
            </w:pPr>
            <w:r>
              <w:rPr>
                <w:sz w:val="19"/>
                <w:szCs w:val="19"/>
                <w:spacing w:val="9"/>
              </w:rPr>
              <w:t>十四、资源勘探工业信息等支出</w:t>
            </w:r>
          </w:p>
        </w:tc>
        <w:tc>
          <w:tcPr>
            <w:tcW w:w="2216" w:type="dxa"/>
            <w:vAlign w:val="top"/>
          </w:tcPr>
          <w:p>
            <w:pPr>
              <w:pStyle w:val="TableText"/>
              <w:ind w:right="8"/>
              <w:spacing w:before="71" w:line="216" w:lineRule="auto"/>
              <w:jc w:val="right"/>
              <w:rPr>
                <w:sz w:val="19"/>
                <w:szCs w:val="19"/>
              </w:rPr>
            </w:pPr>
            <w:r>
              <w:rPr>
                <w:sz w:val="19"/>
                <w:szCs w:val="19"/>
                <w:spacing w:val="-2"/>
              </w:rPr>
              <w:t>1045</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9"/>
              <w:spacing w:before="75" w:line="212" w:lineRule="auto"/>
              <w:rPr>
                <w:sz w:val="19"/>
                <w:szCs w:val="19"/>
              </w:rPr>
            </w:pPr>
            <w:r>
              <w:rPr>
                <w:sz w:val="19"/>
                <w:szCs w:val="19"/>
                <w:spacing w:val="8"/>
              </w:rPr>
              <w:t>资源勘探开发</w:t>
            </w:r>
          </w:p>
        </w:tc>
        <w:tc>
          <w:tcPr>
            <w:tcW w:w="2216" w:type="dxa"/>
            <w:vAlign w:val="top"/>
          </w:tcPr>
          <w:p>
            <w:pPr>
              <w:pStyle w:val="TableText"/>
              <w:ind w:right="7"/>
              <w:spacing w:before="71" w:line="216"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7" w:line="210" w:lineRule="auto"/>
              <w:rPr>
                <w:sz w:val="19"/>
                <w:szCs w:val="19"/>
              </w:rPr>
            </w:pPr>
            <w:r>
              <w:rPr>
                <w:sz w:val="19"/>
                <w:szCs w:val="19"/>
                <w:spacing w:val="8"/>
              </w:rPr>
              <w:t>行政运行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9" w:line="209" w:lineRule="auto"/>
              <w:rPr>
                <w:sz w:val="19"/>
                <w:szCs w:val="19"/>
              </w:rPr>
            </w:pPr>
            <w:r>
              <w:rPr>
                <w:sz w:val="19"/>
                <w:szCs w:val="19"/>
                <w:spacing w:val="9"/>
              </w:rPr>
              <w:t>一般行政管理事务</w:t>
            </w:r>
          </w:p>
        </w:tc>
        <w:tc>
          <w:tcPr>
            <w:tcW w:w="2216" w:type="dxa"/>
            <w:vAlign w:val="top"/>
          </w:tcPr>
          <w:p>
            <w:pPr>
              <w:pStyle w:val="TableText"/>
              <w:ind w:right="7"/>
              <w:spacing w:before="74" w:line="214"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9" w:line="209" w:lineRule="auto"/>
              <w:rPr>
                <w:sz w:val="19"/>
                <w:szCs w:val="19"/>
              </w:rPr>
            </w:pPr>
            <w:r>
              <w:rPr>
                <w:sz w:val="19"/>
                <w:szCs w:val="19"/>
                <w:spacing w:val="8"/>
              </w:rPr>
              <w:t>机关服务</w:t>
            </w:r>
          </w:p>
        </w:tc>
        <w:tc>
          <w:tcPr>
            <w:tcW w:w="2216" w:type="dxa"/>
            <w:vAlign w:val="top"/>
          </w:tcPr>
          <w:p>
            <w:pPr>
              <w:pStyle w:val="TableText"/>
              <w:ind w:right="7"/>
              <w:spacing w:before="74" w:line="214"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8" w:line="210" w:lineRule="auto"/>
              <w:rPr>
                <w:sz w:val="19"/>
                <w:szCs w:val="19"/>
              </w:rPr>
            </w:pPr>
            <w:r>
              <w:rPr>
                <w:sz w:val="19"/>
                <w:szCs w:val="19"/>
                <w:spacing w:val="9"/>
              </w:rPr>
              <w:t>煤炭勘探开采和洗选</w:t>
            </w:r>
          </w:p>
        </w:tc>
        <w:tc>
          <w:tcPr>
            <w:tcW w:w="2216" w:type="dxa"/>
            <w:vAlign w:val="top"/>
          </w:tcPr>
          <w:p>
            <w:pPr>
              <w:pStyle w:val="TableText"/>
              <w:ind w:right="7"/>
              <w:spacing w:before="73" w:line="215"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7" w:line="211" w:lineRule="auto"/>
              <w:rPr>
                <w:sz w:val="19"/>
                <w:szCs w:val="19"/>
              </w:rPr>
            </w:pPr>
            <w:r>
              <w:rPr>
                <w:sz w:val="19"/>
                <w:szCs w:val="19"/>
                <w:spacing w:val="9"/>
              </w:rPr>
              <w:t>石油和天然气勘探开采</w:t>
            </w:r>
          </w:p>
        </w:tc>
        <w:tc>
          <w:tcPr>
            <w:tcW w:w="2216" w:type="dxa"/>
            <w:vAlign w:val="top"/>
          </w:tcPr>
          <w:p>
            <w:pPr>
              <w:pStyle w:val="TableText"/>
              <w:ind w:right="7"/>
              <w:spacing w:before="73" w:line="215"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9" w:line="209" w:lineRule="auto"/>
              <w:rPr>
                <w:sz w:val="19"/>
                <w:szCs w:val="19"/>
              </w:rPr>
            </w:pPr>
            <w:r>
              <w:rPr>
                <w:sz w:val="19"/>
                <w:szCs w:val="19"/>
                <w:spacing w:val="9"/>
              </w:rPr>
              <w:t>黑色金属矿勘探和采选</w:t>
            </w:r>
          </w:p>
        </w:tc>
        <w:tc>
          <w:tcPr>
            <w:tcW w:w="2216" w:type="dxa"/>
            <w:vAlign w:val="top"/>
          </w:tcPr>
          <w:p>
            <w:pPr>
              <w:pStyle w:val="TableText"/>
              <w:ind w:right="7"/>
              <w:spacing w:before="74" w:line="214"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8" w:line="210" w:lineRule="auto"/>
              <w:rPr>
                <w:sz w:val="19"/>
                <w:szCs w:val="19"/>
              </w:rPr>
            </w:pPr>
            <w:r>
              <w:rPr>
                <w:sz w:val="19"/>
                <w:szCs w:val="19"/>
                <w:spacing w:val="9"/>
              </w:rPr>
              <w:t>有色金属矿勘探和采选</w:t>
            </w:r>
          </w:p>
        </w:tc>
        <w:tc>
          <w:tcPr>
            <w:tcW w:w="2216" w:type="dxa"/>
            <w:vAlign w:val="top"/>
          </w:tcPr>
          <w:p>
            <w:pPr>
              <w:pStyle w:val="TableText"/>
              <w:ind w:right="7"/>
              <w:spacing w:before="74" w:line="214"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9" w:line="208" w:lineRule="auto"/>
              <w:rPr>
                <w:sz w:val="19"/>
                <w:szCs w:val="19"/>
              </w:rPr>
            </w:pPr>
            <w:r>
              <w:rPr>
                <w:sz w:val="19"/>
                <w:szCs w:val="19"/>
                <w:spacing w:val="9"/>
              </w:rPr>
              <w:t>非金属矿勘探和采选</w:t>
            </w:r>
          </w:p>
        </w:tc>
        <w:tc>
          <w:tcPr>
            <w:tcW w:w="2216" w:type="dxa"/>
            <w:vAlign w:val="top"/>
          </w:tcPr>
          <w:p>
            <w:pPr>
              <w:pStyle w:val="TableText"/>
              <w:ind w:right="7"/>
              <w:spacing w:before="73" w:line="214"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7" w:line="211" w:lineRule="auto"/>
              <w:rPr>
                <w:sz w:val="19"/>
                <w:szCs w:val="19"/>
              </w:rPr>
            </w:pPr>
            <w:r>
              <w:rPr>
                <w:sz w:val="19"/>
                <w:szCs w:val="19"/>
                <w:spacing w:val="9"/>
              </w:rPr>
              <w:t>其他资源勘探业支出</w:t>
            </w:r>
          </w:p>
        </w:tc>
        <w:tc>
          <w:tcPr>
            <w:tcW w:w="2216" w:type="dxa"/>
            <w:vAlign w:val="top"/>
          </w:tcPr>
          <w:p>
            <w:pPr>
              <w:pStyle w:val="TableText"/>
              <w:ind w:right="7"/>
              <w:spacing w:before="74" w:line="214"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5"/>
              <w:spacing w:before="81" w:line="206" w:lineRule="auto"/>
              <w:rPr>
                <w:sz w:val="19"/>
                <w:szCs w:val="19"/>
              </w:rPr>
            </w:pPr>
            <w:r>
              <w:rPr>
                <w:sz w:val="19"/>
                <w:szCs w:val="19"/>
                <w:spacing w:val="8"/>
              </w:rPr>
              <w:t>制造业</w:t>
            </w:r>
          </w:p>
        </w:tc>
        <w:tc>
          <w:tcPr>
            <w:tcW w:w="2216" w:type="dxa"/>
            <w:vAlign w:val="top"/>
          </w:tcPr>
          <w:p>
            <w:pPr>
              <w:pStyle w:val="TableText"/>
              <w:ind w:right="8"/>
              <w:spacing w:before="75" w:line="212" w:lineRule="auto"/>
              <w:jc w:val="right"/>
              <w:rPr>
                <w:sz w:val="19"/>
                <w:szCs w:val="19"/>
              </w:rPr>
            </w:pPr>
            <w:r>
              <w:rPr>
                <w:sz w:val="19"/>
                <w:szCs w:val="19"/>
                <w:spacing w:val="-4"/>
              </w:rPr>
              <w:t>114</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1" w:line="207" w:lineRule="auto"/>
              <w:rPr>
                <w:sz w:val="19"/>
                <w:szCs w:val="19"/>
              </w:rPr>
            </w:pPr>
            <w:r>
              <w:rPr>
                <w:sz w:val="19"/>
                <w:szCs w:val="19"/>
                <w:spacing w:val="8"/>
              </w:rPr>
              <w:t>行政运行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80" w:line="207"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1" w:line="207"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8"/>
              <w:spacing w:before="84" w:line="204" w:lineRule="auto"/>
              <w:rPr>
                <w:sz w:val="19"/>
                <w:szCs w:val="19"/>
              </w:rPr>
            </w:pPr>
            <w:r>
              <w:rPr>
                <w:sz w:val="19"/>
                <w:szCs w:val="19"/>
                <w:spacing w:val="7"/>
              </w:rPr>
              <w:t>纺织业</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28"/>
              <w:spacing w:before="84" w:line="205" w:lineRule="auto"/>
              <w:rPr>
                <w:sz w:val="19"/>
                <w:szCs w:val="19"/>
              </w:rPr>
            </w:pPr>
            <w:r>
              <w:rPr>
                <w:sz w:val="19"/>
                <w:szCs w:val="19"/>
                <w:spacing w:val="6"/>
              </w:rPr>
              <w:t>医药制造业</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7" w:line="210" w:lineRule="auto"/>
              <w:rPr>
                <w:sz w:val="19"/>
                <w:szCs w:val="19"/>
              </w:rPr>
            </w:pPr>
            <w:r>
              <w:rPr>
                <w:sz w:val="19"/>
                <w:szCs w:val="19"/>
                <w:spacing w:val="9"/>
              </w:rPr>
              <w:t>非金属矿物制品业</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0" w:line="208" w:lineRule="auto"/>
              <w:rPr>
                <w:sz w:val="19"/>
                <w:szCs w:val="19"/>
              </w:rPr>
            </w:pPr>
            <w:r>
              <w:rPr>
                <w:sz w:val="19"/>
                <w:szCs w:val="19"/>
                <w:spacing w:val="9"/>
              </w:rPr>
              <w:t>通信设备、计算机及其他电子设备制造业</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84" w:line="204" w:lineRule="auto"/>
              <w:rPr>
                <w:sz w:val="19"/>
                <w:szCs w:val="19"/>
              </w:rPr>
            </w:pPr>
            <w:r>
              <w:rPr>
                <w:sz w:val="19"/>
                <w:szCs w:val="19"/>
                <w:spacing w:val="9"/>
              </w:rPr>
              <w:t>交通运输设备制造业</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34"/>
              <w:spacing w:before="80" w:line="208" w:lineRule="auto"/>
              <w:rPr>
                <w:sz w:val="19"/>
                <w:szCs w:val="19"/>
              </w:rPr>
            </w:pPr>
            <w:r>
              <w:rPr>
                <w:sz w:val="19"/>
                <w:szCs w:val="19"/>
                <w:spacing w:val="7"/>
              </w:rPr>
              <w:t>电气机械及器材制造业</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9" w:line="209" w:lineRule="auto"/>
              <w:rPr>
                <w:sz w:val="19"/>
                <w:szCs w:val="19"/>
              </w:rPr>
            </w:pPr>
            <w:r>
              <w:rPr>
                <w:sz w:val="19"/>
                <w:szCs w:val="19"/>
                <w:spacing w:val="9"/>
              </w:rPr>
              <w:t>工艺品及其他制造业</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9" w:line="209" w:lineRule="auto"/>
              <w:rPr>
                <w:sz w:val="19"/>
                <w:szCs w:val="19"/>
              </w:rPr>
            </w:pPr>
            <w:r>
              <w:rPr>
                <w:sz w:val="19"/>
                <w:szCs w:val="19"/>
                <w:spacing w:val="9"/>
              </w:rPr>
              <w:t>石油加工、炼焦及核燃料加工业</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0" w:line="208" w:lineRule="auto"/>
              <w:rPr>
                <w:sz w:val="19"/>
                <w:szCs w:val="19"/>
              </w:rPr>
            </w:pPr>
            <w:r>
              <w:rPr>
                <w:sz w:val="19"/>
                <w:szCs w:val="19"/>
                <w:spacing w:val="9"/>
              </w:rPr>
              <w:t>化学原料及化学制品制造业</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5" w:line="204" w:lineRule="auto"/>
              <w:rPr>
                <w:sz w:val="19"/>
                <w:szCs w:val="19"/>
              </w:rPr>
            </w:pPr>
            <w:r>
              <w:rPr>
                <w:sz w:val="19"/>
                <w:szCs w:val="19"/>
                <w:spacing w:val="9"/>
              </w:rPr>
              <w:t>黑色金属冶炼及压延加工业</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5" w:line="204" w:lineRule="auto"/>
              <w:rPr>
                <w:sz w:val="19"/>
                <w:szCs w:val="19"/>
              </w:rPr>
            </w:pPr>
            <w:r>
              <w:rPr>
                <w:sz w:val="19"/>
                <w:szCs w:val="19"/>
                <w:spacing w:val="9"/>
              </w:rPr>
              <w:t>有色金属冶炼及压延加工业</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2" w:line="206" w:lineRule="auto"/>
              <w:rPr>
                <w:sz w:val="19"/>
                <w:szCs w:val="19"/>
              </w:rPr>
            </w:pPr>
            <w:r>
              <w:rPr>
                <w:sz w:val="19"/>
                <w:szCs w:val="19"/>
                <w:spacing w:val="9"/>
              </w:rPr>
              <w:t>其他制造业支出</w:t>
            </w:r>
          </w:p>
        </w:tc>
        <w:tc>
          <w:tcPr>
            <w:tcW w:w="2216" w:type="dxa"/>
            <w:vAlign w:val="top"/>
          </w:tcPr>
          <w:p>
            <w:pPr>
              <w:pStyle w:val="TableText"/>
              <w:ind w:right="8"/>
              <w:spacing w:before="79" w:line="209" w:lineRule="auto"/>
              <w:jc w:val="right"/>
              <w:rPr>
                <w:sz w:val="19"/>
                <w:szCs w:val="19"/>
              </w:rPr>
            </w:pPr>
            <w:r>
              <w:rPr>
                <w:sz w:val="19"/>
                <w:szCs w:val="19"/>
                <w:spacing w:val="-4"/>
              </w:rPr>
              <w:t>114</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4"/>
              <w:spacing w:before="82" w:line="206" w:lineRule="auto"/>
              <w:rPr>
                <w:sz w:val="19"/>
                <w:szCs w:val="19"/>
              </w:rPr>
            </w:pPr>
            <w:r>
              <w:rPr>
                <w:sz w:val="19"/>
                <w:szCs w:val="19"/>
                <w:spacing w:val="8"/>
              </w:rPr>
              <w:t>建筑业</w:t>
            </w:r>
          </w:p>
        </w:tc>
        <w:tc>
          <w:tcPr>
            <w:tcW w:w="2216" w:type="dxa"/>
            <w:vAlign w:val="top"/>
          </w:tcPr>
          <w:p>
            <w:pPr>
              <w:pStyle w:val="TableText"/>
              <w:ind w:right="7"/>
              <w:spacing w:before="80" w:line="208"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6" w:line="203" w:lineRule="auto"/>
              <w:rPr>
                <w:sz w:val="19"/>
                <w:szCs w:val="19"/>
              </w:rPr>
            </w:pPr>
            <w:r>
              <w:rPr>
                <w:sz w:val="19"/>
                <w:szCs w:val="19"/>
                <w:spacing w:val="8"/>
              </w:rPr>
              <w:t>行政运行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5" w:line="204"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5" w:line="204"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2" w:line="206" w:lineRule="auto"/>
              <w:rPr>
                <w:sz w:val="19"/>
                <w:szCs w:val="19"/>
              </w:rPr>
            </w:pPr>
            <w:r>
              <w:rPr>
                <w:sz w:val="19"/>
                <w:szCs w:val="19"/>
                <w:spacing w:val="9"/>
              </w:rPr>
              <w:t>其他建筑业支出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5"/>
              <w:spacing w:before="82" w:line="206" w:lineRule="auto"/>
              <w:rPr>
                <w:sz w:val="19"/>
                <w:szCs w:val="19"/>
              </w:rPr>
            </w:pPr>
            <w:r>
              <w:rPr>
                <w:sz w:val="19"/>
                <w:szCs w:val="19"/>
                <w:spacing w:val="9"/>
              </w:rPr>
              <w:t>工业和信息产业监管</w:t>
            </w:r>
          </w:p>
        </w:tc>
        <w:tc>
          <w:tcPr>
            <w:tcW w:w="2216" w:type="dxa"/>
            <w:vAlign w:val="top"/>
          </w:tcPr>
          <w:p>
            <w:pPr>
              <w:pStyle w:val="TableText"/>
              <w:ind w:right="8"/>
              <w:spacing w:before="80" w:line="208" w:lineRule="auto"/>
              <w:jc w:val="right"/>
              <w:rPr>
                <w:sz w:val="19"/>
                <w:szCs w:val="19"/>
              </w:rPr>
            </w:pPr>
            <w:r>
              <w:rPr>
                <w:sz w:val="19"/>
                <w:szCs w:val="19"/>
                <w:spacing w:val="1"/>
              </w:rPr>
              <w:t>238</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5" w:line="204" w:lineRule="auto"/>
              <w:rPr>
                <w:sz w:val="19"/>
                <w:szCs w:val="19"/>
              </w:rPr>
            </w:pPr>
            <w:r>
              <w:rPr>
                <w:sz w:val="19"/>
                <w:szCs w:val="19"/>
                <w:spacing w:val="8"/>
              </w:rPr>
              <w:t>行政运行</w:t>
            </w:r>
          </w:p>
        </w:tc>
        <w:tc>
          <w:tcPr>
            <w:tcW w:w="2216" w:type="dxa"/>
            <w:vAlign w:val="top"/>
          </w:tcPr>
          <w:p>
            <w:pPr>
              <w:pStyle w:val="TableText"/>
              <w:ind w:right="8"/>
              <w:spacing w:before="79" w:line="209" w:lineRule="auto"/>
              <w:jc w:val="right"/>
              <w:rPr>
                <w:sz w:val="19"/>
                <w:szCs w:val="19"/>
              </w:rPr>
            </w:pPr>
            <w:r>
              <w:rPr>
                <w:sz w:val="19"/>
                <w:szCs w:val="19"/>
                <w:spacing w:val="1"/>
              </w:rPr>
              <w:t>218</w:t>
            </w:r>
          </w:p>
        </w:tc>
        <w:tc>
          <w:tcPr>
            <w:tcW w:w="2013" w:type="dxa"/>
            <w:vAlign w:val="top"/>
            <w:tcBorders>
              <w:right w:val="single" w:color="000000" w:sz="6" w:space="0"/>
            </w:tcBorders>
          </w:tcPr>
          <w:p>
            <w:pPr>
              <w:rPr>
                <w:rFonts w:ascii="Arial"/>
                <w:sz w:val="21"/>
              </w:rPr>
            </w:pPr>
            <w:r/>
          </w:p>
        </w:tc>
      </w:tr>
      <w:tr>
        <w:trPr>
          <w:trHeight w:val="314" w:hRule="atLeast"/>
        </w:trPr>
        <w:tc>
          <w:tcPr>
            <w:tcW w:w="4612" w:type="dxa"/>
            <w:vAlign w:val="top"/>
            <w:tcBorders>
              <w:left w:val="single" w:color="000000" w:sz="6" w:space="0"/>
              <w:bottom w:val="single" w:color="000000" w:sz="6" w:space="0"/>
            </w:tcBorders>
          </w:tcPr>
          <w:p>
            <w:pPr>
              <w:pStyle w:val="TableText"/>
              <w:ind w:left="616"/>
              <w:spacing w:before="83" w:line="214" w:lineRule="auto"/>
              <w:rPr>
                <w:sz w:val="19"/>
                <w:szCs w:val="19"/>
              </w:rPr>
            </w:pPr>
            <w:r>
              <w:rPr>
                <w:sz w:val="19"/>
                <w:szCs w:val="19"/>
                <w:spacing w:val="9"/>
              </w:rPr>
              <w:t>一般行政管理事务</w:t>
            </w:r>
          </w:p>
        </w:tc>
        <w:tc>
          <w:tcPr>
            <w:tcW w:w="2216" w:type="dxa"/>
            <w:vAlign w:val="top"/>
            <w:tcBorders>
              <w:bottom w:val="single" w:color="000000" w:sz="6" w:space="0"/>
            </w:tcBorders>
          </w:tcPr>
          <w:p>
            <w:pPr>
              <w:pStyle w:val="TableText"/>
              <w:ind w:right="8"/>
              <w:spacing w:before="79" w:line="218" w:lineRule="auto"/>
              <w:jc w:val="right"/>
              <w:rPr>
                <w:sz w:val="19"/>
                <w:szCs w:val="19"/>
              </w:rPr>
            </w:pPr>
            <w:r>
              <w:rPr>
                <w:sz w:val="19"/>
                <w:szCs w:val="19"/>
              </w:rPr>
              <w:t>20</w:t>
            </w:r>
          </w:p>
        </w:tc>
        <w:tc>
          <w:tcPr>
            <w:tcW w:w="2013"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23"/>
          <w:footerReference w:type="default" r:id="rId49"/>
          <w:pgSz w:w="11907" w:h="16840"/>
          <w:pgMar w:top="1801" w:right="1525" w:bottom="1660" w:left="1525" w:header="1428" w:footer="1289" w:gutter="0"/>
        </w:sectPr>
        <w:rPr>
          <w:rFonts w:ascii="Arial" w:hAnsi="Arial" w:eastAsia="Arial" w:cs="Arial"/>
          <w:sz w:val="21"/>
          <w:szCs w:val="21"/>
        </w:rPr>
      </w:pPr>
    </w:p>
    <w:p>
      <w:pPr>
        <w:spacing w:line="240" w:lineRule="exact"/>
        <w:rPr/>
      </w:pPr>
      <w:r/>
    </w:p>
    <w:tbl>
      <w:tblPr>
        <w:tblStyle w:val="TableNormal"/>
        <w:tblW w:w="8841"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12"/>
        <w:gridCol w:w="2216"/>
        <w:gridCol w:w="2013"/>
      </w:tblGrid>
      <w:tr>
        <w:trPr>
          <w:trHeight w:val="312" w:hRule="atLeast"/>
        </w:trPr>
        <w:tc>
          <w:tcPr>
            <w:tcW w:w="4612" w:type="dxa"/>
            <w:vAlign w:val="top"/>
            <w:tcBorders>
              <w:left w:val="single" w:color="000000" w:sz="6" w:space="0"/>
              <w:top w:val="single" w:color="000000" w:sz="6" w:space="0"/>
            </w:tcBorders>
          </w:tcPr>
          <w:p>
            <w:pPr>
              <w:pStyle w:val="TableText"/>
              <w:ind w:left="2104"/>
              <w:spacing w:before="81" w:line="212" w:lineRule="auto"/>
              <w:rPr>
                <w:sz w:val="19"/>
                <w:szCs w:val="19"/>
              </w:rPr>
            </w:pPr>
            <w:r>
              <w:rPr>
                <w:sz w:val="19"/>
                <w:szCs w:val="19"/>
                <w:b/>
                <w:bCs/>
                <w:spacing w:val="6"/>
              </w:rPr>
              <w:t>项目</w:t>
            </w:r>
          </w:p>
        </w:tc>
        <w:tc>
          <w:tcPr>
            <w:tcW w:w="2216" w:type="dxa"/>
            <w:vAlign w:val="top"/>
            <w:tcBorders>
              <w:top w:val="single" w:color="000000" w:sz="6" w:space="0"/>
            </w:tcBorders>
          </w:tcPr>
          <w:p>
            <w:pPr>
              <w:pStyle w:val="TableText"/>
              <w:ind w:left="813"/>
              <w:spacing w:before="76" w:line="219" w:lineRule="auto"/>
              <w:rPr>
                <w:sz w:val="19"/>
                <w:szCs w:val="19"/>
              </w:rPr>
            </w:pPr>
            <w:r>
              <w:rPr>
                <w:sz w:val="19"/>
                <w:szCs w:val="19"/>
                <w:b/>
                <w:bCs/>
                <w:spacing w:val="5"/>
              </w:rPr>
              <w:t>预算数</w:t>
            </w:r>
          </w:p>
        </w:tc>
        <w:tc>
          <w:tcPr>
            <w:tcW w:w="2013" w:type="dxa"/>
            <w:vAlign w:val="top"/>
            <w:tcBorders>
              <w:right w:val="single" w:color="000000" w:sz="6" w:space="0"/>
              <w:top w:val="single" w:color="000000" w:sz="6" w:space="0"/>
            </w:tcBorders>
          </w:tcPr>
          <w:p>
            <w:pPr>
              <w:pStyle w:val="TableText"/>
              <w:ind w:left="806"/>
              <w:spacing w:before="76" w:line="219" w:lineRule="auto"/>
              <w:rPr>
                <w:sz w:val="19"/>
                <w:szCs w:val="19"/>
              </w:rPr>
            </w:pPr>
            <w:r>
              <w:rPr>
                <w:sz w:val="19"/>
                <w:szCs w:val="19"/>
                <w:b/>
                <w:bCs/>
                <w:spacing w:val="6"/>
              </w:rPr>
              <w:t>备注</w:t>
            </w:r>
          </w:p>
        </w:tc>
      </w:tr>
      <w:tr>
        <w:trPr>
          <w:trHeight w:val="304" w:hRule="atLeast"/>
        </w:trPr>
        <w:tc>
          <w:tcPr>
            <w:tcW w:w="4612" w:type="dxa"/>
            <w:vAlign w:val="top"/>
            <w:tcBorders>
              <w:left w:val="single" w:color="000000" w:sz="6" w:space="0"/>
            </w:tcBorders>
          </w:tcPr>
          <w:p>
            <w:pPr>
              <w:pStyle w:val="TableText"/>
              <w:ind w:left="617"/>
              <w:spacing w:before="70" w:line="217"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27"/>
              <w:spacing w:before="71" w:line="216" w:lineRule="auto"/>
              <w:rPr>
                <w:sz w:val="19"/>
                <w:szCs w:val="19"/>
              </w:rPr>
            </w:pPr>
            <w:r>
              <w:rPr>
                <w:sz w:val="19"/>
                <w:szCs w:val="19"/>
                <w:spacing w:val="5"/>
              </w:rPr>
              <w:t>战备应急</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1" w:line="216" w:lineRule="auto"/>
              <w:rPr>
                <w:sz w:val="19"/>
                <w:szCs w:val="19"/>
              </w:rPr>
            </w:pPr>
            <w:r>
              <w:rPr>
                <w:sz w:val="19"/>
                <w:szCs w:val="19"/>
                <w:spacing w:val="8"/>
              </w:rPr>
              <w:t>专用通信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4"/>
              <w:spacing w:before="71" w:line="216" w:lineRule="auto"/>
              <w:rPr>
                <w:sz w:val="19"/>
                <w:szCs w:val="19"/>
              </w:rPr>
            </w:pPr>
            <w:r>
              <w:rPr>
                <w:sz w:val="19"/>
                <w:szCs w:val="19"/>
                <w:spacing w:val="9"/>
              </w:rPr>
              <w:t>无线电及信息通信监管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1" w:line="216" w:lineRule="auto"/>
              <w:rPr>
                <w:sz w:val="19"/>
                <w:szCs w:val="19"/>
              </w:rPr>
            </w:pPr>
            <w:r>
              <w:rPr>
                <w:sz w:val="19"/>
                <w:szCs w:val="19"/>
                <w:spacing w:val="9"/>
              </w:rPr>
              <w:t>工程建设及运行维护</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6" w:line="211" w:lineRule="auto"/>
              <w:rPr>
                <w:sz w:val="19"/>
                <w:szCs w:val="19"/>
              </w:rPr>
            </w:pPr>
            <w:r>
              <w:rPr>
                <w:sz w:val="19"/>
                <w:szCs w:val="19"/>
                <w:spacing w:val="8"/>
              </w:rPr>
              <w:t>产业发展</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6" w:line="212"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4" w:line="214" w:lineRule="auto"/>
              <w:rPr>
                <w:sz w:val="19"/>
                <w:szCs w:val="19"/>
              </w:rPr>
            </w:pPr>
            <w:r>
              <w:rPr>
                <w:sz w:val="19"/>
                <w:szCs w:val="19"/>
                <w:spacing w:val="9"/>
              </w:rPr>
              <w:t>其他工业和信息产业监管支出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34"/>
              <w:spacing w:before="74" w:line="214" w:lineRule="auto"/>
              <w:rPr>
                <w:sz w:val="19"/>
                <w:szCs w:val="19"/>
              </w:rPr>
            </w:pPr>
            <w:r>
              <w:rPr>
                <w:sz w:val="19"/>
                <w:szCs w:val="19"/>
                <w:spacing w:val="5"/>
              </w:rPr>
              <w:t>国有资产监管</w:t>
            </w:r>
          </w:p>
        </w:tc>
        <w:tc>
          <w:tcPr>
            <w:tcW w:w="2216" w:type="dxa"/>
            <w:vAlign w:val="top"/>
          </w:tcPr>
          <w:p>
            <w:pPr>
              <w:pStyle w:val="TableText"/>
              <w:ind w:right="8"/>
              <w:spacing w:before="71" w:line="217" w:lineRule="auto"/>
              <w:jc w:val="right"/>
              <w:rPr>
                <w:sz w:val="19"/>
                <w:szCs w:val="19"/>
              </w:rPr>
            </w:pPr>
            <w:r>
              <w:rPr>
                <w:sz w:val="19"/>
                <w:szCs w:val="19"/>
                <w:spacing w:val="-4"/>
              </w:rPr>
              <w:t>143</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8" w:line="210" w:lineRule="auto"/>
              <w:rPr>
                <w:sz w:val="19"/>
                <w:szCs w:val="19"/>
              </w:rPr>
            </w:pPr>
            <w:r>
              <w:rPr>
                <w:sz w:val="19"/>
                <w:szCs w:val="19"/>
                <w:spacing w:val="8"/>
              </w:rPr>
              <w:t>行政运行</w:t>
            </w:r>
          </w:p>
        </w:tc>
        <w:tc>
          <w:tcPr>
            <w:tcW w:w="2216" w:type="dxa"/>
            <w:vAlign w:val="top"/>
          </w:tcPr>
          <w:p>
            <w:pPr>
              <w:pStyle w:val="TableText"/>
              <w:ind w:right="8"/>
              <w:spacing w:before="73" w:line="215" w:lineRule="auto"/>
              <w:jc w:val="right"/>
              <w:rPr>
                <w:sz w:val="19"/>
                <w:szCs w:val="19"/>
              </w:rPr>
            </w:pPr>
            <w:r>
              <w:rPr>
                <w:sz w:val="19"/>
                <w:szCs w:val="19"/>
                <w:spacing w:val="-4"/>
              </w:rPr>
              <w:t>123</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6" w:line="212" w:lineRule="auto"/>
              <w:rPr>
                <w:sz w:val="19"/>
                <w:szCs w:val="19"/>
              </w:rPr>
            </w:pPr>
            <w:r>
              <w:rPr>
                <w:sz w:val="19"/>
                <w:szCs w:val="19"/>
                <w:spacing w:val="9"/>
              </w:rPr>
              <w:t>一般行政管理事务</w:t>
            </w:r>
          </w:p>
        </w:tc>
        <w:tc>
          <w:tcPr>
            <w:tcW w:w="2216" w:type="dxa"/>
            <w:vAlign w:val="top"/>
          </w:tcPr>
          <w:p>
            <w:pPr>
              <w:pStyle w:val="TableText"/>
              <w:ind w:right="8"/>
              <w:spacing w:before="72" w:line="216" w:lineRule="auto"/>
              <w:jc w:val="right"/>
              <w:rPr>
                <w:sz w:val="19"/>
                <w:szCs w:val="19"/>
              </w:rPr>
            </w:pPr>
            <w:r>
              <w:rPr>
                <w:sz w:val="19"/>
                <w:szCs w:val="19"/>
              </w:rPr>
              <w:t>20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7" w:line="211"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36"/>
              <w:spacing w:before="74" w:line="214" w:lineRule="auto"/>
              <w:rPr>
                <w:sz w:val="19"/>
                <w:szCs w:val="19"/>
              </w:rPr>
            </w:pPr>
            <w:r>
              <w:rPr>
                <w:sz w:val="19"/>
                <w:szCs w:val="19"/>
                <w:spacing w:val="7"/>
              </w:rPr>
              <w:t>国有企业监事会专项</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36"/>
              <w:spacing w:before="76" w:line="211" w:lineRule="auto"/>
              <w:rPr>
                <w:sz w:val="19"/>
                <w:szCs w:val="19"/>
              </w:rPr>
            </w:pPr>
            <w:r>
              <w:rPr>
                <w:sz w:val="19"/>
                <w:szCs w:val="19"/>
                <w:spacing w:val="6"/>
              </w:rPr>
              <w:t>中央企业专项管理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6" w:line="212" w:lineRule="auto"/>
              <w:rPr>
                <w:sz w:val="19"/>
                <w:szCs w:val="19"/>
              </w:rPr>
            </w:pPr>
            <w:r>
              <w:rPr>
                <w:sz w:val="19"/>
                <w:szCs w:val="19"/>
                <w:spacing w:val="9"/>
              </w:rPr>
              <w:t>其他国有资产监管支出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6"/>
              <w:spacing w:before="77" w:line="211" w:lineRule="auto"/>
              <w:rPr>
                <w:sz w:val="19"/>
                <w:szCs w:val="19"/>
              </w:rPr>
            </w:pPr>
            <w:r>
              <w:rPr>
                <w:sz w:val="19"/>
                <w:szCs w:val="19"/>
                <w:spacing w:val="9"/>
              </w:rPr>
              <w:t>支持中小企业发展和管理支出</w:t>
            </w:r>
          </w:p>
        </w:tc>
        <w:tc>
          <w:tcPr>
            <w:tcW w:w="2216" w:type="dxa"/>
            <w:vAlign w:val="top"/>
          </w:tcPr>
          <w:p>
            <w:pPr>
              <w:pStyle w:val="TableText"/>
              <w:ind w:right="8"/>
              <w:spacing w:before="72" w:line="216" w:lineRule="auto"/>
              <w:jc w:val="right"/>
              <w:rPr>
                <w:sz w:val="19"/>
                <w:szCs w:val="19"/>
              </w:rPr>
            </w:pPr>
            <w:r>
              <w:rPr>
                <w:sz w:val="19"/>
                <w:szCs w:val="19"/>
                <w:spacing w:val="1"/>
              </w:rPr>
              <w:t>550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7" w:line="211" w:lineRule="auto"/>
              <w:rPr>
                <w:sz w:val="19"/>
                <w:szCs w:val="19"/>
              </w:rPr>
            </w:pPr>
            <w:r>
              <w:rPr>
                <w:sz w:val="19"/>
                <w:szCs w:val="19"/>
                <w:spacing w:val="8"/>
              </w:rPr>
              <w:t>行政运行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8" w:line="210"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8" w:line="210"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4"/>
              <w:spacing w:before="77" w:line="211" w:lineRule="auto"/>
              <w:rPr>
                <w:sz w:val="19"/>
                <w:szCs w:val="19"/>
              </w:rPr>
            </w:pPr>
            <w:r>
              <w:rPr>
                <w:sz w:val="19"/>
                <w:szCs w:val="19"/>
                <w:spacing w:val="9"/>
              </w:rPr>
              <w:t>科技型中小企业技术创新基金</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36"/>
              <w:spacing w:before="75" w:line="213" w:lineRule="auto"/>
              <w:rPr>
                <w:sz w:val="19"/>
                <w:szCs w:val="19"/>
              </w:rPr>
            </w:pPr>
            <w:r>
              <w:rPr>
                <w:sz w:val="19"/>
                <w:szCs w:val="19"/>
                <w:spacing w:val="6"/>
              </w:rPr>
              <w:t>中小企业发展专项</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9" w:line="209" w:lineRule="auto"/>
              <w:rPr>
                <w:sz w:val="19"/>
                <w:szCs w:val="19"/>
              </w:rPr>
            </w:pPr>
            <w:r>
              <w:rPr>
                <w:sz w:val="19"/>
                <w:szCs w:val="19"/>
                <w:spacing w:val="9"/>
              </w:rPr>
              <w:t>减免房租补贴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6" w:line="212" w:lineRule="auto"/>
              <w:rPr>
                <w:sz w:val="19"/>
                <w:szCs w:val="19"/>
              </w:rPr>
            </w:pPr>
            <w:r>
              <w:rPr>
                <w:sz w:val="19"/>
                <w:szCs w:val="19"/>
                <w:spacing w:val="9"/>
              </w:rPr>
              <w:t>其他支持中小企业发展和管理支出</w:t>
            </w:r>
          </w:p>
        </w:tc>
        <w:tc>
          <w:tcPr>
            <w:tcW w:w="2216" w:type="dxa"/>
            <w:vAlign w:val="top"/>
          </w:tcPr>
          <w:p>
            <w:pPr>
              <w:pStyle w:val="TableText"/>
              <w:ind w:right="8"/>
              <w:spacing w:before="73" w:line="215" w:lineRule="auto"/>
              <w:jc w:val="right"/>
              <w:rPr>
                <w:sz w:val="19"/>
                <w:szCs w:val="19"/>
              </w:rPr>
            </w:pPr>
            <w:r>
              <w:rPr>
                <w:sz w:val="19"/>
                <w:szCs w:val="19"/>
                <w:spacing w:val="1"/>
              </w:rPr>
              <w:t>550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3"/>
              <w:spacing w:before="75" w:line="213" w:lineRule="auto"/>
              <w:rPr>
                <w:sz w:val="19"/>
                <w:szCs w:val="19"/>
              </w:rPr>
            </w:pPr>
            <w:r>
              <w:rPr>
                <w:sz w:val="19"/>
                <w:szCs w:val="19"/>
                <w:spacing w:val="9"/>
              </w:rPr>
              <w:t>其他资源勘探工业信息等支出</w:t>
            </w:r>
          </w:p>
        </w:tc>
        <w:tc>
          <w:tcPr>
            <w:tcW w:w="2216" w:type="dxa"/>
            <w:vAlign w:val="top"/>
          </w:tcPr>
          <w:p>
            <w:pPr>
              <w:pStyle w:val="TableText"/>
              <w:ind w:right="7"/>
              <w:spacing w:before="72" w:line="216"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9"/>
              <w:spacing w:before="76" w:line="212" w:lineRule="auto"/>
              <w:rPr>
                <w:sz w:val="19"/>
                <w:szCs w:val="19"/>
              </w:rPr>
            </w:pPr>
            <w:r>
              <w:rPr>
                <w:sz w:val="19"/>
                <w:szCs w:val="19"/>
                <w:spacing w:val="8"/>
              </w:rPr>
              <w:t>黄金事务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9" w:line="208" w:lineRule="auto"/>
              <w:rPr>
                <w:sz w:val="19"/>
                <w:szCs w:val="19"/>
              </w:rPr>
            </w:pPr>
            <w:r>
              <w:rPr>
                <w:sz w:val="19"/>
                <w:szCs w:val="19"/>
                <w:spacing w:val="9"/>
              </w:rPr>
              <w:t>技术改造支出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36"/>
              <w:spacing w:before="74" w:line="214" w:lineRule="auto"/>
              <w:rPr>
                <w:sz w:val="19"/>
                <w:szCs w:val="19"/>
              </w:rPr>
            </w:pPr>
            <w:r>
              <w:rPr>
                <w:sz w:val="19"/>
                <w:szCs w:val="19"/>
                <w:spacing w:val="7"/>
              </w:rPr>
              <w:t>中药材扶持资金支出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76" w:line="211" w:lineRule="auto"/>
              <w:rPr>
                <w:sz w:val="19"/>
                <w:szCs w:val="19"/>
              </w:rPr>
            </w:pPr>
            <w:r>
              <w:rPr>
                <w:sz w:val="19"/>
                <w:szCs w:val="19"/>
                <w:spacing w:val="9"/>
              </w:rPr>
              <w:t>重点产业振兴和技术改造项目贷款贴息</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6" w:line="212" w:lineRule="auto"/>
              <w:rPr>
                <w:sz w:val="19"/>
                <w:szCs w:val="19"/>
              </w:rPr>
            </w:pPr>
            <w:r>
              <w:rPr>
                <w:sz w:val="19"/>
                <w:szCs w:val="19"/>
                <w:spacing w:val="9"/>
              </w:rPr>
              <w:t>其他资源勘探工业信息等支出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23"/>
              <w:spacing w:before="79" w:line="208" w:lineRule="auto"/>
              <w:rPr>
                <w:sz w:val="19"/>
                <w:szCs w:val="19"/>
              </w:rPr>
            </w:pPr>
            <w:r>
              <w:rPr>
                <w:sz w:val="19"/>
                <w:szCs w:val="19"/>
                <w:spacing w:val="8"/>
              </w:rPr>
              <w:t>十五、商业服务业等支出</w:t>
            </w:r>
          </w:p>
        </w:tc>
        <w:tc>
          <w:tcPr>
            <w:tcW w:w="2216" w:type="dxa"/>
            <w:vAlign w:val="top"/>
          </w:tcPr>
          <w:p>
            <w:pPr>
              <w:pStyle w:val="TableText"/>
              <w:ind w:right="8"/>
              <w:spacing w:before="75" w:line="212" w:lineRule="auto"/>
              <w:jc w:val="right"/>
              <w:rPr>
                <w:sz w:val="19"/>
                <w:szCs w:val="19"/>
              </w:rPr>
            </w:pPr>
            <w:r>
              <w:rPr>
                <w:sz w:val="19"/>
                <w:szCs w:val="19"/>
                <w:spacing w:val="2"/>
              </w:rPr>
              <w:t>2466</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6"/>
              <w:spacing w:before="79" w:line="209" w:lineRule="auto"/>
              <w:rPr>
                <w:sz w:val="19"/>
                <w:szCs w:val="19"/>
              </w:rPr>
            </w:pPr>
            <w:r>
              <w:rPr>
                <w:sz w:val="19"/>
                <w:szCs w:val="19"/>
                <w:spacing w:val="9"/>
              </w:rPr>
              <w:t>商业流通事务</w:t>
            </w:r>
          </w:p>
        </w:tc>
        <w:tc>
          <w:tcPr>
            <w:tcW w:w="2216" w:type="dxa"/>
            <w:vAlign w:val="top"/>
          </w:tcPr>
          <w:p>
            <w:pPr>
              <w:pStyle w:val="TableText"/>
              <w:ind w:right="8"/>
              <w:spacing w:before="76" w:line="212" w:lineRule="auto"/>
              <w:jc w:val="right"/>
              <w:rPr>
                <w:sz w:val="19"/>
                <w:szCs w:val="19"/>
              </w:rPr>
            </w:pPr>
            <w:r>
              <w:rPr>
                <w:sz w:val="19"/>
                <w:szCs w:val="19"/>
                <w:spacing w:val="2"/>
              </w:rPr>
              <w:t>2316</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80" w:line="207" w:lineRule="auto"/>
              <w:rPr>
                <w:sz w:val="19"/>
                <w:szCs w:val="19"/>
              </w:rPr>
            </w:pPr>
            <w:r>
              <w:rPr>
                <w:sz w:val="19"/>
                <w:szCs w:val="19"/>
                <w:spacing w:val="8"/>
              </w:rPr>
              <w:t>行政运行</w:t>
            </w:r>
          </w:p>
        </w:tc>
        <w:tc>
          <w:tcPr>
            <w:tcW w:w="2216" w:type="dxa"/>
            <w:vAlign w:val="top"/>
          </w:tcPr>
          <w:p>
            <w:pPr>
              <w:pStyle w:val="TableText"/>
              <w:ind w:right="8"/>
              <w:spacing w:before="75" w:line="212" w:lineRule="auto"/>
              <w:jc w:val="right"/>
              <w:rPr>
                <w:sz w:val="19"/>
                <w:szCs w:val="19"/>
              </w:rPr>
            </w:pPr>
            <w:r>
              <w:rPr>
                <w:sz w:val="19"/>
                <w:szCs w:val="19"/>
              </w:rPr>
              <w:t>94</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0" w:line="208" w:lineRule="auto"/>
              <w:rPr>
                <w:sz w:val="19"/>
                <w:szCs w:val="19"/>
              </w:rPr>
            </w:pPr>
            <w:r>
              <w:rPr>
                <w:sz w:val="19"/>
                <w:szCs w:val="19"/>
                <w:spacing w:val="9"/>
              </w:rPr>
              <w:t>一般行政管理事务</w:t>
            </w:r>
          </w:p>
        </w:tc>
        <w:tc>
          <w:tcPr>
            <w:tcW w:w="2216" w:type="dxa"/>
            <w:vAlign w:val="top"/>
          </w:tcPr>
          <w:p>
            <w:pPr>
              <w:pStyle w:val="TableText"/>
              <w:ind w:right="8"/>
              <w:spacing w:before="76" w:line="212" w:lineRule="auto"/>
              <w:jc w:val="right"/>
              <w:rPr>
                <w:sz w:val="19"/>
                <w:szCs w:val="19"/>
              </w:rPr>
            </w:pPr>
            <w:r>
              <w:rPr>
                <w:sz w:val="19"/>
                <w:szCs w:val="19"/>
                <w:spacing w:val="-8"/>
              </w:rPr>
              <w:t>15</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84" w:line="204"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3"/>
              <w:spacing w:before="78" w:line="210" w:lineRule="auto"/>
              <w:rPr>
                <w:sz w:val="19"/>
                <w:szCs w:val="19"/>
              </w:rPr>
            </w:pPr>
            <w:r>
              <w:rPr>
                <w:sz w:val="19"/>
                <w:szCs w:val="19"/>
                <w:spacing w:val="9"/>
              </w:rPr>
              <w:t>食品流通安全补贴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80" w:line="207" w:lineRule="auto"/>
              <w:rPr>
                <w:sz w:val="19"/>
                <w:szCs w:val="19"/>
              </w:rPr>
            </w:pPr>
            <w:r>
              <w:rPr>
                <w:sz w:val="19"/>
                <w:szCs w:val="19"/>
                <w:spacing w:val="9"/>
              </w:rPr>
              <w:t>市场监测及信息管理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34"/>
              <w:spacing w:before="84" w:line="205" w:lineRule="auto"/>
              <w:rPr>
                <w:sz w:val="19"/>
                <w:szCs w:val="19"/>
              </w:rPr>
            </w:pPr>
            <w:r>
              <w:rPr>
                <w:sz w:val="19"/>
                <w:szCs w:val="19"/>
                <w:spacing w:val="6"/>
              </w:rPr>
              <w:t>民贸企业补贴</w:t>
            </w:r>
          </w:p>
        </w:tc>
        <w:tc>
          <w:tcPr>
            <w:tcW w:w="2216" w:type="dxa"/>
            <w:vAlign w:val="top"/>
          </w:tcPr>
          <w:p>
            <w:pPr>
              <w:pStyle w:val="TableText"/>
              <w:ind w:right="8"/>
              <w:spacing w:before="78" w:line="210" w:lineRule="auto"/>
              <w:jc w:val="right"/>
              <w:rPr>
                <w:sz w:val="19"/>
                <w:szCs w:val="19"/>
              </w:rPr>
            </w:pPr>
            <w:r>
              <w:rPr>
                <w:sz w:val="19"/>
                <w:szCs w:val="19"/>
                <w:spacing w:val="-2"/>
              </w:rPr>
              <w:t>1434</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34"/>
              <w:spacing w:before="79" w:line="208" w:lineRule="auto"/>
              <w:rPr>
                <w:sz w:val="19"/>
                <w:szCs w:val="19"/>
              </w:rPr>
            </w:pPr>
            <w:r>
              <w:rPr>
                <w:sz w:val="19"/>
                <w:szCs w:val="19"/>
                <w:spacing w:val="7"/>
              </w:rPr>
              <w:t>民贸民品贷款贴息</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5" w:line="204"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14" w:hRule="atLeast"/>
        </w:trPr>
        <w:tc>
          <w:tcPr>
            <w:tcW w:w="4612" w:type="dxa"/>
            <w:vAlign w:val="top"/>
            <w:tcBorders>
              <w:left w:val="single" w:color="000000" w:sz="6" w:space="0"/>
              <w:bottom w:val="single" w:color="000000" w:sz="6" w:space="0"/>
            </w:tcBorders>
          </w:tcPr>
          <w:p>
            <w:pPr>
              <w:pStyle w:val="TableText"/>
              <w:ind w:left="615"/>
              <w:spacing w:before="83" w:line="214" w:lineRule="auto"/>
              <w:rPr>
                <w:sz w:val="19"/>
                <w:szCs w:val="19"/>
              </w:rPr>
            </w:pPr>
            <w:r>
              <w:rPr>
                <w:sz w:val="19"/>
                <w:szCs w:val="19"/>
                <w:spacing w:val="9"/>
              </w:rPr>
              <w:t>其他商业流通事务支出</w:t>
            </w:r>
          </w:p>
        </w:tc>
        <w:tc>
          <w:tcPr>
            <w:tcW w:w="2216" w:type="dxa"/>
            <w:vAlign w:val="top"/>
            <w:tcBorders>
              <w:bottom w:val="single" w:color="000000" w:sz="6" w:space="0"/>
            </w:tcBorders>
          </w:tcPr>
          <w:p>
            <w:pPr>
              <w:pStyle w:val="TableText"/>
              <w:ind w:right="8"/>
              <w:spacing w:before="79" w:line="218" w:lineRule="auto"/>
              <w:jc w:val="right"/>
              <w:rPr>
                <w:sz w:val="19"/>
                <w:szCs w:val="19"/>
              </w:rPr>
            </w:pPr>
            <w:r>
              <w:rPr>
                <w:sz w:val="19"/>
                <w:szCs w:val="19"/>
                <w:spacing w:val="2"/>
              </w:rPr>
              <w:t>773</w:t>
            </w:r>
          </w:p>
        </w:tc>
        <w:tc>
          <w:tcPr>
            <w:tcW w:w="2013" w:type="dxa"/>
            <w:vAlign w:val="top"/>
            <w:tcBorders>
              <w:bottom w:val="single" w:color="000000" w:sz="6" w:space="0"/>
              <w:right w:val="single" w:color="000000" w:sz="6" w:space="0"/>
            </w:tcBorders>
          </w:tcPr>
          <w:p>
            <w:pPr>
              <w:rPr>
                <w:rFonts w:ascii="Arial"/>
                <w:sz w:val="21"/>
              </w:rPr>
            </w:pPr>
            <w:r/>
          </w:p>
        </w:tc>
      </w:tr>
    </w:tbl>
    <w:p>
      <w:pPr>
        <w:spacing w:line="134" w:lineRule="exact"/>
        <w:rPr>
          <w:rFonts w:ascii="Arial"/>
          <w:sz w:val="11"/>
        </w:rPr>
      </w:pPr>
      <w:r/>
    </w:p>
    <w:p>
      <w:pPr>
        <w:spacing w:line="134" w:lineRule="exact"/>
        <w:sectPr>
          <w:headerReference w:type="default" r:id="rId25"/>
          <w:footerReference w:type="default" r:id="rId50"/>
          <w:pgSz w:w="11907" w:h="16840"/>
          <w:pgMar w:top="1845" w:right="1525" w:bottom="1671" w:left="1525" w:header="1428" w:footer="1277" w:gutter="0"/>
        </w:sectPr>
        <w:rPr>
          <w:rFonts w:ascii="Arial" w:hAnsi="Arial" w:eastAsia="Arial" w:cs="Arial"/>
          <w:sz w:val="11"/>
          <w:szCs w:val="11"/>
        </w:rPr>
      </w:pPr>
    </w:p>
    <w:p>
      <w:pPr>
        <w:spacing w:line="143" w:lineRule="exact"/>
        <w:rPr/>
      </w:pPr>
      <w:r/>
    </w:p>
    <w:tbl>
      <w:tblPr>
        <w:tblStyle w:val="TableNormal"/>
        <w:tblW w:w="8841"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12"/>
        <w:gridCol w:w="2216"/>
        <w:gridCol w:w="2013"/>
      </w:tblGrid>
      <w:tr>
        <w:trPr>
          <w:trHeight w:val="312" w:hRule="atLeast"/>
        </w:trPr>
        <w:tc>
          <w:tcPr>
            <w:tcW w:w="4612" w:type="dxa"/>
            <w:vAlign w:val="top"/>
            <w:tcBorders>
              <w:left w:val="single" w:color="000000" w:sz="6" w:space="0"/>
              <w:top w:val="single" w:color="000000" w:sz="6" w:space="0"/>
            </w:tcBorders>
          </w:tcPr>
          <w:p>
            <w:pPr>
              <w:pStyle w:val="TableText"/>
              <w:ind w:left="2104"/>
              <w:spacing w:before="81" w:line="212" w:lineRule="auto"/>
              <w:rPr>
                <w:sz w:val="19"/>
                <w:szCs w:val="19"/>
              </w:rPr>
            </w:pPr>
            <w:r>
              <w:rPr>
                <w:sz w:val="19"/>
                <w:szCs w:val="19"/>
                <w:b/>
                <w:bCs/>
                <w:spacing w:val="6"/>
              </w:rPr>
              <w:t>项目</w:t>
            </w:r>
          </w:p>
        </w:tc>
        <w:tc>
          <w:tcPr>
            <w:tcW w:w="2216" w:type="dxa"/>
            <w:vAlign w:val="top"/>
            <w:tcBorders>
              <w:top w:val="single" w:color="000000" w:sz="6" w:space="0"/>
            </w:tcBorders>
          </w:tcPr>
          <w:p>
            <w:pPr>
              <w:pStyle w:val="TableText"/>
              <w:ind w:left="813"/>
              <w:spacing w:before="75" w:line="220" w:lineRule="auto"/>
              <w:rPr>
                <w:sz w:val="19"/>
                <w:szCs w:val="19"/>
              </w:rPr>
            </w:pPr>
            <w:r>
              <w:rPr>
                <w:sz w:val="19"/>
                <w:szCs w:val="19"/>
                <w:b/>
                <w:bCs/>
                <w:spacing w:val="5"/>
              </w:rPr>
              <w:t>预算数</w:t>
            </w:r>
          </w:p>
        </w:tc>
        <w:tc>
          <w:tcPr>
            <w:tcW w:w="2013" w:type="dxa"/>
            <w:vAlign w:val="top"/>
            <w:tcBorders>
              <w:right w:val="single" w:color="000000" w:sz="6" w:space="0"/>
              <w:top w:val="single" w:color="000000" w:sz="6" w:space="0"/>
            </w:tcBorders>
          </w:tcPr>
          <w:p>
            <w:pPr>
              <w:pStyle w:val="TableText"/>
              <w:ind w:left="806"/>
              <w:spacing w:before="75" w:line="220" w:lineRule="auto"/>
              <w:rPr>
                <w:sz w:val="19"/>
                <w:szCs w:val="19"/>
              </w:rPr>
            </w:pPr>
            <w:r>
              <w:rPr>
                <w:sz w:val="19"/>
                <w:szCs w:val="19"/>
                <w:b/>
                <w:bCs/>
                <w:spacing w:val="6"/>
              </w:rPr>
              <w:t>备注</w:t>
            </w:r>
          </w:p>
        </w:tc>
      </w:tr>
      <w:tr>
        <w:trPr>
          <w:trHeight w:val="304" w:hRule="atLeast"/>
        </w:trPr>
        <w:tc>
          <w:tcPr>
            <w:tcW w:w="4612" w:type="dxa"/>
            <w:vAlign w:val="top"/>
            <w:tcBorders>
              <w:left w:val="single" w:color="000000" w:sz="6" w:space="0"/>
            </w:tcBorders>
          </w:tcPr>
          <w:p>
            <w:pPr>
              <w:pStyle w:val="TableText"/>
              <w:ind w:left="416"/>
              <w:spacing w:before="72" w:line="215" w:lineRule="auto"/>
              <w:rPr>
                <w:sz w:val="19"/>
                <w:szCs w:val="19"/>
              </w:rPr>
            </w:pPr>
            <w:r>
              <w:rPr>
                <w:sz w:val="19"/>
                <w:szCs w:val="19"/>
                <w:spacing w:val="8"/>
              </w:rPr>
              <w:t>涉外发展服务支出</w:t>
            </w:r>
          </w:p>
        </w:tc>
        <w:tc>
          <w:tcPr>
            <w:tcW w:w="2216" w:type="dxa"/>
            <w:vAlign w:val="top"/>
          </w:tcPr>
          <w:p>
            <w:pPr>
              <w:pStyle w:val="TableText"/>
              <w:ind w:right="8"/>
              <w:spacing w:before="67" w:line="220" w:lineRule="auto"/>
              <w:jc w:val="right"/>
              <w:rPr>
                <w:sz w:val="19"/>
                <w:szCs w:val="19"/>
              </w:rPr>
            </w:pPr>
            <w:r>
              <w:rPr>
                <w:sz w:val="19"/>
                <w:szCs w:val="19"/>
                <w:spacing w:val="-4"/>
              </w:rPr>
              <w:t>150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2" w:line="215" w:lineRule="auto"/>
              <w:rPr>
                <w:sz w:val="19"/>
                <w:szCs w:val="19"/>
              </w:rPr>
            </w:pPr>
            <w:r>
              <w:rPr>
                <w:sz w:val="19"/>
                <w:szCs w:val="19"/>
                <w:spacing w:val="8"/>
              </w:rPr>
              <w:t>行政运行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2" w:line="215"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73" w:line="214"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3" w:line="214" w:lineRule="auto"/>
              <w:rPr>
                <w:sz w:val="19"/>
                <w:szCs w:val="19"/>
              </w:rPr>
            </w:pPr>
            <w:r>
              <w:rPr>
                <w:sz w:val="19"/>
                <w:szCs w:val="19"/>
                <w:spacing w:val="9"/>
              </w:rPr>
              <w:t>外商投资环境建设补助资金</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4" w:line="213" w:lineRule="auto"/>
              <w:rPr>
                <w:sz w:val="19"/>
                <w:szCs w:val="19"/>
              </w:rPr>
            </w:pPr>
            <w:r>
              <w:rPr>
                <w:sz w:val="19"/>
                <w:szCs w:val="19"/>
                <w:spacing w:val="9"/>
              </w:rPr>
              <w:t>其他涉外发展服务支出</w:t>
            </w:r>
          </w:p>
        </w:tc>
        <w:tc>
          <w:tcPr>
            <w:tcW w:w="2216" w:type="dxa"/>
            <w:vAlign w:val="top"/>
          </w:tcPr>
          <w:p>
            <w:pPr>
              <w:pStyle w:val="TableText"/>
              <w:ind w:right="8"/>
              <w:spacing w:before="71" w:line="216" w:lineRule="auto"/>
              <w:jc w:val="right"/>
              <w:rPr>
                <w:sz w:val="19"/>
                <w:szCs w:val="19"/>
              </w:rPr>
            </w:pPr>
            <w:r>
              <w:rPr>
                <w:sz w:val="19"/>
                <w:szCs w:val="19"/>
                <w:spacing w:val="-4"/>
              </w:rPr>
              <w:t>150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3"/>
              <w:spacing w:before="75" w:line="212" w:lineRule="auto"/>
              <w:rPr>
                <w:sz w:val="19"/>
                <w:szCs w:val="19"/>
              </w:rPr>
            </w:pPr>
            <w:r>
              <w:rPr>
                <w:sz w:val="19"/>
                <w:szCs w:val="19"/>
                <w:spacing w:val="9"/>
              </w:rPr>
              <w:t>其他商业服务业等支出</w:t>
            </w:r>
          </w:p>
        </w:tc>
        <w:tc>
          <w:tcPr>
            <w:tcW w:w="2216" w:type="dxa"/>
            <w:vAlign w:val="top"/>
          </w:tcPr>
          <w:p>
            <w:pPr>
              <w:pStyle w:val="TableText"/>
              <w:ind w:right="7"/>
              <w:spacing w:before="71" w:line="216"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9"/>
              <w:spacing w:before="74" w:line="213" w:lineRule="auto"/>
              <w:rPr>
                <w:sz w:val="19"/>
                <w:szCs w:val="19"/>
              </w:rPr>
            </w:pPr>
            <w:r>
              <w:rPr>
                <w:sz w:val="19"/>
                <w:szCs w:val="19"/>
                <w:spacing w:val="9"/>
              </w:rPr>
              <w:t>服务业基础设施建设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8" w:line="210" w:lineRule="auto"/>
              <w:rPr>
                <w:sz w:val="19"/>
                <w:szCs w:val="19"/>
              </w:rPr>
            </w:pPr>
            <w:r>
              <w:rPr>
                <w:sz w:val="19"/>
                <w:szCs w:val="19"/>
                <w:spacing w:val="9"/>
              </w:rPr>
              <w:t>其他商业服务业等支出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23"/>
              <w:spacing w:before="79" w:line="209" w:lineRule="auto"/>
              <w:rPr>
                <w:sz w:val="19"/>
                <w:szCs w:val="19"/>
              </w:rPr>
            </w:pPr>
            <w:r>
              <w:rPr>
                <w:sz w:val="19"/>
                <w:szCs w:val="19"/>
                <w:spacing w:val="8"/>
              </w:rPr>
              <w:t>十六、金融支出</w:t>
            </w:r>
          </w:p>
        </w:tc>
        <w:tc>
          <w:tcPr>
            <w:tcW w:w="2216" w:type="dxa"/>
            <w:vAlign w:val="top"/>
          </w:tcPr>
          <w:p>
            <w:pPr>
              <w:pStyle w:val="TableText"/>
              <w:ind w:right="8"/>
              <w:spacing w:before="74" w:line="214" w:lineRule="auto"/>
              <w:jc w:val="right"/>
              <w:rPr>
                <w:sz w:val="19"/>
                <w:szCs w:val="19"/>
              </w:rPr>
            </w:pPr>
            <w:r>
              <w:rPr>
                <w:sz w:val="19"/>
                <w:szCs w:val="19"/>
                <w:spacing w:val="-4"/>
              </w:rPr>
              <w:t>160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4"/>
              <w:spacing w:before="79" w:line="209" w:lineRule="auto"/>
              <w:rPr>
                <w:sz w:val="19"/>
                <w:szCs w:val="19"/>
              </w:rPr>
            </w:pPr>
            <w:r>
              <w:rPr>
                <w:sz w:val="19"/>
                <w:szCs w:val="19"/>
                <w:spacing w:val="9"/>
              </w:rPr>
              <w:t>金融部门行政支出</w:t>
            </w:r>
          </w:p>
        </w:tc>
        <w:tc>
          <w:tcPr>
            <w:tcW w:w="2216" w:type="dxa"/>
            <w:vAlign w:val="top"/>
          </w:tcPr>
          <w:p>
            <w:pPr>
              <w:pStyle w:val="TableText"/>
              <w:ind w:right="8"/>
              <w:spacing w:before="73" w:line="215" w:lineRule="auto"/>
              <w:jc w:val="right"/>
              <w:rPr>
                <w:sz w:val="19"/>
                <w:szCs w:val="19"/>
              </w:rPr>
            </w:pPr>
            <w:r>
              <w:rPr>
                <w:sz w:val="19"/>
                <w:szCs w:val="19"/>
              </w:rPr>
              <w:t>20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8" w:line="210" w:lineRule="auto"/>
              <w:rPr>
                <w:sz w:val="19"/>
                <w:szCs w:val="19"/>
              </w:rPr>
            </w:pPr>
            <w:r>
              <w:rPr>
                <w:sz w:val="19"/>
                <w:szCs w:val="19"/>
                <w:spacing w:val="8"/>
              </w:rPr>
              <w:t>行政运行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9" w:line="209"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79" w:line="209"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9" w:line="208" w:lineRule="auto"/>
              <w:rPr>
                <w:sz w:val="19"/>
                <w:szCs w:val="19"/>
              </w:rPr>
            </w:pPr>
            <w:r>
              <w:rPr>
                <w:sz w:val="19"/>
                <w:szCs w:val="19"/>
                <w:spacing w:val="8"/>
              </w:rPr>
              <w:t>安全防卫</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8" w:line="210"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9" w:line="208" w:lineRule="auto"/>
              <w:rPr>
                <w:sz w:val="19"/>
                <w:szCs w:val="19"/>
              </w:rPr>
            </w:pPr>
            <w:r>
              <w:rPr>
                <w:sz w:val="19"/>
                <w:szCs w:val="19"/>
                <w:spacing w:val="9"/>
              </w:rPr>
              <w:t>金融部门其他行政支出</w:t>
            </w:r>
          </w:p>
        </w:tc>
        <w:tc>
          <w:tcPr>
            <w:tcW w:w="2216" w:type="dxa"/>
            <w:vAlign w:val="top"/>
          </w:tcPr>
          <w:p>
            <w:pPr>
              <w:pStyle w:val="TableText"/>
              <w:ind w:right="8"/>
              <w:spacing w:before="75" w:line="212" w:lineRule="auto"/>
              <w:jc w:val="right"/>
              <w:rPr>
                <w:sz w:val="19"/>
                <w:szCs w:val="19"/>
              </w:rPr>
            </w:pPr>
            <w:r>
              <w:rPr>
                <w:sz w:val="19"/>
                <w:szCs w:val="19"/>
              </w:rPr>
              <w:t>20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4"/>
              <w:spacing w:before="81" w:line="207" w:lineRule="auto"/>
              <w:rPr>
                <w:sz w:val="19"/>
                <w:szCs w:val="19"/>
              </w:rPr>
            </w:pPr>
            <w:r>
              <w:rPr>
                <w:sz w:val="19"/>
                <w:szCs w:val="19"/>
                <w:spacing w:val="9"/>
              </w:rPr>
              <w:t>金融部门监管支出</w:t>
            </w:r>
          </w:p>
        </w:tc>
        <w:tc>
          <w:tcPr>
            <w:tcW w:w="2216" w:type="dxa"/>
            <w:vAlign w:val="top"/>
          </w:tcPr>
          <w:p>
            <w:pPr>
              <w:pStyle w:val="TableText"/>
              <w:ind w:right="8"/>
              <w:spacing w:before="76" w:line="212" w:lineRule="auto"/>
              <w:jc w:val="right"/>
              <w:rPr>
                <w:sz w:val="19"/>
                <w:szCs w:val="19"/>
              </w:rPr>
            </w:pPr>
            <w:r>
              <w:rPr>
                <w:sz w:val="19"/>
                <w:szCs w:val="19"/>
                <w:spacing w:val="-4"/>
              </w:rPr>
              <w:t>125</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9" w:line="208" w:lineRule="auto"/>
              <w:rPr>
                <w:sz w:val="19"/>
                <w:szCs w:val="19"/>
              </w:rPr>
            </w:pPr>
            <w:r>
              <w:rPr>
                <w:sz w:val="19"/>
                <w:szCs w:val="19"/>
                <w:spacing w:val="8"/>
              </w:rPr>
              <w:t>货币发行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2" w:line="206" w:lineRule="auto"/>
              <w:rPr>
                <w:sz w:val="19"/>
                <w:szCs w:val="19"/>
              </w:rPr>
            </w:pPr>
            <w:r>
              <w:rPr>
                <w:sz w:val="19"/>
                <w:szCs w:val="19"/>
                <w:spacing w:val="8"/>
              </w:rPr>
              <w:t>金融服务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84" w:line="204" w:lineRule="auto"/>
              <w:rPr>
                <w:sz w:val="19"/>
                <w:szCs w:val="19"/>
              </w:rPr>
            </w:pPr>
            <w:r>
              <w:rPr>
                <w:sz w:val="19"/>
                <w:szCs w:val="19"/>
                <w:spacing w:val="8"/>
              </w:rPr>
              <w:t>反假币</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4" w:line="205" w:lineRule="auto"/>
              <w:rPr>
                <w:sz w:val="19"/>
                <w:szCs w:val="19"/>
              </w:rPr>
            </w:pPr>
            <w:r>
              <w:rPr>
                <w:sz w:val="19"/>
                <w:szCs w:val="19"/>
                <w:spacing w:val="9"/>
              </w:rPr>
              <w:t>重点金融机构监管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83" w:line="205" w:lineRule="auto"/>
              <w:rPr>
                <w:sz w:val="19"/>
                <w:szCs w:val="19"/>
              </w:rPr>
            </w:pPr>
            <w:r>
              <w:rPr>
                <w:sz w:val="19"/>
                <w:szCs w:val="19"/>
                <w:spacing w:val="9"/>
              </w:rPr>
              <w:t>金融稽查与案件处理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0" w:line="208" w:lineRule="auto"/>
              <w:rPr>
                <w:sz w:val="19"/>
                <w:szCs w:val="19"/>
              </w:rPr>
            </w:pPr>
            <w:r>
              <w:rPr>
                <w:sz w:val="19"/>
                <w:szCs w:val="19"/>
                <w:spacing w:val="9"/>
              </w:rPr>
              <w:t>金融行业电子化建设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3"/>
              <w:spacing w:before="84" w:line="204" w:lineRule="auto"/>
              <w:rPr>
                <w:sz w:val="19"/>
                <w:szCs w:val="19"/>
              </w:rPr>
            </w:pPr>
            <w:r>
              <w:rPr>
                <w:sz w:val="19"/>
                <w:szCs w:val="19"/>
                <w:spacing w:val="9"/>
              </w:rPr>
              <w:t>从业人员资格考试</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5" w:line="204" w:lineRule="auto"/>
              <w:rPr>
                <w:sz w:val="19"/>
                <w:szCs w:val="19"/>
              </w:rPr>
            </w:pPr>
            <w:r>
              <w:rPr>
                <w:sz w:val="19"/>
                <w:szCs w:val="19"/>
                <w:spacing w:val="8"/>
              </w:rPr>
              <w:t>反洗钱</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4" w:line="205" w:lineRule="auto"/>
              <w:rPr>
                <w:sz w:val="19"/>
                <w:szCs w:val="19"/>
              </w:rPr>
            </w:pPr>
            <w:r>
              <w:rPr>
                <w:sz w:val="19"/>
                <w:szCs w:val="19"/>
                <w:spacing w:val="9"/>
              </w:rPr>
              <w:t>金融部门其他监管支出</w:t>
            </w:r>
          </w:p>
        </w:tc>
        <w:tc>
          <w:tcPr>
            <w:tcW w:w="2216" w:type="dxa"/>
            <w:vAlign w:val="top"/>
          </w:tcPr>
          <w:p>
            <w:pPr>
              <w:pStyle w:val="TableText"/>
              <w:ind w:right="8"/>
              <w:spacing w:before="79" w:line="209" w:lineRule="auto"/>
              <w:jc w:val="right"/>
              <w:rPr>
                <w:sz w:val="19"/>
                <w:szCs w:val="19"/>
              </w:rPr>
            </w:pPr>
            <w:r>
              <w:rPr>
                <w:sz w:val="19"/>
                <w:szCs w:val="19"/>
                <w:spacing w:val="-4"/>
              </w:rPr>
              <w:t>125</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4"/>
              <w:spacing w:before="85" w:line="204" w:lineRule="auto"/>
              <w:rPr>
                <w:sz w:val="19"/>
                <w:szCs w:val="19"/>
              </w:rPr>
            </w:pPr>
            <w:r>
              <w:rPr>
                <w:sz w:val="19"/>
                <w:szCs w:val="19"/>
                <w:spacing w:val="9"/>
              </w:rPr>
              <w:t>金融发展支出</w:t>
            </w:r>
          </w:p>
        </w:tc>
        <w:tc>
          <w:tcPr>
            <w:tcW w:w="2216" w:type="dxa"/>
            <w:vAlign w:val="top"/>
          </w:tcPr>
          <w:p>
            <w:pPr>
              <w:pStyle w:val="TableText"/>
              <w:ind w:right="7"/>
              <w:spacing w:before="79" w:line="209"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6" w:line="203" w:lineRule="auto"/>
              <w:rPr>
                <w:sz w:val="19"/>
                <w:szCs w:val="19"/>
              </w:rPr>
            </w:pPr>
            <w:r>
              <w:rPr>
                <w:sz w:val="19"/>
                <w:szCs w:val="19"/>
                <w:spacing w:val="9"/>
              </w:rPr>
              <w:t>政策性银行亏损补贴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6" w:line="203" w:lineRule="auto"/>
              <w:rPr>
                <w:sz w:val="19"/>
                <w:szCs w:val="19"/>
              </w:rPr>
            </w:pPr>
            <w:r>
              <w:rPr>
                <w:sz w:val="19"/>
                <w:szCs w:val="19"/>
                <w:spacing w:val="9"/>
              </w:rPr>
              <w:t>利息费用补贴支出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4" w:line="205" w:lineRule="auto"/>
              <w:rPr>
                <w:sz w:val="19"/>
                <w:szCs w:val="19"/>
              </w:rPr>
            </w:pPr>
            <w:r>
              <w:rPr>
                <w:sz w:val="19"/>
                <w:szCs w:val="19"/>
                <w:spacing w:val="8"/>
              </w:rPr>
              <w:t>补充资本金</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9"/>
              <w:spacing w:before="84" w:line="205" w:lineRule="auto"/>
              <w:rPr>
                <w:sz w:val="19"/>
                <w:szCs w:val="19"/>
              </w:rPr>
            </w:pPr>
            <w:r>
              <w:rPr>
                <w:sz w:val="19"/>
                <w:szCs w:val="19"/>
                <w:spacing w:val="8"/>
              </w:rPr>
              <w:t>风险基金补助</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5" w:line="204" w:lineRule="auto"/>
              <w:rPr>
                <w:sz w:val="19"/>
                <w:szCs w:val="19"/>
              </w:rPr>
            </w:pPr>
            <w:r>
              <w:rPr>
                <w:sz w:val="19"/>
                <w:szCs w:val="19"/>
                <w:spacing w:val="9"/>
              </w:rPr>
              <w:t>其他金融发展支出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4"/>
              <w:spacing w:before="86" w:line="203" w:lineRule="auto"/>
              <w:rPr>
                <w:sz w:val="19"/>
                <w:szCs w:val="19"/>
              </w:rPr>
            </w:pPr>
            <w:r>
              <w:rPr>
                <w:sz w:val="19"/>
                <w:szCs w:val="19"/>
                <w:spacing w:val="9"/>
              </w:rPr>
              <w:t>金融调控支出</w:t>
            </w:r>
          </w:p>
        </w:tc>
        <w:tc>
          <w:tcPr>
            <w:tcW w:w="2216" w:type="dxa"/>
            <w:vAlign w:val="top"/>
          </w:tcPr>
          <w:p>
            <w:pPr>
              <w:pStyle w:val="TableText"/>
              <w:ind w:right="7"/>
              <w:spacing w:before="80" w:line="208"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36"/>
              <w:spacing w:before="85" w:line="204" w:lineRule="auto"/>
              <w:rPr>
                <w:sz w:val="19"/>
                <w:szCs w:val="19"/>
              </w:rPr>
            </w:pPr>
            <w:r>
              <w:rPr>
                <w:sz w:val="19"/>
                <w:szCs w:val="19"/>
                <w:spacing w:val="6"/>
              </w:rPr>
              <w:t>中央银行亏损补贴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2" w:line="206" w:lineRule="auto"/>
              <w:rPr>
                <w:sz w:val="19"/>
                <w:szCs w:val="19"/>
              </w:rPr>
            </w:pPr>
            <w:r>
              <w:rPr>
                <w:sz w:val="19"/>
                <w:szCs w:val="19"/>
                <w:spacing w:val="9"/>
              </w:rPr>
              <w:t>其他金融调控支出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3"/>
              <w:spacing w:before="85" w:line="204" w:lineRule="auto"/>
              <w:rPr>
                <w:sz w:val="19"/>
                <w:szCs w:val="19"/>
              </w:rPr>
            </w:pPr>
            <w:r>
              <w:rPr>
                <w:sz w:val="19"/>
                <w:szCs w:val="19"/>
                <w:spacing w:val="9"/>
              </w:rPr>
              <w:t>其他金融支出</w:t>
            </w:r>
          </w:p>
        </w:tc>
        <w:tc>
          <w:tcPr>
            <w:tcW w:w="2216" w:type="dxa"/>
            <w:vAlign w:val="top"/>
          </w:tcPr>
          <w:p>
            <w:pPr>
              <w:pStyle w:val="TableText"/>
              <w:ind w:right="8"/>
              <w:spacing w:before="80" w:line="208" w:lineRule="auto"/>
              <w:jc w:val="right"/>
              <w:rPr>
                <w:sz w:val="19"/>
                <w:szCs w:val="19"/>
              </w:rPr>
            </w:pPr>
            <w:r>
              <w:rPr>
                <w:sz w:val="19"/>
                <w:szCs w:val="19"/>
                <w:spacing w:val="-8"/>
              </w:rPr>
              <w:t>15</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2" w:line="206" w:lineRule="auto"/>
              <w:rPr>
                <w:sz w:val="19"/>
                <w:szCs w:val="19"/>
              </w:rPr>
            </w:pPr>
            <w:r>
              <w:rPr>
                <w:sz w:val="19"/>
                <w:szCs w:val="19"/>
                <w:spacing w:val="9"/>
              </w:rPr>
              <w:t>重点企业贷款贴息</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4" w:line="205" w:lineRule="auto"/>
              <w:rPr>
                <w:sz w:val="19"/>
                <w:szCs w:val="19"/>
              </w:rPr>
            </w:pPr>
            <w:r>
              <w:rPr>
                <w:sz w:val="19"/>
                <w:szCs w:val="19"/>
                <w:spacing w:val="9"/>
              </w:rPr>
              <w:t>其他金融支出</w:t>
            </w:r>
          </w:p>
        </w:tc>
        <w:tc>
          <w:tcPr>
            <w:tcW w:w="2216" w:type="dxa"/>
            <w:vAlign w:val="top"/>
          </w:tcPr>
          <w:p>
            <w:pPr>
              <w:pStyle w:val="TableText"/>
              <w:ind w:right="8"/>
              <w:spacing w:before="79" w:line="209" w:lineRule="auto"/>
              <w:jc w:val="right"/>
              <w:rPr>
                <w:sz w:val="19"/>
                <w:szCs w:val="19"/>
              </w:rPr>
            </w:pPr>
            <w:r>
              <w:rPr>
                <w:sz w:val="19"/>
                <w:szCs w:val="19"/>
                <w:spacing w:val="-8"/>
              </w:rPr>
              <w:t>15</w:t>
            </w:r>
          </w:p>
        </w:tc>
        <w:tc>
          <w:tcPr>
            <w:tcW w:w="2013" w:type="dxa"/>
            <w:vAlign w:val="top"/>
            <w:tcBorders>
              <w:right w:val="single" w:color="000000" w:sz="6" w:space="0"/>
            </w:tcBorders>
          </w:tcPr>
          <w:p>
            <w:pPr>
              <w:rPr>
                <w:rFonts w:ascii="Arial"/>
                <w:sz w:val="21"/>
              </w:rPr>
            </w:pPr>
            <w:r/>
          </w:p>
        </w:tc>
      </w:tr>
      <w:tr>
        <w:trPr>
          <w:trHeight w:val="314" w:hRule="atLeast"/>
        </w:trPr>
        <w:tc>
          <w:tcPr>
            <w:tcW w:w="4612" w:type="dxa"/>
            <w:vAlign w:val="top"/>
            <w:tcBorders>
              <w:left w:val="single" w:color="000000" w:sz="6" w:space="0"/>
              <w:bottom w:val="single" w:color="000000" w:sz="6" w:space="0"/>
            </w:tcBorders>
          </w:tcPr>
          <w:p>
            <w:pPr>
              <w:pStyle w:val="TableText"/>
              <w:ind w:left="23"/>
              <w:spacing w:before="82" w:line="215" w:lineRule="auto"/>
              <w:rPr>
                <w:sz w:val="19"/>
                <w:szCs w:val="19"/>
              </w:rPr>
            </w:pPr>
            <w:r>
              <w:rPr>
                <w:sz w:val="19"/>
                <w:szCs w:val="19"/>
                <w:spacing w:val="8"/>
              </w:rPr>
              <w:t>十七、援助其他地区支出</w:t>
            </w:r>
          </w:p>
        </w:tc>
        <w:tc>
          <w:tcPr>
            <w:tcW w:w="2216" w:type="dxa"/>
            <w:vAlign w:val="top"/>
            <w:tcBorders>
              <w:bottom w:val="single" w:color="000000" w:sz="6" w:space="0"/>
            </w:tcBorders>
          </w:tcPr>
          <w:p>
            <w:pPr>
              <w:pStyle w:val="TableText"/>
              <w:ind w:right="7"/>
              <w:spacing w:before="79" w:line="218" w:lineRule="auto"/>
              <w:jc w:val="right"/>
              <w:rPr>
                <w:sz w:val="19"/>
                <w:szCs w:val="19"/>
              </w:rPr>
            </w:pPr>
            <w:r>
              <w:rPr>
                <w:sz w:val="19"/>
                <w:szCs w:val="19"/>
              </w:rPr>
              <w:t>0</w:t>
            </w:r>
          </w:p>
        </w:tc>
        <w:tc>
          <w:tcPr>
            <w:tcW w:w="2013"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23"/>
          <w:footerReference w:type="default" r:id="rId51"/>
          <w:pgSz w:w="11907" w:h="16840"/>
          <w:pgMar w:top="1801" w:right="1525" w:bottom="1660" w:left="1525" w:header="1428" w:footer="1289" w:gutter="0"/>
        </w:sectPr>
        <w:rPr>
          <w:rFonts w:ascii="Arial" w:hAnsi="Arial" w:eastAsia="Arial" w:cs="Arial"/>
          <w:sz w:val="21"/>
          <w:szCs w:val="21"/>
        </w:rPr>
      </w:pPr>
    </w:p>
    <w:p>
      <w:pPr>
        <w:spacing w:line="240" w:lineRule="exact"/>
        <w:rPr/>
      </w:pPr>
      <w:r/>
    </w:p>
    <w:tbl>
      <w:tblPr>
        <w:tblStyle w:val="TableNormal"/>
        <w:tblW w:w="8841"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12"/>
        <w:gridCol w:w="2216"/>
        <w:gridCol w:w="2013"/>
      </w:tblGrid>
      <w:tr>
        <w:trPr>
          <w:trHeight w:val="312" w:hRule="atLeast"/>
        </w:trPr>
        <w:tc>
          <w:tcPr>
            <w:tcW w:w="4612" w:type="dxa"/>
            <w:vAlign w:val="top"/>
            <w:tcBorders>
              <w:left w:val="single" w:color="000000" w:sz="6" w:space="0"/>
              <w:top w:val="single" w:color="000000" w:sz="6" w:space="0"/>
            </w:tcBorders>
          </w:tcPr>
          <w:p>
            <w:pPr>
              <w:pStyle w:val="TableText"/>
              <w:ind w:left="2104"/>
              <w:spacing w:before="81" w:line="212" w:lineRule="auto"/>
              <w:rPr>
                <w:sz w:val="19"/>
                <w:szCs w:val="19"/>
              </w:rPr>
            </w:pPr>
            <w:r>
              <w:rPr>
                <w:sz w:val="19"/>
                <w:szCs w:val="19"/>
                <w:b/>
                <w:bCs/>
                <w:spacing w:val="6"/>
              </w:rPr>
              <w:t>项目</w:t>
            </w:r>
          </w:p>
        </w:tc>
        <w:tc>
          <w:tcPr>
            <w:tcW w:w="2216" w:type="dxa"/>
            <w:vAlign w:val="top"/>
            <w:tcBorders>
              <w:top w:val="single" w:color="000000" w:sz="6" w:space="0"/>
            </w:tcBorders>
          </w:tcPr>
          <w:p>
            <w:pPr>
              <w:pStyle w:val="TableText"/>
              <w:ind w:left="813"/>
              <w:spacing w:before="76" w:line="219" w:lineRule="auto"/>
              <w:rPr>
                <w:sz w:val="19"/>
                <w:szCs w:val="19"/>
              </w:rPr>
            </w:pPr>
            <w:r>
              <w:rPr>
                <w:sz w:val="19"/>
                <w:szCs w:val="19"/>
                <w:b/>
                <w:bCs/>
                <w:spacing w:val="5"/>
              </w:rPr>
              <w:t>预算数</w:t>
            </w:r>
          </w:p>
        </w:tc>
        <w:tc>
          <w:tcPr>
            <w:tcW w:w="2013" w:type="dxa"/>
            <w:vAlign w:val="top"/>
            <w:tcBorders>
              <w:right w:val="single" w:color="000000" w:sz="6" w:space="0"/>
              <w:top w:val="single" w:color="000000" w:sz="6" w:space="0"/>
            </w:tcBorders>
          </w:tcPr>
          <w:p>
            <w:pPr>
              <w:pStyle w:val="TableText"/>
              <w:ind w:left="806"/>
              <w:spacing w:before="76" w:line="219" w:lineRule="auto"/>
              <w:rPr>
                <w:sz w:val="19"/>
                <w:szCs w:val="19"/>
              </w:rPr>
            </w:pPr>
            <w:r>
              <w:rPr>
                <w:sz w:val="19"/>
                <w:szCs w:val="19"/>
                <w:b/>
                <w:bCs/>
                <w:spacing w:val="6"/>
              </w:rPr>
              <w:t>备注</w:t>
            </w:r>
          </w:p>
        </w:tc>
      </w:tr>
      <w:tr>
        <w:trPr>
          <w:trHeight w:val="304" w:hRule="atLeast"/>
        </w:trPr>
        <w:tc>
          <w:tcPr>
            <w:tcW w:w="4612" w:type="dxa"/>
            <w:vAlign w:val="top"/>
            <w:tcBorders>
              <w:left w:val="single" w:color="000000" w:sz="6" w:space="0"/>
            </w:tcBorders>
          </w:tcPr>
          <w:p>
            <w:pPr>
              <w:pStyle w:val="TableText"/>
              <w:ind w:left="415"/>
              <w:spacing w:before="70" w:line="217" w:lineRule="auto"/>
              <w:rPr>
                <w:sz w:val="19"/>
                <w:szCs w:val="19"/>
              </w:rPr>
            </w:pPr>
            <w:r>
              <w:rPr>
                <w:sz w:val="19"/>
                <w:szCs w:val="19"/>
                <w:spacing w:val="9"/>
              </w:rPr>
              <w:t>一般公共服务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5"/>
              <w:spacing w:before="72" w:line="215" w:lineRule="auto"/>
              <w:rPr>
                <w:sz w:val="19"/>
                <w:szCs w:val="19"/>
              </w:rPr>
            </w:pPr>
            <w:r>
              <w:rPr>
                <w:sz w:val="19"/>
                <w:szCs w:val="19"/>
                <w:spacing w:val="6"/>
              </w:rPr>
              <w:t>教育</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6"/>
              <w:spacing w:before="70" w:line="217" w:lineRule="auto"/>
              <w:rPr>
                <w:sz w:val="19"/>
                <w:szCs w:val="19"/>
              </w:rPr>
            </w:pPr>
            <w:r>
              <w:rPr>
                <w:sz w:val="19"/>
                <w:szCs w:val="19"/>
                <w:spacing w:val="8"/>
              </w:rPr>
              <w:t>文化体育与传媒</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27"/>
              <w:spacing w:before="74" w:line="213" w:lineRule="auto"/>
              <w:rPr>
                <w:sz w:val="19"/>
                <w:szCs w:val="19"/>
              </w:rPr>
            </w:pPr>
            <w:r>
              <w:rPr>
                <w:sz w:val="19"/>
                <w:szCs w:val="19"/>
                <w:spacing w:val="5"/>
              </w:rPr>
              <w:t>医疗卫生</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5"/>
              <w:spacing w:before="73" w:line="214" w:lineRule="auto"/>
              <w:rPr>
                <w:sz w:val="19"/>
                <w:szCs w:val="19"/>
              </w:rPr>
            </w:pPr>
            <w:r>
              <w:rPr>
                <w:sz w:val="19"/>
                <w:szCs w:val="19"/>
                <w:spacing w:val="8"/>
              </w:rPr>
              <w:t>节能环保</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1"/>
              <w:spacing w:before="77" w:line="210" w:lineRule="auto"/>
              <w:rPr>
                <w:sz w:val="19"/>
                <w:szCs w:val="19"/>
              </w:rPr>
            </w:pPr>
            <w:r>
              <w:rPr>
                <w:sz w:val="19"/>
                <w:szCs w:val="19"/>
                <w:spacing w:val="8"/>
              </w:rPr>
              <w:t>农业</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4"/>
              <w:spacing w:before="77" w:line="211" w:lineRule="auto"/>
              <w:rPr>
                <w:sz w:val="19"/>
                <w:szCs w:val="19"/>
              </w:rPr>
            </w:pPr>
            <w:r>
              <w:rPr>
                <w:sz w:val="19"/>
                <w:szCs w:val="19"/>
                <w:spacing w:val="8"/>
              </w:rPr>
              <w:t>交通运输</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3"/>
              <w:spacing w:before="74" w:line="214" w:lineRule="auto"/>
              <w:rPr>
                <w:sz w:val="19"/>
                <w:szCs w:val="19"/>
              </w:rPr>
            </w:pPr>
            <w:r>
              <w:rPr>
                <w:sz w:val="19"/>
                <w:szCs w:val="19"/>
                <w:spacing w:val="8"/>
              </w:rPr>
              <w:t>住房保障</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3"/>
              <w:spacing w:before="74" w:line="214" w:lineRule="auto"/>
              <w:rPr>
                <w:sz w:val="19"/>
                <w:szCs w:val="19"/>
              </w:rPr>
            </w:pPr>
            <w:r>
              <w:rPr>
                <w:sz w:val="19"/>
                <w:szCs w:val="19"/>
                <w:spacing w:val="8"/>
              </w:rPr>
              <w:t>其他支出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23"/>
              <w:spacing w:before="76" w:line="212" w:lineRule="auto"/>
              <w:rPr>
                <w:sz w:val="19"/>
                <w:szCs w:val="19"/>
              </w:rPr>
            </w:pPr>
            <w:r>
              <w:rPr>
                <w:sz w:val="19"/>
                <w:szCs w:val="19"/>
                <w:spacing w:val="6"/>
              </w:rPr>
              <w:t>十八、</w:t>
            </w:r>
            <w:r>
              <w:rPr>
                <w:sz w:val="19"/>
                <w:szCs w:val="19"/>
                <w:spacing w:val="-53"/>
              </w:rPr>
              <w:t xml:space="preserve"> </w:t>
            </w:r>
            <w:r>
              <w:rPr>
                <w:sz w:val="19"/>
                <w:szCs w:val="19"/>
                <w:spacing w:val="6"/>
              </w:rPr>
              <w:t>自然资源海洋气象等支出</w:t>
            </w:r>
          </w:p>
        </w:tc>
        <w:tc>
          <w:tcPr>
            <w:tcW w:w="2216" w:type="dxa"/>
            <w:vAlign w:val="top"/>
          </w:tcPr>
          <w:p>
            <w:pPr>
              <w:pStyle w:val="TableText"/>
              <w:ind w:right="8"/>
              <w:spacing w:before="73" w:line="215" w:lineRule="auto"/>
              <w:jc w:val="right"/>
              <w:rPr>
                <w:sz w:val="19"/>
                <w:szCs w:val="19"/>
              </w:rPr>
            </w:pPr>
            <w:r>
              <w:rPr>
                <w:sz w:val="19"/>
                <w:szCs w:val="19"/>
                <w:spacing w:val="-2"/>
              </w:rPr>
              <w:t>1659</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52"/>
              <w:spacing w:before="75" w:line="213" w:lineRule="auto"/>
              <w:rPr>
                <w:sz w:val="19"/>
                <w:szCs w:val="19"/>
              </w:rPr>
            </w:pPr>
            <w:r>
              <w:rPr>
                <w:sz w:val="19"/>
                <w:szCs w:val="19"/>
                <w:spacing w:val="2"/>
              </w:rPr>
              <w:t>自然资源事务</w:t>
            </w:r>
          </w:p>
        </w:tc>
        <w:tc>
          <w:tcPr>
            <w:tcW w:w="2216" w:type="dxa"/>
            <w:vAlign w:val="top"/>
          </w:tcPr>
          <w:p>
            <w:pPr>
              <w:pStyle w:val="TableText"/>
              <w:ind w:right="8"/>
              <w:spacing w:before="72" w:line="216" w:lineRule="auto"/>
              <w:jc w:val="right"/>
              <w:rPr>
                <w:sz w:val="19"/>
                <w:szCs w:val="19"/>
              </w:rPr>
            </w:pPr>
            <w:r>
              <w:rPr>
                <w:sz w:val="19"/>
                <w:szCs w:val="19"/>
                <w:spacing w:val="-2"/>
              </w:rPr>
              <w:t>1559</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7" w:line="211" w:lineRule="auto"/>
              <w:rPr>
                <w:sz w:val="19"/>
                <w:szCs w:val="19"/>
              </w:rPr>
            </w:pPr>
            <w:r>
              <w:rPr>
                <w:sz w:val="19"/>
                <w:szCs w:val="19"/>
                <w:spacing w:val="8"/>
              </w:rPr>
              <w:t>行政运行</w:t>
            </w:r>
          </w:p>
        </w:tc>
        <w:tc>
          <w:tcPr>
            <w:tcW w:w="2216" w:type="dxa"/>
            <w:vAlign w:val="top"/>
          </w:tcPr>
          <w:p>
            <w:pPr>
              <w:pStyle w:val="TableText"/>
              <w:ind w:right="8"/>
              <w:spacing w:before="71" w:line="217" w:lineRule="auto"/>
              <w:jc w:val="right"/>
              <w:rPr>
                <w:sz w:val="19"/>
                <w:szCs w:val="19"/>
              </w:rPr>
            </w:pPr>
            <w:r>
              <w:rPr>
                <w:sz w:val="19"/>
                <w:szCs w:val="19"/>
                <w:spacing w:val="1"/>
              </w:rPr>
              <w:t>932</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5" w:line="213" w:lineRule="auto"/>
              <w:rPr>
                <w:sz w:val="19"/>
                <w:szCs w:val="19"/>
              </w:rPr>
            </w:pPr>
            <w:r>
              <w:rPr>
                <w:sz w:val="19"/>
                <w:szCs w:val="19"/>
                <w:spacing w:val="9"/>
              </w:rPr>
              <w:t>一般行政管理事务</w:t>
            </w:r>
          </w:p>
        </w:tc>
        <w:tc>
          <w:tcPr>
            <w:tcW w:w="2216" w:type="dxa"/>
            <w:vAlign w:val="top"/>
          </w:tcPr>
          <w:p>
            <w:pPr>
              <w:pStyle w:val="TableText"/>
              <w:ind w:right="8"/>
              <w:spacing w:before="71" w:line="217" w:lineRule="auto"/>
              <w:jc w:val="right"/>
              <w:rPr>
                <w:sz w:val="19"/>
                <w:szCs w:val="19"/>
              </w:rPr>
            </w:pPr>
            <w:r>
              <w:rPr>
                <w:sz w:val="19"/>
                <w:szCs w:val="19"/>
              </w:rPr>
              <w:t>29</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78" w:line="209"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54"/>
              <w:spacing w:before="76" w:line="212" w:lineRule="auto"/>
              <w:rPr>
                <w:sz w:val="19"/>
                <w:szCs w:val="19"/>
              </w:rPr>
            </w:pPr>
            <w:r>
              <w:rPr>
                <w:sz w:val="19"/>
                <w:szCs w:val="19"/>
                <w:spacing w:val="5"/>
              </w:rPr>
              <w:t>自然资源规划及管理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54"/>
              <w:spacing w:before="76" w:line="212" w:lineRule="auto"/>
              <w:rPr>
                <w:sz w:val="19"/>
                <w:szCs w:val="19"/>
              </w:rPr>
            </w:pPr>
            <w:r>
              <w:rPr>
                <w:sz w:val="19"/>
                <w:szCs w:val="19"/>
                <w:spacing w:val="5"/>
              </w:rPr>
              <w:t>自然资源利用与保护</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54"/>
              <w:spacing w:before="75" w:line="213" w:lineRule="auto"/>
              <w:rPr>
                <w:sz w:val="19"/>
                <w:szCs w:val="19"/>
              </w:rPr>
            </w:pPr>
            <w:r>
              <w:rPr>
                <w:sz w:val="19"/>
                <w:szCs w:val="19"/>
                <w:spacing w:val="5"/>
              </w:rPr>
              <w:t>自然资源社会公益服务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54"/>
              <w:spacing w:before="77" w:line="211" w:lineRule="auto"/>
              <w:rPr>
                <w:sz w:val="19"/>
                <w:szCs w:val="19"/>
              </w:rPr>
            </w:pPr>
            <w:r>
              <w:rPr>
                <w:sz w:val="19"/>
                <w:szCs w:val="19"/>
                <w:spacing w:val="5"/>
              </w:rPr>
              <w:t>自然资源行业业务管理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54"/>
              <w:spacing w:before="76" w:line="212" w:lineRule="auto"/>
              <w:rPr>
                <w:sz w:val="19"/>
                <w:szCs w:val="19"/>
              </w:rPr>
            </w:pPr>
            <w:r>
              <w:rPr>
                <w:sz w:val="19"/>
                <w:szCs w:val="19"/>
                <w:spacing w:val="6"/>
              </w:rPr>
              <w:t>自然资源调查与确权登记</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20"/>
              <w:spacing w:before="76" w:line="212" w:lineRule="auto"/>
              <w:rPr>
                <w:sz w:val="19"/>
                <w:szCs w:val="19"/>
              </w:rPr>
            </w:pPr>
            <w:r>
              <w:rPr>
                <w:sz w:val="19"/>
                <w:szCs w:val="19"/>
                <w:spacing w:val="8"/>
              </w:rPr>
              <w:t>土地资源储备支出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5" w:line="213" w:lineRule="auto"/>
              <w:rPr>
                <w:sz w:val="19"/>
                <w:szCs w:val="19"/>
              </w:rPr>
            </w:pPr>
            <w:r>
              <w:rPr>
                <w:sz w:val="19"/>
                <w:szCs w:val="19"/>
                <w:spacing w:val="9"/>
              </w:rPr>
              <w:t>地质矿产资源与环境调查</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7" w:line="211" w:lineRule="auto"/>
              <w:rPr>
                <w:sz w:val="19"/>
                <w:szCs w:val="19"/>
              </w:rPr>
            </w:pPr>
            <w:r>
              <w:rPr>
                <w:sz w:val="19"/>
                <w:szCs w:val="19"/>
                <w:spacing w:val="9"/>
              </w:rPr>
              <w:t>地质勘查与矿产资源管理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7" w:line="211" w:lineRule="auto"/>
              <w:rPr>
                <w:sz w:val="19"/>
                <w:szCs w:val="19"/>
              </w:rPr>
            </w:pPr>
            <w:r>
              <w:rPr>
                <w:sz w:val="19"/>
                <w:szCs w:val="19"/>
                <w:spacing w:val="9"/>
              </w:rPr>
              <w:t>地质转产项目财政贴息</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36"/>
              <w:spacing w:before="77" w:line="211" w:lineRule="auto"/>
              <w:rPr>
                <w:sz w:val="19"/>
                <w:szCs w:val="19"/>
              </w:rPr>
            </w:pPr>
            <w:r>
              <w:rPr>
                <w:sz w:val="19"/>
                <w:szCs w:val="19"/>
                <w:spacing w:val="5"/>
              </w:rPr>
              <w:t>国外风险勘查</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72" w:line="216" w:lineRule="auto"/>
              <w:rPr>
                <w:sz w:val="19"/>
                <w:szCs w:val="19"/>
              </w:rPr>
            </w:pPr>
            <w:r>
              <w:rPr>
                <w:sz w:val="19"/>
                <w:szCs w:val="19"/>
                <w:spacing w:val="9"/>
              </w:rPr>
              <w:t>地质勘查基金（周转金）支出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8" w:line="209" w:lineRule="auto"/>
              <w:rPr>
                <w:sz w:val="19"/>
                <w:szCs w:val="19"/>
              </w:rPr>
            </w:pPr>
            <w:r>
              <w:rPr>
                <w:sz w:val="19"/>
                <w:szCs w:val="19"/>
                <w:spacing w:val="9"/>
              </w:rPr>
              <w:t>海域与海岛管理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54"/>
              <w:spacing w:before="77" w:line="211" w:lineRule="auto"/>
              <w:rPr>
                <w:sz w:val="19"/>
                <w:szCs w:val="19"/>
              </w:rPr>
            </w:pPr>
            <w:r>
              <w:rPr>
                <w:sz w:val="19"/>
                <w:szCs w:val="19"/>
                <w:spacing w:val="7"/>
              </w:rPr>
              <w:t>自然资源国际合作与海洋权益维护</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54"/>
              <w:spacing w:before="77" w:line="210" w:lineRule="auto"/>
              <w:rPr>
                <w:sz w:val="19"/>
                <w:szCs w:val="19"/>
              </w:rPr>
            </w:pPr>
            <w:r>
              <w:rPr>
                <w:sz w:val="19"/>
                <w:szCs w:val="19"/>
                <w:spacing w:val="2"/>
              </w:rPr>
              <w:t>自然资源卫星</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8" w:line="210" w:lineRule="auto"/>
              <w:rPr>
                <w:sz w:val="19"/>
                <w:szCs w:val="19"/>
              </w:rPr>
            </w:pPr>
            <w:r>
              <w:rPr>
                <w:sz w:val="19"/>
                <w:szCs w:val="19"/>
                <w:spacing w:val="8"/>
              </w:rPr>
              <w:t>极地考察</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7"/>
              <w:spacing w:before="79" w:line="208" w:lineRule="auto"/>
              <w:rPr>
                <w:sz w:val="19"/>
                <w:szCs w:val="19"/>
              </w:rPr>
            </w:pPr>
            <w:r>
              <w:rPr>
                <w:sz w:val="19"/>
                <w:szCs w:val="19"/>
                <w:spacing w:val="9"/>
              </w:rPr>
              <w:t>深海调查与资源开发</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1" w:line="207" w:lineRule="auto"/>
              <w:rPr>
                <w:sz w:val="19"/>
                <w:szCs w:val="19"/>
              </w:rPr>
            </w:pPr>
            <w:r>
              <w:rPr>
                <w:sz w:val="19"/>
                <w:szCs w:val="19"/>
                <w:spacing w:val="9"/>
              </w:rPr>
              <w:t>海港航标维护</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80" w:line="207" w:lineRule="auto"/>
              <w:rPr>
                <w:sz w:val="19"/>
                <w:szCs w:val="19"/>
              </w:rPr>
            </w:pPr>
            <w:r>
              <w:rPr>
                <w:sz w:val="19"/>
                <w:szCs w:val="19"/>
                <w:spacing w:val="8"/>
              </w:rPr>
              <w:t>海水淡化</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4"/>
              <w:spacing w:before="78" w:line="210" w:lineRule="auto"/>
              <w:rPr>
                <w:sz w:val="19"/>
                <w:szCs w:val="19"/>
              </w:rPr>
            </w:pPr>
            <w:r>
              <w:rPr>
                <w:sz w:val="19"/>
                <w:szCs w:val="19"/>
                <w:spacing w:val="9"/>
              </w:rPr>
              <w:t>无居民海岛使用金支出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83" w:line="205" w:lineRule="auto"/>
              <w:rPr>
                <w:sz w:val="19"/>
                <w:szCs w:val="19"/>
              </w:rPr>
            </w:pPr>
            <w:r>
              <w:rPr>
                <w:sz w:val="19"/>
                <w:szCs w:val="19"/>
                <w:spacing w:val="9"/>
              </w:rPr>
              <w:t>海洋战略规划与预警监测</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0" w:line="208" w:lineRule="auto"/>
              <w:rPr>
                <w:sz w:val="19"/>
                <w:szCs w:val="19"/>
              </w:rPr>
            </w:pPr>
            <w:r>
              <w:rPr>
                <w:sz w:val="19"/>
                <w:szCs w:val="19"/>
                <w:spacing w:val="9"/>
              </w:rPr>
              <w:t>基础测绘与地理信息监管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83" w:line="205" w:lineRule="auto"/>
              <w:rPr>
                <w:sz w:val="19"/>
                <w:szCs w:val="19"/>
              </w:rPr>
            </w:pPr>
            <w:r>
              <w:rPr>
                <w:sz w:val="19"/>
                <w:szCs w:val="19"/>
                <w:spacing w:val="8"/>
              </w:rPr>
              <w:t>事业运行</w:t>
            </w:r>
          </w:p>
        </w:tc>
        <w:tc>
          <w:tcPr>
            <w:tcW w:w="2216" w:type="dxa"/>
            <w:vAlign w:val="top"/>
          </w:tcPr>
          <w:p>
            <w:pPr>
              <w:pStyle w:val="TableText"/>
              <w:ind w:right="8"/>
              <w:spacing w:before="77" w:line="210" w:lineRule="auto"/>
              <w:jc w:val="right"/>
              <w:rPr>
                <w:sz w:val="19"/>
                <w:szCs w:val="19"/>
              </w:rPr>
            </w:pPr>
            <w:r>
              <w:rPr>
                <w:sz w:val="19"/>
                <w:szCs w:val="19"/>
                <w:spacing w:val="1"/>
              </w:rPr>
              <w:t>554</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1" w:line="207" w:lineRule="auto"/>
              <w:rPr>
                <w:sz w:val="19"/>
                <w:szCs w:val="19"/>
              </w:rPr>
            </w:pPr>
            <w:r>
              <w:rPr>
                <w:sz w:val="19"/>
                <w:szCs w:val="19"/>
                <w:spacing w:val="9"/>
              </w:rPr>
              <w:t>其他自然资源事务支出</w:t>
            </w:r>
          </w:p>
        </w:tc>
        <w:tc>
          <w:tcPr>
            <w:tcW w:w="2216" w:type="dxa"/>
            <w:vAlign w:val="top"/>
          </w:tcPr>
          <w:p>
            <w:pPr>
              <w:pStyle w:val="TableText"/>
              <w:ind w:right="8"/>
              <w:spacing w:before="78" w:line="210" w:lineRule="auto"/>
              <w:jc w:val="right"/>
              <w:rPr>
                <w:sz w:val="19"/>
                <w:szCs w:val="19"/>
              </w:rPr>
            </w:pPr>
            <w:r>
              <w:rPr>
                <w:sz w:val="19"/>
                <w:szCs w:val="19"/>
                <w:spacing w:val="2"/>
              </w:rPr>
              <w:t>44</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3"/>
              <w:spacing w:before="85" w:line="203" w:lineRule="auto"/>
              <w:rPr>
                <w:sz w:val="19"/>
                <w:szCs w:val="19"/>
              </w:rPr>
            </w:pPr>
            <w:r>
              <w:rPr>
                <w:sz w:val="19"/>
                <w:szCs w:val="19"/>
                <w:spacing w:val="8"/>
              </w:rPr>
              <w:t>气象事务</w:t>
            </w:r>
          </w:p>
        </w:tc>
        <w:tc>
          <w:tcPr>
            <w:tcW w:w="2216" w:type="dxa"/>
            <w:vAlign w:val="top"/>
          </w:tcPr>
          <w:p>
            <w:pPr>
              <w:pStyle w:val="TableText"/>
              <w:ind w:right="8"/>
              <w:spacing w:before="79" w:line="208" w:lineRule="auto"/>
              <w:jc w:val="right"/>
              <w:rPr>
                <w:sz w:val="19"/>
                <w:szCs w:val="19"/>
              </w:rPr>
            </w:pPr>
            <w:r>
              <w:rPr>
                <w:sz w:val="19"/>
                <w:szCs w:val="19"/>
                <w:spacing w:val="-4"/>
              </w:rPr>
              <w:t>100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6" w:line="203" w:lineRule="auto"/>
              <w:rPr>
                <w:sz w:val="19"/>
                <w:szCs w:val="19"/>
              </w:rPr>
            </w:pPr>
            <w:r>
              <w:rPr>
                <w:sz w:val="19"/>
                <w:szCs w:val="19"/>
                <w:spacing w:val="8"/>
              </w:rPr>
              <w:t>行政运行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14" w:hRule="atLeast"/>
        </w:trPr>
        <w:tc>
          <w:tcPr>
            <w:tcW w:w="4612" w:type="dxa"/>
            <w:vAlign w:val="top"/>
            <w:tcBorders>
              <w:left w:val="single" w:color="000000" w:sz="6" w:space="0"/>
              <w:bottom w:val="single" w:color="000000" w:sz="6" w:space="0"/>
            </w:tcBorders>
          </w:tcPr>
          <w:p>
            <w:pPr>
              <w:pStyle w:val="TableText"/>
              <w:ind w:left="616"/>
              <w:spacing w:before="84" w:line="213" w:lineRule="auto"/>
              <w:rPr>
                <w:sz w:val="19"/>
                <w:szCs w:val="19"/>
              </w:rPr>
            </w:pPr>
            <w:r>
              <w:rPr>
                <w:sz w:val="19"/>
                <w:szCs w:val="19"/>
                <w:spacing w:val="9"/>
              </w:rPr>
              <w:t>一般行政管理事务</w:t>
            </w:r>
          </w:p>
        </w:tc>
        <w:tc>
          <w:tcPr>
            <w:tcW w:w="2216" w:type="dxa"/>
            <w:vAlign w:val="top"/>
            <w:tcBorders>
              <w:bottom w:val="single" w:color="000000" w:sz="6" w:space="0"/>
            </w:tcBorders>
          </w:tcPr>
          <w:p>
            <w:pPr>
              <w:rPr>
                <w:rFonts w:ascii="Arial"/>
                <w:sz w:val="21"/>
              </w:rPr>
            </w:pPr>
            <w:r/>
          </w:p>
        </w:tc>
        <w:tc>
          <w:tcPr>
            <w:tcW w:w="2013" w:type="dxa"/>
            <w:vAlign w:val="top"/>
            <w:tcBorders>
              <w:bottom w:val="single" w:color="000000" w:sz="6" w:space="0"/>
              <w:right w:val="single" w:color="000000" w:sz="6" w:space="0"/>
            </w:tcBorders>
          </w:tcPr>
          <w:p>
            <w:pPr>
              <w:rPr>
                <w:rFonts w:ascii="Arial"/>
                <w:sz w:val="21"/>
              </w:rPr>
            </w:pPr>
            <w:r/>
          </w:p>
        </w:tc>
      </w:tr>
    </w:tbl>
    <w:p>
      <w:pPr>
        <w:spacing w:line="134" w:lineRule="exact"/>
        <w:rPr>
          <w:rFonts w:ascii="Arial"/>
          <w:sz w:val="11"/>
        </w:rPr>
      </w:pPr>
      <w:r/>
    </w:p>
    <w:p>
      <w:pPr>
        <w:spacing w:line="134" w:lineRule="exact"/>
        <w:sectPr>
          <w:headerReference w:type="default" r:id="rId25"/>
          <w:footerReference w:type="default" r:id="rId52"/>
          <w:pgSz w:w="11907" w:h="16840"/>
          <w:pgMar w:top="1845" w:right="1525" w:bottom="1671" w:left="1525" w:header="1428" w:footer="1277" w:gutter="0"/>
        </w:sectPr>
        <w:rPr>
          <w:rFonts w:ascii="Arial" w:hAnsi="Arial" w:eastAsia="Arial" w:cs="Arial"/>
          <w:sz w:val="11"/>
          <w:szCs w:val="11"/>
        </w:rPr>
      </w:pPr>
    </w:p>
    <w:p>
      <w:pPr>
        <w:spacing w:line="143" w:lineRule="exact"/>
        <w:rPr/>
      </w:pPr>
      <w:r/>
    </w:p>
    <w:tbl>
      <w:tblPr>
        <w:tblStyle w:val="TableNormal"/>
        <w:tblW w:w="8841"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12"/>
        <w:gridCol w:w="2216"/>
        <w:gridCol w:w="2013"/>
      </w:tblGrid>
      <w:tr>
        <w:trPr>
          <w:trHeight w:val="312" w:hRule="atLeast"/>
        </w:trPr>
        <w:tc>
          <w:tcPr>
            <w:tcW w:w="4612" w:type="dxa"/>
            <w:vAlign w:val="top"/>
            <w:tcBorders>
              <w:left w:val="single" w:color="000000" w:sz="6" w:space="0"/>
              <w:top w:val="single" w:color="000000" w:sz="6" w:space="0"/>
            </w:tcBorders>
          </w:tcPr>
          <w:p>
            <w:pPr>
              <w:pStyle w:val="TableText"/>
              <w:ind w:left="2104"/>
              <w:spacing w:before="81" w:line="212" w:lineRule="auto"/>
              <w:rPr>
                <w:sz w:val="19"/>
                <w:szCs w:val="19"/>
              </w:rPr>
            </w:pPr>
            <w:r>
              <w:rPr>
                <w:sz w:val="19"/>
                <w:szCs w:val="19"/>
                <w:b/>
                <w:bCs/>
                <w:spacing w:val="6"/>
              </w:rPr>
              <w:t>项目</w:t>
            </w:r>
          </w:p>
        </w:tc>
        <w:tc>
          <w:tcPr>
            <w:tcW w:w="2216" w:type="dxa"/>
            <w:vAlign w:val="top"/>
            <w:tcBorders>
              <w:top w:val="single" w:color="000000" w:sz="6" w:space="0"/>
            </w:tcBorders>
          </w:tcPr>
          <w:p>
            <w:pPr>
              <w:pStyle w:val="TableText"/>
              <w:ind w:left="813"/>
              <w:spacing w:before="75" w:line="220" w:lineRule="auto"/>
              <w:rPr>
                <w:sz w:val="19"/>
                <w:szCs w:val="19"/>
              </w:rPr>
            </w:pPr>
            <w:r>
              <w:rPr>
                <w:sz w:val="19"/>
                <w:szCs w:val="19"/>
                <w:b/>
                <w:bCs/>
                <w:spacing w:val="5"/>
              </w:rPr>
              <w:t>预算数</w:t>
            </w:r>
          </w:p>
        </w:tc>
        <w:tc>
          <w:tcPr>
            <w:tcW w:w="2013" w:type="dxa"/>
            <w:vAlign w:val="top"/>
            <w:tcBorders>
              <w:right w:val="single" w:color="000000" w:sz="6" w:space="0"/>
              <w:top w:val="single" w:color="000000" w:sz="6" w:space="0"/>
            </w:tcBorders>
          </w:tcPr>
          <w:p>
            <w:pPr>
              <w:pStyle w:val="TableText"/>
              <w:ind w:left="806"/>
              <w:spacing w:before="75" w:line="220" w:lineRule="auto"/>
              <w:rPr>
                <w:sz w:val="19"/>
                <w:szCs w:val="19"/>
              </w:rPr>
            </w:pPr>
            <w:r>
              <w:rPr>
                <w:sz w:val="19"/>
                <w:szCs w:val="19"/>
                <w:b/>
                <w:bCs/>
                <w:spacing w:val="6"/>
              </w:rPr>
              <w:t>备注</w:t>
            </w:r>
          </w:p>
        </w:tc>
      </w:tr>
      <w:tr>
        <w:trPr>
          <w:trHeight w:val="304" w:hRule="atLeast"/>
        </w:trPr>
        <w:tc>
          <w:tcPr>
            <w:tcW w:w="4612" w:type="dxa"/>
            <w:vAlign w:val="top"/>
            <w:tcBorders>
              <w:left w:val="single" w:color="000000" w:sz="6" w:space="0"/>
            </w:tcBorders>
          </w:tcPr>
          <w:p>
            <w:pPr>
              <w:pStyle w:val="TableText"/>
              <w:ind w:left="617"/>
              <w:spacing w:before="72" w:line="215"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2" w:line="215" w:lineRule="auto"/>
              <w:rPr>
                <w:sz w:val="19"/>
                <w:szCs w:val="19"/>
              </w:rPr>
            </w:pPr>
            <w:r>
              <w:rPr>
                <w:sz w:val="19"/>
                <w:szCs w:val="19"/>
                <w:spacing w:val="9"/>
              </w:rPr>
              <w:t>气象事业机构</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2" w:line="215" w:lineRule="auto"/>
              <w:rPr>
                <w:sz w:val="19"/>
                <w:szCs w:val="19"/>
              </w:rPr>
            </w:pPr>
            <w:r>
              <w:rPr>
                <w:sz w:val="19"/>
                <w:szCs w:val="19"/>
                <w:spacing w:val="8"/>
              </w:rPr>
              <w:t>气象探测</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1" w:line="216" w:lineRule="auto"/>
              <w:rPr>
                <w:sz w:val="19"/>
                <w:szCs w:val="19"/>
              </w:rPr>
            </w:pPr>
            <w:r>
              <w:rPr>
                <w:sz w:val="19"/>
                <w:szCs w:val="19"/>
                <w:spacing w:val="9"/>
              </w:rPr>
              <w:t>气象信息传输及管理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5" w:line="212" w:lineRule="auto"/>
              <w:rPr>
                <w:sz w:val="19"/>
                <w:szCs w:val="19"/>
              </w:rPr>
            </w:pPr>
            <w:r>
              <w:rPr>
                <w:sz w:val="19"/>
                <w:szCs w:val="19"/>
                <w:spacing w:val="9"/>
              </w:rPr>
              <w:t>气象预报预测</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5" w:line="212" w:lineRule="auto"/>
              <w:rPr>
                <w:sz w:val="19"/>
                <w:szCs w:val="19"/>
              </w:rPr>
            </w:pPr>
            <w:r>
              <w:rPr>
                <w:sz w:val="19"/>
                <w:szCs w:val="19"/>
                <w:spacing w:val="8"/>
              </w:rPr>
              <w:t>气象服务</w:t>
            </w:r>
          </w:p>
        </w:tc>
        <w:tc>
          <w:tcPr>
            <w:tcW w:w="2216" w:type="dxa"/>
            <w:vAlign w:val="top"/>
          </w:tcPr>
          <w:p>
            <w:pPr>
              <w:pStyle w:val="TableText"/>
              <w:ind w:right="8"/>
              <w:spacing w:before="71" w:line="216" w:lineRule="auto"/>
              <w:jc w:val="right"/>
              <w:rPr>
                <w:sz w:val="19"/>
                <w:szCs w:val="19"/>
              </w:rPr>
            </w:pPr>
            <w:r>
              <w:rPr>
                <w:sz w:val="19"/>
                <w:szCs w:val="19"/>
                <w:spacing w:val="-4"/>
              </w:rPr>
              <w:t>100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4" w:line="213" w:lineRule="auto"/>
              <w:rPr>
                <w:sz w:val="19"/>
                <w:szCs w:val="19"/>
              </w:rPr>
            </w:pPr>
            <w:r>
              <w:rPr>
                <w:sz w:val="19"/>
                <w:szCs w:val="19"/>
                <w:spacing w:val="9"/>
              </w:rPr>
              <w:t>气象装备保障维护</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74" w:line="213" w:lineRule="auto"/>
              <w:rPr>
                <w:sz w:val="19"/>
                <w:szCs w:val="19"/>
              </w:rPr>
            </w:pPr>
            <w:r>
              <w:rPr>
                <w:sz w:val="19"/>
                <w:szCs w:val="19"/>
                <w:spacing w:val="9"/>
              </w:rPr>
              <w:t>气象基础设施建设与维修</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9" w:line="209" w:lineRule="auto"/>
              <w:rPr>
                <w:sz w:val="19"/>
                <w:szCs w:val="19"/>
              </w:rPr>
            </w:pPr>
            <w:r>
              <w:rPr>
                <w:sz w:val="19"/>
                <w:szCs w:val="19"/>
                <w:spacing w:val="8"/>
              </w:rPr>
              <w:t>气象卫星</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8" w:line="210" w:lineRule="auto"/>
              <w:rPr>
                <w:sz w:val="19"/>
                <w:szCs w:val="19"/>
              </w:rPr>
            </w:pPr>
            <w:r>
              <w:rPr>
                <w:sz w:val="19"/>
                <w:szCs w:val="19"/>
                <w:spacing w:val="9"/>
              </w:rPr>
              <w:t>气象法规与标准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7" w:line="211" w:lineRule="auto"/>
              <w:rPr>
                <w:sz w:val="19"/>
                <w:szCs w:val="19"/>
              </w:rPr>
            </w:pPr>
            <w:r>
              <w:rPr>
                <w:sz w:val="19"/>
                <w:szCs w:val="19"/>
                <w:spacing w:val="9"/>
              </w:rPr>
              <w:t>气象资金审计稽查</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6" w:line="212" w:lineRule="auto"/>
              <w:rPr>
                <w:sz w:val="19"/>
                <w:szCs w:val="19"/>
              </w:rPr>
            </w:pPr>
            <w:r>
              <w:rPr>
                <w:sz w:val="19"/>
                <w:szCs w:val="19"/>
                <w:spacing w:val="9"/>
              </w:rPr>
              <w:t>其他气象事务支出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3"/>
              <w:spacing w:before="78" w:line="210" w:lineRule="auto"/>
              <w:rPr>
                <w:sz w:val="19"/>
                <w:szCs w:val="19"/>
              </w:rPr>
            </w:pPr>
            <w:r>
              <w:rPr>
                <w:sz w:val="19"/>
                <w:szCs w:val="19"/>
                <w:spacing w:val="9"/>
              </w:rPr>
              <w:t>其他自然资源海洋气象等支出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23"/>
              <w:spacing w:before="77" w:line="211" w:lineRule="auto"/>
              <w:rPr>
                <w:sz w:val="19"/>
                <w:szCs w:val="19"/>
              </w:rPr>
            </w:pPr>
            <w:r>
              <w:rPr>
                <w:sz w:val="19"/>
                <w:szCs w:val="19"/>
                <w:spacing w:val="8"/>
              </w:rPr>
              <w:t>十九、住房保障支出</w:t>
            </w:r>
          </w:p>
        </w:tc>
        <w:tc>
          <w:tcPr>
            <w:tcW w:w="2216" w:type="dxa"/>
            <w:vAlign w:val="top"/>
          </w:tcPr>
          <w:p>
            <w:pPr>
              <w:pStyle w:val="TableText"/>
              <w:ind w:right="8"/>
              <w:spacing w:before="74" w:line="214" w:lineRule="auto"/>
              <w:jc w:val="right"/>
              <w:rPr>
                <w:sz w:val="19"/>
                <w:szCs w:val="19"/>
              </w:rPr>
            </w:pPr>
            <w:r>
              <w:rPr>
                <w:sz w:val="19"/>
                <w:szCs w:val="19"/>
                <w:spacing w:val="-1"/>
              </w:rPr>
              <w:t>17145</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413"/>
              <w:spacing w:before="76" w:line="211" w:lineRule="auto"/>
              <w:rPr>
                <w:sz w:val="19"/>
                <w:szCs w:val="19"/>
              </w:rPr>
            </w:pPr>
            <w:r>
              <w:rPr>
                <w:sz w:val="19"/>
                <w:szCs w:val="19"/>
                <w:spacing w:val="9"/>
              </w:rPr>
              <w:t>保障性安居工程支出</w:t>
            </w:r>
          </w:p>
        </w:tc>
        <w:tc>
          <w:tcPr>
            <w:tcW w:w="2216" w:type="dxa"/>
            <w:vAlign w:val="top"/>
          </w:tcPr>
          <w:p>
            <w:pPr>
              <w:pStyle w:val="TableText"/>
              <w:ind w:right="8"/>
              <w:spacing w:before="73" w:line="214" w:lineRule="auto"/>
              <w:jc w:val="right"/>
              <w:rPr>
                <w:sz w:val="19"/>
                <w:szCs w:val="19"/>
              </w:rPr>
            </w:pPr>
            <w:r>
              <w:rPr>
                <w:sz w:val="19"/>
                <w:szCs w:val="19"/>
                <w:spacing w:val="1"/>
              </w:rPr>
              <w:t>3265</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77" w:line="211" w:lineRule="auto"/>
              <w:rPr>
                <w:sz w:val="19"/>
                <w:szCs w:val="19"/>
              </w:rPr>
            </w:pPr>
            <w:r>
              <w:rPr>
                <w:sz w:val="19"/>
                <w:szCs w:val="19"/>
                <w:spacing w:val="8"/>
              </w:rPr>
              <w:t>廉租住房</w:t>
            </w:r>
          </w:p>
        </w:tc>
        <w:tc>
          <w:tcPr>
            <w:tcW w:w="2216" w:type="dxa"/>
            <w:vAlign w:val="top"/>
          </w:tcPr>
          <w:p>
            <w:pPr>
              <w:pStyle w:val="TableText"/>
              <w:ind w:right="7"/>
              <w:spacing w:before="74" w:line="214"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81" w:line="206" w:lineRule="auto"/>
              <w:rPr>
                <w:sz w:val="19"/>
                <w:szCs w:val="19"/>
              </w:rPr>
            </w:pPr>
            <w:r>
              <w:rPr>
                <w:sz w:val="19"/>
                <w:szCs w:val="19"/>
                <w:spacing w:val="8"/>
              </w:rPr>
              <w:t>沉陷区治理</w:t>
            </w:r>
          </w:p>
        </w:tc>
        <w:tc>
          <w:tcPr>
            <w:tcW w:w="2216" w:type="dxa"/>
            <w:vAlign w:val="top"/>
          </w:tcPr>
          <w:p>
            <w:pPr>
              <w:pStyle w:val="TableText"/>
              <w:ind w:right="7"/>
              <w:spacing w:before="75" w:line="212"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1" w:line="207" w:lineRule="auto"/>
              <w:rPr>
                <w:sz w:val="19"/>
                <w:szCs w:val="19"/>
              </w:rPr>
            </w:pPr>
            <w:r>
              <w:rPr>
                <w:sz w:val="19"/>
                <w:szCs w:val="19"/>
                <w:spacing w:val="8"/>
              </w:rPr>
              <w:t>棚户区改造</w:t>
            </w:r>
          </w:p>
        </w:tc>
        <w:tc>
          <w:tcPr>
            <w:tcW w:w="2216" w:type="dxa"/>
            <w:vAlign w:val="top"/>
          </w:tcPr>
          <w:p>
            <w:pPr>
              <w:pStyle w:val="TableText"/>
              <w:ind w:right="7"/>
              <w:spacing w:before="76" w:line="212"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6"/>
              <w:spacing w:before="79" w:line="208" w:lineRule="auto"/>
              <w:rPr>
                <w:sz w:val="19"/>
                <w:szCs w:val="19"/>
              </w:rPr>
            </w:pPr>
            <w:r>
              <w:rPr>
                <w:sz w:val="19"/>
                <w:szCs w:val="19"/>
                <w:spacing w:val="9"/>
              </w:rPr>
              <w:t>少数民族地区游牧民定居工程</w:t>
            </w:r>
          </w:p>
        </w:tc>
        <w:tc>
          <w:tcPr>
            <w:tcW w:w="2216" w:type="dxa"/>
            <w:vAlign w:val="top"/>
          </w:tcPr>
          <w:p>
            <w:pPr>
              <w:pStyle w:val="TableText"/>
              <w:ind w:right="7"/>
              <w:spacing w:before="75" w:line="212"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3"/>
              <w:spacing w:before="81" w:line="207" w:lineRule="auto"/>
              <w:rPr>
                <w:sz w:val="19"/>
                <w:szCs w:val="19"/>
              </w:rPr>
            </w:pPr>
            <w:r>
              <w:rPr>
                <w:sz w:val="19"/>
                <w:szCs w:val="19"/>
                <w:spacing w:val="9"/>
              </w:rPr>
              <w:t>农村危房改造</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4"/>
              <w:spacing w:before="83" w:line="205" w:lineRule="auto"/>
              <w:rPr>
                <w:sz w:val="19"/>
                <w:szCs w:val="19"/>
              </w:rPr>
            </w:pPr>
            <w:r>
              <w:rPr>
                <w:sz w:val="19"/>
                <w:szCs w:val="19"/>
                <w:spacing w:val="9"/>
              </w:rPr>
              <w:t>公共租赁住房</w:t>
            </w:r>
          </w:p>
        </w:tc>
        <w:tc>
          <w:tcPr>
            <w:tcW w:w="2216" w:type="dxa"/>
            <w:vAlign w:val="top"/>
          </w:tcPr>
          <w:p>
            <w:pPr>
              <w:pStyle w:val="TableText"/>
              <w:ind w:right="7"/>
              <w:spacing w:before="77" w:line="210"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4"/>
              <w:spacing w:before="80" w:line="208" w:lineRule="auto"/>
              <w:rPr>
                <w:sz w:val="19"/>
                <w:szCs w:val="19"/>
              </w:rPr>
            </w:pPr>
            <w:r>
              <w:rPr>
                <w:sz w:val="19"/>
                <w:szCs w:val="19"/>
                <w:spacing w:val="9"/>
              </w:rPr>
              <w:t>保障性住房租金补贴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20"/>
              <w:spacing w:before="85" w:line="203" w:lineRule="auto"/>
              <w:rPr>
                <w:sz w:val="19"/>
                <w:szCs w:val="19"/>
              </w:rPr>
            </w:pPr>
            <w:r>
              <w:rPr>
                <w:sz w:val="19"/>
                <w:szCs w:val="19"/>
                <w:spacing w:val="8"/>
              </w:rPr>
              <w:t>老旧小区改造</w:t>
            </w:r>
          </w:p>
        </w:tc>
        <w:tc>
          <w:tcPr>
            <w:tcW w:w="2216" w:type="dxa"/>
            <w:vAlign w:val="top"/>
          </w:tcPr>
          <w:p>
            <w:pPr>
              <w:pStyle w:val="TableText"/>
              <w:ind w:right="8"/>
              <w:spacing w:before="77" w:line="210" w:lineRule="auto"/>
              <w:jc w:val="right"/>
              <w:rPr>
                <w:sz w:val="19"/>
                <w:szCs w:val="19"/>
              </w:rPr>
            </w:pPr>
            <w:r>
              <w:rPr>
                <w:sz w:val="19"/>
                <w:szCs w:val="19"/>
                <w:spacing w:val="1"/>
              </w:rPr>
              <w:t>3265</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2" w:line="206" w:lineRule="auto"/>
              <w:rPr>
                <w:sz w:val="19"/>
                <w:szCs w:val="19"/>
              </w:rPr>
            </w:pPr>
            <w:r>
              <w:rPr>
                <w:sz w:val="19"/>
                <w:szCs w:val="19"/>
                <w:spacing w:val="9"/>
              </w:rPr>
              <w:t>住房租赁市场发展</w:t>
            </w:r>
          </w:p>
        </w:tc>
        <w:tc>
          <w:tcPr>
            <w:tcW w:w="2216" w:type="dxa"/>
            <w:vAlign w:val="top"/>
          </w:tcPr>
          <w:p>
            <w:pPr>
              <w:pStyle w:val="TableText"/>
              <w:ind w:right="7"/>
              <w:spacing w:before="78" w:line="210"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4" w:hRule="atLeast"/>
        </w:trPr>
        <w:tc>
          <w:tcPr>
            <w:tcW w:w="4612" w:type="dxa"/>
            <w:vAlign w:val="top"/>
            <w:tcBorders>
              <w:left w:val="single" w:color="000000" w:sz="6" w:space="0"/>
            </w:tcBorders>
          </w:tcPr>
          <w:p>
            <w:pPr>
              <w:pStyle w:val="TableText"/>
              <w:ind w:left="615"/>
              <w:spacing w:before="83" w:line="205" w:lineRule="auto"/>
              <w:rPr>
                <w:sz w:val="19"/>
                <w:szCs w:val="19"/>
              </w:rPr>
            </w:pPr>
            <w:r>
              <w:rPr>
                <w:sz w:val="19"/>
                <w:szCs w:val="19"/>
                <w:spacing w:val="9"/>
              </w:rPr>
              <w:t>其他保障性安居工程支出</w:t>
            </w:r>
          </w:p>
        </w:tc>
        <w:tc>
          <w:tcPr>
            <w:tcW w:w="2216" w:type="dxa"/>
            <w:vAlign w:val="top"/>
          </w:tcPr>
          <w:p>
            <w:pPr>
              <w:pStyle w:val="TableText"/>
              <w:ind w:right="7"/>
              <w:spacing w:before="79" w:line="208"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3"/>
              <w:spacing w:before="86" w:line="203" w:lineRule="auto"/>
              <w:rPr>
                <w:sz w:val="19"/>
                <w:szCs w:val="19"/>
              </w:rPr>
            </w:pPr>
            <w:r>
              <w:rPr>
                <w:sz w:val="19"/>
                <w:szCs w:val="19"/>
                <w:spacing w:val="9"/>
              </w:rPr>
              <w:t>住房改革支出</w:t>
            </w:r>
          </w:p>
        </w:tc>
        <w:tc>
          <w:tcPr>
            <w:tcW w:w="2216" w:type="dxa"/>
            <w:vAlign w:val="top"/>
          </w:tcPr>
          <w:p>
            <w:pPr>
              <w:pStyle w:val="TableText"/>
              <w:ind w:right="8"/>
              <w:spacing w:before="80" w:line="208" w:lineRule="auto"/>
              <w:jc w:val="right"/>
              <w:rPr>
                <w:sz w:val="19"/>
                <w:szCs w:val="19"/>
              </w:rPr>
            </w:pPr>
            <w:r>
              <w:rPr>
                <w:sz w:val="19"/>
                <w:szCs w:val="19"/>
                <w:spacing w:val="-1"/>
              </w:rPr>
              <w:t>11778</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5" w:line="204" w:lineRule="auto"/>
              <w:rPr>
                <w:sz w:val="19"/>
                <w:szCs w:val="19"/>
              </w:rPr>
            </w:pPr>
            <w:r>
              <w:rPr>
                <w:sz w:val="19"/>
                <w:szCs w:val="19"/>
                <w:spacing w:val="8"/>
              </w:rPr>
              <w:t>住房公积金</w:t>
            </w:r>
          </w:p>
        </w:tc>
        <w:tc>
          <w:tcPr>
            <w:tcW w:w="2216" w:type="dxa"/>
            <w:vAlign w:val="top"/>
          </w:tcPr>
          <w:p>
            <w:pPr>
              <w:pStyle w:val="TableText"/>
              <w:ind w:right="8"/>
              <w:spacing w:before="79" w:line="209" w:lineRule="auto"/>
              <w:jc w:val="right"/>
              <w:rPr>
                <w:sz w:val="19"/>
                <w:szCs w:val="19"/>
              </w:rPr>
            </w:pPr>
            <w:r>
              <w:rPr>
                <w:sz w:val="19"/>
                <w:szCs w:val="19"/>
                <w:spacing w:val="2"/>
              </w:rPr>
              <w:t>6097</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9"/>
              <w:spacing w:before="85" w:line="204" w:lineRule="auto"/>
              <w:rPr>
                <w:sz w:val="19"/>
                <w:szCs w:val="19"/>
              </w:rPr>
            </w:pPr>
            <w:r>
              <w:rPr>
                <w:sz w:val="19"/>
                <w:szCs w:val="19"/>
                <w:spacing w:val="8"/>
              </w:rPr>
              <w:t>提租补贴</w:t>
            </w:r>
          </w:p>
        </w:tc>
        <w:tc>
          <w:tcPr>
            <w:tcW w:w="2216" w:type="dxa"/>
            <w:vAlign w:val="top"/>
          </w:tcPr>
          <w:p>
            <w:pPr>
              <w:pStyle w:val="TableText"/>
              <w:ind w:right="7"/>
              <w:spacing w:before="79" w:line="209"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8"/>
              <w:spacing w:before="87" w:line="202" w:lineRule="auto"/>
              <w:rPr>
                <w:sz w:val="19"/>
                <w:szCs w:val="19"/>
              </w:rPr>
            </w:pPr>
            <w:r>
              <w:rPr>
                <w:sz w:val="19"/>
                <w:szCs w:val="19"/>
                <w:spacing w:val="8"/>
              </w:rPr>
              <w:t>购房补贴</w:t>
            </w:r>
          </w:p>
        </w:tc>
        <w:tc>
          <w:tcPr>
            <w:tcW w:w="2216" w:type="dxa"/>
            <w:vAlign w:val="top"/>
          </w:tcPr>
          <w:p>
            <w:pPr>
              <w:pStyle w:val="TableText"/>
              <w:ind w:right="8"/>
              <w:spacing w:before="80" w:line="208" w:lineRule="auto"/>
              <w:jc w:val="right"/>
              <w:rPr>
                <w:sz w:val="19"/>
                <w:szCs w:val="19"/>
              </w:rPr>
            </w:pPr>
            <w:r>
              <w:rPr>
                <w:sz w:val="19"/>
                <w:szCs w:val="19"/>
                <w:spacing w:val="2"/>
              </w:rPr>
              <w:t>5681</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5"/>
              <w:spacing w:before="86" w:line="203" w:lineRule="auto"/>
              <w:rPr>
                <w:sz w:val="19"/>
                <w:szCs w:val="19"/>
              </w:rPr>
            </w:pPr>
            <w:r>
              <w:rPr>
                <w:sz w:val="19"/>
                <w:szCs w:val="19"/>
                <w:spacing w:val="9"/>
              </w:rPr>
              <w:t>城乡社区住宅</w:t>
            </w:r>
          </w:p>
        </w:tc>
        <w:tc>
          <w:tcPr>
            <w:tcW w:w="2216" w:type="dxa"/>
            <w:vAlign w:val="top"/>
          </w:tcPr>
          <w:p>
            <w:pPr>
              <w:pStyle w:val="TableText"/>
              <w:ind w:right="8"/>
              <w:spacing w:before="80" w:line="208" w:lineRule="auto"/>
              <w:jc w:val="right"/>
              <w:rPr>
                <w:sz w:val="19"/>
                <w:szCs w:val="19"/>
              </w:rPr>
            </w:pPr>
            <w:r>
              <w:rPr>
                <w:sz w:val="19"/>
                <w:szCs w:val="19"/>
                <w:spacing w:val="2"/>
              </w:rPr>
              <w:t>2102</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4"/>
              <w:spacing w:before="81" w:line="207" w:lineRule="auto"/>
              <w:rPr>
                <w:sz w:val="19"/>
                <w:szCs w:val="19"/>
              </w:rPr>
            </w:pPr>
            <w:r>
              <w:rPr>
                <w:sz w:val="19"/>
                <w:szCs w:val="19"/>
                <w:spacing w:val="9"/>
              </w:rPr>
              <w:t>公有住房建设和维修改造支出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5" w:line="204" w:lineRule="auto"/>
              <w:rPr>
                <w:sz w:val="19"/>
                <w:szCs w:val="19"/>
              </w:rPr>
            </w:pPr>
            <w:r>
              <w:rPr>
                <w:sz w:val="19"/>
                <w:szCs w:val="19"/>
                <w:spacing w:val="9"/>
              </w:rPr>
              <w:t>住房公积金管理</w:t>
            </w:r>
          </w:p>
        </w:tc>
        <w:tc>
          <w:tcPr>
            <w:tcW w:w="2216" w:type="dxa"/>
            <w:vAlign w:val="top"/>
          </w:tcPr>
          <w:p>
            <w:pPr>
              <w:pStyle w:val="TableText"/>
              <w:ind w:right="8"/>
              <w:spacing w:before="79" w:line="209" w:lineRule="auto"/>
              <w:jc w:val="right"/>
              <w:rPr>
                <w:sz w:val="19"/>
                <w:szCs w:val="19"/>
              </w:rPr>
            </w:pPr>
            <w:r>
              <w:rPr>
                <w:sz w:val="19"/>
                <w:szCs w:val="19"/>
                <w:spacing w:val="2"/>
              </w:rPr>
              <w:t>455</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5" w:line="204" w:lineRule="auto"/>
              <w:rPr>
                <w:sz w:val="19"/>
                <w:szCs w:val="19"/>
              </w:rPr>
            </w:pPr>
            <w:r>
              <w:rPr>
                <w:sz w:val="19"/>
                <w:szCs w:val="19"/>
                <w:spacing w:val="9"/>
              </w:rPr>
              <w:t>其他城乡社区住宅支出</w:t>
            </w:r>
          </w:p>
        </w:tc>
        <w:tc>
          <w:tcPr>
            <w:tcW w:w="2216" w:type="dxa"/>
            <w:vAlign w:val="top"/>
          </w:tcPr>
          <w:p>
            <w:pPr>
              <w:pStyle w:val="TableText"/>
              <w:ind w:right="8"/>
              <w:spacing w:before="80" w:line="208" w:lineRule="auto"/>
              <w:jc w:val="right"/>
              <w:rPr>
                <w:sz w:val="19"/>
                <w:szCs w:val="19"/>
              </w:rPr>
            </w:pPr>
            <w:r>
              <w:rPr>
                <w:sz w:val="19"/>
                <w:szCs w:val="19"/>
                <w:spacing w:val="-2"/>
              </w:rPr>
              <w:t>1647</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16"/>
              <w:spacing w:before="84" w:line="205" w:lineRule="auto"/>
              <w:rPr>
                <w:sz w:val="19"/>
                <w:szCs w:val="19"/>
              </w:rPr>
            </w:pPr>
            <w:r>
              <w:rPr>
                <w:sz w:val="19"/>
                <w:szCs w:val="19"/>
                <w:spacing w:val="9"/>
              </w:rPr>
              <w:t>二十、粮油物资储备支出</w:t>
            </w:r>
          </w:p>
        </w:tc>
        <w:tc>
          <w:tcPr>
            <w:tcW w:w="2216" w:type="dxa"/>
            <w:vAlign w:val="top"/>
          </w:tcPr>
          <w:p>
            <w:pPr>
              <w:pStyle w:val="TableText"/>
              <w:ind w:right="8"/>
              <w:spacing w:before="80" w:line="208" w:lineRule="auto"/>
              <w:jc w:val="right"/>
              <w:rPr>
                <w:sz w:val="19"/>
                <w:szCs w:val="19"/>
              </w:rPr>
            </w:pPr>
            <w:r>
              <w:rPr>
                <w:sz w:val="19"/>
                <w:szCs w:val="19"/>
                <w:spacing w:val="1"/>
              </w:rPr>
              <w:t>272</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414"/>
              <w:spacing w:before="85" w:line="204" w:lineRule="auto"/>
              <w:rPr>
                <w:sz w:val="19"/>
                <w:szCs w:val="19"/>
              </w:rPr>
            </w:pPr>
            <w:r>
              <w:rPr>
                <w:sz w:val="19"/>
                <w:szCs w:val="19"/>
                <w:spacing w:val="8"/>
              </w:rPr>
              <w:t>粮油事务</w:t>
            </w:r>
          </w:p>
        </w:tc>
        <w:tc>
          <w:tcPr>
            <w:tcW w:w="2216" w:type="dxa"/>
            <w:vAlign w:val="top"/>
          </w:tcPr>
          <w:p>
            <w:pPr>
              <w:pStyle w:val="TableText"/>
              <w:ind w:right="8"/>
              <w:spacing w:before="79" w:line="209" w:lineRule="auto"/>
              <w:jc w:val="right"/>
              <w:rPr>
                <w:sz w:val="19"/>
                <w:szCs w:val="19"/>
              </w:rPr>
            </w:pPr>
            <w:r>
              <w:rPr>
                <w:sz w:val="19"/>
                <w:szCs w:val="19"/>
                <w:spacing w:val="1"/>
              </w:rPr>
              <w:t>272</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5"/>
              <w:spacing w:before="85" w:line="204" w:lineRule="auto"/>
              <w:rPr>
                <w:sz w:val="19"/>
                <w:szCs w:val="19"/>
              </w:rPr>
            </w:pPr>
            <w:r>
              <w:rPr>
                <w:sz w:val="19"/>
                <w:szCs w:val="19"/>
                <w:spacing w:val="8"/>
              </w:rPr>
              <w:t>行政运行</w:t>
            </w:r>
          </w:p>
        </w:tc>
        <w:tc>
          <w:tcPr>
            <w:tcW w:w="2216" w:type="dxa"/>
            <w:vAlign w:val="top"/>
          </w:tcPr>
          <w:p>
            <w:pPr>
              <w:pStyle w:val="TableText"/>
              <w:ind w:right="8"/>
              <w:spacing w:before="79" w:line="209" w:lineRule="auto"/>
              <w:jc w:val="right"/>
              <w:rPr>
                <w:sz w:val="19"/>
                <w:szCs w:val="19"/>
              </w:rPr>
            </w:pPr>
            <w:r>
              <w:rPr>
                <w:sz w:val="19"/>
                <w:szCs w:val="19"/>
                <w:spacing w:val="-4"/>
              </w:rPr>
              <w:t>142</w:t>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6"/>
              <w:spacing w:before="86" w:line="203"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6" w:line="203"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05" w:hRule="atLeast"/>
        </w:trPr>
        <w:tc>
          <w:tcPr>
            <w:tcW w:w="4612" w:type="dxa"/>
            <w:vAlign w:val="top"/>
            <w:tcBorders>
              <w:left w:val="single" w:color="000000" w:sz="6" w:space="0"/>
            </w:tcBorders>
          </w:tcPr>
          <w:p>
            <w:pPr>
              <w:pStyle w:val="TableText"/>
              <w:ind w:left="617"/>
              <w:spacing w:before="85" w:line="204" w:lineRule="auto"/>
              <w:rPr>
                <w:sz w:val="19"/>
                <w:szCs w:val="19"/>
              </w:rPr>
            </w:pPr>
            <w:r>
              <w:rPr>
                <w:sz w:val="19"/>
                <w:szCs w:val="19"/>
                <w:spacing w:val="9"/>
              </w:rPr>
              <w:t>财务与审计支出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14" w:hRule="atLeast"/>
        </w:trPr>
        <w:tc>
          <w:tcPr>
            <w:tcW w:w="4612" w:type="dxa"/>
            <w:vAlign w:val="top"/>
            <w:tcBorders>
              <w:left w:val="single" w:color="000000" w:sz="6" w:space="0"/>
              <w:bottom w:val="single" w:color="000000" w:sz="6" w:space="0"/>
            </w:tcBorders>
          </w:tcPr>
          <w:p>
            <w:pPr>
              <w:pStyle w:val="TableText"/>
              <w:ind w:left="616"/>
              <w:spacing w:before="82" w:line="215" w:lineRule="auto"/>
              <w:rPr>
                <w:sz w:val="19"/>
                <w:szCs w:val="19"/>
              </w:rPr>
            </w:pPr>
            <w:r>
              <w:rPr>
                <w:sz w:val="19"/>
                <w:szCs w:val="19"/>
                <w:spacing w:val="8"/>
              </w:rPr>
              <w:t>信息统计</w:t>
            </w:r>
          </w:p>
        </w:tc>
        <w:tc>
          <w:tcPr>
            <w:tcW w:w="2216" w:type="dxa"/>
            <w:vAlign w:val="top"/>
            <w:tcBorders>
              <w:bottom w:val="single" w:color="000000" w:sz="6" w:space="0"/>
            </w:tcBorders>
          </w:tcPr>
          <w:p>
            <w:pPr>
              <w:rPr>
                <w:rFonts w:ascii="Arial"/>
                <w:sz w:val="21"/>
              </w:rPr>
            </w:pPr>
            <w:r/>
          </w:p>
        </w:tc>
        <w:tc>
          <w:tcPr>
            <w:tcW w:w="2013"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23"/>
          <w:footerReference w:type="default" r:id="rId53"/>
          <w:pgSz w:w="11907" w:h="16840"/>
          <w:pgMar w:top="1801" w:right="1525" w:bottom="1660" w:left="1525" w:header="1428" w:footer="1289" w:gutter="0"/>
        </w:sectPr>
        <w:rPr>
          <w:rFonts w:ascii="Arial" w:hAnsi="Arial" w:eastAsia="Arial" w:cs="Arial"/>
          <w:sz w:val="21"/>
          <w:szCs w:val="21"/>
        </w:rPr>
      </w:pPr>
    </w:p>
    <w:p>
      <w:pPr>
        <w:spacing w:line="240" w:lineRule="exact"/>
        <w:rPr/>
      </w:pPr>
      <w:r/>
    </w:p>
    <w:tbl>
      <w:tblPr>
        <w:tblStyle w:val="TableNormal"/>
        <w:tblW w:w="8841"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12"/>
        <w:gridCol w:w="2216"/>
        <w:gridCol w:w="2013"/>
      </w:tblGrid>
      <w:tr>
        <w:trPr>
          <w:trHeight w:val="312" w:hRule="atLeast"/>
        </w:trPr>
        <w:tc>
          <w:tcPr>
            <w:tcW w:w="4612" w:type="dxa"/>
            <w:vAlign w:val="top"/>
            <w:tcBorders>
              <w:left w:val="single" w:color="000000" w:sz="6" w:space="0"/>
              <w:top w:val="single" w:color="000000" w:sz="6" w:space="0"/>
            </w:tcBorders>
          </w:tcPr>
          <w:p>
            <w:pPr>
              <w:pStyle w:val="TableText"/>
              <w:ind w:left="2104"/>
              <w:spacing w:before="81" w:line="212" w:lineRule="auto"/>
              <w:rPr>
                <w:sz w:val="19"/>
                <w:szCs w:val="19"/>
              </w:rPr>
            </w:pPr>
            <w:r>
              <w:rPr>
                <w:sz w:val="19"/>
                <w:szCs w:val="19"/>
                <w:b/>
                <w:bCs/>
                <w:spacing w:val="6"/>
              </w:rPr>
              <w:t>项目</w:t>
            </w:r>
          </w:p>
        </w:tc>
        <w:tc>
          <w:tcPr>
            <w:tcW w:w="2216" w:type="dxa"/>
            <w:vAlign w:val="top"/>
            <w:tcBorders>
              <w:top w:val="single" w:color="000000" w:sz="6" w:space="0"/>
            </w:tcBorders>
          </w:tcPr>
          <w:p>
            <w:pPr>
              <w:pStyle w:val="TableText"/>
              <w:ind w:left="813"/>
              <w:spacing w:before="76" w:line="219" w:lineRule="auto"/>
              <w:rPr>
                <w:sz w:val="19"/>
                <w:szCs w:val="19"/>
              </w:rPr>
            </w:pPr>
            <w:r>
              <w:rPr>
                <w:sz w:val="19"/>
                <w:szCs w:val="19"/>
                <w:b/>
                <w:bCs/>
                <w:spacing w:val="5"/>
              </w:rPr>
              <w:t>预算数</w:t>
            </w:r>
          </w:p>
        </w:tc>
        <w:tc>
          <w:tcPr>
            <w:tcW w:w="2013" w:type="dxa"/>
            <w:vAlign w:val="top"/>
            <w:tcBorders>
              <w:right w:val="single" w:color="000000" w:sz="6" w:space="0"/>
              <w:top w:val="single" w:color="000000" w:sz="6" w:space="0"/>
            </w:tcBorders>
          </w:tcPr>
          <w:p>
            <w:pPr>
              <w:pStyle w:val="TableText"/>
              <w:ind w:left="806"/>
              <w:spacing w:before="76" w:line="219" w:lineRule="auto"/>
              <w:rPr>
                <w:sz w:val="19"/>
                <w:szCs w:val="19"/>
              </w:rPr>
            </w:pPr>
            <w:r>
              <w:rPr>
                <w:sz w:val="19"/>
                <w:szCs w:val="19"/>
                <w:b/>
                <w:bCs/>
                <w:spacing w:val="6"/>
              </w:rPr>
              <w:t>备注</w:t>
            </w:r>
          </w:p>
        </w:tc>
      </w:tr>
      <w:tr>
        <w:trPr>
          <w:trHeight w:val="348" w:hRule="atLeast"/>
        </w:trPr>
        <w:tc>
          <w:tcPr>
            <w:tcW w:w="4612" w:type="dxa"/>
            <w:vAlign w:val="top"/>
            <w:tcBorders>
              <w:left w:val="single" w:color="000000" w:sz="6" w:space="0"/>
            </w:tcBorders>
          </w:tcPr>
          <w:p>
            <w:pPr>
              <w:pStyle w:val="TableText"/>
              <w:ind w:left="616"/>
              <w:spacing w:before="90" w:line="223" w:lineRule="auto"/>
              <w:rPr>
                <w:sz w:val="19"/>
                <w:szCs w:val="19"/>
              </w:rPr>
            </w:pPr>
            <w:r>
              <w:rPr>
                <w:sz w:val="19"/>
                <w:szCs w:val="19"/>
                <w:spacing w:val="9"/>
              </w:rPr>
              <w:t>专项业务活动</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636"/>
              <w:spacing w:before="94" w:line="217" w:lineRule="auto"/>
              <w:rPr>
                <w:sz w:val="19"/>
                <w:szCs w:val="19"/>
              </w:rPr>
            </w:pPr>
            <w:r>
              <w:rPr>
                <w:sz w:val="19"/>
                <w:szCs w:val="19"/>
                <w:spacing w:val="6"/>
              </w:rPr>
              <w:t>国家粮油差价补贴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616"/>
              <w:spacing w:before="93" w:line="219" w:lineRule="auto"/>
              <w:rPr>
                <w:sz w:val="19"/>
                <w:szCs w:val="19"/>
              </w:rPr>
            </w:pPr>
            <w:r>
              <w:rPr>
                <w:sz w:val="19"/>
                <w:szCs w:val="19"/>
                <w:spacing w:val="9"/>
              </w:rPr>
              <w:t>粮食财务挂账利息补贴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9" w:hRule="atLeast"/>
        </w:trPr>
        <w:tc>
          <w:tcPr>
            <w:tcW w:w="4612" w:type="dxa"/>
            <w:vAlign w:val="top"/>
            <w:tcBorders>
              <w:left w:val="single" w:color="000000" w:sz="6" w:space="0"/>
            </w:tcBorders>
          </w:tcPr>
          <w:p>
            <w:pPr>
              <w:pStyle w:val="TableText"/>
              <w:ind w:left="616"/>
              <w:spacing w:before="95" w:line="219" w:lineRule="auto"/>
              <w:rPr>
                <w:sz w:val="19"/>
                <w:szCs w:val="19"/>
              </w:rPr>
            </w:pPr>
            <w:r>
              <w:rPr>
                <w:sz w:val="19"/>
                <w:szCs w:val="19"/>
                <w:spacing w:val="9"/>
              </w:rPr>
              <w:t>粮食财务挂账消化款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616"/>
              <w:spacing w:before="92" w:line="220" w:lineRule="auto"/>
              <w:rPr>
                <w:sz w:val="19"/>
                <w:szCs w:val="19"/>
              </w:rPr>
            </w:pPr>
            <w:r>
              <w:rPr>
                <w:sz w:val="19"/>
                <w:szCs w:val="19"/>
                <w:spacing w:val="9"/>
              </w:rPr>
              <w:t>处理陈化粮补贴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616"/>
              <w:spacing w:before="95" w:line="219" w:lineRule="auto"/>
              <w:rPr>
                <w:sz w:val="19"/>
                <w:szCs w:val="19"/>
              </w:rPr>
            </w:pPr>
            <w:r>
              <w:rPr>
                <w:sz w:val="19"/>
                <w:szCs w:val="19"/>
                <w:spacing w:val="9"/>
              </w:rPr>
              <w:t>粮食风险基金</w:t>
            </w:r>
          </w:p>
        </w:tc>
        <w:tc>
          <w:tcPr>
            <w:tcW w:w="2216" w:type="dxa"/>
            <w:vAlign w:val="top"/>
          </w:tcPr>
          <w:p>
            <w:pPr>
              <w:pStyle w:val="TableText"/>
              <w:ind w:right="8"/>
              <w:spacing w:before="91"/>
              <w:jc w:val="right"/>
              <w:rPr>
                <w:sz w:val="19"/>
                <w:szCs w:val="19"/>
              </w:rPr>
            </w:pPr>
            <w:r>
              <w:rPr>
                <w:sz w:val="19"/>
                <w:szCs w:val="19"/>
                <w:spacing w:val="-4"/>
              </w:rPr>
              <w:t>130</w:t>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616"/>
              <w:spacing w:before="97" w:line="222" w:lineRule="auto"/>
              <w:rPr>
                <w:sz w:val="19"/>
                <w:szCs w:val="19"/>
              </w:rPr>
            </w:pPr>
            <w:r>
              <w:rPr>
                <w:sz w:val="19"/>
                <w:szCs w:val="19"/>
                <w:spacing w:val="9"/>
              </w:rPr>
              <w:t>粮油市场调控专项资金</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613"/>
              <w:spacing w:before="95" w:line="221" w:lineRule="auto"/>
              <w:rPr>
                <w:sz w:val="19"/>
                <w:szCs w:val="19"/>
              </w:rPr>
            </w:pPr>
            <w:r>
              <w:rPr>
                <w:sz w:val="19"/>
                <w:szCs w:val="19"/>
                <w:spacing w:val="9"/>
              </w:rPr>
              <w:t>设施建设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613"/>
              <w:spacing w:before="98" w:line="217" w:lineRule="auto"/>
              <w:rPr>
                <w:sz w:val="19"/>
                <w:szCs w:val="19"/>
              </w:rPr>
            </w:pPr>
            <w:r>
              <w:rPr>
                <w:sz w:val="19"/>
                <w:szCs w:val="19"/>
                <w:spacing w:val="9"/>
              </w:rPr>
              <w:t>设施安全</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619"/>
              <w:spacing w:before="97" w:line="221" w:lineRule="auto"/>
              <w:rPr>
                <w:sz w:val="19"/>
                <w:szCs w:val="19"/>
              </w:rPr>
            </w:pPr>
            <w:r>
              <w:rPr>
                <w:sz w:val="19"/>
                <w:szCs w:val="19"/>
                <w:spacing w:val="8"/>
              </w:rPr>
              <w:t>物资保管保养</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616"/>
              <w:spacing w:before="98" w:line="220"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615"/>
              <w:spacing w:before="99" w:line="221" w:lineRule="auto"/>
              <w:rPr>
                <w:sz w:val="19"/>
                <w:szCs w:val="19"/>
              </w:rPr>
            </w:pPr>
            <w:r>
              <w:rPr>
                <w:sz w:val="19"/>
                <w:szCs w:val="19"/>
                <w:spacing w:val="9"/>
              </w:rPr>
              <w:t>其他粮油事务支出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9" w:hRule="atLeast"/>
        </w:trPr>
        <w:tc>
          <w:tcPr>
            <w:tcW w:w="4612" w:type="dxa"/>
            <w:vAlign w:val="top"/>
            <w:tcBorders>
              <w:left w:val="single" w:color="000000" w:sz="6" w:space="0"/>
            </w:tcBorders>
          </w:tcPr>
          <w:p>
            <w:pPr>
              <w:pStyle w:val="TableText"/>
              <w:ind w:left="419"/>
              <w:spacing w:before="101" w:line="222" w:lineRule="auto"/>
              <w:rPr>
                <w:sz w:val="19"/>
                <w:szCs w:val="19"/>
              </w:rPr>
            </w:pPr>
            <w:r>
              <w:rPr>
                <w:sz w:val="19"/>
                <w:szCs w:val="19"/>
                <w:spacing w:val="7"/>
              </w:rPr>
              <w:t>能源储备</w:t>
            </w:r>
          </w:p>
        </w:tc>
        <w:tc>
          <w:tcPr>
            <w:tcW w:w="2216" w:type="dxa"/>
            <w:vAlign w:val="top"/>
          </w:tcPr>
          <w:p>
            <w:pPr>
              <w:pStyle w:val="TableText"/>
              <w:ind w:right="7"/>
              <w:spacing w:before="98" w:line="234"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616"/>
              <w:spacing w:before="100" w:line="222" w:lineRule="auto"/>
              <w:rPr>
                <w:sz w:val="19"/>
                <w:szCs w:val="19"/>
              </w:rPr>
            </w:pPr>
            <w:r>
              <w:rPr>
                <w:sz w:val="19"/>
                <w:szCs w:val="19"/>
                <w:spacing w:val="8"/>
              </w:rPr>
              <w:t>石油储备</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9" w:hRule="atLeast"/>
        </w:trPr>
        <w:tc>
          <w:tcPr>
            <w:tcW w:w="4612" w:type="dxa"/>
            <w:vAlign w:val="top"/>
            <w:tcBorders>
              <w:left w:val="single" w:color="000000" w:sz="6" w:space="0"/>
            </w:tcBorders>
          </w:tcPr>
          <w:p>
            <w:pPr>
              <w:pStyle w:val="TableText"/>
              <w:ind w:left="620"/>
              <w:spacing w:before="102" w:line="222" w:lineRule="auto"/>
              <w:rPr>
                <w:sz w:val="19"/>
                <w:szCs w:val="19"/>
              </w:rPr>
            </w:pPr>
            <w:r>
              <w:rPr>
                <w:sz w:val="19"/>
                <w:szCs w:val="19"/>
                <w:spacing w:val="8"/>
              </w:rPr>
              <w:t>天然铀能源储备</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9" w:hRule="atLeast"/>
        </w:trPr>
        <w:tc>
          <w:tcPr>
            <w:tcW w:w="4612" w:type="dxa"/>
            <w:vAlign w:val="top"/>
            <w:tcBorders>
              <w:left w:val="single" w:color="000000" w:sz="6" w:space="0"/>
            </w:tcBorders>
          </w:tcPr>
          <w:p>
            <w:pPr>
              <w:pStyle w:val="TableText"/>
              <w:ind w:left="615"/>
              <w:spacing w:before="101" w:line="222" w:lineRule="auto"/>
              <w:rPr>
                <w:sz w:val="19"/>
                <w:szCs w:val="19"/>
              </w:rPr>
            </w:pPr>
            <w:r>
              <w:rPr>
                <w:sz w:val="19"/>
                <w:szCs w:val="19"/>
                <w:spacing w:val="8"/>
              </w:rPr>
              <w:t>煤炭储备</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9" w:hRule="atLeast"/>
        </w:trPr>
        <w:tc>
          <w:tcPr>
            <w:tcW w:w="4612" w:type="dxa"/>
            <w:vAlign w:val="top"/>
            <w:tcBorders>
              <w:left w:val="single" w:color="000000" w:sz="6" w:space="0"/>
            </w:tcBorders>
          </w:tcPr>
          <w:p>
            <w:pPr>
              <w:pStyle w:val="TableText"/>
              <w:ind w:left="615"/>
              <w:spacing w:before="102" w:line="222" w:lineRule="auto"/>
              <w:rPr>
                <w:sz w:val="19"/>
                <w:szCs w:val="19"/>
              </w:rPr>
            </w:pPr>
            <w:r>
              <w:rPr>
                <w:sz w:val="19"/>
                <w:szCs w:val="19"/>
                <w:spacing w:val="9"/>
              </w:rPr>
              <w:t>其他能源储备支出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414"/>
              <w:spacing w:before="100" w:line="221" w:lineRule="auto"/>
              <w:rPr>
                <w:sz w:val="19"/>
                <w:szCs w:val="19"/>
              </w:rPr>
            </w:pPr>
            <w:r>
              <w:rPr>
                <w:sz w:val="19"/>
                <w:szCs w:val="19"/>
                <w:spacing w:val="8"/>
              </w:rPr>
              <w:t>粮油储备</w:t>
            </w:r>
          </w:p>
        </w:tc>
        <w:tc>
          <w:tcPr>
            <w:tcW w:w="2216" w:type="dxa"/>
            <w:vAlign w:val="top"/>
          </w:tcPr>
          <w:p>
            <w:pPr>
              <w:pStyle w:val="TableText"/>
              <w:ind w:right="7"/>
              <w:spacing w:before="97" w:line="234"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613"/>
              <w:spacing w:before="102" w:line="221" w:lineRule="auto"/>
              <w:rPr>
                <w:sz w:val="19"/>
                <w:szCs w:val="19"/>
              </w:rPr>
            </w:pPr>
            <w:r>
              <w:rPr>
                <w:sz w:val="19"/>
                <w:szCs w:val="19"/>
                <w:spacing w:val="9"/>
              </w:rPr>
              <w:t>储备粮油补贴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9" w:hRule="atLeast"/>
        </w:trPr>
        <w:tc>
          <w:tcPr>
            <w:tcW w:w="4612" w:type="dxa"/>
            <w:vAlign w:val="top"/>
            <w:tcBorders>
              <w:left w:val="single" w:color="000000" w:sz="6" w:space="0"/>
            </w:tcBorders>
          </w:tcPr>
          <w:p>
            <w:pPr>
              <w:pStyle w:val="TableText"/>
              <w:ind w:left="613"/>
              <w:spacing w:before="102" w:line="220" w:lineRule="auto"/>
              <w:rPr>
                <w:sz w:val="19"/>
                <w:szCs w:val="19"/>
              </w:rPr>
            </w:pPr>
            <w:r>
              <w:rPr>
                <w:sz w:val="19"/>
                <w:szCs w:val="19"/>
                <w:spacing w:val="9"/>
              </w:rPr>
              <w:t>储备粮油差价补贴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613"/>
              <w:spacing w:before="99" w:line="232" w:lineRule="auto"/>
              <w:rPr>
                <w:sz w:val="19"/>
                <w:szCs w:val="19"/>
              </w:rPr>
            </w:pPr>
            <w:r>
              <w:rPr>
                <w:sz w:val="19"/>
                <w:szCs w:val="19"/>
                <w:spacing w:val="9"/>
              </w:rPr>
              <w:t>储备粮（油）库建设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9" w:hRule="atLeast"/>
        </w:trPr>
        <w:tc>
          <w:tcPr>
            <w:tcW w:w="4612" w:type="dxa"/>
            <w:vAlign w:val="top"/>
            <w:tcBorders>
              <w:left w:val="single" w:color="000000" w:sz="6" w:space="0"/>
            </w:tcBorders>
          </w:tcPr>
          <w:p>
            <w:pPr>
              <w:pStyle w:val="TableText"/>
              <w:ind w:left="616"/>
              <w:spacing w:before="103" w:line="218" w:lineRule="auto"/>
              <w:rPr>
                <w:sz w:val="19"/>
                <w:szCs w:val="19"/>
              </w:rPr>
            </w:pPr>
            <w:r>
              <w:rPr>
                <w:sz w:val="19"/>
                <w:szCs w:val="19"/>
                <w:spacing w:val="9"/>
              </w:rPr>
              <w:t>最低收购价政策支出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615"/>
              <w:spacing w:before="103" w:line="221" w:lineRule="auto"/>
              <w:rPr>
                <w:sz w:val="19"/>
                <w:szCs w:val="19"/>
              </w:rPr>
            </w:pPr>
            <w:r>
              <w:rPr>
                <w:sz w:val="19"/>
                <w:szCs w:val="19"/>
                <w:spacing w:val="9"/>
              </w:rPr>
              <w:t>其他粮油储备支出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9" w:hRule="atLeast"/>
        </w:trPr>
        <w:tc>
          <w:tcPr>
            <w:tcW w:w="4612" w:type="dxa"/>
            <w:vAlign w:val="top"/>
            <w:tcBorders>
              <w:left w:val="single" w:color="000000" w:sz="6" w:space="0"/>
            </w:tcBorders>
          </w:tcPr>
          <w:p>
            <w:pPr>
              <w:pStyle w:val="TableText"/>
              <w:ind w:left="416"/>
              <w:spacing w:before="102" w:line="230" w:lineRule="auto"/>
              <w:rPr>
                <w:sz w:val="19"/>
                <w:szCs w:val="19"/>
              </w:rPr>
            </w:pPr>
            <w:r>
              <w:rPr>
                <w:sz w:val="19"/>
                <w:szCs w:val="19"/>
                <w:spacing w:val="9"/>
              </w:rPr>
              <w:t>重要商品储备</w:t>
            </w:r>
          </w:p>
        </w:tc>
        <w:tc>
          <w:tcPr>
            <w:tcW w:w="2216" w:type="dxa"/>
            <w:vAlign w:val="top"/>
          </w:tcPr>
          <w:p>
            <w:pPr>
              <w:pStyle w:val="TableText"/>
              <w:ind w:right="7"/>
              <w:spacing w:before="102" w:line="230"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49" w:hRule="atLeast"/>
        </w:trPr>
        <w:tc>
          <w:tcPr>
            <w:tcW w:w="4612" w:type="dxa"/>
            <w:vAlign w:val="top"/>
            <w:tcBorders>
              <w:left w:val="single" w:color="000000" w:sz="6" w:space="0"/>
            </w:tcBorders>
          </w:tcPr>
          <w:p>
            <w:pPr>
              <w:pStyle w:val="TableText"/>
              <w:ind w:left="616"/>
              <w:spacing w:before="104" w:line="221" w:lineRule="auto"/>
              <w:rPr>
                <w:sz w:val="19"/>
                <w:szCs w:val="19"/>
              </w:rPr>
            </w:pPr>
            <w:r>
              <w:rPr>
                <w:sz w:val="19"/>
                <w:szCs w:val="19"/>
                <w:spacing w:val="8"/>
              </w:rPr>
              <w:t>棉花储备</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9" w:hRule="atLeast"/>
        </w:trPr>
        <w:tc>
          <w:tcPr>
            <w:tcW w:w="4612" w:type="dxa"/>
            <w:vAlign w:val="top"/>
            <w:tcBorders>
              <w:left w:val="single" w:color="000000" w:sz="6" w:space="0"/>
            </w:tcBorders>
          </w:tcPr>
          <w:p>
            <w:pPr>
              <w:pStyle w:val="TableText"/>
              <w:ind w:left="613"/>
              <w:spacing w:before="105" w:line="222" w:lineRule="auto"/>
              <w:rPr>
                <w:sz w:val="19"/>
                <w:szCs w:val="19"/>
              </w:rPr>
            </w:pPr>
            <w:r>
              <w:rPr>
                <w:sz w:val="19"/>
                <w:szCs w:val="19"/>
                <w:spacing w:val="9"/>
              </w:rPr>
              <w:t>食糖储备</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638"/>
              <w:spacing w:before="104" w:line="221" w:lineRule="auto"/>
              <w:rPr>
                <w:sz w:val="19"/>
                <w:szCs w:val="19"/>
              </w:rPr>
            </w:pPr>
            <w:r>
              <w:rPr>
                <w:sz w:val="19"/>
                <w:szCs w:val="19"/>
                <w:spacing w:val="3"/>
              </w:rPr>
              <w:t>肉类储备</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9" w:hRule="atLeast"/>
        </w:trPr>
        <w:tc>
          <w:tcPr>
            <w:tcW w:w="4612" w:type="dxa"/>
            <w:vAlign w:val="top"/>
            <w:tcBorders>
              <w:left w:val="single" w:color="000000" w:sz="6" w:space="0"/>
            </w:tcBorders>
          </w:tcPr>
          <w:p>
            <w:pPr>
              <w:pStyle w:val="TableText"/>
              <w:ind w:left="616"/>
              <w:spacing w:before="105" w:line="221" w:lineRule="auto"/>
              <w:rPr>
                <w:sz w:val="19"/>
                <w:szCs w:val="19"/>
              </w:rPr>
            </w:pPr>
            <w:r>
              <w:rPr>
                <w:sz w:val="19"/>
                <w:szCs w:val="19"/>
                <w:spacing w:val="8"/>
              </w:rPr>
              <w:t>化肥储备</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9" w:hRule="atLeast"/>
        </w:trPr>
        <w:tc>
          <w:tcPr>
            <w:tcW w:w="4612" w:type="dxa"/>
            <w:vAlign w:val="top"/>
            <w:tcBorders>
              <w:left w:val="single" w:color="000000" w:sz="6" w:space="0"/>
            </w:tcBorders>
          </w:tcPr>
          <w:p>
            <w:pPr>
              <w:pStyle w:val="TableText"/>
              <w:ind w:left="613"/>
              <w:spacing w:before="104" w:line="222" w:lineRule="auto"/>
              <w:rPr>
                <w:sz w:val="19"/>
                <w:szCs w:val="19"/>
              </w:rPr>
            </w:pPr>
            <w:r>
              <w:rPr>
                <w:sz w:val="19"/>
                <w:szCs w:val="19"/>
                <w:spacing w:val="9"/>
              </w:rPr>
              <w:t>农药储备</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9" w:hRule="atLeast"/>
        </w:trPr>
        <w:tc>
          <w:tcPr>
            <w:tcW w:w="4612" w:type="dxa"/>
            <w:vAlign w:val="top"/>
            <w:tcBorders>
              <w:left w:val="single" w:color="000000" w:sz="6" w:space="0"/>
            </w:tcBorders>
          </w:tcPr>
          <w:p>
            <w:pPr>
              <w:pStyle w:val="TableText"/>
              <w:ind w:left="616"/>
              <w:spacing w:before="105" w:line="222" w:lineRule="auto"/>
              <w:rPr>
                <w:sz w:val="19"/>
                <w:szCs w:val="19"/>
              </w:rPr>
            </w:pPr>
            <w:r>
              <w:rPr>
                <w:sz w:val="19"/>
                <w:szCs w:val="19"/>
                <w:spacing w:val="8"/>
              </w:rPr>
              <w:t>边销茶储备</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9" w:hRule="atLeast"/>
        </w:trPr>
        <w:tc>
          <w:tcPr>
            <w:tcW w:w="4612" w:type="dxa"/>
            <w:vAlign w:val="top"/>
            <w:tcBorders>
              <w:left w:val="single" w:color="000000" w:sz="6" w:space="0"/>
            </w:tcBorders>
          </w:tcPr>
          <w:p>
            <w:pPr>
              <w:pStyle w:val="TableText"/>
              <w:ind w:left="616"/>
              <w:spacing w:before="104" w:line="222" w:lineRule="auto"/>
              <w:rPr>
                <w:sz w:val="19"/>
                <w:szCs w:val="19"/>
              </w:rPr>
            </w:pPr>
            <w:r>
              <w:rPr>
                <w:sz w:val="19"/>
                <w:szCs w:val="19"/>
                <w:spacing w:val="8"/>
              </w:rPr>
              <w:t>羊毛储备</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628"/>
              <w:spacing w:before="105" w:line="222" w:lineRule="auto"/>
              <w:rPr>
                <w:sz w:val="19"/>
                <w:szCs w:val="19"/>
              </w:rPr>
            </w:pPr>
            <w:r>
              <w:rPr>
                <w:sz w:val="19"/>
                <w:szCs w:val="19"/>
                <w:spacing w:val="5"/>
              </w:rPr>
              <w:t>医药储备</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9" w:hRule="atLeast"/>
        </w:trPr>
        <w:tc>
          <w:tcPr>
            <w:tcW w:w="4612" w:type="dxa"/>
            <w:vAlign w:val="top"/>
            <w:tcBorders>
              <w:left w:val="single" w:color="000000" w:sz="6" w:space="0"/>
            </w:tcBorders>
          </w:tcPr>
          <w:p>
            <w:pPr>
              <w:pStyle w:val="TableText"/>
              <w:ind w:left="613"/>
              <w:spacing w:before="104" w:line="222" w:lineRule="auto"/>
              <w:rPr>
                <w:sz w:val="19"/>
                <w:szCs w:val="19"/>
              </w:rPr>
            </w:pPr>
            <w:r>
              <w:rPr>
                <w:sz w:val="19"/>
                <w:szCs w:val="19"/>
                <w:spacing w:val="9"/>
              </w:rPr>
              <w:t>食盐储备</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9" w:hRule="atLeast"/>
        </w:trPr>
        <w:tc>
          <w:tcPr>
            <w:tcW w:w="4612" w:type="dxa"/>
            <w:vAlign w:val="top"/>
            <w:tcBorders>
              <w:left w:val="single" w:color="000000" w:sz="6" w:space="0"/>
            </w:tcBorders>
          </w:tcPr>
          <w:p>
            <w:pPr>
              <w:pStyle w:val="TableText"/>
              <w:ind w:left="627"/>
              <w:spacing w:before="105" w:line="222" w:lineRule="auto"/>
              <w:rPr>
                <w:sz w:val="19"/>
                <w:szCs w:val="19"/>
              </w:rPr>
            </w:pPr>
            <w:r>
              <w:rPr>
                <w:sz w:val="19"/>
                <w:szCs w:val="19"/>
                <w:spacing w:val="7"/>
              </w:rPr>
              <w:t>战略物资储备</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58" w:hRule="atLeast"/>
        </w:trPr>
        <w:tc>
          <w:tcPr>
            <w:tcW w:w="4612" w:type="dxa"/>
            <w:vAlign w:val="top"/>
            <w:tcBorders>
              <w:left w:val="single" w:color="000000" w:sz="6" w:space="0"/>
              <w:bottom w:val="single" w:color="000000" w:sz="6" w:space="0"/>
            </w:tcBorders>
          </w:tcPr>
          <w:p>
            <w:pPr>
              <w:pStyle w:val="TableText"/>
              <w:ind w:left="615"/>
              <w:spacing w:before="106" w:line="222" w:lineRule="auto"/>
              <w:rPr>
                <w:sz w:val="19"/>
                <w:szCs w:val="19"/>
              </w:rPr>
            </w:pPr>
            <w:r>
              <w:rPr>
                <w:sz w:val="19"/>
                <w:szCs w:val="19"/>
                <w:spacing w:val="9"/>
              </w:rPr>
              <w:t>应急物资储备</w:t>
            </w:r>
          </w:p>
        </w:tc>
        <w:tc>
          <w:tcPr>
            <w:tcW w:w="2216" w:type="dxa"/>
            <w:vAlign w:val="top"/>
            <w:tcBorders>
              <w:bottom w:val="single" w:color="000000" w:sz="6" w:space="0"/>
            </w:tcBorders>
          </w:tcPr>
          <w:p>
            <w:pPr>
              <w:rPr>
                <w:rFonts w:ascii="Arial"/>
                <w:sz w:val="21"/>
              </w:rPr>
            </w:pPr>
            <w:r/>
          </w:p>
        </w:tc>
        <w:tc>
          <w:tcPr>
            <w:tcW w:w="2013" w:type="dxa"/>
            <w:vAlign w:val="top"/>
            <w:tcBorders>
              <w:bottom w:val="single" w:color="000000" w:sz="6" w:space="0"/>
              <w:right w:val="single" w:color="000000" w:sz="6" w:space="0"/>
            </w:tcBorders>
          </w:tcPr>
          <w:p>
            <w:pPr>
              <w:rPr>
                <w:rFonts w:ascii="Arial"/>
                <w:sz w:val="21"/>
              </w:rPr>
            </w:pPr>
            <w:r/>
          </w:p>
        </w:tc>
      </w:tr>
    </w:tbl>
    <w:p>
      <w:pPr>
        <w:spacing w:line="173" w:lineRule="exact"/>
        <w:rPr>
          <w:rFonts w:ascii="Arial"/>
          <w:sz w:val="15"/>
        </w:rPr>
      </w:pPr>
      <w:r/>
    </w:p>
    <w:p>
      <w:pPr>
        <w:spacing w:line="173" w:lineRule="exact"/>
        <w:sectPr>
          <w:headerReference w:type="default" r:id="rId25"/>
          <w:footerReference w:type="default" r:id="rId54"/>
          <w:pgSz w:w="11907" w:h="16840"/>
          <w:pgMar w:top="1845" w:right="1525" w:bottom="1671" w:left="1525" w:header="1428" w:footer="1277" w:gutter="0"/>
        </w:sectPr>
        <w:rPr>
          <w:rFonts w:ascii="Arial" w:hAnsi="Arial" w:eastAsia="Arial" w:cs="Arial"/>
          <w:sz w:val="15"/>
          <w:szCs w:val="15"/>
        </w:rPr>
      </w:pPr>
    </w:p>
    <w:p>
      <w:pPr>
        <w:spacing w:line="143" w:lineRule="exact"/>
        <w:rPr/>
      </w:pPr>
      <w:r/>
    </w:p>
    <w:tbl>
      <w:tblPr>
        <w:tblStyle w:val="TableNormal"/>
        <w:tblW w:w="8841"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12"/>
        <w:gridCol w:w="2216"/>
        <w:gridCol w:w="2013"/>
      </w:tblGrid>
      <w:tr>
        <w:trPr>
          <w:trHeight w:val="312" w:hRule="atLeast"/>
        </w:trPr>
        <w:tc>
          <w:tcPr>
            <w:tcW w:w="4612" w:type="dxa"/>
            <w:vAlign w:val="top"/>
            <w:tcBorders>
              <w:left w:val="single" w:color="000000" w:sz="6" w:space="0"/>
              <w:top w:val="single" w:color="000000" w:sz="6" w:space="0"/>
            </w:tcBorders>
          </w:tcPr>
          <w:p>
            <w:pPr>
              <w:pStyle w:val="TableText"/>
              <w:ind w:left="2104"/>
              <w:spacing w:before="81" w:line="212" w:lineRule="auto"/>
              <w:rPr>
                <w:sz w:val="19"/>
                <w:szCs w:val="19"/>
              </w:rPr>
            </w:pPr>
            <w:r>
              <w:rPr>
                <w:sz w:val="19"/>
                <w:szCs w:val="19"/>
                <w:b/>
                <w:bCs/>
                <w:spacing w:val="6"/>
              </w:rPr>
              <w:t>项目</w:t>
            </w:r>
          </w:p>
        </w:tc>
        <w:tc>
          <w:tcPr>
            <w:tcW w:w="2216" w:type="dxa"/>
            <w:vAlign w:val="top"/>
            <w:tcBorders>
              <w:top w:val="single" w:color="000000" w:sz="6" w:space="0"/>
            </w:tcBorders>
          </w:tcPr>
          <w:p>
            <w:pPr>
              <w:pStyle w:val="TableText"/>
              <w:ind w:left="813"/>
              <w:spacing w:before="75" w:line="220" w:lineRule="auto"/>
              <w:rPr>
                <w:sz w:val="19"/>
                <w:szCs w:val="19"/>
              </w:rPr>
            </w:pPr>
            <w:r>
              <w:rPr>
                <w:sz w:val="19"/>
                <w:szCs w:val="19"/>
                <w:b/>
                <w:bCs/>
                <w:spacing w:val="5"/>
              </w:rPr>
              <w:t>预算数</w:t>
            </w:r>
          </w:p>
        </w:tc>
        <w:tc>
          <w:tcPr>
            <w:tcW w:w="2013" w:type="dxa"/>
            <w:vAlign w:val="top"/>
            <w:tcBorders>
              <w:right w:val="single" w:color="000000" w:sz="6" w:space="0"/>
              <w:top w:val="single" w:color="000000" w:sz="6" w:space="0"/>
            </w:tcBorders>
          </w:tcPr>
          <w:p>
            <w:pPr>
              <w:pStyle w:val="TableText"/>
              <w:ind w:left="806"/>
              <w:spacing w:before="75" w:line="220" w:lineRule="auto"/>
              <w:rPr>
                <w:sz w:val="19"/>
                <w:szCs w:val="19"/>
              </w:rPr>
            </w:pPr>
            <w:r>
              <w:rPr>
                <w:sz w:val="19"/>
                <w:szCs w:val="19"/>
                <w:b/>
                <w:bCs/>
                <w:spacing w:val="6"/>
              </w:rPr>
              <w:t>备注</w:t>
            </w:r>
          </w:p>
        </w:tc>
      </w:tr>
      <w:tr>
        <w:trPr>
          <w:trHeight w:val="348" w:hRule="atLeast"/>
        </w:trPr>
        <w:tc>
          <w:tcPr>
            <w:tcW w:w="4612" w:type="dxa"/>
            <w:vAlign w:val="top"/>
            <w:tcBorders>
              <w:left w:val="single" w:color="000000" w:sz="6" w:space="0"/>
            </w:tcBorders>
          </w:tcPr>
          <w:p>
            <w:pPr>
              <w:pStyle w:val="TableText"/>
              <w:ind w:left="615"/>
              <w:spacing w:before="86" w:line="252" w:lineRule="exact"/>
              <w:rPr>
                <w:sz w:val="19"/>
                <w:szCs w:val="19"/>
              </w:rPr>
            </w:pPr>
            <w:r>
              <w:rPr>
                <w:sz w:val="19"/>
                <w:szCs w:val="19"/>
                <w:spacing w:val="9"/>
                <w:position w:val="1"/>
              </w:rPr>
              <w:t>其他重要商品储备支出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16"/>
              <w:spacing w:before="93" w:line="220" w:lineRule="auto"/>
              <w:rPr>
                <w:sz w:val="19"/>
                <w:szCs w:val="19"/>
              </w:rPr>
            </w:pPr>
            <w:r>
              <w:rPr>
                <w:sz w:val="19"/>
                <w:szCs w:val="19"/>
                <w:spacing w:val="9"/>
              </w:rPr>
              <w:t>二十一、灾害防治及应急管理支出</w:t>
            </w:r>
          </w:p>
        </w:tc>
        <w:tc>
          <w:tcPr>
            <w:tcW w:w="2216" w:type="dxa"/>
            <w:vAlign w:val="top"/>
          </w:tcPr>
          <w:p>
            <w:pPr>
              <w:pStyle w:val="TableText"/>
              <w:ind w:right="8"/>
              <w:spacing w:before="88" w:line="242" w:lineRule="auto"/>
              <w:jc w:val="right"/>
              <w:rPr>
                <w:sz w:val="19"/>
                <w:szCs w:val="19"/>
              </w:rPr>
            </w:pPr>
            <w:r>
              <w:rPr>
                <w:sz w:val="19"/>
                <w:szCs w:val="19"/>
                <w:spacing w:val="1"/>
              </w:rPr>
              <w:t>3285</w:t>
            </w:r>
          </w:p>
        </w:tc>
        <w:tc>
          <w:tcPr>
            <w:tcW w:w="2013" w:type="dxa"/>
            <w:vAlign w:val="top"/>
            <w:tcBorders>
              <w:right w:val="single" w:color="000000" w:sz="6" w:space="0"/>
            </w:tcBorders>
          </w:tcPr>
          <w:p>
            <w:pPr>
              <w:rPr>
                <w:rFonts w:ascii="Arial"/>
                <w:sz w:val="21"/>
              </w:rPr>
            </w:pPr>
            <w:r/>
          </w:p>
        </w:tc>
      </w:tr>
      <w:tr>
        <w:trPr>
          <w:trHeight w:val="349" w:hRule="atLeast"/>
        </w:trPr>
        <w:tc>
          <w:tcPr>
            <w:tcW w:w="4612" w:type="dxa"/>
            <w:vAlign w:val="top"/>
            <w:tcBorders>
              <w:left w:val="single" w:color="000000" w:sz="6" w:space="0"/>
            </w:tcBorders>
          </w:tcPr>
          <w:p>
            <w:pPr>
              <w:pStyle w:val="TableText"/>
              <w:ind w:left="413"/>
              <w:spacing w:before="92" w:line="219" w:lineRule="auto"/>
              <w:rPr>
                <w:sz w:val="19"/>
                <w:szCs w:val="19"/>
              </w:rPr>
            </w:pPr>
            <w:r>
              <w:rPr>
                <w:sz w:val="19"/>
                <w:szCs w:val="19"/>
                <w:spacing w:val="9"/>
              </w:rPr>
              <w:t>应急管理事务</w:t>
            </w:r>
          </w:p>
        </w:tc>
        <w:tc>
          <w:tcPr>
            <w:tcW w:w="2216" w:type="dxa"/>
            <w:vAlign w:val="top"/>
          </w:tcPr>
          <w:p>
            <w:pPr>
              <w:pStyle w:val="TableText"/>
              <w:ind w:right="8"/>
              <w:spacing w:before="88" w:line="251" w:lineRule="exact"/>
              <w:jc w:val="right"/>
              <w:rPr>
                <w:sz w:val="19"/>
                <w:szCs w:val="19"/>
              </w:rPr>
            </w:pPr>
            <w:r>
              <w:rPr>
                <w:sz w:val="19"/>
                <w:szCs w:val="19"/>
                <w:spacing w:val="2"/>
                <w:position w:val="1"/>
              </w:rPr>
              <w:t>466</w:t>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615"/>
              <w:spacing w:before="94" w:line="218" w:lineRule="auto"/>
              <w:rPr>
                <w:sz w:val="19"/>
                <w:szCs w:val="19"/>
              </w:rPr>
            </w:pPr>
            <w:r>
              <w:rPr>
                <w:sz w:val="19"/>
                <w:szCs w:val="19"/>
                <w:spacing w:val="8"/>
              </w:rPr>
              <w:t>行政运行</w:t>
            </w:r>
          </w:p>
        </w:tc>
        <w:tc>
          <w:tcPr>
            <w:tcW w:w="2216" w:type="dxa"/>
            <w:vAlign w:val="top"/>
          </w:tcPr>
          <w:p>
            <w:pPr>
              <w:pStyle w:val="TableText"/>
              <w:ind w:right="8"/>
              <w:spacing w:before="88" w:line="242" w:lineRule="auto"/>
              <w:jc w:val="right"/>
              <w:rPr>
                <w:sz w:val="19"/>
                <w:szCs w:val="19"/>
              </w:rPr>
            </w:pPr>
            <w:r>
              <w:rPr>
                <w:sz w:val="19"/>
                <w:szCs w:val="19"/>
                <w:spacing w:val="2"/>
              </w:rPr>
              <w:t>416</w:t>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616"/>
              <w:spacing w:before="95" w:line="219"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617"/>
              <w:spacing w:before="95" w:line="217"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616"/>
              <w:spacing w:before="97" w:line="221" w:lineRule="auto"/>
              <w:rPr>
                <w:sz w:val="19"/>
                <w:szCs w:val="19"/>
              </w:rPr>
            </w:pPr>
            <w:r>
              <w:rPr>
                <w:sz w:val="19"/>
                <w:szCs w:val="19"/>
                <w:spacing w:val="9"/>
              </w:rPr>
              <w:t>灾害风险防治</w:t>
            </w:r>
          </w:p>
        </w:tc>
        <w:tc>
          <w:tcPr>
            <w:tcW w:w="2216" w:type="dxa"/>
            <w:vAlign w:val="top"/>
          </w:tcPr>
          <w:p>
            <w:pPr>
              <w:pStyle w:val="TableText"/>
              <w:ind w:right="5"/>
              <w:spacing w:before="93" w:line="238" w:lineRule="auto"/>
              <w:jc w:val="right"/>
              <w:rPr>
                <w:sz w:val="19"/>
                <w:szCs w:val="19"/>
              </w:rPr>
            </w:pPr>
            <w:r>
              <w:rPr>
                <w:sz w:val="19"/>
                <w:szCs w:val="19"/>
              </w:rPr>
              <w:t>5</w:t>
            </w:r>
          </w:p>
        </w:tc>
        <w:tc>
          <w:tcPr>
            <w:tcW w:w="2013" w:type="dxa"/>
            <w:vAlign w:val="top"/>
            <w:tcBorders>
              <w:right w:val="single" w:color="000000" w:sz="6" w:space="0"/>
            </w:tcBorders>
          </w:tcPr>
          <w:p>
            <w:pPr>
              <w:rPr>
                <w:rFonts w:ascii="Arial"/>
                <w:sz w:val="21"/>
              </w:rPr>
            </w:pPr>
            <w:r/>
          </w:p>
        </w:tc>
      </w:tr>
      <w:tr>
        <w:trPr>
          <w:trHeight w:val="349" w:hRule="atLeast"/>
        </w:trPr>
        <w:tc>
          <w:tcPr>
            <w:tcW w:w="4612" w:type="dxa"/>
            <w:vAlign w:val="top"/>
            <w:tcBorders>
              <w:left w:val="single" w:color="000000" w:sz="6" w:space="0"/>
            </w:tcBorders>
          </w:tcPr>
          <w:p>
            <w:pPr>
              <w:pStyle w:val="TableText"/>
              <w:ind w:left="636"/>
              <w:spacing w:before="96" w:line="222" w:lineRule="auto"/>
              <w:rPr>
                <w:sz w:val="19"/>
                <w:szCs w:val="19"/>
              </w:rPr>
            </w:pPr>
            <w:r>
              <w:rPr>
                <w:sz w:val="19"/>
                <w:szCs w:val="19"/>
                <w:spacing w:val="6"/>
              </w:rPr>
              <w:t>国务院安委会专项</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616"/>
              <w:spacing w:before="98" w:line="218" w:lineRule="auto"/>
              <w:rPr>
                <w:sz w:val="19"/>
                <w:szCs w:val="19"/>
              </w:rPr>
            </w:pPr>
            <w:r>
              <w:rPr>
                <w:sz w:val="19"/>
                <w:szCs w:val="19"/>
                <w:spacing w:val="8"/>
              </w:rPr>
              <w:t>安全监管</w:t>
            </w:r>
          </w:p>
        </w:tc>
        <w:tc>
          <w:tcPr>
            <w:tcW w:w="2216" w:type="dxa"/>
            <w:vAlign w:val="top"/>
          </w:tcPr>
          <w:p>
            <w:pPr>
              <w:pStyle w:val="TableText"/>
              <w:ind w:right="8"/>
              <w:spacing w:before="93" w:line="238" w:lineRule="auto"/>
              <w:jc w:val="right"/>
              <w:rPr>
                <w:sz w:val="19"/>
                <w:szCs w:val="19"/>
              </w:rPr>
            </w:pPr>
            <w:r>
              <w:rPr>
                <w:sz w:val="19"/>
                <w:szCs w:val="19"/>
                <w:spacing w:val="-1"/>
              </w:rPr>
              <w:t>33</w:t>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616"/>
              <w:spacing w:before="97" w:line="220" w:lineRule="auto"/>
              <w:rPr>
                <w:sz w:val="19"/>
                <w:szCs w:val="19"/>
              </w:rPr>
            </w:pPr>
            <w:r>
              <w:rPr>
                <w:sz w:val="19"/>
                <w:szCs w:val="19"/>
                <w:spacing w:val="9"/>
              </w:rPr>
              <w:t>安全生产基础</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615"/>
              <w:spacing w:before="99" w:line="219" w:lineRule="auto"/>
              <w:rPr>
                <w:sz w:val="19"/>
                <w:szCs w:val="19"/>
              </w:rPr>
            </w:pPr>
            <w:r>
              <w:rPr>
                <w:sz w:val="19"/>
                <w:szCs w:val="19"/>
                <w:spacing w:val="8"/>
              </w:rPr>
              <w:t>应急救援</w:t>
            </w:r>
          </w:p>
        </w:tc>
        <w:tc>
          <w:tcPr>
            <w:tcW w:w="2216" w:type="dxa"/>
            <w:vAlign w:val="top"/>
          </w:tcPr>
          <w:p>
            <w:pPr>
              <w:pStyle w:val="TableText"/>
              <w:ind w:right="6"/>
              <w:spacing w:before="95" w:line="236" w:lineRule="auto"/>
              <w:jc w:val="right"/>
              <w:rPr>
                <w:sz w:val="19"/>
                <w:szCs w:val="19"/>
              </w:rPr>
            </w:pPr>
            <w:r>
              <w:rPr>
                <w:sz w:val="19"/>
                <w:szCs w:val="19"/>
              </w:rPr>
              <w:t>2</w:t>
            </w:r>
          </w:p>
        </w:tc>
        <w:tc>
          <w:tcPr>
            <w:tcW w:w="2013" w:type="dxa"/>
            <w:vAlign w:val="top"/>
            <w:tcBorders>
              <w:right w:val="single" w:color="000000" w:sz="6" w:space="0"/>
            </w:tcBorders>
          </w:tcPr>
          <w:p>
            <w:pPr>
              <w:rPr>
                <w:rFonts w:ascii="Arial"/>
                <w:sz w:val="21"/>
              </w:rPr>
            </w:pPr>
            <w:r/>
          </w:p>
        </w:tc>
      </w:tr>
      <w:tr>
        <w:trPr>
          <w:trHeight w:val="349" w:hRule="atLeast"/>
        </w:trPr>
        <w:tc>
          <w:tcPr>
            <w:tcW w:w="4612" w:type="dxa"/>
            <w:vAlign w:val="top"/>
            <w:tcBorders>
              <w:left w:val="single" w:color="000000" w:sz="6" w:space="0"/>
            </w:tcBorders>
          </w:tcPr>
          <w:p>
            <w:pPr>
              <w:pStyle w:val="TableText"/>
              <w:ind w:left="615"/>
              <w:spacing w:before="100" w:line="218" w:lineRule="auto"/>
              <w:rPr>
                <w:sz w:val="19"/>
                <w:szCs w:val="19"/>
              </w:rPr>
            </w:pPr>
            <w:r>
              <w:rPr>
                <w:sz w:val="19"/>
                <w:szCs w:val="19"/>
                <w:spacing w:val="8"/>
              </w:rPr>
              <w:t>应急管理</w:t>
            </w:r>
          </w:p>
        </w:tc>
        <w:tc>
          <w:tcPr>
            <w:tcW w:w="2216" w:type="dxa"/>
            <w:vAlign w:val="top"/>
          </w:tcPr>
          <w:p>
            <w:pPr>
              <w:pStyle w:val="TableText"/>
              <w:ind w:right="8"/>
              <w:spacing w:before="94" w:line="238" w:lineRule="auto"/>
              <w:jc w:val="right"/>
              <w:rPr>
                <w:sz w:val="19"/>
                <w:szCs w:val="19"/>
              </w:rPr>
            </w:pPr>
            <w:r>
              <w:rPr>
                <w:sz w:val="19"/>
                <w:szCs w:val="19"/>
                <w:spacing w:val="-8"/>
              </w:rPr>
              <w:t>10</w:t>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616"/>
              <w:spacing w:before="99" w:line="220"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615"/>
              <w:spacing w:before="99" w:line="221" w:lineRule="auto"/>
              <w:rPr>
                <w:sz w:val="19"/>
                <w:szCs w:val="19"/>
              </w:rPr>
            </w:pPr>
            <w:r>
              <w:rPr>
                <w:sz w:val="19"/>
                <w:szCs w:val="19"/>
                <w:spacing w:val="9"/>
              </w:rPr>
              <w:t>其他应急管理支出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9" w:hRule="atLeast"/>
        </w:trPr>
        <w:tc>
          <w:tcPr>
            <w:tcW w:w="4612" w:type="dxa"/>
            <w:vAlign w:val="top"/>
            <w:tcBorders>
              <w:left w:val="single" w:color="000000" w:sz="6" w:space="0"/>
            </w:tcBorders>
          </w:tcPr>
          <w:p>
            <w:pPr>
              <w:pStyle w:val="TableText"/>
              <w:ind w:left="420"/>
              <w:spacing w:before="101" w:line="219" w:lineRule="auto"/>
              <w:rPr>
                <w:sz w:val="19"/>
                <w:szCs w:val="19"/>
              </w:rPr>
            </w:pPr>
            <w:r>
              <w:rPr>
                <w:sz w:val="19"/>
                <w:szCs w:val="19"/>
                <w:spacing w:val="7"/>
              </w:rPr>
              <w:t>消防事务</w:t>
            </w:r>
          </w:p>
        </w:tc>
        <w:tc>
          <w:tcPr>
            <w:tcW w:w="2216" w:type="dxa"/>
            <w:vAlign w:val="top"/>
          </w:tcPr>
          <w:p>
            <w:pPr>
              <w:pStyle w:val="TableText"/>
              <w:ind w:right="8"/>
              <w:spacing w:before="97" w:line="235" w:lineRule="auto"/>
              <w:jc w:val="right"/>
              <w:rPr>
                <w:sz w:val="19"/>
                <w:szCs w:val="19"/>
              </w:rPr>
            </w:pPr>
            <w:r>
              <w:rPr>
                <w:sz w:val="19"/>
                <w:szCs w:val="19"/>
                <w:spacing w:val="2"/>
              </w:rPr>
              <w:t>2090</w:t>
            </w:r>
          </w:p>
        </w:tc>
        <w:tc>
          <w:tcPr>
            <w:tcW w:w="2013" w:type="dxa"/>
            <w:vAlign w:val="top"/>
            <w:tcBorders>
              <w:right w:val="single" w:color="000000" w:sz="6" w:space="0"/>
            </w:tcBorders>
          </w:tcPr>
          <w:p>
            <w:pPr>
              <w:rPr>
                <w:rFonts w:ascii="Arial"/>
                <w:sz w:val="21"/>
              </w:rPr>
            </w:pPr>
            <w:r/>
          </w:p>
        </w:tc>
      </w:tr>
      <w:tr>
        <w:trPr>
          <w:trHeight w:val="349" w:hRule="atLeast"/>
        </w:trPr>
        <w:tc>
          <w:tcPr>
            <w:tcW w:w="4612" w:type="dxa"/>
            <w:vAlign w:val="top"/>
            <w:tcBorders>
              <w:left w:val="single" w:color="000000" w:sz="6" w:space="0"/>
            </w:tcBorders>
          </w:tcPr>
          <w:p>
            <w:pPr>
              <w:pStyle w:val="TableText"/>
              <w:ind w:left="615"/>
              <w:spacing w:before="103" w:line="218" w:lineRule="auto"/>
              <w:rPr>
                <w:sz w:val="19"/>
                <w:szCs w:val="19"/>
              </w:rPr>
            </w:pPr>
            <w:r>
              <w:rPr>
                <w:sz w:val="19"/>
                <w:szCs w:val="19"/>
                <w:spacing w:val="8"/>
              </w:rPr>
              <w:t>行政运行</w:t>
            </w:r>
          </w:p>
        </w:tc>
        <w:tc>
          <w:tcPr>
            <w:tcW w:w="2216" w:type="dxa"/>
            <w:vAlign w:val="top"/>
          </w:tcPr>
          <w:p>
            <w:pPr>
              <w:pStyle w:val="TableText"/>
              <w:ind w:right="8"/>
              <w:spacing w:before="98" w:line="234" w:lineRule="auto"/>
              <w:jc w:val="right"/>
              <w:rPr>
                <w:sz w:val="19"/>
                <w:szCs w:val="19"/>
              </w:rPr>
            </w:pPr>
            <w:r>
              <w:rPr>
                <w:sz w:val="19"/>
                <w:szCs w:val="19"/>
                <w:spacing w:val="2"/>
              </w:rPr>
              <w:t>460</w:t>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616"/>
              <w:spacing w:before="101" w:line="219"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617"/>
              <w:spacing w:before="101" w:line="217"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9" w:hRule="atLeast"/>
        </w:trPr>
        <w:tc>
          <w:tcPr>
            <w:tcW w:w="4612" w:type="dxa"/>
            <w:vAlign w:val="top"/>
            <w:tcBorders>
              <w:left w:val="single" w:color="000000" w:sz="6" w:space="0"/>
            </w:tcBorders>
          </w:tcPr>
          <w:p>
            <w:pPr>
              <w:pStyle w:val="TableText"/>
              <w:ind w:left="622"/>
              <w:spacing w:before="102" w:line="219" w:lineRule="auto"/>
              <w:rPr>
                <w:sz w:val="19"/>
                <w:szCs w:val="19"/>
              </w:rPr>
            </w:pPr>
            <w:r>
              <w:rPr>
                <w:sz w:val="19"/>
                <w:szCs w:val="19"/>
                <w:spacing w:val="8"/>
              </w:rPr>
              <w:t>消防应急救援</w:t>
            </w:r>
          </w:p>
        </w:tc>
        <w:tc>
          <w:tcPr>
            <w:tcW w:w="2216" w:type="dxa"/>
            <w:vAlign w:val="top"/>
          </w:tcPr>
          <w:p>
            <w:pPr>
              <w:pStyle w:val="TableText"/>
              <w:ind w:right="8"/>
              <w:spacing w:before="98" w:line="234" w:lineRule="auto"/>
              <w:jc w:val="right"/>
              <w:rPr>
                <w:sz w:val="19"/>
                <w:szCs w:val="19"/>
              </w:rPr>
            </w:pPr>
            <w:r>
              <w:rPr>
                <w:sz w:val="19"/>
                <w:szCs w:val="19"/>
              </w:rPr>
              <w:t>68</w:t>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615"/>
              <w:spacing w:before="103" w:line="221" w:lineRule="auto"/>
              <w:rPr>
                <w:sz w:val="19"/>
                <w:szCs w:val="19"/>
              </w:rPr>
            </w:pPr>
            <w:r>
              <w:rPr>
                <w:sz w:val="19"/>
                <w:szCs w:val="19"/>
                <w:spacing w:val="9"/>
              </w:rPr>
              <w:t>其他消防事务支出</w:t>
            </w:r>
          </w:p>
        </w:tc>
        <w:tc>
          <w:tcPr>
            <w:tcW w:w="2216" w:type="dxa"/>
            <w:vAlign w:val="top"/>
          </w:tcPr>
          <w:p>
            <w:pPr>
              <w:pStyle w:val="TableText"/>
              <w:ind w:right="8"/>
              <w:spacing w:before="99" w:line="232" w:lineRule="auto"/>
              <w:jc w:val="right"/>
              <w:rPr>
                <w:sz w:val="19"/>
                <w:szCs w:val="19"/>
              </w:rPr>
            </w:pPr>
            <w:r>
              <w:rPr>
                <w:sz w:val="19"/>
                <w:szCs w:val="19"/>
                <w:spacing w:val="-2"/>
              </w:rPr>
              <w:t>1562</w:t>
            </w:r>
          </w:p>
        </w:tc>
        <w:tc>
          <w:tcPr>
            <w:tcW w:w="2013" w:type="dxa"/>
            <w:vAlign w:val="top"/>
            <w:tcBorders>
              <w:right w:val="single" w:color="000000" w:sz="6" w:space="0"/>
            </w:tcBorders>
          </w:tcPr>
          <w:p>
            <w:pPr>
              <w:rPr>
                <w:rFonts w:ascii="Arial"/>
                <w:sz w:val="21"/>
              </w:rPr>
            </w:pPr>
            <w:r/>
          </w:p>
        </w:tc>
      </w:tr>
      <w:tr>
        <w:trPr>
          <w:trHeight w:val="349" w:hRule="atLeast"/>
        </w:trPr>
        <w:tc>
          <w:tcPr>
            <w:tcW w:w="4612" w:type="dxa"/>
            <w:vAlign w:val="top"/>
            <w:tcBorders>
              <w:left w:val="single" w:color="000000" w:sz="6" w:space="0"/>
            </w:tcBorders>
          </w:tcPr>
          <w:p>
            <w:pPr>
              <w:pStyle w:val="TableText"/>
              <w:ind w:left="414"/>
              <w:spacing w:before="103" w:line="219" w:lineRule="auto"/>
              <w:rPr>
                <w:sz w:val="19"/>
                <w:szCs w:val="19"/>
              </w:rPr>
            </w:pPr>
            <w:r>
              <w:rPr>
                <w:sz w:val="19"/>
                <w:szCs w:val="19"/>
                <w:spacing w:val="9"/>
              </w:rPr>
              <w:t>森林消防事务</w:t>
            </w:r>
          </w:p>
        </w:tc>
        <w:tc>
          <w:tcPr>
            <w:tcW w:w="2216" w:type="dxa"/>
            <w:vAlign w:val="top"/>
          </w:tcPr>
          <w:p>
            <w:pPr>
              <w:pStyle w:val="TableText"/>
              <w:ind w:right="7"/>
              <w:spacing w:before="99" w:line="233"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615"/>
              <w:spacing w:before="105" w:line="218" w:lineRule="auto"/>
              <w:rPr>
                <w:sz w:val="19"/>
                <w:szCs w:val="19"/>
              </w:rPr>
            </w:pPr>
            <w:r>
              <w:rPr>
                <w:sz w:val="19"/>
                <w:szCs w:val="19"/>
                <w:spacing w:val="8"/>
              </w:rPr>
              <w:t>行政运行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9" w:hRule="atLeast"/>
        </w:trPr>
        <w:tc>
          <w:tcPr>
            <w:tcW w:w="4612" w:type="dxa"/>
            <w:vAlign w:val="top"/>
            <w:tcBorders>
              <w:left w:val="single" w:color="000000" w:sz="6" w:space="0"/>
            </w:tcBorders>
          </w:tcPr>
          <w:p>
            <w:pPr>
              <w:pStyle w:val="TableText"/>
              <w:ind w:left="616"/>
              <w:spacing w:before="103" w:line="219"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9" w:hRule="atLeast"/>
        </w:trPr>
        <w:tc>
          <w:tcPr>
            <w:tcW w:w="4612" w:type="dxa"/>
            <w:vAlign w:val="top"/>
            <w:tcBorders>
              <w:left w:val="single" w:color="000000" w:sz="6" w:space="0"/>
            </w:tcBorders>
          </w:tcPr>
          <w:p>
            <w:pPr>
              <w:pStyle w:val="TableText"/>
              <w:ind w:left="617"/>
              <w:spacing w:before="105" w:line="217"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9" w:hRule="atLeast"/>
        </w:trPr>
        <w:tc>
          <w:tcPr>
            <w:tcW w:w="4612" w:type="dxa"/>
            <w:vAlign w:val="top"/>
            <w:tcBorders>
              <w:left w:val="single" w:color="000000" w:sz="6" w:space="0"/>
            </w:tcBorders>
          </w:tcPr>
          <w:p>
            <w:pPr>
              <w:pStyle w:val="TableText"/>
              <w:ind w:left="616"/>
              <w:spacing w:before="103" w:line="219" w:lineRule="auto"/>
              <w:rPr>
                <w:sz w:val="19"/>
                <w:szCs w:val="19"/>
              </w:rPr>
            </w:pPr>
            <w:r>
              <w:rPr>
                <w:sz w:val="19"/>
                <w:szCs w:val="19"/>
                <w:spacing w:val="9"/>
              </w:rPr>
              <w:t>森林消防应急救援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615"/>
              <w:spacing w:before="104" w:line="221" w:lineRule="auto"/>
              <w:rPr>
                <w:sz w:val="19"/>
                <w:szCs w:val="19"/>
              </w:rPr>
            </w:pPr>
            <w:r>
              <w:rPr>
                <w:sz w:val="19"/>
                <w:szCs w:val="19"/>
                <w:spacing w:val="9"/>
              </w:rPr>
              <w:t>其他森林消防事务支出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413"/>
              <w:spacing w:before="104" w:line="219" w:lineRule="auto"/>
              <w:rPr>
                <w:sz w:val="19"/>
                <w:szCs w:val="19"/>
              </w:rPr>
            </w:pPr>
            <w:r>
              <w:rPr>
                <w:sz w:val="19"/>
                <w:szCs w:val="19"/>
                <w:spacing w:val="8"/>
              </w:rPr>
              <w:t>煤矿安全</w:t>
            </w:r>
          </w:p>
        </w:tc>
        <w:tc>
          <w:tcPr>
            <w:tcW w:w="2216" w:type="dxa"/>
            <w:vAlign w:val="top"/>
          </w:tcPr>
          <w:p>
            <w:pPr>
              <w:pStyle w:val="TableText"/>
              <w:ind w:right="7"/>
              <w:spacing w:before="99" w:line="232"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49" w:hRule="atLeast"/>
        </w:trPr>
        <w:tc>
          <w:tcPr>
            <w:tcW w:w="4612" w:type="dxa"/>
            <w:vAlign w:val="top"/>
            <w:tcBorders>
              <w:left w:val="single" w:color="000000" w:sz="6" w:space="0"/>
            </w:tcBorders>
          </w:tcPr>
          <w:p>
            <w:pPr>
              <w:pStyle w:val="TableText"/>
              <w:ind w:left="615"/>
              <w:spacing w:before="107" w:line="218" w:lineRule="auto"/>
              <w:rPr>
                <w:sz w:val="19"/>
                <w:szCs w:val="19"/>
              </w:rPr>
            </w:pPr>
            <w:r>
              <w:rPr>
                <w:sz w:val="19"/>
                <w:szCs w:val="19"/>
                <w:spacing w:val="8"/>
              </w:rPr>
              <w:t>行政运行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9" w:hRule="atLeast"/>
        </w:trPr>
        <w:tc>
          <w:tcPr>
            <w:tcW w:w="4612" w:type="dxa"/>
            <w:vAlign w:val="top"/>
            <w:tcBorders>
              <w:left w:val="single" w:color="000000" w:sz="6" w:space="0"/>
            </w:tcBorders>
          </w:tcPr>
          <w:p>
            <w:pPr>
              <w:pStyle w:val="TableText"/>
              <w:ind w:left="616"/>
              <w:spacing w:before="104" w:line="219" w:lineRule="auto"/>
              <w:rPr>
                <w:sz w:val="19"/>
                <w:szCs w:val="19"/>
              </w:rPr>
            </w:pPr>
            <w:r>
              <w:rPr>
                <w:sz w:val="19"/>
                <w:szCs w:val="19"/>
                <w:spacing w:val="9"/>
              </w:rPr>
              <w:t>一般行政管理事务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9" w:hRule="atLeast"/>
        </w:trPr>
        <w:tc>
          <w:tcPr>
            <w:tcW w:w="4612" w:type="dxa"/>
            <w:vAlign w:val="top"/>
            <w:tcBorders>
              <w:left w:val="single" w:color="000000" w:sz="6" w:space="0"/>
            </w:tcBorders>
          </w:tcPr>
          <w:p>
            <w:pPr>
              <w:pStyle w:val="TableText"/>
              <w:ind w:left="617"/>
              <w:spacing w:before="106" w:line="217"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8" w:hRule="atLeast"/>
        </w:trPr>
        <w:tc>
          <w:tcPr>
            <w:tcW w:w="4612" w:type="dxa"/>
            <w:vAlign w:val="top"/>
            <w:tcBorders>
              <w:left w:val="single" w:color="000000" w:sz="6" w:space="0"/>
            </w:tcBorders>
          </w:tcPr>
          <w:p>
            <w:pPr>
              <w:pStyle w:val="TableText"/>
              <w:ind w:left="615"/>
              <w:spacing w:before="106" w:line="219" w:lineRule="auto"/>
              <w:rPr>
                <w:sz w:val="19"/>
                <w:szCs w:val="19"/>
              </w:rPr>
            </w:pPr>
            <w:r>
              <w:rPr>
                <w:sz w:val="19"/>
                <w:szCs w:val="19"/>
                <w:spacing w:val="9"/>
              </w:rPr>
              <w:t>煤矿安全监察事务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9" w:hRule="atLeast"/>
        </w:trPr>
        <w:tc>
          <w:tcPr>
            <w:tcW w:w="4612" w:type="dxa"/>
            <w:vAlign w:val="top"/>
            <w:tcBorders>
              <w:left w:val="single" w:color="000000" w:sz="6" w:space="0"/>
            </w:tcBorders>
          </w:tcPr>
          <w:p>
            <w:pPr>
              <w:pStyle w:val="TableText"/>
              <w:ind w:left="615"/>
              <w:spacing w:before="106" w:line="219" w:lineRule="auto"/>
              <w:rPr>
                <w:sz w:val="19"/>
                <w:szCs w:val="19"/>
              </w:rPr>
            </w:pPr>
            <w:r>
              <w:rPr>
                <w:sz w:val="19"/>
                <w:szCs w:val="19"/>
                <w:spacing w:val="9"/>
              </w:rPr>
              <w:t>煤矿应急救援事务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9" w:hRule="atLeast"/>
        </w:trPr>
        <w:tc>
          <w:tcPr>
            <w:tcW w:w="4612" w:type="dxa"/>
            <w:vAlign w:val="top"/>
            <w:tcBorders>
              <w:left w:val="single" w:color="000000" w:sz="6" w:space="0"/>
            </w:tcBorders>
          </w:tcPr>
          <w:p>
            <w:pPr>
              <w:pStyle w:val="TableText"/>
              <w:ind w:left="616"/>
              <w:spacing w:before="107" w:line="220" w:lineRule="auto"/>
              <w:rPr>
                <w:sz w:val="19"/>
                <w:szCs w:val="19"/>
              </w:rPr>
            </w:pPr>
            <w:r>
              <w:rPr>
                <w:sz w:val="19"/>
                <w:szCs w:val="19"/>
                <w:spacing w:val="8"/>
              </w:rPr>
              <w:t>事业运行</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49" w:hRule="atLeast"/>
        </w:trPr>
        <w:tc>
          <w:tcPr>
            <w:tcW w:w="4612" w:type="dxa"/>
            <w:vAlign w:val="top"/>
            <w:tcBorders>
              <w:left w:val="single" w:color="000000" w:sz="6" w:space="0"/>
            </w:tcBorders>
          </w:tcPr>
          <w:p>
            <w:pPr>
              <w:pStyle w:val="TableText"/>
              <w:ind w:left="615"/>
              <w:spacing w:before="105" w:line="221" w:lineRule="auto"/>
              <w:rPr>
                <w:sz w:val="19"/>
                <w:szCs w:val="19"/>
              </w:rPr>
            </w:pPr>
            <w:r>
              <w:rPr>
                <w:sz w:val="19"/>
                <w:szCs w:val="19"/>
                <w:spacing w:val="9"/>
              </w:rPr>
              <w:t>其他煤矿安全支出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58" w:hRule="atLeast"/>
        </w:trPr>
        <w:tc>
          <w:tcPr>
            <w:tcW w:w="4612" w:type="dxa"/>
            <w:vAlign w:val="top"/>
            <w:tcBorders>
              <w:left w:val="single" w:color="000000" w:sz="6" w:space="0"/>
              <w:bottom w:val="single" w:color="000000" w:sz="6" w:space="0"/>
            </w:tcBorders>
          </w:tcPr>
          <w:p>
            <w:pPr>
              <w:pStyle w:val="TableText"/>
              <w:ind w:left="415"/>
              <w:spacing w:before="106" w:line="219" w:lineRule="auto"/>
              <w:rPr>
                <w:sz w:val="19"/>
                <w:szCs w:val="19"/>
              </w:rPr>
            </w:pPr>
            <w:r>
              <w:rPr>
                <w:sz w:val="19"/>
                <w:szCs w:val="19"/>
                <w:spacing w:val="8"/>
              </w:rPr>
              <w:t>地震事务</w:t>
            </w:r>
          </w:p>
        </w:tc>
        <w:tc>
          <w:tcPr>
            <w:tcW w:w="2216" w:type="dxa"/>
            <w:vAlign w:val="top"/>
            <w:tcBorders>
              <w:bottom w:val="single" w:color="000000" w:sz="6" w:space="0"/>
            </w:tcBorders>
          </w:tcPr>
          <w:p>
            <w:pPr>
              <w:pStyle w:val="TableText"/>
              <w:ind w:right="8"/>
              <w:spacing w:before="102" w:line="239" w:lineRule="auto"/>
              <w:jc w:val="right"/>
              <w:rPr>
                <w:sz w:val="19"/>
                <w:szCs w:val="19"/>
              </w:rPr>
            </w:pPr>
            <w:r>
              <w:rPr>
                <w:sz w:val="19"/>
                <w:szCs w:val="19"/>
                <w:spacing w:val="-4"/>
              </w:rPr>
              <w:t>167</w:t>
            </w:r>
          </w:p>
        </w:tc>
        <w:tc>
          <w:tcPr>
            <w:tcW w:w="2013"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23"/>
          <w:footerReference w:type="default" r:id="rId55"/>
          <w:pgSz w:w="11907" w:h="16840"/>
          <w:pgMar w:top="1801" w:right="1525" w:bottom="1660" w:left="1525" w:header="1428" w:footer="1289" w:gutter="0"/>
        </w:sectPr>
        <w:rPr>
          <w:rFonts w:ascii="Arial" w:hAnsi="Arial" w:eastAsia="Arial" w:cs="Arial"/>
          <w:sz w:val="21"/>
          <w:szCs w:val="21"/>
        </w:rPr>
      </w:pPr>
    </w:p>
    <w:p>
      <w:pPr>
        <w:spacing w:line="240" w:lineRule="exact"/>
        <w:rPr/>
      </w:pPr>
      <w:r/>
    </w:p>
    <w:tbl>
      <w:tblPr>
        <w:tblStyle w:val="TableNormal"/>
        <w:tblW w:w="8841"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12"/>
        <w:gridCol w:w="2216"/>
        <w:gridCol w:w="2013"/>
      </w:tblGrid>
      <w:tr>
        <w:trPr>
          <w:trHeight w:val="312" w:hRule="atLeast"/>
        </w:trPr>
        <w:tc>
          <w:tcPr>
            <w:tcW w:w="4612" w:type="dxa"/>
            <w:vAlign w:val="top"/>
            <w:tcBorders>
              <w:left w:val="single" w:color="000000" w:sz="6" w:space="0"/>
              <w:top w:val="single" w:color="000000" w:sz="6" w:space="0"/>
            </w:tcBorders>
          </w:tcPr>
          <w:p>
            <w:pPr>
              <w:pStyle w:val="TableText"/>
              <w:ind w:left="2104"/>
              <w:spacing w:before="81" w:line="212" w:lineRule="auto"/>
              <w:rPr>
                <w:sz w:val="19"/>
                <w:szCs w:val="19"/>
              </w:rPr>
            </w:pPr>
            <w:r>
              <w:rPr>
                <w:sz w:val="19"/>
                <w:szCs w:val="19"/>
                <w:b/>
                <w:bCs/>
                <w:spacing w:val="6"/>
              </w:rPr>
              <w:t>项目</w:t>
            </w:r>
          </w:p>
        </w:tc>
        <w:tc>
          <w:tcPr>
            <w:tcW w:w="2216" w:type="dxa"/>
            <w:vAlign w:val="top"/>
            <w:tcBorders>
              <w:top w:val="single" w:color="000000" w:sz="6" w:space="0"/>
            </w:tcBorders>
          </w:tcPr>
          <w:p>
            <w:pPr>
              <w:pStyle w:val="TableText"/>
              <w:ind w:left="813"/>
              <w:spacing w:before="76" w:line="219" w:lineRule="auto"/>
              <w:rPr>
                <w:sz w:val="19"/>
                <w:szCs w:val="19"/>
              </w:rPr>
            </w:pPr>
            <w:r>
              <w:rPr>
                <w:sz w:val="19"/>
                <w:szCs w:val="19"/>
                <w:b/>
                <w:bCs/>
                <w:spacing w:val="5"/>
              </w:rPr>
              <w:t>预算数</w:t>
            </w:r>
          </w:p>
        </w:tc>
        <w:tc>
          <w:tcPr>
            <w:tcW w:w="2013" w:type="dxa"/>
            <w:vAlign w:val="top"/>
            <w:tcBorders>
              <w:right w:val="single" w:color="000000" w:sz="6" w:space="0"/>
              <w:top w:val="single" w:color="000000" w:sz="6" w:space="0"/>
            </w:tcBorders>
          </w:tcPr>
          <w:p>
            <w:pPr>
              <w:pStyle w:val="TableText"/>
              <w:ind w:left="806"/>
              <w:spacing w:before="76" w:line="219" w:lineRule="auto"/>
              <w:rPr>
                <w:sz w:val="19"/>
                <w:szCs w:val="19"/>
              </w:rPr>
            </w:pPr>
            <w:r>
              <w:rPr>
                <w:sz w:val="19"/>
                <w:szCs w:val="19"/>
                <w:b/>
                <w:bCs/>
                <w:spacing w:val="6"/>
              </w:rPr>
              <w:t>备注</w:t>
            </w:r>
          </w:p>
        </w:tc>
      </w:tr>
      <w:tr>
        <w:trPr>
          <w:trHeight w:val="369" w:hRule="atLeast"/>
        </w:trPr>
        <w:tc>
          <w:tcPr>
            <w:tcW w:w="4612" w:type="dxa"/>
            <w:vAlign w:val="top"/>
            <w:tcBorders>
              <w:left w:val="single" w:color="000000" w:sz="6" w:space="0"/>
            </w:tcBorders>
          </w:tcPr>
          <w:p>
            <w:pPr>
              <w:pStyle w:val="TableText"/>
              <w:ind w:left="615"/>
              <w:spacing w:before="104" w:line="218" w:lineRule="auto"/>
              <w:rPr>
                <w:sz w:val="19"/>
                <w:szCs w:val="19"/>
              </w:rPr>
            </w:pPr>
            <w:r>
              <w:rPr>
                <w:sz w:val="19"/>
                <w:szCs w:val="19"/>
                <w:spacing w:val="8"/>
              </w:rPr>
              <w:t>行政运行</w:t>
            </w:r>
          </w:p>
        </w:tc>
        <w:tc>
          <w:tcPr>
            <w:tcW w:w="2216" w:type="dxa"/>
            <w:vAlign w:val="top"/>
          </w:tcPr>
          <w:p>
            <w:pPr>
              <w:pStyle w:val="TableText"/>
              <w:ind w:right="8"/>
              <w:spacing w:before="99" w:line="260" w:lineRule="exact"/>
              <w:jc w:val="right"/>
              <w:rPr>
                <w:sz w:val="19"/>
                <w:szCs w:val="19"/>
              </w:rPr>
            </w:pPr>
            <w:r>
              <w:rPr>
                <w:sz w:val="19"/>
                <w:szCs w:val="19"/>
                <w:spacing w:val="-4"/>
                <w:position w:val="1"/>
              </w:rPr>
              <w:t>157</w:t>
            </w:r>
          </w:p>
        </w:tc>
        <w:tc>
          <w:tcPr>
            <w:tcW w:w="2013" w:type="dxa"/>
            <w:vAlign w:val="top"/>
            <w:tcBorders>
              <w:right w:val="single" w:color="000000" w:sz="6" w:space="0"/>
            </w:tcBorders>
          </w:tcPr>
          <w:p>
            <w:pPr>
              <w:rPr>
                <w:rFonts w:ascii="Arial"/>
                <w:sz w:val="21"/>
              </w:rPr>
            </w:pPr>
            <w:r/>
          </w:p>
        </w:tc>
      </w:tr>
      <w:tr>
        <w:trPr>
          <w:trHeight w:val="369" w:hRule="atLeast"/>
        </w:trPr>
        <w:tc>
          <w:tcPr>
            <w:tcW w:w="4612" w:type="dxa"/>
            <w:vAlign w:val="top"/>
            <w:tcBorders>
              <w:left w:val="single" w:color="000000" w:sz="6" w:space="0"/>
            </w:tcBorders>
          </w:tcPr>
          <w:p>
            <w:pPr>
              <w:pStyle w:val="TableText"/>
              <w:ind w:left="616"/>
              <w:spacing w:before="103" w:line="219" w:lineRule="auto"/>
              <w:rPr>
                <w:sz w:val="19"/>
                <w:szCs w:val="19"/>
              </w:rPr>
            </w:pPr>
            <w:r>
              <w:rPr>
                <w:sz w:val="19"/>
                <w:szCs w:val="19"/>
                <w:spacing w:val="9"/>
              </w:rPr>
              <w:t>一般行政管理事务</w:t>
            </w:r>
          </w:p>
        </w:tc>
        <w:tc>
          <w:tcPr>
            <w:tcW w:w="2216" w:type="dxa"/>
            <w:vAlign w:val="top"/>
          </w:tcPr>
          <w:p>
            <w:pPr>
              <w:pStyle w:val="TableText"/>
              <w:ind w:right="8"/>
              <w:spacing w:before="99" w:line="260" w:lineRule="exact"/>
              <w:jc w:val="right"/>
              <w:rPr>
                <w:sz w:val="19"/>
                <w:szCs w:val="19"/>
              </w:rPr>
            </w:pPr>
            <w:r>
              <w:rPr>
                <w:sz w:val="19"/>
                <w:szCs w:val="19"/>
                <w:spacing w:val="-8"/>
                <w:position w:val="1"/>
              </w:rPr>
              <w:t>10</w:t>
            </w:r>
          </w:p>
        </w:tc>
        <w:tc>
          <w:tcPr>
            <w:tcW w:w="2013" w:type="dxa"/>
            <w:vAlign w:val="top"/>
            <w:tcBorders>
              <w:right w:val="single" w:color="000000" w:sz="6" w:space="0"/>
            </w:tcBorders>
          </w:tcPr>
          <w:p>
            <w:pPr>
              <w:rPr>
                <w:rFonts w:ascii="Arial"/>
                <w:sz w:val="21"/>
              </w:rPr>
            </w:pPr>
            <w:r/>
          </w:p>
        </w:tc>
      </w:tr>
      <w:tr>
        <w:trPr>
          <w:trHeight w:val="370" w:hRule="atLeast"/>
        </w:trPr>
        <w:tc>
          <w:tcPr>
            <w:tcW w:w="4612" w:type="dxa"/>
            <w:vAlign w:val="top"/>
            <w:tcBorders>
              <w:left w:val="single" w:color="000000" w:sz="6" w:space="0"/>
            </w:tcBorders>
          </w:tcPr>
          <w:p>
            <w:pPr>
              <w:pStyle w:val="TableText"/>
              <w:ind w:left="617"/>
              <w:spacing w:before="106" w:line="217" w:lineRule="auto"/>
              <w:rPr>
                <w:sz w:val="19"/>
                <w:szCs w:val="19"/>
              </w:rPr>
            </w:pPr>
            <w:r>
              <w:rPr>
                <w:sz w:val="19"/>
                <w:szCs w:val="19"/>
                <w:spacing w:val="8"/>
              </w:rPr>
              <w:t>机关服务</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69" w:hRule="atLeast"/>
        </w:trPr>
        <w:tc>
          <w:tcPr>
            <w:tcW w:w="4612" w:type="dxa"/>
            <w:vAlign w:val="top"/>
            <w:tcBorders>
              <w:left w:val="single" w:color="000000" w:sz="6" w:space="0"/>
            </w:tcBorders>
          </w:tcPr>
          <w:p>
            <w:pPr>
              <w:pStyle w:val="TableText"/>
              <w:ind w:left="616"/>
              <w:spacing w:before="109" w:line="212" w:lineRule="auto"/>
              <w:rPr>
                <w:sz w:val="19"/>
                <w:szCs w:val="19"/>
              </w:rPr>
            </w:pPr>
            <w:r>
              <w:rPr>
                <w:sz w:val="19"/>
                <w:szCs w:val="19"/>
                <w:spacing w:val="8"/>
              </w:rPr>
              <w:t>地震监测</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70" w:hRule="atLeast"/>
        </w:trPr>
        <w:tc>
          <w:tcPr>
            <w:tcW w:w="4612" w:type="dxa"/>
            <w:vAlign w:val="top"/>
            <w:tcBorders>
              <w:left w:val="single" w:color="000000" w:sz="6" w:space="0"/>
            </w:tcBorders>
          </w:tcPr>
          <w:p>
            <w:pPr>
              <w:pStyle w:val="TableText"/>
              <w:ind w:left="616"/>
              <w:spacing w:before="107" w:line="217" w:lineRule="auto"/>
              <w:rPr>
                <w:sz w:val="19"/>
                <w:szCs w:val="19"/>
              </w:rPr>
            </w:pPr>
            <w:r>
              <w:rPr>
                <w:sz w:val="19"/>
                <w:szCs w:val="19"/>
                <w:spacing w:val="9"/>
              </w:rPr>
              <w:t>地震预测预报</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70" w:hRule="atLeast"/>
        </w:trPr>
        <w:tc>
          <w:tcPr>
            <w:tcW w:w="4612" w:type="dxa"/>
            <w:vAlign w:val="top"/>
            <w:tcBorders>
              <w:left w:val="single" w:color="000000" w:sz="6" w:space="0"/>
            </w:tcBorders>
          </w:tcPr>
          <w:p>
            <w:pPr>
              <w:pStyle w:val="TableText"/>
              <w:ind w:left="616"/>
              <w:spacing w:before="108" w:line="219" w:lineRule="auto"/>
              <w:rPr>
                <w:sz w:val="19"/>
                <w:szCs w:val="19"/>
              </w:rPr>
            </w:pPr>
            <w:r>
              <w:rPr>
                <w:sz w:val="19"/>
                <w:szCs w:val="19"/>
                <w:spacing w:val="9"/>
              </w:rPr>
              <w:t>地震灾害预防</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70" w:hRule="atLeast"/>
        </w:trPr>
        <w:tc>
          <w:tcPr>
            <w:tcW w:w="4612" w:type="dxa"/>
            <w:vAlign w:val="top"/>
            <w:tcBorders>
              <w:left w:val="single" w:color="000000" w:sz="6" w:space="0"/>
            </w:tcBorders>
          </w:tcPr>
          <w:p>
            <w:pPr>
              <w:pStyle w:val="TableText"/>
              <w:ind w:left="616"/>
              <w:spacing w:before="106" w:line="219" w:lineRule="auto"/>
              <w:rPr>
                <w:sz w:val="19"/>
                <w:szCs w:val="19"/>
              </w:rPr>
            </w:pPr>
            <w:r>
              <w:rPr>
                <w:sz w:val="19"/>
                <w:szCs w:val="19"/>
                <w:spacing w:val="9"/>
              </w:rPr>
              <w:t>地震应急救援</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70" w:hRule="atLeast"/>
        </w:trPr>
        <w:tc>
          <w:tcPr>
            <w:tcW w:w="4612" w:type="dxa"/>
            <w:vAlign w:val="top"/>
            <w:tcBorders>
              <w:left w:val="single" w:color="000000" w:sz="6" w:space="0"/>
            </w:tcBorders>
          </w:tcPr>
          <w:p>
            <w:pPr>
              <w:pStyle w:val="TableText"/>
              <w:ind w:left="616"/>
              <w:spacing w:before="108" w:line="219" w:lineRule="auto"/>
              <w:rPr>
                <w:sz w:val="19"/>
                <w:szCs w:val="19"/>
              </w:rPr>
            </w:pPr>
            <w:r>
              <w:rPr>
                <w:sz w:val="19"/>
                <w:szCs w:val="19"/>
                <w:spacing w:val="9"/>
              </w:rPr>
              <w:t>地震环境探察</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70" w:hRule="atLeast"/>
        </w:trPr>
        <w:tc>
          <w:tcPr>
            <w:tcW w:w="4612" w:type="dxa"/>
            <w:vAlign w:val="top"/>
            <w:tcBorders>
              <w:left w:val="single" w:color="000000" w:sz="6" w:space="0"/>
            </w:tcBorders>
          </w:tcPr>
          <w:p>
            <w:pPr>
              <w:pStyle w:val="TableText"/>
              <w:ind w:left="630"/>
              <w:spacing w:before="108" w:line="223" w:lineRule="auto"/>
              <w:rPr>
                <w:sz w:val="19"/>
                <w:szCs w:val="19"/>
              </w:rPr>
            </w:pPr>
            <w:r>
              <w:rPr>
                <w:sz w:val="19"/>
                <w:szCs w:val="19"/>
                <w:spacing w:val="7"/>
              </w:rPr>
              <w:t>防震减灾信息管理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70" w:hRule="atLeast"/>
        </w:trPr>
        <w:tc>
          <w:tcPr>
            <w:tcW w:w="4612" w:type="dxa"/>
            <w:vAlign w:val="top"/>
            <w:tcBorders>
              <w:left w:val="single" w:color="000000" w:sz="6" w:space="0"/>
            </w:tcBorders>
          </w:tcPr>
          <w:p>
            <w:pPr>
              <w:pStyle w:val="TableText"/>
              <w:ind w:left="630"/>
              <w:spacing w:before="110" w:line="218" w:lineRule="auto"/>
              <w:rPr>
                <w:sz w:val="19"/>
                <w:szCs w:val="19"/>
              </w:rPr>
            </w:pPr>
            <w:r>
              <w:rPr>
                <w:sz w:val="19"/>
                <w:szCs w:val="19"/>
                <w:spacing w:val="7"/>
              </w:rPr>
              <w:t>防震减灾基础管理</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70" w:hRule="atLeast"/>
        </w:trPr>
        <w:tc>
          <w:tcPr>
            <w:tcW w:w="4612" w:type="dxa"/>
            <w:vAlign w:val="top"/>
            <w:tcBorders>
              <w:left w:val="single" w:color="000000" w:sz="6" w:space="0"/>
            </w:tcBorders>
          </w:tcPr>
          <w:p>
            <w:pPr>
              <w:pStyle w:val="TableText"/>
              <w:ind w:left="616"/>
              <w:spacing w:before="110" w:line="218" w:lineRule="auto"/>
              <w:rPr>
                <w:sz w:val="19"/>
                <w:szCs w:val="19"/>
              </w:rPr>
            </w:pPr>
            <w:r>
              <w:rPr>
                <w:sz w:val="19"/>
                <w:szCs w:val="19"/>
                <w:spacing w:val="9"/>
              </w:rPr>
              <w:t>地震事业机构</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70" w:hRule="atLeast"/>
        </w:trPr>
        <w:tc>
          <w:tcPr>
            <w:tcW w:w="4612" w:type="dxa"/>
            <w:vAlign w:val="top"/>
            <w:tcBorders>
              <w:left w:val="single" w:color="000000" w:sz="6" w:space="0"/>
            </w:tcBorders>
          </w:tcPr>
          <w:p>
            <w:pPr>
              <w:pStyle w:val="TableText"/>
              <w:ind w:left="615"/>
              <w:spacing w:before="109" w:line="221" w:lineRule="auto"/>
              <w:rPr>
                <w:sz w:val="19"/>
                <w:szCs w:val="19"/>
              </w:rPr>
            </w:pPr>
            <w:r>
              <w:rPr>
                <w:sz w:val="19"/>
                <w:szCs w:val="19"/>
                <w:spacing w:val="9"/>
              </w:rPr>
              <w:t>其他地震事务支出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70" w:hRule="atLeast"/>
        </w:trPr>
        <w:tc>
          <w:tcPr>
            <w:tcW w:w="4612" w:type="dxa"/>
            <w:vAlign w:val="top"/>
            <w:tcBorders>
              <w:left w:val="single" w:color="000000" w:sz="6" w:space="0"/>
            </w:tcBorders>
          </w:tcPr>
          <w:p>
            <w:pPr>
              <w:pStyle w:val="TableText"/>
              <w:ind w:left="452"/>
              <w:spacing w:before="110" w:line="220" w:lineRule="auto"/>
              <w:rPr>
                <w:sz w:val="19"/>
                <w:szCs w:val="19"/>
              </w:rPr>
            </w:pPr>
            <w:r>
              <w:rPr>
                <w:sz w:val="19"/>
                <w:szCs w:val="19"/>
                <w:spacing w:val="2"/>
              </w:rPr>
              <w:t>自然灾害防治</w:t>
            </w:r>
          </w:p>
        </w:tc>
        <w:tc>
          <w:tcPr>
            <w:tcW w:w="2216" w:type="dxa"/>
            <w:vAlign w:val="top"/>
          </w:tcPr>
          <w:p>
            <w:pPr>
              <w:pStyle w:val="TableText"/>
              <w:ind w:right="8"/>
              <w:spacing w:before="104" w:line="256" w:lineRule="exact"/>
              <w:jc w:val="right"/>
              <w:rPr>
                <w:sz w:val="19"/>
                <w:szCs w:val="19"/>
              </w:rPr>
            </w:pPr>
            <w:r>
              <w:rPr>
                <w:sz w:val="19"/>
                <w:szCs w:val="19"/>
                <w:spacing w:val="-8"/>
                <w:position w:val="1"/>
              </w:rPr>
              <w:t>13</w:t>
            </w:r>
          </w:p>
        </w:tc>
        <w:tc>
          <w:tcPr>
            <w:tcW w:w="2013" w:type="dxa"/>
            <w:vAlign w:val="top"/>
            <w:tcBorders>
              <w:right w:val="single" w:color="000000" w:sz="6" w:space="0"/>
            </w:tcBorders>
          </w:tcPr>
          <w:p>
            <w:pPr>
              <w:rPr>
                <w:rFonts w:ascii="Arial"/>
                <w:sz w:val="21"/>
              </w:rPr>
            </w:pPr>
            <w:r/>
          </w:p>
        </w:tc>
      </w:tr>
      <w:tr>
        <w:trPr>
          <w:trHeight w:val="370" w:hRule="atLeast"/>
        </w:trPr>
        <w:tc>
          <w:tcPr>
            <w:tcW w:w="4612" w:type="dxa"/>
            <w:vAlign w:val="top"/>
            <w:tcBorders>
              <w:left w:val="single" w:color="000000" w:sz="6" w:space="0"/>
            </w:tcBorders>
          </w:tcPr>
          <w:p>
            <w:pPr>
              <w:pStyle w:val="TableText"/>
              <w:ind w:left="616"/>
              <w:spacing w:before="111" w:line="220" w:lineRule="auto"/>
              <w:rPr>
                <w:sz w:val="19"/>
                <w:szCs w:val="19"/>
              </w:rPr>
            </w:pPr>
            <w:r>
              <w:rPr>
                <w:sz w:val="19"/>
                <w:szCs w:val="19"/>
                <w:spacing w:val="9"/>
              </w:rPr>
              <w:t>地质灾害防治</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70" w:hRule="atLeast"/>
        </w:trPr>
        <w:tc>
          <w:tcPr>
            <w:tcW w:w="4612" w:type="dxa"/>
            <w:vAlign w:val="top"/>
            <w:tcBorders>
              <w:left w:val="single" w:color="000000" w:sz="6" w:space="0"/>
            </w:tcBorders>
          </w:tcPr>
          <w:p>
            <w:pPr>
              <w:pStyle w:val="TableText"/>
              <w:ind w:left="616"/>
              <w:spacing w:before="110" w:line="218" w:lineRule="auto"/>
              <w:rPr>
                <w:sz w:val="19"/>
                <w:szCs w:val="19"/>
              </w:rPr>
            </w:pPr>
            <w:r>
              <w:rPr>
                <w:sz w:val="19"/>
                <w:szCs w:val="19"/>
                <w:spacing w:val="9"/>
              </w:rPr>
              <w:t>森林草原防灾减灾</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70" w:hRule="atLeast"/>
        </w:trPr>
        <w:tc>
          <w:tcPr>
            <w:tcW w:w="4612" w:type="dxa"/>
            <w:vAlign w:val="top"/>
            <w:tcBorders>
              <w:left w:val="single" w:color="000000" w:sz="6" w:space="0"/>
            </w:tcBorders>
          </w:tcPr>
          <w:p>
            <w:pPr>
              <w:pStyle w:val="TableText"/>
              <w:ind w:left="615"/>
              <w:spacing w:before="110" w:line="222" w:lineRule="auto"/>
              <w:rPr>
                <w:sz w:val="19"/>
                <w:szCs w:val="19"/>
              </w:rPr>
            </w:pPr>
            <w:r>
              <w:rPr>
                <w:sz w:val="19"/>
                <w:szCs w:val="19"/>
                <w:spacing w:val="9"/>
              </w:rPr>
              <w:t>其他自然灾害防治支出</w:t>
            </w:r>
          </w:p>
        </w:tc>
        <w:tc>
          <w:tcPr>
            <w:tcW w:w="2216" w:type="dxa"/>
            <w:vAlign w:val="top"/>
          </w:tcPr>
          <w:p>
            <w:pPr>
              <w:pStyle w:val="TableText"/>
              <w:ind w:right="8"/>
              <w:spacing w:before="106" w:line="253" w:lineRule="exact"/>
              <w:jc w:val="right"/>
              <w:rPr>
                <w:sz w:val="19"/>
                <w:szCs w:val="19"/>
              </w:rPr>
            </w:pPr>
            <w:r>
              <w:rPr>
                <w:sz w:val="19"/>
                <w:szCs w:val="19"/>
                <w:spacing w:val="-8"/>
                <w:position w:val="1"/>
              </w:rPr>
              <w:t>13</w:t>
            </w:r>
          </w:p>
        </w:tc>
        <w:tc>
          <w:tcPr>
            <w:tcW w:w="2013" w:type="dxa"/>
            <w:vAlign w:val="top"/>
            <w:tcBorders>
              <w:right w:val="single" w:color="000000" w:sz="6" w:space="0"/>
            </w:tcBorders>
          </w:tcPr>
          <w:p>
            <w:pPr>
              <w:rPr>
                <w:rFonts w:ascii="Arial"/>
                <w:sz w:val="21"/>
              </w:rPr>
            </w:pPr>
            <w:r/>
          </w:p>
        </w:tc>
      </w:tr>
      <w:tr>
        <w:trPr>
          <w:trHeight w:val="370" w:hRule="atLeast"/>
        </w:trPr>
        <w:tc>
          <w:tcPr>
            <w:tcW w:w="4612" w:type="dxa"/>
            <w:vAlign w:val="top"/>
            <w:tcBorders>
              <w:left w:val="single" w:color="000000" w:sz="6" w:space="0"/>
            </w:tcBorders>
          </w:tcPr>
          <w:p>
            <w:pPr>
              <w:pStyle w:val="TableText"/>
              <w:ind w:left="452"/>
              <w:spacing w:before="108" w:line="222" w:lineRule="auto"/>
              <w:rPr>
                <w:sz w:val="19"/>
                <w:szCs w:val="19"/>
              </w:rPr>
            </w:pPr>
            <w:r>
              <w:rPr>
                <w:sz w:val="19"/>
                <w:szCs w:val="19"/>
                <w:spacing w:val="6"/>
              </w:rPr>
              <w:t>自然灾害救灾及恢复重建支出</w:t>
            </w:r>
          </w:p>
        </w:tc>
        <w:tc>
          <w:tcPr>
            <w:tcW w:w="2216" w:type="dxa"/>
            <w:vAlign w:val="top"/>
          </w:tcPr>
          <w:p>
            <w:pPr>
              <w:pStyle w:val="TableText"/>
              <w:ind w:right="7"/>
              <w:spacing w:before="106" w:line="253" w:lineRule="exact"/>
              <w:jc w:val="right"/>
              <w:rPr>
                <w:sz w:val="19"/>
                <w:szCs w:val="19"/>
              </w:rPr>
            </w:pPr>
            <w:r>
              <w:rPr>
                <w:sz w:val="19"/>
                <w:szCs w:val="19"/>
                <w:position w:val="1"/>
              </w:rPr>
              <w:t>0</w:t>
            </w:r>
          </w:p>
        </w:tc>
        <w:tc>
          <w:tcPr>
            <w:tcW w:w="2013" w:type="dxa"/>
            <w:vAlign w:val="top"/>
            <w:tcBorders>
              <w:right w:val="single" w:color="000000" w:sz="6" w:space="0"/>
            </w:tcBorders>
          </w:tcPr>
          <w:p>
            <w:pPr>
              <w:rPr>
                <w:rFonts w:ascii="Arial"/>
                <w:sz w:val="21"/>
              </w:rPr>
            </w:pPr>
            <w:r/>
          </w:p>
        </w:tc>
      </w:tr>
      <w:tr>
        <w:trPr>
          <w:trHeight w:val="370" w:hRule="atLeast"/>
        </w:trPr>
        <w:tc>
          <w:tcPr>
            <w:tcW w:w="4612" w:type="dxa"/>
            <w:vAlign w:val="top"/>
            <w:tcBorders>
              <w:left w:val="single" w:color="000000" w:sz="6" w:space="0"/>
            </w:tcBorders>
          </w:tcPr>
          <w:p>
            <w:pPr>
              <w:pStyle w:val="TableText"/>
              <w:ind w:left="654"/>
              <w:spacing w:before="111" w:line="220" w:lineRule="auto"/>
              <w:rPr>
                <w:sz w:val="19"/>
                <w:szCs w:val="19"/>
              </w:rPr>
            </w:pPr>
            <w:r>
              <w:rPr>
                <w:sz w:val="19"/>
                <w:szCs w:val="19"/>
                <w:spacing w:val="4"/>
              </w:rPr>
              <w:t>自然灾害救灾补助</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70" w:hRule="atLeast"/>
        </w:trPr>
        <w:tc>
          <w:tcPr>
            <w:tcW w:w="4612" w:type="dxa"/>
            <w:vAlign w:val="top"/>
            <w:tcBorders>
              <w:left w:val="single" w:color="000000" w:sz="6" w:space="0"/>
            </w:tcBorders>
          </w:tcPr>
          <w:p>
            <w:pPr>
              <w:pStyle w:val="TableText"/>
              <w:ind w:left="654"/>
              <w:spacing w:before="108" w:line="223" w:lineRule="auto"/>
              <w:rPr>
                <w:sz w:val="19"/>
                <w:szCs w:val="19"/>
              </w:rPr>
            </w:pPr>
            <w:r>
              <w:rPr>
                <w:sz w:val="19"/>
                <w:szCs w:val="19"/>
                <w:spacing w:val="5"/>
              </w:rPr>
              <w:t>自然灾害灾后重建补助</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70" w:hRule="atLeast"/>
        </w:trPr>
        <w:tc>
          <w:tcPr>
            <w:tcW w:w="4612" w:type="dxa"/>
            <w:vAlign w:val="top"/>
            <w:tcBorders>
              <w:left w:val="single" w:color="000000" w:sz="6" w:space="0"/>
            </w:tcBorders>
          </w:tcPr>
          <w:p>
            <w:pPr>
              <w:pStyle w:val="TableText"/>
              <w:ind w:left="615"/>
              <w:spacing w:before="110" w:line="223" w:lineRule="auto"/>
              <w:rPr>
                <w:sz w:val="19"/>
                <w:szCs w:val="19"/>
              </w:rPr>
            </w:pPr>
            <w:r>
              <w:rPr>
                <w:sz w:val="19"/>
                <w:szCs w:val="19"/>
                <w:spacing w:val="9"/>
              </w:rPr>
              <w:t>其他自然灾害救灾及恢复重建支出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70" w:hRule="atLeast"/>
        </w:trPr>
        <w:tc>
          <w:tcPr>
            <w:tcW w:w="4612" w:type="dxa"/>
            <w:vAlign w:val="top"/>
            <w:tcBorders>
              <w:left w:val="single" w:color="000000" w:sz="6" w:space="0"/>
            </w:tcBorders>
          </w:tcPr>
          <w:p>
            <w:pPr>
              <w:pStyle w:val="TableText"/>
              <w:ind w:left="413"/>
              <w:spacing w:before="111" w:line="221" w:lineRule="auto"/>
              <w:rPr>
                <w:sz w:val="19"/>
                <w:szCs w:val="19"/>
              </w:rPr>
            </w:pPr>
            <w:r>
              <w:rPr>
                <w:sz w:val="19"/>
                <w:szCs w:val="19"/>
                <w:spacing w:val="9"/>
              </w:rPr>
              <w:t>其他灾害防治及应急管理支出</w:t>
            </w:r>
          </w:p>
        </w:tc>
        <w:tc>
          <w:tcPr>
            <w:tcW w:w="2216" w:type="dxa"/>
            <w:vAlign w:val="top"/>
          </w:tcPr>
          <w:p>
            <w:pPr>
              <w:pStyle w:val="TableText"/>
              <w:ind w:right="8"/>
              <w:spacing w:before="107" w:line="252" w:lineRule="exact"/>
              <w:jc w:val="right"/>
              <w:rPr>
                <w:sz w:val="19"/>
                <w:szCs w:val="19"/>
              </w:rPr>
            </w:pPr>
            <w:r>
              <w:rPr>
                <w:sz w:val="19"/>
                <w:szCs w:val="19"/>
                <w:spacing w:val="1"/>
                <w:position w:val="1"/>
              </w:rPr>
              <w:t>549</w:t>
            </w:r>
          </w:p>
        </w:tc>
        <w:tc>
          <w:tcPr>
            <w:tcW w:w="2013" w:type="dxa"/>
            <w:vAlign w:val="top"/>
            <w:tcBorders>
              <w:right w:val="single" w:color="000000" w:sz="6" w:space="0"/>
            </w:tcBorders>
          </w:tcPr>
          <w:p>
            <w:pPr>
              <w:rPr>
                <w:rFonts w:ascii="Arial"/>
                <w:sz w:val="21"/>
              </w:rPr>
            </w:pPr>
            <w:r/>
          </w:p>
        </w:tc>
      </w:tr>
      <w:tr>
        <w:trPr>
          <w:trHeight w:val="370" w:hRule="atLeast"/>
        </w:trPr>
        <w:tc>
          <w:tcPr>
            <w:tcW w:w="4612" w:type="dxa"/>
            <w:vAlign w:val="top"/>
            <w:tcBorders>
              <w:left w:val="single" w:color="000000" w:sz="6" w:space="0"/>
            </w:tcBorders>
          </w:tcPr>
          <w:p>
            <w:pPr>
              <w:pStyle w:val="TableText"/>
              <w:ind w:left="16"/>
              <w:spacing w:before="112" w:line="223" w:lineRule="auto"/>
              <w:rPr>
                <w:sz w:val="19"/>
                <w:szCs w:val="19"/>
              </w:rPr>
            </w:pPr>
            <w:r>
              <w:rPr>
                <w:sz w:val="19"/>
                <w:szCs w:val="19"/>
                <w:spacing w:val="9"/>
              </w:rPr>
              <w:t>二十二、预备费</w:t>
            </w:r>
          </w:p>
        </w:tc>
        <w:tc>
          <w:tcPr>
            <w:tcW w:w="2216" w:type="dxa"/>
            <w:vAlign w:val="top"/>
          </w:tcPr>
          <w:p>
            <w:pPr>
              <w:pStyle w:val="TableText"/>
              <w:ind w:right="8"/>
              <w:spacing w:before="109" w:line="251" w:lineRule="exact"/>
              <w:jc w:val="right"/>
              <w:rPr>
                <w:sz w:val="19"/>
                <w:szCs w:val="19"/>
              </w:rPr>
            </w:pPr>
            <w:r>
              <w:rPr>
                <w:sz w:val="19"/>
                <w:szCs w:val="19"/>
                <w:spacing w:val="2"/>
                <w:position w:val="1"/>
              </w:rPr>
              <w:t>2000</w:t>
            </w:r>
          </w:p>
        </w:tc>
        <w:tc>
          <w:tcPr>
            <w:tcW w:w="2013" w:type="dxa"/>
            <w:vAlign w:val="top"/>
            <w:tcBorders>
              <w:right w:val="single" w:color="000000" w:sz="6" w:space="0"/>
            </w:tcBorders>
          </w:tcPr>
          <w:p>
            <w:pPr>
              <w:rPr>
                <w:rFonts w:ascii="Arial"/>
                <w:sz w:val="21"/>
              </w:rPr>
            </w:pPr>
            <w:r/>
          </w:p>
        </w:tc>
      </w:tr>
      <w:tr>
        <w:trPr>
          <w:trHeight w:val="370" w:hRule="atLeast"/>
        </w:trPr>
        <w:tc>
          <w:tcPr>
            <w:tcW w:w="4612" w:type="dxa"/>
            <w:vAlign w:val="top"/>
            <w:tcBorders>
              <w:left w:val="single" w:color="000000" w:sz="6" w:space="0"/>
            </w:tcBorders>
          </w:tcPr>
          <w:p>
            <w:pPr>
              <w:pStyle w:val="TableText"/>
              <w:ind w:left="16"/>
              <w:spacing w:before="110" w:line="225" w:lineRule="auto"/>
              <w:rPr>
                <w:sz w:val="19"/>
                <w:szCs w:val="19"/>
              </w:rPr>
            </w:pPr>
            <w:r>
              <w:rPr>
                <w:sz w:val="19"/>
                <w:szCs w:val="19"/>
                <w:spacing w:val="9"/>
              </w:rPr>
              <w:t>二十三、债务付息支出</w:t>
            </w:r>
          </w:p>
        </w:tc>
        <w:tc>
          <w:tcPr>
            <w:tcW w:w="2216" w:type="dxa"/>
            <w:vAlign w:val="top"/>
          </w:tcPr>
          <w:p>
            <w:pPr>
              <w:pStyle w:val="TableText"/>
              <w:ind w:right="8"/>
              <w:spacing w:before="108" w:line="252" w:lineRule="exact"/>
              <w:jc w:val="right"/>
              <w:rPr>
                <w:sz w:val="19"/>
                <w:szCs w:val="19"/>
              </w:rPr>
            </w:pPr>
            <w:r>
              <w:rPr>
                <w:sz w:val="19"/>
                <w:szCs w:val="19"/>
                <w:spacing w:val="-1"/>
                <w:position w:val="1"/>
              </w:rPr>
              <w:t>19083</w:t>
            </w:r>
          </w:p>
        </w:tc>
        <w:tc>
          <w:tcPr>
            <w:tcW w:w="2013" w:type="dxa"/>
            <w:vAlign w:val="top"/>
            <w:tcBorders>
              <w:right w:val="single" w:color="000000" w:sz="6" w:space="0"/>
            </w:tcBorders>
          </w:tcPr>
          <w:p>
            <w:pPr>
              <w:rPr>
                <w:rFonts w:ascii="Arial"/>
                <w:sz w:val="21"/>
              </w:rPr>
            </w:pPr>
            <w:r/>
          </w:p>
        </w:tc>
      </w:tr>
      <w:tr>
        <w:trPr>
          <w:trHeight w:val="370" w:hRule="atLeast"/>
        </w:trPr>
        <w:tc>
          <w:tcPr>
            <w:tcW w:w="4612" w:type="dxa"/>
            <w:vAlign w:val="top"/>
            <w:tcBorders>
              <w:left w:val="single" w:color="000000" w:sz="6" w:space="0"/>
            </w:tcBorders>
          </w:tcPr>
          <w:p>
            <w:pPr>
              <w:pStyle w:val="TableText"/>
              <w:ind w:left="415"/>
              <w:spacing w:before="111" w:line="224" w:lineRule="auto"/>
              <w:rPr>
                <w:sz w:val="19"/>
                <w:szCs w:val="19"/>
              </w:rPr>
            </w:pPr>
            <w:r>
              <w:rPr>
                <w:sz w:val="19"/>
                <w:szCs w:val="19"/>
                <w:spacing w:val="9"/>
              </w:rPr>
              <w:t>地方政府一般债务付息支出</w:t>
            </w:r>
          </w:p>
        </w:tc>
        <w:tc>
          <w:tcPr>
            <w:tcW w:w="2216" w:type="dxa"/>
            <w:vAlign w:val="top"/>
          </w:tcPr>
          <w:p>
            <w:pPr>
              <w:pStyle w:val="TableText"/>
              <w:ind w:right="8"/>
              <w:spacing w:before="110" w:line="250" w:lineRule="exact"/>
              <w:jc w:val="right"/>
              <w:rPr>
                <w:sz w:val="19"/>
                <w:szCs w:val="19"/>
              </w:rPr>
            </w:pPr>
            <w:r>
              <w:rPr>
                <w:sz w:val="19"/>
                <w:szCs w:val="19"/>
                <w:spacing w:val="-1"/>
                <w:position w:val="1"/>
              </w:rPr>
              <w:t>19083</w:t>
            </w:r>
          </w:p>
        </w:tc>
        <w:tc>
          <w:tcPr>
            <w:tcW w:w="2013" w:type="dxa"/>
            <w:vAlign w:val="top"/>
            <w:tcBorders>
              <w:right w:val="single" w:color="000000" w:sz="6" w:space="0"/>
            </w:tcBorders>
          </w:tcPr>
          <w:p>
            <w:pPr>
              <w:rPr>
                <w:rFonts w:ascii="Arial"/>
                <w:sz w:val="21"/>
              </w:rPr>
            </w:pPr>
            <w:r/>
          </w:p>
        </w:tc>
      </w:tr>
      <w:tr>
        <w:trPr>
          <w:trHeight w:val="370" w:hRule="atLeast"/>
        </w:trPr>
        <w:tc>
          <w:tcPr>
            <w:tcW w:w="4612" w:type="dxa"/>
            <w:vAlign w:val="top"/>
            <w:tcBorders>
              <w:left w:val="single" w:color="000000" w:sz="6" w:space="0"/>
            </w:tcBorders>
          </w:tcPr>
          <w:p>
            <w:pPr>
              <w:pStyle w:val="TableText"/>
              <w:ind w:left="616"/>
              <w:spacing w:before="111" w:line="224" w:lineRule="auto"/>
              <w:rPr>
                <w:sz w:val="19"/>
                <w:szCs w:val="19"/>
              </w:rPr>
            </w:pPr>
            <w:r>
              <w:rPr>
                <w:sz w:val="19"/>
                <w:szCs w:val="19"/>
                <w:spacing w:val="9"/>
              </w:rPr>
              <w:t>地方政府一般债券付息支出</w:t>
            </w:r>
          </w:p>
        </w:tc>
        <w:tc>
          <w:tcPr>
            <w:tcW w:w="2216" w:type="dxa"/>
            <w:vAlign w:val="top"/>
          </w:tcPr>
          <w:p>
            <w:pPr>
              <w:pStyle w:val="TableText"/>
              <w:ind w:right="8"/>
              <w:spacing w:before="109" w:line="251" w:lineRule="exact"/>
              <w:jc w:val="right"/>
              <w:rPr>
                <w:sz w:val="19"/>
                <w:szCs w:val="19"/>
              </w:rPr>
            </w:pPr>
            <w:r>
              <w:rPr>
                <w:sz w:val="19"/>
                <w:szCs w:val="19"/>
                <w:spacing w:val="-1"/>
                <w:position w:val="1"/>
              </w:rPr>
              <w:t>19083</w:t>
            </w:r>
          </w:p>
        </w:tc>
        <w:tc>
          <w:tcPr>
            <w:tcW w:w="2013" w:type="dxa"/>
            <w:vAlign w:val="top"/>
            <w:tcBorders>
              <w:right w:val="single" w:color="000000" w:sz="6" w:space="0"/>
            </w:tcBorders>
          </w:tcPr>
          <w:p>
            <w:pPr>
              <w:rPr>
                <w:rFonts w:ascii="Arial"/>
                <w:sz w:val="21"/>
              </w:rPr>
            </w:pPr>
            <w:r/>
          </w:p>
        </w:tc>
      </w:tr>
      <w:tr>
        <w:trPr>
          <w:trHeight w:val="370" w:hRule="atLeast"/>
        </w:trPr>
        <w:tc>
          <w:tcPr>
            <w:tcW w:w="4612" w:type="dxa"/>
            <w:vAlign w:val="top"/>
            <w:tcBorders>
              <w:left w:val="single" w:color="000000" w:sz="6" w:space="0"/>
            </w:tcBorders>
          </w:tcPr>
          <w:p>
            <w:pPr>
              <w:pStyle w:val="TableText"/>
              <w:ind w:left="616"/>
              <w:spacing w:before="112" w:line="224" w:lineRule="auto"/>
              <w:rPr>
                <w:sz w:val="19"/>
                <w:szCs w:val="19"/>
              </w:rPr>
            </w:pPr>
            <w:r>
              <w:rPr>
                <w:sz w:val="19"/>
                <w:szCs w:val="19"/>
                <w:spacing w:val="9"/>
              </w:rPr>
              <w:t>地方政府向外国政府借款付息支出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70" w:hRule="atLeast"/>
        </w:trPr>
        <w:tc>
          <w:tcPr>
            <w:tcW w:w="4612" w:type="dxa"/>
            <w:vAlign w:val="top"/>
            <w:tcBorders>
              <w:left w:val="single" w:color="000000" w:sz="6" w:space="0"/>
            </w:tcBorders>
          </w:tcPr>
          <w:p>
            <w:pPr>
              <w:pStyle w:val="TableText"/>
              <w:ind w:left="616"/>
              <w:spacing w:before="111" w:line="224" w:lineRule="auto"/>
              <w:rPr>
                <w:sz w:val="19"/>
                <w:szCs w:val="19"/>
              </w:rPr>
            </w:pPr>
            <w:r>
              <w:rPr>
                <w:sz w:val="19"/>
                <w:szCs w:val="19"/>
                <w:spacing w:val="9"/>
              </w:rPr>
              <w:t>地方政府向国际组织借款付息支出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70" w:hRule="atLeast"/>
        </w:trPr>
        <w:tc>
          <w:tcPr>
            <w:tcW w:w="4612" w:type="dxa"/>
            <w:vAlign w:val="top"/>
            <w:tcBorders>
              <w:left w:val="single" w:color="000000" w:sz="6" w:space="0"/>
            </w:tcBorders>
          </w:tcPr>
          <w:p>
            <w:pPr>
              <w:pStyle w:val="TableText"/>
              <w:ind w:left="616"/>
              <w:spacing w:before="113" w:line="224" w:lineRule="auto"/>
              <w:rPr>
                <w:sz w:val="19"/>
                <w:szCs w:val="19"/>
              </w:rPr>
            </w:pPr>
            <w:r>
              <w:rPr>
                <w:sz w:val="19"/>
                <w:szCs w:val="19"/>
                <w:spacing w:val="9"/>
              </w:rPr>
              <w:t>地方政府其他一般债务付息支出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70" w:hRule="atLeast"/>
        </w:trPr>
        <w:tc>
          <w:tcPr>
            <w:tcW w:w="4612" w:type="dxa"/>
            <w:vAlign w:val="top"/>
            <w:tcBorders>
              <w:left w:val="single" w:color="000000" w:sz="6" w:space="0"/>
            </w:tcBorders>
          </w:tcPr>
          <w:p>
            <w:pPr>
              <w:pStyle w:val="TableText"/>
              <w:ind w:left="16"/>
              <w:spacing w:before="115" w:line="221" w:lineRule="auto"/>
              <w:rPr>
                <w:sz w:val="19"/>
                <w:szCs w:val="19"/>
              </w:rPr>
            </w:pPr>
            <w:r>
              <w:rPr>
                <w:sz w:val="19"/>
                <w:szCs w:val="19"/>
                <w:spacing w:val="9"/>
              </w:rPr>
              <w:t>二十四、债务发行费用支出</w:t>
            </w:r>
          </w:p>
        </w:tc>
        <w:tc>
          <w:tcPr>
            <w:tcW w:w="2216" w:type="dxa"/>
            <w:vAlign w:val="top"/>
          </w:tcPr>
          <w:p>
            <w:pPr>
              <w:pStyle w:val="TableText"/>
              <w:ind w:right="7"/>
              <w:spacing w:before="110" w:line="242"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70" w:hRule="atLeast"/>
        </w:trPr>
        <w:tc>
          <w:tcPr>
            <w:tcW w:w="4612" w:type="dxa"/>
            <w:vAlign w:val="top"/>
            <w:tcBorders>
              <w:left w:val="single" w:color="000000" w:sz="6" w:space="0"/>
            </w:tcBorders>
          </w:tcPr>
          <w:p>
            <w:pPr>
              <w:pStyle w:val="TableText"/>
              <w:ind w:left="415"/>
              <w:spacing w:before="114" w:line="221" w:lineRule="auto"/>
              <w:rPr>
                <w:sz w:val="19"/>
                <w:szCs w:val="19"/>
              </w:rPr>
            </w:pPr>
            <w:r>
              <w:rPr>
                <w:sz w:val="19"/>
                <w:szCs w:val="19"/>
                <w:spacing w:val="9"/>
              </w:rPr>
              <w:t>地方政府一般债务发行费用支出</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70" w:hRule="atLeast"/>
        </w:trPr>
        <w:tc>
          <w:tcPr>
            <w:tcW w:w="4612" w:type="dxa"/>
            <w:vAlign w:val="top"/>
            <w:tcBorders>
              <w:left w:val="single" w:color="000000" w:sz="6" w:space="0"/>
            </w:tcBorders>
          </w:tcPr>
          <w:p>
            <w:pPr>
              <w:pStyle w:val="TableText"/>
              <w:ind w:left="16"/>
              <w:spacing w:before="115" w:line="222" w:lineRule="auto"/>
              <w:rPr>
                <w:sz w:val="19"/>
                <w:szCs w:val="19"/>
              </w:rPr>
            </w:pPr>
            <w:r>
              <w:rPr>
                <w:sz w:val="19"/>
                <w:szCs w:val="19"/>
                <w:spacing w:val="9"/>
              </w:rPr>
              <w:t>二十五、其他支出</w:t>
            </w:r>
          </w:p>
        </w:tc>
        <w:tc>
          <w:tcPr>
            <w:tcW w:w="2216" w:type="dxa"/>
            <w:vAlign w:val="top"/>
          </w:tcPr>
          <w:p>
            <w:pPr>
              <w:pStyle w:val="TableText"/>
              <w:ind w:right="7"/>
              <w:spacing w:before="111" w:line="241" w:lineRule="auto"/>
              <w:jc w:val="right"/>
              <w:rPr>
                <w:sz w:val="19"/>
                <w:szCs w:val="19"/>
              </w:rPr>
            </w:pPr>
            <w:r>
              <w:rPr>
                <w:sz w:val="19"/>
                <w:szCs w:val="19"/>
              </w:rPr>
              <w:t>0</w:t>
            </w:r>
          </w:p>
        </w:tc>
        <w:tc>
          <w:tcPr>
            <w:tcW w:w="2013" w:type="dxa"/>
            <w:vAlign w:val="top"/>
            <w:tcBorders>
              <w:right w:val="single" w:color="000000" w:sz="6" w:space="0"/>
            </w:tcBorders>
          </w:tcPr>
          <w:p>
            <w:pPr>
              <w:rPr>
                <w:rFonts w:ascii="Arial"/>
                <w:sz w:val="21"/>
              </w:rPr>
            </w:pPr>
            <w:r/>
          </w:p>
        </w:tc>
      </w:tr>
      <w:tr>
        <w:trPr>
          <w:trHeight w:val="370" w:hRule="atLeast"/>
        </w:trPr>
        <w:tc>
          <w:tcPr>
            <w:tcW w:w="4612" w:type="dxa"/>
            <w:vAlign w:val="top"/>
            <w:tcBorders>
              <w:left w:val="single" w:color="000000" w:sz="6" w:space="0"/>
            </w:tcBorders>
          </w:tcPr>
          <w:p>
            <w:pPr>
              <w:pStyle w:val="TableText"/>
              <w:ind w:left="416"/>
              <w:spacing w:before="118" w:line="218" w:lineRule="auto"/>
              <w:rPr>
                <w:sz w:val="19"/>
                <w:szCs w:val="19"/>
              </w:rPr>
            </w:pPr>
            <w:r>
              <w:rPr>
                <w:sz w:val="19"/>
                <w:szCs w:val="19"/>
                <w:spacing w:val="8"/>
              </w:rPr>
              <w:t>年初预留</w:t>
            </w:r>
          </w:p>
        </w:tc>
        <w:tc>
          <w:tcPr>
            <w:tcW w:w="2216" w:type="dxa"/>
            <w:vAlign w:val="top"/>
          </w:tcPr>
          <w:p>
            <w:pPr>
              <w:rPr>
                <w:rFonts w:ascii="Arial"/>
                <w:sz w:val="21"/>
              </w:rPr>
            </w:pPr>
            <w:r/>
          </w:p>
        </w:tc>
        <w:tc>
          <w:tcPr>
            <w:tcW w:w="2013" w:type="dxa"/>
            <w:vAlign w:val="top"/>
            <w:tcBorders>
              <w:right w:val="single" w:color="000000" w:sz="6" w:space="0"/>
            </w:tcBorders>
          </w:tcPr>
          <w:p>
            <w:pPr>
              <w:rPr>
                <w:rFonts w:ascii="Arial"/>
                <w:sz w:val="21"/>
              </w:rPr>
            </w:pPr>
            <w:r/>
          </w:p>
        </w:tc>
      </w:tr>
      <w:tr>
        <w:trPr>
          <w:trHeight w:val="382" w:hRule="atLeast"/>
        </w:trPr>
        <w:tc>
          <w:tcPr>
            <w:tcW w:w="4612" w:type="dxa"/>
            <w:vAlign w:val="top"/>
            <w:tcBorders>
              <w:left w:val="single" w:color="000000" w:sz="6" w:space="0"/>
              <w:bottom w:val="single" w:color="000000" w:sz="6" w:space="0"/>
            </w:tcBorders>
          </w:tcPr>
          <w:p>
            <w:pPr>
              <w:pStyle w:val="TableText"/>
              <w:ind w:left="413"/>
              <w:spacing w:before="116" w:line="222" w:lineRule="auto"/>
              <w:rPr>
                <w:sz w:val="19"/>
                <w:szCs w:val="19"/>
              </w:rPr>
            </w:pPr>
            <w:r>
              <w:rPr>
                <w:sz w:val="19"/>
                <w:szCs w:val="19"/>
                <w:spacing w:val="8"/>
              </w:rPr>
              <w:t>其他支出</w:t>
            </w:r>
          </w:p>
        </w:tc>
        <w:tc>
          <w:tcPr>
            <w:tcW w:w="2216" w:type="dxa"/>
            <w:vAlign w:val="top"/>
            <w:tcBorders>
              <w:bottom w:val="single" w:color="000000" w:sz="6" w:space="0"/>
            </w:tcBorders>
          </w:tcPr>
          <w:p>
            <w:pPr>
              <w:rPr>
                <w:rFonts w:ascii="Arial"/>
                <w:sz w:val="21"/>
              </w:rPr>
            </w:pPr>
            <w:r/>
          </w:p>
        </w:tc>
        <w:tc>
          <w:tcPr>
            <w:tcW w:w="2013" w:type="dxa"/>
            <w:vAlign w:val="top"/>
            <w:tcBorders>
              <w:bottom w:val="single" w:color="000000" w:sz="6" w:space="0"/>
              <w:right w:val="single" w:color="000000" w:sz="6" w:space="0"/>
            </w:tcBorders>
          </w:tcPr>
          <w:p>
            <w:pPr>
              <w:rPr>
                <w:rFonts w:ascii="Arial"/>
                <w:sz w:val="21"/>
              </w:rPr>
            </w:pPr>
            <w:r/>
          </w:p>
        </w:tc>
      </w:tr>
    </w:tbl>
    <w:p>
      <w:pPr>
        <w:spacing w:line="180" w:lineRule="exact"/>
        <w:rPr>
          <w:rFonts w:ascii="Arial"/>
          <w:sz w:val="15"/>
        </w:rPr>
      </w:pPr>
      <w:r/>
    </w:p>
    <w:p>
      <w:pPr>
        <w:spacing w:line="180" w:lineRule="exact"/>
        <w:sectPr>
          <w:headerReference w:type="default" r:id="rId25"/>
          <w:footerReference w:type="default" r:id="rId56"/>
          <w:pgSz w:w="11907" w:h="16840"/>
          <w:pgMar w:top="1845" w:right="1525" w:bottom="1671" w:left="1525" w:header="1428" w:footer="1277" w:gutter="0"/>
        </w:sectPr>
        <w:rPr>
          <w:rFonts w:ascii="Arial" w:hAnsi="Arial" w:eastAsia="Arial" w:cs="Arial"/>
          <w:sz w:val="15"/>
          <w:szCs w:val="15"/>
        </w:rPr>
      </w:pPr>
    </w:p>
    <w:p>
      <w:pPr>
        <w:ind w:left="132"/>
        <w:spacing w:before="201" w:line="218" w:lineRule="exact"/>
        <w:rPr>
          <w:rFonts w:ascii="Microsoft YaHei" w:hAnsi="Microsoft YaHei" w:eastAsia="Microsoft YaHei" w:cs="Microsoft YaHei"/>
          <w:sz w:val="20"/>
          <w:szCs w:val="20"/>
        </w:rPr>
      </w:pPr>
      <w:r>
        <w:drawing>
          <wp:anchor distT="0" distB="0" distL="0" distR="0" simplePos="0" relativeHeight="251658240" behindDoc="0" locked="0" layoutInCell="0" allowOverlap="1">
            <wp:simplePos x="0" y="0"/>
            <wp:positionH relativeFrom="page">
              <wp:posOffset>979805</wp:posOffset>
            </wp:positionH>
            <wp:positionV relativeFrom="page">
              <wp:posOffset>1155700</wp:posOffset>
            </wp:positionV>
            <wp:extent cx="8712200" cy="7620"/>
            <wp:effectExtent l="0" t="0" r="0" b="0"/>
            <wp:wrapNone/>
            <wp:docPr id="114" name="IM 114"/>
            <wp:cNvGraphicFramePr/>
            <a:graphic>
              <a:graphicData uri="http://schemas.openxmlformats.org/drawingml/2006/picture">
                <pic:pic>
                  <pic:nvPicPr>
                    <pic:cNvPr id="114" name="IM 114"/>
                    <pic:cNvPicPr/>
                  </pic:nvPicPr>
                  <pic:blipFill>
                    <a:blip r:embed="rId59"/>
                    <a:stretch>
                      <a:fillRect/>
                    </a:stretch>
                  </pic:blipFill>
                  <pic:spPr>
                    <a:xfrm rot="0">
                      <a:off x="0" y="0"/>
                      <a:ext cx="8712200" cy="7620"/>
                    </a:xfrm>
                    <a:prstGeom prst="rect">
                      <a:avLst/>
                    </a:prstGeom>
                  </pic:spPr>
                </pic:pic>
              </a:graphicData>
            </a:graphic>
          </wp:anchor>
        </w:drawing>
      </w:r>
      <w:r>
        <w:rPr>
          <w:rFonts w:ascii="Microsoft YaHei" w:hAnsi="Microsoft YaHei" w:eastAsia="Microsoft YaHei" w:cs="Microsoft YaHei"/>
          <w:sz w:val="20"/>
          <w:szCs w:val="20"/>
          <w:spacing w:val="5"/>
          <w:position w:val="-2"/>
        </w:rPr>
        <w:t>表四</w:t>
      </w:r>
    </w:p>
    <w:p>
      <w:pPr>
        <w:pStyle w:val="BodyText"/>
        <w:ind w:left="3468"/>
        <w:spacing w:line="223" w:lineRule="auto"/>
        <w:rPr>
          <w:sz w:val="35"/>
          <w:szCs w:val="35"/>
        </w:rPr>
      </w:pPr>
      <w:r>
        <w:rPr>
          <w:sz w:val="35"/>
          <w:szCs w:val="35"/>
          <w:b/>
          <w:bCs/>
          <w:spacing w:val="3"/>
        </w:rPr>
        <w:t>固原市本级</w:t>
      </w:r>
      <w:r>
        <w:rPr>
          <w:sz w:val="35"/>
          <w:szCs w:val="35"/>
          <w:spacing w:val="-68"/>
        </w:rPr>
        <w:t xml:space="preserve"> </w:t>
      </w:r>
      <w:r>
        <w:rPr>
          <w:sz w:val="35"/>
          <w:szCs w:val="35"/>
          <w:b/>
          <w:bCs/>
          <w:spacing w:val="3"/>
        </w:rPr>
        <w:t>2021</w:t>
      </w:r>
      <w:r>
        <w:rPr>
          <w:sz w:val="35"/>
          <w:szCs w:val="35"/>
          <w:spacing w:val="-77"/>
        </w:rPr>
        <w:t xml:space="preserve"> </w:t>
      </w:r>
      <w:r>
        <w:rPr>
          <w:sz w:val="35"/>
          <w:szCs w:val="35"/>
          <w:b/>
          <w:bCs/>
          <w:spacing w:val="3"/>
        </w:rPr>
        <w:t>年一般公共预算收支平衡表</w:t>
      </w:r>
    </w:p>
    <w:p>
      <w:pPr>
        <w:pStyle w:val="BodyText"/>
        <w:ind w:left="12740"/>
        <w:spacing w:line="210" w:lineRule="auto"/>
        <w:rPr/>
      </w:pPr>
      <w:r>
        <w:drawing>
          <wp:anchor distT="0" distB="0" distL="0" distR="0" simplePos="0" relativeHeight="251659264" behindDoc="0" locked="0" layoutInCell="1" allowOverlap="1">
            <wp:simplePos x="0" y="0"/>
            <wp:positionH relativeFrom="column">
              <wp:posOffset>56261</wp:posOffset>
            </wp:positionH>
            <wp:positionV relativeFrom="paragraph">
              <wp:posOffset>4839849</wp:posOffset>
            </wp:positionV>
            <wp:extent cx="8712200" cy="7619"/>
            <wp:effectExtent l="0" t="0" r="0" b="0"/>
            <wp:wrapNone/>
            <wp:docPr id="116" name="IM 116"/>
            <wp:cNvGraphicFramePr/>
            <a:graphic>
              <a:graphicData uri="http://schemas.openxmlformats.org/drawingml/2006/picture">
                <pic:pic>
                  <pic:nvPicPr>
                    <pic:cNvPr id="116" name="IM 116"/>
                    <pic:cNvPicPr/>
                  </pic:nvPicPr>
                  <pic:blipFill>
                    <a:blip r:embed="rId60"/>
                    <a:stretch>
                      <a:fillRect/>
                    </a:stretch>
                  </pic:blipFill>
                  <pic:spPr>
                    <a:xfrm rot="0">
                      <a:off x="0" y="0"/>
                      <a:ext cx="8712200" cy="7619"/>
                    </a:xfrm>
                    <a:prstGeom prst="rect">
                      <a:avLst/>
                    </a:prstGeom>
                  </pic:spPr>
                </pic:pic>
              </a:graphicData>
            </a:graphic>
          </wp:anchor>
        </w:drawing>
      </w:r>
      <w:r>
        <w:rPr>
          <w:spacing w:val="9"/>
        </w:rPr>
        <w:t>单位：万元</w:t>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95"/>
        <w:gridCol w:w="1236"/>
        <w:gridCol w:w="1401"/>
        <w:gridCol w:w="2234"/>
        <w:gridCol w:w="2415"/>
        <w:gridCol w:w="1415"/>
      </w:tblGrid>
      <w:tr>
        <w:trPr>
          <w:trHeight w:val="312" w:hRule="atLeast"/>
        </w:trPr>
        <w:tc>
          <w:tcPr>
            <w:tcW w:w="7832" w:type="dxa"/>
            <w:vAlign w:val="top"/>
            <w:gridSpan w:val="3"/>
            <w:tcBorders>
              <w:left w:val="single" w:color="000000" w:sz="6" w:space="0"/>
              <w:top w:val="single" w:color="000000" w:sz="6" w:space="0"/>
            </w:tcBorders>
          </w:tcPr>
          <w:p>
            <w:pPr>
              <w:pStyle w:val="TableText"/>
              <w:ind w:left="3721"/>
              <w:spacing w:before="74" w:line="214" w:lineRule="auto"/>
              <w:rPr>
                <w:sz w:val="19"/>
                <w:szCs w:val="19"/>
              </w:rPr>
            </w:pPr>
            <w:r>
              <w:rPr>
                <w:sz w:val="19"/>
                <w:szCs w:val="19"/>
                <w:b/>
                <w:bCs/>
                <w:spacing w:val="2"/>
              </w:rPr>
              <w:t>收入</w:t>
            </w:r>
          </w:p>
        </w:tc>
        <w:tc>
          <w:tcPr>
            <w:tcW w:w="6064" w:type="dxa"/>
            <w:vAlign w:val="top"/>
            <w:gridSpan w:val="3"/>
            <w:tcBorders>
              <w:right w:val="single" w:color="000000" w:sz="6" w:space="0"/>
              <w:top w:val="single" w:color="000000" w:sz="6" w:space="0"/>
            </w:tcBorders>
          </w:tcPr>
          <w:p>
            <w:pPr>
              <w:pStyle w:val="TableText"/>
              <w:ind w:left="2831"/>
              <w:spacing w:before="71" w:line="219" w:lineRule="auto"/>
              <w:rPr>
                <w:sz w:val="19"/>
                <w:szCs w:val="19"/>
              </w:rPr>
            </w:pPr>
            <w:r>
              <w:rPr>
                <w:sz w:val="19"/>
                <w:szCs w:val="19"/>
                <w:b/>
                <w:bCs/>
                <w:spacing w:val="5"/>
              </w:rPr>
              <w:t>支出</w:t>
            </w:r>
          </w:p>
        </w:tc>
      </w:tr>
      <w:tr>
        <w:trPr>
          <w:trHeight w:val="444" w:hRule="atLeast"/>
        </w:trPr>
        <w:tc>
          <w:tcPr>
            <w:tcW w:w="5195" w:type="dxa"/>
            <w:vAlign w:val="top"/>
            <w:tcBorders>
              <w:left w:val="single" w:color="000000" w:sz="6" w:space="0"/>
            </w:tcBorders>
          </w:tcPr>
          <w:p>
            <w:pPr>
              <w:pStyle w:val="TableText"/>
              <w:ind w:left="2394"/>
              <w:spacing w:before="139" w:line="212" w:lineRule="auto"/>
              <w:rPr>
                <w:sz w:val="19"/>
                <w:szCs w:val="19"/>
              </w:rPr>
            </w:pPr>
            <w:r>
              <w:rPr>
                <w:sz w:val="19"/>
                <w:szCs w:val="19"/>
                <w:b/>
                <w:bCs/>
                <w:spacing w:val="6"/>
              </w:rPr>
              <w:t>项目</w:t>
            </w:r>
          </w:p>
        </w:tc>
        <w:tc>
          <w:tcPr>
            <w:tcW w:w="1236" w:type="dxa"/>
            <w:vAlign w:val="top"/>
          </w:tcPr>
          <w:p>
            <w:pPr>
              <w:pStyle w:val="TableText"/>
              <w:ind w:left="179" w:right="185" w:firstLine="35"/>
              <w:spacing w:before="1" w:line="210" w:lineRule="auto"/>
              <w:rPr>
                <w:sz w:val="19"/>
                <w:szCs w:val="19"/>
              </w:rPr>
            </w:pPr>
            <w:r>
              <w:rPr>
                <w:sz w:val="19"/>
                <w:szCs w:val="19"/>
                <w:b/>
                <w:bCs/>
                <w:spacing w:val="7"/>
              </w:rPr>
              <w:t>上年决算</w:t>
            </w:r>
            <w:r>
              <w:rPr>
                <w:sz w:val="19"/>
                <w:szCs w:val="19"/>
                <w:b/>
                <w:bCs/>
                <w:spacing w:val="-1"/>
              </w:rPr>
              <w:t>（执行)数</w:t>
            </w:r>
          </w:p>
        </w:tc>
        <w:tc>
          <w:tcPr>
            <w:tcW w:w="1401" w:type="dxa"/>
            <w:vAlign w:val="top"/>
          </w:tcPr>
          <w:p>
            <w:pPr>
              <w:pStyle w:val="TableText"/>
              <w:ind w:left="402"/>
              <w:spacing w:before="134" w:line="221" w:lineRule="auto"/>
              <w:rPr>
                <w:sz w:val="19"/>
                <w:szCs w:val="19"/>
              </w:rPr>
            </w:pPr>
            <w:r>
              <w:rPr>
                <w:sz w:val="19"/>
                <w:szCs w:val="19"/>
                <w:b/>
                <w:bCs/>
                <w:spacing w:val="5"/>
              </w:rPr>
              <w:t>预算数</w:t>
            </w:r>
          </w:p>
        </w:tc>
        <w:tc>
          <w:tcPr>
            <w:tcW w:w="2234" w:type="dxa"/>
            <w:vAlign w:val="top"/>
          </w:tcPr>
          <w:p>
            <w:pPr>
              <w:pStyle w:val="TableText"/>
              <w:ind w:left="917"/>
              <w:spacing w:before="139" w:line="212" w:lineRule="auto"/>
              <w:rPr>
                <w:sz w:val="19"/>
                <w:szCs w:val="19"/>
              </w:rPr>
            </w:pPr>
            <w:r>
              <w:rPr>
                <w:sz w:val="19"/>
                <w:szCs w:val="19"/>
                <w:b/>
                <w:bCs/>
                <w:spacing w:val="6"/>
              </w:rPr>
              <w:t>项目</w:t>
            </w:r>
          </w:p>
        </w:tc>
        <w:tc>
          <w:tcPr>
            <w:tcW w:w="2415" w:type="dxa"/>
            <w:vAlign w:val="top"/>
          </w:tcPr>
          <w:p>
            <w:pPr>
              <w:pStyle w:val="TableText"/>
              <w:ind w:left="383"/>
              <w:spacing w:before="131" w:line="264" w:lineRule="exact"/>
              <w:rPr>
                <w:sz w:val="19"/>
                <w:szCs w:val="19"/>
              </w:rPr>
            </w:pPr>
            <w:r>
              <w:rPr>
                <w:sz w:val="19"/>
                <w:szCs w:val="19"/>
                <w:b/>
                <w:bCs/>
                <w:spacing w:val="2"/>
                <w:position w:val="1"/>
              </w:rPr>
              <w:t>上年决算（执行)数</w:t>
            </w:r>
          </w:p>
        </w:tc>
        <w:tc>
          <w:tcPr>
            <w:tcW w:w="1415" w:type="dxa"/>
            <w:vAlign w:val="top"/>
            <w:tcBorders>
              <w:right w:val="single" w:color="000000" w:sz="6" w:space="0"/>
            </w:tcBorders>
          </w:tcPr>
          <w:p>
            <w:pPr>
              <w:pStyle w:val="TableText"/>
              <w:ind w:left="412"/>
              <w:spacing w:before="134" w:line="221" w:lineRule="auto"/>
              <w:rPr>
                <w:sz w:val="19"/>
                <w:szCs w:val="19"/>
              </w:rPr>
            </w:pPr>
            <w:r>
              <w:rPr>
                <w:sz w:val="19"/>
                <w:szCs w:val="19"/>
                <w:b/>
                <w:bCs/>
                <w:spacing w:val="5"/>
              </w:rPr>
              <w:t>预算数</w:t>
            </w:r>
          </w:p>
        </w:tc>
      </w:tr>
      <w:tr>
        <w:trPr>
          <w:trHeight w:val="264" w:hRule="atLeast"/>
        </w:trPr>
        <w:tc>
          <w:tcPr>
            <w:tcW w:w="5195" w:type="dxa"/>
            <w:vAlign w:val="top"/>
            <w:tcBorders>
              <w:left w:val="single" w:color="000000" w:sz="6" w:space="0"/>
            </w:tcBorders>
          </w:tcPr>
          <w:p>
            <w:pPr>
              <w:pStyle w:val="TableText"/>
              <w:ind w:left="106"/>
              <w:spacing w:before="33" w:line="214" w:lineRule="auto"/>
              <w:rPr>
                <w:sz w:val="19"/>
                <w:szCs w:val="19"/>
              </w:rPr>
            </w:pPr>
            <w:r>
              <w:rPr>
                <w:sz w:val="19"/>
                <w:szCs w:val="19"/>
                <w:b/>
                <w:bCs/>
                <w:spacing w:val="7"/>
              </w:rPr>
              <w:t>本级收入合计</w:t>
            </w:r>
          </w:p>
        </w:tc>
        <w:tc>
          <w:tcPr>
            <w:tcW w:w="1236" w:type="dxa"/>
            <w:vAlign w:val="top"/>
          </w:tcPr>
          <w:p>
            <w:pPr>
              <w:pStyle w:val="TableText"/>
              <w:ind w:left="628"/>
              <w:spacing w:before="29" w:line="218" w:lineRule="auto"/>
              <w:rPr>
                <w:sz w:val="19"/>
                <w:szCs w:val="19"/>
              </w:rPr>
            </w:pPr>
            <w:r>
              <w:rPr>
                <w:sz w:val="19"/>
                <w:szCs w:val="19"/>
                <w:b/>
                <w:bCs/>
                <w:spacing w:val="1"/>
              </w:rPr>
              <w:t>66008</w:t>
            </w:r>
          </w:p>
        </w:tc>
        <w:tc>
          <w:tcPr>
            <w:tcW w:w="1401" w:type="dxa"/>
            <w:vAlign w:val="top"/>
          </w:tcPr>
          <w:p>
            <w:pPr>
              <w:pStyle w:val="TableText"/>
              <w:ind w:left="794"/>
              <w:spacing w:before="29" w:line="218" w:lineRule="auto"/>
              <w:rPr>
                <w:sz w:val="19"/>
                <w:szCs w:val="19"/>
              </w:rPr>
            </w:pPr>
            <w:r>
              <w:rPr>
                <w:sz w:val="19"/>
                <w:szCs w:val="19"/>
                <w:b/>
                <w:bCs/>
                <w:spacing w:val="1"/>
              </w:rPr>
              <w:t>68000</w:t>
            </w:r>
          </w:p>
        </w:tc>
        <w:tc>
          <w:tcPr>
            <w:tcW w:w="2234" w:type="dxa"/>
            <w:vAlign w:val="top"/>
          </w:tcPr>
          <w:p>
            <w:pPr>
              <w:pStyle w:val="TableText"/>
              <w:ind w:left="108"/>
              <w:spacing w:before="33" w:line="214" w:lineRule="auto"/>
              <w:rPr>
                <w:sz w:val="19"/>
                <w:szCs w:val="19"/>
              </w:rPr>
            </w:pPr>
            <w:r>
              <w:rPr>
                <w:sz w:val="19"/>
                <w:szCs w:val="19"/>
                <w:b/>
                <w:bCs/>
                <w:spacing w:val="7"/>
              </w:rPr>
              <w:t>本级支出合计</w:t>
            </w:r>
          </w:p>
        </w:tc>
        <w:tc>
          <w:tcPr>
            <w:tcW w:w="2415" w:type="dxa"/>
            <w:vAlign w:val="top"/>
          </w:tcPr>
          <w:p>
            <w:pPr>
              <w:pStyle w:val="TableText"/>
              <w:ind w:left="1717"/>
              <w:spacing w:before="29" w:line="218" w:lineRule="auto"/>
              <w:rPr>
                <w:sz w:val="19"/>
                <w:szCs w:val="19"/>
              </w:rPr>
            </w:pPr>
            <w:r>
              <w:rPr>
                <w:sz w:val="19"/>
                <w:szCs w:val="19"/>
                <w:b/>
                <w:bCs/>
                <w:spacing w:val="1"/>
              </w:rPr>
              <w:t>398672</w:t>
            </w:r>
          </w:p>
        </w:tc>
        <w:tc>
          <w:tcPr>
            <w:tcW w:w="1415" w:type="dxa"/>
            <w:vAlign w:val="top"/>
            <w:tcBorders>
              <w:right w:val="single" w:color="000000" w:sz="6" w:space="0"/>
            </w:tcBorders>
          </w:tcPr>
          <w:p>
            <w:pPr>
              <w:pStyle w:val="TableText"/>
              <w:ind w:left="715"/>
              <w:spacing w:before="29" w:line="218" w:lineRule="auto"/>
              <w:rPr>
                <w:sz w:val="19"/>
                <w:szCs w:val="19"/>
              </w:rPr>
            </w:pPr>
            <w:r>
              <w:rPr>
                <w:sz w:val="19"/>
                <w:szCs w:val="19"/>
                <w:spacing w:val="2"/>
              </w:rPr>
              <w:t>319361</w:t>
            </w:r>
          </w:p>
        </w:tc>
      </w:tr>
      <w:tr>
        <w:trPr>
          <w:trHeight w:val="264" w:hRule="atLeast"/>
        </w:trPr>
        <w:tc>
          <w:tcPr>
            <w:tcW w:w="5195" w:type="dxa"/>
            <w:vAlign w:val="top"/>
            <w:tcBorders>
              <w:left w:val="single" w:color="000000" w:sz="6" w:space="0"/>
            </w:tcBorders>
          </w:tcPr>
          <w:p>
            <w:pPr>
              <w:pStyle w:val="TableText"/>
              <w:ind w:left="107"/>
              <w:spacing w:before="34" w:line="213" w:lineRule="auto"/>
              <w:rPr>
                <w:sz w:val="19"/>
                <w:szCs w:val="19"/>
              </w:rPr>
            </w:pPr>
            <w:r>
              <w:rPr>
                <w:sz w:val="19"/>
                <w:szCs w:val="19"/>
                <w:b/>
                <w:bCs/>
                <w:spacing w:val="7"/>
              </w:rPr>
              <w:t>转移性收入</w:t>
            </w:r>
          </w:p>
        </w:tc>
        <w:tc>
          <w:tcPr>
            <w:tcW w:w="1236" w:type="dxa"/>
            <w:vAlign w:val="top"/>
          </w:tcPr>
          <w:p>
            <w:pPr>
              <w:pStyle w:val="TableText"/>
              <w:ind w:left="530"/>
              <w:spacing w:before="29" w:line="218" w:lineRule="auto"/>
              <w:rPr>
                <w:sz w:val="19"/>
                <w:szCs w:val="19"/>
              </w:rPr>
            </w:pPr>
            <w:r>
              <w:rPr>
                <w:sz w:val="19"/>
                <w:szCs w:val="19"/>
                <w:b/>
                <w:bCs/>
                <w:spacing w:val="1"/>
              </w:rPr>
              <w:t>369108</w:t>
            </w:r>
          </w:p>
        </w:tc>
        <w:tc>
          <w:tcPr>
            <w:tcW w:w="1401" w:type="dxa"/>
            <w:vAlign w:val="top"/>
          </w:tcPr>
          <w:p>
            <w:pPr>
              <w:pStyle w:val="TableText"/>
              <w:ind w:left="695"/>
              <w:spacing w:before="29" w:line="218" w:lineRule="auto"/>
              <w:rPr>
                <w:sz w:val="19"/>
                <w:szCs w:val="19"/>
              </w:rPr>
            </w:pPr>
            <w:r>
              <w:rPr>
                <w:sz w:val="19"/>
                <w:szCs w:val="19"/>
                <w:b/>
                <w:bCs/>
                <w:spacing w:val="1"/>
              </w:rPr>
              <w:t>256899</w:t>
            </w:r>
          </w:p>
        </w:tc>
        <w:tc>
          <w:tcPr>
            <w:tcW w:w="2234" w:type="dxa"/>
            <w:vAlign w:val="top"/>
          </w:tcPr>
          <w:p>
            <w:pPr>
              <w:pStyle w:val="TableText"/>
              <w:ind w:left="109"/>
              <w:spacing w:before="34" w:line="213" w:lineRule="auto"/>
              <w:rPr>
                <w:sz w:val="19"/>
                <w:szCs w:val="19"/>
              </w:rPr>
            </w:pPr>
            <w:r>
              <w:rPr>
                <w:sz w:val="19"/>
                <w:szCs w:val="19"/>
                <w:b/>
                <w:bCs/>
                <w:spacing w:val="7"/>
              </w:rPr>
              <w:t>转移性支出</w:t>
            </w:r>
          </w:p>
        </w:tc>
        <w:tc>
          <w:tcPr>
            <w:tcW w:w="2415" w:type="dxa"/>
            <w:vAlign w:val="top"/>
          </w:tcPr>
          <w:p>
            <w:pPr>
              <w:pStyle w:val="TableText"/>
              <w:ind w:left="1815"/>
              <w:spacing w:before="29" w:line="218" w:lineRule="auto"/>
              <w:rPr>
                <w:sz w:val="19"/>
                <w:szCs w:val="19"/>
              </w:rPr>
            </w:pPr>
            <w:r>
              <w:rPr>
                <w:sz w:val="19"/>
                <w:szCs w:val="19"/>
                <w:b/>
                <w:bCs/>
                <w:spacing w:val="1"/>
              </w:rPr>
              <w:t>36444</w:t>
            </w:r>
          </w:p>
        </w:tc>
        <w:tc>
          <w:tcPr>
            <w:tcW w:w="1415" w:type="dxa"/>
            <w:vAlign w:val="top"/>
            <w:tcBorders>
              <w:right w:val="single" w:color="000000" w:sz="6" w:space="0"/>
            </w:tcBorders>
          </w:tcPr>
          <w:p>
            <w:pPr>
              <w:pStyle w:val="TableText"/>
              <w:ind w:left="905"/>
              <w:spacing w:before="29" w:line="218" w:lineRule="auto"/>
              <w:rPr>
                <w:sz w:val="19"/>
                <w:szCs w:val="19"/>
              </w:rPr>
            </w:pPr>
            <w:r>
              <w:rPr>
                <w:sz w:val="19"/>
                <w:szCs w:val="19"/>
                <w:b/>
                <w:bCs/>
                <w:spacing w:val="1"/>
              </w:rPr>
              <w:t>5538</w:t>
            </w:r>
          </w:p>
        </w:tc>
      </w:tr>
      <w:tr>
        <w:trPr>
          <w:trHeight w:val="264" w:hRule="atLeast"/>
        </w:trPr>
        <w:tc>
          <w:tcPr>
            <w:tcW w:w="5195" w:type="dxa"/>
            <w:vAlign w:val="top"/>
            <w:tcBorders>
              <w:left w:val="single" w:color="000000" w:sz="6" w:space="0"/>
            </w:tcBorders>
          </w:tcPr>
          <w:p>
            <w:pPr>
              <w:pStyle w:val="TableText"/>
              <w:ind w:left="306"/>
              <w:spacing w:before="38" w:line="209" w:lineRule="auto"/>
              <w:rPr>
                <w:sz w:val="19"/>
                <w:szCs w:val="19"/>
              </w:rPr>
            </w:pPr>
            <w:r>
              <w:rPr>
                <w:sz w:val="19"/>
                <w:szCs w:val="19"/>
                <w:spacing w:val="9"/>
              </w:rPr>
              <w:t>上级补助收入</w:t>
            </w:r>
          </w:p>
        </w:tc>
        <w:tc>
          <w:tcPr>
            <w:tcW w:w="1236" w:type="dxa"/>
            <w:vAlign w:val="top"/>
          </w:tcPr>
          <w:p>
            <w:pPr>
              <w:pStyle w:val="TableText"/>
              <w:ind w:left="537"/>
              <w:spacing w:before="31" w:line="216" w:lineRule="auto"/>
              <w:rPr>
                <w:sz w:val="19"/>
                <w:szCs w:val="19"/>
              </w:rPr>
            </w:pPr>
            <w:r>
              <w:rPr>
                <w:sz w:val="19"/>
                <w:szCs w:val="19"/>
                <w:spacing w:val="2"/>
              </w:rPr>
              <w:t>322529</w:t>
            </w:r>
          </w:p>
        </w:tc>
        <w:tc>
          <w:tcPr>
            <w:tcW w:w="1401" w:type="dxa"/>
            <w:vAlign w:val="top"/>
          </w:tcPr>
          <w:p>
            <w:pPr>
              <w:pStyle w:val="TableText"/>
              <w:ind w:left="700"/>
              <w:spacing w:before="31" w:line="216" w:lineRule="auto"/>
              <w:rPr>
                <w:sz w:val="19"/>
                <w:szCs w:val="19"/>
              </w:rPr>
            </w:pPr>
            <w:r>
              <w:rPr>
                <w:sz w:val="19"/>
                <w:szCs w:val="19"/>
                <w:spacing w:val="2"/>
              </w:rPr>
              <w:t>254417</w:t>
            </w:r>
          </w:p>
        </w:tc>
        <w:tc>
          <w:tcPr>
            <w:tcW w:w="2234" w:type="dxa"/>
            <w:vAlign w:val="top"/>
          </w:tcPr>
          <w:p>
            <w:pPr>
              <w:pStyle w:val="TableText"/>
              <w:ind w:left="308"/>
              <w:spacing w:before="36" w:line="211" w:lineRule="auto"/>
              <w:rPr>
                <w:sz w:val="19"/>
                <w:szCs w:val="19"/>
              </w:rPr>
            </w:pPr>
            <w:r>
              <w:rPr>
                <w:sz w:val="19"/>
                <w:szCs w:val="19"/>
                <w:spacing w:val="8"/>
              </w:rPr>
              <w:t>上解支出</w:t>
            </w:r>
          </w:p>
        </w:tc>
        <w:tc>
          <w:tcPr>
            <w:tcW w:w="2415" w:type="dxa"/>
            <w:vAlign w:val="top"/>
          </w:tcPr>
          <w:p>
            <w:pPr>
              <w:pStyle w:val="TableText"/>
              <w:ind w:left="2013"/>
              <w:spacing w:before="31" w:line="216" w:lineRule="auto"/>
              <w:rPr>
                <w:sz w:val="19"/>
                <w:szCs w:val="19"/>
              </w:rPr>
            </w:pPr>
            <w:r>
              <w:rPr>
                <w:sz w:val="19"/>
                <w:szCs w:val="19"/>
                <w:spacing w:val="2"/>
              </w:rPr>
              <w:t>488</w:t>
            </w:r>
          </w:p>
        </w:tc>
        <w:tc>
          <w:tcPr>
            <w:tcW w:w="1415" w:type="dxa"/>
            <w:vAlign w:val="top"/>
            <w:tcBorders>
              <w:right w:val="single" w:color="000000" w:sz="6" w:space="0"/>
            </w:tcBorders>
          </w:tcPr>
          <w:p>
            <w:pPr>
              <w:pStyle w:val="TableText"/>
              <w:ind w:left="1008"/>
              <w:spacing w:before="31" w:line="216" w:lineRule="auto"/>
              <w:rPr>
                <w:sz w:val="19"/>
                <w:szCs w:val="19"/>
              </w:rPr>
            </w:pPr>
            <w:r>
              <w:rPr>
                <w:sz w:val="19"/>
                <w:szCs w:val="19"/>
                <w:spacing w:val="1"/>
              </w:rPr>
              <w:t>538</w:t>
            </w:r>
          </w:p>
        </w:tc>
      </w:tr>
      <w:tr>
        <w:trPr>
          <w:trHeight w:val="264" w:hRule="atLeast"/>
        </w:trPr>
        <w:tc>
          <w:tcPr>
            <w:tcW w:w="5195" w:type="dxa"/>
            <w:vAlign w:val="top"/>
            <w:tcBorders>
              <w:left w:val="single" w:color="000000" w:sz="6" w:space="0"/>
            </w:tcBorders>
          </w:tcPr>
          <w:p>
            <w:pPr>
              <w:pStyle w:val="TableText"/>
              <w:ind w:left="506"/>
              <w:spacing w:before="40" w:line="207" w:lineRule="auto"/>
              <w:rPr>
                <w:sz w:val="19"/>
                <w:szCs w:val="19"/>
              </w:rPr>
            </w:pPr>
            <w:r>
              <w:rPr>
                <w:sz w:val="19"/>
                <w:szCs w:val="19"/>
                <w:spacing w:val="8"/>
              </w:rPr>
              <w:t>返还性收入</w:t>
            </w:r>
          </w:p>
        </w:tc>
        <w:tc>
          <w:tcPr>
            <w:tcW w:w="1236" w:type="dxa"/>
            <w:vAlign w:val="top"/>
          </w:tcPr>
          <w:p>
            <w:pPr>
              <w:pStyle w:val="TableText"/>
              <w:ind w:left="649"/>
              <w:spacing w:before="33" w:line="214" w:lineRule="auto"/>
              <w:rPr>
                <w:sz w:val="19"/>
                <w:szCs w:val="19"/>
              </w:rPr>
            </w:pPr>
            <w:r>
              <w:rPr>
                <w:sz w:val="19"/>
                <w:szCs w:val="19"/>
                <w:spacing w:val="-1"/>
              </w:rPr>
              <w:t>19561</w:t>
            </w:r>
          </w:p>
        </w:tc>
        <w:tc>
          <w:tcPr>
            <w:tcW w:w="1401" w:type="dxa"/>
            <w:vAlign w:val="top"/>
          </w:tcPr>
          <w:p>
            <w:pPr>
              <w:pStyle w:val="TableText"/>
              <w:ind w:left="814"/>
              <w:spacing w:before="33" w:line="214" w:lineRule="auto"/>
              <w:rPr>
                <w:sz w:val="19"/>
                <w:szCs w:val="19"/>
              </w:rPr>
            </w:pPr>
            <w:r>
              <w:rPr>
                <w:sz w:val="19"/>
                <w:szCs w:val="19"/>
                <w:spacing w:val="-1"/>
              </w:rPr>
              <w:t>19561</w:t>
            </w:r>
          </w:p>
        </w:tc>
        <w:tc>
          <w:tcPr>
            <w:tcW w:w="2234" w:type="dxa"/>
            <w:vAlign w:val="top"/>
          </w:tcPr>
          <w:p>
            <w:pPr>
              <w:pStyle w:val="TableText"/>
              <w:ind w:left="507"/>
              <w:spacing w:before="35" w:line="212" w:lineRule="auto"/>
              <w:rPr>
                <w:sz w:val="19"/>
                <w:szCs w:val="19"/>
              </w:rPr>
            </w:pPr>
            <w:r>
              <w:rPr>
                <w:sz w:val="19"/>
                <w:szCs w:val="19"/>
                <w:spacing w:val="9"/>
              </w:rPr>
              <w:t>体制上解支出</w:t>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64" w:hRule="atLeast"/>
        </w:trPr>
        <w:tc>
          <w:tcPr>
            <w:tcW w:w="5195" w:type="dxa"/>
            <w:vAlign w:val="top"/>
            <w:tcBorders>
              <w:left w:val="single" w:color="000000" w:sz="6" w:space="0"/>
            </w:tcBorders>
          </w:tcPr>
          <w:p>
            <w:pPr>
              <w:pStyle w:val="TableText"/>
              <w:ind w:left="706"/>
              <w:spacing w:before="38" w:line="209" w:lineRule="auto"/>
              <w:rPr>
                <w:sz w:val="19"/>
                <w:szCs w:val="19"/>
              </w:rPr>
            </w:pPr>
            <w:r>
              <w:rPr>
                <w:sz w:val="19"/>
                <w:szCs w:val="19"/>
                <w:spacing w:val="9"/>
              </w:rPr>
              <w:t>所得税基数返还收入</w:t>
            </w:r>
          </w:p>
        </w:tc>
        <w:tc>
          <w:tcPr>
            <w:tcW w:w="1236" w:type="dxa"/>
            <w:vAlign w:val="top"/>
          </w:tcPr>
          <w:p>
            <w:pPr>
              <w:pStyle w:val="TableText"/>
              <w:ind w:left="931"/>
              <w:spacing w:before="32" w:line="215" w:lineRule="auto"/>
              <w:rPr>
                <w:sz w:val="19"/>
                <w:szCs w:val="19"/>
              </w:rPr>
            </w:pPr>
            <w:r>
              <w:rPr>
                <w:sz w:val="19"/>
                <w:szCs w:val="19"/>
              </w:rPr>
              <w:t>53</w:t>
            </w:r>
          </w:p>
        </w:tc>
        <w:tc>
          <w:tcPr>
            <w:tcW w:w="1401" w:type="dxa"/>
            <w:vAlign w:val="top"/>
          </w:tcPr>
          <w:p>
            <w:pPr>
              <w:pStyle w:val="TableText"/>
              <w:ind w:left="1096"/>
              <w:spacing w:before="32" w:line="215" w:lineRule="auto"/>
              <w:rPr>
                <w:sz w:val="19"/>
                <w:szCs w:val="19"/>
              </w:rPr>
            </w:pPr>
            <w:r>
              <w:rPr>
                <w:sz w:val="19"/>
                <w:szCs w:val="19"/>
              </w:rPr>
              <w:t>53</w:t>
            </w:r>
          </w:p>
        </w:tc>
        <w:tc>
          <w:tcPr>
            <w:tcW w:w="2234" w:type="dxa"/>
            <w:vAlign w:val="top"/>
          </w:tcPr>
          <w:p>
            <w:pPr>
              <w:pStyle w:val="TableText"/>
              <w:ind w:left="507"/>
              <w:spacing w:before="36" w:line="211" w:lineRule="auto"/>
              <w:rPr>
                <w:sz w:val="19"/>
                <w:szCs w:val="19"/>
              </w:rPr>
            </w:pPr>
            <w:r>
              <w:rPr>
                <w:sz w:val="19"/>
                <w:szCs w:val="19"/>
                <w:spacing w:val="9"/>
              </w:rPr>
              <w:t>专项上解支出</w:t>
            </w:r>
          </w:p>
        </w:tc>
        <w:tc>
          <w:tcPr>
            <w:tcW w:w="2415" w:type="dxa"/>
            <w:vAlign w:val="top"/>
          </w:tcPr>
          <w:p>
            <w:pPr>
              <w:pStyle w:val="TableText"/>
              <w:ind w:left="2013"/>
              <w:spacing w:before="32" w:line="215" w:lineRule="auto"/>
              <w:rPr>
                <w:sz w:val="19"/>
                <w:szCs w:val="19"/>
              </w:rPr>
            </w:pPr>
            <w:r>
              <w:rPr>
                <w:sz w:val="19"/>
                <w:szCs w:val="19"/>
                <w:spacing w:val="2"/>
              </w:rPr>
              <w:t>488</w:t>
            </w:r>
          </w:p>
        </w:tc>
        <w:tc>
          <w:tcPr>
            <w:tcW w:w="1415" w:type="dxa"/>
            <w:vAlign w:val="top"/>
            <w:tcBorders>
              <w:right w:val="single" w:color="000000" w:sz="6" w:space="0"/>
            </w:tcBorders>
          </w:tcPr>
          <w:p>
            <w:pPr>
              <w:pStyle w:val="TableText"/>
              <w:ind w:left="1008"/>
              <w:spacing w:before="32" w:line="215" w:lineRule="auto"/>
              <w:rPr>
                <w:sz w:val="19"/>
                <w:szCs w:val="19"/>
              </w:rPr>
            </w:pPr>
            <w:r>
              <w:rPr>
                <w:sz w:val="19"/>
                <w:szCs w:val="19"/>
                <w:spacing w:val="1"/>
              </w:rPr>
              <w:t>538</w:t>
            </w:r>
          </w:p>
        </w:tc>
      </w:tr>
      <w:tr>
        <w:trPr>
          <w:trHeight w:val="264" w:hRule="atLeast"/>
        </w:trPr>
        <w:tc>
          <w:tcPr>
            <w:tcW w:w="5195" w:type="dxa"/>
            <w:vAlign w:val="top"/>
            <w:tcBorders>
              <w:left w:val="single" w:color="000000" w:sz="6" w:space="0"/>
            </w:tcBorders>
          </w:tcPr>
          <w:p>
            <w:pPr>
              <w:pStyle w:val="TableText"/>
              <w:ind w:left="707"/>
              <w:spacing w:before="34" w:line="213" w:lineRule="auto"/>
              <w:rPr>
                <w:sz w:val="19"/>
                <w:szCs w:val="19"/>
              </w:rPr>
            </w:pPr>
            <w:r>
              <w:rPr>
                <w:sz w:val="19"/>
                <w:szCs w:val="19"/>
                <w:spacing w:val="9"/>
              </w:rPr>
              <w:t>成品油税费改革税收返还收入</w:t>
            </w:r>
          </w:p>
        </w:tc>
        <w:tc>
          <w:tcPr>
            <w:tcW w:w="1236" w:type="dxa"/>
            <w:vAlign w:val="top"/>
          </w:tcPr>
          <w:p>
            <w:pPr>
              <w:rPr>
                <w:rFonts w:ascii="Arial"/>
                <w:sz w:val="21"/>
              </w:rPr>
            </w:pPr>
            <w:r/>
          </w:p>
        </w:tc>
        <w:tc>
          <w:tcPr>
            <w:tcW w:w="1401" w:type="dxa"/>
            <w:vAlign w:val="top"/>
          </w:tcPr>
          <w:p>
            <w:pPr>
              <w:rPr>
                <w:rFonts w:ascii="Arial"/>
                <w:sz w:val="21"/>
              </w:rPr>
            </w:pPr>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64" w:hRule="atLeast"/>
        </w:trPr>
        <w:tc>
          <w:tcPr>
            <w:tcW w:w="5195" w:type="dxa"/>
            <w:vAlign w:val="top"/>
            <w:tcBorders>
              <w:left w:val="single" w:color="000000" w:sz="6" w:space="0"/>
            </w:tcBorders>
          </w:tcPr>
          <w:p>
            <w:pPr>
              <w:pStyle w:val="TableText"/>
              <w:ind w:left="706"/>
              <w:spacing w:before="37" w:line="210" w:lineRule="auto"/>
              <w:rPr>
                <w:sz w:val="19"/>
                <w:szCs w:val="19"/>
              </w:rPr>
            </w:pPr>
            <w:r>
              <w:rPr>
                <w:sz w:val="19"/>
                <w:szCs w:val="19"/>
                <w:spacing w:val="9"/>
              </w:rPr>
              <w:t>增值税税收返还收入</w:t>
            </w:r>
          </w:p>
        </w:tc>
        <w:tc>
          <w:tcPr>
            <w:tcW w:w="1236" w:type="dxa"/>
            <w:vAlign w:val="top"/>
          </w:tcPr>
          <w:p>
            <w:pPr>
              <w:pStyle w:val="TableText"/>
              <w:ind w:left="1025"/>
              <w:spacing w:before="34" w:line="213" w:lineRule="auto"/>
              <w:rPr>
                <w:sz w:val="19"/>
                <w:szCs w:val="19"/>
              </w:rPr>
            </w:pPr>
            <w:r>
              <w:rPr>
                <w:sz w:val="19"/>
                <w:szCs w:val="19"/>
                <w:spacing w:val="1"/>
              </w:rPr>
              <w:t>4</w:t>
            </w:r>
          </w:p>
        </w:tc>
        <w:tc>
          <w:tcPr>
            <w:tcW w:w="1401" w:type="dxa"/>
            <w:vAlign w:val="top"/>
          </w:tcPr>
          <w:p>
            <w:pPr>
              <w:pStyle w:val="TableText"/>
              <w:ind w:left="1191"/>
              <w:spacing w:before="34" w:line="213" w:lineRule="auto"/>
              <w:rPr>
                <w:sz w:val="19"/>
                <w:szCs w:val="19"/>
              </w:rPr>
            </w:pPr>
            <w:r>
              <w:rPr>
                <w:sz w:val="19"/>
                <w:szCs w:val="19"/>
                <w:spacing w:val="1"/>
              </w:rPr>
              <w:t>4</w:t>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64" w:hRule="atLeast"/>
        </w:trPr>
        <w:tc>
          <w:tcPr>
            <w:tcW w:w="5195" w:type="dxa"/>
            <w:vAlign w:val="top"/>
            <w:tcBorders>
              <w:left w:val="single" w:color="000000" w:sz="6" w:space="0"/>
            </w:tcBorders>
          </w:tcPr>
          <w:p>
            <w:pPr>
              <w:pStyle w:val="TableText"/>
              <w:ind w:left="713"/>
              <w:spacing w:before="43" w:line="205" w:lineRule="auto"/>
              <w:rPr>
                <w:sz w:val="19"/>
                <w:szCs w:val="19"/>
              </w:rPr>
            </w:pPr>
            <w:r>
              <w:rPr>
                <w:sz w:val="19"/>
                <w:szCs w:val="19"/>
                <w:spacing w:val="8"/>
              </w:rPr>
              <w:t>消费税税收返还收入</w:t>
            </w:r>
          </w:p>
        </w:tc>
        <w:tc>
          <w:tcPr>
            <w:tcW w:w="1236" w:type="dxa"/>
            <w:vAlign w:val="top"/>
          </w:tcPr>
          <w:p>
            <w:pPr>
              <w:rPr>
                <w:rFonts w:ascii="Arial"/>
                <w:sz w:val="21"/>
              </w:rPr>
            </w:pPr>
            <w:r/>
          </w:p>
        </w:tc>
        <w:tc>
          <w:tcPr>
            <w:tcW w:w="1401" w:type="dxa"/>
            <w:vAlign w:val="top"/>
          </w:tcPr>
          <w:p>
            <w:pPr>
              <w:rPr>
                <w:rFonts w:ascii="Arial"/>
                <w:sz w:val="21"/>
              </w:rPr>
            </w:pPr>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64" w:hRule="atLeast"/>
        </w:trPr>
        <w:tc>
          <w:tcPr>
            <w:tcW w:w="5195" w:type="dxa"/>
            <w:vAlign w:val="top"/>
            <w:tcBorders>
              <w:left w:val="single" w:color="000000" w:sz="6" w:space="0"/>
            </w:tcBorders>
          </w:tcPr>
          <w:p>
            <w:pPr>
              <w:pStyle w:val="TableText"/>
              <w:ind w:left="706"/>
              <w:spacing w:before="39" w:line="208" w:lineRule="auto"/>
              <w:rPr>
                <w:sz w:val="19"/>
                <w:szCs w:val="19"/>
              </w:rPr>
            </w:pPr>
            <w:r>
              <w:rPr>
                <w:sz w:val="19"/>
                <w:szCs w:val="19"/>
                <w:spacing w:val="9"/>
              </w:rPr>
              <w:t>增值税“五五分享”税收返还收入</w:t>
            </w:r>
          </w:p>
        </w:tc>
        <w:tc>
          <w:tcPr>
            <w:tcW w:w="1236" w:type="dxa"/>
            <w:vAlign w:val="top"/>
          </w:tcPr>
          <w:p>
            <w:pPr>
              <w:pStyle w:val="TableText"/>
              <w:ind w:left="649"/>
              <w:spacing w:before="35" w:line="212" w:lineRule="auto"/>
              <w:rPr>
                <w:sz w:val="19"/>
                <w:szCs w:val="19"/>
              </w:rPr>
            </w:pPr>
            <w:r>
              <w:rPr>
                <w:sz w:val="19"/>
                <w:szCs w:val="19"/>
                <w:spacing w:val="-1"/>
              </w:rPr>
              <w:t>19504</w:t>
            </w:r>
          </w:p>
        </w:tc>
        <w:tc>
          <w:tcPr>
            <w:tcW w:w="1401" w:type="dxa"/>
            <w:vAlign w:val="top"/>
          </w:tcPr>
          <w:p>
            <w:pPr>
              <w:pStyle w:val="TableText"/>
              <w:ind w:left="814"/>
              <w:spacing w:before="35" w:line="212" w:lineRule="auto"/>
              <w:rPr>
                <w:sz w:val="19"/>
                <w:szCs w:val="19"/>
              </w:rPr>
            </w:pPr>
            <w:r>
              <w:rPr>
                <w:sz w:val="19"/>
                <w:szCs w:val="19"/>
                <w:spacing w:val="-1"/>
              </w:rPr>
              <w:t>19504</w:t>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64" w:hRule="atLeast"/>
        </w:trPr>
        <w:tc>
          <w:tcPr>
            <w:tcW w:w="5195" w:type="dxa"/>
            <w:vAlign w:val="top"/>
            <w:tcBorders>
              <w:left w:val="single" w:color="000000" w:sz="6" w:space="0"/>
            </w:tcBorders>
          </w:tcPr>
          <w:p>
            <w:pPr>
              <w:pStyle w:val="TableText"/>
              <w:ind w:left="706"/>
              <w:spacing w:before="41" w:line="206" w:lineRule="auto"/>
              <w:rPr>
                <w:sz w:val="19"/>
                <w:szCs w:val="19"/>
              </w:rPr>
            </w:pPr>
            <w:r>
              <w:rPr>
                <w:sz w:val="19"/>
                <w:szCs w:val="19"/>
                <w:spacing w:val="9"/>
              </w:rPr>
              <w:t>其他返还性收入</w:t>
            </w:r>
          </w:p>
        </w:tc>
        <w:tc>
          <w:tcPr>
            <w:tcW w:w="1236" w:type="dxa"/>
            <w:vAlign w:val="top"/>
          </w:tcPr>
          <w:p>
            <w:pPr>
              <w:rPr>
                <w:rFonts w:ascii="Arial"/>
                <w:sz w:val="21"/>
              </w:rPr>
            </w:pPr>
            <w:r/>
          </w:p>
        </w:tc>
        <w:tc>
          <w:tcPr>
            <w:tcW w:w="1401" w:type="dxa"/>
            <w:vAlign w:val="top"/>
          </w:tcPr>
          <w:p>
            <w:pPr>
              <w:rPr>
                <w:rFonts w:ascii="Arial"/>
                <w:sz w:val="21"/>
              </w:rPr>
            </w:pPr>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64" w:hRule="atLeast"/>
        </w:trPr>
        <w:tc>
          <w:tcPr>
            <w:tcW w:w="5195" w:type="dxa"/>
            <w:vAlign w:val="top"/>
            <w:tcBorders>
              <w:left w:val="single" w:color="000000" w:sz="6" w:space="0"/>
            </w:tcBorders>
          </w:tcPr>
          <w:p>
            <w:pPr>
              <w:pStyle w:val="TableText"/>
              <w:ind w:left="506"/>
              <w:spacing w:before="41" w:line="206" w:lineRule="auto"/>
              <w:rPr>
                <w:sz w:val="19"/>
                <w:szCs w:val="19"/>
              </w:rPr>
            </w:pPr>
            <w:r>
              <w:rPr>
                <w:sz w:val="19"/>
                <w:szCs w:val="19"/>
                <w:spacing w:val="9"/>
              </w:rPr>
              <w:t>一般性转移支付收入</w:t>
            </w:r>
          </w:p>
        </w:tc>
        <w:tc>
          <w:tcPr>
            <w:tcW w:w="1236" w:type="dxa"/>
            <w:vAlign w:val="top"/>
          </w:tcPr>
          <w:p>
            <w:pPr>
              <w:pStyle w:val="TableText"/>
              <w:ind w:left="534"/>
              <w:spacing w:before="39" w:line="208" w:lineRule="auto"/>
              <w:rPr>
                <w:sz w:val="19"/>
                <w:szCs w:val="19"/>
              </w:rPr>
            </w:pPr>
            <w:r>
              <w:rPr>
                <w:sz w:val="19"/>
                <w:szCs w:val="19"/>
                <w:spacing w:val="2"/>
              </w:rPr>
              <w:t>266563</w:t>
            </w:r>
          </w:p>
        </w:tc>
        <w:tc>
          <w:tcPr>
            <w:tcW w:w="1401" w:type="dxa"/>
            <w:vAlign w:val="top"/>
          </w:tcPr>
          <w:p>
            <w:pPr>
              <w:pStyle w:val="TableText"/>
              <w:ind w:left="700"/>
              <w:spacing w:before="39" w:line="208" w:lineRule="auto"/>
              <w:rPr>
                <w:sz w:val="19"/>
                <w:szCs w:val="19"/>
              </w:rPr>
            </w:pPr>
            <w:r>
              <w:rPr>
                <w:sz w:val="19"/>
                <w:szCs w:val="19"/>
                <w:spacing w:val="2"/>
              </w:rPr>
              <w:t>225379</w:t>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64" w:hRule="atLeast"/>
        </w:trPr>
        <w:tc>
          <w:tcPr>
            <w:tcW w:w="5195" w:type="dxa"/>
            <w:vAlign w:val="top"/>
            <w:tcBorders>
              <w:left w:val="single" w:color="000000" w:sz="6" w:space="0"/>
            </w:tcBorders>
          </w:tcPr>
          <w:p>
            <w:pPr>
              <w:pStyle w:val="TableText"/>
              <w:ind w:left="707"/>
              <w:spacing w:before="41" w:line="206" w:lineRule="auto"/>
              <w:rPr>
                <w:sz w:val="19"/>
                <w:szCs w:val="19"/>
              </w:rPr>
            </w:pPr>
            <w:r>
              <w:rPr>
                <w:sz w:val="19"/>
                <w:szCs w:val="19"/>
                <w:spacing w:val="9"/>
              </w:rPr>
              <w:t>体制补助收入</w:t>
            </w:r>
          </w:p>
        </w:tc>
        <w:tc>
          <w:tcPr>
            <w:tcW w:w="1236" w:type="dxa"/>
            <w:vAlign w:val="top"/>
          </w:tcPr>
          <w:p>
            <w:pPr>
              <w:pStyle w:val="TableText"/>
              <w:ind w:left="747"/>
              <w:spacing w:before="39" w:line="208" w:lineRule="auto"/>
              <w:rPr>
                <w:sz w:val="19"/>
                <w:szCs w:val="19"/>
              </w:rPr>
            </w:pPr>
            <w:r>
              <w:rPr>
                <w:sz w:val="19"/>
                <w:szCs w:val="19"/>
                <w:spacing w:val="-2"/>
              </w:rPr>
              <w:t>1275</w:t>
            </w:r>
          </w:p>
        </w:tc>
        <w:tc>
          <w:tcPr>
            <w:tcW w:w="1401" w:type="dxa"/>
            <w:vAlign w:val="top"/>
          </w:tcPr>
          <w:p>
            <w:pPr>
              <w:pStyle w:val="TableText"/>
              <w:ind w:left="996"/>
              <w:spacing w:before="39" w:line="208" w:lineRule="auto"/>
              <w:rPr>
                <w:sz w:val="19"/>
                <w:szCs w:val="19"/>
              </w:rPr>
            </w:pPr>
            <w:r>
              <w:rPr>
                <w:sz w:val="19"/>
                <w:szCs w:val="19"/>
                <w:spacing w:val="2"/>
              </w:rPr>
              <w:t>761</w:t>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64" w:hRule="atLeast"/>
        </w:trPr>
        <w:tc>
          <w:tcPr>
            <w:tcW w:w="5195" w:type="dxa"/>
            <w:vAlign w:val="top"/>
            <w:tcBorders>
              <w:left w:val="single" w:color="000000" w:sz="6" w:space="0"/>
            </w:tcBorders>
          </w:tcPr>
          <w:p>
            <w:pPr>
              <w:pStyle w:val="TableText"/>
              <w:ind w:left="709"/>
              <w:spacing w:before="44" w:line="204" w:lineRule="auto"/>
              <w:rPr>
                <w:sz w:val="19"/>
                <w:szCs w:val="19"/>
              </w:rPr>
            </w:pPr>
            <w:r>
              <w:rPr>
                <w:sz w:val="19"/>
                <w:szCs w:val="19"/>
                <w:spacing w:val="9"/>
              </w:rPr>
              <w:t>均衡性转移支付收入</w:t>
            </w:r>
          </w:p>
        </w:tc>
        <w:tc>
          <w:tcPr>
            <w:tcW w:w="1236" w:type="dxa"/>
            <w:vAlign w:val="top"/>
          </w:tcPr>
          <w:p>
            <w:pPr>
              <w:pStyle w:val="TableText"/>
              <w:ind w:left="550"/>
              <w:spacing w:before="41" w:line="206" w:lineRule="auto"/>
              <w:rPr>
                <w:sz w:val="19"/>
                <w:szCs w:val="19"/>
              </w:rPr>
            </w:pPr>
            <w:r>
              <w:rPr>
                <w:sz w:val="19"/>
                <w:szCs w:val="19"/>
              </w:rPr>
              <w:t>122632</w:t>
            </w:r>
          </w:p>
        </w:tc>
        <w:tc>
          <w:tcPr>
            <w:tcW w:w="1401" w:type="dxa"/>
            <w:vAlign w:val="top"/>
          </w:tcPr>
          <w:p>
            <w:pPr>
              <w:pStyle w:val="TableText"/>
              <w:ind w:left="716"/>
              <w:spacing w:before="41" w:line="206" w:lineRule="auto"/>
              <w:rPr>
                <w:sz w:val="19"/>
                <w:szCs w:val="19"/>
              </w:rPr>
            </w:pPr>
            <w:r>
              <w:rPr>
                <w:sz w:val="19"/>
                <w:szCs w:val="19"/>
              </w:rPr>
              <w:t>113146</w:t>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64" w:hRule="atLeast"/>
        </w:trPr>
        <w:tc>
          <w:tcPr>
            <w:tcW w:w="5195" w:type="dxa"/>
            <w:vAlign w:val="top"/>
            <w:tcBorders>
              <w:left w:val="single" w:color="000000" w:sz="6" w:space="0"/>
            </w:tcBorders>
          </w:tcPr>
          <w:p>
            <w:pPr>
              <w:pStyle w:val="TableText"/>
              <w:ind w:left="708"/>
              <w:spacing w:before="44" w:line="204" w:lineRule="auto"/>
              <w:rPr>
                <w:sz w:val="19"/>
                <w:szCs w:val="19"/>
              </w:rPr>
            </w:pPr>
            <w:r>
              <w:rPr>
                <w:sz w:val="19"/>
                <w:szCs w:val="19"/>
                <w:spacing w:val="9"/>
              </w:rPr>
              <w:t>县级基本财力保障机制奖补资金收入</w:t>
            </w:r>
          </w:p>
        </w:tc>
        <w:tc>
          <w:tcPr>
            <w:tcW w:w="1236" w:type="dxa"/>
            <w:vAlign w:val="top"/>
          </w:tcPr>
          <w:p>
            <w:pPr>
              <w:pStyle w:val="TableText"/>
              <w:ind w:left="681"/>
              <w:spacing w:before="41" w:line="206" w:lineRule="auto"/>
              <w:rPr>
                <w:sz w:val="19"/>
                <w:szCs w:val="19"/>
              </w:rPr>
            </w:pPr>
            <w:r>
              <w:rPr>
                <w:sz w:val="19"/>
                <w:szCs w:val="19"/>
                <w:spacing w:val="-7"/>
              </w:rPr>
              <w:t>7,980</w:t>
            </w:r>
          </w:p>
        </w:tc>
        <w:tc>
          <w:tcPr>
            <w:tcW w:w="1401" w:type="dxa"/>
            <w:vAlign w:val="top"/>
          </w:tcPr>
          <w:p>
            <w:pPr>
              <w:rPr>
                <w:rFonts w:ascii="Arial"/>
                <w:sz w:val="21"/>
              </w:rPr>
            </w:pPr>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65" w:hRule="atLeast"/>
        </w:trPr>
        <w:tc>
          <w:tcPr>
            <w:tcW w:w="5195" w:type="dxa"/>
            <w:vAlign w:val="top"/>
            <w:tcBorders>
              <w:left w:val="single" w:color="000000" w:sz="6" w:space="0"/>
            </w:tcBorders>
          </w:tcPr>
          <w:p>
            <w:pPr>
              <w:pStyle w:val="TableText"/>
              <w:ind w:left="707"/>
              <w:spacing w:before="47" w:line="202" w:lineRule="auto"/>
              <w:rPr>
                <w:sz w:val="19"/>
                <w:szCs w:val="19"/>
              </w:rPr>
            </w:pPr>
            <w:r>
              <w:rPr>
                <w:sz w:val="19"/>
                <w:szCs w:val="19"/>
                <w:spacing w:val="9"/>
              </w:rPr>
              <w:t>结算补助收入</w:t>
            </w:r>
          </w:p>
        </w:tc>
        <w:tc>
          <w:tcPr>
            <w:tcW w:w="1236" w:type="dxa"/>
            <w:vAlign w:val="top"/>
          </w:tcPr>
          <w:p>
            <w:pPr>
              <w:pStyle w:val="TableText"/>
              <w:ind w:left="598"/>
              <w:spacing w:before="42" w:line="206" w:lineRule="auto"/>
              <w:rPr>
                <w:sz w:val="19"/>
                <w:szCs w:val="19"/>
              </w:rPr>
            </w:pPr>
            <w:r>
              <w:rPr>
                <w:sz w:val="19"/>
                <w:szCs w:val="19"/>
                <w:spacing w:val="-9"/>
              </w:rPr>
              <w:t>11,097</w:t>
            </w:r>
          </w:p>
        </w:tc>
        <w:tc>
          <w:tcPr>
            <w:tcW w:w="1401" w:type="dxa"/>
            <w:vAlign w:val="top"/>
          </w:tcPr>
          <w:p>
            <w:pPr>
              <w:pStyle w:val="TableText"/>
              <w:ind w:left="998"/>
              <w:spacing w:before="42" w:line="206" w:lineRule="auto"/>
              <w:rPr>
                <w:sz w:val="19"/>
                <w:szCs w:val="19"/>
              </w:rPr>
            </w:pPr>
            <w:r>
              <w:rPr>
                <w:sz w:val="19"/>
                <w:szCs w:val="19"/>
                <w:spacing w:val="1"/>
              </w:rPr>
              <w:t>662</w:t>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64" w:hRule="atLeast"/>
        </w:trPr>
        <w:tc>
          <w:tcPr>
            <w:tcW w:w="5195" w:type="dxa"/>
            <w:vAlign w:val="top"/>
            <w:tcBorders>
              <w:left w:val="single" w:color="000000" w:sz="6" w:space="0"/>
            </w:tcBorders>
          </w:tcPr>
          <w:p>
            <w:pPr>
              <w:pStyle w:val="TableText"/>
              <w:ind w:left="711"/>
              <w:spacing w:before="46" w:line="202" w:lineRule="auto"/>
              <w:rPr>
                <w:sz w:val="19"/>
                <w:szCs w:val="19"/>
              </w:rPr>
            </w:pPr>
            <w:r>
              <w:rPr>
                <w:sz w:val="19"/>
                <w:szCs w:val="19"/>
                <w:spacing w:val="9"/>
              </w:rPr>
              <w:t>资源枯竭型城市转移支付补助收入</w:t>
            </w:r>
          </w:p>
        </w:tc>
        <w:tc>
          <w:tcPr>
            <w:tcW w:w="1236" w:type="dxa"/>
            <w:vAlign w:val="top"/>
          </w:tcPr>
          <w:p>
            <w:pPr>
              <w:rPr>
                <w:rFonts w:ascii="Arial"/>
                <w:sz w:val="21"/>
              </w:rPr>
            </w:pPr>
            <w:r/>
          </w:p>
        </w:tc>
        <w:tc>
          <w:tcPr>
            <w:tcW w:w="1401" w:type="dxa"/>
            <w:vAlign w:val="top"/>
          </w:tcPr>
          <w:p>
            <w:pPr>
              <w:rPr>
                <w:rFonts w:ascii="Arial"/>
                <w:sz w:val="21"/>
              </w:rPr>
            </w:pPr>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65" w:hRule="atLeast"/>
        </w:trPr>
        <w:tc>
          <w:tcPr>
            <w:tcW w:w="5195" w:type="dxa"/>
            <w:vAlign w:val="top"/>
            <w:tcBorders>
              <w:left w:val="single" w:color="000000" w:sz="6" w:space="0"/>
            </w:tcBorders>
          </w:tcPr>
          <w:p>
            <w:pPr>
              <w:pStyle w:val="TableText"/>
              <w:ind w:left="707"/>
              <w:spacing w:before="48" w:line="201" w:lineRule="auto"/>
              <w:rPr>
                <w:sz w:val="19"/>
                <w:szCs w:val="19"/>
              </w:rPr>
            </w:pPr>
            <w:r>
              <w:rPr>
                <w:sz w:val="19"/>
                <w:szCs w:val="19"/>
                <w:spacing w:val="9"/>
              </w:rPr>
              <w:t>企业事业单位划转补助收入</w:t>
            </w:r>
          </w:p>
        </w:tc>
        <w:tc>
          <w:tcPr>
            <w:tcW w:w="1236" w:type="dxa"/>
            <w:vAlign w:val="top"/>
          </w:tcPr>
          <w:p>
            <w:pPr>
              <w:pStyle w:val="TableText"/>
              <w:ind w:left="830"/>
              <w:spacing w:before="44" w:line="205" w:lineRule="auto"/>
              <w:rPr>
                <w:sz w:val="19"/>
                <w:szCs w:val="19"/>
              </w:rPr>
            </w:pPr>
            <w:r>
              <w:rPr>
                <w:sz w:val="19"/>
                <w:szCs w:val="19"/>
                <w:spacing w:val="1"/>
              </w:rPr>
              <w:t>508</w:t>
            </w:r>
          </w:p>
        </w:tc>
        <w:tc>
          <w:tcPr>
            <w:tcW w:w="1401" w:type="dxa"/>
            <w:vAlign w:val="top"/>
          </w:tcPr>
          <w:p>
            <w:pPr>
              <w:pStyle w:val="TableText"/>
              <w:ind w:left="998"/>
              <w:spacing w:before="44" w:line="205" w:lineRule="auto"/>
              <w:rPr>
                <w:sz w:val="19"/>
                <w:szCs w:val="19"/>
              </w:rPr>
            </w:pPr>
            <w:r>
              <w:rPr>
                <w:sz w:val="19"/>
                <w:szCs w:val="19"/>
                <w:spacing w:val="1"/>
              </w:rPr>
              <w:t>508</w:t>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64" w:hRule="atLeast"/>
        </w:trPr>
        <w:tc>
          <w:tcPr>
            <w:tcW w:w="5195" w:type="dxa"/>
            <w:vAlign w:val="top"/>
            <w:tcBorders>
              <w:left w:val="single" w:color="000000" w:sz="6" w:space="0"/>
            </w:tcBorders>
          </w:tcPr>
          <w:p>
            <w:pPr>
              <w:pStyle w:val="TableText"/>
              <w:ind w:left="707"/>
              <w:spacing w:before="45" w:line="203" w:lineRule="auto"/>
              <w:rPr>
                <w:sz w:val="19"/>
                <w:szCs w:val="19"/>
              </w:rPr>
            </w:pPr>
            <w:r>
              <w:rPr>
                <w:sz w:val="19"/>
                <w:szCs w:val="19"/>
                <w:spacing w:val="9"/>
              </w:rPr>
              <w:t>产粮（油）大县奖励资金收入</w:t>
            </w:r>
          </w:p>
        </w:tc>
        <w:tc>
          <w:tcPr>
            <w:tcW w:w="1236" w:type="dxa"/>
            <w:vAlign w:val="top"/>
          </w:tcPr>
          <w:p>
            <w:pPr>
              <w:rPr>
                <w:rFonts w:ascii="Arial"/>
                <w:sz w:val="21"/>
              </w:rPr>
            </w:pPr>
            <w:r/>
          </w:p>
        </w:tc>
        <w:tc>
          <w:tcPr>
            <w:tcW w:w="1401" w:type="dxa"/>
            <w:vAlign w:val="top"/>
          </w:tcPr>
          <w:p>
            <w:pPr>
              <w:rPr>
                <w:rFonts w:ascii="Arial"/>
                <w:sz w:val="21"/>
              </w:rPr>
            </w:pPr>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65" w:hRule="atLeast"/>
        </w:trPr>
        <w:tc>
          <w:tcPr>
            <w:tcW w:w="5195" w:type="dxa"/>
            <w:vAlign w:val="top"/>
            <w:tcBorders>
              <w:left w:val="single" w:color="000000" w:sz="6" w:space="0"/>
            </w:tcBorders>
          </w:tcPr>
          <w:p>
            <w:pPr>
              <w:pStyle w:val="TableText"/>
              <w:ind w:left="708"/>
              <w:spacing w:before="47" w:line="202" w:lineRule="auto"/>
              <w:rPr>
                <w:sz w:val="19"/>
                <w:szCs w:val="19"/>
              </w:rPr>
            </w:pPr>
            <w:r>
              <w:rPr>
                <w:sz w:val="19"/>
                <w:szCs w:val="19"/>
                <w:spacing w:val="9"/>
              </w:rPr>
              <w:t>重点生态功能区转移支付收入</w:t>
            </w:r>
          </w:p>
        </w:tc>
        <w:tc>
          <w:tcPr>
            <w:tcW w:w="1236" w:type="dxa"/>
            <w:vAlign w:val="top"/>
          </w:tcPr>
          <w:p>
            <w:pPr>
              <w:pStyle w:val="TableText"/>
              <w:ind w:left="832"/>
              <w:spacing w:before="45" w:line="204" w:lineRule="auto"/>
              <w:rPr>
                <w:sz w:val="19"/>
                <w:szCs w:val="19"/>
              </w:rPr>
            </w:pPr>
            <w:r>
              <w:rPr>
                <w:sz w:val="19"/>
                <w:szCs w:val="19"/>
              </w:rPr>
              <w:t>300</w:t>
            </w:r>
          </w:p>
        </w:tc>
        <w:tc>
          <w:tcPr>
            <w:tcW w:w="1401" w:type="dxa"/>
            <w:vAlign w:val="top"/>
          </w:tcPr>
          <w:p>
            <w:pPr>
              <w:pStyle w:val="TableText"/>
              <w:ind w:left="997"/>
              <w:spacing w:before="45" w:line="204" w:lineRule="auto"/>
              <w:rPr>
                <w:sz w:val="19"/>
                <w:szCs w:val="19"/>
              </w:rPr>
            </w:pPr>
            <w:r>
              <w:rPr>
                <w:sz w:val="19"/>
                <w:szCs w:val="19"/>
                <w:spacing w:val="1"/>
              </w:rPr>
              <w:t>270</w:t>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64" w:hRule="atLeast"/>
        </w:trPr>
        <w:tc>
          <w:tcPr>
            <w:tcW w:w="5195" w:type="dxa"/>
            <w:vAlign w:val="top"/>
            <w:tcBorders>
              <w:left w:val="single" w:color="000000" w:sz="6" w:space="0"/>
            </w:tcBorders>
          </w:tcPr>
          <w:p>
            <w:pPr>
              <w:pStyle w:val="TableText"/>
              <w:ind w:left="727"/>
              <w:spacing w:before="51" w:line="197" w:lineRule="auto"/>
              <w:rPr>
                <w:sz w:val="19"/>
                <w:szCs w:val="19"/>
              </w:rPr>
            </w:pPr>
            <w:r>
              <w:rPr>
                <w:sz w:val="19"/>
                <w:szCs w:val="19"/>
                <w:spacing w:val="6"/>
              </w:rPr>
              <w:t>固定数额补助收入</w:t>
            </w:r>
          </w:p>
        </w:tc>
        <w:tc>
          <w:tcPr>
            <w:tcW w:w="1236" w:type="dxa"/>
            <w:vAlign w:val="top"/>
          </w:tcPr>
          <w:p>
            <w:pPr>
              <w:pStyle w:val="TableText"/>
              <w:ind w:left="598"/>
              <w:spacing w:before="46" w:line="202" w:lineRule="auto"/>
              <w:rPr>
                <w:sz w:val="19"/>
                <w:szCs w:val="19"/>
              </w:rPr>
            </w:pPr>
            <w:r>
              <w:rPr>
                <w:sz w:val="19"/>
                <w:szCs w:val="19"/>
                <w:spacing w:val="-9"/>
              </w:rPr>
              <w:t>10,778</w:t>
            </w:r>
          </w:p>
        </w:tc>
        <w:tc>
          <w:tcPr>
            <w:tcW w:w="1401" w:type="dxa"/>
            <w:vAlign w:val="top"/>
          </w:tcPr>
          <w:p>
            <w:pPr>
              <w:pStyle w:val="TableText"/>
              <w:ind w:left="901"/>
              <w:spacing w:before="46" w:line="202" w:lineRule="auto"/>
              <w:rPr>
                <w:sz w:val="19"/>
                <w:szCs w:val="19"/>
              </w:rPr>
            </w:pPr>
            <w:r>
              <w:rPr>
                <w:sz w:val="19"/>
                <w:szCs w:val="19"/>
                <w:spacing w:val="1"/>
              </w:rPr>
              <w:t>8867</w:t>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86" w:hRule="atLeast"/>
        </w:trPr>
        <w:tc>
          <w:tcPr>
            <w:tcW w:w="5195" w:type="dxa"/>
            <w:vAlign w:val="top"/>
            <w:tcBorders>
              <w:left w:val="single" w:color="000000" w:sz="6" w:space="0"/>
            </w:tcBorders>
          </w:tcPr>
          <w:p>
            <w:pPr>
              <w:pStyle w:val="TableText"/>
              <w:ind w:left="707"/>
              <w:spacing w:before="58" w:line="211" w:lineRule="auto"/>
              <w:rPr>
                <w:sz w:val="19"/>
                <w:szCs w:val="19"/>
              </w:rPr>
            </w:pPr>
            <w:r>
              <w:rPr>
                <w:sz w:val="19"/>
                <w:szCs w:val="19"/>
                <w:spacing w:val="9"/>
              </w:rPr>
              <w:t>革命老区转移支付收入</w:t>
            </w:r>
          </w:p>
        </w:tc>
        <w:tc>
          <w:tcPr>
            <w:tcW w:w="1236" w:type="dxa"/>
            <w:vAlign w:val="top"/>
          </w:tcPr>
          <w:p>
            <w:pPr>
              <w:rPr>
                <w:rFonts w:ascii="Arial"/>
                <w:sz w:val="21"/>
              </w:rPr>
            </w:pPr>
            <w:r/>
          </w:p>
        </w:tc>
        <w:tc>
          <w:tcPr>
            <w:tcW w:w="1401" w:type="dxa"/>
            <w:vAlign w:val="top"/>
          </w:tcPr>
          <w:p>
            <w:pPr>
              <w:rPr>
                <w:rFonts w:ascii="Arial"/>
                <w:sz w:val="21"/>
              </w:rPr>
            </w:pPr>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86" w:hRule="atLeast"/>
        </w:trPr>
        <w:tc>
          <w:tcPr>
            <w:tcW w:w="5195" w:type="dxa"/>
            <w:vAlign w:val="top"/>
            <w:tcBorders>
              <w:left w:val="single" w:color="000000" w:sz="6" w:space="0"/>
            </w:tcBorders>
          </w:tcPr>
          <w:p>
            <w:pPr>
              <w:pStyle w:val="TableText"/>
              <w:ind w:left="724"/>
              <w:spacing w:before="60" w:line="209" w:lineRule="auto"/>
              <w:rPr>
                <w:sz w:val="19"/>
                <w:szCs w:val="19"/>
              </w:rPr>
            </w:pPr>
            <w:r>
              <w:rPr>
                <w:sz w:val="19"/>
                <w:szCs w:val="19"/>
                <w:spacing w:val="7"/>
              </w:rPr>
              <w:t>民族地区转移支付收入</w:t>
            </w:r>
          </w:p>
        </w:tc>
        <w:tc>
          <w:tcPr>
            <w:tcW w:w="1236" w:type="dxa"/>
            <w:vAlign w:val="top"/>
          </w:tcPr>
          <w:p>
            <w:pPr>
              <w:pStyle w:val="TableText"/>
              <w:ind w:left="832"/>
              <w:spacing w:before="58" w:line="211" w:lineRule="auto"/>
              <w:rPr>
                <w:sz w:val="19"/>
                <w:szCs w:val="19"/>
              </w:rPr>
            </w:pPr>
            <w:r>
              <w:rPr>
                <w:sz w:val="19"/>
                <w:szCs w:val="19"/>
              </w:rPr>
              <w:t>819</w:t>
            </w:r>
          </w:p>
        </w:tc>
        <w:tc>
          <w:tcPr>
            <w:tcW w:w="1401" w:type="dxa"/>
            <w:vAlign w:val="top"/>
          </w:tcPr>
          <w:p>
            <w:pPr>
              <w:rPr>
                <w:rFonts w:ascii="Arial"/>
                <w:sz w:val="21"/>
              </w:rPr>
            </w:pPr>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334" w:hRule="atLeast"/>
        </w:trPr>
        <w:tc>
          <w:tcPr>
            <w:tcW w:w="5195" w:type="dxa"/>
            <w:vAlign w:val="top"/>
            <w:tcBorders>
              <w:left w:val="single" w:color="000000" w:sz="6" w:space="0"/>
              <w:bottom w:val="single" w:color="000000" w:sz="6" w:space="0"/>
            </w:tcBorders>
          </w:tcPr>
          <w:p>
            <w:pPr>
              <w:pStyle w:val="TableText"/>
              <w:ind w:left="707"/>
              <w:spacing w:before="98" w:line="219" w:lineRule="auto"/>
              <w:rPr>
                <w:sz w:val="19"/>
                <w:szCs w:val="19"/>
              </w:rPr>
            </w:pPr>
            <w:r>
              <w:rPr>
                <w:sz w:val="19"/>
                <w:szCs w:val="19"/>
                <w:spacing w:val="9"/>
              </w:rPr>
              <w:t>边境地区转移支付收入</w:t>
            </w:r>
          </w:p>
        </w:tc>
        <w:tc>
          <w:tcPr>
            <w:tcW w:w="1236" w:type="dxa"/>
            <w:vAlign w:val="top"/>
            <w:tcBorders>
              <w:bottom w:val="single" w:color="000000" w:sz="6" w:space="0"/>
            </w:tcBorders>
          </w:tcPr>
          <w:p>
            <w:pPr>
              <w:rPr>
                <w:rFonts w:ascii="Arial"/>
                <w:sz w:val="21"/>
              </w:rPr>
            </w:pPr>
            <w:r/>
          </w:p>
        </w:tc>
        <w:tc>
          <w:tcPr>
            <w:tcW w:w="1401" w:type="dxa"/>
            <w:vAlign w:val="top"/>
            <w:tcBorders>
              <w:bottom w:val="single" w:color="000000" w:sz="6" w:space="0"/>
            </w:tcBorders>
          </w:tcPr>
          <w:p>
            <w:pPr>
              <w:rPr>
                <w:rFonts w:ascii="Arial"/>
                <w:sz w:val="21"/>
              </w:rPr>
            </w:pPr>
            <w:r/>
          </w:p>
        </w:tc>
        <w:tc>
          <w:tcPr>
            <w:tcW w:w="2234" w:type="dxa"/>
            <w:vAlign w:val="top"/>
            <w:tcBorders>
              <w:bottom w:val="single" w:color="000000" w:sz="6" w:space="0"/>
            </w:tcBorders>
          </w:tcPr>
          <w:p>
            <w:pPr>
              <w:rPr>
                <w:rFonts w:ascii="Arial"/>
                <w:sz w:val="21"/>
              </w:rPr>
            </w:pPr>
            <w:r/>
          </w:p>
        </w:tc>
        <w:tc>
          <w:tcPr>
            <w:tcW w:w="2415" w:type="dxa"/>
            <w:vAlign w:val="top"/>
            <w:tcBorders>
              <w:bottom w:val="single" w:color="000000" w:sz="6" w:space="0"/>
            </w:tcBorders>
          </w:tcPr>
          <w:p>
            <w:pPr>
              <w:rPr>
                <w:rFonts w:ascii="Arial"/>
                <w:sz w:val="21"/>
              </w:rPr>
            </w:pPr>
            <w:r/>
          </w:p>
        </w:tc>
        <w:tc>
          <w:tcPr>
            <w:tcW w:w="1415" w:type="dxa"/>
            <w:vAlign w:val="top"/>
            <w:tcBorders>
              <w:bottom w:val="single" w:color="000000" w:sz="6" w:space="0"/>
              <w:right w:val="single" w:color="000000" w:sz="6" w:space="0"/>
            </w:tcBorders>
          </w:tcPr>
          <w:p>
            <w:pPr>
              <w:rPr>
                <w:rFonts w:ascii="Arial"/>
                <w:sz w:val="21"/>
              </w:rPr>
            </w:pPr>
            <w:r/>
          </w:p>
        </w:tc>
      </w:tr>
    </w:tbl>
    <w:p>
      <w:pPr>
        <w:ind w:left="11267"/>
        <w:spacing w:before="245" w:line="21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 45</w:t>
      </w:r>
    </w:p>
    <w:p>
      <w:pPr>
        <w:spacing w:line="213" w:lineRule="auto"/>
        <w:sectPr>
          <w:headerReference w:type="default" r:id="rId57"/>
          <w:footerReference w:type="default" r:id="rId58"/>
          <w:pgSz w:w="16839" w:h="11906"/>
          <w:pgMar w:top="1780" w:right="1463" w:bottom="400" w:left="1463" w:header="1428" w:footer="0" w:gutter="0"/>
        </w:sectPr>
        <w:rPr>
          <w:rFonts w:ascii="Microsoft YaHei" w:hAnsi="Microsoft YaHei" w:eastAsia="Microsoft YaHei" w:cs="Microsoft YaHei"/>
          <w:sz w:val="20"/>
          <w:szCs w:val="20"/>
        </w:rPr>
      </w:pPr>
    </w:p>
    <w:p>
      <w:pPr>
        <w:spacing w:before="51"/>
        <w:rPr/>
      </w:pPr>
      <w:r>
        <w:drawing>
          <wp:anchor distT="0" distB="0" distL="0" distR="0" simplePos="0" relativeHeight="251660288"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122" name="IM 122"/>
            <wp:cNvGraphicFramePr/>
            <a:graphic>
              <a:graphicData uri="http://schemas.openxmlformats.org/drawingml/2006/picture">
                <pic:pic>
                  <pic:nvPicPr>
                    <pic:cNvPr id="122" name="IM 122"/>
                    <pic:cNvPicPr/>
                  </pic:nvPicPr>
                  <pic:blipFill>
                    <a:blip r:embed="rId63"/>
                    <a:stretch>
                      <a:fillRect/>
                    </a:stretch>
                  </pic:blipFill>
                  <pic:spPr>
                    <a:xfrm rot="0">
                      <a:off x="0" y="0"/>
                      <a:ext cx="8712200" cy="7620"/>
                    </a:xfrm>
                    <a:prstGeom prst="rect">
                      <a:avLst/>
                    </a:prstGeom>
                  </pic:spPr>
                </pic:pic>
              </a:graphicData>
            </a:graphic>
          </wp:anchor>
        </w:drawing>
      </w: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95"/>
        <w:gridCol w:w="1236"/>
        <w:gridCol w:w="1401"/>
        <w:gridCol w:w="2234"/>
        <w:gridCol w:w="2415"/>
        <w:gridCol w:w="1415"/>
      </w:tblGrid>
      <w:tr>
        <w:trPr>
          <w:trHeight w:val="312" w:hRule="atLeast"/>
        </w:trPr>
        <w:tc>
          <w:tcPr>
            <w:tcW w:w="7832" w:type="dxa"/>
            <w:vAlign w:val="top"/>
            <w:gridSpan w:val="3"/>
            <w:tcBorders>
              <w:left w:val="single" w:color="000000" w:sz="6" w:space="0"/>
              <w:top w:val="single" w:color="000000" w:sz="6" w:space="0"/>
            </w:tcBorders>
          </w:tcPr>
          <w:p>
            <w:pPr>
              <w:pStyle w:val="TableText"/>
              <w:ind w:left="3721"/>
              <w:spacing w:before="80" w:line="214" w:lineRule="auto"/>
              <w:rPr>
                <w:sz w:val="19"/>
                <w:szCs w:val="19"/>
              </w:rPr>
            </w:pPr>
            <w:r>
              <w:rPr>
                <w:sz w:val="19"/>
                <w:szCs w:val="19"/>
                <w:b/>
                <w:bCs/>
                <w:spacing w:val="2"/>
              </w:rPr>
              <w:t>收入</w:t>
            </w:r>
          </w:p>
        </w:tc>
        <w:tc>
          <w:tcPr>
            <w:tcW w:w="6064" w:type="dxa"/>
            <w:vAlign w:val="top"/>
            <w:gridSpan w:val="3"/>
            <w:tcBorders>
              <w:right w:val="single" w:color="000000" w:sz="6" w:space="0"/>
              <w:top w:val="single" w:color="000000" w:sz="6" w:space="0"/>
            </w:tcBorders>
          </w:tcPr>
          <w:p>
            <w:pPr>
              <w:pStyle w:val="TableText"/>
              <w:ind w:left="2831"/>
              <w:spacing w:before="78" w:line="217" w:lineRule="auto"/>
              <w:rPr>
                <w:sz w:val="19"/>
                <w:szCs w:val="19"/>
              </w:rPr>
            </w:pPr>
            <w:r>
              <w:rPr>
                <w:sz w:val="19"/>
                <w:szCs w:val="19"/>
                <w:b/>
                <w:bCs/>
                <w:spacing w:val="5"/>
              </w:rPr>
              <w:t>支出</w:t>
            </w:r>
          </w:p>
        </w:tc>
      </w:tr>
      <w:tr>
        <w:trPr>
          <w:trHeight w:val="444" w:hRule="atLeast"/>
        </w:trPr>
        <w:tc>
          <w:tcPr>
            <w:tcW w:w="5195" w:type="dxa"/>
            <w:vAlign w:val="top"/>
            <w:tcBorders>
              <w:left w:val="single" w:color="000000" w:sz="6" w:space="0"/>
            </w:tcBorders>
          </w:tcPr>
          <w:p>
            <w:pPr>
              <w:pStyle w:val="TableText"/>
              <w:ind w:left="2394"/>
              <w:spacing w:before="143" w:line="212" w:lineRule="auto"/>
              <w:rPr>
                <w:sz w:val="19"/>
                <w:szCs w:val="19"/>
              </w:rPr>
            </w:pPr>
            <w:r>
              <w:rPr>
                <w:sz w:val="19"/>
                <w:szCs w:val="19"/>
                <w:b/>
                <w:bCs/>
                <w:spacing w:val="6"/>
              </w:rPr>
              <w:t>项目</w:t>
            </w:r>
          </w:p>
        </w:tc>
        <w:tc>
          <w:tcPr>
            <w:tcW w:w="1236" w:type="dxa"/>
            <w:vAlign w:val="top"/>
          </w:tcPr>
          <w:p>
            <w:pPr>
              <w:pStyle w:val="TableText"/>
              <w:ind w:left="179" w:right="185" w:firstLine="35"/>
              <w:spacing w:before="5" w:line="208" w:lineRule="auto"/>
              <w:rPr>
                <w:sz w:val="19"/>
                <w:szCs w:val="19"/>
              </w:rPr>
            </w:pPr>
            <w:r>
              <w:rPr>
                <w:sz w:val="19"/>
                <w:szCs w:val="19"/>
                <w:b/>
                <w:bCs/>
                <w:spacing w:val="7"/>
              </w:rPr>
              <w:t>上年决算</w:t>
            </w:r>
            <w:r>
              <w:rPr>
                <w:sz w:val="19"/>
                <w:szCs w:val="19"/>
                <w:b/>
                <w:bCs/>
                <w:spacing w:val="-1"/>
              </w:rPr>
              <w:t>（执行)数</w:t>
            </w:r>
          </w:p>
        </w:tc>
        <w:tc>
          <w:tcPr>
            <w:tcW w:w="1401" w:type="dxa"/>
            <w:vAlign w:val="top"/>
          </w:tcPr>
          <w:p>
            <w:pPr>
              <w:pStyle w:val="TableText"/>
              <w:ind w:left="402"/>
              <w:spacing w:before="138" w:line="221" w:lineRule="auto"/>
              <w:rPr>
                <w:sz w:val="19"/>
                <w:szCs w:val="19"/>
              </w:rPr>
            </w:pPr>
            <w:r>
              <w:rPr>
                <w:sz w:val="19"/>
                <w:szCs w:val="19"/>
                <w:b/>
                <w:bCs/>
                <w:spacing w:val="5"/>
              </w:rPr>
              <w:t>预算数</w:t>
            </w:r>
          </w:p>
        </w:tc>
        <w:tc>
          <w:tcPr>
            <w:tcW w:w="2234" w:type="dxa"/>
            <w:vAlign w:val="top"/>
          </w:tcPr>
          <w:p>
            <w:pPr>
              <w:pStyle w:val="TableText"/>
              <w:ind w:left="917"/>
              <w:spacing w:before="143" w:line="212" w:lineRule="auto"/>
              <w:rPr>
                <w:sz w:val="19"/>
                <w:szCs w:val="19"/>
              </w:rPr>
            </w:pPr>
            <w:r>
              <w:rPr>
                <w:sz w:val="19"/>
                <w:szCs w:val="19"/>
                <w:b/>
                <w:bCs/>
                <w:spacing w:val="6"/>
              </w:rPr>
              <w:t>项目</w:t>
            </w:r>
          </w:p>
        </w:tc>
        <w:tc>
          <w:tcPr>
            <w:tcW w:w="2415" w:type="dxa"/>
            <w:vAlign w:val="top"/>
          </w:tcPr>
          <w:p>
            <w:pPr>
              <w:pStyle w:val="TableText"/>
              <w:ind w:left="383"/>
              <w:spacing w:before="135" w:line="264" w:lineRule="exact"/>
              <w:rPr>
                <w:sz w:val="19"/>
                <w:szCs w:val="19"/>
              </w:rPr>
            </w:pPr>
            <w:r>
              <w:rPr>
                <w:sz w:val="19"/>
                <w:szCs w:val="19"/>
                <w:b/>
                <w:bCs/>
                <w:spacing w:val="2"/>
                <w:position w:val="1"/>
              </w:rPr>
              <w:t>上年决算（执行)数</w:t>
            </w:r>
          </w:p>
        </w:tc>
        <w:tc>
          <w:tcPr>
            <w:tcW w:w="1415" w:type="dxa"/>
            <w:vAlign w:val="top"/>
            <w:tcBorders>
              <w:right w:val="single" w:color="000000" w:sz="6" w:space="0"/>
            </w:tcBorders>
          </w:tcPr>
          <w:p>
            <w:pPr>
              <w:pStyle w:val="TableText"/>
              <w:ind w:left="412"/>
              <w:spacing w:before="138" w:line="221" w:lineRule="auto"/>
              <w:rPr>
                <w:sz w:val="19"/>
                <w:szCs w:val="19"/>
              </w:rPr>
            </w:pPr>
            <w:r>
              <w:rPr>
                <w:sz w:val="19"/>
                <w:szCs w:val="19"/>
                <w:b/>
                <w:bCs/>
                <w:spacing w:val="5"/>
              </w:rPr>
              <w:t>预算数</w:t>
            </w:r>
          </w:p>
        </w:tc>
      </w:tr>
      <w:tr>
        <w:trPr>
          <w:trHeight w:val="325" w:hRule="atLeast"/>
        </w:trPr>
        <w:tc>
          <w:tcPr>
            <w:tcW w:w="5195" w:type="dxa"/>
            <w:vAlign w:val="top"/>
            <w:tcBorders>
              <w:left w:val="single" w:color="000000" w:sz="6" w:space="0"/>
            </w:tcBorders>
          </w:tcPr>
          <w:p>
            <w:pPr>
              <w:pStyle w:val="TableText"/>
              <w:ind w:left="708"/>
              <w:spacing w:before="86" w:line="222" w:lineRule="auto"/>
              <w:rPr>
                <w:sz w:val="19"/>
                <w:szCs w:val="19"/>
              </w:rPr>
            </w:pPr>
            <w:r>
              <w:rPr>
                <w:sz w:val="19"/>
                <w:szCs w:val="19"/>
                <w:spacing w:val="9"/>
              </w:rPr>
              <w:t>贫困地区转移支付收入</w:t>
            </w:r>
          </w:p>
        </w:tc>
        <w:tc>
          <w:tcPr>
            <w:tcW w:w="1236" w:type="dxa"/>
            <w:vAlign w:val="top"/>
          </w:tcPr>
          <w:p>
            <w:pPr>
              <w:rPr>
                <w:rFonts w:ascii="Arial"/>
                <w:sz w:val="21"/>
              </w:rPr>
            </w:pPr>
            <w:r/>
          </w:p>
        </w:tc>
        <w:tc>
          <w:tcPr>
            <w:tcW w:w="1401" w:type="dxa"/>
            <w:vAlign w:val="top"/>
          </w:tcPr>
          <w:p>
            <w:pPr>
              <w:rPr>
                <w:rFonts w:ascii="Arial"/>
                <w:sz w:val="21"/>
              </w:rPr>
            </w:pPr>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324" w:hRule="atLeast"/>
        </w:trPr>
        <w:tc>
          <w:tcPr>
            <w:tcW w:w="5195" w:type="dxa"/>
            <w:vAlign w:val="top"/>
            <w:tcBorders>
              <w:left w:val="single" w:color="000000" w:sz="6" w:space="0"/>
            </w:tcBorders>
          </w:tcPr>
          <w:p>
            <w:pPr>
              <w:pStyle w:val="TableText"/>
              <w:ind w:left="707"/>
              <w:spacing w:before="84" w:line="223" w:lineRule="auto"/>
              <w:rPr>
                <w:sz w:val="19"/>
                <w:szCs w:val="19"/>
              </w:rPr>
            </w:pPr>
            <w:r>
              <w:rPr>
                <w:sz w:val="19"/>
                <w:szCs w:val="19"/>
                <w:spacing w:val="9"/>
              </w:rPr>
              <w:t>一般公共服务共同财政事权转移支付收入</w:t>
            </w:r>
          </w:p>
        </w:tc>
        <w:tc>
          <w:tcPr>
            <w:tcW w:w="1236" w:type="dxa"/>
            <w:vAlign w:val="top"/>
          </w:tcPr>
          <w:p>
            <w:pPr>
              <w:rPr>
                <w:rFonts w:ascii="Arial"/>
                <w:sz w:val="21"/>
              </w:rPr>
            </w:pPr>
            <w:r/>
          </w:p>
        </w:tc>
        <w:tc>
          <w:tcPr>
            <w:tcW w:w="1401" w:type="dxa"/>
            <w:vAlign w:val="top"/>
          </w:tcPr>
          <w:p>
            <w:pPr>
              <w:rPr>
                <w:rFonts w:ascii="Arial"/>
                <w:sz w:val="21"/>
              </w:rPr>
            </w:pPr>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325" w:hRule="atLeast"/>
        </w:trPr>
        <w:tc>
          <w:tcPr>
            <w:tcW w:w="5195" w:type="dxa"/>
            <w:vAlign w:val="top"/>
            <w:tcBorders>
              <w:left w:val="single" w:color="000000" w:sz="6" w:space="0"/>
            </w:tcBorders>
          </w:tcPr>
          <w:p>
            <w:pPr>
              <w:pStyle w:val="TableText"/>
              <w:ind w:left="706"/>
              <w:spacing w:before="86" w:line="222" w:lineRule="auto"/>
              <w:rPr>
                <w:sz w:val="19"/>
                <w:szCs w:val="19"/>
              </w:rPr>
            </w:pPr>
            <w:r>
              <w:rPr>
                <w:sz w:val="19"/>
                <w:szCs w:val="19"/>
                <w:spacing w:val="9"/>
              </w:rPr>
              <w:t>外交共同财政事权转移支付收入</w:t>
            </w:r>
          </w:p>
        </w:tc>
        <w:tc>
          <w:tcPr>
            <w:tcW w:w="1236" w:type="dxa"/>
            <w:vAlign w:val="top"/>
          </w:tcPr>
          <w:p>
            <w:pPr>
              <w:rPr>
                <w:rFonts w:ascii="Arial"/>
                <w:sz w:val="21"/>
              </w:rPr>
            </w:pPr>
            <w:r/>
          </w:p>
        </w:tc>
        <w:tc>
          <w:tcPr>
            <w:tcW w:w="1401" w:type="dxa"/>
            <w:vAlign w:val="top"/>
          </w:tcPr>
          <w:p>
            <w:pPr>
              <w:rPr>
                <w:rFonts w:ascii="Arial"/>
                <w:sz w:val="21"/>
              </w:rPr>
            </w:pPr>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324" w:hRule="atLeast"/>
        </w:trPr>
        <w:tc>
          <w:tcPr>
            <w:tcW w:w="5195" w:type="dxa"/>
            <w:vAlign w:val="top"/>
            <w:tcBorders>
              <w:left w:val="single" w:color="000000" w:sz="6" w:space="0"/>
            </w:tcBorders>
          </w:tcPr>
          <w:p>
            <w:pPr>
              <w:pStyle w:val="TableText"/>
              <w:ind w:left="727"/>
              <w:spacing w:before="85" w:line="222" w:lineRule="auto"/>
              <w:rPr>
                <w:sz w:val="19"/>
                <w:szCs w:val="19"/>
              </w:rPr>
            </w:pPr>
            <w:r>
              <w:rPr>
                <w:sz w:val="19"/>
                <w:szCs w:val="19"/>
                <w:spacing w:val="8"/>
              </w:rPr>
              <w:t>国防共同财政事权转移支付收入</w:t>
            </w:r>
          </w:p>
        </w:tc>
        <w:tc>
          <w:tcPr>
            <w:tcW w:w="1236" w:type="dxa"/>
            <w:vAlign w:val="top"/>
          </w:tcPr>
          <w:p>
            <w:pPr>
              <w:rPr>
                <w:rFonts w:ascii="Arial"/>
                <w:sz w:val="21"/>
              </w:rPr>
            </w:pPr>
            <w:r/>
          </w:p>
        </w:tc>
        <w:tc>
          <w:tcPr>
            <w:tcW w:w="1401" w:type="dxa"/>
            <w:vAlign w:val="top"/>
          </w:tcPr>
          <w:p>
            <w:pPr>
              <w:rPr>
                <w:rFonts w:ascii="Arial"/>
                <w:sz w:val="21"/>
              </w:rPr>
            </w:pPr>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325" w:hRule="atLeast"/>
        </w:trPr>
        <w:tc>
          <w:tcPr>
            <w:tcW w:w="5195" w:type="dxa"/>
            <w:vAlign w:val="top"/>
            <w:tcBorders>
              <w:left w:val="single" w:color="000000" w:sz="6" w:space="0"/>
            </w:tcBorders>
          </w:tcPr>
          <w:p>
            <w:pPr>
              <w:pStyle w:val="TableText"/>
              <w:ind w:left="705"/>
              <w:spacing w:before="87" w:line="221" w:lineRule="auto"/>
              <w:rPr>
                <w:sz w:val="19"/>
                <w:szCs w:val="19"/>
              </w:rPr>
            </w:pPr>
            <w:r>
              <w:rPr>
                <w:sz w:val="19"/>
                <w:szCs w:val="19"/>
                <w:spacing w:val="9"/>
              </w:rPr>
              <w:t>公共安全共同财政事权转移支付收入</w:t>
            </w:r>
          </w:p>
        </w:tc>
        <w:tc>
          <w:tcPr>
            <w:tcW w:w="1236" w:type="dxa"/>
            <w:vAlign w:val="top"/>
          </w:tcPr>
          <w:p>
            <w:pPr>
              <w:pStyle w:val="TableText"/>
              <w:ind w:left="684"/>
              <w:spacing w:before="85" w:line="223" w:lineRule="auto"/>
              <w:rPr>
                <w:sz w:val="19"/>
                <w:szCs w:val="19"/>
              </w:rPr>
            </w:pPr>
            <w:r>
              <w:rPr>
                <w:sz w:val="19"/>
                <w:szCs w:val="19"/>
                <w:spacing w:val="-8"/>
              </w:rPr>
              <w:t>5,686</w:t>
            </w:r>
          </w:p>
        </w:tc>
        <w:tc>
          <w:tcPr>
            <w:tcW w:w="1401" w:type="dxa"/>
            <w:vAlign w:val="top"/>
          </w:tcPr>
          <w:p>
            <w:pPr>
              <w:pStyle w:val="TableText"/>
              <w:ind w:left="896"/>
              <w:spacing w:before="85" w:line="223" w:lineRule="auto"/>
              <w:rPr>
                <w:sz w:val="19"/>
                <w:szCs w:val="19"/>
              </w:rPr>
            </w:pPr>
            <w:r>
              <w:rPr>
                <w:sz w:val="19"/>
                <w:szCs w:val="19"/>
                <w:spacing w:val="2"/>
              </w:rPr>
              <w:t>4948</w:t>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324" w:hRule="atLeast"/>
        </w:trPr>
        <w:tc>
          <w:tcPr>
            <w:tcW w:w="5195" w:type="dxa"/>
            <w:vAlign w:val="top"/>
            <w:tcBorders>
              <w:left w:val="single" w:color="000000" w:sz="6" w:space="0"/>
            </w:tcBorders>
          </w:tcPr>
          <w:p>
            <w:pPr>
              <w:pStyle w:val="TableText"/>
              <w:ind w:left="707"/>
              <w:spacing w:before="86" w:line="221" w:lineRule="auto"/>
              <w:rPr>
                <w:sz w:val="19"/>
                <w:szCs w:val="19"/>
              </w:rPr>
            </w:pPr>
            <w:r>
              <w:rPr>
                <w:sz w:val="19"/>
                <w:szCs w:val="19"/>
                <w:spacing w:val="9"/>
              </w:rPr>
              <w:t>教育共同财政事权转移支付收入</w:t>
            </w:r>
          </w:p>
        </w:tc>
        <w:tc>
          <w:tcPr>
            <w:tcW w:w="1236" w:type="dxa"/>
            <w:vAlign w:val="top"/>
          </w:tcPr>
          <w:p>
            <w:pPr>
              <w:pStyle w:val="TableText"/>
              <w:ind w:left="683"/>
              <w:spacing w:before="84" w:line="223" w:lineRule="auto"/>
              <w:rPr>
                <w:sz w:val="19"/>
                <w:szCs w:val="19"/>
              </w:rPr>
            </w:pPr>
            <w:r>
              <w:rPr>
                <w:sz w:val="19"/>
                <w:szCs w:val="19"/>
                <w:spacing w:val="-8"/>
              </w:rPr>
              <w:t>9,878</w:t>
            </w:r>
          </w:p>
        </w:tc>
        <w:tc>
          <w:tcPr>
            <w:tcW w:w="1401" w:type="dxa"/>
            <w:vAlign w:val="top"/>
          </w:tcPr>
          <w:p>
            <w:pPr>
              <w:pStyle w:val="TableText"/>
              <w:ind w:left="814"/>
              <w:spacing w:before="84" w:line="223" w:lineRule="auto"/>
              <w:rPr>
                <w:sz w:val="19"/>
                <w:szCs w:val="19"/>
              </w:rPr>
            </w:pPr>
            <w:r>
              <w:rPr>
                <w:sz w:val="19"/>
                <w:szCs w:val="19"/>
                <w:spacing w:val="-1"/>
              </w:rPr>
              <w:t>14243</w:t>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325" w:hRule="atLeast"/>
        </w:trPr>
        <w:tc>
          <w:tcPr>
            <w:tcW w:w="5195" w:type="dxa"/>
            <w:vAlign w:val="top"/>
            <w:tcBorders>
              <w:left w:val="single" w:color="000000" w:sz="6" w:space="0"/>
            </w:tcBorders>
          </w:tcPr>
          <w:p>
            <w:pPr>
              <w:pStyle w:val="TableText"/>
              <w:ind w:left="705"/>
              <w:spacing w:before="87" w:line="221" w:lineRule="auto"/>
              <w:rPr>
                <w:sz w:val="19"/>
                <w:szCs w:val="19"/>
              </w:rPr>
            </w:pPr>
            <w:r>
              <w:rPr>
                <w:sz w:val="19"/>
                <w:szCs w:val="19"/>
                <w:spacing w:val="9"/>
              </w:rPr>
              <w:t>科学技术共同财政事权转移支付收入</w:t>
            </w:r>
          </w:p>
        </w:tc>
        <w:tc>
          <w:tcPr>
            <w:tcW w:w="1236" w:type="dxa"/>
            <w:vAlign w:val="top"/>
          </w:tcPr>
          <w:p>
            <w:pPr>
              <w:pStyle w:val="TableText"/>
              <w:ind w:left="699"/>
              <w:spacing w:before="86" w:line="222" w:lineRule="auto"/>
              <w:rPr>
                <w:sz w:val="19"/>
                <w:szCs w:val="19"/>
              </w:rPr>
            </w:pPr>
            <w:r>
              <w:rPr>
                <w:sz w:val="19"/>
                <w:szCs w:val="19"/>
                <w:spacing w:val="-11"/>
              </w:rPr>
              <w:t>1,696</w:t>
            </w:r>
          </w:p>
        </w:tc>
        <w:tc>
          <w:tcPr>
            <w:tcW w:w="1401" w:type="dxa"/>
            <w:vAlign w:val="top"/>
          </w:tcPr>
          <w:p>
            <w:pPr>
              <w:pStyle w:val="TableText"/>
              <w:ind w:left="994"/>
              <w:spacing w:before="86" w:line="222" w:lineRule="auto"/>
              <w:rPr>
                <w:sz w:val="19"/>
                <w:szCs w:val="19"/>
              </w:rPr>
            </w:pPr>
            <w:r>
              <w:rPr>
                <w:sz w:val="19"/>
                <w:szCs w:val="19"/>
                <w:spacing w:val="2"/>
              </w:rPr>
              <w:t>419</w:t>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324" w:hRule="atLeast"/>
        </w:trPr>
        <w:tc>
          <w:tcPr>
            <w:tcW w:w="5195" w:type="dxa"/>
            <w:vAlign w:val="top"/>
            <w:tcBorders>
              <w:left w:val="single" w:color="000000" w:sz="6" w:space="0"/>
            </w:tcBorders>
          </w:tcPr>
          <w:p>
            <w:pPr>
              <w:pStyle w:val="TableText"/>
              <w:ind w:left="709"/>
              <w:spacing w:before="88" w:line="219" w:lineRule="auto"/>
              <w:rPr>
                <w:sz w:val="19"/>
                <w:szCs w:val="19"/>
              </w:rPr>
            </w:pPr>
            <w:r>
              <w:rPr>
                <w:sz w:val="19"/>
                <w:szCs w:val="19"/>
                <w:spacing w:val="9"/>
              </w:rPr>
              <w:t>文化旅游体育与传媒共同财政事权转移支付收入</w:t>
            </w:r>
          </w:p>
        </w:tc>
        <w:tc>
          <w:tcPr>
            <w:tcW w:w="1236" w:type="dxa"/>
            <w:vAlign w:val="top"/>
          </w:tcPr>
          <w:p>
            <w:pPr>
              <w:pStyle w:val="TableText"/>
              <w:ind w:left="699"/>
              <w:spacing w:before="86" w:line="221" w:lineRule="auto"/>
              <w:rPr>
                <w:sz w:val="19"/>
                <w:szCs w:val="19"/>
              </w:rPr>
            </w:pPr>
            <w:r>
              <w:rPr>
                <w:sz w:val="19"/>
                <w:szCs w:val="19"/>
                <w:spacing w:val="-11"/>
              </w:rPr>
              <w:t>1,252</w:t>
            </w:r>
          </w:p>
        </w:tc>
        <w:tc>
          <w:tcPr>
            <w:tcW w:w="1401" w:type="dxa"/>
            <w:vAlign w:val="top"/>
          </w:tcPr>
          <w:p>
            <w:pPr>
              <w:pStyle w:val="TableText"/>
              <w:ind w:left="915"/>
              <w:spacing w:before="86" w:line="221" w:lineRule="auto"/>
              <w:rPr>
                <w:sz w:val="19"/>
                <w:szCs w:val="19"/>
              </w:rPr>
            </w:pPr>
            <w:r>
              <w:rPr>
                <w:sz w:val="19"/>
                <w:szCs w:val="19"/>
                <w:spacing w:val="-2"/>
              </w:rPr>
              <w:t>1340</w:t>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324" w:hRule="atLeast"/>
        </w:trPr>
        <w:tc>
          <w:tcPr>
            <w:tcW w:w="5195" w:type="dxa"/>
            <w:vAlign w:val="top"/>
            <w:tcBorders>
              <w:left w:val="single" w:color="000000" w:sz="6" w:space="0"/>
            </w:tcBorders>
          </w:tcPr>
          <w:p>
            <w:pPr>
              <w:pStyle w:val="TableText"/>
              <w:ind w:left="706"/>
              <w:spacing w:before="88" w:line="219" w:lineRule="auto"/>
              <w:rPr>
                <w:sz w:val="19"/>
                <w:szCs w:val="19"/>
              </w:rPr>
            </w:pPr>
            <w:r>
              <w:rPr>
                <w:sz w:val="19"/>
                <w:szCs w:val="19"/>
                <w:spacing w:val="9"/>
              </w:rPr>
              <w:t>社会保障和就业共同财政事权转移支付收入</w:t>
            </w:r>
          </w:p>
        </w:tc>
        <w:tc>
          <w:tcPr>
            <w:tcW w:w="1236" w:type="dxa"/>
            <w:vAlign w:val="top"/>
          </w:tcPr>
          <w:p>
            <w:pPr>
              <w:pStyle w:val="TableText"/>
              <w:ind w:left="598"/>
              <w:spacing w:before="86" w:line="221" w:lineRule="auto"/>
              <w:rPr>
                <w:sz w:val="19"/>
                <w:szCs w:val="19"/>
              </w:rPr>
            </w:pPr>
            <w:r>
              <w:rPr>
                <w:sz w:val="19"/>
                <w:szCs w:val="19"/>
                <w:spacing w:val="-9"/>
              </w:rPr>
              <w:t>10,639</w:t>
            </w:r>
          </w:p>
        </w:tc>
        <w:tc>
          <w:tcPr>
            <w:tcW w:w="1401" w:type="dxa"/>
            <w:vAlign w:val="top"/>
          </w:tcPr>
          <w:p>
            <w:pPr>
              <w:pStyle w:val="TableText"/>
              <w:ind w:left="900"/>
              <w:spacing w:before="86" w:line="221" w:lineRule="auto"/>
              <w:rPr>
                <w:sz w:val="19"/>
                <w:szCs w:val="19"/>
              </w:rPr>
            </w:pPr>
            <w:r>
              <w:rPr>
                <w:sz w:val="19"/>
                <w:szCs w:val="19"/>
                <w:spacing w:val="1"/>
              </w:rPr>
              <w:t>5953</w:t>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324" w:hRule="atLeast"/>
        </w:trPr>
        <w:tc>
          <w:tcPr>
            <w:tcW w:w="5195" w:type="dxa"/>
            <w:vAlign w:val="top"/>
            <w:tcBorders>
              <w:left w:val="single" w:color="000000" w:sz="6" w:space="0"/>
            </w:tcBorders>
          </w:tcPr>
          <w:p>
            <w:pPr>
              <w:pStyle w:val="TableText"/>
              <w:ind w:left="719"/>
              <w:spacing w:before="90" w:line="217" w:lineRule="auto"/>
              <w:rPr>
                <w:sz w:val="19"/>
                <w:szCs w:val="19"/>
              </w:rPr>
            </w:pPr>
            <w:r>
              <w:rPr>
                <w:sz w:val="19"/>
                <w:szCs w:val="19"/>
                <w:spacing w:val="8"/>
              </w:rPr>
              <w:t>医疗卫生共同财政事权转移支付收入</w:t>
            </w:r>
          </w:p>
        </w:tc>
        <w:tc>
          <w:tcPr>
            <w:tcW w:w="1236" w:type="dxa"/>
            <w:vAlign w:val="top"/>
          </w:tcPr>
          <w:p>
            <w:pPr>
              <w:pStyle w:val="TableText"/>
              <w:ind w:left="583"/>
              <w:spacing w:before="88" w:line="219" w:lineRule="auto"/>
              <w:rPr>
                <w:sz w:val="19"/>
                <w:szCs w:val="19"/>
              </w:rPr>
            </w:pPr>
            <w:r>
              <w:rPr>
                <w:sz w:val="19"/>
                <w:szCs w:val="19"/>
                <w:spacing w:val="-6"/>
              </w:rPr>
              <w:t>67,884</w:t>
            </w:r>
          </w:p>
        </w:tc>
        <w:tc>
          <w:tcPr>
            <w:tcW w:w="1401" w:type="dxa"/>
            <w:vAlign w:val="top"/>
          </w:tcPr>
          <w:p>
            <w:pPr>
              <w:pStyle w:val="TableText"/>
              <w:ind w:left="799"/>
              <w:spacing w:before="88" w:line="219" w:lineRule="auto"/>
              <w:rPr>
                <w:sz w:val="19"/>
                <w:szCs w:val="19"/>
              </w:rPr>
            </w:pPr>
            <w:r>
              <w:rPr>
                <w:sz w:val="19"/>
                <w:szCs w:val="19"/>
                <w:spacing w:val="2"/>
              </w:rPr>
              <w:t>65050</w:t>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324" w:hRule="atLeast"/>
        </w:trPr>
        <w:tc>
          <w:tcPr>
            <w:tcW w:w="5195" w:type="dxa"/>
            <w:vAlign w:val="top"/>
            <w:tcBorders>
              <w:left w:val="single" w:color="000000" w:sz="6" w:space="0"/>
            </w:tcBorders>
          </w:tcPr>
          <w:p>
            <w:pPr>
              <w:pStyle w:val="TableText"/>
              <w:ind w:left="707"/>
              <w:spacing w:before="90" w:line="217" w:lineRule="auto"/>
              <w:rPr>
                <w:sz w:val="19"/>
                <w:szCs w:val="19"/>
              </w:rPr>
            </w:pPr>
            <w:r>
              <w:rPr>
                <w:sz w:val="19"/>
                <w:szCs w:val="19"/>
                <w:spacing w:val="9"/>
              </w:rPr>
              <w:t>节能环保共同财政事权转移支付收入</w:t>
            </w:r>
          </w:p>
        </w:tc>
        <w:tc>
          <w:tcPr>
            <w:tcW w:w="1236" w:type="dxa"/>
            <w:vAlign w:val="top"/>
          </w:tcPr>
          <w:p>
            <w:pPr>
              <w:pStyle w:val="TableText"/>
              <w:ind w:left="699"/>
              <w:spacing w:before="88" w:line="219" w:lineRule="auto"/>
              <w:rPr>
                <w:sz w:val="19"/>
                <w:szCs w:val="19"/>
              </w:rPr>
            </w:pPr>
            <w:r>
              <w:rPr>
                <w:sz w:val="19"/>
                <w:szCs w:val="19"/>
                <w:spacing w:val="-11"/>
              </w:rPr>
              <w:t>1,652</w:t>
            </w:r>
          </w:p>
        </w:tc>
        <w:tc>
          <w:tcPr>
            <w:tcW w:w="1401" w:type="dxa"/>
            <w:vAlign w:val="top"/>
          </w:tcPr>
          <w:p>
            <w:pPr>
              <w:pStyle w:val="TableText"/>
              <w:ind w:left="915"/>
              <w:spacing w:before="88" w:line="219" w:lineRule="auto"/>
              <w:rPr>
                <w:sz w:val="19"/>
                <w:szCs w:val="19"/>
              </w:rPr>
            </w:pPr>
            <w:r>
              <w:rPr>
                <w:sz w:val="19"/>
                <w:szCs w:val="19"/>
                <w:spacing w:val="-2"/>
              </w:rPr>
              <w:t>1253</w:t>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324" w:hRule="atLeast"/>
        </w:trPr>
        <w:tc>
          <w:tcPr>
            <w:tcW w:w="5195" w:type="dxa"/>
            <w:vAlign w:val="top"/>
            <w:tcBorders>
              <w:left w:val="single" w:color="000000" w:sz="6" w:space="0"/>
            </w:tcBorders>
          </w:tcPr>
          <w:p>
            <w:pPr>
              <w:pStyle w:val="TableText"/>
              <w:ind w:left="707"/>
              <w:spacing w:before="92" w:line="215" w:lineRule="auto"/>
              <w:rPr>
                <w:sz w:val="19"/>
                <w:szCs w:val="19"/>
              </w:rPr>
            </w:pPr>
            <w:r>
              <w:rPr>
                <w:sz w:val="19"/>
                <w:szCs w:val="19"/>
                <w:spacing w:val="9"/>
              </w:rPr>
              <w:t>城乡社区共同财政事权转移支付收入</w:t>
            </w:r>
          </w:p>
        </w:tc>
        <w:tc>
          <w:tcPr>
            <w:tcW w:w="1236" w:type="dxa"/>
            <w:vAlign w:val="top"/>
          </w:tcPr>
          <w:p>
            <w:pPr>
              <w:rPr>
                <w:rFonts w:ascii="Arial"/>
                <w:sz w:val="21"/>
              </w:rPr>
            </w:pPr>
            <w:r/>
          </w:p>
        </w:tc>
        <w:tc>
          <w:tcPr>
            <w:tcW w:w="1401" w:type="dxa"/>
            <w:vAlign w:val="top"/>
          </w:tcPr>
          <w:p>
            <w:pPr>
              <w:rPr>
                <w:rFonts w:ascii="Arial"/>
                <w:sz w:val="21"/>
              </w:rPr>
            </w:pPr>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324" w:hRule="atLeast"/>
        </w:trPr>
        <w:tc>
          <w:tcPr>
            <w:tcW w:w="5195" w:type="dxa"/>
            <w:vAlign w:val="top"/>
            <w:tcBorders>
              <w:left w:val="single" w:color="000000" w:sz="6" w:space="0"/>
            </w:tcBorders>
          </w:tcPr>
          <w:p>
            <w:pPr>
              <w:pStyle w:val="TableText"/>
              <w:ind w:left="703"/>
              <w:spacing w:before="93" w:line="214" w:lineRule="auto"/>
              <w:rPr>
                <w:sz w:val="19"/>
                <w:szCs w:val="19"/>
              </w:rPr>
            </w:pPr>
            <w:r>
              <w:rPr>
                <w:sz w:val="19"/>
                <w:szCs w:val="19"/>
                <w:spacing w:val="9"/>
              </w:rPr>
              <w:t>农林水共同财政事权转移支付收入</w:t>
            </w:r>
          </w:p>
        </w:tc>
        <w:tc>
          <w:tcPr>
            <w:tcW w:w="1236" w:type="dxa"/>
            <w:vAlign w:val="top"/>
          </w:tcPr>
          <w:p>
            <w:pPr>
              <w:pStyle w:val="TableText"/>
              <w:ind w:left="680"/>
              <w:spacing w:before="92" w:line="215" w:lineRule="auto"/>
              <w:rPr>
                <w:sz w:val="19"/>
                <w:szCs w:val="19"/>
              </w:rPr>
            </w:pPr>
            <w:r>
              <w:rPr>
                <w:sz w:val="19"/>
                <w:szCs w:val="19"/>
                <w:spacing w:val="-7"/>
              </w:rPr>
              <w:t>4,262</w:t>
            </w:r>
          </w:p>
        </w:tc>
        <w:tc>
          <w:tcPr>
            <w:tcW w:w="1401" w:type="dxa"/>
            <w:vAlign w:val="top"/>
          </w:tcPr>
          <w:p>
            <w:pPr>
              <w:pStyle w:val="TableText"/>
              <w:ind w:left="902"/>
              <w:spacing w:before="92" w:line="215" w:lineRule="auto"/>
              <w:rPr>
                <w:sz w:val="19"/>
                <w:szCs w:val="19"/>
              </w:rPr>
            </w:pPr>
            <w:r>
              <w:rPr>
                <w:sz w:val="19"/>
                <w:szCs w:val="19"/>
                <w:spacing w:val="1"/>
              </w:rPr>
              <w:t>3684</w:t>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324" w:hRule="atLeast"/>
        </w:trPr>
        <w:tc>
          <w:tcPr>
            <w:tcW w:w="5195" w:type="dxa"/>
            <w:vAlign w:val="top"/>
            <w:tcBorders>
              <w:left w:val="single" w:color="000000" w:sz="6" w:space="0"/>
            </w:tcBorders>
          </w:tcPr>
          <w:p>
            <w:pPr>
              <w:pStyle w:val="TableText"/>
              <w:ind w:left="707"/>
              <w:spacing w:before="93" w:line="214" w:lineRule="auto"/>
              <w:rPr>
                <w:sz w:val="19"/>
                <w:szCs w:val="19"/>
              </w:rPr>
            </w:pPr>
            <w:r>
              <w:rPr>
                <w:sz w:val="19"/>
                <w:szCs w:val="19"/>
                <w:spacing w:val="9"/>
              </w:rPr>
              <w:t>交通运输共同财政事权转移支付收入</w:t>
            </w:r>
          </w:p>
        </w:tc>
        <w:tc>
          <w:tcPr>
            <w:tcW w:w="1236" w:type="dxa"/>
            <w:vAlign w:val="top"/>
          </w:tcPr>
          <w:p>
            <w:pPr>
              <w:pStyle w:val="TableText"/>
              <w:ind w:left="829"/>
              <w:spacing w:before="91" w:line="216" w:lineRule="auto"/>
              <w:rPr>
                <w:sz w:val="19"/>
                <w:szCs w:val="19"/>
              </w:rPr>
            </w:pPr>
            <w:r>
              <w:rPr>
                <w:sz w:val="19"/>
                <w:szCs w:val="19"/>
                <w:spacing w:val="1"/>
              </w:rPr>
              <w:t>997</w:t>
            </w:r>
          </w:p>
        </w:tc>
        <w:tc>
          <w:tcPr>
            <w:tcW w:w="1401" w:type="dxa"/>
            <w:vAlign w:val="top"/>
          </w:tcPr>
          <w:p>
            <w:pPr>
              <w:pStyle w:val="TableText"/>
              <w:ind w:left="997"/>
              <w:spacing w:before="91" w:line="216" w:lineRule="auto"/>
              <w:rPr>
                <w:sz w:val="19"/>
                <w:szCs w:val="19"/>
              </w:rPr>
            </w:pPr>
            <w:r>
              <w:rPr>
                <w:sz w:val="19"/>
                <w:szCs w:val="19"/>
                <w:spacing w:val="1"/>
              </w:rPr>
              <w:t>997</w:t>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324" w:hRule="atLeast"/>
        </w:trPr>
        <w:tc>
          <w:tcPr>
            <w:tcW w:w="5195" w:type="dxa"/>
            <w:vAlign w:val="top"/>
            <w:tcBorders>
              <w:left w:val="single" w:color="000000" w:sz="6" w:space="0"/>
            </w:tcBorders>
          </w:tcPr>
          <w:p>
            <w:pPr>
              <w:pStyle w:val="TableText"/>
              <w:ind w:left="711"/>
              <w:spacing w:before="95" w:line="212" w:lineRule="auto"/>
              <w:rPr>
                <w:sz w:val="19"/>
                <w:szCs w:val="19"/>
              </w:rPr>
            </w:pPr>
            <w:r>
              <w:rPr>
                <w:sz w:val="19"/>
                <w:szCs w:val="19"/>
                <w:spacing w:val="9"/>
              </w:rPr>
              <w:t>资源勘探工业信息等共同财政事权转移支付收入</w:t>
            </w:r>
          </w:p>
        </w:tc>
        <w:tc>
          <w:tcPr>
            <w:tcW w:w="1236" w:type="dxa"/>
            <w:vAlign w:val="top"/>
          </w:tcPr>
          <w:p>
            <w:pPr>
              <w:rPr>
                <w:rFonts w:ascii="Arial"/>
                <w:sz w:val="21"/>
              </w:rPr>
            </w:pPr>
            <w:r/>
          </w:p>
        </w:tc>
        <w:tc>
          <w:tcPr>
            <w:tcW w:w="1401" w:type="dxa"/>
            <w:vAlign w:val="top"/>
          </w:tcPr>
          <w:p>
            <w:pPr>
              <w:rPr>
                <w:rFonts w:ascii="Arial"/>
                <w:sz w:val="21"/>
              </w:rPr>
            </w:pPr>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324" w:hRule="atLeast"/>
        </w:trPr>
        <w:tc>
          <w:tcPr>
            <w:tcW w:w="5195" w:type="dxa"/>
            <w:vAlign w:val="top"/>
            <w:tcBorders>
              <w:left w:val="single" w:color="000000" w:sz="6" w:space="0"/>
            </w:tcBorders>
          </w:tcPr>
          <w:p>
            <w:pPr>
              <w:pStyle w:val="TableText"/>
              <w:ind w:left="708"/>
              <w:spacing w:before="95" w:line="212" w:lineRule="auto"/>
              <w:rPr>
                <w:sz w:val="19"/>
                <w:szCs w:val="19"/>
              </w:rPr>
            </w:pPr>
            <w:r>
              <w:rPr>
                <w:sz w:val="19"/>
                <w:szCs w:val="19"/>
                <w:spacing w:val="9"/>
              </w:rPr>
              <w:t>商业服务业等共同财政事权转移支付收入</w:t>
            </w:r>
          </w:p>
        </w:tc>
        <w:tc>
          <w:tcPr>
            <w:tcW w:w="1236" w:type="dxa"/>
            <w:vAlign w:val="top"/>
          </w:tcPr>
          <w:p>
            <w:pPr>
              <w:rPr>
                <w:rFonts w:ascii="Arial"/>
                <w:sz w:val="21"/>
              </w:rPr>
            </w:pPr>
            <w:r/>
          </w:p>
        </w:tc>
        <w:tc>
          <w:tcPr>
            <w:tcW w:w="1401" w:type="dxa"/>
            <w:vAlign w:val="top"/>
          </w:tcPr>
          <w:p>
            <w:pPr>
              <w:rPr>
                <w:rFonts w:ascii="Arial"/>
                <w:sz w:val="21"/>
              </w:rPr>
            </w:pPr>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324" w:hRule="atLeast"/>
        </w:trPr>
        <w:tc>
          <w:tcPr>
            <w:tcW w:w="5195" w:type="dxa"/>
            <w:vAlign w:val="top"/>
            <w:tcBorders>
              <w:left w:val="single" w:color="000000" w:sz="6" w:space="0"/>
            </w:tcBorders>
          </w:tcPr>
          <w:p>
            <w:pPr>
              <w:pStyle w:val="TableText"/>
              <w:ind w:left="707"/>
              <w:spacing w:before="97" w:line="210" w:lineRule="auto"/>
              <w:rPr>
                <w:sz w:val="19"/>
                <w:szCs w:val="19"/>
              </w:rPr>
            </w:pPr>
            <w:r>
              <w:rPr>
                <w:sz w:val="19"/>
                <w:szCs w:val="19"/>
                <w:spacing w:val="9"/>
              </w:rPr>
              <w:t>金融共同财政事权转移支付收入</w:t>
            </w:r>
          </w:p>
        </w:tc>
        <w:tc>
          <w:tcPr>
            <w:tcW w:w="1236" w:type="dxa"/>
            <w:vAlign w:val="top"/>
          </w:tcPr>
          <w:p>
            <w:pPr>
              <w:rPr>
                <w:rFonts w:ascii="Arial"/>
                <w:sz w:val="21"/>
              </w:rPr>
            </w:pPr>
            <w:r/>
          </w:p>
        </w:tc>
        <w:tc>
          <w:tcPr>
            <w:tcW w:w="1401" w:type="dxa"/>
            <w:vAlign w:val="top"/>
          </w:tcPr>
          <w:p>
            <w:pPr>
              <w:rPr>
                <w:rFonts w:ascii="Arial"/>
                <w:sz w:val="21"/>
              </w:rPr>
            </w:pPr>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325" w:hRule="atLeast"/>
        </w:trPr>
        <w:tc>
          <w:tcPr>
            <w:tcW w:w="5195" w:type="dxa"/>
            <w:vAlign w:val="top"/>
            <w:tcBorders>
              <w:left w:val="single" w:color="000000" w:sz="6" w:space="0"/>
            </w:tcBorders>
          </w:tcPr>
          <w:p>
            <w:pPr>
              <w:pStyle w:val="TableText"/>
              <w:ind w:left="745"/>
              <w:spacing w:before="96" w:line="212" w:lineRule="auto"/>
              <w:rPr>
                <w:sz w:val="19"/>
                <w:szCs w:val="19"/>
              </w:rPr>
            </w:pPr>
            <w:r>
              <w:rPr>
                <w:sz w:val="19"/>
                <w:szCs w:val="19"/>
                <w:spacing w:val="8"/>
              </w:rPr>
              <w:t>自然资源海洋气象等共同财政事权转移支付</w:t>
            </w:r>
            <w:r>
              <w:rPr>
                <w:sz w:val="19"/>
                <w:szCs w:val="19"/>
                <w:spacing w:val="7"/>
              </w:rPr>
              <w:t>收入</w:t>
            </w:r>
          </w:p>
        </w:tc>
        <w:tc>
          <w:tcPr>
            <w:tcW w:w="1236" w:type="dxa"/>
            <w:vAlign w:val="top"/>
          </w:tcPr>
          <w:p>
            <w:pPr>
              <w:rPr>
                <w:rFonts w:ascii="Arial"/>
                <w:sz w:val="21"/>
              </w:rPr>
            </w:pPr>
            <w:r/>
          </w:p>
        </w:tc>
        <w:tc>
          <w:tcPr>
            <w:tcW w:w="1401" w:type="dxa"/>
            <w:vAlign w:val="top"/>
          </w:tcPr>
          <w:p>
            <w:pPr>
              <w:rPr>
                <w:rFonts w:ascii="Arial"/>
                <w:sz w:val="21"/>
              </w:rPr>
            </w:pPr>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325" w:hRule="atLeast"/>
        </w:trPr>
        <w:tc>
          <w:tcPr>
            <w:tcW w:w="5195" w:type="dxa"/>
            <w:vAlign w:val="top"/>
            <w:tcBorders>
              <w:left w:val="single" w:color="000000" w:sz="6" w:space="0"/>
            </w:tcBorders>
          </w:tcPr>
          <w:p>
            <w:pPr>
              <w:pStyle w:val="TableText"/>
              <w:ind w:left="706"/>
              <w:spacing w:before="97" w:line="211" w:lineRule="auto"/>
              <w:rPr>
                <w:sz w:val="19"/>
                <w:szCs w:val="19"/>
              </w:rPr>
            </w:pPr>
            <w:r>
              <w:rPr>
                <w:sz w:val="19"/>
                <w:szCs w:val="19"/>
                <w:spacing w:val="9"/>
              </w:rPr>
              <w:t>住房保障共同财政事权转移支付收入</w:t>
            </w:r>
          </w:p>
        </w:tc>
        <w:tc>
          <w:tcPr>
            <w:tcW w:w="1236" w:type="dxa"/>
            <w:vAlign w:val="top"/>
          </w:tcPr>
          <w:p>
            <w:pPr>
              <w:pStyle w:val="TableText"/>
              <w:ind w:left="681"/>
              <w:spacing w:before="95" w:line="213" w:lineRule="auto"/>
              <w:rPr>
                <w:sz w:val="19"/>
                <w:szCs w:val="19"/>
              </w:rPr>
            </w:pPr>
            <w:r>
              <w:rPr>
                <w:sz w:val="19"/>
                <w:szCs w:val="19"/>
                <w:spacing w:val="-7"/>
              </w:rPr>
              <w:t>7,128</w:t>
            </w:r>
          </w:p>
        </w:tc>
        <w:tc>
          <w:tcPr>
            <w:tcW w:w="1401" w:type="dxa"/>
            <w:vAlign w:val="top"/>
          </w:tcPr>
          <w:p>
            <w:pPr>
              <w:pStyle w:val="TableText"/>
              <w:ind w:left="902"/>
              <w:spacing w:before="95" w:line="213" w:lineRule="auto"/>
              <w:rPr>
                <w:sz w:val="19"/>
                <w:szCs w:val="19"/>
              </w:rPr>
            </w:pPr>
            <w:r>
              <w:rPr>
                <w:sz w:val="19"/>
                <w:szCs w:val="19"/>
                <w:spacing w:val="1"/>
              </w:rPr>
              <w:t>3265</w:t>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325" w:hRule="atLeast"/>
        </w:trPr>
        <w:tc>
          <w:tcPr>
            <w:tcW w:w="5195" w:type="dxa"/>
            <w:vAlign w:val="top"/>
            <w:tcBorders>
              <w:left w:val="single" w:color="000000" w:sz="6" w:space="0"/>
            </w:tcBorders>
          </w:tcPr>
          <w:p>
            <w:pPr>
              <w:pStyle w:val="TableText"/>
              <w:ind w:left="707"/>
              <w:spacing w:before="98" w:line="210" w:lineRule="auto"/>
              <w:rPr>
                <w:sz w:val="19"/>
                <w:szCs w:val="19"/>
              </w:rPr>
            </w:pPr>
            <w:r>
              <w:rPr>
                <w:sz w:val="19"/>
                <w:szCs w:val="19"/>
                <w:spacing w:val="9"/>
              </w:rPr>
              <w:t>粮油物资储备共同财政事权转移支付收入</w:t>
            </w:r>
          </w:p>
        </w:tc>
        <w:tc>
          <w:tcPr>
            <w:tcW w:w="1236" w:type="dxa"/>
            <w:vAlign w:val="top"/>
          </w:tcPr>
          <w:p>
            <w:pPr>
              <w:rPr>
                <w:rFonts w:ascii="Arial"/>
                <w:sz w:val="21"/>
              </w:rPr>
            </w:pPr>
            <w:r/>
          </w:p>
        </w:tc>
        <w:tc>
          <w:tcPr>
            <w:tcW w:w="1401" w:type="dxa"/>
            <w:vAlign w:val="top"/>
          </w:tcPr>
          <w:p>
            <w:pPr>
              <w:rPr>
                <w:rFonts w:ascii="Arial"/>
                <w:sz w:val="21"/>
              </w:rPr>
            </w:pPr>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334" w:hRule="atLeast"/>
        </w:trPr>
        <w:tc>
          <w:tcPr>
            <w:tcW w:w="5195" w:type="dxa"/>
            <w:vAlign w:val="top"/>
            <w:tcBorders>
              <w:left w:val="single" w:color="000000" w:sz="6" w:space="0"/>
              <w:bottom w:val="single" w:color="000000" w:sz="6" w:space="0"/>
            </w:tcBorders>
          </w:tcPr>
          <w:p>
            <w:pPr>
              <w:pStyle w:val="TableText"/>
              <w:ind w:left="707"/>
              <w:spacing w:before="97" w:line="220" w:lineRule="auto"/>
              <w:rPr>
                <w:sz w:val="19"/>
                <w:szCs w:val="19"/>
              </w:rPr>
            </w:pPr>
            <w:r>
              <w:rPr>
                <w:sz w:val="19"/>
                <w:szCs w:val="19"/>
                <w:spacing w:val="9"/>
              </w:rPr>
              <w:t>灾害防治及应急管理共同财政事权转移支付收入</w:t>
            </w:r>
          </w:p>
        </w:tc>
        <w:tc>
          <w:tcPr>
            <w:tcW w:w="1236" w:type="dxa"/>
            <w:vAlign w:val="top"/>
            <w:tcBorders>
              <w:bottom w:val="single" w:color="000000" w:sz="6" w:space="0"/>
            </w:tcBorders>
          </w:tcPr>
          <w:p>
            <w:pPr>
              <w:pStyle w:val="TableText"/>
              <w:ind w:left="845"/>
              <w:spacing w:before="95" w:line="222" w:lineRule="auto"/>
              <w:rPr>
                <w:sz w:val="19"/>
                <w:szCs w:val="19"/>
              </w:rPr>
            </w:pPr>
            <w:r>
              <w:rPr>
                <w:sz w:val="19"/>
                <w:szCs w:val="19"/>
                <w:spacing w:val="-4"/>
              </w:rPr>
              <w:t>100</w:t>
            </w:r>
          </w:p>
        </w:tc>
        <w:tc>
          <w:tcPr>
            <w:tcW w:w="1401" w:type="dxa"/>
            <w:vAlign w:val="top"/>
            <w:tcBorders>
              <w:bottom w:val="single" w:color="000000" w:sz="6" w:space="0"/>
            </w:tcBorders>
          </w:tcPr>
          <w:p>
            <w:pPr>
              <w:pStyle w:val="TableText"/>
              <w:ind w:left="1112"/>
              <w:spacing w:before="95" w:line="222" w:lineRule="auto"/>
              <w:rPr>
                <w:sz w:val="19"/>
                <w:szCs w:val="19"/>
              </w:rPr>
            </w:pPr>
            <w:r>
              <w:rPr>
                <w:sz w:val="19"/>
                <w:szCs w:val="19"/>
                <w:spacing w:val="-8"/>
              </w:rPr>
              <w:t>13</w:t>
            </w:r>
          </w:p>
        </w:tc>
        <w:tc>
          <w:tcPr>
            <w:tcW w:w="2234" w:type="dxa"/>
            <w:vAlign w:val="top"/>
            <w:tcBorders>
              <w:bottom w:val="single" w:color="000000" w:sz="6" w:space="0"/>
            </w:tcBorders>
          </w:tcPr>
          <w:p>
            <w:pPr>
              <w:rPr>
                <w:rFonts w:ascii="Arial"/>
                <w:sz w:val="21"/>
              </w:rPr>
            </w:pPr>
            <w:r/>
          </w:p>
        </w:tc>
        <w:tc>
          <w:tcPr>
            <w:tcW w:w="2415" w:type="dxa"/>
            <w:vAlign w:val="top"/>
            <w:tcBorders>
              <w:bottom w:val="single" w:color="000000" w:sz="6" w:space="0"/>
            </w:tcBorders>
          </w:tcPr>
          <w:p>
            <w:pPr>
              <w:rPr>
                <w:rFonts w:ascii="Arial"/>
                <w:sz w:val="21"/>
              </w:rPr>
            </w:pPr>
            <w:r/>
          </w:p>
        </w:tc>
        <w:tc>
          <w:tcPr>
            <w:tcW w:w="1415"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61"/>
          <w:footerReference w:type="default" r:id="rId62"/>
          <w:pgSz w:w="16839" w:h="11906"/>
          <w:pgMar w:top="1792" w:right="1463" w:bottom="1671" w:left="1463" w:header="1428" w:footer="1277" w:gutter="0"/>
        </w:sectPr>
        <w:rPr>
          <w:rFonts w:ascii="Arial" w:hAnsi="Arial" w:eastAsia="Arial" w:cs="Arial"/>
          <w:sz w:val="21"/>
          <w:szCs w:val="21"/>
        </w:rPr>
      </w:pPr>
    </w:p>
    <w:p>
      <w:pPr>
        <w:spacing w:line="165" w:lineRule="exact"/>
        <w:rPr/>
      </w:pPr>
      <w:r>
        <w:drawing>
          <wp:anchor distT="0" distB="0" distL="0" distR="0" simplePos="0" relativeHeight="251662336" behindDoc="0" locked="0" layoutInCell="0" allowOverlap="1">
            <wp:simplePos x="0" y="0"/>
            <wp:positionH relativeFrom="page">
              <wp:posOffset>979805</wp:posOffset>
            </wp:positionH>
            <wp:positionV relativeFrom="page">
              <wp:posOffset>1155700</wp:posOffset>
            </wp:positionV>
            <wp:extent cx="8712200" cy="7620"/>
            <wp:effectExtent l="0" t="0" r="0" b="0"/>
            <wp:wrapNone/>
            <wp:docPr id="126" name="IM 126"/>
            <wp:cNvGraphicFramePr/>
            <a:graphic>
              <a:graphicData uri="http://schemas.openxmlformats.org/drawingml/2006/picture">
                <pic:pic>
                  <pic:nvPicPr>
                    <pic:cNvPr id="126" name="IM 126"/>
                    <pic:cNvPicPr/>
                  </pic:nvPicPr>
                  <pic:blipFill>
                    <a:blip r:embed="rId65"/>
                    <a:stretch>
                      <a:fillRect/>
                    </a:stretch>
                  </pic:blipFill>
                  <pic:spPr>
                    <a:xfrm rot="0">
                      <a:off x="0" y="0"/>
                      <a:ext cx="8712200" cy="7620"/>
                    </a:xfrm>
                    <a:prstGeom prst="rect">
                      <a:avLst/>
                    </a:prstGeom>
                  </pic:spPr>
                </pic:pic>
              </a:graphicData>
            </a:graphic>
          </wp:anchor>
        </w:drawing>
      </w: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195"/>
        <w:gridCol w:w="1236"/>
        <w:gridCol w:w="1401"/>
        <w:gridCol w:w="2234"/>
        <w:gridCol w:w="2415"/>
        <w:gridCol w:w="1415"/>
      </w:tblGrid>
      <w:tr>
        <w:trPr>
          <w:trHeight w:val="312" w:hRule="atLeast"/>
        </w:trPr>
        <w:tc>
          <w:tcPr>
            <w:tcW w:w="7832" w:type="dxa"/>
            <w:vAlign w:val="top"/>
            <w:gridSpan w:val="3"/>
            <w:tcBorders>
              <w:left w:val="single" w:color="000000" w:sz="6" w:space="0"/>
              <w:top w:val="single" w:color="000000" w:sz="6" w:space="0"/>
            </w:tcBorders>
          </w:tcPr>
          <w:p>
            <w:pPr>
              <w:pStyle w:val="TableText"/>
              <w:ind w:left="3721"/>
              <w:spacing w:before="79" w:line="214" w:lineRule="auto"/>
              <w:rPr>
                <w:sz w:val="19"/>
                <w:szCs w:val="19"/>
              </w:rPr>
            </w:pPr>
            <w:r>
              <w:rPr>
                <w:sz w:val="19"/>
                <w:szCs w:val="19"/>
                <w:b/>
                <w:bCs/>
                <w:spacing w:val="2"/>
              </w:rPr>
              <w:t>收入</w:t>
            </w:r>
          </w:p>
        </w:tc>
        <w:tc>
          <w:tcPr>
            <w:tcW w:w="6064" w:type="dxa"/>
            <w:vAlign w:val="top"/>
            <w:gridSpan w:val="3"/>
            <w:tcBorders>
              <w:right w:val="single" w:color="000000" w:sz="6" w:space="0"/>
              <w:top w:val="single" w:color="000000" w:sz="6" w:space="0"/>
            </w:tcBorders>
          </w:tcPr>
          <w:p>
            <w:pPr>
              <w:pStyle w:val="TableText"/>
              <w:ind w:left="2831"/>
              <w:spacing w:before="77" w:line="218" w:lineRule="auto"/>
              <w:rPr>
                <w:sz w:val="19"/>
                <w:szCs w:val="19"/>
              </w:rPr>
            </w:pPr>
            <w:r>
              <w:rPr>
                <w:sz w:val="19"/>
                <w:szCs w:val="19"/>
                <w:b/>
                <w:bCs/>
                <w:spacing w:val="5"/>
              </w:rPr>
              <w:t>支出</w:t>
            </w:r>
          </w:p>
        </w:tc>
      </w:tr>
      <w:tr>
        <w:trPr>
          <w:trHeight w:val="444" w:hRule="atLeast"/>
        </w:trPr>
        <w:tc>
          <w:tcPr>
            <w:tcW w:w="5195" w:type="dxa"/>
            <w:vAlign w:val="top"/>
            <w:tcBorders>
              <w:left w:val="single" w:color="000000" w:sz="6" w:space="0"/>
            </w:tcBorders>
          </w:tcPr>
          <w:p>
            <w:pPr>
              <w:pStyle w:val="TableText"/>
              <w:ind w:left="2394"/>
              <w:spacing w:before="145" w:line="212" w:lineRule="auto"/>
              <w:rPr>
                <w:sz w:val="19"/>
                <w:szCs w:val="19"/>
              </w:rPr>
            </w:pPr>
            <w:r>
              <w:rPr>
                <w:sz w:val="19"/>
                <w:szCs w:val="19"/>
                <w:b/>
                <w:bCs/>
                <w:spacing w:val="6"/>
              </w:rPr>
              <w:t>项目</w:t>
            </w:r>
          </w:p>
        </w:tc>
        <w:tc>
          <w:tcPr>
            <w:tcW w:w="1236" w:type="dxa"/>
            <w:vAlign w:val="top"/>
          </w:tcPr>
          <w:p>
            <w:pPr>
              <w:pStyle w:val="TableText"/>
              <w:ind w:left="179" w:right="185" w:firstLine="35"/>
              <w:spacing w:before="5" w:line="208" w:lineRule="auto"/>
              <w:rPr>
                <w:sz w:val="19"/>
                <w:szCs w:val="19"/>
              </w:rPr>
            </w:pPr>
            <w:r>
              <w:rPr>
                <w:sz w:val="19"/>
                <w:szCs w:val="19"/>
                <w:b/>
                <w:bCs/>
                <w:spacing w:val="7"/>
              </w:rPr>
              <w:t>上年决算</w:t>
            </w:r>
            <w:r>
              <w:rPr>
                <w:sz w:val="19"/>
                <w:szCs w:val="19"/>
                <w:b/>
                <w:bCs/>
                <w:spacing w:val="-1"/>
              </w:rPr>
              <w:t>（执行)数</w:t>
            </w:r>
          </w:p>
        </w:tc>
        <w:tc>
          <w:tcPr>
            <w:tcW w:w="1401" w:type="dxa"/>
            <w:vAlign w:val="top"/>
          </w:tcPr>
          <w:p>
            <w:pPr>
              <w:pStyle w:val="TableText"/>
              <w:ind w:left="402"/>
              <w:spacing w:before="140" w:line="221" w:lineRule="auto"/>
              <w:rPr>
                <w:sz w:val="19"/>
                <w:szCs w:val="19"/>
              </w:rPr>
            </w:pPr>
            <w:r>
              <w:rPr>
                <w:sz w:val="19"/>
                <w:szCs w:val="19"/>
                <w:b/>
                <w:bCs/>
                <w:spacing w:val="5"/>
              </w:rPr>
              <w:t>预算数</w:t>
            </w:r>
          </w:p>
        </w:tc>
        <w:tc>
          <w:tcPr>
            <w:tcW w:w="2234" w:type="dxa"/>
            <w:vAlign w:val="top"/>
          </w:tcPr>
          <w:p>
            <w:pPr>
              <w:pStyle w:val="TableText"/>
              <w:ind w:left="917"/>
              <w:spacing w:before="145" w:line="212" w:lineRule="auto"/>
              <w:rPr>
                <w:sz w:val="19"/>
                <w:szCs w:val="19"/>
              </w:rPr>
            </w:pPr>
            <w:r>
              <w:rPr>
                <w:sz w:val="19"/>
                <w:szCs w:val="19"/>
                <w:b/>
                <w:bCs/>
                <w:spacing w:val="6"/>
              </w:rPr>
              <w:t>项目</w:t>
            </w:r>
          </w:p>
        </w:tc>
        <w:tc>
          <w:tcPr>
            <w:tcW w:w="2415" w:type="dxa"/>
            <w:vAlign w:val="top"/>
          </w:tcPr>
          <w:p>
            <w:pPr>
              <w:pStyle w:val="TableText"/>
              <w:ind w:left="383"/>
              <w:spacing w:before="136" w:line="265" w:lineRule="exact"/>
              <w:rPr>
                <w:sz w:val="19"/>
                <w:szCs w:val="19"/>
              </w:rPr>
            </w:pPr>
            <w:r>
              <w:rPr>
                <w:sz w:val="19"/>
                <w:szCs w:val="19"/>
                <w:b/>
                <w:bCs/>
                <w:spacing w:val="2"/>
                <w:position w:val="1"/>
              </w:rPr>
              <w:t>上年决算（执行)数</w:t>
            </w:r>
          </w:p>
        </w:tc>
        <w:tc>
          <w:tcPr>
            <w:tcW w:w="1415" w:type="dxa"/>
            <w:vAlign w:val="top"/>
            <w:tcBorders>
              <w:right w:val="single" w:color="000000" w:sz="6" w:space="0"/>
            </w:tcBorders>
          </w:tcPr>
          <w:p>
            <w:pPr>
              <w:pStyle w:val="TableText"/>
              <w:ind w:left="412"/>
              <w:spacing w:before="140" w:line="221" w:lineRule="auto"/>
              <w:rPr>
                <w:sz w:val="19"/>
                <w:szCs w:val="19"/>
              </w:rPr>
            </w:pPr>
            <w:r>
              <w:rPr>
                <w:sz w:val="19"/>
                <w:szCs w:val="19"/>
                <w:b/>
                <w:bCs/>
                <w:spacing w:val="5"/>
              </w:rPr>
              <w:t>预算数</w:t>
            </w:r>
          </w:p>
        </w:tc>
      </w:tr>
      <w:tr>
        <w:trPr>
          <w:trHeight w:val="324" w:hRule="atLeast"/>
        </w:trPr>
        <w:tc>
          <w:tcPr>
            <w:tcW w:w="5195" w:type="dxa"/>
            <w:vAlign w:val="top"/>
            <w:tcBorders>
              <w:left w:val="single" w:color="000000" w:sz="6" w:space="0"/>
            </w:tcBorders>
          </w:tcPr>
          <w:p>
            <w:pPr>
              <w:pStyle w:val="TableText"/>
              <w:ind w:left="706"/>
              <w:spacing w:before="85" w:line="222" w:lineRule="auto"/>
              <w:rPr>
                <w:sz w:val="19"/>
                <w:szCs w:val="19"/>
              </w:rPr>
            </w:pPr>
            <w:r>
              <w:rPr>
                <w:sz w:val="19"/>
                <w:szCs w:val="19"/>
                <w:spacing w:val="9"/>
              </w:rPr>
              <w:t>其他共同财政事权转移支付收入</w:t>
            </w:r>
          </w:p>
        </w:tc>
        <w:tc>
          <w:tcPr>
            <w:tcW w:w="1236" w:type="dxa"/>
            <w:vAlign w:val="top"/>
          </w:tcPr>
          <w:p>
            <w:pPr>
              <w:rPr>
                <w:rFonts w:ascii="Arial"/>
                <w:sz w:val="21"/>
              </w:rPr>
            </w:pPr>
            <w:r/>
          </w:p>
        </w:tc>
        <w:tc>
          <w:tcPr>
            <w:tcW w:w="1401" w:type="dxa"/>
            <w:vAlign w:val="top"/>
          </w:tcPr>
          <w:p>
            <w:pPr>
              <w:rPr>
                <w:rFonts w:ascii="Arial"/>
                <w:sz w:val="21"/>
              </w:rPr>
            </w:pPr>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324" w:hRule="atLeast"/>
        </w:trPr>
        <w:tc>
          <w:tcPr>
            <w:tcW w:w="5195" w:type="dxa"/>
            <w:vAlign w:val="top"/>
            <w:tcBorders>
              <w:left w:val="single" w:color="000000" w:sz="6" w:space="0"/>
            </w:tcBorders>
          </w:tcPr>
          <w:p>
            <w:pPr>
              <w:pStyle w:val="TableText"/>
              <w:ind w:left="706"/>
              <w:spacing w:before="85" w:line="222" w:lineRule="auto"/>
              <w:rPr>
                <w:sz w:val="19"/>
                <w:szCs w:val="19"/>
              </w:rPr>
            </w:pPr>
            <w:r>
              <w:rPr>
                <w:sz w:val="19"/>
                <w:szCs w:val="19"/>
                <w:spacing w:val="9"/>
              </w:rPr>
              <w:t>其他一般性转移支付收入</w:t>
            </w:r>
          </w:p>
        </w:tc>
        <w:tc>
          <w:tcPr>
            <w:tcW w:w="1236" w:type="dxa"/>
            <w:vAlign w:val="top"/>
          </w:tcPr>
          <w:p>
            <w:pPr>
              <w:rPr>
                <w:rFonts w:ascii="Arial"/>
                <w:sz w:val="21"/>
              </w:rPr>
            </w:pPr>
            <w:r/>
          </w:p>
        </w:tc>
        <w:tc>
          <w:tcPr>
            <w:tcW w:w="1401" w:type="dxa"/>
            <w:vAlign w:val="top"/>
          </w:tcPr>
          <w:p>
            <w:pPr>
              <w:rPr>
                <w:rFonts w:ascii="Arial"/>
                <w:sz w:val="21"/>
              </w:rPr>
            </w:pPr>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86" w:hRule="atLeast"/>
        </w:trPr>
        <w:tc>
          <w:tcPr>
            <w:tcW w:w="5195" w:type="dxa"/>
            <w:vAlign w:val="top"/>
            <w:tcBorders>
              <w:left w:val="single" w:color="000000" w:sz="6" w:space="0"/>
            </w:tcBorders>
          </w:tcPr>
          <w:p>
            <w:pPr>
              <w:pStyle w:val="TableText"/>
              <w:ind w:left="505"/>
              <w:spacing w:before="38" w:line="225" w:lineRule="auto"/>
              <w:rPr>
                <w:sz w:val="19"/>
                <w:szCs w:val="19"/>
              </w:rPr>
            </w:pPr>
            <w:r>
              <w:rPr>
                <w:sz w:val="19"/>
                <w:szCs w:val="19"/>
                <w:spacing w:val="9"/>
              </w:rPr>
              <w:t>专项转移支付收入</w:t>
            </w:r>
          </w:p>
        </w:tc>
        <w:tc>
          <w:tcPr>
            <w:tcW w:w="1236" w:type="dxa"/>
            <w:vAlign w:val="top"/>
          </w:tcPr>
          <w:p>
            <w:pPr>
              <w:pStyle w:val="TableText"/>
              <w:ind w:left="636"/>
              <w:spacing w:before="37" w:line="232" w:lineRule="auto"/>
              <w:rPr>
                <w:sz w:val="19"/>
                <w:szCs w:val="19"/>
              </w:rPr>
            </w:pPr>
            <w:r>
              <w:rPr>
                <w:sz w:val="19"/>
                <w:szCs w:val="19"/>
                <w:spacing w:val="2"/>
              </w:rPr>
              <w:t>36405</w:t>
            </w:r>
          </w:p>
        </w:tc>
        <w:tc>
          <w:tcPr>
            <w:tcW w:w="1401" w:type="dxa"/>
            <w:vAlign w:val="top"/>
          </w:tcPr>
          <w:p>
            <w:pPr>
              <w:pStyle w:val="TableText"/>
              <w:ind w:left="899"/>
              <w:spacing w:before="37" w:line="232" w:lineRule="auto"/>
              <w:rPr>
                <w:sz w:val="19"/>
                <w:szCs w:val="19"/>
              </w:rPr>
            </w:pPr>
            <w:r>
              <w:rPr>
                <w:sz w:val="19"/>
                <w:szCs w:val="19"/>
                <w:spacing w:val="2"/>
              </w:rPr>
              <w:t>9477</w:t>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86" w:hRule="atLeast"/>
        </w:trPr>
        <w:tc>
          <w:tcPr>
            <w:tcW w:w="5195" w:type="dxa"/>
            <w:vAlign w:val="top"/>
            <w:tcBorders>
              <w:left w:val="single" w:color="000000" w:sz="6" w:space="0"/>
            </w:tcBorders>
          </w:tcPr>
          <w:p>
            <w:pPr>
              <w:pStyle w:val="TableText"/>
              <w:ind w:left="707"/>
              <w:spacing w:before="41" w:line="219" w:lineRule="auto"/>
              <w:rPr>
                <w:sz w:val="19"/>
                <w:szCs w:val="19"/>
              </w:rPr>
            </w:pPr>
            <w:r>
              <w:rPr>
                <w:sz w:val="19"/>
                <w:szCs w:val="19"/>
                <w:spacing w:val="9"/>
              </w:rPr>
              <w:t>一般公共服务</w:t>
            </w:r>
          </w:p>
        </w:tc>
        <w:tc>
          <w:tcPr>
            <w:tcW w:w="1236" w:type="dxa"/>
            <w:vAlign w:val="top"/>
          </w:tcPr>
          <w:p>
            <w:pPr>
              <w:pStyle w:val="TableText"/>
              <w:ind w:left="832"/>
              <w:spacing w:before="36" w:line="233" w:lineRule="auto"/>
              <w:rPr>
                <w:sz w:val="19"/>
                <w:szCs w:val="19"/>
              </w:rPr>
            </w:pPr>
            <w:r>
              <w:rPr>
                <w:sz w:val="19"/>
                <w:szCs w:val="19"/>
              </w:rPr>
              <w:t>847</w:t>
            </w:r>
          </w:p>
        </w:tc>
        <w:tc>
          <w:tcPr>
            <w:tcW w:w="1401" w:type="dxa"/>
            <w:vAlign w:val="top"/>
          </w:tcPr>
          <w:p>
            <w:pPr>
              <w:pStyle w:val="TableText"/>
              <w:ind w:left="997"/>
              <w:spacing w:before="36" w:line="233" w:lineRule="auto"/>
              <w:rPr>
                <w:sz w:val="19"/>
                <w:szCs w:val="19"/>
              </w:rPr>
            </w:pPr>
            <w:r>
              <w:rPr>
                <w:sz w:val="19"/>
                <w:szCs w:val="19"/>
                <w:spacing w:val="1"/>
              </w:rPr>
              <w:t>260</w:t>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86" w:hRule="atLeast"/>
        </w:trPr>
        <w:tc>
          <w:tcPr>
            <w:tcW w:w="5195" w:type="dxa"/>
            <w:vAlign w:val="top"/>
            <w:tcBorders>
              <w:left w:val="single" w:color="000000" w:sz="6" w:space="0"/>
            </w:tcBorders>
          </w:tcPr>
          <w:p>
            <w:pPr>
              <w:pStyle w:val="TableText"/>
              <w:ind w:left="706"/>
              <w:spacing w:before="43" w:line="218" w:lineRule="auto"/>
              <w:rPr>
                <w:sz w:val="19"/>
                <w:szCs w:val="19"/>
              </w:rPr>
            </w:pPr>
            <w:r>
              <w:rPr>
                <w:sz w:val="19"/>
                <w:szCs w:val="19"/>
                <w:spacing w:val="7"/>
              </w:rPr>
              <w:t>外交</w:t>
            </w:r>
          </w:p>
        </w:tc>
        <w:tc>
          <w:tcPr>
            <w:tcW w:w="1236" w:type="dxa"/>
            <w:vAlign w:val="top"/>
          </w:tcPr>
          <w:p>
            <w:pPr>
              <w:rPr>
                <w:rFonts w:ascii="Arial"/>
                <w:sz w:val="21"/>
              </w:rPr>
            </w:pPr>
            <w:r/>
          </w:p>
        </w:tc>
        <w:tc>
          <w:tcPr>
            <w:tcW w:w="1401" w:type="dxa"/>
            <w:vAlign w:val="top"/>
          </w:tcPr>
          <w:p>
            <w:pPr>
              <w:rPr>
                <w:rFonts w:ascii="Arial"/>
                <w:sz w:val="21"/>
              </w:rPr>
            </w:pPr>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87" w:hRule="atLeast"/>
        </w:trPr>
        <w:tc>
          <w:tcPr>
            <w:tcW w:w="5195" w:type="dxa"/>
            <w:vAlign w:val="top"/>
            <w:tcBorders>
              <w:left w:val="single" w:color="000000" w:sz="6" w:space="0"/>
            </w:tcBorders>
          </w:tcPr>
          <w:p>
            <w:pPr>
              <w:pStyle w:val="TableText"/>
              <w:ind w:left="727"/>
              <w:spacing w:before="46" w:line="216" w:lineRule="auto"/>
              <w:rPr>
                <w:sz w:val="19"/>
                <w:szCs w:val="19"/>
              </w:rPr>
            </w:pPr>
            <w:r>
              <w:rPr>
                <w:sz w:val="19"/>
                <w:szCs w:val="19"/>
                <w:spacing w:val="-3"/>
              </w:rPr>
              <w:t>国防</w:t>
            </w:r>
          </w:p>
        </w:tc>
        <w:tc>
          <w:tcPr>
            <w:tcW w:w="1236" w:type="dxa"/>
            <w:vAlign w:val="top"/>
          </w:tcPr>
          <w:p>
            <w:pPr>
              <w:rPr>
                <w:rFonts w:ascii="Arial"/>
                <w:sz w:val="21"/>
              </w:rPr>
            </w:pPr>
            <w:r/>
          </w:p>
        </w:tc>
        <w:tc>
          <w:tcPr>
            <w:tcW w:w="1401" w:type="dxa"/>
            <w:vAlign w:val="top"/>
          </w:tcPr>
          <w:p>
            <w:pPr>
              <w:rPr>
                <w:rFonts w:ascii="Arial"/>
                <w:sz w:val="21"/>
              </w:rPr>
            </w:pPr>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86" w:hRule="atLeast"/>
        </w:trPr>
        <w:tc>
          <w:tcPr>
            <w:tcW w:w="5195" w:type="dxa"/>
            <w:vAlign w:val="top"/>
            <w:tcBorders>
              <w:left w:val="single" w:color="000000" w:sz="6" w:space="0"/>
            </w:tcBorders>
          </w:tcPr>
          <w:p>
            <w:pPr>
              <w:pStyle w:val="TableText"/>
              <w:ind w:left="705"/>
              <w:spacing w:before="45" w:line="219" w:lineRule="auto"/>
              <w:rPr>
                <w:sz w:val="19"/>
                <w:szCs w:val="19"/>
              </w:rPr>
            </w:pPr>
            <w:r>
              <w:rPr>
                <w:sz w:val="19"/>
                <w:szCs w:val="19"/>
                <w:spacing w:val="9"/>
              </w:rPr>
              <w:t>公共安全</w:t>
            </w:r>
          </w:p>
        </w:tc>
        <w:tc>
          <w:tcPr>
            <w:tcW w:w="1236" w:type="dxa"/>
            <w:vAlign w:val="top"/>
          </w:tcPr>
          <w:p>
            <w:pPr>
              <w:pStyle w:val="TableText"/>
              <w:ind w:left="828"/>
              <w:spacing w:before="40" w:line="229" w:lineRule="auto"/>
              <w:rPr>
                <w:sz w:val="19"/>
                <w:szCs w:val="19"/>
              </w:rPr>
            </w:pPr>
            <w:r>
              <w:rPr>
                <w:sz w:val="19"/>
                <w:szCs w:val="19"/>
                <w:spacing w:val="2"/>
              </w:rPr>
              <w:t>703</w:t>
            </w:r>
          </w:p>
        </w:tc>
        <w:tc>
          <w:tcPr>
            <w:tcW w:w="1401" w:type="dxa"/>
            <w:vAlign w:val="top"/>
          </w:tcPr>
          <w:p>
            <w:pPr>
              <w:pStyle w:val="TableText"/>
              <w:ind w:left="998"/>
              <w:spacing w:before="40" w:line="229" w:lineRule="auto"/>
              <w:rPr>
                <w:sz w:val="19"/>
                <w:szCs w:val="19"/>
              </w:rPr>
            </w:pPr>
            <w:r>
              <w:rPr>
                <w:sz w:val="19"/>
                <w:szCs w:val="19"/>
                <w:spacing w:val="1"/>
              </w:rPr>
              <w:t>562</w:t>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86" w:hRule="atLeast"/>
        </w:trPr>
        <w:tc>
          <w:tcPr>
            <w:tcW w:w="5195" w:type="dxa"/>
            <w:vAlign w:val="top"/>
            <w:tcBorders>
              <w:left w:val="single" w:color="000000" w:sz="6" w:space="0"/>
            </w:tcBorders>
          </w:tcPr>
          <w:p>
            <w:pPr>
              <w:pStyle w:val="TableText"/>
              <w:ind w:left="707"/>
              <w:spacing w:before="43" w:line="220" w:lineRule="auto"/>
              <w:rPr>
                <w:sz w:val="19"/>
                <w:szCs w:val="19"/>
              </w:rPr>
            </w:pPr>
            <w:r>
              <w:rPr>
                <w:sz w:val="19"/>
                <w:szCs w:val="19"/>
                <w:spacing w:val="6"/>
              </w:rPr>
              <w:t>教育</w:t>
            </w:r>
          </w:p>
        </w:tc>
        <w:tc>
          <w:tcPr>
            <w:tcW w:w="1236" w:type="dxa"/>
            <w:vAlign w:val="top"/>
          </w:tcPr>
          <w:p>
            <w:pPr>
              <w:pStyle w:val="TableText"/>
              <w:ind w:left="731"/>
              <w:spacing w:before="39" w:line="230" w:lineRule="auto"/>
              <w:rPr>
                <w:sz w:val="19"/>
                <w:szCs w:val="19"/>
              </w:rPr>
            </w:pPr>
            <w:r>
              <w:rPr>
                <w:sz w:val="19"/>
                <w:szCs w:val="19"/>
                <w:spacing w:val="2"/>
              </w:rPr>
              <w:t>2700</w:t>
            </w:r>
          </w:p>
        </w:tc>
        <w:tc>
          <w:tcPr>
            <w:tcW w:w="1401" w:type="dxa"/>
            <w:vAlign w:val="top"/>
          </w:tcPr>
          <w:p>
            <w:pPr>
              <w:rPr>
                <w:rFonts w:ascii="Arial"/>
                <w:sz w:val="21"/>
              </w:rPr>
            </w:pPr>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86" w:hRule="atLeast"/>
        </w:trPr>
        <w:tc>
          <w:tcPr>
            <w:tcW w:w="5195" w:type="dxa"/>
            <w:vAlign w:val="top"/>
            <w:tcBorders>
              <w:left w:val="single" w:color="000000" w:sz="6" w:space="0"/>
            </w:tcBorders>
          </w:tcPr>
          <w:p>
            <w:pPr>
              <w:pStyle w:val="TableText"/>
              <w:ind w:left="705"/>
              <w:spacing w:before="45" w:line="218" w:lineRule="auto"/>
              <w:rPr>
                <w:sz w:val="19"/>
                <w:szCs w:val="19"/>
              </w:rPr>
            </w:pPr>
            <w:r>
              <w:rPr>
                <w:sz w:val="19"/>
                <w:szCs w:val="19"/>
                <w:spacing w:val="9"/>
              </w:rPr>
              <w:t>科学技术</w:t>
            </w:r>
          </w:p>
        </w:tc>
        <w:tc>
          <w:tcPr>
            <w:tcW w:w="1236" w:type="dxa"/>
            <w:vAlign w:val="top"/>
          </w:tcPr>
          <w:p>
            <w:pPr>
              <w:pStyle w:val="TableText"/>
              <w:ind w:left="832"/>
              <w:spacing w:before="41" w:line="228" w:lineRule="auto"/>
              <w:rPr>
                <w:sz w:val="19"/>
                <w:szCs w:val="19"/>
              </w:rPr>
            </w:pPr>
            <w:r>
              <w:rPr>
                <w:sz w:val="19"/>
                <w:szCs w:val="19"/>
              </w:rPr>
              <w:t>330</w:t>
            </w:r>
          </w:p>
        </w:tc>
        <w:tc>
          <w:tcPr>
            <w:tcW w:w="1401" w:type="dxa"/>
            <w:vAlign w:val="top"/>
          </w:tcPr>
          <w:p>
            <w:pPr>
              <w:pStyle w:val="TableText"/>
              <w:ind w:left="1099"/>
              <w:spacing w:before="41" w:line="228" w:lineRule="auto"/>
              <w:rPr>
                <w:sz w:val="19"/>
                <w:szCs w:val="19"/>
              </w:rPr>
            </w:pPr>
            <w:r>
              <w:rPr>
                <w:sz w:val="19"/>
                <w:szCs w:val="19"/>
                <w:spacing w:val="-1"/>
              </w:rPr>
              <w:t>30</w:t>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86" w:hRule="atLeast"/>
        </w:trPr>
        <w:tc>
          <w:tcPr>
            <w:tcW w:w="5195" w:type="dxa"/>
            <w:vAlign w:val="top"/>
            <w:tcBorders>
              <w:left w:val="single" w:color="000000" w:sz="6" w:space="0"/>
            </w:tcBorders>
          </w:tcPr>
          <w:p>
            <w:pPr>
              <w:pStyle w:val="TableText"/>
              <w:ind w:left="709"/>
              <w:spacing w:before="44" w:line="223" w:lineRule="auto"/>
              <w:rPr>
                <w:sz w:val="19"/>
                <w:szCs w:val="19"/>
              </w:rPr>
            </w:pPr>
            <w:r>
              <w:rPr>
                <w:sz w:val="19"/>
                <w:szCs w:val="19"/>
                <w:spacing w:val="9"/>
              </w:rPr>
              <w:t>文化旅游体育与传媒</w:t>
            </w:r>
          </w:p>
        </w:tc>
        <w:tc>
          <w:tcPr>
            <w:tcW w:w="1236" w:type="dxa"/>
            <w:vAlign w:val="top"/>
          </w:tcPr>
          <w:p>
            <w:pPr>
              <w:pStyle w:val="TableText"/>
              <w:ind w:left="731"/>
              <w:spacing w:before="42" w:line="227" w:lineRule="auto"/>
              <w:rPr>
                <w:sz w:val="19"/>
                <w:szCs w:val="19"/>
              </w:rPr>
            </w:pPr>
            <w:r>
              <w:rPr>
                <w:sz w:val="19"/>
                <w:szCs w:val="19"/>
                <w:spacing w:val="2"/>
              </w:rPr>
              <w:t>2143</w:t>
            </w:r>
          </w:p>
        </w:tc>
        <w:tc>
          <w:tcPr>
            <w:tcW w:w="1401" w:type="dxa"/>
            <w:vAlign w:val="top"/>
          </w:tcPr>
          <w:p>
            <w:pPr>
              <w:pStyle w:val="TableText"/>
              <w:ind w:left="997"/>
              <w:spacing w:before="42" w:line="227" w:lineRule="auto"/>
              <w:rPr>
                <w:sz w:val="19"/>
                <w:szCs w:val="19"/>
              </w:rPr>
            </w:pPr>
            <w:r>
              <w:rPr>
                <w:sz w:val="19"/>
                <w:szCs w:val="19"/>
                <w:spacing w:val="1"/>
              </w:rPr>
              <w:t>257</w:t>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87" w:hRule="atLeast"/>
        </w:trPr>
        <w:tc>
          <w:tcPr>
            <w:tcW w:w="5195" w:type="dxa"/>
            <w:vAlign w:val="top"/>
            <w:tcBorders>
              <w:left w:val="single" w:color="000000" w:sz="6" w:space="0"/>
            </w:tcBorders>
          </w:tcPr>
          <w:p>
            <w:pPr>
              <w:pStyle w:val="TableText"/>
              <w:ind w:left="706"/>
              <w:spacing w:before="46" w:line="222" w:lineRule="auto"/>
              <w:rPr>
                <w:sz w:val="19"/>
                <w:szCs w:val="19"/>
              </w:rPr>
            </w:pPr>
            <w:r>
              <w:rPr>
                <w:sz w:val="19"/>
                <w:szCs w:val="19"/>
                <w:spacing w:val="9"/>
              </w:rPr>
              <w:t>社会保障和就业</w:t>
            </w:r>
          </w:p>
        </w:tc>
        <w:tc>
          <w:tcPr>
            <w:tcW w:w="1236" w:type="dxa"/>
            <w:vAlign w:val="top"/>
          </w:tcPr>
          <w:p>
            <w:pPr>
              <w:pStyle w:val="TableText"/>
              <w:ind w:left="829"/>
              <w:spacing w:before="44" w:line="226" w:lineRule="auto"/>
              <w:rPr>
                <w:sz w:val="19"/>
                <w:szCs w:val="19"/>
              </w:rPr>
            </w:pPr>
            <w:r>
              <w:rPr>
                <w:sz w:val="19"/>
                <w:szCs w:val="19"/>
                <w:spacing w:val="1"/>
              </w:rPr>
              <w:t>238</w:t>
            </w:r>
          </w:p>
        </w:tc>
        <w:tc>
          <w:tcPr>
            <w:tcW w:w="1401" w:type="dxa"/>
            <w:vAlign w:val="top"/>
          </w:tcPr>
          <w:p>
            <w:pPr>
              <w:pStyle w:val="TableText"/>
              <w:ind w:left="1096"/>
              <w:spacing w:before="44" w:line="226" w:lineRule="auto"/>
              <w:rPr>
                <w:sz w:val="19"/>
                <w:szCs w:val="19"/>
              </w:rPr>
            </w:pPr>
            <w:r>
              <w:rPr>
                <w:sz w:val="19"/>
                <w:szCs w:val="19"/>
              </w:rPr>
              <w:t>24</w:t>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86" w:hRule="atLeast"/>
        </w:trPr>
        <w:tc>
          <w:tcPr>
            <w:tcW w:w="5195" w:type="dxa"/>
            <w:vAlign w:val="top"/>
            <w:tcBorders>
              <w:left w:val="single" w:color="000000" w:sz="6" w:space="0"/>
            </w:tcBorders>
          </w:tcPr>
          <w:p>
            <w:pPr>
              <w:pStyle w:val="TableText"/>
              <w:ind w:left="707"/>
              <w:spacing w:before="45" w:line="223" w:lineRule="auto"/>
              <w:rPr>
                <w:sz w:val="19"/>
                <w:szCs w:val="19"/>
              </w:rPr>
            </w:pPr>
            <w:r>
              <w:rPr>
                <w:sz w:val="19"/>
                <w:szCs w:val="19"/>
                <w:spacing w:val="8"/>
              </w:rPr>
              <w:t>卫生健康</w:t>
            </w:r>
          </w:p>
        </w:tc>
        <w:tc>
          <w:tcPr>
            <w:tcW w:w="1236" w:type="dxa"/>
            <w:vAlign w:val="top"/>
          </w:tcPr>
          <w:p>
            <w:pPr>
              <w:pStyle w:val="TableText"/>
              <w:ind w:left="829"/>
              <w:spacing w:before="42" w:line="227" w:lineRule="auto"/>
              <w:rPr>
                <w:sz w:val="19"/>
                <w:szCs w:val="19"/>
              </w:rPr>
            </w:pPr>
            <w:r>
              <w:rPr>
                <w:sz w:val="19"/>
                <w:szCs w:val="19"/>
                <w:spacing w:val="1"/>
              </w:rPr>
              <w:t>984</w:t>
            </w:r>
          </w:p>
        </w:tc>
        <w:tc>
          <w:tcPr>
            <w:tcW w:w="1401" w:type="dxa"/>
            <w:vAlign w:val="top"/>
          </w:tcPr>
          <w:p>
            <w:pPr>
              <w:pStyle w:val="TableText"/>
              <w:ind w:left="1013"/>
              <w:spacing w:before="42" w:line="227" w:lineRule="auto"/>
              <w:rPr>
                <w:sz w:val="19"/>
                <w:szCs w:val="19"/>
              </w:rPr>
            </w:pPr>
            <w:r>
              <w:rPr>
                <w:sz w:val="19"/>
                <w:szCs w:val="19"/>
                <w:spacing w:val="-4"/>
              </w:rPr>
              <w:t>131</w:t>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87" w:hRule="atLeast"/>
        </w:trPr>
        <w:tc>
          <w:tcPr>
            <w:tcW w:w="5195" w:type="dxa"/>
            <w:vAlign w:val="top"/>
            <w:tcBorders>
              <w:left w:val="single" w:color="000000" w:sz="6" w:space="0"/>
            </w:tcBorders>
          </w:tcPr>
          <w:p>
            <w:pPr>
              <w:pStyle w:val="TableText"/>
              <w:ind w:left="707"/>
              <w:spacing w:before="49" w:line="220" w:lineRule="auto"/>
              <w:rPr>
                <w:sz w:val="19"/>
                <w:szCs w:val="19"/>
              </w:rPr>
            </w:pPr>
            <w:r>
              <w:rPr>
                <w:sz w:val="19"/>
                <w:szCs w:val="19"/>
                <w:spacing w:val="8"/>
              </w:rPr>
              <w:t>节能环保</w:t>
            </w:r>
          </w:p>
        </w:tc>
        <w:tc>
          <w:tcPr>
            <w:tcW w:w="1236" w:type="dxa"/>
            <w:vAlign w:val="top"/>
          </w:tcPr>
          <w:p>
            <w:pPr>
              <w:pStyle w:val="TableText"/>
              <w:ind w:left="733"/>
              <w:spacing w:before="44" w:line="226" w:lineRule="auto"/>
              <w:rPr>
                <w:sz w:val="19"/>
                <w:szCs w:val="19"/>
              </w:rPr>
            </w:pPr>
            <w:r>
              <w:rPr>
                <w:sz w:val="19"/>
                <w:szCs w:val="19"/>
                <w:spacing w:val="2"/>
              </w:rPr>
              <w:t>8301</w:t>
            </w:r>
          </w:p>
        </w:tc>
        <w:tc>
          <w:tcPr>
            <w:tcW w:w="1401" w:type="dxa"/>
            <w:vAlign w:val="top"/>
          </w:tcPr>
          <w:p>
            <w:pPr>
              <w:pStyle w:val="TableText"/>
              <w:ind w:left="900"/>
              <w:spacing w:before="44" w:line="226" w:lineRule="auto"/>
              <w:rPr>
                <w:sz w:val="19"/>
                <w:szCs w:val="19"/>
              </w:rPr>
            </w:pPr>
            <w:r>
              <w:rPr>
                <w:sz w:val="19"/>
                <w:szCs w:val="19"/>
                <w:spacing w:val="1"/>
              </w:rPr>
              <w:t>6635</w:t>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86" w:hRule="atLeast"/>
        </w:trPr>
        <w:tc>
          <w:tcPr>
            <w:tcW w:w="5195" w:type="dxa"/>
            <w:vAlign w:val="top"/>
            <w:tcBorders>
              <w:left w:val="single" w:color="000000" w:sz="6" w:space="0"/>
            </w:tcBorders>
          </w:tcPr>
          <w:p>
            <w:pPr>
              <w:pStyle w:val="TableText"/>
              <w:ind w:left="707"/>
              <w:spacing w:before="51" w:line="217" w:lineRule="auto"/>
              <w:rPr>
                <w:sz w:val="19"/>
                <w:szCs w:val="19"/>
              </w:rPr>
            </w:pPr>
            <w:r>
              <w:rPr>
                <w:sz w:val="19"/>
                <w:szCs w:val="19"/>
                <w:spacing w:val="8"/>
              </w:rPr>
              <w:t>城乡社区</w:t>
            </w:r>
          </w:p>
        </w:tc>
        <w:tc>
          <w:tcPr>
            <w:tcW w:w="1236" w:type="dxa"/>
            <w:vAlign w:val="top"/>
          </w:tcPr>
          <w:p>
            <w:pPr>
              <w:pStyle w:val="TableText"/>
              <w:ind w:left="747"/>
              <w:spacing w:before="44" w:line="225" w:lineRule="auto"/>
              <w:rPr>
                <w:sz w:val="19"/>
                <w:szCs w:val="19"/>
              </w:rPr>
            </w:pPr>
            <w:r>
              <w:rPr>
                <w:sz w:val="19"/>
                <w:szCs w:val="19"/>
                <w:spacing w:val="-2"/>
              </w:rPr>
              <w:t>1060</w:t>
            </w:r>
          </w:p>
        </w:tc>
        <w:tc>
          <w:tcPr>
            <w:tcW w:w="1401" w:type="dxa"/>
            <w:vAlign w:val="top"/>
          </w:tcPr>
          <w:p>
            <w:pPr>
              <w:rPr>
                <w:rFonts w:ascii="Arial"/>
                <w:sz w:val="21"/>
              </w:rPr>
            </w:pPr>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87" w:hRule="atLeast"/>
        </w:trPr>
        <w:tc>
          <w:tcPr>
            <w:tcW w:w="5195" w:type="dxa"/>
            <w:vAlign w:val="top"/>
            <w:tcBorders>
              <w:left w:val="single" w:color="000000" w:sz="6" w:space="0"/>
            </w:tcBorders>
          </w:tcPr>
          <w:p>
            <w:pPr>
              <w:pStyle w:val="TableText"/>
              <w:ind w:left="703"/>
              <w:spacing w:before="51" w:line="218" w:lineRule="auto"/>
              <w:rPr>
                <w:sz w:val="19"/>
                <w:szCs w:val="19"/>
              </w:rPr>
            </w:pPr>
            <w:r>
              <w:rPr>
                <w:sz w:val="19"/>
                <w:szCs w:val="19"/>
                <w:spacing w:val="9"/>
              </w:rPr>
              <w:t>农林水</w:t>
            </w:r>
          </w:p>
        </w:tc>
        <w:tc>
          <w:tcPr>
            <w:tcW w:w="1236" w:type="dxa"/>
            <w:vAlign w:val="top"/>
          </w:tcPr>
          <w:p>
            <w:pPr>
              <w:pStyle w:val="TableText"/>
              <w:ind w:left="734"/>
              <w:spacing w:before="46" w:line="224" w:lineRule="auto"/>
              <w:rPr>
                <w:sz w:val="19"/>
                <w:szCs w:val="19"/>
              </w:rPr>
            </w:pPr>
            <w:r>
              <w:rPr>
                <w:sz w:val="19"/>
                <w:szCs w:val="19"/>
                <w:spacing w:val="1"/>
              </w:rPr>
              <w:t>3136</w:t>
            </w:r>
          </w:p>
        </w:tc>
        <w:tc>
          <w:tcPr>
            <w:tcW w:w="1401" w:type="dxa"/>
            <w:vAlign w:val="top"/>
          </w:tcPr>
          <w:p>
            <w:pPr>
              <w:pStyle w:val="TableText"/>
              <w:ind w:left="998"/>
              <w:spacing w:before="46" w:line="224" w:lineRule="auto"/>
              <w:rPr>
                <w:sz w:val="19"/>
                <w:szCs w:val="19"/>
              </w:rPr>
            </w:pPr>
            <w:r>
              <w:rPr>
                <w:sz w:val="19"/>
                <w:szCs w:val="19"/>
                <w:spacing w:val="1"/>
              </w:rPr>
              <w:t>541</w:t>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87" w:hRule="atLeast"/>
        </w:trPr>
        <w:tc>
          <w:tcPr>
            <w:tcW w:w="5195" w:type="dxa"/>
            <w:vAlign w:val="top"/>
            <w:tcBorders>
              <w:left w:val="single" w:color="000000" w:sz="6" w:space="0"/>
            </w:tcBorders>
          </w:tcPr>
          <w:p>
            <w:pPr>
              <w:pStyle w:val="TableText"/>
              <w:ind w:left="707"/>
              <w:spacing w:before="50" w:line="218" w:lineRule="auto"/>
              <w:rPr>
                <w:sz w:val="19"/>
                <w:szCs w:val="19"/>
              </w:rPr>
            </w:pPr>
            <w:r>
              <w:rPr>
                <w:sz w:val="19"/>
                <w:szCs w:val="19"/>
                <w:spacing w:val="8"/>
              </w:rPr>
              <w:t>交通运输</w:t>
            </w:r>
          </w:p>
        </w:tc>
        <w:tc>
          <w:tcPr>
            <w:tcW w:w="1236" w:type="dxa"/>
            <w:vAlign w:val="top"/>
          </w:tcPr>
          <w:p>
            <w:pPr>
              <w:pStyle w:val="TableText"/>
              <w:ind w:left="932"/>
              <w:spacing w:before="44" w:line="226" w:lineRule="auto"/>
              <w:rPr>
                <w:sz w:val="19"/>
                <w:szCs w:val="19"/>
              </w:rPr>
            </w:pPr>
            <w:r>
              <w:rPr>
                <w:sz w:val="19"/>
                <w:szCs w:val="19"/>
                <w:spacing w:val="-1"/>
              </w:rPr>
              <w:t>85</w:t>
            </w:r>
          </w:p>
        </w:tc>
        <w:tc>
          <w:tcPr>
            <w:tcW w:w="1401" w:type="dxa"/>
            <w:vAlign w:val="top"/>
          </w:tcPr>
          <w:p>
            <w:pPr>
              <w:rPr>
                <w:rFonts w:ascii="Arial"/>
                <w:sz w:val="21"/>
              </w:rPr>
            </w:pPr>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87" w:hRule="atLeast"/>
        </w:trPr>
        <w:tc>
          <w:tcPr>
            <w:tcW w:w="5195" w:type="dxa"/>
            <w:vAlign w:val="top"/>
            <w:tcBorders>
              <w:left w:val="single" w:color="000000" w:sz="6" w:space="0"/>
            </w:tcBorders>
          </w:tcPr>
          <w:p>
            <w:pPr>
              <w:pStyle w:val="TableText"/>
              <w:ind w:left="711"/>
              <w:spacing w:before="47" w:line="223" w:lineRule="auto"/>
              <w:rPr>
                <w:sz w:val="19"/>
                <w:szCs w:val="19"/>
              </w:rPr>
            </w:pPr>
            <w:r>
              <w:rPr>
                <w:sz w:val="19"/>
                <w:szCs w:val="19"/>
                <w:spacing w:val="9"/>
              </w:rPr>
              <w:t>资源勘探工业信息等</w:t>
            </w:r>
          </w:p>
        </w:tc>
        <w:tc>
          <w:tcPr>
            <w:tcW w:w="1236" w:type="dxa"/>
            <w:vAlign w:val="top"/>
          </w:tcPr>
          <w:p>
            <w:pPr>
              <w:pStyle w:val="TableText"/>
              <w:ind w:left="733"/>
              <w:spacing w:before="45" w:line="225" w:lineRule="auto"/>
              <w:rPr>
                <w:sz w:val="19"/>
                <w:szCs w:val="19"/>
              </w:rPr>
            </w:pPr>
            <w:r>
              <w:rPr>
                <w:sz w:val="19"/>
                <w:szCs w:val="19"/>
                <w:spacing w:val="2"/>
              </w:rPr>
              <w:t>8028</w:t>
            </w:r>
          </w:p>
        </w:tc>
        <w:tc>
          <w:tcPr>
            <w:tcW w:w="1401" w:type="dxa"/>
            <w:vAlign w:val="top"/>
          </w:tcPr>
          <w:p>
            <w:pPr>
              <w:pStyle w:val="TableText"/>
              <w:ind w:left="1013"/>
              <w:spacing w:before="45" w:line="225" w:lineRule="auto"/>
              <w:rPr>
                <w:sz w:val="19"/>
                <w:szCs w:val="19"/>
              </w:rPr>
            </w:pPr>
            <w:r>
              <w:rPr>
                <w:sz w:val="19"/>
                <w:szCs w:val="19"/>
                <w:spacing w:val="-4"/>
              </w:rPr>
              <w:t>114</w:t>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86" w:hRule="atLeast"/>
        </w:trPr>
        <w:tc>
          <w:tcPr>
            <w:tcW w:w="5195" w:type="dxa"/>
            <w:vAlign w:val="top"/>
            <w:tcBorders>
              <w:left w:val="single" w:color="000000" w:sz="6" w:space="0"/>
            </w:tcBorders>
          </w:tcPr>
          <w:p>
            <w:pPr>
              <w:pStyle w:val="TableText"/>
              <w:ind w:left="708"/>
              <w:spacing w:before="49" w:line="220" w:lineRule="auto"/>
              <w:rPr>
                <w:sz w:val="19"/>
                <w:szCs w:val="19"/>
              </w:rPr>
            </w:pPr>
            <w:r>
              <w:rPr>
                <w:sz w:val="19"/>
                <w:szCs w:val="19"/>
                <w:spacing w:val="9"/>
              </w:rPr>
              <w:t>商业服务业等</w:t>
            </w:r>
          </w:p>
        </w:tc>
        <w:tc>
          <w:tcPr>
            <w:tcW w:w="1236" w:type="dxa"/>
            <w:vAlign w:val="top"/>
          </w:tcPr>
          <w:p>
            <w:pPr>
              <w:pStyle w:val="TableText"/>
              <w:ind w:left="731"/>
              <w:spacing w:before="45" w:line="224" w:lineRule="auto"/>
              <w:rPr>
                <w:sz w:val="19"/>
                <w:szCs w:val="19"/>
              </w:rPr>
            </w:pPr>
            <w:r>
              <w:rPr>
                <w:sz w:val="19"/>
                <w:szCs w:val="19"/>
                <w:spacing w:val="2"/>
              </w:rPr>
              <w:t>2288</w:t>
            </w:r>
          </w:p>
        </w:tc>
        <w:tc>
          <w:tcPr>
            <w:tcW w:w="1401" w:type="dxa"/>
            <w:vAlign w:val="top"/>
          </w:tcPr>
          <w:p>
            <w:pPr>
              <w:pStyle w:val="TableText"/>
              <w:ind w:left="997"/>
              <w:spacing w:before="45" w:line="224" w:lineRule="auto"/>
              <w:rPr>
                <w:sz w:val="19"/>
                <w:szCs w:val="19"/>
              </w:rPr>
            </w:pPr>
            <w:r>
              <w:rPr>
                <w:sz w:val="19"/>
                <w:szCs w:val="19"/>
                <w:spacing w:val="1"/>
              </w:rPr>
              <w:t>923</w:t>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87" w:hRule="atLeast"/>
        </w:trPr>
        <w:tc>
          <w:tcPr>
            <w:tcW w:w="5195" w:type="dxa"/>
            <w:vAlign w:val="top"/>
            <w:tcBorders>
              <w:left w:val="single" w:color="000000" w:sz="6" w:space="0"/>
            </w:tcBorders>
          </w:tcPr>
          <w:p>
            <w:pPr>
              <w:pStyle w:val="TableText"/>
              <w:ind w:left="707"/>
              <w:spacing w:before="54" w:line="216" w:lineRule="auto"/>
              <w:rPr>
                <w:sz w:val="19"/>
                <w:szCs w:val="19"/>
              </w:rPr>
            </w:pPr>
            <w:r>
              <w:rPr>
                <w:sz w:val="19"/>
                <w:szCs w:val="19"/>
                <w:spacing w:val="7"/>
              </w:rPr>
              <w:t>金融</w:t>
            </w:r>
          </w:p>
        </w:tc>
        <w:tc>
          <w:tcPr>
            <w:tcW w:w="1236" w:type="dxa"/>
            <w:vAlign w:val="top"/>
          </w:tcPr>
          <w:p>
            <w:pPr>
              <w:rPr>
                <w:rFonts w:ascii="Arial"/>
                <w:sz w:val="21"/>
              </w:rPr>
            </w:pPr>
            <w:r/>
          </w:p>
        </w:tc>
        <w:tc>
          <w:tcPr>
            <w:tcW w:w="1401" w:type="dxa"/>
            <w:vAlign w:val="top"/>
          </w:tcPr>
          <w:p>
            <w:pPr>
              <w:rPr>
                <w:rFonts w:ascii="Arial"/>
                <w:sz w:val="21"/>
              </w:rPr>
            </w:pPr>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87" w:hRule="atLeast"/>
        </w:trPr>
        <w:tc>
          <w:tcPr>
            <w:tcW w:w="5195" w:type="dxa"/>
            <w:vAlign w:val="top"/>
            <w:tcBorders>
              <w:left w:val="single" w:color="000000" w:sz="6" w:space="0"/>
            </w:tcBorders>
          </w:tcPr>
          <w:p>
            <w:pPr>
              <w:pStyle w:val="TableText"/>
              <w:ind w:left="745"/>
              <w:spacing w:before="48" w:line="222" w:lineRule="auto"/>
              <w:rPr>
                <w:sz w:val="19"/>
                <w:szCs w:val="19"/>
              </w:rPr>
            </w:pPr>
            <w:r>
              <w:rPr>
                <w:sz w:val="19"/>
                <w:szCs w:val="19"/>
                <w:spacing w:val="5"/>
              </w:rPr>
              <w:t>自然资源海洋气象等</w:t>
            </w:r>
          </w:p>
        </w:tc>
        <w:tc>
          <w:tcPr>
            <w:tcW w:w="1236" w:type="dxa"/>
            <w:vAlign w:val="top"/>
          </w:tcPr>
          <w:p>
            <w:pPr>
              <w:pStyle w:val="TableText"/>
              <w:ind w:left="931"/>
              <w:spacing w:before="45" w:line="225" w:lineRule="auto"/>
              <w:rPr>
                <w:sz w:val="19"/>
                <w:szCs w:val="19"/>
              </w:rPr>
            </w:pPr>
            <w:r>
              <w:rPr>
                <w:sz w:val="19"/>
                <w:szCs w:val="19"/>
              </w:rPr>
              <w:t>55</w:t>
            </w:r>
          </w:p>
        </w:tc>
        <w:tc>
          <w:tcPr>
            <w:tcW w:w="1401" w:type="dxa"/>
            <w:vAlign w:val="top"/>
          </w:tcPr>
          <w:p>
            <w:pPr>
              <w:rPr>
                <w:rFonts w:ascii="Arial"/>
                <w:sz w:val="21"/>
              </w:rPr>
            </w:pPr>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87" w:hRule="atLeast"/>
        </w:trPr>
        <w:tc>
          <w:tcPr>
            <w:tcW w:w="5195" w:type="dxa"/>
            <w:vAlign w:val="top"/>
            <w:tcBorders>
              <w:left w:val="single" w:color="000000" w:sz="6" w:space="0"/>
            </w:tcBorders>
          </w:tcPr>
          <w:p>
            <w:pPr>
              <w:pStyle w:val="TableText"/>
              <w:ind w:left="706"/>
              <w:spacing w:before="48" w:line="222" w:lineRule="auto"/>
              <w:rPr>
                <w:sz w:val="19"/>
                <w:szCs w:val="19"/>
              </w:rPr>
            </w:pPr>
            <w:r>
              <w:rPr>
                <w:sz w:val="19"/>
                <w:szCs w:val="19"/>
                <w:spacing w:val="8"/>
              </w:rPr>
              <w:t>住房保障</w:t>
            </w:r>
          </w:p>
        </w:tc>
        <w:tc>
          <w:tcPr>
            <w:tcW w:w="1236" w:type="dxa"/>
            <w:vAlign w:val="top"/>
          </w:tcPr>
          <w:p>
            <w:pPr>
              <w:pStyle w:val="TableText"/>
              <w:ind w:left="732"/>
              <w:spacing w:before="46" w:line="224" w:lineRule="auto"/>
              <w:rPr>
                <w:sz w:val="19"/>
                <w:szCs w:val="19"/>
              </w:rPr>
            </w:pPr>
            <w:r>
              <w:rPr>
                <w:sz w:val="19"/>
                <w:szCs w:val="19"/>
                <w:spacing w:val="2"/>
              </w:rPr>
              <w:t>5395</w:t>
            </w:r>
          </w:p>
        </w:tc>
        <w:tc>
          <w:tcPr>
            <w:tcW w:w="1401" w:type="dxa"/>
            <w:vAlign w:val="top"/>
          </w:tcPr>
          <w:p>
            <w:pPr>
              <w:rPr>
                <w:rFonts w:ascii="Arial"/>
                <w:sz w:val="21"/>
              </w:rPr>
            </w:pPr>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86" w:hRule="atLeast"/>
        </w:trPr>
        <w:tc>
          <w:tcPr>
            <w:tcW w:w="5195" w:type="dxa"/>
            <w:vAlign w:val="top"/>
            <w:tcBorders>
              <w:left w:val="single" w:color="000000" w:sz="6" w:space="0"/>
            </w:tcBorders>
          </w:tcPr>
          <w:p>
            <w:pPr>
              <w:pStyle w:val="TableText"/>
              <w:ind w:left="707"/>
              <w:spacing w:before="50" w:line="219" w:lineRule="auto"/>
              <w:rPr>
                <w:sz w:val="19"/>
                <w:szCs w:val="19"/>
              </w:rPr>
            </w:pPr>
            <w:r>
              <w:rPr>
                <w:sz w:val="19"/>
                <w:szCs w:val="19"/>
                <w:spacing w:val="9"/>
              </w:rPr>
              <w:t>粮油物资储备</w:t>
            </w:r>
          </w:p>
        </w:tc>
        <w:tc>
          <w:tcPr>
            <w:tcW w:w="1236" w:type="dxa"/>
            <w:vAlign w:val="top"/>
          </w:tcPr>
          <w:p>
            <w:pPr>
              <w:rPr>
                <w:rFonts w:ascii="Arial"/>
                <w:sz w:val="21"/>
              </w:rPr>
            </w:pPr>
            <w:r/>
          </w:p>
        </w:tc>
        <w:tc>
          <w:tcPr>
            <w:tcW w:w="1401" w:type="dxa"/>
            <w:vAlign w:val="top"/>
          </w:tcPr>
          <w:p>
            <w:pPr>
              <w:rPr>
                <w:rFonts w:ascii="Arial"/>
                <w:sz w:val="21"/>
              </w:rPr>
            </w:pPr>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87" w:hRule="atLeast"/>
        </w:trPr>
        <w:tc>
          <w:tcPr>
            <w:tcW w:w="5195" w:type="dxa"/>
            <w:vAlign w:val="top"/>
            <w:tcBorders>
              <w:left w:val="single" w:color="000000" w:sz="6" w:space="0"/>
            </w:tcBorders>
          </w:tcPr>
          <w:p>
            <w:pPr>
              <w:pStyle w:val="TableText"/>
              <w:ind w:left="707"/>
              <w:spacing w:before="53" w:line="217" w:lineRule="auto"/>
              <w:rPr>
                <w:sz w:val="19"/>
                <w:szCs w:val="19"/>
              </w:rPr>
            </w:pPr>
            <w:r>
              <w:rPr>
                <w:sz w:val="19"/>
                <w:szCs w:val="19"/>
                <w:spacing w:val="9"/>
              </w:rPr>
              <w:t>灾害防治及应急管理</w:t>
            </w:r>
          </w:p>
        </w:tc>
        <w:tc>
          <w:tcPr>
            <w:tcW w:w="1236" w:type="dxa"/>
            <w:vAlign w:val="top"/>
          </w:tcPr>
          <w:p>
            <w:pPr>
              <w:pStyle w:val="TableText"/>
              <w:ind w:left="930"/>
              <w:spacing w:before="48" w:line="222" w:lineRule="auto"/>
              <w:rPr>
                <w:sz w:val="19"/>
                <w:szCs w:val="19"/>
              </w:rPr>
            </w:pPr>
            <w:r>
              <w:rPr>
                <w:sz w:val="19"/>
                <w:szCs w:val="19"/>
              </w:rPr>
              <w:t>27</w:t>
            </w:r>
          </w:p>
        </w:tc>
        <w:tc>
          <w:tcPr>
            <w:tcW w:w="1401" w:type="dxa"/>
            <w:vAlign w:val="top"/>
          </w:tcPr>
          <w:p>
            <w:pPr>
              <w:rPr>
                <w:rFonts w:ascii="Arial"/>
                <w:sz w:val="21"/>
              </w:rPr>
            </w:pPr>
            <w:r/>
          </w:p>
        </w:tc>
        <w:tc>
          <w:tcPr>
            <w:tcW w:w="2234" w:type="dxa"/>
            <w:vAlign w:val="top"/>
          </w:tcPr>
          <w:p>
            <w:pPr>
              <w:rPr>
                <w:rFonts w:ascii="Arial"/>
                <w:sz w:val="21"/>
              </w:rPr>
            </w:pPr>
            <w:r/>
          </w:p>
        </w:tc>
        <w:tc>
          <w:tcPr>
            <w:tcW w:w="2415" w:type="dxa"/>
            <w:vAlign w:val="top"/>
          </w:tcPr>
          <w:p>
            <w:pPr>
              <w:rPr>
                <w:rFonts w:ascii="Arial"/>
                <w:sz w:val="21"/>
              </w:rPr>
            </w:pPr>
            <w:r/>
          </w:p>
        </w:tc>
        <w:tc>
          <w:tcPr>
            <w:tcW w:w="1415" w:type="dxa"/>
            <w:vAlign w:val="top"/>
            <w:tcBorders>
              <w:right w:val="single" w:color="000000" w:sz="6" w:space="0"/>
            </w:tcBorders>
          </w:tcPr>
          <w:p>
            <w:pPr>
              <w:rPr>
                <w:rFonts w:ascii="Arial"/>
                <w:sz w:val="21"/>
              </w:rPr>
            </w:pPr>
            <w:r/>
          </w:p>
        </w:tc>
      </w:tr>
      <w:tr>
        <w:trPr>
          <w:trHeight w:val="298" w:hRule="atLeast"/>
        </w:trPr>
        <w:tc>
          <w:tcPr>
            <w:tcW w:w="5195" w:type="dxa"/>
            <w:vAlign w:val="top"/>
            <w:tcBorders>
              <w:left w:val="single" w:color="000000" w:sz="6" w:space="0"/>
              <w:bottom w:val="single" w:color="000000" w:sz="6" w:space="0"/>
            </w:tcBorders>
          </w:tcPr>
          <w:p>
            <w:pPr>
              <w:pStyle w:val="TableText"/>
              <w:ind w:left="706"/>
              <w:spacing w:before="50" w:line="221" w:lineRule="auto"/>
              <w:rPr>
                <w:sz w:val="19"/>
                <w:szCs w:val="19"/>
              </w:rPr>
            </w:pPr>
            <w:r>
              <w:rPr>
                <w:sz w:val="19"/>
                <w:szCs w:val="19"/>
                <w:spacing w:val="8"/>
              </w:rPr>
              <w:t>其他收入</w:t>
            </w:r>
          </w:p>
        </w:tc>
        <w:tc>
          <w:tcPr>
            <w:tcW w:w="1236" w:type="dxa"/>
            <w:vAlign w:val="top"/>
            <w:tcBorders>
              <w:bottom w:val="single" w:color="000000" w:sz="6" w:space="0"/>
            </w:tcBorders>
          </w:tcPr>
          <w:p>
            <w:pPr>
              <w:pStyle w:val="TableText"/>
              <w:ind w:left="932"/>
              <w:spacing w:before="46" w:line="235" w:lineRule="auto"/>
              <w:rPr>
                <w:sz w:val="19"/>
                <w:szCs w:val="19"/>
              </w:rPr>
            </w:pPr>
            <w:r>
              <w:rPr>
                <w:sz w:val="19"/>
                <w:szCs w:val="19"/>
                <w:spacing w:val="-1"/>
              </w:rPr>
              <w:t>85</w:t>
            </w:r>
          </w:p>
        </w:tc>
        <w:tc>
          <w:tcPr>
            <w:tcW w:w="1401" w:type="dxa"/>
            <w:vAlign w:val="top"/>
            <w:tcBorders>
              <w:bottom w:val="single" w:color="000000" w:sz="6" w:space="0"/>
            </w:tcBorders>
          </w:tcPr>
          <w:p>
            <w:pPr>
              <w:rPr>
                <w:rFonts w:ascii="Arial"/>
                <w:sz w:val="21"/>
              </w:rPr>
            </w:pPr>
            <w:r/>
          </w:p>
        </w:tc>
        <w:tc>
          <w:tcPr>
            <w:tcW w:w="2234" w:type="dxa"/>
            <w:vAlign w:val="top"/>
            <w:tcBorders>
              <w:bottom w:val="single" w:color="000000" w:sz="6" w:space="0"/>
            </w:tcBorders>
          </w:tcPr>
          <w:p>
            <w:pPr>
              <w:rPr>
                <w:rFonts w:ascii="Arial"/>
                <w:sz w:val="21"/>
              </w:rPr>
            </w:pPr>
            <w:r/>
          </w:p>
        </w:tc>
        <w:tc>
          <w:tcPr>
            <w:tcW w:w="2415" w:type="dxa"/>
            <w:vAlign w:val="top"/>
            <w:tcBorders>
              <w:bottom w:val="single" w:color="000000" w:sz="6" w:space="0"/>
            </w:tcBorders>
          </w:tcPr>
          <w:p>
            <w:pPr>
              <w:rPr>
                <w:rFonts w:ascii="Arial"/>
                <w:sz w:val="21"/>
              </w:rPr>
            </w:pPr>
            <w:r/>
          </w:p>
        </w:tc>
        <w:tc>
          <w:tcPr>
            <w:tcW w:w="1415"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57"/>
          <w:footerReference w:type="default" r:id="rId64"/>
          <w:pgSz w:w="16839" w:h="11906"/>
          <w:pgMar w:top="1780" w:right="1463" w:bottom="1660" w:left="1463" w:header="1428" w:footer="1289" w:gutter="0"/>
        </w:sectPr>
        <w:rPr>
          <w:rFonts w:ascii="Arial" w:hAnsi="Arial" w:eastAsia="Arial" w:cs="Arial"/>
          <w:sz w:val="21"/>
          <w:szCs w:val="21"/>
        </w:rPr>
      </w:pPr>
    </w:p>
    <w:p>
      <w:pPr>
        <w:spacing w:line="273" w:lineRule="auto"/>
        <w:rPr>
          <w:rFonts w:ascii="Arial"/>
          <w:sz w:val="21"/>
        </w:rPr>
      </w:pPr>
      <w:r>
        <w:drawing>
          <wp:anchor distT="0" distB="0" distL="0" distR="0" simplePos="0" relativeHeight="251664384" behindDoc="0" locked="0" layoutInCell="1" allowOverlap="1">
            <wp:simplePos x="0" y="0"/>
            <wp:positionH relativeFrom="column">
              <wp:posOffset>79121</wp:posOffset>
            </wp:positionH>
            <wp:positionV relativeFrom="paragraph">
              <wp:posOffset>24954</wp:posOffset>
            </wp:positionV>
            <wp:extent cx="8712200" cy="7620"/>
            <wp:effectExtent l="0" t="0" r="0" b="0"/>
            <wp:wrapNone/>
            <wp:docPr id="130" name="IM 130"/>
            <wp:cNvGraphicFramePr/>
            <a:graphic>
              <a:graphicData uri="http://schemas.openxmlformats.org/drawingml/2006/picture">
                <pic:pic>
                  <pic:nvPicPr>
                    <pic:cNvPr id="130" name="IM 130"/>
                    <pic:cNvPicPr/>
                  </pic:nvPicPr>
                  <pic:blipFill>
                    <a:blip r:embed="rId67"/>
                    <a:stretch>
                      <a:fillRect/>
                    </a:stretch>
                  </pic:blipFill>
                  <pic:spPr>
                    <a:xfrm rot="0">
                      <a:off x="0" y="0"/>
                      <a:ext cx="8712200" cy="7620"/>
                    </a:xfrm>
                    <a:prstGeom prst="rect">
                      <a:avLst/>
                    </a:prstGeom>
                  </pic:spPr>
                </pic:pic>
              </a:graphicData>
            </a:graphic>
          </wp:anchor>
        </w:drawing>
      </w:r>
      <w:r/>
    </w:p>
    <w:p>
      <w:pPr>
        <w:ind w:left="132"/>
        <w:spacing w:before="85"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表五</w:t>
      </w:r>
    </w:p>
    <w:p>
      <w:pPr>
        <w:pStyle w:val="BodyText"/>
        <w:ind w:left="2748"/>
        <w:spacing w:line="474" w:lineRule="exact"/>
        <w:rPr>
          <w:sz w:val="35"/>
          <w:szCs w:val="35"/>
        </w:rPr>
      </w:pPr>
      <w:r>
        <w:rPr>
          <w:sz w:val="35"/>
          <w:szCs w:val="35"/>
          <w:b/>
          <w:bCs/>
          <w:spacing w:val="4"/>
          <w:position w:val="2"/>
        </w:rPr>
        <w:t>固原市本级</w:t>
      </w:r>
      <w:r>
        <w:rPr>
          <w:sz w:val="35"/>
          <w:szCs w:val="35"/>
          <w:spacing w:val="-79"/>
          <w:position w:val="2"/>
        </w:rPr>
        <w:t xml:space="preserve"> </w:t>
      </w:r>
      <w:r>
        <w:rPr>
          <w:sz w:val="35"/>
          <w:szCs w:val="35"/>
          <w:b/>
          <w:bCs/>
          <w:spacing w:val="4"/>
          <w:position w:val="2"/>
        </w:rPr>
        <w:t>2021</w:t>
      </w:r>
      <w:r>
        <w:rPr>
          <w:sz w:val="35"/>
          <w:szCs w:val="35"/>
          <w:spacing w:val="-78"/>
          <w:position w:val="2"/>
        </w:rPr>
        <w:t xml:space="preserve"> </w:t>
      </w:r>
      <w:r>
        <w:rPr>
          <w:sz w:val="35"/>
          <w:szCs w:val="35"/>
          <w:b/>
          <w:bCs/>
          <w:spacing w:val="4"/>
          <w:position w:val="2"/>
        </w:rPr>
        <w:t>年一般公共预算支出资金来源情况表</w:t>
      </w:r>
    </w:p>
    <w:p>
      <w:pPr>
        <w:pStyle w:val="BodyText"/>
        <w:ind w:left="12740"/>
        <w:spacing w:line="222" w:lineRule="auto"/>
        <w:rPr/>
      </w:pPr>
      <w:r>
        <w:rPr>
          <w:spacing w:val="9"/>
        </w:rPr>
        <w:t>单位：万元</w:t>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301"/>
        <w:gridCol w:w="1201"/>
        <w:gridCol w:w="1052"/>
        <w:gridCol w:w="1543"/>
        <w:gridCol w:w="1379"/>
        <w:gridCol w:w="1134"/>
        <w:gridCol w:w="1460"/>
        <w:gridCol w:w="1826"/>
      </w:tblGrid>
      <w:tr>
        <w:trPr>
          <w:trHeight w:val="611" w:hRule="atLeast"/>
        </w:trPr>
        <w:tc>
          <w:tcPr>
            <w:tcW w:w="4301" w:type="dxa"/>
            <w:vAlign w:val="top"/>
            <w:tcBorders>
              <w:left w:val="single" w:color="000000" w:sz="6" w:space="0"/>
              <w:top w:val="single" w:color="000000" w:sz="6" w:space="0"/>
            </w:tcBorders>
          </w:tcPr>
          <w:p>
            <w:pPr>
              <w:pStyle w:val="TableText"/>
              <w:ind w:left="1945"/>
              <w:spacing w:before="232" w:line="212" w:lineRule="auto"/>
              <w:rPr>
                <w:sz w:val="19"/>
                <w:szCs w:val="19"/>
              </w:rPr>
            </w:pPr>
            <w:r>
              <w:rPr>
                <w:sz w:val="19"/>
                <w:szCs w:val="19"/>
                <w:b/>
                <w:bCs/>
                <w:spacing w:val="6"/>
              </w:rPr>
              <w:t>项目</w:t>
            </w:r>
          </w:p>
        </w:tc>
        <w:tc>
          <w:tcPr>
            <w:tcW w:w="1201" w:type="dxa"/>
            <w:vAlign w:val="top"/>
            <w:tcBorders>
              <w:top w:val="single" w:color="000000" w:sz="6" w:space="0"/>
            </w:tcBorders>
          </w:tcPr>
          <w:p>
            <w:pPr>
              <w:pStyle w:val="TableText"/>
              <w:ind w:left="396"/>
              <w:spacing w:before="226" w:line="223" w:lineRule="auto"/>
              <w:rPr>
                <w:sz w:val="19"/>
                <w:szCs w:val="19"/>
              </w:rPr>
            </w:pPr>
            <w:r>
              <w:rPr>
                <w:sz w:val="19"/>
                <w:szCs w:val="19"/>
                <w:b/>
                <w:bCs/>
                <w:spacing w:val="6"/>
              </w:rPr>
              <w:t>合计</w:t>
            </w:r>
          </w:p>
        </w:tc>
        <w:tc>
          <w:tcPr>
            <w:tcW w:w="1052" w:type="dxa"/>
            <w:vAlign w:val="top"/>
            <w:tcBorders>
              <w:top w:val="single" w:color="000000" w:sz="6" w:space="0"/>
            </w:tcBorders>
          </w:tcPr>
          <w:p>
            <w:pPr>
              <w:pStyle w:val="TableText"/>
              <w:ind w:left="124"/>
              <w:spacing w:before="230" w:line="216" w:lineRule="auto"/>
              <w:rPr>
                <w:sz w:val="19"/>
                <w:szCs w:val="19"/>
              </w:rPr>
            </w:pPr>
            <w:r>
              <w:rPr>
                <w:sz w:val="19"/>
                <w:szCs w:val="19"/>
                <w:b/>
                <w:bCs/>
                <w:spacing w:val="7"/>
              </w:rPr>
              <w:t>财力安排</w:t>
            </w:r>
          </w:p>
        </w:tc>
        <w:tc>
          <w:tcPr>
            <w:tcW w:w="1543" w:type="dxa"/>
            <w:vAlign w:val="top"/>
            <w:tcBorders>
              <w:top w:val="single" w:color="000000" w:sz="6" w:space="0"/>
            </w:tcBorders>
          </w:tcPr>
          <w:p>
            <w:pPr>
              <w:pStyle w:val="TableText"/>
              <w:ind w:left="369"/>
              <w:spacing w:before="75" w:line="224" w:lineRule="auto"/>
              <w:rPr>
                <w:sz w:val="19"/>
                <w:szCs w:val="19"/>
              </w:rPr>
            </w:pPr>
            <w:r>
              <w:rPr>
                <w:sz w:val="19"/>
                <w:szCs w:val="19"/>
                <w:b/>
                <w:bCs/>
                <w:spacing w:val="7"/>
              </w:rPr>
              <w:t>专项转移</w:t>
            </w:r>
          </w:p>
          <w:p>
            <w:pPr>
              <w:pStyle w:val="TableText"/>
              <w:ind w:left="171"/>
              <w:spacing w:before="68" w:line="220" w:lineRule="auto"/>
              <w:rPr>
                <w:sz w:val="19"/>
                <w:szCs w:val="19"/>
              </w:rPr>
            </w:pPr>
            <w:r>
              <w:rPr>
                <w:sz w:val="19"/>
                <w:szCs w:val="19"/>
                <w:b/>
                <w:bCs/>
                <w:spacing w:val="7"/>
              </w:rPr>
              <w:t>支付收入安排</w:t>
            </w:r>
          </w:p>
        </w:tc>
        <w:tc>
          <w:tcPr>
            <w:tcW w:w="1379" w:type="dxa"/>
            <w:vAlign w:val="top"/>
            <w:tcBorders>
              <w:top w:val="single" w:color="000000" w:sz="6" w:space="0"/>
            </w:tcBorders>
          </w:tcPr>
          <w:p>
            <w:pPr>
              <w:pStyle w:val="TableText"/>
              <w:ind w:left="293"/>
              <w:spacing w:before="77" w:line="218" w:lineRule="auto"/>
              <w:rPr>
                <w:sz w:val="19"/>
                <w:szCs w:val="19"/>
              </w:rPr>
            </w:pPr>
            <w:r>
              <w:rPr>
                <w:sz w:val="19"/>
                <w:szCs w:val="19"/>
                <w:b/>
                <w:bCs/>
                <w:spacing w:val="6"/>
              </w:rPr>
              <w:t>动用上年</w:t>
            </w:r>
          </w:p>
          <w:p>
            <w:pPr>
              <w:pStyle w:val="TableText"/>
              <w:ind w:left="290"/>
              <w:spacing w:before="72" w:line="220" w:lineRule="auto"/>
              <w:rPr>
                <w:sz w:val="19"/>
                <w:szCs w:val="19"/>
              </w:rPr>
            </w:pPr>
            <w:r>
              <w:rPr>
                <w:sz w:val="19"/>
                <w:szCs w:val="19"/>
                <w:b/>
                <w:bCs/>
                <w:spacing w:val="7"/>
              </w:rPr>
              <w:t>结余安排</w:t>
            </w:r>
          </w:p>
        </w:tc>
        <w:tc>
          <w:tcPr>
            <w:tcW w:w="1134" w:type="dxa"/>
            <w:vAlign w:val="top"/>
            <w:tcBorders>
              <w:top w:val="single" w:color="000000" w:sz="6" w:space="0"/>
            </w:tcBorders>
          </w:tcPr>
          <w:p>
            <w:pPr>
              <w:pStyle w:val="TableText"/>
              <w:ind w:left="169"/>
              <w:spacing w:before="227" w:line="222" w:lineRule="auto"/>
              <w:rPr>
                <w:sz w:val="19"/>
                <w:szCs w:val="19"/>
              </w:rPr>
            </w:pPr>
            <w:r>
              <w:rPr>
                <w:sz w:val="19"/>
                <w:szCs w:val="19"/>
                <w:b/>
                <w:bCs/>
                <w:spacing w:val="7"/>
              </w:rPr>
              <w:t>调入资金</w:t>
            </w:r>
          </w:p>
        </w:tc>
        <w:tc>
          <w:tcPr>
            <w:tcW w:w="1460" w:type="dxa"/>
            <w:vAlign w:val="top"/>
            <w:tcBorders>
              <w:top w:val="single" w:color="000000" w:sz="6" w:space="0"/>
            </w:tcBorders>
          </w:tcPr>
          <w:p>
            <w:pPr>
              <w:pStyle w:val="TableText"/>
              <w:ind w:left="134"/>
              <w:spacing w:before="227" w:line="220" w:lineRule="auto"/>
              <w:rPr>
                <w:sz w:val="19"/>
                <w:szCs w:val="19"/>
              </w:rPr>
            </w:pPr>
            <w:r>
              <w:rPr>
                <w:sz w:val="19"/>
                <w:szCs w:val="19"/>
                <w:b/>
                <w:bCs/>
                <w:spacing w:val="7"/>
              </w:rPr>
              <w:t>政府债务资金</w:t>
            </w:r>
          </w:p>
        </w:tc>
        <w:tc>
          <w:tcPr>
            <w:tcW w:w="1826" w:type="dxa"/>
            <w:vAlign w:val="top"/>
            <w:tcBorders>
              <w:right w:val="single" w:color="000000" w:sz="6" w:space="0"/>
              <w:top w:val="single" w:color="000000" w:sz="6" w:space="0"/>
            </w:tcBorders>
          </w:tcPr>
          <w:p>
            <w:pPr>
              <w:pStyle w:val="TableText"/>
              <w:ind w:left="514"/>
              <w:spacing w:before="227" w:line="222" w:lineRule="auto"/>
              <w:rPr>
                <w:sz w:val="19"/>
                <w:szCs w:val="19"/>
              </w:rPr>
            </w:pPr>
            <w:r>
              <w:rPr>
                <w:sz w:val="19"/>
                <w:szCs w:val="19"/>
                <w:b/>
                <w:bCs/>
                <w:spacing w:val="7"/>
              </w:rPr>
              <w:t>其他资金</w:t>
            </w:r>
          </w:p>
        </w:tc>
      </w:tr>
      <w:tr>
        <w:trPr>
          <w:trHeight w:val="304" w:hRule="atLeast"/>
        </w:trPr>
        <w:tc>
          <w:tcPr>
            <w:tcW w:w="4301" w:type="dxa"/>
            <w:vAlign w:val="top"/>
            <w:tcBorders>
              <w:left w:val="single" w:color="000000" w:sz="6" w:space="0"/>
            </w:tcBorders>
          </w:tcPr>
          <w:p>
            <w:pPr>
              <w:pStyle w:val="TableText"/>
              <w:ind w:left="107"/>
              <w:spacing w:before="73" w:line="214" w:lineRule="auto"/>
              <w:rPr>
                <w:sz w:val="19"/>
                <w:szCs w:val="19"/>
              </w:rPr>
            </w:pPr>
            <w:r>
              <w:rPr>
                <w:sz w:val="19"/>
                <w:szCs w:val="19"/>
                <w:spacing w:val="9"/>
              </w:rPr>
              <w:t>一、一般公共服务</w:t>
            </w:r>
          </w:p>
        </w:tc>
        <w:tc>
          <w:tcPr>
            <w:tcW w:w="1201" w:type="dxa"/>
            <w:vAlign w:val="top"/>
          </w:tcPr>
          <w:p>
            <w:pPr>
              <w:pStyle w:val="TableText"/>
              <w:ind w:left="595"/>
              <w:spacing w:before="67" w:line="220" w:lineRule="auto"/>
              <w:rPr>
                <w:sz w:val="19"/>
                <w:szCs w:val="19"/>
              </w:rPr>
            </w:pPr>
            <w:r>
              <w:rPr>
                <w:sz w:val="19"/>
                <w:szCs w:val="19"/>
                <w:spacing w:val="2"/>
              </w:rPr>
              <w:t>28191</w:t>
            </w:r>
          </w:p>
        </w:tc>
        <w:tc>
          <w:tcPr>
            <w:tcW w:w="1052" w:type="dxa"/>
            <w:vAlign w:val="top"/>
          </w:tcPr>
          <w:p>
            <w:pPr>
              <w:pStyle w:val="TableText"/>
              <w:ind w:left="448"/>
              <w:spacing w:before="67" w:line="220" w:lineRule="auto"/>
              <w:rPr>
                <w:sz w:val="19"/>
                <w:szCs w:val="19"/>
              </w:rPr>
            </w:pPr>
            <w:r>
              <w:rPr>
                <w:sz w:val="19"/>
                <w:szCs w:val="19"/>
                <w:spacing w:val="2"/>
              </w:rPr>
              <w:t>27885</w:t>
            </w:r>
          </w:p>
        </w:tc>
        <w:tc>
          <w:tcPr>
            <w:tcW w:w="1543" w:type="dxa"/>
            <w:vAlign w:val="top"/>
          </w:tcPr>
          <w:p>
            <w:pPr>
              <w:pStyle w:val="TableText"/>
              <w:ind w:left="1141"/>
              <w:spacing w:before="67" w:line="220" w:lineRule="auto"/>
              <w:rPr>
                <w:sz w:val="19"/>
                <w:szCs w:val="19"/>
              </w:rPr>
            </w:pPr>
            <w:r>
              <w:rPr>
                <w:sz w:val="19"/>
                <w:szCs w:val="19"/>
              </w:rPr>
              <w:t>306</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4"/>
              <w:spacing w:before="72" w:line="216" w:lineRule="auto"/>
              <w:rPr>
                <w:sz w:val="19"/>
                <w:szCs w:val="19"/>
              </w:rPr>
            </w:pPr>
            <w:r>
              <w:rPr>
                <w:sz w:val="19"/>
                <w:szCs w:val="19"/>
                <w:spacing w:val="8"/>
              </w:rPr>
              <w:t>人大事务</w:t>
            </w:r>
          </w:p>
        </w:tc>
        <w:tc>
          <w:tcPr>
            <w:tcW w:w="1201" w:type="dxa"/>
            <w:vAlign w:val="top"/>
          </w:tcPr>
          <w:p>
            <w:pPr>
              <w:pStyle w:val="TableText"/>
              <w:ind w:left="797"/>
              <w:spacing w:before="68" w:line="220" w:lineRule="auto"/>
              <w:rPr>
                <w:sz w:val="19"/>
                <w:szCs w:val="19"/>
              </w:rPr>
            </w:pPr>
            <w:r>
              <w:rPr>
                <w:sz w:val="19"/>
                <w:szCs w:val="19"/>
              </w:rPr>
              <w:t>894</w:t>
            </w:r>
          </w:p>
        </w:tc>
        <w:tc>
          <w:tcPr>
            <w:tcW w:w="1052" w:type="dxa"/>
            <w:vAlign w:val="top"/>
          </w:tcPr>
          <w:p>
            <w:pPr>
              <w:pStyle w:val="TableText"/>
              <w:ind w:left="649"/>
              <w:spacing w:before="68" w:line="220" w:lineRule="auto"/>
              <w:rPr>
                <w:sz w:val="19"/>
                <w:szCs w:val="19"/>
              </w:rPr>
            </w:pPr>
            <w:r>
              <w:rPr>
                <w:sz w:val="19"/>
                <w:szCs w:val="19"/>
              </w:rPr>
              <w:t>894</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6"/>
              <w:spacing w:before="72" w:line="215" w:lineRule="auto"/>
              <w:rPr>
                <w:sz w:val="19"/>
                <w:szCs w:val="19"/>
              </w:rPr>
            </w:pPr>
            <w:r>
              <w:rPr>
                <w:sz w:val="19"/>
                <w:szCs w:val="19"/>
                <w:spacing w:val="8"/>
              </w:rPr>
              <w:t>政协事务</w:t>
            </w:r>
          </w:p>
        </w:tc>
        <w:tc>
          <w:tcPr>
            <w:tcW w:w="1201" w:type="dxa"/>
            <w:vAlign w:val="top"/>
          </w:tcPr>
          <w:p>
            <w:pPr>
              <w:pStyle w:val="TableText"/>
              <w:ind w:left="797"/>
              <w:spacing w:before="67" w:line="220" w:lineRule="auto"/>
              <w:rPr>
                <w:sz w:val="19"/>
                <w:szCs w:val="19"/>
              </w:rPr>
            </w:pPr>
            <w:r>
              <w:rPr>
                <w:sz w:val="19"/>
                <w:szCs w:val="19"/>
              </w:rPr>
              <w:t>891</w:t>
            </w:r>
          </w:p>
        </w:tc>
        <w:tc>
          <w:tcPr>
            <w:tcW w:w="1052" w:type="dxa"/>
            <w:vAlign w:val="top"/>
          </w:tcPr>
          <w:p>
            <w:pPr>
              <w:pStyle w:val="TableText"/>
              <w:ind w:left="649"/>
              <w:spacing w:before="67" w:line="220" w:lineRule="auto"/>
              <w:rPr>
                <w:sz w:val="19"/>
                <w:szCs w:val="19"/>
              </w:rPr>
            </w:pPr>
            <w:r>
              <w:rPr>
                <w:sz w:val="19"/>
                <w:szCs w:val="19"/>
              </w:rPr>
              <w:t>891</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6"/>
              <w:spacing w:before="68" w:line="220" w:lineRule="auto"/>
              <w:rPr>
                <w:sz w:val="19"/>
                <w:szCs w:val="19"/>
              </w:rPr>
            </w:pPr>
            <w:r>
              <w:rPr>
                <w:sz w:val="19"/>
                <w:szCs w:val="19"/>
                <w:spacing w:val="2"/>
              </w:rPr>
              <w:t>政府办公厅(室)及相关机构事务</w:t>
            </w:r>
          </w:p>
        </w:tc>
        <w:tc>
          <w:tcPr>
            <w:tcW w:w="1201" w:type="dxa"/>
            <w:vAlign w:val="top"/>
          </w:tcPr>
          <w:p>
            <w:pPr>
              <w:pStyle w:val="TableText"/>
              <w:ind w:left="693"/>
              <w:spacing w:before="68" w:line="220" w:lineRule="auto"/>
              <w:rPr>
                <w:sz w:val="19"/>
                <w:szCs w:val="19"/>
              </w:rPr>
            </w:pPr>
            <w:r>
              <w:rPr>
                <w:sz w:val="19"/>
                <w:szCs w:val="19"/>
                <w:spacing w:val="2"/>
              </w:rPr>
              <w:t>4725</w:t>
            </w:r>
          </w:p>
        </w:tc>
        <w:tc>
          <w:tcPr>
            <w:tcW w:w="1052" w:type="dxa"/>
            <w:vAlign w:val="top"/>
          </w:tcPr>
          <w:p>
            <w:pPr>
              <w:pStyle w:val="TableText"/>
              <w:ind w:left="543"/>
              <w:spacing w:before="68" w:line="220" w:lineRule="auto"/>
              <w:rPr>
                <w:sz w:val="19"/>
                <w:szCs w:val="19"/>
              </w:rPr>
            </w:pPr>
            <w:r>
              <w:rPr>
                <w:sz w:val="19"/>
                <w:szCs w:val="19"/>
                <w:spacing w:val="3"/>
              </w:rPr>
              <w:t>4725</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6"/>
              <w:spacing w:before="74" w:line="213" w:lineRule="auto"/>
              <w:rPr>
                <w:sz w:val="19"/>
                <w:szCs w:val="19"/>
              </w:rPr>
            </w:pPr>
            <w:r>
              <w:rPr>
                <w:sz w:val="19"/>
                <w:szCs w:val="19"/>
                <w:spacing w:val="9"/>
              </w:rPr>
              <w:t>发展与改革事务</w:t>
            </w:r>
          </w:p>
        </w:tc>
        <w:tc>
          <w:tcPr>
            <w:tcW w:w="1201" w:type="dxa"/>
            <w:vAlign w:val="top"/>
          </w:tcPr>
          <w:p>
            <w:pPr>
              <w:pStyle w:val="TableText"/>
              <w:ind w:left="795"/>
              <w:spacing w:before="69" w:line="218" w:lineRule="auto"/>
              <w:rPr>
                <w:sz w:val="19"/>
                <w:szCs w:val="19"/>
              </w:rPr>
            </w:pPr>
            <w:r>
              <w:rPr>
                <w:sz w:val="19"/>
                <w:szCs w:val="19"/>
                <w:spacing w:val="1"/>
              </w:rPr>
              <w:t>551</w:t>
            </w:r>
          </w:p>
        </w:tc>
        <w:tc>
          <w:tcPr>
            <w:tcW w:w="1052" w:type="dxa"/>
            <w:vAlign w:val="top"/>
          </w:tcPr>
          <w:p>
            <w:pPr>
              <w:pStyle w:val="TableText"/>
              <w:ind w:left="648"/>
              <w:spacing w:before="69" w:line="218" w:lineRule="auto"/>
              <w:rPr>
                <w:sz w:val="19"/>
                <w:szCs w:val="19"/>
              </w:rPr>
            </w:pPr>
            <w:r>
              <w:rPr>
                <w:sz w:val="19"/>
                <w:szCs w:val="19"/>
                <w:spacing w:val="1"/>
              </w:rPr>
              <w:t>551</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6"/>
              <w:spacing w:before="72" w:line="215" w:lineRule="auto"/>
              <w:rPr>
                <w:sz w:val="19"/>
                <w:szCs w:val="19"/>
              </w:rPr>
            </w:pPr>
            <w:r>
              <w:rPr>
                <w:sz w:val="19"/>
                <w:szCs w:val="19"/>
                <w:spacing w:val="9"/>
              </w:rPr>
              <w:t>统计信息事务</w:t>
            </w:r>
          </w:p>
        </w:tc>
        <w:tc>
          <w:tcPr>
            <w:tcW w:w="1201" w:type="dxa"/>
            <w:vAlign w:val="top"/>
          </w:tcPr>
          <w:p>
            <w:pPr>
              <w:pStyle w:val="TableText"/>
              <w:ind w:left="794"/>
              <w:spacing w:before="70" w:line="217" w:lineRule="auto"/>
              <w:rPr>
                <w:sz w:val="19"/>
                <w:szCs w:val="19"/>
              </w:rPr>
            </w:pPr>
            <w:r>
              <w:rPr>
                <w:sz w:val="19"/>
                <w:szCs w:val="19"/>
                <w:spacing w:val="1"/>
              </w:rPr>
              <w:t>241</w:t>
            </w:r>
          </w:p>
        </w:tc>
        <w:tc>
          <w:tcPr>
            <w:tcW w:w="1052" w:type="dxa"/>
            <w:vAlign w:val="top"/>
          </w:tcPr>
          <w:p>
            <w:pPr>
              <w:pStyle w:val="TableText"/>
              <w:ind w:left="647"/>
              <w:spacing w:before="70" w:line="217" w:lineRule="auto"/>
              <w:rPr>
                <w:sz w:val="19"/>
                <w:szCs w:val="19"/>
              </w:rPr>
            </w:pPr>
            <w:r>
              <w:rPr>
                <w:sz w:val="19"/>
                <w:szCs w:val="19"/>
                <w:spacing w:val="1"/>
              </w:rPr>
              <w:t>241</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6"/>
              <w:spacing w:before="75" w:line="212" w:lineRule="auto"/>
              <w:rPr>
                <w:sz w:val="19"/>
                <w:szCs w:val="19"/>
              </w:rPr>
            </w:pPr>
            <w:r>
              <w:rPr>
                <w:sz w:val="19"/>
                <w:szCs w:val="19"/>
                <w:spacing w:val="8"/>
              </w:rPr>
              <w:t>财政事务</w:t>
            </w:r>
          </w:p>
        </w:tc>
        <w:tc>
          <w:tcPr>
            <w:tcW w:w="1201" w:type="dxa"/>
            <w:vAlign w:val="top"/>
          </w:tcPr>
          <w:p>
            <w:pPr>
              <w:pStyle w:val="TableText"/>
              <w:ind w:left="797"/>
              <w:spacing w:before="70" w:line="217" w:lineRule="auto"/>
              <w:rPr>
                <w:sz w:val="19"/>
                <w:szCs w:val="19"/>
              </w:rPr>
            </w:pPr>
            <w:r>
              <w:rPr>
                <w:sz w:val="19"/>
                <w:szCs w:val="19"/>
              </w:rPr>
              <w:t>880</w:t>
            </w:r>
          </w:p>
        </w:tc>
        <w:tc>
          <w:tcPr>
            <w:tcW w:w="1052" w:type="dxa"/>
            <w:vAlign w:val="top"/>
          </w:tcPr>
          <w:p>
            <w:pPr>
              <w:pStyle w:val="TableText"/>
              <w:ind w:left="649"/>
              <w:spacing w:before="70" w:line="217" w:lineRule="auto"/>
              <w:rPr>
                <w:sz w:val="19"/>
                <w:szCs w:val="19"/>
              </w:rPr>
            </w:pPr>
            <w:r>
              <w:rPr>
                <w:sz w:val="19"/>
                <w:szCs w:val="19"/>
              </w:rPr>
              <w:t>880</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3"/>
              <w:spacing w:before="75" w:line="212" w:lineRule="auto"/>
              <w:rPr>
                <w:sz w:val="19"/>
                <w:szCs w:val="19"/>
              </w:rPr>
            </w:pPr>
            <w:r>
              <w:rPr>
                <w:sz w:val="19"/>
                <w:szCs w:val="19"/>
                <w:spacing w:val="9"/>
              </w:rPr>
              <w:t>税收事务</w:t>
            </w:r>
          </w:p>
        </w:tc>
        <w:tc>
          <w:tcPr>
            <w:tcW w:w="1201" w:type="dxa"/>
            <w:vAlign w:val="top"/>
          </w:tcPr>
          <w:p>
            <w:pPr>
              <w:pStyle w:val="TableText"/>
              <w:ind w:left="794"/>
              <w:spacing w:before="71" w:line="216" w:lineRule="auto"/>
              <w:rPr>
                <w:sz w:val="19"/>
                <w:szCs w:val="19"/>
              </w:rPr>
            </w:pPr>
            <w:r>
              <w:rPr>
                <w:sz w:val="19"/>
                <w:szCs w:val="19"/>
                <w:spacing w:val="1"/>
              </w:rPr>
              <w:t>200</w:t>
            </w:r>
          </w:p>
        </w:tc>
        <w:tc>
          <w:tcPr>
            <w:tcW w:w="1052" w:type="dxa"/>
            <w:vAlign w:val="top"/>
          </w:tcPr>
          <w:p>
            <w:pPr>
              <w:pStyle w:val="TableText"/>
              <w:ind w:left="647"/>
              <w:spacing w:before="71" w:line="216" w:lineRule="auto"/>
              <w:rPr>
                <w:sz w:val="19"/>
                <w:szCs w:val="19"/>
              </w:rPr>
            </w:pPr>
            <w:r>
              <w:rPr>
                <w:sz w:val="19"/>
                <w:szCs w:val="19"/>
                <w:spacing w:val="1"/>
              </w:rPr>
              <w:t>200</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10"/>
              <w:spacing w:before="78" w:line="209" w:lineRule="auto"/>
              <w:rPr>
                <w:sz w:val="19"/>
                <w:szCs w:val="19"/>
              </w:rPr>
            </w:pPr>
            <w:r>
              <w:rPr>
                <w:sz w:val="19"/>
                <w:szCs w:val="19"/>
                <w:spacing w:val="7"/>
              </w:rPr>
              <w:t>审计事务</w:t>
            </w:r>
          </w:p>
        </w:tc>
        <w:tc>
          <w:tcPr>
            <w:tcW w:w="1201" w:type="dxa"/>
            <w:vAlign w:val="top"/>
          </w:tcPr>
          <w:p>
            <w:pPr>
              <w:pStyle w:val="TableText"/>
              <w:ind w:left="794"/>
              <w:spacing w:before="73" w:line="214" w:lineRule="auto"/>
              <w:rPr>
                <w:sz w:val="19"/>
                <w:szCs w:val="19"/>
              </w:rPr>
            </w:pPr>
            <w:r>
              <w:rPr>
                <w:sz w:val="19"/>
                <w:szCs w:val="19"/>
                <w:spacing w:val="1"/>
              </w:rPr>
              <w:t>257</w:t>
            </w:r>
          </w:p>
        </w:tc>
        <w:tc>
          <w:tcPr>
            <w:tcW w:w="1052" w:type="dxa"/>
            <w:vAlign w:val="top"/>
          </w:tcPr>
          <w:p>
            <w:pPr>
              <w:pStyle w:val="TableText"/>
              <w:ind w:left="647"/>
              <w:spacing w:before="73" w:line="214" w:lineRule="auto"/>
              <w:rPr>
                <w:sz w:val="19"/>
                <w:szCs w:val="19"/>
              </w:rPr>
            </w:pPr>
            <w:r>
              <w:rPr>
                <w:sz w:val="19"/>
                <w:szCs w:val="19"/>
                <w:spacing w:val="1"/>
              </w:rPr>
              <w:t>242</w:t>
            </w:r>
          </w:p>
        </w:tc>
        <w:tc>
          <w:tcPr>
            <w:tcW w:w="1543" w:type="dxa"/>
            <w:vAlign w:val="top"/>
          </w:tcPr>
          <w:p>
            <w:pPr>
              <w:pStyle w:val="TableText"/>
              <w:ind w:left="1255"/>
              <w:spacing w:before="73" w:line="214" w:lineRule="auto"/>
              <w:rPr>
                <w:sz w:val="19"/>
                <w:szCs w:val="19"/>
              </w:rPr>
            </w:pPr>
            <w:r>
              <w:rPr>
                <w:sz w:val="19"/>
                <w:szCs w:val="19"/>
                <w:spacing w:val="-8"/>
              </w:rPr>
              <w:t>15</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6"/>
              <w:spacing w:before="78" w:line="209" w:lineRule="auto"/>
              <w:rPr>
                <w:sz w:val="19"/>
                <w:szCs w:val="19"/>
              </w:rPr>
            </w:pPr>
            <w:r>
              <w:rPr>
                <w:sz w:val="19"/>
                <w:szCs w:val="19"/>
                <w:spacing w:val="8"/>
              </w:rPr>
              <w:t>海关事务</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9"/>
              <w:spacing w:before="79" w:line="208" w:lineRule="auto"/>
              <w:rPr>
                <w:sz w:val="19"/>
                <w:szCs w:val="19"/>
              </w:rPr>
            </w:pPr>
            <w:r>
              <w:rPr>
                <w:sz w:val="19"/>
                <w:szCs w:val="19"/>
                <w:spacing w:val="8"/>
              </w:rPr>
              <w:t>纪检监察事务</w:t>
            </w:r>
          </w:p>
        </w:tc>
        <w:tc>
          <w:tcPr>
            <w:tcW w:w="1201" w:type="dxa"/>
            <w:vAlign w:val="top"/>
          </w:tcPr>
          <w:p>
            <w:pPr>
              <w:pStyle w:val="TableText"/>
              <w:ind w:left="712"/>
              <w:spacing w:before="74" w:line="213" w:lineRule="auto"/>
              <w:rPr>
                <w:sz w:val="19"/>
                <w:szCs w:val="19"/>
              </w:rPr>
            </w:pPr>
            <w:r>
              <w:rPr>
                <w:sz w:val="19"/>
                <w:szCs w:val="19"/>
                <w:spacing w:val="-2"/>
              </w:rPr>
              <w:t>1455</w:t>
            </w:r>
          </w:p>
        </w:tc>
        <w:tc>
          <w:tcPr>
            <w:tcW w:w="1052" w:type="dxa"/>
            <w:vAlign w:val="top"/>
          </w:tcPr>
          <w:p>
            <w:pPr>
              <w:pStyle w:val="TableText"/>
              <w:ind w:left="562"/>
              <w:spacing w:before="74" w:line="213" w:lineRule="auto"/>
              <w:rPr>
                <w:sz w:val="19"/>
                <w:szCs w:val="19"/>
              </w:rPr>
            </w:pPr>
            <w:r>
              <w:rPr>
                <w:sz w:val="19"/>
                <w:szCs w:val="19"/>
                <w:spacing w:val="-2"/>
              </w:rPr>
              <w:t>1435</w:t>
            </w:r>
          </w:p>
        </w:tc>
        <w:tc>
          <w:tcPr>
            <w:tcW w:w="1543" w:type="dxa"/>
            <w:vAlign w:val="top"/>
          </w:tcPr>
          <w:p>
            <w:pPr>
              <w:pStyle w:val="TableText"/>
              <w:ind w:left="1239"/>
              <w:spacing w:before="74" w:line="213" w:lineRule="auto"/>
              <w:rPr>
                <w:sz w:val="19"/>
                <w:szCs w:val="19"/>
              </w:rPr>
            </w:pPr>
            <w:r>
              <w:rPr>
                <w:sz w:val="19"/>
                <w:szCs w:val="19"/>
              </w:rPr>
              <w:t>20</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6"/>
              <w:spacing w:before="78" w:line="209" w:lineRule="auto"/>
              <w:rPr>
                <w:sz w:val="19"/>
                <w:szCs w:val="19"/>
              </w:rPr>
            </w:pPr>
            <w:r>
              <w:rPr>
                <w:sz w:val="19"/>
                <w:szCs w:val="19"/>
                <w:spacing w:val="8"/>
              </w:rPr>
              <w:t>商贸事务</w:t>
            </w:r>
          </w:p>
        </w:tc>
        <w:tc>
          <w:tcPr>
            <w:tcW w:w="1201" w:type="dxa"/>
            <w:vAlign w:val="top"/>
          </w:tcPr>
          <w:p>
            <w:pPr>
              <w:pStyle w:val="TableText"/>
              <w:ind w:left="795"/>
              <w:spacing w:before="74" w:line="213" w:lineRule="auto"/>
              <w:rPr>
                <w:sz w:val="19"/>
                <w:szCs w:val="19"/>
              </w:rPr>
            </w:pPr>
            <w:r>
              <w:rPr>
                <w:sz w:val="19"/>
                <w:szCs w:val="19"/>
                <w:spacing w:val="1"/>
              </w:rPr>
              <w:t>512</w:t>
            </w:r>
          </w:p>
        </w:tc>
        <w:tc>
          <w:tcPr>
            <w:tcW w:w="1052" w:type="dxa"/>
            <w:vAlign w:val="top"/>
          </w:tcPr>
          <w:p>
            <w:pPr>
              <w:pStyle w:val="TableText"/>
              <w:ind w:left="648"/>
              <w:spacing w:before="74" w:line="213" w:lineRule="auto"/>
              <w:rPr>
                <w:sz w:val="19"/>
                <w:szCs w:val="19"/>
              </w:rPr>
            </w:pPr>
            <w:r>
              <w:rPr>
                <w:sz w:val="19"/>
                <w:szCs w:val="19"/>
                <w:spacing w:val="1"/>
              </w:rPr>
              <w:t>512</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8"/>
              <w:spacing w:before="83" w:line="205" w:lineRule="auto"/>
              <w:rPr>
                <w:sz w:val="19"/>
                <w:szCs w:val="19"/>
              </w:rPr>
            </w:pPr>
            <w:r>
              <w:rPr>
                <w:sz w:val="19"/>
                <w:szCs w:val="19"/>
                <w:spacing w:val="8"/>
              </w:rPr>
              <w:t>知识产权事务</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23"/>
              <w:spacing w:before="81" w:line="206" w:lineRule="auto"/>
              <w:rPr>
                <w:sz w:val="19"/>
                <w:szCs w:val="19"/>
              </w:rPr>
            </w:pPr>
            <w:r>
              <w:rPr>
                <w:sz w:val="19"/>
                <w:szCs w:val="19"/>
                <w:spacing w:val="4"/>
              </w:rPr>
              <w:t>民族事务</w:t>
            </w:r>
          </w:p>
        </w:tc>
        <w:tc>
          <w:tcPr>
            <w:tcW w:w="1201" w:type="dxa"/>
            <w:vAlign w:val="top"/>
          </w:tcPr>
          <w:p>
            <w:pPr>
              <w:pStyle w:val="TableText"/>
              <w:ind w:left="994"/>
              <w:spacing w:before="78" w:line="209" w:lineRule="auto"/>
              <w:rPr>
                <w:sz w:val="19"/>
                <w:szCs w:val="19"/>
              </w:rPr>
            </w:pPr>
            <w:r>
              <w:rPr>
                <w:sz w:val="19"/>
                <w:szCs w:val="19"/>
              </w:rPr>
              <w:t>8</w:t>
            </w:r>
          </w:p>
        </w:tc>
        <w:tc>
          <w:tcPr>
            <w:tcW w:w="1052" w:type="dxa"/>
            <w:vAlign w:val="top"/>
          </w:tcPr>
          <w:p>
            <w:pPr>
              <w:pStyle w:val="TableText"/>
              <w:ind w:left="846"/>
              <w:spacing w:before="78" w:line="209" w:lineRule="auto"/>
              <w:rPr>
                <w:sz w:val="19"/>
                <w:szCs w:val="19"/>
              </w:rPr>
            </w:pPr>
            <w:r>
              <w:rPr>
                <w:sz w:val="19"/>
                <w:szCs w:val="19"/>
              </w:rPr>
              <w:t>8</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6"/>
              <w:spacing w:before="81" w:line="206" w:lineRule="auto"/>
              <w:rPr>
                <w:sz w:val="19"/>
                <w:szCs w:val="19"/>
              </w:rPr>
            </w:pPr>
            <w:r>
              <w:rPr>
                <w:sz w:val="19"/>
                <w:szCs w:val="19"/>
                <w:spacing w:val="8"/>
              </w:rPr>
              <w:t>港澳台事务</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6"/>
              <w:spacing w:before="84" w:line="205" w:lineRule="auto"/>
              <w:rPr>
                <w:sz w:val="19"/>
                <w:szCs w:val="19"/>
              </w:rPr>
            </w:pPr>
            <w:r>
              <w:rPr>
                <w:sz w:val="19"/>
                <w:szCs w:val="19"/>
                <w:spacing w:val="8"/>
              </w:rPr>
              <w:t>档案事务</w:t>
            </w:r>
          </w:p>
        </w:tc>
        <w:tc>
          <w:tcPr>
            <w:tcW w:w="1201" w:type="dxa"/>
            <w:vAlign w:val="top"/>
          </w:tcPr>
          <w:p>
            <w:pPr>
              <w:pStyle w:val="TableText"/>
              <w:ind w:left="794"/>
              <w:spacing w:before="78" w:line="210" w:lineRule="auto"/>
              <w:rPr>
                <w:sz w:val="19"/>
                <w:szCs w:val="19"/>
              </w:rPr>
            </w:pPr>
            <w:r>
              <w:rPr>
                <w:sz w:val="19"/>
                <w:szCs w:val="19"/>
                <w:spacing w:val="1"/>
              </w:rPr>
              <w:t>227</w:t>
            </w:r>
          </w:p>
        </w:tc>
        <w:tc>
          <w:tcPr>
            <w:tcW w:w="1052" w:type="dxa"/>
            <w:vAlign w:val="top"/>
          </w:tcPr>
          <w:p>
            <w:pPr>
              <w:pStyle w:val="TableText"/>
              <w:ind w:left="647"/>
              <w:spacing w:before="78" w:line="210" w:lineRule="auto"/>
              <w:rPr>
                <w:sz w:val="19"/>
                <w:szCs w:val="19"/>
              </w:rPr>
            </w:pPr>
            <w:r>
              <w:rPr>
                <w:sz w:val="19"/>
                <w:szCs w:val="19"/>
                <w:spacing w:val="1"/>
              </w:rPr>
              <w:t>227</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23"/>
              <w:spacing w:before="85" w:line="204" w:lineRule="auto"/>
              <w:rPr>
                <w:sz w:val="19"/>
                <w:szCs w:val="19"/>
              </w:rPr>
            </w:pPr>
            <w:r>
              <w:rPr>
                <w:sz w:val="19"/>
                <w:szCs w:val="19"/>
                <w:spacing w:val="7"/>
              </w:rPr>
              <w:t>民主党派及工商联事务</w:t>
            </w:r>
          </w:p>
        </w:tc>
        <w:tc>
          <w:tcPr>
            <w:tcW w:w="1201" w:type="dxa"/>
            <w:vAlign w:val="top"/>
          </w:tcPr>
          <w:p>
            <w:pPr>
              <w:pStyle w:val="TableText"/>
              <w:ind w:left="794"/>
              <w:spacing w:before="80" w:line="208" w:lineRule="auto"/>
              <w:rPr>
                <w:sz w:val="19"/>
                <w:szCs w:val="19"/>
              </w:rPr>
            </w:pPr>
            <w:r>
              <w:rPr>
                <w:sz w:val="19"/>
                <w:szCs w:val="19"/>
                <w:spacing w:val="1"/>
              </w:rPr>
              <w:t>212</w:t>
            </w:r>
          </w:p>
        </w:tc>
        <w:tc>
          <w:tcPr>
            <w:tcW w:w="1052" w:type="dxa"/>
            <w:vAlign w:val="top"/>
          </w:tcPr>
          <w:p>
            <w:pPr>
              <w:pStyle w:val="TableText"/>
              <w:ind w:left="647"/>
              <w:spacing w:before="80" w:line="208" w:lineRule="auto"/>
              <w:rPr>
                <w:sz w:val="19"/>
                <w:szCs w:val="19"/>
              </w:rPr>
            </w:pPr>
            <w:r>
              <w:rPr>
                <w:sz w:val="19"/>
                <w:szCs w:val="19"/>
                <w:spacing w:val="1"/>
              </w:rPr>
              <w:t>212</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6"/>
              <w:spacing w:before="81" w:line="207" w:lineRule="auto"/>
              <w:rPr>
                <w:sz w:val="19"/>
                <w:szCs w:val="19"/>
              </w:rPr>
            </w:pPr>
            <w:r>
              <w:rPr>
                <w:sz w:val="19"/>
                <w:szCs w:val="19"/>
                <w:spacing w:val="9"/>
              </w:rPr>
              <w:t>群众团体事务</w:t>
            </w:r>
          </w:p>
        </w:tc>
        <w:tc>
          <w:tcPr>
            <w:tcW w:w="1201" w:type="dxa"/>
            <w:vAlign w:val="top"/>
          </w:tcPr>
          <w:p>
            <w:pPr>
              <w:pStyle w:val="TableText"/>
              <w:ind w:left="797"/>
              <w:spacing w:before="80" w:line="208" w:lineRule="auto"/>
              <w:rPr>
                <w:sz w:val="19"/>
                <w:szCs w:val="19"/>
              </w:rPr>
            </w:pPr>
            <w:r>
              <w:rPr>
                <w:sz w:val="19"/>
                <w:szCs w:val="19"/>
              </w:rPr>
              <w:t>885</w:t>
            </w:r>
          </w:p>
        </w:tc>
        <w:tc>
          <w:tcPr>
            <w:tcW w:w="1052" w:type="dxa"/>
            <w:vAlign w:val="top"/>
          </w:tcPr>
          <w:p>
            <w:pPr>
              <w:pStyle w:val="TableText"/>
              <w:ind w:left="649"/>
              <w:spacing w:before="80" w:line="208" w:lineRule="auto"/>
              <w:rPr>
                <w:sz w:val="19"/>
                <w:szCs w:val="19"/>
              </w:rPr>
            </w:pPr>
            <w:r>
              <w:rPr>
                <w:sz w:val="19"/>
                <w:szCs w:val="19"/>
              </w:rPr>
              <w:t>885</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6"/>
              <w:spacing w:before="79" w:line="209" w:lineRule="auto"/>
              <w:rPr>
                <w:sz w:val="19"/>
                <w:szCs w:val="19"/>
              </w:rPr>
            </w:pPr>
            <w:r>
              <w:rPr>
                <w:sz w:val="19"/>
                <w:szCs w:val="19"/>
                <w:spacing w:val="9"/>
              </w:rPr>
              <w:t>党委办公厅（室）及相关机构事务</w:t>
            </w:r>
          </w:p>
        </w:tc>
        <w:tc>
          <w:tcPr>
            <w:tcW w:w="1201" w:type="dxa"/>
            <w:vAlign w:val="top"/>
          </w:tcPr>
          <w:p>
            <w:pPr>
              <w:pStyle w:val="TableText"/>
              <w:ind w:left="712"/>
              <w:spacing w:before="79" w:line="209" w:lineRule="auto"/>
              <w:rPr>
                <w:sz w:val="19"/>
                <w:szCs w:val="19"/>
              </w:rPr>
            </w:pPr>
            <w:r>
              <w:rPr>
                <w:sz w:val="19"/>
                <w:szCs w:val="19"/>
                <w:spacing w:val="-2"/>
              </w:rPr>
              <w:t>1401</w:t>
            </w:r>
          </w:p>
        </w:tc>
        <w:tc>
          <w:tcPr>
            <w:tcW w:w="1052" w:type="dxa"/>
            <w:vAlign w:val="top"/>
          </w:tcPr>
          <w:p>
            <w:pPr>
              <w:pStyle w:val="TableText"/>
              <w:ind w:left="562"/>
              <w:spacing w:before="79" w:line="209" w:lineRule="auto"/>
              <w:rPr>
                <w:sz w:val="19"/>
                <w:szCs w:val="19"/>
              </w:rPr>
            </w:pPr>
            <w:r>
              <w:rPr>
                <w:sz w:val="19"/>
                <w:szCs w:val="19"/>
                <w:spacing w:val="-2"/>
              </w:rPr>
              <w:t>1401</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14" w:hRule="atLeast"/>
        </w:trPr>
        <w:tc>
          <w:tcPr>
            <w:tcW w:w="4301" w:type="dxa"/>
            <w:vAlign w:val="top"/>
            <w:tcBorders>
              <w:left w:val="single" w:color="000000" w:sz="6" w:space="0"/>
              <w:bottom w:val="single" w:color="000000" w:sz="6" w:space="0"/>
            </w:tcBorders>
          </w:tcPr>
          <w:p>
            <w:pPr>
              <w:pStyle w:val="TableText"/>
              <w:ind w:left="505"/>
              <w:spacing w:before="83" w:line="214" w:lineRule="auto"/>
              <w:rPr>
                <w:sz w:val="19"/>
                <w:szCs w:val="19"/>
              </w:rPr>
            </w:pPr>
            <w:r>
              <w:rPr>
                <w:sz w:val="19"/>
                <w:szCs w:val="19"/>
                <w:spacing w:val="8"/>
              </w:rPr>
              <w:t>组织事务</w:t>
            </w:r>
          </w:p>
        </w:tc>
        <w:tc>
          <w:tcPr>
            <w:tcW w:w="1201" w:type="dxa"/>
            <w:vAlign w:val="top"/>
            <w:tcBorders>
              <w:bottom w:val="single" w:color="000000" w:sz="6" w:space="0"/>
            </w:tcBorders>
          </w:tcPr>
          <w:p>
            <w:pPr>
              <w:pStyle w:val="TableText"/>
              <w:ind w:left="794"/>
              <w:spacing w:before="79" w:line="218" w:lineRule="auto"/>
              <w:rPr>
                <w:sz w:val="19"/>
                <w:szCs w:val="19"/>
              </w:rPr>
            </w:pPr>
            <w:r>
              <w:rPr>
                <w:sz w:val="19"/>
                <w:szCs w:val="19"/>
                <w:spacing w:val="1"/>
              </w:rPr>
              <w:t>971</w:t>
            </w:r>
          </w:p>
        </w:tc>
        <w:tc>
          <w:tcPr>
            <w:tcW w:w="1052" w:type="dxa"/>
            <w:vAlign w:val="top"/>
            <w:tcBorders>
              <w:bottom w:val="single" w:color="000000" w:sz="6" w:space="0"/>
            </w:tcBorders>
          </w:tcPr>
          <w:p>
            <w:pPr>
              <w:pStyle w:val="TableText"/>
              <w:ind w:left="647"/>
              <w:spacing w:before="79" w:line="218" w:lineRule="auto"/>
              <w:rPr>
                <w:sz w:val="19"/>
                <w:szCs w:val="19"/>
              </w:rPr>
            </w:pPr>
            <w:r>
              <w:rPr>
                <w:sz w:val="19"/>
                <w:szCs w:val="19"/>
                <w:spacing w:val="1"/>
              </w:rPr>
              <w:t>960</w:t>
            </w:r>
          </w:p>
        </w:tc>
        <w:tc>
          <w:tcPr>
            <w:tcW w:w="1543" w:type="dxa"/>
            <w:vAlign w:val="top"/>
            <w:tcBorders>
              <w:bottom w:val="single" w:color="000000" w:sz="6" w:space="0"/>
            </w:tcBorders>
          </w:tcPr>
          <w:p>
            <w:pPr>
              <w:pStyle w:val="TableText"/>
              <w:ind w:left="1255"/>
              <w:spacing w:before="79" w:line="218" w:lineRule="auto"/>
              <w:rPr>
                <w:sz w:val="19"/>
                <w:szCs w:val="19"/>
              </w:rPr>
            </w:pPr>
            <w:r>
              <w:rPr>
                <w:sz w:val="19"/>
                <w:szCs w:val="19"/>
                <w:spacing w:val="-8"/>
              </w:rPr>
              <w:t>11</w:t>
            </w:r>
          </w:p>
        </w:tc>
        <w:tc>
          <w:tcPr>
            <w:tcW w:w="1379" w:type="dxa"/>
            <w:vAlign w:val="top"/>
            <w:tcBorders>
              <w:bottom w:val="single" w:color="000000" w:sz="6" w:space="0"/>
            </w:tcBorders>
          </w:tcPr>
          <w:p>
            <w:pPr>
              <w:rPr>
                <w:rFonts w:ascii="Arial"/>
                <w:sz w:val="21"/>
              </w:rPr>
            </w:pPr>
            <w:r/>
          </w:p>
        </w:tc>
        <w:tc>
          <w:tcPr>
            <w:tcW w:w="1134" w:type="dxa"/>
            <w:vAlign w:val="top"/>
            <w:tcBorders>
              <w:bottom w:val="single" w:color="000000" w:sz="6" w:space="0"/>
            </w:tcBorders>
          </w:tcPr>
          <w:p>
            <w:pPr>
              <w:rPr>
                <w:rFonts w:ascii="Arial"/>
                <w:sz w:val="21"/>
              </w:rPr>
            </w:pPr>
            <w:r/>
          </w:p>
        </w:tc>
        <w:tc>
          <w:tcPr>
            <w:tcW w:w="1460" w:type="dxa"/>
            <w:vAlign w:val="top"/>
            <w:tcBorders>
              <w:bottom w:val="single" w:color="000000" w:sz="6" w:space="0"/>
            </w:tcBorders>
          </w:tcPr>
          <w:p>
            <w:pPr>
              <w:rPr>
                <w:rFonts w:ascii="Arial"/>
                <w:sz w:val="21"/>
              </w:rPr>
            </w:pPr>
            <w:r/>
          </w:p>
        </w:tc>
        <w:tc>
          <w:tcPr>
            <w:tcW w:w="1826" w:type="dxa"/>
            <w:vAlign w:val="top"/>
            <w:tcBorders>
              <w:bottom w:val="single" w:color="000000" w:sz="6" w:space="0"/>
              <w:right w:val="single" w:color="000000" w:sz="6" w:space="0"/>
            </w:tcBorders>
          </w:tcPr>
          <w:p>
            <w:pPr>
              <w:rPr>
                <w:rFonts w:ascii="Arial"/>
                <w:sz w:val="21"/>
              </w:rPr>
            </w:pPr>
            <w:r/>
          </w:p>
        </w:tc>
      </w:tr>
    </w:tbl>
    <w:p>
      <w:pPr>
        <w:spacing w:line="160" w:lineRule="exact"/>
        <w:rPr>
          <w:rFonts w:ascii="Arial"/>
          <w:sz w:val="13"/>
        </w:rPr>
      </w:pPr>
      <w:r/>
    </w:p>
    <w:p>
      <w:pPr>
        <w:spacing w:line="160" w:lineRule="exact"/>
        <w:sectPr>
          <w:headerReference w:type="default" r:id="rId61"/>
          <w:footerReference w:type="default" r:id="rId66"/>
          <w:pgSz w:w="16839" w:h="11906"/>
          <w:pgMar w:top="1792" w:right="1463" w:bottom="1671" w:left="1463" w:header="1428" w:footer="1277" w:gutter="0"/>
        </w:sectPr>
        <w:rPr>
          <w:rFonts w:ascii="Arial" w:hAnsi="Arial" w:eastAsia="Arial" w:cs="Arial"/>
          <w:sz w:val="13"/>
          <w:szCs w:val="13"/>
        </w:rPr>
      </w:pPr>
    </w:p>
    <w:p>
      <w:pPr>
        <w:spacing w:line="165" w:lineRule="exact"/>
        <w:rPr/>
      </w:pPr>
      <w:r>
        <w:drawing>
          <wp:anchor distT="0" distB="0" distL="0" distR="0" simplePos="0" relativeHeight="251666432" behindDoc="0" locked="0" layoutInCell="0" allowOverlap="1">
            <wp:simplePos x="0" y="0"/>
            <wp:positionH relativeFrom="page">
              <wp:posOffset>979805</wp:posOffset>
            </wp:positionH>
            <wp:positionV relativeFrom="page">
              <wp:posOffset>1155700</wp:posOffset>
            </wp:positionV>
            <wp:extent cx="8712200" cy="7620"/>
            <wp:effectExtent l="0" t="0" r="0" b="0"/>
            <wp:wrapNone/>
            <wp:docPr id="134" name="IM 134"/>
            <wp:cNvGraphicFramePr/>
            <a:graphic>
              <a:graphicData uri="http://schemas.openxmlformats.org/drawingml/2006/picture">
                <pic:pic>
                  <pic:nvPicPr>
                    <pic:cNvPr id="134" name="IM 134"/>
                    <pic:cNvPicPr/>
                  </pic:nvPicPr>
                  <pic:blipFill>
                    <a:blip r:embed="rId69"/>
                    <a:stretch>
                      <a:fillRect/>
                    </a:stretch>
                  </pic:blipFill>
                  <pic:spPr>
                    <a:xfrm rot="0">
                      <a:off x="0" y="0"/>
                      <a:ext cx="8712200" cy="7620"/>
                    </a:xfrm>
                    <a:prstGeom prst="rect">
                      <a:avLst/>
                    </a:prstGeom>
                  </pic:spPr>
                </pic:pic>
              </a:graphicData>
            </a:graphic>
          </wp:anchor>
        </w:drawing>
      </w: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301"/>
        <w:gridCol w:w="1201"/>
        <w:gridCol w:w="1052"/>
        <w:gridCol w:w="1543"/>
        <w:gridCol w:w="1379"/>
        <w:gridCol w:w="1134"/>
        <w:gridCol w:w="1460"/>
        <w:gridCol w:w="1826"/>
      </w:tblGrid>
      <w:tr>
        <w:trPr>
          <w:trHeight w:val="611" w:hRule="atLeast"/>
        </w:trPr>
        <w:tc>
          <w:tcPr>
            <w:tcW w:w="4301" w:type="dxa"/>
            <w:vAlign w:val="top"/>
            <w:tcBorders>
              <w:left w:val="single" w:color="000000" w:sz="6" w:space="0"/>
              <w:top w:val="single" w:color="000000" w:sz="6" w:space="0"/>
            </w:tcBorders>
          </w:tcPr>
          <w:p>
            <w:pPr>
              <w:pStyle w:val="TableText"/>
              <w:ind w:left="1945"/>
              <w:spacing w:before="232" w:line="212" w:lineRule="auto"/>
              <w:rPr>
                <w:sz w:val="19"/>
                <w:szCs w:val="19"/>
              </w:rPr>
            </w:pPr>
            <w:r>
              <w:rPr>
                <w:sz w:val="19"/>
                <w:szCs w:val="19"/>
                <w:b/>
                <w:bCs/>
                <w:spacing w:val="6"/>
              </w:rPr>
              <w:t>项目</w:t>
            </w:r>
          </w:p>
        </w:tc>
        <w:tc>
          <w:tcPr>
            <w:tcW w:w="1201" w:type="dxa"/>
            <w:vAlign w:val="top"/>
            <w:tcBorders>
              <w:top w:val="single" w:color="000000" w:sz="6" w:space="0"/>
            </w:tcBorders>
          </w:tcPr>
          <w:p>
            <w:pPr>
              <w:pStyle w:val="TableText"/>
              <w:ind w:left="396"/>
              <w:spacing w:before="227" w:line="223" w:lineRule="auto"/>
              <w:rPr>
                <w:sz w:val="19"/>
                <w:szCs w:val="19"/>
              </w:rPr>
            </w:pPr>
            <w:r>
              <w:rPr>
                <w:sz w:val="19"/>
                <w:szCs w:val="19"/>
                <w:b/>
                <w:bCs/>
                <w:spacing w:val="6"/>
              </w:rPr>
              <w:t>合计</w:t>
            </w:r>
          </w:p>
        </w:tc>
        <w:tc>
          <w:tcPr>
            <w:tcW w:w="1052" w:type="dxa"/>
            <w:vAlign w:val="top"/>
            <w:tcBorders>
              <w:top w:val="single" w:color="000000" w:sz="6" w:space="0"/>
            </w:tcBorders>
          </w:tcPr>
          <w:p>
            <w:pPr>
              <w:pStyle w:val="TableText"/>
              <w:ind w:left="124"/>
              <w:spacing w:before="230" w:line="216" w:lineRule="auto"/>
              <w:rPr>
                <w:sz w:val="19"/>
                <w:szCs w:val="19"/>
              </w:rPr>
            </w:pPr>
            <w:r>
              <w:rPr>
                <w:sz w:val="19"/>
                <w:szCs w:val="19"/>
                <w:b/>
                <w:bCs/>
                <w:spacing w:val="7"/>
              </w:rPr>
              <w:t>财力安排</w:t>
            </w:r>
          </w:p>
        </w:tc>
        <w:tc>
          <w:tcPr>
            <w:tcW w:w="1543" w:type="dxa"/>
            <w:vAlign w:val="top"/>
            <w:tcBorders>
              <w:top w:val="single" w:color="000000" w:sz="6" w:space="0"/>
            </w:tcBorders>
          </w:tcPr>
          <w:p>
            <w:pPr>
              <w:pStyle w:val="TableText"/>
              <w:ind w:left="369"/>
              <w:spacing w:before="75" w:line="224" w:lineRule="auto"/>
              <w:rPr>
                <w:sz w:val="19"/>
                <w:szCs w:val="19"/>
              </w:rPr>
            </w:pPr>
            <w:r>
              <w:rPr>
                <w:sz w:val="19"/>
                <w:szCs w:val="19"/>
                <w:b/>
                <w:bCs/>
                <w:spacing w:val="7"/>
              </w:rPr>
              <w:t>专项转移</w:t>
            </w:r>
          </w:p>
          <w:p>
            <w:pPr>
              <w:pStyle w:val="TableText"/>
              <w:ind w:left="171"/>
              <w:spacing w:before="68" w:line="220" w:lineRule="auto"/>
              <w:rPr>
                <w:sz w:val="19"/>
                <w:szCs w:val="19"/>
              </w:rPr>
            </w:pPr>
            <w:r>
              <w:rPr>
                <w:sz w:val="19"/>
                <w:szCs w:val="19"/>
                <w:b/>
                <w:bCs/>
                <w:spacing w:val="7"/>
              </w:rPr>
              <w:t>支付收入安排</w:t>
            </w:r>
          </w:p>
        </w:tc>
        <w:tc>
          <w:tcPr>
            <w:tcW w:w="1379" w:type="dxa"/>
            <w:vAlign w:val="top"/>
            <w:tcBorders>
              <w:top w:val="single" w:color="000000" w:sz="6" w:space="0"/>
            </w:tcBorders>
          </w:tcPr>
          <w:p>
            <w:pPr>
              <w:pStyle w:val="TableText"/>
              <w:ind w:left="293"/>
              <w:spacing w:before="78" w:line="218" w:lineRule="auto"/>
              <w:rPr>
                <w:sz w:val="19"/>
                <w:szCs w:val="19"/>
              </w:rPr>
            </w:pPr>
            <w:r>
              <w:rPr>
                <w:sz w:val="19"/>
                <w:szCs w:val="19"/>
                <w:b/>
                <w:bCs/>
                <w:spacing w:val="6"/>
              </w:rPr>
              <w:t>动用上年</w:t>
            </w:r>
          </w:p>
          <w:p>
            <w:pPr>
              <w:pStyle w:val="TableText"/>
              <w:ind w:left="290"/>
              <w:spacing w:before="72" w:line="220" w:lineRule="auto"/>
              <w:rPr>
                <w:sz w:val="19"/>
                <w:szCs w:val="19"/>
              </w:rPr>
            </w:pPr>
            <w:r>
              <w:rPr>
                <w:sz w:val="19"/>
                <w:szCs w:val="19"/>
                <w:b/>
                <w:bCs/>
                <w:spacing w:val="7"/>
              </w:rPr>
              <w:t>结余安排</w:t>
            </w:r>
          </w:p>
        </w:tc>
        <w:tc>
          <w:tcPr>
            <w:tcW w:w="1134" w:type="dxa"/>
            <w:vAlign w:val="top"/>
            <w:tcBorders>
              <w:top w:val="single" w:color="000000" w:sz="6" w:space="0"/>
            </w:tcBorders>
          </w:tcPr>
          <w:p>
            <w:pPr>
              <w:pStyle w:val="TableText"/>
              <w:ind w:left="169"/>
              <w:spacing w:before="227" w:line="222" w:lineRule="auto"/>
              <w:rPr>
                <w:sz w:val="19"/>
                <w:szCs w:val="19"/>
              </w:rPr>
            </w:pPr>
            <w:r>
              <w:rPr>
                <w:sz w:val="19"/>
                <w:szCs w:val="19"/>
                <w:b/>
                <w:bCs/>
                <w:spacing w:val="7"/>
              </w:rPr>
              <w:t>调入资金</w:t>
            </w:r>
          </w:p>
        </w:tc>
        <w:tc>
          <w:tcPr>
            <w:tcW w:w="1460" w:type="dxa"/>
            <w:vAlign w:val="top"/>
            <w:tcBorders>
              <w:top w:val="single" w:color="000000" w:sz="6" w:space="0"/>
            </w:tcBorders>
          </w:tcPr>
          <w:p>
            <w:pPr>
              <w:pStyle w:val="TableText"/>
              <w:ind w:left="134"/>
              <w:spacing w:before="227" w:line="220" w:lineRule="auto"/>
              <w:rPr>
                <w:sz w:val="19"/>
                <w:szCs w:val="19"/>
              </w:rPr>
            </w:pPr>
            <w:r>
              <w:rPr>
                <w:sz w:val="19"/>
                <w:szCs w:val="19"/>
                <w:b/>
                <w:bCs/>
                <w:spacing w:val="7"/>
              </w:rPr>
              <w:t>政府债务资金</w:t>
            </w:r>
          </w:p>
        </w:tc>
        <w:tc>
          <w:tcPr>
            <w:tcW w:w="1826" w:type="dxa"/>
            <w:vAlign w:val="top"/>
            <w:tcBorders>
              <w:right w:val="single" w:color="000000" w:sz="6" w:space="0"/>
              <w:top w:val="single" w:color="000000" w:sz="6" w:space="0"/>
            </w:tcBorders>
          </w:tcPr>
          <w:p>
            <w:pPr>
              <w:pStyle w:val="TableText"/>
              <w:ind w:left="514"/>
              <w:spacing w:before="227" w:line="222" w:lineRule="auto"/>
              <w:rPr>
                <w:sz w:val="19"/>
                <w:szCs w:val="19"/>
              </w:rPr>
            </w:pPr>
            <w:r>
              <w:rPr>
                <w:sz w:val="19"/>
                <w:szCs w:val="19"/>
                <w:b/>
                <w:bCs/>
                <w:spacing w:val="7"/>
              </w:rPr>
              <w:t>其他资金</w:t>
            </w:r>
          </w:p>
        </w:tc>
      </w:tr>
      <w:tr>
        <w:trPr>
          <w:trHeight w:val="304" w:hRule="atLeast"/>
        </w:trPr>
        <w:tc>
          <w:tcPr>
            <w:tcW w:w="4301" w:type="dxa"/>
            <w:vAlign w:val="top"/>
            <w:tcBorders>
              <w:left w:val="single" w:color="000000" w:sz="6" w:space="0"/>
            </w:tcBorders>
          </w:tcPr>
          <w:p>
            <w:pPr>
              <w:pStyle w:val="TableText"/>
              <w:ind w:left="507"/>
              <w:spacing w:before="70" w:line="217" w:lineRule="auto"/>
              <w:rPr>
                <w:sz w:val="19"/>
                <w:szCs w:val="19"/>
              </w:rPr>
            </w:pPr>
            <w:r>
              <w:rPr>
                <w:sz w:val="19"/>
                <w:szCs w:val="19"/>
                <w:spacing w:val="8"/>
              </w:rPr>
              <w:t>宣传事务</w:t>
            </w:r>
          </w:p>
        </w:tc>
        <w:tc>
          <w:tcPr>
            <w:tcW w:w="1201" w:type="dxa"/>
            <w:vAlign w:val="top"/>
          </w:tcPr>
          <w:p>
            <w:pPr>
              <w:pStyle w:val="TableText"/>
              <w:ind w:left="798"/>
              <w:spacing w:before="68" w:line="219" w:lineRule="auto"/>
              <w:rPr>
                <w:sz w:val="19"/>
                <w:szCs w:val="19"/>
              </w:rPr>
            </w:pPr>
            <w:r>
              <w:rPr>
                <w:sz w:val="19"/>
                <w:szCs w:val="19"/>
              </w:rPr>
              <w:t>394</w:t>
            </w:r>
          </w:p>
        </w:tc>
        <w:tc>
          <w:tcPr>
            <w:tcW w:w="1052" w:type="dxa"/>
            <w:vAlign w:val="top"/>
          </w:tcPr>
          <w:p>
            <w:pPr>
              <w:pStyle w:val="TableText"/>
              <w:ind w:left="650"/>
              <w:spacing w:before="68" w:line="219" w:lineRule="auto"/>
              <w:rPr>
                <w:sz w:val="19"/>
                <w:szCs w:val="19"/>
              </w:rPr>
            </w:pPr>
            <w:r>
              <w:rPr>
                <w:sz w:val="19"/>
                <w:szCs w:val="19"/>
              </w:rPr>
              <w:t>394</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6"/>
              <w:spacing w:before="72" w:line="215" w:lineRule="auto"/>
              <w:rPr>
                <w:sz w:val="19"/>
                <w:szCs w:val="19"/>
              </w:rPr>
            </w:pPr>
            <w:r>
              <w:rPr>
                <w:sz w:val="19"/>
                <w:szCs w:val="19"/>
                <w:spacing w:val="8"/>
              </w:rPr>
              <w:t>统战事务</w:t>
            </w:r>
          </w:p>
        </w:tc>
        <w:tc>
          <w:tcPr>
            <w:tcW w:w="1201" w:type="dxa"/>
            <w:vAlign w:val="top"/>
          </w:tcPr>
          <w:p>
            <w:pPr>
              <w:pStyle w:val="TableText"/>
              <w:ind w:left="798"/>
              <w:spacing w:before="68" w:line="219" w:lineRule="auto"/>
              <w:rPr>
                <w:sz w:val="19"/>
                <w:szCs w:val="19"/>
              </w:rPr>
            </w:pPr>
            <w:r>
              <w:rPr>
                <w:sz w:val="19"/>
                <w:szCs w:val="19"/>
              </w:rPr>
              <w:t>330</w:t>
            </w:r>
          </w:p>
        </w:tc>
        <w:tc>
          <w:tcPr>
            <w:tcW w:w="1052" w:type="dxa"/>
            <w:vAlign w:val="top"/>
          </w:tcPr>
          <w:p>
            <w:pPr>
              <w:pStyle w:val="TableText"/>
              <w:ind w:left="650"/>
              <w:spacing w:before="68" w:line="219" w:lineRule="auto"/>
              <w:rPr>
                <w:sz w:val="19"/>
                <w:szCs w:val="19"/>
              </w:rPr>
            </w:pPr>
            <w:r>
              <w:rPr>
                <w:sz w:val="19"/>
                <w:szCs w:val="19"/>
              </w:rPr>
              <w:t>330</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4"/>
              <w:spacing w:before="73" w:line="214" w:lineRule="auto"/>
              <w:rPr>
                <w:sz w:val="19"/>
                <w:szCs w:val="19"/>
              </w:rPr>
            </w:pPr>
            <w:r>
              <w:rPr>
                <w:sz w:val="19"/>
                <w:szCs w:val="19"/>
                <w:spacing w:val="9"/>
              </w:rPr>
              <w:t>对外联络事务</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4"/>
              <w:spacing w:before="72" w:line="215" w:lineRule="auto"/>
              <w:rPr>
                <w:sz w:val="19"/>
                <w:szCs w:val="19"/>
              </w:rPr>
            </w:pPr>
            <w:r>
              <w:rPr>
                <w:sz w:val="19"/>
                <w:szCs w:val="19"/>
                <w:spacing w:val="9"/>
              </w:rPr>
              <w:t>其他共产党事务支出</w:t>
            </w:r>
          </w:p>
        </w:tc>
        <w:tc>
          <w:tcPr>
            <w:tcW w:w="1201" w:type="dxa"/>
            <w:vAlign w:val="top"/>
          </w:tcPr>
          <w:p>
            <w:pPr>
              <w:pStyle w:val="TableText"/>
              <w:ind w:left="712"/>
              <w:spacing w:before="69" w:line="218" w:lineRule="auto"/>
              <w:rPr>
                <w:sz w:val="19"/>
                <w:szCs w:val="19"/>
              </w:rPr>
            </w:pPr>
            <w:r>
              <w:rPr>
                <w:sz w:val="19"/>
                <w:szCs w:val="19"/>
                <w:spacing w:val="-2"/>
              </w:rPr>
              <w:t>1325</w:t>
            </w:r>
          </w:p>
        </w:tc>
        <w:tc>
          <w:tcPr>
            <w:tcW w:w="1052" w:type="dxa"/>
            <w:vAlign w:val="top"/>
          </w:tcPr>
          <w:p>
            <w:pPr>
              <w:pStyle w:val="TableText"/>
              <w:ind w:left="562"/>
              <w:spacing w:before="69" w:line="218" w:lineRule="auto"/>
              <w:rPr>
                <w:sz w:val="19"/>
                <w:szCs w:val="19"/>
              </w:rPr>
            </w:pPr>
            <w:r>
              <w:rPr>
                <w:sz w:val="19"/>
                <w:szCs w:val="19"/>
                <w:spacing w:val="-2"/>
              </w:rPr>
              <w:t>1320</w:t>
            </w:r>
          </w:p>
        </w:tc>
        <w:tc>
          <w:tcPr>
            <w:tcW w:w="1543" w:type="dxa"/>
            <w:vAlign w:val="top"/>
          </w:tcPr>
          <w:p>
            <w:pPr>
              <w:pStyle w:val="TableText"/>
              <w:ind w:left="1338"/>
              <w:spacing w:before="69" w:line="218" w:lineRule="auto"/>
              <w:rPr>
                <w:sz w:val="19"/>
                <w:szCs w:val="19"/>
              </w:rPr>
            </w:pPr>
            <w:r>
              <w:rPr>
                <w:sz w:val="19"/>
                <w:szCs w:val="19"/>
              </w:rPr>
              <w:t>5</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23"/>
              <w:spacing w:before="74" w:line="213" w:lineRule="auto"/>
              <w:rPr>
                <w:sz w:val="19"/>
                <w:szCs w:val="19"/>
              </w:rPr>
            </w:pPr>
            <w:r>
              <w:rPr>
                <w:sz w:val="19"/>
                <w:szCs w:val="19"/>
                <w:spacing w:val="4"/>
              </w:rPr>
              <w:t>网信事务</w:t>
            </w:r>
          </w:p>
        </w:tc>
        <w:tc>
          <w:tcPr>
            <w:tcW w:w="1201" w:type="dxa"/>
            <w:vAlign w:val="top"/>
          </w:tcPr>
          <w:p>
            <w:pPr>
              <w:pStyle w:val="TableText"/>
              <w:ind w:left="794"/>
              <w:spacing w:before="72" w:line="215" w:lineRule="auto"/>
              <w:rPr>
                <w:sz w:val="19"/>
                <w:szCs w:val="19"/>
              </w:rPr>
            </w:pPr>
            <w:r>
              <w:rPr>
                <w:sz w:val="19"/>
                <w:szCs w:val="19"/>
                <w:spacing w:val="1"/>
              </w:rPr>
              <w:t>274</w:t>
            </w:r>
          </w:p>
        </w:tc>
        <w:tc>
          <w:tcPr>
            <w:tcW w:w="1052" w:type="dxa"/>
            <w:vAlign w:val="top"/>
          </w:tcPr>
          <w:p>
            <w:pPr>
              <w:pStyle w:val="TableText"/>
              <w:ind w:left="647"/>
              <w:spacing w:before="72" w:line="215" w:lineRule="auto"/>
              <w:rPr>
                <w:sz w:val="19"/>
                <w:szCs w:val="19"/>
              </w:rPr>
            </w:pPr>
            <w:r>
              <w:rPr>
                <w:sz w:val="19"/>
                <w:szCs w:val="19"/>
                <w:spacing w:val="1"/>
              </w:rPr>
              <w:t>274</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6"/>
              <w:spacing w:before="76" w:line="211" w:lineRule="auto"/>
              <w:rPr>
                <w:sz w:val="19"/>
                <w:szCs w:val="19"/>
              </w:rPr>
            </w:pPr>
            <w:r>
              <w:rPr>
                <w:sz w:val="19"/>
                <w:szCs w:val="19"/>
                <w:spacing w:val="9"/>
              </w:rPr>
              <w:t>市场监督管理事务</w:t>
            </w:r>
          </w:p>
        </w:tc>
        <w:tc>
          <w:tcPr>
            <w:tcW w:w="1201" w:type="dxa"/>
            <w:vAlign w:val="top"/>
          </w:tcPr>
          <w:p>
            <w:pPr>
              <w:pStyle w:val="TableText"/>
              <w:ind w:left="699"/>
              <w:spacing w:before="72" w:line="215" w:lineRule="auto"/>
              <w:rPr>
                <w:sz w:val="19"/>
                <w:szCs w:val="19"/>
              </w:rPr>
            </w:pPr>
            <w:r>
              <w:rPr>
                <w:sz w:val="19"/>
                <w:szCs w:val="19"/>
                <w:spacing w:val="1"/>
              </w:rPr>
              <w:t>3219</w:t>
            </w:r>
          </w:p>
        </w:tc>
        <w:tc>
          <w:tcPr>
            <w:tcW w:w="1052" w:type="dxa"/>
            <w:vAlign w:val="top"/>
          </w:tcPr>
          <w:p>
            <w:pPr>
              <w:pStyle w:val="TableText"/>
              <w:ind w:left="546"/>
              <w:spacing w:before="72" w:line="215" w:lineRule="auto"/>
              <w:rPr>
                <w:sz w:val="19"/>
                <w:szCs w:val="19"/>
              </w:rPr>
            </w:pPr>
            <w:r>
              <w:rPr>
                <w:sz w:val="19"/>
                <w:szCs w:val="19"/>
                <w:spacing w:val="2"/>
              </w:rPr>
              <w:t>2964</w:t>
            </w:r>
          </w:p>
        </w:tc>
        <w:tc>
          <w:tcPr>
            <w:tcW w:w="1543" w:type="dxa"/>
            <w:vAlign w:val="top"/>
          </w:tcPr>
          <w:p>
            <w:pPr>
              <w:pStyle w:val="TableText"/>
              <w:ind w:left="1138"/>
              <w:spacing w:before="72" w:line="215" w:lineRule="auto"/>
              <w:rPr>
                <w:sz w:val="19"/>
                <w:szCs w:val="19"/>
              </w:rPr>
            </w:pPr>
            <w:r>
              <w:rPr>
                <w:sz w:val="19"/>
                <w:szCs w:val="19"/>
                <w:spacing w:val="1"/>
              </w:rPr>
              <w:t>255</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4"/>
              <w:spacing w:before="76" w:line="212" w:lineRule="auto"/>
              <w:rPr>
                <w:sz w:val="19"/>
                <w:szCs w:val="19"/>
              </w:rPr>
            </w:pPr>
            <w:r>
              <w:rPr>
                <w:sz w:val="19"/>
                <w:szCs w:val="19"/>
                <w:spacing w:val="9"/>
              </w:rPr>
              <w:t>其他一般公共服务支出</w:t>
            </w:r>
          </w:p>
        </w:tc>
        <w:tc>
          <w:tcPr>
            <w:tcW w:w="1201" w:type="dxa"/>
            <w:vAlign w:val="top"/>
          </w:tcPr>
          <w:p>
            <w:pPr>
              <w:pStyle w:val="TableText"/>
              <w:ind w:left="698"/>
              <w:spacing w:before="72" w:line="216" w:lineRule="auto"/>
              <w:rPr>
                <w:sz w:val="19"/>
                <w:szCs w:val="19"/>
              </w:rPr>
            </w:pPr>
            <w:r>
              <w:rPr>
                <w:sz w:val="19"/>
                <w:szCs w:val="19"/>
                <w:spacing w:val="1"/>
              </w:rPr>
              <w:t>8339</w:t>
            </w:r>
          </w:p>
        </w:tc>
        <w:tc>
          <w:tcPr>
            <w:tcW w:w="1052" w:type="dxa"/>
            <w:vAlign w:val="top"/>
          </w:tcPr>
          <w:p>
            <w:pPr>
              <w:pStyle w:val="TableText"/>
              <w:ind w:left="549"/>
              <w:spacing w:before="72" w:line="216" w:lineRule="auto"/>
              <w:rPr>
                <w:sz w:val="19"/>
                <w:szCs w:val="19"/>
              </w:rPr>
            </w:pPr>
            <w:r>
              <w:rPr>
                <w:sz w:val="19"/>
                <w:szCs w:val="19"/>
                <w:spacing w:val="2"/>
              </w:rPr>
              <w:t>8339</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107"/>
              <w:spacing w:before="77" w:line="211" w:lineRule="auto"/>
              <w:rPr>
                <w:sz w:val="19"/>
                <w:szCs w:val="19"/>
              </w:rPr>
            </w:pPr>
            <w:r>
              <w:rPr>
                <w:sz w:val="19"/>
                <w:szCs w:val="19"/>
                <w:spacing w:val="9"/>
              </w:rPr>
              <w:t>二、外交支出</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4"/>
              <w:spacing w:before="77" w:line="211" w:lineRule="auto"/>
              <w:rPr>
                <w:sz w:val="19"/>
                <w:szCs w:val="19"/>
              </w:rPr>
            </w:pPr>
            <w:r>
              <w:rPr>
                <w:sz w:val="19"/>
                <w:szCs w:val="19"/>
                <w:spacing w:val="9"/>
              </w:rPr>
              <w:t>对外合作与交流</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4"/>
              <w:spacing w:before="76" w:line="212" w:lineRule="auto"/>
              <w:rPr>
                <w:sz w:val="19"/>
                <w:szCs w:val="19"/>
              </w:rPr>
            </w:pPr>
            <w:r>
              <w:rPr>
                <w:sz w:val="19"/>
                <w:szCs w:val="19"/>
                <w:spacing w:val="9"/>
              </w:rPr>
              <w:t>其他外交支出</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110"/>
              <w:spacing w:before="78" w:line="209" w:lineRule="auto"/>
              <w:rPr>
                <w:sz w:val="19"/>
                <w:szCs w:val="19"/>
              </w:rPr>
            </w:pPr>
            <w:r>
              <w:rPr>
                <w:sz w:val="19"/>
                <w:szCs w:val="19"/>
                <w:spacing w:val="8"/>
              </w:rPr>
              <w:t>三、国防支出</w:t>
            </w:r>
          </w:p>
        </w:tc>
        <w:tc>
          <w:tcPr>
            <w:tcW w:w="1201" w:type="dxa"/>
            <w:vAlign w:val="top"/>
          </w:tcPr>
          <w:p>
            <w:pPr>
              <w:pStyle w:val="TableText"/>
              <w:ind w:left="798"/>
              <w:spacing w:before="72" w:line="215" w:lineRule="auto"/>
              <w:rPr>
                <w:sz w:val="19"/>
                <w:szCs w:val="19"/>
              </w:rPr>
            </w:pPr>
            <w:r>
              <w:rPr>
                <w:sz w:val="19"/>
                <w:szCs w:val="19"/>
              </w:rPr>
              <w:t>322</w:t>
            </w:r>
          </w:p>
        </w:tc>
        <w:tc>
          <w:tcPr>
            <w:tcW w:w="1052" w:type="dxa"/>
            <w:vAlign w:val="top"/>
          </w:tcPr>
          <w:p>
            <w:pPr>
              <w:rPr>
                <w:rFonts w:ascii="Arial"/>
                <w:sz w:val="21"/>
              </w:rPr>
            </w:pPr>
            <w:r/>
          </w:p>
        </w:tc>
        <w:tc>
          <w:tcPr>
            <w:tcW w:w="1543" w:type="dxa"/>
            <w:vAlign w:val="top"/>
          </w:tcPr>
          <w:p>
            <w:pPr>
              <w:pStyle w:val="TableText"/>
              <w:ind w:left="1141"/>
              <w:spacing w:before="72" w:line="215" w:lineRule="auto"/>
              <w:rPr>
                <w:sz w:val="19"/>
                <w:szCs w:val="19"/>
              </w:rPr>
            </w:pPr>
            <w:r>
              <w:rPr>
                <w:sz w:val="19"/>
                <w:szCs w:val="19"/>
              </w:rPr>
              <w:t>322</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25"/>
              <w:spacing w:before="79" w:line="209" w:lineRule="auto"/>
              <w:rPr>
                <w:sz w:val="19"/>
                <w:szCs w:val="19"/>
              </w:rPr>
            </w:pPr>
            <w:r>
              <w:rPr>
                <w:sz w:val="19"/>
                <w:szCs w:val="19"/>
                <w:spacing w:val="3"/>
              </w:rPr>
              <w:t>国防动员</w:t>
            </w:r>
          </w:p>
        </w:tc>
        <w:tc>
          <w:tcPr>
            <w:tcW w:w="1201" w:type="dxa"/>
            <w:vAlign w:val="top"/>
          </w:tcPr>
          <w:p>
            <w:pPr>
              <w:pStyle w:val="TableText"/>
              <w:ind w:left="798"/>
              <w:spacing w:before="73" w:line="215" w:lineRule="auto"/>
              <w:rPr>
                <w:sz w:val="19"/>
                <w:szCs w:val="19"/>
              </w:rPr>
            </w:pPr>
            <w:r>
              <w:rPr>
                <w:sz w:val="19"/>
                <w:szCs w:val="19"/>
              </w:rPr>
              <w:t>322</w:t>
            </w:r>
          </w:p>
        </w:tc>
        <w:tc>
          <w:tcPr>
            <w:tcW w:w="1052" w:type="dxa"/>
            <w:vAlign w:val="top"/>
          </w:tcPr>
          <w:p>
            <w:pPr>
              <w:rPr>
                <w:rFonts w:ascii="Arial"/>
                <w:sz w:val="21"/>
              </w:rPr>
            </w:pPr>
            <w:r/>
          </w:p>
        </w:tc>
        <w:tc>
          <w:tcPr>
            <w:tcW w:w="1543" w:type="dxa"/>
            <w:vAlign w:val="top"/>
          </w:tcPr>
          <w:p>
            <w:pPr>
              <w:pStyle w:val="TableText"/>
              <w:ind w:left="1141"/>
              <w:spacing w:before="73" w:line="215" w:lineRule="auto"/>
              <w:rPr>
                <w:sz w:val="19"/>
                <w:szCs w:val="19"/>
              </w:rPr>
            </w:pPr>
            <w:r>
              <w:rPr>
                <w:sz w:val="19"/>
                <w:szCs w:val="19"/>
              </w:rPr>
              <w:t>322</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4"/>
              <w:spacing w:before="78" w:line="209" w:lineRule="auto"/>
              <w:rPr>
                <w:sz w:val="19"/>
                <w:szCs w:val="19"/>
              </w:rPr>
            </w:pPr>
            <w:r>
              <w:rPr>
                <w:sz w:val="19"/>
                <w:szCs w:val="19"/>
                <w:spacing w:val="9"/>
              </w:rPr>
              <w:t>其他国防支出</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128"/>
              <w:spacing w:before="80" w:line="208" w:lineRule="auto"/>
              <w:rPr>
                <w:sz w:val="19"/>
                <w:szCs w:val="19"/>
              </w:rPr>
            </w:pPr>
            <w:r>
              <w:rPr>
                <w:sz w:val="19"/>
                <w:szCs w:val="19"/>
                <w:spacing w:val="6"/>
              </w:rPr>
              <w:t>四、公共安全支出</w:t>
            </w:r>
          </w:p>
        </w:tc>
        <w:tc>
          <w:tcPr>
            <w:tcW w:w="1201" w:type="dxa"/>
            <w:vAlign w:val="top"/>
          </w:tcPr>
          <w:p>
            <w:pPr>
              <w:pStyle w:val="TableText"/>
              <w:ind w:left="595"/>
              <w:spacing w:before="75" w:line="213" w:lineRule="auto"/>
              <w:rPr>
                <w:sz w:val="19"/>
                <w:szCs w:val="19"/>
              </w:rPr>
            </w:pPr>
            <w:r>
              <w:rPr>
                <w:sz w:val="19"/>
                <w:szCs w:val="19"/>
                <w:spacing w:val="2"/>
              </w:rPr>
              <w:t>21105</w:t>
            </w:r>
          </w:p>
        </w:tc>
        <w:tc>
          <w:tcPr>
            <w:tcW w:w="1052" w:type="dxa"/>
            <w:vAlign w:val="top"/>
          </w:tcPr>
          <w:p>
            <w:pPr>
              <w:pStyle w:val="TableText"/>
              <w:ind w:left="464"/>
              <w:spacing w:before="75" w:line="213" w:lineRule="auto"/>
              <w:rPr>
                <w:sz w:val="19"/>
                <w:szCs w:val="19"/>
              </w:rPr>
            </w:pPr>
            <w:r>
              <w:rPr>
                <w:sz w:val="19"/>
                <w:szCs w:val="19"/>
                <w:spacing w:val="-1"/>
              </w:rPr>
              <w:t>15595</w:t>
            </w:r>
          </w:p>
        </w:tc>
        <w:tc>
          <w:tcPr>
            <w:tcW w:w="1543" w:type="dxa"/>
            <w:vAlign w:val="top"/>
          </w:tcPr>
          <w:p>
            <w:pPr>
              <w:pStyle w:val="TableText"/>
              <w:ind w:left="1041"/>
              <w:spacing w:before="75" w:line="213" w:lineRule="auto"/>
              <w:rPr>
                <w:sz w:val="19"/>
                <w:szCs w:val="19"/>
              </w:rPr>
            </w:pPr>
            <w:r>
              <w:rPr>
                <w:sz w:val="19"/>
                <w:szCs w:val="19"/>
                <w:spacing w:val="2"/>
              </w:rPr>
              <w:t>5510</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7"/>
              <w:spacing w:before="79" w:line="208" w:lineRule="auto"/>
              <w:rPr>
                <w:sz w:val="19"/>
                <w:szCs w:val="19"/>
              </w:rPr>
            </w:pPr>
            <w:r>
              <w:rPr>
                <w:sz w:val="19"/>
                <w:szCs w:val="19"/>
                <w:spacing w:val="8"/>
              </w:rPr>
              <w:t>武装警察部队</w:t>
            </w:r>
          </w:p>
        </w:tc>
        <w:tc>
          <w:tcPr>
            <w:tcW w:w="1201" w:type="dxa"/>
            <w:vAlign w:val="top"/>
          </w:tcPr>
          <w:p>
            <w:pPr>
              <w:pStyle w:val="TableText"/>
              <w:ind w:left="894"/>
              <w:spacing w:before="74" w:line="213" w:lineRule="auto"/>
              <w:rPr>
                <w:sz w:val="19"/>
                <w:szCs w:val="19"/>
              </w:rPr>
            </w:pPr>
            <w:r>
              <w:rPr>
                <w:sz w:val="19"/>
                <w:szCs w:val="19"/>
              </w:rPr>
              <w:t>50</w:t>
            </w:r>
          </w:p>
        </w:tc>
        <w:tc>
          <w:tcPr>
            <w:tcW w:w="1052" w:type="dxa"/>
            <w:vAlign w:val="top"/>
          </w:tcPr>
          <w:p>
            <w:pPr>
              <w:pStyle w:val="TableText"/>
              <w:ind w:left="746"/>
              <w:spacing w:before="74" w:line="213" w:lineRule="auto"/>
              <w:rPr>
                <w:sz w:val="19"/>
                <w:szCs w:val="19"/>
              </w:rPr>
            </w:pPr>
            <w:r>
              <w:rPr>
                <w:sz w:val="19"/>
                <w:szCs w:val="19"/>
              </w:rPr>
              <w:t>50</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3"/>
              <w:spacing w:before="82" w:line="206" w:lineRule="auto"/>
              <w:rPr>
                <w:sz w:val="19"/>
                <w:szCs w:val="19"/>
              </w:rPr>
            </w:pPr>
            <w:r>
              <w:rPr>
                <w:sz w:val="19"/>
                <w:szCs w:val="19"/>
                <w:spacing w:val="7"/>
              </w:rPr>
              <w:t>公安</w:t>
            </w:r>
          </w:p>
        </w:tc>
        <w:tc>
          <w:tcPr>
            <w:tcW w:w="1201" w:type="dxa"/>
            <w:vAlign w:val="top"/>
          </w:tcPr>
          <w:p>
            <w:pPr>
              <w:pStyle w:val="TableText"/>
              <w:ind w:left="611"/>
              <w:spacing w:before="75" w:line="213" w:lineRule="auto"/>
              <w:rPr>
                <w:sz w:val="19"/>
                <w:szCs w:val="19"/>
              </w:rPr>
            </w:pPr>
            <w:r>
              <w:rPr>
                <w:sz w:val="19"/>
                <w:szCs w:val="19"/>
                <w:spacing w:val="-1"/>
              </w:rPr>
              <w:t>19816</w:t>
            </w:r>
          </w:p>
        </w:tc>
        <w:tc>
          <w:tcPr>
            <w:tcW w:w="1052" w:type="dxa"/>
            <w:vAlign w:val="top"/>
          </w:tcPr>
          <w:p>
            <w:pPr>
              <w:pStyle w:val="TableText"/>
              <w:ind w:left="464"/>
              <w:spacing w:before="75" w:line="213" w:lineRule="auto"/>
              <w:rPr>
                <w:sz w:val="19"/>
                <w:szCs w:val="19"/>
              </w:rPr>
            </w:pPr>
            <w:r>
              <w:rPr>
                <w:sz w:val="19"/>
                <w:szCs w:val="19"/>
                <w:spacing w:val="-1"/>
              </w:rPr>
              <w:t>14306</w:t>
            </w:r>
          </w:p>
        </w:tc>
        <w:tc>
          <w:tcPr>
            <w:tcW w:w="1543" w:type="dxa"/>
            <w:vAlign w:val="top"/>
          </w:tcPr>
          <w:p>
            <w:pPr>
              <w:pStyle w:val="TableText"/>
              <w:ind w:left="1041"/>
              <w:spacing w:before="75" w:line="213" w:lineRule="auto"/>
              <w:rPr>
                <w:sz w:val="19"/>
                <w:szCs w:val="19"/>
              </w:rPr>
            </w:pPr>
            <w:r>
              <w:rPr>
                <w:sz w:val="19"/>
                <w:szCs w:val="19"/>
                <w:spacing w:val="2"/>
              </w:rPr>
              <w:t>5510</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25"/>
              <w:spacing w:before="83" w:line="205" w:lineRule="auto"/>
              <w:rPr>
                <w:sz w:val="19"/>
                <w:szCs w:val="19"/>
              </w:rPr>
            </w:pPr>
            <w:r>
              <w:rPr>
                <w:sz w:val="19"/>
                <w:szCs w:val="19"/>
                <w:spacing w:val="3"/>
              </w:rPr>
              <w:t>国家安全</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6"/>
              <w:spacing w:before="81" w:line="207" w:lineRule="auto"/>
              <w:rPr>
                <w:sz w:val="19"/>
                <w:szCs w:val="19"/>
              </w:rPr>
            </w:pPr>
            <w:r>
              <w:rPr>
                <w:sz w:val="19"/>
                <w:szCs w:val="19"/>
                <w:spacing w:val="6"/>
              </w:rPr>
              <w:t>检察</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6"/>
              <w:spacing w:before="81" w:line="206" w:lineRule="auto"/>
              <w:rPr>
                <w:sz w:val="19"/>
                <w:szCs w:val="19"/>
              </w:rPr>
            </w:pPr>
            <w:r>
              <w:rPr>
                <w:sz w:val="19"/>
                <w:szCs w:val="19"/>
                <w:spacing w:val="6"/>
              </w:rPr>
              <w:t>法院</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16"/>
              <w:spacing w:before="87" w:line="202" w:lineRule="auto"/>
              <w:rPr>
                <w:sz w:val="19"/>
                <w:szCs w:val="19"/>
              </w:rPr>
            </w:pPr>
            <w:r>
              <w:rPr>
                <w:sz w:val="19"/>
                <w:szCs w:val="19"/>
                <w:spacing w:val="1"/>
              </w:rPr>
              <w:t>司法</w:t>
            </w:r>
          </w:p>
        </w:tc>
        <w:tc>
          <w:tcPr>
            <w:tcW w:w="1201" w:type="dxa"/>
            <w:vAlign w:val="top"/>
          </w:tcPr>
          <w:p>
            <w:pPr>
              <w:pStyle w:val="TableText"/>
              <w:ind w:left="791"/>
              <w:spacing w:before="77" w:line="211" w:lineRule="auto"/>
              <w:rPr>
                <w:sz w:val="19"/>
                <w:szCs w:val="19"/>
              </w:rPr>
            </w:pPr>
            <w:r>
              <w:rPr>
                <w:sz w:val="19"/>
                <w:szCs w:val="19"/>
                <w:spacing w:val="2"/>
              </w:rPr>
              <w:t>490</w:t>
            </w:r>
          </w:p>
        </w:tc>
        <w:tc>
          <w:tcPr>
            <w:tcW w:w="1052" w:type="dxa"/>
            <w:vAlign w:val="top"/>
          </w:tcPr>
          <w:p>
            <w:pPr>
              <w:pStyle w:val="TableText"/>
              <w:ind w:left="644"/>
              <w:spacing w:before="77" w:line="211" w:lineRule="auto"/>
              <w:rPr>
                <w:sz w:val="19"/>
                <w:szCs w:val="19"/>
              </w:rPr>
            </w:pPr>
            <w:r>
              <w:rPr>
                <w:sz w:val="19"/>
                <w:szCs w:val="19"/>
                <w:spacing w:val="2"/>
              </w:rPr>
              <w:t>490</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4"/>
              <w:spacing w:before="85" w:line="203" w:lineRule="auto"/>
              <w:rPr>
                <w:sz w:val="19"/>
                <w:szCs w:val="19"/>
              </w:rPr>
            </w:pPr>
            <w:r>
              <w:rPr>
                <w:sz w:val="19"/>
                <w:szCs w:val="19"/>
                <w:spacing w:val="7"/>
              </w:rPr>
              <w:t>监狱</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7"/>
              <w:spacing w:before="84" w:line="205" w:lineRule="auto"/>
              <w:rPr>
                <w:sz w:val="19"/>
                <w:szCs w:val="19"/>
              </w:rPr>
            </w:pPr>
            <w:r>
              <w:rPr>
                <w:sz w:val="19"/>
                <w:szCs w:val="19"/>
                <w:spacing w:val="8"/>
              </w:rPr>
              <w:t>强制隔离戒毒</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25"/>
              <w:spacing w:before="84" w:line="204" w:lineRule="auto"/>
              <w:rPr>
                <w:sz w:val="19"/>
                <w:szCs w:val="19"/>
              </w:rPr>
            </w:pPr>
            <w:r>
              <w:rPr>
                <w:sz w:val="19"/>
                <w:szCs w:val="19"/>
                <w:spacing w:val="3"/>
              </w:rPr>
              <w:t>国家保密</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14" w:hRule="atLeast"/>
        </w:trPr>
        <w:tc>
          <w:tcPr>
            <w:tcW w:w="4301" w:type="dxa"/>
            <w:vAlign w:val="top"/>
            <w:tcBorders>
              <w:left w:val="single" w:color="000000" w:sz="6" w:space="0"/>
              <w:bottom w:val="single" w:color="000000" w:sz="6" w:space="0"/>
            </w:tcBorders>
          </w:tcPr>
          <w:p>
            <w:pPr>
              <w:pStyle w:val="TableText"/>
              <w:ind w:left="506"/>
              <w:spacing w:before="83" w:line="214" w:lineRule="auto"/>
              <w:rPr>
                <w:sz w:val="19"/>
                <w:szCs w:val="19"/>
              </w:rPr>
            </w:pPr>
            <w:r>
              <w:rPr>
                <w:sz w:val="19"/>
                <w:szCs w:val="19"/>
                <w:spacing w:val="8"/>
              </w:rPr>
              <w:t>缉私警察</w:t>
            </w:r>
          </w:p>
        </w:tc>
        <w:tc>
          <w:tcPr>
            <w:tcW w:w="1201" w:type="dxa"/>
            <w:vAlign w:val="top"/>
            <w:tcBorders>
              <w:bottom w:val="single" w:color="000000" w:sz="6" w:space="0"/>
            </w:tcBorders>
          </w:tcPr>
          <w:p>
            <w:pPr>
              <w:rPr>
                <w:rFonts w:ascii="Arial"/>
                <w:sz w:val="21"/>
              </w:rPr>
            </w:pPr>
            <w:r/>
          </w:p>
        </w:tc>
        <w:tc>
          <w:tcPr>
            <w:tcW w:w="1052" w:type="dxa"/>
            <w:vAlign w:val="top"/>
            <w:tcBorders>
              <w:bottom w:val="single" w:color="000000" w:sz="6" w:space="0"/>
            </w:tcBorders>
          </w:tcPr>
          <w:p>
            <w:pPr>
              <w:rPr>
                <w:rFonts w:ascii="Arial"/>
                <w:sz w:val="21"/>
              </w:rPr>
            </w:pPr>
            <w:r/>
          </w:p>
        </w:tc>
        <w:tc>
          <w:tcPr>
            <w:tcW w:w="1543" w:type="dxa"/>
            <w:vAlign w:val="top"/>
            <w:tcBorders>
              <w:bottom w:val="single" w:color="000000" w:sz="6" w:space="0"/>
            </w:tcBorders>
          </w:tcPr>
          <w:p>
            <w:pPr>
              <w:rPr>
                <w:rFonts w:ascii="Arial"/>
                <w:sz w:val="21"/>
              </w:rPr>
            </w:pPr>
            <w:r/>
          </w:p>
        </w:tc>
        <w:tc>
          <w:tcPr>
            <w:tcW w:w="1379" w:type="dxa"/>
            <w:vAlign w:val="top"/>
            <w:tcBorders>
              <w:bottom w:val="single" w:color="000000" w:sz="6" w:space="0"/>
            </w:tcBorders>
          </w:tcPr>
          <w:p>
            <w:pPr>
              <w:rPr>
                <w:rFonts w:ascii="Arial"/>
                <w:sz w:val="21"/>
              </w:rPr>
            </w:pPr>
            <w:r/>
          </w:p>
        </w:tc>
        <w:tc>
          <w:tcPr>
            <w:tcW w:w="1134" w:type="dxa"/>
            <w:vAlign w:val="top"/>
            <w:tcBorders>
              <w:bottom w:val="single" w:color="000000" w:sz="6" w:space="0"/>
            </w:tcBorders>
          </w:tcPr>
          <w:p>
            <w:pPr>
              <w:rPr>
                <w:rFonts w:ascii="Arial"/>
                <w:sz w:val="21"/>
              </w:rPr>
            </w:pPr>
            <w:r/>
          </w:p>
        </w:tc>
        <w:tc>
          <w:tcPr>
            <w:tcW w:w="1460" w:type="dxa"/>
            <w:vAlign w:val="top"/>
            <w:tcBorders>
              <w:bottom w:val="single" w:color="000000" w:sz="6" w:space="0"/>
            </w:tcBorders>
          </w:tcPr>
          <w:p>
            <w:pPr>
              <w:rPr>
                <w:rFonts w:ascii="Arial"/>
                <w:sz w:val="21"/>
              </w:rPr>
            </w:pPr>
            <w:r/>
          </w:p>
        </w:tc>
        <w:tc>
          <w:tcPr>
            <w:tcW w:w="1826" w:type="dxa"/>
            <w:vAlign w:val="top"/>
            <w:tcBorders>
              <w:bottom w:val="single" w:color="000000" w:sz="6" w:space="0"/>
              <w:right w:val="single" w:color="000000" w:sz="6" w:space="0"/>
            </w:tcBorders>
          </w:tcPr>
          <w:p>
            <w:pPr>
              <w:rPr>
                <w:rFonts w:ascii="Arial"/>
                <w:sz w:val="21"/>
              </w:rPr>
            </w:pPr>
            <w:r/>
          </w:p>
        </w:tc>
      </w:tr>
    </w:tbl>
    <w:p>
      <w:pPr>
        <w:spacing w:line="92" w:lineRule="exact"/>
        <w:rPr>
          <w:rFonts w:ascii="Arial"/>
          <w:sz w:val="8"/>
        </w:rPr>
      </w:pPr>
      <w:r/>
    </w:p>
    <w:p>
      <w:pPr>
        <w:spacing w:line="92" w:lineRule="exact"/>
        <w:sectPr>
          <w:headerReference w:type="default" r:id="rId57"/>
          <w:footerReference w:type="default" r:id="rId68"/>
          <w:pgSz w:w="16839" w:h="11906"/>
          <w:pgMar w:top="1780" w:right="1463" w:bottom="1660" w:left="1463" w:header="1428" w:footer="1289" w:gutter="0"/>
        </w:sectPr>
        <w:rPr>
          <w:rFonts w:ascii="Arial" w:hAnsi="Arial" w:eastAsia="Arial" w:cs="Arial"/>
          <w:sz w:val="8"/>
          <w:szCs w:val="8"/>
        </w:rPr>
      </w:pPr>
    </w:p>
    <w:p>
      <w:pPr>
        <w:spacing w:before="51"/>
        <w:rPr/>
      </w:pPr>
      <w:r>
        <w:drawing>
          <wp:anchor distT="0" distB="0" distL="0" distR="0" simplePos="0" relativeHeight="251668480"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138" name="IM 138"/>
            <wp:cNvGraphicFramePr/>
            <a:graphic>
              <a:graphicData uri="http://schemas.openxmlformats.org/drawingml/2006/picture">
                <pic:pic>
                  <pic:nvPicPr>
                    <pic:cNvPr id="138" name="IM 138"/>
                    <pic:cNvPicPr/>
                  </pic:nvPicPr>
                  <pic:blipFill>
                    <a:blip r:embed="rId71"/>
                    <a:stretch>
                      <a:fillRect/>
                    </a:stretch>
                  </pic:blipFill>
                  <pic:spPr>
                    <a:xfrm rot="0">
                      <a:off x="0" y="0"/>
                      <a:ext cx="8712200" cy="7620"/>
                    </a:xfrm>
                    <a:prstGeom prst="rect">
                      <a:avLst/>
                    </a:prstGeom>
                  </pic:spPr>
                </pic:pic>
              </a:graphicData>
            </a:graphic>
          </wp:anchor>
        </w:drawing>
      </w: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301"/>
        <w:gridCol w:w="1201"/>
        <w:gridCol w:w="1052"/>
        <w:gridCol w:w="1543"/>
        <w:gridCol w:w="1379"/>
        <w:gridCol w:w="1134"/>
        <w:gridCol w:w="1460"/>
        <w:gridCol w:w="1826"/>
      </w:tblGrid>
      <w:tr>
        <w:trPr>
          <w:trHeight w:val="611" w:hRule="atLeast"/>
        </w:trPr>
        <w:tc>
          <w:tcPr>
            <w:tcW w:w="4301" w:type="dxa"/>
            <w:vAlign w:val="top"/>
            <w:tcBorders>
              <w:left w:val="single" w:color="000000" w:sz="6" w:space="0"/>
              <w:top w:val="single" w:color="000000" w:sz="6" w:space="0"/>
            </w:tcBorders>
          </w:tcPr>
          <w:p>
            <w:pPr>
              <w:pStyle w:val="TableText"/>
              <w:ind w:left="1945"/>
              <w:spacing w:before="232" w:line="212" w:lineRule="auto"/>
              <w:rPr>
                <w:sz w:val="19"/>
                <w:szCs w:val="19"/>
              </w:rPr>
            </w:pPr>
            <w:r>
              <w:rPr>
                <w:sz w:val="19"/>
                <w:szCs w:val="19"/>
                <w:b/>
                <w:bCs/>
                <w:spacing w:val="6"/>
              </w:rPr>
              <w:t>项目</w:t>
            </w:r>
          </w:p>
        </w:tc>
        <w:tc>
          <w:tcPr>
            <w:tcW w:w="1201" w:type="dxa"/>
            <w:vAlign w:val="top"/>
            <w:tcBorders>
              <w:top w:val="single" w:color="000000" w:sz="6" w:space="0"/>
            </w:tcBorders>
          </w:tcPr>
          <w:p>
            <w:pPr>
              <w:pStyle w:val="TableText"/>
              <w:ind w:left="396"/>
              <w:spacing w:before="227" w:line="223" w:lineRule="auto"/>
              <w:rPr>
                <w:sz w:val="19"/>
                <w:szCs w:val="19"/>
              </w:rPr>
            </w:pPr>
            <w:r>
              <w:rPr>
                <w:sz w:val="19"/>
                <w:szCs w:val="19"/>
                <w:b/>
                <w:bCs/>
                <w:spacing w:val="6"/>
              </w:rPr>
              <w:t>合计</w:t>
            </w:r>
          </w:p>
        </w:tc>
        <w:tc>
          <w:tcPr>
            <w:tcW w:w="1052" w:type="dxa"/>
            <w:vAlign w:val="top"/>
            <w:tcBorders>
              <w:top w:val="single" w:color="000000" w:sz="6" w:space="0"/>
            </w:tcBorders>
          </w:tcPr>
          <w:p>
            <w:pPr>
              <w:pStyle w:val="TableText"/>
              <w:ind w:left="124"/>
              <w:spacing w:before="231" w:line="216" w:lineRule="auto"/>
              <w:rPr>
                <w:sz w:val="19"/>
                <w:szCs w:val="19"/>
              </w:rPr>
            </w:pPr>
            <w:r>
              <w:rPr>
                <w:sz w:val="19"/>
                <w:szCs w:val="19"/>
                <w:b/>
                <w:bCs/>
                <w:spacing w:val="7"/>
              </w:rPr>
              <w:t>财力安排</w:t>
            </w:r>
          </w:p>
        </w:tc>
        <w:tc>
          <w:tcPr>
            <w:tcW w:w="1543" w:type="dxa"/>
            <w:vAlign w:val="top"/>
            <w:tcBorders>
              <w:top w:val="single" w:color="000000" w:sz="6" w:space="0"/>
            </w:tcBorders>
          </w:tcPr>
          <w:p>
            <w:pPr>
              <w:pStyle w:val="TableText"/>
              <w:ind w:left="369"/>
              <w:spacing w:before="76" w:line="224" w:lineRule="auto"/>
              <w:rPr>
                <w:sz w:val="19"/>
                <w:szCs w:val="19"/>
              </w:rPr>
            </w:pPr>
            <w:r>
              <w:rPr>
                <w:sz w:val="19"/>
                <w:szCs w:val="19"/>
                <w:b/>
                <w:bCs/>
                <w:spacing w:val="7"/>
              </w:rPr>
              <w:t>专项转移</w:t>
            </w:r>
          </w:p>
          <w:p>
            <w:pPr>
              <w:pStyle w:val="TableText"/>
              <w:ind w:left="171"/>
              <w:spacing w:before="67" w:line="220" w:lineRule="auto"/>
              <w:rPr>
                <w:sz w:val="19"/>
                <w:szCs w:val="19"/>
              </w:rPr>
            </w:pPr>
            <w:r>
              <w:rPr>
                <w:sz w:val="19"/>
                <w:szCs w:val="19"/>
                <w:b/>
                <w:bCs/>
                <w:spacing w:val="7"/>
              </w:rPr>
              <w:t>支付收入安排</w:t>
            </w:r>
          </w:p>
        </w:tc>
        <w:tc>
          <w:tcPr>
            <w:tcW w:w="1379" w:type="dxa"/>
            <w:vAlign w:val="top"/>
            <w:tcBorders>
              <w:top w:val="single" w:color="000000" w:sz="6" w:space="0"/>
            </w:tcBorders>
          </w:tcPr>
          <w:p>
            <w:pPr>
              <w:pStyle w:val="TableText"/>
              <w:ind w:left="293"/>
              <w:spacing w:before="78" w:line="218" w:lineRule="auto"/>
              <w:rPr>
                <w:sz w:val="19"/>
                <w:szCs w:val="19"/>
              </w:rPr>
            </w:pPr>
            <w:r>
              <w:rPr>
                <w:sz w:val="19"/>
                <w:szCs w:val="19"/>
                <w:b/>
                <w:bCs/>
                <w:spacing w:val="6"/>
              </w:rPr>
              <w:t>动用上年</w:t>
            </w:r>
          </w:p>
          <w:p>
            <w:pPr>
              <w:pStyle w:val="TableText"/>
              <w:ind w:left="290"/>
              <w:spacing w:before="71" w:line="220" w:lineRule="auto"/>
              <w:rPr>
                <w:sz w:val="19"/>
                <w:szCs w:val="19"/>
              </w:rPr>
            </w:pPr>
            <w:r>
              <w:rPr>
                <w:sz w:val="19"/>
                <w:szCs w:val="19"/>
                <w:b/>
                <w:bCs/>
                <w:spacing w:val="7"/>
              </w:rPr>
              <w:t>结余安排</w:t>
            </w:r>
          </w:p>
        </w:tc>
        <w:tc>
          <w:tcPr>
            <w:tcW w:w="1134" w:type="dxa"/>
            <w:vAlign w:val="top"/>
            <w:tcBorders>
              <w:top w:val="single" w:color="000000" w:sz="6" w:space="0"/>
            </w:tcBorders>
          </w:tcPr>
          <w:p>
            <w:pPr>
              <w:pStyle w:val="TableText"/>
              <w:ind w:left="169"/>
              <w:spacing w:before="228" w:line="222" w:lineRule="auto"/>
              <w:rPr>
                <w:sz w:val="19"/>
                <w:szCs w:val="19"/>
              </w:rPr>
            </w:pPr>
            <w:r>
              <w:rPr>
                <w:sz w:val="19"/>
                <w:szCs w:val="19"/>
                <w:b/>
                <w:bCs/>
                <w:spacing w:val="7"/>
              </w:rPr>
              <w:t>调入资金</w:t>
            </w:r>
          </w:p>
        </w:tc>
        <w:tc>
          <w:tcPr>
            <w:tcW w:w="1460" w:type="dxa"/>
            <w:vAlign w:val="top"/>
            <w:tcBorders>
              <w:top w:val="single" w:color="000000" w:sz="6" w:space="0"/>
            </w:tcBorders>
          </w:tcPr>
          <w:p>
            <w:pPr>
              <w:pStyle w:val="TableText"/>
              <w:ind w:left="134"/>
              <w:spacing w:before="227" w:line="220" w:lineRule="auto"/>
              <w:rPr>
                <w:sz w:val="19"/>
                <w:szCs w:val="19"/>
              </w:rPr>
            </w:pPr>
            <w:r>
              <w:rPr>
                <w:sz w:val="19"/>
                <w:szCs w:val="19"/>
                <w:b/>
                <w:bCs/>
                <w:spacing w:val="7"/>
              </w:rPr>
              <w:t>政府债务资金</w:t>
            </w:r>
          </w:p>
        </w:tc>
        <w:tc>
          <w:tcPr>
            <w:tcW w:w="1826" w:type="dxa"/>
            <w:vAlign w:val="top"/>
            <w:tcBorders>
              <w:right w:val="single" w:color="000000" w:sz="6" w:space="0"/>
              <w:top w:val="single" w:color="000000" w:sz="6" w:space="0"/>
            </w:tcBorders>
          </w:tcPr>
          <w:p>
            <w:pPr>
              <w:pStyle w:val="TableText"/>
              <w:ind w:left="514"/>
              <w:spacing w:before="228" w:line="222" w:lineRule="auto"/>
              <w:rPr>
                <w:sz w:val="19"/>
                <w:szCs w:val="19"/>
              </w:rPr>
            </w:pPr>
            <w:r>
              <w:rPr>
                <w:sz w:val="19"/>
                <w:szCs w:val="19"/>
                <w:b/>
                <w:bCs/>
                <w:spacing w:val="7"/>
              </w:rPr>
              <w:t>其他资金</w:t>
            </w:r>
          </w:p>
        </w:tc>
      </w:tr>
      <w:tr>
        <w:trPr>
          <w:trHeight w:val="304" w:hRule="atLeast"/>
        </w:trPr>
        <w:tc>
          <w:tcPr>
            <w:tcW w:w="4301" w:type="dxa"/>
            <w:vAlign w:val="top"/>
            <w:tcBorders>
              <w:left w:val="single" w:color="000000" w:sz="6" w:space="0"/>
            </w:tcBorders>
          </w:tcPr>
          <w:p>
            <w:pPr>
              <w:pStyle w:val="TableText"/>
              <w:ind w:left="504"/>
              <w:spacing w:before="69" w:line="218" w:lineRule="auto"/>
              <w:rPr>
                <w:sz w:val="19"/>
                <w:szCs w:val="19"/>
              </w:rPr>
            </w:pPr>
            <w:r>
              <w:rPr>
                <w:sz w:val="19"/>
                <w:szCs w:val="19"/>
                <w:spacing w:val="9"/>
              </w:rPr>
              <w:t>其他公共安全支出</w:t>
            </w:r>
          </w:p>
        </w:tc>
        <w:tc>
          <w:tcPr>
            <w:tcW w:w="1201" w:type="dxa"/>
            <w:vAlign w:val="top"/>
          </w:tcPr>
          <w:p>
            <w:pPr>
              <w:pStyle w:val="TableText"/>
              <w:ind w:left="793"/>
              <w:spacing w:before="66" w:line="221" w:lineRule="auto"/>
              <w:rPr>
                <w:sz w:val="19"/>
                <w:szCs w:val="19"/>
              </w:rPr>
            </w:pPr>
            <w:r>
              <w:rPr>
                <w:sz w:val="19"/>
                <w:szCs w:val="19"/>
                <w:spacing w:val="2"/>
              </w:rPr>
              <w:t>749</w:t>
            </w:r>
          </w:p>
        </w:tc>
        <w:tc>
          <w:tcPr>
            <w:tcW w:w="1052" w:type="dxa"/>
            <w:vAlign w:val="top"/>
          </w:tcPr>
          <w:p>
            <w:pPr>
              <w:pStyle w:val="TableText"/>
              <w:ind w:left="646"/>
              <w:spacing w:before="66" w:line="221" w:lineRule="auto"/>
              <w:rPr>
                <w:sz w:val="19"/>
                <w:szCs w:val="19"/>
              </w:rPr>
            </w:pPr>
            <w:r>
              <w:rPr>
                <w:sz w:val="19"/>
                <w:szCs w:val="19"/>
                <w:spacing w:val="2"/>
              </w:rPr>
              <w:t>749</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111"/>
              <w:spacing w:before="73" w:line="215" w:lineRule="auto"/>
              <w:rPr>
                <w:sz w:val="19"/>
                <w:szCs w:val="19"/>
              </w:rPr>
            </w:pPr>
            <w:r>
              <w:rPr>
                <w:sz w:val="19"/>
                <w:szCs w:val="19"/>
                <w:spacing w:val="8"/>
              </w:rPr>
              <w:t>五、教育支出</w:t>
            </w:r>
          </w:p>
        </w:tc>
        <w:tc>
          <w:tcPr>
            <w:tcW w:w="1201" w:type="dxa"/>
            <w:vAlign w:val="top"/>
          </w:tcPr>
          <w:p>
            <w:pPr>
              <w:pStyle w:val="TableText"/>
              <w:ind w:left="592"/>
              <w:spacing w:before="69" w:line="219" w:lineRule="auto"/>
              <w:rPr>
                <w:sz w:val="19"/>
                <w:szCs w:val="19"/>
              </w:rPr>
            </w:pPr>
            <w:r>
              <w:rPr>
                <w:sz w:val="19"/>
                <w:szCs w:val="19"/>
                <w:spacing w:val="3"/>
              </w:rPr>
              <w:t>41188</w:t>
            </w:r>
          </w:p>
        </w:tc>
        <w:tc>
          <w:tcPr>
            <w:tcW w:w="1052" w:type="dxa"/>
            <w:vAlign w:val="top"/>
          </w:tcPr>
          <w:p>
            <w:pPr>
              <w:pStyle w:val="TableText"/>
              <w:ind w:left="448"/>
              <w:spacing w:before="69" w:line="219" w:lineRule="auto"/>
              <w:rPr>
                <w:sz w:val="19"/>
                <w:szCs w:val="19"/>
              </w:rPr>
            </w:pPr>
            <w:r>
              <w:rPr>
                <w:sz w:val="19"/>
                <w:szCs w:val="19"/>
                <w:spacing w:val="2"/>
              </w:rPr>
              <w:t>27515</w:t>
            </w:r>
          </w:p>
        </w:tc>
        <w:tc>
          <w:tcPr>
            <w:tcW w:w="1543" w:type="dxa"/>
            <w:vAlign w:val="top"/>
          </w:tcPr>
          <w:p>
            <w:pPr>
              <w:pStyle w:val="TableText"/>
              <w:ind w:left="958"/>
              <w:spacing w:before="69" w:line="219" w:lineRule="auto"/>
              <w:rPr>
                <w:sz w:val="19"/>
                <w:szCs w:val="19"/>
              </w:rPr>
            </w:pPr>
            <w:r>
              <w:rPr>
                <w:sz w:val="19"/>
                <w:szCs w:val="19"/>
                <w:spacing w:val="-1"/>
              </w:rPr>
              <w:t>13672</w:t>
            </w:r>
          </w:p>
        </w:tc>
        <w:tc>
          <w:tcPr>
            <w:tcW w:w="1379" w:type="dxa"/>
            <w:vAlign w:val="top"/>
          </w:tcPr>
          <w:p>
            <w:pPr>
              <w:pStyle w:val="TableText"/>
              <w:ind w:left="1191"/>
              <w:spacing w:before="69" w:line="219" w:lineRule="auto"/>
              <w:rPr>
                <w:sz w:val="19"/>
                <w:szCs w:val="19"/>
              </w:rPr>
            </w:pPr>
            <w:r>
              <w:rPr>
                <w:sz w:val="19"/>
                <w:szCs w:val="19"/>
              </w:rPr>
              <w:t>1</w:t>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6"/>
              <w:spacing w:before="72" w:line="215" w:lineRule="auto"/>
              <w:rPr>
                <w:sz w:val="19"/>
                <w:szCs w:val="19"/>
              </w:rPr>
            </w:pPr>
            <w:r>
              <w:rPr>
                <w:sz w:val="19"/>
                <w:szCs w:val="19"/>
                <w:spacing w:val="9"/>
              </w:rPr>
              <w:t>教育管理事务</w:t>
            </w:r>
          </w:p>
        </w:tc>
        <w:tc>
          <w:tcPr>
            <w:tcW w:w="1201" w:type="dxa"/>
            <w:vAlign w:val="top"/>
          </w:tcPr>
          <w:p>
            <w:pPr>
              <w:pStyle w:val="TableText"/>
              <w:ind w:left="795"/>
              <w:spacing w:before="68" w:line="219" w:lineRule="auto"/>
              <w:rPr>
                <w:sz w:val="19"/>
                <w:szCs w:val="19"/>
              </w:rPr>
            </w:pPr>
            <w:r>
              <w:rPr>
                <w:sz w:val="19"/>
                <w:szCs w:val="19"/>
                <w:spacing w:val="1"/>
              </w:rPr>
              <w:t>601</w:t>
            </w:r>
          </w:p>
        </w:tc>
        <w:tc>
          <w:tcPr>
            <w:tcW w:w="1052" w:type="dxa"/>
            <w:vAlign w:val="top"/>
          </w:tcPr>
          <w:p>
            <w:pPr>
              <w:pStyle w:val="TableText"/>
              <w:ind w:left="648"/>
              <w:spacing w:before="68" w:line="219" w:lineRule="auto"/>
              <w:rPr>
                <w:sz w:val="19"/>
                <w:szCs w:val="19"/>
              </w:rPr>
            </w:pPr>
            <w:r>
              <w:rPr>
                <w:sz w:val="19"/>
                <w:szCs w:val="19"/>
                <w:spacing w:val="1"/>
              </w:rPr>
              <w:t>601</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4"/>
              <w:spacing w:before="73" w:line="215" w:lineRule="auto"/>
              <w:rPr>
                <w:sz w:val="19"/>
                <w:szCs w:val="19"/>
              </w:rPr>
            </w:pPr>
            <w:r>
              <w:rPr>
                <w:sz w:val="19"/>
                <w:szCs w:val="19"/>
                <w:spacing w:val="8"/>
              </w:rPr>
              <w:t>普通教育</w:t>
            </w:r>
          </w:p>
        </w:tc>
        <w:tc>
          <w:tcPr>
            <w:tcW w:w="1201" w:type="dxa"/>
            <w:vAlign w:val="top"/>
          </w:tcPr>
          <w:p>
            <w:pPr>
              <w:pStyle w:val="TableText"/>
              <w:ind w:left="595"/>
              <w:spacing w:before="68" w:line="220" w:lineRule="auto"/>
              <w:rPr>
                <w:sz w:val="19"/>
                <w:szCs w:val="19"/>
              </w:rPr>
            </w:pPr>
            <w:r>
              <w:rPr>
                <w:sz w:val="19"/>
                <w:szCs w:val="19"/>
                <w:spacing w:val="2"/>
              </w:rPr>
              <w:t>29907</w:t>
            </w:r>
          </w:p>
        </w:tc>
        <w:tc>
          <w:tcPr>
            <w:tcW w:w="1052" w:type="dxa"/>
            <w:vAlign w:val="top"/>
          </w:tcPr>
          <w:p>
            <w:pPr>
              <w:pStyle w:val="TableText"/>
              <w:ind w:left="464"/>
              <w:spacing w:before="68" w:line="220" w:lineRule="auto"/>
              <w:rPr>
                <w:sz w:val="19"/>
                <w:szCs w:val="19"/>
              </w:rPr>
            </w:pPr>
            <w:r>
              <w:rPr>
                <w:sz w:val="19"/>
                <w:szCs w:val="19"/>
                <w:spacing w:val="-1"/>
              </w:rPr>
              <w:t>18005</w:t>
            </w:r>
          </w:p>
        </w:tc>
        <w:tc>
          <w:tcPr>
            <w:tcW w:w="1543" w:type="dxa"/>
            <w:vAlign w:val="top"/>
          </w:tcPr>
          <w:p>
            <w:pPr>
              <w:pStyle w:val="TableText"/>
              <w:ind w:left="958"/>
              <w:spacing w:before="68" w:line="220" w:lineRule="auto"/>
              <w:rPr>
                <w:sz w:val="19"/>
                <w:szCs w:val="19"/>
              </w:rPr>
            </w:pPr>
            <w:r>
              <w:rPr>
                <w:sz w:val="19"/>
                <w:szCs w:val="19"/>
                <w:spacing w:val="-1"/>
              </w:rPr>
              <w:t>11901</w:t>
            </w:r>
          </w:p>
        </w:tc>
        <w:tc>
          <w:tcPr>
            <w:tcW w:w="1379" w:type="dxa"/>
            <w:vAlign w:val="top"/>
          </w:tcPr>
          <w:p>
            <w:pPr>
              <w:pStyle w:val="TableText"/>
              <w:ind w:left="1191"/>
              <w:spacing w:before="68" w:line="220" w:lineRule="auto"/>
              <w:rPr>
                <w:sz w:val="19"/>
                <w:szCs w:val="19"/>
              </w:rPr>
            </w:pPr>
            <w:r>
              <w:rPr>
                <w:sz w:val="19"/>
                <w:szCs w:val="19"/>
              </w:rPr>
              <w:t>1</w:t>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9"/>
              <w:spacing w:before="72" w:line="215" w:lineRule="auto"/>
              <w:rPr>
                <w:sz w:val="19"/>
                <w:szCs w:val="19"/>
              </w:rPr>
            </w:pPr>
            <w:r>
              <w:rPr>
                <w:sz w:val="19"/>
                <w:szCs w:val="19"/>
                <w:spacing w:val="7"/>
              </w:rPr>
              <w:t>职业教育</w:t>
            </w:r>
          </w:p>
        </w:tc>
        <w:tc>
          <w:tcPr>
            <w:tcW w:w="1201" w:type="dxa"/>
            <w:vAlign w:val="top"/>
          </w:tcPr>
          <w:p>
            <w:pPr>
              <w:pStyle w:val="TableText"/>
              <w:ind w:left="697"/>
              <w:spacing w:before="68" w:line="219" w:lineRule="auto"/>
              <w:rPr>
                <w:sz w:val="19"/>
                <w:szCs w:val="19"/>
              </w:rPr>
            </w:pPr>
            <w:r>
              <w:rPr>
                <w:sz w:val="19"/>
                <w:szCs w:val="19"/>
                <w:spacing w:val="1"/>
              </w:rPr>
              <w:t>6448</w:t>
            </w:r>
          </w:p>
        </w:tc>
        <w:tc>
          <w:tcPr>
            <w:tcW w:w="1052" w:type="dxa"/>
            <w:vAlign w:val="top"/>
          </w:tcPr>
          <w:p>
            <w:pPr>
              <w:pStyle w:val="TableText"/>
              <w:ind w:left="543"/>
              <w:spacing w:before="68" w:line="219" w:lineRule="auto"/>
              <w:rPr>
                <w:sz w:val="19"/>
                <w:szCs w:val="19"/>
              </w:rPr>
            </w:pPr>
            <w:r>
              <w:rPr>
                <w:sz w:val="19"/>
                <w:szCs w:val="19"/>
                <w:spacing w:val="3"/>
              </w:rPr>
              <w:t>4782</w:t>
            </w:r>
          </w:p>
        </w:tc>
        <w:tc>
          <w:tcPr>
            <w:tcW w:w="1543" w:type="dxa"/>
            <w:vAlign w:val="top"/>
          </w:tcPr>
          <w:p>
            <w:pPr>
              <w:pStyle w:val="TableText"/>
              <w:ind w:left="1056"/>
              <w:spacing w:before="68" w:line="219" w:lineRule="auto"/>
              <w:rPr>
                <w:sz w:val="19"/>
                <w:szCs w:val="19"/>
              </w:rPr>
            </w:pPr>
            <w:r>
              <w:rPr>
                <w:sz w:val="19"/>
                <w:szCs w:val="19"/>
                <w:spacing w:val="-2"/>
              </w:rPr>
              <w:t>1666</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5"/>
              <w:spacing w:before="75" w:line="213" w:lineRule="auto"/>
              <w:rPr>
                <w:sz w:val="19"/>
                <w:szCs w:val="19"/>
              </w:rPr>
            </w:pPr>
            <w:r>
              <w:rPr>
                <w:sz w:val="19"/>
                <w:szCs w:val="19"/>
                <w:spacing w:val="8"/>
              </w:rPr>
              <w:t>成人教育</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6"/>
              <w:spacing w:before="74" w:line="213" w:lineRule="auto"/>
              <w:rPr>
                <w:sz w:val="19"/>
                <w:szCs w:val="19"/>
              </w:rPr>
            </w:pPr>
            <w:r>
              <w:rPr>
                <w:sz w:val="19"/>
                <w:szCs w:val="19"/>
                <w:spacing w:val="9"/>
              </w:rPr>
              <w:t>广播电视教育</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23"/>
              <w:spacing w:before="75" w:line="213" w:lineRule="auto"/>
              <w:rPr>
                <w:sz w:val="19"/>
                <w:szCs w:val="19"/>
              </w:rPr>
            </w:pPr>
            <w:r>
              <w:rPr>
                <w:sz w:val="19"/>
                <w:szCs w:val="19"/>
                <w:spacing w:val="4"/>
              </w:rPr>
              <w:t>留学教育</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7"/>
              <w:spacing w:before="74" w:line="213" w:lineRule="auto"/>
              <w:rPr>
                <w:sz w:val="19"/>
                <w:szCs w:val="19"/>
              </w:rPr>
            </w:pPr>
            <w:r>
              <w:rPr>
                <w:sz w:val="19"/>
                <w:szCs w:val="19"/>
                <w:spacing w:val="8"/>
              </w:rPr>
              <w:t>特殊教育</w:t>
            </w:r>
          </w:p>
        </w:tc>
        <w:tc>
          <w:tcPr>
            <w:tcW w:w="1201" w:type="dxa"/>
            <w:vAlign w:val="top"/>
          </w:tcPr>
          <w:p>
            <w:pPr>
              <w:pStyle w:val="TableText"/>
              <w:ind w:left="712"/>
              <w:spacing w:before="70" w:line="217" w:lineRule="auto"/>
              <w:rPr>
                <w:sz w:val="19"/>
                <w:szCs w:val="19"/>
              </w:rPr>
            </w:pPr>
            <w:r>
              <w:rPr>
                <w:sz w:val="19"/>
                <w:szCs w:val="19"/>
                <w:spacing w:val="-2"/>
              </w:rPr>
              <w:t>1585</w:t>
            </w:r>
          </w:p>
        </w:tc>
        <w:tc>
          <w:tcPr>
            <w:tcW w:w="1052" w:type="dxa"/>
            <w:vAlign w:val="top"/>
          </w:tcPr>
          <w:p>
            <w:pPr>
              <w:pStyle w:val="TableText"/>
              <w:ind w:left="562"/>
              <w:spacing w:before="70" w:line="217" w:lineRule="auto"/>
              <w:rPr>
                <w:sz w:val="19"/>
                <w:szCs w:val="19"/>
              </w:rPr>
            </w:pPr>
            <w:r>
              <w:rPr>
                <w:sz w:val="19"/>
                <w:szCs w:val="19"/>
                <w:spacing w:val="-2"/>
              </w:rPr>
              <w:t>1480</w:t>
            </w:r>
          </w:p>
        </w:tc>
        <w:tc>
          <w:tcPr>
            <w:tcW w:w="1543" w:type="dxa"/>
            <w:vAlign w:val="top"/>
          </w:tcPr>
          <w:p>
            <w:pPr>
              <w:pStyle w:val="TableText"/>
              <w:ind w:left="1154"/>
              <w:spacing w:before="70" w:line="217" w:lineRule="auto"/>
              <w:rPr>
                <w:sz w:val="19"/>
                <w:szCs w:val="19"/>
              </w:rPr>
            </w:pPr>
            <w:r>
              <w:rPr>
                <w:sz w:val="19"/>
                <w:szCs w:val="19"/>
                <w:spacing w:val="-4"/>
              </w:rPr>
              <w:t>105</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5"/>
              <w:spacing w:before="76" w:line="211" w:lineRule="auto"/>
              <w:rPr>
                <w:sz w:val="19"/>
                <w:szCs w:val="19"/>
              </w:rPr>
            </w:pPr>
            <w:r>
              <w:rPr>
                <w:sz w:val="19"/>
                <w:szCs w:val="19"/>
                <w:spacing w:val="8"/>
              </w:rPr>
              <w:t>进修及培训</w:t>
            </w:r>
          </w:p>
        </w:tc>
        <w:tc>
          <w:tcPr>
            <w:tcW w:w="1201" w:type="dxa"/>
            <w:vAlign w:val="top"/>
          </w:tcPr>
          <w:p>
            <w:pPr>
              <w:pStyle w:val="TableText"/>
              <w:ind w:left="797"/>
              <w:spacing w:before="73" w:line="214" w:lineRule="auto"/>
              <w:rPr>
                <w:sz w:val="19"/>
                <w:szCs w:val="19"/>
              </w:rPr>
            </w:pPr>
            <w:r>
              <w:rPr>
                <w:sz w:val="19"/>
                <w:szCs w:val="19"/>
              </w:rPr>
              <w:t>888</w:t>
            </w:r>
          </w:p>
        </w:tc>
        <w:tc>
          <w:tcPr>
            <w:tcW w:w="1052" w:type="dxa"/>
            <w:vAlign w:val="top"/>
          </w:tcPr>
          <w:p>
            <w:pPr>
              <w:pStyle w:val="TableText"/>
              <w:ind w:left="649"/>
              <w:spacing w:before="73" w:line="214" w:lineRule="auto"/>
              <w:rPr>
                <w:sz w:val="19"/>
                <w:szCs w:val="19"/>
              </w:rPr>
            </w:pPr>
            <w:r>
              <w:rPr>
                <w:sz w:val="19"/>
                <w:szCs w:val="19"/>
              </w:rPr>
              <w:t>888</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6"/>
              <w:spacing w:before="77" w:line="210" w:lineRule="auto"/>
              <w:rPr>
                <w:sz w:val="19"/>
                <w:szCs w:val="19"/>
              </w:rPr>
            </w:pPr>
            <w:r>
              <w:rPr>
                <w:sz w:val="19"/>
                <w:szCs w:val="19"/>
                <w:spacing w:val="9"/>
              </w:rPr>
              <w:t>教育费附加安排的支出</w:t>
            </w:r>
          </w:p>
        </w:tc>
        <w:tc>
          <w:tcPr>
            <w:tcW w:w="1201" w:type="dxa"/>
            <w:vAlign w:val="top"/>
          </w:tcPr>
          <w:p>
            <w:pPr>
              <w:pStyle w:val="TableText"/>
              <w:ind w:left="712"/>
              <w:spacing w:before="73" w:line="214" w:lineRule="auto"/>
              <w:rPr>
                <w:sz w:val="19"/>
                <w:szCs w:val="19"/>
              </w:rPr>
            </w:pPr>
            <w:r>
              <w:rPr>
                <w:sz w:val="19"/>
                <w:szCs w:val="19"/>
                <w:spacing w:val="-2"/>
              </w:rPr>
              <w:t>1461</w:t>
            </w:r>
          </w:p>
        </w:tc>
        <w:tc>
          <w:tcPr>
            <w:tcW w:w="1052" w:type="dxa"/>
            <w:vAlign w:val="top"/>
          </w:tcPr>
          <w:p>
            <w:pPr>
              <w:pStyle w:val="TableText"/>
              <w:ind w:left="562"/>
              <w:spacing w:before="73" w:line="214" w:lineRule="auto"/>
              <w:rPr>
                <w:sz w:val="19"/>
                <w:szCs w:val="19"/>
              </w:rPr>
            </w:pPr>
            <w:r>
              <w:rPr>
                <w:sz w:val="19"/>
                <w:szCs w:val="19"/>
                <w:spacing w:val="-2"/>
              </w:rPr>
              <w:t>1461</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4"/>
              <w:spacing w:before="77" w:line="210" w:lineRule="auto"/>
              <w:rPr>
                <w:sz w:val="19"/>
                <w:szCs w:val="19"/>
              </w:rPr>
            </w:pPr>
            <w:r>
              <w:rPr>
                <w:sz w:val="19"/>
                <w:szCs w:val="19"/>
                <w:spacing w:val="9"/>
              </w:rPr>
              <w:t>其他教育支出</w:t>
            </w:r>
          </w:p>
        </w:tc>
        <w:tc>
          <w:tcPr>
            <w:tcW w:w="1201" w:type="dxa"/>
            <w:vAlign w:val="top"/>
          </w:tcPr>
          <w:p>
            <w:pPr>
              <w:pStyle w:val="TableText"/>
              <w:ind w:left="794"/>
              <w:spacing w:before="73" w:line="214" w:lineRule="auto"/>
              <w:rPr>
                <w:sz w:val="19"/>
                <w:szCs w:val="19"/>
              </w:rPr>
            </w:pPr>
            <w:r>
              <w:rPr>
                <w:sz w:val="19"/>
                <w:szCs w:val="19"/>
                <w:spacing w:val="1"/>
              </w:rPr>
              <w:t>298</w:t>
            </w:r>
          </w:p>
        </w:tc>
        <w:tc>
          <w:tcPr>
            <w:tcW w:w="1052" w:type="dxa"/>
            <w:vAlign w:val="top"/>
          </w:tcPr>
          <w:p>
            <w:pPr>
              <w:pStyle w:val="TableText"/>
              <w:ind w:left="647"/>
              <w:spacing w:before="73" w:line="214" w:lineRule="auto"/>
              <w:rPr>
                <w:sz w:val="19"/>
                <w:szCs w:val="19"/>
              </w:rPr>
            </w:pPr>
            <w:r>
              <w:rPr>
                <w:sz w:val="19"/>
                <w:szCs w:val="19"/>
                <w:spacing w:val="1"/>
              </w:rPr>
              <w:t>298</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107"/>
              <w:spacing w:before="78" w:line="209" w:lineRule="auto"/>
              <w:rPr>
                <w:sz w:val="19"/>
                <w:szCs w:val="19"/>
              </w:rPr>
            </w:pPr>
            <w:r>
              <w:rPr>
                <w:sz w:val="19"/>
                <w:szCs w:val="19"/>
                <w:spacing w:val="9"/>
              </w:rPr>
              <w:t>六、科学技术支出</w:t>
            </w:r>
          </w:p>
        </w:tc>
        <w:tc>
          <w:tcPr>
            <w:tcW w:w="1201" w:type="dxa"/>
            <w:vAlign w:val="top"/>
          </w:tcPr>
          <w:p>
            <w:pPr>
              <w:pStyle w:val="TableText"/>
              <w:ind w:left="696"/>
              <w:spacing w:before="74" w:line="213" w:lineRule="auto"/>
              <w:rPr>
                <w:sz w:val="19"/>
                <w:szCs w:val="19"/>
              </w:rPr>
            </w:pPr>
            <w:r>
              <w:rPr>
                <w:sz w:val="19"/>
                <w:szCs w:val="19"/>
                <w:spacing w:val="2"/>
              </w:rPr>
              <w:t>2547</w:t>
            </w:r>
          </w:p>
        </w:tc>
        <w:tc>
          <w:tcPr>
            <w:tcW w:w="1052" w:type="dxa"/>
            <w:vAlign w:val="top"/>
          </w:tcPr>
          <w:p>
            <w:pPr>
              <w:pStyle w:val="TableText"/>
              <w:ind w:left="562"/>
              <w:spacing w:before="74" w:line="213" w:lineRule="auto"/>
              <w:rPr>
                <w:sz w:val="19"/>
                <w:szCs w:val="19"/>
              </w:rPr>
            </w:pPr>
            <w:r>
              <w:rPr>
                <w:sz w:val="19"/>
                <w:szCs w:val="19"/>
                <w:spacing w:val="-2"/>
              </w:rPr>
              <w:t>1987</w:t>
            </w:r>
          </w:p>
        </w:tc>
        <w:tc>
          <w:tcPr>
            <w:tcW w:w="1543" w:type="dxa"/>
            <w:vAlign w:val="top"/>
          </w:tcPr>
          <w:p>
            <w:pPr>
              <w:pStyle w:val="TableText"/>
              <w:ind w:left="1139"/>
              <w:spacing w:before="74" w:line="213" w:lineRule="auto"/>
              <w:rPr>
                <w:sz w:val="19"/>
                <w:szCs w:val="19"/>
              </w:rPr>
            </w:pPr>
            <w:r>
              <w:rPr>
                <w:sz w:val="19"/>
                <w:szCs w:val="19"/>
                <w:spacing w:val="1"/>
              </w:rPr>
              <w:t>560</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3"/>
              <w:spacing w:before="81" w:line="206" w:lineRule="auto"/>
              <w:rPr>
                <w:sz w:val="19"/>
                <w:szCs w:val="19"/>
              </w:rPr>
            </w:pPr>
            <w:r>
              <w:rPr>
                <w:sz w:val="19"/>
                <w:szCs w:val="19"/>
                <w:spacing w:val="9"/>
              </w:rPr>
              <w:t>科学技术管理事务</w:t>
            </w:r>
          </w:p>
        </w:tc>
        <w:tc>
          <w:tcPr>
            <w:tcW w:w="1201" w:type="dxa"/>
            <w:vAlign w:val="top"/>
          </w:tcPr>
          <w:p>
            <w:pPr>
              <w:pStyle w:val="TableText"/>
              <w:ind w:left="794"/>
              <w:spacing w:before="76" w:line="211" w:lineRule="auto"/>
              <w:rPr>
                <w:sz w:val="19"/>
                <w:szCs w:val="19"/>
              </w:rPr>
            </w:pPr>
            <w:r>
              <w:rPr>
                <w:sz w:val="19"/>
                <w:szCs w:val="19"/>
                <w:spacing w:val="1"/>
              </w:rPr>
              <w:t>250</w:t>
            </w:r>
          </w:p>
        </w:tc>
        <w:tc>
          <w:tcPr>
            <w:tcW w:w="1052" w:type="dxa"/>
            <w:vAlign w:val="top"/>
          </w:tcPr>
          <w:p>
            <w:pPr>
              <w:pStyle w:val="TableText"/>
              <w:ind w:left="647"/>
              <w:spacing w:before="76" w:line="211" w:lineRule="auto"/>
              <w:rPr>
                <w:sz w:val="19"/>
                <w:szCs w:val="19"/>
              </w:rPr>
            </w:pPr>
            <w:r>
              <w:rPr>
                <w:sz w:val="19"/>
                <w:szCs w:val="19"/>
                <w:spacing w:val="1"/>
              </w:rPr>
              <w:t>250</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4"/>
              <w:spacing w:before="83" w:line="205" w:lineRule="auto"/>
              <w:rPr>
                <w:sz w:val="19"/>
                <w:szCs w:val="19"/>
              </w:rPr>
            </w:pPr>
            <w:r>
              <w:rPr>
                <w:sz w:val="19"/>
                <w:szCs w:val="19"/>
                <w:spacing w:val="8"/>
              </w:rPr>
              <w:t>基础研究</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4"/>
              <w:spacing w:before="83" w:line="205" w:lineRule="auto"/>
              <w:rPr>
                <w:sz w:val="19"/>
                <w:szCs w:val="19"/>
              </w:rPr>
            </w:pPr>
            <w:r>
              <w:rPr>
                <w:sz w:val="19"/>
                <w:szCs w:val="19"/>
                <w:spacing w:val="8"/>
              </w:rPr>
              <w:t>应用研究</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5"/>
              <w:spacing w:before="84" w:line="204" w:lineRule="auto"/>
              <w:rPr>
                <w:sz w:val="19"/>
                <w:szCs w:val="19"/>
              </w:rPr>
            </w:pPr>
            <w:r>
              <w:rPr>
                <w:sz w:val="19"/>
                <w:szCs w:val="19"/>
                <w:spacing w:val="9"/>
              </w:rPr>
              <w:t>技术研究与开发</w:t>
            </w:r>
          </w:p>
        </w:tc>
        <w:tc>
          <w:tcPr>
            <w:tcW w:w="1201" w:type="dxa"/>
            <w:vAlign w:val="top"/>
          </w:tcPr>
          <w:p>
            <w:pPr>
              <w:pStyle w:val="TableText"/>
              <w:ind w:left="712"/>
              <w:spacing w:before="78" w:line="209" w:lineRule="auto"/>
              <w:rPr>
                <w:sz w:val="19"/>
                <w:szCs w:val="19"/>
              </w:rPr>
            </w:pPr>
            <w:r>
              <w:rPr>
                <w:sz w:val="19"/>
                <w:szCs w:val="19"/>
                <w:spacing w:val="-2"/>
              </w:rPr>
              <w:t>1940</w:t>
            </w:r>
          </w:p>
        </w:tc>
        <w:tc>
          <w:tcPr>
            <w:tcW w:w="1052" w:type="dxa"/>
            <w:vAlign w:val="top"/>
          </w:tcPr>
          <w:p>
            <w:pPr>
              <w:pStyle w:val="TableText"/>
              <w:ind w:left="562"/>
              <w:spacing w:before="78" w:line="209" w:lineRule="auto"/>
              <w:rPr>
                <w:sz w:val="19"/>
                <w:szCs w:val="19"/>
              </w:rPr>
            </w:pPr>
            <w:r>
              <w:rPr>
                <w:sz w:val="19"/>
                <w:szCs w:val="19"/>
                <w:spacing w:val="-2"/>
              </w:rPr>
              <w:t>1591</w:t>
            </w:r>
          </w:p>
        </w:tc>
        <w:tc>
          <w:tcPr>
            <w:tcW w:w="1543" w:type="dxa"/>
            <w:vAlign w:val="top"/>
          </w:tcPr>
          <w:p>
            <w:pPr>
              <w:pStyle w:val="TableText"/>
              <w:ind w:left="1141"/>
              <w:spacing w:before="78" w:line="209" w:lineRule="auto"/>
              <w:rPr>
                <w:sz w:val="19"/>
                <w:szCs w:val="19"/>
              </w:rPr>
            </w:pPr>
            <w:r>
              <w:rPr>
                <w:sz w:val="19"/>
                <w:szCs w:val="19"/>
              </w:rPr>
              <w:t>349</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3"/>
              <w:spacing w:before="84" w:line="205" w:lineRule="auto"/>
              <w:rPr>
                <w:sz w:val="19"/>
                <w:szCs w:val="19"/>
              </w:rPr>
            </w:pPr>
            <w:r>
              <w:rPr>
                <w:sz w:val="19"/>
                <w:szCs w:val="19"/>
                <w:spacing w:val="9"/>
              </w:rPr>
              <w:t>科技条件与服务</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4"/>
              <w:spacing w:before="85" w:line="204" w:lineRule="auto"/>
              <w:rPr>
                <w:sz w:val="19"/>
                <w:szCs w:val="19"/>
              </w:rPr>
            </w:pPr>
            <w:r>
              <w:rPr>
                <w:sz w:val="19"/>
                <w:szCs w:val="19"/>
                <w:spacing w:val="8"/>
              </w:rPr>
              <w:t>社会科学</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3"/>
              <w:spacing w:before="85" w:line="204" w:lineRule="auto"/>
              <w:rPr>
                <w:sz w:val="19"/>
                <w:szCs w:val="19"/>
              </w:rPr>
            </w:pPr>
            <w:r>
              <w:rPr>
                <w:sz w:val="19"/>
                <w:szCs w:val="19"/>
                <w:spacing w:val="9"/>
              </w:rPr>
              <w:t>科学技术普及</w:t>
            </w:r>
          </w:p>
        </w:tc>
        <w:tc>
          <w:tcPr>
            <w:tcW w:w="1201" w:type="dxa"/>
            <w:vAlign w:val="top"/>
          </w:tcPr>
          <w:p>
            <w:pPr>
              <w:pStyle w:val="TableText"/>
              <w:ind w:left="798"/>
              <w:spacing w:before="79" w:line="209" w:lineRule="auto"/>
              <w:rPr>
                <w:sz w:val="19"/>
                <w:szCs w:val="19"/>
              </w:rPr>
            </w:pPr>
            <w:r>
              <w:rPr>
                <w:sz w:val="19"/>
                <w:szCs w:val="19"/>
              </w:rPr>
              <w:t>307</w:t>
            </w:r>
          </w:p>
        </w:tc>
        <w:tc>
          <w:tcPr>
            <w:tcW w:w="1052" w:type="dxa"/>
            <w:vAlign w:val="top"/>
          </w:tcPr>
          <w:p>
            <w:pPr>
              <w:pStyle w:val="TableText"/>
              <w:ind w:left="663"/>
              <w:spacing w:before="79" w:line="209" w:lineRule="auto"/>
              <w:rPr>
                <w:sz w:val="19"/>
                <w:szCs w:val="19"/>
              </w:rPr>
            </w:pPr>
            <w:r>
              <w:rPr>
                <w:sz w:val="19"/>
                <w:szCs w:val="19"/>
                <w:spacing w:val="-4"/>
              </w:rPr>
              <w:t>146</w:t>
            </w:r>
          </w:p>
        </w:tc>
        <w:tc>
          <w:tcPr>
            <w:tcW w:w="1543" w:type="dxa"/>
            <w:vAlign w:val="top"/>
          </w:tcPr>
          <w:p>
            <w:pPr>
              <w:pStyle w:val="TableText"/>
              <w:ind w:left="1154"/>
              <w:spacing w:before="79" w:line="209" w:lineRule="auto"/>
              <w:rPr>
                <w:sz w:val="19"/>
                <w:szCs w:val="19"/>
              </w:rPr>
            </w:pPr>
            <w:r>
              <w:rPr>
                <w:sz w:val="19"/>
                <w:szCs w:val="19"/>
                <w:spacing w:val="-4"/>
              </w:rPr>
              <w:t>161</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3"/>
              <w:spacing w:before="82" w:line="206" w:lineRule="auto"/>
              <w:rPr>
                <w:sz w:val="19"/>
                <w:szCs w:val="19"/>
              </w:rPr>
            </w:pPr>
            <w:r>
              <w:rPr>
                <w:sz w:val="19"/>
                <w:szCs w:val="19"/>
                <w:spacing w:val="9"/>
              </w:rPr>
              <w:t>科技交流与合作</w:t>
            </w:r>
          </w:p>
        </w:tc>
        <w:tc>
          <w:tcPr>
            <w:tcW w:w="1201" w:type="dxa"/>
            <w:vAlign w:val="top"/>
          </w:tcPr>
          <w:p>
            <w:pPr>
              <w:pStyle w:val="TableText"/>
              <w:ind w:left="894"/>
              <w:spacing w:before="79" w:line="209" w:lineRule="auto"/>
              <w:rPr>
                <w:sz w:val="19"/>
                <w:szCs w:val="19"/>
              </w:rPr>
            </w:pPr>
            <w:r>
              <w:rPr>
                <w:sz w:val="19"/>
                <w:szCs w:val="19"/>
              </w:rPr>
              <w:t>50</w:t>
            </w:r>
          </w:p>
        </w:tc>
        <w:tc>
          <w:tcPr>
            <w:tcW w:w="1052" w:type="dxa"/>
            <w:vAlign w:val="top"/>
          </w:tcPr>
          <w:p>
            <w:pPr>
              <w:rPr>
                <w:rFonts w:ascii="Arial"/>
                <w:sz w:val="21"/>
              </w:rPr>
            </w:pPr>
            <w:r/>
          </w:p>
        </w:tc>
        <w:tc>
          <w:tcPr>
            <w:tcW w:w="1543" w:type="dxa"/>
            <w:vAlign w:val="top"/>
          </w:tcPr>
          <w:p>
            <w:pPr>
              <w:pStyle w:val="TableText"/>
              <w:ind w:left="1240"/>
              <w:spacing w:before="79" w:line="209" w:lineRule="auto"/>
              <w:rPr>
                <w:sz w:val="19"/>
                <w:szCs w:val="19"/>
              </w:rPr>
            </w:pPr>
            <w:r>
              <w:rPr>
                <w:sz w:val="19"/>
                <w:szCs w:val="19"/>
              </w:rPr>
              <w:t>50</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3"/>
              <w:spacing w:before="86" w:line="203" w:lineRule="auto"/>
              <w:rPr>
                <w:sz w:val="19"/>
                <w:szCs w:val="19"/>
              </w:rPr>
            </w:pPr>
            <w:r>
              <w:rPr>
                <w:sz w:val="19"/>
                <w:szCs w:val="19"/>
                <w:spacing w:val="9"/>
              </w:rPr>
              <w:t>科技重大项目</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14" w:hRule="atLeast"/>
        </w:trPr>
        <w:tc>
          <w:tcPr>
            <w:tcW w:w="4301" w:type="dxa"/>
            <w:vAlign w:val="top"/>
            <w:tcBorders>
              <w:left w:val="single" w:color="000000" w:sz="6" w:space="0"/>
              <w:bottom w:val="single" w:color="000000" w:sz="6" w:space="0"/>
            </w:tcBorders>
          </w:tcPr>
          <w:p>
            <w:pPr>
              <w:pStyle w:val="TableText"/>
              <w:ind w:left="504"/>
              <w:spacing w:before="83" w:line="214" w:lineRule="auto"/>
              <w:rPr>
                <w:sz w:val="19"/>
                <w:szCs w:val="19"/>
              </w:rPr>
            </w:pPr>
            <w:r>
              <w:rPr>
                <w:sz w:val="19"/>
                <w:szCs w:val="19"/>
                <w:spacing w:val="9"/>
              </w:rPr>
              <w:t>其他科学技术支出</w:t>
            </w:r>
          </w:p>
        </w:tc>
        <w:tc>
          <w:tcPr>
            <w:tcW w:w="1201" w:type="dxa"/>
            <w:vAlign w:val="top"/>
            <w:tcBorders>
              <w:bottom w:val="single" w:color="000000" w:sz="6" w:space="0"/>
            </w:tcBorders>
          </w:tcPr>
          <w:p>
            <w:pPr>
              <w:rPr>
                <w:rFonts w:ascii="Arial"/>
                <w:sz w:val="21"/>
              </w:rPr>
            </w:pPr>
            <w:r/>
          </w:p>
        </w:tc>
        <w:tc>
          <w:tcPr>
            <w:tcW w:w="1052" w:type="dxa"/>
            <w:vAlign w:val="top"/>
            <w:tcBorders>
              <w:bottom w:val="single" w:color="000000" w:sz="6" w:space="0"/>
            </w:tcBorders>
          </w:tcPr>
          <w:p>
            <w:pPr>
              <w:rPr>
                <w:rFonts w:ascii="Arial"/>
                <w:sz w:val="21"/>
              </w:rPr>
            </w:pPr>
            <w:r/>
          </w:p>
        </w:tc>
        <w:tc>
          <w:tcPr>
            <w:tcW w:w="1543" w:type="dxa"/>
            <w:vAlign w:val="top"/>
            <w:tcBorders>
              <w:bottom w:val="single" w:color="000000" w:sz="6" w:space="0"/>
            </w:tcBorders>
          </w:tcPr>
          <w:p>
            <w:pPr>
              <w:rPr>
                <w:rFonts w:ascii="Arial"/>
                <w:sz w:val="21"/>
              </w:rPr>
            </w:pPr>
            <w:r/>
          </w:p>
        </w:tc>
        <w:tc>
          <w:tcPr>
            <w:tcW w:w="1379" w:type="dxa"/>
            <w:vAlign w:val="top"/>
            <w:tcBorders>
              <w:bottom w:val="single" w:color="000000" w:sz="6" w:space="0"/>
            </w:tcBorders>
          </w:tcPr>
          <w:p>
            <w:pPr>
              <w:rPr>
                <w:rFonts w:ascii="Arial"/>
                <w:sz w:val="21"/>
              </w:rPr>
            </w:pPr>
            <w:r/>
          </w:p>
        </w:tc>
        <w:tc>
          <w:tcPr>
            <w:tcW w:w="1134" w:type="dxa"/>
            <w:vAlign w:val="top"/>
            <w:tcBorders>
              <w:bottom w:val="single" w:color="000000" w:sz="6" w:space="0"/>
            </w:tcBorders>
          </w:tcPr>
          <w:p>
            <w:pPr>
              <w:rPr>
                <w:rFonts w:ascii="Arial"/>
                <w:sz w:val="21"/>
              </w:rPr>
            </w:pPr>
            <w:r/>
          </w:p>
        </w:tc>
        <w:tc>
          <w:tcPr>
            <w:tcW w:w="1460" w:type="dxa"/>
            <w:vAlign w:val="top"/>
            <w:tcBorders>
              <w:bottom w:val="single" w:color="000000" w:sz="6" w:space="0"/>
            </w:tcBorders>
          </w:tcPr>
          <w:p>
            <w:pPr>
              <w:rPr>
                <w:rFonts w:ascii="Arial"/>
                <w:sz w:val="21"/>
              </w:rPr>
            </w:pPr>
            <w:r/>
          </w:p>
        </w:tc>
        <w:tc>
          <w:tcPr>
            <w:tcW w:w="1826"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61"/>
          <w:footerReference w:type="default" r:id="rId70"/>
          <w:pgSz w:w="16839" w:h="11906"/>
          <w:pgMar w:top="1792" w:right="1463" w:bottom="1671" w:left="1463" w:header="1428" w:footer="1277" w:gutter="0"/>
        </w:sectPr>
        <w:rPr>
          <w:rFonts w:ascii="Arial" w:hAnsi="Arial" w:eastAsia="Arial" w:cs="Arial"/>
          <w:sz w:val="21"/>
          <w:szCs w:val="21"/>
        </w:rPr>
      </w:pPr>
    </w:p>
    <w:p>
      <w:pPr>
        <w:spacing w:line="165" w:lineRule="exact"/>
        <w:rPr/>
      </w:pPr>
      <w:r>
        <w:drawing>
          <wp:anchor distT="0" distB="0" distL="0" distR="0" simplePos="0" relativeHeight="251670528" behindDoc="0" locked="0" layoutInCell="0" allowOverlap="1">
            <wp:simplePos x="0" y="0"/>
            <wp:positionH relativeFrom="page">
              <wp:posOffset>979805</wp:posOffset>
            </wp:positionH>
            <wp:positionV relativeFrom="page">
              <wp:posOffset>1155700</wp:posOffset>
            </wp:positionV>
            <wp:extent cx="8712200" cy="7620"/>
            <wp:effectExtent l="0" t="0" r="0" b="0"/>
            <wp:wrapNone/>
            <wp:docPr id="142" name="IM 142"/>
            <wp:cNvGraphicFramePr/>
            <a:graphic>
              <a:graphicData uri="http://schemas.openxmlformats.org/drawingml/2006/picture">
                <pic:pic>
                  <pic:nvPicPr>
                    <pic:cNvPr id="142" name="IM 142"/>
                    <pic:cNvPicPr/>
                  </pic:nvPicPr>
                  <pic:blipFill>
                    <a:blip r:embed="rId73"/>
                    <a:stretch>
                      <a:fillRect/>
                    </a:stretch>
                  </pic:blipFill>
                  <pic:spPr>
                    <a:xfrm rot="0">
                      <a:off x="0" y="0"/>
                      <a:ext cx="8712200" cy="7620"/>
                    </a:xfrm>
                    <a:prstGeom prst="rect">
                      <a:avLst/>
                    </a:prstGeom>
                  </pic:spPr>
                </pic:pic>
              </a:graphicData>
            </a:graphic>
          </wp:anchor>
        </w:drawing>
      </w: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301"/>
        <w:gridCol w:w="1201"/>
        <w:gridCol w:w="1052"/>
        <w:gridCol w:w="1543"/>
        <w:gridCol w:w="1379"/>
        <w:gridCol w:w="1134"/>
        <w:gridCol w:w="1460"/>
        <w:gridCol w:w="1826"/>
      </w:tblGrid>
      <w:tr>
        <w:trPr>
          <w:trHeight w:val="611" w:hRule="atLeast"/>
        </w:trPr>
        <w:tc>
          <w:tcPr>
            <w:tcW w:w="4301" w:type="dxa"/>
            <w:vAlign w:val="top"/>
            <w:tcBorders>
              <w:left w:val="single" w:color="000000" w:sz="6" w:space="0"/>
              <w:top w:val="single" w:color="000000" w:sz="6" w:space="0"/>
            </w:tcBorders>
          </w:tcPr>
          <w:p>
            <w:pPr>
              <w:pStyle w:val="TableText"/>
              <w:ind w:left="1945"/>
              <w:spacing w:before="232" w:line="212" w:lineRule="auto"/>
              <w:rPr>
                <w:sz w:val="19"/>
                <w:szCs w:val="19"/>
              </w:rPr>
            </w:pPr>
            <w:r>
              <w:rPr>
                <w:sz w:val="19"/>
                <w:szCs w:val="19"/>
                <w:b/>
                <w:bCs/>
                <w:spacing w:val="6"/>
              </w:rPr>
              <w:t>项目</w:t>
            </w:r>
          </w:p>
        </w:tc>
        <w:tc>
          <w:tcPr>
            <w:tcW w:w="1201" w:type="dxa"/>
            <w:vAlign w:val="top"/>
            <w:tcBorders>
              <w:top w:val="single" w:color="000000" w:sz="6" w:space="0"/>
            </w:tcBorders>
          </w:tcPr>
          <w:p>
            <w:pPr>
              <w:pStyle w:val="TableText"/>
              <w:ind w:left="396"/>
              <w:spacing w:before="227" w:line="223" w:lineRule="auto"/>
              <w:rPr>
                <w:sz w:val="19"/>
                <w:szCs w:val="19"/>
              </w:rPr>
            </w:pPr>
            <w:r>
              <w:rPr>
                <w:sz w:val="19"/>
                <w:szCs w:val="19"/>
                <w:b/>
                <w:bCs/>
                <w:spacing w:val="6"/>
              </w:rPr>
              <w:t>合计</w:t>
            </w:r>
          </w:p>
        </w:tc>
        <w:tc>
          <w:tcPr>
            <w:tcW w:w="1052" w:type="dxa"/>
            <w:vAlign w:val="top"/>
            <w:tcBorders>
              <w:top w:val="single" w:color="000000" w:sz="6" w:space="0"/>
            </w:tcBorders>
          </w:tcPr>
          <w:p>
            <w:pPr>
              <w:pStyle w:val="TableText"/>
              <w:ind w:left="124"/>
              <w:spacing w:before="230" w:line="216" w:lineRule="auto"/>
              <w:rPr>
                <w:sz w:val="19"/>
                <w:szCs w:val="19"/>
              </w:rPr>
            </w:pPr>
            <w:r>
              <w:rPr>
                <w:sz w:val="19"/>
                <w:szCs w:val="19"/>
                <w:b/>
                <w:bCs/>
                <w:spacing w:val="7"/>
              </w:rPr>
              <w:t>财力安排</w:t>
            </w:r>
          </w:p>
        </w:tc>
        <w:tc>
          <w:tcPr>
            <w:tcW w:w="1543" w:type="dxa"/>
            <w:vAlign w:val="top"/>
            <w:tcBorders>
              <w:top w:val="single" w:color="000000" w:sz="6" w:space="0"/>
            </w:tcBorders>
          </w:tcPr>
          <w:p>
            <w:pPr>
              <w:pStyle w:val="TableText"/>
              <w:ind w:left="369"/>
              <w:spacing w:before="75" w:line="224" w:lineRule="auto"/>
              <w:rPr>
                <w:sz w:val="19"/>
                <w:szCs w:val="19"/>
              </w:rPr>
            </w:pPr>
            <w:r>
              <w:rPr>
                <w:sz w:val="19"/>
                <w:szCs w:val="19"/>
                <w:b/>
                <w:bCs/>
                <w:spacing w:val="7"/>
              </w:rPr>
              <w:t>专项转移</w:t>
            </w:r>
          </w:p>
          <w:p>
            <w:pPr>
              <w:pStyle w:val="TableText"/>
              <w:ind w:left="171"/>
              <w:spacing w:before="68" w:line="220" w:lineRule="auto"/>
              <w:rPr>
                <w:sz w:val="19"/>
                <w:szCs w:val="19"/>
              </w:rPr>
            </w:pPr>
            <w:r>
              <w:rPr>
                <w:sz w:val="19"/>
                <w:szCs w:val="19"/>
                <w:b/>
                <w:bCs/>
                <w:spacing w:val="7"/>
              </w:rPr>
              <w:t>支付收入安排</w:t>
            </w:r>
          </w:p>
        </w:tc>
        <w:tc>
          <w:tcPr>
            <w:tcW w:w="1379" w:type="dxa"/>
            <w:vAlign w:val="top"/>
            <w:tcBorders>
              <w:top w:val="single" w:color="000000" w:sz="6" w:space="0"/>
            </w:tcBorders>
          </w:tcPr>
          <w:p>
            <w:pPr>
              <w:pStyle w:val="TableText"/>
              <w:ind w:left="293"/>
              <w:spacing w:before="78" w:line="218" w:lineRule="auto"/>
              <w:rPr>
                <w:sz w:val="19"/>
                <w:szCs w:val="19"/>
              </w:rPr>
            </w:pPr>
            <w:r>
              <w:rPr>
                <w:sz w:val="19"/>
                <w:szCs w:val="19"/>
                <w:b/>
                <w:bCs/>
                <w:spacing w:val="6"/>
              </w:rPr>
              <w:t>动用上年</w:t>
            </w:r>
          </w:p>
          <w:p>
            <w:pPr>
              <w:pStyle w:val="TableText"/>
              <w:ind w:left="290"/>
              <w:spacing w:before="72" w:line="220" w:lineRule="auto"/>
              <w:rPr>
                <w:sz w:val="19"/>
                <w:szCs w:val="19"/>
              </w:rPr>
            </w:pPr>
            <w:r>
              <w:rPr>
                <w:sz w:val="19"/>
                <w:szCs w:val="19"/>
                <w:b/>
                <w:bCs/>
                <w:spacing w:val="7"/>
              </w:rPr>
              <w:t>结余安排</w:t>
            </w:r>
          </w:p>
        </w:tc>
        <w:tc>
          <w:tcPr>
            <w:tcW w:w="1134" w:type="dxa"/>
            <w:vAlign w:val="top"/>
            <w:tcBorders>
              <w:top w:val="single" w:color="000000" w:sz="6" w:space="0"/>
            </w:tcBorders>
          </w:tcPr>
          <w:p>
            <w:pPr>
              <w:pStyle w:val="TableText"/>
              <w:ind w:left="169"/>
              <w:spacing w:before="227" w:line="222" w:lineRule="auto"/>
              <w:rPr>
                <w:sz w:val="19"/>
                <w:szCs w:val="19"/>
              </w:rPr>
            </w:pPr>
            <w:r>
              <w:rPr>
                <w:sz w:val="19"/>
                <w:szCs w:val="19"/>
                <w:b/>
                <w:bCs/>
                <w:spacing w:val="7"/>
              </w:rPr>
              <w:t>调入资金</w:t>
            </w:r>
          </w:p>
        </w:tc>
        <w:tc>
          <w:tcPr>
            <w:tcW w:w="1460" w:type="dxa"/>
            <w:vAlign w:val="top"/>
            <w:tcBorders>
              <w:top w:val="single" w:color="000000" w:sz="6" w:space="0"/>
            </w:tcBorders>
          </w:tcPr>
          <w:p>
            <w:pPr>
              <w:pStyle w:val="TableText"/>
              <w:ind w:left="134"/>
              <w:spacing w:before="227" w:line="220" w:lineRule="auto"/>
              <w:rPr>
                <w:sz w:val="19"/>
                <w:szCs w:val="19"/>
              </w:rPr>
            </w:pPr>
            <w:r>
              <w:rPr>
                <w:sz w:val="19"/>
                <w:szCs w:val="19"/>
                <w:b/>
                <w:bCs/>
                <w:spacing w:val="7"/>
              </w:rPr>
              <w:t>政府债务资金</w:t>
            </w:r>
          </w:p>
        </w:tc>
        <w:tc>
          <w:tcPr>
            <w:tcW w:w="1826" w:type="dxa"/>
            <w:vAlign w:val="top"/>
            <w:tcBorders>
              <w:right w:val="single" w:color="000000" w:sz="6" w:space="0"/>
              <w:top w:val="single" w:color="000000" w:sz="6" w:space="0"/>
            </w:tcBorders>
          </w:tcPr>
          <w:p>
            <w:pPr>
              <w:pStyle w:val="TableText"/>
              <w:ind w:left="514"/>
              <w:spacing w:before="227" w:line="222" w:lineRule="auto"/>
              <w:rPr>
                <w:sz w:val="19"/>
                <w:szCs w:val="19"/>
              </w:rPr>
            </w:pPr>
            <w:r>
              <w:rPr>
                <w:sz w:val="19"/>
                <w:szCs w:val="19"/>
                <w:b/>
                <w:bCs/>
                <w:spacing w:val="7"/>
              </w:rPr>
              <w:t>其他资金</w:t>
            </w:r>
          </w:p>
        </w:tc>
      </w:tr>
      <w:tr>
        <w:trPr>
          <w:trHeight w:val="304" w:hRule="atLeast"/>
        </w:trPr>
        <w:tc>
          <w:tcPr>
            <w:tcW w:w="4301" w:type="dxa"/>
            <w:vAlign w:val="top"/>
            <w:tcBorders>
              <w:left w:val="single" w:color="000000" w:sz="6" w:space="0"/>
            </w:tcBorders>
          </w:tcPr>
          <w:p>
            <w:pPr>
              <w:pStyle w:val="TableText"/>
              <w:ind w:left="106"/>
              <w:spacing w:before="70" w:line="217" w:lineRule="auto"/>
              <w:rPr>
                <w:sz w:val="19"/>
                <w:szCs w:val="19"/>
              </w:rPr>
            </w:pPr>
            <w:r>
              <w:rPr>
                <w:sz w:val="19"/>
                <w:szCs w:val="19"/>
                <w:spacing w:val="9"/>
              </w:rPr>
              <w:t>七、文化旅游体育与传媒支出</w:t>
            </w:r>
          </w:p>
        </w:tc>
        <w:tc>
          <w:tcPr>
            <w:tcW w:w="1201" w:type="dxa"/>
            <w:vAlign w:val="top"/>
          </w:tcPr>
          <w:p>
            <w:pPr>
              <w:pStyle w:val="TableText"/>
              <w:ind w:left="697"/>
              <w:spacing w:before="68" w:line="219" w:lineRule="auto"/>
              <w:rPr>
                <w:sz w:val="19"/>
                <w:szCs w:val="19"/>
              </w:rPr>
            </w:pPr>
            <w:r>
              <w:rPr>
                <w:sz w:val="19"/>
                <w:szCs w:val="19"/>
                <w:spacing w:val="1"/>
              </w:rPr>
              <w:t>5834</w:t>
            </w:r>
          </w:p>
        </w:tc>
        <w:tc>
          <w:tcPr>
            <w:tcW w:w="1052" w:type="dxa"/>
            <w:vAlign w:val="top"/>
          </w:tcPr>
          <w:p>
            <w:pPr>
              <w:pStyle w:val="TableText"/>
              <w:ind w:left="549"/>
              <w:spacing w:before="68" w:line="219" w:lineRule="auto"/>
              <w:rPr>
                <w:sz w:val="19"/>
                <w:szCs w:val="19"/>
              </w:rPr>
            </w:pPr>
            <w:r>
              <w:rPr>
                <w:sz w:val="19"/>
                <w:szCs w:val="19"/>
                <w:spacing w:val="1"/>
              </w:rPr>
              <w:t>3992</w:t>
            </w:r>
          </w:p>
        </w:tc>
        <w:tc>
          <w:tcPr>
            <w:tcW w:w="1543" w:type="dxa"/>
            <w:vAlign w:val="top"/>
          </w:tcPr>
          <w:p>
            <w:pPr>
              <w:pStyle w:val="TableText"/>
              <w:ind w:left="1056"/>
              <w:spacing w:before="68" w:line="219" w:lineRule="auto"/>
              <w:rPr>
                <w:sz w:val="19"/>
                <w:szCs w:val="19"/>
              </w:rPr>
            </w:pPr>
            <w:r>
              <w:rPr>
                <w:sz w:val="19"/>
                <w:szCs w:val="19"/>
                <w:spacing w:val="-2"/>
              </w:rPr>
              <w:t>1842</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7"/>
              <w:spacing w:before="74" w:line="213" w:lineRule="auto"/>
              <w:rPr>
                <w:sz w:val="19"/>
                <w:szCs w:val="19"/>
              </w:rPr>
            </w:pPr>
            <w:r>
              <w:rPr>
                <w:sz w:val="19"/>
                <w:szCs w:val="19"/>
                <w:spacing w:val="8"/>
              </w:rPr>
              <w:t>文化和旅游</w:t>
            </w:r>
          </w:p>
        </w:tc>
        <w:tc>
          <w:tcPr>
            <w:tcW w:w="1201" w:type="dxa"/>
            <w:vAlign w:val="top"/>
          </w:tcPr>
          <w:p>
            <w:pPr>
              <w:pStyle w:val="TableText"/>
              <w:ind w:left="696"/>
              <w:spacing w:before="68" w:line="219" w:lineRule="auto"/>
              <w:rPr>
                <w:sz w:val="19"/>
                <w:szCs w:val="19"/>
              </w:rPr>
            </w:pPr>
            <w:r>
              <w:rPr>
                <w:sz w:val="19"/>
                <w:szCs w:val="19"/>
                <w:spacing w:val="2"/>
              </w:rPr>
              <w:t>2800</w:t>
            </w:r>
          </w:p>
        </w:tc>
        <w:tc>
          <w:tcPr>
            <w:tcW w:w="1052" w:type="dxa"/>
            <w:vAlign w:val="top"/>
          </w:tcPr>
          <w:p>
            <w:pPr>
              <w:pStyle w:val="TableText"/>
              <w:ind w:left="562"/>
              <w:spacing w:before="68" w:line="219" w:lineRule="auto"/>
              <w:rPr>
                <w:sz w:val="19"/>
                <w:szCs w:val="19"/>
              </w:rPr>
            </w:pPr>
            <w:r>
              <w:rPr>
                <w:sz w:val="19"/>
                <w:szCs w:val="19"/>
                <w:spacing w:val="-2"/>
              </w:rPr>
              <w:t>1583</w:t>
            </w:r>
          </w:p>
        </w:tc>
        <w:tc>
          <w:tcPr>
            <w:tcW w:w="1543" w:type="dxa"/>
            <w:vAlign w:val="top"/>
          </w:tcPr>
          <w:p>
            <w:pPr>
              <w:pStyle w:val="TableText"/>
              <w:ind w:left="1056"/>
              <w:spacing w:before="68" w:line="219" w:lineRule="auto"/>
              <w:rPr>
                <w:sz w:val="19"/>
                <w:szCs w:val="19"/>
              </w:rPr>
            </w:pPr>
            <w:r>
              <w:rPr>
                <w:sz w:val="19"/>
                <w:szCs w:val="19"/>
                <w:spacing w:val="-2"/>
              </w:rPr>
              <w:t>1217</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7"/>
              <w:spacing w:before="74" w:line="213" w:lineRule="auto"/>
              <w:rPr>
                <w:sz w:val="19"/>
                <w:szCs w:val="19"/>
              </w:rPr>
            </w:pPr>
            <w:r>
              <w:rPr>
                <w:sz w:val="19"/>
                <w:szCs w:val="19"/>
                <w:spacing w:val="6"/>
              </w:rPr>
              <w:t>文物</w:t>
            </w:r>
          </w:p>
        </w:tc>
        <w:tc>
          <w:tcPr>
            <w:tcW w:w="1201" w:type="dxa"/>
            <w:vAlign w:val="top"/>
          </w:tcPr>
          <w:p>
            <w:pPr>
              <w:pStyle w:val="TableText"/>
              <w:ind w:left="795"/>
              <w:spacing w:before="68" w:line="219" w:lineRule="auto"/>
              <w:rPr>
                <w:sz w:val="19"/>
                <w:szCs w:val="19"/>
              </w:rPr>
            </w:pPr>
            <w:r>
              <w:rPr>
                <w:sz w:val="19"/>
                <w:szCs w:val="19"/>
                <w:spacing w:val="1"/>
              </w:rPr>
              <w:t>520</w:t>
            </w:r>
          </w:p>
        </w:tc>
        <w:tc>
          <w:tcPr>
            <w:tcW w:w="1052" w:type="dxa"/>
            <w:vAlign w:val="top"/>
          </w:tcPr>
          <w:p>
            <w:pPr>
              <w:rPr>
                <w:rFonts w:ascii="Arial"/>
                <w:sz w:val="21"/>
              </w:rPr>
            </w:pPr>
            <w:r/>
          </w:p>
        </w:tc>
        <w:tc>
          <w:tcPr>
            <w:tcW w:w="1543" w:type="dxa"/>
            <w:vAlign w:val="top"/>
          </w:tcPr>
          <w:p>
            <w:pPr>
              <w:pStyle w:val="TableText"/>
              <w:ind w:left="1139"/>
              <w:spacing w:before="68" w:line="219" w:lineRule="auto"/>
              <w:rPr>
                <w:sz w:val="19"/>
                <w:szCs w:val="19"/>
              </w:rPr>
            </w:pPr>
            <w:r>
              <w:rPr>
                <w:sz w:val="19"/>
                <w:szCs w:val="19"/>
                <w:spacing w:val="1"/>
              </w:rPr>
              <w:t>520</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5"/>
              <w:spacing w:before="71" w:line="216" w:lineRule="auto"/>
              <w:rPr>
                <w:sz w:val="19"/>
                <w:szCs w:val="19"/>
              </w:rPr>
            </w:pPr>
            <w:r>
              <w:rPr>
                <w:sz w:val="19"/>
                <w:szCs w:val="19"/>
                <w:spacing w:val="7"/>
              </w:rPr>
              <w:t>体育</w:t>
            </w:r>
          </w:p>
        </w:tc>
        <w:tc>
          <w:tcPr>
            <w:tcW w:w="1201" w:type="dxa"/>
            <w:vAlign w:val="top"/>
          </w:tcPr>
          <w:p>
            <w:pPr>
              <w:pStyle w:val="TableText"/>
              <w:ind w:left="895"/>
              <w:spacing w:before="69" w:line="218" w:lineRule="auto"/>
              <w:rPr>
                <w:sz w:val="19"/>
                <w:szCs w:val="19"/>
              </w:rPr>
            </w:pPr>
            <w:r>
              <w:rPr>
                <w:sz w:val="19"/>
                <w:szCs w:val="19"/>
                <w:spacing w:val="-1"/>
              </w:rPr>
              <w:t>87</w:t>
            </w:r>
          </w:p>
        </w:tc>
        <w:tc>
          <w:tcPr>
            <w:tcW w:w="1052" w:type="dxa"/>
            <w:vAlign w:val="top"/>
          </w:tcPr>
          <w:p>
            <w:pPr>
              <w:pStyle w:val="TableText"/>
              <w:ind w:left="748"/>
              <w:spacing w:before="69" w:line="218" w:lineRule="auto"/>
              <w:rPr>
                <w:sz w:val="19"/>
                <w:szCs w:val="19"/>
              </w:rPr>
            </w:pPr>
            <w:r>
              <w:rPr>
                <w:sz w:val="19"/>
                <w:szCs w:val="19"/>
                <w:spacing w:val="-1"/>
              </w:rPr>
              <w:t>87</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3"/>
              <w:spacing w:before="78" w:line="209" w:lineRule="auto"/>
              <w:rPr>
                <w:sz w:val="19"/>
                <w:szCs w:val="19"/>
              </w:rPr>
            </w:pPr>
            <w:r>
              <w:rPr>
                <w:sz w:val="19"/>
                <w:szCs w:val="19"/>
                <w:spacing w:val="9"/>
              </w:rPr>
              <w:t>新闻出版电影</w:t>
            </w:r>
          </w:p>
        </w:tc>
        <w:tc>
          <w:tcPr>
            <w:tcW w:w="1201" w:type="dxa"/>
            <w:vAlign w:val="top"/>
          </w:tcPr>
          <w:p>
            <w:pPr>
              <w:pStyle w:val="TableText"/>
              <w:ind w:left="811"/>
              <w:spacing w:before="72" w:line="215" w:lineRule="auto"/>
              <w:rPr>
                <w:sz w:val="19"/>
                <w:szCs w:val="19"/>
              </w:rPr>
            </w:pPr>
            <w:r>
              <w:rPr>
                <w:sz w:val="19"/>
                <w:szCs w:val="19"/>
                <w:spacing w:val="-4"/>
              </w:rPr>
              <w:t>157</w:t>
            </w:r>
          </w:p>
        </w:tc>
        <w:tc>
          <w:tcPr>
            <w:tcW w:w="1052" w:type="dxa"/>
            <w:vAlign w:val="top"/>
          </w:tcPr>
          <w:p>
            <w:pPr>
              <w:pStyle w:val="TableText"/>
              <w:ind w:left="663"/>
              <w:spacing w:before="72" w:line="215" w:lineRule="auto"/>
              <w:rPr>
                <w:sz w:val="19"/>
                <w:szCs w:val="19"/>
              </w:rPr>
            </w:pPr>
            <w:r>
              <w:rPr>
                <w:sz w:val="19"/>
                <w:szCs w:val="19"/>
                <w:spacing w:val="-4"/>
              </w:rPr>
              <w:t>157</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6"/>
              <w:spacing w:before="77" w:line="210" w:lineRule="auto"/>
              <w:rPr>
                <w:sz w:val="19"/>
                <w:szCs w:val="19"/>
              </w:rPr>
            </w:pPr>
            <w:r>
              <w:rPr>
                <w:sz w:val="19"/>
                <w:szCs w:val="19"/>
                <w:spacing w:val="8"/>
              </w:rPr>
              <w:t>广播电视</w:t>
            </w:r>
          </w:p>
        </w:tc>
        <w:tc>
          <w:tcPr>
            <w:tcW w:w="1201" w:type="dxa"/>
            <w:vAlign w:val="top"/>
          </w:tcPr>
          <w:p>
            <w:pPr>
              <w:pStyle w:val="TableText"/>
              <w:ind w:left="696"/>
              <w:spacing w:before="72" w:line="215" w:lineRule="auto"/>
              <w:rPr>
                <w:sz w:val="19"/>
                <w:szCs w:val="19"/>
              </w:rPr>
            </w:pPr>
            <w:r>
              <w:rPr>
                <w:sz w:val="19"/>
                <w:szCs w:val="19"/>
                <w:spacing w:val="2"/>
              </w:rPr>
              <w:t>2270</w:t>
            </w:r>
          </w:p>
        </w:tc>
        <w:tc>
          <w:tcPr>
            <w:tcW w:w="1052" w:type="dxa"/>
            <w:vAlign w:val="top"/>
          </w:tcPr>
          <w:p>
            <w:pPr>
              <w:pStyle w:val="TableText"/>
              <w:ind w:left="546"/>
              <w:spacing w:before="72" w:line="215" w:lineRule="auto"/>
              <w:rPr>
                <w:sz w:val="19"/>
                <w:szCs w:val="19"/>
              </w:rPr>
            </w:pPr>
            <w:r>
              <w:rPr>
                <w:sz w:val="19"/>
                <w:szCs w:val="19"/>
                <w:spacing w:val="2"/>
              </w:rPr>
              <w:t>2165</w:t>
            </w:r>
          </w:p>
        </w:tc>
        <w:tc>
          <w:tcPr>
            <w:tcW w:w="1543" w:type="dxa"/>
            <w:vAlign w:val="top"/>
          </w:tcPr>
          <w:p>
            <w:pPr>
              <w:pStyle w:val="TableText"/>
              <w:ind w:left="1154"/>
              <w:spacing w:before="72" w:line="215" w:lineRule="auto"/>
              <w:rPr>
                <w:sz w:val="19"/>
                <w:szCs w:val="19"/>
              </w:rPr>
            </w:pPr>
            <w:r>
              <w:rPr>
                <w:sz w:val="19"/>
                <w:szCs w:val="19"/>
                <w:spacing w:val="-4"/>
              </w:rPr>
              <w:t>105</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4"/>
              <w:spacing w:before="74" w:line="214" w:lineRule="auto"/>
              <w:rPr>
                <w:sz w:val="19"/>
                <w:szCs w:val="19"/>
              </w:rPr>
            </w:pPr>
            <w:r>
              <w:rPr>
                <w:sz w:val="19"/>
                <w:szCs w:val="19"/>
                <w:spacing w:val="9"/>
              </w:rPr>
              <w:t>其他文化旅游体育与传媒支出</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104"/>
              <w:spacing w:before="74" w:line="214" w:lineRule="auto"/>
              <w:rPr>
                <w:sz w:val="19"/>
                <w:szCs w:val="19"/>
              </w:rPr>
            </w:pPr>
            <w:r>
              <w:rPr>
                <w:sz w:val="19"/>
                <w:szCs w:val="19"/>
                <w:spacing w:val="9"/>
              </w:rPr>
              <w:t>八、社会保障和就业支出</w:t>
            </w:r>
          </w:p>
        </w:tc>
        <w:tc>
          <w:tcPr>
            <w:tcW w:w="1201" w:type="dxa"/>
            <w:vAlign w:val="top"/>
          </w:tcPr>
          <w:p>
            <w:pPr>
              <w:pStyle w:val="TableText"/>
              <w:ind w:left="592"/>
              <w:spacing w:before="72" w:line="216" w:lineRule="auto"/>
              <w:rPr>
                <w:sz w:val="19"/>
                <w:szCs w:val="19"/>
              </w:rPr>
            </w:pPr>
            <w:r>
              <w:rPr>
                <w:sz w:val="19"/>
                <w:szCs w:val="19"/>
                <w:spacing w:val="3"/>
              </w:rPr>
              <w:t>43677</w:t>
            </w:r>
          </w:p>
        </w:tc>
        <w:tc>
          <w:tcPr>
            <w:tcW w:w="1052" w:type="dxa"/>
            <w:vAlign w:val="top"/>
          </w:tcPr>
          <w:p>
            <w:pPr>
              <w:pStyle w:val="TableText"/>
              <w:ind w:left="451"/>
              <w:spacing w:before="72" w:line="216" w:lineRule="auto"/>
              <w:rPr>
                <w:sz w:val="19"/>
                <w:szCs w:val="19"/>
              </w:rPr>
            </w:pPr>
            <w:r>
              <w:rPr>
                <w:sz w:val="19"/>
                <w:szCs w:val="19"/>
                <w:spacing w:val="2"/>
              </w:rPr>
              <w:t>37700</w:t>
            </w:r>
          </w:p>
        </w:tc>
        <w:tc>
          <w:tcPr>
            <w:tcW w:w="1543" w:type="dxa"/>
            <w:vAlign w:val="top"/>
          </w:tcPr>
          <w:p>
            <w:pPr>
              <w:pStyle w:val="TableText"/>
              <w:ind w:left="1041"/>
              <w:spacing w:before="72" w:line="216" w:lineRule="auto"/>
              <w:rPr>
                <w:sz w:val="19"/>
                <w:szCs w:val="19"/>
              </w:rPr>
            </w:pPr>
            <w:r>
              <w:rPr>
                <w:sz w:val="19"/>
                <w:szCs w:val="19"/>
                <w:spacing w:val="2"/>
              </w:rPr>
              <w:t>5977</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4"/>
              <w:spacing w:before="76" w:line="212" w:lineRule="auto"/>
              <w:rPr>
                <w:sz w:val="19"/>
                <w:szCs w:val="19"/>
              </w:rPr>
            </w:pPr>
            <w:r>
              <w:rPr>
                <w:sz w:val="19"/>
                <w:szCs w:val="19"/>
                <w:spacing w:val="9"/>
              </w:rPr>
              <w:t>人力资源和社会保障管理事务</w:t>
            </w:r>
          </w:p>
        </w:tc>
        <w:tc>
          <w:tcPr>
            <w:tcW w:w="1201" w:type="dxa"/>
            <w:vAlign w:val="top"/>
          </w:tcPr>
          <w:p>
            <w:pPr>
              <w:pStyle w:val="TableText"/>
              <w:ind w:left="697"/>
              <w:spacing w:before="74" w:line="214" w:lineRule="auto"/>
              <w:rPr>
                <w:sz w:val="19"/>
                <w:szCs w:val="19"/>
              </w:rPr>
            </w:pPr>
            <w:r>
              <w:rPr>
                <w:sz w:val="19"/>
                <w:szCs w:val="19"/>
                <w:spacing w:val="1"/>
              </w:rPr>
              <w:t>5077</w:t>
            </w:r>
          </w:p>
        </w:tc>
        <w:tc>
          <w:tcPr>
            <w:tcW w:w="1052" w:type="dxa"/>
            <w:vAlign w:val="top"/>
          </w:tcPr>
          <w:p>
            <w:pPr>
              <w:pStyle w:val="TableText"/>
              <w:ind w:left="547"/>
              <w:spacing w:before="74" w:line="214" w:lineRule="auto"/>
              <w:rPr>
                <w:sz w:val="19"/>
                <w:szCs w:val="19"/>
              </w:rPr>
            </w:pPr>
            <w:r>
              <w:rPr>
                <w:sz w:val="19"/>
                <w:szCs w:val="19"/>
                <w:spacing w:val="2"/>
              </w:rPr>
              <w:t>5077</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23"/>
              <w:spacing w:before="77" w:line="211" w:lineRule="auto"/>
              <w:rPr>
                <w:sz w:val="19"/>
                <w:szCs w:val="19"/>
              </w:rPr>
            </w:pPr>
            <w:r>
              <w:rPr>
                <w:sz w:val="19"/>
                <w:szCs w:val="19"/>
                <w:spacing w:val="6"/>
              </w:rPr>
              <w:t>民政管理事务</w:t>
            </w:r>
          </w:p>
        </w:tc>
        <w:tc>
          <w:tcPr>
            <w:tcW w:w="1201" w:type="dxa"/>
            <w:vAlign w:val="top"/>
          </w:tcPr>
          <w:p>
            <w:pPr>
              <w:pStyle w:val="TableText"/>
              <w:ind w:left="794"/>
              <w:spacing w:before="73" w:line="215" w:lineRule="auto"/>
              <w:rPr>
                <w:sz w:val="19"/>
                <w:szCs w:val="19"/>
              </w:rPr>
            </w:pPr>
            <w:r>
              <w:rPr>
                <w:sz w:val="19"/>
                <w:szCs w:val="19"/>
                <w:spacing w:val="1"/>
              </w:rPr>
              <w:t>926</w:t>
            </w:r>
          </w:p>
        </w:tc>
        <w:tc>
          <w:tcPr>
            <w:tcW w:w="1052" w:type="dxa"/>
            <w:vAlign w:val="top"/>
          </w:tcPr>
          <w:p>
            <w:pPr>
              <w:pStyle w:val="TableText"/>
              <w:ind w:left="647"/>
              <w:spacing w:before="73" w:line="215" w:lineRule="auto"/>
              <w:rPr>
                <w:sz w:val="19"/>
                <w:szCs w:val="19"/>
              </w:rPr>
            </w:pPr>
            <w:r>
              <w:rPr>
                <w:sz w:val="19"/>
                <w:szCs w:val="19"/>
                <w:spacing w:val="1"/>
              </w:rPr>
              <w:t>926</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6"/>
              <w:spacing w:before="75" w:line="212" w:lineRule="auto"/>
              <w:rPr>
                <w:sz w:val="19"/>
                <w:szCs w:val="19"/>
              </w:rPr>
            </w:pPr>
            <w:r>
              <w:rPr>
                <w:sz w:val="19"/>
                <w:szCs w:val="19"/>
                <w:spacing w:val="9"/>
              </w:rPr>
              <w:t>补充全国社会保障基金</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4"/>
              <w:spacing w:before="76" w:line="212" w:lineRule="auto"/>
              <w:rPr>
                <w:sz w:val="19"/>
                <w:szCs w:val="19"/>
              </w:rPr>
            </w:pPr>
            <w:r>
              <w:rPr>
                <w:sz w:val="19"/>
                <w:szCs w:val="19"/>
                <w:spacing w:val="9"/>
              </w:rPr>
              <w:t>行政事业单位养老支出</w:t>
            </w:r>
          </w:p>
        </w:tc>
        <w:tc>
          <w:tcPr>
            <w:tcW w:w="1201" w:type="dxa"/>
            <w:vAlign w:val="top"/>
          </w:tcPr>
          <w:p>
            <w:pPr>
              <w:pStyle w:val="TableText"/>
              <w:ind w:left="598"/>
              <w:spacing w:before="73" w:line="215" w:lineRule="auto"/>
              <w:rPr>
                <w:sz w:val="19"/>
                <w:szCs w:val="19"/>
              </w:rPr>
            </w:pPr>
            <w:r>
              <w:rPr>
                <w:sz w:val="19"/>
                <w:szCs w:val="19"/>
                <w:spacing w:val="2"/>
              </w:rPr>
              <w:t>30182</w:t>
            </w:r>
          </w:p>
        </w:tc>
        <w:tc>
          <w:tcPr>
            <w:tcW w:w="1052" w:type="dxa"/>
            <w:vAlign w:val="top"/>
          </w:tcPr>
          <w:p>
            <w:pPr>
              <w:pStyle w:val="TableText"/>
              <w:ind w:left="448"/>
              <w:spacing w:before="73" w:line="215" w:lineRule="auto"/>
              <w:rPr>
                <w:sz w:val="19"/>
                <w:szCs w:val="19"/>
              </w:rPr>
            </w:pPr>
            <w:r>
              <w:rPr>
                <w:sz w:val="19"/>
                <w:szCs w:val="19"/>
                <w:spacing w:val="2"/>
              </w:rPr>
              <w:t>27226</w:t>
            </w:r>
          </w:p>
        </w:tc>
        <w:tc>
          <w:tcPr>
            <w:tcW w:w="1543" w:type="dxa"/>
            <w:vAlign w:val="top"/>
          </w:tcPr>
          <w:p>
            <w:pPr>
              <w:pStyle w:val="TableText"/>
              <w:ind w:left="1040"/>
              <w:spacing w:before="73" w:line="215" w:lineRule="auto"/>
              <w:rPr>
                <w:sz w:val="19"/>
                <w:szCs w:val="19"/>
              </w:rPr>
            </w:pPr>
            <w:r>
              <w:rPr>
                <w:sz w:val="19"/>
                <w:szCs w:val="19"/>
                <w:spacing w:val="2"/>
              </w:rPr>
              <w:t>2956</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5"/>
              <w:spacing w:before="80" w:line="207" w:lineRule="auto"/>
              <w:rPr>
                <w:sz w:val="19"/>
                <w:szCs w:val="19"/>
              </w:rPr>
            </w:pPr>
            <w:r>
              <w:rPr>
                <w:sz w:val="19"/>
                <w:szCs w:val="19"/>
                <w:spacing w:val="9"/>
              </w:rPr>
              <w:t>企业改革补助</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7"/>
              <w:spacing w:before="82" w:line="206" w:lineRule="auto"/>
              <w:rPr>
                <w:sz w:val="19"/>
                <w:szCs w:val="19"/>
              </w:rPr>
            </w:pPr>
            <w:r>
              <w:rPr>
                <w:sz w:val="19"/>
                <w:szCs w:val="19"/>
                <w:spacing w:val="8"/>
              </w:rPr>
              <w:t>就业补助</w:t>
            </w:r>
          </w:p>
        </w:tc>
        <w:tc>
          <w:tcPr>
            <w:tcW w:w="1201" w:type="dxa"/>
            <w:vAlign w:val="top"/>
          </w:tcPr>
          <w:p>
            <w:pPr>
              <w:pStyle w:val="TableText"/>
              <w:ind w:left="697"/>
              <w:spacing w:before="75" w:line="213" w:lineRule="auto"/>
              <w:rPr>
                <w:sz w:val="19"/>
                <w:szCs w:val="19"/>
              </w:rPr>
            </w:pPr>
            <w:r>
              <w:rPr>
                <w:sz w:val="19"/>
                <w:szCs w:val="19"/>
                <w:spacing w:val="1"/>
              </w:rPr>
              <w:t>5025</w:t>
            </w:r>
          </w:p>
        </w:tc>
        <w:tc>
          <w:tcPr>
            <w:tcW w:w="1052" w:type="dxa"/>
            <w:vAlign w:val="top"/>
          </w:tcPr>
          <w:p>
            <w:pPr>
              <w:pStyle w:val="TableText"/>
              <w:ind w:left="546"/>
              <w:spacing w:before="75" w:line="213" w:lineRule="auto"/>
              <w:rPr>
                <w:sz w:val="19"/>
                <w:szCs w:val="19"/>
              </w:rPr>
            </w:pPr>
            <w:r>
              <w:rPr>
                <w:sz w:val="19"/>
                <w:szCs w:val="19"/>
                <w:spacing w:val="2"/>
              </w:rPr>
              <w:t>2891</w:t>
            </w:r>
          </w:p>
        </w:tc>
        <w:tc>
          <w:tcPr>
            <w:tcW w:w="1543" w:type="dxa"/>
            <w:vAlign w:val="top"/>
          </w:tcPr>
          <w:p>
            <w:pPr>
              <w:pStyle w:val="TableText"/>
              <w:ind w:left="1040"/>
              <w:spacing w:before="75" w:line="213" w:lineRule="auto"/>
              <w:rPr>
                <w:sz w:val="19"/>
                <w:szCs w:val="19"/>
              </w:rPr>
            </w:pPr>
            <w:r>
              <w:rPr>
                <w:sz w:val="19"/>
                <w:szCs w:val="19"/>
                <w:spacing w:val="2"/>
              </w:rPr>
              <w:t>2134</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6"/>
              <w:spacing w:before="79" w:line="208" w:lineRule="auto"/>
              <w:rPr>
                <w:sz w:val="19"/>
                <w:szCs w:val="19"/>
              </w:rPr>
            </w:pPr>
            <w:r>
              <w:rPr>
                <w:sz w:val="19"/>
                <w:szCs w:val="19"/>
                <w:spacing w:val="6"/>
              </w:rPr>
              <w:t>抚恤</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5"/>
              <w:spacing w:before="82" w:line="206" w:lineRule="auto"/>
              <w:rPr>
                <w:sz w:val="19"/>
                <w:szCs w:val="19"/>
              </w:rPr>
            </w:pPr>
            <w:r>
              <w:rPr>
                <w:sz w:val="19"/>
                <w:szCs w:val="19"/>
                <w:spacing w:val="8"/>
              </w:rPr>
              <w:t>退役安置</w:t>
            </w:r>
          </w:p>
        </w:tc>
        <w:tc>
          <w:tcPr>
            <w:tcW w:w="1201" w:type="dxa"/>
            <w:vAlign w:val="top"/>
          </w:tcPr>
          <w:p>
            <w:pPr>
              <w:pStyle w:val="TableText"/>
              <w:ind w:left="795"/>
              <w:spacing w:before="75" w:line="213" w:lineRule="auto"/>
              <w:rPr>
                <w:sz w:val="19"/>
                <w:szCs w:val="19"/>
              </w:rPr>
            </w:pPr>
            <w:r>
              <w:rPr>
                <w:sz w:val="19"/>
                <w:szCs w:val="19"/>
                <w:spacing w:val="1"/>
              </w:rPr>
              <w:t>604</w:t>
            </w:r>
          </w:p>
        </w:tc>
        <w:tc>
          <w:tcPr>
            <w:tcW w:w="1052" w:type="dxa"/>
            <w:vAlign w:val="top"/>
          </w:tcPr>
          <w:p>
            <w:pPr>
              <w:pStyle w:val="TableText"/>
              <w:ind w:left="746"/>
              <w:spacing w:before="75" w:line="213" w:lineRule="auto"/>
              <w:rPr>
                <w:sz w:val="19"/>
                <w:szCs w:val="19"/>
              </w:rPr>
            </w:pPr>
            <w:r>
              <w:rPr>
                <w:sz w:val="19"/>
                <w:szCs w:val="19"/>
              </w:rPr>
              <w:t>62</w:t>
            </w:r>
          </w:p>
        </w:tc>
        <w:tc>
          <w:tcPr>
            <w:tcW w:w="1543" w:type="dxa"/>
            <w:vAlign w:val="top"/>
          </w:tcPr>
          <w:p>
            <w:pPr>
              <w:pStyle w:val="TableText"/>
              <w:ind w:left="1139"/>
              <w:spacing w:before="75" w:line="213" w:lineRule="auto"/>
              <w:rPr>
                <w:sz w:val="19"/>
                <w:szCs w:val="19"/>
              </w:rPr>
            </w:pPr>
            <w:r>
              <w:rPr>
                <w:sz w:val="19"/>
                <w:szCs w:val="19"/>
                <w:spacing w:val="1"/>
              </w:rPr>
              <w:t>542</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4"/>
              <w:spacing w:before="83" w:line="205" w:lineRule="auto"/>
              <w:rPr>
                <w:sz w:val="19"/>
                <w:szCs w:val="19"/>
              </w:rPr>
            </w:pPr>
            <w:r>
              <w:rPr>
                <w:sz w:val="19"/>
                <w:szCs w:val="19"/>
                <w:spacing w:val="8"/>
              </w:rPr>
              <w:t>社会福利</w:t>
            </w:r>
          </w:p>
        </w:tc>
        <w:tc>
          <w:tcPr>
            <w:tcW w:w="1201" w:type="dxa"/>
            <w:vAlign w:val="top"/>
          </w:tcPr>
          <w:p>
            <w:pPr>
              <w:pStyle w:val="TableText"/>
              <w:ind w:left="791"/>
              <w:spacing w:before="76" w:line="211" w:lineRule="auto"/>
              <w:rPr>
                <w:sz w:val="19"/>
                <w:szCs w:val="19"/>
              </w:rPr>
            </w:pPr>
            <w:r>
              <w:rPr>
                <w:sz w:val="19"/>
                <w:szCs w:val="19"/>
                <w:spacing w:val="2"/>
              </w:rPr>
              <w:t>407</w:t>
            </w:r>
          </w:p>
        </w:tc>
        <w:tc>
          <w:tcPr>
            <w:tcW w:w="1052" w:type="dxa"/>
            <w:vAlign w:val="top"/>
          </w:tcPr>
          <w:p>
            <w:pPr>
              <w:pStyle w:val="TableText"/>
              <w:ind w:left="644"/>
              <w:spacing w:before="76" w:line="211" w:lineRule="auto"/>
              <w:rPr>
                <w:sz w:val="19"/>
                <w:szCs w:val="19"/>
              </w:rPr>
            </w:pPr>
            <w:r>
              <w:rPr>
                <w:sz w:val="19"/>
                <w:szCs w:val="19"/>
                <w:spacing w:val="2"/>
              </w:rPr>
              <w:t>407</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5"/>
              <w:spacing w:before="81" w:line="207" w:lineRule="auto"/>
              <w:rPr>
                <w:sz w:val="19"/>
                <w:szCs w:val="19"/>
              </w:rPr>
            </w:pPr>
            <w:r>
              <w:rPr>
                <w:sz w:val="19"/>
                <w:szCs w:val="19"/>
                <w:spacing w:val="8"/>
              </w:rPr>
              <w:t>残疾人事业</w:t>
            </w:r>
          </w:p>
        </w:tc>
        <w:tc>
          <w:tcPr>
            <w:tcW w:w="1201" w:type="dxa"/>
            <w:vAlign w:val="top"/>
          </w:tcPr>
          <w:p>
            <w:pPr>
              <w:pStyle w:val="TableText"/>
              <w:ind w:left="798"/>
              <w:spacing w:before="77" w:line="211" w:lineRule="auto"/>
              <w:rPr>
                <w:sz w:val="19"/>
                <w:szCs w:val="19"/>
              </w:rPr>
            </w:pPr>
            <w:r>
              <w:rPr>
                <w:sz w:val="19"/>
                <w:szCs w:val="19"/>
              </w:rPr>
              <w:t>346</w:t>
            </w:r>
          </w:p>
        </w:tc>
        <w:tc>
          <w:tcPr>
            <w:tcW w:w="1052" w:type="dxa"/>
            <w:vAlign w:val="top"/>
          </w:tcPr>
          <w:p>
            <w:pPr>
              <w:pStyle w:val="TableText"/>
              <w:ind w:left="647"/>
              <w:spacing w:before="77" w:line="211" w:lineRule="auto"/>
              <w:rPr>
                <w:sz w:val="19"/>
                <w:szCs w:val="19"/>
              </w:rPr>
            </w:pPr>
            <w:r>
              <w:rPr>
                <w:sz w:val="19"/>
                <w:szCs w:val="19"/>
                <w:spacing w:val="1"/>
              </w:rPr>
              <w:t>217</w:t>
            </w:r>
          </w:p>
        </w:tc>
        <w:tc>
          <w:tcPr>
            <w:tcW w:w="1543" w:type="dxa"/>
            <w:vAlign w:val="top"/>
          </w:tcPr>
          <w:p>
            <w:pPr>
              <w:pStyle w:val="TableText"/>
              <w:ind w:left="1154"/>
              <w:spacing w:before="77" w:line="211" w:lineRule="auto"/>
              <w:rPr>
                <w:sz w:val="19"/>
                <w:szCs w:val="19"/>
              </w:rPr>
            </w:pPr>
            <w:r>
              <w:rPr>
                <w:sz w:val="19"/>
                <w:szCs w:val="19"/>
                <w:spacing w:val="-4"/>
              </w:rPr>
              <w:t>129</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8"/>
              <w:spacing w:before="81" w:line="206" w:lineRule="auto"/>
              <w:rPr>
                <w:sz w:val="19"/>
                <w:szCs w:val="19"/>
              </w:rPr>
            </w:pPr>
            <w:r>
              <w:rPr>
                <w:sz w:val="19"/>
                <w:szCs w:val="19"/>
                <w:spacing w:val="8"/>
              </w:rPr>
              <w:t>红十字事业</w:t>
            </w:r>
          </w:p>
        </w:tc>
        <w:tc>
          <w:tcPr>
            <w:tcW w:w="1201" w:type="dxa"/>
            <w:vAlign w:val="top"/>
          </w:tcPr>
          <w:p>
            <w:pPr>
              <w:pStyle w:val="TableText"/>
              <w:ind w:left="895"/>
              <w:spacing w:before="76" w:line="211" w:lineRule="auto"/>
              <w:rPr>
                <w:sz w:val="19"/>
                <w:szCs w:val="19"/>
              </w:rPr>
            </w:pPr>
            <w:r>
              <w:rPr>
                <w:sz w:val="19"/>
                <w:szCs w:val="19"/>
                <w:spacing w:val="-1"/>
              </w:rPr>
              <w:t>85</w:t>
            </w:r>
          </w:p>
        </w:tc>
        <w:tc>
          <w:tcPr>
            <w:tcW w:w="1052" w:type="dxa"/>
            <w:vAlign w:val="top"/>
          </w:tcPr>
          <w:p>
            <w:pPr>
              <w:pStyle w:val="TableText"/>
              <w:ind w:left="748"/>
              <w:spacing w:before="76" w:line="211" w:lineRule="auto"/>
              <w:rPr>
                <w:sz w:val="19"/>
                <w:szCs w:val="19"/>
              </w:rPr>
            </w:pPr>
            <w:r>
              <w:rPr>
                <w:sz w:val="19"/>
                <w:szCs w:val="19"/>
                <w:spacing w:val="-1"/>
              </w:rPr>
              <w:t>85</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6"/>
              <w:spacing w:before="79" w:line="209" w:lineRule="auto"/>
              <w:rPr>
                <w:sz w:val="19"/>
                <w:szCs w:val="19"/>
              </w:rPr>
            </w:pPr>
            <w:r>
              <w:rPr>
                <w:sz w:val="19"/>
                <w:szCs w:val="19"/>
                <w:spacing w:val="9"/>
              </w:rPr>
              <w:t>最低生活保障</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17"/>
              <w:spacing w:before="84" w:line="204" w:lineRule="auto"/>
              <w:rPr>
                <w:sz w:val="19"/>
                <w:szCs w:val="19"/>
              </w:rPr>
            </w:pPr>
            <w:r>
              <w:rPr>
                <w:sz w:val="19"/>
                <w:szCs w:val="19"/>
                <w:spacing w:val="5"/>
              </w:rPr>
              <w:t>临时救助</w:t>
            </w:r>
          </w:p>
        </w:tc>
        <w:tc>
          <w:tcPr>
            <w:tcW w:w="1201" w:type="dxa"/>
            <w:vAlign w:val="top"/>
          </w:tcPr>
          <w:p>
            <w:pPr>
              <w:pStyle w:val="TableText"/>
              <w:ind w:left="791"/>
              <w:spacing w:before="78" w:line="209" w:lineRule="auto"/>
              <w:rPr>
                <w:sz w:val="19"/>
                <w:szCs w:val="19"/>
              </w:rPr>
            </w:pPr>
            <w:r>
              <w:rPr>
                <w:sz w:val="19"/>
                <w:szCs w:val="19"/>
                <w:spacing w:val="2"/>
              </w:rPr>
              <w:t>409</w:t>
            </w:r>
          </w:p>
        </w:tc>
        <w:tc>
          <w:tcPr>
            <w:tcW w:w="1052" w:type="dxa"/>
            <w:vAlign w:val="top"/>
          </w:tcPr>
          <w:p>
            <w:pPr>
              <w:pStyle w:val="TableText"/>
              <w:ind w:left="663"/>
              <w:spacing w:before="78" w:line="209" w:lineRule="auto"/>
              <w:rPr>
                <w:sz w:val="19"/>
                <w:szCs w:val="19"/>
              </w:rPr>
            </w:pPr>
            <w:r>
              <w:rPr>
                <w:sz w:val="19"/>
                <w:szCs w:val="19"/>
                <w:spacing w:val="-4"/>
              </w:rPr>
              <w:t>193</w:t>
            </w:r>
          </w:p>
        </w:tc>
        <w:tc>
          <w:tcPr>
            <w:tcW w:w="1543" w:type="dxa"/>
            <w:vAlign w:val="top"/>
          </w:tcPr>
          <w:p>
            <w:pPr>
              <w:pStyle w:val="TableText"/>
              <w:ind w:left="1138"/>
              <w:spacing w:before="78" w:line="209" w:lineRule="auto"/>
              <w:rPr>
                <w:sz w:val="19"/>
                <w:szCs w:val="19"/>
              </w:rPr>
            </w:pPr>
            <w:r>
              <w:rPr>
                <w:sz w:val="19"/>
                <w:szCs w:val="19"/>
                <w:spacing w:val="1"/>
              </w:rPr>
              <w:t>216</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7"/>
              <w:spacing w:before="82" w:line="206" w:lineRule="auto"/>
              <w:rPr>
                <w:sz w:val="19"/>
                <w:szCs w:val="19"/>
              </w:rPr>
            </w:pPr>
            <w:r>
              <w:rPr>
                <w:sz w:val="19"/>
                <w:szCs w:val="19"/>
                <w:spacing w:val="8"/>
              </w:rPr>
              <w:t>特困人员救助供养</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6"/>
              <w:spacing w:before="84" w:line="204" w:lineRule="auto"/>
              <w:rPr>
                <w:sz w:val="19"/>
                <w:szCs w:val="19"/>
              </w:rPr>
            </w:pPr>
            <w:r>
              <w:rPr>
                <w:sz w:val="19"/>
                <w:szCs w:val="19"/>
                <w:spacing w:val="9"/>
              </w:rPr>
              <w:t>补充道路交通事故社会救助基金</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14" w:hRule="atLeast"/>
        </w:trPr>
        <w:tc>
          <w:tcPr>
            <w:tcW w:w="4301" w:type="dxa"/>
            <w:vAlign w:val="top"/>
            <w:tcBorders>
              <w:left w:val="single" w:color="000000" w:sz="6" w:space="0"/>
              <w:bottom w:val="single" w:color="000000" w:sz="6" w:space="0"/>
            </w:tcBorders>
          </w:tcPr>
          <w:p>
            <w:pPr>
              <w:pStyle w:val="TableText"/>
              <w:ind w:left="504"/>
              <w:spacing w:before="82" w:line="215" w:lineRule="auto"/>
              <w:rPr>
                <w:sz w:val="19"/>
                <w:szCs w:val="19"/>
              </w:rPr>
            </w:pPr>
            <w:r>
              <w:rPr>
                <w:sz w:val="19"/>
                <w:szCs w:val="19"/>
                <w:spacing w:val="9"/>
              </w:rPr>
              <w:t>其他生活救助</w:t>
            </w:r>
          </w:p>
        </w:tc>
        <w:tc>
          <w:tcPr>
            <w:tcW w:w="1201" w:type="dxa"/>
            <w:vAlign w:val="top"/>
            <w:tcBorders>
              <w:bottom w:val="single" w:color="000000" w:sz="6" w:space="0"/>
            </w:tcBorders>
          </w:tcPr>
          <w:p>
            <w:pPr>
              <w:rPr>
                <w:rFonts w:ascii="Arial"/>
                <w:sz w:val="21"/>
              </w:rPr>
            </w:pPr>
            <w:r/>
          </w:p>
        </w:tc>
        <w:tc>
          <w:tcPr>
            <w:tcW w:w="1052" w:type="dxa"/>
            <w:vAlign w:val="top"/>
            <w:tcBorders>
              <w:bottom w:val="single" w:color="000000" w:sz="6" w:space="0"/>
            </w:tcBorders>
          </w:tcPr>
          <w:p>
            <w:pPr>
              <w:rPr>
                <w:rFonts w:ascii="Arial"/>
                <w:sz w:val="21"/>
              </w:rPr>
            </w:pPr>
            <w:r/>
          </w:p>
        </w:tc>
        <w:tc>
          <w:tcPr>
            <w:tcW w:w="1543" w:type="dxa"/>
            <w:vAlign w:val="top"/>
            <w:tcBorders>
              <w:bottom w:val="single" w:color="000000" w:sz="6" w:space="0"/>
            </w:tcBorders>
          </w:tcPr>
          <w:p>
            <w:pPr>
              <w:rPr>
                <w:rFonts w:ascii="Arial"/>
                <w:sz w:val="21"/>
              </w:rPr>
            </w:pPr>
            <w:r/>
          </w:p>
        </w:tc>
        <w:tc>
          <w:tcPr>
            <w:tcW w:w="1379" w:type="dxa"/>
            <w:vAlign w:val="top"/>
            <w:tcBorders>
              <w:bottom w:val="single" w:color="000000" w:sz="6" w:space="0"/>
            </w:tcBorders>
          </w:tcPr>
          <w:p>
            <w:pPr>
              <w:rPr>
                <w:rFonts w:ascii="Arial"/>
                <w:sz w:val="21"/>
              </w:rPr>
            </w:pPr>
            <w:r/>
          </w:p>
        </w:tc>
        <w:tc>
          <w:tcPr>
            <w:tcW w:w="1134" w:type="dxa"/>
            <w:vAlign w:val="top"/>
            <w:tcBorders>
              <w:bottom w:val="single" w:color="000000" w:sz="6" w:space="0"/>
            </w:tcBorders>
          </w:tcPr>
          <w:p>
            <w:pPr>
              <w:rPr>
                <w:rFonts w:ascii="Arial"/>
                <w:sz w:val="21"/>
              </w:rPr>
            </w:pPr>
            <w:r/>
          </w:p>
        </w:tc>
        <w:tc>
          <w:tcPr>
            <w:tcW w:w="1460" w:type="dxa"/>
            <w:vAlign w:val="top"/>
            <w:tcBorders>
              <w:bottom w:val="single" w:color="000000" w:sz="6" w:space="0"/>
            </w:tcBorders>
          </w:tcPr>
          <w:p>
            <w:pPr>
              <w:rPr>
                <w:rFonts w:ascii="Arial"/>
                <w:sz w:val="21"/>
              </w:rPr>
            </w:pPr>
            <w:r/>
          </w:p>
        </w:tc>
        <w:tc>
          <w:tcPr>
            <w:tcW w:w="1826" w:type="dxa"/>
            <w:vAlign w:val="top"/>
            <w:tcBorders>
              <w:bottom w:val="single" w:color="000000" w:sz="6" w:space="0"/>
              <w:right w:val="single" w:color="000000" w:sz="6" w:space="0"/>
            </w:tcBorders>
          </w:tcPr>
          <w:p>
            <w:pPr>
              <w:rPr>
                <w:rFonts w:ascii="Arial"/>
                <w:sz w:val="21"/>
              </w:rPr>
            </w:pPr>
            <w:r/>
          </w:p>
        </w:tc>
      </w:tr>
    </w:tbl>
    <w:p>
      <w:pPr>
        <w:spacing w:line="92" w:lineRule="exact"/>
        <w:rPr>
          <w:rFonts w:ascii="Arial"/>
          <w:sz w:val="8"/>
        </w:rPr>
      </w:pPr>
      <w:r/>
    </w:p>
    <w:p>
      <w:pPr>
        <w:spacing w:line="92" w:lineRule="exact"/>
        <w:sectPr>
          <w:headerReference w:type="default" r:id="rId57"/>
          <w:footerReference w:type="default" r:id="rId72"/>
          <w:pgSz w:w="16839" w:h="11906"/>
          <w:pgMar w:top="1780" w:right="1463" w:bottom="1660" w:left="1463" w:header="1428" w:footer="1289" w:gutter="0"/>
        </w:sectPr>
        <w:rPr>
          <w:rFonts w:ascii="Arial" w:hAnsi="Arial" w:eastAsia="Arial" w:cs="Arial"/>
          <w:sz w:val="8"/>
          <w:szCs w:val="8"/>
        </w:rPr>
      </w:pPr>
    </w:p>
    <w:p>
      <w:pPr>
        <w:spacing w:before="51"/>
        <w:rPr/>
      </w:pPr>
      <w:r>
        <w:drawing>
          <wp:anchor distT="0" distB="0" distL="0" distR="0" simplePos="0" relativeHeight="251672576"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146" name="IM 146"/>
            <wp:cNvGraphicFramePr/>
            <a:graphic>
              <a:graphicData uri="http://schemas.openxmlformats.org/drawingml/2006/picture">
                <pic:pic>
                  <pic:nvPicPr>
                    <pic:cNvPr id="146" name="IM 146"/>
                    <pic:cNvPicPr/>
                  </pic:nvPicPr>
                  <pic:blipFill>
                    <a:blip r:embed="rId75"/>
                    <a:stretch>
                      <a:fillRect/>
                    </a:stretch>
                  </pic:blipFill>
                  <pic:spPr>
                    <a:xfrm rot="0">
                      <a:off x="0" y="0"/>
                      <a:ext cx="8712200" cy="7620"/>
                    </a:xfrm>
                    <a:prstGeom prst="rect">
                      <a:avLst/>
                    </a:prstGeom>
                  </pic:spPr>
                </pic:pic>
              </a:graphicData>
            </a:graphic>
          </wp:anchor>
        </w:drawing>
      </w: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301"/>
        <w:gridCol w:w="1201"/>
        <w:gridCol w:w="1052"/>
        <w:gridCol w:w="1543"/>
        <w:gridCol w:w="1379"/>
        <w:gridCol w:w="1134"/>
        <w:gridCol w:w="1460"/>
        <w:gridCol w:w="1826"/>
      </w:tblGrid>
      <w:tr>
        <w:trPr>
          <w:trHeight w:val="611" w:hRule="atLeast"/>
        </w:trPr>
        <w:tc>
          <w:tcPr>
            <w:tcW w:w="4301" w:type="dxa"/>
            <w:vAlign w:val="top"/>
            <w:tcBorders>
              <w:left w:val="single" w:color="000000" w:sz="6" w:space="0"/>
              <w:top w:val="single" w:color="000000" w:sz="6" w:space="0"/>
            </w:tcBorders>
          </w:tcPr>
          <w:p>
            <w:pPr>
              <w:pStyle w:val="TableText"/>
              <w:ind w:left="1945"/>
              <w:spacing w:before="232" w:line="212" w:lineRule="auto"/>
              <w:rPr>
                <w:sz w:val="19"/>
                <w:szCs w:val="19"/>
              </w:rPr>
            </w:pPr>
            <w:r>
              <w:rPr>
                <w:sz w:val="19"/>
                <w:szCs w:val="19"/>
                <w:b/>
                <w:bCs/>
                <w:spacing w:val="6"/>
              </w:rPr>
              <w:t>项目</w:t>
            </w:r>
          </w:p>
        </w:tc>
        <w:tc>
          <w:tcPr>
            <w:tcW w:w="1201" w:type="dxa"/>
            <w:vAlign w:val="top"/>
            <w:tcBorders>
              <w:top w:val="single" w:color="000000" w:sz="6" w:space="0"/>
            </w:tcBorders>
          </w:tcPr>
          <w:p>
            <w:pPr>
              <w:pStyle w:val="TableText"/>
              <w:ind w:left="396"/>
              <w:spacing w:before="227" w:line="223" w:lineRule="auto"/>
              <w:rPr>
                <w:sz w:val="19"/>
                <w:szCs w:val="19"/>
              </w:rPr>
            </w:pPr>
            <w:r>
              <w:rPr>
                <w:sz w:val="19"/>
                <w:szCs w:val="19"/>
                <w:b/>
                <w:bCs/>
                <w:spacing w:val="6"/>
              </w:rPr>
              <w:t>合计</w:t>
            </w:r>
          </w:p>
        </w:tc>
        <w:tc>
          <w:tcPr>
            <w:tcW w:w="1052" w:type="dxa"/>
            <w:vAlign w:val="top"/>
            <w:tcBorders>
              <w:top w:val="single" w:color="000000" w:sz="6" w:space="0"/>
            </w:tcBorders>
          </w:tcPr>
          <w:p>
            <w:pPr>
              <w:pStyle w:val="TableText"/>
              <w:ind w:left="124"/>
              <w:spacing w:before="231" w:line="216" w:lineRule="auto"/>
              <w:rPr>
                <w:sz w:val="19"/>
                <w:szCs w:val="19"/>
              </w:rPr>
            </w:pPr>
            <w:r>
              <w:rPr>
                <w:sz w:val="19"/>
                <w:szCs w:val="19"/>
                <w:b/>
                <w:bCs/>
                <w:spacing w:val="7"/>
              </w:rPr>
              <w:t>财力安排</w:t>
            </w:r>
          </w:p>
        </w:tc>
        <w:tc>
          <w:tcPr>
            <w:tcW w:w="1543" w:type="dxa"/>
            <w:vAlign w:val="top"/>
            <w:tcBorders>
              <w:top w:val="single" w:color="000000" w:sz="6" w:space="0"/>
            </w:tcBorders>
          </w:tcPr>
          <w:p>
            <w:pPr>
              <w:pStyle w:val="TableText"/>
              <w:ind w:left="369"/>
              <w:spacing w:before="76" w:line="224" w:lineRule="auto"/>
              <w:rPr>
                <w:sz w:val="19"/>
                <w:szCs w:val="19"/>
              </w:rPr>
            </w:pPr>
            <w:r>
              <w:rPr>
                <w:sz w:val="19"/>
                <w:szCs w:val="19"/>
                <w:b/>
                <w:bCs/>
                <w:spacing w:val="7"/>
              </w:rPr>
              <w:t>专项转移</w:t>
            </w:r>
          </w:p>
          <w:p>
            <w:pPr>
              <w:pStyle w:val="TableText"/>
              <w:ind w:left="171"/>
              <w:spacing w:before="67" w:line="220" w:lineRule="auto"/>
              <w:rPr>
                <w:sz w:val="19"/>
                <w:szCs w:val="19"/>
              </w:rPr>
            </w:pPr>
            <w:r>
              <w:rPr>
                <w:sz w:val="19"/>
                <w:szCs w:val="19"/>
                <w:b/>
                <w:bCs/>
                <w:spacing w:val="7"/>
              </w:rPr>
              <w:t>支付收入安排</w:t>
            </w:r>
          </w:p>
        </w:tc>
        <w:tc>
          <w:tcPr>
            <w:tcW w:w="1379" w:type="dxa"/>
            <w:vAlign w:val="top"/>
            <w:tcBorders>
              <w:top w:val="single" w:color="000000" w:sz="6" w:space="0"/>
            </w:tcBorders>
          </w:tcPr>
          <w:p>
            <w:pPr>
              <w:pStyle w:val="TableText"/>
              <w:ind w:left="293"/>
              <w:spacing w:before="78" w:line="218" w:lineRule="auto"/>
              <w:rPr>
                <w:sz w:val="19"/>
                <w:szCs w:val="19"/>
              </w:rPr>
            </w:pPr>
            <w:r>
              <w:rPr>
                <w:sz w:val="19"/>
                <w:szCs w:val="19"/>
                <w:b/>
                <w:bCs/>
                <w:spacing w:val="6"/>
              </w:rPr>
              <w:t>动用上年</w:t>
            </w:r>
          </w:p>
          <w:p>
            <w:pPr>
              <w:pStyle w:val="TableText"/>
              <w:ind w:left="290"/>
              <w:spacing w:before="71" w:line="220" w:lineRule="auto"/>
              <w:rPr>
                <w:sz w:val="19"/>
                <w:szCs w:val="19"/>
              </w:rPr>
            </w:pPr>
            <w:r>
              <w:rPr>
                <w:sz w:val="19"/>
                <w:szCs w:val="19"/>
                <w:b/>
                <w:bCs/>
                <w:spacing w:val="7"/>
              </w:rPr>
              <w:t>结余安排</w:t>
            </w:r>
          </w:p>
        </w:tc>
        <w:tc>
          <w:tcPr>
            <w:tcW w:w="1134" w:type="dxa"/>
            <w:vAlign w:val="top"/>
            <w:tcBorders>
              <w:top w:val="single" w:color="000000" w:sz="6" w:space="0"/>
            </w:tcBorders>
          </w:tcPr>
          <w:p>
            <w:pPr>
              <w:pStyle w:val="TableText"/>
              <w:ind w:left="169"/>
              <w:spacing w:before="228" w:line="222" w:lineRule="auto"/>
              <w:rPr>
                <w:sz w:val="19"/>
                <w:szCs w:val="19"/>
              </w:rPr>
            </w:pPr>
            <w:r>
              <w:rPr>
                <w:sz w:val="19"/>
                <w:szCs w:val="19"/>
                <w:b/>
                <w:bCs/>
                <w:spacing w:val="7"/>
              </w:rPr>
              <w:t>调入资金</w:t>
            </w:r>
          </w:p>
        </w:tc>
        <w:tc>
          <w:tcPr>
            <w:tcW w:w="1460" w:type="dxa"/>
            <w:vAlign w:val="top"/>
            <w:tcBorders>
              <w:top w:val="single" w:color="000000" w:sz="6" w:space="0"/>
            </w:tcBorders>
          </w:tcPr>
          <w:p>
            <w:pPr>
              <w:pStyle w:val="TableText"/>
              <w:ind w:left="134"/>
              <w:spacing w:before="227" w:line="220" w:lineRule="auto"/>
              <w:rPr>
                <w:sz w:val="19"/>
                <w:szCs w:val="19"/>
              </w:rPr>
            </w:pPr>
            <w:r>
              <w:rPr>
                <w:sz w:val="19"/>
                <w:szCs w:val="19"/>
                <w:b/>
                <w:bCs/>
                <w:spacing w:val="7"/>
              </w:rPr>
              <w:t>政府债务资金</w:t>
            </w:r>
          </w:p>
        </w:tc>
        <w:tc>
          <w:tcPr>
            <w:tcW w:w="1826" w:type="dxa"/>
            <w:vAlign w:val="top"/>
            <w:tcBorders>
              <w:right w:val="single" w:color="000000" w:sz="6" w:space="0"/>
              <w:top w:val="single" w:color="000000" w:sz="6" w:space="0"/>
            </w:tcBorders>
          </w:tcPr>
          <w:p>
            <w:pPr>
              <w:pStyle w:val="TableText"/>
              <w:ind w:left="514"/>
              <w:spacing w:before="228" w:line="222" w:lineRule="auto"/>
              <w:rPr>
                <w:sz w:val="19"/>
                <w:szCs w:val="19"/>
              </w:rPr>
            </w:pPr>
            <w:r>
              <w:rPr>
                <w:sz w:val="19"/>
                <w:szCs w:val="19"/>
                <w:b/>
                <w:bCs/>
                <w:spacing w:val="7"/>
              </w:rPr>
              <w:t>其他资金</w:t>
            </w:r>
          </w:p>
        </w:tc>
      </w:tr>
      <w:tr>
        <w:trPr>
          <w:trHeight w:val="304" w:hRule="atLeast"/>
        </w:trPr>
        <w:tc>
          <w:tcPr>
            <w:tcW w:w="4301" w:type="dxa"/>
            <w:vAlign w:val="top"/>
            <w:tcBorders>
              <w:left w:val="single" w:color="000000" w:sz="6" w:space="0"/>
            </w:tcBorders>
          </w:tcPr>
          <w:p>
            <w:pPr>
              <w:pStyle w:val="TableText"/>
              <w:ind w:left="506"/>
              <w:spacing w:before="70" w:line="217" w:lineRule="auto"/>
              <w:rPr>
                <w:sz w:val="19"/>
                <w:szCs w:val="19"/>
              </w:rPr>
            </w:pPr>
            <w:r>
              <w:rPr>
                <w:sz w:val="19"/>
                <w:szCs w:val="19"/>
                <w:spacing w:val="9"/>
              </w:rPr>
              <w:t>财政对基本养老保险基金的补助</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6"/>
              <w:spacing w:before="72" w:line="216" w:lineRule="auto"/>
              <w:rPr>
                <w:sz w:val="19"/>
                <w:szCs w:val="19"/>
              </w:rPr>
            </w:pPr>
            <w:r>
              <w:rPr>
                <w:sz w:val="19"/>
                <w:szCs w:val="19"/>
                <w:spacing w:val="9"/>
              </w:rPr>
              <w:t>财政对其他社会保险基金的补助</w:t>
            </w:r>
          </w:p>
        </w:tc>
        <w:tc>
          <w:tcPr>
            <w:tcW w:w="1201" w:type="dxa"/>
            <w:vAlign w:val="top"/>
          </w:tcPr>
          <w:p>
            <w:pPr>
              <w:pStyle w:val="TableText"/>
              <w:ind w:left="794"/>
              <w:spacing w:before="69" w:line="219" w:lineRule="auto"/>
              <w:rPr>
                <w:sz w:val="19"/>
                <w:szCs w:val="19"/>
              </w:rPr>
            </w:pPr>
            <w:r>
              <w:rPr>
                <w:sz w:val="19"/>
                <w:szCs w:val="19"/>
                <w:spacing w:val="1"/>
              </w:rPr>
              <w:t>280</w:t>
            </w:r>
          </w:p>
        </w:tc>
        <w:tc>
          <w:tcPr>
            <w:tcW w:w="1052" w:type="dxa"/>
            <w:vAlign w:val="top"/>
          </w:tcPr>
          <w:p>
            <w:pPr>
              <w:pStyle w:val="TableText"/>
              <w:ind w:left="647"/>
              <w:spacing w:before="69" w:line="219" w:lineRule="auto"/>
              <w:rPr>
                <w:sz w:val="19"/>
                <w:szCs w:val="19"/>
              </w:rPr>
            </w:pPr>
            <w:r>
              <w:rPr>
                <w:sz w:val="19"/>
                <w:szCs w:val="19"/>
                <w:spacing w:val="1"/>
              </w:rPr>
              <w:t>280</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5"/>
              <w:spacing w:before="72" w:line="215" w:lineRule="auto"/>
              <w:rPr>
                <w:sz w:val="19"/>
                <w:szCs w:val="19"/>
              </w:rPr>
            </w:pPr>
            <w:r>
              <w:rPr>
                <w:sz w:val="19"/>
                <w:szCs w:val="19"/>
                <w:spacing w:val="9"/>
              </w:rPr>
              <w:t>退役军人管理事务</w:t>
            </w:r>
          </w:p>
        </w:tc>
        <w:tc>
          <w:tcPr>
            <w:tcW w:w="1201" w:type="dxa"/>
            <w:vAlign w:val="top"/>
          </w:tcPr>
          <w:p>
            <w:pPr>
              <w:pStyle w:val="TableText"/>
              <w:ind w:left="798"/>
              <w:spacing w:before="68" w:line="219" w:lineRule="auto"/>
              <w:rPr>
                <w:sz w:val="19"/>
                <w:szCs w:val="19"/>
              </w:rPr>
            </w:pPr>
            <w:r>
              <w:rPr>
                <w:sz w:val="19"/>
                <w:szCs w:val="19"/>
              </w:rPr>
              <w:t>336</w:t>
            </w:r>
          </w:p>
        </w:tc>
        <w:tc>
          <w:tcPr>
            <w:tcW w:w="1052" w:type="dxa"/>
            <w:vAlign w:val="top"/>
          </w:tcPr>
          <w:p>
            <w:pPr>
              <w:pStyle w:val="TableText"/>
              <w:ind w:left="650"/>
              <w:spacing w:before="68" w:line="219" w:lineRule="auto"/>
              <w:rPr>
                <w:sz w:val="19"/>
                <w:szCs w:val="19"/>
              </w:rPr>
            </w:pPr>
            <w:r>
              <w:rPr>
                <w:sz w:val="19"/>
                <w:szCs w:val="19"/>
              </w:rPr>
              <w:t>336</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6"/>
              <w:spacing w:before="72" w:line="216" w:lineRule="auto"/>
              <w:rPr>
                <w:sz w:val="19"/>
                <w:szCs w:val="19"/>
              </w:rPr>
            </w:pPr>
            <w:r>
              <w:rPr>
                <w:sz w:val="19"/>
                <w:szCs w:val="19"/>
                <w:spacing w:val="9"/>
              </w:rPr>
              <w:t>财政代缴社会保险费支出</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4"/>
              <w:spacing w:before="71" w:line="216" w:lineRule="auto"/>
              <w:rPr>
                <w:sz w:val="19"/>
                <w:szCs w:val="19"/>
              </w:rPr>
            </w:pPr>
            <w:r>
              <w:rPr>
                <w:sz w:val="19"/>
                <w:szCs w:val="19"/>
                <w:spacing w:val="9"/>
              </w:rPr>
              <w:t>其他社会保障和就业支出</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109"/>
              <w:spacing w:before="73" w:line="215" w:lineRule="auto"/>
              <w:rPr>
                <w:sz w:val="19"/>
                <w:szCs w:val="19"/>
              </w:rPr>
            </w:pPr>
            <w:r>
              <w:rPr>
                <w:sz w:val="19"/>
                <w:szCs w:val="19"/>
                <w:spacing w:val="8"/>
              </w:rPr>
              <w:t>九、卫生健康支出</w:t>
            </w:r>
          </w:p>
        </w:tc>
        <w:tc>
          <w:tcPr>
            <w:tcW w:w="1201" w:type="dxa"/>
            <w:vAlign w:val="top"/>
          </w:tcPr>
          <w:p>
            <w:pPr>
              <w:pStyle w:val="TableText"/>
              <w:ind w:left="598"/>
              <w:spacing w:before="71" w:line="217" w:lineRule="auto"/>
              <w:rPr>
                <w:sz w:val="19"/>
                <w:szCs w:val="19"/>
              </w:rPr>
            </w:pPr>
            <w:r>
              <w:rPr>
                <w:sz w:val="19"/>
                <w:szCs w:val="19"/>
                <w:spacing w:val="2"/>
              </w:rPr>
              <w:t>84945</w:t>
            </w:r>
          </w:p>
        </w:tc>
        <w:tc>
          <w:tcPr>
            <w:tcW w:w="1052" w:type="dxa"/>
            <w:vAlign w:val="top"/>
          </w:tcPr>
          <w:p>
            <w:pPr>
              <w:pStyle w:val="TableText"/>
              <w:ind w:left="464"/>
              <w:spacing w:before="71" w:line="217" w:lineRule="auto"/>
              <w:rPr>
                <w:sz w:val="19"/>
                <w:szCs w:val="19"/>
              </w:rPr>
            </w:pPr>
            <w:r>
              <w:rPr>
                <w:sz w:val="19"/>
                <w:szCs w:val="19"/>
                <w:spacing w:val="-1"/>
              </w:rPr>
              <w:t>19840</w:t>
            </w:r>
          </w:p>
        </w:tc>
        <w:tc>
          <w:tcPr>
            <w:tcW w:w="1543" w:type="dxa"/>
            <w:vAlign w:val="top"/>
          </w:tcPr>
          <w:p>
            <w:pPr>
              <w:pStyle w:val="TableText"/>
              <w:ind w:left="942"/>
              <w:spacing w:before="71" w:line="217" w:lineRule="auto"/>
              <w:rPr>
                <w:sz w:val="19"/>
                <w:szCs w:val="19"/>
              </w:rPr>
            </w:pPr>
            <w:r>
              <w:rPr>
                <w:sz w:val="19"/>
                <w:szCs w:val="19"/>
                <w:spacing w:val="2"/>
              </w:rPr>
              <w:t>65105</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5"/>
              <w:spacing w:before="73" w:line="214" w:lineRule="auto"/>
              <w:rPr>
                <w:sz w:val="19"/>
                <w:szCs w:val="19"/>
              </w:rPr>
            </w:pPr>
            <w:r>
              <w:rPr>
                <w:sz w:val="19"/>
                <w:szCs w:val="19"/>
                <w:spacing w:val="9"/>
              </w:rPr>
              <w:t>卫生健康管理事务</w:t>
            </w:r>
          </w:p>
        </w:tc>
        <w:tc>
          <w:tcPr>
            <w:tcW w:w="1201" w:type="dxa"/>
            <w:vAlign w:val="top"/>
          </w:tcPr>
          <w:p>
            <w:pPr>
              <w:pStyle w:val="TableText"/>
              <w:ind w:left="791"/>
              <w:spacing w:before="70" w:line="217" w:lineRule="auto"/>
              <w:rPr>
                <w:sz w:val="19"/>
                <w:szCs w:val="19"/>
              </w:rPr>
            </w:pPr>
            <w:r>
              <w:rPr>
                <w:sz w:val="19"/>
                <w:szCs w:val="19"/>
                <w:spacing w:val="2"/>
              </w:rPr>
              <w:t>484</w:t>
            </w:r>
          </w:p>
        </w:tc>
        <w:tc>
          <w:tcPr>
            <w:tcW w:w="1052" w:type="dxa"/>
            <w:vAlign w:val="top"/>
          </w:tcPr>
          <w:p>
            <w:pPr>
              <w:pStyle w:val="TableText"/>
              <w:ind w:left="644"/>
              <w:spacing w:before="70" w:line="217" w:lineRule="auto"/>
              <w:rPr>
                <w:sz w:val="19"/>
                <w:szCs w:val="19"/>
              </w:rPr>
            </w:pPr>
            <w:r>
              <w:rPr>
                <w:sz w:val="19"/>
                <w:szCs w:val="19"/>
                <w:spacing w:val="2"/>
              </w:rPr>
              <w:t>484</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3"/>
              <w:spacing w:before="76" w:line="212" w:lineRule="auto"/>
              <w:rPr>
                <w:sz w:val="19"/>
                <w:szCs w:val="19"/>
              </w:rPr>
            </w:pPr>
            <w:r>
              <w:rPr>
                <w:sz w:val="19"/>
                <w:szCs w:val="19"/>
                <w:spacing w:val="9"/>
              </w:rPr>
              <w:t>公立医院</w:t>
            </w:r>
          </w:p>
        </w:tc>
        <w:tc>
          <w:tcPr>
            <w:tcW w:w="1201" w:type="dxa"/>
            <w:vAlign w:val="top"/>
          </w:tcPr>
          <w:p>
            <w:pPr>
              <w:pStyle w:val="TableText"/>
              <w:ind w:left="696"/>
              <w:spacing w:before="70" w:line="218" w:lineRule="auto"/>
              <w:rPr>
                <w:sz w:val="19"/>
                <w:szCs w:val="19"/>
              </w:rPr>
            </w:pPr>
            <w:r>
              <w:rPr>
                <w:sz w:val="19"/>
                <w:szCs w:val="19"/>
                <w:spacing w:val="2"/>
              </w:rPr>
              <w:t>9575</w:t>
            </w:r>
          </w:p>
        </w:tc>
        <w:tc>
          <w:tcPr>
            <w:tcW w:w="1052" w:type="dxa"/>
            <w:vAlign w:val="top"/>
          </w:tcPr>
          <w:p>
            <w:pPr>
              <w:pStyle w:val="TableText"/>
              <w:ind w:left="546"/>
              <w:spacing w:before="70" w:line="218" w:lineRule="auto"/>
              <w:rPr>
                <w:sz w:val="19"/>
                <w:szCs w:val="19"/>
              </w:rPr>
            </w:pPr>
            <w:r>
              <w:rPr>
                <w:sz w:val="19"/>
                <w:szCs w:val="19"/>
                <w:spacing w:val="2"/>
              </w:rPr>
              <w:t>9139</w:t>
            </w:r>
          </w:p>
        </w:tc>
        <w:tc>
          <w:tcPr>
            <w:tcW w:w="1543" w:type="dxa"/>
            <w:vAlign w:val="top"/>
          </w:tcPr>
          <w:p>
            <w:pPr>
              <w:pStyle w:val="TableText"/>
              <w:ind w:left="1135"/>
              <w:spacing w:before="70" w:line="218" w:lineRule="auto"/>
              <w:rPr>
                <w:sz w:val="19"/>
                <w:szCs w:val="19"/>
              </w:rPr>
            </w:pPr>
            <w:r>
              <w:rPr>
                <w:sz w:val="19"/>
                <w:szCs w:val="19"/>
                <w:spacing w:val="2"/>
              </w:rPr>
              <w:t>436</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4"/>
              <w:spacing w:before="75" w:line="212" w:lineRule="auto"/>
              <w:rPr>
                <w:sz w:val="19"/>
                <w:szCs w:val="19"/>
              </w:rPr>
            </w:pPr>
            <w:r>
              <w:rPr>
                <w:sz w:val="19"/>
                <w:szCs w:val="19"/>
                <w:spacing w:val="9"/>
              </w:rPr>
              <w:t>基层医疗卫生机构</w:t>
            </w:r>
          </w:p>
        </w:tc>
        <w:tc>
          <w:tcPr>
            <w:tcW w:w="1201" w:type="dxa"/>
            <w:vAlign w:val="top"/>
          </w:tcPr>
          <w:p>
            <w:pPr>
              <w:pStyle w:val="TableText"/>
              <w:ind w:left="895"/>
              <w:spacing w:before="70" w:line="217" w:lineRule="auto"/>
              <w:rPr>
                <w:sz w:val="19"/>
                <w:szCs w:val="19"/>
              </w:rPr>
            </w:pPr>
            <w:r>
              <w:rPr>
                <w:sz w:val="19"/>
                <w:szCs w:val="19"/>
                <w:spacing w:val="-1"/>
              </w:rPr>
              <w:t>85</w:t>
            </w:r>
          </w:p>
        </w:tc>
        <w:tc>
          <w:tcPr>
            <w:tcW w:w="1052" w:type="dxa"/>
            <w:vAlign w:val="top"/>
          </w:tcPr>
          <w:p>
            <w:pPr>
              <w:pStyle w:val="TableText"/>
              <w:ind w:left="748"/>
              <w:spacing w:before="70" w:line="217" w:lineRule="auto"/>
              <w:rPr>
                <w:sz w:val="19"/>
                <w:szCs w:val="19"/>
              </w:rPr>
            </w:pPr>
            <w:r>
              <w:rPr>
                <w:sz w:val="19"/>
                <w:szCs w:val="19"/>
                <w:spacing w:val="-1"/>
              </w:rPr>
              <w:t>85</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3"/>
              <w:spacing w:before="78" w:line="209" w:lineRule="auto"/>
              <w:rPr>
                <w:sz w:val="19"/>
                <w:szCs w:val="19"/>
              </w:rPr>
            </w:pPr>
            <w:r>
              <w:rPr>
                <w:sz w:val="19"/>
                <w:szCs w:val="19"/>
                <w:spacing w:val="9"/>
              </w:rPr>
              <w:t>公共卫生</w:t>
            </w:r>
          </w:p>
        </w:tc>
        <w:tc>
          <w:tcPr>
            <w:tcW w:w="1201" w:type="dxa"/>
            <w:vAlign w:val="top"/>
          </w:tcPr>
          <w:p>
            <w:pPr>
              <w:pStyle w:val="TableText"/>
              <w:ind w:left="699"/>
              <w:spacing w:before="73" w:line="214" w:lineRule="auto"/>
              <w:rPr>
                <w:sz w:val="19"/>
                <w:szCs w:val="19"/>
              </w:rPr>
            </w:pPr>
            <w:r>
              <w:rPr>
                <w:sz w:val="19"/>
                <w:szCs w:val="19"/>
                <w:spacing w:val="1"/>
              </w:rPr>
              <w:t>3769</w:t>
            </w:r>
          </w:p>
        </w:tc>
        <w:tc>
          <w:tcPr>
            <w:tcW w:w="1052" w:type="dxa"/>
            <w:vAlign w:val="top"/>
          </w:tcPr>
          <w:p>
            <w:pPr>
              <w:pStyle w:val="TableText"/>
              <w:ind w:left="549"/>
              <w:spacing w:before="73" w:line="214" w:lineRule="auto"/>
              <w:rPr>
                <w:sz w:val="19"/>
                <w:szCs w:val="19"/>
              </w:rPr>
            </w:pPr>
            <w:r>
              <w:rPr>
                <w:sz w:val="19"/>
                <w:szCs w:val="19"/>
                <w:spacing w:val="1"/>
              </w:rPr>
              <w:t>3507</w:t>
            </w:r>
          </w:p>
        </w:tc>
        <w:tc>
          <w:tcPr>
            <w:tcW w:w="1543" w:type="dxa"/>
            <w:vAlign w:val="top"/>
          </w:tcPr>
          <w:p>
            <w:pPr>
              <w:pStyle w:val="TableText"/>
              <w:ind w:left="1138"/>
              <w:spacing w:before="73" w:line="214" w:lineRule="auto"/>
              <w:rPr>
                <w:sz w:val="19"/>
                <w:szCs w:val="19"/>
              </w:rPr>
            </w:pPr>
            <w:r>
              <w:rPr>
                <w:sz w:val="19"/>
                <w:szCs w:val="19"/>
                <w:spacing w:val="1"/>
              </w:rPr>
              <w:t>262</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25"/>
              <w:spacing w:before="78" w:line="209" w:lineRule="auto"/>
              <w:rPr>
                <w:sz w:val="19"/>
                <w:szCs w:val="19"/>
              </w:rPr>
            </w:pPr>
            <w:r>
              <w:rPr>
                <w:sz w:val="19"/>
                <w:szCs w:val="19"/>
                <w:spacing w:val="1"/>
              </w:rPr>
              <w:t>中医药</w:t>
            </w:r>
          </w:p>
        </w:tc>
        <w:tc>
          <w:tcPr>
            <w:tcW w:w="1201" w:type="dxa"/>
            <w:vAlign w:val="top"/>
          </w:tcPr>
          <w:p>
            <w:pPr>
              <w:pStyle w:val="TableText"/>
              <w:ind w:left="894"/>
              <w:spacing w:before="73" w:line="214" w:lineRule="auto"/>
              <w:rPr>
                <w:sz w:val="19"/>
                <w:szCs w:val="19"/>
              </w:rPr>
            </w:pPr>
            <w:r>
              <w:rPr>
                <w:sz w:val="19"/>
                <w:szCs w:val="19"/>
              </w:rPr>
              <w:t>53</w:t>
            </w:r>
          </w:p>
        </w:tc>
        <w:tc>
          <w:tcPr>
            <w:tcW w:w="1052" w:type="dxa"/>
            <w:vAlign w:val="top"/>
          </w:tcPr>
          <w:p>
            <w:pPr>
              <w:rPr>
                <w:rFonts w:ascii="Arial"/>
                <w:sz w:val="21"/>
              </w:rPr>
            </w:pPr>
            <w:r/>
          </w:p>
        </w:tc>
        <w:tc>
          <w:tcPr>
            <w:tcW w:w="1543" w:type="dxa"/>
            <w:vAlign w:val="top"/>
          </w:tcPr>
          <w:p>
            <w:pPr>
              <w:pStyle w:val="TableText"/>
              <w:ind w:left="1240"/>
              <w:spacing w:before="73" w:line="214" w:lineRule="auto"/>
              <w:rPr>
                <w:sz w:val="19"/>
                <w:szCs w:val="19"/>
              </w:rPr>
            </w:pPr>
            <w:r>
              <w:rPr>
                <w:sz w:val="19"/>
                <w:szCs w:val="19"/>
              </w:rPr>
              <w:t>53</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3"/>
              <w:spacing w:before="78" w:line="209" w:lineRule="auto"/>
              <w:rPr>
                <w:sz w:val="19"/>
                <w:szCs w:val="19"/>
              </w:rPr>
            </w:pPr>
            <w:r>
              <w:rPr>
                <w:sz w:val="19"/>
                <w:szCs w:val="19"/>
                <w:spacing w:val="9"/>
              </w:rPr>
              <w:t>计划生育事务</w:t>
            </w:r>
          </w:p>
        </w:tc>
        <w:tc>
          <w:tcPr>
            <w:tcW w:w="1201" w:type="dxa"/>
            <w:vAlign w:val="top"/>
          </w:tcPr>
          <w:p>
            <w:pPr>
              <w:pStyle w:val="TableText"/>
              <w:ind w:left="811"/>
              <w:spacing w:before="73" w:line="214" w:lineRule="auto"/>
              <w:rPr>
                <w:sz w:val="19"/>
                <w:szCs w:val="19"/>
              </w:rPr>
            </w:pPr>
            <w:r>
              <w:rPr>
                <w:sz w:val="19"/>
                <w:szCs w:val="19"/>
                <w:spacing w:val="-4"/>
              </w:rPr>
              <w:t>100</w:t>
            </w:r>
          </w:p>
        </w:tc>
        <w:tc>
          <w:tcPr>
            <w:tcW w:w="1052" w:type="dxa"/>
            <w:vAlign w:val="top"/>
          </w:tcPr>
          <w:p>
            <w:pPr>
              <w:pStyle w:val="TableText"/>
              <w:ind w:left="663"/>
              <w:spacing w:before="73" w:line="214" w:lineRule="auto"/>
              <w:rPr>
                <w:sz w:val="19"/>
                <w:szCs w:val="19"/>
              </w:rPr>
            </w:pPr>
            <w:r>
              <w:rPr>
                <w:sz w:val="19"/>
                <w:szCs w:val="19"/>
                <w:spacing w:val="-4"/>
              </w:rPr>
              <w:t>100</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4"/>
              <w:spacing w:before="77" w:line="210" w:lineRule="auto"/>
              <w:rPr>
                <w:sz w:val="19"/>
                <w:szCs w:val="19"/>
              </w:rPr>
            </w:pPr>
            <w:r>
              <w:rPr>
                <w:sz w:val="19"/>
                <w:szCs w:val="19"/>
                <w:spacing w:val="9"/>
              </w:rPr>
              <w:t>行政事业单位医疗</w:t>
            </w:r>
          </w:p>
        </w:tc>
        <w:tc>
          <w:tcPr>
            <w:tcW w:w="1201" w:type="dxa"/>
            <w:vAlign w:val="top"/>
          </w:tcPr>
          <w:p>
            <w:pPr>
              <w:pStyle w:val="TableText"/>
              <w:ind w:left="697"/>
              <w:spacing w:before="74" w:line="213" w:lineRule="auto"/>
              <w:rPr>
                <w:sz w:val="19"/>
                <w:szCs w:val="19"/>
              </w:rPr>
            </w:pPr>
            <w:r>
              <w:rPr>
                <w:sz w:val="19"/>
                <w:szCs w:val="19"/>
                <w:spacing w:val="1"/>
              </w:rPr>
              <w:t>6312</w:t>
            </w:r>
          </w:p>
        </w:tc>
        <w:tc>
          <w:tcPr>
            <w:tcW w:w="1052" w:type="dxa"/>
            <w:vAlign w:val="top"/>
          </w:tcPr>
          <w:p>
            <w:pPr>
              <w:pStyle w:val="TableText"/>
              <w:ind w:left="547"/>
              <w:spacing w:before="74" w:line="213" w:lineRule="auto"/>
              <w:rPr>
                <w:sz w:val="19"/>
                <w:szCs w:val="19"/>
              </w:rPr>
            </w:pPr>
            <w:r>
              <w:rPr>
                <w:sz w:val="19"/>
                <w:szCs w:val="19"/>
                <w:spacing w:val="2"/>
              </w:rPr>
              <w:t>6312</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6"/>
              <w:spacing w:before="81" w:line="206" w:lineRule="auto"/>
              <w:rPr>
                <w:sz w:val="19"/>
                <w:szCs w:val="19"/>
              </w:rPr>
            </w:pPr>
            <w:r>
              <w:rPr>
                <w:sz w:val="19"/>
                <w:szCs w:val="19"/>
                <w:spacing w:val="9"/>
              </w:rPr>
              <w:t>财政对基本医疗保险基金的补助</w:t>
            </w:r>
          </w:p>
        </w:tc>
        <w:tc>
          <w:tcPr>
            <w:tcW w:w="1201" w:type="dxa"/>
            <w:vAlign w:val="top"/>
          </w:tcPr>
          <w:p>
            <w:pPr>
              <w:pStyle w:val="TableText"/>
              <w:ind w:left="596"/>
              <w:spacing w:before="76" w:line="211" w:lineRule="auto"/>
              <w:rPr>
                <w:sz w:val="19"/>
                <w:szCs w:val="19"/>
              </w:rPr>
            </w:pPr>
            <w:r>
              <w:rPr>
                <w:sz w:val="19"/>
                <w:szCs w:val="19"/>
                <w:spacing w:val="2"/>
              </w:rPr>
              <w:t>64174</w:t>
            </w:r>
          </w:p>
        </w:tc>
        <w:tc>
          <w:tcPr>
            <w:tcW w:w="1052" w:type="dxa"/>
            <w:vAlign w:val="top"/>
          </w:tcPr>
          <w:p>
            <w:pPr>
              <w:pStyle w:val="TableText"/>
              <w:ind w:left="746"/>
              <w:spacing w:before="76" w:line="211" w:lineRule="auto"/>
              <w:rPr>
                <w:sz w:val="19"/>
                <w:szCs w:val="19"/>
              </w:rPr>
            </w:pPr>
            <w:r>
              <w:rPr>
                <w:sz w:val="19"/>
                <w:szCs w:val="19"/>
              </w:rPr>
              <w:t>60</w:t>
            </w:r>
          </w:p>
        </w:tc>
        <w:tc>
          <w:tcPr>
            <w:tcW w:w="1543" w:type="dxa"/>
            <w:vAlign w:val="top"/>
          </w:tcPr>
          <w:p>
            <w:pPr>
              <w:pStyle w:val="TableText"/>
              <w:ind w:left="942"/>
              <w:spacing w:before="76" w:line="211" w:lineRule="auto"/>
              <w:rPr>
                <w:sz w:val="19"/>
                <w:szCs w:val="19"/>
              </w:rPr>
            </w:pPr>
            <w:r>
              <w:rPr>
                <w:sz w:val="19"/>
                <w:szCs w:val="19"/>
                <w:spacing w:val="2"/>
              </w:rPr>
              <w:t>64114</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17"/>
              <w:spacing w:before="81" w:line="206" w:lineRule="auto"/>
              <w:rPr>
                <w:sz w:val="19"/>
                <w:szCs w:val="19"/>
              </w:rPr>
            </w:pPr>
            <w:r>
              <w:rPr>
                <w:sz w:val="19"/>
                <w:szCs w:val="19"/>
                <w:spacing w:val="5"/>
              </w:rPr>
              <w:t>医疗救助</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5"/>
              <w:spacing w:before="78" w:line="209" w:lineRule="auto"/>
              <w:rPr>
                <w:sz w:val="19"/>
                <w:szCs w:val="19"/>
              </w:rPr>
            </w:pPr>
            <w:r>
              <w:rPr>
                <w:sz w:val="19"/>
                <w:szCs w:val="19"/>
                <w:spacing w:val="7"/>
              </w:rPr>
              <w:t>优抚对象医疗：</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17"/>
              <w:spacing w:before="80" w:line="207" w:lineRule="auto"/>
              <w:rPr>
                <w:sz w:val="19"/>
                <w:szCs w:val="19"/>
              </w:rPr>
            </w:pPr>
            <w:r>
              <w:rPr>
                <w:sz w:val="19"/>
                <w:szCs w:val="19"/>
                <w:spacing w:val="7"/>
              </w:rPr>
              <w:t>医疗保障管理事务</w:t>
            </w:r>
          </w:p>
        </w:tc>
        <w:tc>
          <w:tcPr>
            <w:tcW w:w="1201" w:type="dxa"/>
            <w:vAlign w:val="top"/>
          </w:tcPr>
          <w:p>
            <w:pPr>
              <w:pStyle w:val="TableText"/>
              <w:ind w:left="798"/>
              <w:spacing w:before="78" w:line="209" w:lineRule="auto"/>
              <w:rPr>
                <w:sz w:val="19"/>
                <w:szCs w:val="19"/>
              </w:rPr>
            </w:pPr>
            <w:r>
              <w:rPr>
                <w:sz w:val="19"/>
                <w:szCs w:val="19"/>
              </w:rPr>
              <w:t>388</w:t>
            </w:r>
          </w:p>
        </w:tc>
        <w:tc>
          <w:tcPr>
            <w:tcW w:w="1052" w:type="dxa"/>
            <w:vAlign w:val="top"/>
          </w:tcPr>
          <w:p>
            <w:pPr>
              <w:pStyle w:val="TableText"/>
              <w:ind w:left="663"/>
              <w:spacing w:before="78" w:line="209" w:lineRule="auto"/>
              <w:rPr>
                <w:sz w:val="19"/>
                <w:szCs w:val="19"/>
              </w:rPr>
            </w:pPr>
            <w:r>
              <w:rPr>
                <w:sz w:val="19"/>
                <w:szCs w:val="19"/>
                <w:spacing w:val="-4"/>
              </w:rPr>
              <w:t>148</w:t>
            </w:r>
          </w:p>
        </w:tc>
        <w:tc>
          <w:tcPr>
            <w:tcW w:w="1543" w:type="dxa"/>
            <w:vAlign w:val="top"/>
          </w:tcPr>
          <w:p>
            <w:pPr>
              <w:pStyle w:val="TableText"/>
              <w:ind w:left="1138"/>
              <w:spacing w:before="78" w:line="209" w:lineRule="auto"/>
              <w:rPr>
                <w:sz w:val="19"/>
                <w:szCs w:val="19"/>
              </w:rPr>
            </w:pPr>
            <w:r>
              <w:rPr>
                <w:sz w:val="19"/>
                <w:szCs w:val="19"/>
                <w:spacing w:val="1"/>
              </w:rPr>
              <w:t>240</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9"/>
              <w:spacing w:before="84" w:line="205" w:lineRule="auto"/>
              <w:rPr>
                <w:sz w:val="19"/>
                <w:szCs w:val="19"/>
              </w:rPr>
            </w:pPr>
            <w:r>
              <w:rPr>
                <w:sz w:val="19"/>
                <w:szCs w:val="19"/>
                <w:spacing w:val="8"/>
              </w:rPr>
              <w:t>老龄卫生健康事务</w:t>
            </w:r>
          </w:p>
        </w:tc>
        <w:tc>
          <w:tcPr>
            <w:tcW w:w="1201" w:type="dxa"/>
            <w:vAlign w:val="top"/>
          </w:tcPr>
          <w:p>
            <w:pPr>
              <w:pStyle w:val="TableText"/>
              <w:ind w:left="992"/>
              <w:spacing w:before="80" w:line="208" w:lineRule="auto"/>
              <w:rPr>
                <w:sz w:val="19"/>
                <w:szCs w:val="19"/>
              </w:rPr>
            </w:pPr>
            <w:r>
              <w:rPr>
                <w:sz w:val="19"/>
                <w:szCs w:val="19"/>
              </w:rPr>
              <w:t>5</w:t>
            </w:r>
          </w:p>
        </w:tc>
        <w:tc>
          <w:tcPr>
            <w:tcW w:w="1052" w:type="dxa"/>
            <w:vAlign w:val="top"/>
          </w:tcPr>
          <w:p>
            <w:pPr>
              <w:pStyle w:val="TableText"/>
              <w:ind w:left="845"/>
              <w:spacing w:before="80" w:line="208" w:lineRule="auto"/>
              <w:rPr>
                <w:sz w:val="19"/>
                <w:szCs w:val="19"/>
              </w:rPr>
            </w:pPr>
            <w:r>
              <w:rPr>
                <w:sz w:val="19"/>
                <w:szCs w:val="19"/>
              </w:rPr>
              <w:t>5</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4"/>
              <w:spacing w:before="82" w:line="206" w:lineRule="auto"/>
              <w:rPr>
                <w:sz w:val="19"/>
                <w:szCs w:val="19"/>
              </w:rPr>
            </w:pPr>
            <w:r>
              <w:rPr>
                <w:sz w:val="19"/>
                <w:szCs w:val="19"/>
                <w:spacing w:val="9"/>
              </w:rPr>
              <w:t>其他卫生健康支出</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114"/>
              <w:spacing w:before="85" w:line="204" w:lineRule="auto"/>
              <w:rPr>
                <w:sz w:val="19"/>
                <w:szCs w:val="19"/>
              </w:rPr>
            </w:pPr>
            <w:r>
              <w:rPr>
                <w:sz w:val="19"/>
                <w:szCs w:val="19"/>
                <w:spacing w:val="8"/>
              </w:rPr>
              <w:t>十、节能环保支出</w:t>
            </w:r>
          </w:p>
        </w:tc>
        <w:tc>
          <w:tcPr>
            <w:tcW w:w="1201" w:type="dxa"/>
            <w:vAlign w:val="top"/>
          </w:tcPr>
          <w:p>
            <w:pPr>
              <w:pStyle w:val="TableText"/>
              <w:ind w:left="696"/>
              <w:spacing w:before="79" w:line="209" w:lineRule="auto"/>
              <w:rPr>
                <w:sz w:val="19"/>
                <w:szCs w:val="19"/>
              </w:rPr>
            </w:pPr>
            <w:r>
              <w:rPr>
                <w:sz w:val="19"/>
                <w:szCs w:val="19"/>
                <w:spacing w:val="2"/>
              </w:rPr>
              <w:t>9683</w:t>
            </w:r>
          </w:p>
        </w:tc>
        <w:tc>
          <w:tcPr>
            <w:tcW w:w="1052" w:type="dxa"/>
            <w:vAlign w:val="top"/>
          </w:tcPr>
          <w:p>
            <w:pPr>
              <w:pStyle w:val="TableText"/>
              <w:ind w:left="562"/>
              <w:spacing w:before="79" w:line="209" w:lineRule="auto"/>
              <w:rPr>
                <w:sz w:val="19"/>
                <w:szCs w:val="19"/>
              </w:rPr>
            </w:pPr>
            <w:r>
              <w:rPr>
                <w:sz w:val="19"/>
                <w:szCs w:val="19"/>
                <w:spacing w:val="-2"/>
              </w:rPr>
              <w:t>1795</w:t>
            </w:r>
          </w:p>
        </w:tc>
        <w:tc>
          <w:tcPr>
            <w:tcW w:w="1543" w:type="dxa"/>
            <w:vAlign w:val="top"/>
          </w:tcPr>
          <w:p>
            <w:pPr>
              <w:pStyle w:val="TableText"/>
              <w:ind w:left="1038"/>
              <w:spacing w:before="79" w:line="209" w:lineRule="auto"/>
              <w:rPr>
                <w:sz w:val="19"/>
                <w:szCs w:val="19"/>
              </w:rPr>
            </w:pPr>
            <w:r>
              <w:rPr>
                <w:sz w:val="19"/>
                <w:szCs w:val="19"/>
                <w:spacing w:val="3"/>
              </w:rPr>
              <w:t>7888</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6"/>
              <w:spacing w:before="84" w:line="205" w:lineRule="auto"/>
              <w:rPr>
                <w:sz w:val="19"/>
                <w:szCs w:val="19"/>
              </w:rPr>
            </w:pPr>
            <w:r>
              <w:rPr>
                <w:sz w:val="19"/>
                <w:szCs w:val="19"/>
                <w:spacing w:val="9"/>
              </w:rPr>
              <w:t>环境保护管理事务</w:t>
            </w:r>
          </w:p>
        </w:tc>
        <w:tc>
          <w:tcPr>
            <w:tcW w:w="1201" w:type="dxa"/>
            <w:vAlign w:val="top"/>
          </w:tcPr>
          <w:p>
            <w:pPr>
              <w:pStyle w:val="TableText"/>
              <w:ind w:left="794"/>
              <w:spacing w:before="79" w:line="209" w:lineRule="auto"/>
              <w:rPr>
                <w:sz w:val="19"/>
                <w:szCs w:val="19"/>
              </w:rPr>
            </w:pPr>
            <w:r>
              <w:rPr>
                <w:sz w:val="19"/>
                <w:szCs w:val="19"/>
                <w:spacing w:val="1"/>
              </w:rPr>
              <w:t>992</w:t>
            </w:r>
          </w:p>
        </w:tc>
        <w:tc>
          <w:tcPr>
            <w:tcW w:w="1052" w:type="dxa"/>
            <w:vAlign w:val="top"/>
          </w:tcPr>
          <w:p>
            <w:pPr>
              <w:pStyle w:val="TableText"/>
              <w:ind w:left="647"/>
              <w:spacing w:before="79" w:line="209" w:lineRule="auto"/>
              <w:rPr>
                <w:sz w:val="19"/>
                <w:szCs w:val="19"/>
              </w:rPr>
            </w:pPr>
            <w:r>
              <w:rPr>
                <w:sz w:val="19"/>
                <w:szCs w:val="19"/>
                <w:spacing w:val="1"/>
              </w:rPr>
              <w:t>992</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6"/>
              <w:spacing w:before="86" w:line="203" w:lineRule="auto"/>
              <w:rPr>
                <w:sz w:val="19"/>
                <w:szCs w:val="19"/>
              </w:rPr>
            </w:pPr>
            <w:r>
              <w:rPr>
                <w:sz w:val="19"/>
                <w:szCs w:val="19"/>
                <w:spacing w:val="9"/>
              </w:rPr>
              <w:t>环境监测与监察</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14" w:hRule="atLeast"/>
        </w:trPr>
        <w:tc>
          <w:tcPr>
            <w:tcW w:w="4301" w:type="dxa"/>
            <w:vAlign w:val="top"/>
            <w:tcBorders>
              <w:left w:val="single" w:color="000000" w:sz="6" w:space="0"/>
              <w:bottom w:val="single" w:color="000000" w:sz="6" w:space="0"/>
            </w:tcBorders>
          </w:tcPr>
          <w:p>
            <w:pPr>
              <w:pStyle w:val="TableText"/>
              <w:ind w:left="509"/>
              <w:spacing w:before="85" w:line="212" w:lineRule="auto"/>
              <w:rPr>
                <w:sz w:val="19"/>
                <w:szCs w:val="19"/>
              </w:rPr>
            </w:pPr>
            <w:r>
              <w:rPr>
                <w:sz w:val="19"/>
                <w:szCs w:val="19"/>
                <w:spacing w:val="7"/>
              </w:rPr>
              <w:t>污染防治</w:t>
            </w:r>
          </w:p>
        </w:tc>
        <w:tc>
          <w:tcPr>
            <w:tcW w:w="1201" w:type="dxa"/>
            <w:vAlign w:val="top"/>
            <w:tcBorders>
              <w:bottom w:val="single" w:color="000000" w:sz="6" w:space="0"/>
            </w:tcBorders>
          </w:tcPr>
          <w:p>
            <w:pPr>
              <w:pStyle w:val="TableText"/>
              <w:ind w:left="697"/>
              <w:spacing w:before="80" w:line="217" w:lineRule="auto"/>
              <w:rPr>
                <w:sz w:val="19"/>
                <w:szCs w:val="19"/>
              </w:rPr>
            </w:pPr>
            <w:r>
              <w:rPr>
                <w:sz w:val="19"/>
                <w:szCs w:val="19"/>
                <w:spacing w:val="1"/>
              </w:rPr>
              <w:t>6635</w:t>
            </w:r>
          </w:p>
        </w:tc>
        <w:tc>
          <w:tcPr>
            <w:tcW w:w="1052" w:type="dxa"/>
            <w:vAlign w:val="top"/>
            <w:tcBorders>
              <w:bottom w:val="single" w:color="000000" w:sz="6" w:space="0"/>
            </w:tcBorders>
          </w:tcPr>
          <w:p>
            <w:pPr>
              <w:rPr>
                <w:rFonts w:ascii="Arial"/>
                <w:sz w:val="21"/>
              </w:rPr>
            </w:pPr>
            <w:r/>
          </w:p>
        </w:tc>
        <w:tc>
          <w:tcPr>
            <w:tcW w:w="1543" w:type="dxa"/>
            <w:vAlign w:val="top"/>
            <w:tcBorders>
              <w:bottom w:val="single" w:color="000000" w:sz="6" w:space="0"/>
            </w:tcBorders>
          </w:tcPr>
          <w:p>
            <w:pPr>
              <w:pStyle w:val="TableText"/>
              <w:ind w:left="1041"/>
              <w:spacing w:before="80" w:line="217" w:lineRule="auto"/>
              <w:rPr>
                <w:sz w:val="19"/>
                <w:szCs w:val="19"/>
              </w:rPr>
            </w:pPr>
            <w:r>
              <w:rPr>
                <w:sz w:val="19"/>
                <w:szCs w:val="19"/>
                <w:spacing w:val="2"/>
              </w:rPr>
              <w:t>6635</w:t>
            </w:r>
          </w:p>
        </w:tc>
        <w:tc>
          <w:tcPr>
            <w:tcW w:w="1379" w:type="dxa"/>
            <w:vAlign w:val="top"/>
            <w:tcBorders>
              <w:bottom w:val="single" w:color="000000" w:sz="6" w:space="0"/>
            </w:tcBorders>
          </w:tcPr>
          <w:p>
            <w:pPr>
              <w:rPr>
                <w:rFonts w:ascii="Arial"/>
                <w:sz w:val="21"/>
              </w:rPr>
            </w:pPr>
            <w:r/>
          </w:p>
        </w:tc>
        <w:tc>
          <w:tcPr>
            <w:tcW w:w="1134" w:type="dxa"/>
            <w:vAlign w:val="top"/>
            <w:tcBorders>
              <w:bottom w:val="single" w:color="000000" w:sz="6" w:space="0"/>
            </w:tcBorders>
          </w:tcPr>
          <w:p>
            <w:pPr>
              <w:rPr>
                <w:rFonts w:ascii="Arial"/>
                <w:sz w:val="21"/>
              </w:rPr>
            </w:pPr>
            <w:r/>
          </w:p>
        </w:tc>
        <w:tc>
          <w:tcPr>
            <w:tcW w:w="1460" w:type="dxa"/>
            <w:vAlign w:val="top"/>
            <w:tcBorders>
              <w:bottom w:val="single" w:color="000000" w:sz="6" w:space="0"/>
            </w:tcBorders>
          </w:tcPr>
          <w:p>
            <w:pPr>
              <w:rPr>
                <w:rFonts w:ascii="Arial"/>
                <w:sz w:val="21"/>
              </w:rPr>
            </w:pPr>
            <w:r/>
          </w:p>
        </w:tc>
        <w:tc>
          <w:tcPr>
            <w:tcW w:w="1826"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61"/>
          <w:footerReference w:type="default" r:id="rId74"/>
          <w:pgSz w:w="16839" w:h="11906"/>
          <w:pgMar w:top="1792" w:right="1463" w:bottom="1671" w:left="1463" w:header="1428" w:footer="1277" w:gutter="0"/>
        </w:sectPr>
        <w:rPr>
          <w:rFonts w:ascii="Arial" w:hAnsi="Arial" w:eastAsia="Arial" w:cs="Arial"/>
          <w:sz w:val="21"/>
          <w:szCs w:val="21"/>
        </w:rPr>
      </w:pPr>
    </w:p>
    <w:p>
      <w:pPr>
        <w:spacing w:line="165" w:lineRule="exact"/>
        <w:rPr/>
      </w:pPr>
      <w:r>
        <w:drawing>
          <wp:anchor distT="0" distB="0" distL="0" distR="0" simplePos="0" relativeHeight="251674624" behindDoc="0" locked="0" layoutInCell="0" allowOverlap="1">
            <wp:simplePos x="0" y="0"/>
            <wp:positionH relativeFrom="page">
              <wp:posOffset>979805</wp:posOffset>
            </wp:positionH>
            <wp:positionV relativeFrom="page">
              <wp:posOffset>1155700</wp:posOffset>
            </wp:positionV>
            <wp:extent cx="8712200" cy="7620"/>
            <wp:effectExtent l="0" t="0" r="0" b="0"/>
            <wp:wrapNone/>
            <wp:docPr id="150" name="IM 150"/>
            <wp:cNvGraphicFramePr/>
            <a:graphic>
              <a:graphicData uri="http://schemas.openxmlformats.org/drawingml/2006/picture">
                <pic:pic>
                  <pic:nvPicPr>
                    <pic:cNvPr id="150" name="IM 150"/>
                    <pic:cNvPicPr/>
                  </pic:nvPicPr>
                  <pic:blipFill>
                    <a:blip r:embed="rId77"/>
                    <a:stretch>
                      <a:fillRect/>
                    </a:stretch>
                  </pic:blipFill>
                  <pic:spPr>
                    <a:xfrm rot="0">
                      <a:off x="0" y="0"/>
                      <a:ext cx="8712200" cy="7620"/>
                    </a:xfrm>
                    <a:prstGeom prst="rect">
                      <a:avLst/>
                    </a:prstGeom>
                  </pic:spPr>
                </pic:pic>
              </a:graphicData>
            </a:graphic>
          </wp:anchor>
        </w:drawing>
      </w: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301"/>
        <w:gridCol w:w="1201"/>
        <w:gridCol w:w="1052"/>
        <w:gridCol w:w="1543"/>
        <w:gridCol w:w="1379"/>
        <w:gridCol w:w="1134"/>
        <w:gridCol w:w="1460"/>
        <w:gridCol w:w="1826"/>
      </w:tblGrid>
      <w:tr>
        <w:trPr>
          <w:trHeight w:val="611" w:hRule="atLeast"/>
        </w:trPr>
        <w:tc>
          <w:tcPr>
            <w:tcW w:w="4301" w:type="dxa"/>
            <w:vAlign w:val="top"/>
            <w:tcBorders>
              <w:left w:val="single" w:color="000000" w:sz="6" w:space="0"/>
              <w:top w:val="single" w:color="000000" w:sz="6" w:space="0"/>
            </w:tcBorders>
          </w:tcPr>
          <w:p>
            <w:pPr>
              <w:pStyle w:val="TableText"/>
              <w:ind w:left="1945"/>
              <w:spacing w:before="232" w:line="212" w:lineRule="auto"/>
              <w:rPr>
                <w:sz w:val="19"/>
                <w:szCs w:val="19"/>
              </w:rPr>
            </w:pPr>
            <w:r>
              <w:rPr>
                <w:sz w:val="19"/>
                <w:szCs w:val="19"/>
                <w:b/>
                <w:bCs/>
                <w:spacing w:val="6"/>
              </w:rPr>
              <w:t>项目</w:t>
            </w:r>
          </w:p>
        </w:tc>
        <w:tc>
          <w:tcPr>
            <w:tcW w:w="1201" w:type="dxa"/>
            <w:vAlign w:val="top"/>
            <w:tcBorders>
              <w:top w:val="single" w:color="000000" w:sz="6" w:space="0"/>
            </w:tcBorders>
          </w:tcPr>
          <w:p>
            <w:pPr>
              <w:pStyle w:val="TableText"/>
              <w:ind w:left="396"/>
              <w:spacing w:before="227" w:line="223" w:lineRule="auto"/>
              <w:rPr>
                <w:sz w:val="19"/>
                <w:szCs w:val="19"/>
              </w:rPr>
            </w:pPr>
            <w:r>
              <w:rPr>
                <w:sz w:val="19"/>
                <w:szCs w:val="19"/>
                <w:b/>
                <w:bCs/>
                <w:spacing w:val="6"/>
              </w:rPr>
              <w:t>合计</w:t>
            </w:r>
          </w:p>
        </w:tc>
        <w:tc>
          <w:tcPr>
            <w:tcW w:w="1052" w:type="dxa"/>
            <w:vAlign w:val="top"/>
            <w:tcBorders>
              <w:top w:val="single" w:color="000000" w:sz="6" w:space="0"/>
            </w:tcBorders>
          </w:tcPr>
          <w:p>
            <w:pPr>
              <w:pStyle w:val="TableText"/>
              <w:ind w:left="124"/>
              <w:spacing w:before="230" w:line="216" w:lineRule="auto"/>
              <w:rPr>
                <w:sz w:val="19"/>
                <w:szCs w:val="19"/>
              </w:rPr>
            </w:pPr>
            <w:r>
              <w:rPr>
                <w:sz w:val="19"/>
                <w:szCs w:val="19"/>
                <w:b/>
                <w:bCs/>
                <w:spacing w:val="7"/>
              </w:rPr>
              <w:t>财力安排</w:t>
            </w:r>
          </w:p>
        </w:tc>
        <w:tc>
          <w:tcPr>
            <w:tcW w:w="1543" w:type="dxa"/>
            <w:vAlign w:val="top"/>
            <w:tcBorders>
              <w:top w:val="single" w:color="000000" w:sz="6" w:space="0"/>
            </w:tcBorders>
          </w:tcPr>
          <w:p>
            <w:pPr>
              <w:pStyle w:val="TableText"/>
              <w:ind w:left="369"/>
              <w:spacing w:before="75" w:line="224" w:lineRule="auto"/>
              <w:rPr>
                <w:sz w:val="19"/>
                <w:szCs w:val="19"/>
              </w:rPr>
            </w:pPr>
            <w:r>
              <w:rPr>
                <w:sz w:val="19"/>
                <w:szCs w:val="19"/>
                <w:b/>
                <w:bCs/>
                <w:spacing w:val="7"/>
              </w:rPr>
              <w:t>专项转移</w:t>
            </w:r>
          </w:p>
          <w:p>
            <w:pPr>
              <w:pStyle w:val="TableText"/>
              <w:ind w:left="171"/>
              <w:spacing w:before="68" w:line="220" w:lineRule="auto"/>
              <w:rPr>
                <w:sz w:val="19"/>
                <w:szCs w:val="19"/>
              </w:rPr>
            </w:pPr>
            <w:r>
              <w:rPr>
                <w:sz w:val="19"/>
                <w:szCs w:val="19"/>
                <w:b/>
                <w:bCs/>
                <w:spacing w:val="7"/>
              </w:rPr>
              <w:t>支付收入安排</w:t>
            </w:r>
          </w:p>
        </w:tc>
        <w:tc>
          <w:tcPr>
            <w:tcW w:w="1379" w:type="dxa"/>
            <w:vAlign w:val="top"/>
            <w:tcBorders>
              <w:top w:val="single" w:color="000000" w:sz="6" w:space="0"/>
            </w:tcBorders>
          </w:tcPr>
          <w:p>
            <w:pPr>
              <w:pStyle w:val="TableText"/>
              <w:ind w:left="293"/>
              <w:spacing w:before="78" w:line="218" w:lineRule="auto"/>
              <w:rPr>
                <w:sz w:val="19"/>
                <w:szCs w:val="19"/>
              </w:rPr>
            </w:pPr>
            <w:r>
              <w:rPr>
                <w:sz w:val="19"/>
                <w:szCs w:val="19"/>
                <w:b/>
                <w:bCs/>
                <w:spacing w:val="6"/>
              </w:rPr>
              <w:t>动用上年</w:t>
            </w:r>
          </w:p>
          <w:p>
            <w:pPr>
              <w:pStyle w:val="TableText"/>
              <w:ind w:left="290"/>
              <w:spacing w:before="72" w:line="220" w:lineRule="auto"/>
              <w:rPr>
                <w:sz w:val="19"/>
                <w:szCs w:val="19"/>
              </w:rPr>
            </w:pPr>
            <w:r>
              <w:rPr>
                <w:sz w:val="19"/>
                <w:szCs w:val="19"/>
                <w:b/>
                <w:bCs/>
                <w:spacing w:val="7"/>
              </w:rPr>
              <w:t>结余安排</w:t>
            </w:r>
          </w:p>
        </w:tc>
        <w:tc>
          <w:tcPr>
            <w:tcW w:w="1134" w:type="dxa"/>
            <w:vAlign w:val="top"/>
            <w:tcBorders>
              <w:top w:val="single" w:color="000000" w:sz="6" w:space="0"/>
            </w:tcBorders>
          </w:tcPr>
          <w:p>
            <w:pPr>
              <w:pStyle w:val="TableText"/>
              <w:ind w:left="169"/>
              <w:spacing w:before="227" w:line="222" w:lineRule="auto"/>
              <w:rPr>
                <w:sz w:val="19"/>
                <w:szCs w:val="19"/>
              </w:rPr>
            </w:pPr>
            <w:r>
              <w:rPr>
                <w:sz w:val="19"/>
                <w:szCs w:val="19"/>
                <w:b/>
                <w:bCs/>
                <w:spacing w:val="7"/>
              </w:rPr>
              <w:t>调入资金</w:t>
            </w:r>
          </w:p>
        </w:tc>
        <w:tc>
          <w:tcPr>
            <w:tcW w:w="1460" w:type="dxa"/>
            <w:vAlign w:val="top"/>
            <w:tcBorders>
              <w:top w:val="single" w:color="000000" w:sz="6" w:space="0"/>
            </w:tcBorders>
          </w:tcPr>
          <w:p>
            <w:pPr>
              <w:pStyle w:val="TableText"/>
              <w:ind w:left="134"/>
              <w:spacing w:before="227" w:line="220" w:lineRule="auto"/>
              <w:rPr>
                <w:sz w:val="19"/>
                <w:szCs w:val="19"/>
              </w:rPr>
            </w:pPr>
            <w:r>
              <w:rPr>
                <w:sz w:val="19"/>
                <w:szCs w:val="19"/>
                <w:b/>
                <w:bCs/>
                <w:spacing w:val="7"/>
              </w:rPr>
              <w:t>政府债务资金</w:t>
            </w:r>
          </w:p>
        </w:tc>
        <w:tc>
          <w:tcPr>
            <w:tcW w:w="1826" w:type="dxa"/>
            <w:vAlign w:val="top"/>
            <w:tcBorders>
              <w:right w:val="single" w:color="000000" w:sz="6" w:space="0"/>
              <w:top w:val="single" w:color="000000" w:sz="6" w:space="0"/>
            </w:tcBorders>
          </w:tcPr>
          <w:p>
            <w:pPr>
              <w:pStyle w:val="TableText"/>
              <w:ind w:left="514"/>
              <w:spacing w:before="227" w:line="222" w:lineRule="auto"/>
              <w:rPr>
                <w:sz w:val="19"/>
                <w:szCs w:val="19"/>
              </w:rPr>
            </w:pPr>
            <w:r>
              <w:rPr>
                <w:sz w:val="19"/>
                <w:szCs w:val="19"/>
                <w:b/>
                <w:bCs/>
                <w:spacing w:val="7"/>
              </w:rPr>
              <w:t>其他资金</w:t>
            </w:r>
          </w:p>
        </w:tc>
      </w:tr>
      <w:tr>
        <w:trPr>
          <w:trHeight w:val="304" w:hRule="atLeast"/>
        </w:trPr>
        <w:tc>
          <w:tcPr>
            <w:tcW w:w="4301" w:type="dxa"/>
            <w:vAlign w:val="top"/>
            <w:tcBorders>
              <w:left w:val="single" w:color="000000" w:sz="6" w:space="0"/>
            </w:tcBorders>
          </w:tcPr>
          <w:p>
            <w:pPr>
              <w:pStyle w:val="TableText"/>
              <w:ind w:left="543"/>
              <w:spacing w:before="72" w:line="215" w:lineRule="auto"/>
              <w:rPr>
                <w:sz w:val="19"/>
                <w:szCs w:val="19"/>
              </w:rPr>
            </w:pPr>
            <w:r>
              <w:rPr>
                <w:sz w:val="19"/>
                <w:szCs w:val="19"/>
                <w:spacing w:val="2"/>
              </w:rPr>
              <w:t>自然生态保护</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9"/>
              <w:spacing w:before="72" w:line="215" w:lineRule="auto"/>
              <w:rPr>
                <w:sz w:val="19"/>
                <w:szCs w:val="19"/>
              </w:rPr>
            </w:pPr>
            <w:r>
              <w:rPr>
                <w:sz w:val="19"/>
                <w:szCs w:val="19"/>
                <w:spacing w:val="8"/>
              </w:rPr>
              <w:t>天然林保护</w:t>
            </w:r>
          </w:p>
        </w:tc>
        <w:tc>
          <w:tcPr>
            <w:tcW w:w="1201" w:type="dxa"/>
            <w:vAlign w:val="top"/>
          </w:tcPr>
          <w:p>
            <w:pPr>
              <w:pStyle w:val="TableText"/>
              <w:ind w:left="795"/>
              <w:spacing w:before="68" w:line="219" w:lineRule="auto"/>
              <w:rPr>
                <w:sz w:val="19"/>
                <w:szCs w:val="19"/>
              </w:rPr>
            </w:pPr>
            <w:r>
              <w:rPr>
                <w:sz w:val="19"/>
                <w:szCs w:val="19"/>
                <w:spacing w:val="1"/>
              </w:rPr>
              <w:t>549</w:t>
            </w:r>
          </w:p>
        </w:tc>
        <w:tc>
          <w:tcPr>
            <w:tcW w:w="1052" w:type="dxa"/>
            <w:vAlign w:val="top"/>
          </w:tcPr>
          <w:p>
            <w:pPr>
              <w:rPr>
                <w:rFonts w:ascii="Arial"/>
                <w:sz w:val="21"/>
              </w:rPr>
            </w:pPr>
            <w:r/>
          </w:p>
        </w:tc>
        <w:tc>
          <w:tcPr>
            <w:tcW w:w="1543" w:type="dxa"/>
            <w:vAlign w:val="top"/>
          </w:tcPr>
          <w:p>
            <w:pPr>
              <w:pStyle w:val="TableText"/>
              <w:ind w:left="1139"/>
              <w:spacing w:before="68" w:line="219" w:lineRule="auto"/>
              <w:rPr>
                <w:sz w:val="19"/>
                <w:szCs w:val="19"/>
              </w:rPr>
            </w:pPr>
            <w:r>
              <w:rPr>
                <w:sz w:val="19"/>
                <w:szCs w:val="19"/>
                <w:spacing w:val="1"/>
              </w:rPr>
              <w:t>549</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5"/>
              <w:spacing w:before="71" w:line="216" w:lineRule="auto"/>
              <w:rPr>
                <w:sz w:val="19"/>
                <w:szCs w:val="19"/>
              </w:rPr>
            </w:pPr>
            <w:r>
              <w:rPr>
                <w:sz w:val="19"/>
                <w:szCs w:val="19"/>
                <w:spacing w:val="9"/>
              </w:rPr>
              <w:t>退耕还林还草</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8"/>
              <w:spacing w:before="72" w:line="215" w:lineRule="auto"/>
              <w:rPr>
                <w:sz w:val="19"/>
                <w:szCs w:val="19"/>
              </w:rPr>
            </w:pPr>
            <w:r>
              <w:rPr>
                <w:sz w:val="19"/>
                <w:szCs w:val="19"/>
                <w:spacing w:val="8"/>
              </w:rPr>
              <w:t>风沙荒漠治理</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5"/>
              <w:spacing w:before="78" w:line="209" w:lineRule="auto"/>
              <w:rPr>
                <w:sz w:val="19"/>
                <w:szCs w:val="19"/>
              </w:rPr>
            </w:pPr>
            <w:r>
              <w:rPr>
                <w:sz w:val="19"/>
                <w:szCs w:val="19"/>
                <w:spacing w:val="8"/>
              </w:rPr>
              <w:t>退牧还草</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22"/>
              <w:spacing w:before="75" w:line="212" w:lineRule="auto"/>
              <w:rPr>
                <w:sz w:val="19"/>
                <w:szCs w:val="19"/>
              </w:rPr>
            </w:pPr>
            <w:r>
              <w:rPr>
                <w:sz w:val="19"/>
                <w:szCs w:val="19"/>
                <w:spacing w:val="7"/>
              </w:rPr>
              <w:t>已垦草原退耕还草</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10"/>
              <w:spacing w:before="78" w:line="210" w:lineRule="auto"/>
              <w:rPr>
                <w:sz w:val="19"/>
                <w:szCs w:val="19"/>
              </w:rPr>
            </w:pPr>
            <w:r>
              <w:rPr>
                <w:sz w:val="19"/>
                <w:szCs w:val="19"/>
                <w:spacing w:val="8"/>
              </w:rPr>
              <w:t>能源节约利用</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9"/>
              <w:spacing w:before="77" w:line="211" w:lineRule="auto"/>
              <w:rPr>
                <w:sz w:val="19"/>
                <w:szCs w:val="19"/>
              </w:rPr>
            </w:pPr>
            <w:r>
              <w:rPr>
                <w:sz w:val="19"/>
                <w:szCs w:val="19"/>
                <w:spacing w:val="7"/>
              </w:rPr>
              <w:t>污染减排</w:t>
            </w:r>
          </w:p>
        </w:tc>
        <w:tc>
          <w:tcPr>
            <w:tcW w:w="1201" w:type="dxa"/>
            <w:vAlign w:val="top"/>
          </w:tcPr>
          <w:p>
            <w:pPr>
              <w:pStyle w:val="TableText"/>
              <w:ind w:left="712"/>
              <w:spacing w:before="72" w:line="216" w:lineRule="auto"/>
              <w:rPr>
                <w:sz w:val="19"/>
                <w:szCs w:val="19"/>
              </w:rPr>
            </w:pPr>
            <w:r>
              <w:rPr>
                <w:sz w:val="19"/>
                <w:szCs w:val="19"/>
                <w:spacing w:val="-2"/>
              </w:rPr>
              <w:t>1457</w:t>
            </w:r>
          </w:p>
        </w:tc>
        <w:tc>
          <w:tcPr>
            <w:tcW w:w="1052" w:type="dxa"/>
            <w:vAlign w:val="top"/>
          </w:tcPr>
          <w:p>
            <w:pPr>
              <w:pStyle w:val="TableText"/>
              <w:ind w:left="646"/>
              <w:spacing w:before="72" w:line="216" w:lineRule="auto"/>
              <w:rPr>
                <w:sz w:val="19"/>
                <w:szCs w:val="19"/>
              </w:rPr>
            </w:pPr>
            <w:r>
              <w:rPr>
                <w:sz w:val="19"/>
                <w:szCs w:val="19"/>
                <w:spacing w:val="2"/>
              </w:rPr>
              <w:t>753</w:t>
            </w:r>
          </w:p>
        </w:tc>
        <w:tc>
          <w:tcPr>
            <w:tcW w:w="1543" w:type="dxa"/>
            <w:vAlign w:val="top"/>
          </w:tcPr>
          <w:p>
            <w:pPr>
              <w:pStyle w:val="TableText"/>
              <w:ind w:left="1137"/>
              <w:spacing w:before="72" w:line="216" w:lineRule="auto"/>
              <w:rPr>
                <w:sz w:val="19"/>
                <w:szCs w:val="19"/>
              </w:rPr>
            </w:pPr>
            <w:r>
              <w:rPr>
                <w:sz w:val="19"/>
                <w:szCs w:val="19"/>
                <w:spacing w:val="2"/>
              </w:rPr>
              <w:t>704</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8"/>
              <w:spacing w:before="80" w:line="208" w:lineRule="auto"/>
              <w:rPr>
                <w:sz w:val="19"/>
                <w:szCs w:val="19"/>
              </w:rPr>
            </w:pPr>
            <w:r>
              <w:rPr>
                <w:sz w:val="19"/>
                <w:szCs w:val="19"/>
                <w:spacing w:val="8"/>
              </w:rPr>
              <w:t>可再生能源</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3"/>
              <w:spacing w:before="76" w:line="212" w:lineRule="auto"/>
              <w:rPr>
                <w:sz w:val="19"/>
                <w:szCs w:val="19"/>
              </w:rPr>
            </w:pPr>
            <w:r>
              <w:rPr>
                <w:sz w:val="19"/>
                <w:szCs w:val="19"/>
                <w:spacing w:val="9"/>
              </w:rPr>
              <w:t>循环经济</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10"/>
              <w:spacing w:before="77" w:line="210" w:lineRule="auto"/>
              <w:rPr>
                <w:sz w:val="19"/>
                <w:szCs w:val="19"/>
              </w:rPr>
            </w:pPr>
            <w:r>
              <w:rPr>
                <w:sz w:val="19"/>
                <w:szCs w:val="19"/>
                <w:spacing w:val="8"/>
              </w:rPr>
              <w:t>能源管理事务</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4"/>
              <w:spacing w:before="76" w:line="212" w:lineRule="auto"/>
              <w:rPr>
                <w:sz w:val="19"/>
                <w:szCs w:val="19"/>
              </w:rPr>
            </w:pPr>
            <w:r>
              <w:rPr>
                <w:sz w:val="19"/>
                <w:szCs w:val="19"/>
                <w:spacing w:val="9"/>
              </w:rPr>
              <w:t>其他节能环保支出</w:t>
            </w:r>
          </w:p>
        </w:tc>
        <w:tc>
          <w:tcPr>
            <w:tcW w:w="1201" w:type="dxa"/>
            <w:vAlign w:val="top"/>
          </w:tcPr>
          <w:p>
            <w:pPr>
              <w:pStyle w:val="TableText"/>
              <w:ind w:left="894"/>
              <w:spacing w:before="73" w:line="215" w:lineRule="auto"/>
              <w:rPr>
                <w:sz w:val="19"/>
                <w:szCs w:val="19"/>
              </w:rPr>
            </w:pPr>
            <w:r>
              <w:rPr>
                <w:sz w:val="19"/>
                <w:szCs w:val="19"/>
              </w:rPr>
              <w:t>50</w:t>
            </w:r>
          </w:p>
        </w:tc>
        <w:tc>
          <w:tcPr>
            <w:tcW w:w="1052" w:type="dxa"/>
            <w:vAlign w:val="top"/>
          </w:tcPr>
          <w:p>
            <w:pPr>
              <w:pStyle w:val="TableText"/>
              <w:ind w:left="746"/>
              <w:spacing w:before="73" w:line="215" w:lineRule="auto"/>
              <w:rPr>
                <w:sz w:val="19"/>
                <w:szCs w:val="19"/>
              </w:rPr>
            </w:pPr>
            <w:r>
              <w:rPr>
                <w:sz w:val="19"/>
                <w:szCs w:val="19"/>
              </w:rPr>
              <w:t>50</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114"/>
              <w:spacing w:before="80" w:line="207" w:lineRule="auto"/>
              <w:rPr>
                <w:sz w:val="19"/>
                <w:szCs w:val="19"/>
              </w:rPr>
            </w:pPr>
            <w:r>
              <w:rPr>
                <w:sz w:val="19"/>
                <w:szCs w:val="19"/>
                <w:spacing w:val="8"/>
              </w:rPr>
              <w:t>十一、城乡社区支出</w:t>
            </w:r>
          </w:p>
        </w:tc>
        <w:tc>
          <w:tcPr>
            <w:tcW w:w="1201" w:type="dxa"/>
            <w:vAlign w:val="top"/>
          </w:tcPr>
          <w:p>
            <w:pPr>
              <w:pStyle w:val="TableText"/>
              <w:ind w:left="611"/>
              <w:spacing w:before="74" w:line="213" w:lineRule="auto"/>
              <w:rPr>
                <w:sz w:val="19"/>
                <w:szCs w:val="19"/>
              </w:rPr>
            </w:pPr>
            <w:r>
              <w:rPr>
                <w:sz w:val="19"/>
                <w:szCs w:val="19"/>
                <w:spacing w:val="-1"/>
              </w:rPr>
              <w:t>15040</w:t>
            </w:r>
          </w:p>
        </w:tc>
        <w:tc>
          <w:tcPr>
            <w:tcW w:w="1052" w:type="dxa"/>
            <w:vAlign w:val="top"/>
          </w:tcPr>
          <w:p>
            <w:pPr>
              <w:pStyle w:val="TableText"/>
              <w:ind w:left="464"/>
              <w:spacing w:before="74" w:line="213" w:lineRule="auto"/>
              <w:rPr>
                <w:sz w:val="19"/>
                <w:szCs w:val="19"/>
              </w:rPr>
            </w:pPr>
            <w:r>
              <w:rPr>
                <w:sz w:val="19"/>
                <w:szCs w:val="19"/>
                <w:spacing w:val="-1"/>
              </w:rPr>
              <w:t>15040</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6"/>
              <w:spacing w:before="79" w:line="209" w:lineRule="auto"/>
              <w:rPr>
                <w:sz w:val="19"/>
                <w:szCs w:val="19"/>
              </w:rPr>
            </w:pPr>
            <w:r>
              <w:rPr>
                <w:sz w:val="19"/>
                <w:szCs w:val="19"/>
                <w:spacing w:val="9"/>
              </w:rPr>
              <w:t>城乡社区管理事务</w:t>
            </w:r>
          </w:p>
        </w:tc>
        <w:tc>
          <w:tcPr>
            <w:tcW w:w="1201" w:type="dxa"/>
            <w:vAlign w:val="top"/>
          </w:tcPr>
          <w:p>
            <w:pPr>
              <w:pStyle w:val="TableText"/>
              <w:ind w:left="712"/>
              <w:spacing w:before="75" w:line="213" w:lineRule="auto"/>
              <w:rPr>
                <w:sz w:val="19"/>
                <w:szCs w:val="19"/>
              </w:rPr>
            </w:pPr>
            <w:r>
              <w:rPr>
                <w:sz w:val="19"/>
                <w:szCs w:val="19"/>
                <w:spacing w:val="-2"/>
              </w:rPr>
              <w:t>1489</w:t>
            </w:r>
          </w:p>
        </w:tc>
        <w:tc>
          <w:tcPr>
            <w:tcW w:w="1052" w:type="dxa"/>
            <w:vAlign w:val="top"/>
          </w:tcPr>
          <w:p>
            <w:pPr>
              <w:pStyle w:val="TableText"/>
              <w:ind w:left="562"/>
              <w:spacing w:before="75" w:line="213" w:lineRule="auto"/>
              <w:rPr>
                <w:sz w:val="19"/>
                <w:szCs w:val="19"/>
              </w:rPr>
            </w:pPr>
            <w:r>
              <w:rPr>
                <w:sz w:val="19"/>
                <w:szCs w:val="19"/>
                <w:spacing w:val="-2"/>
              </w:rPr>
              <w:t>1489</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6"/>
              <w:spacing w:before="79" w:line="208" w:lineRule="auto"/>
              <w:rPr>
                <w:sz w:val="19"/>
                <w:szCs w:val="19"/>
              </w:rPr>
            </w:pPr>
            <w:r>
              <w:rPr>
                <w:sz w:val="19"/>
                <w:szCs w:val="19"/>
                <w:spacing w:val="9"/>
              </w:rPr>
              <w:t>城乡社区规划与管理</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6"/>
              <w:spacing w:before="80" w:line="208" w:lineRule="auto"/>
              <w:rPr>
                <w:sz w:val="19"/>
                <w:szCs w:val="19"/>
              </w:rPr>
            </w:pPr>
            <w:r>
              <w:rPr>
                <w:sz w:val="19"/>
                <w:szCs w:val="19"/>
                <w:spacing w:val="9"/>
              </w:rPr>
              <w:t>城乡社区公共设施</w:t>
            </w:r>
          </w:p>
        </w:tc>
        <w:tc>
          <w:tcPr>
            <w:tcW w:w="1201" w:type="dxa"/>
            <w:vAlign w:val="top"/>
          </w:tcPr>
          <w:p>
            <w:pPr>
              <w:pStyle w:val="TableText"/>
              <w:ind w:left="611"/>
              <w:spacing w:before="75" w:line="213" w:lineRule="auto"/>
              <w:rPr>
                <w:sz w:val="19"/>
                <w:szCs w:val="19"/>
              </w:rPr>
            </w:pPr>
            <w:r>
              <w:rPr>
                <w:sz w:val="19"/>
                <w:szCs w:val="19"/>
                <w:spacing w:val="-1"/>
              </w:rPr>
              <w:t>12050</w:t>
            </w:r>
          </w:p>
        </w:tc>
        <w:tc>
          <w:tcPr>
            <w:tcW w:w="1052" w:type="dxa"/>
            <w:vAlign w:val="top"/>
          </w:tcPr>
          <w:p>
            <w:pPr>
              <w:pStyle w:val="TableText"/>
              <w:ind w:left="464"/>
              <w:spacing w:before="75" w:line="213" w:lineRule="auto"/>
              <w:rPr>
                <w:sz w:val="19"/>
                <w:szCs w:val="19"/>
              </w:rPr>
            </w:pPr>
            <w:r>
              <w:rPr>
                <w:sz w:val="19"/>
                <w:szCs w:val="19"/>
                <w:spacing w:val="-1"/>
              </w:rPr>
              <w:t>12050</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6"/>
              <w:spacing w:before="83" w:line="205" w:lineRule="auto"/>
              <w:rPr>
                <w:sz w:val="19"/>
                <w:szCs w:val="19"/>
              </w:rPr>
            </w:pPr>
            <w:r>
              <w:rPr>
                <w:sz w:val="19"/>
                <w:szCs w:val="19"/>
                <w:spacing w:val="9"/>
              </w:rPr>
              <w:t>城乡社区环境卫生</w:t>
            </w:r>
          </w:p>
        </w:tc>
        <w:tc>
          <w:tcPr>
            <w:tcW w:w="1201" w:type="dxa"/>
            <w:vAlign w:val="top"/>
          </w:tcPr>
          <w:p>
            <w:pPr>
              <w:pStyle w:val="TableText"/>
              <w:ind w:left="712"/>
              <w:spacing w:before="76" w:line="211" w:lineRule="auto"/>
              <w:rPr>
                <w:sz w:val="19"/>
                <w:szCs w:val="19"/>
              </w:rPr>
            </w:pPr>
            <w:r>
              <w:rPr>
                <w:sz w:val="19"/>
                <w:szCs w:val="19"/>
                <w:spacing w:val="-2"/>
              </w:rPr>
              <w:t>1501</w:t>
            </w:r>
          </w:p>
        </w:tc>
        <w:tc>
          <w:tcPr>
            <w:tcW w:w="1052" w:type="dxa"/>
            <w:vAlign w:val="top"/>
          </w:tcPr>
          <w:p>
            <w:pPr>
              <w:pStyle w:val="TableText"/>
              <w:ind w:left="562"/>
              <w:spacing w:before="76" w:line="211" w:lineRule="auto"/>
              <w:rPr>
                <w:sz w:val="19"/>
                <w:szCs w:val="19"/>
              </w:rPr>
            </w:pPr>
            <w:r>
              <w:rPr>
                <w:sz w:val="19"/>
                <w:szCs w:val="19"/>
                <w:spacing w:val="-2"/>
              </w:rPr>
              <w:t>1501</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5"/>
              <w:spacing w:before="79" w:line="209" w:lineRule="auto"/>
              <w:rPr>
                <w:sz w:val="19"/>
                <w:szCs w:val="19"/>
              </w:rPr>
            </w:pPr>
            <w:r>
              <w:rPr>
                <w:sz w:val="19"/>
                <w:szCs w:val="19"/>
                <w:spacing w:val="9"/>
              </w:rPr>
              <w:t>建设市场管理与监督</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4"/>
              <w:spacing w:before="80" w:line="207" w:lineRule="auto"/>
              <w:rPr>
                <w:sz w:val="19"/>
                <w:szCs w:val="19"/>
              </w:rPr>
            </w:pPr>
            <w:r>
              <w:rPr>
                <w:sz w:val="19"/>
                <w:szCs w:val="19"/>
                <w:spacing w:val="9"/>
              </w:rPr>
              <w:t>其他城乡社区支出</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114"/>
              <w:spacing w:before="82" w:line="206" w:lineRule="auto"/>
              <w:rPr>
                <w:sz w:val="19"/>
                <w:szCs w:val="19"/>
              </w:rPr>
            </w:pPr>
            <w:r>
              <w:rPr>
                <w:sz w:val="19"/>
                <w:szCs w:val="19"/>
                <w:spacing w:val="8"/>
              </w:rPr>
              <w:t>十二、农林水支出</w:t>
            </w:r>
          </w:p>
        </w:tc>
        <w:tc>
          <w:tcPr>
            <w:tcW w:w="1201" w:type="dxa"/>
            <w:vAlign w:val="top"/>
          </w:tcPr>
          <w:p>
            <w:pPr>
              <w:pStyle w:val="TableText"/>
              <w:ind w:left="611"/>
              <w:spacing w:before="77" w:line="211" w:lineRule="auto"/>
              <w:rPr>
                <w:sz w:val="19"/>
                <w:szCs w:val="19"/>
              </w:rPr>
            </w:pPr>
            <w:r>
              <w:rPr>
                <w:sz w:val="19"/>
                <w:szCs w:val="19"/>
                <w:spacing w:val="-1"/>
              </w:rPr>
              <w:t>13560</w:t>
            </w:r>
          </w:p>
        </w:tc>
        <w:tc>
          <w:tcPr>
            <w:tcW w:w="1052" w:type="dxa"/>
            <w:vAlign w:val="top"/>
          </w:tcPr>
          <w:p>
            <w:pPr>
              <w:pStyle w:val="TableText"/>
              <w:ind w:left="549"/>
              <w:spacing w:before="77" w:line="211" w:lineRule="auto"/>
              <w:rPr>
                <w:sz w:val="19"/>
                <w:szCs w:val="19"/>
              </w:rPr>
            </w:pPr>
            <w:r>
              <w:rPr>
                <w:sz w:val="19"/>
                <w:szCs w:val="19"/>
                <w:spacing w:val="2"/>
              </w:rPr>
              <w:t>8836</w:t>
            </w:r>
          </w:p>
        </w:tc>
        <w:tc>
          <w:tcPr>
            <w:tcW w:w="1543" w:type="dxa"/>
            <w:vAlign w:val="top"/>
          </w:tcPr>
          <w:p>
            <w:pPr>
              <w:pStyle w:val="TableText"/>
              <w:ind w:left="1037"/>
              <w:spacing w:before="77" w:line="211" w:lineRule="auto"/>
              <w:rPr>
                <w:sz w:val="19"/>
                <w:szCs w:val="19"/>
              </w:rPr>
            </w:pPr>
            <w:r>
              <w:rPr>
                <w:sz w:val="19"/>
                <w:szCs w:val="19"/>
                <w:spacing w:val="3"/>
              </w:rPr>
              <w:t>4226</w:t>
            </w:r>
          </w:p>
        </w:tc>
        <w:tc>
          <w:tcPr>
            <w:tcW w:w="1379" w:type="dxa"/>
            <w:vAlign w:val="top"/>
          </w:tcPr>
          <w:p>
            <w:pPr>
              <w:pStyle w:val="TableText"/>
              <w:ind w:left="975"/>
              <w:spacing w:before="77" w:line="211" w:lineRule="auto"/>
              <w:rPr>
                <w:sz w:val="19"/>
                <w:szCs w:val="19"/>
              </w:rPr>
            </w:pPr>
            <w:r>
              <w:rPr>
                <w:sz w:val="19"/>
                <w:szCs w:val="19"/>
                <w:spacing w:val="2"/>
              </w:rPr>
              <w:t>498</w:t>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2"/>
              <w:spacing w:before="85" w:line="203" w:lineRule="auto"/>
              <w:rPr>
                <w:sz w:val="19"/>
                <w:szCs w:val="19"/>
              </w:rPr>
            </w:pPr>
            <w:r>
              <w:rPr>
                <w:sz w:val="19"/>
                <w:szCs w:val="19"/>
                <w:spacing w:val="9"/>
              </w:rPr>
              <w:t>农业农村</w:t>
            </w:r>
          </w:p>
        </w:tc>
        <w:tc>
          <w:tcPr>
            <w:tcW w:w="1201" w:type="dxa"/>
            <w:vAlign w:val="top"/>
          </w:tcPr>
          <w:p>
            <w:pPr>
              <w:pStyle w:val="TableText"/>
              <w:ind w:left="696"/>
              <w:spacing w:before="78" w:line="209" w:lineRule="auto"/>
              <w:rPr>
                <w:sz w:val="19"/>
                <w:szCs w:val="19"/>
              </w:rPr>
            </w:pPr>
            <w:r>
              <w:rPr>
                <w:sz w:val="19"/>
                <w:szCs w:val="19"/>
                <w:spacing w:val="2"/>
              </w:rPr>
              <w:t>2941</w:t>
            </w:r>
          </w:p>
        </w:tc>
        <w:tc>
          <w:tcPr>
            <w:tcW w:w="1052" w:type="dxa"/>
            <w:vAlign w:val="top"/>
          </w:tcPr>
          <w:p>
            <w:pPr>
              <w:pStyle w:val="TableText"/>
              <w:ind w:left="562"/>
              <w:spacing w:before="78" w:line="209" w:lineRule="auto"/>
              <w:rPr>
                <w:sz w:val="19"/>
                <w:szCs w:val="19"/>
              </w:rPr>
            </w:pPr>
            <w:r>
              <w:rPr>
                <w:sz w:val="19"/>
                <w:szCs w:val="19"/>
                <w:spacing w:val="-2"/>
              </w:rPr>
              <w:t>1540</w:t>
            </w:r>
          </w:p>
        </w:tc>
        <w:tc>
          <w:tcPr>
            <w:tcW w:w="1543" w:type="dxa"/>
            <w:vAlign w:val="top"/>
          </w:tcPr>
          <w:p>
            <w:pPr>
              <w:pStyle w:val="TableText"/>
              <w:ind w:left="1056"/>
              <w:spacing w:before="78" w:line="209" w:lineRule="auto"/>
              <w:rPr>
                <w:sz w:val="19"/>
                <w:szCs w:val="19"/>
              </w:rPr>
            </w:pPr>
            <w:r>
              <w:rPr>
                <w:sz w:val="19"/>
                <w:szCs w:val="19"/>
                <w:spacing w:val="-2"/>
              </w:rPr>
              <w:t>1401</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2"/>
              <w:spacing w:before="86" w:line="203" w:lineRule="auto"/>
              <w:rPr>
                <w:sz w:val="19"/>
                <w:szCs w:val="19"/>
              </w:rPr>
            </w:pPr>
            <w:r>
              <w:rPr>
                <w:sz w:val="19"/>
                <w:szCs w:val="19"/>
                <w:spacing w:val="9"/>
              </w:rPr>
              <w:t>林业和草原</w:t>
            </w:r>
          </w:p>
        </w:tc>
        <w:tc>
          <w:tcPr>
            <w:tcW w:w="1201" w:type="dxa"/>
            <w:vAlign w:val="top"/>
          </w:tcPr>
          <w:p>
            <w:pPr>
              <w:pStyle w:val="TableText"/>
              <w:ind w:left="695"/>
              <w:spacing w:before="79" w:line="209" w:lineRule="auto"/>
              <w:rPr>
                <w:sz w:val="19"/>
                <w:szCs w:val="19"/>
              </w:rPr>
            </w:pPr>
            <w:r>
              <w:rPr>
                <w:sz w:val="19"/>
                <w:szCs w:val="19"/>
                <w:spacing w:val="2"/>
              </w:rPr>
              <w:t>7950</w:t>
            </w:r>
          </w:p>
        </w:tc>
        <w:tc>
          <w:tcPr>
            <w:tcW w:w="1052" w:type="dxa"/>
            <w:vAlign w:val="top"/>
          </w:tcPr>
          <w:p>
            <w:pPr>
              <w:pStyle w:val="TableText"/>
              <w:ind w:left="547"/>
              <w:spacing w:before="79" w:line="209" w:lineRule="auto"/>
              <w:rPr>
                <w:sz w:val="19"/>
                <w:szCs w:val="19"/>
              </w:rPr>
            </w:pPr>
            <w:r>
              <w:rPr>
                <w:sz w:val="19"/>
                <w:szCs w:val="19"/>
                <w:spacing w:val="2"/>
              </w:rPr>
              <w:t>6146</w:t>
            </w:r>
          </w:p>
        </w:tc>
        <w:tc>
          <w:tcPr>
            <w:tcW w:w="1543" w:type="dxa"/>
            <w:vAlign w:val="top"/>
          </w:tcPr>
          <w:p>
            <w:pPr>
              <w:pStyle w:val="TableText"/>
              <w:ind w:left="1056"/>
              <w:spacing w:before="79" w:line="209" w:lineRule="auto"/>
              <w:rPr>
                <w:sz w:val="19"/>
                <w:szCs w:val="19"/>
              </w:rPr>
            </w:pPr>
            <w:r>
              <w:rPr>
                <w:sz w:val="19"/>
                <w:szCs w:val="19"/>
                <w:spacing w:val="-2"/>
              </w:rPr>
              <w:t>1804</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4"/>
              <w:spacing w:before="84" w:line="204" w:lineRule="auto"/>
              <w:rPr>
                <w:sz w:val="19"/>
                <w:szCs w:val="19"/>
              </w:rPr>
            </w:pPr>
            <w:r>
              <w:rPr>
                <w:sz w:val="19"/>
                <w:szCs w:val="19"/>
                <w:spacing w:val="7"/>
              </w:rPr>
              <w:t>水利</w:t>
            </w:r>
          </w:p>
        </w:tc>
        <w:tc>
          <w:tcPr>
            <w:tcW w:w="1201" w:type="dxa"/>
            <w:vAlign w:val="top"/>
          </w:tcPr>
          <w:p>
            <w:pPr>
              <w:pStyle w:val="TableText"/>
              <w:ind w:left="712"/>
              <w:spacing w:before="78" w:line="209" w:lineRule="auto"/>
              <w:rPr>
                <w:sz w:val="19"/>
                <w:szCs w:val="19"/>
              </w:rPr>
            </w:pPr>
            <w:r>
              <w:rPr>
                <w:sz w:val="19"/>
                <w:szCs w:val="19"/>
                <w:spacing w:val="-2"/>
              </w:rPr>
              <w:t>1202</w:t>
            </w:r>
          </w:p>
        </w:tc>
        <w:tc>
          <w:tcPr>
            <w:tcW w:w="1052" w:type="dxa"/>
            <w:vAlign w:val="top"/>
          </w:tcPr>
          <w:p>
            <w:pPr>
              <w:pStyle w:val="TableText"/>
              <w:ind w:left="646"/>
              <w:spacing w:before="78" w:line="209" w:lineRule="auto"/>
              <w:rPr>
                <w:sz w:val="19"/>
                <w:szCs w:val="19"/>
              </w:rPr>
            </w:pPr>
            <w:r>
              <w:rPr>
                <w:sz w:val="19"/>
                <w:szCs w:val="19"/>
                <w:spacing w:val="2"/>
              </w:rPr>
              <w:t>722</w:t>
            </w:r>
          </w:p>
        </w:tc>
        <w:tc>
          <w:tcPr>
            <w:tcW w:w="1543" w:type="dxa"/>
            <w:vAlign w:val="top"/>
          </w:tcPr>
          <w:p>
            <w:pPr>
              <w:pStyle w:val="TableText"/>
              <w:ind w:left="1135"/>
              <w:spacing w:before="78" w:line="209" w:lineRule="auto"/>
              <w:rPr>
                <w:sz w:val="19"/>
                <w:szCs w:val="19"/>
              </w:rPr>
            </w:pPr>
            <w:r>
              <w:rPr>
                <w:sz w:val="19"/>
                <w:szCs w:val="19"/>
                <w:spacing w:val="2"/>
              </w:rPr>
              <w:t>480</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14" w:hRule="atLeast"/>
        </w:trPr>
        <w:tc>
          <w:tcPr>
            <w:tcW w:w="4301" w:type="dxa"/>
            <w:vAlign w:val="top"/>
            <w:tcBorders>
              <w:left w:val="single" w:color="000000" w:sz="6" w:space="0"/>
              <w:bottom w:val="single" w:color="000000" w:sz="6" w:space="0"/>
            </w:tcBorders>
          </w:tcPr>
          <w:p>
            <w:pPr>
              <w:pStyle w:val="TableText"/>
              <w:ind w:left="506"/>
              <w:spacing w:before="84" w:line="213" w:lineRule="auto"/>
              <w:rPr>
                <w:sz w:val="19"/>
                <w:szCs w:val="19"/>
              </w:rPr>
            </w:pPr>
            <w:r>
              <w:rPr>
                <w:sz w:val="19"/>
                <w:szCs w:val="19"/>
                <w:spacing w:val="6"/>
              </w:rPr>
              <w:t>扶贫</w:t>
            </w:r>
          </w:p>
        </w:tc>
        <w:tc>
          <w:tcPr>
            <w:tcW w:w="1201" w:type="dxa"/>
            <w:vAlign w:val="top"/>
            <w:tcBorders>
              <w:bottom w:val="single" w:color="000000" w:sz="6" w:space="0"/>
            </w:tcBorders>
          </w:tcPr>
          <w:p>
            <w:pPr>
              <w:pStyle w:val="TableText"/>
              <w:ind w:left="798"/>
              <w:spacing w:before="79" w:line="218" w:lineRule="auto"/>
              <w:rPr>
                <w:sz w:val="19"/>
                <w:szCs w:val="19"/>
              </w:rPr>
            </w:pPr>
            <w:r>
              <w:rPr>
                <w:sz w:val="19"/>
                <w:szCs w:val="19"/>
              </w:rPr>
              <w:t>328</w:t>
            </w:r>
          </w:p>
        </w:tc>
        <w:tc>
          <w:tcPr>
            <w:tcW w:w="1052" w:type="dxa"/>
            <w:vAlign w:val="top"/>
            <w:tcBorders>
              <w:bottom w:val="single" w:color="000000" w:sz="6" w:space="0"/>
            </w:tcBorders>
          </w:tcPr>
          <w:p>
            <w:pPr>
              <w:pStyle w:val="TableText"/>
              <w:ind w:left="650"/>
              <w:spacing w:before="79" w:line="218" w:lineRule="auto"/>
              <w:rPr>
                <w:sz w:val="19"/>
                <w:szCs w:val="19"/>
              </w:rPr>
            </w:pPr>
            <w:r>
              <w:rPr>
                <w:sz w:val="19"/>
                <w:szCs w:val="19"/>
              </w:rPr>
              <w:t>328</w:t>
            </w:r>
          </w:p>
        </w:tc>
        <w:tc>
          <w:tcPr>
            <w:tcW w:w="1543" w:type="dxa"/>
            <w:vAlign w:val="top"/>
            <w:tcBorders>
              <w:bottom w:val="single" w:color="000000" w:sz="6" w:space="0"/>
            </w:tcBorders>
          </w:tcPr>
          <w:p>
            <w:pPr>
              <w:rPr>
                <w:rFonts w:ascii="Arial"/>
                <w:sz w:val="21"/>
              </w:rPr>
            </w:pPr>
            <w:r/>
          </w:p>
        </w:tc>
        <w:tc>
          <w:tcPr>
            <w:tcW w:w="1379" w:type="dxa"/>
            <w:vAlign w:val="top"/>
            <w:tcBorders>
              <w:bottom w:val="single" w:color="000000" w:sz="6" w:space="0"/>
            </w:tcBorders>
          </w:tcPr>
          <w:p>
            <w:pPr>
              <w:rPr>
                <w:rFonts w:ascii="Arial"/>
                <w:sz w:val="21"/>
              </w:rPr>
            </w:pPr>
            <w:r/>
          </w:p>
        </w:tc>
        <w:tc>
          <w:tcPr>
            <w:tcW w:w="1134" w:type="dxa"/>
            <w:vAlign w:val="top"/>
            <w:tcBorders>
              <w:bottom w:val="single" w:color="000000" w:sz="6" w:space="0"/>
            </w:tcBorders>
          </w:tcPr>
          <w:p>
            <w:pPr>
              <w:rPr>
                <w:rFonts w:ascii="Arial"/>
                <w:sz w:val="21"/>
              </w:rPr>
            </w:pPr>
            <w:r/>
          </w:p>
        </w:tc>
        <w:tc>
          <w:tcPr>
            <w:tcW w:w="1460" w:type="dxa"/>
            <w:vAlign w:val="top"/>
            <w:tcBorders>
              <w:bottom w:val="single" w:color="000000" w:sz="6" w:space="0"/>
            </w:tcBorders>
          </w:tcPr>
          <w:p>
            <w:pPr>
              <w:rPr>
                <w:rFonts w:ascii="Arial"/>
                <w:sz w:val="21"/>
              </w:rPr>
            </w:pPr>
            <w:r/>
          </w:p>
        </w:tc>
        <w:tc>
          <w:tcPr>
            <w:tcW w:w="1826" w:type="dxa"/>
            <w:vAlign w:val="top"/>
            <w:tcBorders>
              <w:bottom w:val="single" w:color="000000" w:sz="6" w:space="0"/>
              <w:right w:val="single" w:color="000000" w:sz="6" w:space="0"/>
            </w:tcBorders>
          </w:tcPr>
          <w:p>
            <w:pPr>
              <w:rPr>
                <w:rFonts w:ascii="Arial"/>
                <w:sz w:val="21"/>
              </w:rPr>
            </w:pPr>
            <w:r/>
          </w:p>
        </w:tc>
      </w:tr>
    </w:tbl>
    <w:p>
      <w:pPr>
        <w:spacing w:line="92" w:lineRule="exact"/>
        <w:rPr>
          <w:rFonts w:ascii="Arial"/>
          <w:sz w:val="8"/>
        </w:rPr>
      </w:pPr>
      <w:r/>
    </w:p>
    <w:p>
      <w:pPr>
        <w:spacing w:line="92" w:lineRule="exact"/>
        <w:sectPr>
          <w:headerReference w:type="default" r:id="rId57"/>
          <w:footerReference w:type="default" r:id="rId76"/>
          <w:pgSz w:w="16839" w:h="11906"/>
          <w:pgMar w:top="1780" w:right="1463" w:bottom="1660" w:left="1463" w:header="1428" w:footer="1289" w:gutter="0"/>
        </w:sectPr>
        <w:rPr>
          <w:rFonts w:ascii="Arial" w:hAnsi="Arial" w:eastAsia="Arial" w:cs="Arial"/>
          <w:sz w:val="8"/>
          <w:szCs w:val="8"/>
        </w:rPr>
      </w:pPr>
    </w:p>
    <w:p>
      <w:pPr>
        <w:spacing w:before="51"/>
        <w:rPr/>
      </w:pPr>
      <w:r>
        <w:drawing>
          <wp:anchor distT="0" distB="0" distL="0" distR="0" simplePos="0" relativeHeight="251676672"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154" name="IM 154"/>
            <wp:cNvGraphicFramePr/>
            <a:graphic>
              <a:graphicData uri="http://schemas.openxmlformats.org/drawingml/2006/picture">
                <pic:pic>
                  <pic:nvPicPr>
                    <pic:cNvPr id="154" name="IM 154"/>
                    <pic:cNvPicPr/>
                  </pic:nvPicPr>
                  <pic:blipFill>
                    <a:blip r:embed="rId79"/>
                    <a:stretch>
                      <a:fillRect/>
                    </a:stretch>
                  </pic:blipFill>
                  <pic:spPr>
                    <a:xfrm rot="0">
                      <a:off x="0" y="0"/>
                      <a:ext cx="8712200" cy="7620"/>
                    </a:xfrm>
                    <a:prstGeom prst="rect">
                      <a:avLst/>
                    </a:prstGeom>
                  </pic:spPr>
                </pic:pic>
              </a:graphicData>
            </a:graphic>
          </wp:anchor>
        </w:drawing>
      </w: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301"/>
        <w:gridCol w:w="1201"/>
        <w:gridCol w:w="1052"/>
        <w:gridCol w:w="1543"/>
        <w:gridCol w:w="1379"/>
        <w:gridCol w:w="1134"/>
        <w:gridCol w:w="1460"/>
        <w:gridCol w:w="1826"/>
      </w:tblGrid>
      <w:tr>
        <w:trPr>
          <w:trHeight w:val="611" w:hRule="atLeast"/>
        </w:trPr>
        <w:tc>
          <w:tcPr>
            <w:tcW w:w="4301" w:type="dxa"/>
            <w:vAlign w:val="top"/>
            <w:tcBorders>
              <w:left w:val="single" w:color="000000" w:sz="6" w:space="0"/>
              <w:top w:val="single" w:color="000000" w:sz="6" w:space="0"/>
            </w:tcBorders>
          </w:tcPr>
          <w:p>
            <w:pPr>
              <w:pStyle w:val="TableText"/>
              <w:ind w:left="1945"/>
              <w:spacing w:before="232" w:line="212" w:lineRule="auto"/>
              <w:rPr>
                <w:sz w:val="19"/>
                <w:szCs w:val="19"/>
              </w:rPr>
            </w:pPr>
            <w:r>
              <w:rPr>
                <w:sz w:val="19"/>
                <w:szCs w:val="19"/>
                <w:b/>
                <w:bCs/>
                <w:spacing w:val="6"/>
              </w:rPr>
              <w:t>项目</w:t>
            </w:r>
          </w:p>
        </w:tc>
        <w:tc>
          <w:tcPr>
            <w:tcW w:w="1201" w:type="dxa"/>
            <w:vAlign w:val="top"/>
            <w:tcBorders>
              <w:top w:val="single" w:color="000000" w:sz="6" w:space="0"/>
            </w:tcBorders>
          </w:tcPr>
          <w:p>
            <w:pPr>
              <w:pStyle w:val="TableText"/>
              <w:ind w:left="396"/>
              <w:spacing w:before="227" w:line="223" w:lineRule="auto"/>
              <w:rPr>
                <w:sz w:val="19"/>
                <w:szCs w:val="19"/>
              </w:rPr>
            </w:pPr>
            <w:r>
              <w:rPr>
                <w:sz w:val="19"/>
                <w:szCs w:val="19"/>
                <w:b/>
                <w:bCs/>
                <w:spacing w:val="6"/>
              </w:rPr>
              <w:t>合计</w:t>
            </w:r>
          </w:p>
        </w:tc>
        <w:tc>
          <w:tcPr>
            <w:tcW w:w="1052" w:type="dxa"/>
            <w:vAlign w:val="top"/>
            <w:tcBorders>
              <w:top w:val="single" w:color="000000" w:sz="6" w:space="0"/>
            </w:tcBorders>
          </w:tcPr>
          <w:p>
            <w:pPr>
              <w:pStyle w:val="TableText"/>
              <w:ind w:left="124"/>
              <w:spacing w:before="231" w:line="216" w:lineRule="auto"/>
              <w:rPr>
                <w:sz w:val="19"/>
                <w:szCs w:val="19"/>
              </w:rPr>
            </w:pPr>
            <w:r>
              <w:rPr>
                <w:sz w:val="19"/>
                <w:szCs w:val="19"/>
                <w:b/>
                <w:bCs/>
                <w:spacing w:val="7"/>
              </w:rPr>
              <w:t>财力安排</w:t>
            </w:r>
          </w:p>
        </w:tc>
        <w:tc>
          <w:tcPr>
            <w:tcW w:w="1543" w:type="dxa"/>
            <w:vAlign w:val="top"/>
            <w:tcBorders>
              <w:top w:val="single" w:color="000000" w:sz="6" w:space="0"/>
            </w:tcBorders>
          </w:tcPr>
          <w:p>
            <w:pPr>
              <w:pStyle w:val="TableText"/>
              <w:ind w:left="369"/>
              <w:spacing w:before="76" w:line="224" w:lineRule="auto"/>
              <w:rPr>
                <w:sz w:val="19"/>
                <w:szCs w:val="19"/>
              </w:rPr>
            </w:pPr>
            <w:r>
              <w:rPr>
                <w:sz w:val="19"/>
                <w:szCs w:val="19"/>
                <w:b/>
                <w:bCs/>
                <w:spacing w:val="7"/>
              </w:rPr>
              <w:t>专项转移</w:t>
            </w:r>
          </w:p>
          <w:p>
            <w:pPr>
              <w:pStyle w:val="TableText"/>
              <w:ind w:left="171"/>
              <w:spacing w:before="67" w:line="220" w:lineRule="auto"/>
              <w:rPr>
                <w:sz w:val="19"/>
                <w:szCs w:val="19"/>
              </w:rPr>
            </w:pPr>
            <w:r>
              <w:rPr>
                <w:sz w:val="19"/>
                <w:szCs w:val="19"/>
                <w:b/>
                <w:bCs/>
                <w:spacing w:val="7"/>
              </w:rPr>
              <w:t>支付收入安排</w:t>
            </w:r>
          </w:p>
        </w:tc>
        <w:tc>
          <w:tcPr>
            <w:tcW w:w="1379" w:type="dxa"/>
            <w:vAlign w:val="top"/>
            <w:tcBorders>
              <w:top w:val="single" w:color="000000" w:sz="6" w:space="0"/>
            </w:tcBorders>
          </w:tcPr>
          <w:p>
            <w:pPr>
              <w:pStyle w:val="TableText"/>
              <w:ind w:left="293"/>
              <w:spacing w:before="78" w:line="218" w:lineRule="auto"/>
              <w:rPr>
                <w:sz w:val="19"/>
                <w:szCs w:val="19"/>
              </w:rPr>
            </w:pPr>
            <w:r>
              <w:rPr>
                <w:sz w:val="19"/>
                <w:szCs w:val="19"/>
                <w:b/>
                <w:bCs/>
                <w:spacing w:val="6"/>
              </w:rPr>
              <w:t>动用上年</w:t>
            </w:r>
          </w:p>
          <w:p>
            <w:pPr>
              <w:pStyle w:val="TableText"/>
              <w:ind w:left="290"/>
              <w:spacing w:before="71" w:line="220" w:lineRule="auto"/>
              <w:rPr>
                <w:sz w:val="19"/>
                <w:szCs w:val="19"/>
              </w:rPr>
            </w:pPr>
            <w:r>
              <w:rPr>
                <w:sz w:val="19"/>
                <w:szCs w:val="19"/>
                <w:b/>
                <w:bCs/>
                <w:spacing w:val="7"/>
              </w:rPr>
              <w:t>结余安排</w:t>
            </w:r>
          </w:p>
        </w:tc>
        <w:tc>
          <w:tcPr>
            <w:tcW w:w="1134" w:type="dxa"/>
            <w:vAlign w:val="top"/>
            <w:tcBorders>
              <w:top w:val="single" w:color="000000" w:sz="6" w:space="0"/>
            </w:tcBorders>
          </w:tcPr>
          <w:p>
            <w:pPr>
              <w:pStyle w:val="TableText"/>
              <w:ind w:left="169"/>
              <w:spacing w:before="228" w:line="222" w:lineRule="auto"/>
              <w:rPr>
                <w:sz w:val="19"/>
                <w:szCs w:val="19"/>
              </w:rPr>
            </w:pPr>
            <w:r>
              <w:rPr>
                <w:sz w:val="19"/>
                <w:szCs w:val="19"/>
                <w:b/>
                <w:bCs/>
                <w:spacing w:val="7"/>
              </w:rPr>
              <w:t>调入资金</w:t>
            </w:r>
          </w:p>
        </w:tc>
        <w:tc>
          <w:tcPr>
            <w:tcW w:w="1460" w:type="dxa"/>
            <w:vAlign w:val="top"/>
            <w:tcBorders>
              <w:top w:val="single" w:color="000000" w:sz="6" w:space="0"/>
            </w:tcBorders>
          </w:tcPr>
          <w:p>
            <w:pPr>
              <w:pStyle w:val="TableText"/>
              <w:ind w:left="134"/>
              <w:spacing w:before="227" w:line="220" w:lineRule="auto"/>
              <w:rPr>
                <w:sz w:val="19"/>
                <w:szCs w:val="19"/>
              </w:rPr>
            </w:pPr>
            <w:r>
              <w:rPr>
                <w:sz w:val="19"/>
                <w:szCs w:val="19"/>
                <w:b/>
                <w:bCs/>
                <w:spacing w:val="7"/>
              </w:rPr>
              <w:t>政府债务资金</w:t>
            </w:r>
          </w:p>
        </w:tc>
        <w:tc>
          <w:tcPr>
            <w:tcW w:w="1826" w:type="dxa"/>
            <w:vAlign w:val="top"/>
            <w:tcBorders>
              <w:right w:val="single" w:color="000000" w:sz="6" w:space="0"/>
              <w:top w:val="single" w:color="000000" w:sz="6" w:space="0"/>
            </w:tcBorders>
          </w:tcPr>
          <w:p>
            <w:pPr>
              <w:pStyle w:val="TableText"/>
              <w:ind w:left="514"/>
              <w:spacing w:before="228" w:line="222" w:lineRule="auto"/>
              <w:rPr>
                <w:sz w:val="19"/>
                <w:szCs w:val="19"/>
              </w:rPr>
            </w:pPr>
            <w:r>
              <w:rPr>
                <w:sz w:val="19"/>
                <w:szCs w:val="19"/>
                <w:b/>
                <w:bCs/>
                <w:spacing w:val="7"/>
              </w:rPr>
              <w:t>其他资金</w:t>
            </w:r>
          </w:p>
        </w:tc>
      </w:tr>
      <w:tr>
        <w:trPr>
          <w:trHeight w:val="304" w:hRule="atLeast"/>
        </w:trPr>
        <w:tc>
          <w:tcPr>
            <w:tcW w:w="4301" w:type="dxa"/>
            <w:vAlign w:val="top"/>
            <w:tcBorders>
              <w:left w:val="single" w:color="000000" w:sz="6" w:space="0"/>
            </w:tcBorders>
          </w:tcPr>
          <w:p>
            <w:pPr>
              <w:pStyle w:val="TableText"/>
              <w:ind w:left="502"/>
              <w:spacing w:before="69" w:line="218" w:lineRule="auto"/>
              <w:rPr>
                <w:sz w:val="19"/>
                <w:szCs w:val="19"/>
              </w:rPr>
            </w:pPr>
            <w:r>
              <w:rPr>
                <w:sz w:val="19"/>
                <w:szCs w:val="19"/>
                <w:spacing w:val="9"/>
              </w:rPr>
              <w:t>农村综合改革</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4"/>
              <w:spacing w:before="73" w:line="215" w:lineRule="auto"/>
              <w:rPr>
                <w:sz w:val="19"/>
                <w:szCs w:val="19"/>
              </w:rPr>
            </w:pPr>
            <w:r>
              <w:rPr>
                <w:sz w:val="19"/>
                <w:szCs w:val="19"/>
                <w:spacing w:val="9"/>
              </w:rPr>
              <w:t>普惠金融发展支出</w:t>
            </w:r>
          </w:p>
        </w:tc>
        <w:tc>
          <w:tcPr>
            <w:tcW w:w="1201" w:type="dxa"/>
            <w:vAlign w:val="top"/>
          </w:tcPr>
          <w:p>
            <w:pPr>
              <w:pStyle w:val="TableText"/>
              <w:ind w:left="712"/>
              <w:spacing w:before="69" w:line="219" w:lineRule="auto"/>
              <w:rPr>
                <w:sz w:val="19"/>
                <w:szCs w:val="19"/>
              </w:rPr>
            </w:pPr>
            <w:r>
              <w:rPr>
                <w:sz w:val="19"/>
                <w:szCs w:val="19"/>
                <w:spacing w:val="-2"/>
              </w:rPr>
              <w:t>1139</w:t>
            </w:r>
          </w:p>
        </w:tc>
        <w:tc>
          <w:tcPr>
            <w:tcW w:w="1052" w:type="dxa"/>
            <w:vAlign w:val="top"/>
          </w:tcPr>
          <w:p>
            <w:pPr>
              <w:pStyle w:val="TableText"/>
              <w:ind w:left="663"/>
              <w:spacing w:before="69" w:line="219" w:lineRule="auto"/>
              <w:rPr>
                <w:sz w:val="19"/>
                <w:szCs w:val="19"/>
              </w:rPr>
            </w:pPr>
            <w:r>
              <w:rPr>
                <w:sz w:val="19"/>
                <w:szCs w:val="19"/>
                <w:spacing w:val="-4"/>
              </w:rPr>
              <w:t>100</w:t>
            </w:r>
          </w:p>
        </w:tc>
        <w:tc>
          <w:tcPr>
            <w:tcW w:w="1543" w:type="dxa"/>
            <w:vAlign w:val="top"/>
          </w:tcPr>
          <w:p>
            <w:pPr>
              <w:pStyle w:val="TableText"/>
              <w:ind w:left="1139"/>
              <w:spacing w:before="69" w:line="219" w:lineRule="auto"/>
              <w:rPr>
                <w:sz w:val="19"/>
                <w:szCs w:val="19"/>
              </w:rPr>
            </w:pPr>
            <w:r>
              <w:rPr>
                <w:sz w:val="19"/>
                <w:szCs w:val="19"/>
                <w:spacing w:val="1"/>
              </w:rPr>
              <w:t>541</w:t>
            </w:r>
          </w:p>
        </w:tc>
        <w:tc>
          <w:tcPr>
            <w:tcW w:w="1379" w:type="dxa"/>
            <w:vAlign w:val="top"/>
          </w:tcPr>
          <w:p>
            <w:pPr>
              <w:pStyle w:val="TableText"/>
              <w:ind w:left="975"/>
              <w:spacing w:before="69" w:line="219" w:lineRule="auto"/>
              <w:rPr>
                <w:sz w:val="19"/>
                <w:szCs w:val="19"/>
              </w:rPr>
            </w:pPr>
            <w:r>
              <w:rPr>
                <w:sz w:val="19"/>
                <w:szCs w:val="19"/>
                <w:spacing w:val="2"/>
              </w:rPr>
              <w:t>498</w:t>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43"/>
              <w:spacing w:before="73" w:line="214" w:lineRule="auto"/>
              <w:rPr>
                <w:sz w:val="19"/>
                <w:szCs w:val="19"/>
              </w:rPr>
            </w:pPr>
            <w:r>
              <w:rPr>
                <w:sz w:val="19"/>
                <w:szCs w:val="19"/>
                <w:spacing w:val="2"/>
              </w:rPr>
              <w:t>目标价格补贴</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4"/>
              <w:spacing w:before="72" w:line="216" w:lineRule="auto"/>
              <w:rPr>
                <w:sz w:val="19"/>
                <w:szCs w:val="19"/>
              </w:rPr>
            </w:pPr>
            <w:r>
              <w:rPr>
                <w:sz w:val="19"/>
                <w:szCs w:val="19"/>
                <w:spacing w:val="9"/>
              </w:rPr>
              <w:t>其他农林水支出</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114"/>
              <w:spacing w:before="73" w:line="214" w:lineRule="auto"/>
              <w:rPr>
                <w:sz w:val="19"/>
                <w:szCs w:val="19"/>
              </w:rPr>
            </w:pPr>
            <w:r>
              <w:rPr>
                <w:sz w:val="19"/>
                <w:szCs w:val="19"/>
                <w:spacing w:val="8"/>
              </w:rPr>
              <w:t>十三、交通运输支出</w:t>
            </w:r>
          </w:p>
        </w:tc>
        <w:tc>
          <w:tcPr>
            <w:tcW w:w="1201" w:type="dxa"/>
            <w:vAlign w:val="top"/>
          </w:tcPr>
          <w:p>
            <w:pPr>
              <w:pStyle w:val="TableText"/>
              <w:ind w:left="697"/>
              <w:spacing w:before="68" w:line="219" w:lineRule="auto"/>
              <w:rPr>
                <w:sz w:val="19"/>
                <w:szCs w:val="19"/>
              </w:rPr>
            </w:pPr>
            <w:r>
              <w:rPr>
                <w:sz w:val="19"/>
                <w:szCs w:val="19"/>
                <w:spacing w:val="1"/>
              </w:rPr>
              <w:t>6154</w:t>
            </w:r>
          </w:p>
        </w:tc>
        <w:tc>
          <w:tcPr>
            <w:tcW w:w="1052" w:type="dxa"/>
            <w:vAlign w:val="top"/>
          </w:tcPr>
          <w:p>
            <w:pPr>
              <w:pStyle w:val="TableText"/>
              <w:ind w:left="547"/>
              <w:spacing w:before="68" w:line="219" w:lineRule="auto"/>
              <w:rPr>
                <w:sz w:val="19"/>
                <w:szCs w:val="19"/>
              </w:rPr>
            </w:pPr>
            <w:r>
              <w:rPr>
                <w:sz w:val="19"/>
                <w:szCs w:val="19"/>
                <w:spacing w:val="2"/>
              </w:rPr>
              <w:t>6154</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3"/>
              <w:spacing w:before="75" w:line="213" w:lineRule="auto"/>
              <w:rPr>
                <w:sz w:val="19"/>
                <w:szCs w:val="19"/>
              </w:rPr>
            </w:pPr>
            <w:r>
              <w:rPr>
                <w:sz w:val="19"/>
                <w:szCs w:val="19"/>
                <w:spacing w:val="9"/>
              </w:rPr>
              <w:t>公路水路运输</w:t>
            </w:r>
          </w:p>
        </w:tc>
        <w:tc>
          <w:tcPr>
            <w:tcW w:w="1201" w:type="dxa"/>
            <w:vAlign w:val="top"/>
          </w:tcPr>
          <w:p>
            <w:pPr>
              <w:pStyle w:val="TableText"/>
              <w:ind w:left="696"/>
              <w:spacing w:before="71" w:line="217" w:lineRule="auto"/>
              <w:rPr>
                <w:sz w:val="19"/>
                <w:szCs w:val="19"/>
              </w:rPr>
            </w:pPr>
            <w:r>
              <w:rPr>
                <w:sz w:val="19"/>
                <w:szCs w:val="19"/>
                <w:spacing w:val="2"/>
              </w:rPr>
              <w:t>2154</w:t>
            </w:r>
          </w:p>
        </w:tc>
        <w:tc>
          <w:tcPr>
            <w:tcW w:w="1052" w:type="dxa"/>
            <w:vAlign w:val="top"/>
          </w:tcPr>
          <w:p>
            <w:pPr>
              <w:pStyle w:val="TableText"/>
              <w:ind w:left="546"/>
              <w:spacing w:before="71" w:line="217" w:lineRule="auto"/>
              <w:rPr>
                <w:sz w:val="19"/>
                <w:szCs w:val="19"/>
              </w:rPr>
            </w:pPr>
            <w:r>
              <w:rPr>
                <w:sz w:val="19"/>
                <w:szCs w:val="19"/>
                <w:spacing w:val="2"/>
              </w:rPr>
              <w:t>2154</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5"/>
              <w:spacing w:before="74" w:line="213" w:lineRule="auto"/>
              <w:rPr>
                <w:sz w:val="19"/>
                <w:szCs w:val="19"/>
              </w:rPr>
            </w:pPr>
            <w:r>
              <w:rPr>
                <w:sz w:val="19"/>
                <w:szCs w:val="19"/>
                <w:spacing w:val="8"/>
              </w:rPr>
              <w:t>铁路运输</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23"/>
              <w:spacing w:before="76" w:line="212" w:lineRule="auto"/>
              <w:rPr>
                <w:sz w:val="19"/>
                <w:szCs w:val="19"/>
              </w:rPr>
            </w:pPr>
            <w:r>
              <w:rPr>
                <w:sz w:val="19"/>
                <w:szCs w:val="19"/>
                <w:spacing w:val="6"/>
              </w:rPr>
              <w:t>民用航空运输</w:t>
            </w:r>
          </w:p>
        </w:tc>
        <w:tc>
          <w:tcPr>
            <w:tcW w:w="1201" w:type="dxa"/>
            <w:vAlign w:val="top"/>
          </w:tcPr>
          <w:p>
            <w:pPr>
              <w:pStyle w:val="TableText"/>
              <w:ind w:left="693"/>
              <w:spacing w:before="70" w:line="218" w:lineRule="auto"/>
              <w:rPr>
                <w:sz w:val="19"/>
                <w:szCs w:val="19"/>
              </w:rPr>
            </w:pPr>
            <w:r>
              <w:rPr>
                <w:sz w:val="19"/>
                <w:szCs w:val="19"/>
                <w:spacing w:val="2"/>
              </w:rPr>
              <w:t>4000</w:t>
            </w:r>
          </w:p>
        </w:tc>
        <w:tc>
          <w:tcPr>
            <w:tcW w:w="1052" w:type="dxa"/>
            <w:vAlign w:val="top"/>
          </w:tcPr>
          <w:p>
            <w:pPr>
              <w:pStyle w:val="TableText"/>
              <w:ind w:left="543"/>
              <w:spacing w:before="70" w:line="218" w:lineRule="auto"/>
              <w:rPr>
                <w:sz w:val="19"/>
                <w:szCs w:val="19"/>
              </w:rPr>
            </w:pPr>
            <w:r>
              <w:rPr>
                <w:sz w:val="19"/>
                <w:szCs w:val="19"/>
                <w:spacing w:val="3"/>
              </w:rPr>
              <w:t>4000</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5"/>
              <w:spacing w:before="70" w:line="217" w:lineRule="auto"/>
              <w:rPr>
                <w:sz w:val="19"/>
                <w:szCs w:val="19"/>
              </w:rPr>
            </w:pPr>
            <w:r>
              <w:rPr>
                <w:sz w:val="19"/>
                <w:szCs w:val="19"/>
                <w:spacing w:val="9"/>
              </w:rPr>
              <w:t>成品油价格改革对交通运输的补贴</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19"/>
              <w:spacing w:before="77" w:line="210" w:lineRule="auto"/>
              <w:rPr>
                <w:sz w:val="19"/>
                <w:szCs w:val="19"/>
              </w:rPr>
            </w:pPr>
            <w:r>
              <w:rPr>
                <w:sz w:val="19"/>
                <w:szCs w:val="19"/>
                <w:spacing w:val="6"/>
              </w:rPr>
              <w:t>邮政业支出</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10"/>
              <w:spacing w:before="77" w:line="210" w:lineRule="auto"/>
              <w:rPr>
                <w:sz w:val="19"/>
                <w:szCs w:val="19"/>
              </w:rPr>
            </w:pPr>
            <w:r>
              <w:rPr>
                <w:sz w:val="19"/>
                <w:szCs w:val="19"/>
                <w:spacing w:val="8"/>
              </w:rPr>
              <w:t>车辆购置税支出</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4"/>
              <w:spacing w:before="77" w:line="210" w:lineRule="auto"/>
              <w:rPr>
                <w:sz w:val="19"/>
                <w:szCs w:val="19"/>
              </w:rPr>
            </w:pPr>
            <w:r>
              <w:rPr>
                <w:sz w:val="19"/>
                <w:szCs w:val="19"/>
                <w:spacing w:val="9"/>
              </w:rPr>
              <w:t>其他交通运输支出</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114"/>
              <w:spacing w:before="76" w:line="211" w:lineRule="auto"/>
              <w:rPr>
                <w:sz w:val="19"/>
                <w:szCs w:val="19"/>
              </w:rPr>
            </w:pPr>
            <w:r>
              <w:rPr>
                <w:sz w:val="19"/>
                <w:szCs w:val="19"/>
                <w:spacing w:val="9"/>
              </w:rPr>
              <w:t>十四、资源勘探工业信息等支出</w:t>
            </w:r>
          </w:p>
        </w:tc>
        <w:tc>
          <w:tcPr>
            <w:tcW w:w="1201" w:type="dxa"/>
            <w:vAlign w:val="top"/>
          </w:tcPr>
          <w:p>
            <w:pPr>
              <w:pStyle w:val="TableText"/>
              <w:ind w:left="712"/>
              <w:spacing w:before="74" w:line="213" w:lineRule="auto"/>
              <w:rPr>
                <w:sz w:val="19"/>
                <w:szCs w:val="19"/>
              </w:rPr>
            </w:pPr>
            <w:r>
              <w:rPr>
                <w:sz w:val="19"/>
                <w:szCs w:val="19"/>
                <w:spacing w:val="-2"/>
              </w:rPr>
              <w:t>1045</w:t>
            </w:r>
          </w:p>
        </w:tc>
        <w:tc>
          <w:tcPr>
            <w:tcW w:w="1052" w:type="dxa"/>
            <w:vAlign w:val="top"/>
          </w:tcPr>
          <w:p>
            <w:pPr>
              <w:pStyle w:val="TableText"/>
              <w:ind w:left="647"/>
              <w:spacing w:before="74" w:line="213" w:lineRule="auto"/>
              <w:rPr>
                <w:sz w:val="19"/>
                <w:szCs w:val="19"/>
              </w:rPr>
            </w:pPr>
            <w:r>
              <w:rPr>
                <w:sz w:val="19"/>
                <w:szCs w:val="19"/>
                <w:spacing w:val="1"/>
              </w:rPr>
              <w:t>931</w:t>
            </w:r>
          </w:p>
        </w:tc>
        <w:tc>
          <w:tcPr>
            <w:tcW w:w="1543" w:type="dxa"/>
            <w:vAlign w:val="top"/>
          </w:tcPr>
          <w:p>
            <w:pPr>
              <w:pStyle w:val="TableText"/>
              <w:ind w:left="1154"/>
              <w:spacing w:before="74" w:line="213" w:lineRule="auto"/>
              <w:rPr>
                <w:sz w:val="19"/>
                <w:szCs w:val="19"/>
              </w:rPr>
            </w:pPr>
            <w:r>
              <w:rPr>
                <w:sz w:val="19"/>
                <w:szCs w:val="19"/>
                <w:spacing w:val="-4"/>
              </w:rPr>
              <w:t>114</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10"/>
              <w:spacing w:before="80" w:line="207" w:lineRule="auto"/>
              <w:rPr>
                <w:sz w:val="19"/>
                <w:szCs w:val="19"/>
              </w:rPr>
            </w:pPr>
            <w:r>
              <w:rPr>
                <w:sz w:val="19"/>
                <w:szCs w:val="19"/>
                <w:spacing w:val="8"/>
              </w:rPr>
              <w:t>资源勘探开发</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6"/>
              <w:spacing w:before="83" w:line="205" w:lineRule="auto"/>
              <w:rPr>
                <w:sz w:val="19"/>
                <w:szCs w:val="19"/>
              </w:rPr>
            </w:pPr>
            <w:r>
              <w:rPr>
                <w:sz w:val="19"/>
                <w:szCs w:val="19"/>
                <w:spacing w:val="8"/>
              </w:rPr>
              <w:t>制造业</w:t>
            </w:r>
          </w:p>
        </w:tc>
        <w:tc>
          <w:tcPr>
            <w:tcW w:w="1201" w:type="dxa"/>
            <w:vAlign w:val="top"/>
          </w:tcPr>
          <w:p>
            <w:pPr>
              <w:pStyle w:val="TableText"/>
              <w:ind w:left="811"/>
              <w:spacing w:before="77" w:line="210" w:lineRule="auto"/>
              <w:rPr>
                <w:sz w:val="19"/>
                <w:szCs w:val="19"/>
              </w:rPr>
            </w:pPr>
            <w:r>
              <w:rPr>
                <w:sz w:val="19"/>
                <w:szCs w:val="19"/>
                <w:spacing w:val="-4"/>
              </w:rPr>
              <w:t>114</w:t>
            </w:r>
          </w:p>
        </w:tc>
        <w:tc>
          <w:tcPr>
            <w:tcW w:w="1052" w:type="dxa"/>
            <w:vAlign w:val="top"/>
          </w:tcPr>
          <w:p>
            <w:pPr>
              <w:rPr>
                <w:rFonts w:ascii="Arial"/>
                <w:sz w:val="21"/>
              </w:rPr>
            </w:pPr>
            <w:r/>
          </w:p>
        </w:tc>
        <w:tc>
          <w:tcPr>
            <w:tcW w:w="1543" w:type="dxa"/>
            <w:vAlign w:val="top"/>
          </w:tcPr>
          <w:p>
            <w:pPr>
              <w:pStyle w:val="TableText"/>
              <w:ind w:left="1154"/>
              <w:spacing w:before="77" w:line="210" w:lineRule="auto"/>
              <w:rPr>
                <w:sz w:val="19"/>
                <w:szCs w:val="19"/>
              </w:rPr>
            </w:pPr>
            <w:r>
              <w:rPr>
                <w:sz w:val="19"/>
                <w:szCs w:val="19"/>
                <w:spacing w:val="-4"/>
              </w:rPr>
              <w:t>114</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5"/>
              <w:spacing w:before="79" w:line="208" w:lineRule="auto"/>
              <w:rPr>
                <w:sz w:val="19"/>
                <w:szCs w:val="19"/>
              </w:rPr>
            </w:pPr>
            <w:r>
              <w:rPr>
                <w:sz w:val="19"/>
                <w:szCs w:val="19"/>
                <w:spacing w:val="8"/>
              </w:rPr>
              <w:t>建筑业</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6"/>
              <w:spacing w:before="80" w:line="207" w:lineRule="auto"/>
              <w:rPr>
                <w:sz w:val="19"/>
                <w:szCs w:val="19"/>
              </w:rPr>
            </w:pPr>
            <w:r>
              <w:rPr>
                <w:sz w:val="19"/>
                <w:szCs w:val="19"/>
                <w:spacing w:val="9"/>
              </w:rPr>
              <w:t>工业和信息产业监管</w:t>
            </w:r>
          </w:p>
        </w:tc>
        <w:tc>
          <w:tcPr>
            <w:tcW w:w="1201" w:type="dxa"/>
            <w:vAlign w:val="top"/>
          </w:tcPr>
          <w:p>
            <w:pPr>
              <w:pStyle w:val="TableText"/>
              <w:ind w:left="794"/>
              <w:spacing w:before="78" w:line="209" w:lineRule="auto"/>
              <w:rPr>
                <w:sz w:val="19"/>
                <w:szCs w:val="19"/>
              </w:rPr>
            </w:pPr>
            <w:r>
              <w:rPr>
                <w:sz w:val="19"/>
                <w:szCs w:val="19"/>
                <w:spacing w:val="1"/>
              </w:rPr>
              <w:t>238</w:t>
            </w:r>
          </w:p>
        </w:tc>
        <w:tc>
          <w:tcPr>
            <w:tcW w:w="1052" w:type="dxa"/>
            <w:vAlign w:val="top"/>
          </w:tcPr>
          <w:p>
            <w:pPr>
              <w:pStyle w:val="TableText"/>
              <w:ind w:left="647"/>
              <w:spacing w:before="78" w:line="209" w:lineRule="auto"/>
              <w:rPr>
                <w:sz w:val="19"/>
                <w:szCs w:val="19"/>
              </w:rPr>
            </w:pPr>
            <w:r>
              <w:rPr>
                <w:sz w:val="19"/>
                <w:szCs w:val="19"/>
                <w:spacing w:val="1"/>
              </w:rPr>
              <w:t>238</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25"/>
              <w:spacing w:before="85" w:line="204" w:lineRule="auto"/>
              <w:rPr>
                <w:sz w:val="19"/>
                <w:szCs w:val="19"/>
              </w:rPr>
            </w:pPr>
            <w:r>
              <w:rPr>
                <w:sz w:val="19"/>
                <w:szCs w:val="19"/>
                <w:spacing w:val="5"/>
              </w:rPr>
              <w:t>国有资产监管</w:t>
            </w:r>
          </w:p>
        </w:tc>
        <w:tc>
          <w:tcPr>
            <w:tcW w:w="1201" w:type="dxa"/>
            <w:vAlign w:val="top"/>
          </w:tcPr>
          <w:p>
            <w:pPr>
              <w:pStyle w:val="TableText"/>
              <w:ind w:left="811"/>
              <w:spacing w:before="80" w:line="208" w:lineRule="auto"/>
              <w:rPr>
                <w:sz w:val="19"/>
                <w:szCs w:val="19"/>
              </w:rPr>
            </w:pPr>
            <w:r>
              <w:rPr>
                <w:sz w:val="19"/>
                <w:szCs w:val="19"/>
                <w:spacing w:val="-4"/>
              </w:rPr>
              <w:t>143</w:t>
            </w:r>
          </w:p>
        </w:tc>
        <w:tc>
          <w:tcPr>
            <w:tcW w:w="1052" w:type="dxa"/>
            <w:vAlign w:val="top"/>
          </w:tcPr>
          <w:p>
            <w:pPr>
              <w:pStyle w:val="TableText"/>
              <w:ind w:left="663"/>
              <w:spacing w:before="80" w:line="208" w:lineRule="auto"/>
              <w:rPr>
                <w:sz w:val="19"/>
                <w:szCs w:val="19"/>
              </w:rPr>
            </w:pPr>
            <w:r>
              <w:rPr>
                <w:sz w:val="19"/>
                <w:szCs w:val="19"/>
                <w:spacing w:val="-4"/>
              </w:rPr>
              <w:t>143</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6"/>
              <w:spacing w:before="85" w:line="204" w:lineRule="auto"/>
              <w:rPr>
                <w:sz w:val="19"/>
                <w:szCs w:val="19"/>
              </w:rPr>
            </w:pPr>
            <w:r>
              <w:rPr>
                <w:sz w:val="19"/>
                <w:szCs w:val="19"/>
                <w:spacing w:val="9"/>
              </w:rPr>
              <w:t>支持中小企业发展和管理支出</w:t>
            </w:r>
          </w:p>
        </w:tc>
        <w:tc>
          <w:tcPr>
            <w:tcW w:w="1201" w:type="dxa"/>
            <w:vAlign w:val="top"/>
          </w:tcPr>
          <w:p>
            <w:pPr>
              <w:pStyle w:val="TableText"/>
              <w:ind w:left="795"/>
              <w:spacing w:before="80" w:line="208" w:lineRule="auto"/>
              <w:rPr>
                <w:sz w:val="19"/>
                <w:szCs w:val="19"/>
              </w:rPr>
            </w:pPr>
            <w:r>
              <w:rPr>
                <w:sz w:val="19"/>
                <w:szCs w:val="19"/>
                <w:spacing w:val="1"/>
              </w:rPr>
              <w:t>550</w:t>
            </w:r>
          </w:p>
        </w:tc>
        <w:tc>
          <w:tcPr>
            <w:tcW w:w="1052" w:type="dxa"/>
            <w:vAlign w:val="top"/>
          </w:tcPr>
          <w:p>
            <w:pPr>
              <w:pStyle w:val="TableText"/>
              <w:ind w:left="648"/>
              <w:spacing w:before="80" w:line="208" w:lineRule="auto"/>
              <w:rPr>
                <w:sz w:val="19"/>
                <w:szCs w:val="19"/>
              </w:rPr>
            </w:pPr>
            <w:r>
              <w:rPr>
                <w:sz w:val="19"/>
                <w:szCs w:val="19"/>
                <w:spacing w:val="1"/>
              </w:rPr>
              <w:t>550</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4"/>
              <w:spacing w:before="82" w:line="206" w:lineRule="auto"/>
              <w:rPr>
                <w:sz w:val="19"/>
                <w:szCs w:val="19"/>
              </w:rPr>
            </w:pPr>
            <w:r>
              <w:rPr>
                <w:sz w:val="19"/>
                <w:szCs w:val="19"/>
                <w:spacing w:val="9"/>
              </w:rPr>
              <w:t>其他资源勘探工业信息等支出</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114"/>
              <w:spacing w:before="82" w:line="206" w:lineRule="auto"/>
              <w:rPr>
                <w:sz w:val="19"/>
                <w:szCs w:val="19"/>
              </w:rPr>
            </w:pPr>
            <w:r>
              <w:rPr>
                <w:sz w:val="19"/>
                <w:szCs w:val="19"/>
                <w:spacing w:val="8"/>
              </w:rPr>
              <w:t>十五、商业服务业等支出</w:t>
            </w:r>
          </w:p>
        </w:tc>
        <w:tc>
          <w:tcPr>
            <w:tcW w:w="1201" w:type="dxa"/>
            <w:vAlign w:val="top"/>
          </w:tcPr>
          <w:p>
            <w:pPr>
              <w:pStyle w:val="TableText"/>
              <w:ind w:left="696"/>
              <w:spacing w:before="79" w:line="209" w:lineRule="auto"/>
              <w:rPr>
                <w:sz w:val="19"/>
                <w:szCs w:val="19"/>
              </w:rPr>
            </w:pPr>
            <w:r>
              <w:rPr>
                <w:sz w:val="19"/>
                <w:szCs w:val="19"/>
                <w:spacing w:val="2"/>
              </w:rPr>
              <w:t>2466</w:t>
            </w:r>
          </w:p>
        </w:tc>
        <w:tc>
          <w:tcPr>
            <w:tcW w:w="1052" w:type="dxa"/>
            <w:vAlign w:val="top"/>
          </w:tcPr>
          <w:p>
            <w:pPr>
              <w:pStyle w:val="TableText"/>
              <w:ind w:left="663"/>
              <w:spacing w:before="79" w:line="209" w:lineRule="auto"/>
              <w:rPr>
                <w:sz w:val="19"/>
                <w:szCs w:val="19"/>
              </w:rPr>
            </w:pPr>
            <w:r>
              <w:rPr>
                <w:sz w:val="19"/>
                <w:szCs w:val="19"/>
                <w:spacing w:val="-4"/>
              </w:rPr>
              <w:t>109</w:t>
            </w:r>
          </w:p>
        </w:tc>
        <w:tc>
          <w:tcPr>
            <w:tcW w:w="1543" w:type="dxa"/>
            <w:vAlign w:val="top"/>
          </w:tcPr>
          <w:p>
            <w:pPr>
              <w:pStyle w:val="TableText"/>
              <w:ind w:left="1138"/>
              <w:spacing w:before="79" w:line="209" w:lineRule="auto"/>
              <w:rPr>
                <w:sz w:val="19"/>
                <w:szCs w:val="19"/>
              </w:rPr>
            </w:pPr>
            <w:r>
              <w:rPr>
                <w:sz w:val="19"/>
                <w:szCs w:val="19"/>
                <w:spacing w:val="1"/>
              </w:rPr>
              <w:t>923</w:t>
            </w:r>
          </w:p>
        </w:tc>
        <w:tc>
          <w:tcPr>
            <w:tcW w:w="1379" w:type="dxa"/>
            <w:vAlign w:val="top"/>
          </w:tcPr>
          <w:p>
            <w:pPr>
              <w:pStyle w:val="TableText"/>
              <w:ind w:left="893"/>
              <w:spacing w:before="79" w:line="209" w:lineRule="auto"/>
              <w:rPr>
                <w:sz w:val="19"/>
                <w:szCs w:val="19"/>
              </w:rPr>
            </w:pPr>
            <w:r>
              <w:rPr>
                <w:sz w:val="19"/>
                <w:szCs w:val="19"/>
                <w:spacing w:val="-2"/>
              </w:rPr>
              <w:t>1434</w:t>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6"/>
              <w:spacing w:before="85" w:line="204" w:lineRule="auto"/>
              <w:rPr>
                <w:sz w:val="19"/>
                <w:szCs w:val="19"/>
              </w:rPr>
            </w:pPr>
            <w:r>
              <w:rPr>
                <w:sz w:val="19"/>
                <w:szCs w:val="19"/>
                <w:spacing w:val="9"/>
              </w:rPr>
              <w:t>商业流通事务</w:t>
            </w:r>
          </w:p>
        </w:tc>
        <w:tc>
          <w:tcPr>
            <w:tcW w:w="1201" w:type="dxa"/>
            <w:vAlign w:val="top"/>
          </w:tcPr>
          <w:p>
            <w:pPr>
              <w:pStyle w:val="TableText"/>
              <w:ind w:left="696"/>
              <w:spacing w:before="80" w:line="208" w:lineRule="auto"/>
              <w:rPr>
                <w:sz w:val="19"/>
                <w:szCs w:val="19"/>
              </w:rPr>
            </w:pPr>
            <w:r>
              <w:rPr>
                <w:sz w:val="19"/>
                <w:szCs w:val="19"/>
                <w:spacing w:val="2"/>
              </w:rPr>
              <w:t>2316</w:t>
            </w:r>
          </w:p>
        </w:tc>
        <w:tc>
          <w:tcPr>
            <w:tcW w:w="1052" w:type="dxa"/>
            <w:vAlign w:val="top"/>
          </w:tcPr>
          <w:p>
            <w:pPr>
              <w:pStyle w:val="TableText"/>
              <w:ind w:left="663"/>
              <w:spacing w:before="80" w:line="208" w:lineRule="auto"/>
              <w:rPr>
                <w:sz w:val="19"/>
                <w:szCs w:val="19"/>
              </w:rPr>
            </w:pPr>
            <w:r>
              <w:rPr>
                <w:sz w:val="19"/>
                <w:szCs w:val="19"/>
                <w:spacing w:val="-4"/>
              </w:rPr>
              <w:t>109</w:t>
            </w:r>
          </w:p>
        </w:tc>
        <w:tc>
          <w:tcPr>
            <w:tcW w:w="1543" w:type="dxa"/>
            <w:vAlign w:val="top"/>
          </w:tcPr>
          <w:p>
            <w:pPr>
              <w:pStyle w:val="TableText"/>
              <w:ind w:left="1137"/>
              <w:spacing w:before="80" w:line="208" w:lineRule="auto"/>
              <w:rPr>
                <w:sz w:val="19"/>
                <w:szCs w:val="19"/>
              </w:rPr>
            </w:pPr>
            <w:r>
              <w:rPr>
                <w:sz w:val="19"/>
                <w:szCs w:val="19"/>
                <w:spacing w:val="2"/>
              </w:rPr>
              <w:t>773</w:t>
            </w:r>
          </w:p>
        </w:tc>
        <w:tc>
          <w:tcPr>
            <w:tcW w:w="1379" w:type="dxa"/>
            <w:vAlign w:val="top"/>
          </w:tcPr>
          <w:p>
            <w:pPr>
              <w:pStyle w:val="TableText"/>
              <w:ind w:left="893"/>
              <w:spacing w:before="80" w:line="208" w:lineRule="auto"/>
              <w:rPr>
                <w:sz w:val="19"/>
                <w:szCs w:val="19"/>
              </w:rPr>
            </w:pPr>
            <w:r>
              <w:rPr>
                <w:sz w:val="19"/>
                <w:szCs w:val="19"/>
                <w:spacing w:val="-2"/>
              </w:rPr>
              <w:t>1434</w:t>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14" w:hRule="atLeast"/>
        </w:trPr>
        <w:tc>
          <w:tcPr>
            <w:tcW w:w="4301" w:type="dxa"/>
            <w:vAlign w:val="top"/>
            <w:tcBorders>
              <w:left w:val="single" w:color="000000" w:sz="6" w:space="0"/>
              <w:bottom w:val="single" w:color="000000" w:sz="6" w:space="0"/>
            </w:tcBorders>
          </w:tcPr>
          <w:p>
            <w:pPr>
              <w:pStyle w:val="TableText"/>
              <w:ind w:left="507"/>
              <w:spacing w:before="85" w:line="212" w:lineRule="auto"/>
              <w:rPr>
                <w:sz w:val="19"/>
                <w:szCs w:val="19"/>
              </w:rPr>
            </w:pPr>
            <w:r>
              <w:rPr>
                <w:sz w:val="19"/>
                <w:szCs w:val="19"/>
                <w:spacing w:val="8"/>
              </w:rPr>
              <w:t>涉外发展服务支出</w:t>
            </w:r>
          </w:p>
        </w:tc>
        <w:tc>
          <w:tcPr>
            <w:tcW w:w="1201" w:type="dxa"/>
            <w:vAlign w:val="top"/>
            <w:tcBorders>
              <w:bottom w:val="single" w:color="000000" w:sz="6" w:space="0"/>
            </w:tcBorders>
          </w:tcPr>
          <w:p>
            <w:pPr>
              <w:pStyle w:val="TableText"/>
              <w:ind w:left="811"/>
              <w:spacing w:before="80" w:line="217" w:lineRule="auto"/>
              <w:rPr>
                <w:sz w:val="19"/>
                <w:szCs w:val="19"/>
              </w:rPr>
            </w:pPr>
            <w:r>
              <w:rPr>
                <w:sz w:val="19"/>
                <w:szCs w:val="19"/>
                <w:spacing w:val="-4"/>
              </w:rPr>
              <w:t>150</w:t>
            </w:r>
          </w:p>
        </w:tc>
        <w:tc>
          <w:tcPr>
            <w:tcW w:w="1052" w:type="dxa"/>
            <w:vAlign w:val="top"/>
            <w:tcBorders>
              <w:bottom w:val="single" w:color="000000" w:sz="6" w:space="0"/>
            </w:tcBorders>
          </w:tcPr>
          <w:p>
            <w:pPr>
              <w:rPr>
                <w:rFonts w:ascii="Arial"/>
                <w:sz w:val="21"/>
              </w:rPr>
            </w:pPr>
            <w:r/>
          </w:p>
        </w:tc>
        <w:tc>
          <w:tcPr>
            <w:tcW w:w="1543" w:type="dxa"/>
            <w:vAlign w:val="top"/>
            <w:tcBorders>
              <w:bottom w:val="single" w:color="000000" w:sz="6" w:space="0"/>
            </w:tcBorders>
          </w:tcPr>
          <w:p>
            <w:pPr>
              <w:pStyle w:val="TableText"/>
              <w:ind w:left="1154"/>
              <w:spacing w:before="80" w:line="217" w:lineRule="auto"/>
              <w:rPr>
                <w:sz w:val="19"/>
                <w:szCs w:val="19"/>
              </w:rPr>
            </w:pPr>
            <w:r>
              <w:rPr>
                <w:sz w:val="19"/>
                <w:szCs w:val="19"/>
                <w:spacing w:val="-4"/>
              </w:rPr>
              <w:t>150</w:t>
            </w:r>
          </w:p>
        </w:tc>
        <w:tc>
          <w:tcPr>
            <w:tcW w:w="1379" w:type="dxa"/>
            <w:vAlign w:val="top"/>
            <w:tcBorders>
              <w:bottom w:val="single" w:color="000000" w:sz="6" w:space="0"/>
            </w:tcBorders>
          </w:tcPr>
          <w:p>
            <w:pPr>
              <w:rPr>
                <w:rFonts w:ascii="Arial"/>
                <w:sz w:val="21"/>
              </w:rPr>
            </w:pPr>
            <w:r/>
          </w:p>
        </w:tc>
        <w:tc>
          <w:tcPr>
            <w:tcW w:w="1134" w:type="dxa"/>
            <w:vAlign w:val="top"/>
            <w:tcBorders>
              <w:bottom w:val="single" w:color="000000" w:sz="6" w:space="0"/>
            </w:tcBorders>
          </w:tcPr>
          <w:p>
            <w:pPr>
              <w:rPr>
                <w:rFonts w:ascii="Arial"/>
                <w:sz w:val="21"/>
              </w:rPr>
            </w:pPr>
            <w:r/>
          </w:p>
        </w:tc>
        <w:tc>
          <w:tcPr>
            <w:tcW w:w="1460" w:type="dxa"/>
            <w:vAlign w:val="top"/>
            <w:tcBorders>
              <w:bottom w:val="single" w:color="000000" w:sz="6" w:space="0"/>
            </w:tcBorders>
          </w:tcPr>
          <w:p>
            <w:pPr>
              <w:rPr>
                <w:rFonts w:ascii="Arial"/>
                <w:sz w:val="21"/>
              </w:rPr>
            </w:pPr>
            <w:r/>
          </w:p>
        </w:tc>
        <w:tc>
          <w:tcPr>
            <w:tcW w:w="1826"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61"/>
          <w:footerReference w:type="default" r:id="rId78"/>
          <w:pgSz w:w="16839" w:h="11906"/>
          <w:pgMar w:top="1792" w:right="1463" w:bottom="1671" w:left="1463" w:header="1428" w:footer="1277" w:gutter="0"/>
        </w:sectPr>
        <w:rPr>
          <w:rFonts w:ascii="Arial" w:hAnsi="Arial" w:eastAsia="Arial" w:cs="Arial"/>
          <w:sz w:val="21"/>
          <w:szCs w:val="21"/>
        </w:rPr>
      </w:pPr>
    </w:p>
    <w:p>
      <w:pPr>
        <w:spacing w:line="165" w:lineRule="exact"/>
        <w:rPr/>
      </w:pPr>
      <w:r>
        <w:drawing>
          <wp:anchor distT="0" distB="0" distL="0" distR="0" simplePos="0" relativeHeight="251678720" behindDoc="0" locked="0" layoutInCell="0" allowOverlap="1">
            <wp:simplePos x="0" y="0"/>
            <wp:positionH relativeFrom="page">
              <wp:posOffset>979805</wp:posOffset>
            </wp:positionH>
            <wp:positionV relativeFrom="page">
              <wp:posOffset>1155700</wp:posOffset>
            </wp:positionV>
            <wp:extent cx="8712200" cy="7620"/>
            <wp:effectExtent l="0" t="0" r="0" b="0"/>
            <wp:wrapNone/>
            <wp:docPr id="158" name="IM 158"/>
            <wp:cNvGraphicFramePr/>
            <a:graphic>
              <a:graphicData uri="http://schemas.openxmlformats.org/drawingml/2006/picture">
                <pic:pic>
                  <pic:nvPicPr>
                    <pic:cNvPr id="158" name="IM 158"/>
                    <pic:cNvPicPr/>
                  </pic:nvPicPr>
                  <pic:blipFill>
                    <a:blip r:embed="rId81"/>
                    <a:stretch>
                      <a:fillRect/>
                    </a:stretch>
                  </pic:blipFill>
                  <pic:spPr>
                    <a:xfrm rot="0">
                      <a:off x="0" y="0"/>
                      <a:ext cx="8712200" cy="7620"/>
                    </a:xfrm>
                    <a:prstGeom prst="rect">
                      <a:avLst/>
                    </a:prstGeom>
                  </pic:spPr>
                </pic:pic>
              </a:graphicData>
            </a:graphic>
          </wp:anchor>
        </w:drawing>
      </w: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301"/>
        <w:gridCol w:w="1201"/>
        <w:gridCol w:w="1052"/>
        <w:gridCol w:w="1543"/>
        <w:gridCol w:w="1379"/>
        <w:gridCol w:w="1134"/>
        <w:gridCol w:w="1460"/>
        <w:gridCol w:w="1826"/>
      </w:tblGrid>
      <w:tr>
        <w:trPr>
          <w:trHeight w:val="611" w:hRule="atLeast"/>
        </w:trPr>
        <w:tc>
          <w:tcPr>
            <w:tcW w:w="4301" w:type="dxa"/>
            <w:vAlign w:val="top"/>
            <w:tcBorders>
              <w:left w:val="single" w:color="000000" w:sz="6" w:space="0"/>
              <w:top w:val="single" w:color="000000" w:sz="6" w:space="0"/>
            </w:tcBorders>
          </w:tcPr>
          <w:p>
            <w:pPr>
              <w:pStyle w:val="TableText"/>
              <w:ind w:left="1945"/>
              <w:spacing w:before="232" w:line="212" w:lineRule="auto"/>
              <w:rPr>
                <w:sz w:val="19"/>
                <w:szCs w:val="19"/>
              </w:rPr>
            </w:pPr>
            <w:r>
              <w:rPr>
                <w:sz w:val="19"/>
                <w:szCs w:val="19"/>
                <w:b/>
                <w:bCs/>
                <w:spacing w:val="6"/>
              </w:rPr>
              <w:t>项目</w:t>
            </w:r>
          </w:p>
        </w:tc>
        <w:tc>
          <w:tcPr>
            <w:tcW w:w="1201" w:type="dxa"/>
            <w:vAlign w:val="top"/>
            <w:tcBorders>
              <w:top w:val="single" w:color="000000" w:sz="6" w:space="0"/>
            </w:tcBorders>
          </w:tcPr>
          <w:p>
            <w:pPr>
              <w:pStyle w:val="TableText"/>
              <w:ind w:left="396"/>
              <w:spacing w:before="227" w:line="223" w:lineRule="auto"/>
              <w:rPr>
                <w:sz w:val="19"/>
                <w:szCs w:val="19"/>
              </w:rPr>
            </w:pPr>
            <w:r>
              <w:rPr>
                <w:sz w:val="19"/>
                <w:szCs w:val="19"/>
                <w:b/>
                <w:bCs/>
                <w:spacing w:val="6"/>
              </w:rPr>
              <w:t>合计</w:t>
            </w:r>
          </w:p>
        </w:tc>
        <w:tc>
          <w:tcPr>
            <w:tcW w:w="1052" w:type="dxa"/>
            <w:vAlign w:val="top"/>
            <w:tcBorders>
              <w:top w:val="single" w:color="000000" w:sz="6" w:space="0"/>
            </w:tcBorders>
          </w:tcPr>
          <w:p>
            <w:pPr>
              <w:pStyle w:val="TableText"/>
              <w:ind w:left="124"/>
              <w:spacing w:before="230" w:line="216" w:lineRule="auto"/>
              <w:rPr>
                <w:sz w:val="19"/>
                <w:szCs w:val="19"/>
              </w:rPr>
            </w:pPr>
            <w:r>
              <w:rPr>
                <w:sz w:val="19"/>
                <w:szCs w:val="19"/>
                <w:b/>
                <w:bCs/>
                <w:spacing w:val="7"/>
              </w:rPr>
              <w:t>财力安排</w:t>
            </w:r>
          </w:p>
        </w:tc>
        <w:tc>
          <w:tcPr>
            <w:tcW w:w="1543" w:type="dxa"/>
            <w:vAlign w:val="top"/>
            <w:tcBorders>
              <w:top w:val="single" w:color="000000" w:sz="6" w:space="0"/>
            </w:tcBorders>
          </w:tcPr>
          <w:p>
            <w:pPr>
              <w:pStyle w:val="TableText"/>
              <w:ind w:left="369"/>
              <w:spacing w:before="75" w:line="224" w:lineRule="auto"/>
              <w:rPr>
                <w:sz w:val="19"/>
                <w:szCs w:val="19"/>
              </w:rPr>
            </w:pPr>
            <w:r>
              <w:rPr>
                <w:sz w:val="19"/>
                <w:szCs w:val="19"/>
                <w:b/>
                <w:bCs/>
                <w:spacing w:val="7"/>
              </w:rPr>
              <w:t>专项转移</w:t>
            </w:r>
          </w:p>
          <w:p>
            <w:pPr>
              <w:pStyle w:val="TableText"/>
              <w:ind w:left="171"/>
              <w:spacing w:before="68" w:line="220" w:lineRule="auto"/>
              <w:rPr>
                <w:sz w:val="19"/>
                <w:szCs w:val="19"/>
              </w:rPr>
            </w:pPr>
            <w:r>
              <w:rPr>
                <w:sz w:val="19"/>
                <w:szCs w:val="19"/>
                <w:b/>
                <w:bCs/>
                <w:spacing w:val="7"/>
              </w:rPr>
              <w:t>支付收入安排</w:t>
            </w:r>
          </w:p>
        </w:tc>
        <w:tc>
          <w:tcPr>
            <w:tcW w:w="1379" w:type="dxa"/>
            <w:vAlign w:val="top"/>
            <w:tcBorders>
              <w:top w:val="single" w:color="000000" w:sz="6" w:space="0"/>
            </w:tcBorders>
          </w:tcPr>
          <w:p>
            <w:pPr>
              <w:pStyle w:val="TableText"/>
              <w:ind w:left="293"/>
              <w:spacing w:before="78" w:line="218" w:lineRule="auto"/>
              <w:rPr>
                <w:sz w:val="19"/>
                <w:szCs w:val="19"/>
              </w:rPr>
            </w:pPr>
            <w:r>
              <w:rPr>
                <w:sz w:val="19"/>
                <w:szCs w:val="19"/>
                <w:b/>
                <w:bCs/>
                <w:spacing w:val="6"/>
              </w:rPr>
              <w:t>动用上年</w:t>
            </w:r>
          </w:p>
          <w:p>
            <w:pPr>
              <w:pStyle w:val="TableText"/>
              <w:ind w:left="290"/>
              <w:spacing w:before="72" w:line="220" w:lineRule="auto"/>
              <w:rPr>
                <w:sz w:val="19"/>
                <w:szCs w:val="19"/>
              </w:rPr>
            </w:pPr>
            <w:r>
              <w:rPr>
                <w:sz w:val="19"/>
                <w:szCs w:val="19"/>
                <w:b/>
                <w:bCs/>
                <w:spacing w:val="7"/>
              </w:rPr>
              <w:t>结余安排</w:t>
            </w:r>
          </w:p>
        </w:tc>
        <w:tc>
          <w:tcPr>
            <w:tcW w:w="1134" w:type="dxa"/>
            <w:vAlign w:val="top"/>
            <w:tcBorders>
              <w:top w:val="single" w:color="000000" w:sz="6" w:space="0"/>
            </w:tcBorders>
          </w:tcPr>
          <w:p>
            <w:pPr>
              <w:pStyle w:val="TableText"/>
              <w:ind w:left="169"/>
              <w:spacing w:before="227" w:line="222" w:lineRule="auto"/>
              <w:rPr>
                <w:sz w:val="19"/>
                <w:szCs w:val="19"/>
              </w:rPr>
            </w:pPr>
            <w:r>
              <w:rPr>
                <w:sz w:val="19"/>
                <w:szCs w:val="19"/>
                <w:b/>
                <w:bCs/>
                <w:spacing w:val="7"/>
              </w:rPr>
              <w:t>调入资金</w:t>
            </w:r>
          </w:p>
        </w:tc>
        <w:tc>
          <w:tcPr>
            <w:tcW w:w="1460" w:type="dxa"/>
            <w:vAlign w:val="top"/>
            <w:tcBorders>
              <w:top w:val="single" w:color="000000" w:sz="6" w:space="0"/>
            </w:tcBorders>
          </w:tcPr>
          <w:p>
            <w:pPr>
              <w:pStyle w:val="TableText"/>
              <w:ind w:left="134"/>
              <w:spacing w:before="227" w:line="220" w:lineRule="auto"/>
              <w:rPr>
                <w:sz w:val="19"/>
                <w:szCs w:val="19"/>
              </w:rPr>
            </w:pPr>
            <w:r>
              <w:rPr>
                <w:sz w:val="19"/>
                <w:szCs w:val="19"/>
                <w:b/>
                <w:bCs/>
                <w:spacing w:val="7"/>
              </w:rPr>
              <w:t>政府债务资金</w:t>
            </w:r>
          </w:p>
        </w:tc>
        <w:tc>
          <w:tcPr>
            <w:tcW w:w="1826" w:type="dxa"/>
            <w:vAlign w:val="top"/>
            <w:tcBorders>
              <w:right w:val="single" w:color="000000" w:sz="6" w:space="0"/>
              <w:top w:val="single" w:color="000000" w:sz="6" w:space="0"/>
            </w:tcBorders>
          </w:tcPr>
          <w:p>
            <w:pPr>
              <w:pStyle w:val="TableText"/>
              <w:ind w:left="514"/>
              <w:spacing w:before="227" w:line="222" w:lineRule="auto"/>
              <w:rPr>
                <w:sz w:val="19"/>
                <w:szCs w:val="19"/>
              </w:rPr>
            </w:pPr>
            <w:r>
              <w:rPr>
                <w:sz w:val="19"/>
                <w:szCs w:val="19"/>
                <w:b/>
                <w:bCs/>
                <w:spacing w:val="7"/>
              </w:rPr>
              <w:t>其他资金</w:t>
            </w:r>
          </w:p>
        </w:tc>
      </w:tr>
      <w:tr>
        <w:trPr>
          <w:trHeight w:val="304" w:hRule="atLeast"/>
        </w:trPr>
        <w:tc>
          <w:tcPr>
            <w:tcW w:w="4301" w:type="dxa"/>
            <w:vAlign w:val="top"/>
            <w:tcBorders>
              <w:left w:val="single" w:color="000000" w:sz="6" w:space="0"/>
            </w:tcBorders>
          </w:tcPr>
          <w:p>
            <w:pPr>
              <w:pStyle w:val="TableText"/>
              <w:ind w:left="504"/>
              <w:spacing w:before="71" w:line="216" w:lineRule="auto"/>
              <w:rPr>
                <w:sz w:val="19"/>
                <w:szCs w:val="19"/>
              </w:rPr>
            </w:pPr>
            <w:r>
              <w:rPr>
                <w:sz w:val="19"/>
                <w:szCs w:val="19"/>
                <w:spacing w:val="9"/>
              </w:rPr>
              <w:t>其他商业服务业等支出</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114"/>
              <w:spacing w:before="73" w:line="214" w:lineRule="auto"/>
              <w:rPr>
                <w:sz w:val="19"/>
                <w:szCs w:val="19"/>
              </w:rPr>
            </w:pPr>
            <w:r>
              <w:rPr>
                <w:sz w:val="19"/>
                <w:szCs w:val="19"/>
                <w:spacing w:val="8"/>
              </w:rPr>
              <w:t>十六、金融支出</w:t>
            </w:r>
          </w:p>
        </w:tc>
        <w:tc>
          <w:tcPr>
            <w:tcW w:w="1201" w:type="dxa"/>
            <w:vAlign w:val="top"/>
          </w:tcPr>
          <w:p>
            <w:pPr>
              <w:pStyle w:val="TableText"/>
              <w:ind w:left="811"/>
              <w:spacing w:before="68" w:line="219" w:lineRule="auto"/>
              <w:rPr>
                <w:sz w:val="19"/>
                <w:szCs w:val="19"/>
              </w:rPr>
            </w:pPr>
            <w:r>
              <w:rPr>
                <w:sz w:val="19"/>
                <w:szCs w:val="19"/>
                <w:spacing w:val="-4"/>
              </w:rPr>
              <w:t>160</w:t>
            </w:r>
          </w:p>
        </w:tc>
        <w:tc>
          <w:tcPr>
            <w:tcW w:w="1052" w:type="dxa"/>
            <w:vAlign w:val="top"/>
          </w:tcPr>
          <w:p>
            <w:pPr>
              <w:pStyle w:val="TableText"/>
              <w:ind w:left="663"/>
              <w:spacing w:before="68" w:line="219" w:lineRule="auto"/>
              <w:rPr>
                <w:sz w:val="19"/>
                <w:szCs w:val="19"/>
              </w:rPr>
            </w:pPr>
            <w:r>
              <w:rPr>
                <w:sz w:val="19"/>
                <w:szCs w:val="19"/>
                <w:spacing w:val="-4"/>
              </w:rPr>
              <w:t>160</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5"/>
              <w:spacing w:before="74" w:line="213" w:lineRule="auto"/>
              <w:rPr>
                <w:sz w:val="19"/>
                <w:szCs w:val="19"/>
              </w:rPr>
            </w:pPr>
            <w:r>
              <w:rPr>
                <w:sz w:val="19"/>
                <w:szCs w:val="19"/>
                <w:spacing w:val="9"/>
              </w:rPr>
              <w:t>金融部门行政支出</w:t>
            </w:r>
          </w:p>
        </w:tc>
        <w:tc>
          <w:tcPr>
            <w:tcW w:w="1201" w:type="dxa"/>
            <w:vAlign w:val="top"/>
          </w:tcPr>
          <w:p>
            <w:pPr>
              <w:pStyle w:val="TableText"/>
              <w:ind w:left="893"/>
              <w:spacing w:before="68" w:line="219" w:lineRule="auto"/>
              <w:rPr>
                <w:sz w:val="19"/>
                <w:szCs w:val="19"/>
              </w:rPr>
            </w:pPr>
            <w:r>
              <w:rPr>
                <w:sz w:val="19"/>
                <w:szCs w:val="19"/>
              </w:rPr>
              <w:t>20</w:t>
            </w:r>
          </w:p>
        </w:tc>
        <w:tc>
          <w:tcPr>
            <w:tcW w:w="1052" w:type="dxa"/>
            <w:vAlign w:val="top"/>
          </w:tcPr>
          <w:p>
            <w:pPr>
              <w:pStyle w:val="TableText"/>
              <w:ind w:left="745"/>
              <w:spacing w:before="68" w:line="219" w:lineRule="auto"/>
              <w:rPr>
                <w:sz w:val="19"/>
                <w:szCs w:val="19"/>
              </w:rPr>
            </w:pPr>
            <w:r>
              <w:rPr>
                <w:sz w:val="19"/>
                <w:szCs w:val="19"/>
              </w:rPr>
              <w:t>20</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5"/>
              <w:spacing w:before="74" w:line="213" w:lineRule="auto"/>
              <w:rPr>
                <w:sz w:val="19"/>
                <w:szCs w:val="19"/>
              </w:rPr>
            </w:pPr>
            <w:r>
              <w:rPr>
                <w:sz w:val="19"/>
                <w:szCs w:val="19"/>
                <w:spacing w:val="9"/>
              </w:rPr>
              <w:t>金融部门监管支出</w:t>
            </w:r>
          </w:p>
        </w:tc>
        <w:tc>
          <w:tcPr>
            <w:tcW w:w="1201" w:type="dxa"/>
            <w:vAlign w:val="top"/>
          </w:tcPr>
          <w:p>
            <w:pPr>
              <w:pStyle w:val="TableText"/>
              <w:ind w:left="811"/>
              <w:spacing w:before="69" w:line="218" w:lineRule="auto"/>
              <w:rPr>
                <w:sz w:val="19"/>
                <w:szCs w:val="19"/>
              </w:rPr>
            </w:pPr>
            <w:r>
              <w:rPr>
                <w:sz w:val="19"/>
                <w:szCs w:val="19"/>
                <w:spacing w:val="-4"/>
              </w:rPr>
              <w:t>125</w:t>
            </w:r>
          </w:p>
        </w:tc>
        <w:tc>
          <w:tcPr>
            <w:tcW w:w="1052" w:type="dxa"/>
            <w:vAlign w:val="top"/>
          </w:tcPr>
          <w:p>
            <w:pPr>
              <w:pStyle w:val="TableText"/>
              <w:ind w:left="663"/>
              <w:spacing w:before="69" w:line="218" w:lineRule="auto"/>
              <w:rPr>
                <w:sz w:val="19"/>
                <w:szCs w:val="19"/>
              </w:rPr>
            </w:pPr>
            <w:r>
              <w:rPr>
                <w:sz w:val="19"/>
                <w:szCs w:val="19"/>
                <w:spacing w:val="-4"/>
              </w:rPr>
              <w:t>125</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5"/>
              <w:spacing w:before="77" w:line="210" w:lineRule="auto"/>
              <w:rPr>
                <w:sz w:val="19"/>
                <w:szCs w:val="19"/>
              </w:rPr>
            </w:pPr>
            <w:r>
              <w:rPr>
                <w:sz w:val="19"/>
                <w:szCs w:val="19"/>
                <w:spacing w:val="9"/>
              </w:rPr>
              <w:t>金融发展支出</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5"/>
              <w:spacing w:before="77" w:line="210" w:lineRule="auto"/>
              <w:rPr>
                <w:sz w:val="19"/>
                <w:szCs w:val="19"/>
              </w:rPr>
            </w:pPr>
            <w:r>
              <w:rPr>
                <w:sz w:val="19"/>
                <w:szCs w:val="19"/>
                <w:spacing w:val="9"/>
              </w:rPr>
              <w:t>金融调控支出</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4"/>
              <w:spacing w:before="76" w:line="212" w:lineRule="auto"/>
              <w:rPr>
                <w:sz w:val="19"/>
                <w:szCs w:val="19"/>
              </w:rPr>
            </w:pPr>
            <w:r>
              <w:rPr>
                <w:sz w:val="19"/>
                <w:szCs w:val="19"/>
                <w:spacing w:val="9"/>
              </w:rPr>
              <w:t>其他金融支出</w:t>
            </w:r>
          </w:p>
        </w:tc>
        <w:tc>
          <w:tcPr>
            <w:tcW w:w="1201" w:type="dxa"/>
            <w:vAlign w:val="top"/>
          </w:tcPr>
          <w:p>
            <w:pPr>
              <w:pStyle w:val="TableText"/>
              <w:ind w:left="909"/>
              <w:spacing w:before="72" w:line="216" w:lineRule="auto"/>
              <w:rPr>
                <w:sz w:val="19"/>
                <w:szCs w:val="19"/>
              </w:rPr>
            </w:pPr>
            <w:r>
              <w:rPr>
                <w:sz w:val="19"/>
                <w:szCs w:val="19"/>
                <w:spacing w:val="-8"/>
              </w:rPr>
              <w:t>15</w:t>
            </w:r>
          </w:p>
        </w:tc>
        <w:tc>
          <w:tcPr>
            <w:tcW w:w="1052" w:type="dxa"/>
            <w:vAlign w:val="top"/>
          </w:tcPr>
          <w:p>
            <w:pPr>
              <w:pStyle w:val="TableText"/>
              <w:ind w:left="762"/>
              <w:spacing w:before="72" w:line="216" w:lineRule="auto"/>
              <w:rPr>
                <w:sz w:val="19"/>
                <w:szCs w:val="19"/>
              </w:rPr>
            </w:pPr>
            <w:r>
              <w:rPr>
                <w:sz w:val="19"/>
                <w:szCs w:val="19"/>
                <w:spacing w:val="-8"/>
              </w:rPr>
              <w:t>15</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114"/>
              <w:spacing w:before="75" w:line="213" w:lineRule="auto"/>
              <w:rPr>
                <w:sz w:val="19"/>
                <w:szCs w:val="19"/>
              </w:rPr>
            </w:pPr>
            <w:r>
              <w:rPr>
                <w:sz w:val="19"/>
                <w:szCs w:val="19"/>
                <w:spacing w:val="8"/>
              </w:rPr>
              <w:t>十七、援助其他地区支出</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6"/>
              <w:spacing w:before="79" w:line="209" w:lineRule="auto"/>
              <w:rPr>
                <w:sz w:val="19"/>
                <w:szCs w:val="19"/>
              </w:rPr>
            </w:pPr>
            <w:r>
              <w:rPr>
                <w:sz w:val="19"/>
                <w:szCs w:val="19"/>
                <w:spacing w:val="9"/>
              </w:rPr>
              <w:t>一般公共服务</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6"/>
              <w:spacing w:before="77" w:line="211" w:lineRule="auto"/>
              <w:rPr>
                <w:sz w:val="19"/>
                <w:szCs w:val="19"/>
              </w:rPr>
            </w:pPr>
            <w:r>
              <w:rPr>
                <w:sz w:val="19"/>
                <w:szCs w:val="19"/>
                <w:spacing w:val="6"/>
              </w:rPr>
              <w:t>教育</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7"/>
              <w:spacing w:before="74" w:line="213" w:lineRule="auto"/>
              <w:rPr>
                <w:sz w:val="19"/>
                <w:szCs w:val="19"/>
              </w:rPr>
            </w:pPr>
            <w:r>
              <w:rPr>
                <w:sz w:val="19"/>
                <w:szCs w:val="19"/>
                <w:spacing w:val="8"/>
              </w:rPr>
              <w:t>文化体育与传媒</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17"/>
              <w:spacing w:before="78" w:line="210" w:lineRule="auto"/>
              <w:rPr>
                <w:sz w:val="19"/>
                <w:szCs w:val="19"/>
              </w:rPr>
            </w:pPr>
            <w:r>
              <w:rPr>
                <w:sz w:val="19"/>
                <w:szCs w:val="19"/>
                <w:spacing w:val="5"/>
              </w:rPr>
              <w:t>医疗卫生</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6"/>
              <w:spacing w:before="79" w:line="208" w:lineRule="auto"/>
              <w:rPr>
                <w:sz w:val="19"/>
                <w:szCs w:val="19"/>
              </w:rPr>
            </w:pPr>
            <w:r>
              <w:rPr>
                <w:sz w:val="19"/>
                <w:szCs w:val="19"/>
                <w:spacing w:val="8"/>
              </w:rPr>
              <w:t>节能环保</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2"/>
              <w:spacing w:before="80" w:line="208" w:lineRule="auto"/>
              <w:rPr>
                <w:sz w:val="19"/>
                <w:szCs w:val="19"/>
              </w:rPr>
            </w:pPr>
            <w:r>
              <w:rPr>
                <w:sz w:val="19"/>
                <w:szCs w:val="19"/>
                <w:spacing w:val="8"/>
              </w:rPr>
              <w:t>农业</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5"/>
              <w:spacing w:before="79" w:line="208" w:lineRule="auto"/>
              <w:rPr>
                <w:sz w:val="19"/>
                <w:szCs w:val="19"/>
              </w:rPr>
            </w:pPr>
            <w:r>
              <w:rPr>
                <w:sz w:val="19"/>
                <w:szCs w:val="19"/>
                <w:spacing w:val="8"/>
              </w:rPr>
              <w:t>交通运输</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4"/>
              <w:spacing w:before="77" w:line="211" w:lineRule="auto"/>
              <w:rPr>
                <w:sz w:val="19"/>
                <w:szCs w:val="19"/>
              </w:rPr>
            </w:pPr>
            <w:r>
              <w:rPr>
                <w:sz w:val="19"/>
                <w:szCs w:val="19"/>
                <w:spacing w:val="8"/>
              </w:rPr>
              <w:t>住房保障</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4"/>
              <w:spacing w:before="80" w:line="207" w:lineRule="auto"/>
              <w:rPr>
                <w:sz w:val="19"/>
                <w:szCs w:val="19"/>
              </w:rPr>
            </w:pPr>
            <w:r>
              <w:rPr>
                <w:sz w:val="19"/>
                <w:szCs w:val="19"/>
                <w:spacing w:val="8"/>
              </w:rPr>
              <w:t>其他支出</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114"/>
              <w:spacing w:before="80" w:line="208" w:lineRule="auto"/>
              <w:rPr>
                <w:sz w:val="19"/>
                <w:szCs w:val="19"/>
              </w:rPr>
            </w:pPr>
            <w:r>
              <w:rPr>
                <w:sz w:val="19"/>
                <w:szCs w:val="19"/>
                <w:spacing w:val="6"/>
              </w:rPr>
              <w:t>十八、</w:t>
            </w:r>
            <w:r>
              <w:rPr>
                <w:sz w:val="19"/>
                <w:szCs w:val="19"/>
                <w:spacing w:val="-53"/>
              </w:rPr>
              <w:t xml:space="preserve"> </w:t>
            </w:r>
            <w:r>
              <w:rPr>
                <w:sz w:val="19"/>
                <w:szCs w:val="19"/>
                <w:spacing w:val="6"/>
              </w:rPr>
              <w:t>自然资源海洋气象等支出</w:t>
            </w:r>
          </w:p>
        </w:tc>
        <w:tc>
          <w:tcPr>
            <w:tcW w:w="1201" w:type="dxa"/>
            <w:vAlign w:val="top"/>
          </w:tcPr>
          <w:p>
            <w:pPr>
              <w:pStyle w:val="TableText"/>
              <w:ind w:left="712"/>
              <w:spacing w:before="77" w:line="211" w:lineRule="auto"/>
              <w:rPr>
                <w:sz w:val="19"/>
                <w:szCs w:val="19"/>
              </w:rPr>
            </w:pPr>
            <w:r>
              <w:rPr>
                <w:sz w:val="19"/>
                <w:szCs w:val="19"/>
                <w:spacing w:val="-2"/>
              </w:rPr>
              <w:t>1659</w:t>
            </w:r>
          </w:p>
        </w:tc>
        <w:tc>
          <w:tcPr>
            <w:tcW w:w="1052" w:type="dxa"/>
            <w:vAlign w:val="top"/>
          </w:tcPr>
          <w:p>
            <w:pPr>
              <w:pStyle w:val="TableText"/>
              <w:ind w:left="562"/>
              <w:spacing w:before="77" w:line="211" w:lineRule="auto"/>
              <w:rPr>
                <w:sz w:val="19"/>
                <w:szCs w:val="19"/>
              </w:rPr>
            </w:pPr>
            <w:r>
              <w:rPr>
                <w:sz w:val="19"/>
                <w:szCs w:val="19"/>
                <w:spacing w:val="-2"/>
              </w:rPr>
              <w:t>1659</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43"/>
              <w:spacing w:before="80" w:line="207" w:lineRule="auto"/>
              <w:rPr>
                <w:sz w:val="19"/>
                <w:szCs w:val="19"/>
              </w:rPr>
            </w:pPr>
            <w:r>
              <w:rPr>
                <w:sz w:val="19"/>
                <w:szCs w:val="19"/>
                <w:spacing w:val="2"/>
              </w:rPr>
              <w:t>自然资源事务</w:t>
            </w:r>
          </w:p>
        </w:tc>
        <w:tc>
          <w:tcPr>
            <w:tcW w:w="1201" w:type="dxa"/>
            <w:vAlign w:val="top"/>
          </w:tcPr>
          <w:p>
            <w:pPr>
              <w:pStyle w:val="TableText"/>
              <w:ind w:left="712"/>
              <w:spacing w:before="76" w:line="211" w:lineRule="auto"/>
              <w:rPr>
                <w:sz w:val="19"/>
                <w:szCs w:val="19"/>
              </w:rPr>
            </w:pPr>
            <w:r>
              <w:rPr>
                <w:sz w:val="19"/>
                <w:szCs w:val="19"/>
                <w:spacing w:val="-2"/>
              </w:rPr>
              <w:t>1559</w:t>
            </w:r>
          </w:p>
        </w:tc>
        <w:tc>
          <w:tcPr>
            <w:tcW w:w="1052" w:type="dxa"/>
            <w:vAlign w:val="top"/>
          </w:tcPr>
          <w:p>
            <w:pPr>
              <w:pStyle w:val="TableText"/>
              <w:ind w:left="562"/>
              <w:spacing w:before="76" w:line="211" w:lineRule="auto"/>
              <w:rPr>
                <w:sz w:val="19"/>
                <w:szCs w:val="19"/>
              </w:rPr>
            </w:pPr>
            <w:r>
              <w:rPr>
                <w:sz w:val="19"/>
                <w:szCs w:val="19"/>
                <w:spacing w:val="-2"/>
              </w:rPr>
              <w:t>1559</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4"/>
              <w:spacing w:before="81" w:line="207" w:lineRule="auto"/>
              <w:rPr>
                <w:sz w:val="19"/>
                <w:szCs w:val="19"/>
              </w:rPr>
            </w:pPr>
            <w:r>
              <w:rPr>
                <w:sz w:val="19"/>
                <w:szCs w:val="19"/>
                <w:spacing w:val="8"/>
              </w:rPr>
              <w:t>气象事务</w:t>
            </w:r>
          </w:p>
        </w:tc>
        <w:tc>
          <w:tcPr>
            <w:tcW w:w="1201" w:type="dxa"/>
            <w:vAlign w:val="top"/>
          </w:tcPr>
          <w:p>
            <w:pPr>
              <w:pStyle w:val="TableText"/>
              <w:ind w:left="811"/>
              <w:spacing w:before="77" w:line="211" w:lineRule="auto"/>
              <w:rPr>
                <w:sz w:val="19"/>
                <w:szCs w:val="19"/>
              </w:rPr>
            </w:pPr>
            <w:r>
              <w:rPr>
                <w:sz w:val="19"/>
                <w:szCs w:val="19"/>
                <w:spacing w:val="-4"/>
              </w:rPr>
              <w:t>100</w:t>
            </w:r>
          </w:p>
        </w:tc>
        <w:tc>
          <w:tcPr>
            <w:tcW w:w="1052" w:type="dxa"/>
            <w:vAlign w:val="top"/>
          </w:tcPr>
          <w:p>
            <w:pPr>
              <w:pStyle w:val="TableText"/>
              <w:ind w:left="663"/>
              <w:spacing w:before="77" w:line="211" w:lineRule="auto"/>
              <w:rPr>
                <w:sz w:val="19"/>
                <w:szCs w:val="19"/>
              </w:rPr>
            </w:pPr>
            <w:r>
              <w:rPr>
                <w:sz w:val="19"/>
                <w:szCs w:val="19"/>
                <w:spacing w:val="-4"/>
              </w:rPr>
              <w:t>100</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4"/>
              <w:spacing w:before="83" w:line="205" w:lineRule="auto"/>
              <w:rPr>
                <w:sz w:val="19"/>
                <w:szCs w:val="19"/>
              </w:rPr>
            </w:pPr>
            <w:r>
              <w:rPr>
                <w:sz w:val="19"/>
                <w:szCs w:val="19"/>
                <w:spacing w:val="9"/>
              </w:rPr>
              <w:t>其他自然资源海洋气象等支出</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114"/>
              <w:spacing w:before="81" w:line="207" w:lineRule="auto"/>
              <w:rPr>
                <w:sz w:val="19"/>
                <w:szCs w:val="19"/>
              </w:rPr>
            </w:pPr>
            <w:r>
              <w:rPr>
                <w:sz w:val="19"/>
                <w:szCs w:val="19"/>
                <w:spacing w:val="8"/>
              </w:rPr>
              <w:t>十九、住房保障支出</w:t>
            </w:r>
          </w:p>
        </w:tc>
        <w:tc>
          <w:tcPr>
            <w:tcW w:w="1201" w:type="dxa"/>
            <w:vAlign w:val="top"/>
          </w:tcPr>
          <w:p>
            <w:pPr>
              <w:pStyle w:val="TableText"/>
              <w:ind w:left="611"/>
              <w:spacing w:before="79" w:line="209" w:lineRule="auto"/>
              <w:rPr>
                <w:sz w:val="19"/>
                <w:szCs w:val="19"/>
              </w:rPr>
            </w:pPr>
            <w:r>
              <w:rPr>
                <w:sz w:val="19"/>
                <w:szCs w:val="19"/>
                <w:spacing w:val="-1"/>
              </w:rPr>
              <w:t>17145</w:t>
            </w:r>
          </w:p>
        </w:tc>
        <w:tc>
          <w:tcPr>
            <w:tcW w:w="1052" w:type="dxa"/>
            <w:vAlign w:val="top"/>
          </w:tcPr>
          <w:p>
            <w:pPr>
              <w:pStyle w:val="TableText"/>
              <w:ind w:left="464"/>
              <w:spacing w:before="79" w:line="209" w:lineRule="auto"/>
              <w:rPr>
                <w:sz w:val="19"/>
                <w:szCs w:val="19"/>
              </w:rPr>
            </w:pPr>
            <w:r>
              <w:rPr>
                <w:sz w:val="19"/>
                <w:szCs w:val="19"/>
                <w:spacing w:val="-1"/>
              </w:rPr>
              <w:t>13880</w:t>
            </w:r>
          </w:p>
        </w:tc>
        <w:tc>
          <w:tcPr>
            <w:tcW w:w="1543" w:type="dxa"/>
            <w:vAlign w:val="top"/>
          </w:tcPr>
          <w:p>
            <w:pPr>
              <w:pStyle w:val="TableText"/>
              <w:ind w:left="1043"/>
              <w:spacing w:before="79" w:line="209" w:lineRule="auto"/>
              <w:rPr>
                <w:sz w:val="19"/>
                <w:szCs w:val="19"/>
              </w:rPr>
            </w:pPr>
            <w:r>
              <w:rPr>
                <w:sz w:val="19"/>
                <w:szCs w:val="19"/>
                <w:spacing w:val="1"/>
              </w:rPr>
              <w:t>3265</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3"/>
              <w:spacing w:before="81" w:line="206" w:lineRule="auto"/>
              <w:rPr>
                <w:sz w:val="19"/>
                <w:szCs w:val="19"/>
              </w:rPr>
            </w:pPr>
            <w:r>
              <w:rPr>
                <w:sz w:val="19"/>
                <w:szCs w:val="19"/>
                <w:spacing w:val="9"/>
              </w:rPr>
              <w:t>保障性安居工程支出</w:t>
            </w:r>
          </w:p>
        </w:tc>
        <w:tc>
          <w:tcPr>
            <w:tcW w:w="1201" w:type="dxa"/>
            <w:vAlign w:val="top"/>
          </w:tcPr>
          <w:p>
            <w:pPr>
              <w:pStyle w:val="TableText"/>
              <w:ind w:left="699"/>
              <w:spacing w:before="78" w:line="209" w:lineRule="auto"/>
              <w:rPr>
                <w:sz w:val="19"/>
                <w:szCs w:val="19"/>
              </w:rPr>
            </w:pPr>
            <w:r>
              <w:rPr>
                <w:sz w:val="19"/>
                <w:szCs w:val="19"/>
                <w:spacing w:val="1"/>
              </w:rPr>
              <w:t>3265</w:t>
            </w:r>
          </w:p>
        </w:tc>
        <w:tc>
          <w:tcPr>
            <w:tcW w:w="1052" w:type="dxa"/>
            <w:vAlign w:val="top"/>
          </w:tcPr>
          <w:p>
            <w:pPr>
              <w:rPr>
                <w:rFonts w:ascii="Arial"/>
                <w:sz w:val="21"/>
              </w:rPr>
            </w:pPr>
            <w:r/>
          </w:p>
        </w:tc>
        <w:tc>
          <w:tcPr>
            <w:tcW w:w="1543" w:type="dxa"/>
            <w:vAlign w:val="top"/>
          </w:tcPr>
          <w:p>
            <w:pPr>
              <w:pStyle w:val="TableText"/>
              <w:ind w:left="1043"/>
              <w:spacing w:before="78" w:line="209" w:lineRule="auto"/>
              <w:rPr>
                <w:sz w:val="19"/>
                <w:szCs w:val="19"/>
              </w:rPr>
            </w:pPr>
            <w:r>
              <w:rPr>
                <w:sz w:val="19"/>
                <w:szCs w:val="19"/>
                <w:spacing w:val="1"/>
              </w:rPr>
              <w:t>3265</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14" w:hRule="atLeast"/>
        </w:trPr>
        <w:tc>
          <w:tcPr>
            <w:tcW w:w="4301" w:type="dxa"/>
            <w:vAlign w:val="top"/>
            <w:tcBorders>
              <w:left w:val="single" w:color="000000" w:sz="6" w:space="0"/>
              <w:bottom w:val="single" w:color="000000" w:sz="6" w:space="0"/>
            </w:tcBorders>
          </w:tcPr>
          <w:p>
            <w:pPr>
              <w:pStyle w:val="TableText"/>
              <w:ind w:left="504"/>
              <w:spacing w:before="84" w:line="213" w:lineRule="auto"/>
              <w:rPr>
                <w:sz w:val="19"/>
                <w:szCs w:val="19"/>
              </w:rPr>
            </w:pPr>
            <w:r>
              <w:rPr>
                <w:sz w:val="19"/>
                <w:szCs w:val="19"/>
                <w:spacing w:val="9"/>
              </w:rPr>
              <w:t>住房改革支出</w:t>
            </w:r>
          </w:p>
        </w:tc>
        <w:tc>
          <w:tcPr>
            <w:tcW w:w="1201" w:type="dxa"/>
            <w:vAlign w:val="top"/>
            <w:tcBorders>
              <w:bottom w:val="single" w:color="000000" w:sz="6" w:space="0"/>
            </w:tcBorders>
          </w:tcPr>
          <w:p>
            <w:pPr>
              <w:pStyle w:val="TableText"/>
              <w:ind w:left="611"/>
              <w:spacing w:before="79" w:line="218" w:lineRule="auto"/>
              <w:rPr>
                <w:sz w:val="19"/>
                <w:szCs w:val="19"/>
              </w:rPr>
            </w:pPr>
            <w:r>
              <w:rPr>
                <w:sz w:val="19"/>
                <w:szCs w:val="19"/>
                <w:spacing w:val="-1"/>
              </w:rPr>
              <w:t>11778</w:t>
            </w:r>
          </w:p>
        </w:tc>
        <w:tc>
          <w:tcPr>
            <w:tcW w:w="1052" w:type="dxa"/>
            <w:vAlign w:val="top"/>
            <w:tcBorders>
              <w:bottom w:val="single" w:color="000000" w:sz="6" w:space="0"/>
            </w:tcBorders>
          </w:tcPr>
          <w:p>
            <w:pPr>
              <w:pStyle w:val="TableText"/>
              <w:ind w:left="464"/>
              <w:spacing w:before="79" w:line="218" w:lineRule="auto"/>
              <w:rPr>
                <w:sz w:val="19"/>
                <w:szCs w:val="19"/>
              </w:rPr>
            </w:pPr>
            <w:r>
              <w:rPr>
                <w:sz w:val="19"/>
                <w:szCs w:val="19"/>
                <w:spacing w:val="-1"/>
              </w:rPr>
              <w:t>11778</w:t>
            </w:r>
          </w:p>
        </w:tc>
        <w:tc>
          <w:tcPr>
            <w:tcW w:w="1543" w:type="dxa"/>
            <w:vAlign w:val="top"/>
            <w:tcBorders>
              <w:bottom w:val="single" w:color="000000" w:sz="6" w:space="0"/>
            </w:tcBorders>
          </w:tcPr>
          <w:p>
            <w:pPr>
              <w:rPr>
                <w:rFonts w:ascii="Arial"/>
                <w:sz w:val="21"/>
              </w:rPr>
            </w:pPr>
            <w:r/>
          </w:p>
        </w:tc>
        <w:tc>
          <w:tcPr>
            <w:tcW w:w="1379" w:type="dxa"/>
            <w:vAlign w:val="top"/>
            <w:tcBorders>
              <w:bottom w:val="single" w:color="000000" w:sz="6" w:space="0"/>
            </w:tcBorders>
          </w:tcPr>
          <w:p>
            <w:pPr>
              <w:rPr>
                <w:rFonts w:ascii="Arial"/>
                <w:sz w:val="21"/>
              </w:rPr>
            </w:pPr>
            <w:r/>
          </w:p>
        </w:tc>
        <w:tc>
          <w:tcPr>
            <w:tcW w:w="1134" w:type="dxa"/>
            <w:vAlign w:val="top"/>
            <w:tcBorders>
              <w:bottom w:val="single" w:color="000000" w:sz="6" w:space="0"/>
            </w:tcBorders>
          </w:tcPr>
          <w:p>
            <w:pPr>
              <w:rPr>
                <w:rFonts w:ascii="Arial"/>
                <w:sz w:val="21"/>
              </w:rPr>
            </w:pPr>
            <w:r/>
          </w:p>
        </w:tc>
        <w:tc>
          <w:tcPr>
            <w:tcW w:w="1460" w:type="dxa"/>
            <w:vAlign w:val="top"/>
            <w:tcBorders>
              <w:bottom w:val="single" w:color="000000" w:sz="6" w:space="0"/>
            </w:tcBorders>
          </w:tcPr>
          <w:p>
            <w:pPr>
              <w:rPr>
                <w:rFonts w:ascii="Arial"/>
                <w:sz w:val="21"/>
              </w:rPr>
            </w:pPr>
            <w:r/>
          </w:p>
        </w:tc>
        <w:tc>
          <w:tcPr>
            <w:tcW w:w="1826" w:type="dxa"/>
            <w:vAlign w:val="top"/>
            <w:tcBorders>
              <w:bottom w:val="single" w:color="000000" w:sz="6" w:space="0"/>
              <w:right w:val="single" w:color="000000" w:sz="6" w:space="0"/>
            </w:tcBorders>
          </w:tcPr>
          <w:p>
            <w:pPr>
              <w:rPr>
                <w:rFonts w:ascii="Arial"/>
                <w:sz w:val="21"/>
              </w:rPr>
            </w:pPr>
            <w:r/>
          </w:p>
        </w:tc>
      </w:tr>
    </w:tbl>
    <w:p>
      <w:pPr>
        <w:spacing w:line="92" w:lineRule="exact"/>
        <w:rPr>
          <w:rFonts w:ascii="Arial"/>
          <w:sz w:val="8"/>
        </w:rPr>
      </w:pPr>
      <w:r/>
    </w:p>
    <w:p>
      <w:pPr>
        <w:spacing w:line="92" w:lineRule="exact"/>
        <w:sectPr>
          <w:headerReference w:type="default" r:id="rId57"/>
          <w:footerReference w:type="default" r:id="rId80"/>
          <w:pgSz w:w="16839" w:h="11906"/>
          <w:pgMar w:top="1780" w:right="1463" w:bottom="1660" w:left="1463" w:header="1428" w:footer="1289" w:gutter="0"/>
        </w:sectPr>
        <w:rPr>
          <w:rFonts w:ascii="Arial" w:hAnsi="Arial" w:eastAsia="Arial" w:cs="Arial"/>
          <w:sz w:val="8"/>
          <w:szCs w:val="8"/>
        </w:rPr>
      </w:pPr>
    </w:p>
    <w:p>
      <w:pPr>
        <w:spacing w:before="51"/>
        <w:rPr/>
      </w:pPr>
      <w:r>
        <w:drawing>
          <wp:anchor distT="0" distB="0" distL="0" distR="0" simplePos="0" relativeHeight="251680768"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162" name="IM 162"/>
            <wp:cNvGraphicFramePr/>
            <a:graphic>
              <a:graphicData uri="http://schemas.openxmlformats.org/drawingml/2006/picture">
                <pic:pic>
                  <pic:nvPicPr>
                    <pic:cNvPr id="162" name="IM 162"/>
                    <pic:cNvPicPr/>
                  </pic:nvPicPr>
                  <pic:blipFill>
                    <a:blip r:embed="rId83"/>
                    <a:stretch>
                      <a:fillRect/>
                    </a:stretch>
                  </pic:blipFill>
                  <pic:spPr>
                    <a:xfrm rot="0">
                      <a:off x="0" y="0"/>
                      <a:ext cx="8712200" cy="7620"/>
                    </a:xfrm>
                    <a:prstGeom prst="rect">
                      <a:avLst/>
                    </a:prstGeom>
                  </pic:spPr>
                </pic:pic>
              </a:graphicData>
            </a:graphic>
          </wp:anchor>
        </w:drawing>
      </w: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301"/>
        <w:gridCol w:w="1201"/>
        <w:gridCol w:w="1052"/>
        <w:gridCol w:w="1543"/>
        <w:gridCol w:w="1379"/>
        <w:gridCol w:w="1134"/>
        <w:gridCol w:w="1460"/>
        <w:gridCol w:w="1826"/>
      </w:tblGrid>
      <w:tr>
        <w:trPr>
          <w:trHeight w:val="611" w:hRule="atLeast"/>
        </w:trPr>
        <w:tc>
          <w:tcPr>
            <w:tcW w:w="4301" w:type="dxa"/>
            <w:vAlign w:val="top"/>
            <w:tcBorders>
              <w:left w:val="single" w:color="000000" w:sz="6" w:space="0"/>
              <w:top w:val="single" w:color="000000" w:sz="6" w:space="0"/>
            </w:tcBorders>
          </w:tcPr>
          <w:p>
            <w:pPr>
              <w:pStyle w:val="TableText"/>
              <w:ind w:left="1945"/>
              <w:spacing w:before="232" w:line="212" w:lineRule="auto"/>
              <w:rPr>
                <w:sz w:val="19"/>
                <w:szCs w:val="19"/>
              </w:rPr>
            </w:pPr>
            <w:r>
              <w:rPr>
                <w:sz w:val="19"/>
                <w:szCs w:val="19"/>
                <w:b/>
                <w:bCs/>
                <w:spacing w:val="6"/>
              </w:rPr>
              <w:t>项目</w:t>
            </w:r>
          </w:p>
        </w:tc>
        <w:tc>
          <w:tcPr>
            <w:tcW w:w="1201" w:type="dxa"/>
            <w:vAlign w:val="top"/>
            <w:tcBorders>
              <w:top w:val="single" w:color="000000" w:sz="6" w:space="0"/>
            </w:tcBorders>
          </w:tcPr>
          <w:p>
            <w:pPr>
              <w:pStyle w:val="TableText"/>
              <w:ind w:left="396"/>
              <w:spacing w:before="227" w:line="223" w:lineRule="auto"/>
              <w:rPr>
                <w:sz w:val="19"/>
                <w:szCs w:val="19"/>
              </w:rPr>
            </w:pPr>
            <w:r>
              <w:rPr>
                <w:sz w:val="19"/>
                <w:szCs w:val="19"/>
                <w:b/>
                <w:bCs/>
                <w:spacing w:val="6"/>
              </w:rPr>
              <w:t>合计</w:t>
            </w:r>
          </w:p>
        </w:tc>
        <w:tc>
          <w:tcPr>
            <w:tcW w:w="1052" w:type="dxa"/>
            <w:vAlign w:val="top"/>
            <w:tcBorders>
              <w:top w:val="single" w:color="000000" w:sz="6" w:space="0"/>
            </w:tcBorders>
          </w:tcPr>
          <w:p>
            <w:pPr>
              <w:pStyle w:val="TableText"/>
              <w:ind w:left="124"/>
              <w:spacing w:before="231" w:line="216" w:lineRule="auto"/>
              <w:rPr>
                <w:sz w:val="19"/>
                <w:szCs w:val="19"/>
              </w:rPr>
            </w:pPr>
            <w:r>
              <w:rPr>
                <w:sz w:val="19"/>
                <w:szCs w:val="19"/>
                <w:b/>
                <w:bCs/>
                <w:spacing w:val="7"/>
              </w:rPr>
              <w:t>财力安排</w:t>
            </w:r>
          </w:p>
        </w:tc>
        <w:tc>
          <w:tcPr>
            <w:tcW w:w="1543" w:type="dxa"/>
            <w:vAlign w:val="top"/>
            <w:tcBorders>
              <w:top w:val="single" w:color="000000" w:sz="6" w:space="0"/>
            </w:tcBorders>
          </w:tcPr>
          <w:p>
            <w:pPr>
              <w:pStyle w:val="TableText"/>
              <w:ind w:left="369"/>
              <w:spacing w:before="76" w:line="224" w:lineRule="auto"/>
              <w:rPr>
                <w:sz w:val="19"/>
                <w:szCs w:val="19"/>
              </w:rPr>
            </w:pPr>
            <w:r>
              <w:rPr>
                <w:sz w:val="19"/>
                <w:szCs w:val="19"/>
                <w:b/>
                <w:bCs/>
                <w:spacing w:val="7"/>
              </w:rPr>
              <w:t>专项转移</w:t>
            </w:r>
          </w:p>
          <w:p>
            <w:pPr>
              <w:pStyle w:val="TableText"/>
              <w:ind w:left="171"/>
              <w:spacing w:before="67" w:line="220" w:lineRule="auto"/>
              <w:rPr>
                <w:sz w:val="19"/>
                <w:szCs w:val="19"/>
              </w:rPr>
            </w:pPr>
            <w:r>
              <w:rPr>
                <w:sz w:val="19"/>
                <w:szCs w:val="19"/>
                <w:b/>
                <w:bCs/>
                <w:spacing w:val="7"/>
              </w:rPr>
              <w:t>支付收入安排</w:t>
            </w:r>
          </w:p>
        </w:tc>
        <w:tc>
          <w:tcPr>
            <w:tcW w:w="1379" w:type="dxa"/>
            <w:vAlign w:val="top"/>
            <w:tcBorders>
              <w:top w:val="single" w:color="000000" w:sz="6" w:space="0"/>
            </w:tcBorders>
          </w:tcPr>
          <w:p>
            <w:pPr>
              <w:pStyle w:val="TableText"/>
              <w:ind w:left="293"/>
              <w:spacing w:before="78" w:line="218" w:lineRule="auto"/>
              <w:rPr>
                <w:sz w:val="19"/>
                <w:szCs w:val="19"/>
              </w:rPr>
            </w:pPr>
            <w:r>
              <w:rPr>
                <w:sz w:val="19"/>
                <w:szCs w:val="19"/>
                <w:b/>
                <w:bCs/>
                <w:spacing w:val="6"/>
              </w:rPr>
              <w:t>动用上年</w:t>
            </w:r>
          </w:p>
          <w:p>
            <w:pPr>
              <w:pStyle w:val="TableText"/>
              <w:ind w:left="290"/>
              <w:spacing w:before="71" w:line="220" w:lineRule="auto"/>
              <w:rPr>
                <w:sz w:val="19"/>
                <w:szCs w:val="19"/>
              </w:rPr>
            </w:pPr>
            <w:r>
              <w:rPr>
                <w:sz w:val="19"/>
                <w:szCs w:val="19"/>
                <w:b/>
                <w:bCs/>
                <w:spacing w:val="7"/>
              </w:rPr>
              <w:t>结余安排</w:t>
            </w:r>
          </w:p>
        </w:tc>
        <w:tc>
          <w:tcPr>
            <w:tcW w:w="1134" w:type="dxa"/>
            <w:vAlign w:val="top"/>
            <w:tcBorders>
              <w:top w:val="single" w:color="000000" w:sz="6" w:space="0"/>
            </w:tcBorders>
          </w:tcPr>
          <w:p>
            <w:pPr>
              <w:pStyle w:val="TableText"/>
              <w:ind w:left="169"/>
              <w:spacing w:before="228" w:line="222" w:lineRule="auto"/>
              <w:rPr>
                <w:sz w:val="19"/>
                <w:szCs w:val="19"/>
              </w:rPr>
            </w:pPr>
            <w:r>
              <w:rPr>
                <w:sz w:val="19"/>
                <w:szCs w:val="19"/>
                <w:b/>
                <w:bCs/>
                <w:spacing w:val="7"/>
              </w:rPr>
              <w:t>调入资金</w:t>
            </w:r>
          </w:p>
        </w:tc>
        <w:tc>
          <w:tcPr>
            <w:tcW w:w="1460" w:type="dxa"/>
            <w:vAlign w:val="top"/>
            <w:tcBorders>
              <w:top w:val="single" w:color="000000" w:sz="6" w:space="0"/>
            </w:tcBorders>
          </w:tcPr>
          <w:p>
            <w:pPr>
              <w:pStyle w:val="TableText"/>
              <w:ind w:left="134"/>
              <w:spacing w:before="227" w:line="220" w:lineRule="auto"/>
              <w:rPr>
                <w:sz w:val="19"/>
                <w:szCs w:val="19"/>
              </w:rPr>
            </w:pPr>
            <w:r>
              <w:rPr>
                <w:sz w:val="19"/>
                <w:szCs w:val="19"/>
                <w:b/>
                <w:bCs/>
                <w:spacing w:val="7"/>
              </w:rPr>
              <w:t>政府债务资金</w:t>
            </w:r>
          </w:p>
        </w:tc>
        <w:tc>
          <w:tcPr>
            <w:tcW w:w="1826" w:type="dxa"/>
            <w:vAlign w:val="top"/>
            <w:tcBorders>
              <w:right w:val="single" w:color="000000" w:sz="6" w:space="0"/>
              <w:top w:val="single" w:color="000000" w:sz="6" w:space="0"/>
            </w:tcBorders>
          </w:tcPr>
          <w:p>
            <w:pPr>
              <w:pStyle w:val="TableText"/>
              <w:ind w:left="514"/>
              <w:spacing w:before="228" w:line="222" w:lineRule="auto"/>
              <w:rPr>
                <w:sz w:val="19"/>
                <w:szCs w:val="19"/>
              </w:rPr>
            </w:pPr>
            <w:r>
              <w:rPr>
                <w:sz w:val="19"/>
                <w:szCs w:val="19"/>
                <w:b/>
                <w:bCs/>
                <w:spacing w:val="7"/>
              </w:rPr>
              <w:t>其他资金</w:t>
            </w:r>
          </w:p>
        </w:tc>
      </w:tr>
      <w:tr>
        <w:trPr>
          <w:trHeight w:val="304" w:hRule="atLeast"/>
        </w:trPr>
        <w:tc>
          <w:tcPr>
            <w:tcW w:w="4301" w:type="dxa"/>
            <w:vAlign w:val="top"/>
            <w:tcBorders>
              <w:left w:val="single" w:color="000000" w:sz="6" w:space="0"/>
            </w:tcBorders>
          </w:tcPr>
          <w:p>
            <w:pPr>
              <w:pStyle w:val="TableText"/>
              <w:ind w:left="506"/>
              <w:spacing w:before="71" w:line="216" w:lineRule="auto"/>
              <w:rPr>
                <w:sz w:val="19"/>
                <w:szCs w:val="19"/>
              </w:rPr>
            </w:pPr>
            <w:r>
              <w:rPr>
                <w:sz w:val="19"/>
                <w:szCs w:val="19"/>
                <w:spacing w:val="9"/>
              </w:rPr>
              <w:t>城乡社区住宅</w:t>
            </w:r>
          </w:p>
        </w:tc>
        <w:tc>
          <w:tcPr>
            <w:tcW w:w="1201" w:type="dxa"/>
            <w:vAlign w:val="top"/>
          </w:tcPr>
          <w:p>
            <w:pPr>
              <w:pStyle w:val="TableText"/>
              <w:ind w:left="696"/>
              <w:spacing w:before="66" w:line="221" w:lineRule="auto"/>
              <w:rPr>
                <w:sz w:val="19"/>
                <w:szCs w:val="19"/>
              </w:rPr>
            </w:pPr>
            <w:r>
              <w:rPr>
                <w:sz w:val="19"/>
                <w:szCs w:val="19"/>
                <w:spacing w:val="2"/>
              </w:rPr>
              <w:t>2102</w:t>
            </w:r>
          </w:p>
        </w:tc>
        <w:tc>
          <w:tcPr>
            <w:tcW w:w="1052" w:type="dxa"/>
            <w:vAlign w:val="top"/>
          </w:tcPr>
          <w:p>
            <w:pPr>
              <w:pStyle w:val="TableText"/>
              <w:ind w:left="546"/>
              <w:spacing w:before="66" w:line="221" w:lineRule="auto"/>
              <w:rPr>
                <w:sz w:val="19"/>
                <w:szCs w:val="19"/>
              </w:rPr>
            </w:pPr>
            <w:r>
              <w:rPr>
                <w:sz w:val="19"/>
                <w:szCs w:val="19"/>
                <w:spacing w:val="2"/>
              </w:rPr>
              <w:t>2102</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107"/>
              <w:spacing w:before="72" w:line="216" w:lineRule="auto"/>
              <w:rPr>
                <w:sz w:val="19"/>
                <w:szCs w:val="19"/>
              </w:rPr>
            </w:pPr>
            <w:r>
              <w:rPr>
                <w:sz w:val="19"/>
                <w:szCs w:val="19"/>
                <w:spacing w:val="9"/>
              </w:rPr>
              <w:t>二十、粮油物资储备支出</w:t>
            </w:r>
          </w:p>
        </w:tc>
        <w:tc>
          <w:tcPr>
            <w:tcW w:w="1201" w:type="dxa"/>
            <w:vAlign w:val="top"/>
          </w:tcPr>
          <w:p>
            <w:pPr>
              <w:pStyle w:val="TableText"/>
              <w:ind w:left="794"/>
              <w:spacing w:before="69" w:line="219" w:lineRule="auto"/>
              <w:rPr>
                <w:sz w:val="19"/>
                <w:szCs w:val="19"/>
              </w:rPr>
            </w:pPr>
            <w:r>
              <w:rPr>
                <w:sz w:val="19"/>
                <w:szCs w:val="19"/>
                <w:spacing w:val="1"/>
              </w:rPr>
              <w:t>272</w:t>
            </w:r>
          </w:p>
        </w:tc>
        <w:tc>
          <w:tcPr>
            <w:tcW w:w="1052" w:type="dxa"/>
            <w:vAlign w:val="top"/>
          </w:tcPr>
          <w:p>
            <w:pPr>
              <w:pStyle w:val="TableText"/>
              <w:ind w:left="647"/>
              <w:spacing w:before="69" w:line="219" w:lineRule="auto"/>
              <w:rPr>
                <w:sz w:val="19"/>
                <w:szCs w:val="19"/>
              </w:rPr>
            </w:pPr>
            <w:r>
              <w:rPr>
                <w:sz w:val="19"/>
                <w:szCs w:val="19"/>
                <w:spacing w:val="1"/>
              </w:rPr>
              <w:t>272</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5"/>
              <w:spacing w:before="72" w:line="215" w:lineRule="auto"/>
              <w:rPr>
                <w:sz w:val="19"/>
                <w:szCs w:val="19"/>
              </w:rPr>
            </w:pPr>
            <w:r>
              <w:rPr>
                <w:sz w:val="19"/>
                <w:szCs w:val="19"/>
                <w:spacing w:val="9"/>
              </w:rPr>
              <w:t>粮油物资事务</w:t>
            </w:r>
          </w:p>
        </w:tc>
        <w:tc>
          <w:tcPr>
            <w:tcW w:w="1201" w:type="dxa"/>
            <w:vAlign w:val="top"/>
          </w:tcPr>
          <w:p>
            <w:pPr>
              <w:pStyle w:val="TableText"/>
              <w:ind w:left="794"/>
              <w:spacing w:before="68" w:line="219" w:lineRule="auto"/>
              <w:rPr>
                <w:sz w:val="19"/>
                <w:szCs w:val="19"/>
              </w:rPr>
            </w:pPr>
            <w:r>
              <w:rPr>
                <w:sz w:val="19"/>
                <w:szCs w:val="19"/>
                <w:spacing w:val="1"/>
              </w:rPr>
              <w:t>272</w:t>
            </w:r>
          </w:p>
        </w:tc>
        <w:tc>
          <w:tcPr>
            <w:tcW w:w="1052" w:type="dxa"/>
            <w:vAlign w:val="top"/>
          </w:tcPr>
          <w:p>
            <w:pPr>
              <w:pStyle w:val="TableText"/>
              <w:ind w:left="647"/>
              <w:spacing w:before="68" w:line="219" w:lineRule="auto"/>
              <w:rPr>
                <w:sz w:val="19"/>
                <w:szCs w:val="19"/>
              </w:rPr>
            </w:pPr>
            <w:r>
              <w:rPr>
                <w:sz w:val="19"/>
                <w:szCs w:val="19"/>
                <w:spacing w:val="1"/>
              </w:rPr>
              <w:t>272</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10"/>
              <w:spacing w:before="72" w:line="216" w:lineRule="auto"/>
              <w:rPr>
                <w:sz w:val="19"/>
                <w:szCs w:val="19"/>
              </w:rPr>
            </w:pPr>
            <w:r>
              <w:rPr>
                <w:sz w:val="19"/>
                <w:szCs w:val="19"/>
                <w:spacing w:val="7"/>
              </w:rPr>
              <w:t>能源储备</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5"/>
              <w:spacing w:before="71" w:line="216" w:lineRule="auto"/>
              <w:rPr>
                <w:sz w:val="19"/>
                <w:szCs w:val="19"/>
              </w:rPr>
            </w:pPr>
            <w:r>
              <w:rPr>
                <w:sz w:val="19"/>
                <w:szCs w:val="19"/>
                <w:spacing w:val="8"/>
              </w:rPr>
              <w:t>粮油储备</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6"/>
              <w:spacing w:before="71" w:line="217" w:lineRule="auto"/>
              <w:rPr>
                <w:sz w:val="19"/>
                <w:szCs w:val="19"/>
              </w:rPr>
            </w:pPr>
            <w:r>
              <w:rPr>
                <w:sz w:val="19"/>
                <w:szCs w:val="19"/>
                <w:spacing w:val="9"/>
              </w:rPr>
              <w:t>重要商品储备</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107"/>
              <w:spacing w:before="75" w:line="212" w:lineRule="auto"/>
              <w:rPr>
                <w:sz w:val="19"/>
                <w:szCs w:val="19"/>
              </w:rPr>
            </w:pPr>
            <w:r>
              <w:rPr>
                <w:sz w:val="19"/>
                <w:szCs w:val="19"/>
                <w:spacing w:val="9"/>
              </w:rPr>
              <w:t>二十一、灾害防治及应急管理支出</w:t>
            </w:r>
          </w:p>
        </w:tc>
        <w:tc>
          <w:tcPr>
            <w:tcW w:w="1201" w:type="dxa"/>
            <w:vAlign w:val="top"/>
          </w:tcPr>
          <w:p>
            <w:pPr>
              <w:pStyle w:val="TableText"/>
              <w:ind w:left="699"/>
              <w:spacing w:before="70" w:line="217" w:lineRule="auto"/>
              <w:rPr>
                <w:sz w:val="19"/>
                <w:szCs w:val="19"/>
              </w:rPr>
            </w:pPr>
            <w:r>
              <w:rPr>
                <w:sz w:val="19"/>
                <w:szCs w:val="19"/>
                <w:spacing w:val="1"/>
              </w:rPr>
              <w:t>3285</w:t>
            </w:r>
          </w:p>
        </w:tc>
        <w:tc>
          <w:tcPr>
            <w:tcW w:w="1052" w:type="dxa"/>
            <w:vAlign w:val="top"/>
          </w:tcPr>
          <w:p>
            <w:pPr>
              <w:pStyle w:val="TableText"/>
              <w:ind w:left="546"/>
              <w:spacing w:before="70" w:line="217" w:lineRule="auto"/>
              <w:rPr>
                <w:sz w:val="19"/>
                <w:szCs w:val="19"/>
              </w:rPr>
            </w:pPr>
            <w:r>
              <w:rPr>
                <w:sz w:val="19"/>
                <w:szCs w:val="19"/>
                <w:spacing w:val="2"/>
              </w:rPr>
              <w:t>2723</w:t>
            </w:r>
          </w:p>
        </w:tc>
        <w:tc>
          <w:tcPr>
            <w:tcW w:w="1543" w:type="dxa"/>
            <w:vAlign w:val="top"/>
          </w:tcPr>
          <w:p>
            <w:pPr>
              <w:pStyle w:val="TableText"/>
              <w:ind w:left="1255"/>
              <w:spacing w:before="70" w:line="217" w:lineRule="auto"/>
              <w:rPr>
                <w:sz w:val="19"/>
                <w:szCs w:val="19"/>
              </w:rPr>
            </w:pPr>
            <w:r>
              <w:rPr>
                <w:sz w:val="19"/>
                <w:szCs w:val="19"/>
                <w:spacing w:val="-8"/>
              </w:rPr>
              <w:t>13</w:t>
            </w:r>
          </w:p>
        </w:tc>
        <w:tc>
          <w:tcPr>
            <w:tcW w:w="1379" w:type="dxa"/>
            <w:vAlign w:val="top"/>
          </w:tcPr>
          <w:p>
            <w:pPr>
              <w:pStyle w:val="TableText"/>
              <w:ind w:left="978"/>
              <w:spacing w:before="70" w:line="217" w:lineRule="auto"/>
              <w:rPr>
                <w:sz w:val="19"/>
                <w:szCs w:val="19"/>
              </w:rPr>
            </w:pPr>
            <w:r>
              <w:rPr>
                <w:sz w:val="19"/>
                <w:szCs w:val="19"/>
                <w:spacing w:val="1"/>
              </w:rPr>
              <w:t>549</w:t>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504"/>
              <w:spacing w:before="75" w:line="213" w:lineRule="auto"/>
              <w:rPr>
                <w:sz w:val="19"/>
                <w:szCs w:val="19"/>
              </w:rPr>
            </w:pPr>
            <w:r>
              <w:rPr>
                <w:sz w:val="19"/>
                <w:szCs w:val="19"/>
                <w:spacing w:val="9"/>
              </w:rPr>
              <w:t>应急管理事务</w:t>
            </w:r>
          </w:p>
        </w:tc>
        <w:tc>
          <w:tcPr>
            <w:tcW w:w="1201" w:type="dxa"/>
            <w:vAlign w:val="top"/>
          </w:tcPr>
          <w:p>
            <w:pPr>
              <w:pStyle w:val="TableText"/>
              <w:ind w:left="791"/>
              <w:spacing w:before="70" w:line="218" w:lineRule="auto"/>
              <w:rPr>
                <w:sz w:val="19"/>
                <w:szCs w:val="19"/>
              </w:rPr>
            </w:pPr>
            <w:r>
              <w:rPr>
                <w:sz w:val="19"/>
                <w:szCs w:val="19"/>
                <w:spacing w:val="2"/>
              </w:rPr>
              <w:t>466</w:t>
            </w:r>
          </w:p>
        </w:tc>
        <w:tc>
          <w:tcPr>
            <w:tcW w:w="1052" w:type="dxa"/>
            <w:vAlign w:val="top"/>
          </w:tcPr>
          <w:p>
            <w:pPr>
              <w:pStyle w:val="TableText"/>
              <w:ind w:left="644"/>
              <w:spacing w:before="70" w:line="218" w:lineRule="auto"/>
              <w:rPr>
                <w:sz w:val="19"/>
                <w:szCs w:val="19"/>
              </w:rPr>
            </w:pPr>
            <w:r>
              <w:rPr>
                <w:sz w:val="19"/>
                <w:szCs w:val="19"/>
                <w:spacing w:val="2"/>
              </w:rPr>
              <w:t>466</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11"/>
              <w:spacing w:before="74" w:line="213" w:lineRule="auto"/>
              <w:rPr>
                <w:sz w:val="19"/>
                <w:szCs w:val="19"/>
              </w:rPr>
            </w:pPr>
            <w:r>
              <w:rPr>
                <w:sz w:val="19"/>
                <w:szCs w:val="19"/>
                <w:spacing w:val="7"/>
              </w:rPr>
              <w:t>消防事务</w:t>
            </w:r>
          </w:p>
        </w:tc>
        <w:tc>
          <w:tcPr>
            <w:tcW w:w="1201" w:type="dxa"/>
            <w:vAlign w:val="top"/>
          </w:tcPr>
          <w:p>
            <w:pPr>
              <w:pStyle w:val="TableText"/>
              <w:ind w:left="696"/>
              <w:spacing w:before="70" w:line="217" w:lineRule="auto"/>
              <w:rPr>
                <w:sz w:val="19"/>
                <w:szCs w:val="19"/>
              </w:rPr>
            </w:pPr>
            <w:r>
              <w:rPr>
                <w:sz w:val="19"/>
                <w:szCs w:val="19"/>
                <w:spacing w:val="2"/>
              </w:rPr>
              <w:t>2090</w:t>
            </w:r>
          </w:p>
        </w:tc>
        <w:tc>
          <w:tcPr>
            <w:tcW w:w="1052" w:type="dxa"/>
            <w:vAlign w:val="top"/>
          </w:tcPr>
          <w:p>
            <w:pPr>
              <w:pStyle w:val="TableText"/>
              <w:ind w:left="546"/>
              <w:spacing w:before="70" w:line="217" w:lineRule="auto"/>
              <w:rPr>
                <w:sz w:val="19"/>
                <w:szCs w:val="19"/>
              </w:rPr>
            </w:pPr>
            <w:r>
              <w:rPr>
                <w:sz w:val="19"/>
                <w:szCs w:val="19"/>
                <w:spacing w:val="2"/>
              </w:rPr>
              <w:t>2090</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5"/>
              <w:spacing w:before="77" w:line="210" w:lineRule="auto"/>
              <w:rPr>
                <w:sz w:val="19"/>
                <w:szCs w:val="19"/>
              </w:rPr>
            </w:pPr>
            <w:r>
              <w:rPr>
                <w:sz w:val="19"/>
                <w:szCs w:val="19"/>
                <w:spacing w:val="9"/>
              </w:rPr>
              <w:t>森林消防事务</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4"/>
              <w:spacing w:before="77" w:line="210" w:lineRule="auto"/>
              <w:rPr>
                <w:sz w:val="19"/>
                <w:szCs w:val="19"/>
              </w:rPr>
            </w:pPr>
            <w:r>
              <w:rPr>
                <w:sz w:val="19"/>
                <w:szCs w:val="19"/>
                <w:spacing w:val="8"/>
              </w:rPr>
              <w:t>煤矿安全</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6"/>
              <w:spacing w:before="78" w:line="209" w:lineRule="auto"/>
              <w:rPr>
                <w:sz w:val="19"/>
                <w:szCs w:val="19"/>
              </w:rPr>
            </w:pPr>
            <w:r>
              <w:rPr>
                <w:sz w:val="19"/>
                <w:szCs w:val="19"/>
                <w:spacing w:val="8"/>
              </w:rPr>
              <w:t>地震事务</w:t>
            </w:r>
          </w:p>
        </w:tc>
        <w:tc>
          <w:tcPr>
            <w:tcW w:w="1201" w:type="dxa"/>
            <w:vAlign w:val="top"/>
          </w:tcPr>
          <w:p>
            <w:pPr>
              <w:pStyle w:val="TableText"/>
              <w:ind w:left="811"/>
              <w:spacing w:before="73" w:line="214" w:lineRule="auto"/>
              <w:rPr>
                <w:sz w:val="19"/>
                <w:szCs w:val="19"/>
              </w:rPr>
            </w:pPr>
            <w:r>
              <w:rPr>
                <w:sz w:val="19"/>
                <w:szCs w:val="19"/>
                <w:spacing w:val="-4"/>
              </w:rPr>
              <w:t>167</w:t>
            </w:r>
          </w:p>
        </w:tc>
        <w:tc>
          <w:tcPr>
            <w:tcW w:w="1052" w:type="dxa"/>
            <w:vAlign w:val="top"/>
          </w:tcPr>
          <w:p>
            <w:pPr>
              <w:pStyle w:val="TableText"/>
              <w:ind w:left="663"/>
              <w:spacing w:before="73" w:line="214" w:lineRule="auto"/>
              <w:rPr>
                <w:sz w:val="19"/>
                <w:szCs w:val="19"/>
              </w:rPr>
            </w:pPr>
            <w:r>
              <w:rPr>
                <w:sz w:val="19"/>
                <w:szCs w:val="19"/>
                <w:spacing w:val="-4"/>
              </w:rPr>
              <w:t>167</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43"/>
              <w:spacing w:before="79" w:line="208" w:lineRule="auto"/>
              <w:rPr>
                <w:sz w:val="19"/>
                <w:szCs w:val="19"/>
              </w:rPr>
            </w:pPr>
            <w:r>
              <w:rPr>
                <w:sz w:val="19"/>
                <w:szCs w:val="19"/>
                <w:spacing w:val="2"/>
              </w:rPr>
              <w:t>自然灾害防治</w:t>
            </w:r>
          </w:p>
        </w:tc>
        <w:tc>
          <w:tcPr>
            <w:tcW w:w="1201" w:type="dxa"/>
            <w:vAlign w:val="top"/>
          </w:tcPr>
          <w:p>
            <w:pPr>
              <w:pStyle w:val="TableText"/>
              <w:ind w:left="909"/>
              <w:spacing w:before="74" w:line="213" w:lineRule="auto"/>
              <w:rPr>
                <w:sz w:val="19"/>
                <w:szCs w:val="19"/>
              </w:rPr>
            </w:pPr>
            <w:r>
              <w:rPr>
                <w:sz w:val="19"/>
                <w:szCs w:val="19"/>
                <w:spacing w:val="-8"/>
              </w:rPr>
              <w:t>13</w:t>
            </w:r>
          </w:p>
        </w:tc>
        <w:tc>
          <w:tcPr>
            <w:tcW w:w="1052" w:type="dxa"/>
            <w:vAlign w:val="top"/>
          </w:tcPr>
          <w:p>
            <w:pPr>
              <w:rPr>
                <w:rFonts w:ascii="Arial"/>
                <w:sz w:val="21"/>
              </w:rPr>
            </w:pPr>
            <w:r/>
          </w:p>
        </w:tc>
        <w:tc>
          <w:tcPr>
            <w:tcW w:w="1543" w:type="dxa"/>
            <w:vAlign w:val="top"/>
          </w:tcPr>
          <w:p>
            <w:pPr>
              <w:pStyle w:val="TableText"/>
              <w:ind w:left="1255"/>
              <w:spacing w:before="74" w:line="213" w:lineRule="auto"/>
              <w:rPr>
                <w:sz w:val="19"/>
                <w:szCs w:val="19"/>
              </w:rPr>
            </w:pPr>
            <w:r>
              <w:rPr>
                <w:sz w:val="19"/>
                <w:szCs w:val="19"/>
                <w:spacing w:val="-8"/>
              </w:rPr>
              <w:t>13</w:t>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43"/>
              <w:spacing w:before="78" w:line="209" w:lineRule="auto"/>
              <w:rPr>
                <w:sz w:val="19"/>
                <w:szCs w:val="19"/>
              </w:rPr>
            </w:pPr>
            <w:r>
              <w:rPr>
                <w:sz w:val="19"/>
                <w:szCs w:val="19"/>
                <w:spacing w:val="6"/>
              </w:rPr>
              <w:t>自然灾害救灾及恢复重建支出</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504"/>
              <w:spacing w:before="80" w:line="207" w:lineRule="auto"/>
              <w:rPr>
                <w:sz w:val="19"/>
                <w:szCs w:val="19"/>
              </w:rPr>
            </w:pPr>
            <w:r>
              <w:rPr>
                <w:sz w:val="19"/>
                <w:szCs w:val="19"/>
                <w:spacing w:val="9"/>
              </w:rPr>
              <w:t>其他灾害防治及应急管理支出</w:t>
            </w:r>
          </w:p>
        </w:tc>
        <w:tc>
          <w:tcPr>
            <w:tcW w:w="1201" w:type="dxa"/>
            <w:vAlign w:val="top"/>
          </w:tcPr>
          <w:p>
            <w:pPr>
              <w:pStyle w:val="TableText"/>
              <w:ind w:left="795"/>
              <w:spacing w:before="77" w:line="210" w:lineRule="auto"/>
              <w:rPr>
                <w:sz w:val="19"/>
                <w:szCs w:val="19"/>
              </w:rPr>
            </w:pPr>
            <w:r>
              <w:rPr>
                <w:sz w:val="19"/>
                <w:szCs w:val="19"/>
                <w:spacing w:val="1"/>
              </w:rPr>
              <w:t>549</w:t>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pStyle w:val="TableText"/>
              <w:ind w:left="978"/>
              <w:spacing w:before="77" w:line="210" w:lineRule="auto"/>
              <w:rPr>
                <w:sz w:val="19"/>
                <w:szCs w:val="19"/>
              </w:rPr>
            </w:pPr>
            <w:r>
              <w:rPr>
                <w:sz w:val="19"/>
                <w:szCs w:val="19"/>
                <w:spacing w:val="1"/>
              </w:rPr>
              <w:t>549</w:t>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107"/>
              <w:spacing w:before="81" w:line="206" w:lineRule="auto"/>
              <w:rPr>
                <w:sz w:val="19"/>
                <w:szCs w:val="19"/>
              </w:rPr>
            </w:pPr>
            <w:r>
              <w:rPr>
                <w:sz w:val="19"/>
                <w:szCs w:val="19"/>
                <w:spacing w:val="9"/>
              </w:rPr>
              <w:t>二十一、预备费</w:t>
            </w:r>
          </w:p>
        </w:tc>
        <w:tc>
          <w:tcPr>
            <w:tcW w:w="1201" w:type="dxa"/>
            <w:vAlign w:val="top"/>
          </w:tcPr>
          <w:p>
            <w:pPr>
              <w:pStyle w:val="TableText"/>
              <w:ind w:left="696"/>
              <w:spacing w:before="77" w:line="210" w:lineRule="auto"/>
              <w:rPr>
                <w:sz w:val="19"/>
                <w:szCs w:val="19"/>
              </w:rPr>
            </w:pPr>
            <w:r>
              <w:rPr>
                <w:sz w:val="19"/>
                <w:szCs w:val="19"/>
                <w:spacing w:val="2"/>
              </w:rPr>
              <w:t>2000</w:t>
            </w:r>
          </w:p>
        </w:tc>
        <w:tc>
          <w:tcPr>
            <w:tcW w:w="1052" w:type="dxa"/>
            <w:vAlign w:val="top"/>
          </w:tcPr>
          <w:p>
            <w:pPr>
              <w:pStyle w:val="TableText"/>
              <w:ind w:left="546"/>
              <w:spacing w:before="77" w:line="210" w:lineRule="auto"/>
              <w:rPr>
                <w:sz w:val="19"/>
                <w:szCs w:val="19"/>
              </w:rPr>
            </w:pPr>
            <w:r>
              <w:rPr>
                <w:sz w:val="19"/>
                <w:szCs w:val="19"/>
                <w:spacing w:val="2"/>
              </w:rPr>
              <w:t>2000</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4" w:hRule="atLeast"/>
        </w:trPr>
        <w:tc>
          <w:tcPr>
            <w:tcW w:w="4301" w:type="dxa"/>
            <w:vAlign w:val="top"/>
            <w:tcBorders>
              <w:left w:val="single" w:color="000000" w:sz="6" w:space="0"/>
            </w:tcBorders>
          </w:tcPr>
          <w:p>
            <w:pPr>
              <w:pStyle w:val="TableText"/>
              <w:ind w:left="107"/>
              <w:spacing w:before="79" w:line="208" w:lineRule="auto"/>
              <w:rPr>
                <w:sz w:val="19"/>
                <w:szCs w:val="19"/>
              </w:rPr>
            </w:pPr>
            <w:r>
              <w:rPr>
                <w:sz w:val="19"/>
                <w:szCs w:val="19"/>
                <w:spacing w:val="9"/>
              </w:rPr>
              <w:t>二十二、债务付息支出</w:t>
            </w:r>
          </w:p>
        </w:tc>
        <w:tc>
          <w:tcPr>
            <w:tcW w:w="1201" w:type="dxa"/>
            <w:vAlign w:val="top"/>
          </w:tcPr>
          <w:p>
            <w:pPr>
              <w:pStyle w:val="TableText"/>
              <w:ind w:left="611"/>
              <w:spacing w:before="78" w:line="209" w:lineRule="auto"/>
              <w:rPr>
                <w:sz w:val="19"/>
                <w:szCs w:val="19"/>
              </w:rPr>
            </w:pPr>
            <w:r>
              <w:rPr>
                <w:sz w:val="19"/>
                <w:szCs w:val="19"/>
                <w:spacing w:val="-1"/>
              </w:rPr>
              <w:t>19083</w:t>
            </w:r>
          </w:p>
        </w:tc>
        <w:tc>
          <w:tcPr>
            <w:tcW w:w="1052" w:type="dxa"/>
            <w:vAlign w:val="top"/>
          </w:tcPr>
          <w:p>
            <w:pPr>
              <w:pStyle w:val="TableText"/>
              <w:ind w:left="464"/>
              <w:spacing w:before="78" w:line="209" w:lineRule="auto"/>
              <w:rPr>
                <w:sz w:val="19"/>
                <w:szCs w:val="19"/>
              </w:rPr>
            </w:pPr>
            <w:r>
              <w:rPr>
                <w:sz w:val="19"/>
                <w:szCs w:val="19"/>
                <w:spacing w:val="-1"/>
              </w:rPr>
              <w:t>19083</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707"/>
              <w:spacing w:before="82" w:line="206" w:lineRule="auto"/>
              <w:rPr>
                <w:sz w:val="19"/>
                <w:szCs w:val="19"/>
              </w:rPr>
            </w:pPr>
            <w:r>
              <w:rPr>
                <w:sz w:val="19"/>
                <w:szCs w:val="19"/>
                <w:spacing w:val="9"/>
              </w:rPr>
              <w:t>地方政府一般债务付息支出</w:t>
            </w:r>
          </w:p>
        </w:tc>
        <w:tc>
          <w:tcPr>
            <w:tcW w:w="1201" w:type="dxa"/>
            <w:vAlign w:val="top"/>
          </w:tcPr>
          <w:p>
            <w:pPr>
              <w:pStyle w:val="TableText"/>
              <w:ind w:left="611"/>
              <w:spacing w:before="80" w:line="208" w:lineRule="auto"/>
              <w:rPr>
                <w:sz w:val="19"/>
                <w:szCs w:val="19"/>
              </w:rPr>
            </w:pPr>
            <w:r>
              <w:rPr>
                <w:sz w:val="19"/>
                <w:szCs w:val="19"/>
                <w:spacing w:val="-1"/>
              </w:rPr>
              <w:t>19083</w:t>
            </w:r>
          </w:p>
        </w:tc>
        <w:tc>
          <w:tcPr>
            <w:tcW w:w="1052" w:type="dxa"/>
            <w:vAlign w:val="top"/>
          </w:tcPr>
          <w:p>
            <w:pPr>
              <w:pStyle w:val="TableText"/>
              <w:ind w:left="464"/>
              <w:spacing w:before="80" w:line="208" w:lineRule="auto"/>
              <w:rPr>
                <w:sz w:val="19"/>
                <w:szCs w:val="19"/>
              </w:rPr>
            </w:pPr>
            <w:r>
              <w:rPr>
                <w:sz w:val="19"/>
                <w:szCs w:val="19"/>
                <w:spacing w:val="-1"/>
              </w:rPr>
              <w:t>19083</w:t>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107"/>
              <w:spacing w:before="85" w:line="204" w:lineRule="auto"/>
              <w:rPr>
                <w:sz w:val="19"/>
                <w:szCs w:val="19"/>
              </w:rPr>
            </w:pPr>
            <w:r>
              <w:rPr>
                <w:sz w:val="19"/>
                <w:szCs w:val="19"/>
                <w:spacing w:val="9"/>
              </w:rPr>
              <w:t>二十三、债务发行费用支出</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107"/>
              <w:spacing w:before="84" w:line="205" w:lineRule="auto"/>
              <w:rPr>
                <w:sz w:val="19"/>
                <w:szCs w:val="19"/>
              </w:rPr>
            </w:pPr>
            <w:r>
              <w:rPr>
                <w:sz w:val="19"/>
                <w:szCs w:val="19"/>
                <w:spacing w:val="9"/>
              </w:rPr>
              <w:t>二十四、其他支出</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709"/>
              <w:spacing w:before="85" w:line="204" w:lineRule="auto"/>
              <w:rPr>
                <w:sz w:val="19"/>
                <w:szCs w:val="19"/>
              </w:rPr>
            </w:pPr>
            <w:r>
              <w:rPr>
                <w:sz w:val="19"/>
                <w:szCs w:val="19"/>
                <w:spacing w:val="8"/>
              </w:rPr>
              <w:t>年初预留</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05" w:hRule="atLeast"/>
        </w:trPr>
        <w:tc>
          <w:tcPr>
            <w:tcW w:w="4301" w:type="dxa"/>
            <w:vAlign w:val="top"/>
            <w:tcBorders>
              <w:left w:val="single" w:color="000000" w:sz="6" w:space="0"/>
            </w:tcBorders>
          </w:tcPr>
          <w:p>
            <w:pPr>
              <w:pStyle w:val="TableText"/>
              <w:ind w:left="706"/>
              <w:spacing w:before="85" w:line="204" w:lineRule="auto"/>
              <w:rPr>
                <w:sz w:val="19"/>
                <w:szCs w:val="19"/>
              </w:rPr>
            </w:pPr>
            <w:r>
              <w:rPr>
                <w:sz w:val="19"/>
                <w:szCs w:val="19"/>
                <w:spacing w:val="8"/>
              </w:rPr>
              <w:t>其他支出</w:t>
            </w:r>
          </w:p>
        </w:tc>
        <w:tc>
          <w:tcPr>
            <w:tcW w:w="1201" w:type="dxa"/>
            <w:vAlign w:val="top"/>
          </w:tcPr>
          <w:p>
            <w:pPr>
              <w:rPr>
                <w:rFonts w:ascii="Arial"/>
                <w:sz w:val="21"/>
              </w:rPr>
            </w:pPr>
            <w:r/>
          </w:p>
        </w:tc>
        <w:tc>
          <w:tcPr>
            <w:tcW w:w="1052" w:type="dxa"/>
            <w:vAlign w:val="top"/>
          </w:tcPr>
          <w:p>
            <w:pPr>
              <w:rPr>
                <w:rFonts w:ascii="Arial"/>
                <w:sz w:val="21"/>
              </w:rPr>
            </w:pPr>
            <w:r/>
          </w:p>
        </w:tc>
        <w:tc>
          <w:tcPr>
            <w:tcW w:w="1543" w:type="dxa"/>
            <w:vAlign w:val="top"/>
          </w:tcPr>
          <w:p>
            <w:pPr>
              <w:rPr>
                <w:rFonts w:ascii="Arial"/>
                <w:sz w:val="21"/>
              </w:rPr>
            </w:pPr>
            <w:r/>
          </w:p>
        </w:tc>
        <w:tc>
          <w:tcPr>
            <w:tcW w:w="1379" w:type="dxa"/>
            <w:vAlign w:val="top"/>
          </w:tcPr>
          <w:p>
            <w:pPr>
              <w:rPr>
                <w:rFonts w:ascii="Arial"/>
                <w:sz w:val="21"/>
              </w:rPr>
            </w:pPr>
            <w:r/>
          </w:p>
        </w:tc>
        <w:tc>
          <w:tcPr>
            <w:tcW w:w="1134" w:type="dxa"/>
            <w:vAlign w:val="top"/>
          </w:tcPr>
          <w:p>
            <w:pPr>
              <w:rPr>
                <w:rFonts w:ascii="Arial"/>
                <w:sz w:val="21"/>
              </w:rPr>
            </w:pPr>
            <w:r/>
          </w:p>
        </w:tc>
        <w:tc>
          <w:tcPr>
            <w:tcW w:w="1460" w:type="dxa"/>
            <w:vAlign w:val="top"/>
          </w:tcPr>
          <w:p>
            <w:pPr>
              <w:rPr>
                <w:rFonts w:ascii="Arial"/>
                <w:sz w:val="21"/>
              </w:rPr>
            </w:pPr>
            <w:r/>
          </w:p>
        </w:tc>
        <w:tc>
          <w:tcPr>
            <w:tcW w:w="1826" w:type="dxa"/>
            <w:vAlign w:val="top"/>
            <w:tcBorders>
              <w:right w:val="single" w:color="000000" w:sz="6" w:space="0"/>
            </w:tcBorders>
          </w:tcPr>
          <w:p>
            <w:pPr>
              <w:rPr>
                <w:rFonts w:ascii="Arial"/>
                <w:sz w:val="21"/>
              </w:rPr>
            </w:pPr>
            <w:r/>
          </w:p>
        </w:tc>
      </w:tr>
      <w:tr>
        <w:trPr>
          <w:trHeight w:val="316" w:hRule="atLeast"/>
        </w:trPr>
        <w:tc>
          <w:tcPr>
            <w:tcW w:w="4301" w:type="dxa"/>
            <w:vAlign w:val="top"/>
            <w:tcBorders>
              <w:left w:val="single" w:color="000000" w:sz="6" w:space="0"/>
              <w:bottom w:val="single" w:color="000000" w:sz="6" w:space="0"/>
            </w:tcBorders>
          </w:tcPr>
          <w:p>
            <w:pPr>
              <w:rPr>
                <w:rFonts w:ascii="Arial"/>
                <w:sz w:val="21"/>
              </w:rPr>
            </w:pPr>
            <w:r/>
          </w:p>
        </w:tc>
        <w:tc>
          <w:tcPr>
            <w:tcW w:w="1201" w:type="dxa"/>
            <w:vAlign w:val="top"/>
            <w:tcBorders>
              <w:bottom w:val="single" w:color="000000" w:sz="6" w:space="0"/>
            </w:tcBorders>
          </w:tcPr>
          <w:p>
            <w:pPr>
              <w:pStyle w:val="TableText"/>
              <w:ind w:left="500"/>
              <w:spacing w:before="80" w:line="219" w:lineRule="auto"/>
              <w:rPr>
                <w:sz w:val="19"/>
                <w:szCs w:val="19"/>
              </w:rPr>
            </w:pPr>
            <w:r>
              <w:rPr>
                <w:sz w:val="19"/>
                <w:szCs w:val="19"/>
                <w:spacing w:val="2"/>
              </w:rPr>
              <w:t>319361</w:t>
            </w:r>
          </w:p>
        </w:tc>
        <w:tc>
          <w:tcPr>
            <w:tcW w:w="1052" w:type="dxa"/>
            <w:vAlign w:val="top"/>
            <w:tcBorders>
              <w:bottom w:val="single" w:color="000000" w:sz="6" w:space="0"/>
            </w:tcBorders>
          </w:tcPr>
          <w:p>
            <w:pPr>
              <w:pStyle w:val="TableText"/>
              <w:ind w:left="349"/>
              <w:spacing w:before="80" w:line="219" w:lineRule="auto"/>
              <w:rPr>
                <w:sz w:val="19"/>
                <w:szCs w:val="19"/>
              </w:rPr>
            </w:pPr>
            <w:r>
              <w:rPr>
                <w:sz w:val="19"/>
                <w:szCs w:val="19"/>
                <w:spacing w:val="2"/>
              </w:rPr>
              <w:t>207156</w:t>
            </w:r>
          </w:p>
        </w:tc>
        <w:tc>
          <w:tcPr>
            <w:tcW w:w="1543" w:type="dxa"/>
            <w:vAlign w:val="top"/>
            <w:tcBorders>
              <w:bottom w:val="single" w:color="000000" w:sz="6" w:space="0"/>
            </w:tcBorders>
          </w:tcPr>
          <w:p>
            <w:pPr>
              <w:pStyle w:val="TableText"/>
              <w:ind w:left="859"/>
              <w:spacing w:before="80" w:line="219" w:lineRule="auto"/>
              <w:rPr>
                <w:sz w:val="19"/>
                <w:szCs w:val="19"/>
              </w:rPr>
            </w:pPr>
            <w:r>
              <w:rPr>
                <w:sz w:val="19"/>
                <w:szCs w:val="19"/>
              </w:rPr>
              <w:t>109723</w:t>
            </w:r>
          </w:p>
        </w:tc>
        <w:tc>
          <w:tcPr>
            <w:tcW w:w="1379" w:type="dxa"/>
            <w:vAlign w:val="top"/>
            <w:tcBorders>
              <w:bottom w:val="single" w:color="000000" w:sz="6" w:space="0"/>
            </w:tcBorders>
          </w:tcPr>
          <w:p>
            <w:pPr>
              <w:pStyle w:val="TableText"/>
              <w:ind w:left="877"/>
              <w:spacing w:before="80" w:line="219" w:lineRule="auto"/>
              <w:rPr>
                <w:sz w:val="19"/>
                <w:szCs w:val="19"/>
              </w:rPr>
            </w:pPr>
            <w:r>
              <w:rPr>
                <w:sz w:val="19"/>
                <w:szCs w:val="19"/>
                <w:spacing w:val="2"/>
              </w:rPr>
              <w:t>2482</w:t>
            </w:r>
          </w:p>
        </w:tc>
        <w:tc>
          <w:tcPr>
            <w:tcW w:w="1134" w:type="dxa"/>
            <w:vAlign w:val="top"/>
            <w:tcBorders>
              <w:bottom w:val="single" w:color="000000" w:sz="6" w:space="0"/>
            </w:tcBorders>
          </w:tcPr>
          <w:p>
            <w:pPr>
              <w:rPr>
                <w:rFonts w:ascii="Arial"/>
                <w:sz w:val="21"/>
              </w:rPr>
            </w:pPr>
            <w:r/>
          </w:p>
        </w:tc>
        <w:tc>
          <w:tcPr>
            <w:tcW w:w="1460" w:type="dxa"/>
            <w:vAlign w:val="top"/>
            <w:tcBorders>
              <w:bottom w:val="single" w:color="000000" w:sz="6" w:space="0"/>
            </w:tcBorders>
          </w:tcPr>
          <w:p>
            <w:pPr>
              <w:rPr>
                <w:rFonts w:ascii="Arial"/>
                <w:sz w:val="21"/>
              </w:rPr>
            </w:pPr>
            <w:r/>
          </w:p>
        </w:tc>
        <w:tc>
          <w:tcPr>
            <w:tcW w:w="1826"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61"/>
          <w:footerReference w:type="default" r:id="rId82"/>
          <w:pgSz w:w="16839" w:h="11906"/>
          <w:pgMar w:top="1792" w:right="1463" w:bottom="1671" w:left="1463" w:header="1428" w:footer="1277" w:gutter="0"/>
        </w:sectPr>
        <w:rPr>
          <w:rFonts w:ascii="Arial" w:hAnsi="Arial" w:eastAsia="Arial" w:cs="Arial"/>
          <w:sz w:val="21"/>
          <w:szCs w:val="21"/>
        </w:rPr>
      </w:pPr>
    </w:p>
    <w:p>
      <w:pPr>
        <w:ind w:left="132"/>
        <w:spacing w:before="232" w:line="180" w:lineRule="auto"/>
        <w:rPr>
          <w:rFonts w:ascii="Microsoft YaHei" w:hAnsi="Microsoft YaHei" w:eastAsia="Microsoft YaHei" w:cs="Microsoft YaHei"/>
          <w:sz w:val="20"/>
          <w:szCs w:val="20"/>
        </w:rPr>
      </w:pPr>
      <w:r>
        <w:drawing>
          <wp:anchor distT="0" distB="0" distL="0" distR="0" simplePos="0" relativeHeight="251682816" behindDoc="0" locked="0" layoutInCell="0" allowOverlap="1">
            <wp:simplePos x="0" y="0"/>
            <wp:positionH relativeFrom="page">
              <wp:posOffset>979805</wp:posOffset>
            </wp:positionH>
            <wp:positionV relativeFrom="page">
              <wp:posOffset>1155700</wp:posOffset>
            </wp:positionV>
            <wp:extent cx="8712200" cy="7620"/>
            <wp:effectExtent l="0" t="0" r="0" b="0"/>
            <wp:wrapNone/>
            <wp:docPr id="166" name="IM 166"/>
            <wp:cNvGraphicFramePr/>
            <a:graphic>
              <a:graphicData uri="http://schemas.openxmlformats.org/drawingml/2006/picture">
                <pic:pic>
                  <pic:nvPicPr>
                    <pic:cNvPr id="166" name="IM 166"/>
                    <pic:cNvPicPr/>
                  </pic:nvPicPr>
                  <pic:blipFill>
                    <a:blip r:embed="rId85"/>
                    <a:stretch>
                      <a:fillRect/>
                    </a:stretch>
                  </pic:blipFill>
                  <pic:spPr>
                    <a:xfrm rot="0">
                      <a:off x="0" y="0"/>
                      <a:ext cx="8712200" cy="7620"/>
                    </a:xfrm>
                    <a:prstGeom prst="rect">
                      <a:avLst/>
                    </a:prstGeom>
                  </pic:spPr>
                </pic:pic>
              </a:graphicData>
            </a:graphic>
          </wp:anchor>
        </w:drawing>
      </w:r>
      <w:r>
        <w:rPr>
          <w:rFonts w:ascii="Microsoft YaHei" w:hAnsi="Microsoft YaHei" w:eastAsia="Microsoft YaHei" w:cs="Microsoft YaHei"/>
          <w:sz w:val="20"/>
          <w:szCs w:val="20"/>
          <w:spacing w:val="5"/>
        </w:rPr>
        <w:t>表六</w:t>
      </w:r>
    </w:p>
    <w:p>
      <w:pPr>
        <w:pStyle w:val="BodyText"/>
        <w:ind w:left="3108"/>
        <w:spacing w:before="49" w:line="495" w:lineRule="exact"/>
        <w:rPr>
          <w:sz w:val="35"/>
          <w:szCs w:val="35"/>
        </w:rPr>
      </w:pPr>
      <w:r>
        <w:rPr>
          <w:sz w:val="35"/>
          <w:szCs w:val="35"/>
          <w:b/>
          <w:bCs/>
          <w:spacing w:val="3"/>
          <w:position w:val="2"/>
        </w:rPr>
        <w:t>固原市本级</w:t>
      </w:r>
      <w:r>
        <w:rPr>
          <w:sz w:val="35"/>
          <w:szCs w:val="35"/>
          <w:spacing w:val="-61"/>
          <w:position w:val="2"/>
        </w:rPr>
        <w:t xml:space="preserve"> </w:t>
      </w:r>
      <w:r>
        <w:rPr>
          <w:sz w:val="35"/>
          <w:szCs w:val="35"/>
          <w:b/>
          <w:bCs/>
          <w:spacing w:val="3"/>
          <w:position w:val="2"/>
        </w:rPr>
        <w:t>2021</w:t>
      </w:r>
      <w:r>
        <w:rPr>
          <w:sz w:val="35"/>
          <w:szCs w:val="35"/>
          <w:spacing w:val="-78"/>
          <w:position w:val="2"/>
        </w:rPr>
        <w:t xml:space="preserve"> </w:t>
      </w:r>
      <w:r>
        <w:rPr>
          <w:sz w:val="35"/>
          <w:szCs w:val="35"/>
          <w:b/>
          <w:bCs/>
          <w:spacing w:val="3"/>
          <w:position w:val="2"/>
        </w:rPr>
        <w:t>年政府预算支出经济分类情况表</w:t>
      </w:r>
    </w:p>
    <w:p>
      <w:pPr>
        <w:pStyle w:val="BodyText"/>
        <w:ind w:left="12899"/>
        <w:spacing w:before="149" w:line="279" w:lineRule="exact"/>
        <w:rPr/>
      </w:pPr>
      <w:r>
        <w:rPr>
          <w:spacing w:val="-4"/>
          <w:position w:val="1"/>
        </w:rPr>
        <w:t>单位:万元</w:t>
      </w:r>
    </w:p>
    <w:p>
      <w:pPr>
        <w:spacing w:line="19" w:lineRule="auto"/>
        <w:rPr>
          <w:rFonts w:ascii="Arial"/>
          <w:sz w:val="2"/>
        </w:rPr>
      </w:pPr>
      <w:r>
        <w:rPr>
          <w:rFonts w:ascii="Arial"/>
          <w:sz w:val="2"/>
        </w:rP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6"/>
        <w:gridCol w:w="567"/>
        <w:gridCol w:w="621"/>
        <w:gridCol w:w="707"/>
        <w:gridCol w:w="749"/>
        <w:gridCol w:w="750"/>
        <w:gridCol w:w="708"/>
        <w:gridCol w:w="708"/>
        <w:gridCol w:w="708"/>
        <w:gridCol w:w="708"/>
        <w:gridCol w:w="708"/>
        <w:gridCol w:w="708"/>
        <w:gridCol w:w="708"/>
        <w:gridCol w:w="708"/>
        <w:gridCol w:w="708"/>
        <w:gridCol w:w="708"/>
        <w:gridCol w:w="566"/>
      </w:tblGrid>
      <w:tr>
        <w:trPr>
          <w:trHeight w:val="1114" w:hRule="atLeast"/>
        </w:trPr>
        <w:tc>
          <w:tcPr>
            <w:tcW w:w="2856" w:type="dxa"/>
            <w:vAlign w:val="top"/>
            <w:tcBorders>
              <w:left w:val="single" w:color="000000" w:sz="6" w:space="0"/>
              <w:top w:val="single" w:color="000000" w:sz="6" w:space="0"/>
            </w:tcBorders>
          </w:tcPr>
          <w:p>
            <w:pPr>
              <w:spacing w:line="413" w:lineRule="auto"/>
              <w:rPr>
                <w:rFonts w:ascii="Arial"/>
                <w:sz w:val="21"/>
              </w:rPr>
            </w:pPr>
            <w:r/>
          </w:p>
          <w:p>
            <w:pPr>
              <w:pStyle w:val="TableText"/>
              <w:ind w:left="1223"/>
              <w:spacing w:before="62" w:line="212" w:lineRule="auto"/>
              <w:rPr>
                <w:sz w:val="19"/>
                <w:szCs w:val="19"/>
              </w:rPr>
            </w:pPr>
            <w:r>
              <w:rPr>
                <w:sz w:val="19"/>
                <w:szCs w:val="19"/>
                <w:b/>
                <w:bCs/>
                <w:spacing w:val="6"/>
              </w:rPr>
              <w:t>项目</w:t>
            </w:r>
          </w:p>
        </w:tc>
        <w:tc>
          <w:tcPr>
            <w:tcW w:w="567" w:type="dxa"/>
            <w:vAlign w:val="top"/>
            <w:tcBorders>
              <w:top w:val="single" w:color="000000" w:sz="6" w:space="0"/>
            </w:tcBorders>
          </w:tcPr>
          <w:p>
            <w:pPr>
              <w:spacing w:line="410" w:lineRule="auto"/>
              <w:rPr>
                <w:rFonts w:ascii="Arial"/>
                <w:sz w:val="21"/>
              </w:rPr>
            </w:pPr>
            <w:r/>
          </w:p>
          <w:p>
            <w:pPr>
              <w:pStyle w:val="TableText"/>
              <w:ind w:left="83"/>
              <w:spacing w:before="61" w:line="220" w:lineRule="auto"/>
              <w:rPr>
                <w:sz w:val="19"/>
                <w:szCs w:val="19"/>
              </w:rPr>
            </w:pPr>
            <w:r>
              <w:rPr>
                <w:sz w:val="19"/>
                <w:szCs w:val="19"/>
                <w:b/>
                <w:bCs/>
                <w:spacing w:val="2"/>
              </w:rPr>
              <w:t>总计</w:t>
            </w:r>
          </w:p>
        </w:tc>
        <w:tc>
          <w:tcPr>
            <w:tcW w:w="621" w:type="dxa"/>
            <w:vAlign w:val="top"/>
            <w:tcBorders>
              <w:top w:val="single" w:color="000000" w:sz="6" w:space="0"/>
            </w:tcBorders>
          </w:tcPr>
          <w:p>
            <w:pPr>
              <w:pStyle w:val="TableText"/>
              <w:ind w:left="2"/>
              <w:spacing w:before="193" w:line="217" w:lineRule="auto"/>
              <w:rPr>
                <w:sz w:val="19"/>
                <w:szCs w:val="19"/>
              </w:rPr>
            </w:pPr>
            <w:r>
              <w:rPr>
                <w:sz w:val="19"/>
                <w:szCs w:val="19"/>
                <w:b/>
                <w:bCs/>
                <w:spacing w:val="6"/>
              </w:rPr>
              <w:t>机关工</w:t>
            </w:r>
          </w:p>
          <w:p>
            <w:pPr>
              <w:pStyle w:val="TableText"/>
              <w:ind w:left="5"/>
              <w:spacing w:before="56" w:line="222" w:lineRule="auto"/>
              <w:rPr>
                <w:sz w:val="19"/>
                <w:szCs w:val="19"/>
              </w:rPr>
            </w:pPr>
            <w:r>
              <w:rPr>
                <w:sz w:val="19"/>
                <w:szCs w:val="19"/>
                <w:b/>
                <w:bCs/>
                <w:spacing w:val="5"/>
              </w:rPr>
              <w:t>资福利</w:t>
            </w:r>
          </w:p>
          <w:p>
            <w:pPr>
              <w:pStyle w:val="TableText"/>
              <w:ind w:left="103"/>
              <w:spacing w:before="53" w:line="219" w:lineRule="auto"/>
              <w:rPr>
                <w:sz w:val="19"/>
                <w:szCs w:val="19"/>
              </w:rPr>
            </w:pPr>
            <w:r>
              <w:rPr>
                <w:sz w:val="19"/>
                <w:szCs w:val="19"/>
                <w:b/>
                <w:bCs/>
                <w:spacing w:val="5"/>
              </w:rPr>
              <w:t>支出</w:t>
            </w:r>
          </w:p>
        </w:tc>
        <w:tc>
          <w:tcPr>
            <w:tcW w:w="707" w:type="dxa"/>
            <w:vAlign w:val="top"/>
            <w:tcBorders>
              <w:top w:val="single" w:color="000000" w:sz="6" w:space="0"/>
            </w:tcBorders>
          </w:tcPr>
          <w:p>
            <w:pPr>
              <w:pStyle w:val="TableText"/>
              <w:ind w:left="44" w:right="56" w:firstLine="1"/>
              <w:spacing w:before="193" w:line="266" w:lineRule="auto"/>
              <w:jc w:val="both"/>
              <w:rPr>
                <w:sz w:val="19"/>
                <w:szCs w:val="19"/>
              </w:rPr>
            </w:pPr>
            <w:r>
              <w:rPr>
                <w:sz w:val="19"/>
                <w:szCs w:val="19"/>
                <w:b/>
                <w:bCs/>
                <w:spacing w:val="6"/>
              </w:rPr>
              <w:t>机关商</w:t>
            </w:r>
            <w:r>
              <w:rPr>
                <w:sz w:val="19"/>
                <w:szCs w:val="19"/>
                <w:b/>
                <w:bCs/>
                <w:spacing w:val="6"/>
              </w:rPr>
              <w:t>品和服</w:t>
            </w:r>
            <w:r>
              <w:rPr>
                <w:sz w:val="19"/>
                <w:szCs w:val="19"/>
                <w:b/>
                <w:bCs/>
                <w:spacing w:val="6"/>
              </w:rPr>
              <w:t>务支出</w:t>
            </w:r>
          </w:p>
        </w:tc>
        <w:tc>
          <w:tcPr>
            <w:tcW w:w="749" w:type="dxa"/>
            <w:vAlign w:val="top"/>
            <w:tcBorders>
              <w:top w:val="single" w:color="000000" w:sz="6" w:space="0"/>
            </w:tcBorders>
          </w:tcPr>
          <w:p>
            <w:pPr>
              <w:pStyle w:val="TableText"/>
              <w:ind w:left="68"/>
              <w:spacing w:before="192" w:line="220" w:lineRule="auto"/>
              <w:rPr>
                <w:sz w:val="19"/>
                <w:szCs w:val="19"/>
              </w:rPr>
            </w:pPr>
            <w:r>
              <w:rPr>
                <w:sz w:val="19"/>
                <w:szCs w:val="19"/>
                <w:b/>
                <w:bCs/>
                <w:spacing w:val="6"/>
              </w:rPr>
              <w:t>机关资</w:t>
            </w:r>
          </w:p>
          <w:p>
            <w:pPr>
              <w:pStyle w:val="TableText"/>
              <w:ind w:left="18" w:firstLine="44"/>
              <w:spacing w:before="57" w:line="289" w:lineRule="auto"/>
              <w:rPr>
                <w:sz w:val="19"/>
                <w:szCs w:val="19"/>
              </w:rPr>
            </w:pPr>
            <w:r>
              <w:rPr>
                <w:sz w:val="19"/>
                <w:szCs w:val="19"/>
                <w:b/>
                <w:bCs/>
                <w:spacing w:val="-10"/>
              </w:rPr>
              <w:t>本性支</w:t>
            </w:r>
            <w:r>
              <w:rPr>
                <w:sz w:val="19"/>
                <w:szCs w:val="19"/>
                <w:b/>
                <w:bCs/>
                <w:spacing w:val="-12"/>
              </w:rPr>
              <w:t>出（一）</w:t>
            </w:r>
          </w:p>
        </w:tc>
        <w:tc>
          <w:tcPr>
            <w:tcW w:w="750" w:type="dxa"/>
            <w:vAlign w:val="top"/>
            <w:tcBorders>
              <w:top w:val="single" w:color="000000" w:sz="6" w:space="0"/>
            </w:tcBorders>
          </w:tcPr>
          <w:p>
            <w:pPr>
              <w:pStyle w:val="TableText"/>
              <w:ind w:left="68"/>
              <w:spacing w:before="192" w:line="220" w:lineRule="auto"/>
              <w:rPr>
                <w:sz w:val="19"/>
                <w:szCs w:val="19"/>
              </w:rPr>
            </w:pPr>
            <w:r>
              <w:rPr>
                <w:sz w:val="19"/>
                <w:szCs w:val="19"/>
                <w:b/>
                <w:bCs/>
                <w:spacing w:val="6"/>
              </w:rPr>
              <w:t>机关资</w:t>
            </w:r>
          </w:p>
          <w:p>
            <w:pPr>
              <w:pStyle w:val="TableText"/>
              <w:ind w:left="18" w:firstLine="44"/>
              <w:spacing w:before="57" w:line="289" w:lineRule="auto"/>
              <w:rPr>
                <w:sz w:val="19"/>
                <w:szCs w:val="19"/>
              </w:rPr>
            </w:pPr>
            <w:r>
              <w:rPr>
                <w:sz w:val="19"/>
                <w:szCs w:val="19"/>
                <w:b/>
                <w:bCs/>
                <w:spacing w:val="-10"/>
              </w:rPr>
              <w:t>本性支</w:t>
            </w:r>
            <w:r>
              <w:rPr>
                <w:sz w:val="19"/>
                <w:szCs w:val="19"/>
                <w:b/>
                <w:bCs/>
                <w:spacing w:val="-12"/>
              </w:rPr>
              <w:t>出（二）</w:t>
            </w:r>
          </w:p>
        </w:tc>
        <w:tc>
          <w:tcPr>
            <w:tcW w:w="708" w:type="dxa"/>
            <w:vAlign w:val="top"/>
            <w:tcBorders>
              <w:top w:val="single" w:color="000000" w:sz="6" w:space="0"/>
            </w:tcBorders>
          </w:tcPr>
          <w:p>
            <w:pPr>
              <w:pStyle w:val="TableText"/>
              <w:ind w:left="39" w:right="37" w:firstLine="6"/>
              <w:spacing w:before="192" w:line="274" w:lineRule="auto"/>
              <w:jc w:val="both"/>
              <w:rPr>
                <w:sz w:val="19"/>
                <w:szCs w:val="19"/>
              </w:rPr>
            </w:pPr>
            <w:r>
              <w:rPr>
                <w:sz w:val="19"/>
                <w:szCs w:val="19"/>
                <w:b/>
                <w:bCs/>
                <w:spacing w:val="6"/>
              </w:rPr>
              <w:t>对事业</w:t>
            </w:r>
            <w:r>
              <w:rPr>
                <w:sz w:val="19"/>
                <w:szCs w:val="19"/>
                <w:b/>
                <w:bCs/>
                <w:spacing w:val="9"/>
              </w:rPr>
              <w:t>单位经</w:t>
            </w:r>
            <w:r>
              <w:rPr>
                <w:sz w:val="19"/>
                <w:szCs w:val="19"/>
                <w:b/>
                <w:bCs/>
                <w:spacing w:val="-14"/>
                <w:w w:val="88"/>
              </w:rPr>
              <w:t>常性补助</w:t>
            </w:r>
          </w:p>
        </w:tc>
        <w:tc>
          <w:tcPr>
            <w:tcW w:w="708" w:type="dxa"/>
            <w:vAlign w:val="top"/>
            <w:tcBorders>
              <w:top w:val="single" w:color="000000" w:sz="6" w:space="0"/>
            </w:tcBorders>
          </w:tcPr>
          <w:p>
            <w:pPr>
              <w:pStyle w:val="TableText"/>
              <w:ind w:left="35" w:right="35" w:firstLine="12"/>
              <w:spacing w:before="193" w:line="273" w:lineRule="auto"/>
              <w:jc w:val="both"/>
              <w:rPr>
                <w:sz w:val="19"/>
                <w:szCs w:val="19"/>
              </w:rPr>
            </w:pPr>
            <w:r>
              <w:rPr>
                <w:sz w:val="19"/>
                <w:szCs w:val="19"/>
                <w:b/>
                <w:bCs/>
                <w:spacing w:val="6"/>
              </w:rPr>
              <w:t>对事业</w:t>
            </w:r>
            <w:r>
              <w:rPr>
                <w:sz w:val="19"/>
                <w:szCs w:val="19"/>
                <w:b/>
                <w:bCs/>
                <w:spacing w:val="11"/>
              </w:rPr>
              <w:t>单位资</w:t>
            </w:r>
            <w:r>
              <w:rPr>
                <w:sz w:val="19"/>
                <w:szCs w:val="19"/>
                <w:b/>
                <w:bCs/>
                <w:spacing w:val="-13"/>
                <w:w w:val="88"/>
              </w:rPr>
              <w:t>本性补助</w:t>
            </w:r>
          </w:p>
        </w:tc>
        <w:tc>
          <w:tcPr>
            <w:tcW w:w="708" w:type="dxa"/>
            <w:vAlign w:val="top"/>
            <w:tcBorders>
              <w:top w:val="single" w:color="000000" w:sz="6" w:space="0"/>
            </w:tcBorders>
          </w:tcPr>
          <w:p>
            <w:pPr>
              <w:spacing w:line="274" w:lineRule="auto"/>
              <w:rPr>
                <w:rFonts w:ascii="Arial"/>
                <w:sz w:val="21"/>
              </w:rPr>
            </w:pPr>
            <w:r/>
          </w:p>
          <w:p>
            <w:pPr>
              <w:pStyle w:val="TableText"/>
              <w:ind w:left="151" w:right="52" w:hanging="103"/>
              <w:spacing w:before="62" w:line="274" w:lineRule="auto"/>
              <w:rPr>
                <w:sz w:val="19"/>
                <w:szCs w:val="19"/>
              </w:rPr>
            </w:pPr>
            <w:r>
              <w:rPr>
                <w:sz w:val="19"/>
                <w:szCs w:val="19"/>
                <w:b/>
                <w:bCs/>
                <w:spacing w:val="6"/>
              </w:rPr>
              <w:t>对企业</w:t>
            </w:r>
            <w:r>
              <w:rPr>
                <w:sz w:val="19"/>
                <w:szCs w:val="19"/>
                <w:b/>
                <w:bCs/>
                <w:spacing w:val="5"/>
              </w:rPr>
              <w:t>补助</w:t>
            </w:r>
          </w:p>
        </w:tc>
        <w:tc>
          <w:tcPr>
            <w:tcW w:w="708" w:type="dxa"/>
            <w:vAlign w:val="top"/>
            <w:tcBorders>
              <w:top w:val="single" w:color="000000" w:sz="6" w:space="0"/>
            </w:tcBorders>
          </w:tcPr>
          <w:p>
            <w:pPr>
              <w:pStyle w:val="TableText"/>
              <w:ind w:left="50"/>
              <w:spacing w:before="196" w:line="213" w:lineRule="auto"/>
              <w:rPr>
                <w:sz w:val="19"/>
                <w:szCs w:val="19"/>
              </w:rPr>
            </w:pPr>
            <w:r>
              <w:rPr>
                <w:sz w:val="19"/>
                <w:szCs w:val="19"/>
                <w:b/>
                <w:bCs/>
                <w:spacing w:val="6"/>
              </w:rPr>
              <w:t>对企业</w:t>
            </w:r>
          </w:p>
          <w:p>
            <w:pPr>
              <w:pStyle w:val="TableText"/>
              <w:ind w:left="56"/>
              <w:spacing w:before="56" w:line="220" w:lineRule="auto"/>
              <w:rPr>
                <w:sz w:val="19"/>
                <w:szCs w:val="19"/>
              </w:rPr>
            </w:pPr>
            <w:r>
              <w:rPr>
                <w:sz w:val="19"/>
                <w:szCs w:val="19"/>
                <w:b/>
                <w:bCs/>
                <w:spacing w:val="5"/>
              </w:rPr>
              <w:t>资本性</w:t>
            </w:r>
          </w:p>
          <w:p>
            <w:pPr>
              <w:pStyle w:val="TableText"/>
              <w:ind w:left="151"/>
              <w:spacing w:before="56" w:line="219" w:lineRule="auto"/>
              <w:rPr>
                <w:sz w:val="19"/>
                <w:szCs w:val="19"/>
              </w:rPr>
            </w:pPr>
            <w:r>
              <w:rPr>
                <w:sz w:val="19"/>
                <w:szCs w:val="19"/>
                <w:b/>
                <w:bCs/>
                <w:spacing w:val="5"/>
              </w:rPr>
              <w:t>支出</w:t>
            </w:r>
          </w:p>
        </w:tc>
        <w:tc>
          <w:tcPr>
            <w:tcW w:w="708" w:type="dxa"/>
            <w:vAlign w:val="top"/>
            <w:tcBorders>
              <w:top w:val="single" w:color="000000" w:sz="6" w:space="0"/>
            </w:tcBorders>
          </w:tcPr>
          <w:p>
            <w:pPr>
              <w:pStyle w:val="TableText"/>
              <w:ind w:left="57" w:right="50" w:hanging="7"/>
              <w:spacing w:before="195" w:line="273" w:lineRule="auto"/>
              <w:rPr>
                <w:sz w:val="19"/>
                <w:szCs w:val="19"/>
              </w:rPr>
            </w:pPr>
            <w:r>
              <w:rPr>
                <w:sz w:val="19"/>
                <w:szCs w:val="19"/>
                <w:b/>
                <w:bCs/>
                <w:spacing w:val="6"/>
              </w:rPr>
              <w:t>对个人</w:t>
            </w:r>
            <w:r>
              <w:rPr>
                <w:sz w:val="19"/>
                <w:szCs w:val="19"/>
                <w:b/>
                <w:bCs/>
                <w:spacing w:val="4"/>
              </w:rPr>
              <w:t>和家庭</w:t>
            </w:r>
          </w:p>
          <w:p>
            <w:pPr>
              <w:pStyle w:val="TableText"/>
              <w:ind w:left="67"/>
              <w:spacing w:line="215" w:lineRule="auto"/>
              <w:rPr>
                <w:sz w:val="19"/>
                <w:szCs w:val="19"/>
              </w:rPr>
            </w:pPr>
            <w:r>
              <w:rPr>
                <w:sz w:val="19"/>
                <w:szCs w:val="19"/>
                <w:b/>
                <w:bCs/>
                <w:spacing w:val="1"/>
              </w:rPr>
              <w:t>的补助</w:t>
            </w:r>
          </w:p>
        </w:tc>
        <w:tc>
          <w:tcPr>
            <w:tcW w:w="708" w:type="dxa"/>
            <w:vAlign w:val="top"/>
            <w:tcBorders>
              <w:top w:val="single" w:color="000000" w:sz="6" w:space="0"/>
            </w:tcBorders>
          </w:tcPr>
          <w:p>
            <w:pPr>
              <w:pStyle w:val="TableText"/>
              <w:ind w:left="52" w:right="48"/>
              <w:spacing w:before="195" w:line="273" w:lineRule="auto"/>
              <w:rPr>
                <w:sz w:val="19"/>
                <w:szCs w:val="19"/>
              </w:rPr>
            </w:pPr>
            <w:r>
              <w:rPr>
                <w:sz w:val="19"/>
                <w:szCs w:val="19"/>
                <w:b/>
                <w:bCs/>
                <w:spacing w:val="6"/>
              </w:rPr>
              <w:t>对社会</w:t>
            </w:r>
            <w:r>
              <w:rPr>
                <w:sz w:val="19"/>
                <w:szCs w:val="19"/>
                <w:b/>
                <w:bCs/>
                <w:spacing w:val="7"/>
              </w:rPr>
              <w:t>保障基</w:t>
            </w:r>
          </w:p>
          <w:p>
            <w:pPr>
              <w:pStyle w:val="TableText"/>
              <w:ind w:left="54"/>
              <w:spacing w:line="215" w:lineRule="auto"/>
              <w:rPr>
                <w:sz w:val="19"/>
                <w:szCs w:val="19"/>
              </w:rPr>
            </w:pPr>
            <w:r>
              <w:rPr>
                <w:sz w:val="19"/>
                <w:szCs w:val="19"/>
                <w:b/>
                <w:bCs/>
                <w:spacing w:val="6"/>
              </w:rPr>
              <w:t>金补助</w:t>
            </w:r>
          </w:p>
        </w:tc>
        <w:tc>
          <w:tcPr>
            <w:tcW w:w="708" w:type="dxa"/>
            <w:vAlign w:val="top"/>
            <w:tcBorders>
              <w:top w:val="single" w:color="000000" w:sz="6" w:space="0"/>
            </w:tcBorders>
          </w:tcPr>
          <w:p>
            <w:pPr>
              <w:pStyle w:val="TableText"/>
              <w:ind w:left="56" w:right="48" w:hanging="2"/>
              <w:spacing w:before="193" w:line="273" w:lineRule="auto"/>
              <w:rPr>
                <w:sz w:val="19"/>
                <w:szCs w:val="19"/>
              </w:rPr>
            </w:pPr>
            <w:r>
              <w:rPr>
                <w:sz w:val="19"/>
                <w:szCs w:val="19"/>
                <w:b/>
                <w:bCs/>
                <w:spacing w:val="6"/>
              </w:rPr>
              <w:t>债务利</w:t>
            </w:r>
            <w:r>
              <w:rPr>
                <w:sz w:val="19"/>
                <w:szCs w:val="19"/>
                <w:b/>
                <w:bCs/>
                <w:spacing w:val="5"/>
              </w:rPr>
              <w:t>息及费</w:t>
            </w:r>
          </w:p>
          <w:p>
            <w:pPr>
              <w:pStyle w:val="TableText"/>
              <w:ind w:left="54"/>
              <w:spacing w:line="218" w:lineRule="auto"/>
              <w:rPr>
                <w:sz w:val="19"/>
                <w:szCs w:val="19"/>
              </w:rPr>
            </w:pPr>
            <w:r>
              <w:rPr>
                <w:sz w:val="19"/>
                <w:szCs w:val="19"/>
                <w:b/>
                <w:bCs/>
                <w:spacing w:val="6"/>
              </w:rPr>
              <w:t>用支出</w:t>
            </w:r>
          </w:p>
        </w:tc>
        <w:tc>
          <w:tcPr>
            <w:tcW w:w="708" w:type="dxa"/>
            <w:vAlign w:val="top"/>
            <w:tcBorders>
              <w:top w:val="single" w:color="000000" w:sz="6" w:space="0"/>
            </w:tcBorders>
          </w:tcPr>
          <w:p>
            <w:pPr>
              <w:spacing w:line="271" w:lineRule="auto"/>
              <w:rPr>
                <w:rFonts w:ascii="Arial"/>
                <w:sz w:val="21"/>
              </w:rPr>
            </w:pPr>
            <w:r/>
          </w:p>
          <w:p>
            <w:pPr>
              <w:pStyle w:val="TableText"/>
              <w:ind w:left="53" w:right="48"/>
              <w:spacing w:before="62" w:line="272" w:lineRule="auto"/>
              <w:rPr>
                <w:sz w:val="19"/>
                <w:szCs w:val="19"/>
              </w:rPr>
            </w:pPr>
            <w:r>
              <w:rPr>
                <w:sz w:val="19"/>
                <w:szCs w:val="19"/>
                <w:b/>
                <w:bCs/>
                <w:spacing w:val="6"/>
              </w:rPr>
              <w:t>债务还</w:t>
            </w:r>
            <w:r>
              <w:rPr>
                <w:sz w:val="19"/>
                <w:szCs w:val="19"/>
                <w:b/>
                <w:bCs/>
                <w:spacing w:val="6"/>
              </w:rPr>
              <w:t>本支出</w:t>
            </w:r>
          </w:p>
        </w:tc>
        <w:tc>
          <w:tcPr>
            <w:tcW w:w="708" w:type="dxa"/>
            <w:vAlign w:val="top"/>
            <w:tcBorders>
              <w:top w:val="single" w:color="000000" w:sz="6" w:space="0"/>
            </w:tcBorders>
          </w:tcPr>
          <w:p>
            <w:pPr>
              <w:spacing w:line="272" w:lineRule="auto"/>
              <w:rPr>
                <w:rFonts w:ascii="Arial"/>
                <w:sz w:val="21"/>
              </w:rPr>
            </w:pPr>
            <w:r/>
          </w:p>
          <w:p>
            <w:pPr>
              <w:pStyle w:val="TableText"/>
              <w:ind w:left="156" w:right="45" w:hanging="99"/>
              <w:spacing w:before="61" w:line="273" w:lineRule="auto"/>
              <w:rPr>
                <w:sz w:val="19"/>
                <w:szCs w:val="19"/>
              </w:rPr>
            </w:pPr>
            <w:r>
              <w:rPr>
                <w:sz w:val="19"/>
                <w:szCs w:val="19"/>
                <w:b/>
                <w:bCs/>
                <w:spacing w:val="6"/>
              </w:rPr>
              <w:t>转移性</w:t>
            </w:r>
            <w:r>
              <w:rPr>
                <w:sz w:val="19"/>
                <w:szCs w:val="19"/>
                <w:b/>
                <w:bCs/>
                <w:spacing w:val="5"/>
              </w:rPr>
              <w:t>支出</w:t>
            </w:r>
          </w:p>
        </w:tc>
        <w:tc>
          <w:tcPr>
            <w:tcW w:w="708" w:type="dxa"/>
            <w:vAlign w:val="top"/>
            <w:tcBorders>
              <w:top w:val="single" w:color="000000" w:sz="6" w:space="0"/>
            </w:tcBorders>
          </w:tcPr>
          <w:p>
            <w:pPr>
              <w:spacing w:line="270" w:lineRule="auto"/>
              <w:rPr>
                <w:rFonts w:ascii="Arial"/>
                <w:sz w:val="21"/>
              </w:rPr>
            </w:pPr>
            <w:r/>
          </w:p>
          <w:p>
            <w:pPr>
              <w:pStyle w:val="TableText"/>
              <w:ind w:left="54" w:right="45" w:firstLine="5"/>
              <w:spacing w:before="62" w:line="272" w:lineRule="auto"/>
              <w:rPr>
                <w:sz w:val="19"/>
                <w:szCs w:val="19"/>
              </w:rPr>
            </w:pPr>
            <w:r>
              <w:rPr>
                <w:sz w:val="19"/>
                <w:szCs w:val="19"/>
                <w:b/>
                <w:bCs/>
                <w:spacing w:val="5"/>
              </w:rPr>
              <w:t>预备费</w:t>
            </w:r>
            <w:r>
              <w:rPr>
                <w:sz w:val="19"/>
                <w:szCs w:val="19"/>
                <w:b/>
                <w:bCs/>
                <w:spacing w:val="7"/>
              </w:rPr>
              <w:t>及预留</w:t>
            </w:r>
          </w:p>
        </w:tc>
        <w:tc>
          <w:tcPr>
            <w:tcW w:w="566" w:type="dxa"/>
            <w:vAlign w:val="top"/>
            <w:tcBorders>
              <w:right w:val="single" w:color="000000" w:sz="6" w:space="0"/>
              <w:top w:val="single" w:color="000000" w:sz="6" w:space="0"/>
            </w:tcBorders>
          </w:tcPr>
          <w:p>
            <w:pPr>
              <w:spacing w:line="270" w:lineRule="auto"/>
              <w:rPr>
                <w:rFonts w:ascii="Arial"/>
                <w:sz w:val="21"/>
              </w:rPr>
            </w:pPr>
            <w:r/>
          </w:p>
          <w:p>
            <w:pPr>
              <w:pStyle w:val="TableText"/>
              <w:ind w:left="84" w:right="74" w:hanging="2"/>
              <w:spacing w:before="61" w:line="273" w:lineRule="auto"/>
              <w:rPr>
                <w:sz w:val="19"/>
                <w:szCs w:val="19"/>
              </w:rPr>
            </w:pPr>
            <w:r>
              <w:rPr>
                <w:sz w:val="19"/>
                <w:szCs w:val="19"/>
                <w:b/>
                <w:bCs/>
                <w:spacing w:val="6"/>
              </w:rPr>
              <w:t>其他</w:t>
            </w:r>
            <w:r>
              <w:rPr>
                <w:sz w:val="19"/>
                <w:szCs w:val="19"/>
                <w:b/>
                <w:bCs/>
                <w:spacing w:val="5"/>
              </w:rPr>
              <w:t>支出</w:t>
            </w:r>
          </w:p>
        </w:tc>
      </w:tr>
      <w:tr>
        <w:trPr>
          <w:trHeight w:val="405" w:hRule="atLeast"/>
        </w:trPr>
        <w:tc>
          <w:tcPr>
            <w:tcW w:w="2856" w:type="dxa"/>
            <w:vAlign w:val="top"/>
            <w:tcBorders>
              <w:left w:val="single" w:color="000000" w:sz="6" w:space="0"/>
            </w:tcBorders>
          </w:tcPr>
          <w:p>
            <w:pPr>
              <w:pStyle w:val="TableText"/>
              <w:ind w:left="9"/>
              <w:spacing w:before="118" w:line="219" w:lineRule="auto"/>
              <w:rPr>
                <w:sz w:val="19"/>
                <w:szCs w:val="19"/>
              </w:rPr>
            </w:pPr>
            <w:r>
              <w:rPr>
                <w:sz w:val="19"/>
                <w:szCs w:val="19"/>
                <w:spacing w:val="9"/>
              </w:rPr>
              <w:t>一、一般公共服务支出</w:t>
            </w:r>
          </w:p>
        </w:tc>
        <w:tc>
          <w:tcPr>
            <w:tcW w:w="567" w:type="dxa"/>
            <w:vAlign w:val="top"/>
          </w:tcPr>
          <w:p>
            <w:pPr>
              <w:pStyle w:val="TableText"/>
              <w:ind w:left="55"/>
              <w:spacing w:before="113" w:line="282" w:lineRule="exact"/>
              <w:rPr>
                <w:sz w:val="19"/>
                <w:szCs w:val="19"/>
              </w:rPr>
            </w:pPr>
            <w:r>
              <w:rPr>
                <w:sz w:val="19"/>
                <w:szCs w:val="19"/>
                <w:spacing w:val="2"/>
                <w:position w:val="2"/>
              </w:rPr>
              <w:t>28191</w:t>
            </w:r>
          </w:p>
        </w:tc>
        <w:tc>
          <w:tcPr>
            <w:tcW w:w="621" w:type="dxa"/>
            <w:vAlign w:val="top"/>
          </w:tcPr>
          <w:p>
            <w:pPr>
              <w:pStyle w:val="TableText"/>
              <w:ind w:right="11"/>
              <w:spacing w:before="113" w:line="282" w:lineRule="exact"/>
              <w:jc w:val="right"/>
              <w:rPr>
                <w:sz w:val="19"/>
                <w:szCs w:val="19"/>
              </w:rPr>
            </w:pPr>
            <w:r>
              <w:rPr>
                <w:sz w:val="19"/>
                <w:szCs w:val="19"/>
                <w:spacing w:val="-1"/>
                <w:position w:val="2"/>
              </w:rPr>
              <w:t>13014</w:t>
            </w:r>
          </w:p>
        </w:tc>
        <w:tc>
          <w:tcPr>
            <w:tcW w:w="707" w:type="dxa"/>
            <w:vAlign w:val="top"/>
          </w:tcPr>
          <w:p>
            <w:pPr>
              <w:pStyle w:val="TableText"/>
              <w:ind w:right="12"/>
              <w:spacing w:before="113" w:line="282" w:lineRule="exact"/>
              <w:jc w:val="right"/>
              <w:rPr>
                <w:sz w:val="19"/>
                <w:szCs w:val="19"/>
              </w:rPr>
            </w:pPr>
            <w:r>
              <w:rPr>
                <w:sz w:val="19"/>
                <w:szCs w:val="19"/>
                <w:spacing w:val="2"/>
                <w:position w:val="2"/>
              </w:rPr>
              <w:t>4711</w:t>
            </w:r>
          </w:p>
        </w:tc>
        <w:tc>
          <w:tcPr>
            <w:tcW w:w="749" w:type="dxa"/>
            <w:vAlign w:val="top"/>
          </w:tcPr>
          <w:p>
            <w:pPr>
              <w:rPr>
                <w:rFonts w:ascii="Arial"/>
                <w:sz w:val="21"/>
              </w:rPr>
            </w:pPr>
            <w:r/>
          </w:p>
        </w:tc>
        <w:tc>
          <w:tcPr>
            <w:tcW w:w="750" w:type="dxa"/>
            <w:vAlign w:val="top"/>
          </w:tcPr>
          <w:p>
            <w:pPr>
              <w:pStyle w:val="TableText"/>
              <w:ind w:right="9"/>
              <w:spacing w:before="113" w:line="282" w:lineRule="exact"/>
              <w:jc w:val="right"/>
              <w:rPr>
                <w:sz w:val="19"/>
                <w:szCs w:val="19"/>
              </w:rPr>
            </w:pPr>
            <w:r>
              <w:rPr>
                <w:sz w:val="19"/>
                <w:szCs w:val="19"/>
                <w:spacing w:val="-8"/>
                <w:position w:val="2"/>
              </w:rPr>
              <w:t>12</w:t>
            </w:r>
          </w:p>
        </w:tc>
        <w:tc>
          <w:tcPr>
            <w:tcW w:w="708" w:type="dxa"/>
            <w:vAlign w:val="top"/>
          </w:tcPr>
          <w:p>
            <w:pPr>
              <w:pStyle w:val="TableText"/>
              <w:ind w:right="9"/>
              <w:spacing w:before="113" w:line="282" w:lineRule="exact"/>
              <w:jc w:val="right"/>
              <w:rPr>
                <w:sz w:val="19"/>
                <w:szCs w:val="19"/>
              </w:rPr>
            </w:pPr>
            <w:r>
              <w:rPr>
                <w:sz w:val="19"/>
                <w:szCs w:val="19"/>
                <w:spacing w:val="1"/>
                <w:position w:val="2"/>
              </w:rPr>
              <w:t>6655</w:t>
            </w:r>
          </w:p>
        </w:tc>
        <w:tc>
          <w:tcPr>
            <w:tcW w:w="708" w:type="dxa"/>
            <w:vAlign w:val="top"/>
          </w:tcPr>
          <w:p>
            <w:pPr>
              <w:pStyle w:val="TableText"/>
              <w:ind w:right="9"/>
              <w:spacing w:before="113" w:line="282" w:lineRule="exact"/>
              <w:jc w:val="right"/>
              <w:rPr>
                <w:sz w:val="19"/>
                <w:szCs w:val="19"/>
              </w:rPr>
            </w:pPr>
            <w:r>
              <w:rPr>
                <w:sz w:val="19"/>
                <w:szCs w:val="19"/>
                <w:spacing w:val="-4"/>
                <w:position w:val="2"/>
              </w:rPr>
              <w:t>131</w:t>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pStyle w:val="TableText"/>
              <w:ind w:right="4"/>
              <w:spacing w:before="113" w:line="282" w:lineRule="exact"/>
              <w:jc w:val="right"/>
              <w:rPr>
                <w:sz w:val="19"/>
                <w:szCs w:val="19"/>
              </w:rPr>
            </w:pPr>
            <w:r>
              <w:rPr>
                <w:sz w:val="19"/>
                <w:szCs w:val="19"/>
                <w:spacing w:val="1"/>
                <w:position w:val="2"/>
              </w:rPr>
              <w:t>668</w:t>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566" w:type="dxa"/>
            <w:vAlign w:val="top"/>
            <w:tcBorders>
              <w:right w:val="single" w:color="000000" w:sz="6" w:space="0"/>
            </w:tcBorders>
          </w:tcPr>
          <w:p>
            <w:pPr>
              <w:pStyle w:val="TableText"/>
              <w:ind w:right="6"/>
              <w:spacing w:before="113" w:line="282" w:lineRule="exact"/>
              <w:jc w:val="right"/>
              <w:rPr>
                <w:sz w:val="19"/>
                <w:szCs w:val="19"/>
              </w:rPr>
            </w:pPr>
            <w:r>
              <w:rPr>
                <w:sz w:val="19"/>
                <w:szCs w:val="19"/>
                <w:spacing w:val="1"/>
                <w:position w:val="2"/>
              </w:rPr>
              <w:t>3000</w:t>
            </w:r>
          </w:p>
        </w:tc>
      </w:tr>
      <w:tr>
        <w:trPr>
          <w:trHeight w:val="406" w:hRule="atLeast"/>
        </w:trPr>
        <w:tc>
          <w:tcPr>
            <w:tcW w:w="2856" w:type="dxa"/>
            <w:vAlign w:val="top"/>
            <w:tcBorders>
              <w:left w:val="single" w:color="000000" w:sz="6" w:space="0"/>
            </w:tcBorders>
          </w:tcPr>
          <w:p>
            <w:pPr>
              <w:pStyle w:val="TableText"/>
              <w:ind w:left="9"/>
              <w:spacing w:before="118" w:line="219" w:lineRule="auto"/>
              <w:rPr>
                <w:sz w:val="19"/>
                <w:szCs w:val="19"/>
              </w:rPr>
            </w:pPr>
            <w:r>
              <w:rPr>
                <w:sz w:val="19"/>
                <w:szCs w:val="19"/>
                <w:spacing w:val="9"/>
              </w:rPr>
              <w:t>二、外交支出</w:t>
            </w:r>
          </w:p>
        </w:tc>
        <w:tc>
          <w:tcPr>
            <w:tcW w:w="567" w:type="dxa"/>
            <w:vAlign w:val="top"/>
          </w:tcPr>
          <w:p>
            <w:pPr>
              <w:rPr>
                <w:rFonts w:ascii="Arial"/>
                <w:sz w:val="21"/>
              </w:rPr>
            </w:pPr>
            <w:r/>
          </w:p>
        </w:tc>
        <w:tc>
          <w:tcPr>
            <w:tcW w:w="621" w:type="dxa"/>
            <w:vAlign w:val="top"/>
          </w:tcPr>
          <w:p>
            <w:pPr>
              <w:rPr>
                <w:rFonts w:ascii="Arial"/>
                <w:sz w:val="21"/>
              </w:rPr>
            </w:pPr>
            <w:r/>
          </w:p>
        </w:tc>
        <w:tc>
          <w:tcPr>
            <w:tcW w:w="707" w:type="dxa"/>
            <w:vAlign w:val="top"/>
          </w:tcPr>
          <w:p>
            <w:pPr>
              <w:rPr>
                <w:rFonts w:ascii="Arial"/>
                <w:sz w:val="21"/>
              </w:rPr>
            </w:pPr>
            <w:r/>
          </w:p>
        </w:tc>
        <w:tc>
          <w:tcPr>
            <w:tcW w:w="749" w:type="dxa"/>
            <w:vAlign w:val="top"/>
          </w:tcPr>
          <w:p>
            <w:pPr>
              <w:rPr>
                <w:rFonts w:ascii="Arial"/>
                <w:sz w:val="21"/>
              </w:rPr>
            </w:pPr>
            <w:r/>
          </w:p>
        </w:tc>
        <w:tc>
          <w:tcPr>
            <w:tcW w:w="750"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566" w:type="dxa"/>
            <w:vAlign w:val="top"/>
            <w:tcBorders>
              <w:right w:val="single" w:color="000000" w:sz="6" w:space="0"/>
            </w:tcBorders>
          </w:tcPr>
          <w:p>
            <w:pPr>
              <w:rPr>
                <w:rFonts w:ascii="Arial"/>
                <w:sz w:val="21"/>
              </w:rPr>
            </w:pPr>
            <w:r/>
          </w:p>
        </w:tc>
      </w:tr>
      <w:tr>
        <w:trPr>
          <w:trHeight w:val="406" w:hRule="atLeast"/>
        </w:trPr>
        <w:tc>
          <w:tcPr>
            <w:tcW w:w="2856" w:type="dxa"/>
            <w:vAlign w:val="top"/>
            <w:tcBorders>
              <w:left w:val="single" w:color="000000" w:sz="6" w:space="0"/>
            </w:tcBorders>
          </w:tcPr>
          <w:p>
            <w:pPr>
              <w:pStyle w:val="TableText"/>
              <w:ind w:left="12"/>
              <w:spacing w:before="120" w:line="219" w:lineRule="auto"/>
              <w:rPr>
                <w:sz w:val="19"/>
                <w:szCs w:val="19"/>
              </w:rPr>
            </w:pPr>
            <w:r>
              <w:rPr>
                <w:sz w:val="19"/>
                <w:szCs w:val="19"/>
                <w:spacing w:val="8"/>
              </w:rPr>
              <w:t>三、国防支出</w:t>
            </w:r>
          </w:p>
        </w:tc>
        <w:tc>
          <w:tcPr>
            <w:tcW w:w="567" w:type="dxa"/>
            <w:vAlign w:val="top"/>
          </w:tcPr>
          <w:p>
            <w:pPr>
              <w:pStyle w:val="TableText"/>
              <w:ind w:right="11"/>
              <w:spacing w:before="115" w:line="280" w:lineRule="exact"/>
              <w:jc w:val="right"/>
              <w:rPr>
                <w:sz w:val="19"/>
                <w:szCs w:val="19"/>
              </w:rPr>
            </w:pPr>
            <w:r>
              <w:rPr>
                <w:sz w:val="19"/>
                <w:szCs w:val="19"/>
                <w:position w:val="2"/>
              </w:rPr>
              <w:t>322</w:t>
            </w:r>
          </w:p>
        </w:tc>
        <w:tc>
          <w:tcPr>
            <w:tcW w:w="621" w:type="dxa"/>
            <w:vAlign w:val="top"/>
          </w:tcPr>
          <w:p>
            <w:pPr>
              <w:rPr>
                <w:rFonts w:ascii="Arial"/>
                <w:sz w:val="21"/>
              </w:rPr>
            </w:pPr>
            <w:r/>
          </w:p>
        </w:tc>
        <w:tc>
          <w:tcPr>
            <w:tcW w:w="707" w:type="dxa"/>
            <w:vAlign w:val="top"/>
          </w:tcPr>
          <w:p>
            <w:pPr>
              <w:pStyle w:val="TableText"/>
              <w:ind w:right="12"/>
              <w:spacing w:before="115" w:line="280" w:lineRule="exact"/>
              <w:jc w:val="right"/>
              <w:rPr>
                <w:sz w:val="19"/>
                <w:szCs w:val="19"/>
              </w:rPr>
            </w:pPr>
            <w:r>
              <w:rPr>
                <w:sz w:val="19"/>
                <w:szCs w:val="19"/>
                <w:spacing w:val="1"/>
                <w:position w:val="2"/>
              </w:rPr>
              <w:t>280</w:t>
            </w:r>
          </w:p>
        </w:tc>
        <w:tc>
          <w:tcPr>
            <w:tcW w:w="749" w:type="dxa"/>
            <w:vAlign w:val="top"/>
          </w:tcPr>
          <w:p>
            <w:pPr>
              <w:rPr>
                <w:rFonts w:ascii="Arial"/>
                <w:sz w:val="21"/>
              </w:rPr>
            </w:pPr>
            <w:r/>
          </w:p>
        </w:tc>
        <w:tc>
          <w:tcPr>
            <w:tcW w:w="750"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pStyle w:val="TableText"/>
              <w:ind w:right="4"/>
              <w:spacing w:before="115" w:line="280" w:lineRule="exact"/>
              <w:jc w:val="right"/>
              <w:rPr>
                <w:sz w:val="19"/>
                <w:szCs w:val="19"/>
              </w:rPr>
            </w:pPr>
            <w:r>
              <w:rPr>
                <w:sz w:val="19"/>
                <w:szCs w:val="19"/>
                <w:spacing w:val="2"/>
                <w:position w:val="2"/>
              </w:rPr>
              <w:t>42</w:t>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566" w:type="dxa"/>
            <w:vAlign w:val="top"/>
            <w:tcBorders>
              <w:right w:val="single" w:color="000000" w:sz="6" w:space="0"/>
            </w:tcBorders>
          </w:tcPr>
          <w:p>
            <w:pPr>
              <w:rPr>
                <w:rFonts w:ascii="Arial"/>
                <w:sz w:val="21"/>
              </w:rPr>
            </w:pPr>
            <w:r/>
          </w:p>
        </w:tc>
      </w:tr>
      <w:tr>
        <w:trPr>
          <w:trHeight w:val="406" w:hRule="atLeast"/>
        </w:trPr>
        <w:tc>
          <w:tcPr>
            <w:tcW w:w="2856" w:type="dxa"/>
            <w:vAlign w:val="top"/>
            <w:tcBorders>
              <w:left w:val="single" w:color="000000" w:sz="6" w:space="0"/>
            </w:tcBorders>
          </w:tcPr>
          <w:p>
            <w:pPr>
              <w:pStyle w:val="TableText"/>
              <w:ind w:left="29"/>
              <w:spacing w:before="122" w:line="219" w:lineRule="auto"/>
              <w:rPr>
                <w:sz w:val="19"/>
                <w:szCs w:val="19"/>
              </w:rPr>
            </w:pPr>
            <w:r>
              <w:rPr>
                <w:sz w:val="19"/>
                <w:szCs w:val="19"/>
                <w:spacing w:val="6"/>
              </w:rPr>
              <w:t>四、公共安全支出</w:t>
            </w:r>
          </w:p>
        </w:tc>
        <w:tc>
          <w:tcPr>
            <w:tcW w:w="567" w:type="dxa"/>
            <w:vAlign w:val="top"/>
          </w:tcPr>
          <w:p>
            <w:pPr>
              <w:pStyle w:val="TableText"/>
              <w:ind w:left="55"/>
              <w:spacing w:before="116" w:line="279" w:lineRule="exact"/>
              <w:rPr>
                <w:sz w:val="19"/>
                <w:szCs w:val="19"/>
              </w:rPr>
            </w:pPr>
            <w:r>
              <w:rPr>
                <w:sz w:val="19"/>
                <w:szCs w:val="19"/>
                <w:spacing w:val="2"/>
                <w:position w:val="2"/>
              </w:rPr>
              <w:t>21105</w:t>
            </w:r>
          </w:p>
        </w:tc>
        <w:tc>
          <w:tcPr>
            <w:tcW w:w="621" w:type="dxa"/>
            <w:vAlign w:val="top"/>
          </w:tcPr>
          <w:p>
            <w:pPr>
              <w:pStyle w:val="TableText"/>
              <w:ind w:right="11"/>
              <w:spacing w:before="116" w:line="279" w:lineRule="exact"/>
              <w:jc w:val="right"/>
              <w:rPr>
                <w:sz w:val="19"/>
                <w:szCs w:val="19"/>
              </w:rPr>
            </w:pPr>
            <w:r>
              <w:rPr>
                <w:sz w:val="19"/>
                <w:szCs w:val="19"/>
                <w:spacing w:val="-1"/>
                <w:position w:val="2"/>
              </w:rPr>
              <w:t>12393</w:t>
            </w:r>
          </w:p>
        </w:tc>
        <w:tc>
          <w:tcPr>
            <w:tcW w:w="707" w:type="dxa"/>
            <w:vAlign w:val="top"/>
          </w:tcPr>
          <w:p>
            <w:pPr>
              <w:pStyle w:val="TableText"/>
              <w:ind w:right="12"/>
              <w:spacing w:before="116" w:line="279" w:lineRule="exact"/>
              <w:jc w:val="right"/>
              <w:rPr>
                <w:sz w:val="19"/>
                <w:szCs w:val="19"/>
              </w:rPr>
            </w:pPr>
            <w:r>
              <w:rPr>
                <w:sz w:val="19"/>
                <w:szCs w:val="19"/>
                <w:spacing w:val="1"/>
                <w:position w:val="2"/>
              </w:rPr>
              <w:t>5565</w:t>
            </w:r>
          </w:p>
        </w:tc>
        <w:tc>
          <w:tcPr>
            <w:tcW w:w="749" w:type="dxa"/>
            <w:vAlign w:val="top"/>
          </w:tcPr>
          <w:p>
            <w:pPr>
              <w:pStyle w:val="TableText"/>
              <w:ind w:right="10"/>
              <w:spacing w:before="116" w:line="279" w:lineRule="exact"/>
              <w:jc w:val="right"/>
              <w:rPr>
                <w:sz w:val="19"/>
                <w:szCs w:val="19"/>
              </w:rPr>
            </w:pPr>
            <w:r>
              <w:rPr>
                <w:sz w:val="19"/>
                <w:szCs w:val="19"/>
                <w:position w:val="2"/>
              </w:rPr>
              <w:t>806</w:t>
            </w:r>
          </w:p>
        </w:tc>
        <w:tc>
          <w:tcPr>
            <w:tcW w:w="750" w:type="dxa"/>
            <w:vAlign w:val="top"/>
          </w:tcPr>
          <w:p>
            <w:pPr>
              <w:pStyle w:val="TableText"/>
              <w:ind w:right="9"/>
              <w:spacing w:before="116" w:line="279" w:lineRule="exact"/>
              <w:jc w:val="right"/>
              <w:rPr>
                <w:sz w:val="19"/>
                <w:szCs w:val="19"/>
              </w:rPr>
            </w:pPr>
            <w:r>
              <w:rPr>
                <w:sz w:val="19"/>
                <w:szCs w:val="19"/>
                <w:spacing w:val="-2"/>
                <w:position w:val="2"/>
              </w:rPr>
              <w:t>1623</w:t>
            </w:r>
          </w:p>
        </w:tc>
        <w:tc>
          <w:tcPr>
            <w:tcW w:w="708" w:type="dxa"/>
            <w:vAlign w:val="top"/>
          </w:tcPr>
          <w:p>
            <w:pPr>
              <w:pStyle w:val="TableText"/>
              <w:ind w:right="9"/>
              <w:spacing w:before="116" w:line="279" w:lineRule="exact"/>
              <w:jc w:val="right"/>
              <w:rPr>
                <w:sz w:val="19"/>
                <w:szCs w:val="19"/>
              </w:rPr>
            </w:pPr>
            <w:r>
              <w:rPr>
                <w:sz w:val="19"/>
                <w:szCs w:val="19"/>
                <w:position w:val="2"/>
              </w:rPr>
              <w:t>317</w:t>
            </w:r>
          </w:p>
        </w:tc>
        <w:tc>
          <w:tcPr>
            <w:tcW w:w="708" w:type="dxa"/>
            <w:vAlign w:val="top"/>
          </w:tcPr>
          <w:p>
            <w:pPr>
              <w:pStyle w:val="TableText"/>
              <w:ind w:right="4"/>
              <w:spacing w:before="116" w:line="279" w:lineRule="exact"/>
              <w:jc w:val="right"/>
              <w:rPr>
                <w:sz w:val="19"/>
                <w:szCs w:val="19"/>
              </w:rPr>
            </w:pPr>
            <w:r>
              <w:rPr>
                <w:sz w:val="19"/>
                <w:szCs w:val="19"/>
                <w:position w:val="2"/>
              </w:rPr>
              <w:t>5</w:t>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pStyle w:val="TableText"/>
              <w:ind w:right="4"/>
              <w:spacing w:before="116" w:line="279" w:lineRule="exact"/>
              <w:jc w:val="right"/>
              <w:rPr>
                <w:sz w:val="19"/>
                <w:szCs w:val="19"/>
              </w:rPr>
            </w:pPr>
            <w:r>
              <w:rPr>
                <w:sz w:val="19"/>
                <w:szCs w:val="19"/>
                <w:position w:val="2"/>
              </w:rPr>
              <w:t>396</w:t>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566" w:type="dxa"/>
            <w:vAlign w:val="top"/>
            <w:tcBorders>
              <w:right w:val="single" w:color="000000" w:sz="6" w:space="0"/>
            </w:tcBorders>
          </w:tcPr>
          <w:p>
            <w:pPr>
              <w:rPr>
                <w:rFonts w:ascii="Arial"/>
                <w:sz w:val="21"/>
              </w:rPr>
            </w:pPr>
            <w:r/>
          </w:p>
        </w:tc>
      </w:tr>
      <w:tr>
        <w:trPr>
          <w:trHeight w:val="406" w:hRule="atLeast"/>
        </w:trPr>
        <w:tc>
          <w:tcPr>
            <w:tcW w:w="2856" w:type="dxa"/>
            <w:vAlign w:val="top"/>
            <w:tcBorders>
              <w:left w:val="single" w:color="000000" w:sz="6" w:space="0"/>
            </w:tcBorders>
          </w:tcPr>
          <w:p>
            <w:pPr>
              <w:pStyle w:val="TableText"/>
              <w:ind w:left="13"/>
              <w:spacing w:before="122" w:line="220" w:lineRule="auto"/>
              <w:rPr>
                <w:sz w:val="19"/>
                <w:szCs w:val="19"/>
              </w:rPr>
            </w:pPr>
            <w:r>
              <w:rPr>
                <w:sz w:val="19"/>
                <w:szCs w:val="19"/>
                <w:spacing w:val="8"/>
              </w:rPr>
              <w:t>五、教育支出</w:t>
            </w:r>
          </w:p>
        </w:tc>
        <w:tc>
          <w:tcPr>
            <w:tcW w:w="567" w:type="dxa"/>
            <w:vAlign w:val="top"/>
          </w:tcPr>
          <w:p>
            <w:pPr>
              <w:pStyle w:val="TableText"/>
              <w:ind w:left="52"/>
              <w:spacing w:before="118" w:line="277" w:lineRule="exact"/>
              <w:rPr>
                <w:sz w:val="19"/>
                <w:szCs w:val="19"/>
              </w:rPr>
            </w:pPr>
            <w:r>
              <w:rPr>
                <w:sz w:val="19"/>
                <w:szCs w:val="19"/>
                <w:spacing w:val="3"/>
                <w:position w:val="2"/>
              </w:rPr>
              <w:t>41188</w:t>
            </w:r>
          </w:p>
        </w:tc>
        <w:tc>
          <w:tcPr>
            <w:tcW w:w="621" w:type="dxa"/>
            <w:vAlign w:val="top"/>
          </w:tcPr>
          <w:p>
            <w:pPr>
              <w:pStyle w:val="TableText"/>
              <w:ind w:right="13"/>
              <w:spacing w:before="118" w:line="277" w:lineRule="exact"/>
              <w:jc w:val="right"/>
              <w:rPr>
                <w:sz w:val="19"/>
                <w:szCs w:val="19"/>
              </w:rPr>
            </w:pPr>
            <w:r>
              <w:rPr>
                <w:sz w:val="19"/>
                <w:szCs w:val="19"/>
                <w:spacing w:val="1"/>
                <w:position w:val="2"/>
              </w:rPr>
              <w:t>507</w:t>
            </w:r>
          </w:p>
        </w:tc>
        <w:tc>
          <w:tcPr>
            <w:tcW w:w="707" w:type="dxa"/>
            <w:vAlign w:val="top"/>
          </w:tcPr>
          <w:p>
            <w:pPr>
              <w:pStyle w:val="TableText"/>
              <w:ind w:right="12"/>
              <w:spacing w:before="118" w:line="277" w:lineRule="exact"/>
              <w:jc w:val="right"/>
              <w:rPr>
                <w:sz w:val="19"/>
                <w:szCs w:val="19"/>
              </w:rPr>
            </w:pPr>
            <w:r>
              <w:rPr>
                <w:sz w:val="19"/>
                <w:szCs w:val="19"/>
                <w:spacing w:val="-1"/>
                <w:position w:val="2"/>
              </w:rPr>
              <w:t>14085</w:t>
            </w:r>
          </w:p>
        </w:tc>
        <w:tc>
          <w:tcPr>
            <w:tcW w:w="749" w:type="dxa"/>
            <w:vAlign w:val="top"/>
          </w:tcPr>
          <w:p>
            <w:pPr>
              <w:rPr>
                <w:rFonts w:ascii="Arial"/>
                <w:sz w:val="21"/>
              </w:rPr>
            </w:pPr>
            <w:r/>
          </w:p>
        </w:tc>
        <w:tc>
          <w:tcPr>
            <w:tcW w:w="750" w:type="dxa"/>
            <w:vAlign w:val="top"/>
          </w:tcPr>
          <w:p>
            <w:pPr>
              <w:rPr>
                <w:rFonts w:ascii="Arial"/>
                <w:sz w:val="21"/>
              </w:rPr>
            </w:pPr>
            <w:r/>
          </w:p>
        </w:tc>
        <w:tc>
          <w:tcPr>
            <w:tcW w:w="708" w:type="dxa"/>
            <w:vAlign w:val="top"/>
          </w:tcPr>
          <w:p>
            <w:pPr>
              <w:pStyle w:val="TableText"/>
              <w:ind w:right="9"/>
              <w:spacing w:before="118" w:line="277" w:lineRule="exact"/>
              <w:jc w:val="right"/>
              <w:rPr>
                <w:sz w:val="19"/>
                <w:szCs w:val="19"/>
              </w:rPr>
            </w:pPr>
            <w:r>
              <w:rPr>
                <w:sz w:val="19"/>
                <w:szCs w:val="19"/>
                <w:spacing w:val="2"/>
                <w:position w:val="2"/>
              </w:rPr>
              <w:t>26268</w:t>
            </w:r>
          </w:p>
        </w:tc>
        <w:tc>
          <w:tcPr>
            <w:tcW w:w="708" w:type="dxa"/>
            <w:vAlign w:val="top"/>
          </w:tcPr>
          <w:p>
            <w:pPr>
              <w:pStyle w:val="TableText"/>
              <w:ind w:right="6"/>
              <w:spacing w:before="118" w:line="277" w:lineRule="exact"/>
              <w:jc w:val="right"/>
              <w:rPr>
                <w:sz w:val="19"/>
                <w:szCs w:val="19"/>
              </w:rPr>
            </w:pPr>
            <w:r>
              <w:rPr>
                <w:sz w:val="19"/>
                <w:szCs w:val="19"/>
                <w:spacing w:val="2"/>
                <w:position w:val="2"/>
              </w:rPr>
              <w:t>49</w:t>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pStyle w:val="TableText"/>
              <w:ind w:right="4"/>
              <w:spacing w:before="118" w:line="277" w:lineRule="exact"/>
              <w:jc w:val="right"/>
              <w:rPr>
                <w:sz w:val="19"/>
                <w:szCs w:val="19"/>
              </w:rPr>
            </w:pPr>
            <w:r>
              <w:rPr>
                <w:sz w:val="19"/>
                <w:szCs w:val="19"/>
                <w:spacing w:val="1"/>
                <w:position w:val="2"/>
              </w:rPr>
              <w:t>279</w:t>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566" w:type="dxa"/>
            <w:vAlign w:val="top"/>
            <w:tcBorders>
              <w:right w:val="single" w:color="000000" w:sz="6" w:space="0"/>
            </w:tcBorders>
          </w:tcPr>
          <w:p>
            <w:pPr>
              <w:rPr>
                <w:rFonts w:ascii="Arial"/>
                <w:sz w:val="21"/>
              </w:rPr>
            </w:pPr>
            <w:r/>
          </w:p>
        </w:tc>
      </w:tr>
      <w:tr>
        <w:trPr>
          <w:trHeight w:val="406" w:hRule="atLeast"/>
        </w:trPr>
        <w:tc>
          <w:tcPr>
            <w:tcW w:w="2856" w:type="dxa"/>
            <w:vAlign w:val="top"/>
            <w:tcBorders>
              <w:left w:val="single" w:color="000000" w:sz="6" w:space="0"/>
            </w:tcBorders>
          </w:tcPr>
          <w:p>
            <w:pPr>
              <w:pStyle w:val="TableText"/>
              <w:ind w:left="8"/>
              <w:spacing w:before="122" w:line="218" w:lineRule="auto"/>
              <w:rPr>
                <w:sz w:val="19"/>
                <w:szCs w:val="19"/>
              </w:rPr>
            </w:pPr>
            <w:r>
              <w:rPr>
                <w:sz w:val="19"/>
                <w:szCs w:val="19"/>
                <w:spacing w:val="9"/>
              </w:rPr>
              <w:t>六、科学技术支出</w:t>
            </w:r>
          </w:p>
        </w:tc>
        <w:tc>
          <w:tcPr>
            <w:tcW w:w="567" w:type="dxa"/>
            <w:vAlign w:val="top"/>
          </w:tcPr>
          <w:p>
            <w:pPr>
              <w:pStyle w:val="TableText"/>
              <w:ind w:right="11"/>
              <w:spacing w:before="117" w:line="279" w:lineRule="exact"/>
              <w:jc w:val="right"/>
              <w:rPr>
                <w:sz w:val="19"/>
                <w:szCs w:val="19"/>
              </w:rPr>
            </w:pPr>
            <w:r>
              <w:rPr>
                <w:sz w:val="19"/>
                <w:szCs w:val="19"/>
                <w:spacing w:val="2"/>
                <w:position w:val="2"/>
              </w:rPr>
              <w:t>2547</w:t>
            </w:r>
          </w:p>
        </w:tc>
        <w:tc>
          <w:tcPr>
            <w:tcW w:w="621" w:type="dxa"/>
            <w:vAlign w:val="top"/>
          </w:tcPr>
          <w:p>
            <w:pPr>
              <w:pStyle w:val="TableText"/>
              <w:ind w:right="13"/>
              <w:spacing w:before="117" w:line="279" w:lineRule="exact"/>
              <w:jc w:val="right"/>
              <w:rPr>
                <w:sz w:val="19"/>
                <w:szCs w:val="19"/>
              </w:rPr>
            </w:pPr>
            <w:r>
              <w:rPr>
                <w:sz w:val="19"/>
                <w:szCs w:val="19"/>
                <w:position w:val="2"/>
              </w:rPr>
              <w:t>300</w:t>
            </w:r>
          </w:p>
        </w:tc>
        <w:tc>
          <w:tcPr>
            <w:tcW w:w="707" w:type="dxa"/>
            <w:vAlign w:val="top"/>
          </w:tcPr>
          <w:p>
            <w:pPr>
              <w:pStyle w:val="TableText"/>
              <w:ind w:right="12"/>
              <w:spacing w:before="117" w:line="279" w:lineRule="exact"/>
              <w:jc w:val="right"/>
              <w:rPr>
                <w:sz w:val="19"/>
                <w:szCs w:val="19"/>
              </w:rPr>
            </w:pPr>
            <w:r>
              <w:rPr>
                <w:sz w:val="19"/>
                <w:szCs w:val="19"/>
                <w:spacing w:val="-4"/>
                <w:position w:val="2"/>
              </w:rPr>
              <w:t>168</w:t>
            </w:r>
          </w:p>
        </w:tc>
        <w:tc>
          <w:tcPr>
            <w:tcW w:w="749" w:type="dxa"/>
            <w:vAlign w:val="top"/>
          </w:tcPr>
          <w:p>
            <w:pPr>
              <w:rPr>
                <w:rFonts w:ascii="Arial"/>
                <w:sz w:val="21"/>
              </w:rPr>
            </w:pPr>
            <w:r/>
          </w:p>
        </w:tc>
        <w:tc>
          <w:tcPr>
            <w:tcW w:w="750" w:type="dxa"/>
            <w:vAlign w:val="top"/>
          </w:tcPr>
          <w:p>
            <w:pPr>
              <w:pStyle w:val="TableText"/>
              <w:ind w:right="9"/>
              <w:spacing w:before="117" w:line="279" w:lineRule="exact"/>
              <w:jc w:val="right"/>
              <w:rPr>
                <w:sz w:val="19"/>
                <w:szCs w:val="19"/>
              </w:rPr>
            </w:pPr>
            <w:r>
              <w:rPr>
                <w:sz w:val="19"/>
                <w:szCs w:val="19"/>
                <w:position w:val="2"/>
              </w:rPr>
              <w:t>56</w:t>
            </w:r>
          </w:p>
        </w:tc>
        <w:tc>
          <w:tcPr>
            <w:tcW w:w="708" w:type="dxa"/>
            <w:vAlign w:val="top"/>
          </w:tcPr>
          <w:p>
            <w:pPr>
              <w:pStyle w:val="TableText"/>
              <w:ind w:right="9"/>
              <w:spacing w:before="117" w:line="279" w:lineRule="exact"/>
              <w:jc w:val="right"/>
              <w:rPr>
                <w:sz w:val="19"/>
                <w:szCs w:val="19"/>
              </w:rPr>
            </w:pPr>
            <w:r>
              <w:rPr>
                <w:sz w:val="19"/>
                <w:szCs w:val="19"/>
                <w:position w:val="2"/>
              </w:rPr>
              <w:t>53</w:t>
            </w:r>
          </w:p>
        </w:tc>
        <w:tc>
          <w:tcPr>
            <w:tcW w:w="708" w:type="dxa"/>
            <w:vAlign w:val="top"/>
          </w:tcPr>
          <w:p>
            <w:pPr>
              <w:rPr>
                <w:rFonts w:ascii="Arial"/>
                <w:sz w:val="21"/>
              </w:rPr>
            </w:pPr>
            <w:r/>
          </w:p>
        </w:tc>
        <w:tc>
          <w:tcPr>
            <w:tcW w:w="708" w:type="dxa"/>
            <w:vAlign w:val="top"/>
          </w:tcPr>
          <w:p>
            <w:pPr>
              <w:pStyle w:val="TableText"/>
              <w:ind w:right="6"/>
              <w:spacing w:before="117" w:line="279" w:lineRule="exact"/>
              <w:jc w:val="right"/>
              <w:rPr>
                <w:sz w:val="19"/>
                <w:szCs w:val="19"/>
              </w:rPr>
            </w:pPr>
            <w:r>
              <w:rPr>
                <w:sz w:val="19"/>
                <w:szCs w:val="19"/>
                <w:spacing w:val="-2"/>
                <w:position w:val="2"/>
              </w:rPr>
              <w:t>1970</w:t>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566" w:type="dxa"/>
            <w:vAlign w:val="top"/>
            <w:tcBorders>
              <w:right w:val="single" w:color="000000" w:sz="6" w:space="0"/>
            </w:tcBorders>
          </w:tcPr>
          <w:p>
            <w:pPr>
              <w:rPr>
                <w:rFonts w:ascii="Arial"/>
                <w:sz w:val="21"/>
              </w:rPr>
            </w:pPr>
            <w:r/>
          </w:p>
        </w:tc>
      </w:tr>
      <w:tr>
        <w:trPr>
          <w:trHeight w:val="405" w:hRule="atLeast"/>
        </w:trPr>
        <w:tc>
          <w:tcPr>
            <w:tcW w:w="2856" w:type="dxa"/>
            <w:vAlign w:val="top"/>
            <w:tcBorders>
              <w:left w:val="single" w:color="000000" w:sz="6" w:space="0"/>
            </w:tcBorders>
          </w:tcPr>
          <w:p>
            <w:pPr>
              <w:pStyle w:val="TableText"/>
              <w:ind w:left="7"/>
              <w:spacing w:before="121" w:line="223" w:lineRule="auto"/>
              <w:rPr>
                <w:sz w:val="19"/>
                <w:szCs w:val="19"/>
              </w:rPr>
            </w:pPr>
            <w:r>
              <w:rPr>
                <w:sz w:val="19"/>
                <w:szCs w:val="19"/>
                <w:spacing w:val="9"/>
              </w:rPr>
              <w:t>七、文化旅游体育与传媒支出</w:t>
            </w:r>
          </w:p>
        </w:tc>
        <w:tc>
          <w:tcPr>
            <w:tcW w:w="567" w:type="dxa"/>
            <w:vAlign w:val="top"/>
          </w:tcPr>
          <w:p>
            <w:pPr>
              <w:pStyle w:val="TableText"/>
              <w:ind w:right="11"/>
              <w:spacing w:before="119" w:line="276" w:lineRule="exact"/>
              <w:jc w:val="right"/>
              <w:rPr>
                <w:sz w:val="19"/>
                <w:szCs w:val="19"/>
              </w:rPr>
            </w:pPr>
            <w:r>
              <w:rPr>
                <w:sz w:val="19"/>
                <w:szCs w:val="19"/>
                <w:spacing w:val="2"/>
                <w:position w:val="2"/>
              </w:rPr>
              <w:t>5834</w:t>
            </w:r>
          </w:p>
        </w:tc>
        <w:tc>
          <w:tcPr>
            <w:tcW w:w="621" w:type="dxa"/>
            <w:vAlign w:val="top"/>
          </w:tcPr>
          <w:p>
            <w:pPr>
              <w:pStyle w:val="TableText"/>
              <w:ind w:right="13"/>
              <w:spacing w:before="119" w:line="276" w:lineRule="exact"/>
              <w:jc w:val="right"/>
              <w:rPr>
                <w:sz w:val="19"/>
                <w:szCs w:val="19"/>
              </w:rPr>
            </w:pPr>
            <w:r>
              <w:rPr>
                <w:sz w:val="19"/>
                <w:szCs w:val="19"/>
                <w:spacing w:val="1"/>
                <w:position w:val="2"/>
              </w:rPr>
              <w:t>535</w:t>
            </w:r>
          </w:p>
        </w:tc>
        <w:tc>
          <w:tcPr>
            <w:tcW w:w="707" w:type="dxa"/>
            <w:vAlign w:val="top"/>
          </w:tcPr>
          <w:p>
            <w:pPr>
              <w:pStyle w:val="TableText"/>
              <w:ind w:right="12"/>
              <w:spacing w:before="119" w:line="276" w:lineRule="exact"/>
              <w:jc w:val="right"/>
              <w:rPr>
                <w:sz w:val="19"/>
                <w:szCs w:val="19"/>
              </w:rPr>
            </w:pPr>
            <w:r>
              <w:rPr>
                <w:sz w:val="19"/>
                <w:szCs w:val="19"/>
                <w:spacing w:val="-2"/>
                <w:position w:val="2"/>
              </w:rPr>
              <w:t>1840</w:t>
            </w:r>
          </w:p>
        </w:tc>
        <w:tc>
          <w:tcPr>
            <w:tcW w:w="749" w:type="dxa"/>
            <w:vAlign w:val="top"/>
          </w:tcPr>
          <w:p>
            <w:pPr>
              <w:rPr>
                <w:rFonts w:ascii="Arial"/>
                <w:sz w:val="21"/>
              </w:rPr>
            </w:pPr>
            <w:r/>
          </w:p>
        </w:tc>
        <w:tc>
          <w:tcPr>
            <w:tcW w:w="750" w:type="dxa"/>
            <w:vAlign w:val="top"/>
          </w:tcPr>
          <w:p>
            <w:pPr>
              <w:rPr>
                <w:rFonts w:ascii="Arial"/>
                <w:sz w:val="21"/>
              </w:rPr>
            </w:pPr>
            <w:r/>
          </w:p>
        </w:tc>
        <w:tc>
          <w:tcPr>
            <w:tcW w:w="708" w:type="dxa"/>
            <w:vAlign w:val="top"/>
          </w:tcPr>
          <w:p>
            <w:pPr>
              <w:pStyle w:val="TableText"/>
              <w:ind w:right="9"/>
              <w:spacing w:before="119" w:line="276" w:lineRule="exact"/>
              <w:jc w:val="right"/>
              <w:rPr>
                <w:sz w:val="19"/>
                <w:szCs w:val="19"/>
              </w:rPr>
            </w:pPr>
            <w:r>
              <w:rPr>
                <w:sz w:val="19"/>
                <w:szCs w:val="19"/>
                <w:spacing w:val="1"/>
                <w:position w:val="2"/>
              </w:rPr>
              <w:t>3440</w:t>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pStyle w:val="TableText"/>
              <w:ind w:right="4"/>
              <w:spacing w:before="119" w:line="276" w:lineRule="exact"/>
              <w:jc w:val="right"/>
              <w:rPr>
                <w:sz w:val="19"/>
                <w:szCs w:val="19"/>
              </w:rPr>
            </w:pPr>
            <w:r>
              <w:rPr>
                <w:sz w:val="19"/>
                <w:szCs w:val="19"/>
                <w:spacing w:val="-8"/>
                <w:position w:val="2"/>
              </w:rPr>
              <w:t>19</w:t>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566" w:type="dxa"/>
            <w:vAlign w:val="top"/>
            <w:tcBorders>
              <w:right w:val="single" w:color="000000" w:sz="6" w:space="0"/>
            </w:tcBorders>
          </w:tcPr>
          <w:p>
            <w:pPr>
              <w:rPr>
                <w:rFonts w:ascii="Arial"/>
                <w:sz w:val="21"/>
              </w:rPr>
            </w:pPr>
            <w:r/>
          </w:p>
        </w:tc>
      </w:tr>
      <w:tr>
        <w:trPr>
          <w:trHeight w:val="406" w:hRule="atLeast"/>
        </w:trPr>
        <w:tc>
          <w:tcPr>
            <w:tcW w:w="2856" w:type="dxa"/>
            <w:vAlign w:val="top"/>
            <w:tcBorders>
              <w:left w:val="single" w:color="000000" w:sz="6" w:space="0"/>
            </w:tcBorders>
          </w:tcPr>
          <w:p>
            <w:pPr>
              <w:pStyle w:val="TableText"/>
              <w:ind w:left="6"/>
              <w:spacing w:before="121" w:line="222" w:lineRule="auto"/>
              <w:rPr>
                <w:sz w:val="19"/>
                <w:szCs w:val="19"/>
              </w:rPr>
            </w:pPr>
            <w:r>
              <w:rPr>
                <w:sz w:val="19"/>
                <w:szCs w:val="19"/>
                <w:spacing w:val="9"/>
              </w:rPr>
              <w:t>八、社会保障和就业支出</w:t>
            </w:r>
          </w:p>
        </w:tc>
        <w:tc>
          <w:tcPr>
            <w:tcW w:w="567" w:type="dxa"/>
            <w:vAlign w:val="top"/>
          </w:tcPr>
          <w:p>
            <w:pPr>
              <w:pStyle w:val="TableText"/>
              <w:ind w:left="52"/>
              <w:spacing w:before="119" w:line="277" w:lineRule="exact"/>
              <w:rPr>
                <w:sz w:val="19"/>
                <w:szCs w:val="19"/>
              </w:rPr>
            </w:pPr>
            <w:r>
              <w:rPr>
                <w:sz w:val="19"/>
                <w:szCs w:val="19"/>
                <w:spacing w:val="3"/>
                <w:position w:val="2"/>
              </w:rPr>
              <w:t>43677</w:t>
            </w:r>
          </w:p>
        </w:tc>
        <w:tc>
          <w:tcPr>
            <w:tcW w:w="621" w:type="dxa"/>
            <w:vAlign w:val="top"/>
          </w:tcPr>
          <w:p>
            <w:pPr>
              <w:pStyle w:val="TableText"/>
              <w:ind w:right="11"/>
              <w:spacing w:before="119" w:line="277" w:lineRule="exact"/>
              <w:jc w:val="right"/>
              <w:rPr>
                <w:sz w:val="19"/>
                <w:szCs w:val="19"/>
              </w:rPr>
            </w:pPr>
            <w:r>
              <w:rPr>
                <w:sz w:val="19"/>
                <w:szCs w:val="19"/>
                <w:spacing w:val="2"/>
                <w:position w:val="2"/>
              </w:rPr>
              <w:t>24067</w:t>
            </w:r>
          </w:p>
        </w:tc>
        <w:tc>
          <w:tcPr>
            <w:tcW w:w="707" w:type="dxa"/>
            <w:vAlign w:val="top"/>
          </w:tcPr>
          <w:p>
            <w:pPr>
              <w:pStyle w:val="TableText"/>
              <w:ind w:right="12"/>
              <w:spacing w:before="119" w:line="277" w:lineRule="exact"/>
              <w:jc w:val="right"/>
              <w:rPr>
                <w:sz w:val="19"/>
                <w:szCs w:val="19"/>
              </w:rPr>
            </w:pPr>
            <w:r>
              <w:rPr>
                <w:sz w:val="19"/>
                <w:szCs w:val="19"/>
                <w:spacing w:val="-2"/>
                <w:position w:val="2"/>
              </w:rPr>
              <w:t>1645</w:t>
            </w:r>
          </w:p>
        </w:tc>
        <w:tc>
          <w:tcPr>
            <w:tcW w:w="749" w:type="dxa"/>
            <w:vAlign w:val="top"/>
          </w:tcPr>
          <w:p>
            <w:pPr>
              <w:pStyle w:val="TableText"/>
              <w:ind w:right="5"/>
              <w:spacing w:before="119" w:line="277" w:lineRule="exact"/>
              <w:jc w:val="right"/>
              <w:rPr>
                <w:sz w:val="19"/>
                <w:szCs w:val="19"/>
              </w:rPr>
            </w:pPr>
            <w:r>
              <w:rPr>
                <w:sz w:val="19"/>
                <w:szCs w:val="19"/>
                <w:position w:val="2"/>
              </w:rPr>
              <w:t>3</w:t>
            </w:r>
          </w:p>
        </w:tc>
        <w:tc>
          <w:tcPr>
            <w:tcW w:w="750" w:type="dxa"/>
            <w:vAlign w:val="top"/>
          </w:tcPr>
          <w:p>
            <w:pPr>
              <w:rPr>
                <w:rFonts w:ascii="Arial"/>
                <w:sz w:val="21"/>
              </w:rPr>
            </w:pPr>
            <w:r/>
          </w:p>
        </w:tc>
        <w:tc>
          <w:tcPr>
            <w:tcW w:w="708" w:type="dxa"/>
            <w:vAlign w:val="top"/>
          </w:tcPr>
          <w:p>
            <w:pPr>
              <w:pStyle w:val="TableText"/>
              <w:ind w:right="9"/>
              <w:spacing w:before="119" w:line="277" w:lineRule="exact"/>
              <w:jc w:val="right"/>
              <w:rPr>
                <w:sz w:val="19"/>
                <w:szCs w:val="19"/>
              </w:rPr>
            </w:pPr>
            <w:r>
              <w:rPr>
                <w:sz w:val="19"/>
                <w:szCs w:val="19"/>
                <w:spacing w:val="1"/>
                <w:position w:val="2"/>
              </w:rPr>
              <w:t>8788</w:t>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pStyle w:val="TableText"/>
              <w:ind w:right="4"/>
              <w:spacing w:before="119" w:line="277" w:lineRule="exact"/>
              <w:jc w:val="right"/>
              <w:rPr>
                <w:sz w:val="19"/>
                <w:szCs w:val="19"/>
              </w:rPr>
            </w:pPr>
            <w:r>
              <w:rPr>
                <w:sz w:val="19"/>
                <w:szCs w:val="19"/>
                <w:spacing w:val="2"/>
                <w:position w:val="2"/>
              </w:rPr>
              <w:t>9174</w:t>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566" w:type="dxa"/>
            <w:vAlign w:val="top"/>
            <w:tcBorders>
              <w:right w:val="single" w:color="000000" w:sz="6" w:space="0"/>
            </w:tcBorders>
          </w:tcPr>
          <w:p>
            <w:pPr>
              <w:rPr>
                <w:rFonts w:ascii="Arial"/>
                <w:sz w:val="21"/>
              </w:rPr>
            </w:pPr>
            <w:r/>
          </w:p>
        </w:tc>
      </w:tr>
      <w:tr>
        <w:trPr>
          <w:trHeight w:val="406" w:hRule="atLeast"/>
        </w:trPr>
        <w:tc>
          <w:tcPr>
            <w:tcW w:w="2856" w:type="dxa"/>
            <w:vAlign w:val="top"/>
            <w:tcBorders>
              <w:left w:val="single" w:color="000000" w:sz="6" w:space="0"/>
            </w:tcBorders>
          </w:tcPr>
          <w:p>
            <w:pPr>
              <w:pStyle w:val="TableText"/>
              <w:ind w:left="10"/>
              <w:spacing w:before="123" w:line="223" w:lineRule="auto"/>
              <w:rPr>
                <w:sz w:val="19"/>
                <w:szCs w:val="19"/>
              </w:rPr>
            </w:pPr>
            <w:r>
              <w:rPr>
                <w:sz w:val="19"/>
                <w:szCs w:val="19"/>
                <w:spacing w:val="8"/>
              </w:rPr>
              <w:t>九、卫生健康支出</w:t>
            </w:r>
          </w:p>
        </w:tc>
        <w:tc>
          <w:tcPr>
            <w:tcW w:w="567" w:type="dxa"/>
            <w:vAlign w:val="top"/>
          </w:tcPr>
          <w:p>
            <w:pPr>
              <w:pStyle w:val="TableText"/>
              <w:ind w:left="58"/>
              <w:spacing w:before="120" w:line="276" w:lineRule="exact"/>
              <w:rPr>
                <w:sz w:val="19"/>
                <w:szCs w:val="19"/>
              </w:rPr>
            </w:pPr>
            <w:r>
              <w:rPr>
                <w:sz w:val="19"/>
                <w:szCs w:val="19"/>
                <w:spacing w:val="2"/>
                <w:position w:val="2"/>
              </w:rPr>
              <w:t>84945</w:t>
            </w:r>
          </w:p>
        </w:tc>
        <w:tc>
          <w:tcPr>
            <w:tcW w:w="621" w:type="dxa"/>
            <w:vAlign w:val="top"/>
          </w:tcPr>
          <w:p>
            <w:pPr>
              <w:pStyle w:val="TableText"/>
              <w:ind w:right="11"/>
              <w:spacing w:before="120" w:line="276" w:lineRule="exact"/>
              <w:jc w:val="right"/>
              <w:rPr>
                <w:sz w:val="19"/>
                <w:szCs w:val="19"/>
              </w:rPr>
            </w:pPr>
            <w:r>
              <w:rPr>
                <w:sz w:val="19"/>
                <w:szCs w:val="19"/>
                <w:spacing w:val="1"/>
                <w:position w:val="2"/>
              </w:rPr>
              <w:t>3431</w:t>
            </w:r>
          </w:p>
        </w:tc>
        <w:tc>
          <w:tcPr>
            <w:tcW w:w="707" w:type="dxa"/>
            <w:vAlign w:val="top"/>
          </w:tcPr>
          <w:p>
            <w:pPr>
              <w:pStyle w:val="TableText"/>
              <w:ind w:right="12"/>
              <w:spacing w:before="120" w:line="276" w:lineRule="exact"/>
              <w:jc w:val="right"/>
              <w:rPr>
                <w:sz w:val="19"/>
                <w:szCs w:val="19"/>
              </w:rPr>
            </w:pPr>
            <w:r>
              <w:rPr>
                <w:sz w:val="19"/>
                <w:szCs w:val="19"/>
                <w:position w:val="2"/>
              </w:rPr>
              <w:t>852</w:t>
            </w:r>
          </w:p>
        </w:tc>
        <w:tc>
          <w:tcPr>
            <w:tcW w:w="749" w:type="dxa"/>
            <w:vAlign w:val="top"/>
          </w:tcPr>
          <w:p>
            <w:pPr>
              <w:rPr>
                <w:rFonts w:ascii="Arial"/>
                <w:sz w:val="21"/>
              </w:rPr>
            </w:pPr>
            <w:r/>
          </w:p>
        </w:tc>
        <w:tc>
          <w:tcPr>
            <w:tcW w:w="750" w:type="dxa"/>
            <w:vAlign w:val="top"/>
          </w:tcPr>
          <w:p>
            <w:pPr>
              <w:rPr>
                <w:rFonts w:ascii="Arial"/>
                <w:sz w:val="21"/>
              </w:rPr>
            </w:pPr>
            <w:r/>
          </w:p>
        </w:tc>
        <w:tc>
          <w:tcPr>
            <w:tcW w:w="708" w:type="dxa"/>
            <w:vAlign w:val="top"/>
          </w:tcPr>
          <w:p>
            <w:pPr>
              <w:pStyle w:val="TableText"/>
              <w:ind w:right="9"/>
              <w:spacing w:before="120" w:line="276" w:lineRule="exact"/>
              <w:jc w:val="right"/>
              <w:rPr>
                <w:sz w:val="19"/>
                <w:szCs w:val="19"/>
              </w:rPr>
            </w:pPr>
            <w:r>
              <w:rPr>
                <w:sz w:val="19"/>
                <w:szCs w:val="19"/>
                <w:spacing w:val="-1"/>
                <w:position w:val="2"/>
              </w:rPr>
              <w:t>14686</w:t>
            </w:r>
          </w:p>
        </w:tc>
        <w:tc>
          <w:tcPr>
            <w:tcW w:w="708" w:type="dxa"/>
            <w:vAlign w:val="top"/>
          </w:tcPr>
          <w:p>
            <w:pPr>
              <w:pStyle w:val="TableText"/>
              <w:ind w:right="6"/>
              <w:spacing w:before="120" w:line="276" w:lineRule="exact"/>
              <w:jc w:val="right"/>
              <w:rPr>
                <w:sz w:val="19"/>
                <w:szCs w:val="19"/>
              </w:rPr>
            </w:pPr>
            <w:r>
              <w:rPr>
                <w:sz w:val="19"/>
                <w:szCs w:val="19"/>
                <w:position w:val="2"/>
              </w:rPr>
              <w:t>51</w:t>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pStyle w:val="TableText"/>
              <w:ind w:right="4"/>
              <w:spacing w:before="120" w:line="276" w:lineRule="exact"/>
              <w:jc w:val="right"/>
              <w:rPr>
                <w:sz w:val="19"/>
                <w:szCs w:val="19"/>
              </w:rPr>
            </w:pPr>
            <w:r>
              <w:rPr>
                <w:sz w:val="19"/>
                <w:szCs w:val="19"/>
                <w:spacing w:val="2"/>
                <w:position w:val="2"/>
              </w:rPr>
              <w:t>64605</w:t>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566" w:type="dxa"/>
            <w:vAlign w:val="top"/>
            <w:tcBorders>
              <w:right w:val="single" w:color="000000" w:sz="6" w:space="0"/>
            </w:tcBorders>
          </w:tcPr>
          <w:p>
            <w:pPr>
              <w:pStyle w:val="TableText"/>
              <w:ind w:right="6"/>
              <w:spacing w:before="120" w:line="276" w:lineRule="exact"/>
              <w:jc w:val="right"/>
              <w:rPr>
                <w:sz w:val="19"/>
                <w:szCs w:val="19"/>
              </w:rPr>
            </w:pPr>
            <w:r>
              <w:rPr>
                <w:sz w:val="19"/>
                <w:szCs w:val="19"/>
                <w:spacing w:val="-2"/>
                <w:position w:val="2"/>
              </w:rPr>
              <w:t>1320</w:t>
            </w:r>
          </w:p>
        </w:tc>
      </w:tr>
      <w:tr>
        <w:trPr>
          <w:trHeight w:val="406" w:hRule="atLeast"/>
        </w:trPr>
        <w:tc>
          <w:tcPr>
            <w:tcW w:w="2856" w:type="dxa"/>
            <w:vAlign w:val="top"/>
            <w:tcBorders>
              <w:left w:val="single" w:color="000000" w:sz="6" w:space="0"/>
            </w:tcBorders>
          </w:tcPr>
          <w:p>
            <w:pPr>
              <w:pStyle w:val="TableText"/>
              <w:ind w:left="15"/>
              <w:spacing w:before="127" w:line="220" w:lineRule="auto"/>
              <w:rPr>
                <w:sz w:val="19"/>
                <w:szCs w:val="19"/>
              </w:rPr>
            </w:pPr>
            <w:r>
              <w:rPr>
                <w:sz w:val="19"/>
                <w:szCs w:val="19"/>
                <w:spacing w:val="8"/>
              </w:rPr>
              <w:t>十、节能环保支出</w:t>
            </w:r>
          </w:p>
        </w:tc>
        <w:tc>
          <w:tcPr>
            <w:tcW w:w="567" w:type="dxa"/>
            <w:vAlign w:val="top"/>
          </w:tcPr>
          <w:p>
            <w:pPr>
              <w:pStyle w:val="TableText"/>
              <w:ind w:right="11"/>
              <w:spacing w:before="122" w:line="274" w:lineRule="exact"/>
              <w:jc w:val="right"/>
              <w:rPr>
                <w:sz w:val="19"/>
                <w:szCs w:val="19"/>
              </w:rPr>
            </w:pPr>
            <w:r>
              <w:rPr>
                <w:sz w:val="19"/>
                <w:szCs w:val="19"/>
                <w:spacing w:val="2"/>
                <w:position w:val="2"/>
              </w:rPr>
              <w:t>9683</w:t>
            </w:r>
          </w:p>
        </w:tc>
        <w:tc>
          <w:tcPr>
            <w:tcW w:w="621" w:type="dxa"/>
            <w:vAlign w:val="top"/>
          </w:tcPr>
          <w:p>
            <w:pPr>
              <w:pStyle w:val="TableText"/>
              <w:ind w:right="11"/>
              <w:spacing w:before="122" w:line="274" w:lineRule="exact"/>
              <w:jc w:val="right"/>
              <w:rPr>
                <w:sz w:val="19"/>
                <w:szCs w:val="19"/>
              </w:rPr>
            </w:pPr>
            <w:r>
              <w:rPr>
                <w:sz w:val="19"/>
                <w:szCs w:val="19"/>
                <w:spacing w:val="-2"/>
                <w:position w:val="2"/>
              </w:rPr>
              <w:t>1339</w:t>
            </w:r>
          </w:p>
        </w:tc>
        <w:tc>
          <w:tcPr>
            <w:tcW w:w="707" w:type="dxa"/>
            <w:vAlign w:val="top"/>
          </w:tcPr>
          <w:p>
            <w:pPr>
              <w:pStyle w:val="TableText"/>
              <w:ind w:right="12"/>
              <w:spacing w:before="122" w:line="274" w:lineRule="exact"/>
              <w:jc w:val="right"/>
              <w:rPr>
                <w:sz w:val="19"/>
                <w:szCs w:val="19"/>
              </w:rPr>
            </w:pPr>
            <w:r>
              <w:rPr>
                <w:sz w:val="19"/>
                <w:szCs w:val="19"/>
                <w:spacing w:val="-4"/>
                <w:position w:val="2"/>
              </w:rPr>
              <w:t>191</w:t>
            </w:r>
          </w:p>
        </w:tc>
        <w:tc>
          <w:tcPr>
            <w:tcW w:w="749" w:type="dxa"/>
            <w:vAlign w:val="top"/>
          </w:tcPr>
          <w:p>
            <w:pPr>
              <w:pStyle w:val="TableText"/>
              <w:ind w:right="10"/>
              <w:spacing w:before="122" w:line="274" w:lineRule="exact"/>
              <w:jc w:val="right"/>
              <w:rPr>
                <w:sz w:val="19"/>
                <w:szCs w:val="19"/>
              </w:rPr>
            </w:pPr>
            <w:r>
              <w:rPr>
                <w:sz w:val="19"/>
                <w:szCs w:val="19"/>
                <w:spacing w:val="2"/>
                <w:position w:val="2"/>
              </w:rPr>
              <w:t>6692</w:t>
            </w:r>
          </w:p>
        </w:tc>
        <w:tc>
          <w:tcPr>
            <w:tcW w:w="750" w:type="dxa"/>
            <w:vAlign w:val="top"/>
          </w:tcPr>
          <w:p>
            <w:pPr>
              <w:rPr>
                <w:rFonts w:ascii="Arial"/>
                <w:sz w:val="21"/>
              </w:rPr>
            </w:pPr>
            <w:r/>
          </w:p>
        </w:tc>
        <w:tc>
          <w:tcPr>
            <w:tcW w:w="708" w:type="dxa"/>
            <w:vAlign w:val="top"/>
          </w:tcPr>
          <w:p>
            <w:pPr>
              <w:pStyle w:val="TableText"/>
              <w:ind w:right="9"/>
              <w:spacing w:before="122" w:line="274" w:lineRule="exact"/>
              <w:jc w:val="right"/>
              <w:rPr>
                <w:sz w:val="19"/>
                <w:szCs w:val="19"/>
              </w:rPr>
            </w:pPr>
            <w:r>
              <w:rPr>
                <w:sz w:val="19"/>
                <w:szCs w:val="19"/>
                <w:spacing w:val="2"/>
                <w:position w:val="2"/>
              </w:rPr>
              <w:t>750</w:t>
            </w:r>
          </w:p>
        </w:tc>
        <w:tc>
          <w:tcPr>
            <w:tcW w:w="708" w:type="dxa"/>
            <w:vAlign w:val="top"/>
          </w:tcPr>
          <w:p>
            <w:pPr>
              <w:rPr>
                <w:rFonts w:ascii="Arial"/>
                <w:sz w:val="21"/>
              </w:rPr>
            </w:pPr>
            <w:r/>
          </w:p>
        </w:tc>
        <w:tc>
          <w:tcPr>
            <w:tcW w:w="708" w:type="dxa"/>
            <w:vAlign w:val="top"/>
          </w:tcPr>
          <w:p>
            <w:pPr>
              <w:pStyle w:val="TableText"/>
              <w:ind w:right="6"/>
              <w:spacing w:before="122" w:line="274" w:lineRule="exact"/>
              <w:jc w:val="right"/>
              <w:rPr>
                <w:sz w:val="19"/>
                <w:szCs w:val="19"/>
              </w:rPr>
            </w:pPr>
            <w:r>
              <w:rPr>
                <w:sz w:val="19"/>
                <w:szCs w:val="19"/>
                <w:spacing w:val="2"/>
                <w:position w:val="2"/>
              </w:rPr>
              <w:t>704</w:t>
            </w:r>
          </w:p>
        </w:tc>
        <w:tc>
          <w:tcPr>
            <w:tcW w:w="708" w:type="dxa"/>
            <w:vAlign w:val="top"/>
          </w:tcPr>
          <w:p>
            <w:pPr>
              <w:rPr>
                <w:rFonts w:ascii="Arial"/>
                <w:sz w:val="21"/>
              </w:rPr>
            </w:pPr>
            <w:r/>
          </w:p>
        </w:tc>
        <w:tc>
          <w:tcPr>
            <w:tcW w:w="708" w:type="dxa"/>
            <w:vAlign w:val="top"/>
          </w:tcPr>
          <w:p>
            <w:pPr>
              <w:pStyle w:val="TableText"/>
              <w:ind w:right="4"/>
              <w:spacing w:before="122" w:line="274" w:lineRule="exact"/>
              <w:jc w:val="right"/>
              <w:rPr>
                <w:sz w:val="19"/>
                <w:szCs w:val="19"/>
              </w:rPr>
            </w:pPr>
            <w:r>
              <w:rPr>
                <w:sz w:val="19"/>
                <w:szCs w:val="19"/>
                <w:position w:val="2"/>
              </w:rPr>
              <w:t>7</w:t>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566" w:type="dxa"/>
            <w:vAlign w:val="top"/>
            <w:tcBorders>
              <w:right w:val="single" w:color="000000" w:sz="6" w:space="0"/>
            </w:tcBorders>
          </w:tcPr>
          <w:p>
            <w:pPr>
              <w:rPr>
                <w:rFonts w:ascii="Arial"/>
                <w:sz w:val="21"/>
              </w:rPr>
            </w:pPr>
            <w:r/>
          </w:p>
        </w:tc>
      </w:tr>
      <w:tr>
        <w:trPr>
          <w:trHeight w:val="406" w:hRule="atLeast"/>
        </w:trPr>
        <w:tc>
          <w:tcPr>
            <w:tcW w:w="2856" w:type="dxa"/>
            <w:vAlign w:val="top"/>
            <w:tcBorders>
              <w:left w:val="single" w:color="000000" w:sz="6" w:space="0"/>
            </w:tcBorders>
          </w:tcPr>
          <w:p>
            <w:pPr>
              <w:pStyle w:val="TableText"/>
              <w:ind w:left="15"/>
              <w:spacing w:before="129" w:line="218" w:lineRule="auto"/>
              <w:rPr>
                <w:sz w:val="19"/>
                <w:szCs w:val="19"/>
              </w:rPr>
            </w:pPr>
            <w:r>
              <w:rPr>
                <w:sz w:val="19"/>
                <w:szCs w:val="19"/>
                <w:spacing w:val="8"/>
              </w:rPr>
              <w:t>十一、城乡社区支出</w:t>
            </w:r>
          </w:p>
        </w:tc>
        <w:tc>
          <w:tcPr>
            <w:tcW w:w="567" w:type="dxa"/>
            <w:vAlign w:val="top"/>
          </w:tcPr>
          <w:p>
            <w:pPr>
              <w:pStyle w:val="TableText"/>
              <w:ind w:right="11"/>
              <w:spacing w:before="124" w:line="272" w:lineRule="exact"/>
              <w:jc w:val="right"/>
              <w:rPr>
                <w:sz w:val="19"/>
                <w:szCs w:val="19"/>
              </w:rPr>
            </w:pPr>
            <w:r>
              <w:rPr>
                <w:sz w:val="19"/>
                <w:szCs w:val="19"/>
                <w:spacing w:val="-1"/>
                <w:position w:val="1"/>
              </w:rPr>
              <w:t>15040</w:t>
            </w:r>
          </w:p>
        </w:tc>
        <w:tc>
          <w:tcPr>
            <w:tcW w:w="621" w:type="dxa"/>
            <w:vAlign w:val="top"/>
          </w:tcPr>
          <w:p>
            <w:pPr>
              <w:pStyle w:val="TableText"/>
              <w:ind w:right="13"/>
              <w:spacing w:before="124" w:line="272" w:lineRule="exact"/>
              <w:jc w:val="right"/>
              <w:rPr>
                <w:sz w:val="19"/>
                <w:szCs w:val="19"/>
              </w:rPr>
            </w:pPr>
            <w:r>
              <w:rPr>
                <w:sz w:val="19"/>
                <w:szCs w:val="19"/>
                <w:position w:val="2"/>
              </w:rPr>
              <w:t>396</w:t>
            </w:r>
          </w:p>
        </w:tc>
        <w:tc>
          <w:tcPr>
            <w:tcW w:w="707" w:type="dxa"/>
            <w:vAlign w:val="top"/>
          </w:tcPr>
          <w:p>
            <w:pPr>
              <w:pStyle w:val="TableText"/>
              <w:ind w:right="12"/>
              <w:spacing w:before="124" w:line="272" w:lineRule="exact"/>
              <w:jc w:val="right"/>
              <w:rPr>
                <w:sz w:val="19"/>
                <w:szCs w:val="19"/>
              </w:rPr>
            </w:pPr>
            <w:r>
              <w:rPr>
                <w:sz w:val="19"/>
                <w:szCs w:val="19"/>
                <w:spacing w:val="-2"/>
                <w:position w:val="1"/>
              </w:rPr>
              <w:t>1521</w:t>
            </w:r>
          </w:p>
        </w:tc>
        <w:tc>
          <w:tcPr>
            <w:tcW w:w="749" w:type="dxa"/>
            <w:vAlign w:val="top"/>
          </w:tcPr>
          <w:p>
            <w:pPr>
              <w:pStyle w:val="TableText"/>
              <w:ind w:right="10"/>
              <w:spacing w:before="124" w:line="272" w:lineRule="exact"/>
              <w:jc w:val="right"/>
              <w:rPr>
                <w:sz w:val="19"/>
                <w:szCs w:val="19"/>
              </w:rPr>
            </w:pPr>
            <w:r>
              <w:rPr>
                <w:sz w:val="19"/>
                <w:szCs w:val="19"/>
                <w:spacing w:val="-2"/>
                <w:position w:val="1"/>
              </w:rPr>
              <w:t>1800</w:t>
            </w:r>
          </w:p>
        </w:tc>
        <w:tc>
          <w:tcPr>
            <w:tcW w:w="750" w:type="dxa"/>
            <w:vAlign w:val="top"/>
          </w:tcPr>
          <w:p>
            <w:pPr>
              <w:rPr>
                <w:rFonts w:ascii="Arial"/>
                <w:sz w:val="21"/>
              </w:rPr>
            </w:pPr>
            <w:r/>
          </w:p>
        </w:tc>
        <w:tc>
          <w:tcPr>
            <w:tcW w:w="708" w:type="dxa"/>
            <w:vAlign w:val="top"/>
          </w:tcPr>
          <w:p>
            <w:pPr>
              <w:pStyle w:val="TableText"/>
              <w:ind w:right="9"/>
              <w:spacing w:before="124" w:line="272" w:lineRule="exact"/>
              <w:jc w:val="right"/>
              <w:rPr>
                <w:sz w:val="19"/>
                <w:szCs w:val="19"/>
              </w:rPr>
            </w:pPr>
            <w:r>
              <w:rPr>
                <w:sz w:val="19"/>
                <w:szCs w:val="19"/>
                <w:spacing w:val="1"/>
                <w:position w:val="2"/>
              </w:rPr>
              <w:t>3736</w:t>
            </w:r>
          </w:p>
        </w:tc>
        <w:tc>
          <w:tcPr>
            <w:tcW w:w="708" w:type="dxa"/>
            <w:vAlign w:val="top"/>
          </w:tcPr>
          <w:p>
            <w:pPr>
              <w:pStyle w:val="TableText"/>
              <w:ind w:right="6"/>
              <w:spacing w:before="124" w:line="272" w:lineRule="exact"/>
              <w:jc w:val="right"/>
              <w:rPr>
                <w:sz w:val="19"/>
                <w:szCs w:val="19"/>
              </w:rPr>
            </w:pPr>
            <w:r>
              <w:rPr>
                <w:sz w:val="19"/>
                <w:szCs w:val="19"/>
                <w:position w:val="2"/>
              </w:rPr>
              <w:t>52</w:t>
            </w:r>
          </w:p>
        </w:tc>
        <w:tc>
          <w:tcPr>
            <w:tcW w:w="708" w:type="dxa"/>
            <w:vAlign w:val="top"/>
          </w:tcPr>
          <w:p>
            <w:pPr>
              <w:pStyle w:val="TableText"/>
              <w:ind w:right="6"/>
              <w:spacing w:before="124" w:line="272" w:lineRule="exact"/>
              <w:jc w:val="right"/>
              <w:rPr>
                <w:sz w:val="19"/>
                <w:szCs w:val="19"/>
              </w:rPr>
            </w:pPr>
            <w:r>
              <w:rPr>
                <w:sz w:val="19"/>
                <w:szCs w:val="19"/>
                <w:spacing w:val="3"/>
                <w:position w:val="1"/>
              </w:rPr>
              <w:t>4184</w:t>
            </w:r>
          </w:p>
        </w:tc>
        <w:tc>
          <w:tcPr>
            <w:tcW w:w="708" w:type="dxa"/>
            <w:vAlign w:val="top"/>
          </w:tcPr>
          <w:p>
            <w:pPr>
              <w:rPr>
                <w:rFonts w:ascii="Arial"/>
                <w:sz w:val="21"/>
              </w:rPr>
            </w:pPr>
            <w:r/>
          </w:p>
        </w:tc>
        <w:tc>
          <w:tcPr>
            <w:tcW w:w="708" w:type="dxa"/>
            <w:vAlign w:val="top"/>
          </w:tcPr>
          <w:p>
            <w:pPr>
              <w:pStyle w:val="TableText"/>
              <w:spacing w:before="124" w:line="272" w:lineRule="exact"/>
              <w:jc w:val="right"/>
              <w:rPr>
                <w:sz w:val="19"/>
                <w:szCs w:val="19"/>
              </w:rPr>
            </w:pPr>
            <w:r>
              <w:rPr>
                <w:sz w:val="19"/>
                <w:szCs w:val="19"/>
                <w:spacing w:val="-5"/>
                <w:position w:val="2"/>
              </w:rPr>
              <w:t>3</w:t>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566" w:type="dxa"/>
            <w:vAlign w:val="top"/>
            <w:tcBorders>
              <w:right w:val="single" w:color="000000" w:sz="6" w:space="0"/>
            </w:tcBorders>
          </w:tcPr>
          <w:p>
            <w:pPr>
              <w:pStyle w:val="TableText"/>
              <w:ind w:right="6"/>
              <w:spacing w:before="124" w:line="272" w:lineRule="exact"/>
              <w:jc w:val="right"/>
              <w:rPr>
                <w:sz w:val="19"/>
                <w:szCs w:val="19"/>
              </w:rPr>
            </w:pPr>
            <w:r>
              <w:rPr>
                <w:sz w:val="19"/>
                <w:szCs w:val="19"/>
                <w:spacing w:val="1"/>
                <w:position w:val="2"/>
              </w:rPr>
              <w:t>3348</w:t>
            </w:r>
          </w:p>
        </w:tc>
      </w:tr>
      <w:tr>
        <w:trPr>
          <w:trHeight w:val="406" w:hRule="atLeast"/>
        </w:trPr>
        <w:tc>
          <w:tcPr>
            <w:tcW w:w="2856" w:type="dxa"/>
            <w:vAlign w:val="top"/>
            <w:tcBorders>
              <w:left w:val="single" w:color="000000" w:sz="6" w:space="0"/>
            </w:tcBorders>
          </w:tcPr>
          <w:p>
            <w:pPr>
              <w:pStyle w:val="TableText"/>
              <w:ind w:left="15"/>
              <w:spacing w:before="128" w:line="218" w:lineRule="auto"/>
              <w:rPr>
                <w:sz w:val="19"/>
                <w:szCs w:val="19"/>
              </w:rPr>
            </w:pPr>
            <w:r>
              <w:rPr>
                <w:sz w:val="19"/>
                <w:szCs w:val="19"/>
                <w:spacing w:val="8"/>
              </w:rPr>
              <w:t>十二、农林水支出</w:t>
            </w:r>
          </w:p>
        </w:tc>
        <w:tc>
          <w:tcPr>
            <w:tcW w:w="567" w:type="dxa"/>
            <w:vAlign w:val="top"/>
          </w:tcPr>
          <w:p>
            <w:pPr>
              <w:pStyle w:val="TableText"/>
              <w:ind w:right="11"/>
              <w:spacing w:before="123" w:line="273" w:lineRule="exact"/>
              <w:jc w:val="right"/>
              <w:rPr>
                <w:sz w:val="19"/>
                <w:szCs w:val="19"/>
              </w:rPr>
            </w:pPr>
            <w:r>
              <w:rPr>
                <w:sz w:val="19"/>
                <w:szCs w:val="19"/>
                <w:spacing w:val="-1"/>
                <w:position w:val="2"/>
              </w:rPr>
              <w:t>13560</w:t>
            </w:r>
          </w:p>
        </w:tc>
        <w:tc>
          <w:tcPr>
            <w:tcW w:w="621" w:type="dxa"/>
            <w:vAlign w:val="top"/>
          </w:tcPr>
          <w:p>
            <w:pPr>
              <w:pStyle w:val="TableText"/>
              <w:ind w:right="13"/>
              <w:spacing w:before="123" w:line="273" w:lineRule="exact"/>
              <w:jc w:val="right"/>
              <w:rPr>
                <w:sz w:val="19"/>
                <w:szCs w:val="19"/>
              </w:rPr>
            </w:pPr>
            <w:r>
              <w:rPr>
                <w:sz w:val="19"/>
                <w:szCs w:val="19"/>
                <w:spacing w:val="1"/>
                <w:position w:val="2"/>
              </w:rPr>
              <w:t>928</w:t>
            </w:r>
          </w:p>
        </w:tc>
        <w:tc>
          <w:tcPr>
            <w:tcW w:w="707" w:type="dxa"/>
            <w:vAlign w:val="top"/>
          </w:tcPr>
          <w:p>
            <w:pPr>
              <w:pStyle w:val="TableText"/>
              <w:ind w:right="12"/>
              <w:spacing w:before="123" w:line="273" w:lineRule="exact"/>
              <w:jc w:val="right"/>
              <w:rPr>
                <w:sz w:val="19"/>
                <w:szCs w:val="19"/>
              </w:rPr>
            </w:pPr>
            <w:r>
              <w:rPr>
                <w:sz w:val="19"/>
                <w:szCs w:val="19"/>
                <w:spacing w:val="2"/>
                <w:position w:val="2"/>
              </w:rPr>
              <w:t>2362</w:t>
            </w:r>
          </w:p>
        </w:tc>
        <w:tc>
          <w:tcPr>
            <w:tcW w:w="749" w:type="dxa"/>
            <w:vAlign w:val="top"/>
          </w:tcPr>
          <w:p>
            <w:pPr>
              <w:pStyle w:val="TableText"/>
              <w:ind w:right="10"/>
              <w:spacing w:before="123" w:line="273" w:lineRule="exact"/>
              <w:jc w:val="right"/>
              <w:rPr>
                <w:sz w:val="19"/>
                <w:szCs w:val="19"/>
              </w:rPr>
            </w:pPr>
            <w:r>
              <w:rPr>
                <w:sz w:val="19"/>
                <w:szCs w:val="19"/>
                <w:spacing w:val="1"/>
                <w:position w:val="2"/>
              </w:rPr>
              <w:t>232</w:t>
            </w:r>
          </w:p>
        </w:tc>
        <w:tc>
          <w:tcPr>
            <w:tcW w:w="750" w:type="dxa"/>
            <w:vAlign w:val="top"/>
          </w:tcPr>
          <w:p>
            <w:pPr>
              <w:rPr>
                <w:rFonts w:ascii="Arial"/>
                <w:sz w:val="21"/>
              </w:rPr>
            </w:pPr>
            <w:r/>
          </w:p>
        </w:tc>
        <w:tc>
          <w:tcPr>
            <w:tcW w:w="708" w:type="dxa"/>
            <w:vAlign w:val="top"/>
          </w:tcPr>
          <w:p>
            <w:pPr>
              <w:pStyle w:val="TableText"/>
              <w:ind w:right="9"/>
              <w:spacing w:before="123" w:line="273" w:lineRule="exact"/>
              <w:jc w:val="right"/>
              <w:rPr>
                <w:sz w:val="19"/>
                <w:szCs w:val="19"/>
              </w:rPr>
            </w:pPr>
            <w:r>
              <w:rPr>
                <w:sz w:val="19"/>
                <w:szCs w:val="19"/>
                <w:spacing w:val="1"/>
                <w:position w:val="2"/>
              </w:rPr>
              <w:t>8928</w:t>
            </w:r>
          </w:p>
        </w:tc>
        <w:tc>
          <w:tcPr>
            <w:tcW w:w="708" w:type="dxa"/>
            <w:vAlign w:val="top"/>
          </w:tcPr>
          <w:p>
            <w:pPr>
              <w:pStyle w:val="TableText"/>
              <w:ind w:right="9"/>
              <w:spacing w:before="123" w:line="273" w:lineRule="exact"/>
              <w:jc w:val="right"/>
              <w:rPr>
                <w:sz w:val="19"/>
                <w:szCs w:val="19"/>
              </w:rPr>
            </w:pPr>
            <w:r>
              <w:rPr>
                <w:sz w:val="19"/>
                <w:szCs w:val="19"/>
                <w:spacing w:val="1"/>
                <w:position w:val="2"/>
              </w:rPr>
              <w:t>580</w:t>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pStyle w:val="TableText"/>
              <w:ind w:right="4"/>
              <w:spacing w:before="123" w:line="273" w:lineRule="exact"/>
              <w:jc w:val="right"/>
              <w:rPr>
                <w:sz w:val="19"/>
                <w:szCs w:val="19"/>
              </w:rPr>
            </w:pPr>
            <w:r>
              <w:rPr>
                <w:sz w:val="19"/>
                <w:szCs w:val="19"/>
                <w:spacing w:val="-1"/>
                <w:position w:val="2"/>
              </w:rPr>
              <w:t>30</w:t>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566" w:type="dxa"/>
            <w:vAlign w:val="top"/>
            <w:tcBorders>
              <w:right w:val="single" w:color="000000" w:sz="6" w:space="0"/>
            </w:tcBorders>
          </w:tcPr>
          <w:p>
            <w:pPr>
              <w:pStyle w:val="TableText"/>
              <w:ind w:right="6"/>
              <w:spacing w:before="123" w:line="273" w:lineRule="exact"/>
              <w:jc w:val="right"/>
              <w:rPr>
                <w:sz w:val="19"/>
                <w:szCs w:val="19"/>
              </w:rPr>
            </w:pPr>
            <w:r>
              <w:rPr>
                <w:sz w:val="19"/>
                <w:szCs w:val="19"/>
                <w:spacing w:val="1"/>
                <w:position w:val="2"/>
              </w:rPr>
              <w:t>500</w:t>
            </w:r>
          </w:p>
        </w:tc>
      </w:tr>
      <w:tr>
        <w:trPr>
          <w:trHeight w:val="416" w:hRule="atLeast"/>
        </w:trPr>
        <w:tc>
          <w:tcPr>
            <w:tcW w:w="2856" w:type="dxa"/>
            <w:vAlign w:val="top"/>
            <w:tcBorders>
              <w:left w:val="single" w:color="000000" w:sz="6" w:space="0"/>
              <w:bottom w:val="single" w:color="000000" w:sz="6" w:space="0"/>
            </w:tcBorders>
          </w:tcPr>
          <w:p>
            <w:pPr>
              <w:pStyle w:val="TableText"/>
              <w:ind w:left="15"/>
              <w:spacing w:before="130" w:line="218" w:lineRule="auto"/>
              <w:rPr>
                <w:sz w:val="19"/>
                <w:szCs w:val="19"/>
              </w:rPr>
            </w:pPr>
            <w:r>
              <w:rPr>
                <w:sz w:val="19"/>
                <w:szCs w:val="19"/>
                <w:spacing w:val="8"/>
              </w:rPr>
              <w:t>十三、交通运输支出</w:t>
            </w:r>
          </w:p>
        </w:tc>
        <w:tc>
          <w:tcPr>
            <w:tcW w:w="567" w:type="dxa"/>
            <w:vAlign w:val="top"/>
            <w:tcBorders>
              <w:bottom w:val="single" w:color="000000" w:sz="6" w:space="0"/>
            </w:tcBorders>
          </w:tcPr>
          <w:p>
            <w:pPr>
              <w:pStyle w:val="TableText"/>
              <w:ind w:right="11"/>
              <w:spacing w:before="124" w:line="282" w:lineRule="exact"/>
              <w:jc w:val="right"/>
              <w:rPr>
                <w:sz w:val="19"/>
                <w:szCs w:val="19"/>
              </w:rPr>
            </w:pPr>
            <w:r>
              <w:rPr>
                <w:sz w:val="19"/>
                <w:szCs w:val="19"/>
                <w:spacing w:val="2"/>
                <w:position w:val="2"/>
              </w:rPr>
              <w:t>6154</w:t>
            </w:r>
          </w:p>
        </w:tc>
        <w:tc>
          <w:tcPr>
            <w:tcW w:w="621" w:type="dxa"/>
            <w:vAlign w:val="top"/>
            <w:tcBorders>
              <w:bottom w:val="single" w:color="000000" w:sz="6" w:space="0"/>
            </w:tcBorders>
          </w:tcPr>
          <w:p>
            <w:pPr>
              <w:pStyle w:val="TableText"/>
              <w:ind w:right="13"/>
              <w:spacing w:before="124" w:line="282" w:lineRule="exact"/>
              <w:jc w:val="right"/>
              <w:rPr>
                <w:sz w:val="19"/>
                <w:szCs w:val="19"/>
              </w:rPr>
            </w:pPr>
            <w:r>
              <w:rPr>
                <w:sz w:val="19"/>
                <w:szCs w:val="19"/>
                <w:position w:val="2"/>
              </w:rPr>
              <w:t>303</w:t>
            </w:r>
          </w:p>
        </w:tc>
        <w:tc>
          <w:tcPr>
            <w:tcW w:w="707" w:type="dxa"/>
            <w:vAlign w:val="top"/>
            <w:tcBorders>
              <w:bottom w:val="single" w:color="000000" w:sz="6" w:space="0"/>
            </w:tcBorders>
          </w:tcPr>
          <w:p>
            <w:pPr>
              <w:pStyle w:val="TableText"/>
              <w:ind w:right="12"/>
              <w:spacing w:before="124" w:line="282" w:lineRule="exact"/>
              <w:jc w:val="right"/>
              <w:rPr>
                <w:sz w:val="19"/>
                <w:szCs w:val="19"/>
              </w:rPr>
            </w:pPr>
            <w:r>
              <w:rPr>
                <w:sz w:val="19"/>
                <w:szCs w:val="19"/>
                <w:spacing w:val="2"/>
                <w:position w:val="2"/>
              </w:rPr>
              <w:t>41</w:t>
            </w:r>
          </w:p>
        </w:tc>
        <w:tc>
          <w:tcPr>
            <w:tcW w:w="749" w:type="dxa"/>
            <w:vAlign w:val="top"/>
            <w:tcBorders>
              <w:bottom w:val="single" w:color="000000" w:sz="6" w:space="0"/>
            </w:tcBorders>
          </w:tcPr>
          <w:p>
            <w:pPr>
              <w:rPr>
                <w:rFonts w:ascii="Arial"/>
                <w:sz w:val="21"/>
              </w:rPr>
            </w:pPr>
            <w:r/>
          </w:p>
        </w:tc>
        <w:tc>
          <w:tcPr>
            <w:tcW w:w="750" w:type="dxa"/>
            <w:vAlign w:val="top"/>
            <w:tcBorders>
              <w:bottom w:val="single" w:color="000000" w:sz="6" w:space="0"/>
            </w:tcBorders>
          </w:tcPr>
          <w:p>
            <w:pPr>
              <w:rPr>
                <w:rFonts w:ascii="Arial"/>
                <w:sz w:val="21"/>
              </w:rPr>
            </w:pPr>
            <w:r/>
          </w:p>
        </w:tc>
        <w:tc>
          <w:tcPr>
            <w:tcW w:w="708" w:type="dxa"/>
            <w:vAlign w:val="top"/>
            <w:tcBorders>
              <w:bottom w:val="single" w:color="000000" w:sz="6" w:space="0"/>
            </w:tcBorders>
          </w:tcPr>
          <w:p>
            <w:pPr>
              <w:pStyle w:val="TableText"/>
              <w:ind w:right="9"/>
              <w:spacing w:before="124" w:line="282" w:lineRule="exact"/>
              <w:jc w:val="right"/>
              <w:rPr>
                <w:sz w:val="19"/>
                <w:szCs w:val="19"/>
              </w:rPr>
            </w:pPr>
            <w:r>
              <w:rPr>
                <w:sz w:val="19"/>
                <w:szCs w:val="19"/>
                <w:spacing w:val="-2"/>
                <w:position w:val="2"/>
              </w:rPr>
              <w:t>1108</w:t>
            </w:r>
          </w:p>
        </w:tc>
        <w:tc>
          <w:tcPr>
            <w:tcW w:w="708" w:type="dxa"/>
            <w:vAlign w:val="top"/>
            <w:tcBorders>
              <w:bottom w:val="single" w:color="000000" w:sz="6" w:space="0"/>
            </w:tcBorders>
          </w:tcPr>
          <w:p>
            <w:pPr>
              <w:rPr>
                <w:rFonts w:ascii="Arial"/>
                <w:sz w:val="21"/>
              </w:rPr>
            </w:pPr>
            <w:r/>
          </w:p>
        </w:tc>
        <w:tc>
          <w:tcPr>
            <w:tcW w:w="708" w:type="dxa"/>
            <w:vAlign w:val="top"/>
            <w:tcBorders>
              <w:bottom w:val="single" w:color="000000" w:sz="6" w:space="0"/>
            </w:tcBorders>
          </w:tcPr>
          <w:p>
            <w:pPr>
              <w:pStyle w:val="TableText"/>
              <w:ind w:right="6"/>
              <w:spacing w:before="124" w:line="282" w:lineRule="exact"/>
              <w:jc w:val="right"/>
              <w:rPr>
                <w:sz w:val="19"/>
                <w:szCs w:val="19"/>
              </w:rPr>
            </w:pPr>
            <w:r>
              <w:rPr>
                <w:sz w:val="19"/>
                <w:szCs w:val="19"/>
                <w:spacing w:val="3"/>
                <w:position w:val="2"/>
              </w:rPr>
              <w:t>4700</w:t>
            </w:r>
          </w:p>
        </w:tc>
        <w:tc>
          <w:tcPr>
            <w:tcW w:w="708" w:type="dxa"/>
            <w:vAlign w:val="top"/>
            <w:tcBorders>
              <w:bottom w:val="single" w:color="000000" w:sz="6" w:space="0"/>
            </w:tcBorders>
          </w:tcPr>
          <w:p>
            <w:pPr>
              <w:rPr>
                <w:rFonts w:ascii="Arial"/>
                <w:sz w:val="21"/>
              </w:rPr>
            </w:pPr>
            <w:r/>
          </w:p>
        </w:tc>
        <w:tc>
          <w:tcPr>
            <w:tcW w:w="708" w:type="dxa"/>
            <w:vAlign w:val="top"/>
            <w:tcBorders>
              <w:bottom w:val="single" w:color="000000" w:sz="6" w:space="0"/>
            </w:tcBorders>
          </w:tcPr>
          <w:p>
            <w:pPr>
              <w:pStyle w:val="TableText"/>
              <w:ind w:right="2"/>
              <w:spacing w:before="124" w:line="282" w:lineRule="exact"/>
              <w:jc w:val="right"/>
              <w:rPr>
                <w:sz w:val="19"/>
                <w:szCs w:val="19"/>
              </w:rPr>
            </w:pPr>
            <w:r>
              <w:rPr>
                <w:sz w:val="19"/>
                <w:szCs w:val="19"/>
                <w:position w:val="2"/>
              </w:rPr>
              <w:t>2</w:t>
            </w:r>
          </w:p>
        </w:tc>
        <w:tc>
          <w:tcPr>
            <w:tcW w:w="708" w:type="dxa"/>
            <w:vAlign w:val="top"/>
            <w:tcBorders>
              <w:bottom w:val="single" w:color="000000" w:sz="6" w:space="0"/>
            </w:tcBorders>
          </w:tcPr>
          <w:p>
            <w:pPr>
              <w:rPr>
                <w:rFonts w:ascii="Arial"/>
                <w:sz w:val="21"/>
              </w:rPr>
            </w:pPr>
            <w:r/>
          </w:p>
        </w:tc>
        <w:tc>
          <w:tcPr>
            <w:tcW w:w="708" w:type="dxa"/>
            <w:vAlign w:val="top"/>
            <w:tcBorders>
              <w:bottom w:val="single" w:color="000000" w:sz="6" w:space="0"/>
            </w:tcBorders>
          </w:tcPr>
          <w:p>
            <w:pPr>
              <w:rPr>
                <w:rFonts w:ascii="Arial"/>
                <w:sz w:val="21"/>
              </w:rPr>
            </w:pPr>
            <w:r/>
          </w:p>
        </w:tc>
        <w:tc>
          <w:tcPr>
            <w:tcW w:w="708" w:type="dxa"/>
            <w:vAlign w:val="top"/>
            <w:tcBorders>
              <w:bottom w:val="single" w:color="000000" w:sz="6" w:space="0"/>
            </w:tcBorders>
          </w:tcPr>
          <w:p>
            <w:pPr>
              <w:rPr>
                <w:rFonts w:ascii="Arial"/>
                <w:sz w:val="21"/>
              </w:rPr>
            </w:pPr>
            <w:r/>
          </w:p>
        </w:tc>
        <w:tc>
          <w:tcPr>
            <w:tcW w:w="708" w:type="dxa"/>
            <w:vAlign w:val="top"/>
            <w:tcBorders>
              <w:bottom w:val="single" w:color="000000" w:sz="6" w:space="0"/>
            </w:tcBorders>
          </w:tcPr>
          <w:p>
            <w:pPr>
              <w:rPr>
                <w:rFonts w:ascii="Arial"/>
                <w:sz w:val="21"/>
              </w:rPr>
            </w:pPr>
            <w:r/>
          </w:p>
        </w:tc>
        <w:tc>
          <w:tcPr>
            <w:tcW w:w="708" w:type="dxa"/>
            <w:vAlign w:val="top"/>
            <w:tcBorders>
              <w:bottom w:val="single" w:color="000000" w:sz="6" w:space="0"/>
            </w:tcBorders>
          </w:tcPr>
          <w:p>
            <w:pPr>
              <w:rPr>
                <w:rFonts w:ascii="Arial"/>
                <w:sz w:val="21"/>
              </w:rPr>
            </w:pPr>
            <w:r/>
          </w:p>
        </w:tc>
        <w:tc>
          <w:tcPr>
            <w:tcW w:w="566"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57"/>
          <w:footerReference w:type="default" r:id="rId84"/>
          <w:pgSz w:w="16839" w:h="11906"/>
          <w:pgMar w:top="1780" w:right="1463" w:bottom="1660" w:left="1463" w:header="1428" w:footer="1289" w:gutter="0"/>
        </w:sectPr>
        <w:rPr>
          <w:rFonts w:ascii="Arial" w:hAnsi="Arial" w:eastAsia="Arial" w:cs="Arial"/>
          <w:sz w:val="21"/>
          <w:szCs w:val="21"/>
        </w:rPr>
      </w:pPr>
    </w:p>
    <w:p>
      <w:pPr>
        <w:spacing w:before="51"/>
        <w:rPr/>
      </w:pPr>
      <w:r>
        <w:drawing>
          <wp:anchor distT="0" distB="0" distL="0" distR="0" simplePos="0" relativeHeight="251684864"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170" name="IM 170"/>
            <wp:cNvGraphicFramePr/>
            <a:graphic>
              <a:graphicData uri="http://schemas.openxmlformats.org/drawingml/2006/picture">
                <pic:pic>
                  <pic:nvPicPr>
                    <pic:cNvPr id="170" name="IM 170"/>
                    <pic:cNvPicPr/>
                  </pic:nvPicPr>
                  <pic:blipFill>
                    <a:blip r:embed="rId87"/>
                    <a:stretch>
                      <a:fillRect/>
                    </a:stretch>
                  </pic:blipFill>
                  <pic:spPr>
                    <a:xfrm rot="0">
                      <a:off x="0" y="0"/>
                      <a:ext cx="8712200" cy="7620"/>
                    </a:xfrm>
                    <a:prstGeom prst="rect">
                      <a:avLst/>
                    </a:prstGeom>
                  </pic:spPr>
                </pic:pic>
              </a:graphicData>
            </a:graphic>
          </wp:anchor>
        </w:drawing>
      </w: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56"/>
        <w:gridCol w:w="567"/>
        <w:gridCol w:w="621"/>
        <w:gridCol w:w="707"/>
        <w:gridCol w:w="749"/>
        <w:gridCol w:w="750"/>
        <w:gridCol w:w="708"/>
        <w:gridCol w:w="708"/>
        <w:gridCol w:w="708"/>
        <w:gridCol w:w="708"/>
        <w:gridCol w:w="708"/>
        <w:gridCol w:w="708"/>
        <w:gridCol w:w="708"/>
        <w:gridCol w:w="708"/>
        <w:gridCol w:w="708"/>
        <w:gridCol w:w="708"/>
        <w:gridCol w:w="566"/>
      </w:tblGrid>
      <w:tr>
        <w:trPr>
          <w:trHeight w:val="1114" w:hRule="atLeast"/>
        </w:trPr>
        <w:tc>
          <w:tcPr>
            <w:tcW w:w="2856" w:type="dxa"/>
            <w:vAlign w:val="top"/>
            <w:tcBorders>
              <w:left w:val="single" w:color="000000" w:sz="6" w:space="0"/>
              <w:top w:val="single" w:color="000000" w:sz="6" w:space="0"/>
            </w:tcBorders>
          </w:tcPr>
          <w:p>
            <w:pPr>
              <w:spacing w:line="413" w:lineRule="auto"/>
              <w:rPr>
                <w:rFonts w:ascii="Arial"/>
                <w:sz w:val="21"/>
              </w:rPr>
            </w:pPr>
            <w:r/>
          </w:p>
          <w:p>
            <w:pPr>
              <w:pStyle w:val="TableText"/>
              <w:ind w:left="1223"/>
              <w:spacing w:before="62" w:line="212" w:lineRule="auto"/>
              <w:rPr>
                <w:sz w:val="19"/>
                <w:szCs w:val="19"/>
              </w:rPr>
            </w:pPr>
            <w:r>
              <w:rPr>
                <w:sz w:val="19"/>
                <w:szCs w:val="19"/>
                <w:b/>
                <w:bCs/>
                <w:spacing w:val="6"/>
              </w:rPr>
              <w:t>项目</w:t>
            </w:r>
          </w:p>
        </w:tc>
        <w:tc>
          <w:tcPr>
            <w:tcW w:w="567" w:type="dxa"/>
            <w:vAlign w:val="top"/>
            <w:tcBorders>
              <w:top w:val="single" w:color="000000" w:sz="6" w:space="0"/>
            </w:tcBorders>
          </w:tcPr>
          <w:p>
            <w:pPr>
              <w:spacing w:line="409" w:lineRule="auto"/>
              <w:rPr>
                <w:rFonts w:ascii="Arial"/>
                <w:sz w:val="21"/>
              </w:rPr>
            </w:pPr>
            <w:r/>
          </w:p>
          <w:p>
            <w:pPr>
              <w:pStyle w:val="TableText"/>
              <w:ind w:left="83"/>
              <w:spacing w:before="62" w:line="220" w:lineRule="auto"/>
              <w:rPr>
                <w:sz w:val="19"/>
                <w:szCs w:val="19"/>
              </w:rPr>
            </w:pPr>
            <w:r>
              <w:rPr>
                <w:sz w:val="19"/>
                <w:szCs w:val="19"/>
                <w:b/>
                <w:bCs/>
                <w:spacing w:val="2"/>
              </w:rPr>
              <w:t>总计</w:t>
            </w:r>
          </w:p>
        </w:tc>
        <w:tc>
          <w:tcPr>
            <w:tcW w:w="621" w:type="dxa"/>
            <w:vAlign w:val="top"/>
            <w:tcBorders>
              <w:top w:val="single" w:color="000000" w:sz="6" w:space="0"/>
            </w:tcBorders>
          </w:tcPr>
          <w:p>
            <w:pPr>
              <w:pStyle w:val="TableText"/>
              <w:ind w:left="2"/>
              <w:spacing w:before="193" w:line="217" w:lineRule="auto"/>
              <w:rPr>
                <w:sz w:val="19"/>
                <w:szCs w:val="19"/>
              </w:rPr>
            </w:pPr>
            <w:r>
              <w:rPr>
                <w:sz w:val="19"/>
                <w:szCs w:val="19"/>
                <w:b/>
                <w:bCs/>
                <w:spacing w:val="6"/>
              </w:rPr>
              <w:t>机关工</w:t>
            </w:r>
          </w:p>
          <w:p>
            <w:pPr>
              <w:pStyle w:val="TableText"/>
              <w:ind w:left="5"/>
              <w:spacing w:before="56" w:line="222" w:lineRule="auto"/>
              <w:rPr>
                <w:sz w:val="19"/>
                <w:szCs w:val="19"/>
              </w:rPr>
            </w:pPr>
            <w:r>
              <w:rPr>
                <w:sz w:val="19"/>
                <w:szCs w:val="19"/>
                <w:b/>
                <w:bCs/>
                <w:spacing w:val="5"/>
              </w:rPr>
              <w:t>资福利</w:t>
            </w:r>
          </w:p>
          <w:p>
            <w:pPr>
              <w:pStyle w:val="TableText"/>
              <w:ind w:left="103"/>
              <w:spacing w:before="53" w:line="219" w:lineRule="auto"/>
              <w:rPr>
                <w:sz w:val="19"/>
                <w:szCs w:val="19"/>
              </w:rPr>
            </w:pPr>
            <w:r>
              <w:rPr>
                <w:sz w:val="19"/>
                <w:szCs w:val="19"/>
                <w:b/>
                <w:bCs/>
                <w:spacing w:val="5"/>
              </w:rPr>
              <w:t>支出</w:t>
            </w:r>
          </w:p>
        </w:tc>
        <w:tc>
          <w:tcPr>
            <w:tcW w:w="707" w:type="dxa"/>
            <w:vAlign w:val="top"/>
            <w:tcBorders>
              <w:top w:val="single" w:color="000000" w:sz="6" w:space="0"/>
            </w:tcBorders>
          </w:tcPr>
          <w:p>
            <w:pPr>
              <w:pStyle w:val="TableText"/>
              <w:ind w:left="44" w:right="56" w:firstLine="1"/>
              <w:spacing w:before="193" w:line="266" w:lineRule="auto"/>
              <w:jc w:val="both"/>
              <w:rPr>
                <w:sz w:val="19"/>
                <w:szCs w:val="19"/>
              </w:rPr>
            </w:pPr>
            <w:r>
              <w:rPr>
                <w:sz w:val="19"/>
                <w:szCs w:val="19"/>
                <w:b/>
                <w:bCs/>
                <w:spacing w:val="6"/>
              </w:rPr>
              <w:t>机关商</w:t>
            </w:r>
            <w:r>
              <w:rPr>
                <w:sz w:val="19"/>
                <w:szCs w:val="19"/>
                <w:b/>
                <w:bCs/>
                <w:spacing w:val="6"/>
              </w:rPr>
              <w:t>品和服</w:t>
            </w:r>
            <w:r>
              <w:rPr>
                <w:sz w:val="19"/>
                <w:szCs w:val="19"/>
                <w:b/>
                <w:bCs/>
                <w:spacing w:val="6"/>
              </w:rPr>
              <w:t>务支出</w:t>
            </w:r>
          </w:p>
        </w:tc>
        <w:tc>
          <w:tcPr>
            <w:tcW w:w="749" w:type="dxa"/>
            <w:vAlign w:val="top"/>
            <w:tcBorders>
              <w:top w:val="single" w:color="000000" w:sz="6" w:space="0"/>
            </w:tcBorders>
          </w:tcPr>
          <w:p>
            <w:pPr>
              <w:pStyle w:val="TableText"/>
              <w:ind w:left="68"/>
              <w:spacing w:before="191" w:line="220" w:lineRule="auto"/>
              <w:rPr>
                <w:sz w:val="19"/>
                <w:szCs w:val="19"/>
              </w:rPr>
            </w:pPr>
            <w:r>
              <w:rPr>
                <w:sz w:val="19"/>
                <w:szCs w:val="19"/>
                <w:b/>
                <w:bCs/>
                <w:spacing w:val="6"/>
              </w:rPr>
              <w:t>机关资</w:t>
            </w:r>
          </w:p>
          <w:p>
            <w:pPr>
              <w:pStyle w:val="TableText"/>
              <w:ind w:left="18" w:firstLine="44"/>
              <w:spacing w:before="57" w:line="289" w:lineRule="auto"/>
              <w:rPr>
                <w:sz w:val="19"/>
                <w:szCs w:val="19"/>
              </w:rPr>
            </w:pPr>
            <w:r>
              <w:rPr>
                <w:sz w:val="19"/>
                <w:szCs w:val="19"/>
                <w:b/>
                <w:bCs/>
                <w:spacing w:val="-10"/>
              </w:rPr>
              <w:t>本性支</w:t>
            </w:r>
            <w:r>
              <w:rPr>
                <w:sz w:val="19"/>
                <w:szCs w:val="19"/>
                <w:b/>
                <w:bCs/>
                <w:spacing w:val="-12"/>
              </w:rPr>
              <w:t>出（一）</w:t>
            </w:r>
          </w:p>
        </w:tc>
        <w:tc>
          <w:tcPr>
            <w:tcW w:w="750" w:type="dxa"/>
            <w:vAlign w:val="top"/>
            <w:tcBorders>
              <w:top w:val="single" w:color="000000" w:sz="6" w:space="0"/>
            </w:tcBorders>
          </w:tcPr>
          <w:p>
            <w:pPr>
              <w:pStyle w:val="TableText"/>
              <w:ind w:left="68"/>
              <w:spacing w:before="191" w:line="220" w:lineRule="auto"/>
              <w:rPr>
                <w:sz w:val="19"/>
                <w:szCs w:val="19"/>
              </w:rPr>
            </w:pPr>
            <w:r>
              <w:rPr>
                <w:sz w:val="19"/>
                <w:szCs w:val="19"/>
                <w:b/>
                <w:bCs/>
                <w:spacing w:val="6"/>
              </w:rPr>
              <w:t>机关资</w:t>
            </w:r>
          </w:p>
          <w:p>
            <w:pPr>
              <w:pStyle w:val="TableText"/>
              <w:ind w:left="18" w:firstLine="44"/>
              <w:spacing w:before="57" w:line="289" w:lineRule="auto"/>
              <w:rPr>
                <w:sz w:val="19"/>
                <w:szCs w:val="19"/>
              </w:rPr>
            </w:pPr>
            <w:r>
              <w:rPr>
                <w:sz w:val="19"/>
                <w:szCs w:val="19"/>
                <w:b/>
                <w:bCs/>
                <w:spacing w:val="-10"/>
              </w:rPr>
              <w:t>本性支</w:t>
            </w:r>
            <w:r>
              <w:rPr>
                <w:sz w:val="19"/>
                <w:szCs w:val="19"/>
                <w:b/>
                <w:bCs/>
                <w:spacing w:val="-12"/>
              </w:rPr>
              <w:t>出（二）</w:t>
            </w:r>
          </w:p>
        </w:tc>
        <w:tc>
          <w:tcPr>
            <w:tcW w:w="708" w:type="dxa"/>
            <w:vAlign w:val="top"/>
            <w:tcBorders>
              <w:top w:val="single" w:color="000000" w:sz="6" w:space="0"/>
            </w:tcBorders>
          </w:tcPr>
          <w:p>
            <w:pPr>
              <w:pStyle w:val="TableText"/>
              <w:ind w:left="39" w:right="37" w:firstLine="6"/>
              <w:spacing w:before="192" w:line="274" w:lineRule="auto"/>
              <w:jc w:val="both"/>
              <w:rPr>
                <w:sz w:val="19"/>
                <w:szCs w:val="19"/>
              </w:rPr>
            </w:pPr>
            <w:r>
              <w:rPr>
                <w:sz w:val="19"/>
                <w:szCs w:val="19"/>
                <w:b/>
                <w:bCs/>
                <w:spacing w:val="6"/>
              </w:rPr>
              <w:t>对事业</w:t>
            </w:r>
            <w:r>
              <w:rPr>
                <w:sz w:val="19"/>
                <w:szCs w:val="19"/>
                <w:b/>
                <w:bCs/>
                <w:spacing w:val="9"/>
              </w:rPr>
              <w:t>单位经</w:t>
            </w:r>
            <w:r>
              <w:rPr>
                <w:sz w:val="19"/>
                <w:szCs w:val="19"/>
                <w:b/>
                <w:bCs/>
                <w:spacing w:val="-14"/>
                <w:w w:val="88"/>
              </w:rPr>
              <w:t>常性补助</w:t>
            </w:r>
          </w:p>
        </w:tc>
        <w:tc>
          <w:tcPr>
            <w:tcW w:w="708" w:type="dxa"/>
            <w:vAlign w:val="top"/>
            <w:tcBorders>
              <w:top w:val="single" w:color="000000" w:sz="6" w:space="0"/>
            </w:tcBorders>
          </w:tcPr>
          <w:p>
            <w:pPr>
              <w:pStyle w:val="TableText"/>
              <w:ind w:left="35" w:right="35" w:firstLine="12"/>
              <w:spacing w:before="193" w:line="273" w:lineRule="auto"/>
              <w:jc w:val="both"/>
              <w:rPr>
                <w:sz w:val="19"/>
                <w:szCs w:val="19"/>
              </w:rPr>
            </w:pPr>
            <w:r>
              <w:rPr>
                <w:sz w:val="19"/>
                <w:szCs w:val="19"/>
                <w:b/>
                <w:bCs/>
                <w:spacing w:val="6"/>
              </w:rPr>
              <w:t>对事业</w:t>
            </w:r>
            <w:r>
              <w:rPr>
                <w:sz w:val="19"/>
                <w:szCs w:val="19"/>
                <w:b/>
                <w:bCs/>
                <w:spacing w:val="11"/>
              </w:rPr>
              <w:t>单位资</w:t>
            </w:r>
            <w:r>
              <w:rPr>
                <w:sz w:val="19"/>
                <w:szCs w:val="19"/>
                <w:b/>
                <w:bCs/>
                <w:spacing w:val="-13"/>
                <w:w w:val="88"/>
              </w:rPr>
              <w:t>本性补助</w:t>
            </w:r>
          </w:p>
        </w:tc>
        <w:tc>
          <w:tcPr>
            <w:tcW w:w="708" w:type="dxa"/>
            <w:vAlign w:val="top"/>
            <w:tcBorders>
              <w:top w:val="single" w:color="000000" w:sz="6" w:space="0"/>
            </w:tcBorders>
          </w:tcPr>
          <w:p>
            <w:pPr>
              <w:spacing w:line="274" w:lineRule="auto"/>
              <w:rPr>
                <w:rFonts w:ascii="Arial"/>
                <w:sz w:val="21"/>
              </w:rPr>
            </w:pPr>
            <w:r/>
          </w:p>
          <w:p>
            <w:pPr>
              <w:pStyle w:val="TableText"/>
              <w:ind w:left="151" w:right="52" w:hanging="103"/>
              <w:spacing w:before="62" w:line="274" w:lineRule="auto"/>
              <w:rPr>
                <w:sz w:val="19"/>
                <w:szCs w:val="19"/>
              </w:rPr>
            </w:pPr>
            <w:r>
              <w:rPr>
                <w:sz w:val="19"/>
                <w:szCs w:val="19"/>
                <w:b/>
                <w:bCs/>
                <w:spacing w:val="6"/>
              </w:rPr>
              <w:t>对企业</w:t>
            </w:r>
            <w:r>
              <w:rPr>
                <w:sz w:val="19"/>
                <w:szCs w:val="19"/>
                <w:b/>
                <w:bCs/>
                <w:spacing w:val="5"/>
              </w:rPr>
              <w:t>补助</w:t>
            </w:r>
          </w:p>
        </w:tc>
        <w:tc>
          <w:tcPr>
            <w:tcW w:w="708" w:type="dxa"/>
            <w:vAlign w:val="top"/>
            <w:tcBorders>
              <w:top w:val="single" w:color="000000" w:sz="6" w:space="0"/>
            </w:tcBorders>
          </w:tcPr>
          <w:p>
            <w:pPr>
              <w:pStyle w:val="TableText"/>
              <w:ind w:left="50"/>
              <w:spacing w:before="196" w:line="213" w:lineRule="auto"/>
              <w:rPr>
                <w:sz w:val="19"/>
                <w:szCs w:val="19"/>
              </w:rPr>
            </w:pPr>
            <w:r>
              <w:rPr>
                <w:sz w:val="19"/>
                <w:szCs w:val="19"/>
                <w:b/>
                <w:bCs/>
                <w:spacing w:val="6"/>
              </w:rPr>
              <w:t>对企业</w:t>
            </w:r>
          </w:p>
          <w:p>
            <w:pPr>
              <w:pStyle w:val="TableText"/>
              <w:ind w:left="56"/>
              <w:spacing w:before="56" w:line="220" w:lineRule="auto"/>
              <w:rPr>
                <w:sz w:val="19"/>
                <w:szCs w:val="19"/>
              </w:rPr>
            </w:pPr>
            <w:r>
              <w:rPr>
                <w:sz w:val="19"/>
                <w:szCs w:val="19"/>
                <w:b/>
                <w:bCs/>
                <w:spacing w:val="5"/>
              </w:rPr>
              <w:t>资本性</w:t>
            </w:r>
          </w:p>
          <w:p>
            <w:pPr>
              <w:pStyle w:val="TableText"/>
              <w:ind w:left="151"/>
              <w:spacing w:before="56" w:line="219" w:lineRule="auto"/>
              <w:rPr>
                <w:sz w:val="19"/>
                <w:szCs w:val="19"/>
              </w:rPr>
            </w:pPr>
            <w:r>
              <w:rPr>
                <w:sz w:val="19"/>
                <w:szCs w:val="19"/>
                <w:b/>
                <w:bCs/>
                <w:spacing w:val="5"/>
              </w:rPr>
              <w:t>支出</w:t>
            </w:r>
          </w:p>
        </w:tc>
        <w:tc>
          <w:tcPr>
            <w:tcW w:w="708" w:type="dxa"/>
            <w:vAlign w:val="top"/>
            <w:tcBorders>
              <w:top w:val="single" w:color="000000" w:sz="6" w:space="0"/>
            </w:tcBorders>
          </w:tcPr>
          <w:p>
            <w:pPr>
              <w:pStyle w:val="TableText"/>
              <w:ind w:left="57" w:right="50" w:hanging="7"/>
              <w:spacing w:before="194" w:line="273" w:lineRule="auto"/>
              <w:rPr>
                <w:sz w:val="19"/>
                <w:szCs w:val="19"/>
              </w:rPr>
            </w:pPr>
            <w:r>
              <w:rPr>
                <w:sz w:val="19"/>
                <w:szCs w:val="19"/>
                <w:b/>
                <w:bCs/>
                <w:spacing w:val="6"/>
              </w:rPr>
              <w:t>对个人</w:t>
            </w:r>
            <w:r>
              <w:rPr>
                <w:sz w:val="19"/>
                <w:szCs w:val="19"/>
                <w:b/>
                <w:bCs/>
                <w:spacing w:val="4"/>
              </w:rPr>
              <w:t>和家庭</w:t>
            </w:r>
          </w:p>
          <w:p>
            <w:pPr>
              <w:pStyle w:val="TableText"/>
              <w:ind w:left="67"/>
              <w:spacing w:line="215" w:lineRule="auto"/>
              <w:rPr>
                <w:sz w:val="19"/>
                <w:szCs w:val="19"/>
              </w:rPr>
            </w:pPr>
            <w:r>
              <w:rPr>
                <w:sz w:val="19"/>
                <w:szCs w:val="19"/>
                <w:b/>
                <w:bCs/>
                <w:spacing w:val="1"/>
              </w:rPr>
              <w:t>的补助</w:t>
            </w:r>
          </w:p>
        </w:tc>
        <w:tc>
          <w:tcPr>
            <w:tcW w:w="708" w:type="dxa"/>
            <w:vAlign w:val="top"/>
            <w:tcBorders>
              <w:top w:val="single" w:color="000000" w:sz="6" w:space="0"/>
            </w:tcBorders>
          </w:tcPr>
          <w:p>
            <w:pPr>
              <w:pStyle w:val="TableText"/>
              <w:ind w:left="52" w:right="48"/>
              <w:spacing w:before="194" w:line="273" w:lineRule="auto"/>
              <w:rPr>
                <w:sz w:val="19"/>
                <w:szCs w:val="19"/>
              </w:rPr>
            </w:pPr>
            <w:r>
              <w:rPr>
                <w:sz w:val="19"/>
                <w:szCs w:val="19"/>
                <w:b/>
                <w:bCs/>
                <w:spacing w:val="6"/>
              </w:rPr>
              <w:t>对社会</w:t>
            </w:r>
            <w:r>
              <w:rPr>
                <w:sz w:val="19"/>
                <w:szCs w:val="19"/>
                <w:b/>
                <w:bCs/>
                <w:spacing w:val="7"/>
              </w:rPr>
              <w:t>保障基</w:t>
            </w:r>
          </w:p>
          <w:p>
            <w:pPr>
              <w:pStyle w:val="TableText"/>
              <w:ind w:left="54"/>
              <w:spacing w:line="215" w:lineRule="auto"/>
              <w:rPr>
                <w:sz w:val="19"/>
                <w:szCs w:val="19"/>
              </w:rPr>
            </w:pPr>
            <w:r>
              <w:rPr>
                <w:sz w:val="19"/>
                <w:szCs w:val="19"/>
                <w:b/>
                <w:bCs/>
                <w:spacing w:val="6"/>
              </w:rPr>
              <w:t>金补助</w:t>
            </w:r>
          </w:p>
        </w:tc>
        <w:tc>
          <w:tcPr>
            <w:tcW w:w="708" w:type="dxa"/>
            <w:vAlign w:val="top"/>
            <w:tcBorders>
              <w:top w:val="single" w:color="000000" w:sz="6" w:space="0"/>
            </w:tcBorders>
          </w:tcPr>
          <w:p>
            <w:pPr>
              <w:pStyle w:val="TableText"/>
              <w:ind w:left="56" w:right="48" w:hanging="2"/>
              <w:spacing w:before="193" w:line="273" w:lineRule="auto"/>
              <w:rPr>
                <w:sz w:val="19"/>
                <w:szCs w:val="19"/>
              </w:rPr>
            </w:pPr>
            <w:r>
              <w:rPr>
                <w:sz w:val="19"/>
                <w:szCs w:val="19"/>
                <w:b/>
                <w:bCs/>
                <w:spacing w:val="6"/>
              </w:rPr>
              <w:t>债务利</w:t>
            </w:r>
            <w:r>
              <w:rPr>
                <w:sz w:val="19"/>
                <w:szCs w:val="19"/>
                <w:b/>
                <w:bCs/>
                <w:spacing w:val="5"/>
              </w:rPr>
              <w:t>息及费</w:t>
            </w:r>
          </w:p>
          <w:p>
            <w:pPr>
              <w:pStyle w:val="TableText"/>
              <w:ind w:left="54"/>
              <w:spacing w:line="218" w:lineRule="auto"/>
              <w:rPr>
                <w:sz w:val="19"/>
                <w:szCs w:val="19"/>
              </w:rPr>
            </w:pPr>
            <w:r>
              <w:rPr>
                <w:sz w:val="19"/>
                <w:szCs w:val="19"/>
                <w:b/>
                <w:bCs/>
                <w:spacing w:val="6"/>
              </w:rPr>
              <w:t>用支出</w:t>
            </w:r>
          </w:p>
        </w:tc>
        <w:tc>
          <w:tcPr>
            <w:tcW w:w="708" w:type="dxa"/>
            <w:vAlign w:val="top"/>
            <w:tcBorders>
              <w:top w:val="single" w:color="000000" w:sz="6" w:space="0"/>
            </w:tcBorders>
          </w:tcPr>
          <w:p>
            <w:pPr>
              <w:spacing w:line="271" w:lineRule="auto"/>
              <w:rPr>
                <w:rFonts w:ascii="Arial"/>
                <w:sz w:val="21"/>
              </w:rPr>
            </w:pPr>
            <w:r/>
          </w:p>
          <w:p>
            <w:pPr>
              <w:pStyle w:val="TableText"/>
              <w:ind w:left="53" w:right="48"/>
              <w:spacing w:before="62" w:line="272" w:lineRule="auto"/>
              <w:rPr>
                <w:sz w:val="19"/>
                <w:szCs w:val="19"/>
              </w:rPr>
            </w:pPr>
            <w:r>
              <w:rPr>
                <w:sz w:val="19"/>
                <w:szCs w:val="19"/>
                <w:b/>
                <w:bCs/>
                <w:spacing w:val="6"/>
              </w:rPr>
              <w:t>债务还</w:t>
            </w:r>
            <w:r>
              <w:rPr>
                <w:sz w:val="19"/>
                <w:szCs w:val="19"/>
                <w:b/>
                <w:bCs/>
                <w:spacing w:val="6"/>
              </w:rPr>
              <w:t>本支出</w:t>
            </w:r>
          </w:p>
        </w:tc>
        <w:tc>
          <w:tcPr>
            <w:tcW w:w="708" w:type="dxa"/>
            <w:vAlign w:val="top"/>
            <w:tcBorders>
              <w:top w:val="single" w:color="000000" w:sz="6" w:space="0"/>
            </w:tcBorders>
          </w:tcPr>
          <w:p>
            <w:pPr>
              <w:spacing w:line="271" w:lineRule="auto"/>
              <w:rPr>
                <w:rFonts w:ascii="Arial"/>
                <w:sz w:val="21"/>
              </w:rPr>
            </w:pPr>
            <w:r/>
          </w:p>
          <w:p>
            <w:pPr>
              <w:pStyle w:val="TableText"/>
              <w:ind w:left="156" w:right="45" w:hanging="99"/>
              <w:spacing w:before="62" w:line="273" w:lineRule="auto"/>
              <w:rPr>
                <w:sz w:val="19"/>
                <w:szCs w:val="19"/>
              </w:rPr>
            </w:pPr>
            <w:r>
              <w:rPr>
                <w:sz w:val="19"/>
                <w:szCs w:val="19"/>
                <w:b/>
                <w:bCs/>
                <w:spacing w:val="6"/>
              </w:rPr>
              <w:t>转移性</w:t>
            </w:r>
            <w:r>
              <w:rPr>
                <w:sz w:val="19"/>
                <w:szCs w:val="19"/>
                <w:b/>
                <w:bCs/>
                <w:spacing w:val="5"/>
              </w:rPr>
              <w:t>支出</w:t>
            </w:r>
          </w:p>
        </w:tc>
        <w:tc>
          <w:tcPr>
            <w:tcW w:w="708" w:type="dxa"/>
            <w:vAlign w:val="top"/>
            <w:tcBorders>
              <w:top w:val="single" w:color="000000" w:sz="6" w:space="0"/>
            </w:tcBorders>
          </w:tcPr>
          <w:p>
            <w:pPr>
              <w:spacing w:line="270" w:lineRule="auto"/>
              <w:rPr>
                <w:rFonts w:ascii="Arial"/>
                <w:sz w:val="21"/>
              </w:rPr>
            </w:pPr>
            <w:r/>
          </w:p>
          <w:p>
            <w:pPr>
              <w:pStyle w:val="TableText"/>
              <w:ind w:left="54" w:right="45" w:firstLine="5"/>
              <w:spacing w:before="62" w:line="272" w:lineRule="auto"/>
              <w:rPr>
                <w:sz w:val="19"/>
                <w:szCs w:val="19"/>
              </w:rPr>
            </w:pPr>
            <w:r>
              <w:rPr>
                <w:sz w:val="19"/>
                <w:szCs w:val="19"/>
                <w:b/>
                <w:bCs/>
                <w:spacing w:val="5"/>
              </w:rPr>
              <w:t>预备费</w:t>
            </w:r>
            <w:r>
              <w:rPr>
                <w:sz w:val="19"/>
                <w:szCs w:val="19"/>
                <w:b/>
                <w:bCs/>
                <w:spacing w:val="7"/>
              </w:rPr>
              <w:t>及预留</w:t>
            </w:r>
          </w:p>
        </w:tc>
        <w:tc>
          <w:tcPr>
            <w:tcW w:w="566" w:type="dxa"/>
            <w:vAlign w:val="top"/>
            <w:tcBorders>
              <w:right w:val="single" w:color="000000" w:sz="6" w:space="0"/>
              <w:top w:val="single" w:color="000000" w:sz="6" w:space="0"/>
            </w:tcBorders>
          </w:tcPr>
          <w:p>
            <w:pPr>
              <w:spacing w:line="269" w:lineRule="auto"/>
              <w:rPr>
                <w:rFonts w:ascii="Arial"/>
                <w:sz w:val="21"/>
              </w:rPr>
            </w:pPr>
            <w:r/>
          </w:p>
          <w:p>
            <w:pPr>
              <w:pStyle w:val="TableText"/>
              <w:ind w:left="84" w:right="74" w:hanging="2"/>
              <w:spacing w:before="62" w:line="273" w:lineRule="auto"/>
              <w:rPr>
                <w:sz w:val="19"/>
                <w:szCs w:val="19"/>
              </w:rPr>
            </w:pPr>
            <w:r>
              <w:rPr>
                <w:sz w:val="19"/>
                <w:szCs w:val="19"/>
                <w:b/>
                <w:bCs/>
                <w:spacing w:val="6"/>
              </w:rPr>
              <w:t>其他</w:t>
            </w:r>
            <w:r>
              <w:rPr>
                <w:sz w:val="19"/>
                <w:szCs w:val="19"/>
                <w:b/>
                <w:bCs/>
                <w:spacing w:val="5"/>
              </w:rPr>
              <w:t>支出</w:t>
            </w:r>
          </w:p>
        </w:tc>
      </w:tr>
      <w:tr>
        <w:trPr>
          <w:trHeight w:val="472" w:hRule="atLeast"/>
        </w:trPr>
        <w:tc>
          <w:tcPr>
            <w:tcW w:w="2856" w:type="dxa"/>
            <w:vAlign w:val="top"/>
            <w:tcBorders>
              <w:left w:val="single" w:color="000000" w:sz="6" w:space="0"/>
            </w:tcBorders>
          </w:tcPr>
          <w:p>
            <w:pPr>
              <w:pStyle w:val="TableText"/>
              <w:ind w:left="15"/>
              <w:spacing w:before="149" w:line="223" w:lineRule="auto"/>
              <w:rPr>
                <w:sz w:val="19"/>
                <w:szCs w:val="19"/>
              </w:rPr>
            </w:pPr>
            <w:r>
              <w:rPr>
                <w:sz w:val="19"/>
                <w:szCs w:val="19"/>
                <w:spacing w:val="-7"/>
              </w:rPr>
              <w:t>十四、资源勘探工业信息等支出</w:t>
            </w:r>
          </w:p>
        </w:tc>
        <w:tc>
          <w:tcPr>
            <w:tcW w:w="567" w:type="dxa"/>
            <w:vAlign w:val="top"/>
          </w:tcPr>
          <w:p>
            <w:pPr>
              <w:pStyle w:val="TableText"/>
              <w:ind w:right="11"/>
              <w:spacing w:before="146" w:line="285" w:lineRule="exact"/>
              <w:jc w:val="right"/>
              <w:rPr>
                <w:sz w:val="19"/>
                <w:szCs w:val="19"/>
              </w:rPr>
            </w:pPr>
            <w:r>
              <w:rPr>
                <w:sz w:val="19"/>
                <w:szCs w:val="19"/>
                <w:spacing w:val="-2"/>
                <w:position w:val="2"/>
              </w:rPr>
              <w:t>1045</w:t>
            </w:r>
          </w:p>
        </w:tc>
        <w:tc>
          <w:tcPr>
            <w:tcW w:w="621" w:type="dxa"/>
            <w:vAlign w:val="top"/>
          </w:tcPr>
          <w:p>
            <w:pPr>
              <w:pStyle w:val="TableText"/>
              <w:ind w:right="13"/>
              <w:spacing w:before="146" w:line="285" w:lineRule="exact"/>
              <w:jc w:val="right"/>
              <w:rPr>
                <w:sz w:val="19"/>
                <w:szCs w:val="19"/>
              </w:rPr>
            </w:pPr>
            <w:r>
              <w:rPr>
                <w:sz w:val="19"/>
                <w:szCs w:val="19"/>
                <w:spacing w:val="1"/>
                <w:position w:val="2"/>
              </w:rPr>
              <w:t>297</w:t>
            </w:r>
          </w:p>
        </w:tc>
        <w:tc>
          <w:tcPr>
            <w:tcW w:w="707" w:type="dxa"/>
            <w:vAlign w:val="top"/>
          </w:tcPr>
          <w:p>
            <w:pPr>
              <w:pStyle w:val="TableText"/>
              <w:ind w:right="12"/>
              <w:spacing w:before="146" w:line="285" w:lineRule="exact"/>
              <w:jc w:val="right"/>
              <w:rPr>
                <w:sz w:val="19"/>
                <w:szCs w:val="19"/>
              </w:rPr>
            </w:pPr>
            <w:r>
              <w:rPr>
                <w:sz w:val="19"/>
                <w:szCs w:val="19"/>
                <w:spacing w:val="-1"/>
                <w:position w:val="2"/>
              </w:rPr>
              <w:t>83</w:t>
            </w:r>
          </w:p>
        </w:tc>
        <w:tc>
          <w:tcPr>
            <w:tcW w:w="749" w:type="dxa"/>
            <w:vAlign w:val="top"/>
          </w:tcPr>
          <w:p>
            <w:pPr>
              <w:rPr>
                <w:rFonts w:ascii="Arial"/>
                <w:sz w:val="21"/>
              </w:rPr>
            </w:pPr>
            <w:r/>
          </w:p>
        </w:tc>
        <w:tc>
          <w:tcPr>
            <w:tcW w:w="750"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pStyle w:val="TableText"/>
              <w:ind w:right="6"/>
              <w:spacing w:before="146" w:line="285" w:lineRule="exact"/>
              <w:jc w:val="right"/>
              <w:rPr>
                <w:sz w:val="19"/>
                <w:szCs w:val="19"/>
              </w:rPr>
            </w:pPr>
            <w:r>
              <w:rPr>
                <w:sz w:val="19"/>
                <w:szCs w:val="19"/>
                <w:spacing w:val="1"/>
                <w:position w:val="2"/>
              </w:rPr>
              <w:t>664</w:t>
            </w:r>
          </w:p>
        </w:tc>
        <w:tc>
          <w:tcPr>
            <w:tcW w:w="708" w:type="dxa"/>
            <w:vAlign w:val="top"/>
          </w:tcPr>
          <w:p>
            <w:pPr>
              <w:rPr>
                <w:rFonts w:ascii="Arial"/>
                <w:sz w:val="21"/>
              </w:rPr>
            </w:pPr>
            <w:r/>
          </w:p>
        </w:tc>
        <w:tc>
          <w:tcPr>
            <w:tcW w:w="708" w:type="dxa"/>
            <w:vAlign w:val="top"/>
          </w:tcPr>
          <w:p>
            <w:pPr>
              <w:pStyle w:val="TableText"/>
              <w:spacing w:before="146" w:line="287" w:lineRule="exact"/>
              <w:jc w:val="right"/>
              <w:rPr>
                <w:sz w:val="19"/>
                <w:szCs w:val="19"/>
              </w:rPr>
            </w:pPr>
            <w:r>
              <w:rPr>
                <w:sz w:val="19"/>
                <w:szCs w:val="19"/>
                <w:spacing w:val="-18"/>
                <w:position w:val="2"/>
              </w:rPr>
              <w:t>1</w:t>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566" w:type="dxa"/>
            <w:vAlign w:val="top"/>
            <w:tcBorders>
              <w:right w:val="single" w:color="000000" w:sz="6" w:space="0"/>
            </w:tcBorders>
          </w:tcPr>
          <w:p>
            <w:pPr>
              <w:rPr>
                <w:rFonts w:ascii="Arial"/>
                <w:sz w:val="21"/>
              </w:rPr>
            </w:pPr>
            <w:r/>
          </w:p>
        </w:tc>
      </w:tr>
      <w:tr>
        <w:trPr>
          <w:trHeight w:val="473" w:hRule="atLeast"/>
        </w:trPr>
        <w:tc>
          <w:tcPr>
            <w:tcW w:w="2856" w:type="dxa"/>
            <w:vAlign w:val="top"/>
            <w:tcBorders>
              <w:left w:val="single" w:color="000000" w:sz="6" w:space="0"/>
            </w:tcBorders>
          </w:tcPr>
          <w:p>
            <w:pPr>
              <w:pStyle w:val="TableText"/>
              <w:ind w:left="15"/>
              <w:spacing w:before="151" w:line="221" w:lineRule="auto"/>
              <w:rPr>
                <w:sz w:val="19"/>
                <w:szCs w:val="19"/>
              </w:rPr>
            </w:pPr>
            <w:r>
              <w:rPr>
                <w:sz w:val="19"/>
                <w:szCs w:val="19"/>
                <w:spacing w:val="8"/>
              </w:rPr>
              <w:t>十五、商业服务业等支出</w:t>
            </w:r>
          </w:p>
        </w:tc>
        <w:tc>
          <w:tcPr>
            <w:tcW w:w="567" w:type="dxa"/>
            <w:vAlign w:val="top"/>
          </w:tcPr>
          <w:p>
            <w:pPr>
              <w:pStyle w:val="TableText"/>
              <w:ind w:right="11"/>
              <w:spacing w:before="147" w:line="285" w:lineRule="exact"/>
              <w:jc w:val="right"/>
              <w:rPr>
                <w:sz w:val="19"/>
                <w:szCs w:val="19"/>
              </w:rPr>
            </w:pPr>
            <w:r>
              <w:rPr>
                <w:sz w:val="19"/>
                <w:szCs w:val="19"/>
                <w:spacing w:val="2"/>
                <w:position w:val="2"/>
              </w:rPr>
              <w:t>2466</w:t>
            </w:r>
          </w:p>
        </w:tc>
        <w:tc>
          <w:tcPr>
            <w:tcW w:w="621" w:type="dxa"/>
            <w:vAlign w:val="top"/>
          </w:tcPr>
          <w:p>
            <w:pPr>
              <w:rPr>
                <w:rFonts w:ascii="Arial"/>
                <w:sz w:val="21"/>
              </w:rPr>
            </w:pPr>
            <w:r/>
          </w:p>
        </w:tc>
        <w:tc>
          <w:tcPr>
            <w:tcW w:w="707" w:type="dxa"/>
            <w:vAlign w:val="top"/>
          </w:tcPr>
          <w:p>
            <w:pPr>
              <w:pStyle w:val="TableText"/>
              <w:ind w:right="12"/>
              <w:spacing w:before="147" w:line="285" w:lineRule="exact"/>
              <w:jc w:val="right"/>
              <w:rPr>
                <w:sz w:val="19"/>
                <w:szCs w:val="19"/>
              </w:rPr>
            </w:pPr>
            <w:r>
              <w:rPr>
                <w:sz w:val="19"/>
                <w:szCs w:val="19"/>
                <w:spacing w:val="-4"/>
                <w:position w:val="2"/>
              </w:rPr>
              <w:t>100</w:t>
            </w:r>
          </w:p>
        </w:tc>
        <w:tc>
          <w:tcPr>
            <w:tcW w:w="749" w:type="dxa"/>
            <w:vAlign w:val="top"/>
          </w:tcPr>
          <w:p>
            <w:pPr>
              <w:rPr>
                <w:rFonts w:ascii="Arial"/>
                <w:sz w:val="21"/>
              </w:rPr>
            </w:pPr>
            <w:r/>
          </w:p>
        </w:tc>
        <w:tc>
          <w:tcPr>
            <w:tcW w:w="750" w:type="dxa"/>
            <w:vAlign w:val="top"/>
          </w:tcPr>
          <w:p>
            <w:pPr>
              <w:rPr>
                <w:rFonts w:ascii="Arial"/>
                <w:sz w:val="21"/>
              </w:rPr>
            </w:pPr>
            <w:r/>
          </w:p>
        </w:tc>
        <w:tc>
          <w:tcPr>
            <w:tcW w:w="708" w:type="dxa"/>
            <w:vAlign w:val="top"/>
          </w:tcPr>
          <w:p>
            <w:pPr>
              <w:pStyle w:val="TableText"/>
              <w:ind w:right="9"/>
              <w:spacing w:before="147" w:line="285" w:lineRule="exact"/>
              <w:jc w:val="right"/>
              <w:rPr>
                <w:sz w:val="19"/>
                <w:szCs w:val="19"/>
              </w:rPr>
            </w:pPr>
            <w:r>
              <w:rPr>
                <w:sz w:val="19"/>
                <w:szCs w:val="19"/>
                <w:spacing w:val="-4"/>
                <w:position w:val="2"/>
              </w:rPr>
              <w:t>109</w:t>
            </w:r>
          </w:p>
        </w:tc>
        <w:tc>
          <w:tcPr>
            <w:tcW w:w="708" w:type="dxa"/>
            <w:vAlign w:val="top"/>
          </w:tcPr>
          <w:p>
            <w:pPr>
              <w:rPr>
                <w:rFonts w:ascii="Arial"/>
                <w:sz w:val="21"/>
              </w:rPr>
            </w:pPr>
            <w:r/>
          </w:p>
        </w:tc>
        <w:tc>
          <w:tcPr>
            <w:tcW w:w="708" w:type="dxa"/>
            <w:vAlign w:val="top"/>
          </w:tcPr>
          <w:p>
            <w:pPr>
              <w:pStyle w:val="TableText"/>
              <w:ind w:right="6"/>
              <w:spacing w:before="147" w:line="285" w:lineRule="exact"/>
              <w:jc w:val="right"/>
              <w:rPr>
                <w:sz w:val="19"/>
                <w:szCs w:val="19"/>
              </w:rPr>
            </w:pPr>
            <w:r>
              <w:rPr>
                <w:sz w:val="19"/>
                <w:szCs w:val="19"/>
                <w:position w:val="2"/>
              </w:rPr>
              <w:t>823</w:t>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566" w:type="dxa"/>
            <w:vAlign w:val="top"/>
            <w:tcBorders>
              <w:right w:val="single" w:color="000000" w:sz="6" w:space="0"/>
            </w:tcBorders>
          </w:tcPr>
          <w:p>
            <w:pPr>
              <w:pStyle w:val="TableText"/>
              <w:ind w:right="6"/>
              <w:spacing w:before="147" w:line="285" w:lineRule="exact"/>
              <w:jc w:val="right"/>
              <w:rPr>
                <w:sz w:val="19"/>
                <w:szCs w:val="19"/>
              </w:rPr>
            </w:pPr>
            <w:r>
              <w:rPr>
                <w:sz w:val="19"/>
                <w:szCs w:val="19"/>
                <w:spacing w:val="-2"/>
                <w:position w:val="2"/>
              </w:rPr>
              <w:t>1434</w:t>
            </w:r>
          </w:p>
        </w:tc>
      </w:tr>
      <w:tr>
        <w:trPr>
          <w:trHeight w:val="473" w:hRule="atLeast"/>
        </w:trPr>
        <w:tc>
          <w:tcPr>
            <w:tcW w:w="2856" w:type="dxa"/>
            <w:vAlign w:val="top"/>
            <w:tcBorders>
              <w:left w:val="single" w:color="000000" w:sz="6" w:space="0"/>
            </w:tcBorders>
          </w:tcPr>
          <w:p>
            <w:pPr>
              <w:pStyle w:val="TableText"/>
              <w:ind w:left="15"/>
              <w:spacing w:before="154" w:line="219" w:lineRule="auto"/>
              <w:rPr>
                <w:sz w:val="19"/>
                <w:szCs w:val="19"/>
              </w:rPr>
            </w:pPr>
            <w:r>
              <w:rPr>
                <w:sz w:val="19"/>
                <w:szCs w:val="19"/>
                <w:spacing w:val="8"/>
              </w:rPr>
              <w:t>十六、金融支出</w:t>
            </w:r>
          </w:p>
        </w:tc>
        <w:tc>
          <w:tcPr>
            <w:tcW w:w="567" w:type="dxa"/>
            <w:vAlign w:val="top"/>
          </w:tcPr>
          <w:p>
            <w:pPr>
              <w:pStyle w:val="TableText"/>
              <w:ind w:right="11"/>
              <w:spacing w:before="148" w:line="286" w:lineRule="exact"/>
              <w:jc w:val="right"/>
              <w:rPr>
                <w:sz w:val="19"/>
                <w:szCs w:val="19"/>
              </w:rPr>
            </w:pPr>
            <w:r>
              <w:rPr>
                <w:sz w:val="19"/>
                <w:szCs w:val="19"/>
                <w:spacing w:val="-4"/>
                <w:position w:val="2"/>
              </w:rPr>
              <w:t>160</w:t>
            </w:r>
          </w:p>
        </w:tc>
        <w:tc>
          <w:tcPr>
            <w:tcW w:w="621" w:type="dxa"/>
            <w:vAlign w:val="top"/>
          </w:tcPr>
          <w:p>
            <w:pPr>
              <w:rPr>
                <w:rFonts w:ascii="Arial"/>
                <w:sz w:val="21"/>
              </w:rPr>
            </w:pPr>
            <w:r/>
          </w:p>
        </w:tc>
        <w:tc>
          <w:tcPr>
            <w:tcW w:w="707" w:type="dxa"/>
            <w:vAlign w:val="top"/>
          </w:tcPr>
          <w:p>
            <w:pPr>
              <w:pStyle w:val="TableText"/>
              <w:ind w:right="12"/>
              <w:spacing w:before="148" w:line="286" w:lineRule="exact"/>
              <w:jc w:val="right"/>
              <w:rPr>
                <w:sz w:val="19"/>
                <w:szCs w:val="19"/>
              </w:rPr>
            </w:pPr>
            <w:r>
              <w:rPr>
                <w:sz w:val="19"/>
                <w:szCs w:val="19"/>
                <w:spacing w:val="-4"/>
                <w:position w:val="2"/>
              </w:rPr>
              <w:t>160</w:t>
            </w:r>
          </w:p>
        </w:tc>
        <w:tc>
          <w:tcPr>
            <w:tcW w:w="749" w:type="dxa"/>
            <w:vAlign w:val="top"/>
          </w:tcPr>
          <w:p>
            <w:pPr>
              <w:rPr>
                <w:rFonts w:ascii="Arial"/>
                <w:sz w:val="21"/>
              </w:rPr>
            </w:pPr>
            <w:r/>
          </w:p>
        </w:tc>
        <w:tc>
          <w:tcPr>
            <w:tcW w:w="750"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566" w:type="dxa"/>
            <w:vAlign w:val="top"/>
            <w:tcBorders>
              <w:right w:val="single" w:color="000000" w:sz="6" w:space="0"/>
            </w:tcBorders>
          </w:tcPr>
          <w:p>
            <w:pPr>
              <w:rPr>
                <w:rFonts w:ascii="Arial"/>
                <w:sz w:val="21"/>
              </w:rPr>
            </w:pPr>
            <w:r/>
          </w:p>
        </w:tc>
      </w:tr>
      <w:tr>
        <w:trPr>
          <w:trHeight w:val="473" w:hRule="atLeast"/>
        </w:trPr>
        <w:tc>
          <w:tcPr>
            <w:tcW w:w="2856" w:type="dxa"/>
            <w:vAlign w:val="top"/>
            <w:tcBorders>
              <w:left w:val="single" w:color="000000" w:sz="6" w:space="0"/>
            </w:tcBorders>
          </w:tcPr>
          <w:p>
            <w:pPr>
              <w:pStyle w:val="TableText"/>
              <w:ind w:left="15"/>
              <w:spacing w:before="152" w:line="222" w:lineRule="auto"/>
              <w:rPr>
                <w:sz w:val="19"/>
                <w:szCs w:val="19"/>
              </w:rPr>
            </w:pPr>
            <w:r>
              <w:rPr>
                <w:sz w:val="19"/>
                <w:szCs w:val="19"/>
                <w:spacing w:val="8"/>
              </w:rPr>
              <w:t>十七、援助其他地区支出</w:t>
            </w:r>
          </w:p>
        </w:tc>
        <w:tc>
          <w:tcPr>
            <w:tcW w:w="567" w:type="dxa"/>
            <w:vAlign w:val="top"/>
          </w:tcPr>
          <w:p>
            <w:pPr>
              <w:rPr>
                <w:rFonts w:ascii="Arial"/>
                <w:sz w:val="21"/>
              </w:rPr>
            </w:pPr>
            <w:r/>
          </w:p>
        </w:tc>
        <w:tc>
          <w:tcPr>
            <w:tcW w:w="621" w:type="dxa"/>
            <w:vAlign w:val="top"/>
          </w:tcPr>
          <w:p>
            <w:pPr>
              <w:rPr>
                <w:rFonts w:ascii="Arial"/>
                <w:sz w:val="21"/>
              </w:rPr>
            </w:pPr>
            <w:r/>
          </w:p>
        </w:tc>
        <w:tc>
          <w:tcPr>
            <w:tcW w:w="707" w:type="dxa"/>
            <w:vAlign w:val="top"/>
          </w:tcPr>
          <w:p>
            <w:pPr>
              <w:rPr>
                <w:rFonts w:ascii="Arial"/>
                <w:sz w:val="21"/>
              </w:rPr>
            </w:pPr>
            <w:r/>
          </w:p>
        </w:tc>
        <w:tc>
          <w:tcPr>
            <w:tcW w:w="749" w:type="dxa"/>
            <w:vAlign w:val="top"/>
          </w:tcPr>
          <w:p>
            <w:pPr>
              <w:rPr>
                <w:rFonts w:ascii="Arial"/>
                <w:sz w:val="21"/>
              </w:rPr>
            </w:pPr>
            <w:r/>
          </w:p>
        </w:tc>
        <w:tc>
          <w:tcPr>
            <w:tcW w:w="750"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566" w:type="dxa"/>
            <w:vAlign w:val="top"/>
            <w:tcBorders>
              <w:right w:val="single" w:color="000000" w:sz="6" w:space="0"/>
            </w:tcBorders>
          </w:tcPr>
          <w:p>
            <w:pPr>
              <w:rPr>
                <w:rFonts w:ascii="Arial"/>
                <w:sz w:val="21"/>
              </w:rPr>
            </w:pPr>
            <w:r/>
          </w:p>
        </w:tc>
      </w:tr>
      <w:tr>
        <w:trPr>
          <w:trHeight w:val="473" w:hRule="atLeast"/>
        </w:trPr>
        <w:tc>
          <w:tcPr>
            <w:tcW w:w="2856" w:type="dxa"/>
            <w:vAlign w:val="top"/>
            <w:tcBorders>
              <w:left w:val="single" w:color="000000" w:sz="6" w:space="0"/>
            </w:tcBorders>
          </w:tcPr>
          <w:p>
            <w:pPr>
              <w:pStyle w:val="TableText"/>
              <w:ind w:left="15"/>
              <w:spacing w:before="153" w:line="222" w:lineRule="auto"/>
              <w:rPr>
                <w:sz w:val="19"/>
                <w:szCs w:val="19"/>
              </w:rPr>
            </w:pPr>
            <w:r>
              <w:rPr>
                <w:sz w:val="19"/>
                <w:szCs w:val="19"/>
                <w:spacing w:val="-7"/>
              </w:rPr>
              <w:t>十八、自然资源海洋气象等支出</w:t>
            </w:r>
          </w:p>
        </w:tc>
        <w:tc>
          <w:tcPr>
            <w:tcW w:w="567" w:type="dxa"/>
            <w:vAlign w:val="top"/>
          </w:tcPr>
          <w:p>
            <w:pPr>
              <w:pStyle w:val="TableText"/>
              <w:ind w:right="11"/>
              <w:spacing w:before="150" w:line="285" w:lineRule="exact"/>
              <w:jc w:val="right"/>
              <w:rPr>
                <w:sz w:val="19"/>
                <w:szCs w:val="19"/>
              </w:rPr>
            </w:pPr>
            <w:r>
              <w:rPr>
                <w:sz w:val="19"/>
                <w:szCs w:val="19"/>
                <w:spacing w:val="-2"/>
                <w:position w:val="2"/>
              </w:rPr>
              <w:t>1659</w:t>
            </w:r>
          </w:p>
        </w:tc>
        <w:tc>
          <w:tcPr>
            <w:tcW w:w="621" w:type="dxa"/>
            <w:vAlign w:val="top"/>
          </w:tcPr>
          <w:p>
            <w:pPr>
              <w:pStyle w:val="TableText"/>
              <w:ind w:right="13"/>
              <w:spacing w:before="150" w:line="285" w:lineRule="exact"/>
              <w:jc w:val="right"/>
              <w:rPr>
                <w:sz w:val="19"/>
                <w:szCs w:val="19"/>
              </w:rPr>
            </w:pPr>
            <w:r>
              <w:rPr>
                <w:sz w:val="19"/>
                <w:szCs w:val="19"/>
                <w:spacing w:val="1"/>
                <w:position w:val="2"/>
              </w:rPr>
              <w:t>613</w:t>
            </w:r>
          </w:p>
        </w:tc>
        <w:tc>
          <w:tcPr>
            <w:tcW w:w="707" w:type="dxa"/>
            <w:vAlign w:val="top"/>
          </w:tcPr>
          <w:p>
            <w:pPr>
              <w:pStyle w:val="TableText"/>
              <w:ind w:right="12"/>
              <w:spacing w:before="150" w:line="285" w:lineRule="exact"/>
              <w:jc w:val="right"/>
              <w:rPr>
                <w:sz w:val="19"/>
                <w:szCs w:val="19"/>
              </w:rPr>
            </w:pPr>
            <w:r>
              <w:rPr>
                <w:sz w:val="19"/>
                <w:szCs w:val="19"/>
                <w:position w:val="2"/>
              </w:rPr>
              <w:t>62</w:t>
            </w:r>
          </w:p>
        </w:tc>
        <w:tc>
          <w:tcPr>
            <w:tcW w:w="749" w:type="dxa"/>
            <w:vAlign w:val="top"/>
          </w:tcPr>
          <w:p>
            <w:pPr>
              <w:rPr>
                <w:rFonts w:ascii="Arial"/>
                <w:sz w:val="21"/>
              </w:rPr>
            </w:pPr>
            <w:r/>
          </w:p>
        </w:tc>
        <w:tc>
          <w:tcPr>
            <w:tcW w:w="750" w:type="dxa"/>
            <w:vAlign w:val="top"/>
          </w:tcPr>
          <w:p>
            <w:pPr>
              <w:rPr>
                <w:rFonts w:ascii="Arial"/>
                <w:sz w:val="21"/>
              </w:rPr>
            </w:pPr>
            <w:r/>
          </w:p>
        </w:tc>
        <w:tc>
          <w:tcPr>
            <w:tcW w:w="708" w:type="dxa"/>
            <w:vAlign w:val="top"/>
          </w:tcPr>
          <w:p>
            <w:pPr>
              <w:pStyle w:val="TableText"/>
              <w:ind w:right="9"/>
              <w:spacing w:before="150" w:line="285" w:lineRule="exact"/>
              <w:jc w:val="right"/>
              <w:rPr>
                <w:sz w:val="19"/>
                <w:szCs w:val="19"/>
              </w:rPr>
            </w:pPr>
            <w:r>
              <w:rPr>
                <w:sz w:val="19"/>
                <w:szCs w:val="19"/>
                <w:spacing w:val="1"/>
                <w:position w:val="2"/>
              </w:rPr>
              <w:t>982</w:t>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pStyle w:val="TableText"/>
              <w:ind w:right="2"/>
              <w:spacing w:before="150" w:line="286" w:lineRule="exact"/>
              <w:jc w:val="right"/>
              <w:rPr>
                <w:sz w:val="19"/>
                <w:szCs w:val="19"/>
              </w:rPr>
            </w:pPr>
            <w:r>
              <w:rPr>
                <w:sz w:val="19"/>
                <w:szCs w:val="19"/>
                <w:position w:val="2"/>
              </w:rPr>
              <w:t>2</w:t>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566" w:type="dxa"/>
            <w:vAlign w:val="top"/>
            <w:tcBorders>
              <w:right w:val="single" w:color="000000" w:sz="6" w:space="0"/>
            </w:tcBorders>
          </w:tcPr>
          <w:p>
            <w:pPr>
              <w:rPr>
                <w:rFonts w:ascii="Arial"/>
                <w:sz w:val="21"/>
              </w:rPr>
            </w:pPr>
            <w:r/>
          </w:p>
        </w:tc>
      </w:tr>
      <w:tr>
        <w:trPr>
          <w:trHeight w:val="473" w:hRule="atLeast"/>
        </w:trPr>
        <w:tc>
          <w:tcPr>
            <w:tcW w:w="2856" w:type="dxa"/>
            <w:vAlign w:val="top"/>
            <w:tcBorders>
              <w:left w:val="single" w:color="000000" w:sz="6" w:space="0"/>
            </w:tcBorders>
          </w:tcPr>
          <w:p>
            <w:pPr>
              <w:pStyle w:val="TableText"/>
              <w:ind w:left="15"/>
              <w:spacing w:before="154" w:line="222" w:lineRule="auto"/>
              <w:rPr>
                <w:sz w:val="19"/>
                <w:szCs w:val="19"/>
              </w:rPr>
            </w:pPr>
            <w:r>
              <w:rPr>
                <w:sz w:val="19"/>
                <w:szCs w:val="19"/>
                <w:spacing w:val="8"/>
              </w:rPr>
              <w:t>十九、住房保障支出</w:t>
            </w:r>
          </w:p>
        </w:tc>
        <w:tc>
          <w:tcPr>
            <w:tcW w:w="567" w:type="dxa"/>
            <w:vAlign w:val="top"/>
          </w:tcPr>
          <w:p>
            <w:pPr>
              <w:pStyle w:val="TableText"/>
              <w:ind w:right="11"/>
              <w:spacing w:before="151" w:line="286" w:lineRule="exact"/>
              <w:jc w:val="right"/>
              <w:rPr>
                <w:sz w:val="19"/>
                <w:szCs w:val="19"/>
              </w:rPr>
            </w:pPr>
            <w:r>
              <w:rPr>
                <w:sz w:val="19"/>
                <w:szCs w:val="19"/>
                <w:spacing w:val="-1"/>
                <w:position w:val="2"/>
              </w:rPr>
              <w:t>17145</w:t>
            </w:r>
          </w:p>
        </w:tc>
        <w:tc>
          <w:tcPr>
            <w:tcW w:w="621" w:type="dxa"/>
            <w:vAlign w:val="top"/>
          </w:tcPr>
          <w:p>
            <w:pPr>
              <w:pStyle w:val="TableText"/>
              <w:ind w:right="11"/>
              <w:spacing w:before="151" w:line="286" w:lineRule="exact"/>
              <w:jc w:val="right"/>
              <w:rPr>
                <w:sz w:val="19"/>
                <w:szCs w:val="19"/>
              </w:rPr>
            </w:pPr>
            <w:r>
              <w:rPr>
                <w:sz w:val="19"/>
                <w:szCs w:val="19"/>
                <w:spacing w:val="2"/>
                <w:position w:val="2"/>
              </w:rPr>
              <w:t>5086</w:t>
            </w:r>
          </w:p>
        </w:tc>
        <w:tc>
          <w:tcPr>
            <w:tcW w:w="707" w:type="dxa"/>
            <w:vAlign w:val="top"/>
          </w:tcPr>
          <w:p>
            <w:pPr>
              <w:pStyle w:val="TableText"/>
              <w:ind w:right="12"/>
              <w:spacing w:before="151" w:line="286" w:lineRule="exact"/>
              <w:jc w:val="right"/>
              <w:rPr>
                <w:sz w:val="19"/>
                <w:szCs w:val="19"/>
              </w:rPr>
            </w:pPr>
            <w:r>
              <w:rPr>
                <w:sz w:val="19"/>
                <w:szCs w:val="19"/>
                <w:spacing w:val="-2"/>
                <w:position w:val="2"/>
              </w:rPr>
              <w:t>1000</w:t>
            </w:r>
          </w:p>
        </w:tc>
        <w:tc>
          <w:tcPr>
            <w:tcW w:w="749" w:type="dxa"/>
            <w:vAlign w:val="top"/>
          </w:tcPr>
          <w:p>
            <w:pPr>
              <w:rPr>
                <w:rFonts w:ascii="Arial"/>
                <w:sz w:val="21"/>
              </w:rPr>
            </w:pPr>
            <w:r/>
          </w:p>
        </w:tc>
        <w:tc>
          <w:tcPr>
            <w:tcW w:w="750" w:type="dxa"/>
            <w:vAlign w:val="top"/>
          </w:tcPr>
          <w:p>
            <w:pPr>
              <w:pStyle w:val="TableText"/>
              <w:ind w:right="9"/>
              <w:spacing w:before="151" w:line="286" w:lineRule="exact"/>
              <w:jc w:val="right"/>
              <w:rPr>
                <w:sz w:val="19"/>
                <w:szCs w:val="19"/>
              </w:rPr>
            </w:pPr>
            <w:r>
              <w:rPr>
                <w:sz w:val="19"/>
                <w:szCs w:val="19"/>
                <w:spacing w:val="1"/>
                <w:position w:val="2"/>
              </w:rPr>
              <w:t>3265</w:t>
            </w:r>
          </w:p>
        </w:tc>
        <w:tc>
          <w:tcPr>
            <w:tcW w:w="708" w:type="dxa"/>
            <w:vAlign w:val="top"/>
          </w:tcPr>
          <w:p>
            <w:pPr>
              <w:pStyle w:val="TableText"/>
              <w:ind w:right="9"/>
              <w:spacing w:before="151" w:line="286" w:lineRule="exact"/>
              <w:jc w:val="right"/>
              <w:rPr>
                <w:sz w:val="19"/>
                <w:szCs w:val="19"/>
              </w:rPr>
            </w:pPr>
            <w:r>
              <w:rPr>
                <w:sz w:val="19"/>
                <w:szCs w:val="19"/>
                <w:spacing w:val="2"/>
                <w:position w:val="2"/>
              </w:rPr>
              <w:t>7682</w:t>
            </w:r>
          </w:p>
        </w:tc>
        <w:tc>
          <w:tcPr>
            <w:tcW w:w="708" w:type="dxa"/>
            <w:vAlign w:val="top"/>
          </w:tcPr>
          <w:p>
            <w:pPr>
              <w:rPr>
                <w:rFonts w:ascii="Arial"/>
                <w:sz w:val="21"/>
              </w:rPr>
            </w:pPr>
            <w:r/>
          </w:p>
        </w:tc>
        <w:tc>
          <w:tcPr>
            <w:tcW w:w="708" w:type="dxa"/>
            <w:vAlign w:val="top"/>
          </w:tcPr>
          <w:p>
            <w:pPr>
              <w:pStyle w:val="TableText"/>
              <w:ind w:right="6"/>
              <w:spacing w:before="151" w:line="287" w:lineRule="exact"/>
              <w:jc w:val="right"/>
              <w:rPr>
                <w:sz w:val="19"/>
                <w:szCs w:val="19"/>
              </w:rPr>
            </w:pPr>
            <w:r>
              <w:rPr>
                <w:sz w:val="19"/>
                <w:szCs w:val="19"/>
                <w:spacing w:val="-4"/>
                <w:position w:val="2"/>
              </w:rPr>
              <w:t>111</w:t>
            </w:r>
          </w:p>
        </w:tc>
        <w:tc>
          <w:tcPr>
            <w:tcW w:w="708" w:type="dxa"/>
            <w:vAlign w:val="top"/>
          </w:tcPr>
          <w:p>
            <w:pPr>
              <w:rPr>
                <w:rFonts w:ascii="Arial"/>
                <w:sz w:val="21"/>
              </w:rPr>
            </w:pPr>
            <w:r/>
          </w:p>
        </w:tc>
        <w:tc>
          <w:tcPr>
            <w:tcW w:w="708" w:type="dxa"/>
            <w:vAlign w:val="top"/>
          </w:tcPr>
          <w:p>
            <w:pPr>
              <w:pStyle w:val="TableText"/>
              <w:spacing w:before="151" w:line="287" w:lineRule="exact"/>
              <w:jc w:val="right"/>
              <w:rPr>
                <w:sz w:val="19"/>
                <w:szCs w:val="19"/>
              </w:rPr>
            </w:pPr>
            <w:r>
              <w:rPr>
                <w:sz w:val="19"/>
                <w:szCs w:val="19"/>
                <w:spacing w:val="-18"/>
                <w:position w:val="2"/>
              </w:rPr>
              <w:t>1</w:t>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566" w:type="dxa"/>
            <w:vAlign w:val="top"/>
            <w:tcBorders>
              <w:right w:val="single" w:color="000000" w:sz="6" w:space="0"/>
            </w:tcBorders>
          </w:tcPr>
          <w:p>
            <w:pPr>
              <w:rPr>
                <w:rFonts w:ascii="Arial"/>
                <w:sz w:val="21"/>
              </w:rPr>
            </w:pPr>
            <w:r/>
          </w:p>
        </w:tc>
      </w:tr>
      <w:tr>
        <w:trPr>
          <w:trHeight w:val="473" w:hRule="atLeast"/>
        </w:trPr>
        <w:tc>
          <w:tcPr>
            <w:tcW w:w="2856" w:type="dxa"/>
            <w:vAlign w:val="top"/>
            <w:tcBorders>
              <w:left w:val="single" w:color="000000" w:sz="6" w:space="0"/>
            </w:tcBorders>
          </w:tcPr>
          <w:p>
            <w:pPr>
              <w:pStyle w:val="TableText"/>
              <w:ind w:left="9"/>
              <w:spacing w:before="154" w:line="221" w:lineRule="auto"/>
              <w:rPr>
                <w:sz w:val="19"/>
                <w:szCs w:val="19"/>
              </w:rPr>
            </w:pPr>
            <w:r>
              <w:rPr>
                <w:sz w:val="19"/>
                <w:szCs w:val="19"/>
                <w:spacing w:val="9"/>
              </w:rPr>
              <w:t>二十、粮油物资储备支出</w:t>
            </w:r>
          </w:p>
        </w:tc>
        <w:tc>
          <w:tcPr>
            <w:tcW w:w="567" w:type="dxa"/>
            <w:vAlign w:val="top"/>
          </w:tcPr>
          <w:p>
            <w:pPr>
              <w:pStyle w:val="TableText"/>
              <w:ind w:right="11"/>
              <w:spacing w:before="151" w:line="285" w:lineRule="exact"/>
              <w:jc w:val="right"/>
              <w:rPr>
                <w:sz w:val="19"/>
                <w:szCs w:val="19"/>
              </w:rPr>
            </w:pPr>
            <w:r>
              <w:rPr>
                <w:sz w:val="19"/>
                <w:szCs w:val="19"/>
                <w:spacing w:val="1"/>
                <w:position w:val="2"/>
              </w:rPr>
              <w:t>272</w:t>
            </w:r>
          </w:p>
        </w:tc>
        <w:tc>
          <w:tcPr>
            <w:tcW w:w="621" w:type="dxa"/>
            <w:vAlign w:val="top"/>
          </w:tcPr>
          <w:p>
            <w:pPr>
              <w:pStyle w:val="TableText"/>
              <w:ind w:right="13"/>
              <w:spacing w:before="151" w:line="285" w:lineRule="exact"/>
              <w:jc w:val="right"/>
              <w:rPr>
                <w:sz w:val="19"/>
                <w:szCs w:val="19"/>
              </w:rPr>
            </w:pPr>
            <w:r>
              <w:rPr>
                <w:sz w:val="19"/>
                <w:szCs w:val="19"/>
                <w:spacing w:val="-4"/>
                <w:position w:val="2"/>
              </w:rPr>
              <w:t>117</w:t>
            </w:r>
          </w:p>
        </w:tc>
        <w:tc>
          <w:tcPr>
            <w:tcW w:w="707" w:type="dxa"/>
            <w:vAlign w:val="top"/>
          </w:tcPr>
          <w:p>
            <w:pPr>
              <w:pStyle w:val="TableText"/>
              <w:ind w:right="12"/>
              <w:spacing w:before="151" w:line="285" w:lineRule="exact"/>
              <w:jc w:val="right"/>
              <w:rPr>
                <w:sz w:val="19"/>
                <w:szCs w:val="19"/>
              </w:rPr>
            </w:pPr>
            <w:r>
              <w:rPr>
                <w:sz w:val="19"/>
                <w:szCs w:val="19"/>
                <w:spacing w:val="-4"/>
                <w:position w:val="2"/>
              </w:rPr>
              <w:t>155</w:t>
            </w:r>
          </w:p>
        </w:tc>
        <w:tc>
          <w:tcPr>
            <w:tcW w:w="749" w:type="dxa"/>
            <w:vAlign w:val="top"/>
          </w:tcPr>
          <w:p>
            <w:pPr>
              <w:rPr>
                <w:rFonts w:ascii="Arial"/>
                <w:sz w:val="21"/>
              </w:rPr>
            </w:pPr>
            <w:r/>
          </w:p>
        </w:tc>
        <w:tc>
          <w:tcPr>
            <w:tcW w:w="750"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566" w:type="dxa"/>
            <w:vAlign w:val="top"/>
            <w:tcBorders>
              <w:right w:val="single" w:color="000000" w:sz="6" w:space="0"/>
            </w:tcBorders>
          </w:tcPr>
          <w:p>
            <w:pPr>
              <w:rPr>
                <w:rFonts w:ascii="Arial"/>
                <w:sz w:val="21"/>
              </w:rPr>
            </w:pPr>
            <w:r/>
          </w:p>
        </w:tc>
      </w:tr>
      <w:tr>
        <w:trPr>
          <w:trHeight w:val="564" w:hRule="atLeast"/>
        </w:trPr>
        <w:tc>
          <w:tcPr>
            <w:tcW w:w="2856" w:type="dxa"/>
            <w:vAlign w:val="top"/>
            <w:tcBorders>
              <w:left w:val="single" w:color="000000" w:sz="6" w:space="0"/>
            </w:tcBorders>
          </w:tcPr>
          <w:p>
            <w:pPr>
              <w:pStyle w:val="TableText"/>
              <w:ind w:left="23" w:right="40" w:hanging="14"/>
              <w:spacing w:before="64" w:line="238" w:lineRule="auto"/>
              <w:rPr>
                <w:sz w:val="19"/>
                <w:szCs w:val="19"/>
              </w:rPr>
            </w:pPr>
            <w:r>
              <w:rPr>
                <w:sz w:val="19"/>
                <w:szCs w:val="19"/>
                <w:spacing w:val="9"/>
              </w:rPr>
              <w:t>二十一、灾害防治及应急管理支</w:t>
            </w:r>
            <w:r>
              <w:rPr>
                <w:sz w:val="19"/>
                <w:szCs w:val="19"/>
              </w:rPr>
              <w:t>出</w:t>
            </w:r>
          </w:p>
        </w:tc>
        <w:tc>
          <w:tcPr>
            <w:tcW w:w="567" w:type="dxa"/>
            <w:vAlign w:val="top"/>
          </w:tcPr>
          <w:p>
            <w:pPr>
              <w:pStyle w:val="TableText"/>
              <w:ind w:right="11"/>
              <w:spacing w:before="198" w:line="285" w:lineRule="exact"/>
              <w:jc w:val="right"/>
              <w:rPr>
                <w:sz w:val="19"/>
                <w:szCs w:val="19"/>
              </w:rPr>
            </w:pPr>
            <w:r>
              <w:rPr>
                <w:sz w:val="19"/>
                <w:szCs w:val="19"/>
                <w:spacing w:val="1"/>
                <w:position w:val="2"/>
              </w:rPr>
              <w:t>3285</w:t>
            </w:r>
          </w:p>
        </w:tc>
        <w:tc>
          <w:tcPr>
            <w:tcW w:w="621" w:type="dxa"/>
            <w:vAlign w:val="top"/>
          </w:tcPr>
          <w:p>
            <w:pPr>
              <w:pStyle w:val="TableText"/>
              <w:ind w:right="11"/>
              <w:spacing w:before="198" w:line="285" w:lineRule="exact"/>
              <w:jc w:val="right"/>
              <w:rPr>
                <w:sz w:val="19"/>
                <w:szCs w:val="19"/>
              </w:rPr>
            </w:pPr>
            <w:r>
              <w:rPr>
                <w:sz w:val="19"/>
                <w:szCs w:val="19"/>
                <w:spacing w:val="-2"/>
                <w:position w:val="2"/>
              </w:rPr>
              <w:t>1709</w:t>
            </w:r>
          </w:p>
        </w:tc>
        <w:tc>
          <w:tcPr>
            <w:tcW w:w="707" w:type="dxa"/>
            <w:vAlign w:val="top"/>
          </w:tcPr>
          <w:p>
            <w:pPr>
              <w:pStyle w:val="TableText"/>
              <w:ind w:right="12"/>
              <w:spacing w:before="198" w:line="285" w:lineRule="exact"/>
              <w:jc w:val="right"/>
              <w:rPr>
                <w:sz w:val="19"/>
                <w:szCs w:val="19"/>
              </w:rPr>
            </w:pPr>
            <w:r>
              <w:rPr>
                <w:sz w:val="19"/>
                <w:szCs w:val="19"/>
                <w:position w:val="2"/>
              </w:rPr>
              <w:t>862</w:t>
            </w:r>
          </w:p>
        </w:tc>
        <w:tc>
          <w:tcPr>
            <w:tcW w:w="749" w:type="dxa"/>
            <w:vAlign w:val="top"/>
          </w:tcPr>
          <w:p>
            <w:pPr>
              <w:pStyle w:val="TableText"/>
              <w:ind w:right="10"/>
              <w:spacing w:before="198" w:line="285" w:lineRule="exact"/>
              <w:jc w:val="right"/>
              <w:rPr>
                <w:sz w:val="19"/>
                <w:szCs w:val="19"/>
              </w:rPr>
            </w:pPr>
            <w:r>
              <w:rPr>
                <w:sz w:val="19"/>
                <w:szCs w:val="19"/>
                <w:position w:val="2"/>
              </w:rPr>
              <w:t>20</w:t>
            </w:r>
          </w:p>
        </w:tc>
        <w:tc>
          <w:tcPr>
            <w:tcW w:w="750" w:type="dxa"/>
            <w:vAlign w:val="top"/>
          </w:tcPr>
          <w:p>
            <w:pPr>
              <w:pStyle w:val="TableText"/>
              <w:ind w:right="5"/>
              <w:spacing w:before="198" w:line="285" w:lineRule="exact"/>
              <w:jc w:val="right"/>
              <w:rPr>
                <w:sz w:val="19"/>
                <w:szCs w:val="19"/>
              </w:rPr>
            </w:pPr>
            <w:r>
              <w:rPr>
                <w:sz w:val="19"/>
                <w:szCs w:val="19"/>
                <w:position w:val="2"/>
              </w:rPr>
              <w:t>8</w:t>
            </w:r>
          </w:p>
        </w:tc>
        <w:tc>
          <w:tcPr>
            <w:tcW w:w="708" w:type="dxa"/>
            <w:vAlign w:val="top"/>
          </w:tcPr>
          <w:p>
            <w:pPr>
              <w:pStyle w:val="TableText"/>
              <w:ind w:right="9"/>
              <w:spacing w:before="198" w:line="285" w:lineRule="exact"/>
              <w:jc w:val="right"/>
              <w:rPr>
                <w:sz w:val="19"/>
                <w:szCs w:val="19"/>
              </w:rPr>
            </w:pPr>
            <w:r>
              <w:rPr>
                <w:sz w:val="19"/>
                <w:szCs w:val="19"/>
                <w:spacing w:val="-4"/>
                <w:position w:val="2"/>
              </w:rPr>
              <w:t>138</w:t>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566" w:type="dxa"/>
            <w:vAlign w:val="top"/>
            <w:tcBorders>
              <w:right w:val="single" w:color="000000" w:sz="6" w:space="0"/>
            </w:tcBorders>
          </w:tcPr>
          <w:p>
            <w:pPr>
              <w:pStyle w:val="TableText"/>
              <w:ind w:right="6"/>
              <w:spacing w:before="198" w:line="285" w:lineRule="exact"/>
              <w:jc w:val="right"/>
              <w:rPr>
                <w:sz w:val="19"/>
                <w:szCs w:val="19"/>
              </w:rPr>
            </w:pPr>
            <w:r>
              <w:rPr>
                <w:sz w:val="19"/>
                <w:szCs w:val="19"/>
                <w:spacing w:val="1"/>
                <w:position w:val="2"/>
              </w:rPr>
              <w:t>548</w:t>
            </w:r>
          </w:p>
        </w:tc>
      </w:tr>
      <w:tr>
        <w:trPr>
          <w:trHeight w:val="473" w:hRule="atLeast"/>
        </w:trPr>
        <w:tc>
          <w:tcPr>
            <w:tcW w:w="2856" w:type="dxa"/>
            <w:vAlign w:val="top"/>
            <w:tcBorders>
              <w:left w:val="single" w:color="000000" w:sz="6" w:space="0"/>
            </w:tcBorders>
          </w:tcPr>
          <w:p>
            <w:pPr>
              <w:pStyle w:val="TableText"/>
              <w:ind w:left="9"/>
              <w:spacing w:before="158" w:line="223" w:lineRule="auto"/>
              <w:rPr>
                <w:sz w:val="19"/>
                <w:szCs w:val="19"/>
              </w:rPr>
            </w:pPr>
            <w:r>
              <w:rPr>
                <w:sz w:val="19"/>
                <w:szCs w:val="19"/>
                <w:spacing w:val="9"/>
              </w:rPr>
              <w:t>二十一、预备费</w:t>
            </w:r>
          </w:p>
        </w:tc>
        <w:tc>
          <w:tcPr>
            <w:tcW w:w="567" w:type="dxa"/>
            <w:vAlign w:val="top"/>
          </w:tcPr>
          <w:p>
            <w:pPr>
              <w:pStyle w:val="TableText"/>
              <w:ind w:right="11"/>
              <w:spacing w:before="155" w:line="285" w:lineRule="exact"/>
              <w:jc w:val="right"/>
              <w:rPr>
                <w:sz w:val="19"/>
                <w:szCs w:val="19"/>
              </w:rPr>
            </w:pPr>
            <w:r>
              <w:rPr>
                <w:sz w:val="19"/>
                <w:szCs w:val="19"/>
                <w:spacing w:val="2"/>
                <w:position w:val="2"/>
              </w:rPr>
              <w:t>2000</w:t>
            </w:r>
          </w:p>
        </w:tc>
        <w:tc>
          <w:tcPr>
            <w:tcW w:w="621" w:type="dxa"/>
            <w:vAlign w:val="top"/>
          </w:tcPr>
          <w:p>
            <w:pPr>
              <w:rPr>
                <w:rFonts w:ascii="Arial"/>
                <w:sz w:val="21"/>
              </w:rPr>
            </w:pPr>
            <w:r/>
          </w:p>
        </w:tc>
        <w:tc>
          <w:tcPr>
            <w:tcW w:w="707" w:type="dxa"/>
            <w:vAlign w:val="top"/>
          </w:tcPr>
          <w:p>
            <w:pPr>
              <w:rPr>
                <w:rFonts w:ascii="Arial"/>
                <w:sz w:val="21"/>
              </w:rPr>
            </w:pPr>
            <w:r/>
          </w:p>
        </w:tc>
        <w:tc>
          <w:tcPr>
            <w:tcW w:w="749" w:type="dxa"/>
            <w:vAlign w:val="top"/>
          </w:tcPr>
          <w:p>
            <w:pPr>
              <w:rPr>
                <w:rFonts w:ascii="Arial"/>
                <w:sz w:val="21"/>
              </w:rPr>
            </w:pPr>
            <w:r/>
          </w:p>
        </w:tc>
        <w:tc>
          <w:tcPr>
            <w:tcW w:w="750"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566" w:type="dxa"/>
            <w:vAlign w:val="top"/>
            <w:tcBorders>
              <w:right w:val="single" w:color="000000" w:sz="6" w:space="0"/>
            </w:tcBorders>
          </w:tcPr>
          <w:p>
            <w:pPr>
              <w:pStyle w:val="TableText"/>
              <w:ind w:right="6"/>
              <w:spacing w:before="155" w:line="285" w:lineRule="exact"/>
              <w:jc w:val="right"/>
              <w:rPr>
                <w:sz w:val="19"/>
                <w:szCs w:val="19"/>
              </w:rPr>
            </w:pPr>
            <w:r>
              <w:rPr>
                <w:sz w:val="19"/>
                <w:szCs w:val="19"/>
                <w:spacing w:val="2"/>
                <w:position w:val="2"/>
              </w:rPr>
              <w:t>2000</w:t>
            </w:r>
          </w:p>
        </w:tc>
      </w:tr>
      <w:tr>
        <w:trPr>
          <w:trHeight w:val="473" w:hRule="atLeast"/>
        </w:trPr>
        <w:tc>
          <w:tcPr>
            <w:tcW w:w="2856" w:type="dxa"/>
            <w:vAlign w:val="top"/>
            <w:tcBorders>
              <w:left w:val="single" w:color="000000" w:sz="6" w:space="0"/>
            </w:tcBorders>
          </w:tcPr>
          <w:p>
            <w:pPr>
              <w:pStyle w:val="TableText"/>
              <w:ind w:left="9"/>
              <w:spacing w:before="156" w:line="225" w:lineRule="auto"/>
              <w:rPr>
                <w:sz w:val="19"/>
                <w:szCs w:val="19"/>
              </w:rPr>
            </w:pPr>
            <w:r>
              <w:rPr>
                <w:sz w:val="19"/>
                <w:szCs w:val="19"/>
                <w:spacing w:val="9"/>
              </w:rPr>
              <w:t>二十二、债务付息支出</w:t>
            </w:r>
          </w:p>
        </w:tc>
        <w:tc>
          <w:tcPr>
            <w:tcW w:w="567" w:type="dxa"/>
            <w:vAlign w:val="top"/>
          </w:tcPr>
          <w:p>
            <w:pPr>
              <w:rPr>
                <w:rFonts w:ascii="Arial"/>
                <w:sz w:val="21"/>
              </w:rPr>
            </w:pPr>
            <w:r/>
          </w:p>
        </w:tc>
        <w:tc>
          <w:tcPr>
            <w:tcW w:w="621" w:type="dxa"/>
            <w:vAlign w:val="top"/>
          </w:tcPr>
          <w:p>
            <w:pPr>
              <w:rPr>
                <w:rFonts w:ascii="Arial"/>
                <w:sz w:val="21"/>
              </w:rPr>
            </w:pPr>
            <w:r/>
          </w:p>
        </w:tc>
        <w:tc>
          <w:tcPr>
            <w:tcW w:w="707" w:type="dxa"/>
            <w:vAlign w:val="top"/>
          </w:tcPr>
          <w:p>
            <w:pPr>
              <w:rPr>
                <w:rFonts w:ascii="Arial"/>
                <w:sz w:val="21"/>
              </w:rPr>
            </w:pPr>
            <w:r/>
          </w:p>
        </w:tc>
        <w:tc>
          <w:tcPr>
            <w:tcW w:w="749" w:type="dxa"/>
            <w:vAlign w:val="top"/>
          </w:tcPr>
          <w:p>
            <w:pPr>
              <w:rPr>
                <w:rFonts w:ascii="Arial"/>
                <w:sz w:val="21"/>
              </w:rPr>
            </w:pPr>
            <w:r/>
          </w:p>
        </w:tc>
        <w:tc>
          <w:tcPr>
            <w:tcW w:w="750"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566" w:type="dxa"/>
            <w:vAlign w:val="top"/>
            <w:tcBorders>
              <w:right w:val="single" w:color="000000" w:sz="6" w:space="0"/>
            </w:tcBorders>
          </w:tcPr>
          <w:p>
            <w:pPr>
              <w:rPr>
                <w:rFonts w:ascii="Arial"/>
                <w:sz w:val="21"/>
              </w:rPr>
            </w:pPr>
            <w:r/>
          </w:p>
        </w:tc>
      </w:tr>
      <w:tr>
        <w:trPr>
          <w:trHeight w:val="473" w:hRule="atLeast"/>
        </w:trPr>
        <w:tc>
          <w:tcPr>
            <w:tcW w:w="2856" w:type="dxa"/>
            <w:vAlign w:val="top"/>
            <w:tcBorders>
              <w:left w:val="single" w:color="000000" w:sz="6" w:space="0"/>
            </w:tcBorders>
          </w:tcPr>
          <w:p>
            <w:pPr>
              <w:pStyle w:val="TableText"/>
              <w:ind w:left="9"/>
              <w:spacing w:before="161" w:line="221" w:lineRule="auto"/>
              <w:rPr>
                <w:sz w:val="19"/>
                <w:szCs w:val="19"/>
              </w:rPr>
            </w:pPr>
            <w:r>
              <w:rPr>
                <w:sz w:val="19"/>
                <w:szCs w:val="19"/>
                <w:spacing w:val="9"/>
              </w:rPr>
              <w:t>二十三、债务发行费用支出</w:t>
            </w:r>
          </w:p>
        </w:tc>
        <w:tc>
          <w:tcPr>
            <w:tcW w:w="567" w:type="dxa"/>
            <w:vAlign w:val="top"/>
          </w:tcPr>
          <w:p>
            <w:pPr>
              <w:pStyle w:val="TableText"/>
              <w:ind w:right="11"/>
              <w:spacing w:before="156" w:line="285" w:lineRule="exact"/>
              <w:jc w:val="right"/>
              <w:rPr>
                <w:sz w:val="19"/>
                <w:szCs w:val="19"/>
              </w:rPr>
            </w:pPr>
            <w:r>
              <w:rPr>
                <w:sz w:val="19"/>
                <w:szCs w:val="19"/>
                <w:spacing w:val="-1"/>
                <w:position w:val="2"/>
              </w:rPr>
              <w:t>19083</w:t>
            </w:r>
          </w:p>
        </w:tc>
        <w:tc>
          <w:tcPr>
            <w:tcW w:w="621" w:type="dxa"/>
            <w:vAlign w:val="top"/>
          </w:tcPr>
          <w:p>
            <w:pPr>
              <w:rPr>
                <w:rFonts w:ascii="Arial"/>
                <w:sz w:val="21"/>
              </w:rPr>
            </w:pPr>
            <w:r/>
          </w:p>
        </w:tc>
        <w:tc>
          <w:tcPr>
            <w:tcW w:w="707" w:type="dxa"/>
            <w:vAlign w:val="top"/>
          </w:tcPr>
          <w:p>
            <w:pPr>
              <w:rPr>
                <w:rFonts w:ascii="Arial"/>
                <w:sz w:val="21"/>
              </w:rPr>
            </w:pPr>
            <w:r/>
          </w:p>
        </w:tc>
        <w:tc>
          <w:tcPr>
            <w:tcW w:w="749" w:type="dxa"/>
            <w:vAlign w:val="top"/>
          </w:tcPr>
          <w:p>
            <w:pPr>
              <w:rPr>
                <w:rFonts w:ascii="Arial"/>
                <w:sz w:val="21"/>
              </w:rPr>
            </w:pPr>
            <w:r/>
          </w:p>
        </w:tc>
        <w:tc>
          <w:tcPr>
            <w:tcW w:w="750"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pStyle w:val="TableText"/>
              <w:ind w:right="2"/>
              <w:spacing w:before="156" w:line="285" w:lineRule="exact"/>
              <w:jc w:val="right"/>
              <w:rPr>
                <w:sz w:val="19"/>
                <w:szCs w:val="19"/>
              </w:rPr>
            </w:pPr>
            <w:r>
              <w:rPr>
                <w:sz w:val="19"/>
                <w:szCs w:val="19"/>
                <w:spacing w:val="-1"/>
                <w:position w:val="2"/>
              </w:rPr>
              <w:t>19083</w:t>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566" w:type="dxa"/>
            <w:vAlign w:val="top"/>
            <w:tcBorders>
              <w:right w:val="single" w:color="000000" w:sz="6" w:space="0"/>
            </w:tcBorders>
          </w:tcPr>
          <w:p>
            <w:pPr>
              <w:rPr>
                <w:rFonts w:ascii="Arial"/>
                <w:sz w:val="21"/>
              </w:rPr>
            </w:pPr>
            <w:r/>
          </w:p>
        </w:tc>
      </w:tr>
      <w:tr>
        <w:trPr>
          <w:trHeight w:val="473" w:hRule="atLeast"/>
        </w:trPr>
        <w:tc>
          <w:tcPr>
            <w:tcW w:w="2856" w:type="dxa"/>
            <w:vAlign w:val="top"/>
            <w:tcBorders>
              <w:left w:val="single" w:color="000000" w:sz="6" w:space="0"/>
            </w:tcBorders>
          </w:tcPr>
          <w:p>
            <w:pPr>
              <w:pStyle w:val="TableText"/>
              <w:ind w:left="9"/>
              <w:spacing w:before="159" w:line="222" w:lineRule="auto"/>
              <w:rPr>
                <w:sz w:val="19"/>
                <w:szCs w:val="19"/>
              </w:rPr>
            </w:pPr>
            <w:r>
              <w:rPr>
                <w:sz w:val="19"/>
                <w:szCs w:val="19"/>
                <w:spacing w:val="9"/>
              </w:rPr>
              <w:t>二十四、其他支出</w:t>
            </w:r>
          </w:p>
        </w:tc>
        <w:tc>
          <w:tcPr>
            <w:tcW w:w="567" w:type="dxa"/>
            <w:vAlign w:val="top"/>
          </w:tcPr>
          <w:p>
            <w:pPr>
              <w:rPr>
                <w:rFonts w:ascii="Arial"/>
                <w:sz w:val="21"/>
              </w:rPr>
            </w:pPr>
            <w:r/>
          </w:p>
        </w:tc>
        <w:tc>
          <w:tcPr>
            <w:tcW w:w="621" w:type="dxa"/>
            <w:vAlign w:val="top"/>
          </w:tcPr>
          <w:p>
            <w:pPr>
              <w:rPr>
                <w:rFonts w:ascii="Arial"/>
                <w:sz w:val="21"/>
              </w:rPr>
            </w:pPr>
            <w:r/>
          </w:p>
        </w:tc>
        <w:tc>
          <w:tcPr>
            <w:tcW w:w="707" w:type="dxa"/>
            <w:vAlign w:val="top"/>
          </w:tcPr>
          <w:p>
            <w:pPr>
              <w:rPr>
                <w:rFonts w:ascii="Arial"/>
                <w:sz w:val="21"/>
              </w:rPr>
            </w:pPr>
            <w:r/>
          </w:p>
        </w:tc>
        <w:tc>
          <w:tcPr>
            <w:tcW w:w="749" w:type="dxa"/>
            <w:vAlign w:val="top"/>
          </w:tcPr>
          <w:p>
            <w:pPr>
              <w:rPr>
                <w:rFonts w:ascii="Arial"/>
                <w:sz w:val="21"/>
              </w:rPr>
            </w:pPr>
            <w:r/>
          </w:p>
        </w:tc>
        <w:tc>
          <w:tcPr>
            <w:tcW w:w="750"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566" w:type="dxa"/>
            <w:vAlign w:val="top"/>
            <w:tcBorders>
              <w:right w:val="single" w:color="000000" w:sz="6" w:space="0"/>
            </w:tcBorders>
          </w:tcPr>
          <w:p>
            <w:pPr>
              <w:rPr>
                <w:rFonts w:ascii="Arial"/>
                <w:sz w:val="21"/>
              </w:rPr>
            </w:pPr>
            <w:r/>
          </w:p>
        </w:tc>
      </w:tr>
      <w:tr>
        <w:trPr>
          <w:trHeight w:val="473" w:hRule="atLeast"/>
        </w:trPr>
        <w:tc>
          <w:tcPr>
            <w:tcW w:w="2856" w:type="dxa"/>
            <w:vAlign w:val="top"/>
            <w:tcBorders>
              <w:left w:val="single" w:color="000000" w:sz="6" w:space="0"/>
            </w:tcBorders>
          </w:tcPr>
          <w:p>
            <w:pPr>
              <w:pStyle w:val="TableText"/>
              <w:ind w:left="9"/>
              <w:spacing w:before="162" w:line="219" w:lineRule="auto"/>
              <w:rPr>
                <w:sz w:val="19"/>
                <w:szCs w:val="19"/>
              </w:rPr>
            </w:pPr>
            <w:r>
              <w:rPr>
                <w:sz w:val="19"/>
                <w:szCs w:val="19"/>
                <w:spacing w:val="8"/>
              </w:rPr>
              <w:t>转移性支出</w:t>
            </w:r>
          </w:p>
        </w:tc>
        <w:tc>
          <w:tcPr>
            <w:tcW w:w="567" w:type="dxa"/>
            <w:vAlign w:val="top"/>
          </w:tcPr>
          <w:p>
            <w:pPr>
              <w:rPr>
                <w:rFonts w:ascii="Arial"/>
                <w:sz w:val="21"/>
              </w:rPr>
            </w:pPr>
            <w:r/>
          </w:p>
        </w:tc>
        <w:tc>
          <w:tcPr>
            <w:tcW w:w="621" w:type="dxa"/>
            <w:vAlign w:val="top"/>
          </w:tcPr>
          <w:p>
            <w:pPr>
              <w:rPr>
                <w:rFonts w:ascii="Arial"/>
                <w:sz w:val="21"/>
              </w:rPr>
            </w:pPr>
            <w:r/>
          </w:p>
        </w:tc>
        <w:tc>
          <w:tcPr>
            <w:tcW w:w="707" w:type="dxa"/>
            <w:vAlign w:val="top"/>
          </w:tcPr>
          <w:p>
            <w:pPr>
              <w:rPr>
                <w:rFonts w:ascii="Arial"/>
                <w:sz w:val="21"/>
              </w:rPr>
            </w:pPr>
            <w:r/>
          </w:p>
        </w:tc>
        <w:tc>
          <w:tcPr>
            <w:tcW w:w="749" w:type="dxa"/>
            <w:vAlign w:val="top"/>
          </w:tcPr>
          <w:p>
            <w:pPr>
              <w:rPr>
                <w:rFonts w:ascii="Arial"/>
                <w:sz w:val="21"/>
              </w:rPr>
            </w:pPr>
            <w:r/>
          </w:p>
        </w:tc>
        <w:tc>
          <w:tcPr>
            <w:tcW w:w="750"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566" w:type="dxa"/>
            <w:vAlign w:val="top"/>
            <w:tcBorders>
              <w:right w:val="single" w:color="000000" w:sz="6" w:space="0"/>
            </w:tcBorders>
          </w:tcPr>
          <w:p>
            <w:pPr>
              <w:rPr>
                <w:rFonts w:ascii="Arial"/>
                <w:sz w:val="21"/>
              </w:rPr>
            </w:pPr>
            <w:r/>
          </w:p>
        </w:tc>
      </w:tr>
      <w:tr>
        <w:trPr>
          <w:trHeight w:val="485" w:hRule="atLeast"/>
        </w:trPr>
        <w:tc>
          <w:tcPr>
            <w:tcW w:w="2856" w:type="dxa"/>
            <w:vAlign w:val="top"/>
            <w:tcBorders>
              <w:left w:val="single" w:color="000000" w:sz="6" w:space="0"/>
              <w:bottom w:val="single" w:color="000000" w:sz="6" w:space="0"/>
            </w:tcBorders>
          </w:tcPr>
          <w:p>
            <w:pPr>
              <w:pStyle w:val="TableText"/>
              <w:ind w:left="10"/>
              <w:spacing w:before="163" w:line="220" w:lineRule="auto"/>
              <w:rPr>
                <w:sz w:val="19"/>
                <w:szCs w:val="19"/>
              </w:rPr>
            </w:pPr>
            <w:r>
              <w:rPr>
                <w:sz w:val="19"/>
                <w:szCs w:val="19"/>
                <w:b/>
                <w:bCs/>
                <w:spacing w:val="7"/>
              </w:rPr>
              <w:t>支出总计</w:t>
            </w:r>
          </w:p>
        </w:tc>
        <w:tc>
          <w:tcPr>
            <w:tcW w:w="567" w:type="dxa"/>
            <w:vAlign w:val="top"/>
            <w:tcBorders>
              <w:bottom w:val="single" w:color="000000" w:sz="6" w:space="0"/>
            </w:tcBorders>
          </w:tcPr>
          <w:p>
            <w:pPr>
              <w:pStyle w:val="TableText"/>
              <w:spacing w:before="159" w:line="285" w:lineRule="exact"/>
              <w:jc w:val="right"/>
              <w:rPr>
                <w:sz w:val="19"/>
                <w:szCs w:val="19"/>
              </w:rPr>
            </w:pPr>
            <w:r>
              <w:rPr>
                <w:sz w:val="19"/>
                <w:szCs w:val="19"/>
                <w:spacing w:val="-4"/>
                <w:position w:val="2"/>
              </w:rPr>
              <w:t>319361</w:t>
            </w:r>
          </w:p>
        </w:tc>
        <w:tc>
          <w:tcPr>
            <w:tcW w:w="621" w:type="dxa"/>
            <w:vAlign w:val="top"/>
            <w:tcBorders>
              <w:bottom w:val="single" w:color="000000" w:sz="6" w:space="0"/>
            </w:tcBorders>
          </w:tcPr>
          <w:p>
            <w:pPr>
              <w:pStyle w:val="TableText"/>
              <w:ind w:right="11"/>
              <w:spacing w:before="159" w:line="285" w:lineRule="exact"/>
              <w:jc w:val="right"/>
              <w:rPr>
                <w:sz w:val="19"/>
                <w:szCs w:val="19"/>
              </w:rPr>
            </w:pPr>
            <w:r>
              <w:rPr>
                <w:sz w:val="19"/>
                <w:szCs w:val="19"/>
                <w:spacing w:val="2"/>
                <w:position w:val="2"/>
              </w:rPr>
              <w:t>65035</w:t>
            </w:r>
          </w:p>
        </w:tc>
        <w:tc>
          <w:tcPr>
            <w:tcW w:w="707" w:type="dxa"/>
            <w:vAlign w:val="top"/>
            <w:tcBorders>
              <w:bottom w:val="single" w:color="000000" w:sz="6" w:space="0"/>
            </w:tcBorders>
          </w:tcPr>
          <w:p>
            <w:pPr>
              <w:pStyle w:val="TableText"/>
              <w:ind w:right="12"/>
              <w:spacing w:before="159" w:line="285" w:lineRule="exact"/>
              <w:jc w:val="right"/>
              <w:rPr>
                <w:sz w:val="19"/>
                <w:szCs w:val="19"/>
              </w:rPr>
            </w:pPr>
            <w:r>
              <w:rPr>
                <w:sz w:val="19"/>
                <w:szCs w:val="19"/>
                <w:spacing w:val="1"/>
                <w:position w:val="2"/>
              </w:rPr>
              <w:t>35683</w:t>
            </w:r>
          </w:p>
        </w:tc>
        <w:tc>
          <w:tcPr>
            <w:tcW w:w="749" w:type="dxa"/>
            <w:vAlign w:val="top"/>
            <w:tcBorders>
              <w:bottom w:val="single" w:color="000000" w:sz="6" w:space="0"/>
            </w:tcBorders>
          </w:tcPr>
          <w:p>
            <w:pPr>
              <w:pStyle w:val="TableText"/>
              <w:ind w:right="10"/>
              <w:spacing w:before="159" w:line="285" w:lineRule="exact"/>
              <w:jc w:val="right"/>
              <w:rPr>
                <w:sz w:val="19"/>
                <w:szCs w:val="19"/>
              </w:rPr>
            </w:pPr>
            <w:r>
              <w:rPr>
                <w:sz w:val="19"/>
                <w:szCs w:val="19"/>
                <w:spacing w:val="2"/>
                <w:position w:val="2"/>
              </w:rPr>
              <w:t>9553</w:t>
            </w:r>
          </w:p>
        </w:tc>
        <w:tc>
          <w:tcPr>
            <w:tcW w:w="750" w:type="dxa"/>
            <w:vAlign w:val="top"/>
            <w:tcBorders>
              <w:bottom w:val="single" w:color="000000" w:sz="6" w:space="0"/>
            </w:tcBorders>
          </w:tcPr>
          <w:p>
            <w:pPr>
              <w:pStyle w:val="TableText"/>
              <w:ind w:right="9"/>
              <w:spacing w:before="159" w:line="285" w:lineRule="exact"/>
              <w:jc w:val="right"/>
              <w:rPr>
                <w:sz w:val="19"/>
                <w:szCs w:val="19"/>
              </w:rPr>
            </w:pPr>
            <w:r>
              <w:rPr>
                <w:sz w:val="19"/>
                <w:szCs w:val="19"/>
                <w:spacing w:val="3"/>
                <w:position w:val="2"/>
              </w:rPr>
              <w:t>4964</w:t>
            </w:r>
          </w:p>
        </w:tc>
        <w:tc>
          <w:tcPr>
            <w:tcW w:w="708" w:type="dxa"/>
            <w:vAlign w:val="top"/>
            <w:tcBorders>
              <w:bottom w:val="single" w:color="000000" w:sz="6" w:space="0"/>
            </w:tcBorders>
          </w:tcPr>
          <w:p>
            <w:pPr>
              <w:pStyle w:val="TableText"/>
              <w:ind w:right="9"/>
              <w:spacing w:before="159" w:line="285" w:lineRule="exact"/>
              <w:jc w:val="right"/>
              <w:rPr>
                <w:sz w:val="19"/>
                <w:szCs w:val="19"/>
              </w:rPr>
            </w:pPr>
            <w:r>
              <w:rPr>
                <w:sz w:val="19"/>
                <w:szCs w:val="19"/>
                <w:spacing w:val="2"/>
                <w:position w:val="2"/>
              </w:rPr>
              <w:t>83640</w:t>
            </w:r>
          </w:p>
        </w:tc>
        <w:tc>
          <w:tcPr>
            <w:tcW w:w="708" w:type="dxa"/>
            <w:vAlign w:val="top"/>
            <w:tcBorders>
              <w:bottom w:val="single" w:color="000000" w:sz="6" w:space="0"/>
            </w:tcBorders>
          </w:tcPr>
          <w:p>
            <w:pPr>
              <w:pStyle w:val="TableText"/>
              <w:ind w:right="9"/>
              <w:spacing w:before="159" w:line="285" w:lineRule="exact"/>
              <w:jc w:val="right"/>
              <w:rPr>
                <w:sz w:val="19"/>
                <w:szCs w:val="19"/>
              </w:rPr>
            </w:pPr>
            <w:r>
              <w:rPr>
                <w:sz w:val="19"/>
                <w:szCs w:val="19"/>
                <w:position w:val="2"/>
              </w:rPr>
              <w:t>868</w:t>
            </w:r>
          </w:p>
        </w:tc>
        <w:tc>
          <w:tcPr>
            <w:tcW w:w="708" w:type="dxa"/>
            <w:vAlign w:val="top"/>
            <w:tcBorders>
              <w:bottom w:val="single" w:color="000000" w:sz="6" w:space="0"/>
            </w:tcBorders>
          </w:tcPr>
          <w:p>
            <w:pPr>
              <w:pStyle w:val="TableText"/>
              <w:ind w:right="6"/>
              <w:spacing w:before="159" w:line="285" w:lineRule="exact"/>
              <w:jc w:val="right"/>
              <w:rPr>
                <w:sz w:val="19"/>
                <w:szCs w:val="19"/>
              </w:rPr>
            </w:pPr>
            <w:r>
              <w:rPr>
                <w:sz w:val="19"/>
                <w:szCs w:val="19"/>
                <w:spacing w:val="-1"/>
                <w:position w:val="2"/>
              </w:rPr>
              <w:t>13156</w:t>
            </w:r>
          </w:p>
        </w:tc>
        <w:tc>
          <w:tcPr>
            <w:tcW w:w="708" w:type="dxa"/>
            <w:vAlign w:val="top"/>
            <w:tcBorders>
              <w:bottom w:val="single" w:color="000000" w:sz="6" w:space="0"/>
            </w:tcBorders>
          </w:tcPr>
          <w:p>
            <w:pPr>
              <w:rPr>
                <w:rFonts w:ascii="Arial"/>
                <w:sz w:val="21"/>
              </w:rPr>
            </w:pPr>
            <w:r/>
          </w:p>
        </w:tc>
        <w:tc>
          <w:tcPr>
            <w:tcW w:w="708" w:type="dxa"/>
            <w:vAlign w:val="top"/>
            <w:tcBorders>
              <w:bottom w:val="single" w:color="000000" w:sz="6" w:space="0"/>
            </w:tcBorders>
          </w:tcPr>
          <w:p>
            <w:pPr>
              <w:pStyle w:val="TableText"/>
              <w:ind w:right="4"/>
              <w:spacing w:before="159" w:line="285" w:lineRule="exact"/>
              <w:jc w:val="right"/>
              <w:rPr>
                <w:sz w:val="19"/>
                <w:szCs w:val="19"/>
              </w:rPr>
            </w:pPr>
            <w:r>
              <w:rPr>
                <w:sz w:val="19"/>
                <w:szCs w:val="19"/>
                <w:spacing w:val="3"/>
                <w:position w:val="2"/>
              </w:rPr>
              <w:t>75229</w:t>
            </w:r>
          </w:p>
        </w:tc>
        <w:tc>
          <w:tcPr>
            <w:tcW w:w="708" w:type="dxa"/>
            <w:vAlign w:val="top"/>
            <w:tcBorders>
              <w:bottom w:val="single" w:color="000000" w:sz="6" w:space="0"/>
            </w:tcBorders>
          </w:tcPr>
          <w:p>
            <w:pPr>
              <w:rPr>
                <w:rFonts w:ascii="Arial"/>
                <w:sz w:val="21"/>
              </w:rPr>
            </w:pPr>
            <w:r/>
          </w:p>
        </w:tc>
        <w:tc>
          <w:tcPr>
            <w:tcW w:w="708" w:type="dxa"/>
            <w:vAlign w:val="top"/>
            <w:tcBorders>
              <w:bottom w:val="single" w:color="000000" w:sz="6" w:space="0"/>
            </w:tcBorders>
          </w:tcPr>
          <w:p>
            <w:pPr>
              <w:pStyle w:val="TableText"/>
              <w:ind w:right="2"/>
              <w:spacing w:before="159" w:line="285" w:lineRule="exact"/>
              <w:jc w:val="right"/>
              <w:rPr>
                <w:sz w:val="19"/>
                <w:szCs w:val="19"/>
              </w:rPr>
            </w:pPr>
            <w:r>
              <w:rPr>
                <w:sz w:val="19"/>
                <w:szCs w:val="19"/>
                <w:spacing w:val="-1"/>
                <w:position w:val="2"/>
              </w:rPr>
              <w:t>19083</w:t>
            </w:r>
          </w:p>
        </w:tc>
        <w:tc>
          <w:tcPr>
            <w:tcW w:w="708" w:type="dxa"/>
            <w:vAlign w:val="top"/>
            <w:tcBorders>
              <w:bottom w:val="single" w:color="000000" w:sz="6" w:space="0"/>
            </w:tcBorders>
          </w:tcPr>
          <w:p>
            <w:pPr>
              <w:rPr>
                <w:rFonts w:ascii="Arial"/>
                <w:sz w:val="21"/>
              </w:rPr>
            </w:pPr>
            <w:r/>
          </w:p>
        </w:tc>
        <w:tc>
          <w:tcPr>
            <w:tcW w:w="708" w:type="dxa"/>
            <w:vAlign w:val="top"/>
            <w:tcBorders>
              <w:bottom w:val="single" w:color="000000" w:sz="6" w:space="0"/>
            </w:tcBorders>
          </w:tcPr>
          <w:p>
            <w:pPr>
              <w:rPr>
                <w:rFonts w:ascii="Arial"/>
                <w:sz w:val="21"/>
              </w:rPr>
            </w:pPr>
            <w:r/>
          </w:p>
        </w:tc>
        <w:tc>
          <w:tcPr>
            <w:tcW w:w="708" w:type="dxa"/>
            <w:vAlign w:val="top"/>
            <w:tcBorders>
              <w:bottom w:val="single" w:color="000000" w:sz="6" w:space="0"/>
            </w:tcBorders>
          </w:tcPr>
          <w:p>
            <w:pPr>
              <w:rPr>
                <w:rFonts w:ascii="Arial"/>
                <w:sz w:val="21"/>
              </w:rPr>
            </w:pPr>
            <w:r/>
          </w:p>
        </w:tc>
        <w:tc>
          <w:tcPr>
            <w:tcW w:w="566" w:type="dxa"/>
            <w:vAlign w:val="top"/>
            <w:tcBorders>
              <w:bottom w:val="single" w:color="000000" w:sz="6" w:space="0"/>
              <w:right w:val="single" w:color="000000" w:sz="6" w:space="0"/>
            </w:tcBorders>
          </w:tcPr>
          <w:p>
            <w:pPr>
              <w:pStyle w:val="TableText"/>
              <w:ind w:right="6"/>
              <w:spacing w:before="159" w:line="285" w:lineRule="exact"/>
              <w:jc w:val="right"/>
              <w:rPr>
                <w:sz w:val="19"/>
                <w:szCs w:val="19"/>
              </w:rPr>
            </w:pPr>
            <w:r>
              <w:rPr>
                <w:sz w:val="19"/>
                <w:szCs w:val="19"/>
                <w:spacing w:val="-1"/>
                <w:position w:val="2"/>
              </w:rPr>
              <w:t>12150</w:t>
            </w:r>
          </w:p>
        </w:tc>
      </w:tr>
    </w:tbl>
    <w:p>
      <w:pPr>
        <w:spacing w:line="129" w:lineRule="exact"/>
        <w:rPr>
          <w:rFonts w:ascii="Arial"/>
          <w:sz w:val="11"/>
        </w:rPr>
      </w:pPr>
      <w:r/>
    </w:p>
    <w:p>
      <w:pPr>
        <w:spacing w:line="129" w:lineRule="exact"/>
        <w:sectPr>
          <w:headerReference w:type="default" r:id="rId61"/>
          <w:footerReference w:type="default" r:id="rId86"/>
          <w:pgSz w:w="16839" w:h="11906"/>
          <w:pgMar w:top="1792" w:right="1463" w:bottom="1671" w:left="1463" w:header="1428" w:footer="1277" w:gutter="0"/>
        </w:sectPr>
        <w:rPr>
          <w:rFonts w:ascii="Arial" w:hAnsi="Arial" w:eastAsia="Arial" w:cs="Arial"/>
          <w:sz w:val="11"/>
          <w:szCs w:val="11"/>
        </w:rPr>
      </w:pPr>
    </w:p>
    <w:p>
      <w:pPr>
        <w:spacing w:line="252" w:lineRule="auto"/>
        <w:rPr>
          <w:rFonts w:ascii="Arial"/>
          <w:sz w:val="21"/>
        </w:rPr>
      </w:pPr>
      <w:r>
        <w:drawing>
          <wp:anchor distT="0" distB="0" distL="0" distR="0" simplePos="0" relativeHeight="251686912" behindDoc="0" locked="0" layoutInCell="1" allowOverlap="1">
            <wp:simplePos x="0" y="0"/>
            <wp:positionH relativeFrom="column">
              <wp:posOffset>25146</wp:posOffset>
            </wp:positionH>
            <wp:positionV relativeFrom="paragraph">
              <wp:posOffset>25416</wp:posOffset>
            </wp:positionV>
            <wp:extent cx="5579745" cy="7619"/>
            <wp:effectExtent l="0" t="0" r="0" b="0"/>
            <wp:wrapNone/>
            <wp:docPr id="176" name="IM 176"/>
            <wp:cNvGraphicFramePr/>
            <a:graphic>
              <a:graphicData uri="http://schemas.openxmlformats.org/drawingml/2006/picture">
                <pic:pic>
                  <pic:nvPicPr>
                    <pic:cNvPr id="176" name="IM 176"/>
                    <pic:cNvPicPr/>
                  </pic:nvPicPr>
                  <pic:blipFill>
                    <a:blip r:embed="rId90"/>
                    <a:stretch>
                      <a:fillRect/>
                    </a:stretch>
                  </pic:blipFill>
                  <pic:spPr>
                    <a:xfrm rot="0">
                      <a:off x="0" y="0"/>
                      <a:ext cx="5579745" cy="7619"/>
                    </a:xfrm>
                    <a:prstGeom prst="rect">
                      <a:avLst/>
                    </a:prstGeom>
                  </pic:spPr>
                </pic:pic>
              </a:graphicData>
            </a:graphic>
          </wp:anchor>
        </w:drawing>
      </w:r>
      <w:r/>
    </w:p>
    <w:p>
      <w:pPr>
        <w:ind w:left="47"/>
        <w:spacing w:before="86"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表六之一</w:t>
      </w:r>
    </w:p>
    <w:p>
      <w:pPr>
        <w:pStyle w:val="BodyText"/>
        <w:ind w:left="1278"/>
        <w:spacing w:before="20" w:line="495" w:lineRule="exact"/>
        <w:rPr>
          <w:sz w:val="35"/>
          <w:szCs w:val="35"/>
        </w:rPr>
      </w:pPr>
      <w:r>
        <w:rPr>
          <w:sz w:val="35"/>
          <w:szCs w:val="35"/>
          <w:b/>
          <w:bCs/>
          <w:spacing w:val="3"/>
          <w:position w:val="2"/>
        </w:rPr>
        <w:t>固原市本级</w:t>
      </w:r>
      <w:r>
        <w:rPr>
          <w:sz w:val="35"/>
          <w:szCs w:val="35"/>
          <w:spacing w:val="-77"/>
          <w:position w:val="2"/>
        </w:rPr>
        <w:t xml:space="preserve"> </w:t>
      </w:r>
      <w:r>
        <w:rPr>
          <w:sz w:val="35"/>
          <w:szCs w:val="35"/>
          <w:b/>
          <w:bCs/>
          <w:spacing w:val="3"/>
          <w:position w:val="2"/>
        </w:rPr>
        <w:t>2021</w:t>
      </w:r>
      <w:r>
        <w:rPr>
          <w:sz w:val="35"/>
          <w:szCs w:val="35"/>
          <w:spacing w:val="-75"/>
          <w:position w:val="2"/>
        </w:rPr>
        <w:t xml:space="preserve"> </w:t>
      </w:r>
      <w:r>
        <w:rPr>
          <w:sz w:val="35"/>
          <w:szCs w:val="35"/>
          <w:b/>
          <w:bCs/>
          <w:spacing w:val="3"/>
          <w:position w:val="2"/>
        </w:rPr>
        <w:t>年政府经济分类明细表</w:t>
      </w:r>
    </w:p>
    <w:p>
      <w:pPr>
        <w:pStyle w:val="BodyText"/>
        <w:ind w:left="7882"/>
        <w:spacing w:before="59"/>
        <w:rPr/>
      </w:pPr>
      <w:r>
        <w:rPr>
          <w:spacing w:val="-4"/>
        </w:rPr>
        <w:t>单位:万元</w:t>
      </w:r>
    </w:p>
    <w:tbl>
      <w:tblPr>
        <w:tblStyle w:val="TableNormal"/>
        <w:tblW w:w="8793"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30"/>
        <w:gridCol w:w="4246"/>
        <w:gridCol w:w="2417"/>
      </w:tblGrid>
      <w:tr>
        <w:trPr>
          <w:trHeight w:val="412" w:hRule="atLeast"/>
        </w:trPr>
        <w:tc>
          <w:tcPr>
            <w:tcW w:w="2130" w:type="dxa"/>
            <w:vAlign w:val="top"/>
            <w:tcBorders>
              <w:left w:val="single" w:color="000000" w:sz="6" w:space="0"/>
              <w:top w:val="single" w:color="000000" w:sz="6" w:space="0"/>
            </w:tcBorders>
          </w:tcPr>
          <w:p>
            <w:pPr>
              <w:pStyle w:val="TableText"/>
              <w:ind w:left="658"/>
              <w:spacing w:before="158" w:line="218" w:lineRule="auto"/>
              <w:rPr>
                <w:sz w:val="19"/>
                <w:szCs w:val="19"/>
              </w:rPr>
            </w:pPr>
            <w:r>
              <w:rPr>
                <w:sz w:val="19"/>
                <w:szCs w:val="19"/>
                <w:b/>
                <w:bCs/>
                <w:spacing w:val="7"/>
              </w:rPr>
              <w:t>科目编码</w:t>
            </w:r>
          </w:p>
        </w:tc>
        <w:tc>
          <w:tcPr>
            <w:tcW w:w="4246" w:type="dxa"/>
            <w:vAlign w:val="top"/>
            <w:tcBorders>
              <w:top w:val="single" w:color="000000" w:sz="6" w:space="0"/>
            </w:tcBorders>
          </w:tcPr>
          <w:p>
            <w:pPr>
              <w:pStyle w:val="TableText"/>
              <w:ind w:left="1718"/>
              <w:spacing w:before="158" w:line="218" w:lineRule="auto"/>
              <w:rPr>
                <w:sz w:val="19"/>
                <w:szCs w:val="19"/>
              </w:rPr>
            </w:pPr>
            <w:r>
              <w:rPr>
                <w:sz w:val="19"/>
                <w:szCs w:val="19"/>
                <w:b/>
                <w:bCs/>
                <w:spacing w:val="7"/>
              </w:rPr>
              <w:t>科目名称</w:t>
            </w:r>
          </w:p>
        </w:tc>
        <w:tc>
          <w:tcPr>
            <w:tcW w:w="2417" w:type="dxa"/>
            <w:vAlign w:val="top"/>
            <w:tcBorders>
              <w:right w:val="single" w:color="000000" w:sz="6" w:space="0"/>
              <w:top w:val="single" w:color="000000" w:sz="6" w:space="0"/>
            </w:tcBorders>
          </w:tcPr>
          <w:p>
            <w:pPr>
              <w:pStyle w:val="TableText"/>
              <w:ind w:left="912"/>
              <w:spacing w:before="156" w:line="221" w:lineRule="auto"/>
              <w:rPr>
                <w:sz w:val="19"/>
                <w:szCs w:val="19"/>
              </w:rPr>
            </w:pPr>
            <w:r>
              <w:rPr>
                <w:sz w:val="19"/>
                <w:szCs w:val="19"/>
                <w:b/>
                <w:bCs/>
                <w:spacing w:val="5"/>
              </w:rPr>
              <w:t>预算数</w:t>
            </w:r>
          </w:p>
        </w:tc>
      </w:tr>
      <w:tr>
        <w:trPr>
          <w:trHeight w:val="404" w:hRule="atLeast"/>
        </w:trPr>
        <w:tc>
          <w:tcPr>
            <w:tcW w:w="2130" w:type="dxa"/>
            <w:vAlign w:val="top"/>
            <w:tcBorders>
              <w:left w:val="single" w:color="000000" w:sz="6" w:space="0"/>
            </w:tcBorders>
          </w:tcPr>
          <w:p>
            <w:pPr>
              <w:rPr>
                <w:rFonts w:ascii="Arial"/>
                <w:sz w:val="21"/>
              </w:rPr>
            </w:pPr>
            <w:r/>
          </w:p>
        </w:tc>
        <w:tc>
          <w:tcPr>
            <w:tcW w:w="4246" w:type="dxa"/>
            <w:vAlign w:val="top"/>
          </w:tcPr>
          <w:p>
            <w:pPr>
              <w:pStyle w:val="TableText"/>
              <w:ind w:left="101"/>
              <w:spacing w:before="149" w:line="223" w:lineRule="auto"/>
              <w:rPr>
                <w:sz w:val="19"/>
                <w:szCs w:val="19"/>
              </w:rPr>
            </w:pPr>
            <w:r>
              <w:rPr>
                <w:sz w:val="19"/>
                <w:szCs w:val="19"/>
                <w:b/>
                <w:bCs/>
                <w:spacing w:val="6"/>
              </w:rPr>
              <w:t>合计</w:t>
            </w:r>
          </w:p>
        </w:tc>
        <w:tc>
          <w:tcPr>
            <w:tcW w:w="2417" w:type="dxa"/>
            <w:vAlign w:val="top"/>
            <w:tcBorders>
              <w:right w:val="single" w:color="000000" w:sz="6" w:space="0"/>
            </w:tcBorders>
          </w:tcPr>
          <w:p>
            <w:pPr>
              <w:pStyle w:val="TableText"/>
              <w:ind w:left="1710"/>
              <w:spacing w:before="145" w:line="241" w:lineRule="auto"/>
              <w:rPr>
                <w:sz w:val="19"/>
                <w:szCs w:val="19"/>
              </w:rPr>
            </w:pPr>
            <w:r>
              <w:rPr>
                <w:sz w:val="19"/>
                <w:szCs w:val="19"/>
                <w:b/>
                <w:bCs/>
                <w:spacing w:val="1"/>
              </w:rPr>
              <w:t>319361</w:t>
            </w:r>
          </w:p>
        </w:tc>
      </w:tr>
      <w:tr>
        <w:trPr>
          <w:trHeight w:val="404" w:hRule="atLeast"/>
        </w:trPr>
        <w:tc>
          <w:tcPr>
            <w:tcW w:w="2130" w:type="dxa"/>
            <w:vAlign w:val="top"/>
            <w:tcBorders>
              <w:left w:val="single" w:color="000000" w:sz="6" w:space="0"/>
            </w:tcBorders>
          </w:tcPr>
          <w:p>
            <w:pPr>
              <w:pStyle w:val="TableText"/>
              <w:ind w:left="108"/>
              <w:spacing w:before="148" w:line="239" w:lineRule="auto"/>
              <w:rPr>
                <w:sz w:val="19"/>
                <w:szCs w:val="19"/>
              </w:rPr>
            </w:pPr>
            <w:r>
              <w:rPr>
                <w:sz w:val="19"/>
                <w:szCs w:val="19"/>
                <w:b/>
                <w:bCs/>
                <w:spacing w:val="1"/>
              </w:rPr>
              <w:t>501</w:t>
            </w:r>
          </w:p>
        </w:tc>
        <w:tc>
          <w:tcPr>
            <w:tcW w:w="4246" w:type="dxa"/>
            <w:vAlign w:val="top"/>
          </w:tcPr>
          <w:p>
            <w:pPr>
              <w:pStyle w:val="TableText"/>
              <w:ind w:left="104"/>
              <w:spacing w:before="151" w:line="220" w:lineRule="auto"/>
              <w:rPr>
                <w:sz w:val="19"/>
                <w:szCs w:val="19"/>
              </w:rPr>
            </w:pPr>
            <w:r>
              <w:rPr>
                <w:sz w:val="19"/>
                <w:szCs w:val="19"/>
                <w:b/>
                <w:bCs/>
                <w:spacing w:val="8"/>
              </w:rPr>
              <w:t>机关工资福利支出</w:t>
            </w:r>
          </w:p>
        </w:tc>
        <w:tc>
          <w:tcPr>
            <w:tcW w:w="2417" w:type="dxa"/>
            <w:vAlign w:val="top"/>
            <w:tcBorders>
              <w:right w:val="single" w:color="000000" w:sz="6" w:space="0"/>
            </w:tcBorders>
          </w:tcPr>
          <w:p>
            <w:pPr>
              <w:pStyle w:val="TableText"/>
              <w:ind w:left="1808"/>
              <w:spacing w:before="148" w:line="239" w:lineRule="auto"/>
              <w:rPr>
                <w:sz w:val="19"/>
                <w:szCs w:val="19"/>
              </w:rPr>
            </w:pPr>
            <w:r>
              <w:rPr>
                <w:sz w:val="19"/>
                <w:szCs w:val="19"/>
                <w:b/>
                <w:bCs/>
                <w:spacing w:val="1"/>
              </w:rPr>
              <w:t>65035</w:t>
            </w:r>
          </w:p>
        </w:tc>
      </w:tr>
      <w:tr>
        <w:trPr>
          <w:trHeight w:val="404" w:hRule="atLeast"/>
        </w:trPr>
        <w:tc>
          <w:tcPr>
            <w:tcW w:w="2130" w:type="dxa"/>
            <w:vAlign w:val="top"/>
            <w:tcBorders>
              <w:left w:val="single" w:color="000000" w:sz="6" w:space="0"/>
            </w:tcBorders>
          </w:tcPr>
          <w:p>
            <w:pPr>
              <w:pStyle w:val="TableText"/>
              <w:ind w:left="307"/>
              <w:spacing w:before="149" w:line="238" w:lineRule="auto"/>
              <w:rPr>
                <w:sz w:val="19"/>
                <w:szCs w:val="19"/>
              </w:rPr>
            </w:pPr>
            <w:r>
              <w:rPr>
                <w:sz w:val="19"/>
                <w:szCs w:val="19"/>
                <w:spacing w:val="2"/>
              </w:rPr>
              <w:t>50101</w:t>
            </w:r>
          </w:p>
        </w:tc>
        <w:tc>
          <w:tcPr>
            <w:tcW w:w="4246" w:type="dxa"/>
            <w:vAlign w:val="top"/>
          </w:tcPr>
          <w:p>
            <w:pPr>
              <w:pStyle w:val="TableText"/>
              <w:ind w:left="302"/>
              <w:spacing w:before="152" w:line="221" w:lineRule="auto"/>
              <w:rPr>
                <w:sz w:val="19"/>
                <w:szCs w:val="19"/>
              </w:rPr>
            </w:pPr>
            <w:r>
              <w:rPr>
                <w:sz w:val="19"/>
                <w:szCs w:val="19"/>
                <w:spacing w:val="9"/>
              </w:rPr>
              <w:t>工资奖金津补贴</w:t>
            </w:r>
          </w:p>
        </w:tc>
        <w:tc>
          <w:tcPr>
            <w:tcW w:w="2417" w:type="dxa"/>
            <w:vAlign w:val="top"/>
            <w:tcBorders>
              <w:right w:val="single" w:color="000000" w:sz="6" w:space="0"/>
            </w:tcBorders>
          </w:tcPr>
          <w:p>
            <w:pPr>
              <w:pStyle w:val="TableText"/>
              <w:ind w:left="1815"/>
              <w:spacing w:before="149" w:line="238" w:lineRule="auto"/>
              <w:rPr>
                <w:sz w:val="19"/>
                <w:szCs w:val="19"/>
              </w:rPr>
            </w:pPr>
            <w:r>
              <w:rPr>
                <w:sz w:val="19"/>
                <w:szCs w:val="19"/>
                <w:spacing w:val="2"/>
              </w:rPr>
              <w:t>33576</w:t>
            </w:r>
          </w:p>
        </w:tc>
      </w:tr>
      <w:tr>
        <w:trPr>
          <w:trHeight w:val="404" w:hRule="atLeast"/>
        </w:trPr>
        <w:tc>
          <w:tcPr>
            <w:tcW w:w="2130" w:type="dxa"/>
            <w:vAlign w:val="top"/>
            <w:tcBorders>
              <w:left w:val="single" w:color="000000" w:sz="6" w:space="0"/>
            </w:tcBorders>
          </w:tcPr>
          <w:p>
            <w:pPr>
              <w:pStyle w:val="TableText"/>
              <w:ind w:left="307"/>
              <w:spacing w:before="150" w:line="237" w:lineRule="auto"/>
              <w:rPr>
                <w:sz w:val="19"/>
                <w:szCs w:val="19"/>
              </w:rPr>
            </w:pPr>
            <w:r>
              <w:rPr>
                <w:sz w:val="19"/>
                <w:szCs w:val="19"/>
                <w:spacing w:val="2"/>
              </w:rPr>
              <w:t>50102</w:t>
            </w:r>
          </w:p>
        </w:tc>
        <w:tc>
          <w:tcPr>
            <w:tcW w:w="4246" w:type="dxa"/>
            <w:vAlign w:val="top"/>
          </w:tcPr>
          <w:p>
            <w:pPr>
              <w:pStyle w:val="TableText"/>
              <w:ind w:left="301"/>
              <w:spacing w:before="153" w:line="222" w:lineRule="auto"/>
              <w:rPr>
                <w:sz w:val="19"/>
                <w:szCs w:val="19"/>
              </w:rPr>
            </w:pPr>
            <w:r>
              <w:rPr>
                <w:sz w:val="19"/>
                <w:szCs w:val="19"/>
                <w:spacing w:val="9"/>
              </w:rPr>
              <w:t>社会保障缴费</w:t>
            </w:r>
          </w:p>
        </w:tc>
        <w:tc>
          <w:tcPr>
            <w:tcW w:w="2417" w:type="dxa"/>
            <w:vAlign w:val="top"/>
            <w:tcBorders>
              <w:right w:val="single" w:color="000000" w:sz="6" w:space="0"/>
            </w:tcBorders>
          </w:tcPr>
          <w:p>
            <w:pPr>
              <w:pStyle w:val="TableText"/>
              <w:ind w:left="1812"/>
              <w:spacing w:before="150" w:line="237" w:lineRule="auto"/>
              <w:rPr>
                <w:sz w:val="19"/>
                <w:szCs w:val="19"/>
              </w:rPr>
            </w:pPr>
            <w:r>
              <w:rPr>
                <w:sz w:val="19"/>
                <w:szCs w:val="19"/>
                <w:spacing w:val="2"/>
              </w:rPr>
              <w:t>22469</w:t>
            </w:r>
          </w:p>
        </w:tc>
      </w:tr>
      <w:tr>
        <w:trPr>
          <w:trHeight w:val="404" w:hRule="atLeast"/>
        </w:trPr>
        <w:tc>
          <w:tcPr>
            <w:tcW w:w="2130" w:type="dxa"/>
            <w:vAlign w:val="top"/>
            <w:tcBorders>
              <w:left w:val="single" w:color="000000" w:sz="6" w:space="0"/>
            </w:tcBorders>
          </w:tcPr>
          <w:p>
            <w:pPr>
              <w:pStyle w:val="TableText"/>
              <w:ind w:left="307"/>
              <w:spacing w:before="151" w:line="236" w:lineRule="auto"/>
              <w:rPr>
                <w:sz w:val="19"/>
                <w:szCs w:val="19"/>
              </w:rPr>
            </w:pPr>
            <w:r>
              <w:rPr>
                <w:sz w:val="19"/>
                <w:szCs w:val="19"/>
                <w:spacing w:val="2"/>
              </w:rPr>
              <w:t>50103</w:t>
            </w:r>
          </w:p>
        </w:tc>
        <w:tc>
          <w:tcPr>
            <w:tcW w:w="4246" w:type="dxa"/>
            <w:vAlign w:val="top"/>
          </w:tcPr>
          <w:p>
            <w:pPr>
              <w:pStyle w:val="TableText"/>
              <w:ind w:left="301"/>
              <w:spacing w:before="156" w:line="218" w:lineRule="auto"/>
              <w:rPr>
                <w:sz w:val="19"/>
                <w:szCs w:val="19"/>
              </w:rPr>
            </w:pPr>
            <w:r>
              <w:rPr>
                <w:sz w:val="19"/>
                <w:szCs w:val="19"/>
                <w:spacing w:val="8"/>
              </w:rPr>
              <w:t>住房公积金</w:t>
            </w:r>
          </w:p>
        </w:tc>
        <w:tc>
          <w:tcPr>
            <w:tcW w:w="2417" w:type="dxa"/>
            <w:vAlign w:val="top"/>
            <w:tcBorders>
              <w:right w:val="single" w:color="000000" w:sz="6" w:space="0"/>
            </w:tcBorders>
          </w:tcPr>
          <w:p>
            <w:pPr>
              <w:pStyle w:val="TableText"/>
              <w:ind w:left="1914"/>
              <w:spacing w:before="151" w:line="236" w:lineRule="auto"/>
              <w:rPr>
                <w:sz w:val="19"/>
                <w:szCs w:val="19"/>
              </w:rPr>
            </w:pPr>
            <w:r>
              <w:rPr>
                <w:sz w:val="19"/>
                <w:szCs w:val="19"/>
                <w:spacing w:val="1"/>
              </w:rPr>
              <w:t>3125</w:t>
            </w:r>
          </w:p>
        </w:tc>
      </w:tr>
      <w:tr>
        <w:trPr>
          <w:trHeight w:val="404" w:hRule="atLeast"/>
        </w:trPr>
        <w:tc>
          <w:tcPr>
            <w:tcW w:w="2130" w:type="dxa"/>
            <w:vAlign w:val="top"/>
            <w:tcBorders>
              <w:left w:val="single" w:color="000000" w:sz="6" w:space="0"/>
            </w:tcBorders>
          </w:tcPr>
          <w:p>
            <w:pPr>
              <w:pStyle w:val="TableText"/>
              <w:ind w:left="307"/>
              <w:spacing w:before="150" w:line="237" w:lineRule="auto"/>
              <w:rPr>
                <w:sz w:val="19"/>
                <w:szCs w:val="19"/>
              </w:rPr>
            </w:pPr>
            <w:r>
              <w:rPr>
                <w:sz w:val="19"/>
                <w:szCs w:val="19"/>
                <w:spacing w:val="2"/>
              </w:rPr>
              <w:t>50199</w:t>
            </w:r>
          </w:p>
        </w:tc>
        <w:tc>
          <w:tcPr>
            <w:tcW w:w="4246" w:type="dxa"/>
            <w:vAlign w:val="top"/>
          </w:tcPr>
          <w:p>
            <w:pPr>
              <w:pStyle w:val="TableText"/>
              <w:ind w:left="301"/>
              <w:spacing w:before="153" w:line="222" w:lineRule="auto"/>
              <w:rPr>
                <w:sz w:val="19"/>
                <w:szCs w:val="19"/>
              </w:rPr>
            </w:pPr>
            <w:r>
              <w:rPr>
                <w:sz w:val="19"/>
                <w:szCs w:val="19"/>
                <w:spacing w:val="9"/>
              </w:rPr>
              <w:t>其他工资福利支出</w:t>
            </w:r>
          </w:p>
        </w:tc>
        <w:tc>
          <w:tcPr>
            <w:tcW w:w="2417" w:type="dxa"/>
            <w:vAlign w:val="top"/>
            <w:tcBorders>
              <w:right w:val="single" w:color="000000" w:sz="6" w:space="0"/>
            </w:tcBorders>
          </w:tcPr>
          <w:p>
            <w:pPr>
              <w:pStyle w:val="TableText"/>
              <w:ind w:left="1911"/>
              <w:spacing w:before="150" w:line="237" w:lineRule="auto"/>
              <w:rPr>
                <w:sz w:val="19"/>
                <w:szCs w:val="19"/>
              </w:rPr>
            </w:pPr>
            <w:r>
              <w:rPr>
                <w:sz w:val="19"/>
                <w:szCs w:val="19"/>
                <w:spacing w:val="2"/>
              </w:rPr>
              <w:t>5865</w:t>
            </w:r>
          </w:p>
        </w:tc>
      </w:tr>
      <w:tr>
        <w:trPr>
          <w:trHeight w:val="404" w:hRule="atLeast"/>
        </w:trPr>
        <w:tc>
          <w:tcPr>
            <w:tcW w:w="2130" w:type="dxa"/>
            <w:vAlign w:val="top"/>
            <w:tcBorders>
              <w:left w:val="single" w:color="000000" w:sz="6" w:space="0"/>
            </w:tcBorders>
          </w:tcPr>
          <w:p>
            <w:pPr>
              <w:pStyle w:val="TableText"/>
              <w:ind w:left="108"/>
              <w:spacing w:before="151" w:line="236" w:lineRule="auto"/>
              <w:rPr>
                <w:sz w:val="19"/>
                <w:szCs w:val="19"/>
              </w:rPr>
            </w:pPr>
            <w:r>
              <w:rPr>
                <w:sz w:val="19"/>
                <w:szCs w:val="19"/>
                <w:b/>
                <w:bCs/>
                <w:spacing w:val="1"/>
              </w:rPr>
              <w:t>502</w:t>
            </w:r>
          </w:p>
        </w:tc>
        <w:tc>
          <w:tcPr>
            <w:tcW w:w="4246" w:type="dxa"/>
            <w:vAlign w:val="top"/>
          </w:tcPr>
          <w:p>
            <w:pPr>
              <w:pStyle w:val="TableText"/>
              <w:ind w:left="104"/>
              <w:spacing w:before="151" w:line="236" w:lineRule="auto"/>
              <w:rPr>
                <w:sz w:val="19"/>
                <w:szCs w:val="19"/>
              </w:rPr>
            </w:pPr>
            <w:r>
              <w:rPr>
                <w:sz w:val="19"/>
                <w:szCs w:val="19"/>
                <w:b/>
                <w:bCs/>
                <w:spacing w:val="7"/>
              </w:rPr>
              <w:t>机关商品和服务支出</w:t>
            </w:r>
          </w:p>
        </w:tc>
        <w:tc>
          <w:tcPr>
            <w:tcW w:w="2417" w:type="dxa"/>
            <w:vAlign w:val="top"/>
            <w:tcBorders>
              <w:right w:val="single" w:color="000000" w:sz="6" w:space="0"/>
            </w:tcBorders>
          </w:tcPr>
          <w:p>
            <w:pPr>
              <w:pStyle w:val="TableText"/>
              <w:ind w:left="1810"/>
              <w:spacing w:before="151" w:line="236" w:lineRule="auto"/>
              <w:rPr>
                <w:sz w:val="19"/>
                <w:szCs w:val="19"/>
              </w:rPr>
            </w:pPr>
            <w:r>
              <w:rPr>
                <w:sz w:val="19"/>
                <w:szCs w:val="19"/>
                <w:b/>
                <w:bCs/>
                <w:spacing w:val="1"/>
              </w:rPr>
              <w:t>35683</w:t>
            </w:r>
          </w:p>
        </w:tc>
      </w:tr>
      <w:tr>
        <w:trPr>
          <w:trHeight w:val="405" w:hRule="atLeast"/>
        </w:trPr>
        <w:tc>
          <w:tcPr>
            <w:tcW w:w="2130" w:type="dxa"/>
            <w:vAlign w:val="top"/>
            <w:tcBorders>
              <w:left w:val="single" w:color="000000" w:sz="6" w:space="0"/>
            </w:tcBorders>
          </w:tcPr>
          <w:p>
            <w:pPr>
              <w:pStyle w:val="TableText"/>
              <w:ind w:left="307"/>
              <w:spacing w:before="152" w:line="236" w:lineRule="auto"/>
              <w:rPr>
                <w:sz w:val="19"/>
                <w:szCs w:val="19"/>
              </w:rPr>
            </w:pPr>
            <w:r>
              <w:rPr>
                <w:sz w:val="19"/>
                <w:szCs w:val="19"/>
                <w:spacing w:val="2"/>
              </w:rPr>
              <w:t>50201</w:t>
            </w:r>
          </w:p>
        </w:tc>
        <w:tc>
          <w:tcPr>
            <w:tcW w:w="4246" w:type="dxa"/>
            <w:vAlign w:val="top"/>
          </w:tcPr>
          <w:p>
            <w:pPr>
              <w:pStyle w:val="TableText"/>
              <w:ind w:left="304"/>
              <w:spacing w:before="159" w:line="219" w:lineRule="auto"/>
              <w:rPr>
                <w:sz w:val="19"/>
                <w:szCs w:val="19"/>
              </w:rPr>
            </w:pPr>
            <w:r>
              <w:rPr>
                <w:sz w:val="19"/>
                <w:szCs w:val="19"/>
                <w:spacing w:val="8"/>
              </w:rPr>
              <w:t>办公经费</w:t>
            </w:r>
          </w:p>
        </w:tc>
        <w:tc>
          <w:tcPr>
            <w:tcW w:w="2417" w:type="dxa"/>
            <w:vAlign w:val="top"/>
            <w:tcBorders>
              <w:right w:val="single" w:color="000000" w:sz="6" w:space="0"/>
            </w:tcBorders>
          </w:tcPr>
          <w:p>
            <w:pPr>
              <w:pStyle w:val="TableText"/>
              <w:ind w:left="1812"/>
              <w:spacing w:before="152" w:line="236" w:lineRule="auto"/>
              <w:rPr>
                <w:sz w:val="19"/>
                <w:szCs w:val="19"/>
              </w:rPr>
            </w:pPr>
            <w:r>
              <w:rPr>
                <w:sz w:val="19"/>
                <w:szCs w:val="19"/>
                <w:spacing w:val="2"/>
              </w:rPr>
              <w:t>23215</w:t>
            </w:r>
          </w:p>
        </w:tc>
      </w:tr>
      <w:tr>
        <w:trPr>
          <w:trHeight w:val="404" w:hRule="atLeast"/>
        </w:trPr>
        <w:tc>
          <w:tcPr>
            <w:tcW w:w="2130" w:type="dxa"/>
            <w:vAlign w:val="top"/>
            <w:tcBorders>
              <w:left w:val="single" w:color="000000" w:sz="6" w:space="0"/>
            </w:tcBorders>
          </w:tcPr>
          <w:p>
            <w:pPr>
              <w:pStyle w:val="TableText"/>
              <w:ind w:left="307"/>
              <w:spacing w:before="152" w:line="235" w:lineRule="auto"/>
              <w:rPr>
                <w:sz w:val="19"/>
                <w:szCs w:val="19"/>
              </w:rPr>
            </w:pPr>
            <w:r>
              <w:rPr>
                <w:sz w:val="19"/>
                <w:szCs w:val="19"/>
                <w:spacing w:val="2"/>
              </w:rPr>
              <w:t>50202</w:t>
            </w:r>
          </w:p>
        </w:tc>
        <w:tc>
          <w:tcPr>
            <w:tcW w:w="4246" w:type="dxa"/>
            <w:vAlign w:val="top"/>
          </w:tcPr>
          <w:p>
            <w:pPr>
              <w:pStyle w:val="TableText"/>
              <w:ind w:left="299"/>
              <w:spacing w:before="159" w:line="218" w:lineRule="auto"/>
              <w:rPr>
                <w:sz w:val="19"/>
                <w:szCs w:val="19"/>
              </w:rPr>
            </w:pPr>
            <w:r>
              <w:rPr>
                <w:sz w:val="19"/>
                <w:szCs w:val="19"/>
                <w:spacing w:val="9"/>
              </w:rPr>
              <w:t>会议费</w:t>
            </w:r>
          </w:p>
        </w:tc>
        <w:tc>
          <w:tcPr>
            <w:tcW w:w="2417" w:type="dxa"/>
            <w:vAlign w:val="top"/>
            <w:tcBorders>
              <w:right w:val="single" w:color="000000" w:sz="6" w:space="0"/>
            </w:tcBorders>
          </w:tcPr>
          <w:p>
            <w:pPr>
              <w:pStyle w:val="TableText"/>
              <w:ind w:left="2009"/>
              <w:spacing w:before="152" w:line="235" w:lineRule="auto"/>
              <w:rPr>
                <w:sz w:val="19"/>
                <w:szCs w:val="19"/>
              </w:rPr>
            </w:pPr>
            <w:r>
              <w:rPr>
                <w:sz w:val="19"/>
                <w:szCs w:val="19"/>
                <w:spacing w:val="1"/>
              </w:rPr>
              <w:t>280</w:t>
            </w:r>
          </w:p>
        </w:tc>
      </w:tr>
      <w:tr>
        <w:trPr>
          <w:trHeight w:val="405" w:hRule="atLeast"/>
        </w:trPr>
        <w:tc>
          <w:tcPr>
            <w:tcW w:w="2130" w:type="dxa"/>
            <w:vAlign w:val="top"/>
            <w:tcBorders>
              <w:left w:val="single" w:color="000000" w:sz="6" w:space="0"/>
            </w:tcBorders>
          </w:tcPr>
          <w:p>
            <w:pPr>
              <w:pStyle w:val="TableText"/>
              <w:ind w:left="307"/>
              <w:spacing w:before="154" w:line="234" w:lineRule="auto"/>
              <w:rPr>
                <w:sz w:val="19"/>
                <w:szCs w:val="19"/>
              </w:rPr>
            </w:pPr>
            <w:r>
              <w:rPr>
                <w:sz w:val="19"/>
                <w:szCs w:val="19"/>
                <w:spacing w:val="2"/>
              </w:rPr>
              <w:t>50203</w:t>
            </w:r>
          </w:p>
        </w:tc>
        <w:tc>
          <w:tcPr>
            <w:tcW w:w="4246" w:type="dxa"/>
            <w:vAlign w:val="top"/>
          </w:tcPr>
          <w:p>
            <w:pPr>
              <w:pStyle w:val="TableText"/>
              <w:ind w:left="304"/>
              <w:spacing w:before="160" w:line="220" w:lineRule="auto"/>
              <w:rPr>
                <w:sz w:val="19"/>
                <w:szCs w:val="19"/>
              </w:rPr>
            </w:pPr>
            <w:r>
              <w:rPr>
                <w:sz w:val="19"/>
                <w:szCs w:val="19"/>
                <w:spacing w:val="7"/>
              </w:rPr>
              <w:t>培训费</w:t>
            </w:r>
          </w:p>
        </w:tc>
        <w:tc>
          <w:tcPr>
            <w:tcW w:w="2417" w:type="dxa"/>
            <w:vAlign w:val="top"/>
            <w:tcBorders>
              <w:right w:val="single" w:color="000000" w:sz="6" w:space="0"/>
            </w:tcBorders>
          </w:tcPr>
          <w:p>
            <w:pPr>
              <w:pStyle w:val="TableText"/>
              <w:ind w:left="2010"/>
              <w:spacing w:before="154" w:line="234" w:lineRule="auto"/>
              <w:rPr>
                <w:sz w:val="19"/>
                <w:szCs w:val="19"/>
              </w:rPr>
            </w:pPr>
            <w:r>
              <w:rPr>
                <w:sz w:val="19"/>
                <w:szCs w:val="19"/>
                <w:spacing w:val="1"/>
              </w:rPr>
              <w:t>688</w:t>
            </w:r>
          </w:p>
        </w:tc>
      </w:tr>
      <w:tr>
        <w:trPr>
          <w:trHeight w:val="404" w:hRule="atLeast"/>
        </w:trPr>
        <w:tc>
          <w:tcPr>
            <w:tcW w:w="2130" w:type="dxa"/>
            <w:vAlign w:val="top"/>
            <w:tcBorders>
              <w:left w:val="single" w:color="000000" w:sz="6" w:space="0"/>
            </w:tcBorders>
          </w:tcPr>
          <w:p>
            <w:pPr>
              <w:pStyle w:val="TableText"/>
              <w:ind w:left="307"/>
              <w:spacing w:before="154" w:line="233" w:lineRule="auto"/>
              <w:rPr>
                <w:sz w:val="19"/>
                <w:szCs w:val="19"/>
              </w:rPr>
            </w:pPr>
            <w:r>
              <w:rPr>
                <w:sz w:val="19"/>
                <w:szCs w:val="19"/>
                <w:spacing w:val="2"/>
              </w:rPr>
              <w:t>50204</w:t>
            </w:r>
          </w:p>
        </w:tc>
        <w:tc>
          <w:tcPr>
            <w:tcW w:w="4246" w:type="dxa"/>
            <w:vAlign w:val="top"/>
          </w:tcPr>
          <w:p>
            <w:pPr>
              <w:pStyle w:val="TableText"/>
              <w:ind w:left="301"/>
              <w:spacing w:before="154" w:line="233" w:lineRule="auto"/>
              <w:rPr>
                <w:sz w:val="19"/>
                <w:szCs w:val="19"/>
              </w:rPr>
            </w:pPr>
            <w:r>
              <w:rPr>
                <w:sz w:val="19"/>
                <w:szCs w:val="19"/>
                <w:spacing w:val="9"/>
              </w:rPr>
              <w:t>专用材料购置费</w:t>
            </w:r>
          </w:p>
        </w:tc>
        <w:tc>
          <w:tcPr>
            <w:tcW w:w="2417" w:type="dxa"/>
            <w:vAlign w:val="top"/>
            <w:tcBorders>
              <w:right w:val="single" w:color="000000" w:sz="6" w:space="0"/>
            </w:tcBorders>
          </w:tcPr>
          <w:p>
            <w:pPr>
              <w:pStyle w:val="TableText"/>
              <w:ind w:left="2025"/>
              <w:spacing w:before="154" w:line="233" w:lineRule="auto"/>
              <w:rPr>
                <w:sz w:val="19"/>
                <w:szCs w:val="19"/>
              </w:rPr>
            </w:pPr>
            <w:r>
              <w:rPr>
                <w:sz w:val="19"/>
                <w:szCs w:val="19"/>
                <w:spacing w:val="-4"/>
              </w:rPr>
              <w:t>191</w:t>
            </w:r>
          </w:p>
        </w:tc>
      </w:tr>
      <w:tr>
        <w:trPr>
          <w:trHeight w:val="405" w:hRule="atLeast"/>
        </w:trPr>
        <w:tc>
          <w:tcPr>
            <w:tcW w:w="2130" w:type="dxa"/>
            <w:vAlign w:val="top"/>
            <w:tcBorders>
              <w:left w:val="single" w:color="000000" w:sz="6" w:space="0"/>
            </w:tcBorders>
          </w:tcPr>
          <w:p>
            <w:pPr>
              <w:pStyle w:val="TableText"/>
              <w:ind w:left="307"/>
              <w:spacing w:before="155" w:line="233" w:lineRule="auto"/>
              <w:rPr>
                <w:sz w:val="19"/>
                <w:szCs w:val="19"/>
              </w:rPr>
            </w:pPr>
            <w:r>
              <w:rPr>
                <w:sz w:val="19"/>
                <w:szCs w:val="19"/>
                <w:spacing w:val="2"/>
              </w:rPr>
              <w:t>50205</w:t>
            </w:r>
          </w:p>
        </w:tc>
        <w:tc>
          <w:tcPr>
            <w:tcW w:w="4246" w:type="dxa"/>
            <w:vAlign w:val="top"/>
          </w:tcPr>
          <w:p>
            <w:pPr>
              <w:pStyle w:val="TableText"/>
              <w:ind w:left="304"/>
              <w:spacing w:before="161" w:line="220" w:lineRule="auto"/>
              <w:rPr>
                <w:sz w:val="19"/>
                <w:szCs w:val="19"/>
              </w:rPr>
            </w:pPr>
            <w:r>
              <w:rPr>
                <w:sz w:val="19"/>
                <w:szCs w:val="19"/>
                <w:spacing w:val="8"/>
              </w:rPr>
              <w:t>委托业务费</w:t>
            </w:r>
          </w:p>
        </w:tc>
        <w:tc>
          <w:tcPr>
            <w:tcW w:w="2417" w:type="dxa"/>
            <w:vAlign w:val="top"/>
            <w:tcBorders>
              <w:right w:val="single" w:color="000000" w:sz="6" w:space="0"/>
            </w:tcBorders>
          </w:tcPr>
          <w:p>
            <w:pPr>
              <w:pStyle w:val="TableText"/>
              <w:ind w:left="1914"/>
              <w:spacing w:before="155" w:line="233" w:lineRule="auto"/>
              <w:rPr>
                <w:sz w:val="19"/>
                <w:szCs w:val="19"/>
              </w:rPr>
            </w:pPr>
            <w:r>
              <w:rPr>
                <w:sz w:val="19"/>
                <w:szCs w:val="19"/>
                <w:spacing w:val="1"/>
              </w:rPr>
              <w:t>3612</w:t>
            </w:r>
          </w:p>
        </w:tc>
      </w:tr>
      <w:tr>
        <w:trPr>
          <w:trHeight w:val="404" w:hRule="atLeast"/>
        </w:trPr>
        <w:tc>
          <w:tcPr>
            <w:tcW w:w="2130" w:type="dxa"/>
            <w:vAlign w:val="top"/>
            <w:tcBorders>
              <w:left w:val="single" w:color="000000" w:sz="6" w:space="0"/>
            </w:tcBorders>
          </w:tcPr>
          <w:p>
            <w:pPr>
              <w:pStyle w:val="TableText"/>
              <w:ind w:left="307"/>
              <w:spacing w:before="155" w:line="232" w:lineRule="auto"/>
              <w:rPr>
                <w:sz w:val="19"/>
                <w:szCs w:val="19"/>
              </w:rPr>
            </w:pPr>
            <w:r>
              <w:rPr>
                <w:sz w:val="19"/>
                <w:szCs w:val="19"/>
                <w:spacing w:val="2"/>
              </w:rPr>
              <w:t>50206</w:t>
            </w:r>
          </w:p>
        </w:tc>
        <w:tc>
          <w:tcPr>
            <w:tcW w:w="4246" w:type="dxa"/>
            <w:vAlign w:val="top"/>
          </w:tcPr>
          <w:p>
            <w:pPr>
              <w:pStyle w:val="TableText"/>
              <w:ind w:left="300"/>
              <w:spacing w:before="158" w:line="223" w:lineRule="auto"/>
              <w:rPr>
                <w:sz w:val="19"/>
                <w:szCs w:val="19"/>
              </w:rPr>
            </w:pPr>
            <w:r>
              <w:rPr>
                <w:sz w:val="19"/>
                <w:szCs w:val="19"/>
                <w:spacing w:val="9"/>
              </w:rPr>
              <w:t>公务接待费</w:t>
            </w:r>
          </w:p>
        </w:tc>
        <w:tc>
          <w:tcPr>
            <w:tcW w:w="2417" w:type="dxa"/>
            <w:vAlign w:val="top"/>
            <w:tcBorders>
              <w:right w:val="single" w:color="000000" w:sz="6" w:space="0"/>
            </w:tcBorders>
          </w:tcPr>
          <w:p>
            <w:pPr>
              <w:pStyle w:val="TableText"/>
              <w:ind w:left="2126"/>
              <w:spacing w:before="155" w:line="232" w:lineRule="auto"/>
              <w:rPr>
                <w:sz w:val="19"/>
                <w:szCs w:val="19"/>
              </w:rPr>
            </w:pPr>
            <w:r>
              <w:rPr>
                <w:sz w:val="19"/>
                <w:szCs w:val="19"/>
                <w:spacing w:val="-8"/>
              </w:rPr>
              <w:t>11</w:t>
            </w:r>
          </w:p>
        </w:tc>
      </w:tr>
      <w:tr>
        <w:trPr>
          <w:trHeight w:val="405" w:hRule="atLeast"/>
        </w:trPr>
        <w:tc>
          <w:tcPr>
            <w:tcW w:w="2130" w:type="dxa"/>
            <w:vAlign w:val="top"/>
            <w:tcBorders>
              <w:left w:val="single" w:color="000000" w:sz="6" w:space="0"/>
            </w:tcBorders>
          </w:tcPr>
          <w:p>
            <w:pPr>
              <w:pStyle w:val="TableText"/>
              <w:ind w:left="307"/>
              <w:spacing w:before="156" w:line="232" w:lineRule="auto"/>
              <w:rPr>
                <w:sz w:val="19"/>
                <w:szCs w:val="19"/>
              </w:rPr>
            </w:pPr>
            <w:r>
              <w:rPr>
                <w:sz w:val="19"/>
                <w:szCs w:val="19"/>
                <w:spacing w:val="2"/>
              </w:rPr>
              <w:t>50207</w:t>
            </w:r>
          </w:p>
        </w:tc>
        <w:tc>
          <w:tcPr>
            <w:tcW w:w="4246" w:type="dxa"/>
            <w:vAlign w:val="top"/>
          </w:tcPr>
          <w:p>
            <w:pPr>
              <w:pStyle w:val="TableText"/>
              <w:ind w:left="319"/>
              <w:spacing w:before="156" w:line="232" w:lineRule="auto"/>
              <w:rPr>
                <w:sz w:val="19"/>
                <w:szCs w:val="19"/>
              </w:rPr>
            </w:pPr>
            <w:r>
              <w:rPr>
                <w:sz w:val="19"/>
                <w:szCs w:val="19"/>
                <w:spacing w:val="-4"/>
              </w:rPr>
              <w:t>因公出国(境)费用</w:t>
            </w:r>
          </w:p>
        </w:tc>
        <w:tc>
          <w:tcPr>
            <w:tcW w:w="2417" w:type="dxa"/>
            <w:vAlign w:val="top"/>
            <w:tcBorders>
              <w:right w:val="single" w:color="000000" w:sz="6" w:space="0"/>
            </w:tcBorders>
          </w:tcPr>
          <w:p>
            <w:pPr>
              <w:pStyle w:val="TableText"/>
              <w:ind w:left="2211"/>
              <w:spacing w:before="156" w:line="232" w:lineRule="auto"/>
              <w:rPr>
                <w:sz w:val="19"/>
                <w:szCs w:val="19"/>
              </w:rPr>
            </w:pPr>
            <w:r>
              <w:rPr>
                <w:sz w:val="19"/>
                <w:szCs w:val="19"/>
              </w:rPr>
              <w:t>3</w:t>
            </w:r>
          </w:p>
        </w:tc>
      </w:tr>
      <w:tr>
        <w:trPr>
          <w:trHeight w:val="404" w:hRule="atLeast"/>
        </w:trPr>
        <w:tc>
          <w:tcPr>
            <w:tcW w:w="2130" w:type="dxa"/>
            <w:vAlign w:val="top"/>
            <w:tcBorders>
              <w:left w:val="single" w:color="000000" w:sz="6" w:space="0"/>
            </w:tcBorders>
          </w:tcPr>
          <w:p>
            <w:pPr>
              <w:pStyle w:val="TableText"/>
              <w:ind w:left="307"/>
              <w:spacing w:before="157" w:line="230" w:lineRule="auto"/>
              <w:rPr>
                <w:sz w:val="19"/>
                <w:szCs w:val="19"/>
              </w:rPr>
            </w:pPr>
            <w:r>
              <w:rPr>
                <w:sz w:val="19"/>
                <w:szCs w:val="19"/>
                <w:spacing w:val="2"/>
              </w:rPr>
              <w:t>50208</w:t>
            </w:r>
          </w:p>
        </w:tc>
        <w:tc>
          <w:tcPr>
            <w:tcW w:w="4246" w:type="dxa"/>
            <w:vAlign w:val="top"/>
          </w:tcPr>
          <w:p>
            <w:pPr>
              <w:pStyle w:val="TableText"/>
              <w:ind w:left="300"/>
              <w:spacing w:before="161" w:line="221" w:lineRule="auto"/>
              <w:rPr>
                <w:sz w:val="19"/>
                <w:szCs w:val="19"/>
              </w:rPr>
            </w:pPr>
            <w:r>
              <w:rPr>
                <w:sz w:val="19"/>
                <w:szCs w:val="19"/>
                <w:spacing w:val="9"/>
              </w:rPr>
              <w:t>公务用车运行维护费</w:t>
            </w:r>
          </w:p>
        </w:tc>
        <w:tc>
          <w:tcPr>
            <w:tcW w:w="2417" w:type="dxa"/>
            <w:vAlign w:val="top"/>
            <w:tcBorders>
              <w:right w:val="single" w:color="000000" w:sz="6" w:space="0"/>
            </w:tcBorders>
          </w:tcPr>
          <w:p>
            <w:pPr>
              <w:pStyle w:val="TableText"/>
              <w:ind w:left="2010"/>
              <w:spacing w:before="157" w:line="230" w:lineRule="auto"/>
              <w:rPr>
                <w:sz w:val="19"/>
                <w:szCs w:val="19"/>
              </w:rPr>
            </w:pPr>
            <w:r>
              <w:rPr>
                <w:sz w:val="19"/>
                <w:szCs w:val="19"/>
                <w:spacing w:val="1"/>
              </w:rPr>
              <w:t>568</w:t>
            </w:r>
          </w:p>
        </w:tc>
      </w:tr>
      <w:tr>
        <w:trPr>
          <w:trHeight w:val="404" w:hRule="atLeast"/>
        </w:trPr>
        <w:tc>
          <w:tcPr>
            <w:tcW w:w="2130" w:type="dxa"/>
            <w:vAlign w:val="top"/>
            <w:tcBorders>
              <w:left w:val="single" w:color="000000" w:sz="6" w:space="0"/>
            </w:tcBorders>
          </w:tcPr>
          <w:p>
            <w:pPr>
              <w:pStyle w:val="TableText"/>
              <w:ind w:left="307"/>
              <w:spacing w:before="158" w:line="229" w:lineRule="auto"/>
              <w:rPr>
                <w:sz w:val="19"/>
                <w:szCs w:val="19"/>
              </w:rPr>
            </w:pPr>
            <w:r>
              <w:rPr>
                <w:sz w:val="19"/>
                <w:szCs w:val="19"/>
                <w:spacing w:val="2"/>
              </w:rPr>
              <w:t>50209</w:t>
            </w:r>
          </w:p>
        </w:tc>
        <w:tc>
          <w:tcPr>
            <w:tcW w:w="4246" w:type="dxa"/>
            <w:vAlign w:val="top"/>
          </w:tcPr>
          <w:p>
            <w:pPr>
              <w:pStyle w:val="TableText"/>
              <w:ind w:left="303"/>
              <w:spacing w:before="158" w:line="229" w:lineRule="auto"/>
              <w:rPr>
                <w:sz w:val="19"/>
                <w:szCs w:val="19"/>
              </w:rPr>
            </w:pPr>
            <w:r>
              <w:rPr>
                <w:sz w:val="19"/>
                <w:szCs w:val="19"/>
                <w:spacing w:val="9"/>
              </w:rPr>
              <w:t>维修（护）费</w:t>
            </w:r>
          </w:p>
        </w:tc>
        <w:tc>
          <w:tcPr>
            <w:tcW w:w="2417" w:type="dxa"/>
            <w:vAlign w:val="top"/>
            <w:tcBorders>
              <w:right w:val="single" w:color="000000" w:sz="6" w:space="0"/>
            </w:tcBorders>
          </w:tcPr>
          <w:p>
            <w:pPr>
              <w:pStyle w:val="TableText"/>
              <w:ind w:left="2006"/>
              <w:spacing w:before="158" w:line="229" w:lineRule="auto"/>
              <w:rPr>
                <w:sz w:val="19"/>
                <w:szCs w:val="19"/>
              </w:rPr>
            </w:pPr>
            <w:r>
              <w:rPr>
                <w:sz w:val="19"/>
                <w:szCs w:val="19"/>
                <w:spacing w:val="2"/>
              </w:rPr>
              <w:t>489</w:t>
            </w:r>
          </w:p>
        </w:tc>
      </w:tr>
      <w:tr>
        <w:trPr>
          <w:trHeight w:val="404" w:hRule="atLeast"/>
        </w:trPr>
        <w:tc>
          <w:tcPr>
            <w:tcW w:w="2130" w:type="dxa"/>
            <w:vAlign w:val="top"/>
            <w:tcBorders>
              <w:left w:val="single" w:color="000000" w:sz="6" w:space="0"/>
            </w:tcBorders>
          </w:tcPr>
          <w:p>
            <w:pPr>
              <w:pStyle w:val="TableText"/>
              <w:ind w:left="307"/>
              <w:spacing w:before="159" w:line="228" w:lineRule="auto"/>
              <w:rPr>
                <w:sz w:val="19"/>
                <w:szCs w:val="19"/>
              </w:rPr>
            </w:pPr>
            <w:r>
              <w:rPr>
                <w:sz w:val="19"/>
                <w:szCs w:val="19"/>
                <w:spacing w:val="2"/>
              </w:rPr>
              <w:t>50299</w:t>
            </w:r>
          </w:p>
        </w:tc>
        <w:tc>
          <w:tcPr>
            <w:tcW w:w="4246" w:type="dxa"/>
            <w:vAlign w:val="top"/>
          </w:tcPr>
          <w:p>
            <w:pPr>
              <w:pStyle w:val="TableText"/>
              <w:ind w:left="301"/>
              <w:spacing w:before="159" w:line="228" w:lineRule="auto"/>
              <w:rPr>
                <w:sz w:val="19"/>
                <w:szCs w:val="19"/>
              </w:rPr>
            </w:pPr>
            <w:r>
              <w:rPr>
                <w:sz w:val="19"/>
                <w:szCs w:val="19"/>
                <w:spacing w:val="9"/>
              </w:rPr>
              <w:t>其他商品和服务支出</w:t>
            </w:r>
          </w:p>
        </w:tc>
        <w:tc>
          <w:tcPr>
            <w:tcW w:w="2417" w:type="dxa"/>
            <w:vAlign w:val="top"/>
            <w:tcBorders>
              <w:right w:val="single" w:color="000000" w:sz="6" w:space="0"/>
            </w:tcBorders>
          </w:tcPr>
          <w:p>
            <w:pPr>
              <w:pStyle w:val="TableText"/>
              <w:ind w:left="1911"/>
              <w:spacing w:before="159" w:line="228" w:lineRule="auto"/>
              <w:rPr>
                <w:sz w:val="19"/>
                <w:szCs w:val="19"/>
              </w:rPr>
            </w:pPr>
            <w:r>
              <w:rPr>
                <w:sz w:val="19"/>
                <w:szCs w:val="19"/>
                <w:spacing w:val="2"/>
              </w:rPr>
              <w:t>6626</w:t>
            </w:r>
          </w:p>
        </w:tc>
      </w:tr>
      <w:tr>
        <w:trPr>
          <w:trHeight w:val="404" w:hRule="atLeast"/>
        </w:trPr>
        <w:tc>
          <w:tcPr>
            <w:tcW w:w="2130" w:type="dxa"/>
            <w:vAlign w:val="top"/>
            <w:tcBorders>
              <w:left w:val="single" w:color="000000" w:sz="6" w:space="0"/>
            </w:tcBorders>
          </w:tcPr>
          <w:p>
            <w:pPr>
              <w:pStyle w:val="TableText"/>
              <w:ind w:left="108"/>
              <w:spacing w:before="158" w:line="229" w:lineRule="auto"/>
              <w:rPr>
                <w:sz w:val="19"/>
                <w:szCs w:val="19"/>
              </w:rPr>
            </w:pPr>
            <w:r>
              <w:rPr>
                <w:sz w:val="19"/>
                <w:szCs w:val="19"/>
                <w:b/>
                <w:bCs/>
                <w:spacing w:val="1"/>
              </w:rPr>
              <w:t>503</w:t>
            </w:r>
          </w:p>
        </w:tc>
        <w:tc>
          <w:tcPr>
            <w:tcW w:w="4246" w:type="dxa"/>
            <w:vAlign w:val="top"/>
          </w:tcPr>
          <w:p>
            <w:pPr>
              <w:pStyle w:val="TableText"/>
              <w:ind w:left="104"/>
              <w:spacing w:before="158" w:line="229" w:lineRule="auto"/>
              <w:rPr>
                <w:sz w:val="19"/>
                <w:szCs w:val="19"/>
              </w:rPr>
            </w:pPr>
            <w:r>
              <w:rPr>
                <w:sz w:val="19"/>
                <w:szCs w:val="19"/>
                <w:b/>
                <w:bCs/>
                <w:spacing w:val="8"/>
              </w:rPr>
              <w:t>机关资本性支出（一）</w:t>
            </w:r>
          </w:p>
        </w:tc>
        <w:tc>
          <w:tcPr>
            <w:tcW w:w="2417" w:type="dxa"/>
            <w:vAlign w:val="top"/>
            <w:tcBorders>
              <w:right w:val="single" w:color="000000" w:sz="6" w:space="0"/>
            </w:tcBorders>
          </w:tcPr>
          <w:p>
            <w:pPr>
              <w:pStyle w:val="TableText"/>
              <w:ind w:left="1908"/>
              <w:spacing w:before="158" w:line="229" w:lineRule="auto"/>
              <w:rPr>
                <w:sz w:val="19"/>
                <w:szCs w:val="19"/>
              </w:rPr>
            </w:pPr>
            <w:r>
              <w:rPr>
                <w:sz w:val="19"/>
                <w:szCs w:val="19"/>
                <w:b/>
                <w:bCs/>
                <w:spacing w:val="1"/>
              </w:rPr>
              <w:t>9553</w:t>
            </w:r>
          </w:p>
        </w:tc>
      </w:tr>
      <w:tr>
        <w:trPr>
          <w:trHeight w:val="405" w:hRule="atLeast"/>
        </w:trPr>
        <w:tc>
          <w:tcPr>
            <w:tcW w:w="2130" w:type="dxa"/>
            <w:vAlign w:val="top"/>
            <w:tcBorders>
              <w:left w:val="single" w:color="000000" w:sz="6" w:space="0"/>
            </w:tcBorders>
          </w:tcPr>
          <w:p>
            <w:pPr>
              <w:pStyle w:val="TableText"/>
              <w:ind w:left="307"/>
              <w:spacing w:before="159" w:line="229" w:lineRule="auto"/>
              <w:rPr>
                <w:sz w:val="19"/>
                <w:szCs w:val="19"/>
              </w:rPr>
            </w:pPr>
            <w:r>
              <w:rPr>
                <w:sz w:val="19"/>
                <w:szCs w:val="19"/>
                <w:spacing w:val="2"/>
              </w:rPr>
              <w:t>50302</w:t>
            </w:r>
          </w:p>
        </w:tc>
        <w:tc>
          <w:tcPr>
            <w:tcW w:w="4246" w:type="dxa"/>
            <w:vAlign w:val="top"/>
          </w:tcPr>
          <w:p>
            <w:pPr>
              <w:pStyle w:val="TableText"/>
              <w:ind w:left="301"/>
              <w:spacing w:before="161" w:line="221" w:lineRule="auto"/>
              <w:rPr>
                <w:sz w:val="19"/>
                <w:szCs w:val="19"/>
              </w:rPr>
            </w:pPr>
            <w:r>
              <w:rPr>
                <w:sz w:val="19"/>
                <w:szCs w:val="19"/>
                <w:spacing w:val="9"/>
              </w:rPr>
              <w:t>基础设施建设</w:t>
            </w:r>
          </w:p>
        </w:tc>
        <w:tc>
          <w:tcPr>
            <w:tcW w:w="2417" w:type="dxa"/>
            <w:vAlign w:val="top"/>
            <w:tcBorders>
              <w:right w:val="single" w:color="000000" w:sz="6" w:space="0"/>
            </w:tcBorders>
          </w:tcPr>
          <w:p>
            <w:pPr>
              <w:pStyle w:val="TableText"/>
              <w:ind w:left="1909"/>
              <w:spacing w:before="159" w:line="229" w:lineRule="auto"/>
              <w:rPr>
                <w:sz w:val="19"/>
                <w:szCs w:val="19"/>
              </w:rPr>
            </w:pPr>
            <w:r>
              <w:rPr>
                <w:sz w:val="19"/>
                <w:szCs w:val="19"/>
                <w:spacing w:val="3"/>
              </w:rPr>
              <w:t>7044</w:t>
            </w:r>
          </w:p>
        </w:tc>
      </w:tr>
      <w:tr>
        <w:trPr>
          <w:trHeight w:val="405" w:hRule="atLeast"/>
        </w:trPr>
        <w:tc>
          <w:tcPr>
            <w:tcW w:w="2130" w:type="dxa"/>
            <w:vAlign w:val="top"/>
            <w:tcBorders>
              <w:left w:val="single" w:color="000000" w:sz="6" w:space="0"/>
            </w:tcBorders>
          </w:tcPr>
          <w:p>
            <w:pPr>
              <w:pStyle w:val="TableText"/>
              <w:ind w:left="307"/>
              <w:spacing w:before="159" w:line="229" w:lineRule="auto"/>
              <w:rPr>
                <w:sz w:val="19"/>
                <w:szCs w:val="19"/>
              </w:rPr>
            </w:pPr>
            <w:r>
              <w:rPr>
                <w:sz w:val="19"/>
                <w:szCs w:val="19"/>
                <w:spacing w:val="2"/>
              </w:rPr>
              <w:t>50303</w:t>
            </w:r>
          </w:p>
        </w:tc>
        <w:tc>
          <w:tcPr>
            <w:tcW w:w="4246" w:type="dxa"/>
            <w:vAlign w:val="top"/>
          </w:tcPr>
          <w:p>
            <w:pPr>
              <w:pStyle w:val="TableText"/>
              <w:ind w:left="300"/>
              <w:spacing w:before="163" w:line="219" w:lineRule="auto"/>
              <w:rPr>
                <w:sz w:val="19"/>
                <w:szCs w:val="19"/>
              </w:rPr>
            </w:pPr>
            <w:r>
              <w:rPr>
                <w:sz w:val="19"/>
                <w:szCs w:val="19"/>
                <w:spacing w:val="9"/>
              </w:rPr>
              <w:t>公务用车购置</w:t>
            </w:r>
          </w:p>
        </w:tc>
        <w:tc>
          <w:tcPr>
            <w:tcW w:w="2417" w:type="dxa"/>
            <w:vAlign w:val="top"/>
            <w:tcBorders>
              <w:right w:val="single" w:color="000000" w:sz="6" w:space="0"/>
            </w:tcBorders>
          </w:tcPr>
          <w:p>
            <w:pPr>
              <w:pStyle w:val="TableText"/>
              <w:ind w:left="2009"/>
              <w:spacing w:before="159" w:line="229" w:lineRule="auto"/>
              <w:rPr>
                <w:sz w:val="19"/>
                <w:szCs w:val="19"/>
              </w:rPr>
            </w:pPr>
            <w:r>
              <w:rPr>
                <w:sz w:val="19"/>
                <w:szCs w:val="19"/>
                <w:spacing w:val="1"/>
              </w:rPr>
              <w:t>200</w:t>
            </w:r>
          </w:p>
        </w:tc>
      </w:tr>
      <w:tr>
        <w:trPr>
          <w:trHeight w:val="405" w:hRule="atLeast"/>
        </w:trPr>
        <w:tc>
          <w:tcPr>
            <w:tcW w:w="2130" w:type="dxa"/>
            <w:vAlign w:val="top"/>
            <w:tcBorders>
              <w:left w:val="single" w:color="000000" w:sz="6" w:space="0"/>
            </w:tcBorders>
          </w:tcPr>
          <w:p>
            <w:pPr>
              <w:pStyle w:val="TableText"/>
              <w:ind w:left="307"/>
              <w:spacing w:before="159" w:line="229" w:lineRule="auto"/>
              <w:rPr>
                <w:sz w:val="19"/>
                <w:szCs w:val="19"/>
              </w:rPr>
            </w:pPr>
            <w:r>
              <w:rPr>
                <w:sz w:val="19"/>
                <w:szCs w:val="19"/>
                <w:spacing w:val="2"/>
              </w:rPr>
              <w:t>50306</w:t>
            </w:r>
          </w:p>
        </w:tc>
        <w:tc>
          <w:tcPr>
            <w:tcW w:w="4246" w:type="dxa"/>
            <w:vAlign w:val="top"/>
          </w:tcPr>
          <w:p>
            <w:pPr>
              <w:pStyle w:val="TableText"/>
              <w:ind w:left="298"/>
              <w:spacing w:before="163" w:line="222" w:lineRule="auto"/>
              <w:rPr>
                <w:sz w:val="19"/>
                <w:szCs w:val="19"/>
              </w:rPr>
            </w:pPr>
            <w:r>
              <w:rPr>
                <w:sz w:val="19"/>
                <w:szCs w:val="19"/>
                <w:spacing w:val="9"/>
              </w:rPr>
              <w:t>设备购置</w:t>
            </w:r>
          </w:p>
        </w:tc>
        <w:tc>
          <w:tcPr>
            <w:tcW w:w="2417" w:type="dxa"/>
            <w:vAlign w:val="top"/>
            <w:tcBorders>
              <w:right w:val="single" w:color="000000" w:sz="6" w:space="0"/>
            </w:tcBorders>
          </w:tcPr>
          <w:p>
            <w:pPr>
              <w:pStyle w:val="TableText"/>
              <w:ind w:left="2006"/>
              <w:spacing w:before="159" w:line="229" w:lineRule="auto"/>
              <w:rPr>
                <w:sz w:val="19"/>
                <w:szCs w:val="19"/>
              </w:rPr>
            </w:pPr>
            <w:r>
              <w:rPr>
                <w:sz w:val="19"/>
                <w:szCs w:val="19"/>
                <w:spacing w:val="2"/>
              </w:rPr>
              <w:t>460</w:t>
            </w:r>
          </w:p>
        </w:tc>
      </w:tr>
      <w:tr>
        <w:trPr>
          <w:trHeight w:val="405" w:hRule="atLeast"/>
        </w:trPr>
        <w:tc>
          <w:tcPr>
            <w:tcW w:w="2130" w:type="dxa"/>
            <w:vAlign w:val="top"/>
            <w:tcBorders>
              <w:left w:val="single" w:color="000000" w:sz="6" w:space="0"/>
            </w:tcBorders>
          </w:tcPr>
          <w:p>
            <w:pPr>
              <w:pStyle w:val="TableText"/>
              <w:ind w:left="307"/>
              <w:spacing w:before="160" w:line="228" w:lineRule="auto"/>
              <w:rPr>
                <w:sz w:val="19"/>
                <w:szCs w:val="19"/>
              </w:rPr>
            </w:pPr>
            <w:r>
              <w:rPr>
                <w:sz w:val="19"/>
                <w:szCs w:val="19"/>
                <w:spacing w:val="2"/>
              </w:rPr>
              <w:t>50399</w:t>
            </w:r>
          </w:p>
        </w:tc>
        <w:tc>
          <w:tcPr>
            <w:tcW w:w="4246" w:type="dxa"/>
            <w:vAlign w:val="top"/>
          </w:tcPr>
          <w:p>
            <w:pPr>
              <w:pStyle w:val="TableText"/>
              <w:ind w:left="301"/>
              <w:spacing w:before="163" w:line="221" w:lineRule="auto"/>
              <w:rPr>
                <w:sz w:val="19"/>
                <w:szCs w:val="19"/>
              </w:rPr>
            </w:pPr>
            <w:r>
              <w:rPr>
                <w:sz w:val="19"/>
                <w:szCs w:val="19"/>
                <w:spacing w:val="9"/>
              </w:rPr>
              <w:t>其他资本性支出</w:t>
            </w:r>
          </w:p>
        </w:tc>
        <w:tc>
          <w:tcPr>
            <w:tcW w:w="2417" w:type="dxa"/>
            <w:vAlign w:val="top"/>
            <w:tcBorders>
              <w:right w:val="single" w:color="000000" w:sz="6" w:space="0"/>
            </w:tcBorders>
          </w:tcPr>
          <w:p>
            <w:pPr>
              <w:pStyle w:val="TableText"/>
              <w:ind w:left="1927"/>
              <w:spacing w:before="160" w:line="228" w:lineRule="auto"/>
              <w:rPr>
                <w:sz w:val="19"/>
                <w:szCs w:val="19"/>
              </w:rPr>
            </w:pPr>
            <w:r>
              <w:rPr>
                <w:sz w:val="19"/>
                <w:szCs w:val="19"/>
                <w:spacing w:val="-2"/>
              </w:rPr>
              <w:t>1849</w:t>
            </w:r>
          </w:p>
        </w:tc>
      </w:tr>
      <w:tr>
        <w:trPr>
          <w:trHeight w:val="405" w:hRule="atLeast"/>
        </w:trPr>
        <w:tc>
          <w:tcPr>
            <w:tcW w:w="2130" w:type="dxa"/>
            <w:vAlign w:val="top"/>
            <w:tcBorders>
              <w:left w:val="single" w:color="000000" w:sz="6" w:space="0"/>
            </w:tcBorders>
          </w:tcPr>
          <w:p>
            <w:pPr>
              <w:pStyle w:val="TableText"/>
              <w:ind w:left="108"/>
              <w:spacing w:before="160" w:line="228" w:lineRule="auto"/>
              <w:rPr>
                <w:sz w:val="19"/>
                <w:szCs w:val="19"/>
              </w:rPr>
            </w:pPr>
            <w:r>
              <w:rPr>
                <w:sz w:val="19"/>
                <w:szCs w:val="19"/>
                <w:b/>
                <w:bCs/>
                <w:spacing w:val="1"/>
              </w:rPr>
              <w:t>504</w:t>
            </w:r>
          </w:p>
        </w:tc>
        <w:tc>
          <w:tcPr>
            <w:tcW w:w="4246" w:type="dxa"/>
            <w:vAlign w:val="top"/>
          </w:tcPr>
          <w:p>
            <w:pPr>
              <w:pStyle w:val="TableText"/>
              <w:ind w:left="104"/>
              <w:spacing w:before="160" w:line="228" w:lineRule="auto"/>
              <w:rPr>
                <w:sz w:val="19"/>
                <w:szCs w:val="19"/>
              </w:rPr>
            </w:pPr>
            <w:r>
              <w:rPr>
                <w:sz w:val="19"/>
                <w:szCs w:val="19"/>
                <w:b/>
                <w:bCs/>
                <w:spacing w:val="9"/>
              </w:rPr>
              <w:t>机关资本性支出（二）</w:t>
            </w:r>
          </w:p>
        </w:tc>
        <w:tc>
          <w:tcPr>
            <w:tcW w:w="2417" w:type="dxa"/>
            <w:vAlign w:val="top"/>
            <w:tcBorders>
              <w:right w:val="single" w:color="000000" w:sz="6" w:space="0"/>
            </w:tcBorders>
          </w:tcPr>
          <w:p>
            <w:pPr>
              <w:pStyle w:val="TableText"/>
              <w:ind w:left="1905"/>
              <w:spacing w:before="160" w:line="228" w:lineRule="auto"/>
              <w:rPr>
                <w:sz w:val="19"/>
                <w:szCs w:val="19"/>
              </w:rPr>
            </w:pPr>
            <w:r>
              <w:rPr>
                <w:sz w:val="19"/>
                <w:szCs w:val="19"/>
                <w:b/>
                <w:bCs/>
                <w:spacing w:val="2"/>
              </w:rPr>
              <w:t>4964</w:t>
            </w:r>
          </w:p>
        </w:tc>
      </w:tr>
      <w:tr>
        <w:trPr>
          <w:trHeight w:val="405" w:hRule="atLeast"/>
        </w:trPr>
        <w:tc>
          <w:tcPr>
            <w:tcW w:w="2130" w:type="dxa"/>
            <w:vAlign w:val="top"/>
            <w:tcBorders>
              <w:left w:val="single" w:color="000000" w:sz="6" w:space="0"/>
            </w:tcBorders>
          </w:tcPr>
          <w:p>
            <w:pPr>
              <w:pStyle w:val="TableText"/>
              <w:ind w:left="307"/>
              <w:spacing w:before="160" w:line="228" w:lineRule="auto"/>
              <w:rPr>
                <w:sz w:val="19"/>
                <w:szCs w:val="19"/>
              </w:rPr>
            </w:pPr>
            <w:r>
              <w:rPr>
                <w:sz w:val="19"/>
                <w:szCs w:val="19"/>
                <w:spacing w:val="2"/>
              </w:rPr>
              <w:t>50401</w:t>
            </w:r>
          </w:p>
        </w:tc>
        <w:tc>
          <w:tcPr>
            <w:tcW w:w="4246" w:type="dxa"/>
            <w:vAlign w:val="top"/>
          </w:tcPr>
          <w:p>
            <w:pPr>
              <w:pStyle w:val="TableText"/>
              <w:ind w:left="303"/>
              <w:spacing w:before="162" w:line="224" w:lineRule="auto"/>
              <w:rPr>
                <w:sz w:val="19"/>
                <w:szCs w:val="19"/>
              </w:rPr>
            </w:pPr>
            <w:r>
              <w:rPr>
                <w:sz w:val="19"/>
                <w:szCs w:val="19"/>
                <w:spacing w:val="9"/>
              </w:rPr>
              <w:t>房屋建筑物购建</w:t>
            </w:r>
          </w:p>
        </w:tc>
        <w:tc>
          <w:tcPr>
            <w:tcW w:w="2417" w:type="dxa"/>
            <w:vAlign w:val="top"/>
            <w:tcBorders>
              <w:right w:val="single" w:color="000000" w:sz="6" w:space="0"/>
            </w:tcBorders>
          </w:tcPr>
          <w:p>
            <w:pPr>
              <w:pStyle w:val="TableText"/>
              <w:ind w:left="2012"/>
              <w:spacing w:before="160" w:line="228" w:lineRule="auto"/>
              <w:rPr>
                <w:sz w:val="19"/>
                <w:szCs w:val="19"/>
              </w:rPr>
            </w:pPr>
            <w:r>
              <w:rPr>
                <w:sz w:val="19"/>
                <w:szCs w:val="19"/>
              </w:rPr>
              <w:t>300</w:t>
            </w:r>
          </w:p>
        </w:tc>
      </w:tr>
      <w:tr>
        <w:trPr>
          <w:trHeight w:val="405" w:hRule="atLeast"/>
        </w:trPr>
        <w:tc>
          <w:tcPr>
            <w:tcW w:w="2130" w:type="dxa"/>
            <w:vAlign w:val="top"/>
            <w:tcBorders>
              <w:left w:val="single" w:color="000000" w:sz="6" w:space="0"/>
            </w:tcBorders>
          </w:tcPr>
          <w:p>
            <w:pPr>
              <w:pStyle w:val="TableText"/>
              <w:ind w:left="307"/>
              <w:spacing w:before="160" w:line="228" w:lineRule="auto"/>
              <w:rPr>
                <w:sz w:val="19"/>
                <w:szCs w:val="19"/>
              </w:rPr>
            </w:pPr>
            <w:r>
              <w:rPr>
                <w:sz w:val="19"/>
                <w:szCs w:val="19"/>
                <w:spacing w:val="2"/>
              </w:rPr>
              <w:t>50402</w:t>
            </w:r>
          </w:p>
        </w:tc>
        <w:tc>
          <w:tcPr>
            <w:tcW w:w="4246" w:type="dxa"/>
            <w:vAlign w:val="top"/>
          </w:tcPr>
          <w:p>
            <w:pPr>
              <w:pStyle w:val="TableText"/>
              <w:ind w:left="301"/>
              <w:spacing w:before="162" w:line="221" w:lineRule="auto"/>
              <w:rPr>
                <w:sz w:val="19"/>
                <w:szCs w:val="19"/>
              </w:rPr>
            </w:pPr>
            <w:r>
              <w:rPr>
                <w:sz w:val="19"/>
                <w:szCs w:val="19"/>
                <w:spacing w:val="9"/>
              </w:rPr>
              <w:t>基础设施建设</w:t>
            </w:r>
          </w:p>
        </w:tc>
        <w:tc>
          <w:tcPr>
            <w:tcW w:w="2417" w:type="dxa"/>
            <w:vAlign w:val="top"/>
            <w:tcBorders>
              <w:right w:val="single" w:color="000000" w:sz="6" w:space="0"/>
            </w:tcBorders>
          </w:tcPr>
          <w:p>
            <w:pPr>
              <w:pStyle w:val="TableText"/>
              <w:ind w:left="1914"/>
              <w:spacing w:before="160" w:line="228" w:lineRule="auto"/>
              <w:rPr>
                <w:sz w:val="19"/>
                <w:szCs w:val="19"/>
              </w:rPr>
            </w:pPr>
            <w:r>
              <w:rPr>
                <w:sz w:val="19"/>
                <w:szCs w:val="19"/>
                <w:spacing w:val="1"/>
              </w:rPr>
              <w:t>3265</w:t>
            </w:r>
          </w:p>
        </w:tc>
      </w:tr>
      <w:tr>
        <w:trPr>
          <w:trHeight w:val="405" w:hRule="atLeast"/>
        </w:trPr>
        <w:tc>
          <w:tcPr>
            <w:tcW w:w="2130" w:type="dxa"/>
            <w:vAlign w:val="top"/>
            <w:tcBorders>
              <w:left w:val="single" w:color="000000" w:sz="6" w:space="0"/>
            </w:tcBorders>
          </w:tcPr>
          <w:p>
            <w:pPr>
              <w:pStyle w:val="TableText"/>
              <w:ind w:left="307"/>
              <w:spacing w:before="160" w:line="228" w:lineRule="auto"/>
              <w:rPr>
                <w:sz w:val="19"/>
                <w:szCs w:val="19"/>
              </w:rPr>
            </w:pPr>
            <w:r>
              <w:rPr>
                <w:sz w:val="19"/>
                <w:szCs w:val="19"/>
                <w:spacing w:val="2"/>
              </w:rPr>
              <w:t>50404</w:t>
            </w:r>
          </w:p>
        </w:tc>
        <w:tc>
          <w:tcPr>
            <w:tcW w:w="4246" w:type="dxa"/>
            <w:vAlign w:val="top"/>
          </w:tcPr>
          <w:p>
            <w:pPr>
              <w:pStyle w:val="TableText"/>
              <w:ind w:left="298"/>
              <w:spacing w:before="164" w:line="222" w:lineRule="auto"/>
              <w:rPr>
                <w:sz w:val="19"/>
                <w:szCs w:val="19"/>
              </w:rPr>
            </w:pPr>
            <w:r>
              <w:rPr>
                <w:sz w:val="19"/>
                <w:szCs w:val="19"/>
                <w:spacing w:val="9"/>
              </w:rPr>
              <w:t>设备购置</w:t>
            </w:r>
          </w:p>
        </w:tc>
        <w:tc>
          <w:tcPr>
            <w:tcW w:w="2417" w:type="dxa"/>
            <w:vAlign w:val="top"/>
            <w:tcBorders>
              <w:right w:val="single" w:color="000000" w:sz="6" w:space="0"/>
            </w:tcBorders>
          </w:tcPr>
          <w:p>
            <w:pPr>
              <w:pStyle w:val="TableText"/>
              <w:ind w:left="1927"/>
              <w:spacing w:before="160" w:line="228" w:lineRule="auto"/>
              <w:rPr>
                <w:sz w:val="19"/>
                <w:szCs w:val="19"/>
              </w:rPr>
            </w:pPr>
            <w:r>
              <w:rPr>
                <w:sz w:val="19"/>
                <w:szCs w:val="19"/>
                <w:spacing w:val="-2"/>
              </w:rPr>
              <w:t>1330</w:t>
            </w:r>
          </w:p>
        </w:tc>
      </w:tr>
      <w:tr>
        <w:trPr>
          <w:trHeight w:val="414" w:hRule="atLeast"/>
        </w:trPr>
        <w:tc>
          <w:tcPr>
            <w:tcW w:w="2130" w:type="dxa"/>
            <w:vAlign w:val="top"/>
            <w:tcBorders>
              <w:left w:val="single" w:color="000000" w:sz="6" w:space="0"/>
              <w:bottom w:val="single" w:color="000000" w:sz="6" w:space="0"/>
            </w:tcBorders>
          </w:tcPr>
          <w:p>
            <w:pPr>
              <w:pStyle w:val="TableText"/>
              <w:ind w:left="307"/>
              <w:spacing w:before="161" w:line="236" w:lineRule="auto"/>
              <w:rPr>
                <w:sz w:val="19"/>
                <w:szCs w:val="19"/>
              </w:rPr>
            </w:pPr>
            <w:r>
              <w:rPr>
                <w:sz w:val="19"/>
                <w:szCs w:val="19"/>
                <w:spacing w:val="2"/>
              </w:rPr>
              <w:t>50405</w:t>
            </w:r>
          </w:p>
        </w:tc>
        <w:tc>
          <w:tcPr>
            <w:tcW w:w="4246" w:type="dxa"/>
            <w:vAlign w:val="top"/>
            <w:tcBorders>
              <w:bottom w:val="single" w:color="000000" w:sz="6" w:space="0"/>
            </w:tcBorders>
          </w:tcPr>
          <w:p>
            <w:pPr>
              <w:pStyle w:val="TableText"/>
              <w:ind w:left="306"/>
              <w:spacing w:before="164" w:line="221" w:lineRule="auto"/>
              <w:rPr>
                <w:sz w:val="19"/>
                <w:szCs w:val="19"/>
              </w:rPr>
            </w:pPr>
            <w:r>
              <w:rPr>
                <w:sz w:val="19"/>
                <w:szCs w:val="19"/>
                <w:spacing w:val="7"/>
              </w:rPr>
              <w:t>大型修缮</w:t>
            </w:r>
          </w:p>
        </w:tc>
        <w:tc>
          <w:tcPr>
            <w:tcW w:w="2417" w:type="dxa"/>
            <w:vAlign w:val="top"/>
            <w:tcBorders>
              <w:bottom w:val="single" w:color="000000" w:sz="6" w:space="0"/>
              <w:right w:val="single" w:color="000000" w:sz="6" w:space="0"/>
            </w:tcBorders>
          </w:tcPr>
          <w:p>
            <w:pPr>
              <w:pStyle w:val="TableText"/>
              <w:ind w:left="2126"/>
              <w:spacing w:before="161" w:line="236" w:lineRule="auto"/>
              <w:rPr>
                <w:sz w:val="19"/>
                <w:szCs w:val="19"/>
              </w:rPr>
            </w:pPr>
            <w:r>
              <w:rPr>
                <w:sz w:val="19"/>
                <w:szCs w:val="19"/>
                <w:spacing w:val="-8"/>
              </w:rPr>
              <w:t>13</w:t>
            </w:r>
          </w:p>
        </w:tc>
      </w:tr>
    </w:tbl>
    <w:p>
      <w:pPr>
        <w:rPr>
          <w:rFonts w:ascii="Arial"/>
          <w:sz w:val="21"/>
        </w:rPr>
      </w:pPr>
      <w:r/>
    </w:p>
    <w:p>
      <w:pPr>
        <w:sectPr>
          <w:headerReference w:type="default" r:id="rId88"/>
          <w:footerReference w:type="default" r:id="rId89"/>
          <w:pgSz w:w="11906" w:h="16839"/>
          <w:pgMar w:top="1793" w:right="1530" w:bottom="1661" w:left="1548" w:header="1428" w:footer="1289" w:gutter="0"/>
        </w:sectPr>
        <w:rPr>
          <w:rFonts w:ascii="Arial" w:hAnsi="Arial" w:eastAsia="Arial" w:cs="Arial"/>
          <w:sz w:val="21"/>
          <w:szCs w:val="21"/>
        </w:rPr>
      </w:pPr>
    </w:p>
    <w:p>
      <w:pPr>
        <w:spacing w:line="191" w:lineRule="exact"/>
        <w:rPr/>
      </w:pPr>
      <w:r>
        <w:drawing>
          <wp:anchor distT="0" distB="0" distL="0" distR="0" simplePos="0" relativeHeight="251688960"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182" name="IM 182"/>
            <wp:cNvGraphicFramePr/>
            <a:graphic>
              <a:graphicData uri="http://schemas.openxmlformats.org/drawingml/2006/picture">
                <pic:pic>
                  <pic:nvPicPr>
                    <pic:cNvPr id="182" name="IM 182"/>
                    <pic:cNvPicPr/>
                  </pic:nvPicPr>
                  <pic:blipFill>
                    <a:blip r:embed="rId93"/>
                    <a:stretch>
                      <a:fillRect/>
                    </a:stretch>
                  </pic:blipFill>
                  <pic:spPr>
                    <a:xfrm rot="0">
                      <a:off x="0" y="0"/>
                      <a:ext cx="5579745" cy="7619"/>
                    </a:xfrm>
                    <a:prstGeom prst="rect">
                      <a:avLst/>
                    </a:prstGeom>
                  </pic:spPr>
                </pic:pic>
              </a:graphicData>
            </a:graphic>
          </wp:anchor>
        </w:drawing>
      </w:r>
      <w:r/>
    </w:p>
    <w:tbl>
      <w:tblPr>
        <w:tblStyle w:val="TableNormal"/>
        <w:tblW w:w="8793"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30"/>
        <w:gridCol w:w="4246"/>
        <w:gridCol w:w="2417"/>
      </w:tblGrid>
      <w:tr>
        <w:trPr>
          <w:trHeight w:val="412" w:hRule="atLeast"/>
        </w:trPr>
        <w:tc>
          <w:tcPr>
            <w:tcW w:w="2130" w:type="dxa"/>
            <w:vAlign w:val="top"/>
            <w:tcBorders>
              <w:left w:val="single" w:color="000000" w:sz="6" w:space="0"/>
              <w:top w:val="single" w:color="000000" w:sz="6" w:space="0"/>
            </w:tcBorders>
          </w:tcPr>
          <w:p>
            <w:pPr>
              <w:pStyle w:val="TableText"/>
              <w:ind w:left="658"/>
              <w:spacing w:before="157" w:line="218" w:lineRule="auto"/>
              <w:rPr>
                <w:sz w:val="19"/>
                <w:szCs w:val="19"/>
              </w:rPr>
            </w:pPr>
            <w:r>
              <w:rPr>
                <w:sz w:val="19"/>
                <w:szCs w:val="19"/>
                <w:b/>
                <w:bCs/>
                <w:spacing w:val="7"/>
              </w:rPr>
              <w:t>科目编码</w:t>
            </w:r>
          </w:p>
        </w:tc>
        <w:tc>
          <w:tcPr>
            <w:tcW w:w="4246" w:type="dxa"/>
            <w:vAlign w:val="top"/>
            <w:tcBorders>
              <w:top w:val="single" w:color="000000" w:sz="6" w:space="0"/>
            </w:tcBorders>
          </w:tcPr>
          <w:p>
            <w:pPr>
              <w:pStyle w:val="TableText"/>
              <w:ind w:left="1718"/>
              <w:spacing w:before="157" w:line="218" w:lineRule="auto"/>
              <w:rPr>
                <w:sz w:val="19"/>
                <w:szCs w:val="19"/>
              </w:rPr>
            </w:pPr>
            <w:r>
              <w:rPr>
                <w:sz w:val="19"/>
                <w:szCs w:val="19"/>
                <w:b/>
                <w:bCs/>
                <w:spacing w:val="7"/>
              </w:rPr>
              <w:t>科目名称</w:t>
            </w:r>
          </w:p>
        </w:tc>
        <w:tc>
          <w:tcPr>
            <w:tcW w:w="2417" w:type="dxa"/>
            <w:vAlign w:val="top"/>
            <w:tcBorders>
              <w:right w:val="single" w:color="000000" w:sz="6" w:space="0"/>
              <w:top w:val="single" w:color="000000" w:sz="6" w:space="0"/>
            </w:tcBorders>
          </w:tcPr>
          <w:p>
            <w:pPr>
              <w:pStyle w:val="TableText"/>
              <w:ind w:left="912"/>
              <w:spacing w:before="155" w:line="221" w:lineRule="auto"/>
              <w:rPr>
                <w:sz w:val="19"/>
                <w:szCs w:val="19"/>
              </w:rPr>
            </w:pPr>
            <w:r>
              <w:rPr>
                <w:sz w:val="19"/>
                <w:szCs w:val="19"/>
                <w:b/>
                <w:bCs/>
                <w:spacing w:val="5"/>
              </w:rPr>
              <w:t>预算数</w:t>
            </w:r>
          </w:p>
        </w:tc>
      </w:tr>
      <w:tr>
        <w:trPr>
          <w:trHeight w:val="404" w:hRule="atLeast"/>
        </w:trPr>
        <w:tc>
          <w:tcPr>
            <w:tcW w:w="2130" w:type="dxa"/>
            <w:vAlign w:val="top"/>
            <w:tcBorders>
              <w:left w:val="single" w:color="000000" w:sz="6" w:space="0"/>
            </w:tcBorders>
          </w:tcPr>
          <w:p>
            <w:pPr>
              <w:pStyle w:val="TableText"/>
              <w:ind w:left="307"/>
              <w:spacing w:before="145" w:line="241" w:lineRule="auto"/>
              <w:rPr>
                <w:sz w:val="19"/>
                <w:szCs w:val="19"/>
              </w:rPr>
            </w:pPr>
            <w:r>
              <w:rPr>
                <w:sz w:val="19"/>
                <w:szCs w:val="19"/>
                <w:spacing w:val="2"/>
              </w:rPr>
              <w:t>50499</w:t>
            </w:r>
          </w:p>
        </w:tc>
        <w:tc>
          <w:tcPr>
            <w:tcW w:w="4246" w:type="dxa"/>
            <w:vAlign w:val="top"/>
          </w:tcPr>
          <w:p>
            <w:pPr>
              <w:pStyle w:val="TableText"/>
              <w:ind w:left="301"/>
              <w:spacing w:before="149" w:line="221" w:lineRule="auto"/>
              <w:rPr>
                <w:sz w:val="19"/>
                <w:szCs w:val="19"/>
              </w:rPr>
            </w:pPr>
            <w:r>
              <w:rPr>
                <w:sz w:val="19"/>
                <w:szCs w:val="19"/>
                <w:spacing w:val="9"/>
              </w:rPr>
              <w:t>其他资本性支出</w:t>
            </w:r>
          </w:p>
        </w:tc>
        <w:tc>
          <w:tcPr>
            <w:tcW w:w="2417" w:type="dxa"/>
            <w:vAlign w:val="top"/>
            <w:tcBorders>
              <w:right w:val="single" w:color="000000" w:sz="6" w:space="0"/>
            </w:tcBorders>
          </w:tcPr>
          <w:p>
            <w:pPr>
              <w:pStyle w:val="TableText"/>
              <w:ind w:left="2110"/>
              <w:spacing w:before="145" w:line="241" w:lineRule="auto"/>
              <w:rPr>
                <w:sz w:val="19"/>
                <w:szCs w:val="19"/>
              </w:rPr>
            </w:pPr>
            <w:r>
              <w:rPr>
                <w:sz w:val="19"/>
                <w:szCs w:val="19"/>
              </w:rPr>
              <w:t>56</w:t>
            </w:r>
          </w:p>
        </w:tc>
      </w:tr>
      <w:tr>
        <w:trPr>
          <w:trHeight w:val="404" w:hRule="atLeast"/>
        </w:trPr>
        <w:tc>
          <w:tcPr>
            <w:tcW w:w="2130" w:type="dxa"/>
            <w:vAlign w:val="top"/>
            <w:tcBorders>
              <w:left w:val="single" w:color="000000" w:sz="6" w:space="0"/>
            </w:tcBorders>
          </w:tcPr>
          <w:p>
            <w:pPr>
              <w:pStyle w:val="TableText"/>
              <w:ind w:left="108"/>
              <w:spacing w:before="147"/>
              <w:rPr>
                <w:sz w:val="19"/>
                <w:szCs w:val="19"/>
              </w:rPr>
            </w:pPr>
            <w:r>
              <w:rPr>
                <w:sz w:val="19"/>
                <w:szCs w:val="19"/>
                <w:b/>
                <w:bCs/>
                <w:spacing w:val="1"/>
              </w:rPr>
              <w:t>505</w:t>
            </w:r>
          </w:p>
        </w:tc>
        <w:tc>
          <w:tcPr>
            <w:tcW w:w="4246" w:type="dxa"/>
            <w:vAlign w:val="top"/>
          </w:tcPr>
          <w:p>
            <w:pPr>
              <w:pStyle w:val="TableText"/>
              <w:ind w:left="101"/>
              <w:spacing w:before="150" w:line="222" w:lineRule="auto"/>
              <w:rPr>
                <w:sz w:val="19"/>
                <w:szCs w:val="19"/>
              </w:rPr>
            </w:pPr>
            <w:r>
              <w:rPr>
                <w:sz w:val="19"/>
                <w:szCs w:val="19"/>
                <w:b/>
                <w:bCs/>
                <w:spacing w:val="8"/>
              </w:rPr>
              <w:t>对事业单位经常性补助</w:t>
            </w:r>
          </w:p>
        </w:tc>
        <w:tc>
          <w:tcPr>
            <w:tcW w:w="2417" w:type="dxa"/>
            <w:vAlign w:val="top"/>
            <w:tcBorders>
              <w:right w:val="single" w:color="000000" w:sz="6" w:space="0"/>
            </w:tcBorders>
          </w:tcPr>
          <w:p>
            <w:pPr>
              <w:pStyle w:val="TableText"/>
              <w:ind w:left="1810"/>
              <w:spacing w:before="147"/>
              <w:rPr>
                <w:sz w:val="19"/>
                <w:szCs w:val="19"/>
              </w:rPr>
            </w:pPr>
            <w:r>
              <w:rPr>
                <w:sz w:val="19"/>
                <w:szCs w:val="19"/>
                <w:b/>
                <w:bCs/>
                <w:spacing w:val="1"/>
              </w:rPr>
              <w:t>83640</w:t>
            </w:r>
          </w:p>
        </w:tc>
      </w:tr>
      <w:tr>
        <w:trPr>
          <w:trHeight w:val="404" w:hRule="atLeast"/>
        </w:trPr>
        <w:tc>
          <w:tcPr>
            <w:tcW w:w="2130" w:type="dxa"/>
            <w:vAlign w:val="top"/>
            <w:tcBorders>
              <w:left w:val="single" w:color="000000" w:sz="6" w:space="0"/>
            </w:tcBorders>
          </w:tcPr>
          <w:p>
            <w:pPr>
              <w:pStyle w:val="TableText"/>
              <w:ind w:left="307"/>
              <w:spacing w:before="148" w:line="239" w:lineRule="auto"/>
              <w:rPr>
                <w:sz w:val="19"/>
                <w:szCs w:val="19"/>
              </w:rPr>
            </w:pPr>
            <w:r>
              <w:rPr>
                <w:sz w:val="19"/>
                <w:szCs w:val="19"/>
                <w:spacing w:val="2"/>
              </w:rPr>
              <w:t>50501</w:t>
            </w:r>
          </w:p>
        </w:tc>
        <w:tc>
          <w:tcPr>
            <w:tcW w:w="4246" w:type="dxa"/>
            <w:vAlign w:val="top"/>
          </w:tcPr>
          <w:p>
            <w:pPr>
              <w:pStyle w:val="TableText"/>
              <w:ind w:left="302"/>
              <w:spacing w:before="152" w:line="221" w:lineRule="auto"/>
              <w:rPr>
                <w:sz w:val="19"/>
                <w:szCs w:val="19"/>
              </w:rPr>
            </w:pPr>
            <w:r>
              <w:rPr>
                <w:sz w:val="19"/>
                <w:szCs w:val="19"/>
                <w:spacing w:val="9"/>
              </w:rPr>
              <w:t>工资福利支出</w:t>
            </w:r>
          </w:p>
        </w:tc>
        <w:tc>
          <w:tcPr>
            <w:tcW w:w="2417" w:type="dxa"/>
            <w:vAlign w:val="top"/>
            <w:tcBorders>
              <w:right w:val="single" w:color="000000" w:sz="6" w:space="0"/>
            </w:tcBorders>
          </w:tcPr>
          <w:p>
            <w:pPr>
              <w:pStyle w:val="TableText"/>
              <w:ind w:left="1811"/>
              <w:spacing w:before="148" w:line="239" w:lineRule="auto"/>
              <w:rPr>
                <w:sz w:val="19"/>
                <w:szCs w:val="19"/>
              </w:rPr>
            </w:pPr>
            <w:r>
              <w:rPr>
                <w:sz w:val="19"/>
                <w:szCs w:val="19"/>
                <w:spacing w:val="3"/>
              </w:rPr>
              <w:t>74551</w:t>
            </w:r>
          </w:p>
        </w:tc>
      </w:tr>
      <w:tr>
        <w:trPr>
          <w:trHeight w:val="404" w:hRule="atLeast"/>
        </w:trPr>
        <w:tc>
          <w:tcPr>
            <w:tcW w:w="2130" w:type="dxa"/>
            <w:vAlign w:val="top"/>
            <w:tcBorders>
              <w:left w:val="single" w:color="000000" w:sz="6" w:space="0"/>
            </w:tcBorders>
          </w:tcPr>
          <w:p>
            <w:pPr>
              <w:pStyle w:val="TableText"/>
              <w:ind w:left="307"/>
              <w:spacing w:before="149" w:line="238" w:lineRule="auto"/>
              <w:rPr>
                <w:sz w:val="19"/>
                <w:szCs w:val="19"/>
              </w:rPr>
            </w:pPr>
            <w:r>
              <w:rPr>
                <w:sz w:val="19"/>
                <w:szCs w:val="19"/>
                <w:spacing w:val="2"/>
              </w:rPr>
              <w:t>50502</w:t>
            </w:r>
          </w:p>
        </w:tc>
        <w:tc>
          <w:tcPr>
            <w:tcW w:w="4246" w:type="dxa"/>
            <w:vAlign w:val="top"/>
          </w:tcPr>
          <w:p>
            <w:pPr>
              <w:pStyle w:val="TableText"/>
              <w:ind w:left="303"/>
              <w:spacing w:before="149" w:line="238" w:lineRule="auto"/>
              <w:rPr>
                <w:sz w:val="19"/>
                <w:szCs w:val="19"/>
              </w:rPr>
            </w:pPr>
            <w:r>
              <w:rPr>
                <w:sz w:val="19"/>
                <w:szCs w:val="19"/>
                <w:spacing w:val="9"/>
              </w:rPr>
              <w:t>商品和服务支出</w:t>
            </w:r>
          </w:p>
        </w:tc>
        <w:tc>
          <w:tcPr>
            <w:tcW w:w="2417" w:type="dxa"/>
            <w:vAlign w:val="top"/>
            <w:tcBorders>
              <w:right w:val="single" w:color="000000" w:sz="6" w:space="0"/>
            </w:tcBorders>
          </w:tcPr>
          <w:p>
            <w:pPr>
              <w:pStyle w:val="TableText"/>
              <w:ind w:left="1910"/>
              <w:spacing w:before="149" w:line="238" w:lineRule="auto"/>
              <w:rPr>
                <w:sz w:val="19"/>
                <w:szCs w:val="19"/>
              </w:rPr>
            </w:pPr>
            <w:r>
              <w:rPr>
                <w:sz w:val="19"/>
                <w:szCs w:val="19"/>
                <w:spacing w:val="2"/>
              </w:rPr>
              <w:t>9081</w:t>
            </w:r>
          </w:p>
        </w:tc>
      </w:tr>
      <w:tr>
        <w:trPr>
          <w:trHeight w:val="404" w:hRule="atLeast"/>
        </w:trPr>
        <w:tc>
          <w:tcPr>
            <w:tcW w:w="2130" w:type="dxa"/>
            <w:vAlign w:val="top"/>
            <w:tcBorders>
              <w:left w:val="single" w:color="000000" w:sz="6" w:space="0"/>
            </w:tcBorders>
          </w:tcPr>
          <w:p>
            <w:pPr>
              <w:pStyle w:val="TableText"/>
              <w:ind w:left="307"/>
              <w:spacing w:before="150" w:line="237" w:lineRule="auto"/>
              <w:rPr>
                <w:sz w:val="19"/>
                <w:szCs w:val="19"/>
              </w:rPr>
            </w:pPr>
            <w:r>
              <w:rPr>
                <w:sz w:val="19"/>
                <w:szCs w:val="19"/>
                <w:spacing w:val="2"/>
              </w:rPr>
              <w:t>50599</w:t>
            </w:r>
          </w:p>
        </w:tc>
        <w:tc>
          <w:tcPr>
            <w:tcW w:w="4246" w:type="dxa"/>
            <w:vAlign w:val="top"/>
          </w:tcPr>
          <w:p>
            <w:pPr>
              <w:pStyle w:val="TableText"/>
              <w:ind w:left="301"/>
              <w:spacing w:before="154" w:line="222" w:lineRule="auto"/>
              <w:rPr>
                <w:sz w:val="19"/>
                <w:szCs w:val="19"/>
              </w:rPr>
            </w:pPr>
            <w:r>
              <w:rPr>
                <w:sz w:val="19"/>
                <w:szCs w:val="19"/>
                <w:spacing w:val="9"/>
              </w:rPr>
              <w:t>其他对事业单位补助</w:t>
            </w:r>
          </w:p>
        </w:tc>
        <w:tc>
          <w:tcPr>
            <w:tcW w:w="2417" w:type="dxa"/>
            <w:vAlign w:val="top"/>
            <w:tcBorders>
              <w:right w:val="single" w:color="000000" w:sz="6" w:space="0"/>
            </w:tcBorders>
          </w:tcPr>
          <w:p>
            <w:pPr>
              <w:pStyle w:val="TableText"/>
              <w:ind w:left="2210"/>
              <w:spacing w:before="150" w:line="237" w:lineRule="auto"/>
              <w:rPr>
                <w:sz w:val="19"/>
                <w:szCs w:val="19"/>
              </w:rPr>
            </w:pPr>
            <w:r>
              <w:rPr>
                <w:sz w:val="19"/>
                <w:szCs w:val="19"/>
              </w:rPr>
              <w:t>8</w:t>
            </w:r>
          </w:p>
        </w:tc>
      </w:tr>
      <w:tr>
        <w:trPr>
          <w:trHeight w:val="404" w:hRule="atLeast"/>
        </w:trPr>
        <w:tc>
          <w:tcPr>
            <w:tcW w:w="2130" w:type="dxa"/>
            <w:vAlign w:val="top"/>
            <w:tcBorders>
              <w:left w:val="single" w:color="000000" w:sz="6" w:space="0"/>
            </w:tcBorders>
          </w:tcPr>
          <w:p>
            <w:pPr>
              <w:pStyle w:val="TableText"/>
              <w:ind w:left="108"/>
              <w:spacing w:before="152" w:line="235" w:lineRule="auto"/>
              <w:rPr>
                <w:sz w:val="19"/>
                <w:szCs w:val="19"/>
              </w:rPr>
            </w:pPr>
            <w:r>
              <w:rPr>
                <w:sz w:val="19"/>
                <w:szCs w:val="19"/>
                <w:b/>
                <w:bCs/>
                <w:spacing w:val="1"/>
              </w:rPr>
              <w:t>506</w:t>
            </w:r>
          </w:p>
        </w:tc>
        <w:tc>
          <w:tcPr>
            <w:tcW w:w="4246" w:type="dxa"/>
            <w:vAlign w:val="top"/>
          </w:tcPr>
          <w:p>
            <w:pPr>
              <w:pStyle w:val="TableText"/>
              <w:ind w:left="101"/>
              <w:spacing w:before="155" w:line="221" w:lineRule="auto"/>
              <w:rPr>
                <w:sz w:val="19"/>
                <w:szCs w:val="19"/>
              </w:rPr>
            </w:pPr>
            <w:r>
              <w:rPr>
                <w:sz w:val="19"/>
                <w:szCs w:val="19"/>
                <w:b/>
                <w:bCs/>
                <w:spacing w:val="8"/>
              </w:rPr>
              <w:t>对事业单位资本性补助</w:t>
            </w:r>
          </w:p>
        </w:tc>
        <w:tc>
          <w:tcPr>
            <w:tcW w:w="2417" w:type="dxa"/>
            <w:vAlign w:val="top"/>
            <w:tcBorders>
              <w:right w:val="single" w:color="000000" w:sz="6" w:space="0"/>
            </w:tcBorders>
          </w:tcPr>
          <w:p>
            <w:pPr>
              <w:pStyle w:val="TableText"/>
              <w:ind w:left="2009"/>
              <w:spacing w:before="152" w:line="235" w:lineRule="auto"/>
              <w:rPr>
                <w:sz w:val="19"/>
                <w:szCs w:val="19"/>
              </w:rPr>
            </w:pPr>
            <w:r>
              <w:rPr>
                <w:sz w:val="19"/>
                <w:szCs w:val="19"/>
                <w:b/>
                <w:bCs/>
              </w:rPr>
              <w:t>868</w:t>
            </w:r>
          </w:p>
        </w:tc>
      </w:tr>
      <w:tr>
        <w:trPr>
          <w:trHeight w:val="404" w:hRule="atLeast"/>
        </w:trPr>
        <w:tc>
          <w:tcPr>
            <w:tcW w:w="2130" w:type="dxa"/>
            <w:vAlign w:val="top"/>
            <w:tcBorders>
              <w:left w:val="single" w:color="000000" w:sz="6" w:space="0"/>
            </w:tcBorders>
          </w:tcPr>
          <w:p>
            <w:pPr>
              <w:pStyle w:val="TableText"/>
              <w:ind w:left="307"/>
              <w:spacing w:before="153" w:line="234" w:lineRule="auto"/>
              <w:rPr>
                <w:sz w:val="19"/>
                <w:szCs w:val="19"/>
              </w:rPr>
            </w:pPr>
            <w:r>
              <w:rPr>
                <w:sz w:val="19"/>
                <w:szCs w:val="19"/>
                <w:spacing w:val="2"/>
              </w:rPr>
              <w:t>50601</w:t>
            </w:r>
          </w:p>
        </w:tc>
        <w:tc>
          <w:tcPr>
            <w:tcW w:w="4246" w:type="dxa"/>
            <w:vAlign w:val="top"/>
          </w:tcPr>
          <w:p>
            <w:pPr>
              <w:pStyle w:val="TableText"/>
              <w:ind w:left="306"/>
              <w:spacing w:before="153" w:line="234" w:lineRule="auto"/>
              <w:rPr>
                <w:sz w:val="19"/>
                <w:szCs w:val="19"/>
              </w:rPr>
            </w:pPr>
            <w:r>
              <w:rPr>
                <w:sz w:val="19"/>
                <w:szCs w:val="19"/>
                <w:spacing w:val="9"/>
              </w:rPr>
              <w:t>资本性支出（一）</w:t>
            </w:r>
          </w:p>
        </w:tc>
        <w:tc>
          <w:tcPr>
            <w:tcW w:w="2417" w:type="dxa"/>
            <w:vAlign w:val="top"/>
            <w:tcBorders>
              <w:right w:val="single" w:color="000000" w:sz="6" w:space="0"/>
            </w:tcBorders>
          </w:tcPr>
          <w:p>
            <w:pPr>
              <w:pStyle w:val="TableText"/>
              <w:ind w:left="2007"/>
              <w:spacing w:before="153" w:line="234" w:lineRule="auto"/>
              <w:rPr>
                <w:sz w:val="19"/>
                <w:szCs w:val="19"/>
              </w:rPr>
            </w:pPr>
            <w:r>
              <w:rPr>
                <w:sz w:val="19"/>
                <w:szCs w:val="19"/>
                <w:spacing w:val="2"/>
              </w:rPr>
              <w:t>734</w:t>
            </w:r>
          </w:p>
        </w:tc>
      </w:tr>
      <w:tr>
        <w:trPr>
          <w:trHeight w:val="404" w:hRule="atLeast"/>
        </w:trPr>
        <w:tc>
          <w:tcPr>
            <w:tcW w:w="2130" w:type="dxa"/>
            <w:vAlign w:val="top"/>
            <w:tcBorders>
              <w:left w:val="single" w:color="000000" w:sz="6" w:space="0"/>
            </w:tcBorders>
          </w:tcPr>
          <w:p>
            <w:pPr>
              <w:pStyle w:val="TableText"/>
              <w:ind w:left="307"/>
              <w:spacing w:before="154" w:line="233" w:lineRule="auto"/>
              <w:rPr>
                <w:sz w:val="19"/>
                <w:szCs w:val="19"/>
              </w:rPr>
            </w:pPr>
            <w:r>
              <w:rPr>
                <w:sz w:val="19"/>
                <w:szCs w:val="19"/>
                <w:spacing w:val="2"/>
              </w:rPr>
              <w:t>50602</w:t>
            </w:r>
          </w:p>
        </w:tc>
        <w:tc>
          <w:tcPr>
            <w:tcW w:w="4246" w:type="dxa"/>
            <w:vAlign w:val="top"/>
          </w:tcPr>
          <w:p>
            <w:pPr>
              <w:pStyle w:val="TableText"/>
              <w:ind w:left="306"/>
              <w:spacing w:before="154" w:line="233" w:lineRule="auto"/>
              <w:rPr>
                <w:sz w:val="19"/>
                <w:szCs w:val="19"/>
              </w:rPr>
            </w:pPr>
            <w:r>
              <w:rPr>
                <w:sz w:val="19"/>
                <w:szCs w:val="19"/>
                <w:spacing w:val="10"/>
              </w:rPr>
              <w:t>资本性支出（二）</w:t>
            </w:r>
          </w:p>
        </w:tc>
        <w:tc>
          <w:tcPr>
            <w:tcW w:w="2417" w:type="dxa"/>
            <w:vAlign w:val="top"/>
            <w:tcBorders>
              <w:right w:val="single" w:color="000000" w:sz="6" w:space="0"/>
            </w:tcBorders>
          </w:tcPr>
          <w:p>
            <w:pPr>
              <w:pStyle w:val="TableText"/>
              <w:ind w:left="2025"/>
              <w:spacing w:before="154" w:line="233" w:lineRule="auto"/>
              <w:rPr>
                <w:sz w:val="19"/>
                <w:szCs w:val="19"/>
              </w:rPr>
            </w:pPr>
            <w:r>
              <w:rPr>
                <w:sz w:val="19"/>
                <w:szCs w:val="19"/>
                <w:spacing w:val="-4"/>
              </w:rPr>
              <w:t>134</w:t>
            </w:r>
          </w:p>
        </w:tc>
      </w:tr>
      <w:tr>
        <w:trPr>
          <w:trHeight w:val="404" w:hRule="atLeast"/>
        </w:trPr>
        <w:tc>
          <w:tcPr>
            <w:tcW w:w="2130" w:type="dxa"/>
            <w:vAlign w:val="top"/>
            <w:tcBorders>
              <w:left w:val="single" w:color="000000" w:sz="6" w:space="0"/>
            </w:tcBorders>
          </w:tcPr>
          <w:p>
            <w:pPr>
              <w:pStyle w:val="TableText"/>
              <w:ind w:left="108"/>
              <w:spacing w:before="155" w:line="232" w:lineRule="auto"/>
              <w:rPr>
                <w:sz w:val="19"/>
                <w:szCs w:val="19"/>
              </w:rPr>
            </w:pPr>
            <w:r>
              <w:rPr>
                <w:sz w:val="19"/>
                <w:szCs w:val="19"/>
                <w:b/>
                <w:bCs/>
                <w:spacing w:val="1"/>
              </w:rPr>
              <w:t>507</w:t>
            </w:r>
          </w:p>
        </w:tc>
        <w:tc>
          <w:tcPr>
            <w:tcW w:w="4246" w:type="dxa"/>
            <w:vAlign w:val="top"/>
          </w:tcPr>
          <w:p>
            <w:pPr>
              <w:pStyle w:val="TableText"/>
              <w:ind w:left="101"/>
              <w:spacing w:before="162" w:line="216" w:lineRule="auto"/>
              <w:rPr>
                <w:sz w:val="19"/>
                <w:szCs w:val="19"/>
              </w:rPr>
            </w:pPr>
            <w:r>
              <w:rPr>
                <w:sz w:val="19"/>
                <w:szCs w:val="19"/>
                <w:b/>
                <w:bCs/>
                <w:spacing w:val="7"/>
              </w:rPr>
              <w:t>对企业补助</w:t>
            </w:r>
          </w:p>
        </w:tc>
        <w:tc>
          <w:tcPr>
            <w:tcW w:w="2417" w:type="dxa"/>
            <w:vAlign w:val="top"/>
            <w:tcBorders>
              <w:right w:val="single" w:color="000000" w:sz="6" w:space="0"/>
            </w:tcBorders>
          </w:tcPr>
          <w:p>
            <w:pPr>
              <w:pStyle w:val="TableText"/>
              <w:ind w:left="1823"/>
              <w:spacing w:before="155" w:line="232" w:lineRule="auto"/>
              <w:rPr>
                <w:sz w:val="19"/>
                <w:szCs w:val="19"/>
              </w:rPr>
            </w:pPr>
            <w:r>
              <w:rPr>
                <w:sz w:val="19"/>
                <w:szCs w:val="19"/>
                <w:b/>
                <w:bCs/>
                <w:spacing w:val="-2"/>
              </w:rPr>
              <w:t>13156</w:t>
            </w:r>
          </w:p>
        </w:tc>
      </w:tr>
      <w:tr>
        <w:trPr>
          <w:trHeight w:val="404" w:hRule="atLeast"/>
        </w:trPr>
        <w:tc>
          <w:tcPr>
            <w:tcW w:w="2130" w:type="dxa"/>
            <w:vAlign w:val="top"/>
            <w:tcBorders>
              <w:left w:val="single" w:color="000000" w:sz="6" w:space="0"/>
            </w:tcBorders>
          </w:tcPr>
          <w:p>
            <w:pPr>
              <w:pStyle w:val="TableText"/>
              <w:ind w:left="307"/>
              <w:spacing w:before="154" w:line="233" w:lineRule="auto"/>
              <w:rPr>
                <w:sz w:val="19"/>
                <w:szCs w:val="19"/>
              </w:rPr>
            </w:pPr>
            <w:r>
              <w:rPr>
                <w:sz w:val="19"/>
                <w:szCs w:val="19"/>
                <w:spacing w:val="2"/>
              </w:rPr>
              <w:t>50701</w:t>
            </w:r>
          </w:p>
        </w:tc>
        <w:tc>
          <w:tcPr>
            <w:tcW w:w="4246" w:type="dxa"/>
            <w:vAlign w:val="top"/>
          </w:tcPr>
          <w:p>
            <w:pPr>
              <w:pStyle w:val="TableText"/>
              <w:ind w:left="308"/>
              <w:spacing w:before="158" w:line="221" w:lineRule="auto"/>
              <w:rPr>
                <w:sz w:val="19"/>
                <w:szCs w:val="19"/>
              </w:rPr>
            </w:pPr>
            <w:r>
              <w:rPr>
                <w:sz w:val="19"/>
                <w:szCs w:val="19"/>
                <w:spacing w:val="7"/>
              </w:rPr>
              <w:t>费用补贴</w:t>
            </w:r>
          </w:p>
        </w:tc>
        <w:tc>
          <w:tcPr>
            <w:tcW w:w="2417" w:type="dxa"/>
            <w:vAlign w:val="top"/>
            <w:tcBorders>
              <w:right w:val="single" w:color="000000" w:sz="6" w:space="0"/>
            </w:tcBorders>
          </w:tcPr>
          <w:p>
            <w:pPr>
              <w:pStyle w:val="TableText"/>
              <w:ind w:left="1914"/>
              <w:spacing w:before="154" w:line="233" w:lineRule="auto"/>
              <w:rPr>
                <w:sz w:val="19"/>
                <w:szCs w:val="19"/>
              </w:rPr>
            </w:pPr>
            <w:r>
              <w:rPr>
                <w:sz w:val="19"/>
                <w:szCs w:val="19"/>
                <w:spacing w:val="1"/>
              </w:rPr>
              <w:t>3914</w:t>
            </w:r>
          </w:p>
        </w:tc>
      </w:tr>
      <w:tr>
        <w:trPr>
          <w:trHeight w:val="405" w:hRule="atLeast"/>
        </w:trPr>
        <w:tc>
          <w:tcPr>
            <w:tcW w:w="2130" w:type="dxa"/>
            <w:vAlign w:val="top"/>
            <w:tcBorders>
              <w:left w:val="single" w:color="000000" w:sz="6" w:space="0"/>
            </w:tcBorders>
          </w:tcPr>
          <w:p>
            <w:pPr>
              <w:pStyle w:val="TableText"/>
              <w:ind w:left="307"/>
              <w:spacing w:before="155" w:line="233" w:lineRule="auto"/>
              <w:rPr>
                <w:sz w:val="19"/>
                <w:szCs w:val="19"/>
              </w:rPr>
            </w:pPr>
            <w:r>
              <w:rPr>
                <w:sz w:val="19"/>
                <w:szCs w:val="19"/>
                <w:spacing w:val="2"/>
              </w:rPr>
              <w:t>50799</w:t>
            </w:r>
          </w:p>
        </w:tc>
        <w:tc>
          <w:tcPr>
            <w:tcW w:w="4246" w:type="dxa"/>
            <w:vAlign w:val="top"/>
          </w:tcPr>
          <w:p>
            <w:pPr>
              <w:pStyle w:val="TableText"/>
              <w:ind w:left="301"/>
              <w:spacing w:before="159" w:line="222" w:lineRule="auto"/>
              <w:rPr>
                <w:sz w:val="19"/>
                <w:szCs w:val="19"/>
              </w:rPr>
            </w:pPr>
            <w:r>
              <w:rPr>
                <w:sz w:val="19"/>
                <w:szCs w:val="19"/>
                <w:spacing w:val="9"/>
              </w:rPr>
              <w:t>其他对企业补助</w:t>
            </w:r>
          </w:p>
        </w:tc>
        <w:tc>
          <w:tcPr>
            <w:tcW w:w="2417" w:type="dxa"/>
            <w:vAlign w:val="top"/>
            <w:tcBorders>
              <w:right w:val="single" w:color="000000" w:sz="6" w:space="0"/>
            </w:tcBorders>
          </w:tcPr>
          <w:p>
            <w:pPr>
              <w:pStyle w:val="TableText"/>
              <w:ind w:left="1910"/>
              <w:spacing w:before="155" w:line="233" w:lineRule="auto"/>
              <w:rPr>
                <w:sz w:val="19"/>
                <w:szCs w:val="19"/>
              </w:rPr>
            </w:pPr>
            <w:r>
              <w:rPr>
                <w:sz w:val="19"/>
                <w:szCs w:val="19"/>
                <w:spacing w:val="2"/>
              </w:rPr>
              <w:t>9242</w:t>
            </w:r>
          </w:p>
        </w:tc>
      </w:tr>
      <w:tr>
        <w:trPr>
          <w:trHeight w:val="405" w:hRule="atLeast"/>
        </w:trPr>
        <w:tc>
          <w:tcPr>
            <w:tcW w:w="2130" w:type="dxa"/>
            <w:vAlign w:val="top"/>
            <w:tcBorders>
              <w:left w:val="single" w:color="000000" w:sz="6" w:space="0"/>
            </w:tcBorders>
          </w:tcPr>
          <w:p>
            <w:pPr>
              <w:pStyle w:val="TableText"/>
              <w:ind w:left="108"/>
              <w:spacing w:before="155" w:line="233" w:lineRule="auto"/>
              <w:rPr>
                <w:sz w:val="19"/>
                <w:szCs w:val="19"/>
              </w:rPr>
            </w:pPr>
            <w:r>
              <w:rPr>
                <w:sz w:val="19"/>
                <w:szCs w:val="19"/>
                <w:b/>
                <w:bCs/>
                <w:spacing w:val="1"/>
              </w:rPr>
              <w:t>509</w:t>
            </w:r>
          </w:p>
        </w:tc>
        <w:tc>
          <w:tcPr>
            <w:tcW w:w="4246" w:type="dxa"/>
            <w:vAlign w:val="top"/>
          </w:tcPr>
          <w:p>
            <w:pPr>
              <w:pStyle w:val="TableText"/>
              <w:ind w:left="101"/>
              <w:spacing w:before="161" w:line="218" w:lineRule="auto"/>
              <w:rPr>
                <w:sz w:val="19"/>
                <w:szCs w:val="19"/>
              </w:rPr>
            </w:pPr>
            <w:r>
              <w:rPr>
                <w:sz w:val="19"/>
                <w:szCs w:val="19"/>
                <w:b/>
                <w:bCs/>
                <w:spacing w:val="8"/>
              </w:rPr>
              <w:t>对个人和家庭的补助</w:t>
            </w:r>
          </w:p>
        </w:tc>
        <w:tc>
          <w:tcPr>
            <w:tcW w:w="2417" w:type="dxa"/>
            <w:vAlign w:val="top"/>
            <w:tcBorders>
              <w:right w:val="single" w:color="000000" w:sz="6" w:space="0"/>
            </w:tcBorders>
          </w:tcPr>
          <w:p>
            <w:pPr>
              <w:pStyle w:val="TableText"/>
              <w:ind w:left="1806"/>
              <w:spacing w:before="155" w:line="233" w:lineRule="auto"/>
              <w:rPr>
                <w:sz w:val="19"/>
                <w:szCs w:val="19"/>
              </w:rPr>
            </w:pPr>
            <w:r>
              <w:rPr>
                <w:sz w:val="19"/>
                <w:szCs w:val="19"/>
                <w:b/>
                <w:bCs/>
                <w:spacing w:val="2"/>
              </w:rPr>
              <w:t>75229</w:t>
            </w:r>
          </w:p>
        </w:tc>
      </w:tr>
      <w:tr>
        <w:trPr>
          <w:trHeight w:val="404" w:hRule="atLeast"/>
        </w:trPr>
        <w:tc>
          <w:tcPr>
            <w:tcW w:w="2130" w:type="dxa"/>
            <w:vAlign w:val="top"/>
            <w:tcBorders>
              <w:left w:val="single" w:color="000000" w:sz="6" w:space="0"/>
            </w:tcBorders>
          </w:tcPr>
          <w:p>
            <w:pPr>
              <w:pStyle w:val="TableText"/>
              <w:ind w:left="307"/>
              <w:spacing w:before="155" w:line="232" w:lineRule="auto"/>
              <w:rPr>
                <w:sz w:val="19"/>
                <w:szCs w:val="19"/>
              </w:rPr>
            </w:pPr>
            <w:r>
              <w:rPr>
                <w:sz w:val="19"/>
                <w:szCs w:val="19"/>
                <w:spacing w:val="2"/>
              </w:rPr>
              <w:t>50901</w:t>
            </w:r>
          </w:p>
        </w:tc>
        <w:tc>
          <w:tcPr>
            <w:tcW w:w="4246" w:type="dxa"/>
            <w:vAlign w:val="top"/>
          </w:tcPr>
          <w:p>
            <w:pPr>
              <w:pStyle w:val="TableText"/>
              <w:ind w:left="301"/>
              <w:spacing w:before="160" w:line="218" w:lineRule="auto"/>
              <w:rPr>
                <w:sz w:val="19"/>
                <w:szCs w:val="19"/>
              </w:rPr>
            </w:pPr>
            <w:r>
              <w:rPr>
                <w:sz w:val="19"/>
                <w:szCs w:val="19"/>
                <w:spacing w:val="9"/>
              </w:rPr>
              <w:t>社会福利和救助</w:t>
            </w:r>
          </w:p>
        </w:tc>
        <w:tc>
          <w:tcPr>
            <w:tcW w:w="2417" w:type="dxa"/>
            <w:vAlign w:val="top"/>
            <w:tcBorders>
              <w:right w:val="single" w:color="000000" w:sz="6" w:space="0"/>
            </w:tcBorders>
          </w:tcPr>
          <w:p>
            <w:pPr>
              <w:pStyle w:val="TableText"/>
              <w:ind w:left="1927"/>
              <w:spacing w:before="155" w:line="232" w:lineRule="auto"/>
              <w:rPr>
                <w:sz w:val="19"/>
                <w:szCs w:val="19"/>
              </w:rPr>
            </w:pPr>
            <w:r>
              <w:rPr>
                <w:sz w:val="19"/>
                <w:szCs w:val="19"/>
                <w:spacing w:val="-2"/>
              </w:rPr>
              <w:t>1689</w:t>
            </w:r>
          </w:p>
        </w:tc>
      </w:tr>
      <w:tr>
        <w:trPr>
          <w:trHeight w:val="405" w:hRule="atLeast"/>
        </w:trPr>
        <w:tc>
          <w:tcPr>
            <w:tcW w:w="2130" w:type="dxa"/>
            <w:vAlign w:val="top"/>
            <w:tcBorders>
              <w:left w:val="single" w:color="000000" w:sz="6" w:space="0"/>
            </w:tcBorders>
          </w:tcPr>
          <w:p>
            <w:pPr>
              <w:pStyle w:val="TableText"/>
              <w:ind w:left="307"/>
              <w:spacing w:before="157" w:line="231" w:lineRule="auto"/>
              <w:rPr>
                <w:sz w:val="19"/>
                <w:szCs w:val="19"/>
              </w:rPr>
            </w:pPr>
            <w:r>
              <w:rPr>
                <w:sz w:val="19"/>
                <w:szCs w:val="19"/>
                <w:spacing w:val="2"/>
              </w:rPr>
              <w:t>50902</w:t>
            </w:r>
          </w:p>
        </w:tc>
        <w:tc>
          <w:tcPr>
            <w:tcW w:w="4246" w:type="dxa"/>
            <w:vAlign w:val="top"/>
          </w:tcPr>
          <w:p>
            <w:pPr>
              <w:pStyle w:val="TableText"/>
              <w:ind w:left="304"/>
              <w:spacing w:before="163" w:line="216" w:lineRule="auto"/>
              <w:rPr>
                <w:sz w:val="19"/>
                <w:szCs w:val="19"/>
              </w:rPr>
            </w:pPr>
            <w:r>
              <w:rPr>
                <w:sz w:val="19"/>
                <w:szCs w:val="19"/>
                <w:spacing w:val="7"/>
              </w:rPr>
              <w:t>助学金</w:t>
            </w:r>
          </w:p>
        </w:tc>
        <w:tc>
          <w:tcPr>
            <w:tcW w:w="2417" w:type="dxa"/>
            <w:vAlign w:val="top"/>
            <w:tcBorders>
              <w:right w:val="single" w:color="000000" w:sz="6" w:space="0"/>
            </w:tcBorders>
          </w:tcPr>
          <w:p>
            <w:pPr>
              <w:pStyle w:val="TableText"/>
              <w:ind w:left="2113"/>
              <w:spacing w:before="157" w:line="231" w:lineRule="auto"/>
              <w:rPr>
                <w:sz w:val="19"/>
                <w:szCs w:val="19"/>
              </w:rPr>
            </w:pPr>
            <w:r>
              <w:rPr>
                <w:sz w:val="19"/>
                <w:szCs w:val="19"/>
                <w:spacing w:val="-1"/>
              </w:rPr>
              <w:t>30</w:t>
            </w:r>
          </w:p>
        </w:tc>
      </w:tr>
      <w:tr>
        <w:trPr>
          <w:trHeight w:val="404" w:hRule="atLeast"/>
        </w:trPr>
        <w:tc>
          <w:tcPr>
            <w:tcW w:w="2130" w:type="dxa"/>
            <w:vAlign w:val="top"/>
            <w:tcBorders>
              <w:left w:val="single" w:color="000000" w:sz="6" w:space="0"/>
            </w:tcBorders>
          </w:tcPr>
          <w:p>
            <w:pPr>
              <w:pStyle w:val="TableText"/>
              <w:ind w:left="307"/>
              <w:spacing w:before="157" w:line="230" w:lineRule="auto"/>
              <w:rPr>
                <w:sz w:val="19"/>
                <w:szCs w:val="19"/>
              </w:rPr>
            </w:pPr>
            <w:r>
              <w:rPr>
                <w:sz w:val="19"/>
                <w:szCs w:val="19"/>
                <w:spacing w:val="2"/>
              </w:rPr>
              <w:t>50905</w:t>
            </w:r>
          </w:p>
        </w:tc>
        <w:tc>
          <w:tcPr>
            <w:tcW w:w="4246" w:type="dxa"/>
            <w:vAlign w:val="top"/>
          </w:tcPr>
          <w:p>
            <w:pPr>
              <w:pStyle w:val="TableText"/>
              <w:ind w:left="303"/>
              <w:spacing w:before="159" w:line="225" w:lineRule="auto"/>
              <w:rPr>
                <w:sz w:val="19"/>
                <w:szCs w:val="19"/>
              </w:rPr>
            </w:pPr>
            <w:r>
              <w:rPr>
                <w:sz w:val="19"/>
                <w:szCs w:val="19"/>
                <w:spacing w:val="8"/>
              </w:rPr>
              <w:t>离退休费</w:t>
            </w:r>
          </w:p>
        </w:tc>
        <w:tc>
          <w:tcPr>
            <w:tcW w:w="2417" w:type="dxa"/>
            <w:vAlign w:val="top"/>
            <w:tcBorders>
              <w:right w:val="single" w:color="000000" w:sz="6" w:space="0"/>
            </w:tcBorders>
          </w:tcPr>
          <w:p>
            <w:pPr>
              <w:pStyle w:val="TableText"/>
              <w:ind w:left="2011"/>
              <w:spacing w:before="157" w:line="230" w:lineRule="auto"/>
              <w:rPr>
                <w:sz w:val="19"/>
                <w:szCs w:val="19"/>
              </w:rPr>
            </w:pPr>
            <w:r>
              <w:rPr>
                <w:sz w:val="19"/>
                <w:szCs w:val="19"/>
              </w:rPr>
              <w:t>890</w:t>
            </w:r>
          </w:p>
        </w:tc>
      </w:tr>
      <w:tr>
        <w:trPr>
          <w:trHeight w:val="405" w:hRule="atLeast"/>
        </w:trPr>
        <w:tc>
          <w:tcPr>
            <w:tcW w:w="2130" w:type="dxa"/>
            <w:vAlign w:val="top"/>
            <w:tcBorders>
              <w:left w:val="single" w:color="000000" w:sz="6" w:space="0"/>
            </w:tcBorders>
          </w:tcPr>
          <w:p>
            <w:pPr>
              <w:pStyle w:val="TableText"/>
              <w:ind w:left="307"/>
              <w:spacing w:before="158" w:line="230" w:lineRule="auto"/>
              <w:rPr>
                <w:sz w:val="19"/>
                <w:szCs w:val="19"/>
              </w:rPr>
            </w:pPr>
            <w:r>
              <w:rPr>
                <w:sz w:val="19"/>
                <w:szCs w:val="19"/>
                <w:spacing w:val="2"/>
              </w:rPr>
              <w:t>50999</w:t>
            </w:r>
          </w:p>
        </w:tc>
        <w:tc>
          <w:tcPr>
            <w:tcW w:w="4246" w:type="dxa"/>
            <w:vAlign w:val="top"/>
          </w:tcPr>
          <w:p>
            <w:pPr>
              <w:pStyle w:val="TableText"/>
              <w:ind w:left="301"/>
              <w:spacing w:before="162" w:line="221" w:lineRule="auto"/>
              <w:rPr>
                <w:sz w:val="19"/>
                <w:szCs w:val="19"/>
              </w:rPr>
            </w:pPr>
            <w:r>
              <w:rPr>
                <w:sz w:val="19"/>
                <w:szCs w:val="19"/>
                <w:spacing w:val="9"/>
              </w:rPr>
              <w:t>其他对个人和家庭的补助</w:t>
            </w:r>
          </w:p>
        </w:tc>
        <w:tc>
          <w:tcPr>
            <w:tcW w:w="2417" w:type="dxa"/>
            <w:vAlign w:val="top"/>
            <w:tcBorders>
              <w:right w:val="single" w:color="000000" w:sz="6" w:space="0"/>
            </w:tcBorders>
          </w:tcPr>
          <w:p>
            <w:pPr>
              <w:pStyle w:val="TableText"/>
              <w:ind w:left="1811"/>
              <w:spacing w:before="158" w:line="230" w:lineRule="auto"/>
              <w:rPr>
                <w:sz w:val="19"/>
                <w:szCs w:val="19"/>
              </w:rPr>
            </w:pPr>
            <w:r>
              <w:rPr>
                <w:sz w:val="19"/>
                <w:szCs w:val="19"/>
                <w:spacing w:val="3"/>
              </w:rPr>
              <w:t>72620</w:t>
            </w:r>
          </w:p>
        </w:tc>
      </w:tr>
      <w:tr>
        <w:trPr>
          <w:trHeight w:val="404" w:hRule="atLeast"/>
        </w:trPr>
        <w:tc>
          <w:tcPr>
            <w:tcW w:w="2130" w:type="dxa"/>
            <w:vAlign w:val="top"/>
            <w:tcBorders>
              <w:left w:val="single" w:color="000000" w:sz="6" w:space="0"/>
            </w:tcBorders>
          </w:tcPr>
          <w:p>
            <w:pPr>
              <w:pStyle w:val="TableText"/>
              <w:ind w:left="108"/>
              <w:spacing w:before="158" w:line="229" w:lineRule="auto"/>
              <w:rPr>
                <w:sz w:val="19"/>
                <w:szCs w:val="19"/>
              </w:rPr>
            </w:pPr>
            <w:r>
              <w:rPr>
                <w:sz w:val="19"/>
                <w:szCs w:val="19"/>
                <w:b/>
                <w:bCs/>
                <w:spacing w:val="1"/>
              </w:rPr>
              <w:t>511</w:t>
            </w:r>
          </w:p>
        </w:tc>
        <w:tc>
          <w:tcPr>
            <w:tcW w:w="4246" w:type="dxa"/>
            <w:vAlign w:val="top"/>
          </w:tcPr>
          <w:p>
            <w:pPr>
              <w:pStyle w:val="TableText"/>
              <w:ind w:left="102"/>
              <w:spacing w:before="163" w:line="221" w:lineRule="auto"/>
              <w:rPr>
                <w:sz w:val="19"/>
                <w:szCs w:val="19"/>
              </w:rPr>
            </w:pPr>
            <w:r>
              <w:rPr>
                <w:sz w:val="19"/>
                <w:szCs w:val="19"/>
                <w:b/>
                <w:bCs/>
                <w:spacing w:val="8"/>
              </w:rPr>
              <w:t>债务利息及费用支出</w:t>
            </w:r>
          </w:p>
        </w:tc>
        <w:tc>
          <w:tcPr>
            <w:tcW w:w="2417" w:type="dxa"/>
            <w:vAlign w:val="top"/>
            <w:tcBorders>
              <w:right w:val="single" w:color="000000" w:sz="6" w:space="0"/>
            </w:tcBorders>
          </w:tcPr>
          <w:p>
            <w:pPr>
              <w:pStyle w:val="TableText"/>
              <w:ind w:left="1823"/>
              <w:spacing w:before="158" w:line="229" w:lineRule="auto"/>
              <w:rPr>
                <w:sz w:val="19"/>
                <w:szCs w:val="19"/>
              </w:rPr>
            </w:pPr>
            <w:r>
              <w:rPr>
                <w:sz w:val="19"/>
                <w:szCs w:val="19"/>
                <w:b/>
                <w:bCs/>
                <w:spacing w:val="-2"/>
              </w:rPr>
              <w:t>19083</w:t>
            </w:r>
          </w:p>
        </w:tc>
      </w:tr>
      <w:tr>
        <w:trPr>
          <w:trHeight w:val="405" w:hRule="atLeast"/>
        </w:trPr>
        <w:tc>
          <w:tcPr>
            <w:tcW w:w="2130" w:type="dxa"/>
            <w:vAlign w:val="top"/>
            <w:tcBorders>
              <w:left w:val="single" w:color="000000" w:sz="6" w:space="0"/>
            </w:tcBorders>
          </w:tcPr>
          <w:p>
            <w:pPr>
              <w:pStyle w:val="TableText"/>
              <w:ind w:left="307"/>
              <w:spacing w:before="159" w:line="229" w:lineRule="auto"/>
              <w:rPr>
                <w:sz w:val="19"/>
                <w:szCs w:val="19"/>
              </w:rPr>
            </w:pPr>
            <w:r>
              <w:rPr>
                <w:sz w:val="19"/>
                <w:szCs w:val="19"/>
                <w:spacing w:val="2"/>
              </w:rPr>
              <w:t>51101</w:t>
            </w:r>
          </w:p>
        </w:tc>
        <w:tc>
          <w:tcPr>
            <w:tcW w:w="4246" w:type="dxa"/>
            <w:vAlign w:val="top"/>
          </w:tcPr>
          <w:p>
            <w:pPr>
              <w:pStyle w:val="TableText"/>
              <w:ind w:left="321"/>
              <w:spacing w:before="161" w:line="225" w:lineRule="auto"/>
              <w:rPr>
                <w:sz w:val="19"/>
                <w:szCs w:val="19"/>
              </w:rPr>
            </w:pPr>
            <w:r>
              <w:rPr>
                <w:sz w:val="19"/>
                <w:szCs w:val="19"/>
                <w:spacing w:val="5"/>
              </w:rPr>
              <w:t>国内债务付息</w:t>
            </w:r>
          </w:p>
        </w:tc>
        <w:tc>
          <w:tcPr>
            <w:tcW w:w="2417" w:type="dxa"/>
            <w:vAlign w:val="top"/>
            <w:tcBorders>
              <w:right w:val="single" w:color="000000" w:sz="6" w:space="0"/>
            </w:tcBorders>
          </w:tcPr>
          <w:p>
            <w:pPr>
              <w:pStyle w:val="TableText"/>
              <w:ind w:left="1828"/>
              <w:spacing w:before="159" w:line="229" w:lineRule="auto"/>
              <w:rPr>
                <w:sz w:val="19"/>
                <w:szCs w:val="19"/>
              </w:rPr>
            </w:pPr>
            <w:r>
              <w:rPr>
                <w:sz w:val="19"/>
                <w:szCs w:val="19"/>
                <w:spacing w:val="-1"/>
              </w:rPr>
              <w:t>19083</w:t>
            </w:r>
          </w:p>
        </w:tc>
      </w:tr>
      <w:tr>
        <w:trPr>
          <w:trHeight w:val="404" w:hRule="atLeast"/>
        </w:trPr>
        <w:tc>
          <w:tcPr>
            <w:tcW w:w="2130" w:type="dxa"/>
            <w:vAlign w:val="top"/>
            <w:tcBorders>
              <w:left w:val="single" w:color="000000" w:sz="6" w:space="0"/>
            </w:tcBorders>
          </w:tcPr>
          <w:p>
            <w:pPr>
              <w:pStyle w:val="TableText"/>
              <w:ind w:left="108"/>
              <w:spacing w:before="159" w:line="228" w:lineRule="auto"/>
              <w:rPr>
                <w:sz w:val="19"/>
                <w:szCs w:val="19"/>
              </w:rPr>
            </w:pPr>
            <w:r>
              <w:rPr>
                <w:sz w:val="19"/>
                <w:szCs w:val="19"/>
                <w:b/>
                <w:bCs/>
                <w:spacing w:val="1"/>
              </w:rPr>
              <w:t>599</w:t>
            </w:r>
          </w:p>
        </w:tc>
        <w:tc>
          <w:tcPr>
            <w:tcW w:w="4246" w:type="dxa"/>
            <w:vAlign w:val="top"/>
          </w:tcPr>
          <w:p>
            <w:pPr>
              <w:pStyle w:val="TableText"/>
              <w:ind w:left="101"/>
              <w:spacing w:before="163" w:line="222" w:lineRule="auto"/>
              <w:rPr>
                <w:sz w:val="19"/>
                <w:szCs w:val="19"/>
              </w:rPr>
            </w:pPr>
            <w:r>
              <w:rPr>
                <w:sz w:val="19"/>
                <w:szCs w:val="19"/>
                <w:b/>
                <w:bCs/>
                <w:spacing w:val="7"/>
              </w:rPr>
              <w:t>其他支出</w:t>
            </w:r>
          </w:p>
        </w:tc>
        <w:tc>
          <w:tcPr>
            <w:tcW w:w="2417" w:type="dxa"/>
            <w:vAlign w:val="top"/>
            <w:tcBorders>
              <w:right w:val="single" w:color="000000" w:sz="6" w:space="0"/>
            </w:tcBorders>
          </w:tcPr>
          <w:p>
            <w:pPr>
              <w:pStyle w:val="TableText"/>
              <w:ind w:left="1823"/>
              <w:spacing w:before="159" w:line="228" w:lineRule="auto"/>
              <w:rPr>
                <w:sz w:val="19"/>
                <w:szCs w:val="19"/>
              </w:rPr>
            </w:pPr>
            <w:r>
              <w:rPr>
                <w:sz w:val="19"/>
                <w:szCs w:val="19"/>
                <w:b/>
                <w:bCs/>
                <w:spacing w:val="-2"/>
              </w:rPr>
              <w:t>12150</w:t>
            </w:r>
          </w:p>
        </w:tc>
      </w:tr>
      <w:tr>
        <w:trPr>
          <w:trHeight w:val="416" w:hRule="atLeast"/>
        </w:trPr>
        <w:tc>
          <w:tcPr>
            <w:tcW w:w="2130" w:type="dxa"/>
            <w:vAlign w:val="top"/>
            <w:tcBorders>
              <w:left w:val="single" w:color="000000" w:sz="6" w:space="0"/>
              <w:bottom w:val="single" w:color="000000" w:sz="6" w:space="0"/>
            </w:tcBorders>
          </w:tcPr>
          <w:p>
            <w:pPr>
              <w:pStyle w:val="TableText"/>
              <w:ind w:left="307"/>
              <w:spacing w:before="161" w:line="238" w:lineRule="auto"/>
              <w:rPr>
                <w:sz w:val="19"/>
                <w:szCs w:val="19"/>
              </w:rPr>
            </w:pPr>
            <w:r>
              <w:rPr>
                <w:sz w:val="19"/>
                <w:szCs w:val="19"/>
                <w:spacing w:val="2"/>
              </w:rPr>
              <w:t>59999</w:t>
            </w:r>
          </w:p>
        </w:tc>
        <w:tc>
          <w:tcPr>
            <w:tcW w:w="4246" w:type="dxa"/>
            <w:vAlign w:val="top"/>
            <w:tcBorders>
              <w:bottom w:val="single" w:color="000000" w:sz="6" w:space="0"/>
            </w:tcBorders>
          </w:tcPr>
          <w:p>
            <w:pPr>
              <w:pStyle w:val="TableText"/>
              <w:ind w:left="301"/>
              <w:spacing w:before="164" w:line="222" w:lineRule="auto"/>
              <w:rPr>
                <w:sz w:val="19"/>
                <w:szCs w:val="19"/>
              </w:rPr>
            </w:pPr>
            <w:r>
              <w:rPr>
                <w:sz w:val="19"/>
                <w:szCs w:val="19"/>
                <w:spacing w:val="8"/>
              </w:rPr>
              <w:t>其他支出</w:t>
            </w:r>
          </w:p>
        </w:tc>
        <w:tc>
          <w:tcPr>
            <w:tcW w:w="2417" w:type="dxa"/>
            <w:vAlign w:val="top"/>
            <w:tcBorders>
              <w:bottom w:val="single" w:color="000000" w:sz="6" w:space="0"/>
              <w:right w:val="single" w:color="000000" w:sz="6" w:space="0"/>
            </w:tcBorders>
          </w:tcPr>
          <w:p>
            <w:pPr>
              <w:pStyle w:val="TableText"/>
              <w:ind w:left="1828"/>
              <w:spacing w:before="161" w:line="238" w:lineRule="auto"/>
              <w:rPr>
                <w:sz w:val="19"/>
                <w:szCs w:val="19"/>
              </w:rPr>
            </w:pPr>
            <w:r>
              <w:rPr>
                <w:sz w:val="19"/>
                <w:szCs w:val="19"/>
                <w:spacing w:val="-1"/>
              </w:rPr>
              <w:t>12150</w:t>
            </w:r>
          </w:p>
        </w:tc>
      </w:tr>
    </w:tbl>
    <w:p>
      <w:pPr>
        <w:spacing w:line="281" w:lineRule="auto"/>
        <w:rPr>
          <w:rFonts w:ascii="Arial"/>
          <w:sz w:val="21"/>
        </w:rPr>
      </w:pPr>
      <w:r/>
    </w:p>
    <w:p>
      <w:pPr>
        <w:spacing w:line="282" w:lineRule="auto"/>
        <w:rPr>
          <w:rFonts w:ascii="Arial"/>
          <w:sz w:val="21"/>
        </w:rPr>
      </w:pPr>
      <w:r/>
    </w:p>
    <w:p>
      <w:pPr>
        <w:ind w:left="47"/>
        <w:spacing w:before="86"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表六之二</w:t>
      </w:r>
    </w:p>
    <w:p>
      <w:pPr>
        <w:spacing w:line="289" w:lineRule="auto"/>
        <w:rPr>
          <w:rFonts w:ascii="Arial"/>
          <w:sz w:val="21"/>
        </w:rPr>
      </w:pPr>
      <w:r/>
    </w:p>
    <w:p>
      <w:pPr>
        <w:pStyle w:val="BodyText"/>
        <w:ind w:left="558"/>
        <w:spacing w:before="114" w:line="495" w:lineRule="exact"/>
        <w:rPr>
          <w:sz w:val="35"/>
          <w:szCs w:val="35"/>
        </w:rPr>
      </w:pPr>
      <w:r>
        <w:rPr>
          <w:sz w:val="35"/>
          <w:szCs w:val="35"/>
          <w:b/>
          <w:bCs/>
          <w:spacing w:val="3"/>
          <w:position w:val="2"/>
        </w:rPr>
        <w:t>固原市本级</w:t>
      </w:r>
      <w:r>
        <w:rPr>
          <w:sz w:val="35"/>
          <w:szCs w:val="35"/>
          <w:spacing w:val="-63"/>
          <w:position w:val="2"/>
        </w:rPr>
        <w:t xml:space="preserve"> </w:t>
      </w:r>
      <w:r>
        <w:rPr>
          <w:sz w:val="35"/>
          <w:szCs w:val="35"/>
          <w:b/>
          <w:bCs/>
          <w:spacing w:val="3"/>
          <w:position w:val="2"/>
        </w:rPr>
        <w:t>2021</w:t>
      </w:r>
      <w:r>
        <w:rPr>
          <w:sz w:val="35"/>
          <w:szCs w:val="35"/>
          <w:spacing w:val="-76"/>
          <w:position w:val="2"/>
        </w:rPr>
        <w:t xml:space="preserve"> </w:t>
      </w:r>
      <w:r>
        <w:rPr>
          <w:sz w:val="35"/>
          <w:szCs w:val="35"/>
          <w:b/>
          <w:bCs/>
          <w:spacing w:val="3"/>
          <w:position w:val="2"/>
        </w:rPr>
        <w:t>年基本支出政府经济分类明细表</w:t>
      </w:r>
    </w:p>
    <w:p>
      <w:pPr>
        <w:pStyle w:val="BodyText"/>
        <w:ind w:left="7882"/>
        <w:spacing w:before="149" w:line="279" w:lineRule="exact"/>
        <w:rPr/>
      </w:pPr>
      <w:r>
        <w:rPr>
          <w:spacing w:val="-4"/>
          <w:position w:val="1"/>
        </w:rPr>
        <w:t>单位:万元</w:t>
      </w:r>
    </w:p>
    <w:p>
      <w:pPr>
        <w:spacing w:line="33" w:lineRule="auto"/>
        <w:rPr>
          <w:rFonts w:ascii="Arial"/>
          <w:sz w:val="2"/>
        </w:rPr>
      </w:pPr>
      <w:r>
        <w:rPr>
          <w:rFonts w:ascii="Arial"/>
          <w:sz w:val="2"/>
        </w:rPr>
      </w:r>
    </w:p>
    <w:tbl>
      <w:tblPr>
        <w:tblStyle w:val="TableNormal"/>
        <w:tblW w:w="8793"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08"/>
        <w:gridCol w:w="4761"/>
        <w:gridCol w:w="1924"/>
      </w:tblGrid>
      <w:tr>
        <w:trPr>
          <w:trHeight w:val="494" w:hRule="atLeast"/>
        </w:trPr>
        <w:tc>
          <w:tcPr>
            <w:tcW w:w="2108" w:type="dxa"/>
            <w:vAlign w:val="top"/>
            <w:tcBorders>
              <w:left w:val="single" w:color="000000" w:sz="6" w:space="0"/>
              <w:top w:val="single" w:color="000000" w:sz="6" w:space="0"/>
            </w:tcBorders>
          </w:tcPr>
          <w:p>
            <w:pPr>
              <w:pStyle w:val="TableText"/>
              <w:ind w:left="646"/>
              <w:spacing w:before="137" w:line="218" w:lineRule="auto"/>
              <w:rPr>
                <w:sz w:val="19"/>
                <w:szCs w:val="19"/>
              </w:rPr>
            </w:pPr>
            <w:r>
              <w:rPr>
                <w:sz w:val="19"/>
                <w:szCs w:val="19"/>
                <w:b/>
                <w:bCs/>
                <w:spacing w:val="7"/>
              </w:rPr>
              <w:t>科目编码</w:t>
            </w:r>
          </w:p>
        </w:tc>
        <w:tc>
          <w:tcPr>
            <w:tcW w:w="4761" w:type="dxa"/>
            <w:vAlign w:val="top"/>
            <w:tcBorders>
              <w:top w:val="single" w:color="000000" w:sz="6" w:space="0"/>
            </w:tcBorders>
          </w:tcPr>
          <w:p>
            <w:pPr>
              <w:pStyle w:val="TableText"/>
              <w:ind w:left="1978"/>
              <w:spacing w:before="137" w:line="218" w:lineRule="auto"/>
              <w:rPr>
                <w:sz w:val="19"/>
                <w:szCs w:val="19"/>
              </w:rPr>
            </w:pPr>
            <w:r>
              <w:rPr>
                <w:sz w:val="19"/>
                <w:szCs w:val="19"/>
                <w:b/>
                <w:bCs/>
                <w:spacing w:val="7"/>
              </w:rPr>
              <w:t>科目名称</w:t>
            </w:r>
          </w:p>
        </w:tc>
        <w:tc>
          <w:tcPr>
            <w:tcW w:w="1924" w:type="dxa"/>
            <w:vAlign w:val="top"/>
            <w:tcBorders>
              <w:right w:val="single" w:color="000000" w:sz="6" w:space="0"/>
              <w:top w:val="single" w:color="000000" w:sz="6" w:space="0"/>
            </w:tcBorders>
          </w:tcPr>
          <w:p>
            <w:pPr>
              <w:pStyle w:val="TableText"/>
              <w:ind w:left="666"/>
              <w:spacing w:before="135" w:line="221" w:lineRule="auto"/>
              <w:rPr>
                <w:sz w:val="19"/>
                <w:szCs w:val="19"/>
              </w:rPr>
            </w:pPr>
            <w:r>
              <w:rPr>
                <w:sz w:val="19"/>
                <w:szCs w:val="19"/>
                <w:b/>
                <w:bCs/>
                <w:spacing w:val="5"/>
              </w:rPr>
              <w:t>预算数</w:t>
            </w:r>
          </w:p>
        </w:tc>
      </w:tr>
      <w:tr>
        <w:trPr>
          <w:trHeight w:val="487" w:hRule="atLeast"/>
        </w:trPr>
        <w:tc>
          <w:tcPr>
            <w:tcW w:w="2108" w:type="dxa"/>
            <w:vAlign w:val="top"/>
            <w:tcBorders>
              <w:left w:val="single" w:color="000000" w:sz="6" w:space="0"/>
            </w:tcBorders>
          </w:tcPr>
          <w:p>
            <w:pPr>
              <w:rPr>
                <w:rFonts w:ascii="Arial"/>
                <w:sz w:val="21"/>
              </w:rPr>
            </w:pPr>
            <w:r/>
          </w:p>
        </w:tc>
        <w:tc>
          <w:tcPr>
            <w:tcW w:w="4761" w:type="dxa"/>
            <w:vAlign w:val="top"/>
          </w:tcPr>
          <w:p>
            <w:pPr>
              <w:pStyle w:val="TableText"/>
              <w:ind w:left="102"/>
              <w:spacing w:before="133" w:line="223" w:lineRule="auto"/>
              <w:rPr>
                <w:sz w:val="19"/>
                <w:szCs w:val="19"/>
              </w:rPr>
            </w:pPr>
            <w:r>
              <w:rPr>
                <w:sz w:val="19"/>
                <w:szCs w:val="19"/>
                <w:b/>
                <w:bCs/>
                <w:spacing w:val="6"/>
              </w:rPr>
              <w:t>合计</w:t>
            </w:r>
          </w:p>
        </w:tc>
        <w:tc>
          <w:tcPr>
            <w:tcW w:w="1924" w:type="dxa"/>
            <w:vAlign w:val="top"/>
            <w:tcBorders>
              <w:right w:val="single" w:color="000000" w:sz="6" w:space="0"/>
            </w:tcBorders>
          </w:tcPr>
          <w:p>
            <w:pPr>
              <w:pStyle w:val="TableText"/>
              <w:ind w:left="1230"/>
              <w:spacing w:before="129" w:line="286" w:lineRule="exact"/>
              <w:rPr>
                <w:sz w:val="19"/>
                <w:szCs w:val="19"/>
              </w:rPr>
            </w:pPr>
            <w:r>
              <w:rPr>
                <w:sz w:val="19"/>
                <w:szCs w:val="19"/>
                <w:b/>
                <w:bCs/>
                <w:spacing w:val="-1"/>
                <w:position w:val="2"/>
              </w:rPr>
              <w:t>117557</w:t>
            </w:r>
          </w:p>
        </w:tc>
      </w:tr>
      <w:tr>
        <w:trPr>
          <w:trHeight w:val="486" w:hRule="atLeast"/>
        </w:trPr>
        <w:tc>
          <w:tcPr>
            <w:tcW w:w="2108" w:type="dxa"/>
            <w:vAlign w:val="top"/>
            <w:tcBorders>
              <w:left w:val="single" w:color="000000" w:sz="6" w:space="0"/>
            </w:tcBorders>
          </w:tcPr>
          <w:p>
            <w:pPr>
              <w:pStyle w:val="TableText"/>
              <w:ind w:left="108"/>
              <w:spacing w:before="132" w:line="285" w:lineRule="exact"/>
              <w:rPr>
                <w:sz w:val="19"/>
                <w:szCs w:val="19"/>
              </w:rPr>
            </w:pPr>
            <w:r>
              <w:rPr>
                <w:sz w:val="19"/>
                <w:szCs w:val="19"/>
                <w:b/>
                <w:bCs/>
                <w:spacing w:val="1"/>
                <w:position w:val="2"/>
              </w:rPr>
              <w:t>501</w:t>
            </w:r>
          </w:p>
        </w:tc>
        <w:tc>
          <w:tcPr>
            <w:tcW w:w="4761" w:type="dxa"/>
            <w:vAlign w:val="top"/>
          </w:tcPr>
          <w:p>
            <w:pPr>
              <w:pStyle w:val="TableText"/>
              <w:ind w:left="104"/>
              <w:spacing w:before="135" w:line="220" w:lineRule="auto"/>
              <w:rPr>
                <w:sz w:val="19"/>
                <w:szCs w:val="19"/>
              </w:rPr>
            </w:pPr>
            <w:r>
              <w:rPr>
                <w:sz w:val="19"/>
                <w:szCs w:val="19"/>
                <w:b/>
                <w:bCs/>
                <w:spacing w:val="8"/>
              </w:rPr>
              <w:t>机关工资福利支出</w:t>
            </w:r>
          </w:p>
        </w:tc>
        <w:tc>
          <w:tcPr>
            <w:tcW w:w="1924" w:type="dxa"/>
            <w:vAlign w:val="top"/>
            <w:tcBorders>
              <w:right w:val="single" w:color="000000" w:sz="6" w:space="0"/>
            </w:tcBorders>
          </w:tcPr>
          <w:p>
            <w:pPr>
              <w:pStyle w:val="TableText"/>
              <w:ind w:left="1311"/>
              <w:spacing w:before="132" w:line="285" w:lineRule="exact"/>
              <w:rPr>
                <w:sz w:val="19"/>
                <w:szCs w:val="19"/>
              </w:rPr>
            </w:pPr>
            <w:r>
              <w:rPr>
                <w:sz w:val="19"/>
                <w:szCs w:val="19"/>
                <w:b/>
                <w:bCs/>
                <w:spacing w:val="2"/>
                <w:position w:val="2"/>
              </w:rPr>
              <w:t>44564</w:t>
            </w:r>
          </w:p>
        </w:tc>
      </w:tr>
      <w:tr>
        <w:trPr>
          <w:trHeight w:val="497" w:hRule="atLeast"/>
        </w:trPr>
        <w:tc>
          <w:tcPr>
            <w:tcW w:w="2108" w:type="dxa"/>
            <w:vAlign w:val="top"/>
            <w:tcBorders>
              <w:left w:val="single" w:color="000000" w:sz="6" w:space="0"/>
              <w:bottom w:val="single" w:color="000000" w:sz="6" w:space="0"/>
            </w:tcBorders>
          </w:tcPr>
          <w:p>
            <w:pPr>
              <w:pStyle w:val="TableText"/>
              <w:ind w:left="307"/>
              <w:spacing w:before="137" w:line="285" w:lineRule="exact"/>
              <w:rPr>
                <w:sz w:val="19"/>
                <w:szCs w:val="19"/>
              </w:rPr>
            </w:pPr>
            <w:r>
              <w:rPr>
                <w:sz w:val="19"/>
                <w:szCs w:val="19"/>
                <w:spacing w:val="2"/>
                <w:position w:val="2"/>
              </w:rPr>
              <w:t>50101</w:t>
            </w:r>
          </w:p>
        </w:tc>
        <w:tc>
          <w:tcPr>
            <w:tcW w:w="4761" w:type="dxa"/>
            <w:vAlign w:val="top"/>
            <w:tcBorders>
              <w:bottom w:val="single" w:color="000000" w:sz="6" w:space="0"/>
            </w:tcBorders>
          </w:tcPr>
          <w:p>
            <w:pPr>
              <w:pStyle w:val="TableText"/>
              <w:ind w:left="302"/>
              <w:spacing w:before="140" w:line="221" w:lineRule="auto"/>
              <w:rPr>
                <w:sz w:val="19"/>
                <w:szCs w:val="19"/>
              </w:rPr>
            </w:pPr>
            <w:r>
              <w:rPr>
                <w:sz w:val="19"/>
                <w:szCs w:val="19"/>
                <w:spacing w:val="9"/>
              </w:rPr>
              <w:t>工资奖金津补贴</w:t>
            </w:r>
          </w:p>
        </w:tc>
        <w:tc>
          <w:tcPr>
            <w:tcW w:w="1924" w:type="dxa"/>
            <w:vAlign w:val="top"/>
            <w:tcBorders>
              <w:bottom w:val="single" w:color="000000" w:sz="6" w:space="0"/>
              <w:right w:val="single" w:color="000000" w:sz="6" w:space="0"/>
            </w:tcBorders>
          </w:tcPr>
          <w:p>
            <w:pPr>
              <w:pStyle w:val="TableText"/>
              <w:ind w:left="1322"/>
              <w:spacing w:before="137" w:line="285" w:lineRule="exact"/>
              <w:rPr>
                <w:sz w:val="19"/>
                <w:szCs w:val="19"/>
              </w:rPr>
            </w:pPr>
            <w:r>
              <w:rPr>
                <w:sz w:val="19"/>
                <w:szCs w:val="19"/>
                <w:spacing w:val="2"/>
                <w:position w:val="2"/>
              </w:rPr>
              <w:t>32043</w:t>
            </w:r>
          </w:p>
        </w:tc>
      </w:tr>
    </w:tbl>
    <w:p>
      <w:pPr>
        <w:spacing w:line="165" w:lineRule="exact"/>
        <w:rPr>
          <w:rFonts w:ascii="Arial"/>
          <w:sz w:val="14"/>
        </w:rPr>
      </w:pPr>
      <w:r/>
    </w:p>
    <w:p>
      <w:pPr>
        <w:spacing w:line="165" w:lineRule="exact"/>
        <w:sectPr>
          <w:headerReference w:type="default" r:id="rId91"/>
          <w:footerReference w:type="default" r:id="rId92"/>
          <w:pgSz w:w="11906" w:h="16839"/>
          <w:pgMar w:top="1793" w:right="1530" w:bottom="1672" w:left="1548" w:header="1428" w:footer="1277" w:gutter="0"/>
        </w:sectPr>
        <w:rPr>
          <w:rFonts w:ascii="Arial" w:hAnsi="Arial" w:eastAsia="Arial" w:cs="Arial"/>
          <w:sz w:val="14"/>
          <w:szCs w:val="14"/>
        </w:rPr>
      </w:pPr>
    </w:p>
    <w:p>
      <w:pPr>
        <w:spacing w:line="191" w:lineRule="exact"/>
        <w:rPr/>
      </w:pPr>
      <w:r>
        <w:drawing>
          <wp:anchor distT="0" distB="0" distL="0" distR="0" simplePos="0" relativeHeight="251691008"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186" name="IM 186"/>
            <wp:cNvGraphicFramePr/>
            <a:graphic>
              <a:graphicData uri="http://schemas.openxmlformats.org/drawingml/2006/picture">
                <pic:pic>
                  <pic:nvPicPr>
                    <pic:cNvPr id="186" name="IM 186"/>
                    <pic:cNvPicPr/>
                  </pic:nvPicPr>
                  <pic:blipFill>
                    <a:blip r:embed="rId95"/>
                    <a:stretch>
                      <a:fillRect/>
                    </a:stretch>
                  </pic:blipFill>
                  <pic:spPr>
                    <a:xfrm rot="0">
                      <a:off x="0" y="0"/>
                      <a:ext cx="5579745" cy="7619"/>
                    </a:xfrm>
                    <a:prstGeom prst="rect">
                      <a:avLst/>
                    </a:prstGeom>
                  </pic:spPr>
                </pic:pic>
              </a:graphicData>
            </a:graphic>
          </wp:anchor>
        </w:drawing>
      </w:r>
      <w:r/>
    </w:p>
    <w:tbl>
      <w:tblPr>
        <w:tblStyle w:val="TableNormal"/>
        <w:tblW w:w="8793"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08"/>
        <w:gridCol w:w="4761"/>
        <w:gridCol w:w="1924"/>
      </w:tblGrid>
      <w:tr>
        <w:trPr>
          <w:trHeight w:val="497" w:hRule="atLeast"/>
        </w:trPr>
        <w:tc>
          <w:tcPr>
            <w:tcW w:w="2108" w:type="dxa"/>
            <w:vAlign w:val="top"/>
            <w:tcBorders>
              <w:left w:val="single" w:color="000000" w:sz="6" w:space="0"/>
              <w:top w:val="single" w:color="000000" w:sz="6" w:space="0"/>
            </w:tcBorders>
          </w:tcPr>
          <w:p>
            <w:pPr>
              <w:pStyle w:val="TableText"/>
              <w:ind w:left="646"/>
              <w:spacing w:before="138" w:line="218" w:lineRule="auto"/>
              <w:rPr>
                <w:sz w:val="19"/>
                <w:szCs w:val="19"/>
              </w:rPr>
            </w:pPr>
            <w:r>
              <w:rPr>
                <w:sz w:val="19"/>
                <w:szCs w:val="19"/>
                <w:b/>
                <w:bCs/>
                <w:spacing w:val="7"/>
              </w:rPr>
              <w:t>科目编码</w:t>
            </w:r>
          </w:p>
        </w:tc>
        <w:tc>
          <w:tcPr>
            <w:tcW w:w="4761" w:type="dxa"/>
            <w:vAlign w:val="top"/>
            <w:tcBorders>
              <w:top w:val="single" w:color="000000" w:sz="6" w:space="0"/>
            </w:tcBorders>
          </w:tcPr>
          <w:p>
            <w:pPr>
              <w:pStyle w:val="TableText"/>
              <w:ind w:left="1978"/>
              <w:spacing w:before="138" w:line="218" w:lineRule="auto"/>
              <w:rPr>
                <w:sz w:val="19"/>
                <w:szCs w:val="19"/>
              </w:rPr>
            </w:pPr>
            <w:r>
              <w:rPr>
                <w:sz w:val="19"/>
                <w:szCs w:val="19"/>
                <w:b/>
                <w:bCs/>
                <w:spacing w:val="7"/>
              </w:rPr>
              <w:t>科目名称</w:t>
            </w:r>
          </w:p>
        </w:tc>
        <w:tc>
          <w:tcPr>
            <w:tcW w:w="1924" w:type="dxa"/>
            <w:vAlign w:val="top"/>
            <w:tcBorders>
              <w:right w:val="single" w:color="000000" w:sz="6" w:space="0"/>
              <w:top w:val="single" w:color="000000" w:sz="6" w:space="0"/>
            </w:tcBorders>
          </w:tcPr>
          <w:p>
            <w:pPr>
              <w:pStyle w:val="TableText"/>
              <w:ind w:left="666"/>
              <w:spacing w:before="136" w:line="221" w:lineRule="auto"/>
              <w:rPr>
                <w:sz w:val="19"/>
                <w:szCs w:val="19"/>
              </w:rPr>
            </w:pPr>
            <w:r>
              <w:rPr>
                <w:sz w:val="19"/>
                <w:szCs w:val="19"/>
                <w:b/>
                <w:bCs/>
                <w:spacing w:val="5"/>
              </w:rPr>
              <w:t>预算数</w:t>
            </w:r>
          </w:p>
        </w:tc>
      </w:tr>
      <w:tr>
        <w:trPr>
          <w:trHeight w:val="473" w:hRule="atLeast"/>
        </w:trPr>
        <w:tc>
          <w:tcPr>
            <w:tcW w:w="2108" w:type="dxa"/>
            <w:vAlign w:val="top"/>
            <w:tcBorders>
              <w:left w:val="single" w:color="000000" w:sz="6" w:space="0"/>
            </w:tcBorders>
          </w:tcPr>
          <w:p>
            <w:pPr>
              <w:pStyle w:val="TableText"/>
              <w:ind w:left="307"/>
              <w:spacing w:before="118" w:line="285" w:lineRule="exact"/>
              <w:rPr>
                <w:sz w:val="19"/>
                <w:szCs w:val="19"/>
              </w:rPr>
            </w:pPr>
            <w:r>
              <w:rPr>
                <w:sz w:val="19"/>
                <w:szCs w:val="19"/>
                <w:spacing w:val="2"/>
                <w:position w:val="2"/>
              </w:rPr>
              <w:t>50102</w:t>
            </w:r>
          </w:p>
        </w:tc>
        <w:tc>
          <w:tcPr>
            <w:tcW w:w="4761" w:type="dxa"/>
            <w:vAlign w:val="top"/>
          </w:tcPr>
          <w:p>
            <w:pPr>
              <w:pStyle w:val="TableText"/>
              <w:ind w:left="301"/>
              <w:spacing w:before="121" w:line="222" w:lineRule="auto"/>
              <w:rPr>
                <w:sz w:val="19"/>
                <w:szCs w:val="19"/>
              </w:rPr>
            </w:pPr>
            <w:r>
              <w:rPr>
                <w:sz w:val="19"/>
                <w:szCs w:val="19"/>
                <w:spacing w:val="9"/>
              </w:rPr>
              <w:t>社会保障缴费</w:t>
            </w:r>
          </w:p>
        </w:tc>
        <w:tc>
          <w:tcPr>
            <w:tcW w:w="1924" w:type="dxa"/>
            <w:vAlign w:val="top"/>
            <w:tcBorders>
              <w:right w:val="single" w:color="000000" w:sz="6" w:space="0"/>
            </w:tcBorders>
          </w:tcPr>
          <w:p>
            <w:pPr>
              <w:pStyle w:val="TableText"/>
              <w:ind w:left="1420"/>
              <w:spacing w:before="118" w:line="285" w:lineRule="exact"/>
              <w:rPr>
                <w:sz w:val="19"/>
                <w:szCs w:val="19"/>
              </w:rPr>
            </w:pPr>
            <w:r>
              <w:rPr>
                <w:sz w:val="19"/>
                <w:szCs w:val="19"/>
                <w:spacing w:val="2"/>
                <w:position w:val="2"/>
              </w:rPr>
              <w:t>8422</w:t>
            </w:r>
          </w:p>
        </w:tc>
      </w:tr>
      <w:tr>
        <w:trPr>
          <w:trHeight w:val="473" w:hRule="atLeast"/>
        </w:trPr>
        <w:tc>
          <w:tcPr>
            <w:tcW w:w="2108" w:type="dxa"/>
            <w:vAlign w:val="top"/>
            <w:tcBorders>
              <w:left w:val="single" w:color="000000" w:sz="6" w:space="0"/>
            </w:tcBorders>
          </w:tcPr>
          <w:p>
            <w:pPr>
              <w:pStyle w:val="TableText"/>
              <w:ind w:left="307"/>
              <w:spacing w:before="117" w:line="285" w:lineRule="exact"/>
              <w:rPr>
                <w:sz w:val="19"/>
                <w:szCs w:val="19"/>
              </w:rPr>
            </w:pPr>
            <w:r>
              <w:rPr>
                <w:sz w:val="19"/>
                <w:szCs w:val="19"/>
                <w:spacing w:val="2"/>
                <w:position w:val="2"/>
              </w:rPr>
              <w:t>50103</w:t>
            </w:r>
          </w:p>
        </w:tc>
        <w:tc>
          <w:tcPr>
            <w:tcW w:w="4761" w:type="dxa"/>
            <w:vAlign w:val="top"/>
          </w:tcPr>
          <w:p>
            <w:pPr>
              <w:pStyle w:val="TableText"/>
              <w:ind w:left="301"/>
              <w:spacing w:before="123" w:line="218" w:lineRule="auto"/>
              <w:rPr>
                <w:sz w:val="19"/>
                <w:szCs w:val="19"/>
              </w:rPr>
            </w:pPr>
            <w:r>
              <w:rPr>
                <w:sz w:val="19"/>
                <w:szCs w:val="19"/>
                <w:spacing w:val="8"/>
              </w:rPr>
              <w:t>住房公积金</w:t>
            </w:r>
          </w:p>
        </w:tc>
        <w:tc>
          <w:tcPr>
            <w:tcW w:w="1924" w:type="dxa"/>
            <w:vAlign w:val="top"/>
            <w:tcBorders>
              <w:right w:val="single" w:color="000000" w:sz="6" w:space="0"/>
            </w:tcBorders>
          </w:tcPr>
          <w:p>
            <w:pPr>
              <w:pStyle w:val="TableText"/>
              <w:ind w:left="1421"/>
              <w:spacing w:before="117" w:line="285" w:lineRule="exact"/>
              <w:rPr>
                <w:sz w:val="19"/>
                <w:szCs w:val="19"/>
              </w:rPr>
            </w:pPr>
            <w:r>
              <w:rPr>
                <w:sz w:val="19"/>
                <w:szCs w:val="19"/>
                <w:spacing w:val="1"/>
                <w:position w:val="2"/>
              </w:rPr>
              <w:t>3125</w:t>
            </w:r>
          </w:p>
        </w:tc>
      </w:tr>
      <w:tr>
        <w:trPr>
          <w:trHeight w:val="474" w:hRule="atLeast"/>
        </w:trPr>
        <w:tc>
          <w:tcPr>
            <w:tcW w:w="2108" w:type="dxa"/>
            <w:vAlign w:val="top"/>
            <w:tcBorders>
              <w:left w:val="single" w:color="000000" w:sz="6" w:space="0"/>
            </w:tcBorders>
          </w:tcPr>
          <w:p>
            <w:pPr>
              <w:pStyle w:val="TableText"/>
              <w:ind w:left="307"/>
              <w:spacing w:before="119" w:line="285" w:lineRule="exact"/>
              <w:rPr>
                <w:sz w:val="19"/>
                <w:szCs w:val="19"/>
              </w:rPr>
            </w:pPr>
            <w:r>
              <w:rPr>
                <w:sz w:val="19"/>
                <w:szCs w:val="19"/>
                <w:spacing w:val="2"/>
                <w:position w:val="2"/>
              </w:rPr>
              <w:t>50199</w:t>
            </w:r>
          </w:p>
        </w:tc>
        <w:tc>
          <w:tcPr>
            <w:tcW w:w="4761" w:type="dxa"/>
            <w:vAlign w:val="top"/>
          </w:tcPr>
          <w:p>
            <w:pPr>
              <w:pStyle w:val="TableText"/>
              <w:ind w:left="301"/>
              <w:spacing w:before="123" w:line="222" w:lineRule="auto"/>
              <w:rPr>
                <w:sz w:val="19"/>
                <w:szCs w:val="19"/>
              </w:rPr>
            </w:pPr>
            <w:r>
              <w:rPr>
                <w:sz w:val="19"/>
                <w:szCs w:val="19"/>
                <w:spacing w:val="9"/>
              </w:rPr>
              <w:t>其他工资福利支出</w:t>
            </w:r>
          </w:p>
        </w:tc>
        <w:tc>
          <w:tcPr>
            <w:tcW w:w="1924" w:type="dxa"/>
            <w:vAlign w:val="top"/>
            <w:tcBorders>
              <w:right w:val="single" w:color="000000" w:sz="6" w:space="0"/>
            </w:tcBorders>
          </w:tcPr>
          <w:p>
            <w:pPr>
              <w:pStyle w:val="TableText"/>
              <w:ind w:left="1516"/>
              <w:spacing w:before="119" w:line="285" w:lineRule="exact"/>
              <w:rPr>
                <w:sz w:val="19"/>
                <w:szCs w:val="19"/>
              </w:rPr>
            </w:pPr>
            <w:r>
              <w:rPr>
                <w:sz w:val="19"/>
                <w:szCs w:val="19"/>
                <w:spacing w:val="1"/>
                <w:position w:val="2"/>
              </w:rPr>
              <w:t>974</w:t>
            </w:r>
          </w:p>
        </w:tc>
      </w:tr>
      <w:tr>
        <w:trPr>
          <w:trHeight w:val="473" w:hRule="atLeast"/>
        </w:trPr>
        <w:tc>
          <w:tcPr>
            <w:tcW w:w="2108" w:type="dxa"/>
            <w:vAlign w:val="top"/>
            <w:tcBorders>
              <w:left w:val="single" w:color="000000" w:sz="6" w:space="0"/>
            </w:tcBorders>
          </w:tcPr>
          <w:p>
            <w:pPr>
              <w:pStyle w:val="TableText"/>
              <w:ind w:left="108"/>
              <w:spacing w:before="120" w:line="285" w:lineRule="exact"/>
              <w:rPr>
                <w:sz w:val="19"/>
                <w:szCs w:val="19"/>
              </w:rPr>
            </w:pPr>
            <w:r>
              <w:rPr>
                <w:sz w:val="19"/>
                <w:szCs w:val="19"/>
                <w:b/>
                <w:bCs/>
                <w:spacing w:val="1"/>
                <w:position w:val="2"/>
              </w:rPr>
              <w:t>502</w:t>
            </w:r>
          </w:p>
        </w:tc>
        <w:tc>
          <w:tcPr>
            <w:tcW w:w="4761" w:type="dxa"/>
            <w:vAlign w:val="top"/>
          </w:tcPr>
          <w:p>
            <w:pPr>
              <w:pStyle w:val="TableText"/>
              <w:ind w:left="104"/>
              <w:spacing w:before="120" w:line="263" w:lineRule="exact"/>
              <w:rPr>
                <w:sz w:val="19"/>
                <w:szCs w:val="19"/>
              </w:rPr>
            </w:pPr>
            <w:r>
              <w:rPr>
                <w:sz w:val="19"/>
                <w:szCs w:val="19"/>
                <w:b/>
                <w:bCs/>
                <w:spacing w:val="7"/>
                <w:position w:val="1"/>
              </w:rPr>
              <w:t>机关商品和服务支出</w:t>
            </w:r>
          </w:p>
        </w:tc>
        <w:tc>
          <w:tcPr>
            <w:tcW w:w="1924" w:type="dxa"/>
            <w:vAlign w:val="top"/>
            <w:tcBorders>
              <w:right w:val="single" w:color="000000" w:sz="6" w:space="0"/>
            </w:tcBorders>
          </w:tcPr>
          <w:p>
            <w:pPr>
              <w:pStyle w:val="TableText"/>
              <w:ind w:left="1418"/>
              <w:spacing w:before="120" w:line="285" w:lineRule="exact"/>
              <w:rPr>
                <w:sz w:val="19"/>
                <w:szCs w:val="19"/>
              </w:rPr>
            </w:pPr>
            <w:r>
              <w:rPr>
                <w:sz w:val="19"/>
                <w:szCs w:val="19"/>
                <w:b/>
                <w:bCs/>
                <w:position w:val="2"/>
              </w:rPr>
              <w:t>3535</w:t>
            </w:r>
          </w:p>
        </w:tc>
      </w:tr>
      <w:tr>
        <w:trPr>
          <w:trHeight w:val="473" w:hRule="atLeast"/>
        </w:trPr>
        <w:tc>
          <w:tcPr>
            <w:tcW w:w="2108" w:type="dxa"/>
            <w:vAlign w:val="top"/>
            <w:tcBorders>
              <w:left w:val="single" w:color="000000" w:sz="6" w:space="0"/>
            </w:tcBorders>
          </w:tcPr>
          <w:p>
            <w:pPr>
              <w:pStyle w:val="TableText"/>
              <w:ind w:left="307"/>
              <w:spacing w:before="119" w:line="285" w:lineRule="exact"/>
              <w:rPr>
                <w:sz w:val="19"/>
                <w:szCs w:val="19"/>
              </w:rPr>
            </w:pPr>
            <w:r>
              <w:rPr>
                <w:sz w:val="19"/>
                <w:szCs w:val="19"/>
                <w:spacing w:val="2"/>
                <w:position w:val="2"/>
              </w:rPr>
              <w:t>50201</w:t>
            </w:r>
          </w:p>
        </w:tc>
        <w:tc>
          <w:tcPr>
            <w:tcW w:w="4761" w:type="dxa"/>
            <w:vAlign w:val="top"/>
          </w:tcPr>
          <w:p>
            <w:pPr>
              <w:pStyle w:val="TableText"/>
              <w:ind w:left="305"/>
              <w:spacing w:before="126" w:line="219" w:lineRule="auto"/>
              <w:rPr>
                <w:sz w:val="19"/>
                <w:szCs w:val="19"/>
              </w:rPr>
            </w:pPr>
            <w:r>
              <w:rPr>
                <w:sz w:val="19"/>
                <w:szCs w:val="19"/>
                <w:spacing w:val="8"/>
              </w:rPr>
              <w:t>办公经费</w:t>
            </w:r>
          </w:p>
        </w:tc>
        <w:tc>
          <w:tcPr>
            <w:tcW w:w="1924" w:type="dxa"/>
            <w:vAlign w:val="top"/>
            <w:tcBorders>
              <w:right w:val="single" w:color="000000" w:sz="6" w:space="0"/>
            </w:tcBorders>
          </w:tcPr>
          <w:p>
            <w:pPr>
              <w:pStyle w:val="TableText"/>
              <w:ind w:left="1421"/>
              <w:spacing w:before="119" w:line="285" w:lineRule="exact"/>
              <w:rPr>
                <w:sz w:val="19"/>
                <w:szCs w:val="19"/>
              </w:rPr>
            </w:pPr>
            <w:r>
              <w:rPr>
                <w:sz w:val="19"/>
                <w:szCs w:val="19"/>
                <w:spacing w:val="1"/>
                <w:position w:val="2"/>
              </w:rPr>
              <w:t>3114</w:t>
            </w:r>
          </w:p>
        </w:tc>
      </w:tr>
      <w:tr>
        <w:trPr>
          <w:trHeight w:val="473" w:hRule="atLeast"/>
        </w:trPr>
        <w:tc>
          <w:tcPr>
            <w:tcW w:w="2108" w:type="dxa"/>
            <w:vAlign w:val="top"/>
            <w:tcBorders>
              <w:left w:val="single" w:color="000000" w:sz="6" w:space="0"/>
            </w:tcBorders>
          </w:tcPr>
          <w:p>
            <w:pPr>
              <w:pStyle w:val="TableText"/>
              <w:ind w:left="307"/>
              <w:spacing w:before="121" w:line="285" w:lineRule="exact"/>
              <w:rPr>
                <w:sz w:val="19"/>
                <w:szCs w:val="19"/>
              </w:rPr>
            </w:pPr>
            <w:r>
              <w:rPr>
                <w:sz w:val="19"/>
                <w:szCs w:val="19"/>
                <w:spacing w:val="2"/>
                <w:position w:val="2"/>
              </w:rPr>
              <w:t>50202</w:t>
            </w:r>
          </w:p>
        </w:tc>
        <w:tc>
          <w:tcPr>
            <w:tcW w:w="4761" w:type="dxa"/>
            <w:vAlign w:val="top"/>
          </w:tcPr>
          <w:p>
            <w:pPr>
              <w:pStyle w:val="TableText"/>
              <w:ind w:left="299"/>
              <w:spacing w:before="128" w:line="218" w:lineRule="auto"/>
              <w:rPr>
                <w:sz w:val="19"/>
                <w:szCs w:val="19"/>
              </w:rPr>
            </w:pPr>
            <w:r>
              <w:rPr>
                <w:sz w:val="19"/>
                <w:szCs w:val="19"/>
                <w:spacing w:val="9"/>
              </w:rPr>
              <w:t>会议费</w:t>
            </w:r>
          </w:p>
        </w:tc>
        <w:tc>
          <w:tcPr>
            <w:tcW w:w="1924" w:type="dxa"/>
            <w:vAlign w:val="top"/>
            <w:tcBorders>
              <w:right w:val="single" w:color="000000" w:sz="6" w:space="0"/>
            </w:tcBorders>
          </w:tcPr>
          <w:p>
            <w:pPr>
              <w:pStyle w:val="TableText"/>
              <w:ind w:left="1731"/>
              <w:spacing w:before="121" w:line="287" w:lineRule="exact"/>
              <w:rPr>
                <w:sz w:val="19"/>
                <w:szCs w:val="19"/>
              </w:rPr>
            </w:pPr>
            <w:r>
              <w:rPr>
                <w:sz w:val="19"/>
                <w:szCs w:val="19"/>
                <w:position w:val="2"/>
              </w:rPr>
              <w:t>1</w:t>
            </w:r>
          </w:p>
        </w:tc>
      </w:tr>
      <w:tr>
        <w:trPr>
          <w:trHeight w:val="473" w:hRule="atLeast"/>
        </w:trPr>
        <w:tc>
          <w:tcPr>
            <w:tcW w:w="2108" w:type="dxa"/>
            <w:vAlign w:val="top"/>
            <w:tcBorders>
              <w:left w:val="single" w:color="000000" w:sz="6" w:space="0"/>
            </w:tcBorders>
          </w:tcPr>
          <w:p>
            <w:pPr>
              <w:pStyle w:val="TableText"/>
              <w:ind w:left="307"/>
              <w:spacing w:before="120" w:line="286" w:lineRule="exact"/>
              <w:rPr>
                <w:sz w:val="19"/>
                <w:szCs w:val="19"/>
              </w:rPr>
            </w:pPr>
            <w:r>
              <w:rPr>
                <w:sz w:val="19"/>
                <w:szCs w:val="19"/>
                <w:spacing w:val="2"/>
                <w:position w:val="2"/>
              </w:rPr>
              <w:t>50203</w:t>
            </w:r>
          </w:p>
        </w:tc>
        <w:tc>
          <w:tcPr>
            <w:tcW w:w="4761" w:type="dxa"/>
            <w:vAlign w:val="top"/>
          </w:tcPr>
          <w:p>
            <w:pPr>
              <w:pStyle w:val="TableText"/>
              <w:ind w:left="305"/>
              <w:spacing w:before="127" w:line="220" w:lineRule="auto"/>
              <w:rPr>
                <w:sz w:val="19"/>
                <w:szCs w:val="19"/>
              </w:rPr>
            </w:pPr>
            <w:r>
              <w:rPr>
                <w:sz w:val="19"/>
                <w:szCs w:val="19"/>
                <w:spacing w:val="7"/>
              </w:rPr>
              <w:t>培训费</w:t>
            </w:r>
          </w:p>
        </w:tc>
        <w:tc>
          <w:tcPr>
            <w:tcW w:w="1924" w:type="dxa"/>
            <w:vAlign w:val="top"/>
            <w:tcBorders>
              <w:right w:val="single" w:color="000000" w:sz="6" w:space="0"/>
            </w:tcBorders>
          </w:tcPr>
          <w:p>
            <w:pPr>
              <w:pStyle w:val="TableText"/>
              <w:ind w:left="1712"/>
              <w:spacing w:before="120" w:line="287" w:lineRule="exact"/>
              <w:rPr>
                <w:sz w:val="19"/>
                <w:szCs w:val="19"/>
              </w:rPr>
            </w:pPr>
            <w:r>
              <w:rPr>
                <w:sz w:val="19"/>
                <w:szCs w:val="19"/>
                <w:spacing w:val="1"/>
                <w:position w:val="2"/>
              </w:rPr>
              <w:t>4</w:t>
            </w:r>
          </w:p>
        </w:tc>
      </w:tr>
      <w:tr>
        <w:trPr>
          <w:trHeight w:val="473" w:hRule="atLeast"/>
        </w:trPr>
        <w:tc>
          <w:tcPr>
            <w:tcW w:w="2108" w:type="dxa"/>
            <w:vAlign w:val="top"/>
            <w:tcBorders>
              <w:left w:val="single" w:color="000000" w:sz="6" w:space="0"/>
            </w:tcBorders>
          </w:tcPr>
          <w:p>
            <w:pPr>
              <w:pStyle w:val="TableText"/>
              <w:ind w:left="307"/>
              <w:spacing w:before="122" w:line="285" w:lineRule="exact"/>
              <w:rPr>
                <w:sz w:val="19"/>
                <w:szCs w:val="19"/>
              </w:rPr>
            </w:pPr>
            <w:r>
              <w:rPr>
                <w:sz w:val="19"/>
                <w:szCs w:val="19"/>
                <w:spacing w:val="2"/>
                <w:position w:val="2"/>
              </w:rPr>
              <w:t>50204</w:t>
            </w:r>
          </w:p>
        </w:tc>
        <w:tc>
          <w:tcPr>
            <w:tcW w:w="4761" w:type="dxa"/>
            <w:vAlign w:val="top"/>
          </w:tcPr>
          <w:p>
            <w:pPr>
              <w:pStyle w:val="TableText"/>
              <w:ind w:left="302"/>
              <w:spacing w:before="122" w:line="264" w:lineRule="exact"/>
              <w:rPr>
                <w:sz w:val="19"/>
                <w:szCs w:val="19"/>
              </w:rPr>
            </w:pPr>
            <w:r>
              <w:rPr>
                <w:sz w:val="19"/>
                <w:szCs w:val="19"/>
                <w:spacing w:val="9"/>
                <w:position w:val="1"/>
              </w:rPr>
              <w:t>专用材料购置费</w:t>
            </w:r>
          </w:p>
        </w:tc>
        <w:tc>
          <w:tcPr>
            <w:tcW w:w="1924" w:type="dxa"/>
            <w:vAlign w:val="top"/>
            <w:tcBorders>
              <w:right w:val="single" w:color="000000" w:sz="6" w:space="0"/>
            </w:tcBorders>
          </w:tcPr>
          <w:p>
            <w:pPr>
              <w:pStyle w:val="TableText"/>
              <w:ind w:left="1716"/>
              <w:spacing w:before="122" w:line="285" w:lineRule="exact"/>
              <w:rPr>
                <w:sz w:val="19"/>
                <w:szCs w:val="19"/>
              </w:rPr>
            </w:pPr>
            <w:r>
              <w:rPr>
                <w:sz w:val="19"/>
                <w:szCs w:val="19"/>
                <w:position w:val="2"/>
              </w:rPr>
              <w:t>5</w:t>
            </w:r>
          </w:p>
        </w:tc>
      </w:tr>
      <w:tr>
        <w:trPr>
          <w:trHeight w:val="473" w:hRule="atLeast"/>
        </w:trPr>
        <w:tc>
          <w:tcPr>
            <w:tcW w:w="2108" w:type="dxa"/>
            <w:vAlign w:val="top"/>
            <w:tcBorders>
              <w:left w:val="single" w:color="000000" w:sz="6" w:space="0"/>
            </w:tcBorders>
          </w:tcPr>
          <w:p>
            <w:pPr>
              <w:pStyle w:val="TableText"/>
              <w:ind w:left="307"/>
              <w:spacing w:before="122" w:line="285" w:lineRule="exact"/>
              <w:rPr>
                <w:sz w:val="19"/>
                <w:szCs w:val="19"/>
              </w:rPr>
            </w:pPr>
            <w:r>
              <w:rPr>
                <w:sz w:val="19"/>
                <w:szCs w:val="19"/>
                <w:spacing w:val="2"/>
                <w:position w:val="2"/>
              </w:rPr>
              <w:t>50205</w:t>
            </w:r>
          </w:p>
        </w:tc>
        <w:tc>
          <w:tcPr>
            <w:tcW w:w="4761" w:type="dxa"/>
            <w:vAlign w:val="top"/>
          </w:tcPr>
          <w:p>
            <w:pPr>
              <w:pStyle w:val="TableText"/>
              <w:ind w:left="304"/>
              <w:spacing w:before="127" w:line="220" w:lineRule="auto"/>
              <w:rPr>
                <w:sz w:val="19"/>
                <w:szCs w:val="19"/>
              </w:rPr>
            </w:pPr>
            <w:r>
              <w:rPr>
                <w:sz w:val="19"/>
                <w:szCs w:val="19"/>
                <w:spacing w:val="8"/>
              </w:rPr>
              <w:t>委托业务费</w:t>
            </w:r>
          </w:p>
        </w:tc>
        <w:tc>
          <w:tcPr>
            <w:tcW w:w="1924" w:type="dxa"/>
            <w:vAlign w:val="top"/>
            <w:tcBorders>
              <w:right w:val="single" w:color="000000" w:sz="6" w:space="0"/>
            </w:tcBorders>
          </w:tcPr>
          <w:p>
            <w:pPr>
              <w:pStyle w:val="TableText"/>
              <w:ind w:left="1532"/>
              <w:spacing w:before="122" w:line="285" w:lineRule="exact"/>
              <w:rPr>
                <w:sz w:val="19"/>
                <w:szCs w:val="19"/>
              </w:rPr>
            </w:pPr>
            <w:r>
              <w:rPr>
                <w:sz w:val="19"/>
                <w:szCs w:val="19"/>
                <w:spacing w:val="-4"/>
                <w:position w:val="2"/>
              </w:rPr>
              <w:t>199</w:t>
            </w:r>
          </w:p>
        </w:tc>
      </w:tr>
      <w:tr>
        <w:trPr>
          <w:trHeight w:val="473" w:hRule="atLeast"/>
        </w:trPr>
        <w:tc>
          <w:tcPr>
            <w:tcW w:w="2108" w:type="dxa"/>
            <w:vAlign w:val="top"/>
            <w:tcBorders>
              <w:left w:val="single" w:color="000000" w:sz="6" w:space="0"/>
            </w:tcBorders>
          </w:tcPr>
          <w:p>
            <w:pPr>
              <w:pStyle w:val="TableText"/>
              <w:ind w:left="307"/>
              <w:spacing w:before="123" w:line="286" w:lineRule="exact"/>
              <w:rPr>
                <w:sz w:val="19"/>
                <w:szCs w:val="19"/>
              </w:rPr>
            </w:pPr>
            <w:r>
              <w:rPr>
                <w:sz w:val="19"/>
                <w:szCs w:val="19"/>
                <w:spacing w:val="2"/>
                <w:position w:val="2"/>
              </w:rPr>
              <w:t>50206</w:t>
            </w:r>
          </w:p>
        </w:tc>
        <w:tc>
          <w:tcPr>
            <w:tcW w:w="4761" w:type="dxa"/>
            <w:vAlign w:val="top"/>
          </w:tcPr>
          <w:p>
            <w:pPr>
              <w:pStyle w:val="TableText"/>
              <w:ind w:left="300"/>
              <w:spacing w:before="126" w:line="223" w:lineRule="auto"/>
              <w:rPr>
                <w:sz w:val="19"/>
                <w:szCs w:val="19"/>
              </w:rPr>
            </w:pPr>
            <w:r>
              <w:rPr>
                <w:sz w:val="19"/>
                <w:szCs w:val="19"/>
                <w:spacing w:val="9"/>
              </w:rPr>
              <w:t>公务接待费</w:t>
            </w:r>
          </w:p>
        </w:tc>
        <w:tc>
          <w:tcPr>
            <w:tcW w:w="1924" w:type="dxa"/>
            <w:vAlign w:val="top"/>
            <w:tcBorders>
              <w:right w:val="single" w:color="000000" w:sz="6" w:space="0"/>
            </w:tcBorders>
          </w:tcPr>
          <w:p>
            <w:pPr>
              <w:pStyle w:val="TableText"/>
              <w:ind w:left="1712"/>
              <w:spacing w:before="123" w:line="287" w:lineRule="exact"/>
              <w:rPr>
                <w:sz w:val="19"/>
                <w:szCs w:val="19"/>
              </w:rPr>
            </w:pPr>
            <w:r>
              <w:rPr>
                <w:sz w:val="19"/>
                <w:szCs w:val="19"/>
                <w:spacing w:val="1"/>
                <w:position w:val="2"/>
              </w:rPr>
              <w:t>4</w:t>
            </w:r>
          </w:p>
        </w:tc>
      </w:tr>
      <w:tr>
        <w:trPr>
          <w:trHeight w:val="473" w:hRule="atLeast"/>
        </w:trPr>
        <w:tc>
          <w:tcPr>
            <w:tcW w:w="2108" w:type="dxa"/>
            <w:vAlign w:val="top"/>
            <w:tcBorders>
              <w:left w:val="single" w:color="000000" w:sz="6" w:space="0"/>
            </w:tcBorders>
          </w:tcPr>
          <w:p>
            <w:pPr>
              <w:pStyle w:val="TableText"/>
              <w:ind w:left="307"/>
              <w:spacing w:before="125" w:line="285" w:lineRule="exact"/>
              <w:rPr>
                <w:sz w:val="19"/>
                <w:szCs w:val="19"/>
              </w:rPr>
            </w:pPr>
            <w:r>
              <w:rPr>
                <w:sz w:val="19"/>
                <w:szCs w:val="19"/>
                <w:spacing w:val="2"/>
                <w:position w:val="2"/>
              </w:rPr>
              <w:t>50207</w:t>
            </w:r>
          </w:p>
        </w:tc>
        <w:tc>
          <w:tcPr>
            <w:tcW w:w="4761" w:type="dxa"/>
            <w:vAlign w:val="top"/>
          </w:tcPr>
          <w:p>
            <w:pPr>
              <w:pStyle w:val="TableText"/>
              <w:ind w:left="319"/>
              <w:spacing w:before="125" w:line="265" w:lineRule="exact"/>
              <w:rPr>
                <w:sz w:val="19"/>
                <w:szCs w:val="19"/>
              </w:rPr>
            </w:pPr>
            <w:r>
              <w:rPr>
                <w:sz w:val="19"/>
                <w:szCs w:val="19"/>
                <w:spacing w:val="-4"/>
                <w:position w:val="1"/>
              </w:rPr>
              <w:t>因公出国(境)费用</w:t>
            </w:r>
          </w:p>
        </w:tc>
        <w:tc>
          <w:tcPr>
            <w:tcW w:w="1924" w:type="dxa"/>
            <w:vAlign w:val="top"/>
            <w:tcBorders>
              <w:right w:val="single" w:color="000000" w:sz="6" w:space="0"/>
            </w:tcBorders>
          </w:tcPr>
          <w:p>
            <w:pPr>
              <w:pStyle w:val="TableText"/>
              <w:ind w:left="1718"/>
              <w:spacing w:before="125" w:line="285" w:lineRule="exact"/>
              <w:rPr>
                <w:sz w:val="19"/>
                <w:szCs w:val="19"/>
              </w:rPr>
            </w:pPr>
            <w:r>
              <w:rPr>
                <w:sz w:val="19"/>
                <w:szCs w:val="19"/>
                <w:position w:val="2"/>
              </w:rPr>
              <w:t>3</w:t>
            </w:r>
          </w:p>
        </w:tc>
      </w:tr>
      <w:tr>
        <w:trPr>
          <w:trHeight w:val="473" w:hRule="atLeast"/>
        </w:trPr>
        <w:tc>
          <w:tcPr>
            <w:tcW w:w="2108" w:type="dxa"/>
            <w:vAlign w:val="top"/>
            <w:tcBorders>
              <w:left w:val="single" w:color="000000" w:sz="6" w:space="0"/>
            </w:tcBorders>
          </w:tcPr>
          <w:p>
            <w:pPr>
              <w:pStyle w:val="TableText"/>
              <w:ind w:left="307"/>
              <w:spacing w:before="125" w:line="285" w:lineRule="exact"/>
              <w:rPr>
                <w:sz w:val="19"/>
                <w:szCs w:val="19"/>
              </w:rPr>
            </w:pPr>
            <w:r>
              <w:rPr>
                <w:sz w:val="19"/>
                <w:szCs w:val="19"/>
                <w:spacing w:val="2"/>
                <w:position w:val="2"/>
              </w:rPr>
              <w:t>50208</w:t>
            </w:r>
          </w:p>
        </w:tc>
        <w:tc>
          <w:tcPr>
            <w:tcW w:w="4761" w:type="dxa"/>
            <w:vAlign w:val="top"/>
          </w:tcPr>
          <w:p>
            <w:pPr>
              <w:pStyle w:val="TableText"/>
              <w:ind w:left="300"/>
              <w:spacing w:before="129" w:line="221" w:lineRule="auto"/>
              <w:rPr>
                <w:sz w:val="19"/>
                <w:szCs w:val="19"/>
              </w:rPr>
            </w:pPr>
            <w:r>
              <w:rPr>
                <w:sz w:val="19"/>
                <w:szCs w:val="19"/>
                <w:spacing w:val="9"/>
              </w:rPr>
              <w:t>公务用车运行维护费</w:t>
            </w:r>
          </w:p>
        </w:tc>
        <w:tc>
          <w:tcPr>
            <w:tcW w:w="1924" w:type="dxa"/>
            <w:vAlign w:val="top"/>
            <w:tcBorders>
              <w:right w:val="single" w:color="000000" w:sz="6" w:space="0"/>
            </w:tcBorders>
          </w:tcPr>
          <w:p>
            <w:pPr>
              <w:pStyle w:val="TableText"/>
              <w:ind w:left="1712"/>
              <w:spacing w:before="125" w:line="286" w:lineRule="exact"/>
              <w:rPr>
                <w:sz w:val="19"/>
                <w:szCs w:val="19"/>
              </w:rPr>
            </w:pPr>
            <w:r>
              <w:rPr>
                <w:sz w:val="19"/>
                <w:szCs w:val="19"/>
                <w:spacing w:val="1"/>
                <w:position w:val="2"/>
              </w:rPr>
              <w:t>4</w:t>
            </w:r>
          </w:p>
        </w:tc>
      </w:tr>
      <w:tr>
        <w:trPr>
          <w:trHeight w:val="473" w:hRule="atLeast"/>
        </w:trPr>
        <w:tc>
          <w:tcPr>
            <w:tcW w:w="2108" w:type="dxa"/>
            <w:vAlign w:val="top"/>
            <w:tcBorders>
              <w:left w:val="single" w:color="000000" w:sz="6" w:space="0"/>
            </w:tcBorders>
          </w:tcPr>
          <w:p>
            <w:pPr>
              <w:pStyle w:val="TableText"/>
              <w:ind w:left="307"/>
              <w:spacing w:before="126" w:line="286" w:lineRule="exact"/>
              <w:rPr>
                <w:sz w:val="19"/>
                <w:szCs w:val="19"/>
              </w:rPr>
            </w:pPr>
            <w:r>
              <w:rPr>
                <w:sz w:val="19"/>
                <w:szCs w:val="19"/>
                <w:spacing w:val="2"/>
                <w:position w:val="2"/>
              </w:rPr>
              <w:t>50209</w:t>
            </w:r>
          </w:p>
        </w:tc>
        <w:tc>
          <w:tcPr>
            <w:tcW w:w="4761" w:type="dxa"/>
            <w:vAlign w:val="top"/>
          </w:tcPr>
          <w:p>
            <w:pPr>
              <w:pStyle w:val="TableText"/>
              <w:ind w:left="303"/>
              <w:spacing w:before="126" w:line="265" w:lineRule="exact"/>
              <w:rPr>
                <w:sz w:val="19"/>
                <w:szCs w:val="19"/>
              </w:rPr>
            </w:pPr>
            <w:r>
              <w:rPr>
                <w:sz w:val="19"/>
                <w:szCs w:val="19"/>
                <w:spacing w:val="9"/>
                <w:position w:val="1"/>
              </w:rPr>
              <w:t>维修（护）费</w:t>
            </w:r>
          </w:p>
        </w:tc>
        <w:tc>
          <w:tcPr>
            <w:tcW w:w="1924" w:type="dxa"/>
            <w:vAlign w:val="top"/>
            <w:tcBorders>
              <w:right w:val="single" w:color="000000" w:sz="6" w:space="0"/>
            </w:tcBorders>
          </w:tcPr>
          <w:p>
            <w:pPr>
              <w:pStyle w:val="TableText"/>
              <w:ind w:left="1716"/>
              <w:spacing w:before="126" w:line="286" w:lineRule="exact"/>
              <w:rPr>
                <w:sz w:val="19"/>
                <w:szCs w:val="19"/>
              </w:rPr>
            </w:pPr>
            <w:r>
              <w:rPr>
                <w:sz w:val="19"/>
                <w:szCs w:val="19"/>
                <w:position w:val="2"/>
              </w:rPr>
              <w:t>6</w:t>
            </w:r>
          </w:p>
        </w:tc>
      </w:tr>
      <w:tr>
        <w:trPr>
          <w:trHeight w:val="473" w:hRule="atLeast"/>
        </w:trPr>
        <w:tc>
          <w:tcPr>
            <w:tcW w:w="2108" w:type="dxa"/>
            <w:vAlign w:val="top"/>
            <w:tcBorders>
              <w:left w:val="single" w:color="000000" w:sz="6" w:space="0"/>
            </w:tcBorders>
          </w:tcPr>
          <w:p>
            <w:pPr>
              <w:pStyle w:val="TableText"/>
              <w:ind w:left="307"/>
              <w:spacing w:before="126" w:line="285" w:lineRule="exact"/>
              <w:rPr>
                <w:sz w:val="19"/>
                <w:szCs w:val="19"/>
              </w:rPr>
            </w:pPr>
            <w:r>
              <w:rPr>
                <w:sz w:val="19"/>
                <w:szCs w:val="19"/>
                <w:spacing w:val="2"/>
                <w:position w:val="2"/>
              </w:rPr>
              <w:t>50299</w:t>
            </w:r>
          </w:p>
        </w:tc>
        <w:tc>
          <w:tcPr>
            <w:tcW w:w="4761" w:type="dxa"/>
            <w:vAlign w:val="top"/>
          </w:tcPr>
          <w:p>
            <w:pPr>
              <w:pStyle w:val="TableText"/>
              <w:ind w:left="301"/>
              <w:spacing w:before="126" w:line="264" w:lineRule="exact"/>
              <w:rPr>
                <w:sz w:val="19"/>
                <w:szCs w:val="19"/>
              </w:rPr>
            </w:pPr>
            <w:r>
              <w:rPr>
                <w:sz w:val="19"/>
                <w:szCs w:val="19"/>
                <w:spacing w:val="9"/>
                <w:position w:val="1"/>
              </w:rPr>
              <w:t>其他商品和服务支出</w:t>
            </w:r>
          </w:p>
        </w:tc>
        <w:tc>
          <w:tcPr>
            <w:tcW w:w="1924" w:type="dxa"/>
            <w:vAlign w:val="top"/>
            <w:tcBorders>
              <w:right w:val="single" w:color="000000" w:sz="6" w:space="0"/>
            </w:tcBorders>
          </w:tcPr>
          <w:p>
            <w:pPr>
              <w:pStyle w:val="TableText"/>
              <w:ind w:left="1532"/>
              <w:spacing w:before="126" w:line="285" w:lineRule="exact"/>
              <w:rPr>
                <w:sz w:val="19"/>
                <w:szCs w:val="19"/>
              </w:rPr>
            </w:pPr>
            <w:r>
              <w:rPr>
                <w:sz w:val="19"/>
                <w:szCs w:val="19"/>
                <w:spacing w:val="-4"/>
                <w:position w:val="2"/>
              </w:rPr>
              <w:t>195</w:t>
            </w:r>
          </w:p>
        </w:tc>
      </w:tr>
      <w:tr>
        <w:trPr>
          <w:trHeight w:val="473" w:hRule="atLeast"/>
        </w:trPr>
        <w:tc>
          <w:tcPr>
            <w:tcW w:w="2108" w:type="dxa"/>
            <w:vAlign w:val="top"/>
            <w:tcBorders>
              <w:left w:val="single" w:color="000000" w:sz="6" w:space="0"/>
            </w:tcBorders>
          </w:tcPr>
          <w:p>
            <w:pPr>
              <w:pStyle w:val="TableText"/>
              <w:ind w:left="108"/>
              <w:spacing w:before="128" w:line="285" w:lineRule="exact"/>
              <w:rPr>
                <w:sz w:val="19"/>
                <w:szCs w:val="19"/>
              </w:rPr>
            </w:pPr>
            <w:r>
              <w:rPr>
                <w:sz w:val="19"/>
                <w:szCs w:val="19"/>
                <w:b/>
                <w:bCs/>
                <w:spacing w:val="1"/>
                <w:position w:val="2"/>
              </w:rPr>
              <w:t>503</w:t>
            </w:r>
          </w:p>
        </w:tc>
        <w:tc>
          <w:tcPr>
            <w:tcW w:w="4761" w:type="dxa"/>
            <w:vAlign w:val="top"/>
          </w:tcPr>
          <w:p>
            <w:pPr>
              <w:pStyle w:val="TableText"/>
              <w:ind w:left="104"/>
              <w:spacing w:before="128" w:line="263" w:lineRule="exact"/>
              <w:rPr>
                <w:sz w:val="19"/>
                <w:szCs w:val="19"/>
              </w:rPr>
            </w:pPr>
            <w:r>
              <w:rPr>
                <w:sz w:val="19"/>
                <w:szCs w:val="19"/>
                <w:b/>
                <w:bCs/>
                <w:spacing w:val="8"/>
                <w:position w:val="1"/>
              </w:rPr>
              <w:t>机关资本性支出（一）</w:t>
            </w:r>
          </w:p>
        </w:tc>
        <w:tc>
          <w:tcPr>
            <w:tcW w:w="1924" w:type="dxa"/>
            <w:vAlign w:val="top"/>
            <w:tcBorders>
              <w:right w:val="single" w:color="000000" w:sz="6" w:space="0"/>
            </w:tcBorders>
          </w:tcPr>
          <w:p>
            <w:pPr>
              <w:pStyle w:val="TableText"/>
              <w:ind w:left="1718"/>
              <w:spacing w:before="128" w:line="285" w:lineRule="exact"/>
              <w:rPr>
                <w:sz w:val="19"/>
                <w:szCs w:val="19"/>
              </w:rPr>
            </w:pPr>
            <w:r>
              <w:rPr>
                <w:sz w:val="19"/>
                <w:szCs w:val="19"/>
                <w:b/>
                <w:bCs/>
                <w:spacing w:val="-2"/>
                <w:position w:val="2"/>
              </w:rPr>
              <w:t>3</w:t>
            </w:r>
          </w:p>
        </w:tc>
      </w:tr>
      <w:tr>
        <w:trPr>
          <w:trHeight w:val="473" w:hRule="atLeast"/>
        </w:trPr>
        <w:tc>
          <w:tcPr>
            <w:tcW w:w="2108" w:type="dxa"/>
            <w:vAlign w:val="top"/>
            <w:tcBorders>
              <w:left w:val="single" w:color="000000" w:sz="6" w:space="0"/>
            </w:tcBorders>
          </w:tcPr>
          <w:p>
            <w:pPr>
              <w:pStyle w:val="TableText"/>
              <w:ind w:left="307"/>
              <w:spacing w:before="129" w:line="286" w:lineRule="exact"/>
              <w:rPr>
                <w:sz w:val="19"/>
                <w:szCs w:val="19"/>
              </w:rPr>
            </w:pPr>
            <w:r>
              <w:rPr>
                <w:sz w:val="19"/>
                <w:szCs w:val="19"/>
                <w:spacing w:val="2"/>
                <w:position w:val="2"/>
              </w:rPr>
              <w:t>50306</w:t>
            </w:r>
          </w:p>
        </w:tc>
        <w:tc>
          <w:tcPr>
            <w:tcW w:w="4761" w:type="dxa"/>
            <w:vAlign w:val="top"/>
          </w:tcPr>
          <w:p>
            <w:pPr>
              <w:pStyle w:val="TableText"/>
              <w:ind w:left="299"/>
              <w:spacing w:before="133" w:line="222" w:lineRule="auto"/>
              <w:rPr>
                <w:sz w:val="19"/>
                <w:szCs w:val="19"/>
              </w:rPr>
            </w:pPr>
            <w:r>
              <w:rPr>
                <w:sz w:val="19"/>
                <w:szCs w:val="19"/>
                <w:spacing w:val="9"/>
              </w:rPr>
              <w:t>设备购置</w:t>
            </w:r>
          </w:p>
        </w:tc>
        <w:tc>
          <w:tcPr>
            <w:tcW w:w="1924" w:type="dxa"/>
            <w:vAlign w:val="top"/>
            <w:tcBorders>
              <w:right w:val="single" w:color="000000" w:sz="6" w:space="0"/>
            </w:tcBorders>
          </w:tcPr>
          <w:p>
            <w:pPr>
              <w:pStyle w:val="TableText"/>
              <w:ind w:left="1718"/>
              <w:spacing w:before="129" w:line="286" w:lineRule="exact"/>
              <w:rPr>
                <w:sz w:val="19"/>
                <w:szCs w:val="19"/>
              </w:rPr>
            </w:pPr>
            <w:r>
              <w:rPr>
                <w:sz w:val="19"/>
                <w:szCs w:val="19"/>
                <w:position w:val="2"/>
              </w:rPr>
              <w:t>3</w:t>
            </w:r>
          </w:p>
        </w:tc>
      </w:tr>
      <w:tr>
        <w:trPr>
          <w:trHeight w:val="473" w:hRule="atLeast"/>
        </w:trPr>
        <w:tc>
          <w:tcPr>
            <w:tcW w:w="2108" w:type="dxa"/>
            <w:vAlign w:val="top"/>
            <w:tcBorders>
              <w:left w:val="single" w:color="000000" w:sz="6" w:space="0"/>
            </w:tcBorders>
          </w:tcPr>
          <w:p>
            <w:pPr>
              <w:pStyle w:val="TableText"/>
              <w:ind w:left="108"/>
              <w:spacing w:before="129" w:line="285" w:lineRule="exact"/>
              <w:rPr>
                <w:sz w:val="19"/>
                <w:szCs w:val="19"/>
              </w:rPr>
            </w:pPr>
            <w:r>
              <w:rPr>
                <w:sz w:val="19"/>
                <w:szCs w:val="19"/>
                <w:b/>
                <w:bCs/>
                <w:spacing w:val="1"/>
                <w:position w:val="2"/>
              </w:rPr>
              <w:t>505</w:t>
            </w:r>
          </w:p>
        </w:tc>
        <w:tc>
          <w:tcPr>
            <w:tcW w:w="4761" w:type="dxa"/>
            <w:vAlign w:val="top"/>
          </w:tcPr>
          <w:p>
            <w:pPr>
              <w:pStyle w:val="TableText"/>
              <w:ind w:left="102"/>
              <w:spacing w:before="133" w:line="222" w:lineRule="auto"/>
              <w:rPr>
                <w:sz w:val="19"/>
                <w:szCs w:val="19"/>
              </w:rPr>
            </w:pPr>
            <w:r>
              <w:rPr>
                <w:sz w:val="19"/>
                <w:szCs w:val="19"/>
                <w:b/>
                <w:bCs/>
                <w:spacing w:val="8"/>
              </w:rPr>
              <w:t>对事业单位经常性补助</w:t>
            </w:r>
          </w:p>
        </w:tc>
        <w:tc>
          <w:tcPr>
            <w:tcW w:w="1924" w:type="dxa"/>
            <w:vAlign w:val="top"/>
            <w:tcBorders>
              <w:right w:val="single" w:color="000000" w:sz="6" w:space="0"/>
            </w:tcBorders>
          </w:tcPr>
          <w:p>
            <w:pPr>
              <w:pStyle w:val="TableText"/>
              <w:ind w:left="1315"/>
              <w:spacing w:before="129" w:line="285" w:lineRule="exact"/>
              <w:rPr>
                <w:sz w:val="19"/>
                <w:szCs w:val="19"/>
              </w:rPr>
            </w:pPr>
            <w:r>
              <w:rPr>
                <w:sz w:val="19"/>
                <w:szCs w:val="19"/>
                <w:b/>
                <w:bCs/>
                <w:spacing w:val="1"/>
                <w:position w:val="2"/>
              </w:rPr>
              <w:t>65544</w:t>
            </w:r>
          </w:p>
        </w:tc>
      </w:tr>
      <w:tr>
        <w:trPr>
          <w:trHeight w:val="474" w:hRule="atLeast"/>
        </w:trPr>
        <w:tc>
          <w:tcPr>
            <w:tcW w:w="2108" w:type="dxa"/>
            <w:vAlign w:val="top"/>
            <w:tcBorders>
              <w:left w:val="single" w:color="000000" w:sz="6" w:space="0"/>
            </w:tcBorders>
          </w:tcPr>
          <w:p>
            <w:pPr>
              <w:pStyle w:val="TableText"/>
              <w:ind w:left="307"/>
              <w:spacing w:before="131" w:line="285" w:lineRule="exact"/>
              <w:rPr>
                <w:sz w:val="19"/>
                <w:szCs w:val="19"/>
              </w:rPr>
            </w:pPr>
            <w:r>
              <w:rPr>
                <w:sz w:val="19"/>
                <w:szCs w:val="19"/>
                <w:spacing w:val="2"/>
                <w:position w:val="2"/>
              </w:rPr>
              <w:t>50501</w:t>
            </w:r>
          </w:p>
        </w:tc>
        <w:tc>
          <w:tcPr>
            <w:tcW w:w="4761" w:type="dxa"/>
            <w:vAlign w:val="top"/>
          </w:tcPr>
          <w:p>
            <w:pPr>
              <w:pStyle w:val="TableText"/>
              <w:ind w:left="302"/>
              <w:spacing w:before="135" w:line="221" w:lineRule="auto"/>
              <w:rPr>
                <w:sz w:val="19"/>
                <w:szCs w:val="19"/>
              </w:rPr>
            </w:pPr>
            <w:r>
              <w:rPr>
                <w:sz w:val="19"/>
                <w:szCs w:val="19"/>
                <w:spacing w:val="9"/>
              </w:rPr>
              <w:t>工资福利支出</w:t>
            </w:r>
          </w:p>
        </w:tc>
        <w:tc>
          <w:tcPr>
            <w:tcW w:w="1924" w:type="dxa"/>
            <w:vAlign w:val="top"/>
            <w:tcBorders>
              <w:right w:val="single" w:color="000000" w:sz="6" w:space="0"/>
            </w:tcBorders>
          </w:tcPr>
          <w:p>
            <w:pPr>
              <w:pStyle w:val="TableText"/>
              <w:ind w:left="1320"/>
              <w:spacing w:before="131" w:line="285" w:lineRule="exact"/>
              <w:rPr>
                <w:sz w:val="19"/>
                <w:szCs w:val="19"/>
              </w:rPr>
            </w:pPr>
            <w:r>
              <w:rPr>
                <w:sz w:val="19"/>
                <w:szCs w:val="19"/>
                <w:spacing w:val="2"/>
                <w:position w:val="2"/>
              </w:rPr>
              <w:t>62592</w:t>
            </w:r>
          </w:p>
        </w:tc>
      </w:tr>
      <w:tr>
        <w:trPr>
          <w:trHeight w:val="474" w:hRule="atLeast"/>
        </w:trPr>
        <w:tc>
          <w:tcPr>
            <w:tcW w:w="2108" w:type="dxa"/>
            <w:vAlign w:val="top"/>
            <w:tcBorders>
              <w:left w:val="single" w:color="000000" w:sz="6" w:space="0"/>
            </w:tcBorders>
          </w:tcPr>
          <w:p>
            <w:pPr>
              <w:pStyle w:val="TableText"/>
              <w:ind w:left="307"/>
              <w:spacing w:before="131" w:line="286" w:lineRule="exact"/>
              <w:rPr>
                <w:sz w:val="19"/>
                <w:szCs w:val="19"/>
              </w:rPr>
            </w:pPr>
            <w:r>
              <w:rPr>
                <w:sz w:val="19"/>
                <w:szCs w:val="19"/>
                <w:spacing w:val="2"/>
                <w:position w:val="2"/>
              </w:rPr>
              <w:t>50502</w:t>
            </w:r>
          </w:p>
        </w:tc>
        <w:tc>
          <w:tcPr>
            <w:tcW w:w="4761" w:type="dxa"/>
            <w:vAlign w:val="top"/>
          </w:tcPr>
          <w:p>
            <w:pPr>
              <w:pStyle w:val="TableText"/>
              <w:ind w:left="303"/>
              <w:spacing w:before="131" w:line="265" w:lineRule="exact"/>
              <w:rPr>
                <w:sz w:val="19"/>
                <w:szCs w:val="19"/>
              </w:rPr>
            </w:pPr>
            <w:r>
              <w:rPr>
                <w:sz w:val="19"/>
                <w:szCs w:val="19"/>
                <w:spacing w:val="9"/>
                <w:position w:val="1"/>
              </w:rPr>
              <w:t>商品和服务支出</w:t>
            </w:r>
          </w:p>
        </w:tc>
        <w:tc>
          <w:tcPr>
            <w:tcW w:w="1924" w:type="dxa"/>
            <w:vAlign w:val="top"/>
            <w:tcBorders>
              <w:right w:val="single" w:color="000000" w:sz="6" w:space="0"/>
            </w:tcBorders>
          </w:tcPr>
          <w:p>
            <w:pPr>
              <w:pStyle w:val="TableText"/>
              <w:ind w:left="1417"/>
              <w:spacing w:before="131" w:line="286" w:lineRule="exact"/>
              <w:rPr>
                <w:sz w:val="19"/>
                <w:szCs w:val="19"/>
              </w:rPr>
            </w:pPr>
            <w:r>
              <w:rPr>
                <w:sz w:val="19"/>
                <w:szCs w:val="19"/>
                <w:spacing w:val="2"/>
                <w:position w:val="2"/>
              </w:rPr>
              <w:t>2944</w:t>
            </w:r>
          </w:p>
        </w:tc>
      </w:tr>
      <w:tr>
        <w:trPr>
          <w:trHeight w:val="473" w:hRule="atLeast"/>
        </w:trPr>
        <w:tc>
          <w:tcPr>
            <w:tcW w:w="2108" w:type="dxa"/>
            <w:vAlign w:val="top"/>
            <w:tcBorders>
              <w:left w:val="single" w:color="000000" w:sz="6" w:space="0"/>
            </w:tcBorders>
          </w:tcPr>
          <w:p>
            <w:pPr>
              <w:pStyle w:val="TableText"/>
              <w:ind w:left="307"/>
              <w:spacing w:before="130" w:line="285" w:lineRule="exact"/>
              <w:rPr>
                <w:sz w:val="19"/>
                <w:szCs w:val="19"/>
              </w:rPr>
            </w:pPr>
            <w:r>
              <w:rPr>
                <w:sz w:val="19"/>
                <w:szCs w:val="19"/>
                <w:spacing w:val="2"/>
                <w:position w:val="2"/>
              </w:rPr>
              <w:t>50599</w:t>
            </w:r>
          </w:p>
        </w:tc>
        <w:tc>
          <w:tcPr>
            <w:tcW w:w="4761" w:type="dxa"/>
            <w:vAlign w:val="top"/>
          </w:tcPr>
          <w:p>
            <w:pPr>
              <w:pStyle w:val="TableText"/>
              <w:ind w:left="301"/>
              <w:spacing w:before="134" w:line="222" w:lineRule="auto"/>
              <w:rPr>
                <w:sz w:val="19"/>
                <w:szCs w:val="19"/>
              </w:rPr>
            </w:pPr>
            <w:r>
              <w:rPr>
                <w:sz w:val="19"/>
                <w:szCs w:val="19"/>
                <w:spacing w:val="9"/>
              </w:rPr>
              <w:t>其他对事业单位补助</w:t>
            </w:r>
          </w:p>
        </w:tc>
        <w:tc>
          <w:tcPr>
            <w:tcW w:w="1924" w:type="dxa"/>
            <w:vAlign w:val="top"/>
            <w:tcBorders>
              <w:right w:val="single" w:color="000000" w:sz="6" w:space="0"/>
            </w:tcBorders>
          </w:tcPr>
          <w:p>
            <w:pPr>
              <w:pStyle w:val="TableText"/>
              <w:ind w:left="1717"/>
              <w:spacing w:before="130" w:line="285" w:lineRule="exact"/>
              <w:rPr>
                <w:sz w:val="19"/>
                <w:szCs w:val="19"/>
              </w:rPr>
            </w:pPr>
            <w:r>
              <w:rPr>
                <w:sz w:val="19"/>
                <w:szCs w:val="19"/>
                <w:position w:val="2"/>
              </w:rPr>
              <w:t>8</w:t>
            </w:r>
          </w:p>
        </w:tc>
      </w:tr>
      <w:tr>
        <w:trPr>
          <w:trHeight w:val="474" w:hRule="atLeast"/>
        </w:trPr>
        <w:tc>
          <w:tcPr>
            <w:tcW w:w="2108" w:type="dxa"/>
            <w:vAlign w:val="top"/>
            <w:tcBorders>
              <w:left w:val="single" w:color="000000" w:sz="6" w:space="0"/>
            </w:tcBorders>
          </w:tcPr>
          <w:p>
            <w:pPr>
              <w:pStyle w:val="TableText"/>
              <w:ind w:left="108"/>
              <w:spacing w:before="132" w:line="285" w:lineRule="exact"/>
              <w:rPr>
                <w:sz w:val="19"/>
                <w:szCs w:val="19"/>
              </w:rPr>
            </w:pPr>
            <w:r>
              <w:rPr>
                <w:sz w:val="19"/>
                <w:szCs w:val="19"/>
                <w:b/>
                <w:bCs/>
                <w:spacing w:val="1"/>
                <w:position w:val="2"/>
              </w:rPr>
              <w:t>506</w:t>
            </w:r>
          </w:p>
        </w:tc>
        <w:tc>
          <w:tcPr>
            <w:tcW w:w="4761" w:type="dxa"/>
            <w:vAlign w:val="top"/>
          </w:tcPr>
          <w:p>
            <w:pPr>
              <w:pStyle w:val="TableText"/>
              <w:ind w:left="102"/>
              <w:spacing w:before="135" w:line="221" w:lineRule="auto"/>
              <w:rPr>
                <w:sz w:val="19"/>
                <w:szCs w:val="19"/>
              </w:rPr>
            </w:pPr>
            <w:r>
              <w:rPr>
                <w:sz w:val="19"/>
                <w:szCs w:val="19"/>
                <w:b/>
                <w:bCs/>
                <w:spacing w:val="8"/>
              </w:rPr>
              <w:t>对事业单位资本性补助</w:t>
            </w:r>
          </w:p>
        </w:tc>
        <w:tc>
          <w:tcPr>
            <w:tcW w:w="1924" w:type="dxa"/>
            <w:vAlign w:val="top"/>
            <w:tcBorders>
              <w:right w:val="single" w:color="000000" w:sz="6" w:space="0"/>
            </w:tcBorders>
          </w:tcPr>
          <w:p>
            <w:pPr>
              <w:pStyle w:val="TableText"/>
              <w:ind w:left="1630"/>
              <w:spacing w:before="132" w:line="285" w:lineRule="exact"/>
              <w:rPr>
                <w:sz w:val="19"/>
                <w:szCs w:val="19"/>
              </w:rPr>
            </w:pPr>
            <w:r>
              <w:rPr>
                <w:sz w:val="19"/>
                <w:szCs w:val="19"/>
                <w:b/>
                <w:bCs/>
                <w:spacing w:val="-9"/>
                <w:position w:val="2"/>
              </w:rPr>
              <w:t>15</w:t>
            </w:r>
          </w:p>
        </w:tc>
      </w:tr>
      <w:tr>
        <w:trPr>
          <w:trHeight w:val="474" w:hRule="atLeast"/>
        </w:trPr>
        <w:tc>
          <w:tcPr>
            <w:tcW w:w="2108" w:type="dxa"/>
            <w:vAlign w:val="top"/>
            <w:tcBorders>
              <w:left w:val="single" w:color="000000" w:sz="6" w:space="0"/>
            </w:tcBorders>
          </w:tcPr>
          <w:p>
            <w:pPr>
              <w:pStyle w:val="TableText"/>
              <w:ind w:left="307"/>
              <w:spacing w:before="130" w:line="285" w:lineRule="exact"/>
              <w:rPr>
                <w:sz w:val="19"/>
                <w:szCs w:val="19"/>
              </w:rPr>
            </w:pPr>
            <w:r>
              <w:rPr>
                <w:sz w:val="19"/>
                <w:szCs w:val="19"/>
                <w:spacing w:val="2"/>
                <w:position w:val="2"/>
              </w:rPr>
              <w:t>50601</w:t>
            </w:r>
          </w:p>
        </w:tc>
        <w:tc>
          <w:tcPr>
            <w:tcW w:w="4761" w:type="dxa"/>
            <w:vAlign w:val="top"/>
          </w:tcPr>
          <w:p>
            <w:pPr>
              <w:pStyle w:val="TableText"/>
              <w:ind w:left="306"/>
              <w:spacing w:before="130" w:line="264" w:lineRule="exact"/>
              <w:rPr>
                <w:sz w:val="19"/>
                <w:szCs w:val="19"/>
              </w:rPr>
            </w:pPr>
            <w:r>
              <w:rPr>
                <w:sz w:val="19"/>
                <w:szCs w:val="19"/>
                <w:spacing w:val="9"/>
                <w:position w:val="1"/>
              </w:rPr>
              <w:t>资本性支出（一）</w:t>
            </w:r>
          </w:p>
        </w:tc>
        <w:tc>
          <w:tcPr>
            <w:tcW w:w="1924" w:type="dxa"/>
            <w:vAlign w:val="top"/>
            <w:tcBorders>
              <w:right w:val="single" w:color="000000" w:sz="6" w:space="0"/>
            </w:tcBorders>
          </w:tcPr>
          <w:p>
            <w:pPr>
              <w:pStyle w:val="TableText"/>
              <w:ind w:left="1633"/>
              <w:spacing w:before="130" w:line="285" w:lineRule="exact"/>
              <w:rPr>
                <w:sz w:val="19"/>
                <w:szCs w:val="19"/>
              </w:rPr>
            </w:pPr>
            <w:r>
              <w:rPr>
                <w:sz w:val="19"/>
                <w:szCs w:val="19"/>
                <w:spacing w:val="-8"/>
                <w:position w:val="2"/>
              </w:rPr>
              <w:t>15</w:t>
            </w:r>
          </w:p>
        </w:tc>
      </w:tr>
      <w:tr>
        <w:trPr>
          <w:trHeight w:val="474" w:hRule="atLeast"/>
        </w:trPr>
        <w:tc>
          <w:tcPr>
            <w:tcW w:w="2108" w:type="dxa"/>
            <w:vAlign w:val="top"/>
            <w:tcBorders>
              <w:left w:val="single" w:color="000000" w:sz="6" w:space="0"/>
            </w:tcBorders>
          </w:tcPr>
          <w:p>
            <w:pPr>
              <w:pStyle w:val="TableText"/>
              <w:ind w:left="108"/>
              <w:spacing w:before="131" w:line="285" w:lineRule="exact"/>
              <w:rPr>
                <w:sz w:val="19"/>
                <w:szCs w:val="19"/>
              </w:rPr>
            </w:pPr>
            <w:r>
              <w:rPr>
                <w:sz w:val="19"/>
                <w:szCs w:val="19"/>
                <w:b/>
                <w:bCs/>
                <w:spacing w:val="1"/>
                <w:position w:val="2"/>
              </w:rPr>
              <w:t>509</w:t>
            </w:r>
          </w:p>
        </w:tc>
        <w:tc>
          <w:tcPr>
            <w:tcW w:w="4761" w:type="dxa"/>
            <w:vAlign w:val="top"/>
          </w:tcPr>
          <w:p>
            <w:pPr>
              <w:pStyle w:val="TableText"/>
              <w:ind w:left="102"/>
              <w:spacing w:before="136" w:line="218" w:lineRule="auto"/>
              <w:rPr>
                <w:sz w:val="19"/>
                <w:szCs w:val="19"/>
              </w:rPr>
            </w:pPr>
            <w:r>
              <w:rPr>
                <w:sz w:val="19"/>
                <w:szCs w:val="19"/>
                <w:b/>
                <w:bCs/>
                <w:spacing w:val="8"/>
              </w:rPr>
              <w:t>对个人和家庭的补助</w:t>
            </w:r>
          </w:p>
        </w:tc>
        <w:tc>
          <w:tcPr>
            <w:tcW w:w="1924" w:type="dxa"/>
            <w:vAlign w:val="top"/>
            <w:tcBorders>
              <w:right w:val="single" w:color="000000" w:sz="6" w:space="0"/>
            </w:tcBorders>
          </w:tcPr>
          <w:p>
            <w:pPr>
              <w:pStyle w:val="TableText"/>
              <w:ind w:left="1418"/>
              <w:spacing w:before="131" w:line="285" w:lineRule="exact"/>
              <w:rPr>
                <w:sz w:val="19"/>
                <w:szCs w:val="19"/>
              </w:rPr>
            </w:pPr>
            <w:r>
              <w:rPr>
                <w:sz w:val="19"/>
                <w:szCs w:val="19"/>
                <w:b/>
                <w:bCs/>
                <w:position w:val="2"/>
              </w:rPr>
              <w:t>3896</w:t>
            </w:r>
          </w:p>
        </w:tc>
      </w:tr>
      <w:tr>
        <w:trPr>
          <w:trHeight w:val="474" w:hRule="atLeast"/>
        </w:trPr>
        <w:tc>
          <w:tcPr>
            <w:tcW w:w="2108" w:type="dxa"/>
            <w:vAlign w:val="top"/>
            <w:tcBorders>
              <w:left w:val="single" w:color="000000" w:sz="6" w:space="0"/>
            </w:tcBorders>
          </w:tcPr>
          <w:p>
            <w:pPr>
              <w:pStyle w:val="TableText"/>
              <w:ind w:left="307"/>
              <w:spacing w:before="132" w:line="285" w:lineRule="exact"/>
              <w:rPr>
                <w:sz w:val="19"/>
                <w:szCs w:val="19"/>
              </w:rPr>
            </w:pPr>
            <w:r>
              <w:rPr>
                <w:sz w:val="19"/>
                <w:szCs w:val="19"/>
                <w:spacing w:val="2"/>
                <w:position w:val="2"/>
              </w:rPr>
              <w:t>50901</w:t>
            </w:r>
          </w:p>
        </w:tc>
        <w:tc>
          <w:tcPr>
            <w:tcW w:w="4761" w:type="dxa"/>
            <w:vAlign w:val="top"/>
          </w:tcPr>
          <w:p>
            <w:pPr>
              <w:pStyle w:val="TableText"/>
              <w:ind w:left="301"/>
              <w:spacing w:before="136" w:line="218" w:lineRule="auto"/>
              <w:rPr>
                <w:sz w:val="19"/>
                <w:szCs w:val="19"/>
              </w:rPr>
            </w:pPr>
            <w:r>
              <w:rPr>
                <w:sz w:val="19"/>
                <w:szCs w:val="19"/>
                <w:spacing w:val="9"/>
              </w:rPr>
              <w:t>社会福利和救助</w:t>
            </w:r>
          </w:p>
        </w:tc>
        <w:tc>
          <w:tcPr>
            <w:tcW w:w="1924" w:type="dxa"/>
            <w:vAlign w:val="top"/>
            <w:tcBorders>
              <w:right w:val="single" w:color="000000" w:sz="6" w:space="0"/>
            </w:tcBorders>
          </w:tcPr>
          <w:p>
            <w:pPr>
              <w:pStyle w:val="TableText"/>
              <w:ind w:left="1516"/>
              <w:spacing w:before="132" w:line="286" w:lineRule="exact"/>
              <w:rPr>
                <w:sz w:val="19"/>
                <w:szCs w:val="19"/>
              </w:rPr>
            </w:pPr>
            <w:r>
              <w:rPr>
                <w:sz w:val="19"/>
                <w:szCs w:val="19"/>
                <w:spacing w:val="1"/>
                <w:position w:val="2"/>
              </w:rPr>
              <w:t>214</w:t>
            </w:r>
          </w:p>
        </w:tc>
      </w:tr>
      <w:tr>
        <w:trPr>
          <w:trHeight w:val="473" w:hRule="atLeast"/>
        </w:trPr>
        <w:tc>
          <w:tcPr>
            <w:tcW w:w="2108" w:type="dxa"/>
            <w:vAlign w:val="top"/>
            <w:tcBorders>
              <w:left w:val="single" w:color="000000" w:sz="6" w:space="0"/>
            </w:tcBorders>
          </w:tcPr>
          <w:p>
            <w:pPr>
              <w:pStyle w:val="TableText"/>
              <w:ind w:left="307"/>
              <w:spacing w:before="130" w:line="285" w:lineRule="exact"/>
              <w:rPr>
                <w:sz w:val="19"/>
                <w:szCs w:val="19"/>
              </w:rPr>
            </w:pPr>
            <w:r>
              <w:rPr>
                <w:sz w:val="19"/>
                <w:szCs w:val="19"/>
                <w:spacing w:val="2"/>
                <w:position w:val="2"/>
              </w:rPr>
              <w:t>50905</w:t>
            </w:r>
          </w:p>
        </w:tc>
        <w:tc>
          <w:tcPr>
            <w:tcW w:w="4761" w:type="dxa"/>
            <w:vAlign w:val="top"/>
          </w:tcPr>
          <w:p>
            <w:pPr>
              <w:pStyle w:val="TableText"/>
              <w:ind w:left="303"/>
              <w:spacing w:before="132" w:line="225" w:lineRule="auto"/>
              <w:rPr>
                <w:sz w:val="19"/>
                <w:szCs w:val="19"/>
              </w:rPr>
            </w:pPr>
            <w:r>
              <w:rPr>
                <w:sz w:val="19"/>
                <w:szCs w:val="19"/>
                <w:spacing w:val="8"/>
              </w:rPr>
              <w:t>离退休费</w:t>
            </w:r>
          </w:p>
        </w:tc>
        <w:tc>
          <w:tcPr>
            <w:tcW w:w="1924" w:type="dxa"/>
            <w:vAlign w:val="top"/>
            <w:tcBorders>
              <w:right w:val="single" w:color="000000" w:sz="6" w:space="0"/>
            </w:tcBorders>
          </w:tcPr>
          <w:p>
            <w:pPr>
              <w:pStyle w:val="TableText"/>
              <w:ind w:left="1519"/>
              <w:spacing w:before="130" w:line="285" w:lineRule="exact"/>
              <w:rPr>
                <w:sz w:val="19"/>
                <w:szCs w:val="19"/>
              </w:rPr>
            </w:pPr>
            <w:r>
              <w:rPr>
                <w:sz w:val="19"/>
                <w:szCs w:val="19"/>
                <w:position w:val="2"/>
              </w:rPr>
              <w:t>382</w:t>
            </w:r>
          </w:p>
        </w:tc>
      </w:tr>
      <w:tr>
        <w:trPr>
          <w:trHeight w:val="485" w:hRule="atLeast"/>
        </w:trPr>
        <w:tc>
          <w:tcPr>
            <w:tcW w:w="2108" w:type="dxa"/>
            <w:vAlign w:val="top"/>
            <w:tcBorders>
              <w:left w:val="single" w:color="000000" w:sz="6" w:space="0"/>
              <w:bottom w:val="single" w:color="000000" w:sz="6" w:space="0"/>
            </w:tcBorders>
          </w:tcPr>
          <w:p>
            <w:pPr>
              <w:pStyle w:val="TableText"/>
              <w:ind w:left="307"/>
              <w:spacing w:before="132" w:line="285" w:lineRule="exact"/>
              <w:rPr>
                <w:sz w:val="19"/>
                <w:szCs w:val="19"/>
              </w:rPr>
            </w:pPr>
            <w:r>
              <w:rPr>
                <w:sz w:val="19"/>
                <w:szCs w:val="19"/>
                <w:spacing w:val="2"/>
                <w:position w:val="2"/>
              </w:rPr>
              <w:t>50999</w:t>
            </w:r>
          </w:p>
        </w:tc>
        <w:tc>
          <w:tcPr>
            <w:tcW w:w="4761" w:type="dxa"/>
            <w:vAlign w:val="top"/>
            <w:tcBorders>
              <w:bottom w:val="single" w:color="000000" w:sz="6" w:space="0"/>
            </w:tcBorders>
          </w:tcPr>
          <w:p>
            <w:pPr>
              <w:pStyle w:val="TableText"/>
              <w:ind w:left="301"/>
              <w:spacing w:before="136" w:line="221" w:lineRule="auto"/>
              <w:rPr>
                <w:sz w:val="19"/>
                <w:szCs w:val="19"/>
              </w:rPr>
            </w:pPr>
            <w:r>
              <w:rPr>
                <w:sz w:val="19"/>
                <w:szCs w:val="19"/>
                <w:spacing w:val="9"/>
              </w:rPr>
              <w:t>其他对个人和家庭的补助</w:t>
            </w:r>
          </w:p>
        </w:tc>
        <w:tc>
          <w:tcPr>
            <w:tcW w:w="1924" w:type="dxa"/>
            <w:vAlign w:val="top"/>
            <w:tcBorders>
              <w:bottom w:val="single" w:color="000000" w:sz="6" w:space="0"/>
              <w:right w:val="single" w:color="000000" w:sz="6" w:space="0"/>
            </w:tcBorders>
          </w:tcPr>
          <w:p>
            <w:pPr>
              <w:pStyle w:val="TableText"/>
              <w:ind w:left="1421"/>
              <w:spacing w:before="132" w:line="285" w:lineRule="exact"/>
              <w:rPr>
                <w:sz w:val="19"/>
                <w:szCs w:val="19"/>
              </w:rPr>
            </w:pPr>
            <w:r>
              <w:rPr>
                <w:sz w:val="19"/>
                <w:szCs w:val="19"/>
                <w:spacing w:val="1"/>
                <w:position w:val="2"/>
              </w:rPr>
              <w:t>3300</w:t>
            </w:r>
          </w:p>
        </w:tc>
      </w:tr>
    </w:tbl>
    <w:p>
      <w:pPr>
        <w:spacing w:line="77" w:lineRule="exact"/>
        <w:rPr>
          <w:rFonts w:ascii="Arial"/>
          <w:sz w:val="6"/>
        </w:rPr>
      </w:pPr>
      <w:r/>
    </w:p>
    <w:p>
      <w:pPr>
        <w:spacing w:line="77" w:lineRule="exact"/>
        <w:sectPr>
          <w:headerReference w:type="default" r:id="rId88"/>
          <w:footerReference w:type="default" r:id="rId94"/>
          <w:pgSz w:w="11906" w:h="16839"/>
          <w:pgMar w:top="1793" w:right="1530" w:bottom="1661" w:left="1548" w:header="1428" w:footer="1289" w:gutter="0"/>
        </w:sectPr>
        <w:rPr>
          <w:rFonts w:ascii="Arial" w:hAnsi="Arial" w:eastAsia="Arial" w:cs="Arial"/>
          <w:sz w:val="6"/>
          <w:szCs w:val="6"/>
        </w:rPr>
      </w:pPr>
    </w:p>
    <w:p>
      <w:pPr>
        <w:ind w:left="138"/>
        <w:spacing w:before="261" w:line="179" w:lineRule="auto"/>
        <w:rPr>
          <w:rFonts w:ascii="Microsoft YaHei" w:hAnsi="Microsoft YaHei" w:eastAsia="Microsoft YaHei" w:cs="Microsoft YaHei"/>
          <w:sz w:val="20"/>
          <w:szCs w:val="20"/>
        </w:rPr>
      </w:pPr>
      <w:r>
        <w:drawing>
          <wp:anchor distT="0" distB="0" distL="0" distR="0" simplePos="0" relativeHeight="251693056"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192" name="IM 192"/>
            <wp:cNvGraphicFramePr/>
            <a:graphic>
              <a:graphicData uri="http://schemas.openxmlformats.org/drawingml/2006/picture">
                <pic:pic>
                  <pic:nvPicPr>
                    <pic:cNvPr id="192" name="IM 192"/>
                    <pic:cNvPicPr/>
                  </pic:nvPicPr>
                  <pic:blipFill>
                    <a:blip r:embed="rId98"/>
                    <a:stretch>
                      <a:fillRect/>
                    </a:stretch>
                  </pic:blipFill>
                  <pic:spPr>
                    <a:xfrm rot="0">
                      <a:off x="0" y="0"/>
                      <a:ext cx="8712200" cy="7620"/>
                    </a:xfrm>
                    <a:prstGeom prst="rect">
                      <a:avLst/>
                    </a:prstGeom>
                  </pic:spPr>
                </pic:pic>
              </a:graphicData>
            </a:graphic>
          </wp:anchor>
        </w:drawing>
      </w:r>
      <w:r>
        <w:rPr>
          <w:rFonts w:ascii="Microsoft YaHei" w:hAnsi="Microsoft YaHei" w:eastAsia="Microsoft YaHei" w:cs="Microsoft YaHei"/>
          <w:sz w:val="20"/>
          <w:szCs w:val="20"/>
          <w:spacing w:val="5"/>
        </w:rPr>
        <w:t>表七</w:t>
      </w:r>
    </w:p>
    <w:p>
      <w:pPr>
        <w:pStyle w:val="BodyText"/>
        <w:ind w:left="3834"/>
        <w:spacing w:line="483" w:lineRule="exact"/>
        <w:rPr>
          <w:sz w:val="35"/>
          <w:szCs w:val="35"/>
        </w:rPr>
      </w:pPr>
      <w:r>
        <w:rPr>
          <w:sz w:val="35"/>
          <w:szCs w:val="35"/>
          <w:b/>
          <w:bCs/>
          <w:spacing w:val="3"/>
          <w:position w:val="2"/>
        </w:rPr>
        <w:t>固原市本级</w:t>
      </w:r>
      <w:r>
        <w:rPr>
          <w:sz w:val="35"/>
          <w:szCs w:val="35"/>
          <w:spacing w:val="-74"/>
          <w:position w:val="2"/>
        </w:rPr>
        <w:t xml:space="preserve"> </w:t>
      </w:r>
      <w:r>
        <w:rPr>
          <w:sz w:val="35"/>
          <w:szCs w:val="35"/>
          <w:b/>
          <w:bCs/>
          <w:spacing w:val="3"/>
          <w:position w:val="2"/>
        </w:rPr>
        <w:t>2021</w:t>
      </w:r>
      <w:r>
        <w:rPr>
          <w:sz w:val="35"/>
          <w:szCs w:val="35"/>
          <w:spacing w:val="-78"/>
          <w:position w:val="2"/>
        </w:rPr>
        <w:t xml:space="preserve"> </w:t>
      </w:r>
      <w:r>
        <w:rPr>
          <w:sz w:val="35"/>
          <w:szCs w:val="35"/>
          <w:b/>
          <w:bCs/>
          <w:spacing w:val="3"/>
          <w:position w:val="2"/>
        </w:rPr>
        <w:t>年“三公经费”预算表</w:t>
      </w:r>
    </w:p>
    <w:p>
      <w:pPr>
        <w:pStyle w:val="BodyText"/>
        <w:ind w:left="12585"/>
        <w:spacing w:line="225" w:lineRule="auto"/>
        <w:rPr>
          <w:sz w:val="19"/>
          <w:szCs w:val="19"/>
        </w:rPr>
      </w:pPr>
      <w:r>
        <w:rPr>
          <w:sz w:val="19"/>
          <w:szCs w:val="19"/>
          <w:spacing w:val="8"/>
        </w:rPr>
        <w:t>单位：万元</w:t>
      </w:r>
    </w:p>
    <w:tbl>
      <w:tblPr>
        <w:tblStyle w:val="TableNormal"/>
        <w:tblW w:w="13782" w:type="dxa"/>
        <w:tblInd w:w="7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47"/>
        <w:gridCol w:w="1081"/>
        <w:gridCol w:w="1024"/>
        <w:gridCol w:w="1440"/>
        <w:gridCol w:w="1455"/>
        <w:gridCol w:w="980"/>
        <w:gridCol w:w="865"/>
        <w:gridCol w:w="908"/>
        <w:gridCol w:w="966"/>
        <w:gridCol w:w="1341"/>
        <w:gridCol w:w="1455"/>
        <w:gridCol w:w="1220"/>
      </w:tblGrid>
      <w:tr>
        <w:trPr>
          <w:trHeight w:val="309" w:hRule="atLeast"/>
        </w:trPr>
        <w:tc>
          <w:tcPr>
            <w:tcW w:w="7027" w:type="dxa"/>
            <w:vAlign w:val="top"/>
            <w:gridSpan w:val="6"/>
            <w:tcBorders>
              <w:left w:val="single" w:color="000000" w:sz="6" w:space="0"/>
              <w:top w:val="single" w:color="000000" w:sz="6" w:space="0"/>
            </w:tcBorders>
          </w:tcPr>
          <w:p>
            <w:pPr>
              <w:pStyle w:val="TableText"/>
              <w:ind w:left="2885"/>
              <w:spacing w:before="72" w:line="220" w:lineRule="auto"/>
              <w:rPr>
                <w:sz w:val="19"/>
                <w:szCs w:val="19"/>
              </w:rPr>
            </w:pPr>
            <w:r>
              <w:rPr>
                <w:sz w:val="19"/>
                <w:szCs w:val="19"/>
                <w:b/>
                <w:bCs/>
                <w:spacing w:val="4"/>
              </w:rPr>
              <w:t>2020</w:t>
            </w:r>
            <w:r>
              <w:rPr>
                <w:sz w:val="19"/>
                <w:szCs w:val="19"/>
                <w:spacing w:val="-37"/>
              </w:rPr>
              <w:t xml:space="preserve"> </w:t>
            </w:r>
            <w:r>
              <w:rPr>
                <w:sz w:val="19"/>
                <w:szCs w:val="19"/>
                <w:b/>
                <w:bCs/>
                <w:spacing w:val="4"/>
              </w:rPr>
              <w:t>年预算数</w:t>
            </w:r>
          </w:p>
        </w:tc>
        <w:tc>
          <w:tcPr>
            <w:tcW w:w="6755" w:type="dxa"/>
            <w:vAlign w:val="top"/>
            <w:gridSpan w:val="6"/>
            <w:tcBorders>
              <w:right w:val="single" w:color="000000" w:sz="6" w:space="0"/>
              <w:top w:val="single" w:color="000000" w:sz="6" w:space="0"/>
            </w:tcBorders>
          </w:tcPr>
          <w:p>
            <w:pPr>
              <w:pStyle w:val="TableText"/>
              <w:ind w:left="2751"/>
              <w:spacing w:before="72" w:line="220" w:lineRule="auto"/>
              <w:rPr>
                <w:sz w:val="19"/>
                <w:szCs w:val="19"/>
              </w:rPr>
            </w:pPr>
            <w:r>
              <w:rPr>
                <w:sz w:val="19"/>
                <w:szCs w:val="19"/>
                <w:b/>
                <w:bCs/>
                <w:spacing w:val="11"/>
              </w:rPr>
              <w:t>2021年预算数</w:t>
            </w:r>
          </w:p>
        </w:tc>
      </w:tr>
      <w:tr>
        <w:trPr>
          <w:trHeight w:val="404" w:hRule="atLeast"/>
        </w:trPr>
        <w:tc>
          <w:tcPr>
            <w:tcW w:w="1047" w:type="dxa"/>
            <w:vAlign w:val="top"/>
            <w:vMerge w:val="restart"/>
            <w:tcBorders>
              <w:left w:val="single" w:color="000000" w:sz="6" w:space="0"/>
              <w:bottom w:val="nil"/>
            </w:tcBorders>
          </w:tcPr>
          <w:p>
            <w:pPr>
              <w:spacing w:line="374" w:lineRule="auto"/>
              <w:rPr>
                <w:rFonts w:ascii="Arial"/>
                <w:sz w:val="21"/>
              </w:rPr>
            </w:pPr>
            <w:r/>
          </w:p>
          <w:p>
            <w:pPr>
              <w:pStyle w:val="TableText"/>
              <w:ind w:left="315"/>
              <w:spacing w:before="62" w:line="223" w:lineRule="auto"/>
              <w:rPr>
                <w:sz w:val="19"/>
                <w:szCs w:val="19"/>
              </w:rPr>
            </w:pPr>
            <w:r>
              <w:rPr>
                <w:sz w:val="19"/>
                <w:szCs w:val="19"/>
                <w:spacing w:val="7"/>
              </w:rPr>
              <w:t>合计</w:t>
            </w:r>
          </w:p>
        </w:tc>
        <w:tc>
          <w:tcPr>
            <w:tcW w:w="1081" w:type="dxa"/>
            <w:vAlign w:val="top"/>
            <w:vMerge w:val="restart"/>
            <w:tcBorders>
              <w:bottom w:val="nil"/>
            </w:tcBorders>
          </w:tcPr>
          <w:p>
            <w:pPr>
              <w:spacing w:line="242" w:lineRule="auto"/>
              <w:rPr>
                <w:rFonts w:ascii="Arial"/>
                <w:sz w:val="21"/>
              </w:rPr>
            </w:pPr>
            <w:r/>
          </w:p>
          <w:p>
            <w:pPr>
              <w:pStyle w:val="TableText"/>
              <w:ind w:left="125" w:right="142" w:firstLine="25"/>
              <w:spacing w:before="62" w:line="244" w:lineRule="auto"/>
              <w:rPr>
                <w:sz w:val="19"/>
                <w:szCs w:val="19"/>
              </w:rPr>
            </w:pPr>
            <w:r>
              <w:rPr>
                <w:sz w:val="19"/>
                <w:szCs w:val="19"/>
                <w:spacing w:val="4"/>
              </w:rPr>
              <w:t>因公出国</w:t>
            </w:r>
            <w:r>
              <w:rPr>
                <w:sz w:val="19"/>
                <w:szCs w:val="19"/>
                <w:spacing w:val="10"/>
              </w:rPr>
              <w:t>（境）费</w:t>
            </w:r>
          </w:p>
        </w:tc>
        <w:tc>
          <w:tcPr>
            <w:tcW w:w="3919" w:type="dxa"/>
            <w:vAlign w:val="top"/>
            <w:gridSpan w:val="3"/>
          </w:tcPr>
          <w:p>
            <w:pPr>
              <w:pStyle w:val="TableText"/>
              <w:ind w:left="954"/>
              <w:spacing w:before="125" w:line="221" w:lineRule="auto"/>
              <w:rPr>
                <w:sz w:val="19"/>
                <w:szCs w:val="19"/>
              </w:rPr>
            </w:pPr>
            <w:r>
              <w:rPr>
                <w:sz w:val="19"/>
                <w:szCs w:val="19"/>
                <w:spacing w:val="9"/>
              </w:rPr>
              <w:t>公务用车购置及运行费</w:t>
            </w:r>
          </w:p>
        </w:tc>
        <w:tc>
          <w:tcPr>
            <w:tcW w:w="980" w:type="dxa"/>
            <w:vAlign w:val="top"/>
            <w:vMerge w:val="restart"/>
            <w:tcBorders>
              <w:bottom w:val="nil"/>
            </w:tcBorders>
          </w:tcPr>
          <w:p>
            <w:pPr>
              <w:rPr>
                <w:rFonts w:ascii="Arial"/>
                <w:sz w:val="21"/>
              </w:rPr>
            </w:pPr>
            <w:r/>
          </w:p>
          <w:p>
            <w:pPr>
              <w:pStyle w:val="TableText"/>
              <w:ind w:left="289" w:right="186" w:hanging="103"/>
              <w:spacing w:before="62" w:line="235" w:lineRule="auto"/>
              <w:rPr>
                <w:sz w:val="19"/>
                <w:szCs w:val="19"/>
              </w:rPr>
            </w:pPr>
            <w:r>
              <w:rPr>
                <w:sz w:val="19"/>
                <w:szCs w:val="19"/>
                <w:spacing w:val="9"/>
              </w:rPr>
              <w:t>公务接</w:t>
            </w:r>
            <w:r>
              <w:rPr>
                <w:sz w:val="19"/>
                <w:szCs w:val="19"/>
                <w:spacing w:val="6"/>
              </w:rPr>
              <w:t>待费</w:t>
            </w:r>
          </w:p>
        </w:tc>
        <w:tc>
          <w:tcPr>
            <w:tcW w:w="865" w:type="dxa"/>
            <w:vAlign w:val="top"/>
            <w:vMerge w:val="restart"/>
            <w:tcBorders>
              <w:bottom w:val="nil"/>
            </w:tcBorders>
          </w:tcPr>
          <w:p>
            <w:pPr>
              <w:spacing w:line="374" w:lineRule="auto"/>
              <w:rPr>
                <w:rFonts w:ascii="Arial"/>
                <w:sz w:val="21"/>
              </w:rPr>
            </w:pPr>
            <w:r/>
          </w:p>
          <w:p>
            <w:pPr>
              <w:pStyle w:val="TableText"/>
              <w:ind w:left="232"/>
              <w:spacing w:before="62" w:line="223" w:lineRule="auto"/>
              <w:rPr>
                <w:sz w:val="19"/>
                <w:szCs w:val="19"/>
              </w:rPr>
            </w:pPr>
            <w:r>
              <w:rPr>
                <w:sz w:val="19"/>
                <w:szCs w:val="19"/>
                <w:spacing w:val="7"/>
              </w:rPr>
              <w:t>合计</w:t>
            </w:r>
          </w:p>
        </w:tc>
        <w:tc>
          <w:tcPr>
            <w:tcW w:w="908" w:type="dxa"/>
            <w:vAlign w:val="top"/>
            <w:vMerge w:val="restart"/>
            <w:tcBorders>
              <w:bottom w:val="nil"/>
            </w:tcBorders>
          </w:tcPr>
          <w:p>
            <w:pPr>
              <w:spacing w:line="242" w:lineRule="auto"/>
              <w:rPr>
                <w:rFonts w:ascii="Arial"/>
                <w:sz w:val="21"/>
              </w:rPr>
            </w:pPr>
            <w:r/>
          </w:p>
          <w:p>
            <w:pPr>
              <w:pStyle w:val="TableText"/>
              <w:ind w:left="46" w:right="48" w:firstLine="25"/>
              <w:spacing w:before="62" w:line="244" w:lineRule="auto"/>
              <w:rPr>
                <w:sz w:val="19"/>
                <w:szCs w:val="19"/>
              </w:rPr>
            </w:pPr>
            <w:r>
              <w:rPr>
                <w:sz w:val="19"/>
                <w:szCs w:val="19"/>
                <w:spacing w:val="4"/>
              </w:rPr>
              <w:t>因公出国</w:t>
            </w:r>
            <w:r>
              <w:rPr>
                <w:sz w:val="19"/>
                <w:szCs w:val="19"/>
                <w:spacing w:val="10"/>
              </w:rPr>
              <w:t>（境）费</w:t>
            </w:r>
          </w:p>
        </w:tc>
        <w:tc>
          <w:tcPr>
            <w:tcW w:w="3762" w:type="dxa"/>
            <w:vAlign w:val="top"/>
            <w:gridSpan w:val="3"/>
          </w:tcPr>
          <w:p>
            <w:pPr>
              <w:pStyle w:val="TableText"/>
              <w:ind w:left="882"/>
              <w:spacing w:before="125" w:line="221" w:lineRule="auto"/>
              <w:rPr>
                <w:sz w:val="19"/>
                <w:szCs w:val="19"/>
              </w:rPr>
            </w:pPr>
            <w:r>
              <w:rPr>
                <w:sz w:val="19"/>
                <w:szCs w:val="19"/>
                <w:spacing w:val="9"/>
              </w:rPr>
              <w:t>公务用车购置及运行费</w:t>
            </w:r>
          </w:p>
        </w:tc>
        <w:tc>
          <w:tcPr>
            <w:tcW w:w="1220" w:type="dxa"/>
            <w:vAlign w:val="top"/>
            <w:vMerge w:val="restart"/>
            <w:tcBorders>
              <w:right w:val="single" w:color="000000" w:sz="6" w:space="0"/>
              <w:bottom w:val="nil"/>
            </w:tcBorders>
          </w:tcPr>
          <w:p>
            <w:pPr>
              <w:spacing w:line="373" w:lineRule="auto"/>
              <w:rPr>
                <w:rFonts w:ascii="Arial"/>
                <w:sz w:val="21"/>
              </w:rPr>
            </w:pPr>
            <w:r/>
          </w:p>
          <w:p>
            <w:pPr>
              <w:pStyle w:val="TableText"/>
              <w:ind w:left="108"/>
              <w:spacing w:before="62" w:line="223" w:lineRule="auto"/>
              <w:rPr>
                <w:sz w:val="19"/>
                <w:szCs w:val="19"/>
              </w:rPr>
            </w:pPr>
            <w:r>
              <w:rPr>
                <w:sz w:val="19"/>
                <w:szCs w:val="19"/>
                <w:spacing w:val="9"/>
              </w:rPr>
              <w:t>公务接待费</w:t>
            </w:r>
          </w:p>
        </w:tc>
      </w:tr>
      <w:tr>
        <w:trPr>
          <w:trHeight w:val="615" w:hRule="atLeast"/>
        </w:trPr>
        <w:tc>
          <w:tcPr>
            <w:tcW w:w="1047" w:type="dxa"/>
            <w:vAlign w:val="top"/>
            <w:vMerge w:val="continue"/>
            <w:tcBorders>
              <w:left w:val="single" w:color="000000" w:sz="6" w:space="0"/>
              <w:top w:val="nil"/>
            </w:tcBorders>
          </w:tcPr>
          <w:p>
            <w:pPr>
              <w:rPr>
                <w:rFonts w:ascii="Arial"/>
                <w:sz w:val="21"/>
              </w:rPr>
            </w:pPr>
            <w:r/>
          </w:p>
        </w:tc>
        <w:tc>
          <w:tcPr>
            <w:tcW w:w="1081" w:type="dxa"/>
            <w:vAlign w:val="top"/>
            <w:vMerge w:val="continue"/>
            <w:tcBorders>
              <w:top w:val="nil"/>
            </w:tcBorders>
          </w:tcPr>
          <w:p>
            <w:pPr>
              <w:rPr>
                <w:rFonts w:ascii="Arial"/>
                <w:sz w:val="21"/>
              </w:rPr>
            </w:pPr>
            <w:r/>
          </w:p>
        </w:tc>
        <w:tc>
          <w:tcPr>
            <w:tcW w:w="1024" w:type="dxa"/>
            <w:vAlign w:val="top"/>
          </w:tcPr>
          <w:p>
            <w:pPr>
              <w:pStyle w:val="TableText"/>
              <w:ind w:left="306"/>
              <w:spacing w:before="234" w:line="220" w:lineRule="auto"/>
              <w:rPr>
                <w:sz w:val="19"/>
                <w:szCs w:val="19"/>
              </w:rPr>
            </w:pPr>
            <w:r>
              <w:rPr>
                <w:sz w:val="19"/>
                <w:szCs w:val="19"/>
                <w:spacing w:val="6"/>
              </w:rPr>
              <w:t>小计</w:t>
            </w:r>
          </w:p>
        </w:tc>
        <w:tc>
          <w:tcPr>
            <w:tcW w:w="1440" w:type="dxa"/>
            <w:vAlign w:val="top"/>
          </w:tcPr>
          <w:p>
            <w:pPr>
              <w:pStyle w:val="TableText"/>
              <w:ind w:left="416" w:right="319" w:hanging="102"/>
              <w:spacing w:before="95" w:line="238" w:lineRule="auto"/>
              <w:rPr>
                <w:sz w:val="19"/>
                <w:szCs w:val="19"/>
              </w:rPr>
            </w:pPr>
            <w:r>
              <w:rPr>
                <w:sz w:val="19"/>
                <w:szCs w:val="19"/>
                <w:spacing w:val="9"/>
              </w:rPr>
              <w:t>公务用车</w:t>
            </w:r>
            <w:r>
              <w:rPr>
                <w:sz w:val="19"/>
                <w:szCs w:val="19"/>
                <w:spacing w:val="7"/>
              </w:rPr>
              <w:t>购置费</w:t>
            </w:r>
          </w:p>
        </w:tc>
        <w:tc>
          <w:tcPr>
            <w:tcW w:w="1455" w:type="dxa"/>
            <w:vAlign w:val="top"/>
          </w:tcPr>
          <w:p>
            <w:pPr>
              <w:pStyle w:val="TableText"/>
              <w:ind w:left="21"/>
              <w:spacing w:before="234" w:line="221" w:lineRule="auto"/>
              <w:rPr>
                <w:sz w:val="19"/>
                <w:szCs w:val="19"/>
              </w:rPr>
            </w:pPr>
            <w:r>
              <w:rPr>
                <w:sz w:val="19"/>
                <w:szCs w:val="19"/>
                <w:spacing w:val="9"/>
              </w:rPr>
              <w:t>公务用车运行费</w:t>
            </w:r>
          </w:p>
        </w:tc>
        <w:tc>
          <w:tcPr>
            <w:tcW w:w="980" w:type="dxa"/>
            <w:vAlign w:val="top"/>
            <w:vMerge w:val="continue"/>
            <w:tcBorders>
              <w:top w:val="nil"/>
            </w:tcBorders>
          </w:tcPr>
          <w:p>
            <w:pPr>
              <w:rPr>
                <w:rFonts w:ascii="Arial"/>
                <w:sz w:val="21"/>
              </w:rPr>
            </w:pPr>
            <w:r/>
          </w:p>
        </w:tc>
        <w:tc>
          <w:tcPr>
            <w:tcW w:w="865" w:type="dxa"/>
            <w:vAlign w:val="top"/>
            <w:vMerge w:val="continue"/>
            <w:tcBorders>
              <w:top w:val="nil"/>
            </w:tcBorders>
          </w:tcPr>
          <w:p>
            <w:pPr>
              <w:rPr>
                <w:rFonts w:ascii="Arial"/>
                <w:sz w:val="21"/>
              </w:rPr>
            </w:pPr>
            <w:r/>
          </w:p>
        </w:tc>
        <w:tc>
          <w:tcPr>
            <w:tcW w:w="908" w:type="dxa"/>
            <w:vAlign w:val="top"/>
            <w:vMerge w:val="continue"/>
            <w:tcBorders>
              <w:top w:val="nil"/>
            </w:tcBorders>
          </w:tcPr>
          <w:p>
            <w:pPr>
              <w:rPr>
                <w:rFonts w:ascii="Arial"/>
                <w:sz w:val="21"/>
              </w:rPr>
            </w:pPr>
            <w:r/>
          </w:p>
        </w:tc>
        <w:tc>
          <w:tcPr>
            <w:tcW w:w="966" w:type="dxa"/>
            <w:vAlign w:val="top"/>
          </w:tcPr>
          <w:p>
            <w:pPr>
              <w:pStyle w:val="TableText"/>
              <w:ind w:left="284"/>
              <w:spacing w:before="234" w:line="220" w:lineRule="auto"/>
              <w:rPr>
                <w:sz w:val="19"/>
                <w:szCs w:val="19"/>
              </w:rPr>
            </w:pPr>
            <w:r>
              <w:rPr>
                <w:sz w:val="19"/>
                <w:szCs w:val="19"/>
                <w:spacing w:val="6"/>
              </w:rPr>
              <w:t>小计</w:t>
            </w:r>
          </w:p>
        </w:tc>
        <w:tc>
          <w:tcPr>
            <w:tcW w:w="1341" w:type="dxa"/>
            <w:vAlign w:val="top"/>
          </w:tcPr>
          <w:p>
            <w:pPr>
              <w:pStyle w:val="TableText"/>
              <w:ind w:left="375" w:right="262" w:hanging="104"/>
              <w:spacing w:before="95" w:line="238" w:lineRule="auto"/>
              <w:rPr>
                <w:sz w:val="19"/>
                <w:szCs w:val="19"/>
              </w:rPr>
            </w:pPr>
            <w:r>
              <w:rPr>
                <w:sz w:val="19"/>
                <w:szCs w:val="19"/>
                <w:spacing w:val="9"/>
              </w:rPr>
              <w:t>公务用车</w:t>
            </w:r>
            <w:r>
              <w:rPr>
                <w:sz w:val="19"/>
                <w:szCs w:val="19"/>
                <w:spacing w:val="7"/>
              </w:rPr>
              <w:t>购置费</w:t>
            </w:r>
          </w:p>
        </w:tc>
        <w:tc>
          <w:tcPr>
            <w:tcW w:w="1455" w:type="dxa"/>
            <w:vAlign w:val="top"/>
          </w:tcPr>
          <w:p>
            <w:pPr>
              <w:pStyle w:val="TableText"/>
              <w:ind w:left="29"/>
              <w:spacing w:before="234" w:line="221" w:lineRule="auto"/>
              <w:rPr>
                <w:sz w:val="19"/>
                <w:szCs w:val="19"/>
              </w:rPr>
            </w:pPr>
            <w:r>
              <w:rPr>
                <w:sz w:val="19"/>
                <w:szCs w:val="19"/>
                <w:spacing w:val="9"/>
              </w:rPr>
              <w:t>公务用车运行费</w:t>
            </w:r>
          </w:p>
        </w:tc>
        <w:tc>
          <w:tcPr>
            <w:tcW w:w="1220" w:type="dxa"/>
            <w:vAlign w:val="top"/>
            <w:vMerge w:val="continue"/>
            <w:tcBorders>
              <w:right w:val="single" w:color="000000" w:sz="6" w:space="0"/>
              <w:top w:val="nil"/>
            </w:tcBorders>
          </w:tcPr>
          <w:p>
            <w:pPr>
              <w:rPr>
                <w:rFonts w:ascii="Arial"/>
                <w:sz w:val="21"/>
              </w:rPr>
            </w:pPr>
            <w:r/>
          </w:p>
        </w:tc>
      </w:tr>
      <w:tr>
        <w:trPr>
          <w:trHeight w:val="419" w:hRule="atLeast"/>
        </w:trPr>
        <w:tc>
          <w:tcPr>
            <w:tcW w:w="1047" w:type="dxa"/>
            <w:vAlign w:val="top"/>
            <w:tcBorders>
              <w:left w:val="single" w:color="000000" w:sz="6" w:space="0"/>
              <w:bottom w:val="single" w:color="000000" w:sz="6" w:space="0"/>
            </w:tcBorders>
          </w:tcPr>
          <w:p>
            <w:pPr>
              <w:pStyle w:val="TableText"/>
              <w:ind w:left="387"/>
              <w:spacing w:before="130" w:line="279" w:lineRule="exact"/>
              <w:rPr>
                <w:sz w:val="19"/>
                <w:szCs w:val="19"/>
              </w:rPr>
            </w:pPr>
            <w:r>
              <w:rPr>
                <w:sz w:val="19"/>
                <w:szCs w:val="19"/>
                <w:spacing w:val="-4"/>
                <w:position w:val="2"/>
              </w:rPr>
              <w:t>185</w:t>
            </w:r>
          </w:p>
        </w:tc>
        <w:tc>
          <w:tcPr>
            <w:tcW w:w="1081" w:type="dxa"/>
            <w:vAlign w:val="top"/>
            <w:tcBorders>
              <w:bottom w:val="single" w:color="000000" w:sz="6" w:space="0"/>
            </w:tcBorders>
          </w:tcPr>
          <w:p>
            <w:pPr>
              <w:pStyle w:val="TableText"/>
              <w:ind w:left="438"/>
              <w:spacing w:before="130" w:line="279" w:lineRule="exact"/>
              <w:rPr>
                <w:sz w:val="19"/>
                <w:szCs w:val="19"/>
              </w:rPr>
            </w:pPr>
            <w:r>
              <w:rPr>
                <w:sz w:val="19"/>
                <w:szCs w:val="19"/>
                <w:spacing w:val="-1"/>
                <w:position w:val="2"/>
              </w:rPr>
              <w:t>35</w:t>
            </w:r>
          </w:p>
        </w:tc>
        <w:tc>
          <w:tcPr>
            <w:tcW w:w="1024" w:type="dxa"/>
            <w:vAlign w:val="top"/>
            <w:tcBorders>
              <w:bottom w:val="single" w:color="000000" w:sz="6" w:space="0"/>
            </w:tcBorders>
          </w:tcPr>
          <w:p>
            <w:pPr>
              <w:pStyle w:val="TableText"/>
              <w:ind w:left="407"/>
              <w:spacing w:before="130" w:line="279" w:lineRule="exact"/>
              <w:rPr>
                <w:sz w:val="19"/>
                <w:szCs w:val="19"/>
              </w:rPr>
            </w:pPr>
            <w:r>
              <w:rPr>
                <w:sz w:val="19"/>
                <w:szCs w:val="19"/>
                <w:position w:val="2"/>
              </w:rPr>
              <w:t>22</w:t>
            </w:r>
          </w:p>
        </w:tc>
        <w:tc>
          <w:tcPr>
            <w:tcW w:w="1440" w:type="dxa"/>
            <w:vAlign w:val="top"/>
            <w:tcBorders>
              <w:bottom w:val="single" w:color="000000" w:sz="6" w:space="0"/>
            </w:tcBorders>
          </w:tcPr>
          <w:p>
            <w:pPr>
              <w:rPr>
                <w:rFonts w:ascii="Arial"/>
                <w:sz w:val="21"/>
              </w:rPr>
            </w:pPr>
            <w:r/>
          </w:p>
        </w:tc>
        <w:tc>
          <w:tcPr>
            <w:tcW w:w="1455" w:type="dxa"/>
            <w:vAlign w:val="top"/>
            <w:tcBorders>
              <w:bottom w:val="single" w:color="000000" w:sz="6" w:space="0"/>
            </w:tcBorders>
          </w:tcPr>
          <w:p>
            <w:pPr>
              <w:pStyle w:val="TableText"/>
              <w:ind w:left="626"/>
              <w:spacing w:before="130" w:line="279" w:lineRule="exact"/>
              <w:rPr>
                <w:sz w:val="19"/>
                <w:szCs w:val="19"/>
              </w:rPr>
            </w:pPr>
            <w:r>
              <w:rPr>
                <w:sz w:val="19"/>
                <w:szCs w:val="19"/>
                <w:position w:val="2"/>
              </w:rPr>
              <w:t>22</w:t>
            </w:r>
          </w:p>
        </w:tc>
        <w:tc>
          <w:tcPr>
            <w:tcW w:w="980" w:type="dxa"/>
            <w:vAlign w:val="top"/>
            <w:tcBorders>
              <w:bottom w:val="single" w:color="000000" w:sz="6" w:space="0"/>
            </w:tcBorders>
          </w:tcPr>
          <w:p>
            <w:pPr>
              <w:pStyle w:val="TableText"/>
              <w:ind w:left="356"/>
              <w:spacing w:before="130" w:line="279" w:lineRule="exact"/>
              <w:rPr>
                <w:sz w:val="19"/>
                <w:szCs w:val="19"/>
              </w:rPr>
            </w:pPr>
            <w:r>
              <w:rPr>
                <w:sz w:val="19"/>
                <w:szCs w:val="19"/>
                <w:spacing w:val="-4"/>
                <w:position w:val="2"/>
              </w:rPr>
              <w:t>128</w:t>
            </w:r>
          </w:p>
        </w:tc>
        <w:tc>
          <w:tcPr>
            <w:tcW w:w="865" w:type="dxa"/>
            <w:vAlign w:val="top"/>
            <w:tcBorders>
              <w:bottom w:val="single" w:color="000000" w:sz="6" w:space="0"/>
            </w:tcBorders>
          </w:tcPr>
          <w:p>
            <w:pPr>
              <w:pStyle w:val="TableText"/>
              <w:ind w:left="300"/>
              <w:spacing w:before="130" w:line="279" w:lineRule="exact"/>
              <w:rPr>
                <w:sz w:val="19"/>
                <w:szCs w:val="19"/>
              </w:rPr>
            </w:pPr>
            <w:r>
              <w:rPr>
                <w:sz w:val="19"/>
                <w:szCs w:val="19"/>
                <w:spacing w:val="-4"/>
                <w:position w:val="2"/>
              </w:rPr>
              <w:t>185</w:t>
            </w:r>
          </w:p>
        </w:tc>
        <w:tc>
          <w:tcPr>
            <w:tcW w:w="908" w:type="dxa"/>
            <w:vAlign w:val="top"/>
            <w:tcBorders>
              <w:bottom w:val="single" w:color="000000" w:sz="6" w:space="0"/>
            </w:tcBorders>
          </w:tcPr>
          <w:p>
            <w:pPr>
              <w:pStyle w:val="TableText"/>
              <w:ind w:left="358"/>
              <w:spacing w:before="130" w:line="279" w:lineRule="exact"/>
              <w:rPr>
                <w:sz w:val="19"/>
                <w:szCs w:val="19"/>
              </w:rPr>
            </w:pPr>
            <w:r>
              <w:rPr>
                <w:sz w:val="19"/>
                <w:szCs w:val="19"/>
                <w:spacing w:val="-1"/>
                <w:position w:val="2"/>
              </w:rPr>
              <w:t>35</w:t>
            </w:r>
          </w:p>
        </w:tc>
        <w:tc>
          <w:tcPr>
            <w:tcW w:w="966" w:type="dxa"/>
            <w:vAlign w:val="top"/>
            <w:tcBorders>
              <w:bottom w:val="single" w:color="000000" w:sz="6" w:space="0"/>
            </w:tcBorders>
          </w:tcPr>
          <w:p>
            <w:pPr>
              <w:pStyle w:val="TableText"/>
              <w:ind w:left="386"/>
              <w:spacing w:before="130" w:line="279" w:lineRule="exact"/>
              <w:rPr>
                <w:sz w:val="19"/>
                <w:szCs w:val="19"/>
              </w:rPr>
            </w:pPr>
            <w:r>
              <w:rPr>
                <w:sz w:val="19"/>
                <w:szCs w:val="19"/>
                <w:position w:val="2"/>
              </w:rPr>
              <w:t>22</w:t>
            </w:r>
          </w:p>
        </w:tc>
        <w:tc>
          <w:tcPr>
            <w:tcW w:w="1341" w:type="dxa"/>
            <w:vAlign w:val="top"/>
            <w:tcBorders>
              <w:bottom w:val="single" w:color="000000" w:sz="6" w:space="0"/>
            </w:tcBorders>
          </w:tcPr>
          <w:p>
            <w:pPr>
              <w:rPr>
                <w:rFonts w:ascii="Arial"/>
                <w:sz w:val="21"/>
              </w:rPr>
            </w:pPr>
            <w:r/>
          </w:p>
        </w:tc>
        <w:tc>
          <w:tcPr>
            <w:tcW w:w="1455" w:type="dxa"/>
            <w:vAlign w:val="top"/>
            <w:tcBorders>
              <w:bottom w:val="single" w:color="000000" w:sz="6" w:space="0"/>
            </w:tcBorders>
          </w:tcPr>
          <w:p>
            <w:pPr>
              <w:pStyle w:val="TableText"/>
              <w:ind w:left="632"/>
              <w:spacing w:before="130" w:line="279" w:lineRule="exact"/>
              <w:rPr>
                <w:sz w:val="19"/>
                <w:szCs w:val="19"/>
              </w:rPr>
            </w:pPr>
            <w:r>
              <w:rPr>
                <w:sz w:val="19"/>
                <w:szCs w:val="19"/>
                <w:position w:val="2"/>
              </w:rPr>
              <w:t>22</w:t>
            </w:r>
          </w:p>
        </w:tc>
        <w:tc>
          <w:tcPr>
            <w:tcW w:w="1220" w:type="dxa"/>
            <w:vAlign w:val="top"/>
            <w:tcBorders>
              <w:bottom w:val="single" w:color="000000" w:sz="6" w:space="0"/>
              <w:right w:val="single" w:color="000000" w:sz="6" w:space="0"/>
            </w:tcBorders>
          </w:tcPr>
          <w:p>
            <w:pPr>
              <w:pStyle w:val="TableText"/>
              <w:ind w:left="480"/>
              <w:spacing w:before="130" w:line="279" w:lineRule="exact"/>
              <w:rPr>
                <w:sz w:val="19"/>
                <w:szCs w:val="19"/>
              </w:rPr>
            </w:pPr>
            <w:r>
              <w:rPr>
                <w:sz w:val="19"/>
                <w:szCs w:val="19"/>
                <w:spacing w:val="-4"/>
                <w:position w:val="2"/>
              </w:rPr>
              <w:t>128</w:t>
            </w:r>
          </w:p>
        </w:tc>
      </w:tr>
    </w:tbl>
    <w:p>
      <w:pPr>
        <w:pStyle w:val="BodyText"/>
        <w:ind w:left="133"/>
        <w:spacing w:before="87" w:line="240" w:lineRule="exact"/>
        <w:rPr>
          <w:sz w:val="18"/>
          <w:szCs w:val="18"/>
        </w:rPr>
      </w:pPr>
      <w:r>
        <w:rPr>
          <w:sz w:val="18"/>
          <w:szCs w:val="18"/>
          <w:spacing w:val="1"/>
          <w:position w:val="1"/>
        </w:rPr>
        <w:t>说明：2021年市本级预算安排“三公”经费零增长。</w:t>
      </w:r>
    </w:p>
    <w:p>
      <w:pPr>
        <w:spacing w:line="255" w:lineRule="auto"/>
        <w:rPr>
          <w:rFonts w:ascii="Arial"/>
          <w:sz w:val="21"/>
        </w:rPr>
      </w:pPr>
      <w:r/>
    </w:p>
    <w:p>
      <w:pPr>
        <w:ind w:left="138"/>
        <w:spacing w:before="85" w:line="15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表八</w:t>
      </w:r>
    </w:p>
    <w:p>
      <w:pPr>
        <w:pStyle w:val="BodyText"/>
        <w:ind w:left="3474"/>
        <w:spacing w:line="473" w:lineRule="exact"/>
        <w:rPr>
          <w:sz w:val="35"/>
          <w:szCs w:val="35"/>
        </w:rPr>
      </w:pPr>
      <w:r>
        <w:rPr>
          <w:sz w:val="35"/>
          <w:szCs w:val="35"/>
          <w:b/>
          <w:bCs/>
          <w:spacing w:val="3"/>
          <w:position w:val="2"/>
        </w:rPr>
        <w:t>固原市本级</w:t>
      </w:r>
      <w:r>
        <w:rPr>
          <w:sz w:val="35"/>
          <w:szCs w:val="35"/>
          <w:spacing w:val="-68"/>
          <w:position w:val="2"/>
        </w:rPr>
        <w:t xml:space="preserve"> </w:t>
      </w:r>
      <w:r>
        <w:rPr>
          <w:sz w:val="35"/>
          <w:szCs w:val="35"/>
          <w:b/>
          <w:bCs/>
          <w:spacing w:val="3"/>
          <w:position w:val="2"/>
        </w:rPr>
        <w:t>2021</w:t>
      </w:r>
      <w:r>
        <w:rPr>
          <w:sz w:val="35"/>
          <w:szCs w:val="35"/>
          <w:spacing w:val="-77"/>
          <w:position w:val="2"/>
        </w:rPr>
        <w:t xml:space="preserve"> </w:t>
      </w:r>
      <w:r>
        <w:rPr>
          <w:sz w:val="35"/>
          <w:szCs w:val="35"/>
          <w:b/>
          <w:bCs/>
          <w:spacing w:val="3"/>
          <w:position w:val="2"/>
        </w:rPr>
        <w:t>年财政专户资金收支计划表</w:t>
      </w:r>
    </w:p>
    <w:p>
      <w:pPr>
        <w:pStyle w:val="BodyText"/>
        <w:ind w:left="12794"/>
        <w:spacing w:line="225" w:lineRule="auto"/>
        <w:rPr>
          <w:sz w:val="19"/>
          <w:szCs w:val="19"/>
        </w:rPr>
      </w:pPr>
      <w:r>
        <w:rPr>
          <w:sz w:val="19"/>
          <w:szCs w:val="19"/>
          <w:spacing w:val="8"/>
        </w:rPr>
        <w:t>单位：万元</w:t>
      </w:r>
    </w:p>
    <w:tbl>
      <w:tblPr>
        <w:tblStyle w:val="TableNormal"/>
        <w:tblW w:w="13908"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57"/>
        <w:gridCol w:w="2035"/>
        <w:gridCol w:w="3633"/>
        <w:gridCol w:w="2383"/>
      </w:tblGrid>
      <w:tr>
        <w:trPr>
          <w:trHeight w:val="311" w:hRule="atLeast"/>
        </w:trPr>
        <w:tc>
          <w:tcPr>
            <w:tcW w:w="7892" w:type="dxa"/>
            <w:vAlign w:val="top"/>
            <w:gridSpan w:val="2"/>
            <w:tcBorders>
              <w:left w:val="single" w:color="000000" w:sz="6" w:space="0"/>
              <w:top w:val="single" w:color="000000" w:sz="6" w:space="0"/>
            </w:tcBorders>
          </w:tcPr>
          <w:p>
            <w:pPr>
              <w:pStyle w:val="TableText"/>
              <w:ind w:left="3151"/>
              <w:spacing w:before="79" w:line="214" w:lineRule="auto"/>
              <w:rPr>
                <w:sz w:val="19"/>
                <w:szCs w:val="19"/>
              </w:rPr>
            </w:pPr>
            <w:r>
              <w:rPr>
                <w:sz w:val="19"/>
                <w:szCs w:val="19"/>
                <w:b/>
                <w:bCs/>
                <w:spacing w:val="-1"/>
              </w:rPr>
              <w:t>收</w:t>
            </w:r>
            <w:r>
              <w:rPr>
                <w:sz w:val="19"/>
                <w:szCs w:val="19"/>
                <w:spacing w:val="5"/>
              </w:rPr>
              <w:t xml:space="preserve">             </w:t>
            </w:r>
            <w:r>
              <w:rPr>
                <w:sz w:val="19"/>
                <w:szCs w:val="19"/>
                <w:b/>
                <w:bCs/>
                <w:spacing w:val="-1"/>
              </w:rPr>
              <w:t>入</w:t>
            </w:r>
          </w:p>
        </w:tc>
        <w:tc>
          <w:tcPr>
            <w:tcW w:w="6016" w:type="dxa"/>
            <w:vAlign w:val="top"/>
            <w:gridSpan w:val="2"/>
            <w:tcBorders>
              <w:right w:val="single" w:color="000000" w:sz="6" w:space="0"/>
              <w:top w:val="single" w:color="000000" w:sz="6" w:space="0"/>
            </w:tcBorders>
          </w:tcPr>
          <w:p>
            <w:pPr>
              <w:pStyle w:val="TableText"/>
              <w:ind w:left="2108"/>
              <w:spacing w:before="77" w:line="217" w:lineRule="auto"/>
              <w:rPr>
                <w:sz w:val="19"/>
                <w:szCs w:val="19"/>
              </w:rPr>
            </w:pPr>
            <w:r>
              <w:rPr>
                <w:sz w:val="19"/>
                <w:szCs w:val="19"/>
                <w:b/>
                <w:bCs/>
                <w:spacing w:val="-1"/>
              </w:rPr>
              <w:t>支</w:t>
            </w:r>
            <w:r>
              <w:rPr>
                <w:sz w:val="19"/>
                <w:szCs w:val="19"/>
              </w:rPr>
              <w:t xml:space="preserve">                </w:t>
            </w:r>
            <w:r>
              <w:rPr>
                <w:sz w:val="19"/>
                <w:szCs w:val="19"/>
                <w:b/>
                <w:bCs/>
                <w:spacing w:val="-1"/>
              </w:rPr>
              <w:t>出</w:t>
            </w:r>
          </w:p>
        </w:tc>
      </w:tr>
      <w:tr>
        <w:trPr>
          <w:trHeight w:val="303" w:hRule="atLeast"/>
        </w:trPr>
        <w:tc>
          <w:tcPr>
            <w:tcW w:w="5857" w:type="dxa"/>
            <w:vAlign w:val="top"/>
            <w:tcBorders>
              <w:left w:val="single" w:color="000000" w:sz="6" w:space="0"/>
            </w:tcBorders>
          </w:tcPr>
          <w:p>
            <w:pPr>
              <w:pStyle w:val="TableText"/>
              <w:ind w:left="2774"/>
              <w:spacing w:before="76" w:line="210" w:lineRule="auto"/>
              <w:rPr>
                <w:sz w:val="19"/>
                <w:szCs w:val="19"/>
              </w:rPr>
            </w:pPr>
            <w:r>
              <w:rPr>
                <w:sz w:val="19"/>
                <w:szCs w:val="19"/>
                <w:b/>
                <w:bCs/>
                <w:spacing w:val="6"/>
              </w:rPr>
              <w:t>项目</w:t>
            </w:r>
          </w:p>
        </w:tc>
        <w:tc>
          <w:tcPr>
            <w:tcW w:w="2035" w:type="dxa"/>
            <w:vAlign w:val="top"/>
          </w:tcPr>
          <w:p>
            <w:pPr>
              <w:pStyle w:val="TableText"/>
              <w:ind w:left="768"/>
              <w:spacing w:before="71" w:line="215" w:lineRule="auto"/>
              <w:rPr>
                <w:sz w:val="19"/>
                <w:szCs w:val="19"/>
              </w:rPr>
            </w:pPr>
            <w:r>
              <w:rPr>
                <w:sz w:val="19"/>
                <w:szCs w:val="19"/>
                <w:b/>
                <w:bCs/>
                <w:spacing w:val="5"/>
              </w:rPr>
              <w:t>预算数</w:t>
            </w:r>
          </w:p>
        </w:tc>
        <w:tc>
          <w:tcPr>
            <w:tcW w:w="3633" w:type="dxa"/>
            <w:vAlign w:val="top"/>
          </w:tcPr>
          <w:p>
            <w:pPr>
              <w:pStyle w:val="TableText"/>
              <w:ind w:left="1667"/>
              <w:spacing w:before="76" w:line="210" w:lineRule="auto"/>
              <w:rPr>
                <w:sz w:val="19"/>
                <w:szCs w:val="19"/>
              </w:rPr>
            </w:pPr>
            <w:r>
              <w:rPr>
                <w:sz w:val="19"/>
                <w:szCs w:val="19"/>
                <w:b/>
                <w:bCs/>
                <w:spacing w:val="6"/>
              </w:rPr>
              <w:t>项目</w:t>
            </w:r>
          </w:p>
        </w:tc>
        <w:tc>
          <w:tcPr>
            <w:tcW w:w="2383" w:type="dxa"/>
            <w:vAlign w:val="top"/>
            <w:tcBorders>
              <w:right w:val="single" w:color="000000" w:sz="6" w:space="0"/>
            </w:tcBorders>
          </w:tcPr>
          <w:p>
            <w:pPr>
              <w:pStyle w:val="TableText"/>
              <w:ind w:left="896"/>
              <w:spacing w:before="71" w:line="215" w:lineRule="auto"/>
              <w:rPr>
                <w:sz w:val="19"/>
                <w:szCs w:val="19"/>
              </w:rPr>
            </w:pPr>
            <w:r>
              <w:rPr>
                <w:sz w:val="19"/>
                <w:szCs w:val="19"/>
                <w:b/>
                <w:bCs/>
                <w:spacing w:val="5"/>
              </w:rPr>
              <w:t>预算数</w:t>
            </w:r>
          </w:p>
        </w:tc>
      </w:tr>
      <w:tr>
        <w:trPr>
          <w:trHeight w:val="303" w:hRule="atLeast"/>
        </w:trPr>
        <w:tc>
          <w:tcPr>
            <w:tcW w:w="5857" w:type="dxa"/>
            <w:vAlign w:val="top"/>
            <w:tcBorders>
              <w:left w:val="single" w:color="000000" w:sz="6" w:space="0"/>
            </w:tcBorders>
          </w:tcPr>
          <w:p>
            <w:pPr>
              <w:pStyle w:val="TableText"/>
              <w:ind w:left="207"/>
              <w:spacing w:before="75" w:line="211" w:lineRule="auto"/>
              <w:rPr>
                <w:sz w:val="19"/>
                <w:szCs w:val="19"/>
              </w:rPr>
            </w:pPr>
            <w:r>
              <w:rPr>
                <w:sz w:val="19"/>
                <w:szCs w:val="19"/>
                <w:b/>
                <w:bCs/>
                <w:spacing w:val="7"/>
              </w:rPr>
              <w:t>非税收入</w:t>
            </w:r>
          </w:p>
        </w:tc>
        <w:tc>
          <w:tcPr>
            <w:tcW w:w="2035" w:type="dxa"/>
            <w:vAlign w:val="top"/>
          </w:tcPr>
          <w:p>
            <w:pPr>
              <w:pStyle w:val="TableText"/>
              <w:ind w:left="1495"/>
              <w:spacing w:before="69" w:line="217" w:lineRule="auto"/>
              <w:rPr>
                <w:sz w:val="19"/>
                <w:szCs w:val="19"/>
              </w:rPr>
            </w:pPr>
            <w:r>
              <w:rPr>
                <w:sz w:val="19"/>
                <w:szCs w:val="19"/>
                <w:b/>
                <w:bCs/>
                <w:spacing w:val="-12"/>
              </w:rPr>
              <w:t>1,488</w:t>
            </w:r>
          </w:p>
        </w:tc>
        <w:tc>
          <w:tcPr>
            <w:tcW w:w="3633" w:type="dxa"/>
            <w:vAlign w:val="top"/>
          </w:tcPr>
          <w:p>
            <w:pPr>
              <w:pStyle w:val="TableText"/>
              <w:ind w:left="209"/>
              <w:spacing w:before="69" w:line="217" w:lineRule="auto"/>
              <w:rPr>
                <w:sz w:val="19"/>
                <w:szCs w:val="19"/>
              </w:rPr>
            </w:pPr>
            <w:r>
              <w:rPr>
                <w:sz w:val="19"/>
                <w:szCs w:val="19"/>
                <w:b/>
                <w:bCs/>
              </w:rPr>
              <w:t>204.公共安全支出</w:t>
            </w:r>
          </w:p>
        </w:tc>
        <w:tc>
          <w:tcPr>
            <w:tcW w:w="2383" w:type="dxa"/>
            <w:vAlign w:val="top"/>
            <w:tcBorders>
              <w:right w:val="single" w:color="000000" w:sz="6" w:space="0"/>
            </w:tcBorders>
          </w:tcPr>
          <w:p>
            <w:pPr>
              <w:rPr>
                <w:rFonts w:ascii="Arial"/>
                <w:sz w:val="21"/>
              </w:rPr>
            </w:pPr>
            <w:r/>
          </w:p>
        </w:tc>
      </w:tr>
      <w:tr>
        <w:trPr>
          <w:trHeight w:val="303" w:hRule="atLeast"/>
        </w:trPr>
        <w:tc>
          <w:tcPr>
            <w:tcW w:w="5857" w:type="dxa"/>
            <w:vAlign w:val="top"/>
            <w:tcBorders>
              <w:left w:val="single" w:color="000000" w:sz="6" w:space="0"/>
            </w:tcBorders>
          </w:tcPr>
          <w:p>
            <w:pPr>
              <w:pStyle w:val="TableText"/>
              <w:ind w:left="606"/>
              <w:spacing w:before="75" w:line="211" w:lineRule="auto"/>
              <w:rPr>
                <w:sz w:val="19"/>
                <w:szCs w:val="19"/>
              </w:rPr>
            </w:pPr>
            <w:r>
              <w:rPr>
                <w:sz w:val="19"/>
                <w:szCs w:val="19"/>
                <w:b/>
                <w:bCs/>
                <w:spacing w:val="8"/>
              </w:rPr>
              <w:t>行政事业性收费收入</w:t>
            </w:r>
          </w:p>
        </w:tc>
        <w:tc>
          <w:tcPr>
            <w:tcW w:w="2035" w:type="dxa"/>
            <w:vAlign w:val="top"/>
          </w:tcPr>
          <w:p>
            <w:pPr>
              <w:pStyle w:val="TableText"/>
              <w:ind w:left="1495"/>
              <w:spacing w:before="70" w:line="216" w:lineRule="auto"/>
              <w:rPr>
                <w:sz w:val="19"/>
                <w:szCs w:val="19"/>
              </w:rPr>
            </w:pPr>
            <w:r>
              <w:rPr>
                <w:sz w:val="19"/>
                <w:szCs w:val="19"/>
                <w:b/>
                <w:bCs/>
                <w:spacing w:val="-12"/>
              </w:rPr>
              <w:t>1,488</w:t>
            </w:r>
          </w:p>
        </w:tc>
        <w:tc>
          <w:tcPr>
            <w:tcW w:w="3633" w:type="dxa"/>
            <w:vAlign w:val="top"/>
          </w:tcPr>
          <w:p>
            <w:pPr>
              <w:pStyle w:val="TableText"/>
              <w:ind w:left="209"/>
              <w:spacing w:before="70" w:line="216" w:lineRule="auto"/>
              <w:rPr>
                <w:sz w:val="19"/>
                <w:szCs w:val="19"/>
              </w:rPr>
            </w:pPr>
            <w:r>
              <w:rPr>
                <w:sz w:val="19"/>
                <w:szCs w:val="19"/>
                <w:b/>
                <w:bCs/>
                <w:spacing w:val="-2"/>
              </w:rPr>
              <w:t>205.教育支出</w:t>
            </w:r>
          </w:p>
        </w:tc>
        <w:tc>
          <w:tcPr>
            <w:tcW w:w="2383" w:type="dxa"/>
            <w:vAlign w:val="top"/>
            <w:tcBorders>
              <w:right w:val="single" w:color="000000" w:sz="6" w:space="0"/>
            </w:tcBorders>
          </w:tcPr>
          <w:p>
            <w:pPr>
              <w:rPr>
                <w:rFonts w:ascii="Arial"/>
                <w:sz w:val="21"/>
              </w:rPr>
            </w:pPr>
            <w:r/>
          </w:p>
        </w:tc>
      </w:tr>
      <w:tr>
        <w:trPr>
          <w:trHeight w:val="304" w:hRule="atLeast"/>
        </w:trPr>
        <w:tc>
          <w:tcPr>
            <w:tcW w:w="5857" w:type="dxa"/>
            <w:vAlign w:val="top"/>
            <w:tcBorders>
              <w:left w:val="single" w:color="000000" w:sz="6" w:space="0"/>
            </w:tcBorders>
          </w:tcPr>
          <w:p>
            <w:pPr>
              <w:pStyle w:val="TableText"/>
              <w:ind w:left="1107"/>
              <w:spacing w:before="76" w:line="211" w:lineRule="auto"/>
              <w:rPr>
                <w:sz w:val="19"/>
                <w:szCs w:val="19"/>
              </w:rPr>
            </w:pPr>
            <w:r>
              <w:rPr>
                <w:sz w:val="19"/>
                <w:szCs w:val="19"/>
                <w:spacing w:val="9"/>
              </w:rPr>
              <w:t>教育行政事业性收费收入</w:t>
            </w:r>
          </w:p>
        </w:tc>
        <w:tc>
          <w:tcPr>
            <w:tcW w:w="2035" w:type="dxa"/>
            <w:vAlign w:val="top"/>
          </w:tcPr>
          <w:p>
            <w:pPr>
              <w:rPr>
                <w:rFonts w:ascii="Arial"/>
                <w:sz w:val="21"/>
              </w:rPr>
            </w:pPr>
            <w:r/>
          </w:p>
        </w:tc>
        <w:tc>
          <w:tcPr>
            <w:tcW w:w="3633" w:type="dxa"/>
            <w:vAlign w:val="top"/>
          </w:tcPr>
          <w:p>
            <w:pPr>
              <w:pStyle w:val="TableText"/>
              <w:ind w:left="209"/>
              <w:spacing w:before="72" w:line="215" w:lineRule="auto"/>
              <w:rPr>
                <w:sz w:val="19"/>
                <w:szCs w:val="19"/>
              </w:rPr>
            </w:pPr>
            <w:r>
              <w:rPr>
                <w:sz w:val="19"/>
                <w:szCs w:val="19"/>
                <w:b/>
                <w:bCs/>
                <w:spacing w:val="3"/>
              </w:rPr>
              <w:t>207.文化旅游体育与传媒支出</w:t>
            </w:r>
          </w:p>
        </w:tc>
        <w:tc>
          <w:tcPr>
            <w:tcW w:w="2383" w:type="dxa"/>
            <w:vAlign w:val="top"/>
            <w:tcBorders>
              <w:right w:val="single" w:color="000000" w:sz="6" w:space="0"/>
            </w:tcBorders>
          </w:tcPr>
          <w:p>
            <w:pPr>
              <w:pStyle w:val="TableText"/>
              <w:ind w:left="1844"/>
              <w:spacing w:before="72" w:line="215" w:lineRule="auto"/>
              <w:rPr>
                <w:sz w:val="19"/>
                <w:szCs w:val="19"/>
              </w:rPr>
            </w:pPr>
            <w:r>
              <w:rPr>
                <w:sz w:val="19"/>
                <w:szCs w:val="19"/>
                <w:spacing w:val="-11"/>
              </w:rPr>
              <w:t>1,488</w:t>
            </w:r>
          </w:p>
        </w:tc>
      </w:tr>
      <w:tr>
        <w:trPr>
          <w:trHeight w:val="304" w:hRule="atLeast"/>
        </w:trPr>
        <w:tc>
          <w:tcPr>
            <w:tcW w:w="5857" w:type="dxa"/>
            <w:vAlign w:val="top"/>
            <w:tcBorders>
              <w:left w:val="single" w:color="000000" w:sz="6" w:space="0"/>
            </w:tcBorders>
          </w:tcPr>
          <w:p>
            <w:pPr>
              <w:pStyle w:val="TableText"/>
              <w:ind w:left="1105"/>
              <w:spacing w:before="78" w:line="209" w:lineRule="auto"/>
              <w:rPr>
                <w:sz w:val="19"/>
                <w:szCs w:val="19"/>
              </w:rPr>
            </w:pPr>
            <w:r>
              <w:rPr>
                <w:sz w:val="19"/>
                <w:szCs w:val="19"/>
                <w:spacing w:val="9"/>
              </w:rPr>
              <w:t>其他行政事业性收费收入</w:t>
            </w:r>
          </w:p>
        </w:tc>
        <w:tc>
          <w:tcPr>
            <w:tcW w:w="2035" w:type="dxa"/>
            <w:vAlign w:val="top"/>
          </w:tcPr>
          <w:p>
            <w:pPr>
              <w:pStyle w:val="TableText"/>
              <w:ind w:left="1500"/>
              <w:spacing w:before="74" w:line="213" w:lineRule="auto"/>
              <w:rPr>
                <w:sz w:val="19"/>
                <w:szCs w:val="19"/>
              </w:rPr>
            </w:pPr>
            <w:r>
              <w:rPr>
                <w:sz w:val="19"/>
                <w:szCs w:val="19"/>
                <w:spacing w:val="-11"/>
              </w:rPr>
              <w:t>1,488</w:t>
            </w:r>
          </w:p>
        </w:tc>
        <w:tc>
          <w:tcPr>
            <w:tcW w:w="3633" w:type="dxa"/>
            <w:vAlign w:val="top"/>
          </w:tcPr>
          <w:p>
            <w:pPr>
              <w:pStyle w:val="TableText"/>
              <w:ind w:left="209"/>
              <w:spacing w:before="74" w:line="213" w:lineRule="auto"/>
              <w:rPr>
                <w:sz w:val="19"/>
                <w:szCs w:val="19"/>
              </w:rPr>
            </w:pPr>
            <w:r>
              <w:rPr>
                <w:sz w:val="19"/>
                <w:szCs w:val="19"/>
                <w:b/>
                <w:bCs/>
              </w:rPr>
              <w:t>212.城乡社区支出</w:t>
            </w:r>
          </w:p>
        </w:tc>
        <w:tc>
          <w:tcPr>
            <w:tcW w:w="2383" w:type="dxa"/>
            <w:vAlign w:val="top"/>
            <w:tcBorders>
              <w:right w:val="single" w:color="000000" w:sz="6" w:space="0"/>
            </w:tcBorders>
          </w:tcPr>
          <w:p>
            <w:pPr>
              <w:rPr>
                <w:rFonts w:ascii="Arial"/>
                <w:sz w:val="21"/>
              </w:rPr>
            </w:pPr>
            <w:r/>
          </w:p>
        </w:tc>
      </w:tr>
      <w:tr>
        <w:trPr>
          <w:trHeight w:val="304" w:hRule="atLeast"/>
        </w:trPr>
        <w:tc>
          <w:tcPr>
            <w:tcW w:w="5857" w:type="dxa"/>
            <w:vAlign w:val="top"/>
            <w:tcBorders>
              <w:left w:val="single" w:color="000000" w:sz="6" w:space="0"/>
            </w:tcBorders>
          </w:tcPr>
          <w:p>
            <w:pPr>
              <w:pStyle w:val="TableText"/>
              <w:ind w:left="606"/>
              <w:spacing w:before="78" w:line="209" w:lineRule="auto"/>
              <w:rPr>
                <w:sz w:val="19"/>
                <w:szCs w:val="19"/>
              </w:rPr>
            </w:pPr>
            <w:r>
              <w:rPr>
                <w:sz w:val="19"/>
                <w:szCs w:val="19"/>
                <w:b/>
                <w:bCs/>
                <w:spacing w:val="7"/>
              </w:rPr>
              <w:t>其他收入</w:t>
            </w:r>
          </w:p>
        </w:tc>
        <w:tc>
          <w:tcPr>
            <w:tcW w:w="2035" w:type="dxa"/>
            <w:vAlign w:val="top"/>
          </w:tcPr>
          <w:p>
            <w:pPr>
              <w:rPr>
                <w:rFonts w:ascii="Arial"/>
                <w:sz w:val="21"/>
              </w:rPr>
            </w:pPr>
            <w:r/>
          </w:p>
        </w:tc>
        <w:tc>
          <w:tcPr>
            <w:tcW w:w="3633" w:type="dxa"/>
            <w:vAlign w:val="top"/>
          </w:tcPr>
          <w:p>
            <w:pPr>
              <w:rPr>
                <w:rFonts w:ascii="Arial"/>
                <w:sz w:val="21"/>
              </w:rPr>
            </w:pPr>
            <w:r/>
          </w:p>
        </w:tc>
        <w:tc>
          <w:tcPr>
            <w:tcW w:w="2383" w:type="dxa"/>
            <w:vAlign w:val="top"/>
            <w:tcBorders>
              <w:right w:val="single" w:color="000000" w:sz="6" w:space="0"/>
            </w:tcBorders>
          </w:tcPr>
          <w:p>
            <w:pPr>
              <w:rPr>
                <w:rFonts w:ascii="Arial"/>
                <w:sz w:val="21"/>
              </w:rPr>
            </w:pPr>
            <w:r/>
          </w:p>
        </w:tc>
      </w:tr>
      <w:tr>
        <w:trPr>
          <w:trHeight w:val="304" w:hRule="atLeast"/>
        </w:trPr>
        <w:tc>
          <w:tcPr>
            <w:tcW w:w="5857" w:type="dxa"/>
            <w:vAlign w:val="top"/>
            <w:tcBorders>
              <w:left w:val="single" w:color="000000" w:sz="6" w:space="0"/>
            </w:tcBorders>
          </w:tcPr>
          <w:p>
            <w:pPr>
              <w:rPr>
                <w:rFonts w:ascii="Arial"/>
                <w:sz w:val="21"/>
              </w:rPr>
            </w:pPr>
            <w:r/>
          </w:p>
        </w:tc>
        <w:tc>
          <w:tcPr>
            <w:tcW w:w="2035" w:type="dxa"/>
            <w:vAlign w:val="top"/>
          </w:tcPr>
          <w:p>
            <w:pPr>
              <w:rPr>
                <w:rFonts w:ascii="Arial"/>
                <w:sz w:val="21"/>
              </w:rPr>
            </w:pPr>
            <w:r/>
          </w:p>
        </w:tc>
        <w:tc>
          <w:tcPr>
            <w:tcW w:w="3633" w:type="dxa"/>
            <w:vAlign w:val="top"/>
          </w:tcPr>
          <w:p>
            <w:pPr>
              <w:rPr>
                <w:rFonts w:ascii="Arial"/>
                <w:sz w:val="21"/>
              </w:rPr>
            </w:pPr>
            <w:r/>
          </w:p>
        </w:tc>
        <w:tc>
          <w:tcPr>
            <w:tcW w:w="2383" w:type="dxa"/>
            <w:vAlign w:val="top"/>
            <w:tcBorders>
              <w:right w:val="single" w:color="000000" w:sz="6" w:space="0"/>
            </w:tcBorders>
          </w:tcPr>
          <w:p>
            <w:pPr>
              <w:rPr>
                <w:rFonts w:ascii="Arial"/>
                <w:sz w:val="21"/>
              </w:rPr>
            </w:pPr>
            <w:r/>
          </w:p>
        </w:tc>
      </w:tr>
      <w:tr>
        <w:trPr>
          <w:trHeight w:val="304" w:hRule="atLeast"/>
        </w:trPr>
        <w:tc>
          <w:tcPr>
            <w:tcW w:w="5857" w:type="dxa"/>
            <w:vAlign w:val="top"/>
            <w:tcBorders>
              <w:left w:val="single" w:color="000000" w:sz="6" w:space="0"/>
            </w:tcBorders>
          </w:tcPr>
          <w:p>
            <w:pPr>
              <w:rPr>
                <w:rFonts w:ascii="Arial"/>
                <w:sz w:val="21"/>
              </w:rPr>
            </w:pPr>
            <w:r/>
          </w:p>
        </w:tc>
        <w:tc>
          <w:tcPr>
            <w:tcW w:w="2035" w:type="dxa"/>
            <w:vAlign w:val="top"/>
          </w:tcPr>
          <w:p>
            <w:pPr>
              <w:rPr>
                <w:rFonts w:ascii="Arial"/>
                <w:sz w:val="21"/>
              </w:rPr>
            </w:pPr>
            <w:r/>
          </w:p>
        </w:tc>
        <w:tc>
          <w:tcPr>
            <w:tcW w:w="3633" w:type="dxa"/>
            <w:vAlign w:val="top"/>
          </w:tcPr>
          <w:p>
            <w:pPr>
              <w:rPr>
                <w:rFonts w:ascii="Arial"/>
                <w:sz w:val="21"/>
              </w:rPr>
            </w:pPr>
            <w:r/>
          </w:p>
        </w:tc>
        <w:tc>
          <w:tcPr>
            <w:tcW w:w="2383" w:type="dxa"/>
            <w:vAlign w:val="top"/>
            <w:tcBorders>
              <w:right w:val="single" w:color="000000" w:sz="6" w:space="0"/>
            </w:tcBorders>
          </w:tcPr>
          <w:p>
            <w:pPr>
              <w:rPr>
                <w:rFonts w:ascii="Arial"/>
                <w:sz w:val="21"/>
              </w:rPr>
            </w:pPr>
            <w:r/>
          </w:p>
        </w:tc>
      </w:tr>
      <w:tr>
        <w:trPr>
          <w:trHeight w:val="304" w:hRule="atLeast"/>
        </w:trPr>
        <w:tc>
          <w:tcPr>
            <w:tcW w:w="5857" w:type="dxa"/>
            <w:vAlign w:val="top"/>
            <w:tcBorders>
              <w:left w:val="single" w:color="000000" w:sz="6" w:space="0"/>
            </w:tcBorders>
          </w:tcPr>
          <w:p>
            <w:pPr>
              <w:rPr>
                <w:rFonts w:ascii="Arial"/>
                <w:sz w:val="21"/>
              </w:rPr>
            </w:pPr>
            <w:r/>
          </w:p>
        </w:tc>
        <w:tc>
          <w:tcPr>
            <w:tcW w:w="2035" w:type="dxa"/>
            <w:vAlign w:val="top"/>
          </w:tcPr>
          <w:p>
            <w:pPr>
              <w:rPr>
                <w:rFonts w:ascii="Arial"/>
                <w:sz w:val="21"/>
              </w:rPr>
            </w:pPr>
            <w:r/>
          </w:p>
        </w:tc>
        <w:tc>
          <w:tcPr>
            <w:tcW w:w="3633" w:type="dxa"/>
            <w:vAlign w:val="top"/>
          </w:tcPr>
          <w:p>
            <w:pPr>
              <w:rPr>
                <w:rFonts w:ascii="Arial"/>
                <w:sz w:val="21"/>
              </w:rPr>
            </w:pPr>
            <w:r/>
          </w:p>
        </w:tc>
        <w:tc>
          <w:tcPr>
            <w:tcW w:w="2383" w:type="dxa"/>
            <w:vAlign w:val="top"/>
            <w:tcBorders>
              <w:right w:val="single" w:color="000000" w:sz="6" w:space="0"/>
            </w:tcBorders>
          </w:tcPr>
          <w:p>
            <w:pPr>
              <w:rPr>
                <w:rFonts w:ascii="Arial"/>
                <w:sz w:val="21"/>
              </w:rPr>
            </w:pPr>
            <w:r/>
          </w:p>
        </w:tc>
      </w:tr>
      <w:tr>
        <w:trPr>
          <w:trHeight w:val="313" w:hRule="atLeast"/>
        </w:trPr>
        <w:tc>
          <w:tcPr>
            <w:tcW w:w="5857" w:type="dxa"/>
            <w:vAlign w:val="top"/>
            <w:tcBorders>
              <w:left w:val="single" w:color="000000" w:sz="6" w:space="0"/>
              <w:bottom w:val="single" w:color="000000" w:sz="6" w:space="0"/>
            </w:tcBorders>
          </w:tcPr>
          <w:p>
            <w:pPr>
              <w:rPr>
                <w:rFonts w:ascii="Arial"/>
                <w:sz w:val="21"/>
              </w:rPr>
            </w:pPr>
            <w:r/>
          </w:p>
        </w:tc>
        <w:tc>
          <w:tcPr>
            <w:tcW w:w="2035" w:type="dxa"/>
            <w:vAlign w:val="top"/>
            <w:tcBorders>
              <w:bottom w:val="single" w:color="000000" w:sz="6" w:space="0"/>
            </w:tcBorders>
          </w:tcPr>
          <w:p>
            <w:pPr>
              <w:rPr>
                <w:rFonts w:ascii="Arial"/>
                <w:sz w:val="21"/>
              </w:rPr>
            </w:pPr>
            <w:r/>
          </w:p>
        </w:tc>
        <w:tc>
          <w:tcPr>
            <w:tcW w:w="3633" w:type="dxa"/>
            <w:vAlign w:val="top"/>
            <w:tcBorders>
              <w:bottom w:val="single" w:color="000000" w:sz="6" w:space="0"/>
            </w:tcBorders>
          </w:tcPr>
          <w:p>
            <w:pPr>
              <w:rPr>
                <w:rFonts w:ascii="Arial"/>
                <w:sz w:val="21"/>
              </w:rPr>
            </w:pPr>
            <w:r/>
          </w:p>
        </w:tc>
        <w:tc>
          <w:tcPr>
            <w:tcW w:w="2383"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96"/>
          <w:footerReference w:type="default" r:id="rId97"/>
          <w:pgSz w:w="16839" w:h="11906"/>
          <w:pgMar w:top="1792" w:right="1457" w:bottom="1671" w:left="1457" w:header="1428" w:footer="1277" w:gutter="0"/>
        </w:sectPr>
        <w:rPr>
          <w:rFonts w:ascii="Arial" w:hAnsi="Arial" w:eastAsia="Arial" w:cs="Arial"/>
          <w:sz w:val="21"/>
          <w:szCs w:val="21"/>
        </w:rPr>
      </w:pPr>
    </w:p>
    <w:p>
      <w:pPr>
        <w:spacing w:line="192" w:lineRule="exact"/>
        <w:rPr/>
      </w:pPr>
      <w:r>
        <w:drawing>
          <wp:anchor distT="0" distB="0" distL="0" distR="0" simplePos="0" relativeHeight="251695104"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198" name="IM 198"/>
            <wp:cNvGraphicFramePr/>
            <a:graphic>
              <a:graphicData uri="http://schemas.openxmlformats.org/drawingml/2006/picture">
                <pic:pic>
                  <pic:nvPicPr>
                    <pic:cNvPr id="198" name="IM 198"/>
                    <pic:cNvPicPr/>
                  </pic:nvPicPr>
                  <pic:blipFill>
                    <a:blip r:embed="rId101"/>
                    <a:stretch>
                      <a:fillRect/>
                    </a:stretch>
                  </pic:blipFill>
                  <pic:spPr>
                    <a:xfrm rot="0">
                      <a:off x="0" y="0"/>
                      <a:ext cx="8712200" cy="7620"/>
                    </a:xfrm>
                    <a:prstGeom prst="rect">
                      <a:avLst/>
                    </a:prstGeom>
                  </pic:spPr>
                </pic:pic>
              </a:graphicData>
            </a:graphic>
          </wp:anchor>
        </w:drawing>
      </w:r>
      <w:r/>
    </w:p>
    <w:tbl>
      <w:tblPr>
        <w:tblStyle w:val="TableNormal"/>
        <w:tblW w:w="13908"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57"/>
        <w:gridCol w:w="2035"/>
        <w:gridCol w:w="3633"/>
        <w:gridCol w:w="2383"/>
      </w:tblGrid>
      <w:tr>
        <w:trPr>
          <w:trHeight w:val="310" w:hRule="atLeast"/>
        </w:trPr>
        <w:tc>
          <w:tcPr>
            <w:tcW w:w="7892" w:type="dxa"/>
            <w:vAlign w:val="top"/>
            <w:gridSpan w:val="2"/>
            <w:tcBorders>
              <w:left w:val="single" w:color="000000" w:sz="6" w:space="0"/>
              <w:top w:val="single" w:color="000000" w:sz="6" w:space="0"/>
            </w:tcBorders>
          </w:tcPr>
          <w:p>
            <w:pPr>
              <w:pStyle w:val="TableText"/>
              <w:ind w:left="3151"/>
              <w:spacing w:before="80" w:line="213" w:lineRule="auto"/>
              <w:rPr>
                <w:sz w:val="19"/>
                <w:szCs w:val="19"/>
              </w:rPr>
            </w:pPr>
            <w:r>
              <w:rPr>
                <w:sz w:val="19"/>
                <w:szCs w:val="19"/>
                <w:b/>
                <w:bCs/>
                <w:spacing w:val="-1"/>
              </w:rPr>
              <w:t>收</w:t>
            </w:r>
            <w:r>
              <w:rPr>
                <w:sz w:val="19"/>
                <w:szCs w:val="19"/>
                <w:spacing w:val="5"/>
              </w:rPr>
              <w:t xml:space="preserve">             </w:t>
            </w:r>
            <w:r>
              <w:rPr>
                <w:sz w:val="19"/>
                <w:szCs w:val="19"/>
                <w:b/>
                <w:bCs/>
                <w:spacing w:val="-1"/>
              </w:rPr>
              <w:t>入</w:t>
            </w:r>
          </w:p>
        </w:tc>
        <w:tc>
          <w:tcPr>
            <w:tcW w:w="6016" w:type="dxa"/>
            <w:vAlign w:val="top"/>
            <w:gridSpan w:val="2"/>
            <w:tcBorders>
              <w:right w:val="single" w:color="000000" w:sz="6" w:space="0"/>
              <w:top w:val="single" w:color="000000" w:sz="6" w:space="0"/>
            </w:tcBorders>
          </w:tcPr>
          <w:p>
            <w:pPr>
              <w:pStyle w:val="TableText"/>
              <w:ind w:left="2108"/>
              <w:spacing w:before="78" w:line="215" w:lineRule="auto"/>
              <w:rPr>
                <w:sz w:val="19"/>
                <w:szCs w:val="19"/>
              </w:rPr>
            </w:pPr>
            <w:r>
              <w:rPr>
                <w:sz w:val="19"/>
                <w:szCs w:val="19"/>
                <w:b/>
                <w:bCs/>
                <w:spacing w:val="-1"/>
              </w:rPr>
              <w:t>支</w:t>
            </w:r>
            <w:r>
              <w:rPr>
                <w:sz w:val="19"/>
                <w:szCs w:val="19"/>
              </w:rPr>
              <w:t xml:space="preserve">                </w:t>
            </w:r>
            <w:r>
              <w:rPr>
                <w:sz w:val="19"/>
                <w:szCs w:val="19"/>
                <w:b/>
                <w:bCs/>
                <w:spacing w:val="-1"/>
              </w:rPr>
              <w:t>出</w:t>
            </w:r>
          </w:p>
        </w:tc>
      </w:tr>
      <w:tr>
        <w:trPr>
          <w:trHeight w:val="303" w:hRule="atLeast"/>
        </w:trPr>
        <w:tc>
          <w:tcPr>
            <w:tcW w:w="5857" w:type="dxa"/>
            <w:vAlign w:val="top"/>
            <w:tcBorders>
              <w:left w:val="single" w:color="000000" w:sz="6" w:space="0"/>
            </w:tcBorders>
          </w:tcPr>
          <w:p>
            <w:pPr>
              <w:pStyle w:val="TableText"/>
              <w:ind w:left="2775"/>
              <w:spacing w:before="71" w:line="215" w:lineRule="auto"/>
              <w:rPr>
                <w:sz w:val="19"/>
                <w:szCs w:val="19"/>
              </w:rPr>
            </w:pPr>
            <w:r>
              <w:rPr>
                <w:sz w:val="19"/>
                <w:szCs w:val="19"/>
                <w:b/>
                <w:bCs/>
                <w:spacing w:val="6"/>
              </w:rPr>
              <w:t>小计</w:t>
            </w:r>
          </w:p>
        </w:tc>
        <w:tc>
          <w:tcPr>
            <w:tcW w:w="2035" w:type="dxa"/>
            <w:vAlign w:val="top"/>
          </w:tcPr>
          <w:p>
            <w:pPr>
              <w:pStyle w:val="TableText"/>
              <w:ind w:left="1495"/>
              <w:spacing w:before="67" w:line="219" w:lineRule="auto"/>
              <w:rPr>
                <w:sz w:val="19"/>
                <w:szCs w:val="19"/>
              </w:rPr>
            </w:pPr>
            <w:r>
              <w:rPr>
                <w:sz w:val="19"/>
                <w:szCs w:val="19"/>
                <w:b/>
                <w:bCs/>
                <w:spacing w:val="-12"/>
              </w:rPr>
              <w:t>1,488</w:t>
            </w:r>
          </w:p>
        </w:tc>
        <w:tc>
          <w:tcPr>
            <w:tcW w:w="3633" w:type="dxa"/>
            <w:vAlign w:val="top"/>
          </w:tcPr>
          <w:p>
            <w:pPr>
              <w:pStyle w:val="TableText"/>
              <w:ind w:left="1668"/>
              <w:spacing w:before="71" w:line="215" w:lineRule="auto"/>
              <w:rPr>
                <w:sz w:val="19"/>
                <w:szCs w:val="19"/>
              </w:rPr>
            </w:pPr>
            <w:r>
              <w:rPr>
                <w:sz w:val="19"/>
                <w:szCs w:val="19"/>
                <w:b/>
                <w:bCs/>
                <w:spacing w:val="6"/>
              </w:rPr>
              <w:t>小计</w:t>
            </w:r>
          </w:p>
        </w:tc>
        <w:tc>
          <w:tcPr>
            <w:tcW w:w="2383" w:type="dxa"/>
            <w:vAlign w:val="top"/>
            <w:tcBorders>
              <w:right w:val="single" w:color="000000" w:sz="6" w:space="0"/>
            </w:tcBorders>
          </w:tcPr>
          <w:p>
            <w:pPr>
              <w:pStyle w:val="TableText"/>
              <w:ind w:left="1839"/>
              <w:spacing w:before="67" w:line="219" w:lineRule="auto"/>
              <w:rPr>
                <w:sz w:val="19"/>
                <w:szCs w:val="19"/>
              </w:rPr>
            </w:pPr>
            <w:r>
              <w:rPr>
                <w:sz w:val="19"/>
                <w:szCs w:val="19"/>
                <w:b/>
                <w:bCs/>
                <w:spacing w:val="-12"/>
              </w:rPr>
              <w:t>1,488</w:t>
            </w:r>
          </w:p>
        </w:tc>
      </w:tr>
      <w:tr>
        <w:trPr>
          <w:trHeight w:val="303" w:hRule="atLeast"/>
        </w:trPr>
        <w:tc>
          <w:tcPr>
            <w:tcW w:w="5857" w:type="dxa"/>
            <w:vAlign w:val="top"/>
            <w:tcBorders>
              <w:left w:val="single" w:color="000000" w:sz="6" w:space="0"/>
            </w:tcBorders>
          </w:tcPr>
          <w:p>
            <w:pPr>
              <w:pStyle w:val="TableText"/>
              <w:ind w:left="106"/>
              <w:spacing w:before="74" w:line="212" w:lineRule="auto"/>
              <w:rPr>
                <w:sz w:val="19"/>
                <w:szCs w:val="19"/>
              </w:rPr>
            </w:pPr>
            <w:r>
              <w:rPr>
                <w:sz w:val="19"/>
                <w:szCs w:val="19"/>
                <w:b/>
                <w:bCs/>
                <w:spacing w:val="7"/>
              </w:rPr>
              <w:t>转移性收入</w:t>
            </w:r>
          </w:p>
        </w:tc>
        <w:tc>
          <w:tcPr>
            <w:tcW w:w="2035" w:type="dxa"/>
            <w:vAlign w:val="top"/>
          </w:tcPr>
          <w:p>
            <w:pPr>
              <w:pStyle w:val="TableText"/>
              <w:ind w:left="1820"/>
              <w:spacing w:before="186" w:line="106" w:lineRule="exact"/>
              <w:rPr>
                <w:sz w:val="19"/>
                <w:szCs w:val="19"/>
              </w:rPr>
            </w:pPr>
            <w:r>
              <w:rPr>
                <w:sz w:val="19"/>
                <w:szCs w:val="19"/>
                <w:b/>
                <w:bCs/>
                <w:spacing w:val="3"/>
                <w:position w:val="-4"/>
              </w:rPr>
              <w:t>-</w:t>
            </w:r>
          </w:p>
        </w:tc>
        <w:tc>
          <w:tcPr>
            <w:tcW w:w="3633" w:type="dxa"/>
            <w:vAlign w:val="top"/>
          </w:tcPr>
          <w:p>
            <w:pPr>
              <w:pStyle w:val="TableText"/>
              <w:ind w:left="108"/>
              <w:spacing w:before="74" w:line="212" w:lineRule="auto"/>
              <w:rPr>
                <w:sz w:val="19"/>
                <w:szCs w:val="19"/>
              </w:rPr>
            </w:pPr>
            <w:r>
              <w:rPr>
                <w:sz w:val="19"/>
                <w:szCs w:val="19"/>
                <w:b/>
                <w:bCs/>
                <w:spacing w:val="7"/>
              </w:rPr>
              <w:t>转移性支出</w:t>
            </w:r>
          </w:p>
        </w:tc>
        <w:tc>
          <w:tcPr>
            <w:tcW w:w="2383" w:type="dxa"/>
            <w:vAlign w:val="top"/>
            <w:tcBorders>
              <w:right w:val="single" w:color="000000" w:sz="6" w:space="0"/>
            </w:tcBorders>
          </w:tcPr>
          <w:p>
            <w:pPr>
              <w:pStyle w:val="TableText"/>
              <w:ind w:left="2167"/>
              <w:spacing w:before="186" w:line="106" w:lineRule="exact"/>
              <w:rPr>
                <w:sz w:val="19"/>
                <w:szCs w:val="19"/>
              </w:rPr>
            </w:pPr>
            <w:r>
              <w:rPr>
                <w:sz w:val="19"/>
                <w:szCs w:val="19"/>
                <w:b/>
                <w:bCs/>
                <w:spacing w:val="3"/>
                <w:position w:val="-4"/>
              </w:rPr>
              <w:t>-</w:t>
            </w:r>
          </w:p>
        </w:tc>
      </w:tr>
      <w:tr>
        <w:trPr>
          <w:trHeight w:val="303" w:hRule="atLeast"/>
        </w:trPr>
        <w:tc>
          <w:tcPr>
            <w:tcW w:w="5857" w:type="dxa"/>
            <w:vAlign w:val="top"/>
            <w:tcBorders>
              <w:left w:val="single" w:color="000000" w:sz="6" w:space="0"/>
            </w:tcBorders>
          </w:tcPr>
          <w:p>
            <w:pPr>
              <w:pStyle w:val="TableText"/>
              <w:ind w:left="507"/>
              <w:spacing w:before="77" w:line="209" w:lineRule="auto"/>
              <w:rPr>
                <w:sz w:val="19"/>
                <w:szCs w:val="19"/>
              </w:rPr>
            </w:pPr>
            <w:r>
              <w:rPr>
                <w:sz w:val="19"/>
                <w:szCs w:val="19"/>
                <w:spacing w:val="9"/>
              </w:rPr>
              <w:t>上年结转收入</w:t>
            </w:r>
          </w:p>
        </w:tc>
        <w:tc>
          <w:tcPr>
            <w:tcW w:w="2035" w:type="dxa"/>
            <w:vAlign w:val="top"/>
          </w:tcPr>
          <w:p>
            <w:pPr>
              <w:rPr>
                <w:rFonts w:ascii="Arial"/>
                <w:sz w:val="21"/>
              </w:rPr>
            </w:pPr>
            <w:r/>
          </w:p>
        </w:tc>
        <w:tc>
          <w:tcPr>
            <w:tcW w:w="3633" w:type="dxa"/>
            <w:vAlign w:val="top"/>
          </w:tcPr>
          <w:p>
            <w:pPr>
              <w:pStyle w:val="TableText"/>
              <w:ind w:left="509"/>
              <w:spacing w:before="76" w:line="210" w:lineRule="auto"/>
              <w:rPr>
                <w:sz w:val="19"/>
                <w:szCs w:val="19"/>
              </w:rPr>
            </w:pPr>
            <w:r>
              <w:rPr>
                <w:sz w:val="19"/>
                <w:szCs w:val="19"/>
                <w:spacing w:val="8"/>
              </w:rPr>
              <w:t>调出资金</w:t>
            </w:r>
          </w:p>
        </w:tc>
        <w:tc>
          <w:tcPr>
            <w:tcW w:w="2383" w:type="dxa"/>
            <w:vAlign w:val="top"/>
            <w:tcBorders>
              <w:right w:val="single" w:color="000000" w:sz="6" w:space="0"/>
            </w:tcBorders>
          </w:tcPr>
          <w:p>
            <w:pPr>
              <w:rPr>
                <w:rFonts w:ascii="Arial"/>
                <w:sz w:val="21"/>
              </w:rPr>
            </w:pPr>
            <w:r/>
          </w:p>
        </w:tc>
      </w:tr>
      <w:tr>
        <w:trPr>
          <w:trHeight w:val="303" w:hRule="atLeast"/>
        </w:trPr>
        <w:tc>
          <w:tcPr>
            <w:tcW w:w="5857" w:type="dxa"/>
            <w:vAlign w:val="top"/>
            <w:tcBorders>
              <w:left w:val="single" w:color="000000" w:sz="6" w:space="0"/>
            </w:tcBorders>
          </w:tcPr>
          <w:p>
            <w:pPr>
              <w:pStyle w:val="TableText"/>
              <w:ind w:left="507"/>
              <w:spacing w:before="77" w:line="209" w:lineRule="auto"/>
              <w:rPr>
                <w:sz w:val="19"/>
                <w:szCs w:val="19"/>
              </w:rPr>
            </w:pPr>
            <w:r>
              <w:rPr>
                <w:sz w:val="19"/>
                <w:szCs w:val="19"/>
                <w:spacing w:val="8"/>
              </w:rPr>
              <w:t>调入资金</w:t>
            </w:r>
          </w:p>
        </w:tc>
        <w:tc>
          <w:tcPr>
            <w:tcW w:w="2035" w:type="dxa"/>
            <w:vAlign w:val="top"/>
          </w:tcPr>
          <w:p>
            <w:pPr>
              <w:rPr>
                <w:rFonts w:ascii="Arial"/>
                <w:sz w:val="21"/>
              </w:rPr>
            </w:pPr>
            <w:r/>
          </w:p>
        </w:tc>
        <w:tc>
          <w:tcPr>
            <w:tcW w:w="3633" w:type="dxa"/>
            <w:vAlign w:val="top"/>
          </w:tcPr>
          <w:p>
            <w:pPr>
              <w:pStyle w:val="TableText"/>
              <w:ind w:left="510"/>
              <w:spacing w:before="75" w:line="211" w:lineRule="auto"/>
              <w:rPr>
                <w:sz w:val="19"/>
                <w:szCs w:val="19"/>
              </w:rPr>
            </w:pPr>
            <w:r>
              <w:rPr>
                <w:sz w:val="19"/>
                <w:szCs w:val="19"/>
                <w:spacing w:val="8"/>
              </w:rPr>
              <w:t>年终结余</w:t>
            </w:r>
          </w:p>
        </w:tc>
        <w:tc>
          <w:tcPr>
            <w:tcW w:w="2383" w:type="dxa"/>
            <w:vAlign w:val="top"/>
            <w:tcBorders>
              <w:right w:val="single" w:color="000000" w:sz="6" w:space="0"/>
            </w:tcBorders>
          </w:tcPr>
          <w:p>
            <w:pPr>
              <w:rPr>
                <w:rFonts w:ascii="Arial"/>
                <w:sz w:val="21"/>
              </w:rPr>
            </w:pPr>
            <w:r/>
          </w:p>
        </w:tc>
      </w:tr>
      <w:tr>
        <w:trPr>
          <w:trHeight w:val="303" w:hRule="atLeast"/>
        </w:trPr>
        <w:tc>
          <w:tcPr>
            <w:tcW w:w="5857" w:type="dxa"/>
            <w:vAlign w:val="top"/>
            <w:tcBorders>
              <w:left w:val="single" w:color="000000" w:sz="6" w:space="0"/>
            </w:tcBorders>
          </w:tcPr>
          <w:p>
            <w:pPr>
              <w:rPr>
                <w:rFonts w:ascii="Arial"/>
                <w:sz w:val="21"/>
              </w:rPr>
            </w:pPr>
            <w:r/>
          </w:p>
        </w:tc>
        <w:tc>
          <w:tcPr>
            <w:tcW w:w="2035" w:type="dxa"/>
            <w:vAlign w:val="top"/>
          </w:tcPr>
          <w:p>
            <w:pPr>
              <w:rPr>
                <w:rFonts w:ascii="Arial"/>
                <w:sz w:val="21"/>
              </w:rPr>
            </w:pPr>
            <w:r/>
          </w:p>
        </w:tc>
        <w:tc>
          <w:tcPr>
            <w:tcW w:w="3633" w:type="dxa"/>
            <w:vAlign w:val="top"/>
          </w:tcPr>
          <w:p>
            <w:pPr>
              <w:rPr>
                <w:rFonts w:ascii="Arial"/>
                <w:sz w:val="21"/>
              </w:rPr>
            </w:pPr>
            <w:r/>
          </w:p>
        </w:tc>
        <w:tc>
          <w:tcPr>
            <w:tcW w:w="2383" w:type="dxa"/>
            <w:vAlign w:val="top"/>
            <w:tcBorders>
              <w:right w:val="single" w:color="000000" w:sz="6" w:space="0"/>
            </w:tcBorders>
          </w:tcPr>
          <w:p>
            <w:pPr>
              <w:rPr>
                <w:rFonts w:ascii="Arial"/>
                <w:sz w:val="21"/>
              </w:rPr>
            </w:pPr>
            <w:r/>
          </w:p>
        </w:tc>
      </w:tr>
      <w:tr>
        <w:trPr>
          <w:trHeight w:val="314" w:hRule="atLeast"/>
        </w:trPr>
        <w:tc>
          <w:tcPr>
            <w:tcW w:w="5857" w:type="dxa"/>
            <w:vAlign w:val="top"/>
            <w:tcBorders>
              <w:left w:val="single" w:color="000000" w:sz="6" w:space="0"/>
              <w:bottom w:val="single" w:color="000000" w:sz="6" w:space="0"/>
            </w:tcBorders>
          </w:tcPr>
          <w:p>
            <w:pPr>
              <w:pStyle w:val="TableText"/>
              <w:ind w:left="2773"/>
              <w:spacing w:before="80" w:line="217" w:lineRule="auto"/>
              <w:rPr>
                <w:sz w:val="19"/>
                <w:szCs w:val="19"/>
              </w:rPr>
            </w:pPr>
            <w:r>
              <w:rPr>
                <w:sz w:val="19"/>
                <w:szCs w:val="19"/>
                <w:b/>
                <w:bCs/>
                <w:spacing w:val="6"/>
              </w:rPr>
              <w:t>合计</w:t>
            </w:r>
          </w:p>
        </w:tc>
        <w:tc>
          <w:tcPr>
            <w:tcW w:w="2035" w:type="dxa"/>
            <w:vAlign w:val="top"/>
            <w:tcBorders>
              <w:bottom w:val="single" w:color="000000" w:sz="6" w:space="0"/>
            </w:tcBorders>
          </w:tcPr>
          <w:p>
            <w:pPr>
              <w:pStyle w:val="TableText"/>
              <w:ind w:left="1495"/>
              <w:spacing w:before="76" w:line="221" w:lineRule="auto"/>
              <w:rPr>
                <w:sz w:val="19"/>
                <w:szCs w:val="19"/>
              </w:rPr>
            </w:pPr>
            <w:r>
              <w:rPr>
                <w:sz w:val="19"/>
                <w:szCs w:val="19"/>
                <w:b/>
                <w:bCs/>
                <w:spacing w:val="-12"/>
              </w:rPr>
              <w:t>1,488</w:t>
            </w:r>
          </w:p>
        </w:tc>
        <w:tc>
          <w:tcPr>
            <w:tcW w:w="3633" w:type="dxa"/>
            <w:vAlign w:val="top"/>
            <w:tcBorders>
              <w:bottom w:val="single" w:color="000000" w:sz="6" w:space="0"/>
            </w:tcBorders>
          </w:tcPr>
          <w:p>
            <w:pPr>
              <w:pStyle w:val="TableText"/>
              <w:ind w:left="1666"/>
              <w:spacing w:before="80" w:line="217" w:lineRule="auto"/>
              <w:rPr>
                <w:sz w:val="19"/>
                <w:szCs w:val="19"/>
              </w:rPr>
            </w:pPr>
            <w:r>
              <w:rPr>
                <w:sz w:val="19"/>
                <w:szCs w:val="19"/>
                <w:b/>
                <w:bCs/>
                <w:spacing w:val="6"/>
              </w:rPr>
              <w:t>合计</w:t>
            </w:r>
          </w:p>
        </w:tc>
        <w:tc>
          <w:tcPr>
            <w:tcW w:w="2383" w:type="dxa"/>
            <w:vAlign w:val="top"/>
            <w:tcBorders>
              <w:bottom w:val="single" w:color="000000" w:sz="6" w:space="0"/>
              <w:right w:val="single" w:color="000000" w:sz="6" w:space="0"/>
            </w:tcBorders>
          </w:tcPr>
          <w:p>
            <w:pPr>
              <w:pStyle w:val="TableText"/>
              <w:ind w:left="1839"/>
              <w:spacing w:before="76" w:line="221" w:lineRule="auto"/>
              <w:rPr>
                <w:sz w:val="19"/>
                <w:szCs w:val="19"/>
              </w:rPr>
            </w:pPr>
            <w:r>
              <w:rPr>
                <w:sz w:val="19"/>
                <w:szCs w:val="19"/>
                <w:b/>
                <w:bCs/>
                <w:spacing w:val="-12"/>
              </w:rPr>
              <w:t>1,488</w:t>
            </w:r>
          </w:p>
        </w:tc>
      </w:tr>
    </w:tbl>
    <w:p>
      <w:pPr>
        <w:spacing w:line="281" w:lineRule="auto"/>
        <w:rPr>
          <w:rFonts w:ascii="Arial"/>
          <w:sz w:val="21"/>
        </w:rPr>
      </w:pPr>
      <w:r/>
    </w:p>
    <w:p>
      <w:pPr>
        <w:ind w:left="138"/>
        <w:spacing w:before="86"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表九</w:t>
      </w:r>
    </w:p>
    <w:p>
      <w:pPr>
        <w:pStyle w:val="BodyText"/>
        <w:ind w:left="2394"/>
        <w:spacing w:before="47" w:line="496" w:lineRule="exact"/>
        <w:rPr>
          <w:sz w:val="35"/>
          <w:szCs w:val="35"/>
        </w:rPr>
      </w:pPr>
      <w:r>
        <w:rPr>
          <w:sz w:val="35"/>
          <w:szCs w:val="35"/>
          <w:b/>
          <w:bCs/>
          <w:spacing w:val="4"/>
          <w:position w:val="2"/>
        </w:rPr>
        <w:t>固原市级</w:t>
      </w:r>
      <w:r>
        <w:rPr>
          <w:sz w:val="35"/>
          <w:szCs w:val="35"/>
          <w:spacing w:val="-60"/>
          <w:position w:val="2"/>
        </w:rPr>
        <w:t xml:space="preserve"> </w:t>
      </w:r>
      <w:r>
        <w:rPr>
          <w:sz w:val="35"/>
          <w:szCs w:val="35"/>
          <w:b/>
          <w:bCs/>
          <w:spacing w:val="4"/>
          <w:position w:val="2"/>
        </w:rPr>
        <w:t>2021</w:t>
      </w:r>
      <w:r>
        <w:rPr>
          <w:sz w:val="35"/>
          <w:szCs w:val="35"/>
          <w:spacing w:val="-78"/>
          <w:position w:val="2"/>
        </w:rPr>
        <w:t xml:space="preserve"> </w:t>
      </w:r>
      <w:r>
        <w:rPr>
          <w:sz w:val="35"/>
          <w:szCs w:val="35"/>
          <w:b/>
          <w:bCs/>
          <w:spacing w:val="4"/>
          <w:position w:val="2"/>
        </w:rPr>
        <w:t>年对下一般公共预算转移支付表（分地区）</w:t>
      </w:r>
    </w:p>
    <w:p>
      <w:pPr>
        <w:pStyle w:val="BodyText"/>
        <w:ind w:left="12746"/>
        <w:spacing w:before="69" w:line="241" w:lineRule="auto"/>
        <w:rPr/>
      </w:pPr>
      <w:r>
        <w:rPr>
          <w:spacing w:val="9"/>
        </w:rPr>
        <w:t>单位：万元</w:t>
      </w:r>
    </w:p>
    <w:tbl>
      <w:tblPr>
        <w:tblStyle w:val="TableNormal"/>
        <w:tblW w:w="13896" w:type="dxa"/>
        <w:tblInd w:w="1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69"/>
        <w:gridCol w:w="625"/>
        <w:gridCol w:w="755"/>
        <w:gridCol w:w="588"/>
        <w:gridCol w:w="685"/>
        <w:gridCol w:w="839"/>
        <w:gridCol w:w="616"/>
        <w:gridCol w:w="699"/>
        <w:gridCol w:w="698"/>
        <w:gridCol w:w="741"/>
        <w:gridCol w:w="755"/>
        <w:gridCol w:w="657"/>
        <w:gridCol w:w="727"/>
        <w:gridCol w:w="699"/>
        <w:gridCol w:w="727"/>
        <w:gridCol w:w="657"/>
        <w:gridCol w:w="978"/>
        <w:gridCol w:w="741"/>
        <w:gridCol w:w="740"/>
      </w:tblGrid>
      <w:tr>
        <w:trPr>
          <w:trHeight w:val="640" w:hRule="atLeast"/>
        </w:trPr>
        <w:tc>
          <w:tcPr>
            <w:tcW w:w="969" w:type="dxa"/>
            <w:vAlign w:val="top"/>
            <w:vMerge w:val="restart"/>
            <w:tcBorders>
              <w:left w:val="single" w:color="000000" w:sz="6" w:space="0"/>
              <w:top w:val="single" w:color="000000" w:sz="6" w:space="0"/>
              <w:bottom w:val="nil"/>
            </w:tcBorders>
          </w:tcPr>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179"/>
              <w:spacing w:before="62" w:line="210" w:lineRule="auto"/>
              <w:rPr>
                <w:sz w:val="19"/>
                <w:szCs w:val="19"/>
              </w:rPr>
            </w:pPr>
            <w:r>
              <w:rPr>
                <w:sz w:val="19"/>
                <w:szCs w:val="19"/>
                <w:b/>
                <w:bCs/>
              </w:rPr>
              <w:t>地</w:t>
            </w:r>
            <w:r>
              <w:rPr>
                <w:sz w:val="19"/>
                <w:szCs w:val="19"/>
                <w:spacing w:val="15"/>
              </w:rPr>
              <w:t xml:space="preserve">  </w:t>
            </w:r>
            <w:r>
              <w:rPr>
                <w:sz w:val="19"/>
                <w:szCs w:val="19"/>
                <w:b/>
                <w:bCs/>
              </w:rPr>
              <w:t>区</w:t>
            </w:r>
          </w:p>
        </w:tc>
        <w:tc>
          <w:tcPr>
            <w:tcW w:w="625" w:type="dxa"/>
            <w:vAlign w:val="top"/>
            <w:vMerge w:val="restart"/>
            <w:tcBorders>
              <w:top w:val="single" w:color="000000" w:sz="6" w:space="0"/>
              <w:bottom w:val="nil"/>
            </w:tcBorders>
          </w:tcPr>
          <w:p>
            <w:pPr>
              <w:spacing w:line="263" w:lineRule="auto"/>
              <w:rPr>
                <w:rFonts w:ascii="Arial"/>
                <w:sz w:val="21"/>
              </w:rPr>
            </w:pPr>
            <w:r/>
          </w:p>
          <w:p>
            <w:pPr>
              <w:spacing w:line="264" w:lineRule="auto"/>
              <w:rPr>
                <w:rFonts w:ascii="Arial"/>
                <w:sz w:val="21"/>
              </w:rPr>
            </w:pPr>
            <w:r/>
          </w:p>
          <w:p>
            <w:pPr>
              <w:pStyle w:val="TableText"/>
              <w:ind w:left="103" w:right="115"/>
              <w:spacing w:before="62" w:line="232" w:lineRule="auto"/>
              <w:rPr>
                <w:sz w:val="19"/>
                <w:szCs w:val="19"/>
              </w:rPr>
            </w:pPr>
            <w:r>
              <w:rPr>
                <w:sz w:val="19"/>
                <w:szCs w:val="19"/>
                <w:b/>
                <w:bCs/>
                <w:spacing w:val="6"/>
              </w:rPr>
              <w:t>转移</w:t>
            </w:r>
            <w:r>
              <w:rPr>
                <w:sz w:val="19"/>
                <w:szCs w:val="19"/>
                <w:b/>
                <w:bCs/>
                <w:spacing w:val="5"/>
              </w:rPr>
              <w:t>支付</w:t>
            </w:r>
          </w:p>
          <w:p>
            <w:pPr>
              <w:pStyle w:val="TableText"/>
              <w:ind w:left="102"/>
              <w:spacing w:line="222" w:lineRule="auto"/>
              <w:rPr>
                <w:sz w:val="19"/>
                <w:szCs w:val="19"/>
              </w:rPr>
            </w:pPr>
            <w:r>
              <w:rPr>
                <w:sz w:val="19"/>
                <w:szCs w:val="19"/>
                <w:b/>
                <w:bCs/>
                <w:spacing w:val="6"/>
              </w:rPr>
              <w:t>合计</w:t>
            </w:r>
          </w:p>
        </w:tc>
        <w:tc>
          <w:tcPr>
            <w:tcW w:w="12302" w:type="dxa"/>
            <w:vAlign w:val="top"/>
            <w:gridSpan w:val="17"/>
            <w:tcBorders>
              <w:right w:val="single" w:color="000000" w:sz="6" w:space="0"/>
              <w:top w:val="single" w:color="000000" w:sz="6" w:space="0"/>
            </w:tcBorders>
          </w:tcPr>
          <w:p>
            <w:pPr>
              <w:pStyle w:val="TableText"/>
              <w:ind w:left="3745"/>
              <w:spacing w:before="220" w:line="225" w:lineRule="auto"/>
              <w:rPr>
                <w:sz w:val="19"/>
                <w:szCs w:val="19"/>
              </w:rPr>
            </w:pPr>
            <w:r>
              <w:rPr>
                <w:sz w:val="19"/>
                <w:szCs w:val="19"/>
                <w:b/>
                <w:bCs/>
                <w:spacing w:val="2"/>
              </w:rPr>
              <w:t>一</w:t>
            </w:r>
            <w:r>
              <w:rPr>
                <w:sz w:val="19"/>
                <w:szCs w:val="19"/>
                <w:spacing w:val="7"/>
              </w:rPr>
              <w:t xml:space="preserve">    </w:t>
            </w:r>
            <w:r>
              <w:rPr>
                <w:sz w:val="19"/>
                <w:szCs w:val="19"/>
                <w:b/>
                <w:bCs/>
                <w:spacing w:val="2"/>
              </w:rPr>
              <w:t>般</w:t>
            </w:r>
            <w:r>
              <w:rPr>
                <w:sz w:val="19"/>
                <w:szCs w:val="19"/>
                <w:spacing w:val="7"/>
              </w:rPr>
              <w:t xml:space="preserve">     </w:t>
            </w:r>
            <w:r>
              <w:rPr>
                <w:sz w:val="19"/>
                <w:szCs w:val="19"/>
                <w:b/>
                <w:bCs/>
                <w:spacing w:val="2"/>
              </w:rPr>
              <w:t>性</w:t>
            </w:r>
            <w:r>
              <w:rPr>
                <w:sz w:val="19"/>
                <w:szCs w:val="19"/>
                <w:spacing w:val="6"/>
              </w:rPr>
              <w:t xml:space="preserve">      </w:t>
            </w:r>
            <w:r>
              <w:rPr>
                <w:sz w:val="19"/>
                <w:szCs w:val="19"/>
                <w:b/>
                <w:bCs/>
                <w:spacing w:val="2"/>
              </w:rPr>
              <w:t>转</w:t>
            </w:r>
            <w:r>
              <w:rPr>
                <w:sz w:val="19"/>
                <w:szCs w:val="19"/>
                <w:spacing w:val="6"/>
              </w:rPr>
              <w:t xml:space="preserve">      </w:t>
            </w:r>
            <w:r>
              <w:rPr>
                <w:sz w:val="19"/>
                <w:szCs w:val="19"/>
                <w:b/>
                <w:bCs/>
                <w:spacing w:val="2"/>
              </w:rPr>
              <w:t>移</w:t>
            </w:r>
            <w:r>
              <w:rPr>
                <w:sz w:val="19"/>
                <w:szCs w:val="19"/>
                <w:spacing w:val="7"/>
              </w:rPr>
              <w:t xml:space="preserve">      </w:t>
            </w:r>
            <w:r>
              <w:rPr>
                <w:sz w:val="19"/>
                <w:szCs w:val="19"/>
                <w:b/>
                <w:bCs/>
                <w:spacing w:val="2"/>
              </w:rPr>
              <w:t>支</w:t>
            </w:r>
            <w:r>
              <w:rPr>
                <w:sz w:val="19"/>
                <w:szCs w:val="19"/>
                <w:spacing w:val="6"/>
              </w:rPr>
              <w:t xml:space="preserve">       </w:t>
            </w:r>
            <w:r>
              <w:rPr>
                <w:sz w:val="19"/>
                <w:szCs w:val="19"/>
                <w:b/>
                <w:bCs/>
                <w:spacing w:val="2"/>
              </w:rPr>
              <w:t>付</w:t>
            </w:r>
          </w:p>
        </w:tc>
      </w:tr>
      <w:tr>
        <w:trPr>
          <w:trHeight w:val="1201" w:hRule="atLeast"/>
        </w:trPr>
        <w:tc>
          <w:tcPr>
            <w:tcW w:w="969" w:type="dxa"/>
            <w:vAlign w:val="top"/>
            <w:vMerge w:val="continue"/>
            <w:tcBorders>
              <w:left w:val="single" w:color="000000" w:sz="6" w:space="0"/>
              <w:top w:val="nil"/>
            </w:tcBorders>
          </w:tcPr>
          <w:p>
            <w:pPr>
              <w:rPr>
                <w:rFonts w:ascii="Arial"/>
                <w:sz w:val="21"/>
              </w:rPr>
            </w:pPr>
            <w:r/>
          </w:p>
        </w:tc>
        <w:tc>
          <w:tcPr>
            <w:tcW w:w="625" w:type="dxa"/>
            <w:vAlign w:val="top"/>
            <w:vMerge w:val="continue"/>
            <w:tcBorders>
              <w:top w:val="nil"/>
            </w:tcBorders>
          </w:tcPr>
          <w:p>
            <w:pPr>
              <w:rPr>
                <w:rFonts w:ascii="Arial"/>
                <w:sz w:val="21"/>
              </w:rPr>
            </w:pPr>
            <w:r/>
          </w:p>
        </w:tc>
        <w:tc>
          <w:tcPr>
            <w:tcW w:w="755" w:type="dxa"/>
            <w:vAlign w:val="top"/>
          </w:tcPr>
          <w:p>
            <w:pPr>
              <w:pStyle w:val="TableText"/>
              <w:ind w:left="71" w:right="78"/>
              <w:spacing w:before="264" w:line="232" w:lineRule="auto"/>
              <w:rPr>
                <w:sz w:val="19"/>
                <w:szCs w:val="19"/>
              </w:rPr>
            </w:pPr>
            <w:r>
              <w:rPr>
                <w:sz w:val="19"/>
                <w:szCs w:val="19"/>
                <w:b/>
                <w:bCs/>
                <w:spacing w:val="6"/>
              </w:rPr>
              <w:t>一般性</w:t>
            </w:r>
            <w:r>
              <w:rPr>
                <w:sz w:val="19"/>
                <w:szCs w:val="19"/>
                <w:b/>
                <w:bCs/>
                <w:spacing w:val="6"/>
              </w:rPr>
              <w:t>转移支</w:t>
            </w:r>
          </w:p>
          <w:p>
            <w:pPr>
              <w:pStyle w:val="TableText"/>
              <w:ind w:left="70"/>
              <w:spacing w:line="224" w:lineRule="auto"/>
              <w:rPr>
                <w:sz w:val="19"/>
                <w:szCs w:val="19"/>
              </w:rPr>
            </w:pPr>
            <w:r>
              <w:rPr>
                <w:sz w:val="19"/>
                <w:szCs w:val="19"/>
                <w:b/>
                <w:bCs/>
                <w:spacing w:val="6"/>
              </w:rPr>
              <w:t>付小计</w:t>
            </w:r>
          </w:p>
        </w:tc>
        <w:tc>
          <w:tcPr>
            <w:tcW w:w="588" w:type="dxa"/>
            <w:vAlign w:val="top"/>
          </w:tcPr>
          <w:p>
            <w:pPr>
              <w:pStyle w:val="TableText"/>
              <w:ind w:left="87" w:right="95" w:hanging="1"/>
              <w:spacing w:before="262" w:line="236" w:lineRule="auto"/>
              <w:rPr>
                <w:sz w:val="19"/>
                <w:szCs w:val="19"/>
              </w:rPr>
            </w:pPr>
            <w:r>
              <w:rPr>
                <w:sz w:val="19"/>
                <w:szCs w:val="19"/>
                <w:b/>
                <w:bCs/>
                <w:spacing w:val="6"/>
              </w:rPr>
              <w:t>体制</w:t>
            </w:r>
            <w:r>
              <w:rPr>
                <w:sz w:val="19"/>
                <w:szCs w:val="19"/>
                <w:b/>
                <w:bCs/>
                <w:spacing w:val="5"/>
              </w:rPr>
              <w:t>补助</w:t>
            </w:r>
          </w:p>
          <w:p>
            <w:pPr>
              <w:pStyle w:val="TableText"/>
              <w:ind w:left="93"/>
              <w:spacing w:line="213" w:lineRule="auto"/>
              <w:rPr>
                <w:sz w:val="19"/>
                <w:szCs w:val="19"/>
              </w:rPr>
            </w:pPr>
            <w:r>
              <w:rPr>
                <w:sz w:val="19"/>
                <w:szCs w:val="19"/>
                <w:b/>
                <w:bCs/>
                <w:spacing w:val="2"/>
              </w:rPr>
              <w:t>收入</w:t>
            </w:r>
          </w:p>
        </w:tc>
        <w:tc>
          <w:tcPr>
            <w:tcW w:w="685" w:type="dxa"/>
            <w:vAlign w:val="top"/>
          </w:tcPr>
          <w:p>
            <w:pPr>
              <w:pStyle w:val="TableText"/>
              <w:ind w:left="36" w:right="43" w:firstLine="1"/>
              <w:spacing w:before="264" w:line="232" w:lineRule="auto"/>
              <w:rPr>
                <w:sz w:val="19"/>
                <w:szCs w:val="19"/>
              </w:rPr>
            </w:pPr>
            <w:r>
              <w:rPr>
                <w:sz w:val="19"/>
                <w:szCs w:val="19"/>
                <w:b/>
                <w:bCs/>
                <w:spacing w:val="5"/>
              </w:rPr>
              <w:t>均衡性</w:t>
            </w:r>
            <w:r>
              <w:rPr>
                <w:sz w:val="19"/>
                <w:szCs w:val="19"/>
                <w:b/>
                <w:bCs/>
                <w:spacing w:val="6"/>
              </w:rPr>
              <w:t>转移支</w:t>
            </w:r>
          </w:p>
          <w:p>
            <w:pPr>
              <w:pStyle w:val="TableText"/>
              <w:ind w:left="35"/>
              <w:spacing w:line="224" w:lineRule="auto"/>
              <w:rPr>
                <w:sz w:val="19"/>
                <w:szCs w:val="19"/>
              </w:rPr>
            </w:pPr>
            <w:r>
              <w:rPr>
                <w:sz w:val="19"/>
                <w:szCs w:val="19"/>
                <w:b/>
                <w:bCs/>
                <w:spacing w:val="6"/>
              </w:rPr>
              <w:t>付收入</w:t>
            </w:r>
          </w:p>
        </w:tc>
        <w:tc>
          <w:tcPr>
            <w:tcW w:w="839" w:type="dxa"/>
            <w:vAlign w:val="top"/>
          </w:tcPr>
          <w:p>
            <w:pPr>
              <w:pStyle w:val="TableText"/>
              <w:ind w:left="14"/>
              <w:spacing w:before="145" w:line="217" w:lineRule="auto"/>
              <w:rPr>
                <w:sz w:val="19"/>
                <w:szCs w:val="19"/>
              </w:rPr>
            </w:pPr>
            <w:r>
              <w:rPr>
                <w:sz w:val="19"/>
                <w:szCs w:val="19"/>
                <w:b/>
                <w:bCs/>
                <w:spacing w:val="7"/>
              </w:rPr>
              <w:t>县级基本</w:t>
            </w:r>
          </w:p>
          <w:p>
            <w:pPr>
              <w:pStyle w:val="TableText"/>
              <w:ind w:left="14"/>
              <w:spacing w:before="14" w:line="222" w:lineRule="auto"/>
              <w:rPr>
                <w:sz w:val="19"/>
                <w:szCs w:val="19"/>
              </w:rPr>
            </w:pPr>
            <w:r>
              <w:rPr>
                <w:sz w:val="19"/>
                <w:szCs w:val="19"/>
                <w:b/>
                <w:bCs/>
                <w:spacing w:val="7"/>
              </w:rPr>
              <w:t>财力保障</w:t>
            </w:r>
          </w:p>
          <w:p>
            <w:pPr>
              <w:pStyle w:val="TableText"/>
              <w:ind w:left="14"/>
              <w:spacing w:before="14" w:line="217" w:lineRule="auto"/>
              <w:rPr>
                <w:sz w:val="19"/>
                <w:szCs w:val="19"/>
              </w:rPr>
            </w:pPr>
            <w:r>
              <w:rPr>
                <w:sz w:val="19"/>
                <w:szCs w:val="19"/>
                <w:b/>
                <w:bCs/>
                <w:spacing w:val="7"/>
              </w:rPr>
              <w:t>机制奖补</w:t>
            </w:r>
          </w:p>
          <w:p>
            <w:pPr>
              <w:pStyle w:val="TableText"/>
              <w:ind w:left="17"/>
              <w:spacing w:before="14" w:line="221" w:lineRule="auto"/>
              <w:rPr>
                <w:sz w:val="19"/>
                <w:szCs w:val="19"/>
              </w:rPr>
            </w:pPr>
            <w:r>
              <w:rPr>
                <w:sz w:val="19"/>
                <w:szCs w:val="19"/>
                <w:b/>
                <w:bCs/>
                <w:spacing w:val="6"/>
              </w:rPr>
              <w:t>资金收入</w:t>
            </w:r>
          </w:p>
        </w:tc>
        <w:tc>
          <w:tcPr>
            <w:tcW w:w="616" w:type="dxa"/>
            <w:vAlign w:val="top"/>
          </w:tcPr>
          <w:p>
            <w:pPr>
              <w:pStyle w:val="TableText"/>
              <w:ind w:left="104" w:right="106" w:hanging="1"/>
              <w:spacing w:before="264" w:line="235" w:lineRule="auto"/>
              <w:rPr>
                <w:sz w:val="19"/>
                <w:szCs w:val="19"/>
              </w:rPr>
            </w:pPr>
            <w:r>
              <w:rPr>
                <w:sz w:val="19"/>
                <w:szCs w:val="19"/>
                <w:b/>
                <w:bCs/>
                <w:spacing w:val="6"/>
              </w:rPr>
              <w:t>结算</w:t>
            </w:r>
            <w:r>
              <w:rPr>
                <w:sz w:val="19"/>
                <w:szCs w:val="19"/>
                <w:b/>
                <w:bCs/>
                <w:spacing w:val="5"/>
              </w:rPr>
              <w:t>补助</w:t>
            </w:r>
          </w:p>
          <w:p>
            <w:pPr>
              <w:pStyle w:val="TableText"/>
              <w:ind w:left="110"/>
              <w:spacing w:line="213" w:lineRule="auto"/>
              <w:rPr>
                <w:sz w:val="19"/>
                <w:szCs w:val="19"/>
              </w:rPr>
            </w:pPr>
            <w:r>
              <w:rPr>
                <w:sz w:val="19"/>
                <w:szCs w:val="19"/>
                <w:b/>
                <w:bCs/>
                <w:spacing w:val="2"/>
              </w:rPr>
              <w:t>收入</w:t>
            </w:r>
          </w:p>
        </w:tc>
        <w:tc>
          <w:tcPr>
            <w:tcW w:w="699" w:type="dxa"/>
            <w:vAlign w:val="top"/>
          </w:tcPr>
          <w:p>
            <w:pPr>
              <w:pStyle w:val="TableText"/>
              <w:ind w:left="48"/>
              <w:spacing w:before="24" w:line="221" w:lineRule="auto"/>
              <w:rPr>
                <w:sz w:val="19"/>
                <w:szCs w:val="19"/>
              </w:rPr>
            </w:pPr>
            <w:r>
              <w:rPr>
                <w:sz w:val="19"/>
                <w:szCs w:val="19"/>
                <w:b/>
                <w:bCs/>
                <w:spacing w:val="5"/>
              </w:rPr>
              <w:t>资源枯</w:t>
            </w:r>
          </w:p>
          <w:p>
            <w:pPr>
              <w:pStyle w:val="TableText"/>
              <w:ind w:left="44"/>
              <w:spacing w:before="15" w:line="216" w:lineRule="auto"/>
              <w:rPr>
                <w:sz w:val="19"/>
                <w:szCs w:val="19"/>
              </w:rPr>
            </w:pPr>
            <w:r>
              <w:rPr>
                <w:sz w:val="19"/>
                <w:szCs w:val="19"/>
                <w:b/>
                <w:bCs/>
                <w:spacing w:val="6"/>
              </w:rPr>
              <w:t>竭型城</w:t>
            </w:r>
          </w:p>
          <w:p>
            <w:pPr>
              <w:pStyle w:val="TableText"/>
              <w:ind w:left="45"/>
              <w:spacing w:before="16" w:line="218" w:lineRule="auto"/>
              <w:rPr>
                <w:sz w:val="19"/>
                <w:szCs w:val="19"/>
              </w:rPr>
            </w:pPr>
            <w:r>
              <w:rPr>
                <w:sz w:val="19"/>
                <w:szCs w:val="19"/>
                <w:b/>
                <w:bCs/>
                <w:spacing w:val="6"/>
              </w:rPr>
              <w:t>市转移</w:t>
            </w:r>
          </w:p>
          <w:p>
            <w:pPr>
              <w:pStyle w:val="TableText"/>
              <w:ind w:left="45"/>
              <w:spacing w:before="11" w:line="225" w:lineRule="auto"/>
              <w:rPr>
                <w:sz w:val="19"/>
                <w:szCs w:val="19"/>
              </w:rPr>
            </w:pPr>
            <w:r>
              <w:rPr>
                <w:sz w:val="19"/>
                <w:szCs w:val="19"/>
                <w:b/>
                <w:bCs/>
                <w:spacing w:val="6"/>
              </w:rPr>
              <w:t>支付补</w:t>
            </w:r>
          </w:p>
          <w:p>
            <w:pPr>
              <w:pStyle w:val="TableText"/>
              <w:ind w:left="46"/>
              <w:spacing w:before="14" w:line="197" w:lineRule="auto"/>
              <w:rPr>
                <w:sz w:val="19"/>
                <w:szCs w:val="19"/>
              </w:rPr>
            </w:pPr>
            <w:r>
              <w:rPr>
                <w:sz w:val="19"/>
                <w:szCs w:val="19"/>
                <w:b/>
                <w:bCs/>
                <w:spacing w:val="5"/>
              </w:rPr>
              <w:t>助收入</w:t>
            </w:r>
          </w:p>
        </w:tc>
        <w:tc>
          <w:tcPr>
            <w:tcW w:w="698" w:type="dxa"/>
            <w:vAlign w:val="top"/>
          </w:tcPr>
          <w:p>
            <w:pPr>
              <w:pStyle w:val="TableText"/>
              <w:ind w:left="45"/>
              <w:spacing w:before="144" w:line="220" w:lineRule="auto"/>
              <w:rPr>
                <w:sz w:val="19"/>
                <w:szCs w:val="19"/>
              </w:rPr>
            </w:pPr>
            <w:r>
              <w:rPr>
                <w:sz w:val="19"/>
                <w:szCs w:val="19"/>
                <w:b/>
                <w:bCs/>
                <w:spacing w:val="6"/>
              </w:rPr>
              <w:t>企业事</w:t>
            </w:r>
          </w:p>
          <w:p>
            <w:pPr>
              <w:pStyle w:val="TableText"/>
              <w:ind w:left="44"/>
              <w:spacing w:before="13" w:line="222" w:lineRule="auto"/>
              <w:rPr>
                <w:sz w:val="19"/>
                <w:szCs w:val="19"/>
              </w:rPr>
            </w:pPr>
            <w:r>
              <w:rPr>
                <w:sz w:val="19"/>
                <w:szCs w:val="19"/>
                <w:b/>
                <w:bCs/>
                <w:spacing w:val="7"/>
              </w:rPr>
              <w:t>业单位</w:t>
            </w:r>
          </w:p>
          <w:p>
            <w:pPr>
              <w:pStyle w:val="TableText"/>
              <w:ind w:left="45"/>
              <w:spacing w:before="13" w:line="219" w:lineRule="auto"/>
              <w:rPr>
                <w:sz w:val="19"/>
                <w:szCs w:val="19"/>
              </w:rPr>
            </w:pPr>
            <w:r>
              <w:rPr>
                <w:sz w:val="19"/>
                <w:szCs w:val="19"/>
                <w:b/>
                <w:bCs/>
                <w:spacing w:val="6"/>
              </w:rPr>
              <w:t>划转补</w:t>
            </w:r>
          </w:p>
          <w:p>
            <w:pPr>
              <w:pStyle w:val="TableText"/>
              <w:ind w:left="48"/>
              <w:spacing w:before="16" w:line="214" w:lineRule="auto"/>
              <w:rPr>
                <w:sz w:val="19"/>
                <w:szCs w:val="19"/>
              </w:rPr>
            </w:pPr>
            <w:r>
              <w:rPr>
                <w:sz w:val="19"/>
                <w:szCs w:val="19"/>
                <w:b/>
                <w:bCs/>
                <w:spacing w:val="5"/>
              </w:rPr>
              <w:t>助收入</w:t>
            </w:r>
          </w:p>
        </w:tc>
        <w:tc>
          <w:tcPr>
            <w:tcW w:w="741" w:type="dxa"/>
            <w:vAlign w:val="top"/>
          </w:tcPr>
          <w:p>
            <w:pPr>
              <w:pStyle w:val="TableText"/>
              <w:ind w:left="2" w:firstLine="167"/>
              <w:spacing w:before="144" w:line="231" w:lineRule="auto"/>
              <w:rPr>
                <w:sz w:val="19"/>
                <w:szCs w:val="19"/>
              </w:rPr>
            </w:pPr>
            <w:r>
              <w:rPr>
                <w:sz w:val="19"/>
                <w:szCs w:val="19"/>
                <w:b/>
                <w:bCs/>
                <w:spacing w:val="6"/>
              </w:rPr>
              <w:t>产粮</w:t>
            </w:r>
            <w:r>
              <w:rPr>
                <w:sz w:val="19"/>
                <w:szCs w:val="19"/>
                <w:b/>
                <w:bCs/>
                <w:spacing w:val="-12"/>
              </w:rPr>
              <w:t>（油）大</w:t>
            </w:r>
            <w:r>
              <w:rPr>
                <w:sz w:val="19"/>
                <w:szCs w:val="19"/>
                <w:b/>
                <w:bCs/>
                <w:spacing w:val="28"/>
              </w:rPr>
              <w:t>县奖励</w:t>
            </w:r>
            <w:r>
              <w:rPr>
                <w:sz w:val="19"/>
                <w:szCs w:val="19"/>
                <w:b/>
                <w:bCs/>
                <w:spacing w:val="-11"/>
              </w:rPr>
              <w:t>资</w:t>
            </w:r>
            <w:r>
              <w:rPr>
                <w:sz w:val="19"/>
                <w:szCs w:val="19"/>
                <w:b/>
                <w:bCs/>
                <w:spacing w:val="-10"/>
              </w:rPr>
              <w:t>金收</w:t>
            </w:r>
            <w:r>
              <w:rPr>
                <w:sz w:val="19"/>
                <w:szCs w:val="19"/>
                <w:b/>
                <w:bCs/>
                <w:spacing w:val="-9"/>
              </w:rPr>
              <w:t>入</w:t>
            </w:r>
          </w:p>
        </w:tc>
        <w:tc>
          <w:tcPr>
            <w:tcW w:w="755" w:type="dxa"/>
            <w:vAlign w:val="top"/>
          </w:tcPr>
          <w:p>
            <w:pPr>
              <w:pStyle w:val="TableText"/>
              <w:ind w:left="76"/>
              <w:spacing w:before="146" w:line="226" w:lineRule="auto"/>
              <w:rPr>
                <w:sz w:val="19"/>
                <w:szCs w:val="19"/>
              </w:rPr>
            </w:pPr>
            <w:r>
              <w:rPr>
                <w:sz w:val="19"/>
                <w:szCs w:val="19"/>
                <w:b/>
                <w:bCs/>
                <w:spacing w:val="6"/>
              </w:rPr>
              <w:t>重点生</w:t>
            </w:r>
          </w:p>
          <w:p>
            <w:pPr>
              <w:pStyle w:val="TableText"/>
              <w:ind w:left="76"/>
              <w:spacing w:before="6" w:line="219" w:lineRule="auto"/>
              <w:rPr>
                <w:sz w:val="19"/>
                <w:szCs w:val="19"/>
              </w:rPr>
            </w:pPr>
            <w:r>
              <w:rPr>
                <w:sz w:val="19"/>
                <w:szCs w:val="19"/>
                <w:b/>
                <w:bCs/>
                <w:spacing w:val="6"/>
              </w:rPr>
              <w:t>态功能</w:t>
            </w:r>
          </w:p>
          <w:p>
            <w:pPr>
              <w:pStyle w:val="TableText"/>
              <w:ind w:left="23" w:right="6" w:firstLine="66"/>
              <w:spacing w:before="15" w:line="234" w:lineRule="auto"/>
              <w:rPr>
                <w:sz w:val="19"/>
                <w:szCs w:val="19"/>
              </w:rPr>
            </w:pPr>
            <w:r>
              <w:rPr>
                <w:sz w:val="19"/>
                <w:szCs w:val="19"/>
                <w:b/>
                <w:bCs/>
                <w:spacing w:val="1"/>
              </w:rPr>
              <w:t>区转移</w:t>
            </w:r>
            <w:r>
              <w:rPr>
                <w:sz w:val="19"/>
                <w:szCs w:val="19"/>
                <w:b/>
                <w:bCs/>
                <w:spacing w:val="-14"/>
              </w:rPr>
              <w:t>支付收入</w:t>
            </w:r>
          </w:p>
        </w:tc>
        <w:tc>
          <w:tcPr>
            <w:tcW w:w="657" w:type="dxa"/>
            <w:vAlign w:val="top"/>
          </w:tcPr>
          <w:p>
            <w:pPr>
              <w:pStyle w:val="TableText"/>
              <w:ind w:left="48"/>
              <w:spacing w:before="266" w:line="218" w:lineRule="auto"/>
              <w:rPr>
                <w:sz w:val="19"/>
                <w:szCs w:val="19"/>
              </w:rPr>
            </w:pPr>
            <w:r>
              <w:rPr>
                <w:sz w:val="19"/>
                <w:szCs w:val="19"/>
                <w:b/>
                <w:bCs/>
                <w:spacing w:val="-1"/>
              </w:rPr>
              <w:t>固定数</w:t>
            </w:r>
          </w:p>
          <w:p>
            <w:pPr>
              <w:pStyle w:val="TableText"/>
              <w:ind w:left="28"/>
              <w:spacing w:before="15" w:line="217" w:lineRule="auto"/>
              <w:rPr>
                <w:sz w:val="19"/>
                <w:szCs w:val="19"/>
              </w:rPr>
            </w:pPr>
            <w:r>
              <w:rPr>
                <w:sz w:val="19"/>
                <w:szCs w:val="19"/>
                <w:b/>
                <w:bCs/>
                <w:spacing w:val="6"/>
              </w:rPr>
              <w:t>额补助</w:t>
            </w:r>
          </w:p>
          <w:p>
            <w:pPr>
              <w:pStyle w:val="TableText"/>
              <w:ind w:left="133"/>
              <w:spacing w:before="18" w:line="214" w:lineRule="auto"/>
              <w:rPr>
                <w:sz w:val="19"/>
                <w:szCs w:val="19"/>
              </w:rPr>
            </w:pPr>
            <w:r>
              <w:rPr>
                <w:sz w:val="19"/>
                <w:szCs w:val="19"/>
                <w:b/>
                <w:bCs/>
                <w:spacing w:val="2"/>
              </w:rPr>
              <w:t>收入</w:t>
            </w:r>
          </w:p>
        </w:tc>
        <w:tc>
          <w:tcPr>
            <w:tcW w:w="727" w:type="dxa"/>
            <w:vAlign w:val="top"/>
          </w:tcPr>
          <w:p>
            <w:pPr>
              <w:pStyle w:val="TableText"/>
              <w:ind w:left="18" w:firstLine="46"/>
              <w:spacing w:before="261" w:line="236" w:lineRule="auto"/>
              <w:jc w:val="both"/>
              <w:rPr>
                <w:sz w:val="19"/>
                <w:szCs w:val="19"/>
              </w:rPr>
            </w:pPr>
            <w:r>
              <w:rPr>
                <w:sz w:val="19"/>
                <w:szCs w:val="19"/>
                <w:b/>
                <w:bCs/>
                <w:spacing w:val="5"/>
              </w:rPr>
              <w:t>革命老</w:t>
            </w:r>
            <w:r>
              <w:rPr>
                <w:sz w:val="19"/>
                <w:szCs w:val="19"/>
                <w:b/>
                <w:bCs/>
                <w:spacing w:val="21"/>
              </w:rPr>
              <w:t>区转移</w:t>
            </w:r>
            <w:r>
              <w:rPr>
                <w:sz w:val="19"/>
                <w:szCs w:val="19"/>
                <w:b/>
                <w:bCs/>
                <w:spacing w:val="-16"/>
                <w:w w:val="98"/>
              </w:rPr>
              <w:t>支付</w:t>
            </w:r>
            <w:r>
              <w:rPr>
                <w:sz w:val="19"/>
                <w:szCs w:val="19"/>
                <w:b/>
                <w:bCs/>
                <w:spacing w:val="-15"/>
                <w:w w:val="98"/>
              </w:rPr>
              <w:t>收</w:t>
            </w:r>
            <w:r>
              <w:rPr>
                <w:sz w:val="19"/>
                <w:szCs w:val="19"/>
                <w:b/>
                <w:bCs/>
                <w:spacing w:val="-9"/>
                <w:w w:val="98"/>
              </w:rPr>
              <w:t>入</w:t>
            </w:r>
          </w:p>
        </w:tc>
        <w:tc>
          <w:tcPr>
            <w:tcW w:w="699" w:type="dxa"/>
            <w:vAlign w:val="top"/>
          </w:tcPr>
          <w:p>
            <w:pPr>
              <w:pStyle w:val="TableText"/>
              <w:ind w:left="23" w:firstLine="44"/>
              <w:spacing w:before="265" w:line="235" w:lineRule="auto"/>
              <w:jc w:val="both"/>
              <w:rPr>
                <w:sz w:val="19"/>
                <w:szCs w:val="19"/>
              </w:rPr>
            </w:pPr>
            <w:r>
              <w:rPr>
                <w:sz w:val="19"/>
                <w:szCs w:val="19"/>
                <w:b/>
                <w:bCs/>
                <w:spacing w:val="-3"/>
              </w:rPr>
              <w:t>民族地</w:t>
            </w:r>
            <w:r>
              <w:rPr>
                <w:sz w:val="19"/>
                <w:szCs w:val="19"/>
                <w:b/>
                <w:bCs/>
                <w:spacing w:val="11"/>
              </w:rPr>
              <w:t>区转移</w:t>
            </w:r>
            <w:r>
              <w:rPr>
                <w:sz w:val="19"/>
                <w:szCs w:val="19"/>
                <w:b/>
                <w:bCs/>
                <w:spacing w:val="-16"/>
                <w:w w:val="93"/>
              </w:rPr>
              <w:t>支付</w:t>
            </w:r>
            <w:r>
              <w:rPr>
                <w:sz w:val="19"/>
                <w:szCs w:val="19"/>
                <w:b/>
                <w:bCs/>
                <w:spacing w:val="-15"/>
                <w:w w:val="93"/>
              </w:rPr>
              <w:t>收</w:t>
            </w:r>
            <w:r>
              <w:rPr>
                <w:sz w:val="19"/>
                <w:szCs w:val="19"/>
                <w:b/>
                <w:bCs/>
                <w:spacing w:val="-9"/>
                <w:w w:val="93"/>
              </w:rPr>
              <w:t>入</w:t>
            </w:r>
          </w:p>
        </w:tc>
        <w:tc>
          <w:tcPr>
            <w:tcW w:w="727" w:type="dxa"/>
            <w:vAlign w:val="top"/>
          </w:tcPr>
          <w:p>
            <w:pPr>
              <w:pStyle w:val="TableText"/>
              <w:ind w:left="36" w:right="1" w:firstLine="30"/>
              <w:spacing w:before="265" w:line="235" w:lineRule="auto"/>
              <w:jc w:val="both"/>
              <w:rPr>
                <w:sz w:val="19"/>
                <w:szCs w:val="19"/>
              </w:rPr>
            </w:pPr>
            <w:r>
              <w:rPr>
                <w:sz w:val="19"/>
                <w:szCs w:val="19"/>
                <w:b/>
                <w:bCs/>
                <w:spacing w:val="6"/>
              </w:rPr>
              <w:t>边境地</w:t>
            </w:r>
            <w:r>
              <w:rPr>
                <w:sz w:val="19"/>
                <w:szCs w:val="19"/>
                <w:b/>
                <w:bCs/>
                <w:spacing w:val="16"/>
              </w:rPr>
              <w:t>区转移</w:t>
            </w:r>
            <w:r>
              <w:rPr>
                <w:sz w:val="19"/>
                <w:szCs w:val="19"/>
                <w:b/>
                <w:bCs/>
                <w:spacing w:val="-16"/>
                <w:w w:val="95"/>
              </w:rPr>
              <w:t>支</w:t>
            </w:r>
            <w:r>
              <w:rPr>
                <w:sz w:val="19"/>
                <w:szCs w:val="19"/>
                <w:b/>
                <w:bCs/>
                <w:spacing w:val="-15"/>
                <w:w w:val="95"/>
              </w:rPr>
              <w:t>付收</w:t>
            </w:r>
            <w:r>
              <w:rPr>
                <w:sz w:val="19"/>
                <w:szCs w:val="19"/>
                <w:b/>
                <w:bCs/>
                <w:spacing w:val="-10"/>
                <w:w w:val="95"/>
              </w:rPr>
              <w:t>入</w:t>
            </w:r>
          </w:p>
        </w:tc>
        <w:tc>
          <w:tcPr>
            <w:tcW w:w="657" w:type="dxa"/>
            <w:vAlign w:val="top"/>
          </w:tcPr>
          <w:p>
            <w:pPr>
              <w:pStyle w:val="TableText"/>
              <w:ind w:left="31" w:right="19" w:firstLine="101"/>
              <w:spacing w:before="146" w:line="231" w:lineRule="auto"/>
              <w:rPr>
                <w:sz w:val="19"/>
                <w:szCs w:val="19"/>
              </w:rPr>
            </w:pPr>
            <w:r>
              <w:rPr>
                <w:sz w:val="19"/>
                <w:szCs w:val="19"/>
                <w:b/>
                <w:bCs/>
                <w:spacing w:val="5"/>
              </w:rPr>
              <w:t>贫困</w:t>
            </w:r>
            <w:r>
              <w:rPr>
                <w:sz w:val="19"/>
                <w:szCs w:val="19"/>
                <w:b/>
                <w:bCs/>
                <w:spacing w:val="6"/>
              </w:rPr>
              <w:t>地区转</w:t>
            </w:r>
          </w:p>
          <w:p>
            <w:pPr>
              <w:pStyle w:val="TableText"/>
              <w:ind w:left="138" w:right="19" w:hanging="107"/>
              <w:spacing w:line="236" w:lineRule="auto"/>
              <w:rPr>
                <w:sz w:val="19"/>
                <w:szCs w:val="19"/>
              </w:rPr>
            </w:pPr>
            <w:r>
              <w:rPr>
                <w:sz w:val="19"/>
                <w:szCs w:val="19"/>
                <w:b/>
                <w:bCs/>
                <w:spacing w:val="6"/>
              </w:rPr>
              <w:t>移支付</w:t>
            </w:r>
            <w:r>
              <w:rPr>
                <w:sz w:val="19"/>
                <w:szCs w:val="19"/>
                <w:b/>
                <w:bCs/>
                <w:spacing w:val="2"/>
              </w:rPr>
              <w:t>收入</w:t>
            </w:r>
          </w:p>
        </w:tc>
        <w:tc>
          <w:tcPr>
            <w:tcW w:w="978" w:type="dxa"/>
            <w:vAlign w:val="top"/>
          </w:tcPr>
          <w:p>
            <w:pPr>
              <w:pStyle w:val="TableText"/>
              <w:ind w:left="92"/>
              <w:spacing w:before="25" w:line="219" w:lineRule="auto"/>
              <w:rPr>
                <w:sz w:val="19"/>
                <w:szCs w:val="19"/>
              </w:rPr>
            </w:pPr>
            <w:r>
              <w:rPr>
                <w:sz w:val="19"/>
                <w:szCs w:val="19"/>
                <w:b/>
                <w:bCs/>
                <w:spacing w:val="7"/>
              </w:rPr>
              <w:t>一般公共</w:t>
            </w:r>
          </w:p>
          <w:p>
            <w:pPr>
              <w:pStyle w:val="TableText"/>
              <w:ind w:left="94"/>
              <w:spacing w:before="14" w:line="219" w:lineRule="auto"/>
              <w:rPr>
                <w:sz w:val="19"/>
                <w:szCs w:val="19"/>
              </w:rPr>
            </w:pPr>
            <w:r>
              <w:rPr>
                <w:sz w:val="19"/>
                <w:szCs w:val="19"/>
                <w:b/>
                <w:bCs/>
                <w:spacing w:val="6"/>
              </w:rPr>
              <w:t>服务共同</w:t>
            </w:r>
          </w:p>
          <w:p>
            <w:pPr>
              <w:pStyle w:val="TableText"/>
              <w:ind w:left="93"/>
              <w:spacing w:before="13" w:line="219" w:lineRule="auto"/>
              <w:rPr>
                <w:sz w:val="19"/>
                <w:szCs w:val="19"/>
              </w:rPr>
            </w:pPr>
            <w:r>
              <w:rPr>
                <w:sz w:val="19"/>
                <w:szCs w:val="19"/>
                <w:b/>
                <w:bCs/>
                <w:spacing w:val="7"/>
              </w:rPr>
              <w:t>财政事权</w:t>
            </w:r>
          </w:p>
          <w:p>
            <w:pPr>
              <w:pStyle w:val="TableText"/>
              <w:ind w:left="299" w:right="78" w:hanging="207"/>
              <w:spacing w:before="12" w:line="218" w:lineRule="auto"/>
              <w:rPr>
                <w:sz w:val="19"/>
                <w:szCs w:val="19"/>
              </w:rPr>
            </w:pPr>
            <w:r>
              <w:rPr>
                <w:sz w:val="19"/>
                <w:szCs w:val="19"/>
                <w:b/>
                <w:bCs/>
                <w:spacing w:val="7"/>
              </w:rPr>
              <w:t>转移支付</w:t>
            </w:r>
            <w:r>
              <w:rPr>
                <w:sz w:val="19"/>
                <w:szCs w:val="19"/>
                <w:b/>
                <w:bCs/>
                <w:spacing w:val="2"/>
              </w:rPr>
              <w:t>收入</w:t>
            </w:r>
          </w:p>
        </w:tc>
        <w:tc>
          <w:tcPr>
            <w:tcW w:w="741" w:type="dxa"/>
            <w:vAlign w:val="top"/>
          </w:tcPr>
          <w:p>
            <w:pPr>
              <w:pStyle w:val="TableText"/>
              <w:ind w:left="75"/>
              <w:spacing w:before="25" w:line="219" w:lineRule="auto"/>
              <w:rPr>
                <w:sz w:val="19"/>
                <w:szCs w:val="19"/>
              </w:rPr>
            </w:pPr>
            <w:r>
              <w:rPr>
                <w:sz w:val="19"/>
                <w:szCs w:val="19"/>
                <w:b/>
                <w:bCs/>
                <w:spacing w:val="6"/>
              </w:rPr>
              <w:t>外交共</w:t>
            </w:r>
          </w:p>
          <w:p>
            <w:pPr>
              <w:pStyle w:val="TableText"/>
              <w:ind w:left="94"/>
              <w:spacing w:before="14" w:line="219" w:lineRule="auto"/>
              <w:rPr>
                <w:sz w:val="19"/>
                <w:szCs w:val="19"/>
              </w:rPr>
            </w:pPr>
            <w:r>
              <w:rPr>
                <w:sz w:val="19"/>
                <w:szCs w:val="19"/>
                <w:b/>
                <w:bCs/>
              </w:rPr>
              <w:t>同财政</w:t>
            </w:r>
          </w:p>
          <w:p>
            <w:pPr>
              <w:pStyle w:val="TableText"/>
              <w:ind w:left="76"/>
              <w:spacing w:before="13" w:line="219" w:lineRule="auto"/>
              <w:rPr>
                <w:sz w:val="19"/>
                <w:szCs w:val="19"/>
              </w:rPr>
            </w:pPr>
            <w:r>
              <w:rPr>
                <w:sz w:val="19"/>
                <w:szCs w:val="19"/>
                <w:b/>
                <w:bCs/>
                <w:spacing w:val="6"/>
              </w:rPr>
              <w:t>事权转</w:t>
            </w:r>
          </w:p>
          <w:p>
            <w:pPr>
              <w:pStyle w:val="TableText"/>
              <w:ind w:left="183" w:right="58" w:hanging="107"/>
              <w:spacing w:before="12" w:line="218" w:lineRule="auto"/>
              <w:rPr>
                <w:sz w:val="19"/>
                <w:szCs w:val="19"/>
              </w:rPr>
            </w:pPr>
            <w:r>
              <w:rPr>
                <w:sz w:val="19"/>
                <w:szCs w:val="19"/>
                <w:b/>
                <w:bCs/>
                <w:spacing w:val="6"/>
              </w:rPr>
              <w:t>移支付</w:t>
            </w:r>
            <w:r>
              <w:rPr>
                <w:sz w:val="19"/>
                <w:szCs w:val="19"/>
                <w:b/>
                <w:bCs/>
                <w:spacing w:val="2"/>
              </w:rPr>
              <w:t>收入</w:t>
            </w:r>
          </w:p>
        </w:tc>
        <w:tc>
          <w:tcPr>
            <w:tcW w:w="740" w:type="dxa"/>
            <w:vAlign w:val="top"/>
            <w:tcBorders>
              <w:right w:val="single" w:color="000000" w:sz="6" w:space="0"/>
            </w:tcBorders>
          </w:tcPr>
          <w:p>
            <w:pPr>
              <w:pStyle w:val="TableText"/>
              <w:ind w:left="92"/>
              <w:spacing w:before="25" w:line="219" w:lineRule="auto"/>
              <w:rPr>
                <w:sz w:val="19"/>
                <w:szCs w:val="19"/>
              </w:rPr>
            </w:pPr>
            <w:r>
              <w:rPr>
                <w:sz w:val="19"/>
                <w:szCs w:val="19"/>
                <w:b/>
                <w:bCs/>
                <w:spacing w:val="-1"/>
              </w:rPr>
              <w:t>国防共</w:t>
            </w:r>
          </w:p>
          <w:p>
            <w:pPr>
              <w:pStyle w:val="TableText"/>
              <w:ind w:left="90"/>
              <w:spacing w:before="14" w:line="219" w:lineRule="auto"/>
              <w:rPr>
                <w:sz w:val="19"/>
                <w:szCs w:val="19"/>
              </w:rPr>
            </w:pPr>
            <w:r>
              <w:rPr>
                <w:sz w:val="19"/>
                <w:szCs w:val="19"/>
                <w:b/>
                <w:bCs/>
              </w:rPr>
              <w:t>同财政</w:t>
            </w:r>
          </w:p>
          <w:p>
            <w:pPr>
              <w:pStyle w:val="TableText"/>
              <w:ind w:left="72"/>
              <w:spacing w:before="13" w:line="219" w:lineRule="auto"/>
              <w:rPr>
                <w:sz w:val="19"/>
                <w:szCs w:val="19"/>
              </w:rPr>
            </w:pPr>
            <w:r>
              <w:rPr>
                <w:sz w:val="19"/>
                <w:szCs w:val="19"/>
                <w:b/>
                <w:bCs/>
                <w:spacing w:val="6"/>
              </w:rPr>
              <w:t>事权转</w:t>
            </w:r>
          </w:p>
          <w:p>
            <w:pPr>
              <w:pStyle w:val="TableText"/>
              <w:ind w:left="176" w:right="59" w:hanging="104"/>
              <w:spacing w:before="12" w:line="218" w:lineRule="auto"/>
              <w:rPr>
                <w:sz w:val="19"/>
                <w:szCs w:val="19"/>
              </w:rPr>
            </w:pPr>
            <w:r>
              <w:rPr>
                <w:sz w:val="19"/>
                <w:szCs w:val="19"/>
                <w:b/>
                <w:bCs/>
                <w:spacing w:val="6"/>
              </w:rPr>
              <w:t>移支付</w:t>
            </w:r>
            <w:r>
              <w:rPr>
                <w:sz w:val="19"/>
                <w:szCs w:val="19"/>
                <w:b/>
                <w:bCs/>
                <w:spacing w:val="2"/>
              </w:rPr>
              <w:t>收入</w:t>
            </w:r>
          </w:p>
        </w:tc>
      </w:tr>
      <w:tr>
        <w:trPr>
          <w:trHeight w:val="487" w:hRule="atLeast"/>
        </w:trPr>
        <w:tc>
          <w:tcPr>
            <w:tcW w:w="969" w:type="dxa"/>
            <w:vAlign w:val="top"/>
            <w:tcBorders>
              <w:left w:val="single" w:color="000000" w:sz="6" w:space="0"/>
            </w:tcBorders>
          </w:tcPr>
          <w:p>
            <w:pPr>
              <w:pStyle w:val="TableText"/>
              <w:ind w:left="98"/>
              <w:spacing w:before="151" w:line="218" w:lineRule="auto"/>
              <w:rPr>
                <w:sz w:val="19"/>
                <w:szCs w:val="19"/>
              </w:rPr>
            </w:pPr>
            <w:r>
              <w:rPr>
                <w:sz w:val="19"/>
                <w:szCs w:val="19"/>
                <w:spacing w:val="3"/>
              </w:rPr>
              <w:t>固原市级</w:t>
            </w:r>
          </w:p>
        </w:tc>
        <w:tc>
          <w:tcPr>
            <w:tcW w:w="625" w:type="dxa"/>
            <w:vAlign w:val="top"/>
          </w:tcPr>
          <w:p>
            <w:pPr>
              <w:pStyle w:val="TableText"/>
              <w:ind w:left="9"/>
              <w:spacing w:before="146" w:line="285" w:lineRule="exact"/>
              <w:rPr>
                <w:sz w:val="19"/>
                <w:szCs w:val="19"/>
              </w:rPr>
            </w:pPr>
            <w:r>
              <w:rPr>
                <w:sz w:val="19"/>
                <w:szCs w:val="19"/>
                <w:spacing w:val="2"/>
                <w:position w:val="2"/>
              </w:rPr>
              <w:t>534192</w:t>
            </w:r>
          </w:p>
        </w:tc>
        <w:tc>
          <w:tcPr>
            <w:tcW w:w="755" w:type="dxa"/>
            <w:vAlign w:val="top"/>
          </w:tcPr>
          <w:p>
            <w:pPr>
              <w:pStyle w:val="TableText"/>
              <w:ind w:left="75"/>
              <w:spacing w:before="146" w:line="285" w:lineRule="exact"/>
              <w:rPr>
                <w:sz w:val="19"/>
                <w:szCs w:val="19"/>
              </w:rPr>
            </w:pPr>
            <w:r>
              <w:rPr>
                <w:sz w:val="19"/>
                <w:szCs w:val="19"/>
                <w:spacing w:val="2"/>
                <w:position w:val="2"/>
              </w:rPr>
              <w:t>506133</w:t>
            </w:r>
          </w:p>
        </w:tc>
        <w:tc>
          <w:tcPr>
            <w:tcW w:w="588" w:type="dxa"/>
            <w:vAlign w:val="top"/>
          </w:tcPr>
          <w:p>
            <w:pPr>
              <w:pStyle w:val="TableText"/>
              <w:ind w:left="38"/>
              <w:spacing w:before="146" w:line="285" w:lineRule="exact"/>
              <w:rPr>
                <w:sz w:val="19"/>
                <w:szCs w:val="19"/>
              </w:rPr>
            </w:pPr>
            <w:r>
              <w:rPr>
                <w:sz w:val="19"/>
                <w:szCs w:val="19"/>
                <w:spacing w:val="4"/>
                <w:position w:val="2"/>
              </w:rPr>
              <w:t>-1526</w:t>
            </w:r>
          </w:p>
        </w:tc>
        <w:tc>
          <w:tcPr>
            <w:tcW w:w="685" w:type="dxa"/>
            <w:vAlign w:val="top"/>
          </w:tcPr>
          <w:p>
            <w:pPr>
              <w:pStyle w:val="TableText"/>
              <w:ind w:left="39"/>
              <w:spacing w:before="146" w:line="285" w:lineRule="exact"/>
              <w:rPr>
                <w:sz w:val="19"/>
                <w:szCs w:val="19"/>
              </w:rPr>
            </w:pPr>
            <w:r>
              <w:rPr>
                <w:sz w:val="19"/>
                <w:szCs w:val="19"/>
                <w:spacing w:val="2"/>
                <w:position w:val="2"/>
              </w:rPr>
              <w:t>219656</w:t>
            </w:r>
          </w:p>
        </w:tc>
        <w:tc>
          <w:tcPr>
            <w:tcW w:w="839" w:type="dxa"/>
            <w:vAlign w:val="top"/>
          </w:tcPr>
          <w:p>
            <w:pPr>
              <w:pStyle w:val="TableText"/>
              <w:ind w:left="184"/>
              <w:spacing w:before="146" w:line="285" w:lineRule="exact"/>
              <w:rPr>
                <w:sz w:val="19"/>
                <w:szCs w:val="19"/>
              </w:rPr>
            </w:pPr>
            <w:r>
              <w:rPr>
                <w:sz w:val="19"/>
                <w:szCs w:val="19"/>
                <w:spacing w:val="-1"/>
                <w:position w:val="2"/>
              </w:rPr>
              <w:t>12269</w:t>
            </w:r>
          </w:p>
        </w:tc>
        <w:tc>
          <w:tcPr>
            <w:tcW w:w="616" w:type="dxa"/>
            <w:vAlign w:val="top"/>
          </w:tcPr>
          <w:p>
            <w:pPr>
              <w:pStyle w:val="TableText"/>
              <w:ind w:left="103"/>
              <w:spacing w:before="146" w:line="285" w:lineRule="exact"/>
              <w:rPr>
                <w:sz w:val="19"/>
                <w:szCs w:val="19"/>
              </w:rPr>
            </w:pPr>
            <w:r>
              <w:rPr>
                <w:sz w:val="19"/>
                <w:szCs w:val="19"/>
                <w:spacing w:val="2"/>
                <w:position w:val="2"/>
              </w:rPr>
              <w:t>4048</w:t>
            </w:r>
          </w:p>
        </w:tc>
        <w:tc>
          <w:tcPr>
            <w:tcW w:w="699" w:type="dxa"/>
            <w:vAlign w:val="top"/>
          </w:tcPr>
          <w:p>
            <w:pPr>
              <w:rPr>
                <w:rFonts w:ascii="Arial"/>
                <w:sz w:val="21"/>
              </w:rPr>
            </w:pPr>
            <w:r/>
          </w:p>
        </w:tc>
        <w:tc>
          <w:tcPr>
            <w:tcW w:w="698" w:type="dxa"/>
            <w:vAlign w:val="top"/>
          </w:tcPr>
          <w:p>
            <w:pPr>
              <w:pStyle w:val="TableText"/>
              <w:ind w:left="199"/>
              <w:spacing w:before="146" w:line="285" w:lineRule="exact"/>
              <w:rPr>
                <w:sz w:val="19"/>
                <w:szCs w:val="19"/>
              </w:rPr>
            </w:pPr>
            <w:r>
              <w:rPr>
                <w:sz w:val="19"/>
                <w:szCs w:val="19"/>
                <w:spacing w:val="1"/>
                <w:position w:val="2"/>
              </w:rPr>
              <w:t>508</w:t>
            </w:r>
          </w:p>
        </w:tc>
        <w:tc>
          <w:tcPr>
            <w:tcW w:w="741" w:type="dxa"/>
            <w:vAlign w:val="top"/>
          </w:tcPr>
          <w:p>
            <w:pPr>
              <w:pStyle w:val="TableText"/>
              <w:ind w:left="217"/>
              <w:spacing w:before="146" w:line="285" w:lineRule="exact"/>
              <w:rPr>
                <w:sz w:val="19"/>
                <w:szCs w:val="19"/>
              </w:rPr>
            </w:pPr>
            <w:r>
              <w:rPr>
                <w:sz w:val="19"/>
                <w:szCs w:val="19"/>
                <w:spacing w:val="2"/>
                <w:position w:val="2"/>
              </w:rPr>
              <w:t>475</w:t>
            </w:r>
          </w:p>
        </w:tc>
        <w:tc>
          <w:tcPr>
            <w:tcW w:w="755" w:type="dxa"/>
            <w:vAlign w:val="top"/>
          </w:tcPr>
          <w:p>
            <w:pPr>
              <w:pStyle w:val="TableText"/>
              <w:ind w:left="145"/>
              <w:spacing w:before="146" w:line="285" w:lineRule="exact"/>
              <w:rPr>
                <w:sz w:val="19"/>
                <w:szCs w:val="19"/>
              </w:rPr>
            </w:pPr>
            <w:r>
              <w:rPr>
                <w:sz w:val="19"/>
                <w:szCs w:val="19"/>
                <w:spacing w:val="-1"/>
                <w:position w:val="2"/>
              </w:rPr>
              <w:t>14496</w:t>
            </w:r>
          </w:p>
        </w:tc>
        <w:tc>
          <w:tcPr>
            <w:tcW w:w="657" w:type="dxa"/>
            <w:vAlign w:val="top"/>
          </w:tcPr>
          <w:p>
            <w:pPr>
              <w:pStyle w:val="TableText"/>
              <w:ind w:left="80"/>
              <w:spacing w:before="146" w:line="285" w:lineRule="exact"/>
              <w:rPr>
                <w:sz w:val="19"/>
                <w:szCs w:val="19"/>
              </w:rPr>
            </w:pPr>
            <w:r>
              <w:rPr>
                <w:sz w:val="19"/>
                <w:szCs w:val="19"/>
                <w:spacing w:val="2"/>
                <w:position w:val="2"/>
              </w:rPr>
              <w:t>26758</w:t>
            </w:r>
          </w:p>
        </w:tc>
        <w:tc>
          <w:tcPr>
            <w:tcW w:w="727" w:type="dxa"/>
            <w:vAlign w:val="top"/>
          </w:tcPr>
          <w:p>
            <w:pPr>
              <w:pStyle w:val="TableText"/>
              <w:ind w:left="183"/>
              <w:spacing w:before="146" w:line="285" w:lineRule="exact"/>
              <w:rPr>
                <w:sz w:val="19"/>
                <w:szCs w:val="19"/>
              </w:rPr>
            </w:pPr>
            <w:r>
              <w:rPr>
                <w:sz w:val="19"/>
                <w:szCs w:val="19"/>
                <w:spacing w:val="-2"/>
                <w:position w:val="2"/>
              </w:rPr>
              <w:t>1721</w:t>
            </w:r>
          </w:p>
        </w:tc>
        <w:tc>
          <w:tcPr>
            <w:tcW w:w="699" w:type="dxa"/>
            <w:vAlign w:val="top"/>
          </w:tcPr>
          <w:p>
            <w:pPr>
              <w:rPr>
                <w:rFonts w:ascii="Arial"/>
                <w:sz w:val="21"/>
              </w:rPr>
            </w:pPr>
            <w:r/>
          </w:p>
        </w:tc>
        <w:tc>
          <w:tcPr>
            <w:tcW w:w="727" w:type="dxa"/>
            <w:vAlign w:val="top"/>
          </w:tcPr>
          <w:p>
            <w:pPr>
              <w:rPr>
                <w:rFonts w:ascii="Arial"/>
                <w:sz w:val="21"/>
              </w:rPr>
            </w:pPr>
            <w:r/>
          </w:p>
        </w:tc>
        <w:tc>
          <w:tcPr>
            <w:tcW w:w="657" w:type="dxa"/>
            <w:vAlign w:val="top"/>
          </w:tcPr>
          <w:p>
            <w:pPr>
              <w:pStyle w:val="TableText"/>
              <w:ind w:left="85"/>
              <w:spacing w:before="146" w:line="285" w:lineRule="exact"/>
              <w:rPr>
                <w:sz w:val="19"/>
                <w:szCs w:val="19"/>
              </w:rPr>
            </w:pPr>
            <w:r>
              <w:rPr>
                <w:sz w:val="19"/>
                <w:szCs w:val="19"/>
                <w:spacing w:val="2"/>
                <w:position w:val="2"/>
              </w:rPr>
              <w:t>23228</w:t>
            </w:r>
          </w:p>
        </w:tc>
        <w:tc>
          <w:tcPr>
            <w:tcW w:w="978" w:type="dxa"/>
            <w:vAlign w:val="top"/>
          </w:tcPr>
          <w:p>
            <w:pPr>
              <w:rPr>
                <w:rFonts w:ascii="Arial"/>
                <w:sz w:val="21"/>
              </w:rPr>
            </w:pPr>
            <w:r/>
          </w:p>
        </w:tc>
        <w:tc>
          <w:tcPr>
            <w:tcW w:w="741" w:type="dxa"/>
            <w:vAlign w:val="top"/>
          </w:tcPr>
          <w:p>
            <w:pPr>
              <w:rPr>
                <w:rFonts w:ascii="Arial"/>
                <w:sz w:val="21"/>
              </w:rPr>
            </w:pPr>
            <w:r/>
          </w:p>
        </w:tc>
        <w:tc>
          <w:tcPr>
            <w:tcW w:w="740" w:type="dxa"/>
            <w:vAlign w:val="top"/>
            <w:tcBorders>
              <w:right w:val="single" w:color="000000" w:sz="6" w:space="0"/>
            </w:tcBorders>
          </w:tcPr>
          <w:p>
            <w:pPr>
              <w:rPr>
                <w:rFonts w:ascii="Arial"/>
                <w:sz w:val="21"/>
              </w:rPr>
            </w:pPr>
            <w:r/>
          </w:p>
        </w:tc>
      </w:tr>
      <w:tr>
        <w:trPr>
          <w:trHeight w:val="487" w:hRule="atLeast"/>
        </w:trPr>
        <w:tc>
          <w:tcPr>
            <w:tcW w:w="969" w:type="dxa"/>
            <w:vAlign w:val="top"/>
            <w:tcBorders>
              <w:left w:val="single" w:color="000000" w:sz="6" w:space="0"/>
            </w:tcBorders>
          </w:tcPr>
          <w:p>
            <w:pPr>
              <w:pStyle w:val="TableText"/>
              <w:ind w:left="276"/>
              <w:spacing w:before="151" w:line="217" w:lineRule="auto"/>
              <w:rPr>
                <w:sz w:val="19"/>
                <w:szCs w:val="19"/>
              </w:rPr>
            </w:pPr>
            <w:r>
              <w:rPr>
                <w:sz w:val="19"/>
                <w:szCs w:val="19"/>
                <w:spacing w:val="7"/>
              </w:rPr>
              <w:t>本级</w:t>
            </w:r>
          </w:p>
        </w:tc>
        <w:tc>
          <w:tcPr>
            <w:tcW w:w="625" w:type="dxa"/>
            <w:vAlign w:val="top"/>
          </w:tcPr>
          <w:p>
            <w:pPr>
              <w:pStyle w:val="TableText"/>
              <w:ind w:left="8"/>
              <w:spacing w:before="146" w:line="285" w:lineRule="exact"/>
              <w:rPr>
                <w:sz w:val="19"/>
                <w:szCs w:val="19"/>
              </w:rPr>
            </w:pPr>
            <w:r>
              <w:rPr>
                <w:sz w:val="19"/>
                <w:szCs w:val="19"/>
                <w:spacing w:val="2"/>
                <w:position w:val="2"/>
              </w:rPr>
              <w:t>234856</w:t>
            </w:r>
          </w:p>
        </w:tc>
        <w:tc>
          <w:tcPr>
            <w:tcW w:w="755" w:type="dxa"/>
            <w:vAlign w:val="top"/>
          </w:tcPr>
          <w:p>
            <w:pPr>
              <w:pStyle w:val="TableText"/>
              <w:ind w:left="74"/>
              <w:spacing w:before="146" w:line="285" w:lineRule="exact"/>
              <w:rPr>
                <w:sz w:val="19"/>
                <w:szCs w:val="19"/>
              </w:rPr>
            </w:pPr>
            <w:r>
              <w:rPr>
                <w:sz w:val="19"/>
                <w:szCs w:val="19"/>
                <w:spacing w:val="2"/>
                <w:position w:val="2"/>
              </w:rPr>
              <w:t>225379</w:t>
            </w:r>
          </w:p>
        </w:tc>
        <w:tc>
          <w:tcPr>
            <w:tcW w:w="588" w:type="dxa"/>
            <w:vAlign w:val="top"/>
          </w:tcPr>
          <w:p>
            <w:pPr>
              <w:pStyle w:val="TableText"/>
              <w:ind w:left="139"/>
              <w:spacing w:before="146" w:line="285" w:lineRule="exact"/>
              <w:rPr>
                <w:sz w:val="19"/>
                <w:szCs w:val="19"/>
              </w:rPr>
            </w:pPr>
            <w:r>
              <w:rPr>
                <w:sz w:val="19"/>
                <w:szCs w:val="19"/>
                <w:spacing w:val="2"/>
                <w:position w:val="2"/>
              </w:rPr>
              <w:t>761</w:t>
            </w:r>
          </w:p>
        </w:tc>
        <w:tc>
          <w:tcPr>
            <w:tcW w:w="685" w:type="dxa"/>
            <w:vAlign w:val="top"/>
          </w:tcPr>
          <w:p>
            <w:pPr>
              <w:pStyle w:val="TableText"/>
              <w:ind w:left="55"/>
              <w:spacing w:before="146" w:line="285" w:lineRule="exact"/>
              <w:rPr>
                <w:sz w:val="19"/>
                <w:szCs w:val="19"/>
              </w:rPr>
            </w:pPr>
            <w:r>
              <w:rPr>
                <w:sz w:val="19"/>
                <w:szCs w:val="19"/>
                <w:position w:val="2"/>
              </w:rPr>
              <w:t>113146</w:t>
            </w:r>
          </w:p>
        </w:tc>
        <w:tc>
          <w:tcPr>
            <w:tcW w:w="839" w:type="dxa"/>
            <w:vAlign w:val="top"/>
          </w:tcPr>
          <w:p>
            <w:pPr>
              <w:rPr>
                <w:rFonts w:ascii="Arial"/>
                <w:sz w:val="21"/>
              </w:rPr>
            </w:pPr>
            <w:r/>
          </w:p>
        </w:tc>
        <w:tc>
          <w:tcPr>
            <w:tcW w:w="616" w:type="dxa"/>
            <w:vAlign w:val="top"/>
          </w:tcPr>
          <w:p>
            <w:pPr>
              <w:pStyle w:val="TableText"/>
              <w:ind w:left="155"/>
              <w:spacing w:before="146" w:line="285" w:lineRule="exact"/>
              <w:rPr>
                <w:sz w:val="19"/>
                <w:szCs w:val="19"/>
              </w:rPr>
            </w:pPr>
            <w:r>
              <w:rPr>
                <w:sz w:val="19"/>
                <w:szCs w:val="19"/>
                <w:spacing w:val="1"/>
                <w:position w:val="2"/>
              </w:rPr>
              <w:t>662</w:t>
            </w:r>
          </w:p>
        </w:tc>
        <w:tc>
          <w:tcPr>
            <w:tcW w:w="699" w:type="dxa"/>
            <w:vAlign w:val="top"/>
          </w:tcPr>
          <w:p>
            <w:pPr>
              <w:rPr>
                <w:rFonts w:ascii="Arial"/>
                <w:sz w:val="21"/>
              </w:rPr>
            </w:pPr>
            <w:r/>
          </w:p>
        </w:tc>
        <w:tc>
          <w:tcPr>
            <w:tcW w:w="698" w:type="dxa"/>
            <w:vAlign w:val="top"/>
          </w:tcPr>
          <w:p>
            <w:pPr>
              <w:pStyle w:val="TableText"/>
              <w:ind w:left="199"/>
              <w:spacing w:before="146" w:line="285" w:lineRule="exact"/>
              <w:rPr>
                <w:sz w:val="19"/>
                <w:szCs w:val="19"/>
              </w:rPr>
            </w:pPr>
            <w:r>
              <w:rPr>
                <w:sz w:val="19"/>
                <w:szCs w:val="19"/>
                <w:spacing w:val="1"/>
                <w:position w:val="2"/>
              </w:rPr>
              <w:t>508</w:t>
            </w:r>
          </w:p>
        </w:tc>
        <w:tc>
          <w:tcPr>
            <w:tcW w:w="741" w:type="dxa"/>
            <w:vAlign w:val="top"/>
          </w:tcPr>
          <w:p>
            <w:pPr>
              <w:rPr>
                <w:rFonts w:ascii="Arial"/>
                <w:sz w:val="21"/>
              </w:rPr>
            </w:pPr>
            <w:r/>
          </w:p>
        </w:tc>
        <w:tc>
          <w:tcPr>
            <w:tcW w:w="755" w:type="dxa"/>
            <w:vAlign w:val="top"/>
          </w:tcPr>
          <w:p>
            <w:pPr>
              <w:pStyle w:val="TableText"/>
              <w:ind w:left="228"/>
              <w:spacing w:before="146" w:line="285" w:lineRule="exact"/>
              <w:rPr>
                <w:sz w:val="19"/>
                <w:szCs w:val="19"/>
              </w:rPr>
            </w:pPr>
            <w:r>
              <w:rPr>
                <w:sz w:val="19"/>
                <w:szCs w:val="19"/>
                <w:spacing w:val="1"/>
                <w:position w:val="2"/>
              </w:rPr>
              <w:t>270</w:t>
            </w:r>
          </w:p>
        </w:tc>
        <w:tc>
          <w:tcPr>
            <w:tcW w:w="657" w:type="dxa"/>
            <w:vAlign w:val="top"/>
          </w:tcPr>
          <w:p>
            <w:pPr>
              <w:pStyle w:val="TableText"/>
              <w:ind w:left="133"/>
              <w:spacing w:before="146" w:line="285" w:lineRule="exact"/>
              <w:rPr>
                <w:sz w:val="19"/>
                <w:szCs w:val="19"/>
              </w:rPr>
            </w:pPr>
            <w:r>
              <w:rPr>
                <w:sz w:val="19"/>
                <w:szCs w:val="19"/>
                <w:spacing w:val="2"/>
                <w:position w:val="2"/>
              </w:rPr>
              <w:t>8867</w:t>
            </w:r>
          </w:p>
        </w:tc>
        <w:tc>
          <w:tcPr>
            <w:tcW w:w="727" w:type="dxa"/>
            <w:vAlign w:val="top"/>
          </w:tcPr>
          <w:p>
            <w:pPr>
              <w:rPr>
                <w:rFonts w:ascii="Arial"/>
                <w:sz w:val="21"/>
              </w:rPr>
            </w:pPr>
            <w:r/>
          </w:p>
        </w:tc>
        <w:tc>
          <w:tcPr>
            <w:tcW w:w="699" w:type="dxa"/>
            <w:vAlign w:val="top"/>
          </w:tcPr>
          <w:p>
            <w:pPr>
              <w:rPr>
                <w:rFonts w:ascii="Arial"/>
                <w:sz w:val="21"/>
              </w:rPr>
            </w:pPr>
            <w:r/>
          </w:p>
        </w:tc>
        <w:tc>
          <w:tcPr>
            <w:tcW w:w="727" w:type="dxa"/>
            <w:vAlign w:val="top"/>
          </w:tcPr>
          <w:p>
            <w:pPr>
              <w:rPr>
                <w:rFonts w:ascii="Arial"/>
                <w:sz w:val="21"/>
              </w:rPr>
            </w:pPr>
            <w:r/>
          </w:p>
        </w:tc>
        <w:tc>
          <w:tcPr>
            <w:tcW w:w="657" w:type="dxa"/>
            <w:vAlign w:val="top"/>
          </w:tcPr>
          <w:p>
            <w:pPr>
              <w:rPr>
                <w:rFonts w:ascii="Arial"/>
                <w:sz w:val="21"/>
              </w:rPr>
            </w:pPr>
            <w:r/>
          </w:p>
        </w:tc>
        <w:tc>
          <w:tcPr>
            <w:tcW w:w="978" w:type="dxa"/>
            <w:vAlign w:val="top"/>
          </w:tcPr>
          <w:p>
            <w:pPr>
              <w:rPr>
                <w:rFonts w:ascii="Arial"/>
                <w:sz w:val="21"/>
              </w:rPr>
            </w:pPr>
            <w:r/>
          </w:p>
        </w:tc>
        <w:tc>
          <w:tcPr>
            <w:tcW w:w="741" w:type="dxa"/>
            <w:vAlign w:val="top"/>
          </w:tcPr>
          <w:p>
            <w:pPr>
              <w:rPr>
                <w:rFonts w:ascii="Arial"/>
                <w:sz w:val="21"/>
              </w:rPr>
            </w:pPr>
            <w:r/>
          </w:p>
        </w:tc>
        <w:tc>
          <w:tcPr>
            <w:tcW w:w="740" w:type="dxa"/>
            <w:vAlign w:val="top"/>
            <w:tcBorders>
              <w:right w:val="single" w:color="000000" w:sz="6" w:space="0"/>
            </w:tcBorders>
          </w:tcPr>
          <w:p>
            <w:pPr>
              <w:rPr>
                <w:rFonts w:ascii="Arial"/>
                <w:sz w:val="21"/>
              </w:rPr>
            </w:pPr>
            <w:r/>
          </w:p>
        </w:tc>
      </w:tr>
      <w:tr>
        <w:trPr>
          <w:trHeight w:val="486" w:hRule="atLeast"/>
        </w:trPr>
        <w:tc>
          <w:tcPr>
            <w:tcW w:w="969" w:type="dxa"/>
            <w:vAlign w:val="top"/>
            <w:tcBorders>
              <w:left w:val="single" w:color="000000" w:sz="6" w:space="0"/>
            </w:tcBorders>
          </w:tcPr>
          <w:p>
            <w:pPr>
              <w:pStyle w:val="TableText"/>
              <w:ind w:left="180" w:right="79" w:hanging="87"/>
              <w:spacing w:before="27" w:line="218" w:lineRule="auto"/>
              <w:rPr>
                <w:sz w:val="19"/>
                <w:szCs w:val="19"/>
              </w:rPr>
            </w:pPr>
            <w:r>
              <w:rPr>
                <w:sz w:val="19"/>
                <w:szCs w:val="19"/>
                <w:spacing w:val="6"/>
              </w:rPr>
              <w:t>区（县）</w:t>
            </w:r>
            <w:r>
              <w:rPr>
                <w:sz w:val="19"/>
                <w:szCs w:val="19"/>
                <w:spacing w:val="8"/>
              </w:rPr>
              <w:t>级合计</w:t>
            </w:r>
          </w:p>
        </w:tc>
        <w:tc>
          <w:tcPr>
            <w:tcW w:w="625" w:type="dxa"/>
            <w:vAlign w:val="top"/>
          </w:tcPr>
          <w:p>
            <w:pPr>
              <w:pStyle w:val="TableText"/>
              <w:ind w:left="8"/>
              <w:spacing w:before="148" w:line="285" w:lineRule="exact"/>
              <w:rPr>
                <w:sz w:val="19"/>
                <w:szCs w:val="19"/>
              </w:rPr>
            </w:pPr>
            <w:r>
              <w:rPr>
                <w:sz w:val="19"/>
                <w:szCs w:val="19"/>
                <w:spacing w:val="2"/>
                <w:position w:val="2"/>
              </w:rPr>
              <w:t>299336</w:t>
            </w:r>
          </w:p>
        </w:tc>
        <w:tc>
          <w:tcPr>
            <w:tcW w:w="755" w:type="dxa"/>
            <w:vAlign w:val="top"/>
          </w:tcPr>
          <w:p>
            <w:pPr>
              <w:pStyle w:val="TableText"/>
              <w:ind w:left="74"/>
              <w:spacing w:before="148" w:line="285" w:lineRule="exact"/>
              <w:rPr>
                <w:sz w:val="19"/>
                <w:szCs w:val="19"/>
              </w:rPr>
            </w:pPr>
            <w:r>
              <w:rPr>
                <w:sz w:val="19"/>
                <w:szCs w:val="19"/>
                <w:spacing w:val="2"/>
                <w:position w:val="2"/>
              </w:rPr>
              <w:t>280754</w:t>
            </w:r>
          </w:p>
        </w:tc>
        <w:tc>
          <w:tcPr>
            <w:tcW w:w="588" w:type="dxa"/>
            <w:vAlign w:val="top"/>
          </w:tcPr>
          <w:p>
            <w:pPr>
              <w:pStyle w:val="TableText"/>
              <w:ind w:left="38"/>
              <w:spacing w:before="148" w:line="285" w:lineRule="exact"/>
              <w:rPr>
                <w:sz w:val="19"/>
                <w:szCs w:val="19"/>
              </w:rPr>
            </w:pPr>
            <w:r>
              <w:rPr>
                <w:sz w:val="19"/>
                <w:szCs w:val="19"/>
                <w:spacing w:val="4"/>
                <w:position w:val="2"/>
              </w:rPr>
              <w:t>-2287</w:t>
            </w:r>
          </w:p>
        </w:tc>
        <w:tc>
          <w:tcPr>
            <w:tcW w:w="685" w:type="dxa"/>
            <w:vAlign w:val="top"/>
          </w:tcPr>
          <w:p>
            <w:pPr>
              <w:pStyle w:val="TableText"/>
              <w:ind w:left="55"/>
              <w:spacing w:before="148" w:line="285" w:lineRule="exact"/>
              <w:rPr>
                <w:sz w:val="19"/>
                <w:szCs w:val="19"/>
              </w:rPr>
            </w:pPr>
            <w:r>
              <w:rPr>
                <w:sz w:val="19"/>
                <w:szCs w:val="19"/>
                <w:position w:val="2"/>
              </w:rPr>
              <w:t>106510</w:t>
            </w:r>
          </w:p>
        </w:tc>
        <w:tc>
          <w:tcPr>
            <w:tcW w:w="839" w:type="dxa"/>
            <w:vAlign w:val="top"/>
          </w:tcPr>
          <w:p>
            <w:pPr>
              <w:pStyle w:val="TableText"/>
              <w:ind w:left="184"/>
              <w:spacing w:before="148" w:line="285" w:lineRule="exact"/>
              <w:rPr>
                <w:sz w:val="19"/>
                <w:szCs w:val="19"/>
              </w:rPr>
            </w:pPr>
            <w:r>
              <w:rPr>
                <w:sz w:val="19"/>
                <w:szCs w:val="19"/>
                <w:spacing w:val="-1"/>
                <w:position w:val="2"/>
              </w:rPr>
              <w:t>12269</w:t>
            </w:r>
          </w:p>
        </w:tc>
        <w:tc>
          <w:tcPr>
            <w:tcW w:w="616" w:type="dxa"/>
            <w:vAlign w:val="top"/>
          </w:tcPr>
          <w:p>
            <w:pPr>
              <w:pStyle w:val="TableText"/>
              <w:ind w:left="110"/>
              <w:spacing w:before="148" w:line="285" w:lineRule="exact"/>
              <w:rPr>
                <w:sz w:val="19"/>
                <w:szCs w:val="19"/>
              </w:rPr>
            </w:pPr>
            <w:r>
              <w:rPr>
                <w:sz w:val="19"/>
                <w:szCs w:val="19"/>
                <w:spacing w:val="1"/>
                <w:position w:val="2"/>
              </w:rPr>
              <w:t>3386</w:t>
            </w:r>
          </w:p>
        </w:tc>
        <w:tc>
          <w:tcPr>
            <w:tcW w:w="699" w:type="dxa"/>
            <w:vAlign w:val="top"/>
          </w:tcPr>
          <w:p>
            <w:pPr>
              <w:rPr>
                <w:rFonts w:ascii="Arial"/>
                <w:sz w:val="21"/>
              </w:rPr>
            </w:pPr>
            <w:r/>
          </w:p>
        </w:tc>
        <w:tc>
          <w:tcPr>
            <w:tcW w:w="698" w:type="dxa"/>
            <w:vAlign w:val="top"/>
          </w:tcPr>
          <w:p>
            <w:pPr>
              <w:rPr>
                <w:rFonts w:ascii="Arial"/>
                <w:sz w:val="21"/>
              </w:rPr>
            </w:pPr>
            <w:r/>
          </w:p>
        </w:tc>
        <w:tc>
          <w:tcPr>
            <w:tcW w:w="741" w:type="dxa"/>
            <w:vAlign w:val="top"/>
          </w:tcPr>
          <w:p>
            <w:pPr>
              <w:pStyle w:val="TableText"/>
              <w:ind w:left="217"/>
              <w:spacing w:before="148" w:line="285" w:lineRule="exact"/>
              <w:rPr>
                <w:sz w:val="19"/>
                <w:szCs w:val="19"/>
              </w:rPr>
            </w:pPr>
            <w:r>
              <w:rPr>
                <w:sz w:val="19"/>
                <w:szCs w:val="19"/>
                <w:spacing w:val="2"/>
                <w:position w:val="2"/>
              </w:rPr>
              <w:t>475</w:t>
            </w:r>
          </w:p>
        </w:tc>
        <w:tc>
          <w:tcPr>
            <w:tcW w:w="755" w:type="dxa"/>
            <w:vAlign w:val="top"/>
          </w:tcPr>
          <w:p>
            <w:pPr>
              <w:pStyle w:val="TableText"/>
              <w:ind w:left="145"/>
              <w:spacing w:before="148" w:line="285" w:lineRule="exact"/>
              <w:rPr>
                <w:sz w:val="19"/>
                <w:szCs w:val="19"/>
              </w:rPr>
            </w:pPr>
            <w:r>
              <w:rPr>
                <w:sz w:val="19"/>
                <w:szCs w:val="19"/>
                <w:spacing w:val="-1"/>
                <w:position w:val="2"/>
              </w:rPr>
              <w:t>14226</w:t>
            </w:r>
          </w:p>
        </w:tc>
        <w:tc>
          <w:tcPr>
            <w:tcW w:w="657" w:type="dxa"/>
            <w:vAlign w:val="top"/>
          </w:tcPr>
          <w:p>
            <w:pPr>
              <w:pStyle w:val="TableText"/>
              <w:ind w:left="96"/>
              <w:spacing w:before="148" w:line="285" w:lineRule="exact"/>
              <w:rPr>
                <w:sz w:val="19"/>
                <w:szCs w:val="19"/>
              </w:rPr>
            </w:pPr>
            <w:r>
              <w:rPr>
                <w:sz w:val="19"/>
                <w:szCs w:val="19"/>
                <w:spacing w:val="-1"/>
                <w:position w:val="2"/>
              </w:rPr>
              <w:t>17891</w:t>
            </w:r>
          </w:p>
        </w:tc>
        <w:tc>
          <w:tcPr>
            <w:tcW w:w="727" w:type="dxa"/>
            <w:vAlign w:val="top"/>
          </w:tcPr>
          <w:p>
            <w:pPr>
              <w:pStyle w:val="TableText"/>
              <w:ind w:left="183"/>
              <w:spacing w:before="148" w:line="285" w:lineRule="exact"/>
              <w:rPr>
                <w:sz w:val="19"/>
                <w:szCs w:val="19"/>
              </w:rPr>
            </w:pPr>
            <w:r>
              <w:rPr>
                <w:sz w:val="19"/>
                <w:szCs w:val="19"/>
                <w:spacing w:val="-2"/>
                <w:position w:val="2"/>
              </w:rPr>
              <w:t>1721</w:t>
            </w:r>
          </w:p>
        </w:tc>
        <w:tc>
          <w:tcPr>
            <w:tcW w:w="699" w:type="dxa"/>
            <w:vAlign w:val="top"/>
          </w:tcPr>
          <w:p>
            <w:pPr>
              <w:rPr>
                <w:rFonts w:ascii="Arial"/>
                <w:sz w:val="21"/>
              </w:rPr>
            </w:pPr>
            <w:r/>
          </w:p>
        </w:tc>
        <w:tc>
          <w:tcPr>
            <w:tcW w:w="727" w:type="dxa"/>
            <w:vAlign w:val="top"/>
          </w:tcPr>
          <w:p>
            <w:pPr>
              <w:rPr>
                <w:rFonts w:ascii="Arial"/>
                <w:sz w:val="21"/>
              </w:rPr>
            </w:pPr>
            <w:r/>
          </w:p>
        </w:tc>
        <w:tc>
          <w:tcPr>
            <w:tcW w:w="657" w:type="dxa"/>
            <w:vAlign w:val="top"/>
          </w:tcPr>
          <w:p>
            <w:pPr>
              <w:pStyle w:val="TableText"/>
              <w:ind w:left="85"/>
              <w:spacing w:before="148" w:line="285" w:lineRule="exact"/>
              <w:rPr>
                <w:sz w:val="19"/>
                <w:szCs w:val="19"/>
              </w:rPr>
            </w:pPr>
            <w:r>
              <w:rPr>
                <w:sz w:val="19"/>
                <w:szCs w:val="19"/>
                <w:spacing w:val="2"/>
                <w:position w:val="2"/>
              </w:rPr>
              <w:t>23228</w:t>
            </w:r>
          </w:p>
        </w:tc>
        <w:tc>
          <w:tcPr>
            <w:tcW w:w="978" w:type="dxa"/>
            <w:vAlign w:val="top"/>
          </w:tcPr>
          <w:p>
            <w:pPr>
              <w:rPr>
                <w:rFonts w:ascii="Arial"/>
                <w:sz w:val="21"/>
              </w:rPr>
            </w:pPr>
            <w:r/>
          </w:p>
        </w:tc>
        <w:tc>
          <w:tcPr>
            <w:tcW w:w="741" w:type="dxa"/>
            <w:vAlign w:val="top"/>
          </w:tcPr>
          <w:p>
            <w:pPr>
              <w:rPr>
                <w:rFonts w:ascii="Arial"/>
                <w:sz w:val="21"/>
              </w:rPr>
            </w:pPr>
            <w:r/>
          </w:p>
        </w:tc>
        <w:tc>
          <w:tcPr>
            <w:tcW w:w="740" w:type="dxa"/>
            <w:vAlign w:val="top"/>
            <w:tcBorders>
              <w:right w:val="single" w:color="000000" w:sz="6" w:space="0"/>
            </w:tcBorders>
          </w:tcPr>
          <w:p>
            <w:pPr>
              <w:rPr>
                <w:rFonts w:ascii="Arial"/>
                <w:sz w:val="21"/>
              </w:rPr>
            </w:pPr>
            <w:r/>
          </w:p>
        </w:tc>
      </w:tr>
      <w:tr>
        <w:trPr>
          <w:trHeight w:val="487" w:hRule="atLeast"/>
        </w:trPr>
        <w:tc>
          <w:tcPr>
            <w:tcW w:w="969" w:type="dxa"/>
            <w:vAlign w:val="top"/>
            <w:tcBorders>
              <w:left w:val="single" w:color="000000" w:sz="6" w:space="0"/>
            </w:tcBorders>
          </w:tcPr>
          <w:p>
            <w:pPr>
              <w:pStyle w:val="TableText"/>
              <w:ind w:left="179"/>
              <w:spacing w:before="160" w:line="212" w:lineRule="auto"/>
              <w:rPr>
                <w:sz w:val="19"/>
                <w:szCs w:val="19"/>
              </w:rPr>
            </w:pPr>
            <w:r>
              <w:rPr>
                <w:sz w:val="19"/>
                <w:szCs w:val="19"/>
                <w:spacing w:val="8"/>
              </w:rPr>
              <w:t>原州区</w:t>
            </w:r>
          </w:p>
        </w:tc>
        <w:tc>
          <w:tcPr>
            <w:tcW w:w="625" w:type="dxa"/>
            <w:vAlign w:val="top"/>
          </w:tcPr>
          <w:p>
            <w:pPr>
              <w:pStyle w:val="TableText"/>
              <w:ind w:left="8"/>
              <w:spacing w:before="151" w:line="285" w:lineRule="exact"/>
              <w:rPr>
                <w:sz w:val="19"/>
                <w:szCs w:val="19"/>
              </w:rPr>
            </w:pPr>
            <w:r>
              <w:rPr>
                <w:sz w:val="19"/>
                <w:szCs w:val="19"/>
                <w:spacing w:val="2"/>
                <w:position w:val="2"/>
              </w:rPr>
              <w:t>299336</w:t>
            </w:r>
          </w:p>
        </w:tc>
        <w:tc>
          <w:tcPr>
            <w:tcW w:w="755" w:type="dxa"/>
            <w:vAlign w:val="top"/>
          </w:tcPr>
          <w:p>
            <w:pPr>
              <w:pStyle w:val="TableText"/>
              <w:ind w:left="74"/>
              <w:spacing w:before="151" w:line="285" w:lineRule="exact"/>
              <w:rPr>
                <w:sz w:val="19"/>
                <w:szCs w:val="19"/>
              </w:rPr>
            </w:pPr>
            <w:r>
              <w:rPr>
                <w:sz w:val="19"/>
                <w:szCs w:val="19"/>
                <w:spacing w:val="2"/>
                <w:position w:val="2"/>
              </w:rPr>
              <w:t>280754</w:t>
            </w:r>
          </w:p>
        </w:tc>
        <w:tc>
          <w:tcPr>
            <w:tcW w:w="588" w:type="dxa"/>
            <w:vAlign w:val="top"/>
          </w:tcPr>
          <w:p>
            <w:pPr>
              <w:pStyle w:val="TableText"/>
              <w:ind w:left="38"/>
              <w:spacing w:before="151" w:line="285" w:lineRule="exact"/>
              <w:rPr>
                <w:sz w:val="19"/>
                <w:szCs w:val="19"/>
              </w:rPr>
            </w:pPr>
            <w:r>
              <w:rPr>
                <w:sz w:val="19"/>
                <w:szCs w:val="19"/>
                <w:spacing w:val="4"/>
                <w:position w:val="2"/>
              </w:rPr>
              <w:t>-2287</w:t>
            </w:r>
          </w:p>
        </w:tc>
        <w:tc>
          <w:tcPr>
            <w:tcW w:w="685" w:type="dxa"/>
            <w:vAlign w:val="top"/>
          </w:tcPr>
          <w:p>
            <w:pPr>
              <w:pStyle w:val="TableText"/>
              <w:ind w:left="55"/>
              <w:spacing w:before="151" w:line="285" w:lineRule="exact"/>
              <w:rPr>
                <w:sz w:val="19"/>
                <w:szCs w:val="19"/>
              </w:rPr>
            </w:pPr>
            <w:r>
              <w:rPr>
                <w:sz w:val="19"/>
                <w:szCs w:val="19"/>
                <w:position w:val="2"/>
              </w:rPr>
              <w:t>106510</w:t>
            </w:r>
          </w:p>
        </w:tc>
        <w:tc>
          <w:tcPr>
            <w:tcW w:w="839" w:type="dxa"/>
            <w:vAlign w:val="top"/>
          </w:tcPr>
          <w:p>
            <w:pPr>
              <w:pStyle w:val="TableText"/>
              <w:ind w:left="184"/>
              <w:spacing w:before="151" w:line="285" w:lineRule="exact"/>
              <w:rPr>
                <w:sz w:val="19"/>
                <w:szCs w:val="19"/>
              </w:rPr>
            </w:pPr>
            <w:r>
              <w:rPr>
                <w:sz w:val="19"/>
                <w:szCs w:val="19"/>
                <w:spacing w:val="-1"/>
                <w:position w:val="2"/>
              </w:rPr>
              <w:t>12269</w:t>
            </w:r>
          </w:p>
        </w:tc>
        <w:tc>
          <w:tcPr>
            <w:tcW w:w="616" w:type="dxa"/>
            <w:vAlign w:val="top"/>
          </w:tcPr>
          <w:p>
            <w:pPr>
              <w:pStyle w:val="TableText"/>
              <w:ind w:left="110"/>
              <w:spacing w:before="151" w:line="285" w:lineRule="exact"/>
              <w:rPr>
                <w:sz w:val="19"/>
                <w:szCs w:val="19"/>
              </w:rPr>
            </w:pPr>
            <w:r>
              <w:rPr>
                <w:sz w:val="19"/>
                <w:szCs w:val="19"/>
                <w:spacing w:val="1"/>
                <w:position w:val="2"/>
              </w:rPr>
              <w:t>3386</w:t>
            </w:r>
          </w:p>
        </w:tc>
        <w:tc>
          <w:tcPr>
            <w:tcW w:w="699" w:type="dxa"/>
            <w:vAlign w:val="top"/>
          </w:tcPr>
          <w:p>
            <w:pPr>
              <w:rPr>
                <w:rFonts w:ascii="Arial"/>
                <w:sz w:val="21"/>
              </w:rPr>
            </w:pPr>
            <w:r/>
          </w:p>
        </w:tc>
        <w:tc>
          <w:tcPr>
            <w:tcW w:w="698" w:type="dxa"/>
            <w:vAlign w:val="top"/>
          </w:tcPr>
          <w:p>
            <w:pPr>
              <w:rPr>
                <w:rFonts w:ascii="Arial"/>
                <w:sz w:val="21"/>
              </w:rPr>
            </w:pPr>
            <w:r/>
          </w:p>
        </w:tc>
        <w:tc>
          <w:tcPr>
            <w:tcW w:w="741" w:type="dxa"/>
            <w:vAlign w:val="top"/>
          </w:tcPr>
          <w:p>
            <w:pPr>
              <w:pStyle w:val="TableText"/>
              <w:ind w:left="217"/>
              <w:spacing w:before="151" w:line="285" w:lineRule="exact"/>
              <w:rPr>
                <w:sz w:val="19"/>
                <w:szCs w:val="19"/>
              </w:rPr>
            </w:pPr>
            <w:r>
              <w:rPr>
                <w:sz w:val="19"/>
                <w:szCs w:val="19"/>
                <w:spacing w:val="2"/>
                <w:position w:val="2"/>
              </w:rPr>
              <w:t>475</w:t>
            </w:r>
          </w:p>
        </w:tc>
        <w:tc>
          <w:tcPr>
            <w:tcW w:w="755" w:type="dxa"/>
            <w:vAlign w:val="top"/>
          </w:tcPr>
          <w:p>
            <w:pPr>
              <w:pStyle w:val="TableText"/>
              <w:ind w:left="145"/>
              <w:spacing w:before="151" w:line="285" w:lineRule="exact"/>
              <w:rPr>
                <w:sz w:val="19"/>
                <w:szCs w:val="19"/>
              </w:rPr>
            </w:pPr>
            <w:r>
              <w:rPr>
                <w:sz w:val="19"/>
                <w:szCs w:val="19"/>
                <w:spacing w:val="-1"/>
                <w:position w:val="2"/>
              </w:rPr>
              <w:t>14226</w:t>
            </w:r>
          </w:p>
        </w:tc>
        <w:tc>
          <w:tcPr>
            <w:tcW w:w="657" w:type="dxa"/>
            <w:vAlign w:val="top"/>
          </w:tcPr>
          <w:p>
            <w:pPr>
              <w:pStyle w:val="TableText"/>
              <w:ind w:left="96"/>
              <w:spacing w:before="151" w:line="285" w:lineRule="exact"/>
              <w:rPr>
                <w:sz w:val="19"/>
                <w:szCs w:val="19"/>
              </w:rPr>
            </w:pPr>
            <w:r>
              <w:rPr>
                <w:sz w:val="19"/>
                <w:szCs w:val="19"/>
                <w:spacing w:val="-1"/>
                <w:position w:val="2"/>
              </w:rPr>
              <w:t>17891</w:t>
            </w:r>
          </w:p>
        </w:tc>
        <w:tc>
          <w:tcPr>
            <w:tcW w:w="727" w:type="dxa"/>
            <w:vAlign w:val="top"/>
          </w:tcPr>
          <w:p>
            <w:pPr>
              <w:pStyle w:val="TableText"/>
              <w:ind w:left="183"/>
              <w:spacing w:before="151" w:line="285" w:lineRule="exact"/>
              <w:rPr>
                <w:sz w:val="19"/>
                <w:szCs w:val="19"/>
              </w:rPr>
            </w:pPr>
            <w:r>
              <w:rPr>
                <w:sz w:val="19"/>
                <w:szCs w:val="19"/>
                <w:spacing w:val="-2"/>
                <w:position w:val="2"/>
              </w:rPr>
              <w:t>1721</w:t>
            </w:r>
          </w:p>
        </w:tc>
        <w:tc>
          <w:tcPr>
            <w:tcW w:w="699" w:type="dxa"/>
            <w:vAlign w:val="top"/>
          </w:tcPr>
          <w:p>
            <w:pPr>
              <w:rPr>
                <w:rFonts w:ascii="Arial"/>
                <w:sz w:val="21"/>
              </w:rPr>
            </w:pPr>
            <w:r/>
          </w:p>
        </w:tc>
        <w:tc>
          <w:tcPr>
            <w:tcW w:w="727" w:type="dxa"/>
            <w:vAlign w:val="top"/>
          </w:tcPr>
          <w:p>
            <w:pPr>
              <w:rPr>
                <w:rFonts w:ascii="Arial"/>
                <w:sz w:val="21"/>
              </w:rPr>
            </w:pPr>
            <w:r/>
          </w:p>
        </w:tc>
        <w:tc>
          <w:tcPr>
            <w:tcW w:w="657" w:type="dxa"/>
            <w:vAlign w:val="top"/>
          </w:tcPr>
          <w:p>
            <w:pPr>
              <w:pStyle w:val="TableText"/>
              <w:ind w:left="85"/>
              <w:spacing w:before="151" w:line="285" w:lineRule="exact"/>
              <w:rPr>
                <w:sz w:val="19"/>
                <w:szCs w:val="19"/>
              </w:rPr>
            </w:pPr>
            <w:r>
              <w:rPr>
                <w:sz w:val="19"/>
                <w:szCs w:val="19"/>
                <w:spacing w:val="2"/>
                <w:position w:val="2"/>
              </w:rPr>
              <w:t>23228</w:t>
            </w:r>
          </w:p>
        </w:tc>
        <w:tc>
          <w:tcPr>
            <w:tcW w:w="978" w:type="dxa"/>
            <w:vAlign w:val="top"/>
          </w:tcPr>
          <w:p>
            <w:pPr>
              <w:rPr>
                <w:rFonts w:ascii="Arial"/>
                <w:sz w:val="21"/>
              </w:rPr>
            </w:pPr>
            <w:r/>
          </w:p>
        </w:tc>
        <w:tc>
          <w:tcPr>
            <w:tcW w:w="741" w:type="dxa"/>
            <w:vAlign w:val="top"/>
          </w:tcPr>
          <w:p>
            <w:pPr>
              <w:rPr>
                <w:rFonts w:ascii="Arial"/>
                <w:sz w:val="21"/>
              </w:rPr>
            </w:pPr>
            <w:r/>
          </w:p>
        </w:tc>
        <w:tc>
          <w:tcPr>
            <w:tcW w:w="740" w:type="dxa"/>
            <w:vAlign w:val="top"/>
            <w:tcBorders>
              <w:right w:val="single" w:color="000000" w:sz="6" w:space="0"/>
            </w:tcBorders>
          </w:tcPr>
          <w:p>
            <w:pPr>
              <w:rPr>
                <w:rFonts w:ascii="Arial"/>
                <w:sz w:val="21"/>
              </w:rPr>
            </w:pPr>
            <w:r/>
          </w:p>
        </w:tc>
      </w:tr>
      <w:tr>
        <w:trPr>
          <w:trHeight w:val="498" w:hRule="atLeast"/>
        </w:trPr>
        <w:tc>
          <w:tcPr>
            <w:tcW w:w="969" w:type="dxa"/>
            <w:vAlign w:val="top"/>
            <w:tcBorders>
              <w:left w:val="single" w:color="000000" w:sz="6" w:space="0"/>
              <w:bottom w:val="single" w:color="000000" w:sz="6" w:space="0"/>
            </w:tcBorders>
          </w:tcPr>
          <w:p>
            <w:pPr>
              <w:rPr>
                <w:rFonts w:ascii="Arial"/>
                <w:sz w:val="21"/>
              </w:rPr>
            </w:pPr>
            <w:r/>
          </w:p>
        </w:tc>
        <w:tc>
          <w:tcPr>
            <w:tcW w:w="625" w:type="dxa"/>
            <w:vAlign w:val="top"/>
            <w:tcBorders>
              <w:bottom w:val="single" w:color="000000" w:sz="6" w:space="0"/>
            </w:tcBorders>
          </w:tcPr>
          <w:p>
            <w:pPr>
              <w:rPr>
                <w:rFonts w:ascii="Arial"/>
                <w:sz w:val="21"/>
              </w:rPr>
            </w:pPr>
            <w:r/>
          </w:p>
        </w:tc>
        <w:tc>
          <w:tcPr>
            <w:tcW w:w="755" w:type="dxa"/>
            <w:vAlign w:val="top"/>
            <w:tcBorders>
              <w:bottom w:val="single" w:color="000000" w:sz="6" w:space="0"/>
            </w:tcBorders>
          </w:tcPr>
          <w:p>
            <w:pPr>
              <w:rPr>
                <w:rFonts w:ascii="Arial"/>
                <w:sz w:val="21"/>
              </w:rPr>
            </w:pPr>
            <w:r/>
          </w:p>
        </w:tc>
        <w:tc>
          <w:tcPr>
            <w:tcW w:w="588" w:type="dxa"/>
            <w:vAlign w:val="top"/>
            <w:tcBorders>
              <w:bottom w:val="single" w:color="000000" w:sz="6" w:space="0"/>
            </w:tcBorders>
          </w:tcPr>
          <w:p>
            <w:pPr>
              <w:rPr>
                <w:rFonts w:ascii="Arial"/>
                <w:sz w:val="21"/>
              </w:rPr>
            </w:pPr>
            <w:r/>
          </w:p>
        </w:tc>
        <w:tc>
          <w:tcPr>
            <w:tcW w:w="685" w:type="dxa"/>
            <w:vAlign w:val="top"/>
            <w:tcBorders>
              <w:bottom w:val="single" w:color="000000" w:sz="6" w:space="0"/>
            </w:tcBorders>
          </w:tcPr>
          <w:p>
            <w:pPr>
              <w:rPr>
                <w:rFonts w:ascii="Arial"/>
                <w:sz w:val="21"/>
              </w:rPr>
            </w:pPr>
            <w:r/>
          </w:p>
        </w:tc>
        <w:tc>
          <w:tcPr>
            <w:tcW w:w="839" w:type="dxa"/>
            <w:vAlign w:val="top"/>
            <w:tcBorders>
              <w:bottom w:val="single" w:color="000000" w:sz="6" w:space="0"/>
            </w:tcBorders>
          </w:tcPr>
          <w:p>
            <w:pPr>
              <w:rPr>
                <w:rFonts w:ascii="Arial"/>
                <w:sz w:val="21"/>
              </w:rPr>
            </w:pPr>
            <w:r/>
          </w:p>
        </w:tc>
        <w:tc>
          <w:tcPr>
            <w:tcW w:w="616" w:type="dxa"/>
            <w:vAlign w:val="top"/>
            <w:tcBorders>
              <w:bottom w:val="single" w:color="000000" w:sz="6" w:space="0"/>
            </w:tcBorders>
          </w:tcPr>
          <w:p>
            <w:pPr>
              <w:rPr>
                <w:rFonts w:ascii="Arial"/>
                <w:sz w:val="21"/>
              </w:rPr>
            </w:pPr>
            <w:r/>
          </w:p>
        </w:tc>
        <w:tc>
          <w:tcPr>
            <w:tcW w:w="699" w:type="dxa"/>
            <w:vAlign w:val="top"/>
            <w:tcBorders>
              <w:bottom w:val="single" w:color="000000" w:sz="6" w:space="0"/>
            </w:tcBorders>
          </w:tcPr>
          <w:p>
            <w:pPr>
              <w:rPr>
                <w:rFonts w:ascii="Arial"/>
                <w:sz w:val="21"/>
              </w:rPr>
            </w:pPr>
            <w:r/>
          </w:p>
        </w:tc>
        <w:tc>
          <w:tcPr>
            <w:tcW w:w="698" w:type="dxa"/>
            <w:vAlign w:val="top"/>
            <w:tcBorders>
              <w:bottom w:val="single" w:color="000000" w:sz="6" w:space="0"/>
            </w:tcBorders>
          </w:tcPr>
          <w:p>
            <w:pPr>
              <w:rPr>
                <w:rFonts w:ascii="Arial"/>
                <w:sz w:val="21"/>
              </w:rPr>
            </w:pPr>
            <w:r/>
          </w:p>
        </w:tc>
        <w:tc>
          <w:tcPr>
            <w:tcW w:w="741" w:type="dxa"/>
            <w:vAlign w:val="top"/>
            <w:tcBorders>
              <w:bottom w:val="single" w:color="000000" w:sz="6" w:space="0"/>
            </w:tcBorders>
          </w:tcPr>
          <w:p>
            <w:pPr>
              <w:rPr>
                <w:rFonts w:ascii="Arial"/>
                <w:sz w:val="21"/>
              </w:rPr>
            </w:pPr>
            <w:r/>
          </w:p>
        </w:tc>
        <w:tc>
          <w:tcPr>
            <w:tcW w:w="755" w:type="dxa"/>
            <w:vAlign w:val="top"/>
            <w:tcBorders>
              <w:bottom w:val="single" w:color="000000" w:sz="6" w:space="0"/>
            </w:tcBorders>
          </w:tcPr>
          <w:p>
            <w:pPr>
              <w:rPr>
                <w:rFonts w:ascii="Arial"/>
                <w:sz w:val="21"/>
              </w:rPr>
            </w:pPr>
            <w:r/>
          </w:p>
        </w:tc>
        <w:tc>
          <w:tcPr>
            <w:tcW w:w="657" w:type="dxa"/>
            <w:vAlign w:val="top"/>
            <w:tcBorders>
              <w:bottom w:val="single" w:color="000000" w:sz="6" w:space="0"/>
            </w:tcBorders>
          </w:tcPr>
          <w:p>
            <w:pPr>
              <w:rPr>
                <w:rFonts w:ascii="Arial"/>
                <w:sz w:val="21"/>
              </w:rPr>
            </w:pPr>
            <w:r/>
          </w:p>
        </w:tc>
        <w:tc>
          <w:tcPr>
            <w:tcW w:w="727" w:type="dxa"/>
            <w:vAlign w:val="top"/>
            <w:tcBorders>
              <w:bottom w:val="single" w:color="000000" w:sz="6" w:space="0"/>
            </w:tcBorders>
          </w:tcPr>
          <w:p>
            <w:pPr>
              <w:rPr>
                <w:rFonts w:ascii="Arial"/>
                <w:sz w:val="21"/>
              </w:rPr>
            </w:pPr>
            <w:r/>
          </w:p>
        </w:tc>
        <w:tc>
          <w:tcPr>
            <w:tcW w:w="699" w:type="dxa"/>
            <w:vAlign w:val="top"/>
            <w:tcBorders>
              <w:bottom w:val="single" w:color="000000" w:sz="6" w:space="0"/>
            </w:tcBorders>
          </w:tcPr>
          <w:p>
            <w:pPr>
              <w:rPr>
                <w:rFonts w:ascii="Arial"/>
                <w:sz w:val="21"/>
              </w:rPr>
            </w:pPr>
            <w:r/>
          </w:p>
        </w:tc>
        <w:tc>
          <w:tcPr>
            <w:tcW w:w="727" w:type="dxa"/>
            <w:vAlign w:val="top"/>
            <w:tcBorders>
              <w:bottom w:val="single" w:color="000000" w:sz="6" w:space="0"/>
            </w:tcBorders>
          </w:tcPr>
          <w:p>
            <w:pPr>
              <w:rPr>
                <w:rFonts w:ascii="Arial"/>
                <w:sz w:val="21"/>
              </w:rPr>
            </w:pPr>
            <w:r/>
          </w:p>
        </w:tc>
        <w:tc>
          <w:tcPr>
            <w:tcW w:w="657" w:type="dxa"/>
            <w:vAlign w:val="top"/>
            <w:tcBorders>
              <w:bottom w:val="single" w:color="000000" w:sz="6" w:space="0"/>
            </w:tcBorders>
          </w:tcPr>
          <w:p>
            <w:pPr>
              <w:rPr>
                <w:rFonts w:ascii="Arial"/>
                <w:sz w:val="21"/>
              </w:rPr>
            </w:pPr>
            <w:r/>
          </w:p>
        </w:tc>
        <w:tc>
          <w:tcPr>
            <w:tcW w:w="978" w:type="dxa"/>
            <w:vAlign w:val="top"/>
            <w:tcBorders>
              <w:bottom w:val="single" w:color="000000" w:sz="6" w:space="0"/>
            </w:tcBorders>
          </w:tcPr>
          <w:p>
            <w:pPr>
              <w:rPr>
                <w:rFonts w:ascii="Arial"/>
                <w:sz w:val="21"/>
              </w:rPr>
            </w:pPr>
            <w:r/>
          </w:p>
        </w:tc>
        <w:tc>
          <w:tcPr>
            <w:tcW w:w="741" w:type="dxa"/>
            <w:vAlign w:val="top"/>
            <w:tcBorders>
              <w:bottom w:val="single" w:color="000000" w:sz="6" w:space="0"/>
            </w:tcBorders>
          </w:tcPr>
          <w:p>
            <w:pPr>
              <w:rPr>
                <w:rFonts w:ascii="Arial"/>
                <w:sz w:val="21"/>
              </w:rPr>
            </w:pPr>
            <w:r/>
          </w:p>
        </w:tc>
        <w:tc>
          <w:tcPr>
            <w:tcW w:w="740" w:type="dxa"/>
            <w:vAlign w:val="top"/>
            <w:tcBorders>
              <w:bottom w:val="single" w:color="000000" w:sz="6" w:space="0"/>
              <w:right w:val="single" w:color="000000" w:sz="6" w:space="0"/>
            </w:tcBorders>
          </w:tcPr>
          <w:p>
            <w:pPr>
              <w:rPr>
                <w:rFonts w:ascii="Arial"/>
                <w:sz w:val="21"/>
              </w:rPr>
            </w:pPr>
            <w:r/>
          </w:p>
        </w:tc>
      </w:tr>
    </w:tbl>
    <w:p>
      <w:pPr>
        <w:spacing w:line="143" w:lineRule="exact"/>
        <w:rPr>
          <w:rFonts w:ascii="Arial"/>
          <w:sz w:val="12"/>
        </w:rPr>
      </w:pPr>
      <w:r/>
    </w:p>
    <w:p>
      <w:pPr>
        <w:spacing w:line="143" w:lineRule="exact"/>
        <w:sectPr>
          <w:headerReference w:type="default" r:id="rId99"/>
          <w:footerReference w:type="default" r:id="rId100"/>
          <w:pgSz w:w="16839" w:h="11906"/>
          <w:pgMar w:top="1792" w:right="1457" w:bottom="1660" w:left="1457" w:header="1428" w:footer="1289" w:gutter="0"/>
        </w:sectPr>
        <w:rPr>
          <w:rFonts w:ascii="Arial" w:hAnsi="Arial" w:eastAsia="Arial" w:cs="Arial"/>
          <w:sz w:val="12"/>
          <w:szCs w:val="12"/>
        </w:rPr>
      </w:pPr>
    </w:p>
    <w:p>
      <w:pPr>
        <w:ind w:left="132"/>
        <w:spacing w:before="260" w:line="180" w:lineRule="auto"/>
        <w:rPr>
          <w:rFonts w:ascii="Microsoft YaHei" w:hAnsi="Microsoft YaHei" w:eastAsia="Microsoft YaHei" w:cs="Microsoft YaHei"/>
          <w:sz w:val="20"/>
          <w:szCs w:val="20"/>
        </w:rPr>
      </w:pPr>
      <w:r>
        <w:drawing>
          <wp:anchor distT="0" distB="0" distL="0" distR="0" simplePos="0" relativeHeight="251697152"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202" name="IM 202"/>
            <wp:cNvGraphicFramePr/>
            <a:graphic>
              <a:graphicData uri="http://schemas.openxmlformats.org/drawingml/2006/picture">
                <pic:pic>
                  <pic:nvPicPr>
                    <pic:cNvPr id="202" name="IM 202"/>
                    <pic:cNvPicPr/>
                  </pic:nvPicPr>
                  <pic:blipFill>
                    <a:blip r:embed="rId103"/>
                    <a:stretch>
                      <a:fillRect/>
                    </a:stretch>
                  </pic:blipFill>
                  <pic:spPr>
                    <a:xfrm rot="0">
                      <a:off x="0" y="0"/>
                      <a:ext cx="8712200" cy="7620"/>
                    </a:xfrm>
                    <a:prstGeom prst="rect">
                      <a:avLst/>
                    </a:prstGeom>
                  </pic:spPr>
                </pic:pic>
              </a:graphicData>
            </a:graphic>
          </wp:anchor>
        </w:drawing>
      </w:r>
      <w:r>
        <w:rPr>
          <w:rFonts w:ascii="Microsoft YaHei" w:hAnsi="Microsoft YaHei" w:eastAsia="Microsoft YaHei" w:cs="Microsoft YaHei"/>
          <w:sz w:val="20"/>
          <w:szCs w:val="20"/>
          <w:spacing w:val="5"/>
        </w:rPr>
        <w:t>表九</w:t>
      </w:r>
    </w:p>
    <w:p>
      <w:pPr>
        <w:pStyle w:val="BodyText"/>
        <w:ind w:left="2388"/>
        <w:spacing w:before="47" w:line="496" w:lineRule="exact"/>
        <w:rPr>
          <w:sz w:val="35"/>
          <w:szCs w:val="35"/>
        </w:rPr>
      </w:pPr>
      <w:r>
        <w:rPr>
          <w:sz w:val="35"/>
          <w:szCs w:val="35"/>
          <w:b/>
          <w:bCs/>
          <w:spacing w:val="4"/>
          <w:position w:val="2"/>
        </w:rPr>
        <w:t>固原市级</w:t>
      </w:r>
      <w:r>
        <w:rPr>
          <w:sz w:val="35"/>
          <w:szCs w:val="35"/>
          <w:spacing w:val="-60"/>
          <w:position w:val="2"/>
        </w:rPr>
        <w:t xml:space="preserve"> </w:t>
      </w:r>
      <w:r>
        <w:rPr>
          <w:sz w:val="35"/>
          <w:szCs w:val="35"/>
          <w:b/>
          <w:bCs/>
          <w:spacing w:val="4"/>
          <w:position w:val="2"/>
        </w:rPr>
        <w:t>2021</w:t>
      </w:r>
      <w:r>
        <w:rPr>
          <w:sz w:val="35"/>
          <w:szCs w:val="35"/>
          <w:spacing w:val="-78"/>
          <w:position w:val="2"/>
        </w:rPr>
        <w:t xml:space="preserve"> </w:t>
      </w:r>
      <w:r>
        <w:rPr>
          <w:sz w:val="35"/>
          <w:szCs w:val="35"/>
          <w:b/>
          <w:bCs/>
          <w:spacing w:val="4"/>
          <w:position w:val="2"/>
        </w:rPr>
        <w:t>年对下一般公共预算转移支付表（分地区）</w:t>
      </w:r>
    </w:p>
    <w:p>
      <w:pPr>
        <w:pStyle w:val="BodyText"/>
        <w:ind w:left="12740"/>
        <w:spacing w:before="69" w:line="241" w:lineRule="auto"/>
        <w:rPr/>
      </w:pPr>
      <w:r>
        <w:rPr>
          <w:spacing w:val="9"/>
        </w:rPr>
        <w:t>单位：万元</w:t>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48"/>
        <w:gridCol w:w="975"/>
        <w:gridCol w:w="838"/>
        <w:gridCol w:w="837"/>
        <w:gridCol w:w="836"/>
        <w:gridCol w:w="755"/>
        <w:gridCol w:w="726"/>
        <w:gridCol w:w="685"/>
        <w:gridCol w:w="755"/>
        <w:gridCol w:w="699"/>
        <w:gridCol w:w="755"/>
        <w:gridCol w:w="657"/>
        <w:gridCol w:w="560"/>
        <w:gridCol w:w="616"/>
        <w:gridCol w:w="657"/>
        <w:gridCol w:w="642"/>
        <w:gridCol w:w="741"/>
        <w:gridCol w:w="602"/>
        <w:gridCol w:w="712"/>
      </w:tblGrid>
      <w:tr>
        <w:trPr>
          <w:trHeight w:val="510" w:hRule="atLeast"/>
        </w:trPr>
        <w:tc>
          <w:tcPr>
            <w:tcW w:w="13896" w:type="dxa"/>
            <w:vAlign w:val="top"/>
            <w:gridSpan w:val="19"/>
            <w:tcBorders>
              <w:left w:val="single" w:color="000000" w:sz="6" w:space="0"/>
              <w:right w:val="single" w:color="000000" w:sz="6" w:space="0"/>
              <w:top w:val="single" w:color="000000" w:sz="6" w:space="0"/>
            </w:tcBorders>
          </w:tcPr>
          <w:p>
            <w:pPr>
              <w:pStyle w:val="TableText"/>
              <w:ind w:left="4784"/>
              <w:spacing w:before="192" w:line="216" w:lineRule="auto"/>
              <w:rPr/>
            </w:pPr>
            <w:r>
              <w:rPr>
                <w:b/>
                <w:bCs/>
                <w:spacing w:val="-3"/>
              </w:rPr>
              <w:t>一</w:t>
            </w:r>
            <w:r>
              <w:rPr>
                <w:spacing w:val="-3"/>
              </w:rPr>
              <w:t xml:space="preserve">     </w:t>
            </w:r>
            <w:r>
              <w:rPr>
                <w:b/>
                <w:bCs/>
                <w:spacing w:val="-3"/>
              </w:rPr>
              <w:t>般</w:t>
            </w:r>
            <w:r>
              <w:rPr>
                <w:spacing w:val="1"/>
              </w:rPr>
              <w:t xml:space="preserve">      </w:t>
            </w:r>
            <w:r>
              <w:rPr>
                <w:b/>
                <w:bCs/>
                <w:spacing w:val="-3"/>
              </w:rPr>
              <w:t>性</w:t>
            </w:r>
            <w:r>
              <w:rPr>
                <w:spacing w:val="1"/>
              </w:rPr>
              <w:t xml:space="preserve">      </w:t>
            </w:r>
            <w:r>
              <w:rPr>
                <w:b/>
                <w:bCs/>
                <w:spacing w:val="-3"/>
              </w:rPr>
              <w:t>转</w:t>
            </w:r>
            <w:r>
              <w:rPr>
                <w:spacing w:val="1"/>
              </w:rPr>
              <w:t xml:space="preserve">      </w:t>
            </w:r>
            <w:r>
              <w:rPr>
                <w:b/>
                <w:bCs/>
                <w:spacing w:val="-3"/>
              </w:rPr>
              <w:t>移</w:t>
            </w:r>
            <w:r>
              <w:rPr>
                <w:spacing w:val="2"/>
              </w:rPr>
              <w:t xml:space="preserve">      </w:t>
            </w:r>
            <w:r>
              <w:rPr>
                <w:b/>
                <w:bCs/>
                <w:spacing w:val="-3"/>
              </w:rPr>
              <w:t>支</w:t>
            </w:r>
            <w:r>
              <w:rPr>
                <w:spacing w:val="1"/>
              </w:rPr>
              <w:t xml:space="preserve">     </w:t>
            </w:r>
            <w:r>
              <w:rPr>
                <w:b/>
                <w:bCs/>
                <w:spacing w:val="-3"/>
              </w:rPr>
              <w:t>付</w:t>
            </w:r>
          </w:p>
        </w:tc>
      </w:tr>
      <w:tr>
        <w:trPr>
          <w:trHeight w:val="2220" w:hRule="atLeast"/>
        </w:trPr>
        <w:tc>
          <w:tcPr>
            <w:tcW w:w="848" w:type="dxa"/>
            <w:vAlign w:val="top"/>
            <w:tcBorders>
              <w:left w:val="single" w:color="000000" w:sz="6" w:space="0"/>
            </w:tcBorders>
          </w:tcPr>
          <w:p>
            <w:pPr>
              <w:spacing w:line="269" w:lineRule="auto"/>
              <w:rPr>
                <w:rFonts w:ascii="Arial"/>
                <w:sz w:val="21"/>
              </w:rPr>
            </w:pPr>
            <w:r/>
          </w:p>
          <w:p>
            <w:pPr>
              <w:spacing w:line="269" w:lineRule="auto"/>
              <w:rPr>
                <w:rFonts w:ascii="Arial"/>
                <w:sz w:val="21"/>
              </w:rPr>
            </w:pPr>
            <w:r/>
          </w:p>
          <w:p>
            <w:pPr>
              <w:pStyle w:val="TableText"/>
              <w:ind w:left="54" w:right="60"/>
              <w:spacing w:before="58" w:line="307" w:lineRule="auto"/>
              <w:rPr/>
            </w:pPr>
            <w:r>
              <w:rPr>
                <w:b/>
                <w:bCs/>
                <w:spacing w:val="-2"/>
              </w:rPr>
              <w:t>公共安全</w:t>
            </w:r>
            <w:r>
              <w:rPr>
                <w:b/>
                <w:bCs/>
                <w:spacing w:val="-3"/>
              </w:rPr>
              <w:t>共同财政</w:t>
            </w:r>
          </w:p>
          <w:p>
            <w:pPr>
              <w:pStyle w:val="TableText"/>
              <w:ind w:left="56" w:right="60"/>
              <w:spacing w:line="311" w:lineRule="auto"/>
              <w:rPr/>
            </w:pPr>
            <w:r>
              <w:rPr>
                <w:b/>
                <w:bCs/>
                <w:spacing w:val="-3"/>
              </w:rPr>
              <w:t>事权转移</w:t>
            </w:r>
            <w:r>
              <w:rPr>
                <w:b/>
                <w:bCs/>
                <w:spacing w:val="-3"/>
              </w:rPr>
              <w:t>支付收入</w:t>
            </w:r>
          </w:p>
        </w:tc>
        <w:tc>
          <w:tcPr>
            <w:tcW w:w="975" w:type="dxa"/>
            <w:vAlign w:val="top"/>
          </w:tcPr>
          <w:p>
            <w:pPr>
              <w:spacing w:line="343" w:lineRule="auto"/>
              <w:rPr>
                <w:rFonts w:ascii="Arial"/>
                <w:sz w:val="21"/>
              </w:rPr>
            </w:pPr>
            <w:r/>
          </w:p>
          <w:p>
            <w:pPr>
              <w:spacing w:line="344" w:lineRule="auto"/>
              <w:rPr>
                <w:rFonts w:ascii="Arial"/>
                <w:sz w:val="21"/>
              </w:rPr>
            </w:pPr>
            <w:r/>
          </w:p>
          <w:p>
            <w:pPr>
              <w:pStyle w:val="TableText"/>
              <w:ind w:left="29"/>
              <w:spacing w:before="58" w:line="211" w:lineRule="auto"/>
              <w:rPr/>
            </w:pPr>
            <w:r>
              <w:rPr>
                <w:b/>
                <w:bCs/>
                <w:spacing w:val="-3"/>
              </w:rPr>
              <w:t>教育共同财</w:t>
            </w:r>
          </w:p>
          <w:p>
            <w:pPr>
              <w:pStyle w:val="TableText"/>
              <w:ind w:left="29"/>
              <w:spacing w:before="93" w:line="211" w:lineRule="auto"/>
              <w:rPr/>
            </w:pPr>
            <w:r>
              <w:rPr>
                <w:b/>
                <w:bCs/>
                <w:spacing w:val="-3"/>
              </w:rPr>
              <w:t>政事权转移</w:t>
            </w:r>
          </w:p>
          <w:p>
            <w:pPr>
              <w:pStyle w:val="TableText"/>
              <w:ind w:left="121"/>
              <w:spacing w:before="92" w:line="216" w:lineRule="auto"/>
              <w:rPr/>
            </w:pPr>
            <w:r>
              <w:rPr>
                <w:b/>
                <w:bCs/>
                <w:spacing w:val="-3"/>
              </w:rPr>
              <w:t>支付收入</w:t>
            </w:r>
          </w:p>
        </w:tc>
        <w:tc>
          <w:tcPr>
            <w:tcW w:w="838" w:type="dxa"/>
            <w:vAlign w:val="top"/>
          </w:tcPr>
          <w:p>
            <w:pPr>
              <w:spacing w:line="268" w:lineRule="auto"/>
              <w:rPr>
                <w:rFonts w:ascii="Arial"/>
                <w:sz w:val="21"/>
              </w:rPr>
            </w:pPr>
            <w:r/>
          </w:p>
          <w:p>
            <w:pPr>
              <w:spacing w:line="268" w:lineRule="auto"/>
              <w:rPr>
                <w:rFonts w:ascii="Arial"/>
                <w:sz w:val="21"/>
              </w:rPr>
            </w:pPr>
            <w:r/>
          </w:p>
          <w:p>
            <w:pPr>
              <w:pStyle w:val="TableText"/>
              <w:ind w:left="51" w:right="56"/>
              <w:spacing w:before="58" w:line="308" w:lineRule="auto"/>
              <w:rPr/>
            </w:pPr>
            <w:r>
              <w:rPr>
                <w:b/>
                <w:bCs/>
                <w:spacing w:val="-2"/>
              </w:rPr>
              <w:t>科学技术</w:t>
            </w:r>
            <w:r>
              <w:rPr>
                <w:b/>
                <w:bCs/>
                <w:spacing w:val="-3"/>
              </w:rPr>
              <w:t>共同财政</w:t>
            </w:r>
          </w:p>
          <w:p>
            <w:pPr>
              <w:pStyle w:val="TableText"/>
              <w:ind w:left="53" w:right="56"/>
              <w:spacing w:line="311" w:lineRule="auto"/>
              <w:rPr/>
            </w:pPr>
            <w:r>
              <w:rPr>
                <w:b/>
                <w:bCs/>
                <w:spacing w:val="-3"/>
              </w:rPr>
              <w:t>事权转移</w:t>
            </w:r>
            <w:r>
              <w:rPr>
                <w:b/>
                <w:bCs/>
                <w:spacing w:val="-3"/>
              </w:rPr>
              <w:t>支付收入</w:t>
            </w:r>
          </w:p>
        </w:tc>
        <w:tc>
          <w:tcPr>
            <w:tcW w:w="837" w:type="dxa"/>
            <w:vAlign w:val="top"/>
          </w:tcPr>
          <w:p>
            <w:pPr>
              <w:spacing w:line="389" w:lineRule="auto"/>
              <w:rPr>
                <w:rFonts w:ascii="Arial"/>
                <w:sz w:val="21"/>
              </w:rPr>
            </w:pPr>
            <w:r/>
          </w:p>
          <w:p>
            <w:pPr>
              <w:pStyle w:val="TableText"/>
              <w:ind w:left="30" w:right="28" w:firstLine="23"/>
              <w:spacing w:before="59" w:line="309" w:lineRule="auto"/>
              <w:jc w:val="both"/>
              <w:rPr/>
            </w:pPr>
            <w:r>
              <w:rPr>
                <w:b/>
                <w:bCs/>
                <w:spacing w:val="-3"/>
              </w:rPr>
              <w:t>文化旅游</w:t>
            </w:r>
            <w:r>
              <w:rPr>
                <w:b/>
                <w:bCs/>
                <w:spacing w:val="3"/>
              </w:rPr>
              <w:t>体育与传</w:t>
            </w:r>
            <w:r>
              <w:rPr>
                <w:b/>
                <w:bCs/>
                <w:spacing w:val="3"/>
              </w:rPr>
              <w:t>媒共同财</w:t>
            </w:r>
            <w:r>
              <w:rPr>
                <w:b/>
                <w:bCs/>
                <w:spacing w:val="3"/>
              </w:rPr>
              <w:t>政事权转</w:t>
            </w:r>
            <w:r>
              <w:rPr>
                <w:b/>
                <w:bCs/>
                <w:spacing w:val="-12"/>
                <w:w w:val="90"/>
              </w:rPr>
              <w:t>移支付收入</w:t>
            </w:r>
          </w:p>
        </w:tc>
        <w:tc>
          <w:tcPr>
            <w:tcW w:w="836" w:type="dxa"/>
            <w:vAlign w:val="top"/>
          </w:tcPr>
          <w:p>
            <w:pPr>
              <w:spacing w:line="387" w:lineRule="auto"/>
              <w:rPr>
                <w:rFonts w:ascii="Arial"/>
                <w:sz w:val="21"/>
              </w:rPr>
            </w:pPr>
            <w:r/>
          </w:p>
          <w:p>
            <w:pPr>
              <w:pStyle w:val="TableText"/>
              <w:ind w:left="52"/>
              <w:spacing w:before="58" w:line="213" w:lineRule="auto"/>
              <w:rPr/>
            </w:pPr>
            <w:r>
              <w:rPr>
                <w:b/>
                <w:bCs/>
                <w:spacing w:val="-3"/>
              </w:rPr>
              <w:t>社会保障</w:t>
            </w:r>
          </w:p>
          <w:p>
            <w:pPr>
              <w:pStyle w:val="TableText"/>
              <w:ind w:left="59"/>
              <w:spacing w:before="94" w:line="211" w:lineRule="auto"/>
              <w:rPr/>
            </w:pPr>
            <w:r>
              <w:rPr>
                <w:b/>
                <w:bCs/>
                <w:spacing w:val="-4"/>
              </w:rPr>
              <w:t>和就业共</w:t>
            </w:r>
          </w:p>
          <w:p>
            <w:pPr>
              <w:pStyle w:val="TableText"/>
              <w:ind w:left="69"/>
              <w:spacing w:before="94" w:line="211" w:lineRule="auto"/>
              <w:rPr/>
            </w:pPr>
            <w:r>
              <w:rPr>
                <w:b/>
                <w:bCs/>
                <w:spacing w:val="-7"/>
              </w:rPr>
              <w:t>同财政事</w:t>
            </w:r>
          </w:p>
          <w:p>
            <w:pPr>
              <w:pStyle w:val="TableText"/>
              <w:ind w:left="52"/>
              <w:spacing w:before="94" w:line="210" w:lineRule="auto"/>
              <w:rPr/>
            </w:pPr>
            <w:r>
              <w:rPr>
                <w:b/>
                <w:bCs/>
                <w:spacing w:val="-3"/>
              </w:rPr>
              <w:t>权转移支</w:t>
            </w:r>
          </w:p>
          <w:p>
            <w:pPr>
              <w:pStyle w:val="TableText"/>
              <w:ind w:left="141"/>
              <w:spacing w:before="92" w:line="216" w:lineRule="auto"/>
              <w:rPr/>
            </w:pPr>
            <w:r>
              <w:rPr>
                <w:b/>
                <w:bCs/>
                <w:spacing w:val="-3"/>
              </w:rPr>
              <w:t>付收入</w:t>
            </w:r>
          </w:p>
        </w:tc>
        <w:tc>
          <w:tcPr>
            <w:tcW w:w="755" w:type="dxa"/>
            <w:vAlign w:val="top"/>
          </w:tcPr>
          <w:p>
            <w:pPr>
              <w:spacing w:line="387" w:lineRule="auto"/>
              <w:rPr>
                <w:rFonts w:ascii="Arial"/>
                <w:sz w:val="21"/>
              </w:rPr>
            </w:pPr>
            <w:r/>
          </w:p>
          <w:p>
            <w:pPr>
              <w:pStyle w:val="TableText"/>
              <w:ind w:left="67" w:right="66" w:firstLine="46"/>
              <w:spacing w:before="59" w:line="310" w:lineRule="auto"/>
              <w:jc w:val="both"/>
              <w:rPr/>
            </w:pPr>
            <w:r>
              <w:rPr>
                <w:b/>
                <w:bCs/>
                <w:spacing w:val="-7"/>
              </w:rPr>
              <w:t>医疗卫</w:t>
            </w:r>
            <w:r>
              <w:rPr>
                <w:b/>
                <w:bCs/>
                <w:spacing w:val="9"/>
              </w:rPr>
              <w:t>生共同</w:t>
            </w:r>
            <w:r>
              <w:rPr>
                <w:b/>
                <w:bCs/>
                <w:spacing w:val="9"/>
              </w:rPr>
              <w:t>财政事</w:t>
            </w:r>
            <w:r>
              <w:rPr>
                <w:b/>
                <w:bCs/>
                <w:spacing w:val="9"/>
              </w:rPr>
              <w:t>权转移</w:t>
            </w:r>
            <w:r>
              <w:rPr>
                <w:b/>
                <w:bCs/>
                <w:spacing w:val="-12"/>
                <w:w w:val="90"/>
              </w:rPr>
              <w:t>支付收入</w:t>
            </w:r>
          </w:p>
        </w:tc>
        <w:tc>
          <w:tcPr>
            <w:tcW w:w="726" w:type="dxa"/>
            <w:vAlign w:val="top"/>
          </w:tcPr>
          <w:p>
            <w:pPr>
              <w:spacing w:line="392" w:lineRule="auto"/>
              <w:rPr>
                <w:rFonts w:ascii="Arial"/>
                <w:sz w:val="21"/>
              </w:rPr>
            </w:pPr>
            <w:r/>
          </w:p>
          <w:p>
            <w:pPr>
              <w:pStyle w:val="TableText"/>
              <w:ind w:left="53" w:right="50" w:firstLine="35"/>
              <w:spacing w:before="58" w:line="309" w:lineRule="auto"/>
              <w:jc w:val="both"/>
              <w:rPr/>
            </w:pPr>
            <w:r>
              <w:rPr>
                <w:b/>
                <w:bCs/>
                <w:spacing w:val="-3"/>
              </w:rPr>
              <w:t>节能环</w:t>
            </w:r>
            <w:r>
              <w:rPr>
                <w:b/>
                <w:bCs/>
                <w:spacing w:val="9"/>
              </w:rPr>
              <w:t>保共同</w:t>
            </w:r>
            <w:r>
              <w:rPr>
                <w:b/>
                <w:bCs/>
                <w:spacing w:val="9"/>
              </w:rPr>
              <w:t>财政事</w:t>
            </w:r>
            <w:r>
              <w:rPr>
                <w:b/>
                <w:bCs/>
                <w:spacing w:val="9"/>
              </w:rPr>
              <w:t>权转移</w:t>
            </w:r>
            <w:r>
              <w:rPr>
                <w:b/>
                <w:bCs/>
                <w:spacing w:val="-12"/>
                <w:w w:val="90"/>
              </w:rPr>
              <w:t>支付收入</w:t>
            </w:r>
          </w:p>
        </w:tc>
        <w:tc>
          <w:tcPr>
            <w:tcW w:w="685" w:type="dxa"/>
            <w:vAlign w:val="top"/>
          </w:tcPr>
          <w:p>
            <w:pPr>
              <w:spacing w:line="392" w:lineRule="auto"/>
              <w:rPr>
                <w:rFonts w:ascii="Arial"/>
                <w:sz w:val="21"/>
              </w:rPr>
            </w:pPr>
            <w:r/>
          </w:p>
          <w:p>
            <w:pPr>
              <w:pStyle w:val="TableText"/>
              <w:ind w:left="45" w:right="18" w:firstLine="35"/>
              <w:spacing w:before="59" w:line="309" w:lineRule="auto"/>
              <w:jc w:val="both"/>
              <w:rPr/>
            </w:pPr>
            <w:r>
              <w:rPr>
                <w:b/>
                <w:bCs/>
                <w:spacing w:val="-3"/>
              </w:rPr>
              <w:t>城乡社</w:t>
            </w:r>
            <w:r>
              <w:rPr>
                <w:b/>
                <w:bCs/>
                <w:spacing w:val="9"/>
              </w:rPr>
              <w:t>区共同</w:t>
            </w:r>
            <w:r>
              <w:rPr>
                <w:b/>
                <w:bCs/>
                <w:spacing w:val="9"/>
              </w:rPr>
              <w:t>财政事</w:t>
            </w:r>
            <w:r>
              <w:rPr>
                <w:b/>
                <w:bCs/>
                <w:spacing w:val="9"/>
              </w:rPr>
              <w:t>权转移</w:t>
            </w:r>
            <w:r>
              <w:rPr>
                <w:b/>
                <w:bCs/>
                <w:spacing w:val="-12"/>
                <w:w w:val="90"/>
              </w:rPr>
              <w:t>支付收入</w:t>
            </w:r>
          </w:p>
        </w:tc>
        <w:tc>
          <w:tcPr>
            <w:tcW w:w="755" w:type="dxa"/>
            <w:vAlign w:val="top"/>
          </w:tcPr>
          <w:p>
            <w:pPr>
              <w:spacing w:line="390" w:lineRule="auto"/>
              <w:rPr>
                <w:rFonts w:ascii="Arial"/>
                <w:sz w:val="21"/>
              </w:rPr>
            </w:pPr>
            <w:r/>
          </w:p>
          <w:p>
            <w:pPr>
              <w:pStyle w:val="TableText"/>
              <w:ind w:left="105" w:right="100" w:hanging="2"/>
              <w:spacing w:before="58" w:line="307" w:lineRule="auto"/>
              <w:rPr/>
            </w:pPr>
            <w:r>
              <w:rPr>
                <w:b/>
                <w:bCs/>
                <w:spacing w:val="-2"/>
              </w:rPr>
              <w:t>农林水</w:t>
            </w:r>
            <w:r>
              <w:rPr>
                <w:b/>
                <w:bCs/>
                <w:spacing w:val="-3"/>
              </w:rPr>
              <w:t>共同财</w:t>
            </w:r>
          </w:p>
          <w:p>
            <w:pPr>
              <w:pStyle w:val="TableText"/>
              <w:ind w:left="106" w:right="100"/>
              <w:spacing w:line="306" w:lineRule="auto"/>
              <w:rPr/>
            </w:pPr>
            <w:r>
              <w:rPr>
                <w:b/>
                <w:bCs/>
                <w:spacing w:val="-3"/>
              </w:rPr>
              <w:t>政事权</w:t>
            </w:r>
            <w:r>
              <w:rPr>
                <w:b/>
                <w:bCs/>
                <w:spacing w:val="-3"/>
              </w:rPr>
              <w:t>转移支</w:t>
            </w:r>
          </w:p>
          <w:p>
            <w:pPr>
              <w:pStyle w:val="TableText"/>
              <w:ind w:left="106"/>
              <w:spacing w:line="216" w:lineRule="auto"/>
              <w:rPr/>
            </w:pPr>
            <w:r>
              <w:rPr>
                <w:b/>
                <w:bCs/>
                <w:spacing w:val="-3"/>
              </w:rPr>
              <w:t>付收入</w:t>
            </w:r>
          </w:p>
        </w:tc>
        <w:tc>
          <w:tcPr>
            <w:tcW w:w="699" w:type="dxa"/>
            <w:vAlign w:val="top"/>
          </w:tcPr>
          <w:p>
            <w:pPr>
              <w:spacing w:line="392" w:lineRule="auto"/>
              <w:rPr>
                <w:rFonts w:ascii="Arial"/>
                <w:sz w:val="21"/>
              </w:rPr>
            </w:pPr>
            <w:r/>
          </w:p>
          <w:p>
            <w:pPr>
              <w:pStyle w:val="TableText"/>
              <w:ind w:left="45" w:right="32" w:firstLine="35"/>
              <w:spacing w:before="59" w:line="309" w:lineRule="auto"/>
              <w:jc w:val="both"/>
              <w:rPr/>
            </w:pPr>
            <w:r>
              <w:rPr>
                <w:b/>
                <w:bCs/>
                <w:spacing w:val="-3"/>
              </w:rPr>
              <w:t>交通运</w:t>
            </w:r>
            <w:r>
              <w:rPr>
                <w:b/>
                <w:bCs/>
                <w:spacing w:val="9"/>
              </w:rPr>
              <w:t>输共同</w:t>
            </w:r>
            <w:r>
              <w:rPr>
                <w:b/>
                <w:bCs/>
                <w:spacing w:val="9"/>
              </w:rPr>
              <w:t>财政事</w:t>
            </w:r>
            <w:r>
              <w:rPr>
                <w:b/>
                <w:bCs/>
                <w:spacing w:val="9"/>
              </w:rPr>
              <w:t>权转移</w:t>
            </w:r>
            <w:r>
              <w:rPr>
                <w:b/>
                <w:bCs/>
                <w:spacing w:val="-12"/>
                <w:w w:val="90"/>
              </w:rPr>
              <w:t>支付收入</w:t>
            </w:r>
          </w:p>
        </w:tc>
        <w:tc>
          <w:tcPr>
            <w:tcW w:w="755" w:type="dxa"/>
            <w:vAlign w:val="top"/>
          </w:tcPr>
          <w:p>
            <w:pPr>
              <w:spacing w:line="388" w:lineRule="auto"/>
              <w:rPr>
                <w:rFonts w:ascii="Arial"/>
                <w:sz w:val="21"/>
              </w:rPr>
            </w:pPr>
            <w:r/>
          </w:p>
          <w:p>
            <w:pPr>
              <w:pStyle w:val="TableText"/>
              <w:spacing w:before="58" w:line="212" w:lineRule="auto"/>
              <w:jc w:val="right"/>
              <w:rPr/>
            </w:pPr>
            <w:r>
              <w:rPr>
                <w:b/>
                <w:bCs/>
                <w:spacing w:val="-5"/>
              </w:rPr>
              <w:t>资源勘探</w:t>
            </w:r>
          </w:p>
          <w:p>
            <w:pPr>
              <w:pStyle w:val="TableText"/>
              <w:spacing w:before="91" w:line="215" w:lineRule="auto"/>
              <w:jc w:val="right"/>
              <w:rPr/>
            </w:pPr>
            <w:r>
              <w:rPr>
                <w:b/>
                <w:bCs/>
                <w:spacing w:val="-4"/>
              </w:rPr>
              <w:t>信息等共</w:t>
            </w:r>
          </w:p>
          <w:p>
            <w:pPr>
              <w:pStyle w:val="TableText"/>
              <w:spacing w:before="92" w:line="211" w:lineRule="auto"/>
              <w:jc w:val="right"/>
              <w:rPr/>
            </w:pPr>
            <w:r>
              <w:rPr>
                <w:b/>
                <w:bCs/>
                <w:spacing w:val="-8"/>
              </w:rPr>
              <w:t>同财政事</w:t>
            </w:r>
          </w:p>
          <w:p>
            <w:pPr>
              <w:pStyle w:val="TableText"/>
              <w:spacing w:before="94" w:line="210" w:lineRule="auto"/>
              <w:jc w:val="right"/>
              <w:rPr/>
            </w:pPr>
            <w:r>
              <w:rPr>
                <w:b/>
                <w:bCs/>
                <w:spacing w:val="-9"/>
              </w:rPr>
              <w:t>权转移支</w:t>
            </w:r>
          </w:p>
          <w:p>
            <w:pPr>
              <w:pStyle w:val="TableText"/>
              <w:ind w:left="161"/>
              <w:spacing w:before="93" w:line="216" w:lineRule="auto"/>
              <w:rPr/>
            </w:pPr>
            <w:r>
              <w:rPr>
                <w:b/>
                <w:bCs/>
                <w:spacing w:val="-12"/>
                <w:w w:val="95"/>
              </w:rPr>
              <w:t>付收入</w:t>
            </w:r>
          </w:p>
        </w:tc>
        <w:tc>
          <w:tcPr>
            <w:tcW w:w="657" w:type="dxa"/>
            <w:vAlign w:val="top"/>
          </w:tcPr>
          <w:p>
            <w:pPr>
              <w:pStyle w:val="TableText"/>
              <w:ind w:right="10"/>
              <w:spacing w:before="297" w:line="214" w:lineRule="auto"/>
              <w:jc w:val="right"/>
              <w:rPr/>
            </w:pPr>
            <w:r>
              <w:rPr>
                <w:b/>
                <w:bCs/>
                <w:spacing w:val="-3"/>
              </w:rPr>
              <w:t>商业服</w:t>
            </w:r>
          </w:p>
          <w:p>
            <w:pPr>
              <w:pStyle w:val="TableText"/>
              <w:ind w:right="10"/>
              <w:spacing w:before="91" w:line="213" w:lineRule="auto"/>
              <w:jc w:val="right"/>
              <w:rPr/>
            </w:pPr>
            <w:r>
              <w:rPr>
                <w:b/>
                <w:bCs/>
                <w:spacing w:val="-3"/>
              </w:rPr>
              <w:t>务业等</w:t>
            </w:r>
          </w:p>
          <w:p>
            <w:pPr>
              <w:pStyle w:val="TableText"/>
              <w:ind w:right="10"/>
              <w:spacing w:before="93" w:line="211" w:lineRule="auto"/>
              <w:jc w:val="right"/>
              <w:rPr/>
            </w:pPr>
            <w:r>
              <w:rPr>
                <w:b/>
                <w:bCs/>
                <w:spacing w:val="-3"/>
              </w:rPr>
              <w:t>共同财</w:t>
            </w:r>
          </w:p>
          <w:p>
            <w:pPr>
              <w:pStyle w:val="TableText"/>
              <w:ind w:right="10"/>
              <w:spacing w:before="93" w:line="211" w:lineRule="auto"/>
              <w:jc w:val="right"/>
              <w:rPr/>
            </w:pPr>
            <w:r>
              <w:rPr>
                <w:b/>
                <w:bCs/>
                <w:spacing w:val="-3"/>
              </w:rPr>
              <w:t>政事权</w:t>
            </w:r>
          </w:p>
          <w:p>
            <w:pPr>
              <w:pStyle w:val="TableText"/>
              <w:ind w:right="10"/>
              <w:spacing w:before="95" w:line="211" w:lineRule="auto"/>
              <w:jc w:val="right"/>
              <w:rPr/>
            </w:pPr>
            <w:r>
              <w:rPr>
                <w:b/>
                <w:bCs/>
                <w:spacing w:val="-3"/>
              </w:rPr>
              <w:t>转移支</w:t>
            </w:r>
          </w:p>
          <w:p>
            <w:pPr>
              <w:pStyle w:val="TableText"/>
              <w:ind w:right="10"/>
              <w:spacing w:before="91" w:line="216" w:lineRule="auto"/>
              <w:jc w:val="right"/>
              <w:rPr/>
            </w:pPr>
            <w:r>
              <w:rPr>
                <w:b/>
                <w:bCs/>
                <w:spacing w:val="-3"/>
              </w:rPr>
              <w:t>付收入</w:t>
            </w:r>
          </w:p>
        </w:tc>
        <w:tc>
          <w:tcPr>
            <w:tcW w:w="560" w:type="dxa"/>
            <w:vAlign w:val="top"/>
          </w:tcPr>
          <w:p>
            <w:pPr>
              <w:pStyle w:val="TableText"/>
              <w:ind w:left="103"/>
              <w:spacing w:before="152" w:line="209" w:lineRule="auto"/>
              <w:rPr/>
            </w:pPr>
            <w:r>
              <w:rPr>
                <w:b/>
                <w:bCs/>
                <w:spacing w:val="-4"/>
              </w:rPr>
              <w:t>金融</w:t>
            </w:r>
          </w:p>
          <w:p>
            <w:pPr>
              <w:pStyle w:val="TableText"/>
              <w:ind w:left="102"/>
              <w:spacing w:before="94" w:line="211" w:lineRule="auto"/>
              <w:rPr/>
            </w:pPr>
            <w:r>
              <w:rPr>
                <w:b/>
                <w:bCs/>
                <w:spacing w:val="-4"/>
              </w:rPr>
              <w:t>共同</w:t>
            </w:r>
          </w:p>
          <w:p>
            <w:pPr>
              <w:pStyle w:val="TableText"/>
              <w:ind w:left="104"/>
              <w:spacing w:before="94" w:line="211" w:lineRule="auto"/>
              <w:rPr/>
            </w:pPr>
            <w:r>
              <w:rPr>
                <w:b/>
                <w:bCs/>
                <w:spacing w:val="-5"/>
              </w:rPr>
              <w:t>财政</w:t>
            </w:r>
          </w:p>
          <w:p>
            <w:pPr>
              <w:pStyle w:val="TableText"/>
              <w:ind w:left="103"/>
              <w:spacing w:before="93" w:line="211" w:lineRule="auto"/>
              <w:rPr/>
            </w:pPr>
            <w:r>
              <w:rPr>
                <w:b/>
                <w:bCs/>
                <w:spacing w:val="-4"/>
              </w:rPr>
              <w:t>事权</w:t>
            </w:r>
          </w:p>
          <w:p>
            <w:pPr>
              <w:pStyle w:val="TableText"/>
              <w:ind w:left="103"/>
              <w:spacing w:before="94" w:line="211" w:lineRule="auto"/>
              <w:rPr/>
            </w:pPr>
            <w:r>
              <w:rPr>
                <w:b/>
                <w:bCs/>
                <w:spacing w:val="-4"/>
              </w:rPr>
              <w:t>转移</w:t>
            </w:r>
          </w:p>
          <w:p>
            <w:pPr>
              <w:pStyle w:val="TableText"/>
              <w:ind w:left="104"/>
              <w:spacing w:before="91" w:line="216" w:lineRule="auto"/>
              <w:rPr/>
            </w:pPr>
            <w:r>
              <w:rPr>
                <w:b/>
                <w:bCs/>
                <w:spacing w:val="-5"/>
              </w:rPr>
              <w:t>支付</w:t>
            </w:r>
          </w:p>
          <w:p>
            <w:pPr>
              <w:pStyle w:val="TableText"/>
              <w:ind w:left="109"/>
              <w:spacing w:before="95" w:line="206" w:lineRule="auto"/>
              <w:rPr/>
            </w:pPr>
            <w:r>
              <w:rPr>
                <w:b/>
                <w:bCs/>
                <w:spacing w:val="-7"/>
              </w:rPr>
              <w:t>收入</w:t>
            </w:r>
          </w:p>
        </w:tc>
        <w:tc>
          <w:tcPr>
            <w:tcW w:w="616" w:type="dxa"/>
            <w:vAlign w:val="top"/>
          </w:tcPr>
          <w:p>
            <w:pPr>
              <w:pStyle w:val="TableText"/>
              <w:spacing w:before="148" w:line="213" w:lineRule="auto"/>
              <w:jc w:val="right"/>
              <w:rPr/>
            </w:pPr>
            <w:r>
              <w:rPr>
                <w:b/>
                <w:bCs/>
                <w:spacing w:val="-14"/>
              </w:rPr>
              <w:t>自然资</w:t>
            </w:r>
          </w:p>
          <w:p>
            <w:pPr>
              <w:pStyle w:val="TableText"/>
              <w:spacing w:before="93" w:line="211" w:lineRule="auto"/>
              <w:jc w:val="right"/>
              <w:rPr/>
            </w:pPr>
            <w:r>
              <w:rPr>
                <w:b/>
                <w:bCs/>
                <w:spacing w:val="-4"/>
              </w:rPr>
              <w:t>源海洋</w:t>
            </w:r>
          </w:p>
          <w:p>
            <w:pPr>
              <w:pStyle w:val="TableText"/>
              <w:spacing w:before="92" w:line="214" w:lineRule="auto"/>
              <w:jc w:val="right"/>
              <w:rPr/>
            </w:pPr>
            <w:r>
              <w:rPr>
                <w:b/>
                <w:bCs/>
                <w:spacing w:val="-3"/>
              </w:rPr>
              <w:t>气象等</w:t>
            </w:r>
          </w:p>
          <w:p>
            <w:pPr>
              <w:pStyle w:val="TableText"/>
              <w:spacing w:before="93" w:line="211" w:lineRule="auto"/>
              <w:jc w:val="right"/>
              <w:rPr/>
            </w:pPr>
            <w:r>
              <w:rPr>
                <w:b/>
                <w:bCs/>
                <w:spacing w:val="-3"/>
              </w:rPr>
              <w:t>共同财</w:t>
            </w:r>
          </w:p>
          <w:p>
            <w:pPr>
              <w:pStyle w:val="TableText"/>
              <w:spacing w:before="93" w:line="211" w:lineRule="auto"/>
              <w:jc w:val="right"/>
              <w:rPr/>
            </w:pPr>
            <w:r>
              <w:rPr>
                <w:b/>
                <w:bCs/>
                <w:spacing w:val="-3"/>
              </w:rPr>
              <w:t>政事权</w:t>
            </w:r>
          </w:p>
          <w:p>
            <w:pPr>
              <w:pStyle w:val="TableText"/>
              <w:spacing w:before="95" w:line="211" w:lineRule="auto"/>
              <w:jc w:val="right"/>
              <w:rPr/>
            </w:pPr>
            <w:r>
              <w:rPr>
                <w:b/>
                <w:bCs/>
                <w:spacing w:val="-3"/>
              </w:rPr>
              <w:t>转移支</w:t>
            </w:r>
          </w:p>
          <w:p>
            <w:pPr>
              <w:pStyle w:val="TableText"/>
              <w:spacing w:before="92" w:line="216" w:lineRule="auto"/>
              <w:jc w:val="right"/>
              <w:rPr/>
            </w:pPr>
            <w:r>
              <w:rPr>
                <w:b/>
                <w:bCs/>
                <w:spacing w:val="-3"/>
              </w:rPr>
              <w:t>付收入</w:t>
            </w:r>
          </w:p>
        </w:tc>
        <w:tc>
          <w:tcPr>
            <w:tcW w:w="657" w:type="dxa"/>
            <w:vAlign w:val="top"/>
          </w:tcPr>
          <w:p>
            <w:pPr>
              <w:spacing w:line="391" w:lineRule="auto"/>
              <w:rPr>
                <w:rFonts w:ascii="Arial"/>
                <w:sz w:val="21"/>
              </w:rPr>
            </w:pPr>
            <w:r/>
          </w:p>
          <w:p>
            <w:pPr>
              <w:pStyle w:val="TableText"/>
              <w:ind w:left="12" w:right="22" w:firstLine="34"/>
              <w:spacing w:before="58" w:line="309" w:lineRule="auto"/>
              <w:jc w:val="both"/>
              <w:rPr/>
            </w:pPr>
            <w:r>
              <w:rPr>
                <w:b/>
                <w:bCs/>
                <w:spacing w:val="-3"/>
              </w:rPr>
              <w:t>住房保</w:t>
            </w:r>
            <w:r>
              <w:rPr>
                <w:b/>
                <w:bCs/>
                <w:spacing w:val="9"/>
              </w:rPr>
              <w:t>障共同</w:t>
            </w:r>
            <w:r>
              <w:rPr>
                <w:b/>
                <w:bCs/>
                <w:spacing w:val="9"/>
              </w:rPr>
              <w:t>财政事</w:t>
            </w:r>
            <w:r>
              <w:rPr>
                <w:b/>
                <w:bCs/>
                <w:spacing w:val="9"/>
              </w:rPr>
              <w:t>权转移</w:t>
            </w:r>
            <w:r>
              <w:rPr>
                <w:b/>
                <w:bCs/>
                <w:spacing w:val="-12"/>
                <w:w w:val="90"/>
              </w:rPr>
              <w:t>支付收入</w:t>
            </w:r>
          </w:p>
        </w:tc>
        <w:tc>
          <w:tcPr>
            <w:tcW w:w="642" w:type="dxa"/>
            <w:vAlign w:val="top"/>
          </w:tcPr>
          <w:p>
            <w:pPr>
              <w:pStyle w:val="TableText"/>
              <w:ind w:right="8"/>
              <w:spacing w:before="299" w:line="208" w:lineRule="auto"/>
              <w:jc w:val="right"/>
              <w:rPr/>
            </w:pPr>
            <w:r>
              <w:rPr>
                <w:b/>
                <w:bCs/>
                <w:spacing w:val="-3"/>
              </w:rPr>
              <w:t>粮油物</w:t>
            </w:r>
          </w:p>
          <w:p>
            <w:pPr>
              <w:pStyle w:val="TableText"/>
              <w:ind w:right="8"/>
              <w:spacing w:before="94" w:line="214" w:lineRule="auto"/>
              <w:jc w:val="right"/>
              <w:rPr/>
            </w:pPr>
            <w:r>
              <w:rPr>
                <w:b/>
                <w:bCs/>
                <w:spacing w:val="-4"/>
              </w:rPr>
              <w:t>资储备</w:t>
            </w:r>
          </w:p>
          <w:p>
            <w:pPr>
              <w:pStyle w:val="TableText"/>
              <w:ind w:right="8"/>
              <w:spacing w:before="92" w:line="211" w:lineRule="auto"/>
              <w:jc w:val="right"/>
              <w:rPr/>
            </w:pPr>
            <w:r>
              <w:rPr>
                <w:b/>
                <w:bCs/>
                <w:spacing w:val="-3"/>
              </w:rPr>
              <w:t>共同财</w:t>
            </w:r>
          </w:p>
          <w:p>
            <w:pPr>
              <w:pStyle w:val="TableText"/>
              <w:ind w:right="8"/>
              <w:spacing w:before="94" w:line="211" w:lineRule="auto"/>
              <w:jc w:val="right"/>
              <w:rPr/>
            </w:pPr>
            <w:r>
              <w:rPr>
                <w:b/>
                <w:bCs/>
                <w:spacing w:val="-3"/>
              </w:rPr>
              <w:t>政事权</w:t>
            </w:r>
          </w:p>
          <w:p>
            <w:pPr>
              <w:pStyle w:val="TableText"/>
              <w:ind w:right="8"/>
              <w:spacing w:before="95" w:line="211" w:lineRule="auto"/>
              <w:jc w:val="right"/>
              <w:rPr/>
            </w:pPr>
            <w:r>
              <w:rPr>
                <w:b/>
                <w:bCs/>
                <w:spacing w:val="-3"/>
              </w:rPr>
              <w:t>转移支</w:t>
            </w:r>
          </w:p>
          <w:p>
            <w:pPr>
              <w:pStyle w:val="TableText"/>
              <w:ind w:right="8"/>
              <w:spacing w:before="91" w:line="216" w:lineRule="auto"/>
              <w:jc w:val="right"/>
              <w:rPr/>
            </w:pPr>
            <w:r>
              <w:rPr>
                <w:b/>
                <w:bCs/>
                <w:spacing w:val="-3"/>
              </w:rPr>
              <w:t>付收入</w:t>
            </w:r>
          </w:p>
        </w:tc>
        <w:tc>
          <w:tcPr>
            <w:tcW w:w="741" w:type="dxa"/>
            <w:vAlign w:val="top"/>
          </w:tcPr>
          <w:p>
            <w:pPr>
              <w:pStyle w:val="TableText"/>
              <w:ind w:left="120"/>
              <w:spacing w:before="150" w:line="211" w:lineRule="auto"/>
              <w:rPr/>
            </w:pPr>
            <w:r>
              <w:rPr>
                <w:b/>
                <w:bCs/>
                <w:spacing w:val="-3"/>
              </w:rPr>
              <w:t>灾害防</w:t>
            </w:r>
          </w:p>
          <w:p>
            <w:pPr>
              <w:pStyle w:val="TableText"/>
              <w:ind w:left="121"/>
              <w:spacing w:before="94" w:line="214" w:lineRule="auto"/>
              <w:rPr/>
            </w:pPr>
            <w:r>
              <w:rPr>
                <w:b/>
                <w:bCs/>
                <w:spacing w:val="-3"/>
              </w:rPr>
              <w:t>治及应</w:t>
            </w:r>
          </w:p>
          <w:p>
            <w:pPr>
              <w:pStyle w:val="TableText"/>
              <w:ind w:left="122"/>
              <w:spacing w:before="91" w:line="210" w:lineRule="auto"/>
              <w:rPr/>
            </w:pPr>
            <w:r>
              <w:rPr>
                <w:b/>
                <w:bCs/>
                <w:spacing w:val="-4"/>
              </w:rPr>
              <w:t>急管理</w:t>
            </w:r>
          </w:p>
          <w:p>
            <w:pPr>
              <w:pStyle w:val="TableText"/>
              <w:ind w:left="118"/>
              <w:spacing w:before="94" w:line="211" w:lineRule="auto"/>
              <w:rPr/>
            </w:pPr>
            <w:r>
              <w:rPr>
                <w:b/>
                <w:bCs/>
                <w:spacing w:val="-3"/>
              </w:rPr>
              <w:t>共同财</w:t>
            </w:r>
          </w:p>
          <w:p>
            <w:pPr>
              <w:pStyle w:val="TableText"/>
              <w:ind w:left="120"/>
              <w:spacing w:before="93" w:line="211" w:lineRule="auto"/>
              <w:rPr/>
            </w:pPr>
            <w:r>
              <w:rPr>
                <w:b/>
                <w:bCs/>
                <w:spacing w:val="-3"/>
              </w:rPr>
              <w:t>政事权</w:t>
            </w:r>
          </w:p>
          <w:p>
            <w:pPr>
              <w:pStyle w:val="TableText"/>
              <w:ind w:left="120"/>
              <w:spacing w:before="95" w:line="211" w:lineRule="auto"/>
              <w:rPr/>
            </w:pPr>
            <w:r>
              <w:rPr>
                <w:b/>
                <w:bCs/>
                <w:spacing w:val="-3"/>
              </w:rPr>
              <w:t>转移支</w:t>
            </w:r>
          </w:p>
          <w:p>
            <w:pPr>
              <w:pStyle w:val="TableText"/>
              <w:ind w:left="119"/>
              <w:spacing w:before="92" w:line="216" w:lineRule="auto"/>
              <w:rPr/>
            </w:pPr>
            <w:r>
              <w:rPr>
                <w:b/>
                <w:bCs/>
                <w:spacing w:val="-3"/>
              </w:rPr>
              <w:t>付收入</w:t>
            </w:r>
          </w:p>
        </w:tc>
        <w:tc>
          <w:tcPr>
            <w:tcW w:w="602" w:type="dxa"/>
            <w:vAlign w:val="top"/>
          </w:tcPr>
          <w:p>
            <w:pPr>
              <w:spacing w:line="388" w:lineRule="auto"/>
              <w:rPr>
                <w:rFonts w:ascii="Arial"/>
                <w:sz w:val="21"/>
              </w:rPr>
            </w:pPr>
            <w:r/>
          </w:p>
          <w:p>
            <w:pPr>
              <w:pStyle w:val="TableText"/>
              <w:spacing w:before="58" w:line="213" w:lineRule="auto"/>
              <w:jc w:val="right"/>
              <w:rPr/>
            </w:pPr>
            <w:r>
              <w:rPr>
                <w:b/>
                <w:bCs/>
                <w:spacing w:val="-5"/>
              </w:rPr>
              <w:t>其他共</w:t>
            </w:r>
          </w:p>
          <w:p>
            <w:pPr>
              <w:pStyle w:val="TableText"/>
              <w:spacing w:before="93" w:line="211" w:lineRule="auto"/>
              <w:jc w:val="right"/>
              <w:rPr/>
            </w:pPr>
            <w:r>
              <w:rPr>
                <w:b/>
                <w:bCs/>
                <w:spacing w:val="-13"/>
              </w:rPr>
              <w:t>同</w:t>
            </w:r>
            <w:r>
              <w:rPr>
                <w:b/>
                <w:bCs/>
                <w:spacing w:val="-12"/>
              </w:rPr>
              <w:t>财</w:t>
            </w:r>
            <w:r>
              <w:rPr>
                <w:b/>
                <w:bCs/>
                <w:spacing w:val="-8"/>
              </w:rPr>
              <w:t>政</w:t>
            </w:r>
          </w:p>
          <w:p>
            <w:pPr>
              <w:pStyle w:val="TableText"/>
              <w:spacing w:before="93" w:line="211" w:lineRule="auto"/>
              <w:jc w:val="right"/>
              <w:rPr/>
            </w:pPr>
            <w:r>
              <w:rPr>
                <w:b/>
                <w:bCs/>
                <w:spacing w:val="-5"/>
              </w:rPr>
              <w:t>事权转</w:t>
            </w:r>
          </w:p>
          <w:p>
            <w:pPr>
              <w:pStyle w:val="TableText"/>
              <w:spacing w:before="92" w:line="216" w:lineRule="auto"/>
              <w:jc w:val="right"/>
              <w:rPr/>
            </w:pPr>
            <w:r>
              <w:rPr>
                <w:b/>
                <w:bCs/>
                <w:spacing w:val="-5"/>
              </w:rPr>
              <w:t>移支付</w:t>
            </w:r>
          </w:p>
          <w:p>
            <w:pPr>
              <w:pStyle w:val="TableText"/>
              <w:ind w:left="157"/>
              <w:spacing w:before="94" w:line="206" w:lineRule="auto"/>
              <w:rPr/>
            </w:pPr>
            <w:r>
              <w:rPr>
                <w:b/>
                <w:bCs/>
                <w:spacing w:val="-7"/>
              </w:rPr>
              <w:t>收入</w:t>
            </w:r>
          </w:p>
        </w:tc>
        <w:tc>
          <w:tcPr>
            <w:tcW w:w="712" w:type="dxa"/>
            <w:vAlign w:val="top"/>
            <w:tcBorders>
              <w:right w:val="single" w:color="000000" w:sz="6" w:space="0"/>
            </w:tcBorders>
          </w:tcPr>
          <w:p>
            <w:pPr>
              <w:spacing w:line="267" w:lineRule="auto"/>
              <w:rPr>
                <w:rFonts w:ascii="Arial"/>
                <w:sz w:val="21"/>
              </w:rPr>
            </w:pPr>
            <w:r/>
          </w:p>
          <w:p>
            <w:pPr>
              <w:spacing w:line="268" w:lineRule="auto"/>
              <w:rPr>
                <w:rFonts w:ascii="Arial"/>
                <w:sz w:val="21"/>
              </w:rPr>
            </w:pPr>
            <w:r/>
          </w:p>
          <w:p>
            <w:pPr>
              <w:pStyle w:val="TableText"/>
              <w:ind w:left="112"/>
              <w:spacing w:before="59" w:line="214" w:lineRule="auto"/>
              <w:rPr/>
            </w:pPr>
            <w:r>
              <w:rPr>
                <w:b/>
                <w:bCs/>
                <w:spacing w:val="-1"/>
              </w:rPr>
              <w:t>其他一</w:t>
            </w:r>
          </w:p>
          <w:p>
            <w:pPr>
              <w:pStyle w:val="TableText"/>
              <w:ind w:left="113"/>
              <w:spacing w:before="92" w:line="211" w:lineRule="auto"/>
              <w:rPr/>
            </w:pPr>
            <w:r>
              <w:rPr>
                <w:b/>
                <w:bCs/>
                <w:spacing w:val="-3"/>
              </w:rPr>
              <w:t>般性转</w:t>
            </w:r>
          </w:p>
          <w:p>
            <w:pPr>
              <w:pStyle w:val="TableText"/>
              <w:ind w:left="113"/>
              <w:spacing w:before="91" w:line="216" w:lineRule="auto"/>
              <w:rPr/>
            </w:pPr>
            <w:r>
              <w:rPr>
                <w:b/>
                <w:bCs/>
                <w:spacing w:val="-3"/>
              </w:rPr>
              <w:t>移支付</w:t>
            </w:r>
          </w:p>
          <w:p>
            <w:pPr>
              <w:pStyle w:val="TableText"/>
              <w:ind w:left="210"/>
              <w:spacing w:before="94" w:line="206" w:lineRule="auto"/>
              <w:rPr/>
            </w:pPr>
            <w:r>
              <w:rPr>
                <w:b/>
                <w:bCs/>
                <w:spacing w:val="-7"/>
              </w:rPr>
              <w:t>收入</w:t>
            </w:r>
          </w:p>
        </w:tc>
      </w:tr>
      <w:tr>
        <w:trPr>
          <w:trHeight w:val="391" w:hRule="atLeast"/>
        </w:trPr>
        <w:tc>
          <w:tcPr>
            <w:tcW w:w="848" w:type="dxa"/>
            <w:vAlign w:val="top"/>
            <w:tcBorders>
              <w:left w:val="single" w:color="000000" w:sz="6" w:space="0"/>
            </w:tcBorders>
          </w:tcPr>
          <w:p>
            <w:pPr>
              <w:pStyle w:val="TableText"/>
              <w:ind w:left="240"/>
              <w:spacing w:before="176" w:line="210" w:lineRule="auto"/>
              <w:rPr/>
            </w:pPr>
            <w:r>
              <w:rPr>
                <w:spacing w:val="-3"/>
              </w:rPr>
              <w:t>5405</w:t>
            </w:r>
          </w:p>
        </w:tc>
        <w:tc>
          <w:tcPr>
            <w:tcW w:w="975" w:type="dxa"/>
            <w:vAlign w:val="top"/>
          </w:tcPr>
          <w:p>
            <w:pPr>
              <w:pStyle w:val="TableText"/>
              <w:ind w:left="261"/>
              <w:spacing w:before="176" w:line="210" w:lineRule="auto"/>
              <w:rPr/>
            </w:pPr>
            <w:r>
              <w:rPr>
                <w:spacing w:val="-3"/>
              </w:rPr>
              <w:t>37181</w:t>
            </w:r>
          </w:p>
        </w:tc>
        <w:tc>
          <w:tcPr>
            <w:tcW w:w="838" w:type="dxa"/>
            <w:vAlign w:val="top"/>
          </w:tcPr>
          <w:p>
            <w:pPr>
              <w:pStyle w:val="TableText"/>
              <w:ind w:left="248"/>
              <w:spacing w:before="176" w:line="210" w:lineRule="auto"/>
              <w:rPr/>
            </w:pPr>
            <w:r>
              <w:rPr>
                <w:spacing w:val="-6"/>
              </w:rPr>
              <w:t>1046</w:t>
            </w:r>
          </w:p>
        </w:tc>
        <w:tc>
          <w:tcPr>
            <w:tcW w:w="837" w:type="dxa"/>
            <w:vAlign w:val="top"/>
          </w:tcPr>
          <w:p>
            <w:pPr>
              <w:pStyle w:val="TableText"/>
              <w:ind w:left="235"/>
              <w:spacing w:before="176" w:line="210" w:lineRule="auto"/>
              <w:rPr/>
            </w:pPr>
            <w:r>
              <w:rPr>
                <w:spacing w:val="-2"/>
              </w:rPr>
              <w:t>2714</w:t>
            </w:r>
          </w:p>
        </w:tc>
        <w:tc>
          <w:tcPr>
            <w:tcW w:w="836" w:type="dxa"/>
            <w:vAlign w:val="top"/>
          </w:tcPr>
          <w:p>
            <w:pPr>
              <w:pStyle w:val="TableText"/>
              <w:ind w:left="193"/>
              <w:spacing w:before="176" w:line="210" w:lineRule="auto"/>
              <w:rPr/>
            </w:pPr>
            <w:r>
              <w:rPr>
                <w:spacing w:val="-3"/>
              </w:rPr>
              <w:t>36563</w:t>
            </w:r>
          </w:p>
        </w:tc>
        <w:tc>
          <w:tcPr>
            <w:tcW w:w="755" w:type="dxa"/>
            <w:vAlign w:val="top"/>
          </w:tcPr>
          <w:p>
            <w:pPr>
              <w:pStyle w:val="TableText"/>
              <w:ind w:left="150"/>
              <w:spacing w:before="176" w:line="210" w:lineRule="auto"/>
              <w:rPr/>
            </w:pPr>
            <w:r>
              <w:rPr>
                <w:spacing w:val="-2"/>
              </w:rPr>
              <w:t>73037</w:t>
            </w:r>
          </w:p>
        </w:tc>
        <w:tc>
          <w:tcPr>
            <w:tcW w:w="726" w:type="dxa"/>
            <w:vAlign w:val="top"/>
          </w:tcPr>
          <w:p>
            <w:pPr>
              <w:pStyle w:val="TableText"/>
              <w:ind w:left="181"/>
              <w:spacing w:before="176" w:line="210" w:lineRule="auto"/>
              <w:rPr/>
            </w:pPr>
            <w:r>
              <w:rPr>
                <w:spacing w:val="-2"/>
              </w:rPr>
              <w:t>4509</w:t>
            </w:r>
          </w:p>
        </w:tc>
        <w:tc>
          <w:tcPr>
            <w:tcW w:w="685" w:type="dxa"/>
            <w:vAlign w:val="top"/>
          </w:tcPr>
          <w:p>
            <w:pPr>
              <w:rPr>
                <w:rFonts w:ascii="Arial"/>
                <w:sz w:val="21"/>
              </w:rPr>
            </w:pPr>
            <w:r/>
          </w:p>
        </w:tc>
        <w:tc>
          <w:tcPr>
            <w:tcW w:w="755" w:type="dxa"/>
            <w:vAlign w:val="top"/>
          </w:tcPr>
          <w:p>
            <w:pPr>
              <w:pStyle w:val="TableText"/>
              <w:ind w:left="158"/>
              <w:spacing w:before="176" w:line="210" w:lineRule="auto"/>
              <w:rPr/>
            </w:pPr>
            <w:r>
              <w:rPr>
                <w:spacing w:val="-3"/>
              </w:rPr>
              <w:t>39034</w:t>
            </w:r>
          </w:p>
        </w:tc>
        <w:tc>
          <w:tcPr>
            <w:tcW w:w="699" w:type="dxa"/>
            <w:vAlign w:val="top"/>
          </w:tcPr>
          <w:p>
            <w:pPr>
              <w:pStyle w:val="TableText"/>
              <w:ind w:left="216"/>
              <w:spacing w:before="176" w:line="210" w:lineRule="auto"/>
              <w:rPr/>
            </w:pPr>
            <w:r>
              <w:rPr>
                <w:spacing w:val="-3"/>
              </w:rPr>
              <w:t>997</w:t>
            </w:r>
          </w:p>
        </w:tc>
        <w:tc>
          <w:tcPr>
            <w:tcW w:w="755" w:type="dxa"/>
            <w:vAlign w:val="top"/>
          </w:tcPr>
          <w:p>
            <w:pPr>
              <w:rPr>
                <w:rFonts w:ascii="Arial"/>
                <w:sz w:val="21"/>
              </w:rPr>
            </w:pPr>
            <w:r/>
          </w:p>
        </w:tc>
        <w:tc>
          <w:tcPr>
            <w:tcW w:w="657" w:type="dxa"/>
            <w:vAlign w:val="top"/>
          </w:tcPr>
          <w:p>
            <w:pPr>
              <w:rPr>
                <w:rFonts w:ascii="Arial"/>
                <w:sz w:val="21"/>
              </w:rPr>
            </w:pPr>
            <w:r/>
          </w:p>
        </w:tc>
        <w:tc>
          <w:tcPr>
            <w:tcW w:w="560" w:type="dxa"/>
            <w:vAlign w:val="top"/>
          </w:tcPr>
          <w:p>
            <w:pPr>
              <w:rPr>
                <w:rFonts w:ascii="Arial"/>
                <w:sz w:val="21"/>
              </w:rPr>
            </w:pPr>
            <w:r/>
          </w:p>
        </w:tc>
        <w:tc>
          <w:tcPr>
            <w:tcW w:w="616" w:type="dxa"/>
            <w:vAlign w:val="top"/>
          </w:tcPr>
          <w:p>
            <w:pPr>
              <w:rPr>
                <w:rFonts w:ascii="Arial"/>
                <w:sz w:val="21"/>
              </w:rPr>
            </w:pPr>
            <w:r/>
          </w:p>
        </w:tc>
        <w:tc>
          <w:tcPr>
            <w:tcW w:w="657" w:type="dxa"/>
            <w:vAlign w:val="top"/>
          </w:tcPr>
          <w:p>
            <w:pPr>
              <w:pStyle w:val="TableText"/>
              <w:ind w:left="157"/>
              <w:spacing w:before="176" w:line="210" w:lineRule="auto"/>
              <w:rPr/>
            </w:pPr>
            <w:r>
              <w:rPr>
                <w:spacing w:val="-3"/>
              </w:rPr>
              <w:t>3978</w:t>
            </w:r>
          </w:p>
        </w:tc>
        <w:tc>
          <w:tcPr>
            <w:tcW w:w="642" w:type="dxa"/>
            <w:vAlign w:val="top"/>
          </w:tcPr>
          <w:p>
            <w:pPr>
              <w:rPr>
                <w:rFonts w:ascii="Arial"/>
                <w:sz w:val="21"/>
              </w:rPr>
            </w:pPr>
            <w:r/>
          </w:p>
        </w:tc>
        <w:tc>
          <w:tcPr>
            <w:tcW w:w="741" w:type="dxa"/>
            <w:vAlign w:val="top"/>
          </w:tcPr>
          <w:p>
            <w:pPr>
              <w:pStyle w:val="TableText"/>
              <w:ind w:left="291"/>
              <w:spacing w:before="176" w:line="210" w:lineRule="auto"/>
              <w:rPr/>
            </w:pPr>
            <w:r>
              <w:rPr>
                <w:spacing w:val="-5"/>
              </w:rPr>
              <w:t>36</w:t>
            </w:r>
          </w:p>
        </w:tc>
        <w:tc>
          <w:tcPr>
            <w:tcW w:w="602" w:type="dxa"/>
            <w:vAlign w:val="top"/>
          </w:tcPr>
          <w:p>
            <w:pPr>
              <w:rPr>
                <w:rFonts w:ascii="Arial"/>
                <w:sz w:val="21"/>
              </w:rPr>
            </w:pPr>
            <w:r/>
          </w:p>
        </w:tc>
        <w:tc>
          <w:tcPr>
            <w:tcW w:w="712" w:type="dxa"/>
            <w:vAlign w:val="top"/>
            <w:tcBorders>
              <w:right w:val="single" w:color="000000" w:sz="6" w:space="0"/>
            </w:tcBorders>
          </w:tcPr>
          <w:p>
            <w:pPr>
              <w:rPr>
                <w:rFonts w:ascii="Arial"/>
                <w:sz w:val="21"/>
              </w:rPr>
            </w:pPr>
            <w:r/>
          </w:p>
        </w:tc>
      </w:tr>
      <w:tr>
        <w:trPr>
          <w:trHeight w:val="391" w:hRule="atLeast"/>
        </w:trPr>
        <w:tc>
          <w:tcPr>
            <w:tcW w:w="848" w:type="dxa"/>
            <w:vAlign w:val="top"/>
            <w:tcBorders>
              <w:left w:val="single" w:color="000000" w:sz="6" w:space="0"/>
            </w:tcBorders>
          </w:tcPr>
          <w:p>
            <w:pPr>
              <w:pStyle w:val="TableText"/>
              <w:ind w:left="237"/>
              <w:spacing w:before="133" w:line="247" w:lineRule="exact"/>
              <w:rPr/>
            </w:pPr>
            <w:r>
              <w:rPr>
                <w:spacing w:val="-2"/>
                <w:position w:val="1"/>
              </w:rPr>
              <w:t>4948</w:t>
            </w:r>
          </w:p>
        </w:tc>
        <w:tc>
          <w:tcPr>
            <w:tcW w:w="975" w:type="dxa"/>
            <w:vAlign w:val="top"/>
          </w:tcPr>
          <w:p>
            <w:pPr>
              <w:pStyle w:val="TableText"/>
              <w:ind w:left="273"/>
              <w:spacing w:before="176" w:line="210" w:lineRule="auto"/>
              <w:rPr/>
            </w:pPr>
            <w:r>
              <w:rPr>
                <w:spacing w:val="-5"/>
              </w:rPr>
              <w:t>14243</w:t>
            </w:r>
          </w:p>
        </w:tc>
        <w:tc>
          <w:tcPr>
            <w:tcW w:w="838" w:type="dxa"/>
            <w:vAlign w:val="top"/>
          </w:tcPr>
          <w:p>
            <w:pPr>
              <w:pStyle w:val="TableText"/>
              <w:ind w:left="276"/>
              <w:spacing w:before="176" w:line="210" w:lineRule="auto"/>
              <w:rPr/>
            </w:pPr>
            <w:r>
              <w:rPr>
                <w:spacing w:val="-2"/>
              </w:rPr>
              <w:t>419</w:t>
            </w:r>
          </w:p>
        </w:tc>
        <w:tc>
          <w:tcPr>
            <w:tcW w:w="837" w:type="dxa"/>
            <w:vAlign w:val="top"/>
          </w:tcPr>
          <w:p>
            <w:pPr>
              <w:pStyle w:val="TableText"/>
              <w:ind w:left="250"/>
              <w:spacing w:before="176" w:line="210" w:lineRule="auto"/>
              <w:rPr/>
            </w:pPr>
            <w:r>
              <w:rPr>
                <w:spacing w:val="-6"/>
              </w:rPr>
              <w:t>1340</w:t>
            </w:r>
          </w:p>
        </w:tc>
        <w:tc>
          <w:tcPr>
            <w:tcW w:w="836" w:type="dxa"/>
            <w:vAlign w:val="top"/>
          </w:tcPr>
          <w:p>
            <w:pPr>
              <w:pStyle w:val="TableText"/>
              <w:ind w:left="237"/>
              <w:spacing w:before="176" w:line="210" w:lineRule="auto"/>
              <w:rPr/>
            </w:pPr>
            <w:r>
              <w:rPr>
                <w:spacing w:val="-3"/>
              </w:rPr>
              <w:t>5953</w:t>
            </w:r>
          </w:p>
        </w:tc>
        <w:tc>
          <w:tcPr>
            <w:tcW w:w="755" w:type="dxa"/>
            <w:vAlign w:val="top"/>
          </w:tcPr>
          <w:p>
            <w:pPr>
              <w:pStyle w:val="TableText"/>
              <w:ind w:left="152"/>
              <w:spacing w:before="176" w:line="210" w:lineRule="auto"/>
              <w:rPr/>
            </w:pPr>
            <w:r>
              <w:rPr>
                <w:spacing w:val="-2"/>
              </w:rPr>
              <w:t>65050</w:t>
            </w:r>
          </w:p>
        </w:tc>
        <w:tc>
          <w:tcPr>
            <w:tcW w:w="726" w:type="dxa"/>
            <w:vAlign w:val="top"/>
          </w:tcPr>
          <w:p>
            <w:pPr>
              <w:pStyle w:val="TableText"/>
              <w:ind w:left="198"/>
              <w:spacing w:before="176" w:line="210" w:lineRule="auto"/>
              <w:rPr/>
            </w:pPr>
            <w:r>
              <w:rPr>
                <w:spacing w:val="-6"/>
              </w:rPr>
              <w:t>1253</w:t>
            </w:r>
          </w:p>
        </w:tc>
        <w:tc>
          <w:tcPr>
            <w:tcW w:w="685" w:type="dxa"/>
            <w:vAlign w:val="top"/>
          </w:tcPr>
          <w:p>
            <w:pPr>
              <w:rPr>
                <w:rFonts w:ascii="Arial"/>
                <w:sz w:val="21"/>
              </w:rPr>
            </w:pPr>
            <w:r/>
          </w:p>
        </w:tc>
        <w:tc>
          <w:tcPr>
            <w:tcW w:w="755" w:type="dxa"/>
            <w:vAlign w:val="top"/>
          </w:tcPr>
          <w:p>
            <w:pPr>
              <w:pStyle w:val="TableText"/>
              <w:ind w:left="203"/>
              <w:spacing w:before="176" w:line="210" w:lineRule="auto"/>
              <w:rPr/>
            </w:pPr>
            <w:r>
              <w:rPr>
                <w:spacing w:val="-3"/>
              </w:rPr>
              <w:t>3684</w:t>
            </w:r>
          </w:p>
        </w:tc>
        <w:tc>
          <w:tcPr>
            <w:tcW w:w="699" w:type="dxa"/>
            <w:vAlign w:val="top"/>
          </w:tcPr>
          <w:p>
            <w:pPr>
              <w:pStyle w:val="TableText"/>
              <w:ind w:left="216"/>
              <w:spacing w:before="176" w:line="210" w:lineRule="auto"/>
              <w:rPr/>
            </w:pPr>
            <w:r>
              <w:rPr>
                <w:spacing w:val="-3"/>
              </w:rPr>
              <w:t>997</w:t>
            </w:r>
          </w:p>
        </w:tc>
        <w:tc>
          <w:tcPr>
            <w:tcW w:w="755" w:type="dxa"/>
            <w:vAlign w:val="top"/>
          </w:tcPr>
          <w:p>
            <w:pPr>
              <w:rPr>
                <w:rFonts w:ascii="Arial"/>
                <w:sz w:val="21"/>
              </w:rPr>
            </w:pPr>
            <w:r/>
          </w:p>
        </w:tc>
        <w:tc>
          <w:tcPr>
            <w:tcW w:w="657" w:type="dxa"/>
            <w:vAlign w:val="top"/>
          </w:tcPr>
          <w:p>
            <w:pPr>
              <w:rPr>
                <w:rFonts w:ascii="Arial"/>
                <w:sz w:val="21"/>
              </w:rPr>
            </w:pPr>
            <w:r/>
          </w:p>
        </w:tc>
        <w:tc>
          <w:tcPr>
            <w:tcW w:w="560" w:type="dxa"/>
            <w:vAlign w:val="top"/>
          </w:tcPr>
          <w:p>
            <w:pPr>
              <w:rPr>
                <w:rFonts w:ascii="Arial"/>
                <w:sz w:val="21"/>
              </w:rPr>
            </w:pPr>
            <w:r/>
          </w:p>
        </w:tc>
        <w:tc>
          <w:tcPr>
            <w:tcW w:w="616" w:type="dxa"/>
            <w:vAlign w:val="top"/>
          </w:tcPr>
          <w:p>
            <w:pPr>
              <w:rPr>
                <w:rFonts w:ascii="Arial"/>
                <w:sz w:val="21"/>
              </w:rPr>
            </w:pPr>
            <w:r/>
          </w:p>
        </w:tc>
        <w:tc>
          <w:tcPr>
            <w:tcW w:w="657" w:type="dxa"/>
            <w:vAlign w:val="top"/>
          </w:tcPr>
          <w:p>
            <w:pPr>
              <w:pStyle w:val="TableText"/>
              <w:ind w:left="157"/>
              <w:spacing w:before="176" w:line="210" w:lineRule="auto"/>
              <w:rPr/>
            </w:pPr>
            <w:r>
              <w:rPr>
                <w:spacing w:val="-3"/>
              </w:rPr>
              <w:t>3265</w:t>
            </w:r>
          </w:p>
        </w:tc>
        <w:tc>
          <w:tcPr>
            <w:tcW w:w="642" w:type="dxa"/>
            <w:vAlign w:val="top"/>
          </w:tcPr>
          <w:p>
            <w:pPr>
              <w:rPr>
                <w:rFonts w:ascii="Arial"/>
                <w:sz w:val="21"/>
              </w:rPr>
            </w:pPr>
            <w:r/>
          </w:p>
        </w:tc>
        <w:tc>
          <w:tcPr>
            <w:tcW w:w="741" w:type="dxa"/>
            <w:vAlign w:val="top"/>
          </w:tcPr>
          <w:p>
            <w:pPr>
              <w:pStyle w:val="TableText"/>
              <w:ind w:left="303"/>
              <w:spacing w:before="176" w:line="210" w:lineRule="auto"/>
              <w:rPr/>
            </w:pPr>
            <w:r>
              <w:rPr>
                <w:spacing w:val="-11"/>
              </w:rPr>
              <w:t>13</w:t>
            </w:r>
          </w:p>
        </w:tc>
        <w:tc>
          <w:tcPr>
            <w:tcW w:w="602" w:type="dxa"/>
            <w:vAlign w:val="top"/>
          </w:tcPr>
          <w:p>
            <w:pPr>
              <w:rPr>
                <w:rFonts w:ascii="Arial"/>
                <w:sz w:val="21"/>
              </w:rPr>
            </w:pPr>
            <w:r/>
          </w:p>
        </w:tc>
        <w:tc>
          <w:tcPr>
            <w:tcW w:w="712" w:type="dxa"/>
            <w:vAlign w:val="top"/>
            <w:tcBorders>
              <w:right w:val="single" w:color="000000" w:sz="6" w:space="0"/>
            </w:tcBorders>
          </w:tcPr>
          <w:p>
            <w:pPr>
              <w:rPr>
                <w:rFonts w:ascii="Arial"/>
                <w:sz w:val="21"/>
              </w:rPr>
            </w:pPr>
            <w:r/>
          </w:p>
        </w:tc>
      </w:tr>
      <w:tr>
        <w:trPr>
          <w:trHeight w:val="391" w:hRule="atLeast"/>
        </w:trPr>
        <w:tc>
          <w:tcPr>
            <w:tcW w:w="848" w:type="dxa"/>
            <w:vAlign w:val="top"/>
            <w:tcBorders>
              <w:left w:val="single" w:color="000000" w:sz="6" w:space="0"/>
            </w:tcBorders>
          </w:tcPr>
          <w:p>
            <w:pPr>
              <w:pStyle w:val="TableText"/>
              <w:ind w:left="282"/>
              <w:spacing w:before="178" w:line="208" w:lineRule="auto"/>
              <w:rPr/>
            </w:pPr>
            <w:r>
              <w:rPr>
                <w:spacing w:val="-2"/>
              </w:rPr>
              <w:t>457</w:t>
            </w:r>
          </w:p>
        </w:tc>
        <w:tc>
          <w:tcPr>
            <w:tcW w:w="975" w:type="dxa"/>
            <w:vAlign w:val="top"/>
          </w:tcPr>
          <w:p>
            <w:pPr>
              <w:pStyle w:val="TableText"/>
              <w:ind w:left="258"/>
              <w:spacing w:before="178" w:line="208" w:lineRule="auto"/>
              <w:rPr/>
            </w:pPr>
            <w:r>
              <w:rPr>
                <w:spacing w:val="-2"/>
              </w:rPr>
              <w:t>22938</w:t>
            </w:r>
          </w:p>
        </w:tc>
        <w:tc>
          <w:tcPr>
            <w:tcW w:w="838" w:type="dxa"/>
            <w:vAlign w:val="top"/>
          </w:tcPr>
          <w:p>
            <w:pPr>
              <w:pStyle w:val="TableText"/>
              <w:ind w:left="280"/>
              <w:spacing w:before="178" w:line="208" w:lineRule="auto"/>
              <w:rPr/>
            </w:pPr>
            <w:r>
              <w:rPr>
                <w:spacing w:val="-3"/>
              </w:rPr>
              <w:t>627</w:t>
            </w:r>
          </w:p>
        </w:tc>
        <w:tc>
          <w:tcPr>
            <w:tcW w:w="837" w:type="dxa"/>
            <w:vAlign w:val="top"/>
          </w:tcPr>
          <w:p>
            <w:pPr>
              <w:pStyle w:val="TableText"/>
              <w:ind w:left="250"/>
              <w:spacing w:before="178" w:line="208" w:lineRule="auto"/>
              <w:rPr/>
            </w:pPr>
            <w:r>
              <w:rPr>
                <w:spacing w:val="-6"/>
              </w:rPr>
              <w:t>1374</w:t>
            </w:r>
          </w:p>
        </w:tc>
        <w:tc>
          <w:tcPr>
            <w:tcW w:w="836" w:type="dxa"/>
            <w:vAlign w:val="top"/>
          </w:tcPr>
          <w:p>
            <w:pPr>
              <w:pStyle w:val="TableText"/>
              <w:ind w:left="193"/>
              <w:spacing w:before="178" w:line="208" w:lineRule="auto"/>
              <w:rPr/>
            </w:pPr>
            <w:r>
              <w:rPr>
                <w:spacing w:val="-3"/>
              </w:rPr>
              <w:t>30610</w:t>
            </w:r>
          </w:p>
        </w:tc>
        <w:tc>
          <w:tcPr>
            <w:tcW w:w="755" w:type="dxa"/>
            <w:vAlign w:val="top"/>
          </w:tcPr>
          <w:p>
            <w:pPr>
              <w:pStyle w:val="TableText"/>
              <w:ind w:left="196"/>
              <w:spacing w:before="178" w:line="208" w:lineRule="auto"/>
              <w:rPr/>
            </w:pPr>
            <w:r>
              <w:rPr>
                <w:spacing w:val="-2"/>
              </w:rPr>
              <w:t>7987</w:t>
            </w:r>
          </w:p>
        </w:tc>
        <w:tc>
          <w:tcPr>
            <w:tcW w:w="726" w:type="dxa"/>
            <w:vAlign w:val="top"/>
          </w:tcPr>
          <w:p>
            <w:pPr>
              <w:pStyle w:val="TableText"/>
              <w:ind w:left="186"/>
              <w:spacing w:before="178" w:line="208" w:lineRule="auto"/>
              <w:rPr/>
            </w:pPr>
            <w:r>
              <w:rPr>
                <w:spacing w:val="-3"/>
              </w:rPr>
              <w:t>3256</w:t>
            </w:r>
          </w:p>
        </w:tc>
        <w:tc>
          <w:tcPr>
            <w:tcW w:w="685" w:type="dxa"/>
            <w:vAlign w:val="top"/>
          </w:tcPr>
          <w:p>
            <w:pPr>
              <w:rPr>
                <w:rFonts w:ascii="Arial"/>
                <w:sz w:val="21"/>
              </w:rPr>
            </w:pPr>
            <w:r/>
          </w:p>
        </w:tc>
        <w:tc>
          <w:tcPr>
            <w:tcW w:w="755" w:type="dxa"/>
            <w:vAlign w:val="top"/>
          </w:tcPr>
          <w:p>
            <w:pPr>
              <w:pStyle w:val="TableText"/>
              <w:ind w:left="158"/>
              <w:spacing w:before="178" w:line="208" w:lineRule="auto"/>
              <w:rPr/>
            </w:pPr>
            <w:r>
              <w:rPr>
                <w:spacing w:val="-3"/>
              </w:rPr>
              <w:t>35350</w:t>
            </w:r>
          </w:p>
        </w:tc>
        <w:tc>
          <w:tcPr>
            <w:tcW w:w="699" w:type="dxa"/>
            <w:vAlign w:val="top"/>
          </w:tcPr>
          <w:p>
            <w:pPr>
              <w:rPr>
                <w:rFonts w:ascii="Arial"/>
                <w:sz w:val="21"/>
              </w:rPr>
            </w:pPr>
            <w:r/>
          </w:p>
        </w:tc>
        <w:tc>
          <w:tcPr>
            <w:tcW w:w="755" w:type="dxa"/>
            <w:vAlign w:val="top"/>
          </w:tcPr>
          <w:p>
            <w:pPr>
              <w:rPr>
                <w:rFonts w:ascii="Arial"/>
                <w:sz w:val="21"/>
              </w:rPr>
            </w:pPr>
            <w:r/>
          </w:p>
        </w:tc>
        <w:tc>
          <w:tcPr>
            <w:tcW w:w="657" w:type="dxa"/>
            <w:vAlign w:val="top"/>
          </w:tcPr>
          <w:p>
            <w:pPr>
              <w:rPr>
                <w:rFonts w:ascii="Arial"/>
                <w:sz w:val="21"/>
              </w:rPr>
            </w:pPr>
            <w:r/>
          </w:p>
        </w:tc>
        <w:tc>
          <w:tcPr>
            <w:tcW w:w="560" w:type="dxa"/>
            <w:vAlign w:val="top"/>
          </w:tcPr>
          <w:p>
            <w:pPr>
              <w:rPr>
                <w:rFonts w:ascii="Arial"/>
                <w:sz w:val="21"/>
              </w:rPr>
            </w:pPr>
            <w:r/>
          </w:p>
        </w:tc>
        <w:tc>
          <w:tcPr>
            <w:tcW w:w="616" w:type="dxa"/>
            <w:vAlign w:val="top"/>
          </w:tcPr>
          <w:p>
            <w:pPr>
              <w:rPr>
                <w:rFonts w:ascii="Arial"/>
                <w:sz w:val="21"/>
              </w:rPr>
            </w:pPr>
            <w:r/>
          </w:p>
        </w:tc>
        <w:tc>
          <w:tcPr>
            <w:tcW w:w="657" w:type="dxa"/>
            <w:vAlign w:val="top"/>
          </w:tcPr>
          <w:p>
            <w:pPr>
              <w:pStyle w:val="TableText"/>
              <w:ind w:left="196"/>
              <w:spacing w:before="178" w:line="208" w:lineRule="auto"/>
              <w:rPr/>
            </w:pPr>
            <w:r>
              <w:rPr>
                <w:spacing w:val="-2"/>
              </w:rPr>
              <w:t>713</w:t>
            </w:r>
          </w:p>
        </w:tc>
        <w:tc>
          <w:tcPr>
            <w:tcW w:w="642" w:type="dxa"/>
            <w:vAlign w:val="top"/>
          </w:tcPr>
          <w:p>
            <w:pPr>
              <w:rPr>
                <w:rFonts w:ascii="Arial"/>
                <w:sz w:val="21"/>
              </w:rPr>
            </w:pPr>
            <w:r/>
          </w:p>
        </w:tc>
        <w:tc>
          <w:tcPr>
            <w:tcW w:w="741" w:type="dxa"/>
            <w:vAlign w:val="top"/>
          </w:tcPr>
          <w:p>
            <w:pPr>
              <w:pStyle w:val="TableText"/>
              <w:ind w:left="288"/>
              <w:spacing w:before="178" w:line="208" w:lineRule="auto"/>
              <w:rPr/>
            </w:pPr>
            <w:r>
              <w:rPr>
                <w:spacing w:val="-3"/>
              </w:rPr>
              <w:t>23</w:t>
            </w:r>
          </w:p>
        </w:tc>
        <w:tc>
          <w:tcPr>
            <w:tcW w:w="602" w:type="dxa"/>
            <w:vAlign w:val="top"/>
          </w:tcPr>
          <w:p>
            <w:pPr>
              <w:rPr>
                <w:rFonts w:ascii="Arial"/>
                <w:sz w:val="21"/>
              </w:rPr>
            </w:pPr>
            <w:r/>
          </w:p>
        </w:tc>
        <w:tc>
          <w:tcPr>
            <w:tcW w:w="712" w:type="dxa"/>
            <w:vAlign w:val="top"/>
            <w:tcBorders>
              <w:right w:val="single" w:color="000000" w:sz="6" w:space="0"/>
            </w:tcBorders>
          </w:tcPr>
          <w:p>
            <w:pPr>
              <w:rPr>
                <w:rFonts w:ascii="Arial"/>
                <w:sz w:val="21"/>
              </w:rPr>
            </w:pPr>
            <w:r/>
          </w:p>
        </w:tc>
      </w:tr>
      <w:tr>
        <w:trPr>
          <w:trHeight w:val="391" w:hRule="atLeast"/>
        </w:trPr>
        <w:tc>
          <w:tcPr>
            <w:tcW w:w="848" w:type="dxa"/>
            <w:vAlign w:val="top"/>
            <w:tcBorders>
              <w:left w:val="single" w:color="000000" w:sz="6" w:space="0"/>
            </w:tcBorders>
          </w:tcPr>
          <w:p>
            <w:pPr>
              <w:pStyle w:val="TableText"/>
              <w:ind w:left="282"/>
              <w:spacing w:before="178" w:line="208" w:lineRule="auto"/>
              <w:rPr/>
            </w:pPr>
            <w:r>
              <w:rPr>
                <w:spacing w:val="-2"/>
              </w:rPr>
              <w:t>457</w:t>
            </w:r>
          </w:p>
        </w:tc>
        <w:tc>
          <w:tcPr>
            <w:tcW w:w="975" w:type="dxa"/>
            <w:vAlign w:val="top"/>
          </w:tcPr>
          <w:p>
            <w:pPr>
              <w:pStyle w:val="TableText"/>
              <w:ind w:left="258"/>
              <w:spacing w:before="178" w:line="208" w:lineRule="auto"/>
              <w:rPr/>
            </w:pPr>
            <w:r>
              <w:rPr>
                <w:spacing w:val="-2"/>
              </w:rPr>
              <w:t>22938</w:t>
            </w:r>
          </w:p>
        </w:tc>
        <w:tc>
          <w:tcPr>
            <w:tcW w:w="838" w:type="dxa"/>
            <w:vAlign w:val="top"/>
          </w:tcPr>
          <w:p>
            <w:pPr>
              <w:pStyle w:val="TableText"/>
              <w:ind w:left="280"/>
              <w:spacing w:before="178" w:line="208" w:lineRule="auto"/>
              <w:rPr/>
            </w:pPr>
            <w:r>
              <w:rPr>
                <w:spacing w:val="-3"/>
              </w:rPr>
              <w:t>627</w:t>
            </w:r>
          </w:p>
        </w:tc>
        <w:tc>
          <w:tcPr>
            <w:tcW w:w="837" w:type="dxa"/>
            <w:vAlign w:val="top"/>
          </w:tcPr>
          <w:p>
            <w:pPr>
              <w:pStyle w:val="TableText"/>
              <w:ind w:left="250"/>
              <w:spacing w:before="178" w:line="208" w:lineRule="auto"/>
              <w:rPr/>
            </w:pPr>
            <w:r>
              <w:rPr>
                <w:spacing w:val="-6"/>
              </w:rPr>
              <w:t>1374</w:t>
            </w:r>
          </w:p>
        </w:tc>
        <w:tc>
          <w:tcPr>
            <w:tcW w:w="836" w:type="dxa"/>
            <w:vAlign w:val="top"/>
          </w:tcPr>
          <w:p>
            <w:pPr>
              <w:pStyle w:val="TableText"/>
              <w:ind w:left="193"/>
              <w:spacing w:before="178" w:line="208" w:lineRule="auto"/>
              <w:rPr/>
            </w:pPr>
            <w:r>
              <w:rPr>
                <w:spacing w:val="-3"/>
              </w:rPr>
              <w:t>30610</w:t>
            </w:r>
          </w:p>
        </w:tc>
        <w:tc>
          <w:tcPr>
            <w:tcW w:w="755" w:type="dxa"/>
            <w:vAlign w:val="top"/>
          </w:tcPr>
          <w:p>
            <w:pPr>
              <w:pStyle w:val="TableText"/>
              <w:ind w:left="196"/>
              <w:spacing w:before="178" w:line="208" w:lineRule="auto"/>
              <w:rPr/>
            </w:pPr>
            <w:r>
              <w:rPr>
                <w:spacing w:val="-2"/>
              </w:rPr>
              <w:t>7987</w:t>
            </w:r>
          </w:p>
        </w:tc>
        <w:tc>
          <w:tcPr>
            <w:tcW w:w="726" w:type="dxa"/>
            <w:vAlign w:val="top"/>
          </w:tcPr>
          <w:p>
            <w:pPr>
              <w:pStyle w:val="TableText"/>
              <w:ind w:left="186"/>
              <w:spacing w:before="178" w:line="208" w:lineRule="auto"/>
              <w:rPr/>
            </w:pPr>
            <w:r>
              <w:rPr>
                <w:spacing w:val="-3"/>
              </w:rPr>
              <w:t>3256</w:t>
            </w:r>
          </w:p>
        </w:tc>
        <w:tc>
          <w:tcPr>
            <w:tcW w:w="685" w:type="dxa"/>
            <w:vAlign w:val="top"/>
          </w:tcPr>
          <w:p>
            <w:pPr>
              <w:rPr>
                <w:rFonts w:ascii="Arial"/>
                <w:sz w:val="21"/>
              </w:rPr>
            </w:pPr>
            <w:r/>
          </w:p>
        </w:tc>
        <w:tc>
          <w:tcPr>
            <w:tcW w:w="755" w:type="dxa"/>
            <w:vAlign w:val="top"/>
          </w:tcPr>
          <w:p>
            <w:pPr>
              <w:pStyle w:val="TableText"/>
              <w:ind w:left="158"/>
              <w:spacing w:before="178" w:line="208" w:lineRule="auto"/>
              <w:rPr/>
            </w:pPr>
            <w:r>
              <w:rPr>
                <w:spacing w:val="-3"/>
              </w:rPr>
              <w:t>35350</w:t>
            </w:r>
          </w:p>
        </w:tc>
        <w:tc>
          <w:tcPr>
            <w:tcW w:w="699" w:type="dxa"/>
            <w:vAlign w:val="top"/>
          </w:tcPr>
          <w:p>
            <w:pPr>
              <w:rPr>
                <w:rFonts w:ascii="Arial"/>
                <w:sz w:val="21"/>
              </w:rPr>
            </w:pPr>
            <w:r/>
          </w:p>
        </w:tc>
        <w:tc>
          <w:tcPr>
            <w:tcW w:w="755" w:type="dxa"/>
            <w:vAlign w:val="top"/>
          </w:tcPr>
          <w:p>
            <w:pPr>
              <w:rPr>
                <w:rFonts w:ascii="Arial"/>
                <w:sz w:val="21"/>
              </w:rPr>
            </w:pPr>
            <w:r/>
          </w:p>
        </w:tc>
        <w:tc>
          <w:tcPr>
            <w:tcW w:w="657" w:type="dxa"/>
            <w:vAlign w:val="top"/>
          </w:tcPr>
          <w:p>
            <w:pPr>
              <w:rPr>
                <w:rFonts w:ascii="Arial"/>
                <w:sz w:val="21"/>
              </w:rPr>
            </w:pPr>
            <w:r/>
          </w:p>
        </w:tc>
        <w:tc>
          <w:tcPr>
            <w:tcW w:w="560" w:type="dxa"/>
            <w:vAlign w:val="top"/>
          </w:tcPr>
          <w:p>
            <w:pPr>
              <w:rPr>
                <w:rFonts w:ascii="Arial"/>
                <w:sz w:val="21"/>
              </w:rPr>
            </w:pPr>
            <w:r/>
          </w:p>
        </w:tc>
        <w:tc>
          <w:tcPr>
            <w:tcW w:w="616" w:type="dxa"/>
            <w:vAlign w:val="top"/>
          </w:tcPr>
          <w:p>
            <w:pPr>
              <w:rPr>
                <w:rFonts w:ascii="Arial"/>
                <w:sz w:val="21"/>
              </w:rPr>
            </w:pPr>
            <w:r/>
          </w:p>
        </w:tc>
        <w:tc>
          <w:tcPr>
            <w:tcW w:w="657" w:type="dxa"/>
            <w:vAlign w:val="top"/>
          </w:tcPr>
          <w:p>
            <w:pPr>
              <w:pStyle w:val="TableText"/>
              <w:ind w:left="196"/>
              <w:spacing w:before="178" w:line="208" w:lineRule="auto"/>
              <w:rPr/>
            </w:pPr>
            <w:r>
              <w:rPr>
                <w:spacing w:val="-2"/>
              </w:rPr>
              <w:t>713</w:t>
            </w:r>
          </w:p>
        </w:tc>
        <w:tc>
          <w:tcPr>
            <w:tcW w:w="642" w:type="dxa"/>
            <w:vAlign w:val="top"/>
          </w:tcPr>
          <w:p>
            <w:pPr>
              <w:rPr>
                <w:rFonts w:ascii="Arial"/>
                <w:sz w:val="21"/>
              </w:rPr>
            </w:pPr>
            <w:r/>
          </w:p>
        </w:tc>
        <w:tc>
          <w:tcPr>
            <w:tcW w:w="741" w:type="dxa"/>
            <w:vAlign w:val="top"/>
          </w:tcPr>
          <w:p>
            <w:pPr>
              <w:pStyle w:val="TableText"/>
              <w:ind w:left="288"/>
              <w:spacing w:before="178" w:line="208" w:lineRule="auto"/>
              <w:rPr/>
            </w:pPr>
            <w:r>
              <w:rPr>
                <w:spacing w:val="-3"/>
              </w:rPr>
              <w:t>23</w:t>
            </w:r>
          </w:p>
        </w:tc>
        <w:tc>
          <w:tcPr>
            <w:tcW w:w="602" w:type="dxa"/>
            <w:vAlign w:val="top"/>
          </w:tcPr>
          <w:p>
            <w:pPr>
              <w:rPr>
                <w:rFonts w:ascii="Arial"/>
                <w:sz w:val="21"/>
              </w:rPr>
            </w:pPr>
            <w:r/>
          </w:p>
        </w:tc>
        <w:tc>
          <w:tcPr>
            <w:tcW w:w="712" w:type="dxa"/>
            <w:vAlign w:val="top"/>
            <w:tcBorders>
              <w:right w:val="single" w:color="000000" w:sz="6" w:space="0"/>
            </w:tcBorders>
          </w:tcPr>
          <w:p>
            <w:pPr>
              <w:rPr>
                <w:rFonts w:ascii="Arial"/>
                <w:sz w:val="21"/>
              </w:rPr>
            </w:pPr>
            <w:r/>
          </w:p>
        </w:tc>
      </w:tr>
      <w:tr>
        <w:trPr>
          <w:trHeight w:val="391" w:hRule="atLeast"/>
        </w:trPr>
        <w:tc>
          <w:tcPr>
            <w:tcW w:w="848" w:type="dxa"/>
            <w:vAlign w:val="top"/>
            <w:tcBorders>
              <w:left w:val="single" w:color="000000" w:sz="6" w:space="0"/>
            </w:tcBorders>
          </w:tcPr>
          <w:p>
            <w:pPr>
              <w:rPr>
                <w:rFonts w:ascii="Arial"/>
                <w:sz w:val="21"/>
              </w:rPr>
            </w:pPr>
            <w:r/>
          </w:p>
        </w:tc>
        <w:tc>
          <w:tcPr>
            <w:tcW w:w="975" w:type="dxa"/>
            <w:vAlign w:val="top"/>
          </w:tcPr>
          <w:p>
            <w:pPr>
              <w:rPr>
                <w:rFonts w:ascii="Arial"/>
                <w:sz w:val="21"/>
              </w:rPr>
            </w:pPr>
            <w:r/>
          </w:p>
        </w:tc>
        <w:tc>
          <w:tcPr>
            <w:tcW w:w="838" w:type="dxa"/>
            <w:vAlign w:val="top"/>
          </w:tcPr>
          <w:p>
            <w:pPr>
              <w:rPr>
                <w:rFonts w:ascii="Arial"/>
                <w:sz w:val="21"/>
              </w:rPr>
            </w:pPr>
            <w:r/>
          </w:p>
        </w:tc>
        <w:tc>
          <w:tcPr>
            <w:tcW w:w="837" w:type="dxa"/>
            <w:vAlign w:val="top"/>
          </w:tcPr>
          <w:p>
            <w:pPr>
              <w:rPr>
                <w:rFonts w:ascii="Arial"/>
                <w:sz w:val="21"/>
              </w:rPr>
            </w:pPr>
            <w:r/>
          </w:p>
        </w:tc>
        <w:tc>
          <w:tcPr>
            <w:tcW w:w="836" w:type="dxa"/>
            <w:vAlign w:val="top"/>
          </w:tcPr>
          <w:p>
            <w:pPr>
              <w:rPr>
                <w:rFonts w:ascii="Arial"/>
                <w:sz w:val="21"/>
              </w:rPr>
            </w:pPr>
            <w:r/>
          </w:p>
        </w:tc>
        <w:tc>
          <w:tcPr>
            <w:tcW w:w="755" w:type="dxa"/>
            <w:vAlign w:val="top"/>
          </w:tcPr>
          <w:p>
            <w:pPr>
              <w:rPr>
                <w:rFonts w:ascii="Arial"/>
                <w:sz w:val="21"/>
              </w:rPr>
            </w:pPr>
            <w:r/>
          </w:p>
        </w:tc>
        <w:tc>
          <w:tcPr>
            <w:tcW w:w="726" w:type="dxa"/>
            <w:vAlign w:val="top"/>
          </w:tcPr>
          <w:p>
            <w:pPr>
              <w:rPr>
                <w:rFonts w:ascii="Arial"/>
                <w:sz w:val="21"/>
              </w:rPr>
            </w:pPr>
            <w:r/>
          </w:p>
        </w:tc>
        <w:tc>
          <w:tcPr>
            <w:tcW w:w="685" w:type="dxa"/>
            <w:vAlign w:val="top"/>
          </w:tcPr>
          <w:p>
            <w:pPr>
              <w:rPr>
                <w:rFonts w:ascii="Arial"/>
                <w:sz w:val="21"/>
              </w:rPr>
            </w:pPr>
            <w:r/>
          </w:p>
        </w:tc>
        <w:tc>
          <w:tcPr>
            <w:tcW w:w="755" w:type="dxa"/>
            <w:vAlign w:val="top"/>
          </w:tcPr>
          <w:p>
            <w:pPr>
              <w:rPr>
                <w:rFonts w:ascii="Arial"/>
                <w:sz w:val="21"/>
              </w:rPr>
            </w:pPr>
            <w:r/>
          </w:p>
        </w:tc>
        <w:tc>
          <w:tcPr>
            <w:tcW w:w="699" w:type="dxa"/>
            <w:vAlign w:val="top"/>
          </w:tcPr>
          <w:p>
            <w:pPr>
              <w:rPr>
                <w:rFonts w:ascii="Arial"/>
                <w:sz w:val="21"/>
              </w:rPr>
            </w:pPr>
            <w:r/>
          </w:p>
        </w:tc>
        <w:tc>
          <w:tcPr>
            <w:tcW w:w="755" w:type="dxa"/>
            <w:vAlign w:val="top"/>
          </w:tcPr>
          <w:p>
            <w:pPr>
              <w:rPr>
                <w:rFonts w:ascii="Arial"/>
                <w:sz w:val="21"/>
              </w:rPr>
            </w:pPr>
            <w:r/>
          </w:p>
        </w:tc>
        <w:tc>
          <w:tcPr>
            <w:tcW w:w="657" w:type="dxa"/>
            <w:vAlign w:val="top"/>
          </w:tcPr>
          <w:p>
            <w:pPr>
              <w:rPr>
                <w:rFonts w:ascii="Arial"/>
                <w:sz w:val="21"/>
              </w:rPr>
            </w:pPr>
            <w:r/>
          </w:p>
        </w:tc>
        <w:tc>
          <w:tcPr>
            <w:tcW w:w="560" w:type="dxa"/>
            <w:vAlign w:val="top"/>
          </w:tcPr>
          <w:p>
            <w:pPr>
              <w:rPr>
                <w:rFonts w:ascii="Arial"/>
                <w:sz w:val="21"/>
              </w:rPr>
            </w:pPr>
            <w:r/>
          </w:p>
        </w:tc>
        <w:tc>
          <w:tcPr>
            <w:tcW w:w="616" w:type="dxa"/>
            <w:vAlign w:val="top"/>
          </w:tcPr>
          <w:p>
            <w:pPr>
              <w:rPr>
                <w:rFonts w:ascii="Arial"/>
                <w:sz w:val="21"/>
              </w:rPr>
            </w:pPr>
            <w:r/>
          </w:p>
        </w:tc>
        <w:tc>
          <w:tcPr>
            <w:tcW w:w="657" w:type="dxa"/>
            <w:vAlign w:val="top"/>
          </w:tcPr>
          <w:p>
            <w:pPr>
              <w:rPr>
                <w:rFonts w:ascii="Arial"/>
                <w:sz w:val="21"/>
              </w:rPr>
            </w:pPr>
            <w:r/>
          </w:p>
        </w:tc>
        <w:tc>
          <w:tcPr>
            <w:tcW w:w="642" w:type="dxa"/>
            <w:vAlign w:val="top"/>
          </w:tcPr>
          <w:p>
            <w:pPr>
              <w:rPr>
                <w:rFonts w:ascii="Arial"/>
                <w:sz w:val="21"/>
              </w:rPr>
            </w:pPr>
            <w:r/>
          </w:p>
        </w:tc>
        <w:tc>
          <w:tcPr>
            <w:tcW w:w="741" w:type="dxa"/>
            <w:vAlign w:val="top"/>
          </w:tcPr>
          <w:p>
            <w:pPr>
              <w:rPr>
                <w:rFonts w:ascii="Arial"/>
                <w:sz w:val="21"/>
              </w:rPr>
            </w:pPr>
            <w:r/>
          </w:p>
        </w:tc>
        <w:tc>
          <w:tcPr>
            <w:tcW w:w="602" w:type="dxa"/>
            <w:vAlign w:val="top"/>
          </w:tcPr>
          <w:p>
            <w:pPr>
              <w:rPr>
                <w:rFonts w:ascii="Arial"/>
                <w:sz w:val="21"/>
              </w:rPr>
            </w:pPr>
            <w:r/>
          </w:p>
        </w:tc>
        <w:tc>
          <w:tcPr>
            <w:tcW w:w="712" w:type="dxa"/>
            <w:vAlign w:val="top"/>
            <w:tcBorders>
              <w:right w:val="single" w:color="000000" w:sz="6" w:space="0"/>
            </w:tcBorders>
          </w:tcPr>
          <w:p>
            <w:pPr>
              <w:rPr>
                <w:rFonts w:ascii="Arial"/>
                <w:sz w:val="21"/>
              </w:rPr>
            </w:pPr>
            <w:r/>
          </w:p>
        </w:tc>
      </w:tr>
      <w:tr>
        <w:trPr>
          <w:trHeight w:val="391" w:hRule="atLeast"/>
        </w:trPr>
        <w:tc>
          <w:tcPr>
            <w:tcW w:w="848" w:type="dxa"/>
            <w:vAlign w:val="top"/>
            <w:tcBorders>
              <w:left w:val="single" w:color="000000" w:sz="6" w:space="0"/>
            </w:tcBorders>
          </w:tcPr>
          <w:p>
            <w:pPr>
              <w:rPr>
                <w:rFonts w:ascii="Arial"/>
                <w:sz w:val="21"/>
              </w:rPr>
            </w:pPr>
            <w:r/>
          </w:p>
        </w:tc>
        <w:tc>
          <w:tcPr>
            <w:tcW w:w="975" w:type="dxa"/>
            <w:vAlign w:val="top"/>
          </w:tcPr>
          <w:p>
            <w:pPr>
              <w:rPr>
                <w:rFonts w:ascii="Arial"/>
                <w:sz w:val="21"/>
              </w:rPr>
            </w:pPr>
            <w:r/>
          </w:p>
        </w:tc>
        <w:tc>
          <w:tcPr>
            <w:tcW w:w="838" w:type="dxa"/>
            <w:vAlign w:val="top"/>
          </w:tcPr>
          <w:p>
            <w:pPr>
              <w:rPr>
                <w:rFonts w:ascii="Arial"/>
                <w:sz w:val="21"/>
              </w:rPr>
            </w:pPr>
            <w:r/>
          </w:p>
        </w:tc>
        <w:tc>
          <w:tcPr>
            <w:tcW w:w="837" w:type="dxa"/>
            <w:vAlign w:val="top"/>
          </w:tcPr>
          <w:p>
            <w:pPr>
              <w:rPr>
                <w:rFonts w:ascii="Arial"/>
                <w:sz w:val="21"/>
              </w:rPr>
            </w:pPr>
            <w:r/>
          </w:p>
        </w:tc>
        <w:tc>
          <w:tcPr>
            <w:tcW w:w="836" w:type="dxa"/>
            <w:vAlign w:val="top"/>
          </w:tcPr>
          <w:p>
            <w:pPr>
              <w:rPr>
                <w:rFonts w:ascii="Arial"/>
                <w:sz w:val="21"/>
              </w:rPr>
            </w:pPr>
            <w:r/>
          </w:p>
        </w:tc>
        <w:tc>
          <w:tcPr>
            <w:tcW w:w="755" w:type="dxa"/>
            <w:vAlign w:val="top"/>
          </w:tcPr>
          <w:p>
            <w:pPr>
              <w:rPr>
                <w:rFonts w:ascii="Arial"/>
                <w:sz w:val="21"/>
              </w:rPr>
            </w:pPr>
            <w:r/>
          </w:p>
        </w:tc>
        <w:tc>
          <w:tcPr>
            <w:tcW w:w="726" w:type="dxa"/>
            <w:vAlign w:val="top"/>
          </w:tcPr>
          <w:p>
            <w:pPr>
              <w:rPr>
                <w:rFonts w:ascii="Arial"/>
                <w:sz w:val="21"/>
              </w:rPr>
            </w:pPr>
            <w:r/>
          </w:p>
        </w:tc>
        <w:tc>
          <w:tcPr>
            <w:tcW w:w="685" w:type="dxa"/>
            <w:vAlign w:val="top"/>
          </w:tcPr>
          <w:p>
            <w:pPr>
              <w:rPr>
                <w:rFonts w:ascii="Arial"/>
                <w:sz w:val="21"/>
              </w:rPr>
            </w:pPr>
            <w:r/>
          </w:p>
        </w:tc>
        <w:tc>
          <w:tcPr>
            <w:tcW w:w="755" w:type="dxa"/>
            <w:vAlign w:val="top"/>
          </w:tcPr>
          <w:p>
            <w:pPr>
              <w:rPr>
                <w:rFonts w:ascii="Arial"/>
                <w:sz w:val="21"/>
              </w:rPr>
            </w:pPr>
            <w:r/>
          </w:p>
        </w:tc>
        <w:tc>
          <w:tcPr>
            <w:tcW w:w="699" w:type="dxa"/>
            <w:vAlign w:val="top"/>
          </w:tcPr>
          <w:p>
            <w:pPr>
              <w:rPr>
                <w:rFonts w:ascii="Arial"/>
                <w:sz w:val="21"/>
              </w:rPr>
            </w:pPr>
            <w:r/>
          </w:p>
        </w:tc>
        <w:tc>
          <w:tcPr>
            <w:tcW w:w="755" w:type="dxa"/>
            <w:vAlign w:val="top"/>
          </w:tcPr>
          <w:p>
            <w:pPr>
              <w:rPr>
                <w:rFonts w:ascii="Arial"/>
                <w:sz w:val="21"/>
              </w:rPr>
            </w:pPr>
            <w:r/>
          </w:p>
        </w:tc>
        <w:tc>
          <w:tcPr>
            <w:tcW w:w="657" w:type="dxa"/>
            <w:vAlign w:val="top"/>
          </w:tcPr>
          <w:p>
            <w:pPr>
              <w:rPr>
                <w:rFonts w:ascii="Arial"/>
                <w:sz w:val="21"/>
              </w:rPr>
            </w:pPr>
            <w:r/>
          </w:p>
        </w:tc>
        <w:tc>
          <w:tcPr>
            <w:tcW w:w="560" w:type="dxa"/>
            <w:vAlign w:val="top"/>
          </w:tcPr>
          <w:p>
            <w:pPr>
              <w:rPr>
                <w:rFonts w:ascii="Arial"/>
                <w:sz w:val="21"/>
              </w:rPr>
            </w:pPr>
            <w:r/>
          </w:p>
        </w:tc>
        <w:tc>
          <w:tcPr>
            <w:tcW w:w="616" w:type="dxa"/>
            <w:vAlign w:val="top"/>
          </w:tcPr>
          <w:p>
            <w:pPr>
              <w:rPr>
                <w:rFonts w:ascii="Arial"/>
                <w:sz w:val="21"/>
              </w:rPr>
            </w:pPr>
            <w:r/>
          </w:p>
        </w:tc>
        <w:tc>
          <w:tcPr>
            <w:tcW w:w="657" w:type="dxa"/>
            <w:vAlign w:val="top"/>
          </w:tcPr>
          <w:p>
            <w:pPr>
              <w:rPr>
                <w:rFonts w:ascii="Arial"/>
                <w:sz w:val="21"/>
              </w:rPr>
            </w:pPr>
            <w:r/>
          </w:p>
        </w:tc>
        <w:tc>
          <w:tcPr>
            <w:tcW w:w="642" w:type="dxa"/>
            <w:vAlign w:val="top"/>
          </w:tcPr>
          <w:p>
            <w:pPr>
              <w:rPr>
                <w:rFonts w:ascii="Arial"/>
                <w:sz w:val="21"/>
              </w:rPr>
            </w:pPr>
            <w:r/>
          </w:p>
        </w:tc>
        <w:tc>
          <w:tcPr>
            <w:tcW w:w="741" w:type="dxa"/>
            <w:vAlign w:val="top"/>
          </w:tcPr>
          <w:p>
            <w:pPr>
              <w:rPr>
                <w:rFonts w:ascii="Arial"/>
                <w:sz w:val="21"/>
              </w:rPr>
            </w:pPr>
            <w:r/>
          </w:p>
        </w:tc>
        <w:tc>
          <w:tcPr>
            <w:tcW w:w="602" w:type="dxa"/>
            <w:vAlign w:val="top"/>
          </w:tcPr>
          <w:p>
            <w:pPr>
              <w:rPr>
                <w:rFonts w:ascii="Arial"/>
                <w:sz w:val="21"/>
              </w:rPr>
            </w:pPr>
            <w:r/>
          </w:p>
        </w:tc>
        <w:tc>
          <w:tcPr>
            <w:tcW w:w="712" w:type="dxa"/>
            <w:vAlign w:val="top"/>
            <w:tcBorders>
              <w:right w:val="single" w:color="000000" w:sz="6" w:space="0"/>
            </w:tcBorders>
          </w:tcPr>
          <w:p>
            <w:pPr>
              <w:rPr>
                <w:rFonts w:ascii="Arial"/>
                <w:sz w:val="21"/>
              </w:rPr>
            </w:pPr>
            <w:r/>
          </w:p>
        </w:tc>
      </w:tr>
      <w:tr>
        <w:trPr>
          <w:trHeight w:val="391" w:hRule="atLeast"/>
        </w:trPr>
        <w:tc>
          <w:tcPr>
            <w:tcW w:w="848" w:type="dxa"/>
            <w:vAlign w:val="top"/>
            <w:tcBorders>
              <w:left w:val="single" w:color="000000" w:sz="6" w:space="0"/>
            </w:tcBorders>
          </w:tcPr>
          <w:p>
            <w:pPr>
              <w:rPr>
                <w:rFonts w:ascii="Arial"/>
                <w:sz w:val="21"/>
              </w:rPr>
            </w:pPr>
            <w:r/>
          </w:p>
        </w:tc>
        <w:tc>
          <w:tcPr>
            <w:tcW w:w="975" w:type="dxa"/>
            <w:vAlign w:val="top"/>
          </w:tcPr>
          <w:p>
            <w:pPr>
              <w:rPr>
                <w:rFonts w:ascii="Arial"/>
                <w:sz w:val="21"/>
              </w:rPr>
            </w:pPr>
            <w:r/>
          </w:p>
        </w:tc>
        <w:tc>
          <w:tcPr>
            <w:tcW w:w="838" w:type="dxa"/>
            <w:vAlign w:val="top"/>
          </w:tcPr>
          <w:p>
            <w:pPr>
              <w:rPr>
                <w:rFonts w:ascii="Arial"/>
                <w:sz w:val="21"/>
              </w:rPr>
            </w:pPr>
            <w:r/>
          </w:p>
        </w:tc>
        <w:tc>
          <w:tcPr>
            <w:tcW w:w="837" w:type="dxa"/>
            <w:vAlign w:val="top"/>
          </w:tcPr>
          <w:p>
            <w:pPr>
              <w:rPr>
                <w:rFonts w:ascii="Arial"/>
                <w:sz w:val="21"/>
              </w:rPr>
            </w:pPr>
            <w:r/>
          </w:p>
        </w:tc>
        <w:tc>
          <w:tcPr>
            <w:tcW w:w="836" w:type="dxa"/>
            <w:vAlign w:val="top"/>
          </w:tcPr>
          <w:p>
            <w:pPr>
              <w:rPr>
                <w:rFonts w:ascii="Arial"/>
                <w:sz w:val="21"/>
              </w:rPr>
            </w:pPr>
            <w:r/>
          </w:p>
        </w:tc>
        <w:tc>
          <w:tcPr>
            <w:tcW w:w="755" w:type="dxa"/>
            <w:vAlign w:val="top"/>
          </w:tcPr>
          <w:p>
            <w:pPr>
              <w:rPr>
                <w:rFonts w:ascii="Arial"/>
                <w:sz w:val="21"/>
              </w:rPr>
            </w:pPr>
            <w:r/>
          </w:p>
        </w:tc>
        <w:tc>
          <w:tcPr>
            <w:tcW w:w="726" w:type="dxa"/>
            <w:vAlign w:val="top"/>
          </w:tcPr>
          <w:p>
            <w:pPr>
              <w:rPr>
                <w:rFonts w:ascii="Arial"/>
                <w:sz w:val="21"/>
              </w:rPr>
            </w:pPr>
            <w:r/>
          </w:p>
        </w:tc>
        <w:tc>
          <w:tcPr>
            <w:tcW w:w="685" w:type="dxa"/>
            <w:vAlign w:val="top"/>
          </w:tcPr>
          <w:p>
            <w:pPr>
              <w:rPr>
                <w:rFonts w:ascii="Arial"/>
                <w:sz w:val="21"/>
              </w:rPr>
            </w:pPr>
            <w:r/>
          </w:p>
        </w:tc>
        <w:tc>
          <w:tcPr>
            <w:tcW w:w="755" w:type="dxa"/>
            <w:vAlign w:val="top"/>
          </w:tcPr>
          <w:p>
            <w:pPr>
              <w:rPr>
                <w:rFonts w:ascii="Arial"/>
                <w:sz w:val="21"/>
              </w:rPr>
            </w:pPr>
            <w:r/>
          </w:p>
        </w:tc>
        <w:tc>
          <w:tcPr>
            <w:tcW w:w="699" w:type="dxa"/>
            <w:vAlign w:val="top"/>
          </w:tcPr>
          <w:p>
            <w:pPr>
              <w:rPr>
                <w:rFonts w:ascii="Arial"/>
                <w:sz w:val="21"/>
              </w:rPr>
            </w:pPr>
            <w:r/>
          </w:p>
        </w:tc>
        <w:tc>
          <w:tcPr>
            <w:tcW w:w="755" w:type="dxa"/>
            <w:vAlign w:val="top"/>
          </w:tcPr>
          <w:p>
            <w:pPr>
              <w:rPr>
                <w:rFonts w:ascii="Arial"/>
                <w:sz w:val="21"/>
              </w:rPr>
            </w:pPr>
            <w:r/>
          </w:p>
        </w:tc>
        <w:tc>
          <w:tcPr>
            <w:tcW w:w="657" w:type="dxa"/>
            <w:vAlign w:val="top"/>
          </w:tcPr>
          <w:p>
            <w:pPr>
              <w:rPr>
                <w:rFonts w:ascii="Arial"/>
                <w:sz w:val="21"/>
              </w:rPr>
            </w:pPr>
            <w:r/>
          </w:p>
        </w:tc>
        <w:tc>
          <w:tcPr>
            <w:tcW w:w="560" w:type="dxa"/>
            <w:vAlign w:val="top"/>
          </w:tcPr>
          <w:p>
            <w:pPr>
              <w:rPr>
                <w:rFonts w:ascii="Arial"/>
                <w:sz w:val="21"/>
              </w:rPr>
            </w:pPr>
            <w:r/>
          </w:p>
        </w:tc>
        <w:tc>
          <w:tcPr>
            <w:tcW w:w="616" w:type="dxa"/>
            <w:vAlign w:val="top"/>
          </w:tcPr>
          <w:p>
            <w:pPr>
              <w:rPr>
                <w:rFonts w:ascii="Arial"/>
                <w:sz w:val="21"/>
              </w:rPr>
            </w:pPr>
            <w:r/>
          </w:p>
        </w:tc>
        <w:tc>
          <w:tcPr>
            <w:tcW w:w="657" w:type="dxa"/>
            <w:vAlign w:val="top"/>
          </w:tcPr>
          <w:p>
            <w:pPr>
              <w:rPr>
                <w:rFonts w:ascii="Arial"/>
                <w:sz w:val="21"/>
              </w:rPr>
            </w:pPr>
            <w:r/>
          </w:p>
        </w:tc>
        <w:tc>
          <w:tcPr>
            <w:tcW w:w="642" w:type="dxa"/>
            <w:vAlign w:val="top"/>
          </w:tcPr>
          <w:p>
            <w:pPr>
              <w:rPr>
                <w:rFonts w:ascii="Arial"/>
                <w:sz w:val="21"/>
              </w:rPr>
            </w:pPr>
            <w:r/>
          </w:p>
        </w:tc>
        <w:tc>
          <w:tcPr>
            <w:tcW w:w="741" w:type="dxa"/>
            <w:vAlign w:val="top"/>
          </w:tcPr>
          <w:p>
            <w:pPr>
              <w:rPr>
                <w:rFonts w:ascii="Arial"/>
                <w:sz w:val="21"/>
              </w:rPr>
            </w:pPr>
            <w:r/>
          </w:p>
        </w:tc>
        <w:tc>
          <w:tcPr>
            <w:tcW w:w="602" w:type="dxa"/>
            <w:vAlign w:val="top"/>
          </w:tcPr>
          <w:p>
            <w:pPr>
              <w:rPr>
                <w:rFonts w:ascii="Arial"/>
                <w:sz w:val="21"/>
              </w:rPr>
            </w:pPr>
            <w:r/>
          </w:p>
        </w:tc>
        <w:tc>
          <w:tcPr>
            <w:tcW w:w="712" w:type="dxa"/>
            <w:vAlign w:val="top"/>
            <w:tcBorders>
              <w:right w:val="single" w:color="000000" w:sz="6" w:space="0"/>
            </w:tcBorders>
          </w:tcPr>
          <w:p>
            <w:pPr>
              <w:rPr>
                <w:rFonts w:ascii="Arial"/>
                <w:sz w:val="21"/>
              </w:rPr>
            </w:pPr>
            <w:r/>
          </w:p>
        </w:tc>
      </w:tr>
      <w:tr>
        <w:trPr>
          <w:trHeight w:val="391" w:hRule="atLeast"/>
        </w:trPr>
        <w:tc>
          <w:tcPr>
            <w:tcW w:w="848" w:type="dxa"/>
            <w:vAlign w:val="top"/>
            <w:tcBorders>
              <w:left w:val="single" w:color="000000" w:sz="6" w:space="0"/>
            </w:tcBorders>
          </w:tcPr>
          <w:p>
            <w:pPr>
              <w:rPr>
                <w:rFonts w:ascii="Arial"/>
                <w:sz w:val="21"/>
              </w:rPr>
            </w:pPr>
            <w:r/>
          </w:p>
        </w:tc>
        <w:tc>
          <w:tcPr>
            <w:tcW w:w="975" w:type="dxa"/>
            <w:vAlign w:val="top"/>
          </w:tcPr>
          <w:p>
            <w:pPr>
              <w:rPr>
                <w:rFonts w:ascii="Arial"/>
                <w:sz w:val="21"/>
              </w:rPr>
            </w:pPr>
            <w:r/>
          </w:p>
        </w:tc>
        <w:tc>
          <w:tcPr>
            <w:tcW w:w="838" w:type="dxa"/>
            <w:vAlign w:val="top"/>
          </w:tcPr>
          <w:p>
            <w:pPr>
              <w:rPr>
                <w:rFonts w:ascii="Arial"/>
                <w:sz w:val="21"/>
              </w:rPr>
            </w:pPr>
            <w:r/>
          </w:p>
        </w:tc>
        <w:tc>
          <w:tcPr>
            <w:tcW w:w="837" w:type="dxa"/>
            <w:vAlign w:val="top"/>
          </w:tcPr>
          <w:p>
            <w:pPr>
              <w:rPr>
                <w:rFonts w:ascii="Arial"/>
                <w:sz w:val="21"/>
              </w:rPr>
            </w:pPr>
            <w:r/>
          </w:p>
        </w:tc>
        <w:tc>
          <w:tcPr>
            <w:tcW w:w="836" w:type="dxa"/>
            <w:vAlign w:val="top"/>
          </w:tcPr>
          <w:p>
            <w:pPr>
              <w:rPr>
                <w:rFonts w:ascii="Arial"/>
                <w:sz w:val="21"/>
              </w:rPr>
            </w:pPr>
            <w:r/>
          </w:p>
        </w:tc>
        <w:tc>
          <w:tcPr>
            <w:tcW w:w="755" w:type="dxa"/>
            <w:vAlign w:val="top"/>
          </w:tcPr>
          <w:p>
            <w:pPr>
              <w:rPr>
                <w:rFonts w:ascii="Arial"/>
                <w:sz w:val="21"/>
              </w:rPr>
            </w:pPr>
            <w:r/>
          </w:p>
        </w:tc>
        <w:tc>
          <w:tcPr>
            <w:tcW w:w="726" w:type="dxa"/>
            <w:vAlign w:val="top"/>
          </w:tcPr>
          <w:p>
            <w:pPr>
              <w:rPr>
                <w:rFonts w:ascii="Arial"/>
                <w:sz w:val="21"/>
              </w:rPr>
            </w:pPr>
            <w:r/>
          </w:p>
        </w:tc>
        <w:tc>
          <w:tcPr>
            <w:tcW w:w="685" w:type="dxa"/>
            <w:vAlign w:val="top"/>
          </w:tcPr>
          <w:p>
            <w:pPr>
              <w:rPr>
                <w:rFonts w:ascii="Arial"/>
                <w:sz w:val="21"/>
              </w:rPr>
            </w:pPr>
            <w:r/>
          </w:p>
        </w:tc>
        <w:tc>
          <w:tcPr>
            <w:tcW w:w="755" w:type="dxa"/>
            <w:vAlign w:val="top"/>
          </w:tcPr>
          <w:p>
            <w:pPr>
              <w:rPr>
                <w:rFonts w:ascii="Arial"/>
                <w:sz w:val="21"/>
              </w:rPr>
            </w:pPr>
            <w:r/>
          </w:p>
        </w:tc>
        <w:tc>
          <w:tcPr>
            <w:tcW w:w="699" w:type="dxa"/>
            <w:vAlign w:val="top"/>
          </w:tcPr>
          <w:p>
            <w:pPr>
              <w:rPr>
                <w:rFonts w:ascii="Arial"/>
                <w:sz w:val="21"/>
              </w:rPr>
            </w:pPr>
            <w:r/>
          </w:p>
        </w:tc>
        <w:tc>
          <w:tcPr>
            <w:tcW w:w="755" w:type="dxa"/>
            <w:vAlign w:val="top"/>
          </w:tcPr>
          <w:p>
            <w:pPr>
              <w:rPr>
                <w:rFonts w:ascii="Arial"/>
                <w:sz w:val="21"/>
              </w:rPr>
            </w:pPr>
            <w:r/>
          </w:p>
        </w:tc>
        <w:tc>
          <w:tcPr>
            <w:tcW w:w="657" w:type="dxa"/>
            <w:vAlign w:val="top"/>
          </w:tcPr>
          <w:p>
            <w:pPr>
              <w:rPr>
                <w:rFonts w:ascii="Arial"/>
                <w:sz w:val="21"/>
              </w:rPr>
            </w:pPr>
            <w:r/>
          </w:p>
        </w:tc>
        <w:tc>
          <w:tcPr>
            <w:tcW w:w="560" w:type="dxa"/>
            <w:vAlign w:val="top"/>
          </w:tcPr>
          <w:p>
            <w:pPr>
              <w:rPr>
                <w:rFonts w:ascii="Arial"/>
                <w:sz w:val="21"/>
              </w:rPr>
            </w:pPr>
            <w:r/>
          </w:p>
        </w:tc>
        <w:tc>
          <w:tcPr>
            <w:tcW w:w="616" w:type="dxa"/>
            <w:vAlign w:val="top"/>
          </w:tcPr>
          <w:p>
            <w:pPr>
              <w:rPr>
                <w:rFonts w:ascii="Arial"/>
                <w:sz w:val="21"/>
              </w:rPr>
            </w:pPr>
            <w:r/>
          </w:p>
        </w:tc>
        <w:tc>
          <w:tcPr>
            <w:tcW w:w="657" w:type="dxa"/>
            <w:vAlign w:val="top"/>
          </w:tcPr>
          <w:p>
            <w:pPr>
              <w:rPr>
                <w:rFonts w:ascii="Arial"/>
                <w:sz w:val="21"/>
              </w:rPr>
            </w:pPr>
            <w:r/>
          </w:p>
        </w:tc>
        <w:tc>
          <w:tcPr>
            <w:tcW w:w="642" w:type="dxa"/>
            <w:vAlign w:val="top"/>
          </w:tcPr>
          <w:p>
            <w:pPr>
              <w:rPr>
                <w:rFonts w:ascii="Arial"/>
                <w:sz w:val="21"/>
              </w:rPr>
            </w:pPr>
            <w:r/>
          </w:p>
        </w:tc>
        <w:tc>
          <w:tcPr>
            <w:tcW w:w="741" w:type="dxa"/>
            <w:vAlign w:val="top"/>
          </w:tcPr>
          <w:p>
            <w:pPr>
              <w:rPr>
                <w:rFonts w:ascii="Arial"/>
                <w:sz w:val="21"/>
              </w:rPr>
            </w:pPr>
            <w:r/>
          </w:p>
        </w:tc>
        <w:tc>
          <w:tcPr>
            <w:tcW w:w="602" w:type="dxa"/>
            <w:vAlign w:val="top"/>
          </w:tcPr>
          <w:p>
            <w:pPr>
              <w:rPr>
                <w:rFonts w:ascii="Arial"/>
                <w:sz w:val="21"/>
              </w:rPr>
            </w:pPr>
            <w:r/>
          </w:p>
        </w:tc>
        <w:tc>
          <w:tcPr>
            <w:tcW w:w="712" w:type="dxa"/>
            <w:vAlign w:val="top"/>
            <w:tcBorders>
              <w:right w:val="single" w:color="000000" w:sz="6" w:space="0"/>
            </w:tcBorders>
          </w:tcPr>
          <w:p>
            <w:pPr>
              <w:rPr>
                <w:rFonts w:ascii="Arial"/>
                <w:sz w:val="21"/>
              </w:rPr>
            </w:pPr>
            <w:r/>
          </w:p>
        </w:tc>
      </w:tr>
      <w:tr>
        <w:trPr>
          <w:trHeight w:val="391" w:hRule="atLeast"/>
        </w:trPr>
        <w:tc>
          <w:tcPr>
            <w:tcW w:w="848" w:type="dxa"/>
            <w:vAlign w:val="top"/>
            <w:tcBorders>
              <w:left w:val="single" w:color="000000" w:sz="6" w:space="0"/>
            </w:tcBorders>
          </w:tcPr>
          <w:p>
            <w:pPr>
              <w:rPr>
                <w:rFonts w:ascii="Arial"/>
                <w:sz w:val="21"/>
              </w:rPr>
            </w:pPr>
            <w:r/>
          </w:p>
        </w:tc>
        <w:tc>
          <w:tcPr>
            <w:tcW w:w="975" w:type="dxa"/>
            <w:vAlign w:val="top"/>
          </w:tcPr>
          <w:p>
            <w:pPr>
              <w:rPr>
                <w:rFonts w:ascii="Arial"/>
                <w:sz w:val="21"/>
              </w:rPr>
            </w:pPr>
            <w:r/>
          </w:p>
        </w:tc>
        <w:tc>
          <w:tcPr>
            <w:tcW w:w="838" w:type="dxa"/>
            <w:vAlign w:val="top"/>
          </w:tcPr>
          <w:p>
            <w:pPr>
              <w:rPr>
                <w:rFonts w:ascii="Arial"/>
                <w:sz w:val="21"/>
              </w:rPr>
            </w:pPr>
            <w:r/>
          </w:p>
        </w:tc>
        <w:tc>
          <w:tcPr>
            <w:tcW w:w="837" w:type="dxa"/>
            <w:vAlign w:val="top"/>
          </w:tcPr>
          <w:p>
            <w:pPr>
              <w:rPr>
                <w:rFonts w:ascii="Arial"/>
                <w:sz w:val="21"/>
              </w:rPr>
            </w:pPr>
            <w:r/>
          </w:p>
        </w:tc>
        <w:tc>
          <w:tcPr>
            <w:tcW w:w="836" w:type="dxa"/>
            <w:vAlign w:val="top"/>
          </w:tcPr>
          <w:p>
            <w:pPr>
              <w:rPr>
                <w:rFonts w:ascii="Arial"/>
                <w:sz w:val="21"/>
              </w:rPr>
            </w:pPr>
            <w:r/>
          </w:p>
        </w:tc>
        <w:tc>
          <w:tcPr>
            <w:tcW w:w="755" w:type="dxa"/>
            <w:vAlign w:val="top"/>
          </w:tcPr>
          <w:p>
            <w:pPr>
              <w:rPr>
                <w:rFonts w:ascii="Arial"/>
                <w:sz w:val="21"/>
              </w:rPr>
            </w:pPr>
            <w:r/>
          </w:p>
        </w:tc>
        <w:tc>
          <w:tcPr>
            <w:tcW w:w="726" w:type="dxa"/>
            <w:vAlign w:val="top"/>
          </w:tcPr>
          <w:p>
            <w:pPr>
              <w:rPr>
                <w:rFonts w:ascii="Arial"/>
                <w:sz w:val="21"/>
              </w:rPr>
            </w:pPr>
            <w:r/>
          </w:p>
        </w:tc>
        <w:tc>
          <w:tcPr>
            <w:tcW w:w="685" w:type="dxa"/>
            <w:vAlign w:val="top"/>
          </w:tcPr>
          <w:p>
            <w:pPr>
              <w:rPr>
                <w:rFonts w:ascii="Arial"/>
                <w:sz w:val="21"/>
              </w:rPr>
            </w:pPr>
            <w:r/>
          </w:p>
        </w:tc>
        <w:tc>
          <w:tcPr>
            <w:tcW w:w="755" w:type="dxa"/>
            <w:vAlign w:val="top"/>
          </w:tcPr>
          <w:p>
            <w:pPr>
              <w:rPr>
                <w:rFonts w:ascii="Arial"/>
                <w:sz w:val="21"/>
              </w:rPr>
            </w:pPr>
            <w:r/>
          </w:p>
        </w:tc>
        <w:tc>
          <w:tcPr>
            <w:tcW w:w="699" w:type="dxa"/>
            <w:vAlign w:val="top"/>
          </w:tcPr>
          <w:p>
            <w:pPr>
              <w:rPr>
                <w:rFonts w:ascii="Arial"/>
                <w:sz w:val="21"/>
              </w:rPr>
            </w:pPr>
            <w:r/>
          </w:p>
        </w:tc>
        <w:tc>
          <w:tcPr>
            <w:tcW w:w="755" w:type="dxa"/>
            <w:vAlign w:val="top"/>
          </w:tcPr>
          <w:p>
            <w:pPr>
              <w:rPr>
                <w:rFonts w:ascii="Arial"/>
                <w:sz w:val="21"/>
              </w:rPr>
            </w:pPr>
            <w:r/>
          </w:p>
        </w:tc>
        <w:tc>
          <w:tcPr>
            <w:tcW w:w="657" w:type="dxa"/>
            <w:vAlign w:val="top"/>
          </w:tcPr>
          <w:p>
            <w:pPr>
              <w:rPr>
                <w:rFonts w:ascii="Arial"/>
                <w:sz w:val="21"/>
              </w:rPr>
            </w:pPr>
            <w:r/>
          </w:p>
        </w:tc>
        <w:tc>
          <w:tcPr>
            <w:tcW w:w="560" w:type="dxa"/>
            <w:vAlign w:val="top"/>
          </w:tcPr>
          <w:p>
            <w:pPr>
              <w:rPr>
                <w:rFonts w:ascii="Arial"/>
                <w:sz w:val="21"/>
              </w:rPr>
            </w:pPr>
            <w:r/>
          </w:p>
        </w:tc>
        <w:tc>
          <w:tcPr>
            <w:tcW w:w="616" w:type="dxa"/>
            <w:vAlign w:val="top"/>
          </w:tcPr>
          <w:p>
            <w:pPr>
              <w:rPr>
                <w:rFonts w:ascii="Arial"/>
                <w:sz w:val="21"/>
              </w:rPr>
            </w:pPr>
            <w:r/>
          </w:p>
        </w:tc>
        <w:tc>
          <w:tcPr>
            <w:tcW w:w="657" w:type="dxa"/>
            <w:vAlign w:val="top"/>
          </w:tcPr>
          <w:p>
            <w:pPr>
              <w:rPr>
                <w:rFonts w:ascii="Arial"/>
                <w:sz w:val="21"/>
              </w:rPr>
            </w:pPr>
            <w:r/>
          </w:p>
        </w:tc>
        <w:tc>
          <w:tcPr>
            <w:tcW w:w="642" w:type="dxa"/>
            <w:vAlign w:val="top"/>
          </w:tcPr>
          <w:p>
            <w:pPr>
              <w:rPr>
                <w:rFonts w:ascii="Arial"/>
                <w:sz w:val="21"/>
              </w:rPr>
            </w:pPr>
            <w:r/>
          </w:p>
        </w:tc>
        <w:tc>
          <w:tcPr>
            <w:tcW w:w="741" w:type="dxa"/>
            <w:vAlign w:val="top"/>
          </w:tcPr>
          <w:p>
            <w:pPr>
              <w:rPr>
                <w:rFonts w:ascii="Arial"/>
                <w:sz w:val="21"/>
              </w:rPr>
            </w:pPr>
            <w:r/>
          </w:p>
        </w:tc>
        <w:tc>
          <w:tcPr>
            <w:tcW w:w="602" w:type="dxa"/>
            <w:vAlign w:val="top"/>
          </w:tcPr>
          <w:p>
            <w:pPr>
              <w:rPr>
                <w:rFonts w:ascii="Arial"/>
                <w:sz w:val="21"/>
              </w:rPr>
            </w:pPr>
            <w:r/>
          </w:p>
        </w:tc>
        <w:tc>
          <w:tcPr>
            <w:tcW w:w="712" w:type="dxa"/>
            <w:vAlign w:val="top"/>
            <w:tcBorders>
              <w:right w:val="single" w:color="000000" w:sz="6" w:space="0"/>
            </w:tcBorders>
          </w:tcPr>
          <w:p>
            <w:pPr>
              <w:rPr>
                <w:rFonts w:ascii="Arial"/>
                <w:sz w:val="21"/>
              </w:rPr>
            </w:pPr>
            <w:r/>
          </w:p>
        </w:tc>
      </w:tr>
      <w:tr>
        <w:trPr>
          <w:trHeight w:val="403" w:hRule="atLeast"/>
        </w:trPr>
        <w:tc>
          <w:tcPr>
            <w:tcW w:w="848" w:type="dxa"/>
            <w:vAlign w:val="top"/>
            <w:tcBorders>
              <w:left w:val="single" w:color="000000" w:sz="6" w:space="0"/>
              <w:bottom w:val="single" w:color="000000" w:sz="6" w:space="0"/>
            </w:tcBorders>
          </w:tcPr>
          <w:p>
            <w:pPr>
              <w:rPr>
                <w:rFonts w:ascii="Arial"/>
                <w:sz w:val="21"/>
              </w:rPr>
            </w:pPr>
            <w:r/>
          </w:p>
        </w:tc>
        <w:tc>
          <w:tcPr>
            <w:tcW w:w="975" w:type="dxa"/>
            <w:vAlign w:val="top"/>
            <w:tcBorders>
              <w:bottom w:val="single" w:color="000000" w:sz="6" w:space="0"/>
            </w:tcBorders>
          </w:tcPr>
          <w:p>
            <w:pPr>
              <w:rPr>
                <w:rFonts w:ascii="Arial"/>
                <w:sz w:val="21"/>
              </w:rPr>
            </w:pPr>
            <w:r/>
          </w:p>
        </w:tc>
        <w:tc>
          <w:tcPr>
            <w:tcW w:w="838" w:type="dxa"/>
            <w:vAlign w:val="top"/>
            <w:tcBorders>
              <w:bottom w:val="single" w:color="000000" w:sz="6" w:space="0"/>
            </w:tcBorders>
          </w:tcPr>
          <w:p>
            <w:pPr>
              <w:rPr>
                <w:rFonts w:ascii="Arial"/>
                <w:sz w:val="21"/>
              </w:rPr>
            </w:pPr>
            <w:r/>
          </w:p>
        </w:tc>
        <w:tc>
          <w:tcPr>
            <w:tcW w:w="837" w:type="dxa"/>
            <w:vAlign w:val="top"/>
            <w:tcBorders>
              <w:bottom w:val="single" w:color="000000" w:sz="6" w:space="0"/>
            </w:tcBorders>
          </w:tcPr>
          <w:p>
            <w:pPr>
              <w:rPr>
                <w:rFonts w:ascii="Arial"/>
                <w:sz w:val="21"/>
              </w:rPr>
            </w:pPr>
            <w:r/>
          </w:p>
        </w:tc>
        <w:tc>
          <w:tcPr>
            <w:tcW w:w="836" w:type="dxa"/>
            <w:vAlign w:val="top"/>
            <w:tcBorders>
              <w:bottom w:val="single" w:color="000000" w:sz="6" w:space="0"/>
            </w:tcBorders>
          </w:tcPr>
          <w:p>
            <w:pPr>
              <w:rPr>
                <w:rFonts w:ascii="Arial"/>
                <w:sz w:val="21"/>
              </w:rPr>
            </w:pPr>
            <w:r/>
          </w:p>
        </w:tc>
        <w:tc>
          <w:tcPr>
            <w:tcW w:w="755" w:type="dxa"/>
            <w:vAlign w:val="top"/>
            <w:tcBorders>
              <w:bottom w:val="single" w:color="000000" w:sz="6" w:space="0"/>
            </w:tcBorders>
          </w:tcPr>
          <w:p>
            <w:pPr>
              <w:rPr>
                <w:rFonts w:ascii="Arial"/>
                <w:sz w:val="21"/>
              </w:rPr>
            </w:pPr>
            <w:r/>
          </w:p>
        </w:tc>
        <w:tc>
          <w:tcPr>
            <w:tcW w:w="726" w:type="dxa"/>
            <w:vAlign w:val="top"/>
            <w:tcBorders>
              <w:bottom w:val="single" w:color="000000" w:sz="6" w:space="0"/>
            </w:tcBorders>
          </w:tcPr>
          <w:p>
            <w:pPr>
              <w:rPr>
                <w:rFonts w:ascii="Arial"/>
                <w:sz w:val="21"/>
              </w:rPr>
            </w:pPr>
            <w:r/>
          </w:p>
        </w:tc>
        <w:tc>
          <w:tcPr>
            <w:tcW w:w="685" w:type="dxa"/>
            <w:vAlign w:val="top"/>
            <w:tcBorders>
              <w:bottom w:val="single" w:color="000000" w:sz="6" w:space="0"/>
            </w:tcBorders>
          </w:tcPr>
          <w:p>
            <w:pPr>
              <w:rPr>
                <w:rFonts w:ascii="Arial"/>
                <w:sz w:val="21"/>
              </w:rPr>
            </w:pPr>
            <w:r/>
          </w:p>
        </w:tc>
        <w:tc>
          <w:tcPr>
            <w:tcW w:w="755" w:type="dxa"/>
            <w:vAlign w:val="top"/>
            <w:tcBorders>
              <w:bottom w:val="single" w:color="000000" w:sz="6" w:space="0"/>
            </w:tcBorders>
          </w:tcPr>
          <w:p>
            <w:pPr>
              <w:rPr>
                <w:rFonts w:ascii="Arial"/>
                <w:sz w:val="21"/>
              </w:rPr>
            </w:pPr>
            <w:r/>
          </w:p>
        </w:tc>
        <w:tc>
          <w:tcPr>
            <w:tcW w:w="699" w:type="dxa"/>
            <w:vAlign w:val="top"/>
            <w:tcBorders>
              <w:bottom w:val="single" w:color="000000" w:sz="6" w:space="0"/>
            </w:tcBorders>
          </w:tcPr>
          <w:p>
            <w:pPr>
              <w:rPr>
                <w:rFonts w:ascii="Arial"/>
                <w:sz w:val="21"/>
              </w:rPr>
            </w:pPr>
            <w:r/>
          </w:p>
        </w:tc>
        <w:tc>
          <w:tcPr>
            <w:tcW w:w="755" w:type="dxa"/>
            <w:vAlign w:val="top"/>
            <w:tcBorders>
              <w:bottom w:val="single" w:color="000000" w:sz="6" w:space="0"/>
            </w:tcBorders>
          </w:tcPr>
          <w:p>
            <w:pPr>
              <w:rPr>
                <w:rFonts w:ascii="Arial"/>
                <w:sz w:val="21"/>
              </w:rPr>
            </w:pPr>
            <w:r/>
          </w:p>
        </w:tc>
        <w:tc>
          <w:tcPr>
            <w:tcW w:w="657" w:type="dxa"/>
            <w:vAlign w:val="top"/>
            <w:tcBorders>
              <w:bottom w:val="single" w:color="000000" w:sz="6" w:space="0"/>
            </w:tcBorders>
          </w:tcPr>
          <w:p>
            <w:pPr>
              <w:rPr>
                <w:rFonts w:ascii="Arial"/>
                <w:sz w:val="21"/>
              </w:rPr>
            </w:pPr>
            <w:r/>
          </w:p>
        </w:tc>
        <w:tc>
          <w:tcPr>
            <w:tcW w:w="560" w:type="dxa"/>
            <w:vAlign w:val="top"/>
            <w:tcBorders>
              <w:bottom w:val="single" w:color="000000" w:sz="6" w:space="0"/>
            </w:tcBorders>
          </w:tcPr>
          <w:p>
            <w:pPr>
              <w:rPr>
                <w:rFonts w:ascii="Arial"/>
                <w:sz w:val="21"/>
              </w:rPr>
            </w:pPr>
            <w:r/>
          </w:p>
        </w:tc>
        <w:tc>
          <w:tcPr>
            <w:tcW w:w="616" w:type="dxa"/>
            <w:vAlign w:val="top"/>
            <w:tcBorders>
              <w:bottom w:val="single" w:color="000000" w:sz="6" w:space="0"/>
            </w:tcBorders>
          </w:tcPr>
          <w:p>
            <w:pPr>
              <w:rPr>
                <w:rFonts w:ascii="Arial"/>
                <w:sz w:val="21"/>
              </w:rPr>
            </w:pPr>
            <w:r/>
          </w:p>
        </w:tc>
        <w:tc>
          <w:tcPr>
            <w:tcW w:w="657" w:type="dxa"/>
            <w:vAlign w:val="top"/>
            <w:tcBorders>
              <w:bottom w:val="single" w:color="000000" w:sz="6" w:space="0"/>
            </w:tcBorders>
          </w:tcPr>
          <w:p>
            <w:pPr>
              <w:rPr>
                <w:rFonts w:ascii="Arial"/>
                <w:sz w:val="21"/>
              </w:rPr>
            </w:pPr>
            <w:r/>
          </w:p>
        </w:tc>
        <w:tc>
          <w:tcPr>
            <w:tcW w:w="642" w:type="dxa"/>
            <w:vAlign w:val="top"/>
            <w:tcBorders>
              <w:bottom w:val="single" w:color="000000" w:sz="6" w:space="0"/>
            </w:tcBorders>
          </w:tcPr>
          <w:p>
            <w:pPr>
              <w:rPr>
                <w:rFonts w:ascii="Arial"/>
                <w:sz w:val="21"/>
              </w:rPr>
            </w:pPr>
            <w:r/>
          </w:p>
        </w:tc>
        <w:tc>
          <w:tcPr>
            <w:tcW w:w="741" w:type="dxa"/>
            <w:vAlign w:val="top"/>
            <w:tcBorders>
              <w:bottom w:val="single" w:color="000000" w:sz="6" w:space="0"/>
            </w:tcBorders>
          </w:tcPr>
          <w:p>
            <w:pPr>
              <w:rPr>
                <w:rFonts w:ascii="Arial"/>
                <w:sz w:val="21"/>
              </w:rPr>
            </w:pPr>
            <w:r/>
          </w:p>
        </w:tc>
        <w:tc>
          <w:tcPr>
            <w:tcW w:w="602" w:type="dxa"/>
            <w:vAlign w:val="top"/>
            <w:tcBorders>
              <w:bottom w:val="single" w:color="000000" w:sz="6" w:space="0"/>
            </w:tcBorders>
          </w:tcPr>
          <w:p>
            <w:pPr>
              <w:rPr>
                <w:rFonts w:ascii="Arial"/>
                <w:sz w:val="21"/>
              </w:rPr>
            </w:pPr>
            <w:r/>
          </w:p>
        </w:tc>
        <w:tc>
          <w:tcPr>
            <w:tcW w:w="712"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61"/>
          <w:footerReference w:type="default" r:id="rId102"/>
          <w:pgSz w:w="16839" w:h="11906"/>
          <w:pgMar w:top="1792" w:right="1463" w:bottom="1671" w:left="1463" w:header="1428" w:footer="1277" w:gutter="0"/>
        </w:sectPr>
        <w:rPr>
          <w:rFonts w:ascii="Arial" w:hAnsi="Arial" w:eastAsia="Arial" w:cs="Arial"/>
          <w:sz w:val="21"/>
          <w:szCs w:val="21"/>
        </w:rPr>
      </w:pPr>
    </w:p>
    <w:p>
      <w:pPr>
        <w:ind w:left="132"/>
        <w:spacing w:before="260" w:line="180" w:lineRule="auto"/>
        <w:rPr>
          <w:rFonts w:ascii="Microsoft YaHei" w:hAnsi="Microsoft YaHei" w:eastAsia="Microsoft YaHei" w:cs="Microsoft YaHei"/>
          <w:sz w:val="20"/>
          <w:szCs w:val="20"/>
        </w:rPr>
      </w:pPr>
      <w:r>
        <w:drawing>
          <wp:anchor distT="0" distB="0" distL="0" distR="0" simplePos="0" relativeHeight="251699200"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208" name="IM 208"/>
            <wp:cNvGraphicFramePr/>
            <a:graphic>
              <a:graphicData uri="http://schemas.openxmlformats.org/drawingml/2006/picture">
                <pic:pic>
                  <pic:nvPicPr>
                    <pic:cNvPr id="208" name="IM 208"/>
                    <pic:cNvPicPr/>
                  </pic:nvPicPr>
                  <pic:blipFill>
                    <a:blip r:embed="rId106"/>
                    <a:stretch>
                      <a:fillRect/>
                    </a:stretch>
                  </pic:blipFill>
                  <pic:spPr>
                    <a:xfrm rot="0">
                      <a:off x="0" y="0"/>
                      <a:ext cx="8712200" cy="7620"/>
                    </a:xfrm>
                    <a:prstGeom prst="rect">
                      <a:avLst/>
                    </a:prstGeom>
                  </pic:spPr>
                </pic:pic>
              </a:graphicData>
            </a:graphic>
          </wp:anchor>
        </w:drawing>
      </w:r>
      <w:r>
        <w:rPr>
          <w:rFonts w:ascii="Microsoft YaHei" w:hAnsi="Microsoft YaHei" w:eastAsia="Microsoft YaHei" w:cs="Microsoft YaHei"/>
          <w:sz w:val="20"/>
          <w:szCs w:val="20"/>
          <w:spacing w:val="5"/>
        </w:rPr>
        <w:t>表十</w:t>
      </w:r>
    </w:p>
    <w:p>
      <w:pPr>
        <w:pStyle w:val="BodyText"/>
        <w:ind w:left="2028"/>
        <w:spacing w:before="47" w:line="486" w:lineRule="exact"/>
        <w:rPr>
          <w:sz w:val="35"/>
          <w:szCs w:val="35"/>
        </w:rPr>
      </w:pPr>
      <w:r>
        <w:rPr>
          <w:sz w:val="35"/>
          <w:szCs w:val="35"/>
          <w:b/>
          <w:bCs/>
          <w:spacing w:val="5"/>
          <w:position w:val="2"/>
        </w:rPr>
        <w:t>固原市级</w:t>
      </w:r>
      <w:r>
        <w:rPr>
          <w:sz w:val="35"/>
          <w:szCs w:val="35"/>
          <w:spacing w:val="-78"/>
          <w:position w:val="2"/>
        </w:rPr>
        <w:t xml:space="preserve"> </w:t>
      </w:r>
      <w:r>
        <w:rPr>
          <w:sz w:val="35"/>
          <w:szCs w:val="35"/>
          <w:b/>
          <w:bCs/>
          <w:spacing w:val="5"/>
          <w:position w:val="2"/>
        </w:rPr>
        <w:t>2021</w:t>
      </w:r>
      <w:r>
        <w:rPr>
          <w:sz w:val="35"/>
          <w:szCs w:val="35"/>
          <w:spacing w:val="-78"/>
          <w:position w:val="2"/>
        </w:rPr>
        <w:t xml:space="preserve"> </w:t>
      </w:r>
      <w:r>
        <w:rPr>
          <w:sz w:val="35"/>
          <w:szCs w:val="35"/>
          <w:b/>
          <w:bCs/>
          <w:spacing w:val="5"/>
          <w:position w:val="2"/>
        </w:rPr>
        <w:t>年对下一般公共预算专项转移支付</w:t>
      </w:r>
      <w:r>
        <w:rPr>
          <w:sz w:val="35"/>
          <w:szCs w:val="35"/>
          <w:b/>
          <w:bCs/>
          <w:spacing w:val="4"/>
          <w:position w:val="2"/>
        </w:rPr>
        <w:t>表（分地区）</w:t>
      </w:r>
    </w:p>
    <w:p>
      <w:pPr>
        <w:pStyle w:val="BodyText"/>
        <w:ind w:left="12740"/>
        <w:spacing w:line="221" w:lineRule="auto"/>
        <w:rPr/>
      </w:pPr>
      <w:r>
        <w:rPr>
          <w:spacing w:val="9"/>
        </w:rPr>
        <w:t>单位：万元</w:t>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06"/>
        <w:gridCol w:w="755"/>
        <w:gridCol w:w="674"/>
        <w:gridCol w:w="500"/>
        <w:gridCol w:w="446"/>
        <w:gridCol w:w="539"/>
        <w:gridCol w:w="512"/>
        <w:gridCol w:w="486"/>
        <w:gridCol w:w="650"/>
        <w:gridCol w:w="650"/>
        <w:gridCol w:w="650"/>
        <w:gridCol w:w="650"/>
        <w:gridCol w:w="650"/>
        <w:gridCol w:w="709"/>
        <w:gridCol w:w="479"/>
        <w:gridCol w:w="671"/>
        <w:gridCol w:w="466"/>
        <w:gridCol w:w="406"/>
        <w:gridCol w:w="660"/>
        <w:gridCol w:w="634"/>
        <w:gridCol w:w="593"/>
        <w:gridCol w:w="652"/>
        <w:gridCol w:w="558"/>
      </w:tblGrid>
      <w:tr>
        <w:trPr>
          <w:trHeight w:val="641" w:hRule="atLeast"/>
        </w:trPr>
        <w:tc>
          <w:tcPr>
            <w:tcW w:w="906" w:type="dxa"/>
            <w:vAlign w:val="top"/>
            <w:vMerge w:val="restart"/>
            <w:tcBorders>
              <w:left w:val="single" w:color="000000" w:sz="6" w:space="0"/>
              <w:top w:val="single" w:color="000000" w:sz="6" w:space="0"/>
              <w:bottom w:val="nil"/>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96"/>
              <w:spacing w:before="62" w:line="210" w:lineRule="auto"/>
              <w:rPr>
                <w:sz w:val="19"/>
                <w:szCs w:val="19"/>
              </w:rPr>
            </w:pPr>
            <w:r>
              <w:rPr>
                <w:sz w:val="19"/>
                <w:szCs w:val="19"/>
                <w:b/>
                <w:bCs/>
              </w:rPr>
              <w:t>地</w:t>
            </w:r>
            <w:r>
              <w:rPr>
                <w:sz w:val="19"/>
                <w:szCs w:val="19"/>
                <w:spacing w:val="27"/>
              </w:rPr>
              <w:t xml:space="preserve"> </w:t>
            </w:r>
            <w:r>
              <w:rPr>
                <w:sz w:val="19"/>
                <w:szCs w:val="19"/>
                <w:b/>
                <w:bCs/>
              </w:rPr>
              <w:t>区</w:t>
            </w:r>
          </w:p>
        </w:tc>
        <w:tc>
          <w:tcPr>
            <w:tcW w:w="12990" w:type="dxa"/>
            <w:vAlign w:val="top"/>
            <w:gridSpan w:val="22"/>
            <w:tcBorders>
              <w:right w:val="single" w:color="000000" w:sz="6" w:space="0"/>
              <w:top w:val="single" w:color="000000" w:sz="6" w:space="0"/>
            </w:tcBorders>
          </w:tcPr>
          <w:p>
            <w:pPr>
              <w:pStyle w:val="TableText"/>
              <w:ind w:left="4738"/>
              <w:spacing w:before="239" w:line="225" w:lineRule="auto"/>
              <w:rPr>
                <w:sz w:val="19"/>
                <w:szCs w:val="19"/>
              </w:rPr>
            </w:pPr>
            <w:r>
              <w:rPr>
                <w:sz w:val="19"/>
                <w:szCs w:val="19"/>
                <w:b/>
                <w:bCs/>
                <w:spacing w:val="2"/>
              </w:rPr>
              <w:t>专</w:t>
            </w:r>
            <w:r>
              <w:rPr>
                <w:sz w:val="19"/>
                <w:szCs w:val="19"/>
                <w:spacing w:val="7"/>
              </w:rPr>
              <w:t xml:space="preserve">    </w:t>
            </w:r>
            <w:r>
              <w:rPr>
                <w:sz w:val="19"/>
                <w:szCs w:val="19"/>
                <w:b/>
                <w:bCs/>
                <w:spacing w:val="2"/>
              </w:rPr>
              <w:t>项</w:t>
            </w:r>
            <w:r>
              <w:rPr>
                <w:sz w:val="19"/>
                <w:szCs w:val="19"/>
                <w:spacing w:val="7"/>
              </w:rPr>
              <w:t xml:space="preserve">     </w:t>
            </w:r>
            <w:r>
              <w:rPr>
                <w:sz w:val="19"/>
                <w:szCs w:val="19"/>
                <w:b/>
                <w:bCs/>
                <w:spacing w:val="2"/>
              </w:rPr>
              <w:t>转</w:t>
            </w:r>
            <w:r>
              <w:rPr>
                <w:sz w:val="19"/>
                <w:szCs w:val="19"/>
                <w:spacing w:val="6"/>
              </w:rPr>
              <w:t xml:space="preserve">     </w:t>
            </w:r>
            <w:r>
              <w:rPr>
                <w:sz w:val="19"/>
                <w:szCs w:val="19"/>
                <w:b/>
                <w:bCs/>
                <w:spacing w:val="2"/>
              </w:rPr>
              <w:t>移</w:t>
            </w:r>
            <w:r>
              <w:rPr>
                <w:sz w:val="19"/>
                <w:szCs w:val="19"/>
                <w:spacing w:val="8"/>
              </w:rPr>
              <w:t xml:space="preserve">    </w:t>
            </w:r>
            <w:r>
              <w:rPr>
                <w:sz w:val="19"/>
                <w:szCs w:val="19"/>
                <w:b/>
                <w:bCs/>
                <w:spacing w:val="2"/>
              </w:rPr>
              <w:t>支</w:t>
            </w:r>
            <w:r>
              <w:rPr>
                <w:sz w:val="19"/>
                <w:szCs w:val="19"/>
                <w:spacing w:val="6"/>
              </w:rPr>
              <w:t xml:space="preserve">     </w:t>
            </w:r>
            <w:r>
              <w:rPr>
                <w:sz w:val="19"/>
                <w:szCs w:val="19"/>
                <w:b/>
                <w:bCs/>
                <w:spacing w:val="2"/>
              </w:rPr>
              <w:t>付</w:t>
            </w:r>
          </w:p>
        </w:tc>
      </w:tr>
      <w:tr>
        <w:trPr>
          <w:trHeight w:val="1202" w:hRule="atLeast"/>
        </w:trPr>
        <w:tc>
          <w:tcPr>
            <w:tcW w:w="906" w:type="dxa"/>
            <w:vAlign w:val="top"/>
            <w:vMerge w:val="continue"/>
            <w:tcBorders>
              <w:left w:val="single" w:color="000000" w:sz="6" w:space="0"/>
              <w:top w:val="nil"/>
            </w:tcBorders>
          </w:tcPr>
          <w:p>
            <w:pPr>
              <w:rPr>
                <w:rFonts w:ascii="Arial"/>
                <w:sz w:val="21"/>
              </w:rPr>
            </w:pPr>
            <w:r/>
          </w:p>
        </w:tc>
        <w:tc>
          <w:tcPr>
            <w:tcW w:w="755" w:type="dxa"/>
            <w:vAlign w:val="top"/>
          </w:tcPr>
          <w:p>
            <w:pPr>
              <w:pStyle w:val="TableText"/>
              <w:ind w:left="70"/>
              <w:spacing w:before="221" w:line="224" w:lineRule="auto"/>
              <w:rPr>
                <w:sz w:val="19"/>
                <w:szCs w:val="19"/>
              </w:rPr>
            </w:pPr>
            <w:r>
              <w:rPr>
                <w:sz w:val="19"/>
                <w:szCs w:val="19"/>
                <w:b/>
                <w:bCs/>
                <w:spacing w:val="6"/>
              </w:rPr>
              <w:t>专项转</w:t>
            </w:r>
          </w:p>
          <w:p>
            <w:pPr>
              <w:pStyle w:val="TableText"/>
              <w:ind w:left="70"/>
              <w:spacing w:before="67" w:line="225" w:lineRule="auto"/>
              <w:rPr>
                <w:sz w:val="19"/>
                <w:szCs w:val="19"/>
              </w:rPr>
            </w:pPr>
            <w:r>
              <w:rPr>
                <w:sz w:val="19"/>
                <w:szCs w:val="19"/>
                <w:b/>
                <w:bCs/>
                <w:spacing w:val="6"/>
              </w:rPr>
              <w:t>移支付</w:t>
            </w:r>
          </w:p>
          <w:p>
            <w:pPr>
              <w:pStyle w:val="TableText"/>
              <w:ind w:left="171"/>
              <w:spacing w:before="71" w:line="220" w:lineRule="auto"/>
              <w:rPr>
                <w:sz w:val="19"/>
                <w:szCs w:val="19"/>
              </w:rPr>
            </w:pPr>
            <w:r>
              <w:rPr>
                <w:sz w:val="19"/>
                <w:szCs w:val="19"/>
                <w:b/>
                <w:bCs/>
                <w:spacing w:val="6"/>
              </w:rPr>
              <w:t>小计</w:t>
            </w:r>
          </w:p>
        </w:tc>
        <w:tc>
          <w:tcPr>
            <w:tcW w:w="674" w:type="dxa"/>
            <w:vAlign w:val="top"/>
          </w:tcPr>
          <w:p>
            <w:pPr>
              <w:spacing w:line="308" w:lineRule="auto"/>
              <w:rPr>
                <w:rFonts w:ascii="Arial"/>
                <w:sz w:val="21"/>
              </w:rPr>
            </w:pPr>
            <w:r/>
          </w:p>
          <w:p>
            <w:pPr>
              <w:pStyle w:val="TableText"/>
              <w:ind w:left="29" w:right="37" w:firstLine="1"/>
              <w:spacing w:before="62" w:line="294" w:lineRule="auto"/>
              <w:rPr>
                <w:sz w:val="19"/>
                <w:szCs w:val="19"/>
              </w:rPr>
            </w:pPr>
            <w:r>
              <w:rPr>
                <w:sz w:val="19"/>
                <w:szCs w:val="19"/>
                <w:b/>
                <w:bCs/>
                <w:spacing w:val="6"/>
              </w:rPr>
              <w:t>一般公</w:t>
            </w:r>
            <w:r>
              <w:rPr>
                <w:sz w:val="19"/>
                <w:szCs w:val="19"/>
                <w:b/>
                <w:bCs/>
                <w:spacing w:val="6"/>
              </w:rPr>
              <w:t>共服务</w:t>
            </w:r>
          </w:p>
        </w:tc>
        <w:tc>
          <w:tcPr>
            <w:tcW w:w="500" w:type="dxa"/>
            <w:vAlign w:val="top"/>
          </w:tcPr>
          <w:p>
            <w:pPr>
              <w:spacing w:line="459" w:lineRule="auto"/>
              <w:rPr>
                <w:rFonts w:ascii="Arial"/>
                <w:sz w:val="21"/>
              </w:rPr>
            </w:pPr>
            <w:r/>
          </w:p>
          <w:p>
            <w:pPr>
              <w:pStyle w:val="TableText"/>
              <w:ind w:left="44"/>
              <w:spacing w:before="61" w:line="218" w:lineRule="auto"/>
              <w:rPr>
                <w:sz w:val="19"/>
                <w:szCs w:val="19"/>
              </w:rPr>
            </w:pPr>
            <w:r>
              <w:rPr>
                <w:sz w:val="19"/>
                <w:szCs w:val="19"/>
                <w:b/>
                <w:bCs/>
                <w:spacing w:val="6"/>
              </w:rPr>
              <w:t>外交</w:t>
            </w:r>
          </w:p>
        </w:tc>
        <w:tc>
          <w:tcPr>
            <w:tcW w:w="446" w:type="dxa"/>
            <w:vAlign w:val="top"/>
          </w:tcPr>
          <w:p>
            <w:pPr>
              <w:spacing w:line="460" w:lineRule="auto"/>
              <w:rPr>
                <w:rFonts w:ascii="Arial"/>
                <w:sz w:val="21"/>
              </w:rPr>
            </w:pPr>
            <w:r/>
          </w:p>
          <w:p>
            <w:pPr>
              <w:pStyle w:val="TableText"/>
              <w:ind w:left="37"/>
              <w:spacing w:before="62" w:line="216" w:lineRule="auto"/>
              <w:rPr>
                <w:sz w:val="19"/>
                <w:szCs w:val="19"/>
              </w:rPr>
            </w:pPr>
            <w:r>
              <w:rPr>
                <w:sz w:val="19"/>
                <w:szCs w:val="19"/>
                <w:b/>
                <w:bCs/>
                <w:spacing w:val="-4"/>
              </w:rPr>
              <w:t>国防</w:t>
            </w:r>
          </w:p>
        </w:tc>
        <w:tc>
          <w:tcPr>
            <w:tcW w:w="539" w:type="dxa"/>
            <w:vAlign w:val="top"/>
          </w:tcPr>
          <w:p>
            <w:pPr>
              <w:spacing w:line="308" w:lineRule="auto"/>
              <w:rPr>
                <w:rFonts w:ascii="Arial"/>
                <w:sz w:val="21"/>
              </w:rPr>
            </w:pPr>
            <w:r/>
          </w:p>
          <w:p>
            <w:pPr>
              <w:pStyle w:val="TableText"/>
              <w:ind w:left="64" w:right="68" w:hanging="2"/>
              <w:spacing w:before="62" w:line="293" w:lineRule="auto"/>
              <w:rPr>
                <w:sz w:val="19"/>
                <w:szCs w:val="19"/>
              </w:rPr>
            </w:pPr>
            <w:r>
              <w:rPr>
                <w:sz w:val="19"/>
                <w:szCs w:val="19"/>
                <w:b/>
                <w:bCs/>
                <w:spacing w:val="7"/>
              </w:rPr>
              <w:t>公共</w:t>
            </w:r>
            <w:r>
              <w:rPr>
                <w:sz w:val="19"/>
                <w:szCs w:val="19"/>
                <w:b/>
                <w:bCs/>
                <w:spacing w:val="6"/>
              </w:rPr>
              <w:t>安全</w:t>
            </w:r>
          </w:p>
        </w:tc>
        <w:tc>
          <w:tcPr>
            <w:tcW w:w="512" w:type="dxa"/>
            <w:vAlign w:val="top"/>
          </w:tcPr>
          <w:p>
            <w:pPr>
              <w:spacing w:line="458" w:lineRule="auto"/>
              <w:rPr>
                <w:rFonts w:ascii="Arial"/>
                <w:sz w:val="21"/>
              </w:rPr>
            </w:pPr>
            <w:r/>
          </w:p>
          <w:p>
            <w:pPr>
              <w:pStyle w:val="TableText"/>
              <w:ind w:left="51"/>
              <w:spacing w:before="61" w:line="220" w:lineRule="auto"/>
              <w:rPr>
                <w:sz w:val="19"/>
                <w:szCs w:val="19"/>
              </w:rPr>
            </w:pPr>
            <w:r>
              <w:rPr>
                <w:sz w:val="19"/>
                <w:szCs w:val="19"/>
                <w:b/>
                <w:bCs/>
                <w:spacing w:val="6"/>
              </w:rPr>
              <w:t>教育</w:t>
            </w:r>
          </w:p>
        </w:tc>
        <w:tc>
          <w:tcPr>
            <w:tcW w:w="486" w:type="dxa"/>
            <w:vAlign w:val="top"/>
          </w:tcPr>
          <w:p>
            <w:pPr>
              <w:spacing w:line="307" w:lineRule="auto"/>
              <w:rPr>
                <w:rFonts w:ascii="Arial"/>
                <w:sz w:val="21"/>
              </w:rPr>
            </w:pPr>
            <w:r/>
          </w:p>
          <w:p>
            <w:pPr>
              <w:pStyle w:val="TableText"/>
              <w:ind w:left="37" w:right="41" w:hanging="1"/>
              <w:spacing w:before="61" w:line="294" w:lineRule="auto"/>
              <w:rPr>
                <w:sz w:val="19"/>
                <w:szCs w:val="19"/>
              </w:rPr>
            </w:pPr>
            <w:r>
              <w:rPr>
                <w:sz w:val="19"/>
                <w:szCs w:val="19"/>
                <w:b/>
                <w:bCs/>
                <w:spacing w:val="7"/>
              </w:rPr>
              <w:t>科学</w:t>
            </w:r>
            <w:r>
              <w:rPr>
                <w:sz w:val="19"/>
                <w:szCs w:val="19"/>
                <w:b/>
                <w:bCs/>
                <w:spacing w:val="6"/>
              </w:rPr>
              <w:t>技术</w:t>
            </w:r>
          </w:p>
        </w:tc>
        <w:tc>
          <w:tcPr>
            <w:tcW w:w="650" w:type="dxa"/>
            <w:vAlign w:val="top"/>
          </w:tcPr>
          <w:p>
            <w:pPr>
              <w:pStyle w:val="TableText"/>
              <w:ind w:left="20" w:right="24" w:firstLine="1"/>
              <w:spacing w:before="226" w:line="289" w:lineRule="auto"/>
              <w:rPr>
                <w:sz w:val="19"/>
                <w:szCs w:val="19"/>
              </w:rPr>
            </w:pPr>
            <w:r>
              <w:rPr>
                <w:sz w:val="19"/>
                <w:szCs w:val="19"/>
                <w:b/>
                <w:bCs/>
                <w:spacing w:val="5"/>
              </w:rPr>
              <w:t>文化旅</w:t>
            </w:r>
            <w:r>
              <w:rPr>
                <w:sz w:val="19"/>
                <w:szCs w:val="19"/>
                <w:b/>
                <w:bCs/>
                <w:spacing w:val="6"/>
              </w:rPr>
              <w:t>游体育</w:t>
            </w:r>
          </w:p>
          <w:p>
            <w:pPr>
              <w:pStyle w:val="TableText"/>
              <w:ind w:left="25"/>
              <w:spacing w:line="222" w:lineRule="auto"/>
              <w:rPr>
                <w:sz w:val="19"/>
                <w:szCs w:val="19"/>
              </w:rPr>
            </w:pPr>
            <w:r>
              <w:rPr>
                <w:sz w:val="19"/>
                <w:szCs w:val="19"/>
                <w:b/>
                <w:bCs/>
                <w:spacing w:val="4"/>
              </w:rPr>
              <w:t>与传媒</w:t>
            </w:r>
          </w:p>
        </w:tc>
        <w:tc>
          <w:tcPr>
            <w:tcW w:w="650" w:type="dxa"/>
            <w:vAlign w:val="top"/>
          </w:tcPr>
          <w:p>
            <w:pPr>
              <w:pStyle w:val="TableText"/>
              <w:ind w:left="120"/>
              <w:spacing w:before="225" w:line="214" w:lineRule="auto"/>
              <w:rPr>
                <w:sz w:val="19"/>
                <w:szCs w:val="19"/>
              </w:rPr>
            </w:pPr>
            <w:r>
              <w:rPr>
                <w:sz w:val="19"/>
                <w:szCs w:val="19"/>
                <w:b/>
                <w:bCs/>
                <w:spacing w:val="6"/>
              </w:rPr>
              <w:t>社会</w:t>
            </w:r>
          </w:p>
          <w:p>
            <w:pPr>
              <w:pStyle w:val="TableText"/>
              <w:ind w:left="18"/>
              <w:spacing w:before="75" w:line="222" w:lineRule="auto"/>
              <w:rPr>
                <w:sz w:val="19"/>
                <w:szCs w:val="19"/>
              </w:rPr>
            </w:pPr>
            <w:r>
              <w:rPr>
                <w:sz w:val="19"/>
                <w:szCs w:val="19"/>
                <w:b/>
                <w:bCs/>
                <w:spacing w:val="7"/>
              </w:rPr>
              <w:t>保障和</w:t>
            </w:r>
          </w:p>
          <w:p>
            <w:pPr>
              <w:pStyle w:val="TableText"/>
              <w:ind w:left="123"/>
              <w:spacing w:before="75" w:line="217" w:lineRule="auto"/>
              <w:rPr>
                <w:sz w:val="19"/>
                <w:szCs w:val="19"/>
              </w:rPr>
            </w:pPr>
            <w:r>
              <w:rPr>
                <w:sz w:val="19"/>
                <w:szCs w:val="19"/>
                <w:b/>
                <w:bCs/>
                <w:spacing w:val="5"/>
              </w:rPr>
              <w:t>就业</w:t>
            </w:r>
          </w:p>
        </w:tc>
        <w:tc>
          <w:tcPr>
            <w:tcW w:w="650" w:type="dxa"/>
            <w:vAlign w:val="top"/>
          </w:tcPr>
          <w:p>
            <w:pPr>
              <w:spacing w:line="315" w:lineRule="auto"/>
              <w:rPr>
                <w:rFonts w:ascii="Arial"/>
                <w:sz w:val="21"/>
              </w:rPr>
            </w:pPr>
            <w:r/>
          </w:p>
          <w:p>
            <w:pPr>
              <w:pStyle w:val="TableText"/>
              <w:ind w:left="120" w:right="122"/>
              <w:spacing w:before="62" w:line="296" w:lineRule="auto"/>
              <w:rPr>
                <w:sz w:val="19"/>
                <w:szCs w:val="19"/>
              </w:rPr>
            </w:pPr>
            <w:r>
              <w:rPr>
                <w:sz w:val="19"/>
                <w:szCs w:val="19"/>
                <w:b/>
                <w:bCs/>
                <w:spacing w:val="6"/>
              </w:rPr>
              <w:t>卫生</w:t>
            </w:r>
            <w:r>
              <w:rPr>
                <w:sz w:val="19"/>
                <w:szCs w:val="19"/>
                <w:b/>
                <w:bCs/>
                <w:spacing w:val="6"/>
              </w:rPr>
              <w:t>健康</w:t>
            </w:r>
          </w:p>
        </w:tc>
        <w:tc>
          <w:tcPr>
            <w:tcW w:w="650" w:type="dxa"/>
            <w:vAlign w:val="top"/>
          </w:tcPr>
          <w:p>
            <w:pPr>
              <w:spacing w:line="310" w:lineRule="auto"/>
              <w:rPr>
                <w:rFonts w:ascii="Arial"/>
                <w:sz w:val="21"/>
              </w:rPr>
            </w:pPr>
            <w:r/>
          </w:p>
          <w:p>
            <w:pPr>
              <w:pStyle w:val="TableText"/>
              <w:ind w:left="124" w:right="119"/>
              <w:spacing w:before="61" w:line="294" w:lineRule="auto"/>
              <w:rPr>
                <w:sz w:val="19"/>
                <w:szCs w:val="19"/>
              </w:rPr>
            </w:pPr>
            <w:r>
              <w:rPr>
                <w:sz w:val="19"/>
                <w:szCs w:val="19"/>
                <w:b/>
                <w:bCs/>
                <w:spacing w:val="6"/>
              </w:rPr>
              <w:t>节能</w:t>
            </w:r>
            <w:r>
              <w:rPr>
                <w:sz w:val="19"/>
                <w:szCs w:val="19"/>
                <w:b/>
                <w:bCs/>
                <w:spacing w:val="5"/>
              </w:rPr>
              <w:t>环保</w:t>
            </w:r>
          </w:p>
        </w:tc>
        <w:tc>
          <w:tcPr>
            <w:tcW w:w="650" w:type="dxa"/>
            <w:vAlign w:val="top"/>
          </w:tcPr>
          <w:p>
            <w:pPr>
              <w:spacing w:line="309" w:lineRule="auto"/>
              <w:rPr>
                <w:rFonts w:ascii="Arial"/>
                <w:sz w:val="21"/>
              </w:rPr>
            </w:pPr>
            <w:r/>
          </w:p>
          <w:p>
            <w:pPr>
              <w:pStyle w:val="TableText"/>
              <w:ind w:left="123" w:right="118" w:firstLine="1"/>
              <w:spacing w:before="62" w:line="293" w:lineRule="auto"/>
              <w:rPr>
                <w:sz w:val="19"/>
                <w:szCs w:val="19"/>
              </w:rPr>
            </w:pPr>
            <w:r>
              <w:rPr>
                <w:sz w:val="19"/>
                <w:szCs w:val="19"/>
                <w:b/>
                <w:bCs/>
                <w:spacing w:val="6"/>
              </w:rPr>
              <w:t>城乡</w:t>
            </w:r>
            <w:r>
              <w:rPr>
                <w:sz w:val="19"/>
                <w:szCs w:val="19"/>
                <w:b/>
                <w:bCs/>
                <w:spacing w:val="6"/>
              </w:rPr>
              <w:t>社区</w:t>
            </w:r>
          </w:p>
        </w:tc>
        <w:tc>
          <w:tcPr>
            <w:tcW w:w="709" w:type="dxa"/>
            <w:vAlign w:val="top"/>
          </w:tcPr>
          <w:p>
            <w:pPr>
              <w:spacing w:line="459" w:lineRule="auto"/>
              <w:rPr>
                <w:rFonts w:ascii="Arial"/>
                <w:sz w:val="21"/>
              </w:rPr>
            </w:pPr>
            <w:r/>
          </w:p>
          <w:p>
            <w:pPr>
              <w:pStyle w:val="TableText"/>
              <w:ind w:left="52"/>
              <w:spacing w:before="62" w:line="218" w:lineRule="auto"/>
              <w:rPr>
                <w:sz w:val="19"/>
                <w:szCs w:val="19"/>
              </w:rPr>
            </w:pPr>
            <w:r>
              <w:rPr>
                <w:sz w:val="19"/>
                <w:szCs w:val="19"/>
                <w:b/>
                <w:bCs/>
                <w:spacing w:val="7"/>
              </w:rPr>
              <w:t>农林水</w:t>
            </w:r>
          </w:p>
        </w:tc>
        <w:tc>
          <w:tcPr>
            <w:tcW w:w="479" w:type="dxa"/>
            <w:vAlign w:val="top"/>
          </w:tcPr>
          <w:p>
            <w:pPr>
              <w:spacing w:line="310" w:lineRule="auto"/>
              <w:rPr>
                <w:rFonts w:ascii="Arial"/>
                <w:sz w:val="21"/>
              </w:rPr>
            </w:pPr>
            <w:r/>
          </w:p>
          <w:p>
            <w:pPr>
              <w:pStyle w:val="TableText"/>
              <w:ind w:left="39" w:right="32"/>
              <w:spacing w:before="62" w:line="294" w:lineRule="auto"/>
              <w:rPr>
                <w:sz w:val="19"/>
                <w:szCs w:val="19"/>
              </w:rPr>
            </w:pPr>
            <w:r>
              <w:rPr>
                <w:sz w:val="19"/>
                <w:szCs w:val="19"/>
                <w:b/>
                <w:bCs/>
                <w:spacing w:val="6"/>
              </w:rPr>
              <w:t>交通</w:t>
            </w:r>
            <w:r>
              <w:rPr>
                <w:sz w:val="19"/>
                <w:szCs w:val="19"/>
                <w:b/>
                <w:bCs/>
                <w:spacing w:val="6"/>
              </w:rPr>
              <w:t>运输</w:t>
            </w:r>
          </w:p>
        </w:tc>
        <w:tc>
          <w:tcPr>
            <w:tcW w:w="671" w:type="dxa"/>
            <w:vAlign w:val="top"/>
          </w:tcPr>
          <w:p>
            <w:pPr>
              <w:pStyle w:val="TableText"/>
              <w:ind w:left="141"/>
              <w:spacing w:before="222" w:line="222" w:lineRule="auto"/>
              <w:rPr>
                <w:sz w:val="19"/>
                <w:szCs w:val="19"/>
              </w:rPr>
            </w:pPr>
            <w:r>
              <w:rPr>
                <w:sz w:val="19"/>
                <w:szCs w:val="19"/>
                <w:b/>
                <w:bCs/>
                <w:spacing w:val="4"/>
              </w:rPr>
              <w:t>资源</w:t>
            </w:r>
          </w:p>
          <w:p>
            <w:pPr>
              <w:pStyle w:val="TableText"/>
              <w:ind w:left="136"/>
              <w:spacing w:before="74" w:line="216" w:lineRule="auto"/>
              <w:rPr>
                <w:sz w:val="19"/>
                <w:szCs w:val="19"/>
              </w:rPr>
            </w:pPr>
            <w:r>
              <w:rPr>
                <w:sz w:val="19"/>
                <w:szCs w:val="19"/>
                <w:b/>
                <w:bCs/>
                <w:spacing w:val="6"/>
              </w:rPr>
              <w:t>勘探</w:t>
            </w:r>
          </w:p>
          <w:p>
            <w:pPr>
              <w:pStyle w:val="TableText"/>
              <w:ind w:left="36"/>
              <w:spacing w:before="73" w:line="223" w:lineRule="auto"/>
              <w:rPr>
                <w:sz w:val="19"/>
                <w:szCs w:val="19"/>
              </w:rPr>
            </w:pPr>
            <w:r>
              <w:rPr>
                <w:sz w:val="19"/>
                <w:szCs w:val="19"/>
                <w:b/>
                <w:bCs/>
                <w:spacing w:val="6"/>
              </w:rPr>
              <w:t>信息等</w:t>
            </w:r>
          </w:p>
        </w:tc>
        <w:tc>
          <w:tcPr>
            <w:tcW w:w="466" w:type="dxa"/>
            <w:vAlign w:val="top"/>
          </w:tcPr>
          <w:p>
            <w:pPr>
              <w:pStyle w:val="TableText"/>
              <w:ind w:left="37" w:right="24" w:hanging="1"/>
              <w:spacing w:before="222" w:line="291" w:lineRule="auto"/>
              <w:rPr>
                <w:sz w:val="19"/>
                <w:szCs w:val="19"/>
              </w:rPr>
            </w:pPr>
            <w:r>
              <w:rPr>
                <w:sz w:val="19"/>
                <w:szCs w:val="19"/>
                <w:b/>
                <w:bCs/>
                <w:spacing w:val="5"/>
              </w:rPr>
              <w:t>商业</w:t>
            </w:r>
            <w:r>
              <w:rPr>
                <w:sz w:val="19"/>
                <w:szCs w:val="19"/>
                <w:b/>
                <w:bCs/>
                <w:spacing w:val="4"/>
              </w:rPr>
              <w:t>服务</w:t>
            </w:r>
          </w:p>
          <w:p>
            <w:pPr>
              <w:pStyle w:val="TableText"/>
              <w:ind w:left="33"/>
              <w:spacing w:line="221" w:lineRule="auto"/>
              <w:rPr>
                <w:sz w:val="19"/>
                <w:szCs w:val="19"/>
              </w:rPr>
            </w:pPr>
            <w:r>
              <w:rPr>
                <w:sz w:val="19"/>
                <w:szCs w:val="19"/>
                <w:b/>
                <w:bCs/>
                <w:spacing w:val="7"/>
              </w:rPr>
              <w:t>业等</w:t>
            </w:r>
          </w:p>
        </w:tc>
        <w:tc>
          <w:tcPr>
            <w:tcW w:w="406" w:type="dxa"/>
            <w:vAlign w:val="top"/>
            <w:textDirection w:val="tbRlV"/>
          </w:tcPr>
          <w:p>
            <w:pPr>
              <w:pStyle w:val="TableText"/>
              <w:ind w:left="377"/>
              <w:spacing w:before="97" w:line="221" w:lineRule="auto"/>
              <w:rPr>
                <w:sz w:val="19"/>
                <w:szCs w:val="19"/>
              </w:rPr>
            </w:pPr>
            <w:r>
              <w:rPr>
                <w:sz w:val="19"/>
                <w:szCs w:val="19"/>
                <w:b/>
                <w:bCs/>
                <w:spacing w:val="-8"/>
              </w:rPr>
              <w:t>金</w:t>
            </w:r>
            <w:r>
              <w:rPr>
                <w:sz w:val="19"/>
                <w:szCs w:val="19"/>
                <w:spacing w:val="23"/>
              </w:rPr>
              <w:t xml:space="preserve"> </w:t>
            </w:r>
            <w:r>
              <w:rPr>
                <w:sz w:val="19"/>
                <w:szCs w:val="19"/>
                <w:b/>
                <w:bCs/>
                <w:spacing w:val="-8"/>
              </w:rPr>
              <w:t>融</w:t>
            </w:r>
          </w:p>
        </w:tc>
        <w:tc>
          <w:tcPr>
            <w:tcW w:w="660" w:type="dxa"/>
            <w:vAlign w:val="top"/>
          </w:tcPr>
          <w:p>
            <w:pPr>
              <w:pStyle w:val="TableText"/>
              <w:ind w:left="69"/>
              <w:spacing w:before="222" w:line="221" w:lineRule="auto"/>
              <w:rPr>
                <w:sz w:val="19"/>
                <w:szCs w:val="19"/>
              </w:rPr>
            </w:pPr>
            <w:r>
              <w:rPr>
                <w:sz w:val="19"/>
                <w:szCs w:val="19"/>
                <w:b/>
                <w:bCs/>
                <w:spacing w:val="-7"/>
              </w:rPr>
              <w:t>自然资</w:t>
            </w:r>
          </w:p>
          <w:p>
            <w:pPr>
              <w:pStyle w:val="TableText"/>
              <w:ind w:left="35"/>
              <w:spacing w:before="73" w:line="219" w:lineRule="auto"/>
              <w:rPr>
                <w:sz w:val="19"/>
                <w:szCs w:val="19"/>
              </w:rPr>
            </w:pPr>
            <w:r>
              <w:rPr>
                <w:sz w:val="19"/>
                <w:szCs w:val="19"/>
                <w:b/>
                <w:bCs/>
                <w:spacing w:val="5"/>
              </w:rPr>
              <w:t>源海洋</w:t>
            </w:r>
          </w:p>
          <w:p>
            <w:pPr>
              <w:pStyle w:val="TableText"/>
              <w:ind w:left="131"/>
              <w:spacing w:before="74" w:line="221" w:lineRule="auto"/>
              <w:rPr>
                <w:sz w:val="19"/>
                <w:szCs w:val="19"/>
              </w:rPr>
            </w:pPr>
            <w:r>
              <w:rPr>
                <w:sz w:val="19"/>
                <w:szCs w:val="19"/>
                <w:b/>
                <w:bCs/>
                <w:spacing w:val="6"/>
              </w:rPr>
              <w:t>气象</w:t>
            </w:r>
          </w:p>
        </w:tc>
        <w:tc>
          <w:tcPr>
            <w:tcW w:w="634" w:type="dxa"/>
            <w:vAlign w:val="top"/>
          </w:tcPr>
          <w:p>
            <w:pPr>
              <w:spacing w:line="308" w:lineRule="auto"/>
              <w:rPr>
                <w:rFonts w:ascii="Arial"/>
                <w:sz w:val="21"/>
              </w:rPr>
            </w:pPr>
            <w:r/>
          </w:p>
          <w:p>
            <w:pPr>
              <w:pStyle w:val="TableText"/>
              <w:ind w:left="118" w:right="107"/>
              <w:spacing w:before="62" w:line="294" w:lineRule="auto"/>
              <w:rPr>
                <w:sz w:val="19"/>
                <w:szCs w:val="19"/>
              </w:rPr>
            </w:pPr>
            <w:r>
              <w:rPr>
                <w:sz w:val="19"/>
                <w:szCs w:val="19"/>
                <w:b/>
                <w:bCs/>
                <w:spacing w:val="6"/>
              </w:rPr>
              <w:t>住房</w:t>
            </w:r>
            <w:r>
              <w:rPr>
                <w:sz w:val="19"/>
                <w:szCs w:val="19"/>
                <w:b/>
                <w:bCs/>
                <w:spacing w:val="7"/>
              </w:rPr>
              <w:t>保障</w:t>
            </w:r>
          </w:p>
        </w:tc>
        <w:tc>
          <w:tcPr>
            <w:tcW w:w="593" w:type="dxa"/>
            <w:vAlign w:val="top"/>
          </w:tcPr>
          <w:p>
            <w:pPr>
              <w:pStyle w:val="TableText"/>
              <w:ind w:left="102" w:right="85" w:hanging="2"/>
              <w:spacing w:before="226" w:line="289" w:lineRule="auto"/>
              <w:rPr>
                <w:sz w:val="19"/>
                <w:szCs w:val="19"/>
              </w:rPr>
            </w:pPr>
            <w:r>
              <w:rPr>
                <w:sz w:val="19"/>
                <w:szCs w:val="19"/>
                <w:b/>
                <w:bCs/>
                <w:spacing w:val="6"/>
              </w:rPr>
              <w:t>粮油</w:t>
            </w:r>
            <w:r>
              <w:rPr>
                <w:sz w:val="19"/>
                <w:szCs w:val="19"/>
                <w:b/>
                <w:bCs/>
                <w:spacing w:val="4"/>
              </w:rPr>
              <w:t>物资</w:t>
            </w:r>
          </w:p>
          <w:p>
            <w:pPr>
              <w:pStyle w:val="TableText"/>
              <w:ind w:left="98"/>
              <w:spacing w:line="222" w:lineRule="auto"/>
              <w:rPr>
                <w:sz w:val="19"/>
                <w:szCs w:val="19"/>
              </w:rPr>
            </w:pPr>
            <w:r>
              <w:rPr>
                <w:sz w:val="19"/>
                <w:szCs w:val="19"/>
                <w:b/>
                <w:bCs/>
                <w:spacing w:val="7"/>
              </w:rPr>
              <w:t>储备</w:t>
            </w:r>
          </w:p>
        </w:tc>
        <w:tc>
          <w:tcPr>
            <w:tcW w:w="652" w:type="dxa"/>
            <w:vAlign w:val="top"/>
          </w:tcPr>
          <w:p>
            <w:pPr>
              <w:pStyle w:val="TableText"/>
              <w:ind w:left="32" w:right="15" w:hanging="1"/>
              <w:spacing w:before="224" w:line="291" w:lineRule="auto"/>
              <w:rPr>
                <w:sz w:val="19"/>
                <w:szCs w:val="19"/>
              </w:rPr>
            </w:pPr>
            <w:r>
              <w:rPr>
                <w:sz w:val="19"/>
                <w:szCs w:val="19"/>
                <w:b/>
                <w:bCs/>
                <w:spacing w:val="6"/>
              </w:rPr>
              <w:t>灾害防</w:t>
            </w:r>
            <w:r>
              <w:rPr>
                <w:sz w:val="19"/>
                <w:szCs w:val="19"/>
                <w:b/>
                <w:bCs/>
                <w:spacing w:val="5"/>
              </w:rPr>
              <w:t>治及应</w:t>
            </w:r>
          </w:p>
          <w:p>
            <w:pPr>
              <w:pStyle w:val="TableText"/>
              <w:ind w:left="34"/>
              <w:spacing w:line="218" w:lineRule="auto"/>
              <w:rPr>
                <w:sz w:val="19"/>
                <w:szCs w:val="19"/>
              </w:rPr>
            </w:pPr>
            <w:r>
              <w:rPr>
                <w:sz w:val="19"/>
                <w:szCs w:val="19"/>
                <w:b/>
                <w:bCs/>
                <w:spacing w:val="5"/>
              </w:rPr>
              <w:t>急管理</w:t>
            </w:r>
          </w:p>
        </w:tc>
        <w:tc>
          <w:tcPr>
            <w:tcW w:w="558" w:type="dxa"/>
            <w:vAlign w:val="top"/>
            <w:tcBorders>
              <w:right w:val="single" w:color="000000" w:sz="6" w:space="0"/>
            </w:tcBorders>
          </w:tcPr>
          <w:p>
            <w:pPr>
              <w:pStyle w:val="TableText"/>
              <w:ind w:left="78"/>
              <w:spacing w:before="70" w:line="222" w:lineRule="auto"/>
              <w:rPr>
                <w:sz w:val="19"/>
                <w:szCs w:val="19"/>
              </w:rPr>
            </w:pPr>
            <w:r>
              <w:rPr>
                <w:sz w:val="19"/>
                <w:szCs w:val="19"/>
                <w:b/>
                <w:bCs/>
                <w:spacing w:val="6"/>
              </w:rPr>
              <w:t>其他</w:t>
            </w:r>
          </w:p>
          <w:p>
            <w:pPr>
              <w:pStyle w:val="TableText"/>
              <w:ind w:left="79"/>
              <w:spacing w:before="71" w:line="224" w:lineRule="auto"/>
              <w:rPr>
                <w:sz w:val="19"/>
                <w:szCs w:val="19"/>
              </w:rPr>
            </w:pPr>
            <w:r>
              <w:rPr>
                <w:sz w:val="19"/>
                <w:szCs w:val="19"/>
                <w:b/>
                <w:bCs/>
                <w:spacing w:val="6"/>
              </w:rPr>
              <w:t>专项</w:t>
            </w:r>
          </w:p>
          <w:p>
            <w:pPr>
              <w:pStyle w:val="TableText"/>
              <w:ind w:left="80"/>
              <w:spacing w:before="71" w:line="219" w:lineRule="auto"/>
              <w:rPr>
                <w:sz w:val="19"/>
                <w:szCs w:val="19"/>
              </w:rPr>
            </w:pPr>
            <w:r>
              <w:rPr>
                <w:sz w:val="19"/>
                <w:szCs w:val="19"/>
                <w:b/>
                <w:bCs/>
                <w:spacing w:val="6"/>
              </w:rPr>
              <w:t>转移</w:t>
            </w:r>
          </w:p>
          <w:p>
            <w:pPr>
              <w:pStyle w:val="TableText"/>
              <w:ind w:left="81"/>
              <w:spacing w:before="70" w:line="217" w:lineRule="auto"/>
              <w:rPr>
                <w:sz w:val="19"/>
                <w:szCs w:val="19"/>
              </w:rPr>
            </w:pPr>
            <w:r>
              <w:rPr>
                <w:sz w:val="19"/>
                <w:szCs w:val="19"/>
                <w:b/>
                <w:bCs/>
                <w:spacing w:val="5"/>
              </w:rPr>
              <w:t>支付</w:t>
            </w:r>
          </w:p>
        </w:tc>
      </w:tr>
      <w:tr>
        <w:trPr>
          <w:trHeight w:val="605" w:hRule="atLeast"/>
        </w:trPr>
        <w:tc>
          <w:tcPr>
            <w:tcW w:w="906" w:type="dxa"/>
            <w:vAlign w:val="top"/>
            <w:tcBorders>
              <w:left w:val="single" w:color="000000" w:sz="6" w:space="0"/>
            </w:tcBorders>
          </w:tcPr>
          <w:p>
            <w:pPr>
              <w:pStyle w:val="TableText"/>
              <w:ind w:left="67"/>
              <w:spacing w:before="226" w:line="218" w:lineRule="auto"/>
              <w:rPr>
                <w:sz w:val="19"/>
                <w:szCs w:val="19"/>
              </w:rPr>
            </w:pPr>
            <w:r>
              <w:rPr>
                <w:sz w:val="19"/>
                <w:szCs w:val="19"/>
                <w:spacing w:val="3"/>
              </w:rPr>
              <w:t>固原市级</w:t>
            </w:r>
          </w:p>
        </w:tc>
        <w:tc>
          <w:tcPr>
            <w:tcW w:w="755" w:type="dxa"/>
            <w:vAlign w:val="top"/>
          </w:tcPr>
          <w:p>
            <w:pPr>
              <w:pStyle w:val="TableText"/>
              <w:ind w:left="124"/>
              <w:spacing w:before="220" w:line="285" w:lineRule="exact"/>
              <w:rPr>
                <w:sz w:val="19"/>
                <w:szCs w:val="19"/>
              </w:rPr>
            </w:pPr>
            <w:r>
              <w:rPr>
                <w:sz w:val="19"/>
                <w:szCs w:val="19"/>
                <w:spacing w:val="2"/>
                <w:position w:val="2"/>
              </w:rPr>
              <w:t>28059</w:t>
            </w:r>
          </w:p>
        </w:tc>
        <w:tc>
          <w:tcPr>
            <w:tcW w:w="674" w:type="dxa"/>
            <w:vAlign w:val="top"/>
          </w:tcPr>
          <w:p>
            <w:pPr>
              <w:pStyle w:val="TableText"/>
              <w:ind w:left="179"/>
              <w:spacing w:before="220" w:line="285" w:lineRule="exact"/>
              <w:rPr>
                <w:sz w:val="19"/>
                <w:szCs w:val="19"/>
              </w:rPr>
            </w:pPr>
            <w:r>
              <w:rPr>
                <w:sz w:val="19"/>
                <w:szCs w:val="19"/>
                <w:spacing w:val="2"/>
                <w:position w:val="2"/>
              </w:rPr>
              <w:t>447</w:t>
            </w:r>
          </w:p>
        </w:tc>
        <w:tc>
          <w:tcPr>
            <w:tcW w:w="500" w:type="dxa"/>
            <w:vAlign w:val="top"/>
          </w:tcPr>
          <w:p>
            <w:pPr>
              <w:rPr>
                <w:rFonts w:ascii="Arial"/>
                <w:sz w:val="21"/>
              </w:rPr>
            </w:pPr>
            <w:r/>
          </w:p>
        </w:tc>
        <w:tc>
          <w:tcPr>
            <w:tcW w:w="446" w:type="dxa"/>
            <w:vAlign w:val="top"/>
          </w:tcPr>
          <w:p>
            <w:pPr>
              <w:rPr>
                <w:rFonts w:ascii="Arial"/>
                <w:sz w:val="21"/>
              </w:rPr>
            </w:pPr>
            <w:r/>
          </w:p>
        </w:tc>
        <w:tc>
          <w:tcPr>
            <w:tcW w:w="539" w:type="dxa"/>
            <w:vAlign w:val="top"/>
          </w:tcPr>
          <w:p>
            <w:pPr>
              <w:pStyle w:val="TableText"/>
              <w:ind w:left="116"/>
              <w:spacing w:before="220" w:line="285" w:lineRule="exact"/>
              <w:rPr>
                <w:sz w:val="19"/>
                <w:szCs w:val="19"/>
              </w:rPr>
            </w:pPr>
            <w:r>
              <w:rPr>
                <w:sz w:val="19"/>
                <w:szCs w:val="19"/>
                <w:spacing w:val="1"/>
                <w:position w:val="2"/>
              </w:rPr>
              <w:t>562</w:t>
            </w:r>
          </w:p>
        </w:tc>
        <w:tc>
          <w:tcPr>
            <w:tcW w:w="512" w:type="dxa"/>
            <w:vAlign w:val="top"/>
          </w:tcPr>
          <w:p>
            <w:pPr>
              <w:rPr>
                <w:rFonts w:ascii="Arial"/>
                <w:sz w:val="21"/>
              </w:rPr>
            </w:pPr>
            <w:r/>
          </w:p>
        </w:tc>
        <w:tc>
          <w:tcPr>
            <w:tcW w:w="486" w:type="dxa"/>
            <w:vAlign w:val="top"/>
          </w:tcPr>
          <w:p>
            <w:pPr>
              <w:pStyle w:val="TableText"/>
              <w:ind w:left="143"/>
              <w:spacing w:before="220" w:line="285" w:lineRule="exact"/>
              <w:rPr>
                <w:sz w:val="19"/>
                <w:szCs w:val="19"/>
              </w:rPr>
            </w:pPr>
            <w:r>
              <w:rPr>
                <w:sz w:val="19"/>
                <w:szCs w:val="19"/>
                <w:spacing w:val="-1"/>
                <w:position w:val="2"/>
              </w:rPr>
              <w:t>30</w:t>
            </w:r>
          </w:p>
        </w:tc>
        <w:tc>
          <w:tcPr>
            <w:tcW w:w="650" w:type="dxa"/>
            <w:vAlign w:val="top"/>
          </w:tcPr>
          <w:p>
            <w:pPr>
              <w:pStyle w:val="TableText"/>
              <w:ind w:left="172"/>
              <w:spacing w:before="220" w:line="285" w:lineRule="exact"/>
              <w:rPr>
                <w:sz w:val="19"/>
                <w:szCs w:val="19"/>
              </w:rPr>
            </w:pPr>
            <w:r>
              <w:rPr>
                <w:sz w:val="19"/>
                <w:szCs w:val="19"/>
                <w:spacing w:val="1"/>
                <w:position w:val="2"/>
              </w:rPr>
              <w:t>257</w:t>
            </w:r>
          </w:p>
        </w:tc>
        <w:tc>
          <w:tcPr>
            <w:tcW w:w="650" w:type="dxa"/>
            <w:vAlign w:val="top"/>
          </w:tcPr>
          <w:p>
            <w:pPr>
              <w:pStyle w:val="TableText"/>
              <w:ind w:left="124"/>
              <w:spacing w:before="220" w:line="285" w:lineRule="exact"/>
              <w:rPr>
                <w:sz w:val="19"/>
                <w:szCs w:val="19"/>
              </w:rPr>
            </w:pPr>
            <w:r>
              <w:rPr>
                <w:sz w:val="19"/>
                <w:szCs w:val="19"/>
                <w:spacing w:val="2"/>
                <w:position w:val="2"/>
              </w:rPr>
              <w:t>2228</w:t>
            </w:r>
          </w:p>
        </w:tc>
        <w:tc>
          <w:tcPr>
            <w:tcW w:w="650" w:type="dxa"/>
            <w:vAlign w:val="top"/>
          </w:tcPr>
          <w:p>
            <w:pPr>
              <w:pStyle w:val="TableText"/>
              <w:ind w:left="178"/>
              <w:spacing w:before="220" w:line="285" w:lineRule="exact"/>
              <w:rPr>
                <w:sz w:val="19"/>
                <w:szCs w:val="19"/>
              </w:rPr>
            </w:pPr>
            <w:r>
              <w:rPr>
                <w:sz w:val="19"/>
                <w:szCs w:val="19"/>
                <w:position w:val="2"/>
              </w:rPr>
              <w:t>347</w:t>
            </w:r>
          </w:p>
        </w:tc>
        <w:tc>
          <w:tcPr>
            <w:tcW w:w="650" w:type="dxa"/>
            <w:vAlign w:val="top"/>
          </w:tcPr>
          <w:p>
            <w:pPr>
              <w:pStyle w:val="TableText"/>
              <w:ind w:left="124"/>
              <w:spacing w:before="220" w:line="285" w:lineRule="exact"/>
              <w:rPr>
                <w:sz w:val="19"/>
                <w:szCs w:val="19"/>
              </w:rPr>
            </w:pPr>
            <w:r>
              <w:rPr>
                <w:sz w:val="19"/>
                <w:szCs w:val="19"/>
                <w:spacing w:val="3"/>
                <w:position w:val="2"/>
              </w:rPr>
              <w:t>7801</w:t>
            </w:r>
          </w:p>
        </w:tc>
        <w:tc>
          <w:tcPr>
            <w:tcW w:w="650" w:type="dxa"/>
            <w:vAlign w:val="top"/>
          </w:tcPr>
          <w:p>
            <w:pPr>
              <w:pStyle w:val="TableText"/>
              <w:ind w:left="144"/>
              <w:spacing w:before="220" w:line="285" w:lineRule="exact"/>
              <w:rPr>
                <w:sz w:val="19"/>
                <w:szCs w:val="19"/>
              </w:rPr>
            </w:pPr>
            <w:r>
              <w:rPr>
                <w:sz w:val="19"/>
                <w:szCs w:val="19"/>
                <w:spacing w:val="-2"/>
                <w:position w:val="2"/>
              </w:rPr>
              <w:t>1200</w:t>
            </w:r>
          </w:p>
        </w:tc>
        <w:tc>
          <w:tcPr>
            <w:tcW w:w="709" w:type="dxa"/>
            <w:vAlign w:val="top"/>
          </w:tcPr>
          <w:p>
            <w:pPr>
              <w:pStyle w:val="TableText"/>
              <w:ind w:left="125"/>
              <w:spacing w:before="220" w:line="285" w:lineRule="exact"/>
              <w:rPr>
                <w:sz w:val="19"/>
                <w:szCs w:val="19"/>
              </w:rPr>
            </w:pPr>
            <w:r>
              <w:rPr>
                <w:sz w:val="19"/>
                <w:szCs w:val="19"/>
                <w:spacing w:val="-1"/>
                <w:position w:val="2"/>
              </w:rPr>
              <w:t>13650</w:t>
            </w:r>
          </w:p>
        </w:tc>
        <w:tc>
          <w:tcPr>
            <w:tcW w:w="479" w:type="dxa"/>
            <w:vAlign w:val="top"/>
          </w:tcPr>
          <w:p>
            <w:pPr>
              <w:rPr>
                <w:rFonts w:ascii="Arial"/>
                <w:sz w:val="21"/>
              </w:rPr>
            </w:pPr>
            <w:r/>
          </w:p>
        </w:tc>
        <w:tc>
          <w:tcPr>
            <w:tcW w:w="671" w:type="dxa"/>
            <w:vAlign w:val="top"/>
          </w:tcPr>
          <w:p>
            <w:pPr>
              <w:pStyle w:val="TableText"/>
              <w:ind w:left="204"/>
              <w:spacing w:before="220" w:line="287" w:lineRule="exact"/>
              <w:rPr>
                <w:sz w:val="19"/>
                <w:szCs w:val="19"/>
              </w:rPr>
            </w:pPr>
            <w:r>
              <w:rPr>
                <w:sz w:val="19"/>
                <w:szCs w:val="19"/>
                <w:spacing w:val="-4"/>
                <w:position w:val="2"/>
              </w:rPr>
              <w:t>114</w:t>
            </w:r>
          </w:p>
        </w:tc>
        <w:tc>
          <w:tcPr>
            <w:tcW w:w="466" w:type="dxa"/>
            <w:vAlign w:val="top"/>
          </w:tcPr>
          <w:p>
            <w:pPr>
              <w:pStyle w:val="TableText"/>
              <w:ind w:left="54"/>
              <w:spacing w:before="220" w:line="285" w:lineRule="exact"/>
              <w:rPr>
                <w:sz w:val="19"/>
                <w:szCs w:val="19"/>
              </w:rPr>
            </w:pPr>
            <w:r>
              <w:rPr>
                <w:sz w:val="19"/>
                <w:szCs w:val="19"/>
                <w:spacing w:val="-2"/>
                <w:position w:val="2"/>
              </w:rPr>
              <w:t>1423</w:t>
            </w:r>
          </w:p>
        </w:tc>
        <w:tc>
          <w:tcPr>
            <w:tcW w:w="406" w:type="dxa"/>
            <w:vAlign w:val="top"/>
          </w:tcPr>
          <w:p>
            <w:pPr>
              <w:rPr>
                <w:rFonts w:ascii="Arial"/>
                <w:sz w:val="21"/>
              </w:rPr>
            </w:pPr>
            <w:r/>
          </w:p>
        </w:tc>
        <w:tc>
          <w:tcPr>
            <w:tcW w:w="660" w:type="dxa"/>
            <w:vAlign w:val="top"/>
          </w:tcPr>
          <w:p>
            <w:pPr>
              <w:rPr>
                <w:rFonts w:ascii="Arial"/>
                <w:sz w:val="21"/>
              </w:rPr>
            </w:pPr>
            <w:r/>
          </w:p>
        </w:tc>
        <w:tc>
          <w:tcPr>
            <w:tcW w:w="634" w:type="dxa"/>
            <w:vAlign w:val="top"/>
          </w:tcPr>
          <w:p>
            <w:pPr>
              <w:rPr>
                <w:rFonts w:ascii="Arial"/>
                <w:sz w:val="21"/>
              </w:rPr>
            </w:pPr>
            <w:r/>
          </w:p>
        </w:tc>
        <w:tc>
          <w:tcPr>
            <w:tcW w:w="593" w:type="dxa"/>
            <w:vAlign w:val="top"/>
          </w:tcPr>
          <w:p>
            <w:pPr>
              <w:rPr>
                <w:rFonts w:ascii="Arial"/>
                <w:sz w:val="21"/>
              </w:rPr>
            </w:pPr>
            <w:r/>
          </w:p>
        </w:tc>
        <w:tc>
          <w:tcPr>
            <w:tcW w:w="652" w:type="dxa"/>
            <w:vAlign w:val="top"/>
          </w:tcPr>
          <w:p>
            <w:pPr>
              <w:rPr>
                <w:rFonts w:ascii="Arial"/>
                <w:sz w:val="21"/>
              </w:rPr>
            </w:pPr>
            <w:r/>
          </w:p>
        </w:tc>
        <w:tc>
          <w:tcPr>
            <w:tcW w:w="558" w:type="dxa"/>
            <w:vAlign w:val="top"/>
            <w:tcBorders>
              <w:right w:val="single" w:color="000000" w:sz="6" w:space="0"/>
            </w:tcBorders>
          </w:tcPr>
          <w:p>
            <w:pPr>
              <w:rPr>
                <w:rFonts w:ascii="Arial"/>
                <w:sz w:val="21"/>
              </w:rPr>
            </w:pPr>
            <w:r/>
          </w:p>
        </w:tc>
      </w:tr>
      <w:tr>
        <w:trPr>
          <w:trHeight w:val="605" w:hRule="atLeast"/>
        </w:trPr>
        <w:tc>
          <w:tcPr>
            <w:tcW w:w="906" w:type="dxa"/>
            <w:vAlign w:val="top"/>
            <w:tcBorders>
              <w:left w:val="single" w:color="000000" w:sz="6" w:space="0"/>
            </w:tcBorders>
          </w:tcPr>
          <w:p>
            <w:pPr>
              <w:pStyle w:val="TableText"/>
              <w:ind w:left="245"/>
              <w:spacing w:before="227" w:line="217" w:lineRule="auto"/>
              <w:rPr>
                <w:sz w:val="19"/>
                <w:szCs w:val="19"/>
              </w:rPr>
            </w:pPr>
            <w:r>
              <w:rPr>
                <w:sz w:val="19"/>
                <w:szCs w:val="19"/>
                <w:spacing w:val="7"/>
              </w:rPr>
              <w:t>本级</w:t>
            </w:r>
          </w:p>
        </w:tc>
        <w:tc>
          <w:tcPr>
            <w:tcW w:w="755" w:type="dxa"/>
            <w:vAlign w:val="top"/>
          </w:tcPr>
          <w:p>
            <w:pPr>
              <w:pStyle w:val="TableText"/>
              <w:ind w:left="172"/>
              <w:spacing w:before="222" w:line="285" w:lineRule="exact"/>
              <w:rPr>
                <w:sz w:val="19"/>
                <w:szCs w:val="19"/>
              </w:rPr>
            </w:pPr>
            <w:r>
              <w:rPr>
                <w:sz w:val="19"/>
                <w:szCs w:val="19"/>
                <w:spacing w:val="2"/>
                <w:position w:val="2"/>
              </w:rPr>
              <w:t>9477</w:t>
            </w:r>
          </w:p>
        </w:tc>
        <w:tc>
          <w:tcPr>
            <w:tcW w:w="674" w:type="dxa"/>
            <w:vAlign w:val="top"/>
          </w:tcPr>
          <w:p>
            <w:pPr>
              <w:pStyle w:val="TableText"/>
              <w:ind w:left="182"/>
              <w:spacing w:before="222" w:line="285" w:lineRule="exact"/>
              <w:rPr>
                <w:sz w:val="19"/>
                <w:szCs w:val="19"/>
              </w:rPr>
            </w:pPr>
            <w:r>
              <w:rPr>
                <w:sz w:val="19"/>
                <w:szCs w:val="19"/>
                <w:spacing w:val="1"/>
                <w:position w:val="2"/>
              </w:rPr>
              <w:t>260</w:t>
            </w:r>
          </w:p>
        </w:tc>
        <w:tc>
          <w:tcPr>
            <w:tcW w:w="500" w:type="dxa"/>
            <w:vAlign w:val="top"/>
          </w:tcPr>
          <w:p>
            <w:pPr>
              <w:rPr>
                <w:rFonts w:ascii="Arial"/>
                <w:sz w:val="21"/>
              </w:rPr>
            </w:pPr>
            <w:r/>
          </w:p>
        </w:tc>
        <w:tc>
          <w:tcPr>
            <w:tcW w:w="446" w:type="dxa"/>
            <w:vAlign w:val="top"/>
          </w:tcPr>
          <w:p>
            <w:pPr>
              <w:rPr>
                <w:rFonts w:ascii="Arial"/>
                <w:sz w:val="21"/>
              </w:rPr>
            </w:pPr>
            <w:r/>
          </w:p>
        </w:tc>
        <w:tc>
          <w:tcPr>
            <w:tcW w:w="539" w:type="dxa"/>
            <w:vAlign w:val="top"/>
          </w:tcPr>
          <w:p>
            <w:pPr>
              <w:pStyle w:val="TableText"/>
              <w:ind w:left="116"/>
              <w:spacing w:before="222" w:line="285" w:lineRule="exact"/>
              <w:rPr>
                <w:sz w:val="19"/>
                <w:szCs w:val="19"/>
              </w:rPr>
            </w:pPr>
            <w:r>
              <w:rPr>
                <w:sz w:val="19"/>
                <w:szCs w:val="19"/>
                <w:spacing w:val="1"/>
                <w:position w:val="2"/>
              </w:rPr>
              <w:t>562</w:t>
            </w:r>
          </w:p>
        </w:tc>
        <w:tc>
          <w:tcPr>
            <w:tcW w:w="512" w:type="dxa"/>
            <w:vAlign w:val="top"/>
          </w:tcPr>
          <w:p>
            <w:pPr>
              <w:rPr>
                <w:rFonts w:ascii="Arial"/>
                <w:sz w:val="21"/>
              </w:rPr>
            </w:pPr>
            <w:r/>
          </w:p>
        </w:tc>
        <w:tc>
          <w:tcPr>
            <w:tcW w:w="486" w:type="dxa"/>
            <w:vAlign w:val="top"/>
          </w:tcPr>
          <w:p>
            <w:pPr>
              <w:pStyle w:val="TableText"/>
              <w:ind w:left="143"/>
              <w:spacing w:before="222" w:line="285" w:lineRule="exact"/>
              <w:rPr>
                <w:sz w:val="19"/>
                <w:szCs w:val="19"/>
              </w:rPr>
            </w:pPr>
            <w:r>
              <w:rPr>
                <w:sz w:val="19"/>
                <w:szCs w:val="19"/>
                <w:spacing w:val="-1"/>
                <w:position w:val="2"/>
              </w:rPr>
              <w:t>30</w:t>
            </w:r>
          </w:p>
        </w:tc>
        <w:tc>
          <w:tcPr>
            <w:tcW w:w="650" w:type="dxa"/>
            <w:vAlign w:val="top"/>
          </w:tcPr>
          <w:p>
            <w:pPr>
              <w:pStyle w:val="TableText"/>
              <w:ind w:left="172"/>
              <w:spacing w:before="222" w:line="285" w:lineRule="exact"/>
              <w:rPr>
                <w:sz w:val="19"/>
                <w:szCs w:val="19"/>
              </w:rPr>
            </w:pPr>
            <w:r>
              <w:rPr>
                <w:sz w:val="19"/>
                <w:szCs w:val="19"/>
                <w:spacing w:val="1"/>
                <w:position w:val="2"/>
              </w:rPr>
              <w:t>257</w:t>
            </w:r>
          </w:p>
        </w:tc>
        <w:tc>
          <w:tcPr>
            <w:tcW w:w="650" w:type="dxa"/>
            <w:vAlign w:val="top"/>
          </w:tcPr>
          <w:p>
            <w:pPr>
              <w:pStyle w:val="TableText"/>
              <w:ind w:left="223"/>
              <w:spacing w:before="222" w:line="287" w:lineRule="exact"/>
              <w:rPr>
                <w:sz w:val="19"/>
                <w:szCs w:val="19"/>
              </w:rPr>
            </w:pPr>
            <w:r>
              <w:rPr>
                <w:sz w:val="19"/>
                <w:szCs w:val="19"/>
                <w:position w:val="2"/>
              </w:rPr>
              <w:t>24</w:t>
            </w:r>
          </w:p>
        </w:tc>
        <w:tc>
          <w:tcPr>
            <w:tcW w:w="650" w:type="dxa"/>
            <w:vAlign w:val="top"/>
          </w:tcPr>
          <w:p>
            <w:pPr>
              <w:pStyle w:val="TableText"/>
              <w:ind w:left="191"/>
              <w:spacing w:before="222" w:line="285" w:lineRule="exact"/>
              <w:rPr>
                <w:sz w:val="19"/>
                <w:szCs w:val="19"/>
              </w:rPr>
            </w:pPr>
            <w:r>
              <w:rPr>
                <w:sz w:val="19"/>
                <w:szCs w:val="19"/>
                <w:spacing w:val="-4"/>
                <w:position w:val="2"/>
              </w:rPr>
              <w:t>131</w:t>
            </w:r>
          </w:p>
        </w:tc>
        <w:tc>
          <w:tcPr>
            <w:tcW w:w="650" w:type="dxa"/>
            <w:vAlign w:val="top"/>
          </w:tcPr>
          <w:p>
            <w:pPr>
              <w:pStyle w:val="TableText"/>
              <w:ind w:left="126"/>
              <w:spacing w:before="222" w:line="285" w:lineRule="exact"/>
              <w:rPr>
                <w:sz w:val="19"/>
                <w:szCs w:val="19"/>
              </w:rPr>
            </w:pPr>
            <w:r>
              <w:rPr>
                <w:sz w:val="19"/>
                <w:szCs w:val="19"/>
                <w:spacing w:val="2"/>
                <w:position w:val="2"/>
              </w:rPr>
              <w:t>6635</w:t>
            </w:r>
          </w:p>
        </w:tc>
        <w:tc>
          <w:tcPr>
            <w:tcW w:w="650" w:type="dxa"/>
            <w:vAlign w:val="top"/>
          </w:tcPr>
          <w:p>
            <w:pPr>
              <w:rPr>
                <w:rFonts w:ascii="Arial"/>
                <w:sz w:val="21"/>
              </w:rPr>
            </w:pPr>
            <w:r/>
          </w:p>
        </w:tc>
        <w:tc>
          <w:tcPr>
            <w:tcW w:w="709" w:type="dxa"/>
            <w:vAlign w:val="top"/>
          </w:tcPr>
          <w:p>
            <w:pPr>
              <w:pStyle w:val="TableText"/>
              <w:ind w:left="208"/>
              <w:spacing w:before="222" w:line="285" w:lineRule="exact"/>
              <w:rPr>
                <w:sz w:val="19"/>
                <w:szCs w:val="19"/>
              </w:rPr>
            </w:pPr>
            <w:r>
              <w:rPr>
                <w:sz w:val="19"/>
                <w:szCs w:val="19"/>
                <w:spacing w:val="1"/>
                <w:position w:val="2"/>
              </w:rPr>
              <w:t>541</w:t>
            </w:r>
          </w:p>
        </w:tc>
        <w:tc>
          <w:tcPr>
            <w:tcW w:w="479" w:type="dxa"/>
            <w:vAlign w:val="top"/>
          </w:tcPr>
          <w:p>
            <w:pPr>
              <w:rPr>
                <w:rFonts w:ascii="Arial"/>
                <w:sz w:val="21"/>
              </w:rPr>
            </w:pPr>
            <w:r/>
          </w:p>
        </w:tc>
        <w:tc>
          <w:tcPr>
            <w:tcW w:w="671" w:type="dxa"/>
            <w:vAlign w:val="top"/>
          </w:tcPr>
          <w:p>
            <w:pPr>
              <w:pStyle w:val="TableText"/>
              <w:ind w:left="204"/>
              <w:spacing w:before="222" w:line="287" w:lineRule="exact"/>
              <w:rPr>
                <w:sz w:val="19"/>
                <w:szCs w:val="19"/>
              </w:rPr>
            </w:pPr>
            <w:r>
              <w:rPr>
                <w:sz w:val="19"/>
                <w:szCs w:val="19"/>
                <w:spacing w:val="-4"/>
                <w:position w:val="2"/>
              </w:rPr>
              <w:t>114</w:t>
            </w:r>
          </w:p>
        </w:tc>
        <w:tc>
          <w:tcPr>
            <w:tcW w:w="466" w:type="dxa"/>
            <w:vAlign w:val="top"/>
          </w:tcPr>
          <w:p>
            <w:pPr>
              <w:pStyle w:val="TableText"/>
              <w:ind w:left="86"/>
              <w:spacing w:before="222" w:line="285" w:lineRule="exact"/>
              <w:rPr>
                <w:sz w:val="19"/>
                <w:szCs w:val="19"/>
              </w:rPr>
            </w:pPr>
            <w:r>
              <w:rPr>
                <w:sz w:val="19"/>
                <w:szCs w:val="19"/>
                <w:spacing w:val="1"/>
                <w:position w:val="2"/>
              </w:rPr>
              <w:t>923</w:t>
            </w:r>
          </w:p>
        </w:tc>
        <w:tc>
          <w:tcPr>
            <w:tcW w:w="406" w:type="dxa"/>
            <w:vAlign w:val="top"/>
          </w:tcPr>
          <w:p>
            <w:pPr>
              <w:rPr>
                <w:rFonts w:ascii="Arial"/>
                <w:sz w:val="21"/>
              </w:rPr>
            </w:pPr>
            <w:r/>
          </w:p>
        </w:tc>
        <w:tc>
          <w:tcPr>
            <w:tcW w:w="660" w:type="dxa"/>
            <w:vAlign w:val="top"/>
          </w:tcPr>
          <w:p>
            <w:pPr>
              <w:rPr>
                <w:rFonts w:ascii="Arial"/>
                <w:sz w:val="21"/>
              </w:rPr>
            </w:pPr>
            <w:r/>
          </w:p>
        </w:tc>
        <w:tc>
          <w:tcPr>
            <w:tcW w:w="634" w:type="dxa"/>
            <w:vAlign w:val="top"/>
          </w:tcPr>
          <w:p>
            <w:pPr>
              <w:rPr>
                <w:rFonts w:ascii="Arial"/>
                <w:sz w:val="21"/>
              </w:rPr>
            </w:pPr>
            <w:r/>
          </w:p>
        </w:tc>
        <w:tc>
          <w:tcPr>
            <w:tcW w:w="593" w:type="dxa"/>
            <w:vAlign w:val="top"/>
          </w:tcPr>
          <w:p>
            <w:pPr>
              <w:rPr>
                <w:rFonts w:ascii="Arial"/>
                <w:sz w:val="21"/>
              </w:rPr>
            </w:pPr>
            <w:r/>
          </w:p>
        </w:tc>
        <w:tc>
          <w:tcPr>
            <w:tcW w:w="652" w:type="dxa"/>
            <w:vAlign w:val="top"/>
          </w:tcPr>
          <w:p>
            <w:pPr>
              <w:rPr>
                <w:rFonts w:ascii="Arial"/>
                <w:sz w:val="21"/>
              </w:rPr>
            </w:pPr>
            <w:r/>
          </w:p>
        </w:tc>
        <w:tc>
          <w:tcPr>
            <w:tcW w:w="558" w:type="dxa"/>
            <w:vAlign w:val="top"/>
            <w:tcBorders>
              <w:right w:val="single" w:color="000000" w:sz="6" w:space="0"/>
            </w:tcBorders>
          </w:tcPr>
          <w:p>
            <w:pPr>
              <w:rPr>
                <w:rFonts w:ascii="Arial"/>
                <w:sz w:val="21"/>
              </w:rPr>
            </w:pPr>
            <w:r/>
          </w:p>
        </w:tc>
      </w:tr>
      <w:tr>
        <w:trPr>
          <w:trHeight w:val="605" w:hRule="atLeast"/>
        </w:trPr>
        <w:tc>
          <w:tcPr>
            <w:tcW w:w="906" w:type="dxa"/>
            <w:vAlign w:val="top"/>
            <w:tcBorders>
              <w:left w:val="single" w:color="000000" w:sz="6" w:space="0"/>
            </w:tcBorders>
          </w:tcPr>
          <w:p>
            <w:pPr>
              <w:pStyle w:val="TableText"/>
              <w:ind w:left="146" w:right="47" w:hanging="85"/>
              <w:spacing w:before="72" w:line="254" w:lineRule="auto"/>
              <w:rPr>
                <w:sz w:val="19"/>
                <w:szCs w:val="19"/>
              </w:rPr>
            </w:pPr>
            <w:r>
              <w:rPr>
                <w:sz w:val="19"/>
                <w:szCs w:val="19"/>
                <w:spacing w:val="6"/>
              </w:rPr>
              <w:t>区（县）</w:t>
            </w:r>
            <w:r>
              <w:rPr>
                <w:sz w:val="19"/>
                <w:szCs w:val="19"/>
                <w:spacing w:val="8"/>
              </w:rPr>
              <w:t>级合计</w:t>
            </w:r>
          </w:p>
        </w:tc>
        <w:tc>
          <w:tcPr>
            <w:tcW w:w="755" w:type="dxa"/>
            <w:vAlign w:val="top"/>
          </w:tcPr>
          <w:p>
            <w:pPr>
              <w:pStyle w:val="TableText"/>
              <w:ind w:left="140"/>
              <w:spacing w:before="224" w:line="285" w:lineRule="exact"/>
              <w:rPr>
                <w:sz w:val="19"/>
                <w:szCs w:val="19"/>
              </w:rPr>
            </w:pPr>
            <w:r>
              <w:rPr>
                <w:sz w:val="19"/>
                <w:szCs w:val="19"/>
                <w:spacing w:val="-1"/>
                <w:position w:val="2"/>
              </w:rPr>
              <w:t>18582</w:t>
            </w:r>
          </w:p>
        </w:tc>
        <w:tc>
          <w:tcPr>
            <w:tcW w:w="674" w:type="dxa"/>
            <w:vAlign w:val="top"/>
          </w:tcPr>
          <w:p>
            <w:pPr>
              <w:pStyle w:val="TableText"/>
              <w:ind w:left="199"/>
              <w:spacing w:before="224" w:line="285" w:lineRule="exact"/>
              <w:rPr>
                <w:sz w:val="19"/>
                <w:szCs w:val="19"/>
              </w:rPr>
            </w:pPr>
            <w:r>
              <w:rPr>
                <w:sz w:val="19"/>
                <w:szCs w:val="19"/>
                <w:spacing w:val="-4"/>
                <w:position w:val="2"/>
              </w:rPr>
              <w:t>187</w:t>
            </w:r>
          </w:p>
        </w:tc>
        <w:tc>
          <w:tcPr>
            <w:tcW w:w="500" w:type="dxa"/>
            <w:vAlign w:val="top"/>
          </w:tcPr>
          <w:p>
            <w:pPr>
              <w:rPr>
                <w:rFonts w:ascii="Arial"/>
                <w:sz w:val="21"/>
              </w:rPr>
            </w:pPr>
            <w:r/>
          </w:p>
        </w:tc>
        <w:tc>
          <w:tcPr>
            <w:tcW w:w="446" w:type="dxa"/>
            <w:vAlign w:val="top"/>
          </w:tcPr>
          <w:p>
            <w:pPr>
              <w:rPr>
                <w:rFonts w:ascii="Arial"/>
                <w:sz w:val="21"/>
              </w:rPr>
            </w:pPr>
            <w:r/>
          </w:p>
        </w:tc>
        <w:tc>
          <w:tcPr>
            <w:tcW w:w="539" w:type="dxa"/>
            <w:vAlign w:val="top"/>
          </w:tcPr>
          <w:p>
            <w:pPr>
              <w:rPr>
                <w:rFonts w:ascii="Arial"/>
                <w:sz w:val="21"/>
              </w:rPr>
            </w:pPr>
            <w:r/>
          </w:p>
        </w:tc>
        <w:tc>
          <w:tcPr>
            <w:tcW w:w="512" w:type="dxa"/>
            <w:vAlign w:val="top"/>
          </w:tcPr>
          <w:p>
            <w:pPr>
              <w:rPr>
                <w:rFonts w:ascii="Arial"/>
                <w:sz w:val="21"/>
              </w:rPr>
            </w:pPr>
            <w:r/>
          </w:p>
        </w:tc>
        <w:tc>
          <w:tcPr>
            <w:tcW w:w="486" w:type="dxa"/>
            <w:vAlign w:val="top"/>
          </w:tcPr>
          <w:p>
            <w:pPr>
              <w:rPr>
                <w:rFonts w:ascii="Arial"/>
                <w:sz w:val="21"/>
              </w:rPr>
            </w:pPr>
            <w:r/>
          </w:p>
        </w:tc>
        <w:tc>
          <w:tcPr>
            <w:tcW w:w="650" w:type="dxa"/>
            <w:vAlign w:val="top"/>
          </w:tcPr>
          <w:p>
            <w:pPr>
              <w:rPr>
                <w:rFonts w:ascii="Arial"/>
                <w:sz w:val="21"/>
              </w:rPr>
            </w:pPr>
            <w:r/>
          </w:p>
        </w:tc>
        <w:tc>
          <w:tcPr>
            <w:tcW w:w="650" w:type="dxa"/>
            <w:vAlign w:val="top"/>
          </w:tcPr>
          <w:p>
            <w:pPr>
              <w:pStyle w:val="TableText"/>
              <w:ind w:left="124"/>
              <w:spacing w:before="224" w:line="285" w:lineRule="exact"/>
              <w:rPr>
                <w:sz w:val="19"/>
                <w:szCs w:val="19"/>
              </w:rPr>
            </w:pPr>
            <w:r>
              <w:rPr>
                <w:sz w:val="19"/>
                <w:szCs w:val="19"/>
                <w:spacing w:val="2"/>
                <w:position w:val="2"/>
              </w:rPr>
              <w:t>2204</w:t>
            </w:r>
          </w:p>
        </w:tc>
        <w:tc>
          <w:tcPr>
            <w:tcW w:w="650" w:type="dxa"/>
            <w:vAlign w:val="top"/>
          </w:tcPr>
          <w:p>
            <w:pPr>
              <w:pStyle w:val="TableText"/>
              <w:ind w:left="175"/>
              <w:spacing w:before="224" w:line="285" w:lineRule="exact"/>
              <w:rPr>
                <w:sz w:val="19"/>
                <w:szCs w:val="19"/>
              </w:rPr>
            </w:pPr>
            <w:r>
              <w:rPr>
                <w:sz w:val="19"/>
                <w:szCs w:val="19"/>
                <w:spacing w:val="1"/>
                <w:position w:val="2"/>
              </w:rPr>
              <w:t>216</w:t>
            </w:r>
          </w:p>
        </w:tc>
        <w:tc>
          <w:tcPr>
            <w:tcW w:w="650" w:type="dxa"/>
            <w:vAlign w:val="top"/>
          </w:tcPr>
          <w:p>
            <w:pPr>
              <w:pStyle w:val="TableText"/>
              <w:ind w:left="141"/>
              <w:spacing w:before="224" w:line="285" w:lineRule="exact"/>
              <w:rPr>
                <w:sz w:val="19"/>
                <w:szCs w:val="19"/>
              </w:rPr>
            </w:pPr>
            <w:r>
              <w:rPr>
                <w:sz w:val="19"/>
                <w:szCs w:val="19"/>
                <w:spacing w:val="-2"/>
                <w:position w:val="2"/>
              </w:rPr>
              <w:t>1166</w:t>
            </w:r>
          </w:p>
        </w:tc>
        <w:tc>
          <w:tcPr>
            <w:tcW w:w="650" w:type="dxa"/>
            <w:vAlign w:val="top"/>
          </w:tcPr>
          <w:p>
            <w:pPr>
              <w:pStyle w:val="TableText"/>
              <w:ind w:left="144"/>
              <w:spacing w:before="224" w:line="285" w:lineRule="exact"/>
              <w:rPr>
                <w:sz w:val="19"/>
                <w:szCs w:val="19"/>
              </w:rPr>
            </w:pPr>
            <w:r>
              <w:rPr>
                <w:sz w:val="19"/>
                <w:szCs w:val="19"/>
                <w:spacing w:val="-2"/>
                <w:position w:val="2"/>
              </w:rPr>
              <w:t>1200</w:t>
            </w:r>
          </w:p>
        </w:tc>
        <w:tc>
          <w:tcPr>
            <w:tcW w:w="709" w:type="dxa"/>
            <w:vAlign w:val="top"/>
          </w:tcPr>
          <w:p>
            <w:pPr>
              <w:pStyle w:val="TableText"/>
              <w:ind w:left="125"/>
              <w:spacing w:before="224" w:line="285" w:lineRule="exact"/>
              <w:rPr>
                <w:sz w:val="19"/>
                <w:szCs w:val="19"/>
              </w:rPr>
            </w:pPr>
            <w:r>
              <w:rPr>
                <w:sz w:val="19"/>
                <w:szCs w:val="19"/>
                <w:spacing w:val="-1"/>
                <w:position w:val="2"/>
              </w:rPr>
              <w:t>13109</w:t>
            </w:r>
          </w:p>
        </w:tc>
        <w:tc>
          <w:tcPr>
            <w:tcW w:w="479" w:type="dxa"/>
            <w:vAlign w:val="top"/>
          </w:tcPr>
          <w:p>
            <w:pPr>
              <w:rPr>
                <w:rFonts w:ascii="Arial"/>
                <w:sz w:val="21"/>
              </w:rPr>
            </w:pPr>
            <w:r/>
          </w:p>
        </w:tc>
        <w:tc>
          <w:tcPr>
            <w:tcW w:w="671" w:type="dxa"/>
            <w:vAlign w:val="top"/>
          </w:tcPr>
          <w:p>
            <w:pPr>
              <w:rPr>
                <w:rFonts w:ascii="Arial"/>
                <w:sz w:val="21"/>
              </w:rPr>
            </w:pPr>
            <w:r/>
          </w:p>
        </w:tc>
        <w:tc>
          <w:tcPr>
            <w:tcW w:w="466" w:type="dxa"/>
            <w:vAlign w:val="top"/>
          </w:tcPr>
          <w:p>
            <w:pPr>
              <w:pStyle w:val="TableText"/>
              <w:ind w:left="87"/>
              <w:spacing w:before="224" w:line="285" w:lineRule="exact"/>
              <w:rPr>
                <w:sz w:val="19"/>
                <w:szCs w:val="19"/>
              </w:rPr>
            </w:pPr>
            <w:r>
              <w:rPr>
                <w:sz w:val="19"/>
                <w:szCs w:val="19"/>
                <w:spacing w:val="1"/>
                <w:position w:val="2"/>
              </w:rPr>
              <w:t>500</w:t>
            </w:r>
          </w:p>
        </w:tc>
        <w:tc>
          <w:tcPr>
            <w:tcW w:w="406" w:type="dxa"/>
            <w:vAlign w:val="top"/>
          </w:tcPr>
          <w:p>
            <w:pPr>
              <w:rPr>
                <w:rFonts w:ascii="Arial"/>
                <w:sz w:val="21"/>
              </w:rPr>
            </w:pPr>
            <w:r/>
          </w:p>
        </w:tc>
        <w:tc>
          <w:tcPr>
            <w:tcW w:w="660" w:type="dxa"/>
            <w:vAlign w:val="top"/>
          </w:tcPr>
          <w:p>
            <w:pPr>
              <w:rPr>
                <w:rFonts w:ascii="Arial"/>
                <w:sz w:val="21"/>
              </w:rPr>
            </w:pPr>
            <w:r/>
          </w:p>
        </w:tc>
        <w:tc>
          <w:tcPr>
            <w:tcW w:w="634" w:type="dxa"/>
            <w:vAlign w:val="top"/>
          </w:tcPr>
          <w:p>
            <w:pPr>
              <w:rPr>
                <w:rFonts w:ascii="Arial"/>
                <w:sz w:val="21"/>
              </w:rPr>
            </w:pPr>
            <w:r/>
          </w:p>
        </w:tc>
        <w:tc>
          <w:tcPr>
            <w:tcW w:w="593" w:type="dxa"/>
            <w:vAlign w:val="top"/>
          </w:tcPr>
          <w:p>
            <w:pPr>
              <w:rPr>
                <w:rFonts w:ascii="Arial"/>
                <w:sz w:val="21"/>
              </w:rPr>
            </w:pPr>
            <w:r/>
          </w:p>
        </w:tc>
        <w:tc>
          <w:tcPr>
            <w:tcW w:w="652" w:type="dxa"/>
            <w:vAlign w:val="top"/>
          </w:tcPr>
          <w:p>
            <w:pPr>
              <w:rPr>
                <w:rFonts w:ascii="Arial"/>
                <w:sz w:val="21"/>
              </w:rPr>
            </w:pPr>
            <w:r/>
          </w:p>
        </w:tc>
        <w:tc>
          <w:tcPr>
            <w:tcW w:w="558" w:type="dxa"/>
            <w:vAlign w:val="top"/>
            <w:tcBorders>
              <w:right w:val="single" w:color="000000" w:sz="6" w:space="0"/>
            </w:tcBorders>
          </w:tcPr>
          <w:p>
            <w:pPr>
              <w:rPr>
                <w:rFonts w:ascii="Arial"/>
                <w:sz w:val="21"/>
              </w:rPr>
            </w:pPr>
            <w:r/>
          </w:p>
        </w:tc>
      </w:tr>
      <w:tr>
        <w:trPr>
          <w:trHeight w:val="606" w:hRule="atLeast"/>
        </w:trPr>
        <w:tc>
          <w:tcPr>
            <w:tcW w:w="906" w:type="dxa"/>
            <w:vAlign w:val="top"/>
            <w:tcBorders>
              <w:left w:val="single" w:color="000000" w:sz="6" w:space="0"/>
            </w:tcBorders>
          </w:tcPr>
          <w:p>
            <w:pPr>
              <w:pStyle w:val="TableText"/>
              <w:ind w:left="146"/>
              <w:spacing w:before="234" w:line="212" w:lineRule="auto"/>
              <w:rPr>
                <w:sz w:val="19"/>
                <w:szCs w:val="19"/>
              </w:rPr>
            </w:pPr>
            <w:r>
              <w:rPr>
                <w:sz w:val="19"/>
                <w:szCs w:val="19"/>
                <w:spacing w:val="8"/>
              </w:rPr>
              <w:t>原州区</w:t>
            </w:r>
          </w:p>
        </w:tc>
        <w:tc>
          <w:tcPr>
            <w:tcW w:w="755" w:type="dxa"/>
            <w:vAlign w:val="top"/>
          </w:tcPr>
          <w:p>
            <w:pPr>
              <w:pStyle w:val="TableText"/>
              <w:ind w:left="140"/>
              <w:spacing w:before="226" w:line="285" w:lineRule="exact"/>
              <w:rPr>
                <w:sz w:val="19"/>
                <w:szCs w:val="19"/>
              </w:rPr>
            </w:pPr>
            <w:r>
              <w:rPr>
                <w:sz w:val="19"/>
                <w:szCs w:val="19"/>
                <w:spacing w:val="-1"/>
                <w:position w:val="2"/>
              </w:rPr>
              <w:t>18582</w:t>
            </w:r>
          </w:p>
        </w:tc>
        <w:tc>
          <w:tcPr>
            <w:tcW w:w="674" w:type="dxa"/>
            <w:vAlign w:val="top"/>
          </w:tcPr>
          <w:p>
            <w:pPr>
              <w:pStyle w:val="TableText"/>
              <w:ind w:left="199"/>
              <w:spacing w:before="226" w:line="285" w:lineRule="exact"/>
              <w:rPr>
                <w:sz w:val="19"/>
                <w:szCs w:val="19"/>
              </w:rPr>
            </w:pPr>
            <w:r>
              <w:rPr>
                <w:sz w:val="19"/>
                <w:szCs w:val="19"/>
                <w:spacing w:val="-4"/>
                <w:position w:val="2"/>
              </w:rPr>
              <w:t>187</w:t>
            </w:r>
          </w:p>
        </w:tc>
        <w:tc>
          <w:tcPr>
            <w:tcW w:w="500" w:type="dxa"/>
            <w:vAlign w:val="top"/>
          </w:tcPr>
          <w:p>
            <w:pPr>
              <w:rPr>
                <w:rFonts w:ascii="Arial"/>
                <w:sz w:val="21"/>
              </w:rPr>
            </w:pPr>
            <w:r/>
          </w:p>
        </w:tc>
        <w:tc>
          <w:tcPr>
            <w:tcW w:w="446" w:type="dxa"/>
            <w:vAlign w:val="top"/>
          </w:tcPr>
          <w:p>
            <w:pPr>
              <w:rPr>
                <w:rFonts w:ascii="Arial"/>
                <w:sz w:val="21"/>
              </w:rPr>
            </w:pPr>
            <w:r/>
          </w:p>
        </w:tc>
        <w:tc>
          <w:tcPr>
            <w:tcW w:w="539" w:type="dxa"/>
            <w:vAlign w:val="top"/>
          </w:tcPr>
          <w:p>
            <w:pPr>
              <w:rPr>
                <w:rFonts w:ascii="Arial"/>
                <w:sz w:val="21"/>
              </w:rPr>
            </w:pPr>
            <w:r/>
          </w:p>
        </w:tc>
        <w:tc>
          <w:tcPr>
            <w:tcW w:w="512" w:type="dxa"/>
            <w:vAlign w:val="top"/>
          </w:tcPr>
          <w:p>
            <w:pPr>
              <w:rPr>
                <w:rFonts w:ascii="Arial"/>
                <w:sz w:val="21"/>
              </w:rPr>
            </w:pPr>
            <w:r/>
          </w:p>
        </w:tc>
        <w:tc>
          <w:tcPr>
            <w:tcW w:w="486" w:type="dxa"/>
            <w:vAlign w:val="top"/>
          </w:tcPr>
          <w:p>
            <w:pPr>
              <w:rPr>
                <w:rFonts w:ascii="Arial"/>
                <w:sz w:val="21"/>
              </w:rPr>
            </w:pPr>
            <w:r/>
          </w:p>
        </w:tc>
        <w:tc>
          <w:tcPr>
            <w:tcW w:w="650" w:type="dxa"/>
            <w:vAlign w:val="top"/>
          </w:tcPr>
          <w:p>
            <w:pPr>
              <w:rPr>
                <w:rFonts w:ascii="Arial"/>
                <w:sz w:val="21"/>
              </w:rPr>
            </w:pPr>
            <w:r/>
          </w:p>
        </w:tc>
        <w:tc>
          <w:tcPr>
            <w:tcW w:w="650" w:type="dxa"/>
            <w:vAlign w:val="top"/>
          </w:tcPr>
          <w:p>
            <w:pPr>
              <w:pStyle w:val="TableText"/>
              <w:ind w:left="124"/>
              <w:spacing w:before="226" w:line="285" w:lineRule="exact"/>
              <w:rPr>
                <w:sz w:val="19"/>
                <w:szCs w:val="19"/>
              </w:rPr>
            </w:pPr>
            <w:r>
              <w:rPr>
                <w:sz w:val="19"/>
                <w:szCs w:val="19"/>
                <w:spacing w:val="2"/>
                <w:position w:val="2"/>
              </w:rPr>
              <w:t>2204</w:t>
            </w:r>
          </w:p>
        </w:tc>
        <w:tc>
          <w:tcPr>
            <w:tcW w:w="650" w:type="dxa"/>
            <w:vAlign w:val="top"/>
          </w:tcPr>
          <w:p>
            <w:pPr>
              <w:pStyle w:val="TableText"/>
              <w:ind w:left="175"/>
              <w:spacing w:before="226" w:line="285" w:lineRule="exact"/>
              <w:rPr>
                <w:sz w:val="19"/>
                <w:szCs w:val="19"/>
              </w:rPr>
            </w:pPr>
            <w:r>
              <w:rPr>
                <w:sz w:val="19"/>
                <w:szCs w:val="19"/>
                <w:spacing w:val="1"/>
                <w:position w:val="2"/>
              </w:rPr>
              <w:t>216</w:t>
            </w:r>
          </w:p>
        </w:tc>
        <w:tc>
          <w:tcPr>
            <w:tcW w:w="650" w:type="dxa"/>
            <w:vAlign w:val="top"/>
          </w:tcPr>
          <w:p>
            <w:pPr>
              <w:pStyle w:val="TableText"/>
              <w:ind w:left="141"/>
              <w:spacing w:before="226" w:line="285" w:lineRule="exact"/>
              <w:rPr>
                <w:sz w:val="19"/>
                <w:szCs w:val="19"/>
              </w:rPr>
            </w:pPr>
            <w:r>
              <w:rPr>
                <w:sz w:val="19"/>
                <w:szCs w:val="19"/>
                <w:spacing w:val="-2"/>
                <w:position w:val="2"/>
              </w:rPr>
              <w:t>1166</w:t>
            </w:r>
          </w:p>
        </w:tc>
        <w:tc>
          <w:tcPr>
            <w:tcW w:w="650" w:type="dxa"/>
            <w:vAlign w:val="top"/>
          </w:tcPr>
          <w:p>
            <w:pPr>
              <w:pStyle w:val="TableText"/>
              <w:ind w:left="144"/>
              <w:spacing w:before="226" w:line="285" w:lineRule="exact"/>
              <w:rPr>
                <w:sz w:val="19"/>
                <w:szCs w:val="19"/>
              </w:rPr>
            </w:pPr>
            <w:r>
              <w:rPr>
                <w:sz w:val="19"/>
                <w:szCs w:val="19"/>
                <w:spacing w:val="-2"/>
                <w:position w:val="2"/>
              </w:rPr>
              <w:t>1200</w:t>
            </w:r>
          </w:p>
        </w:tc>
        <w:tc>
          <w:tcPr>
            <w:tcW w:w="709" w:type="dxa"/>
            <w:vAlign w:val="top"/>
          </w:tcPr>
          <w:p>
            <w:pPr>
              <w:pStyle w:val="TableText"/>
              <w:ind w:left="125"/>
              <w:spacing w:before="226" w:line="285" w:lineRule="exact"/>
              <w:rPr>
                <w:sz w:val="19"/>
                <w:szCs w:val="19"/>
              </w:rPr>
            </w:pPr>
            <w:r>
              <w:rPr>
                <w:sz w:val="19"/>
                <w:szCs w:val="19"/>
                <w:spacing w:val="-1"/>
                <w:position w:val="2"/>
              </w:rPr>
              <w:t>13109</w:t>
            </w:r>
          </w:p>
        </w:tc>
        <w:tc>
          <w:tcPr>
            <w:tcW w:w="479" w:type="dxa"/>
            <w:vAlign w:val="top"/>
          </w:tcPr>
          <w:p>
            <w:pPr>
              <w:rPr>
                <w:rFonts w:ascii="Arial"/>
                <w:sz w:val="21"/>
              </w:rPr>
            </w:pPr>
            <w:r/>
          </w:p>
        </w:tc>
        <w:tc>
          <w:tcPr>
            <w:tcW w:w="671" w:type="dxa"/>
            <w:vAlign w:val="top"/>
          </w:tcPr>
          <w:p>
            <w:pPr>
              <w:rPr>
                <w:rFonts w:ascii="Arial"/>
                <w:sz w:val="21"/>
              </w:rPr>
            </w:pPr>
            <w:r/>
          </w:p>
        </w:tc>
        <w:tc>
          <w:tcPr>
            <w:tcW w:w="466" w:type="dxa"/>
            <w:vAlign w:val="top"/>
          </w:tcPr>
          <w:p>
            <w:pPr>
              <w:pStyle w:val="TableText"/>
              <w:ind w:left="87"/>
              <w:spacing w:before="226" w:line="285" w:lineRule="exact"/>
              <w:rPr>
                <w:sz w:val="19"/>
                <w:szCs w:val="19"/>
              </w:rPr>
            </w:pPr>
            <w:r>
              <w:rPr>
                <w:sz w:val="19"/>
                <w:szCs w:val="19"/>
                <w:spacing w:val="1"/>
                <w:position w:val="2"/>
              </w:rPr>
              <w:t>500</w:t>
            </w:r>
          </w:p>
        </w:tc>
        <w:tc>
          <w:tcPr>
            <w:tcW w:w="406" w:type="dxa"/>
            <w:vAlign w:val="top"/>
          </w:tcPr>
          <w:p>
            <w:pPr>
              <w:rPr>
                <w:rFonts w:ascii="Arial"/>
                <w:sz w:val="21"/>
              </w:rPr>
            </w:pPr>
            <w:r/>
          </w:p>
        </w:tc>
        <w:tc>
          <w:tcPr>
            <w:tcW w:w="660" w:type="dxa"/>
            <w:vAlign w:val="top"/>
          </w:tcPr>
          <w:p>
            <w:pPr>
              <w:rPr>
                <w:rFonts w:ascii="Arial"/>
                <w:sz w:val="21"/>
              </w:rPr>
            </w:pPr>
            <w:r/>
          </w:p>
        </w:tc>
        <w:tc>
          <w:tcPr>
            <w:tcW w:w="634" w:type="dxa"/>
            <w:vAlign w:val="top"/>
          </w:tcPr>
          <w:p>
            <w:pPr>
              <w:rPr>
                <w:rFonts w:ascii="Arial"/>
                <w:sz w:val="21"/>
              </w:rPr>
            </w:pPr>
            <w:r/>
          </w:p>
        </w:tc>
        <w:tc>
          <w:tcPr>
            <w:tcW w:w="593" w:type="dxa"/>
            <w:vAlign w:val="top"/>
          </w:tcPr>
          <w:p>
            <w:pPr>
              <w:rPr>
                <w:rFonts w:ascii="Arial"/>
                <w:sz w:val="21"/>
              </w:rPr>
            </w:pPr>
            <w:r/>
          </w:p>
        </w:tc>
        <w:tc>
          <w:tcPr>
            <w:tcW w:w="652" w:type="dxa"/>
            <w:vAlign w:val="top"/>
          </w:tcPr>
          <w:p>
            <w:pPr>
              <w:rPr>
                <w:rFonts w:ascii="Arial"/>
                <w:sz w:val="21"/>
              </w:rPr>
            </w:pPr>
            <w:r/>
          </w:p>
        </w:tc>
        <w:tc>
          <w:tcPr>
            <w:tcW w:w="558" w:type="dxa"/>
            <w:vAlign w:val="top"/>
            <w:tcBorders>
              <w:right w:val="single" w:color="000000" w:sz="6" w:space="0"/>
            </w:tcBorders>
          </w:tcPr>
          <w:p>
            <w:pPr>
              <w:rPr>
                <w:rFonts w:ascii="Arial"/>
                <w:sz w:val="21"/>
              </w:rPr>
            </w:pPr>
            <w:r/>
          </w:p>
        </w:tc>
      </w:tr>
      <w:tr>
        <w:trPr>
          <w:trHeight w:val="509" w:hRule="atLeast"/>
        </w:trPr>
        <w:tc>
          <w:tcPr>
            <w:tcW w:w="906" w:type="dxa"/>
            <w:vAlign w:val="top"/>
            <w:tcBorders>
              <w:left w:val="single" w:color="000000" w:sz="6" w:space="0"/>
            </w:tcBorders>
          </w:tcPr>
          <w:p>
            <w:pPr>
              <w:rPr>
                <w:rFonts w:ascii="Arial"/>
                <w:sz w:val="21"/>
              </w:rPr>
            </w:pPr>
            <w:r/>
          </w:p>
        </w:tc>
        <w:tc>
          <w:tcPr>
            <w:tcW w:w="755" w:type="dxa"/>
            <w:vAlign w:val="top"/>
          </w:tcPr>
          <w:p>
            <w:pPr>
              <w:rPr>
                <w:rFonts w:ascii="Arial"/>
                <w:sz w:val="21"/>
              </w:rPr>
            </w:pPr>
            <w:r/>
          </w:p>
        </w:tc>
        <w:tc>
          <w:tcPr>
            <w:tcW w:w="674" w:type="dxa"/>
            <w:vAlign w:val="top"/>
          </w:tcPr>
          <w:p>
            <w:pPr>
              <w:rPr>
                <w:rFonts w:ascii="Arial"/>
                <w:sz w:val="21"/>
              </w:rPr>
            </w:pPr>
            <w:r/>
          </w:p>
        </w:tc>
        <w:tc>
          <w:tcPr>
            <w:tcW w:w="500" w:type="dxa"/>
            <w:vAlign w:val="top"/>
          </w:tcPr>
          <w:p>
            <w:pPr>
              <w:rPr>
                <w:rFonts w:ascii="Arial"/>
                <w:sz w:val="21"/>
              </w:rPr>
            </w:pPr>
            <w:r/>
          </w:p>
        </w:tc>
        <w:tc>
          <w:tcPr>
            <w:tcW w:w="446" w:type="dxa"/>
            <w:vAlign w:val="top"/>
          </w:tcPr>
          <w:p>
            <w:pPr>
              <w:rPr>
                <w:rFonts w:ascii="Arial"/>
                <w:sz w:val="21"/>
              </w:rPr>
            </w:pPr>
            <w:r/>
          </w:p>
        </w:tc>
        <w:tc>
          <w:tcPr>
            <w:tcW w:w="539" w:type="dxa"/>
            <w:vAlign w:val="top"/>
          </w:tcPr>
          <w:p>
            <w:pPr>
              <w:rPr>
                <w:rFonts w:ascii="Arial"/>
                <w:sz w:val="21"/>
              </w:rPr>
            </w:pPr>
            <w:r/>
          </w:p>
        </w:tc>
        <w:tc>
          <w:tcPr>
            <w:tcW w:w="512" w:type="dxa"/>
            <w:vAlign w:val="top"/>
          </w:tcPr>
          <w:p>
            <w:pPr>
              <w:rPr>
                <w:rFonts w:ascii="Arial"/>
                <w:sz w:val="21"/>
              </w:rPr>
            </w:pPr>
            <w:r/>
          </w:p>
        </w:tc>
        <w:tc>
          <w:tcPr>
            <w:tcW w:w="486" w:type="dxa"/>
            <w:vAlign w:val="top"/>
          </w:tcPr>
          <w:p>
            <w:pPr>
              <w:rPr>
                <w:rFonts w:ascii="Arial"/>
                <w:sz w:val="21"/>
              </w:rPr>
            </w:pPr>
            <w:r/>
          </w:p>
        </w:tc>
        <w:tc>
          <w:tcPr>
            <w:tcW w:w="650" w:type="dxa"/>
            <w:vAlign w:val="top"/>
          </w:tcPr>
          <w:p>
            <w:pPr>
              <w:rPr>
                <w:rFonts w:ascii="Arial"/>
                <w:sz w:val="21"/>
              </w:rPr>
            </w:pPr>
            <w:r/>
          </w:p>
        </w:tc>
        <w:tc>
          <w:tcPr>
            <w:tcW w:w="650" w:type="dxa"/>
            <w:vAlign w:val="top"/>
          </w:tcPr>
          <w:p>
            <w:pPr>
              <w:rPr>
                <w:rFonts w:ascii="Arial"/>
                <w:sz w:val="21"/>
              </w:rPr>
            </w:pPr>
            <w:r/>
          </w:p>
        </w:tc>
        <w:tc>
          <w:tcPr>
            <w:tcW w:w="650" w:type="dxa"/>
            <w:vAlign w:val="top"/>
          </w:tcPr>
          <w:p>
            <w:pPr>
              <w:rPr>
                <w:rFonts w:ascii="Arial"/>
                <w:sz w:val="21"/>
              </w:rPr>
            </w:pPr>
            <w:r/>
          </w:p>
        </w:tc>
        <w:tc>
          <w:tcPr>
            <w:tcW w:w="650" w:type="dxa"/>
            <w:vAlign w:val="top"/>
          </w:tcPr>
          <w:p>
            <w:pPr>
              <w:rPr>
                <w:rFonts w:ascii="Arial"/>
                <w:sz w:val="21"/>
              </w:rPr>
            </w:pPr>
            <w:r/>
          </w:p>
        </w:tc>
        <w:tc>
          <w:tcPr>
            <w:tcW w:w="650" w:type="dxa"/>
            <w:vAlign w:val="top"/>
          </w:tcPr>
          <w:p>
            <w:pPr>
              <w:rPr>
                <w:rFonts w:ascii="Arial"/>
                <w:sz w:val="21"/>
              </w:rPr>
            </w:pPr>
            <w:r/>
          </w:p>
        </w:tc>
        <w:tc>
          <w:tcPr>
            <w:tcW w:w="709" w:type="dxa"/>
            <w:vAlign w:val="top"/>
          </w:tcPr>
          <w:p>
            <w:pPr>
              <w:rPr>
                <w:rFonts w:ascii="Arial"/>
                <w:sz w:val="21"/>
              </w:rPr>
            </w:pPr>
            <w:r/>
          </w:p>
        </w:tc>
        <w:tc>
          <w:tcPr>
            <w:tcW w:w="479" w:type="dxa"/>
            <w:vAlign w:val="top"/>
          </w:tcPr>
          <w:p>
            <w:pPr>
              <w:rPr>
                <w:rFonts w:ascii="Arial"/>
                <w:sz w:val="21"/>
              </w:rPr>
            </w:pPr>
            <w:r/>
          </w:p>
        </w:tc>
        <w:tc>
          <w:tcPr>
            <w:tcW w:w="671" w:type="dxa"/>
            <w:vAlign w:val="top"/>
          </w:tcPr>
          <w:p>
            <w:pPr>
              <w:rPr>
                <w:rFonts w:ascii="Arial"/>
                <w:sz w:val="21"/>
              </w:rPr>
            </w:pPr>
            <w:r/>
          </w:p>
        </w:tc>
        <w:tc>
          <w:tcPr>
            <w:tcW w:w="466" w:type="dxa"/>
            <w:vAlign w:val="top"/>
          </w:tcPr>
          <w:p>
            <w:pPr>
              <w:rPr>
                <w:rFonts w:ascii="Arial"/>
                <w:sz w:val="21"/>
              </w:rPr>
            </w:pPr>
            <w:r/>
          </w:p>
        </w:tc>
        <w:tc>
          <w:tcPr>
            <w:tcW w:w="406" w:type="dxa"/>
            <w:vAlign w:val="top"/>
          </w:tcPr>
          <w:p>
            <w:pPr>
              <w:rPr>
                <w:rFonts w:ascii="Arial"/>
                <w:sz w:val="21"/>
              </w:rPr>
            </w:pPr>
            <w:r/>
          </w:p>
        </w:tc>
        <w:tc>
          <w:tcPr>
            <w:tcW w:w="660" w:type="dxa"/>
            <w:vAlign w:val="top"/>
          </w:tcPr>
          <w:p>
            <w:pPr>
              <w:rPr>
                <w:rFonts w:ascii="Arial"/>
                <w:sz w:val="21"/>
              </w:rPr>
            </w:pPr>
            <w:r/>
          </w:p>
        </w:tc>
        <w:tc>
          <w:tcPr>
            <w:tcW w:w="634" w:type="dxa"/>
            <w:vAlign w:val="top"/>
          </w:tcPr>
          <w:p>
            <w:pPr>
              <w:rPr>
                <w:rFonts w:ascii="Arial"/>
                <w:sz w:val="21"/>
              </w:rPr>
            </w:pPr>
            <w:r/>
          </w:p>
        </w:tc>
        <w:tc>
          <w:tcPr>
            <w:tcW w:w="593" w:type="dxa"/>
            <w:vAlign w:val="top"/>
          </w:tcPr>
          <w:p>
            <w:pPr>
              <w:rPr>
                <w:rFonts w:ascii="Arial"/>
                <w:sz w:val="21"/>
              </w:rPr>
            </w:pPr>
            <w:r/>
          </w:p>
        </w:tc>
        <w:tc>
          <w:tcPr>
            <w:tcW w:w="652" w:type="dxa"/>
            <w:vAlign w:val="top"/>
          </w:tcPr>
          <w:p>
            <w:pPr>
              <w:rPr>
                <w:rFonts w:ascii="Arial"/>
                <w:sz w:val="21"/>
              </w:rPr>
            </w:pPr>
            <w:r/>
          </w:p>
        </w:tc>
        <w:tc>
          <w:tcPr>
            <w:tcW w:w="558" w:type="dxa"/>
            <w:vAlign w:val="top"/>
            <w:tcBorders>
              <w:right w:val="single" w:color="000000" w:sz="6" w:space="0"/>
            </w:tcBorders>
          </w:tcPr>
          <w:p>
            <w:pPr>
              <w:rPr>
                <w:rFonts w:ascii="Arial"/>
                <w:sz w:val="21"/>
              </w:rPr>
            </w:pPr>
            <w:r/>
          </w:p>
        </w:tc>
      </w:tr>
      <w:tr>
        <w:trPr>
          <w:trHeight w:val="509" w:hRule="atLeast"/>
        </w:trPr>
        <w:tc>
          <w:tcPr>
            <w:tcW w:w="906" w:type="dxa"/>
            <w:vAlign w:val="top"/>
            <w:tcBorders>
              <w:left w:val="single" w:color="000000" w:sz="6" w:space="0"/>
            </w:tcBorders>
          </w:tcPr>
          <w:p>
            <w:pPr>
              <w:rPr>
                <w:rFonts w:ascii="Arial"/>
                <w:sz w:val="21"/>
              </w:rPr>
            </w:pPr>
            <w:r/>
          </w:p>
        </w:tc>
        <w:tc>
          <w:tcPr>
            <w:tcW w:w="755" w:type="dxa"/>
            <w:vAlign w:val="top"/>
          </w:tcPr>
          <w:p>
            <w:pPr>
              <w:rPr>
                <w:rFonts w:ascii="Arial"/>
                <w:sz w:val="21"/>
              </w:rPr>
            </w:pPr>
            <w:r/>
          </w:p>
        </w:tc>
        <w:tc>
          <w:tcPr>
            <w:tcW w:w="674" w:type="dxa"/>
            <w:vAlign w:val="top"/>
          </w:tcPr>
          <w:p>
            <w:pPr>
              <w:rPr>
                <w:rFonts w:ascii="Arial"/>
                <w:sz w:val="21"/>
              </w:rPr>
            </w:pPr>
            <w:r/>
          </w:p>
        </w:tc>
        <w:tc>
          <w:tcPr>
            <w:tcW w:w="500" w:type="dxa"/>
            <w:vAlign w:val="top"/>
          </w:tcPr>
          <w:p>
            <w:pPr>
              <w:rPr>
                <w:rFonts w:ascii="Arial"/>
                <w:sz w:val="21"/>
              </w:rPr>
            </w:pPr>
            <w:r/>
          </w:p>
        </w:tc>
        <w:tc>
          <w:tcPr>
            <w:tcW w:w="446" w:type="dxa"/>
            <w:vAlign w:val="top"/>
          </w:tcPr>
          <w:p>
            <w:pPr>
              <w:rPr>
                <w:rFonts w:ascii="Arial"/>
                <w:sz w:val="21"/>
              </w:rPr>
            </w:pPr>
            <w:r/>
          </w:p>
        </w:tc>
        <w:tc>
          <w:tcPr>
            <w:tcW w:w="539" w:type="dxa"/>
            <w:vAlign w:val="top"/>
          </w:tcPr>
          <w:p>
            <w:pPr>
              <w:rPr>
                <w:rFonts w:ascii="Arial"/>
                <w:sz w:val="21"/>
              </w:rPr>
            </w:pPr>
            <w:r/>
          </w:p>
        </w:tc>
        <w:tc>
          <w:tcPr>
            <w:tcW w:w="512" w:type="dxa"/>
            <w:vAlign w:val="top"/>
          </w:tcPr>
          <w:p>
            <w:pPr>
              <w:rPr>
                <w:rFonts w:ascii="Arial"/>
                <w:sz w:val="21"/>
              </w:rPr>
            </w:pPr>
            <w:r/>
          </w:p>
        </w:tc>
        <w:tc>
          <w:tcPr>
            <w:tcW w:w="486" w:type="dxa"/>
            <w:vAlign w:val="top"/>
          </w:tcPr>
          <w:p>
            <w:pPr>
              <w:rPr>
                <w:rFonts w:ascii="Arial"/>
                <w:sz w:val="21"/>
              </w:rPr>
            </w:pPr>
            <w:r/>
          </w:p>
        </w:tc>
        <w:tc>
          <w:tcPr>
            <w:tcW w:w="650" w:type="dxa"/>
            <w:vAlign w:val="top"/>
          </w:tcPr>
          <w:p>
            <w:pPr>
              <w:rPr>
                <w:rFonts w:ascii="Arial"/>
                <w:sz w:val="21"/>
              </w:rPr>
            </w:pPr>
            <w:r/>
          </w:p>
        </w:tc>
        <w:tc>
          <w:tcPr>
            <w:tcW w:w="650" w:type="dxa"/>
            <w:vAlign w:val="top"/>
          </w:tcPr>
          <w:p>
            <w:pPr>
              <w:rPr>
                <w:rFonts w:ascii="Arial"/>
                <w:sz w:val="21"/>
              </w:rPr>
            </w:pPr>
            <w:r/>
          </w:p>
        </w:tc>
        <w:tc>
          <w:tcPr>
            <w:tcW w:w="650" w:type="dxa"/>
            <w:vAlign w:val="top"/>
          </w:tcPr>
          <w:p>
            <w:pPr>
              <w:rPr>
                <w:rFonts w:ascii="Arial"/>
                <w:sz w:val="21"/>
              </w:rPr>
            </w:pPr>
            <w:r/>
          </w:p>
        </w:tc>
        <w:tc>
          <w:tcPr>
            <w:tcW w:w="650" w:type="dxa"/>
            <w:vAlign w:val="top"/>
          </w:tcPr>
          <w:p>
            <w:pPr>
              <w:rPr>
                <w:rFonts w:ascii="Arial"/>
                <w:sz w:val="21"/>
              </w:rPr>
            </w:pPr>
            <w:r/>
          </w:p>
        </w:tc>
        <w:tc>
          <w:tcPr>
            <w:tcW w:w="650" w:type="dxa"/>
            <w:vAlign w:val="top"/>
          </w:tcPr>
          <w:p>
            <w:pPr>
              <w:rPr>
                <w:rFonts w:ascii="Arial"/>
                <w:sz w:val="21"/>
              </w:rPr>
            </w:pPr>
            <w:r/>
          </w:p>
        </w:tc>
        <w:tc>
          <w:tcPr>
            <w:tcW w:w="709" w:type="dxa"/>
            <w:vAlign w:val="top"/>
          </w:tcPr>
          <w:p>
            <w:pPr>
              <w:rPr>
                <w:rFonts w:ascii="Arial"/>
                <w:sz w:val="21"/>
              </w:rPr>
            </w:pPr>
            <w:r/>
          </w:p>
        </w:tc>
        <w:tc>
          <w:tcPr>
            <w:tcW w:w="479" w:type="dxa"/>
            <w:vAlign w:val="top"/>
          </w:tcPr>
          <w:p>
            <w:pPr>
              <w:rPr>
                <w:rFonts w:ascii="Arial"/>
                <w:sz w:val="21"/>
              </w:rPr>
            </w:pPr>
            <w:r/>
          </w:p>
        </w:tc>
        <w:tc>
          <w:tcPr>
            <w:tcW w:w="671" w:type="dxa"/>
            <w:vAlign w:val="top"/>
          </w:tcPr>
          <w:p>
            <w:pPr>
              <w:rPr>
                <w:rFonts w:ascii="Arial"/>
                <w:sz w:val="21"/>
              </w:rPr>
            </w:pPr>
            <w:r/>
          </w:p>
        </w:tc>
        <w:tc>
          <w:tcPr>
            <w:tcW w:w="466" w:type="dxa"/>
            <w:vAlign w:val="top"/>
          </w:tcPr>
          <w:p>
            <w:pPr>
              <w:rPr>
                <w:rFonts w:ascii="Arial"/>
                <w:sz w:val="21"/>
              </w:rPr>
            </w:pPr>
            <w:r/>
          </w:p>
        </w:tc>
        <w:tc>
          <w:tcPr>
            <w:tcW w:w="406" w:type="dxa"/>
            <w:vAlign w:val="top"/>
          </w:tcPr>
          <w:p>
            <w:pPr>
              <w:rPr>
                <w:rFonts w:ascii="Arial"/>
                <w:sz w:val="21"/>
              </w:rPr>
            </w:pPr>
            <w:r/>
          </w:p>
        </w:tc>
        <w:tc>
          <w:tcPr>
            <w:tcW w:w="660" w:type="dxa"/>
            <w:vAlign w:val="top"/>
          </w:tcPr>
          <w:p>
            <w:pPr>
              <w:rPr>
                <w:rFonts w:ascii="Arial"/>
                <w:sz w:val="21"/>
              </w:rPr>
            </w:pPr>
            <w:r/>
          </w:p>
        </w:tc>
        <w:tc>
          <w:tcPr>
            <w:tcW w:w="634" w:type="dxa"/>
            <w:vAlign w:val="top"/>
          </w:tcPr>
          <w:p>
            <w:pPr>
              <w:rPr>
                <w:rFonts w:ascii="Arial"/>
                <w:sz w:val="21"/>
              </w:rPr>
            </w:pPr>
            <w:r/>
          </w:p>
        </w:tc>
        <w:tc>
          <w:tcPr>
            <w:tcW w:w="593" w:type="dxa"/>
            <w:vAlign w:val="top"/>
          </w:tcPr>
          <w:p>
            <w:pPr>
              <w:rPr>
                <w:rFonts w:ascii="Arial"/>
                <w:sz w:val="21"/>
              </w:rPr>
            </w:pPr>
            <w:r/>
          </w:p>
        </w:tc>
        <w:tc>
          <w:tcPr>
            <w:tcW w:w="652" w:type="dxa"/>
            <w:vAlign w:val="top"/>
          </w:tcPr>
          <w:p>
            <w:pPr>
              <w:rPr>
                <w:rFonts w:ascii="Arial"/>
                <w:sz w:val="21"/>
              </w:rPr>
            </w:pPr>
            <w:r/>
          </w:p>
        </w:tc>
        <w:tc>
          <w:tcPr>
            <w:tcW w:w="558" w:type="dxa"/>
            <w:vAlign w:val="top"/>
            <w:tcBorders>
              <w:right w:val="single" w:color="000000" w:sz="6" w:space="0"/>
            </w:tcBorders>
          </w:tcPr>
          <w:p>
            <w:pPr>
              <w:rPr>
                <w:rFonts w:ascii="Arial"/>
                <w:sz w:val="21"/>
              </w:rPr>
            </w:pPr>
            <w:r/>
          </w:p>
        </w:tc>
      </w:tr>
      <w:tr>
        <w:trPr>
          <w:trHeight w:val="509" w:hRule="atLeast"/>
        </w:trPr>
        <w:tc>
          <w:tcPr>
            <w:tcW w:w="906" w:type="dxa"/>
            <w:vAlign w:val="top"/>
            <w:tcBorders>
              <w:left w:val="single" w:color="000000" w:sz="6" w:space="0"/>
            </w:tcBorders>
          </w:tcPr>
          <w:p>
            <w:pPr>
              <w:rPr>
                <w:rFonts w:ascii="Arial"/>
                <w:sz w:val="21"/>
              </w:rPr>
            </w:pPr>
            <w:r/>
          </w:p>
        </w:tc>
        <w:tc>
          <w:tcPr>
            <w:tcW w:w="755" w:type="dxa"/>
            <w:vAlign w:val="top"/>
          </w:tcPr>
          <w:p>
            <w:pPr>
              <w:rPr>
                <w:rFonts w:ascii="Arial"/>
                <w:sz w:val="21"/>
              </w:rPr>
            </w:pPr>
            <w:r/>
          </w:p>
        </w:tc>
        <w:tc>
          <w:tcPr>
            <w:tcW w:w="674" w:type="dxa"/>
            <w:vAlign w:val="top"/>
          </w:tcPr>
          <w:p>
            <w:pPr>
              <w:rPr>
                <w:rFonts w:ascii="Arial"/>
                <w:sz w:val="21"/>
              </w:rPr>
            </w:pPr>
            <w:r/>
          </w:p>
        </w:tc>
        <w:tc>
          <w:tcPr>
            <w:tcW w:w="500" w:type="dxa"/>
            <w:vAlign w:val="top"/>
          </w:tcPr>
          <w:p>
            <w:pPr>
              <w:rPr>
                <w:rFonts w:ascii="Arial"/>
                <w:sz w:val="21"/>
              </w:rPr>
            </w:pPr>
            <w:r/>
          </w:p>
        </w:tc>
        <w:tc>
          <w:tcPr>
            <w:tcW w:w="446" w:type="dxa"/>
            <w:vAlign w:val="top"/>
          </w:tcPr>
          <w:p>
            <w:pPr>
              <w:rPr>
                <w:rFonts w:ascii="Arial"/>
                <w:sz w:val="21"/>
              </w:rPr>
            </w:pPr>
            <w:r/>
          </w:p>
        </w:tc>
        <w:tc>
          <w:tcPr>
            <w:tcW w:w="539" w:type="dxa"/>
            <w:vAlign w:val="top"/>
          </w:tcPr>
          <w:p>
            <w:pPr>
              <w:rPr>
                <w:rFonts w:ascii="Arial"/>
                <w:sz w:val="21"/>
              </w:rPr>
            </w:pPr>
            <w:r/>
          </w:p>
        </w:tc>
        <w:tc>
          <w:tcPr>
            <w:tcW w:w="512" w:type="dxa"/>
            <w:vAlign w:val="top"/>
          </w:tcPr>
          <w:p>
            <w:pPr>
              <w:rPr>
                <w:rFonts w:ascii="Arial"/>
                <w:sz w:val="21"/>
              </w:rPr>
            </w:pPr>
            <w:r/>
          </w:p>
        </w:tc>
        <w:tc>
          <w:tcPr>
            <w:tcW w:w="486" w:type="dxa"/>
            <w:vAlign w:val="top"/>
          </w:tcPr>
          <w:p>
            <w:pPr>
              <w:rPr>
                <w:rFonts w:ascii="Arial"/>
                <w:sz w:val="21"/>
              </w:rPr>
            </w:pPr>
            <w:r/>
          </w:p>
        </w:tc>
        <w:tc>
          <w:tcPr>
            <w:tcW w:w="650" w:type="dxa"/>
            <w:vAlign w:val="top"/>
          </w:tcPr>
          <w:p>
            <w:pPr>
              <w:rPr>
                <w:rFonts w:ascii="Arial"/>
                <w:sz w:val="21"/>
              </w:rPr>
            </w:pPr>
            <w:r/>
          </w:p>
        </w:tc>
        <w:tc>
          <w:tcPr>
            <w:tcW w:w="650" w:type="dxa"/>
            <w:vAlign w:val="top"/>
          </w:tcPr>
          <w:p>
            <w:pPr>
              <w:rPr>
                <w:rFonts w:ascii="Arial"/>
                <w:sz w:val="21"/>
              </w:rPr>
            </w:pPr>
            <w:r/>
          </w:p>
        </w:tc>
        <w:tc>
          <w:tcPr>
            <w:tcW w:w="650" w:type="dxa"/>
            <w:vAlign w:val="top"/>
          </w:tcPr>
          <w:p>
            <w:pPr>
              <w:rPr>
                <w:rFonts w:ascii="Arial"/>
                <w:sz w:val="21"/>
              </w:rPr>
            </w:pPr>
            <w:r/>
          </w:p>
        </w:tc>
        <w:tc>
          <w:tcPr>
            <w:tcW w:w="650" w:type="dxa"/>
            <w:vAlign w:val="top"/>
          </w:tcPr>
          <w:p>
            <w:pPr>
              <w:rPr>
                <w:rFonts w:ascii="Arial"/>
                <w:sz w:val="21"/>
              </w:rPr>
            </w:pPr>
            <w:r/>
          </w:p>
        </w:tc>
        <w:tc>
          <w:tcPr>
            <w:tcW w:w="650" w:type="dxa"/>
            <w:vAlign w:val="top"/>
          </w:tcPr>
          <w:p>
            <w:pPr>
              <w:rPr>
                <w:rFonts w:ascii="Arial"/>
                <w:sz w:val="21"/>
              </w:rPr>
            </w:pPr>
            <w:r/>
          </w:p>
        </w:tc>
        <w:tc>
          <w:tcPr>
            <w:tcW w:w="709" w:type="dxa"/>
            <w:vAlign w:val="top"/>
          </w:tcPr>
          <w:p>
            <w:pPr>
              <w:rPr>
                <w:rFonts w:ascii="Arial"/>
                <w:sz w:val="21"/>
              </w:rPr>
            </w:pPr>
            <w:r/>
          </w:p>
        </w:tc>
        <w:tc>
          <w:tcPr>
            <w:tcW w:w="479" w:type="dxa"/>
            <w:vAlign w:val="top"/>
          </w:tcPr>
          <w:p>
            <w:pPr>
              <w:rPr>
                <w:rFonts w:ascii="Arial"/>
                <w:sz w:val="21"/>
              </w:rPr>
            </w:pPr>
            <w:r/>
          </w:p>
        </w:tc>
        <w:tc>
          <w:tcPr>
            <w:tcW w:w="671" w:type="dxa"/>
            <w:vAlign w:val="top"/>
          </w:tcPr>
          <w:p>
            <w:pPr>
              <w:rPr>
                <w:rFonts w:ascii="Arial"/>
                <w:sz w:val="21"/>
              </w:rPr>
            </w:pPr>
            <w:r/>
          </w:p>
        </w:tc>
        <w:tc>
          <w:tcPr>
            <w:tcW w:w="466" w:type="dxa"/>
            <w:vAlign w:val="top"/>
          </w:tcPr>
          <w:p>
            <w:pPr>
              <w:rPr>
                <w:rFonts w:ascii="Arial"/>
                <w:sz w:val="21"/>
              </w:rPr>
            </w:pPr>
            <w:r/>
          </w:p>
        </w:tc>
        <w:tc>
          <w:tcPr>
            <w:tcW w:w="406" w:type="dxa"/>
            <w:vAlign w:val="top"/>
          </w:tcPr>
          <w:p>
            <w:pPr>
              <w:rPr>
                <w:rFonts w:ascii="Arial"/>
                <w:sz w:val="21"/>
              </w:rPr>
            </w:pPr>
            <w:r/>
          </w:p>
        </w:tc>
        <w:tc>
          <w:tcPr>
            <w:tcW w:w="660" w:type="dxa"/>
            <w:vAlign w:val="top"/>
          </w:tcPr>
          <w:p>
            <w:pPr>
              <w:rPr>
                <w:rFonts w:ascii="Arial"/>
                <w:sz w:val="21"/>
              </w:rPr>
            </w:pPr>
            <w:r/>
          </w:p>
        </w:tc>
        <w:tc>
          <w:tcPr>
            <w:tcW w:w="634" w:type="dxa"/>
            <w:vAlign w:val="top"/>
          </w:tcPr>
          <w:p>
            <w:pPr>
              <w:rPr>
                <w:rFonts w:ascii="Arial"/>
                <w:sz w:val="21"/>
              </w:rPr>
            </w:pPr>
            <w:r/>
          </w:p>
        </w:tc>
        <w:tc>
          <w:tcPr>
            <w:tcW w:w="593" w:type="dxa"/>
            <w:vAlign w:val="top"/>
          </w:tcPr>
          <w:p>
            <w:pPr>
              <w:rPr>
                <w:rFonts w:ascii="Arial"/>
                <w:sz w:val="21"/>
              </w:rPr>
            </w:pPr>
            <w:r/>
          </w:p>
        </w:tc>
        <w:tc>
          <w:tcPr>
            <w:tcW w:w="652" w:type="dxa"/>
            <w:vAlign w:val="top"/>
          </w:tcPr>
          <w:p>
            <w:pPr>
              <w:rPr>
                <w:rFonts w:ascii="Arial"/>
                <w:sz w:val="21"/>
              </w:rPr>
            </w:pPr>
            <w:r/>
          </w:p>
        </w:tc>
        <w:tc>
          <w:tcPr>
            <w:tcW w:w="558" w:type="dxa"/>
            <w:vAlign w:val="top"/>
            <w:tcBorders>
              <w:right w:val="single" w:color="000000" w:sz="6" w:space="0"/>
            </w:tcBorders>
          </w:tcPr>
          <w:p>
            <w:pPr>
              <w:rPr>
                <w:rFonts w:ascii="Arial"/>
                <w:sz w:val="21"/>
              </w:rPr>
            </w:pPr>
            <w:r/>
          </w:p>
        </w:tc>
      </w:tr>
      <w:tr>
        <w:trPr>
          <w:trHeight w:val="509" w:hRule="atLeast"/>
        </w:trPr>
        <w:tc>
          <w:tcPr>
            <w:tcW w:w="906" w:type="dxa"/>
            <w:vAlign w:val="top"/>
            <w:tcBorders>
              <w:left w:val="single" w:color="000000" w:sz="6" w:space="0"/>
            </w:tcBorders>
          </w:tcPr>
          <w:p>
            <w:pPr>
              <w:rPr>
                <w:rFonts w:ascii="Arial"/>
                <w:sz w:val="21"/>
              </w:rPr>
            </w:pPr>
            <w:r/>
          </w:p>
        </w:tc>
        <w:tc>
          <w:tcPr>
            <w:tcW w:w="755" w:type="dxa"/>
            <w:vAlign w:val="top"/>
          </w:tcPr>
          <w:p>
            <w:pPr>
              <w:rPr>
                <w:rFonts w:ascii="Arial"/>
                <w:sz w:val="21"/>
              </w:rPr>
            </w:pPr>
            <w:r/>
          </w:p>
        </w:tc>
        <w:tc>
          <w:tcPr>
            <w:tcW w:w="674" w:type="dxa"/>
            <w:vAlign w:val="top"/>
          </w:tcPr>
          <w:p>
            <w:pPr>
              <w:rPr>
                <w:rFonts w:ascii="Arial"/>
                <w:sz w:val="21"/>
              </w:rPr>
            </w:pPr>
            <w:r/>
          </w:p>
        </w:tc>
        <w:tc>
          <w:tcPr>
            <w:tcW w:w="500" w:type="dxa"/>
            <w:vAlign w:val="top"/>
          </w:tcPr>
          <w:p>
            <w:pPr>
              <w:rPr>
                <w:rFonts w:ascii="Arial"/>
                <w:sz w:val="21"/>
              </w:rPr>
            </w:pPr>
            <w:r/>
          </w:p>
        </w:tc>
        <w:tc>
          <w:tcPr>
            <w:tcW w:w="446" w:type="dxa"/>
            <w:vAlign w:val="top"/>
          </w:tcPr>
          <w:p>
            <w:pPr>
              <w:rPr>
                <w:rFonts w:ascii="Arial"/>
                <w:sz w:val="21"/>
              </w:rPr>
            </w:pPr>
            <w:r/>
          </w:p>
        </w:tc>
        <w:tc>
          <w:tcPr>
            <w:tcW w:w="539" w:type="dxa"/>
            <w:vAlign w:val="top"/>
          </w:tcPr>
          <w:p>
            <w:pPr>
              <w:rPr>
                <w:rFonts w:ascii="Arial"/>
                <w:sz w:val="21"/>
              </w:rPr>
            </w:pPr>
            <w:r/>
          </w:p>
        </w:tc>
        <w:tc>
          <w:tcPr>
            <w:tcW w:w="512" w:type="dxa"/>
            <w:vAlign w:val="top"/>
          </w:tcPr>
          <w:p>
            <w:pPr>
              <w:rPr>
                <w:rFonts w:ascii="Arial"/>
                <w:sz w:val="21"/>
              </w:rPr>
            </w:pPr>
            <w:r/>
          </w:p>
        </w:tc>
        <w:tc>
          <w:tcPr>
            <w:tcW w:w="486" w:type="dxa"/>
            <w:vAlign w:val="top"/>
          </w:tcPr>
          <w:p>
            <w:pPr>
              <w:rPr>
                <w:rFonts w:ascii="Arial"/>
                <w:sz w:val="21"/>
              </w:rPr>
            </w:pPr>
            <w:r/>
          </w:p>
        </w:tc>
        <w:tc>
          <w:tcPr>
            <w:tcW w:w="650" w:type="dxa"/>
            <w:vAlign w:val="top"/>
          </w:tcPr>
          <w:p>
            <w:pPr>
              <w:rPr>
                <w:rFonts w:ascii="Arial"/>
                <w:sz w:val="21"/>
              </w:rPr>
            </w:pPr>
            <w:r/>
          </w:p>
        </w:tc>
        <w:tc>
          <w:tcPr>
            <w:tcW w:w="650" w:type="dxa"/>
            <w:vAlign w:val="top"/>
          </w:tcPr>
          <w:p>
            <w:pPr>
              <w:rPr>
                <w:rFonts w:ascii="Arial"/>
                <w:sz w:val="21"/>
              </w:rPr>
            </w:pPr>
            <w:r/>
          </w:p>
        </w:tc>
        <w:tc>
          <w:tcPr>
            <w:tcW w:w="650" w:type="dxa"/>
            <w:vAlign w:val="top"/>
          </w:tcPr>
          <w:p>
            <w:pPr>
              <w:rPr>
                <w:rFonts w:ascii="Arial"/>
                <w:sz w:val="21"/>
              </w:rPr>
            </w:pPr>
            <w:r/>
          </w:p>
        </w:tc>
        <w:tc>
          <w:tcPr>
            <w:tcW w:w="650" w:type="dxa"/>
            <w:vAlign w:val="top"/>
          </w:tcPr>
          <w:p>
            <w:pPr>
              <w:rPr>
                <w:rFonts w:ascii="Arial"/>
                <w:sz w:val="21"/>
              </w:rPr>
            </w:pPr>
            <w:r/>
          </w:p>
        </w:tc>
        <w:tc>
          <w:tcPr>
            <w:tcW w:w="650" w:type="dxa"/>
            <w:vAlign w:val="top"/>
          </w:tcPr>
          <w:p>
            <w:pPr>
              <w:rPr>
                <w:rFonts w:ascii="Arial"/>
                <w:sz w:val="21"/>
              </w:rPr>
            </w:pPr>
            <w:r/>
          </w:p>
        </w:tc>
        <w:tc>
          <w:tcPr>
            <w:tcW w:w="709" w:type="dxa"/>
            <w:vAlign w:val="top"/>
          </w:tcPr>
          <w:p>
            <w:pPr>
              <w:rPr>
                <w:rFonts w:ascii="Arial"/>
                <w:sz w:val="21"/>
              </w:rPr>
            </w:pPr>
            <w:r/>
          </w:p>
        </w:tc>
        <w:tc>
          <w:tcPr>
            <w:tcW w:w="479" w:type="dxa"/>
            <w:vAlign w:val="top"/>
          </w:tcPr>
          <w:p>
            <w:pPr>
              <w:rPr>
                <w:rFonts w:ascii="Arial"/>
                <w:sz w:val="21"/>
              </w:rPr>
            </w:pPr>
            <w:r/>
          </w:p>
        </w:tc>
        <w:tc>
          <w:tcPr>
            <w:tcW w:w="671" w:type="dxa"/>
            <w:vAlign w:val="top"/>
          </w:tcPr>
          <w:p>
            <w:pPr>
              <w:rPr>
                <w:rFonts w:ascii="Arial"/>
                <w:sz w:val="21"/>
              </w:rPr>
            </w:pPr>
            <w:r/>
          </w:p>
        </w:tc>
        <w:tc>
          <w:tcPr>
            <w:tcW w:w="466" w:type="dxa"/>
            <w:vAlign w:val="top"/>
          </w:tcPr>
          <w:p>
            <w:pPr>
              <w:rPr>
                <w:rFonts w:ascii="Arial"/>
                <w:sz w:val="21"/>
              </w:rPr>
            </w:pPr>
            <w:r/>
          </w:p>
        </w:tc>
        <w:tc>
          <w:tcPr>
            <w:tcW w:w="406" w:type="dxa"/>
            <w:vAlign w:val="top"/>
          </w:tcPr>
          <w:p>
            <w:pPr>
              <w:rPr>
                <w:rFonts w:ascii="Arial"/>
                <w:sz w:val="21"/>
              </w:rPr>
            </w:pPr>
            <w:r/>
          </w:p>
        </w:tc>
        <w:tc>
          <w:tcPr>
            <w:tcW w:w="660" w:type="dxa"/>
            <w:vAlign w:val="top"/>
          </w:tcPr>
          <w:p>
            <w:pPr>
              <w:rPr>
                <w:rFonts w:ascii="Arial"/>
                <w:sz w:val="21"/>
              </w:rPr>
            </w:pPr>
            <w:r/>
          </w:p>
        </w:tc>
        <w:tc>
          <w:tcPr>
            <w:tcW w:w="634" w:type="dxa"/>
            <w:vAlign w:val="top"/>
          </w:tcPr>
          <w:p>
            <w:pPr>
              <w:rPr>
                <w:rFonts w:ascii="Arial"/>
                <w:sz w:val="21"/>
              </w:rPr>
            </w:pPr>
            <w:r/>
          </w:p>
        </w:tc>
        <w:tc>
          <w:tcPr>
            <w:tcW w:w="593" w:type="dxa"/>
            <w:vAlign w:val="top"/>
          </w:tcPr>
          <w:p>
            <w:pPr>
              <w:rPr>
                <w:rFonts w:ascii="Arial"/>
                <w:sz w:val="21"/>
              </w:rPr>
            </w:pPr>
            <w:r/>
          </w:p>
        </w:tc>
        <w:tc>
          <w:tcPr>
            <w:tcW w:w="652" w:type="dxa"/>
            <w:vAlign w:val="top"/>
          </w:tcPr>
          <w:p>
            <w:pPr>
              <w:rPr>
                <w:rFonts w:ascii="Arial"/>
                <w:sz w:val="21"/>
              </w:rPr>
            </w:pPr>
            <w:r/>
          </w:p>
        </w:tc>
        <w:tc>
          <w:tcPr>
            <w:tcW w:w="558" w:type="dxa"/>
            <w:vAlign w:val="top"/>
            <w:tcBorders>
              <w:right w:val="single" w:color="000000" w:sz="6" w:space="0"/>
            </w:tcBorders>
          </w:tcPr>
          <w:p>
            <w:pPr>
              <w:rPr>
                <w:rFonts w:ascii="Arial"/>
                <w:sz w:val="21"/>
              </w:rPr>
            </w:pPr>
            <w:r/>
          </w:p>
        </w:tc>
      </w:tr>
      <w:tr>
        <w:trPr>
          <w:trHeight w:val="521" w:hRule="atLeast"/>
        </w:trPr>
        <w:tc>
          <w:tcPr>
            <w:tcW w:w="906" w:type="dxa"/>
            <w:vAlign w:val="top"/>
            <w:tcBorders>
              <w:left w:val="single" w:color="000000" w:sz="6" w:space="0"/>
              <w:bottom w:val="single" w:color="000000" w:sz="6" w:space="0"/>
            </w:tcBorders>
          </w:tcPr>
          <w:p>
            <w:pPr>
              <w:rPr>
                <w:rFonts w:ascii="Arial"/>
                <w:sz w:val="21"/>
              </w:rPr>
            </w:pPr>
            <w:r/>
          </w:p>
        </w:tc>
        <w:tc>
          <w:tcPr>
            <w:tcW w:w="755" w:type="dxa"/>
            <w:vAlign w:val="top"/>
            <w:tcBorders>
              <w:bottom w:val="single" w:color="000000" w:sz="6" w:space="0"/>
            </w:tcBorders>
          </w:tcPr>
          <w:p>
            <w:pPr>
              <w:rPr>
                <w:rFonts w:ascii="Arial"/>
                <w:sz w:val="21"/>
              </w:rPr>
            </w:pPr>
            <w:r/>
          </w:p>
        </w:tc>
        <w:tc>
          <w:tcPr>
            <w:tcW w:w="674" w:type="dxa"/>
            <w:vAlign w:val="top"/>
            <w:tcBorders>
              <w:bottom w:val="single" w:color="000000" w:sz="6" w:space="0"/>
            </w:tcBorders>
          </w:tcPr>
          <w:p>
            <w:pPr>
              <w:rPr>
                <w:rFonts w:ascii="Arial"/>
                <w:sz w:val="21"/>
              </w:rPr>
            </w:pPr>
            <w:r/>
          </w:p>
        </w:tc>
        <w:tc>
          <w:tcPr>
            <w:tcW w:w="500" w:type="dxa"/>
            <w:vAlign w:val="top"/>
            <w:tcBorders>
              <w:bottom w:val="single" w:color="000000" w:sz="6" w:space="0"/>
            </w:tcBorders>
          </w:tcPr>
          <w:p>
            <w:pPr>
              <w:rPr>
                <w:rFonts w:ascii="Arial"/>
                <w:sz w:val="21"/>
              </w:rPr>
            </w:pPr>
            <w:r/>
          </w:p>
        </w:tc>
        <w:tc>
          <w:tcPr>
            <w:tcW w:w="446" w:type="dxa"/>
            <w:vAlign w:val="top"/>
            <w:tcBorders>
              <w:bottom w:val="single" w:color="000000" w:sz="6" w:space="0"/>
            </w:tcBorders>
          </w:tcPr>
          <w:p>
            <w:pPr>
              <w:rPr>
                <w:rFonts w:ascii="Arial"/>
                <w:sz w:val="21"/>
              </w:rPr>
            </w:pPr>
            <w:r/>
          </w:p>
        </w:tc>
        <w:tc>
          <w:tcPr>
            <w:tcW w:w="539" w:type="dxa"/>
            <w:vAlign w:val="top"/>
            <w:tcBorders>
              <w:bottom w:val="single" w:color="000000" w:sz="6" w:space="0"/>
            </w:tcBorders>
          </w:tcPr>
          <w:p>
            <w:pPr>
              <w:rPr>
                <w:rFonts w:ascii="Arial"/>
                <w:sz w:val="21"/>
              </w:rPr>
            </w:pPr>
            <w:r/>
          </w:p>
        </w:tc>
        <w:tc>
          <w:tcPr>
            <w:tcW w:w="512" w:type="dxa"/>
            <w:vAlign w:val="top"/>
            <w:tcBorders>
              <w:bottom w:val="single" w:color="000000" w:sz="6" w:space="0"/>
            </w:tcBorders>
          </w:tcPr>
          <w:p>
            <w:pPr>
              <w:rPr>
                <w:rFonts w:ascii="Arial"/>
                <w:sz w:val="21"/>
              </w:rPr>
            </w:pPr>
            <w:r/>
          </w:p>
        </w:tc>
        <w:tc>
          <w:tcPr>
            <w:tcW w:w="486" w:type="dxa"/>
            <w:vAlign w:val="top"/>
            <w:tcBorders>
              <w:bottom w:val="single" w:color="000000" w:sz="6" w:space="0"/>
            </w:tcBorders>
          </w:tcPr>
          <w:p>
            <w:pPr>
              <w:rPr>
                <w:rFonts w:ascii="Arial"/>
                <w:sz w:val="21"/>
              </w:rPr>
            </w:pPr>
            <w:r/>
          </w:p>
        </w:tc>
        <w:tc>
          <w:tcPr>
            <w:tcW w:w="650" w:type="dxa"/>
            <w:vAlign w:val="top"/>
            <w:tcBorders>
              <w:bottom w:val="single" w:color="000000" w:sz="6" w:space="0"/>
            </w:tcBorders>
          </w:tcPr>
          <w:p>
            <w:pPr>
              <w:rPr>
                <w:rFonts w:ascii="Arial"/>
                <w:sz w:val="21"/>
              </w:rPr>
            </w:pPr>
            <w:r/>
          </w:p>
        </w:tc>
        <w:tc>
          <w:tcPr>
            <w:tcW w:w="650" w:type="dxa"/>
            <w:vAlign w:val="top"/>
            <w:tcBorders>
              <w:bottom w:val="single" w:color="000000" w:sz="6" w:space="0"/>
            </w:tcBorders>
          </w:tcPr>
          <w:p>
            <w:pPr>
              <w:rPr>
                <w:rFonts w:ascii="Arial"/>
                <w:sz w:val="21"/>
              </w:rPr>
            </w:pPr>
            <w:r/>
          </w:p>
        </w:tc>
        <w:tc>
          <w:tcPr>
            <w:tcW w:w="650" w:type="dxa"/>
            <w:vAlign w:val="top"/>
            <w:tcBorders>
              <w:bottom w:val="single" w:color="000000" w:sz="6" w:space="0"/>
            </w:tcBorders>
          </w:tcPr>
          <w:p>
            <w:pPr>
              <w:rPr>
                <w:rFonts w:ascii="Arial"/>
                <w:sz w:val="21"/>
              </w:rPr>
            </w:pPr>
            <w:r/>
          </w:p>
        </w:tc>
        <w:tc>
          <w:tcPr>
            <w:tcW w:w="650" w:type="dxa"/>
            <w:vAlign w:val="top"/>
            <w:tcBorders>
              <w:bottom w:val="single" w:color="000000" w:sz="6" w:space="0"/>
            </w:tcBorders>
          </w:tcPr>
          <w:p>
            <w:pPr>
              <w:rPr>
                <w:rFonts w:ascii="Arial"/>
                <w:sz w:val="21"/>
              </w:rPr>
            </w:pPr>
            <w:r/>
          </w:p>
        </w:tc>
        <w:tc>
          <w:tcPr>
            <w:tcW w:w="650" w:type="dxa"/>
            <w:vAlign w:val="top"/>
            <w:tcBorders>
              <w:bottom w:val="single" w:color="000000" w:sz="6" w:space="0"/>
            </w:tcBorders>
          </w:tcPr>
          <w:p>
            <w:pPr>
              <w:rPr>
                <w:rFonts w:ascii="Arial"/>
                <w:sz w:val="21"/>
              </w:rPr>
            </w:pPr>
            <w:r/>
          </w:p>
        </w:tc>
        <w:tc>
          <w:tcPr>
            <w:tcW w:w="709" w:type="dxa"/>
            <w:vAlign w:val="top"/>
            <w:tcBorders>
              <w:bottom w:val="single" w:color="000000" w:sz="6" w:space="0"/>
            </w:tcBorders>
          </w:tcPr>
          <w:p>
            <w:pPr>
              <w:rPr>
                <w:rFonts w:ascii="Arial"/>
                <w:sz w:val="21"/>
              </w:rPr>
            </w:pPr>
            <w:r/>
          </w:p>
        </w:tc>
        <w:tc>
          <w:tcPr>
            <w:tcW w:w="479" w:type="dxa"/>
            <w:vAlign w:val="top"/>
            <w:tcBorders>
              <w:bottom w:val="single" w:color="000000" w:sz="6" w:space="0"/>
            </w:tcBorders>
          </w:tcPr>
          <w:p>
            <w:pPr>
              <w:rPr>
                <w:rFonts w:ascii="Arial"/>
                <w:sz w:val="21"/>
              </w:rPr>
            </w:pPr>
            <w:r/>
          </w:p>
        </w:tc>
        <w:tc>
          <w:tcPr>
            <w:tcW w:w="671" w:type="dxa"/>
            <w:vAlign w:val="top"/>
            <w:tcBorders>
              <w:bottom w:val="single" w:color="000000" w:sz="6" w:space="0"/>
            </w:tcBorders>
          </w:tcPr>
          <w:p>
            <w:pPr>
              <w:rPr>
                <w:rFonts w:ascii="Arial"/>
                <w:sz w:val="21"/>
              </w:rPr>
            </w:pPr>
            <w:r/>
          </w:p>
        </w:tc>
        <w:tc>
          <w:tcPr>
            <w:tcW w:w="466" w:type="dxa"/>
            <w:vAlign w:val="top"/>
            <w:tcBorders>
              <w:bottom w:val="single" w:color="000000" w:sz="6" w:space="0"/>
            </w:tcBorders>
          </w:tcPr>
          <w:p>
            <w:pPr>
              <w:rPr>
                <w:rFonts w:ascii="Arial"/>
                <w:sz w:val="21"/>
              </w:rPr>
            </w:pPr>
            <w:r/>
          </w:p>
        </w:tc>
        <w:tc>
          <w:tcPr>
            <w:tcW w:w="406" w:type="dxa"/>
            <w:vAlign w:val="top"/>
            <w:tcBorders>
              <w:bottom w:val="single" w:color="000000" w:sz="6" w:space="0"/>
            </w:tcBorders>
          </w:tcPr>
          <w:p>
            <w:pPr>
              <w:rPr>
                <w:rFonts w:ascii="Arial"/>
                <w:sz w:val="21"/>
              </w:rPr>
            </w:pPr>
            <w:r/>
          </w:p>
        </w:tc>
        <w:tc>
          <w:tcPr>
            <w:tcW w:w="660" w:type="dxa"/>
            <w:vAlign w:val="top"/>
            <w:tcBorders>
              <w:bottom w:val="single" w:color="000000" w:sz="6" w:space="0"/>
            </w:tcBorders>
          </w:tcPr>
          <w:p>
            <w:pPr>
              <w:rPr>
                <w:rFonts w:ascii="Arial"/>
                <w:sz w:val="21"/>
              </w:rPr>
            </w:pPr>
            <w:r/>
          </w:p>
        </w:tc>
        <w:tc>
          <w:tcPr>
            <w:tcW w:w="634" w:type="dxa"/>
            <w:vAlign w:val="top"/>
            <w:tcBorders>
              <w:bottom w:val="single" w:color="000000" w:sz="6" w:space="0"/>
            </w:tcBorders>
          </w:tcPr>
          <w:p>
            <w:pPr>
              <w:rPr>
                <w:rFonts w:ascii="Arial"/>
                <w:sz w:val="21"/>
              </w:rPr>
            </w:pPr>
            <w:r/>
          </w:p>
        </w:tc>
        <w:tc>
          <w:tcPr>
            <w:tcW w:w="593" w:type="dxa"/>
            <w:vAlign w:val="top"/>
            <w:tcBorders>
              <w:bottom w:val="single" w:color="000000" w:sz="6" w:space="0"/>
            </w:tcBorders>
          </w:tcPr>
          <w:p>
            <w:pPr>
              <w:rPr>
                <w:rFonts w:ascii="Arial"/>
                <w:sz w:val="21"/>
              </w:rPr>
            </w:pPr>
            <w:r/>
          </w:p>
        </w:tc>
        <w:tc>
          <w:tcPr>
            <w:tcW w:w="652" w:type="dxa"/>
            <w:vAlign w:val="top"/>
            <w:tcBorders>
              <w:bottom w:val="single" w:color="000000" w:sz="6" w:space="0"/>
            </w:tcBorders>
          </w:tcPr>
          <w:p>
            <w:pPr>
              <w:rPr>
                <w:rFonts w:ascii="Arial"/>
                <w:sz w:val="21"/>
              </w:rPr>
            </w:pPr>
            <w:r/>
          </w:p>
        </w:tc>
        <w:tc>
          <w:tcPr>
            <w:tcW w:w="558" w:type="dxa"/>
            <w:vAlign w:val="top"/>
            <w:tcBorders>
              <w:bottom w:val="single" w:color="000000" w:sz="6" w:space="0"/>
              <w:right w:val="single" w:color="000000" w:sz="6" w:space="0"/>
            </w:tcBorders>
          </w:tcPr>
          <w:p>
            <w:pPr>
              <w:rPr>
                <w:rFonts w:ascii="Arial"/>
                <w:sz w:val="21"/>
              </w:rPr>
            </w:pPr>
            <w:r/>
          </w:p>
        </w:tc>
      </w:tr>
    </w:tbl>
    <w:p>
      <w:pPr>
        <w:spacing w:line="199" w:lineRule="exact"/>
        <w:rPr>
          <w:rFonts w:ascii="Arial"/>
          <w:sz w:val="17"/>
        </w:rPr>
      </w:pPr>
      <w:r/>
    </w:p>
    <w:p>
      <w:pPr>
        <w:spacing w:line="199" w:lineRule="exact"/>
        <w:sectPr>
          <w:headerReference w:type="default" r:id="rId104"/>
          <w:footerReference w:type="default" r:id="rId105"/>
          <w:pgSz w:w="16839" w:h="11906"/>
          <w:pgMar w:top="1792" w:right="1463" w:bottom="1660" w:left="1463" w:header="1428" w:footer="1289" w:gutter="0"/>
        </w:sectPr>
        <w:rPr>
          <w:rFonts w:ascii="Arial" w:hAnsi="Arial" w:eastAsia="Arial" w:cs="Arial"/>
          <w:sz w:val="17"/>
          <w:szCs w:val="17"/>
        </w:rPr>
      </w:pPr>
    </w:p>
    <w:p>
      <w:pPr>
        <w:ind w:left="132"/>
        <w:spacing w:before="229" w:line="216" w:lineRule="exact"/>
        <w:rPr>
          <w:rFonts w:ascii="Microsoft YaHei" w:hAnsi="Microsoft YaHei" w:eastAsia="Microsoft YaHei" w:cs="Microsoft YaHei"/>
          <w:sz w:val="20"/>
          <w:szCs w:val="20"/>
        </w:rPr>
      </w:pPr>
      <w:r>
        <w:drawing>
          <wp:anchor distT="0" distB="0" distL="0" distR="0" simplePos="0" relativeHeight="251701248"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212" name="IM 212"/>
            <wp:cNvGraphicFramePr/>
            <a:graphic>
              <a:graphicData uri="http://schemas.openxmlformats.org/drawingml/2006/picture">
                <pic:pic>
                  <pic:nvPicPr>
                    <pic:cNvPr id="212" name="IM 212"/>
                    <pic:cNvPicPr/>
                  </pic:nvPicPr>
                  <pic:blipFill>
                    <a:blip r:embed="rId108"/>
                    <a:stretch>
                      <a:fillRect/>
                    </a:stretch>
                  </pic:blipFill>
                  <pic:spPr>
                    <a:xfrm rot="0">
                      <a:off x="0" y="0"/>
                      <a:ext cx="8712200" cy="7620"/>
                    </a:xfrm>
                    <a:prstGeom prst="rect">
                      <a:avLst/>
                    </a:prstGeom>
                  </pic:spPr>
                </pic:pic>
              </a:graphicData>
            </a:graphic>
          </wp:anchor>
        </w:drawing>
      </w:r>
      <w:r>
        <w:rPr>
          <w:rFonts w:ascii="Microsoft YaHei" w:hAnsi="Microsoft YaHei" w:eastAsia="Microsoft YaHei" w:cs="Microsoft YaHei"/>
          <w:sz w:val="20"/>
          <w:szCs w:val="20"/>
          <w:spacing w:val="8"/>
          <w:position w:val="-2"/>
        </w:rPr>
        <w:t>表十一</w:t>
      </w:r>
    </w:p>
    <w:p>
      <w:pPr>
        <w:pStyle w:val="BodyText"/>
        <w:ind w:left="3648"/>
        <w:spacing w:before="1" w:line="228" w:lineRule="auto"/>
        <w:rPr>
          <w:sz w:val="35"/>
          <w:szCs w:val="35"/>
        </w:rPr>
      </w:pPr>
      <w:r>
        <w:rPr>
          <w:sz w:val="35"/>
          <w:szCs w:val="35"/>
          <w:b/>
          <w:bCs/>
          <w:spacing w:val="3"/>
        </w:rPr>
        <w:t>固原市本级</w:t>
      </w:r>
      <w:r>
        <w:rPr>
          <w:sz w:val="35"/>
          <w:szCs w:val="35"/>
          <w:spacing w:val="-71"/>
        </w:rPr>
        <w:t xml:space="preserve"> </w:t>
      </w:r>
      <w:r>
        <w:rPr>
          <w:sz w:val="35"/>
          <w:szCs w:val="35"/>
          <w:b/>
          <w:bCs/>
          <w:spacing w:val="3"/>
        </w:rPr>
        <w:t>2021</w:t>
      </w:r>
      <w:r>
        <w:rPr>
          <w:sz w:val="35"/>
          <w:szCs w:val="35"/>
          <w:spacing w:val="-78"/>
        </w:rPr>
        <w:t xml:space="preserve"> </w:t>
      </w:r>
      <w:r>
        <w:rPr>
          <w:sz w:val="35"/>
          <w:szCs w:val="35"/>
          <w:b/>
          <w:bCs/>
          <w:spacing w:val="3"/>
        </w:rPr>
        <w:t>年政府性基金预算收支表</w:t>
      </w:r>
    </w:p>
    <w:p>
      <w:pPr>
        <w:pStyle w:val="BodyText"/>
        <w:ind w:left="12740"/>
        <w:spacing w:line="218" w:lineRule="auto"/>
        <w:rPr/>
      </w:pPr>
      <w:r>
        <w:rPr>
          <w:spacing w:val="9"/>
        </w:rPr>
        <w:t>单位：万元</w:t>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402"/>
        <w:gridCol w:w="956"/>
        <w:gridCol w:w="838"/>
        <w:gridCol w:w="1106"/>
        <w:gridCol w:w="4595"/>
        <w:gridCol w:w="1026"/>
        <w:gridCol w:w="868"/>
        <w:gridCol w:w="1105"/>
      </w:tblGrid>
      <w:tr>
        <w:trPr>
          <w:trHeight w:val="417" w:hRule="atLeast"/>
        </w:trPr>
        <w:tc>
          <w:tcPr>
            <w:tcW w:w="6302" w:type="dxa"/>
            <w:vAlign w:val="top"/>
            <w:gridSpan w:val="4"/>
            <w:tcBorders>
              <w:left w:val="single" w:color="000000" w:sz="6" w:space="0"/>
              <w:top w:val="single" w:color="000000" w:sz="6" w:space="0"/>
            </w:tcBorders>
          </w:tcPr>
          <w:p>
            <w:pPr>
              <w:pStyle w:val="TableText"/>
              <w:ind w:left="2953"/>
              <w:spacing w:before="129" w:line="214" w:lineRule="auto"/>
              <w:rPr>
                <w:sz w:val="19"/>
                <w:szCs w:val="19"/>
              </w:rPr>
            </w:pPr>
            <w:r>
              <w:rPr>
                <w:sz w:val="19"/>
                <w:szCs w:val="19"/>
                <w:b/>
                <w:bCs/>
                <w:spacing w:val="2"/>
              </w:rPr>
              <w:t>收入</w:t>
            </w:r>
          </w:p>
        </w:tc>
        <w:tc>
          <w:tcPr>
            <w:tcW w:w="7594" w:type="dxa"/>
            <w:vAlign w:val="top"/>
            <w:gridSpan w:val="4"/>
            <w:tcBorders>
              <w:right w:val="single" w:color="000000" w:sz="6" w:space="0"/>
              <w:top w:val="single" w:color="000000" w:sz="6" w:space="0"/>
            </w:tcBorders>
          </w:tcPr>
          <w:p>
            <w:pPr>
              <w:pStyle w:val="TableText"/>
              <w:ind w:left="3596"/>
              <w:spacing w:before="127" w:line="219" w:lineRule="auto"/>
              <w:rPr>
                <w:sz w:val="19"/>
                <w:szCs w:val="19"/>
              </w:rPr>
            </w:pPr>
            <w:r>
              <w:rPr>
                <w:sz w:val="19"/>
                <w:szCs w:val="19"/>
                <w:b/>
                <w:bCs/>
                <w:spacing w:val="5"/>
              </w:rPr>
              <w:t>支出</w:t>
            </w:r>
          </w:p>
        </w:tc>
      </w:tr>
      <w:tr>
        <w:trPr>
          <w:trHeight w:val="524" w:hRule="atLeast"/>
        </w:trPr>
        <w:tc>
          <w:tcPr>
            <w:tcW w:w="3402" w:type="dxa"/>
            <w:vAlign w:val="top"/>
            <w:tcBorders>
              <w:left w:val="single" w:color="000000" w:sz="6" w:space="0"/>
            </w:tcBorders>
          </w:tcPr>
          <w:p>
            <w:pPr>
              <w:pStyle w:val="TableText"/>
              <w:ind w:left="1496"/>
              <w:spacing w:before="183" w:line="212" w:lineRule="auto"/>
              <w:rPr>
                <w:sz w:val="19"/>
                <w:szCs w:val="19"/>
              </w:rPr>
            </w:pPr>
            <w:r>
              <w:rPr>
                <w:sz w:val="19"/>
                <w:szCs w:val="19"/>
                <w:b/>
                <w:bCs/>
                <w:spacing w:val="6"/>
              </w:rPr>
              <w:t>项目</w:t>
            </w:r>
          </w:p>
        </w:tc>
        <w:tc>
          <w:tcPr>
            <w:tcW w:w="956" w:type="dxa"/>
            <w:vAlign w:val="top"/>
          </w:tcPr>
          <w:p>
            <w:pPr>
              <w:pStyle w:val="TableText"/>
              <w:ind w:left="38" w:right="47" w:firstLine="35"/>
              <w:spacing w:before="34" w:line="233" w:lineRule="auto"/>
              <w:rPr>
                <w:sz w:val="19"/>
                <w:szCs w:val="19"/>
              </w:rPr>
            </w:pPr>
            <w:r>
              <w:rPr>
                <w:sz w:val="19"/>
                <w:szCs w:val="19"/>
                <w:b/>
                <w:bCs/>
                <w:spacing w:val="7"/>
              </w:rPr>
              <w:t>上年决算</w:t>
            </w:r>
            <w:r>
              <w:rPr>
                <w:sz w:val="19"/>
                <w:szCs w:val="19"/>
                <w:b/>
                <w:bCs/>
                <w:spacing w:val="-1"/>
              </w:rPr>
              <w:t>（执行)数</w:t>
            </w:r>
          </w:p>
        </w:tc>
        <w:tc>
          <w:tcPr>
            <w:tcW w:w="838" w:type="dxa"/>
            <w:vAlign w:val="top"/>
          </w:tcPr>
          <w:p>
            <w:pPr>
              <w:pStyle w:val="TableText"/>
              <w:ind w:left="118"/>
              <w:spacing w:before="178" w:line="221" w:lineRule="auto"/>
              <w:rPr>
                <w:sz w:val="19"/>
                <w:szCs w:val="19"/>
              </w:rPr>
            </w:pPr>
            <w:r>
              <w:rPr>
                <w:sz w:val="19"/>
                <w:szCs w:val="19"/>
                <w:b/>
                <w:bCs/>
                <w:spacing w:val="5"/>
              </w:rPr>
              <w:t>预算数</w:t>
            </w:r>
          </w:p>
        </w:tc>
        <w:tc>
          <w:tcPr>
            <w:tcW w:w="1106" w:type="dxa"/>
            <w:vAlign w:val="top"/>
          </w:tcPr>
          <w:p>
            <w:pPr>
              <w:pStyle w:val="TableText"/>
              <w:ind w:left="19" w:right="6" w:firstLine="2"/>
              <w:spacing w:before="34" w:line="233" w:lineRule="auto"/>
              <w:rPr>
                <w:sz w:val="19"/>
                <w:szCs w:val="19"/>
              </w:rPr>
            </w:pPr>
            <w:r>
              <w:rPr>
                <w:sz w:val="19"/>
                <w:szCs w:val="19"/>
                <w:b/>
                <w:bCs/>
                <w:spacing w:val="-15"/>
              </w:rPr>
              <w:t>预算数为决算</w:t>
            </w:r>
            <w:r>
              <w:rPr>
                <w:sz w:val="19"/>
                <w:szCs w:val="19"/>
                <w:b/>
                <w:bCs/>
                <w:spacing w:val="-2"/>
              </w:rPr>
              <w:t>（执行）数%</w:t>
            </w:r>
          </w:p>
        </w:tc>
        <w:tc>
          <w:tcPr>
            <w:tcW w:w="4595" w:type="dxa"/>
            <w:vAlign w:val="top"/>
          </w:tcPr>
          <w:p>
            <w:pPr>
              <w:pStyle w:val="TableText"/>
              <w:ind w:left="2097"/>
              <w:spacing w:before="183" w:line="212" w:lineRule="auto"/>
              <w:rPr>
                <w:sz w:val="19"/>
                <w:szCs w:val="19"/>
              </w:rPr>
            </w:pPr>
            <w:r>
              <w:rPr>
                <w:sz w:val="19"/>
                <w:szCs w:val="19"/>
                <w:b/>
                <w:bCs/>
                <w:spacing w:val="6"/>
              </w:rPr>
              <w:t>项目</w:t>
            </w:r>
          </w:p>
        </w:tc>
        <w:tc>
          <w:tcPr>
            <w:tcW w:w="1026" w:type="dxa"/>
            <w:vAlign w:val="top"/>
          </w:tcPr>
          <w:p>
            <w:pPr>
              <w:pStyle w:val="TableText"/>
              <w:ind w:left="81" w:right="73" w:firstLine="35"/>
              <w:spacing w:before="34" w:line="233" w:lineRule="auto"/>
              <w:rPr>
                <w:sz w:val="19"/>
                <w:szCs w:val="19"/>
              </w:rPr>
            </w:pPr>
            <w:r>
              <w:rPr>
                <w:sz w:val="19"/>
                <w:szCs w:val="19"/>
                <w:b/>
                <w:bCs/>
                <w:spacing w:val="7"/>
              </w:rPr>
              <w:t>上年决算</w:t>
            </w:r>
            <w:r>
              <w:rPr>
                <w:sz w:val="19"/>
                <w:szCs w:val="19"/>
                <w:b/>
                <w:bCs/>
                <w:spacing w:val="-1"/>
              </w:rPr>
              <w:t>（执行)数</w:t>
            </w:r>
          </w:p>
        </w:tc>
        <w:tc>
          <w:tcPr>
            <w:tcW w:w="868" w:type="dxa"/>
            <w:vAlign w:val="top"/>
          </w:tcPr>
          <w:p>
            <w:pPr>
              <w:pStyle w:val="TableText"/>
              <w:ind w:left="142"/>
              <w:spacing w:before="178" w:line="221" w:lineRule="auto"/>
              <w:rPr>
                <w:sz w:val="19"/>
                <w:szCs w:val="19"/>
              </w:rPr>
            </w:pPr>
            <w:r>
              <w:rPr>
                <w:sz w:val="19"/>
                <w:szCs w:val="19"/>
                <w:b/>
                <w:bCs/>
                <w:spacing w:val="5"/>
              </w:rPr>
              <w:t>预算数</w:t>
            </w:r>
          </w:p>
        </w:tc>
        <w:tc>
          <w:tcPr>
            <w:tcW w:w="1105" w:type="dxa"/>
            <w:vAlign w:val="top"/>
            <w:tcBorders>
              <w:right w:val="single" w:color="000000" w:sz="6" w:space="0"/>
            </w:tcBorders>
          </w:tcPr>
          <w:p>
            <w:pPr>
              <w:pStyle w:val="TableText"/>
              <w:ind w:left="22" w:right="13" w:firstLine="16"/>
              <w:spacing w:before="34" w:line="233" w:lineRule="auto"/>
              <w:rPr>
                <w:sz w:val="19"/>
                <w:szCs w:val="19"/>
              </w:rPr>
            </w:pPr>
            <w:r>
              <w:rPr>
                <w:sz w:val="19"/>
                <w:szCs w:val="19"/>
                <w:b/>
                <w:bCs/>
                <w:spacing w:val="-19"/>
              </w:rPr>
              <w:t>预算数为决算</w:t>
            </w:r>
            <w:r>
              <w:rPr>
                <w:sz w:val="19"/>
                <w:szCs w:val="19"/>
                <w:b/>
                <w:bCs/>
                <w:spacing w:val="-2"/>
              </w:rPr>
              <w:t>（执行）数%</w:t>
            </w:r>
          </w:p>
        </w:tc>
      </w:tr>
      <w:tr>
        <w:trPr>
          <w:trHeight w:val="304" w:hRule="atLeast"/>
        </w:trPr>
        <w:tc>
          <w:tcPr>
            <w:tcW w:w="3402" w:type="dxa"/>
            <w:vAlign w:val="top"/>
            <w:tcBorders>
              <w:left w:val="single" w:color="000000" w:sz="6" w:space="0"/>
            </w:tcBorders>
          </w:tcPr>
          <w:p>
            <w:pPr>
              <w:pStyle w:val="TableText"/>
              <w:ind w:left="16"/>
              <w:spacing w:before="68" w:line="219" w:lineRule="auto"/>
              <w:rPr>
                <w:sz w:val="19"/>
                <w:szCs w:val="19"/>
              </w:rPr>
            </w:pPr>
            <w:r>
              <w:rPr>
                <w:sz w:val="19"/>
                <w:szCs w:val="19"/>
                <w:spacing w:val="9"/>
              </w:rPr>
              <w:t>一、农网还贷资金收入</w:t>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14"/>
              <w:spacing w:before="67" w:line="220" w:lineRule="auto"/>
              <w:rPr>
                <w:sz w:val="19"/>
                <w:szCs w:val="19"/>
              </w:rPr>
            </w:pPr>
            <w:r>
              <w:rPr>
                <w:sz w:val="19"/>
                <w:szCs w:val="19"/>
                <w:spacing w:val="9"/>
              </w:rPr>
              <w:t>一、文化旅游体育与传媒支出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484" w:hRule="atLeast"/>
        </w:trPr>
        <w:tc>
          <w:tcPr>
            <w:tcW w:w="3402" w:type="dxa"/>
            <w:vAlign w:val="top"/>
            <w:tcBorders>
              <w:left w:val="single" w:color="000000" w:sz="6" w:space="0"/>
            </w:tcBorders>
          </w:tcPr>
          <w:p>
            <w:pPr>
              <w:pStyle w:val="TableText"/>
              <w:ind w:left="22" w:right="15" w:hanging="6"/>
              <w:spacing w:before="21" w:line="220" w:lineRule="auto"/>
              <w:rPr>
                <w:sz w:val="19"/>
                <w:szCs w:val="19"/>
              </w:rPr>
            </w:pPr>
            <w:r>
              <w:rPr>
                <w:sz w:val="19"/>
                <w:szCs w:val="19"/>
                <w:spacing w:val="7"/>
              </w:rPr>
              <w:t>二、海南省高等级公路车辆通行附加费</w:t>
            </w:r>
            <w:r>
              <w:rPr>
                <w:sz w:val="19"/>
                <w:szCs w:val="19"/>
                <w:spacing w:val="3"/>
              </w:rPr>
              <w:t>收入</w:t>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334"/>
              <w:spacing w:before="158" w:line="224" w:lineRule="auto"/>
              <w:rPr>
                <w:sz w:val="19"/>
                <w:szCs w:val="19"/>
              </w:rPr>
            </w:pPr>
            <w:r>
              <w:rPr>
                <w:sz w:val="19"/>
                <w:szCs w:val="19"/>
                <w:spacing w:val="8"/>
              </w:rPr>
              <w:t>国家电影事业发展专项资金安排的支出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04" w:hRule="atLeast"/>
        </w:trPr>
        <w:tc>
          <w:tcPr>
            <w:tcW w:w="3402" w:type="dxa"/>
            <w:vAlign w:val="top"/>
            <w:tcBorders>
              <w:left w:val="single" w:color="000000" w:sz="6" w:space="0"/>
            </w:tcBorders>
          </w:tcPr>
          <w:p>
            <w:pPr>
              <w:pStyle w:val="TableText"/>
              <w:ind w:left="19"/>
              <w:spacing w:before="68" w:line="219" w:lineRule="auto"/>
              <w:rPr>
                <w:sz w:val="19"/>
                <w:szCs w:val="19"/>
              </w:rPr>
            </w:pPr>
            <w:r>
              <w:rPr>
                <w:sz w:val="19"/>
                <w:szCs w:val="19"/>
                <w:spacing w:val="9"/>
              </w:rPr>
              <w:t>三、港口建设费收入</w:t>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313"/>
              <w:spacing w:before="71" w:line="216" w:lineRule="auto"/>
              <w:rPr>
                <w:sz w:val="19"/>
                <w:szCs w:val="19"/>
              </w:rPr>
            </w:pPr>
            <w:r>
              <w:rPr>
                <w:sz w:val="19"/>
                <w:szCs w:val="19"/>
                <w:spacing w:val="9"/>
              </w:rPr>
              <w:t>旅游发展基金支出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484" w:hRule="atLeast"/>
        </w:trPr>
        <w:tc>
          <w:tcPr>
            <w:tcW w:w="3402" w:type="dxa"/>
            <w:vAlign w:val="top"/>
            <w:tcBorders>
              <w:left w:val="single" w:color="000000" w:sz="6" w:space="0"/>
            </w:tcBorders>
          </w:tcPr>
          <w:p>
            <w:pPr>
              <w:pStyle w:val="TableText"/>
              <w:ind w:left="36"/>
              <w:spacing w:before="161" w:line="223" w:lineRule="auto"/>
              <w:rPr>
                <w:sz w:val="19"/>
                <w:szCs w:val="19"/>
              </w:rPr>
            </w:pPr>
            <w:r>
              <w:rPr>
                <w:sz w:val="19"/>
                <w:szCs w:val="19"/>
                <w:spacing w:val="8"/>
              </w:rPr>
              <w:t>四、国家电影事业发展专项资金收入</w:t>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15" w:right="143" w:firstLine="318"/>
              <w:spacing w:before="23" w:line="219" w:lineRule="auto"/>
              <w:rPr>
                <w:sz w:val="19"/>
                <w:szCs w:val="19"/>
              </w:rPr>
            </w:pPr>
            <w:r>
              <w:rPr>
                <w:sz w:val="19"/>
                <w:szCs w:val="19"/>
                <w:spacing w:val="-12"/>
              </w:rPr>
              <w:t>国家电影事业发展专项资金对应专项债务收入安排的</w:t>
            </w:r>
            <w:r>
              <w:rPr>
                <w:sz w:val="19"/>
                <w:szCs w:val="19"/>
                <w:spacing w:val="-1"/>
              </w:rPr>
              <w:t>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04" w:hRule="atLeast"/>
        </w:trPr>
        <w:tc>
          <w:tcPr>
            <w:tcW w:w="3402" w:type="dxa"/>
            <w:vAlign w:val="top"/>
            <w:tcBorders>
              <w:left w:val="single" w:color="000000" w:sz="6" w:space="0"/>
            </w:tcBorders>
          </w:tcPr>
          <w:p>
            <w:pPr>
              <w:pStyle w:val="TableText"/>
              <w:ind w:left="20"/>
              <w:spacing w:before="76" w:line="211" w:lineRule="auto"/>
              <w:rPr>
                <w:sz w:val="19"/>
                <w:szCs w:val="19"/>
              </w:rPr>
            </w:pPr>
            <w:r>
              <w:rPr>
                <w:sz w:val="19"/>
                <w:szCs w:val="19"/>
                <w:spacing w:val="9"/>
              </w:rPr>
              <w:t>五、国有土地收益基金收入</w:t>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14"/>
              <w:spacing w:before="72" w:line="215" w:lineRule="auto"/>
              <w:rPr>
                <w:sz w:val="19"/>
                <w:szCs w:val="19"/>
              </w:rPr>
            </w:pPr>
            <w:r>
              <w:rPr>
                <w:sz w:val="19"/>
                <w:szCs w:val="19"/>
                <w:spacing w:val="9"/>
              </w:rPr>
              <w:t>二、社会保障和就业支出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04" w:hRule="atLeast"/>
        </w:trPr>
        <w:tc>
          <w:tcPr>
            <w:tcW w:w="3402" w:type="dxa"/>
            <w:vAlign w:val="top"/>
            <w:tcBorders>
              <w:left w:val="single" w:color="000000" w:sz="6" w:space="0"/>
            </w:tcBorders>
          </w:tcPr>
          <w:p>
            <w:pPr>
              <w:pStyle w:val="TableText"/>
              <w:ind w:left="15"/>
              <w:spacing w:before="73" w:line="214" w:lineRule="auto"/>
              <w:rPr>
                <w:sz w:val="19"/>
                <w:szCs w:val="19"/>
              </w:rPr>
            </w:pPr>
            <w:r>
              <w:rPr>
                <w:sz w:val="19"/>
                <w:szCs w:val="19"/>
                <w:spacing w:val="9"/>
              </w:rPr>
              <w:t>六、农业土地开发资金收入</w:t>
            </w:r>
          </w:p>
        </w:tc>
        <w:tc>
          <w:tcPr>
            <w:tcW w:w="956" w:type="dxa"/>
            <w:vAlign w:val="top"/>
          </w:tcPr>
          <w:p>
            <w:pPr>
              <w:pStyle w:val="TableText"/>
              <w:ind w:right="15"/>
              <w:spacing w:before="69" w:line="218" w:lineRule="auto"/>
              <w:jc w:val="right"/>
              <w:rPr>
                <w:sz w:val="19"/>
                <w:szCs w:val="19"/>
              </w:rPr>
            </w:pPr>
            <w:r>
              <w:rPr>
                <w:sz w:val="19"/>
                <w:szCs w:val="19"/>
                <w:spacing w:val="-4"/>
              </w:rPr>
              <w:t>137</w:t>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419"/>
              <w:spacing w:before="73" w:line="214" w:lineRule="auto"/>
              <w:rPr>
                <w:sz w:val="19"/>
                <w:szCs w:val="19"/>
              </w:rPr>
            </w:pPr>
            <w:r>
              <w:rPr>
                <w:sz w:val="19"/>
                <w:szCs w:val="19"/>
                <w:spacing w:val="9"/>
              </w:rPr>
              <w:t>大中型水库移民后期扶持基金支出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04" w:hRule="atLeast"/>
        </w:trPr>
        <w:tc>
          <w:tcPr>
            <w:tcW w:w="3402" w:type="dxa"/>
            <w:vAlign w:val="top"/>
            <w:tcBorders>
              <w:left w:val="single" w:color="000000" w:sz="6" w:space="0"/>
            </w:tcBorders>
          </w:tcPr>
          <w:p>
            <w:pPr>
              <w:pStyle w:val="TableText"/>
              <w:ind w:left="15"/>
              <w:spacing w:before="73" w:line="214" w:lineRule="auto"/>
              <w:rPr>
                <w:sz w:val="19"/>
                <w:szCs w:val="19"/>
              </w:rPr>
            </w:pPr>
            <w:r>
              <w:rPr>
                <w:sz w:val="19"/>
                <w:szCs w:val="19"/>
                <w:spacing w:val="9"/>
              </w:rPr>
              <w:t>七、国有土地使用权出让收入</w:t>
            </w:r>
          </w:p>
        </w:tc>
        <w:tc>
          <w:tcPr>
            <w:tcW w:w="956" w:type="dxa"/>
            <w:vAlign w:val="top"/>
          </w:tcPr>
          <w:p>
            <w:pPr>
              <w:pStyle w:val="TableText"/>
              <w:ind w:right="15"/>
              <w:spacing w:before="70" w:line="217" w:lineRule="auto"/>
              <w:jc w:val="right"/>
              <w:rPr>
                <w:sz w:val="19"/>
                <w:szCs w:val="19"/>
              </w:rPr>
            </w:pPr>
            <w:r>
              <w:rPr>
                <w:sz w:val="19"/>
                <w:szCs w:val="19"/>
                <w:spacing w:val="3"/>
              </w:rPr>
              <w:t>44110</w:t>
            </w:r>
          </w:p>
        </w:tc>
        <w:tc>
          <w:tcPr>
            <w:tcW w:w="838" w:type="dxa"/>
            <w:vAlign w:val="top"/>
          </w:tcPr>
          <w:p>
            <w:pPr>
              <w:pStyle w:val="TableText"/>
              <w:ind w:right="16"/>
              <w:spacing w:before="70" w:line="217" w:lineRule="auto"/>
              <w:jc w:val="right"/>
              <w:rPr>
                <w:sz w:val="19"/>
                <w:szCs w:val="19"/>
              </w:rPr>
            </w:pPr>
            <w:r>
              <w:rPr>
                <w:sz w:val="19"/>
                <w:szCs w:val="19"/>
              </w:rPr>
              <w:t>100000</w:t>
            </w:r>
          </w:p>
        </w:tc>
        <w:tc>
          <w:tcPr>
            <w:tcW w:w="1106" w:type="dxa"/>
            <w:vAlign w:val="top"/>
          </w:tcPr>
          <w:p>
            <w:pPr>
              <w:rPr>
                <w:rFonts w:ascii="Arial"/>
                <w:sz w:val="21"/>
              </w:rPr>
            </w:pPr>
            <w:r/>
          </w:p>
        </w:tc>
        <w:tc>
          <w:tcPr>
            <w:tcW w:w="4595" w:type="dxa"/>
            <w:vAlign w:val="top"/>
          </w:tcPr>
          <w:p>
            <w:pPr>
              <w:pStyle w:val="TableText"/>
              <w:ind w:left="415"/>
              <w:spacing w:before="73" w:line="214" w:lineRule="auto"/>
              <w:rPr>
                <w:sz w:val="19"/>
                <w:szCs w:val="19"/>
              </w:rPr>
            </w:pPr>
            <w:r>
              <w:rPr>
                <w:sz w:val="19"/>
                <w:szCs w:val="19"/>
                <w:spacing w:val="9"/>
              </w:rPr>
              <w:t>小型水库移民扶助基金安排的支出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484" w:hRule="atLeast"/>
        </w:trPr>
        <w:tc>
          <w:tcPr>
            <w:tcW w:w="3402" w:type="dxa"/>
            <w:vAlign w:val="top"/>
            <w:tcBorders>
              <w:left w:val="single" w:color="000000" w:sz="6" w:space="0"/>
            </w:tcBorders>
          </w:tcPr>
          <w:p>
            <w:pPr>
              <w:pStyle w:val="TableText"/>
              <w:ind w:left="13"/>
              <w:spacing w:before="165" w:line="221" w:lineRule="auto"/>
              <w:rPr>
                <w:sz w:val="19"/>
                <w:szCs w:val="19"/>
              </w:rPr>
            </w:pPr>
            <w:r>
              <w:rPr>
                <w:sz w:val="19"/>
                <w:szCs w:val="19"/>
                <w:spacing w:val="9"/>
              </w:rPr>
              <w:t>八、大中型水库库区基金收入</w:t>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30" w:right="176" w:firstLine="385"/>
              <w:spacing w:before="27" w:line="217" w:lineRule="auto"/>
              <w:rPr>
                <w:sz w:val="19"/>
                <w:szCs w:val="19"/>
              </w:rPr>
            </w:pPr>
            <w:r>
              <w:rPr>
                <w:sz w:val="19"/>
                <w:szCs w:val="19"/>
                <w:spacing w:val="9"/>
              </w:rPr>
              <w:t>小型水库移民扶助基金对应专项债务收入安排</w:t>
            </w:r>
            <w:r>
              <w:rPr>
                <w:sz w:val="19"/>
                <w:szCs w:val="19"/>
                <w:spacing w:val="3"/>
              </w:rPr>
              <w:t>的支出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04" w:hRule="atLeast"/>
        </w:trPr>
        <w:tc>
          <w:tcPr>
            <w:tcW w:w="3402" w:type="dxa"/>
            <w:vAlign w:val="top"/>
            <w:tcBorders>
              <w:left w:val="single" w:color="000000" w:sz="6" w:space="0"/>
            </w:tcBorders>
          </w:tcPr>
          <w:p>
            <w:pPr>
              <w:pStyle w:val="TableText"/>
              <w:ind w:left="18"/>
              <w:spacing w:before="78" w:line="209" w:lineRule="auto"/>
              <w:rPr>
                <w:sz w:val="19"/>
                <w:szCs w:val="19"/>
              </w:rPr>
            </w:pPr>
            <w:r>
              <w:rPr>
                <w:sz w:val="19"/>
                <w:szCs w:val="19"/>
                <w:spacing w:val="9"/>
              </w:rPr>
              <w:t>九、彩票公益金收入</w:t>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17"/>
              <w:spacing w:before="77" w:line="210" w:lineRule="auto"/>
              <w:rPr>
                <w:sz w:val="19"/>
                <w:szCs w:val="19"/>
              </w:rPr>
            </w:pPr>
            <w:r>
              <w:rPr>
                <w:sz w:val="19"/>
                <w:szCs w:val="19"/>
                <w:spacing w:val="8"/>
              </w:rPr>
              <w:t>三、节能环保支出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04" w:hRule="atLeast"/>
        </w:trPr>
        <w:tc>
          <w:tcPr>
            <w:tcW w:w="3402" w:type="dxa"/>
            <w:vAlign w:val="top"/>
            <w:tcBorders>
              <w:left w:val="single" w:color="000000" w:sz="6" w:space="0"/>
            </w:tcBorders>
          </w:tcPr>
          <w:p>
            <w:pPr>
              <w:pStyle w:val="TableText"/>
              <w:ind w:left="22"/>
              <w:spacing w:before="77" w:line="210" w:lineRule="auto"/>
              <w:rPr>
                <w:sz w:val="19"/>
                <w:szCs w:val="19"/>
              </w:rPr>
            </w:pPr>
            <w:r>
              <w:rPr>
                <w:sz w:val="19"/>
                <w:szCs w:val="19"/>
                <w:spacing w:val="9"/>
              </w:rPr>
              <w:t>十、城市基础设施配套费收入</w:t>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417"/>
              <w:spacing w:before="79" w:line="208" w:lineRule="auto"/>
              <w:rPr>
                <w:sz w:val="19"/>
                <w:szCs w:val="19"/>
              </w:rPr>
            </w:pPr>
            <w:r>
              <w:rPr>
                <w:sz w:val="19"/>
                <w:szCs w:val="19"/>
                <w:spacing w:val="9"/>
              </w:rPr>
              <w:t>可再生能源电价附加收入安排的支出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04" w:hRule="atLeast"/>
        </w:trPr>
        <w:tc>
          <w:tcPr>
            <w:tcW w:w="3402" w:type="dxa"/>
            <w:vAlign w:val="top"/>
            <w:tcBorders>
              <w:left w:val="single" w:color="000000" w:sz="6" w:space="0"/>
            </w:tcBorders>
          </w:tcPr>
          <w:p>
            <w:pPr>
              <w:pStyle w:val="TableText"/>
              <w:ind w:left="22"/>
              <w:spacing w:before="77" w:line="210" w:lineRule="auto"/>
              <w:rPr>
                <w:sz w:val="19"/>
                <w:szCs w:val="19"/>
              </w:rPr>
            </w:pPr>
            <w:r>
              <w:rPr>
                <w:sz w:val="19"/>
                <w:szCs w:val="19"/>
                <w:spacing w:val="9"/>
              </w:rPr>
              <w:t>十一、小型水库移民扶助基金收入</w:t>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413"/>
              <w:spacing w:before="74" w:line="213" w:lineRule="auto"/>
              <w:rPr>
                <w:sz w:val="19"/>
                <w:szCs w:val="19"/>
              </w:rPr>
            </w:pPr>
            <w:r>
              <w:rPr>
                <w:sz w:val="19"/>
                <w:szCs w:val="19"/>
                <w:spacing w:val="9"/>
              </w:rPr>
              <w:t>废弃电器电子产品处理基金支出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04" w:hRule="atLeast"/>
        </w:trPr>
        <w:tc>
          <w:tcPr>
            <w:tcW w:w="3402" w:type="dxa"/>
            <w:vAlign w:val="top"/>
            <w:tcBorders>
              <w:left w:val="single" w:color="000000" w:sz="6" w:space="0"/>
            </w:tcBorders>
          </w:tcPr>
          <w:p>
            <w:pPr>
              <w:pStyle w:val="TableText"/>
              <w:ind w:left="22"/>
              <w:spacing w:before="76" w:line="211" w:lineRule="auto"/>
              <w:rPr>
                <w:sz w:val="19"/>
                <w:szCs w:val="19"/>
              </w:rPr>
            </w:pPr>
            <w:r>
              <w:rPr>
                <w:sz w:val="19"/>
                <w:szCs w:val="19"/>
                <w:spacing w:val="6"/>
              </w:rPr>
              <w:t>十二、国家重大水利工程建设基金收入</w:t>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34"/>
              <w:spacing w:before="79" w:line="208" w:lineRule="auto"/>
              <w:rPr>
                <w:sz w:val="19"/>
                <w:szCs w:val="19"/>
              </w:rPr>
            </w:pPr>
            <w:r>
              <w:rPr>
                <w:sz w:val="19"/>
                <w:szCs w:val="19"/>
                <w:spacing w:val="6"/>
              </w:rPr>
              <w:t>四、城乡社区支出</w:t>
            </w:r>
          </w:p>
        </w:tc>
        <w:tc>
          <w:tcPr>
            <w:tcW w:w="1026" w:type="dxa"/>
            <w:vAlign w:val="top"/>
          </w:tcPr>
          <w:p>
            <w:pPr>
              <w:pStyle w:val="TableText"/>
              <w:ind w:right="8"/>
              <w:spacing w:before="74" w:line="213" w:lineRule="auto"/>
              <w:jc w:val="right"/>
              <w:rPr>
                <w:sz w:val="19"/>
                <w:szCs w:val="19"/>
              </w:rPr>
            </w:pPr>
            <w:r>
              <w:rPr>
                <w:sz w:val="19"/>
                <w:szCs w:val="19"/>
                <w:spacing w:val="1"/>
              </w:rPr>
              <w:t>39017</w:t>
            </w:r>
          </w:p>
        </w:tc>
        <w:tc>
          <w:tcPr>
            <w:tcW w:w="868" w:type="dxa"/>
            <w:vAlign w:val="top"/>
          </w:tcPr>
          <w:p>
            <w:pPr>
              <w:pStyle w:val="TableText"/>
              <w:ind w:right="5"/>
              <w:spacing w:before="74" w:line="213" w:lineRule="auto"/>
              <w:jc w:val="right"/>
              <w:rPr>
                <w:sz w:val="19"/>
                <w:szCs w:val="19"/>
              </w:rPr>
            </w:pPr>
            <w:r>
              <w:rPr>
                <w:sz w:val="19"/>
                <w:szCs w:val="19"/>
                <w:spacing w:val="2"/>
              </w:rPr>
              <w:t>82345</w:t>
            </w:r>
          </w:p>
        </w:tc>
        <w:tc>
          <w:tcPr>
            <w:tcW w:w="1105" w:type="dxa"/>
            <w:vAlign w:val="top"/>
            <w:tcBorders>
              <w:right w:val="single" w:color="000000" w:sz="6" w:space="0"/>
            </w:tcBorders>
          </w:tcPr>
          <w:p>
            <w:pPr>
              <w:rPr>
                <w:rFonts w:ascii="Arial"/>
                <w:sz w:val="21"/>
              </w:rPr>
            </w:pPr>
            <w:r/>
          </w:p>
        </w:tc>
      </w:tr>
      <w:tr>
        <w:trPr>
          <w:trHeight w:val="304" w:hRule="atLeast"/>
        </w:trPr>
        <w:tc>
          <w:tcPr>
            <w:tcW w:w="3402" w:type="dxa"/>
            <w:vAlign w:val="top"/>
            <w:tcBorders>
              <w:left w:val="single" w:color="000000" w:sz="6" w:space="0"/>
            </w:tcBorders>
          </w:tcPr>
          <w:p>
            <w:pPr>
              <w:pStyle w:val="TableText"/>
              <w:ind w:left="22"/>
              <w:spacing w:before="81" w:line="206" w:lineRule="auto"/>
              <w:rPr>
                <w:sz w:val="19"/>
                <w:szCs w:val="19"/>
              </w:rPr>
            </w:pPr>
            <w:r>
              <w:rPr>
                <w:sz w:val="19"/>
                <w:szCs w:val="19"/>
                <w:spacing w:val="8"/>
              </w:rPr>
              <w:t>十三、车辆通行费</w:t>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434"/>
              <w:spacing w:before="80" w:line="207" w:lineRule="auto"/>
              <w:rPr>
                <w:sz w:val="19"/>
                <w:szCs w:val="19"/>
              </w:rPr>
            </w:pPr>
            <w:r>
              <w:rPr>
                <w:sz w:val="19"/>
                <w:szCs w:val="19"/>
                <w:spacing w:val="8"/>
              </w:rPr>
              <w:t>国有土地使用权出让收入安排的支出</w:t>
            </w:r>
          </w:p>
        </w:tc>
        <w:tc>
          <w:tcPr>
            <w:tcW w:w="1026" w:type="dxa"/>
            <w:vAlign w:val="top"/>
          </w:tcPr>
          <w:p>
            <w:pPr>
              <w:pStyle w:val="TableText"/>
              <w:ind w:right="8"/>
              <w:spacing w:before="77" w:line="210" w:lineRule="auto"/>
              <w:jc w:val="right"/>
              <w:rPr>
                <w:sz w:val="19"/>
                <w:szCs w:val="19"/>
              </w:rPr>
            </w:pPr>
            <w:r>
              <w:rPr>
                <w:sz w:val="19"/>
                <w:szCs w:val="19"/>
                <w:spacing w:val="1"/>
              </w:rPr>
              <w:t>37957</w:t>
            </w:r>
          </w:p>
        </w:tc>
        <w:tc>
          <w:tcPr>
            <w:tcW w:w="868" w:type="dxa"/>
            <w:vAlign w:val="top"/>
          </w:tcPr>
          <w:p>
            <w:pPr>
              <w:pStyle w:val="TableText"/>
              <w:ind w:right="5"/>
              <w:spacing w:before="77" w:line="210" w:lineRule="auto"/>
              <w:jc w:val="right"/>
              <w:rPr>
                <w:sz w:val="19"/>
                <w:szCs w:val="19"/>
              </w:rPr>
            </w:pPr>
            <w:r>
              <w:rPr>
                <w:sz w:val="19"/>
                <w:szCs w:val="19"/>
                <w:spacing w:val="2"/>
              </w:rPr>
              <w:t>81495</w:t>
            </w:r>
          </w:p>
        </w:tc>
        <w:tc>
          <w:tcPr>
            <w:tcW w:w="1105" w:type="dxa"/>
            <w:vAlign w:val="top"/>
            <w:tcBorders>
              <w:right w:val="single" w:color="000000" w:sz="6" w:space="0"/>
            </w:tcBorders>
          </w:tcPr>
          <w:p>
            <w:pPr>
              <w:rPr>
                <w:rFonts w:ascii="Arial"/>
                <w:sz w:val="21"/>
              </w:rPr>
            </w:pPr>
            <w:r/>
          </w:p>
        </w:tc>
      </w:tr>
      <w:tr>
        <w:trPr>
          <w:trHeight w:val="304" w:hRule="atLeast"/>
        </w:trPr>
        <w:tc>
          <w:tcPr>
            <w:tcW w:w="3402" w:type="dxa"/>
            <w:vAlign w:val="top"/>
            <w:tcBorders>
              <w:left w:val="single" w:color="000000" w:sz="6" w:space="0"/>
            </w:tcBorders>
          </w:tcPr>
          <w:p>
            <w:pPr>
              <w:pStyle w:val="TableText"/>
              <w:ind w:left="22"/>
              <w:spacing w:before="83" w:line="205" w:lineRule="auto"/>
              <w:rPr>
                <w:sz w:val="19"/>
                <w:szCs w:val="19"/>
              </w:rPr>
            </w:pPr>
            <w:r>
              <w:rPr>
                <w:sz w:val="19"/>
                <w:szCs w:val="19"/>
                <w:spacing w:val="8"/>
              </w:rPr>
              <w:t>十四、污水处理费收入</w:t>
            </w:r>
          </w:p>
        </w:tc>
        <w:tc>
          <w:tcPr>
            <w:tcW w:w="956" w:type="dxa"/>
            <w:vAlign w:val="top"/>
          </w:tcPr>
          <w:p>
            <w:pPr>
              <w:pStyle w:val="TableText"/>
              <w:ind w:right="15"/>
              <w:spacing w:before="77" w:line="210" w:lineRule="auto"/>
              <w:jc w:val="right"/>
              <w:rPr>
                <w:sz w:val="19"/>
                <w:szCs w:val="19"/>
              </w:rPr>
            </w:pPr>
            <w:r>
              <w:rPr>
                <w:sz w:val="19"/>
                <w:szCs w:val="19"/>
                <w:spacing w:val="2"/>
              </w:rPr>
              <w:t>731</w:t>
            </w:r>
          </w:p>
        </w:tc>
        <w:tc>
          <w:tcPr>
            <w:tcW w:w="838" w:type="dxa"/>
            <w:vAlign w:val="top"/>
          </w:tcPr>
          <w:p>
            <w:pPr>
              <w:pStyle w:val="TableText"/>
              <w:ind w:right="16"/>
              <w:spacing w:before="77" w:line="210" w:lineRule="auto"/>
              <w:jc w:val="right"/>
              <w:rPr>
                <w:sz w:val="19"/>
                <w:szCs w:val="19"/>
              </w:rPr>
            </w:pPr>
            <w:r>
              <w:rPr>
                <w:sz w:val="19"/>
                <w:szCs w:val="19"/>
                <w:spacing w:val="2"/>
              </w:rPr>
              <w:t>700</w:t>
            </w:r>
          </w:p>
        </w:tc>
        <w:tc>
          <w:tcPr>
            <w:tcW w:w="1106" w:type="dxa"/>
            <w:vAlign w:val="top"/>
          </w:tcPr>
          <w:p>
            <w:pPr>
              <w:rPr>
                <w:rFonts w:ascii="Arial"/>
                <w:sz w:val="21"/>
              </w:rPr>
            </w:pPr>
            <w:r/>
          </w:p>
        </w:tc>
        <w:tc>
          <w:tcPr>
            <w:tcW w:w="4595" w:type="dxa"/>
            <w:vAlign w:val="top"/>
          </w:tcPr>
          <w:p>
            <w:pPr>
              <w:pStyle w:val="TableText"/>
              <w:ind w:left="434"/>
              <w:spacing w:before="83" w:line="205" w:lineRule="auto"/>
              <w:rPr>
                <w:sz w:val="19"/>
                <w:szCs w:val="19"/>
              </w:rPr>
            </w:pPr>
            <w:r>
              <w:rPr>
                <w:sz w:val="19"/>
                <w:szCs w:val="19"/>
                <w:spacing w:val="8"/>
              </w:rPr>
              <w:t>国有土地收益基金安排的支出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484" w:hRule="atLeast"/>
        </w:trPr>
        <w:tc>
          <w:tcPr>
            <w:tcW w:w="3402" w:type="dxa"/>
            <w:vAlign w:val="top"/>
            <w:tcBorders>
              <w:left w:val="single" w:color="000000" w:sz="6" w:space="0"/>
            </w:tcBorders>
          </w:tcPr>
          <w:p>
            <w:pPr>
              <w:pStyle w:val="TableText"/>
              <w:ind w:left="15" w:right="79" w:firstLine="7"/>
              <w:spacing w:before="35" w:line="213" w:lineRule="auto"/>
              <w:rPr>
                <w:sz w:val="19"/>
                <w:szCs w:val="19"/>
              </w:rPr>
            </w:pPr>
            <w:r>
              <w:rPr>
                <w:sz w:val="19"/>
                <w:szCs w:val="19"/>
                <w:spacing w:val="-8"/>
              </w:rPr>
              <w:t>十五、彩票发行机构和彩票销售机构的业</w:t>
            </w:r>
            <w:r>
              <w:rPr>
                <w:sz w:val="19"/>
                <w:szCs w:val="19"/>
                <w:spacing w:val="-3"/>
              </w:rPr>
              <w:t>务费用</w:t>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411"/>
              <w:spacing w:before="173" w:line="221" w:lineRule="auto"/>
              <w:rPr>
                <w:sz w:val="19"/>
                <w:szCs w:val="19"/>
              </w:rPr>
            </w:pPr>
            <w:r>
              <w:rPr>
                <w:sz w:val="19"/>
                <w:szCs w:val="19"/>
                <w:spacing w:val="9"/>
              </w:rPr>
              <w:t>农业土地开发资金安排的支出</w:t>
            </w:r>
          </w:p>
        </w:tc>
        <w:tc>
          <w:tcPr>
            <w:tcW w:w="1026" w:type="dxa"/>
            <w:vAlign w:val="top"/>
          </w:tcPr>
          <w:p>
            <w:pPr>
              <w:pStyle w:val="TableText"/>
              <w:ind w:right="8"/>
              <w:spacing w:before="169" w:line="285" w:lineRule="exact"/>
              <w:jc w:val="right"/>
              <w:rPr>
                <w:sz w:val="19"/>
                <w:szCs w:val="19"/>
              </w:rPr>
            </w:pPr>
            <w:r>
              <w:rPr>
                <w:sz w:val="19"/>
                <w:szCs w:val="19"/>
                <w:spacing w:val="-4"/>
                <w:position w:val="2"/>
              </w:rPr>
              <w:t>137</w:t>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04" w:hRule="atLeast"/>
        </w:trPr>
        <w:tc>
          <w:tcPr>
            <w:tcW w:w="3402" w:type="dxa"/>
            <w:vAlign w:val="top"/>
            <w:tcBorders>
              <w:left w:val="single" w:color="000000" w:sz="6" w:space="0"/>
            </w:tcBorders>
          </w:tcPr>
          <w:p>
            <w:pPr>
              <w:pStyle w:val="TableText"/>
              <w:ind w:left="22"/>
              <w:spacing w:before="81" w:line="206" w:lineRule="auto"/>
              <w:rPr>
                <w:sz w:val="19"/>
                <w:szCs w:val="19"/>
              </w:rPr>
            </w:pPr>
            <w:r>
              <w:rPr>
                <w:sz w:val="19"/>
                <w:szCs w:val="19"/>
                <w:spacing w:val="9"/>
              </w:rPr>
              <w:t>十六、其他政府性基金收入</w:t>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415"/>
              <w:spacing w:before="81" w:line="206" w:lineRule="auto"/>
              <w:rPr>
                <w:sz w:val="19"/>
                <w:szCs w:val="19"/>
              </w:rPr>
            </w:pPr>
            <w:r>
              <w:rPr>
                <w:sz w:val="19"/>
                <w:szCs w:val="19"/>
                <w:spacing w:val="9"/>
              </w:rPr>
              <w:t>城市基础设施配套费安排的支出</w:t>
            </w:r>
          </w:p>
        </w:tc>
        <w:tc>
          <w:tcPr>
            <w:tcW w:w="1026" w:type="dxa"/>
            <w:vAlign w:val="top"/>
          </w:tcPr>
          <w:p>
            <w:pPr>
              <w:rPr>
                <w:rFonts w:ascii="Arial"/>
                <w:sz w:val="21"/>
              </w:rPr>
            </w:pPr>
            <w:r/>
          </w:p>
        </w:tc>
        <w:tc>
          <w:tcPr>
            <w:tcW w:w="868" w:type="dxa"/>
            <w:vAlign w:val="top"/>
          </w:tcPr>
          <w:p>
            <w:pPr>
              <w:pStyle w:val="TableText"/>
              <w:ind w:right="7"/>
              <w:spacing w:before="78" w:line="209" w:lineRule="auto"/>
              <w:jc w:val="right"/>
              <w:rPr>
                <w:sz w:val="19"/>
                <w:szCs w:val="19"/>
              </w:rPr>
            </w:pPr>
            <w:r>
              <w:rPr>
                <w:sz w:val="19"/>
                <w:szCs w:val="19"/>
                <w:spacing w:val="-4"/>
              </w:rPr>
              <w:t>150</w:t>
            </w:r>
          </w:p>
        </w:tc>
        <w:tc>
          <w:tcPr>
            <w:tcW w:w="1105" w:type="dxa"/>
            <w:vAlign w:val="top"/>
            <w:tcBorders>
              <w:right w:val="single" w:color="000000" w:sz="6" w:space="0"/>
            </w:tcBorders>
          </w:tcPr>
          <w:p>
            <w:pPr>
              <w:rPr>
                <w:rFonts w:ascii="Arial"/>
                <w:sz w:val="21"/>
              </w:rPr>
            </w:pPr>
            <w:r/>
          </w:p>
        </w:tc>
      </w:tr>
      <w:tr>
        <w:trPr>
          <w:trHeight w:val="314" w:hRule="atLeast"/>
        </w:trPr>
        <w:tc>
          <w:tcPr>
            <w:tcW w:w="3402" w:type="dxa"/>
            <w:vAlign w:val="top"/>
            <w:tcBorders>
              <w:left w:val="single" w:color="000000" w:sz="6" w:space="0"/>
              <w:bottom w:val="single" w:color="000000" w:sz="6" w:space="0"/>
            </w:tcBorders>
          </w:tcPr>
          <w:p>
            <w:pPr>
              <w:pStyle w:val="TableText"/>
              <w:ind w:left="22"/>
              <w:spacing w:before="84" w:line="213" w:lineRule="auto"/>
              <w:rPr>
                <w:sz w:val="19"/>
                <w:szCs w:val="19"/>
              </w:rPr>
            </w:pPr>
            <w:r>
              <w:rPr>
                <w:sz w:val="19"/>
                <w:szCs w:val="19"/>
                <w:spacing w:val="9"/>
              </w:rPr>
              <w:t>十七、专项债券对应项目专项收入</w:t>
            </w:r>
          </w:p>
        </w:tc>
        <w:tc>
          <w:tcPr>
            <w:tcW w:w="956" w:type="dxa"/>
            <w:vAlign w:val="top"/>
            <w:tcBorders>
              <w:bottom w:val="single" w:color="000000" w:sz="6" w:space="0"/>
            </w:tcBorders>
          </w:tcPr>
          <w:p>
            <w:pPr>
              <w:pStyle w:val="TableText"/>
              <w:ind w:right="15"/>
              <w:spacing w:before="81" w:line="216" w:lineRule="auto"/>
              <w:jc w:val="right"/>
              <w:rPr>
                <w:sz w:val="19"/>
                <w:szCs w:val="19"/>
              </w:rPr>
            </w:pPr>
            <w:r>
              <w:rPr>
                <w:sz w:val="19"/>
                <w:szCs w:val="19"/>
                <w:spacing w:val="-2"/>
              </w:rPr>
              <w:t>1268</w:t>
            </w:r>
          </w:p>
        </w:tc>
        <w:tc>
          <w:tcPr>
            <w:tcW w:w="838" w:type="dxa"/>
            <w:vAlign w:val="top"/>
            <w:tcBorders>
              <w:bottom w:val="single" w:color="000000" w:sz="6" w:space="0"/>
            </w:tcBorders>
          </w:tcPr>
          <w:p>
            <w:pPr>
              <w:rPr>
                <w:rFonts w:ascii="Arial"/>
                <w:sz w:val="21"/>
              </w:rPr>
            </w:pPr>
            <w:r/>
          </w:p>
        </w:tc>
        <w:tc>
          <w:tcPr>
            <w:tcW w:w="1106" w:type="dxa"/>
            <w:vAlign w:val="top"/>
            <w:tcBorders>
              <w:bottom w:val="single" w:color="000000" w:sz="6" w:space="0"/>
            </w:tcBorders>
          </w:tcPr>
          <w:p>
            <w:pPr>
              <w:rPr>
                <w:rFonts w:ascii="Arial"/>
                <w:sz w:val="21"/>
              </w:rPr>
            </w:pPr>
            <w:r/>
          </w:p>
        </w:tc>
        <w:tc>
          <w:tcPr>
            <w:tcW w:w="4595" w:type="dxa"/>
            <w:vAlign w:val="top"/>
            <w:tcBorders>
              <w:bottom w:val="single" w:color="000000" w:sz="6" w:space="0"/>
            </w:tcBorders>
          </w:tcPr>
          <w:p>
            <w:pPr>
              <w:pStyle w:val="TableText"/>
              <w:ind w:left="418"/>
              <w:spacing w:before="86" w:line="211" w:lineRule="auto"/>
              <w:rPr>
                <w:sz w:val="19"/>
                <w:szCs w:val="19"/>
              </w:rPr>
            </w:pPr>
            <w:r>
              <w:rPr>
                <w:sz w:val="19"/>
                <w:szCs w:val="19"/>
                <w:spacing w:val="9"/>
              </w:rPr>
              <w:t>污水处理费安排的支出</w:t>
            </w:r>
          </w:p>
        </w:tc>
        <w:tc>
          <w:tcPr>
            <w:tcW w:w="1026" w:type="dxa"/>
            <w:vAlign w:val="top"/>
            <w:tcBorders>
              <w:bottom w:val="single" w:color="000000" w:sz="6" w:space="0"/>
            </w:tcBorders>
          </w:tcPr>
          <w:p>
            <w:pPr>
              <w:pStyle w:val="TableText"/>
              <w:ind w:right="8"/>
              <w:spacing w:before="81" w:line="216" w:lineRule="auto"/>
              <w:jc w:val="right"/>
              <w:rPr>
                <w:sz w:val="19"/>
                <w:szCs w:val="19"/>
              </w:rPr>
            </w:pPr>
            <w:r>
              <w:rPr>
                <w:sz w:val="19"/>
                <w:szCs w:val="19"/>
                <w:spacing w:val="1"/>
              </w:rPr>
              <w:t>923</w:t>
            </w:r>
          </w:p>
        </w:tc>
        <w:tc>
          <w:tcPr>
            <w:tcW w:w="868" w:type="dxa"/>
            <w:vAlign w:val="top"/>
            <w:tcBorders>
              <w:bottom w:val="single" w:color="000000" w:sz="6" w:space="0"/>
            </w:tcBorders>
          </w:tcPr>
          <w:p>
            <w:pPr>
              <w:pStyle w:val="TableText"/>
              <w:ind w:right="7"/>
              <w:spacing w:before="81" w:line="216" w:lineRule="auto"/>
              <w:jc w:val="right"/>
              <w:rPr>
                <w:sz w:val="19"/>
                <w:szCs w:val="19"/>
              </w:rPr>
            </w:pPr>
            <w:r>
              <w:rPr>
                <w:sz w:val="19"/>
                <w:szCs w:val="19"/>
                <w:spacing w:val="2"/>
              </w:rPr>
              <w:t>700</w:t>
            </w:r>
          </w:p>
        </w:tc>
        <w:tc>
          <w:tcPr>
            <w:tcW w:w="1105"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61"/>
          <w:footerReference w:type="default" r:id="rId107"/>
          <w:pgSz w:w="16839" w:h="11906"/>
          <w:pgMar w:top="1792" w:right="1463" w:bottom="1671" w:left="1463" w:header="1428" w:footer="1277" w:gutter="0"/>
        </w:sectPr>
        <w:rPr>
          <w:rFonts w:ascii="Arial" w:hAnsi="Arial" w:eastAsia="Arial" w:cs="Arial"/>
          <w:sz w:val="21"/>
          <w:szCs w:val="21"/>
        </w:rPr>
      </w:pPr>
    </w:p>
    <w:p>
      <w:pPr>
        <w:spacing w:line="192" w:lineRule="exact"/>
        <w:rPr/>
      </w:pPr>
      <w:r>
        <w:drawing>
          <wp:anchor distT="0" distB="0" distL="0" distR="0" simplePos="0" relativeHeight="251703296"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216" name="IM 216"/>
            <wp:cNvGraphicFramePr/>
            <a:graphic>
              <a:graphicData uri="http://schemas.openxmlformats.org/drawingml/2006/picture">
                <pic:pic>
                  <pic:nvPicPr>
                    <pic:cNvPr id="216" name="IM 216"/>
                    <pic:cNvPicPr/>
                  </pic:nvPicPr>
                  <pic:blipFill>
                    <a:blip r:embed="rId110"/>
                    <a:stretch>
                      <a:fillRect/>
                    </a:stretch>
                  </pic:blipFill>
                  <pic:spPr>
                    <a:xfrm rot="0">
                      <a:off x="0" y="0"/>
                      <a:ext cx="8712200" cy="7620"/>
                    </a:xfrm>
                    <a:prstGeom prst="rect">
                      <a:avLst/>
                    </a:prstGeom>
                  </pic:spPr>
                </pic:pic>
              </a:graphicData>
            </a:graphic>
          </wp:anchor>
        </w:drawing>
      </w: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402"/>
        <w:gridCol w:w="956"/>
        <w:gridCol w:w="838"/>
        <w:gridCol w:w="1106"/>
        <w:gridCol w:w="4595"/>
        <w:gridCol w:w="1026"/>
        <w:gridCol w:w="868"/>
        <w:gridCol w:w="1105"/>
      </w:tblGrid>
      <w:tr>
        <w:trPr>
          <w:trHeight w:val="417" w:hRule="atLeast"/>
        </w:trPr>
        <w:tc>
          <w:tcPr>
            <w:tcW w:w="6302" w:type="dxa"/>
            <w:vAlign w:val="top"/>
            <w:gridSpan w:val="4"/>
            <w:tcBorders>
              <w:left w:val="single" w:color="000000" w:sz="6" w:space="0"/>
              <w:top w:val="single" w:color="000000" w:sz="6" w:space="0"/>
            </w:tcBorders>
          </w:tcPr>
          <w:p>
            <w:pPr>
              <w:pStyle w:val="TableText"/>
              <w:ind w:left="2953"/>
              <w:spacing w:before="133" w:line="214" w:lineRule="auto"/>
              <w:rPr>
                <w:sz w:val="19"/>
                <w:szCs w:val="19"/>
              </w:rPr>
            </w:pPr>
            <w:r>
              <w:rPr>
                <w:sz w:val="19"/>
                <w:szCs w:val="19"/>
                <w:b/>
                <w:bCs/>
                <w:spacing w:val="2"/>
              </w:rPr>
              <w:t>收入</w:t>
            </w:r>
          </w:p>
        </w:tc>
        <w:tc>
          <w:tcPr>
            <w:tcW w:w="7594" w:type="dxa"/>
            <w:vAlign w:val="top"/>
            <w:gridSpan w:val="4"/>
            <w:tcBorders>
              <w:right w:val="single" w:color="000000" w:sz="6" w:space="0"/>
              <w:top w:val="single" w:color="000000" w:sz="6" w:space="0"/>
            </w:tcBorders>
          </w:tcPr>
          <w:p>
            <w:pPr>
              <w:pStyle w:val="TableText"/>
              <w:ind w:left="3596"/>
              <w:spacing w:before="131" w:line="219" w:lineRule="auto"/>
              <w:rPr>
                <w:sz w:val="19"/>
                <w:szCs w:val="19"/>
              </w:rPr>
            </w:pPr>
            <w:r>
              <w:rPr>
                <w:sz w:val="19"/>
                <w:szCs w:val="19"/>
                <w:b/>
                <w:bCs/>
                <w:spacing w:val="5"/>
              </w:rPr>
              <w:t>支出</w:t>
            </w:r>
          </w:p>
        </w:tc>
      </w:tr>
      <w:tr>
        <w:trPr>
          <w:trHeight w:val="524" w:hRule="atLeast"/>
        </w:trPr>
        <w:tc>
          <w:tcPr>
            <w:tcW w:w="3402" w:type="dxa"/>
            <w:vAlign w:val="top"/>
            <w:tcBorders>
              <w:left w:val="single" w:color="000000" w:sz="6" w:space="0"/>
            </w:tcBorders>
          </w:tcPr>
          <w:p>
            <w:pPr>
              <w:pStyle w:val="TableText"/>
              <w:ind w:left="1496"/>
              <w:spacing w:before="185" w:line="212" w:lineRule="auto"/>
              <w:rPr>
                <w:sz w:val="19"/>
                <w:szCs w:val="19"/>
              </w:rPr>
            </w:pPr>
            <w:r>
              <w:rPr>
                <w:sz w:val="19"/>
                <w:szCs w:val="19"/>
                <w:b/>
                <w:bCs/>
                <w:spacing w:val="6"/>
              </w:rPr>
              <w:t>项目</w:t>
            </w:r>
          </w:p>
        </w:tc>
        <w:tc>
          <w:tcPr>
            <w:tcW w:w="956" w:type="dxa"/>
            <w:vAlign w:val="top"/>
          </w:tcPr>
          <w:p>
            <w:pPr>
              <w:pStyle w:val="TableText"/>
              <w:ind w:left="38" w:right="47" w:firstLine="35"/>
              <w:spacing w:before="38" w:line="231" w:lineRule="auto"/>
              <w:rPr>
                <w:sz w:val="19"/>
                <w:szCs w:val="19"/>
              </w:rPr>
            </w:pPr>
            <w:r>
              <w:rPr>
                <w:sz w:val="19"/>
                <w:szCs w:val="19"/>
                <w:b/>
                <w:bCs/>
                <w:spacing w:val="7"/>
              </w:rPr>
              <w:t>上年决算</w:t>
            </w:r>
            <w:r>
              <w:rPr>
                <w:sz w:val="19"/>
                <w:szCs w:val="19"/>
                <w:b/>
                <w:bCs/>
                <w:spacing w:val="-1"/>
              </w:rPr>
              <w:t>（执行)数</w:t>
            </w:r>
          </w:p>
        </w:tc>
        <w:tc>
          <w:tcPr>
            <w:tcW w:w="838" w:type="dxa"/>
            <w:vAlign w:val="top"/>
          </w:tcPr>
          <w:p>
            <w:pPr>
              <w:pStyle w:val="TableText"/>
              <w:ind w:left="118"/>
              <w:spacing w:before="179" w:line="221" w:lineRule="auto"/>
              <w:rPr>
                <w:sz w:val="19"/>
                <w:szCs w:val="19"/>
              </w:rPr>
            </w:pPr>
            <w:r>
              <w:rPr>
                <w:sz w:val="19"/>
                <w:szCs w:val="19"/>
                <w:b/>
                <w:bCs/>
                <w:spacing w:val="5"/>
              </w:rPr>
              <w:t>预算数</w:t>
            </w:r>
          </w:p>
        </w:tc>
        <w:tc>
          <w:tcPr>
            <w:tcW w:w="1106" w:type="dxa"/>
            <w:vAlign w:val="top"/>
          </w:tcPr>
          <w:p>
            <w:pPr>
              <w:pStyle w:val="TableText"/>
              <w:ind w:left="19" w:right="6" w:firstLine="2"/>
              <w:spacing w:before="38" w:line="231" w:lineRule="auto"/>
              <w:rPr>
                <w:sz w:val="19"/>
                <w:szCs w:val="19"/>
              </w:rPr>
            </w:pPr>
            <w:r>
              <w:rPr>
                <w:sz w:val="19"/>
                <w:szCs w:val="19"/>
                <w:b/>
                <w:bCs/>
                <w:spacing w:val="-15"/>
              </w:rPr>
              <w:t>预算数为决算</w:t>
            </w:r>
            <w:r>
              <w:rPr>
                <w:sz w:val="19"/>
                <w:szCs w:val="19"/>
                <w:b/>
                <w:bCs/>
                <w:spacing w:val="-2"/>
              </w:rPr>
              <w:t>（执行）数%</w:t>
            </w:r>
          </w:p>
        </w:tc>
        <w:tc>
          <w:tcPr>
            <w:tcW w:w="4595" w:type="dxa"/>
            <w:vAlign w:val="top"/>
          </w:tcPr>
          <w:p>
            <w:pPr>
              <w:pStyle w:val="TableText"/>
              <w:ind w:left="2097"/>
              <w:spacing w:before="185" w:line="212" w:lineRule="auto"/>
              <w:rPr>
                <w:sz w:val="19"/>
                <w:szCs w:val="19"/>
              </w:rPr>
            </w:pPr>
            <w:r>
              <w:rPr>
                <w:sz w:val="19"/>
                <w:szCs w:val="19"/>
                <w:b/>
                <w:bCs/>
                <w:spacing w:val="6"/>
              </w:rPr>
              <w:t>项目</w:t>
            </w:r>
          </w:p>
        </w:tc>
        <w:tc>
          <w:tcPr>
            <w:tcW w:w="1026" w:type="dxa"/>
            <w:vAlign w:val="top"/>
          </w:tcPr>
          <w:p>
            <w:pPr>
              <w:pStyle w:val="TableText"/>
              <w:ind w:left="81" w:right="73" w:firstLine="35"/>
              <w:spacing w:before="38" w:line="231" w:lineRule="auto"/>
              <w:rPr>
                <w:sz w:val="19"/>
                <w:szCs w:val="19"/>
              </w:rPr>
            </w:pPr>
            <w:r>
              <w:rPr>
                <w:sz w:val="19"/>
                <w:szCs w:val="19"/>
                <w:b/>
                <w:bCs/>
                <w:spacing w:val="7"/>
              </w:rPr>
              <w:t>上年决算</w:t>
            </w:r>
            <w:r>
              <w:rPr>
                <w:sz w:val="19"/>
                <w:szCs w:val="19"/>
                <w:b/>
                <w:bCs/>
                <w:spacing w:val="-1"/>
              </w:rPr>
              <w:t>（执行)数</w:t>
            </w:r>
          </w:p>
        </w:tc>
        <w:tc>
          <w:tcPr>
            <w:tcW w:w="868" w:type="dxa"/>
            <w:vAlign w:val="top"/>
          </w:tcPr>
          <w:p>
            <w:pPr>
              <w:pStyle w:val="TableText"/>
              <w:ind w:left="142"/>
              <w:spacing w:before="179" w:line="221" w:lineRule="auto"/>
              <w:rPr>
                <w:sz w:val="19"/>
                <w:szCs w:val="19"/>
              </w:rPr>
            </w:pPr>
            <w:r>
              <w:rPr>
                <w:sz w:val="19"/>
                <w:szCs w:val="19"/>
                <w:b/>
                <w:bCs/>
                <w:spacing w:val="5"/>
              </w:rPr>
              <w:t>预算数</w:t>
            </w:r>
          </w:p>
        </w:tc>
        <w:tc>
          <w:tcPr>
            <w:tcW w:w="1105" w:type="dxa"/>
            <w:vAlign w:val="top"/>
            <w:tcBorders>
              <w:right w:val="single" w:color="000000" w:sz="6" w:space="0"/>
            </w:tcBorders>
          </w:tcPr>
          <w:p>
            <w:pPr>
              <w:pStyle w:val="TableText"/>
              <w:ind w:left="22" w:right="13" w:firstLine="16"/>
              <w:spacing w:before="38" w:line="231" w:lineRule="auto"/>
              <w:rPr>
                <w:sz w:val="19"/>
                <w:szCs w:val="19"/>
              </w:rPr>
            </w:pPr>
            <w:r>
              <w:rPr>
                <w:sz w:val="19"/>
                <w:szCs w:val="19"/>
                <w:b/>
                <w:bCs/>
                <w:spacing w:val="-19"/>
              </w:rPr>
              <w:t>预算数为决算</w:t>
            </w:r>
            <w:r>
              <w:rPr>
                <w:sz w:val="19"/>
                <w:szCs w:val="19"/>
                <w:b/>
                <w:bCs/>
                <w:spacing w:val="-2"/>
              </w:rPr>
              <w:t>（执行）数%</w:t>
            </w:r>
          </w:p>
        </w:tc>
      </w:tr>
      <w:tr>
        <w:trPr>
          <w:trHeight w:val="304" w:hRule="atLeast"/>
        </w:trPr>
        <w:tc>
          <w:tcPr>
            <w:tcW w:w="3402" w:type="dxa"/>
            <w:vAlign w:val="top"/>
            <w:tcBorders>
              <w:left w:val="single" w:color="000000" w:sz="6" w:space="0"/>
            </w:tcBorders>
          </w:tcPr>
          <w:p>
            <w:pPr>
              <w:rPr>
                <w:rFonts w:ascii="Arial"/>
                <w:sz w:val="21"/>
              </w:rPr>
            </w:pPr>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419"/>
              <w:spacing w:before="70" w:line="217" w:lineRule="auto"/>
              <w:rPr>
                <w:sz w:val="19"/>
                <w:szCs w:val="19"/>
              </w:rPr>
            </w:pPr>
            <w:r>
              <w:rPr>
                <w:sz w:val="19"/>
                <w:szCs w:val="19"/>
                <w:spacing w:val="9"/>
              </w:rPr>
              <w:t>土地储备专项债券收入安排的支出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05" w:hRule="atLeast"/>
        </w:trPr>
        <w:tc>
          <w:tcPr>
            <w:tcW w:w="3402" w:type="dxa"/>
            <w:vAlign w:val="top"/>
            <w:tcBorders>
              <w:left w:val="single" w:color="000000" w:sz="6" w:space="0"/>
            </w:tcBorders>
          </w:tcPr>
          <w:p>
            <w:pPr>
              <w:rPr>
                <w:rFonts w:ascii="Arial"/>
                <w:sz w:val="21"/>
              </w:rPr>
            </w:pPr>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415"/>
              <w:spacing w:before="73" w:line="215" w:lineRule="auto"/>
              <w:rPr>
                <w:sz w:val="19"/>
                <w:szCs w:val="19"/>
              </w:rPr>
            </w:pPr>
            <w:r>
              <w:rPr>
                <w:sz w:val="19"/>
                <w:szCs w:val="19"/>
                <w:spacing w:val="9"/>
              </w:rPr>
              <w:t>棚户区改造专项债券收入安排的支出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04" w:hRule="atLeast"/>
        </w:trPr>
        <w:tc>
          <w:tcPr>
            <w:tcW w:w="3402" w:type="dxa"/>
            <w:vAlign w:val="top"/>
            <w:tcBorders>
              <w:left w:val="single" w:color="000000" w:sz="6" w:space="0"/>
            </w:tcBorders>
          </w:tcPr>
          <w:p>
            <w:pPr>
              <w:rPr>
                <w:rFonts w:ascii="Arial"/>
                <w:sz w:val="21"/>
              </w:rPr>
            </w:pPr>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415"/>
              <w:spacing w:before="73" w:line="214" w:lineRule="auto"/>
              <w:rPr>
                <w:sz w:val="19"/>
                <w:szCs w:val="19"/>
              </w:rPr>
            </w:pPr>
            <w:r>
              <w:rPr>
                <w:sz w:val="19"/>
                <w:szCs w:val="19"/>
                <w:spacing w:val="-5"/>
              </w:rPr>
              <w:t>城市基础设施配套费对应专项债务收入安排的支出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05" w:hRule="atLeast"/>
        </w:trPr>
        <w:tc>
          <w:tcPr>
            <w:tcW w:w="3402" w:type="dxa"/>
            <w:vAlign w:val="top"/>
            <w:tcBorders>
              <w:left w:val="single" w:color="000000" w:sz="6" w:space="0"/>
            </w:tcBorders>
          </w:tcPr>
          <w:p>
            <w:pPr>
              <w:rPr>
                <w:rFonts w:ascii="Arial"/>
                <w:sz w:val="21"/>
              </w:rPr>
            </w:pPr>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418"/>
              <w:spacing w:before="56" w:line="223" w:lineRule="auto"/>
              <w:rPr>
                <w:sz w:val="19"/>
                <w:szCs w:val="19"/>
              </w:rPr>
            </w:pPr>
            <w:r>
              <w:rPr>
                <w:sz w:val="19"/>
                <w:szCs w:val="19"/>
                <w:spacing w:val="9"/>
              </w:rPr>
              <w:t>污水处理费对应专项债务收入安排的支出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04" w:hRule="atLeast"/>
        </w:trPr>
        <w:tc>
          <w:tcPr>
            <w:tcW w:w="3402" w:type="dxa"/>
            <w:vAlign w:val="top"/>
            <w:tcBorders>
              <w:left w:val="single" w:color="000000" w:sz="6" w:space="0"/>
            </w:tcBorders>
          </w:tcPr>
          <w:p>
            <w:pPr>
              <w:rPr>
                <w:rFonts w:ascii="Arial"/>
                <w:sz w:val="21"/>
              </w:rPr>
            </w:pPr>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spacing w:before="55" w:line="224" w:lineRule="auto"/>
              <w:jc w:val="right"/>
              <w:rPr>
                <w:sz w:val="19"/>
                <w:szCs w:val="19"/>
              </w:rPr>
            </w:pPr>
            <w:r>
              <w:rPr>
                <w:sz w:val="19"/>
                <w:szCs w:val="19"/>
                <w:spacing w:val="-18"/>
              </w:rPr>
              <w:t>国有土地使用权出让收入对应专项债务收入安排的支出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05" w:hRule="atLeast"/>
        </w:trPr>
        <w:tc>
          <w:tcPr>
            <w:tcW w:w="3402" w:type="dxa"/>
            <w:vAlign w:val="top"/>
            <w:tcBorders>
              <w:left w:val="single" w:color="000000" w:sz="6" w:space="0"/>
            </w:tcBorders>
          </w:tcPr>
          <w:p>
            <w:pPr>
              <w:rPr>
                <w:rFonts w:ascii="Arial"/>
                <w:sz w:val="21"/>
              </w:rPr>
            </w:pPr>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18"/>
              <w:spacing w:before="77" w:line="211" w:lineRule="auto"/>
              <w:rPr>
                <w:sz w:val="19"/>
                <w:szCs w:val="19"/>
              </w:rPr>
            </w:pPr>
            <w:r>
              <w:rPr>
                <w:sz w:val="19"/>
                <w:szCs w:val="19"/>
                <w:spacing w:val="8"/>
              </w:rPr>
              <w:t>五、农林水支出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04" w:hRule="atLeast"/>
        </w:trPr>
        <w:tc>
          <w:tcPr>
            <w:tcW w:w="3402" w:type="dxa"/>
            <w:vAlign w:val="top"/>
            <w:tcBorders>
              <w:left w:val="single" w:color="000000" w:sz="6" w:space="0"/>
            </w:tcBorders>
          </w:tcPr>
          <w:p>
            <w:pPr>
              <w:rPr>
                <w:rFonts w:ascii="Arial"/>
                <w:sz w:val="21"/>
              </w:rPr>
            </w:pPr>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419"/>
              <w:spacing w:before="74" w:line="213" w:lineRule="auto"/>
              <w:rPr>
                <w:sz w:val="19"/>
                <w:szCs w:val="19"/>
              </w:rPr>
            </w:pPr>
            <w:r>
              <w:rPr>
                <w:sz w:val="19"/>
                <w:szCs w:val="19"/>
                <w:spacing w:val="9"/>
              </w:rPr>
              <w:t>大中型水库库区基金安排的支出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04" w:hRule="atLeast"/>
        </w:trPr>
        <w:tc>
          <w:tcPr>
            <w:tcW w:w="3402" w:type="dxa"/>
            <w:vAlign w:val="top"/>
            <w:tcBorders>
              <w:left w:val="single" w:color="000000" w:sz="6" w:space="0"/>
            </w:tcBorders>
          </w:tcPr>
          <w:p>
            <w:pPr>
              <w:rPr>
                <w:rFonts w:ascii="Arial"/>
                <w:sz w:val="21"/>
              </w:rPr>
            </w:pPr>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418"/>
              <w:spacing w:before="75" w:line="212" w:lineRule="auto"/>
              <w:rPr>
                <w:sz w:val="19"/>
                <w:szCs w:val="19"/>
              </w:rPr>
            </w:pPr>
            <w:r>
              <w:rPr>
                <w:sz w:val="19"/>
                <w:szCs w:val="19"/>
                <w:spacing w:val="9"/>
              </w:rPr>
              <w:t>三峡水库库区基金支出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04" w:hRule="atLeast"/>
        </w:trPr>
        <w:tc>
          <w:tcPr>
            <w:tcW w:w="3402" w:type="dxa"/>
            <w:vAlign w:val="top"/>
            <w:tcBorders>
              <w:left w:val="single" w:color="000000" w:sz="6" w:space="0"/>
            </w:tcBorders>
          </w:tcPr>
          <w:p>
            <w:pPr>
              <w:rPr>
                <w:rFonts w:ascii="Arial"/>
                <w:sz w:val="21"/>
              </w:rPr>
            </w:pPr>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434"/>
              <w:spacing w:before="74" w:line="213" w:lineRule="auto"/>
              <w:rPr>
                <w:sz w:val="19"/>
                <w:szCs w:val="19"/>
              </w:rPr>
            </w:pPr>
            <w:r>
              <w:rPr>
                <w:sz w:val="19"/>
                <w:szCs w:val="19"/>
                <w:spacing w:val="8"/>
              </w:rPr>
              <w:t>国家重大水利工程建设基金安排的支出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04" w:hRule="atLeast"/>
        </w:trPr>
        <w:tc>
          <w:tcPr>
            <w:tcW w:w="3402" w:type="dxa"/>
            <w:vAlign w:val="top"/>
            <w:tcBorders>
              <w:left w:val="single" w:color="000000" w:sz="6" w:space="0"/>
            </w:tcBorders>
          </w:tcPr>
          <w:p>
            <w:pPr>
              <w:rPr>
                <w:rFonts w:ascii="Arial"/>
                <w:sz w:val="21"/>
              </w:rPr>
            </w:pPr>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419"/>
              <w:spacing w:before="78" w:line="209" w:lineRule="auto"/>
              <w:rPr>
                <w:sz w:val="19"/>
                <w:szCs w:val="19"/>
              </w:rPr>
            </w:pPr>
            <w:r>
              <w:rPr>
                <w:sz w:val="19"/>
                <w:szCs w:val="19"/>
                <w:spacing w:val="-5"/>
              </w:rPr>
              <w:t>大中型水库库区基金对应专项债务收入安排的支出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04" w:hRule="atLeast"/>
        </w:trPr>
        <w:tc>
          <w:tcPr>
            <w:tcW w:w="3402" w:type="dxa"/>
            <w:vAlign w:val="top"/>
            <w:tcBorders>
              <w:left w:val="single" w:color="000000" w:sz="6" w:space="0"/>
            </w:tcBorders>
          </w:tcPr>
          <w:p>
            <w:pPr>
              <w:rPr>
                <w:rFonts w:ascii="Arial"/>
                <w:sz w:val="21"/>
              </w:rPr>
            </w:pPr>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right="27"/>
              <w:spacing w:before="58" w:line="225" w:lineRule="auto"/>
              <w:jc w:val="right"/>
              <w:rPr>
                <w:sz w:val="19"/>
                <w:szCs w:val="19"/>
              </w:rPr>
            </w:pPr>
            <w:r>
              <w:rPr>
                <w:sz w:val="19"/>
                <w:szCs w:val="19"/>
                <w:spacing w:val="-18"/>
                <w:w w:val="96"/>
              </w:rPr>
              <w:t>国家重大水利工程建设基金对应专项债务收入安排的支出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04" w:hRule="atLeast"/>
        </w:trPr>
        <w:tc>
          <w:tcPr>
            <w:tcW w:w="3402" w:type="dxa"/>
            <w:vAlign w:val="top"/>
            <w:tcBorders>
              <w:left w:val="single" w:color="000000" w:sz="6" w:space="0"/>
            </w:tcBorders>
          </w:tcPr>
          <w:p>
            <w:pPr>
              <w:rPr>
                <w:rFonts w:ascii="Arial"/>
                <w:sz w:val="21"/>
              </w:rPr>
            </w:pPr>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14"/>
              <w:spacing w:before="80" w:line="207" w:lineRule="auto"/>
              <w:rPr>
                <w:sz w:val="19"/>
                <w:szCs w:val="19"/>
              </w:rPr>
            </w:pPr>
            <w:r>
              <w:rPr>
                <w:sz w:val="19"/>
                <w:szCs w:val="19"/>
                <w:spacing w:val="9"/>
              </w:rPr>
              <w:t>六、交通运输支出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04" w:hRule="atLeast"/>
        </w:trPr>
        <w:tc>
          <w:tcPr>
            <w:tcW w:w="3402" w:type="dxa"/>
            <w:vAlign w:val="top"/>
            <w:tcBorders>
              <w:left w:val="single" w:color="000000" w:sz="6" w:space="0"/>
            </w:tcBorders>
          </w:tcPr>
          <w:p>
            <w:pPr>
              <w:rPr>
                <w:rFonts w:ascii="Arial"/>
                <w:sz w:val="21"/>
              </w:rPr>
            </w:pPr>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415"/>
              <w:spacing w:before="79" w:line="208" w:lineRule="auto"/>
              <w:rPr>
                <w:sz w:val="19"/>
                <w:szCs w:val="19"/>
              </w:rPr>
            </w:pPr>
            <w:r>
              <w:rPr>
                <w:sz w:val="19"/>
                <w:szCs w:val="19"/>
                <w:spacing w:val="9"/>
              </w:rPr>
              <w:t>海南省高等级公路车辆通行附加费安排的支出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04" w:hRule="atLeast"/>
        </w:trPr>
        <w:tc>
          <w:tcPr>
            <w:tcW w:w="3402" w:type="dxa"/>
            <w:vAlign w:val="top"/>
            <w:tcBorders>
              <w:left w:val="single" w:color="000000" w:sz="6" w:space="0"/>
            </w:tcBorders>
          </w:tcPr>
          <w:p>
            <w:pPr>
              <w:rPr>
                <w:rFonts w:ascii="Arial"/>
                <w:sz w:val="21"/>
              </w:rPr>
            </w:pPr>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420"/>
              <w:spacing w:before="84" w:line="204" w:lineRule="auto"/>
              <w:rPr>
                <w:sz w:val="19"/>
                <w:szCs w:val="19"/>
              </w:rPr>
            </w:pPr>
            <w:r>
              <w:rPr>
                <w:sz w:val="19"/>
                <w:szCs w:val="19"/>
                <w:spacing w:val="8"/>
              </w:rPr>
              <w:t>车辆通行费安排的支出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04" w:hRule="atLeast"/>
        </w:trPr>
        <w:tc>
          <w:tcPr>
            <w:tcW w:w="3402" w:type="dxa"/>
            <w:vAlign w:val="top"/>
            <w:tcBorders>
              <w:left w:val="single" w:color="000000" w:sz="6" w:space="0"/>
            </w:tcBorders>
          </w:tcPr>
          <w:p>
            <w:pPr>
              <w:rPr>
                <w:rFonts w:ascii="Arial"/>
                <w:sz w:val="21"/>
              </w:rPr>
            </w:pPr>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415"/>
              <w:spacing w:before="81" w:line="206" w:lineRule="auto"/>
              <w:rPr>
                <w:sz w:val="19"/>
                <w:szCs w:val="19"/>
              </w:rPr>
            </w:pPr>
            <w:r>
              <w:rPr>
                <w:sz w:val="19"/>
                <w:szCs w:val="19"/>
                <w:spacing w:val="9"/>
              </w:rPr>
              <w:t>港口建设费安排的支出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05" w:hRule="atLeast"/>
        </w:trPr>
        <w:tc>
          <w:tcPr>
            <w:tcW w:w="3402" w:type="dxa"/>
            <w:vAlign w:val="top"/>
            <w:tcBorders>
              <w:left w:val="single" w:color="000000" w:sz="6" w:space="0"/>
            </w:tcBorders>
          </w:tcPr>
          <w:p>
            <w:pPr>
              <w:rPr>
                <w:rFonts w:ascii="Arial"/>
                <w:sz w:val="21"/>
              </w:rPr>
            </w:pPr>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414"/>
              <w:spacing w:before="81" w:line="207" w:lineRule="auto"/>
              <w:rPr>
                <w:sz w:val="19"/>
                <w:szCs w:val="19"/>
              </w:rPr>
            </w:pPr>
            <w:r>
              <w:rPr>
                <w:sz w:val="19"/>
                <w:szCs w:val="19"/>
                <w:spacing w:val="9"/>
              </w:rPr>
              <w:t>铁路建设基金支出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05" w:hRule="atLeast"/>
        </w:trPr>
        <w:tc>
          <w:tcPr>
            <w:tcW w:w="3402" w:type="dxa"/>
            <w:vAlign w:val="top"/>
            <w:tcBorders>
              <w:left w:val="single" w:color="000000" w:sz="6" w:space="0"/>
            </w:tcBorders>
          </w:tcPr>
          <w:p>
            <w:pPr>
              <w:rPr>
                <w:rFonts w:ascii="Arial"/>
                <w:sz w:val="21"/>
              </w:rPr>
            </w:pPr>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415"/>
              <w:spacing w:before="84" w:line="205" w:lineRule="auto"/>
              <w:rPr>
                <w:sz w:val="19"/>
                <w:szCs w:val="19"/>
              </w:rPr>
            </w:pPr>
            <w:r>
              <w:rPr>
                <w:sz w:val="19"/>
                <w:szCs w:val="19"/>
                <w:spacing w:val="9"/>
              </w:rPr>
              <w:t>船舶油污损害赔偿基金支出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05" w:hRule="atLeast"/>
        </w:trPr>
        <w:tc>
          <w:tcPr>
            <w:tcW w:w="3402" w:type="dxa"/>
            <w:vAlign w:val="top"/>
            <w:tcBorders>
              <w:left w:val="single" w:color="000000" w:sz="6" w:space="0"/>
            </w:tcBorders>
          </w:tcPr>
          <w:p>
            <w:pPr>
              <w:rPr>
                <w:rFonts w:ascii="Arial"/>
                <w:sz w:val="21"/>
              </w:rPr>
            </w:pPr>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432"/>
              <w:spacing w:before="87" w:line="202" w:lineRule="auto"/>
              <w:rPr>
                <w:sz w:val="19"/>
                <w:szCs w:val="19"/>
              </w:rPr>
            </w:pPr>
            <w:r>
              <w:rPr>
                <w:sz w:val="19"/>
                <w:szCs w:val="19"/>
                <w:spacing w:val="7"/>
              </w:rPr>
              <w:t>民航发展基金支出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484" w:hRule="atLeast"/>
        </w:trPr>
        <w:tc>
          <w:tcPr>
            <w:tcW w:w="3402" w:type="dxa"/>
            <w:vAlign w:val="top"/>
            <w:tcBorders>
              <w:left w:val="single" w:color="000000" w:sz="6" w:space="0"/>
            </w:tcBorders>
          </w:tcPr>
          <w:p>
            <w:pPr>
              <w:rPr>
                <w:rFonts w:ascii="Arial"/>
                <w:sz w:val="21"/>
              </w:rPr>
            </w:pPr>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14" w:right="176" w:firstLine="401"/>
              <w:spacing w:before="35" w:line="213" w:lineRule="auto"/>
              <w:rPr>
                <w:sz w:val="19"/>
                <w:szCs w:val="19"/>
              </w:rPr>
            </w:pPr>
            <w:r>
              <w:rPr>
                <w:sz w:val="19"/>
                <w:szCs w:val="19"/>
                <w:spacing w:val="9"/>
              </w:rPr>
              <w:t>海南省高等级公路车辆通行附加费对应专项债</w:t>
            </w:r>
            <w:r>
              <w:rPr>
                <w:sz w:val="19"/>
                <w:szCs w:val="19"/>
                <w:spacing w:val="9"/>
              </w:rPr>
              <w:t>务收入安排的支出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05" w:hRule="atLeast"/>
        </w:trPr>
        <w:tc>
          <w:tcPr>
            <w:tcW w:w="3402" w:type="dxa"/>
            <w:vAlign w:val="top"/>
            <w:tcBorders>
              <w:left w:val="single" w:color="000000" w:sz="6" w:space="0"/>
            </w:tcBorders>
          </w:tcPr>
          <w:p>
            <w:pPr>
              <w:rPr>
                <w:rFonts w:ascii="Arial"/>
                <w:sz w:val="21"/>
              </w:rPr>
            </w:pPr>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415"/>
              <w:spacing w:before="85" w:line="204" w:lineRule="auto"/>
              <w:rPr>
                <w:sz w:val="19"/>
                <w:szCs w:val="19"/>
              </w:rPr>
            </w:pPr>
            <w:r>
              <w:rPr>
                <w:sz w:val="19"/>
                <w:szCs w:val="19"/>
                <w:spacing w:val="9"/>
              </w:rPr>
              <w:t>政府收费公路专项债券收入安排的支出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264" w:hRule="atLeast"/>
        </w:trPr>
        <w:tc>
          <w:tcPr>
            <w:tcW w:w="3402" w:type="dxa"/>
            <w:vAlign w:val="top"/>
            <w:tcBorders>
              <w:left w:val="single" w:color="000000" w:sz="6" w:space="0"/>
            </w:tcBorders>
          </w:tcPr>
          <w:p>
            <w:pPr>
              <w:rPr>
                <w:rFonts w:ascii="Arial"/>
                <w:sz w:val="21"/>
              </w:rPr>
            </w:pPr>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420"/>
              <w:spacing w:before="46" w:line="202" w:lineRule="auto"/>
              <w:rPr>
                <w:sz w:val="19"/>
                <w:szCs w:val="19"/>
              </w:rPr>
            </w:pPr>
            <w:r>
              <w:rPr>
                <w:sz w:val="19"/>
                <w:szCs w:val="19"/>
                <w:spacing w:val="9"/>
              </w:rPr>
              <w:t>车辆通行费对应专项债务收入安排的支出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274" w:hRule="atLeast"/>
        </w:trPr>
        <w:tc>
          <w:tcPr>
            <w:tcW w:w="3402" w:type="dxa"/>
            <w:vAlign w:val="top"/>
            <w:tcBorders>
              <w:left w:val="single" w:color="000000" w:sz="6" w:space="0"/>
              <w:bottom w:val="single" w:color="000000" w:sz="6" w:space="0"/>
            </w:tcBorders>
          </w:tcPr>
          <w:p>
            <w:pPr>
              <w:rPr>
                <w:rFonts w:ascii="Arial"/>
                <w:sz w:val="21"/>
              </w:rPr>
            </w:pPr>
            <w:r/>
          </w:p>
        </w:tc>
        <w:tc>
          <w:tcPr>
            <w:tcW w:w="956" w:type="dxa"/>
            <w:vAlign w:val="top"/>
            <w:tcBorders>
              <w:bottom w:val="single" w:color="000000" w:sz="6" w:space="0"/>
            </w:tcBorders>
          </w:tcPr>
          <w:p>
            <w:pPr>
              <w:rPr>
                <w:rFonts w:ascii="Arial"/>
                <w:sz w:val="21"/>
              </w:rPr>
            </w:pPr>
            <w:r/>
          </w:p>
        </w:tc>
        <w:tc>
          <w:tcPr>
            <w:tcW w:w="838" w:type="dxa"/>
            <w:vAlign w:val="top"/>
            <w:tcBorders>
              <w:bottom w:val="single" w:color="000000" w:sz="6" w:space="0"/>
            </w:tcBorders>
          </w:tcPr>
          <w:p>
            <w:pPr>
              <w:rPr>
                <w:rFonts w:ascii="Arial"/>
                <w:sz w:val="21"/>
              </w:rPr>
            </w:pPr>
            <w:r/>
          </w:p>
        </w:tc>
        <w:tc>
          <w:tcPr>
            <w:tcW w:w="1106" w:type="dxa"/>
            <w:vAlign w:val="top"/>
            <w:tcBorders>
              <w:bottom w:val="single" w:color="000000" w:sz="6" w:space="0"/>
            </w:tcBorders>
          </w:tcPr>
          <w:p>
            <w:pPr>
              <w:rPr>
                <w:rFonts w:ascii="Arial"/>
                <w:sz w:val="21"/>
              </w:rPr>
            </w:pPr>
            <w:r/>
          </w:p>
        </w:tc>
        <w:tc>
          <w:tcPr>
            <w:tcW w:w="4595" w:type="dxa"/>
            <w:vAlign w:val="top"/>
            <w:tcBorders>
              <w:bottom w:val="single" w:color="000000" w:sz="6" w:space="0"/>
            </w:tcBorders>
          </w:tcPr>
          <w:p>
            <w:pPr>
              <w:pStyle w:val="TableText"/>
              <w:ind w:left="415"/>
              <w:spacing w:before="43" w:line="214" w:lineRule="auto"/>
              <w:rPr>
                <w:sz w:val="19"/>
                <w:szCs w:val="19"/>
              </w:rPr>
            </w:pPr>
            <w:r>
              <w:rPr>
                <w:sz w:val="19"/>
                <w:szCs w:val="19"/>
                <w:spacing w:val="9"/>
              </w:rPr>
              <w:t>港口建设费对应专项债务收入安排的支出</w:t>
            </w:r>
          </w:p>
        </w:tc>
        <w:tc>
          <w:tcPr>
            <w:tcW w:w="1026" w:type="dxa"/>
            <w:vAlign w:val="top"/>
            <w:tcBorders>
              <w:bottom w:val="single" w:color="000000" w:sz="6" w:space="0"/>
            </w:tcBorders>
          </w:tcPr>
          <w:p>
            <w:pPr>
              <w:rPr>
                <w:rFonts w:ascii="Arial"/>
                <w:sz w:val="21"/>
              </w:rPr>
            </w:pPr>
            <w:r/>
          </w:p>
        </w:tc>
        <w:tc>
          <w:tcPr>
            <w:tcW w:w="868" w:type="dxa"/>
            <w:vAlign w:val="top"/>
            <w:tcBorders>
              <w:bottom w:val="single" w:color="000000" w:sz="6" w:space="0"/>
            </w:tcBorders>
          </w:tcPr>
          <w:p>
            <w:pPr>
              <w:rPr>
                <w:rFonts w:ascii="Arial"/>
                <w:sz w:val="21"/>
              </w:rPr>
            </w:pPr>
            <w:r/>
          </w:p>
        </w:tc>
        <w:tc>
          <w:tcPr>
            <w:tcW w:w="1105"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104"/>
          <w:footerReference w:type="default" r:id="rId109"/>
          <w:pgSz w:w="16839" w:h="11906"/>
          <w:pgMar w:top="1792" w:right="1463" w:bottom="1660" w:left="1463" w:header="1428" w:footer="1289" w:gutter="0"/>
        </w:sectPr>
        <w:rPr>
          <w:rFonts w:ascii="Arial" w:hAnsi="Arial" w:eastAsia="Arial" w:cs="Arial"/>
          <w:sz w:val="21"/>
          <w:szCs w:val="21"/>
        </w:rPr>
      </w:pPr>
    </w:p>
    <w:p>
      <w:pPr>
        <w:spacing w:line="192" w:lineRule="exact"/>
        <w:rPr/>
      </w:pPr>
      <w:r>
        <w:drawing>
          <wp:anchor distT="0" distB="0" distL="0" distR="0" simplePos="0" relativeHeight="251705344"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220" name="IM 220"/>
            <wp:cNvGraphicFramePr/>
            <a:graphic>
              <a:graphicData uri="http://schemas.openxmlformats.org/drawingml/2006/picture">
                <pic:pic>
                  <pic:nvPicPr>
                    <pic:cNvPr id="220" name="IM 220"/>
                    <pic:cNvPicPr/>
                  </pic:nvPicPr>
                  <pic:blipFill>
                    <a:blip r:embed="rId112"/>
                    <a:stretch>
                      <a:fillRect/>
                    </a:stretch>
                  </pic:blipFill>
                  <pic:spPr>
                    <a:xfrm rot="0">
                      <a:off x="0" y="0"/>
                      <a:ext cx="8712200" cy="7620"/>
                    </a:xfrm>
                    <a:prstGeom prst="rect">
                      <a:avLst/>
                    </a:prstGeom>
                  </pic:spPr>
                </pic:pic>
              </a:graphicData>
            </a:graphic>
          </wp:anchor>
        </w:drawing>
      </w: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402"/>
        <w:gridCol w:w="956"/>
        <w:gridCol w:w="838"/>
        <w:gridCol w:w="1106"/>
        <w:gridCol w:w="4595"/>
        <w:gridCol w:w="1026"/>
        <w:gridCol w:w="868"/>
        <w:gridCol w:w="1105"/>
      </w:tblGrid>
      <w:tr>
        <w:trPr>
          <w:trHeight w:val="418" w:hRule="atLeast"/>
        </w:trPr>
        <w:tc>
          <w:tcPr>
            <w:tcW w:w="6302" w:type="dxa"/>
            <w:vAlign w:val="top"/>
            <w:gridSpan w:val="4"/>
            <w:tcBorders>
              <w:left w:val="single" w:color="000000" w:sz="6" w:space="0"/>
              <w:top w:val="single" w:color="000000" w:sz="6" w:space="0"/>
            </w:tcBorders>
          </w:tcPr>
          <w:p>
            <w:pPr>
              <w:pStyle w:val="TableText"/>
              <w:ind w:left="2953"/>
              <w:spacing w:before="133" w:line="214" w:lineRule="auto"/>
              <w:rPr>
                <w:sz w:val="19"/>
                <w:szCs w:val="19"/>
              </w:rPr>
            </w:pPr>
            <w:r>
              <w:rPr>
                <w:sz w:val="19"/>
                <w:szCs w:val="19"/>
                <w:b/>
                <w:bCs/>
                <w:spacing w:val="2"/>
              </w:rPr>
              <w:t>收入</w:t>
            </w:r>
          </w:p>
        </w:tc>
        <w:tc>
          <w:tcPr>
            <w:tcW w:w="7594" w:type="dxa"/>
            <w:vAlign w:val="top"/>
            <w:gridSpan w:val="4"/>
            <w:tcBorders>
              <w:right w:val="single" w:color="000000" w:sz="6" w:space="0"/>
              <w:top w:val="single" w:color="000000" w:sz="6" w:space="0"/>
            </w:tcBorders>
          </w:tcPr>
          <w:p>
            <w:pPr>
              <w:pStyle w:val="TableText"/>
              <w:ind w:left="3596"/>
              <w:spacing w:before="131" w:line="219" w:lineRule="auto"/>
              <w:rPr>
                <w:sz w:val="19"/>
                <w:szCs w:val="19"/>
              </w:rPr>
            </w:pPr>
            <w:r>
              <w:rPr>
                <w:sz w:val="19"/>
                <w:szCs w:val="19"/>
                <w:b/>
                <w:bCs/>
                <w:spacing w:val="5"/>
              </w:rPr>
              <w:t>支出</w:t>
            </w:r>
          </w:p>
        </w:tc>
      </w:tr>
      <w:tr>
        <w:trPr>
          <w:trHeight w:val="524" w:hRule="atLeast"/>
        </w:trPr>
        <w:tc>
          <w:tcPr>
            <w:tcW w:w="3402" w:type="dxa"/>
            <w:vAlign w:val="top"/>
            <w:tcBorders>
              <w:left w:val="single" w:color="000000" w:sz="6" w:space="0"/>
            </w:tcBorders>
          </w:tcPr>
          <w:p>
            <w:pPr>
              <w:pStyle w:val="TableText"/>
              <w:ind w:left="1496"/>
              <w:spacing w:before="184" w:line="212" w:lineRule="auto"/>
              <w:rPr>
                <w:sz w:val="19"/>
                <w:szCs w:val="19"/>
              </w:rPr>
            </w:pPr>
            <w:r>
              <w:rPr>
                <w:sz w:val="19"/>
                <w:szCs w:val="19"/>
                <w:b/>
                <w:bCs/>
                <w:spacing w:val="6"/>
              </w:rPr>
              <w:t>项目</w:t>
            </w:r>
          </w:p>
        </w:tc>
        <w:tc>
          <w:tcPr>
            <w:tcW w:w="956" w:type="dxa"/>
            <w:vAlign w:val="top"/>
          </w:tcPr>
          <w:p>
            <w:pPr>
              <w:pStyle w:val="TableText"/>
              <w:ind w:left="38" w:right="47" w:firstLine="35"/>
              <w:spacing w:before="38" w:line="231" w:lineRule="auto"/>
              <w:rPr>
                <w:sz w:val="19"/>
                <w:szCs w:val="19"/>
              </w:rPr>
            </w:pPr>
            <w:r>
              <w:rPr>
                <w:sz w:val="19"/>
                <w:szCs w:val="19"/>
                <w:b/>
                <w:bCs/>
                <w:spacing w:val="7"/>
              </w:rPr>
              <w:t>上年决算</w:t>
            </w:r>
            <w:r>
              <w:rPr>
                <w:sz w:val="19"/>
                <w:szCs w:val="19"/>
                <w:b/>
                <w:bCs/>
                <w:spacing w:val="-1"/>
              </w:rPr>
              <w:t>（执行)数</w:t>
            </w:r>
          </w:p>
        </w:tc>
        <w:tc>
          <w:tcPr>
            <w:tcW w:w="838" w:type="dxa"/>
            <w:vAlign w:val="top"/>
          </w:tcPr>
          <w:p>
            <w:pPr>
              <w:pStyle w:val="TableText"/>
              <w:ind w:left="118"/>
              <w:spacing w:before="178" w:line="221" w:lineRule="auto"/>
              <w:rPr>
                <w:sz w:val="19"/>
                <w:szCs w:val="19"/>
              </w:rPr>
            </w:pPr>
            <w:r>
              <w:rPr>
                <w:sz w:val="19"/>
                <w:szCs w:val="19"/>
                <w:b/>
                <w:bCs/>
                <w:spacing w:val="5"/>
              </w:rPr>
              <w:t>预算数</w:t>
            </w:r>
          </w:p>
        </w:tc>
        <w:tc>
          <w:tcPr>
            <w:tcW w:w="1106" w:type="dxa"/>
            <w:vAlign w:val="top"/>
          </w:tcPr>
          <w:p>
            <w:pPr>
              <w:pStyle w:val="TableText"/>
              <w:ind w:left="19" w:right="6" w:firstLine="2"/>
              <w:spacing w:before="38" w:line="231" w:lineRule="auto"/>
              <w:rPr>
                <w:sz w:val="19"/>
                <w:szCs w:val="19"/>
              </w:rPr>
            </w:pPr>
            <w:r>
              <w:rPr>
                <w:sz w:val="19"/>
                <w:szCs w:val="19"/>
                <w:b/>
                <w:bCs/>
                <w:spacing w:val="-15"/>
              </w:rPr>
              <w:t>预算数为决算</w:t>
            </w:r>
            <w:r>
              <w:rPr>
                <w:sz w:val="19"/>
                <w:szCs w:val="19"/>
                <w:b/>
                <w:bCs/>
                <w:spacing w:val="-2"/>
              </w:rPr>
              <w:t>（执行）数%</w:t>
            </w:r>
          </w:p>
        </w:tc>
        <w:tc>
          <w:tcPr>
            <w:tcW w:w="4595" w:type="dxa"/>
            <w:vAlign w:val="top"/>
          </w:tcPr>
          <w:p>
            <w:pPr>
              <w:pStyle w:val="TableText"/>
              <w:ind w:left="2097"/>
              <w:spacing w:before="184" w:line="212" w:lineRule="auto"/>
              <w:rPr>
                <w:sz w:val="19"/>
                <w:szCs w:val="19"/>
              </w:rPr>
            </w:pPr>
            <w:r>
              <w:rPr>
                <w:sz w:val="19"/>
                <w:szCs w:val="19"/>
                <w:b/>
                <w:bCs/>
                <w:spacing w:val="6"/>
              </w:rPr>
              <w:t>项目</w:t>
            </w:r>
          </w:p>
        </w:tc>
        <w:tc>
          <w:tcPr>
            <w:tcW w:w="1026" w:type="dxa"/>
            <w:vAlign w:val="top"/>
          </w:tcPr>
          <w:p>
            <w:pPr>
              <w:pStyle w:val="TableText"/>
              <w:ind w:left="81" w:right="73" w:firstLine="35"/>
              <w:spacing w:before="38" w:line="231" w:lineRule="auto"/>
              <w:rPr>
                <w:sz w:val="19"/>
                <w:szCs w:val="19"/>
              </w:rPr>
            </w:pPr>
            <w:r>
              <w:rPr>
                <w:sz w:val="19"/>
                <w:szCs w:val="19"/>
                <w:b/>
                <w:bCs/>
                <w:spacing w:val="7"/>
              </w:rPr>
              <w:t>上年决算</w:t>
            </w:r>
            <w:r>
              <w:rPr>
                <w:sz w:val="19"/>
                <w:szCs w:val="19"/>
                <w:b/>
                <w:bCs/>
                <w:spacing w:val="-1"/>
              </w:rPr>
              <w:t>（执行)数</w:t>
            </w:r>
          </w:p>
        </w:tc>
        <w:tc>
          <w:tcPr>
            <w:tcW w:w="868" w:type="dxa"/>
            <w:vAlign w:val="top"/>
          </w:tcPr>
          <w:p>
            <w:pPr>
              <w:pStyle w:val="TableText"/>
              <w:ind w:left="142"/>
              <w:spacing w:before="178" w:line="221" w:lineRule="auto"/>
              <w:rPr>
                <w:sz w:val="19"/>
                <w:szCs w:val="19"/>
              </w:rPr>
            </w:pPr>
            <w:r>
              <w:rPr>
                <w:sz w:val="19"/>
                <w:szCs w:val="19"/>
                <w:b/>
                <w:bCs/>
                <w:spacing w:val="5"/>
              </w:rPr>
              <w:t>预算数</w:t>
            </w:r>
          </w:p>
        </w:tc>
        <w:tc>
          <w:tcPr>
            <w:tcW w:w="1105" w:type="dxa"/>
            <w:vAlign w:val="top"/>
            <w:tcBorders>
              <w:right w:val="single" w:color="000000" w:sz="6" w:space="0"/>
            </w:tcBorders>
          </w:tcPr>
          <w:p>
            <w:pPr>
              <w:pStyle w:val="TableText"/>
              <w:ind w:left="22" w:right="13" w:firstLine="16"/>
              <w:spacing w:before="38" w:line="231" w:lineRule="auto"/>
              <w:rPr>
                <w:sz w:val="19"/>
                <w:szCs w:val="19"/>
              </w:rPr>
            </w:pPr>
            <w:r>
              <w:rPr>
                <w:sz w:val="19"/>
                <w:szCs w:val="19"/>
                <w:b/>
                <w:bCs/>
                <w:spacing w:val="-19"/>
              </w:rPr>
              <w:t>预算数为决算</w:t>
            </w:r>
            <w:r>
              <w:rPr>
                <w:sz w:val="19"/>
                <w:szCs w:val="19"/>
                <w:b/>
                <w:bCs/>
                <w:spacing w:val="-2"/>
              </w:rPr>
              <w:t>（执行）数%</w:t>
            </w:r>
          </w:p>
        </w:tc>
      </w:tr>
      <w:tr>
        <w:trPr>
          <w:trHeight w:val="264" w:hRule="atLeast"/>
        </w:trPr>
        <w:tc>
          <w:tcPr>
            <w:tcW w:w="3402" w:type="dxa"/>
            <w:vAlign w:val="top"/>
            <w:tcBorders>
              <w:left w:val="single" w:color="000000" w:sz="6" w:space="0"/>
            </w:tcBorders>
          </w:tcPr>
          <w:p>
            <w:pPr>
              <w:rPr>
                <w:rFonts w:ascii="Arial"/>
                <w:sz w:val="21"/>
              </w:rPr>
            </w:pPr>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13"/>
              <w:spacing w:before="30" w:line="217" w:lineRule="auto"/>
              <w:rPr>
                <w:sz w:val="19"/>
                <w:szCs w:val="19"/>
              </w:rPr>
            </w:pPr>
            <w:r>
              <w:rPr>
                <w:sz w:val="19"/>
                <w:szCs w:val="19"/>
                <w:spacing w:val="9"/>
              </w:rPr>
              <w:t>七、资源勘探工业信息等支出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264" w:hRule="atLeast"/>
        </w:trPr>
        <w:tc>
          <w:tcPr>
            <w:tcW w:w="3402" w:type="dxa"/>
            <w:vAlign w:val="top"/>
            <w:tcBorders>
              <w:left w:val="single" w:color="000000" w:sz="6" w:space="0"/>
            </w:tcBorders>
          </w:tcPr>
          <w:p>
            <w:pPr>
              <w:rPr>
                <w:rFonts w:ascii="Arial"/>
                <w:sz w:val="21"/>
              </w:rPr>
            </w:pPr>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411"/>
              <w:spacing w:before="30" w:line="217" w:lineRule="auto"/>
              <w:rPr>
                <w:sz w:val="19"/>
                <w:szCs w:val="19"/>
              </w:rPr>
            </w:pPr>
            <w:r>
              <w:rPr>
                <w:sz w:val="19"/>
                <w:szCs w:val="19"/>
                <w:spacing w:val="9"/>
              </w:rPr>
              <w:t>农网还贷资金支出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264" w:hRule="atLeast"/>
        </w:trPr>
        <w:tc>
          <w:tcPr>
            <w:tcW w:w="3402" w:type="dxa"/>
            <w:vAlign w:val="top"/>
            <w:tcBorders>
              <w:left w:val="single" w:color="000000" w:sz="6" w:space="0"/>
            </w:tcBorders>
          </w:tcPr>
          <w:p>
            <w:pPr>
              <w:rPr>
                <w:rFonts w:ascii="Arial"/>
                <w:sz w:val="21"/>
              </w:rPr>
            </w:pPr>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11"/>
              <w:spacing w:before="30" w:line="217" w:lineRule="auto"/>
              <w:rPr>
                <w:sz w:val="19"/>
                <w:szCs w:val="19"/>
              </w:rPr>
            </w:pPr>
            <w:r>
              <w:rPr>
                <w:sz w:val="19"/>
                <w:szCs w:val="19"/>
                <w:spacing w:val="9"/>
              </w:rPr>
              <w:t>八、其他支出</w:t>
            </w:r>
          </w:p>
        </w:tc>
        <w:tc>
          <w:tcPr>
            <w:tcW w:w="1026" w:type="dxa"/>
            <w:vAlign w:val="top"/>
          </w:tcPr>
          <w:p>
            <w:pPr>
              <w:pStyle w:val="TableText"/>
              <w:ind w:right="8"/>
              <w:spacing w:before="27" w:line="220" w:lineRule="auto"/>
              <w:jc w:val="right"/>
              <w:rPr>
                <w:sz w:val="19"/>
                <w:szCs w:val="19"/>
              </w:rPr>
            </w:pPr>
            <w:r>
              <w:rPr>
                <w:sz w:val="19"/>
                <w:szCs w:val="19"/>
                <w:spacing w:val="1"/>
              </w:rPr>
              <w:t>6070</w:t>
            </w:r>
          </w:p>
        </w:tc>
        <w:tc>
          <w:tcPr>
            <w:tcW w:w="868" w:type="dxa"/>
            <w:vAlign w:val="top"/>
          </w:tcPr>
          <w:p>
            <w:pPr>
              <w:pStyle w:val="TableText"/>
              <w:ind w:right="7"/>
              <w:spacing w:before="27" w:line="220" w:lineRule="auto"/>
              <w:jc w:val="right"/>
              <w:rPr>
                <w:sz w:val="19"/>
                <w:szCs w:val="19"/>
              </w:rPr>
            </w:pPr>
            <w:r>
              <w:rPr>
                <w:sz w:val="19"/>
                <w:szCs w:val="19"/>
                <w:spacing w:val="-2"/>
              </w:rPr>
              <w:t>1494</w:t>
            </w:r>
          </w:p>
        </w:tc>
        <w:tc>
          <w:tcPr>
            <w:tcW w:w="1105" w:type="dxa"/>
            <w:vAlign w:val="top"/>
            <w:tcBorders>
              <w:right w:val="single" w:color="000000" w:sz="6" w:space="0"/>
            </w:tcBorders>
          </w:tcPr>
          <w:p>
            <w:pPr>
              <w:rPr>
                <w:rFonts w:ascii="Arial"/>
                <w:sz w:val="21"/>
              </w:rPr>
            </w:pPr>
            <w:r/>
          </w:p>
        </w:tc>
      </w:tr>
      <w:tr>
        <w:trPr>
          <w:trHeight w:val="316" w:hRule="atLeast"/>
        </w:trPr>
        <w:tc>
          <w:tcPr>
            <w:tcW w:w="3402" w:type="dxa"/>
            <w:vAlign w:val="top"/>
            <w:tcBorders>
              <w:left w:val="single" w:color="000000" w:sz="6" w:space="0"/>
            </w:tcBorders>
          </w:tcPr>
          <w:p>
            <w:pPr>
              <w:rPr>
                <w:rFonts w:ascii="Arial"/>
                <w:sz w:val="21"/>
              </w:rPr>
            </w:pPr>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402"/>
              <w:spacing w:before="59" w:line="222" w:lineRule="auto"/>
              <w:rPr>
                <w:sz w:val="19"/>
                <w:szCs w:val="19"/>
              </w:rPr>
            </w:pPr>
            <w:r>
              <w:rPr>
                <w:sz w:val="19"/>
                <w:szCs w:val="19"/>
                <w:spacing w:val="-5"/>
              </w:rPr>
              <w:t>其他政府性基金及对应专项债务收入安排的支出</w:t>
            </w:r>
          </w:p>
        </w:tc>
        <w:tc>
          <w:tcPr>
            <w:tcW w:w="1026" w:type="dxa"/>
            <w:vAlign w:val="top"/>
          </w:tcPr>
          <w:p>
            <w:pPr>
              <w:pStyle w:val="TableText"/>
              <w:ind w:right="8"/>
              <w:spacing w:before="55" w:line="250" w:lineRule="exact"/>
              <w:jc w:val="right"/>
              <w:rPr>
                <w:sz w:val="19"/>
                <w:szCs w:val="19"/>
              </w:rPr>
            </w:pPr>
            <w:r>
              <w:rPr>
                <w:sz w:val="19"/>
                <w:szCs w:val="19"/>
                <w:spacing w:val="1"/>
                <w:position w:val="1"/>
              </w:rPr>
              <w:t>5000</w:t>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17" w:hRule="atLeast"/>
        </w:trPr>
        <w:tc>
          <w:tcPr>
            <w:tcW w:w="3402" w:type="dxa"/>
            <w:vAlign w:val="top"/>
            <w:tcBorders>
              <w:left w:val="single" w:color="000000" w:sz="6" w:space="0"/>
            </w:tcBorders>
          </w:tcPr>
          <w:p>
            <w:pPr>
              <w:rPr>
                <w:rFonts w:ascii="Arial"/>
                <w:sz w:val="21"/>
              </w:rPr>
            </w:pPr>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416"/>
              <w:spacing w:before="61" w:line="220" w:lineRule="auto"/>
              <w:rPr>
                <w:sz w:val="19"/>
                <w:szCs w:val="19"/>
              </w:rPr>
            </w:pPr>
            <w:r>
              <w:rPr>
                <w:sz w:val="19"/>
                <w:szCs w:val="19"/>
                <w:spacing w:val="9"/>
              </w:rPr>
              <w:t>彩票发行销售机构业务费安排的支出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17" w:hRule="atLeast"/>
        </w:trPr>
        <w:tc>
          <w:tcPr>
            <w:tcW w:w="3402" w:type="dxa"/>
            <w:vAlign w:val="top"/>
            <w:tcBorders>
              <w:left w:val="single" w:color="000000" w:sz="6" w:space="0"/>
            </w:tcBorders>
          </w:tcPr>
          <w:p>
            <w:pPr>
              <w:rPr>
                <w:rFonts w:ascii="Arial"/>
                <w:sz w:val="21"/>
              </w:rPr>
            </w:pPr>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416"/>
              <w:spacing w:before="61" w:line="218" w:lineRule="auto"/>
              <w:rPr>
                <w:sz w:val="19"/>
                <w:szCs w:val="19"/>
              </w:rPr>
            </w:pPr>
            <w:r>
              <w:rPr>
                <w:sz w:val="19"/>
                <w:szCs w:val="19"/>
                <w:spacing w:val="9"/>
              </w:rPr>
              <w:t>彩票公益金安排的支出</w:t>
            </w:r>
          </w:p>
        </w:tc>
        <w:tc>
          <w:tcPr>
            <w:tcW w:w="1026" w:type="dxa"/>
            <w:vAlign w:val="top"/>
          </w:tcPr>
          <w:p>
            <w:pPr>
              <w:pStyle w:val="TableText"/>
              <w:ind w:right="8"/>
              <w:spacing w:before="55" w:line="252" w:lineRule="exact"/>
              <w:jc w:val="right"/>
              <w:rPr>
                <w:sz w:val="19"/>
                <w:szCs w:val="19"/>
              </w:rPr>
            </w:pPr>
            <w:r>
              <w:rPr>
                <w:sz w:val="19"/>
                <w:szCs w:val="19"/>
                <w:spacing w:val="-2"/>
                <w:position w:val="1"/>
              </w:rPr>
              <w:t>1070</w:t>
            </w:r>
          </w:p>
        </w:tc>
        <w:tc>
          <w:tcPr>
            <w:tcW w:w="868" w:type="dxa"/>
            <w:vAlign w:val="top"/>
          </w:tcPr>
          <w:p>
            <w:pPr>
              <w:pStyle w:val="TableText"/>
              <w:ind w:right="7"/>
              <w:spacing w:before="55" w:line="252" w:lineRule="exact"/>
              <w:jc w:val="right"/>
              <w:rPr>
                <w:sz w:val="19"/>
                <w:szCs w:val="19"/>
              </w:rPr>
            </w:pPr>
            <w:r>
              <w:rPr>
                <w:sz w:val="19"/>
                <w:szCs w:val="19"/>
                <w:spacing w:val="-2"/>
                <w:position w:val="1"/>
              </w:rPr>
              <w:t>1494</w:t>
            </w:r>
          </w:p>
        </w:tc>
        <w:tc>
          <w:tcPr>
            <w:tcW w:w="1105" w:type="dxa"/>
            <w:vAlign w:val="top"/>
            <w:tcBorders>
              <w:right w:val="single" w:color="000000" w:sz="6" w:space="0"/>
            </w:tcBorders>
          </w:tcPr>
          <w:p>
            <w:pPr>
              <w:rPr>
                <w:rFonts w:ascii="Arial"/>
                <w:sz w:val="21"/>
              </w:rPr>
            </w:pPr>
            <w:r/>
          </w:p>
        </w:tc>
      </w:tr>
      <w:tr>
        <w:trPr>
          <w:trHeight w:val="317" w:hRule="atLeast"/>
        </w:trPr>
        <w:tc>
          <w:tcPr>
            <w:tcW w:w="3402" w:type="dxa"/>
            <w:vAlign w:val="top"/>
            <w:tcBorders>
              <w:left w:val="single" w:color="000000" w:sz="6" w:space="0"/>
            </w:tcBorders>
          </w:tcPr>
          <w:p>
            <w:pPr>
              <w:rPr>
                <w:rFonts w:ascii="Arial"/>
                <w:sz w:val="21"/>
              </w:rPr>
            </w:pPr>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16"/>
              <w:spacing w:before="58" w:line="225" w:lineRule="auto"/>
              <w:rPr>
                <w:sz w:val="19"/>
                <w:szCs w:val="19"/>
              </w:rPr>
            </w:pPr>
            <w:r>
              <w:rPr>
                <w:sz w:val="19"/>
                <w:szCs w:val="19"/>
                <w:spacing w:val="8"/>
              </w:rPr>
              <w:t>九、债务付息支出</w:t>
            </w:r>
          </w:p>
        </w:tc>
        <w:tc>
          <w:tcPr>
            <w:tcW w:w="1026" w:type="dxa"/>
            <w:vAlign w:val="top"/>
          </w:tcPr>
          <w:p>
            <w:pPr>
              <w:pStyle w:val="TableText"/>
              <w:ind w:right="8"/>
              <w:spacing w:before="57" w:line="250" w:lineRule="exact"/>
              <w:jc w:val="right"/>
              <w:rPr>
                <w:sz w:val="19"/>
                <w:szCs w:val="19"/>
              </w:rPr>
            </w:pPr>
            <w:r>
              <w:rPr>
                <w:sz w:val="19"/>
                <w:szCs w:val="19"/>
                <w:spacing w:val="2"/>
                <w:position w:val="1"/>
              </w:rPr>
              <w:t>4780</w:t>
            </w:r>
          </w:p>
        </w:tc>
        <w:tc>
          <w:tcPr>
            <w:tcW w:w="868" w:type="dxa"/>
            <w:vAlign w:val="top"/>
          </w:tcPr>
          <w:p>
            <w:pPr>
              <w:pStyle w:val="TableText"/>
              <w:ind w:right="5"/>
              <w:spacing w:before="57" w:line="250" w:lineRule="exact"/>
              <w:jc w:val="right"/>
              <w:rPr>
                <w:sz w:val="19"/>
                <w:szCs w:val="19"/>
              </w:rPr>
            </w:pPr>
            <w:r>
              <w:rPr>
                <w:sz w:val="19"/>
                <w:szCs w:val="19"/>
                <w:spacing w:val="-1"/>
                <w:position w:val="1"/>
              </w:rPr>
              <w:t>18355</w:t>
            </w:r>
          </w:p>
        </w:tc>
        <w:tc>
          <w:tcPr>
            <w:tcW w:w="1105" w:type="dxa"/>
            <w:vAlign w:val="top"/>
            <w:tcBorders>
              <w:right w:val="single" w:color="000000" w:sz="6" w:space="0"/>
            </w:tcBorders>
          </w:tcPr>
          <w:p>
            <w:pPr>
              <w:rPr>
                <w:rFonts w:ascii="Arial"/>
                <w:sz w:val="21"/>
              </w:rPr>
            </w:pPr>
            <w:r/>
          </w:p>
        </w:tc>
      </w:tr>
      <w:tr>
        <w:trPr>
          <w:trHeight w:val="317" w:hRule="atLeast"/>
        </w:trPr>
        <w:tc>
          <w:tcPr>
            <w:tcW w:w="3402" w:type="dxa"/>
            <w:vAlign w:val="top"/>
            <w:tcBorders>
              <w:left w:val="single" w:color="000000" w:sz="6" w:space="0"/>
            </w:tcBorders>
          </w:tcPr>
          <w:p>
            <w:pPr>
              <w:rPr>
                <w:rFonts w:ascii="Arial"/>
                <w:sz w:val="21"/>
              </w:rPr>
            </w:pPr>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21"/>
              <w:spacing w:before="61" w:line="221" w:lineRule="auto"/>
              <w:rPr>
                <w:sz w:val="19"/>
                <w:szCs w:val="19"/>
              </w:rPr>
            </w:pPr>
            <w:r>
              <w:rPr>
                <w:sz w:val="19"/>
                <w:szCs w:val="19"/>
                <w:spacing w:val="8"/>
              </w:rPr>
              <w:t>十、债务发行费用支出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16" w:hRule="atLeast"/>
        </w:trPr>
        <w:tc>
          <w:tcPr>
            <w:tcW w:w="3402" w:type="dxa"/>
            <w:vAlign w:val="top"/>
            <w:tcBorders>
              <w:left w:val="single" w:color="000000" w:sz="6" w:space="0"/>
            </w:tcBorders>
          </w:tcPr>
          <w:p>
            <w:pPr>
              <w:rPr>
                <w:rFonts w:ascii="Arial"/>
                <w:sz w:val="21"/>
              </w:rPr>
            </w:pPr>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21"/>
              <w:spacing w:before="62" w:line="220" w:lineRule="auto"/>
              <w:rPr>
                <w:sz w:val="19"/>
                <w:szCs w:val="19"/>
              </w:rPr>
            </w:pPr>
            <w:r>
              <w:rPr>
                <w:sz w:val="19"/>
                <w:szCs w:val="19"/>
                <w:spacing w:val="9"/>
              </w:rPr>
              <w:t>十一、抗疫特别国债安排的支出</w:t>
            </w:r>
          </w:p>
        </w:tc>
        <w:tc>
          <w:tcPr>
            <w:tcW w:w="1026" w:type="dxa"/>
            <w:vAlign w:val="top"/>
          </w:tcPr>
          <w:p>
            <w:pPr>
              <w:pStyle w:val="TableText"/>
              <w:ind w:right="8"/>
              <w:spacing w:before="57" w:line="241" w:lineRule="auto"/>
              <w:jc w:val="right"/>
              <w:rPr>
                <w:sz w:val="19"/>
                <w:szCs w:val="19"/>
              </w:rPr>
            </w:pPr>
            <w:r>
              <w:rPr>
                <w:sz w:val="19"/>
                <w:szCs w:val="19"/>
                <w:spacing w:val="-6"/>
              </w:rPr>
              <w:t>33,711</w:t>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17" w:hRule="atLeast"/>
        </w:trPr>
        <w:tc>
          <w:tcPr>
            <w:tcW w:w="3402" w:type="dxa"/>
            <w:vAlign w:val="top"/>
            <w:tcBorders>
              <w:left w:val="single" w:color="000000" w:sz="6" w:space="0"/>
            </w:tcBorders>
          </w:tcPr>
          <w:p>
            <w:pPr>
              <w:rPr>
                <w:rFonts w:ascii="Arial"/>
                <w:sz w:val="21"/>
              </w:rPr>
            </w:pPr>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414"/>
              <w:spacing w:before="61" w:line="221" w:lineRule="auto"/>
              <w:rPr>
                <w:sz w:val="19"/>
                <w:szCs w:val="19"/>
              </w:rPr>
            </w:pPr>
            <w:r>
              <w:rPr>
                <w:sz w:val="19"/>
                <w:szCs w:val="19"/>
                <w:spacing w:val="9"/>
              </w:rPr>
              <w:t>基础设施建设</w:t>
            </w:r>
          </w:p>
        </w:tc>
        <w:tc>
          <w:tcPr>
            <w:tcW w:w="1026" w:type="dxa"/>
            <w:vAlign w:val="top"/>
          </w:tcPr>
          <w:p>
            <w:pPr>
              <w:pStyle w:val="TableText"/>
              <w:ind w:right="8"/>
              <w:spacing w:before="58" w:line="241" w:lineRule="auto"/>
              <w:jc w:val="right"/>
              <w:rPr>
                <w:sz w:val="19"/>
                <w:szCs w:val="19"/>
              </w:rPr>
            </w:pPr>
            <w:r>
              <w:rPr>
                <w:sz w:val="19"/>
                <w:szCs w:val="19"/>
                <w:spacing w:val="-1"/>
              </w:rPr>
              <w:t>14711</w:t>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17" w:hRule="atLeast"/>
        </w:trPr>
        <w:tc>
          <w:tcPr>
            <w:tcW w:w="3402" w:type="dxa"/>
            <w:vAlign w:val="top"/>
            <w:tcBorders>
              <w:left w:val="single" w:color="000000" w:sz="6" w:space="0"/>
            </w:tcBorders>
          </w:tcPr>
          <w:p>
            <w:pPr>
              <w:rPr>
                <w:rFonts w:ascii="Arial"/>
                <w:sz w:val="21"/>
              </w:rPr>
            </w:pPr>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413"/>
              <w:spacing w:before="66" w:line="218" w:lineRule="auto"/>
              <w:rPr>
                <w:sz w:val="19"/>
                <w:szCs w:val="19"/>
              </w:rPr>
            </w:pPr>
            <w:r>
              <w:rPr>
                <w:sz w:val="19"/>
                <w:szCs w:val="19"/>
                <w:spacing w:val="9"/>
              </w:rPr>
              <w:t>抗疫相关支出</w:t>
            </w:r>
          </w:p>
        </w:tc>
        <w:tc>
          <w:tcPr>
            <w:tcW w:w="1026" w:type="dxa"/>
            <w:vAlign w:val="top"/>
          </w:tcPr>
          <w:p>
            <w:pPr>
              <w:pStyle w:val="TableText"/>
              <w:ind w:right="8"/>
              <w:spacing w:before="61" w:line="239" w:lineRule="auto"/>
              <w:jc w:val="right"/>
              <w:rPr>
                <w:sz w:val="19"/>
                <w:szCs w:val="19"/>
              </w:rPr>
            </w:pPr>
            <w:r>
              <w:rPr>
                <w:sz w:val="19"/>
                <w:szCs w:val="19"/>
                <w:spacing w:val="-1"/>
              </w:rPr>
              <w:t>19000</w:t>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16" w:hRule="atLeast"/>
        </w:trPr>
        <w:tc>
          <w:tcPr>
            <w:tcW w:w="3402" w:type="dxa"/>
            <w:vAlign w:val="top"/>
            <w:tcBorders>
              <w:left w:val="single" w:color="000000" w:sz="6" w:space="0"/>
            </w:tcBorders>
          </w:tcPr>
          <w:p>
            <w:pPr>
              <w:pStyle w:val="TableText"/>
              <w:ind w:left="22"/>
              <w:spacing w:before="64" w:line="221" w:lineRule="auto"/>
              <w:rPr>
                <w:sz w:val="19"/>
                <w:szCs w:val="19"/>
              </w:rPr>
            </w:pPr>
            <w:r>
              <w:rPr>
                <w:sz w:val="19"/>
                <w:szCs w:val="19"/>
                <w:b/>
                <w:bCs/>
                <w:spacing w:val="5"/>
              </w:rPr>
              <w:t>收入合计</w:t>
            </w:r>
          </w:p>
        </w:tc>
        <w:tc>
          <w:tcPr>
            <w:tcW w:w="956" w:type="dxa"/>
            <w:vAlign w:val="top"/>
          </w:tcPr>
          <w:p>
            <w:pPr>
              <w:pStyle w:val="TableText"/>
              <w:ind w:right="15"/>
              <w:spacing w:before="60" w:line="239" w:lineRule="auto"/>
              <w:jc w:val="right"/>
              <w:rPr>
                <w:sz w:val="19"/>
                <w:szCs w:val="19"/>
              </w:rPr>
            </w:pPr>
            <w:r>
              <w:rPr>
                <w:sz w:val="19"/>
                <w:szCs w:val="19"/>
                <w:spacing w:val="3"/>
              </w:rPr>
              <w:t>46246</w:t>
            </w:r>
          </w:p>
        </w:tc>
        <w:tc>
          <w:tcPr>
            <w:tcW w:w="838" w:type="dxa"/>
            <w:vAlign w:val="top"/>
          </w:tcPr>
          <w:p>
            <w:pPr>
              <w:pStyle w:val="TableText"/>
              <w:ind w:right="16"/>
              <w:spacing w:before="60" w:line="239" w:lineRule="auto"/>
              <w:jc w:val="right"/>
              <w:rPr>
                <w:sz w:val="19"/>
                <w:szCs w:val="19"/>
              </w:rPr>
            </w:pPr>
            <w:r>
              <w:rPr>
                <w:sz w:val="19"/>
                <w:szCs w:val="19"/>
              </w:rPr>
              <w:t>100700</w:t>
            </w:r>
          </w:p>
        </w:tc>
        <w:tc>
          <w:tcPr>
            <w:tcW w:w="1106" w:type="dxa"/>
            <w:vAlign w:val="top"/>
          </w:tcPr>
          <w:p>
            <w:pPr>
              <w:rPr>
                <w:rFonts w:ascii="Arial"/>
                <w:sz w:val="21"/>
              </w:rPr>
            </w:pPr>
            <w:r/>
          </w:p>
        </w:tc>
        <w:tc>
          <w:tcPr>
            <w:tcW w:w="4595" w:type="dxa"/>
            <w:vAlign w:val="top"/>
          </w:tcPr>
          <w:p>
            <w:pPr>
              <w:pStyle w:val="TableText"/>
              <w:ind w:left="15"/>
              <w:spacing w:before="63" w:line="222" w:lineRule="auto"/>
              <w:rPr>
                <w:sz w:val="19"/>
                <w:szCs w:val="19"/>
              </w:rPr>
            </w:pPr>
            <w:r>
              <w:rPr>
                <w:sz w:val="19"/>
                <w:szCs w:val="19"/>
                <w:b/>
                <w:bCs/>
                <w:spacing w:val="7"/>
              </w:rPr>
              <w:t>支出合计</w:t>
            </w:r>
          </w:p>
        </w:tc>
        <w:tc>
          <w:tcPr>
            <w:tcW w:w="1026" w:type="dxa"/>
            <w:vAlign w:val="top"/>
          </w:tcPr>
          <w:p>
            <w:pPr>
              <w:pStyle w:val="TableText"/>
              <w:ind w:right="8"/>
              <w:spacing w:before="60" w:line="239" w:lineRule="auto"/>
              <w:jc w:val="right"/>
              <w:rPr>
                <w:sz w:val="19"/>
                <w:szCs w:val="19"/>
              </w:rPr>
            </w:pPr>
            <w:r>
              <w:rPr>
                <w:sz w:val="19"/>
                <w:szCs w:val="19"/>
                <w:spacing w:val="1"/>
              </w:rPr>
              <w:t>83578</w:t>
            </w:r>
          </w:p>
        </w:tc>
        <w:tc>
          <w:tcPr>
            <w:tcW w:w="868" w:type="dxa"/>
            <w:vAlign w:val="top"/>
          </w:tcPr>
          <w:p>
            <w:pPr>
              <w:pStyle w:val="TableText"/>
              <w:ind w:right="7"/>
              <w:spacing w:before="60" w:line="239" w:lineRule="auto"/>
              <w:jc w:val="right"/>
              <w:rPr>
                <w:sz w:val="19"/>
                <w:szCs w:val="19"/>
              </w:rPr>
            </w:pPr>
            <w:r>
              <w:rPr>
                <w:sz w:val="19"/>
                <w:szCs w:val="19"/>
              </w:rPr>
              <w:t>102194</w:t>
            </w:r>
          </w:p>
        </w:tc>
        <w:tc>
          <w:tcPr>
            <w:tcW w:w="1105" w:type="dxa"/>
            <w:vAlign w:val="top"/>
            <w:tcBorders>
              <w:right w:val="single" w:color="000000" w:sz="6" w:space="0"/>
            </w:tcBorders>
          </w:tcPr>
          <w:p>
            <w:pPr>
              <w:rPr>
                <w:rFonts w:ascii="Arial"/>
                <w:sz w:val="21"/>
              </w:rPr>
            </w:pPr>
            <w:r/>
          </w:p>
        </w:tc>
      </w:tr>
      <w:tr>
        <w:trPr>
          <w:trHeight w:val="317" w:hRule="atLeast"/>
        </w:trPr>
        <w:tc>
          <w:tcPr>
            <w:tcW w:w="3402" w:type="dxa"/>
            <w:vAlign w:val="top"/>
            <w:tcBorders>
              <w:left w:val="single" w:color="000000" w:sz="6" w:space="0"/>
            </w:tcBorders>
          </w:tcPr>
          <w:p>
            <w:pPr>
              <w:pStyle w:val="TableText"/>
              <w:ind w:left="16"/>
              <w:spacing w:before="66" w:line="218" w:lineRule="auto"/>
              <w:rPr>
                <w:sz w:val="19"/>
                <w:szCs w:val="19"/>
              </w:rPr>
            </w:pPr>
            <w:r>
              <w:rPr>
                <w:sz w:val="19"/>
                <w:szCs w:val="19"/>
                <w:b/>
                <w:bCs/>
                <w:spacing w:val="7"/>
              </w:rPr>
              <w:t>转移性收入</w:t>
            </w:r>
          </w:p>
        </w:tc>
        <w:tc>
          <w:tcPr>
            <w:tcW w:w="956" w:type="dxa"/>
            <w:vAlign w:val="top"/>
          </w:tcPr>
          <w:p>
            <w:pPr>
              <w:pStyle w:val="TableText"/>
              <w:ind w:right="15"/>
              <w:spacing w:before="60"/>
              <w:jc w:val="right"/>
              <w:rPr>
                <w:sz w:val="19"/>
                <w:szCs w:val="19"/>
              </w:rPr>
            </w:pPr>
            <w:r>
              <w:rPr>
                <w:sz w:val="19"/>
                <w:szCs w:val="19"/>
                <w:spacing w:val="3"/>
              </w:rPr>
              <w:t>40508</w:t>
            </w:r>
          </w:p>
        </w:tc>
        <w:tc>
          <w:tcPr>
            <w:tcW w:w="838" w:type="dxa"/>
            <w:vAlign w:val="top"/>
          </w:tcPr>
          <w:p>
            <w:pPr>
              <w:pStyle w:val="TableText"/>
              <w:ind w:right="13"/>
              <w:spacing w:before="60"/>
              <w:jc w:val="right"/>
              <w:rPr>
                <w:sz w:val="19"/>
                <w:szCs w:val="19"/>
              </w:rPr>
            </w:pPr>
            <w:r>
              <w:rPr>
                <w:sz w:val="19"/>
                <w:szCs w:val="19"/>
                <w:spacing w:val="-2"/>
              </w:rPr>
              <w:t>1494</w:t>
            </w:r>
          </w:p>
        </w:tc>
        <w:tc>
          <w:tcPr>
            <w:tcW w:w="1106" w:type="dxa"/>
            <w:vAlign w:val="top"/>
          </w:tcPr>
          <w:p>
            <w:pPr>
              <w:rPr>
                <w:rFonts w:ascii="Arial"/>
                <w:sz w:val="21"/>
              </w:rPr>
            </w:pPr>
            <w:r/>
          </w:p>
        </w:tc>
        <w:tc>
          <w:tcPr>
            <w:tcW w:w="4595" w:type="dxa"/>
            <w:vAlign w:val="top"/>
          </w:tcPr>
          <w:p>
            <w:pPr>
              <w:pStyle w:val="TableText"/>
              <w:ind w:left="14"/>
              <w:spacing w:before="65" w:line="219" w:lineRule="auto"/>
              <w:rPr>
                <w:sz w:val="19"/>
                <w:szCs w:val="19"/>
              </w:rPr>
            </w:pPr>
            <w:r>
              <w:rPr>
                <w:sz w:val="19"/>
                <w:szCs w:val="19"/>
                <w:b/>
                <w:bCs/>
                <w:spacing w:val="7"/>
              </w:rPr>
              <w:t>转移性支出</w:t>
            </w:r>
          </w:p>
        </w:tc>
        <w:tc>
          <w:tcPr>
            <w:tcW w:w="1026" w:type="dxa"/>
            <w:vAlign w:val="top"/>
          </w:tcPr>
          <w:p>
            <w:pPr>
              <w:pStyle w:val="TableText"/>
              <w:ind w:right="8"/>
              <w:spacing w:before="60"/>
              <w:jc w:val="right"/>
              <w:rPr>
                <w:sz w:val="19"/>
                <w:szCs w:val="19"/>
              </w:rPr>
            </w:pPr>
            <w:r>
              <w:rPr>
                <w:sz w:val="19"/>
                <w:szCs w:val="19"/>
                <w:spacing w:val="1"/>
              </w:rPr>
              <w:t>3176</w:t>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17" w:hRule="atLeast"/>
        </w:trPr>
        <w:tc>
          <w:tcPr>
            <w:tcW w:w="3402" w:type="dxa"/>
            <w:vAlign w:val="top"/>
            <w:tcBorders>
              <w:left w:val="single" w:color="000000" w:sz="6" w:space="0"/>
            </w:tcBorders>
          </w:tcPr>
          <w:p>
            <w:pPr>
              <w:pStyle w:val="TableText"/>
              <w:ind w:left="215"/>
              <w:spacing w:before="67" w:line="218" w:lineRule="auto"/>
              <w:rPr>
                <w:sz w:val="19"/>
                <w:szCs w:val="19"/>
              </w:rPr>
            </w:pPr>
            <w:r>
              <w:rPr>
                <w:sz w:val="19"/>
                <w:szCs w:val="19"/>
                <w:spacing w:val="9"/>
              </w:rPr>
              <w:t>政府性基金转移收入</w:t>
            </w:r>
          </w:p>
        </w:tc>
        <w:tc>
          <w:tcPr>
            <w:tcW w:w="956" w:type="dxa"/>
            <w:vAlign w:val="top"/>
          </w:tcPr>
          <w:p>
            <w:pPr>
              <w:pStyle w:val="TableText"/>
              <w:ind w:right="15"/>
              <w:spacing w:before="62" w:line="238" w:lineRule="auto"/>
              <w:jc w:val="right"/>
              <w:rPr>
                <w:sz w:val="19"/>
                <w:szCs w:val="19"/>
              </w:rPr>
            </w:pPr>
            <w:r>
              <w:rPr>
                <w:sz w:val="19"/>
                <w:szCs w:val="19"/>
                <w:spacing w:val="2"/>
              </w:rPr>
              <w:t>34781</w:t>
            </w:r>
          </w:p>
        </w:tc>
        <w:tc>
          <w:tcPr>
            <w:tcW w:w="838" w:type="dxa"/>
            <w:vAlign w:val="top"/>
          </w:tcPr>
          <w:p>
            <w:pPr>
              <w:pStyle w:val="TableText"/>
              <w:ind w:right="13"/>
              <w:spacing w:before="62" w:line="238" w:lineRule="auto"/>
              <w:jc w:val="right"/>
              <w:rPr>
                <w:sz w:val="19"/>
                <w:szCs w:val="19"/>
              </w:rPr>
            </w:pPr>
            <w:r>
              <w:rPr>
                <w:sz w:val="19"/>
                <w:szCs w:val="19"/>
                <w:spacing w:val="-2"/>
              </w:rPr>
              <w:t>1494</w:t>
            </w:r>
          </w:p>
        </w:tc>
        <w:tc>
          <w:tcPr>
            <w:tcW w:w="1106" w:type="dxa"/>
            <w:vAlign w:val="top"/>
          </w:tcPr>
          <w:p>
            <w:pPr>
              <w:rPr>
                <w:rFonts w:ascii="Arial"/>
                <w:sz w:val="21"/>
              </w:rPr>
            </w:pPr>
            <w:r/>
          </w:p>
        </w:tc>
        <w:tc>
          <w:tcPr>
            <w:tcW w:w="4595" w:type="dxa"/>
            <w:vAlign w:val="top"/>
          </w:tcPr>
          <w:p>
            <w:pPr>
              <w:pStyle w:val="TableText"/>
              <w:ind w:left="216"/>
              <w:spacing w:before="64" w:line="224" w:lineRule="auto"/>
              <w:rPr>
                <w:sz w:val="19"/>
                <w:szCs w:val="19"/>
              </w:rPr>
            </w:pPr>
            <w:r>
              <w:rPr>
                <w:sz w:val="19"/>
                <w:szCs w:val="19"/>
                <w:spacing w:val="9"/>
              </w:rPr>
              <w:t>政府性基金转移支付</w:t>
            </w:r>
          </w:p>
        </w:tc>
        <w:tc>
          <w:tcPr>
            <w:tcW w:w="1026" w:type="dxa"/>
            <w:vAlign w:val="top"/>
          </w:tcPr>
          <w:p>
            <w:pPr>
              <w:pStyle w:val="TableText"/>
              <w:ind w:right="8"/>
              <w:spacing w:before="62" w:line="238" w:lineRule="auto"/>
              <w:jc w:val="right"/>
              <w:rPr>
                <w:sz w:val="19"/>
                <w:szCs w:val="19"/>
              </w:rPr>
            </w:pPr>
            <w:r>
              <w:rPr>
                <w:sz w:val="19"/>
                <w:szCs w:val="19"/>
                <w:spacing w:val="2"/>
              </w:rPr>
              <w:t>2640</w:t>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17" w:hRule="atLeast"/>
        </w:trPr>
        <w:tc>
          <w:tcPr>
            <w:tcW w:w="3402" w:type="dxa"/>
            <w:vAlign w:val="top"/>
            <w:tcBorders>
              <w:left w:val="single" w:color="000000" w:sz="6" w:space="0"/>
            </w:tcBorders>
          </w:tcPr>
          <w:p>
            <w:pPr>
              <w:pStyle w:val="TableText"/>
              <w:ind w:left="414"/>
              <w:spacing w:before="66" w:line="218" w:lineRule="auto"/>
              <w:rPr>
                <w:sz w:val="19"/>
                <w:szCs w:val="19"/>
              </w:rPr>
            </w:pPr>
            <w:r>
              <w:rPr>
                <w:sz w:val="19"/>
                <w:szCs w:val="19"/>
                <w:spacing w:val="9"/>
              </w:rPr>
              <w:t>政府性基金补助收入</w:t>
            </w:r>
          </w:p>
        </w:tc>
        <w:tc>
          <w:tcPr>
            <w:tcW w:w="956" w:type="dxa"/>
            <w:vAlign w:val="top"/>
          </w:tcPr>
          <w:p>
            <w:pPr>
              <w:pStyle w:val="TableText"/>
              <w:ind w:right="15"/>
              <w:spacing w:before="62" w:line="238" w:lineRule="auto"/>
              <w:jc w:val="right"/>
              <w:rPr>
                <w:sz w:val="19"/>
                <w:szCs w:val="19"/>
              </w:rPr>
            </w:pPr>
            <w:r>
              <w:rPr>
                <w:sz w:val="19"/>
                <w:szCs w:val="19"/>
                <w:spacing w:val="2"/>
              </w:rPr>
              <w:t>34781</w:t>
            </w:r>
          </w:p>
        </w:tc>
        <w:tc>
          <w:tcPr>
            <w:tcW w:w="838" w:type="dxa"/>
            <w:vAlign w:val="top"/>
          </w:tcPr>
          <w:p>
            <w:pPr>
              <w:pStyle w:val="TableText"/>
              <w:ind w:right="13"/>
              <w:spacing w:before="62" w:line="238" w:lineRule="auto"/>
              <w:jc w:val="right"/>
              <w:rPr>
                <w:sz w:val="19"/>
                <w:szCs w:val="19"/>
              </w:rPr>
            </w:pPr>
            <w:r>
              <w:rPr>
                <w:sz w:val="19"/>
                <w:szCs w:val="19"/>
                <w:spacing w:val="-2"/>
              </w:rPr>
              <w:t>1494</w:t>
            </w:r>
          </w:p>
        </w:tc>
        <w:tc>
          <w:tcPr>
            <w:tcW w:w="1106" w:type="dxa"/>
            <w:vAlign w:val="top"/>
          </w:tcPr>
          <w:p>
            <w:pPr>
              <w:rPr>
                <w:rFonts w:ascii="Arial"/>
                <w:sz w:val="21"/>
              </w:rPr>
            </w:pPr>
            <w:r/>
          </w:p>
        </w:tc>
        <w:tc>
          <w:tcPr>
            <w:tcW w:w="4595" w:type="dxa"/>
            <w:vAlign w:val="top"/>
          </w:tcPr>
          <w:p>
            <w:pPr>
              <w:pStyle w:val="TableText"/>
              <w:ind w:left="415"/>
              <w:spacing w:before="66" w:line="218" w:lineRule="auto"/>
              <w:rPr>
                <w:sz w:val="19"/>
                <w:szCs w:val="19"/>
              </w:rPr>
            </w:pPr>
            <w:r>
              <w:rPr>
                <w:sz w:val="19"/>
                <w:szCs w:val="19"/>
                <w:spacing w:val="9"/>
              </w:rPr>
              <w:t>政府性基金补助支出</w:t>
            </w:r>
          </w:p>
        </w:tc>
        <w:tc>
          <w:tcPr>
            <w:tcW w:w="1026" w:type="dxa"/>
            <w:vAlign w:val="top"/>
          </w:tcPr>
          <w:p>
            <w:pPr>
              <w:pStyle w:val="TableText"/>
              <w:ind w:right="8"/>
              <w:spacing w:before="62" w:line="238" w:lineRule="auto"/>
              <w:jc w:val="right"/>
              <w:rPr>
                <w:sz w:val="19"/>
                <w:szCs w:val="19"/>
              </w:rPr>
            </w:pPr>
            <w:r>
              <w:rPr>
                <w:sz w:val="19"/>
                <w:szCs w:val="19"/>
                <w:spacing w:val="2"/>
              </w:rPr>
              <w:t>2640</w:t>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16" w:hRule="atLeast"/>
        </w:trPr>
        <w:tc>
          <w:tcPr>
            <w:tcW w:w="3402" w:type="dxa"/>
            <w:vAlign w:val="top"/>
            <w:tcBorders>
              <w:left w:val="single" w:color="000000" w:sz="6" w:space="0"/>
            </w:tcBorders>
          </w:tcPr>
          <w:p>
            <w:pPr>
              <w:pStyle w:val="TableText"/>
              <w:ind w:left="414"/>
              <w:spacing w:before="68" w:line="218" w:lineRule="auto"/>
              <w:rPr>
                <w:sz w:val="19"/>
                <w:szCs w:val="19"/>
              </w:rPr>
            </w:pPr>
            <w:r>
              <w:rPr>
                <w:sz w:val="19"/>
                <w:szCs w:val="19"/>
                <w:spacing w:val="9"/>
              </w:rPr>
              <w:t>政府性基金上解收入</w:t>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415"/>
              <w:spacing w:before="68" w:line="218" w:lineRule="auto"/>
              <w:rPr>
                <w:sz w:val="19"/>
                <w:szCs w:val="19"/>
              </w:rPr>
            </w:pPr>
            <w:r>
              <w:rPr>
                <w:sz w:val="19"/>
                <w:szCs w:val="19"/>
                <w:spacing w:val="9"/>
              </w:rPr>
              <w:t>政府性基金上解支出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17" w:hRule="atLeast"/>
        </w:trPr>
        <w:tc>
          <w:tcPr>
            <w:tcW w:w="3402" w:type="dxa"/>
            <w:vAlign w:val="top"/>
            <w:tcBorders>
              <w:left w:val="single" w:color="000000" w:sz="6" w:space="0"/>
            </w:tcBorders>
          </w:tcPr>
          <w:p>
            <w:pPr>
              <w:pStyle w:val="TableText"/>
              <w:ind w:left="215"/>
              <w:spacing w:before="65" w:line="225" w:lineRule="auto"/>
              <w:rPr>
                <w:sz w:val="19"/>
                <w:szCs w:val="19"/>
              </w:rPr>
            </w:pPr>
            <w:r>
              <w:rPr>
                <w:sz w:val="19"/>
                <w:szCs w:val="19"/>
                <w:spacing w:val="9"/>
              </w:rPr>
              <w:t>上年结余收入</w:t>
            </w:r>
          </w:p>
        </w:tc>
        <w:tc>
          <w:tcPr>
            <w:tcW w:w="956" w:type="dxa"/>
            <w:vAlign w:val="top"/>
          </w:tcPr>
          <w:p>
            <w:pPr>
              <w:pStyle w:val="TableText"/>
              <w:ind w:right="15"/>
              <w:spacing w:before="64" w:line="236" w:lineRule="auto"/>
              <w:jc w:val="right"/>
              <w:rPr>
                <w:sz w:val="19"/>
                <w:szCs w:val="19"/>
              </w:rPr>
            </w:pPr>
            <w:r>
              <w:rPr>
                <w:sz w:val="19"/>
                <w:szCs w:val="19"/>
                <w:spacing w:val="-4"/>
              </w:rPr>
              <w:t>192</w:t>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115"/>
              <w:spacing w:before="67" w:line="222" w:lineRule="auto"/>
              <w:rPr>
                <w:sz w:val="19"/>
                <w:szCs w:val="19"/>
              </w:rPr>
            </w:pPr>
            <w:r>
              <w:rPr>
                <w:sz w:val="19"/>
                <w:szCs w:val="19"/>
                <w:spacing w:val="8"/>
              </w:rPr>
              <w:t>调出资金</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17" w:hRule="atLeast"/>
        </w:trPr>
        <w:tc>
          <w:tcPr>
            <w:tcW w:w="3402" w:type="dxa"/>
            <w:vAlign w:val="top"/>
            <w:tcBorders>
              <w:left w:val="single" w:color="000000" w:sz="6" w:space="0"/>
            </w:tcBorders>
          </w:tcPr>
          <w:p>
            <w:pPr>
              <w:pStyle w:val="TableText"/>
              <w:ind w:left="215"/>
              <w:spacing w:before="69" w:line="222" w:lineRule="auto"/>
              <w:rPr>
                <w:sz w:val="19"/>
                <w:szCs w:val="19"/>
              </w:rPr>
            </w:pPr>
            <w:r>
              <w:rPr>
                <w:sz w:val="19"/>
                <w:szCs w:val="19"/>
                <w:spacing w:val="8"/>
              </w:rPr>
              <w:t>调入资金</w:t>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117"/>
              <w:spacing w:before="67" w:line="225" w:lineRule="auto"/>
              <w:rPr>
                <w:sz w:val="19"/>
                <w:szCs w:val="19"/>
              </w:rPr>
            </w:pPr>
            <w:r>
              <w:rPr>
                <w:sz w:val="19"/>
                <w:szCs w:val="19"/>
                <w:spacing w:val="8"/>
              </w:rPr>
              <w:t>年终结余</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17" w:hRule="atLeast"/>
        </w:trPr>
        <w:tc>
          <w:tcPr>
            <w:tcW w:w="3402" w:type="dxa"/>
            <w:vAlign w:val="top"/>
            <w:tcBorders>
              <w:left w:val="single" w:color="000000" w:sz="6" w:space="0"/>
            </w:tcBorders>
          </w:tcPr>
          <w:p>
            <w:pPr>
              <w:pStyle w:val="TableText"/>
              <w:ind w:right="4"/>
              <w:spacing w:before="65" w:line="235" w:lineRule="auto"/>
              <w:jc w:val="right"/>
              <w:rPr>
                <w:sz w:val="19"/>
                <w:szCs w:val="19"/>
              </w:rPr>
            </w:pPr>
            <w:r>
              <w:rPr>
                <w:sz w:val="19"/>
                <w:szCs w:val="19"/>
                <w:spacing w:val="-5"/>
              </w:rPr>
              <w:t>其中：地方政府性基金调入专项收入</w:t>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115"/>
              <w:spacing w:before="68" w:line="222" w:lineRule="auto"/>
              <w:rPr>
                <w:sz w:val="19"/>
                <w:szCs w:val="19"/>
              </w:rPr>
            </w:pPr>
            <w:r>
              <w:rPr>
                <w:sz w:val="19"/>
                <w:szCs w:val="19"/>
                <w:spacing w:val="9"/>
              </w:rPr>
              <w:t>地方政府专项债务还本支出</w:t>
            </w:r>
          </w:p>
        </w:tc>
        <w:tc>
          <w:tcPr>
            <w:tcW w:w="1026" w:type="dxa"/>
            <w:vAlign w:val="top"/>
          </w:tcPr>
          <w:p>
            <w:pPr>
              <w:pStyle w:val="TableText"/>
              <w:ind w:right="8"/>
              <w:spacing w:before="65" w:line="235" w:lineRule="auto"/>
              <w:jc w:val="right"/>
              <w:rPr>
                <w:sz w:val="19"/>
                <w:szCs w:val="19"/>
              </w:rPr>
            </w:pPr>
            <w:r>
              <w:rPr>
                <w:sz w:val="19"/>
                <w:szCs w:val="19"/>
                <w:spacing w:val="1"/>
              </w:rPr>
              <w:t>536</w:t>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16" w:hRule="atLeast"/>
        </w:trPr>
        <w:tc>
          <w:tcPr>
            <w:tcW w:w="3402" w:type="dxa"/>
            <w:vAlign w:val="top"/>
            <w:tcBorders>
              <w:left w:val="single" w:color="000000" w:sz="6" w:space="0"/>
            </w:tcBorders>
          </w:tcPr>
          <w:p>
            <w:pPr>
              <w:pStyle w:val="TableText"/>
              <w:ind w:left="215"/>
              <w:spacing w:before="70" w:line="222" w:lineRule="auto"/>
              <w:rPr>
                <w:sz w:val="19"/>
                <w:szCs w:val="19"/>
              </w:rPr>
            </w:pPr>
            <w:r>
              <w:rPr>
                <w:sz w:val="19"/>
                <w:szCs w:val="19"/>
                <w:spacing w:val="9"/>
              </w:rPr>
              <w:t>地方政府专项债务收入</w:t>
            </w:r>
          </w:p>
        </w:tc>
        <w:tc>
          <w:tcPr>
            <w:tcW w:w="956" w:type="dxa"/>
            <w:vAlign w:val="top"/>
          </w:tcPr>
          <w:p>
            <w:pPr>
              <w:rPr>
                <w:rFonts w:ascii="Arial"/>
                <w:sz w:val="21"/>
              </w:rPr>
            </w:pPr>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pStyle w:val="TableText"/>
              <w:ind w:left="115"/>
              <w:spacing w:before="69" w:line="223" w:lineRule="auto"/>
              <w:rPr>
                <w:sz w:val="19"/>
                <w:szCs w:val="19"/>
              </w:rPr>
            </w:pPr>
            <w:r>
              <w:rPr>
                <w:sz w:val="19"/>
                <w:szCs w:val="19"/>
                <w:spacing w:val="9"/>
              </w:rPr>
              <w:t>地方政府专项债务转贷支出</w:t>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17" w:hRule="atLeast"/>
        </w:trPr>
        <w:tc>
          <w:tcPr>
            <w:tcW w:w="3402" w:type="dxa"/>
            <w:vAlign w:val="top"/>
            <w:tcBorders>
              <w:left w:val="single" w:color="000000" w:sz="6" w:space="0"/>
            </w:tcBorders>
          </w:tcPr>
          <w:p>
            <w:pPr>
              <w:pStyle w:val="TableText"/>
              <w:ind w:left="215"/>
              <w:spacing w:before="70" w:line="223" w:lineRule="auto"/>
              <w:rPr>
                <w:sz w:val="19"/>
                <w:szCs w:val="19"/>
              </w:rPr>
            </w:pPr>
            <w:r>
              <w:rPr>
                <w:sz w:val="19"/>
                <w:szCs w:val="19"/>
                <w:spacing w:val="9"/>
              </w:rPr>
              <w:t>地方政府专项债务转贷收入</w:t>
            </w:r>
          </w:p>
        </w:tc>
        <w:tc>
          <w:tcPr>
            <w:tcW w:w="956" w:type="dxa"/>
            <w:vAlign w:val="top"/>
          </w:tcPr>
          <w:p>
            <w:pPr>
              <w:pStyle w:val="TableText"/>
              <w:ind w:right="15"/>
              <w:spacing w:before="67" w:line="233" w:lineRule="auto"/>
              <w:jc w:val="right"/>
              <w:rPr>
                <w:sz w:val="19"/>
                <w:szCs w:val="19"/>
              </w:rPr>
            </w:pPr>
            <w:r>
              <w:rPr>
                <w:sz w:val="19"/>
                <w:szCs w:val="19"/>
                <w:spacing w:val="2"/>
              </w:rPr>
              <w:t>5535</w:t>
            </w:r>
          </w:p>
        </w:tc>
        <w:tc>
          <w:tcPr>
            <w:tcW w:w="838" w:type="dxa"/>
            <w:vAlign w:val="top"/>
          </w:tcPr>
          <w:p>
            <w:pPr>
              <w:rPr>
                <w:rFonts w:ascii="Arial"/>
                <w:sz w:val="21"/>
              </w:rPr>
            </w:pPr>
            <w:r/>
          </w:p>
        </w:tc>
        <w:tc>
          <w:tcPr>
            <w:tcW w:w="1106" w:type="dxa"/>
            <w:vAlign w:val="top"/>
          </w:tcPr>
          <w:p>
            <w:pPr>
              <w:rPr>
                <w:rFonts w:ascii="Arial"/>
                <w:sz w:val="21"/>
              </w:rPr>
            </w:pPr>
            <w:r/>
          </w:p>
        </w:tc>
        <w:tc>
          <w:tcPr>
            <w:tcW w:w="4595" w:type="dxa"/>
            <w:vAlign w:val="top"/>
          </w:tcPr>
          <w:p>
            <w:pPr>
              <w:rPr>
                <w:rFonts w:ascii="Arial"/>
                <w:sz w:val="21"/>
              </w:rPr>
            </w:pPr>
            <w:r/>
          </w:p>
        </w:tc>
        <w:tc>
          <w:tcPr>
            <w:tcW w:w="1026" w:type="dxa"/>
            <w:vAlign w:val="top"/>
          </w:tcPr>
          <w:p>
            <w:pPr>
              <w:rPr>
                <w:rFonts w:ascii="Arial"/>
                <w:sz w:val="21"/>
              </w:rPr>
            </w:pPr>
            <w:r/>
          </w:p>
        </w:tc>
        <w:tc>
          <w:tcPr>
            <w:tcW w:w="868" w:type="dxa"/>
            <w:vAlign w:val="top"/>
          </w:tcPr>
          <w:p>
            <w:pPr>
              <w:rPr>
                <w:rFonts w:ascii="Arial"/>
                <w:sz w:val="21"/>
              </w:rPr>
            </w:pPr>
            <w:r/>
          </w:p>
        </w:tc>
        <w:tc>
          <w:tcPr>
            <w:tcW w:w="1105" w:type="dxa"/>
            <w:vAlign w:val="top"/>
            <w:tcBorders>
              <w:right w:val="single" w:color="000000" w:sz="6" w:space="0"/>
            </w:tcBorders>
          </w:tcPr>
          <w:p>
            <w:pPr>
              <w:rPr>
                <w:rFonts w:ascii="Arial"/>
                <w:sz w:val="21"/>
              </w:rPr>
            </w:pPr>
            <w:r/>
          </w:p>
        </w:tc>
      </w:tr>
      <w:tr>
        <w:trPr>
          <w:trHeight w:val="329" w:hRule="atLeast"/>
        </w:trPr>
        <w:tc>
          <w:tcPr>
            <w:tcW w:w="3402" w:type="dxa"/>
            <w:vAlign w:val="top"/>
            <w:tcBorders>
              <w:left w:val="single" w:color="000000" w:sz="6" w:space="0"/>
              <w:bottom w:val="single" w:color="000000" w:sz="6" w:space="0"/>
            </w:tcBorders>
          </w:tcPr>
          <w:p>
            <w:pPr>
              <w:pStyle w:val="TableText"/>
              <w:ind w:left="22"/>
              <w:spacing w:before="73" w:line="219" w:lineRule="auto"/>
              <w:rPr>
                <w:sz w:val="19"/>
                <w:szCs w:val="19"/>
              </w:rPr>
            </w:pPr>
            <w:r>
              <w:rPr>
                <w:sz w:val="19"/>
                <w:szCs w:val="19"/>
                <w:b/>
                <w:bCs/>
                <w:spacing w:val="5"/>
              </w:rPr>
              <w:t>收入总计</w:t>
            </w:r>
          </w:p>
        </w:tc>
        <w:tc>
          <w:tcPr>
            <w:tcW w:w="956" w:type="dxa"/>
            <w:vAlign w:val="top"/>
            <w:tcBorders>
              <w:bottom w:val="single" w:color="000000" w:sz="6" w:space="0"/>
            </w:tcBorders>
          </w:tcPr>
          <w:p>
            <w:pPr>
              <w:pStyle w:val="TableText"/>
              <w:ind w:right="15"/>
              <w:spacing w:before="69" w:line="250" w:lineRule="exact"/>
              <w:jc w:val="right"/>
              <w:rPr>
                <w:sz w:val="19"/>
                <w:szCs w:val="19"/>
              </w:rPr>
            </w:pPr>
            <w:r>
              <w:rPr>
                <w:sz w:val="19"/>
                <w:szCs w:val="19"/>
                <w:spacing w:val="2"/>
                <w:position w:val="1"/>
              </w:rPr>
              <w:t>86754</w:t>
            </w:r>
          </w:p>
        </w:tc>
        <w:tc>
          <w:tcPr>
            <w:tcW w:w="838" w:type="dxa"/>
            <w:vAlign w:val="top"/>
            <w:tcBorders>
              <w:bottom w:val="single" w:color="000000" w:sz="6" w:space="0"/>
            </w:tcBorders>
          </w:tcPr>
          <w:p>
            <w:pPr>
              <w:pStyle w:val="TableText"/>
              <w:ind w:right="16"/>
              <w:spacing w:before="69" w:line="250" w:lineRule="exact"/>
              <w:jc w:val="right"/>
              <w:rPr>
                <w:sz w:val="19"/>
                <w:szCs w:val="19"/>
              </w:rPr>
            </w:pPr>
            <w:r>
              <w:rPr>
                <w:sz w:val="19"/>
                <w:szCs w:val="19"/>
                <w:position w:val="1"/>
              </w:rPr>
              <w:t>102194</w:t>
            </w:r>
          </w:p>
        </w:tc>
        <w:tc>
          <w:tcPr>
            <w:tcW w:w="1106" w:type="dxa"/>
            <w:vAlign w:val="top"/>
            <w:tcBorders>
              <w:bottom w:val="single" w:color="000000" w:sz="6" w:space="0"/>
            </w:tcBorders>
          </w:tcPr>
          <w:p>
            <w:pPr>
              <w:rPr>
                <w:rFonts w:ascii="Arial"/>
                <w:sz w:val="21"/>
              </w:rPr>
            </w:pPr>
            <w:r/>
          </w:p>
        </w:tc>
        <w:tc>
          <w:tcPr>
            <w:tcW w:w="4595" w:type="dxa"/>
            <w:vAlign w:val="top"/>
            <w:tcBorders>
              <w:bottom w:val="single" w:color="000000" w:sz="6" w:space="0"/>
            </w:tcBorders>
          </w:tcPr>
          <w:p>
            <w:pPr>
              <w:pStyle w:val="TableText"/>
              <w:ind w:left="15"/>
              <w:spacing w:before="73" w:line="220" w:lineRule="auto"/>
              <w:rPr>
                <w:sz w:val="19"/>
                <w:szCs w:val="19"/>
              </w:rPr>
            </w:pPr>
            <w:r>
              <w:rPr>
                <w:sz w:val="19"/>
                <w:szCs w:val="19"/>
                <w:b/>
                <w:bCs/>
                <w:spacing w:val="7"/>
              </w:rPr>
              <w:t>支出总计</w:t>
            </w:r>
          </w:p>
        </w:tc>
        <w:tc>
          <w:tcPr>
            <w:tcW w:w="1026" w:type="dxa"/>
            <w:vAlign w:val="top"/>
            <w:tcBorders>
              <w:bottom w:val="single" w:color="000000" w:sz="6" w:space="0"/>
            </w:tcBorders>
          </w:tcPr>
          <w:p>
            <w:pPr>
              <w:pStyle w:val="TableText"/>
              <w:ind w:right="8"/>
              <w:spacing w:before="69" w:line="250" w:lineRule="exact"/>
              <w:jc w:val="right"/>
              <w:rPr>
                <w:sz w:val="19"/>
                <w:szCs w:val="19"/>
              </w:rPr>
            </w:pPr>
            <w:r>
              <w:rPr>
                <w:sz w:val="19"/>
                <w:szCs w:val="19"/>
                <w:spacing w:val="1"/>
                <w:position w:val="1"/>
              </w:rPr>
              <w:t>86754</w:t>
            </w:r>
          </w:p>
        </w:tc>
        <w:tc>
          <w:tcPr>
            <w:tcW w:w="868" w:type="dxa"/>
            <w:vAlign w:val="top"/>
            <w:tcBorders>
              <w:bottom w:val="single" w:color="000000" w:sz="6" w:space="0"/>
            </w:tcBorders>
          </w:tcPr>
          <w:p>
            <w:pPr>
              <w:pStyle w:val="TableText"/>
              <w:ind w:right="7"/>
              <w:spacing w:before="69" w:line="250" w:lineRule="exact"/>
              <w:jc w:val="right"/>
              <w:rPr>
                <w:sz w:val="19"/>
                <w:szCs w:val="19"/>
              </w:rPr>
            </w:pPr>
            <w:r>
              <w:rPr>
                <w:sz w:val="19"/>
                <w:szCs w:val="19"/>
                <w:position w:val="1"/>
              </w:rPr>
              <w:t>102194</w:t>
            </w:r>
          </w:p>
        </w:tc>
        <w:tc>
          <w:tcPr>
            <w:tcW w:w="1105" w:type="dxa"/>
            <w:vAlign w:val="top"/>
            <w:tcBorders>
              <w:bottom w:val="single" w:color="000000" w:sz="6" w:space="0"/>
              <w:right w:val="single" w:color="000000" w:sz="6" w:space="0"/>
            </w:tcBorders>
          </w:tcPr>
          <w:p>
            <w:pPr>
              <w:rPr>
                <w:rFonts w:ascii="Arial"/>
                <w:sz w:val="21"/>
              </w:rPr>
            </w:pPr>
            <w:r/>
          </w:p>
        </w:tc>
      </w:tr>
    </w:tbl>
    <w:p>
      <w:pPr>
        <w:spacing w:line="214" w:lineRule="exact"/>
        <w:rPr>
          <w:rFonts w:ascii="Arial"/>
          <w:sz w:val="18"/>
        </w:rPr>
      </w:pPr>
      <w:r/>
    </w:p>
    <w:p>
      <w:pPr>
        <w:spacing w:line="214" w:lineRule="exact"/>
        <w:sectPr>
          <w:headerReference w:type="default" r:id="rId61"/>
          <w:footerReference w:type="default" r:id="rId111"/>
          <w:pgSz w:w="16839" w:h="11906"/>
          <w:pgMar w:top="1792" w:right="1463" w:bottom="1671" w:left="1463" w:header="1428" w:footer="1277" w:gutter="0"/>
        </w:sectPr>
        <w:rPr>
          <w:rFonts w:ascii="Arial" w:hAnsi="Arial" w:eastAsia="Arial" w:cs="Arial"/>
          <w:sz w:val="18"/>
          <w:szCs w:val="18"/>
        </w:rPr>
      </w:pPr>
    </w:p>
    <w:p>
      <w:pPr>
        <w:ind w:left="132"/>
        <w:spacing w:before="260" w:line="180" w:lineRule="auto"/>
        <w:rPr>
          <w:rFonts w:ascii="Microsoft YaHei" w:hAnsi="Microsoft YaHei" w:eastAsia="Microsoft YaHei" w:cs="Microsoft YaHei"/>
          <w:sz w:val="20"/>
          <w:szCs w:val="20"/>
        </w:rPr>
      </w:pPr>
      <w:r>
        <w:drawing>
          <wp:anchor distT="0" distB="0" distL="0" distR="0" simplePos="0" relativeHeight="251707392"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224" name="IM 224"/>
            <wp:cNvGraphicFramePr/>
            <a:graphic>
              <a:graphicData uri="http://schemas.openxmlformats.org/drawingml/2006/picture">
                <pic:pic>
                  <pic:nvPicPr>
                    <pic:cNvPr id="224" name="IM 224"/>
                    <pic:cNvPicPr/>
                  </pic:nvPicPr>
                  <pic:blipFill>
                    <a:blip r:embed="rId114"/>
                    <a:stretch>
                      <a:fillRect/>
                    </a:stretch>
                  </pic:blipFill>
                  <pic:spPr>
                    <a:xfrm rot="0">
                      <a:off x="0" y="0"/>
                      <a:ext cx="8712200" cy="7620"/>
                    </a:xfrm>
                    <a:prstGeom prst="rect">
                      <a:avLst/>
                    </a:prstGeom>
                  </pic:spPr>
                </pic:pic>
              </a:graphicData>
            </a:graphic>
          </wp:anchor>
        </w:drawing>
      </w:r>
      <w:r>
        <w:rPr>
          <w:rFonts w:ascii="Microsoft YaHei" w:hAnsi="Microsoft YaHei" w:eastAsia="Microsoft YaHei" w:cs="Microsoft YaHei"/>
          <w:sz w:val="20"/>
          <w:szCs w:val="20"/>
          <w:spacing w:val="7"/>
        </w:rPr>
        <w:t>表十二</w:t>
      </w:r>
    </w:p>
    <w:p>
      <w:pPr>
        <w:pStyle w:val="BodyText"/>
        <w:ind w:left="3288"/>
        <w:spacing w:before="47" w:line="462" w:lineRule="exact"/>
        <w:rPr>
          <w:sz w:val="35"/>
          <w:szCs w:val="35"/>
        </w:rPr>
      </w:pPr>
      <w:r>
        <w:rPr>
          <w:sz w:val="35"/>
          <w:szCs w:val="35"/>
          <w:b/>
          <w:bCs/>
          <w:spacing w:val="3"/>
          <w:position w:val="1"/>
        </w:rPr>
        <w:t>固原市本级</w:t>
      </w:r>
      <w:r>
        <w:rPr>
          <w:sz w:val="35"/>
          <w:szCs w:val="35"/>
          <w:spacing w:val="-64"/>
          <w:position w:val="1"/>
        </w:rPr>
        <w:t xml:space="preserve"> </w:t>
      </w:r>
      <w:r>
        <w:rPr>
          <w:sz w:val="35"/>
          <w:szCs w:val="35"/>
          <w:b/>
          <w:bCs/>
          <w:spacing w:val="3"/>
          <w:position w:val="1"/>
        </w:rPr>
        <w:t>2021</w:t>
      </w:r>
      <w:r>
        <w:rPr>
          <w:sz w:val="35"/>
          <w:szCs w:val="35"/>
          <w:spacing w:val="-78"/>
          <w:position w:val="1"/>
        </w:rPr>
        <w:t xml:space="preserve"> </w:t>
      </w:r>
      <w:r>
        <w:rPr>
          <w:sz w:val="35"/>
          <w:szCs w:val="35"/>
          <w:b/>
          <w:bCs/>
          <w:spacing w:val="3"/>
          <w:position w:val="1"/>
        </w:rPr>
        <w:t>年政府性基金预算收支明细表</w:t>
      </w:r>
    </w:p>
    <w:p>
      <w:pPr>
        <w:pStyle w:val="BodyText"/>
        <w:ind w:left="12740"/>
        <w:spacing w:line="277" w:lineRule="exact"/>
        <w:rPr/>
      </w:pPr>
      <w:r>
        <w:rPr>
          <w:spacing w:val="9"/>
          <w:position w:val="1"/>
        </w:rPr>
        <w:t>单位：万元</w:t>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381"/>
        <w:gridCol w:w="913"/>
        <w:gridCol w:w="5893"/>
        <w:gridCol w:w="1709"/>
      </w:tblGrid>
      <w:tr>
        <w:trPr>
          <w:trHeight w:val="443" w:hRule="atLeast"/>
        </w:trPr>
        <w:tc>
          <w:tcPr>
            <w:tcW w:w="6294" w:type="dxa"/>
            <w:vAlign w:val="top"/>
            <w:gridSpan w:val="2"/>
            <w:tcBorders>
              <w:left w:val="single" w:color="000000" w:sz="6" w:space="0"/>
              <w:top w:val="single" w:color="000000" w:sz="6" w:space="0"/>
            </w:tcBorders>
          </w:tcPr>
          <w:p>
            <w:pPr>
              <w:pStyle w:val="TableText"/>
              <w:ind w:left="2950"/>
              <w:spacing w:before="146" w:line="214" w:lineRule="auto"/>
              <w:rPr>
                <w:sz w:val="19"/>
                <w:szCs w:val="19"/>
              </w:rPr>
            </w:pPr>
            <w:r>
              <w:rPr>
                <w:sz w:val="19"/>
                <w:szCs w:val="19"/>
                <w:b/>
                <w:bCs/>
                <w:spacing w:val="2"/>
              </w:rPr>
              <w:t>收入</w:t>
            </w:r>
          </w:p>
        </w:tc>
        <w:tc>
          <w:tcPr>
            <w:tcW w:w="7602" w:type="dxa"/>
            <w:vAlign w:val="top"/>
            <w:gridSpan w:val="2"/>
            <w:tcBorders>
              <w:right w:val="single" w:color="000000" w:sz="6" w:space="0"/>
              <w:top w:val="single" w:color="000000" w:sz="6" w:space="0"/>
            </w:tcBorders>
          </w:tcPr>
          <w:p>
            <w:pPr>
              <w:pStyle w:val="TableText"/>
              <w:ind w:left="3599"/>
              <w:spacing w:before="143" w:line="219" w:lineRule="auto"/>
              <w:rPr>
                <w:sz w:val="19"/>
                <w:szCs w:val="19"/>
              </w:rPr>
            </w:pPr>
            <w:r>
              <w:rPr>
                <w:sz w:val="19"/>
                <w:szCs w:val="19"/>
                <w:b/>
                <w:bCs/>
                <w:spacing w:val="5"/>
              </w:rPr>
              <w:t>支出</w:t>
            </w:r>
          </w:p>
        </w:tc>
      </w:tr>
      <w:tr>
        <w:trPr>
          <w:trHeight w:val="394" w:hRule="atLeast"/>
        </w:trPr>
        <w:tc>
          <w:tcPr>
            <w:tcW w:w="5381" w:type="dxa"/>
            <w:vAlign w:val="top"/>
            <w:tcBorders>
              <w:left w:val="single" w:color="000000" w:sz="6" w:space="0"/>
            </w:tcBorders>
          </w:tcPr>
          <w:p>
            <w:pPr>
              <w:pStyle w:val="TableText"/>
              <w:ind w:left="2485"/>
              <w:spacing w:before="119" w:line="212" w:lineRule="auto"/>
              <w:rPr>
                <w:sz w:val="19"/>
                <w:szCs w:val="19"/>
              </w:rPr>
            </w:pPr>
            <w:r>
              <w:rPr>
                <w:sz w:val="19"/>
                <w:szCs w:val="19"/>
                <w:b/>
                <w:bCs/>
                <w:spacing w:val="6"/>
              </w:rPr>
              <w:t>项目</w:t>
            </w:r>
          </w:p>
        </w:tc>
        <w:tc>
          <w:tcPr>
            <w:tcW w:w="913" w:type="dxa"/>
            <w:vAlign w:val="top"/>
          </w:tcPr>
          <w:p>
            <w:pPr>
              <w:pStyle w:val="TableText"/>
              <w:ind w:left="158"/>
              <w:spacing w:before="113" w:line="221" w:lineRule="auto"/>
              <w:rPr>
                <w:sz w:val="19"/>
                <w:szCs w:val="19"/>
              </w:rPr>
            </w:pPr>
            <w:r>
              <w:rPr>
                <w:sz w:val="19"/>
                <w:szCs w:val="19"/>
                <w:b/>
                <w:bCs/>
                <w:spacing w:val="5"/>
              </w:rPr>
              <w:t>预算数</w:t>
            </w:r>
          </w:p>
        </w:tc>
        <w:tc>
          <w:tcPr>
            <w:tcW w:w="5893" w:type="dxa"/>
            <w:vAlign w:val="top"/>
          </w:tcPr>
          <w:p>
            <w:pPr>
              <w:pStyle w:val="TableText"/>
              <w:ind w:left="2748"/>
              <w:spacing w:before="119" w:line="212" w:lineRule="auto"/>
              <w:rPr>
                <w:sz w:val="19"/>
                <w:szCs w:val="19"/>
              </w:rPr>
            </w:pPr>
            <w:r>
              <w:rPr>
                <w:sz w:val="19"/>
                <w:szCs w:val="19"/>
                <w:b/>
                <w:bCs/>
                <w:spacing w:val="6"/>
              </w:rPr>
              <w:t>项目</w:t>
            </w:r>
          </w:p>
        </w:tc>
        <w:tc>
          <w:tcPr>
            <w:tcW w:w="1709" w:type="dxa"/>
            <w:vAlign w:val="top"/>
            <w:tcBorders>
              <w:right w:val="single" w:color="000000" w:sz="6" w:space="0"/>
            </w:tcBorders>
          </w:tcPr>
          <w:p>
            <w:pPr>
              <w:pStyle w:val="TableText"/>
              <w:ind w:left="557"/>
              <w:spacing w:before="113" w:line="221" w:lineRule="auto"/>
              <w:rPr>
                <w:sz w:val="19"/>
                <w:szCs w:val="19"/>
              </w:rPr>
            </w:pPr>
            <w:r>
              <w:rPr>
                <w:sz w:val="19"/>
                <w:szCs w:val="19"/>
                <w:b/>
                <w:bCs/>
                <w:spacing w:val="5"/>
              </w:rPr>
              <w:t>预算数</w:t>
            </w:r>
          </w:p>
        </w:tc>
      </w:tr>
      <w:tr>
        <w:trPr>
          <w:trHeight w:val="406" w:hRule="atLeast"/>
        </w:trPr>
        <w:tc>
          <w:tcPr>
            <w:tcW w:w="5381" w:type="dxa"/>
            <w:vAlign w:val="top"/>
            <w:tcBorders>
              <w:left w:val="single" w:color="000000" w:sz="6" w:space="0"/>
            </w:tcBorders>
          </w:tcPr>
          <w:p>
            <w:pPr>
              <w:pStyle w:val="TableText"/>
              <w:ind w:left="107"/>
              <w:spacing w:before="122" w:line="223" w:lineRule="auto"/>
              <w:rPr>
                <w:sz w:val="19"/>
                <w:szCs w:val="19"/>
              </w:rPr>
            </w:pPr>
            <w:r>
              <w:rPr>
                <w:sz w:val="19"/>
                <w:szCs w:val="19"/>
                <w:spacing w:val="9"/>
              </w:rPr>
              <w:t>一、农网还贷资金收入</w:t>
            </w:r>
          </w:p>
        </w:tc>
        <w:tc>
          <w:tcPr>
            <w:tcW w:w="913" w:type="dxa"/>
            <w:vAlign w:val="top"/>
          </w:tcPr>
          <w:p>
            <w:pPr>
              <w:rPr>
                <w:rFonts w:ascii="Arial"/>
                <w:sz w:val="21"/>
              </w:rPr>
            </w:pPr>
            <w:r/>
          </w:p>
        </w:tc>
        <w:tc>
          <w:tcPr>
            <w:tcW w:w="5893" w:type="dxa"/>
            <w:vAlign w:val="top"/>
          </w:tcPr>
          <w:p>
            <w:pPr>
              <w:pStyle w:val="TableText"/>
              <w:ind w:left="106"/>
              <w:spacing w:before="121" w:line="223" w:lineRule="auto"/>
              <w:rPr>
                <w:sz w:val="19"/>
                <w:szCs w:val="19"/>
              </w:rPr>
            </w:pPr>
            <w:r>
              <w:rPr>
                <w:sz w:val="19"/>
                <w:szCs w:val="19"/>
                <w:spacing w:val="9"/>
              </w:rPr>
              <w:t>一、文化旅游体育与传媒支出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pStyle w:val="TableText"/>
              <w:ind w:left="107"/>
              <w:spacing w:before="121" w:line="222" w:lineRule="auto"/>
              <w:rPr>
                <w:sz w:val="19"/>
                <w:szCs w:val="19"/>
              </w:rPr>
            </w:pPr>
            <w:r>
              <w:rPr>
                <w:sz w:val="19"/>
                <w:szCs w:val="19"/>
                <w:spacing w:val="9"/>
              </w:rPr>
              <w:t>二、海南省高等级公路车辆通行附加费收入</w:t>
            </w:r>
          </w:p>
        </w:tc>
        <w:tc>
          <w:tcPr>
            <w:tcW w:w="913" w:type="dxa"/>
            <w:vAlign w:val="top"/>
          </w:tcPr>
          <w:p>
            <w:pPr>
              <w:rPr>
                <w:rFonts w:ascii="Arial"/>
                <w:sz w:val="21"/>
              </w:rPr>
            </w:pPr>
            <w:r/>
          </w:p>
        </w:tc>
        <w:tc>
          <w:tcPr>
            <w:tcW w:w="5893" w:type="dxa"/>
            <w:vAlign w:val="top"/>
          </w:tcPr>
          <w:p>
            <w:pPr>
              <w:pStyle w:val="TableText"/>
              <w:ind w:left="426"/>
              <w:spacing w:before="121" w:line="224" w:lineRule="auto"/>
              <w:rPr>
                <w:sz w:val="19"/>
                <w:szCs w:val="19"/>
              </w:rPr>
            </w:pPr>
            <w:r>
              <w:rPr>
                <w:sz w:val="19"/>
                <w:szCs w:val="19"/>
                <w:spacing w:val="8"/>
              </w:rPr>
              <w:t>国家电影事业发展专项资金安排的支出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pStyle w:val="TableText"/>
              <w:ind w:left="110"/>
              <w:spacing w:before="121" w:line="224" w:lineRule="auto"/>
              <w:rPr>
                <w:sz w:val="19"/>
                <w:szCs w:val="19"/>
              </w:rPr>
            </w:pPr>
            <w:r>
              <w:rPr>
                <w:sz w:val="19"/>
                <w:szCs w:val="19"/>
                <w:spacing w:val="9"/>
              </w:rPr>
              <w:t>三、港口建设费收入</w:t>
            </w:r>
          </w:p>
        </w:tc>
        <w:tc>
          <w:tcPr>
            <w:tcW w:w="913" w:type="dxa"/>
            <w:vAlign w:val="top"/>
          </w:tcPr>
          <w:p>
            <w:pPr>
              <w:rPr>
                <w:rFonts w:ascii="Arial"/>
                <w:sz w:val="21"/>
              </w:rPr>
            </w:pPr>
            <w:r/>
          </w:p>
        </w:tc>
        <w:tc>
          <w:tcPr>
            <w:tcW w:w="5893" w:type="dxa"/>
            <w:vAlign w:val="top"/>
          </w:tcPr>
          <w:p>
            <w:pPr>
              <w:pStyle w:val="TableText"/>
              <w:ind w:left="710"/>
              <w:spacing w:before="123" w:line="221" w:lineRule="auto"/>
              <w:rPr>
                <w:sz w:val="19"/>
                <w:szCs w:val="19"/>
              </w:rPr>
            </w:pPr>
            <w:r>
              <w:rPr>
                <w:sz w:val="19"/>
                <w:szCs w:val="19"/>
                <w:spacing w:val="8"/>
              </w:rPr>
              <w:t>资助国产影片放映</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pStyle w:val="TableText"/>
              <w:ind w:left="128"/>
              <w:spacing w:before="125" w:line="223" w:lineRule="auto"/>
              <w:rPr>
                <w:sz w:val="19"/>
                <w:szCs w:val="19"/>
              </w:rPr>
            </w:pPr>
            <w:r>
              <w:rPr>
                <w:sz w:val="19"/>
                <w:szCs w:val="19"/>
                <w:spacing w:val="8"/>
              </w:rPr>
              <w:t>四、国家电影事业发展专项资金收入</w:t>
            </w:r>
          </w:p>
        </w:tc>
        <w:tc>
          <w:tcPr>
            <w:tcW w:w="913" w:type="dxa"/>
            <w:vAlign w:val="top"/>
          </w:tcPr>
          <w:p>
            <w:pPr>
              <w:rPr>
                <w:rFonts w:ascii="Arial"/>
                <w:sz w:val="21"/>
              </w:rPr>
            </w:pPr>
            <w:r/>
          </w:p>
        </w:tc>
        <w:tc>
          <w:tcPr>
            <w:tcW w:w="5893" w:type="dxa"/>
            <w:vAlign w:val="top"/>
          </w:tcPr>
          <w:p>
            <w:pPr>
              <w:pStyle w:val="TableText"/>
              <w:ind w:left="710"/>
              <w:spacing w:before="123" w:line="223" w:lineRule="auto"/>
              <w:rPr>
                <w:sz w:val="19"/>
                <w:szCs w:val="19"/>
              </w:rPr>
            </w:pPr>
            <w:r>
              <w:rPr>
                <w:sz w:val="19"/>
                <w:szCs w:val="19"/>
                <w:spacing w:val="8"/>
              </w:rPr>
              <w:t>资助影院建设</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pStyle w:val="TableText"/>
              <w:ind w:left="111"/>
              <w:spacing w:before="130" w:line="215" w:lineRule="auto"/>
              <w:rPr>
                <w:sz w:val="19"/>
                <w:szCs w:val="19"/>
              </w:rPr>
            </w:pPr>
            <w:r>
              <w:rPr>
                <w:sz w:val="19"/>
                <w:szCs w:val="19"/>
                <w:spacing w:val="9"/>
              </w:rPr>
              <w:t>五、国有土地收益基金收入</w:t>
            </w:r>
          </w:p>
        </w:tc>
        <w:tc>
          <w:tcPr>
            <w:tcW w:w="913" w:type="dxa"/>
            <w:vAlign w:val="top"/>
          </w:tcPr>
          <w:p>
            <w:pPr>
              <w:pStyle w:val="TableText"/>
              <w:ind w:left="225"/>
              <w:spacing w:before="123" w:line="272" w:lineRule="exact"/>
              <w:rPr>
                <w:sz w:val="19"/>
                <w:szCs w:val="19"/>
              </w:rPr>
            </w:pPr>
            <w:r>
              <w:rPr>
                <w:sz w:val="19"/>
                <w:szCs w:val="19"/>
                <w:position w:val="2"/>
              </w:rPr>
              <w:t>100000</w:t>
            </w:r>
          </w:p>
        </w:tc>
        <w:tc>
          <w:tcPr>
            <w:tcW w:w="5893" w:type="dxa"/>
            <w:vAlign w:val="top"/>
          </w:tcPr>
          <w:p>
            <w:pPr>
              <w:pStyle w:val="TableText"/>
              <w:ind w:left="710"/>
              <w:spacing w:before="126" w:line="221" w:lineRule="auto"/>
              <w:rPr>
                <w:sz w:val="19"/>
                <w:szCs w:val="19"/>
              </w:rPr>
            </w:pPr>
            <w:r>
              <w:rPr>
                <w:sz w:val="19"/>
                <w:szCs w:val="19"/>
                <w:spacing w:val="9"/>
              </w:rPr>
              <w:t>资助少数民族语电影译制</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pStyle w:val="TableText"/>
              <w:ind w:left="107"/>
              <w:spacing w:before="125" w:line="221" w:lineRule="auto"/>
              <w:rPr>
                <w:sz w:val="19"/>
                <w:szCs w:val="19"/>
              </w:rPr>
            </w:pPr>
            <w:r>
              <w:rPr>
                <w:sz w:val="19"/>
                <w:szCs w:val="19"/>
                <w:spacing w:val="9"/>
              </w:rPr>
              <w:t>六、农业土地开发资金收入</w:t>
            </w:r>
          </w:p>
        </w:tc>
        <w:tc>
          <w:tcPr>
            <w:tcW w:w="913" w:type="dxa"/>
            <w:vAlign w:val="top"/>
          </w:tcPr>
          <w:p>
            <w:pPr>
              <w:rPr>
                <w:rFonts w:ascii="Arial"/>
                <w:sz w:val="21"/>
              </w:rPr>
            </w:pPr>
            <w:r/>
          </w:p>
        </w:tc>
        <w:tc>
          <w:tcPr>
            <w:tcW w:w="5893" w:type="dxa"/>
            <w:vAlign w:val="top"/>
          </w:tcPr>
          <w:p>
            <w:pPr>
              <w:pStyle w:val="TableText"/>
              <w:ind w:left="708"/>
              <w:spacing w:before="128" w:line="217" w:lineRule="auto"/>
              <w:rPr>
                <w:sz w:val="19"/>
                <w:szCs w:val="19"/>
              </w:rPr>
            </w:pPr>
            <w:r>
              <w:rPr>
                <w:sz w:val="19"/>
                <w:szCs w:val="19"/>
                <w:spacing w:val="9"/>
              </w:rPr>
              <w:t>购买农村电影公益性放映版权服务</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pStyle w:val="TableText"/>
              <w:ind w:left="106"/>
              <w:spacing w:before="127" w:line="222" w:lineRule="auto"/>
              <w:rPr>
                <w:sz w:val="19"/>
                <w:szCs w:val="19"/>
              </w:rPr>
            </w:pPr>
            <w:r>
              <w:rPr>
                <w:sz w:val="19"/>
                <w:szCs w:val="19"/>
                <w:spacing w:val="9"/>
              </w:rPr>
              <w:t>七、国有土地使用权出让收入</w:t>
            </w:r>
          </w:p>
        </w:tc>
        <w:tc>
          <w:tcPr>
            <w:tcW w:w="913" w:type="dxa"/>
            <w:vAlign w:val="top"/>
          </w:tcPr>
          <w:p>
            <w:pPr>
              <w:rPr>
                <w:rFonts w:ascii="Arial"/>
                <w:sz w:val="21"/>
              </w:rPr>
            </w:pPr>
            <w:r/>
          </w:p>
        </w:tc>
        <w:tc>
          <w:tcPr>
            <w:tcW w:w="5893" w:type="dxa"/>
            <w:vAlign w:val="top"/>
          </w:tcPr>
          <w:p>
            <w:pPr>
              <w:pStyle w:val="TableText"/>
              <w:ind w:left="705"/>
              <w:spacing w:before="127" w:line="224" w:lineRule="auto"/>
              <w:rPr>
                <w:sz w:val="19"/>
                <w:szCs w:val="19"/>
              </w:rPr>
            </w:pPr>
            <w:r>
              <w:rPr>
                <w:sz w:val="19"/>
                <w:szCs w:val="19"/>
                <w:spacing w:val="9"/>
              </w:rPr>
              <w:t>其他国家电影事业发展专项资金支出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pStyle w:val="TableText"/>
              <w:ind w:left="310"/>
              <w:spacing w:before="130" w:line="217" w:lineRule="auto"/>
              <w:rPr>
                <w:sz w:val="19"/>
                <w:szCs w:val="19"/>
              </w:rPr>
            </w:pPr>
            <w:r>
              <w:rPr>
                <w:sz w:val="19"/>
                <w:szCs w:val="19"/>
                <w:spacing w:val="8"/>
              </w:rPr>
              <w:t>土地出让价款收入</w:t>
            </w:r>
          </w:p>
        </w:tc>
        <w:tc>
          <w:tcPr>
            <w:tcW w:w="913" w:type="dxa"/>
            <w:vAlign w:val="top"/>
          </w:tcPr>
          <w:p>
            <w:pPr>
              <w:rPr>
                <w:rFonts w:ascii="Arial"/>
                <w:sz w:val="21"/>
              </w:rPr>
            </w:pPr>
            <w:r/>
          </w:p>
        </w:tc>
        <w:tc>
          <w:tcPr>
            <w:tcW w:w="5893" w:type="dxa"/>
            <w:vAlign w:val="top"/>
          </w:tcPr>
          <w:p>
            <w:pPr>
              <w:pStyle w:val="TableText"/>
              <w:ind w:left="405"/>
              <w:spacing w:before="130" w:line="219" w:lineRule="auto"/>
              <w:rPr>
                <w:sz w:val="19"/>
                <w:szCs w:val="19"/>
              </w:rPr>
            </w:pPr>
            <w:r>
              <w:rPr>
                <w:sz w:val="19"/>
                <w:szCs w:val="19"/>
                <w:spacing w:val="9"/>
              </w:rPr>
              <w:t>旅游发展基金支出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pStyle w:val="TableText"/>
              <w:ind w:left="307"/>
              <w:spacing w:before="132" w:line="217" w:lineRule="auto"/>
              <w:rPr>
                <w:sz w:val="19"/>
                <w:szCs w:val="19"/>
              </w:rPr>
            </w:pPr>
            <w:r>
              <w:rPr>
                <w:sz w:val="19"/>
                <w:szCs w:val="19"/>
                <w:spacing w:val="9"/>
              </w:rPr>
              <w:t>补缴的土地价款</w:t>
            </w:r>
          </w:p>
        </w:tc>
        <w:tc>
          <w:tcPr>
            <w:tcW w:w="913" w:type="dxa"/>
            <w:vAlign w:val="top"/>
          </w:tcPr>
          <w:p>
            <w:pPr>
              <w:rPr>
                <w:rFonts w:ascii="Arial"/>
                <w:sz w:val="21"/>
              </w:rPr>
            </w:pPr>
            <w:r/>
          </w:p>
        </w:tc>
        <w:tc>
          <w:tcPr>
            <w:tcW w:w="5893" w:type="dxa"/>
            <w:vAlign w:val="top"/>
          </w:tcPr>
          <w:p>
            <w:pPr>
              <w:pStyle w:val="TableText"/>
              <w:ind w:left="708"/>
              <w:spacing w:before="130" w:line="222" w:lineRule="auto"/>
              <w:rPr>
                <w:sz w:val="19"/>
                <w:szCs w:val="19"/>
              </w:rPr>
            </w:pPr>
            <w:r>
              <w:rPr>
                <w:sz w:val="19"/>
                <w:szCs w:val="19"/>
                <w:spacing w:val="8"/>
              </w:rPr>
              <w:t>宣传促销</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pStyle w:val="TableText"/>
              <w:ind w:left="306"/>
              <w:spacing w:before="132" w:line="217" w:lineRule="auto"/>
              <w:rPr>
                <w:sz w:val="19"/>
                <w:szCs w:val="19"/>
              </w:rPr>
            </w:pPr>
            <w:r>
              <w:rPr>
                <w:sz w:val="19"/>
                <w:szCs w:val="19"/>
                <w:spacing w:val="9"/>
              </w:rPr>
              <w:t>划拨土地收入</w:t>
            </w:r>
          </w:p>
        </w:tc>
        <w:tc>
          <w:tcPr>
            <w:tcW w:w="913" w:type="dxa"/>
            <w:vAlign w:val="top"/>
          </w:tcPr>
          <w:p>
            <w:pPr>
              <w:rPr>
                <w:rFonts w:ascii="Arial"/>
                <w:sz w:val="21"/>
              </w:rPr>
            </w:pPr>
            <w:r/>
          </w:p>
        </w:tc>
        <w:tc>
          <w:tcPr>
            <w:tcW w:w="5893" w:type="dxa"/>
            <w:vAlign w:val="top"/>
          </w:tcPr>
          <w:p>
            <w:pPr>
              <w:pStyle w:val="TableText"/>
              <w:ind w:left="705"/>
              <w:spacing w:before="133" w:line="217" w:lineRule="auto"/>
              <w:rPr>
                <w:sz w:val="19"/>
                <w:szCs w:val="19"/>
              </w:rPr>
            </w:pPr>
            <w:r>
              <w:rPr>
                <w:sz w:val="19"/>
                <w:szCs w:val="19"/>
                <w:spacing w:val="8"/>
              </w:rPr>
              <w:t>行业规划</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pStyle w:val="TableText"/>
              <w:ind w:left="307"/>
              <w:spacing w:before="129" w:line="224" w:lineRule="auto"/>
              <w:rPr>
                <w:sz w:val="19"/>
                <w:szCs w:val="19"/>
              </w:rPr>
            </w:pPr>
            <w:r>
              <w:rPr>
                <w:sz w:val="19"/>
                <w:szCs w:val="19"/>
                <w:spacing w:val="9"/>
              </w:rPr>
              <w:t>缴纳新增建设用地土地有偿使用费</w:t>
            </w:r>
          </w:p>
        </w:tc>
        <w:tc>
          <w:tcPr>
            <w:tcW w:w="913" w:type="dxa"/>
            <w:vAlign w:val="top"/>
          </w:tcPr>
          <w:p>
            <w:pPr>
              <w:rPr>
                <w:rFonts w:ascii="Arial"/>
                <w:sz w:val="21"/>
              </w:rPr>
            </w:pPr>
            <w:r/>
          </w:p>
        </w:tc>
        <w:tc>
          <w:tcPr>
            <w:tcW w:w="5893" w:type="dxa"/>
            <w:vAlign w:val="top"/>
          </w:tcPr>
          <w:p>
            <w:pPr>
              <w:pStyle w:val="TableText"/>
              <w:ind w:left="705"/>
              <w:spacing w:before="132" w:line="220" w:lineRule="auto"/>
              <w:rPr>
                <w:sz w:val="19"/>
                <w:szCs w:val="19"/>
              </w:rPr>
            </w:pPr>
            <w:r>
              <w:rPr>
                <w:sz w:val="19"/>
                <w:szCs w:val="19"/>
                <w:spacing w:val="9"/>
              </w:rPr>
              <w:t>旅游事业补助</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pStyle w:val="TableText"/>
              <w:ind w:left="305"/>
              <w:spacing w:before="133" w:line="221" w:lineRule="auto"/>
              <w:rPr>
                <w:sz w:val="19"/>
                <w:szCs w:val="19"/>
              </w:rPr>
            </w:pPr>
            <w:r>
              <w:rPr>
                <w:sz w:val="19"/>
                <w:szCs w:val="19"/>
                <w:spacing w:val="9"/>
              </w:rPr>
              <w:t>其他土地出让收入</w:t>
            </w:r>
          </w:p>
        </w:tc>
        <w:tc>
          <w:tcPr>
            <w:tcW w:w="913" w:type="dxa"/>
            <w:vAlign w:val="top"/>
          </w:tcPr>
          <w:p>
            <w:pPr>
              <w:rPr>
                <w:rFonts w:ascii="Arial"/>
                <w:sz w:val="21"/>
              </w:rPr>
            </w:pPr>
            <w:r/>
          </w:p>
        </w:tc>
        <w:tc>
          <w:tcPr>
            <w:tcW w:w="5893" w:type="dxa"/>
            <w:vAlign w:val="top"/>
          </w:tcPr>
          <w:p>
            <w:pPr>
              <w:pStyle w:val="TableText"/>
              <w:ind w:left="706"/>
              <w:spacing w:before="135" w:line="218" w:lineRule="auto"/>
              <w:rPr>
                <w:sz w:val="19"/>
                <w:szCs w:val="19"/>
              </w:rPr>
            </w:pPr>
            <w:r>
              <w:rPr>
                <w:sz w:val="19"/>
                <w:szCs w:val="19"/>
                <w:spacing w:val="9"/>
              </w:rPr>
              <w:t>地方旅游开发项目补助</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pStyle w:val="TableText"/>
              <w:ind w:left="104"/>
              <w:spacing w:before="134" w:line="221" w:lineRule="auto"/>
              <w:rPr>
                <w:sz w:val="19"/>
                <w:szCs w:val="19"/>
              </w:rPr>
            </w:pPr>
            <w:r>
              <w:rPr>
                <w:sz w:val="19"/>
                <w:szCs w:val="19"/>
                <w:spacing w:val="9"/>
              </w:rPr>
              <w:t>八、大中型水库库区基金收入</w:t>
            </w:r>
          </w:p>
        </w:tc>
        <w:tc>
          <w:tcPr>
            <w:tcW w:w="913" w:type="dxa"/>
            <w:vAlign w:val="top"/>
          </w:tcPr>
          <w:p>
            <w:pPr>
              <w:rPr>
                <w:rFonts w:ascii="Arial"/>
                <w:sz w:val="21"/>
              </w:rPr>
            </w:pPr>
            <w:r/>
          </w:p>
        </w:tc>
        <w:tc>
          <w:tcPr>
            <w:tcW w:w="5893" w:type="dxa"/>
            <w:vAlign w:val="top"/>
          </w:tcPr>
          <w:p>
            <w:pPr>
              <w:pStyle w:val="TableText"/>
              <w:ind w:left="705"/>
              <w:spacing w:before="135" w:line="222" w:lineRule="auto"/>
              <w:rPr>
                <w:sz w:val="19"/>
                <w:szCs w:val="19"/>
              </w:rPr>
            </w:pPr>
            <w:r>
              <w:rPr>
                <w:sz w:val="19"/>
                <w:szCs w:val="19"/>
                <w:spacing w:val="9"/>
              </w:rPr>
              <w:t>其他旅游发展基金支出</w:t>
            </w:r>
          </w:p>
        </w:tc>
        <w:tc>
          <w:tcPr>
            <w:tcW w:w="1709" w:type="dxa"/>
            <w:vAlign w:val="top"/>
            <w:tcBorders>
              <w:right w:val="single" w:color="000000" w:sz="6" w:space="0"/>
            </w:tcBorders>
          </w:tcPr>
          <w:p>
            <w:pPr>
              <w:rPr>
                <w:rFonts w:ascii="Arial"/>
                <w:sz w:val="21"/>
              </w:rPr>
            </w:pPr>
            <w:r/>
          </w:p>
        </w:tc>
      </w:tr>
      <w:tr>
        <w:trPr>
          <w:trHeight w:val="416" w:hRule="atLeast"/>
        </w:trPr>
        <w:tc>
          <w:tcPr>
            <w:tcW w:w="5381" w:type="dxa"/>
            <w:vAlign w:val="top"/>
            <w:tcBorders>
              <w:left w:val="single" w:color="000000" w:sz="6" w:space="0"/>
              <w:bottom w:val="single" w:color="000000" w:sz="6" w:space="0"/>
            </w:tcBorders>
          </w:tcPr>
          <w:p>
            <w:pPr>
              <w:pStyle w:val="TableText"/>
              <w:ind w:left="109"/>
              <w:spacing w:before="136" w:line="217" w:lineRule="auto"/>
              <w:rPr>
                <w:sz w:val="19"/>
                <w:szCs w:val="19"/>
              </w:rPr>
            </w:pPr>
            <w:r>
              <w:rPr>
                <w:sz w:val="19"/>
                <w:szCs w:val="19"/>
                <w:spacing w:val="9"/>
              </w:rPr>
              <w:t>九、彩票公益金收入</w:t>
            </w:r>
          </w:p>
        </w:tc>
        <w:tc>
          <w:tcPr>
            <w:tcW w:w="913" w:type="dxa"/>
            <w:vAlign w:val="top"/>
            <w:tcBorders>
              <w:bottom w:val="single" w:color="000000" w:sz="6" w:space="0"/>
            </w:tcBorders>
          </w:tcPr>
          <w:p>
            <w:pPr>
              <w:rPr>
                <w:rFonts w:ascii="Arial"/>
                <w:sz w:val="21"/>
              </w:rPr>
            </w:pPr>
            <w:r/>
          </w:p>
        </w:tc>
        <w:tc>
          <w:tcPr>
            <w:tcW w:w="5893" w:type="dxa"/>
            <w:vAlign w:val="top"/>
            <w:tcBorders>
              <w:bottom w:val="single" w:color="000000" w:sz="6" w:space="0"/>
            </w:tcBorders>
          </w:tcPr>
          <w:p>
            <w:pPr>
              <w:pStyle w:val="TableText"/>
              <w:ind w:left="426"/>
              <w:spacing w:before="134" w:line="223" w:lineRule="auto"/>
              <w:rPr>
                <w:sz w:val="19"/>
                <w:szCs w:val="19"/>
              </w:rPr>
            </w:pPr>
            <w:r>
              <w:rPr>
                <w:sz w:val="19"/>
                <w:szCs w:val="19"/>
                <w:spacing w:val="9"/>
              </w:rPr>
              <w:t>国家电影事业发展专项资金对应专项债务收入安排的</w:t>
            </w:r>
            <w:r>
              <w:rPr>
                <w:sz w:val="19"/>
                <w:szCs w:val="19"/>
                <w:spacing w:val="8"/>
              </w:rPr>
              <w:t>支出</w:t>
            </w:r>
          </w:p>
        </w:tc>
        <w:tc>
          <w:tcPr>
            <w:tcW w:w="1709"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104"/>
          <w:footerReference w:type="default" r:id="rId113"/>
          <w:pgSz w:w="16839" w:h="11906"/>
          <w:pgMar w:top="1792" w:right="1463" w:bottom="1660" w:left="1463" w:header="1428" w:footer="1289" w:gutter="0"/>
        </w:sectPr>
        <w:rPr>
          <w:rFonts w:ascii="Arial" w:hAnsi="Arial" w:eastAsia="Arial" w:cs="Arial"/>
          <w:sz w:val="21"/>
          <w:szCs w:val="21"/>
        </w:rPr>
      </w:pPr>
    </w:p>
    <w:p>
      <w:pPr>
        <w:spacing w:line="192" w:lineRule="exact"/>
        <w:rPr/>
      </w:pPr>
      <w:r>
        <w:drawing>
          <wp:anchor distT="0" distB="0" distL="0" distR="0" simplePos="0" relativeHeight="251709440"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228" name="IM 228"/>
            <wp:cNvGraphicFramePr/>
            <a:graphic>
              <a:graphicData uri="http://schemas.openxmlformats.org/drawingml/2006/picture">
                <pic:pic>
                  <pic:nvPicPr>
                    <pic:cNvPr id="228" name="IM 228"/>
                    <pic:cNvPicPr/>
                  </pic:nvPicPr>
                  <pic:blipFill>
                    <a:blip r:embed="rId116"/>
                    <a:stretch>
                      <a:fillRect/>
                    </a:stretch>
                  </pic:blipFill>
                  <pic:spPr>
                    <a:xfrm rot="0">
                      <a:off x="0" y="0"/>
                      <a:ext cx="8712200" cy="7620"/>
                    </a:xfrm>
                    <a:prstGeom prst="rect">
                      <a:avLst/>
                    </a:prstGeom>
                  </pic:spPr>
                </pic:pic>
              </a:graphicData>
            </a:graphic>
          </wp:anchor>
        </w:drawing>
      </w: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381"/>
        <w:gridCol w:w="913"/>
        <w:gridCol w:w="5893"/>
        <w:gridCol w:w="1709"/>
      </w:tblGrid>
      <w:tr>
        <w:trPr>
          <w:trHeight w:val="443" w:hRule="atLeast"/>
        </w:trPr>
        <w:tc>
          <w:tcPr>
            <w:tcW w:w="6294" w:type="dxa"/>
            <w:vAlign w:val="top"/>
            <w:gridSpan w:val="2"/>
            <w:tcBorders>
              <w:left w:val="single" w:color="000000" w:sz="6" w:space="0"/>
              <w:top w:val="single" w:color="000000" w:sz="6" w:space="0"/>
            </w:tcBorders>
          </w:tcPr>
          <w:p>
            <w:pPr>
              <w:pStyle w:val="TableText"/>
              <w:ind w:left="2950"/>
              <w:spacing w:before="145" w:line="214" w:lineRule="auto"/>
              <w:rPr>
                <w:sz w:val="19"/>
                <w:szCs w:val="19"/>
              </w:rPr>
            </w:pPr>
            <w:r>
              <w:rPr>
                <w:sz w:val="19"/>
                <w:szCs w:val="19"/>
                <w:b/>
                <w:bCs/>
                <w:spacing w:val="2"/>
              </w:rPr>
              <w:t>收入</w:t>
            </w:r>
          </w:p>
        </w:tc>
        <w:tc>
          <w:tcPr>
            <w:tcW w:w="7602" w:type="dxa"/>
            <w:vAlign w:val="top"/>
            <w:gridSpan w:val="2"/>
            <w:tcBorders>
              <w:right w:val="single" w:color="000000" w:sz="6" w:space="0"/>
              <w:top w:val="single" w:color="000000" w:sz="6" w:space="0"/>
            </w:tcBorders>
          </w:tcPr>
          <w:p>
            <w:pPr>
              <w:pStyle w:val="TableText"/>
              <w:ind w:left="3599"/>
              <w:spacing w:before="143" w:line="219" w:lineRule="auto"/>
              <w:rPr>
                <w:sz w:val="19"/>
                <w:szCs w:val="19"/>
              </w:rPr>
            </w:pPr>
            <w:r>
              <w:rPr>
                <w:sz w:val="19"/>
                <w:szCs w:val="19"/>
                <w:b/>
                <w:bCs/>
                <w:spacing w:val="5"/>
              </w:rPr>
              <w:t>支出</w:t>
            </w:r>
          </w:p>
        </w:tc>
      </w:tr>
      <w:tr>
        <w:trPr>
          <w:trHeight w:val="395" w:hRule="atLeast"/>
        </w:trPr>
        <w:tc>
          <w:tcPr>
            <w:tcW w:w="5381" w:type="dxa"/>
            <w:vAlign w:val="top"/>
            <w:tcBorders>
              <w:left w:val="single" w:color="000000" w:sz="6" w:space="0"/>
            </w:tcBorders>
          </w:tcPr>
          <w:p>
            <w:pPr>
              <w:pStyle w:val="TableText"/>
              <w:ind w:left="2485"/>
              <w:spacing w:before="120" w:line="212" w:lineRule="auto"/>
              <w:rPr>
                <w:sz w:val="19"/>
                <w:szCs w:val="19"/>
              </w:rPr>
            </w:pPr>
            <w:r>
              <w:rPr>
                <w:sz w:val="19"/>
                <w:szCs w:val="19"/>
                <w:b/>
                <w:bCs/>
                <w:spacing w:val="6"/>
              </w:rPr>
              <w:t>项目</w:t>
            </w:r>
          </w:p>
        </w:tc>
        <w:tc>
          <w:tcPr>
            <w:tcW w:w="913" w:type="dxa"/>
            <w:vAlign w:val="top"/>
          </w:tcPr>
          <w:p>
            <w:pPr>
              <w:pStyle w:val="TableText"/>
              <w:ind w:left="158"/>
              <w:spacing w:before="115" w:line="221" w:lineRule="auto"/>
              <w:rPr>
                <w:sz w:val="19"/>
                <w:szCs w:val="19"/>
              </w:rPr>
            </w:pPr>
            <w:r>
              <w:rPr>
                <w:sz w:val="19"/>
                <w:szCs w:val="19"/>
                <w:b/>
                <w:bCs/>
                <w:spacing w:val="5"/>
              </w:rPr>
              <w:t>预算数</w:t>
            </w:r>
          </w:p>
        </w:tc>
        <w:tc>
          <w:tcPr>
            <w:tcW w:w="5893" w:type="dxa"/>
            <w:vAlign w:val="top"/>
          </w:tcPr>
          <w:p>
            <w:pPr>
              <w:pStyle w:val="TableText"/>
              <w:ind w:left="2748"/>
              <w:spacing w:before="120" w:line="212" w:lineRule="auto"/>
              <w:rPr>
                <w:sz w:val="19"/>
                <w:szCs w:val="19"/>
              </w:rPr>
            </w:pPr>
            <w:r>
              <w:rPr>
                <w:sz w:val="19"/>
                <w:szCs w:val="19"/>
                <w:b/>
                <w:bCs/>
                <w:spacing w:val="6"/>
              </w:rPr>
              <w:t>项目</w:t>
            </w:r>
          </w:p>
        </w:tc>
        <w:tc>
          <w:tcPr>
            <w:tcW w:w="1709" w:type="dxa"/>
            <w:vAlign w:val="top"/>
            <w:tcBorders>
              <w:right w:val="single" w:color="000000" w:sz="6" w:space="0"/>
            </w:tcBorders>
          </w:tcPr>
          <w:p>
            <w:pPr>
              <w:pStyle w:val="TableText"/>
              <w:ind w:left="557"/>
              <w:spacing w:before="115" w:line="221" w:lineRule="auto"/>
              <w:rPr>
                <w:sz w:val="19"/>
                <w:szCs w:val="19"/>
              </w:rPr>
            </w:pPr>
            <w:r>
              <w:rPr>
                <w:sz w:val="19"/>
                <w:szCs w:val="19"/>
                <w:b/>
                <w:bCs/>
                <w:spacing w:val="5"/>
              </w:rPr>
              <w:t>预算数</w:t>
            </w:r>
          </w:p>
        </w:tc>
      </w:tr>
      <w:tr>
        <w:trPr>
          <w:trHeight w:val="407" w:hRule="atLeast"/>
        </w:trPr>
        <w:tc>
          <w:tcPr>
            <w:tcW w:w="5381" w:type="dxa"/>
            <w:vAlign w:val="top"/>
            <w:tcBorders>
              <w:left w:val="single" w:color="000000" w:sz="6" w:space="0"/>
            </w:tcBorders>
          </w:tcPr>
          <w:p>
            <w:pPr>
              <w:pStyle w:val="TableText"/>
              <w:ind w:left="306"/>
              <w:spacing w:before="123" w:line="217" w:lineRule="auto"/>
              <w:rPr>
                <w:sz w:val="19"/>
                <w:szCs w:val="19"/>
              </w:rPr>
            </w:pPr>
            <w:r>
              <w:rPr>
                <w:sz w:val="19"/>
                <w:szCs w:val="19"/>
                <w:spacing w:val="9"/>
              </w:rPr>
              <w:t>福利彩票公益金收入</w:t>
            </w:r>
          </w:p>
        </w:tc>
        <w:tc>
          <w:tcPr>
            <w:tcW w:w="913" w:type="dxa"/>
            <w:vAlign w:val="top"/>
          </w:tcPr>
          <w:p>
            <w:pPr>
              <w:rPr>
                <w:rFonts w:ascii="Arial"/>
                <w:sz w:val="21"/>
              </w:rPr>
            </w:pPr>
            <w:r/>
          </w:p>
        </w:tc>
        <w:tc>
          <w:tcPr>
            <w:tcW w:w="5893" w:type="dxa"/>
            <w:vAlign w:val="top"/>
          </w:tcPr>
          <w:p>
            <w:pPr>
              <w:pStyle w:val="TableText"/>
              <w:ind w:left="710"/>
              <w:spacing w:before="120" w:line="221" w:lineRule="auto"/>
              <w:rPr>
                <w:sz w:val="19"/>
                <w:szCs w:val="19"/>
              </w:rPr>
            </w:pPr>
            <w:r>
              <w:rPr>
                <w:sz w:val="19"/>
                <w:szCs w:val="19"/>
                <w:spacing w:val="8"/>
              </w:rPr>
              <w:t>资助城市影院</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pStyle w:val="TableText"/>
              <w:ind w:left="306"/>
              <w:spacing w:before="120" w:line="222" w:lineRule="auto"/>
              <w:rPr>
                <w:sz w:val="19"/>
                <w:szCs w:val="19"/>
              </w:rPr>
            </w:pPr>
            <w:r>
              <w:rPr>
                <w:sz w:val="19"/>
                <w:szCs w:val="19"/>
                <w:spacing w:val="9"/>
              </w:rPr>
              <w:t>体育彩票公益金收入</w:t>
            </w:r>
          </w:p>
        </w:tc>
        <w:tc>
          <w:tcPr>
            <w:tcW w:w="913" w:type="dxa"/>
            <w:vAlign w:val="top"/>
          </w:tcPr>
          <w:p>
            <w:pPr>
              <w:rPr>
                <w:rFonts w:ascii="Arial"/>
                <w:sz w:val="21"/>
              </w:rPr>
            </w:pPr>
            <w:r/>
          </w:p>
        </w:tc>
        <w:tc>
          <w:tcPr>
            <w:tcW w:w="5893" w:type="dxa"/>
            <w:vAlign w:val="top"/>
          </w:tcPr>
          <w:p>
            <w:pPr>
              <w:pStyle w:val="TableText"/>
              <w:ind w:left="705"/>
              <w:spacing w:before="121" w:line="223" w:lineRule="auto"/>
              <w:rPr>
                <w:sz w:val="19"/>
                <w:szCs w:val="19"/>
              </w:rPr>
            </w:pPr>
            <w:r>
              <w:rPr>
                <w:sz w:val="19"/>
                <w:szCs w:val="19"/>
                <w:spacing w:val="10"/>
              </w:rPr>
              <w:t>其他国家电影事业发展专项资金对应专项债</w:t>
            </w:r>
            <w:r>
              <w:rPr>
                <w:sz w:val="19"/>
                <w:szCs w:val="19"/>
                <w:spacing w:val="9"/>
              </w:rPr>
              <w:t>务收入支出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pStyle w:val="TableText"/>
              <w:ind w:left="114"/>
              <w:spacing w:before="121" w:line="222" w:lineRule="auto"/>
              <w:rPr>
                <w:sz w:val="19"/>
                <w:szCs w:val="19"/>
              </w:rPr>
            </w:pPr>
            <w:r>
              <w:rPr>
                <w:sz w:val="19"/>
                <w:szCs w:val="19"/>
                <w:spacing w:val="9"/>
              </w:rPr>
              <w:t>十、城市基础设施配套费收入</w:t>
            </w:r>
          </w:p>
        </w:tc>
        <w:tc>
          <w:tcPr>
            <w:tcW w:w="913" w:type="dxa"/>
            <w:vAlign w:val="top"/>
          </w:tcPr>
          <w:p>
            <w:pPr>
              <w:rPr>
                <w:rFonts w:ascii="Arial"/>
                <w:sz w:val="21"/>
              </w:rPr>
            </w:pPr>
            <w:r/>
          </w:p>
        </w:tc>
        <w:tc>
          <w:tcPr>
            <w:tcW w:w="5893" w:type="dxa"/>
            <w:vAlign w:val="top"/>
          </w:tcPr>
          <w:p>
            <w:pPr>
              <w:pStyle w:val="TableText"/>
              <w:ind w:left="106"/>
              <w:spacing w:before="119" w:line="222" w:lineRule="auto"/>
              <w:rPr>
                <w:sz w:val="19"/>
                <w:szCs w:val="19"/>
              </w:rPr>
            </w:pPr>
            <w:r>
              <w:rPr>
                <w:sz w:val="19"/>
                <w:szCs w:val="19"/>
                <w:spacing w:val="9"/>
              </w:rPr>
              <w:t>二、社会保障和就业支出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pStyle w:val="TableText"/>
              <w:ind w:left="114"/>
              <w:spacing w:before="122" w:line="221" w:lineRule="auto"/>
              <w:rPr>
                <w:sz w:val="19"/>
                <w:szCs w:val="19"/>
              </w:rPr>
            </w:pPr>
            <w:r>
              <w:rPr>
                <w:sz w:val="19"/>
                <w:szCs w:val="19"/>
                <w:spacing w:val="9"/>
              </w:rPr>
              <w:t>十一、小型水库移民扶助基金收入</w:t>
            </w:r>
          </w:p>
        </w:tc>
        <w:tc>
          <w:tcPr>
            <w:tcW w:w="913" w:type="dxa"/>
            <w:vAlign w:val="top"/>
          </w:tcPr>
          <w:p>
            <w:pPr>
              <w:rPr>
                <w:rFonts w:ascii="Arial"/>
                <w:sz w:val="21"/>
              </w:rPr>
            </w:pPr>
            <w:r/>
          </w:p>
        </w:tc>
        <w:tc>
          <w:tcPr>
            <w:tcW w:w="5893" w:type="dxa"/>
            <w:vAlign w:val="top"/>
          </w:tcPr>
          <w:p>
            <w:pPr>
              <w:pStyle w:val="TableText"/>
              <w:ind w:left="511"/>
              <w:spacing w:before="122" w:line="221" w:lineRule="auto"/>
              <w:rPr>
                <w:sz w:val="19"/>
                <w:szCs w:val="19"/>
              </w:rPr>
            </w:pPr>
            <w:r>
              <w:rPr>
                <w:sz w:val="19"/>
                <w:szCs w:val="19"/>
                <w:spacing w:val="9"/>
              </w:rPr>
              <w:t>大中型水库移民后期扶持基金支出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pStyle w:val="TableText"/>
              <w:ind w:left="114"/>
              <w:spacing w:before="123" w:line="221" w:lineRule="auto"/>
              <w:rPr>
                <w:sz w:val="19"/>
                <w:szCs w:val="19"/>
              </w:rPr>
            </w:pPr>
            <w:r>
              <w:rPr>
                <w:sz w:val="19"/>
                <w:szCs w:val="19"/>
                <w:spacing w:val="9"/>
              </w:rPr>
              <w:t>十二、国家重大水利工程建设基金收入</w:t>
            </w:r>
          </w:p>
        </w:tc>
        <w:tc>
          <w:tcPr>
            <w:tcW w:w="913" w:type="dxa"/>
            <w:vAlign w:val="top"/>
          </w:tcPr>
          <w:p>
            <w:pPr>
              <w:rPr>
                <w:rFonts w:ascii="Arial"/>
                <w:sz w:val="21"/>
              </w:rPr>
            </w:pPr>
            <w:r/>
          </w:p>
        </w:tc>
        <w:tc>
          <w:tcPr>
            <w:tcW w:w="5893" w:type="dxa"/>
            <w:vAlign w:val="top"/>
          </w:tcPr>
          <w:p>
            <w:pPr>
              <w:pStyle w:val="TableText"/>
              <w:ind w:left="706"/>
              <w:spacing w:before="127" w:line="217" w:lineRule="auto"/>
              <w:rPr>
                <w:sz w:val="19"/>
                <w:szCs w:val="19"/>
              </w:rPr>
            </w:pPr>
            <w:r>
              <w:rPr>
                <w:sz w:val="19"/>
                <w:szCs w:val="19"/>
                <w:spacing w:val="8"/>
              </w:rPr>
              <w:t>移民补助</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pStyle w:val="TableText"/>
              <w:ind w:left="114"/>
              <w:spacing w:before="127" w:line="221" w:lineRule="auto"/>
              <w:rPr>
                <w:sz w:val="19"/>
                <w:szCs w:val="19"/>
              </w:rPr>
            </w:pPr>
            <w:r>
              <w:rPr>
                <w:sz w:val="19"/>
                <w:szCs w:val="19"/>
                <w:spacing w:val="8"/>
              </w:rPr>
              <w:t>十三、车辆通行费</w:t>
            </w:r>
          </w:p>
        </w:tc>
        <w:tc>
          <w:tcPr>
            <w:tcW w:w="913" w:type="dxa"/>
            <w:vAlign w:val="top"/>
          </w:tcPr>
          <w:p>
            <w:pPr>
              <w:rPr>
                <w:rFonts w:ascii="Arial"/>
                <w:sz w:val="21"/>
              </w:rPr>
            </w:pPr>
            <w:r/>
          </w:p>
        </w:tc>
        <w:tc>
          <w:tcPr>
            <w:tcW w:w="5893" w:type="dxa"/>
            <w:vAlign w:val="top"/>
          </w:tcPr>
          <w:p>
            <w:pPr>
              <w:pStyle w:val="TableText"/>
              <w:ind w:left="705"/>
              <w:spacing w:before="124" w:line="224" w:lineRule="auto"/>
              <w:rPr>
                <w:sz w:val="19"/>
                <w:szCs w:val="19"/>
              </w:rPr>
            </w:pPr>
            <w:r>
              <w:rPr>
                <w:sz w:val="19"/>
                <w:szCs w:val="19"/>
                <w:spacing w:val="9"/>
              </w:rPr>
              <w:t>基础设施建设和经济发展</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pStyle w:val="TableText"/>
              <w:ind w:left="114"/>
              <w:spacing w:before="126" w:line="221" w:lineRule="auto"/>
              <w:rPr>
                <w:sz w:val="19"/>
                <w:szCs w:val="19"/>
              </w:rPr>
            </w:pPr>
            <w:r>
              <w:rPr>
                <w:sz w:val="19"/>
                <w:szCs w:val="19"/>
                <w:spacing w:val="8"/>
              </w:rPr>
              <w:t>十四、污水处理费收入</w:t>
            </w:r>
          </w:p>
        </w:tc>
        <w:tc>
          <w:tcPr>
            <w:tcW w:w="913" w:type="dxa"/>
            <w:vAlign w:val="top"/>
          </w:tcPr>
          <w:p>
            <w:pPr>
              <w:pStyle w:val="TableText"/>
              <w:ind w:left="505"/>
              <w:spacing w:before="121" w:line="274" w:lineRule="exact"/>
              <w:rPr>
                <w:sz w:val="19"/>
                <w:szCs w:val="19"/>
              </w:rPr>
            </w:pPr>
            <w:r>
              <w:rPr>
                <w:sz w:val="19"/>
                <w:szCs w:val="19"/>
                <w:spacing w:val="2"/>
                <w:position w:val="2"/>
              </w:rPr>
              <w:t>700</w:t>
            </w:r>
          </w:p>
        </w:tc>
        <w:tc>
          <w:tcPr>
            <w:tcW w:w="5893" w:type="dxa"/>
            <w:vAlign w:val="top"/>
          </w:tcPr>
          <w:p>
            <w:pPr>
              <w:pStyle w:val="TableText"/>
              <w:ind w:left="705"/>
              <w:spacing w:before="125" w:line="221" w:lineRule="auto"/>
              <w:rPr>
                <w:sz w:val="19"/>
                <w:szCs w:val="19"/>
              </w:rPr>
            </w:pPr>
            <w:r>
              <w:rPr>
                <w:sz w:val="19"/>
                <w:szCs w:val="19"/>
                <w:spacing w:val="9"/>
              </w:rPr>
              <w:t>其他大中型水库移民后期扶持基金支出</w:t>
            </w:r>
          </w:p>
        </w:tc>
        <w:tc>
          <w:tcPr>
            <w:tcW w:w="1709" w:type="dxa"/>
            <w:vAlign w:val="top"/>
            <w:tcBorders>
              <w:right w:val="single" w:color="000000" w:sz="6" w:space="0"/>
            </w:tcBorders>
          </w:tcPr>
          <w:p>
            <w:pPr>
              <w:rPr>
                <w:rFonts w:ascii="Arial"/>
                <w:sz w:val="21"/>
              </w:rPr>
            </w:pPr>
            <w:r/>
          </w:p>
        </w:tc>
      </w:tr>
      <w:tr>
        <w:trPr>
          <w:trHeight w:val="407" w:hRule="atLeast"/>
        </w:trPr>
        <w:tc>
          <w:tcPr>
            <w:tcW w:w="5381" w:type="dxa"/>
            <w:vAlign w:val="top"/>
            <w:tcBorders>
              <w:left w:val="single" w:color="000000" w:sz="6" w:space="0"/>
            </w:tcBorders>
          </w:tcPr>
          <w:p>
            <w:pPr>
              <w:pStyle w:val="TableText"/>
              <w:ind w:left="114"/>
              <w:spacing w:before="128" w:line="220" w:lineRule="auto"/>
              <w:rPr>
                <w:sz w:val="19"/>
                <w:szCs w:val="19"/>
              </w:rPr>
            </w:pPr>
            <w:r>
              <w:rPr>
                <w:sz w:val="19"/>
                <w:szCs w:val="19"/>
                <w:spacing w:val="9"/>
              </w:rPr>
              <w:t>十五、彩票发行机构和彩票销售机构的业务费用</w:t>
            </w:r>
          </w:p>
        </w:tc>
        <w:tc>
          <w:tcPr>
            <w:tcW w:w="913" w:type="dxa"/>
            <w:vAlign w:val="top"/>
          </w:tcPr>
          <w:p>
            <w:pPr>
              <w:rPr>
                <w:rFonts w:ascii="Arial"/>
                <w:sz w:val="21"/>
              </w:rPr>
            </w:pPr>
            <w:r/>
          </w:p>
        </w:tc>
        <w:tc>
          <w:tcPr>
            <w:tcW w:w="5893" w:type="dxa"/>
            <w:vAlign w:val="top"/>
          </w:tcPr>
          <w:p>
            <w:pPr>
              <w:pStyle w:val="TableText"/>
              <w:ind w:left="507"/>
              <w:spacing w:before="126" w:line="221" w:lineRule="auto"/>
              <w:rPr>
                <w:sz w:val="19"/>
                <w:szCs w:val="19"/>
              </w:rPr>
            </w:pPr>
            <w:r>
              <w:rPr>
                <w:sz w:val="19"/>
                <w:szCs w:val="19"/>
                <w:spacing w:val="9"/>
              </w:rPr>
              <w:t>小型水库移民扶助基金安排的支出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pStyle w:val="TableText"/>
              <w:ind w:left="306"/>
              <w:spacing w:before="128" w:line="220" w:lineRule="auto"/>
              <w:rPr>
                <w:sz w:val="19"/>
                <w:szCs w:val="19"/>
              </w:rPr>
            </w:pPr>
            <w:r>
              <w:rPr>
                <w:sz w:val="19"/>
                <w:szCs w:val="19"/>
                <w:spacing w:val="9"/>
              </w:rPr>
              <w:t>福利彩票销售机构的业务费用</w:t>
            </w:r>
          </w:p>
        </w:tc>
        <w:tc>
          <w:tcPr>
            <w:tcW w:w="913" w:type="dxa"/>
            <w:vAlign w:val="top"/>
          </w:tcPr>
          <w:p>
            <w:pPr>
              <w:rPr>
                <w:rFonts w:ascii="Arial"/>
                <w:sz w:val="21"/>
              </w:rPr>
            </w:pPr>
            <w:r/>
          </w:p>
        </w:tc>
        <w:tc>
          <w:tcPr>
            <w:tcW w:w="5893" w:type="dxa"/>
            <w:vAlign w:val="top"/>
          </w:tcPr>
          <w:p>
            <w:pPr>
              <w:pStyle w:val="TableText"/>
              <w:ind w:left="706"/>
              <w:spacing w:before="130" w:line="217" w:lineRule="auto"/>
              <w:rPr>
                <w:sz w:val="19"/>
                <w:szCs w:val="19"/>
              </w:rPr>
            </w:pPr>
            <w:r>
              <w:rPr>
                <w:sz w:val="19"/>
                <w:szCs w:val="19"/>
                <w:spacing w:val="8"/>
              </w:rPr>
              <w:t>移民补助</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pStyle w:val="TableText"/>
              <w:ind w:left="306"/>
              <w:spacing w:before="127" w:line="223" w:lineRule="auto"/>
              <w:rPr>
                <w:sz w:val="19"/>
                <w:szCs w:val="19"/>
              </w:rPr>
            </w:pPr>
            <w:r>
              <w:rPr>
                <w:sz w:val="19"/>
                <w:szCs w:val="19"/>
                <w:spacing w:val="9"/>
              </w:rPr>
              <w:t>体育彩票销售机构的业务费用</w:t>
            </w:r>
          </w:p>
        </w:tc>
        <w:tc>
          <w:tcPr>
            <w:tcW w:w="913" w:type="dxa"/>
            <w:vAlign w:val="top"/>
          </w:tcPr>
          <w:p>
            <w:pPr>
              <w:rPr>
                <w:rFonts w:ascii="Arial"/>
                <w:sz w:val="21"/>
              </w:rPr>
            </w:pPr>
            <w:r/>
          </w:p>
        </w:tc>
        <w:tc>
          <w:tcPr>
            <w:tcW w:w="5893" w:type="dxa"/>
            <w:vAlign w:val="top"/>
          </w:tcPr>
          <w:p>
            <w:pPr>
              <w:pStyle w:val="TableText"/>
              <w:ind w:left="705"/>
              <w:spacing w:before="127" w:line="224" w:lineRule="auto"/>
              <w:rPr>
                <w:sz w:val="19"/>
                <w:szCs w:val="19"/>
              </w:rPr>
            </w:pPr>
            <w:r>
              <w:rPr>
                <w:sz w:val="19"/>
                <w:szCs w:val="19"/>
                <w:spacing w:val="9"/>
              </w:rPr>
              <w:t>基础设施建设和经济发展</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pStyle w:val="TableText"/>
              <w:ind w:left="307"/>
              <w:spacing w:before="130" w:line="218" w:lineRule="auto"/>
              <w:rPr>
                <w:sz w:val="19"/>
                <w:szCs w:val="19"/>
              </w:rPr>
            </w:pPr>
            <w:r>
              <w:rPr>
                <w:sz w:val="19"/>
                <w:szCs w:val="19"/>
                <w:spacing w:val="9"/>
              </w:rPr>
              <w:t>彩票兑奖周转金</w:t>
            </w:r>
          </w:p>
        </w:tc>
        <w:tc>
          <w:tcPr>
            <w:tcW w:w="913" w:type="dxa"/>
            <w:vAlign w:val="top"/>
          </w:tcPr>
          <w:p>
            <w:pPr>
              <w:rPr>
                <w:rFonts w:ascii="Arial"/>
                <w:sz w:val="21"/>
              </w:rPr>
            </w:pPr>
            <w:r/>
          </w:p>
        </w:tc>
        <w:tc>
          <w:tcPr>
            <w:tcW w:w="5893" w:type="dxa"/>
            <w:vAlign w:val="top"/>
          </w:tcPr>
          <w:p>
            <w:pPr>
              <w:pStyle w:val="TableText"/>
              <w:ind w:left="705"/>
              <w:spacing w:before="128" w:line="221" w:lineRule="auto"/>
              <w:rPr>
                <w:sz w:val="19"/>
                <w:szCs w:val="19"/>
              </w:rPr>
            </w:pPr>
            <w:r>
              <w:rPr>
                <w:sz w:val="19"/>
                <w:szCs w:val="19"/>
                <w:spacing w:val="9"/>
              </w:rPr>
              <w:t>其他小型水库移民扶助基金支出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pStyle w:val="TableText"/>
              <w:ind w:left="307"/>
              <w:spacing w:before="130" w:line="220" w:lineRule="auto"/>
              <w:rPr>
                <w:sz w:val="19"/>
                <w:szCs w:val="19"/>
              </w:rPr>
            </w:pPr>
            <w:r>
              <w:rPr>
                <w:sz w:val="19"/>
                <w:szCs w:val="19"/>
                <w:spacing w:val="9"/>
              </w:rPr>
              <w:t>彩票发行销售风险基金</w:t>
            </w:r>
          </w:p>
        </w:tc>
        <w:tc>
          <w:tcPr>
            <w:tcW w:w="913" w:type="dxa"/>
            <w:vAlign w:val="top"/>
          </w:tcPr>
          <w:p>
            <w:pPr>
              <w:rPr>
                <w:rFonts w:ascii="Arial"/>
                <w:sz w:val="21"/>
              </w:rPr>
            </w:pPr>
            <w:r/>
          </w:p>
        </w:tc>
        <w:tc>
          <w:tcPr>
            <w:tcW w:w="5893" w:type="dxa"/>
            <w:vAlign w:val="top"/>
          </w:tcPr>
          <w:p>
            <w:pPr>
              <w:pStyle w:val="TableText"/>
              <w:ind w:left="507"/>
              <w:spacing w:before="129" w:line="223" w:lineRule="auto"/>
              <w:rPr>
                <w:sz w:val="19"/>
                <w:szCs w:val="19"/>
              </w:rPr>
            </w:pPr>
            <w:r>
              <w:rPr>
                <w:sz w:val="19"/>
                <w:szCs w:val="19"/>
                <w:spacing w:val="9"/>
              </w:rPr>
              <w:t>小型水库移民扶助基金对应专项债务收入安排的支出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pStyle w:val="TableText"/>
              <w:ind w:left="307"/>
              <w:spacing w:before="130" w:line="221" w:lineRule="auto"/>
              <w:rPr>
                <w:sz w:val="19"/>
                <w:szCs w:val="19"/>
              </w:rPr>
            </w:pPr>
            <w:r>
              <w:rPr>
                <w:sz w:val="19"/>
                <w:szCs w:val="19"/>
                <w:spacing w:val="9"/>
              </w:rPr>
              <w:t>彩票市场调控资金收入</w:t>
            </w:r>
          </w:p>
        </w:tc>
        <w:tc>
          <w:tcPr>
            <w:tcW w:w="913" w:type="dxa"/>
            <w:vAlign w:val="top"/>
          </w:tcPr>
          <w:p>
            <w:pPr>
              <w:rPr>
                <w:rFonts w:ascii="Arial"/>
                <w:sz w:val="21"/>
              </w:rPr>
            </w:pPr>
            <w:r/>
          </w:p>
        </w:tc>
        <w:tc>
          <w:tcPr>
            <w:tcW w:w="5893" w:type="dxa"/>
            <w:vAlign w:val="top"/>
          </w:tcPr>
          <w:p>
            <w:pPr>
              <w:pStyle w:val="TableText"/>
              <w:ind w:left="705"/>
              <w:spacing w:before="129" w:line="224" w:lineRule="auto"/>
              <w:rPr>
                <w:sz w:val="19"/>
                <w:szCs w:val="19"/>
              </w:rPr>
            </w:pPr>
            <w:r>
              <w:rPr>
                <w:sz w:val="19"/>
                <w:szCs w:val="19"/>
                <w:spacing w:val="9"/>
              </w:rPr>
              <w:t>基础设施建设和经济发展</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pStyle w:val="TableText"/>
              <w:ind w:left="114"/>
              <w:spacing w:before="132" w:line="221" w:lineRule="auto"/>
              <w:rPr>
                <w:sz w:val="19"/>
                <w:szCs w:val="19"/>
              </w:rPr>
            </w:pPr>
            <w:r>
              <w:rPr>
                <w:sz w:val="19"/>
                <w:szCs w:val="19"/>
                <w:spacing w:val="9"/>
              </w:rPr>
              <w:t>十六、其他政府性基金收入</w:t>
            </w:r>
          </w:p>
        </w:tc>
        <w:tc>
          <w:tcPr>
            <w:tcW w:w="913" w:type="dxa"/>
            <w:vAlign w:val="top"/>
          </w:tcPr>
          <w:p>
            <w:pPr>
              <w:rPr>
                <w:rFonts w:ascii="Arial"/>
                <w:sz w:val="21"/>
              </w:rPr>
            </w:pPr>
            <w:r/>
          </w:p>
        </w:tc>
        <w:tc>
          <w:tcPr>
            <w:tcW w:w="5893" w:type="dxa"/>
            <w:vAlign w:val="top"/>
          </w:tcPr>
          <w:p>
            <w:pPr>
              <w:pStyle w:val="TableText"/>
              <w:ind w:left="705"/>
              <w:spacing w:before="132" w:line="223" w:lineRule="auto"/>
              <w:rPr>
                <w:sz w:val="19"/>
                <w:szCs w:val="19"/>
              </w:rPr>
            </w:pPr>
            <w:r>
              <w:rPr>
                <w:sz w:val="19"/>
                <w:szCs w:val="19"/>
                <w:spacing w:val="10"/>
              </w:rPr>
              <w:t>其他小型水库移民扶助基金对应专项债务收</w:t>
            </w:r>
            <w:r>
              <w:rPr>
                <w:sz w:val="19"/>
                <w:szCs w:val="19"/>
                <w:spacing w:val="9"/>
              </w:rPr>
              <w:t>入安排的支出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pStyle w:val="TableText"/>
              <w:ind w:left="114"/>
              <w:spacing w:before="132" w:line="223" w:lineRule="auto"/>
              <w:rPr>
                <w:sz w:val="19"/>
                <w:szCs w:val="19"/>
              </w:rPr>
            </w:pPr>
            <w:r>
              <w:rPr>
                <w:sz w:val="19"/>
                <w:szCs w:val="19"/>
                <w:spacing w:val="9"/>
              </w:rPr>
              <w:t>十七、专项债券对应项目专项收入</w:t>
            </w:r>
          </w:p>
        </w:tc>
        <w:tc>
          <w:tcPr>
            <w:tcW w:w="913" w:type="dxa"/>
            <w:vAlign w:val="top"/>
          </w:tcPr>
          <w:p>
            <w:pPr>
              <w:rPr>
                <w:rFonts w:ascii="Arial"/>
                <w:sz w:val="21"/>
              </w:rPr>
            </w:pPr>
            <w:r/>
          </w:p>
        </w:tc>
        <w:tc>
          <w:tcPr>
            <w:tcW w:w="5893" w:type="dxa"/>
            <w:vAlign w:val="top"/>
          </w:tcPr>
          <w:p>
            <w:pPr>
              <w:pStyle w:val="TableText"/>
              <w:ind w:left="109"/>
              <w:spacing w:before="133" w:line="220" w:lineRule="auto"/>
              <w:rPr>
                <w:sz w:val="19"/>
                <w:szCs w:val="19"/>
              </w:rPr>
            </w:pPr>
            <w:r>
              <w:rPr>
                <w:sz w:val="19"/>
                <w:szCs w:val="19"/>
                <w:spacing w:val="8"/>
              </w:rPr>
              <w:t>三、节能环保支出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509"/>
              <w:spacing w:before="135" w:line="217" w:lineRule="auto"/>
              <w:rPr>
                <w:sz w:val="19"/>
                <w:szCs w:val="19"/>
              </w:rPr>
            </w:pPr>
            <w:r>
              <w:rPr>
                <w:sz w:val="19"/>
                <w:szCs w:val="19"/>
                <w:spacing w:val="9"/>
              </w:rPr>
              <w:t>可再生能源电价附加收入安排的支出</w:t>
            </w:r>
          </w:p>
        </w:tc>
        <w:tc>
          <w:tcPr>
            <w:tcW w:w="1709" w:type="dxa"/>
            <w:vAlign w:val="top"/>
            <w:tcBorders>
              <w:right w:val="single" w:color="000000" w:sz="6" w:space="0"/>
            </w:tcBorders>
          </w:tcPr>
          <w:p>
            <w:pPr>
              <w:rPr>
                <w:rFonts w:ascii="Arial"/>
                <w:sz w:val="21"/>
              </w:rPr>
            </w:pPr>
            <w:r/>
          </w:p>
        </w:tc>
      </w:tr>
      <w:tr>
        <w:trPr>
          <w:trHeight w:val="416" w:hRule="atLeast"/>
        </w:trPr>
        <w:tc>
          <w:tcPr>
            <w:tcW w:w="5381" w:type="dxa"/>
            <w:vAlign w:val="top"/>
            <w:tcBorders>
              <w:left w:val="single" w:color="000000" w:sz="6" w:space="0"/>
              <w:bottom w:val="single" w:color="000000" w:sz="6" w:space="0"/>
            </w:tcBorders>
          </w:tcPr>
          <w:p>
            <w:pPr>
              <w:rPr>
                <w:rFonts w:ascii="Arial"/>
                <w:sz w:val="21"/>
              </w:rPr>
            </w:pPr>
            <w:r/>
          </w:p>
        </w:tc>
        <w:tc>
          <w:tcPr>
            <w:tcW w:w="913" w:type="dxa"/>
            <w:vAlign w:val="top"/>
            <w:tcBorders>
              <w:bottom w:val="single" w:color="000000" w:sz="6" w:space="0"/>
            </w:tcBorders>
          </w:tcPr>
          <w:p>
            <w:pPr>
              <w:rPr>
                <w:rFonts w:ascii="Arial"/>
                <w:sz w:val="21"/>
              </w:rPr>
            </w:pPr>
            <w:r/>
          </w:p>
        </w:tc>
        <w:tc>
          <w:tcPr>
            <w:tcW w:w="5893" w:type="dxa"/>
            <w:vAlign w:val="top"/>
            <w:tcBorders>
              <w:bottom w:val="single" w:color="000000" w:sz="6" w:space="0"/>
            </w:tcBorders>
          </w:tcPr>
          <w:p>
            <w:pPr>
              <w:pStyle w:val="TableText"/>
              <w:ind w:left="709"/>
              <w:spacing w:before="138" w:line="216" w:lineRule="auto"/>
              <w:rPr>
                <w:sz w:val="19"/>
                <w:szCs w:val="19"/>
              </w:rPr>
            </w:pPr>
            <w:r>
              <w:rPr>
                <w:sz w:val="19"/>
                <w:szCs w:val="19"/>
                <w:spacing w:val="8"/>
              </w:rPr>
              <w:t>风力发电补助</w:t>
            </w:r>
          </w:p>
        </w:tc>
        <w:tc>
          <w:tcPr>
            <w:tcW w:w="1709"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61"/>
          <w:footerReference w:type="default" r:id="rId115"/>
          <w:pgSz w:w="16839" w:h="11906"/>
          <w:pgMar w:top="1792" w:right="1463" w:bottom="1671" w:left="1463" w:header="1428" w:footer="1277" w:gutter="0"/>
        </w:sectPr>
        <w:rPr>
          <w:rFonts w:ascii="Arial" w:hAnsi="Arial" w:eastAsia="Arial" w:cs="Arial"/>
          <w:sz w:val="21"/>
          <w:szCs w:val="21"/>
        </w:rPr>
      </w:pPr>
    </w:p>
    <w:p>
      <w:pPr>
        <w:spacing w:line="192" w:lineRule="exact"/>
        <w:rPr/>
      </w:pPr>
      <w:r>
        <w:drawing>
          <wp:anchor distT="0" distB="0" distL="0" distR="0" simplePos="0" relativeHeight="251711488"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232" name="IM 232"/>
            <wp:cNvGraphicFramePr/>
            <a:graphic>
              <a:graphicData uri="http://schemas.openxmlformats.org/drawingml/2006/picture">
                <pic:pic>
                  <pic:nvPicPr>
                    <pic:cNvPr id="232" name="IM 232"/>
                    <pic:cNvPicPr/>
                  </pic:nvPicPr>
                  <pic:blipFill>
                    <a:blip r:embed="rId118"/>
                    <a:stretch>
                      <a:fillRect/>
                    </a:stretch>
                  </pic:blipFill>
                  <pic:spPr>
                    <a:xfrm rot="0">
                      <a:off x="0" y="0"/>
                      <a:ext cx="8712200" cy="7620"/>
                    </a:xfrm>
                    <a:prstGeom prst="rect">
                      <a:avLst/>
                    </a:prstGeom>
                  </pic:spPr>
                </pic:pic>
              </a:graphicData>
            </a:graphic>
          </wp:anchor>
        </w:drawing>
      </w: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381"/>
        <w:gridCol w:w="913"/>
        <w:gridCol w:w="5893"/>
        <w:gridCol w:w="1709"/>
      </w:tblGrid>
      <w:tr>
        <w:trPr>
          <w:trHeight w:val="443" w:hRule="atLeast"/>
        </w:trPr>
        <w:tc>
          <w:tcPr>
            <w:tcW w:w="6294" w:type="dxa"/>
            <w:vAlign w:val="top"/>
            <w:gridSpan w:val="2"/>
            <w:tcBorders>
              <w:left w:val="single" w:color="000000" w:sz="6" w:space="0"/>
              <w:top w:val="single" w:color="000000" w:sz="6" w:space="0"/>
            </w:tcBorders>
          </w:tcPr>
          <w:p>
            <w:pPr>
              <w:pStyle w:val="TableText"/>
              <w:ind w:left="2950"/>
              <w:spacing w:before="145" w:line="214" w:lineRule="auto"/>
              <w:rPr>
                <w:sz w:val="19"/>
                <w:szCs w:val="19"/>
              </w:rPr>
            </w:pPr>
            <w:r>
              <w:rPr>
                <w:sz w:val="19"/>
                <w:szCs w:val="19"/>
                <w:b/>
                <w:bCs/>
                <w:spacing w:val="2"/>
              </w:rPr>
              <w:t>收入</w:t>
            </w:r>
          </w:p>
        </w:tc>
        <w:tc>
          <w:tcPr>
            <w:tcW w:w="7602" w:type="dxa"/>
            <w:vAlign w:val="top"/>
            <w:gridSpan w:val="2"/>
            <w:tcBorders>
              <w:right w:val="single" w:color="000000" w:sz="6" w:space="0"/>
              <w:top w:val="single" w:color="000000" w:sz="6" w:space="0"/>
            </w:tcBorders>
          </w:tcPr>
          <w:p>
            <w:pPr>
              <w:pStyle w:val="TableText"/>
              <w:ind w:left="3599"/>
              <w:spacing w:before="143" w:line="219" w:lineRule="auto"/>
              <w:rPr>
                <w:sz w:val="19"/>
                <w:szCs w:val="19"/>
              </w:rPr>
            </w:pPr>
            <w:r>
              <w:rPr>
                <w:sz w:val="19"/>
                <w:szCs w:val="19"/>
                <w:b/>
                <w:bCs/>
                <w:spacing w:val="5"/>
              </w:rPr>
              <w:t>支出</w:t>
            </w:r>
          </w:p>
        </w:tc>
      </w:tr>
      <w:tr>
        <w:trPr>
          <w:trHeight w:val="395" w:hRule="atLeast"/>
        </w:trPr>
        <w:tc>
          <w:tcPr>
            <w:tcW w:w="5381" w:type="dxa"/>
            <w:vAlign w:val="top"/>
            <w:tcBorders>
              <w:left w:val="single" w:color="000000" w:sz="6" w:space="0"/>
            </w:tcBorders>
          </w:tcPr>
          <w:p>
            <w:pPr>
              <w:pStyle w:val="TableText"/>
              <w:ind w:left="2485"/>
              <w:spacing w:before="120" w:line="212" w:lineRule="auto"/>
              <w:rPr>
                <w:sz w:val="19"/>
                <w:szCs w:val="19"/>
              </w:rPr>
            </w:pPr>
            <w:r>
              <w:rPr>
                <w:sz w:val="19"/>
                <w:szCs w:val="19"/>
                <w:b/>
                <w:bCs/>
                <w:spacing w:val="6"/>
              </w:rPr>
              <w:t>项目</w:t>
            </w:r>
          </w:p>
        </w:tc>
        <w:tc>
          <w:tcPr>
            <w:tcW w:w="913" w:type="dxa"/>
            <w:vAlign w:val="top"/>
          </w:tcPr>
          <w:p>
            <w:pPr>
              <w:pStyle w:val="TableText"/>
              <w:ind w:left="158"/>
              <w:spacing w:before="115" w:line="221" w:lineRule="auto"/>
              <w:rPr>
                <w:sz w:val="19"/>
                <w:szCs w:val="19"/>
              </w:rPr>
            </w:pPr>
            <w:r>
              <w:rPr>
                <w:sz w:val="19"/>
                <w:szCs w:val="19"/>
                <w:b/>
                <w:bCs/>
                <w:spacing w:val="5"/>
              </w:rPr>
              <w:t>预算数</w:t>
            </w:r>
          </w:p>
        </w:tc>
        <w:tc>
          <w:tcPr>
            <w:tcW w:w="5893" w:type="dxa"/>
            <w:vAlign w:val="top"/>
          </w:tcPr>
          <w:p>
            <w:pPr>
              <w:pStyle w:val="TableText"/>
              <w:ind w:left="2748"/>
              <w:spacing w:before="120" w:line="212" w:lineRule="auto"/>
              <w:rPr>
                <w:sz w:val="19"/>
                <w:szCs w:val="19"/>
              </w:rPr>
            </w:pPr>
            <w:r>
              <w:rPr>
                <w:sz w:val="19"/>
                <w:szCs w:val="19"/>
                <w:b/>
                <w:bCs/>
                <w:spacing w:val="6"/>
              </w:rPr>
              <w:t>项目</w:t>
            </w:r>
          </w:p>
        </w:tc>
        <w:tc>
          <w:tcPr>
            <w:tcW w:w="1709" w:type="dxa"/>
            <w:vAlign w:val="top"/>
            <w:tcBorders>
              <w:right w:val="single" w:color="000000" w:sz="6" w:space="0"/>
            </w:tcBorders>
          </w:tcPr>
          <w:p>
            <w:pPr>
              <w:pStyle w:val="TableText"/>
              <w:ind w:left="557"/>
              <w:spacing w:before="115" w:line="221" w:lineRule="auto"/>
              <w:rPr>
                <w:sz w:val="19"/>
                <w:szCs w:val="19"/>
              </w:rPr>
            </w:pPr>
            <w:r>
              <w:rPr>
                <w:sz w:val="19"/>
                <w:szCs w:val="19"/>
                <w:b/>
                <w:bCs/>
                <w:spacing w:val="5"/>
              </w:rPr>
              <w:t>预算数</w:t>
            </w:r>
          </w:p>
        </w:tc>
      </w:tr>
      <w:tr>
        <w:trPr>
          <w:trHeight w:val="407"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24" w:line="217" w:lineRule="auto"/>
              <w:rPr>
                <w:sz w:val="19"/>
                <w:szCs w:val="19"/>
              </w:rPr>
            </w:pPr>
            <w:r>
              <w:rPr>
                <w:sz w:val="19"/>
                <w:szCs w:val="19"/>
                <w:spacing w:val="9"/>
              </w:rPr>
              <w:t>太阳能发电补助</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8"/>
              <w:spacing w:before="124" w:line="217" w:lineRule="auto"/>
              <w:rPr>
                <w:sz w:val="19"/>
                <w:szCs w:val="19"/>
              </w:rPr>
            </w:pPr>
            <w:r>
              <w:rPr>
                <w:sz w:val="19"/>
                <w:szCs w:val="19"/>
                <w:spacing w:val="8"/>
              </w:rPr>
              <w:t>生物质能发电补助</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21" w:line="220" w:lineRule="auto"/>
              <w:rPr>
                <w:sz w:val="19"/>
                <w:szCs w:val="19"/>
              </w:rPr>
            </w:pPr>
            <w:r>
              <w:rPr>
                <w:sz w:val="19"/>
                <w:szCs w:val="19"/>
                <w:spacing w:val="9"/>
              </w:rPr>
              <w:t>其他可再生能源电价附加收入安排的支出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505"/>
              <w:spacing w:before="119" w:line="264" w:lineRule="exact"/>
              <w:rPr>
                <w:sz w:val="19"/>
                <w:szCs w:val="19"/>
              </w:rPr>
            </w:pPr>
            <w:r>
              <w:rPr>
                <w:sz w:val="19"/>
                <w:szCs w:val="19"/>
                <w:spacing w:val="9"/>
                <w:position w:val="1"/>
              </w:rPr>
              <w:t>废弃电器电子产品处理基金支出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29"/>
              <w:spacing w:before="125" w:line="221" w:lineRule="auto"/>
              <w:rPr>
                <w:sz w:val="19"/>
                <w:szCs w:val="19"/>
              </w:rPr>
            </w:pPr>
            <w:r>
              <w:rPr>
                <w:sz w:val="19"/>
                <w:szCs w:val="19"/>
                <w:spacing w:val="6"/>
              </w:rPr>
              <w:t>回收处理费用补贴</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24" w:line="224" w:lineRule="auto"/>
              <w:rPr>
                <w:sz w:val="19"/>
                <w:szCs w:val="19"/>
              </w:rPr>
            </w:pPr>
            <w:r>
              <w:rPr>
                <w:sz w:val="19"/>
                <w:szCs w:val="19"/>
                <w:spacing w:val="9"/>
              </w:rPr>
              <w:t>信息系统建设</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26" w:line="221" w:lineRule="auto"/>
              <w:rPr>
                <w:sz w:val="19"/>
                <w:szCs w:val="19"/>
              </w:rPr>
            </w:pPr>
            <w:r>
              <w:rPr>
                <w:sz w:val="19"/>
                <w:szCs w:val="19"/>
                <w:spacing w:val="9"/>
              </w:rPr>
              <w:t>基金征管经费</w:t>
            </w:r>
          </w:p>
        </w:tc>
        <w:tc>
          <w:tcPr>
            <w:tcW w:w="1709" w:type="dxa"/>
            <w:vAlign w:val="top"/>
            <w:tcBorders>
              <w:right w:val="single" w:color="000000" w:sz="6" w:space="0"/>
            </w:tcBorders>
          </w:tcPr>
          <w:p>
            <w:pPr>
              <w:rPr>
                <w:rFonts w:ascii="Arial"/>
                <w:sz w:val="21"/>
              </w:rPr>
            </w:pPr>
            <w:r/>
          </w:p>
        </w:tc>
      </w:tr>
      <w:tr>
        <w:trPr>
          <w:trHeight w:val="407"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23" w:line="264" w:lineRule="exact"/>
              <w:rPr>
                <w:sz w:val="19"/>
                <w:szCs w:val="19"/>
              </w:rPr>
            </w:pPr>
            <w:r>
              <w:rPr>
                <w:sz w:val="19"/>
                <w:szCs w:val="19"/>
                <w:spacing w:val="9"/>
                <w:position w:val="1"/>
              </w:rPr>
              <w:t>其他废弃电器电子产品处理基金支出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126"/>
              <w:spacing w:before="129" w:line="218" w:lineRule="auto"/>
              <w:rPr>
                <w:sz w:val="19"/>
                <w:szCs w:val="19"/>
              </w:rPr>
            </w:pPr>
            <w:r>
              <w:rPr>
                <w:sz w:val="19"/>
                <w:szCs w:val="19"/>
                <w:spacing w:val="6"/>
              </w:rPr>
              <w:t>四、城乡社区支出</w:t>
            </w:r>
          </w:p>
        </w:tc>
        <w:tc>
          <w:tcPr>
            <w:tcW w:w="1709" w:type="dxa"/>
            <w:vAlign w:val="top"/>
            <w:tcBorders>
              <w:right w:val="single" w:color="000000" w:sz="6" w:space="0"/>
            </w:tcBorders>
          </w:tcPr>
          <w:p>
            <w:pPr>
              <w:pStyle w:val="TableText"/>
              <w:ind w:left="1107"/>
              <w:spacing w:before="123" w:line="272" w:lineRule="exact"/>
              <w:rPr>
                <w:sz w:val="19"/>
                <w:szCs w:val="19"/>
              </w:rPr>
            </w:pPr>
            <w:r>
              <w:rPr>
                <w:sz w:val="19"/>
                <w:szCs w:val="19"/>
                <w:spacing w:val="2"/>
                <w:position w:val="2"/>
              </w:rPr>
              <w:t>82345</w:t>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526"/>
              <w:spacing w:before="128" w:line="222" w:lineRule="auto"/>
              <w:rPr>
                <w:sz w:val="19"/>
                <w:szCs w:val="19"/>
              </w:rPr>
            </w:pPr>
            <w:r>
              <w:rPr>
                <w:sz w:val="19"/>
                <w:szCs w:val="19"/>
                <w:spacing w:val="8"/>
              </w:rPr>
              <w:t>国有土地使用权出让收入安排的支出</w:t>
            </w:r>
          </w:p>
        </w:tc>
        <w:tc>
          <w:tcPr>
            <w:tcW w:w="1709" w:type="dxa"/>
            <w:vAlign w:val="top"/>
            <w:tcBorders>
              <w:right w:val="single" w:color="000000" w:sz="6" w:space="0"/>
            </w:tcBorders>
          </w:tcPr>
          <w:p>
            <w:pPr>
              <w:pStyle w:val="TableText"/>
              <w:ind w:left="1107"/>
              <w:spacing w:before="125" w:line="271" w:lineRule="exact"/>
              <w:rPr>
                <w:sz w:val="19"/>
                <w:szCs w:val="19"/>
              </w:rPr>
            </w:pPr>
            <w:r>
              <w:rPr>
                <w:sz w:val="19"/>
                <w:szCs w:val="19"/>
                <w:spacing w:val="2"/>
                <w:position w:val="1"/>
              </w:rPr>
              <w:t>81495</w:t>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7"/>
              <w:spacing w:before="128" w:line="220" w:lineRule="auto"/>
              <w:rPr>
                <w:sz w:val="19"/>
                <w:szCs w:val="19"/>
              </w:rPr>
            </w:pPr>
            <w:r>
              <w:rPr>
                <w:sz w:val="19"/>
                <w:szCs w:val="19"/>
                <w:spacing w:val="9"/>
              </w:rPr>
              <w:t>征地和拆迁补偿支出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10"/>
              <w:spacing w:before="131" w:line="219" w:lineRule="auto"/>
              <w:rPr>
                <w:sz w:val="19"/>
                <w:szCs w:val="19"/>
              </w:rPr>
            </w:pPr>
            <w:r>
              <w:rPr>
                <w:sz w:val="19"/>
                <w:szCs w:val="19"/>
                <w:spacing w:val="8"/>
              </w:rPr>
              <w:t>土地开发支出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30" w:line="221" w:lineRule="auto"/>
              <w:rPr>
                <w:sz w:val="19"/>
                <w:szCs w:val="19"/>
              </w:rPr>
            </w:pPr>
            <w:r>
              <w:rPr>
                <w:sz w:val="19"/>
                <w:szCs w:val="19"/>
                <w:spacing w:val="9"/>
              </w:rPr>
              <w:t>城市建设支出</w:t>
            </w:r>
          </w:p>
        </w:tc>
        <w:tc>
          <w:tcPr>
            <w:tcW w:w="1709" w:type="dxa"/>
            <w:vAlign w:val="top"/>
            <w:tcBorders>
              <w:right w:val="single" w:color="000000" w:sz="6" w:space="0"/>
            </w:tcBorders>
          </w:tcPr>
          <w:p>
            <w:pPr>
              <w:pStyle w:val="TableText"/>
              <w:ind w:left="1203"/>
              <w:spacing w:before="127" w:line="269" w:lineRule="exact"/>
              <w:rPr>
                <w:sz w:val="19"/>
                <w:szCs w:val="19"/>
              </w:rPr>
            </w:pPr>
            <w:r>
              <w:rPr>
                <w:sz w:val="19"/>
                <w:szCs w:val="19"/>
                <w:spacing w:val="2"/>
                <w:position w:val="1"/>
              </w:rPr>
              <w:t>2000</w:t>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2"/>
              <w:spacing w:before="131" w:line="221" w:lineRule="auto"/>
              <w:rPr>
                <w:sz w:val="19"/>
                <w:szCs w:val="19"/>
              </w:rPr>
            </w:pPr>
            <w:r>
              <w:rPr>
                <w:sz w:val="19"/>
                <w:szCs w:val="19"/>
                <w:spacing w:val="9"/>
              </w:rPr>
              <w:t>农村基础设施建设支出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7"/>
              <w:spacing w:before="134" w:line="218" w:lineRule="auto"/>
              <w:rPr>
                <w:sz w:val="19"/>
                <w:szCs w:val="19"/>
              </w:rPr>
            </w:pPr>
            <w:r>
              <w:rPr>
                <w:sz w:val="19"/>
                <w:szCs w:val="19"/>
                <w:spacing w:val="9"/>
              </w:rPr>
              <w:t>补助被征地农民支出</w:t>
            </w:r>
          </w:p>
        </w:tc>
        <w:tc>
          <w:tcPr>
            <w:tcW w:w="1709" w:type="dxa"/>
            <w:vAlign w:val="top"/>
            <w:tcBorders>
              <w:right w:val="single" w:color="000000" w:sz="6" w:space="0"/>
            </w:tcBorders>
          </w:tcPr>
          <w:p>
            <w:pPr>
              <w:pStyle w:val="TableText"/>
              <w:ind w:left="1302"/>
              <w:spacing w:before="128" w:line="268" w:lineRule="exact"/>
              <w:rPr>
                <w:sz w:val="19"/>
                <w:szCs w:val="19"/>
              </w:rPr>
            </w:pPr>
            <w:r>
              <w:rPr>
                <w:sz w:val="19"/>
                <w:szCs w:val="19"/>
                <w:spacing w:val="1"/>
                <w:position w:val="1"/>
              </w:rPr>
              <w:t>500</w:t>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10"/>
              <w:spacing w:before="135" w:line="218" w:lineRule="auto"/>
              <w:rPr>
                <w:sz w:val="19"/>
                <w:szCs w:val="19"/>
              </w:rPr>
            </w:pPr>
            <w:r>
              <w:rPr>
                <w:sz w:val="19"/>
                <w:szCs w:val="19"/>
                <w:spacing w:val="8"/>
              </w:rPr>
              <w:t>土地出让业务支出</w:t>
            </w:r>
          </w:p>
        </w:tc>
        <w:tc>
          <w:tcPr>
            <w:tcW w:w="1709" w:type="dxa"/>
            <w:vAlign w:val="top"/>
            <w:tcBorders>
              <w:right w:val="single" w:color="000000" w:sz="6" w:space="0"/>
            </w:tcBorders>
          </w:tcPr>
          <w:p>
            <w:pPr>
              <w:rPr>
                <w:rFonts w:ascii="Arial"/>
                <w:sz w:val="21"/>
              </w:rPr>
            </w:pPr>
            <w:r/>
          </w:p>
        </w:tc>
      </w:tr>
      <w:tr>
        <w:trPr>
          <w:trHeight w:val="416" w:hRule="atLeast"/>
        </w:trPr>
        <w:tc>
          <w:tcPr>
            <w:tcW w:w="5381" w:type="dxa"/>
            <w:vAlign w:val="top"/>
            <w:tcBorders>
              <w:left w:val="single" w:color="000000" w:sz="6" w:space="0"/>
              <w:bottom w:val="single" w:color="000000" w:sz="6" w:space="0"/>
            </w:tcBorders>
          </w:tcPr>
          <w:p>
            <w:pPr>
              <w:rPr>
                <w:rFonts w:ascii="Arial"/>
                <w:sz w:val="21"/>
              </w:rPr>
            </w:pPr>
            <w:r/>
          </w:p>
        </w:tc>
        <w:tc>
          <w:tcPr>
            <w:tcW w:w="913" w:type="dxa"/>
            <w:vAlign w:val="top"/>
            <w:tcBorders>
              <w:bottom w:val="single" w:color="000000" w:sz="6" w:space="0"/>
            </w:tcBorders>
          </w:tcPr>
          <w:p>
            <w:pPr>
              <w:rPr>
                <w:rFonts w:ascii="Arial"/>
                <w:sz w:val="21"/>
              </w:rPr>
            </w:pPr>
            <w:r/>
          </w:p>
        </w:tc>
        <w:tc>
          <w:tcPr>
            <w:tcW w:w="5893" w:type="dxa"/>
            <w:vAlign w:val="top"/>
            <w:tcBorders>
              <w:bottom w:val="single" w:color="000000" w:sz="6" w:space="0"/>
            </w:tcBorders>
          </w:tcPr>
          <w:p>
            <w:pPr>
              <w:pStyle w:val="TableText"/>
              <w:ind w:left="705"/>
              <w:spacing w:before="135" w:line="221" w:lineRule="auto"/>
              <w:rPr>
                <w:sz w:val="19"/>
                <w:szCs w:val="19"/>
              </w:rPr>
            </w:pPr>
            <w:r>
              <w:rPr>
                <w:sz w:val="19"/>
                <w:szCs w:val="19"/>
                <w:spacing w:val="9"/>
              </w:rPr>
              <w:t>廉租住房支出</w:t>
            </w:r>
          </w:p>
        </w:tc>
        <w:tc>
          <w:tcPr>
            <w:tcW w:w="1709"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104"/>
          <w:footerReference w:type="default" r:id="rId117"/>
          <w:pgSz w:w="16839" w:h="11906"/>
          <w:pgMar w:top="1792" w:right="1463" w:bottom="1660" w:left="1463" w:header="1428" w:footer="1289" w:gutter="0"/>
        </w:sectPr>
        <w:rPr>
          <w:rFonts w:ascii="Arial" w:hAnsi="Arial" w:eastAsia="Arial" w:cs="Arial"/>
          <w:sz w:val="21"/>
          <w:szCs w:val="21"/>
        </w:rPr>
      </w:pPr>
    </w:p>
    <w:p>
      <w:pPr>
        <w:spacing w:line="192" w:lineRule="exact"/>
        <w:rPr/>
      </w:pPr>
      <w:r>
        <w:drawing>
          <wp:anchor distT="0" distB="0" distL="0" distR="0" simplePos="0" relativeHeight="251713536"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236" name="IM 236"/>
            <wp:cNvGraphicFramePr/>
            <a:graphic>
              <a:graphicData uri="http://schemas.openxmlformats.org/drawingml/2006/picture">
                <pic:pic>
                  <pic:nvPicPr>
                    <pic:cNvPr id="236" name="IM 236"/>
                    <pic:cNvPicPr/>
                  </pic:nvPicPr>
                  <pic:blipFill>
                    <a:blip r:embed="rId120"/>
                    <a:stretch>
                      <a:fillRect/>
                    </a:stretch>
                  </pic:blipFill>
                  <pic:spPr>
                    <a:xfrm rot="0">
                      <a:off x="0" y="0"/>
                      <a:ext cx="8712200" cy="7620"/>
                    </a:xfrm>
                    <a:prstGeom prst="rect">
                      <a:avLst/>
                    </a:prstGeom>
                  </pic:spPr>
                </pic:pic>
              </a:graphicData>
            </a:graphic>
          </wp:anchor>
        </w:drawing>
      </w: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381"/>
        <w:gridCol w:w="913"/>
        <w:gridCol w:w="5893"/>
        <w:gridCol w:w="1709"/>
      </w:tblGrid>
      <w:tr>
        <w:trPr>
          <w:trHeight w:val="443" w:hRule="atLeast"/>
        </w:trPr>
        <w:tc>
          <w:tcPr>
            <w:tcW w:w="6294" w:type="dxa"/>
            <w:vAlign w:val="top"/>
            <w:gridSpan w:val="2"/>
            <w:tcBorders>
              <w:left w:val="single" w:color="000000" w:sz="6" w:space="0"/>
              <w:top w:val="single" w:color="000000" w:sz="6" w:space="0"/>
            </w:tcBorders>
          </w:tcPr>
          <w:p>
            <w:pPr>
              <w:pStyle w:val="TableText"/>
              <w:ind w:left="2950"/>
              <w:spacing w:before="145" w:line="214" w:lineRule="auto"/>
              <w:rPr>
                <w:sz w:val="19"/>
                <w:szCs w:val="19"/>
              </w:rPr>
            </w:pPr>
            <w:r>
              <w:rPr>
                <w:sz w:val="19"/>
                <w:szCs w:val="19"/>
                <w:b/>
                <w:bCs/>
                <w:spacing w:val="2"/>
              </w:rPr>
              <w:t>收入</w:t>
            </w:r>
          </w:p>
        </w:tc>
        <w:tc>
          <w:tcPr>
            <w:tcW w:w="7602" w:type="dxa"/>
            <w:vAlign w:val="top"/>
            <w:gridSpan w:val="2"/>
            <w:tcBorders>
              <w:right w:val="single" w:color="000000" w:sz="6" w:space="0"/>
              <w:top w:val="single" w:color="000000" w:sz="6" w:space="0"/>
            </w:tcBorders>
          </w:tcPr>
          <w:p>
            <w:pPr>
              <w:pStyle w:val="TableText"/>
              <w:ind w:left="3599"/>
              <w:spacing w:before="143" w:line="219" w:lineRule="auto"/>
              <w:rPr>
                <w:sz w:val="19"/>
                <w:szCs w:val="19"/>
              </w:rPr>
            </w:pPr>
            <w:r>
              <w:rPr>
                <w:sz w:val="19"/>
                <w:szCs w:val="19"/>
                <w:b/>
                <w:bCs/>
                <w:spacing w:val="5"/>
              </w:rPr>
              <w:t>支出</w:t>
            </w:r>
          </w:p>
        </w:tc>
      </w:tr>
      <w:tr>
        <w:trPr>
          <w:trHeight w:val="395" w:hRule="atLeast"/>
        </w:trPr>
        <w:tc>
          <w:tcPr>
            <w:tcW w:w="5381" w:type="dxa"/>
            <w:vAlign w:val="top"/>
            <w:tcBorders>
              <w:left w:val="single" w:color="000000" w:sz="6" w:space="0"/>
            </w:tcBorders>
          </w:tcPr>
          <w:p>
            <w:pPr>
              <w:pStyle w:val="TableText"/>
              <w:ind w:left="2485"/>
              <w:spacing w:before="120" w:line="212" w:lineRule="auto"/>
              <w:rPr>
                <w:sz w:val="19"/>
                <w:szCs w:val="19"/>
              </w:rPr>
            </w:pPr>
            <w:r>
              <w:rPr>
                <w:sz w:val="19"/>
                <w:szCs w:val="19"/>
                <w:b/>
                <w:bCs/>
                <w:spacing w:val="6"/>
              </w:rPr>
              <w:t>项目</w:t>
            </w:r>
          </w:p>
        </w:tc>
        <w:tc>
          <w:tcPr>
            <w:tcW w:w="913" w:type="dxa"/>
            <w:vAlign w:val="top"/>
          </w:tcPr>
          <w:p>
            <w:pPr>
              <w:pStyle w:val="TableText"/>
              <w:ind w:left="158"/>
              <w:spacing w:before="115" w:line="221" w:lineRule="auto"/>
              <w:rPr>
                <w:sz w:val="19"/>
                <w:szCs w:val="19"/>
              </w:rPr>
            </w:pPr>
            <w:r>
              <w:rPr>
                <w:sz w:val="19"/>
                <w:szCs w:val="19"/>
                <w:b/>
                <w:bCs/>
                <w:spacing w:val="5"/>
              </w:rPr>
              <w:t>预算数</w:t>
            </w:r>
          </w:p>
        </w:tc>
        <w:tc>
          <w:tcPr>
            <w:tcW w:w="5893" w:type="dxa"/>
            <w:vAlign w:val="top"/>
          </w:tcPr>
          <w:p>
            <w:pPr>
              <w:pStyle w:val="TableText"/>
              <w:ind w:left="2748"/>
              <w:spacing w:before="120" w:line="212" w:lineRule="auto"/>
              <w:rPr>
                <w:sz w:val="19"/>
                <w:szCs w:val="19"/>
              </w:rPr>
            </w:pPr>
            <w:r>
              <w:rPr>
                <w:sz w:val="19"/>
                <w:szCs w:val="19"/>
                <w:b/>
                <w:bCs/>
                <w:spacing w:val="6"/>
              </w:rPr>
              <w:t>项目</w:t>
            </w:r>
          </w:p>
        </w:tc>
        <w:tc>
          <w:tcPr>
            <w:tcW w:w="1709" w:type="dxa"/>
            <w:vAlign w:val="top"/>
            <w:tcBorders>
              <w:right w:val="single" w:color="000000" w:sz="6" w:space="0"/>
            </w:tcBorders>
          </w:tcPr>
          <w:p>
            <w:pPr>
              <w:pStyle w:val="TableText"/>
              <w:ind w:left="557"/>
              <w:spacing w:before="115" w:line="221" w:lineRule="auto"/>
              <w:rPr>
                <w:sz w:val="19"/>
                <w:szCs w:val="19"/>
              </w:rPr>
            </w:pPr>
            <w:r>
              <w:rPr>
                <w:sz w:val="19"/>
                <w:szCs w:val="19"/>
                <w:b/>
                <w:bCs/>
                <w:spacing w:val="5"/>
              </w:rPr>
              <w:t>预算数</w:t>
            </w:r>
          </w:p>
        </w:tc>
      </w:tr>
      <w:tr>
        <w:trPr>
          <w:trHeight w:val="407"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7"/>
              <w:spacing w:before="119" w:line="225" w:lineRule="auto"/>
              <w:rPr>
                <w:sz w:val="19"/>
                <w:szCs w:val="19"/>
              </w:rPr>
            </w:pPr>
            <w:r>
              <w:rPr>
                <w:sz w:val="19"/>
                <w:szCs w:val="19"/>
                <w:spacing w:val="9"/>
              </w:rPr>
              <w:t>支付破产或改制企业职工安置费</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23" w:line="218" w:lineRule="auto"/>
              <w:rPr>
                <w:sz w:val="19"/>
                <w:szCs w:val="19"/>
              </w:rPr>
            </w:pPr>
            <w:r>
              <w:rPr>
                <w:sz w:val="19"/>
                <w:szCs w:val="19"/>
                <w:spacing w:val="9"/>
              </w:rPr>
              <w:t>棚户区改造支出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4"/>
              <w:spacing w:before="121" w:line="220" w:lineRule="auto"/>
              <w:rPr>
                <w:sz w:val="19"/>
                <w:szCs w:val="19"/>
              </w:rPr>
            </w:pPr>
            <w:r>
              <w:rPr>
                <w:sz w:val="19"/>
                <w:szCs w:val="19"/>
                <w:spacing w:val="9"/>
              </w:rPr>
              <w:t>公共租赁住房支出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4"/>
              <w:spacing w:before="122" w:line="222" w:lineRule="auto"/>
              <w:rPr>
                <w:sz w:val="19"/>
                <w:szCs w:val="19"/>
              </w:rPr>
            </w:pPr>
            <w:r>
              <w:rPr>
                <w:sz w:val="19"/>
                <w:szCs w:val="19"/>
                <w:spacing w:val="9"/>
              </w:rPr>
              <w:t>保障性住房租金补贴</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23" w:line="222" w:lineRule="auto"/>
              <w:rPr>
                <w:sz w:val="19"/>
                <w:szCs w:val="19"/>
              </w:rPr>
            </w:pPr>
            <w:r>
              <w:rPr>
                <w:sz w:val="19"/>
                <w:szCs w:val="19"/>
                <w:spacing w:val="9"/>
              </w:rPr>
              <w:t>其他国有土地使用权出让收入安排的支出</w:t>
            </w:r>
          </w:p>
        </w:tc>
        <w:tc>
          <w:tcPr>
            <w:tcW w:w="1709" w:type="dxa"/>
            <w:vAlign w:val="top"/>
            <w:tcBorders>
              <w:right w:val="single" w:color="000000" w:sz="6" w:space="0"/>
            </w:tcBorders>
          </w:tcPr>
          <w:p>
            <w:pPr>
              <w:pStyle w:val="TableText"/>
              <w:ind w:left="1103"/>
              <w:spacing w:before="120" w:line="275" w:lineRule="exact"/>
              <w:rPr>
                <w:sz w:val="19"/>
                <w:szCs w:val="19"/>
              </w:rPr>
            </w:pPr>
            <w:r>
              <w:rPr>
                <w:sz w:val="19"/>
                <w:szCs w:val="19"/>
                <w:spacing w:val="3"/>
                <w:position w:val="2"/>
              </w:rPr>
              <w:t>78995</w:t>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526"/>
              <w:spacing w:before="127" w:line="218" w:lineRule="auto"/>
              <w:rPr>
                <w:sz w:val="19"/>
                <w:szCs w:val="19"/>
              </w:rPr>
            </w:pPr>
            <w:r>
              <w:rPr>
                <w:sz w:val="19"/>
                <w:szCs w:val="19"/>
                <w:spacing w:val="8"/>
              </w:rPr>
              <w:t>国有土地收益基金安排的支出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7"/>
              <w:spacing w:before="125" w:line="220" w:lineRule="auto"/>
              <w:rPr>
                <w:sz w:val="19"/>
                <w:szCs w:val="19"/>
              </w:rPr>
            </w:pPr>
            <w:r>
              <w:rPr>
                <w:sz w:val="19"/>
                <w:szCs w:val="19"/>
                <w:spacing w:val="9"/>
              </w:rPr>
              <w:t>征地和拆迁补偿支出</w:t>
            </w:r>
          </w:p>
        </w:tc>
        <w:tc>
          <w:tcPr>
            <w:tcW w:w="1709" w:type="dxa"/>
            <w:vAlign w:val="top"/>
            <w:tcBorders>
              <w:right w:val="single" w:color="000000" w:sz="6" w:space="0"/>
            </w:tcBorders>
          </w:tcPr>
          <w:p>
            <w:pPr>
              <w:rPr>
                <w:rFonts w:ascii="Arial"/>
                <w:sz w:val="21"/>
              </w:rPr>
            </w:pPr>
            <w:r/>
          </w:p>
        </w:tc>
      </w:tr>
      <w:tr>
        <w:trPr>
          <w:trHeight w:val="407"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10"/>
              <w:spacing w:before="128" w:line="219" w:lineRule="auto"/>
              <w:rPr>
                <w:sz w:val="19"/>
                <w:szCs w:val="19"/>
              </w:rPr>
            </w:pPr>
            <w:r>
              <w:rPr>
                <w:sz w:val="19"/>
                <w:szCs w:val="19"/>
                <w:spacing w:val="8"/>
              </w:rPr>
              <w:t>土地开发支出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27" w:line="221" w:lineRule="auto"/>
              <w:rPr>
                <w:sz w:val="19"/>
                <w:szCs w:val="19"/>
              </w:rPr>
            </w:pPr>
            <w:r>
              <w:rPr>
                <w:sz w:val="19"/>
                <w:szCs w:val="19"/>
                <w:spacing w:val="9"/>
              </w:rPr>
              <w:t>其他国有土地收益基金支出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503"/>
              <w:spacing w:before="129" w:line="221" w:lineRule="auto"/>
              <w:rPr>
                <w:sz w:val="19"/>
                <w:szCs w:val="19"/>
              </w:rPr>
            </w:pPr>
            <w:r>
              <w:rPr>
                <w:sz w:val="19"/>
                <w:szCs w:val="19"/>
                <w:spacing w:val="9"/>
              </w:rPr>
              <w:t>农业土地开发资金安排的支出</w:t>
            </w:r>
          </w:p>
        </w:tc>
        <w:tc>
          <w:tcPr>
            <w:tcW w:w="1709" w:type="dxa"/>
            <w:vAlign w:val="top"/>
            <w:tcBorders>
              <w:right w:val="single" w:color="000000" w:sz="6" w:space="0"/>
            </w:tcBorders>
          </w:tcPr>
          <w:p>
            <w:pPr>
              <w:pStyle w:val="TableText"/>
              <w:ind w:left="1317"/>
              <w:spacing w:before="125" w:line="271" w:lineRule="exact"/>
              <w:rPr>
                <w:sz w:val="19"/>
                <w:szCs w:val="19"/>
              </w:rPr>
            </w:pPr>
            <w:r>
              <w:rPr>
                <w:sz w:val="19"/>
                <w:szCs w:val="19"/>
                <w:spacing w:val="-4"/>
                <w:position w:val="1"/>
              </w:rPr>
              <w:t>150</w:t>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507"/>
              <w:spacing w:before="128" w:line="222" w:lineRule="auto"/>
              <w:rPr>
                <w:sz w:val="19"/>
                <w:szCs w:val="19"/>
              </w:rPr>
            </w:pPr>
            <w:r>
              <w:rPr>
                <w:sz w:val="19"/>
                <w:szCs w:val="19"/>
                <w:spacing w:val="9"/>
              </w:rPr>
              <w:t>城市基础设施配套费安排的支出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31" w:line="219" w:lineRule="auto"/>
              <w:rPr>
                <w:sz w:val="19"/>
                <w:szCs w:val="19"/>
              </w:rPr>
            </w:pPr>
            <w:r>
              <w:rPr>
                <w:sz w:val="19"/>
                <w:szCs w:val="19"/>
                <w:spacing w:val="9"/>
              </w:rPr>
              <w:t>城市公共设施</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33" w:line="218" w:lineRule="auto"/>
              <w:rPr>
                <w:sz w:val="19"/>
                <w:szCs w:val="19"/>
              </w:rPr>
            </w:pPr>
            <w:r>
              <w:rPr>
                <w:sz w:val="19"/>
                <w:szCs w:val="19"/>
                <w:spacing w:val="9"/>
              </w:rPr>
              <w:t>城市环境卫生</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4"/>
              <w:spacing w:before="134" w:line="218" w:lineRule="auto"/>
              <w:rPr>
                <w:sz w:val="19"/>
                <w:szCs w:val="19"/>
              </w:rPr>
            </w:pPr>
            <w:r>
              <w:rPr>
                <w:sz w:val="19"/>
                <w:szCs w:val="19"/>
                <w:spacing w:val="9"/>
              </w:rPr>
              <w:t>公有房屋</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32" w:line="220" w:lineRule="auto"/>
              <w:rPr>
                <w:sz w:val="19"/>
                <w:szCs w:val="19"/>
              </w:rPr>
            </w:pPr>
            <w:r>
              <w:rPr>
                <w:sz w:val="19"/>
                <w:szCs w:val="19"/>
                <w:spacing w:val="8"/>
              </w:rPr>
              <w:t>城市防洪</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33" w:line="222" w:lineRule="auto"/>
              <w:rPr>
                <w:sz w:val="19"/>
                <w:szCs w:val="19"/>
              </w:rPr>
            </w:pPr>
            <w:r>
              <w:rPr>
                <w:sz w:val="19"/>
                <w:szCs w:val="19"/>
                <w:spacing w:val="9"/>
              </w:rPr>
              <w:t>其他城市基础设施配套费安排的支出</w:t>
            </w:r>
          </w:p>
        </w:tc>
        <w:tc>
          <w:tcPr>
            <w:tcW w:w="1709" w:type="dxa"/>
            <w:vAlign w:val="top"/>
            <w:tcBorders>
              <w:right w:val="single" w:color="000000" w:sz="6" w:space="0"/>
            </w:tcBorders>
          </w:tcPr>
          <w:p>
            <w:pPr>
              <w:rPr>
                <w:rFonts w:ascii="Arial"/>
                <w:sz w:val="21"/>
              </w:rPr>
            </w:pPr>
            <w:r/>
          </w:p>
        </w:tc>
      </w:tr>
      <w:tr>
        <w:trPr>
          <w:trHeight w:val="416" w:hRule="atLeast"/>
        </w:trPr>
        <w:tc>
          <w:tcPr>
            <w:tcW w:w="5381" w:type="dxa"/>
            <w:vAlign w:val="top"/>
            <w:tcBorders>
              <w:left w:val="single" w:color="000000" w:sz="6" w:space="0"/>
              <w:bottom w:val="single" w:color="000000" w:sz="6" w:space="0"/>
            </w:tcBorders>
          </w:tcPr>
          <w:p>
            <w:pPr>
              <w:rPr>
                <w:rFonts w:ascii="Arial"/>
                <w:sz w:val="21"/>
              </w:rPr>
            </w:pPr>
            <w:r/>
          </w:p>
        </w:tc>
        <w:tc>
          <w:tcPr>
            <w:tcW w:w="913" w:type="dxa"/>
            <w:vAlign w:val="top"/>
            <w:tcBorders>
              <w:bottom w:val="single" w:color="000000" w:sz="6" w:space="0"/>
            </w:tcBorders>
          </w:tcPr>
          <w:p>
            <w:pPr>
              <w:rPr>
                <w:rFonts w:ascii="Arial"/>
                <w:sz w:val="21"/>
              </w:rPr>
            </w:pPr>
            <w:r/>
          </w:p>
        </w:tc>
        <w:tc>
          <w:tcPr>
            <w:tcW w:w="5893" w:type="dxa"/>
            <w:vAlign w:val="top"/>
            <w:tcBorders>
              <w:bottom w:val="single" w:color="000000" w:sz="6" w:space="0"/>
            </w:tcBorders>
          </w:tcPr>
          <w:p>
            <w:pPr>
              <w:pStyle w:val="TableText"/>
              <w:ind w:left="510"/>
              <w:spacing w:before="136" w:line="221" w:lineRule="auto"/>
              <w:rPr>
                <w:sz w:val="19"/>
                <w:szCs w:val="19"/>
              </w:rPr>
            </w:pPr>
            <w:r>
              <w:rPr>
                <w:sz w:val="19"/>
                <w:szCs w:val="19"/>
                <w:spacing w:val="9"/>
              </w:rPr>
              <w:t>污水处理费收入安排的支出</w:t>
            </w:r>
          </w:p>
        </w:tc>
        <w:tc>
          <w:tcPr>
            <w:tcW w:w="1709" w:type="dxa"/>
            <w:vAlign w:val="top"/>
            <w:tcBorders>
              <w:bottom w:val="single" w:color="000000" w:sz="6" w:space="0"/>
              <w:right w:val="single" w:color="000000" w:sz="6" w:space="0"/>
            </w:tcBorders>
          </w:tcPr>
          <w:p>
            <w:pPr>
              <w:pStyle w:val="TableText"/>
              <w:ind w:left="1300"/>
              <w:spacing w:before="131" w:line="275" w:lineRule="exact"/>
              <w:rPr>
                <w:sz w:val="19"/>
                <w:szCs w:val="19"/>
              </w:rPr>
            </w:pPr>
            <w:r>
              <w:rPr>
                <w:sz w:val="19"/>
                <w:szCs w:val="19"/>
                <w:spacing w:val="2"/>
                <w:position w:val="2"/>
              </w:rPr>
              <w:t>700</w:t>
            </w:r>
          </w:p>
        </w:tc>
      </w:tr>
    </w:tbl>
    <w:p>
      <w:pPr>
        <w:rPr>
          <w:rFonts w:ascii="Arial"/>
          <w:sz w:val="21"/>
        </w:rPr>
      </w:pPr>
      <w:r/>
    </w:p>
    <w:p>
      <w:pPr>
        <w:sectPr>
          <w:headerReference w:type="default" r:id="rId61"/>
          <w:footerReference w:type="default" r:id="rId119"/>
          <w:pgSz w:w="16839" w:h="11906"/>
          <w:pgMar w:top="1792" w:right="1463" w:bottom="1671" w:left="1463" w:header="1428" w:footer="1277" w:gutter="0"/>
        </w:sectPr>
        <w:rPr>
          <w:rFonts w:ascii="Arial" w:hAnsi="Arial" w:eastAsia="Arial" w:cs="Arial"/>
          <w:sz w:val="21"/>
          <w:szCs w:val="21"/>
        </w:rPr>
      </w:pPr>
    </w:p>
    <w:p>
      <w:pPr>
        <w:spacing w:line="192" w:lineRule="exact"/>
        <w:rPr/>
      </w:pPr>
      <w:r>
        <w:drawing>
          <wp:anchor distT="0" distB="0" distL="0" distR="0" simplePos="0" relativeHeight="251715584"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240" name="IM 240"/>
            <wp:cNvGraphicFramePr/>
            <a:graphic>
              <a:graphicData uri="http://schemas.openxmlformats.org/drawingml/2006/picture">
                <pic:pic>
                  <pic:nvPicPr>
                    <pic:cNvPr id="240" name="IM 240"/>
                    <pic:cNvPicPr/>
                  </pic:nvPicPr>
                  <pic:blipFill>
                    <a:blip r:embed="rId122"/>
                    <a:stretch>
                      <a:fillRect/>
                    </a:stretch>
                  </pic:blipFill>
                  <pic:spPr>
                    <a:xfrm rot="0">
                      <a:off x="0" y="0"/>
                      <a:ext cx="8712200" cy="7620"/>
                    </a:xfrm>
                    <a:prstGeom prst="rect">
                      <a:avLst/>
                    </a:prstGeom>
                  </pic:spPr>
                </pic:pic>
              </a:graphicData>
            </a:graphic>
          </wp:anchor>
        </w:drawing>
      </w: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381"/>
        <w:gridCol w:w="913"/>
        <w:gridCol w:w="5893"/>
        <w:gridCol w:w="1709"/>
      </w:tblGrid>
      <w:tr>
        <w:trPr>
          <w:trHeight w:val="443" w:hRule="atLeast"/>
        </w:trPr>
        <w:tc>
          <w:tcPr>
            <w:tcW w:w="6294" w:type="dxa"/>
            <w:vAlign w:val="top"/>
            <w:gridSpan w:val="2"/>
            <w:tcBorders>
              <w:left w:val="single" w:color="000000" w:sz="6" w:space="0"/>
              <w:top w:val="single" w:color="000000" w:sz="6" w:space="0"/>
            </w:tcBorders>
          </w:tcPr>
          <w:p>
            <w:pPr>
              <w:pStyle w:val="TableText"/>
              <w:ind w:left="2950"/>
              <w:spacing w:before="145" w:line="214" w:lineRule="auto"/>
              <w:rPr>
                <w:sz w:val="19"/>
                <w:szCs w:val="19"/>
              </w:rPr>
            </w:pPr>
            <w:r>
              <w:rPr>
                <w:sz w:val="19"/>
                <w:szCs w:val="19"/>
                <w:b/>
                <w:bCs/>
                <w:spacing w:val="2"/>
              </w:rPr>
              <w:t>收入</w:t>
            </w:r>
          </w:p>
        </w:tc>
        <w:tc>
          <w:tcPr>
            <w:tcW w:w="7602" w:type="dxa"/>
            <w:vAlign w:val="top"/>
            <w:gridSpan w:val="2"/>
            <w:tcBorders>
              <w:right w:val="single" w:color="000000" w:sz="6" w:space="0"/>
              <w:top w:val="single" w:color="000000" w:sz="6" w:space="0"/>
            </w:tcBorders>
          </w:tcPr>
          <w:p>
            <w:pPr>
              <w:pStyle w:val="TableText"/>
              <w:ind w:left="3599"/>
              <w:spacing w:before="143" w:line="219" w:lineRule="auto"/>
              <w:rPr>
                <w:sz w:val="19"/>
                <w:szCs w:val="19"/>
              </w:rPr>
            </w:pPr>
            <w:r>
              <w:rPr>
                <w:sz w:val="19"/>
                <w:szCs w:val="19"/>
                <w:b/>
                <w:bCs/>
                <w:spacing w:val="5"/>
              </w:rPr>
              <w:t>支出</w:t>
            </w:r>
          </w:p>
        </w:tc>
      </w:tr>
      <w:tr>
        <w:trPr>
          <w:trHeight w:val="395" w:hRule="atLeast"/>
        </w:trPr>
        <w:tc>
          <w:tcPr>
            <w:tcW w:w="5381" w:type="dxa"/>
            <w:vAlign w:val="top"/>
            <w:tcBorders>
              <w:left w:val="single" w:color="000000" w:sz="6" w:space="0"/>
            </w:tcBorders>
          </w:tcPr>
          <w:p>
            <w:pPr>
              <w:pStyle w:val="TableText"/>
              <w:ind w:left="2485"/>
              <w:spacing w:before="120" w:line="212" w:lineRule="auto"/>
              <w:rPr>
                <w:sz w:val="19"/>
                <w:szCs w:val="19"/>
              </w:rPr>
            </w:pPr>
            <w:r>
              <w:rPr>
                <w:sz w:val="19"/>
                <w:szCs w:val="19"/>
                <w:b/>
                <w:bCs/>
                <w:spacing w:val="6"/>
              </w:rPr>
              <w:t>项目</w:t>
            </w:r>
          </w:p>
        </w:tc>
        <w:tc>
          <w:tcPr>
            <w:tcW w:w="913" w:type="dxa"/>
            <w:vAlign w:val="top"/>
          </w:tcPr>
          <w:p>
            <w:pPr>
              <w:pStyle w:val="TableText"/>
              <w:ind w:left="158"/>
              <w:spacing w:before="115" w:line="221" w:lineRule="auto"/>
              <w:rPr>
                <w:sz w:val="19"/>
                <w:szCs w:val="19"/>
              </w:rPr>
            </w:pPr>
            <w:r>
              <w:rPr>
                <w:sz w:val="19"/>
                <w:szCs w:val="19"/>
                <w:b/>
                <w:bCs/>
                <w:spacing w:val="5"/>
              </w:rPr>
              <w:t>预算数</w:t>
            </w:r>
          </w:p>
        </w:tc>
        <w:tc>
          <w:tcPr>
            <w:tcW w:w="5893" w:type="dxa"/>
            <w:vAlign w:val="top"/>
          </w:tcPr>
          <w:p>
            <w:pPr>
              <w:pStyle w:val="TableText"/>
              <w:ind w:left="2748"/>
              <w:spacing w:before="120" w:line="212" w:lineRule="auto"/>
              <w:rPr>
                <w:sz w:val="19"/>
                <w:szCs w:val="19"/>
              </w:rPr>
            </w:pPr>
            <w:r>
              <w:rPr>
                <w:sz w:val="19"/>
                <w:szCs w:val="19"/>
                <w:b/>
                <w:bCs/>
                <w:spacing w:val="6"/>
              </w:rPr>
              <w:t>项目</w:t>
            </w:r>
          </w:p>
        </w:tc>
        <w:tc>
          <w:tcPr>
            <w:tcW w:w="1709" w:type="dxa"/>
            <w:vAlign w:val="top"/>
            <w:tcBorders>
              <w:right w:val="single" w:color="000000" w:sz="6" w:space="0"/>
            </w:tcBorders>
          </w:tcPr>
          <w:p>
            <w:pPr>
              <w:pStyle w:val="TableText"/>
              <w:ind w:left="557"/>
              <w:spacing w:before="115" w:line="221" w:lineRule="auto"/>
              <w:rPr>
                <w:sz w:val="19"/>
                <w:szCs w:val="19"/>
              </w:rPr>
            </w:pPr>
            <w:r>
              <w:rPr>
                <w:sz w:val="19"/>
                <w:szCs w:val="19"/>
                <w:b/>
                <w:bCs/>
                <w:spacing w:val="5"/>
              </w:rPr>
              <w:t>预算数</w:t>
            </w:r>
          </w:p>
        </w:tc>
      </w:tr>
      <w:tr>
        <w:trPr>
          <w:trHeight w:val="407"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9"/>
              <w:spacing w:before="120" w:line="221" w:lineRule="auto"/>
              <w:rPr>
                <w:sz w:val="19"/>
                <w:szCs w:val="19"/>
              </w:rPr>
            </w:pPr>
            <w:r>
              <w:rPr>
                <w:sz w:val="19"/>
                <w:szCs w:val="19"/>
                <w:spacing w:val="9"/>
              </w:rPr>
              <w:t>污水处理设施建设和运营</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22" w:line="222" w:lineRule="auto"/>
              <w:rPr>
                <w:sz w:val="19"/>
                <w:szCs w:val="19"/>
              </w:rPr>
            </w:pPr>
            <w:r>
              <w:rPr>
                <w:sz w:val="19"/>
                <w:szCs w:val="19"/>
                <w:spacing w:val="8"/>
              </w:rPr>
              <w:t>代征手续费</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21" w:line="222" w:lineRule="auto"/>
              <w:rPr>
                <w:sz w:val="19"/>
                <w:szCs w:val="19"/>
              </w:rPr>
            </w:pPr>
            <w:r>
              <w:rPr>
                <w:sz w:val="19"/>
                <w:szCs w:val="19"/>
                <w:spacing w:val="9"/>
              </w:rPr>
              <w:t>其他污水处理费安排的支出</w:t>
            </w:r>
          </w:p>
        </w:tc>
        <w:tc>
          <w:tcPr>
            <w:tcW w:w="1709" w:type="dxa"/>
            <w:vAlign w:val="top"/>
            <w:tcBorders>
              <w:right w:val="single" w:color="000000" w:sz="6" w:space="0"/>
            </w:tcBorders>
          </w:tcPr>
          <w:p>
            <w:pPr>
              <w:pStyle w:val="TableText"/>
              <w:ind w:left="1300"/>
              <w:spacing w:before="117" w:line="278" w:lineRule="exact"/>
              <w:rPr>
                <w:sz w:val="19"/>
                <w:szCs w:val="19"/>
              </w:rPr>
            </w:pPr>
            <w:r>
              <w:rPr>
                <w:sz w:val="19"/>
                <w:szCs w:val="19"/>
                <w:spacing w:val="2"/>
                <w:position w:val="2"/>
              </w:rPr>
              <w:t>700</w:t>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511"/>
              <w:spacing w:before="122" w:line="223" w:lineRule="auto"/>
              <w:rPr>
                <w:sz w:val="19"/>
                <w:szCs w:val="19"/>
              </w:rPr>
            </w:pPr>
            <w:r>
              <w:rPr>
                <w:sz w:val="19"/>
                <w:szCs w:val="19"/>
                <w:spacing w:val="9"/>
              </w:rPr>
              <w:t>土地储备专项债券收入安排的支出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7"/>
              <w:spacing w:before="124" w:line="220" w:lineRule="auto"/>
              <w:rPr>
                <w:sz w:val="19"/>
                <w:szCs w:val="19"/>
              </w:rPr>
            </w:pPr>
            <w:r>
              <w:rPr>
                <w:sz w:val="19"/>
                <w:szCs w:val="19"/>
                <w:spacing w:val="9"/>
              </w:rPr>
              <w:t>征地和拆迁补偿支出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10"/>
              <w:spacing w:before="127" w:line="219" w:lineRule="auto"/>
              <w:rPr>
                <w:sz w:val="19"/>
                <w:szCs w:val="19"/>
              </w:rPr>
            </w:pPr>
            <w:r>
              <w:rPr>
                <w:sz w:val="19"/>
                <w:szCs w:val="19"/>
                <w:spacing w:val="8"/>
              </w:rPr>
              <w:t>土地开发支出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25" w:line="223" w:lineRule="auto"/>
              <w:rPr>
                <w:sz w:val="19"/>
                <w:szCs w:val="19"/>
              </w:rPr>
            </w:pPr>
            <w:r>
              <w:rPr>
                <w:sz w:val="19"/>
                <w:szCs w:val="19"/>
                <w:spacing w:val="9"/>
              </w:rPr>
              <w:t>其他土地储备专项债券收入安排的支出</w:t>
            </w:r>
          </w:p>
        </w:tc>
        <w:tc>
          <w:tcPr>
            <w:tcW w:w="1709" w:type="dxa"/>
            <w:vAlign w:val="top"/>
            <w:tcBorders>
              <w:right w:val="single" w:color="000000" w:sz="6" w:space="0"/>
            </w:tcBorders>
          </w:tcPr>
          <w:p>
            <w:pPr>
              <w:rPr>
                <w:rFonts w:ascii="Arial"/>
                <w:sz w:val="21"/>
              </w:rPr>
            </w:pPr>
            <w:r/>
          </w:p>
        </w:tc>
      </w:tr>
      <w:tr>
        <w:trPr>
          <w:trHeight w:val="407"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507"/>
              <w:spacing w:before="126" w:line="223" w:lineRule="auto"/>
              <w:rPr>
                <w:sz w:val="19"/>
                <w:szCs w:val="19"/>
              </w:rPr>
            </w:pPr>
            <w:r>
              <w:rPr>
                <w:sz w:val="19"/>
                <w:szCs w:val="19"/>
                <w:spacing w:val="9"/>
              </w:rPr>
              <w:t>棚户区改造专项债券收入安排的支出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7"/>
              <w:spacing w:before="127" w:line="220" w:lineRule="auto"/>
              <w:rPr>
                <w:sz w:val="19"/>
                <w:szCs w:val="19"/>
              </w:rPr>
            </w:pPr>
            <w:r>
              <w:rPr>
                <w:sz w:val="19"/>
                <w:szCs w:val="19"/>
                <w:spacing w:val="9"/>
              </w:rPr>
              <w:t>征地和拆迁补偿支出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10"/>
              <w:spacing w:before="130" w:line="219" w:lineRule="auto"/>
              <w:rPr>
                <w:sz w:val="19"/>
                <w:szCs w:val="19"/>
              </w:rPr>
            </w:pPr>
            <w:r>
              <w:rPr>
                <w:sz w:val="19"/>
                <w:szCs w:val="19"/>
                <w:spacing w:val="8"/>
              </w:rPr>
              <w:t>土地开发支出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28" w:line="223" w:lineRule="auto"/>
              <w:rPr>
                <w:sz w:val="19"/>
                <w:szCs w:val="19"/>
              </w:rPr>
            </w:pPr>
            <w:r>
              <w:rPr>
                <w:sz w:val="19"/>
                <w:szCs w:val="19"/>
                <w:spacing w:val="9"/>
              </w:rPr>
              <w:t>其他棚户区改造专项债券收入安排的支出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507"/>
              <w:spacing w:before="129" w:line="223" w:lineRule="auto"/>
              <w:rPr>
                <w:sz w:val="19"/>
                <w:szCs w:val="19"/>
              </w:rPr>
            </w:pPr>
            <w:r>
              <w:rPr>
                <w:sz w:val="19"/>
                <w:szCs w:val="19"/>
                <w:spacing w:val="9"/>
              </w:rPr>
              <w:t>城市基础设施配套费对应专项债务收入安排的支出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32" w:line="219" w:lineRule="auto"/>
              <w:rPr>
                <w:sz w:val="19"/>
                <w:szCs w:val="19"/>
              </w:rPr>
            </w:pPr>
            <w:r>
              <w:rPr>
                <w:sz w:val="19"/>
                <w:szCs w:val="19"/>
                <w:spacing w:val="9"/>
              </w:rPr>
              <w:t>城市公共设施</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34" w:line="218" w:lineRule="auto"/>
              <w:rPr>
                <w:sz w:val="19"/>
                <w:szCs w:val="19"/>
              </w:rPr>
            </w:pPr>
            <w:r>
              <w:rPr>
                <w:sz w:val="19"/>
                <w:szCs w:val="19"/>
                <w:spacing w:val="9"/>
              </w:rPr>
              <w:t>城市环境卫生</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4"/>
              <w:spacing w:before="133" w:line="218" w:lineRule="auto"/>
              <w:rPr>
                <w:sz w:val="19"/>
                <w:szCs w:val="19"/>
              </w:rPr>
            </w:pPr>
            <w:r>
              <w:rPr>
                <w:sz w:val="19"/>
                <w:szCs w:val="19"/>
                <w:spacing w:val="9"/>
              </w:rPr>
              <w:t>公有房屋</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34" w:line="220" w:lineRule="auto"/>
              <w:rPr>
                <w:sz w:val="19"/>
                <w:szCs w:val="19"/>
              </w:rPr>
            </w:pPr>
            <w:r>
              <w:rPr>
                <w:sz w:val="19"/>
                <w:szCs w:val="19"/>
                <w:spacing w:val="8"/>
              </w:rPr>
              <w:t>城市防洪</w:t>
            </w:r>
          </w:p>
        </w:tc>
        <w:tc>
          <w:tcPr>
            <w:tcW w:w="1709" w:type="dxa"/>
            <w:vAlign w:val="top"/>
            <w:tcBorders>
              <w:right w:val="single" w:color="000000" w:sz="6" w:space="0"/>
            </w:tcBorders>
          </w:tcPr>
          <w:p>
            <w:pPr>
              <w:rPr>
                <w:rFonts w:ascii="Arial"/>
                <w:sz w:val="21"/>
              </w:rPr>
            </w:pPr>
            <w:r/>
          </w:p>
        </w:tc>
      </w:tr>
      <w:tr>
        <w:trPr>
          <w:trHeight w:val="416" w:hRule="atLeast"/>
        </w:trPr>
        <w:tc>
          <w:tcPr>
            <w:tcW w:w="5381" w:type="dxa"/>
            <w:vAlign w:val="top"/>
            <w:tcBorders>
              <w:left w:val="single" w:color="000000" w:sz="6" w:space="0"/>
              <w:bottom w:val="single" w:color="000000" w:sz="6" w:space="0"/>
            </w:tcBorders>
          </w:tcPr>
          <w:p>
            <w:pPr>
              <w:rPr>
                <w:rFonts w:ascii="Arial"/>
                <w:sz w:val="21"/>
              </w:rPr>
            </w:pPr>
            <w:r/>
          </w:p>
        </w:tc>
        <w:tc>
          <w:tcPr>
            <w:tcW w:w="913" w:type="dxa"/>
            <w:vAlign w:val="top"/>
            <w:tcBorders>
              <w:bottom w:val="single" w:color="000000" w:sz="6" w:space="0"/>
            </w:tcBorders>
          </w:tcPr>
          <w:p>
            <w:pPr>
              <w:rPr>
                <w:rFonts w:ascii="Arial"/>
                <w:sz w:val="21"/>
              </w:rPr>
            </w:pPr>
            <w:r/>
          </w:p>
        </w:tc>
        <w:tc>
          <w:tcPr>
            <w:tcW w:w="5893" w:type="dxa"/>
            <w:vAlign w:val="top"/>
            <w:tcBorders>
              <w:bottom w:val="single" w:color="000000" w:sz="6" w:space="0"/>
            </w:tcBorders>
          </w:tcPr>
          <w:p>
            <w:pPr>
              <w:pStyle w:val="TableText"/>
              <w:ind w:left="705"/>
              <w:spacing w:before="135" w:line="223" w:lineRule="auto"/>
              <w:rPr>
                <w:sz w:val="19"/>
                <w:szCs w:val="19"/>
              </w:rPr>
            </w:pPr>
            <w:r>
              <w:rPr>
                <w:sz w:val="19"/>
                <w:szCs w:val="19"/>
                <w:spacing w:val="10"/>
              </w:rPr>
              <w:t>其他城市基础设施配套费对应专项债务收入</w:t>
            </w:r>
            <w:r>
              <w:rPr>
                <w:sz w:val="19"/>
                <w:szCs w:val="19"/>
                <w:spacing w:val="9"/>
              </w:rPr>
              <w:t>安排的支出</w:t>
            </w:r>
          </w:p>
        </w:tc>
        <w:tc>
          <w:tcPr>
            <w:tcW w:w="1709"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104"/>
          <w:footerReference w:type="default" r:id="rId121"/>
          <w:pgSz w:w="16839" w:h="11906"/>
          <w:pgMar w:top="1792" w:right="1463" w:bottom="1660" w:left="1463" w:header="1428" w:footer="1289" w:gutter="0"/>
        </w:sectPr>
        <w:rPr>
          <w:rFonts w:ascii="Arial" w:hAnsi="Arial" w:eastAsia="Arial" w:cs="Arial"/>
          <w:sz w:val="21"/>
          <w:szCs w:val="21"/>
        </w:rPr>
      </w:pPr>
    </w:p>
    <w:p>
      <w:pPr>
        <w:spacing w:line="192" w:lineRule="exact"/>
        <w:rPr/>
      </w:pPr>
      <w:r>
        <w:drawing>
          <wp:anchor distT="0" distB="0" distL="0" distR="0" simplePos="0" relativeHeight="251717632"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244" name="IM 244"/>
            <wp:cNvGraphicFramePr/>
            <a:graphic>
              <a:graphicData uri="http://schemas.openxmlformats.org/drawingml/2006/picture">
                <pic:pic>
                  <pic:nvPicPr>
                    <pic:cNvPr id="244" name="IM 244"/>
                    <pic:cNvPicPr/>
                  </pic:nvPicPr>
                  <pic:blipFill>
                    <a:blip r:embed="rId124"/>
                    <a:stretch>
                      <a:fillRect/>
                    </a:stretch>
                  </pic:blipFill>
                  <pic:spPr>
                    <a:xfrm rot="0">
                      <a:off x="0" y="0"/>
                      <a:ext cx="8712200" cy="7620"/>
                    </a:xfrm>
                    <a:prstGeom prst="rect">
                      <a:avLst/>
                    </a:prstGeom>
                  </pic:spPr>
                </pic:pic>
              </a:graphicData>
            </a:graphic>
          </wp:anchor>
        </w:drawing>
      </w: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381"/>
        <w:gridCol w:w="913"/>
        <w:gridCol w:w="5893"/>
        <w:gridCol w:w="1709"/>
      </w:tblGrid>
      <w:tr>
        <w:trPr>
          <w:trHeight w:val="443" w:hRule="atLeast"/>
        </w:trPr>
        <w:tc>
          <w:tcPr>
            <w:tcW w:w="6294" w:type="dxa"/>
            <w:vAlign w:val="top"/>
            <w:gridSpan w:val="2"/>
            <w:tcBorders>
              <w:left w:val="single" w:color="000000" w:sz="6" w:space="0"/>
              <w:top w:val="single" w:color="000000" w:sz="6" w:space="0"/>
            </w:tcBorders>
          </w:tcPr>
          <w:p>
            <w:pPr>
              <w:pStyle w:val="TableText"/>
              <w:ind w:left="2950"/>
              <w:spacing w:before="145" w:line="214" w:lineRule="auto"/>
              <w:rPr>
                <w:sz w:val="19"/>
                <w:szCs w:val="19"/>
              </w:rPr>
            </w:pPr>
            <w:r>
              <w:rPr>
                <w:sz w:val="19"/>
                <w:szCs w:val="19"/>
                <w:b/>
                <w:bCs/>
                <w:spacing w:val="2"/>
              </w:rPr>
              <w:t>收入</w:t>
            </w:r>
          </w:p>
        </w:tc>
        <w:tc>
          <w:tcPr>
            <w:tcW w:w="7602" w:type="dxa"/>
            <w:vAlign w:val="top"/>
            <w:gridSpan w:val="2"/>
            <w:tcBorders>
              <w:right w:val="single" w:color="000000" w:sz="6" w:space="0"/>
              <w:top w:val="single" w:color="000000" w:sz="6" w:space="0"/>
            </w:tcBorders>
          </w:tcPr>
          <w:p>
            <w:pPr>
              <w:pStyle w:val="TableText"/>
              <w:ind w:left="3599"/>
              <w:spacing w:before="143" w:line="219" w:lineRule="auto"/>
              <w:rPr>
                <w:sz w:val="19"/>
                <w:szCs w:val="19"/>
              </w:rPr>
            </w:pPr>
            <w:r>
              <w:rPr>
                <w:sz w:val="19"/>
                <w:szCs w:val="19"/>
                <w:b/>
                <w:bCs/>
                <w:spacing w:val="5"/>
              </w:rPr>
              <w:t>支出</w:t>
            </w:r>
          </w:p>
        </w:tc>
      </w:tr>
      <w:tr>
        <w:trPr>
          <w:trHeight w:val="395" w:hRule="atLeast"/>
        </w:trPr>
        <w:tc>
          <w:tcPr>
            <w:tcW w:w="5381" w:type="dxa"/>
            <w:vAlign w:val="top"/>
            <w:tcBorders>
              <w:left w:val="single" w:color="000000" w:sz="6" w:space="0"/>
            </w:tcBorders>
          </w:tcPr>
          <w:p>
            <w:pPr>
              <w:pStyle w:val="TableText"/>
              <w:ind w:left="2485"/>
              <w:spacing w:before="120" w:line="212" w:lineRule="auto"/>
              <w:rPr>
                <w:sz w:val="19"/>
                <w:szCs w:val="19"/>
              </w:rPr>
            </w:pPr>
            <w:r>
              <w:rPr>
                <w:sz w:val="19"/>
                <w:szCs w:val="19"/>
                <w:b/>
                <w:bCs/>
                <w:spacing w:val="6"/>
              </w:rPr>
              <w:t>项目</w:t>
            </w:r>
          </w:p>
        </w:tc>
        <w:tc>
          <w:tcPr>
            <w:tcW w:w="913" w:type="dxa"/>
            <w:vAlign w:val="top"/>
          </w:tcPr>
          <w:p>
            <w:pPr>
              <w:pStyle w:val="TableText"/>
              <w:ind w:left="158"/>
              <w:spacing w:before="115" w:line="221" w:lineRule="auto"/>
              <w:rPr>
                <w:sz w:val="19"/>
                <w:szCs w:val="19"/>
              </w:rPr>
            </w:pPr>
            <w:r>
              <w:rPr>
                <w:sz w:val="19"/>
                <w:szCs w:val="19"/>
                <w:b/>
                <w:bCs/>
                <w:spacing w:val="5"/>
              </w:rPr>
              <w:t>预算数</w:t>
            </w:r>
          </w:p>
        </w:tc>
        <w:tc>
          <w:tcPr>
            <w:tcW w:w="5893" w:type="dxa"/>
            <w:vAlign w:val="top"/>
          </w:tcPr>
          <w:p>
            <w:pPr>
              <w:pStyle w:val="TableText"/>
              <w:ind w:left="2748"/>
              <w:spacing w:before="120" w:line="212" w:lineRule="auto"/>
              <w:rPr>
                <w:sz w:val="19"/>
                <w:szCs w:val="19"/>
              </w:rPr>
            </w:pPr>
            <w:r>
              <w:rPr>
                <w:sz w:val="19"/>
                <w:szCs w:val="19"/>
                <w:b/>
                <w:bCs/>
                <w:spacing w:val="6"/>
              </w:rPr>
              <w:t>项目</w:t>
            </w:r>
          </w:p>
        </w:tc>
        <w:tc>
          <w:tcPr>
            <w:tcW w:w="1709" w:type="dxa"/>
            <w:vAlign w:val="top"/>
            <w:tcBorders>
              <w:right w:val="single" w:color="000000" w:sz="6" w:space="0"/>
            </w:tcBorders>
          </w:tcPr>
          <w:p>
            <w:pPr>
              <w:pStyle w:val="TableText"/>
              <w:ind w:left="557"/>
              <w:spacing w:before="115" w:line="221" w:lineRule="auto"/>
              <w:rPr>
                <w:sz w:val="19"/>
                <w:szCs w:val="19"/>
              </w:rPr>
            </w:pPr>
            <w:r>
              <w:rPr>
                <w:sz w:val="19"/>
                <w:szCs w:val="19"/>
                <w:b/>
                <w:bCs/>
                <w:spacing w:val="5"/>
              </w:rPr>
              <w:t>预算数</w:t>
            </w:r>
          </w:p>
        </w:tc>
      </w:tr>
      <w:tr>
        <w:trPr>
          <w:trHeight w:val="407"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510"/>
              <w:spacing w:before="121" w:line="223" w:lineRule="auto"/>
              <w:rPr>
                <w:sz w:val="19"/>
                <w:szCs w:val="19"/>
              </w:rPr>
            </w:pPr>
            <w:r>
              <w:rPr>
                <w:sz w:val="19"/>
                <w:szCs w:val="19"/>
                <w:spacing w:val="9"/>
              </w:rPr>
              <w:t>污水处理费对应专项债务收入安排的支出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9"/>
              <w:spacing w:before="120" w:line="221" w:lineRule="auto"/>
              <w:rPr>
                <w:sz w:val="19"/>
                <w:szCs w:val="19"/>
              </w:rPr>
            </w:pPr>
            <w:r>
              <w:rPr>
                <w:sz w:val="19"/>
                <w:szCs w:val="19"/>
                <w:spacing w:val="9"/>
              </w:rPr>
              <w:t>污水处理设施建设和运营</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21" w:line="223" w:lineRule="auto"/>
              <w:rPr>
                <w:sz w:val="19"/>
                <w:szCs w:val="19"/>
              </w:rPr>
            </w:pPr>
            <w:r>
              <w:rPr>
                <w:sz w:val="19"/>
                <w:szCs w:val="19"/>
                <w:spacing w:val="9"/>
              </w:rPr>
              <w:t>其他污水处理费对应专项债务收入安排的支出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526"/>
              <w:spacing w:before="121" w:line="224" w:lineRule="auto"/>
              <w:rPr>
                <w:sz w:val="19"/>
                <w:szCs w:val="19"/>
              </w:rPr>
            </w:pPr>
            <w:r>
              <w:rPr>
                <w:sz w:val="19"/>
                <w:szCs w:val="19"/>
                <w:spacing w:val="9"/>
              </w:rPr>
              <w:t>国有土地使用权出让收入对应专项债务收入安排的</w:t>
            </w:r>
            <w:r>
              <w:rPr>
                <w:sz w:val="19"/>
                <w:szCs w:val="19"/>
                <w:spacing w:val="8"/>
              </w:rPr>
              <w:t>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7"/>
              <w:spacing w:before="124" w:line="220" w:lineRule="auto"/>
              <w:rPr>
                <w:sz w:val="19"/>
                <w:szCs w:val="19"/>
              </w:rPr>
            </w:pPr>
            <w:r>
              <w:rPr>
                <w:sz w:val="19"/>
                <w:szCs w:val="19"/>
                <w:spacing w:val="9"/>
              </w:rPr>
              <w:t>征地和拆迁补偿支出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10"/>
              <w:spacing w:before="127" w:line="219" w:lineRule="auto"/>
              <w:rPr>
                <w:sz w:val="19"/>
                <w:szCs w:val="19"/>
              </w:rPr>
            </w:pPr>
            <w:r>
              <w:rPr>
                <w:sz w:val="19"/>
                <w:szCs w:val="19"/>
                <w:spacing w:val="8"/>
              </w:rPr>
              <w:t>土地开发支出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23" w:line="221" w:lineRule="auto"/>
              <w:rPr>
                <w:sz w:val="19"/>
                <w:szCs w:val="19"/>
              </w:rPr>
            </w:pPr>
            <w:r>
              <w:rPr>
                <w:sz w:val="19"/>
                <w:szCs w:val="19"/>
                <w:spacing w:val="9"/>
              </w:rPr>
              <w:t>城市建设支出</w:t>
            </w:r>
          </w:p>
        </w:tc>
        <w:tc>
          <w:tcPr>
            <w:tcW w:w="1709" w:type="dxa"/>
            <w:vAlign w:val="top"/>
            <w:tcBorders>
              <w:right w:val="single" w:color="000000" w:sz="6" w:space="0"/>
            </w:tcBorders>
          </w:tcPr>
          <w:p>
            <w:pPr>
              <w:rPr>
                <w:rFonts w:ascii="Arial"/>
                <w:sz w:val="21"/>
              </w:rPr>
            </w:pPr>
            <w:r/>
          </w:p>
        </w:tc>
      </w:tr>
      <w:tr>
        <w:trPr>
          <w:trHeight w:val="407"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2"/>
              <w:spacing w:before="124" w:line="221" w:lineRule="auto"/>
              <w:rPr>
                <w:sz w:val="19"/>
                <w:szCs w:val="19"/>
              </w:rPr>
            </w:pPr>
            <w:r>
              <w:rPr>
                <w:sz w:val="19"/>
                <w:szCs w:val="19"/>
                <w:spacing w:val="9"/>
              </w:rPr>
              <w:t>农村基础设施建设支出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27" w:line="221" w:lineRule="auto"/>
              <w:rPr>
                <w:sz w:val="19"/>
                <w:szCs w:val="19"/>
              </w:rPr>
            </w:pPr>
            <w:r>
              <w:rPr>
                <w:sz w:val="19"/>
                <w:szCs w:val="19"/>
                <w:spacing w:val="9"/>
              </w:rPr>
              <w:t>廉租住房支出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30" w:line="218" w:lineRule="auto"/>
              <w:rPr>
                <w:sz w:val="19"/>
                <w:szCs w:val="19"/>
              </w:rPr>
            </w:pPr>
            <w:r>
              <w:rPr>
                <w:sz w:val="19"/>
                <w:szCs w:val="19"/>
                <w:spacing w:val="9"/>
              </w:rPr>
              <w:t>棚户区改造支出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4"/>
              <w:spacing w:before="128" w:line="220" w:lineRule="auto"/>
              <w:rPr>
                <w:sz w:val="19"/>
                <w:szCs w:val="19"/>
              </w:rPr>
            </w:pPr>
            <w:r>
              <w:rPr>
                <w:sz w:val="19"/>
                <w:szCs w:val="19"/>
                <w:spacing w:val="9"/>
              </w:rPr>
              <w:t>公共租赁住房支出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28" w:line="224" w:lineRule="auto"/>
              <w:rPr>
                <w:sz w:val="19"/>
                <w:szCs w:val="19"/>
              </w:rPr>
            </w:pPr>
            <w:r>
              <w:rPr>
                <w:sz w:val="19"/>
                <w:szCs w:val="19"/>
                <w:spacing w:val="-5"/>
              </w:rPr>
              <w:t>其他国有土地使用权出让收入对应专项债务收入安排的支出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110"/>
              <w:spacing w:before="133" w:line="218" w:lineRule="auto"/>
              <w:rPr>
                <w:sz w:val="19"/>
                <w:szCs w:val="19"/>
              </w:rPr>
            </w:pPr>
            <w:r>
              <w:rPr>
                <w:sz w:val="19"/>
                <w:szCs w:val="19"/>
                <w:spacing w:val="8"/>
              </w:rPr>
              <w:t>五、农林水支出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511"/>
              <w:spacing w:before="132" w:line="221" w:lineRule="auto"/>
              <w:rPr>
                <w:sz w:val="19"/>
                <w:szCs w:val="19"/>
              </w:rPr>
            </w:pPr>
            <w:r>
              <w:rPr>
                <w:sz w:val="19"/>
                <w:szCs w:val="19"/>
                <w:spacing w:val="9"/>
              </w:rPr>
              <w:t>大中型水库库区基金安排的支出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30" w:line="224" w:lineRule="auto"/>
              <w:rPr>
                <w:sz w:val="19"/>
                <w:szCs w:val="19"/>
              </w:rPr>
            </w:pPr>
            <w:r>
              <w:rPr>
                <w:sz w:val="19"/>
                <w:szCs w:val="19"/>
                <w:spacing w:val="9"/>
              </w:rPr>
              <w:t>基础设施建设和经济发展</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4"/>
              <w:spacing w:before="134" w:line="219" w:lineRule="auto"/>
              <w:rPr>
                <w:sz w:val="19"/>
                <w:szCs w:val="19"/>
              </w:rPr>
            </w:pPr>
            <w:r>
              <w:rPr>
                <w:sz w:val="19"/>
                <w:szCs w:val="19"/>
                <w:spacing w:val="9"/>
              </w:rPr>
              <w:t>解决移民遗留问题</w:t>
            </w:r>
          </w:p>
        </w:tc>
        <w:tc>
          <w:tcPr>
            <w:tcW w:w="1709" w:type="dxa"/>
            <w:vAlign w:val="top"/>
            <w:tcBorders>
              <w:right w:val="single" w:color="000000" w:sz="6" w:space="0"/>
            </w:tcBorders>
          </w:tcPr>
          <w:p>
            <w:pPr>
              <w:rPr>
                <w:rFonts w:ascii="Arial"/>
                <w:sz w:val="21"/>
              </w:rPr>
            </w:pPr>
            <w:r/>
          </w:p>
        </w:tc>
      </w:tr>
      <w:tr>
        <w:trPr>
          <w:trHeight w:val="416" w:hRule="atLeast"/>
        </w:trPr>
        <w:tc>
          <w:tcPr>
            <w:tcW w:w="5381" w:type="dxa"/>
            <w:vAlign w:val="top"/>
            <w:tcBorders>
              <w:left w:val="single" w:color="000000" w:sz="6" w:space="0"/>
              <w:bottom w:val="single" w:color="000000" w:sz="6" w:space="0"/>
            </w:tcBorders>
          </w:tcPr>
          <w:p>
            <w:pPr>
              <w:rPr>
                <w:rFonts w:ascii="Arial"/>
                <w:sz w:val="21"/>
              </w:rPr>
            </w:pPr>
            <w:r/>
          </w:p>
        </w:tc>
        <w:tc>
          <w:tcPr>
            <w:tcW w:w="913" w:type="dxa"/>
            <w:vAlign w:val="top"/>
            <w:tcBorders>
              <w:bottom w:val="single" w:color="000000" w:sz="6" w:space="0"/>
            </w:tcBorders>
          </w:tcPr>
          <w:p>
            <w:pPr>
              <w:rPr>
                <w:rFonts w:ascii="Arial"/>
                <w:sz w:val="21"/>
              </w:rPr>
            </w:pPr>
            <w:r/>
          </w:p>
        </w:tc>
        <w:tc>
          <w:tcPr>
            <w:tcW w:w="5893" w:type="dxa"/>
            <w:vAlign w:val="top"/>
            <w:tcBorders>
              <w:bottom w:val="single" w:color="000000" w:sz="6" w:space="0"/>
            </w:tcBorders>
          </w:tcPr>
          <w:p>
            <w:pPr>
              <w:pStyle w:val="TableText"/>
              <w:ind w:left="706"/>
              <w:spacing w:before="134" w:line="221" w:lineRule="auto"/>
              <w:rPr>
                <w:sz w:val="19"/>
                <w:szCs w:val="19"/>
              </w:rPr>
            </w:pPr>
            <w:r>
              <w:rPr>
                <w:sz w:val="19"/>
                <w:szCs w:val="19"/>
                <w:spacing w:val="9"/>
              </w:rPr>
              <w:t>库区防护工程维护</w:t>
            </w:r>
          </w:p>
        </w:tc>
        <w:tc>
          <w:tcPr>
            <w:tcW w:w="1709"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61"/>
          <w:footerReference w:type="default" r:id="rId123"/>
          <w:pgSz w:w="16839" w:h="11906"/>
          <w:pgMar w:top="1792" w:right="1463" w:bottom="1671" w:left="1463" w:header="1428" w:footer="1277" w:gutter="0"/>
        </w:sectPr>
        <w:rPr>
          <w:rFonts w:ascii="Arial" w:hAnsi="Arial" w:eastAsia="Arial" w:cs="Arial"/>
          <w:sz w:val="21"/>
          <w:szCs w:val="21"/>
        </w:rPr>
      </w:pPr>
    </w:p>
    <w:p>
      <w:pPr>
        <w:spacing w:line="192" w:lineRule="exact"/>
        <w:rPr/>
      </w:pPr>
      <w:r>
        <w:drawing>
          <wp:anchor distT="0" distB="0" distL="0" distR="0" simplePos="0" relativeHeight="251719680"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248" name="IM 248"/>
            <wp:cNvGraphicFramePr/>
            <a:graphic>
              <a:graphicData uri="http://schemas.openxmlformats.org/drawingml/2006/picture">
                <pic:pic>
                  <pic:nvPicPr>
                    <pic:cNvPr id="248" name="IM 248"/>
                    <pic:cNvPicPr/>
                  </pic:nvPicPr>
                  <pic:blipFill>
                    <a:blip r:embed="rId126"/>
                    <a:stretch>
                      <a:fillRect/>
                    </a:stretch>
                  </pic:blipFill>
                  <pic:spPr>
                    <a:xfrm rot="0">
                      <a:off x="0" y="0"/>
                      <a:ext cx="8712200" cy="7620"/>
                    </a:xfrm>
                    <a:prstGeom prst="rect">
                      <a:avLst/>
                    </a:prstGeom>
                  </pic:spPr>
                </pic:pic>
              </a:graphicData>
            </a:graphic>
          </wp:anchor>
        </w:drawing>
      </w: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381"/>
        <w:gridCol w:w="913"/>
        <w:gridCol w:w="5893"/>
        <w:gridCol w:w="1709"/>
      </w:tblGrid>
      <w:tr>
        <w:trPr>
          <w:trHeight w:val="443" w:hRule="atLeast"/>
        </w:trPr>
        <w:tc>
          <w:tcPr>
            <w:tcW w:w="6294" w:type="dxa"/>
            <w:vAlign w:val="top"/>
            <w:gridSpan w:val="2"/>
            <w:tcBorders>
              <w:left w:val="single" w:color="000000" w:sz="6" w:space="0"/>
              <w:top w:val="single" w:color="000000" w:sz="6" w:space="0"/>
            </w:tcBorders>
          </w:tcPr>
          <w:p>
            <w:pPr>
              <w:pStyle w:val="TableText"/>
              <w:ind w:left="2950"/>
              <w:spacing w:before="145" w:line="214" w:lineRule="auto"/>
              <w:rPr>
                <w:sz w:val="19"/>
                <w:szCs w:val="19"/>
              </w:rPr>
            </w:pPr>
            <w:r>
              <w:rPr>
                <w:sz w:val="19"/>
                <w:szCs w:val="19"/>
                <w:b/>
                <w:bCs/>
                <w:spacing w:val="2"/>
              </w:rPr>
              <w:t>收入</w:t>
            </w:r>
          </w:p>
        </w:tc>
        <w:tc>
          <w:tcPr>
            <w:tcW w:w="7602" w:type="dxa"/>
            <w:vAlign w:val="top"/>
            <w:gridSpan w:val="2"/>
            <w:tcBorders>
              <w:right w:val="single" w:color="000000" w:sz="6" w:space="0"/>
              <w:top w:val="single" w:color="000000" w:sz="6" w:space="0"/>
            </w:tcBorders>
          </w:tcPr>
          <w:p>
            <w:pPr>
              <w:pStyle w:val="TableText"/>
              <w:ind w:left="3599"/>
              <w:spacing w:before="143" w:line="219" w:lineRule="auto"/>
              <w:rPr>
                <w:sz w:val="19"/>
                <w:szCs w:val="19"/>
              </w:rPr>
            </w:pPr>
            <w:r>
              <w:rPr>
                <w:sz w:val="19"/>
                <w:szCs w:val="19"/>
                <w:b/>
                <w:bCs/>
                <w:spacing w:val="5"/>
              </w:rPr>
              <w:t>支出</w:t>
            </w:r>
          </w:p>
        </w:tc>
      </w:tr>
      <w:tr>
        <w:trPr>
          <w:trHeight w:val="395" w:hRule="atLeast"/>
        </w:trPr>
        <w:tc>
          <w:tcPr>
            <w:tcW w:w="5381" w:type="dxa"/>
            <w:vAlign w:val="top"/>
            <w:tcBorders>
              <w:left w:val="single" w:color="000000" w:sz="6" w:space="0"/>
            </w:tcBorders>
          </w:tcPr>
          <w:p>
            <w:pPr>
              <w:pStyle w:val="TableText"/>
              <w:ind w:left="2485"/>
              <w:spacing w:before="120" w:line="212" w:lineRule="auto"/>
              <w:rPr>
                <w:sz w:val="19"/>
                <w:szCs w:val="19"/>
              </w:rPr>
            </w:pPr>
            <w:r>
              <w:rPr>
                <w:sz w:val="19"/>
                <w:szCs w:val="19"/>
                <w:b/>
                <w:bCs/>
                <w:spacing w:val="6"/>
              </w:rPr>
              <w:t>项目</w:t>
            </w:r>
          </w:p>
        </w:tc>
        <w:tc>
          <w:tcPr>
            <w:tcW w:w="913" w:type="dxa"/>
            <w:vAlign w:val="top"/>
          </w:tcPr>
          <w:p>
            <w:pPr>
              <w:pStyle w:val="TableText"/>
              <w:ind w:left="158"/>
              <w:spacing w:before="115" w:line="221" w:lineRule="auto"/>
              <w:rPr>
                <w:sz w:val="19"/>
                <w:szCs w:val="19"/>
              </w:rPr>
            </w:pPr>
            <w:r>
              <w:rPr>
                <w:sz w:val="19"/>
                <w:szCs w:val="19"/>
                <w:b/>
                <w:bCs/>
                <w:spacing w:val="5"/>
              </w:rPr>
              <w:t>预算数</w:t>
            </w:r>
          </w:p>
        </w:tc>
        <w:tc>
          <w:tcPr>
            <w:tcW w:w="5893" w:type="dxa"/>
            <w:vAlign w:val="top"/>
          </w:tcPr>
          <w:p>
            <w:pPr>
              <w:pStyle w:val="TableText"/>
              <w:ind w:left="2748"/>
              <w:spacing w:before="120" w:line="212" w:lineRule="auto"/>
              <w:rPr>
                <w:sz w:val="19"/>
                <w:szCs w:val="19"/>
              </w:rPr>
            </w:pPr>
            <w:r>
              <w:rPr>
                <w:sz w:val="19"/>
                <w:szCs w:val="19"/>
                <w:b/>
                <w:bCs/>
                <w:spacing w:val="6"/>
              </w:rPr>
              <w:t>项目</w:t>
            </w:r>
          </w:p>
        </w:tc>
        <w:tc>
          <w:tcPr>
            <w:tcW w:w="1709" w:type="dxa"/>
            <w:vAlign w:val="top"/>
            <w:tcBorders>
              <w:right w:val="single" w:color="000000" w:sz="6" w:space="0"/>
            </w:tcBorders>
          </w:tcPr>
          <w:p>
            <w:pPr>
              <w:pStyle w:val="TableText"/>
              <w:ind w:left="557"/>
              <w:spacing w:before="115" w:line="221" w:lineRule="auto"/>
              <w:rPr>
                <w:sz w:val="19"/>
                <w:szCs w:val="19"/>
              </w:rPr>
            </w:pPr>
            <w:r>
              <w:rPr>
                <w:sz w:val="19"/>
                <w:szCs w:val="19"/>
                <w:b/>
                <w:bCs/>
                <w:spacing w:val="5"/>
              </w:rPr>
              <w:t>预算数</w:t>
            </w:r>
          </w:p>
        </w:tc>
      </w:tr>
      <w:tr>
        <w:trPr>
          <w:trHeight w:val="407"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21" w:line="221" w:lineRule="auto"/>
              <w:rPr>
                <w:sz w:val="19"/>
                <w:szCs w:val="19"/>
              </w:rPr>
            </w:pPr>
            <w:r>
              <w:rPr>
                <w:sz w:val="19"/>
                <w:szCs w:val="19"/>
                <w:spacing w:val="9"/>
              </w:rPr>
              <w:t>其他大中型水库库区基金支出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510"/>
              <w:spacing w:before="121" w:line="221" w:lineRule="auto"/>
              <w:rPr>
                <w:sz w:val="19"/>
                <w:szCs w:val="19"/>
              </w:rPr>
            </w:pPr>
            <w:r>
              <w:rPr>
                <w:sz w:val="19"/>
                <w:szCs w:val="19"/>
                <w:spacing w:val="9"/>
              </w:rPr>
              <w:t>三峡水库库区基金支出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19" w:line="224" w:lineRule="auto"/>
              <w:rPr>
                <w:sz w:val="19"/>
                <w:szCs w:val="19"/>
              </w:rPr>
            </w:pPr>
            <w:r>
              <w:rPr>
                <w:sz w:val="19"/>
                <w:szCs w:val="19"/>
                <w:spacing w:val="9"/>
              </w:rPr>
              <w:t>基础设施建设和经济发展</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4"/>
              <w:spacing w:before="123" w:line="219" w:lineRule="auto"/>
              <w:rPr>
                <w:sz w:val="19"/>
                <w:szCs w:val="19"/>
              </w:rPr>
            </w:pPr>
            <w:r>
              <w:rPr>
                <w:sz w:val="19"/>
                <w:szCs w:val="19"/>
                <w:spacing w:val="9"/>
              </w:rPr>
              <w:t>解决移民遗留问题</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23" w:line="221" w:lineRule="auto"/>
              <w:rPr>
                <w:sz w:val="19"/>
                <w:szCs w:val="19"/>
              </w:rPr>
            </w:pPr>
            <w:r>
              <w:rPr>
                <w:sz w:val="19"/>
                <w:szCs w:val="19"/>
                <w:spacing w:val="9"/>
              </w:rPr>
              <w:t>库区维护和管理</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26" w:line="221" w:lineRule="auto"/>
              <w:rPr>
                <w:sz w:val="19"/>
                <w:szCs w:val="19"/>
              </w:rPr>
            </w:pPr>
            <w:r>
              <w:rPr>
                <w:sz w:val="19"/>
                <w:szCs w:val="19"/>
                <w:spacing w:val="9"/>
              </w:rPr>
              <w:t>其他三峡水库库区基金支出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526"/>
              <w:spacing w:before="123" w:line="221" w:lineRule="auto"/>
              <w:rPr>
                <w:sz w:val="19"/>
                <w:szCs w:val="19"/>
              </w:rPr>
            </w:pPr>
            <w:r>
              <w:rPr>
                <w:sz w:val="19"/>
                <w:szCs w:val="19"/>
                <w:spacing w:val="8"/>
              </w:rPr>
              <w:t>国家重大水利工程建设基金安排的支出</w:t>
            </w:r>
          </w:p>
        </w:tc>
        <w:tc>
          <w:tcPr>
            <w:tcW w:w="1709" w:type="dxa"/>
            <w:vAlign w:val="top"/>
            <w:tcBorders>
              <w:right w:val="single" w:color="000000" w:sz="6" w:space="0"/>
            </w:tcBorders>
          </w:tcPr>
          <w:p>
            <w:pPr>
              <w:rPr>
                <w:rFonts w:ascii="Arial"/>
                <w:sz w:val="21"/>
              </w:rPr>
            </w:pPr>
            <w:r/>
          </w:p>
        </w:tc>
      </w:tr>
      <w:tr>
        <w:trPr>
          <w:trHeight w:val="407"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25" w:line="221" w:lineRule="auto"/>
              <w:rPr>
                <w:sz w:val="19"/>
                <w:szCs w:val="19"/>
              </w:rPr>
            </w:pPr>
            <w:r>
              <w:rPr>
                <w:sz w:val="19"/>
                <w:szCs w:val="19"/>
                <w:spacing w:val="9"/>
              </w:rPr>
              <w:t>南水北调工程建设</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9"/>
              <w:spacing w:before="128" w:line="220" w:lineRule="auto"/>
              <w:rPr>
                <w:sz w:val="19"/>
                <w:szCs w:val="19"/>
              </w:rPr>
            </w:pPr>
            <w:r>
              <w:rPr>
                <w:sz w:val="19"/>
                <w:szCs w:val="19"/>
                <w:spacing w:val="8"/>
              </w:rPr>
              <w:t>三峡后续工作</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27" w:line="221" w:lineRule="auto"/>
              <w:rPr>
                <w:sz w:val="19"/>
                <w:szCs w:val="19"/>
              </w:rPr>
            </w:pPr>
            <w:r>
              <w:rPr>
                <w:sz w:val="19"/>
                <w:szCs w:val="19"/>
                <w:spacing w:val="9"/>
              </w:rPr>
              <w:t>地方重大水利工程建设</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26" w:line="223" w:lineRule="auto"/>
              <w:rPr>
                <w:sz w:val="19"/>
                <w:szCs w:val="19"/>
              </w:rPr>
            </w:pPr>
            <w:r>
              <w:rPr>
                <w:sz w:val="19"/>
                <w:szCs w:val="19"/>
                <w:spacing w:val="9"/>
              </w:rPr>
              <w:t>其他重大水利工程建设基金支出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106"/>
              <w:spacing w:before="131" w:line="218" w:lineRule="auto"/>
              <w:rPr>
                <w:sz w:val="19"/>
                <w:szCs w:val="19"/>
              </w:rPr>
            </w:pPr>
            <w:r>
              <w:rPr>
                <w:sz w:val="19"/>
                <w:szCs w:val="19"/>
                <w:spacing w:val="9"/>
              </w:rPr>
              <w:t>六、交通运输支出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507"/>
              <w:spacing w:before="130" w:line="222" w:lineRule="auto"/>
              <w:rPr>
                <w:sz w:val="19"/>
                <w:szCs w:val="19"/>
              </w:rPr>
            </w:pPr>
            <w:r>
              <w:rPr>
                <w:sz w:val="19"/>
                <w:szCs w:val="19"/>
                <w:spacing w:val="9"/>
              </w:rPr>
              <w:t>海南省高等级公路车辆通行附加费安排的支出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4"/>
              <w:spacing w:before="131" w:line="222" w:lineRule="auto"/>
              <w:rPr>
                <w:sz w:val="19"/>
                <w:szCs w:val="19"/>
              </w:rPr>
            </w:pPr>
            <w:r>
              <w:rPr>
                <w:sz w:val="19"/>
                <w:szCs w:val="19"/>
                <w:spacing w:val="9"/>
              </w:rPr>
              <w:t>公路建设</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4"/>
              <w:spacing w:before="132" w:line="220" w:lineRule="auto"/>
              <w:rPr>
                <w:sz w:val="19"/>
                <w:szCs w:val="19"/>
              </w:rPr>
            </w:pPr>
            <w:r>
              <w:rPr>
                <w:sz w:val="19"/>
                <w:szCs w:val="19"/>
                <w:spacing w:val="9"/>
              </w:rPr>
              <w:t>公路养护</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4"/>
              <w:spacing w:before="132" w:line="223" w:lineRule="auto"/>
              <w:rPr>
                <w:sz w:val="19"/>
                <w:szCs w:val="19"/>
              </w:rPr>
            </w:pPr>
            <w:r>
              <w:rPr>
                <w:sz w:val="19"/>
                <w:szCs w:val="19"/>
                <w:spacing w:val="9"/>
              </w:rPr>
              <w:t>公路还贷</w:t>
            </w:r>
          </w:p>
        </w:tc>
        <w:tc>
          <w:tcPr>
            <w:tcW w:w="1709" w:type="dxa"/>
            <w:vAlign w:val="top"/>
            <w:tcBorders>
              <w:right w:val="single" w:color="000000" w:sz="6" w:space="0"/>
            </w:tcBorders>
          </w:tcPr>
          <w:p>
            <w:pPr>
              <w:rPr>
                <w:rFonts w:ascii="Arial"/>
                <w:sz w:val="21"/>
              </w:rPr>
            </w:pPr>
            <w:r/>
          </w:p>
        </w:tc>
      </w:tr>
      <w:tr>
        <w:trPr>
          <w:trHeight w:val="416" w:hRule="atLeast"/>
        </w:trPr>
        <w:tc>
          <w:tcPr>
            <w:tcW w:w="5381" w:type="dxa"/>
            <w:vAlign w:val="top"/>
            <w:tcBorders>
              <w:left w:val="single" w:color="000000" w:sz="6" w:space="0"/>
              <w:bottom w:val="single" w:color="000000" w:sz="6" w:space="0"/>
            </w:tcBorders>
          </w:tcPr>
          <w:p>
            <w:pPr>
              <w:rPr>
                <w:rFonts w:ascii="Arial"/>
                <w:sz w:val="21"/>
              </w:rPr>
            </w:pPr>
            <w:r/>
          </w:p>
        </w:tc>
        <w:tc>
          <w:tcPr>
            <w:tcW w:w="913" w:type="dxa"/>
            <w:vAlign w:val="top"/>
            <w:tcBorders>
              <w:bottom w:val="single" w:color="000000" w:sz="6" w:space="0"/>
            </w:tcBorders>
          </w:tcPr>
          <w:p>
            <w:pPr>
              <w:rPr>
                <w:rFonts w:ascii="Arial"/>
                <w:sz w:val="21"/>
              </w:rPr>
            </w:pPr>
            <w:r/>
          </w:p>
        </w:tc>
        <w:tc>
          <w:tcPr>
            <w:tcW w:w="5893" w:type="dxa"/>
            <w:vAlign w:val="top"/>
            <w:tcBorders>
              <w:bottom w:val="single" w:color="000000" w:sz="6" w:space="0"/>
            </w:tcBorders>
          </w:tcPr>
          <w:p>
            <w:pPr>
              <w:pStyle w:val="TableText"/>
              <w:ind w:left="705"/>
              <w:spacing w:before="134" w:line="222" w:lineRule="auto"/>
              <w:rPr>
                <w:sz w:val="19"/>
                <w:szCs w:val="19"/>
              </w:rPr>
            </w:pPr>
            <w:r>
              <w:rPr>
                <w:sz w:val="19"/>
                <w:szCs w:val="19"/>
                <w:spacing w:val="9"/>
              </w:rPr>
              <w:t>其他海南省高等级公路车辆通行附加费安排的支出</w:t>
            </w:r>
          </w:p>
        </w:tc>
        <w:tc>
          <w:tcPr>
            <w:tcW w:w="1709"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104"/>
          <w:footerReference w:type="default" r:id="rId125"/>
          <w:pgSz w:w="16839" w:h="11906"/>
          <w:pgMar w:top="1792" w:right="1463" w:bottom="1660" w:left="1463" w:header="1428" w:footer="1289" w:gutter="0"/>
        </w:sectPr>
        <w:rPr>
          <w:rFonts w:ascii="Arial" w:hAnsi="Arial" w:eastAsia="Arial" w:cs="Arial"/>
          <w:sz w:val="21"/>
          <w:szCs w:val="21"/>
        </w:rPr>
      </w:pPr>
    </w:p>
    <w:p>
      <w:pPr>
        <w:spacing w:line="192" w:lineRule="exact"/>
        <w:rPr/>
      </w:pPr>
      <w:r>
        <w:drawing>
          <wp:anchor distT="0" distB="0" distL="0" distR="0" simplePos="0" relativeHeight="251721728"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252" name="IM 252"/>
            <wp:cNvGraphicFramePr/>
            <a:graphic>
              <a:graphicData uri="http://schemas.openxmlformats.org/drawingml/2006/picture">
                <pic:pic>
                  <pic:nvPicPr>
                    <pic:cNvPr id="252" name="IM 252"/>
                    <pic:cNvPicPr/>
                  </pic:nvPicPr>
                  <pic:blipFill>
                    <a:blip r:embed="rId128"/>
                    <a:stretch>
                      <a:fillRect/>
                    </a:stretch>
                  </pic:blipFill>
                  <pic:spPr>
                    <a:xfrm rot="0">
                      <a:off x="0" y="0"/>
                      <a:ext cx="8712200" cy="7620"/>
                    </a:xfrm>
                    <a:prstGeom prst="rect">
                      <a:avLst/>
                    </a:prstGeom>
                  </pic:spPr>
                </pic:pic>
              </a:graphicData>
            </a:graphic>
          </wp:anchor>
        </w:drawing>
      </w: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381"/>
        <w:gridCol w:w="913"/>
        <w:gridCol w:w="5893"/>
        <w:gridCol w:w="1709"/>
      </w:tblGrid>
      <w:tr>
        <w:trPr>
          <w:trHeight w:val="443" w:hRule="atLeast"/>
        </w:trPr>
        <w:tc>
          <w:tcPr>
            <w:tcW w:w="6294" w:type="dxa"/>
            <w:vAlign w:val="top"/>
            <w:gridSpan w:val="2"/>
            <w:tcBorders>
              <w:left w:val="single" w:color="000000" w:sz="6" w:space="0"/>
              <w:top w:val="single" w:color="000000" w:sz="6" w:space="0"/>
            </w:tcBorders>
          </w:tcPr>
          <w:p>
            <w:pPr>
              <w:pStyle w:val="TableText"/>
              <w:ind w:left="2950"/>
              <w:spacing w:before="145" w:line="214" w:lineRule="auto"/>
              <w:rPr>
                <w:sz w:val="19"/>
                <w:szCs w:val="19"/>
              </w:rPr>
            </w:pPr>
            <w:r>
              <w:rPr>
                <w:sz w:val="19"/>
                <w:szCs w:val="19"/>
                <w:b/>
                <w:bCs/>
                <w:spacing w:val="2"/>
              </w:rPr>
              <w:t>收入</w:t>
            </w:r>
          </w:p>
        </w:tc>
        <w:tc>
          <w:tcPr>
            <w:tcW w:w="7602" w:type="dxa"/>
            <w:vAlign w:val="top"/>
            <w:gridSpan w:val="2"/>
            <w:tcBorders>
              <w:right w:val="single" w:color="000000" w:sz="6" w:space="0"/>
              <w:top w:val="single" w:color="000000" w:sz="6" w:space="0"/>
            </w:tcBorders>
          </w:tcPr>
          <w:p>
            <w:pPr>
              <w:pStyle w:val="TableText"/>
              <w:ind w:left="3599"/>
              <w:spacing w:before="143" w:line="219" w:lineRule="auto"/>
              <w:rPr>
                <w:sz w:val="19"/>
                <w:szCs w:val="19"/>
              </w:rPr>
            </w:pPr>
            <w:r>
              <w:rPr>
                <w:sz w:val="19"/>
                <w:szCs w:val="19"/>
                <w:b/>
                <w:bCs/>
                <w:spacing w:val="5"/>
              </w:rPr>
              <w:t>支出</w:t>
            </w:r>
          </w:p>
        </w:tc>
      </w:tr>
      <w:tr>
        <w:trPr>
          <w:trHeight w:val="394" w:hRule="atLeast"/>
        </w:trPr>
        <w:tc>
          <w:tcPr>
            <w:tcW w:w="5381" w:type="dxa"/>
            <w:vAlign w:val="top"/>
            <w:tcBorders>
              <w:left w:val="single" w:color="000000" w:sz="6" w:space="0"/>
            </w:tcBorders>
          </w:tcPr>
          <w:p>
            <w:pPr>
              <w:pStyle w:val="TableText"/>
              <w:ind w:left="2485"/>
              <w:spacing w:before="120" w:line="212" w:lineRule="auto"/>
              <w:rPr>
                <w:sz w:val="19"/>
                <w:szCs w:val="19"/>
              </w:rPr>
            </w:pPr>
            <w:r>
              <w:rPr>
                <w:sz w:val="19"/>
                <w:szCs w:val="19"/>
                <w:b/>
                <w:bCs/>
                <w:spacing w:val="6"/>
              </w:rPr>
              <w:t>项目</w:t>
            </w:r>
          </w:p>
        </w:tc>
        <w:tc>
          <w:tcPr>
            <w:tcW w:w="913" w:type="dxa"/>
            <w:vAlign w:val="top"/>
          </w:tcPr>
          <w:p>
            <w:pPr>
              <w:pStyle w:val="TableText"/>
              <w:ind w:left="158"/>
              <w:spacing w:before="115" w:line="221" w:lineRule="auto"/>
              <w:rPr>
                <w:sz w:val="19"/>
                <w:szCs w:val="19"/>
              </w:rPr>
            </w:pPr>
            <w:r>
              <w:rPr>
                <w:sz w:val="19"/>
                <w:szCs w:val="19"/>
                <w:b/>
                <w:bCs/>
                <w:spacing w:val="5"/>
              </w:rPr>
              <w:t>预算数</w:t>
            </w:r>
          </w:p>
        </w:tc>
        <w:tc>
          <w:tcPr>
            <w:tcW w:w="5893" w:type="dxa"/>
            <w:vAlign w:val="top"/>
          </w:tcPr>
          <w:p>
            <w:pPr>
              <w:pStyle w:val="TableText"/>
              <w:ind w:left="2748"/>
              <w:spacing w:before="120" w:line="212" w:lineRule="auto"/>
              <w:rPr>
                <w:sz w:val="19"/>
                <w:szCs w:val="19"/>
              </w:rPr>
            </w:pPr>
            <w:r>
              <w:rPr>
                <w:sz w:val="19"/>
                <w:szCs w:val="19"/>
                <w:b/>
                <w:bCs/>
                <w:spacing w:val="6"/>
              </w:rPr>
              <w:t>项目</w:t>
            </w:r>
          </w:p>
        </w:tc>
        <w:tc>
          <w:tcPr>
            <w:tcW w:w="1709" w:type="dxa"/>
            <w:vAlign w:val="top"/>
            <w:tcBorders>
              <w:right w:val="single" w:color="000000" w:sz="6" w:space="0"/>
            </w:tcBorders>
          </w:tcPr>
          <w:p>
            <w:pPr>
              <w:pStyle w:val="TableText"/>
              <w:ind w:left="557"/>
              <w:spacing w:before="115" w:line="221" w:lineRule="auto"/>
              <w:rPr>
                <w:sz w:val="19"/>
                <w:szCs w:val="19"/>
              </w:rPr>
            </w:pPr>
            <w:r>
              <w:rPr>
                <w:sz w:val="19"/>
                <w:szCs w:val="19"/>
                <w:b/>
                <w:bCs/>
                <w:spacing w:val="5"/>
              </w:rPr>
              <w:t>预算数</w:t>
            </w:r>
          </w:p>
        </w:tc>
      </w:tr>
      <w:tr>
        <w:trPr>
          <w:trHeight w:val="365"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512"/>
              <w:spacing w:before="101" w:line="221" w:lineRule="auto"/>
              <w:rPr>
                <w:sz w:val="19"/>
                <w:szCs w:val="19"/>
              </w:rPr>
            </w:pPr>
            <w:r>
              <w:rPr>
                <w:sz w:val="19"/>
                <w:szCs w:val="19"/>
                <w:spacing w:val="8"/>
              </w:rPr>
              <w:t>车辆通行费安排的支出</w:t>
            </w:r>
          </w:p>
        </w:tc>
        <w:tc>
          <w:tcPr>
            <w:tcW w:w="1709" w:type="dxa"/>
            <w:vAlign w:val="top"/>
            <w:tcBorders>
              <w:right w:val="single" w:color="000000" w:sz="6" w:space="0"/>
            </w:tcBorders>
          </w:tcPr>
          <w:p>
            <w:pPr>
              <w:rPr>
                <w:rFonts w:ascii="Arial"/>
                <w:sz w:val="21"/>
              </w:rPr>
            </w:pPr>
            <w:r/>
          </w:p>
        </w:tc>
      </w:tr>
      <w:tr>
        <w:trPr>
          <w:trHeight w:val="364"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4"/>
              <w:spacing w:before="99" w:line="223" w:lineRule="auto"/>
              <w:rPr>
                <w:sz w:val="19"/>
                <w:szCs w:val="19"/>
              </w:rPr>
            </w:pPr>
            <w:r>
              <w:rPr>
                <w:sz w:val="19"/>
                <w:szCs w:val="19"/>
                <w:spacing w:val="9"/>
              </w:rPr>
              <w:t>公路还贷</w:t>
            </w:r>
          </w:p>
        </w:tc>
        <w:tc>
          <w:tcPr>
            <w:tcW w:w="1709" w:type="dxa"/>
            <w:vAlign w:val="top"/>
            <w:tcBorders>
              <w:right w:val="single" w:color="000000" w:sz="6" w:space="0"/>
            </w:tcBorders>
          </w:tcPr>
          <w:p>
            <w:pPr>
              <w:rPr>
                <w:rFonts w:ascii="Arial"/>
                <w:sz w:val="21"/>
              </w:rPr>
            </w:pPr>
            <w:r/>
          </w:p>
        </w:tc>
      </w:tr>
      <w:tr>
        <w:trPr>
          <w:trHeight w:val="365"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02" w:line="222" w:lineRule="auto"/>
              <w:rPr>
                <w:sz w:val="19"/>
                <w:szCs w:val="19"/>
              </w:rPr>
            </w:pPr>
            <w:r>
              <w:rPr>
                <w:sz w:val="19"/>
                <w:szCs w:val="19"/>
                <w:spacing w:val="9"/>
              </w:rPr>
              <w:t>政府还贷公路养护</w:t>
            </w:r>
          </w:p>
        </w:tc>
        <w:tc>
          <w:tcPr>
            <w:tcW w:w="1709" w:type="dxa"/>
            <w:vAlign w:val="top"/>
            <w:tcBorders>
              <w:right w:val="single" w:color="000000" w:sz="6" w:space="0"/>
            </w:tcBorders>
          </w:tcPr>
          <w:p>
            <w:pPr>
              <w:rPr>
                <w:rFonts w:ascii="Arial"/>
                <w:sz w:val="21"/>
              </w:rPr>
            </w:pPr>
            <w:r/>
          </w:p>
        </w:tc>
      </w:tr>
      <w:tr>
        <w:trPr>
          <w:trHeight w:val="364"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01" w:line="222" w:lineRule="auto"/>
              <w:rPr>
                <w:sz w:val="19"/>
                <w:szCs w:val="19"/>
              </w:rPr>
            </w:pPr>
            <w:r>
              <w:rPr>
                <w:sz w:val="19"/>
                <w:szCs w:val="19"/>
                <w:spacing w:val="9"/>
              </w:rPr>
              <w:t>政府还贷公路管理</w:t>
            </w:r>
          </w:p>
        </w:tc>
        <w:tc>
          <w:tcPr>
            <w:tcW w:w="1709" w:type="dxa"/>
            <w:vAlign w:val="top"/>
            <w:tcBorders>
              <w:right w:val="single" w:color="000000" w:sz="6" w:space="0"/>
            </w:tcBorders>
          </w:tcPr>
          <w:p>
            <w:pPr>
              <w:rPr>
                <w:rFonts w:ascii="Arial"/>
                <w:sz w:val="21"/>
              </w:rPr>
            </w:pPr>
            <w:r/>
          </w:p>
        </w:tc>
      </w:tr>
      <w:tr>
        <w:trPr>
          <w:trHeight w:val="365"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02" w:line="222" w:lineRule="auto"/>
              <w:rPr>
                <w:sz w:val="19"/>
                <w:szCs w:val="19"/>
              </w:rPr>
            </w:pPr>
            <w:r>
              <w:rPr>
                <w:sz w:val="19"/>
                <w:szCs w:val="19"/>
                <w:spacing w:val="9"/>
              </w:rPr>
              <w:t>其他车辆通行费安排的支出</w:t>
            </w:r>
          </w:p>
        </w:tc>
        <w:tc>
          <w:tcPr>
            <w:tcW w:w="1709" w:type="dxa"/>
            <w:vAlign w:val="top"/>
            <w:tcBorders>
              <w:right w:val="single" w:color="000000" w:sz="6" w:space="0"/>
            </w:tcBorders>
          </w:tcPr>
          <w:p>
            <w:pPr>
              <w:rPr>
                <w:rFonts w:ascii="Arial"/>
                <w:sz w:val="21"/>
              </w:rPr>
            </w:pPr>
            <w:r/>
          </w:p>
        </w:tc>
      </w:tr>
      <w:tr>
        <w:trPr>
          <w:trHeight w:val="364"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507"/>
              <w:spacing w:before="99" w:line="225" w:lineRule="auto"/>
              <w:rPr>
                <w:sz w:val="19"/>
                <w:szCs w:val="19"/>
              </w:rPr>
            </w:pPr>
            <w:r>
              <w:rPr>
                <w:sz w:val="19"/>
                <w:szCs w:val="19"/>
                <w:spacing w:val="9"/>
              </w:rPr>
              <w:t>港口建设费安排的支出</w:t>
            </w:r>
          </w:p>
        </w:tc>
        <w:tc>
          <w:tcPr>
            <w:tcW w:w="1709" w:type="dxa"/>
            <w:vAlign w:val="top"/>
            <w:tcBorders>
              <w:right w:val="single" w:color="000000" w:sz="6" w:space="0"/>
            </w:tcBorders>
          </w:tcPr>
          <w:p>
            <w:pPr>
              <w:rPr>
                <w:rFonts w:ascii="Arial"/>
                <w:sz w:val="21"/>
              </w:rPr>
            </w:pPr>
            <w:r/>
          </w:p>
        </w:tc>
      </w:tr>
      <w:tr>
        <w:trPr>
          <w:trHeight w:val="365"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09" w:line="218" w:lineRule="auto"/>
              <w:rPr>
                <w:sz w:val="19"/>
                <w:szCs w:val="19"/>
              </w:rPr>
            </w:pPr>
            <w:r>
              <w:rPr>
                <w:sz w:val="19"/>
                <w:szCs w:val="19"/>
                <w:spacing w:val="8"/>
              </w:rPr>
              <w:t>港口设施</w:t>
            </w:r>
          </w:p>
        </w:tc>
        <w:tc>
          <w:tcPr>
            <w:tcW w:w="1709" w:type="dxa"/>
            <w:vAlign w:val="top"/>
            <w:tcBorders>
              <w:right w:val="single" w:color="000000" w:sz="6" w:space="0"/>
            </w:tcBorders>
          </w:tcPr>
          <w:p>
            <w:pPr>
              <w:rPr>
                <w:rFonts w:ascii="Arial"/>
                <w:sz w:val="21"/>
              </w:rPr>
            </w:pPr>
            <w:r/>
          </w:p>
        </w:tc>
      </w:tr>
      <w:tr>
        <w:trPr>
          <w:trHeight w:val="364"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02" w:line="222" w:lineRule="auto"/>
              <w:rPr>
                <w:sz w:val="19"/>
                <w:szCs w:val="19"/>
              </w:rPr>
            </w:pPr>
            <w:r>
              <w:rPr>
                <w:sz w:val="19"/>
                <w:szCs w:val="19"/>
                <w:spacing w:val="9"/>
              </w:rPr>
              <w:t>航道建设和维护</w:t>
            </w:r>
          </w:p>
        </w:tc>
        <w:tc>
          <w:tcPr>
            <w:tcW w:w="1709" w:type="dxa"/>
            <w:vAlign w:val="top"/>
            <w:tcBorders>
              <w:right w:val="single" w:color="000000" w:sz="6" w:space="0"/>
            </w:tcBorders>
          </w:tcPr>
          <w:p>
            <w:pPr>
              <w:rPr>
                <w:rFonts w:ascii="Arial"/>
                <w:sz w:val="21"/>
              </w:rPr>
            </w:pPr>
            <w:r/>
          </w:p>
        </w:tc>
      </w:tr>
      <w:tr>
        <w:trPr>
          <w:trHeight w:val="364"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03" w:line="223" w:lineRule="auto"/>
              <w:rPr>
                <w:sz w:val="19"/>
                <w:szCs w:val="19"/>
              </w:rPr>
            </w:pPr>
            <w:r>
              <w:rPr>
                <w:sz w:val="19"/>
                <w:szCs w:val="19"/>
                <w:spacing w:val="9"/>
              </w:rPr>
              <w:t>航运保障系统建设</w:t>
            </w:r>
          </w:p>
        </w:tc>
        <w:tc>
          <w:tcPr>
            <w:tcW w:w="1709" w:type="dxa"/>
            <w:vAlign w:val="top"/>
            <w:tcBorders>
              <w:right w:val="single" w:color="000000" w:sz="6" w:space="0"/>
            </w:tcBorders>
          </w:tcPr>
          <w:p>
            <w:pPr>
              <w:rPr>
                <w:rFonts w:ascii="Arial"/>
                <w:sz w:val="21"/>
              </w:rPr>
            </w:pPr>
            <w:r/>
          </w:p>
        </w:tc>
      </w:tr>
      <w:tr>
        <w:trPr>
          <w:trHeight w:val="364"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02" w:line="225" w:lineRule="auto"/>
              <w:rPr>
                <w:sz w:val="19"/>
                <w:szCs w:val="19"/>
              </w:rPr>
            </w:pPr>
            <w:r>
              <w:rPr>
                <w:sz w:val="19"/>
                <w:szCs w:val="19"/>
                <w:spacing w:val="9"/>
              </w:rPr>
              <w:t>其他港口建设费安排的支出</w:t>
            </w:r>
          </w:p>
        </w:tc>
        <w:tc>
          <w:tcPr>
            <w:tcW w:w="1709" w:type="dxa"/>
            <w:vAlign w:val="top"/>
            <w:tcBorders>
              <w:right w:val="single" w:color="000000" w:sz="6" w:space="0"/>
            </w:tcBorders>
          </w:tcPr>
          <w:p>
            <w:pPr>
              <w:rPr>
                <w:rFonts w:ascii="Arial"/>
                <w:sz w:val="21"/>
              </w:rPr>
            </w:pPr>
            <w:r/>
          </w:p>
        </w:tc>
      </w:tr>
      <w:tr>
        <w:trPr>
          <w:trHeight w:val="364"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506"/>
              <w:spacing w:before="106" w:line="222" w:lineRule="auto"/>
              <w:rPr>
                <w:sz w:val="19"/>
                <w:szCs w:val="19"/>
              </w:rPr>
            </w:pPr>
            <w:r>
              <w:rPr>
                <w:sz w:val="19"/>
                <w:szCs w:val="19"/>
                <w:spacing w:val="9"/>
              </w:rPr>
              <w:t>铁路建设基金支出</w:t>
            </w:r>
          </w:p>
        </w:tc>
        <w:tc>
          <w:tcPr>
            <w:tcW w:w="1709" w:type="dxa"/>
            <w:vAlign w:val="top"/>
            <w:tcBorders>
              <w:right w:val="single" w:color="000000" w:sz="6" w:space="0"/>
            </w:tcBorders>
          </w:tcPr>
          <w:p>
            <w:pPr>
              <w:rPr>
                <w:rFonts w:ascii="Arial"/>
                <w:sz w:val="21"/>
              </w:rPr>
            </w:pPr>
            <w:r/>
          </w:p>
        </w:tc>
      </w:tr>
      <w:tr>
        <w:trPr>
          <w:trHeight w:val="364"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06" w:line="222" w:lineRule="auto"/>
              <w:rPr>
                <w:sz w:val="19"/>
                <w:szCs w:val="19"/>
              </w:rPr>
            </w:pPr>
            <w:r>
              <w:rPr>
                <w:sz w:val="19"/>
                <w:szCs w:val="19"/>
                <w:spacing w:val="9"/>
              </w:rPr>
              <w:t>铁路建设投资</w:t>
            </w:r>
          </w:p>
        </w:tc>
        <w:tc>
          <w:tcPr>
            <w:tcW w:w="1709" w:type="dxa"/>
            <w:vAlign w:val="top"/>
            <w:tcBorders>
              <w:right w:val="single" w:color="000000" w:sz="6" w:space="0"/>
            </w:tcBorders>
          </w:tcPr>
          <w:p>
            <w:pPr>
              <w:rPr>
                <w:rFonts w:ascii="Arial"/>
                <w:sz w:val="21"/>
              </w:rPr>
            </w:pPr>
            <w:r/>
          </w:p>
        </w:tc>
      </w:tr>
      <w:tr>
        <w:trPr>
          <w:trHeight w:val="364"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8"/>
              <w:spacing w:before="109" w:line="219" w:lineRule="auto"/>
              <w:rPr>
                <w:sz w:val="19"/>
                <w:szCs w:val="19"/>
              </w:rPr>
            </w:pPr>
            <w:r>
              <w:rPr>
                <w:sz w:val="19"/>
                <w:szCs w:val="19"/>
                <w:spacing w:val="8"/>
              </w:rPr>
              <w:t>购置铁路机车车辆</w:t>
            </w:r>
          </w:p>
        </w:tc>
        <w:tc>
          <w:tcPr>
            <w:tcW w:w="1709" w:type="dxa"/>
            <w:vAlign w:val="top"/>
            <w:tcBorders>
              <w:right w:val="single" w:color="000000" w:sz="6" w:space="0"/>
            </w:tcBorders>
          </w:tcPr>
          <w:p>
            <w:pPr>
              <w:rPr>
                <w:rFonts w:ascii="Arial"/>
                <w:sz w:val="21"/>
              </w:rPr>
            </w:pPr>
            <w:r/>
          </w:p>
        </w:tc>
      </w:tr>
      <w:tr>
        <w:trPr>
          <w:trHeight w:val="364"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08" w:line="223" w:lineRule="auto"/>
              <w:rPr>
                <w:sz w:val="19"/>
                <w:szCs w:val="19"/>
              </w:rPr>
            </w:pPr>
            <w:r>
              <w:rPr>
                <w:sz w:val="19"/>
                <w:szCs w:val="19"/>
                <w:spacing w:val="8"/>
              </w:rPr>
              <w:t>铁路还贷</w:t>
            </w:r>
          </w:p>
        </w:tc>
        <w:tc>
          <w:tcPr>
            <w:tcW w:w="1709" w:type="dxa"/>
            <w:vAlign w:val="top"/>
            <w:tcBorders>
              <w:right w:val="single" w:color="000000" w:sz="6" w:space="0"/>
            </w:tcBorders>
          </w:tcPr>
          <w:p>
            <w:pPr>
              <w:rPr>
                <w:rFonts w:ascii="Arial"/>
                <w:sz w:val="21"/>
              </w:rPr>
            </w:pPr>
            <w:r/>
          </w:p>
        </w:tc>
      </w:tr>
      <w:tr>
        <w:trPr>
          <w:trHeight w:val="364"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10" w:line="223" w:lineRule="auto"/>
              <w:rPr>
                <w:sz w:val="19"/>
                <w:szCs w:val="19"/>
              </w:rPr>
            </w:pPr>
            <w:r>
              <w:rPr>
                <w:sz w:val="19"/>
                <w:szCs w:val="19"/>
                <w:spacing w:val="9"/>
              </w:rPr>
              <w:t>建设项目铺底资金</w:t>
            </w:r>
          </w:p>
        </w:tc>
        <w:tc>
          <w:tcPr>
            <w:tcW w:w="1709" w:type="dxa"/>
            <w:vAlign w:val="top"/>
            <w:tcBorders>
              <w:right w:val="single" w:color="000000" w:sz="6" w:space="0"/>
            </w:tcBorders>
          </w:tcPr>
          <w:p>
            <w:pPr>
              <w:rPr>
                <w:rFonts w:ascii="Arial"/>
                <w:sz w:val="21"/>
              </w:rPr>
            </w:pPr>
            <w:r/>
          </w:p>
        </w:tc>
      </w:tr>
      <w:tr>
        <w:trPr>
          <w:trHeight w:val="364"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13" w:line="219" w:lineRule="auto"/>
              <w:rPr>
                <w:sz w:val="19"/>
                <w:szCs w:val="19"/>
              </w:rPr>
            </w:pPr>
            <w:r>
              <w:rPr>
                <w:sz w:val="19"/>
                <w:szCs w:val="19"/>
                <w:spacing w:val="8"/>
              </w:rPr>
              <w:t>勘测设计</w:t>
            </w:r>
          </w:p>
        </w:tc>
        <w:tc>
          <w:tcPr>
            <w:tcW w:w="1709" w:type="dxa"/>
            <w:vAlign w:val="top"/>
            <w:tcBorders>
              <w:right w:val="single" w:color="000000" w:sz="6" w:space="0"/>
            </w:tcBorders>
          </w:tcPr>
          <w:p>
            <w:pPr>
              <w:rPr>
                <w:rFonts w:ascii="Arial"/>
                <w:sz w:val="21"/>
              </w:rPr>
            </w:pPr>
            <w:r/>
          </w:p>
        </w:tc>
      </w:tr>
      <w:tr>
        <w:trPr>
          <w:trHeight w:val="364"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10"/>
              <w:spacing w:before="112" w:line="220" w:lineRule="auto"/>
              <w:rPr>
                <w:sz w:val="19"/>
                <w:szCs w:val="19"/>
              </w:rPr>
            </w:pPr>
            <w:r>
              <w:rPr>
                <w:sz w:val="19"/>
                <w:szCs w:val="19"/>
                <w:spacing w:val="7"/>
              </w:rPr>
              <w:t>注册资本金</w:t>
            </w:r>
          </w:p>
        </w:tc>
        <w:tc>
          <w:tcPr>
            <w:tcW w:w="1709" w:type="dxa"/>
            <w:vAlign w:val="top"/>
            <w:tcBorders>
              <w:right w:val="single" w:color="000000" w:sz="6" w:space="0"/>
            </w:tcBorders>
          </w:tcPr>
          <w:p>
            <w:pPr>
              <w:rPr>
                <w:rFonts w:ascii="Arial"/>
                <w:sz w:val="21"/>
              </w:rPr>
            </w:pPr>
            <w:r/>
          </w:p>
        </w:tc>
      </w:tr>
      <w:tr>
        <w:trPr>
          <w:trHeight w:val="365"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13" w:line="221" w:lineRule="auto"/>
              <w:rPr>
                <w:sz w:val="19"/>
                <w:szCs w:val="19"/>
              </w:rPr>
            </w:pPr>
            <w:r>
              <w:rPr>
                <w:sz w:val="19"/>
                <w:szCs w:val="19"/>
                <w:spacing w:val="8"/>
              </w:rPr>
              <w:t>周转资金</w:t>
            </w:r>
          </w:p>
        </w:tc>
        <w:tc>
          <w:tcPr>
            <w:tcW w:w="1709" w:type="dxa"/>
            <w:vAlign w:val="top"/>
            <w:tcBorders>
              <w:right w:val="single" w:color="000000" w:sz="6" w:space="0"/>
            </w:tcBorders>
          </w:tcPr>
          <w:p>
            <w:pPr>
              <w:rPr>
                <w:rFonts w:ascii="Arial"/>
                <w:sz w:val="21"/>
              </w:rPr>
            </w:pPr>
            <w:r/>
          </w:p>
        </w:tc>
      </w:tr>
      <w:tr>
        <w:trPr>
          <w:trHeight w:val="374" w:hRule="atLeast"/>
        </w:trPr>
        <w:tc>
          <w:tcPr>
            <w:tcW w:w="5381" w:type="dxa"/>
            <w:vAlign w:val="top"/>
            <w:tcBorders>
              <w:left w:val="single" w:color="000000" w:sz="6" w:space="0"/>
              <w:bottom w:val="single" w:color="000000" w:sz="6" w:space="0"/>
            </w:tcBorders>
          </w:tcPr>
          <w:p>
            <w:pPr>
              <w:rPr>
                <w:rFonts w:ascii="Arial"/>
                <w:sz w:val="21"/>
              </w:rPr>
            </w:pPr>
            <w:r/>
          </w:p>
        </w:tc>
        <w:tc>
          <w:tcPr>
            <w:tcW w:w="913" w:type="dxa"/>
            <w:vAlign w:val="top"/>
            <w:tcBorders>
              <w:bottom w:val="single" w:color="000000" w:sz="6" w:space="0"/>
            </w:tcBorders>
          </w:tcPr>
          <w:p>
            <w:pPr>
              <w:rPr>
                <w:rFonts w:ascii="Arial"/>
                <w:sz w:val="21"/>
              </w:rPr>
            </w:pPr>
            <w:r/>
          </w:p>
        </w:tc>
        <w:tc>
          <w:tcPr>
            <w:tcW w:w="5893" w:type="dxa"/>
            <w:vAlign w:val="top"/>
            <w:tcBorders>
              <w:bottom w:val="single" w:color="000000" w:sz="6" w:space="0"/>
            </w:tcBorders>
          </w:tcPr>
          <w:p>
            <w:pPr>
              <w:pStyle w:val="TableText"/>
              <w:ind w:left="705"/>
              <w:spacing w:before="113" w:line="223" w:lineRule="auto"/>
              <w:rPr>
                <w:sz w:val="19"/>
                <w:szCs w:val="19"/>
              </w:rPr>
            </w:pPr>
            <w:r>
              <w:rPr>
                <w:sz w:val="19"/>
                <w:szCs w:val="19"/>
                <w:spacing w:val="9"/>
              </w:rPr>
              <w:t>其他铁路建设基金支出</w:t>
            </w:r>
          </w:p>
        </w:tc>
        <w:tc>
          <w:tcPr>
            <w:tcW w:w="1709" w:type="dxa"/>
            <w:vAlign w:val="top"/>
            <w:tcBorders>
              <w:bottom w:val="single" w:color="000000" w:sz="6" w:space="0"/>
              <w:right w:val="single" w:color="000000" w:sz="6" w:space="0"/>
            </w:tcBorders>
          </w:tcPr>
          <w:p>
            <w:pPr>
              <w:rPr>
                <w:rFonts w:ascii="Arial"/>
                <w:sz w:val="21"/>
              </w:rPr>
            </w:pPr>
            <w:r/>
          </w:p>
        </w:tc>
      </w:tr>
    </w:tbl>
    <w:p>
      <w:pPr>
        <w:spacing w:line="240" w:lineRule="exact"/>
        <w:rPr>
          <w:rFonts w:ascii="Arial"/>
          <w:sz w:val="20"/>
        </w:rPr>
      </w:pPr>
      <w:r/>
    </w:p>
    <w:p>
      <w:pPr>
        <w:spacing w:line="240" w:lineRule="exact"/>
        <w:sectPr>
          <w:headerReference w:type="default" r:id="rId61"/>
          <w:footerReference w:type="default" r:id="rId127"/>
          <w:pgSz w:w="16839" w:h="11906"/>
          <w:pgMar w:top="1792" w:right="1463" w:bottom="1671" w:left="1463" w:header="1428" w:footer="1277" w:gutter="0"/>
        </w:sectPr>
        <w:rPr>
          <w:rFonts w:ascii="Arial" w:hAnsi="Arial" w:eastAsia="Arial" w:cs="Arial"/>
          <w:sz w:val="20"/>
          <w:szCs w:val="20"/>
        </w:rPr>
      </w:pPr>
    </w:p>
    <w:p>
      <w:pPr>
        <w:spacing w:line="192" w:lineRule="exact"/>
        <w:rPr/>
      </w:pPr>
      <w:r>
        <w:drawing>
          <wp:anchor distT="0" distB="0" distL="0" distR="0" simplePos="0" relativeHeight="251723776"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256" name="IM 256"/>
            <wp:cNvGraphicFramePr/>
            <a:graphic>
              <a:graphicData uri="http://schemas.openxmlformats.org/drawingml/2006/picture">
                <pic:pic>
                  <pic:nvPicPr>
                    <pic:cNvPr id="256" name="IM 256"/>
                    <pic:cNvPicPr/>
                  </pic:nvPicPr>
                  <pic:blipFill>
                    <a:blip r:embed="rId130"/>
                    <a:stretch>
                      <a:fillRect/>
                    </a:stretch>
                  </pic:blipFill>
                  <pic:spPr>
                    <a:xfrm rot="0">
                      <a:off x="0" y="0"/>
                      <a:ext cx="8712200" cy="7620"/>
                    </a:xfrm>
                    <a:prstGeom prst="rect">
                      <a:avLst/>
                    </a:prstGeom>
                  </pic:spPr>
                </pic:pic>
              </a:graphicData>
            </a:graphic>
          </wp:anchor>
        </w:drawing>
      </w: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381"/>
        <w:gridCol w:w="913"/>
        <w:gridCol w:w="5893"/>
        <w:gridCol w:w="1709"/>
      </w:tblGrid>
      <w:tr>
        <w:trPr>
          <w:trHeight w:val="443" w:hRule="atLeast"/>
        </w:trPr>
        <w:tc>
          <w:tcPr>
            <w:tcW w:w="6294" w:type="dxa"/>
            <w:vAlign w:val="top"/>
            <w:gridSpan w:val="2"/>
            <w:tcBorders>
              <w:left w:val="single" w:color="000000" w:sz="6" w:space="0"/>
              <w:top w:val="single" w:color="000000" w:sz="6" w:space="0"/>
            </w:tcBorders>
          </w:tcPr>
          <w:p>
            <w:pPr>
              <w:pStyle w:val="TableText"/>
              <w:ind w:left="2950"/>
              <w:spacing w:before="145" w:line="214" w:lineRule="auto"/>
              <w:rPr>
                <w:sz w:val="19"/>
                <w:szCs w:val="19"/>
              </w:rPr>
            </w:pPr>
            <w:r>
              <w:rPr>
                <w:sz w:val="19"/>
                <w:szCs w:val="19"/>
                <w:b/>
                <w:bCs/>
                <w:spacing w:val="2"/>
              </w:rPr>
              <w:t>收入</w:t>
            </w:r>
          </w:p>
        </w:tc>
        <w:tc>
          <w:tcPr>
            <w:tcW w:w="7602" w:type="dxa"/>
            <w:vAlign w:val="top"/>
            <w:gridSpan w:val="2"/>
            <w:tcBorders>
              <w:right w:val="single" w:color="000000" w:sz="6" w:space="0"/>
              <w:top w:val="single" w:color="000000" w:sz="6" w:space="0"/>
            </w:tcBorders>
          </w:tcPr>
          <w:p>
            <w:pPr>
              <w:pStyle w:val="TableText"/>
              <w:ind w:left="3599"/>
              <w:spacing w:before="143" w:line="219" w:lineRule="auto"/>
              <w:rPr>
                <w:sz w:val="19"/>
                <w:szCs w:val="19"/>
              </w:rPr>
            </w:pPr>
            <w:r>
              <w:rPr>
                <w:sz w:val="19"/>
                <w:szCs w:val="19"/>
                <w:b/>
                <w:bCs/>
                <w:spacing w:val="5"/>
              </w:rPr>
              <w:t>支出</w:t>
            </w:r>
          </w:p>
        </w:tc>
      </w:tr>
      <w:tr>
        <w:trPr>
          <w:trHeight w:val="395" w:hRule="atLeast"/>
        </w:trPr>
        <w:tc>
          <w:tcPr>
            <w:tcW w:w="5381" w:type="dxa"/>
            <w:vAlign w:val="top"/>
            <w:tcBorders>
              <w:left w:val="single" w:color="000000" w:sz="6" w:space="0"/>
            </w:tcBorders>
          </w:tcPr>
          <w:p>
            <w:pPr>
              <w:pStyle w:val="TableText"/>
              <w:ind w:left="2485"/>
              <w:spacing w:before="120" w:line="212" w:lineRule="auto"/>
              <w:rPr>
                <w:sz w:val="19"/>
                <w:szCs w:val="19"/>
              </w:rPr>
            </w:pPr>
            <w:r>
              <w:rPr>
                <w:sz w:val="19"/>
                <w:szCs w:val="19"/>
                <w:b/>
                <w:bCs/>
                <w:spacing w:val="6"/>
              </w:rPr>
              <w:t>项目</w:t>
            </w:r>
          </w:p>
        </w:tc>
        <w:tc>
          <w:tcPr>
            <w:tcW w:w="913" w:type="dxa"/>
            <w:vAlign w:val="top"/>
          </w:tcPr>
          <w:p>
            <w:pPr>
              <w:pStyle w:val="TableText"/>
              <w:ind w:left="158"/>
              <w:spacing w:before="115" w:line="221" w:lineRule="auto"/>
              <w:rPr>
                <w:sz w:val="19"/>
                <w:szCs w:val="19"/>
              </w:rPr>
            </w:pPr>
            <w:r>
              <w:rPr>
                <w:sz w:val="19"/>
                <w:szCs w:val="19"/>
                <w:b/>
                <w:bCs/>
                <w:spacing w:val="5"/>
              </w:rPr>
              <w:t>预算数</w:t>
            </w:r>
          </w:p>
        </w:tc>
        <w:tc>
          <w:tcPr>
            <w:tcW w:w="5893" w:type="dxa"/>
            <w:vAlign w:val="top"/>
          </w:tcPr>
          <w:p>
            <w:pPr>
              <w:pStyle w:val="TableText"/>
              <w:ind w:left="2748"/>
              <w:spacing w:before="120" w:line="212" w:lineRule="auto"/>
              <w:rPr>
                <w:sz w:val="19"/>
                <w:szCs w:val="19"/>
              </w:rPr>
            </w:pPr>
            <w:r>
              <w:rPr>
                <w:sz w:val="19"/>
                <w:szCs w:val="19"/>
                <w:b/>
                <w:bCs/>
                <w:spacing w:val="6"/>
              </w:rPr>
              <w:t>项目</w:t>
            </w:r>
          </w:p>
        </w:tc>
        <w:tc>
          <w:tcPr>
            <w:tcW w:w="1709" w:type="dxa"/>
            <w:vAlign w:val="top"/>
            <w:tcBorders>
              <w:right w:val="single" w:color="000000" w:sz="6" w:space="0"/>
            </w:tcBorders>
          </w:tcPr>
          <w:p>
            <w:pPr>
              <w:pStyle w:val="TableText"/>
              <w:ind w:left="557"/>
              <w:spacing w:before="115" w:line="221" w:lineRule="auto"/>
              <w:rPr>
                <w:sz w:val="19"/>
                <w:szCs w:val="19"/>
              </w:rPr>
            </w:pPr>
            <w:r>
              <w:rPr>
                <w:sz w:val="19"/>
                <w:szCs w:val="19"/>
                <w:b/>
                <w:bCs/>
                <w:spacing w:val="5"/>
              </w:rPr>
              <w:t>预算数</w:t>
            </w:r>
          </w:p>
        </w:tc>
      </w:tr>
      <w:tr>
        <w:trPr>
          <w:trHeight w:val="407"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507"/>
              <w:spacing w:before="121" w:line="220" w:lineRule="auto"/>
              <w:rPr>
                <w:sz w:val="19"/>
                <w:szCs w:val="19"/>
              </w:rPr>
            </w:pPr>
            <w:r>
              <w:rPr>
                <w:sz w:val="19"/>
                <w:szCs w:val="19"/>
                <w:spacing w:val="9"/>
              </w:rPr>
              <w:t>船舶油污损害赔偿基金支出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23" w:line="221" w:lineRule="auto"/>
              <w:rPr>
                <w:sz w:val="19"/>
                <w:szCs w:val="19"/>
              </w:rPr>
            </w:pPr>
            <w:r>
              <w:rPr>
                <w:sz w:val="19"/>
                <w:szCs w:val="19"/>
                <w:spacing w:val="9"/>
              </w:rPr>
              <w:t>应急处置费用</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21" w:line="220" w:lineRule="auto"/>
              <w:rPr>
                <w:sz w:val="19"/>
                <w:szCs w:val="19"/>
              </w:rPr>
            </w:pPr>
            <w:r>
              <w:rPr>
                <w:sz w:val="19"/>
                <w:szCs w:val="19"/>
                <w:spacing w:val="9"/>
              </w:rPr>
              <w:t>控制清除污染</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24" w:line="220" w:lineRule="auto"/>
              <w:rPr>
                <w:sz w:val="19"/>
                <w:szCs w:val="19"/>
              </w:rPr>
            </w:pPr>
            <w:r>
              <w:rPr>
                <w:sz w:val="19"/>
                <w:szCs w:val="19"/>
                <w:spacing w:val="8"/>
              </w:rPr>
              <w:t>损失补偿</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8"/>
              <w:spacing w:before="124" w:line="220" w:lineRule="auto"/>
              <w:rPr>
                <w:sz w:val="19"/>
                <w:szCs w:val="19"/>
              </w:rPr>
            </w:pPr>
            <w:r>
              <w:rPr>
                <w:sz w:val="19"/>
                <w:szCs w:val="19"/>
                <w:spacing w:val="8"/>
              </w:rPr>
              <w:t>生态恢复</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29" w:line="215" w:lineRule="auto"/>
              <w:rPr>
                <w:sz w:val="19"/>
                <w:szCs w:val="19"/>
              </w:rPr>
            </w:pPr>
            <w:r>
              <w:rPr>
                <w:sz w:val="19"/>
                <w:szCs w:val="19"/>
                <w:spacing w:val="8"/>
              </w:rPr>
              <w:t>监视监测</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25" w:line="221" w:lineRule="auto"/>
              <w:rPr>
                <w:sz w:val="19"/>
                <w:szCs w:val="19"/>
              </w:rPr>
            </w:pPr>
            <w:r>
              <w:rPr>
                <w:sz w:val="19"/>
                <w:szCs w:val="19"/>
                <w:spacing w:val="9"/>
              </w:rPr>
              <w:t>其他船舶油污损害赔偿基金支出</w:t>
            </w:r>
          </w:p>
        </w:tc>
        <w:tc>
          <w:tcPr>
            <w:tcW w:w="1709" w:type="dxa"/>
            <w:vAlign w:val="top"/>
            <w:tcBorders>
              <w:right w:val="single" w:color="000000" w:sz="6" w:space="0"/>
            </w:tcBorders>
          </w:tcPr>
          <w:p>
            <w:pPr>
              <w:rPr>
                <w:rFonts w:ascii="Arial"/>
                <w:sz w:val="21"/>
              </w:rPr>
            </w:pPr>
            <w:r/>
          </w:p>
        </w:tc>
      </w:tr>
      <w:tr>
        <w:trPr>
          <w:trHeight w:val="407"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524"/>
              <w:spacing w:before="128" w:line="219" w:lineRule="auto"/>
              <w:rPr>
                <w:sz w:val="19"/>
                <w:szCs w:val="19"/>
              </w:rPr>
            </w:pPr>
            <w:r>
              <w:rPr>
                <w:sz w:val="19"/>
                <w:szCs w:val="19"/>
                <w:spacing w:val="7"/>
              </w:rPr>
              <w:t>民航发展基金支出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23"/>
              <w:spacing w:before="125" w:line="221" w:lineRule="auto"/>
              <w:rPr>
                <w:sz w:val="19"/>
                <w:szCs w:val="19"/>
              </w:rPr>
            </w:pPr>
            <w:r>
              <w:rPr>
                <w:sz w:val="19"/>
                <w:szCs w:val="19"/>
                <w:spacing w:val="6"/>
              </w:rPr>
              <w:t>民航机场建设</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9"/>
              <w:spacing w:before="127" w:line="221" w:lineRule="auto"/>
              <w:rPr>
                <w:sz w:val="19"/>
                <w:szCs w:val="19"/>
              </w:rPr>
            </w:pPr>
            <w:r>
              <w:rPr>
                <w:sz w:val="19"/>
                <w:szCs w:val="19"/>
                <w:spacing w:val="8"/>
              </w:rPr>
              <w:t>空管系统建设</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23"/>
              <w:spacing w:before="129" w:line="219" w:lineRule="auto"/>
              <w:rPr>
                <w:sz w:val="19"/>
                <w:szCs w:val="19"/>
              </w:rPr>
            </w:pPr>
            <w:r>
              <w:rPr>
                <w:sz w:val="19"/>
                <w:szCs w:val="19"/>
                <w:spacing w:val="4"/>
              </w:rPr>
              <w:t>民航安全</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31" w:line="217" w:lineRule="auto"/>
              <w:rPr>
                <w:sz w:val="19"/>
                <w:szCs w:val="19"/>
              </w:rPr>
            </w:pPr>
            <w:r>
              <w:rPr>
                <w:sz w:val="19"/>
                <w:szCs w:val="19"/>
                <w:spacing w:val="9"/>
              </w:rPr>
              <w:t>航线和机场补贴</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23"/>
              <w:spacing w:before="132" w:line="219" w:lineRule="auto"/>
              <w:rPr>
                <w:sz w:val="19"/>
                <w:szCs w:val="19"/>
              </w:rPr>
            </w:pPr>
            <w:r>
              <w:rPr>
                <w:sz w:val="19"/>
                <w:szCs w:val="19"/>
                <w:spacing w:val="6"/>
              </w:rPr>
              <w:t>民航节能减排</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34" w:line="219" w:lineRule="auto"/>
              <w:rPr>
                <w:sz w:val="19"/>
                <w:szCs w:val="19"/>
              </w:rPr>
            </w:pPr>
            <w:r>
              <w:rPr>
                <w:sz w:val="19"/>
                <w:szCs w:val="19"/>
                <w:spacing w:val="9"/>
              </w:rPr>
              <w:t>通用航空发展</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7"/>
              <w:spacing w:before="133" w:line="221" w:lineRule="auto"/>
              <w:rPr>
                <w:sz w:val="19"/>
                <w:szCs w:val="19"/>
              </w:rPr>
            </w:pPr>
            <w:r>
              <w:rPr>
                <w:sz w:val="19"/>
                <w:szCs w:val="19"/>
                <w:spacing w:val="8"/>
              </w:rPr>
              <w:t>征管经费</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33" w:line="222" w:lineRule="auto"/>
              <w:rPr>
                <w:sz w:val="19"/>
                <w:szCs w:val="19"/>
              </w:rPr>
            </w:pPr>
            <w:r>
              <w:rPr>
                <w:sz w:val="19"/>
                <w:szCs w:val="19"/>
                <w:spacing w:val="9"/>
              </w:rPr>
              <w:t>其他民航发展基金支出</w:t>
            </w:r>
          </w:p>
        </w:tc>
        <w:tc>
          <w:tcPr>
            <w:tcW w:w="1709" w:type="dxa"/>
            <w:vAlign w:val="top"/>
            <w:tcBorders>
              <w:right w:val="single" w:color="000000" w:sz="6" w:space="0"/>
            </w:tcBorders>
          </w:tcPr>
          <w:p>
            <w:pPr>
              <w:rPr>
                <w:rFonts w:ascii="Arial"/>
                <w:sz w:val="21"/>
              </w:rPr>
            </w:pPr>
            <w:r/>
          </w:p>
        </w:tc>
      </w:tr>
      <w:tr>
        <w:trPr>
          <w:trHeight w:val="614" w:hRule="atLeast"/>
        </w:trPr>
        <w:tc>
          <w:tcPr>
            <w:tcW w:w="5381" w:type="dxa"/>
            <w:vAlign w:val="top"/>
            <w:tcBorders>
              <w:left w:val="single" w:color="000000" w:sz="6" w:space="0"/>
              <w:bottom w:val="single" w:color="000000" w:sz="6" w:space="0"/>
            </w:tcBorders>
          </w:tcPr>
          <w:p>
            <w:pPr>
              <w:rPr>
                <w:rFonts w:ascii="Arial"/>
                <w:sz w:val="21"/>
              </w:rPr>
            </w:pPr>
            <w:r/>
          </w:p>
        </w:tc>
        <w:tc>
          <w:tcPr>
            <w:tcW w:w="913" w:type="dxa"/>
            <w:vAlign w:val="top"/>
            <w:tcBorders>
              <w:bottom w:val="single" w:color="000000" w:sz="6" w:space="0"/>
            </w:tcBorders>
          </w:tcPr>
          <w:p>
            <w:pPr>
              <w:rPr>
                <w:rFonts w:ascii="Arial"/>
                <w:sz w:val="21"/>
              </w:rPr>
            </w:pPr>
            <w:r/>
          </w:p>
        </w:tc>
        <w:tc>
          <w:tcPr>
            <w:tcW w:w="5893" w:type="dxa"/>
            <w:vAlign w:val="top"/>
            <w:tcBorders>
              <w:bottom w:val="single" w:color="000000" w:sz="6" w:space="0"/>
            </w:tcBorders>
          </w:tcPr>
          <w:p>
            <w:pPr>
              <w:pStyle w:val="TableText"/>
              <w:ind w:left="107" w:right="182" w:firstLine="400"/>
              <w:spacing w:before="85" w:line="252" w:lineRule="auto"/>
              <w:rPr>
                <w:sz w:val="19"/>
                <w:szCs w:val="19"/>
              </w:rPr>
            </w:pPr>
            <w:r>
              <w:rPr>
                <w:sz w:val="19"/>
                <w:szCs w:val="19"/>
                <w:spacing w:val="9"/>
              </w:rPr>
              <w:t>海南省高等级公路车辆通行附加费对应专项债务收入安排的</w:t>
            </w:r>
            <w:r>
              <w:rPr>
                <w:sz w:val="19"/>
                <w:szCs w:val="19"/>
                <w:spacing w:val="6"/>
              </w:rPr>
              <w:t>支出</w:t>
            </w:r>
          </w:p>
        </w:tc>
        <w:tc>
          <w:tcPr>
            <w:tcW w:w="1709" w:type="dxa"/>
            <w:vAlign w:val="top"/>
            <w:tcBorders>
              <w:bottom w:val="single" w:color="000000" w:sz="6" w:space="0"/>
              <w:right w:val="single" w:color="000000" w:sz="6" w:space="0"/>
            </w:tcBorders>
          </w:tcPr>
          <w:p>
            <w:pPr>
              <w:rPr>
                <w:rFonts w:ascii="Arial"/>
                <w:sz w:val="21"/>
              </w:rPr>
            </w:pPr>
            <w:r/>
          </w:p>
        </w:tc>
      </w:tr>
    </w:tbl>
    <w:p>
      <w:pPr>
        <w:spacing w:line="89" w:lineRule="exact"/>
        <w:rPr>
          <w:rFonts w:ascii="Arial"/>
          <w:sz w:val="7"/>
        </w:rPr>
      </w:pPr>
      <w:r/>
    </w:p>
    <w:p>
      <w:pPr>
        <w:spacing w:line="89" w:lineRule="exact"/>
        <w:sectPr>
          <w:headerReference w:type="default" r:id="rId104"/>
          <w:footerReference w:type="default" r:id="rId129"/>
          <w:pgSz w:w="16839" w:h="11906"/>
          <w:pgMar w:top="1792" w:right="1463" w:bottom="1660" w:left="1463" w:header="1428" w:footer="1289" w:gutter="0"/>
        </w:sectPr>
        <w:rPr>
          <w:rFonts w:ascii="Arial" w:hAnsi="Arial" w:eastAsia="Arial" w:cs="Arial"/>
          <w:sz w:val="7"/>
          <w:szCs w:val="7"/>
        </w:rPr>
      </w:pPr>
    </w:p>
    <w:p>
      <w:pPr>
        <w:spacing w:line="192" w:lineRule="exact"/>
        <w:rPr/>
      </w:pPr>
      <w:r>
        <w:drawing>
          <wp:anchor distT="0" distB="0" distL="0" distR="0" simplePos="0" relativeHeight="251725824"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260" name="IM 260"/>
            <wp:cNvGraphicFramePr/>
            <a:graphic>
              <a:graphicData uri="http://schemas.openxmlformats.org/drawingml/2006/picture">
                <pic:pic>
                  <pic:nvPicPr>
                    <pic:cNvPr id="260" name="IM 260"/>
                    <pic:cNvPicPr/>
                  </pic:nvPicPr>
                  <pic:blipFill>
                    <a:blip r:embed="rId132"/>
                    <a:stretch>
                      <a:fillRect/>
                    </a:stretch>
                  </pic:blipFill>
                  <pic:spPr>
                    <a:xfrm rot="0">
                      <a:off x="0" y="0"/>
                      <a:ext cx="8712200" cy="7620"/>
                    </a:xfrm>
                    <a:prstGeom prst="rect">
                      <a:avLst/>
                    </a:prstGeom>
                  </pic:spPr>
                </pic:pic>
              </a:graphicData>
            </a:graphic>
          </wp:anchor>
        </w:drawing>
      </w: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381"/>
        <w:gridCol w:w="913"/>
        <w:gridCol w:w="5893"/>
        <w:gridCol w:w="1709"/>
      </w:tblGrid>
      <w:tr>
        <w:trPr>
          <w:trHeight w:val="443" w:hRule="atLeast"/>
        </w:trPr>
        <w:tc>
          <w:tcPr>
            <w:tcW w:w="6294" w:type="dxa"/>
            <w:vAlign w:val="top"/>
            <w:gridSpan w:val="2"/>
            <w:tcBorders>
              <w:left w:val="single" w:color="000000" w:sz="6" w:space="0"/>
              <w:top w:val="single" w:color="000000" w:sz="6" w:space="0"/>
            </w:tcBorders>
          </w:tcPr>
          <w:p>
            <w:pPr>
              <w:pStyle w:val="TableText"/>
              <w:ind w:left="2950"/>
              <w:spacing w:before="145" w:line="214" w:lineRule="auto"/>
              <w:rPr>
                <w:sz w:val="19"/>
                <w:szCs w:val="19"/>
              </w:rPr>
            </w:pPr>
            <w:r>
              <w:rPr>
                <w:sz w:val="19"/>
                <w:szCs w:val="19"/>
                <w:b/>
                <w:bCs/>
                <w:spacing w:val="2"/>
              </w:rPr>
              <w:t>收入</w:t>
            </w:r>
          </w:p>
        </w:tc>
        <w:tc>
          <w:tcPr>
            <w:tcW w:w="7602" w:type="dxa"/>
            <w:vAlign w:val="top"/>
            <w:gridSpan w:val="2"/>
            <w:tcBorders>
              <w:right w:val="single" w:color="000000" w:sz="6" w:space="0"/>
              <w:top w:val="single" w:color="000000" w:sz="6" w:space="0"/>
            </w:tcBorders>
          </w:tcPr>
          <w:p>
            <w:pPr>
              <w:pStyle w:val="TableText"/>
              <w:ind w:left="3599"/>
              <w:spacing w:before="143" w:line="219" w:lineRule="auto"/>
              <w:rPr>
                <w:sz w:val="19"/>
                <w:szCs w:val="19"/>
              </w:rPr>
            </w:pPr>
            <w:r>
              <w:rPr>
                <w:sz w:val="19"/>
                <w:szCs w:val="19"/>
                <w:b/>
                <w:bCs/>
                <w:spacing w:val="5"/>
              </w:rPr>
              <w:t>支出</w:t>
            </w:r>
          </w:p>
        </w:tc>
      </w:tr>
      <w:tr>
        <w:trPr>
          <w:trHeight w:val="395" w:hRule="atLeast"/>
        </w:trPr>
        <w:tc>
          <w:tcPr>
            <w:tcW w:w="5381" w:type="dxa"/>
            <w:vAlign w:val="top"/>
            <w:tcBorders>
              <w:left w:val="single" w:color="000000" w:sz="6" w:space="0"/>
            </w:tcBorders>
          </w:tcPr>
          <w:p>
            <w:pPr>
              <w:pStyle w:val="TableText"/>
              <w:ind w:left="2485"/>
              <w:spacing w:before="120" w:line="212" w:lineRule="auto"/>
              <w:rPr>
                <w:sz w:val="19"/>
                <w:szCs w:val="19"/>
              </w:rPr>
            </w:pPr>
            <w:r>
              <w:rPr>
                <w:sz w:val="19"/>
                <w:szCs w:val="19"/>
                <w:b/>
                <w:bCs/>
                <w:spacing w:val="6"/>
              </w:rPr>
              <w:t>项目</w:t>
            </w:r>
          </w:p>
        </w:tc>
        <w:tc>
          <w:tcPr>
            <w:tcW w:w="913" w:type="dxa"/>
            <w:vAlign w:val="top"/>
          </w:tcPr>
          <w:p>
            <w:pPr>
              <w:pStyle w:val="TableText"/>
              <w:ind w:left="158"/>
              <w:spacing w:before="115" w:line="221" w:lineRule="auto"/>
              <w:rPr>
                <w:sz w:val="19"/>
                <w:szCs w:val="19"/>
              </w:rPr>
            </w:pPr>
            <w:r>
              <w:rPr>
                <w:sz w:val="19"/>
                <w:szCs w:val="19"/>
                <w:b/>
                <w:bCs/>
                <w:spacing w:val="5"/>
              </w:rPr>
              <w:t>预算数</w:t>
            </w:r>
          </w:p>
        </w:tc>
        <w:tc>
          <w:tcPr>
            <w:tcW w:w="5893" w:type="dxa"/>
            <w:vAlign w:val="top"/>
          </w:tcPr>
          <w:p>
            <w:pPr>
              <w:pStyle w:val="TableText"/>
              <w:ind w:left="2748"/>
              <w:spacing w:before="120" w:line="212" w:lineRule="auto"/>
              <w:rPr>
                <w:sz w:val="19"/>
                <w:szCs w:val="19"/>
              </w:rPr>
            </w:pPr>
            <w:r>
              <w:rPr>
                <w:sz w:val="19"/>
                <w:szCs w:val="19"/>
                <w:b/>
                <w:bCs/>
                <w:spacing w:val="6"/>
              </w:rPr>
              <w:t>项目</w:t>
            </w:r>
          </w:p>
        </w:tc>
        <w:tc>
          <w:tcPr>
            <w:tcW w:w="1709" w:type="dxa"/>
            <w:vAlign w:val="top"/>
            <w:tcBorders>
              <w:right w:val="single" w:color="000000" w:sz="6" w:space="0"/>
            </w:tcBorders>
          </w:tcPr>
          <w:p>
            <w:pPr>
              <w:pStyle w:val="TableText"/>
              <w:ind w:left="557"/>
              <w:spacing w:before="115" w:line="221" w:lineRule="auto"/>
              <w:rPr>
                <w:sz w:val="19"/>
                <w:szCs w:val="19"/>
              </w:rPr>
            </w:pPr>
            <w:r>
              <w:rPr>
                <w:sz w:val="19"/>
                <w:szCs w:val="19"/>
                <w:b/>
                <w:bCs/>
                <w:spacing w:val="5"/>
              </w:rPr>
              <w:t>预算数</w:t>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4"/>
              <w:spacing w:before="119" w:line="222" w:lineRule="auto"/>
              <w:rPr>
                <w:sz w:val="19"/>
                <w:szCs w:val="19"/>
              </w:rPr>
            </w:pPr>
            <w:r>
              <w:rPr>
                <w:sz w:val="19"/>
                <w:szCs w:val="19"/>
                <w:spacing w:val="9"/>
              </w:rPr>
              <w:t>公路建设</w:t>
            </w:r>
          </w:p>
        </w:tc>
        <w:tc>
          <w:tcPr>
            <w:tcW w:w="1709" w:type="dxa"/>
            <w:vAlign w:val="top"/>
            <w:tcBorders>
              <w:right w:val="single" w:color="000000" w:sz="6" w:space="0"/>
            </w:tcBorders>
          </w:tcPr>
          <w:p>
            <w:pPr>
              <w:rPr>
                <w:rFonts w:ascii="Arial"/>
                <w:sz w:val="21"/>
              </w:rPr>
            </w:pPr>
            <w:r/>
          </w:p>
        </w:tc>
      </w:tr>
      <w:tr>
        <w:trPr>
          <w:trHeight w:val="604"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107" w:right="176" w:firstLine="578"/>
              <w:spacing w:before="69" w:line="255" w:lineRule="auto"/>
              <w:rPr>
                <w:sz w:val="19"/>
                <w:szCs w:val="19"/>
              </w:rPr>
            </w:pPr>
            <w:r>
              <w:rPr>
                <w:sz w:val="19"/>
                <w:szCs w:val="19"/>
                <w:spacing w:val="-11"/>
              </w:rPr>
              <w:t>其他海南省高等级公路车辆通行附加费对应专项债务收入安排的</w:t>
            </w:r>
            <w:r>
              <w:rPr>
                <w:sz w:val="19"/>
                <w:szCs w:val="19"/>
                <w:spacing w:val="-1"/>
              </w:rPr>
              <w:t>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507"/>
              <w:spacing w:before="123" w:line="222" w:lineRule="auto"/>
              <w:rPr>
                <w:sz w:val="19"/>
                <w:szCs w:val="19"/>
              </w:rPr>
            </w:pPr>
            <w:r>
              <w:rPr>
                <w:sz w:val="19"/>
                <w:szCs w:val="19"/>
                <w:spacing w:val="9"/>
              </w:rPr>
              <w:t>政府收费公路专项债券收入安排的支出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4"/>
              <w:spacing w:before="123" w:line="222" w:lineRule="auto"/>
              <w:rPr>
                <w:sz w:val="19"/>
                <w:szCs w:val="19"/>
              </w:rPr>
            </w:pPr>
            <w:r>
              <w:rPr>
                <w:sz w:val="19"/>
                <w:szCs w:val="19"/>
                <w:spacing w:val="9"/>
              </w:rPr>
              <w:t>公路建设</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24" w:line="222" w:lineRule="auto"/>
              <w:rPr>
                <w:sz w:val="19"/>
                <w:szCs w:val="19"/>
              </w:rPr>
            </w:pPr>
            <w:r>
              <w:rPr>
                <w:sz w:val="19"/>
                <w:szCs w:val="19"/>
                <w:spacing w:val="9"/>
              </w:rPr>
              <w:t>其他政府收费公路专项债券收入安排的支出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512"/>
              <w:spacing w:before="125" w:line="223" w:lineRule="auto"/>
              <w:rPr>
                <w:sz w:val="19"/>
                <w:szCs w:val="19"/>
              </w:rPr>
            </w:pPr>
            <w:r>
              <w:rPr>
                <w:sz w:val="19"/>
                <w:szCs w:val="19"/>
                <w:spacing w:val="9"/>
              </w:rPr>
              <w:t>车辆通行费对应专项债务收入安排的支出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507"/>
              <w:spacing w:before="125" w:line="225" w:lineRule="auto"/>
              <w:rPr>
                <w:sz w:val="19"/>
                <w:szCs w:val="19"/>
              </w:rPr>
            </w:pPr>
            <w:r>
              <w:rPr>
                <w:sz w:val="19"/>
                <w:szCs w:val="19"/>
                <w:spacing w:val="9"/>
              </w:rPr>
              <w:t>港口建设费对应专项债务收入安排的支出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33" w:line="218" w:lineRule="auto"/>
              <w:rPr>
                <w:sz w:val="19"/>
                <w:szCs w:val="19"/>
              </w:rPr>
            </w:pPr>
            <w:r>
              <w:rPr>
                <w:sz w:val="19"/>
                <w:szCs w:val="19"/>
                <w:spacing w:val="8"/>
              </w:rPr>
              <w:t>港口设施</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26" w:line="223" w:lineRule="auto"/>
              <w:rPr>
                <w:sz w:val="19"/>
                <w:szCs w:val="19"/>
              </w:rPr>
            </w:pPr>
            <w:r>
              <w:rPr>
                <w:sz w:val="19"/>
                <w:szCs w:val="19"/>
                <w:spacing w:val="9"/>
              </w:rPr>
              <w:t>航运保障系统建设</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27" w:line="225" w:lineRule="auto"/>
              <w:rPr>
                <w:sz w:val="19"/>
                <w:szCs w:val="19"/>
              </w:rPr>
            </w:pPr>
            <w:r>
              <w:rPr>
                <w:sz w:val="19"/>
                <w:szCs w:val="19"/>
                <w:spacing w:val="9"/>
              </w:rPr>
              <w:t>其他港口建设费对应专项债务收入安排的支出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105"/>
              <w:spacing w:before="130" w:line="223" w:lineRule="auto"/>
              <w:rPr>
                <w:sz w:val="19"/>
                <w:szCs w:val="19"/>
              </w:rPr>
            </w:pPr>
            <w:r>
              <w:rPr>
                <w:sz w:val="19"/>
                <w:szCs w:val="19"/>
                <w:spacing w:val="9"/>
              </w:rPr>
              <w:t>七、资源勘探工业信息等支出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503"/>
              <w:spacing w:before="132" w:line="223" w:lineRule="auto"/>
              <w:rPr>
                <w:sz w:val="19"/>
                <w:szCs w:val="19"/>
              </w:rPr>
            </w:pPr>
            <w:r>
              <w:rPr>
                <w:sz w:val="19"/>
                <w:szCs w:val="19"/>
                <w:spacing w:val="9"/>
              </w:rPr>
              <w:t>农网还贷资金支出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31" w:line="223" w:lineRule="auto"/>
              <w:rPr>
                <w:sz w:val="19"/>
                <w:szCs w:val="19"/>
              </w:rPr>
            </w:pPr>
            <w:r>
              <w:rPr>
                <w:sz w:val="19"/>
                <w:szCs w:val="19"/>
                <w:spacing w:val="9"/>
              </w:rPr>
              <w:t>地方农网还贷资金支出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32" w:line="223" w:lineRule="auto"/>
              <w:rPr>
                <w:sz w:val="19"/>
                <w:szCs w:val="19"/>
              </w:rPr>
            </w:pPr>
            <w:r>
              <w:rPr>
                <w:sz w:val="19"/>
                <w:szCs w:val="19"/>
                <w:spacing w:val="9"/>
              </w:rPr>
              <w:t>其他农网还贷资金支出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103"/>
              <w:spacing w:before="135" w:line="222" w:lineRule="auto"/>
              <w:rPr>
                <w:sz w:val="19"/>
                <w:szCs w:val="19"/>
              </w:rPr>
            </w:pPr>
            <w:r>
              <w:rPr>
                <w:sz w:val="19"/>
                <w:szCs w:val="19"/>
                <w:spacing w:val="9"/>
              </w:rPr>
              <w:t>八、其他支出</w:t>
            </w:r>
          </w:p>
        </w:tc>
        <w:tc>
          <w:tcPr>
            <w:tcW w:w="1709" w:type="dxa"/>
            <w:vAlign w:val="top"/>
            <w:tcBorders>
              <w:right w:val="single" w:color="000000" w:sz="6" w:space="0"/>
            </w:tcBorders>
          </w:tcPr>
          <w:p>
            <w:pPr>
              <w:pStyle w:val="TableText"/>
              <w:ind w:left="1219"/>
              <w:spacing w:before="131" w:line="265" w:lineRule="exact"/>
              <w:rPr>
                <w:sz w:val="19"/>
                <w:szCs w:val="19"/>
              </w:rPr>
            </w:pPr>
            <w:r>
              <w:rPr>
                <w:sz w:val="19"/>
                <w:szCs w:val="19"/>
                <w:spacing w:val="-2"/>
                <w:position w:val="1"/>
              </w:rPr>
              <w:t>1494</w:t>
            </w:r>
          </w:p>
        </w:tc>
      </w:tr>
      <w:tr>
        <w:trPr>
          <w:trHeight w:val="350"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506"/>
              <w:spacing w:before="89" w:line="222" w:lineRule="auto"/>
              <w:rPr>
                <w:sz w:val="19"/>
                <w:szCs w:val="19"/>
              </w:rPr>
            </w:pPr>
            <w:r>
              <w:rPr>
                <w:sz w:val="19"/>
                <w:szCs w:val="19"/>
                <w:spacing w:val="9"/>
              </w:rPr>
              <w:t>其他政府性基金及对应专项债务收入安排的支出</w:t>
            </w:r>
          </w:p>
        </w:tc>
        <w:tc>
          <w:tcPr>
            <w:tcW w:w="1709" w:type="dxa"/>
            <w:vAlign w:val="top"/>
            <w:tcBorders>
              <w:right w:val="single" w:color="000000" w:sz="6" w:space="0"/>
            </w:tcBorders>
          </w:tcPr>
          <w:p>
            <w:pPr>
              <w:rPr>
                <w:rFonts w:ascii="Arial"/>
                <w:sz w:val="21"/>
              </w:rPr>
            </w:pPr>
            <w:r/>
          </w:p>
        </w:tc>
      </w:tr>
      <w:tr>
        <w:trPr>
          <w:trHeight w:val="360" w:hRule="atLeast"/>
        </w:trPr>
        <w:tc>
          <w:tcPr>
            <w:tcW w:w="5381" w:type="dxa"/>
            <w:vAlign w:val="top"/>
            <w:tcBorders>
              <w:left w:val="single" w:color="000000" w:sz="6" w:space="0"/>
              <w:bottom w:val="single" w:color="000000" w:sz="6" w:space="0"/>
            </w:tcBorders>
          </w:tcPr>
          <w:p>
            <w:pPr>
              <w:rPr>
                <w:rFonts w:ascii="Arial"/>
                <w:sz w:val="21"/>
              </w:rPr>
            </w:pPr>
            <w:r/>
          </w:p>
        </w:tc>
        <w:tc>
          <w:tcPr>
            <w:tcW w:w="913" w:type="dxa"/>
            <w:vAlign w:val="top"/>
            <w:tcBorders>
              <w:bottom w:val="single" w:color="000000" w:sz="6" w:space="0"/>
            </w:tcBorders>
          </w:tcPr>
          <w:p>
            <w:pPr>
              <w:rPr>
                <w:rFonts w:ascii="Arial"/>
                <w:sz w:val="21"/>
              </w:rPr>
            </w:pPr>
            <w:r/>
          </w:p>
        </w:tc>
        <w:tc>
          <w:tcPr>
            <w:tcW w:w="5893" w:type="dxa"/>
            <w:vAlign w:val="top"/>
            <w:tcBorders>
              <w:bottom w:val="single" w:color="000000" w:sz="6" w:space="0"/>
            </w:tcBorders>
          </w:tcPr>
          <w:p>
            <w:pPr>
              <w:pStyle w:val="TableText"/>
              <w:ind w:left="705"/>
              <w:spacing w:before="88" w:line="221" w:lineRule="auto"/>
              <w:rPr>
                <w:sz w:val="19"/>
                <w:szCs w:val="19"/>
              </w:rPr>
            </w:pPr>
            <w:r>
              <w:rPr>
                <w:sz w:val="19"/>
                <w:szCs w:val="19"/>
                <w:spacing w:val="9"/>
              </w:rPr>
              <w:t>其他政府性基金安排的支出</w:t>
            </w:r>
          </w:p>
        </w:tc>
        <w:tc>
          <w:tcPr>
            <w:tcW w:w="1709" w:type="dxa"/>
            <w:vAlign w:val="top"/>
            <w:tcBorders>
              <w:bottom w:val="single" w:color="000000" w:sz="6" w:space="0"/>
              <w:right w:val="single" w:color="000000" w:sz="6" w:space="0"/>
            </w:tcBorders>
          </w:tcPr>
          <w:p>
            <w:pPr>
              <w:rPr>
                <w:rFonts w:ascii="Arial"/>
                <w:sz w:val="21"/>
              </w:rPr>
            </w:pPr>
            <w:r/>
          </w:p>
        </w:tc>
      </w:tr>
    </w:tbl>
    <w:p>
      <w:pPr>
        <w:spacing w:line="192" w:lineRule="exact"/>
        <w:rPr>
          <w:rFonts w:ascii="Arial"/>
          <w:sz w:val="16"/>
        </w:rPr>
      </w:pPr>
      <w:r/>
    </w:p>
    <w:p>
      <w:pPr>
        <w:spacing w:line="192" w:lineRule="exact"/>
        <w:sectPr>
          <w:headerReference w:type="default" r:id="rId61"/>
          <w:footerReference w:type="default" r:id="rId131"/>
          <w:pgSz w:w="16839" w:h="11906"/>
          <w:pgMar w:top="1792" w:right="1463" w:bottom="1671" w:left="1463" w:header="1428" w:footer="1277" w:gutter="0"/>
        </w:sectPr>
        <w:rPr>
          <w:rFonts w:ascii="Arial" w:hAnsi="Arial" w:eastAsia="Arial" w:cs="Arial"/>
          <w:sz w:val="16"/>
          <w:szCs w:val="16"/>
        </w:rPr>
      </w:pPr>
    </w:p>
    <w:p>
      <w:pPr>
        <w:spacing w:line="192" w:lineRule="exact"/>
        <w:rPr/>
      </w:pPr>
      <w:r>
        <w:drawing>
          <wp:anchor distT="0" distB="0" distL="0" distR="0" simplePos="0" relativeHeight="251727872"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264" name="IM 264"/>
            <wp:cNvGraphicFramePr/>
            <a:graphic>
              <a:graphicData uri="http://schemas.openxmlformats.org/drawingml/2006/picture">
                <pic:pic>
                  <pic:nvPicPr>
                    <pic:cNvPr id="264" name="IM 264"/>
                    <pic:cNvPicPr/>
                  </pic:nvPicPr>
                  <pic:blipFill>
                    <a:blip r:embed="rId134"/>
                    <a:stretch>
                      <a:fillRect/>
                    </a:stretch>
                  </pic:blipFill>
                  <pic:spPr>
                    <a:xfrm rot="0">
                      <a:off x="0" y="0"/>
                      <a:ext cx="8712200" cy="7620"/>
                    </a:xfrm>
                    <a:prstGeom prst="rect">
                      <a:avLst/>
                    </a:prstGeom>
                  </pic:spPr>
                </pic:pic>
              </a:graphicData>
            </a:graphic>
          </wp:anchor>
        </w:drawing>
      </w: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381"/>
        <w:gridCol w:w="913"/>
        <w:gridCol w:w="5893"/>
        <w:gridCol w:w="1709"/>
      </w:tblGrid>
      <w:tr>
        <w:trPr>
          <w:trHeight w:val="443" w:hRule="atLeast"/>
        </w:trPr>
        <w:tc>
          <w:tcPr>
            <w:tcW w:w="6294" w:type="dxa"/>
            <w:vAlign w:val="top"/>
            <w:gridSpan w:val="2"/>
            <w:tcBorders>
              <w:left w:val="single" w:color="000000" w:sz="6" w:space="0"/>
              <w:top w:val="single" w:color="000000" w:sz="6" w:space="0"/>
            </w:tcBorders>
          </w:tcPr>
          <w:p>
            <w:pPr>
              <w:pStyle w:val="TableText"/>
              <w:ind w:left="2950"/>
              <w:spacing w:before="145" w:line="214" w:lineRule="auto"/>
              <w:rPr>
                <w:sz w:val="19"/>
                <w:szCs w:val="19"/>
              </w:rPr>
            </w:pPr>
            <w:r>
              <w:rPr>
                <w:sz w:val="19"/>
                <w:szCs w:val="19"/>
                <w:b/>
                <w:bCs/>
                <w:spacing w:val="2"/>
              </w:rPr>
              <w:t>收入</w:t>
            </w:r>
          </w:p>
        </w:tc>
        <w:tc>
          <w:tcPr>
            <w:tcW w:w="7602" w:type="dxa"/>
            <w:vAlign w:val="top"/>
            <w:gridSpan w:val="2"/>
            <w:tcBorders>
              <w:right w:val="single" w:color="000000" w:sz="6" w:space="0"/>
              <w:top w:val="single" w:color="000000" w:sz="6" w:space="0"/>
            </w:tcBorders>
          </w:tcPr>
          <w:p>
            <w:pPr>
              <w:pStyle w:val="TableText"/>
              <w:ind w:left="3599"/>
              <w:spacing w:before="143" w:line="219" w:lineRule="auto"/>
              <w:rPr>
                <w:sz w:val="19"/>
                <w:szCs w:val="19"/>
              </w:rPr>
            </w:pPr>
            <w:r>
              <w:rPr>
                <w:sz w:val="19"/>
                <w:szCs w:val="19"/>
                <w:b/>
                <w:bCs/>
                <w:spacing w:val="5"/>
              </w:rPr>
              <w:t>支出</w:t>
            </w:r>
          </w:p>
        </w:tc>
      </w:tr>
      <w:tr>
        <w:trPr>
          <w:trHeight w:val="394" w:hRule="atLeast"/>
        </w:trPr>
        <w:tc>
          <w:tcPr>
            <w:tcW w:w="5381" w:type="dxa"/>
            <w:vAlign w:val="top"/>
            <w:tcBorders>
              <w:left w:val="single" w:color="000000" w:sz="6" w:space="0"/>
            </w:tcBorders>
          </w:tcPr>
          <w:p>
            <w:pPr>
              <w:pStyle w:val="TableText"/>
              <w:ind w:left="2485"/>
              <w:spacing w:before="120" w:line="212" w:lineRule="auto"/>
              <w:rPr>
                <w:sz w:val="19"/>
                <w:szCs w:val="19"/>
              </w:rPr>
            </w:pPr>
            <w:r>
              <w:rPr>
                <w:sz w:val="19"/>
                <w:szCs w:val="19"/>
                <w:b/>
                <w:bCs/>
                <w:spacing w:val="6"/>
              </w:rPr>
              <w:t>项目</w:t>
            </w:r>
          </w:p>
        </w:tc>
        <w:tc>
          <w:tcPr>
            <w:tcW w:w="913" w:type="dxa"/>
            <w:vAlign w:val="top"/>
          </w:tcPr>
          <w:p>
            <w:pPr>
              <w:pStyle w:val="TableText"/>
              <w:ind w:left="158"/>
              <w:spacing w:before="115" w:line="221" w:lineRule="auto"/>
              <w:rPr>
                <w:sz w:val="19"/>
                <w:szCs w:val="19"/>
              </w:rPr>
            </w:pPr>
            <w:r>
              <w:rPr>
                <w:sz w:val="19"/>
                <w:szCs w:val="19"/>
                <w:b/>
                <w:bCs/>
                <w:spacing w:val="5"/>
              </w:rPr>
              <w:t>预算数</w:t>
            </w:r>
          </w:p>
        </w:tc>
        <w:tc>
          <w:tcPr>
            <w:tcW w:w="5893" w:type="dxa"/>
            <w:vAlign w:val="top"/>
          </w:tcPr>
          <w:p>
            <w:pPr>
              <w:pStyle w:val="TableText"/>
              <w:ind w:left="2748"/>
              <w:spacing w:before="120" w:line="212" w:lineRule="auto"/>
              <w:rPr>
                <w:sz w:val="19"/>
                <w:szCs w:val="19"/>
              </w:rPr>
            </w:pPr>
            <w:r>
              <w:rPr>
                <w:sz w:val="19"/>
                <w:szCs w:val="19"/>
                <w:b/>
                <w:bCs/>
                <w:spacing w:val="6"/>
              </w:rPr>
              <w:t>项目</w:t>
            </w:r>
          </w:p>
        </w:tc>
        <w:tc>
          <w:tcPr>
            <w:tcW w:w="1709" w:type="dxa"/>
            <w:vAlign w:val="top"/>
            <w:tcBorders>
              <w:right w:val="single" w:color="000000" w:sz="6" w:space="0"/>
            </w:tcBorders>
          </w:tcPr>
          <w:p>
            <w:pPr>
              <w:pStyle w:val="TableText"/>
              <w:ind w:left="557"/>
              <w:spacing w:before="115" w:line="221" w:lineRule="auto"/>
              <w:rPr>
                <w:sz w:val="19"/>
                <w:szCs w:val="19"/>
              </w:rPr>
            </w:pPr>
            <w:r>
              <w:rPr>
                <w:sz w:val="19"/>
                <w:szCs w:val="19"/>
                <w:b/>
                <w:bCs/>
                <w:spacing w:val="5"/>
              </w:rPr>
              <w:t>预算数</w:t>
            </w:r>
          </w:p>
        </w:tc>
      </w:tr>
      <w:tr>
        <w:trPr>
          <w:trHeight w:val="349"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74" w:line="224" w:lineRule="auto"/>
              <w:rPr>
                <w:sz w:val="19"/>
                <w:szCs w:val="19"/>
              </w:rPr>
            </w:pPr>
            <w:r>
              <w:rPr>
                <w:sz w:val="19"/>
                <w:szCs w:val="19"/>
                <w:spacing w:val="9"/>
              </w:rPr>
              <w:t>其他地方自行试点项目收益专项债券收入安排的支出</w:t>
            </w:r>
          </w:p>
        </w:tc>
        <w:tc>
          <w:tcPr>
            <w:tcW w:w="1709" w:type="dxa"/>
            <w:vAlign w:val="top"/>
            <w:tcBorders>
              <w:right w:val="single" w:color="000000" w:sz="6" w:space="0"/>
            </w:tcBorders>
          </w:tcPr>
          <w:p>
            <w:pPr>
              <w:rPr>
                <w:rFonts w:ascii="Arial"/>
                <w:sz w:val="21"/>
              </w:rPr>
            </w:pPr>
            <w:r/>
          </w:p>
        </w:tc>
      </w:tr>
      <w:tr>
        <w:trPr>
          <w:trHeight w:val="349"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75" w:line="221" w:lineRule="auto"/>
              <w:rPr>
                <w:sz w:val="19"/>
                <w:szCs w:val="19"/>
              </w:rPr>
            </w:pPr>
            <w:r>
              <w:rPr>
                <w:sz w:val="19"/>
                <w:szCs w:val="19"/>
                <w:spacing w:val="9"/>
              </w:rPr>
              <w:t>其他政府性基金债务收入安排的支出</w:t>
            </w:r>
          </w:p>
        </w:tc>
        <w:tc>
          <w:tcPr>
            <w:tcW w:w="1709" w:type="dxa"/>
            <w:vAlign w:val="top"/>
            <w:tcBorders>
              <w:right w:val="single" w:color="000000" w:sz="6" w:space="0"/>
            </w:tcBorders>
          </w:tcPr>
          <w:p>
            <w:pPr>
              <w:rPr>
                <w:rFonts w:ascii="Arial"/>
                <w:sz w:val="21"/>
              </w:rPr>
            </w:pPr>
            <w:r/>
          </w:p>
        </w:tc>
      </w:tr>
      <w:tr>
        <w:trPr>
          <w:trHeight w:val="349"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508"/>
              <w:spacing w:before="77" w:line="220" w:lineRule="auto"/>
              <w:rPr>
                <w:sz w:val="19"/>
                <w:szCs w:val="19"/>
              </w:rPr>
            </w:pPr>
            <w:r>
              <w:rPr>
                <w:sz w:val="19"/>
                <w:szCs w:val="19"/>
                <w:spacing w:val="9"/>
              </w:rPr>
              <w:t>彩票发行销售机构业务费安排的支出</w:t>
            </w:r>
          </w:p>
        </w:tc>
        <w:tc>
          <w:tcPr>
            <w:tcW w:w="1709" w:type="dxa"/>
            <w:vAlign w:val="top"/>
            <w:tcBorders>
              <w:right w:val="single" w:color="000000" w:sz="6" w:space="0"/>
            </w:tcBorders>
          </w:tcPr>
          <w:p>
            <w:pPr>
              <w:rPr>
                <w:rFonts w:ascii="Arial"/>
                <w:sz w:val="21"/>
              </w:rPr>
            </w:pPr>
            <w:r/>
          </w:p>
        </w:tc>
      </w:tr>
      <w:tr>
        <w:trPr>
          <w:trHeight w:val="349"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78" w:line="220" w:lineRule="auto"/>
              <w:rPr>
                <w:sz w:val="19"/>
                <w:szCs w:val="19"/>
              </w:rPr>
            </w:pPr>
            <w:r>
              <w:rPr>
                <w:sz w:val="19"/>
                <w:szCs w:val="19"/>
                <w:spacing w:val="9"/>
              </w:rPr>
              <w:t>福利彩票发行机构的业务费支出</w:t>
            </w:r>
          </w:p>
        </w:tc>
        <w:tc>
          <w:tcPr>
            <w:tcW w:w="1709" w:type="dxa"/>
            <w:vAlign w:val="top"/>
            <w:tcBorders>
              <w:right w:val="single" w:color="000000" w:sz="6" w:space="0"/>
            </w:tcBorders>
          </w:tcPr>
          <w:p>
            <w:pPr>
              <w:rPr>
                <w:rFonts w:ascii="Arial"/>
                <w:sz w:val="21"/>
              </w:rPr>
            </w:pPr>
            <w:r/>
          </w:p>
        </w:tc>
      </w:tr>
      <w:tr>
        <w:trPr>
          <w:trHeight w:val="349"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76" w:line="223" w:lineRule="auto"/>
              <w:rPr>
                <w:sz w:val="19"/>
                <w:szCs w:val="19"/>
              </w:rPr>
            </w:pPr>
            <w:r>
              <w:rPr>
                <w:sz w:val="19"/>
                <w:szCs w:val="19"/>
                <w:spacing w:val="9"/>
              </w:rPr>
              <w:t>体育彩票发行机构的业务费支出</w:t>
            </w:r>
          </w:p>
        </w:tc>
        <w:tc>
          <w:tcPr>
            <w:tcW w:w="1709" w:type="dxa"/>
            <w:vAlign w:val="top"/>
            <w:tcBorders>
              <w:right w:val="single" w:color="000000" w:sz="6" w:space="0"/>
            </w:tcBorders>
          </w:tcPr>
          <w:p>
            <w:pPr>
              <w:rPr>
                <w:rFonts w:ascii="Arial"/>
                <w:sz w:val="21"/>
              </w:rPr>
            </w:pPr>
            <w:r/>
          </w:p>
        </w:tc>
      </w:tr>
      <w:tr>
        <w:trPr>
          <w:trHeight w:val="349"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80" w:line="220" w:lineRule="auto"/>
              <w:rPr>
                <w:sz w:val="19"/>
                <w:szCs w:val="19"/>
              </w:rPr>
            </w:pPr>
            <w:r>
              <w:rPr>
                <w:sz w:val="19"/>
                <w:szCs w:val="19"/>
                <w:spacing w:val="9"/>
              </w:rPr>
              <w:t>福利彩票销售机构的业务费支出</w:t>
            </w:r>
          </w:p>
        </w:tc>
        <w:tc>
          <w:tcPr>
            <w:tcW w:w="1709" w:type="dxa"/>
            <w:vAlign w:val="top"/>
            <w:tcBorders>
              <w:right w:val="single" w:color="000000" w:sz="6" w:space="0"/>
            </w:tcBorders>
          </w:tcPr>
          <w:p>
            <w:pPr>
              <w:rPr>
                <w:rFonts w:ascii="Arial"/>
                <w:sz w:val="21"/>
              </w:rPr>
            </w:pPr>
            <w:r/>
          </w:p>
        </w:tc>
      </w:tr>
      <w:tr>
        <w:trPr>
          <w:trHeight w:val="350"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78" w:line="223" w:lineRule="auto"/>
              <w:rPr>
                <w:sz w:val="19"/>
                <w:szCs w:val="19"/>
              </w:rPr>
            </w:pPr>
            <w:r>
              <w:rPr>
                <w:sz w:val="19"/>
                <w:szCs w:val="19"/>
                <w:spacing w:val="9"/>
              </w:rPr>
              <w:t>体育彩票销售机构的业务费支出</w:t>
            </w:r>
          </w:p>
        </w:tc>
        <w:tc>
          <w:tcPr>
            <w:tcW w:w="1709" w:type="dxa"/>
            <w:vAlign w:val="top"/>
            <w:tcBorders>
              <w:right w:val="single" w:color="000000" w:sz="6" w:space="0"/>
            </w:tcBorders>
          </w:tcPr>
          <w:p>
            <w:pPr>
              <w:rPr>
                <w:rFonts w:ascii="Arial"/>
                <w:sz w:val="21"/>
              </w:rPr>
            </w:pPr>
            <w:r/>
          </w:p>
        </w:tc>
      </w:tr>
      <w:tr>
        <w:trPr>
          <w:trHeight w:val="349"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7"/>
              <w:spacing w:before="82" w:line="218" w:lineRule="auto"/>
              <w:rPr>
                <w:sz w:val="19"/>
                <w:szCs w:val="19"/>
              </w:rPr>
            </w:pPr>
            <w:r>
              <w:rPr>
                <w:sz w:val="19"/>
                <w:szCs w:val="19"/>
                <w:spacing w:val="9"/>
              </w:rPr>
              <w:t>彩票兑奖周转金支出</w:t>
            </w:r>
          </w:p>
        </w:tc>
        <w:tc>
          <w:tcPr>
            <w:tcW w:w="1709" w:type="dxa"/>
            <w:vAlign w:val="top"/>
            <w:tcBorders>
              <w:right w:val="single" w:color="000000" w:sz="6" w:space="0"/>
            </w:tcBorders>
          </w:tcPr>
          <w:p>
            <w:pPr>
              <w:rPr>
                <w:rFonts w:ascii="Arial"/>
                <w:sz w:val="21"/>
              </w:rPr>
            </w:pPr>
            <w:r/>
          </w:p>
        </w:tc>
      </w:tr>
      <w:tr>
        <w:trPr>
          <w:trHeight w:val="349"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7"/>
              <w:spacing w:before="81" w:line="220" w:lineRule="auto"/>
              <w:rPr>
                <w:sz w:val="19"/>
                <w:szCs w:val="19"/>
              </w:rPr>
            </w:pPr>
            <w:r>
              <w:rPr>
                <w:sz w:val="19"/>
                <w:szCs w:val="19"/>
                <w:spacing w:val="9"/>
              </w:rPr>
              <w:t>彩票发行销售风险基金支出</w:t>
            </w:r>
          </w:p>
        </w:tc>
        <w:tc>
          <w:tcPr>
            <w:tcW w:w="1709" w:type="dxa"/>
            <w:vAlign w:val="top"/>
            <w:tcBorders>
              <w:right w:val="single" w:color="000000" w:sz="6" w:space="0"/>
            </w:tcBorders>
          </w:tcPr>
          <w:p>
            <w:pPr>
              <w:rPr>
                <w:rFonts w:ascii="Arial"/>
                <w:sz w:val="21"/>
              </w:rPr>
            </w:pPr>
            <w:r/>
          </w:p>
        </w:tc>
      </w:tr>
      <w:tr>
        <w:trPr>
          <w:trHeight w:val="349"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7"/>
              <w:spacing w:before="81" w:line="221" w:lineRule="auto"/>
              <w:rPr>
                <w:sz w:val="19"/>
                <w:szCs w:val="19"/>
              </w:rPr>
            </w:pPr>
            <w:r>
              <w:rPr>
                <w:sz w:val="19"/>
                <w:szCs w:val="19"/>
                <w:spacing w:val="9"/>
              </w:rPr>
              <w:t>彩票市场调控资金支出</w:t>
            </w:r>
          </w:p>
        </w:tc>
        <w:tc>
          <w:tcPr>
            <w:tcW w:w="1709" w:type="dxa"/>
            <w:vAlign w:val="top"/>
            <w:tcBorders>
              <w:right w:val="single" w:color="000000" w:sz="6" w:space="0"/>
            </w:tcBorders>
          </w:tcPr>
          <w:p>
            <w:pPr>
              <w:rPr>
                <w:rFonts w:ascii="Arial"/>
                <w:sz w:val="21"/>
              </w:rPr>
            </w:pPr>
            <w:r/>
          </w:p>
        </w:tc>
      </w:tr>
      <w:tr>
        <w:trPr>
          <w:trHeight w:val="349"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82" w:line="222" w:lineRule="auto"/>
              <w:rPr>
                <w:sz w:val="19"/>
                <w:szCs w:val="19"/>
              </w:rPr>
            </w:pPr>
            <w:r>
              <w:rPr>
                <w:sz w:val="19"/>
                <w:szCs w:val="19"/>
                <w:spacing w:val="9"/>
              </w:rPr>
              <w:t>其他彩票发行销售机构业务费安排的支出</w:t>
            </w:r>
          </w:p>
        </w:tc>
        <w:tc>
          <w:tcPr>
            <w:tcW w:w="1709" w:type="dxa"/>
            <w:vAlign w:val="top"/>
            <w:tcBorders>
              <w:right w:val="single" w:color="000000" w:sz="6" w:space="0"/>
            </w:tcBorders>
          </w:tcPr>
          <w:p>
            <w:pPr>
              <w:rPr>
                <w:rFonts w:ascii="Arial"/>
                <w:sz w:val="21"/>
              </w:rPr>
            </w:pPr>
            <w:r/>
          </w:p>
        </w:tc>
      </w:tr>
      <w:tr>
        <w:trPr>
          <w:trHeight w:val="349"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508"/>
              <w:spacing w:before="86" w:line="218" w:lineRule="auto"/>
              <w:rPr>
                <w:sz w:val="19"/>
                <w:szCs w:val="19"/>
              </w:rPr>
            </w:pPr>
            <w:r>
              <w:rPr>
                <w:sz w:val="19"/>
                <w:szCs w:val="19"/>
                <w:spacing w:val="9"/>
              </w:rPr>
              <w:t>彩票公益金安排的支出</w:t>
            </w:r>
          </w:p>
        </w:tc>
        <w:tc>
          <w:tcPr>
            <w:tcW w:w="1709" w:type="dxa"/>
            <w:vAlign w:val="top"/>
            <w:tcBorders>
              <w:right w:val="single" w:color="000000" w:sz="6" w:space="0"/>
            </w:tcBorders>
          </w:tcPr>
          <w:p>
            <w:pPr>
              <w:pStyle w:val="TableText"/>
              <w:ind w:left="1219"/>
              <w:spacing w:before="80" w:line="258" w:lineRule="exact"/>
              <w:rPr>
                <w:sz w:val="19"/>
                <w:szCs w:val="19"/>
              </w:rPr>
            </w:pPr>
            <w:r>
              <w:rPr>
                <w:sz w:val="19"/>
                <w:szCs w:val="19"/>
                <w:spacing w:val="-2"/>
                <w:position w:val="1"/>
              </w:rPr>
              <w:t>1494</w:t>
            </w:r>
          </w:p>
        </w:tc>
      </w:tr>
      <w:tr>
        <w:trPr>
          <w:trHeight w:val="349"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87" w:line="217" w:lineRule="auto"/>
              <w:rPr>
                <w:sz w:val="19"/>
                <w:szCs w:val="19"/>
              </w:rPr>
            </w:pPr>
            <w:r>
              <w:rPr>
                <w:sz w:val="19"/>
                <w:szCs w:val="19"/>
                <w:spacing w:val="9"/>
              </w:rPr>
              <w:t>用于社会福利的彩票公益金支出</w:t>
            </w:r>
          </w:p>
        </w:tc>
        <w:tc>
          <w:tcPr>
            <w:tcW w:w="1709" w:type="dxa"/>
            <w:vAlign w:val="top"/>
            <w:tcBorders>
              <w:right w:val="single" w:color="000000" w:sz="6" w:space="0"/>
            </w:tcBorders>
          </w:tcPr>
          <w:p>
            <w:pPr>
              <w:pStyle w:val="TableText"/>
              <w:ind w:left="1301"/>
              <w:spacing w:before="81" w:line="257" w:lineRule="exact"/>
              <w:rPr>
                <w:sz w:val="19"/>
                <w:szCs w:val="19"/>
              </w:rPr>
            </w:pPr>
            <w:r>
              <w:rPr>
                <w:sz w:val="19"/>
                <w:szCs w:val="19"/>
                <w:spacing w:val="1"/>
                <w:position w:val="1"/>
              </w:rPr>
              <w:t>955</w:t>
            </w:r>
          </w:p>
        </w:tc>
      </w:tr>
      <w:tr>
        <w:trPr>
          <w:trHeight w:val="350"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84" w:line="222" w:lineRule="auto"/>
              <w:rPr>
                <w:sz w:val="19"/>
                <w:szCs w:val="19"/>
              </w:rPr>
            </w:pPr>
            <w:r>
              <w:rPr>
                <w:sz w:val="19"/>
                <w:szCs w:val="19"/>
                <w:spacing w:val="9"/>
              </w:rPr>
              <w:t>用于体育事业的彩票公益金支出</w:t>
            </w:r>
          </w:p>
        </w:tc>
        <w:tc>
          <w:tcPr>
            <w:tcW w:w="1709" w:type="dxa"/>
            <w:vAlign w:val="top"/>
            <w:tcBorders>
              <w:right w:val="single" w:color="000000" w:sz="6" w:space="0"/>
            </w:tcBorders>
          </w:tcPr>
          <w:p>
            <w:pPr>
              <w:pStyle w:val="TableText"/>
              <w:ind w:left="1298"/>
              <w:spacing w:before="82" w:line="257" w:lineRule="exact"/>
              <w:rPr>
                <w:sz w:val="19"/>
                <w:szCs w:val="19"/>
              </w:rPr>
            </w:pPr>
            <w:r>
              <w:rPr>
                <w:sz w:val="19"/>
                <w:szCs w:val="19"/>
                <w:spacing w:val="2"/>
                <w:position w:val="1"/>
              </w:rPr>
              <w:t>499</w:t>
            </w:r>
          </w:p>
        </w:tc>
      </w:tr>
      <w:tr>
        <w:trPr>
          <w:trHeight w:val="350"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86" w:line="220" w:lineRule="auto"/>
              <w:rPr>
                <w:sz w:val="19"/>
                <w:szCs w:val="19"/>
              </w:rPr>
            </w:pPr>
            <w:r>
              <w:rPr>
                <w:sz w:val="19"/>
                <w:szCs w:val="19"/>
                <w:spacing w:val="9"/>
              </w:rPr>
              <w:t>用于教育事业的彩票公益金支出</w:t>
            </w:r>
          </w:p>
        </w:tc>
        <w:tc>
          <w:tcPr>
            <w:tcW w:w="1709" w:type="dxa"/>
            <w:vAlign w:val="top"/>
            <w:tcBorders>
              <w:right w:val="single" w:color="000000" w:sz="6" w:space="0"/>
            </w:tcBorders>
          </w:tcPr>
          <w:p>
            <w:pPr>
              <w:rPr>
                <w:rFonts w:ascii="Arial"/>
                <w:sz w:val="21"/>
              </w:rPr>
            </w:pPr>
            <w:r/>
          </w:p>
        </w:tc>
      </w:tr>
      <w:tr>
        <w:trPr>
          <w:trHeight w:val="350"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87" w:line="219" w:lineRule="auto"/>
              <w:rPr>
                <w:sz w:val="19"/>
                <w:szCs w:val="19"/>
              </w:rPr>
            </w:pPr>
            <w:r>
              <w:rPr>
                <w:sz w:val="19"/>
                <w:szCs w:val="19"/>
                <w:spacing w:val="9"/>
              </w:rPr>
              <w:t>用于红十字事业的彩票公益金支出</w:t>
            </w:r>
          </w:p>
        </w:tc>
        <w:tc>
          <w:tcPr>
            <w:tcW w:w="1709" w:type="dxa"/>
            <w:vAlign w:val="top"/>
            <w:tcBorders>
              <w:right w:val="single" w:color="000000" w:sz="6" w:space="0"/>
            </w:tcBorders>
          </w:tcPr>
          <w:p>
            <w:pPr>
              <w:rPr>
                <w:rFonts w:ascii="Arial"/>
                <w:sz w:val="21"/>
              </w:rPr>
            </w:pPr>
            <w:r/>
          </w:p>
        </w:tc>
      </w:tr>
      <w:tr>
        <w:trPr>
          <w:trHeight w:val="350"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87" w:line="219" w:lineRule="auto"/>
              <w:rPr>
                <w:sz w:val="19"/>
                <w:szCs w:val="19"/>
              </w:rPr>
            </w:pPr>
            <w:r>
              <w:rPr>
                <w:sz w:val="19"/>
                <w:szCs w:val="19"/>
                <w:spacing w:val="9"/>
              </w:rPr>
              <w:t>用于残疾人事业的彩票公益金支出</w:t>
            </w:r>
          </w:p>
        </w:tc>
        <w:tc>
          <w:tcPr>
            <w:tcW w:w="1709" w:type="dxa"/>
            <w:vAlign w:val="top"/>
            <w:tcBorders>
              <w:right w:val="single" w:color="000000" w:sz="6" w:space="0"/>
            </w:tcBorders>
          </w:tcPr>
          <w:p>
            <w:pPr>
              <w:pStyle w:val="TableText"/>
              <w:ind w:left="1399"/>
              <w:spacing w:before="82" w:line="257" w:lineRule="exact"/>
              <w:rPr>
                <w:sz w:val="19"/>
                <w:szCs w:val="19"/>
              </w:rPr>
            </w:pPr>
            <w:r>
              <w:rPr>
                <w:sz w:val="19"/>
                <w:szCs w:val="19"/>
                <w:spacing w:val="2"/>
                <w:position w:val="1"/>
              </w:rPr>
              <w:t>40</w:t>
            </w:r>
          </w:p>
        </w:tc>
      </w:tr>
      <w:tr>
        <w:trPr>
          <w:trHeight w:val="350"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87" w:line="219" w:lineRule="auto"/>
              <w:rPr>
                <w:sz w:val="19"/>
                <w:szCs w:val="19"/>
              </w:rPr>
            </w:pPr>
            <w:r>
              <w:rPr>
                <w:sz w:val="19"/>
                <w:szCs w:val="19"/>
                <w:spacing w:val="9"/>
              </w:rPr>
              <w:t>用于文化事业的彩票公益金支出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17" w:line="218" w:lineRule="auto"/>
              <w:rPr>
                <w:sz w:val="19"/>
                <w:szCs w:val="19"/>
              </w:rPr>
            </w:pPr>
            <w:r>
              <w:rPr>
                <w:sz w:val="19"/>
                <w:szCs w:val="19"/>
                <w:spacing w:val="9"/>
              </w:rPr>
              <w:t>用于扶贫的彩票公益金支出</w:t>
            </w:r>
          </w:p>
        </w:tc>
        <w:tc>
          <w:tcPr>
            <w:tcW w:w="1709" w:type="dxa"/>
            <w:vAlign w:val="top"/>
            <w:tcBorders>
              <w:right w:val="single" w:color="000000" w:sz="6" w:space="0"/>
            </w:tcBorders>
          </w:tcPr>
          <w:p>
            <w:pPr>
              <w:rPr>
                <w:rFonts w:ascii="Arial"/>
                <w:sz w:val="21"/>
              </w:rPr>
            </w:pPr>
            <w:r/>
          </w:p>
        </w:tc>
      </w:tr>
      <w:tr>
        <w:trPr>
          <w:trHeight w:val="416" w:hRule="atLeast"/>
        </w:trPr>
        <w:tc>
          <w:tcPr>
            <w:tcW w:w="5381" w:type="dxa"/>
            <w:vAlign w:val="top"/>
            <w:tcBorders>
              <w:left w:val="single" w:color="000000" w:sz="6" w:space="0"/>
              <w:bottom w:val="single" w:color="000000" w:sz="6" w:space="0"/>
            </w:tcBorders>
          </w:tcPr>
          <w:p>
            <w:pPr>
              <w:rPr>
                <w:rFonts w:ascii="Arial"/>
                <w:sz w:val="21"/>
              </w:rPr>
            </w:pPr>
            <w:r/>
          </w:p>
        </w:tc>
        <w:tc>
          <w:tcPr>
            <w:tcW w:w="913" w:type="dxa"/>
            <w:vAlign w:val="top"/>
            <w:tcBorders>
              <w:bottom w:val="single" w:color="000000" w:sz="6" w:space="0"/>
            </w:tcBorders>
          </w:tcPr>
          <w:p>
            <w:pPr>
              <w:rPr>
                <w:rFonts w:ascii="Arial"/>
                <w:sz w:val="21"/>
              </w:rPr>
            </w:pPr>
            <w:r/>
          </w:p>
        </w:tc>
        <w:tc>
          <w:tcPr>
            <w:tcW w:w="5893" w:type="dxa"/>
            <w:vAlign w:val="top"/>
            <w:tcBorders>
              <w:bottom w:val="single" w:color="000000" w:sz="6" w:space="0"/>
            </w:tcBorders>
          </w:tcPr>
          <w:p>
            <w:pPr>
              <w:pStyle w:val="TableText"/>
              <w:ind w:left="706"/>
              <w:spacing w:before="118" w:line="218" w:lineRule="auto"/>
              <w:rPr>
                <w:sz w:val="19"/>
                <w:szCs w:val="19"/>
              </w:rPr>
            </w:pPr>
            <w:r>
              <w:rPr>
                <w:sz w:val="19"/>
                <w:szCs w:val="19"/>
                <w:spacing w:val="9"/>
              </w:rPr>
              <w:t>用于法律援助的彩票公益金支出</w:t>
            </w:r>
          </w:p>
        </w:tc>
        <w:tc>
          <w:tcPr>
            <w:tcW w:w="1709" w:type="dxa"/>
            <w:vAlign w:val="top"/>
            <w:tcBorders>
              <w:bottom w:val="single" w:color="000000" w:sz="6" w:space="0"/>
              <w:right w:val="single" w:color="000000" w:sz="6" w:space="0"/>
            </w:tcBorders>
          </w:tcPr>
          <w:p>
            <w:pPr>
              <w:rPr>
                <w:rFonts w:ascii="Arial"/>
                <w:sz w:val="21"/>
              </w:rPr>
            </w:pPr>
            <w:r/>
          </w:p>
        </w:tc>
      </w:tr>
    </w:tbl>
    <w:p>
      <w:pPr>
        <w:spacing w:line="62" w:lineRule="exact"/>
        <w:rPr>
          <w:rFonts w:ascii="Arial"/>
          <w:sz w:val="5"/>
        </w:rPr>
      </w:pPr>
      <w:r/>
    </w:p>
    <w:p>
      <w:pPr>
        <w:spacing w:line="62" w:lineRule="exact"/>
        <w:sectPr>
          <w:headerReference w:type="default" r:id="rId104"/>
          <w:footerReference w:type="default" r:id="rId133"/>
          <w:pgSz w:w="16839" w:h="11906"/>
          <w:pgMar w:top="1792" w:right="1463" w:bottom="1660" w:left="1463" w:header="1428" w:footer="1289" w:gutter="0"/>
        </w:sectPr>
        <w:rPr>
          <w:rFonts w:ascii="Arial" w:hAnsi="Arial" w:eastAsia="Arial" w:cs="Arial"/>
          <w:sz w:val="5"/>
          <w:szCs w:val="5"/>
        </w:rPr>
      </w:pPr>
    </w:p>
    <w:p>
      <w:pPr>
        <w:spacing w:line="192" w:lineRule="exact"/>
        <w:rPr/>
      </w:pPr>
      <w:r>
        <w:drawing>
          <wp:anchor distT="0" distB="0" distL="0" distR="0" simplePos="0" relativeHeight="251729920"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268" name="IM 268"/>
            <wp:cNvGraphicFramePr/>
            <a:graphic>
              <a:graphicData uri="http://schemas.openxmlformats.org/drawingml/2006/picture">
                <pic:pic>
                  <pic:nvPicPr>
                    <pic:cNvPr id="268" name="IM 268"/>
                    <pic:cNvPicPr/>
                  </pic:nvPicPr>
                  <pic:blipFill>
                    <a:blip r:embed="rId136"/>
                    <a:stretch>
                      <a:fillRect/>
                    </a:stretch>
                  </pic:blipFill>
                  <pic:spPr>
                    <a:xfrm rot="0">
                      <a:off x="0" y="0"/>
                      <a:ext cx="8712200" cy="7620"/>
                    </a:xfrm>
                    <a:prstGeom prst="rect">
                      <a:avLst/>
                    </a:prstGeom>
                  </pic:spPr>
                </pic:pic>
              </a:graphicData>
            </a:graphic>
          </wp:anchor>
        </w:drawing>
      </w: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381"/>
        <w:gridCol w:w="913"/>
        <w:gridCol w:w="5893"/>
        <w:gridCol w:w="1709"/>
      </w:tblGrid>
      <w:tr>
        <w:trPr>
          <w:trHeight w:val="443" w:hRule="atLeast"/>
        </w:trPr>
        <w:tc>
          <w:tcPr>
            <w:tcW w:w="6294" w:type="dxa"/>
            <w:vAlign w:val="top"/>
            <w:gridSpan w:val="2"/>
            <w:tcBorders>
              <w:left w:val="single" w:color="000000" w:sz="6" w:space="0"/>
              <w:top w:val="single" w:color="000000" w:sz="6" w:space="0"/>
            </w:tcBorders>
          </w:tcPr>
          <w:p>
            <w:pPr>
              <w:pStyle w:val="TableText"/>
              <w:ind w:left="2950"/>
              <w:spacing w:before="145" w:line="214" w:lineRule="auto"/>
              <w:rPr>
                <w:sz w:val="19"/>
                <w:szCs w:val="19"/>
              </w:rPr>
            </w:pPr>
            <w:r>
              <w:rPr>
                <w:sz w:val="19"/>
                <w:szCs w:val="19"/>
                <w:b/>
                <w:bCs/>
                <w:spacing w:val="2"/>
              </w:rPr>
              <w:t>收入</w:t>
            </w:r>
          </w:p>
        </w:tc>
        <w:tc>
          <w:tcPr>
            <w:tcW w:w="7602" w:type="dxa"/>
            <w:vAlign w:val="top"/>
            <w:gridSpan w:val="2"/>
            <w:tcBorders>
              <w:right w:val="single" w:color="000000" w:sz="6" w:space="0"/>
              <w:top w:val="single" w:color="000000" w:sz="6" w:space="0"/>
            </w:tcBorders>
          </w:tcPr>
          <w:p>
            <w:pPr>
              <w:pStyle w:val="TableText"/>
              <w:ind w:left="3599"/>
              <w:spacing w:before="143" w:line="219" w:lineRule="auto"/>
              <w:rPr>
                <w:sz w:val="19"/>
                <w:szCs w:val="19"/>
              </w:rPr>
            </w:pPr>
            <w:r>
              <w:rPr>
                <w:sz w:val="19"/>
                <w:szCs w:val="19"/>
                <w:b/>
                <w:bCs/>
                <w:spacing w:val="5"/>
              </w:rPr>
              <w:t>支出</w:t>
            </w:r>
          </w:p>
        </w:tc>
      </w:tr>
      <w:tr>
        <w:trPr>
          <w:trHeight w:val="395" w:hRule="atLeast"/>
        </w:trPr>
        <w:tc>
          <w:tcPr>
            <w:tcW w:w="5381" w:type="dxa"/>
            <w:vAlign w:val="top"/>
            <w:tcBorders>
              <w:left w:val="single" w:color="000000" w:sz="6" w:space="0"/>
            </w:tcBorders>
          </w:tcPr>
          <w:p>
            <w:pPr>
              <w:pStyle w:val="TableText"/>
              <w:ind w:left="2485"/>
              <w:spacing w:before="120" w:line="212" w:lineRule="auto"/>
              <w:rPr>
                <w:sz w:val="19"/>
                <w:szCs w:val="19"/>
              </w:rPr>
            </w:pPr>
            <w:r>
              <w:rPr>
                <w:sz w:val="19"/>
                <w:szCs w:val="19"/>
                <w:b/>
                <w:bCs/>
                <w:spacing w:val="6"/>
              </w:rPr>
              <w:t>项目</w:t>
            </w:r>
          </w:p>
        </w:tc>
        <w:tc>
          <w:tcPr>
            <w:tcW w:w="913" w:type="dxa"/>
            <w:vAlign w:val="top"/>
          </w:tcPr>
          <w:p>
            <w:pPr>
              <w:pStyle w:val="TableText"/>
              <w:ind w:left="158"/>
              <w:spacing w:before="115" w:line="221" w:lineRule="auto"/>
              <w:rPr>
                <w:sz w:val="19"/>
                <w:szCs w:val="19"/>
              </w:rPr>
            </w:pPr>
            <w:r>
              <w:rPr>
                <w:sz w:val="19"/>
                <w:szCs w:val="19"/>
                <w:b/>
                <w:bCs/>
                <w:spacing w:val="5"/>
              </w:rPr>
              <w:t>预算数</w:t>
            </w:r>
          </w:p>
        </w:tc>
        <w:tc>
          <w:tcPr>
            <w:tcW w:w="5893" w:type="dxa"/>
            <w:vAlign w:val="top"/>
          </w:tcPr>
          <w:p>
            <w:pPr>
              <w:pStyle w:val="TableText"/>
              <w:ind w:left="2748"/>
              <w:spacing w:before="120" w:line="212" w:lineRule="auto"/>
              <w:rPr>
                <w:sz w:val="19"/>
                <w:szCs w:val="19"/>
              </w:rPr>
            </w:pPr>
            <w:r>
              <w:rPr>
                <w:sz w:val="19"/>
                <w:szCs w:val="19"/>
                <w:b/>
                <w:bCs/>
                <w:spacing w:val="6"/>
              </w:rPr>
              <w:t>项目</w:t>
            </w:r>
          </w:p>
        </w:tc>
        <w:tc>
          <w:tcPr>
            <w:tcW w:w="1709" w:type="dxa"/>
            <w:vAlign w:val="top"/>
            <w:tcBorders>
              <w:right w:val="single" w:color="000000" w:sz="6" w:space="0"/>
            </w:tcBorders>
          </w:tcPr>
          <w:p>
            <w:pPr>
              <w:pStyle w:val="TableText"/>
              <w:ind w:left="557"/>
              <w:spacing w:before="115" w:line="221" w:lineRule="auto"/>
              <w:rPr>
                <w:sz w:val="19"/>
                <w:szCs w:val="19"/>
              </w:rPr>
            </w:pPr>
            <w:r>
              <w:rPr>
                <w:sz w:val="19"/>
                <w:szCs w:val="19"/>
                <w:b/>
                <w:bCs/>
                <w:spacing w:val="5"/>
              </w:rPr>
              <w:t>预算数</w:t>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03" w:line="219" w:lineRule="auto"/>
              <w:rPr>
                <w:sz w:val="19"/>
                <w:szCs w:val="19"/>
              </w:rPr>
            </w:pPr>
            <w:r>
              <w:rPr>
                <w:sz w:val="19"/>
                <w:szCs w:val="19"/>
                <w:spacing w:val="9"/>
              </w:rPr>
              <w:t>用于城乡医疗救助的彩票公益金支出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03" w:line="221" w:lineRule="auto"/>
              <w:rPr>
                <w:sz w:val="19"/>
                <w:szCs w:val="19"/>
              </w:rPr>
            </w:pPr>
            <w:r>
              <w:rPr>
                <w:sz w:val="19"/>
                <w:szCs w:val="19"/>
                <w:spacing w:val="9"/>
              </w:rPr>
              <w:t>用于其他社会公益事业的彩票公益金支出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108"/>
              <w:spacing w:before="103" w:line="225" w:lineRule="auto"/>
              <w:rPr>
                <w:sz w:val="19"/>
                <w:szCs w:val="19"/>
              </w:rPr>
            </w:pPr>
            <w:r>
              <w:rPr>
                <w:sz w:val="19"/>
                <w:szCs w:val="19"/>
                <w:spacing w:val="8"/>
              </w:rPr>
              <w:t>九、债务付息支出</w:t>
            </w:r>
          </w:p>
        </w:tc>
        <w:tc>
          <w:tcPr>
            <w:tcW w:w="1709" w:type="dxa"/>
            <w:vAlign w:val="top"/>
            <w:tcBorders>
              <w:right w:val="single" w:color="000000" w:sz="6" w:space="0"/>
            </w:tcBorders>
          </w:tcPr>
          <w:p>
            <w:pPr>
              <w:pStyle w:val="TableText"/>
              <w:ind w:left="1121"/>
              <w:spacing w:before="101" w:line="285" w:lineRule="exact"/>
              <w:rPr>
                <w:sz w:val="19"/>
                <w:szCs w:val="19"/>
              </w:rPr>
            </w:pPr>
            <w:r>
              <w:rPr>
                <w:sz w:val="19"/>
                <w:szCs w:val="19"/>
                <w:spacing w:val="-1"/>
                <w:position w:val="2"/>
              </w:rPr>
              <w:t>18355</w:t>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05" w:line="224" w:lineRule="auto"/>
              <w:rPr>
                <w:sz w:val="19"/>
                <w:szCs w:val="19"/>
              </w:rPr>
            </w:pPr>
            <w:r>
              <w:rPr>
                <w:sz w:val="19"/>
                <w:szCs w:val="19"/>
                <w:spacing w:val="9"/>
              </w:rPr>
              <w:t>海南省高等级公路车辆通行附加费债务付息支出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04" w:line="225" w:lineRule="auto"/>
              <w:rPr>
                <w:sz w:val="19"/>
                <w:szCs w:val="19"/>
              </w:rPr>
            </w:pPr>
            <w:r>
              <w:rPr>
                <w:sz w:val="19"/>
                <w:szCs w:val="19"/>
                <w:spacing w:val="9"/>
              </w:rPr>
              <w:t>港口建设费债务付息支出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26"/>
              <w:spacing w:before="105" w:line="225" w:lineRule="auto"/>
              <w:rPr>
                <w:sz w:val="19"/>
                <w:szCs w:val="19"/>
              </w:rPr>
            </w:pPr>
            <w:r>
              <w:rPr>
                <w:sz w:val="19"/>
                <w:szCs w:val="19"/>
                <w:spacing w:val="8"/>
              </w:rPr>
              <w:t>国家电影事业发展专项资金债务付息支出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26"/>
              <w:spacing w:before="107" w:line="225" w:lineRule="auto"/>
              <w:rPr>
                <w:sz w:val="19"/>
                <w:szCs w:val="19"/>
              </w:rPr>
            </w:pPr>
            <w:r>
              <w:rPr>
                <w:sz w:val="19"/>
                <w:szCs w:val="19"/>
                <w:spacing w:val="8"/>
              </w:rPr>
              <w:t>国有土地使用权出让金债务付息支出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2"/>
              <w:spacing w:before="108" w:line="225" w:lineRule="auto"/>
              <w:rPr>
                <w:sz w:val="19"/>
                <w:szCs w:val="19"/>
              </w:rPr>
            </w:pPr>
            <w:r>
              <w:rPr>
                <w:sz w:val="19"/>
                <w:szCs w:val="19"/>
                <w:spacing w:val="9"/>
              </w:rPr>
              <w:t>农业土地开发资金债务付息支出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10"/>
              <w:spacing w:before="108" w:line="225" w:lineRule="auto"/>
              <w:rPr>
                <w:sz w:val="19"/>
                <w:szCs w:val="19"/>
              </w:rPr>
            </w:pPr>
            <w:r>
              <w:rPr>
                <w:sz w:val="19"/>
                <w:szCs w:val="19"/>
                <w:spacing w:val="9"/>
              </w:rPr>
              <w:t>大中型水库库区基金债务付息支出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09" w:line="225" w:lineRule="auto"/>
              <w:rPr>
                <w:sz w:val="19"/>
                <w:szCs w:val="19"/>
              </w:rPr>
            </w:pPr>
            <w:r>
              <w:rPr>
                <w:sz w:val="19"/>
                <w:szCs w:val="19"/>
                <w:spacing w:val="9"/>
              </w:rPr>
              <w:t>城市基础设施配套费债务付息支出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111" w:line="225" w:lineRule="auto"/>
              <w:rPr>
                <w:sz w:val="19"/>
                <w:szCs w:val="19"/>
              </w:rPr>
            </w:pPr>
            <w:r>
              <w:rPr>
                <w:sz w:val="19"/>
                <w:szCs w:val="19"/>
                <w:spacing w:val="9"/>
              </w:rPr>
              <w:t>小型水库移民扶助基金债务付息支出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26"/>
              <w:spacing w:before="112" w:line="225" w:lineRule="auto"/>
              <w:rPr>
                <w:sz w:val="19"/>
                <w:szCs w:val="19"/>
              </w:rPr>
            </w:pPr>
            <w:r>
              <w:rPr>
                <w:sz w:val="19"/>
                <w:szCs w:val="19"/>
                <w:spacing w:val="8"/>
              </w:rPr>
              <w:t>国家重大水利工程建设基金债务付息支出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11"/>
              <w:spacing w:before="112" w:line="225" w:lineRule="auto"/>
              <w:rPr>
                <w:sz w:val="19"/>
                <w:szCs w:val="19"/>
              </w:rPr>
            </w:pPr>
            <w:r>
              <w:rPr>
                <w:sz w:val="19"/>
                <w:szCs w:val="19"/>
                <w:spacing w:val="8"/>
              </w:rPr>
              <w:t>车辆通行费债务付息支出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9"/>
              <w:spacing w:before="113" w:line="225" w:lineRule="auto"/>
              <w:rPr>
                <w:sz w:val="19"/>
                <w:szCs w:val="19"/>
              </w:rPr>
            </w:pPr>
            <w:r>
              <w:rPr>
                <w:sz w:val="19"/>
                <w:szCs w:val="19"/>
                <w:spacing w:val="9"/>
              </w:rPr>
              <w:t>污水处理费债务付息支出</w:t>
            </w:r>
          </w:p>
        </w:tc>
        <w:tc>
          <w:tcPr>
            <w:tcW w:w="1709" w:type="dxa"/>
            <w:vAlign w:val="top"/>
            <w:tcBorders>
              <w:right w:val="single" w:color="000000" w:sz="6" w:space="0"/>
            </w:tcBorders>
          </w:tcPr>
          <w:p>
            <w:pPr>
              <w:rPr>
                <w:rFonts w:ascii="Arial"/>
                <w:sz w:val="21"/>
              </w:rPr>
            </w:pPr>
            <w:r/>
          </w:p>
        </w:tc>
      </w:tr>
      <w:tr>
        <w:trPr>
          <w:trHeight w:val="406"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10"/>
              <w:spacing w:before="115" w:line="225" w:lineRule="auto"/>
              <w:rPr>
                <w:sz w:val="19"/>
                <w:szCs w:val="19"/>
              </w:rPr>
            </w:pPr>
            <w:r>
              <w:rPr>
                <w:sz w:val="19"/>
                <w:szCs w:val="19"/>
                <w:spacing w:val="9"/>
              </w:rPr>
              <w:t>土地储备专项债券付息支出</w:t>
            </w:r>
          </w:p>
        </w:tc>
        <w:tc>
          <w:tcPr>
            <w:tcW w:w="1709" w:type="dxa"/>
            <w:vAlign w:val="top"/>
            <w:tcBorders>
              <w:right w:val="single" w:color="000000" w:sz="6" w:space="0"/>
            </w:tcBorders>
          </w:tcPr>
          <w:p>
            <w:pPr>
              <w:rPr>
                <w:rFonts w:ascii="Arial"/>
                <w:sz w:val="21"/>
              </w:rPr>
            </w:pPr>
            <w:r/>
          </w:p>
        </w:tc>
      </w:tr>
      <w:tr>
        <w:trPr>
          <w:trHeight w:val="365"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95" w:line="224" w:lineRule="auto"/>
              <w:rPr>
                <w:sz w:val="19"/>
                <w:szCs w:val="19"/>
              </w:rPr>
            </w:pPr>
            <w:r>
              <w:rPr>
                <w:sz w:val="19"/>
                <w:szCs w:val="19"/>
                <w:spacing w:val="9"/>
              </w:rPr>
              <w:t>政府收费公路专项债券付息支出</w:t>
            </w:r>
          </w:p>
        </w:tc>
        <w:tc>
          <w:tcPr>
            <w:tcW w:w="1709" w:type="dxa"/>
            <w:vAlign w:val="top"/>
            <w:tcBorders>
              <w:right w:val="single" w:color="000000" w:sz="6" w:space="0"/>
            </w:tcBorders>
          </w:tcPr>
          <w:p>
            <w:pPr>
              <w:rPr>
                <w:rFonts w:ascii="Arial"/>
                <w:sz w:val="21"/>
              </w:rPr>
            </w:pPr>
            <w:r/>
          </w:p>
        </w:tc>
      </w:tr>
      <w:tr>
        <w:trPr>
          <w:trHeight w:val="375" w:hRule="atLeast"/>
        </w:trPr>
        <w:tc>
          <w:tcPr>
            <w:tcW w:w="5381" w:type="dxa"/>
            <w:vAlign w:val="top"/>
            <w:tcBorders>
              <w:left w:val="single" w:color="000000" w:sz="6" w:space="0"/>
              <w:bottom w:val="single" w:color="000000" w:sz="6" w:space="0"/>
            </w:tcBorders>
          </w:tcPr>
          <w:p>
            <w:pPr>
              <w:rPr>
                <w:rFonts w:ascii="Arial"/>
                <w:sz w:val="21"/>
              </w:rPr>
            </w:pPr>
            <w:r/>
          </w:p>
        </w:tc>
        <w:tc>
          <w:tcPr>
            <w:tcW w:w="913" w:type="dxa"/>
            <w:vAlign w:val="top"/>
            <w:tcBorders>
              <w:bottom w:val="single" w:color="000000" w:sz="6" w:space="0"/>
            </w:tcBorders>
          </w:tcPr>
          <w:p>
            <w:pPr>
              <w:rPr>
                <w:rFonts w:ascii="Arial"/>
                <w:sz w:val="21"/>
              </w:rPr>
            </w:pPr>
            <w:r/>
          </w:p>
        </w:tc>
        <w:tc>
          <w:tcPr>
            <w:tcW w:w="5893" w:type="dxa"/>
            <w:vAlign w:val="top"/>
            <w:tcBorders>
              <w:bottom w:val="single" w:color="000000" w:sz="6" w:space="0"/>
            </w:tcBorders>
          </w:tcPr>
          <w:p>
            <w:pPr>
              <w:pStyle w:val="TableText"/>
              <w:ind w:left="706"/>
              <w:spacing w:before="94" w:line="225" w:lineRule="auto"/>
              <w:rPr>
                <w:sz w:val="19"/>
                <w:szCs w:val="19"/>
              </w:rPr>
            </w:pPr>
            <w:r>
              <w:rPr>
                <w:sz w:val="19"/>
                <w:szCs w:val="19"/>
                <w:spacing w:val="9"/>
              </w:rPr>
              <w:t>棚户区改造专项债券付息支出</w:t>
            </w:r>
          </w:p>
        </w:tc>
        <w:tc>
          <w:tcPr>
            <w:tcW w:w="1709"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61"/>
          <w:footerReference w:type="default" r:id="rId135"/>
          <w:pgSz w:w="16839" w:h="11906"/>
          <w:pgMar w:top="1792" w:right="1463" w:bottom="1671" w:left="1463" w:header="1428" w:footer="1277" w:gutter="0"/>
        </w:sectPr>
        <w:rPr>
          <w:rFonts w:ascii="Arial" w:hAnsi="Arial" w:eastAsia="Arial" w:cs="Arial"/>
          <w:sz w:val="21"/>
          <w:szCs w:val="21"/>
        </w:rPr>
      </w:pPr>
    </w:p>
    <w:p>
      <w:pPr>
        <w:spacing w:line="192" w:lineRule="exact"/>
        <w:rPr/>
      </w:pPr>
      <w:r>
        <w:drawing>
          <wp:anchor distT="0" distB="0" distL="0" distR="0" simplePos="0" relativeHeight="251731968"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272" name="IM 272"/>
            <wp:cNvGraphicFramePr/>
            <a:graphic>
              <a:graphicData uri="http://schemas.openxmlformats.org/drawingml/2006/picture">
                <pic:pic>
                  <pic:nvPicPr>
                    <pic:cNvPr id="272" name="IM 272"/>
                    <pic:cNvPicPr/>
                  </pic:nvPicPr>
                  <pic:blipFill>
                    <a:blip r:embed="rId138"/>
                    <a:stretch>
                      <a:fillRect/>
                    </a:stretch>
                  </pic:blipFill>
                  <pic:spPr>
                    <a:xfrm rot="0">
                      <a:off x="0" y="0"/>
                      <a:ext cx="8712200" cy="7620"/>
                    </a:xfrm>
                    <a:prstGeom prst="rect">
                      <a:avLst/>
                    </a:prstGeom>
                  </pic:spPr>
                </pic:pic>
              </a:graphicData>
            </a:graphic>
          </wp:anchor>
        </w:drawing>
      </w: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381"/>
        <w:gridCol w:w="913"/>
        <w:gridCol w:w="5893"/>
        <w:gridCol w:w="1709"/>
      </w:tblGrid>
      <w:tr>
        <w:trPr>
          <w:trHeight w:val="443" w:hRule="atLeast"/>
        </w:trPr>
        <w:tc>
          <w:tcPr>
            <w:tcW w:w="6294" w:type="dxa"/>
            <w:vAlign w:val="top"/>
            <w:gridSpan w:val="2"/>
            <w:tcBorders>
              <w:left w:val="single" w:color="000000" w:sz="6" w:space="0"/>
              <w:top w:val="single" w:color="000000" w:sz="6" w:space="0"/>
            </w:tcBorders>
          </w:tcPr>
          <w:p>
            <w:pPr>
              <w:pStyle w:val="TableText"/>
              <w:ind w:left="2950"/>
              <w:spacing w:before="145" w:line="214" w:lineRule="auto"/>
              <w:rPr>
                <w:sz w:val="19"/>
                <w:szCs w:val="19"/>
              </w:rPr>
            </w:pPr>
            <w:r>
              <w:rPr>
                <w:sz w:val="19"/>
                <w:szCs w:val="19"/>
                <w:b/>
                <w:bCs/>
                <w:spacing w:val="2"/>
              </w:rPr>
              <w:t>收入</w:t>
            </w:r>
          </w:p>
        </w:tc>
        <w:tc>
          <w:tcPr>
            <w:tcW w:w="7602" w:type="dxa"/>
            <w:vAlign w:val="top"/>
            <w:gridSpan w:val="2"/>
            <w:tcBorders>
              <w:right w:val="single" w:color="000000" w:sz="6" w:space="0"/>
              <w:top w:val="single" w:color="000000" w:sz="6" w:space="0"/>
            </w:tcBorders>
          </w:tcPr>
          <w:p>
            <w:pPr>
              <w:pStyle w:val="TableText"/>
              <w:ind w:left="3599"/>
              <w:spacing w:before="143" w:line="219" w:lineRule="auto"/>
              <w:rPr>
                <w:sz w:val="19"/>
                <w:szCs w:val="19"/>
              </w:rPr>
            </w:pPr>
            <w:r>
              <w:rPr>
                <w:sz w:val="19"/>
                <w:szCs w:val="19"/>
                <w:b/>
                <w:bCs/>
                <w:spacing w:val="5"/>
              </w:rPr>
              <w:t>支出</w:t>
            </w:r>
          </w:p>
        </w:tc>
      </w:tr>
      <w:tr>
        <w:trPr>
          <w:trHeight w:val="394" w:hRule="atLeast"/>
        </w:trPr>
        <w:tc>
          <w:tcPr>
            <w:tcW w:w="5381" w:type="dxa"/>
            <w:vAlign w:val="top"/>
            <w:tcBorders>
              <w:left w:val="single" w:color="000000" w:sz="6" w:space="0"/>
            </w:tcBorders>
          </w:tcPr>
          <w:p>
            <w:pPr>
              <w:pStyle w:val="TableText"/>
              <w:ind w:left="2485"/>
              <w:spacing w:before="120" w:line="212" w:lineRule="auto"/>
              <w:rPr>
                <w:sz w:val="19"/>
                <w:szCs w:val="19"/>
              </w:rPr>
            </w:pPr>
            <w:r>
              <w:rPr>
                <w:sz w:val="19"/>
                <w:szCs w:val="19"/>
                <w:b/>
                <w:bCs/>
                <w:spacing w:val="6"/>
              </w:rPr>
              <w:t>项目</w:t>
            </w:r>
          </w:p>
        </w:tc>
        <w:tc>
          <w:tcPr>
            <w:tcW w:w="913" w:type="dxa"/>
            <w:vAlign w:val="top"/>
          </w:tcPr>
          <w:p>
            <w:pPr>
              <w:pStyle w:val="TableText"/>
              <w:ind w:left="158"/>
              <w:spacing w:before="115" w:line="221" w:lineRule="auto"/>
              <w:rPr>
                <w:sz w:val="19"/>
                <w:szCs w:val="19"/>
              </w:rPr>
            </w:pPr>
            <w:r>
              <w:rPr>
                <w:sz w:val="19"/>
                <w:szCs w:val="19"/>
                <w:b/>
                <w:bCs/>
                <w:spacing w:val="5"/>
              </w:rPr>
              <w:t>预算数</w:t>
            </w:r>
          </w:p>
        </w:tc>
        <w:tc>
          <w:tcPr>
            <w:tcW w:w="5893" w:type="dxa"/>
            <w:vAlign w:val="top"/>
          </w:tcPr>
          <w:p>
            <w:pPr>
              <w:pStyle w:val="TableText"/>
              <w:ind w:left="2748"/>
              <w:spacing w:before="120" w:line="212" w:lineRule="auto"/>
              <w:rPr>
                <w:sz w:val="19"/>
                <w:szCs w:val="19"/>
              </w:rPr>
            </w:pPr>
            <w:r>
              <w:rPr>
                <w:sz w:val="19"/>
                <w:szCs w:val="19"/>
                <w:b/>
                <w:bCs/>
                <w:spacing w:val="6"/>
              </w:rPr>
              <w:t>项目</w:t>
            </w:r>
          </w:p>
        </w:tc>
        <w:tc>
          <w:tcPr>
            <w:tcW w:w="1709" w:type="dxa"/>
            <w:vAlign w:val="top"/>
            <w:tcBorders>
              <w:right w:val="single" w:color="000000" w:sz="6" w:space="0"/>
            </w:tcBorders>
          </w:tcPr>
          <w:p>
            <w:pPr>
              <w:pStyle w:val="TableText"/>
              <w:ind w:left="557"/>
              <w:spacing w:before="115" w:line="221" w:lineRule="auto"/>
              <w:rPr>
                <w:sz w:val="19"/>
                <w:szCs w:val="19"/>
              </w:rPr>
            </w:pPr>
            <w:r>
              <w:rPr>
                <w:sz w:val="19"/>
                <w:szCs w:val="19"/>
                <w:b/>
                <w:bCs/>
                <w:spacing w:val="5"/>
              </w:rPr>
              <w:t>预算数</w:t>
            </w:r>
          </w:p>
        </w:tc>
      </w:tr>
      <w:tr>
        <w:trPr>
          <w:trHeight w:val="365"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82" w:line="225" w:lineRule="auto"/>
              <w:rPr>
                <w:sz w:val="19"/>
                <w:szCs w:val="19"/>
              </w:rPr>
            </w:pPr>
            <w:r>
              <w:rPr>
                <w:sz w:val="19"/>
                <w:szCs w:val="19"/>
                <w:spacing w:val="9"/>
              </w:rPr>
              <w:t>其他地方自行试点项目收益专项债券付息支出</w:t>
            </w:r>
          </w:p>
        </w:tc>
        <w:tc>
          <w:tcPr>
            <w:tcW w:w="1709" w:type="dxa"/>
            <w:vAlign w:val="top"/>
            <w:tcBorders>
              <w:right w:val="single" w:color="000000" w:sz="6" w:space="0"/>
            </w:tcBorders>
          </w:tcPr>
          <w:p>
            <w:pPr>
              <w:rPr>
                <w:rFonts w:ascii="Arial"/>
                <w:sz w:val="21"/>
              </w:rPr>
            </w:pPr>
            <w:r/>
          </w:p>
        </w:tc>
      </w:tr>
      <w:tr>
        <w:trPr>
          <w:trHeight w:val="364"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81" w:line="224" w:lineRule="auto"/>
              <w:rPr>
                <w:sz w:val="19"/>
                <w:szCs w:val="19"/>
              </w:rPr>
            </w:pPr>
            <w:r>
              <w:rPr>
                <w:sz w:val="19"/>
                <w:szCs w:val="19"/>
                <w:spacing w:val="9"/>
              </w:rPr>
              <w:t>其他政府性基金债务付息支出</w:t>
            </w:r>
          </w:p>
        </w:tc>
        <w:tc>
          <w:tcPr>
            <w:tcW w:w="1709" w:type="dxa"/>
            <w:vAlign w:val="top"/>
            <w:tcBorders>
              <w:right w:val="single" w:color="000000" w:sz="6" w:space="0"/>
            </w:tcBorders>
          </w:tcPr>
          <w:p>
            <w:pPr>
              <w:pStyle w:val="TableText"/>
              <w:ind w:left="1121"/>
              <w:spacing w:before="79" w:line="275" w:lineRule="exact"/>
              <w:rPr>
                <w:sz w:val="19"/>
                <w:szCs w:val="19"/>
              </w:rPr>
            </w:pPr>
            <w:r>
              <w:rPr>
                <w:sz w:val="19"/>
                <w:szCs w:val="19"/>
                <w:spacing w:val="-1"/>
                <w:position w:val="2"/>
              </w:rPr>
              <w:t>18355</w:t>
            </w:r>
          </w:p>
        </w:tc>
      </w:tr>
      <w:tr>
        <w:trPr>
          <w:trHeight w:val="365"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113"/>
              <w:spacing w:before="84" w:line="221" w:lineRule="auto"/>
              <w:rPr>
                <w:sz w:val="19"/>
                <w:szCs w:val="19"/>
              </w:rPr>
            </w:pPr>
            <w:r>
              <w:rPr>
                <w:sz w:val="19"/>
                <w:szCs w:val="19"/>
                <w:spacing w:val="8"/>
              </w:rPr>
              <w:t>十、债务发行费用支出</w:t>
            </w:r>
          </w:p>
        </w:tc>
        <w:tc>
          <w:tcPr>
            <w:tcW w:w="1709" w:type="dxa"/>
            <w:vAlign w:val="top"/>
            <w:tcBorders>
              <w:right w:val="single" w:color="000000" w:sz="6" w:space="0"/>
            </w:tcBorders>
          </w:tcPr>
          <w:p>
            <w:pPr>
              <w:rPr>
                <w:rFonts w:ascii="Arial"/>
                <w:sz w:val="21"/>
              </w:rPr>
            </w:pPr>
            <w:r/>
          </w:p>
        </w:tc>
      </w:tr>
      <w:tr>
        <w:trPr>
          <w:trHeight w:val="364"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82" w:line="222" w:lineRule="auto"/>
              <w:rPr>
                <w:sz w:val="19"/>
                <w:szCs w:val="19"/>
              </w:rPr>
            </w:pPr>
            <w:r>
              <w:rPr>
                <w:sz w:val="19"/>
                <w:szCs w:val="19"/>
                <w:spacing w:val="9"/>
              </w:rPr>
              <w:t>海南省高等级公路车辆通行附加费债务发行费用支出</w:t>
            </w:r>
          </w:p>
        </w:tc>
        <w:tc>
          <w:tcPr>
            <w:tcW w:w="1709" w:type="dxa"/>
            <w:vAlign w:val="top"/>
            <w:tcBorders>
              <w:right w:val="single" w:color="000000" w:sz="6" w:space="0"/>
            </w:tcBorders>
          </w:tcPr>
          <w:p>
            <w:pPr>
              <w:rPr>
                <w:rFonts w:ascii="Arial"/>
                <w:sz w:val="21"/>
              </w:rPr>
            </w:pPr>
            <w:r/>
          </w:p>
        </w:tc>
      </w:tr>
      <w:tr>
        <w:trPr>
          <w:trHeight w:val="365"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84" w:line="224" w:lineRule="auto"/>
              <w:rPr>
                <w:sz w:val="19"/>
                <w:szCs w:val="19"/>
              </w:rPr>
            </w:pPr>
            <w:r>
              <w:rPr>
                <w:sz w:val="19"/>
                <w:szCs w:val="19"/>
                <w:spacing w:val="9"/>
              </w:rPr>
              <w:t>港口建设费债务发行费用支出</w:t>
            </w:r>
          </w:p>
        </w:tc>
        <w:tc>
          <w:tcPr>
            <w:tcW w:w="1709" w:type="dxa"/>
            <w:vAlign w:val="top"/>
            <w:tcBorders>
              <w:right w:val="single" w:color="000000" w:sz="6" w:space="0"/>
            </w:tcBorders>
          </w:tcPr>
          <w:p>
            <w:pPr>
              <w:rPr>
                <w:rFonts w:ascii="Arial"/>
                <w:sz w:val="21"/>
              </w:rPr>
            </w:pPr>
            <w:r/>
          </w:p>
        </w:tc>
      </w:tr>
      <w:tr>
        <w:trPr>
          <w:trHeight w:val="364"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26"/>
              <w:spacing w:before="85" w:line="223" w:lineRule="auto"/>
              <w:rPr>
                <w:sz w:val="19"/>
                <w:szCs w:val="19"/>
              </w:rPr>
            </w:pPr>
            <w:r>
              <w:rPr>
                <w:sz w:val="19"/>
                <w:szCs w:val="19"/>
                <w:spacing w:val="8"/>
              </w:rPr>
              <w:t>国家电影事业发展专项资金债务发行费用支出</w:t>
            </w:r>
          </w:p>
        </w:tc>
        <w:tc>
          <w:tcPr>
            <w:tcW w:w="1709" w:type="dxa"/>
            <w:vAlign w:val="top"/>
            <w:tcBorders>
              <w:right w:val="single" w:color="000000" w:sz="6" w:space="0"/>
            </w:tcBorders>
          </w:tcPr>
          <w:p>
            <w:pPr>
              <w:rPr>
                <w:rFonts w:ascii="Arial"/>
                <w:sz w:val="21"/>
              </w:rPr>
            </w:pPr>
            <w:r/>
          </w:p>
        </w:tc>
      </w:tr>
      <w:tr>
        <w:trPr>
          <w:trHeight w:val="365"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26"/>
              <w:spacing w:before="84" w:line="223" w:lineRule="auto"/>
              <w:rPr>
                <w:sz w:val="19"/>
                <w:szCs w:val="19"/>
              </w:rPr>
            </w:pPr>
            <w:r>
              <w:rPr>
                <w:sz w:val="19"/>
                <w:szCs w:val="19"/>
                <w:spacing w:val="8"/>
              </w:rPr>
              <w:t>国有土地使用权出让金债务发行费用支出</w:t>
            </w:r>
          </w:p>
        </w:tc>
        <w:tc>
          <w:tcPr>
            <w:tcW w:w="1709" w:type="dxa"/>
            <w:vAlign w:val="top"/>
            <w:tcBorders>
              <w:right w:val="single" w:color="000000" w:sz="6" w:space="0"/>
            </w:tcBorders>
          </w:tcPr>
          <w:p>
            <w:pPr>
              <w:rPr>
                <w:rFonts w:ascii="Arial"/>
                <w:sz w:val="21"/>
              </w:rPr>
            </w:pPr>
            <w:r/>
          </w:p>
        </w:tc>
      </w:tr>
      <w:tr>
        <w:trPr>
          <w:trHeight w:val="364"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2"/>
              <w:spacing w:before="85" w:line="222" w:lineRule="auto"/>
              <w:rPr>
                <w:sz w:val="19"/>
                <w:szCs w:val="19"/>
              </w:rPr>
            </w:pPr>
            <w:r>
              <w:rPr>
                <w:sz w:val="19"/>
                <w:szCs w:val="19"/>
                <w:spacing w:val="9"/>
              </w:rPr>
              <w:t>农业土地开发资金债务发行费用支出</w:t>
            </w:r>
          </w:p>
        </w:tc>
        <w:tc>
          <w:tcPr>
            <w:tcW w:w="1709" w:type="dxa"/>
            <w:vAlign w:val="top"/>
            <w:tcBorders>
              <w:right w:val="single" w:color="000000" w:sz="6" w:space="0"/>
            </w:tcBorders>
          </w:tcPr>
          <w:p>
            <w:pPr>
              <w:rPr>
                <w:rFonts w:ascii="Arial"/>
                <w:sz w:val="21"/>
              </w:rPr>
            </w:pPr>
            <w:r/>
          </w:p>
        </w:tc>
      </w:tr>
      <w:tr>
        <w:trPr>
          <w:trHeight w:val="364"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10"/>
              <w:spacing w:before="88" w:line="222" w:lineRule="auto"/>
              <w:rPr>
                <w:sz w:val="19"/>
                <w:szCs w:val="19"/>
              </w:rPr>
            </w:pPr>
            <w:r>
              <w:rPr>
                <w:sz w:val="19"/>
                <w:szCs w:val="19"/>
                <w:spacing w:val="9"/>
              </w:rPr>
              <w:t>大中型水库库区基金债务发行费用支出</w:t>
            </w:r>
          </w:p>
        </w:tc>
        <w:tc>
          <w:tcPr>
            <w:tcW w:w="1709" w:type="dxa"/>
            <w:vAlign w:val="top"/>
            <w:tcBorders>
              <w:right w:val="single" w:color="000000" w:sz="6" w:space="0"/>
            </w:tcBorders>
          </w:tcPr>
          <w:p>
            <w:pPr>
              <w:rPr>
                <w:rFonts w:ascii="Arial"/>
                <w:sz w:val="21"/>
              </w:rPr>
            </w:pPr>
            <w:r/>
          </w:p>
        </w:tc>
      </w:tr>
      <w:tr>
        <w:trPr>
          <w:trHeight w:val="364"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88" w:line="222" w:lineRule="auto"/>
              <w:rPr>
                <w:sz w:val="19"/>
                <w:szCs w:val="19"/>
              </w:rPr>
            </w:pPr>
            <w:r>
              <w:rPr>
                <w:sz w:val="19"/>
                <w:szCs w:val="19"/>
                <w:spacing w:val="9"/>
              </w:rPr>
              <w:t>城市基础设施配套费债务发行费用支出</w:t>
            </w:r>
          </w:p>
        </w:tc>
        <w:tc>
          <w:tcPr>
            <w:tcW w:w="1709" w:type="dxa"/>
            <w:vAlign w:val="top"/>
            <w:tcBorders>
              <w:right w:val="single" w:color="000000" w:sz="6" w:space="0"/>
            </w:tcBorders>
          </w:tcPr>
          <w:p>
            <w:pPr>
              <w:rPr>
                <w:rFonts w:ascii="Arial"/>
                <w:sz w:val="21"/>
              </w:rPr>
            </w:pPr>
            <w:r/>
          </w:p>
        </w:tc>
      </w:tr>
      <w:tr>
        <w:trPr>
          <w:trHeight w:val="364"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88" w:line="222" w:lineRule="auto"/>
              <w:rPr>
                <w:sz w:val="19"/>
                <w:szCs w:val="19"/>
              </w:rPr>
            </w:pPr>
            <w:r>
              <w:rPr>
                <w:sz w:val="19"/>
                <w:szCs w:val="19"/>
                <w:spacing w:val="9"/>
              </w:rPr>
              <w:t>小型水库移民扶助基金债务发行费用支出</w:t>
            </w:r>
          </w:p>
        </w:tc>
        <w:tc>
          <w:tcPr>
            <w:tcW w:w="1709" w:type="dxa"/>
            <w:vAlign w:val="top"/>
            <w:tcBorders>
              <w:right w:val="single" w:color="000000" w:sz="6" w:space="0"/>
            </w:tcBorders>
          </w:tcPr>
          <w:p>
            <w:pPr>
              <w:rPr>
                <w:rFonts w:ascii="Arial"/>
                <w:sz w:val="21"/>
              </w:rPr>
            </w:pPr>
            <w:r/>
          </w:p>
        </w:tc>
      </w:tr>
      <w:tr>
        <w:trPr>
          <w:trHeight w:val="364"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26"/>
              <w:spacing w:before="87" w:line="224" w:lineRule="auto"/>
              <w:rPr>
                <w:sz w:val="19"/>
                <w:szCs w:val="19"/>
              </w:rPr>
            </w:pPr>
            <w:r>
              <w:rPr>
                <w:sz w:val="19"/>
                <w:szCs w:val="19"/>
                <w:spacing w:val="8"/>
              </w:rPr>
              <w:t>国家重大水利工程建设基金债务发行费用支出</w:t>
            </w:r>
          </w:p>
        </w:tc>
        <w:tc>
          <w:tcPr>
            <w:tcW w:w="1709" w:type="dxa"/>
            <w:vAlign w:val="top"/>
            <w:tcBorders>
              <w:right w:val="single" w:color="000000" w:sz="6" w:space="0"/>
            </w:tcBorders>
          </w:tcPr>
          <w:p>
            <w:pPr>
              <w:rPr>
                <w:rFonts w:ascii="Arial"/>
                <w:sz w:val="21"/>
              </w:rPr>
            </w:pPr>
            <w:r/>
          </w:p>
        </w:tc>
      </w:tr>
      <w:tr>
        <w:trPr>
          <w:trHeight w:val="364"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11"/>
              <w:spacing w:before="93" w:line="221" w:lineRule="auto"/>
              <w:rPr>
                <w:sz w:val="19"/>
                <w:szCs w:val="19"/>
              </w:rPr>
            </w:pPr>
            <w:r>
              <w:rPr>
                <w:sz w:val="19"/>
                <w:szCs w:val="19"/>
                <w:spacing w:val="9"/>
              </w:rPr>
              <w:t>车辆通行费债务发行费用支出</w:t>
            </w:r>
          </w:p>
        </w:tc>
        <w:tc>
          <w:tcPr>
            <w:tcW w:w="1709" w:type="dxa"/>
            <w:vAlign w:val="top"/>
            <w:tcBorders>
              <w:right w:val="single" w:color="000000" w:sz="6" w:space="0"/>
            </w:tcBorders>
          </w:tcPr>
          <w:p>
            <w:pPr>
              <w:rPr>
                <w:rFonts w:ascii="Arial"/>
                <w:sz w:val="21"/>
              </w:rPr>
            </w:pPr>
            <w:r/>
          </w:p>
        </w:tc>
      </w:tr>
      <w:tr>
        <w:trPr>
          <w:trHeight w:val="364"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9"/>
              <w:spacing w:before="93" w:line="221" w:lineRule="auto"/>
              <w:rPr>
                <w:sz w:val="19"/>
                <w:szCs w:val="19"/>
              </w:rPr>
            </w:pPr>
            <w:r>
              <w:rPr>
                <w:sz w:val="19"/>
                <w:szCs w:val="19"/>
                <w:spacing w:val="9"/>
              </w:rPr>
              <w:t>污水处理费债务发行费用支出</w:t>
            </w:r>
          </w:p>
        </w:tc>
        <w:tc>
          <w:tcPr>
            <w:tcW w:w="1709" w:type="dxa"/>
            <w:vAlign w:val="top"/>
            <w:tcBorders>
              <w:right w:val="single" w:color="000000" w:sz="6" w:space="0"/>
            </w:tcBorders>
          </w:tcPr>
          <w:p>
            <w:pPr>
              <w:rPr>
                <w:rFonts w:ascii="Arial"/>
                <w:sz w:val="21"/>
              </w:rPr>
            </w:pPr>
            <w:r/>
          </w:p>
        </w:tc>
      </w:tr>
      <w:tr>
        <w:trPr>
          <w:trHeight w:val="364"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10"/>
              <w:spacing w:before="92" w:line="223" w:lineRule="auto"/>
              <w:rPr>
                <w:sz w:val="19"/>
                <w:szCs w:val="19"/>
              </w:rPr>
            </w:pPr>
            <w:r>
              <w:rPr>
                <w:sz w:val="19"/>
                <w:szCs w:val="19"/>
                <w:spacing w:val="9"/>
              </w:rPr>
              <w:t>土地储备专项债券发行费用支出</w:t>
            </w:r>
          </w:p>
        </w:tc>
        <w:tc>
          <w:tcPr>
            <w:tcW w:w="1709" w:type="dxa"/>
            <w:vAlign w:val="top"/>
            <w:tcBorders>
              <w:right w:val="single" w:color="000000" w:sz="6" w:space="0"/>
            </w:tcBorders>
          </w:tcPr>
          <w:p>
            <w:pPr>
              <w:rPr>
                <w:rFonts w:ascii="Arial"/>
                <w:sz w:val="21"/>
              </w:rPr>
            </w:pPr>
            <w:r/>
          </w:p>
        </w:tc>
      </w:tr>
      <w:tr>
        <w:trPr>
          <w:trHeight w:val="364"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93" w:line="222" w:lineRule="auto"/>
              <w:rPr>
                <w:sz w:val="19"/>
                <w:szCs w:val="19"/>
              </w:rPr>
            </w:pPr>
            <w:r>
              <w:rPr>
                <w:sz w:val="19"/>
                <w:szCs w:val="19"/>
                <w:spacing w:val="9"/>
              </w:rPr>
              <w:t>政府收费公路专项债券发行费用支出</w:t>
            </w:r>
          </w:p>
        </w:tc>
        <w:tc>
          <w:tcPr>
            <w:tcW w:w="1709" w:type="dxa"/>
            <w:vAlign w:val="top"/>
            <w:tcBorders>
              <w:right w:val="single" w:color="000000" w:sz="6" w:space="0"/>
            </w:tcBorders>
          </w:tcPr>
          <w:p>
            <w:pPr>
              <w:rPr>
                <w:rFonts w:ascii="Arial"/>
                <w:sz w:val="21"/>
              </w:rPr>
            </w:pPr>
            <w:r/>
          </w:p>
        </w:tc>
      </w:tr>
      <w:tr>
        <w:trPr>
          <w:trHeight w:val="365"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6"/>
              <w:spacing w:before="95" w:line="223" w:lineRule="auto"/>
              <w:rPr>
                <w:sz w:val="19"/>
                <w:szCs w:val="19"/>
              </w:rPr>
            </w:pPr>
            <w:r>
              <w:rPr>
                <w:sz w:val="19"/>
                <w:szCs w:val="19"/>
                <w:spacing w:val="9"/>
              </w:rPr>
              <w:t>棚户区改造专项债券发行费用支出</w:t>
            </w:r>
          </w:p>
        </w:tc>
        <w:tc>
          <w:tcPr>
            <w:tcW w:w="1709" w:type="dxa"/>
            <w:vAlign w:val="top"/>
            <w:tcBorders>
              <w:right w:val="single" w:color="000000" w:sz="6" w:space="0"/>
            </w:tcBorders>
          </w:tcPr>
          <w:p>
            <w:pPr>
              <w:rPr>
                <w:rFonts w:ascii="Arial"/>
                <w:sz w:val="21"/>
              </w:rPr>
            </w:pPr>
            <w:r/>
          </w:p>
        </w:tc>
      </w:tr>
      <w:tr>
        <w:trPr>
          <w:trHeight w:val="384" w:hRule="atLeast"/>
        </w:trPr>
        <w:tc>
          <w:tcPr>
            <w:tcW w:w="5381" w:type="dxa"/>
            <w:vAlign w:val="top"/>
            <w:tcBorders>
              <w:left w:val="single" w:color="000000" w:sz="6" w:space="0"/>
            </w:tcBorders>
          </w:tcPr>
          <w:p>
            <w:pPr>
              <w:rPr>
                <w:rFonts w:ascii="Arial"/>
                <w:sz w:val="21"/>
              </w:rPr>
            </w:pPr>
            <w:r/>
          </w:p>
        </w:tc>
        <w:tc>
          <w:tcPr>
            <w:tcW w:w="913" w:type="dxa"/>
            <w:vAlign w:val="top"/>
          </w:tcPr>
          <w:p>
            <w:pPr>
              <w:rPr>
                <w:rFonts w:ascii="Arial"/>
                <w:sz w:val="21"/>
              </w:rPr>
            </w:pPr>
            <w:r/>
          </w:p>
        </w:tc>
        <w:tc>
          <w:tcPr>
            <w:tcW w:w="5893" w:type="dxa"/>
            <w:vAlign w:val="top"/>
          </w:tcPr>
          <w:p>
            <w:pPr>
              <w:pStyle w:val="TableText"/>
              <w:ind w:left="705"/>
              <w:spacing w:before="104" w:line="224" w:lineRule="auto"/>
              <w:rPr>
                <w:sz w:val="19"/>
                <w:szCs w:val="19"/>
              </w:rPr>
            </w:pPr>
            <w:r>
              <w:rPr>
                <w:sz w:val="19"/>
                <w:szCs w:val="19"/>
                <w:spacing w:val="9"/>
              </w:rPr>
              <w:t>其他地方自行试点项目收益专项债务发行费用支出</w:t>
            </w:r>
          </w:p>
        </w:tc>
        <w:tc>
          <w:tcPr>
            <w:tcW w:w="1709" w:type="dxa"/>
            <w:vAlign w:val="top"/>
            <w:tcBorders>
              <w:right w:val="single" w:color="000000" w:sz="6" w:space="0"/>
            </w:tcBorders>
          </w:tcPr>
          <w:p>
            <w:pPr>
              <w:rPr>
                <w:rFonts w:ascii="Arial"/>
                <w:sz w:val="21"/>
              </w:rPr>
            </w:pPr>
            <w:r/>
          </w:p>
        </w:tc>
      </w:tr>
      <w:tr>
        <w:trPr>
          <w:trHeight w:val="396" w:hRule="atLeast"/>
        </w:trPr>
        <w:tc>
          <w:tcPr>
            <w:tcW w:w="5381" w:type="dxa"/>
            <w:vAlign w:val="top"/>
            <w:tcBorders>
              <w:left w:val="single" w:color="000000" w:sz="6" w:space="0"/>
              <w:bottom w:val="single" w:color="000000" w:sz="6" w:space="0"/>
            </w:tcBorders>
          </w:tcPr>
          <w:p>
            <w:pPr>
              <w:rPr>
                <w:rFonts w:ascii="Arial"/>
                <w:sz w:val="21"/>
              </w:rPr>
            </w:pPr>
            <w:r/>
          </w:p>
        </w:tc>
        <w:tc>
          <w:tcPr>
            <w:tcW w:w="913" w:type="dxa"/>
            <w:vAlign w:val="top"/>
            <w:tcBorders>
              <w:bottom w:val="single" w:color="000000" w:sz="6" w:space="0"/>
            </w:tcBorders>
          </w:tcPr>
          <w:p>
            <w:pPr>
              <w:rPr>
                <w:rFonts w:ascii="Arial"/>
                <w:sz w:val="21"/>
              </w:rPr>
            </w:pPr>
            <w:r/>
          </w:p>
        </w:tc>
        <w:tc>
          <w:tcPr>
            <w:tcW w:w="5893" w:type="dxa"/>
            <w:vAlign w:val="top"/>
            <w:tcBorders>
              <w:bottom w:val="single" w:color="000000" w:sz="6" w:space="0"/>
            </w:tcBorders>
          </w:tcPr>
          <w:p>
            <w:pPr>
              <w:pStyle w:val="TableText"/>
              <w:ind w:left="705"/>
              <w:spacing w:before="106" w:line="222" w:lineRule="auto"/>
              <w:rPr>
                <w:sz w:val="19"/>
                <w:szCs w:val="19"/>
              </w:rPr>
            </w:pPr>
            <w:r>
              <w:rPr>
                <w:sz w:val="19"/>
                <w:szCs w:val="19"/>
                <w:spacing w:val="9"/>
              </w:rPr>
              <w:t>其他政府性基金债务发行费用支出</w:t>
            </w:r>
          </w:p>
        </w:tc>
        <w:tc>
          <w:tcPr>
            <w:tcW w:w="1709" w:type="dxa"/>
            <w:vAlign w:val="top"/>
            <w:tcBorders>
              <w:bottom w:val="single" w:color="000000" w:sz="6" w:space="0"/>
              <w:right w:val="single" w:color="000000" w:sz="6" w:space="0"/>
            </w:tcBorders>
          </w:tcPr>
          <w:p>
            <w:pPr>
              <w:rPr>
                <w:rFonts w:ascii="Arial"/>
                <w:sz w:val="21"/>
              </w:rPr>
            </w:pPr>
            <w:r/>
          </w:p>
        </w:tc>
      </w:tr>
    </w:tbl>
    <w:p>
      <w:pPr>
        <w:spacing w:line="209" w:lineRule="exact"/>
        <w:rPr>
          <w:rFonts w:ascii="Arial"/>
          <w:sz w:val="18"/>
        </w:rPr>
      </w:pPr>
      <w:r/>
    </w:p>
    <w:p>
      <w:pPr>
        <w:spacing w:line="209" w:lineRule="exact"/>
        <w:sectPr>
          <w:headerReference w:type="default" r:id="rId104"/>
          <w:footerReference w:type="default" r:id="rId137"/>
          <w:pgSz w:w="16839" w:h="11906"/>
          <w:pgMar w:top="1792" w:right="1463" w:bottom="1660" w:left="1463" w:header="1428" w:footer="1289" w:gutter="0"/>
        </w:sectPr>
        <w:rPr>
          <w:rFonts w:ascii="Arial" w:hAnsi="Arial" w:eastAsia="Arial" w:cs="Arial"/>
          <w:sz w:val="18"/>
          <w:szCs w:val="18"/>
        </w:rPr>
      </w:pPr>
    </w:p>
    <w:p>
      <w:pPr>
        <w:ind w:left="132"/>
        <w:spacing w:before="260" w:line="180" w:lineRule="auto"/>
        <w:rPr>
          <w:rFonts w:ascii="Microsoft YaHei" w:hAnsi="Microsoft YaHei" w:eastAsia="Microsoft YaHei" w:cs="Microsoft YaHei"/>
          <w:sz w:val="20"/>
          <w:szCs w:val="20"/>
        </w:rPr>
      </w:pPr>
      <w:r>
        <w:drawing>
          <wp:anchor distT="0" distB="0" distL="0" distR="0" simplePos="0" relativeHeight="251734016"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276" name="IM 276"/>
            <wp:cNvGraphicFramePr/>
            <a:graphic>
              <a:graphicData uri="http://schemas.openxmlformats.org/drawingml/2006/picture">
                <pic:pic>
                  <pic:nvPicPr>
                    <pic:cNvPr id="276" name="IM 276"/>
                    <pic:cNvPicPr/>
                  </pic:nvPicPr>
                  <pic:blipFill>
                    <a:blip r:embed="rId140"/>
                    <a:stretch>
                      <a:fillRect/>
                    </a:stretch>
                  </pic:blipFill>
                  <pic:spPr>
                    <a:xfrm rot="0">
                      <a:off x="0" y="0"/>
                      <a:ext cx="8712200" cy="7620"/>
                    </a:xfrm>
                    <a:prstGeom prst="rect">
                      <a:avLst/>
                    </a:prstGeom>
                  </pic:spPr>
                </pic:pic>
              </a:graphicData>
            </a:graphic>
          </wp:anchor>
        </w:drawing>
      </w:r>
      <w:r>
        <w:rPr>
          <w:rFonts w:ascii="Microsoft YaHei" w:hAnsi="Microsoft YaHei" w:eastAsia="Microsoft YaHei" w:cs="Microsoft YaHei"/>
          <w:sz w:val="20"/>
          <w:szCs w:val="20"/>
          <w:spacing w:val="7"/>
        </w:rPr>
        <w:t>表十三</w:t>
      </w:r>
    </w:p>
    <w:p>
      <w:pPr>
        <w:pStyle w:val="BodyText"/>
        <w:ind w:left="2568"/>
        <w:spacing w:before="47" w:line="462" w:lineRule="exact"/>
        <w:rPr>
          <w:sz w:val="35"/>
          <w:szCs w:val="35"/>
        </w:rPr>
      </w:pPr>
      <w:r>
        <w:rPr>
          <w:sz w:val="35"/>
          <w:szCs w:val="35"/>
          <w:b/>
          <w:bCs/>
          <w:spacing w:val="4"/>
          <w:position w:val="1"/>
        </w:rPr>
        <w:t>固原市本级</w:t>
      </w:r>
      <w:r>
        <w:rPr>
          <w:sz w:val="35"/>
          <w:szCs w:val="35"/>
          <w:spacing w:val="-77"/>
          <w:position w:val="1"/>
        </w:rPr>
        <w:t xml:space="preserve"> </w:t>
      </w:r>
      <w:r>
        <w:rPr>
          <w:sz w:val="35"/>
          <w:szCs w:val="35"/>
          <w:b/>
          <w:bCs/>
          <w:spacing w:val="4"/>
          <w:position w:val="1"/>
        </w:rPr>
        <w:t>2021</w:t>
      </w:r>
      <w:r>
        <w:rPr>
          <w:sz w:val="35"/>
          <w:szCs w:val="35"/>
          <w:spacing w:val="-78"/>
          <w:position w:val="1"/>
        </w:rPr>
        <w:t xml:space="preserve"> </w:t>
      </w:r>
      <w:r>
        <w:rPr>
          <w:sz w:val="35"/>
          <w:szCs w:val="35"/>
          <w:b/>
          <w:bCs/>
          <w:spacing w:val="4"/>
          <w:position w:val="1"/>
        </w:rPr>
        <w:t>年政府性基金预算支出资金来源情况表</w:t>
      </w:r>
    </w:p>
    <w:p>
      <w:pPr>
        <w:pStyle w:val="BodyText"/>
        <w:ind w:left="12740"/>
        <w:spacing w:line="277" w:lineRule="exact"/>
        <w:rPr/>
      </w:pPr>
      <w:r>
        <w:rPr>
          <w:spacing w:val="9"/>
          <w:position w:val="1"/>
        </w:rPr>
        <w:t>单位：万元</w:t>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777"/>
        <w:gridCol w:w="1106"/>
        <w:gridCol w:w="1651"/>
        <w:gridCol w:w="1619"/>
        <w:gridCol w:w="1149"/>
        <w:gridCol w:w="1159"/>
        <w:gridCol w:w="1256"/>
        <w:gridCol w:w="1179"/>
      </w:tblGrid>
      <w:tr>
        <w:trPr>
          <w:trHeight w:val="571" w:hRule="atLeast"/>
        </w:trPr>
        <w:tc>
          <w:tcPr>
            <w:tcW w:w="4777" w:type="dxa"/>
            <w:vAlign w:val="top"/>
            <w:tcBorders>
              <w:left w:val="single" w:color="000000" w:sz="6" w:space="0"/>
              <w:top w:val="single" w:color="000000" w:sz="6" w:space="0"/>
            </w:tcBorders>
          </w:tcPr>
          <w:p>
            <w:pPr>
              <w:pStyle w:val="TableText"/>
              <w:ind w:left="2185"/>
              <w:spacing w:before="212" w:line="212" w:lineRule="auto"/>
              <w:rPr>
                <w:sz w:val="19"/>
                <w:szCs w:val="19"/>
              </w:rPr>
            </w:pPr>
            <w:r>
              <w:rPr>
                <w:sz w:val="19"/>
                <w:szCs w:val="19"/>
                <w:b/>
                <w:bCs/>
                <w:spacing w:val="6"/>
              </w:rPr>
              <w:t>项目</w:t>
            </w:r>
          </w:p>
        </w:tc>
        <w:tc>
          <w:tcPr>
            <w:tcW w:w="1106" w:type="dxa"/>
            <w:vAlign w:val="top"/>
            <w:tcBorders>
              <w:top w:val="single" w:color="000000" w:sz="6" w:space="0"/>
            </w:tcBorders>
          </w:tcPr>
          <w:p>
            <w:pPr>
              <w:pStyle w:val="TableText"/>
              <w:ind w:left="350"/>
              <w:spacing w:before="206" w:line="223" w:lineRule="auto"/>
              <w:rPr>
                <w:sz w:val="19"/>
                <w:szCs w:val="19"/>
              </w:rPr>
            </w:pPr>
            <w:r>
              <w:rPr>
                <w:sz w:val="19"/>
                <w:szCs w:val="19"/>
                <w:b/>
                <w:bCs/>
                <w:spacing w:val="6"/>
              </w:rPr>
              <w:t>合计</w:t>
            </w:r>
          </w:p>
        </w:tc>
        <w:tc>
          <w:tcPr>
            <w:tcW w:w="1651" w:type="dxa"/>
            <w:vAlign w:val="top"/>
            <w:tcBorders>
              <w:top w:val="single" w:color="000000" w:sz="6" w:space="0"/>
            </w:tcBorders>
          </w:tcPr>
          <w:p>
            <w:pPr>
              <w:pStyle w:val="TableText"/>
              <w:ind w:left="438"/>
              <w:spacing w:before="60" w:line="221" w:lineRule="auto"/>
              <w:rPr>
                <w:sz w:val="19"/>
                <w:szCs w:val="19"/>
              </w:rPr>
            </w:pPr>
            <w:r>
              <w:rPr>
                <w:sz w:val="19"/>
                <w:szCs w:val="19"/>
                <w:b/>
                <w:bCs/>
                <w:spacing w:val="3"/>
              </w:rPr>
              <w:t>当年预算</w:t>
            </w:r>
          </w:p>
          <w:p>
            <w:pPr>
              <w:pStyle w:val="TableText"/>
              <w:ind w:left="430"/>
              <w:spacing w:before="57" w:line="210" w:lineRule="auto"/>
              <w:rPr>
                <w:sz w:val="19"/>
                <w:szCs w:val="19"/>
              </w:rPr>
            </w:pPr>
            <w:r>
              <w:rPr>
                <w:sz w:val="19"/>
                <w:szCs w:val="19"/>
                <w:b/>
                <w:bCs/>
                <w:spacing w:val="5"/>
              </w:rPr>
              <w:t>收入安排</w:t>
            </w:r>
          </w:p>
        </w:tc>
        <w:tc>
          <w:tcPr>
            <w:tcW w:w="1619" w:type="dxa"/>
            <w:vAlign w:val="top"/>
            <w:tcBorders>
              <w:top w:val="single" w:color="000000" w:sz="6" w:space="0"/>
            </w:tcBorders>
          </w:tcPr>
          <w:p>
            <w:pPr>
              <w:pStyle w:val="TableText"/>
              <w:ind w:left="409"/>
              <w:spacing w:before="58" w:line="225" w:lineRule="auto"/>
              <w:rPr>
                <w:sz w:val="19"/>
                <w:szCs w:val="19"/>
              </w:rPr>
            </w:pPr>
            <w:r>
              <w:rPr>
                <w:sz w:val="19"/>
                <w:szCs w:val="19"/>
                <w:b/>
                <w:bCs/>
                <w:spacing w:val="7"/>
              </w:rPr>
              <w:t>转移支付</w:t>
            </w:r>
          </w:p>
          <w:p>
            <w:pPr>
              <w:pStyle w:val="TableText"/>
              <w:ind w:left="416"/>
              <w:spacing w:before="54" w:line="210" w:lineRule="auto"/>
              <w:rPr>
                <w:sz w:val="19"/>
                <w:szCs w:val="19"/>
              </w:rPr>
            </w:pPr>
            <w:r>
              <w:rPr>
                <w:sz w:val="19"/>
                <w:szCs w:val="19"/>
                <w:b/>
                <w:bCs/>
                <w:spacing w:val="5"/>
              </w:rPr>
              <w:t>收入安排</w:t>
            </w:r>
          </w:p>
        </w:tc>
        <w:tc>
          <w:tcPr>
            <w:tcW w:w="1149" w:type="dxa"/>
            <w:vAlign w:val="top"/>
            <w:tcBorders>
              <w:top w:val="single" w:color="000000" w:sz="6" w:space="0"/>
            </w:tcBorders>
          </w:tcPr>
          <w:p>
            <w:pPr>
              <w:pStyle w:val="TableText"/>
              <w:ind w:left="178"/>
              <w:spacing w:before="205" w:line="225" w:lineRule="auto"/>
              <w:rPr>
                <w:sz w:val="19"/>
                <w:szCs w:val="19"/>
              </w:rPr>
            </w:pPr>
            <w:r>
              <w:rPr>
                <w:sz w:val="19"/>
                <w:szCs w:val="19"/>
                <w:b/>
                <w:bCs/>
                <w:spacing w:val="7"/>
              </w:rPr>
              <w:t>上年结余</w:t>
            </w:r>
          </w:p>
        </w:tc>
        <w:tc>
          <w:tcPr>
            <w:tcW w:w="1159" w:type="dxa"/>
            <w:vAlign w:val="top"/>
            <w:tcBorders>
              <w:top w:val="single" w:color="000000" w:sz="6" w:space="0"/>
            </w:tcBorders>
          </w:tcPr>
          <w:p>
            <w:pPr>
              <w:pStyle w:val="TableText"/>
              <w:ind w:left="382"/>
              <w:spacing w:before="67" w:line="211" w:lineRule="auto"/>
              <w:rPr>
                <w:sz w:val="19"/>
                <w:szCs w:val="19"/>
              </w:rPr>
            </w:pPr>
            <w:r>
              <w:rPr>
                <w:sz w:val="19"/>
                <w:szCs w:val="19"/>
                <w:b/>
                <w:bCs/>
                <w:spacing w:val="6"/>
              </w:rPr>
              <w:t>调入</w:t>
            </w:r>
          </w:p>
          <w:p>
            <w:pPr>
              <w:pStyle w:val="TableText"/>
              <w:ind w:left="386"/>
              <w:spacing w:before="57" w:line="213" w:lineRule="auto"/>
              <w:rPr>
                <w:sz w:val="19"/>
                <w:szCs w:val="19"/>
              </w:rPr>
            </w:pPr>
            <w:r>
              <w:rPr>
                <w:sz w:val="19"/>
                <w:szCs w:val="19"/>
                <w:b/>
                <w:bCs/>
                <w:spacing w:val="4"/>
              </w:rPr>
              <w:t>资金</w:t>
            </w:r>
          </w:p>
        </w:tc>
        <w:tc>
          <w:tcPr>
            <w:tcW w:w="1256" w:type="dxa"/>
            <w:vAlign w:val="top"/>
            <w:tcBorders>
              <w:top w:val="single" w:color="000000" w:sz="6" w:space="0"/>
            </w:tcBorders>
          </w:tcPr>
          <w:p>
            <w:pPr>
              <w:pStyle w:val="TableText"/>
              <w:ind w:left="332"/>
              <w:spacing w:before="61" w:line="219" w:lineRule="auto"/>
              <w:rPr>
                <w:sz w:val="19"/>
                <w:szCs w:val="19"/>
              </w:rPr>
            </w:pPr>
            <w:r>
              <w:rPr>
                <w:sz w:val="19"/>
                <w:szCs w:val="19"/>
                <w:b/>
                <w:bCs/>
                <w:spacing w:val="6"/>
              </w:rPr>
              <w:t>政府债</w:t>
            </w:r>
          </w:p>
          <w:p>
            <w:pPr>
              <w:pStyle w:val="TableText"/>
              <w:ind w:left="331"/>
              <w:spacing w:before="54" w:line="213" w:lineRule="auto"/>
              <w:rPr>
                <w:sz w:val="19"/>
                <w:szCs w:val="19"/>
              </w:rPr>
            </w:pPr>
            <w:r>
              <w:rPr>
                <w:sz w:val="19"/>
                <w:szCs w:val="19"/>
                <w:b/>
                <w:bCs/>
                <w:spacing w:val="6"/>
              </w:rPr>
              <w:t>务资金</w:t>
            </w:r>
          </w:p>
        </w:tc>
        <w:tc>
          <w:tcPr>
            <w:tcW w:w="1179" w:type="dxa"/>
            <w:vAlign w:val="top"/>
            <w:tcBorders>
              <w:right w:val="single" w:color="000000" w:sz="6" w:space="0"/>
              <w:top w:val="single" w:color="000000" w:sz="6" w:space="0"/>
            </w:tcBorders>
          </w:tcPr>
          <w:p>
            <w:pPr>
              <w:pStyle w:val="TableText"/>
              <w:ind w:left="390"/>
              <w:spacing w:before="60" w:line="222" w:lineRule="auto"/>
              <w:rPr>
                <w:sz w:val="19"/>
                <w:szCs w:val="19"/>
              </w:rPr>
            </w:pPr>
            <w:r>
              <w:rPr>
                <w:sz w:val="19"/>
                <w:szCs w:val="19"/>
                <w:b/>
                <w:bCs/>
                <w:spacing w:val="6"/>
              </w:rPr>
              <w:t>其他</w:t>
            </w:r>
          </w:p>
          <w:p>
            <w:pPr>
              <w:pStyle w:val="TableText"/>
              <w:ind w:left="395"/>
              <w:spacing w:before="52" w:line="213" w:lineRule="auto"/>
              <w:rPr>
                <w:sz w:val="19"/>
                <w:szCs w:val="19"/>
              </w:rPr>
            </w:pPr>
            <w:r>
              <w:rPr>
                <w:sz w:val="19"/>
                <w:szCs w:val="19"/>
                <w:b/>
                <w:bCs/>
                <w:spacing w:val="4"/>
              </w:rPr>
              <w:t>资金</w:t>
            </w:r>
          </w:p>
        </w:tc>
      </w:tr>
      <w:tr>
        <w:trPr>
          <w:trHeight w:val="359" w:hRule="atLeast"/>
        </w:trPr>
        <w:tc>
          <w:tcPr>
            <w:tcW w:w="4777" w:type="dxa"/>
            <w:vAlign w:val="top"/>
            <w:tcBorders>
              <w:left w:val="single" w:color="000000" w:sz="6" w:space="0"/>
            </w:tcBorders>
          </w:tcPr>
          <w:p>
            <w:pPr>
              <w:pStyle w:val="TableText"/>
              <w:ind w:left="107"/>
              <w:spacing w:before="97" w:line="223" w:lineRule="auto"/>
              <w:rPr>
                <w:sz w:val="19"/>
                <w:szCs w:val="19"/>
              </w:rPr>
            </w:pPr>
            <w:r>
              <w:rPr>
                <w:sz w:val="19"/>
                <w:szCs w:val="19"/>
                <w:spacing w:val="9"/>
              </w:rPr>
              <w:t>一、文化旅游体育与传媒支出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359" w:hRule="atLeast"/>
        </w:trPr>
        <w:tc>
          <w:tcPr>
            <w:tcW w:w="4777" w:type="dxa"/>
            <w:vAlign w:val="top"/>
            <w:tcBorders>
              <w:left w:val="single" w:color="000000" w:sz="6" w:space="0"/>
            </w:tcBorders>
          </w:tcPr>
          <w:p>
            <w:pPr>
              <w:pStyle w:val="TableText"/>
              <w:ind w:left="427"/>
              <w:spacing w:before="99" w:line="224" w:lineRule="auto"/>
              <w:rPr>
                <w:sz w:val="19"/>
                <w:szCs w:val="19"/>
              </w:rPr>
            </w:pPr>
            <w:r>
              <w:rPr>
                <w:sz w:val="19"/>
                <w:szCs w:val="19"/>
                <w:spacing w:val="8"/>
              </w:rPr>
              <w:t>国家电影事业发展专项资金安排的支出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359" w:hRule="atLeast"/>
        </w:trPr>
        <w:tc>
          <w:tcPr>
            <w:tcW w:w="4777" w:type="dxa"/>
            <w:vAlign w:val="top"/>
            <w:tcBorders>
              <w:left w:val="single" w:color="000000" w:sz="6" w:space="0"/>
            </w:tcBorders>
          </w:tcPr>
          <w:p>
            <w:pPr>
              <w:pStyle w:val="TableText"/>
              <w:ind w:left="406"/>
              <w:spacing w:before="101" w:line="219" w:lineRule="auto"/>
              <w:rPr>
                <w:sz w:val="19"/>
                <w:szCs w:val="19"/>
              </w:rPr>
            </w:pPr>
            <w:r>
              <w:rPr>
                <w:sz w:val="19"/>
                <w:szCs w:val="19"/>
                <w:spacing w:val="9"/>
              </w:rPr>
              <w:t>旅游发展基金支出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604" w:hRule="atLeast"/>
        </w:trPr>
        <w:tc>
          <w:tcPr>
            <w:tcW w:w="4777" w:type="dxa"/>
            <w:vAlign w:val="top"/>
            <w:tcBorders>
              <w:left w:val="single" w:color="000000" w:sz="6" w:space="0"/>
            </w:tcBorders>
          </w:tcPr>
          <w:p>
            <w:pPr>
              <w:pStyle w:val="TableText"/>
              <w:ind w:left="107" w:right="161" w:firstLine="320"/>
              <w:spacing w:before="73" w:line="253" w:lineRule="auto"/>
              <w:rPr>
                <w:sz w:val="19"/>
                <w:szCs w:val="19"/>
              </w:rPr>
            </w:pPr>
            <w:r>
              <w:rPr>
                <w:sz w:val="19"/>
                <w:szCs w:val="19"/>
                <w:spacing w:val="8"/>
              </w:rPr>
              <w:t>国家电影事业发展专项资金对应专项债务收入安</w:t>
            </w:r>
            <w:r>
              <w:rPr>
                <w:sz w:val="19"/>
                <w:szCs w:val="19"/>
                <w:spacing w:val="8"/>
              </w:rPr>
              <w:t>排的支出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359" w:hRule="atLeast"/>
        </w:trPr>
        <w:tc>
          <w:tcPr>
            <w:tcW w:w="4777" w:type="dxa"/>
            <w:vAlign w:val="top"/>
            <w:tcBorders>
              <w:left w:val="single" w:color="000000" w:sz="6" w:space="0"/>
            </w:tcBorders>
          </w:tcPr>
          <w:p>
            <w:pPr>
              <w:pStyle w:val="TableText"/>
              <w:ind w:left="107"/>
              <w:spacing w:before="99" w:line="222" w:lineRule="auto"/>
              <w:rPr>
                <w:sz w:val="19"/>
                <w:szCs w:val="19"/>
              </w:rPr>
            </w:pPr>
            <w:r>
              <w:rPr>
                <w:sz w:val="19"/>
                <w:szCs w:val="19"/>
                <w:spacing w:val="9"/>
              </w:rPr>
              <w:t>二、社会保障和就业支出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359" w:hRule="atLeast"/>
        </w:trPr>
        <w:tc>
          <w:tcPr>
            <w:tcW w:w="4777" w:type="dxa"/>
            <w:vAlign w:val="top"/>
            <w:tcBorders>
              <w:left w:val="single" w:color="000000" w:sz="6" w:space="0"/>
            </w:tcBorders>
          </w:tcPr>
          <w:p>
            <w:pPr>
              <w:pStyle w:val="TableText"/>
              <w:ind w:left="510"/>
              <w:spacing w:before="101" w:line="221" w:lineRule="auto"/>
              <w:rPr>
                <w:sz w:val="19"/>
                <w:szCs w:val="19"/>
              </w:rPr>
            </w:pPr>
            <w:r>
              <w:rPr>
                <w:sz w:val="19"/>
                <w:szCs w:val="19"/>
                <w:spacing w:val="9"/>
              </w:rPr>
              <w:t>大中型水库移民后期扶持基金支出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359" w:hRule="atLeast"/>
        </w:trPr>
        <w:tc>
          <w:tcPr>
            <w:tcW w:w="4777" w:type="dxa"/>
            <w:vAlign w:val="top"/>
            <w:tcBorders>
              <w:left w:val="single" w:color="000000" w:sz="6" w:space="0"/>
            </w:tcBorders>
          </w:tcPr>
          <w:p>
            <w:pPr>
              <w:pStyle w:val="TableText"/>
              <w:ind w:left="506"/>
              <w:spacing w:before="104" w:line="221" w:lineRule="auto"/>
              <w:rPr>
                <w:sz w:val="19"/>
                <w:szCs w:val="19"/>
              </w:rPr>
            </w:pPr>
            <w:r>
              <w:rPr>
                <w:sz w:val="19"/>
                <w:szCs w:val="19"/>
                <w:spacing w:val="9"/>
              </w:rPr>
              <w:t>小型水库移民扶助基金安排的支出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604" w:hRule="atLeast"/>
        </w:trPr>
        <w:tc>
          <w:tcPr>
            <w:tcW w:w="4777" w:type="dxa"/>
            <w:vAlign w:val="top"/>
            <w:tcBorders>
              <w:left w:val="single" w:color="000000" w:sz="6" w:space="0"/>
            </w:tcBorders>
          </w:tcPr>
          <w:p>
            <w:pPr>
              <w:pStyle w:val="TableText"/>
              <w:ind w:left="123" w:right="264" w:firstLine="382"/>
              <w:spacing w:before="79" w:line="250" w:lineRule="auto"/>
              <w:rPr>
                <w:sz w:val="19"/>
                <w:szCs w:val="19"/>
              </w:rPr>
            </w:pPr>
            <w:r>
              <w:rPr>
                <w:sz w:val="19"/>
                <w:szCs w:val="19"/>
                <w:spacing w:val="9"/>
              </w:rPr>
              <w:t>小型水库移民扶助基金对应专项债务收入安排</w:t>
            </w:r>
            <w:r>
              <w:rPr>
                <w:sz w:val="19"/>
                <w:szCs w:val="19"/>
                <w:spacing w:val="3"/>
              </w:rPr>
              <w:t>的支出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359" w:hRule="atLeast"/>
        </w:trPr>
        <w:tc>
          <w:tcPr>
            <w:tcW w:w="4777" w:type="dxa"/>
            <w:vAlign w:val="top"/>
            <w:tcBorders>
              <w:left w:val="single" w:color="000000" w:sz="6" w:space="0"/>
            </w:tcBorders>
          </w:tcPr>
          <w:p>
            <w:pPr>
              <w:pStyle w:val="TableText"/>
              <w:ind w:left="110"/>
              <w:spacing w:before="107" w:line="220" w:lineRule="auto"/>
              <w:rPr>
                <w:sz w:val="19"/>
                <w:szCs w:val="19"/>
              </w:rPr>
            </w:pPr>
            <w:r>
              <w:rPr>
                <w:sz w:val="19"/>
                <w:szCs w:val="19"/>
                <w:spacing w:val="8"/>
              </w:rPr>
              <w:t>三、节能环保支出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359" w:hRule="atLeast"/>
        </w:trPr>
        <w:tc>
          <w:tcPr>
            <w:tcW w:w="4777" w:type="dxa"/>
            <w:vAlign w:val="top"/>
            <w:tcBorders>
              <w:left w:val="single" w:color="000000" w:sz="6" w:space="0"/>
            </w:tcBorders>
          </w:tcPr>
          <w:p>
            <w:pPr>
              <w:pStyle w:val="TableText"/>
              <w:ind w:left="508"/>
              <w:spacing w:before="107" w:line="217" w:lineRule="auto"/>
              <w:rPr>
                <w:sz w:val="19"/>
                <w:szCs w:val="19"/>
              </w:rPr>
            </w:pPr>
            <w:r>
              <w:rPr>
                <w:sz w:val="19"/>
                <w:szCs w:val="19"/>
                <w:spacing w:val="9"/>
              </w:rPr>
              <w:t>可再生能源电价附加收入安排的支出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359" w:hRule="atLeast"/>
        </w:trPr>
        <w:tc>
          <w:tcPr>
            <w:tcW w:w="4777" w:type="dxa"/>
            <w:vAlign w:val="top"/>
            <w:tcBorders>
              <w:left w:val="single" w:color="000000" w:sz="6" w:space="0"/>
            </w:tcBorders>
          </w:tcPr>
          <w:p>
            <w:pPr>
              <w:pStyle w:val="TableText"/>
              <w:ind w:left="503"/>
              <w:spacing w:before="103" w:line="239" w:lineRule="auto"/>
              <w:rPr>
                <w:sz w:val="19"/>
                <w:szCs w:val="19"/>
              </w:rPr>
            </w:pPr>
            <w:r>
              <w:rPr>
                <w:sz w:val="19"/>
                <w:szCs w:val="19"/>
                <w:spacing w:val="9"/>
              </w:rPr>
              <w:t>废弃电器电子产品处理基金支出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359" w:hRule="atLeast"/>
        </w:trPr>
        <w:tc>
          <w:tcPr>
            <w:tcW w:w="4777" w:type="dxa"/>
            <w:vAlign w:val="top"/>
            <w:tcBorders>
              <w:left w:val="single" w:color="000000" w:sz="6" w:space="0"/>
            </w:tcBorders>
          </w:tcPr>
          <w:p>
            <w:pPr>
              <w:pStyle w:val="TableText"/>
              <w:ind w:left="128"/>
              <w:spacing w:before="111" w:line="218" w:lineRule="auto"/>
              <w:rPr>
                <w:sz w:val="19"/>
                <w:szCs w:val="19"/>
              </w:rPr>
            </w:pPr>
            <w:r>
              <w:rPr>
                <w:sz w:val="19"/>
                <w:szCs w:val="19"/>
                <w:spacing w:val="6"/>
              </w:rPr>
              <w:t>四、城乡社区支出</w:t>
            </w:r>
          </w:p>
        </w:tc>
        <w:tc>
          <w:tcPr>
            <w:tcW w:w="1106" w:type="dxa"/>
            <w:vAlign w:val="top"/>
          </w:tcPr>
          <w:p>
            <w:pPr>
              <w:pStyle w:val="TableText"/>
              <w:ind w:left="503"/>
              <w:spacing w:before="106" w:line="236" w:lineRule="auto"/>
              <w:rPr>
                <w:sz w:val="19"/>
                <w:szCs w:val="19"/>
              </w:rPr>
            </w:pPr>
            <w:r>
              <w:rPr>
                <w:sz w:val="19"/>
                <w:szCs w:val="19"/>
                <w:spacing w:val="2"/>
              </w:rPr>
              <w:t>82345</w:t>
            </w:r>
          </w:p>
        </w:tc>
        <w:tc>
          <w:tcPr>
            <w:tcW w:w="1651" w:type="dxa"/>
            <w:vAlign w:val="top"/>
          </w:tcPr>
          <w:p>
            <w:pPr>
              <w:pStyle w:val="TableText"/>
              <w:ind w:left="1051"/>
              <w:spacing w:before="106" w:line="236" w:lineRule="auto"/>
              <w:rPr>
                <w:sz w:val="19"/>
                <w:szCs w:val="19"/>
              </w:rPr>
            </w:pPr>
            <w:r>
              <w:rPr>
                <w:sz w:val="19"/>
                <w:szCs w:val="19"/>
                <w:spacing w:val="2"/>
              </w:rPr>
              <w:t>82345</w:t>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359" w:hRule="atLeast"/>
        </w:trPr>
        <w:tc>
          <w:tcPr>
            <w:tcW w:w="4777" w:type="dxa"/>
            <w:vAlign w:val="top"/>
            <w:tcBorders>
              <w:left w:val="single" w:color="000000" w:sz="6" w:space="0"/>
            </w:tcBorders>
          </w:tcPr>
          <w:p>
            <w:pPr>
              <w:pStyle w:val="TableText"/>
              <w:ind w:left="525"/>
              <w:spacing w:before="109" w:line="222" w:lineRule="auto"/>
              <w:rPr>
                <w:sz w:val="19"/>
                <w:szCs w:val="19"/>
              </w:rPr>
            </w:pPr>
            <w:r>
              <w:rPr>
                <w:sz w:val="19"/>
                <w:szCs w:val="19"/>
                <w:spacing w:val="8"/>
              </w:rPr>
              <w:t>国有土地使用权出让收入安排的支出</w:t>
            </w:r>
          </w:p>
        </w:tc>
        <w:tc>
          <w:tcPr>
            <w:tcW w:w="1106" w:type="dxa"/>
            <w:vAlign w:val="top"/>
          </w:tcPr>
          <w:p>
            <w:pPr>
              <w:pStyle w:val="TableText"/>
              <w:ind w:left="503"/>
              <w:spacing w:before="107" w:line="235" w:lineRule="auto"/>
              <w:rPr>
                <w:sz w:val="19"/>
                <w:szCs w:val="19"/>
              </w:rPr>
            </w:pPr>
            <w:r>
              <w:rPr>
                <w:sz w:val="19"/>
                <w:szCs w:val="19"/>
                <w:spacing w:val="2"/>
              </w:rPr>
              <w:t>81495</w:t>
            </w:r>
          </w:p>
        </w:tc>
        <w:tc>
          <w:tcPr>
            <w:tcW w:w="1651" w:type="dxa"/>
            <w:vAlign w:val="top"/>
          </w:tcPr>
          <w:p>
            <w:pPr>
              <w:pStyle w:val="TableText"/>
              <w:ind w:left="1051"/>
              <w:spacing w:before="107" w:line="235" w:lineRule="auto"/>
              <w:rPr>
                <w:sz w:val="19"/>
                <w:szCs w:val="19"/>
              </w:rPr>
            </w:pPr>
            <w:r>
              <w:rPr>
                <w:sz w:val="19"/>
                <w:szCs w:val="19"/>
                <w:spacing w:val="2"/>
              </w:rPr>
              <w:t>81495</w:t>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360" w:hRule="atLeast"/>
        </w:trPr>
        <w:tc>
          <w:tcPr>
            <w:tcW w:w="4777" w:type="dxa"/>
            <w:vAlign w:val="top"/>
            <w:tcBorders>
              <w:left w:val="single" w:color="000000" w:sz="6" w:space="0"/>
            </w:tcBorders>
          </w:tcPr>
          <w:p>
            <w:pPr>
              <w:pStyle w:val="TableText"/>
              <w:ind w:left="525"/>
              <w:spacing w:before="113" w:line="218" w:lineRule="auto"/>
              <w:rPr>
                <w:sz w:val="19"/>
                <w:szCs w:val="19"/>
              </w:rPr>
            </w:pPr>
            <w:r>
              <w:rPr>
                <w:sz w:val="19"/>
                <w:szCs w:val="19"/>
                <w:spacing w:val="8"/>
              </w:rPr>
              <w:t>国有土地收益基金安排的支出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360" w:hRule="atLeast"/>
        </w:trPr>
        <w:tc>
          <w:tcPr>
            <w:tcW w:w="4777" w:type="dxa"/>
            <w:vAlign w:val="top"/>
            <w:tcBorders>
              <w:left w:val="single" w:color="000000" w:sz="6" w:space="0"/>
            </w:tcBorders>
          </w:tcPr>
          <w:p>
            <w:pPr>
              <w:pStyle w:val="TableText"/>
              <w:ind w:left="502"/>
              <w:spacing w:before="111" w:line="221" w:lineRule="auto"/>
              <w:rPr>
                <w:sz w:val="19"/>
                <w:szCs w:val="19"/>
              </w:rPr>
            </w:pPr>
            <w:r>
              <w:rPr>
                <w:sz w:val="19"/>
                <w:szCs w:val="19"/>
                <w:spacing w:val="9"/>
              </w:rPr>
              <w:t>农业土地开发资金安排的支出</w:t>
            </w:r>
          </w:p>
        </w:tc>
        <w:tc>
          <w:tcPr>
            <w:tcW w:w="1106" w:type="dxa"/>
            <w:vAlign w:val="top"/>
          </w:tcPr>
          <w:p>
            <w:pPr>
              <w:pStyle w:val="TableText"/>
              <w:ind w:left="716"/>
              <w:spacing w:before="107" w:line="236" w:lineRule="auto"/>
              <w:rPr>
                <w:sz w:val="19"/>
                <w:szCs w:val="19"/>
              </w:rPr>
            </w:pPr>
            <w:r>
              <w:rPr>
                <w:sz w:val="19"/>
                <w:szCs w:val="19"/>
                <w:spacing w:val="-4"/>
              </w:rPr>
              <w:t>150</w:t>
            </w:r>
          </w:p>
        </w:tc>
        <w:tc>
          <w:tcPr>
            <w:tcW w:w="1651" w:type="dxa"/>
            <w:vAlign w:val="top"/>
          </w:tcPr>
          <w:p>
            <w:pPr>
              <w:pStyle w:val="TableText"/>
              <w:ind w:left="1264"/>
              <w:spacing w:before="107" w:line="236" w:lineRule="auto"/>
              <w:rPr>
                <w:sz w:val="19"/>
                <w:szCs w:val="19"/>
              </w:rPr>
            </w:pPr>
            <w:r>
              <w:rPr>
                <w:sz w:val="19"/>
                <w:szCs w:val="19"/>
                <w:spacing w:val="-4"/>
              </w:rPr>
              <w:t>150</w:t>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369" w:hRule="atLeast"/>
        </w:trPr>
        <w:tc>
          <w:tcPr>
            <w:tcW w:w="4777" w:type="dxa"/>
            <w:vAlign w:val="top"/>
            <w:tcBorders>
              <w:left w:val="single" w:color="000000" w:sz="6" w:space="0"/>
              <w:bottom w:val="single" w:color="000000" w:sz="6" w:space="0"/>
            </w:tcBorders>
          </w:tcPr>
          <w:p>
            <w:pPr>
              <w:pStyle w:val="TableText"/>
              <w:ind w:left="506"/>
              <w:spacing w:before="110" w:line="222" w:lineRule="auto"/>
              <w:rPr>
                <w:sz w:val="19"/>
                <w:szCs w:val="19"/>
              </w:rPr>
            </w:pPr>
            <w:r>
              <w:rPr>
                <w:sz w:val="19"/>
                <w:szCs w:val="19"/>
                <w:spacing w:val="9"/>
              </w:rPr>
              <w:t>城市基础设施配套费安排的支出</w:t>
            </w:r>
          </w:p>
        </w:tc>
        <w:tc>
          <w:tcPr>
            <w:tcW w:w="1106" w:type="dxa"/>
            <w:vAlign w:val="top"/>
            <w:tcBorders>
              <w:bottom w:val="single" w:color="000000" w:sz="6" w:space="0"/>
            </w:tcBorders>
          </w:tcPr>
          <w:p>
            <w:pPr>
              <w:rPr>
                <w:rFonts w:ascii="Arial"/>
                <w:sz w:val="21"/>
              </w:rPr>
            </w:pPr>
            <w:r/>
          </w:p>
        </w:tc>
        <w:tc>
          <w:tcPr>
            <w:tcW w:w="1651" w:type="dxa"/>
            <w:vAlign w:val="top"/>
            <w:tcBorders>
              <w:bottom w:val="single" w:color="000000" w:sz="6" w:space="0"/>
            </w:tcBorders>
          </w:tcPr>
          <w:p>
            <w:pPr>
              <w:rPr>
                <w:rFonts w:ascii="Arial"/>
                <w:sz w:val="21"/>
              </w:rPr>
            </w:pPr>
            <w:r/>
          </w:p>
        </w:tc>
        <w:tc>
          <w:tcPr>
            <w:tcW w:w="1619" w:type="dxa"/>
            <w:vAlign w:val="top"/>
            <w:tcBorders>
              <w:bottom w:val="single" w:color="000000" w:sz="6" w:space="0"/>
            </w:tcBorders>
          </w:tcPr>
          <w:p>
            <w:pPr>
              <w:rPr>
                <w:rFonts w:ascii="Arial"/>
                <w:sz w:val="21"/>
              </w:rPr>
            </w:pPr>
            <w:r/>
          </w:p>
        </w:tc>
        <w:tc>
          <w:tcPr>
            <w:tcW w:w="1149" w:type="dxa"/>
            <w:vAlign w:val="top"/>
            <w:tcBorders>
              <w:bottom w:val="single" w:color="000000" w:sz="6" w:space="0"/>
            </w:tcBorders>
          </w:tcPr>
          <w:p>
            <w:pPr>
              <w:rPr>
                <w:rFonts w:ascii="Arial"/>
                <w:sz w:val="21"/>
              </w:rPr>
            </w:pPr>
            <w:r/>
          </w:p>
        </w:tc>
        <w:tc>
          <w:tcPr>
            <w:tcW w:w="1159" w:type="dxa"/>
            <w:vAlign w:val="top"/>
            <w:tcBorders>
              <w:bottom w:val="single" w:color="000000" w:sz="6" w:space="0"/>
            </w:tcBorders>
          </w:tcPr>
          <w:p>
            <w:pPr>
              <w:rPr>
                <w:rFonts w:ascii="Arial"/>
                <w:sz w:val="21"/>
              </w:rPr>
            </w:pPr>
            <w:r/>
          </w:p>
        </w:tc>
        <w:tc>
          <w:tcPr>
            <w:tcW w:w="1256" w:type="dxa"/>
            <w:vAlign w:val="top"/>
            <w:tcBorders>
              <w:bottom w:val="single" w:color="000000" w:sz="6" w:space="0"/>
            </w:tcBorders>
          </w:tcPr>
          <w:p>
            <w:pPr>
              <w:rPr>
                <w:rFonts w:ascii="Arial"/>
                <w:sz w:val="21"/>
              </w:rPr>
            </w:pPr>
            <w:r/>
          </w:p>
        </w:tc>
        <w:tc>
          <w:tcPr>
            <w:tcW w:w="1179" w:type="dxa"/>
            <w:vAlign w:val="top"/>
            <w:tcBorders>
              <w:bottom w:val="single" w:color="000000" w:sz="6" w:space="0"/>
              <w:right w:val="single" w:color="000000" w:sz="6" w:space="0"/>
            </w:tcBorders>
          </w:tcPr>
          <w:p>
            <w:pPr>
              <w:rPr>
                <w:rFonts w:ascii="Arial"/>
                <w:sz w:val="21"/>
              </w:rPr>
            </w:pPr>
            <w:r/>
          </w:p>
        </w:tc>
      </w:tr>
    </w:tbl>
    <w:p>
      <w:pPr>
        <w:spacing w:line="118" w:lineRule="exact"/>
        <w:rPr>
          <w:rFonts w:ascii="Arial"/>
          <w:sz w:val="10"/>
        </w:rPr>
      </w:pPr>
      <w:r/>
    </w:p>
    <w:p>
      <w:pPr>
        <w:spacing w:line="118" w:lineRule="exact"/>
        <w:sectPr>
          <w:headerReference w:type="default" r:id="rId61"/>
          <w:footerReference w:type="default" r:id="rId139"/>
          <w:pgSz w:w="16839" w:h="11906"/>
          <w:pgMar w:top="1792" w:right="1463" w:bottom="1671" w:left="1463" w:header="1428" w:footer="1277" w:gutter="0"/>
        </w:sectPr>
        <w:rPr>
          <w:rFonts w:ascii="Arial" w:hAnsi="Arial" w:eastAsia="Arial" w:cs="Arial"/>
          <w:sz w:val="10"/>
          <w:szCs w:val="10"/>
        </w:rPr>
      </w:pPr>
    </w:p>
    <w:p>
      <w:pPr>
        <w:spacing w:line="192" w:lineRule="exact"/>
        <w:rPr/>
      </w:pPr>
      <w:r>
        <w:drawing>
          <wp:anchor distT="0" distB="0" distL="0" distR="0" simplePos="0" relativeHeight="251736064"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280" name="IM 280"/>
            <wp:cNvGraphicFramePr/>
            <a:graphic>
              <a:graphicData uri="http://schemas.openxmlformats.org/drawingml/2006/picture">
                <pic:pic>
                  <pic:nvPicPr>
                    <pic:cNvPr id="280" name="IM 280"/>
                    <pic:cNvPicPr/>
                  </pic:nvPicPr>
                  <pic:blipFill>
                    <a:blip r:embed="rId142"/>
                    <a:stretch>
                      <a:fillRect/>
                    </a:stretch>
                  </pic:blipFill>
                  <pic:spPr>
                    <a:xfrm rot="0">
                      <a:off x="0" y="0"/>
                      <a:ext cx="8712200" cy="7620"/>
                    </a:xfrm>
                    <a:prstGeom prst="rect">
                      <a:avLst/>
                    </a:prstGeom>
                  </pic:spPr>
                </pic:pic>
              </a:graphicData>
            </a:graphic>
          </wp:anchor>
        </w:drawing>
      </w: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777"/>
        <w:gridCol w:w="1106"/>
        <w:gridCol w:w="1651"/>
        <w:gridCol w:w="1619"/>
        <w:gridCol w:w="1149"/>
        <w:gridCol w:w="1159"/>
        <w:gridCol w:w="1256"/>
        <w:gridCol w:w="1179"/>
      </w:tblGrid>
      <w:tr>
        <w:trPr>
          <w:trHeight w:val="571" w:hRule="atLeast"/>
        </w:trPr>
        <w:tc>
          <w:tcPr>
            <w:tcW w:w="4777" w:type="dxa"/>
            <w:vAlign w:val="top"/>
            <w:tcBorders>
              <w:left w:val="single" w:color="000000" w:sz="6" w:space="0"/>
              <w:top w:val="single" w:color="000000" w:sz="6" w:space="0"/>
            </w:tcBorders>
          </w:tcPr>
          <w:p>
            <w:pPr>
              <w:pStyle w:val="TableText"/>
              <w:ind w:left="2185"/>
              <w:spacing w:before="211" w:line="212" w:lineRule="auto"/>
              <w:rPr>
                <w:sz w:val="19"/>
                <w:szCs w:val="19"/>
              </w:rPr>
            </w:pPr>
            <w:r>
              <w:rPr>
                <w:sz w:val="19"/>
                <w:szCs w:val="19"/>
                <w:b/>
                <w:bCs/>
                <w:spacing w:val="6"/>
              </w:rPr>
              <w:t>项目</w:t>
            </w:r>
          </w:p>
        </w:tc>
        <w:tc>
          <w:tcPr>
            <w:tcW w:w="1106" w:type="dxa"/>
            <w:vAlign w:val="top"/>
            <w:tcBorders>
              <w:top w:val="single" w:color="000000" w:sz="6" w:space="0"/>
            </w:tcBorders>
          </w:tcPr>
          <w:p>
            <w:pPr>
              <w:pStyle w:val="TableText"/>
              <w:ind w:left="350"/>
              <w:spacing w:before="206" w:line="223" w:lineRule="auto"/>
              <w:rPr>
                <w:sz w:val="19"/>
                <w:szCs w:val="19"/>
              </w:rPr>
            </w:pPr>
            <w:r>
              <w:rPr>
                <w:sz w:val="19"/>
                <w:szCs w:val="19"/>
                <w:b/>
                <w:bCs/>
                <w:spacing w:val="6"/>
              </w:rPr>
              <w:t>合计</w:t>
            </w:r>
          </w:p>
        </w:tc>
        <w:tc>
          <w:tcPr>
            <w:tcW w:w="1651" w:type="dxa"/>
            <w:vAlign w:val="top"/>
            <w:tcBorders>
              <w:top w:val="single" w:color="000000" w:sz="6" w:space="0"/>
            </w:tcBorders>
          </w:tcPr>
          <w:p>
            <w:pPr>
              <w:pStyle w:val="TableText"/>
              <w:ind w:left="438"/>
              <w:spacing w:before="59" w:line="221" w:lineRule="auto"/>
              <w:rPr>
                <w:sz w:val="19"/>
                <w:szCs w:val="19"/>
              </w:rPr>
            </w:pPr>
            <w:r>
              <w:rPr>
                <w:sz w:val="19"/>
                <w:szCs w:val="19"/>
                <w:b/>
                <w:bCs/>
                <w:spacing w:val="3"/>
              </w:rPr>
              <w:t>当年预算</w:t>
            </w:r>
          </w:p>
          <w:p>
            <w:pPr>
              <w:pStyle w:val="TableText"/>
              <w:ind w:left="430"/>
              <w:spacing w:before="56" w:line="211" w:lineRule="auto"/>
              <w:rPr>
                <w:sz w:val="19"/>
                <w:szCs w:val="19"/>
              </w:rPr>
            </w:pPr>
            <w:r>
              <w:rPr>
                <w:sz w:val="19"/>
                <w:szCs w:val="19"/>
                <w:b/>
                <w:bCs/>
                <w:spacing w:val="5"/>
              </w:rPr>
              <w:t>收入安排</w:t>
            </w:r>
          </w:p>
        </w:tc>
        <w:tc>
          <w:tcPr>
            <w:tcW w:w="1619" w:type="dxa"/>
            <w:vAlign w:val="top"/>
            <w:tcBorders>
              <w:top w:val="single" w:color="000000" w:sz="6" w:space="0"/>
            </w:tcBorders>
          </w:tcPr>
          <w:p>
            <w:pPr>
              <w:pStyle w:val="TableText"/>
              <w:ind w:left="409"/>
              <w:spacing w:before="58" w:line="225" w:lineRule="auto"/>
              <w:rPr>
                <w:sz w:val="19"/>
                <w:szCs w:val="19"/>
              </w:rPr>
            </w:pPr>
            <w:r>
              <w:rPr>
                <w:sz w:val="19"/>
                <w:szCs w:val="19"/>
                <w:b/>
                <w:bCs/>
                <w:spacing w:val="7"/>
              </w:rPr>
              <w:t>转移支付</w:t>
            </w:r>
          </w:p>
          <w:p>
            <w:pPr>
              <w:pStyle w:val="TableText"/>
              <w:ind w:left="416"/>
              <w:spacing w:before="54" w:line="211" w:lineRule="auto"/>
              <w:rPr>
                <w:sz w:val="19"/>
                <w:szCs w:val="19"/>
              </w:rPr>
            </w:pPr>
            <w:r>
              <w:rPr>
                <w:sz w:val="19"/>
                <w:szCs w:val="19"/>
                <w:b/>
                <w:bCs/>
                <w:spacing w:val="5"/>
              </w:rPr>
              <w:t>收入安排</w:t>
            </w:r>
          </w:p>
        </w:tc>
        <w:tc>
          <w:tcPr>
            <w:tcW w:w="1149" w:type="dxa"/>
            <w:vAlign w:val="top"/>
            <w:tcBorders>
              <w:top w:val="single" w:color="000000" w:sz="6" w:space="0"/>
            </w:tcBorders>
          </w:tcPr>
          <w:p>
            <w:pPr>
              <w:pStyle w:val="TableText"/>
              <w:ind w:left="178"/>
              <w:spacing w:before="204" w:line="225" w:lineRule="auto"/>
              <w:rPr>
                <w:sz w:val="19"/>
                <w:szCs w:val="19"/>
              </w:rPr>
            </w:pPr>
            <w:r>
              <w:rPr>
                <w:sz w:val="19"/>
                <w:szCs w:val="19"/>
                <w:b/>
                <w:bCs/>
                <w:spacing w:val="7"/>
              </w:rPr>
              <w:t>上年结余</w:t>
            </w:r>
          </w:p>
        </w:tc>
        <w:tc>
          <w:tcPr>
            <w:tcW w:w="1159" w:type="dxa"/>
            <w:vAlign w:val="top"/>
            <w:tcBorders>
              <w:top w:val="single" w:color="000000" w:sz="6" w:space="0"/>
            </w:tcBorders>
          </w:tcPr>
          <w:p>
            <w:pPr>
              <w:pStyle w:val="TableText"/>
              <w:ind w:left="382"/>
              <w:spacing w:before="66" w:line="211" w:lineRule="auto"/>
              <w:rPr>
                <w:sz w:val="19"/>
                <w:szCs w:val="19"/>
              </w:rPr>
            </w:pPr>
            <w:r>
              <w:rPr>
                <w:sz w:val="19"/>
                <w:szCs w:val="19"/>
                <w:b/>
                <w:bCs/>
                <w:spacing w:val="6"/>
              </w:rPr>
              <w:t>调入</w:t>
            </w:r>
          </w:p>
          <w:p>
            <w:pPr>
              <w:pStyle w:val="TableText"/>
              <w:ind w:left="386"/>
              <w:spacing w:before="56" w:line="214" w:lineRule="auto"/>
              <w:rPr>
                <w:sz w:val="19"/>
                <w:szCs w:val="19"/>
              </w:rPr>
            </w:pPr>
            <w:r>
              <w:rPr>
                <w:sz w:val="19"/>
                <w:szCs w:val="19"/>
                <w:b/>
                <w:bCs/>
                <w:spacing w:val="4"/>
              </w:rPr>
              <w:t>资金</w:t>
            </w:r>
          </w:p>
        </w:tc>
        <w:tc>
          <w:tcPr>
            <w:tcW w:w="1256" w:type="dxa"/>
            <w:vAlign w:val="top"/>
            <w:tcBorders>
              <w:top w:val="single" w:color="000000" w:sz="6" w:space="0"/>
            </w:tcBorders>
          </w:tcPr>
          <w:p>
            <w:pPr>
              <w:pStyle w:val="TableText"/>
              <w:ind w:left="332"/>
              <w:spacing w:before="61" w:line="219" w:lineRule="auto"/>
              <w:rPr>
                <w:sz w:val="19"/>
                <w:szCs w:val="19"/>
              </w:rPr>
            </w:pPr>
            <w:r>
              <w:rPr>
                <w:sz w:val="19"/>
                <w:szCs w:val="19"/>
                <w:b/>
                <w:bCs/>
                <w:spacing w:val="6"/>
              </w:rPr>
              <w:t>政府债</w:t>
            </w:r>
          </w:p>
          <w:p>
            <w:pPr>
              <w:pStyle w:val="TableText"/>
              <w:ind w:left="331"/>
              <w:spacing w:before="54" w:line="214" w:lineRule="auto"/>
              <w:rPr>
                <w:sz w:val="19"/>
                <w:szCs w:val="19"/>
              </w:rPr>
            </w:pPr>
            <w:r>
              <w:rPr>
                <w:sz w:val="19"/>
                <w:szCs w:val="19"/>
                <w:b/>
                <w:bCs/>
                <w:spacing w:val="6"/>
              </w:rPr>
              <w:t>务资金</w:t>
            </w:r>
          </w:p>
        </w:tc>
        <w:tc>
          <w:tcPr>
            <w:tcW w:w="1179" w:type="dxa"/>
            <w:vAlign w:val="top"/>
            <w:tcBorders>
              <w:right w:val="single" w:color="000000" w:sz="6" w:space="0"/>
              <w:top w:val="single" w:color="000000" w:sz="6" w:space="0"/>
            </w:tcBorders>
          </w:tcPr>
          <w:p>
            <w:pPr>
              <w:pStyle w:val="TableText"/>
              <w:ind w:left="390"/>
              <w:spacing w:before="60" w:line="222" w:lineRule="auto"/>
              <w:rPr>
                <w:sz w:val="19"/>
                <w:szCs w:val="19"/>
              </w:rPr>
            </w:pPr>
            <w:r>
              <w:rPr>
                <w:sz w:val="19"/>
                <w:szCs w:val="19"/>
                <w:b/>
                <w:bCs/>
                <w:spacing w:val="6"/>
              </w:rPr>
              <w:t>其他</w:t>
            </w:r>
          </w:p>
          <w:p>
            <w:pPr>
              <w:pStyle w:val="TableText"/>
              <w:ind w:left="395"/>
              <w:spacing w:before="52" w:line="214" w:lineRule="auto"/>
              <w:rPr>
                <w:sz w:val="19"/>
                <w:szCs w:val="19"/>
              </w:rPr>
            </w:pPr>
            <w:r>
              <w:rPr>
                <w:sz w:val="19"/>
                <w:szCs w:val="19"/>
                <w:b/>
                <w:bCs/>
                <w:spacing w:val="4"/>
              </w:rPr>
              <w:t>资金</w:t>
            </w:r>
          </w:p>
        </w:tc>
      </w:tr>
      <w:tr>
        <w:trPr>
          <w:trHeight w:val="359" w:hRule="atLeast"/>
        </w:trPr>
        <w:tc>
          <w:tcPr>
            <w:tcW w:w="4777" w:type="dxa"/>
            <w:vAlign w:val="top"/>
            <w:tcBorders>
              <w:left w:val="single" w:color="000000" w:sz="6" w:space="0"/>
            </w:tcBorders>
          </w:tcPr>
          <w:p>
            <w:pPr>
              <w:pStyle w:val="TableText"/>
              <w:ind w:left="509"/>
              <w:spacing w:before="99" w:line="221" w:lineRule="auto"/>
              <w:rPr>
                <w:sz w:val="19"/>
                <w:szCs w:val="19"/>
              </w:rPr>
            </w:pPr>
            <w:r>
              <w:rPr>
                <w:sz w:val="19"/>
                <w:szCs w:val="19"/>
                <w:spacing w:val="9"/>
              </w:rPr>
              <w:t>污水处理费安排的支出</w:t>
            </w:r>
          </w:p>
        </w:tc>
        <w:tc>
          <w:tcPr>
            <w:tcW w:w="1106" w:type="dxa"/>
            <w:vAlign w:val="top"/>
          </w:tcPr>
          <w:p>
            <w:pPr>
              <w:pStyle w:val="TableText"/>
              <w:ind w:left="699"/>
              <w:spacing w:before="94" w:line="255" w:lineRule="exact"/>
              <w:rPr>
                <w:sz w:val="19"/>
                <w:szCs w:val="19"/>
              </w:rPr>
            </w:pPr>
            <w:r>
              <w:rPr>
                <w:sz w:val="19"/>
                <w:szCs w:val="19"/>
                <w:spacing w:val="2"/>
                <w:position w:val="1"/>
              </w:rPr>
              <w:t>700</w:t>
            </w:r>
          </w:p>
        </w:tc>
        <w:tc>
          <w:tcPr>
            <w:tcW w:w="1651" w:type="dxa"/>
            <w:vAlign w:val="top"/>
          </w:tcPr>
          <w:p>
            <w:pPr>
              <w:pStyle w:val="TableText"/>
              <w:ind w:left="1246"/>
              <w:spacing w:before="94" w:line="255" w:lineRule="exact"/>
              <w:rPr>
                <w:sz w:val="19"/>
                <w:szCs w:val="19"/>
              </w:rPr>
            </w:pPr>
            <w:r>
              <w:rPr>
                <w:sz w:val="19"/>
                <w:szCs w:val="19"/>
                <w:spacing w:val="2"/>
                <w:position w:val="1"/>
              </w:rPr>
              <w:t>700</w:t>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359" w:hRule="atLeast"/>
        </w:trPr>
        <w:tc>
          <w:tcPr>
            <w:tcW w:w="4777" w:type="dxa"/>
            <w:vAlign w:val="top"/>
            <w:tcBorders>
              <w:left w:val="single" w:color="000000" w:sz="6" w:space="0"/>
            </w:tcBorders>
          </w:tcPr>
          <w:p>
            <w:pPr>
              <w:pStyle w:val="TableText"/>
              <w:ind w:left="510"/>
              <w:spacing w:before="98" w:line="223" w:lineRule="auto"/>
              <w:rPr>
                <w:sz w:val="19"/>
                <w:szCs w:val="19"/>
              </w:rPr>
            </w:pPr>
            <w:r>
              <w:rPr>
                <w:sz w:val="19"/>
                <w:szCs w:val="19"/>
                <w:spacing w:val="9"/>
              </w:rPr>
              <w:t>土地储备专项债券收入安排的支出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359" w:hRule="atLeast"/>
        </w:trPr>
        <w:tc>
          <w:tcPr>
            <w:tcW w:w="4777" w:type="dxa"/>
            <w:vAlign w:val="top"/>
            <w:tcBorders>
              <w:left w:val="single" w:color="000000" w:sz="6" w:space="0"/>
            </w:tcBorders>
          </w:tcPr>
          <w:p>
            <w:pPr>
              <w:pStyle w:val="TableText"/>
              <w:ind w:left="506"/>
              <w:spacing w:before="99" w:line="223" w:lineRule="auto"/>
              <w:rPr>
                <w:sz w:val="19"/>
                <w:szCs w:val="19"/>
              </w:rPr>
            </w:pPr>
            <w:r>
              <w:rPr>
                <w:sz w:val="19"/>
                <w:szCs w:val="19"/>
                <w:spacing w:val="9"/>
              </w:rPr>
              <w:t>棚户区改造专项债券收入安排的支出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604" w:hRule="atLeast"/>
        </w:trPr>
        <w:tc>
          <w:tcPr>
            <w:tcW w:w="4777" w:type="dxa"/>
            <w:vAlign w:val="top"/>
            <w:tcBorders>
              <w:left w:val="single" w:color="000000" w:sz="6" w:space="0"/>
            </w:tcBorders>
          </w:tcPr>
          <w:p>
            <w:pPr>
              <w:pStyle w:val="TableText"/>
              <w:ind w:left="108" w:right="264" w:firstLine="397"/>
              <w:spacing w:before="73" w:line="253" w:lineRule="auto"/>
              <w:rPr>
                <w:sz w:val="19"/>
                <w:szCs w:val="19"/>
              </w:rPr>
            </w:pPr>
            <w:r>
              <w:rPr>
                <w:sz w:val="19"/>
                <w:szCs w:val="19"/>
                <w:spacing w:val="9"/>
              </w:rPr>
              <w:t>城市基础设施配套费对应专项债务收入安排的</w:t>
            </w:r>
            <w:r>
              <w:rPr>
                <w:sz w:val="19"/>
                <w:szCs w:val="19"/>
                <w:spacing w:val="6"/>
              </w:rPr>
              <w:t>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359" w:hRule="atLeast"/>
        </w:trPr>
        <w:tc>
          <w:tcPr>
            <w:tcW w:w="4777" w:type="dxa"/>
            <w:vAlign w:val="top"/>
            <w:tcBorders>
              <w:left w:val="single" w:color="000000" w:sz="6" w:space="0"/>
            </w:tcBorders>
          </w:tcPr>
          <w:p>
            <w:pPr>
              <w:pStyle w:val="TableText"/>
              <w:ind w:left="509"/>
              <w:spacing w:before="102" w:line="223" w:lineRule="auto"/>
              <w:rPr>
                <w:sz w:val="19"/>
                <w:szCs w:val="19"/>
              </w:rPr>
            </w:pPr>
            <w:r>
              <w:rPr>
                <w:sz w:val="19"/>
                <w:szCs w:val="19"/>
                <w:spacing w:val="9"/>
              </w:rPr>
              <w:t>污水处理费对应专项债务收入安排的支出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604" w:hRule="atLeast"/>
        </w:trPr>
        <w:tc>
          <w:tcPr>
            <w:tcW w:w="4777" w:type="dxa"/>
            <w:vAlign w:val="top"/>
            <w:tcBorders>
              <w:left w:val="single" w:color="000000" w:sz="6" w:space="0"/>
            </w:tcBorders>
          </w:tcPr>
          <w:p>
            <w:pPr>
              <w:pStyle w:val="TableText"/>
              <w:ind w:left="108" w:right="144" w:firstLine="416"/>
              <w:spacing w:before="73" w:line="253" w:lineRule="auto"/>
              <w:rPr>
                <w:sz w:val="19"/>
                <w:szCs w:val="19"/>
              </w:rPr>
            </w:pPr>
            <w:r>
              <w:rPr>
                <w:sz w:val="19"/>
                <w:szCs w:val="19"/>
                <w:spacing w:val="-4"/>
              </w:rPr>
              <w:t>国有土地使用权出让收入对应专项债务收入安排的</w:t>
            </w:r>
            <w:r>
              <w:rPr>
                <w:sz w:val="19"/>
                <w:szCs w:val="19"/>
                <w:spacing w:val="-1"/>
              </w:rPr>
              <w:t>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359" w:hRule="atLeast"/>
        </w:trPr>
        <w:tc>
          <w:tcPr>
            <w:tcW w:w="4777" w:type="dxa"/>
            <w:vAlign w:val="top"/>
            <w:tcBorders>
              <w:left w:val="single" w:color="000000" w:sz="6" w:space="0"/>
            </w:tcBorders>
          </w:tcPr>
          <w:p>
            <w:pPr>
              <w:pStyle w:val="TableText"/>
              <w:ind w:left="111"/>
              <w:spacing w:before="105" w:line="218" w:lineRule="auto"/>
              <w:rPr>
                <w:sz w:val="19"/>
                <w:szCs w:val="19"/>
              </w:rPr>
            </w:pPr>
            <w:r>
              <w:rPr>
                <w:sz w:val="19"/>
                <w:szCs w:val="19"/>
                <w:spacing w:val="8"/>
              </w:rPr>
              <w:t>五、农林水支出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359" w:hRule="atLeast"/>
        </w:trPr>
        <w:tc>
          <w:tcPr>
            <w:tcW w:w="4777" w:type="dxa"/>
            <w:vAlign w:val="top"/>
            <w:tcBorders>
              <w:left w:val="single" w:color="000000" w:sz="6" w:space="0"/>
            </w:tcBorders>
          </w:tcPr>
          <w:p>
            <w:pPr>
              <w:pStyle w:val="TableText"/>
              <w:ind w:left="510"/>
              <w:spacing w:before="104" w:line="221" w:lineRule="auto"/>
              <w:rPr>
                <w:sz w:val="19"/>
                <w:szCs w:val="19"/>
              </w:rPr>
            </w:pPr>
            <w:r>
              <w:rPr>
                <w:sz w:val="19"/>
                <w:szCs w:val="19"/>
                <w:spacing w:val="9"/>
              </w:rPr>
              <w:t>大中型水库库区基金安排的支出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359" w:hRule="atLeast"/>
        </w:trPr>
        <w:tc>
          <w:tcPr>
            <w:tcW w:w="4777" w:type="dxa"/>
            <w:vAlign w:val="top"/>
            <w:tcBorders>
              <w:left w:val="single" w:color="000000" w:sz="6" w:space="0"/>
            </w:tcBorders>
          </w:tcPr>
          <w:p>
            <w:pPr>
              <w:pStyle w:val="TableText"/>
              <w:ind w:left="509"/>
              <w:spacing w:before="104" w:line="221" w:lineRule="auto"/>
              <w:rPr>
                <w:sz w:val="19"/>
                <w:szCs w:val="19"/>
              </w:rPr>
            </w:pPr>
            <w:r>
              <w:rPr>
                <w:sz w:val="19"/>
                <w:szCs w:val="19"/>
                <w:spacing w:val="9"/>
              </w:rPr>
              <w:t>三峡水库库区基金支出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359" w:hRule="atLeast"/>
        </w:trPr>
        <w:tc>
          <w:tcPr>
            <w:tcW w:w="4777" w:type="dxa"/>
            <w:vAlign w:val="top"/>
            <w:tcBorders>
              <w:left w:val="single" w:color="000000" w:sz="6" w:space="0"/>
            </w:tcBorders>
          </w:tcPr>
          <w:p>
            <w:pPr>
              <w:pStyle w:val="TableText"/>
              <w:ind w:left="525"/>
              <w:spacing w:before="104" w:line="221" w:lineRule="auto"/>
              <w:rPr>
                <w:sz w:val="19"/>
                <w:szCs w:val="19"/>
              </w:rPr>
            </w:pPr>
            <w:r>
              <w:rPr>
                <w:sz w:val="19"/>
                <w:szCs w:val="19"/>
                <w:spacing w:val="8"/>
              </w:rPr>
              <w:t>国家重大水利工程建设基金安排的支出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604" w:hRule="atLeast"/>
        </w:trPr>
        <w:tc>
          <w:tcPr>
            <w:tcW w:w="4777" w:type="dxa"/>
            <w:vAlign w:val="top"/>
            <w:tcBorders>
              <w:left w:val="single" w:color="000000" w:sz="6" w:space="0"/>
            </w:tcBorders>
          </w:tcPr>
          <w:p>
            <w:pPr>
              <w:pStyle w:val="TableText"/>
              <w:ind w:left="108" w:right="264" w:firstLine="401"/>
              <w:spacing w:before="79" w:line="250" w:lineRule="auto"/>
              <w:rPr>
                <w:sz w:val="19"/>
                <w:szCs w:val="19"/>
              </w:rPr>
            </w:pPr>
            <w:r>
              <w:rPr>
                <w:sz w:val="19"/>
                <w:szCs w:val="19"/>
                <w:spacing w:val="9"/>
              </w:rPr>
              <w:t>大中型水库库区基金对应专项债务收入安排的</w:t>
            </w:r>
            <w:r>
              <w:rPr>
                <w:sz w:val="19"/>
                <w:szCs w:val="19"/>
                <w:spacing w:val="6"/>
              </w:rPr>
              <w:t>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604" w:hRule="atLeast"/>
        </w:trPr>
        <w:tc>
          <w:tcPr>
            <w:tcW w:w="4777" w:type="dxa"/>
            <w:vAlign w:val="top"/>
            <w:tcBorders>
              <w:left w:val="single" w:color="000000" w:sz="6" w:space="0"/>
            </w:tcBorders>
          </w:tcPr>
          <w:p>
            <w:pPr>
              <w:pStyle w:val="TableText"/>
              <w:ind w:left="107" w:right="264" w:firstLine="417"/>
              <w:spacing w:before="81" w:line="249" w:lineRule="auto"/>
              <w:rPr>
                <w:sz w:val="19"/>
                <w:szCs w:val="19"/>
              </w:rPr>
            </w:pPr>
            <w:r>
              <w:rPr>
                <w:sz w:val="19"/>
                <w:szCs w:val="19"/>
                <w:spacing w:val="8"/>
              </w:rPr>
              <w:t>国家重大水利工程建设基金对应专项债务收入</w:t>
            </w:r>
            <w:r>
              <w:rPr>
                <w:sz w:val="19"/>
                <w:szCs w:val="19"/>
                <w:spacing w:val="8"/>
              </w:rPr>
              <w:t>安排的支出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359" w:hRule="atLeast"/>
        </w:trPr>
        <w:tc>
          <w:tcPr>
            <w:tcW w:w="4777" w:type="dxa"/>
            <w:vAlign w:val="top"/>
            <w:tcBorders>
              <w:left w:val="single" w:color="000000" w:sz="6" w:space="0"/>
            </w:tcBorders>
          </w:tcPr>
          <w:p>
            <w:pPr>
              <w:pStyle w:val="TableText"/>
              <w:ind w:left="107"/>
              <w:spacing w:before="111" w:line="218" w:lineRule="auto"/>
              <w:rPr>
                <w:sz w:val="19"/>
                <w:szCs w:val="19"/>
              </w:rPr>
            </w:pPr>
            <w:r>
              <w:rPr>
                <w:sz w:val="19"/>
                <w:szCs w:val="19"/>
                <w:spacing w:val="9"/>
              </w:rPr>
              <w:t>六、交通运输支出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360" w:hRule="atLeast"/>
        </w:trPr>
        <w:tc>
          <w:tcPr>
            <w:tcW w:w="4777" w:type="dxa"/>
            <w:vAlign w:val="top"/>
            <w:tcBorders>
              <w:left w:val="single" w:color="000000" w:sz="6" w:space="0"/>
            </w:tcBorders>
          </w:tcPr>
          <w:p>
            <w:pPr>
              <w:pStyle w:val="TableText"/>
              <w:ind w:left="506"/>
              <w:spacing w:before="109" w:line="222" w:lineRule="auto"/>
              <w:rPr>
                <w:sz w:val="19"/>
                <w:szCs w:val="19"/>
              </w:rPr>
            </w:pPr>
            <w:r>
              <w:rPr>
                <w:sz w:val="19"/>
                <w:szCs w:val="19"/>
                <w:spacing w:val="9"/>
              </w:rPr>
              <w:t>海南省高等级公路车辆通行附加费安排的支出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360" w:hRule="atLeast"/>
        </w:trPr>
        <w:tc>
          <w:tcPr>
            <w:tcW w:w="4777" w:type="dxa"/>
            <w:vAlign w:val="top"/>
            <w:tcBorders>
              <w:left w:val="single" w:color="000000" w:sz="6" w:space="0"/>
            </w:tcBorders>
          </w:tcPr>
          <w:p>
            <w:pPr>
              <w:pStyle w:val="TableText"/>
              <w:ind w:left="510"/>
              <w:spacing w:before="110" w:line="221" w:lineRule="auto"/>
              <w:rPr>
                <w:sz w:val="19"/>
                <w:szCs w:val="19"/>
              </w:rPr>
            </w:pPr>
            <w:r>
              <w:rPr>
                <w:sz w:val="19"/>
                <w:szCs w:val="19"/>
                <w:spacing w:val="8"/>
              </w:rPr>
              <w:t>车辆通行费安排的支出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360" w:hRule="atLeast"/>
        </w:trPr>
        <w:tc>
          <w:tcPr>
            <w:tcW w:w="4777" w:type="dxa"/>
            <w:vAlign w:val="top"/>
            <w:tcBorders>
              <w:left w:val="single" w:color="000000" w:sz="6" w:space="0"/>
            </w:tcBorders>
          </w:tcPr>
          <w:p>
            <w:pPr>
              <w:pStyle w:val="TableText"/>
              <w:ind w:left="506"/>
              <w:spacing w:before="109" w:line="225" w:lineRule="auto"/>
              <w:rPr>
                <w:sz w:val="19"/>
                <w:szCs w:val="19"/>
              </w:rPr>
            </w:pPr>
            <w:r>
              <w:rPr>
                <w:sz w:val="19"/>
                <w:szCs w:val="19"/>
                <w:spacing w:val="9"/>
              </w:rPr>
              <w:t>港口建设费安排的支出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369" w:hRule="atLeast"/>
        </w:trPr>
        <w:tc>
          <w:tcPr>
            <w:tcW w:w="4777" w:type="dxa"/>
            <w:vAlign w:val="top"/>
            <w:tcBorders>
              <w:left w:val="single" w:color="000000" w:sz="6" w:space="0"/>
              <w:bottom w:val="single" w:color="000000" w:sz="6" w:space="0"/>
            </w:tcBorders>
          </w:tcPr>
          <w:p>
            <w:pPr>
              <w:pStyle w:val="TableText"/>
              <w:ind w:left="505"/>
              <w:spacing w:before="109" w:line="222" w:lineRule="auto"/>
              <w:rPr>
                <w:sz w:val="19"/>
                <w:szCs w:val="19"/>
              </w:rPr>
            </w:pPr>
            <w:r>
              <w:rPr>
                <w:sz w:val="19"/>
                <w:szCs w:val="19"/>
                <w:spacing w:val="9"/>
              </w:rPr>
              <w:t>铁路建设基金支出</w:t>
            </w:r>
          </w:p>
        </w:tc>
        <w:tc>
          <w:tcPr>
            <w:tcW w:w="1106" w:type="dxa"/>
            <w:vAlign w:val="top"/>
            <w:tcBorders>
              <w:bottom w:val="single" w:color="000000" w:sz="6" w:space="0"/>
            </w:tcBorders>
          </w:tcPr>
          <w:p>
            <w:pPr>
              <w:rPr>
                <w:rFonts w:ascii="Arial"/>
                <w:sz w:val="21"/>
              </w:rPr>
            </w:pPr>
            <w:r/>
          </w:p>
        </w:tc>
        <w:tc>
          <w:tcPr>
            <w:tcW w:w="1651" w:type="dxa"/>
            <w:vAlign w:val="top"/>
            <w:tcBorders>
              <w:bottom w:val="single" w:color="000000" w:sz="6" w:space="0"/>
            </w:tcBorders>
          </w:tcPr>
          <w:p>
            <w:pPr>
              <w:rPr>
                <w:rFonts w:ascii="Arial"/>
                <w:sz w:val="21"/>
              </w:rPr>
            </w:pPr>
            <w:r/>
          </w:p>
        </w:tc>
        <w:tc>
          <w:tcPr>
            <w:tcW w:w="1619" w:type="dxa"/>
            <w:vAlign w:val="top"/>
            <w:tcBorders>
              <w:bottom w:val="single" w:color="000000" w:sz="6" w:space="0"/>
            </w:tcBorders>
          </w:tcPr>
          <w:p>
            <w:pPr>
              <w:rPr>
                <w:rFonts w:ascii="Arial"/>
                <w:sz w:val="21"/>
              </w:rPr>
            </w:pPr>
            <w:r/>
          </w:p>
        </w:tc>
        <w:tc>
          <w:tcPr>
            <w:tcW w:w="1149" w:type="dxa"/>
            <w:vAlign w:val="top"/>
            <w:tcBorders>
              <w:bottom w:val="single" w:color="000000" w:sz="6" w:space="0"/>
            </w:tcBorders>
          </w:tcPr>
          <w:p>
            <w:pPr>
              <w:rPr>
                <w:rFonts w:ascii="Arial"/>
                <w:sz w:val="21"/>
              </w:rPr>
            </w:pPr>
            <w:r/>
          </w:p>
        </w:tc>
        <w:tc>
          <w:tcPr>
            <w:tcW w:w="1159" w:type="dxa"/>
            <w:vAlign w:val="top"/>
            <w:tcBorders>
              <w:bottom w:val="single" w:color="000000" w:sz="6" w:space="0"/>
            </w:tcBorders>
          </w:tcPr>
          <w:p>
            <w:pPr>
              <w:rPr>
                <w:rFonts w:ascii="Arial"/>
                <w:sz w:val="21"/>
              </w:rPr>
            </w:pPr>
            <w:r/>
          </w:p>
        </w:tc>
        <w:tc>
          <w:tcPr>
            <w:tcW w:w="1256" w:type="dxa"/>
            <w:vAlign w:val="top"/>
            <w:tcBorders>
              <w:bottom w:val="single" w:color="000000" w:sz="6" w:space="0"/>
            </w:tcBorders>
          </w:tcPr>
          <w:p>
            <w:pPr>
              <w:rPr>
                <w:rFonts w:ascii="Arial"/>
                <w:sz w:val="21"/>
              </w:rPr>
            </w:pPr>
            <w:r/>
          </w:p>
        </w:tc>
        <w:tc>
          <w:tcPr>
            <w:tcW w:w="1179"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104"/>
          <w:footerReference w:type="default" r:id="rId141"/>
          <w:pgSz w:w="16839" w:h="11906"/>
          <w:pgMar w:top="1792" w:right="1463" w:bottom="1660" w:left="1463" w:header="1428" w:footer="1289" w:gutter="0"/>
        </w:sectPr>
        <w:rPr>
          <w:rFonts w:ascii="Arial" w:hAnsi="Arial" w:eastAsia="Arial" w:cs="Arial"/>
          <w:sz w:val="21"/>
          <w:szCs w:val="21"/>
        </w:rPr>
      </w:pPr>
    </w:p>
    <w:p>
      <w:pPr>
        <w:spacing w:line="192" w:lineRule="exact"/>
        <w:rPr/>
      </w:pPr>
      <w:r>
        <w:drawing>
          <wp:anchor distT="0" distB="0" distL="0" distR="0" simplePos="0" relativeHeight="251738112"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284" name="IM 284"/>
            <wp:cNvGraphicFramePr/>
            <a:graphic>
              <a:graphicData uri="http://schemas.openxmlformats.org/drawingml/2006/picture">
                <pic:pic>
                  <pic:nvPicPr>
                    <pic:cNvPr id="284" name="IM 284"/>
                    <pic:cNvPicPr/>
                  </pic:nvPicPr>
                  <pic:blipFill>
                    <a:blip r:embed="rId144"/>
                    <a:stretch>
                      <a:fillRect/>
                    </a:stretch>
                  </pic:blipFill>
                  <pic:spPr>
                    <a:xfrm rot="0">
                      <a:off x="0" y="0"/>
                      <a:ext cx="8712200" cy="7620"/>
                    </a:xfrm>
                    <a:prstGeom prst="rect">
                      <a:avLst/>
                    </a:prstGeom>
                  </pic:spPr>
                </pic:pic>
              </a:graphicData>
            </a:graphic>
          </wp:anchor>
        </w:drawing>
      </w: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777"/>
        <w:gridCol w:w="1106"/>
        <w:gridCol w:w="1651"/>
        <w:gridCol w:w="1619"/>
        <w:gridCol w:w="1149"/>
        <w:gridCol w:w="1159"/>
        <w:gridCol w:w="1256"/>
        <w:gridCol w:w="1179"/>
      </w:tblGrid>
      <w:tr>
        <w:trPr>
          <w:trHeight w:val="571" w:hRule="atLeast"/>
        </w:trPr>
        <w:tc>
          <w:tcPr>
            <w:tcW w:w="4777" w:type="dxa"/>
            <w:vAlign w:val="top"/>
            <w:tcBorders>
              <w:left w:val="single" w:color="000000" w:sz="6" w:space="0"/>
              <w:top w:val="single" w:color="000000" w:sz="6" w:space="0"/>
            </w:tcBorders>
          </w:tcPr>
          <w:p>
            <w:pPr>
              <w:pStyle w:val="TableText"/>
              <w:ind w:left="2185"/>
              <w:spacing w:before="211" w:line="212" w:lineRule="auto"/>
              <w:rPr>
                <w:sz w:val="19"/>
                <w:szCs w:val="19"/>
              </w:rPr>
            </w:pPr>
            <w:r>
              <w:rPr>
                <w:sz w:val="19"/>
                <w:szCs w:val="19"/>
                <w:b/>
                <w:bCs/>
                <w:spacing w:val="6"/>
              </w:rPr>
              <w:t>项目</w:t>
            </w:r>
          </w:p>
        </w:tc>
        <w:tc>
          <w:tcPr>
            <w:tcW w:w="1106" w:type="dxa"/>
            <w:vAlign w:val="top"/>
            <w:tcBorders>
              <w:top w:val="single" w:color="000000" w:sz="6" w:space="0"/>
            </w:tcBorders>
          </w:tcPr>
          <w:p>
            <w:pPr>
              <w:pStyle w:val="TableText"/>
              <w:ind w:left="350"/>
              <w:spacing w:before="206" w:line="223" w:lineRule="auto"/>
              <w:rPr>
                <w:sz w:val="19"/>
                <w:szCs w:val="19"/>
              </w:rPr>
            </w:pPr>
            <w:r>
              <w:rPr>
                <w:sz w:val="19"/>
                <w:szCs w:val="19"/>
                <w:b/>
                <w:bCs/>
                <w:spacing w:val="6"/>
              </w:rPr>
              <w:t>合计</w:t>
            </w:r>
          </w:p>
        </w:tc>
        <w:tc>
          <w:tcPr>
            <w:tcW w:w="1651" w:type="dxa"/>
            <w:vAlign w:val="top"/>
            <w:tcBorders>
              <w:top w:val="single" w:color="000000" w:sz="6" w:space="0"/>
            </w:tcBorders>
          </w:tcPr>
          <w:p>
            <w:pPr>
              <w:pStyle w:val="TableText"/>
              <w:ind w:left="438"/>
              <w:spacing w:before="59" w:line="221" w:lineRule="auto"/>
              <w:rPr>
                <w:sz w:val="19"/>
                <w:szCs w:val="19"/>
              </w:rPr>
            </w:pPr>
            <w:r>
              <w:rPr>
                <w:sz w:val="19"/>
                <w:szCs w:val="19"/>
                <w:b/>
                <w:bCs/>
                <w:spacing w:val="3"/>
              </w:rPr>
              <w:t>当年预算</w:t>
            </w:r>
          </w:p>
          <w:p>
            <w:pPr>
              <w:pStyle w:val="TableText"/>
              <w:ind w:left="430"/>
              <w:spacing w:before="56" w:line="211" w:lineRule="auto"/>
              <w:rPr>
                <w:sz w:val="19"/>
                <w:szCs w:val="19"/>
              </w:rPr>
            </w:pPr>
            <w:r>
              <w:rPr>
                <w:sz w:val="19"/>
                <w:szCs w:val="19"/>
                <w:b/>
                <w:bCs/>
                <w:spacing w:val="5"/>
              </w:rPr>
              <w:t>收入安排</w:t>
            </w:r>
          </w:p>
        </w:tc>
        <w:tc>
          <w:tcPr>
            <w:tcW w:w="1619" w:type="dxa"/>
            <w:vAlign w:val="top"/>
            <w:tcBorders>
              <w:top w:val="single" w:color="000000" w:sz="6" w:space="0"/>
            </w:tcBorders>
          </w:tcPr>
          <w:p>
            <w:pPr>
              <w:pStyle w:val="TableText"/>
              <w:ind w:left="409"/>
              <w:spacing w:before="58" w:line="225" w:lineRule="auto"/>
              <w:rPr>
                <w:sz w:val="19"/>
                <w:szCs w:val="19"/>
              </w:rPr>
            </w:pPr>
            <w:r>
              <w:rPr>
                <w:sz w:val="19"/>
                <w:szCs w:val="19"/>
                <w:b/>
                <w:bCs/>
                <w:spacing w:val="7"/>
              </w:rPr>
              <w:t>转移支付</w:t>
            </w:r>
          </w:p>
          <w:p>
            <w:pPr>
              <w:pStyle w:val="TableText"/>
              <w:ind w:left="416"/>
              <w:spacing w:before="54" w:line="211" w:lineRule="auto"/>
              <w:rPr>
                <w:sz w:val="19"/>
                <w:szCs w:val="19"/>
              </w:rPr>
            </w:pPr>
            <w:r>
              <w:rPr>
                <w:sz w:val="19"/>
                <w:szCs w:val="19"/>
                <w:b/>
                <w:bCs/>
                <w:spacing w:val="5"/>
              </w:rPr>
              <w:t>收入安排</w:t>
            </w:r>
          </w:p>
        </w:tc>
        <w:tc>
          <w:tcPr>
            <w:tcW w:w="1149" w:type="dxa"/>
            <w:vAlign w:val="top"/>
            <w:tcBorders>
              <w:top w:val="single" w:color="000000" w:sz="6" w:space="0"/>
            </w:tcBorders>
          </w:tcPr>
          <w:p>
            <w:pPr>
              <w:pStyle w:val="TableText"/>
              <w:ind w:left="178"/>
              <w:spacing w:before="204" w:line="225" w:lineRule="auto"/>
              <w:rPr>
                <w:sz w:val="19"/>
                <w:szCs w:val="19"/>
              </w:rPr>
            </w:pPr>
            <w:r>
              <w:rPr>
                <w:sz w:val="19"/>
                <w:szCs w:val="19"/>
                <w:b/>
                <w:bCs/>
                <w:spacing w:val="7"/>
              </w:rPr>
              <w:t>上年结余</w:t>
            </w:r>
          </w:p>
        </w:tc>
        <w:tc>
          <w:tcPr>
            <w:tcW w:w="1159" w:type="dxa"/>
            <w:vAlign w:val="top"/>
            <w:tcBorders>
              <w:top w:val="single" w:color="000000" w:sz="6" w:space="0"/>
            </w:tcBorders>
          </w:tcPr>
          <w:p>
            <w:pPr>
              <w:pStyle w:val="TableText"/>
              <w:ind w:left="382"/>
              <w:spacing w:before="66" w:line="211" w:lineRule="auto"/>
              <w:rPr>
                <w:sz w:val="19"/>
                <w:szCs w:val="19"/>
              </w:rPr>
            </w:pPr>
            <w:r>
              <w:rPr>
                <w:sz w:val="19"/>
                <w:szCs w:val="19"/>
                <w:b/>
                <w:bCs/>
                <w:spacing w:val="6"/>
              </w:rPr>
              <w:t>调入</w:t>
            </w:r>
          </w:p>
          <w:p>
            <w:pPr>
              <w:pStyle w:val="TableText"/>
              <w:ind w:left="386"/>
              <w:spacing w:before="56" w:line="214" w:lineRule="auto"/>
              <w:rPr>
                <w:sz w:val="19"/>
                <w:szCs w:val="19"/>
              </w:rPr>
            </w:pPr>
            <w:r>
              <w:rPr>
                <w:sz w:val="19"/>
                <w:szCs w:val="19"/>
                <w:b/>
                <w:bCs/>
                <w:spacing w:val="4"/>
              </w:rPr>
              <w:t>资金</w:t>
            </w:r>
          </w:p>
        </w:tc>
        <w:tc>
          <w:tcPr>
            <w:tcW w:w="1256" w:type="dxa"/>
            <w:vAlign w:val="top"/>
            <w:tcBorders>
              <w:top w:val="single" w:color="000000" w:sz="6" w:space="0"/>
            </w:tcBorders>
          </w:tcPr>
          <w:p>
            <w:pPr>
              <w:pStyle w:val="TableText"/>
              <w:ind w:left="332"/>
              <w:spacing w:before="61" w:line="219" w:lineRule="auto"/>
              <w:rPr>
                <w:sz w:val="19"/>
                <w:szCs w:val="19"/>
              </w:rPr>
            </w:pPr>
            <w:r>
              <w:rPr>
                <w:sz w:val="19"/>
                <w:szCs w:val="19"/>
                <w:b/>
                <w:bCs/>
                <w:spacing w:val="6"/>
              </w:rPr>
              <w:t>政府债</w:t>
            </w:r>
          </w:p>
          <w:p>
            <w:pPr>
              <w:pStyle w:val="TableText"/>
              <w:ind w:left="331"/>
              <w:spacing w:before="54" w:line="214" w:lineRule="auto"/>
              <w:rPr>
                <w:sz w:val="19"/>
                <w:szCs w:val="19"/>
              </w:rPr>
            </w:pPr>
            <w:r>
              <w:rPr>
                <w:sz w:val="19"/>
                <w:szCs w:val="19"/>
                <w:b/>
                <w:bCs/>
                <w:spacing w:val="6"/>
              </w:rPr>
              <w:t>务资金</w:t>
            </w:r>
          </w:p>
        </w:tc>
        <w:tc>
          <w:tcPr>
            <w:tcW w:w="1179" w:type="dxa"/>
            <w:vAlign w:val="top"/>
            <w:tcBorders>
              <w:right w:val="single" w:color="000000" w:sz="6" w:space="0"/>
              <w:top w:val="single" w:color="000000" w:sz="6" w:space="0"/>
            </w:tcBorders>
          </w:tcPr>
          <w:p>
            <w:pPr>
              <w:pStyle w:val="TableText"/>
              <w:ind w:left="390"/>
              <w:spacing w:before="60" w:line="222" w:lineRule="auto"/>
              <w:rPr>
                <w:sz w:val="19"/>
                <w:szCs w:val="19"/>
              </w:rPr>
            </w:pPr>
            <w:r>
              <w:rPr>
                <w:sz w:val="19"/>
                <w:szCs w:val="19"/>
                <w:b/>
                <w:bCs/>
                <w:spacing w:val="6"/>
              </w:rPr>
              <w:t>其他</w:t>
            </w:r>
          </w:p>
          <w:p>
            <w:pPr>
              <w:pStyle w:val="TableText"/>
              <w:ind w:left="395"/>
              <w:spacing w:before="52" w:line="214" w:lineRule="auto"/>
              <w:rPr>
                <w:sz w:val="19"/>
                <w:szCs w:val="19"/>
              </w:rPr>
            </w:pPr>
            <w:r>
              <w:rPr>
                <w:sz w:val="19"/>
                <w:szCs w:val="19"/>
                <w:b/>
                <w:bCs/>
                <w:spacing w:val="4"/>
              </w:rPr>
              <w:t>资金</w:t>
            </w:r>
          </w:p>
        </w:tc>
      </w:tr>
      <w:tr>
        <w:trPr>
          <w:trHeight w:val="360" w:hRule="atLeast"/>
        </w:trPr>
        <w:tc>
          <w:tcPr>
            <w:tcW w:w="4777" w:type="dxa"/>
            <w:vAlign w:val="top"/>
            <w:tcBorders>
              <w:left w:val="single" w:color="000000" w:sz="6" w:space="0"/>
            </w:tcBorders>
          </w:tcPr>
          <w:p>
            <w:pPr>
              <w:pStyle w:val="TableText"/>
              <w:ind w:left="506"/>
              <w:spacing w:before="98" w:line="220" w:lineRule="auto"/>
              <w:rPr>
                <w:sz w:val="19"/>
                <w:szCs w:val="19"/>
              </w:rPr>
            </w:pPr>
            <w:r>
              <w:rPr>
                <w:sz w:val="19"/>
                <w:szCs w:val="19"/>
                <w:spacing w:val="9"/>
              </w:rPr>
              <w:t>船舶油污损害赔偿基金支出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360" w:hRule="atLeast"/>
        </w:trPr>
        <w:tc>
          <w:tcPr>
            <w:tcW w:w="4777" w:type="dxa"/>
            <w:vAlign w:val="top"/>
            <w:tcBorders>
              <w:left w:val="single" w:color="000000" w:sz="6" w:space="0"/>
            </w:tcBorders>
          </w:tcPr>
          <w:p>
            <w:pPr>
              <w:pStyle w:val="TableText"/>
              <w:ind w:left="523"/>
              <w:spacing w:before="99" w:line="219" w:lineRule="auto"/>
              <w:rPr>
                <w:sz w:val="19"/>
                <w:szCs w:val="19"/>
              </w:rPr>
            </w:pPr>
            <w:r>
              <w:rPr>
                <w:sz w:val="19"/>
                <w:szCs w:val="19"/>
                <w:spacing w:val="7"/>
              </w:rPr>
              <w:t>民航发展基金支出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604" w:hRule="atLeast"/>
        </w:trPr>
        <w:tc>
          <w:tcPr>
            <w:tcW w:w="4777" w:type="dxa"/>
            <w:vAlign w:val="top"/>
            <w:tcBorders>
              <w:left w:val="single" w:color="000000" w:sz="6" w:space="0"/>
            </w:tcBorders>
          </w:tcPr>
          <w:p>
            <w:pPr>
              <w:pStyle w:val="TableText"/>
              <w:ind w:left="107" w:right="264" w:firstLine="398"/>
              <w:spacing w:before="71" w:line="254" w:lineRule="auto"/>
              <w:rPr>
                <w:sz w:val="19"/>
                <w:szCs w:val="19"/>
              </w:rPr>
            </w:pPr>
            <w:r>
              <w:rPr>
                <w:sz w:val="19"/>
                <w:szCs w:val="19"/>
                <w:spacing w:val="9"/>
              </w:rPr>
              <w:t>海南省高等级公路车辆通行附加费对应专项债</w:t>
            </w:r>
            <w:r>
              <w:rPr>
                <w:sz w:val="19"/>
                <w:szCs w:val="19"/>
                <w:spacing w:val="9"/>
              </w:rPr>
              <w:t>务收入安排的支出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360" w:hRule="atLeast"/>
        </w:trPr>
        <w:tc>
          <w:tcPr>
            <w:tcW w:w="4777" w:type="dxa"/>
            <w:vAlign w:val="top"/>
            <w:tcBorders>
              <w:left w:val="single" w:color="000000" w:sz="6" w:space="0"/>
            </w:tcBorders>
          </w:tcPr>
          <w:p>
            <w:pPr>
              <w:pStyle w:val="TableText"/>
              <w:ind w:left="506"/>
              <w:spacing w:before="98" w:line="222" w:lineRule="auto"/>
              <w:rPr>
                <w:sz w:val="19"/>
                <w:szCs w:val="19"/>
              </w:rPr>
            </w:pPr>
            <w:r>
              <w:rPr>
                <w:sz w:val="19"/>
                <w:szCs w:val="19"/>
                <w:spacing w:val="9"/>
              </w:rPr>
              <w:t>政府收费公路专项债券收入安排的支出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431" w:hRule="atLeast"/>
        </w:trPr>
        <w:tc>
          <w:tcPr>
            <w:tcW w:w="4777" w:type="dxa"/>
            <w:vAlign w:val="top"/>
            <w:tcBorders>
              <w:left w:val="single" w:color="000000" w:sz="6" w:space="0"/>
            </w:tcBorders>
          </w:tcPr>
          <w:p>
            <w:pPr>
              <w:pStyle w:val="TableText"/>
              <w:ind w:left="510"/>
              <w:spacing w:before="135" w:line="223" w:lineRule="auto"/>
              <w:rPr>
                <w:sz w:val="19"/>
                <w:szCs w:val="19"/>
              </w:rPr>
            </w:pPr>
            <w:r>
              <w:rPr>
                <w:sz w:val="19"/>
                <w:szCs w:val="19"/>
                <w:spacing w:val="9"/>
              </w:rPr>
              <w:t>车辆通行费对应专项债务收入安排的支出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431" w:hRule="atLeast"/>
        </w:trPr>
        <w:tc>
          <w:tcPr>
            <w:tcW w:w="4777" w:type="dxa"/>
            <w:vAlign w:val="top"/>
            <w:tcBorders>
              <w:left w:val="single" w:color="000000" w:sz="6" w:space="0"/>
            </w:tcBorders>
          </w:tcPr>
          <w:p>
            <w:pPr>
              <w:pStyle w:val="TableText"/>
              <w:ind w:left="506"/>
              <w:spacing w:before="134" w:line="225" w:lineRule="auto"/>
              <w:rPr>
                <w:sz w:val="19"/>
                <w:szCs w:val="19"/>
              </w:rPr>
            </w:pPr>
            <w:r>
              <w:rPr>
                <w:sz w:val="19"/>
                <w:szCs w:val="19"/>
                <w:spacing w:val="9"/>
              </w:rPr>
              <w:t>港口建设费对应专项债务收入安排的支出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431" w:hRule="atLeast"/>
        </w:trPr>
        <w:tc>
          <w:tcPr>
            <w:tcW w:w="4777" w:type="dxa"/>
            <w:vAlign w:val="top"/>
            <w:tcBorders>
              <w:left w:val="single" w:color="000000" w:sz="6" w:space="0"/>
            </w:tcBorders>
          </w:tcPr>
          <w:p>
            <w:pPr>
              <w:pStyle w:val="TableText"/>
              <w:ind w:left="106"/>
              <w:spacing w:before="136" w:line="223" w:lineRule="auto"/>
              <w:rPr>
                <w:sz w:val="19"/>
                <w:szCs w:val="19"/>
              </w:rPr>
            </w:pPr>
            <w:r>
              <w:rPr>
                <w:sz w:val="19"/>
                <w:szCs w:val="19"/>
                <w:spacing w:val="9"/>
              </w:rPr>
              <w:t>七、资源勘探工业信息等支出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431" w:hRule="atLeast"/>
        </w:trPr>
        <w:tc>
          <w:tcPr>
            <w:tcW w:w="4777" w:type="dxa"/>
            <w:vAlign w:val="top"/>
            <w:tcBorders>
              <w:left w:val="single" w:color="000000" w:sz="6" w:space="0"/>
            </w:tcBorders>
          </w:tcPr>
          <w:p>
            <w:pPr>
              <w:pStyle w:val="TableText"/>
              <w:ind w:left="502"/>
              <w:spacing w:before="136" w:line="223" w:lineRule="auto"/>
              <w:rPr>
                <w:sz w:val="19"/>
                <w:szCs w:val="19"/>
              </w:rPr>
            </w:pPr>
            <w:r>
              <w:rPr>
                <w:sz w:val="19"/>
                <w:szCs w:val="19"/>
                <w:spacing w:val="9"/>
              </w:rPr>
              <w:t>农网还贷资金支出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417" w:hRule="atLeast"/>
        </w:trPr>
        <w:tc>
          <w:tcPr>
            <w:tcW w:w="4777" w:type="dxa"/>
            <w:vAlign w:val="top"/>
            <w:tcBorders>
              <w:left w:val="single" w:color="000000" w:sz="6" w:space="0"/>
            </w:tcBorders>
          </w:tcPr>
          <w:p>
            <w:pPr>
              <w:pStyle w:val="TableText"/>
              <w:ind w:left="104"/>
              <w:spacing w:before="131" w:line="222" w:lineRule="auto"/>
              <w:rPr>
                <w:sz w:val="19"/>
                <w:szCs w:val="19"/>
              </w:rPr>
            </w:pPr>
            <w:r>
              <w:rPr>
                <w:sz w:val="19"/>
                <w:szCs w:val="19"/>
                <w:spacing w:val="9"/>
              </w:rPr>
              <w:t>八、其他支出</w:t>
            </w:r>
          </w:p>
        </w:tc>
        <w:tc>
          <w:tcPr>
            <w:tcW w:w="1106" w:type="dxa"/>
            <w:vAlign w:val="top"/>
          </w:tcPr>
          <w:p>
            <w:pPr>
              <w:pStyle w:val="TableText"/>
              <w:ind w:left="618"/>
              <w:spacing w:before="127" w:line="280" w:lineRule="exact"/>
              <w:rPr>
                <w:sz w:val="19"/>
                <w:szCs w:val="19"/>
              </w:rPr>
            </w:pPr>
            <w:r>
              <w:rPr>
                <w:sz w:val="19"/>
                <w:szCs w:val="19"/>
                <w:spacing w:val="-2"/>
                <w:position w:val="2"/>
              </w:rPr>
              <w:t>1494</w:t>
            </w:r>
          </w:p>
        </w:tc>
        <w:tc>
          <w:tcPr>
            <w:tcW w:w="1651" w:type="dxa"/>
            <w:vAlign w:val="top"/>
          </w:tcPr>
          <w:p>
            <w:pPr>
              <w:rPr>
                <w:rFonts w:ascii="Arial"/>
                <w:sz w:val="21"/>
              </w:rPr>
            </w:pPr>
            <w:r/>
          </w:p>
        </w:tc>
        <w:tc>
          <w:tcPr>
            <w:tcW w:w="1619" w:type="dxa"/>
            <w:vAlign w:val="top"/>
          </w:tcPr>
          <w:p>
            <w:pPr>
              <w:pStyle w:val="TableText"/>
              <w:ind w:left="1134"/>
              <w:spacing w:before="127" w:line="280" w:lineRule="exact"/>
              <w:rPr>
                <w:sz w:val="19"/>
                <w:szCs w:val="19"/>
              </w:rPr>
            </w:pPr>
            <w:r>
              <w:rPr>
                <w:sz w:val="19"/>
                <w:szCs w:val="19"/>
                <w:spacing w:val="-2"/>
                <w:position w:val="2"/>
              </w:rPr>
              <w:t>1494</w:t>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417" w:hRule="atLeast"/>
        </w:trPr>
        <w:tc>
          <w:tcPr>
            <w:tcW w:w="4777" w:type="dxa"/>
            <w:vAlign w:val="top"/>
            <w:tcBorders>
              <w:left w:val="single" w:color="000000" w:sz="6" w:space="0"/>
            </w:tcBorders>
          </w:tcPr>
          <w:p>
            <w:pPr>
              <w:pStyle w:val="TableText"/>
              <w:ind w:left="504"/>
              <w:spacing w:before="133" w:line="222" w:lineRule="auto"/>
              <w:rPr>
                <w:sz w:val="19"/>
                <w:szCs w:val="19"/>
              </w:rPr>
            </w:pPr>
            <w:r>
              <w:rPr>
                <w:sz w:val="19"/>
                <w:szCs w:val="19"/>
                <w:spacing w:val="-5"/>
              </w:rPr>
              <w:t>其他政府性基金及对应专项债务收入安排的支出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417" w:hRule="atLeast"/>
        </w:trPr>
        <w:tc>
          <w:tcPr>
            <w:tcW w:w="4777" w:type="dxa"/>
            <w:vAlign w:val="top"/>
            <w:tcBorders>
              <w:left w:val="single" w:color="000000" w:sz="6" w:space="0"/>
            </w:tcBorders>
          </w:tcPr>
          <w:p>
            <w:pPr>
              <w:pStyle w:val="TableText"/>
              <w:ind w:left="506"/>
              <w:spacing w:before="135" w:line="220" w:lineRule="auto"/>
              <w:rPr>
                <w:sz w:val="19"/>
                <w:szCs w:val="19"/>
              </w:rPr>
            </w:pPr>
            <w:r>
              <w:rPr>
                <w:sz w:val="19"/>
                <w:szCs w:val="19"/>
                <w:spacing w:val="9"/>
              </w:rPr>
              <w:t>彩票发行销售机构业务费安排的支出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417" w:hRule="atLeast"/>
        </w:trPr>
        <w:tc>
          <w:tcPr>
            <w:tcW w:w="4777" w:type="dxa"/>
            <w:vAlign w:val="top"/>
            <w:tcBorders>
              <w:left w:val="single" w:color="000000" w:sz="6" w:space="0"/>
            </w:tcBorders>
          </w:tcPr>
          <w:p>
            <w:pPr>
              <w:pStyle w:val="TableText"/>
              <w:ind w:left="506"/>
              <w:spacing w:before="136" w:line="218" w:lineRule="auto"/>
              <w:rPr>
                <w:sz w:val="19"/>
                <w:szCs w:val="19"/>
              </w:rPr>
            </w:pPr>
            <w:r>
              <w:rPr>
                <w:sz w:val="19"/>
                <w:szCs w:val="19"/>
                <w:spacing w:val="9"/>
              </w:rPr>
              <w:t>彩票公益金安排的支出</w:t>
            </w:r>
          </w:p>
        </w:tc>
        <w:tc>
          <w:tcPr>
            <w:tcW w:w="1106" w:type="dxa"/>
            <w:vAlign w:val="top"/>
          </w:tcPr>
          <w:p>
            <w:pPr>
              <w:pStyle w:val="TableText"/>
              <w:ind w:left="618"/>
              <w:spacing w:before="130" w:line="277" w:lineRule="exact"/>
              <w:rPr>
                <w:sz w:val="19"/>
                <w:szCs w:val="19"/>
              </w:rPr>
            </w:pPr>
            <w:r>
              <w:rPr>
                <w:sz w:val="19"/>
                <w:szCs w:val="19"/>
                <w:spacing w:val="-2"/>
                <w:position w:val="2"/>
              </w:rPr>
              <w:t>1494</w:t>
            </w:r>
          </w:p>
        </w:tc>
        <w:tc>
          <w:tcPr>
            <w:tcW w:w="1651" w:type="dxa"/>
            <w:vAlign w:val="top"/>
          </w:tcPr>
          <w:p>
            <w:pPr>
              <w:rPr>
                <w:rFonts w:ascii="Arial"/>
                <w:sz w:val="21"/>
              </w:rPr>
            </w:pPr>
            <w:r/>
          </w:p>
        </w:tc>
        <w:tc>
          <w:tcPr>
            <w:tcW w:w="1619" w:type="dxa"/>
            <w:vAlign w:val="top"/>
          </w:tcPr>
          <w:p>
            <w:pPr>
              <w:pStyle w:val="TableText"/>
              <w:ind w:left="1134"/>
              <w:spacing w:before="130" w:line="277" w:lineRule="exact"/>
              <w:rPr>
                <w:sz w:val="19"/>
                <w:szCs w:val="19"/>
              </w:rPr>
            </w:pPr>
            <w:r>
              <w:rPr>
                <w:sz w:val="19"/>
                <w:szCs w:val="19"/>
                <w:spacing w:val="-2"/>
                <w:position w:val="2"/>
              </w:rPr>
              <w:t>1494</w:t>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418" w:hRule="atLeast"/>
        </w:trPr>
        <w:tc>
          <w:tcPr>
            <w:tcW w:w="4777" w:type="dxa"/>
            <w:vAlign w:val="top"/>
            <w:tcBorders>
              <w:left w:val="single" w:color="000000" w:sz="6" w:space="0"/>
            </w:tcBorders>
          </w:tcPr>
          <w:p>
            <w:pPr>
              <w:pStyle w:val="TableText"/>
              <w:ind w:left="109"/>
              <w:spacing w:before="134" w:line="225" w:lineRule="auto"/>
              <w:rPr>
                <w:sz w:val="19"/>
                <w:szCs w:val="19"/>
              </w:rPr>
            </w:pPr>
            <w:r>
              <w:rPr>
                <w:sz w:val="19"/>
                <w:szCs w:val="19"/>
                <w:spacing w:val="8"/>
              </w:rPr>
              <w:t>九、债务付息支出</w:t>
            </w:r>
          </w:p>
        </w:tc>
        <w:tc>
          <w:tcPr>
            <w:tcW w:w="1106" w:type="dxa"/>
            <w:vAlign w:val="top"/>
          </w:tcPr>
          <w:p>
            <w:pPr>
              <w:pStyle w:val="TableText"/>
              <w:ind w:left="517"/>
              <w:spacing w:before="133" w:line="274" w:lineRule="exact"/>
              <w:rPr>
                <w:sz w:val="19"/>
                <w:szCs w:val="19"/>
              </w:rPr>
            </w:pPr>
            <w:r>
              <w:rPr>
                <w:sz w:val="19"/>
                <w:szCs w:val="19"/>
                <w:spacing w:val="-1"/>
                <w:position w:val="2"/>
              </w:rPr>
              <w:t>18355</w:t>
            </w:r>
          </w:p>
        </w:tc>
        <w:tc>
          <w:tcPr>
            <w:tcW w:w="1651" w:type="dxa"/>
            <w:vAlign w:val="top"/>
          </w:tcPr>
          <w:p>
            <w:pPr>
              <w:pStyle w:val="TableText"/>
              <w:ind w:left="1065"/>
              <w:spacing w:before="133" w:line="274" w:lineRule="exact"/>
              <w:rPr>
                <w:sz w:val="19"/>
                <w:szCs w:val="19"/>
              </w:rPr>
            </w:pPr>
            <w:r>
              <w:rPr>
                <w:sz w:val="19"/>
                <w:szCs w:val="19"/>
                <w:spacing w:val="-1"/>
                <w:position w:val="2"/>
              </w:rPr>
              <w:t>18355</w:t>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417" w:hRule="atLeast"/>
        </w:trPr>
        <w:tc>
          <w:tcPr>
            <w:tcW w:w="4777" w:type="dxa"/>
            <w:vAlign w:val="top"/>
            <w:tcBorders>
              <w:left w:val="single" w:color="000000" w:sz="6" w:space="0"/>
            </w:tcBorders>
          </w:tcPr>
          <w:p>
            <w:pPr>
              <w:pStyle w:val="TableText"/>
              <w:ind w:left="114"/>
              <w:spacing w:before="137" w:line="221" w:lineRule="auto"/>
              <w:rPr>
                <w:sz w:val="19"/>
                <w:szCs w:val="19"/>
              </w:rPr>
            </w:pPr>
            <w:r>
              <w:rPr>
                <w:sz w:val="19"/>
                <w:szCs w:val="19"/>
                <w:spacing w:val="8"/>
              </w:rPr>
              <w:t>十、债务发行费用支出</w:t>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417" w:hRule="atLeast"/>
        </w:trPr>
        <w:tc>
          <w:tcPr>
            <w:tcW w:w="4777" w:type="dxa"/>
            <w:vAlign w:val="top"/>
            <w:tcBorders>
              <w:left w:val="single" w:color="000000" w:sz="6" w:space="0"/>
            </w:tcBorders>
          </w:tcPr>
          <w:p>
            <w:pPr>
              <w:rPr>
                <w:rFonts w:ascii="Arial"/>
                <w:sz w:val="21"/>
              </w:rPr>
            </w:pPr>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417" w:hRule="atLeast"/>
        </w:trPr>
        <w:tc>
          <w:tcPr>
            <w:tcW w:w="4777" w:type="dxa"/>
            <w:vAlign w:val="top"/>
            <w:tcBorders>
              <w:left w:val="single" w:color="000000" w:sz="6" w:space="0"/>
            </w:tcBorders>
          </w:tcPr>
          <w:p>
            <w:pPr>
              <w:rPr>
                <w:rFonts w:ascii="Arial"/>
                <w:sz w:val="21"/>
              </w:rPr>
            </w:pPr>
            <w:r/>
          </w:p>
        </w:tc>
        <w:tc>
          <w:tcPr>
            <w:tcW w:w="1106" w:type="dxa"/>
            <w:vAlign w:val="top"/>
          </w:tcPr>
          <w:p>
            <w:pPr>
              <w:rPr>
                <w:rFonts w:ascii="Arial"/>
                <w:sz w:val="21"/>
              </w:rPr>
            </w:pPr>
            <w:r/>
          </w:p>
        </w:tc>
        <w:tc>
          <w:tcPr>
            <w:tcW w:w="1651" w:type="dxa"/>
            <w:vAlign w:val="top"/>
          </w:tcPr>
          <w:p>
            <w:pPr>
              <w:rPr>
                <w:rFonts w:ascii="Arial"/>
                <w:sz w:val="21"/>
              </w:rPr>
            </w:pPr>
            <w:r/>
          </w:p>
        </w:tc>
        <w:tc>
          <w:tcPr>
            <w:tcW w:w="1619" w:type="dxa"/>
            <w:vAlign w:val="top"/>
          </w:tcPr>
          <w:p>
            <w:pPr>
              <w:rPr>
                <w:rFonts w:ascii="Arial"/>
                <w:sz w:val="21"/>
              </w:rPr>
            </w:pPr>
            <w:r/>
          </w:p>
        </w:tc>
        <w:tc>
          <w:tcPr>
            <w:tcW w:w="1149" w:type="dxa"/>
            <w:vAlign w:val="top"/>
          </w:tcPr>
          <w:p>
            <w:pPr>
              <w:rPr>
                <w:rFonts w:ascii="Arial"/>
                <w:sz w:val="21"/>
              </w:rPr>
            </w:pPr>
            <w:r/>
          </w:p>
        </w:tc>
        <w:tc>
          <w:tcPr>
            <w:tcW w:w="1159" w:type="dxa"/>
            <w:vAlign w:val="top"/>
          </w:tcPr>
          <w:p>
            <w:pPr>
              <w:rPr>
                <w:rFonts w:ascii="Arial"/>
                <w:sz w:val="21"/>
              </w:rPr>
            </w:pPr>
            <w:r/>
          </w:p>
        </w:tc>
        <w:tc>
          <w:tcPr>
            <w:tcW w:w="1256" w:type="dxa"/>
            <w:vAlign w:val="top"/>
          </w:tcPr>
          <w:p>
            <w:pPr>
              <w:rPr>
                <w:rFonts w:ascii="Arial"/>
                <w:sz w:val="21"/>
              </w:rPr>
            </w:pPr>
            <w:r/>
          </w:p>
        </w:tc>
        <w:tc>
          <w:tcPr>
            <w:tcW w:w="1179" w:type="dxa"/>
            <w:vAlign w:val="top"/>
            <w:tcBorders>
              <w:right w:val="single" w:color="000000" w:sz="6" w:space="0"/>
            </w:tcBorders>
          </w:tcPr>
          <w:p>
            <w:pPr>
              <w:rPr>
                <w:rFonts w:ascii="Arial"/>
                <w:sz w:val="21"/>
              </w:rPr>
            </w:pPr>
            <w:r/>
          </w:p>
        </w:tc>
      </w:tr>
      <w:tr>
        <w:trPr>
          <w:trHeight w:val="430" w:hRule="atLeast"/>
        </w:trPr>
        <w:tc>
          <w:tcPr>
            <w:tcW w:w="4777" w:type="dxa"/>
            <w:vAlign w:val="top"/>
            <w:tcBorders>
              <w:left w:val="single" w:color="000000" w:sz="6" w:space="0"/>
              <w:bottom w:val="single" w:color="000000" w:sz="6" w:space="0"/>
            </w:tcBorders>
          </w:tcPr>
          <w:p>
            <w:pPr>
              <w:pStyle w:val="TableText"/>
              <w:ind w:left="108"/>
              <w:spacing w:before="141" w:line="220" w:lineRule="auto"/>
              <w:rPr>
                <w:sz w:val="19"/>
                <w:szCs w:val="19"/>
              </w:rPr>
            </w:pPr>
            <w:r>
              <w:rPr>
                <w:sz w:val="19"/>
                <w:szCs w:val="19"/>
                <w:b/>
                <w:bCs/>
                <w:spacing w:val="7"/>
              </w:rPr>
              <w:t>支出总计</w:t>
            </w:r>
          </w:p>
        </w:tc>
        <w:tc>
          <w:tcPr>
            <w:tcW w:w="1106" w:type="dxa"/>
            <w:vAlign w:val="top"/>
            <w:tcBorders>
              <w:bottom w:val="single" w:color="000000" w:sz="6" w:space="0"/>
            </w:tcBorders>
          </w:tcPr>
          <w:p>
            <w:pPr>
              <w:pStyle w:val="TableText"/>
              <w:ind w:left="419"/>
              <w:spacing w:before="137" w:line="282" w:lineRule="exact"/>
              <w:rPr>
                <w:sz w:val="19"/>
                <w:szCs w:val="19"/>
              </w:rPr>
            </w:pPr>
            <w:r>
              <w:rPr>
                <w:sz w:val="19"/>
                <w:szCs w:val="19"/>
                <w:position w:val="2"/>
              </w:rPr>
              <w:t>102194</w:t>
            </w:r>
          </w:p>
        </w:tc>
        <w:tc>
          <w:tcPr>
            <w:tcW w:w="1651" w:type="dxa"/>
            <w:vAlign w:val="top"/>
            <w:tcBorders>
              <w:bottom w:val="single" w:color="000000" w:sz="6" w:space="0"/>
            </w:tcBorders>
          </w:tcPr>
          <w:p>
            <w:pPr>
              <w:pStyle w:val="TableText"/>
              <w:ind w:left="966"/>
              <w:spacing w:before="137" w:line="282" w:lineRule="exact"/>
              <w:rPr>
                <w:sz w:val="19"/>
                <w:szCs w:val="19"/>
              </w:rPr>
            </w:pPr>
            <w:r>
              <w:rPr>
                <w:sz w:val="19"/>
                <w:szCs w:val="19"/>
                <w:position w:val="2"/>
              </w:rPr>
              <w:t>100700</w:t>
            </w:r>
          </w:p>
        </w:tc>
        <w:tc>
          <w:tcPr>
            <w:tcW w:w="1619" w:type="dxa"/>
            <w:vAlign w:val="top"/>
            <w:tcBorders>
              <w:bottom w:val="single" w:color="000000" w:sz="6" w:space="0"/>
            </w:tcBorders>
          </w:tcPr>
          <w:p>
            <w:pPr>
              <w:pStyle w:val="TableText"/>
              <w:ind w:left="1134"/>
              <w:spacing w:before="137" w:line="282" w:lineRule="exact"/>
              <w:rPr>
                <w:sz w:val="19"/>
                <w:szCs w:val="19"/>
              </w:rPr>
            </w:pPr>
            <w:r>
              <w:rPr>
                <w:sz w:val="19"/>
                <w:szCs w:val="19"/>
                <w:spacing w:val="-2"/>
                <w:position w:val="2"/>
              </w:rPr>
              <w:t>1494</w:t>
            </w:r>
          </w:p>
        </w:tc>
        <w:tc>
          <w:tcPr>
            <w:tcW w:w="1149" w:type="dxa"/>
            <w:vAlign w:val="top"/>
            <w:tcBorders>
              <w:bottom w:val="single" w:color="000000" w:sz="6" w:space="0"/>
            </w:tcBorders>
          </w:tcPr>
          <w:p>
            <w:pPr>
              <w:rPr>
                <w:rFonts w:ascii="Arial"/>
                <w:sz w:val="21"/>
              </w:rPr>
            </w:pPr>
            <w:r/>
          </w:p>
        </w:tc>
        <w:tc>
          <w:tcPr>
            <w:tcW w:w="1159" w:type="dxa"/>
            <w:vAlign w:val="top"/>
            <w:tcBorders>
              <w:bottom w:val="single" w:color="000000" w:sz="6" w:space="0"/>
            </w:tcBorders>
          </w:tcPr>
          <w:p>
            <w:pPr>
              <w:rPr>
                <w:rFonts w:ascii="Arial"/>
                <w:sz w:val="21"/>
              </w:rPr>
            </w:pPr>
            <w:r/>
          </w:p>
        </w:tc>
        <w:tc>
          <w:tcPr>
            <w:tcW w:w="1256" w:type="dxa"/>
            <w:vAlign w:val="top"/>
            <w:tcBorders>
              <w:bottom w:val="single" w:color="000000" w:sz="6" w:space="0"/>
            </w:tcBorders>
          </w:tcPr>
          <w:p>
            <w:pPr>
              <w:rPr>
                <w:rFonts w:ascii="Arial"/>
                <w:sz w:val="21"/>
              </w:rPr>
            </w:pPr>
            <w:r/>
          </w:p>
        </w:tc>
        <w:tc>
          <w:tcPr>
            <w:tcW w:w="1179" w:type="dxa"/>
            <w:vAlign w:val="top"/>
            <w:tcBorders>
              <w:bottom w:val="single" w:color="000000" w:sz="6" w:space="0"/>
              <w:right w:val="single" w:color="000000" w:sz="6" w:space="0"/>
            </w:tcBorders>
          </w:tcPr>
          <w:p>
            <w:pPr>
              <w:rPr>
                <w:rFonts w:ascii="Arial"/>
                <w:sz w:val="21"/>
              </w:rPr>
            </w:pPr>
            <w:r/>
          </w:p>
        </w:tc>
      </w:tr>
    </w:tbl>
    <w:p>
      <w:pPr>
        <w:rPr>
          <w:rFonts w:ascii="Arial"/>
          <w:sz w:val="21"/>
        </w:rPr>
      </w:pPr>
      <w:r/>
    </w:p>
    <w:p>
      <w:pPr>
        <w:sectPr>
          <w:headerReference w:type="default" r:id="rId61"/>
          <w:footerReference w:type="default" r:id="rId143"/>
          <w:pgSz w:w="16839" w:h="11906"/>
          <w:pgMar w:top="1792" w:right="1463" w:bottom="1671" w:left="1463" w:header="1428" w:footer="1277" w:gutter="0"/>
        </w:sectPr>
        <w:rPr>
          <w:rFonts w:ascii="Arial" w:hAnsi="Arial" w:eastAsia="Arial" w:cs="Arial"/>
          <w:sz w:val="21"/>
          <w:szCs w:val="21"/>
        </w:rPr>
      </w:pPr>
    </w:p>
    <w:p>
      <w:pPr>
        <w:ind w:left="132"/>
        <w:spacing w:before="260" w:line="180" w:lineRule="auto"/>
        <w:rPr>
          <w:rFonts w:ascii="Microsoft YaHei" w:hAnsi="Microsoft YaHei" w:eastAsia="Microsoft YaHei" w:cs="Microsoft YaHei"/>
          <w:sz w:val="20"/>
          <w:szCs w:val="20"/>
        </w:rPr>
      </w:pPr>
      <w:r>
        <w:drawing>
          <wp:anchor distT="0" distB="0" distL="0" distR="0" simplePos="0" relativeHeight="251740160"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288" name="IM 288"/>
            <wp:cNvGraphicFramePr/>
            <a:graphic>
              <a:graphicData uri="http://schemas.openxmlformats.org/drawingml/2006/picture">
                <pic:pic>
                  <pic:nvPicPr>
                    <pic:cNvPr id="288" name="IM 288"/>
                    <pic:cNvPicPr/>
                  </pic:nvPicPr>
                  <pic:blipFill>
                    <a:blip r:embed="rId146"/>
                    <a:stretch>
                      <a:fillRect/>
                    </a:stretch>
                  </pic:blipFill>
                  <pic:spPr>
                    <a:xfrm rot="0">
                      <a:off x="0" y="0"/>
                      <a:ext cx="8712200" cy="7620"/>
                    </a:xfrm>
                    <a:prstGeom prst="rect">
                      <a:avLst/>
                    </a:prstGeom>
                  </pic:spPr>
                </pic:pic>
              </a:graphicData>
            </a:graphic>
          </wp:anchor>
        </w:drawing>
      </w:r>
      <w:r>
        <w:rPr>
          <w:rFonts w:ascii="Microsoft YaHei" w:hAnsi="Microsoft YaHei" w:eastAsia="Microsoft YaHei" w:cs="Microsoft YaHei"/>
          <w:sz w:val="20"/>
          <w:szCs w:val="20"/>
          <w:spacing w:val="7"/>
        </w:rPr>
        <w:t>表十四</w:t>
      </w:r>
    </w:p>
    <w:p>
      <w:pPr>
        <w:pStyle w:val="BodyText"/>
        <w:ind w:left="3468"/>
        <w:spacing w:before="47" w:line="486" w:lineRule="exact"/>
        <w:rPr>
          <w:sz w:val="35"/>
          <w:szCs w:val="35"/>
        </w:rPr>
      </w:pPr>
      <w:r>
        <w:rPr>
          <w:sz w:val="35"/>
          <w:szCs w:val="35"/>
          <w:b/>
          <w:bCs/>
          <w:spacing w:val="3"/>
          <w:position w:val="2"/>
        </w:rPr>
        <w:t>固原市级</w:t>
      </w:r>
      <w:r>
        <w:rPr>
          <w:sz w:val="35"/>
          <w:szCs w:val="35"/>
          <w:spacing w:val="-68"/>
          <w:position w:val="2"/>
        </w:rPr>
        <w:t xml:space="preserve"> </w:t>
      </w:r>
      <w:r>
        <w:rPr>
          <w:sz w:val="35"/>
          <w:szCs w:val="35"/>
          <w:b/>
          <w:bCs/>
          <w:spacing w:val="3"/>
          <w:position w:val="2"/>
        </w:rPr>
        <w:t>2021</w:t>
      </w:r>
      <w:r>
        <w:rPr>
          <w:sz w:val="35"/>
          <w:szCs w:val="35"/>
          <w:spacing w:val="-77"/>
          <w:position w:val="2"/>
        </w:rPr>
        <w:t xml:space="preserve"> </w:t>
      </w:r>
      <w:r>
        <w:rPr>
          <w:sz w:val="35"/>
          <w:szCs w:val="35"/>
          <w:b/>
          <w:bCs/>
          <w:spacing w:val="3"/>
          <w:position w:val="2"/>
        </w:rPr>
        <w:t>年国有资本经营预算收支总表</w:t>
      </w:r>
    </w:p>
    <w:p>
      <w:pPr>
        <w:pStyle w:val="BodyText"/>
        <w:ind w:left="12740"/>
        <w:spacing w:line="221" w:lineRule="auto"/>
        <w:rPr/>
      </w:pPr>
      <w:r>
        <w:rPr>
          <w:spacing w:val="9"/>
        </w:rPr>
        <w:t>单位：万元</w:t>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66"/>
        <w:gridCol w:w="480"/>
        <w:gridCol w:w="482"/>
        <w:gridCol w:w="680"/>
        <w:gridCol w:w="570"/>
        <w:gridCol w:w="483"/>
        <w:gridCol w:w="680"/>
        <w:gridCol w:w="570"/>
        <w:gridCol w:w="3109"/>
        <w:gridCol w:w="482"/>
        <w:gridCol w:w="483"/>
        <w:gridCol w:w="680"/>
        <w:gridCol w:w="600"/>
        <w:gridCol w:w="483"/>
        <w:gridCol w:w="680"/>
        <w:gridCol w:w="568"/>
      </w:tblGrid>
      <w:tr>
        <w:trPr>
          <w:trHeight w:val="354" w:hRule="atLeast"/>
        </w:trPr>
        <w:tc>
          <w:tcPr>
            <w:tcW w:w="6811" w:type="dxa"/>
            <w:vAlign w:val="top"/>
            <w:gridSpan w:val="8"/>
            <w:tcBorders>
              <w:left w:val="single" w:color="000000" w:sz="6" w:space="0"/>
              <w:top w:val="single" w:color="000000" w:sz="6" w:space="0"/>
            </w:tcBorders>
          </w:tcPr>
          <w:p>
            <w:pPr>
              <w:pStyle w:val="TableText"/>
              <w:ind w:left="2708"/>
              <w:spacing w:before="101" w:line="214" w:lineRule="auto"/>
              <w:rPr>
                <w:sz w:val="19"/>
                <w:szCs w:val="19"/>
              </w:rPr>
            </w:pPr>
            <w:r>
              <w:rPr>
                <w:sz w:val="19"/>
                <w:szCs w:val="19"/>
                <w:b/>
                <w:bCs/>
                <w:spacing w:val="-1"/>
              </w:rPr>
              <w:t>收</w:t>
            </w:r>
            <w:r>
              <w:rPr>
                <w:sz w:val="19"/>
                <w:szCs w:val="19"/>
                <w:spacing w:val="5"/>
              </w:rPr>
              <w:t xml:space="preserve">          </w:t>
            </w:r>
            <w:r>
              <w:rPr>
                <w:sz w:val="19"/>
                <w:szCs w:val="19"/>
                <w:b/>
                <w:bCs/>
                <w:spacing w:val="-1"/>
              </w:rPr>
              <w:t>入</w:t>
            </w:r>
          </w:p>
        </w:tc>
        <w:tc>
          <w:tcPr>
            <w:tcW w:w="7085" w:type="dxa"/>
            <w:vAlign w:val="top"/>
            <w:gridSpan w:val="8"/>
            <w:tcBorders>
              <w:right w:val="single" w:color="000000" w:sz="6" w:space="0"/>
              <w:top w:val="single" w:color="000000" w:sz="6" w:space="0"/>
            </w:tcBorders>
          </w:tcPr>
          <w:p>
            <w:pPr>
              <w:pStyle w:val="TableText"/>
              <w:ind w:left="2842"/>
              <w:spacing w:before="99" w:line="219" w:lineRule="auto"/>
              <w:rPr>
                <w:sz w:val="19"/>
                <w:szCs w:val="19"/>
              </w:rPr>
            </w:pPr>
            <w:r>
              <w:rPr>
                <w:sz w:val="19"/>
                <w:szCs w:val="19"/>
                <w:b/>
                <w:bCs/>
                <w:spacing w:val="-1"/>
              </w:rPr>
              <w:t>支</w:t>
            </w:r>
            <w:r>
              <w:rPr>
                <w:sz w:val="19"/>
                <w:szCs w:val="19"/>
                <w:spacing w:val="7"/>
              </w:rPr>
              <w:t xml:space="preserve">          </w:t>
            </w:r>
            <w:r>
              <w:rPr>
                <w:sz w:val="19"/>
                <w:szCs w:val="19"/>
                <w:b/>
                <w:bCs/>
                <w:spacing w:val="-1"/>
              </w:rPr>
              <w:t>出</w:t>
            </w:r>
          </w:p>
        </w:tc>
      </w:tr>
      <w:tr>
        <w:trPr>
          <w:trHeight w:val="304" w:hRule="atLeast"/>
        </w:trPr>
        <w:tc>
          <w:tcPr>
            <w:tcW w:w="2866" w:type="dxa"/>
            <w:vAlign w:val="top"/>
            <w:vMerge w:val="restart"/>
            <w:tcBorders>
              <w:left w:val="single" w:color="000000" w:sz="6" w:space="0"/>
              <w:bottom w:val="nil"/>
            </w:tcBorders>
          </w:tcPr>
          <w:p>
            <w:pPr>
              <w:spacing w:line="377" w:lineRule="auto"/>
              <w:rPr>
                <w:rFonts w:ascii="Arial"/>
                <w:sz w:val="21"/>
              </w:rPr>
            </w:pPr>
            <w:r/>
          </w:p>
          <w:p>
            <w:pPr>
              <w:pStyle w:val="TableText"/>
              <w:ind w:left="827"/>
              <w:spacing w:before="62" w:line="212" w:lineRule="auto"/>
              <w:rPr>
                <w:sz w:val="19"/>
                <w:szCs w:val="19"/>
              </w:rPr>
            </w:pPr>
            <w:r>
              <w:rPr>
                <w:sz w:val="19"/>
                <w:szCs w:val="19"/>
                <w:b/>
                <w:bCs/>
              </w:rPr>
              <w:t>项</w:t>
            </w:r>
            <w:r>
              <w:rPr>
                <w:sz w:val="19"/>
                <w:szCs w:val="19"/>
                <w:spacing w:val="10"/>
              </w:rPr>
              <w:t xml:space="preserve">        </w:t>
            </w:r>
            <w:r>
              <w:rPr>
                <w:sz w:val="19"/>
                <w:szCs w:val="19"/>
                <w:b/>
                <w:bCs/>
              </w:rPr>
              <w:t>目</w:t>
            </w:r>
          </w:p>
        </w:tc>
        <w:tc>
          <w:tcPr>
            <w:tcW w:w="480" w:type="dxa"/>
            <w:vAlign w:val="top"/>
            <w:vMerge w:val="restart"/>
            <w:tcBorders>
              <w:bottom w:val="nil"/>
            </w:tcBorders>
          </w:tcPr>
          <w:p>
            <w:pPr>
              <w:spacing w:line="375" w:lineRule="auto"/>
              <w:rPr>
                <w:rFonts w:ascii="Arial"/>
                <w:sz w:val="21"/>
              </w:rPr>
            </w:pPr>
            <w:r/>
          </w:p>
          <w:p>
            <w:pPr>
              <w:pStyle w:val="TableText"/>
              <w:ind w:left="34"/>
              <w:spacing w:before="61" w:line="217" w:lineRule="auto"/>
              <w:rPr>
                <w:sz w:val="19"/>
                <w:szCs w:val="19"/>
              </w:rPr>
            </w:pPr>
            <w:r>
              <w:rPr>
                <w:sz w:val="19"/>
                <w:szCs w:val="19"/>
                <w:b/>
                <w:bCs/>
                <w:spacing w:val="6"/>
              </w:rPr>
              <w:t>行次</w:t>
            </w:r>
          </w:p>
        </w:tc>
        <w:tc>
          <w:tcPr>
            <w:tcW w:w="1732" w:type="dxa"/>
            <w:vAlign w:val="top"/>
            <w:gridSpan w:val="3"/>
          </w:tcPr>
          <w:p>
            <w:pPr>
              <w:pStyle w:val="TableText"/>
              <w:ind w:left="361"/>
              <w:spacing w:before="71" w:line="216" w:lineRule="auto"/>
              <w:rPr>
                <w:sz w:val="19"/>
                <w:szCs w:val="19"/>
              </w:rPr>
            </w:pPr>
            <w:r>
              <w:rPr>
                <w:sz w:val="19"/>
                <w:szCs w:val="19"/>
                <w:b/>
                <w:bCs/>
                <w:spacing w:val="7"/>
              </w:rPr>
              <w:t>上年执行数</w:t>
            </w:r>
          </w:p>
        </w:tc>
        <w:tc>
          <w:tcPr>
            <w:tcW w:w="1733" w:type="dxa"/>
            <w:vAlign w:val="top"/>
            <w:gridSpan w:val="3"/>
          </w:tcPr>
          <w:p>
            <w:pPr>
              <w:pStyle w:val="TableText"/>
              <w:ind w:left="241"/>
              <w:spacing w:before="66" w:line="221" w:lineRule="auto"/>
              <w:rPr>
                <w:sz w:val="19"/>
                <w:szCs w:val="19"/>
              </w:rPr>
            </w:pPr>
            <w:r>
              <w:rPr>
                <w:sz w:val="19"/>
                <w:szCs w:val="19"/>
                <w:b/>
                <w:bCs/>
                <w:spacing w:val="11"/>
              </w:rPr>
              <w:t>2021年预算数</w:t>
            </w:r>
          </w:p>
        </w:tc>
        <w:tc>
          <w:tcPr>
            <w:tcW w:w="3109" w:type="dxa"/>
            <w:vAlign w:val="top"/>
            <w:vMerge w:val="restart"/>
            <w:tcBorders>
              <w:bottom w:val="nil"/>
            </w:tcBorders>
          </w:tcPr>
          <w:p>
            <w:pPr>
              <w:spacing w:line="377" w:lineRule="auto"/>
              <w:rPr>
                <w:rFonts w:ascii="Arial"/>
                <w:sz w:val="21"/>
              </w:rPr>
            </w:pPr>
            <w:r/>
          </w:p>
          <w:p>
            <w:pPr>
              <w:pStyle w:val="TableText"/>
              <w:ind w:left="954"/>
              <w:spacing w:before="62" w:line="212" w:lineRule="auto"/>
              <w:rPr>
                <w:sz w:val="19"/>
                <w:szCs w:val="19"/>
              </w:rPr>
            </w:pPr>
            <w:r>
              <w:rPr>
                <w:sz w:val="19"/>
                <w:szCs w:val="19"/>
                <w:b/>
                <w:bCs/>
              </w:rPr>
              <w:t>项</w:t>
            </w:r>
            <w:r>
              <w:rPr>
                <w:sz w:val="19"/>
                <w:szCs w:val="19"/>
                <w:spacing w:val="10"/>
              </w:rPr>
              <w:t xml:space="preserve">        </w:t>
            </w:r>
            <w:r>
              <w:rPr>
                <w:sz w:val="19"/>
                <w:szCs w:val="19"/>
                <w:b/>
                <w:bCs/>
              </w:rPr>
              <w:t>目</w:t>
            </w:r>
          </w:p>
        </w:tc>
        <w:tc>
          <w:tcPr>
            <w:tcW w:w="482" w:type="dxa"/>
            <w:vAlign w:val="top"/>
            <w:vMerge w:val="restart"/>
            <w:tcBorders>
              <w:bottom w:val="nil"/>
            </w:tcBorders>
          </w:tcPr>
          <w:p>
            <w:pPr>
              <w:spacing w:line="375" w:lineRule="auto"/>
              <w:rPr>
                <w:rFonts w:ascii="Arial"/>
                <w:sz w:val="21"/>
              </w:rPr>
            </w:pPr>
            <w:r/>
          </w:p>
          <w:p>
            <w:pPr>
              <w:pStyle w:val="TableText"/>
              <w:ind w:left="43"/>
              <w:spacing w:before="61" w:line="217" w:lineRule="auto"/>
              <w:rPr>
                <w:sz w:val="19"/>
                <w:szCs w:val="19"/>
              </w:rPr>
            </w:pPr>
            <w:r>
              <w:rPr>
                <w:sz w:val="19"/>
                <w:szCs w:val="19"/>
                <w:b/>
                <w:bCs/>
                <w:spacing w:val="6"/>
              </w:rPr>
              <w:t>行次</w:t>
            </w:r>
          </w:p>
        </w:tc>
        <w:tc>
          <w:tcPr>
            <w:tcW w:w="1763" w:type="dxa"/>
            <w:vAlign w:val="top"/>
            <w:gridSpan w:val="3"/>
          </w:tcPr>
          <w:p>
            <w:pPr>
              <w:pStyle w:val="TableText"/>
              <w:ind w:left="385"/>
              <w:spacing w:before="71" w:line="216" w:lineRule="auto"/>
              <w:rPr>
                <w:sz w:val="19"/>
                <w:szCs w:val="19"/>
              </w:rPr>
            </w:pPr>
            <w:r>
              <w:rPr>
                <w:sz w:val="19"/>
                <w:szCs w:val="19"/>
                <w:b/>
                <w:bCs/>
                <w:spacing w:val="7"/>
              </w:rPr>
              <w:t>上年执行数</w:t>
            </w:r>
          </w:p>
        </w:tc>
        <w:tc>
          <w:tcPr>
            <w:tcW w:w="1731" w:type="dxa"/>
            <w:vAlign w:val="top"/>
            <w:gridSpan w:val="3"/>
            <w:tcBorders>
              <w:right w:val="single" w:color="000000" w:sz="6" w:space="0"/>
            </w:tcBorders>
          </w:tcPr>
          <w:p>
            <w:pPr>
              <w:pStyle w:val="TableText"/>
              <w:ind w:left="241"/>
              <w:spacing w:before="66" w:line="221" w:lineRule="auto"/>
              <w:rPr>
                <w:sz w:val="19"/>
                <w:szCs w:val="19"/>
              </w:rPr>
            </w:pPr>
            <w:r>
              <w:rPr>
                <w:sz w:val="19"/>
                <w:szCs w:val="19"/>
                <w:b/>
                <w:bCs/>
                <w:spacing w:val="4"/>
              </w:rPr>
              <w:t>2021</w:t>
            </w:r>
            <w:r>
              <w:rPr>
                <w:sz w:val="19"/>
                <w:szCs w:val="19"/>
                <w:spacing w:val="-37"/>
              </w:rPr>
              <w:t xml:space="preserve"> </w:t>
            </w:r>
            <w:r>
              <w:rPr>
                <w:sz w:val="19"/>
                <w:szCs w:val="19"/>
                <w:b/>
                <w:bCs/>
                <w:spacing w:val="4"/>
              </w:rPr>
              <w:t>年预算数</w:t>
            </w:r>
          </w:p>
        </w:tc>
      </w:tr>
      <w:tr>
        <w:trPr>
          <w:trHeight w:val="724" w:hRule="atLeast"/>
        </w:trPr>
        <w:tc>
          <w:tcPr>
            <w:tcW w:w="2866" w:type="dxa"/>
            <w:vAlign w:val="top"/>
            <w:vMerge w:val="continue"/>
            <w:tcBorders>
              <w:left w:val="single" w:color="000000" w:sz="6" w:space="0"/>
              <w:top w:val="nil"/>
            </w:tcBorders>
          </w:tcPr>
          <w:p>
            <w:pPr>
              <w:rPr>
                <w:rFonts w:ascii="Arial"/>
                <w:sz w:val="21"/>
              </w:rPr>
            </w:pPr>
            <w:r/>
          </w:p>
        </w:tc>
        <w:tc>
          <w:tcPr>
            <w:tcW w:w="480" w:type="dxa"/>
            <w:vAlign w:val="top"/>
            <w:vMerge w:val="continue"/>
            <w:tcBorders>
              <w:top w:val="nil"/>
            </w:tcBorders>
          </w:tcPr>
          <w:p>
            <w:pPr>
              <w:rPr>
                <w:rFonts w:ascii="Arial"/>
                <w:sz w:val="21"/>
              </w:rPr>
            </w:pPr>
            <w:r/>
          </w:p>
        </w:tc>
        <w:tc>
          <w:tcPr>
            <w:tcW w:w="482" w:type="dxa"/>
            <w:vAlign w:val="top"/>
          </w:tcPr>
          <w:p>
            <w:pPr>
              <w:pStyle w:val="TableText"/>
              <w:ind w:left="34"/>
              <w:spacing w:before="261" w:line="223" w:lineRule="auto"/>
              <w:rPr>
                <w:sz w:val="19"/>
                <w:szCs w:val="19"/>
              </w:rPr>
            </w:pPr>
            <w:r>
              <w:rPr>
                <w:sz w:val="19"/>
                <w:szCs w:val="19"/>
                <w:b/>
                <w:bCs/>
                <w:spacing w:val="6"/>
              </w:rPr>
              <w:t>合计</w:t>
            </w:r>
          </w:p>
        </w:tc>
        <w:tc>
          <w:tcPr>
            <w:tcW w:w="680" w:type="dxa"/>
            <w:vAlign w:val="top"/>
          </w:tcPr>
          <w:p>
            <w:pPr>
              <w:pStyle w:val="TableText"/>
              <w:ind w:left="36"/>
              <w:spacing w:before="263" w:line="217" w:lineRule="auto"/>
              <w:rPr>
                <w:sz w:val="19"/>
                <w:szCs w:val="19"/>
              </w:rPr>
            </w:pPr>
            <w:r>
              <w:rPr>
                <w:sz w:val="19"/>
                <w:szCs w:val="19"/>
                <w:b/>
                <w:bCs/>
                <w:spacing w:val="6"/>
              </w:rPr>
              <w:t>省本级</w:t>
            </w:r>
          </w:p>
        </w:tc>
        <w:tc>
          <w:tcPr>
            <w:tcW w:w="570" w:type="dxa"/>
            <w:vAlign w:val="top"/>
          </w:tcPr>
          <w:p>
            <w:pPr>
              <w:pStyle w:val="TableText"/>
              <w:ind w:left="80"/>
              <w:spacing w:before="38" w:line="217" w:lineRule="auto"/>
              <w:rPr>
                <w:sz w:val="19"/>
                <w:szCs w:val="19"/>
              </w:rPr>
            </w:pPr>
            <w:r>
              <w:rPr>
                <w:sz w:val="19"/>
                <w:szCs w:val="19"/>
                <w:b/>
                <w:bCs/>
                <w:spacing w:val="6"/>
              </w:rPr>
              <w:t>地市</w:t>
            </w:r>
          </w:p>
          <w:p>
            <w:pPr>
              <w:pStyle w:val="TableText"/>
              <w:ind w:left="81"/>
              <w:spacing w:line="213" w:lineRule="auto"/>
              <w:rPr>
                <w:sz w:val="19"/>
                <w:szCs w:val="19"/>
              </w:rPr>
            </w:pPr>
            <w:r>
              <w:rPr>
                <w:sz w:val="19"/>
                <w:szCs w:val="19"/>
                <w:b/>
                <w:bCs/>
                <w:spacing w:val="5"/>
              </w:rPr>
              <w:t>级及</w:t>
            </w:r>
          </w:p>
          <w:p>
            <w:pPr>
              <w:pStyle w:val="TableText"/>
              <w:ind w:left="96"/>
              <w:spacing w:before="1" w:line="209" w:lineRule="auto"/>
              <w:rPr>
                <w:sz w:val="19"/>
                <w:szCs w:val="19"/>
              </w:rPr>
            </w:pPr>
            <w:r>
              <w:rPr>
                <w:sz w:val="19"/>
                <w:szCs w:val="19"/>
                <w:b/>
                <w:bCs/>
                <w:spacing w:val="-2"/>
              </w:rPr>
              <w:t>以下</w:t>
            </w:r>
          </w:p>
        </w:tc>
        <w:tc>
          <w:tcPr>
            <w:tcW w:w="483" w:type="dxa"/>
            <w:vAlign w:val="top"/>
          </w:tcPr>
          <w:p>
            <w:pPr>
              <w:pStyle w:val="TableText"/>
              <w:ind w:left="37"/>
              <w:spacing w:before="261" w:line="223" w:lineRule="auto"/>
              <w:rPr>
                <w:sz w:val="19"/>
                <w:szCs w:val="19"/>
              </w:rPr>
            </w:pPr>
            <w:r>
              <w:rPr>
                <w:sz w:val="19"/>
                <w:szCs w:val="19"/>
                <w:b/>
                <w:bCs/>
                <w:spacing w:val="6"/>
              </w:rPr>
              <w:t>合计</w:t>
            </w:r>
          </w:p>
        </w:tc>
        <w:tc>
          <w:tcPr>
            <w:tcW w:w="680" w:type="dxa"/>
            <w:vAlign w:val="top"/>
          </w:tcPr>
          <w:p>
            <w:pPr>
              <w:pStyle w:val="TableText"/>
              <w:ind w:left="38"/>
              <w:spacing w:before="263" w:line="217" w:lineRule="auto"/>
              <w:rPr>
                <w:sz w:val="19"/>
                <w:szCs w:val="19"/>
              </w:rPr>
            </w:pPr>
            <w:r>
              <w:rPr>
                <w:sz w:val="19"/>
                <w:szCs w:val="19"/>
                <w:b/>
                <w:bCs/>
                <w:spacing w:val="6"/>
              </w:rPr>
              <w:t>省本级</w:t>
            </w:r>
          </w:p>
        </w:tc>
        <w:tc>
          <w:tcPr>
            <w:tcW w:w="570" w:type="dxa"/>
            <w:vAlign w:val="top"/>
          </w:tcPr>
          <w:p>
            <w:pPr>
              <w:pStyle w:val="TableText"/>
              <w:ind w:left="82"/>
              <w:spacing w:before="38" w:line="217" w:lineRule="auto"/>
              <w:rPr>
                <w:sz w:val="19"/>
                <w:szCs w:val="19"/>
              </w:rPr>
            </w:pPr>
            <w:r>
              <w:rPr>
                <w:sz w:val="19"/>
                <w:szCs w:val="19"/>
                <w:b/>
                <w:bCs/>
                <w:spacing w:val="6"/>
              </w:rPr>
              <w:t>地市</w:t>
            </w:r>
          </w:p>
          <w:p>
            <w:pPr>
              <w:pStyle w:val="TableText"/>
              <w:ind w:left="83"/>
              <w:spacing w:line="213" w:lineRule="auto"/>
              <w:rPr>
                <w:sz w:val="19"/>
                <w:szCs w:val="19"/>
              </w:rPr>
            </w:pPr>
            <w:r>
              <w:rPr>
                <w:sz w:val="19"/>
                <w:szCs w:val="19"/>
                <w:b/>
                <w:bCs/>
                <w:spacing w:val="5"/>
              </w:rPr>
              <w:t>级及</w:t>
            </w:r>
          </w:p>
          <w:p>
            <w:pPr>
              <w:pStyle w:val="TableText"/>
              <w:ind w:left="98"/>
              <w:spacing w:before="1" w:line="209" w:lineRule="auto"/>
              <w:rPr>
                <w:sz w:val="19"/>
                <w:szCs w:val="19"/>
              </w:rPr>
            </w:pPr>
            <w:r>
              <w:rPr>
                <w:sz w:val="19"/>
                <w:szCs w:val="19"/>
                <w:b/>
                <w:bCs/>
                <w:spacing w:val="-2"/>
              </w:rPr>
              <w:t>以下</w:t>
            </w:r>
          </w:p>
        </w:tc>
        <w:tc>
          <w:tcPr>
            <w:tcW w:w="3109" w:type="dxa"/>
            <w:vAlign w:val="top"/>
            <w:vMerge w:val="continue"/>
            <w:tcBorders>
              <w:top w:val="nil"/>
            </w:tcBorders>
          </w:tcPr>
          <w:p>
            <w:pPr>
              <w:rPr>
                <w:rFonts w:ascii="Arial"/>
                <w:sz w:val="21"/>
              </w:rPr>
            </w:pPr>
            <w:r/>
          </w:p>
        </w:tc>
        <w:tc>
          <w:tcPr>
            <w:tcW w:w="482" w:type="dxa"/>
            <w:vAlign w:val="top"/>
            <w:vMerge w:val="continue"/>
            <w:tcBorders>
              <w:top w:val="nil"/>
            </w:tcBorders>
          </w:tcPr>
          <w:p>
            <w:pPr>
              <w:rPr>
                <w:rFonts w:ascii="Arial"/>
                <w:sz w:val="21"/>
              </w:rPr>
            </w:pPr>
            <w:r/>
          </w:p>
        </w:tc>
        <w:tc>
          <w:tcPr>
            <w:tcW w:w="483" w:type="dxa"/>
            <w:vAlign w:val="top"/>
          </w:tcPr>
          <w:p>
            <w:pPr>
              <w:pStyle w:val="TableText"/>
              <w:ind w:left="43"/>
              <w:spacing w:before="261" w:line="223" w:lineRule="auto"/>
              <w:rPr>
                <w:sz w:val="19"/>
                <w:szCs w:val="19"/>
              </w:rPr>
            </w:pPr>
            <w:r>
              <w:rPr>
                <w:sz w:val="19"/>
                <w:szCs w:val="19"/>
                <w:b/>
                <w:bCs/>
                <w:spacing w:val="6"/>
              </w:rPr>
              <w:t>合计</w:t>
            </w:r>
          </w:p>
        </w:tc>
        <w:tc>
          <w:tcPr>
            <w:tcW w:w="680" w:type="dxa"/>
            <w:vAlign w:val="top"/>
          </w:tcPr>
          <w:p>
            <w:pPr>
              <w:pStyle w:val="TableText"/>
              <w:ind w:left="45"/>
              <w:spacing w:before="263" w:line="217" w:lineRule="auto"/>
              <w:rPr>
                <w:sz w:val="19"/>
                <w:szCs w:val="19"/>
              </w:rPr>
            </w:pPr>
            <w:r>
              <w:rPr>
                <w:sz w:val="19"/>
                <w:szCs w:val="19"/>
                <w:b/>
                <w:bCs/>
                <w:spacing w:val="6"/>
              </w:rPr>
              <w:t>省本级</w:t>
            </w:r>
          </w:p>
        </w:tc>
        <w:tc>
          <w:tcPr>
            <w:tcW w:w="600" w:type="dxa"/>
            <w:vAlign w:val="top"/>
          </w:tcPr>
          <w:p>
            <w:pPr>
              <w:pStyle w:val="TableText"/>
              <w:ind w:left="103"/>
              <w:spacing w:before="38" w:line="217" w:lineRule="auto"/>
              <w:rPr>
                <w:sz w:val="19"/>
                <w:szCs w:val="19"/>
              </w:rPr>
            </w:pPr>
            <w:r>
              <w:rPr>
                <w:sz w:val="19"/>
                <w:szCs w:val="19"/>
                <w:b/>
                <w:bCs/>
                <w:spacing w:val="6"/>
              </w:rPr>
              <w:t>地市</w:t>
            </w:r>
          </w:p>
          <w:p>
            <w:pPr>
              <w:pStyle w:val="TableText"/>
              <w:ind w:left="104"/>
              <w:spacing w:line="213" w:lineRule="auto"/>
              <w:rPr>
                <w:sz w:val="19"/>
                <w:szCs w:val="19"/>
              </w:rPr>
            </w:pPr>
            <w:r>
              <w:rPr>
                <w:sz w:val="19"/>
                <w:szCs w:val="19"/>
                <w:b/>
                <w:bCs/>
                <w:spacing w:val="5"/>
              </w:rPr>
              <w:t>级及</w:t>
            </w:r>
          </w:p>
          <w:p>
            <w:pPr>
              <w:pStyle w:val="TableText"/>
              <w:ind w:left="119"/>
              <w:spacing w:before="1" w:line="209" w:lineRule="auto"/>
              <w:rPr>
                <w:sz w:val="19"/>
                <w:szCs w:val="19"/>
              </w:rPr>
            </w:pPr>
            <w:r>
              <w:rPr>
                <w:sz w:val="19"/>
                <w:szCs w:val="19"/>
                <w:b/>
                <w:bCs/>
                <w:spacing w:val="-2"/>
              </w:rPr>
              <w:t>以下</w:t>
            </w:r>
          </w:p>
        </w:tc>
        <w:tc>
          <w:tcPr>
            <w:tcW w:w="483" w:type="dxa"/>
            <w:vAlign w:val="top"/>
          </w:tcPr>
          <w:p>
            <w:pPr>
              <w:pStyle w:val="TableText"/>
              <w:ind w:left="44"/>
              <w:spacing w:before="261" w:line="223" w:lineRule="auto"/>
              <w:rPr>
                <w:sz w:val="19"/>
                <w:szCs w:val="19"/>
              </w:rPr>
            </w:pPr>
            <w:r>
              <w:rPr>
                <w:sz w:val="19"/>
                <w:szCs w:val="19"/>
                <w:b/>
                <w:bCs/>
                <w:spacing w:val="6"/>
              </w:rPr>
              <w:t>合计</w:t>
            </w:r>
          </w:p>
        </w:tc>
        <w:tc>
          <w:tcPr>
            <w:tcW w:w="680" w:type="dxa"/>
            <w:vAlign w:val="top"/>
          </w:tcPr>
          <w:p>
            <w:pPr>
              <w:pStyle w:val="TableText"/>
              <w:ind w:left="46"/>
              <w:spacing w:before="263" w:line="217" w:lineRule="auto"/>
              <w:rPr>
                <w:sz w:val="19"/>
                <w:szCs w:val="19"/>
              </w:rPr>
            </w:pPr>
            <w:r>
              <w:rPr>
                <w:sz w:val="19"/>
                <w:szCs w:val="19"/>
                <w:b/>
                <w:bCs/>
                <w:spacing w:val="6"/>
              </w:rPr>
              <w:t>省本级</w:t>
            </w:r>
          </w:p>
        </w:tc>
        <w:tc>
          <w:tcPr>
            <w:tcW w:w="568" w:type="dxa"/>
            <w:vAlign w:val="top"/>
            <w:tcBorders>
              <w:right w:val="single" w:color="000000" w:sz="6" w:space="0"/>
            </w:tcBorders>
          </w:tcPr>
          <w:p>
            <w:pPr>
              <w:pStyle w:val="TableText"/>
              <w:ind w:left="85"/>
              <w:spacing w:before="24" w:line="218" w:lineRule="auto"/>
              <w:rPr>
                <w:sz w:val="19"/>
                <w:szCs w:val="19"/>
              </w:rPr>
            </w:pPr>
            <w:r>
              <w:rPr>
                <w:sz w:val="19"/>
                <w:szCs w:val="19"/>
                <w:b/>
                <w:bCs/>
                <w:spacing w:val="6"/>
              </w:rPr>
              <w:t>地市</w:t>
            </w:r>
          </w:p>
          <w:p>
            <w:pPr>
              <w:pStyle w:val="TableText"/>
              <w:ind w:left="86"/>
              <w:spacing w:before="18" w:line="213" w:lineRule="auto"/>
              <w:rPr>
                <w:sz w:val="19"/>
                <w:szCs w:val="19"/>
              </w:rPr>
            </w:pPr>
            <w:r>
              <w:rPr>
                <w:sz w:val="19"/>
                <w:szCs w:val="19"/>
                <w:b/>
                <w:bCs/>
                <w:spacing w:val="5"/>
              </w:rPr>
              <w:t>级及</w:t>
            </w:r>
          </w:p>
          <w:p>
            <w:pPr>
              <w:pStyle w:val="TableText"/>
              <w:ind w:left="101"/>
              <w:spacing w:before="23" w:line="199" w:lineRule="auto"/>
              <w:rPr>
                <w:sz w:val="19"/>
                <w:szCs w:val="19"/>
              </w:rPr>
            </w:pPr>
            <w:r>
              <w:rPr>
                <w:sz w:val="19"/>
                <w:szCs w:val="19"/>
                <w:b/>
                <w:bCs/>
                <w:spacing w:val="-2"/>
              </w:rPr>
              <w:t>以下</w:t>
            </w:r>
          </w:p>
        </w:tc>
      </w:tr>
      <w:tr>
        <w:trPr>
          <w:trHeight w:val="417" w:hRule="atLeast"/>
        </w:trPr>
        <w:tc>
          <w:tcPr>
            <w:tcW w:w="2866" w:type="dxa"/>
            <w:vAlign w:val="top"/>
            <w:tcBorders>
              <w:left w:val="single" w:color="000000" w:sz="6" w:space="0"/>
            </w:tcBorders>
          </w:tcPr>
          <w:p>
            <w:pPr>
              <w:pStyle w:val="TableText"/>
              <w:ind w:left="1225"/>
              <w:spacing w:before="130" w:line="218" w:lineRule="auto"/>
              <w:rPr>
                <w:sz w:val="19"/>
                <w:szCs w:val="19"/>
              </w:rPr>
            </w:pPr>
            <w:r>
              <w:rPr>
                <w:sz w:val="19"/>
                <w:szCs w:val="19"/>
                <w:spacing w:val="8"/>
              </w:rPr>
              <w:t>栏次</w:t>
            </w:r>
          </w:p>
        </w:tc>
        <w:tc>
          <w:tcPr>
            <w:tcW w:w="480" w:type="dxa"/>
            <w:vAlign w:val="top"/>
          </w:tcPr>
          <w:p>
            <w:pPr>
              <w:rPr>
                <w:rFonts w:ascii="Arial"/>
                <w:sz w:val="21"/>
              </w:rPr>
            </w:pPr>
            <w:r/>
          </w:p>
        </w:tc>
        <w:tc>
          <w:tcPr>
            <w:tcW w:w="482" w:type="dxa"/>
            <w:vAlign w:val="top"/>
          </w:tcPr>
          <w:p>
            <w:pPr>
              <w:pStyle w:val="TableText"/>
              <w:ind w:left="203"/>
              <w:spacing w:before="124" w:line="283" w:lineRule="exact"/>
              <w:rPr>
                <w:sz w:val="19"/>
                <w:szCs w:val="19"/>
              </w:rPr>
            </w:pPr>
            <w:r>
              <w:rPr>
                <w:sz w:val="19"/>
                <w:szCs w:val="19"/>
                <w:position w:val="2"/>
              </w:rPr>
              <w:t>1</w:t>
            </w:r>
          </w:p>
        </w:tc>
        <w:tc>
          <w:tcPr>
            <w:tcW w:w="680" w:type="dxa"/>
            <w:vAlign w:val="top"/>
          </w:tcPr>
          <w:p>
            <w:pPr>
              <w:pStyle w:val="TableText"/>
              <w:ind w:left="286"/>
              <w:spacing w:before="124" w:line="283" w:lineRule="exact"/>
              <w:rPr>
                <w:sz w:val="19"/>
                <w:szCs w:val="19"/>
              </w:rPr>
            </w:pPr>
            <w:r>
              <w:rPr>
                <w:sz w:val="19"/>
                <w:szCs w:val="19"/>
                <w:position w:val="2"/>
              </w:rPr>
              <w:t>2</w:t>
            </w:r>
          </w:p>
        </w:tc>
        <w:tc>
          <w:tcPr>
            <w:tcW w:w="570" w:type="dxa"/>
            <w:vAlign w:val="top"/>
          </w:tcPr>
          <w:p>
            <w:pPr>
              <w:pStyle w:val="TableText"/>
              <w:ind w:left="235"/>
              <w:spacing w:before="124" w:line="283" w:lineRule="exact"/>
              <w:rPr>
                <w:sz w:val="19"/>
                <w:szCs w:val="19"/>
              </w:rPr>
            </w:pPr>
            <w:r>
              <w:rPr>
                <w:sz w:val="19"/>
                <w:szCs w:val="19"/>
                <w:position w:val="2"/>
              </w:rPr>
              <w:t>3</w:t>
            </w:r>
          </w:p>
        </w:tc>
        <w:tc>
          <w:tcPr>
            <w:tcW w:w="483" w:type="dxa"/>
            <w:vAlign w:val="top"/>
          </w:tcPr>
          <w:p>
            <w:pPr>
              <w:pStyle w:val="TableText"/>
              <w:ind w:left="187"/>
              <w:spacing w:before="124" w:line="283" w:lineRule="exact"/>
              <w:rPr>
                <w:sz w:val="19"/>
                <w:szCs w:val="19"/>
              </w:rPr>
            </w:pPr>
            <w:r>
              <w:rPr>
                <w:sz w:val="19"/>
                <w:szCs w:val="19"/>
                <w:spacing w:val="1"/>
                <w:position w:val="2"/>
              </w:rPr>
              <w:t>4</w:t>
            </w:r>
          </w:p>
        </w:tc>
        <w:tc>
          <w:tcPr>
            <w:tcW w:w="680" w:type="dxa"/>
            <w:vAlign w:val="top"/>
          </w:tcPr>
          <w:p>
            <w:pPr>
              <w:pStyle w:val="TableText"/>
              <w:ind w:left="289"/>
              <w:spacing w:before="124" w:line="283" w:lineRule="exact"/>
              <w:rPr>
                <w:sz w:val="19"/>
                <w:szCs w:val="19"/>
              </w:rPr>
            </w:pPr>
            <w:r>
              <w:rPr>
                <w:sz w:val="19"/>
                <w:szCs w:val="19"/>
                <w:position w:val="2"/>
              </w:rPr>
              <w:t>5</w:t>
            </w:r>
          </w:p>
        </w:tc>
        <w:tc>
          <w:tcPr>
            <w:tcW w:w="570" w:type="dxa"/>
            <w:vAlign w:val="top"/>
          </w:tcPr>
          <w:p>
            <w:pPr>
              <w:pStyle w:val="TableText"/>
              <w:ind w:left="235"/>
              <w:spacing w:before="124" w:line="283" w:lineRule="exact"/>
              <w:rPr>
                <w:sz w:val="19"/>
                <w:szCs w:val="19"/>
              </w:rPr>
            </w:pPr>
            <w:r>
              <w:rPr>
                <w:sz w:val="19"/>
                <w:szCs w:val="19"/>
                <w:position w:val="2"/>
              </w:rPr>
              <w:t>6</w:t>
            </w:r>
          </w:p>
        </w:tc>
        <w:tc>
          <w:tcPr>
            <w:tcW w:w="3109" w:type="dxa"/>
            <w:vAlign w:val="top"/>
          </w:tcPr>
          <w:p>
            <w:pPr>
              <w:pStyle w:val="TableText"/>
              <w:ind w:left="1353"/>
              <w:spacing w:before="130" w:line="218" w:lineRule="auto"/>
              <w:rPr>
                <w:sz w:val="19"/>
                <w:szCs w:val="19"/>
              </w:rPr>
            </w:pPr>
            <w:r>
              <w:rPr>
                <w:sz w:val="19"/>
                <w:szCs w:val="19"/>
                <w:spacing w:val="8"/>
              </w:rPr>
              <w:t>栏次</w:t>
            </w:r>
          </w:p>
        </w:tc>
        <w:tc>
          <w:tcPr>
            <w:tcW w:w="482" w:type="dxa"/>
            <w:vAlign w:val="top"/>
          </w:tcPr>
          <w:p>
            <w:pPr>
              <w:rPr>
                <w:rFonts w:ascii="Arial"/>
                <w:sz w:val="21"/>
              </w:rPr>
            </w:pPr>
            <w:r/>
          </w:p>
        </w:tc>
        <w:tc>
          <w:tcPr>
            <w:tcW w:w="483" w:type="dxa"/>
            <w:vAlign w:val="top"/>
          </w:tcPr>
          <w:p>
            <w:pPr>
              <w:pStyle w:val="TableText"/>
              <w:ind w:left="195"/>
              <w:spacing w:before="124" w:line="283" w:lineRule="exact"/>
              <w:rPr>
                <w:sz w:val="19"/>
                <w:szCs w:val="19"/>
              </w:rPr>
            </w:pPr>
            <w:r>
              <w:rPr>
                <w:sz w:val="19"/>
                <w:szCs w:val="19"/>
                <w:position w:val="2"/>
              </w:rPr>
              <w:t>7</w:t>
            </w:r>
          </w:p>
        </w:tc>
        <w:tc>
          <w:tcPr>
            <w:tcW w:w="680" w:type="dxa"/>
            <w:vAlign w:val="top"/>
          </w:tcPr>
          <w:p>
            <w:pPr>
              <w:pStyle w:val="TableText"/>
              <w:ind w:left="297"/>
              <w:spacing w:before="124" w:line="283" w:lineRule="exact"/>
              <w:rPr>
                <w:sz w:val="19"/>
                <w:szCs w:val="19"/>
              </w:rPr>
            </w:pPr>
            <w:r>
              <w:rPr>
                <w:sz w:val="19"/>
                <w:szCs w:val="19"/>
                <w:position w:val="2"/>
              </w:rPr>
              <w:t>8</w:t>
            </w:r>
          </w:p>
        </w:tc>
        <w:tc>
          <w:tcPr>
            <w:tcW w:w="600" w:type="dxa"/>
            <w:vAlign w:val="top"/>
          </w:tcPr>
          <w:p>
            <w:pPr>
              <w:pStyle w:val="TableText"/>
              <w:ind w:left="255"/>
              <w:spacing w:before="124" w:line="283" w:lineRule="exact"/>
              <w:rPr>
                <w:sz w:val="19"/>
                <w:szCs w:val="19"/>
              </w:rPr>
            </w:pPr>
            <w:r>
              <w:rPr>
                <w:sz w:val="19"/>
                <w:szCs w:val="19"/>
                <w:position w:val="2"/>
              </w:rPr>
              <w:t>9</w:t>
            </w:r>
          </w:p>
        </w:tc>
        <w:tc>
          <w:tcPr>
            <w:tcW w:w="483" w:type="dxa"/>
            <w:vAlign w:val="top"/>
          </w:tcPr>
          <w:p>
            <w:pPr>
              <w:pStyle w:val="TableText"/>
              <w:ind w:left="163"/>
              <w:spacing w:before="124" w:line="283" w:lineRule="exact"/>
              <w:rPr>
                <w:sz w:val="19"/>
                <w:szCs w:val="19"/>
              </w:rPr>
            </w:pPr>
            <w:r>
              <w:rPr>
                <w:sz w:val="19"/>
                <w:szCs w:val="19"/>
                <w:spacing w:val="-8"/>
                <w:position w:val="2"/>
              </w:rPr>
              <w:t>10</w:t>
            </w:r>
          </w:p>
        </w:tc>
        <w:tc>
          <w:tcPr>
            <w:tcW w:w="680" w:type="dxa"/>
            <w:vAlign w:val="top"/>
          </w:tcPr>
          <w:p>
            <w:pPr>
              <w:pStyle w:val="TableText"/>
              <w:ind w:left="264"/>
              <w:spacing w:before="124" w:line="283" w:lineRule="exact"/>
              <w:rPr>
                <w:sz w:val="19"/>
                <w:szCs w:val="19"/>
              </w:rPr>
            </w:pPr>
            <w:r>
              <w:rPr>
                <w:sz w:val="19"/>
                <w:szCs w:val="19"/>
                <w:spacing w:val="-8"/>
                <w:position w:val="2"/>
              </w:rPr>
              <w:t>11</w:t>
            </w:r>
          </w:p>
        </w:tc>
        <w:tc>
          <w:tcPr>
            <w:tcW w:w="568" w:type="dxa"/>
            <w:vAlign w:val="top"/>
            <w:tcBorders>
              <w:right w:val="single" w:color="000000" w:sz="6" w:space="0"/>
            </w:tcBorders>
          </w:tcPr>
          <w:p>
            <w:pPr>
              <w:pStyle w:val="TableText"/>
              <w:ind w:left="203"/>
              <w:spacing w:before="124" w:line="283" w:lineRule="exact"/>
              <w:rPr>
                <w:sz w:val="19"/>
                <w:szCs w:val="19"/>
              </w:rPr>
            </w:pPr>
            <w:r>
              <w:rPr>
                <w:sz w:val="19"/>
                <w:szCs w:val="19"/>
                <w:spacing w:val="-8"/>
                <w:position w:val="2"/>
              </w:rPr>
              <w:t>12</w:t>
            </w:r>
          </w:p>
        </w:tc>
      </w:tr>
      <w:tr>
        <w:trPr>
          <w:trHeight w:val="417" w:hRule="atLeast"/>
        </w:trPr>
        <w:tc>
          <w:tcPr>
            <w:tcW w:w="2866" w:type="dxa"/>
            <w:vAlign w:val="top"/>
            <w:tcBorders>
              <w:left w:val="single" w:color="000000" w:sz="6" w:space="0"/>
            </w:tcBorders>
          </w:tcPr>
          <w:p>
            <w:pPr>
              <w:pStyle w:val="TableText"/>
              <w:ind w:left="16"/>
              <w:spacing w:before="130" w:line="217" w:lineRule="auto"/>
              <w:rPr>
                <w:sz w:val="19"/>
                <w:szCs w:val="19"/>
              </w:rPr>
            </w:pPr>
            <w:r>
              <w:rPr>
                <w:sz w:val="19"/>
                <w:szCs w:val="19"/>
                <w:spacing w:val="9"/>
              </w:rPr>
              <w:t>一、利润收入</w:t>
            </w:r>
          </w:p>
        </w:tc>
        <w:tc>
          <w:tcPr>
            <w:tcW w:w="480" w:type="dxa"/>
            <w:vAlign w:val="top"/>
          </w:tcPr>
          <w:p>
            <w:pPr>
              <w:pStyle w:val="TableText"/>
              <w:ind w:left="201"/>
              <w:spacing w:before="124" w:line="283" w:lineRule="exact"/>
              <w:rPr>
                <w:sz w:val="19"/>
                <w:szCs w:val="19"/>
              </w:rPr>
            </w:pPr>
            <w:r>
              <w:rPr>
                <w:sz w:val="19"/>
                <w:szCs w:val="19"/>
                <w:position w:val="2"/>
              </w:rPr>
              <w:t>1</w:t>
            </w:r>
          </w:p>
        </w:tc>
        <w:tc>
          <w:tcPr>
            <w:tcW w:w="482" w:type="dxa"/>
            <w:vAlign w:val="top"/>
          </w:tcPr>
          <w:p>
            <w:pPr>
              <w:pStyle w:val="TableText"/>
              <w:ind w:right="18"/>
              <w:spacing w:before="124" w:line="283" w:lineRule="exact"/>
              <w:jc w:val="right"/>
              <w:rPr>
                <w:sz w:val="19"/>
                <w:szCs w:val="19"/>
              </w:rPr>
            </w:pPr>
            <w:r>
              <w:rPr>
                <w:sz w:val="19"/>
                <w:szCs w:val="19"/>
                <w:spacing w:val="1"/>
                <w:position w:val="2"/>
              </w:rPr>
              <w:t>550</w:t>
            </w:r>
          </w:p>
        </w:tc>
        <w:tc>
          <w:tcPr>
            <w:tcW w:w="680" w:type="dxa"/>
            <w:vAlign w:val="top"/>
          </w:tcPr>
          <w:p>
            <w:pPr>
              <w:rPr>
                <w:rFonts w:ascii="Arial"/>
                <w:sz w:val="21"/>
              </w:rPr>
            </w:pPr>
            <w:r/>
          </w:p>
        </w:tc>
        <w:tc>
          <w:tcPr>
            <w:tcW w:w="570" w:type="dxa"/>
            <w:vAlign w:val="top"/>
          </w:tcPr>
          <w:p>
            <w:pPr>
              <w:pStyle w:val="TableText"/>
              <w:ind w:right="15"/>
              <w:spacing w:before="124" w:line="283" w:lineRule="exact"/>
              <w:jc w:val="right"/>
              <w:rPr>
                <w:sz w:val="19"/>
                <w:szCs w:val="19"/>
              </w:rPr>
            </w:pPr>
            <w:r>
              <w:rPr>
                <w:sz w:val="19"/>
                <w:szCs w:val="19"/>
                <w:spacing w:val="1"/>
                <w:position w:val="2"/>
              </w:rPr>
              <w:t>550</w:t>
            </w:r>
          </w:p>
        </w:tc>
        <w:tc>
          <w:tcPr>
            <w:tcW w:w="483" w:type="dxa"/>
            <w:vAlign w:val="top"/>
          </w:tcPr>
          <w:p>
            <w:pPr>
              <w:pStyle w:val="TableText"/>
              <w:ind w:right="16"/>
              <w:spacing w:before="124" w:line="283" w:lineRule="exact"/>
              <w:jc w:val="right"/>
              <w:rPr>
                <w:sz w:val="19"/>
                <w:szCs w:val="19"/>
              </w:rPr>
            </w:pPr>
            <w:r>
              <w:rPr>
                <w:sz w:val="19"/>
                <w:szCs w:val="19"/>
                <w:spacing w:val="1"/>
                <w:position w:val="2"/>
              </w:rPr>
              <w:t>550</w:t>
            </w:r>
          </w:p>
        </w:tc>
        <w:tc>
          <w:tcPr>
            <w:tcW w:w="680" w:type="dxa"/>
            <w:vAlign w:val="top"/>
          </w:tcPr>
          <w:p>
            <w:pPr>
              <w:rPr>
                <w:rFonts w:ascii="Arial"/>
                <w:sz w:val="21"/>
              </w:rPr>
            </w:pPr>
            <w:r/>
          </w:p>
        </w:tc>
        <w:tc>
          <w:tcPr>
            <w:tcW w:w="570" w:type="dxa"/>
            <w:vAlign w:val="top"/>
          </w:tcPr>
          <w:p>
            <w:pPr>
              <w:pStyle w:val="TableText"/>
              <w:ind w:right="13"/>
              <w:spacing w:before="124" w:line="283" w:lineRule="exact"/>
              <w:jc w:val="right"/>
              <w:rPr>
                <w:sz w:val="19"/>
                <w:szCs w:val="19"/>
              </w:rPr>
            </w:pPr>
            <w:r>
              <w:rPr>
                <w:sz w:val="19"/>
                <w:szCs w:val="19"/>
                <w:spacing w:val="1"/>
                <w:position w:val="2"/>
              </w:rPr>
              <w:t>550</w:t>
            </w:r>
          </w:p>
        </w:tc>
        <w:tc>
          <w:tcPr>
            <w:tcW w:w="3109" w:type="dxa"/>
            <w:vAlign w:val="top"/>
          </w:tcPr>
          <w:p>
            <w:pPr>
              <w:pStyle w:val="TableText"/>
              <w:spacing w:before="129" w:line="219" w:lineRule="auto"/>
              <w:jc w:val="right"/>
              <w:rPr>
                <w:sz w:val="19"/>
                <w:szCs w:val="19"/>
              </w:rPr>
            </w:pPr>
            <w:r>
              <w:rPr>
                <w:sz w:val="19"/>
                <w:szCs w:val="19"/>
                <w:spacing w:val="-9"/>
              </w:rPr>
              <w:t>一、解决历史遗留问题及改革成本支出</w:t>
            </w:r>
          </w:p>
        </w:tc>
        <w:tc>
          <w:tcPr>
            <w:tcW w:w="482" w:type="dxa"/>
            <w:vAlign w:val="top"/>
          </w:tcPr>
          <w:p>
            <w:pPr>
              <w:pStyle w:val="TableText"/>
              <w:ind w:left="162"/>
              <w:spacing w:before="124" w:line="283" w:lineRule="exact"/>
              <w:rPr>
                <w:sz w:val="19"/>
                <w:szCs w:val="19"/>
              </w:rPr>
            </w:pPr>
            <w:r>
              <w:rPr>
                <w:sz w:val="19"/>
                <w:szCs w:val="19"/>
                <w:spacing w:val="-8"/>
                <w:position w:val="2"/>
              </w:rPr>
              <w:t>13</w:t>
            </w:r>
          </w:p>
        </w:tc>
        <w:tc>
          <w:tcPr>
            <w:tcW w:w="483" w:type="dxa"/>
            <w:vAlign w:val="top"/>
          </w:tcPr>
          <w:p>
            <w:pPr>
              <w:rPr>
                <w:rFonts w:ascii="Arial"/>
                <w:sz w:val="21"/>
              </w:rPr>
            </w:pPr>
            <w:r/>
          </w:p>
        </w:tc>
        <w:tc>
          <w:tcPr>
            <w:tcW w:w="680" w:type="dxa"/>
            <w:vAlign w:val="top"/>
          </w:tcPr>
          <w:p>
            <w:pPr>
              <w:rPr>
                <w:rFonts w:ascii="Arial"/>
                <w:sz w:val="21"/>
              </w:rPr>
            </w:pPr>
            <w:r/>
          </w:p>
        </w:tc>
        <w:tc>
          <w:tcPr>
            <w:tcW w:w="600" w:type="dxa"/>
            <w:vAlign w:val="top"/>
          </w:tcPr>
          <w:p>
            <w:pPr>
              <w:rPr>
                <w:rFonts w:ascii="Arial"/>
                <w:sz w:val="21"/>
              </w:rPr>
            </w:pPr>
            <w:r/>
          </w:p>
        </w:tc>
        <w:tc>
          <w:tcPr>
            <w:tcW w:w="483" w:type="dxa"/>
            <w:vAlign w:val="top"/>
          </w:tcPr>
          <w:p>
            <w:pPr>
              <w:pStyle w:val="TableText"/>
              <w:ind w:right="3"/>
              <w:spacing w:before="124" w:line="283" w:lineRule="exact"/>
              <w:jc w:val="right"/>
              <w:rPr>
                <w:sz w:val="19"/>
                <w:szCs w:val="19"/>
              </w:rPr>
            </w:pPr>
            <w:r>
              <w:rPr>
                <w:sz w:val="19"/>
                <w:szCs w:val="19"/>
                <w:position w:val="2"/>
              </w:rPr>
              <w:t>6</w:t>
            </w:r>
          </w:p>
        </w:tc>
        <w:tc>
          <w:tcPr>
            <w:tcW w:w="680" w:type="dxa"/>
            <w:vAlign w:val="top"/>
          </w:tcPr>
          <w:p>
            <w:pPr>
              <w:rPr>
                <w:rFonts w:ascii="Arial"/>
                <w:sz w:val="21"/>
              </w:rPr>
            </w:pPr>
            <w:r/>
          </w:p>
        </w:tc>
        <w:tc>
          <w:tcPr>
            <w:tcW w:w="568" w:type="dxa"/>
            <w:vAlign w:val="top"/>
            <w:tcBorders>
              <w:right w:val="single" w:color="000000" w:sz="6" w:space="0"/>
            </w:tcBorders>
          </w:tcPr>
          <w:p>
            <w:pPr>
              <w:pStyle w:val="TableText"/>
              <w:ind w:right="8"/>
              <w:spacing w:before="124" w:line="283" w:lineRule="exact"/>
              <w:jc w:val="right"/>
              <w:rPr>
                <w:sz w:val="19"/>
                <w:szCs w:val="19"/>
              </w:rPr>
            </w:pPr>
            <w:r>
              <w:rPr>
                <w:sz w:val="19"/>
                <w:szCs w:val="19"/>
                <w:position w:val="2"/>
              </w:rPr>
              <w:t>6</w:t>
            </w:r>
          </w:p>
        </w:tc>
      </w:tr>
      <w:tr>
        <w:trPr>
          <w:trHeight w:val="417" w:hRule="atLeast"/>
        </w:trPr>
        <w:tc>
          <w:tcPr>
            <w:tcW w:w="2866" w:type="dxa"/>
            <w:vAlign w:val="top"/>
            <w:tcBorders>
              <w:left w:val="single" w:color="000000" w:sz="6" w:space="0"/>
            </w:tcBorders>
          </w:tcPr>
          <w:p>
            <w:pPr>
              <w:pStyle w:val="TableText"/>
              <w:ind w:left="16"/>
              <w:spacing w:before="133" w:line="217" w:lineRule="auto"/>
              <w:rPr>
                <w:sz w:val="19"/>
                <w:szCs w:val="19"/>
              </w:rPr>
            </w:pPr>
            <w:r>
              <w:rPr>
                <w:sz w:val="19"/>
                <w:szCs w:val="19"/>
                <w:spacing w:val="9"/>
              </w:rPr>
              <w:t>二、股利、股息收入</w:t>
            </w:r>
          </w:p>
        </w:tc>
        <w:tc>
          <w:tcPr>
            <w:tcW w:w="480" w:type="dxa"/>
            <w:vAlign w:val="top"/>
          </w:tcPr>
          <w:p>
            <w:pPr>
              <w:pStyle w:val="TableText"/>
              <w:ind w:left="185"/>
              <w:spacing w:before="127" w:line="280" w:lineRule="exact"/>
              <w:rPr>
                <w:sz w:val="19"/>
                <w:szCs w:val="19"/>
              </w:rPr>
            </w:pPr>
            <w:r>
              <w:rPr>
                <w:sz w:val="19"/>
                <w:szCs w:val="19"/>
                <w:position w:val="2"/>
              </w:rPr>
              <w:t>2</w:t>
            </w:r>
          </w:p>
        </w:tc>
        <w:tc>
          <w:tcPr>
            <w:tcW w:w="482" w:type="dxa"/>
            <w:vAlign w:val="top"/>
          </w:tcPr>
          <w:p>
            <w:pPr>
              <w:rPr>
                <w:rFonts w:ascii="Arial"/>
                <w:sz w:val="21"/>
              </w:rPr>
            </w:pPr>
            <w:r/>
          </w:p>
        </w:tc>
        <w:tc>
          <w:tcPr>
            <w:tcW w:w="680" w:type="dxa"/>
            <w:vAlign w:val="top"/>
          </w:tcPr>
          <w:p>
            <w:pPr>
              <w:rPr>
                <w:rFonts w:ascii="Arial"/>
                <w:sz w:val="21"/>
              </w:rPr>
            </w:pPr>
            <w:r/>
          </w:p>
        </w:tc>
        <w:tc>
          <w:tcPr>
            <w:tcW w:w="570" w:type="dxa"/>
            <w:vAlign w:val="top"/>
          </w:tcPr>
          <w:p>
            <w:pPr>
              <w:rPr>
                <w:rFonts w:ascii="Arial"/>
                <w:sz w:val="21"/>
              </w:rPr>
            </w:pPr>
            <w:r/>
          </w:p>
        </w:tc>
        <w:tc>
          <w:tcPr>
            <w:tcW w:w="483" w:type="dxa"/>
            <w:vAlign w:val="top"/>
          </w:tcPr>
          <w:p>
            <w:pPr>
              <w:rPr>
                <w:rFonts w:ascii="Arial"/>
                <w:sz w:val="21"/>
              </w:rPr>
            </w:pPr>
            <w:r/>
          </w:p>
        </w:tc>
        <w:tc>
          <w:tcPr>
            <w:tcW w:w="680" w:type="dxa"/>
            <w:vAlign w:val="top"/>
          </w:tcPr>
          <w:p>
            <w:pPr>
              <w:rPr>
                <w:rFonts w:ascii="Arial"/>
                <w:sz w:val="21"/>
              </w:rPr>
            </w:pPr>
            <w:r/>
          </w:p>
        </w:tc>
        <w:tc>
          <w:tcPr>
            <w:tcW w:w="570" w:type="dxa"/>
            <w:vAlign w:val="top"/>
          </w:tcPr>
          <w:p>
            <w:pPr>
              <w:rPr>
                <w:rFonts w:ascii="Arial"/>
                <w:sz w:val="21"/>
              </w:rPr>
            </w:pPr>
            <w:r/>
          </w:p>
        </w:tc>
        <w:tc>
          <w:tcPr>
            <w:tcW w:w="3109" w:type="dxa"/>
            <w:vAlign w:val="top"/>
          </w:tcPr>
          <w:p>
            <w:pPr>
              <w:pStyle w:val="TableText"/>
              <w:ind w:left="16"/>
              <w:spacing w:before="130" w:line="220" w:lineRule="auto"/>
              <w:rPr>
                <w:sz w:val="19"/>
                <w:szCs w:val="19"/>
              </w:rPr>
            </w:pPr>
            <w:r>
              <w:rPr>
                <w:sz w:val="19"/>
                <w:szCs w:val="19"/>
                <w:spacing w:val="9"/>
              </w:rPr>
              <w:t>二、国有企业资本金注入</w:t>
            </w:r>
          </w:p>
        </w:tc>
        <w:tc>
          <w:tcPr>
            <w:tcW w:w="482" w:type="dxa"/>
            <w:vAlign w:val="top"/>
          </w:tcPr>
          <w:p>
            <w:pPr>
              <w:pStyle w:val="TableText"/>
              <w:ind w:left="162"/>
              <w:spacing w:before="127" w:line="280" w:lineRule="exact"/>
              <w:rPr>
                <w:sz w:val="19"/>
                <w:szCs w:val="19"/>
              </w:rPr>
            </w:pPr>
            <w:r>
              <w:rPr>
                <w:sz w:val="19"/>
                <w:szCs w:val="19"/>
                <w:spacing w:val="-8"/>
                <w:position w:val="2"/>
              </w:rPr>
              <w:t>14</w:t>
            </w:r>
          </w:p>
        </w:tc>
        <w:tc>
          <w:tcPr>
            <w:tcW w:w="483" w:type="dxa"/>
            <w:vAlign w:val="top"/>
          </w:tcPr>
          <w:p>
            <w:pPr>
              <w:rPr>
                <w:rFonts w:ascii="Arial"/>
                <w:sz w:val="21"/>
              </w:rPr>
            </w:pPr>
            <w:r/>
          </w:p>
        </w:tc>
        <w:tc>
          <w:tcPr>
            <w:tcW w:w="680" w:type="dxa"/>
            <w:vAlign w:val="top"/>
          </w:tcPr>
          <w:p>
            <w:pPr>
              <w:rPr>
                <w:rFonts w:ascii="Arial"/>
                <w:sz w:val="21"/>
              </w:rPr>
            </w:pPr>
            <w:r/>
          </w:p>
        </w:tc>
        <w:tc>
          <w:tcPr>
            <w:tcW w:w="600" w:type="dxa"/>
            <w:vAlign w:val="top"/>
          </w:tcPr>
          <w:p>
            <w:pPr>
              <w:rPr>
                <w:rFonts w:ascii="Arial"/>
                <w:sz w:val="21"/>
              </w:rPr>
            </w:pPr>
            <w:r/>
          </w:p>
        </w:tc>
        <w:tc>
          <w:tcPr>
            <w:tcW w:w="483" w:type="dxa"/>
            <w:vAlign w:val="top"/>
          </w:tcPr>
          <w:p>
            <w:pPr>
              <w:rPr>
                <w:rFonts w:ascii="Arial"/>
                <w:sz w:val="21"/>
              </w:rPr>
            </w:pPr>
            <w:r/>
          </w:p>
        </w:tc>
        <w:tc>
          <w:tcPr>
            <w:tcW w:w="680" w:type="dxa"/>
            <w:vAlign w:val="top"/>
          </w:tcPr>
          <w:p>
            <w:pPr>
              <w:rPr>
                <w:rFonts w:ascii="Arial"/>
                <w:sz w:val="21"/>
              </w:rPr>
            </w:pPr>
            <w:r/>
          </w:p>
        </w:tc>
        <w:tc>
          <w:tcPr>
            <w:tcW w:w="568" w:type="dxa"/>
            <w:vAlign w:val="top"/>
            <w:tcBorders>
              <w:right w:val="single" w:color="000000" w:sz="6" w:space="0"/>
            </w:tcBorders>
          </w:tcPr>
          <w:p>
            <w:pPr>
              <w:rPr>
                <w:rFonts w:ascii="Arial"/>
                <w:sz w:val="21"/>
              </w:rPr>
            </w:pPr>
            <w:r/>
          </w:p>
        </w:tc>
      </w:tr>
      <w:tr>
        <w:trPr>
          <w:trHeight w:val="417" w:hRule="atLeast"/>
        </w:trPr>
        <w:tc>
          <w:tcPr>
            <w:tcW w:w="2866" w:type="dxa"/>
            <w:vAlign w:val="top"/>
            <w:tcBorders>
              <w:left w:val="single" w:color="000000" w:sz="6" w:space="0"/>
            </w:tcBorders>
          </w:tcPr>
          <w:p>
            <w:pPr>
              <w:pStyle w:val="TableText"/>
              <w:ind w:left="19"/>
              <w:spacing w:before="131" w:line="220" w:lineRule="auto"/>
              <w:rPr>
                <w:sz w:val="19"/>
                <w:szCs w:val="19"/>
              </w:rPr>
            </w:pPr>
            <w:r>
              <w:rPr>
                <w:sz w:val="19"/>
                <w:szCs w:val="19"/>
                <w:spacing w:val="8"/>
              </w:rPr>
              <w:t>三、产权转让收入</w:t>
            </w:r>
          </w:p>
        </w:tc>
        <w:tc>
          <w:tcPr>
            <w:tcW w:w="480" w:type="dxa"/>
            <w:vAlign w:val="top"/>
          </w:tcPr>
          <w:p>
            <w:pPr>
              <w:pStyle w:val="TableText"/>
              <w:ind w:left="188"/>
              <w:spacing w:before="127" w:line="280" w:lineRule="exact"/>
              <w:rPr>
                <w:sz w:val="19"/>
                <w:szCs w:val="19"/>
              </w:rPr>
            </w:pPr>
            <w:r>
              <w:rPr>
                <w:sz w:val="19"/>
                <w:szCs w:val="19"/>
                <w:position w:val="2"/>
              </w:rPr>
              <w:t>3</w:t>
            </w:r>
          </w:p>
        </w:tc>
        <w:tc>
          <w:tcPr>
            <w:tcW w:w="482" w:type="dxa"/>
            <w:vAlign w:val="top"/>
          </w:tcPr>
          <w:p>
            <w:pPr>
              <w:rPr>
                <w:rFonts w:ascii="Arial"/>
                <w:sz w:val="21"/>
              </w:rPr>
            </w:pPr>
            <w:r/>
          </w:p>
        </w:tc>
        <w:tc>
          <w:tcPr>
            <w:tcW w:w="680" w:type="dxa"/>
            <w:vAlign w:val="top"/>
          </w:tcPr>
          <w:p>
            <w:pPr>
              <w:rPr>
                <w:rFonts w:ascii="Arial"/>
                <w:sz w:val="21"/>
              </w:rPr>
            </w:pPr>
            <w:r/>
          </w:p>
        </w:tc>
        <w:tc>
          <w:tcPr>
            <w:tcW w:w="570" w:type="dxa"/>
            <w:vAlign w:val="top"/>
          </w:tcPr>
          <w:p>
            <w:pPr>
              <w:rPr>
                <w:rFonts w:ascii="Arial"/>
                <w:sz w:val="21"/>
              </w:rPr>
            </w:pPr>
            <w:r/>
          </w:p>
        </w:tc>
        <w:tc>
          <w:tcPr>
            <w:tcW w:w="483" w:type="dxa"/>
            <w:vAlign w:val="top"/>
          </w:tcPr>
          <w:p>
            <w:pPr>
              <w:rPr>
                <w:rFonts w:ascii="Arial"/>
                <w:sz w:val="21"/>
              </w:rPr>
            </w:pPr>
            <w:r/>
          </w:p>
        </w:tc>
        <w:tc>
          <w:tcPr>
            <w:tcW w:w="680" w:type="dxa"/>
            <w:vAlign w:val="top"/>
          </w:tcPr>
          <w:p>
            <w:pPr>
              <w:rPr>
                <w:rFonts w:ascii="Arial"/>
                <w:sz w:val="21"/>
              </w:rPr>
            </w:pPr>
            <w:r/>
          </w:p>
        </w:tc>
        <w:tc>
          <w:tcPr>
            <w:tcW w:w="570" w:type="dxa"/>
            <w:vAlign w:val="top"/>
          </w:tcPr>
          <w:p>
            <w:pPr>
              <w:rPr>
                <w:rFonts w:ascii="Arial"/>
                <w:sz w:val="21"/>
              </w:rPr>
            </w:pPr>
            <w:r/>
          </w:p>
        </w:tc>
        <w:tc>
          <w:tcPr>
            <w:tcW w:w="3109" w:type="dxa"/>
            <w:vAlign w:val="top"/>
          </w:tcPr>
          <w:p>
            <w:pPr>
              <w:pStyle w:val="TableText"/>
              <w:ind w:left="20"/>
              <w:spacing w:before="131" w:line="220" w:lineRule="auto"/>
              <w:rPr>
                <w:sz w:val="19"/>
                <w:szCs w:val="19"/>
              </w:rPr>
            </w:pPr>
            <w:r>
              <w:rPr>
                <w:sz w:val="19"/>
                <w:szCs w:val="19"/>
                <w:spacing w:val="9"/>
              </w:rPr>
              <w:t>三、国有企业政策性补贴</w:t>
            </w:r>
          </w:p>
        </w:tc>
        <w:tc>
          <w:tcPr>
            <w:tcW w:w="482" w:type="dxa"/>
            <w:vAlign w:val="top"/>
          </w:tcPr>
          <w:p>
            <w:pPr>
              <w:pStyle w:val="TableText"/>
              <w:ind w:left="162"/>
              <w:spacing w:before="127" w:line="280" w:lineRule="exact"/>
              <w:rPr>
                <w:sz w:val="19"/>
                <w:szCs w:val="19"/>
              </w:rPr>
            </w:pPr>
            <w:r>
              <w:rPr>
                <w:sz w:val="19"/>
                <w:szCs w:val="19"/>
                <w:spacing w:val="-8"/>
                <w:position w:val="2"/>
              </w:rPr>
              <w:t>15</w:t>
            </w:r>
          </w:p>
        </w:tc>
        <w:tc>
          <w:tcPr>
            <w:tcW w:w="483" w:type="dxa"/>
            <w:vAlign w:val="top"/>
          </w:tcPr>
          <w:p>
            <w:pPr>
              <w:pStyle w:val="TableText"/>
              <w:ind w:right="9"/>
              <w:spacing w:before="127" w:line="280" w:lineRule="exact"/>
              <w:jc w:val="right"/>
              <w:rPr>
                <w:sz w:val="19"/>
                <w:szCs w:val="19"/>
              </w:rPr>
            </w:pPr>
            <w:r>
              <w:rPr>
                <w:sz w:val="19"/>
                <w:szCs w:val="19"/>
                <w:spacing w:val="1"/>
                <w:position w:val="2"/>
              </w:rPr>
              <w:t>550</w:t>
            </w:r>
          </w:p>
        </w:tc>
        <w:tc>
          <w:tcPr>
            <w:tcW w:w="680" w:type="dxa"/>
            <w:vAlign w:val="top"/>
          </w:tcPr>
          <w:p>
            <w:pPr>
              <w:rPr>
                <w:rFonts w:ascii="Arial"/>
                <w:sz w:val="21"/>
              </w:rPr>
            </w:pPr>
            <w:r/>
          </w:p>
        </w:tc>
        <w:tc>
          <w:tcPr>
            <w:tcW w:w="600" w:type="dxa"/>
            <w:vAlign w:val="top"/>
          </w:tcPr>
          <w:p>
            <w:pPr>
              <w:pStyle w:val="TableText"/>
              <w:ind w:right="8"/>
              <w:spacing w:before="127" w:line="280" w:lineRule="exact"/>
              <w:jc w:val="right"/>
              <w:rPr>
                <w:sz w:val="19"/>
                <w:szCs w:val="19"/>
              </w:rPr>
            </w:pPr>
            <w:r>
              <w:rPr>
                <w:sz w:val="19"/>
                <w:szCs w:val="19"/>
                <w:spacing w:val="1"/>
                <w:position w:val="2"/>
              </w:rPr>
              <w:t>550</w:t>
            </w:r>
          </w:p>
        </w:tc>
        <w:tc>
          <w:tcPr>
            <w:tcW w:w="483" w:type="dxa"/>
            <w:vAlign w:val="top"/>
          </w:tcPr>
          <w:p>
            <w:pPr>
              <w:pStyle w:val="TableText"/>
              <w:ind w:right="6"/>
              <w:spacing w:before="127" w:line="280" w:lineRule="exact"/>
              <w:jc w:val="right"/>
              <w:rPr>
                <w:sz w:val="19"/>
                <w:szCs w:val="19"/>
              </w:rPr>
            </w:pPr>
            <w:r>
              <w:rPr>
                <w:sz w:val="19"/>
                <w:szCs w:val="19"/>
                <w:spacing w:val="1"/>
                <w:position w:val="2"/>
              </w:rPr>
              <w:t>550</w:t>
            </w:r>
          </w:p>
        </w:tc>
        <w:tc>
          <w:tcPr>
            <w:tcW w:w="680" w:type="dxa"/>
            <w:vAlign w:val="top"/>
          </w:tcPr>
          <w:p>
            <w:pPr>
              <w:rPr>
                <w:rFonts w:ascii="Arial"/>
                <w:sz w:val="21"/>
              </w:rPr>
            </w:pPr>
            <w:r/>
          </w:p>
        </w:tc>
        <w:tc>
          <w:tcPr>
            <w:tcW w:w="568" w:type="dxa"/>
            <w:vAlign w:val="top"/>
            <w:tcBorders>
              <w:right w:val="single" w:color="000000" w:sz="6" w:space="0"/>
            </w:tcBorders>
          </w:tcPr>
          <w:p>
            <w:pPr>
              <w:pStyle w:val="TableText"/>
              <w:ind w:right="13"/>
              <w:spacing w:before="127" w:line="280" w:lineRule="exact"/>
              <w:jc w:val="right"/>
              <w:rPr>
                <w:sz w:val="19"/>
                <w:szCs w:val="19"/>
              </w:rPr>
            </w:pPr>
            <w:r>
              <w:rPr>
                <w:sz w:val="19"/>
                <w:szCs w:val="19"/>
                <w:spacing w:val="1"/>
                <w:position w:val="2"/>
              </w:rPr>
              <w:t>550</w:t>
            </w:r>
          </w:p>
        </w:tc>
      </w:tr>
      <w:tr>
        <w:trPr>
          <w:trHeight w:val="418" w:hRule="atLeast"/>
        </w:trPr>
        <w:tc>
          <w:tcPr>
            <w:tcW w:w="2866" w:type="dxa"/>
            <w:vAlign w:val="top"/>
            <w:tcBorders>
              <w:left w:val="single" w:color="000000" w:sz="6" w:space="0"/>
            </w:tcBorders>
          </w:tcPr>
          <w:p>
            <w:pPr>
              <w:pStyle w:val="TableText"/>
              <w:ind w:left="36"/>
              <w:spacing w:before="133" w:line="221" w:lineRule="auto"/>
              <w:rPr>
                <w:sz w:val="19"/>
                <w:szCs w:val="19"/>
              </w:rPr>
            </w:pPr>
            <w:r>
              <w:rPr>
                <w:sz w:val="19"/>
                <w:szCs w:val="19"/>
                <w:spacing w:val="5"/>
              </w:rPr>
              <w:t>四、清算收入</w:t>
            </w:r>
          </w:p>
        </w:tc>
        <w:tc>
          <w:tcPr>
            <w:tcW w:w="480" w:type="dxa"/>
            <w:vAlign w:val="top"/>
          </w:tcPr>
          <w:p>
            <w:pPr>
              <w:pStyle w:val="TableText"/>
              <w:ind w:left="182"/>
              <w:spacing w:before="130" w:line="277" w:lineRule="exact"/>
              <w:rPr>
                <w:sz w:val="19"/>
                <w:szCs w:val="19"/>
              </w:rPr>
            </w:pPr>
            <w:r>
              <w:rPr>
                <w:sz w:val="19"/>
                <w:szCs w:val="19"/>
                <w:spacing w:val="1"/>
                <w:position w:val="2"/>
              </w:rPr>
              <w:t>4</w:t>
            </w:r>
          </w:p>
        </w:tc>
        <w:tc>
          <w:tcPr>
            <w:tcW w:w="482" w:type="dxa"/>
            <w:vAlign w:val="top"/>
          </w:tcPr>
          <w:p>
            <w:pPr>
              <w:rPr>
                <w:rFonts w:ascii="Arial"/>
                <w:sz w:val="21"/>
              </w:rPr>
            </w:pPr>
            <w:r/>
          </w:p>
        </w:tc>
        <w:tc>
          <w:tcPr>
            <w:tcW w:w="680" w:type="dxa"/>
            <w:vAlign w:val="top"/>
          </w:tcPr>
          <w:p>
            <w:pPr>
              <w:rPr>
                <w:rFonts w:ascii="Arial"/>
                <w:sz w:val="21"/>
              </w:rPr>
            </w:pPr>
            <w:r/>
          </w:p>
        </w:tc>
        <w:tc>
          <w:tcPr>
            <w:tcW w:w="570" w:type="dxa"/>
            <w:vAlign w:val="top"/>
          </w:tcPr>
          <w:p>
            <w:pPr>
              <w:rPr>
                <w:rFonts w:ascii="Arial"/>
                <w:sz w:val="21"/>
              </w:rPr>
            </w:pPr>
            <w:r/>
          </w:p>
        </w:tc>
        <w:tc>
          <w:tcPr>
            <w:tcW w:w="483" w:type="dxa"/>
            <w:vAlign w:val="top"/>
          </w:tcPr>
          <w:p>
            <w:pPr>
              <w:rPr>
                <w:rFonts w:ascii="Arial"/>
                <w:sz w:val="21"/>
              </w:rPr>
            </w:pPr>
            <w:r/>
          </w:p>
        </w:tc>
        <w:tc>
          <w:tcPr>
            <w:tcW w:w="680" w:type="dxa"/>
            <w:vAlign w:val="top"/>
          </w:tcPr>
          <w:p>
            <w:pPr>
              <w:rPr>
                <w:rFonts w:ascii="Arial"/>
                <w:sz w:val="21"/>
              </w:rPr>
            </w:pPr>
            <w:r/>
          </w:p>
        </w:tc>
        <w:tc>
          <w:tcPr>
            <w:tcW w:w="570" w:type="dxa"/>
            <w:vAlign w:val="top"/>
          </w:tcPr>
          <w:p>
            <w:pPr>
              <w:rPr>
                <w:rFonts w:ascii="Arial"/>
                <w:sz w:val="21"/>
              </w:rPr>
            </w:pPr>
            <w:r/>
          </w:p>
        </w:tc>
        <w:tc>
          <w:tcPr>
            <w:tcW w:w="3109" w:type="dxa"/>
            <w:vAlign w:val="top"/>
          </w:tcPr>
          <w:p>
            <w:pPr>
              <w:pStyle w:val="TableText"/>
              <w:ind w:left="37"/>
              <w:spacing w:before="133" w:line="220" w:lineRule="auto"/>
              <w:rPr>
                <w:sz w:val="19"/>
                <w:szCs w:val="19"/>
              </w:rPr>
            </w:pPr>
            <w:r>
              <w:rPr>
                <w:sz w:val="19"/>
                <w:szCs w:val="19"/>
                <w:spacing w:val="8"/>
              </w:rPr>
              <w:t>四、金融国有资本经营预算支出</w:t>
            </w:r>
          </w:p>
        </w:tc>
        <w:tc>
          <w:tcPr>
            <w:tcW w:w="482" w:type="dxa"/>
            <w:vAlign w:val="top"/>
          </w:tcPr>
          <w:p>
            <w:pPr>
              <w:pStyle w:val="TableText"/>
              <w:ind w:left="162"/>
              <w:spacing w:before="130" w:line="277" w:lineRule="exact"/>
              <w:rPr>
                <w:sz w:val="19"/>
                <w:szCs w:val="19"/>
              </w:rPr>
            </w:pPr>
            <w:r>
              <w:rPr>
                <w:sz w:val="19"/>
                <w:szCs w:val="19"/>
                <w:spacing w:val="-8"/>
                <w:position w:val="2"/>
              </w:rPr>
              <w:t>16</w:t>
            </w:r>
          </w:p>
        </w:tc>
        <w:tc>
          <w:tcPr>
            <w:tcW w:w="483" w:type="dxa"/>
            <w:vAlign w:val="top"/>
          </w:tcPr>
          <w:p>
            <w:pPr>
              <w:rPr>
                <w:rFonts w:ascii="Arial"/>
                <w:sz w:val="21"/>
              </w:rPr>
            </w:pPr>
            <w:r/>
          </w:p>
        </w:tc>
        <w:tc>
          <w:tcPr>
            <w:tcW w:w="680" w:type="dxa"/>
            <w:vAlign w:val="top"/>
          </w:tcPr>
          <w:p>
            <w:pPr>
              <w:rPr>
                <w:rFonts w:ascii="Arial"/>
                <w:sz w:val="21"/>
              </w:rPr>
            </w:pPr>
            <w:r/>
          </w:p>
        </w:tc>
        <w:tc>
          <w:tcPr>
            <w:tcW w:w="600" w:type="dxa"/>
            <w:vAlign w:val="top"/>
          </w:tcPr>
          <w:p>
            <w:pPr>
              <w:rPr>
                <w:rFonts w:ascii="Arial"/>
                <w:sz w:val="21"/>
              </w:rPr>
            </w:pPr>
            <w:r/>
          </w:p>
        </w:tc>
        <w:tc>
          <w:tcPr>
            <w:tcW w:w="483" w:type="dxa"/>
            <w:vAlign w:val="top"/>
          </w:tcPr>
          <w:p>
            <w:pPr>
              <w:rPr>
                <w:rFonts w:ascii="Arial"/>
                <w:sz w:val="21"/>
              </w:rPr>
            </w:pPr>
            <w:r/>
          </w:p>
        </w:tc>
        <w:tc>
          <w:tcPr>
            <w:tcW w:w="680" w:type="dxa"/>
            <w:vAlign w:val="top"/>
          </w:tcPr>
          <w:p>
            <w:pPr>
              <w:rPr>
                <w:rFonts w:ascii="Arial"/>
                <w:sz w:val="21"/>
              </w:rPr>
            </w:pPr>
            <w:r/>
          </w:p>
        </w:tc>
        <w:tc>
          <w:tcPr>
            <w:tcW w:w="568" w:type="dxa"/>
            <w:vAlign w:val="top"/>
            <w:tcBorders>
              <w:right w:val="single" w:color="000000" w:sz="6" w:space="0"/>
            </w:tcBorders>
          </w:tcPr>
          <w:p>
            <w:pPr>
              <w:rPr>
                <w:rFonts w:ascii="Arial"/>
                <w:sz w:val="21"/>
              </w:rPr>
            </w:pPr>
            <w:r/>
          </w:p>
        </w:tc>
      </w:tr>
      <w:tr>
        <w:trPr>
          <w:trHeight w:val="417" w:hRule="atLeast"/>
        </w:trPr>
        <w:tc>
          <w:tcPr>
            <w:tcW w:w="2866" w:type="dxa"/>
            <w:vAlign w:val="top"/>
            <w:tcBorders>
              <w:left w:val="single" w:color="000000" w:sz="6" w:space="0"/>
            </w:tcBorders>
          </w:tcPr>
          <w:p>
            <w:pPr>
              <w:pStyle w:val="TableText"/>
              <w:ind w:left="20"/>
              <w:spacing w:before="132" w:line="221" w:lineRule="auto"/>
              <w:rPr>
                <w:sz w:val="19"/>
                <w:szCs w:val="19"/>
              </w:rPr>
            </w:pPr>
            <w:r>
              <w:rPr>
                <w:sz w:val="19"/>
                <w:szCs w:val="19"/>
                <w:spacing w:val="9"/>
              </w:rPr>
              <w:t>五、其他国有资本经营预算收入</w:t>
            </w:r>
          </w:p>
        </w:tc>
        <w:tc>
          <w:tcPr>
            <w:tcW w:w="480" w:type="dxa"/>
            <w:vAlign w:val="top"/>
          </w:tcPr>
          <w:p>
            <w:pPr>
              <w:pStyle w:val="TableText"/>
              <w:ind w:left="185"/>
              <w:spacing w:before="129" w:line="278" w:lineRule="exact"/>
              <w:rPr>
                <w:sz w:val="19"/>
                <w:szCs w:val="19"/>
              </w:rPr>
            </w:pPr>
            <w:r>
              <w:rPr>
                <w:sz w:val="19"/>
                <w:szCs w:val="19"/>
                <w:position w:val="2"/>
              </w:rPr>
              <w:t>5</w:t>
            </w:r>
          </w:p>
        </w:tc>
        <w:tc>
          <w:tcPr>
            <w:tcW w:w="482" w:type="dxa"/>
            <w:vAlign w:val="top"/>
          </w:tcPr>
          <w:p>
            <w:pPr>
              <w:rPr>
                <w:rFonts w:ascii="Arial"/>
                <w:sz w:val="21"/>
              </w:rPr>
            </w:pPr>
            <w:r/>
          </w:p>
        </w:tc>
        <w:tc>
          <w:tcPr>
            <w:tcW w:w="680" w:type="dxa"/>
            <w:vAlign w:val="top"/>
          </w:tcPr>
          <w:p>
            <w:pPr>
              <w:rPr>
                <w:rFonts w:ascii="Arial"/>
                <w:sz w:val="21"/>
              </w:rPr>
            </w:pPr>
            <w:r/>
          </w:p>
        </w:tc>
        <w:tc>
          <w:tcPr>
            <w:tcW w:w="570" w:type="dxa"/>
            <w:vAlign w:val="top"/>
          </w:tcPr>
          <w:p>
            <w:pPr>
              <w:rPr>
                <w:rFonts w:ascii="Arial"/>
                <w:sz w:val="21"/>
              </w:rPr>
            </w:pPr>
            <w:r/>
          </w:p>
        </w:tc>
        <w:tc>
          <w:tcPr>
            <w:tcW w:w="483" w:type="dxa"/>
            <w:vAlign w:val="top"/>
          </w:tcPr>
          <w:p>
            <w:pPr>
              <w:rPr>
                <w:rFonts w:ascii="Arial"/>
                <w:sz w:val="21"/>
              </w:rPr>
            </w:pPr>
            <w:r/>
          </w:p>
        </w:tc>
        <w:tc>
          <w:tcPr>
            <w:tcW w:w="680" w:type="dxa"/>
            <w:vAlign w:val="top"/>
          </w:tcPr>
          <w:p>
            <w:pPr>
              <w:rPr>
                <w:rFonts w:ascii="Arial"/>
                <w:sz w:val="21"/>
              </w:rPr>
            </w:pPr>
            <w:r/>
          </w:p>
        </w:tc>
        <w:tc>
          <w:tcPr>
            <w:tcW w:w="570" w:type="dxa"/>
            <w:vAlign w:val="top"/>
          </w:tcPr>
          <w:p>
            <w:pPr>
              <w:rPr>
                <w:rFonts w:ascii="Arial"/>
                <w:sz w:val="21"/>
              </w:rPr>
            </w:pPr>
            <w:r/>
          </w:p>
        </w:tc>
        <w:tc>
          <w:tcPr>
            <w:tcW w:w="3109" w:type="dxa"/>
            <w:vAlign w:val="top"/>
          </w:tcPr>
          <w:p>
            <w:pPr>
              <w:pStyle w:val="TableText"/>
              <w:ind w:left="20"/>
              <w:spacing w:before="132" w:line="221" w:lineRule="auto"/>
              <w:rPr>
                <w:sz w:val="19"/>
                <w:szCs w:val="19"/>
              </w:rPr>
            </w:pPr>
            <w:r>
              <w:rPr>
                <w:sz w:val="19"/>
                <w:szCs w:val="19"/>
                <w:spacing w:val="9"/>
              </w:rPr>
              <w:t>五、其他国有资本经营预算支出</w:t>
            </w:r>
          </w:p>
        </w:tc>
        <w:tc>
          <w:tcPr>
            <w:tcW w:w="482" w:type="dxa"/>
            <w:vAlign w:val="top"/>
          </w:tcPr>
          <w:p>
            <w:pPr>
              <w:pStyle w:val="TableText"/>
              <w:ind w:left="162"/>
              <w:spacing w:before="129" w:line="278" w:lineRule="exact"/>
              <w:rPr>
                <w:sz w:val="19"/>
                <w:szCs w:val="19"/>
              </w:rPr>
            </w:pPr>
            <w:r>
              <w:rPr>
                <w:sz w:val="19"/>
                <w:szCs w:val="19"/>
                <w:spacing w:val="-8"/>
                <w:position w:val="2"/>
              </w:rPr>
              <w:t>17</w:t>
            </w:r>
          </w:p>
        </w:tc>
        <w:tc>
          <w:tcPr>
            <w:tcW w:w="483" w:type="dxa"/>
            <w:vAlign w:val="top"/>
          </w:tcPr>
          <w:p>
            <w:pPr>
              <w:rPr>
                <w:rFonts w:ascii="Arial"/>
                <w:sz w:val="21"/>
              </w:rPr>
            </w:pPr>
            <w:r/>
          </w:p>
        </w:tc>
        <w:tc>
          <w:tcPr>
            <w:tcW w:w="680" w:type="dxa"/>
            <w:vAlign w:val="top"/>
          </w:tcPr>
          <w:p>
            <w:pPr>
              <w:rPr>
                <w:rFonts w:ascii="Arial"/>
                <w:sz w:val="21"/>
              </w:rPr>
            </w:pPr>
            <w:r/>
          </w:p>
        </w:tc>
        <w:tc>
          <w:tcPr>
            <w:tcW w:w="600" w:type="dxa"/>
            <w:vAlign w:val="top"/>
          </w:tcPr>
          <w:p>
            <w:pPr>
              <w:rPr>
                <w:rFonts w:ascii="Arial"/>
                <w:sz w:val="21"/>
              </w:rPr>
            </w:pPr>
            <w:r/>
          </w:p>
        </w:tc>
        <w:tc>
          <w:tcPr>
            <w:tcW w:w="483" w:type="dxa"/>
            <w:vAlign w:val="top"/>
          </w:tcPr>
          <w:p>
            <w:pPr>
              <w:rPr>
                <w:rFonts w:ascii="Arial"/>
                <w:sz w:val="21"/>
              </w:rPr>
            </w:pPr>
            <w:r/>
          </w:p>
        </w:tc>
        <w:tc>
          <w:tcPr>
            <w:tcW w:w="680" w:type="dxa"/>
            <w:vAlign w:val="top"/>
          </w:tcPr>
          <w:p>
            <w:pPr>
              <w:rPr>
                <w:rFonts w:ascii="Arial"/>
                <w:sz w:val="21"/>
              </w:rPr>
            </w:pPr>
            <w:r/>
          </w:p>
        </w:tc>
        <w:tc>
          <w:tcPr>
            <w:tcW w:w="568" w:type="dxa"/>
            <w:vAlign w:val="top"/>
            <w:tcBorders>
              <w:right w:val="single" w:color="000000" w:sz="6" w:space="0"/>
            </w:tcBorders>
          </w:tcPr>
          <w:p>
            <w:pPr>
              <w:rPr>
                <w:rFonts w:ascii="Arial"/>
                <w:sz w:val="21"/>
              </w:rPr>
            </w:pPr>
            <w:r/>
          </w:p>
        </w:tc>
      </w:tr>
      <w:tr>
        <w:trPr>
          <w:trHeight w:val="417" w:hRule="atLeast"/>
        </w:trPr>
        <w:tc>
          <w:tcPr>
            <w:tcW w:w="2866" w:type="dxa"/>
            <w:vAlign w:val="top"/>
            <w:tcBorders>
              <w:left w:val="single" w:color="000000" w:sz="6" w:space="0"/>
            </w:tcBorders>
          </w:tcPr>
          <w:p>
            <w:pPr>
              <w:rPr>
                <w:rFonts w:ascii="Arial"/>
                <w:sz w:val="21"/>
              </w:rPr>
            </w:pPr>
            <w:r/>
          </w:p>
        </w:tc>
        <w:tc>
          <w:tcPr>
            <w:tcW w:w="480" w:type="dxa"/>
            <w:vAlign w:val="top"/>
          </w:tcPr>
          <w:p>
            <w:pPr>
              <w:pStyle w:val="TableText"/>
              <w:ind w:left="185"/>
              <w:spacing w:before="129" w:line="278" w:lineRule="exact"/>
              <w:rPr>
                <w:sz w:val="19"/>
                <w:szCs w:val="19"/>
              </w:rPr>
            </w:pPr>
            <w:r>
              <w:rPr>
                <w:sz w:val="19"/>
                <w:szCs w:val="19"/>
                <w:position w:val="2"/>
              </w:rPr>
              <w:t>6</w:t>
            </w:r>
          </w:p>
        </w:tc>
        <w:tc>
          <w:tcPr>
            <w:tcW w:w="482" w:type="dxa"/>
            <w:vAlign w:val="top"/>
          </w:tcPr>
          <w:p>
            <w:pPr>
              <w:rPr>
                <w:rFonts w:ascii="Arial"/>
                <w:sz w:val="21"/>
              </w:rPr>
            </w:pPr>
            <w:r/>
          </w:p>
        </w:tc>
        <w:tc>
          <w:tcPr>
            <w:tcW w:w="680" w:type="dxa"/>
            <w:vAlign w:val="top"/>
          </w:tcPr>
          <w:p>
            <w:pPr>
              <w:rPr>
                <w:rFonts w:ascii="Arial"/>
                <w:sz w:val="21"/>
              </w:rPr>
            </w:pPr>
            <w:r/>
          </w:p>
        </w:tc>
        <w:tc>
          <w:tcPr>
            <w:tcW w:w="570" w:type="dxa"/>
            <w:vAlign w:val="top"/>
          </w:tcPr>
          <w:p>
            <w:pPr>
              <w:rPr>
                <w:rFonts w:ascii="Arial"/>
                <w:sz w:val="21"/>
              </w:rPr>
            </w:pPr>
            <w:r/>
          </w:p>
        </w:tc>
        <w:tc>
          <w:tcPr>
            <w:tcW w:w="483" w:type="dxa"/>
            <w:vAlign w:val="top"/>
          </w:tcPr>
          <w:p>
            <w:pPr>
              <w:rPr>
                <w:rFonts w:ascii="Arial"/>
                <w:sz w:val="21"/>
              </w:rPr>
            </w:pPr>
            <w:r/>
          </w:p>
        </w:tc>
        <w:tc>
          <w:tcPr>
            <w:tcW w:w="680" w:type="dxa"/>
            <w:vAlign w:val="top"/>
          </w:tcPr>
          <w:p>
            <w:pPr>
              <w:rPr>
                <w:rFonts w:ascii="Arial"/>
                <w:sz w:val="21"/>
              </w:rPr>
            </w:pPr>
            <w:r/>
          </w:p>
        </w:tc>
        <w:tc>
          <w:tcPr>
            <w:tcW w:w="570" w:type="dxa"/>
            <w:vAlign w:val="top"/>
          </w:tcPr>
          <w:p>
            <w:pPr>
              <w:rPr>
                <w:rFonts w:ascii="Arial"/>
                <w:sz w:val="21"/>
              </w:rPr>
            </w:pPr>
            <w:r/>
          </w:p>
        </w:tc>
        <w:tc>
          <w:tcPr>
            <w:tcW w:w="3109" w:type="dxa"/>
            <w:vAlign w:val="top"/>
          </w:tcPr>
          <w:p>
            <w:pPr>
              <w:rPr>
                <w:rFonts w:ascii="Arial"/>
                <w:sz w:val="21"/>
              </w:rPr>
            </w:pPr>
            <w:r/>
          </w:p>
        </w:tc>
        <w:tc>
          <w:tcPr>
            <w:tcW w:w="482" w:type="dxa"/>
            <w:vAlign w:val="top"/>
          </w:tcPr>
          <w:p>
            <w:pPr>
              <w:pStyle w:val="TableText"/>
              <w:ind w:left="162"/>
              <w:spacing w:before="129" w:line="278" w:lineRule="exact"/>
              <w:rPr>
                <w:sz w:val="19"/>
                <w:szCs w:val="19"/>
              </w:rPr>
            </w:pPr>
            <w:r>
              <w:rPr>
                <w:sz w:val="19"/>
                <w:szCs w:val="19"/>
                <w:spacing w:val="-8"/>
                <w:position w:val="2"/>
              </w:rPr>
              <w:t>18</w:t>
            </w:r>
          </w:p>
        </w:tc>
        <w:tc>
          <w:tcPr>
            <w:tcW w:w="483" w:type="dxa"/>
            <w:vAlign w:val="top"/>
          </w:tcPr>
          <w:p>
            <w:pPr>
              <w:rPr>
                <w:rFonts w:ascii="Arial"/>
                <w:sz w:val="21"/>
              </w:rPr>
            </w:pPr>
            <w:r/>
          </w:p>
        </w:tc>
        <w:tc>
          <w:tcPr>
            <w:tcW w:w="680" w:type="dxa"/>
            <w:vAlign w:val="top"/>
          </w:tcPr>
          <w:p>
            <w:pPr>
              <w:rPr>
                <w:rFonts w:ascii="Arial"/>
                <w:sz w:val="21"/>
              </w:rPr>
            </w:pPr>
            <w:r/>
          </w:p>
        </w:tc>
        <w:tc>
          <w:tcPr>
            <w:tcW w:w="600" w:type="dxa"/>
            <w:vAlign w:val="top"/>
          </w:tcPr>
          <w:p>
            <w:pPr>
              <w:rPr>
                <w:rFonts w:ascii="Arial"/>
                <w:sz w:val="21"/>
              </w:rPr>
            </w:pPr>
            <w:r/>
          </w:p>
        </w:tc>
        <w:tc>
          <w:tcPr>
            <w:tcW w:w="483" w:type="dxa"/>
            <w:vAlign w:val="top"/>
          </w:tcPr>
          <w:p>
            <w:pPr>
              <w:rPr>
                <w:rFonts w:ascii="Arial"/>
                <w:sz w:val="21"/>
              </w:rPr>
            </w:pPr>
            <w:r/>
          </w:p>
        </w:tc>
        <w:tc>
          <w:tcPr>
            <w:tcW w:w="680" w:type="dxa"/>
            <w:vAlign w:val="top"/>
          </w:tcPr>
          <w:p>
            <w:pPr>
              <w:rPr>
                <w:rFonts w:ascii="Arial"/>
                <w:sz w:val="21"/>
              </w:rPr>
            </w:pPr>
            <w:r/>
          </w:p>
        </w:tc>
        <w:tc>
          <w:tcPr>
            <w:tcW w:w="568" w:type="dxa"/>
            <w:vAlign w:val="top"/>
            <w:tcBorders>
              <w:right w:val="single" w:color="000000" w:sz="6" w:space="0"/>
            </w:tcBorders>
          </w:tcPr>
          <w:p>
            <w:pPr>
              <w:rPr>
                <w:rFonts w:ascii="Arial"/>
                <w:sz w:val="21"/>
              </w:rPr>
            </w:pPr>
            <w:r/>
          </w:p>
        </w:tc>
      </w:tr>
      <w:tr>
        <w:trPr>
          <w:trHeight w:val="417" w:hRule="atLeast"/>
        </w:trPr>
        <w:tc>
          <w:tcPr>
            <w:tcW w:w="2866" w:type="dxa"/>
            <w:vAlign w:val="top"/>
            <w:tcBorders>
              <w:left w:val="single" w:color="000000" w:sz="6" w:space="0"/>
            </w:tcBorders>
          </w:tcPr>
          <w:p>
            <w:pPr>
              <w:pStyle w:val="TableText"/>
              <w:ind w:left="884"/>
              <w:spacing w:before="136" w:line="221" w:lineRule="auto"/>
              <w:rPr>
                <w:sz w:val="19"/>
                <w:szCs w:val="19"/>
              </w:rPr>
            </w:pPr>
            <w:r>
              <w:rPr>
                <w:sz w:val="19"/>
                <w:szCs w:val="19"/>
                <w:b/>
                <w:bCs/>
                <w:spacing w:val="3"/>
              </w:rPr>
              <w:t>收</w:t>
            </w:r>
            <w:r>
              <w:rPr>
                <w:sz w:val="19"/>
                <w:szCs w:val="19"/>
                <w:spacing w:val="9"/>
              </w:rPr>
              <w:t xml:space="preserve"> </w:t>
            </w:r>
            <w:r>
              <w:rPr>
                <w:sz w:val="19"/>
                <w:szCs w:val="19"/>
                <w:b/>
                <w:bCs/>
                <w:spacing w:val="3"/>
              </w:rPr>
              <w:t>入</w:t>
            </w:r>
            <w:r>
              <w:rPr>
                <w:sz w:val="19"/>
                <w:szCs w:val="19"/>
                <w:spacing w:val="12"/>
              </w:rPr>
              <w:t xml:space="preserve"> </w:t>
            </w:r>
            <w:r>
              <w:rPr>
                <w:sz w:val="19"/>
                <w:szCs w:val="19"/>
                <w:b/>
                <w:bCs/>
                <w:spacing w:val="3"/>
              </w:rPr>
              <w:t>合</w:t>
            </w:r>
            <w:r>
              <w:rPr>
                <w:sz w:val="19"/>
                <w:szCs w:val="19"/>
                <w:spacing w:val="3"/>
              </w:rPr>
              <w:t xml:space="preserve"> </w:t>
            </w:r>
            <w:r>
              <w:rPr>
                <w:sz w:val="19"/>
                <w:szCs w:val="19"/>
                <w:b/>
                <w:bCs/>
                <w:spacing w:val="3"/>
              </w:rPr>
              <w:t>计</w:t>
            </w:r>
          </w:p>
        </w:tc>
        <w:tc>
          <w:tcPr>
            <w:tcW w:w="480" w:type="dxa"/>
            <w:vAlign w:val="top"/>
          </w:tcPr>
          <w:p>
            <w:pPr>
              <w:pStyle w:val="TableText"/>
              <w:ind w:left="183"/>
              <w:spacing w:before="132" w:line="275" w:lineRule="exact"/>
              <w:rPr>
                <w:sz w:val="19"/>
                <w:szCs w:val="19"/>
              </w:rPr>
            </w:pPr>
            <w:r>
              <w:rPr>
                <w:sz w:val="19"/>
                <w:szCs w:val="19"/>
                <w:position w:val="2"/>
              </w:rPr>
              <w:t>7</w:t>
            </w:r>
          </w:p>
        </w:tc>
        <w:tc>
          <w:tcPr>
            <w:tcW w:w="482" w:type="dxa"/>
            <w:vAlign w:val="top"/>
          </w:tcPr>
          <w:p>
            <w:pPr>
              <w:pStyle w:val="TableText"/>
              <w:ind w:right="18"/>
              <w:spacing w:before="186" w:line="214" w:lineRule="auto"/>
              <w:jc w:val="right"/>
              <w:rPr>
                <w:sz w:val="19"/>
                <w:szCs w:val="19"/>
              </w:rPr>
            </w:pPr>
            <w:r>
              <w:rPr>
                <w:sz w:val="19"/>
                <w:szCs w:val="19"/>
                <w:spacing w:val="1"/>
              </w:rPr>
              <w:t>550</w:t>
            </w:r>
          </w:p>
        </w:tc>
        <w:tc>
          <w:tcPr>
            <w:tcW w:w="680" w:type="dxa"/>
            <w:vAlign w:val="top"/>
          </w:tcPr>
          <w:p>
            <w:pPr>
              <w:rPr>
                <w:rFonts w:ascii="Arial"/>
                <w:sz w:val="21"/>
              </w:rPr>
            </w:pPr>
            <w:r/>
          </w:p>
        </w:tc>
        <w:tc>
          <w:tcPr>
            <w:tcW w:w="570" w:type="dxa"/>
            <w:vAlign w:val="top"/>
          </w:tcPr>
          <w:p>
            <w:pPr>
              <w:pStyle w:val="TableText"/>
              <w:ind w:right="15"/>
              <w:spacing w:before="186" w:line="214" w:lineRule="auto"/>
              <w:jc w:val="right"/>
              <w:rPr>
                <w:sz w:val="19"/>
                <w:szCs w:val="19"/>
              </w:rPr>
            </w:pPr>
            <w:r>
              <w:rPr>
                <w:sz w:val="19"/>
                <w:szCs w:val="19"/>
                <w:spacing w:val="1"/>
              </w:rPr>
              <w:t>550</w:t>
            </w:r>
          </w:p>
        </w:tc>
        <w:tc>
          <w:tcPr>
            <w:tcW w:w="483" w:type="dxa"/>
            <w:vAlign w:val="top"/>
          </w:tcPr>
          <w:p>
            <w:pPr>
              <w:pStyle w:val="TableText"/>
              <w:ind w:right="16"/>
              <w:spacing w:before="186" w:line="214" w:lineRule="auto"/>
              <w:jc w:val="right"/>
              <w:rPr>
                <w:sz w:val="19"/>
                <w:szCs w:val="19"/>
              </w:rPr>
            </w:pPr>
            <w:r>
              <w:rPr>
                <w:sz w:val="19"/>
                <w:szCs w:val="19"/>
                <w:spacing w:val="1"/>
              </w:rPr>
              <w:t>550</w:t>
            </w:r>
          </w:p>
        </w:tc>
        <w:tc>
          <w:tcPr>
            <w:tcW w:w="680" w:type="dxa"/>
            <w:vAlign w:val="top"/>
          </w:tcPr>
          <w:p>
            <w:pPr>
              <w:rPr>
                <w:rFonts w:ascii="Arial"/>
                <w:sz w:val="21"/>
              </w:rPr>
            </w:pPr>
            <w:r/>
          </w:p>
        </w:tc>
        <w:tc>
          <w:tcPr>
            <w:tcW w:w="570" w:type="dxa"/>
            <w:vAlign w:val="top"/>
          </w:tcPr>
          <w:p>
            <w:pPr>
              <w:pStyle w:val="TableText"/>
              <w:ind w:right="13"/>
              <w:spacing w:before="186" w:line="214" w:lineRule="auto"/>
              <w:jc w:val="right"/>
              <w:rPr>
                <w:sz w:val="19"/>
                <w:szCs w:val="19"/>
              </w:rPr>
            </w:pPr>
            <w:r>
              <w:rPr>
                <w:sz w:val="19"/>
                <w:szCs w:val="19"/>
                <w:spacing w:val="1"/>
              </w:rPr>
              <w:t>550</w:t>
            </w:r>
          </w:p>
        </w:tc>
        <w:tc>
          <w:tcPr>
            <w:tcW w:w="3109" w:type="dxa"/>
            <w:vAlign w:val="top"/>
          </w:tcPr>
          <w:p>
            <w:pPr>
              <w:pStyle w:val="TableText"/>
              <w:ind w:left="1006"/>
              <w:spacing w:before="135" w:line="222" w:lineRule="auto"/>
              <w:rPr>
                <w:sz w:val="19"/>
                <w:szCs w:val="19"/>
              </w:rPr>
            </w:pPr>
            <w:r>
              <w:rPr>
                <w:sz w:val="19"/>
                <w:szCs w:val="19"/>
                <w:b/>
                <w:bCs/>
                <w:spacing w:val="1"/>
              </w:rPr>
              <w:t>支</w:t>
            </w:r>
            <w:r>
              <w:rPr>
                <w:sz w:val="19"/>
                <w:szCs w:val="19"/>
                <w:spacing w:val="25"/>
              </w:rPr>
              <w:t xml:space="preserve"> </w:t>
            </w:r>
            <w:r>
              <w:rPr>
                <w:sz w:val="19"/>
                <w:szCs w:val="19"/>
                <w:b/>
                <w:bCs/>
                <w:spacing w:val="1"/>
              </w:rPr>
              <w:t>出</w:t>
            </w:r>
            <w:r>
              <w:rPr>
                <w:sz w:val="19"/>
                <w:szCs w:val="19"/>
                <w:spacing w:val="12"/>
              </w:rPr>
              <w:t xml:space="preserve"> </w:t>
            </w:r>
            <w:r>
              <w:rPr>
                <w:sz w:val="19"/>
                <w:szCs w:val="19"/>
                <w:b/>
                <w:bCs/>
                <w:spacing w:val="1"/>
              </w:rPr>
              <w:t>合</w:t>
            </w:r>
            <w:r>
              <w:rPr>
                <w:sz w:val="19"/>
                <w:szCs w:val="19"/>
                <w:spacing w:val="1"/>
              </w:rPr>
              <w:t xml:space="preserve"> </w:t>
            </w:r>
            <w:r>
              <w:rPr>
                <w:sz w:val="19"/>
                <w:szCs w:val="19"/>
                <w:b/>
                <w:bCs/>
                <w:spacing w:val="1"/>
              </w:rPr>
              <w:t>计</w:t>
            </w:r>
          </w:p>
        </w:tc>
        <w:tc>
          <w:tcPr>
            <w:tcW w:w="482" w:type="dxa"/>
            <w:vAlign w:val="top"/>
          </w:tcPr>
          <w:p>
            <w:pPr>
              <w:pStyle w:val="TableText"/>
              <w:ind w:left="162"/>
              <w:spacing w:before="132" w:line="275" w:lineRule="exact"/>
              <w:rPr>
                <w:sz w:val="19"/>
                <w:szCs w:val="19"/>
              </w:rPr>
            </w:pPr>
            <w:r>
              <w:rPr>
                <w:sz w:val="19"/>
                <w:szCs w:val="19"/>
                <w:spacing w:val="-8"/>
                <w:position w:val="2"/>
              </w:rPr>
              <w:t>19</w:t>
            </w:r>
          </w:p>
        </w:tc>
        <w:tc>
          <w:tcPr>
            <w:tcW w:w="483" w:type="dxa"/>
            <w:vAlign w:val="top"/>
          </w:tcPr>
          <w:p>
            <w:pPr>
              <w:pStyle w:val="TableText"/>
              <w:ind w:left="97"/>
              <w:spacing w:before="132" w:line="275" w:lineRule="exact"/>
              <w:rPr>
                <w:sz w:val="19"/>
                <w:szCs w:val="19"/>
              </w:rPr>
            </w:pPr>
            <w:r>
              <w:rPr>
                <w:sz w:val="19"/>
                <w:szCs w:val="19"/>
                <w:spacing w:val="1"/>
                <w:position w:val="2"/>
              </w:rPr>
              <w:t>550</w:t>
            </w:r>
          </w:p>
        </w:tc>
        <w:tc>
          <w:tcPr>
            <w:tcW w:w="680" w:type="dxa"/>
            <w:vAlign w:val="top"/>
          </w:tcPr>
          <w:p>
            <w:pPr>
              <w:rPr>
                <w:rFonts w:ascii="Arial"/>
                <w:sz w:val="21"/>
              </w:rPr>
            </w:pPr>
            <w:r/>
          </w:p>
        </w:tc>
        <w:tc>
          <w:tcPr>
            <w:tcW w:w="600" w:type="dxa"/>
            <w:vAlign w:val="top"/>
          </w:tcPr>
          <w:p>
            <w:pPr>
              <w:pStyle w:val="TableText"/>
              <w:ind w:left="158"/>
              <w:spacing w:before="132" w:line="275" w:lineRule="exact"/>
              <w:rPr>
                <w:sz w:val="19"/>
                <w:szCs w:val="19"/>
              </w:rPr>
            </w:pPr>
            <w:r>
              <w:rPr>
                <w:sz w:val="19"/>
                <w:szCs w:val="19"/>
                <w:spacing w:val="1"/>
                <w:position w:val="2"/>
              </w:rPr>
              <w:t>550</w:t>
            </w:r>
          </w:p>
        </w:tc>
        <w:tc>
          <w:tcPr>
            <w:tcW w:w="483" w:type="dxa"/>
            <w:vAlign w:val="top"/>
          </w:tcPr>
          <w:p>
            <w:pPr>
              <w:pStyle w:val="TableText"/>
              <w:ind w:right="6"/>
              <w:spacing w:before="132" w:line="275" w:lineRule="exact"/>
              <w:jc w:val="right"/>
              <w:rPr>
                <w:sz w:val="19"/>
                <w:szCs w:val="19"/>
              </w:rPr>
            </w:pPr>
            <w:r>
              <w:rPr>
                <w:sz w:val="19"/>
                <w:szCs w:val="19"/>
                <w:spacing w:val="1"/>
                <w:position w:val="2"/>
              </w:rPr>
              <w:t>556</w:t>
            </w:r>
          </w:p>
        </w:tc>
        <w:tc>
          <w:tcPr>
            <w:tcW w:w="680" w:type="dxa"/>
            <w:vAlign w:val="top"/>
          </w:tcPr>
          <w:p>
            <w:pPr>
              <w:rPr>
                <w:rFonts w:ascii="Arial"/>
                <w:sz w:val="21"/>
              </w:rPr>
            </w:pPr>
            <w:r/>
          </w:p>
        </w:tc>
        <w:tc>
          <w:tcPr>
            <w:tcW w:w="568" w:type="dxa"/>
            <w:vAlign w:val="top"/>
            <w:tcBorders>
              <w:right w:val="single" w:color="000000" w:sz="6" w:space="0"/>
            </w:tcBorders>
          </w:tcPr>
          <w:p>
            <w:pPr>
              <w:pStyle w:val="TableText"/>
              <w:ind w:right="13"/>
              <w:spacing w:before="132" w:line="275" w:lineRule="exact"/>
              <w:jc w:val="right"/>
              <w:rPr>
                <w:sz w:val="19"/>
                <w:szCs w:val="19"/>
              </w:rPr>
            </w:pPr>
            <w:r>
              <w:rPr>
                <w:sz w:val="19"/>
                <w:szCs w:val="19"/>
                <w:spacing w:val="1"/>
                <w:position w:val="2"/>
              </w:rPr>
              <w:t>556</w:t>
            </w:r>
          </w:p>
        </w:tc>
      </w:tr>
      <w:tr>
        <w:trPr>
          <w:trHeight w:val="418" w:hRule="atLeast"/>
        </w:trPr>
        <w:tc>
          <w:tcPr>
            <w:tcW w:w="2866" w:type="dxa"/>
            <w:vAlign w:val="top"/>
            <w:tcBorders>
              <w:left w:val="single" w:color="000000" w:sz="6" w:space="0"/>
            </w:tcBorders>
          </w:tcPr>
          <w:p>
            <w:pPr>
              <w:pStyle w:val="TableText"/>
              <w:ind w:left="36"/>
              <w:spacing w:before="134" w:line="224" w:lineRule="auto"/>
              <w:rPr>
                <w:sz w:val="19"/>
                <w:szCs w:val="19"/>
              </w:rPr>
            </w:pPr>
            <w:r>
              <w:rPr>
                <w:sz w:val="19"/>
                <w:szCs w:val="19"/>
                <w:spacing w:val="8"/>
              </w:rPr>
              <w:t>国有资本经营预算转移支付收入</w:t>
            </w:r>
          </w:p>
        </w:tc>
        <w:tc>
          <w:tcPr>
            <w:tcW w:w="480" w:type="dxa"/>
            <w:vAlign w:val="top"/>
          </w:tcPr>
          <w:p>
            <w:pPr>
              <w:pStyle w:val="TableText"/>
              <w:ind w:left="187"/>
              <w:spacing w:before="132" w:line="275" w:lineRule="exact"/>
              <w:rPr>
                <w:sz w:val="19"/>
                <w:szCs w:val="19"/>
              </w:rPr>
            </w:pPr>
            <w:r>
              <w:rPr>
                <w:sz w:val="19"/>
                <w:szCs w:val="19"/>
                <w:position w:val="2"/>
              </w:rPr>
              <w:t>8</w:t>
            </w:r>
          </w:p>
        </w:tc>
        <w:tc>
          <w:tcPr>
            <w:tcW w:w="482" w:type="dxa"/>
            <w:vAlign w:val="top"/>
          </w:tcPr>
          <w:p>
            <w:pPr>
              <w:rPr>
                <w:rFonts w:ascii="Arial"/>
                <w:sz w:val="21"/>
              </w:rPr>
            </w:pPr>
            <w:r/>
          </w:p>
        </w:tc>
        <w:tc>
          <w:tcPr>
            <w:tcW w:w="680" w:type="dxa"/>
            <w:vAlign w:val="top"/>
          </w:tcPr>
          <w:p>
            <w:pPr>
              <w:rPr>
                <w:rFonts w:ascii="Arial"/>
                <w:sz w:val="21"/>
              </w:rPr>
            </w:pPr>
            <w:r/>
          </w:p>
        </w:tc>
        <w:tc>
          <w:tcPr>
            <w:tcW w:w="570" w:type="dxa"/>
            <w:vAlign w:val="top"/>
          </w:tcPr>
          <w:p>
            <w:pPr>
              <w:rPr>
                <w:rFonts w:ascii="Arial"/>
                <w:sz w:val="21"/>
              </w:rPr>
            </w:pPr>
            <w:r/>
          </w:p>
        </w:tc>
        <w:tc>
          <w:tcPr>
            <w:tcW w:w="483" w:type="dxa"/>
            <w:vAlign w:val="top"/>
          </w:tcPr>
          <w:p>
            <w:pPr>
              <w:rPr>
                <w:rFonts w:ascii="Arial"/>
                <w:sz w:val="21"/>
              </w:rPr>
            </w:pPr>
            <w:r/>
          </w:p>
        </w:tc>
        <w:tc>
          <w:tcPr>
            <w:tcW w:w="680" w:type="dxa"/>
            <w:vAlign w:val="top"/>
          </w:tcPr>
          <w:p>
            <w:pPr>
              <w:rPr>
                <w:rFonts w:ascii="Arial"/>
                <w:sz w:val="21"/>
              </w:rPr>
            </w:pPr>
            <w:r/>
          </w:p>
        </w:tc>
        <w:tc>
          <w:tcPr>
            <w:tcW w:w="570" w:type="dxa"/>
            <w:vAlign w:val="top"/>
          </w:tcPr>
          <w:p>
            <w:pPr>
              <w:pStyle w:val="TableText"/>
              <w:ind w:right="10"/>
              <w:spacing w:before="132" w:line="275" w:lineRule="exact"/>
              <w:jc w:val="right"/>
              <w:rPr>
                <w:sz w:val="19"/>
                <w:szCs w:val="19"/>
              </w:rPr>
            </w:pPr>
            <w:r>
              <w:rPr>
                <w:sz w:val="19"/>
                <w:szCs w:val="19"/>
                <w:position w:val="2"/>
              </w:rPr>
              <w:t>6</w:t>
            </w:r>
          </w:p>
        </w:tc>
        <w:tc>
          <w:tcPr>
            <w:tcW w:w="3109" w:type="dxa"/>
            <w:vAlign w:val="top"/>
          </w:tcPr>
          <w:p>
            <w:pPr>
              <w:pStyle w:val="TableText"/>
              <w:ind w:left="36"/>
              <w:spacing w:before="134" w:line="224" w:lineRule="auto"/>
              <w:rPr>
                <w:sz w:val="19"/>
                <w:szCs w:val="19"/>
              </w:rPr>
            </w:pPr>
            <w:r>
              <w:rPr>
                <w:sz w:val="19"/>
                <w:szCs w:val="19"/>
                <w:spacing w:val="8"/>
              </w:rPr>
              <w:t>国有资本经营预算转移支付支出</w:t>
            </w:r>
          </w:p>
        </w:tc>
        <w:tc>
          <w:tcPr>
            <w:tcW w:w="482" w:type="dxa"/>
            <w:vAlign w:val="top"/>
          </w:tcPr>
          <w:p>
            <w:pPr>
              <w:pStyle w:val="TableText"/>
              <w:ind w:left="146"/>
              <w:spacing w:before="132" w:line="275" w:lineRule="exact"/>
              <w:rPr>
                <w:sz w:val="19"/>
                <w:szCs w:val="19"/>
              </w:rPr>
            </w:pPr>
            <w:r>
              <w:rPr>
                <w:sz w:val="19"/>
                <w:szCs w:val="19"/>
                <w:position w:val="2"/>
              </w:rPr>
              <w:t>20</w:t>
            </w:r>
          </w:p>
        </w:tc>
        <w:tc>
          <w:tcPr>
            <w:tcW w:w="483" w:type="dxa"/>
            <w:vAlign w:val="top"/>
          </w:tcPr>
          <w:p>
            <w:pPr>
              <w:rPr>
                <w:rFonts w:ascii="Arial"/>
                <w:sz w:val="21"/>
              </w:rPr>
            </w:pPr>
            <w:r/>
          </w:p>
        </w:tc>
        <w:tc>
          <w:tcPr>
            <w:tcW w:w="680" w:type="dxa"/>
            <w:vAlign w:val="top"/>
          </w:tcPr>
          <w:p>
            <w:pPr>
              <w:rPr>
                <w:rFonts w:ascii="Arial"/>
                <w:sz w:val="21"/>
              </w:rPr>
            </w:pPr>
            <w:r/>
          </w:p>
        </w:tc>
        <w:tc>
          <w:tcPr>
            <w:tcW w:w="600" w:type="dxa"/>
            <w:vAlign w:val="top"/>
          </w:tcPr>
          <w:p>
            <w:pPr>
              <w:pStyle w:val="TableText"/>
              <w:ind w:left="99"/>
              <w:spacing w:before="230" w:line="131" w:lineRule="exact"/>
              <w:rPr>
                <w:sz w:val="19"/>
                <w:szCs w:val="19"/>
              </w:rPr>
            </w:pPr>
            <w:r>
              <w:rPr>
                <w:sz w:val="19"/>
                <w:szCs w:val="19"/>
                <w:spacing w:val="9"/>
                <w:position w:val="-3"/>
              </w:rPr>
              <w:t>——</w:t>
            </w:r>
          </w:p>
        </w:tc>
        <w:tc>
          <w:tcPr>
            <w:tcW w:w="483" w:type="dxa"/>
            <w:vAlign w:val="top"/>
          </w:tcPr>
          <w:p>
            <w:pPr>
              <w:rPr>
                <w:rFonts w:ascii="Arial"/>
                <w:sz w:val="21"/>
              </w:rPr>
            </w:pPr>
            <w:r/>
          </w:p>
        </w:tc>
        <w:tc>
          <w:tcPr>
            <w:tcW w:w="680" w:type="dxa"/>
            <w:vAlign w:val="top"/>
          </w:tcPr>
          <w:p>
            <w:pPr>
              <w:rPr>
                <w:rFonts w:ascii="Arial"/>
                <w:sz w:val="21"/>
              </w:rPr>
            </w:pPr>
            <w:r/>
          </w:p>
        </w:tc>
        <w:tc>
          <w:tcPr>
            <w:tcW w:w="568" w:type="dxa"/>
            <w:vAlign w:val="top"/>
            <w:tcBorders>
              <w:right w:val="single" w:color="000000" w:sz="6" w:space="0"/>
            </w:tcBorders>
          </w:tcPr>
          <w:p>
            <w:pPr>
              <w:pStyle w:val="TableText"/>
              <w:ind w:left="80"/>
              <w:spacing w:before="230" w:line="131" w:lineRule="exact"/>
              <w:rPr>
                <w:sz w:val="19"/>
                <w:szCs w:val="19"/>
              </w:rPr>
            </w:pPr>
            <w:r>
              <w:rPr>
                <w:sz w:val="19"/>
                <w:szCs w:val="19"/>
                <w:spacing w:val="9"/>
                <w:position w:val="-3"/>
              </w:rPr>
              <w:t>——</w:t>
            </w:r>
          </w:p>
        </w:tc>
      </w:tr>
      <w:tr>
        <w:trPr>
          <w:trHeight w:val="417" w:hRule="atLeast"/>
        </w:trPr>
        <w:tc>
          <w:tcPr>
            <w:tcW w:w="2866" w:type="dxa"/>
            <w:vAlign w:val="top"/>
            <w:tcBorders>
              <w:left w:val="single" w:color="000000" w:sz="6" w:space="0"/>
            </w:tcBorders>
          </w:tcPr>
          <w:p>
            <w:pPr>
              <w:pStyle w:val="TableText"/>
              <w:ind w:left="16"/>
              <w:spacing w:before="139" w:line="218" w:lineRule="auto"/>
              <w:rPr>
                <w:sz w:val="19"/>
                <w:szCs w:val="19"/>
              </w:rPr>
            </w:pPr>
            <w:r>
              <w:rPr>
                <w:sz w:val="19"/>
                <w:szCs w:val="19"/>
                <w:spacing w:val="8"/>
              </w:rPr>
              <w:t>上年结转</w:t>
            </w:r>
          </w:p>
        </w:tc>
        <w:tc>
          <w:tcPr>
            <w:tcW w:w="480" w:type="dxa"/>
            <w:vAlign w:val="top"/>
          </w:tcPr>
          <w:p>
            <w:pPr>
              <w:pStyle w:val="TableText"/>
              <w:ind w:left="185"/>
              <w:spacing w:before="133" w:line="274" w:lineRule="exact"/>
              <w:rPr>
                <w:sz w:val="19"/>
                <w:szCs w:val="19"/>
              </w:rPr>
            </w:pPr>
            <w:r>
              <w:rPr>
                <w:sz w:val="19"/>
                <w:szCs w:val="19"/>
                <w:position w:val="2"/>
              </w:rPr>
              <w:t>9</w:t>
            </w:r>
          </w:p>
        </w:tc>
        <w:tc>
          <w:tcPr>
            <w:tcW w:w="482" w:type="dxa"/>
            <w:vAlign w:val="top"/>
          </w:tcPr>
          <w:p>
            <w:pPr>
              <w:rPr>
                <w:rFonts w:ascii="Arial"/>
                <w:sz w:val="21"/>
              </w:rPr>
            </w:pPr>
            <w:r/>
          </w:p>
        </w:tc>
        <w:tc>
          <w:tcPr>
            <w:tcW w:w="680" w:type="dxa"/>
            <w:vAlign w:val="top"/>
          </w:tcPr>
          <w:p>
            <w:pPr>
              <w:rPr>
                <w:rFonts w:ascii="Arial"/>
                <w:sz w:val="21"/>
              </w:rPr>
            </w:pPr>
            <w:r/>
          </w:p>
        </w:tc>
        <w:tc>
          <w:tcPr>
            <w:tcW w:w="570" w:type="dxa"/>
            <w:vAlign w:val="top"/>
          </w:tcPr>
          <w:p>
            <w:pPr>
              <w:rPr>
                <w:rFonts w:ascii="Arial"/>
                <w:sz w:val="21"/>
              </w:rPr>
            </w:pPr>
            <w:r/>
          </w:p>
        </w:tc>
        <w:tc>
          <w:tcPr>
            <w:tcW w:w="483" w:type="dxa"/>
            <w:vAlign w:val="top"/>
          </w:tcPr>
          <w:p>
            <w:pPr>
              <w:rPr>
                <w:rFonts w:ascii="Arial"/>
                <w:sz w:val="21"/>
              </w:rPr>
            </w:pPr>
            <w:r/>
          </w:p>
        </w:tc>
        <w:tc>
          <w:tcPr>
            <w:tcW w:w="680" w:type="dxa"/>
            <w:vAlign w:val="top"/>
          </w:tcPr>
          <w:p>
            <w:pPr>
              <w:rPr>
                <w:rFonts w:ascii="Arial"/>
                <w:sz w:val="21"/>
              </w:rPr>
            </w:pPr>
            <w:r/>
          </w:p>
        </w:tc>
        <w:tc>
          <w:tcPr>
            <w:tcW w:w="570" w:type="dxa"/>
            <w:vAlign w:val="top"/>
          </w:tcPr>
          <w:p>
            <w:pPr>
              <w:rPr>
                <w:rFonts w:ascii="Arial"/>
                <w:sz w:val="21"/>
              </w:rPr>
            </w:pPr>
            <w:r/>
          </w:p>
        </w:tc>
        <w:tc>
          <w:tcPr>
            <w:tcW w:w="3109" w:type="dxa"/>
            <w:vAlign w:val="top"/>
          </w:tcPr>
          <w:p>
            <w:pPr>
              <w:pStyle w:val="TableText"/>
              <w:ind w:left="36"/>
              <w:spacing w:before="137" w:line="220" w:lineRule="auto"/>
              <w:rPr>
                <w:sz w:val="19"/>
                <w:szCs w:val="19"/>
              </w:rPr>
            </w:pPr>
            <w:r>
              <w:rPr>
                <w:sz w:val="19"/>
                <w:szCs w:val="19"/>
                <w:spacing w:val="7"/>
              </w:rPr>
              <w:t>国有资本经营预算上解支出</w:t>
            </w:r>
          </w:p>
        </w:tc>
        <w:tc>
          <w:tcPr>
            <w:tcW w:w="482" w:type="dxa"/>
            <w:vAlign w:val="top"/>
          </w:tcPr>
          <w:p>
            <w:pPr>
              <w:pStyle w:val="TableText"/>
              <w:ind w:left="146"/>
              <w:spacing w:before="133" w:line="274" w:lineRule="exact"/>
              <w:rPr>
                <w:sz w:val="19"/>
                <w:szCs w:val="19"/>
              </w:rPr>
            </w:pPr>
            <w:r>
              <w:rPr>
                <w:sz w:val="19"/>
                <w:szCs w:val="19"/>
                <w:position w:val="1"/>
              </w:rPr>
              <w:t>21</w:t>
            </w:r>
          </w:p>
        </w:tc>
        <w:tc>
          <w:tcPr>
            <w:tcW w:w="483" w:type="dxa"/>
            <w:vAlign w:val="top"/>
          </w:tcPr>
          <w:p>
            <w:pPr>
              <w:rPr>
                <w:rFonts w:ascii="Arial"/>
                <w:sz w:val="21"/>
              </w:rPr>
            </w:pPr>
            <w:r/>
          </w:p>
        </w:tc>
        <w:tc>
          <w:tcPr>
            <w:tcW w:w="680" w:type="dxa"/>
            <w:vAlign w:val="top"/>
          </w:tcPr>
          <w:p>
            <w:pPr>
              <w:rPr>
                <w:rFonts w:ascii="Arial"/>
                <w:sz w:val="21"/>
              </w:rPr>
            </w:pPr>
            <w:r/>
          </w:p>
        </w:tc>
        <w:tc>
          <w:tcPr>
            <w:tcW w:w="600" w:type="dxa"/>
            <w:vAlign w:val="top"/>
          </w:tcPr>
          <w:p>
            <w:pPr>
              <w:rPr>
                <w:rFonts w:ascii="Arial"/>
                <w:sz w:val="21"/>
              </w:rPr>
            </w:pPr>
            <w:r/>
          </w:p>
        </w:tc>
        <w:tc>
          <w:tcPr>
            <w:tcW w:w="483" w:type="dxa"/>
            <w:vAlign w:val="top"/>
          </w:tcPr>
          <w:p>
            <w:pPr>
              <w:rPr>
                <w:rFonts w:ascii="Arial"/>
                <w:sz w:val="21"/>
              </w:rPr>
            </w:pPr>
            <w:r/>
          </w:p>
        </w:tc>
        <w:tc>
          <w:tcPr>
            <w:tcW w:w="680" w:type="dxa"/>
            <w:vAlign w:val="top"/>
          </w:tcPr>
          <w:p>
            <w:pPr>
              <w:rPr>
                <w:rFonts w:ascii="Arial"/>
                <w:sz w:val="21"/>
              </w:rPr>
            </w:pPr>
            <w:r/>
          </w:p>
        </w:tc>
        <w:tc>
          <w:tcPr>
            <w:tcW w:w="568" w:type="dxa"/>
            <w:vAlign w:val="top"/>
            <w:tcBorders>
              <w:right w:val="single" w:color="000000" w:sz="6" w:space="0"/>
            </w:tcBorders>
          </w:tcPr>
          <w:p>
            <w:pPr>
              <w:rPr>
                <w:rFonts w:ascii="Arial"/>
                <w:sz w:val="21"/>
              </w:rPr>
            </w:pPr>
            <w:r/>
          </w:p>
        </w:tc>
      </w:tr>
      <w:tr>
        <w:trPr>
          <w:trHeight w:val="417" w:hRule="atLeast"/>
        </w:trPr>
        <w:tc>
          <w:tcPr>
            <w:tcW w:w="2866" w:type="dxa"/>
            <w:vAlign w:val="top"/>
            <w:tcBorders>
              <w:left w:val="single" w:color="000000" w:sz="6" w:space="0"/>
            </w:tcBorders>
          </w:tcPr>
          <w:p>
            <w:pPr>
              <w:rPr>
                <w:rFonts w:ascii="Arial"/>
                <w:sz w:val="21"/>
              </w:rPr>
            </w:pPr>
            <w:r/>
          </w:p>
        </w:tc>
        <w:tc>
          <w:tcPr>
            <w:tcW w:w="480" w:type="dxa"/>
            <w:vAlign w:val="top"/>
          </w:tcPr>
          <w:p>
            <w:pPr>
              <w:pStyle w:val="TableText"/>
              <w:ind w:left="153"/>
              <w:spacing w:before="134" w:line="273" w:lineRule="exact"/>
              <w:rPr>
                <w:sz w:val="19"/>
                <w:szCs w:val="19"/>
              </w:rPr>
            </w:pPr>
            <w:r>
              <w:rPr>
                <w:sz w:val="19"/>
                <w:szCs w:val="19"/>
                <w:spacing w:val="-8"/>
                <w:position w:val="2"/>
              </w:rPr>
              <w:t>10</w:t>
            </w:r>
          </w:p>
        </w:tc>
        <w:tc>
          <w:tcPr>
            <w:tcW w:w="482" w:type="dxa"/>
            <w:vAlign w:val="top"/>
          </w:tcPr>
          <w:p>
            <w:pPr>
              <w:rPr>
                <w:rFonts w:ascii="Arial"/>
                <w:sz w:val="21"/>
              </w:rPr>
            </w:pPr>
            <w:r/>
          </w:p>
        </w:tc>
        <w:tc>
          <w:tcPr>
            <w:tcW w:w="680" w:type="dxa"/>
            <w:vAlign w:val="top"/>
          </w:tcPr>
          <w:p>
            <w:pPr>
              <w:rPr>
                <w:rFonts w:ascii="Arial"/>
                <w:sz w:val="21"/>
              </w:rPr>
            </w:pPr>
            <w:r/>
          </w:p>
        </w:tc>
        <w:tc>
          <w:tcPr>
            <w:tcW w:w="570" w:type="dxa"/>
            <w:vAlign w:val="top"/>
          </w:tcPr>
          <w:p>
            <w:pPr>
              <w:rPr>
                <w:rFonts w:ascii="Arial"/>
                <w:sz w:val="21"/>
              </w:rPr>
            </w:pPr>
            <w:r/>
          </w:p>
        </w:tc>
        <w:tc>
          <w:tcPr>
            <w:tcW w:w="483" w:type="dxa"/>
            <w:vAlign w:val="top"/>
          </w:tcPr>
          <w:p>
            <w:pPr>
              <w:rPr>
                <w:rFonts w:ascii="Arial"/>
                <w:sz w:val="21"/>
              </w:rPr>
            </w:pPr>
            <w:r/>
          </w:p>
        </w:tc>
        <w:tc>
          <w:tcPr>
            <w:tcW w:w="680" w:type="dxa"/>
            <w:vAlign w:val="top"/>
          </w:tcPr>
          <w:p>
            <w:pPr>
              <w:rPr>
                <w:rFonts w:ascii="Arial"/>
                <w:sz w:val="21"/>
              </w:rPr>
            </w:pPr>
            <w:r/>
          </w:p>
        </w:tc>
        <w:tc>
          <w:tcPr>
            <w:tcW w:w="570" w:type="dxa"/>
            <w:vAlign w:val="top"/>
          </w:tcPr>
          <w:p>
            <w:pPr>
              <w:rPr>
                <w:rFonts w:ascii="Arial"/>
                <w:sz w:val="21"/>
              </w:rPr>
            </w:pPr>
            <w:r/>
          </w:p>
        </w:tc>
        <w:tc>
          <w:tcPr>
            <w:tcW w:w="3109" w:type="dxa"/>
            <w:vAlign w:val="top"/>
          </w:tcPr>
          <w:p>
            <w:pPr>
              <w:pStyle w:val="TableText"/>
              <w:ind w:left="36"/>
              <w:spacing w:before="137" w:line="220" w:lineRule="auto"/>
              <w:rPr>
                <w:sz w:val="19"/>
                <w:szCs w:val="19"/>
              </w:rPr>
            </w:pPr>
            <w:r>
              <w:rPr>
                <w:sz w:val="19"/>
                <w:szCs w:val="19"/>
                <w:spacing w:val="7"/>
              </w:rPr>
              <w:t>国有资本经营预算调出资金</w:t>
            </w:r>
          </w:p>
        </w:tc>
        <w:tc>
          <w:tcPr>
            <w:tcW w:w="482" w:type="dxa"/>
            <w:vAlign w:val="top"/>
          </w:tcPr>
          <w:p>
            <w:pPr>
              <w:pStyle w:val="TableText"/>
              <w:ind w:left="146"/>
              <w:spacing w:before="134" w:line="273" w:lineRule="exact"/>
              <w:rPr>
                <w:sz w:val="19"/>
                <w:szCs w:val="19"/>
              </w:rPr>
            </w:pPr>
            <w:r>
              <w:rPr>
                <w:sz w:val="19"/>
                <w:szCs w:val="19"/>
                <w:position w:val="1"/>
              </w:rPr>
              <w:t>22</w:t>
            </w:r>
          </w:p>
        </w:tc>
        <w:tc>
          <w:tcPr>
            <w:tcW w:w="483" w:type="dxa"/>
            <w:vAlign w:val="top"/>
          </w:tcPr>
          <w:p>
            <w:pPr>
              <w:rPr>
                <w:rFonts w:ascii="Arial"/>
                <w:sz w:val="21"/>
              </w:rPr>
            </w:pPr>
            <w:r/>
          </w:p>
        </w:tc>
        <w:tc>
          <w:tcPr>
            <w:tcW w:w="680" w:type="dxa"/>
            <w:vAlign w:val="top"/>
          </w:tcPr>
          <w:p>
            <w:pPr>
              <w:rPr>
                <w:rFonts w:ascii="Arial"/>
                <w:sz w:val="21"/>
              </w:rPr>
            </w:pPr>
            <w:r/>
          </w:p>
        </w:tc>
        <w:tc>
          <w:tcPr>
            <w:tcW w:w="600" w:type="dxa"/>
            <w:vAlign w:val="top"/>
          </w:tcPr>
          <w:p>
            <w:pPr>
              <w:rPr>
                <w:rFonts w:ascii="Arial"/>
                <w:sz w:val="21"/>
              </w:rPr>
            </w:pPr>
            <w:r/>
          </w:p>
        </w:tc>
        <w:tc>
          <w:tcPr>
            <w:tcW w:w="483" w:type="dxa"/>
            <w:vAlign w:val="top"/>
          </w:tcPr>
          <w:p>
            <w:pPr>
              <w:rPr>
                <w:rFonts w:ascii="Arial"/>
                <w:sz w:val="21"/>
              </w:rPr>
            </w:pPr>
            <w:r/>
          </w:p>
        </w:tc>
        <w:tc>
          <w:tcPr>
            <w:tcW w:w="680" w:type="dxa"/>
            <w:vAlign w:val="top"/>
          </w:tcPr>
          <w:p>
            <w:pPr>
              <w:rPr>
                <w:rFonts w:ascii="Arial"/>
                <w:sz w:val="21"/>
              </w:rPr>
            </w:pPr>
            <w:r/>
          </w:p>
        </w:tc>
        <w:tc>
          <w:tcPr>
            <w:tcW w:w="568" w:type="dxa"/>
            <w:vAlign w:val="top"/>
            <w:tcBorders>
              <w:right w:val="single" w:color="000000" w:sz="6" w:space="0"/>
            </w:tcBorders>
          </w:tcPr>
          <w:p>
            <w:pPr>
              <w:rPr>
                <w:rFonts w:ascii="Arial"/>
                <w:sz w:val="21"/>
              </w:rPr>
            </w:pPr>
            <w:r/>
          </w:p>
        </w:tc>
      </w:tr>
      <w:tr>
        <w:trPr>
          <w:trHeight w:val="417" w:hRule="atLeast"/>
        </w:trPr>
        <w:tc>
          <w:tcPr>
            <w:tcW w:w="2866" w:type="dxa"/>
            <w:vAlign w:val="top"/>
            <w:tcBorders>
              <w:left w:val="single" w:color="000000" w:sz="6" w:space="0"/>
            </w:tcBorders>
          </w:tcPr>
          <w:p>
            <w:pPr>
              <w:rPr>
                <w:rFonts w:ascii="Arial"/>
                <w:sz w:val="21"/>
              </w:rPr>
            </w:pPr>
            <w:r/>
          </w:p>
        </w:tc>
        <w:tc>
          <w:tcPr>
            <w:tcW w:w="480" w:type="dxa"/>
            <w:vAlign w:val="top"/>
          </w:tcPr>
          <w:p>
            <w:pPr>
              <w:pStyle w:val="TableText"/>
              <w:ind w:left="153"/>
              <w:spacing w:before="134" w:line="272" w:lineRule="exact"/>
              <w:rPr>
                <w:sz w:val="19"/>
                <w:szCs w:val="19"/>
              </w:rPr>
            </w:pPr>
            <w:r>
              <w:rPr>
                <w:sz w:val="19"/>
                <w:szCs w:val="19"/>
                <w:spacing w:val="-8"/>
                <w:position w:val="1"/>
              </w:rPr>
              <w:t>11</w:t>
            </w:r>
          </w:p>
        </w:tc>
        <w:tc>
          <w:tcPr>
            <w:tcW w:w="482" w:type="dxa"/>
            <w:vAlign w:val="top"/>
          </w:tcPr>
          <w:p>
            <w:pPr>
              <w:rPr>
                <w:rFonts w:ascii="Arial"/>
                <w:sz w:val="21"/>
              </w:rPr>
            </w:pPr>
            <w:r/>
          </w:p>
        </w:tc>
        <w:tc>
          <w:tcPr>
            <w:tcW w:w="680" w:type="dxa"/>
            <w:vAlign w:val="top"/>
          </w:tcPr>
          <w:p>
            <w:pPr>
              <w:rPr>
                <w:rFonts w:ascii="Arial"/>
                <w:sz w:val="21"/>
              </w:rPr>
            </w:pPr>
            <w:r/>
          </w:p>
        </w:tc>
        <w:tc>
          <w:tcPr>
            <w:tcW w:w="570" w:type="dxa"/>
            <w:vAlign w:val="top"/>
          </w:tcPr>
          <w:p>
            <w:pPr>
              <w:rPr>
                <w:rFonts w:ascii="Arial"/>
                <w:sz w:val="21"/>
              </w:rPr>
            </w:pPr>
            <w:r/>
          </w:p>
        </w:tc>
        <w:tc>
          <w:tcPr>
            <w:tcW w:w="483" w:type="dxa"/>
            <w:vAlign w:val="top"/>
          </w:tcPr>
          <w:p>
            <w:pPr>
              <w:rPr>
                <w:rFonts w:ascii="Arial"/>
                <w:sz w:val="21"/>
              </w:rPr>
            </w:pPr>
            <w:r/>
          </w:p>
        </w:tc>
        <w:tc>
          <w:tcPr>
            <w:tcW w:w="680" w:type="dxa"/>
            <w:vAlign w:val="top"/>
          </w:tcPr>
          <w:p>
            <w:pPr>
              <w:rPr>
                <w:rFonts w:ascii="Arial"/>
                <w:sz w:val="21"/>
              </w:rPr>
            </w:pPr>
            <w:r/>
          </w:p>
        </w:tc>
        <w:tc>
          <w:tcPr>
            <w:tcW w:w="570" w:type="dxa"/>
            <w:vAlign w:val="top"/>
          </w:tcPr>
          <w:p>
            <w:pPr>
              <w:rPr>
                <w:rFonts w:ascii="Arial"/>
                <w:sz w:val="21"/>
              </w:rPr>
            </w:pPr>
            <w:r/>
          </w:p>
        </w:tc>
        <w:tc>
          <w:tcPr>
            <w:tcW w:w="3109" w:type="dxa"/>
            <w:vAlign w:val="top"/>
          </w:tcPr>
          <w:p>
            <w:pPr>
              <w:pStyle w:val="TableText"/>
              <w:ind w:left="16"/>
              <w:spacing w:before="139" w:line="218" w:lineRule="auto"/>
              <w:rPr>
                <w:sz w:val="19"/>
                <w:szCs w:val="19"/>
              </w:rPr>
            </w:pPr>
            <w:r>
              <w:rPr>
                <w:sz w:val="19"/>
                <w:szCs w:val="19"/>
                <w:spacing w:val="8"/>
              </w:rPr>
              <w:t>结转下年</w:t>
            </w:r>
          </w:p>
        </w:tc>
        <w:tc>
          <w:tcPr>
            <w:tcW w:w="482" w:type="dxa"/>
            <w:vAlign w:val="top"/>
          </w:tcPr>
          <w:p>
            <w:pPr>
              <w:pStyle w:val="TableText"/>
              <w:ind w:left="146"/>
              <w:spacing w:before="134" w:line="272" w:lineRule="exact"/>
              <w:rPr>
                <w:sz w:val="19"/>
                <w:szCs w:val="19"/>
              </w:rPr>
            </w:pPr>
            <w:r>
              <w:rPr>
                <w:sz w:val="19"/>
                <w:szCs w:val="19"/>
                <w:position w:val="2"/>
              </w:rPr>
              <w:t>23</w:t>
            </w:r>
          </w:p>
        </w:tc>
        <w:tc>
          <w:tcPr>
            <w:tcW w:w="483" w:type="dxa"/>
            <w:vAlign w:val="top"/>
          </w:tcPr>
          <w:p>
            <w:pPr>
              <w:rPr>
                <w:rFonts w:ascii="Arial"/>
                <w:sz w:val="21"/>
              </w:rPr>
            </w:pPr>
            <w:r/>
          </w:p>
        </w:tc>
        <w:tc>
          <w:tcPr>
            <w:tcW w:w="680" w:type="dxa"/>
            <w:vAlign w:val="top"/>
          </w:tcPr>
          <w:p>
            <w:pPr>
              <w:rPr>
                <w:rFonts w:ascii="Arial"/>
                <w:sz w:val="21"/>
              </w:rPr>
            </w:pPr>
            <w:r/>
          </w:p>
        </w:tc>
        <w:tc>
          <w:tcPr>
            <w:tcW w:w="600" w:type="dxa"/>
            <w:vAlign w:val="top"/>
          </w:tcPr>
          <w:p>
            <w:pPr>
              <w:rPr>
                <w:rFonts w:ascii="Arial"/>
                <w:sz w:val="21"/>
              </w:rPr>
            </w:pPr>
            <w:r/>
          </w:p>
        </w:tc>
        <w:tc>
          <w:tcPr>
            <w:tcW w:w="483" w:type="dxa"/>
            <w:vAlign w:val="top"/>
          </w:tcPr>
          <w:p>
            <w:pPr>
              <w:rPr>
                <w:rFonts w:ascii="Arial"/>
                <w:sz w:val="21"/>
              </w:rPr>
            </w:pPr>
            <w:r/>
          </w:p>
        </w:tc>
        <w:tc>
          <w:tcPr>
            <w:tcW w:w="680" w:type="dxa"/>
            <w:vAlign w:val="top"/>
          </w:tcPr>
          <w:p>
            <w:pPr>
              <w:rPr>
                <w:rFonts w:ascii="Arial"/>
                <w:sz w:val="21"/>
              </w:rPr>
            </w:pPr>
            <w:r/>
          </w:p>
        </w:tc>
        <w:tc>
          <w:tcPr>
            <w:tcW w:w="568" w:type="dxa"/>
            <w:vAlign w:val="top"/>
            <w:tcBorders>
              <w:right w:val="single" w:color="000000" w:sz="6" w:space="0"/>
            </w:tcBorders>
          </w:tcPr>
          <w:p>
            <w:pPr>
              <w:rPr>
                <w:rFonts w:ascii="Arial"/>
                <w:sz w:val="21"/>
              </w:rPr>
            </w:pPr>
            <w:r/>
          </w:p>
        </w:tc>
      </w:tr>
      <w:tr>
        <w:trPr>
          <w:trHeight w:val="430" w:hRule="atLeast"/>
        </w:trPr>
        <w:tc>
          <w:tcPr>
            <w:tcW w:w="2866" w:type="dxa"/>
            <w:vAlign w:val="top"/>
            <w:tcBorders>
              <w:left w:val="single" w:color="000000" w:sz="6" w:space="0"/>
              <w:bottom w:val="single" w:color="000000" w:sz="6" w:space="0"/>
            </w:tcBorders>
          </w:tcPr>
          <w:p>
            <w:pPr>
              <w:pStyle w:val="TableText"/>
              <w:ind w:left="884"/>
              <w:spacing w:before="141" w:line="219" w:lineRule="auto"/>
              <w:rPr>
                <w:sz w:val="19"/>
                <w:szCs w:val="19"/>
              </w:rPr>
            </w:pPr>
            <w:r>
              <w:rPr>
                <w:sz w:val="19"/>
                <w:szCs w:val="19"/>
                <w:b/>
                <w:bCs/>
                <w:spacing w:val="1"/>
              </w:rPr>
              <w:t>收</w:t>
            </w:r>
            <w:r>
              <w:rPr>
                <w:sz w:val="19"/>
                <w:szCs w:val="19"/>
                <w:spacing w:val="11"/>
              </w:rPr>
              <w:t xml:space="preserve"> </w:t>
            </w:r>
            <w:r>
              <w:rPr>
                <w:sz w:val="19"/>
                <w:szCs w:val="19"/>
                <w:b/>
                <w:bCs/>
                <w:spacing w:val="1"/>
              </w:rPr>
              <w:t>入</w:t>
            </w:r>
            <w:r>
              <w:rPr>
                <w:sz w:val="19"/>
                <w:szCs w:val="19"/>
                <w:spacing w:val="20"/>
              </w:rPr>
              <w:t xml:space="preserve"> </w:t>
            </w:r>
            <w:r>
              <w:rPr>
                <w:sz w:val="19"/>
                <w:szCs w:val="19"/>
                <w:b/>
                <w:bCs/>
                <w:spacing w:val="1"/>
              </w:rPr>
              <w:t>总</w:t>
            </w:r>
            <w:r>
              <w:rPr>
                <w:sz w:val="19"/>
                <w:szCs w:val="19"/>
                <w:spacing w:val="1"/>
              </w:rPr>
              <w:t xml:space="preserve"> </w:t>
            </w:r>
            <w:r>
              <w:rPr>
                <w:sz w:val="19"/>
                <w:szCs w:val="19"/>
                <w:b/>
                <w:bCs/>
                <w:spacing w:val="1"/>
              </w:rPr>
              <w:t>计</w:t>
            </w:r>
          </w:p>
        </w:tc>
        <w:tc>
          <w:tcPr>
            <w:tcW w:w="480" w:type="dxa"/>
            <w:vAlign w:val="top"/>
            <w:tcBorders>
              <w:bottom w:val="single" w:color="000000" w:sz="6" w:space="0"/>
            </w:tcBorders>
          </w:tcPr>
          <w:p>
            <w:pPr>
              <w:pStyle w:val="TableText"/>
              <w:ind w:left="153"/>
              <w:spacing w:before="136" w:line="283" w:lineRule="exact"/>
              <w:rPr>
                <w:sz w:val="19"/>
                <w:szCs w:val="19"/>
              </w:rPr>
            </w:pPr>
            <w:r>
              <w:rPr>
                <w:sz w:val="19"/>
                <w:szCs w:val="19"/>
                <w:spacing w:val="-8"/>
                <w:position w:val="2"/>
              </w:rPr>
              <w:t>12</w:t>
            </w:r>
          </w:p>
        </w:tc>
        <w:tc>
          <w:tcPr>
            <w:tcW w:w="482" w:type="dxa"/>
            <w:vAlign w:val="top"/>
            <w:tcBorders>
              <w:bottom w:val="single" w:color="000000" w:sz="6" w:space="0"/>
            </w:tcBorders>
          </w:tcPr>
          <w:p>
            <w:pPr>
              <w:pStyle w:val="TableText"/>
              <w:ind w:left="89"/>
              <w:spacing w:before="136" w:line="283" w:lineRule="exact"/>
              <w:rPr>
                <w:sz w:val="19"/>
                <w:szCs w:val="19"/>
              </w:rPr>
            </w:pPr>
            <w:r>
              <w:rPr>
                <w:sz w:val="19"/>
                <w:szCs w:val="19"/>
                <w:spacing w:val="1"/>
                <w:position w:val="2"/>
              </w:rPr>
              <w:t>550</w:t>
            </w:r>
          </w:p>
        </w:tc>
        <w:tc>
          <w:tcPr>
            <w:tcW w:w="680" w:type="dxa"/>
            <w:vAlign w:val="top"/>
            <w:tcBorders>
              <w:bottom w:val="single" w:color="000000" w:sz="6" w:space="0"/>
            </w:tcBorders>
          </w:tcPr>
          <w:p>
            <w:pPr>
              <w:rPr>
                <w:rFonts w:ascii="Arial"/>
                <w:sz w:val="21"/>
              </w:rPr>
            </w:pPr>
            <w:r/>
          </w:p>
        </w:tc>
        <w:tc>
          <w:tcPr>
            <w:tcW w:w="570" w:type="dxa"/>
            <w:vAlign w:val="top"/>
            <w:tcBorders>
              <w:bottom w:val="single" w:color="000000" w:sz="6" w:space="0"/>
            </w:tcBorders>
          </w:tcPr>
          <w:p>
            <w:pPr>
              <w:pStyle w:val="TableText"/>
              <w:ind w:left="135"/>
              <w:spacing w:before="136" w:line="283" w:lineRule="exact"/>
              <w:rPr>
                <w:sz w:val="19"/>
                <w:szCs w:val="19"/>
              </w:rPr>
            </w:pPr>
            <w:r>
              <w:rPr>
                <w:sz w:val="19"/>
                <w:szCs w:val="19"/>
                <w:spacing w:val="1"/>
                <w:position w:val="2"/>
              </w:rPr>
              <w:t>550</w:t>
            </w:r>
          </w:p>
        </w:tc>
        <w:tc>
          <w:tcPr>
            <w:tcW w:w="483" w:type="dxa"/>
            <w:vAlign w:val="top"/>
            <w:tcBorders>
              <w:bottom w:val="single" w:color="000000" w:sz="6" w:space="0"/>
            </w:tcBorders>
          </w:tcPr>
          <w:p>
            <w:pPr>
              <w:pStyle w:val="TableText"/>
              <w:ind w:left="93"/>
              <w:spacing w:before="136" w:line="283" w:lineRule="exact"/>
              <w:rPr>
                <w:sz w:val="19"/>
                <w:szCs w:val="19"/>
              </w:rPr>
            </w:pPr>
            <w:r>
              <w:rPr>
                <w:sz w:val="19"/>
                <w:szCs w:val="19"/>
                <w:spacing w:val="1"/>
                <w:position w:val="2"/>
              </w:rPr>
              <w:t>556</w:t>
            </w:r>
          </w:p>
        </w:tc>
        <w:tc>
          <w:tcPr>
            <w:tcW w:w="680" w:type="dxa"/>
            <w:vAlign w:val="top"/>
            <w:tcBorders>
              <w:bottom w:val="single" w:color="000000" w:sz="6" w:space="0"/>
            </w:tcBorders>
          </w:tcPr>
          <w:p>
            <w:pPr>
              <w:rPr>
                <w:rFonts w:ascii="Arial"/>
                <w:sz w:val="21"/>
              </w:rPr>
            </w:pPr>
            <w:r/>
          </w:p>
        </w:tc>
        <w:tc>
          <w:tcPr>
            <w:tcW w:w="570" w:type="dxa"/>
            <w:vAlign w:val="top"/>
            <w:tcBorders>
              <w:bottom w:val="single" w:color="000000" w:sz="6" w:space="0"/>
            </w:tcBorders>
          </w:tcPr>
          <w:p>
            <w:pPr>
              <w:pStyle w:val="TableText"/>
              <w:ind w:right="13"/>
              <w:spacing w:before="136" w:line="283" w:lineRule="exact"/>
              <w:jc w:val="right"/>
              <w:rPr>
                <w:sz w:val="19"/>
                <w:szCs w:val="19"/>
              </w:rPr>
            </w:pPr>
            <w:r>
              <w:rPr>
                <w:sz w:val="19"/>
                <w:szCs w:val="19"/>
                <w:spacing w:val="1"/>
                <w:position w:val="2"/>
              </w:rPr>
              <w:t>556</w:t>
            </w:r>
          </w:p>
        </w:tc>
        <w:tc>
          <w:tcPr>
            <w:tcW w:w="3109" w:type="dxa"/>
            <w:vAlign w:val="top"/>
            <w:tcBorders>
              <w:bottom w:val="single" w:color="000000" w:sz="6" w:space="0"/>
            </w:tcBorders>
          </w:tcPr>
          <w:p>
            <w:pPr>
              <w:pStyle w:val="TableText"/>
              <w:ind w:left="1006"/>
              <w:spacing w:before="141" w:line="220" w:lineRule="auto"/>
              <w:rPr>
                <w:sz w:val="19"/>
                <w:szCs w:val="19"/>
              </w:rPr>
            </w:pPr>
            <w:r>
              <w:rPr>
                <w:sz w:val="19"/>
                <w:szCs w:val="19"/>
                <w:b/>
                <w:bCs/>
                <w:spacing w:val="-3"/>
              </w:rPr>
              <w:t>支</w:t>
            </w:r>
            <w:r>
              <w:rPr>
                <w:sz w:val="19"/>
                <w:szCs w:val="19"/>
                <w:spacing w:val="25"/>
              </w:rPr>
              <w:t xml:space="preserve"> </w:t>
            </w:r>
            <w:r>
              <w:rPr>
                <w:sz w:val="19"/>
                <w:szCs w:val="19"/>
                <w:b/>
                <w:bCs/>
                <w:spacing w:val="-3"/>
              </w:rPr>
              <w:t>出</w:t>
            </w:r>
            <w:r>
              <w:rPr>
                <w:sz w:val="19"/>
                <w:szCs w:val="19"/>
                <w:spacing w:val="20"/>
              </w:rPr>
              <w:t xml:space="preserve"> </w:t>
            </w:r>
            <w:r>
              <w:rPr>
                <w:sz w:val="19"/>
                <w:szCs w:val="19"/>
                <w:b/>
                <w:bCs/>
                <w:spacing w:val="-3"/>
              </w:rPr>
              <w:t>总</w:t>
            </w:r>
            <w:r>
              <w:rPr>
                <w:sz w:val="19"/>
                <w:szCs w:val="19"/>
                <w:spacing w:val="9"/>
              </w:rPr>
              <w:t xml:space="preserve"> </w:t>
            </w:r>
            <w:r>
              <w:rPr>
                <w:sz w:val="19"/>
                <w:szCs w:val="19"/>
                <w:b/>
                <w:bCs/>
                <w:spacing w:val="-3"/>
              </w:rPr>
              <w:t>计</w:t>
            </w:r>
          </w:p>
        </w:tc>
        <w:tc>
          <w:tcPr>
            <w:tcW w:w="482" w:type="dxa"/>
            <w:vAlign w:val="top"/>
            <w:tcBorders>
              <w:bottom w:val="single" w:color="000000" w:sz="6" w:space="0"/>
            </w:tcBorders>
          </w:tcPr>
          <w:p>
            <w:pPr>
              <w:pStyle w:val="TableText"/>
              <w:ind w:left="146"/>
              <w:spacing w:before="136" w:line="283" w:lineRule="exact"/>
              <w:rPr>
                <w:sz w:val="19"/>
                <w:szCs w:val="19"/>
              </w:rPr>
            </w:pPr>
            <w:r>
              <w:rPr>
                <w:sz w:val="19"/>
                <w:szCs w:val="19"/>
                <w:position w:val="2"/>
              </w:rPr>
              <w:t>24</w:t>
            </w:r>
          </w:p>
        </w:tc>
        <w:tc>
          <w:tcPr>
            <w:tcW w:w="483" w:type="dxa"/>
            <w:vAlign w:val="top"/>
            <w:tcBorders>
              <w:bottom w:val="single" w:color="000000" w:sz="6" w:space="0"/>
            </w:tcBorders>
          </w:tcPr>
          <w:p>
            <w:pPr>
              <w:pStyle w:val="TableText"/>
              <w:ind w:left="97"/>
              <w:spacing w:before="136" w:line="283" w:lineRule="exact"/>
              <w:rPr>
                <w:sz w:val="19"/>
                <w:szCs w:val="19"/>
              </w:rPr>
            </w:pPr>
            <w:r>
              <w:rPr>
                <w:sz w:val="19"/>
                <w:szCs w:val="19"/>
                <w:spacing w:val="1"/>
                <w:position w:val="2"/>
              </w:rPr>
              <w:t>550</w:t>
            </w:r>
          </w:p>
        </w:tc>
        <w:tc>
          <w:tcPr>
            <w:tcW w:w="680" w:type="dxa"/>
            <w:vAlign w:val="top"/>
            <w:tcBorders>
              <w:bottom w:val="single" w:color="000000" w:sz="6" w:space="0"/>
            </w:tcBorders>
          </w:tcPr>
          <w:p>
            <w:pPr>
              <w:rPr>
                <w:rFonts w:ascii="Arial"/>
                <w:sz w:val="21"/>
              </w:rPr>
            </w:pPr>
            <w:r/>
          </w:p>
        </w:tc>
        <w:tc>
          <w:tcPr>
            <w:tcW w:w="600" w:type="dxa"/>
            <w:vAlign w:val="top"/>
            <w:tcBorders>
              <w:bottom w:val="single" w:color="000000" w:sz="6" w:space="0"/>
            </w:tcBorders>
          </w:tcPr>
          <w:p>
            <w:pPr>
              <w:pStyle w:val="TableText"/>
              <w:ind w:left="158"/>
              <w:spacing w:before="136" w:line="283" w:lineRule="exact"/>
              <w:rPr>
                <w:sz w:val="19"/>
                <w:szCs w:val="19"/>
              </w:rPr>
            </w:pPr>
            <w:r>
              <w:rPr>
                <w:sz w:val="19"/>
                <w:szCs w:val="19"/>
                <w:spacing w:val="1"/>
                <w:position w:val="2"/>
              </w:rPr>
              <w:t>550</w:t>
            </w:r>
          </w:p>
        </w:tc>
        <w:tc>
          <w:tcPr>
            <w:tcW w:w="483" w:type="dxa"/>
            <w:vAlign w:val="top"/>
            <w:tcBorders>
              <w:bottom w:val="single" w:color="000000" w:sz="6" w:space="0"/>
            </w:tcBorders>
          </w:tcPr>
          <w:p>
            <w:pPr>
              <w:pStyle w:val="TableText"/>
              <w:ind w:left="100"/>
              <w:spacing w:before="136" w:line="283" w:lineRule="exact"/>
              <w:rPr>
                <w:sz w:val="19"/>
                <w:szCs w:val="19"/>
              </w:rPr>
            </w:pPr>
            <w:r>
              <w:rPr>
                <w:sz w:val="19"/>
                <w:szCs w:val="19"/>
                <w:spacing w:val="1"/>
                <w:position w:val="2"/>
              </w:rPr>
              <w:t>556</w:t>
            </w:r>
          </w:p>
        </w:tc>
        <w:tc>
          <w:tcPr>
            <w:tcW w:w="680" w:type="dxa"/>
            <w:vAlign w:val="top"/>
            <w:tcBorders>
              <w:bottom w:val="single" w:color="000000" w:sz="6" w:space="0"/>
            </w:tcBorders>
          </w:tcPr>
          <w:p>
            <w:pPr>
              <w:rPr>
                <w:rFonts w:ascii="Arial"/>
                <w:sz w:val="21"/>
              </w:rPr>
            </w:pPr>
            <w:r/>
          </w:p>
        </w:tc>
        <w:tc>
          <w:tcPr>
            <w:tcW w:w="568" w:type="dxa"/>
            <w:vAlign w:val="top"/>
            <w:tcBorders>
              <w:bottom w:val="single" w:color="000000" w:sz="6" w:space="0"/>
              <w:right w:val="single" w:color="000000" w:sz="6" w:space="0"/>
            </w:tcBorders>
          </w:tcPr>
          <w:p>
            <w:pPr>
              <w:pStyle w:val="TableText"/>
              <w:ind w:right="13"/>
              <w:spacing w:before="136" w:line="283" w:lineRule="exact"/>
              <w:jc w:val="right"/>
              <w:rPr>
                <w:sz w:val="19"/>
                <w:szCs w:val="19"/>
              </w:rPr>
            </w:pPr>
            <w:r>
              <w:rPr>
                <w:sz w:val="19"/>
                <w:szCs w:val="19"/>
                <w:spacing w:val="1"/>
                <w:position w:val="2"/>
              </w:rPr>
              <w:t>556</w:t>
            </w:r>
          </w:p>
        </w:tc>
      </w:tr>
    </w:tbl>
    <w:p>
      <w:pPr>
        <w:spacing w:line="152" w:lineRule="exact"/>
        <w:rPr>
          <w:rFonts w:ascii="Arial"/>
          <w:sz w:val="13"/>
        </w:rPr>
      </w:pPr>
      <w:r/>
    </w:p>
    <w:p>
      <w:pPr>
        <w:spacing w:line="152" w:lineRule="exact"/>
        <w:sectPr>
          <w:headerReference w:type="default" r:id="rId104"/>
          <w:footerReference w:type="default" r:id="rId145"/>
          <w:pgSz w:w="16839" w:h="11906"/>
          <w:pgMar w:top="1792" w:right="1463" w:bottom="1660" w:left="1463" w:header="1428" w:footer="1289" w:gutter="0"/>
        </w:sectPr>
        <w:rPr>
          <w:rFonts w:ascii="Arial" w:hAnsi="Arial" w:eastAsia="Arial" w:cs="Arial"/>
          <w:sz w:val="13"/>
          <w:szCs w:val="13"/>
        </w:rPr>
      </w:pPr>
    </w:p>
    <w:p>
      <w:pPr>
        <w:ind w:left="128"/>
        <w:spacing w:before="229" w:line="216" w:lineRule="exact"/>
        <w:rPr>
          <w:rFonts w:ascii="Microsoft YaHei" w:hAnsi="Microsoft YaHei" w:eastAsia="Microsoft YaHei" w:cs="Microsoft YaHei"/>
          <w:sz w:val="20"/>
          <w:szCs w:val="20"/>
        </w:rPr>
      </w:pPr>
      <w:r>
        <w:drawing>
          <wp:anchor distT="0" distB="0" distL="0" distR="0" simplePos="0" relativeHeight="251742208"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294" name="IM 294"/>
            <wp:cNvGraphicFramePr/>
            <a:graphic>
              <a:graphicData uri="http://schemas.openxmlformats.org/drawingml/2006/picture">
                <pic:pic>
                  <pic:nvPicPr>
                    <pic:cNvPr id="294" name="IM 294"/>
                    <pic:cNvPicPr/>
                  </pic:nvPicPr>
                  <pic:blipFill>
                    <a:blip r:embed="rId149"/>
                    <a:stretch>
                      <a:fillRect/>
                    </a:stretch>
                  </pic:blipFill>
                  <pic:spPr>
                    <a:xfrm rot="0">
                      <a:off x="0" y="0"/>
                      <a:ext cx="8712200" cy="7620"/>
                    </a:xfrm>
                    <a:prstGeom prst="rect">
                      <a:avLst/>
                    </a:prstGeom>
                  </pic:spPr>
                </pic:pic>
              </a:graphicData>
            </a:graphic>
          </wp:anchor>
        </w:drawing>
      </w:r>
      <w:r>
        <w:rPr>
          <w:rFonts w:ascii="Microsoft YaHei" w:hAnsi="Microsoft YaHei" w:eastAsia="Microsoft YaHei" w:cs="Microsoft YaHei"/>
          <w:sz w:val="20"/>
          <w:szCs w:val="20"/>
          <w:spacing w:val="7"/>
          <w:position w:val="-2"/>
        </w:rPr>
        <w:t>表十五</w:t>
      </w:r>
    </w:p>
    <w:p>
      <w:pPr>
        <w:pStyle w:val="BodyText"/>
        <w:ind w:left="3464"/>
        <w:spacing w:line="234" w:lineRule="auto"/>
        <w:rPr>
          <w:sz w:val="35"/>
          <w:szCs w:val="35"/>
        </w:rPr>
      </w:pPr>
      <w:r>
        <w:rPr>
          <w:sz w:val="35"/>
          <w:szCs w:val="35"/>
          <w:b/>
          <w:bCs/>
          <w:spacing w:val="3"/>
        </w:rPr>
        <w:t>固原市本级</w:t>
      </w:r>
      <w:r>
        <w:rPr>
          <w:sz w:val="35"/>
          <w:szCs w:val="35"/>
          <w:spacing w:val="-68"/>
        </w:rPr>
        <w:t xml:space="preserve"> </w:t>
      </w:r>
      <w:r>
        <w:rPr>
          <w:sz w:val="35"/>
          <w:szCs w:val="35"/>
          <w:b/>
          <w:bCs/>
          <w:spacing w:val="3"/>
        </w:rPr>
        <w:t>2021</w:t>
      </w:r>
      <w:r>
        <w:rPr>
          <w:sz w:val="35"/>
          <w:szCs w:val="35"/>
          <w:spacing w:val="-77"/>
        </w:rPr>
        <w:t xml:space="preserve"> </w:t>
      </w:r>
      <w:r>
        <w:rPr>
          <w:sz w:val="35"/>
          <w:szCs w:val="35"/>
          <w:b/>
          <w:bCs/>
          <w:spacing w:val="3"/>
        </w:rPr>
        <w:t>年社会保险基金预算收支表</w:t>
      </w:r>
    </w:p>
    <w:p>
      <w:pPr>
        <w:pStyle w:val="BodyText"/>
        <w:ind w:left="12736"/>
        <w:spacing w:line="209" w:lineRule="auto"/>
        <w:rPr>
          <w:sz w:val="18"/>
          <w:szCs w:val="18"/>
        </w:rPr>
      </w:pPr>
      <w:r>
        <w:rPr>
          <w:sz w:val="18"/>
          <w:szCs w:val="18"/>
          <w:spacing w:val="-1"/>
        </w:rPr>
        <w:t>单位：万元</w:t>
      </w:r>
    </w:p>
    <w:tbl>
      <w:tblPr>
        <w:tblStyle w:val="TableNormal"/>
        <w:tblW w:w="13883" w:type="dxa"/>
        <w:tblInd w:w="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11"/>
        <w:gridCol w:w="1424"/>
        <w:gridCol w:w="5513"/>
        <w:gridCol w:w="1435"/>
      </w:tblGrid>
      <w:tr>
        <w:trPr>
          <w:trHeight w:val="271" w:hRule="atLeast"/>
        </w:trPr>
        <w:tc>
          <w:tcPr>
            <w:tcW w:w="6935" w:type="dxa"/>
            <w:vAlign w:val="top"/>
            <w:gridSpan w:val="2"/>
            <w:tcBorders>
              <w:left w:val="single" w:color="000000" w:sz="6" w:space="0"/>
              <w:top w:val="single" w:color="000000" w:sz="6" w:space="0"/>
            </w:tcBorders>
          </w:tcPr>
          <w:p>
            <w:pPr>
              <w:pStyle w:val="TableText"/>
              <w:ind w:left="2871"/>
              <w:spacing w:before="47" w:line="207" w:lineRule="auto"/>
              <w:rPr>
                <w:sz w:val="19"/>
                <w:szCs w:val="19"/>
              </w:rPr>
            </w:pPr>
            <w:r>
              <w:rPr>
                <w:sz w:val="19"/>
                <w:szCs w:val="19"/>
                <w:b/>
                <w:bCs/>
                <w:spacing w:val="-1"/>
              </w:rPr>
              <w:t>收</w:t>
            </w:r>
            <w:r>
              <w:rPr>
                <w:sz w:val="19"/>
                <w:szCs w:val="19"/>
                <w:spacing w:val="6"/>
              </w:rPr>
              <w:t xml:space="preserve">        </w:t>
            </w:r>
            <w:r>
              <w:rPr>
                <w:sz w:val="19"/>
                <w:szCs w:val="19"/>
                <w:b/>
                <w:bCs/>
                <w:spacing w:val="-1"/>
              </w:rPr>
              <w:t>入</w:t>
            </w:r>
          </w:p>
        </w:tc>
        <w:tc>
          <w:tcPr>
            <w:tcW w:w="6948" w:type="dxa"/>
            <w:vAlign w:val="top"/>
            <w:gridSpan w:val="2"/>
            <w:tcBorders>
              <w:right w:val="single" w:color="000000" w:sz="6" w:space="0"/>
              <w:top w:val="single" w:color="000000" w:sz="6" w:space="0"/>
            </w:tcBorders>
          </w:tcPr>
          <w:p>
            <w:pPr>
              <w:pStyle w:val="TableText"/>
              <w:ind w:left="2872"/>
              <w:spacing w:before="44" w:line="210" w:lineRule="auto"/>
              <w:rPr>
                <w:sz w:val="19"/>
                <w:szCs w:val="19"/>
              </w:rPr>
            </w:pPr>
            <w:r>
              <w:rPr>
                <w:sz w:val="19"/>
                <w:szCs w:val="19"/>
                <w:b/>
                <w:bCs/>
                <w:spacing w:val="-1"/>
              </w:rPr>
              <w:t>支</w:t>
            </w:r>
            <w:r>
              <w:rPr>
                <w:sz w:val="19"/>
                <w:szCs w:val="19"/>
                <w:spacing w:val="8"/>
              </w:rPr>
              <w:t xml:space="preserve">        </w:t>
            </w:r>
            <w:r>
              <w:rPr>
                <w:sz w:val="19"/>
                <w:szCs w:val="19"/>
                <w:b/>
                <w:bCs/>
                <w:spacing w:val="-1"/>
              </w:rPr>
              <w:t>出</w:t>
            </w:r>
          </w:p>
        </w:tc>
      </w:tr>
      <w:tr>
        <w:trPr>
          <w:trHeight w:val="264" w:hRule="atLeast"/>
        </w:trPr>
        <w:tc>
          <w:tcPr>
            <w:tcW w:w="5511" w:type="dxa"/>
            <w:vAlign w:val="top"/>
            <w:tcBorders>
              <w:left w:val="single" w:color="000000" w:sz="6" w:space="0"/>
            </w:tcBorders>
          </w:tcPr>
          <w:p>
            <w:pPr>
              <w:pStyle w:val="TableText"/>
              <w:ind w:left="2300"/>
              <w:spacing w:before="40" w:line="207" w:lineRule="auto"/>
              <w:rPr>
                <w:sz w:val="19"/>
                <w:szCs w:val="19"/>
              </w:rPr>
            </w:pPr>
            <w:r>
              <w:rPr>
                <w:sz w:val="19"/>
                <w:szCs w:val="19"/>
                <w:b/>
                <w:bCs/>
              </w:rPr>
              <w:t>项</w:t>
            </w:r>
            <w:r>
              <w:rPr>
                <w:sz w:val="19"/>
                <w:szCs w:val="19"/>
                <w:spacing w:val="14"/>
              </w:rPr>
              <w:t xml:space="preserve">     </w:t>
            </w:r>
            <w:r>
              <w:rPr>
                <w:sz w:val="19"/>
                <w:szCs w:val="19"/>
                <w:b/>
                <w:bCs/>
              </w:rPr>
              <w:t>目</w:t>
            </w:r>
          </w:p>
        </w:tc>
        <w:tc>
          <w:tcPr>
            <w:tcW w:w="1424" w:type="dxa"/>
            <w:vAlign w:val="top"/>
          </w:tcPr>
          <w:p>
            <w:pPr>
              <w:pStyle w:val="TableText"/>
              <w:ind w:left="410"/>
              <w:spacing w:before="37" w:line="210" w:lineRule="auto"/>
              <w:rPr>
                <w:sz w:val="19"/>
                <w:szCs w:val="19"/>
              </w:rPr>
            </w:pPr>
            <w:r>
              <w:rPr>
                <w:sz w:val="19"/>
                <w:szCs w:val="19"/>
                <w:b/>
                <w:bCs/>
                <w:spacing w:val="6"/>
              </w:rPr>
              <w:t>市本级</w:t>
            </w:r>
          </w:p>
        </w:tc>
        <w:tc>
          <w:tcPr>
            <w:tcW w:w="5513" w:type="dxa"/>
            <w:vAlign w:val="top"/>
          </w:tcPr>
          <w:p>
            <w:pPr>
              <w:pStyle w:val="TableText"/>
              <w:ind w:left="2258"/>
              <w:spacing w:before="40" w:line="207" w:lineRule="auto"/>
              <w:rPr>
                <w:sz w:val="19"/>
                <w:szCs w:val="19"/>
              </w:rPr>
            </w:pPr>
            <w:r>
              <w:rPr>
                <w:sz w:val="19"/>
                <w:szCs w:val="19"/>
                <w:b/>
                <w:bCs/>
              </w:rPr>
              <w:t>项</w:t>
            </w:r>
            <w:r>
              <w:rPr>
                <w:sz w:val="19"/>
                <w:szCs w:val="19"/>
                <w:spacing w:val="12"/>
              </w:rPr>
              <w:t xml:space="preserve">      </w:t>
            </w:r>
            <w:r>
              <w:rPr>
                <w:sz w:val="19"/>
                <w:szCs w:val="19"/>
                <w:b/>
                <w:bCs/>
              </w:rPr>
              <w:t>目</w:t>
            </w:r>
          </w:p>
        </w:tc>
        <w:tc>
          <w:tcPr>
            <w:tcW w:w="1435" w:type="dxa"/>
            <w:vAlign w:val="top"/>
            <w:tcBorders>
              <w:right w:val="single" w:color="000000" w:sz="6" w:space="0"/>
            </w:tcBorders>
          </w:tcPr>
          <w:p>
            <w:pPr>
              <w:pStyle w:val="TableText"/>
              <w:ind w:left="419"/>
              <w:spacing w:before="37" w:line="210" w:lineRule="auto"/>
              <w:rPr>
                <w:sz w:val="19"/>
                <w:szCs w:val="19"/>
              </w:rPr>
            </w:pPr>
            <w:r>
              <w:rPr>
                <w:sz w:val="19"/>
                <w:szCs w:val="19"/>
                <w:b/>
                <w:bCs/>
                <w:spacing w:val="6"/>
              </w:rPr>
              <w:t>市本级</w:t>
            </w:r>
          </w:p>
        </w:tc>
      </w:tr>
      <w:tr>
        <w:trPr>
          <w:trHeight w:val="264" w:hRule="atLeast"/>
        </w:trPr>
        <w:tc>
          <w:tcPr>
            <w:tcW w:w="5511" w:type="dxa"/>
            <w:vAlign w:val="top"/>
            <w:tcBorders>
              <w:left w:val="single" w:color="000000" w:sz="6" w:space="0"/>
            </w:tcBorders>
          </w:tcPr>
          <w:p>
            <w:pPr>
              <w:pStyle w:val="TableText"/>
              <w:ind w:left="107"/>
              <w:spacing w:before="38" w:line="209" w:lineRule="auto"/>
              <w:rPr>
                <w:sz w:val="19"/>
                <w:szCs w:val="19"/>
              </w:rPr>
            </w:pPr>
            <w:r>
              <w:rPr>
                <w:sz w:val="19"/>
                <w:szCs w:val="19"/>
                <w:spacing w:val="9"/>
              </w:rPr>
              <w:t>一、企业职工基本养老保险基金收入</w:t>
            </w:r>
          </w:p>
        </w:tc>
        <w:tc>
          <w:tcPr>
            <w:tcW w:w="1424" w:type="dxa"/>
            <w:vAlign w:val="top"/>
          </w:tcPr>
          <w:p>
            <w:pPr>
              <w:rPr>
                <w:rFonts w:ascii="Arial"/>
                <w:sz w:val="21"/>
              </w:rPr>
            </w:pPr>
            <w:r/>
          </w:p>
        </w:tc>
        <w:tc>
          <w:tcPr>
            <w:tcW w:w="5513" w:type="dxa"/>
            <w:vAlign w:val="top"/>
          </w:tcPr>
          <w:p>
            <w:pPr>
              <w:pStyle w:val="TableText"/>
              <w:ind w:left="106"/>
              <w:spacing w:before="38" w:line="209" w:lineRule="auto"/>
              <w:rPr>
                <w:sz w:val="19"/>
                <w:szCs w:val="19"/>
              </w:rPr>
            </w:pPr>
            <w:r>
              <w:rPr>
                <w:sz w:val="19"/>
                <w:szCs w:val="19"/>
                <w:spacing w:val="9"/>
              </w:rPr>
              <w:t>一、企业职工基本养老保险基支出</w:t>
            </w:r>
          </w:p>
        </w:tc>
        <w:tc>
          <w:tcPr>
            <w:tcW w:w="1435" w:type="dxa"/>
            <w:vAlign w:val="top"/>
            <w:tcBorders>
              <w:right w:val="single" w:color="000000" w:sz="6" w:space="0"/>
            </w:tcBorders>
          </w:tcPr>
          <w:p>
            <w:pPr>
              <w:rPr>
                <w:rFonts w:ascii="Arial"/>
                <w:sz w:val="21"/>
              </w:rPr>
            </w:pPr>
            <w:r/>
          </w:p>
        </w:tc>
      </w:tr>
      <w:tr>
        <w:trPr>
          <w:trHeight w:val="264" w:hRule="atLeast"/>
        </w:trPr>
        <w:tc>
          <w:tcPr>
            <w:tcW w:w="5511" w:type="dxa"/>
            <w:vAlign w:val="top"/>
            <w:tcBorders>
              <w:left w:val="single" w:color="000000" w:sz="6" w:space="0"/>
            </w:tcBorders>
          </w:tcPr>
          <w:p>
            <w:pPr>
              <w:pStyle w:val="TableText"/>
              <w:ind w:left="107"/>
              <w:spacing w:before="38" w:line="209" w:lineRule="auto"/>
              <w:rPr>
                <w:sz w:val="19"/>
                <w:szCs w:val="19"/>
              </w:rPr>
            </w:pPr>
            <w:r>
              <w:rPr>
                <w:sz w:val="19"/>
                <w:szCs w:val="19"/>
                <w:spacing w:val="9"/>
              </w:rPr>
              <w:t>二、失业保险基金收入</w:t>
            </w:r>
          </w:p>
        </w:tc>
        <w:tc>
          <w:tcPr>
            <w:tcW w:w="1424" w:type="dxa"/>
            <w:vAlign w:val="top"/>
          </w:tcPr>
          <w:p>
            <w:pPr>
              <w:rPr>
                <w:rFonts w:ascii="Arial"/>
                <w:sz w:val="21"/>
              </w:rPr>
            </w:pPr>
            <w:r/>
          </w:p>
        </w:tc>
        <w:tc>
          <w:tcPr>
            <w:tcW w:w="5513" w:type="dxa"/>
            <w:vAlign w:val="top"/>
          </w:tcPr>
          <w:p>
            <w:pPr>
              <w:pStyle w:val="TableText"/>
              <w:ind w:left="106"/>
              <w:spacing w:before="38" w:line="209" w:lineRule="auto"/>
              <w:rPr>
                <w:sz w:val="19"/>
                <w:szCs w:val="19"/>
              </w:rPr>
            </w:pPr>
            <w:r>
              <w:rPr>
                <w:sz w:val="19"/>
                <w:szCs w:val="19"/>
                <w:spacing w:val="9"/>
              </w:rPr>
              <w:t>二、失业保险基金支出</w:t>
            </w:r>
          </w:p>
        </w:tc>
        <w:tc>
          <w:tcPr>
            <w:tcW w:w="1435" w:type="dxa"/>
            <w:vAlign w:val="top"/>
            <w:tcBorders>
              <w:right w:val="single" w:color="000000" w:sz="6" w:space="0"/>
            </w:tcBorders>
          </w:tcPr>
          <w:p>
            <w:pPr>
              <w:rPr>
                <w:rFonts w:ascii="Arial"/>
                <w:sz w:val="21"/>
              </w:rPr>
            </w:pPr>
            <w:r/>
          </w:p>
        </w:tc>
      </w:tr>
      <w:tr>
        <w:trPr>
          <w:trHeight w:val="264" w:hRule="atLeast"/>
        </w:trPr>
        <w:tc>
          <w:tcPr>
            <w:tcW w:w="5511" w:type="dxa"/>
            <w:vAlign w:val="top"/>
            <w:tcBorders>
              <w:left w:val="single" w:color="000000" w:sz="6" w:space="0"/>
            </w:tcBorders>
          </w:tcPr>
          <w:p>
            <w:pPr>
              <w:pStyle w:val="TableText"/>
              <w:ind w:left="111"/>
              <w:spacing w:before="40" w:line="207" w:lineRule="auto"/>
              <w:rPr>
                <w:sz w:val="19"/>
                <w:szCs w:val="19"/>
              </w:rPr>
            </w:pPr>
            <w:r>
              <w:rPr>
                <w:sz w:val="19"/>
                <w:szCs w:val="19"/>
                <w:spacing w:val="9"/>
              </w:rPr>
              <w:t>三、职工基本医疗保险基金收入</w:t>
            </w:r>
          </w:p>
        </w:tc>
        <w:tc>
          <w:tcPr>
            <w:tcW w:w="1424" w:type="dxa"/>
            <w:vAlign w:val="top"/>
          </w:tcPr>
          <w:p>
            <w:pPr>
              <w:pStyle w:val="TableText"/>
              <w:ind w:left="773"/>
              <w:spacing w:before="35" w:line="212" w:lineRule="auto"/>
              <w:rPr>
                <w:sz w:val="19"/>
                <w:szCs w:val="19"/>
              </w:rPr>
            </w:pPr>
            <w:r>
              <w:rPr>
                <w:sz w:val="19"/>
                <w:szCs w:val="19"/>
                <w:spacing w:val="-6"/>
              </w:rPr>
              <w:t>64,165</w:t>
            </w:r>
          </w:p>
        </w:tc>
        <w:tc>
          <w:tcPr>
            <w:tcW w:w="5513" w:type="dxa"/>
            <w:vAlign w:val="top"/>
          </w:tcPr>
          <w:p>
            <w:pPr>
              <w:pStyle w:val="TableText"/>
              <w:ind w:left="109"/>
              <w:spacing w:before="40" w:line="207" w:lineRule="auto"/>
              <w:rPr>
                <w:sz w:val="19"/>
                <w:szCs w:val="19"/>
              </w:rPr>
            </w:pPr>
            <w:r>
              <w:rPr>
                <w:sz w:val="19"/>
                <w:szCs w:val="19"/>
                <w:spacing w:val="9"/>
              </w:rPr>
              <w:t>三、职工基本医疗保险基金支出</w:t>
            </w:r>
          </w:p>
        </w:tc>
        <w:tc>
          <w:tcPr>
            <w:tcW w:w="1435" w:type="dxa"/>
            <w:vAlign w:val="top"/>
            <w:tcBorders>
              <w:right w:val="single" w:color="000000" w:sz="6" w:space="0"/>
            </w:tcBorders>
          </w:tcPr>
          <w:p>
            <w:pPr>
              <w:pStyle w:val="TableText"/>
              <w:ind w:left="782"/>
              <w:spacing w:before="35" w:line="212" w:lineRule="auto"/>
              <w:rPr>
                <w:sz w:val="19"/>
                <w:szCs w:val="19"/>
              </w:rPr>
            </w:pPr>
            <w:r>
              <w:rPr>
                <w:sz w:val="19"/>
                <w:szCs w:val="19"/>
                <w:spacing w:val="-6"/>
              </w:rPr>
              <w:t>51,007</w:t>
            </w:r>
          </w:p>
        </w:tc>
      </w:tr>
      <w:tr>
        <w:trPr>
          <w:trHeight w:val="264" w:hRule="atLeast"/>
        </w:trPr>
        <w:tc>
          <w:tcPr>
            <w:tcW w:w="5511" w:type="dxa"/>
            <w:vAlign w:val="top"/>
            <w:tcBorders>
              <w:left w:val="single" w:color="000000" w:sz="6" w:space="0"/>
            </w:tcBorders>
          </w:tcPr>
          <w:p>
            <w:pPr>
              <w:pStyle w:val="TableText"/>
              <w:ind w:left="128"/>
              <w:spacing w:before="41" w:line="206" w:lineRule="auto"/>
              <w:rPr>
                <w:sz w:val="19"/>
                <w:szCs w:val="19"/>
              </w:rPr>
            </w:pPr>
            <w:r>
              <w:rPr>
                <w:sz w:val="19"/>
                <w:szCs w:val="19"/>
                <w:spacing w:val="7"/>
              </w:rPr>
              <w:t>四、工伤保险基金收入</w:t>
            </w:r>
          </w:p>
        </w:tc>
        <w:tc>
          <w:tcPr>
            <w:tcW w:w="1424" w:type="dxa"/>
            <w:vAlign w:val="top"/>
          </w:tcPr>
          <w:p>
            <w:pPr>
              <w:pStyle w:val="TableText"/>
              <w:ind w:left="887"/>
              <w:spacing w:before="37" w:line="210" w:lineRule="auto"/>
              <w:rPr>
                <w:sz w:val="19"/>
                <w:szCs w:val="19"/>
              </w:rPr>
            </w:pPr>
            <w:r>
              <w:rPr>
                <w:sz w:val="19"/>
                <w:szCs w:val="19"/>
                <w:spacing w:val="-11"/>
              </w:rPr>
              <w:t>1,935</w:t>
            </w:r>
          </w:p>
        </w:tc>
        <w:tc>
          <w:tcPr>
            <w:tcW w:w="5513" w:type="dxa"/>
            <w:vAlign w:val="top"/>
          </w:tcPr>
          <w:p>
            <w:pPr>
              <w:pStyle w:val="TableText"/>
              <w:ind w:left="126"/>
              <w:spacing w:before="41" w:line="206" w:lineRule="auto"/>
              <w:rPr>
                <w:sz w:val="19"/>
                <w:szCs w:val="19"/>
              </w:rPr>
            </w:pPr>
            <w:r>
              <w:rPr>
                <w:sz w:val="19"/>
                <w:szCs w:val="19"/>
                <w:spacing w:val="7"/>
              </w:rPr>
              <w:t>四、工伤保险基金支出</w:t>
            </w:r>
          </w:p>
        </w:tc>
        <w:tc>
          <w:tcPr>
            <w:tcW w:w="1435" w:type="dxa"/>
            <w:vAlign w:val="top"/>
            <w:tcBorders>
              <w:right w:val="single" w:color="000000" w:sz="6" w:space="0"/>
            </w:tcBorders>
          </w:tcPr>
          <w:p>
            <w:pPr>
              <w:pStyle w:val="TableText"/>
              <w:ind w:left="896"/>
              <w:spacing w:before="37" w:line="210" w:lineRule="auto"/>
              <w:rPr>
                <w:sz w:val="19"/>
                <w:szCs w:val="19"/>
              </w:rPr>
            </w:pPr>
            <w:r>
              <w:rPr>
                <w:sz w:val="19"/>
                <w:szCs w:val="19"/>
                <w:spacing w:val="-11"/>
              </w:rPr>
              <w:t>1,745</w:t>
            </w:r>
          </w:p>
        </w:tc>
      </w:tr>
      <w:tr>
        <w:trPr>
          <w:trHeight w:val="264" w:hRule="atLeast"/>
        </w:trPr>
        <w:tc>
          <w:tcPr>
            <w:tcW w:w="5511" w:type="dxa"/>
            <w:vAlign w:val="top"/>
            <w:tcBorders>
              <w:left w:val="single" w:color="000000" w:sz="6" w:space="0"/>
            </w:tcBorders>
          </w:tcPr>
          <w:p>
            <w:pPr>
              <w:pStyle w:val="TableText"/>
              <w:ind w:left="111"/>
              <w:spacing w:before="41" w:line="206" w:lineRule="auto"/>
              <w:rPr>
                <w:sz w:val="19"/>
                <w:szCs w:val="19"/>
              </w:rPr>
            </w:pPr>
            <w:r>
              <w:rPr>
                <w:sz w:val="19"/>
                <w:szCs w:val="19"/>
                <w:spacing w:val="9"/>
              </w:rPr>
              <w:t>五、生育保险基金收入</w:t>
            </w:r>
          </w:p>
        </w:tc>
        <w:tc>
          <w:tcPr>
            <w:tcW w:w="1424" w:type="dxa"/>
            <w:vAlign w:val="top"/>
          </w:tcPr>
          <w:p>
            <w:pPr>
              <w:rPr>
                <w:rFonts w:ascii="Arial"/>
                <w:sz w:val="21"/>
              </w:rPr>
            </w:pPr>
            <w:r/>
          </w:p>
        </w:tc>
        <w:tc>
          <w:tcPr>
            <w:tcW w:w="5513" w:type="dxa"/>
            <w:vAlign w:val="top"/>
          </w:tcPr>
          <w:p>
            <w:pPr>
              <w:pStyle w:val="TableText"/>
              <w:ind w:left="110"/>
              <w:spacing w:before="41" w:line="206" w:lineRule="auto"/>
              <w:rPr>
                <w:sz w:val="19"/>
                <w:szCs w:val="19"/>
              </w:rPr>
            </w:pPr>
            <w:r>
              <w:rPr>
                <w:sz w:val="19"/>
                <w:szCs w:val="19"/>
                <w:spacing w:val="9"/>
              </w:rPr>
              <w:t>五、生育保险基金支出</w:t>
            </w:r>
          </w:p>
        </w:tc>
        <w:tc>
          <w:tcPr>
            <w:tcW w:w="1435" w:type="dxa"/>
            <w:vAlign w:val="top"/>
            <w:tcBorders>
              <w:right w:val="single" w:color="000000" w:sz="6" w:space="0"/>
            </w:tcBorders>
          </w:tcPr>
          <w:p>
            <w:pPr>
              <w:rPr>
                <w:rFonts w:ascii="Arial"/>
                <w:sz w:val="21"/>
              </w:rPr>
            </w:pPr>
            <w:r/>
          </w:p>
        </w:tc>
      </w:tr>
      <w:tr>
        <w:trPr>
          <w:trHeight w:val="264" w:hRule="atLeast"/>
        </w:trPr>
        <w:tc>
          <w:tcPr>
            <w:tcW w:w="5511" w:type="dxa"/>
            <w:vAlign w:val="top"/>
            <w:tcBorders>
              <w:left w:val="single" w:color="000000" w:sz="6" w:space="0"/>
            </w:tcBorders>
          </w:tcPr>
          <w:p>
            <w:pPr>
              <w:pStyle w:val="TableText"/>
              <w:ind w:left="107"/>
              <w:spacing w:before="44" w:line="204" w:lineRule="auto"/>
              <w:rPr>
                <w:sz w:val="19"/>
                <w:szCs w:val="19"/>
              </w:rPr>
            </w:pPr>
            <w:r>
              <w:rPr>
                <w:sz w:val="19"/>
                <w:szCs w:val="19"/>
                <w:spacing w:val="9"/>
              </w:rPr>
              <w:t>六、城乡居民基本养老保险基金收入</w:t>
            </w:r>
          </w:p>
        </w:tc>
        <w:tc>
          <w:tcPr>
            <w:tcW w:w="1424" w:type="dxa"/>
            <w:vAlign w:val="top"/>
          </w:tcPr>
          <w:p>
            <w:pPr>
              <w:rPr>
                <w:rFonts w:ascii="Arial"/>
                <w:sz w:val="21"/>
              </w:rPr>
            </w:pPr>
            <w:r/>
          </w:p>
        </w:tc>
        <w:tc>
          <w:tcPr>
            <w:tcW w:w="5513" w:type="dxa"/>
            <w:vAlign w:val="top"/>
          </w:tcPr>
          <w:p>
            <w:pPr>
              <w:pStyle w:val="TableText"/>
              <w:ind w:left="106"/>
              <w:spacing w:before="44" w:line="204" w:lineRule="auto"/>
              <w:rPr>
                <w:sz w:val="19"/>
                <w:szCs w:val="19"/>
              </w:rPr>
            </w:pPr>
            <w:r>
              <w:rPr>
                <w:sz w:val="19"/>
                <w:szCs w:val="19"/>
                <w:spacing w:val="9"/>
              </w:rPr>
              <w:t>六、城乡居民基本养老保险基金支出</w:t>
            </w:r>
          </w:p>
        </w:tc>
        <w:tc>
          <w:tcPr>
            <w:tcW w:w="1435" w:type="dxa"/>
            <w:vAlign w:val="top"/>
            <w:tcBorders>
              <w:right w:val="single" w:color="000000" w:sz="6" w:space="0"/>
            </w:tcBorders>
          </w:tcPr>
          <w:p>
            <w:pPr>
              <w:rPr>
                <w:rFonts w:ascii="Arial"/>
                <w:sz w:val="21"/>
              </w:rPr>
            </w:pPr>
            <w:r/>
          </w:p>
        </w:tc>
      </w:tr>
      <w:tr>
        <w:trPr>
          <w:trHeight w:val="264" w:hRule="atLeast"/>
        </w:trPr>
        <w:tc>
          <w:tcPr>
            <w:tcW w:w="5511" w:type="dxa"/>
            <w:vAlign w:val="top"/>
            <w:tcBorders>
              <w:left w:val="single" w:color="000000" w:sz="6" w:space="0"/>
            </w:tcBorders>
          </w:tcPr>
          <w:p>
            <w:pPr>
              <w:pStyle w:val="TableText"/>
              <w:ind w:left="106"/>
              <w:spacing w:before="43" w:line="205" w:lineRule="auto"/>
              <w:rPr>
                <w:sz w:val="19"/>
                <w:szCs w:val="19"/>
              </w:rPr>
            </w:pPr>
            <w:r>
              <w:rPr>
                <w:sz w:val="19"/>
                <w:szCs w:val="19"/>
                <w:spacing w:val="9"/>
              </w:rPr>
              <w:t>七、机关事业单位基本养老保险基金收入</w:t>
            </w:r>
          </w:p>
        </w:tc>
        <w:tc>
          <w:tcPr>
            <w:tcW w:w="1424" w:type="dxa"/>
            <w:vAlign w:val="top"/>
          </w:tcPr>
          <w:p>
            <w:pPr>
              <w:pStyle w:val="TableText"/>
              <w:ind w:left="770"/>
              <w:spacing w:before="38" w:line="209" w:lineRule="auto"/>
              <w:rPr>
                <w:sz w:val="19"/>
                <w:szCs w:val="19"/>
              </w:rPr>
            </w:pPr>
            <w:r>
              <w:rPr>
                <w:sz w:val="19"/>
                <w:szCs w:val="19"/>
                <w:spacing w:val="-5"/>
              </w:rPr>
              <w:t>46,370</w:t>
            </w:r>
          </w:p>
        </w:tc>
        <w:tc>
          <w:tcPr>
            <w:tcW w:w="5513" w:type="dxa"/>
            <w:vAlign w:val="top"/>
          </w:tcPr>
          <w:p>
            <w:pPr>
              <w:pStyle w:val="TableText"/>
              <w:ind w:left="105"/>
              <w:spacing w:before="43" w:line="205" w:lineRule="auto"/>
              <w:rPr>
                <w:sz w:val="19"/>
                <w:szCs w:val="19"/>
              </w:rPr>
            </w:pPr>
            <w:r>
              <w:rPr>
                <w:sz w:val="19"/>
                <w:szCs w:val="19"/>
                <w:spacing w:val="9"/>
              </w:rPr>
              <w:t>七、机关事业单位基本养老保险基金支出</w:t>
            </w:r>
          </w:p>
        </w:tc>
        <w:tc>
          <w:tcPr>
            <w:tcW w:w="1435" w:type="dxa"/>
            <w:vAlign w:val="top"/>
            <w:tcBorders>
              <w:right w:val="single" w:color="000000" w:sz="6" w:space="0"/>
            </w:tcBorders>
          </w:tcPr>
          <w:p>
            <w:pPr>
              <w:pStyle w:val="TableText"/>
              <w:ind w:left="778"/>
              <w:spacing w:before="38" w:line="209" w:lineRule="auto"/>
              <w:rPr>
                <w:sz w:val="19"/>
                <w:szCs w:val="19"/>
              </w:rPr>
            </w:pPr>
            <w:r>
              <w:rPr>
                <w:sz w:val="19"/>
                <w:szCs w:val="19"/>
                <w:spacing w:val="-5"/>
              </w:rPr>
              <w:t>45,989</w:t>
            </w:r>
          </w:p>
        </w:tc>
      </w:tr>
      <w:tr>
        <w:trPr>
          <w:trHeight w:val="263" w:hRule="atLeast"/>
        </w:trPr>
        <w:tc>
          <w:tcPr>
            <w:tcW w:w="5511" w:type="dxa"/>
            <w:vAlign w:val="top"/>
            <w:tcBorders>
              <w:left w:val="single" w:color="000000" w:sz="6" w:space="0"/>
            </w:tcBorders>
          </w:tcPr>
          <w:p>
            <w:pPr>
              <w:pStyle w:val="TableText"/>
              <w:ind w:left="104"/>
              <w:spacing w:before="46" w:line="201" w:lineRule="auto"/>
              <w:rPr>
                <w:sz w:val="19"/>
                <w:szCs w:val="19"/>
              </w:rPr>
            </w:pPr>
            <w:r>
              <w:rPr>
                <w:sz w:val="19"/>
                <w:szCs w:val="19"/>
                <w:spacing w:val="9"/>
              </w:rPr>
              <w:t>八、城乡居民基本医疗保险基金收入</w:t>
            </w:r>
          </w:p>
        </w:tc>
        <w:tc>
          <w:tcPr>
            <w:tcW w:w="1424" w:type="dxa"/>
            <w:vAlign w:val="top"/>
          </w:tcPr>
          <w:p>
            <w:pPr>
              <w:pStyle w:val="TableText"/>
              <w:ind w:left="688"/>
              <w:spacing w:before="40" w:line="206" w:lineRule="auto"/>
              <w:rPr>
                <w:sz w:val="19"/>
                <w:szCs w:val="19"/>
              </w:rPr>
            </w:pPr>
            <w:r>
              <w:rPr>
                <w:sz w:val="19"/>
                <w:szCs w:val="19"/>
                <w:spacing w:val="-7"/>
              </w:rPr>
              <w:t>113,590</w:t>
            </w:r>
          </w:p>
        </w:tc>
        <w:tc>
          <w:tcPr>
            <w:tcW w:w="5513" w:type="dxa"/>
            <w:vAlign w:val="top"/>
          </w:tcPr>
          <w:p>
            <w:pPr>
              <w:pStyle w:val="TableText"/>
              <w:ind w:left="103"/>
              <w:spacing w:before="46" w:line="201" w:lineRule="auto"/>
              <w:rPr>
                <w:sz w:val="19"/>
                <w:szCs w:val="19"/>
              </w:rPr>
            </w:pPr>
            <w:r>
              <w:rPr>
                <w:sz w:val="19"/>
                <w:szCs w:val="19"/>
                <w:spacing w:val="9"/>
              </w:rPr>
              <w:t>八、城乡居民基本医疗保险基金支出</w:t>
            </w:r>
          </w:p>
        </w:tc>
        <w:tc>
          <w:tcPr>
            <w:tcW w:w="1435" w:type="dxa"/>
            <w:vAlign w:val="top"/>
            <w:tcBorders>
              <w:right w:val="single" w:color="000000" w:sz="6" w:space="0"/>
            </w:tcBorders>
          </w:tcPr>
          <w:p>
            <w:pPr>
              <w:pStyle w:val="TableText"/>
              <w:ind w:left="699"/>
              <w:spacing w:before="40" w:line="206" w:lineRule="auto"/>
              <w:rPr>
                <w:sz w:val="19"/>
                <w:szCs w:val="19"/>
              </w:rPr>
            </w:pPr>
            <w:r>
              <w:rPr>
                <w:sz w:val="19"/>
                <w:szCs w:val="19"/>
                <w:spacing w:val="-7"/>
              </w:rPr>
              <w:t>102,742</w:t>
            </w:r>
          </w:p>
        </w:tc>
      </w:tr>
      <w:tr>
        <w:trPr>
          <w:trHeight w:val="264" w:hRule="atLeast"/>
        </w:trPr>
        <w:tc>
          <w:tcPr>
            <w:tcW w:w="5511" w:type="dxa"/>
            <w:vAlign w:val="top"/>
            <w:tcBorders>
              <w:left w:val="single" w:color="000000" w:sz="6" w:space="0"/>
            </w:tcBorders>
          </w:tcPr>
          <w:p>
            <w:pPr>
              <w:pStyle w:val="TableText"/>
              <w:ind w:left="109"/>
              <w:spacing w:before="45" w:line="203" w:lineRule="auto"/>
              <w:rPr>
                <w:sz w:val="19"/>
                <w:szCs w:val="19"/>
              </w:rPr>
            </w:pPr>
            <w:r>
              <w:rPr>
                <w:sz w:val="19"/>
                <w:szCs w:val="19"/>
                <w:spacing w:val="9"/>
              </w:rPr>
              <w:t>九、其他社会保险基金收入</w:t>
            </w:r>
          </w:p>
        </w:tc>
        <w:tc>
          <w:tcPr>
            <w:tcW w:w="1424" w:type="dxa"/>
            <w:vAlign w:val="top"/>
          </w:tcPr>
          <w:p>
            <w:pPr>
              <w:rPr>
                <w:rFonts w:ascii="Arial"/>
                <w:sz w:val="21"/>
              </w:rPr>
            </w:pPr>
            <w:r/>
          </w:p>
        </w:tc>
        <w:tc>
          <w:tcPr>
            <w:tcW w:w="5513" w:type="dxa"/>
            <w:vAlign w:val="top"/>
          </w:tcPr>
          <w:p>
            <w:pPr>
              <w:pStyle w:val="TableText"/>
              <w:ind w:left="108"/>
              <w:spacing w:before="45" w:line="203" w:lineRule="auto"/>
              <w:rPr>
                <w:sz w:val="19"/>
                <w:szCs w:val="19"/>
              </w:rPr>
            </w:pPr>
            <w:r>
              <w:rPr>
                <w:sz w:val="19"/>
                <w:szCs w:val="19"/>
                <w:spacing w:val="9"/>
              </w:rPr>
              <w:t>九、其他社会保险基金支出</w:t>
            </w:r>
          </w:p>
        </w:tc>
        <w:tc>
          <w:tcPr>
            <w:tcW w:w="1435" w:type="dxa"/>
            <w:vAlign w:val="top"/>
            <w:tcBorders>
              <w:right w:val="single" w:color="000000" w:sz="6" w:space="0"/>
            </w:tcBorders>
          </w:tcPr>
          <w:p>
            <w:pPr>
              <w:rPr>
                <w:rFonts w:ascii="Arial"/>
                <w:sz w:val="21"/>
              </w:rPr>
            </w:pPr>
            <w:r/>
          </w:p>
        </w:tc>
      </w:tr>
      <w:tr>
        <w:trPr>
          <w:trHeight w:val="264" w:hRule="atLeast"/>
        </w:trPr>
        <w:tc>
          <w:tcPr>
            <w:tcW w:w="5511" w:type="dxa"/>
            <w:vAlign w:val="top"/>
            <w:tcBorders>
              <w:left w:val="single" w:color="000000" w:sz="6" w:space="0"/>
            </w:tcBorders>
          </w:tcPr>
          <w:p>
            <w:pPr>
              <w:pStyle w:val="TableText"/>
              <w:ind w:left="1551"/>
              <w:spacing w:before="47" w:line="201" w:lineRule="auto"/>
              <w:rPr>
                <w:sz w:val="19"/>
                <w:szCs w:val="19"/>
              </w:rPr>
            </w:pPr>
            <w:r>
              <w:rPr>
                <w:sz w:val="19"/>
                <w:szCs w:val="19"/>
                <w:b/>
                <w:bCs/>
                <w:spacing w:val="8"/>
              </w:rPr>
              <w:t>社会保险基金预算收入合计</w:t>
            </w:r>
          </w:p>
        </w:tc>
        <w:tc>
          <w:tcPr>
            <w:tcW w:w="1424" w:type="dxa"/>
            <w:vAlign w:val="top"/>
          </w:tcPr>
          <w:p>
            <w:pPr>
              <w:pStyle w:val="TableText"/>
              <w:ind w:left="667"/>
              <w:spacing w:before="44" w:line="204" w:lineRule="auto"/>
              <w:rPr>
                <w:sz w:val="19"/>
                <w:szCs w:val="19"/>
              </w:rPr>
            </w:pPr>
            <w:r>
              <w:rPr>
                <w:sz w:val="19"/>
                <w:szCs w:val="19"/>
                <w:b/>
                <w:bCs/>
                <w:spacing w:val="-6"/>
              </w:rPr>
              <w:t>226,060</w:t>
            </w:r>
          </w:p>
        </w:tc>
        <w:tc>
          <w:tcPr>
            <w:tcW w:w="5513" w:type="dxa"/>
            <w:vAlign w:val="top"/>
          </w:tcPr>
          <w:p>
            <w:pPr>
              <w:pStyle w:val="TableText"/>
              <w:ind w:left="1557"/>
              <w:spacing w:before="47" w:line="201" w:lineRule="auto"/>
              <w:rPr>
                <w:sz w:val="19"/>
                <w:szCs w:val="19"/>
              </w:rPr>
            </w:pPr>
            <w:r>
              <w:rPr>
                <w:sz w:val="19"/>
                <w:szCs w:val="19"/>
                <w:b/>
                <w:bCs/>
                <w:spacing w:val="8"/>
              </w:rPr>
              <w:t>社会保险基金预算支出合计</w:t>
            </w:r>
          </w:p>
        </w:tc>
        <w:tc>
          <w:tcPr>
            <w:tcW w:w="1435" w:type="dxa"/>
            <w:vAlign w:val="top"/>
            <w:tcBorders>
              <w:right w:val="single" w:color="000000" w:sz="6" w:space="0"/>
            </w:tcBorders>
          </w:tcPr>
          <w:p>
            <w:pPr>
              <w:pStyle w:val="TableText"/>
              <w:ind w:left="676"/>
              <w:spacing w:before="44" w:line="204" w:lineRule="auto"/>
              <w:rPr>
                <w:sz w:val="19"/>
                <w:szCs w:val="19"/>
              </w:rPr>
            </w:pPr>
            <w:r>
              <w:rPr>
                <w:sz w:val="19"/>
                <w:szCs w:val="19"/>
                <w:b/>
                <w:bCs/>
                <w:spacing w:val="-6"/>
              </w:rPr>
              <w:t>201,483</w:t>
            </w:r>
          </w:p>
        </w:tc>
      </w:tr>
      <w:tr>
        <w:trPr>
          <w:trHeight w:val="264" w:hRule="atLeast"/>
        </w:trPr>
        <w:tc>
          <w:tcPr>
            <w:tcW w:w="5511" w:type="dxa"/>
            <w:vAlign w:val="top"/>
            <w:tcBorders>
              <w:left w:val="single" w:color="000000" w:sz="6" w:space="0"/>
            </w:tcBorders>
          </w:tcPr>
          <w:p>
            <w:pPr>
              <w:pStyle w:val="TableText"/>
              <w:ind w:left="107"/>
              <w:spacing w:before="48" w:line="200" w:lineRule="auto"/>
              <w:rPr>
                <w:sz w:val="19"/>
                <w:szCs w:val="19"/>
              </w:rPr>
            </w:pPr>
            <w:r>
              <w:rPr>
                <w:sz w:val="19"/>
                <w:szCs w:val="19"/>
                <w:spacing w:val="9"/>
              </w:rPr>
              <w:t>上年结余收入</w:t>
            </w:r>
          </w:p>
        </w:tc>
        <w:tc>
          <w:tcPr>
            <w:tcW w:w="1424" w:type="dxa"/>
            <w:vAlign w:val="top"/>
          </w:tcPr>
          <w:p>
            <w:pPr>
              <w:pStyle w:val="TableText"/>
              <w:ind w:left="672"/>
              <w:spacing w:before="46" w:line="202" w:lineRule="auto"/>
              <w:rPr>
                <w:sz w:val="19"/>
                <w:szCs w:val="19"/>
              </w:rPr>
            </w:pPr>
            <w:r>
              <w:rPr>
                <w:sz w:val="19"/>
                <w:szCs w:val="19"/>
                <w:spacing w:val="-4"/>
              </w:rPr>
              <w:t>203,912</w:t>
            </w:r>
          </w:p>
        </w:tc>
        <w:tc>
          <w:tcPr>
            <w:tcW w:w="5513" w:type="dxa"/>
            <w:vAlign w:val="top"/>
          </w:tcPr>
          <w:p>
            <w:pPr>
              <w:pStyle w:val="TableText"/>
              <w:ind w:left="108"/>
              <w:spacing w:before="48" w:line="200" w:lineRule="auto"/>
              <w:rPr>
                <w:sz w:val="19"/>
                <w:szCs w:val="19"/>
              </w:rPr>
            </w:pPr>
            <w:r>
              <w:rPr>
                <w:sz w:val="19"/>
                <w:szCs w:val="19"/>
                <w:spacing w:val="8"/>
              </w:rPr>
              <w:t>年终结余</w:t>
            </w:r>
          </w:p>
        </w:tc>
        <w:tc>
          <w:tcPr>
            <w:tcW w:w="1435" w:type="dxa"/>
            <w:vAlign w:val="top"/>
            <w:tcBorders>
              <w:right w:val="single" w:color="000000" w:sz="6" w:space="0"/>
            </w:tcBorders>
          </w:tcPr>
          <w:p>
            <w:pPr>
              <w:pStyle w:val="TableText"/>
              <w:ind w:left="683"/>
              <w:spacing w:before="46" w:line="202" w:lineRule="auto"/>
              <w:rPr>
                <w:sz w:val="19"/>
                <w:szCs w:val="19"/>
              </w:rPr>
            </w:pPr>
            <w:r>
              <w:rPr>
                <w:sz w:val="19"/>
                <w:szCs w:val="19"/>
                <w:spacing w:val="-5"/>
              </w:rPr>
              <w:t>228,489</w:t>
            </w:r>
          </w:p>
        </w:tc>
      </w:tr>
      <w:tr>
        <w:trPr>
          <w:trHeight w:val="264" w:hRule="atLeast"/>
        </w:trPr>
        <w:tc>
          <w:tcPr>
            <w:tcW w:w="5511" w:type="dxa"/>
            <w:vAlign w:val="top"/>
            <w:tcBorders>
              <w:left w:val="single" w:color="000000" w:sz="6" w:space="0"/>
            </w:tcBorders>
          </w:tcPr>
          <w:p>
            <w:pPr>
              <w:pStyle w:val="TableText"/>
              <w:ind w:left="107"/>
              <w:spacing w:before="52" w:line="196" w:lineRule="auto"/>
              <w:rPr>
                <w:sz w:val="19"/>
                <w:szCs w:val="19"/>
              </w:rPr>
            </w:pPr>
            <w:r>
              <w:rPr>
                <w:sz w:val="19"/>
                <w:szCs w:val="19"/>
                <w:spacing w:val="9"/>
              </w:rPr>
              <w:t>上级补助收入</w:t>
            </w:r>
          </w:p>
        </w:tc>
        <w:tc>
          <w:tcPr>
            <w:tcW w:w="1424" w:type="dxa"/>
            <w:vAlign w:val="top"/>
          </w:tcPr>
          <w:p>
            <w:pPr>
              <w:rPr>
                <w:rFonts w:ascii="Arial"/>
                <w:sz w:val="21"/>
              </w:rPr>
            </w:pPr>
            <w:r/>
          </w:p>
        </w:tc>
        <w:tc>
          <w:tcPr>
            <w:tcW w:w="5513" w:type="dxa"/>
            <w:vAlign w:val="top"/>
          </w:tcPr>
          <w:p>
            <w:pPr>
              <w:pStyle w:val="TableText"/>
              <w:ind w:left="106"/>
              <w:spacing w:before="51" w:line="197" w:lineRule="auto"/>
              <w:rPr>
                <w:sz w:val="19"/>
                <w:szCs w:val="19"/>
              </w:rPr>
            </w:pPr>
            <w:r>
              <w:rPr>
                <w:sz w:val="19"/>
                <w:szCs w:val="19"/>
                <w:spacing w:val="9"/>
              </w:rPr>
              <w:t>上解上级支出</w:t>
            </w:r>
          </w:p>
        </w:tc>
        <w:tc>
          <w:tcPr>
            <w:tcW w:w="1435" w:type="dxa"/>
            <w:vAlign w:val="top"/>
            <w:tcBorders>
              <w:right w:val="single" w:color="000000" w:sz="6" w:space="0"/>
            </w:tcBorders>
          </w:tcPr>
          <w:p>
            <w:pPr>
              <w:rPr>
                <w:rFonts w:ascii="Arial"/>
                <w:sz w:val="21"/>
              </w:rPr>
            </w:pPr>
            <w:r/>
          </w:p>
        </w:tc>
      </w:tr>
      <w:tr>
        <w:trPr>
          <w:trHeight w:val="275" w:hRule="atLeast"/>
        </w:trPr>
        <w:tc>
          <w:tcPr>
            <w:tcW w:w="5511" w:type="dxa"/>
            <w:vAlign w:val="top"/>
            <w:tcBorders>
              <w:left w:val="single" w:color="000000" w:sz="6" w:space="0"/>
              <w:bottom w:val="single" w:color="000000" w:sz="6" w:space="0"/>
            </w:tcBorders>
          </w:tcPr>
          <w:p>
            <w:pPr>
              <w:pStyle w:val="TableText"/>
              <w:ind w:left="1551"/>
              <w:spacing w:before="50" w:line="208" w:lineRule="auto"/>
              <w:rPr>
                <w:sz w:val="19"/>
                <w:szCs w:val="19"/>
              </w:rPr>
            </w:pPr>
            <w:r>
              <w:rPr>
                <w:sz w:val="19"/>
                <w:szCs w:val="19"/>
                <w:b/>
                <w:bCs/>
                <w:spacing w:val="8"/>
              </w:rPr>
              <w:t>社会保险基金预算收入总计</w:t>
            </w:r>
          </w:p>
        </w:tc>
        <w:tc>
          <w:tcPr>
            <w:tcW w:w="1424" w:type="dxa"/>
            <w:vAlign w:val="top"/>
            <w:tcBorders>
              <w:bottom w:val="single" w:color="000000" w:sz="6" w:space="0"/>
            </w:tcBorders>
          </w:tcPr>
          <w:p>
            <w:pPr>
              <w:pStyle w:val="TableText"/>
              <w:ind w:left="664"/>
              <w:spacing w:before="47" w:line="211" w:lineRule="auto"/>
              <w:rPr>
                <w:sz w:val="19"/>
                <w:szCs w:val="19"/>
              </w:rPr>
            </w:pPr>
            <w:r>
              <w:rPr>
                <w:sz w:val="19"/>
                <w:szCs w:val="19"/>
                <w:b/>
                <w:bCs/>
                <w:spacing w:val="-5"/>
              </w:rPr>
              <w:t>429,972</w:t>
            </w:r>
          </w:p>
        </w:tc>
        <w:tc>
          <w:tcPr>
            <w:tcW w:w="5513" w:type="dxa"/>
            <w:vAlign w:val="top"/>
            <w:tcBorders>
              <w:bottom w:val="single" w:color="000000" w:sz="6" w:space="0"/>
            </w:tcBorders>
          </w:tcPr>
          <w:p>
            <w:pPr>
              <w:pStyle w:val="TableText"/>
              <w:ind w:left="1557"/>
              <w:spacing w:before="50" w:line="208" w:lineRule="auto"/>
              <w:rPr>
                <w:sz w:val="19"/>
                <w:szCs w:val="19"/>
              </w:rPr>
            </w:pPr>
            <w:r>
              <w:rPr>
                <w:sz w:val="19"/>
                <w:szCs w:val="19"/>
                <w:b/>
                <w:bCs/>
                <w:spacing w:val="8"/>
              </w:rPr>
              <w:t>社会保险基金预算支出总计</w:t>
            </w:r>
          </w:p>
        </w:tc>
        <w:tc>
          <w:tcPr>
            <w:tcW w:w="1435" w:type="dxa"/>
            <w:vAlign w:val="top"/>
            <w:tcBorders>
              <w:bottom w:val="single" w:color="000000" w:sz="6" w:space="0"/>
              <w:right w:val="single" w:color="000000" w:sz="6" w:space="0"/>
            </w:tcBorders>
          </w:tcPr>
          <w:p>
            <w:pPr>
              <w:pStyle w:val="TableText"/>
              <w:ind w:left="673"/>
              <w:spacing w:before="47" w:line="211" w:lineRule="auto"/>
              <w:rPr>
                <w:sz w:val="19"/>
                <w:szCs w:val="19"/>
              </w:rPr>
            </w:pPr>
            <w:r>
              <w:rPr>
                <w:sz w:val="19"/>
                <w:szCs w:val="19"/>
                <w:b/>
                <w:bCs/>
                <w:spacing w:val="-5"/>
              </w:rPr>
              <w:t>429,972</w:t>
            </w:r>
          </w:p>
        </w:tc>
      </w:tr>
    </w:tbl>
    <w:p>
      <w:pPr>
        <w:ind w:left="128"/>
        <w:spacing w:before="306" w:line="209"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position w:val="-1"/>
        </w:rPr>
        <w:t>表十六</w:t>
      </w:r>
    </w:p>
    <w:p>
      <w:pPr>
        <w:pStyle w:val="BodyText"/>
        <w:ind w:left="4184"/>
        <w:spacing w:line="226" w:lineRule="auto"/>
        <w:rPr>
          <w:sz w:val="35"/>
          <w:szCs w:val="35"/>
        </w:rPr>
      </w:pPr>
      <w:r>
        <w:rPr>
          <w:sz w:val="35"/>
          <w:szCs w:val="35"/>
          <w:b/>
          <w:bCs/>
          <w:spacing w:val="2"/>
        </w:rPr>
        <w:t>固原市本级</w:t>
      </w:r>
      <w:r>
        <w:rPr>
          <w:sz w:val="35"/>
          <w:szCs w:val="35"/>
          <w:spacing w:val="-64"/>
        </w:rPr>
        <w:t xml:space="preserve"> </w:t>
      </w:r>
      <w:r>
        <w:rPr>
          <w:sz w:val="35"/>
          <w:szCs w:val="35"/>
          <w:b/>
          <w:bCs/>
          <w:spacing w:val="2"/>
        </w:rPr>
        <w:t>2021</w:t>
      </w:r>
      <w:r>
        <w:rPr>
          <w:sz w:val="35"/>
          <w:szCs w:val="35"/>
          <w:spacing w:val="-78"/>
        </w:rPr>
        <w:t xml:space="preserve"> </w:t>
      </w:r>
      <w:r>
        <w:rPr>
          <w:sz w:val="35"/>
          <w:szCs w:val="35"/>
          <w:b/>
          <w:bCs/>
          <w:spacing w:val="2"/>
        </w:rPr>
        <w:t>年政府债务情况表</w:t>
      </w:r>
    </w:p>
    <w:p>
      <w:pPr>
        <w:pStyle w:val="BodyText"/>
        <w:ind w:left="12885"/>
        <w:spacing w:line="206" w:lineRule="auto"/>
        <w:rPr>
          <w:sz w:val="18"/>
          <w:szCs w:val="18"/>
        </w:rPr>
      </w:pPr>
      <w:r>
        <w:rPr>
          <w:sz w:val="18"/>
          <w:szCs w:val="18"/>
          <w:spacing w:val="-1"/>
        </w:rPr>
        <w:t>单位：亿元</w:t>
      </w:r>
    </w:p>
    <w:tbl>
      <w:tblPr>
        <w:tblStyle w:val="TableNormal"/>
        <w:tblW w:w="13887"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02"/>
        <w:gridCol w:w="963"/>
        <w:gridCol w:w="964"/>
        <w:gridCol w:w="714"/>
        <w:gridCol w:w="1160"/>
        <w:gridCol w:w="975"/>
        <w:gridCol w:w="689"/>
        <w:gridCol w:w="1063"/>
        <w:gridCol w:w="975"/>
        <w:gridCol w:w="714"/>
        <w:gridCol w:w="1013"/>
        <w:gridCol w:w="876"/>
        <w:gridCol w:w="764"/>
        <w:gridCol w:w="1026"/>
        <w:gridCol w:w="1089"/>
      </w:tblGrid>
      <w:tr>
        <w:trPr>
          <w:trHeight w:val="487" w:hRule="atLeast"/>
        </w:trPr>
        <w:tc>
          <w:tcPr>
            <w:tcW w:w="902" w:type="dxa"/>
            <w:vAlign w:val="top"/>
            <w:vMerge w:val="restart"/>
            <w:tcBorders>
              <w:left w:val="single" w:color="000000" w:sz="6" w:space="0"/>
              <w:top w:val="single" w:color="000000" w:sz="6" w:space="0"/>
              <w:bottom w:val="nil"/>
            </w:tcBorders>
          </w:tcPr>
          <w:p>
            <w:pPr>
              <w:spacing w:line="249" w:lineRule="auto"/>
              <w:rPr>
                <w:rFonts w:ascii="Arial"/>
                <w:sz w:val="21"/>
              </w:rPr>
            </w:pPr>
            <w:r/>
          </w:p>
          <w:p>
            <w:pPr>
              <w:pStyle w:val="TableText"/>
              <w:ind w:left="135" w:right="145" w:firstLine="9"/>
              <w:spacing w:before="61" w:line="246" w:lineRule="auto"/>
              <w:rPr>
                <w:sz w:val="19"/>
                <w:szCs w:val="19"/>
              </w:rPr>
            </w:pPr>
            <w:r>
              <w:rPr>
                <w:sz w:val="19"/>
                <w:szCs w:val="19"/>
                <w:b/>
                <w:bCs/>
                <w:spacing w:val="6"/>
              </w:rPr>
              <w:t>市、县</w:t>
            </w:r>
            <w:r>
              <w:rPr>
                <w:sz w:val="19"/>
                <w:szCs w:val="19"/>
                <w:b/>
                <w:bCs/>
                <w:spacing w:val="-6"/>
              </w:rPr>
              <w:t>（</w:t>
            </w:r>
            <w:r>
              <w:rPr>
                <w:sz w:val="19"/>
                <w:szCs w:val="19"/>
                <w:spacing w:val="-47"/>
              </w:rPr>
              <w:t xml:space="preserve"> </w:t>
            </w:r>
            <w:r>
              <w:rPr>
                <w:sz w:val="19"/>
                <w:szCs w:val="19"/>
                <w:b/>
                <w:bCs/>
                <w:spacing w:val="-6"/>
              </w:rPr>
              <w:t>区）</w:t>
            </w:r>
          </w:p>
        </w:tc>
        <w:tc>
          <w:tcPr>
            <w:tcW w:w="1927" w:type="dxa"/>
            <w:vAlign w:val="top"/>
            <w:gridSpan w:val="2"/>
            <w:tcBorders>
              <w:top w:val="single" w:color="000000" w:sz="6" w:space="0"/>
            </w:tcBorders>
          </w:tcPr>
          <w:p>
            <w:pPr>
              <w:pStyle w:val="TableText"/>
              <w:ind w:left="357" w:right="339" w:hanging="24"/>
              <w:spacing w:before="20" w:line="222" w:lineRule="auto"/>
              <w:rPr>
                <w:sz w:val="19"/>
                <w:szCs w:val="19"/>
              </w:rPr>
            </w:pPr>
            <w:r>
              <w:rPr>
                <w:sz w:val="19"/>
                <w:szCs w:val="19"/>
                <w:b/>
                <w:bCs/>
                <w:spacing w:val="4"/>
              </w:rPr>
              <w:t>2021</w:t>
            </w:r>
            <w:r>
              <w:rPr>
                <w:sz w:val="19"/>
                <w:szCs w:val="19"/>
                <w:spacing w:val="-39"/>
              </w:rPr>
              <w:t xml:space="preserve"> </w:t>
            </w:r>
            <w:r>
              <w:rPr>
                <w:sz w:val="19"/>
                <w:szCs w:val="19"/>
                <w:b/>
                <w:bCs/>
                <w:spacing w:val="4"/>
              </w:rPr>
              <w:t>年自治区</w:t>
            </w:r>
            <w:r>
              <w:rPr>
                <w:sz w:val="19"/>
                <w:szCs w:val="19"/>
                <w:b/>
                <w:bCs/>
                <w:spacing w:val="7"/>
              </w:rPr>
              <w:t>核定债务限额</w:t>
            </w:r>
          </w:p>
        </w:tc>
        <w:tc>
          <w:tcPr>
            <w:tcW w:w="2849" w:type="dxa"/>
            <w:vAlign w:val="top"/>
            <w:gridSpan w:val="3"/>
            <w:tcBorders>
              <w:top w:val="single" w:color="000000" w:sz="6" w:space="0"/>
            </w:tcBorders>
          </w:tcPr>
          <w:p>
            <w:pPr>
              <w:pStyle w:val="TableText"/>
              <w:ind w:left="1022"/>
              <w:spacing w:before="144" w:line="220" w:lineRule="auto"/>
              <w:rPr>
                <w:sz w:val="19"/>
                <w:szCs w:val="19"/>
              </w:rPr>
            </w:pPr>
            <w:r>
              <w:rPr>
                <w:sz w:val="19"/>
                <w:szCs w:val="19"/>
                <w:b/>
                <w:bCs/>
                <w:spacing w:val="6"/>
              </w:rPr>
              <w:t>年初债务</w:t>
            </w:r>
          </w:p>
        </w:tc>
        <w:tc>
          <w:tcPr>
            <w:tcW w:w="2727" w:type="dxa"/>
            <w:vAlign w:val="top"/>
            <w:gridSpan w:val="3"/>
            <w:tcBorders>
              <w:top w:val="single" w:color="000000" w:sz="6" w:space="0"/>
            </w:tcBorders>
          </w:tcPr>
          <w:p>
            <w:pPr>
              <w:pStyle w:val="TableText"/>
              <w:ind w:left="775"/>
              <w:spacing w:before="142" w:line="222" w:lineRule="auto"/>
              <w:rPr>
                <w:sz w:val="19"/>
                <w:szCs w:val="19"/>
              </w:rPr>
            </w:pPr>
            <w:r>
              <w:rPr>
                <w:sz w:val="19"/>
                <w:szCs w:val="19"/>
                <w:b/>
                <w:bCs/>
                <w:spacing w:val="5"/>
              </w:rPr>
              <w:t>当期举借债务</w:t>
            </w:r>
          </w:p>
        </w:tc>
        <w:tc>
          <w:tcPr>
            <w:tcW w:w="2603" w:type="dxa"/>
            <w:vAlign w:val="top"/>
            <w:gridSpan w:val="3"/>
            <w:tcBorders>
              <w:top w:val="single" w:color="000000" w:sz="6" w:space="0"/>
            </w:tcBorders>
          </w:tcPr>
          <w:p>
            <w:pPr>
              <w:pStyle w:val="TableText"/>
              <w:ind w:left="717"/>
              <w:spacing w:before="144" w:line="220" w:lineRule="auto"/>
              <w:rPr>
                <w:sz w:val="19"/>
                <w:szCs w:val="19"/>
              </w:rPr>
            </w:pPr>
            <w:r>
              <w:rPr>
                <w:sz w:val="19"/>
                <w:szCs w:val="19"/>
                <w:b/>
                <w:bCs/>
                <w:spacing w:val="5"/>
              </w:rPr>
              <w:t>当期偿还债务</w:t>
            </w:r>
          </w:p>
        </w:tc>
        <w:tc>
          <w:tcPr>
            <w:tcW w:w="2879" w:type="dxa"/>
            <w:vAlign w:val="top"/>
            <w:gridSpan w:val="3"/>
            <w:tcBorders>
              <w:right w:val="single" w:color="000000" w:sz="6" w:space="0"/>
              <w:top w:val="single" w:color="000000" w:sz="6" w:space="0"/>
            </w:tcBorders>
          </w:tcPr>
          <w:p>
            <w:pPr>
              <w:pStyle w:val="TableText"/>
              <w:ind w:left="840"/>
              <w:spacing w:before="142" w:line="225" w:lineRule="auto"/>
              <w:rPr>
                <w:sz w:val="19"/>
                <w:szCs w:val="19"/>
              </w:rPr>
            </w:pPr>
            <w:r>
              <w:rPr>
                <w:sz w:val="19"/>
                <w:szCs w:val="19"/>
                <w:b/>
                <w:bCs/>
                <w:spacing w:val="7"/>
              </w:rPr>
              <w:t>年末债务余额</w:t>
            </w:r>
          </w:p>
        </w:tc>
      </w:tr>
      <w:tr>
        <w:trPr>
          <w:trHeight w:val="554" w:hRule="atLeast"/>
        </w:trPr>
        <w:tc>
          <w:tcPr>
            <w:tcW w:w="902" w:type="dxa"/>
            <w:vAlign w:val="top"/>
            <w:vMerge w:val="continue"/>
            <w:tcBorders>
              <w:left w:val="single" w:color="000000" w:sz="6" w:space="0"/>
              <w:top w:val="nil"/>
            </w:tcBorders>
          </w:tcPr>
          <w:p>
            <w:pPr>
              <w:rPr>
                <w:rFonts w:ascii="Arial"/>
                <w:sz w:val="21"/>
              </w:rPr>
            </w:pPr>
            <w:r/>
          </w:p>
        </w:tc>
        <w:tc>
          <w:tcPr>
            <w:tcW w:w="963" w:type="dxa"/>
            <w:vAlign w:val="top"/>
          </w:tcPr>
          <w:p>
            <w:pPr>
              <w:pStyle w:val="TableText"/>
              <w:ind w:left="75"/>
              <w:spacing w:before="180" w:line="220" w:lineRule="auto"/>
              <w:rPr>
                <w:sz w:val="19"/>
                <w:szCs w:val="19"/>
              </w:rPr>
            </w:pPr>
            <w:r>
              <w:rPr>
                <w:sz w:val="19"/>
                <w:szCs w:val="19"/>
                <w:b/>
                <w:bCs/>
                <w:spacing w:val="7"/>
              </w:rPr>
              <w:t>一般债务</w:t>
            </w:r>
          </w:p>
        </w:tc>
        <w:tc>
          <w:tcPr>
            <w:tcW w:w="964" w:type="dxa"/>
            <w:vAlign w:val="top"/>
          </w:tcPr>
          <w:p>
            <w:pPr>
              <w:pStyle w:val="TableText"/>
              <w:ind w:left="74"/>
              <w:spacing w:before="180" w:line="223" w:lineRule="auto"/>
              <w:rPr>
                <w:sz w:val="19"/>
                <w:szCs w:val="19"/>
              </w:rPr>
            </w:pPr>
            <w:r>
              <w:rPr>
                <w:sz w:val="19"/>
                <w:szCs w:val="19"/>
                <w:b/>
                <w:bCs/>
                <w:spacing w:val="7"/>
              </w:rPr>
              <w:t>专项债务</w:t>
            </w:r>
          </w:p>
        </w:tc>
        <w:tc>
          <w:tcPr>
            <w:tcW w:w="714" w:type="dxa"/>
            <w:vAlign w:val="top"/>
          </w:tcPr>
          <w:p>
            <w:pPr>
              <w:pStyle w:val="TableText"/>
              <w:ind w:left="151"/>
              <w:spacing w:before="179" w:line="223" w:lineRule="auto"/>
              <w:rPr>
                <w:sz w:val="19"/>
                <w:szCs w:val="19"/>
              </w:rPr>
            </w:pPr>
            <w:r>
              <w:rPr>
                <w:sz w:val="19"/>
                <w:szCs w:val="19"/>
                <w:b/>
                <w:bCs/>
                <w:spacing w:val="6"/>
              </w:rPr>
              <w:t>合计</w:t>
            </w:r>
          </w:p>
        </w:tc>
        <w:tc>
          <w:tcPr>
            <w:tcW w:w="1160" w:type="dxa"/>
            <w:vAlign w:val="top"/>
          </w:tcPr>
          <w:p>
            <w:pPr>
              <w:pStyle w:val="TableText"/>
              <w:ind w:left="175"/>
              <w:spacing w:before="180" w:line="220" w:lineRule="auto"/>
              <w:rPr>
                <w:sz w:val="19"/>
                <w:szCs w:val="19"/>
              </w:rPr>
            </w:pPr>
            <w:r>
              <w:rPr>
                <w:sz w:val="19"/>
                <w:szCs w:val="19"/>
                <w:b/>
                <w:bCs/>
                <w:spacing w:val="7"/>
              </w:rPr>
              <w:t>一般债务</w:t>
            </w:r>
          </w:p>
        </w:tc>
        <w:tc>
          <w:tcPr>
            <w:tcW w:w="975" w:type="dxa"/>
            <w:vAlign w:val="top"/>
          </w:tcPr>
          <w:p>
            <w:pPr>
              <w:pStyle w:val="TableText"/>
              <w:ind w:left="85"/>
              <w:spacing w:before="180" w:line="223" w:lineRule="auto"/>
              <w:rPr>
                <w:sz w:val="19"/>
                <w:szCs w:val="19"/>
              </w:rPr>
            </w:pPr>
            <w:r>
              <w:rPr>
                <w:sz w:val="19"/>
                <w:szCs w:val="19"/>
                <w:b/>
                <w:bCs/>
                <w:spacing w:val="7"/>
              </w:rPr>
              <w:t>专项债务</w:t>
            </w:r>
          </w:p>
        </w:tc>
        <w:tc>
          <w:tcPr>
            <w:tcW w:w="689" w:type="dxa"/>
            <w:vAlign w:val="top"/>
          </w:tcPr>
          <w:p>
            <w:pPr>
              <w:pStyle w:val="TableText"/>
              <w:ind w:left="141"/>
              <w:spacing w:before="179" w:line="223" w:lineRule="auto"/>
              <w:rPr>
                <w:sz w:val="19"/>
                <w:szCs w:val="19"/>
              </w:rPr>
            </w:pPr>
            <w:r>
              <w:rPr>
                <w:sz w:val="19"/>
                <w:szCs w:val="19"/>
                <w:b/>
                <w:bCs/>
                <w:spacing w:val="6"/>
              </w:rPr>
              <w:t>合计</w:t>
            </w:r>
          </w:p>
        </w:tc>
        <w:tc>
          <w:tcPr>
            <w:tcW w:w="1063" w:type="dxa"/>
            <w:vAlign w:val="top"/>
          </w:tcPr>
          <w:p>
            <w:pPr>
              <w:pStyle w:val="TableText"/>
              <w:ind w:left="130"/>
              <w:spacing w:before="180" w:line="220" w:lineRule="auto"/>
              <w:rPr>
                <w:sz w:val="19"/>
                <w:szCs w:val="19"/>
              </w:rPr>
            </w:pPr>
            <w:r>
              <w:rPr>
                <w:sz w:val="19"/>
                <w:szCs w:val="19"/>
                <w:b/>
                <w:bCs/>
                <w:spacing w:val="7"/>
              </w:rPr>
              <w:t>一般债务</w:t>
            </w:r>
          </w:p>
        </w:tc>
        <w:tc>
          <w:tcPr>
            <w:tcW w:w="975" w:type="dxa"/>
            <w:vAlign w:val="top"/>
          </w:tcPr>
          <w:p>
            <w:pPr>
              <w:pStyle w:val="TableText"/>
              <w:ind w:left="86"/>
              <w:spacing w:before="180" w:line="223" w:lineRule="auto"/>
              <w:rPr>
                <w:sz w:val="19"/>
                <w:szCs w:val="19"/>
              </w:rPr>
            </w:pPr>
            <w:r>
              <w:rPr>
                <w:sz w:val="19"/>
                <w:szCs w:val="19"/>
                <w:b/>
                <w:bCs/>
                <w:spacing w:val="7"/>
              </w:rPr>
              <w:t>专项债务</w:t>
            </w:r>
          </w:p>
        </w:tc>
        <w:tc>
          <w:tcPr>
            <w:tcW w:w="714" w:type="dxa"/>
            <w:vAlign w:val="top"/>
          </w:tcPr>
          <w:p>
            <w:pPr>
              <w:pStyle w:val="TableText"/>
              <w:ind w:left="155"/>
              <w:spacing w:before="179" w:line="223" w:lineRule="auto"/>
              <w:rPr>
                <w:sz w:val="19"/>
                <w:szCs w:val="19"/>
              </w:rPr>
            </w:pPr>
            <w:r>
              <w:rPr>
                <w:sz w:val="19"/>
                <w:szCs w:val="19"/>
                <w:b/>
                <w:bCs/>
                <w:spacing w:val="6"/>
              </w:rPr>
              <w:t>合计</w:t>
            </w:r>
          </w:p>
        </w:tc>
        <w:tc>
          <w:tcPr>
            <w:tcW w:w="1013" w:type="dxa"/>
            <w:vAlign w:val="top"/>
          </w:tcPr>
          <w:p>
            <w:pPr>
              <w:pStyle w:val="TableText"/>
              <w:ind w:left="109"/>
              <w:spacing w:before="180" w:line="220" w:lineRule="auto"/>
              <w:rPr>
                <w:sz w:val="19"/>
                <w:szCs w:val="19"/>
              </w:rPr>
            </w:pPr>
            <w:r>
              <w:rPr>
                <w:sz w:val="19"/>
                <w:szCs w:val="19"/>
                <w:b/>
                <w:bCs/>
                <w:spacing w:val="7"/>
              </w:rPr>
              <w:t>一般债务</w:t>
            </w:r>
          </w:p>
        </w:tc>
        <w:tc>
          <w:tcPr>
            <w:tcW w:w="876" w:type="dxa"/>
            <w:vAlign w:val="top"/>
          </w:tcPr>
          <w:p>
            <w:pPr>
              <w:pStyle w:val="TableText"/>
              <w:ind w:left="39"/>
              <w:spacing w:before="180" w:line="223" w:lineRule="auto"/>
              <w:rPr>
                <w:sz w:val="19"/>
                <w:szCs w:val="19"/>
              </w:rPr>
            </w:pPr>
            <w:r>
              <w:rPr>
                <w:sz w:val="19"/>
                <w:szCs w:val="19"/>
                <w:b/>
                <w:bCs/>
                <w:spacing w:val="7"/>
              </w:rPr>
              <w:t>专项债务</w:t>
            </w:r>
          </w:p>
        </w:tc>
        <w:tc>
          <w:tcPr>
            <w:tcW w:w="764" w:type="dxa"/>
            <w:vAlign w:val="top"/>
          </w:tcPr>
          <w:p>
            <w:pPr>
              <w:pStyle w:val="TableText"/>
              <w:ind w:left="184"/>
              <w:spacing w:before="179" w:line="223" w:lineRule="auto"/>
              <w:rPr>
                <w:sz w:val="19"/>
                <w:szCs w:val="19"/>
              </w:rPr>
            </w:pPr>
            <w:r>
              <w:rPr>
                <w:sz w:val="19"/>
                <w:szCs w:val="19"/>
                <w:b/>
                <w:bCs/>
                <w:spacing w:val="6"/>
              </w:rPr>
              <w:t>合计</w:t>
            </w:r>
          </w:p>
        </w:tc>
        <w:tc>
          <w:tcPr>
            <w:tcW w:w="1026" w:type="dxa"/>
            <w:vAlign w:val="top"/>
          </w:tcPr>
          <w:p>
            <w:pPr>
              <w:pStyle w:val="TableText"/>
              <w:ind w:left="118"/>
              <w:spacing w:before="180" w:line="220" w:lineRule="auto"/>
              <w:rPr>
                <w:sz w:val="19"/>
                <w:szCs w:val="19"/>
              </w:rPr>
            </w:pPr>
            <w:r>
              <w:rPr>
                <w:sz w:val="19"/>
                <w:szCs w:val="19"/>
                <w:b/>
                <w:bCs/>
                <w:spacing w:val="7"/>
              </w:rPr>
              <w:t>一般债务</w:t>
            </w:r>
          </w:p>
        </w:tc>
        <w:tc>
          <w:tcPr>
            <w:tcW w:w="1089" w:type="dxa"/>
            <w:vAlign w:val="top"/>
            <w:tcBorders>
              <w:right w:val="single" w:color="000000" w:sz="6" w:space="0"/>
            </w:tcBorders>
          </w:tcPr>
          <w:p>
            <w:pPr>
              <w:pStyle w:val="TableText"/>
              <w:ind w:left="145"/>
              <w:spacing w:before="180" w:line="223" w:lineRule="auto"/>
              <w:rPr>
                <w:sz w:val="19"/>
                <w:szCs w:val="19"/>
              </w:rPr>
            </w:pPr>
            <w:r>
              <w:rPr>
                <w:sz w:val="19"/>
                <w:szCs w:val="19"/>
                <w:b/>
                <w:bCs/>
                <w:spacing w:val="7"/>
              </w:rPr>
              <w:t>专项债务</w:t>
            </w:r>
          </w:p>
        </w:tc>
      </w:tr>
      <w:tr>
        <w:trPr>
          <w:trHeight w:val="314" w:hRule="atLeast"/>
        </w:trPr>
        <w:tc>
          <w:tcPr>
            <w:tcW w:w="902" w:type="dxa"/>
            <w:vAlign w:val="top"/>
            <w:tcBorders>
              <w:left w:val="single" w:color="000000" w:sz="6" w:space="0"/>
            </w:tcBorders>
          </w:tcPr>
          <w:p>
            <w:pPr>
              <w:pStyle w:val="TableText"/>
              <w:ind w:left="145"/>
              <w:spacing w:before="67" w:line="217" w:lineRule="auto"/>
              <w:rPr>
                <w:sz w:val="19"/>
                <w:szCs w:val="19"/>
              </w:rPr>
            </w:pPr>
            <w:r>
              <w:rPr>
                <w:sz w:val="19"/>
                <w:szCs w:val="19"/>
                <w:spacing w:val="8"/>
              </w:rPr>
              <w:t>市本级</w:t>
            </w:r>
          </w:p>
        </w:tc>
        <w:tc>
          <w:tcPr>
            <w:tcW w:w="963" w:type="dxa"/>
            <w:vAlign w:val="top"/>
          </w:tcPr>
          <w:p>
            <w:pPr>
              <w:pStyle w:val="TableText"/>
              <w:ind w:left="301"/>
              <w:spacing w:before="61" w:line="236" w:lineRule="auto"/>
              <w:rPr>
                <w:sz w:val="19"/>
                <w:szCs w:val="19"/>
              </w:rPr>
            </w:pPr>
            <w:r>
              <w:rPr>
                <w:sz w:val="19"/>
                <w:szCs w:val="19"/>
                <w:spacing w:val="-10"/>
              </w:rPr>
              <w:t>0.00</w:t>
            </w:r>
          </w:p>
        </w:tc>
        <w:tc>
          <w:tcPr>
            <w:tcW w:w="964" w:type="dxa"/>
            <w:vAlign w:val="top"/>
          </w:tcPr>
          <w:p>
            <w:pPr>
              <w:pStyle w:val="TableText"/>
              <w:ind w:left="302"/>
              <w:spacing w:before="61" w:line="236" w:lineRule="auto"/>
              <w:rPr>
                <w:sz w:val="19"/>
                <w:szCs w:val="19"/>
              </w:rPr>
            </w:pPr>
            <w:r>
              <w:rPr>
                <w:sz w:val="19"/>
                <w:szCs w:val="19"/>
                <w:spacing w:val="-10"/>
              </w:rPr>
              <w:t>0.00</w:t>
            </w:r>
          </w:p>
        </w:tc>
        <w:tc>
          <w:tcPr>
            <w:tcW w:w="714" w:type="dxa"/>
            <w:vAlign w:val="top"/>
          </w:tcPr>
          <w:p>
            <w:pPr>
              <w:pStyle w:val="TableText"/>
              <w:ind w:right="15"/>
              <w:spacing w:before="61" w:line="236" w:lineRule="auto"/>
              <w:jc w:val="right"/>
              <w:rPr>
                <w:sz w:val="19"/>
                <w:szCs w:val="19"/>
              </w:rPr>
            </w:pPr>
            <w:r>
              <w:rPr>
                <w:sz w:val="19"/>
                <w:szCs w:val="19"/>
                <w:spacing w:val="-8"/>
              </w:rPr>
              <w:t>64.91</w:t>
            </w:r>
          </w:p>
        </w:tc>
        <w:tc>
          <w:tcPr>
            <w:tcW w:w="1160" w:type="dxa"/>
            <w:vAlign w:val="top"/>
          </w:tcPr>
          <w:p>
            <w:pPr>
              <w:pStyle w:val="TableText"/>
              <w:ind w:right="16"/>
              <w:spacing w:before="61" w:line="236" w:lineRule="auto"/>
              <w:jc w:val="right"/>
              <w:rPr>
                <w:sz w:val="19"/>
                <w:szCs w:val="19"/>
              </w:rPr>
            </w:pPr>
            <w:r>
              <w:rPr>
                <w:sz w:val="19"/>
                <w:szCs w:val="19"/>
                <w:spacing w:val="-8"/>
              </w:rPr>
              <w:t>50.94</w:t>
            </w:r>
          </w:p>
        </w:tc>
        <w:tc>
          <w:tcPr>
            <w:tcW w:w="975" w:type="dxa"/>
            <w:vAlign w:val="top"/>
          </w:tcPr>
          <w:p>
            <w:pPr>
              <w:pStyle w:val="TableText"/>
              <w:ind w:right="14"/>
              <w:spacing w:before="61" w:line="236" w:lineRule="auto"/>
              <w:jc w:val="right"/>
              <w:rPr>
                <w:sz w:val="19"/>
                <w:szCs w:val="19"/>
              </w:rPr>
            </w:pPr>
            <w:r>
              <w:rPr>
                <w:sz w:val="19"/>
                <w:szCs w:val="19"/>
                <w:spacing w:val="-11"/>
              </w:rPr>
              <w:t>13.97</w:t>
            </w:r>
          </w:p>
        </w:tc>
        <w:tc>
          <w:tcPr>
            <w:tcW w:w="689" w:type="dxa"/>
            <w:vAlign w:val="top"/>
          </w:tcPr>
          <w:p>
            <w:pPr>
              <w:pStyle w:val="TableText"/>
              <w:ind w:right="12"/>
              <w:spacing w:before="61" w:line="236" w:lineRule="auto"/>
              <w:jc w:val="right"/>
              <w:rPr>
                <w:sz w:val="19"/>
                <w:szCs w:val="19"/>
              </w:rPr>
            </w:pPr>
            <w:r>
              <w:rPr>
                <w:sz w:val="19"/>
                <w:szCs w:val="19"/>
                <w:spacing w:val="-10"/>
              </w:rPr>
              <w:t>0.00</w:t>
            </w:r>
          </w:p>
        </w:tc>
        <w:tc>
          <w:tcPr>
            <w:tcW w:w="1063" w:type="dxa"/>
            <w:vAlign w:val="top"/>
          </w:tcPr>
          <w:p>
            <w:pPr>
              <w:pStyle w:val="TableText"/>
              <w:ind w:right="12"/>
              <w:spacing w:before="61" w:line="236" w:lineRule="auto"/>
              <w:jc w:val="right"/>
              <w:rPr>
                <w:sz w:val="19"/>
                <w:szCs w:val="19"/>
              </w:rPr>
            </w:pPr>
            <w:r>
              <w:rPr>
                <w:sz w:val="19"/>
                <w:szCs w:val="19"/>
                <w:spacing w:val="-10"/>
              </w:rPr>
              <w:t>0.00</w:t>
            </w:r>
          </w:p>
        </w:tc>
        <w:tc>
          <w:tcPr>
            <w:tcW w:w="975" w:type="dxa"/>
            <w:vAlign w:val="top"/>
          </w:tcPr>
          <w:p>
            <w:pPr>
              <w:pStyle w:val="TableText"/>
              <w:ind w:right="10"/>
              <w:spacing w:before="61" w:line="236" w:lineRule="auto"/>
              <w:jc w:val="right"/>
              <w:rPr>
                <w:sz w:val="19"/>
                <w:szCs w:val="19"/>
              </w:rPr>
            </w:pPr>
            <w:r>
              <w:rPr>
                <w:sz w:val="19"/>
                <w:szCs w:val="19"/>
                <w:spacing w:val="-10"/>
              </w:rPr>
              <w:t>0.00</w:t>
            </w:r>
          </w:p>
        </w:tc>
        <w:tc>
          <w:tcPr>
            <w:tcW w:w="714" w:type="dxa"/>
            <w:vAlign w:val="top"/>
          </w:tcPr>
          <w:p>
            <w:pPr>
              <w:pStyle w:val="TableText"/>
              <w:ind w:right="11"/>
              <w:spacing w:before="61" w:line="236" w:lineRule="auto"/>
              <w:jc w:val="right"/>
              <w:rPr>
                <w:sz w:val="19"/>
                <w:szCs w:val="19"/>
              </w:rPr>
            </w:pPr>
            <w:r>
              <w:rPr>
                <w:sz w:val="19"/>
                <w:szCs w:val="19"/>
                <w:spacing w:val="-15"/>
              </w:rPr>
              <w:t>1.85</w:t>
            </w:r>
          </w:p>
        </w:tc>
        <w:tc>
          <w:tcPr>
            <w:tcW w:w="1013" w:type="dxa"/>
            <w:vAlign w:val="top"/>
          </w:tcPr>
          <w:p>
            <w:pPr>
              <w:pStyle w:val="TableText"/>
              <w:ind w:right="9"/>
              <w:spacing w:before="61" w:line="236" w:lineRule="auto"/>
              <w:jc w:val="right"/>
              <w:rPr>
                <w:sz w:val="19"/>
                <w:szCs w:val="19"/>
              </w:rPr>
            </w:pPr>
            <w:r>
              <w:rPr>
                <w:sz w:val="19"/>
                <w:szCs w:val="19"/>
                <w:spacing w:val="-10"/>
              </w:rPr>
              <w:t>0.50</w:t>
            </w:r>
          </w:p>
        </w:tc>
        <w:tc>
          <w:tcPr>
            <w:tcW w:w="876" w:type="dxa"/>
            <w:vAlign w:val="top"/>
          </w:tcPr>
          <w:p>
            <w:pPr>
              <w:pStyle w:val="TableText"/>
              <w:ind w:right="9"/>
              <w:spacing w:before="61" w:line="236" w:lineRule="auto"/>
              <w:jc w:val="right"/>
              <w:rPr>
                <w:sz w:val="19"/>
                <w:szCs w:val="19"/>
              </w:rPr>
            </w:pPr>
            <w:r>
              <w:rPr>
                <w:sz w:val="19"/>
                <w:szCs w:val="19"/>
                <w:spacing w:val="-15"/>
              </w:rPr>
              <w:t>1.35</w:t>
            </w:r>
          </w:p>
        </w:tc>
        <w:tc>
          <w:tcPr>
            <w:tcW w:w="764" w:type="dxa"/>
            <w:vAlign w:val="top"/>
          </w:tcPr>
          <w:p>
            <w:pPr>
              <w:pStyle w:val="TableText"/>
              <w:ind w:right="8"/>
              <w:spacing w:before="61" w:line="236" w:lineRule="auto"/>
              <w:jc w:val="right"/>
              <w:rPr>
                <w:sz w:val="19"/>
                <w:szCs w:val="19"/>
              </w:rPr>
            </w:pPr>
            <w:r>
              <w:rPr>
                <w:sz w:val="19"/>
                <w:szCs w:val="19"/>
                <w:spacing w:val="-8"/>
              </w:rPr>
              <w:t>63.06</w:t>
            </w:r>
          </w:p>
        </w:tc>
        <w:tc>
          <w:tcPr>
            <w:tcW w:w="1026" w:type="dxa"/>
            <w:vAlign w:val="top"/>
          </w:tcPr>
          <w:p>
            <w:pPr>
              <w:pStyle w:val="TableText"/>
              <w:ind w:right="6"/>
              <w:spacing w:before="61" w:line="236" w:lineRule="auto"/>
              <w:jc w:val="right"/>
              <w:rPr>
                <w:sz w:val="19"/>
                <w:szCs w:val="19"/>
              </w:rPr>
            </w:pPr>
            <w:r>
              <w:rPr>
                <w:sz w:val="19"/>
                <w:szCs w:val="19"/>
                <w:spacing w:val="-8"/>
              </w:rPr>
              <w:t>50.44</w:t>
            </w:r>
          </w:p>
        </w:tc>
        <w:tc>
          <w:tcPr>
            <w:tcW w:w="1089" w:type="dxa"/>
            <w:vAlign w:val="top"/>
            <w:tcBorders>
              <w:right w:val="single" w:color="000000" w:sz="6" w:space="0"/>
            </w:tcBorders>
          </w:tcPr>
          <w:p>
            <w:pPr>
              <w:pStyle w:val="TableText"/>
              <w:ind w:right="13"/>
              <w:spacing w:before="61" w:line="236" w:lineRule="auto"/>
              <w:jc w:val="right"/>
              <w:rPr>
                <w:sz w:val="19"/>
                <w:szCs w:val="19"/>
              </w:rPr>
            </w:pPr>
            <w:r>
              <w:rPr>
                <w:sz w:val="19"/>
                <w:szCs w:val="19"/>
                <w:spacing w:val="-11"/>
              </w:rPr>
              <w:t>12.62</w:t>
            </w:r>
          </w:p>
        </w:tc>
      </w:tr>
      <w:tr>
        <w:trPr>
          <w:trHeight w:val="492" w:hRule="atLeast"/>
        </w:trPr>
        <w:tc>
          <w:tcPr>
            <w:tcW w:w="13887" w:type="dxa"/>
            <w:vAlign w:val="top"/>
            <w:gridSpan w:val="15"/>
            <w:tcBorders>
              <w:left w:val="single" w:color="000000" w:sz="6" w:space="0"/>
              <w:bottom w:val="single" w:color="000000" w:sz="6" w:space="0"/>
              <w:right w:val="single" w:color="000000" w:sz="6" w:space="0"/>
            </w:tcBorders>
          </w:tcPr>
          <w:p>
            <w:pPr>
              <w:pStyle w:val="TableText"/>
              <w:ind w:left="12"/>
              <w:spacing w:before="30" w:line="233" w:lineRule="auto"/>
              <w:rPr>
                <w:sz w:val="19"/>
                <w:szCs w:val="19"/>
              </w:rPr>
            </w:pPr>
            <w:r>
              <w:rPr>
                <w:sz w:val="19"/>
                <w:szCs w:val="19"/>
                <w:spacing w:val="8"/>
              </w:rPr>
              <w:t>说明：1.截至发文日期，未接到自治区下达市本级2021年政府债务限额，2020</w:t>
            </w:r>
            <w:r>
              <w:rPr>
                <w:sz w:val="19"/>
                <w:szCs w:val="19"/>
                <w:spacing w:val="-36"/>
              </w:rPr>
              <w:t xml:space="preserve"> </w:t>
            </w:r>
            <w:r>
              <w:rPr>
                <w:sz w:val="19"/>
                <w:szCs w:val="19"/>
                <w:spacing w:val="8"/>
              </w:rPr>
              <w:t>年政府债务限</w:t>
            </w:r>
            <w:r>
              <w:rPr>
                <w:sz w:val="19"/>
                <w:szCs w:val="19"/>
                <w:spacing w:val="7"/>
              </w:rPr>
              <w:t>额为</w:t>
            </w:r>
            <w:r>
              <w:rPr>
                <w:sz w:val="19"/>
                <w:szCs w:val="19"/>
                <w:spacing w:val="-38"/>
              </w:rPr>
              <w:t xml:space="preserve"> </w:t>
            </w:r>
            <w:r>
              <w:rPr>
                <w:sz w:val="19"/>
                <w:szCs w:val="19"/>
                <w:spacing w:val="7"/>
              </w:rPr>
              <w:t>73.17</w:t>
            </w:r>
            <w:r>
              <w:rPr>
                <w:sz w:val="19"/>
                <w:szCs w:val="19"/>
                <w:spacing w:val="-43"/>
              </w:rPr>
              <w:t xml:space="preserve"> </w:t>
            </w:r>
            <w:r>
              <w:rPr>
                <w:sz w:val="19"/>
                <w:szCs w:val="19"/>
                <w:spacing w:val="7"/>
              </w:rPr>
              <w:t>亿元；</w:t>
            </w:r>
          </w:p>
          <w:p>
            <w:pPr>
              <w:pStyle w:val="TableText"/>
              <w:ind w:left="615"/>
              <w:spacing w:line="205" w:lineRule="auto"/>
              <w:rPr>
                <w:sz w:val="19"/>
                <w:szCs w:val="19"/>
              </w:rPr>
            </w:pPr>
            <w:r>
              <w:rPr>
                <w:sz w:val="19"/>
                <w:szCs w:val="19"/>
                <w:spacing w:val="10"/>
              </w:rPr>
              <w:t>2.截至发文日期，未接到自治区下达市本级2021年新增政府债券资</w:t>
            </w:r>
            <w:r>
              <w:rPr>
                <w:sz w:val="19"/>
                <w:szCs w:val="19"/>
                <w:spacing w:val="9"/>
              </w:rPr>
              <w:t>金。</w:t>
            </w:r>
          </w:p>
        </w:tc>
      </w:tr>
    </w:tbl>
    <w:p>
      <w:pPr>
        <w:spacing w:line="137" w:lineRule="exact"/>
        <w:rPr>
          <w:rFonts w:ascii="Arial"/>
          <w:sz w:val="11"/>
        </w:rPr>
      </w:pPr>
      <w:r/>
    </w:p>
    <w:p>
      <w:pPr>
        <w:spacing w:line="137" w:lineRule="exact"/>
        <w:sectPr>
          <w:headerReference w:type="default" r:id="rId147"/>
          <w:footerReference w:type="default" r:id="rId148"/>
          <w:pgSz w:w="16839" w:h="11906"/>
          <w:pgMar w:top="1792" w:right="1468" w:bottom="1671" w:left="1467" w:header="1428" w:footer="1277" w:gutter="0"/>
        </w:sectPr>
        <w:rPr>
          <w:rFonts w:ascii="Arial" w:hAnsi="Arial" w:eastAsia="Arial" w:cs="Arial"/>
          <w:sz w:val="11"/>
          <w:szCs w:val="11"/>
        </w:rPr>
      </w:pPr>
    </w:p>
    <w:p>
      <w:pPr>
        <w:spacing w:line="353" w:lineRule="auto"/>
        <w:rPr>
          <w:rFonts w:ascii="Arial"/>
          <w:sz w:val="21"/>
        </w:rPr>
      </w:pPr>
      <w:r>
        <w:drawing>
          <wp:anchor distT="0" distB="0" distL="0" distR="0" simplePos="0" relativeHeight="251744256" behindDoc="0" locked="0" layoutInCell="1" allowOverlap="1">
            <wp:simplePos x="0" y="0"/>
            <wp:positionH relativeFrom="column">
              <wp:posOffset>5393</wp:posOffset>
            </wp:positionH>
            <wp:positionV relativeFrom="paragraph">
              <wp:posOffset>26072</wp:posOffset>
            </wp:positionV>
            <wp:extent cx="5579745" cy="7619"/>
            <wp:effectExtent l="0" t="0" r="0" b="0"/>
            <wp:wrapNone/>
            <wp:docPr id="300" name="IM 300"/>
            <wp:cNvGraphicFramePr/>
            <a:graphic>
              <a:graphicData uri="http://schemas.openxmlformats.org/drawingml/2006/picture">
                <pic:pic>
                  <pic:nvPicPr>
                    <pic:cNvPr id="300" name="IM 300"/>
                    <pic:cNvPicPr/>
                  </pic:nvPicPr>
                  <pic:blipFill>
                    <a:blip r:embed="rId152"/>
                    <a:stretch>
                      <a:fillRect/>
                    </a:stretch>
                  </pic:blipFill>
                  <pic:spPr>
                    <a:xfrm rot="0">
                      <a:off x="0" y="0"/>
                      <a:ext cx="5579745" cy="7619"/>
                    </a:xfrm>
                    <a:prstGeom prst="rect">
                      <a:avLst/>
                    </a:prstGeom>
                  </pic:spPr>
                </pic:pic>
              </a:graphicData>
            </a:graphic>
          </wp:anchor>
        </w:drawing>
      </w:r>
      <w:r/>
    </w:p>
    <w:p>
      <w:pPr>
        <w:spacing w:line="353" w:lineRule="auto"/>
        <w:rPr>
          <w:rFonts w:ascii="Arial"/>
          <w:sz w:val="21"/>
        </w:rPr>
      </w:pPr>
      <w:r/>
    </w:p>
    <w:p>
      <w:pPr>
        <w:ind w:left="1982"/>
        <w:spacing w:before="184" w:line="186"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7"/>
        </w:rPr>
        <w:t>固原市人民政府关于印发</w:t>
      </w:r>
    </w:p>
    <w:p>
      <w:pPr>
        <w:ind w:left="171"/>
        <w:spacing w:before="6" w:line="195"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11"/>
        </w:rPr>
        <w:t>《固原市国民经济和社会发展第十四个五年</w:t>
      </w:r>
    </w:p>
    <w:p>
      <w:pPr>
        <w:ind w:left="747"/>
        <w:spacing w:before="2" w:line="215"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7"/>
        </w:rPr>
        <w:t>规划和 </w:t>
      </w:r>
      <w:r>
        <w:rPr>
          <w:rFonts w:ascii="Times New Roman" w:hAnsi="Times New Roman" w:eastAsia="Times New Roman" w:cs="Times New Roman"/>
          <w:sz w:val="43"/>
          <w:szCs w:val="43"/>
          <w:spacing w:val="7"/>
        </w:rPr>
        <w:t>2035 </w:t>
      </w:r>
      <w:r>
        <w:rPr>
          <w:rFonts w:ascii="Microsoft YaHei" w:hAnsi="Microsoft YaHei" w:eastAsia="Microsoft YaHei" w:cs="Microsoft YaHei"/>
          <w:sz w:val="43"/>
          <w:szCs w:val="43"/>
          <w:spacing w:val="7"/>
        </w:rPr>
        <w:t>年远景目标纲要》的通知</w:t>
      </w:r>
    </w:p>
    <w:p>
      <w:pPr>
        <w:pStyle w:val="BodyText"/>
        <w:ind w:left="6605"/>
        <w:spacing w:before="192" w:line="279" w:lineRule="exact"/>
        <w:rPr/>
      </w:pPr>
      <w:r>
        <w:rPr>
          <w:spacing w:val="5"/>
          <w:position w:val="1"/>
        </w:rPr>
        <w:t>固政发〔</w:t>
      </w:r>
      <w:r>
        <w:rPr>
          <w:rFonts w:ascii="Times New Roman" w:hAnsi="Times New Roman" w:eastAsia="Times New Roman" w:cs="Times New Roman"/>
          <w:spacing w:val="5"/>
          <w:position w:val="1"/>
        </w:rPr>
        <w:t>2021</w:t>
      </w:r>
      <w:r>
        <w:rPr>
          <w:spacing w:val="5"/>
          <w:position w:val="1"/>
        </w:rPr>
        <w:t>〕</w:t>
      </w:r>
      <w:r>
        <w:rPr>
          <w:rFonts w:ascii="Times New Roman" w:hAnsi="Times New Roman" w:eastAsia="Times New Roman" w:cs="Times New Roman"/>
          <w:spacing w:val="5"/>
          <w:position w:val="1"/>
        </w:rPr>
        <w:t>9 </w:t>
      </w:r>
      <w:r>
        <w:rPr>
          <w:spacing w:val="5"/>
          <w:position w:val="1"/>
        </w:rPr>
        <w:t>号</w:t>
      </w:r>
    </w:p>
    <w:p>
      <w:pPr>
        <w:spacing w:line="355" w:lineRule="auto"/>
        <w:rPr>
          <w:rFonts w:ascii="Arial"/>
          <w:sz w:val="21"/>
        </w:rPr>
      </w:pPr>
      <w:r/>
    </w:p>
    <w:p>
      <w:pPr>
        <w:pStyle w:val="BodyText"/>
        <w:ind w:left="13"/>
        <w:spacing w:before="65" w:line="277" w:lineRule="exact"/>
        <w:rPr/>
      </w:pPr>
      <w:r>
        <w:rPr>
          <w:spacing w:val="7"/>
          <w:position w:val="1"/>
        </w:rPr>
        <w:t>各县（</w:t>
      </w:r>
      <w:r>
        <w:rPr>
          <w:spacing w:val="-37"/>
          <w:position w:val="1"/>
        </w:rPr>
        <w:t xml:space="preserve"> </w:t>
      </w:r>
      <w:r>
        <w:rPr>
          <w:spacing w:val="7"/>
          <w:position w:val="1"/>
        </w:rPr>
        <w:t>区）人民政府，市政府各部门、派出机构、事业单位：</w:t>
      </w:r>
    </w:p>
    <w:p>
      <w:pPr>
        <w:pStyle w:val="BodyText"/>
        <w:ind w:left="12" w:right="57" w:firstLine="404"/>
        <w:spacing w:before="102" w:line="333" w:lineRule="auto"/>
        <w:rPr/>
      </w:pPr>
      <w:r>
        <w:rPr>
          <w:spacing w:val="10"/>
        </w:rPr>
        <w:t>《固原市国民经济和社会发展第十四个五年规划和</w:t>
      </w:r>
      <w:r>
        <w:rPr>
          <w:spacing w:val="-43"/>
        </w:rPr>
        <w:t xml:space="preserve"> </w:t>
      </w:r>
      <w:r>
        <w:rPr>
          <w:rFonts w:ascii="Times New Roman" w:hAnsi="Times New Roman" w:eastAsia="Times New Roman" w:cs="Times New Roman"/>
          <w:spacing w:val="10"/>
        </w:rPr>
        <w:t>2035 </w:t>
      </w:r>
      <w:r>
        <w:rPr>
          <w:spacing w:val="10"/>
        </w:rPr>
        <w:t>年远景目标纲要》</w:t>
      </w:r>
      <w:r>
        <w:rPr>
          <w:spacing w:val="9"/>
        </w:rPr>
        <w:t>已经固原市四届</w:t>
      </w:r>
      <w:r>
        <w:rPr>
          <w:spacing w:val="9"/>
        </w:rPr>
        <w:t>人大五次会议审议通过，现予以印发，请认真抓好贯彻执行。</w:t>
      </w:r>
    </w:p>
    <w:p>
      <w:pPr>
        <w:spacing w:line="356" w:lineRule="auto"/>
        <w:rPr>
          <w:rFonts w:ascii="Arial"/>
          <w:sz w:val="21"/>
        </w:rPr>
      </w:pPr>
      <w:r/>
    </w:p>
    <w:p>
      <w:pPr>
        <w:pStyle w:val="BodyText"/>
        <w:ind w:left="7186"/>
        <w:spacing w:before="65" w:line="218" w:lineRule="auto"/>
        <w:rPr/>
      </w:pPr>
      <w:r>
        <w:rPr>
          <w:spacing w:val="6"/>
        </w:rPr>
        <w:t>固原市人民政府</w:t>
      </w:r>
    </w:p>
    <w:p>
      <w:pPr>
        <w:pStyle w:val="BodyText"/>
        <w:ind w:right="17"/>
        <w:spacing w:before="143" w:line="218" w:lineRule="auto"/>
        <w:jc w:val="right"/>
        <w:rPr/>
      </w:pPr>
      <w:r>
        <w:rPr>
          <w:rFonts w:ascii="Times New Roman" w:hAnsi="Times New Roman" w:eastAsia="Times New Roman" w:cs="Times New Roman"/>
          <w:spacing w:val="2"/>
        </w:rPr>
        <w:t>2021 </w:t>
      </w:r>
      <w:r>
        <w:rPr>
          <w:spacing w:val="2"/>
        </w:rPr>
        <w:t>年</w:t>
      </w:r>
      <w:r>
        <w:rPr>
          <w:spacing w:val="-35"/>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11"/>
        </w:rPr>
        <w:t xml:space="preserve"> </w:t>
      </w:r>
      <w:r>
        <w:rPr>
          <w:spacing w:val="2"/>
        </w:rPr>
        <w:t>月</w:t>
      </w:r>
      <w:r>
        <w:rPr>
          <w:spacing w:val="-43"/>
        </w:rPr>
        <w:t xml:space="preserve"> </w:t>
      </w:r>
      <w:r>
        <w:rPr>
          <w:rFonts w:ascii="Times New Roman" w:hAnsi="Times New Roman" w:eastAsia="Times New Roman" w:cs="Times New Roman"/>
          <w:spacing w:val="2"/>
        </w:rPr>
        <w:t>22  </w:t>
      </w:r>
      <w:r>
        <w:rPr>
          <w:spacing w:val="2"/>
        </w:rPr>
        <w:t>日</w:t>
      </w:r>
    </w:p>
    <w:p>
      <w:pPr>
        <w:pStyle w:val="BodyText"/>
        <w:ind w:left="424"/>
        <w:spacing w:before="140" w:line="277" w:lineRule="exact"/>
        <w:rPr/>
      </w:pPr>
      <w:r>
        <w:rPr>
          <w:spacing w:val="10"/>
          <w:position w:val="1"/>
        </w:rPr>
        <w:t>（此件公开发布）</w:t>
      </w:r>
    </w:p>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ind w:left="1761"/>
        <w:spacing w:before="184" w:line="187"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7"/>
        </w:rPr>
        <w:t>固原市国民经济和社会发展</w:t>
      </w:r>
    </w:p>
    <w:p>
      <w:pPr>
        <w:ind w:left="313"/>
        <w:spacing w:before="106" w:line="216"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7"/>
        </w:rPr>
        <w:t>第十四个五年规划和 </w:t>
      </w:r>
      <w:r>
        <w:rPr>
          <w:rFonts w:ascii="Times New Roman" w:hAnsi="Times New Roman" w:eastAsia="Times New Roman" w:cs="Times New Roman"/>
          <w:sz w:val="43"/>
          <w:szCs w:val="43"/>
          <w:spacing w:val="7"/>
        </w:rPr>
        <w:t>2035 </w:t>
      </w:r>
      <w:r>
        <w:rPr>
          <w:rFonts w:ascii="Microsoft YaHei" w:hAnsi="Microsoft YaHei" w:eastAsia="Microsoft YaHei" w:cs="Microsoft YaHei"/>
          <w:sz w:val="43"/>
          <w:szCs w:val="43"/>
          <w:spacing w:val="7"/>
        </w:rPr>
        <w:t>年远景目标纲要</w:t>
      </w:r>
    </w:p>
    <w:p>
      <w:pPr>
        <w:spacing w:before="161"/>
        <w:rPr/>
      </w:pPr>
      <w:r/>
    </w:p>
    <w:p>
      <w:pPr>
        <w:sectPr>
          <w:headerReference w:type="default" r:id="rId150"/>
          <w:footerReference w:type="default" r:id="rId151"/>
          <w:pgSz w:w="11906" w:h="16839"/>
          <w:pgMar w:top="1793" w:right="1530" w:bottom="1258" w:left="1579" w:header="1428" w:footer="860" w:gutter="0"/>
          <w:cols w:equalWidth="0" w:num="1">
            <w:col w:w="8796" w:space="0"/>
          </w:cols>
        </w:sectPr>
        <w:rPr/>
      </w:pPr>
    </w:p>
    <w:p>
      <w:pPr>
        <w:ind w:left="1777"/>
        <w:spacing w:before="262" w:line="180"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rPr>
        <w:t>前</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rPr>
        <w:t>言</w:t>
      </w:r>
    </w:p>
    <w:p>
      <w:pPr>
        <w:spacing w:line="329" w:lineRule="auto"/>
        <w:rPr>
          <w:rFonts w:ascii="Arial"/>
          <w:sz w:val="21"/>
        </w:rPr>
      </w:pPr>
      <w:r/>
    </w:p>
    <w:p>
      <w:pPr>
        <w:pStyle w:val="BodyText"/>
        <w:ind w:left="12" w:right="248" w:firstLine="421"/>
        <w:spacing w:before="66" w:line="386" w:lineRule="auto"/>
        <w:jc w:val="both"/>
        <w:rPr/>
      </w:pPr>
      <w:r>
        <w:rPr/>
        <w:t>“十四五”时期，是固原市决战脱贫攻坚、</w:t>
      </w:r>
      <w:r>
        <w:rPr>
          <w:spacing w:val="7"/>
        </w:rPr>
        <w:t>决胜全面建成小康社会目标实现之后，乘势而</w:t>
      </w:r>
      <w:r>
        <w:rPr>
          <w:spacing w:val="18"/>
        </w:rPr>
        <w:t>上开启全面建设社会主义现代化新征程的第</w:t>
      </w:r>
      <w:r>
        <w:rPr>
          <w:spacing w:val="7"/>
        </w:rPr>
        <w:t>一个五年，也是奋力谱写建设黄河流域生态保</w:t>
      </w:r>
      <w:r>
        <w:rPr>
          <w:spacing w:val="10"/>
        </w:rPr>
        <w:t>护和高质量发展先行区，继续建设经济繁荣、</w:t>
      </w:r>
      <w:r>
        <w:rPr>
          <w:spacing w:val="7"/>
        </w:rPr>
        <w:t>民族团结、环境优美、人民富裕美丽新宁夏固</w:t>
      </w:r>
      <w:r>
        <w:rPr>
          <w:spacing w:val="7"/>
        </w:rPr>
        <w:t>原篇章的关键五年。《固原市国民经济和社会</w:t>
      </w:r>
      <w:r>
        <w:rPr>
          <w:spacing w:val="10"/>
        </w:rPr>
        <w:t>发展第十四个五年规划和</w:t>
      </w:r>
      <w:r>
        <w:rPr>
          <w:spacing w:val="-29"/>
        </w:rPr>
        <w:t xml:space="preserve"> </w:t>
      </w:r>
      <w:r>
        <w:rPr>
          <w:spacing w:val="10"/>
        </w:rPr>
        <w:t>2035</w:t>
      </w:r>
      <w:r>
        <w:rPr>
          <w:spacing w:val="-34"/>
        </w:rPr>
        <w:t xml:space="preserve"> </w:t>
      </w:r>
      <w:r>
        <w:rPr>
          <w:spacing w:val="10"/>
        </w:rPr>
        <w:t>年远景目标纲</w:t>
      </w:r>
    </w:p>
    <w:p>
      <w:pPr>
        <w:spacing w:line="14" w:lineRule="auto"/>
        <w:rPr>
          <w:rFonts w:ascii="Arial"/>
          <w:sz w:val="2"/>
        </w:rPr>
      </w:pPr>
      <w:r>
        <w:rPr>
          <w:rFonts w:ascii="Arial" w:hAnsi="Arial" w:eastAsia="Arial" w:cs="Arial"/>
          <w:sz w:val="2"/>
          <w:szCs w:val="2"/>
        </w:rPr>
        <w:br w:type="column"/>
      </w:r>
    </w:p>
    <w:p>
      <w:pPr>
        <w:pStyle w:val="BodyText"/>
        <w:ind w:right="59"/>
        <w:spacing w:before="40" w:line="397" w:lineRule="auto"/>
        <w:jc w:val="both"/>
        <w:rPr/>
      </w:pPr>
      <w:r>
        <w:rPr>
          <w:spacing w:val="-3"/>
        </w:rPr>
        <w:t>要》（以下简称《纲要》）依据《中共固原市委</w:t>
      </w:r>
      <w:r>
        <w:rPr>
          <w:spacing w:val="18"/>
        </w:rPr>
        <w:t>员会关于制定国民经济和社会发展第十四个</w:t>
      </w:r>
      <w:r>
        <w:rPr>
          <w:spacing w:val="18"/>
        </w:rPr>
        <w:t>五年规划和二〇三五年远景目标的建议》编</w:t>
      </w:r>
      <w:r>
        <w:rPr>
          <w:spacing w:val="7"/>
        </w:rPr>
        <w:t>制，主要阐明市委、市政府战略意图，明确未</w:t>
      </w:r>
      <w:r>
        <w:rPr>
          <w:spacing w:val="7"/>
        </w:rPr>
        <w:t>来五年全市经济社会发展的宏伟目标、主要任</w:t>
      </w:r>
      <w:r>
        <w:rPr>
          <w:spacing w:val="5"/>
        </w:rPr>
        <w:t>务和重大举措，展望二〇三五年远景目标。《</w:t>
      </w:r>
      <w:r>
        <w:rPr>
          <w:spacing w:val="7"/>
        </w:rPr>
        <w:t>纲要》是政府履行职责的重要依据和市场主体</w:t>
      </w:r>
      <w:r>
        <w:rPr>
          <w:spacing w:val="-8"/>
        </w:rPr>
        <w:t>的行为导向，是我市各族人民共同奋斗的行动纲</w:t>
      </w:r>
    </w:p>
    <w:p>
      <w:pPr>
        <w:pStyle w:val="BodyText"/>
        <w:ind w:left="82"/>
        <w:spacing w:before="81" w:line="182" w:lineRule="auto"/>
        <w:outlineLvl w:val="0"/>
        <w:rPr>
          <w:rFonts w:ascii="Microsoft YaHei" w:hAnsi="Microsoft YaHei" w:eastAsia="Microsoft YaHei" w:cs="Microsoft YaHei"/>
        </w:rPr>
      </w:pPr>
      <w:r>
        <w:rPr>
          <w:spacing w:val="7"/>
        </w:rPr>
        <w:t>领。</w:t>
      </w:r>
      <w:r>
        <w:rPr>
          <w:rFonts w:ascii="Microsoft YaHei" w:hAnsi="Microsoft YaHei" w:eastAsia="Microsoft YaHei" w:cs="Microsoft YaHei"/>
          <w:spacing w:val="7"/>
        </w:rPr>
        <w:t>第一章</w:t>
      </w:r>
      <w:r>
        <w:rPr>
          <w:rFonts w:ascii="Microsoft YaHei" w:hAnsi="Microsoft YaHei" w:eastAsia="Microsoft YaHei" w:cs="Microsoft YaHei"/>
          <w:spacing w:val="13"/>
        </w:rPr>
        <w:t xml:space="preserve">   </w:t>
      </w:r>
      <w:r>
        <w:rPr>
          <w:rFonts w:ascii="Microsoft YaHei" w:hAnsi="Microsoft YaHei" w:eastAsia="Microsoft YaHei" w:cs="Microsoft YaHei"/>
          <w:spacing w:val="7"/>
        </w:rPr>
        <w:t>全面建成小康社会</w:t>
      </w:r>
      <w:r>
        <w:rPr>
          <w:rFonts w:ascii="Microsoft YaHei" w:hAnsi="Microsoft YaHei" w:eastAsia="Microsoft YaHei" w:cs="Microsoft YaHei"/>
          <w:spacing w:val="14"/>
          <w:w w:val="101"/>
        </w:rPr>
        <w:t xml:space="preserve">   </w:t>
      </w:r>
      <w:r>
        <w:rPr>
          <w:rFonts w:ascii="Microsoft YaHei" w:hAnsi="Microsoft YaHei" w:eastAsia="Microsoft YaHei" w:cs="Microsoft YaHei"/>
          <w:spacing w:val="7"/>
        </w:rPr>
        <w:t>乘势而上</w:t>
      </w:r>
    </w:p>
    <w:p>
      <w:pPr>
        <w:ind w:left="976"/>
        <w:spacing w:before="137" w:line="182" w:lineRule="auto"/>
        <w:outlineLvl w:val="0"/>
        <w:rPr>
          <w:rFonts w:ascii="Microsoft YaHei" w:hAnsi="Microsoft YaHei" w:eastAsia="Microsoft YaHei" w:cs="Microsoft YaHei"/>
          <w:sz w:val="20"/>
          <w:szCs w:val="20"/>
        </w:rPr>
      </w:pPr>
      <w:r>
        <w:pict>
          <v:shape id="_x0000_s2" style="position:absolute;margin-left:3.53482pt;margin-top:11.4027pt;mso-position-vertical-relative:text;mso-position-horizontal-relative:text;width:22.25pt;height:14.75pt;z-index:251745280;" filled="false" stroked="false" type="#_x0000_t202">
            <v:fill on="false"/>
            <v:stroke on="false"/>
            <v:path/>
            <v:imagedata o:title=""/>
            <o:lock v:ext="edit" aspectratio="false"/>
            <v:textbox inset="0mm,0mm,0mm,0mm">
              <w:txbxContent>
                <w:p>
                  <w:pPr>
                    <w:ind w:left="20"/>
                    <w:spacing w:before="20" w:line="17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开启</w:t>
                  </w:r>
                </w:p>
              </w:txbxContent>
            </v:textbox>
          </v:shape>
        </w:pict>
      </w:r>
      <w:r>
        <w:rPr>
          <w:rFonts w:ascii="Microsoft YaHei" w:hAnsi="Microsoft YaHei" w:eastAsia="Microsoft YaHei" w:cs="Microsoft YaHei"/>
          <w:sz w:val="20"/>
          <w:szCs w:val="20"/>
          <w:spacing w:val="18"/>
        </w:rPr>
        <w:t>全面建设社会主义现代化新征程</w:t>
      </w:r>
    </w:p>
    <w:p>
      <w:pPr>
        <w:spacing w:line="182" w:lineRule="auto"/>
        <w:sectPr>
          <w:type w:val="continuous"/>
          <w:pgSz w:w="11906" w:h="16839"/>
          <w:pgMar w:top="1793" w:right="1530" w:bottom="1258" w:left="1579" w:header="1428" w:footer="860" w:gutter="0"/>
          <w:cols w:equalWidth="0" w:num="2">
            <w:col w:w="4488" w:space="100"/>
            <w:col w:w="4208" w:space="0"/>
          </w:cols>
        </w:sectPr>
        <w:rPr>
          <w:rFonts w:ascii="Microsoft YaHei" w:hAnsi="Microsoft YaHei" w:eastAsia="Microsoft YaHei" w:cs="Microsoft YaHei"/>
          <w:sz w:val="20"/>
          <w:szCs w:val="20"/>
        </w:rPr>
      </w:pPr>
    </w:p>
    <w:p>
      <w:pPr>
        <w:spacing w:before="20"/>
        <w:rPr/>
      </w:pPr>
      <w:r>
        <w:drawing>
          <wp:anchor distT="0" distB="0" distL="0" distR="0" simplePos="0" relativeHeight="251746304"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306" name="IM 306"/>
            <wp:cNvGraphicFramePr/>
            <a:graphic>
              <a:graphicData uri="http://schemas.openxmlformats.org/drawingml/2006/picture">
                <pic:pic>
                  <pic:nvPicPr>
                    <pic:cNvPr id="306" name="IM 306"/>
                    <pic:cNvPicPr/>
                  </pic:nvPicPr>
                  <pic:blipFill>
                    <a:blip r:embed="rId155"/>
                    <a:stretch>
                      <a:fillRect/>
                    </a:stretch>
                  </pic:blipFill>
                  <pic:spPr>
                    <a:xfrm rot="0">
                      <a:off x="0" y="0"/>
                      <a:ext cx="5579745" cy="7619"/>
                    </a:xfrm>
                    <a:prstGeom prst="rect">
                      <a:avLst/>
                    </a:prstGeom>
                  </pic:spPr>
                </pic:pic>
              </a:graphicData>
            </a:graphic>
          </wp:anchor>
        </w:drawing>
      </w:r>
      <w:r/>
    </w:p>
    <w:p>
      <w:pPr>
        <w:sectPr>
          <w:headerReference w:type="default" r:id="rId153"/>
          <w:footerReference w:type="default" r:id="rId154"/>
          <w:pgSz w:w="11906" w:h="16839"/>
          <w:pgMar w:top="1793" w:right="1489" w:bottom="1672" w:left="1560" w:header="1428" w:footer="1277" w:gutter="0"/>
          <w:cols w:equalWidth="0" w:num="1">
            <w:col w:w="8857" w:space="0"/>
          </w:cols>
        </w:sectPr>
        <w:rPr/>
      </w:pPr>
    </w:p>
    <w:p>
      <w:pPr>
        <w:pStyle w:val="BodyText"/>
        <w:ind w:left="427"/>
        <w:spacing w:before="40" w:line="223" w:lineRule="auto"/>
        <w:outlineLvl w:val="0"/>
        <w:rPr/>
      </w:pPr>
      <w:r>
        <w:rPr>
          <w:b/>
          <w:bCs/>
          <w:spacing w:val="7"/>
        </w:rPr>
        <w:t>第一节</w:t>
      </w:r>
      <w:r>
        <w:rPr>
          <w:spacing w:val="7"/>
        </w:rPr>
        <w:t xml:space="preserve">  </w:t>
      </w:r>
      <w:r>
        <w:rPr>
          <w:b/>
          <w:bCs/>
          <w:spacing w:val="7"/>
        </w:rPr>
        <w:t>决战脱贫攻坚决胜全面建成</w:t>
      </w:r>
    </w:p>
    <w:p>
      <w:pPr>
        <w:pStyle w:val="BodyText"/>
        <w:ind w:left="1171"/>
        <w:spacing w:before="119" w:line="222" w:lineRule="auto"/>
        <w:outlineLvl w:val="0"/>
        <w:rPr/>
      </w:pPr>
      <w:r>
        <w:rPr>
          <w:b/>
          <w:bCs/>
          <w:spacing w:val="24"/>
        </w:rPr>
        <w:t>小康社会取得决定性成就</w:t>
      </w:r>
    </w:p>
    <w:p>
      <w:pPr>
        <w:spacing w:line="324" w:lineRule="auto"/>
        <w:rPr>
          <w:rFonts w:ascii="Arial"/>
          <w:sz w:val="21"/>
        </w:rPr>
      </w:pPr>
      <w:r/>
    </w:p>
    <w:p>
      <w:pPr>
        <w:pStyle w:val="BodyText"/>
        <w:ind w:left="453"/>
        <w:spacing w:before="65" w:line="221" w:lineRule="auto"/>
        <w:rPr/>
      </w:pPr>
      <w:r>
        <w:rPr>
          <w:spacing w:val="9"/>
        </w:rPr>
        <w:t>“十三五”时期是固原脱贫攻坚决战期、</w:t>
      </w:r>
    </w:p>
    <w:p>
      <w:pPr>
        <w:pStyle w:val="BodyText"/>
        <w:ind w:left="33"/>
        <w:spacing w:before="160" w:line="223" w:lineRule="auto"/>
        <w:outlineLvl w:val="0"/>
        <w:rPr/>
      </w:pPr>
      <w:r>
        <w:rPr>
          <w:spacing w:val="7"/>
        </w:rPr>
        <w:t>全面建成小康社会决胜期，面对错综复杂的宏</w:t>
      </w:r>
    </w:p>
    <w:p>
      <w:pPr>
        <w:pStyle w:val="BodyText"/>
        <w:ind w:left="30" w:right="321" w:firstLine="6"/>
        <w:spacing w:before="156" w:line="369" w:lineRule="auto"/>
        <w:jc w:val="both"/>
        <w:rPr/>
      </w:pPr>
      <w:r>
        <w:rPr>
          <w:spacing w:val="7"/>
        </w:rPr>
        <w:t>观环境、前所未有的风险挑战，全市上下坚持</w:t>
      </w:r>
      <w:r>
        <w:rPr>
          <w:spacing w:val="18"/>
        </w:rPr>
        <w:t>以习近平新时代中国特色社会主义思想为指</w:t>
      </w:r>
      <w:r>
        <w:rPr>
          <w:spacing w:val="7"/>
        </w:rPr>
        <w:t>导，深入学习贯彻习近平总书记视察宁夏重要</w:t>
      </w:r>
      <w:r>
        <w:rPr>
          <w:spacing w:val="7"/>
        </w:rPr>
        <w:t>讲话精神，坚决贯彻落实党中央和自治区党委</w:t>
      </w:r>
      <w:r>
        <w:rPr>
          <w:spacing w:val="7"/>
        </w:rPr>
        <w:t>的各项决策部署，全力打好“三大攻坚战”，</w:t>
      </w:r>
      <w:r>
        <w:rPr>
          <w:spacing w:val="7"/>
        </w:rPr>
        <w:t>扎实做好“六稳”工作，全面落实“六保”任</w:t>
      </w:r>
      <w:r>
        <w:rPr>
          <w:spacing w:val="7"/>
        </w:rPr>
        <w:t>务，基本完成了“十三五”规划目标任务，脱</w:t>
      </w:r>
      <w:r>
        <w:rPr>
          <w:spacing w:val="7"/>
        </w:rPr>
        <w:t>贫攻坚取得决定性成就，全面建成小康社会胜</w:t>
      </w:r>
      <w:r>
        <w:rPr>
          <w:spacing w:val="9"/>
        </w:rPr>
        <w:t>利在望，谱写了固原发展的崭新篇章。</w:t>
      </w:r>
    </w:p>
    <w:p>
      <w:pPr>
        <w:pStyle w:val="BodyText"/>
        <w:ind w:left="451"/>
        <w:spacing w:line="278" w:lineRule="exact"/>
        <w:rPr/>
      </w:pPr>
      <w:r>
        <w:rPr>
          <w:spacing w:val="1"/>
          <w:position w:val="1"/>
        </w:rPr>
        <w:t>脱贫攻坚取得重大胜利。5</w:t>
      </w:r>
      <w:r>
        <w:rPr>
          <w:spacing w:val="-31"/>
          <w:position w:val="1"/>
        </w:rPr>
        <w:t xml:space="preserve"> </w:t>
      </w:r>
      <w:r>
        <w:rPr>
          <w:spacing w:val="1"/>
          <w:position w:val="1"/>
        </w:rPr>
        <w:t>个贫困县（</w:t>
      </w:r>
      <w:r>
        <w:rPr>
          <w:spacing w:val="-52"/>
          <w:position w:val="1"/>
        </w:rPr>
        <w:t xml:space="preserve"> </w:t>
      </w:r>
      <w:r>
        <w:rPr>
          <w:spacing w:val="1"/>
          <w:position w:val="1"/>
        </w:rPr>
        <w:t>区）</w:t>
      </w:r>
    </w:p>
    <w:p>
      <w:pPr>
        <w:pStyle w:val="BodyText"/>
        <w:ind w:left="33"/>
        <w:spacing w:before="123" w:line="277" w:lineRule="exact"/>
        <w:outlineLvl w:val="0"/>
        <w:rPr/>
      </w:pPr>
      <w:r>
        <w:rPr>
          <w:spacing w:val="5"/>
          <w:position w:val="1"/>
        </w:rPr>
        <w:t>全部摘帽，624</w:t>
      </w:r>
      <w:r>
        <w:rPr>
          <w:spacing w:val="-29"/>
          <w:position w:val="1"/>
        </w:rPr>
        <w:t xml:space="preserve"> </w:t>
      </w:r>
      <w:r>
        <w:rPr>
          <w:spacing w:val="5"/>
          <w:position w:val="1"/>
        </w:rPr>
        <w:t>个贫困村全部出列，26.7</w:t>
      </w:r>
      <w:r>
        <w:rPr>
          <w:spacing w:val="-40"/>
          <w:position w:val="1"/>
        </w:rPr>
        <w:t xml:space="preserve"> </w:t>
      </w:r>
      <w:r>
        <w:rPr>
          <w:spacing w:val="5"/>
          <w:position w:val="1"/>
        </w:rPr>
        <w:t>万农</w:t>
      </w:r>
    </w:p>
    <w:p>
      <w:pPr>
        <w:pStyle w:val="BodyText"/>
        <w:ind w:left="29" w:right="323" w:firstLine="3"/>
        <w:spacing w:before="127" w:line="367" w:lineRule="auto"/>
        <w:jc w:val="both"/>
        <w:rPr/>
      </w:pPr>
      <w:r>
        <w:rPr>
          <w:spacing w:val="7"/>
        </w:rPr>
        <w:t>村贫困人口全部脱贫，消除了市域绝对贫困和</w:t>
      </w:r>
      <w:r>
        <w:rPr>
          <w:spacing w:val="7"/>
        </w:rPr>
        <w:t>整体贫困。“两不愁三保障”全达标，安全饮</w:t>
      </w:r>
      <w:r>
        <w:rPr>
          <w:spacing w:val="4"/>
        </w:rPr>
        <w:t>水全普及，行政村“两通”全覆盖，14.6</w:t>
      </w:r>
      <w:r>
        <w:rPr>
          <w:spacing w:val="-36"/>
        </w:rPr>
        <w:t xml:space="preserve"> </w:t>
      </w:r>
      <w:r>
        <w:rPr>
          <w:spacing w:val="4"/>
        </w:rPr>
        <w:t>万人</w:t>
      </w:r>
      <w:r>
        <w:rPr>
          <w:spacing w:val="7"/>
        </w:rPr>
        <w:t>通过产业实现脱贫，有劳动能力的建档立卡贫</w:t>
      </w:r>
      <w:r>
        <w:rPr>
          <w:spacing w:val="5"/>
        </w:rPr>
        <w:t>困户都有</w:t>
      </w:r>
      <w:r>
        <w:rPr>
          <w:spacing w:val="-10"/>
        </w:rPr>
        <w:t xml:space="preserve"> </w:t>
      </w:r>
      <w:r>
        <w:rPr>
          <w:spacing w:val="5"/>
        </w:rPr>
        <w:t>1-2</w:t>
      </w:r>
      <w:r>
        <w:rPr>
          <w:spacing w:val="-45"/>
        </w:rPr>
        <w:t xml:space="preserve"> </w:t>
      </w:r>
      <w:r>
        <w:rPr>
          <w:spacing w:val="5"/>
        </w:rPr>
        <w:t>个稳定增收致富产业，建成各类</w:t>
      </w:r>
      <w:r>
        <w:rPr>
          <w:spacing w:val="11"/>
        </w:rPr>
        <w:t>扶贫车间226</w:t>
      </w:r>
      <w:r>
        <w:rPr>
          <w:spacing w:val="-36"/>
        </w:rPr>
        <w:t xml:space="preserve"> </w:t>
      </w:r>
      <w:r>
        <w:rPr>
          <w:spacing w:val="11"/>
        </w:rPr>
        <w:t>个，1</w:t>
      </w:r>
      <w:r>
        <w:rPr>
          <w:spacing w:val="-43"/>
        </w:rPr>
        <w:t xml:space="preserve"> </w:t>
      </w:r>
      <w:r>
        <w:rPr>
          <w:spacing w:val="11"/>
        </w:rPr>
        <w:t>万多人实现家门口就业，</w:t>
      </w:r>
      <w:r>
        <w:rPr>
          <w:spacing w:val="20"/>
        </w:rPr>
        <w:t>农村常住居民人均可支配收入由</w:t>
      </w:r>
      <w:r>
        <w:rPr>
          <w:spacing w:val="-28"/>
        </w:rPr>
        <w:t xml:space="preserve"> </w:t>
      </w:r>
      <w:r>
        <w:rPr>
          <w:spacing w:val="20"/>
        </w:rPr>
        <w:t>2015</w:t>
      </w:r>
      <w:r>
        <w:rPr>
          <w:spacing w:val="-22"/>
        </w:rPr>
        <w:t xml:space="preserve"> </w:t>
      </w:r>
      <w:r>
        <w:rPr>
          <w:spacing w:val="20"/>
        </w:rPr>
        <w:t>年的</w:t>
      </w:r>
      <w:r>
        <w:rPr>
          <w:spacing w:val="2"/>
        </w:rPr>
        <w:t>7002</w:t>
      </w:r>
      <w:r>
        <w:rPr>
          <w:spacing w:val="-33"/>
        </w:rPr>
        <w:t xml:space="preserve"> </w:t>
      </w:r>
      <w:r>
        <w:rPr>
          <w:spacing w:val="2"/>
        </w:rPr>
        <w:t>元增加到</w:t>
      </w:r>
      <w:r>
        <w:rPr>
          <w:spacing w:val="-22"/>
        </w:rPr>
        <w:t xml:space="preserve"> </w:t>
      </w:r>
      <w:r>
        <w:rPr>
          <w:spacing w:val="2"/>
        </w:rPr>
        <w:t>11950.7</w:t>
      </w:r>
      <w:r>
        <w:rPr>
          <w:spacing w:val="-45"/>
        </w:rPr>
        <w:t xml:space="preserve"> </w:t>
      </w:r>
      <w:r>
        <w:rPr>
          <w:spacing w:val="2"/>
        </w:rPr>
        <w:t>元。创出了一批在全国</w:t>
      </w:r>
      <w:r>
        <w:rPr>
          <w:spacing w:val="7"/>
        </w:rPr>
        <w:t>推广的经验，推动党建与脱贫互融共赢的“两</w:t>
      </w:r>
      <w:r>
        <w:rPr>
          <w:spacing w:val="7"/>
        </w:rPr>
        <w:t>个带头人”工程得到中央领导肯定并在全国推</w:t>
      </w:r>
      <w:r>
        <w:rPr>
          <w:spacing w:val="7"/>
        </w:rPr>
        <w:t>广，闽宁对口帮扶成为全国东西部扶贫协作的</w:t>
      </w:r>
      <w:r>
        <w:rPr>
          <w:spacing w:val="5"/>
        </w:rPr>
        <w:t>典范。</w:t>
      </w:r>
    </w:p>
    <w:p>
      <w:pPr>
        <w:pStyle w:val="BodyText"/>
        <w:ind w:left="455"/>
        <w:spacing w:before="36" w:line="222" w:lineRule="auto"/>
        <w:rPr/>
      </w:pPr>
      <w:r>
        <w:rPr>
          <w:spacing w:val="6"/>
        </w:rPr>
        <w:t>经济发展实现量增质升。“十三五”期间</w:t>
      </w:r>
    </w:p>
    <w:p>
      <w:pPr>
        <w:pStyle w:val="BodyText"/>
        <w:ind w:left="33"/>
        <w:spacing w:before="167" w:line="277" w:lineRule="exact"/>
        <w:outlineLvl w:val="0"/>
        <w:rPr/>
      </w:pPr>
      <w:r>
        <w:rPr>
          <w:spacing w:val="15"/>
          <w:position w:val="1"/>
        </w:rPr>
        <w:t>地区生产总值年均增长</w:t>
      </w:r>
      <w:r>
        <w:rPr>
          <w:spacing w:val="-19"/>
          <w:position w:val="1"/>
        </w:rPr>
        <w:t xml:space="preserve"> </w:t>
      </w:r>
      <w:r>
        <w:rPr>
          <w:spacing w:val="15"/>
          <w:position w:val="1"/>
        </w:rPr>
        <w:t>6.9%</w:t>
      </w:r>
      <w:r>
        <w:rPr>
          <w:spacing w:val="-43"/>
          <w:position w:val="1"/>
        </w:rPr>
        <w:t xml:space="preserve"> </w:t>
      </w:r>
      <w:r>
        <w:rPr>
          <w:spacing w:val="15"/>
          <w:position w:val="1"/>
        </w:rPr>
        <w:t>，2020</w:t>
      </w:r>
      <w:r>
        <w:rPr>
          <w:spacing w:val="-22"/>
          <w:position w:val="1"/>
        </w:rPr>
        <w:t xml:space="preserve"> </w:t>
      </w:r>
      <w:r>
        <w:rPr>
          <w:spacing w:val="15"/>
          <w:position w:val="1"/>
        </w:rPr>
        <w:t>年达到</w:t>
      </w:r>
    </w:p>
    <w:p>
      <w:pPr>
        <w:pStyle w:val="BodyText"/>
        <w:ind w:left="33" w:right="299" w:firstLine="4"/>
        <w:spacing w:before="132" w:line="349" w:lineRule="auto"/>
        <w:jc w:val="both"/>
        <w:rPr/>
      </w:pPr>
      <w:r>
        <w:rPr>
          <w:spacing w:val="2"/>
        </w:rPr>
        <w:t>352.46</w:t>
      </w:r>
      <w:r>
        <w:rPr>
          <w:spacing w:val="-37"/>
        </w:rPr>
        <w:t xml:space="preserve"> </w:t>
      </w:r>
      <w:r>
        <w:rPr>
          <w:spacing w:val="2"/>
        </w:rPr>
        <w:t>亿元，是“十二五末”的</w:t>
      </w:r>
      <w:r>
        <w:rPr>
          <w:spacing w:val="-25"/>
        </w:rPr>
        <w:t xml:space="preserve"> </w:t>
      </w:r>
      <w:r>
        <w:rPr>
          <w:spacing w:val="2"/>
        </w:rPr>
        <w:t>1.6</w:t>
      </w:r>
      <w:r>
        <w:rPr>
          <w:spacing w:val="-42"/>
        </w:rPr>
        <w:t xml:space="preserve"> </w:t>
      </w:r>
      <w:r>
        <w:rPr>
          <w:spacing w:val="2"/>
        </w:rPr>
        <w:t>倍，人均</w:t>
      </w:r>
      <w:r>
        <w:rPr>
          <w:spacing w:val="8"/>
        </w:rPr>
        <w:t>生产总值达到28300</w:t>
      </w:r>
      <w:r>
        <w:rPr>
          <w:spacing w:val="-30"/>
        </w:rPr>
        <w:t xml:space="preserve"> </w:t>
      </w:r>
      <w:r>
        <w:rPr>
          <w:spacing w:val="8"/>
        </w:rPr>
        <w:t>元。三次产业占比由“十</w:t>
      </w:r>
      <w:r>
        <w:rPr>
          <w:spacing w:val="-16"/>
        </w:rPr>
        <w:t>二五”期末的</w:t>
      </w:r>
      <w:r>
        <w:rPr>
          <w:spacing w:val="-49"/>
        </w:rPr>
        <w:t xml:space="preserve"> </w:t>
      </w:r>
      <w:r>
        <w:rPr>
          <w:spacing w:val="-16"/>
        </w:rPr>
        <w:t>21.1:19.6:59.3</w:t>
      </w:r>
      <w:r>
        <w:rPr>
          <w:spacing w:val="-50"/>
        </w:rPr>
        <w:t xml:space="preserve"> </w:t>
      </w:r>
      <w:r>
        <w:rPr>
          <w:spacing w:val="-16"/>
        </w:rPr>
        <w:t>调整为</w:t>
      </w:r>
      <w:r>
        <w:rPr>
          <w:spacing w:val="-52"/>
        </w:rPr>
        <w:t xml:space="preserve"> </w:t>
      </w:r>
      <w:r>
        <w:rPr>
          <w:spacing w:val="-16"/>
        </w:rPr>
        <w:t>20.4:19.6:60，</w:t>
      </w:r>
    </w:p>
    <w:p>
      <w:pPr>
        <w:spacing w:line="14" w:lineRule="auto"/>
        <w:rPr>
          <w:rFonts w:ascii="Arial"/>
          <w:sz w:val="2"/>
        </w:rPr>
      </w:pPr>
      <w:r>
        <w:rPr>
          <w:rFonts w:ascii="Arial" w:hAnsi="Arial" w:eastAsia="Arial" w:cs="Arial"/>
          <w:sz w:val="2"/>
          <w:szCs w:val="2"/>
        </w:rPr>
        <w:br w:type="column"/>
      </w:r>
    </w:p>
    <w:p>
      <w:pPr>
        <w:pStyle w:val="BodyText"/>
        <w:ind w:right="98" w:firstLine="3"/>
        <w:spacing w:before="73" w:line="379" w:lineRule="auto"/>
        <w:jc w:val="both"/>
        <w:rPr/>
      </w:pPr>
      <w:r>
        <w:rPr>
          <w:spacing w:val="18"/>
        </w:rPr>
        <w:t>产业结构得到新优化。优势特色产业链条延</w:t>
      </w:r>
      <w:r>
        <w:rPr>
          <w:spacing w:val="7"/>
        </w:rPr>
        <w:t>长，融侨肉牛、山东水发等龙头企业补链延链</w:t>
      </w:r>
      <w:r>
        <w:rPr>
          <w:spacing w:val="15"/>
        </w:rPr>
        <w:t>项目落地建设</w:t>
      </w:r>
      <w:r>
        <w:rPr>
          <w:spacing w:val="-38"/>
        </w:rPr>
        <w:t xml:space="preserve"> </w:t>
      </w:r>
      <w:r>
        <w:rPr>
          <w:spacing w:val="15"/>
        </w:rPr>
        <w:t>，主要农产品加工转化率达到</w:t>
      </w:r>
      <w:r>
        <w:rPr>
          <w:spacing w:val="5"/>
        </w:rPr>
        <w:t>58%，粮食总产量达到</w:t>
      </w:r>
      <w:r>
        <w:rPr>
          <w:spacing w:val="-23"/>
        </w:rPr>
        <w:t xml:space="preserve"> </w:t>
      </w:r>
      <w:r>
        <w:rPr>
          <w:spacing w:val="5"/>
        </w:rPr>
        <w:t>91.3</w:t>
      </w:r>
      <w:r>
        <w:rPr>
          <w:spacing w:val="-43"/>
        </w:rPr>
        <w:t xml:space="preserve"> </w:t>
      </w:r>
      <w:r>
        <w:rPr>
          <w:spacing w:val="5"/>
        </w:rPr>
        <w:t>万吨，肉牛良种比</w:t>
      </w:r>
      <w:r>
        <w:rPr>
          <w:spacing w:val="11"/>
        </w:rPr>
        <w:t>例达到90%以上；纺织业无中生有，投产宁夏</w:t>
      </w:r>
      <w:r>
        <w:rPr>
          <w:spacing w:val="9"/>
        </w:rPr>
        <w:t>丰源一期</w:t>
      </w:r>
      <w:r>
        <w:rPr>
          <w:spacing w:val="-35"/>
        </w:rPr>
        <w:t xml:space="preserve"> </w:t>
      </w:r>
      <w:r>
        <w:rPr>
          <w:spacing w:val="9"/>
        </w:rPr>
        <w:t>5</w:t>
      </w:r>
      <w:r>
        <w:rPr>
          <w:spacing w:val="-38"/>
        </w:rPr>
        <w:t xml:space="preserve"> </w:t>
      </w:r>
      <w:r>
        <w:rPr>
          <w:spacing w:val="9"/>
        </w:rPr>
        <w:t>万锭、在建宁川置业一期</w:t>
      </w:r>
      <w:r>
        <w:rPr>
          <w:spacing w:val="-20"/>
        </w:rPr>
        <w:t xml:space="preserve"> </w:t>
      </w:r>
      <w:r>
        <w:rPr>
          <w:spacing w:val="9"/>
        </w:rPr>
        <w:t>10</w:t>
      </w:r>
      <w:r>
        <w:rPr>
          <w:spacing w:val="-38"/>
        </w:rPr>
        <w:t xml:space="preserve"> </w:t>
      </w:r>
      <w:r>
        <w:rPr>
          <w:spacing w:val="9"/>
        </w:rPr>
        <w:t>万锭</w:t>
      </w:r>
      <w:r>
        <w:rPr>
          <w:spacing w:val="7"/>
        </w:rPr>
        <w:t>等建链项目，引进华人礼服等延链项目，纺织</w:t>
      </w:r>
      <w:r>
        <w:rPr>
          <w:spacing w:val="7"/>
        </w:rPr>
        <w:t>服装产业优势凸显、前景喜人；金昱元盐化工</w:t>
      </w:r>
      <w:r>
        <w:rPr>
          <w:spacing w:val="6"/>
        </w:rPr>
        <w:t>循环经济产业链项目全面达产，新增</w:t>
      </w:r>
      <w:r>
        <w:rPr>
          <w:spacing w:val="-31"/>
        </w:rPr>
        <w:t xml:space="preserve"> </w:t>
      </w:r>
      <w:r>
        <w:rPr>
          <w:spacing w:val="6"/>
        </w:rPr>
        <w:t>9</w:t>
      </w:r>
      <w:r>
        <w:rPr>
          <w:spacing w:val="-40"/>
        </w:rPr>
        <w:t xml:space="preserve"> </w:t>
      </w:r>
      <w:r>
        <w:rPr>
          <w:spacing w:val="6"/>
        </w:rPr>
        <w:t>家产值</w:t>
      </w:r>
      <w:r>
        <w:rPr>
          <w:spacing w:val="7"/>
        </w:rPr>
        <w:t>亿元以上工业企业。文化旅游融合发展，创成</w:t>
      </w:r>
      <w:r>
        <w:rPr>
          <w:spacing w:val="7"/>
        </w:rPr>
        <w:t>第四批全国旅游标准化示范市，年接待游客和</w:t>
      </w:r>
      <w:r>
        <w:rPr>
          <w:spacing w:val="7"/>
        </w:rPr>
        <w:t>旅游社会收入年均分别增长</w:t>
      </w:r>
      <w:r>
        <w:rPr>
          <w:spacing w:val="-16"/>
        </w:rPr>
        <w:t xml:space="preserve"> </w:t>
      </w:r>
      <w:r>
        <w:rPr>
          <w:spacing w:val="7"/>
        </w:rPr>
        <w:t>18.2%、27.6%。</w:t>
      </w:r>
    </w:p>
    <w:p>
      <w:pPr>
        <w:pStyle w:val="BodyText"/>
        <w:ind w:left="4" w:right="101" w:firstLine="420"/>
        <w:spacing w:line="300" w:lineRule="auto"/>
        <w:outlineLvl w:val="0"/>
        <w:rPr/>
      </w:pPr>
      <w:r>
        <w:rPr>
          <w:spacing w:val="6"/>
        </w:rPr>
        <w:t>生态环境发生根本改变。坚决扛起保护和</w:t>
      </w:r>
      <w:r>
        <w:rPr>
          <w:spacing w:val="7"/>
        </w:rPr>
        <w:t>改善生态环境的时代重任，奋力推动向山绿与</w:t>
      </w:r>
    </w:p>
    <w:p>
      <w:pPr>
        <w:pStyle w:val="BodyText"/>
        <w:ind w:right="23" w:firstLine="21"/>
        <w:spacing w:before="163" w:line="368" w:lineRule="auto"/>
        <w:jc w:val="both"/>
        <w:rPr/>
      </w:pPr>
      <w:r>
        <w:rPr>
          <w:spacing w:val="6"/>
        </w:rPr>
        <w:t>民富双赢转变，形成了生态立市、造福人民的</w:t>
      </w:r>
      <w:r>
        <w:rPr>
          <w:spacing w:val="7"/>
        </w:rPr>
        <w:t>广泛共识，担起了生态保护、污染治理的历史</w:t>
      </w:r>
      <w:r>
        <w:rPr>
          <w:spacing w:val="1"/>
        </w:rPr>
        <w:t>责任，趟出了生态优先、绿色发展的宽阔路子。</w:t>
      </w:r>
      <w:r>
        <w:rPr>
          <w:spacing w:val="8"/>
        </w:rPr>
        <w:t>累计完成造林绿化</w:t>
      </w:r>
      <w:r>
        <w:rPr>
          <w:spacing w:val="-32"/>
        </w:rPr>
        <w:t xml:space="preserve"> </w:t>
      </w:r>
      <w:r>
        <w:rPr>
          <w:spacing w:val="8"/>
        </w:rPr>
        <w:t>67.6</w:t>
      </w:r>
      <w:r>
        <w:rPr>
          <w:spacing w:val="-33"/>
        </w:rPr>
        <w:t xml:space="preserve"> </w:t>
      </w:r>
      <w:r>
        <w:rPr>
          <w:spacing w:val="8"/>
        </w:rPr>
        <w:t>万亩</w:t>
      </w:r>
      <w:r>
        <w:rPr>
          <w:spacing w:val="-54"/>
        </w:rPr>
        <w:t xml:space="preserve"> </w:t>
      </w:r>
      <w:r>
        <w:rPr>
          <w:spacing w:val="8"/>
        </w:rPr>
        <w:t>，治理水土流失</w:t>
      </w:r>
      <w:r>
        <w:rPr>
          <w:spacing w:val="9"/>
        </w:rPr>
        <w:t>320</w:t>
      </w:r>
      <w:r>
        <w:rPr>
          <w:spacing w:val="-40"/>
        </w:rPr>
        <w:t xml:space="preserve"> </w:t>
      </w:r>
      <w:r>
        <w:rPr>
          <w:spacing w:val="9"/>
        </w:rPr>
        <w:t>平方公里，全市森林覆盖率、草原综合植</w:t>
      </w:r>
      <w:r>
        <w:rPr>
          <w:spacing w:val="10"/>
        </w:rPr>
        <w:t>被盖度分别提高到</w:t>
      </w:r>
      <w:r>
        <w:rPr>
          <w:spacing w:val="-31"/>
        </w:rPr>
        <w:t xml:space="preserve"> </w:t>
      </w:r>
      <w:r>
        <w:rPr>
          <w:spacing w:val="10"/>
        </w:rPr>
        <w:t>30.1%、89.8%</w:t>
      </w:r>
      <w:r>
        <w:rPr>
          <w:spacing w:val="-55"/>
        </w:rPr>
        <w:t xml:space="preserve"> </w:t>
      </w:r>
      <w:r>
        <w:rPr>
          <w:spacing w:val="10"/>
        </w:rPr>
        <w:t>，彭</w:t>
      </w:r>
      <w:r>
        <w:rPr>
          <w:spacing w:val="9"/>
        </w:rPr>
        <w:t>阳县小</w:t>
      </w:r>
      <w:r>
        <w:rPr>
          <w:spacing w:val="6"/>
        </w:rPr>
        <w:t>流域治理经验全国推广。“</w:t>
      </w:r>
      <w:r>
        <w:rPr>
          <w:spacing w:val="-73"/>
        </w:rPr>
        <w:t xml:space="preserve"> </w:t>
      </w:r>
      <w:r>
        <w:rPr>
          <w:spacing w:val="6"/>
        </w:rPr>
        <w:t>四个一”林草产业</w:t>
      </w:r>
      <w:r>
        <w:rPr>
          <w:spacing w:val="18"/>
        </w:rPr>
        <w:t>试验示范工程得到国家领导人和自治区充分</w:t>
      </w:r>
      <w:r>
        <w:rPr>
          <w:spacing w:val="6"/>
        </w:rPr>
        <w:t>肯定，建成试验示范面积</w:t>
      </w:r>
      <w:r>
        <w:rPr>
          <w:spacing w:val="-37"/>
        </w:rPr>
        <w:t xml:space="preserve"> </w:t>
      </w:r>
      <w:r>
        <w:rPr>
          <w:spacing w:val="6"/>
        </w:rPr>
        <w:t>229</w:t>
      </w:r>
      <w:r>
        <w:rPr>
          <w:spacing w:val="-40"/>
        </w:rPr>
        <w:t xml:space="preserve"> </w:t>
      </w:r>
      <w:r>
        <w:rPr>
          <w:spacing w:val="6"/>
        </w:rPr>
        <w:t>万亩。蓝天碧水</w:t>
      </w:r>
      <w:r>
        <w:rPr>
          <w:spacing w:val="7"/>
        </w:rPr>
        <w:t>净土保卫战取得重大成果，全市环境空气质量</w:t>
      </w:r>
      <w:r>
        <w:rPr>
          <w:spacing w:val="6"/>
        </w:rPr>
        <w:t>优良天数达到</w:t>
      </w:r>
      <w:r>
        <w:rPr>
          <w:spacing w:val="-38"/>
        </w:rPr>
        <w:t xml:space="preserve"> </w:t>
      </w:r>
      <w:r>
        <w:rPr>
          <w:spacing w:val="6"/>
        </w:rPr>
        <w:t>341</w:t>
      </w:r>
      <w:r>
        <w:rPr>
          <w:spacing w:val="-37"/>
        </w:rPr>
        <w:t xml:space="preserve"> </w:t>
      </w:r>
      <w:r>
        <w:rPr>
          <w:spacing w:val="6"/>
        </w:rPr>
        <w:t>天，比“十二五”末增加了</w:t>
      </w:r>
      <w:r>
        <w:rPr>
          <w:spacing w:val="9"/>
        </w:rPr>
        <w:t>16</w:t>
      </w:r>
      <w:r>
        <w:rPr>
          <w:spacing w:val="-35"/>
        </w:rPr>
        <w:t xml:space="preserve"> </w:t>
      </w:r>
      <w:r>
        <w:rPr>
          <w:spacing w:val="9"/>
        </w:rPr>
        <w:t>天，连续五年位居全区第一，</w:t>
      </w:r>
      <w:r>
        <w:rPr/>
        <w:t>PM</w:t>
      </w:r>
      <w:r>
        <w:rPr>
          <w:spacing w:val="9"/>
        </w:rPr>
        <w:t>10、</w:t>
      </w:r>
      <w:r>
        <w:rPr/>
        <w:t>PM</w:t>
      </w:r>
      <w:r>
        <w:rPr>
          <w:spacing w:val="9"/>
        </w:rPr>
        <w:t>2.5</w:t>
      </w:r>
      <w:r>
        <w:rPr>
          <w:spacing w:val="5"/>
        </w:rPr>
        <w:t>分别下降至</w:t>
      </w:r>
      <w:r>
        <w:rPr>
          <w:spacing w:val="-10"/>
        </w:rPr>
        <w:t xml:space="preserve"> </w:t>
      </w:r>
      <w:r>
        <w:rPr>
          <w:spacing w:val="5"/>
        </w:rPr>
        <w:t>12.3%和</w:t>
      </w:r>
      <w:r>
        <w:rPr>
          <w:spacing w:val="-20"/>
        </w:rPr>
        <w:t xml:space="preserve"> </w:t>
      </w:r>
      <w:r>
        <w:rPr>
          <w:spacing w:val="5"/>
        </w:rPr>
        <w:t>10.3%</w:t>
      </w:r>
      <w:r>
        <w:rPr>
          <w:spacing w:val="-57"/>
        </w:rPr>
        <w:t xml:space="preserve"> </w:t>
      </w:r>
      <w:r>
        <w:rPr>
          <w:spacing w:val="5"/>
        </w:rPr>
        <w:t>，五河流域</w:t>
      </w:r>
      <w:r>
        <w:rPr>
          <w:spacing w:val="-39"/>
        </w:rPr>
        <w:t xml:space="preserve"> </w:t>
      </w:r>
      <w:r>
        <w:rPr>
          <w:spacing w:val="5"/>
        </w:rPr>
        <w:t>5</w:t>
      </w:r>
      <w:r>
        <w:rPr>
          <w:spacing w:val="-43"/>
        </w:rPr>
        <w:t xml:space="preserve"> </w:t>
      </w:r>
      <w:r>
        <w:rPr>
          <w:spacing w:val="5"/>
        </w:rPr>
        <w:t>个国</w:t>
      </w:r>
      <w:r>
        <w:rPr>
          <w:spacing w:val="13"/>
        </w:rPr>
        <w:t>控断面水质优良比例由20%提高到</w:t>
      </w:r>
      <w:r>
        <w:rPr>
          <w:spacing w:val="-35"/>
        </w:rPr>
        <w:t xml:space="preserve"> </w:t>
      </w:r>
      <w:r>
        <w:rPr>
          <w:spacing w:val="13"/>
        </w:rPr>
        <w:t>80%；土壤</w:t>
      </w:r>
      <w:r>
        <w:rPr>
          <w:spacing w:val="7"/>
        </w:rPr>
        <w:t>环境质量总体良好，畜禽养殖废物综合利用率</w:t>
      </w:r>
      <w:r>
        <w:rPr>
          <w:spacing w:val="15"/>
        </w:rPr>
        <w:t>达到94.5%，残膜回收率达到</w:t>
      </w:r>
      <w:r>
        <w:rPr>
          <w:spacing w:val="-23"/>
        </w:rPr>
        <w:t xml:space="preserve"> </w:t>
      </w:r>
      <w:r>
        <w:rPr>
          <w:spacing w:val="15"/>
        </w:rPr>
        <w:t>95%，单位</w:t>
      </w:r>
      <w:r>
        <w:rPr>
          <w:spacing w:val="-38"/>
        </w:rPr>
        <w:t xml:space="preserve"> </w:t>
      </w:r>
      <w:r>
        <w:rPr/>
        <w:t>GDP</w:t>
      </w:r>
      <w:r>
        <w:rPr>
          <w:spacing w:val="11"/>
        </w:rPr>
        <w:t>能耗比“十二五”末降低</w:t>
      </w:r>
      <w:r>
        <w:rPr>
          <w:spacing w:val="-27"/>
        </w:rPr>
        <w:t xml:space="preserve"> </w:t>
      </w:r>
      <w:r>
        <w:rPr>
          <w:spacing w:val="11"/>
        </w:rPr>
        <w:t>7.7%</w:t>
      </w:r>
      <w:r>
        <w:rPr>
          <w:spacing w:val="-57"/>
        </w:rPr>
        <w:t xml:space="preserve"> </w:t>
      </w:r>
      <w:r>
        <w:rPr>
          <w:spacing w:val="11"/>
        </w:rPr>
        <w:t>，为全区生态</w:t>
      </w:r>
      <w:r>
        <w:rPr>
          <w:spacing w:val="8"/>
        </w:rPr>
        <w:t>建设作出了固原贡献。</w:t>
      </w:r>
    </w:p>
    <w:p>
      <w:pPr>
        <w:spacing w:line="368" w:lineRule="auto"/>
        <w:sectPr>
          <w:type w:val="continuous"/>
          <w:pgSz w:w="11906" w:h="16839"/>
          <w:pgMar w:top="1793" w:right="1489" w:bottom="1672" w:left="1560" w:header="1428" w:footer="1277" w:gutter="0"/>
          <w:cols w:equalWidth="0" w:num="2">
            <w:col w:w="4508" w:space="100"/>
            <w:col w:w="4250" w:space="0"/>
          </w:cols>
        </w:sectPr>
        <w:rPr/>
      </w:pPr>
    </w:p>
    <w:p>
      <w:pPr>
        <w:spacing w:before="60"/>
        <w:rPr/>
      </w:pPr>
      <w:r>
        <w:drawing>
          <wp:anchor distT="0" distB="0" distL="0" distR="0" simplePos="0" relativeHeight="251748352"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312" name="IM 312"/>
            <wp:cNvGraphicFramePr/>
            <a:graphic>
              <a:graphicData uri="http://schemas.openxmlformats.org/drawingml/2006/picture">
                <pic:pic>
                  <pic:nvPicPr>
                    <pic:cNvPr id="312" name="IM 312"/>
                    <pic:cNvPicPr/>
                  </pic:nvPicPr>
                  <pic:blipFill>
                    <a:blip r:embed="rId158"/>
                    <a:stretch>
                      <a:fillRect/>
                    </a:stretch>
                  </pic:blipFill>
                  <pic:spPr>
                    <a:xfrm rot="0">
                      <a:off x="0" y="0"/>
                      <a:ext cx="5579745" cy="7619"/>
                    </a:xfrm>
                    <a:prstGeom prst="rect">
                      <a:avLst/>
                    </a:prstGeom>
                  </pic:spPr>
                </pic:pic>
              </a:graphicData>
            </a:graphic>
          </wp:anchor>
        </w:drawing>
      </w:r>
      <w:r/>
    </w:p>
    <w:p>
      <w:pPr>
        <w:sectPr>
          <w:headerReference w:type="default" r:id="rId156"/>
          <w:footerReference w:type="default" r:id="rId157"/>
          <w:pgSz w:w="11906" w:h="16839"/>
          <w:pgMar w:top="1793" w:right="1507" w:bottom="1570" w:left="1579" w:header="1428" w:footer="1172" w:gutter="0"/>
          <w:cols w:equalWidth="0" w:num="1">
            <w:col w:w="8819" w:space="0"/>
          </w:cols>
        </w:sectPr>
        <w:rPr/>
      </w:pPr>
    </w:p>
    <w:p>
      <w:pPr>
        <w:pStyle w:val="BodyText"/>
        <w:ind w:left="432"/>
        <w:spacing w:before="41" w:line="219" w:lineRule="auto"/>
        <w:rPr/>
      </w:pPr>
      <w:r>
        <w:rPr>
          <w:spacing w:val="7"/>
        </w:rPr>
        <w:t>基础设施实现重大突破。宁夏中南部城乡</w:t>
      </w:r>
    </w:p>
    <w:p>
      <w:pPr>
        <w:pStyle w:val="BodyText"/>
        <w:ind w:left="12"/>
        <w:spacing w:before="170" w:line="223" w:lineRule="auto"/>
        <w:outlineLvl w:val="0"/>
        <w:rPr/>
      </w:pPr>
      <w:r>
        <w:rPr>
          <w:spacing w:val="7"/>
        </w:rPr>
        <w:t>饮水安全工程、固原市黄河水调蓄工程建成通</w:t>
      </w:r>
    </w:p>
    <w:p>
      <w:pPr>
        <w:pStyle w:val="BodyText"/>
        <w:ind w:left="13" w:right="320" w:hanging="1"/>
        <w:spacing w:before="171" w:line="377" w:lineRule="auto"/>
        <w:rPr/>
      </w:pPr>
      <w:r>
        <w:rPr>
          <w:spacing w:val="7"/>
        </w:rPr>
        <w:t>水，南调泾河水与北引黄河水的双水源保障格</w:t>
      </w:r>
      <w:r>
        <w:rPr>
          <w:spacing w:val="7"/>
        </w:rPr>
        <w:t>局基本形成，圆了百万城乡居民安全饮水梦；</w:t>
      </w:r>
    </w:p>
    <w:p>
      <w:pPr>
        <w:pStyle w:val="BodyText"/>
        <w:ind w:left="13" w:right="121" w:firstLine="2"/>
        <w:spacing w:before="6" w:line="378" w:lineRule="auto"/>
        <w:rPr/>
      </w:pPr>
      <w:r>
        <w:rPr>
          <w:spacing w:val="12"/>
        </w:rPr>
        <w:t>改造高效节水灌溉农田73</w:t>
      </w:r>
      <w:r>
        <w:rPr>
          <w:spacing w:val="-37"/>
        </w:rPr>
        <w:t xml:space="preserve"> </w:t>
      </w:r>
      <w:r>
        <w:rPr>
          <w:spacing w:val="12"/>
        </w:rPr>
        <w:t>万亩</w:t>
      </w:r>
      <w:r>
        <w:rPr>
          <w:spacing w:val="-59"/>
        </w:rPr>
        <w:t xml:space="preserve"> </w:t>
      </w:r>
      <w:r>
        <w:rPr>
          <w:spacing w:val="12"/>
        </w:rPr>
        <w:t>，彭阳“互联</w:t>
      </w:r>
      <w:r>
        <w:rPr>
          <w:spacing w:val="8"/>
        </w:rPr>
        <w:t>网+水利”模式全区推广。东毛、固西、泾</w:t>
      </w:r>
      <w:r>
        <w:rPr>
          <w:spacing w:val="7"/>
        </w:rPr>
        <w:t>华、</w:t>
      </w:r>
      <w:r>
        <w:rPr>
          <w:spacing w:val="7"/>
        </w:rPr>
        <w:t>西会高速建成通车，银昆高速南坪至高寨塬段</w:t>
      </w:r>
      <w:r>
        <w:rPr>
          <w:spacing w:val="1"/>
        </w:rPr>
        <w:t xml:space="preserve"> </w:t>
      </w:r>
      <w:r>
        <w:rPr>
          <w:spacing w:val="5"/>
        </w:rPr>
        <w:t>加快推进，新增高速公路</w:t>
      </w:r>
      <w:r>
        <w:rPr>
          <w:spacing w:val="-16"/>
        </w:rPr>
        <w:t xml:space="preserve"> </w:t>
      </w:r>
      <w:r>
        <w:rPr>
          <w:spacing w:val="5"/>
        </w:rPr>
        <w:t>154</w:t>
      </w:r>
      <w:r>
        <w:rPr>
          <w:spacing w:val="-43"/>
        </w:rPr>
        <w:t xml:space="preserve"> </w:t>
      </w:r>
      <w:r>
        <w:rPr>
          <w:spacing w:val="5"/>
        </w:rPr>
        <w:t>公里、一二级公</w:t>
      </w:r>
      <w:r>
        <w:rPr/>
        <w:t xml:space="preserve"> </w:t>
      </w:r>
      <w:r>
        <w:rPr>
          <w:spacing w:val="6"/>
        </w:rPr>
        <w:t>路</w:t>
      </w:r>
      <w:r>
        <w:rPr>
          <w:spacing w:val="-29"/>
        </w:rPr>
        <w:t xml:space="preserve"> </w:t>
      </w:r>
      <w:r>
        <w:rPr>
          <w:spacing w:val="6"/>
        </w:rPr>
        <w:t>236</w:t>
      </w:r>
      <w:r>
        <w:rPr>
          <w:spacing w:val="-38"/>
        </w:rPr>
        <w:t xml:space="preserve"> </w:t>
      </w:r>
      <w:r>
        <w:rPr>
          <w:spacing w:val="6"/>
        </w:rPr>
        <w:t>公里、其他等级公路</w:t>
      </w:r>
      <w:r>
        <w:rPr>
          <w:spacing w:val="-20"/>
        </w:rPr>
        <w:t xml:space="preserve"> </w:t>
      </w:r>
      <w:r>
        <w:rPr>
          <w:spacing w:val="6"/>
        </w:rPr>
        <w:t>1139</w:t>
      </w:r>
      <w:r>
        <w:rPr>
          <w:spacing w:val="-40"/>
        </w:rPr>
        <w:t xml:space="preserve"> </w:t>
      </w:r>
      <w:r>
        <w:rPr>
          <w:spacing w:val="6"/>
        </w:rPr>
        <w:t>公里</w:t>
      </w:r>
      <w:r>
        <w:rPr>
          <w:spacing w:val="-59"/>
        </w:rPr>
        <w:t xml:space="preserve"> </w:t>
      </w:r>
      <w:r>
        <w:rPr>
          <w:spacing w:val="6"/>
        </w:rPr>
        <w:t>，实现</w:t>
      </w:r>
      <w:r>
        <w:rPr/>
        <w:t xml:space="preserve"> </w:t>
      </w:r>
      <w:r>
        <w:rPr>
          <w:spacing w:val="7"/>
        </w:rPr>
        <w:t>县县通高速、村村通柏油（水泥）路，原州区</w:t>
      </w:r>
      <w:r>
        <w:rPr>
          <w:spacing w:val="1"/>
        </w:rPr>
        <w:t xml:space="preserve"> </w:t>
      </w:r>
      <w:r>
        <w:rPr>
          <w:spacing w:val="6"/>
        </w:rPr>
        <w:t>成为全国首批“</w:t>
      </w:r>
      <w:r>
        <w:rPr>
          <w:spacing w:val="-62"/>
        </w:rPr>
        <w:t xml:space="preserve"> </w:t>
      </w:r>
      <w:r>
        <w:rPr>
          <w:spacing w:val="6"/>
        </w:rPr>
        <w:t>四好农村路”示范县（</w:t>
      </w:r>
      <w:r>
        <w:rPr>
          <w:spacing w:val="-50"/>
        </w:rPr>
        <w:t xml:space="preserve"> </w:t>
      </w:r>
      <w:r>
        <w:rPr>
          <w:spacing w:val="6"/>
        </w:rPr>
        <w:t>区）。</w:t>
      </w:r>
      <w:r>
        <w:rPr>
          <w:spacing w:val="6"/>
        </w:rPr>
        <w:t>六盘山机场新开通北京、福州、重庆等</w:t>
      </w:r>
      <w:r>
        <w:rPr>
          <w:spacing w:val="-31"/>
        </w:rPr>
        <w:t xml:space="preserve"> </w:t>
      </w:r>
      <w:r>
        <w:rPr>
          <w:spacing w:val="6"/>
        </w:rPr>
        <w:t>9</w:t>
      </w:r>
      <w:r>
        <w:rPr>
          <w:spacing w:val="-42"/>
        </w:rPr>
        <w:t xml:space="preserve"> </w:t>
      </w:r>
      <w:r>
        <w:rPr>
          <w:spacing w:val="6"/>
        </w:rPr>
        <w:t>条航</w:t>
      </w:r>
      <w:r>
        <w:rPr>
          <w:spacing w:val="7"/>
        </w:rPr>
        <w:t>线，进入百座以上中型客机时代，年旅客吞吐</w:t>
      </w:r>
      <w:r>
        <w:rPr>
          <w:spacing w:val="1"/>
        </w:rPr>
        <w:t xml:space="preserve"> </w:t>
      </w:r>
      <w:r>
        <w:rPr>
          <w:spacing w:val="11"/>
        </w:rPr>
        <w:t>量突破</w:t>
      </w:r>
      <w:r>
        <w:rPr>
          <w:spacing w:val="-38"/>
        </w:rPr>
        <w:t xml:space="preserve"> </w:t>
      </w:r>
      <w:r>
        <w:rPr>
          <w:spacing w:val="11"/>
        </w:rPr>
        <w:t>38</w:t>
      </w:r>
      <w:r>
        <w:rPr>
          <w:spacing w:val="-41"/>
        </w:rPr>
        <w:t xml:space="preserve"> </w:t>
      </w:r>
      <w:r>
        <w:rPr>
          <w:spacing w:val="11"/>
        </w:rPr>
        <w:t>万人次。“智慧固原”“宽带中国”</w:t>
      </w:r>
    </w:p>
    <w:p>
      <w:pPr>
        <w:pStyle w:val="BodyText"/>
        <w:ind w:left="12" w:right="121" w:hanging="1"/>
        <w:spacing w:before="1" w:line="377" w:lineRule="auto"/>
        <w:rPr/>
      </w:pPr>
      <w:r>
        <w:rPr>
          <w:spacing w:val="7"/>
        </w:rPr>
        <w:t>示范城市建设全面实施，“扶贫云”“旅游云” </w:t>
      </w:r>
      <w:r>
        <w:rPr>
          <w:spacing w:val="10"/>
        </w:rPr>
        <w:t>“政务云”落地运行</w:t>
      </w:r>
      <w:r>
        <w:rPr>
          <w:spacing w:val="-51"/>
        </w:rPr>
        <w:t xml:space="preserve"> </w:t>
      </w:r>
      <w:r>
        <w:rPr>
          <w:spacing w:val="10"/>
        </w:rPr>
        <w:t>，4G</w:t>
      </w:r>
      <w:r>
        <w:rPr>
          <w:spacing w:val="-16"/>
        </w:rPr>
        <w:t xml:space="preserve"> </w:t>
      </w:r>
      <w:r>
        <w:rPr>
          <w:spacing w:val="10"/>
        </w:rPr>
        <w:t>网络实现全覆盖，</w:t>
      </w:r>
    </w:p>
    <w:p>
      <w:pPr>
        <w:pStyle w:val="BodyText"/>
        <w:ind w:left="12" w:right="324"/>
        <w:spacing w:before="8" w:line="378" w:lineRule="auto"/>
        <w:rPr/>
      </w:pPr>
      <w:r>
        <w:rPr>
          <w:spacing w:val="13"/>
        </w:rPr>
        <w:t>行政村光纤覆盖率达</w:t>
      </w:r>
      <w:r>
        <w:rPr>
          <w:spacing w:val="-25"/>
        </w:rPr>
        <w:t xml:space="preserve"> </w:t>
      </w:r>
      <w:r>
        <w:rPr>
          <w:spacing w:val="13"/>
        </w:rPr>
        <w:t>100%。海绵城市建设成</w:t>
      </w:r>
      <w:r>
        <w:rPr>
          <w:spacing w:val="7"/>
        </w:rPr>
        <w:t>效明显</w:t>
      </w:r>
      <w:r>
        <w:rPr>
          <w:spacing w:val="-59"/>
        </w:rPr>
        <w:t xml:space="preserve"> </w:t>
      </w:r>
      <w:r>
        <w:rPr>
          <w:spacing w:val="7"/>
        </w:rPr>
        <w:t>，新改建城市道路街巷</w:t>
      </w:r>
      <w:r>
        <w:rPr>
          <w:spacing w:val="-36"/>
        </w:rPr>
        <w:t xml:space="preserve"> </w:t>
      </w:r>
      <w:r>
        <w:rPr>
          <w:spacing w:val="7"/>
        </w:rPr>
        <w:t>39</w:t>
      </w:r>
      <w:r>
        <w:rPr>
          <w:spacing w:val="-39"/>
        </w:rPr>
        <w:t xml:space="preserve"> </w:t>
      </w:r>
      <w:r>
        <w:rPr>
          <w:spacing w:val="7"/>
        </w:rPr>
        <w:t>条</w:t>
      </w:r>
      <w:r>
        <w:rPr>
          <w:spacing w:val="-59"/>
        </w:rPr>
        <w:t xml:space="preserve"> </w:t>
      </w:r>
      <w:r>
        <w:rPr>
          <w:spacing w:val="7"/>
        </w:rPr>
        <w:t>，拆迁改</w:t>
      </w:r>
      <w:r>
        <w:rPr>
          <w:spacing w:val="5"/>
        </w:rPr>
        <w:t>造六大旧城片区，改造老旧小区</w:t>
      </w:r>
      <w:r>
        <w:rPr>
          <w:spacing w:val="-15"/>
        </w:rPr>
        <w:t xml:space="preserve"> </w:t>
      </w:r>
      <w:r>
        <w:rPr>
          <w:spacing w:val="5"/>
        </w:rPr>
        <w:t>102</w:t>
      </w:r>
      <w:r>
        <w:rPr>
          <w:spacing w:val="-43"/>
        </w:rPr>
        <w:t xml:space="preserve"> </w:t>
      </w:r>
      <w:r>
        <w:rPr>
          <w:spacing w:val="5"/>
        </w:rPr>
        <w:t>个，改造</w:t>
      </w:r>
      <w:r>
        <w:rPr>
          <w:spacing w:val="6"/>
        </w:rPr>
        <w:t>棚户区</w:t>
      </w:r>
      <w:r>
        <w:rPr>
          <w:spacing w:val="-36"/>
        </w:rPr>
        <w:t xml:space="preserve"> </w:t>
      </w:r>
      <w:r>
        <w:rPr>
          <w:spacing w:val="6"/>
        </w:rPr>
        <w:t>3.6</w:t>
      </w:r>
      <w:r>
        <w:rPr>
          <w:spacing w:val="-40"/>
        </w:rPr>
        <w:t xml:space="preserve"> </w:t>
      </w:r>
      <w:r>
        <w:rPr>
          <w:spacing w:val="6"/>
        </w:rPr>
        <w:t>万户，建成清水河综合治理工程、</w:t>
      </w:r>
      <w:r>
        <w:rPr>
          <w:spacing w:val="7"/>
        </w:rPr>
        <w:t>城墙遗址公园等城市绿地项目，人均公园绿地</w:t>
      </w:r>
      <w:r>
        <w:rPr>
          <w:spacing w:val="-3"/>
        </w:rPr>
        <w:t>面积由“十二五”末的</w:t>
      </w:r>
      <w:r>
        <w:rPr>
          <w:spacing w:val="-33"/>
        </w:rPr>
        <w:t xml:space="preserve"> </w:t>
      </w:r>
      <w:r>
        <w:rPr>
          <w:spacing w:val="-3"/>
        </w:rPr>
        <w:t>8.35</w:t>
      </w:r>
      <w:r>
        <w:rPr>
          <w:spacing w:val="-42"/>
        </w:rPr>
        <w:t xml:space="preserve"> </w:t>
      </w:r>
      <w:r>
        <w:rPr>
          <w:spacing w:val="-3"/>
        </w:rPr>
        <w:t>平方米提高到26.81</w:t>
      </w:r>
      <w:r>
        <w:rPr>
          <w:spacing w:val="7"/>
        </w:rPr>
        <w:t>平方米，相继创成国家园林城市、国家卫生城</w:t>
      </w:r>
      <w:r>
        <w:rPr>
          <w:spacing w:val="7"/>
        </w:rPr>
        <w:t>市和自治区文明城市，常住人口城镇化率提高</w:t>
      </w:r>
      <w:r>
        <w:rPr>
          <w:spacing w:val="5"/>
        </w:rPr>
        <w:t>到</w:t>
      </w:r>
      <w:r>
        <w:rPr>
          <w:spacing w:val="-42"/>
        </w:rPr>
        <w:t xml:space="preserve"> </w:t>
      </w:r>
      <w:r>
        <w:rPr>
          <w:spacing w:val="5"/>
        </w:rPr>
        <w:t>42.4%。</w:t>
      </w:r>
    </w:p>
    <w:p>
      <w:pPr>
        <w:pStyle w:val="BodyText"/>
        <w:ind w:left="452"/>
        <w:spacing w:line="219" w:lineRule="auto"/>
        <w:rPr/>
      </w:pPr>
      <w:r>
        <w:rPr>
          <w:spacing w:val="5"/>
        </w:rPr>
        <w:t>民生事业发展成效显著。财政支出优先保</w:t>
      </w:r>
    </w:p>
    <w:p>
      <w:pPr>
        <w:pStyle w:val="BodyText"/>
        <w:ind w:left="26"/>
        <w:spacing w:before="168" w:line="278" w:lineRule="exact"/>
        <w:outlineLvl w:val="0"/>
        <w:rPr/>
      </w:pPr>
      <w:r>
        <w:rPr>
          <w:spacing w:val="8"/>
          <w:position w:val="1"/>
        </w:rPr>
        <w:t>障民生投入，累计办理民生实事</w:t>
      </w:r>
      <w:r>
        <w:rPr>
          <w:spacing w:val="-30"/>
          <w:position w:val="1"/>
        </w:rPr>
        <w:t xml:space="preserve"> </w:t>
      </w:r>
      <w:r>
        <w:rPr>
          <w:spacing w:val="8"/>
          <w:position w:val="1"/>
        </w:rPr>
        <w:t>79</w:t>
      </w:r>
      <w:r>
        <w:rPr>
          <w:spacing w:val="-38"/>
          <w:position w:val="1"/>
        </w:rPr>
        <w:t xml:space="preserve"> </w:t>
      </w:r>
      <w:r>
        <w:rPr>
          <w:spacing w:val="8"/>
          <w:position w:val="1"/>
        </w:rPr>
        <w:t>件</w:t>
      </w:r>
      <w:r>
        <w:rPr>
          <w:spacing w:val="-58"/>
          <w:position w:val="1"/>
        </w:rPr>
        <w:t xml:space="preserve"> </w:t>
      </w:r>
      <w:r>
        <w:rPr>
          <w:spacing w:val="8"/>
          <w:position w:val="1"/>
        </w:rPr>
        <w:t>，民生</w:t>
      </w:r>
    </w:p>
    <w:p>
      <w:pPr>
        <w:pStyle w:val="BodyText"/>
        <w:ind w:left="12" w:right="322" w:firstLine="1"/>
        <w:spacing w:before="132" w:line="347" w:lineRule="auto"/>
        <w:jc w:val="both"/>
        <w:rPr/>
      </w:pPr>
      <w:r>
        <w:rPr>
          <w:spacing w:val="8"/>
        </w:rPr>
        <w:t>投入占财政支出</w:t>
      </w:r>
      <w:r>
        <w:rPr>
          <w:spacing w:val="-22"/>
        </w:rPr>
        <w:t xml:space="preserve"> </w:t>
      </w:r>
      <w:r>
        <w:rPr>
          <w:spacing w:val="8"/>
        </w:rPr>
        <w:t>80%以上。深入实施教育惠民</w:t>
      </w:r>
      <w:r>
        <w:rPr>
          <w:spacing w:val="8"/>
        </w:rPr>
        <w:t>工程，学龄儿童入学率</w:t>
      </w:r>
      <w:r>
        <w:rPr>
          <w:spacing w:val="-14"/>
        </w:rPr>
        <w:t xml:space="preserve"> </w:t>
      </w:r>
      <w:r>
        <w:rPr>
          <w:spacing w:val="8"/>
        </w:rPr>
        <w:t>100%</w:t>
      </w:r>
      <w:r>
        <w:rPr>
          <w:spacing w:val="-59"/>
        </w:rPr>
        <w:t xml:space="preserve"> </w:t>
      </w:r>
      <w:r>
        <w:rPr>
          <w:spacing w:val="8"/>
        </w:rPr>
        <w:t>，五县（</w:t>
      </w:r>
      <w:r>
        <w:rPr>
          <w:spacing w:val="-50"/>
        </w:rPr>
        <w:t xml:space="preserve"> </w:t>
      </w:r>
      <w:r>
        <w:rPr>
          <w:spacing w:val="8"/>
        </w:rPr>
        <w:t>区）义</w:t>
      </w:r>
      <w:r>
        <w:rPr>
          <w:spacing w:val="7"/>
        </w:rPr>
        <w:t>务教育基本均衡发展全部通过国家评估认定，</w:t>
      </w:r>
      <w:r>
        <w:rPr>
          <w:spacing w:val="6"/>
        </w:rPr>
        <w:t>高中阶段教育毛入学率提高</w:t>
      </w:r>
      <w:r>
        <w:rPr>
          <w:spacing w:val="-36"/>
        </w:rPr>
        <w:t xml:space="preserve"> </w:t>
      </w:r>
      <w:r>
        <w:rPr>
          <w:spacing w:val="6"/>
        </w:rPr>
        <w:t>3.5</w:t>
      </w:r>
      <w:r>
        <w:rPr>
          <w:spacing w:val="-43"/>
        </w:rPr>
        <w:t xml:space="preserve"> </w:t>
      </w:r>
      <w:r>
        <w:rPr>
          <w:spacing w:val="6"/>
        </w:rPr>
        <w:t>个百分点实现</w:t>
      </w:r>
      <w:r>
        <w:rPr>
          <w:spacing w:val="11"/>
        </w:rPr>
        <w:t>普及目标，中等职业教育就业率保持在98%以</w:t>
      </w:r>
    </w:p>
    <w:p>
      <w:pPr>
        <w:spacing w:line="14" w:lineRule="auto"/>
        <w:rPr>
          <w:rFonts w:ascii="Arial"/>
          <w:sz w:val="2"/>
        </w:rPr>
      </w:pPr>
      <w:r>
        <w:rPr>
          <w:rFonts w:ascii="Arial" w:hAnsi="Arial" w:eastAsia="Arial" w:cs="Arial"/>
          <w:sz w:val="2"/>
          <w:szCs w:val="2"/>
        </w:rPr>
        <w:br w:type="column"/>
      </w:r>
    </w:p>
    <w:p>
      <w:pPr>
        <w:pStyle w:val="BodyText"/>
        <w:ind w:firstLine="2"/>
        <w:spacing w:before="47" w:line="376" w:lineRule="auto"/>
        <w:jc w:val="both"/>
        <w:rPr/>
      </w:pPr>
      <w:r>
        <w:rPr>
          <w:spacing w:val="7"/>
        </w:rPr>
        <w:t>上，宁夏师范学院成为硕士学位授予单位。疫</w:t>
      </w:r>
      <w:r>
        <w:rPr>
          <w:spacing w:val="-16"/>
        </w:rPr>
        <w:t>情防控工作常态化推进，市、县（区）、乡（</w:t>
      </w:r>
      <w:r>
        <w:rPr>
          <w:spacing w:val="-17"/>
        </w:rPr>
        <w:t>镇）、</w:t>
      </w:r>
      <w:r>
        <w:rPr>
          <w:spacing w:val="7"/>
        </w:rPr>
        <w:t>村四级医疗服务网络构建形成，市人民医院迁</w:t>
      </w:r>
      <w:r>
        <w:rPr>
          <w:spacing w:val="7"/>
        </w:rPr>
        <w:t>建投运，每千人口医疗机构床位数和每千人口</w:t>
      </w:r>
      <w:r>
        <w:rPr>
          <w:spacing w:val="8"/>
        </w:rPr>
        <w:t>拥有执业（助理）</w:t>
      </w:r>
      <w:r>
        <w:rPr>
          <w:spacing w:val="-58"/>
        </w:rPr>
        <w:t xml:space="preserve"> </w:t>
      </w:r>
      <w:r>
        <w:rPr>
          <w:spacing w:val="8"/>
        </w:rPr>
        <w:t>医师数分别达到</w:t>
      </w:r>
      <w:r>
        <w:rPr>
          <w:spacing w:val="-34"/>
        </w:rPr>
        <w:t xml:space="preserve"> </w:t>
      </w:r>
      <w:r>
        <w:rPr>
          <w:spacing w:val="8"/>
        </w:rPr>
        <w:t>5.63</w:t>
      </w:r>
      <w:r>
        <w:rPr>
          <w:spacing w:val="-28"/>
        </w:rPr>
        <w:t xml:space="preserve"> </w:t>
      </w:r>
      <w:r>
        <w:rPr>
          <w:spacing w:val="8"/>
        </w:rPr>
        <w:t>张和</w:t>
      </w:r>
      <w:r>
        <w:rPr>
          <w:spacing w:val="4"/>
        </w:rPr>
        <w:t>2.83</w:t>
      </w:r>
      <w:r>
        <w:rPr>
          <w:spacing w:val="-40"/>
        </w:rPr>
        <w:t xml:space="preserve"> </w:t>
      </w:r>
      <w:r>
        <w:rPr>
          <w:spacing w:val="4"/>
        </w:rPr>
        <w:t>人，公共卫生和医疗服务能力水平大幅提</w:t>
      </w:r>
      <w:r>
        <w:rPr>
          <w:spacing w:val="7"/>
        </w:rPr>
        <w:t>升。城乡居民基本医疗保险、基本养老保险参</w:t>
      </w:r>
      <w:r>
        <w:rPr>
          <w:spacing w:val="1"/>
        </w:rPr>
        <w:t>保人数分别达到</w:t>
      </w:r>
      <w:r>
        <w:rPr>
          <w:spacing w:val="-10"/>
        </w:rPr>
        <w:t xml:space="preserve"> </w:t>
      </w:r>
      <w:r>
        <w:rPr>
          <w:spacing w:val="1"/>
        </w:rPr>
        <w:t>121.75</w:t>
      </w:r>
      <w:r>
        <w:rPr>
          <w:spacing w:val="-35"/>
        </w:rPr>
        <w:t xml:space="preserve"> </w:t>
      </w:r>
      <w:r>
        <w:rPr>
          <w:spacing w:val="1"/>
        </w:rPr>
        <w:t>万人和</w:t>
      </w:r>
      <w:r>
        <w:rPr>
          <w:spacing w:val="-37"/>
        </w:rPr>
        <w:t xml:space="preserve"> </w:t>
      </w:r>
      <w:r>
        <w:rPr>
          <w:spacing w:val="1"/>
        </w:rPr>
        <w:t>61.5</w:t>
      </w:r>
      <w:r>
        <w:rPr>
          <w:spacing w:val="-35"/>
        </w:rPr>
        <w:t xml:space="preserve"> </w:t>
      </w:r>
      <w:r>
        <w:rPr>
          <w:spacing w:val="1"/>
        </w:rPr>
        <w:t>万人</w:t>
      </w:r>
      <w:r>
        <w:rPr>
          <w:spacing w:val="-56"/>
        </w:rPr>
        <w:t xml:space="preserve"> </w:t>
      </w:r>
      <w:r>
        <w:rPr>
          <w:spacing w:val="1"/>
        </w:rPr>
        <w:t>，城</w:t>
      </w:r>
      <w:r>
        <w:rPr/>
        <w:t>乡低保</w:t>
      </w:r>
      <w:r>
        <w:rPr>
          <w:spacing w:val="-11"/>
        </w:rPr>
        <w:t xml:space="preserve"> </w:t>
      </w:r>
      <w:r>
        <w:rPr/>
        <w:t>17.5</w:t>
      </w:r>
      <w:r>
        <w:rPr>
          <w:spacing w:val="-41"/>
        </w:rPr>
        <w:t xml:space="preserve"> </w:t>
      </w:r>
      <w:r>
        <w:rPr/>
        <w:t>万人，社会保障能力不断增强。累</w:t>
      </w:r>
      <w:r>
        <w:rPr>
          <w:spacing w:val="1"/>
        </w:rPr>
        <w:t>计实现城镇新增就业</w:t>
      </w:r>
      <w:r>
        <w:rPr>
          <w:spacing w:val="-31"/>
        </w:rPr>
        <w:t xml:space="preserve"> </w:t>
      </w:r>
      <w:r>
        <w:rPr>
          <w:spacing w:val="1"/>
        </w:rPr>
        <w:t>4.79</w:t>
      </w:r>
      <w:r>
        <w:rPr>
          <w:spacing w:val="-40"/>
        </w:rPr>
        <w:t xml:space="preserve"> </w:t>
      </w:r>
      <w:r>
        <w:rPr>
          <w:spacing w:val="1"/>
        </w:rPr>
        <w:t>万人，农村劳动力转</w:t>
      </w:r>
      <w:r>
        <w:rPr>
          <w:spacing w:val="23"/>
        </w:rPr>
        <w:t>移就业</w:t>
      </w:r>
      <w:r>
        <w:rPr>
          <w:spacing w:val="-50"/>
        </w:rPr>
        <w:t xml:space="preserve"> </w:t>
      </w:r>
      <w:r>
        <w:rPr>
          <w:spacing w:val="23"/>
        </w:rPr>
        <w:t>收入</w:t>
      </w:r>
      <w:r>
        <w:rPr>
          <w:spacing w:val="-12"/>
        </w:rPr>
        <w:t xml:space="preserve"> </w:t>
      </w:r>
      <w:r>
        <w:rPr>
          <w:spacing w:val="23"/>
        </w:rPr>
        <w:t>63</w:t>
      </w:r>
      <w:r>
        <w:rPr>
          <w:spacing w:val="-12"/>
        </w:rPr>
        <w:t xml:space="preserve"> </w:t>
      </w:r>
      <w:r>
        <w:rPr>
          <w:spacing w:val="23"/>
        </w:rPr>
        <w:t>亿元</w:t>
      </w:r>
      <w:r>
        <w:rPr>
          <w:spacing w:val="-33"/>
        </w:rPr>
        <w:t xml:space="preserve"> </w:t>
      </w:r>
      <w:r>
        <w:rPr>
          <w:spacing w:val="23"/>
        </w:rPr>
        <w:t>，城镇登记失业率</w:t>
      </w:r>
      <w:r>
        <w:rPr>
          <w:spacing w:val="-59"/>
        </w:rPr>
        <w:t xml:space="preserve"> </w:t>
      </w:r>
      <w:r>
        <w:rPr>
          <w:spacing w:val="23"/>
        </w:rPr>
        <w:t>为</w:t>
      </w:r>
      <w:r>
        <w:rPr>
          <w:spacing w:val="6"/>
        </w:rPr>
        <w:t>3.6%，就业水平整体增强。创成全国公共文化</w:t>
      </w:r>
      <w:r>
        <w:rPr>
          <w:spacing w:val="7"/>
        </w:rPr>
        <w:t>服务体系示范市和旅游标准化示范单位，文化</w:t>
      </w:r>
      <w:r>
        <w:rPr>
          <w:spacing w:val="7"/>
        </w:rPr>
        <w:t>大院创建经验在西部五省区推广。城乡居民人</w:t>
      </w:r>
      <w:r>
        <w:rPr>
          <w:spacing w:val="5"/>
        </w:rPr>
        <w:t>均可支配收入年均分别增长</w:t>
      </w:r>
      <w:r>
        <w:rPr>
          <w:spacing w:val="-43"/>
        </w:rPr>
        <w:t xml:space="preserve"> </w:t>
      </w:r>
      <w:r>
        <w:rPr>
          <w:spacing w:val="5"/>
        </w:rPr>
        <w:t>7.3%和</w:t>
      </w:r>
      <w:r>
        <w:rPr>
          <w:spacing w:val="-22"/>
        </w:rPr>
        <w:t xml:space="preserve"> </w:t>
      </w:r>
      <w:r>
        <w:rPr>
          <w:spacing w:val="5"/>
        </w:rPr>
        <w:t>11.</w:t>
      </w:r>
      <w:r>
        <w:rPr>
          <w:spacing w:val="4"/>
        </w:rPr>
        <w:t>1%，高</w:t>
      </w:r>
      <w:r>
        <w:rPr>
          <w:spacing w:val="8"/>
        </w:rPr>
        <w:t>于经济增长速度。</w:t>
      </w:r>
    </w:p>
    <w:p>
      <w:pPr>
        <w:pStyle w:val="BodyText"/>
        <w:ind w:left="2" w:right="80" w:firstLine="421"/>
        <w:spacing w:before="33" w:line="301" w:lineRule="auto"/>
        <w:outlineLvl w:val="0"/>
        <w:rPr/>
      </w:pPr>
      <w:r>
        <w:rPr>
          <w:spacing w:val="8"/>
        </w:rPr>
        <w:t>改革开放取得丰硕成果。794</w:t>
      </w:r>
      <w:r>
        <w:rPr>
          <w:spacing w:val="-28"/>
        </w:rPr>
        <w:t xml:space="preserve"> </w:t>
      </w:r>
      <w:r>
        <w:rPr>
          <w:spacing w:val="8"/>
        </w:rPr>
        <w:t>项重点改革</w:t>
      </w:r>
      <w:r>
        <w:rPr>
          <w:spacing w:val="5"/>
        </w:rPr>
        <w:t>任务全面推进，创造了一批“</w:t>
      </w:r>
      <w:r>
        <w:rPr>
          <w:spacing w:val="-57"/>
        </w:rPr>
        <w:t xml:space="preserve"> </w:t>
      </w:r>
      <w:r>
        <w:rPr>
          <w:spacing w:val="5"/>
        </w:rPr>
        <w:t>固原经验”，金</w:t>
      </w:r>
    </w:p>
    <w:p>
      <w:pPr>
        <w:pStyle w:val="BodyText"/>
        <w:ind w:right="5" w:firstLine="1"/>
        <w:spacing w:before="169" w:line="367" w:lineRule="auto"/>
        <w:rPr/>
      </w:pPr>
      <w:r>
        <w:rPr>
          <w:spacing w:val="11"/>
        </w:rPr>
        <w:t>融扶贫“蔡川模式”、涉农资金“331”监管</w:t>
      </w:r>
      <w:r>
        <w:rPr>
          <w:spacing w:val="7"/>
        </w:rPr>
        <w:t>机制、城市综合执法体制改革、农村集体产权</w:t>
      </w:r>
      <w:r>
        <w:rPr>
          <w:spacing w:val="7"/>
        </w:rPr>
        <w:t>制度改革、供销社综合改革等做法在全国全区</w:t>
      </w:r>
      <w:r>
        <w:rPr>
          <w:spacing w:val="8"/>
        </w:rPr>
        <w:t>推广。深化“放管服”改革</w:t>
      </w:r>
      <w:r>
        <w:rPr>
          <w:spacing w:val="-50"/>
        </w:rPr>
        <w:t xml:space="preserve"> </w:t>
      </w:r>
      <w:r>
        <w:rPr>
          <w:spacing w:val="8"/>
        </w:rPr>
        <w:t>，实现“</w:t>
      </w:r>
      <w:r>
        <w:rPr>
          <w:spacing w:val="-73"/>
        </w:rPr>
        <w:t xml:space="preserve"> </w:t>
      </w:r>
      <w:r>
        <w:rPr>
          <w:spacing w:val="8"/>
        </w:rPr>
        <w:t>163”政</w:t>
      </w:r>
      <w:r>
        <w:rPr>
          <w:spacing w:val="15"/>
        </w:rPr>
        <w:t>务服务模式市县一体化</w:t>
      </w:r>
      <w:r>
        <w:rPr>
          <w:spacing w:val="-40"/>
        </w:rPr>
        <w:t xml:space="preserve"> </w:t>
      </w:r>
      <w:r>
        <w:rPr>
          <w:spacing w:val="15"/>
        </w:rPr>
        <w:t>，加速政务服务事项</w:t>
      </w:r>
      <w:r>
        <w:rPr>
          <w:spacing w:val="-3"/>
        </w:rPr>
        <w:t>“市域通办”、“跨省通办”、“网上办”“掌</w:t>
      </w:r>
      <w:r>
        <w:rPr>
          <w:spacing w:val="10"/>
        </w:rPr>
        <w:t>上办”</w:t>
      </w:r>
      <w:r>
        <w:rPr>
          <w:spacing w:val="-63"/>
        </w:rPr>
        <w:t xml:space="preserve"> </w:t>
      </w:r>
      <w:r>
        <w:rPr>
          <w:spacing w:val="10"/>
        </w:rPr>
        <w:t>，90%以上的依申请办理事项实现“一</w:t>
      </w:r>
      <w:r>
        <w:rPr>
          <w:spacing w:val="-3"/>
        </w:rPr>
        <w:t>窗”无差别受理和网上申报，企业开办实现“零</w:t>
      </w:r>
      <w:r>
        <w:rPr>
          <w:spacing w:val="10"/>
        </w:rPr>
        <w:t>成本”1</w:t>
      </w:r>
      <w:r>
        <w:rPr>
          <w:spacing w:val="-40"/>
        </w:rPr>
        <w:t xml:space="preserve"> </w:t>
      </w:r>
      <w:r>
        <w:rPr>
          <w:spacing w:val="10"/>
        </w:rPr>
        <w:t>个工作日办结，营商环境持续改善。</w:t>
      </w:r>
      <w:r>
        <w:rPr>
          <w:spacing w:val="7"/>
        </w:rPr>
        <w:t>对外合作成效显著，组织企业分别赴沙特、约</w:t>
      </w:r>
      <w:r>
        <w:rPr>
          <w:spacing w:val="7"/>
        </w:rPr>
        <w:t>旦、伊朗、俄罗斯、美国等地参加各类展会和</w:t>
      </w:r>
      <w:r>
        <w:rPr>
          <w:spacing w:val="1"/>
        </w:rPr>
        <w:t>中阿博览会，开拓“一带一路”沿线国家市场。</w:t>
      </w:r>
      <w:r>
        <w:rPr>
          <w:spacing w:val="11"/>
        </w:rPr>
        <w:t>成功举办陕甘川宁经联会、第</w:t>
      </w:r>
      <w:r>
        <w:rPr>
          <w:spacing w:val="-33"/>
        </w:rPr>
        <w:t xml:space="preserve"> </w:t>
      </w:r>
      <w:r>
        <w:rPr>
          <w:spacing w:val="11"/>
        </w:rPr>
        <w:t>28</w:t>
      </w:r>
      <w:r>
        <w:rPr>
          <w:spacing w:val="-40"/>
        </w:rPr>
        <w:t xml:space="preserve"> </w:t>
      </w:r>
      <w:r>
        <w:rPr>
          <w:spacing w:val="11"/>
        </w:rPr>
        <w:t>届中国西部</w:t>
      </w:r>
      <w:r>
        <w:rPr>
          <w:spacing w:val="9"/>
        </w:rPr>
        <w:t>商品交易会、固原市商品贸易投资交易大会、</w:t>
      </w:r>
    </w:p>
    <w:p>
      <w:pPr>
        <w:spacing w:line="367" w:lineRule="auto"/>
        <w:sectPr>
          <w:type w:val="continuous"/>
          <w:pgSz w:w="11906" w:h="16839"/>
          <w:pgMar w:top="1793" w:right="1507" w:bottom="1570" w:left="1579" w:header="1428" w:footer="1172" w:gutter="0"/>
          <w:cols w:equalWidth="0" w:num="2">
            <w:col w:w="4489" w:space="100"/>
            <w:col w:w="4231" w:space="0"/>
          </w:cols>
        </w:sectPr>
        <w:rPr/>
      </w:pPr>
    </w:p>
    <w:p>
      <w:pPr>
        <w:spacing w:before="45"/>
        <w:rPr/>
      </w:pPr>
      <w:r/>
    </w:p>
    <w:p>
      <w:pPr>
        <w:sectPr>
          <w:headerReference w:type="default" r:id="rId159"/>
          <w:footerReference w:type="default" r:id="rId160"/>
          <w:pgSz w:w="11906" w:h="16839"/>
          <w:pgMar w:top="1793" w:right="1385" w:bottom="1672" w:left="1521" w:header="1428" w:footer="1277" w:gutter="0"/>
          <w:cols w:equalWidth="0" w:num="1">
            <w:col w:w="9000" w:space="0"/>
          </w:cols>
        </w:sectPr>
        <w:rPr/>
      </w:pPr>
    </w:p>
    <w:p>
      <w:pPr>
        <w:pStyle w:val="BodyText"/>
        <w:ind w:left="70" w:right="328" w:hanging="2"/>
        <w:spacing w:before="52" w:line="378" w:lineRule="auto"/>
        <w:jc w:val="both"/>
        <w:rPr/>
      </w:pPr>
      <w:r>
        <w:rPr>
          <w:spacing w:val="7"/>
        </w:rPr>
        <w:t>农产品电商博览会等重大商贸活动，常态化对</w:t>
      </w:r>
      <w:r>
        <w:rPr>
          <w:spacing w:val="18"/>
        </w:rPr>
        <w:t>外交流活动日益紧密。开辟招商引资绿色通</w:t>
      </w:r>
      <w:r>
        <w:rPr>
          <w:spacing w:val="6"/>
        </w:rPr>
        <w:t>道，累计招商到位资金</w:t>
      </w:r>
      <w:r>
        <w:rPr>
          <w:spacing w:val="-41"/>
        </w:rPr>
        <w:t xml:space="preserve"> </w:t>
      </w:r>
      <w:r>
        <w:rPr>
          <w:spacing w:val="6"/>
        </w:rPr>
        <w:t>762.8</w:t>
      </w:r>
      <w:r>
        <w:rPr>
          <w:spacing w:val="-44"/>
        </w:rPr>
        <w:t xml:space="preserve"> </w:t>
      </w:r>
      <w:r>
        <w:rPr>
          <w:spacing w:val="6"/>
        </w:rPr>
        <w:t>亿元，有效激发</w:t>
      </w:r>
      <w:r>
        <w:rPr>
          <w:spacing w:val="7"/>
        </w:rPr>
        <w:t>了市场主体及经济发展活力，全市市场主体数</w:t>
      </w:r>
      <w:r>
        <w:rPr>
          <w:spacing w:val="-2"/>
        </w:rPr>
        <w:t>量增长</w:t>
      </w:r>
      <w:r>
        <w:rPr>
          <w:spacing w:val="-42"/>
        </w:rPr>
        <w:t xml:space="preserve"> </w:t>
      </w:r>
      <w:r>
        <w:rPr>
          <w:spacing w:val="-2"/>
        </w:rPr>
        <w:t>2.1</w:t>
      </w:r>
      <w:r>
        <w:rPr>
          <w:spacing w:val="-44"/>
        </w:rPr>
        <w:t xml:space="preserve"> </w:t>
      </w:r>
      <w:r>
        <w:rPr>
          <w:spacing w:val="-2"/>
        </w:rPr>
        <w:t>倍。</w:t>
      </w:r>
    </w:p>
    <w:p>
      <w:pPr>
        <w:pStyle w:val="BodyText"/>
        <w:ind w:left="490"/>
        <w:spacing w:line="218" w:lineRule="auto"/>
        <w:rPr/>
      </w:pPr>
      <w:r>
        <w:rPr>
          <w:spacing w:val="7"/>
        </w:rPr>
        <w:t>基层治理水平明显提升。治理机制架构更</w:t>
      </w:r>
    </w:p>
    <w:p>
      <w:pPr>
        <w:pStyle w:val="BodyText"/>
        <w:ind w:left="72"/>
        <w:spacing w:before="163" w:line="221" w:lineRule="auto"/>
        <w:outlineLvl w:val="0"/>
        <w:rPr/>
      </w:pPr>
      <w:r>
        <w:rPr>
          <w:spacing w:val="7"/>
        </w:rPr>
        <w:t>加健全，坚持“枫桥经验”本地化实践，深入</w:t>
      </w:r>
    </w:p>
    <w:p>
      <w:pPr>
        <w:pStyle w:val="BodyText"/>
        <w:ind w:left="69" w:right="248" w:firstLine="6"/>
        <w:spacing w:before="162" w:line="369" w:lineRule="auto"/>
        <w:jc w:val="right"/>
        <w:rPr/>
      </w:pPr>
      <w:r>
        <w:rPr>
          <w:spacing w:val="17"/>
        </w:rPr>
        <w:t>开展群众反映强烈突出问题大排查大化解专</w:t>
      </w:r>
      <w:r>
        <w:rPr>
          <w:spacing w:val="7"/>
        </w:rPr>
        <w:t>项行动，矛盾纠纷多元化解机制逐步建立。乡</w:t>
      </w:r>
      <w:r>
        <w:rPr>
          <w:spacing w:val="7"/>
        </w:rPr>
        <w:t>村、社区、宗教、校园、企业、社团等重点领</w:t>
      </w:r>
      <w:r>
        <w:rPr>
          <w:spacing w:val="7"/>
        </w:rPr>
        <w:t>域治理扎实推进，乡村文明实践积分卡“兴盛</w:t>
      </w:r>
      <w:r>
        <w:rPr>
          <w:spacing w:val="7"/>
        </w:rPr>
        <w:t>模式”在全国全区推广，社区治理向补齐短板</w:t>
      </w:r>
      <w:r>
        <w:rPr>
          <w:spacing w:val="7"/>
        </w:rPr>
        <w:t>弱项深入，宗教领域突出问题治理取得了重大</w:t>
      </w:r>
      <w:r>
        <w:rPr>
          <w:spacing w:val="7"/>
        </w:rPr>
        <w:t>阶段性成果，校园治理向安全防范推进，信用</w:t>
      </w:r>
      <w:r>
        <w:rPr>
          <w:spacing w:val="7"/>
        </w:rPr>
        <w:t>固原建设全面推行，社团治理依法管理。平安</w:t>
      </w:r>
      <w:r>
        <w:rPr>
          <w:spacing w:val="7"/>
        </w:rPr>
        <w:t>建设基础更加牢固，扫黑除恶专项斗争取得明</w:t>
      </w:r>
      <w:r>
        <w:rPr>
          <w:spacing w:val="7"/>
        </w:rPr>
        <w:t>显成效，社会乱象治理工作得到中央督导组肯</w:t>
      </w:r>
      <w:r>
        <w:rPr>
          <w:spacing w:val="7"/>
        </w:rPr>
        <w:t>定，公众安全感连续八年位居全区第一，安全</w:t>
      </w:r>
      <w:r>
        <w:rPr>
          <w:spacing w:val="7"/>
        </w:rPr>
        <w:t>生产形势总体平稳。创成全国民族团结进步示</w:t>
      </w:r>
      <w:r>
        <w:rPr>
          <w:spacing w:val="7"/>
        </w:rPr>
        <w:t>范市，民族团结宗教和顺社会和谐局面更加巩</w:t>
      </w:r>
      <w:r>
        <w:rPr>
          <w:spacing w:val="-8"/>
        </w:rPr>
        <w:t>固，人民群众获得感、幸福感、安全感不断提升。</w:t>
      </w:r>
      <w:r>
        <w:rPr>
          <w:spacing w:val="7"/>
        </w:rPr>
        <w:t>全面从严治党纵深推进。“两学一做”学</w:t>
      </w:r>
    </w:p>
    <w:p>
      <w:pPr>
        <w:pStyle w:val="BodyText"/>
        <w:ind w:left="84"/>
        <w:spacing w:before="1" w:line="221" w:lineRule="auto"/>
        <w:outlineLvl w:val="0"/>
        <w:rPr/>
      </w:pPr>
      <w:r>
        <w:rPr>
          <w:spacing w:val="6"/>
        </w:rPr>
        <w:t>习教育常态化制度化开展，“不忘初心、牢记</w:t>
      </w:r>
    </w:p>
    <w:p>
      <w:pPr>
        <w:spacing w:line="161" w:lineRule="exact"/>
        <w:rPr/>
      </w:pPr>
      <w:r/>
    </w:p>
    <w:p>
      <w:pPr>
        <w:spacing w:line="14" w:lineRule="auto"/>
        <w:rPr>
          <w:rFonts w:ascii="Arial"/>
          <w:sz w:val="2"/>
        </w:rPr>
      </w:pPr>
      <w:r>
        <w:rPr>
          <w:rFonts w:ascii="Arial" w:hAnsi="Arial" w:eastAsia="Arial" w:cs="Arial"/>
          <w:sz w:val="2"/>
          <w:szCs w:val="2"/>
        </w:rPr>
        <w:br w:type="column"/>
      </w:r>
    </w:p>
    <w:p>
      <w:pPr>
        <w:pStyle w:val="BodyText"/>
        <w:spacing w:before="46" w:line="369" w:lineRule="auto"/>
        <w:rPr/>
      </w:pPr>
      <w:r>
        <w:rPr>
          <w:spacing w:val="7"/>
        </w:rPr>
        <w:t>使命”主题教育和“担当新使命、展现新作为”</w:t>
      </w:r>
      <w:r>
        <w:rPr>
          <w:spacing w:val="7"/>
        </w:rPr>
        <w:t>学习实践活动成效明显，“三个一线”工作法</w:t>
      </w:r>
      <w:r>
        <w:rPr>
          <w:spacing w:val="1"/>
        </w:rPr>
        <w:t xml:space="preserve"> </w:t>
      </w:r>
      <w:r>
        <w:rPr>
          <w:spacing w:val="-3"/>
        </w:rPr>
        <w:t>和“五个一”初心体验总结推广。农村党建“三</w:t>
      </w:r>
      <w:r>
        <w:rPr>
          <w:spacing w:val="3"/>
        </w:rPr>
        <w:t xml:space="preserve"> </w:t>
      </w:r>
      <w:r>
        <w:rPr>
          <w:spacing w:val="7"/>
        </w:rPr>
        <w:t>大三强”行动和“两个带头人”长效机制建立</w:t>
      </w:r>
      <w:r>
        <w:rPr>
          <w:spacing w:val="1"/>
        </w:rPr>
        <w:t xml:space="preserve"> </w:t>
      </w:r>
      <w:r>
        <w:rPr>
          <w:spacing w:val="9"/>
        </w:rPr>
        <w:t>健全，机关党建“三强九严”工程不断深化，</w:t>
      </w:r>
    </w:p>
    <w:p>
      <w:pPr>
        <w:pStyle w:val="BodyText"/>
        <w:ind w:right="182" w:firstLine="1"/>
        <w:spacing w:before="7" w:line="367" w:lineRule="auto"/>
        <w:rPr/>
      </w:pPr>
      <w:r>
        <w:rPr>
          <w:spacing w:val="5"/>
        </w:rPr>
        <w:t>城市基层党建“</w:t>
      </w:r>
      <w:r>
        <w:rPr>
          <w:spacing w:val="-57"/>
        </w:rPr>
        <w:t xml:space="preserve"> </w:t>
      </w:r>
      <w:r>
        <w:rPr>
          <w:spacing w:val="5"/>
        </w:rPr>
        <w:t>四联四化”持续推进，社会组</w:t>
      </w:r>
      <w:r>
        <w:rPr>
          <w:spacing w:val="7"/>
        </w:rPr>
        <w:t>织党建“五强五促”行动深入实施，“双评双</w:t>
      </w:r>
      <w:r>
        <w:rPr>
          <w:spacing w:val="5"/>
        </w:rPr>
        <w:t>定”活动扎实开展，累计向</w:t>
      </w:r>
      <w:r>
        <w:rPr>
          <w:spacing w:val="-15"/>
        </w:rPr>
        <w:t xml:space="preserve"> </w:t>
      </w:r>
      <w:r>
        <w:rPr>
          <w:spacing w:val="5"/>
        </w:rPr>
        <w:t>196</w:t>
      </w:r>
      <w:r>
        <w:rPr>
          <w:spacing w:val="-43"/>
        </w:rPr>
        <w:t xml:space="preserve"> </w:t>
      </w:r>
      <w:r>
        <w:rPr>
          <w:spacing w:val="5"/>
        </w:rPr>
        <w:t>个农村基层党</w:t>
      </w:r>
      <w:r>
        <w:rPr>
          <w:spacing w:val="9"/>
        </w:rPr>
        <w:t>组织和</w:t>
      </w:r>
      <w:r>
        <w:rPr>
          <w:spacing w:val="-40"/>
        </w:rPr>
        <w:t xml:space="preserve"> </w:t>
      </w:r>
      <w:r>
        <w:rPr>
          <w:spacing w:val="9"/>
        </w:rPr>
        <w:t>7851</w:t>
      </w:r>
      <w:r>
        <w:rPr>
          <w:spacing w:val="-35"/>
        </w:rPr>
        <w:t xml:space="preserve"> </w:t>
      </w:r>
      <w:r>
        <w:rPr>
          <w:spacing w:val="9"/>
        </w:rPr>
        <w:t>名农村党员亮“黄星”</w:t>
      </w:r>
      <w:r>
        <w:rPr>
          <w:spacing w:val="-67"/>
        </w:rPr>
        <w:t xml:space="preserve"> </w:t>
      </w:r>
      <w:r>
        <w:rPr>
          <w:spacing w:val="9"/>
        </w:rPr>
        <w:t>，整顿软</w:t>
      </w:r>
      <w:r>
        <w:rPr>
          <w:spacing w:val="6"/>
        </w:rPr>
        <w:t>弱涣散村和薄弱村党组织</w:t>
      </w:r>
      <w:r>
        <w:rPr>
          <w:spacing w:val="-36"/>
        </w:rPr>
        <w:t xml:space="preserve"> </w:t>
      </w:r>
      <w:r>
        <w:rPr>
          <w:spacing w:val="6"/>
        </w:rPr>
        <w:t>515</w:t>
      </w:r>
      <w:r>
        <w:rPr>
          <w:spacing w:val="-43"/>
        </w:rPr>
        <w:t xml:space="preserve"> </w:t>
      </w:r>
      <w:r>
        <w:rPr>
          <w:spacing w:val="6"/>
        </w:rPr>
        <w:t>个。管党治党政</w:t>
      </w:r>
      <w:r>
        <w:rPr>
          <w:spacing w:val="7"/>
        </w:rPr>
        <w:t>治责任不断强化，正风肃纪持续加力，党风政</w:t>
      </w:r>
      <w:r>
        <w:rPr>
          <w:spacing w:val="7"/>
        </w:rPr>
        <w:t>风持续好转，政治生态持续向好，基层党组织</w:t>
      </w:r>
      <w:r>
        <w:rPr>
          <w:spacing w:val="8"/>
        </w:rPr>
        <w:t>功能充分发挥，党员干部队伍结构不断优化、</w:t>
      </w:r>
      <w:r>
        <w:rPr>
          <w:spacing w:val="7"/>
        </w:rPr>
        <w:t>纪律规矩意识明显增强，广大干部干事创业的</w:t>
      </w:r>
      <w:r>
        <w:rPr>
          <w:spacing w:val="8"/>
        </w:rPr>
        <w:t>精气神为全区作出了榜样。</w:t>
      </w:r>
    </w:p>
    <w:p>
      <w:pPr>
        <w:pStyle w:val="BodyText"/>
        <w:ind w:left="441"/>
        <w:spacing w:before="21" w:line="220" w:lineRule="auto"/>
        <w:rPr/>
      </w:pPr>
      <w:r>
        <w:rPr>
          <w:spacing w:val="5"/>
        </w:rPr>
        <w:t>固原的发展进步，饱含着习近平总书记的</w:t>
      </w:r>
    </w:p>
    <w:p>
      <w:pPr>
        <w:pStyle w:val="BodyText"/>
        <w:ind w:left="2"/>
        <w:spacing w:before="159" w:line="223" w:lineRule="auto"/>
        <w:outlineLvl w:val="0"/>
        <w:rPr/>
      </w:pPr>
      <w:r>
        <w:rPr>
          <w:spacing w:val="7"/>
        </w:rPr>
        <w:t>深情厚爱，凝结着党中央的真情关怀，倾注着</w:t>
      </w:r>
    </w:p>
    <w:p>
      <w:pPr>
        <w:pStyle w:val="BodyText"/>
        <w:ind w:right="205" w:firstLine="40"/>
        <w:spacing w:before="159" w:line="369" w:lineRule="auto"/>
        <w:jc w:val="both"/>
        <w:rPr/>
      </w:pPr>
      <w:r>
        <w:rPr>
          <w:spacing w:val="5"/>
        </w:rPr>
        <w:t>自治区党委和政府的鼎力支持，汇集着全市人</w:t>
      </w:r>
      <w:r>
        <w:rPr>
          <w:spacing w:val="18"/>
        </w:rPr>
        <w:t>民团结拼搏的辛勤劳动。全市上下要感恩奋</w:t>
      </w:r>
      <w:r>
        <w:rPr>
          <w:spacing w:val="7"/>
        </w:rPr>
        <w:t>进、再接再厉、一鼓作气，打赢脱贫攻坚决胜</w:t>
      </w:r>
      <w:r>
        <w:rPr>
          <w:spacing w:val="7"/>
        </w:rPr>
        <w:t>战、打胜全面小康收官战、打好疫情防控阻击</w:t>
      </w:r>
      <w:r>
        <w:rPr>
          <w:spacing w:val="7"/>
        </w:rPr>
        <w:t>战，为开启全面建设社会主义现代化新征程奠</w:t>
      </w:r>
      <w:r>
        <w:rPr>
          <w:spacing w:val="7"/>
        </w:rPr>
        <w:t>定坚实基础。</w:t>
      </w:r>
    </w:p>
    <w:p>
      <w:pPr>
        <w:spacing w:line="369" w:lineRule="auto"/>
        <w:sectPr>
          <w:type w:val="continuous"/>
          <w:pgSz w:w="11906" w:h="16839"/>
          <w:pgMar w:top="1793" w:right="1385" w:bottom="1672" w:left="1521" w:header="1428" w:footer="1277" w:gutter="0"/>
          <w:cols w:equalWidth="0" w:num="2">
            <w:col w:w="4548" w:space="100"/>
            <w:col w:w="4353" w:space="0"/>
          </w:cols>
        </w:sectPr>
        <w:rPr/>
      </w:pPr>
    </w:p>
    <w:p>
      <w:pPr>
        <w:ind w:left="2155"/>
        <w:spacing w:before="133" w:line="217" w:lineRule="auto"/>
        <w:rPr>
          <w:rFonts w:ascii="Microsoft YaHei" w:hAnsi="Microsoft YaHei" w:eastAsia="Microsoft YaHei" w:cs="Microsoft YaHei"/>
          <w:sz w:val="20"/>
          <w:szCs w:val="20"/>
        </w:rPr>
      </w:pPr>
      <w:r>
        <w:drawing>
          <wp:anchor distT="0" distB="0" distL="0" distR="0" simplePos="0" relativeHeight="251750400" behindDoc="0" locked="0" layoutInCell="1" allowOverlap="1">
            <wp:simplePos x="0" y="0"/>
            <wp:positionH relativeFrom="column">
              <wp:posOffset>42291</wp:posOffset>
            </wp:positionH>
            <wp:positionV relativeFrom="paragraph">
              <wp:posOffset>-6062639</wp:posOffset>
            </wp:positionV>
            <wp:extent cx="5579745" cy="7619"/>
            <wp:effectExtent l="0" t="0" r="0" b="0"/>
            <wp:wrapNone/>
            <wp:docPr id="318" name="IM 318"/>
            <wp:cNvGraphicFramePr/>
            <a:graphic>
              <a:graphicData uri="http://schemas.openxmlformats.org/drawingml/2006/picture">
                <pic:pic>
                  <pic:nvPicPr>
                    <pic:cNvPr id="318" name="IM 318"/>
                    <pic:cNvPicPr/>
                  </pic:nvPicPr>
                  <pic:blipFill>
                    <a:blip r:embed="rId16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专栏 1    固原市“十三五”规划主要指标实现情况</w:t>
      </w:r>
    </w:p>
    <w:p>
      <w:pPr>
        <w:spacing w:line="213" w:lineRule="exact"/>
        <w:rPr/>
      </w:pPr>
      <w:r/>
    </w:p>
    <w:tbl>
      <w:tblPr>
        <w:tblStyle w:val="TableNormal"/>
        <w:tblW w:w="8848"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6"/>
        <w:gridCol w:w="773"/>
        <w:gridCol w:w="3066"/>
        <w:gridCol w:w="695"/>
        <w:gridCol w:w="770"/>
        <w:gridCol w:w="802"/>
        <w:gridCol w:w="823"/>
        <w:gridCol w:w="822"/>
        <w:gridCol w:w="651"/>
      </w:tblGrid>
      <w:tr>
        <w:trPr>
          <w:trHeight w:val="342" w:hRule="atLeast"/>
        </w:trPr>
        <w:tc>
          <w:tcPr>
            <w:tcW w:w="446" w:type="dxa"/>
            <w:vAlign w:val="top"/>
            <w:vMerge w:val="restart"/>
            <w:tcBorders>
              <w:left w:val="single" w:color="000000" w:sz="6" w:space="0"/>
              <w:top w:val="single" w:color="000000" w:sz="6" w:space="0"/>
              <w:bottom w:val="nil"/>
            </w:tcBorders>
          </w:tcPr>
          <w:p>
            <w:pPr>
              <w:pStyle w:val="TableText"/>
              <w:ind w:left="35"/>
              <w:spacing w:before="266" w:line="211" w:lineRule="auto"/>
              <w:rPr/>
            </w:pPr>
            <w:r>
              <w:rPr>
                <w:b/>
                <w:bCs/>
                <w:spacing w:val="-3"/>
              </w:rPr>
              <w:t>类别</w:t>
            </w:r>
          </w:p>
        </w:tc>
        <w:tc>
          <w:tcPr>
            <w:tcW w:w="3839" w:type="dxa"/>
            <w:vAlign w:val="top"/>
            <w:gridSpan w:val="2"/>
            <w:vMerge w:val="restart"/>
            <w:tcBorders>
              <w:top w:val="single" w:color="000000" w:sz="6" w:space="0"/>
              <w:bottom w:val="nil"/>
            </w:tcBorders>
          </w:tcPr>
          <w:p>
            <w:pPr>
              <w:pStyle w:val="TableText"/>
              <w:ind w:left="1561"/>
              <w:spacing w:before="266" w:line="211" w:lineRule="auto"/>
              <w:rPr/>
            </w:pPr>
            <w:r>
              <w:rPr>
                <w:b/>
                <w:bCs/>
                <w:spacing w:val="-4"/>
              </w:rPr>
              <w:t>主要指标</w:t>
            </w:r>
          </w:p>
        </w:tc>
        <w:tc>
          <w:tcPr>
            <w:tcW w:w="695" w:type="dxa"/>
            <w:vAlign w:val="top"/>
            <w:vMerge w:val="restart"/>
            <w:tcBorders>
              <w:top w:val="single" w:color="000000" w:sz="6" w:space="0"/>
              <w:bottom w:val="nil"/>
            </w:tcBorders>
          </w:tcPr>
          <w:p>
            <w:pPr>
              <w:pStyle w:val="TableText"/>
              <w:ind w:left="53"/>
              <w:spacing w:before="262" w:line="241" w:lineRule="exact"/>
              <w:rPr/>
            </w:pPr>
            <w:r>
              <w:rPr>
                <w:b/>
                <w:bCs/>
                <w:spacing w:val="-3"/>
                <w:position w:val="1"/>
              </w:rPr>
              <w:t>2015</w:t>
            </w:r>
            <w:r>
              <w:rPr>
                <w:spacing w:val="-40"/>
                <w:position w:val="1"/>
              </w:rPr>
              <w:t xml:space="preserve"> </w:t>
            </w:r>
            <w:r>
              <w:rPr>
                <w:b/>
                <w:bCs/>
                <w:spacing w:val="-3"/>
                <w:position w:val="1"/>
              </w:rPr>
              <w:t>年</w:t>
            </w:r>
          </w:p>
        </w:tc>
        <w:tc>
          <w:tcPr>
            <w:tcW w:w="1572" w:type="dxa"/>
            <w:vAlign w:val="top"/>
            <w:gridSpan w:val="2"/>
            <w:tcBorders>
              <w:top w:val="single" w:color="000000" w:sz="6" w:space="0"/>
            </w:tcBorders>
          </w:tcPr>
          <w:p>
            <w:pPr>
              <w:pStyle w:val="TableText"/>
              <w:ind w:left="426"/>
              <w:spacing w:before="91" w:line="211" w:lineRule="auto"/>
              <w:rPr/>
            </w:pPr>
            <w:r>
              <w:rPr>
                <w:b/>
                <w:bCs/>
                <w:spacing w:val="-3"/>
              </w:rPr>
              <w:t>规划目标</w:t>
            </w:r>
          </w:p>
        </w:tc>
        <w:tc>
          <w:tcPr>
            <w:tcW w:w="1645" w:type="dxa"/>
            <w:vAlign w:val="top"/>
            <w:gridSpan w:val="2"/>
            <w:tcBorders>
              <w:top w:val="single" w:color="000000" w:sz="6" w:space="0"/>
            </w:tcBorders>
          </w:tcPr>
          <w:p>
            <w:pPr>
              <w:pStyle w:val="TableText"/>
              <w:ind w:left="464"/>
              <w:spacing w:before="92" w:line="210" w:lineRule="auto"/>
              <w:rPr/>
            </w:pPr>
            <w:r>
              <w:rPr>
                <w:b/>
                <w:bCs/>
                <w:spacing w:val="-3"/>
              </w:rPr>
              <w:t>执行情况</w:t>
            </w:r>
          </w:p>
        </w:tc>
        <w:tc>
          <w:tcPr>
            <w:tcW w:w="651" w:type="dxa"/>
            <w:vAlign w:val="top"/>
            <w:vMerge w:val="restart"/>
            <w:tcBorders>
              <w:right w:val="single" w:color="000000" w:sz="6" w:space="0"/>
              <w:top w:val="single" w:color="000000" w:sz="6" w:space="0"/>
              <w:bottom w:val="nil"/>
            </w:tcBorders>
          </w:tcPr>
          <w:p>
            <w:pPr>
              <w:pStyle w:val="TableText"/>
              <w:ind w:left="146" w:right="135" w:firstLine="2"/>
              <w:spacing w:before="148" w:line="249" w:lineRule="auto"/>
              <w:rPr/>
            </w:pPr>
            <w:r>
              <w:rPr>
                <w:b/>
                <w:bCs/>
                <w:spacing w:val="-6"/>
              </w:rPr>
              <w:t>实现</w:t>
            </w:r>
            <w:r>
              <w:rPr>
                <w:b/>
                <w:bCs/>
                <w:spacing w:val="-4"/>
              </w:rPr>
              <w:t>程度</w:t>
            </w:r>
          </w:p>
        </w:tc>
      </w:tr>
      <w:tr>
        <w:trPr>
          <w:trHeight w:val="339" w:hRule="atLeast"/>
        </w:trPr>
        <w:tc>
          <w:tcPr>
            <w:tcW w:w="446" w:type="dxa"/>
            <w:vAlign w:val="top"/>
            <w:vMerge w:val="continue"/>
            <w:tcBorders>
              <w:left w:val="single" w:color="000000" w:sz="6" w:space="0"/>
              <w:top w:val="nil"/>
            </w:tcBorders>
          </w:tcPr>
          <w:p>
            <w:pPr>
              <w:rPr>
                <w:rFonts w:ascii="Arial"/>
                <w:sz w:val="21"/>
              </w:rPr>
            </w:pPr>
            <w:r/>
          </w:p>
        </w:tc>
        <w:tc>
          <w:tcPr>
            <w:tcW w:w="3839" w:type="dxa"/>
            <w:vAlign w:val="top"/>
            <w:gridSpan w:val="2"/>
            <w:vMerge w:val="continue"/>
            <w:tcBorders>
              <w:top w:val="nil"/>
            </w:tcBorders>
          </w:tcPr>
          <w:p>
            <w:pPr>
              <w:rPr>
                <w:rFonts w:ascii="Arial"/>
                <w:sz w:val="21"/>
              </w:rPr>
            </w:pPr>
            <w:r/>
          </w:p>
        </w:tc>
        <w:tc>
          <w:tcPr>
            <w:tcW w:w="695" w:type="dxa"/>
            <w:vAlign w:val="top"/>
            <w:vMerge w:val="continue"/>
            <w:tcBorders>
              <w:top w:val="nil"/>
            </w:tcBorders>
          </w:tcPr>
          <w:p>
            <w:pPr>
              <w:rPr>
                <w:rFonts w:ascii="Arial"/>
                <w:sz w:val="21"/>
              </w:rPr>
            </w:pPr>
            <w:r/>
          </w:p>
        </w:tc>
        <w:tc>
          <w:tcPr>
            <w:tcW w:w="770" w:type="dxa"/>
            <w:vAlign w:val="top"/>
          </w:tcPr>
          <w:p>
            <w:pPr>
              <w:pStyle w:val="TableText"/>
              <w:ind w:left="93"/>
              <w:spacing w:before="83" w:line="240" w:lineRule="exact"/>
              <w:rPr/>
            </w:pPr>
            <w:r>
              <w:rPr>
                <w:b/>
                <w:bCs/>
                <w:spacing w:val="-3"/>
                <w:position w:val="1"/>
              </w:rPr>
              <w:t>2020</w:t>
            </w:r>
            <w:r>
              <w:rPr>
                <w:spacing w:val="-40"/>
                <w:position w:val="1"/>
              </w:rPr>
              <w:t xml:space="preserve"> </w:t>
            </w:r>
            <w:r>
              <w:rPr>
                <w:b/>
                <w:bCs/>
                <w:spacing w:val="-3"/>
                <w:position w:val="1"/>
              </w:rPr>
              <w:t>年</w:t>
            </w:r>
          </w:p>
        </w:tc>
        <w:tc>
          <w:tcPr>
            <w:tcW w:w="802" w:type="dxa"/>
            <w:vAlign w:val="top"/>
          </w:tcPr>
          <w:p>
            <w:pPr>
              <w:pStyle w:val="TableText"/>
              <w:ind w:left="41"/>
              <w:spacing w:before="87" w:line="210" w:lineRule="auto"/>
              <w:rPr/>
            </w:pPr>
            <w:r>
              <w:rPr>
                <w:b/>
                <w:bCs/>
                <w:spacing w:val="-3"/>
              </w:rPr>
              <w:t>年均增长</w:t>
            </w:r>
          </w:p>
        </w:tc>
        <w:tc>
          <w:tcPr>
            <w:tcW w:w="823" w:type="dxa"/>
            <w:vAlign w:val="top"/>
          </w:tcPr>
          <w:p>
            <w:pPr>
              <w:pStyle w:val="TableText"/>
              <w:ind w:left="122"/>
              <w:spacing w:before="83" w:line="240" w:lineRule="exact"/>
              <w:rPr/>
            </w:pPr>
            <w:r>
              <w:rPr>
                <w:b/>
                <w:bCs/>
                <w:spacing w:val="-3"/>
                <w:position w:val="1"/>
              </w:rPr>
              <w:t>2020</w:t>
            </w:r>
            <w:r>
              <w:rPr>
                <w:spacing w:val="-40"/>
                <w:position w:val="1"/>
              </w:rPr>
              <w:t xml:space="preserve"> </w:t>
            </w:r>
            <w:r>
              <w:rPr>
                <w:b/>
                <w:bCs/>
                <w:spacing w:val="-3"/>
                <w:position w:val="1"/>
              </w:rPr>
              <w:t>年</w:t>
            </w:r>
          </w:p>
        </w:tc>
        <w:tc>
          <w:tcPr>
            <w:tcW w:w="822" w:type="dxa"/>
            <w:vAlign w:val="top"/>
          </w:tcPr>
          <w:p>
            <w:pPr>
              <w:pStyle w:val="TableText"/>
              <w:ind w:left="55"/>
              <w:spacing w:before="87" w:line="210" w:lineRule="auto"/>
              <w:rPr/>
            </w:pPr>
            <w:r>
              <w:rPr>
                <w:b/>
                <w:bCs/>
                <w:spacing w:val="-3"/>
              </w:rPr>
              <w:t>年均增长</w:t>
            </w:r>
          </w:p>
        </w:tc>
        <w:tc>
          <w:tcPr>
            <w:tcW w:w="651" w:type="dxa"/>
            <w:vAlign w:val="top"/>
            <w:vMerge w:val="continue"/>
            <w:tcBorders>
              <w:right w:val="single" w:color="000000" w:sz="6" w:space="0"/>
              <w:top w:val="nil"/>
            </w:tcBorders>
          </w:tcPr>
          <w:p>
            <w:pPr>
              <w:rPr>
                <w:rFonts w:ascii="Arial"/>
                <w:sz w:val="21"/>
              </w:rPr>
            </w:pPr>
            <w:r/>
          </w:p>
        </w:tc>
      </w:tr>
      <w:tr>
        <w:trPr>
          <w:trHeight w:val="316" w:hRule="atLeast"/>
        </w:trPr>
        <w:tc>
          <w:tcPr>
            <w:tcW w:w="446" w:type="dxa"/>
            <w:vAlign w:val="top"/>
            <w:vMerge w:val="restart"/>
            <w:tcBorders>
              <w:left w:val="single" w:color="000000" w:sz="6" w:space="0"/>
              <w:bottom w:val="nil"/>
            </w:tcBorders>
          </w:tcPr>
          <w:p>
            <w:pPr>
              <w:spacing w:line="294" w:lineRule="auto"/>
              <w:rPr>
                <w:rFonts w:ascii="Arial"/>
                <w:sz w:val="21"/>
              </w:rPr>
            </w:pPr>
            <w:r/>
          </w:p>
          <w:p>
            <w:pPr>
              <w:spacing w:line="294" w:lineRule="auto"/>
              <w:rPr>
                <w:rFonts w:ascii="Arial"/>
                <w:sz w:val="21"/>
              </w:rPr>
            </w:pPr>
            <w:r/>
          </w:p>
          <w:p>
            <w:pPr>
              <w:spacing w:line="294" w:lineRule="auto"/>
              <w:rPr>
                <w:rFonts w:ascii="Arial"/>
                <w:sz w:val="21"/>
              </w:rPr>
            </w:pPr>
            <w:r/>
          </w:p>
          <w:p>
            <w:pPr>
              <w:pStyle w:val="TableText"/>
              <w:ind w:left="36" w:right="40" w:firstLine="16"/>
              <w:spacing w:before="59" w:line="250" w:lineRule="auto"/>
              <w:rPr/>
            </w:pPr>
            <w:r>
              <w:rPr>
                <w:spacing w:val="-10"/>
              </w:rPr>
              <w:t>民生</w:t>
            </w:r>
            <w:r>
              <w:rPr>
                <w:spacing w:val="-2"/>
              </w:rPr>
              <w:t>福祉</w:t>
            </w:r>
          </w:p>
        </w:tc>
        <w:tc>
          <w:tcPr>
            <w:tcW w:w="773" w:type="dxa"/>
            <w:vAlign w:val="top"/>
            <w:vMerge w:val="restart"/>
            <w:tcBorders>
              <w:bottom w:val="nil"/>
            </w:tcBorders>
          </w:tcPr>
          <w:p>
            <w:pPr>
              <w:pStyle w:val="TableText"/>
              <w:ind w:left="98" w:right="270" w:hanging="79"/>
              <w:spacing w:before="118" w:line="238" w:lineRule="auto"/>
              <w:rPr/>
            </w:pPr>
            <w:r>
              <w:rPr>
                <w:spacing w:val="-17"/>
              </w:rPr>
              <w:t>1.居民</w:t>
            </w:r>
            <w:r>
              <w:rPr>
                <w:spacing w:val="-5"/>
              </w:rPr>
              <w:t>收入</w:t>
            </w:r>
          </w:p>
        </w:tc>
        <w:tc>
          <w:tcPr>
            <w:tcW w:w="3066" w:type="dxa"/>
            <w:vAlign w:val="top"/>
          </w:tcPr>
          <w:p>
            <w:pPr>
              <w:pStyle w:val="TableText"/>
              <w:ind w:left="4"/>
              <w:spacing w:before="72"/>
              <w:rPr/>
            </w:pPr>
            <w:r>
              <w:rPr>
                <w:spacing w:val="-1"/>
              </w:rPr>
              <w:t>城镇常住居民人均可支配收入（元）</w:t>
            </w:r>
          </w:p>
        </w:tc>
        <w:tc>
          <w:tcPr>
            <w:tcW w:w="695" w:type="dxa"/>
            <w:vAlign w:val="top"/>
          </w:tcPr>
          <w:p>
            <w:pPr>
              <w:pStyle w:val="TableText"/>
              <w:ind w:right="4"/>
              <w:spacing w:before="72"/>
              <w:jc w:val="right"/>
              <w:rPr/>
            </w:pPr>
            <w:r>
              <w:rPr>
                <w:spacing w:val="-9"/>
              </w:rPr>
              <w:t>21144.1</w:t>
            </w:r>
          </w:p>
        </w:tc>
        <w:tc>
          <w:tcPr>
            <w:tcW w:w="770" w:type="dxa"/>
            <w:vAlign w:val="top"/>
          </w:tcPr>
          <w:p>
            <w:pPr>
              <w:pStyle w:val="TableText"/>
              <w:ind w:right="5"/>
              <w:spacing w:before="72"/>
              <w:jc w:val="right"/>
              <w:rPr/>
            </w:pPr>
            <w:r>
              <w:rPr>
                <w:spacing w:val="-3"/>
              </w:rPr>
              <w:t>35000</w:t>
            </w:r>
          </w:p>
        </w:tc>
        <w:tc>
          <w:tcPr>
            <w:tcW w:w="802" w:type="dxa"/>
            <w:vAlign w:val="top"/>
          </w:tcPr>
          <w:p>
            <w:pPr>
              <w:pStyle w:val="TableText"/>
              <w:ind w:right="4"/>
              <w:spacing w:before="72"/>
              <w:jc w:val="right"/>
              <w:rPr/>
            </w:pPr>
            <w:r>
              <w:rPr>
                <w:spacing w:val="-10"/>
              </w:rPr>
              <w:t>10</w:t>
            </w:r>
            <w:r>
              <w:rPr>
                <w:spacing w:val="-27"/>
              </w:rPr>
              <w:t xml:space="preserve"> </w:t>
            </w:r>
            <w:r>
              <w:rPr>
                <w:spacing w:val="-10"/>
              </w:rPr>
              <w:t>以上</w:t>
            </w:r>
          </w:p>
        </w:tc>
        <w:tc>
          <w:tcPr>
            <w:tcW w:w="823" w:type="dxa"/>
            <w:vAlign w:val="top"/>
          </w:tcPr>
          <w:p>
            <w:pPr>
              <w:pStyle w:val="TableText"/>
              <w:spacing w:before="72"/>
              <w:jc w:val="right"/>
              <w:rPr/>
            </w:pPr>
            <w:r>
              <w:rPr>
                <w:spacing w:val="-9"/>
              </w:rPr>
              <w:t>30052.1</w:t>
            </w:r>
          </w:p>
        </w:tc>
        <w:tc>
          <w:tcPr>
            <w:tcW w:w="822" w:type="dxa"/>
            <w:vAlign w:val="top"/>
          </w:tcPr>
          <w:p>
            <w:pPr>
              <w:pStyle w:val="TableText"/>
              <w:spacing w:before="72"/>
              <w:jc w:val="right"/>
              <w:rPr/>
            </w:pPr>
            <w:r>
              <w:rPr>
                <w:spacing w:val="-21"/>
              </w:rPr>
              <w:t>7.</w:t>
            </w:r>
            <w:r>
              <w:rPr>
                <w:spacing w:val="-12"/>
              </w:rPr>
              <w:t>3</w:t>
            </w:r>
          </w:p>
        </w:tc>
        <w:tc>
          <w:tcPr>
            <w:tcW w:w="651" w:type="dxa"/>
            <w:vAlign w:val="top"/>
            <w:tcBorders>
              <w:right w:val="single" w:color="000000" w:sz="6" w:space="0"/>
            </w:tcBorders>
          </w:tcPr>
          <w:p>
            <w:pPr>
              <w:pStyle w:val="TableText"/>
              <w:ind w:right="5"/>
              <w:spacing w:before="72"/>
              <w:jc w:val="right"/>
              <w:rPr/>
            </w:pPr>
            <w:r>
              <w:rPr>
                <w:spacing w:val="16"/>
              </w:rPr>
              <w:t>86%</w:t>
            </w:r>
          </w:p>
        </w:tc>
      </w:tr>
      <w:tr>
        <w:trPr>
          <w:trHeight w:val="316" w:hRule="atLeast"/>
        </w:trPr>
        <w:tc>
          <w:tcPr>
            <w:tcW w:w="446" w:type="dxa"/>
            <w:vAlign w:val="top"/>
            <w:vMerge w:val="continue"/>
            <w:tcBorders>
              <w:left w:val="single" w:color="000000" w:sz="6" w:space="0"/>
              <w:bottom w:val="nil"/>
              <w:top w:val="nil"/>
            </w:tcBorders>
          </w:tcPr>
          <w:p>
            <w:pPr>
              <w:rPr>
                <w:rFonts w:ascii="Arial"/>
                <w:sz w:val="21"/>
              </w:rPr>
            </w:pPr>
            <w:r/>
          </w:p>
        </w:tc>
        <w:tc>
          <w:tcPr>
            <w:tcW w:w="773" w:type="dxa"/>
            <w:vAlign w:val="top"/>
            <w:vMerge w:val="continue"/>
            <w:tcBorders>
              <w:top w:val="nil"/>
            </w:tcBorders>
          </w:tcPr>
          <w:p>
            <w:pPr>
              <w:rPr>
                <w:rFonts w:ascii="Arial"/>
                <w:sz w:val="21"/>
              </w:rPr>
            </w:pPr>
            <w:r/>
          </w:p>
        </w:tc>
        <w:tc>
          <w:tcPr>
            <w:tcW w:w="3066" w:type="dxa"/>
            <w:vAlign w:val="top"/>
          </w:tcPr>
          <w:p>
            <w:pPr>
              <w:pStyle w:val="TableText"/>
              <w:spacing w:before="74" w:line="237" w:lineRule="auto"/>
              <w:rPr/>
            </w:pPr>
            <w:r>
              <w:rPr/>
              <w:t>农村常住居民人均可支配收入（元）</w:t>
            </w:r>
          </w:p>
        </w:tc>
        <w:tc>
          <w:tcPr>
            <w:tcW w:w="695" w:type="dxa"/>
            <w:vAlign w:val="top"/>
          </w:tcPr>
          <w:p>
            <w:pPr>
              <w:pStyle w:val="TableText"/>
              <w:ind w:right="4"/>
              <w:spacing w:before="74" w:line="237" w:lineRule="auto"/>
              <w:jc w:val="right"/>
              <w:rPr/>
            </w:pPr>
            <w:r>
              <w:rPr>
                <w:spacing w:val="-9"/>
              </w:rPr>
              <w:t>7002.1</w:t>
            </w:r>
          </w:p>
        </w:tc>
        <w:tc>
          <w:tcPr>
            <w:tcW w:w="770" w:type="dxa"/>
            <w:vAlign w:val="top"/>
          </w:tcPr>
          <w:p>
            <w:pPr>
              <w:pStyle w:val="TableText"/>
              <w:ind w:right="5"/>
              <w:spacing w:before="74" w:line="237" w:lineRule="auto"/>
              <w:jc w:val="right"/>
              <w:rPr/>
            </w:pPr>
            <w:r>
              <w:rPr>
                <w:spacing w:val="-5"/>
              </w:rPr>
              <w:t>12000</w:t>
            </w:r>
          </w:p>
        </w:tc>
        <w:tc>
          <w:tcPr>
            <w:tcW w:w="802" w:type="dxa"/>
            <w:vAlign w:val="top"/>
          </w:tcPr>
          <w:p>
            <w:pPr>
              <w:pStyle w:val="TableText"/>
              <w:ind w:right="4"/>
              <w:spacing w:before="74" w:line="237" w:lineRule="auto"/>
              <w:jc w:val="right"/>
              <w:rPr/>
            </w:pPr>
            <w:r>
              <w:rPr>
                <w:spacing w:val="-10"/>
              </w:rPr>
              <w:t>11</w:t>
            </w:r>
            <w:r>
              <w:rPr>
                <w:spacing w:val="-27"/>
              </w:rPr>
              <w:t xml:space="preserve"> </w:t>
            </w:r>
            <w:r>
              <w:rPr>
                <w:spacing w:val="-10"/>
              </w:rPr>
              <w:t>以上</w:t>
            </w:r>
          </w:p>
        </w:tc>
        <w:tc>
          <w:tcPr>
            <w:tcW w:w="823" w:type="dxa"/>
            <w:vAlign w:val="top"/>
          </w:tcPr>
          <w:p>
            <w:pPr>
              <w:pStyle w:val="TableText"/>
              <w:spacing w:before="74" w:line="237" w:lineRule="auto"/>
              <w:jc w:val="right"/>
              <w:rPr/>
            </w:pPr>
            <w:r>
              <w:rPr>
                <w:spacing w:val="-11"/>
              </w:rPr>
              <w:t>11950.7</w:t>
            </w:r>
          </w:p>
        </w:tc>
        <w:tc>
          <w:tcPr>
            <w:tcW w:w="822" w:type="dxa"/>
            <w:vAlign w:val="top"/>
          </w:tcPr>
          <w:p>
            <w:pPr>
              <w:pStyle w:val="TableText"/>
              <w:spacing w:before="74" w:line="237" w:lineRule="auto"/>
              <w:jc w:val="right"/>
              <w:rPr/>
            </w:pPr>
            <w:r>
              <w:rPr>
                <w:spacing w:val="-20"/>
              </w:rPr>
              <w:t>11.</w:t>
            </w:r>
            <w:r>
              <w:rPr>
                <w:spacing w:val="-12"/>
              </w:rPr>
              <w:t>3</w:t>
            </w:r>
          </w:p>
        </w:tc>
        <w:tc>
          <w:tcPr>
            <w:tcW w:w="651" w:type="dxa"/>
            <w:vAlign w:val="top"/>
            <w:tcBorders>
              <w:right w:val="single" w:color="000000" w:sz="6" w:space="0"/>
            </w:tcBorders>
          </w:tcPr>
          <w:p>
            <w:pPr>
              <w:pStyle w:val="TableText"/>
              <w:ind w:right="5"/>
              <w:spacing w:before="74" w:line="237" w:lineRule="auto"/>
              <w:jc w:val="right"/>
              <w:rPr/>
            </w:pPr>
            <w:r>
              <w:rPr/>
              <w:t>99.6%</w:t>
            </w:r>
          </w:p>
        </w:tc>
      </w:tr>
      <w:tr>
        <w:trPr>
          <w:trHeight w:val="316" w:hRule="atLeast"/>
        </w:trPr>
        <w:tc>
          <w:tcPr>
            <w:tcW w:w="446" w:type="dxa"/>
            <w:vAlign w:val="top"/>
            <w:vMerge w:val="continue"/>
            <w:tcBorders>
              <w:left w:val="single" w:color="000000" w:sz="6" w:space="0"/>
              <w:bottom w:val="nil"/>
              <w:top w:val="nil"/>
            </w:tcBorders>
          </w:tcPr>
          <w:p>
            <w:pPr>
              <w:rPr>
                <w:rFonts w:ascii="Arial"/>
                <w:sz w:val="21"/>
              </w:rPr>
            </w:pPr>
            <w:r/>
          </w:p>
        </w:tc>
        <w:tc>
          <w:tcPr>
            <w:tcW w:w="3839" w:type="dxa"/>
            <w:vAlign w:val="top"/>
            <w:gridSpan w:val="2"/>
          </w:tcPr>
          <w:p>
            <w:pPr>
              <w:pStyle w:val="TableText"/>
              <w:ind w:left="4"/>
              <w:spacing w:before="77" w:line="234" w:lineRule="auto"/>
              <w:rPr/>
            </w:pPr>
            <w:r>
              <w:rPr/>
              <w:t>2.城镇登记失业率（%）</w:t>
            </w:r>
          </w:p>
        </w:tc>
        <w:tc>
          <w:tcPr>
            <w:tcW w:w="695" w:type="dxa"/>
            <w:vAlign w:val="top"/>
          </w:tcPr>
          <w:p>
            <w:pPr>
              <w:pStyle w:val="TableText"/>
              <w:ind w:right="5"/>
              <w:spacing w:before="77" w:line="234" w:lineRule="auto"/>
              <w:jc w:val="right"/>
              <w:rPr/>
            </w:pPr>
            <w:r>
              <w:rPr>
                <w:spacing w:val="-15"/>
              </w:rPr>
              <w:t>3.71</w:t>
            </w:r>
          </w:p>
        </w:tc>
        <w:tc>
          <w:tcPr>
            <w:tcW w:w="770" w:type="dxa"/>
            <w:vAlign w:val="top"/>
          </w:tcPr>
          <w:p>
            <w:pPr>
              <w:pStyle w:val="TableText"/>
              <w:ind w:right="4"/>
              <w:spacing w:before="77" w:line="234" w:lineRule="auto"/>
              <w:jc w:val="right"/>
              <w:rPr/>
            </w:pPr>
            <w:r>
              <w:rPr>
                <w:spacing w:val="-2"/>
              </w:rPr>
              <w:t>&lt;4.5</w:t>
            </w:r>
          </w:p>
        </w:tc>
        <w:tc>
          <w:tcPr>
            <w:tcW w:w="802" w:type="dxa"/>
            <w:vAlign w:val="top"/>
          </w:tcPr>
          <w:p>
            <w:pPr>
              <w:pStyle w:val="TableText"/>
              <w:ind w:right="4"/>
              <w:spacing w:before="166" w:line="124" w:lineRule="exact"/>
              <w:jc w:val="right"/>
              <w:rPr/>
            </w:pPr>
            <w:r>
              <w:rPr>
                <w:position w:val="-3"/>
              </w:rPr>
              <w:t>—</w:t>
            </w:r>
          </w:p>
        </w:tc>
        <w:tc>
          <w:tcPr>
            <w:tcW w:w="823" w:type="dxa"/>
            <w:vAlign w:val="top"/>
          </w:tcPr>
          <w:p>
            <w:pPr>
              <w:pStyle w:val="TableText"/>
              <w:spacing w:before="77" w:line="234" w:lineRule="auto"/>
              <w:jc w:val="right"/>
              <w:rPr/>
            </w:pPr>
            <w:r>
              <w:rPr>
                <w:spacing w:val="-24"/>
              </w:rPr>
              <w:t>3</w:t>
            </w:r>
            <w:r>
              <w:rPr>
                <w:spacing w:val="-23"/>
              </w:rPr>
              <w:t>.</w:t>
            </w:r>
            <w:r>
              <w:rPr>
                <w:spacing w:val="-10"/>
              </w:rPr>
              <w:t>6</w:t>
            </w:r>
          </w:p>
        </w:tc>
        <w:tc>
          <w:tcPr>
            <w:tcW w:w="822" w:type="dxa"/>
            <w:vAlign w:val="top"/>
          </w:tcPr>
          <w:p>
            <w:pPr>
              <w:pStyle w:val="TableText"/>
              <w:spacing w:before="166" w:line="124" w:lineRule="exact"/>
              <w:jc w:val="right"/>
              <w:rPr/>
            </w:pPr>
            <w:r>
              <w:rPr>
                <w:position w:val="-3"/>
              </w:rPr>
              <w:t>—</w:t>
            </w:r>
          </w:p>
        </w:tc>
        <w:tc>
          <w:tcPr>
            <w:tcW w:w="651" w:type="dxa"/>
            <w:vAlign w:val="top"/>
            <w:tcBorders>
              <w:right w:val="single" w:color="000000" w:sz="6" w:space="0"/>
            </w:tcBorders>
          </w:tcPr>
          <w:p>
            <w:pPr>
              <w:pStyle w:val="TableText"/>
              <w:ind w:right="5"/>
              <w:spacing w:before="77" w:line="234" w:lineRule="auto"/>
              <w:jc w:val="right"/>
              <w:rPr/>
            </w:pPr>
            <w:r>
              <w:rPr>
                <w:spacing w:val="9"/>
              </w:rPr>
              <w:t>120%</w:t>
            </w:r>
          </w:p>
        </w:tc>
      </w:tr>
      <w:tr>
        <w:trPr>
          <w:trHeight w:val="316" w:hRule="atLeast"/>
        </w:trPr>
        <w:tc>
          <w:tcPr>
            <w:tcW w:w="446" w:type="dxa"/>
            <w:vAlign w:val="top"/>
            <w:vMerge w:val="continue"/>
            <w:tcBorders>
              <w:left w:val="single" w:color="000000" w:sz="6" w:space="0"/>
              <w:bottom w:val="nil"/>
              <w:top w:val="nil"/>
            </w:tcBorders>
          </w:tcPr>
          <w:p>
            <w:pPr>
              <w:rPr>
                <w:rFonts w:ascii="Arial"/>
                <w:sz w:val="21"/>
              </w:rPr>
            </w:pPr>
            <w:r/>
          </w:p>
        </w:tc>
        <w:tc>
          <w:tcPr>
            <w:tcW w:w="3839" w:type="dxa"/>
            <w:vAlign w:val="top"/>
            <w:gridSpan w:val="2"/>
          </w:tcPr>
          <w:p>
            <w:pPr>
              <w:pStyle w:val="TableText"/>
              <w:ind w:left="7"/>
              <w:spacing w:before="77" w:line="234" w:lineRule="auto"/>
              <w:rPr/>
            </w:pPr>
            <w:r>
              <w:rPr>
                <w:spacing w:val="-4"/>
              </w:rPr>
              <w:t>3.新增劳动力平均受教育年限（年）</w:t>
            </w:r>
          </w:p>
        </w:tc>
        <w:tc>
          <w:tcPr>
            <w:tcW w:w="695" w:type="dxa"/>
            <w:vAlign w:val="top"/>
          </w:tcPr>
          <w:p>
            <w:pPr>
              <w:pStyle w:val="TableText"/>
              <w:spacing w:before="77" w:line="234" w:lineRule="auto"/>
              <w:jc w:val="right"/>
              <w:rPr/>
            </w:pPr>
            <w:r>
              <w:rPr>
                <w:spacing w:val="-8"/>
              </w:rPr>
              <w:t>8</w:t>
            </w:r>
          </w:p>
        </w:tc>
        <w:tc>
          <w:tcPr>
            <w:tcW w:w="770" w:type="dxa"/>
            <w:vAlign w:val="top"/>
          </w:tcPr>
          <w:p>
            <w:pPr>
              <w:pStyle w:val="TableText"/>
              <w:ind w:right="2"/>
              <w:spacing w:before="77" w:line="234" w:lineRule="auto"/>
              <w:jc w:val="right"/>
              <w:rPr/>
            </w:pPr>
            <w:r>
              <w:rPr>
                <w:spacing w:val="-11"/>
              </w:rPr>
              <w:t>11</w:t>
            </w:r>
          </w:p>
        </w:tc>
        <w:tc>
          <w:tcPr>
            <w:tcW w:w="802" w:type="dxa"/>
            <w:vAlign w:val="top"/>
          </w:tcPr>
          <w:p>
            <w:pPr>
              <w:pStyle w:val="TableText"/>
              <w:ind w:right="4"/>
              <w:spacing w:before="167" w:line="123" w:lineRule="exact"/>
              <w:jc w:val="right"/>
              <w:rPr/>
            </w:pPr>
            <w:r>
              <w:rPr>
                <w:position w:val="-3"/>
              </w:rPr>
              <w:t>—</w:t>
            </w:r>
          </w:p>
        </w:tc>
        <w:tc>
          <w:tcPr>
            <w:tcW w:w="823" w:type="dxa"/>
            <w:vAlign w:val="top"/>
          </w:tcPr>
          <w:p>
            <w:pPr>
              <w:pStyle w:val="TableText"/>
              <w:spacing w:before="77" w:line="234" w:lineRule="auto"/>
              <w:jc w:val="right"/>
              <w:rPr/>
            </w:pPr>
            <w:r>
              <w:rPr>
                <w:spacing w:val="-11"/>
              </w:rPr>
              <w:t>11</w:t>
            </w:r>
          </w:p>
        </w:tc>
        <w:tc>
          <w:tcPr>
            <w:tcW w:w="822" w:type="dxa"/>
            <w:vAlign w:val="top"/>
          </w:tcPr>
          <w:p>
            <w:pPr>
              <w:pStyle w:val="TableText"/>
              <w:spacing w:before="167" w:line="123" w:lineRule="exact"/>
              <w:jc w:val="right"/>
              <w:rPr/>
            </w:pPr>
            <w:r>
              <w:rPr>
                <w:position w:val="-3"/>
              </w:rPr>
              <w:t>—</w:t>
            </w:r>
          </w:p>
        </w:tc>
        <w:tc>
          <w:tcPr>
            <w:tcW w:w="651" w:type="dxa"/>
            <w:vAlign w:val="top"/>
            <w:tcBorders>
              <w:right w:val="single" w:color="000000" w:sz="6" w:space="0"/>
            </w:tcBorders>
          </w:tcPr>
          <w:p>
            <w:pPr>
              <w:pStyle w:val="TableText"/>
              <w:ind w:right="5"/>
              <w:spacing w:before="77" w:line="234" w:lineRule="auto"/>
              <w:jc w:val="right"/>
              <w:rPr/>
            </w:pPr>
            <w:r>
              <w:rPr>
                <w:spacing w:val="9"/>
              </w:rPr>
              <w:t>100%</w:t>
            </w:r>
          </w:p>
        </w:tc>
      </w:tr>
      <w:tr>
        <w:trPr>
          <w:trHeight w:val="316" w:hRule="atLeast"/>
        </w:trPr>
        <w:tc>
          <w:tcPr>
            <w:tcW w:w="446" w:type="dxa"/>
            <w:vAlign w:val="top"/>
            <w:vMerge w:val="continue"/>
            <w:tcBorders>
              <w:left w:val="single" w:color="000000" w:sz="6" w:space="0"/>
              <w:bottom w:val="nil"/>
              <w:top w:val="nil"/>
            </w:tcBorders>
          </w:tcPr>
          <w:p>
            <w:pPr>
              <w:rPr>
                <w:rFonts w:ascii="Arial"/>
                <w:sz w:val="21"/>
              </w:rPr>
            </w:pPr>
            <w:r/>
          </w:p>
        </w:tc>
        <w:tc>
          <w:tcPr>
            <w:tcW w:w="3839" w:type="dxa"/>
            <w:vAlign w:val="top"/>
            <w:gridSpan w:val="2"/>
          </w:tcPr>
          <w:p>
            <w:pPr>
              <w:pStyle w:val="TableText"/>
              <w:ind w:left="2"/>
              <w:spacing w:before="80" w:line="231" w:lineRule="auto"/>
              <w:rPr/>
            </w:pPr>
            <w:r>
              <w:rPr/>
              <w:t>4.城镇常住人口保障性住房覆盖率（%）</w:t>
            </w:r>
          </w:p>
        </w:tc>
        <w:tc>
          <w:tcPr>
            <w:tcW w:w="695" w:type="dxa"/>
            <w:vAlign w:val="top"/>
          </w:tcPr>
          <w:p>
            <w:pPr>
              <w:rPr>
                <w:rFonts w:ascii="Arial"/>
                <w:sz w:val="21"/>
              </w:rPr>
            </w:pPr>
            <w:r/>
          </w:p>
        </w:tc>
        <w:tc>
          <w:tcPr>
            <w:tcW w:w="770" w:type="dxa"/>
            <w:vAlign w:val="top"/>
          </w:tcPr>
          <w:p>
            <w:pPr>
              <w:pStyle w:val="TableText"/>
              <w:ind w:right="2"/>
              <w:spacing w:before="80" w:line="231" w:lineRule="auto"/>
              <w:jc w:val="right"/>
              <w:rPr/>
            </w:pPr>
            <w:r>
              <w:rPr>
                <w:spacing w:val="-10"/>
              </w:rPr>
              <w:t>≥23</w:t>
            </w:r>
          </w:p>
        </w:tc>
        <w:tc>
          <w:tcPr>
            <w:tcW w:w="802" w:type="dxa"/>
            <w:vAlign w:val="top"/>
          </w:tcPr>
          <w:p>
            <w:pPr>
              <w:pStyle w:val="TableText"/>
              <w:ind w:right="4"/>
              <w:spacing w:before="169" w:line="124" w:lineRule="exact"/>
              <w:jc w:val="right"/>
              <w:rPr/>
            </w:pPr>
            <w:r>
              <w:rPr>
                <w:position w:val="-3"/>
              </w:rPr>
              <w:t>—</w:t>
            </w:r>
          </w:p>
        </w:tc>
        <w:tc>
          <w:tcPr>
            <w:tcW w:w="823" w:type="dxa"/>
            <w:vAlign w:val="top"/>
          </w:tcPr>
          <w:p>
            <w:pPr>
              <w:pStyle w:val="TableText"/>
              <w:spacing w:before="80" w:line="231" w:lineRule="auto"/>
              <w:jc w:val="right"/>
              <w:rPr/>
            </w:pPr>
            <w:r>
              <w:rPr>
                <w:spacing w:val="-10"/>
              </w:rPr>
              <w:t>≥23</w:t>
            </w:r>
          </w:p>
        </w:tc>
        <w:tc>
          <w:tcPr>
            <w:tcW w:w="822" w:type="dxa"/>
            <w:vAlign w:val="top"/>
          </w:tcPr>
          <w:p>
            <w:pPr>
              <w:pStyle w:val="TableText"/>
              <w:spacing w:before="169" w:line="124" w:lineRule="exact"/>
              <w:jc w:val="right"/>
              <w:rPr/>
            </w:pPr>
            <w:r>
              <w:rPr>
                <w:position w:val="-3"/>
              </w:rPr>
              <w:t>—</w:t>
            </w:r>
          </w:p>
        </w:tc>
        <w:tc>
          <w:tcPr>
            <w:tcW w:w="651" w:type="dxa"/>
            <w:vAlign w:val="top"/>
            <w:tcBorders>
              <w:right w:val="single" w:color="000000" w:sz="6" w:space="0"/>
            </w:tcBorders>
          </w:tcPr>
          <w:p>
            <w:pPr>
              <w:pStyle w:val="TableText"/>
              <w:ind w:right="5"/>
              <w:spacing w:before="80" w:line="231" w:lineRule="auto"/>
              <w:jc w:val="right"/>
              <w:rPr/>
            </w:pPr>
            <w:r>
              <w:rPr>
                <w:spacing w:val="9"/>
              </w:rPr>
              <w:t>100%</w:t>
            </w:r>
          </w:p>
        </w:tc>
      </w:tr>
      <w:tr>
        <w:trPr>
          <w:trHeight w:val="316" w:hRule="atLeast"/>
        </w:trPr>
        <w:tc>
          <w:tcPr>
            <w:tcW w:w="446" w:type="dxa"/>
            <w:vAlign w:val="top"/>
            <w:vMerge w:val="continue"/>
            <w:tcBorders>
              <w:left w:val="single" w:color="000000" w:sz="6" w:space="0"/>
              <w:bottom w:val="nil"/>
              <w:top w:val="nil"/>
            </w:tcBorders>
          </w:tcPr>
          <w:p>
            <w:pPr>
              <w:rPr>
                <w:rFonts w:ascii="Arial"/>
                <w:sz w:val="21"/>
              </w:rPr>
            </w:pPr>
            <w:r/>
          </w:p>
        </w:tc>
        <w:tc>
          <w:tcPr>
            <w:tcW w:w="3839" w:type="dxa"/>
            <w:vAlign w:val="top"/>
            <w:gridSpan w:val="2"/>
          </w:tcPr>
          <w:p>
            <w:pPr>
              <w:pStyle w:val="TableText"/>
              <w:ind w:left="5"/>
              <w:spacing w:before="83" w:line="228" w:lineRule="auto"/>
              <w:rPr/>
            </w:pPr>
            <w:r>
              <w:rPr/>
              <w:t>5.农村安全饮用水普及率（%）</w:t>
            </w:r>
          </w:p>
        </w:tc>
        <w:tc>
          <w:tcPr>
            <w:tcW w:w="695" w:type="dxa"/>
            <w:vAlign w:val="top"/>
          </w:tcPr>
          <w:p>
            <w:pPr>
              <w:pStyle w:val="TableText"/>
              <w:ind w:right="7"/>
              <w:spacing w:before="172" w:line="123" w:lineRule="exact"/>
              <w:jc w:val="right"/>
              <w:rPr/>
            </w:pPr>
            <w:r>
              <w:rPr>
                <w:position w:val="-3"/>
              </w:rPr>
              <w:t>—</w:t>
            </w:r>
          </w:p>
        </w:tc>
        <w:tc>
          <w:tcPr>
            <w:tcW w:w="770" w:type="dxa"/>
            <w:vAlign w:val="top"/>
          </w:tcPr>
          <w:p>
            <w:pPr>
              <w:pStyle w:val="TableText"/>
              <w:ind w:right="2"/>
              <w:spacing w:before="83" w:line="228" w:lineRule="auto"/>
              <w:jc w:val="right"/>
              <w:rPr/>
            </w:pPr>
            <w:r>
              <w:rPr>
                <w:spacing w:val="-10"/>
              </w:rPr>
              <w:t>≥90</w:t>
            </w:r>
          </w:p>
        </w:tc>
        <w:tc>
          <w:tcPr>
            <w:tcW w:w="802" w:type="dxa"/>
            <w:vAlign w:val="top"/>
          </w:tcPr>
          <w:p>
            <w:pPr>
              <w:pStyle w:val="TableText"/>
              <w:ind w:right="4"/>
              <w:spacing w:before="172" w:line="123" w:lineRule="exact"/>
              <w:jc w:val="right"/>
              <w:rPr/>
            </w:pPr>
            <w:r>
              <w:rPr>
                <w:position w:val="-3"/>
              </w:rPr>
              <w:t>—</w:t>
            </w:r>
          </w:p>
        </w:tc>
        <w:tc>
          <w:tcPr>
            <w:tcW w:w="823" w:type="dxa"/>
            <w:vAlign w:val="top"/>
          </w:tcPr>
          <w:p>
            <w:pPr>
              <w:pStyle w:val="TableText"/>
              <w:spacing w:before="83" w:line="228" w:lineRule="auto"/>
              <w:jc w:val="right"/>
              <w:rPr/>
            </w:pPr>
            <w:r>
              <w:rPr>
                <w:spacing w:val="-8"/>
              </w:rPr>
              <w:t>100</w:t>
            </w:r>
          </w:p>
        </w:tc>
        <w:tc>
          <w:tcPr>
            <w:tcW w:w="822" w:type="dxa"/>
            <w:vAlign w:val="top"/>
          </w:tcPr>
          <w:p>
            <w:pPr>
              <w:pStyle w:val="TableText"/>
              <w:spacing w:before="172" w:line="123" w:lineRule="exact"/>
              <w:jc w:val="right"/>
              <w:rPr/>
            </w:pPr>
            <w:r>
              <w:rPr>
                <w:position w:val="-3"/>
              </w:rPr>
              <w:t>—</w:t>
            </w:r>
          </w:p>
        </w:tc>
        <w:tc>
          <w:tcPr>
            <w:tcW w:w="651" w:type="dxa"/>
            <w:vAlign w:val="top"/>
            <w:tcBorders>
              <w:right w:val="single" w:color="000000" w:sz="6" w:space="0"/>
            </w:tcBorders>
          </w:tcPr>
          <w:p>
            <w:pPr>
              <w:pStyle w:val="TableText"/>
              <w:ind w:right="5"/>
              <w:spacing w:before="83" w:line="228" w:lineRule="auto"/>
              <w:jc w:val="right"/>
              <w:rPr/>
            </w:pPr>
            <w:r>
              <w:rPr>
                <w:spacing w:val="9"/>
              </w:rPr>
              <w:t>111%</w:t>
            </w:r>
          </w:p>
        </w:tc>
      </w:tr>
      <w:tr>
        <w:trPr>
          <w:trHeight w:val="326" w:hRule="atLeast"/>
        </w:trPr>
        <w:tc>
          <w:tcPr>
            <w:tcW w:w="446" w:type="dxa"/>
            <w:vAlign w:val="top"/>
            <w:vMerge w:val="continue"/>
            <w:tcBorders>
              <w:left w:val="single" w:color="000000" w:sz="6" w:space="0"/>
              <w:bottom w:val="single" w:color="000000" w:sz="6" w:space="0"/>
              <w:top w:val="nil"/>
            </w:tcBorders>
          </w:tcPr>
          <w:p>
            <w:pPr>
              <w:rPr>
                <w:rFonts w:ascii="Arial"/>
                <w:sz w:val="21"/>
              </w:rPr>
            </w:pPr>
            <w:r/>
          </w:p>
        </w:tc>
        <w:tc>
          <w:tcPr>
            <w:tcW w:w="3839" w:type="dxa"/>
            <w:vAlign w:val="top"/>
            <w:gridSpan w:val="2"/>
            <w:tcBorders>
              <w:bottom w:val="single" w:color="000000" w:sz="6" w:space="0"/>
            </w:tcBorders>
          </w:tcPr>
          <w:p>
            <w:pPr>
              <w:pStyle w:val="TableText"/>
              <w:ind w:left="5"/>
              <w:spacing w:before="83" w:line="238" w:lineRule="auto"/>
              <w:rPr/>
            </w:pPr>
            <w:r>
              <w:rPr>
                <w:spacing w:val="-4"/>
              </w:rPr>
              <w:t>6.每千人口医疗机构床位数（张）</w:t>
            </w:r>
          </w:p>
        </w:tc>
        <w:tc>
          <w:tcPr>
            <w:tcW w:w="695" w:type="dxa"/>
            <w:vAlign w:val="top"/>
            <w:tcBorders>
              <w:bottom w:val="single" w:color="000000" w:sz="6" w:space="0"/>
            </w:tcBorders>
          </w:tcPr>
          <w:p>
            <w:pPr>
              <w:pStyle w:val="TableText"/>
              <w:ind w:right="7"/>
              <w:spacing w:before="172" w:line="124" w:lineRule="exact"/>
              <w:jc w:val="right"/>
              <w:rPr/>
            </w:pPr>
            <w:r>
              <w:rPr>
                <w:position w:val="-3"/>
              </w:rPr>
              <w:t>—</w:t>
            </w:r>
          </w:p>
        </w:tc>
        <w:tc>
          <w:tcPr>
            <w:tcW w:w="770" w:type="dxa"/>
            <w:vAlign w:val="top"/>
            <w:tcBorders>
              <w:bottom w:val="single" w:color="000000" w:sz="6" w:space="0"/>
            </w:tcBorders>
          </w:tcPr>
          <w:p>
            <w:pPr>
              <w:pStyle w:val="TableText"/>
              <w:ind w:right="4"/>
              <w:spacing w:before="83" w:line="238" w:lineRule="auto"/>
              <w:jc w:val="right"/>
              <w:rPr/>
            </w:pPr>
            <w:r>
              <w:rPr>
                <w:spacing w:val="-21"/>
              </w:rPr>
              <w:t>≥</w:t>
            </w:r>
            <w:r>
              <w:rPr>
                <w:spacing w:val="-20"/>
              </w:rPr>
              <w:t>5.</w:t>
            </w:r>
            <w:r>
              <w:rPr>
                <w:spacing w:val="-15"/>
              </w:rPr>
              <w:t>7</w:t>
            </w:r>
          </w:p>
        </w:tc>
        <w:tc>
          <w:tcPr>
            <w:tcW w:w="802" w:type="dxa"/>
            <w:vAlign w:val="top"/>
            <w:tcBorders>
              <w:bottom w:val="single" w:color="000000" w:sz="6" w:space="0"/>
            </w:tcBorders>
          </w:tcPr>
          <w:p>
            <w:pPr>
              <w:pStyle w:val="TableText"/>
              <w:ind w:right="4"/>
              <w:spacing w:before="172" w:line="124" w:lineRule="exact"/>
              <w:jc w:val="right"/>
              <w:rPr/>
            </w:pPr>
            <w:r>
              <w:rPr>
                <w:position w:val="-3"/>
              </w:rPr>
              <w:t>—</w:t>
            </w:r>
          </w:p>
        </w:tc>
        <w:tc>
          <w:tcPr>
            <w:tcW w:w="823" w:type="dxa"/>
            <w:vAlign w:val="top"/>
            <w:tcBorders>
              <w:bottom w:val="single" w:color="000000" w:sz="6" w:space="0"/>
            </w:tcBorders>
          </w:tcPr>
          <w:p>
            <w:pPr>
              <w:pStyle w:val="TableText"/>
              <w:ind w:right="2"/>
              <w:spacing w:before="83" w:line="238" w:lineRule="auto"/>
              <w:jc w:val="right"/>
              <w:rPr/>
            </w:pPr>
            <w:r>
              <w:rPr>
                <w:spacing w:val="-14"/>
              </w:rPr>
              <w:t>5.63</w:t>
            </w:r>
          </w:p>
        </w:tc>
        <w:tc>
          <w:tcPr>
            <w:tcW w:w="822" w:type="dxa"/>
            <w:vAlign w:val="top"/>
            <w:tcBorders>
              <w:bottom w:val="single" w:color="000000" w:sz="6" w:space="0"/>
            </w:tcBorders>
          </w:tcPr>
          <w:p>
            <w:pPr>
              <w:pStyle w:val="TableText"/>
              <w:spacing w:before="172" w:line="124" w:lineRule="exact"/>
              <w:jc w:val="right"/>
              <w:rPr/>
            </w:pPr>
            <w:r>
              <w:rPr>
                <w:position w:val="-3"/>
              </w:rPr>
              <w:t>—</w:t>
            </w:r>
          </w:p>
        </w:tc>
        <w:tc>
          <w:tcPr>
            <w:tcW w:w="651" w:type="dxa"/>
            <w:vAlign w:val="top"/>
            <w:tcBorders>
              <w:bottom w:val="single" w:color="000000" w:sz="6" w:space="0"/>
              <w:right w:val="single" w:color="000000" w:sz="6" w:space="0"/>
            </w:tcBorders>
          </w:tcPr>
          <w:p>
            <w:pPr>
              <w:pStyle w:val="TableText"/>
              <w:ind w:right="5"/>
              <w:spacing w:before="83" w:line="238" w:lineRule="auto"/>
              <w:jc w:val="right"/>
              <w:rPr/>
            </w:pPr>
            <w:r>
              <w:rPr>
                <w:spacing w:val="17"/>
              </w:rPr>
              <w:t>99%</w:t>
            </w:r>
          </w:p>
        </w:tc>
      </w:tr>
    </w:tbl>
    <w:p>
      <w:pPr>
        <w:spacing w:line="14" w:lineRule="auto"/>
        <w:rPr>
          <w:rFonts w:ascii="Arial"/>
          <w:sz w:val="2"/>
        </w:rPr>
      </w:pPr>
      <w:r/>
    </w:p>
    <w:p>
      <w:pPr>
        <w:spacing w:line="14" w:lineRule="auto"/>
        <w:sectPr>
          <w:type w:val="continuous"/>
          <w:pgSz w:w="11906" w:h="16839"/>
          <w:pgMar w:top="1793" w:right="1385" w:bottom="1672" w:left="1521" w:header="1428" w:footer="1277" w:gutter="0"/>
          <w:cols w:equalWidth="0" w:num="1">
            <w:col w:w="9000" w:space="0"/>
          </w:cols>
        </w:sectPr>
        <w:rPr>
          <w:rFonts w:ascii="Arial" w:hAnsi="Arial" w:eastAsia="Arial" w:cs="Arial"/>
          <w:sz w:val="2"/>
          <w:szCs w:val="2"/>
        </w:rPr>
      </w:pPr>
    </w:p>
    <w:p>
      <w:pPr>
        <w:spacing w:line="191" w:lineRule="exact"/>
        <w:rPr/>
      </w:pPr>
      <w:r>
        <w:drawing>
          <wp:anchor distT="0" distB="0" distL="0" distR="0" simplePos="0" relativeHeight="251752448"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324" name="IM 324"/>
            <wp:cNvGraphicFramePr/>
            <a:graphic>
              <a:graphicData uri="http://schemas.openxmlformats.org/drawingml/2006/picture">
                <pic:pic>
                  <pic:nvPicPr>
                    <pic:cNvPr id="324" name="IM 324"/>
                    <pic:cNvPicPr/>
                  </pic:nvPicPr>
                  <pic:blipFill>
                    <a:blip r:embed="rId164"/>
                    <a:stretch>
                      <a:fillRect/>
                    </a:stretch>
                  </pic:blipFill>
                  <pic:spPr>
                    <a:xfrm rot="0">
                      <a:off x="0" y="0"/>
                      <a:ext cx="5579745" cy="7619"/>
                    </a:xfrm>
                    <a:prstGeom prst="rect">
                      <a:avLst/>
                    </a:prstGeom>
                  </pic:spPr>
                </pic:pic>
              </a:graphicData>
            </a:graphic>
          </wp:anchor>
        </w:drawing>
      </w:r>
      <w:r/>
    </w:p>
    <w:tbl>
      <w:tblPr>
        <w:tblStyle w:val="TableNormal"/>
        <w:tblW w:w="8848"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6"/>
        <w:gridCol w:w="773"/>
        <w:gridCol w:w="3066"/>
        <w:gridCol w:w="695"/>
        <w:gridCol w:w="770"/>
        <w:gridCol w:w="802"/>
        <w:gridCol w:w="823"/>
        <w:gridCol w:w="822"/>
        <w:gridCol w:w="651"/>
      </w:tblGrid>
      <w:tr>
        <w:trPr>
          <w:trHeight w:val="343" w:hRule="atLeast"/>
        </w:trPr>
        <w:tc>
          <w:tcPr>
            <w:tcW w:w="446" w:type="dxa"/>
            <w:vAlign w:val="top"/>
            <w:vMerge w:val="restart"/>
            <w:tcBorders>
              <w:left w:val="single" w:color="000000" w:sz="6" w:space="0"/>
              <w:top w:val="single" w:color="000000" w:sz="6" w:space="0"/>
              <w:bottom w:val="nil"/>
            </w:tcBorders>
          </w:tcPr>
          <w:p>
            <w:pPr>
              <w:pStyle w:val="TableText"/>
              <w:ind w:left="35"/>
              <w:spacing w:before="266" w:line="211" w:lineRule="auto"/>
              <w:rPr/>
            </w:pPr>
            <w:r>
              <w:rPr>
                <w:b/>
                <w:bCs/>
                <w:spacing w:val="-3"/>
              </w:rPr>
              <w:t>类别</w:t>
            </w:r>
          </w:p>
        </w:tc>
        <w:tc>
          <w:tcPr>
            <w:tcW w:w="3839" w:type="dxa"/>
            <w:vAlign w:val="top"/>
            <w:gridSpan w:val="2"/>
            <w:vMerge w:val="restart"/>
            <w:tcBorders>
              <w:top w:val="single" w:color="000000" w:sz="6" w:space="0"/>
              <w:bottom w:val="nil"/>
            </w:tcBorders>
          </w:tcPr>
          <w:p>
            <w:pPr>
              <w:pStyle w:val="TableText"/>
              <w:ind w:left="1561"/>
              <w:spacing w:before="266" w:line="211" w:lineRule="auto"/>
              <w:rPr/>
            </w:pPr>
            <w:r>
              <w:rPr>
                <w:b/>
                <w:bCs/>
                <w:spacing w:val="-4"/>
              </w:rPr>
              <w:t>主要指标</w:t>
            </w:r>
          </w:p>
        </w:tc>
        <w:tc>
          <w:tcPr>
            <w:tcW w:w="695" w:type="dxa"/>
            <w:vAlign w:val="top"/>
            <w:vMerge w:val="restart"/>
            <w:tcBorders>
              <w:top w:val="single" w:color="000000" w:sz="6" w:space="0"/>
              <w:bottom w:val="nil"/>
            </w:tcBorders>
          </w:tcPr>
          <w:p>
            <w:pPr>
              <w:pStyle w:val="TableText"/>
              <w:ind w:left="53"/>
              <w:spacing w:before="262" w:line="241" w:lineRule="exact"/>
              <w:rPr/>
            </w:pPr>
            <w:r>
              <w:rPr>
                <w:b/>
                <w:bCs/>
                <w:spacing w:val="-3"/>
                <w:position w:val="1"/>
              </w:rPr>
              <w:t>2015</w:t>
            </w:r>
            <w:r>
              <w:rPr>
                <w:spacing w:val="-40"/>
                <w:position w:val="1"/>
              </w:rPr>
              <w:t xml:space="preserve"> </w:t>
            </w:r>
            <w:r>
              <w:rPr>
                <w:b/>
                <w:bCs/>
                <w:spacing w:val="-3"/>
                <w:position w:val="1"/>
              </w:rPr>
              <w:t>年</w:t>
            </w:r>
          </w:p>
        </w:tc>
        <w:tc>
          <w:tcPr>
            <w:tcW w:w="1572" w:type="dxa"/>
            <w:vAlign w:val="top"/>
            <w:gridSpan w:val="2"/>
            <w:tcBorders>
              <w:top w:val="single" w:color="000000" w:sz="6" w:space="0"/>
            </w:tcBorders>
          </w:tcPr>
          <w:p>
            <w:pPr>
              <w:pStyle w:val="TableText"/>
              <w:ind w:left="426"/>
              <w:spacing w:before="91" w:line="211" w:lineRule="auto"/>
              <w:rPr/>
            </w:pPr>
            <w:r>
              <w:rPr>
                <w:b/>
                <w:bCs/>
                <w:spacing w:val="-3"/>
              </w:rPr>
              <w:t>规划目标</w:t>
            </w:r>
          </w:p>
        </w:tc>
        <w:tc>
          <w:tcPr>
            <w:tcW w:w="1645" w:type="dxa"/>
            <w:vAlign w:val="top"/>
            <w:gridSpan w:val="2"/>
            <w:tcBorders>
              <w:top w:val="single" w:color="000000" w:sz="6" w:space="0"/>
            </w:tcBorders>
          </w:tcPr>
          <w:p>
            <w:pPr>
              <w:pStyle w:val="TableText"/>
              <w:ind w:left="464"/>
              <w:spacing w:before="92" w:line="210" w:lineRule="auto"/>
              <w:rPr/>
            </w:pPr>
            <w:r>
              <w:rPr>
                <w:b/>
                <w:bCs/>
                <w:spacing w:val="-3"/>
              </w:rPr>
              <w:t>执行情况</w:t>
            </w:r>
          </w:p>
        </w:tc>
        <w:tc>
          <w:tcPr>
            <w:tcW w:w="651" w:type="dxa"/>
            <w:vAlign w:val="top"/>
            <w:vMerge w:val="restart"/>
            <w:tcBorders>
              <w:right w:val="single" w:color="000000" w:sz="6" w:space="0"/>
              <w:top w:val="single" w:color="000000" w:sz="6" w:space="0"/>
              <w:bottom w:val="nil"/>
            </w:tcBorders>
          </w:tcPr>
          <w:p>
            <w:pPr>
              <w:pStyle w:val="TableText"/>
              <w:ind w:left="146" w:right="135" w:firstLine="2"/>
              <w:spacing w:before="147" w:line="250" w:lineRule="auto"/>
              <w:rPr/>
            </w:pPr>
            <w:r>
              <w:rPr>
                <w:b/>
                <w:bCs/>
                <w:spacing w:val="-6"/>
              </w:rPr>
              <w:t>实现</w:t>
            </w:r>
            <w:r>
              <w:rPr>
                <w:b/>
                <w:bCs/>
                <w:spacing w:val="-4"/>
              </w:rPr>
              <w:t>程度</w:t>
            </w:r>
          </w:p>
        </w:tc>
      </w:tr>
      <w:tr>
        <w:trPr>
          <w:trHeight w:val="340" w:hRule="atLeast"/>
        </w:trPr>
        <w:tc>
          <w:tcPr>
            <w:tcW w:w="446" w:type="dxa"/>
            <w:vAlign w:val="top"/>
            <w:vMerge w:val="continue"/>
            <w:tcBorders>
              <w:left w:val="single" w:color="000000" w:sz="6" w:space="0"/>
              <w:top w:val="nil"/>
            </w:tcBorders>
          </w:tcPr>
          <w:p>
            <w:pPr>
              <w:rPr>
                <w:rFonts w:ascii="Arial"/>
                <w:sz w:val="21"/>
              </w:rPr>
            </w:pPr>
            <w:r/>
          </w:p>
        </w:tc>
        <w:tc>
          <w:tcPr>
            <w:tcW w:w="3839" w:type="dxa"/>
            <w:vAlign w:val="top"/>
            <w:gridSpan w:val="2"/>
            <w:vMerge w:val="continue"/>
            <w:tcBorders>
              <w:top w:val="nil"/>
            </w:tcBorders>
          </w:tcPr>
          <w:p>
            <w:pPr>
              <w:rPr>
                <w:rFonts w:ascii="Arial"/>
                <w:sz w:val="21"/>
              </w:rPr>
            </w:pPr>
            <w:r/>
          </w:p>
        </w:tc>
        <w:tc>
          <w:tcPr>
            <w:tcW w:w="695" w:type="dxa"/>
            <w:vAlign w:val="top"/>
            <w:vMerge w:val="continue"/>
            <w:tcBorders>
              <w:top w:val="nil"/>
            </w:tcBorders>
          </w:tcPr>
          <w:p>
            <w:pPr>
              <w:rPr>
                <w:rFonts w:ascii="Arial"/>
                <w:sz w:val="21"/>
              </w:rPr>
            </w:pPr>
            <w:r/>
          </w:p>
        </w:tc>
        <w:tc>
          <w:tcPr>
            <w:tcW w:w="770" w:type="dxa"/>
            <w:vAlign w:val="top"/>
          </w:tcPr>
          <w:p>
            <w:pPr>
              <w:pStyle w:val="TableText"/>
              <w:ind w:left="93"/>
              <w:spacing w:before="84" w:line="241" w:lineRule="exact"/>
              <w:rPr/>
            </w:pPr>
            <w:r>
              <w:rPr>
                <w:b/>
                <w:bCs/>
                <w:spacing w:val="-3"/>
                <w:position w:val="1"/>
              </w:rPr>
              <w:t>2020</w:t>
            </w:r>
            <w:r>
              <w:rPr>
                <w:spacing w:val="-40"/>
                <w:position w:val="1"/>
              </w:rPr>
              <w:t xml:space="preserve"> </w:t>
            </w:r>
            <w:r>
              <w:rPr>
                <w:b/>
                <w:bCs/>
                <w:spacing w:val="-3"/>
                <w:position w:val="1"/>
              </w:rPr>
              <w:t>年</w:t>
            </w:r>
          </w:p>
        </w:tc>
        <w:tc>
          <w:tcPr>
            <w:tcW w:w="802" w:type="dxa"/>
            <w:vAlign w:val="top"/>
          </w:tcPr>
          <w:p>
            <w:pPr>
              <w:pStyle w:val="TableText"/>
              <w:ind w:left="41"/>
              <w:spacing w:before="89" w:line="210" w:lineRule="auto"/>
              <w:rPr/>
            </w:pPr>
            <w:r>
              <w:rPr>
                <w:b/>
                <w:bCs/>
                <w:spacing w:val="-3"/>
              </w:rPr>
              <w:t>年均增长</w:t>
            </w:r>
          </w:p>
        </w:tc>
        <w:tc>
          <w:tcPr>
            <w:tcW w:w="823" w:type="dxa"/>
            <w:vAlign w:val="top"/>
          </w:tcPr>
          <w:p>
            <w:pPr>
              <w:pStyle w:val="TableText"/>
              <w:ind w:left="122"/>
              <w:spacing w:before="84" w:line="241" w:lineRule="exact"/>
              <w:rPr/>
            </w:pPr>
            <w:r>
              <w:rPr>
                <w:b/>
                <w:bCs/>
                <w:spacing w:val="-3"/>
                <w:position w:val="1"/>
              </w:rPr>
              <w:t>2020</w:t>
            </w:r>
            <w:r>
              <w:rPr>
                <w:spacing w:val="-40"/>
                <w:position w:val="1"/>
              </w:rPr>
              <w:t xml:space="preserve"> </w:t>
            </w:r>
            <w:r>
              <w:rPr>
                <w:b/>
                <w:bCs/>
                <w:spacing w:val="-3"/>
                <w:position w:val="1"/>
              </w:rPr>
              <w:t>年</w:t>
            </w:r>
          </w:p>
        </w:tc>
        <w:tc>
          <w:tcPr>
            <w:tcW w:w="822" w:type="dxa"/>
            <w:vAlign w:val="top"/>
          </w:tcPr>
          <w:p>
            <w:pPr>
              <w:pStyle w:val="TableText"/>
              <w:ind w:left="55"/>
              <w:spacing w:before="89" w:line="210" w:lineRule="auto"/>
              <w:rPr/>
            </w:pPr>
            <w:r>
              <w:rPr>
                <w:b/>
                <w:bCs/>
                <w:spacing w:val="-3"/>
              </w:rPr>
              <w:t>年均增长</w:t>
            </w:r>
          </w:p>
        </w:tc>
        <w:tc>
          <w:tcPr>
            <w:tcW w:w="651" w:type="dxa"/>
            <w:vAlign w:val="top"/>
            <w:vMerge w:val="continue"/>
            <w:tcBorders>
              <w:right w:val="single" w:color="000000" w:sz="6" w:space="0"/>
              <w:top w:val="nil"/>
            </w:tcBorders>
          </w:tcPr>
          <w:p>
            <w:pPr>
              <w:rPr>
                <w:rFonts w:ascii="Arial"/>
                <w:sz w:val="21"/>
              </w:rPr>
            </w:pPr>
            <w:r/>
          </w:p>
        </w:tc>
      </w:tr>
      <w:tr>
        <w:trPr>
          <w:trHeight w:val="318" w:hRule="atLeast"/>
        </w:trPr>
        <w:tc>
          <w:tcPr>
            <w:tcW w:w="446" w:type="dxa"/>
            <w:vAlign w:val="top"/>
            <w:tcBorders>
              <w:left w:val="single" w:color="000000" w:sz="6" w:space="0"/>
            </w:tcBorders>
          </w:tcPr>
          <w:p>
            <w:pPr>
              <w:rPr>
                <w:rFonts w:ascii="Arial"/>
                <w:sz w:val="21"/>
              </w:rPr>
            </w:pPr>
            <w:r/>
          </w:p>
        </w:tc>
        <w:tc>
          <w:tcPr>
            <w:tcW w:w="3839" w:type="dxa"/>
            <w:vAlign w:val="top"/>
            <w:gridSpan w:val="2"/>
          </w:tcPr>
          <w:p>
            <w:pPr>
              <w:pStyle w:val="TableText"/>
              <w:ind w:left="3"/>
              <w:spacing w:before="73" w:line="241" w:lineRule="auto"/>
              <w:rPr/>
            </w:pPr>
            <w:r>
              <w:rPr>
                <w:spacing w:val="-3"/>
              </w:rPr>
              <w:t>7.每千人老年人拥有养老床位（张）</w:t>
            </w:r>
          </w:p>
        </w:tc>
        <w:tc>
          <w:tcPr>
            <w:tcW w:w="695" w:type="dxa"/>
            <w:vAlign w:val="top"/>
          </w:tcPr>
          <w:p>
            <w:pPr>
              <w:pStyle w:val="TableText"/>
              <w:ind w:right="7"/>
              <w:spacing w:before="162" w:line="123" w:lineRule="exact"/>
              <w:jc w:val="right"/>
              <w:rPr/>
            </w:pPr>
            <w:r>
              <w:rPr>
                <w:position w:val="-3"/>
              </w:rPr>
              <w:t>—</w:t>
            </w:r>
          </w:p>
        </w:tc>
        <w:tc>
          <w:tcPr>
            <w:tcW w:w="770" w:type="dxa"/>
            <w:vAlign w:val="top"/>
          </w:tcPr>
          <w:p>
            <w:pPr>
              <w:pStyle w:val="TableText"/>
              <w:ind w:right="2"/>
              <w:spacing w:before="73" w:line="241" w:lineRule="auto"/>
              <w:jc w:val="right"/>
              <w:rPr/>
            </w:pPr>
            <w:r>
              <w:rPr>
                <w:spacing w:val="-10"/>
              </w:rPr>
              <w:t>≥35</w:t>
            </w:r>
          </w:p>
        </w:tc>
        <w:tc>
          <w:tcPr>
            <w:tcW w:w="802" w:type="dxa"/>
            <w:vAlign w:val="top"/>
          </w:tcPr>
          <w:p>
            <w:pPr>
              <w:pStyle w:val="TableText"/>
              <w:ind w:right="4"/>
              <w:spacing w:before="162" w:line="123" w:lineRule="exact"/>
              <w:jc w:val="right"/>
              <w:rPr/>
            </w:pPr>
            <w:r>
              <w:rPr>
                <w:position w:val="-3"/>
              </w:rPr>
              <w:t>—</w:t>
            </w:r>
          </w:p>
        </w:tc>
        <w:tc>
          <w:tcPr>
            <w:tcW w:w="823" w:type="dxa"/>
            <w:vAlign w:val="top"/>
          </w:tcPr>
          <w:p>
            <w:pPr>
              <w:pStyle w:val="TableText"/>
              <w:spacing w:before="73" w:line="241" w:lineRule="auto"/>
              <w:jc w:val="right"/>
              <w:rPr/>
            </w:pPr>
            <w:r>
              <w:rPr>
                <w:spacing w:val="-10"/>
              </w:rPr>
              <w:t>≥35</w:t>
            </w:r>
          </w:p>
        </w:tc>
        <w:tc>
          <w:tcPr>
            <w:tcW w:w="822" w:type="dxa"/>
            <w:vAlign w:val="top"/>
          </w:tcPr>
          <w:p>
            <w:pPr>
              <w:pStyle w:val="TableText"/>
              <w:spacing w:before="162" w:line="123" w:lineRule="exact"/>
              <w:jc w:val="right"/>
              <w:rPr/>
            </w:pPr>
            <w:r>
              <w:rPr>
                <w:position w:val="-3"/>
              </w:rPr>
              <w:t>—</w:t>
            </w:r>
          </w:p>
        </w:tc>
        <w:tc>
          <w:tcPr>
            <w:tcW w:w="651" w:type="dxa"/>
            <w:vAlign w:val="top"/>
            <w:tcBorders>
              <w:right w:val="single" w:color="000000" w:sz="6" w:space="0"/>
            </w:tcBorders>
          </w:tcPr>
          <w:p>
            <w:pPr>
              <w:pStyle w:val="TableText"/>
              <w:ind w:right="5"/>
              <w:spacing w:before="73" w:line="241" w:lineRule="auto"/>
              <w:jc w:val="right"/>
              <w:rPr/>
            </w:pPr>
            <w:r>
              <w:rPr>
                <w:spacing w:val="9"/>
              </w:rPr>
              <w:t>100%</w:t>
            </w:r>
          </w:p>
        </w:tc>
      </w:tr>
      <w:tr>
        <w:trPr>
          <w:trHeight w:val="318" w:hRule="atLeast"/>
        </w:trPr>
        <w:tc>
          <w:tcPr>
            <w:tcW w:w="446" w:type="dxa"/>
            <w:vAlign w:val="top"/>
            <w:vMerge w:val="restart"/>
            <w:tcBorders>
              <w:left w:val="single" w:color="000000" w:sz="6" w:space="0"/>
              <w:bottom w:val="nil"/>
            </w:tcBorders>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pStyle w:val="TableText"/>
              <w:ind w:left="38" w:right="40"/>
              <w:spacing w:before="58" w:line="250" w:lineRule="auto"/>
              <w:rPr/>
            </w:pPr>
            <w:r>
              <w:rPr>
                <w:spacing w:val="-3"/>
              </w:rPr>
              <w:t>经济</w:t>
            </w:r>
            <w:r>
              <w:rPr>
                <w:spacing w:val="-3"/>
              </w:rPr>
              <w:t>发展</w:t>
            </w:r>
          </w:p>
        </w:tc>
        <w:tc>
          <w:tcPr>
            <w:tcW w:w="3839" w:type="dxa"/>
            <w:vAlign w:val="top"/>
            <w:gridSpan w:val="2"/>
          </w:tcPr>
          <w:p>
            <w:pPr>
              <w:pStyle w:val="TableText"/>
              <w:ind w:left="7"/>
              <w:spacing w:before="71" w:line="237" w:lineRule="exact"/>
              <w:rPr/>
            </w:pPr>
            <w:r>
              <w:rPr>
                <w:spacing w:val="-4"/>
                <w:position w:val="1"/>
              </w:rPr>
              <w:t>8.地区生产总值（2015</w:t>
            </w:r>
            <w:r>
              <w:rPr>
                <w:spacing w:val="-27"/>
                <w:position w:val="1"/>
              </w:rPr>
              <w:t xml:space="preserve"> </w:t>
            </w:r>
            <w:r>
              <w:rPr>
                <w:spacing w:val="-4"/>
                <w:position w:val="1"/>
              </w:rPr>
              <w:t>年价，亿元）</w:t>
            </w:r>
          </w:p>
        </w:tc>
        <w:tc>
          <w:tcPr>
            <w:tcW w:w="695" w:type="dxa"/>
            <w:vAlign w:val="top"/>
          </w:tcPr>
          <w:p>
            <w:pPr>
              <w:pStyle w:val="TableText"/>
              <w:ind w:right="4"/>
              <w:spacing w:before="71" w:line="237" w:lineRule="exact"/>
              <w:jc w:val="right"/>
              <w:rPr/>
            </w:pPr>
            <w:r>
              <w:rPr>
                <w:spacing w:val="-11"/>
                <w:position w:val="1"/>
              </w:rPr>
              <w:t>214.7</w:t>
            </w:r>
          </w:p>
        </w:tc>
        <w:tc>
          <w:tcPr>
            <w:tcW w:w="770" w:type="dxa"/>
            <w:vAlign w:val="top"/>
          </w:tcPr>
          <w:p>
            <w:pPr>
              <w:pStyle w:val="TableText"/>
              <w:ind w:right="5"/>
              <w:spacing w:before="71" w:line="237" w:lineRule="exact"/>
              <w:jc w:val="right"/>
              <w:rPr/>
            </w:pPr>
            <w:r>
              <w:rPr>
                <w:spacing w:val="-4"/>
                <w:position w:val="1"/>
              </w:rPr>
              <w:t>350</w:t>
            </w:r>
          </w:p>
        </w:tc>
        <w:tc>
          <w:tcPr>
            <w:tcW w:w="802" w:type="dxa"/>
            <w:vAlign w:val="top"/>
          </w:tcPr>
          <w:p>
            <w:pPr>
              <w:pStyle w:val="TableText"/>
              <w:spacing w:before="71" w:line="237" w:lineRule="exact"/>
              <w:jc w:val="right"/>
              <w:rPr/>
            </w:pPr>
            <w:r>
              <w:rPr>
                <w:spacing w:val="-8"/>
                <w:position w:val="1"/>
              </w:rPr>
              <w:t>8</w:t>
            </w:r>
          </w:p>
        </w:tc>
        <w:tc>
          <w:tcPr>
            <w:tcW w:w="823" w:type="dxa"/>
            <w:vAlign w:val="top"/>
          </w:tcPr>
          <w:p>
            <w:pPr>
              <w:pStyle w:val="TableText"/>
              <w:spacing w:before="71" w:line="237" w:lineRule="exact"/>
              <w:jc w:val="right"/>
              <w:rPr/>
            </w:pPr>
            <w:r>
              <w:rPr>
                <w:spacing w:val="-10"/>
                <w:position w:val="1"/>
              </w:rPr>
              <w:t>352.46</w:t>
            </w:r>
          </w:p>
        </w:tc>
        <w:tc>
          <w:tcPr>
            <w:tcW w:w="822" w:type="dxa"/>
            <w:vAlign w:val="top"/>
          </w:tcPr>
          <w:p>
            <w:pPr>
              <w:pStyle w:val="TableText"/>
              <w:spacing w:before="71" w:line="237" w:lineRule="exact"/>
              <w:jc w:val="right"/>
              <w:rPr/>
            </w:pPr>
            <w:r>
              <w:rPr>
                <w:spacing w:val="-24"/>
                <w:position w:val="1"/>
              </w:rPr>
              <w:t>6</w:t>
            </w:r>
            <w:r>
              <w:rPr>
                <w:spacing w:val="-23"/>
                <w:position w:val="1"/>
              </w:rPr>
              <w:t>.</w:t>
            </w:r>
            <w:r>
              <w:rPr>
                <w:spacing w:val="-10"/>
                <w:position w:val="1"/>
              </w:rPr>
              <w:t>9</w:t>
            </w:r>
          </w:p>
        </w:tc>
        <w:tc>
          <w:tcPr>
            <w:tcW w:w="651" w:type="dxa"/>
            <w:vAlign w:val="top"/>
            <w:tcBorders>
              <w:right w:val="single" w:color="000000" w:sz="6" w:space="0"/>
            </w:tcBorders>
          </w:tcPr>
          <w:p>
            <w:pPr>
              <w:pStyle w:val="TableText"/>
              <w:ind w:right="5"/>
              <w:spacing w:before="71" w:line="237" w:lineRule="exact"/>
              <w:jc w:val="right"/>
              <w:rPr/>
            </w:pPr>
            <w:r>
              <w:rPr>
                <w:spacing w:val="-2"/>
                <w:position w:val="1"/>
              </w:rPr>
              <w:t>100.7%</w:t>
            </w:r>
          </w:p>
        </w:tc>
      </w:tr>
      <w:tr>
        <w:trPr>
          <w:trHeight w:val="318" w:hRule="atLeast"/>
        </w:trPr>
        <w:tc>
          <w:tcPr>
            <w:tcW w:w="446" w:type="dxa"/>
            <w:vAlign w:val="top"/>
            <w:vMerge w:val="continue"/>
            <w:tcBorders>
              <w:left w:val="single" w:color="000000" w:sz="6" w:space="0"/>
              <w:top w:val="nil"/>
              <w:bottom w:val="nil"/>
            </w:tcBorders>
          </w:tcPr>
          <w:p>
            <w:pPr>
              <w:rPr>
                <w:rFonts w:ascii="Arial"/>
                <w:sz w:val="21"/>
              </w:rPr>
            </w:pPr>
            <w:r/>
          </w:p>
        </w:tc>
        <w:tc>
          <w:tcPr>
            <w:tcW w:w="3839" w:type="dxa"/>
            <w:vAlign w:val="top"/>
            <w:gridSpan w:val="2"/>
          </w:tcPr>
          <w:p>
            <w:pPr>
              <w:pStyle w:val="TableText"/>
              <w:ind w:left="4"/>
              <w:spacing w:before="72" w:line="242" w:lineRule="auto"/>
              <w:rPr/>
            </w:pPr>
            <w:r>
              <w:rPr>
                <w:spacing w:val="-4"/>
              </w:rPr>
              <w:t>9.人均地区生产总值（元）</w:t>
            </w:r>
          </w:p>
        </w:tc>
        <w:tc>
          <w:tcPr>
            <w:tcW w:w="695" w:type="dxa"/>
            <w:vAlign w:val="top"/>
          </w:tcPr>
          <w:p>
            <w:pPr>
              <w:pStyle w:val="TableText"/>
              <w:ind w:right="5"/>
              <w:spacing w:before="72" w:line="242" w:lineRule="auto"/>
              <w:jc w:val="right"/>
              <w:rPr/>
            </w:pPr>
            <w:r>
              <w:rPr>
                <w:spacing w:val="-5"/>
              </w:rPr>
              <w:t>17603</w:t>
            </w:r>
          </w:p>
        </w:tc>
        <w:tc>
          <w:tcPr>
            <w:tcW w:w="770" w:type="dxa"/>
            <w:vAlign w:val="top"/>
          </w:tcPr>
          <w:p>
            <w:pPr>
              <w:pStyle w:val="TableText"/>
              <w:ind w:right="5"/>
              <w:spacing w:before="72" w:line="242" w:lineRule="auto"/>
              <w:jc w:val="right"/>
              <w:rPr/>
            </w:pPr>
            <w:r>
              <w:rPr>
                <w:spacing w:val="-3"/>
              </w:rPr>
              <w:t>30400</w:t>
            </w:r>
          </w:p>
        </w:tc>
        <w:tc>
          <w:tcPr>
            <w:tcW w:w="802" w:type="dxa"/>
            <w:vAlign w:val="top"/>
          </w:tcPr>
          <w:p>
            <w:pPr>
              <w:pStyle w:val="TableText"/>
              <w:ind w:right="3"/>
              <w:spacing w:before="72" w:line="242" w:lineRule="auto"/>
              <w:jc w:val="right"/>
              <w:rPr/>
            </w:pPr>
            <w:r>
              <w:rPr>
                <w:spacing w:val="-11"/>
              </w:rPr>
              <w:t>11</w:t>
            </w:r>
          </w:p>
        </w:tc>
        <w:tc>
          <w:tcPr>
            <w:tcW w:w="823" w:type="dxa"/>
            <w:vAlign w:val="top"/>
          </w:tcPr>
          <w:p>
            <w:pPr>
              <w:pStyle w:val="TableText"/>
              <w:spacing w:before="72" w:line="242" w:lineRule="auto"/>
              <w:jc w:val="right"/>
              <w:rPr/>
            </w:pPr>
            <w:r>
              <w:rPr>
                <w:spacing w:val="-2"/>
              </w:rPr>
              <w:t>28300</w:t>
            </w:r>
          </w:p>
        </w:tc>
        <w:tc>
          <w:tcPr>
            <w:tcW w:w="822" w:type="dxa"/>
            <w:vAlign w:val="top"/>
          </w:tcPr>
          <w:p>
            <w:pPr>
              <w:pStyle w:val="TableText"/>
              <w:spacing w:before="72" w:line="242" w:lineRule="auto"/>
              <w:jc w:val="right"/>
              <w:rPr/>
            </w:pPr>
            <w:r>
              <w:rPr>
                <w:spacing w:val="-22"/>
                <w:w w:val="99"/>
              </w:rPr>
              <w:t>8</w:t>
            </w:r>
            <w:r>
              <w:rPr>
                <w:spacing w:val="-21"/>
                <w:w w:val="99"/>
              </w:rPr>
              <w:t>.</w:t>
            </w:r>
            <w:r>
              <w:rPr>
                <w:spacing w:val="-11"/>
                <w:w w:val="99"/>
              </w:rPr>
              <w:t>8</w:t>
            </w:r>
          </w:p>
        </w:tc>
        <w:tc>
          <w:tcPr>
            <w:tcW w:w="651" w:type="dxa"/>
            <w:vAlign w:val="top"/>
            <w:tcBorders>
              <w:right w:val="single" w:color="000000" w:sz="6" w:space="0"/>
            </w:tcBorders>
          </w:tcPr>
          <w:p>
            <w:pPr>
              <w:pStyle w:val="TableText"/>
              <w:ind w:right="5"/>
              <w:spacing w:before="72" w:line="242" w:lineRule="auto"/>
              <w:jc w:val="right"/>
              <w:rPr/>
            </w:pPr>
            <w:r>
              <w:rPr>
                <w:spacing w:val="17"/>
              </w:rPr>
              <w:t>93%</w:t>
            </w:r>
          </w:p>
        </w:tc>
      </w:tr>
      <w:tr>
        <w:trPr>
          <w:trHeight w:val="317" w:hRule="atLeast"/>
        </w:trPr>
        <w:tc>
          <w:tcPr>
            <w:tcW w:w="446" w:type="dxa"/>
            <w:vAlign w:val="top"/>
            <w:vMerge w:val="continue"/>
            <w:tcBorders>
              <w:left w:val="single" w:color="000000" w:sz="6" w:space="0"/>
              <w:top w:val="nil"/>
              <w:bottom w:val="nil"/>
            </w:tcBorders>
          </w:tcPr>
          <w:p>
            <w:pPr>
              <w:rPr>
                <w:rFonts w:ascii="Arial"/>
                <w:sz w:val="21"/>
              </w:rPr>
            </w:pPr>
            <w:r/>
          </w:p>
        </w:tc>
        <w:tc>
          <w:tcPr>
            <w:tcW w:w="3839" w:type="dxa"/>
            <w:vAlign w:val="top"/>
            <w:gridSpan w:val="2"/>
          </w:tcPr>
          <w:p>
            <w:pPr>
              <w:pStyle w:val="TableText"/>
              <w:ind w:left="19"/>
              <w:spacing w:before="72"/>
              <w:rPr/>
            </w:pPr>
            <w:r>
              <w:rPr>
                <w:spacing w:val="-4"/>
              </w:rPr>
              <w:t>10.地方公共财政预算收入（亿元）</w:t>
            </w:r>
          </w:p>
        </w:tc>
        <w:tc>
          <w:tcPr>
            <w:tcW w:w="695" w:type="dxa"/>
            <w:vAlign w:val="top"/>
          </w:tcPr>
          <w:p>
            <w:pPr>
              <w:pStyle w:val="TableText"/>
              <w:ind w:right="5"/>
              <w:spacing w:before="72"/>
              <w:jc w:val="right"/>
              <w:rPr/>
            </w:pPr>
            <w:r>
              <w:rPr>
                <w:spacing w:val="-14"/>
              </w:rPr>
              <w:t>15.91</w:t>
            </w:r>
          </w:p>
        </w:tc>
        <w:tc>
          <w:tcPr>
            <w:tcW w:w="770" w:type="dxa"/>
            <w:vAlign w:val="top"/>
          </w:tcPr>
          <w:p>
            <w:pPr>
              <w:pStyle w:val="TableText"/>
              <w:ind w:right="2"/>
              <w:spacing w:before="72"/>
              <w:jc w:val="right"/>
              <w:rPr/>
            </w:pPr>
            <w:r>
              <w:rPr>
                <w:spacing w:val="-3"/>
              </w:rPr>
              <w:t>23</w:t>
            </w:r>
          </w:p>
        </w:tc>
        <w:tc>
          <w:tcPr>
            <w:tcW w:w="802" w:type="dxa"/>
            <w:vAlign w:val="top"/>
          </w:tcPr>
          <w:p>
            <w:pPr>
              <w:pStyle w:val="TableText"/>
              <w:spacing w:before="72"/>
              <w:jc w:val="right"/>
              <w:rPr/>
            </w:pPr>
            <w:r>
              <w:rPr>
                <w:spacing w:val="-6"/>
              </w:rPr>
              <w:t>9</w:t>
            </w:r>
          </w:p>
        </w:tc>
        <w:tc>
          <w:tcPr>
            <w:tcW w:w="823" w:type="dxa"/>
            <w:vAlign w:val="top"/>
          </w:tcPr>
          <w:p>
            <w:pPr>
              <w:pStyle w:val="TableText"/>
              <w:ind w:right="1"/>
              <w:spacing w:before="72"/>
              <w:jc w:val="right"/>
              <w:rPr/>
            </w:pPr>
            <w:r>
              <w:rPr>
                <w:spacing w:val="-15"/>
              </w:rPr>
              <w:t>14</w:t>
            </w:r>
            <w:r>
              <w:rPr>
                <w:spacing w:val="-14"/>
              </w:rPr>
              <w:t>.4</w:t>
            </w:r>
            <w:r>
              <w:rPr>
                <w:spacing w:val="-12"/>
              </w:rPr>
              <w:t>9</w:t>
            </w:r>
          </w:p>
        </w:tc>
        <w:tc>
          <w:tcPr>
            <w:tcW w:w="822" w:type="dxa"/>
            <w:vAlign w:val="top"/>
          </w:tcPr>
          <w:p>
            <w:pPr>
              <w:pStyle w:val="TableText"/>
              <w:spacing w:before="72"/>
              <w:jc w:val="right"/>
              <w:rPr/>
            </w:pPr>
            <w:r>
              <w:rPr>
                <w:spacing w:val="-10"/>
              </w:rPr>
              <w:t>-1.85</w:t>
            </w:r>
          </w:p>
        </w:tc>
        <w:tc>
          <w:tcPr>
            <w:tcW w:w="651" w:type="dxa"/>
            <w:vAlign w:val="top"/>
            <w:tcBorders>
              <w:right w:val="single" w:color="000000" w:sz="6" w:space="0"/>
            </w:tcBorders>
          </w:tcPr>
          <w:p>
            <w:pPr>
              <w:pStyle w:val="TableText"/>
              <w:ind w:right="5"/>
              <w:spacing w:before="72"/>
              <w:jc w:val="right"/>
              <w:rPr/>
            </w:pPr>
            <w:r>
              <w:rPr>
                <w:spacing w:val="17"/>
              </w:rPr>
              <w:t>63%</w:t>
            </w:r>
          </w:p>
        </w:tc>
      </w:tr>
      <w:tr>
        <w:trPr>
          <w:trHeight w:val="317" w:hRule="atLeast"/>
        </w:trPr>
        <w:tc>
          <w:tcPr>
            <w:tcW w:w="446" w:type="dxa"/>
            <w:vAlign w:val="top"/>
            <w:vMerge w:val="continue"/>
            <w:tcBorders>
              <w:left w:val="single" w:color="000000" w:sz="6" w:space="0"/>
              <w:top w:val="nil"/>
              <w:bottom w:val="nil"/>
            </w:tcBorders>
          </w:tcPr>
          <w:p>
            <w:pPr>
              <w:rPr>
                <w:rFonts w:ascii="Arial"/>
                <w:sz w:val="21"/>
              </w:rPr>
            </w:pPr>
            <w:r/>
          </w:p>
        </w:tc>
        <w:tc>
          <w:tcPr>
            <w:tcW w:w="3839" w:type="dxa"/>
            <w:vAlign w:val="top"/>
            <w:gridSpan w:val="2"/>
          </w:tcPr>
          <w:p>
            <w:pPr>
              <w:pStyle w:val="TableText"/>
              <w:ind w:left="19"/>
              <w:spacing w:before="72" w:line="241" w:lineRule="auto"/>
              <w:rPr/>
            </w:pPr>
            <w:r>
              <w:rPr>
                <w:spacing w:val="-4"/>
              </w:rPr>
              <w:t>11.地方公共财政预算支出（亿元）</w:t>
            </w:r>
          </w:p>
        </w:tc>
        <w:tc>
          <w:tcPr>
            <w:tcW w:w="695" w:type="dxa"/>
            <w:vAlign w:val="top"/>
          </w:tcPr>
          <w:p>
            <w:pPr>
              <w:pStyle w:val="TableText"/>
              <w:ind w:right="4"/>
              <w:spacing w:before="72" w:line="241" w:lineRule="auto"/>
              <w:jc w:val="right"/>
              <w:rPr/>
            </w:pPr>
            <w:r>
              <w:rPr>
                <w:spacing w:val="-12"/>
              </w:rPr>
              <w:t>184.59</w:t>
            </w:r>
          </w:p>
        </w:tc>
        <w:tc>
          <w:tcPr>
            <w:tcW w:w="770" w:type="dxa"/>
            <w:vAlign w:val="top"/>
          </w:tcPr>
          <w:p>
            <w:pPr>
              <w:pStyle w:val="TableText"/>
              <w:ind w:right="5"/>
              <w:spacing w:before="72" w:line="241" w:lineRule="auto"/>
              <w:jc w:val="right"/>
              <w:rPr/>
            </w:pPr>
            <w:r>
              <w:rPr>
                <w:spacing w:val="-3"/>
              </w:rPr>
              <w:t>209</w:t>
            </w:r>
          </w:p>
        </w:tc>
        <w:tc>
          <w:tcPr>
            <w:tcW w:w="802" w:type="dxa"/>
            <w:vAlign w:val="top"/>
          </w:tcPr>
          <w:p>
            <w:pPr>
              <w:pStyle w:val="TableText"/>
              <w:ind w:right="4"/>
              <w:spacing w:before="161" w:line="124" w:lineRule="exact"/>
              <w:jc w:val="right"/>
              <w:rPr/>
            </w:pPr>
            <w:r>
              <w:rPr>
                <w:position w:val="-3"/>
              </w:rPr>
              <w:t>—</w:t>
            </w:r>
          </w:p>
        </w:tc>
        <w:tc>
          <w:tcPr>
            <w:tcW w:w="823" w:type="dxa"/>
            <w:vAlign w:val="top"/>
          </w:tcPr>
          <w:p>
            <w:pPr>
              <w:pStyle w:val="TableText"/>
              <w:spacing w:before="72" w:line="241" w:lineRule="auto"/>
              <w:jc w:val="right"/>
              <w:rPr/>
            </w:pPr>
            <w:r>
              <w:rPr>
                <w:spacing w:val="-9"/>
              </w:rPr>
              <w:t>254.03</w:t>
            </w:r>
          </w:p>
        </w:tc>
        <w:tc>
          <w:tcPr>
            <w:tcW w:w="822" w:type="dxa"/>
            <w:vAlign w:val="top"/>
          </w:tcPr>
          <w:p>
            <w:pPr>
              <w:pStyle w:val="TableText"/>
              <w:spacing w:before="72" w:line="241" w:lineRule="auto"/>
              <w:jc w:val="right"/>
              <w:rPr/>
            </w:pPr>
            <w:r>
              <w:rPr>
                <w:spacing w:val="-15"/>
              </w:rPr>
              <w:t>6.</w:t>
            </w:r>
            <w:r>
              <w:rPr>
                <w:spacing w:val="-14"/>
              </w:rPr>
              <w:t>7</w:t>
            </w:r>
            <w:r>
              <w:rPr>
                <w:spacing w:val="-12"/>
              </w:rPr>
              <w:t>2</w:t>
            </w:r>
          </w:p>
        </w:tc>
        <w:tc>
          <w:tcPr>
            <w:tcW w:w="651" w:type="dxa"/>
            <w:vAlign w:val="top"/>
            <w:tcBorders>
              <w:right w:val="single" w:color="000000" w:sz="6" w:space="0"/>
            </w:tcBorders>
          </w:tcPr>
          <w:p>
            <w:pPr>
              <w:pStyle w:val="TableText"/>
              <w:ind w:right="5"/>
              <w:spacing w:before="72" w:line="241" w:lineRule="auto"/>
              <w:jc w:val="right"/>
              <w:rPr/>
            </w:pPr>
            <w:r>
              <w:rPr>
                <w:spacing w:val="9"/>
              </w:rPr>
              <w:t>120%</w:t>
            </w:r>
          </w:p>
        </w:tc>
      </w:tr>
      <w:tr>
        <w:trPr>
          <w:trHeight w:val="318" w:hRule="atLeast"/>
        </w:trPr>
        <w:tc>
          <w:tcPr>
            <w:tcW w:w="446" w:type="dxa"/>
            <w:vAlign w:val="top"/>
            <w:vMerge w:val="continue"/>
            <w:tcBorders>
              <w:left w:val="single" w:color="000000" w:sz="6" w:space="0"/>
              <w:top w:val="nil"/>
              <w:bottom w:val="nil"/>
            </w:tcBorders>
          </w:tcPr>
          <w:p>
            <w:pPr>
              <w:rPr>
                <w:rFonts w:ascii="Arial"/>
                <w:sz w:val="21"/>
              </w:rPr>
            </w:pPr>
            <w:r/>
          </w:p>
        </w:tc>
        <w:tc>
          <w:tcPr>
            <w:tcW w:w="3839" w:type="dxa"/>
            <w:vAlign w:val="top"/>
            <w:gridSpan w:val="2"/>
          </w:tcPr>
          <w:p>
            <w:pPr>
              <w:pStyle w:val="TableText"/>
              <w:ind w:left="19"/>
              <w:spacing w:before="74"/>
              <w:rPr/>
            </w:pPr>
            <w:r>
              <w:rPr>
                <w:spacing w:val="-5"/>
              </w:rPr>
              <w:t>12.全社会固定资产投资（亿元）</w:t>
            </w:r>
          </w:p>
        </w:tc>
        <w:tc>
          <w:tcPr>
            <w:tcW w:w="695" w:type="dxa"/>
            <w:vAlign w:val="top"/>
          </w:tcPr>
          <w:p>
            <w:pPr>
              <w:pStyle w:val="TableText"/>
              <w:ind w:right="4"/>
              <w:spacing w:before="74"/>
              <w:jc w:val="right"/>
              <w:rPr/>
            </w:pPr>
            <w:r>
              <w:rPr>
                <w:spacing w:val="-12"/>
              </w:rPr>
              <w:t>345.8</w:t>
            </w:r>
          </w:p>
        </w:tc>
        <w:tc>
          <w:tcPr>
            <w:tcW w:w="770" w:type="dxa"/>
            <w:vAlign w:val="top"/>
          </w:tcPr>
          <w:p>
            <w:pPr>
              <w:pStyle w:val="TableText"/>
              <w:ind w:right="5"/>
              <w:spacing w:before="74"/>
              <w:jc w:val="right"/>
              <w:rPr/>
            </w:pPr>
            <w:r>
              <w:rPr>
                <w:spacing w:val="-3"/>
              </w:rPr>
              <w:t>600</w:t>
            </w:r>
          </w:p>
        </w:tc>
        <w:tc>
          <w:tcPr>
            <w:tcW w:w="802" w:type="dxa"/>
            <w:vAlign w:val="top"/>
          </w:tcPr>
          <w:p>
            <w:pPr>
              <w:pStyle w:val="TableText"/>
              <w:ind w:right="4"/>
              <w:spacing w:before="74"/>
              <w:jc w:val="right"/>
              <w:rPr/>
            </w:pPr>
            <w:r>
              <w:rPr>
                <w:spacing w:val="-10"/>
              </w:rPr>
              <w:t>12</w:t>
            </w:r>
            <w:r>
              <w:rPr>
                <w:spacing w:val="-27"/>
              </w:rPr>
              <w:t xml:space="preserve"> </w:t>
            </w:r>
            <w:r>
              <w:rPr>
                <w:spacing w:val="-10"/>
              </w:rPr>
              <w:t>以上</w:t>
            </w:r>
          </w:p>
        </w:tc>
        <w:tc>
          <w:tcPr>
            <w:tcW w:w="823" w:type="dxa"/>
            <w:vAlign w:val="top"/>
          </w:tcPr>
          <w:p>
            <w:pPr>
              <w:pStyle w:val="TableText"/>
              <w:ind w:right="1"/>
              <w:spacing w:before="74"/>
              <w:jc w:val="right"/>
              <w:rPr/>
            </w:pPr>
            <w:r>
              <w:rPr>
                <w:spacing w:val="-14"/>
              </w:rPr>
              <w:t>154.1</w:t>
            </w:r>
          </w:p>
        </w:tc>
        <w:tc>
          <w:tcPr>
            <w:tcW w:w="822" w:type="dxa"/>
            <w:vAlign w:val="top"/>
          </w:tcPr>
          <w:p>
            <w:pPr>
              <w:pStyle w:val="TableText"/>
              <w:spacing w:before="163" w:line="123" w:lineRule="exact"/>
              <w:jc w:val="right"/>
              <w:rPr/>
            </w:pPr>
            <w:r>
              <w:rPr>
                <w:position w:val="-3"/>
              </w:rPr>
              <w:t>—</w:t>
            </w:r>
          </w:p>
        </w:tc>
        <w:tc>
          <w:tcPr>
            <w:tcW w:w="651" w:type="dxa"/>
            <w:vAlign w:val="top"/>
            <w:tcBorders>
              <w:right w:val="single" w:color="000000" w:sz="6" w:space="0"/>
            </w:tcBorders>
          </w:tcPr>
          <w:p>
            <w:pPr>
              <w:pStyle w:val="TableText"/>
              <w:ind w:right="6"/>
              <w:spacing w:before="163" w:line="123" w:lineRule="exact"/>
              <w:jc w:val="right"/>
              <w:rPr/>
            </w:pPr>
            <w:r>
              <w:rPr>
                <w:position w:val="-3"/>
              </w:rPr>
              <w:t>—</w:t>
            </w:r>
          </w:p>
        </w:tc>
      </w:tr>
      <w:tr>
        <w:trPr>
          <w:trHeight w:val="318" w:hRule="atLeast"/>
        </w:trPr>
        <w:tc>
          <w:tcPr>
            <w:tcW w:w="446" w:type="dxa"/>
            <w:vAlign w:val="top"/>
            <w:vMerge w:val="continue"/>
            <w:tcBorders>
              <w:left w:val="single" w:color="000000" w:sz="6" w:space="0"/>
              <w:top w:val="nil"/>
              <w:bottom w:val="nil"/>
            </w:tcBorders>
          </w:tcPr>
          <w:p>
            <w:pPr>
              <w:rPr>
                <w:rFonts w:ascii="Arial"/>
                <w:sz w:val="21"/>
              </w:rPr>
            </w:pPr>
            <w:r/>
          </w:p>
        </w:tc>
        <w:tc>
          <w:tcPr>
            <w:tcW w:w="3839" w:type="dxa"/>
            <w:vAlign w:val="top"/>
            <w:gridSpan w:val="2"/>
          </w:tcPr>
          <w:p>
            <w:pPr>
              <w:pStyle w:val="TableText"/>
              <w:ind w:left="19"/>
              <w:spacing w:before="74" w:line="239" w:lineRule="auto"/>
              <w:rPr/>
            </w:pPr>
            <w:r>
              <w:rPr>
                <w:spacing w:val="-5"/>
              </w:rPr>
              <w:t>13.社会消费品零售总额（亿元）</w:t>
            </w:r>
          </w:p>
        </w:tc>
        <w:tc>
          <w:tcPr>
            <w:tcW w:w="695" w:type="dxa"/>
            <w:vAlign w:val="top"/>
          </w:tcPr>
          <w:p>
            <w:pPr>
              <w:pStyle w:val="TableText"/>
              <w:ind w:right="7"/>
              <w:spacing w:before="164" w:line="123" w:lineRule="exact"/>
              <w:jc w:val="right"/>
              <w:rPr/>
            </w:pPr>
            <w:r>
              <w:rPr>
                <w:position w:val="-3"/>
              </w:rPr>
              <w:t>—</w:t>
            </w:r>
          </w:p>
        </w:tc>
        <w:tc>
          <w:tcPr>
            <w:tcW w:w="770" w:type="dxa"/>
            <w:vAlign w:val="top"/>
          </w:tcPr>
          <w:p>
            <w:pPr>
              <w:pStyle w:val="TableText"/>
              <w:ind w:right="2"/>
              <w:spacing w:before="74" w:line="239" w:lineRule="auto"/>
              <w:jc w:val="right"/>
              <w:rPr/>
            </w:pPr>
            <w:r>
              <w:rPr>
                <w:spacing w:val="-4"/>
              </w:rPr>
              <w:t>88</w:t>
            </w:r>
          </w:p>
        </w:tc>
        <w:tc>
          <w:tcPr>
            <w:tcW w:w="802" w:type="dxa"/>
            <w:vAlign w:val="top"/>
          </w:tcPr>
          <w:p>
            <w:pPr>
              <w:pStyle w:val="TableText"/>
              <w:ind w:right="3"/>
              <w:spacing w:before="74" w:line="239" w:lineRule="auto"/>
              <w:jc w:val="right"/>
              <w:rPr/>
            </w:pPr>
            <w:r>
              <w:rPr>
                <w:spacing w:val="-15"/>
              </w:rPr>
              <w:t>≥8</w:t>
            </w:r>
          </w:p>
        </w:tc>
        <w:tc>
          <w:tcPr>
            <w:tcW w:w="823" w:type="dxa"/>
            <w:vAlign w:val="top"/>
          </w:tcPr>
          <w:p>
            <w:pPr>
              <w:pStyle w:val="TableText"/>
              <w:spacing w:before="74" w:line="239" w:lineRule="auto"/>
              <w:jc w:val="right"/>
              <w:rPr/>
            </w:pPr>
            <w:r>
              <w:rPr>
                <w:spacing w:val="-12"/>
              </w:rPr>
              <w:t>120.82</w:t>
            </w:r>
          </w:p>
        </w:tc>
        <w:tc>
          <w:tcPr>
            <w:tcW w:w="822" w:type="dxa"/>
            <w:vAlign w:val="top"/>
          </w:tcPr>
          <w:p>
            <w:pPr>
              <w:pStyle w:val="TableText"/>
              <w:spacing w:before="164" w:line="123" w:lineRule="exact"/>
              <w:jc w:val="right"/>
              <w:rPr/>
            </w:pPr>
            <w:r>
              <w:rPr>
                <w:position w:val="-3"/>
              </w:rPr>
              <w:t>—</w:t>
            </w:r>
          </w:p>
        </w:tc>
        <w:tc>
          <w:tcPr>
            <w:tcW w:w="651" w:type="dxa"/>
            <w:vAlign w:val="top"/>
            <w:tcBorders>
              <w:right w:val="single" w:color="000000" w:sz="6" w:space="0"/>
            </w:tcBorders>
          </w:tcPr>
          <w:p>
            <w:pPr>
              <w:pStyle w:val="TableText"/>
              <w:ind w:right="5"/>
              <w:spacing w:before="74" w:line="239" w:lineRule="auto"/>
              <w:jc w:val="right"/>
              <w:rPr/>
            </w:pPr>
            <w:r>
              <w:rPr>
                <w:spacing w:val="9"/>
              </w:rPr>
              <w:t>137%</w:t>
            </w:r>
          </w:p>
        </w:tc>
      </w:tr>
      <w:tr>
        <w:trPr>
          <w:trHeight w:val="318" w:hRule="atLeast"/>
        </w:trPr>
        <w:tc>
          <w:tcPr>
            <w:tcW w:w="446" w:type="dxa"/>
            <w:vAlign w:val="top"/>
            <w:vMerge w:val="continue"/>
            <w:tcBorders>
              <w:left w:val="single" w:color="000000" w:sz="6" w:space="0"/>
              <w:top w:val="nil"/>
              <w:bottom w:val="nil"/>
            </w:tcBorders>
          </w:tcPr>
          <w:p>
            <w:pPr>
              <w:rPr>
                <w:rFonts w:ascii="Arial"/>
                <w:sz w:val="21"/>
              </w:rPr>
            </w:pPr>
            <w:r/>
          </w:p>
        </w:tc>
        <w:tc>
          <w:tcPr>
            <w:tcW w:w="3839" w:type="dxa"/>
            <w:vAlign w:val="top"/>
            <w:gridSpan w:val="2"/>
          </w:tcPr>
          <w:p>
            <w:pPr>
              <w:pStyle w:val="TableText"/>
              <w:ind w:left="19"/>
              <w:spacing w:before="73" w:line="241" w:lineRule="auto"/>
              <w:rPr/>
            </w:pPr>
            <w:r>
              <w:rPr>
                <w:spacing w:val="-1"/>
              </w:rPr>
              <w:t>14.互联网普及率（%）</w:t>
            </w:r>
          </w:p>
        </w:tc>
        <w:tc>
          <w:tcPr>
            <w:tcW w:w="695" w:type="dxa"/>
            <w:vAlign w:val="top"/>
          </w:tcPr>
          <w:p>
            <w:pPr>
              <w:rPr>
                <w:rFonts w:ascii="Arial"/>
                <w:sz w:val="21"/>
              </w:rPr>
            </w:pPr>
            <w:r/>
          </w:p>
        </w:tc>
        <w:tc>
          <w:tcPr>
            <w:tcW w:w="770" w:type="dxa"/>
            <w:vAlign w:val="top"/>
          </w:tcPr>
          <w:p>
            <w:pPr>
              <w:pStyle w:val="TableText"/>
              <w:ind w:right="2"/>
              <w:spacing w:before="73" w:line="241" w:lineRule="auto"/>
              <w:jc w:val="right"/>
              <w:rPr/>
            </w:pPr>
            <w:r>
              <w:rPr>
                <w:spacing w:val="-10"/>
              </w:rPr>
              <w:t>≥50</w:t>
            </w:r>
          </w:p>
        </w:tc>
        <w:tc>
          <w:tcPr>
            <w:tcW w:w="802" w:type="dxa"/>
            <w:vAlign w:val="top"/>
          </w:tcPr>
          <w:p>
            <w:pPr>
              <w:pStyle w:val="TableText"/>
              <w:ind w:right="4"/>
              <w:spacing w:before="162" w:line="124" w:lineRule="exact"/>
              <w:jc w:val="right"/>
              <w:rPr/>
            </w:pPr>
            <w:r>
              <w:rPr>
                <w:position w:val="-3"/>
              </w:rPr>
              <w:t>—</w:t>
            </w:r>
          </w:p>
        </w:tc>
        <w:tc>
          <w:tcPr>
            <w:tcW w:w="823" w:type="dxa"/>
            <w:vAlign w:val="top"/>
          </w:tcPr>
          <w:p>
            <w:pPr>
              <w:pStyle w:val="TableText"/>
              <w:spacing w:before="73" w:line="241" w:lineRule="auto"/>
              <w:jc w:val="right"/>
              <w:rPr/>
            </w:pPr>
            <w:r>
              <w:rPr>
                <w:spacing w:val="-8"/>
              </w:rPr>
              <w:t>100</w:t>
            </w:r>
          </w:p>
        </w:tc>
        <w:tc>
          <w:tcPr>
            <w:tcW w:w="822" w:type="dxa"/>
            <w:vAlign w:val="top"/>
          </w:tcPr>
          <w:p>
            <w:pPr>
              <w:pStyle w:val="TableText"/>
              <w:spacing w:before="162" w:line="124" w:lineRule="exact"/>
              <w:jc w:val="right"/>
              <w:rPr/>
            </w:pPr>
            <w:r>
              <w:rPr>
                <w:position w:val="-3"/>
              </w:rPr>
              <w:t>—</w:t>
            </w:r>
          </w:p>
        </w:tc>
        <w:tc>
          <w:tcPr>
            <w:tcW w:w="651" w:type="dxa"/>
            <w:vAlign w:val="top"/>
            <w:tcBorders>
              <w:right w:val="single" w:color="000000" w:sz="6" w:space="0"/>
            </w:tcBorders>
          </w:tcPr>
          <w:p>
            <w:pPr>
              <w:pStyle w:val="TableText"/>
              <w:ind w:right="5"/>
              <w:spacing w:before="73" w:line="241" w:lineRule="auto"/>
              <w:jc w:val="right"/>
              <w:rPr/>
            </w:pPr>
            <w:r>
              <w:rPr>
                <w:spacing w:val="12"/>
              </w:rPr>
              <w:t>200%</w:t>
            </w:r>
          </w:p>
        </w:tc>
      </w:tr>
      <w:tr>
        <w:trPr>
          <w:trHeight w:val="317" w:hRule="atLeast"/>
        </w:trPr>
        <w:tc>
          <w:tcPr>
            <w:tcW w:w="446" w:type="dxa"/>
            <w:vAlign w:val="top"/>
            <w:vMerge w:val="continue"/>
            <w:tcBorders>
              <w:left w:val="single" w:color="000000" w:sz="6" w:space="0"/>
              <w:top w:val="nil"/>
              <w:bottom w:val="nil"/>
            </w:tcBorders>
          </w:tcPr>
          <w:p>
            <w:pPr>
              <w:rPr>
                <w:rFonts w:ascii="Arial"/>
                <w:sz w:val="21"/>
              </w:rPr>
            </w:pPr>
            <w:r/>
          </w:p>
        </w:tc>
        <w:tc>
          <w:tcPr>
            <w:tcW w:w="773" w:type="dxa"/>
            <w:vAlign w:val="top"/>
            <w:vMerge w:val="restart"/>
            <w:tcBorders>
              <w:bottom w:val="nil"/>
            </w:tcBorders>
          </w:tcPr>
          <w:p>
            <w:pPr>
              <w:pStyle w:val="TableText"/>
              <w:ind w:left="183" w:right="182" w:hanging="164"/>
              <w:spacing w:before="116" w:line="238" w:lineRule="auto"/>
              <w:rPr/>
            </w:pPr>
            <w:r>
              <w:rPr>
                <w:spacing w:val="-14"/>
              </w:rPr>
              <w:t>15.城镇</w:t>
            </w:r>
            <w:r>
              <w:rPr>
                <w:spacing w:val="-3"/>
              </w:rPr>
              <w:t>化率</w:t>
            </w:r>
          </w:p>
        </w:tc>
        <w:tc>
          <w:tcPr>
            <w:tcW w:w="3066" w:type="dxa"/>
            <w:vAlign w:val="top"/>
          </w:tcPr>
          <w:p>
            <w:pPr>
              <w:pStyle w:val="TableText"/>
              <w:ind w:left="4"/>
              <w:spacing w:before="73" w:line="239" w:lineRule="auto"/>
              <w:rPr/>
            </w:pPr>
            <w:r>
              <w:rPr>
                <w:spacing w:val="5"/>
              </w:rPr>
              <w:t>户籍人口城镇化率（%）</w:t>
            </w:r>
          </w:p>
        </w:tc>
        <w:tc>
          <w:tcPr>
            <w:tcW w:w="695" w:type="dxa"/>
            <w:vAlign w:val="top"/>
          </w:tcPr>
          <w:p>
            <w:pPr>
              <w:pStyle w:val="TableText"/>
              <w:ind w:right="5"/>
              <w:spacing w:before="73" w:line="239" w:lineRule="auto"/>
              <w:jc w:val="right"/>
              <w:rPr/>
            </w:pPr>
            <w:r>
              <w:rPr>
                <w:spacing w:val="-3"/>
              </w:rPr>
              <w:t>29</w:t>
            </w:r>
          </w:p>
        </w:tc>
        <w:tc>
          <w:tcPr>
            <w:tcW w:w="770" w:type="dxa"/>
            <w:vAlign w:val="top"/>
          </w:tcPr>
          <w:p>
            <w:pPr>
              <w:pStyle w:val="TableText"/>
              <w:ind w:right="2"/>
              <w:spacing w:before="73" w:line="239" w:lineRule="auto"/>
              <w:jc w:val="right"/>
              <w:rPr/>
            </w:pPr>
            <w:r>
              <w:rPr>
                <w:spacing w:val="-10"/>
              </w:rPr>
              <w:t>≥45</w:t>
            </w:r>
          </w:p>
        </w:tc>
        <w:tc>
          <w:tcPr>
            <w:tcW w:w="802" w:type="dxa"/>
            <w:vAlign w:val="top"/>
          </w:tcPr>
          <w:p>
            <w:pPr>
              <w:pStyle w:val="TableText"/>
              <w:ind w:right="4"/>
              <w:spacing w:before="163" w:line="123" w:lineRule="exact"/>
              <w:jc w:val="right"/>
              <w:rPr/>
            </w:pPr>
            <w:r>
              <w:rPr>
                <w:position w:val="-3"/>
              </w:rPr>
              <w:t>—</w:t>
            </w:r>
          </w:p>
        </w:tc>
        <w:tc>
          <w:tcPr>
            <w:tcW w:w="823" w:type="dxa"/>
            <w:vAlign w:val="top"/>
          </w:tcPr>
          <w:p>
            <w:pPr>
              <w:pStyle w:val="TableText"/>
              <w:spacing w:before="73" w:line="239" w:lineRule="auto"/>
              <w:jc w:val="right"/>
              <w:rPr/>
            </w:pPr>
            <w:r>
              <w:rPr>
                <w:spacing w:val="-5"/>
              </w:rPr>
              <w:t>38</w:t>
            </w:r>
          </w:p>
        </w:tc>
        <w:tc>
          <w:tcPr>
            <w:tcW w:w="822" w:type="dxa"/>
            <w:vAlign w:val="top"/>
          </w:tcPr>
          <w:p>
            <w:pPr>
              <w:pStyle w:val="TableText"/>
              <w:spacing w:before="163" w:line="123" w:lineRule="exact"/>
              <w:jc w:val="right"/>
              <w:rPr/>
            </w:pPr>
            <w:r>
              <w:rPr>
                <w:position w:val="-3"/>
              </w:rPr>
              <w:t>—</w:t>
            </w:r>
          </w:p>
        </w:tc>
        <w:tc>
          <w:tcPr>
            <w:tcW w:w="651" w:type="dxa"/>
            <w:vAlign w:val="top"/>
            <w:tcBorders>
              <w:right w:val="single" w:color="000000" w:sz="6" w:space="0"/>
            </w:tcBorders>
          </w:tcPr>
          <w:p>
            <w:pPr>
              <w:pStyle w:val="TableText"/>
              <w:ind w:right="5"/>
              <w:spacing w:before="73" w:line="239" w:lineRule="auto"/>
              <w:jc w:val="right"/>
              <w:rPr/>
            </w:pPr>
            <w:r>
              <w:rPr>
                <w:spacing w:val="16"/>
              </w:rPr>
              <w:t>84%</w:t>
            </w:r>
          </w:p>
        </w:tc>
      </w:tr>
      <w:tr>
        <w:trPr>
          <w:trHeight w:val="318" w:hRule="atLeast"/>
        </w:trPr>
        <w:tc>
          <w:tcPr>
            <w:tcW w:w="446" w:type="dxa"/>
            <w:vAlign w:val="top"/>
            <w:vMerge w:val="continue"/>
            <w:tcBorders>
              <w:left w:val="single" w:color="000000" w:sz="6" w:space="0"/>
              <w:top w:val="nil"/>
            </w:tcBorders>
          </w:tcPr>
          <w:p>
            <w:pPr>
              <w:rPr>
                <w:rFonts w:ascii="Arial"/>
                <w:sz w:val="21"/>
              </w:rPr>
            </w:pPr>
            <w:r/>
          </w:p>
        </w:tc>
        <w:tc>
          <w:tcPr>
            <w:tcW w:w="773" w:type="dxa"/>
            <w:vAlign w:val="top"/>
            <w:vMerge w:val="continue"/>
            <w:tcBorders>
              <w:top w:val="nil"/>
            </w:tcBorders>
          </w:tcPr>
          <w:p>
            <w:pPr>
              <w:rPr>
                <w:rFonts w:ascii="Arial"/>
                <w:sz w:val="21"/>
              </w:rPr>
            </w:pPr>
            <w:r/>
          </w:p>
        </w:tc>
        <w:tc>
          <w:tcPr>
            <w:tcW w:w="3066" w:type="dxa"/>
            <w:vAlign w:val="top"/>
          </w:tcPr>
          <w:p>
            <w:pPr>
              <w:pStyle w:val="TableText"/>
              <w:ind w:left="9"/>
              <w:spacing w:before="75" w:line="238" w:lineRule="auto"/>
              <w:rPr/>
            </w:pPr>
            <w:r>
              <w:rPr>
                <w:spacing w:val="4"/>
              </w:rPr>
              <w:t>常住人口城镇化率（%）</w:t>
            </w:r>
          </w:p>
        </w:tc>
        <w:tc>
          <w:tcPr>
            <w:tcW w:w="695" w:type="dxa"/>
            <w:vAlign w:val="top"/>
          </w:tcPr>
          <w:p>
            <w:pPr>
              <w:pStyle w:val="TableText"/>
              <w:ind w:right="5"/>
              <w:spacing w:before="75" w:line="238" w:lineRule="auto"/>
              <w:jc w:val="right"/>
              <w:rPr/>
            </w:pPr>
            <w:r>
              <w:rPr>
                <w:spacing w:val="-12"/>
              </w:rPr>
              <w:t>33.35</w:t>
            </w:r>
          </w:p>
        </w:tc>
        <w:tc>
          <w:tcPr>
            <w:tcW w:w="770" w:type="dxa"/>
            <w:vAlign w:val="top"/>
          </w:tcPr>
          <w:p>
            <w:pPr>
              <w:pStyle w:val="TableText"/>
              <w:ind w:right="2"/>
              <w:spacing w:before="75" w:line="238" w:lineRule="auto"/>
              <w:jc w:val="right"/>
              <w:rPr/>
            </w:pPr>
            <w:r>
              <w:rPr>
                <w:spacing w:val="-10"/>
              </w:rPr>
              <w:t>≥55</w:t>
            </w:r>
          </w:p>
        </w:tc>
        <w:tc>
          <w:tcPr>
            <w:tcW w:w="802" w:type="dxa"/>
            <w:vAlign w:val="top"/>
          </w:tcPr>
          <w:p>
            <w:pPr>
              <w:pStyle w:val="TableText"/>
              <w:ind w:right="4"/>
              <w:spacing w:before="165" w:line="123" w:lineRule="exact"/>
              <w:jc w:val="right"/>
              <w:rPr/>
            </w:pPr>
            <w:r>
              <w:rPr>
                <w:position w:val="-3"/>
              </w:rPr>
              <w:t>—</w:t>
            </w:r>
          </w:p>
        </w:tc>
        <w:tc>
          <w:tcPr>
            <w:tcW w:w="823" w:type="dxa"/>
            <w:vAlign w:val="top"/>
          </w:tcPr>
          <w:p>
            <w:pPr>
              <w:pStyle w:val="TableText"/>
              <w:ind w:right="2"/>
              <w:spacing w:before="75" w:line="238" w:lineRule="auto"/>
              <w:jc w:val="right"/>
              <w:rPr/>
            </w:pPr>
            <w:r>
              <w:rPr>
                <w:spacing w:val="-15"/>
              </w:rPr>
              <w:t>4</w:t>
            </w:r>
            <w:r>
              <w:rPr>
                <w:spacing w:val="-14"/>
              </w:rPr>
              <w:t>2.</w:t>
            </w:r>
            <w:r>
              <w:rPr>
                <w:spacing w:val="-9"/>
              </w:rPr>
              <w:t>4</w:t>
            </w:r>
          </w:p>
        </w:tc>
        <w:tc>
          <w:tcPr>
            <w:tcW w:w="822" w:type="dxa"/>
            <w:vAlign w:val="top"/>
          </w:tcPr>
          <w:p>
            <w:pPr>
              <w:pStyle w:val="TableText"/>
              <w:spacing w:before="165" w:line="123" w:lineRule="exact"/>
              <w:jc w:val="right"/>
              <w:rPr/>
            </w:pPr>
            <w:r>
              <w:rPr>
                <w:position w:val="-3"/>
              </w:rPr>
              <w:t>—</w:t>
            </w:r>
          </w:p>
        </w:tc>
        <w:tc>
          <w:tcPr>
            <w:tcW w:w="651" w:type="dxa"/>
            <w:vAlign w:val="top"/>
            <w:tcBorders>
              <w:right w:val="single" w:color="000000" w:sz="6" w:space="0"/>
            </w:tcBorders>
          </w:tcPr>
          <w:p>
            <w:pPr>
              <w:pStyle w:val="TableText"/>
              <w:ind w:right="6"/>
              <w:spacing w:before="165" w:line="123" w:lineRule="exact"/>
              <w:jc w:val="right"/>
              <w:rPr/>
            </w:pPr>
            <w:r>
              <w:rPr>
                <w:position w:val="-3"/>
              </w:rPr>
              <w:t>—</w:t>
            </w:r>
          </w:p>
        </w:tc>
      </w:tr>
      <w:tr>
        <w:trPr>
          <w:trHeight w:val="317" w:hRule="atLeast"/>
        </w:trPr>
        <w:tc>
          <w:tcPr>
            <w:tcW w:w="446" w:type="dxa"/>
            <w:vAlign w:val="top"/>
            <w:vMerge w:val="restart"/>
            <w:tcBorders>
              <w:left w:val="single" w:color="000000" w:sz="6" w:space="0"/>
              <w:bottom w:val="nil"/>
            </w:tcBorders>
          </w:tcPr>
          <w:p>
            <w:pPr>
              <w:pStyle w:val="TableText"/>
              <w:ind w:left="36" w:right="40"/>
              <w:spacing w:before="124" w:line="251" w:lineRule="auto"/>
              <w:rPr/>
            </w:pPr>
            <w:r>
              <w:rPr>
                <w:spacing w:val="-2"/>
              </w:rPr>
              <w:t>结构</w:t>
            </w:r>
            <w:r>
              <w:rPr>
                <w:spacing w:val="-3"/>
              </w:rPr>
              <w:t>调整</w:t>
            </w:r>
          </w:p>
        </w:tc>
        <w:tc>
          <w:tcPr>
            <w:tcW w:w="3839" w:type="dxa"/>
            <w:vAlign w:val="top"/>
            <w:gridSpan w:val="2"/>
          </w:tcPr>
          <w:p>
            <w:pPr>
              <w:pStyle w:val="TableText"/>
              <w:ind w:left="19"/>
              <w:spacing w:before="73" w:line="239" w:lineRule="auto"/>
              <w:rPr/>
            </w:pPr>
            <w:r>
              <w:rPr>
                <w:spacing w:val="-1"/>
              </w:rPr>
              <w:t>16.服务业增加值比重（%）</w:t>
            </w:r>
          </w:p>
        </w:tc>
        <w:tc>
          <w:tcPr>
            <w:tcW w:w="695" w:type="dxa"/>
            <w:vAlign w:val="top"/>
          </w:tcPr>
          <w:p>
            <w:pPr>
              <w:rPr>
                <w:rFonts w:ascii="Arial"/>
                <w:sz w:val="21"/>
              </w:rPr>
            </w:pPr>
            <w:r/>
          </w:p>
        </w:tc>
        <w:tc>
          <w:tcPr>
            <w:tcW w:w="770" w:type="dxa"/>
            <w:vAlign w:val="top"/>
          </w:tcPr>
          <w:p>
            <w:pPr>
              <w:pStyle w:val="TableText"/>
              <w:ind w:right="2"/>
              <w:spacing w:before="73" w:line="239" w:lineRule="auto"/>
              <w:jc w:val="right"/>
              <w:rPr/>
            </w:pPr>
            <w:r>
              <w:rPr>
                <w:spacing w:val="-10"/>
              </w:rPr>
              <w:t>≥50</w:t>
            </w:r>
          </w:p>
        </w:tc>
        <w:tc>
          <w:tcPr>
            <w:tcW w:w="802" w:type="dxa"/>
            <w:vAlign w:val="top"/>
          </w:tcPr>
          <w:p>
            <w:pPr>
              <w:pStyle w:val="TableText"/>
              <w:ind w:right="4"/>
              <w:spacing w:before="163" w:line="124" w:lineRule="exact"/>
              <w:jc w:val="right"/>
              <w:rPr/>
            </w:pPr>
            <w:r>
              <w:rPr>
                <w:position w:val="-3"/>
              </w:rPr>
              <w:t>—</w:t>
            </w:r>
          </w:p>
        </w:tc>
        <w:tc>
          <w:tcPr>
            <w:tcW w:w="823" w:type="dxa"/>
            <w:vAlign w:val="top"/>
          </w:tcPr>
          <w:p>
            <w:pPr>
              <w:pStyle w:val="TableText"/>
              <w:spacing w:before="73" w:line="239" w:lineRule="auto"/>
              <w:jc w:val="right"/>
              <w:rPr/>
            </w:pPr>
            <w:r>
              <w:rPr>
                <w:spacing w:val="-4"/>
              </w:rPr>
              <w:t>60</w:t>
            </w:r>
          </w:p>
        </w:tc>
        <w:tc>
          <w:tcPr>
            <w:tcW w:w="822" w:type="dxa"/>
            <w:vAlign w:val="top"/>
          </w:tcPr>
          <w:p>
            <w:pPr>
              <w:pStyle w:val="TableText"/>
              <w:spacing w:before="163" w:line="124" w:lineRule="exact"/>
              <w:jc w:val="right"/>
              <w:rPr/>
            </w:pPr>
            <w:r>
              <w:rPr>
                <w:position w:val="-3"/>
              </w:rPr>
              <w:t>—</w:t>
            </w:r>
          </w:p>
        </w:tc>
        <w:tc>
          <w:tcPr>
            <w:tcW w:w="651" w:type="dxa"/>
            <w:vAlign w:val="top"/>
            <w:tcBorders>
              <w:right w:val="single" w:color="000000" w:sz="6" w:space="0"/>
            </w:tcBorders>
          </w:tcPr>
          <w:p>
            <w:pPr>
              <w:pStyle w:val="TableText"/>
              <w:ind w:right="5"/>
              <w:spacing w:before="73" w:line="239" w:lineRule="auto"/>
              <w:jc w:val="right"/>
              <w:rPr/>
            </w:pPr>
            <w:r>
              <w:rPr>
                <w:spacing w:val="9"/>
              </w:rPr>
              <w:t>120%</w:t>
            </w:r>
          </w:p>
        </w:tc>
      </w:tr>
      <w:tr>
        <w:trPr>
          <w:trHeight w:val="318" w:hRule="atLeast"/>
        </w:trPr>
        <w:tc>
          <w:tcPr>
            <w:tcW w:w="446" w:type="dxa"/>
            <w:vAlign w:val="top"/>
            <w:vMerge w:val="continue"/>
            <w:tcBorders>
              <w:left w:val="single" w:color="000000" w:sz="6" w:space="0"/>
              <w:top w:val="nil"/>
            </w:tcBorders>
          </w:tcPr>
          <w:p>
            <w:pPr>
              <w:rPr>
                <w:rFonts w:ascii="Arial"/>
                <w:sz w:val="21"/>
              </w:rPr>
            </w:pPr>
            <w:r/>
          </w:p>
        </w:tc>
        <w:tc>
          <w:tcPr>
            <w:tcW w:w="3839" w:type="dxa"/>
            <w:vAlign w:val="top"/>
            <w:gridSpan w:val="2"/>
          </w:tcPr>
          <w:p>
            <w:pPr>
              <w:pStyle w:val="TableText"/>
              <w:ind w:left="19"/>
              <w:spacing w:before="75" w:line="238" w:lineRule="auto"/>
              <w:rPr/>
            </w:pPr>
            <w:r>
              <w:rPr>
                <w:spacing w:val="2"/>
              </w:rPr>
              <w:t>17.非公经济占</w:t>
            </w:r>
            <w:r>
              <w:rPr>
                <w:spacing w:val="-30"/>
              </w:rPr>
              <w:t xml:space="preserve"> </w:t>
            </w:r>
            <w:r>
              <w:rPr/>
              <w:t>GDP</w:t>
            </w:r>
            <w:r>
              <w:rPr>
                <w:spacing w:val="-27"/>
              </w:rPr>
              <w:t xml:space="preserve"> </w:t>
            </w:r>
            <w:r>
              <w:rPr>
                <w:spacing w:val="2"/>
              </w:rPr>
              <w:t>的比重（%）</w:t>
            </w:r>
          </w:p>
        </w:tc>
        <w:tc>
          <w:tcPr>
            <w:tcW w:w="695" w:type="dxa"/>
            <w:vAlign w:val="top"/>
          </w:tcPr>
          <w:p>
            <w:pPr>
              <w:rPr>
                <w:rFonts w:ascii="Arial"/>
                <w:sz w:val="21"/>
              </w:rPr>
            </w:pPr>
            <w:r/>
          </w:p>
        </w:tc>
        <w:tc>
          <w:tcPr>
            <w:tcW w:w="770" w:type="dxa"/>
            <w:vAlign w:val="top"/>
          </w:tcPr>
          <w:p>
            <w:pPr>
              <w:pStyle w:val="TableText"/>
              <w:ind w:right="2"/>
              <w:spacing w:before="75" w:line="238" w:lineRule="auto"/>
              <w:jc w:val="right"/>
              <w:rPr/>
            </w:pPr>
            <w:r>
              <w:rPr>
                <w:spacing w:val="-10"/>
              </w:rPr>
              <w:t>≥50</w:t>
            </w:r>
          </w:p>
        </w:tc>
        <w:tc>
          <w:tcPr>
            <w:tcW w:w="802" w:type="dxa"/>
            <w:vAlign w:val="top"/>
          </w:tcPr>
          <w:p>
            <w:pPr>
              <w:pStyle w:val="TableText"/>
              <w:ind w:right="4"/>
              <w:spacing w:before="165" w:line="123" w:lineRule="exact"/>
              <w:jc w:val="right"/>
              <w:rPr/>
            </w:pPr>
            <w:r>
              <w:rPr>
                <w:position w:val="-3"/>
              </w:rPr>
              <w:t>—</w:t>
            </w:r>
          </w:p>
        </w:tc>
        <w:tc>
          <w:tcPr>
            <w:tcW w:w="823" w:type="dxa"/>
            <w:vAlign w:val="top"/>
          </w:tcPr>
          <w:p>
            <w:pPr>
              <w:pStyle w:val="TableText"/>
              <w:ind w:right="2"/>
              <w:spacing w:before="75" w:line="238" w:lineRule="auto"/>
              <w:jc w:val="right"/>
              <w:rPr/>
            </w:pPr>
            <w:r>
              <w:rPr>
                <w:spacing w:val="-15"/>
              </w:rPr>
              <w:t>5</w:t>
            </w:r>
            <w:r>
              <w:rPr>
                <w:spacing w:val="-14"/>
              </w:rPr>
              <w:t>3.</w:t>
            </w:r>
            <w:r>
              <w:rPr>
                <w:spacing w:val="-13"/>
              </w:rPr>
              <w:t>9</w:t>
            </w:r>
          </w:p>
        </w:tc>
        <w:tc>
          <w:tcPr>
            <w:tcW w:w="822" w:type="dxa"/>
            <w:vAlign w:val="top"/>
          </w:tcPr>
          <w:p>
            <w:pPr>
              <w:pStyle w:val="TableText"/>
              <w:spacing w:before="165" w:line="123" w:lineRule="exact"/>
              <w:jc w:val="right"/>
              <w:rPr/>
            </w:pPr>
            <w:r>
              <w:rPr>
                <w:position w:val="-3"/>
              </w:rPr>
              <w:t>—</w:t>
            </w:r>
          </w:p>
        </w:tc>
        <w:tc>
          <w:tcPr>
            <w:tcW w:w="651" w:type="dxa"/>
            <w:vAlign w:val="top"/>
            <w:tcBorders>
              <w:right w:val="single" w:color="000000" w:sz="6" w:space="0"/>
            </w:tcBorders>
          </w:tcPr>
          <w:p>
            <w:pPr>
              <w:pStyle w:val="TableText"/>
              <w:ind w:right="5"/>
              <w:spacing w:before="75" w:line="238" w:lineRule="auto"/>
              <w:jc w:val="right"/>
              <w:rPr/>
            </w:pPr>
            <w:r>
              <w:rPr>
                <w:spacing w:val="9"/>
              </w:rPr>
              <w:t>108%</w:t>
            </w:r>
          </w:p>
        </w:tc>
      </w:tr>
      <w:tr>
        <w:trPr>
          <w:trHeight w:val="317" w:hRule="atLeast"/>
        </w:trPr>
        <w:tc>
          <w:tcPr>
            <w:tcW w:w="446" w:type="dxa"/>
            <w:vAlign w:val="top"/>
            <w:vMerge w:val="restart"/>
            <w:tcBorders>
              <w:left w:val="single" w:color="000000" w:sz="6" w:space="0"/>
              <w:bottom w:val="nil"/>
            </w:tcBorders>
          </w:tcPr>
          <w:p>
            <w:pPr>
              <w:pStyle w:val="TableText"/>
              <w:ind w:left="37" w:right="40" w:hanging="1"/>
              <w:spacing w:before="289" w:line="249" w:lineRule="auto"/>
              <w:rPr/>
            </w:pPr>
            <w:r>
              <w:rPr>
                <w:spacing w:val="-2"/>
              </w:rPr>
              <w:t>创新</w:t>
            </w:r>
            <w:r>
              <w:rPr>
                <w:spacing w:val="-3"/>
              </w:rPr>
              <w:t>驱动</w:t>
            </w:r>
          </w:p>
        </w:tc>
        <w:tc>
          <w:tcPr>
            <w:tcW w:w="3839" w:type="dxa"/>
            <w:vAlign w:val="top"/>
            <w:gridSpan w:val="2"/>
          </w:tcPr>
          <w:p>
            <w:pPr>
              <w:pStyle w:val="TableText"/>
              <w:ind w:left="19"/>
              <w:spacing w:before="76" w:line="236" w:lineRule="auto"/>
              <w:rPr/>
            </w:pPr>
            <w:r>
              <w:rPr>
                <w:spacing w:val="-1"/>
              </w:rPr>
              <w:t>18.科技进步贡献率（%）</w:t>
            </w:r>
          </w:p>
        </w:tc>
        <w:tc>
          <w:tcPr>
            <w:tcW w:w="695" w:type="dxa"/>
            <w:vAlign w:val="top"/>
          </w:tcPr>
          <w:p>
            <w:pPr>
              <w:pStyle w:val="TableText"/>
              <w:ind w:right="7"/>
              <w:spacing w:before="166" w:line="123" w:lineRule="exact"/>
              <w:jc w:val="right"/>
              <w:rPr/>
            </w:pPr>
            <w:r>
              <w:rPr>
                <w:position w:val="-3"/>
              </w:rPr>
              <w:t>—</w:t>
            </w:r>
          </w:p>
        </w:tc>
        <w:tc>
          <w:tcPr>
            <w:tcW w:w="770" w:type="dxa"/>
            <w:vAlign w:val="top"/>
          </w:tcPr>
          <w:p>
            <w:pPr>
              <w:pStyle w:val="TableText"/>
              <w:ind w:right="2"/>
              <w:spacing w:before="76" w:line="236" w:lineRule="auto"/>
              <w:jc w:val="right"/>
              <w:rPr/>
            </w:pPr>
            <w:r>
              <w:rPr>
                <w:spacing w:val="-10"/>
              </w:rPr>
              <w:t>≥55</w:t>
            </w:r>
          </w:p>
        </w:tc>
        <w:tc>
          <w:tcPr>
            <w:tcW w:w="802" w:type="dxa"/>
            <w:vAlign w:val="top"/>
          </w:tcPr>
          <w:p>
            <w:pPr>
              <w:pStyle w:val="TableText"/>
              <w:ind w:right="4"/>
              <w:spacing w:before="166" w:line="123" w:lineRule="exact"/>
              <w:jc w:val="right"/>
              <w:rPr/>
            </w:pPr>
            <w:r>
              <w:rPr>
                <w:position w:val="-3"/>
              </w:rPr>
              <w:t>—</w:t>
            </w:r>
          </w:p>
        </w:tc>
        <w:tc>
          <w:tcPr>
            <w:tcW w:w="823" w:type="dxa"/>
            <w:vAlign w:val="top"/>
          </w:tcPr>
          <w:p>
            <w:pPr>
              <w:pStyle w:val="TableText"/>
              <w:spacing w:before="76" w:line="236" w:lineRule="auto"/>
              <w:jc w:val="right"/>
              <w:rPr/>
            </w:pPr>
            <w:r>
              <w:rPr>
                <w:spacing w:val="-10"/>
              </w:rPr>
              <w:t>≥55</w:t>
            </w:r>
          </w:p>
        </w:tc>
        <w:tc>
          <w:tcPr>
            <w:tcW w:w="822" w:type="dxa"/>
            <w:vAlign w:val="top"/>
          </w:tcPr>
          <w:p>
            <w:pPr>
              <w:pStyle w:val="TableText"/>
              <w:spacing w:before="166" w:line="123" w:lineRule="exact"/>
              <w:jc w:val="right"/>
              <w:rPr/>
            </w:pPr>
            <w:r>
              <w:rPr>
                <w:position w:val="-3"/>
              </w:rPr>
              <w:t>—</w:t>
            </w:r>
          </w:p>
        </w:tc>
        <w:tc>
          <w:tcPr>
            <w:tcW w:w="651" w:type="dxa"/>
            <w:vAlign w:val="top"/>
            <w:tcBorders>
              <w:right w:val="single" w:color="000000" w:sz="6" w:space="0"/>
            </w:tcBorders>
          </w:tcPr>
          <w:p>
            <w:pPr>
              <w:pStyle w:val="TableText"/>
              <w:ind w:right="5"/>
              <w:spacing w:before="76" w:line="236" w:lineRule="auto"/>
              <w:jc w:val="right"/>
              <w:rPr/>
            </w:pPr>
            <w:r>
              <w:rPr>
                <w:spacing w:val="9"/>
              </w:rPr>
              <w:t>100%</w:t>
            </w:r>
          </w:p>
        </w:tc>
      </w:tr>
      <w:tr>
        <w:trPr>
          <w:trHeight w:val="317" w:hRule="atLeast"/>
        </w:trPr>
        <w:tc>
          <w:tcPr>
            <w:tcW w:w="446" w:type="dxa"/>
            <w:vAlign w:val="top"/>
            <w:vMerge w:val="continue"/>
            <w:tcBorders>
              <w:left w:val="single" w:color="000000" w:sz="6" w:space="0"/>
              <w:top w:val="nil"/>
              <w:bottom w:val="nil"/>
            </w:tcBorders>
          </w:tcPr>
          <w:p>
            <w:pPr>
              <w:rPr>
                <w:rFonts w:ascii="Arial"/>
                <w:sz w:val="21"/>
              </w:rPr>
            </w:pPr>
            <w:r/>
          </w:p>
        </w:tc>
        <w:tc>
          <w:tcPr>
            <w:tcW w:w="3839" w:type="dxa"/>
            <w:vAlign w:val="top"/>
            <w:gridSpan w:val="2"/>
          </w:tcPr>
          <w:p>
            <w:pPr>
              <w:pStyle w:val="TableText"/>
              <w:ind w:left="19"/>
              <w:spacing w:before="52" w:line="240" w:lineRule="exact"/>
              <w:rPr/>
            </w:pPr>
            <w:r>
              <w:rPr>
                <w:spacing w:val="-1"/>
                <w:position w:val="1"/>
              </w:rPr>
              <w:t>19.研究与实验发展（R＆D</w:t>
            </w:r>
            <w:r>
              <w:rPr>
                <w:spacing w:val="-34"/>
                <w:position w:val="1"/>
              </w:rPr>
              <w:t xml:space="preserve"> </w:t>
            </w:r>
            <w:r>
              <w:rPr>
                <w:spacing w:val="-1"/>
                <w:position w:val="1"/>
              </w:rPr>
              <w:t>经费支出占地区生产</w:t>
            </w:r>
          </w:p>
        </w:tc>
        <w:tc>
          <w:tcPr>
            <w:tcW w:w="695" w:type="dxa"/>
            <w:vAlign w:val="top"/>
          </w:tcPr>
          <w:p>
            <w:pPr>
              <w:pStyle w:val="TableText"/>
              <w:ind w:right="5"/>
              <w:spacing w:before="76" w:line="236" w:lineRule="auto"/>
              <w:jc w:val="right"/>
              <w:rPr/>
            </w:pPr>
            <w:r>
              <w:rPr>
                <w:spacing w:val="-15"/>
              </w:rPr>
              <w:t>0.</w:t>
            </w:r>
            <w:r>
              <w:rPr>
                <w:spacing w:val="-14"/>
              </w:rPr>
              <w:t>4</w:t>
            </w:r>
            <w:r>
              <w:rPr>
                <w:spacing w:val="-12"/>
              </w:rPr>
              <w:t>4</w:t>
            </w:r>
          </w:p>
        </w:tc>
        <w:tc>
          <w:tcPr>
            <w:tcW w:w="770" w:type="dxa"/>
            <w:vAlign w:val="top"/>
          </w:tcPr>
          <w:p>
            <w:pPr>
              <w:pStyle w:val="TableText"/>
              <w:spacing w:before="76" w:line="236" w:lineRule="auto"/>
              <w:jc w:val="right"/>
              <w:rPr/>
            </w:pPr>
            <w:r>
              <w:rPr>
                <w:spacing w:val="-21"/>
              </w:rPr>
              <w:t>1</w:t>
            </w:r>
          </w:p>
        </w:tc>
        <w:tc>
          <w:tcPr>
            <w:tcW w:w="802" w:type="dxa"/>
            <w:vAlign w:val="top"/>
          </w:tcPr>
          <w:p>
            <w:pPr>
              <w:pStyle w:val="TableText"/>
              <w:ind w:right="4"/>
              <w:spacing w:before="165" w:line="124" w:lineRule="exact"/>
              <w:jc w:val="right"/>
              <w:rPr/>
            </w:pPr>
            <w:r>
              <w:rPr>
                <w:position w:val="-3"/>
              </w:rPr>
              <w:t>—</w:t>
            </w:r>
          </w:p>
        </w:tc>
        <w:tc>
          <w:tcPr>
            <w:tcW w:w="823" w:type="dxa"/>
            <w:vAlign w:val="top"/>
          </w:tcPr>
          <w:p>
            <w:pPr>
              <w:pStyle w:val="TableText"/>
              <w:spacing w:before="76" w:line="236" w:lineRule="auto"/>
              <w:jc w:val="right"/>
              <w:rPr/>
            </w:pPr>
            <w:r>
              <w:rPr>
                <w:spacing w:val="-21"/>
              </w:rPr>
              <w:t>0.</w:t>
            </w:r>
            <w:r>
              <w:rPr>
                <w:spacing w:val="-12"/>
              </w:rPr>
              <w:t>5</w:t>
            </w:r>
          </w:p>
        </w:tc>
        <w:tc>
          <w:tcPr>
            <w:tcW w:w="822" w:type="dxa"/>
            <w:vAlign w:val="top"/>
          </w:tcPr>
          <w:p>
            <w:pPr>
              <w:pStyle w:val="TableText"/>
              <w:spacing w:before="165" w:line="124" w:lineRule="exact"/>
              <w:jc w:val="right"/>
              <w:rPr/>
            </w:pPr>
            <w:r>
              <w:rPr>
                <w:position w:val="-3"/>
              </w:rPr>
              <w:t>—</w:t>
            </w:r>
          </w:p>
        </w:tc>
        <w:tc>
          <w:tcPr>
            <w:tcW w:w="651" w:type="dxa"/>
            <w:vAlign w:val="top"/>
            <w:tcBorders>
              <w:right w:val="single" w:color="000000" w:sz="6" w:space="0"/>
            </w:tcBorders>
          </w:tcPr>
          <w:p>
            <w:pPr>
              <w:pStyle w:val="TableText"/>
              <w:ind w:right="5"/>
              <w:spacing w:before="76" w:line="236" w:lineRule="auto"/>
              <w:jc w:val="right"/>
              <w:rPr/>
            </w:pPr>
            <w:r>
              <w:rPr>
                <w:spacing w:val="17"/>
              </w:rPr>
              <w:t>50%</w:t>
            </w:r>
          </w:p>
        </w:tc>
      </w:tr>
      <w:tr>
        <w:trPr>
          <w:trHeight w:val="318" w:hRule="atLeast"/>
        </w:trPr>
        <w:tc>
          <w:tcPr>
            <w:tcW w:w="446" w:type="dxa"/>
            <w:vAlign w:val="top"/>
            <w:vMerge w:val="continue"/>
            <w:tcBorders>
              <w:left w:val="single" w:color="000000" w:sz="6" w:space="0"/>
              <w:top w:val="nil"/>
            </w:tcBorders>
          </w:tcPr>
          <w:p>
            <w:pPr>
              <w:rPr>
                <w:rFonts w:ascii="Arial"/>
                <w:sz w:val="21"/>
              </w:rPr>
            </w:pPr>
            <w:r/>
          </w:p>
        </w:tc>
        <w:tc>
          <w:tcPr>
            <w:tcW w:w="3839" w:type="dxa"/>
            <w:vAlign w:val="top"/>
            <w:gridSpan w:val="2"/>
          </w:tcPr>
          <w:p>
            <w:pPr>
              <w:pStyle w:val="TableText"/>
              <w:ind w:left="10"/>
              <w:spacing w:line="176" w:lineRule="auto"/>
              <w:rPr/>
            </w:pPr>
            <w:r>
              <w:pict>
                <v:shape id="_x0000_s4" style="position:absolute;margin-left:-0.751999pt;margin-top:2.93779pt;mso-position-vertical-relative:text;mso-position-horizontal-relative:text;width:123.5pt;height:14.05pt;z-index:251753472;" filled="false" stroked="false" type="#_x0000_t202">
                  <v:fill on="false"/>
                  <v:stroke on="false"/>
                  <v:path/>
                  <v:imagedata o:title=""/>
                  <o:lock v:ext="edit" aspectratio="false"/>
                  <v:textbox inset="0mm,0mm,0mm,0mm">
                    <w:txbxContent>
                      <w:p>
                        <w:pPr>
                          <w:pStyle w:val="TableText"/>
                          <w:ind w:left="20"/>
                          <w:spacing w:before="20" w:line="240" w:lineRule="exact"/>
                          <w:rPr/>
                        </w:pPr>
                        <w:r>
                          <w:rPr>
                            <w:spacing w:val="-6"/>
                            <w:position w:val="1"/>
                          </w:rPr>
                          <w:t>20.全员劳动生产率（万元/人）</w:t>
                        </w:r>
                      </w:p>
                    </w:txbxContent>
                  </v:textbox>
                </v:shape>
              </w:pict>
            </w:r>
            <w:r>
              <w:rPr>
                <w:spacing w:val="14"/>
              </w:rPr>
              <w:t>总值</w:t>
            </w:r>
            <w:r>
              <w:rPr>
                <w:spacing w:val="23"/>
              </w:rPr>
              <w:t xml:space="preserve">   </w:t>
            </w:r>
            <w:r>
              <w:rPr>
                <w:spacing w:val="14"/>
              </w:rPr>
              <w:t>（%）</w:t>
            </w:r>
          </w:p>
        </w:tc>
        <w:tc>
          <w:tcPr>
            <w:tcW w:w="695" w:type="dxa"/>
            <w:vAlign w:val="top"/>
          </w:tcPr>
          <w:p>
            <w:pPr>
              <w:pStyle w:val="TableText"/>
              <w:ind w:right="4"/>
              <w:spacing w:before="77" w:line="236" w:lineRule="auto"/>
              <w:jc w:val="right"/>
              <w:rPr/>
            </w:pPr>
            <w:r>
              <w:rPr>
                <w:spacing w:val="-19"/>
              </w:rPr>
              <w:t>2</w:t>
            </w:r>
            <w:r>
              <w:rPr>
                <w:spacing w:val="-18"/>
              </w:rPr>
              <w:t>.</w:t>
            </w:r>
            <w:r>
              <w:rPr>
                <w:spacing w:val="-17"/>
              </w:rPr>
              <w:t>2</w:t>
            </w:r>
          </w:p>
        </w:tc>
        <w:tc>
          <w:tcPr>
            <w:tcW w:w="770" w:type="dxa"/>
            <w:vAlign w:val="top"/>
          </w:tcPr>
          <w:p>
            <w:pPr>
              <w:pStyle w:val="TableText"/>
              <w:spacing w:before="77" w:line="236" w:lineRule="auto"/>
              <w:jc w:val="right"/>
              <w:rPr/>
            </w:pPr>
            <w:r>
              <w:rPr>
                <w:spacing w:val="-9"/>
              </w:rPr>
              <w:t>3</w:t>
            </w:r>
          </w:p>
        </w:tc>
        <w:tc>
          <w:tcPr>
            <w:tcW w:w="802" w:type="dxa"/>
            <w:vAlign w:val="top"/>
          </w:tcPr>
          <w:p>
            <w:pPr>
              <w:pStyle w:val="TableText"/>
              <w:ind w:right="2"/>
              <w:spacing w:before="77" w:line="236" w:lineRule="auto"/>
              <w:jc w:val="right"/>
              <w:rPr/>
            </w:pPr>
            <w:r>
              <w:rPr>
                <w:spacing w:val="-21"/>
                <w:w w:val="98"/>
              </w:rPr>
              <w:t>8.</w:t>
            </w:r>
            <w:r>
              <w:rPr>
                <w:spacing w:val="-9"/>
                <w:w w:val="98"/>
              </w:rPr>
              <w:t>4</w:t>
            </w:r>
          </w:p>
        </w:tc>
        <w:tc>
          <w:tcPr>
            <w:tcW w:w="823" w:type="dxa"/>
            <w:vAlign w:val="top"/>
          </w:tcPr>
          <w:p>
            <w:pPr>
              <w:pStyle w:val="TableText"/>
              <w:spacing w:before="77" w:line="236" w:lineRule="auto"/>
              <w:jc w:val="right"/>
              <w:rPr/>
            </w:pPr>
            <w:r>
              <w:rPr>
                <w:spacing w:val="-25"/>
              </w:rPr>
              <w:t>5.</w:t>
            </w:r>
            <w:r>
              <w:rPr>
                <w:spacing w:val="-7"/>
              </w:rPr>
              <w:t>4</w:t>
            </w:r>
          </w:p>
        </w:tc>
        <w:tc>
          <w:tcPr>
            <w:tcW w:w="822" w:type="dxa"/>
            <w:vAlign w:val="top"/>
          </w:tcPr>
          <w:p>
            <w:pPr>
              <w:pStyle w:val="TableText"/>
              <w:spacing w:before="167" w:line="123" w:lineRule="exact"/>
              <w:jc w:val="right"/>
              <w:rPr/>
            </w:pPr>
            <w:r>
              <w:rPr>
                <w:position w:val="-3"/>
              </w:rPr>
              <w:t>—</w:t>
            </w:r>
          </w:p>
        </w:tc>
        <w:tc>
          <w:tcPr>
            <w:tcW w:w="651" w:type="dxa"/>
            <w:vAlign w:val="top"/>
            <w:tcBorders>
              <w:right w:val="single" w:color="000000" w:sz="6" w:space="0"/>
            </w:tcBorders>
          </w:tcPr>
          <w:p>
            <w:pPr>
              <w:pStyle w:val="TableText"/>
              <w:ind w:right="5"/>
              <w:spacing w:before="77" w:line="236" w:lineRule="auto"/>
              <w:jc w:val="right"/>
              <w:rPr/>
            </w:pPr>
            <w:r>
              <w:rPr>
                <w:spacing w:val="9"/>
              </w:rPr>
              <w:t>180%</w:t>
            </w:r>
          </w:p>
        </w:tc>
      </w:tr>
      <w:tr>
        <w:trPr>
          <w:trHeight w:val="317" w:hRule="atLeast"/>
        </w:trPr>
        <w:tc>
          <w:tcPr>
            <w:tcW w:w="446" w:type="dxa"/>
            <w:vAlign w:val="top"/>
            <w:vMerge w:val="restart"/>
            <w:tcBorders>
              <w:left w:val="single" w:color="000000" w:sz="6" w:space="0"/>
              <w:bottom w:val="nil"/>
            </w:tcBorders>
          </w:tcPr>
          <w:p>
            <w:pPr>
              <w:spacing w:line="309" w:lineRule="auto"/>
              <w:rPr>
                <w:rFonts w:ascii="Arial"/>
                <w:sz w:val="21"/>
              </w:rPr>
            </w:pPr>
            <w:r/>
          </w:p>
          <w:p>
            <w:pPr>
              <w:spacing w:line="309" w:lineRule="auto"/>
              <w:rPr>
                <w:rFonts w:ascii="Arial"/>
                <w:sz w:val="21"/>
              </w:rPr>
            </w:pPr>
            <w:r/>
          </w:p>
          <w:p>
            <w:pPr>
              <w:spacing w:line="309" w:lineRule="auto"/>
              <w:rPr>
                <w:rFonts w:ascii="Arial"/>
                <w:sz w:val="21"/>
              </w:rPr>
            </w:pPr>
            <w:r/>
          </w:p>
          <w:p>
            <w:pPr>
              <w:pStyle w:val="TableText"/>
              <w:ind w:left="38" w:right="40"/>
              <w:spacing w:before="58" w:line="252" w:lineRule="auto"/>
              <w:rPr/>
            </w:pPr>
            <w:r>
              <w:rPr>
                <w:spacing w:val="-3"/>
              </w:rPr>
              <w:t>生态</w:t>
            </w:r>
            <w:r>
              <w:rPr>
                <w:spacing w:val="-3"/>
              </w:rPr>
              <w:t>文明</w:t>
            </w:r>
          </w:p>
        </w:tc>
        <w:tc>
          <w:tcPr>
            <w:tcW w:w="3839" w:type="dxa"/>
            <w:vAlign w:val="top"/>
            <w:gridSpan w:val="2"/>
          </w:tcPr>
          <w:p>
            <w:pPr>
              <w:pStyle w:val="TableText"/>
              <w:ind w:left="4"/>
              <w:spacing w:before="78" w:line="234" w:lineRule="auto"/>
              <w:rPr/>
            </w:pPr>
            <w:r>
              <w:rPr>
                <w:spacing w:val="-5"/>
              </w:rPr>
              <w:t>21.耕地保有量（万亩）</w:t>
            </w:r>
          </w:p>
        </w:tc>
        <w:tc>
          <w:tcPr>
            <w:tcW w:w="695" w:type="dxa"/>
            <w:vAlign w:val="top"/>
          </w:tcPr>
          <w:p>
            <w:pPr>
              <w:pStyle w:val="TableText"/>
              <w:ind w:right="4"/>
              <w:spacing w:before="78" w:line="234" w:lineRule="auto"/>
              <w:jc w:val="right"/>
              <w:rPr/>
            </w:pPr>
            <w:r>
              <w:rPr>
                <w:spacing w:val="-11"/>
              </w:rPr>
              <w:t>503.8</w:t>
            </w:r>
          </w:p>
        </w:tc>
        <w:tc>
          <w:tcPr>
            <w:tcW w:w="770" w:type="dxa"/>
            <w:vAlign w:val="top"/>
          </w:tcPr>
          <w:p>
            <w:pPr>
              <w:pStyle w:val="TableText"/>
              <w:ind w:right="3"/>
              <w:spacing w:before="78" w:line="234" w:lineRule="auto"/>
              <w:jc w:val="right"/>
              <w:rPr/>
            </w:pPr>
            <w:r>
              <w:rPr>
                <w:spacing w:val="-11"/>
              </w:rPr>
              <w:t>503.8</w:t>
            </w:r>
          </w:p>
        </w:tc>
        <w:tc>
          <w:tcPr>
            <w:tcW w:w="802" w:type="dxa"/>
            <w:vAlign w:val="top"/>
          </w:tcPr>
          <w:p>
            <w:pPr>
              <w:pStyle w:val="TableText"/>
              <w:ind w:right="4"/>
              <w:spacing w:before="168" w:line="123" w:lineRule="exact"/>
              <w:jc w:val="right"/>
              <w:rPr/>
            </w:pPr>
            <w:r>
              <w:rPr>
                <w:position w:val="-3"/>
              </w:rPr>
              <w:t>—</w:t>
            </w:r>
          </w:p>
        </w:tc>
        <w:tc>
          <w:tcPr>
            <w:tcW w:w="823" w:type="dxa"/>
            <w:vAlign w:val="top"/>
          </w:tcPr>
          <w:p>
            <w:pPr>
              <w:pStyle w:val="TableText"/>
              <w:spacing w:before="78" w:line="234" w:lineRule="auto"/>
              <w:jc w:val="right"/>
              <w:rPr/>
            </w:pPr>
            <w:r>
              <w:rPr>
                <w:spacing w:val="-3"/>
              </w:rPr>
              <w:t>511</w:t>
            </w:r>
          </w:p>
        </w:tc>
        <w:tc>
          <w:tcPr>
            <w:tcW w:w="822" w:type="dxa"/>
            <w:vAlign w:val="top"/>
          </w:tcPr>
          <w:p>
            <w:pPr>
              <w:pStyle w:val="TableText"/>
              <w:spacing w:before="168" w:line="123" w:lineRule="exact"/>
              <w:jc w:val="right"/>
              <w:rPr/>
            </w:pPr>
            <w:r>
              <w:rPr>
                <w:position w:val="-3"/>
              </w:rPr>
              <w:t>—</w:t>
            </w:r>
          </w:p>
        </w:tc>
        <w:tc>
          <w:tcPr>
            <w:tcW w:w="651" w:type="dxa"/>
            <w:vAlign w:val="top"/>
            <w:tcBorders>
              <w:right w:val="single" w:color="000000" w:sz="6" w:space="0"/>
            </w:tcBorders>
          </w:tcPr>
          <w:p>
            <w:pPr>
              <w:pStyle w:val="TableText"/>
              <w:ind w:right="5"/>
              <w:spacing w:before="78" w:line="234" w:lineRule="auto"/>
              <w:jc w:val="right"/>
              <w:rPr/>
            </w:pPr>
            <w:r>
              <w:rPr>
                <w:spacing w:val="9"/>
              </w:rPr>
              <w:t>101%</w:t>
            </w:r>
          </w:p>
        </w:tc>
      </w:tr>
      <w:tr>
        <w:trPr>
          <w:trHeight w:val="317" w:hRule="atLeast"/>
        </w:trPr>
        <w:tc>
          <w:tcPr>
            <w:tcW w:w="446" w:type="dxa"/>
            <w:vAlign w:val="top"/>
            <w:vMerge w:val="continue"/>
            <w:tcBorders>
              <w:left w:val="single" w:color="000000" w:sz="6" w:space="0"/>
              <w:top w:val="nil"/>
              <w:bottom w:val="nil"/>
            </w:tcBorders>
          </w:tcPr>
          <w:p>
            <w:pPr>
              <w:rPr>
                <w:rFonts w:ascii="Arial"/>
                <w:sz w:val="21"/>
              </w:rPr>
            </w:pPr>
            <w:r/>
          </w:p>
        </w:tc>
        <w:tc>
          <w:tcPr>
            <w:tcW w:w="3839" w:type="dxa"/>
            <w:vAlign w:val="top"/>
            <w:gridSpan w:val="2"/>
          </w:tcPr>
          <w:p>
            <w:pPr>
              <w:pStyle w:val="TableText"/>
              <w:ind w:left="4"/>
              <w:spacing w:before="78" w:line="234" w:lineRule="auto"/>
              <w:rPr/>
            </w:pPr>
            <w:r>
              <w:rPr/>
              <w:t>22.万元</w:t>
            </w:r>
            <w:r>
              <w:rPr>
                <w:spacing w:val="-32"/>
              </w:rPr>
              <w:t xml:space="preserve"> </w:t>
            </w:r>
            <w:r>
              <w:rPr/>
              <w:t>GDP</w:t>
            </w:r>
            <w:r>
              <w:rPr>
                <w:spacing w:val="-41"/>
              </w:rPr>
              <w:t xml:space="preserve"> </w:t>
            </w:r>
            <w:r>
              <w:rPr/>
              <w:t>用水量（立方米）</w:t>
            </w:r>
          </w:p>
        </w:tc>
        <w:tc>
          <w:tcPr>
            <w:tcW w:w="695" w:type="dxa"/>
            <w:vAlign w:val="top"/>
          </w:tcPr>
          <w:p>
            <w:pPr>
              <w:rPr>
                <w:rFonts w:ascii="Arial"/>
                <w:sz w:val="21"/>
              </w:rPr>
            </w:pPr>
            <w:r/>
          </w:p>
        </w:tc>
        <w:tc>
          <w:tcPr>
            <w:tcW w:w="770" w:type="dxa"/>
            <w:vAlign w:val="top"/>
          </w:tcPr>
          <w:p>
            <w:pPr>
              <w:pStyle w:val="TableText"/>
              <w:ind w:right="2"/>
              <w:spacing w:before="78" w:line="234" w:lineRule="auto"/>
              <w:jc w:val="right"/>
              <w:rPr/>
            </w:pPr>
            <w:r>
              <w:rPr>
                <w:spacing w:val="-10"/>
              </w:rPr>
              <w:t>≤75</w:t>
            </w:r>
          </w:p>
        </w:tc>
        <w:tc>
          <w:tcPr>
            <w:tcW w:w="802" w:type="dxa"/>
            <w:vAlign w:val="top"/>
          </w:tcPr>
          <w:p>
            <w:pPr>
              <w:pStyle w:val="TableText"/>
              <w:ind w:right="4"/>
              <w:spacing w:before="167" w:line="124" w:lineRule="exact"/>
              <w:jc w:val="right"/>
              <w:rPr/>
            </w:pPr>
            <w:r>
              <w:rPr>
                <w:position w:val="-3"/>
              </w:rPr>
              <w:t>—</w:t>
            </w:r>
          </w:p>
        </w:tc>
        <w:tc>
          <w:tcPr>
            <w:tcW w:w="823" w:type="dxa"/>
            <w:vAlign w:val="top"/>
          </w:tcPr>
          <w:p>
            <w:pPr>
              <w:pStyle w:val="TableText"/>
              <w:spacing w:before="78" w:line="234" w:lineRule="auto"/>
              <w:jc w:val="right"/>
              <w:rPr/>
            </w:pPr>
            <w:r>
              <w:rPr>
                <w:spacing w:val="-4"/>
              </w:rPr>
              <w:t>55</w:t>
            </w:r>
          </w:p>
        </w:tc>
        <w:tc>
          <w:tcPr>
            <w:tcW w:w="822" w:type="dxa"/>
            <w:vAlign w:val="top"/>
          </w:tcPr>
          <w:p>
            <w:pPr>
              <w:pStyle w:val="TableText"/>
              <w:spacing w:before="167" w:line="124" w:lineRule="exact"/>
              <w:jc w:val="right"/>
              <w:rPr/>
            </w:pPr>
            <w:r>
              <w:rPr>
                <w:position w:val="-3"/>
              </w:rPr>
              <w:t>—</w:t>
            </w:r>
          </w:p>
        </w:tc>
        <w:tc>
          <w:tcPr>
            <w:tcW w:w="651" w:type="dxa"/>
            <w:vAlign w:val="top"/>
            <w:tcBorders>
              <w:right w:val="single" w:color="000000" w:sz="6" w:space="0"/>
            </w:tcBorders>
          </w:tcPr>
          <w:p>
            <w:pPr>
              <w:pStyle w:val="TableText"/>
              <w:ind w:right="5"/>
              <w:spacing w:before="78" w:line="234" w:lineRule="auto"/>
              <w:jc w:val="right"/>
              <w:rPr/>
            </w:pPr>
            <w:r>
              <w:rPr>
                <w:spacing w:val="9"/>
              </w:rPr>
              <w:t>126%</w:t>
            </w:r>
          </w:p>
        </w:tc>
      </w:tr>
      <w:tr>
        <w:trPr>
          <w:trHeight w:val="317" w:hRule="atLeast"/>
        </w:trPr>
        <w:tc>
          <w:tcPr>
            <w:tcW w:w="446" w:type="dxa"/>
            <w:vAlign w:val="top"/>
            <w:vMerge w:val="continue"/>
            <w:tcBorders>
              <w:left w:val="single" w:color="000000" w:sz="6" w:space="0"/>
              <w:top w:val="nil"/>
              <w:bottom w:val="nil"/>
            </w:tcBorders>
          </w:tcPr>
          <w:p>
            <w:pPr>
              <w:rPr>
                <w:rFonts w:ascii="Arial"/>
                <w:sz w:val="21"/>
              </w:rPr>
            </w:pPr>
            <w:r/>
          </w:p>
        </w:tc>
        <w:tc>
          <w:tcPr>
            <w:tcW w:w="3839" w:type="dxa"/>
            <w:vAlign w:val="top"/>
            <w:gridSpan w:val="2"/>
          </w:tcPr>
          <w:p>
            <w:pPr>
              <w:pStyle w:val="TableText"/>
              <w:ind w:left="4"/>
              <w:spacing w:before="79" w:line="233" w:lineRule="auto"/>
              <w:rPr/>
            </w:pPr>
            <w:r>
              <w:rPr>
                <w:spacing w:val="5"/>
              </w:rPr>
              <w:t>23.单位</w:t>
            </w:r>
            <w:r>
              <w:rPr>
                <w:spacing w:val="-36"/>
              </w:rPr>
              <w:t xml:space="preserve"> </w:t>
            </w:r>
            <w:r>
              <w:rPr/>
              <w:t>GDP</w:t>
            </w:r>
            <w:r>
              <w:rPr>
                <w:spacing w:val="-38"/>
              </w:rPr>
              <w:t xml:space="preserve"> </w:t>
            </w:r>
            <w:r>
              <w:rPr>
                <w:spacing w:val="5"/>
              </w:rPr>
              <w:t>能耗降低（%）</w:t>
            </w:r>
          </w:p>
        </w:tc>
        <w:tc>
          <w:tcPr>
            <w:tcW w:w="695" w:type="dxa"/>
            <w:vAlign w:val="top"/>
          </w:tcPr>
          <w:p>
            <w:pPr>
              <w:pStyle w:val="TableText"/>
              <w:ind w:right="5"/>
              <w:spacing w:before="79" w:line="233" w:lineRule="auto"/>
              <w:jc w:val="right"/>
              <w:rPr/>
            </w:pPr>
            <w:r>
              <w:rPr>
                <w:spacing w:val="-1"/>
              </w:rPr>
              <w:t>-10</w:t>
            </w:r>
          </w:p>
        </w:tc>
        <w:tc>
          <w:tcPr>
            <w:tcW w:w="770" w:type="dxa"/>
            <w:vAlign w:val="top"/>
          </w:tcPr>
          <w:p>
            <w:pPr>
              <w:pStyle w:val="TableText"/>
              <w:ind w:right="1"/>
              <w:spacing w:before="79" w:line="233" w:lineRule="auto"/>
              <w:jc w:val="right"/>
              <w:rPr/>
            </w:pPr>
            <w:r>
              <w:rPr>
                <w:spacing w:val="2"/>
              </w:rPr>
              <w:t>（-15）</w:t>
            </w:r>
          </w:p>
        </w:tc>
        <w:tc>
          <w:tcPr>
            <w:tcW w:w="802" w:type="dxa"/>
            <w:vAlign w:val="top"/>
          </w:tcPr>
          <w:p>
            <w:pPr>
              <w:pStyle w:val="TableText"/>
              <w:ind w:right="4"/>
              <w:spacing w:before="169" w:line="123" w:lineRule="exact"/>
              <w:jc w:val="right"/>
              <w:rPr/>
            </w:pPr>
            <w:r>
              <w:rPr>
                <w:position w:val="-3"/>
              </w:rPr>
              <w:t>—</w:t>
            </w:r>
          </w:p>
        </w:tc>
        <w:tc>
          <w:tcPr>
            <w:tcW w:w="823" w:type="dxa"/>
            <w:vAlign w:val="top"/>
          </w:tcPr>
          <w:p>
            <w:pPr>
              <w:pStyle w:val="TableText"/>
              <w:spacing w:before="79" w:line="233" w:lineRule="auto"/>
              <w:jc w:val="right"/>
              <w:rPr/>
            </w:pPr>
            <w:r>
              <w:rPr>
                <w:spacing w:val="2"/>
              </w:rPr>
              <w:t>（-15）</w:t>
            </w:r>
          </w:p>
        </w:tc>
        <w:tc>
          <w:tcPr>
            <w:tcW w:w="822" w:type="dxa"/>
            <w:vAlign w:val="top"/>
          </w:tcPr>
          <w:p>
            <w:pPr>
              <w:pStyle w:val="TableText"/>
              <w:spacing w:before="169" w:line="123" w:lineRule="exact"/>
              <w:jc w:val="right"/>
              <w:rPr/>
            </w:pPr>
            <w:r>
              <w:rPr>
                <w:position w:val="-3"/>
              </w:rPr>
              <w:t>—</w:t>
            </w:r>
          </w:p>
        </w:tc>
        <w:tc>
          <w:tcPr>
            <w:tcW w:w="651" w:type="dxa"/>
            <w:vAlign w:val="top"/>
            <w:tcBorders>
              <w:right w:val="single" w:color="000000" w:sz="6" w:space="0"/>
            </w:tcBorders>
          </w:tcPr>
          <w:p>
            <w:pPr>
              <w:pStyle w:val="TableText"/>
              <w:ind w:right="5"/>
              <w:spacing w:before="79" w:line="233" w:lineRule="auto"/>
              <w:jc w:val="right"/>
              <w:rPr/>
            </w:pPr>
            <w:r>
              <w:rPr>
                <w:spacing w:val="9"/>
              </w:rPr>
              <w:t>100%</w:t>
            </w:r>
          </w:p>
        </w:tc>
      </w:tr>
      <w:tr>
        <w:trPr>
          <w:trHeight w:val="317" w:hRule="atLeast"/>
        </w:trPr>
        <w:tc>
          <w:tcPr>
            <w:tcW w:w="446" w:type="dxa"/>
            <w:vAlign w:val="top"/>
            <w:vMerge w:val="continue"/>
            <w:tcBorders>
              <w:left w:val="single" w:color="000000" w:sz="6" w:space="0"/>
              <w:top w:val="nil"/>
              <w:bottom w:val="nil"/>
            </w:tcBorders>
          </w:tcPr>
          <w:p>
            <w:pPr>
              <w:rPr>
                <w:rFonts w:ascii="Arial"/>
                <w:sz w:val="21"/>
              </w:rPr>
            </w:pPr>
            <w:r/>
          </w:p>
        </w:tc>
        <w:tc>
          <w:tcPr>
            <w:tcW w:w="3839" w:type="dxa"/>
            <w:vAlign w:val="top"/>
            <w:gridSpan w:val="2"/>
          </w:tcPr>
          <w:p>
            <w:pPr>
              <w:pStyle w:val="TableText"/>
              <w:ind w:left="4"/>
              <w:spacing w:before="81" w:line="231" w:lineRule="auto"/>
              <w:rPr/>
            </w:pPr>
            <w:r>
              <w:rPr>
                <w:spacing w:val="4"/>
              </w:rPr>
              <w:t>24.单位</w:t>
            </w:r>
            <w:r>
              <w:rPr>
                <w:spacing w:val="-36"/>
              </w:rPr>
              <w:t xml:space="preserve"> </w:t>
            </w:r>
            <w:r>
              <w:rPr/>
              <w:t>GDP</w:t>
            </w:r>
            <w:r>
              <w:rPr>
                <w:spacing w:val="-42"/>
              </w:rPr>
              <w:t xml:space="preserve"> </w:t>
            </w:r>
            <w:r>
              <w:rPr>
                <w:spacing w:val="4"/>
              </w:rPr>
              <w:t>二氧化碳排放降低（%）</w:t>
            </w:r>
          </w:p>
        </w:tc>
        <w:tc>
          <w:tcPr>
            <w:tcW w:w="695" w:type="dxa"/>
            <w:vAlign w:val="top"/>
          </w:tcPr>
          <w:p>
            <w:pPr>
              <w:pStyle w:val="TableText"/>
              <w:ind w:right="4"/>
              <w:spacing w:before="81" w:line="231" w:lineRule="auto"/>
              <w:jc w:val="right"/>
              <w:rPr/>
            </w:pPr>
            <w:r>
              <w:rPr>
                <w:spacing w:val="-12"/>
              </w:rPr>
              <w:t>-8.3</w:t>
            </w:r>
          </w:p>
        </w:tc>
        <w:tc>
          <w:tcPr>
            <w:tcW w:w="770" w:type="dxa"/>
            <w:vAlign w:val="top"/>
          </w:tcPr>
          <w:p>
            <w:pPr>
              <w:pStyle w:val="TableText"/>
              <w:ind w:right="1"/>
              <w:spacing w:before="81" w:line="231" w:lineRule="auto"/>
              <w:jc w:val="right"/>
              <w:rPr/>
            </w:pPr>
            <w:r>
              <w:rPr>
                <w:spacing w:val="2"/>
              </w:rPr>
              <w:t>（-16）</w:t>
            </w:r>
          </w:p>
        </w:tc>
        <w:tc>
          <w:tcPr>
            <w:tcW w:w="802" w:type="dxa"/>
            <w:vAlign w:val="top"/>
          </w:tcPr>
          <w:p>
            <w:pPr>
              <w:pStyle w:val="TableText"/>
              <w:ind w:right="4"/>
              <w:spacing w:before="171" w:line="123" w:lineRule="exact"/>
              <w:jc w:val="right"/>
              <w:rPr/>
            </w:pPr>
            <w:r>
              <w:rPr>
                <w:position w:val="-3"/>
              </w:rPr>
              <w:t>—</w:t>
            </w:r>
          </w:p>
        </w:tc>
        <w:tc>
          <w:tcPr>
            <w:tcW w:w="823" w:type="dxa"/>
            <w:vAlign w:val="top"/>
          </w:tcPr>
          <w:p>
            <w:pPr>
              <w:pStyle w:val="TableText"/>
              <w:spacing w:before="81" w:line="231" w:lineRule="auto"/>
              <w:jc w:val="right"/>
              <w:rPr/>
            </w:pPr>
            <w:r>
              <w:rPr>
                <w:spacing w:val="2"/>
              </w:rPr>
              <w:t>（-16）</w:t>
            </w:r>
          </w:p>
        </w:tc>
        <w:tc>
          <w:tcPr>
            <w:tcW w:w="822" w:type="dxa"/>
            <w:vAlign w:val="top"/>
          </w:tcPr>
          <w:p>
            <w:pPr>
              <w:pStyle w:val="TableText"/>
              <w:spacing w:before="171" w:line="123" w:lineRule="exact"/>
              <w:jc w:val="right"/>
              <w:rPr/>
            </w:pPr>
            <w:r>
              <w:rPr>
                <w:position w:val="-3"/>
              </w:rPr>
              <w:t>—</w:t>
            </w:r>
          </w:p>
        </w:tc>
        <w:tc>
          <w:tcPr>
            <w:tcW w:w="651" w:type="dxa"/>
            <w:vAlign w:val="top"/>
            <w:tcBorders>
              <w:right w:val="single" w:color="000000" w:sz="6" w:space="0"/>
            </w:tcBorders>
          </w:tcPr>
          <w:p>
            <w:pPr>
              <w:pStyle w:val="TableText"/>
              <w:ind w:right="5"/>
              <w:spacing w:before="81" w:line="231" w:lineRule="auto"/>
              <w:jc w:val="right"/>
              <w:rPr/>
            </w:pPr>
            <w:r>
              <w:rPr>
                <w:spacing w:val="9"/>
              </w:rPr>
              <w:t>100%</w:t>
            </w:r>
          </w:p>
        </w:tc>
      </w:tr>
      <w:tr>
        <w:trPr>
          <w:trHeight w:val="318" w:hRule="atLeast"/>
        </w:trPr>
        <w:tc>
          <w:tcPr>
            <w:tcW w:w="446" w:type="dxa"/>
            <w:vAlign w:val="top"/>
            <w:vMerge w:val="continue"/>
            <w:tcBorders>
              <w:left w:val="single" w:color="000000" w:sz="6" w:space="0"/>
              <w:top w:val="nil"/>
              <w:bottom w:val="nil"/>
            </w:tcBorders>
          </w:tcPr>
          <w:p>
            <w:pPr>
              <w:rPr>
                <w:rFonts w:ascii="Arial"/>
                <w:sz w:val="21"/>
              </w:rPr>
            </w:pPr>
            <w:r/>
          </w:p>
        </w:tc>
        <w:tc>
          <w:tcPr>
            <w:tcW w:w="773" w:type="dxa"/>
            <w:vAlign w:val="top"/>
            <w:vMerge w:val="restart"/>
            <w:tcBorders>
              <w:bottom w:val="nil"/>
            </w:tcBorders>
          </w:tcPr>
          <w:p>
            <w:pPr>
              <w:pStyle w:val="TableText"/>
              <w:ind w:left="184" w:right="182" w:hanging="180"/>
              <w:spacing w:before="127" w:line="238" w:lineRule="auto"/>
              <w:rPr/>
            </w:pPr>
            <w:r>
              <w:rPr>
                <w:spacing w:val="-11"/>
              </w:rPr>
              <w:t>25.森林</w:t>
            </w:r>
            <w:r>
              <w:rPr>
                <w:spacing w:val="-3"/>
              </w:rPr>
              <w:t>发展</w:t>
            </w:r>
          </w:p>
        </w:tc>
        <w:tc>
          <w:tcPr>
            <w:tcW w:w="3066" w:type="dxa"/>
            <w:vAlign w:val="top"/>
          </w:tcPr>
          <w:p>
            <w:pPr>
              <w:pStyle w:val="TableText"/>
              <w:ind w:left="3"/>
              <w:spacing w:before="81" w:line="232" w:lineRule="auto"/>
              <w:rPr/>
            </w:pPr>
            <w:r>
              <w:rPr>
                <w:spacing w:val="7"/>
              </w:rPr>
              <w:t>森林覆盖率（%）</w:t>
            </w:r>
          </w:p>
        </w:tc>
        <w:tc>
          <w:tcPr>
            <w:tcW w:w="695" w:type="dxa"/>
            <w:vAlign w:val="top"/>
          </w:tcPr>
          <w:p>
            <w:pPr>
              <w:pStyle w:val="TableText"/>
              <w:ind w:right="4"/>
              <w:spacing w:before="81" w:line="232" w:lineRule="auto"/>
              <w:jc w:val="right"/>
              <w:rPr/>
            </w:pPr>
            <w:r>
              <w:rPr>
                <w:spacing w:val="-14"/>
              </w:rPr>
              <w:t>22.2</w:t>
            </w:r>
          </w:p>
        </w:tc>
        <w:tc>
          <w:tcPr>
            <w:tcW w:w="770" w:type="dxa"/>
            <w:vAlign w:val="top"/>
          </w:tcPr>
          <w:p>
            <w:pPr>
              <w:pStyle w:val="TableText"/>
              <w:ind w:right="2"/>
              <w:spacing w:before="81" w:line="232" w:lineRule="auto"/>
              <w:jc w:val="right"/>
              <w:rPr/>
            </w:pPr>
            <w:r>
              <w:rPr>
                <w:spacing w:val="-10"/>
              </w:rPr>
              <w:t>≥27</w:t>
            </w:r>
          </w:p>
        </w:tc>
        <w:tc>
          <w:tcPr>
            <w:tcW w:w="802" w:type="dxa"/>
            <w:vAlign w:val="top"/>
          </w:tcPr>
          <w:p>
            <w:pPr>
              <w:pStyle w:val="TableText"/>
              <w:ind w:right="4"/>
              <w:spacing w:before="170" w:line="124" w:lineRule="exact"/>
              <w:jc w:val="right"/>
              <w:rPr/>
            </w:pPr>
            <w:r>
              <w:rPr>
                <w:position w:val="-3"/>
              </w:rPr>
              <w:t>—</w:t>
            </w:r>
          </w:p>
        </w:tc>
        <w:tc>
          <w:tcPr>
            <w:tcW w:w="823" w:type="dxa"/>
            <w:vAlign w:val="top"/>
          </w:tcPr>
          <w:p>
            <w:pPr>
              <w:pStyle w:val="TableText"/>
              <w:ind w:right="2"/>
              <w:spacing w:before="81" w:line="232" w:lineRule="auto"/>
              <w:jc w:val="right"/>
              <w:rPr/>
            </w:pPr>
            <w:r>
              <w:rPr>
                <w:spacing w:val="-14"/>
              </w:rPr>
              <w:t>30.1</w:t>
            </w:r>
          </w:p>
        </w:tc>
        <w:tc>
          <w:tcPr>
            <w:tcW w:w="822" w:type="dxa"/>
            <w:vAlign w:val="top"/>
          </w:tcPr>
          <w:p>
            <w:pPr>
              <w:pStyle w:val="TableText"/>
              <w:spacing w:before="81" w:line="232" w:lineRule="auto"/>
              <w:jc w:val="right"/>
              <w:rPr/>
            </w:pPr>
            <w:r>
              <w:rPr>
                <w:spacing w:val="-21"/>
              </w:rPr>
              <w:t>7.</w:t>
            </w:r>
            <w:r>
              <w:rPr>
                <w:spacing w:val="-12"/>
              </w:rPr>
              <w:t>3</w:t>
            </w:r>
          </w:p>
        </w:tc>
        <w:tc>
          <w:tcPr>
            <w:tcW w:w="651" w:type="dxa"/>
            <w:vAlign w:val="top"/>
            <w:tcBorders>
              <w:right w:val="single" w:color="000000" w:sz="6" w:space="0"/>
            </w:tcBorders>
          </w:tcPr>
          <w:p>
            <w:pPr>
              <w:pStyle w:val="TableText"/>
              <w:ind w:right="5"/>
              <w:spacing w:before="81" w:line="232" w:lineRule="auto"/>
              <w:jc w:val="right"/>
              <w:rPr/>
            </w:pPr>
            <w:r>
              <w:rPr>
                <w:spacing w:val="9"/>
              </w:rPr>
              <w:t>111%</w:t>
            </w:r>
          </w:p>
        </w:tc>
      </w:tr>
      <w:tr>
        <w:trPr>
          <w:trHeight w:val="317" w:hRule="atLeast"/>
        </w:trPr>
        <w:tc>
          <w:tcPr>
            <w:tcW w:w="446" w:type="dxa"/>
            <w:vAlign w:val="top"/>
            <w:vMerge w:val="continue"/>
            <w:tcBorders>
              <w:left w:val="single" w:color="000000" w:sz="6" w:space="0"/>
              <w:top w:val="nil"/>
              <w:bottom w:val="nil"/>
            </w:tcBorders>
          </w:tcPr>
          <w:p>
            <w:pPr>
              <w:rPr>
                <w:rFonts w:ascii="Arial"/>
                <w:sz w:val="21"/>
              </w:rPr>
            </w:pPr>
            <w:r/>
          </w:p>
        </w:tc>
        <w:tc>
          <w:tcPr>
            <w:tcW w:w="773" w:type="dxa"/>
            <w:vAlign w:val="top"/>
            <w:vMerge w:val="continue"/>
            <w:tcBorders>
              <w:top w:val="nil"/>
            </w:tcBorders>
          </w:tcPr>
          <w:p>
            <w:pPr>
              <w:rPr>
                <w:rFonts w:ascii="Arial"/>
                <w:sz w:val="21"/>
              </w:rPr>
            </w:pPr>
            <w:r/>
          </w:p>
        </w:tc>
        <w:tc>
          <w:tcPr>
            <w:tcW w:w="3066" w:type="dxa"/>
            <w:vAlign w:val="top"/>
          </w:tcPr>
          <w:p>
            <w:pPr>
              <w:pStyle w:val="TableText"/>
              <w:ind w:left="3"/>
              <w:spacing w:before="81" w:line="231" w:lineRule="auto"/>
              <w:rPr/>
            </w:pPr>
            <w:r>
              <w:rPr>
                <w:spacing w:val="5"/>
              </w:rPr>
              <w:t>建成区绿化覆盖率（%）</w:t>
            </w:r>
          </w:p>
        </w:tc>
        <w:tc>
          <w:tcPr>
            <w:tcW w:w="695" w:type="dxa"/>
            <w:vAlign w:val="top"/>
          </w:tcPr>
          <w:p>
            <w:pPr>
              <w:pStyle w:val="TableText"/>
              <w:ind w:right="5"/>
              <w:spacing w:before="81" w:line="231" w:lineRule="auto"/>
              <w:jc w:val="right"/>
              <w:rPr/>
            </w:pPr>
            <w:r>
              <w:rPr>
                <w:spacing w:val="-12"/>
              </w:rPr>
              <w:t>36.69</w:t>
            </w:r>
          </w:p>
        </w:tc>
        <w:tc>
          <w:tcPr>
            <w:tcW w:w="770" w:type="dxa"/>
            <w:vAlign w:val="top"/>
          </w:tcPr>
          <w:p>
            <w:pPr>
              <w:pStyle w:val="TableText"/>
              <w:ind w:right="2"/>
              <w:spacing w:before="81" w:line="231" w:lineRule="auto"/>
              <w:jc w:val="right"/>
              <w:rPr/>
            </w:pPr>
            <w:r>
              <w:rPr>
                <w:spacing w:val="-10"/>
              </w:rPr>
              <w:t>≥38</w:t>
            </w:r>
          </w:p>
        </w:tc>
        <w:tc>
          <w:tcPr>
            <w:tcW w:w="802" w:type="dxa"/>
            <w:vAlign w:val="top"/>
          </w:tcPr>
          <w:p>
            <w:pPr>
              <w:pStyle w:val="TableText"/>
              <w:ind w:right="4"/>
              <w:spacing w:before="171" w:line="123" w:lineRule="exact"/>
              <w:jc w:val="right"/>
              <w:rPr/>
            </w:pPr>
            <w:r>
              <w:rPr>
                <w:position w:val="-3"/>
              </w:rPr>
              <w:t>—</w:t>
            </w:r>
          </w:p>
        </w:tc>
        <w:tc>
          <w:tcPr>
            <w:tcW w:w="823" w:type="dxa"/>
            <w:vAlign w:val="top"/>
          </w:tcPr>
          <w:p>
            <w:pPr>
              <w:pStyle w:val="TableText"/>
              <w:ind w:right="2"/>
              <w:spacing w:before="81" w:line="231" w:lineRule="auto"/>
              <w:jc w:val="right"/>
              <w:rPr/>
            </w:pPr>
            <w:r>
              <w:rPr>
                <w:spacing w:val="-13"/>
              </w:rPr>
              <w:t>42.1</w:t>
            </w:r>
          </w:p>
        </w:tc>
        <w:tc>
          <w:tcPr>
            <w:tcW w:w="822" w:type="dxa"/>
            <w:vAlign w:val="top"/>
          </w:tcPr>
          <w:p>
            <w:pPr>
              <w:pStyle w:val="TableText"/>
              <w:spacing w:before="171" w:line="123" w:lineRule="exact"/>
              <w:jc w:val="right"/>
              <w:rPr/>
            </w:pPr>
            <w:r>
              <w:rPr>
                <w:position w:val="-3"/>
              </w:rPr>
              <w:t>—</w:t>
            </w:r>
          </w:p>
        </w:tc>
        <w:tc>
          <w:tcPr>
            <w:tcW w:w="651" w:type="dxa"/>
            <w:vAlign w:val="top"/>
            <w:tcBorders>
              <w:right w:val="single" w:color="000000" w:sz="6" w:space="0"/>
            </w:tcBorders>
          </w:tcPr>
          <w:p>
            <w:pPr>
              <w:pStyle w:val="TableText"/>
              <w:ind w:right="5"/>
              <w:spacing w:before="81" w:line="231" w:lineRule="auto"/>
              <w:jc w:val="right"/>
              <w:rPr/>
            </w:pPr>
            <w:r>
              <w:rPr>
                <w:spacing w:val="9"/>
              </w:rPr>
              <w:t>107%</w:t>
            </w:r>
          </w:p>
        </w:tc>
      </w:tr>
      <w:tr>
        <w:trPr>
          <w:trHeight w:val="317" w:hRule="atLeast"/>
        </w:trPr>
        <w:tc>
          <w:tcPr>
            <w:tcW w:w="446" w:type="dxa"/>
            <w:vAlign w:val="top"/>
            <w:vMerge w:val="continue"/>
            <w:tcBorders>
              <w:left w:val="single" w:color="000000" w:sz="6" w:space="0"/>
              <w:top w:val="nil"/>
              <w:bottom w:val="nil"/>
            </w:tcBorders>
          </w:tcPr>
          <w:p>
            <w:pPr>
              <w:rPr>
                <w:rFonts w:ascii="Arial"/>
                <w:sz w:val="21"/>
              </w:rPr>
            </w:pPr>
            <w:r/>
          </w:p>
        </w:tc>
        <w:tc>
          <w:tcPr>
            <w:tcW w:w="3839" w:type="dxa"/>
            <w:vAlign w:val="top"/>
            <w:gridSpan w:val="2"/>
          </w:tcPr>
          <w:p>
            <w:pPr>
              <w:pStyle w:val="TableText"/>
              <w:ind w:left="4"/>
              <w:spacing w:before="83" w:line="229" w:lineRule="auto"/>
              <w:rPr/>
            </w:pPr>
            <w:r>
              <w:rPr/>
              <w:t>26.城市空气质量达到国家标准比例（%）</w:t>
            </w:r>
          </w:p>
        </w:tc>
        <w:tc>
          <w:tcPr>
            <w:tcW w:w="695" w:type="dxa"/>
            <w:vAlign w:val="top"/>
          </w:tcPr>
          <w:p>
            <w:pPr>
              <w:rPr>
                <w:rFonts w:ascii="Arial"/>
                <w:sz w:val="21"/>
              </w:rPr>
            </w:pPr>
            <w:r/>
          </w:p>
        </w:tc>
        <w:tc>
          <w:tcPr>
            <w:tcW w:w="770" w:type="dxa"/>
            <w:vAlign w:val="top"/>
          </w:tcPr>
          <w:p>
            <w:pPr>
              <w:pStyle w:val="TableText"/>
              <w:ind w:right="2"/>
              <w:spacing w:before="83" w:line="229" w:lineRule="auto"/>
              <w:jc w:val="right"/>
              <w:rPr/>
            </w:pPr>
            <w:r>
              <w:rPr>
                <w:spacing w:val="-10"/>
              </w:rPr>
              <w:t>≥95</w:t>
            </w:r>
          </w:p>
        </w:tc>
        <w:tc>
          <w:tcPr>
            <w:tcW w:w="802" w:type="dxa"/>
            <w:vAlign w:val="top"/>
          </w:tcPr>
          <w:p>
            <w:pPr>
              <w:rPr>
                <w:rFonts w:ascii="Arial"/>
                <w:sz w:val="21"/>
              </w:rPr>
            </w:pPr>
            <w:r/>
          </w:p>
        </w:tc>
        <w:tc>
          <w:tcPr>
            <w:tcW w:w="823" w:type="dxa"/>
            <w:vAlign w:val="top"/>
          </w:tcPr>
          <w:p>
            <w:pPr>
              <w:pStyle w:val="TableText"/>
              <w:spacing w:before="83" w:line="229" w:lineRule="auto"/>
              <w:jc w:val="right"/>
              <w:rPr/>
            </w:pPr>
            <w:r>
              <w:rPr>
                <w:spacing w:val="-3"/>
              </w:rPr>
              <w:t>96</w:t>
            </w:r>
          </w:p>
        </w:tc>
        <w:tc>
          <w:tcPr>
            <w:tcW w:w="822" w:type="dxa"/>
            <w:vAlign w:val="top"/>
          </w:tcPr>
          <w:p>
            <w:pPr>
              <w:pStyle w:val="TableText"/>
              <w:spacing w:before="173" w:line="123" w:lineRule="exact"/>
              <w:jc w:val="right"/>
              <w:rPr/>
            </w:pPr>
            <w:r>
              <w:rPr>
                <w:position w:val="-3"/>
              </w:rPr>
              <w:t>—</w:t>
            </w:r>
          </w:p>
        </w:tc>
        <w:tc>
          <w:tcPr>
            <w:tcW w:w="651" w:type="dxa"/>
            <w:vAlign w:val="top"/>
            <w:tcBorders>
              <w:right w:val="single" w:color="000000" w:sz="6" w:space="0"/>
            </w:tcBorders>
          </w:tcPr>
          <w:p>
            <w:pPr>
              <w:pStyle w:val="TableText"/>
              <w:ind w:right="5"/>
              <w:spacing w:before="83" w:line="229" w:lineRule="auto"/>
              <w:jc w:val="right"/>
              <w:rPr/>
            </w:pPr>
            <w:r>
              <w:rPr>
                <w:spacing w:val="9"/>
              </w:rPr>
              <w:t>101%</w:t>
            </w:r>
          </w:p>
        </w:tc>
      </w:tr>
      <w:tr>
        <w:trPr>
          <w:trHeight w:val="318" w:hRule="atLeast"/>
        </w:trPr>
        <w:tc>
          <w:tcPr>
            <w:tcW w:w="446" w:type="dxa"/>
            <w:vAlign w:val="top"/>
            <w:vMerge w:val="continue"/>
            <w:tcBorders>
              <w:left w:val="single" w:color="000000" w:sz="6" w:space="0"/>
              <w:top w:val="nil"/>
            </w:tcBorders>
          </w:tcPr>
          <w:p>
            <w:pPr>
              <w:rPr>
                <w:rFonts w:ascii="Arial"/>
                <w:sz w:val="21"/>
              </w:rPr>
            </w:pPr>
            <w:r/>
          </w:p>
        </w:tc>
        <w:tc>
          <w:tcPr>
            <w:tcW w:w="3839" w:type="dxa"/>
            <w:vAlign w:val="top"/>
            <w:gridSpan w:val="2"/>
          </w:tcPr>
          <w:p>
            <w:pPr>
              <w:pStyle w:val="TableText"/>
              <w:ind w:left="4"/>
              <w:spacing w:before="83" w:line="230" w:lineRule="auto"/>
              <w:rPr/>
            </w:pPr>
            <w:r>
              <w:rPr/>
              <w:t>27.水功能区水质达标率（%）</w:t>
            </w:r>
          </w:p>
        </w:tc>
        <w:tc>
          <w:tcPr>
            <w:tcW w:w="695" w:type="dxa"/>
            <w:vAlign w:val="top"/>
          </w:tcPr>
          <w:p>
            <w:pPr>
              <w:rPr>
                <w:rFonts w:ascii="Arial"/>
                <w:sz w:val="21"/>
              </w:rPr>
            </w:pPr>
            <w:r/>
          </w:p>
        </w:tc>
        <w:tc>
          <w:tcPr>
            <w:tcW w:w="770" w:type="dxa"/>
            <w:vAlign w:val="top"/>
          </w:tcPr>
          <w:p>
            <w:pPr>
              <w:pStyle w:val="TableText"/>
              <w:ind w:right="1"/>
              <w:spacing w:before="83" w:line="230" w:lineRule="auto"/>
              <w:jc w:val="right"/>
              <w:rPr/>
            </w:pPr>
            <w:r>
              <w:rPr>
                <w:spacing w:val="1"/>
              </w:rPr>
              <w:t>（</w:t>
            </w:r>
            <w:r>
              <w:rPr>
                <w:spacing w:val="-3"/>
              </w:rPr>
              <w:t xml:space="preserve"> </w:t>
            </w:r>
            <w:r>
              <w:rPr>
                <w:spacing w:val="1"/>
              </w:rPr>
              <w:t>&gt;80）</w:t>
            </w:r>
          </w:p>
        </w:tc>
        <w:tc>
          <w:tcPr>
            <w:tcW w:w="802" w:type="dxa"/>
            <w:vAlign w:val="top"/>
          </w:tcPr>
          <w:p>
            <w:pPr>
              <w:pStyle w:val="TableText"/>
              <w:ind w:right="4"/>
              <w:spacing w:before="172" w:line="124" w:lineRule="exact"/>
              <w:jc w:val="right"/>
              <w:rPr/>
            </w:pPr>
            <w:r>
              <w:rPr>
                <w:position w:val="-3"/>
              </w:rPr>
              <w:t>—</w:t>
            </w:r>
          </w:p>
        </w:tc>
        <w:tc>
          <w:tcPr>
            <w:tcW w:w="823" w:type="dxa"/>
            <w:vAlign w:val="top"/>
          </w:tcPr>
          <w:p>
            <w:pPr>
              <w:pStyle w:val="TableText"/>
              <w:spacing w:before="83" w:line="230" w:lineRule="auto"/>
              <w:jc w:val="right"/>
              <w:rPr/>
            </w:pPr>
            <w:r>
              <w:rPr>
                <w:spacing w:val="1"/>
              </w:rPr>
              <w:t>（</w:t>
            </w:r>
            <w:r>
              <w:rPr>
                <w:spacing w:val="-4"/>
              </w:rPr>
              <w:t xml:space="preserve"> </w:t>
            </w:r>
            <w:r>
              <w:rPr>
                <w:spacing w:val="1"/>
              </w:rPr>
              <w:t>&gt;80）</w:t>
            </w:r>
          </w:p>
        </w:tc>
        <w:tc>
          <w:tcPr>
            <w:tcW w:w="822" w:type="dxa"/>
            <w:vAlign w:val="top"/>
          </w:tcPr>
          <w:p>
            <w:pPr>
              <w:pStyle w:val="TableText"/>
              <w:spacing w:before="172" w:line="124" w:lineRule="exact"/>
              <w:jc w:val="right"/>
              <w:rPr/>
            </w:pPr>
            <w:r>
              <w:rPr>
                <w:position w:val="-3"/>
              </w:rPr>
              <w:t>—</w:t>
            </w:r>
          </w:p>
        </w:tc>
        <w:tc>
          <w:tcPr>
            <w:tcW w:w="651" w:type="dxa"/>
            <w:vAlign w:val="top"/>
            <w:tcBorders>
              <w:right w:val="single" w:color="000000" w:sz="6" w:space="0"/>
            </w:tcBorders>
          </w:tcPr>
          <w:p>
            <w:pPr>
              <w:pStyle w:val="TableText"/>
              <w:ind w:right="5"/>
              <w:spacing w:before="83" w:line="230" w:lineRule="auto"/>
              <w:jc w:val="right"/>
              <w:rPr/>
            </w:pPr>
            <w:r>
              <w:rPr>
                <w:spacing w:val="9"/>
              </w:rPr>
              <w:t>100%</w:t>
            </w:r>
          </w:p>
        </w:tc>
      </w:tr>
      <w:tr>
        <w:trPr>
          <w:trHeight w:val="317" w:hRule="atLeast"/>
        </w:trPr>
        <w:tc>
          <w:tcPr>
            <w:tcW w:w="446" w:type="dxa"/>
            <w:vAlign w:val="top"/>
            <w:vMerge w:val="restart"/>
            <w:tcBorders>
              <w:left w:val="single" w:color="000000" w:sz="6" w:space="0"/>
              <w:bottom w:val="nil"/>
            </w:tcBorders>
          </w:tcPr>
          <w:p>
            <w:pPr>
              <w:rPr>
                <w:rFonts w:ascii="Arial"/>
                <w:sz w:val="21"/>
              </w:rPr>
            </w:pPr>
            <w:r/>
          </w:p>
          <w:p>
            <w:pPr>
              <w:pStyle w:val="TableText"/>
              <w:ind w:left="38" w:right="40" w:hanging="2"/>
              <w:spacing w:before="58" w:line="252" w:lineRule="auto"/>
              <w:rPr/>
            </w:pPr>
            <w:r>
              <w:rPr>
                <w:spacing w:val="-2"/>
              </w:rPr>
              <w:t>社会</w:t>
            </w:r>
            <w:r>
              <w:rPr>
                <w:spacing w:val="-3"/>
              </w:rPr>
              <w:t>治理</w:t>
            </w:r>
          </w:p>
        </w:tc>
        <w:tc>
          <w:tcPr>
            <w:tcW w:w="3839" w:type="dxa"/>
            <w:vAlign w:val="top"/>
            <w:gridSpan w:val="2"/>
          </w:tcPr>
          <w:p>
            <w:pPr>
              <w:pStyle w:val="TableText"/>
              <w:ind w:left="4"/>
              <w:spacing w:before="84" w:line="228" w:lineRule="auto"/>
              <w:rPr/>
            </w:pPr>
            <w:r>
              <w:rPr/>
              <w:t>28.亿元</w:t>
            </w:r>
            <w:r>
              <w:rPr>
                <w:spacing w:val="-33"/>
              </w:rPr>
              <w:t xml:space="preserve"> </w:t>
            </w:r>
            <w:r>
              <w:rPr/>
              <w:t>GDP</w:t>
            </w:r>
            <w:r>
              <w:rPr>
                <w:spacing w:val="-40"/>
              </w:rPr>
              <w:t xml:space="preserve"> </w:t>
            </w:r>
            <w:r>
              <w:rPr/>
              <w:t>生产安全事故死亡人数（人）</w:t>
            </w:r>
          </w:p>
        </w:tc>
        <w:tc>
          <w:tcPr>
            <w:tcW w:w="695" w:type="dxa"/>
            <w:vAlign w:val="top"/>
          </w:tcPr>
          <w:p>
            <w:pPr>
              <w:pStyle w:val="TableText"/>
              <w:ind w:right="5"/>
              <w:spacing w:before="84" w:line="228" w:lineRule="auto"/>
              <w:jc w:val="right"/>
              <w:rPr/>
            </w:pPr>
            <w:r>
              <w:rPr>
                <w:spacing w:val="-11"/>
              </w:rPr>
              <w:t>0.286</w:t>
            </w:r>
          </w:p>
        </w:tc>
        <w:tc>
          <w:tcPr>
            <w:tcW w:w="770" w:type="dxa"/>
            <w:vAlign w:val="top"/>
          </w:tcPr>
          <w:p>
            <w:pPr>
              <w:pStyle w:val="TableText"/>
              <w:ind w:right="4"/>
              <w:spacing w:before="84" w:line="228" w:lineRule="auto"/>
              <w:jc w:val="right"/>
              <w:rPr/>
            </w:pPr>
            <w:r>
              <w:rPr>
                <w:spacing w:val="-19"/>
              </w:rPr>
              <w:t>0.</w:t>
            </w:r>
            <w:r>
              <w:rPr>
                <w:spacing w:val="-16"/>
              </w:rPr>
              <w:t>3</w:t>
            </w:r>
          </w:p>
        </w:tc>
        <w:tc>
          <w:tcPr>
            <w:tcW w:w="802" w:type="dxa"/>
            <w:vAlign w:val="top"/>
          </w:tcPr>
          <w:p>
            <w:pPr>
              <w:pStyle w:val="TableText"/>
              <w:ind w:right="4"/>
              <w:spacing w:before="173" w:line="123" w:lineRule="exact"/>
              <w:jc w:val="right"/>
              <w:rPr/>
            </w:pPr>
            <w:r>
              <w:rPr>
                <w:position w:val="-3"/>
              </w:rPr>
              <w:t>—</w:t>
            </w:r>
          </w:p>
        </w:tc>
        <w:tc>
          <w:tcPr>
            <w:tcW w:w="823" w:type="dxa"/>
            <w:vAlign w:val="top"/>
          </w:tcPr>
          <w:p>
            <w:pPr>
              <w:pStyle w:val="TableText"/>
              <w:ind w:right="2"/>
              <w:spacing w:before="84" w:line="228" w:lineRule="auto"/>
              <w:jc w:val="right"/>
              <w:rPr/>
            </w:pPr>
            <w:r>
              <w:rPr>
                <w:spacing w:val="-17"/>
              </w:rPr>
              <w:t>≤0.</w:t>
            </w:r>
            <w:r>
              <w:rPr>
                <w:spacing w:val="-16"/>
              </w:rPr>
              <w:t>1</w:t>
            </w:r>
            <w:r>
              <w:rPr>
                <w:spacing w:val="-13"/>
              </w:rPr>
              <w:t>9</w:t>
            </w:r>
          </w:p>
        </w:tc>
        <w:tc>
          <w:tcPr>
            <w:tcW w:w="822" w:type="dxa"/>
            <w:vAlign w:val="top"/>
          </w:tcPr>
          <w:p>
            <w:pPr>
              <w:pStyle w:val="TableText"/>
              <w:spacing w:before="173" w:line="123" w:lineRule="exact"/>
              <w:jc w:val="right"/>
              <w:rPr/>
            </w:pPr>
            <w:r>
              <w:rPr>
                <w:position w:val="-3"/>
              </w:rPr>
              <w:t>—</w:t>
            </w:r>
          </w:p>
        </w:tc>
        <w:tc>
          <w:tcPr>
            <w:tcW w:w="651" w:type="dxa"/>
            <w:vAlign w:val="top"/>
            <w:tcBorders>
              <w:right w:val="single" w:color="000000" w:sz="6" w:space="0"/>
            </w:tcBorders>
          </w:tcPr>
          <w:p>
            <w:pPr>
              <w:pStyle w:val="TableText"/>
              <w:ind w:right="5"/>
              <w:spacing w:before="84" w:line="228" w:lineRule="auto"/>
              <w:jc w:val="right"/>
              <w:rPr/>
            </w:pPr>
            <w:r>
              <w:rPr>
                <w:spacing w:val="9"/>
              </w:rPr>
              <w:t>100%</w:t>
            </w:r>
          </w:p>
        </w:tc>
      </w:tr>
      <w:tr>
        <w:trPr>
          <w:trHeight w:val="318" w:hRule="atLeast"/>
        </w:trPr>
        <w:tc>
          <w:tcPr>
            <w:tcW w:w="446" w:type="dxa"/>
            <w:vAlign w:val="top"/>
            <w:vMerge w:val="continue"/>
            <w:tcBorders>
              <w:left w:val="single" w:color="000000" w:sz="6" w:space="0"/>
              <w:bottom w:val="nil"/>
              <w:top w:val="nil"/>
            </w:tcBorders>
          </w:tcPr>
          <w:p>
            <w:pPr>
              <w:rPr>
                <w:rFonts w:ascii="Arial"/>
                <w:sz w:val="21"/>
              </w:rPr>
            </w:pPr>
            <w:r/>
          </w:p>
        </w:tc>
        <w:tc>
          <w:tcPr>
            <w:tcW w:w="3839" w:type="dxa"/>
            <w:vAlign w:val="top"/>
            <w:gridSpan w:val="2"/>
          </w:tcPr>
          <w:p>
            <w:pPr>
              <w:pStyle w:val="TableText"/>
              <w:ind w:left="4"/>
              <w:spacing w:before="85" w:line="228" w:lineRule="auto"/>
              <w:rPr/>
            </w:pPr>
            <w:r>
              <w:rPr/>
              <w:t>29.基层民主参选率（%）</w:t>
            </w:r>
          </w:p>
        </w:tc>
        <w:tc>
          <w:tcPr>
            <w:tcW w:w="695" w:type="dxa"/>
            <w:vAlign w:val="top"/>
          </w:tcPr>
          <w:p>
            <w:pPr>
              <w:rPr>
                <w:rFonts w:ascii="Arial"/>
                <w:sz w:val="21"/>
              </w:rPr>
            </w:pPr>
            <w:r/>
          </w:p>
        </w:tc>
        <w:tc>
          <w:tcPr>
            <w:tcW w:w="770" w:type="dxa"/>
            <w:vAlign w:val="top"/>
          </w:tcPr>
          <w:p>
            <w:pPr>
              <w:pStyle w:val="TableText"/>
              <w:ind w:right="2"/>
              <w:spacing w:before="85" w:line="228" w:lineRule="auto"/>
              <w:jc w:val="right"/>
              <w:rPr/>
            </w:pPr>
            <w:r>
              <w:rPr>
                <w:spacing w:val="-10"/>
              </w:rPr>
              <w:t>≥90</w:t>
            </w:r>
          </w:p>
        </w:tc>
        <w:tc>
          <w:tcPr>
            <w:tcW w:w="802" w:type="dxa"/>
            <w:vAlign w:val="top"/>
          </w:tcPr>
          <w:p>
            <w:pPr>
              <w:pStyle w:val="TableText"/>
              <w:ind w:right="4"/>
              <w:spacing w:before="175" w:line="123" w:lineRule="exact"/>
              <w:jc w:val="right"/>
              <w:rPr/>
            </w:pPr>
            <w:r>
              <w:rPr>
                <w:position w:val="-3"/>
              </w:rPr>
              <w:t>—</w:t>
            </w:r>
          </w:p>
        </w:tc>
        <w:tc>
          <w:tcPr>
            <w:tcW w:w="823" w:type="dxa"/>
            <w:vAlign w:val="top"/>
          </w:tcPr>
          <w:p>
            <w:pPr>
              <w:pStyle w:val="TableText"/>
              <w:spacing w:before="85" w:line="228" w:lineRule="auto"/>
              <w:jc w:val="right"/>
              <w:rPr/>
            </w:pPr>
            <w:r>
              <w:rPr>
                <w:spacing w:val="-10"/>
              </w:rPr>
              <w:t>≥90</w:t>
            </w:r>
          </w:p>
        </w:tc>
        <w:tc>
          <w:tcPr>
            <w:tcW w:w="822" w:type="dxa"/>
            <w:vAlign w:val="top"/>
          </w:tcPr>
          <w:p>
            <w:pPr>
              <w:pStyle w:val="TableText"/>
              <w:spacing w:before="175" w:line="123" w:lineRule="exact"/>
              <w:jc w:val="right"/>
              <w:rPr/>
            </w:pPr>
            <w:r>
              <w:rPr>
                <w:position w:val="-3"/>
              </w:rPr>
              <w:t>—</w:t>
            </w:r>
          </w:p>
        </w:tc>
        <w:tc>
          <w:tcPr>
            <w:tcW w:w="651" w:type="dxa"/>
            <w:vAlign w:val="top"/>
            <w:tcBorders>
              <w:right w:val="single" w:color="000000" w:sz="6" w:space="0"/>
            </w:tcBorders>
          </w:tcPr>
          <w:p>
            <w:pPr>
              <w:pStyle w:val="TableText"/>
              <w:ind w:right="5"/>
              <w:spacing w:before="85" w:line="228" w:lineRule="auto"/>
              <w:jc w:val="right"/>
              <w:rPr/>
            </w:pPr>
            <w:r>
              <w:rPr>
                <w:spacing w:val="9"/>
              </w:rPr>
              <w:t>100%</w:t>
            </w:r>
          </w:p>
        </w:tc>
      </w:tr>
      <w:tr>
        <w:trPr>
          <w:trHeight w:val="329" w:hRule="atLeast"/>
        </w:trPr>
        <w:tc>
          <w:tcPr>
            <w:tcW w:w="446" w:type="dxa"/>
            <w:vAlign w:val="top"/>
            <w:vMerge w:val="continue"/>
            <w:tcBorders>
              <w:left w:val="single" w:color="000000" w:sz="6" w:space="0"/>
              <w:bottom w:val="single" w:color="000000" w:sz="6" w:space="0"/>
              <w:top w:val="nil"/>
            </w:tcBorders>
          </w:tcPr>
          <w:p>
            <w:pPr>
              <w:rPr>
                <w:rFonts w:ascii="Arial"/>
                <w:sz w:val="21"/>
              </w:rPr>
            </w:pPr>
            <w:r/>
          </w:p>
        </w:tc>
        <w:tc>
          <w:tcPr>
            <w:tcW w:w="3839" w:type="dxa"/>
            <w:vAlign w:val="top"/>
            <w:gridSpan w:val="2"/>
            <w:tcBorders>
              <w:bottom w:val="single" w:color="000000" w:sz="6" w:space="0"/>
            </w:tcBorders>
          </w:tcPr>
          <w:p>
            <w:pPr>
              <w:pStyle w:val="TableText"/>
              <w:ind w:left="7"/>
              <w:spacing w:before="84" w:line="241" w:lineRule="auto"/>
              <w:rPr/>
            </w:pPr>
            <w:r>
              <w:rPr/>
              <w:t>30.注册志愿者人数占居民人口比例（%）</w:t>
            </w:r>
          </w:p>
        </w:tc>
        <w:tc>
          <w:tcPr>
            <w:tcW w:w="695" w:type="dxa"/>
            <w:vAlign w:val="top"/>
            <w:tcBorders>
              <w:bottom w:val="single" w:color="000000" w:sz="6" w:space="0"/>
            </w:tcBorders>
          </w:tcPr>
          <w:p>
            <w:pPr>
              <w:rPr>
                <w:rFonts w:ascii="Arial"/>
                <w:sz w:val="21"/>
              </w:rPr>
            </w:pPr>
            <w:r/>
          </w:p>
        </w:tc>
        <w:tc>
          <w:tcPr>
            <w:tcW w:w="770" w:type="dxa"/>
            <w:vAlign w:val="top"/>
            <w:tcBorders>
              <w:bottom w:val="single" w:color="000000" w:sz="6" w:space="0"/>
            </w:tcBorders>
          </w:tcPr>
          <w:p>
            <w:pPr>
              <w:pStyle w:val="TableText"/>
              <w:ind w:right="2"/>
              <w:spacing w:before="84" w:line="241" w:lineRule="auto"/>
              <w:jc w:val="right"/>
              <w:rPr/>
            </w:pPr>
            <w:r>
              <w:rPr>
                <w:spacing w:val="-11"/>
              </w:rPr>
              <w:t>10</w:t>
            </w:r>
          </w:p>
        </w:tc>
        <w:tc>
          <w:tcPr>
            <w:tcW w:w="802" w:type="dxa"/>
            <w:vAlign w:val="top"/>
            <w:tcBorders>
              <w:bottom w:val="single" w:color="000000" w:sz="6" w:space="0"/>
            </w:tcBorders>
          </w:tcPr>
          <w:p>
            <w:pPr>
              <w:pStyle w:val="TableText"/>
              <w:ind w:right="4"/>
              <w:spacing w:before="173" w:line="124" w:lineRule="exact"/>
              <w:jc w:val="right"/>
              <w:rPr/>
            </w:pPr>
            <w:r>
              <w:rPr>
                <w:position w:val="-3"/>
              </w:rPr>
              <w:t>—</w:t>
            </w:r>
          </w:p>
        </w:tc>
        <w:tc>
          <w:tcPr>
            <w:tcW w:w="823" w:type="dxa"/>
            <w:vAlign w:val="top"/>
            <w:tcBorders>
              <w:bottom w:val="single" w:color="000000" w:sz="6" w:space="0"/>
            </w:tcBorders>
          </w:tcPr>
          <w:p>
            <w:pPr>
              <w:pStyle w:val="TableText"/>
              <w:ind w:right="2"/>
              <w:spacing w:before="173" w:line="124" w:lineRule="exact"/>
              <w:jc w:val="right"/>
              <w:rPr/>
            </w:pPr>
            <w:r>
              <w:rPr>
                <w:position w:val="-3"/>
              </w:rPr>
              <w:t>—</w:t>
            </w:r>
          </w:p>
        </w:tc>
        <w:tc>
          <w:tcPr>
            <w:tcW w:w="822" w:type="dxa"/>
            <w:vAlign w:val="top"/>
            <w:tcBorders>
              <w:bottom w:val="single" w:color="000000" w:sz="6" w:space="0"/>
            </w:tcBorders>
          </w:tcPr>
          <w:p>
            <w:pPr>
              <w:pStyle w:val="TableText"/>
              <w:spacing w:before="84" w:line="241" w:lineRule="auto"/>
              <w:jc w:val="right"/>
              <w:rPr/>
            </w:pPr>
            <w:r>
              <w:rPr>
                <w:spacing w:val="-12"/>
              </w:rPr>
              <w:t>1</w:t>
            </w:r>
            <w:r>
              <w:rPr>
                <w:spacing w:val="-10"/>
              </w:rPr>
              <w:t>0</w:t>
            </w:r>
          </w:p>
        </w:tc>
        <w:tc>
          <w:tcPr>
            <w:tcW w:w="651" w:type="dxa"/>
            <w:vAlign w:val="top"/>
            <w:tcBorders>
              <w:bottom w:val="single" w:color="000000" w:sz="6" w:space="0"/>
              <w:right w:val="single" w:color="000000" w:sz="6" w:space="0"/>
            </w:tcBorders>
          </w:tcPr>
          <w:p>
            <w:pPr>
              <w:pStyle w:val="TableText"/>
              <w:ind w:right="5"/>
              <w:spacing w:before="84" w:line="241" w:lineRule="auto"/>
              <w:jc w:val="right"/>
              <w:rPr/>
            </w:pPr>
            <w:r>
              <w:rPr>
                <w:spacing w:val="9"/>
              </w:rPr>
              <w:t>100%</w:t>
            </w:r>
          </w:p>
        </w:tc>
      </w:tr>
    </w:tbl>
    <w:p>
      <w:pPr>
        <w:ind w:left="435"/>
        <w:spacing w:before="158" w:line="209" w:lineRule="auto"/>
        <w:outlineLvl w:val="0"/>
        <w:rPr>
          <w:rFonts w:ascii="KaiTi" w:hAnsi="KaiTi" w:eastAsia="KaiTi" w:cs="KaiTi"/>
          <w:sz w:val="18"/>
          <w:szCs w:val="18"/>
        </w:rPr>
      </w:pPr>
      <w:r>
        <w:rPr>
          <w:rFonts w:ascii="Microsoft YaHei" w:hAnsi="Microsoft YaHei" w:eastAsia="Microsoft YaHei" w:cs="Microsoft YaHei"/>
          <w:sz w:val="18"/>
          <w:szCs w:val="18"/>
          <w:spacing w:val="-1"/>
        </w:rPr>
        <w:t>说明：</w:t>
      </w:r>
      <w:r>
        <w:rPr>
          <w:rFonts w:ascii="KaiTi" w:hAnsi="KaiTi" w:eastAsia="KaiTi" w:cs="KaiTi"/>
          <w:sz w:val="18"/>
          <w:szCs w:val="18"/>
          <w:spacing w:val="-1"/>
        </w:rPr>
        <w:t>全社会固定资产投资、城镇化率核算基数在十三五期间进行了调整，无法与</w:t>
      </w:r>
      <w:r>
        <w:rPr>
          <w:rFonts w:ascii="KaiTi" w:hAnsi="KaiTi" w:eastAsia="KaiTi" w:cs="KaiTi"/>
          <w:sz w:val="18"/>
          <w:szCs w:val="18"/>
          <w:spacing w:val="-27"/>
        </w:rPr>
        <w:t xml:space="preserve"> </w:t>
      </w:r>
      <w:r>
        <w:rPr>
          <w:rFonts w:ascii="KaiTi" w:hAnsi="KaiTi" w:eastAsia="KaiTi" w:cs="KaiTi"/>
          <w:sz w:val="18"/>
          <w:szCs w:val="18"/>
          <w:spacing w:val="-1"/>
        </w:rPr>
        <w:t>2015</w:t>
      </w:r>
      <w:r>
        <w:rPr>
          <w:rFonts w:ascii="KaiTi" w:hAnsi="KaiTi" w:eastAsia="KaiTi" w:cs="KaiTi"/>
          <w:sz w:val="18"/>
          <w:szCs w:val="18"/>
          <w:spacing w:val="-38"/>
        </w:rPr>
        <w:t xml:space="preserve"> </w:t>
      </w:r>
      <w:r>
        <w:rPr>
          <w:rFonts w:ascii="KaiTi" w:hAnsi="KaiTi" w:eastAsia="KaiTi" w:cs="KaiTi"/>
          <w:sz w:val="18"/>
          <w:szCs w:val="18"/>
          <w:spacing w:val="-1"/>
        </w:rPr>
        <w:t>年数据进行对比。</w:t>
      </w:r>
    </w:p>
    <w:p>
      <w:pPr>
        <w:spacing w:before="226"/>
        <w:rPr/>
      </w:pPr>
      <w:r/>
    </w:p>
    <w:p>
      <w:pPr>
        <w:sectPr>
          <w:headerReference w:type="default" r:id="rId162"/>
          <w:footerReference w:type="default" r:id="rId163"/>
          <w:pgSz w:w="11906" w:h="16839"/>
          <w:pgMar w:top="1793" w:right="1521" w:bottom="1570" w:left="1521" w:header="1428" w:footer="1172" w:gutter="0"/>
          <w:cols w:equalWidth="0" w:num="1">
            <w:col w:w="8864" w:space="0"/>
          </w:cols>
        </w:sectPr>
        <w:rPr/>
      </w:pPr>
    </w:p>
    <w:p>
      <w:pPr>
        <w:pStyle w:val="BodyText"/>
        <w:ind w:left="175"/>
        <w:spacing w:before="47" w:line="220" w:lineRule="auto"/>
        <w:outlineLvl w:val="0"/>
        <w:rPr/>
      </w:pPr>
      <w:r>
        <w:rPr>
          <w:b/>
          <w:bCs/>
          <w:spacing w:val="-4"/>
        </w:rPr>
        <w:t>第二节</w:t>
      </w:r>
      <w:r>
        <w:rPr>
          <w:spacing w:val="95"/>
        </w:rPr>
        <w:t xml:space="preserve"> </w:t>
      </w:r>
      <w:r>
        <w:rPr>
          <w:b/>
          <w:bCs/>
          <w:spacing w:val="-4"/>
        </w:rPr>
        <w:t>新发展阶段固原面临的新机遇新挑战</w:t>
      </w:r>
    </w:p>
    <w:p>
      <w:pPr>
        <w:spacing w:line="247" w:lineRule="auto"/>
        <w:rPr>
          <w:rFonts w:ascii="Arial"/>
          <w:sz w:val="21"/>
        </w:rPr>
      </w:pPr>
      <w:r/>
    </w:p>
    <w:p>
      <w:pPr>
        <w:spacing w:line="247" w:lineRule="auto"/>
        <w:rPr>
          <w:rFonts w:ascii="Arial"/>
          <w:sz w:val="21"/>
        </w:rPr>
      </w:pPr>
      <w:r/>
    </w:p>
    <w:p>
      <w:pPr>
        <w:pStyle w:val="BodyText"/>
        <w:ind w:left="507"/>
        <w:spacing w:before="66" w:line="223" w:lineRule="auto"/>
        <w:rPr/>
      </w:pPr>
      <w:r>
        <w:rPr>
          <w:spacing w:val="6"/>
        </w:rPr>
        <w:t>当前和今后一个时期，固原发展仍然处于</w:t>
      </w:r>
    </w:p>
    <w:p>
      <w:pPr>
        <w:pStyle w:val="BodyText"/>
        <w:ind w:left="71"/>
        <w:spacing w:before="156" w:line="223" w:lineRule="auto"/>
        <w:outlineLvl w:val="0"/>
        <w:rPr/>
      </w:pPr>
      <w:r>
        <w:rPr>
          <w:spacing w:val="7"/>
        </w:rPr>
        <w:t>历史窗口期和重要战略机遇期，但机遇和挑战</w:t>
      </w:r>
    </w:p>
    <w:p>
      <w:pPr>
        <w:pStyle w:val="BodyText"/>
        <w:ind w:left="71"/>
        <w:spacing w:before="160" w:line="221" w:lineRule="auto"/>
        <w:rPr/>
      </w:pPr>
      <w:r>
        <w:rPr>
          <w:spacing w:val="8"/>
        </w:rPr>
        <w:t>都有新的发展变化。</w:t>
      </w:r>
    </w:p>
    <w:p>
      <w:pPr>
        <w:pStyle w:val="BodyText"/>
        <w:ind w:left="489"/>
        <w:spacing w:before="154" w:line="220" w:lineRule="auto"/>
        <w:rPr/>
      </w:pPr>
      <w:r>
        <w:rPr>
          <w:spacing w:val="7"/>
        </w:rPr>
        <w:t>从发展机遇看，一是世界百年未有之大变</w:t>
      </w:r>
    </w:p>
    <w:p>
      <w:pPr>
        <w:pStyle w:val="BodyText"/>
        <w:ind w:left="72"/>
        <w:spacing w:before="150" w:line="187" w:lineRule="auto"/>
        <w:outlineLvl w:val="0"/>
        <w:rPr/>
      </w:pPr>
      <w:r>
        <w:rPr>
          <w:spacing w:val="7"/>
        </w:rPr>
        <w:t>局、新一轮科技革命和产业变革为我们提供了</w:t>
      </w:r>
    </w:p>
    <w:p>
      <w:pPr>
        <w:spacing w:line="14" w:lineRule="auto"/>
        <w:rPr>
          <w:rFonts w:ascii="Arial"/>
          <w:sz w:val="2"/>
        </w:rPr>
      </w:pPr>
      <w:r>
        <w:rPr>
          <w:rFonts w:ascii="Arial" w:hAnsi="Arial" w:eastAsia="Arial" w:cs="Arial"/>
          <w:sz w:val="2"/>
          <w:szCs w:val="2"/>
        </w:rPr>
        <w:br w:type="column"/>
      </w:r>
    </w:p>
    <w:p>
      <w:pPr>
        <w:pStyle w:val="BodyText"/>
        <w:ind w:right="69" w:firstLine="1"/>
        <w:spacing w:before="37" w:line="342" w:lineRule="auto"/>
        <w:jc w:val="both"/>
        <w:rPr/>
      </w:pPr>
      <w:r>
        <w:rPr>
          <w:spacing w:val="7"/>
        </w:rPr>
        <w:t>重大发展契机。我国经济长期向好的基本面没</w:t>
      </w:r>
      <w:r>
        <w:rPr>
          <w:spacing w:val="7"/>
        </w:rPr>
        <w:t>有改变，发展仍处于重要战略机遇期，党领导</w:t>
      </w:r>
      <w:r>
        <w:rPr>
          <w:spacing w:val="7"/>
        </w:rPr>
        <w:t>下的社会主义国家制度优势显著、治理效能提</w:t>
      </w:r>
      <w:r>
        <w:rPr>
          <w:spacing w:val="7"/>
        </w:rPr>
        <w:t>升、经济长期向好、物质基础雄厚、人力资源</w:t>
      </w:r>
      <w:r>
        <w:rPr>
          <w:spacing w:val="7"/>
        </w:rPr>
        <w:t>丰富、市场空间广阔、发展韧性强劲、社会大</w:t>
      </w:r>
      <w:r>
        <w:rPr>
          <w:spacing w:val="7"/>
        </w:rPr>
        <w:t>局稳定，为我们加快发展提供了坚实有力的基</w:t>
      </w:r>
      <w:r>
        <w:rPr>
          <w:spacing w:val="7"/>
        </w:rPr>
        <w:t>础支撑和根本保证。二是我国已转向高质量发</w:t>
      </w:r>
    </w:p>
    <w:p>
      <w:pPr>
        <w:spacing w:line="342" w:lineRule="auto"/>
        <w:sectPr>
          <w:type w:val="continuous"/>
          <w:pgSz w:w="11906" w:h="16839"/>
          <w:pgMar w:top="1793" w:right="1521" w:bottom="1570" w:left="1521" w:header="1428" w:footer="1172" w:gutter="0"/>
          <w:cols w:equalWidth="0" w:num="2">
            <w:col w:w="4549" w:space="100"/>
            <w:col w:w="4215" w:space="0"/>
          </w:cols>
        </w:sectPr>
        <w:rPr/>
      </w:pPr>
    </w:p>
    <w:p>
      <w:pPr>
        <w:spacing w:before="44"/>
        <w:rPr/>
      </w:pPr>
      <w:r>
        <w:drawing>
          <wp:anchor distT="0" distB="0" distL="0" distR="0" simplePos="0" relativeHeight="251754496"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328" name="IM 328"/>
            <wp:cNvGraphicFramePr/>
            <a:graphic>
              <a:graphicData uri="http://schemas.openxmlformats.org/drawingml/2006/picture">
                <pic:pic>
                  <pic:nvPicPr>
                    <pic:cNvPr id="328" name="IM 328"/>
                    <pic:cNvPicPr/>
                  </pic:nvPicPr>
                  <pic:blipFill>
                    <a:blip r:embed="rId166"/>
                    <a:stretch>
                      <a:fillRect/>
                    </a:stretch>
                  </pic:blipFill>
                  <pic:spPr>
                    <a:xfrm rot="0">
                      <a:off x="0" y="0"/>
                      <a:ext cx="5579745" cy="7619"/>
                    </a:xfrm>
                    <a:prstGeom prst="rect">
                      <a:avLst/>
                    </a:prstGeom>
                  </pic:spPr>
                </pic:pic>
              </a:graphicData>
            </a:graphic>
          </wp:anchor>
        </w:drawing>
      </w:r>
      <w:r/>
    </w:p>
    <w:p>
      <w:pPr>
        <w:sectPr>
          <w:headerReference w:type="default" r:id="rId153"/>
          <w:footerReference w:type="default" r:id="rId165"/>
          <w:pgSz w:w="11906" w:h="16839"/>
          <w:pgMar w:top="1793" w:right="1489" w:bottom="1672" w:left="1560" w:header="1428" w:footer="1277" w:gutter="0"/>
          <w:cols w:equalWidth="0" w:num="1">
            <w:col w:w="8857" w:space="0"/>
          </w:cols>
        </w:sectPr>
        <w:rPr/>
      </w:pPr>
    </w:p>
    <w:p>
      <w:pPr>
        <w:pStyle w:val="BodyText"/>
        <w:ind w:left="30" w:right="329" w:firstLine="2"/>
        <w:spacing w:before="42" w:line="360" w:lineRule="auto"/>
        <w:rPr/>
      </w:pPr>
      <w:r>
        <w:rPr>
          <w:spacing w:val="7"/>
        </w:rPr>
        <w:t>展阶段，党中央加快建立更加有效的区域协调</w:t>
      </w:r>
      <w:r>
        <w:rPr>
          <w:spacing w:val="7"/>
        </w:rPr>
        <w:t>发展新机制、共建“一带一路”、推进西部大</w:t>
      </w:r>
      <w:r>
        <w:rPr>
          <w:spacing w:val="7"/>
        </w:rPr>
        <w:t>开发形成新格局、加快构建新发展格局、黄河</w:t>
      </w:r>
      <w:r>
        <w:rPr>
          <w:spacing w:val="18"/>
        </w:rPr>
        <w:t>流域生态保护和高质量发展等重大战略和政</w:t>
      </w:r>
      <w:r>
        <w:rPr>
          <w:spacing w:val="7"/>
        </w:rPr>
        <w:t>策交汇叠加，为我们提供了更多承接东部产业</w:t>
      </w:r>
      <w:r>
        <w:rPr>
          <w:spacing w:val="7"/>
        </w:rPr>
        <w:t>转移、加强区域合作等新的重大机遇和发展空</w:t>
      </w:r>
      <w:r>
        <w:rPr>
          <w:spacing w:val="7"/>
        </w:rPr>
        <w:t>间。三是全区上下全面贯彻落实习近平总书记</w:t>
      </w:r>
      <w:r>
        <w:rPr>
          <w:spacing w:val="7"/>
        </w:rPr>
        <w:t>视察宁夏重要讲话精神，举全区之力建设黄河</w:t>
      </w:r>
      <w:r>
        <w:rPr>
          <w:spacing w:val="7"/>
        </w:rPr>
        <w:t>流域生态保护和高质量发展先行区，明确建设</w:t>
      </w:r>
      <w:r>
        <w:rPr>
          <w:spacing w:val="10"/>
        </w:rPr>
        <w:t>宁南水源涵养区</w:t>
      </w:r>
      <w:r>
        <w:rPr>
          <w:spacing w:val="-53"/>
        </w:rPr>
        <w:t xml:space="preserve"> </w:t>
      </w:r>
      <w:r>
        <w:rPr>
          <w:spacing w:val="10"/>
        </w:rPr>
        <w:t>，为我们走出 “生态优先、</w:t>
      </w:r>
      <w:r>
        <w:rPr>
          <w:spacing w:val="7"/>
        </w:rPr>
        <w:t>绿色发展的高质量发展新路子”提供了科学指</w:t>
      </w:r>
      <w:r>
        <w:rPr>
          <w:spacing w:val="7"/>
        </w:rPr>
        <w:t>引和根本遵循。四是固原经过长期积累特别是</w:t>
      </w:r>
      <w:r>
        <w:rPr>
          <w:spacing w:val="7"/>
        </w:rPr>
        <w:t>“十三五”时期不懈努力，彻底撕掉了千百年</w:t>
      </w:r>
      <w:r>
        <w:rPr>
          <w:spacing w:val="7"/>
        </w:rPr>
        <w:t>来的绝对贫困标签，经济实力、生态质量、基</w:t>
      </w:r>
      <w:r>
        <w:rPr>
          <w:spacing w:val="7"/>
        </w:rPr>
        <w:t>础条件明显提升，发展的稳定性、竞争力和抗</w:t>
      </w:r>
      <w:r>
        <w:rPr>
          <w:spacing w:val="7"/>
        </w:rPr>
        <w:t>风险能力不断增强，民族团结、社会和谐的环</w:t>
      </w:r>
      <w:r>
        <w:rPr>
          <w:spacing w:val="7"/>
        </w:rPr>
        <w:t>境不断巩固，站在了新的历史起点，为我们追</w:t>
      </w:r>
      <w:r>
        <w:rPr>
          <w:spacing w:val="9"/>
        </w:rPr>
        <w:t>赶发展提供了现实基础和强劲动能。</w:t>
      </w:r>
    </w:p>
    <w:p>
      <w:pPr>
        <w:pStyle w:val="BodyText"/>
        <w:ind w:left="32" w:right="329" w:firstLine="417"/>
        <w:spacing w:line="290" w:lineRule="auto"/>
        <w:outlineLvl w:val="0"/>
        <w:rPr/>
      </w:pPr>
      <w:r>
        <w:rPr>
          <w:spacing w:val="7"/>
        </w:rPr>
        <w:t>从面临挑战看，一是固原市发展不足、发</w:t>
      </w:r>
      <w:r>
        <w:rPr>
          <w:spacing w:val="15"/>
        </w:rPr>
        <w:t>展质量不高的基本市情没有变</w:t>
      </w:r>
      <w:r>
        <w:rPr>
          <w:spacing w:val="-41"/>
        </w:rPr>
        <w:t xml:space="preserve"> </w:t>
      </w:r>
      <w:r>
        <w:rPr>
          <w:spacing w:val="15"/>
        </w:rPr>
        <w:t>，产业结构不</w:t>
      </w:r>
    </w:p>
    <w:p>
      <w:pPr>
        <w:pStyle w:val="BodyText"/>
        <w:ind w:left="32" w:right="265"/>
        <w:spacing w:before="149" w:line="360" w:lineRule="auto"/>
        <w:jc w:val="both"/>
        <w:rPr/>
      </w:pPr>
      <w:r>
        <w:rPr>
          <w:spacing w:val="7"/>
        </w:rPr>
        <w:t>优，产业链总体处于价值链中低端，面临着稳</w:t>
      </w:r>
      <w:r>
        <w:rPr>
          <w:spacing w:val="7"/>
        </w:rPr>
        <w:t>增长与调结构的双重挑战。二是发展方式依然</w:t>
      </w:r>
      <w:r>
        <w:rPr/>
        <w:t>粗放，能耗水耗高位运行，资源环境约束趋紧，</w:t>
      </w:r>
      <w:r>
        <w:rPr>
          <w:spacing w:val="7"/>
        </w:rPr>
        <w:t>生态文明建设任务依然艰巨，面临着生态保护</w:t>
      </w:r>
      <w:r>
        <w:rPr>
          <w:spacing w:val="7"/>
        </w:rPr>
        <w:t>与追赶发展的双重压力。三是科技创新支撑发</w:t>
      </w:r>
      <w:r>
        <w:rPr>
          <w:spacing w:val="7"/>
        </w:rPr>
        <w:t>展动能不足，人才短板亟需补齐，对外开放不</w:t>
      </w:r>
      <w:r>
        <w:rPr>
          <w:spacing w:val="7"/>
        </w:rPr>
        <w:t>足，发展活力面临着发展要素流失和重塑竞争</w:t>
      </w:r>
      <w:r>
        <w:rPr>
          <w:spacing w:val="7"/>
        </w:rPr>
        <w:t>优势的双重难题。四是城乡区域差距较大，基</w:t>
      </w:r>
      <w:r>
        <w:rPr>
          <w:spacing w:val="15"/>
        </w:rPr>
        <w:t>础设施总体滞后</w:t>
      </w:r>
      <w:r>
        <w:rPr>
          <w:spacing w:val="-40"/>
        </w:rPr>
        <w:t xml:space="preserve"> </w:t>
      </w:r>
      <w:r>
        <w:rPr>
          <w:spacing w:val="15"/>
        </w:rPr>
        <w:t>，民生保障存在明显短板弱</w:t>
      </w:r>
      <w:r>
        <w:rPr>
          <w:spacing w:val="7"/>
        </w:rPr>
        <w:t>项，巩固拓展脱贫攻坚成果任务依然繁重，面</w:t>
      </w:r>
      <w:r>
        <w:rPr>
          <w:spacing w:val="8"/>
        </w:rPr>
        <w:t>临着补短板和强基础的双重任务。</w:t>
      </w:r>
    </w:p>
    <w:p>
      <w:pPr>
        <w:pStyle w:val="BodyText"/>
        <w:ind w:left="451"/>
        <w:spacing w:line="222" w:lineRule="auto"/>
        <w:rPr/>
      </w:pPr>
      <w:r>
        <w:rPr>
          <w:spacing w:val="7"/>
        </w:rPr>
        <w:t>综合分析，当前和今后一个时期，固原处</w:t>
      </w:r>
    </w:p>
    <w:p>
      <w:pPr>
        <w:pStyle w:val="BodyText"/>
        <w:ind w:left="40"/>
        <w:spacing w:before="151" w:line="203" w:lineRule="auto"/>
        <w:outlineLvl w:val="0"/>
        <w:rPr/>
      </w:pPr>
      <w:r>
        <w:rPr>
          <w:spacing w:val="1"/>
        </w:rPr>
        <w:t>于乘势而上、奋力追赶、缩小差距的关键时期，</w:t>
      </w:r>
    </w:p>
    <w:p>
      <w:pPr>
        <w:spacing w:line="14" w:lineRule="auto"/>
        <w:rPr>
          <w:rFonts w:ascii="Arial"/>
          <w:sz w:val="2"/>
        </w:rPr>
      </w:pPr>
      <w:r>
        <w:rPr>
          <w:rFonts w:ascii="Arial" w:hAnsi="Arial" w:eastAsia="Arial" w:cs="Arial"/>
          <w:sz w:val="2"/>
          <w:szCs w:val="2"/>
        </w:rPr>
        <w:br w:type="column"/>
      </w:r>
    </w:p>
    <w:p>
      <w:pPr>
        <w:pStyle w:val="BodyText"/>
        <w:ind w:right="98" w:firstLine="3"/>
        <w:spacing w:before="41" w:line="360" w:lineRule="auto"/>
        <w:jc w:val="both"/>
        <w:rPr/>
      </w:pPr>
      <w:r>
        <w:rPr>
          <w:spacing w:val="7"/>
        </w:rPr>
        <w:t>机遇和挑战并存、困难和希望同在，但机遇大</w:t>
      </w:r>
      <w:r>
        <w:rPr>
          <w:spacing w:val="7"/>
        </w:rPr>
        <w:t>于挑战、希望多于困难。“十四五”期间，全</w:t>
      </w:r>
      <w:r>
        <w:rPr>
          <w:spacing w:val="18"/>
        </w:rPr>
        <w:t>市上下必须把思想统一到党中央和自治区对</w:t>
      </w:r>
      <w:r>
        <w:rPr>
          <w:spacing w:val="7"/>
        </w:rPr>
        <w:t>形势的判断和部署要求上来，准确把握机遇期</w:t>
      </w:r>
      <w:r>
        <w:rPr>
          <w:spacing w:val="7"/>
        </w:rPr>
        <w:t>内涵和条件的深刻变化，增强忧患意识，强化</w:t>
      </w:r>
      <w:r>
        <w:rPr>
          <w:spacing w:val="7"/>
        </w:rPr>
        <w:t>底线思想，增强发展信心，抓住历史机遇，把</w:t>
      </w:r>
      <w:r>
        <w:rPr>
          <w:spacing w:val="7"/>
        </w:rPr>
        <w:t>握新发展阶段，坚定不移贯彻新发展理念，加</w:t>
      </w:r>
      <w:r>
        <w:rPr>
          <w:spacing w:val="7"/>
        </w:rPr>
        <w:t>快融入新发展格局，主动担当作为，科学精准</w:t>
      </w:r>
      <w:r>
        <w:rPr>
          <w:spacing w:val="7"/>
        </w:rPr>
        <w:t>施策，在危机中育先机、于变局中开新局，努</w:t>
      </w:r>
      <w:r>
        <w:rPr>
          <w:spacing w:val="7"/>
        </w:rPr>
        <w:t>力推动固原经济社会高质量发展，奋力描绘好</w:t>
      </w:r>
      <w:r>
        <w:rPr>
          <w:spacing w:val="9"/>
        </w:rPr>
        <w:t>继续建设美丽新宁夏的固原画卷。</w:t>
      </w:r>
    </w:p>
    <w:p>
      <w:pPr>
        <w:pStyle w:val="BodyText"/>
        <w:ind w:left="710"/>
        <w:spacing w:before="305" w:line="220" w:lineRule="auto"/>
        <w:outlineLvl w:val="0"/>
        <w:rPr/>
      </w:pPr>
      <w:r>
        <w:rPr>
          <w:b/>
          <w:bCs/>
          <w:spacing w:val="7"/>
        </w:rPr>
        <w:t>第三节</w:t>
      </w:r>
      <w:r>
        <w:rPr>
          <w:spacing w:val="7"/>
        </w:rPr>
        <w:t xml:space="preserve">  </w:t>
      </w:r>
      <w:r>
        <w:rPr>
          <w:b/>
          <w:bCs/>
          <w:spacing w:val="7"/>
        </w:rPr>
        <w:t>指导思想及基本原则</w:t>
      </w:r>
    </w:p>
    <w:p>
      <w:pPr>
        <w:spacing w:line="395" w:lineRule="auto"/>
        <w:rPr>
          <w:rFonts w:ascii="Arial"/>
          <w:sz w:val="21"/>
        </w:rPr>
      </w:pPr>
      <w:r/>
    </w:p>
    <w:p>
      <w:pPr>
        <w:pStyle w:val="BodyText"/>
        <w:ind w:left="1" w:right="101" w:firstLine="420"/>
        <w:spacing w:before="65" w:line="296" w:lineRule="auto"/>
        <w:outlineLvl w:val="0"/>
        <w:rPr/>
      </w:pPr>
      <w:r>
        <w:rPr>
          <w:spacing w:val="6"/>
        </w:rPr>
        <w:t>“十四五”时期全市经济社会发展指导思</w:t>
      </w:r>
      <w:r>
        <w:rPr>
          <w:spacing w:val="7"/>
        </w:rPr>
        <w:t>想。高举中国特色社会主义伟大旗帜，深入贯</w:t>
      </w:r>
    </w:p>
    <w:p>
      <w:pPr>
        <w:pStyle w:val="BodyText"/>
        <w:ind w:right="78" w:firstLine="1"/>
        <w:spacing w:before="169" w:line="358" w:lineRule="auto"/>
        <w:jc w:val="both"/>
        <w:rPr/>
      </w:pPr>
      <w:r>
        <w:rPr>
          <w:spacing w:val="7"/>
        </w:rPr>
        <w:t>彻党的十九大和十九届二中、三中、四中、五</w:t>
      </w:r>
      <w:r>
        <w:rPr>
          <w:spacing w:val="7"/>
        </w:rPr>
        <w:t>中全会精神，坚持以马克思列宁主义、毛泽东</w:t>
      </w:r>
      <w:r>
        <w:rPr>
          <w:spacing w:val="8"/>
        </w:rPr>
        <w:t>思想、邓小平理论、“三个代表”重要思想、</w:t>
      </w:r>
      <w:r>
        <w:rPr>
          <w:spacing w:val="7"/>
        </w:rPr>
        <w:t>科学发展观、习近平新时代中国特色社会主义</w:t>
      </w:r>
      <w:r>
        <w:rPr>
          <w:spacing w:val="8"/>
        </w:rPr>
        <w:t>思想为指导，坚持党的基本理论、基本路线、</w:t>
      </w:r>
      <w:r>
        <w:rPr>
          <w:spacing w:val="7"/>
        </w:rPr>
        <w:t>基本方略，全面贯彻落实习近平总书记视察宁</w:t>
      </w:r>
      <w:r>
        <w:rPr>
          <w:spacing w:val="7"/>
        </w:rPr>
        <w:t>夏重要讲话精神，按照“五位一体”总体布局</w:t>
      </w:r>
      <w:r>
        <w:rPr>
          <w:spacing w:val="6"/>
        </w:rPr>
        <w:t>和“</w:t>
      </w:r>
      <w:r>
        <w:rPr>
          <w:spacing w:val="-74"/>
        </w:rPr>
        <w:t xml:space="preserve"> </w:t>
      </w:r>
      <w:r>
        <w:rPr>
          <w:spacing w:val="6"/>
        </w:rPr>
        <w:t>四个全面”战略布局，坚定不移贯彻新发</w:t>
      </w:r>
      <w:r>
        <w:rPr>
          <w:spacing w:val="7"/>
        </w:rPr>
        <w:t>展理念，坚持稳中求进工作总基调，全面落实</w:t>
      </w:r>
      <w:r>
        <w:rPr>
          <w:spacing w:val="18"/>
        </w:rPr>
        <w:t>自治区党委十二届八次九次十次十一次十二</w:t>
      </w:r>
      <w:r>
        <w:rPr>
          <w:spacing w:val="7"/>
        </w:rPr>
        <w:t>次全会精神，以推动高质量发展为主题，以深</w:t>
      </w:r>
      <w:r>
        <w:rPr>
          <w:spacing w:val="7"/>
        </w:rPr>
        <w:t>化供给侧结构性改革为主线，以改革创新为根</w:t>
      </w:r>
      <w:r>
        <w:rPr>
          <w:spacing w:val="7"/>
        </w:rPr>
        <w:t>本动力，以满足人民日益增长的美好生活需要</w:t>
      </w:r>
      <w:r>
        <w:rPr>
          <w:spacing w:val="7"/>
        </w:rPr>
        <w:t>为根本目的，统筹发展和安全，践行建设先行</w:t>
      </w:r>
      <w:r>
        <w:rPr>
          <w:spacing w:val="7"/>
        </w:rPr>
        <w:t>区时代使命，主动融入新发展格局，加快构建</w:t>
      </w:r>
      <w:r>
        <w:rPr>
          <w:spacing w:val="7"/>
        </w:rPr>
        <w:t>创新引领企业、科技、金融、人力相协同的现</w:t>
      </w:r>
      <w:r>
        <w:rPr>
          <w:spacing w:val="7"/>
        </w:rPr>
        <w:t>代生态产业体系，扎实推进基层治理体系和治</w:t>
      </w:r>
    </w:p>
    <w:p>
      <w:pPr>
        <w:spacing w:line="358" w:lineRule="auto"/>
        <w:sectPr>
          <w:type w:val="continuous"/>
          <w:pgSz w:w="11906" w:h="16839"/>
          <w:pgMar w:top="1793" w:right="1489" w:bottom="1672" w:left="1560" w:header="1428" w:footer="1277" w:gutter="0"/>
          <w:cols w:equalWidth="0" w:num="2">
            <w:col w:w="4509" w:space="100"/>
            <w:col w:w="4249" w:space="0"/>
          </w:cols>
        </w:sectPr>
        <w:rPr/>
      </w:pPr>
    </w:p>
    <w:p>
      <w:pPr>
        <w:spacing w:before="52"/>
        <w:rPr/>
      </w:pPr>
      <w:r>
        <w:drawing>
          <wp:anchor distT="0" distB="0" distL="0" distR="0" simplePos="0" relativeHeight="251756544"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334" name="IM 334"/>
            <wp:cNvGraphicFramePr/>
            <a:graphic>
              <a:graphicData uri="http://schemas.openxmlformats.org/drawingml/2006/picture">
                <pic:pic>
                  <pic:nvPicPr>
                    <pic:cNvPr id="334" name="IM 334"/>
                    <pic:cNvPicPr/>
                  </pic:nvPicPr>
                  <pic:blipFill>
                    <a:blip r:embed="rId169"/>
                    <a:stretch>
                      <a:fillRect/>
                    </a:stretch>
                  </pic:blipFill>
                  <pic:spPr>
                    <a:xfrm rot="0">
                      <a:off x="0" y="0"/>
                      <a:ext cx="5579745" cy="7619"/>
                    </a:xfrm>
                    <a:prstGeom prst="rect">
                      <a:avLst/>
                    </a:prstGeom>
                  </pic:spPr>
                </pic:pic>
              </a:graphicData>
            </a:graphic>
          </wp:anchor>
        </w:drawing>
      </w:r>
      <w:r/>
    </w:p>
    <w:p>
      <w:pPr>
        <w:sectPr>
          <w:headerReference w:type="default" r:id="rId167"/>
          <w:footerReference w:type="default" r:id="rId168"/>
          <w:pgSz w:w="11906" w:h="16839"/>
          <w:pgMar w:top="1793" w:right="1509" w:bottom="1570" w:left="1579" w:header="1428" w:footer="1172" w:gutter="0"/>
          <w:cols w:equalWidth="0" w:num="1">
            <w:col w:w="8817" w:space="0"/>
          </w:cols>
        </w:sectPr>
        <w:rPr/>
      </w:pPr>
    </w:p>
    <w:p>
      <w:pPr>
        <w:pStyle w:val="BodyText"/>
        <w:ind w:left="10" w:right="306" w:firstLine="4"/>
        <w:spacing w:before="41" w:line="369" w:lineRule="auto"/>
        <w:jc w:val="both"/>
        <w:rPr/>
      </w:pPr>
      <w:r>
        <w:rPr>
          <w:spacing w:val="7"/>
        </w:rPr>
        <w:t>理能力现代化，坚决守好促进民族团结、维护</w:t>
      </w:r>
      <w:r>
        <w:rPr>
          <w:spacing w:val="7"/>
        </w:rPr>
        <w:t>政治安全、改善生态环境“三条生命线”，走</w:t>
      </w:r>
      <w:r>
        <w:rPr>
          <w:spacing w:val="7"/>
        </w:rPr>
        <w:t>出一条生态优先、绿色发展、城乡一体、产城</w:t>
      </w:r>
      <w:r>
        <w:rPr>
          <w:spacing w:val="8"/>
        </w:rPr>
        <w:t>融合的高质量发展新路子，更加彰显山水美、</w:t>
      </w:r>
      <w:r>
        <w:rPr>
          <w:spacing w:val="7"/>
        </w:rPr>
        <w:t>业态美、城乡美、环境美、生活美，奋力描绘</w:t>
      </w:r>
      <w:r>
        <w:rPr>
          <w:spacing w:val="7"/>
        </w:rPr>
        <w:t>好继续建设美丽新宁夏的固原画卷，为全面建</w:t>
      </w:r>
      <w:r>
        <w:rPr>
          <w:spacing w:val="9"/>
        </w:rPr>
        <w:t>设社会主义现代化开好局、起好步。</w:t>
      </w:r>
    </w:p>
    <w:p>
      <w:pPr>
        <w:pStyle w:val="BodyText"/>
        <w:ind w:left="11" w:right="329" w:firstLine="421"/>
        <w:spacing w:before="3" w:line="310" w:lineRule="auto"/>
        <w:outlineLvl w:val="0"/>
        <w:rPr/>
      </w:pPr>
      <w:r>
        <w:rPr>
          <w:spacing w:val="6"/>
        </w:rPr>
        <w:t>“十四五”时期全市经济社会发展必须遵</w:t>
      </w:r>
      <w:r>
        <w:rPr>
          <w:spacing w:val="7"/>
        </w:rPr>
        <w:t>循以下原则：</w:t>
      </w:r>
    </w:p>
    <w:p>
      <w:pPr>
        <w:pStyle w:val="BodyText"/>
        <w:ind w:left="434"/>
        <w:spacing w:before="126" w:line="223" w:lineRule="auto"/>
        <w:rPr/>
      </w:pPr>
      <w:r>
        <w:rPr>
          <w:spacing w:val="6"/>
        </w:rPr>
        <w:t>坚持党的全面领导。全面落实党领导经济</w:t>
      </w:r>
    </w:p>
    <w:p>
      <w:pPr>
        <w:pStyle w:val="BodyText"/>
        <w:ind w:left="12"/>
        <w:spacing w:before="158" w:line="223" w:lineRule="auto"/>
        <w:outlineLvl w:val="0"/>
        <w:rPr/>
      </w:pPr>
      <w:r>
        <w:rPr>
          <w:spacing w:val="7"/>
        </w:rPr>
        <w:t>社会发展的体制机制，坚持和完善中国特色社</w:t>
      </w:r>
    </w:p>
    <w:p>
      <w:pPr>
        <w:pStyle w:val="BodyText"/>
        <w:ind w:left="10" w:right="327"/>
        <w:spacing w:before="157" w:line="369" w:lineRule="auto"/>
        <w:jc w:val="both"/>
        <w:rPr/>
      </w:pPr>
      <w:r>
        <w:rPr>
          <w:spacing w:val="-3"/>
        </w:rPr>
        <w:t>会主义制度，切实增强“四个意识”、坚定“四</w:t>
      </w:r>
      <w:r>
        <w:rPr>
          <w:spacing w:val="7"/>
        </w:rPr>
        <w:t>个自信”、做到“两个维护”，不断提高贯彻</w:t>
      </w:r>
      <w:r>
        <w:rPr>
          <w:spacing w:val="7"/>
        </w:rPr>
        <w:t>新发展理念、构建新发展格局能力和水平，为</w:t>
      </w:r>
      <w:r>
        <w:rPr>
          <w:spacing w:val="9"/>
        </w:rPr>
        <w:t>实现高质量发展提供根本保证。</w:t>
      </w:r>
    </w:p>
    <w:p>
      <w:pPr>
        <w:pStyle w:val="BodyText"/>
        <w:ind w:left="434"/>
        <w:spacing w:before="1" w:line="224" w:lineRule="auto"/>
        <w:rPr/>
      </w:pPr>
      <w:r>
        <w:rPr>
          <w:spacing w:val="9"/>
        </w:rPr>
        <w:t>坚持以人民为中心。坚持人民主体地位，</w:t>
      </w:r>
    </w:p>
    <w:p>
      <w:pPr>
        <w:pStyle w:val="BodyText"/>
        <w:ind w:left="14"/>
        <w:spacing w:before="160" w:line="222" w:lineRule="auto"/>
        <w:outlineLvl w:val="0"/>
        <w:rPr/>
      </w:pPr>
      <w:r>
        <w:rPr>
          <w:spacing w:val="9"/>
        </w:rPr>
        <w:t>坚持共同富裕方向，始终做到发展为了人民、</w:t>
      </w:r>
    </w:p>
    <w:p>
      <w:pPr>
        <w:pStyle w:val="BodyText"/>
        <w:ind w:left="12" w:right="329" w:firstLine="2"/>
        <w:spacing w:before="156" w:line="369" w:lineRule="auto"/>
        <w:jc w:val="both"/>
        <w:rPr/>
      </w:pPr>
      <w:r>
        <w:rPr>
          <w:spacing w:val="7"/>
        </w:rPr>
        <w:t>发展依靠人民、发展成果由人民共享，维护人</w:t>
      </w:r>
      <w:r>
        <w:rPr>
          <w:spacing w:val="7"/>
        </w:rPr>
        <w:t>民根本利益，激发全体人民积极性主动性创造</w:t>
      </w:r>
      <w:r>
        <w:rPr>
          <w:spacing w:val="7"/>
        </w:rPr>
        <w:t>性，促进社会公平，增进民生福祉，不断实现</w:t>
      </w:r>
      <w:r>
        <w:rPr>
          <w:spacing w:val="8"/>
        </w:rPr>
        <w:t>人民对美好生活的向往。</w:t>
      </w:r>
    </w:p>
    <w:p>
      <w:pPr>
        <w:pStyle w:val="BodyText"/>
        <w:ind w:left="14" w:right="329" w:firstLine="420"/>
        <w:spacing w:before="4" w:line="296" w:lineRule="auto"/>
        <w:outlineLvl w:val="0"/>
        <w:rPr/>
      </w:pPr>
      <w:r>
        <w:rPr>
          <w:spacing w:val="6"/>
        </w:rPr>
        <w:t>坚持新发展理念。把新发展理念贯穿发展</w:t>
      </w:r>
      <w:r>
        <w:rPr>
          <w:spacing w:val="7"/>
        </w:rPr>
        <w:t>全过程和各领域，把注意力集中到解决各种不</w:t>
      </w:r>
    </w:p>
    <w:p>
      <w:pPr>
        <w:pStyle w:val="BodyText"/>
        <w:ind w:left="12" w:right="248"/>
        <w:spacing w:before="161" w:line="369" w:lineRule="auto"/>
        <w:jc w:val="both"/>
        <w:rPr/>
      </w:pPr>
      <w:r>
        <w:rPr>
          <w:spacing w:val="15"/>
        </w:rPr>
        <w:t>平衡不充分的问题上来</w:t>
      </w:r>
      <w:r>
        <w:rPr>
          <w:spacing w:val="-40"/>
        </w:rPr>
        <w:t xml:space="preserve"> </w:t>
      </w:r>
      <w:r>
        <w:rPr>
          <w:spacing w:val="15"/>
        </w:rPr>
        <w:t>，主动融入新发展格</w:t>
      </w:r>
      <w:r>
        <w:rPr>
          <w:spacing w:val="7"/>
        </w:rPr>
        <w:t>局，坚持生态优先、绿色发展定位，切实转变</w:t>
      </w:r>
      <w:r>
        <w:rPr>
          <w:spacing w:val="1"/>
        </w:rPr>
        <w:t>发展方式，加快新旧动能转换，推动质量变革、</w:t>
      </w:r>
      <w:r>
        <w:rPr>
          <w:spacing w:val="7"/>
        </w:rPr>
        <w:t>效率变革、动力变革，实现更高质量、更有效</w:t>
      </w:r>
      <w:r>
        <w:rPr>
          <w:spacing w:val="9"/>
        </w:rPr>
        <w:t>率、更加公平、更可持续、更为安全的发展。</w:t>
      </w:r>
    </w:p>
    <w:p>
      <w:pPr>
        <w:pStyle w:val="BodyText"/>
        <w:ind w:left="14" w:right="322" w:firstLine="420"/>
        <w:spacing w:before="1" w:line="294" w:lineRule="auto"/>
        <w:outlineLvl w:val="0"/>
        <w:rPr/>
      </w:pPr>
      <w:r>
        <w:rPr>
          <w:spacing w:val="7"/>
        </w:rPr>
        <w:t>坚持深化改革开放。坚定不移推进改革，</w:t>
      </w:r>
      <w:r>
        <w:rPr>
          <w:spacing w:val="7"/>
        </w:rPr>
        <w:t>坚定不移扩大开放，加快治理体系和治理能力</w:t>
      </w:r>
    </w:p>
    <w:p>
      <w:pPr>
        <w:pStyle w:val="BodyText"/>
        <w:ind w:left="17" w:right="329" w:hanging="1"/>
        <w:spacing w:before="157" w:line="351" w:lineRule="auto"/>
        <w:rPr/>
      </w:pPr>
      <w:r>
        <w:rPr>
          <w:spacing w:val="7"/>
        </w:rPr>
        <w:t>现代化建设，破除制约高质量发展、高品质生</w:t>
      </w:r>
      <w:r>
        <w:rPr>
          <w:spacing w:val="7"/>
        </w:rPr>
        <w:t>活的思想观念和体制机制障碍，破解开放视野</w:t>
      </w:r>
    </w:p>
    <w:p>
      <w:pPr>
        <w:spacing w:line="14" w:lineRule="auto"/>
        <w:rPr>
          <w:rFonts w:ascii="Arial"/>
          <w:sz w:val="2"/>
        </w:rPr>
      </w:pPr>
      <w:r>
        <w:rPr>
          <w:rFonts w:ascii="Arial" w:hAnsi="Arial" w:eastAsia="Arial" w:cs="Arial"/>
          <w:sz w:val="2"/>
          <w:szCs w:val="2"/>
        </w:rPr>
        <w:br w:type="column"/>
      </w:r>
    </w:p>
    <w:p>
      <w:pPr>
        <w:pStyle w:val="BodyText"/>
        <w:ind w:right="80" w:firstLine="1"/>
        <w:spacing w:before="38" w:line="370" w:lineRule="auto"/>
        <w:jc w:val="both"/>
        <w:rPr/>
      </w:pPr>
      <w:r>
        <w:rPr>
          <w:spacing w:val="7"/>
        </w:rPr>
        <w:t>不宽、信心不足、能力不够的短板弱项，强化</w:t>
      </w:r>
      <w:r>
        <w:rPr>
          <w:spacing w:val="18"/>
        </w:rPr>
        <w:t>有利于调动全社会积极性的重大改革开放举</w:t>
      </w:r>
      <w:r>
        <w:rPr>
          <w:spacing w:val="8"/>
        </w:rPr>
        <w:t>措，持续增强发展动力和活力。</w:t>
      </w:r>
    </w:p>
    <w:p>
      <w:pPr>
        <w:pStyle w:val="BodyText"/>
        <w:ind w:right="80" w:firstLine="422"/>
        <w:spacing w:line="295" w:lineRule="auto"/>
        <w:outlineLvl w:val="0"/>
        <w:rPr/>
      </w:pPr>
      <w:r>
        <w:rPr>
          <w:spacing w:val="6"/>
        </w:rPr>
        <w:t>坚持系统观念。加强前瞻性思考、全局性</w:t>
      </w:r>
      <w:r>
        <w:rPr>
          <w:spacing w:val="7"/>
        </w:rPr>
        <w:t>谋划、战略性布局、整体性推进，统筹巩固拓</w:t>
      </w:r>
    </w:p>
    <w:p>
      <w:pPr>
        <w:pStyle w:val="BodyText"/>
        <w:ind w:firstLine="1"/>
        <w:spacing w:before="160" w:line="369" w:lineRule="auto"/>
        <w:jc w:val="both"/>
        <w:rPr/>
      </w:pPr>
      <w:r>
        <w:rPr>
          <w:spacing w:val="7"/>
        </w:rPr>
        <w:t>展脱贫成果和乡村振兴，统筹经济发展实现量</w:t>
      </w:r>
      <w:r>
        <w:rPr>
          <w:spacing w:val="7"/>
        </w:rPr>
        <w:t>的合理增长和质的稳步提升，统筹建设生态产</w:t>
      </w:r>
      <w:r>
        <w:rPr>
          <w:spacing w:val="7"/>
        </w:rPr>
        <w:t>业现代体系与新型城镇融合发展，统筹改善民</w:t>
      </w:r>
      <w:r>
        <w:rPr>
          <w:spacing w:val="7"/>
        </w:rPr>
        <w:t>生和社会治理，统筹生态保护和山绿民富，统</w:t>
      </w:r>
      <w:r>
        <w:rPr>
          <w:spacing w:val="1"/>
        </w:rPr>
        <w:t>筹全面发展和安全发展。着力固根基、锻长板、</w:t>
      </w:r>
      <w:r>
        <w:rPr>
          <w:spacing w:val="1"/>
        </w:rPr>
        <w:t>补短板、强弱项，注重防范化解重大风险挑战，</w:t>
      </w:r>
      <w:r>
        <w:rPr>
          <w:spacing w:val="7"/>
        </w:rPr>
        <w:t>实现发展质量、结构、规模、速度、效益、安</w:t>
      </w:r>
      <w:r>
        <w:rPr>
          <w:spacing w:val="7"/>
        </w:rPr>
        <w:t>全相统一。</w:t>
      </w:r>
    </w:p>
    <w:p>
      <w:pPr>
        <w:pStyle w:val="BodyText"/>
        <w:ind w:left="1235"/>
        <w:spacing w:before="301" w:line="220" w:lineRule="auto"/>
        <w:outlineLvl w:val="0"/>
        <w:rPr/>
      </w:pPr>
      <w:r>
        <w:rPr>
          <w:b/>
          <w:bCs/>
          <w:spacing w:val="7"/>
        </w:rPr>
        <w:t>第四节</w:t>
      </w:r>
      <w:r>
        <w:rPr>
          <w:spacing w:val="7"/>
        </w:rPr>
        <w:t xml:space="preserve">  </w:t>
      </w:r>
      <w:r>
        <w:rPr>
          <w:b/>
          <w:bCs/>
          <w:spacing w:val="7"/>
        </w:rPr>
        <w:t>发展目标</w:t>
      </w:r>
    </w:p>
    <w:p>
      <w:pPr>
        <w:spacing w:line="388" w:lineRule="auto"/>
        <w:rPr>
          <w:rFonts w:ascii="Arial"/>
          <w:sz w:val="21"/>
        </w:rPr>
      </w:pPr>
      <w:r/>
    </w:p>
    <w:p>
      <w:pPr>
        <w:pStyle w:val="BodyText"/>
        <w:ind w:left="41" w:right="78" w:firstLine="385"/>
        <w:spacing w:before="66" w:line="297" w:lineRule="auto"/>
        <w:outlineLvl w:val="0"/>
        <w:rPr/>
      </w:pPr>
      <w:r>
        <w:rPr>
          <w:spacing w:val="10"/>
        </w:rPr>
        <w:t>到</w:t>
      </w:r>
      <w:r>
        <w:rPr>
          <w:spacing w:val="-35"/>
        </w:rPr>
        <w:t xml:space="preserve"> </w:t>
      </w:r>
      <w:r>
        <w:rPr>
          <w:spacing w:val="10"/>
        </w:rPr>
        <w:t>2035</w:t>
      </w:r>
      <w:r>
        <w:rPr>
          <w:spacing w:val="-34"/>
        </w:rPr>
        <w:t xml:space="preserve"> </w:t>
      </w:r>
      <w:r>
        <w:rPr>
          <w:spacing w:val="10"/>
        </w:rPr>
        <w:t>年基本实现社会主义现代化远景</w:t>
      </w:r>
      <w:r>
        <w:rPr>
          <w:spacing w:val="5"/>
        </w:rPr>
        <w:t>目标。习近平总书记两次视察宁夏都明确提出</w:t>
      </w:r>
    </w:p>
    <w:p>
      <w:pPr>
        <w:pStyle w:val="BodyText"/>
        <w:ind w:right="11" w:firstLine="1"/>
        <w:spacing w:before="163" w:line="357" w:lineRule="auto"/>
        <w:jc w:val="both"/>
        <w:rPr/>
      </w:pPr>
      <w:r>
        <w:rPr>
          <w:spacing w:val="7"/>
        </w:rPr>
        <w:t>“建设经济繁荣、民族团结、环境优美、人民</w:t>
      </w:r>
      <w:r>
        <w:rPr>
          <w:spacing w:val="7"/>
        </w:rPr>
        <w:t>富裕美丽新宁夏”，这是新时代宁夏发展的总</w:t>
      </w:r>
      <w:r>
        <w:rPr>
          <w:spacing w:val="7"/>
        </w:rPr>
        <w:t>目标、总要求、总遵循，也是固原今后一个时</w:t>
      </w:r>
      <w:r>
        <w:rPr>
          <w:spacing w:val="8"/>
        </w:rPr>
        <w:t>期发展的行动指南。展望</w:t>
      </w:r>
      <w:r>
        <w:rPr>
          <w:spacing w:val="-27"/>
        </w:rPr>
        <w:t xml:space="preserve"> </w:t>
      </w:r>
      <w:r>
        <w:rPr>
          <w:spacing w:val="8"/>
        </w:rPr>
        <w:t>2035</w:t>
      </w:r>
      <w:r>
        <w:rPr>
          <w:spacing w:val="-34"/>
        </w:rPr>
        <w:t xml:space="preserve"> </w:t>
      </w:r>
      <w:r>
        <w:rPr>
          <w:spacing w:val="8"/>
        </w:rPr>
        <w:t>年</w:t>
      </w:r>
      <w:r>
        <w:rPr>
          <w:spacing w:val="-59"/>
        </w:rPr>
        <w:t xml:space="preserve"> </w:t>
      </w:r>
      <w:r>
        <w:rPr>
          <w:spacing w:val="8"/>
        </w:rPr>
        <w:t>，固原必须</w:t>
      </w:r>
      <w:r>
        <w:rPr>
          <w:spacing w:val="18"/>
        </w:rPr>
        <w:t>坚定不移用习近平总书记视察宁夏重要讲话</w:t>
      </w:r>
      <w:r>
        <w:rPr>
          <w:spacing w:val="7"/>
        </w:rPr>
        <w:t>精神统一思想、统揽全局、统领发展，让“经</w:t>
      </w:r>
      <w:r>
        <w:rPr>
          <w:spacing w:val="7"/>
        </w:rPr>
        <w:t>济繁荣、民族团结、环境优美、人民富裕”成</w:t>
      </w:r>
      <w:r>
        <w:rPr>
          <w:spacing w:val="7"/>
        </w:rPr>
        <w:t>为固原现代化的鲜明标识和奋斗目标，确保与</w:t>
      </w:r>
      <w:r>
        <w:rPr>
          <w:spacing w:val="7"/>
        </w:rPr>
        <w:t>全国全区同步基本实现社会主义现代化。在经</w:t>
      </w:r>
      <w:r>
        <w:rPr>
          <w:spacing w:val="7"/>
        </w:rPr>
        <w:t>济繁荣实现大跨越上趟新路，综合实力明显增</w:t>
      </w:r>
      <w:r>
        <w:rPr>
          <w:spacing w:val="7"/>
        </w:rPr>
        <w:t>强，创新能力、企业市场竞争力大幅跃升，年</w:t>
      </w:r>
      <w:r>
        <w:rPr>
          <w:spacing w:val="15"/>
        </w:rPr>
        <w:t>均经济增速高于全国全区平均水平</w:t>
      </w:r>
      <w:r>
        <w:rPr>
          <w:spacing w:val="-39"/>
        </w:rPr>
        <w:t xml:space="preserve"> </w:t>
      </w:r>
      <w:r>
        <w:rPr>
          <w:spacing w:val="15"/>
        </w:rPr>
        <w:t>，经济总</w:t>
      </w:r>
      <w:r>
        <w:rPr>
          <w:spacing w:val="3"/>
        </w:rPr>
        <w:t>量、人均</w:t>
      </w:r>
      <w:r>
        <w:rPr>
          <w:spacing w:val="-31"/>
        </w:rPr>
        <w:t xml:space="preserve"> </w:t>
      </w:r>
      <w:r>
        <w:rPr/>
        <w:t>GDP</w:t>
      </w:r>
      <w:r>
        <w:rPr>
          <w:spacing w:val="-22"/>
        </w:rPr>
        <w:t xml:space="preserve"> </w:t>
      </w:r>
      <w:r>
        <w:rPr>
          <w:spacing w:val="3"/>
        </w:rPr>
        <w:t>比</w:t>
      </w:r>
      <w:r>
        <w:rPr>
          <w:spacing w:val="-46"/>
        </w:rPr>
        <w:t xml:space="preserve"> </w:t>
      </w:r>
      <w:r>
        <w:rPr>
          <w:spacing w:val="3"/>
        </w:rPr>
        <w:t>2020</w:t>
      </w:r>
      <w:r>
        <w:rPr>
          <w:spacing w:val="-46"/>
        </w:rPr>
        <w:t xml:space="preserve"> </w:t>
      </w:r>
      <w:r>
        <w:rPr>
          <w:spacing w:val="3"/>
        </w:rPr>
        <w:t>年均实现翻一番半以上，</w:t>
      </w:r>
      <w:r>
        <w:rPr>
          <w:spacing w:val="18"/>
        </w:rPr>
        <w:t>基本建成特色鲜明的市域生态友好型现代产</w:t>
      </w:r>
      <w:r>
        <w:rPr>
          <w:spacing w:val="7"/>
        </w:rPr>
        <w:t>业体系，趟出一条生态优先、绿色发展、城乡</w:t>
      </w:r>
    </w:p>
    <w:p>
      <w:pPr>
        <w:spacing w:line="357" w:lineRule="auto"/>
        <w:sectPr>
          <w:type w:val="continuous"/>
          <w:pgSz w:w="11906" w:h="16839"/>
          <w:pgMar w:top="1793" w:right="1509" w:bottom="1570" w:left="1579" w:header="1428" w:footer="1172" w:gutter="0"/>
          <w:cols w:equalWidth="0" w:num="2">
            <w:col w:w="4489" w:space="100"/>
            <w:col w:w="4228" w:space="0"/>
          </w:cols>
        </w:sectPr>
        <w:rPr/>
      </w:pPr>
    </w:p>
    <w:p>
      <w:pPr>
        <w:spacing w:before="42"/>
        <w:rPr/>
      </w:pPr>
      <w:r>
        <w:drawing>
          <wp:anchor distT="0" distB="0" distL="0" distR="0" simplePos="0" relativeHeight="251758592"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338" name="IM 338"/>
            <wp:cNvGraphicFramePr/>
            <a:graphic>
              <a:graphicData uri="http://schemas.openxmlformats.org/drawingml/2006/picture">
                <pic:pic>
                  <pic:nvPicPr>
                    <pic:cNvPr id="338" name="IM 338"/>
                    <pic:cNvPicPr/>
                  </pic:nvPicPr>
                  <pic:blipFill>
                    <a:blip r:embed="rId171"/>
                    <a:stretch>
                      <a:fillRect/>
                    </a:stretch>
                  </pic:blipFill>
                  <pic:spPr>
                    <a:xfrm rot="0">
                      <a:off x="0" y="0"/>
                      <a:ext cx="5579745" cy="7619"/>
                    </a:xfrm>
                    <a:prstGeom prst="rect">
                      <a:avLst/>
                    </a:prstGeom>
                  </pic:spPr>
                </pic:pic>
              </a:graphicData>
            </a:graphic>
          </wp:anchor>
        </w:drawing>
      </w:r>
      <w:r/>
    </w:p>
    <w:p>
      <w:pPr>
        <w:sectPr>
          <w:headerReference w:type="default" r:id="rId153"/>
          <w:footerReference w:type="default" r:id="rId170"/>
          <w:pgSz w:w="11906" w:h="16839"/>
          <w:pgMar w:top="1793" w:right="1489" w:bottom="1672" w:left="1560" w:header="1428" w:footer="1277" w:gutter="0"/>
          <w:cols w:equalWidth="0" w:num="1">
            <w:col w:w="8857" w:space="0"/>
          </w:cols>
        </w:sectPr>
        <w:rPr/>
      </w:pPr>
    </w:p>
    <w:p>
      <w:pPr>
        <w:pStyle w:val="BodyText"/>
        <w:ind w:left="31" w:right="250" w:firstLine="2"/>
        <w:spacing w:before="54" w:line="369" w:lineRule="auto"/>
        <w:jc w:val="both"/>
        <w:rPr/>
      </w:pPr>
      <w:r>
        <w:rPr>
          <w:spacing w:val="7"/>
        </w:rPr>
        <w:t>一体、产城融合的高质量发展新路子，新型工</w:t>
      </w:r>
      <w:r>
        <w:rPr>
          <w:spacing w:val="1"/>
        </w:rPr>
        <w:t>业化、信息化、城镇化、农业现代化基本实现。</w:t>
      </w:r>
      <w:r>
        <w:rPr>
          <w:spacing w:val="7"/>
        </w:rPr>
        <w:t>在民族团结实现大进步上走在前，民族团结示</w:t>
      </w:r>
      <w:r>
        <w:rPr>
          <w:spacing w:val="7"/>
        </w:rPr>
        <w:t>范市创建成果持续巩固提升，中华民族共同体</w:t>
      </w:r>
      <w:r>
        <w:rPr>
          <w:spacing w:val="7"/>
        </w:rPr>
        <w:t>意识深入人心，民族团结之花常开长盛，“六</w:t>
      </w:r>
      <w:r>
        <w:rPr>
          <w:spacing w:val="7"/>
        </w:rPr>
        <w:t>盘儿女一家亲”品牌更加靓丽；宗教关系更加</w:t>
      </w:r>
      <w:r>
        <w:rPr>
          <w:spacing w:val="7"/>
        </w:rPr>
        <w:t>和顺健康，宗教与社会主义社会相适应的中国</w:t>
      </w:r>
      <w:r>
        <w:rPr>
          <w:spacing w:val="7"/>
        </w:rPr>
        <w:t>化方向根深本固；市域治理体系和治理能力基</w:t>
      </w:r>
      <w:r>
        <w:rPr>
          <w:spacing w:val="7"/>
        </w:rPr>
        <w:t>本现代化，共建共治共享的社会治理格局更加</w:t>
      </w:r>
      <w:r>
        <w:rPr>
          <w:spacing w:val="1"/>
        </w:rPr>
        <w:t>完善，法治固原、平安固原建设达到更高水平。</w:t>
      </w:r>
      <w:r>
        <w:rPr>
          <w:spacing w:val="7"/>
        </w:rPr>
        <w:t>在环境优美实现大突破上树标杆，黄河流域生</w:t>
      </w:r>
      <w:r>
        <w:rPr>
          <w:spacing w:val="18"/>
        </w:rPr>
        <w:t>态保护和高质量发展先行区建设取得重大战</w:t>
      </w:r>
      <w:r>
        <w:rPr>
          <w:spacing w:val="7"/>
        </w:rPr>
        <w:t>略成果，生态环境全面改善，生态系统健康稳</w:t>
      </w:r>
      <w:r>
        <w:rPr>
          <w:spacing w:val="7"/>
        </w:rPr>
        <w:t>定，资源节约集约利用成为广泛共识，绿色生</w:t>
      </w:r>
      <w:r>
        <w:rPr>
          <w:spacing w:val="15"/>
        </w:rPr>
        <w:t>产生活方式蔚然成风</w:t>
      </w:r>
      <w:r>
        <w:rPr>
          <w:spacing w:val="-39"/>
        </w:rPr>
        <w:t xml:space="preserve"> </w:t>
      </w:r>
      <w:r>
        <w:rPr>
          <w:spacing w:val="15"/>
        </w:rPr>
        <w:t>，生态优先绿色发展成</w:t>
      </w:r>
      <w:r>
        <w:rPr>
          <w:spacing w:val="7"/>
        </w:rPr>
        <w:t>势，生态建设为全区作出更大贡献，山水美业</w:t>
      </w:r>
      <w:r>
        <w:rPr>
          <w:spacing w:val="7"/>
        </w:rPr>
        <w:t>态美城乡美环境美生活美“五美融合”发展格</w:t>
      </w:r>
      <w:r>
        <w:rPr>
          <w:spacing w:val="18"/>
        </w:rPr>
        <w:t>局全面形成。在人民富裕实现大提升上争同</w:t>
      </w:r>
      <w:r>
        <w:rPr>
          <w:spacing w:val="7"/>
        </w:rPr>
        <w:t>步，城乡居民人均收入翻一番半、赶上全国全</w:t>
      </w:r>
      <w:r>
        <w:rPr>
          <w:spacing w:val="7"/>
        </w:rPr>
        <w:t>区平均水平，中等收入群体显著扩大，人民生</w:t>
      </w:r>
      <w:r>
        <w:rPr>
          <w:spacing w:val="7"/>
        </w:rPr>
        <w:t>活水平显著提升；城乡基本公共服务实现均等</w:t>
      </w:r>
      <w:r>
        <w:rPr>
          <w:spacing w:val="7"/>
        </w:rPr>
        <w:t>化，公民素质和社会文明程度达到新高度，基</w:t>
      </w:r>
      <w:r>
        <w:rPr>
          <w:spacing w:val="7"/>
        </w:rPr>
        <w:t>本建成文化强市、教育强市、健康固原，创成</w:t>
      </w:r>
      <w:r>
        <w:rPr>
          <w:spacing w:val="7"/>
        </w:rPr>
        <w:t>全国文明城市，幼有所育、学有所教、劳有所</w:t>
      </w:r>
      <w:r>
        <w:rPr>
          <w:spacing w:val="7"/>
        </w:rPr>
        <w:t>得、病有所医、老有所养、住有所居、弱有所</w:t>
      </w:r>
      <w:r>
        <w:rPr>
          <w:spacing w:val="7"/>
        </w:rPr>
        <w:t>扶取得重大进展，人的全面发展、人民共同富</w:t>
      </w:r>
      <w:r>
        <w:rPr>
          <w:spacing w:val="7"/>
        </w:rPr>
        <w:t>裕取得新成效。</w:t>
      </w:r>
    </w:p>
    <w:p>
      <w:pPr>
        <w:pStyle w:val="BodyText"/>
        <w:ind w:left="453"/>
        <w:spacing w:before="4" w:line="220" w:lineRule="auto"/>
        <w:rPr/>
      </w:pPr>
      <w:r>
        <w:rPr>
          <w:spacing w:val="17"/>
        </w:rPr>
        <w:t>“十四五</w:t>
      </w:r>
      <w:r>
        <w:rPr>
          <w:spacing w:val="-65"/>
        </w:rPr>
        <w:t xml:space="preserve"> </w:t>
      </w:r>
      <w:r>
        <w:rPr>
          <w:spacing w:val="17"/>
        </w:rPr>
        <w:t>”时期经济社会发展的主要目</w:t>
      </w:r>
    </w:p>
    <w:p>
      <w:pPr>
        <w:pStyle w:val="BodyText"/>
        <w:ind w:left="32"/>
        <w:spacing w:before="160" w:line="222" w:lineRule="auto"/>
        <w:outlineLvl w:val="0"/>
        <w:rPr/>
      </w:pPr>
      <w:r>
        <w:rPr>
          <w:spacing w:val="7"/>
        </w:rPr>
        <w:t>标。“十四五”期间是建设黄河流域生态保护</w:t>
      </w:r>
    </w:p>
    <w:p>
      <w:pPr>
        <w:pStyle w:val="BodyText"/>
        <w:ind w:left="33" w:right="321" w:firstLine="6"/>
        <w:spacing w:before="160" w:line="319" w:lineRule="auto"/>
        <w:jc w:val="both"/>
        <w:rPr/>
      </w:pPr>
      <w:r>
        <w:rPr>
          <w:spacing w:val="7"/>
        </w:rPr>
        <w:t>和高质量发展先行区美丽新固原的关键阶段，</w:t>
      </w:r>
      <w:r>
        <w:rPr>
          <w:spacing w:val="8"/>
        </w:rPr>
        <w:t>必须锚定</w:t>
      </w:r>
      <w:r>
        <w:rPr>
          <w:spacing w:val="-30"/>
        </w:rPr>
        <w:t xml:space="preserve"> </w:t>
      </w:r>
      <w:r>
        <w:rPr>
          <w:spacing w:val="8"/>
        </w:rPr>
        <w:t>2035</w:t>
      </w:r>
      <w:r>
        <w:rPr>
          <w:spacing w:val="-36"/>
        </w:rPr>
        <w:t xml:space="preserve"> </w:t>
      </w:r>
      <w:r>
        <w:rPr>
          <w:spacing w:val="8"/>
        </w:rPr>
        <w:t>年远景目标</w:t>
      </w:r>
      <w:r>
        <w:rPr>
          <w:spacing w:val="-59"/>
        </w:rPr>
        <w:t xml:space="preserve"> </w:t>
      </w:r>
      <w:r>
        <w:rPr>
          <w:spacing w:val="8"/>
        </w:rPr>
        <w:t>，以先行区建设为</w:t>
      </w:r>
      <w:r>
        <w:rPr>
          <w:spacing w:val="7"/>
        </w:rPr>
        <w:t>统领，坚持守正和创新相统一，坚持与全国全</w:t>
      </w:r>
    </w:p>
    <w:p>
      <w:pPr>
        <w:spacing w:line="14" w:lineRule="auto"/>
        <w:rPr>
          <w:rFonts w:ascii="Arial"/>
          <w:sz w:val="2"/>
        </w:rPr>
      </w:pPr>
      <w:r>
        <w:rPr>
          <w:rFonts w:ascii="Arial" w:hAnsi="Arial" w:eastAsia="Arial" w:cs="Arial"/>
          <w:sz w:val="2"/>
          <w:szCs w:val="2"/>
        </w:rPr>
        <w:br w:type="column"/>
      </w:r>
    </w:p>
    <w:p>
      <w:pPr>
        <w:pStyle w:val="BodyText"/>
        <w:ind w:left="18"/>
        <w:spacing w:before="46" w:line="278" w:lineRule="exact"/>
        <w:rPr/>
      </w:pPr>
      <w:r>
        <w:rPr>
          <w:spacing w:val="8"/>
          <w:position w:val="1"/>
        </w:rPr>
        <w:t>区同步协调发展，努力实现以下主要目标：</w:t>
      </w:r>
    </w:p>
    <w:p>
      <w:pPr>
        <w:pStyle w:val="BodyText"/>
        <w:ind w:left="6" w:right="94" w:firstLine="419"/>
        <w:spacing w:before="127" w:line="295" w:lineRule="auto"/>
        <w:outlineLvl w:val="0"/>
        <w:rPr/>
      </w:pPr>
      <w:r>
        <w:rPr>
          <w:spacing w:val="6"/>
        </w:rPr>
        <w:t>经济实力实现新突破。在质量和效益持续</w:t>
      </w:r>
      <w:r>
        <w:rPr>
          <w:spacing w:val="7"/>
        </w:rPr>
        <w:t>提高的基础上，经济增速高于全区平均水平，</w:t>
      </w:r>
    </w:p>
    <w:p>
      <w:pPr>
        <w:pStyle w:val="BodyText"/>
        <w:ind w:left="1" w:right="78" w:firstLine="1"/>
        <w:spacing w:before="157" w:line="368" w:lineRule="auto"/>
        <w:jc w:val="both"/>
        <w:rPr/>
      </w:pPr>
      <w:r>
        <w:rPr>
          <w:spacing w:val="6"/>
        </w:rPr>
        <w:t>力争全市地区生产总值突破</w:t>
      </w:r>
      <w:r>
        <w:rPr>
          <w:spacing w:val="-36"/>
        </w:rPr>
        <w:t xml:space="preserve"> </w:t>
      </w:r>
      <w:r>
        <w:rPr>
          <w:spacing w:val="6"/>
        </w:rPr>
        <w:t>500</w:t>
      </w:r>
      <w:r>
        <w:rPr>
          <w:spacing w:val="-43"/>
        </w:rPr>
        <w:t xml:space="preserve"> </w:t>
      </w:r>
      <w:r>
        <w:rPr>
          <w:spacing w:val="6"/>
        </w:rPr>
        <w:t>亿元大关、年</w:t>
      </w:r>
      <w:r>
        <w:rPr>
          <w:spacing w:val="13"/>
        </w:rPr>
        <w:t>均增长</w:t>
      </w:r>
      <w:r>
        <w:rPr>
          <w:spacing w:val="-34"/>
        </w:rPr>
        <w:t xml:space="preserve"> </w:t>
      </w:r>
      <w:r>
        <w:rPr>
          <w:spacing w:val="13"/>
        </w:rPr>
        <w:t>7.3%以上</w:t>
      </w:r>
      <w:r>
        <w:rPr>
          <w:spacing w:val="-53"/>
        </w:rPr>
        <w:t xml:space="preserve"> </w:t>
      </w:r>
      <w:r>
        <w:rPr>
          <w:spacing w:val="13"/>
        </w:rPr>
        <w:t>，人均地区生产总值接</w:t>
      </w:r>
      <w:r>
        <w:rPr>
          <w:spacing w:val="12"/>
        </w:rPr>
        <w:t>近</w:t>
      </w:r>
      <w:r>
        <w:rPr>
          <w:spacing w:val="-36"/>
        </w:rPr>
        <w:t xml:space="preserve"> </w:t>
      </w:r>
      <w:r>
        <w:rPr>
          <w:spacing w:val="12"/>
        </w:rPr>
        <w:t>4</w:t>
      </w:r>
      <w:r>
        <w:rPr>
          <w:spacing w:val="9"/>
        </w:rPr>
        <w:t>万元</w:t>
      </w:r>
      <w:r>
        <w:rPr>
          <w:spacing w:val="-51"/>
        </w:rPr>
        <w:t xml:space="preserve"> </w:t>
      </w:r>
      <w:r>
        <w:rPr>
          <w:spacing w:val="9"/>
        </w:rPr>
        <w:t>，研发经费投入强度</w:t>
      </w:r>
      <w:r>
        <w:rPr>
          <w:spacing w:val="-22"/>
        </w:rPr>
        <w:t xml:space="preserve"> </w:t>
      </w:r>
      <w:r>
        <w:rPr>
          <w:spacing w:val="9"/>
        </w:rPr>
        <w:t>1%以上</w:t>
      </w:r>
      <w:r>
        <w:rPr>
          <w:spacing w:val="-59"/>
        </w:rPr>
        <w:t xml:space="preserve"> </w:t>
      </w:r>
      <w:r>
        <w:rPr>
          <w:spacing w:val="9"/>
        </w:rPr>
        <w:t>，财政自给</w:t>
      </w:r>
      <w:r>
        <w:rPr>
          <w:spacing w:val="8"/>
        </w:rPr>
        <w:t>率达到</w:t>
      </w:r>
      <w:r>
        <w:rPr>
          <w:spacing w:val="-20"/>
        </w:rPr>
        <w:t xml:space="preserve"> </w:t>
      </w:r>
      <w:r>
        <w:rPr>
          <w:spacing w:val="8"/>
        </w:rPr>
        <w:t>10%，全市经济综合实力、创新能力和</w:t>
      </w:r>
      <w:r>
        <w:rPr>
          <w:spacing w:val="7"/>
        </w:rPr>
        <w:t>可持续发展能力显著增强。三次产业结构调整</w:t>
      </w:r>
      <w:r>
        <w:rPr>
          <w:spacing w:val="3"/>
        </w:rPr>
        <w:t>优化到</w:t>
      </w:r>
      <w:r>
        <w:rPr>
          <w:spacing w:val="-24"/>
        </w:rPr>
        <w:t xml:space="preserve"> </w:t>
      </w:r>
      <w:r>
        <w:rPr>
          <w:spacing w:val="3"/>
        </w:rPr>
        <w:t>14:30:56，农业综合效益达到全区平均</w:t>
      </w:r>
      <w:r>
        <w:rPr>
          <w:spacing w:val="7"/>
        </w:rPr>
        <w:t>水平，工业集群化规模化现代化发展水平不断</w:t>
      </w:r>
      <w:r>
        <w:rPr>
          <w:spacing w:val="7"/>
        </w:rPr>
        <w:t>提升，服务业新业态新模式不断涌现，特色农</w:t>
      </w:r>
      <w:r>
        <w:rPr>
          <w:spacing w:val="7"/>
        </w:rPr>
        <w:t>业、纺织服装、生态经济、文化旅游等产业链</w:t>
      </w:r>
      <w:r>
        <w:rPr>
          <w:spacing w:val="8"/>
        </w:rPr>
        <w:t>条成形成势，初步形成实体经济、科技创新、</w:t>
      </w:r>
      <w:r>
        <w:rPr>
          <w:spacing w:val="7"/>
        </w:rPr>
        <w:t>现代金融、人力资源协同发展的现代生态产业</w:t>
      </w:r>
      <w:r>
        <w:rPr>
          <w:spacing w:val="5"/>
        </w:rPr>
        <w:t>体系。</w:t>
      </w:r>
    </w:p>
    <w:p>
      <w:pPr>
        <w:pStyle w:val="BodyText"/>
        <w:ind w:left="3" w:right="94" w:firstLine="422"/>
        <w:spacing w:before="15" w:line="297" w:lineRule="auto"/>
        <w:outlineLvl w:val="0"/>
        <w:rPr/>
      </w:pPr>
      <w:r>
        <w:rPr>
          <w:spacing w:val="6"/>
        </w:rPr>
        <w:t>生态建设实现新突破。国土空间开发保护</w:t>
      </w:r>
      <w:r>
        <w:rPr>
          <w:spacing w:val="7"/>
        </w:rPr>
        <w:t>格局持续优化，生态文明体制机制更加健全，</w:t>
      </w:r>
    </w:p>
    <w:p>
      <w:pPr>
        <w:pStyle w:val="BodyText"/>
        <w:ind w:right="96" w:firstLine="3"/>
        <w:spacing w:before="160" w:line="367" w:lineRule="auto"/>
        <w:jc w:val="both"/>
        <w:rPr/>
      </w:pPr>
      <w:r>
        <w:rPr>
          <w:spacing w:val="7"/>
        </w:rPr>
        <w:t>绿色生产生活方式加快形成，现代化生态保护</w:t>
      </w:r>
      <w:r>
        <w:rPr>
          <w:spacing w:val="7"/>
        </w:rPr>
        <w:t>体系、污染治理体系、水源涵养体系、资源利</w:t>
      </w:r>
      <w:r>
        <w:rPr>
          <w:spacing w:val="7"/>
        </w:rPr>
        <w:t>用体系、绿色发展体系、防洪减灾体系基本形</w:t>
      </w:r>
      <w:r>
        <w:rPr>
          <w:spacing w:val="7"/>
        </w:rPr>
        <w:t>成。南部水源涵养区建设扩面提质取得重大进</w:t>
      </w:r>
      <w:r>
        <w:rPr>
          <w:spacing w:val="7"/>
        </w:rPr>
        <w:t>展，主要污染物排放总量持续减少，生态环境</w:t>
      </w:r>
      <w:r>
        <w:rPr>
          <w:spacing w:val="9"/>
        </w:rPr>
        <w:t>质量持续改善，全市优良天数比例保持在</w:t>
      </w:r>
      <w:r>
        <w:rPr>
          <w:spacing w:val="-40"/>
        </w:rPr>
        <w:t xml:space="preserve"> </w:t>
      </w:r>
      <w:r>
        <w:rPr>
          <w:spacing w:val="9"/>
        </w:rPr>
        <w:t>90%</w:t>
      </w:r>
      <w:r>
        <w:rPr>
          <w:spacing w:val="7"/>
        </w:rPr>
        <w:t>以上，</w:t>
      </w:r>
      <w:r>
        <w:rPr/>
        <w:t>PM</w:t>
      </w:r>
      <w:r>
        <w:rPr>
          <w:sz w:val="10"/>
          <w:szCs w:val="10"/>
          <w:spacing w:val="7"/>
          <w:position w:val="-4"/>
        </w:rPr>
        <w:t>2.5</w:t>
      </w:r>
      <w:r>
        <w:rPr>
          <w:sz w:val="10"/>
          <w:szCs w:val="10"/>
          <w:spacing w:val="-18"/>
          <w:position w:val="-4"/>
        </w:rPr>
        <w:t xml:space="preserve"> </w:t>
      </w:r>
      <w:r>
        <w:rPr>
          <w:spacing w:val="7"/>
        </w:rPr>
        <w:t>浓度控制在</w:t>
      </w:r>
      <w:r>
        <w:rPr>
          <w:spacing w:val="-39"/>
        </w:rPr>
        <w:t xml:space="preserve"> </w:t>
      </w:r>
      <w:r>
        <w:rPr>
          <w:spacing w:val="7"/>
        </w:rPr>
        <w:t>32</w:t>
      </w:r>
      <w:r>
        <w:rPr>
          <w:spacing w:val="-42"/>
        </w:rPr>
        <w:t xml:space="preserve"> </w:t>
      </w:r>
      <w:r>
        <w:rPr>
          <w:spacing w:val="7"/>
        </w:rPr>
        <w:t>微克/立方米</w:t>
      </w:r>
      <w:r>
        <w:rPr>
          <w:spacing w:val="6"/>
        </w:rPr>
        <w:t>以内，</w:t>
      </w:r>
      <w:r>
        <w:rPr/>
        <w:t xml:space="preserve"> </w:t>
      </w:r>
      <w:r>
        <w:rPr>
          <w:spacing w:val="14"/>
        </w:rPr>
        <w:t>8</w:t>
      </w:r>
      <w:r>
        <w:rPr>
          <w:spacing w:val="-42"/>
        </w:rPr>
        <w:t xml:space="preserve"> </w:t>
      </w:r>
      <w:r>
        <w:rPr>
          <w:spacing w:val="14"/>
        </w:rPr>
        <w:t>个国控断面水质优良比例保持在80%以上，</w:t>
      </w:r>
      <w:r>
        <w:rPr>
          <w:spacing w:val="6"/>
        </w:rPr>
        <w:t>森林覆盖率达到</w:t>
      </w:r>
      <w:r>
        <w:rPr>
          <w:spacing w:val="-20"/>
        </w:rPr>
        <w:t xml:space="preserve"> </w:t>
      </w:r>
      <w:r>
        <w:rPr>
          <w:spacing w:val="6"/>
        </w:rPr>
        <w:t>33.6%</w:t>
      </w:r>
      <w:r>
        <w:rPr>
          <w:spacing w:val="-60"/>
        </w:rPr>
        <w:t xml:space="preserve"> </w:t>
      </w:r>
      <w:r>
        <w:rPr>
          <w:spacing w:val="6"/>
        </w:rPr>
        <w:t>，固原的天更蓝、水更</w:t>
      </w:r>
      <w:r>
        <w:rPr>
          <w:spacing w:val="7"/>
        </w:rPr>
        <w:t>清、山更绿。六盘山国家公园建设取得实质性</w:t>
      </w:r>
      <w:r>
        <w:rPr>
          <w:spacing w:val="7"/>
        </w:rPr>
        <w:t>进展，绿水青山就是金山银山实践创新基地建</w:t>
      </w:r>
      <w:r>
        <w:rPr>
          <w:spacing w:val="7"/>
        </w:rPr>
        <w:t>设取得新成效，建成国家森林城市和生态文明</w:t>
      </w:r>
      <w:r>
        <w:rPr>
          <w:spacing w:val="9"/>
        </w:rPr>
        <w:t>建设示范市，生态安全屏障更加牢固。</w:t>
      </w:r>
    </w:p>
    <w:p>
      <w:pPr>
        <w:pStyle w:val="BodyText"/>
        <w:ind w:left="8" w:right="101" w:firstLine="417"/>
        <w:spacing w:before="19" w:line="294" w:lineRule="auto"/>
        <w:outlineLvl w:val="0"/>
        <w:rPr/>
      </w:pPr>
      <w:r>
        <w:rPr>
          <w:spacing w:val="6"/>
        </w:rPr>
        <w:t>改革开放实现新突破。高质量发展、高效</w:t>
      </w:r>
      <w:r>
        <w:rPr>
          <w:spacing w:val="7"/>
        </w:rPr>
        <w:t>能治理、高品质生活的体制机制更加完善，适</w:t>
      </w:r>
    </w:p>
    <w:p>
      <w:pPr>
        <w:spacing w:line="294" w:lineRule="auto"/>
        <w:sectPr>
          <w:type w:val="continuous"/>
          <w:pgSz w:w="11906" w:h="16839"/>
          <w:pgMar w:top="1793" w:right="1489" w:bottom="1672" w:left="1560" w:header="1428" w:footer="1277" w:gutter="0"/>
          <w:cols w:equalWidth="0" w:num="2">
            <w:col w:w="4507" w:space="100"/>
            <w:col w:w="4251" w:space="0"/>
          </w:cols>
        </w:sectPr>
        <w:rPr/>
      </w:pPr>
    </w:p>
    <w:p>
      <w:pPr>
        <w:spacing w:before="42"/>
        <w:rPr/>
      </w:pPr>
      <w:r/>
    </w:p>
    <w:p>
      <w:pPr>
        <w:sectPr>
          <w:headerReference w:type="default" r:id="rId172"/>
          <w:footerReference w:type="default" r:id="rId173"/>
          <w:pgSz w:w="11906" w:h="16839"/>
          <w:pgMar w:top="1793" w:right="1509" w:bottom="1570" w:left="1565" w:header="1428" w:footer="1172" w:gutter="0"/>
          <w:cols w:equalWidth="0" w:num="1">
            <w:col w:w="8831" w:space="0"/>
          </w:cols>
        </w:sectPr>
        <w:rPr/>
      </w:pPr>
    </w:p>
    <w:p>
      <w:pPr>
        <w:pStyle w:val="BodyText"/>
        <w:ind w:left="25" w:right="229" w:firstLine="1"/>
        <w:spacing w:before="54" w:line="368" w:lineRule="auto"/>
        <w:jc w:val="both"/>
        <w:rPr/>
      </w:pPr>
      <w:r>
        <w:rPr>
          <w:spacing w:val="7"/>
        </w:rPr>
        <w:t>应新发展格局、顺应高质量发展的政府治理体</w:t>
      </w:r>
      <w:r>
        <w:rPr>
          <w:spacing w:val="7"/>
        </w:rPr>
        <w:t>系、经济发展机制基本建立，资源配置效率明</w:t>
      </w:r>
      <w:r>
        <w:rPr>
          <w:spacing w:val="13"/>
        </w:rPr>
        <w:t>显提升。“放管服”改革纵深推进</w:t>
      </w:r>
      <w:r>
        <w:rPr>
          <w:spacing w:val="-51"/>
        </w:rPr>
        <w:t xml:space="preserve"> </w:t>
      </w:r>
      <w:r>
        <w:rPr>
          <w:spacing w:val="13"/>
        </w:rPr>
        <w:t>，“</w:t>
      </w:r>
      <w:r>
        <w:rPr>
          <w:spacing w:val="-75"/>
        </w:rPr>
        <w:t xml:space="preserve"> </w:t>
      </w:r>
      <w:r>
        <w:rPr>
          <w:spacing w:val="13"/>
        </w:rPr>
        <w:t>163”</w:t>
      </w:r>
      <w:r>
        <w:rPr>
          <w:spacing w:val="7"/>
        </w:rPr>
        <w:t>政务服务模式全市域贯通，实现全领域、全流</w:t>
      </w:r>
      <w:r>
        <w:rPr>
          <w:spacing w:val="7"/>
        </w:rPr>
        <w:t>程一网通办，政务服务更加高效便捷，市场活</w:t>
      </w:r>
      <w:r>
        <w:rPr>
          <w:spacing w:val="7"/>
        </w:rPr>
        <w:t>力社会活力充分激发。闽宁协作典范作用进一</w:t>
      </w:r>
      <w:r>
        <w:rPr>
          <w:spacing w:val="15"/>
        </w:rPr>
        <w:t>步发挥</w:t>
      </w:r>
      <w:r>
        <w:rPr>
          <w:spacing w:val="-39"/>
        </w:rPr>
        <w:t xml:space="preserve"> </w:t>
      </w:r>
      <w:r>
        <w:rPr>
          <w:spacing w:val="15"/>
        </w:rPr>
        <w:t>，深度融入黄河流域一体化发展大格</w:t>
      </w:r>
      <w:r>
        <w:rPr>
          <w:spacing w:val="7"/>
        </w:rPr>
        <w:t>局，生态保护区域联调联动、毗邻地区合作等</w:t>
      </w:r>
      <w:r>
        <w:rPr>
          <w:spacing w:val="8"/>
        </w:rPr>
        <w:t>跨区域协作机制深入推进。</w:t>
      </w:r>
    </w:p>
    <w:p>
      <w:pPr>
        <w:pStyle w:val="BodyText"/>
        <w:ind w:left="446"/>
        <w:spacing w:before="10" w:line="220" w:lineRule="auto"/>
        <w:rPr/>
      </w:pPr>
      <w:r>
        <w:rPr>
          <w:spacing w:val="7"/>
        </w:rPr>
        <w:t>社会文明实现新突破。社会主义核心价值</w:t>
      </w:r>
    </w:p>
    <w:p>
      <w:pPr>
        <w:pStyle w:val="BodyText"/>
        <w:ind w:left="31"/>
        <w:spacing w:before="160" w:line="223" w:lineRule="auto"/>
        <w:outlineLvl w:val="0"/>
        <w:rPr/>
      </w:pPr>
      <w:r>
        <w:rPr>
          <w:spacing w:val="7"/>
        </w:rPr>
        <w:t>观深入人心，“不到长城非好汉”的革命精神</w:t>
      </w:r>
    </w:p>
    <w:p>
      <w:pPr>
        <w:pStyle w:val="BodyText"/>
        <w:ind w:left="24" w:right="248" w:firstLine="4"/>
        <w:spacing w:before="154" w:line="370" w:lineRule="auto"/>
        <w:jc w:val="both"/>
        <w:rPr/>
      </w:pPr>
      <w:r>
        <w:rPr>
          <w:spacing w:val="7"/>
        </w:rPr>
        <w:t>广受推崇，全民思想道德素质、科学文化素质</w:t>
      </w:r>
      <w:r>
        <w:rPr>
          <w:spacing w:val="15"/>
        </w:rPr>
        <w:t>和身心健康素质明显提高</w:t>
      </w:r>
      <w:r>
        <w:rPr>
          <w:spacing w:val="-38"/>
        </w:rPr>
        <w:t xml:space="preserve"> </w:t>
      </w:r>
      <w:r>
        <w:rPr>
          <w:spacing w:val="15"/>
        </w:rPr>
        <w:t>，思想观念深度转</w:t>
      </w:r>
      <w:r>
        <w:rPr>
          <w:spacing w:val="7"/>
        </w:rPr>
        <w:t>变，社会文明程度显著提升，全国文明城市创</w:t>
      </w:r>
      <w:r>
        <w:rPr>
          <w:spacing w:val="1"/>
        </w:rPr>
        <w:t>建取得阶段性成果。固原黄河文化、红色文化、</w:t>
      </w:r>
      <w:r>
        <w:rPr>
          <w:spacing w:val="7"/>
        </w:rPr>
        <w:t>农耕文化、生态文化全面传承发展，公共文化</w:t>
      </w:r>
      <w:r>
        <w:rPr>
          <w:spacing w:val="11"/>
        </w:rPr>
        <w:t>服务体系更加完善、文化产业体系加快形成，</w:t>
      </w:r>
      <w:r>
        <w:rPr>
          <w:spacing w:val="7"/>
        </w:rPr>
        <w:t>人民群众精神文化生活日益丰富，文化自信充</w:t>
      </w:r>
      <w:r>
        <w:rPr>
          <w:spacing w:val="9"/>
        </w:rPr>
        <w:t>分彰显，文化强市建设取得新进展。</w:t>
      </w:r>
    </w:p>
    <w:p>
      <w:pPr>
        <w:pStyle w:val="BodyText"/>
        <w:ind w:left="466"/>
        <w:spacing w:line="219" w:lineRule="auto"/>
        <w:rPr/>
      </w:pPr>
      <w:r>
        <w:rPr>
          <w:spacing w:val="5"/>
        </w:rPr>
        <w:t>民生水平实现新突破。居民人均可支配收</w:t>
      </w:r>
    </w:p>
    <w:p>
      <w:pPr>
        <w:pStyle w:val="BodyText"/>
        <w:ind w:left="27"/>
        <w:spacing w:before="155" w:line="278" w:lineRule="exact"/>
        <w:outlineLvl w:val="0"/>
        <w:rPr/>
      </w:pPr>
      <w:r>
        <w:rPr>
          <w:spacing w:val="7"/>
          <w:position w:val="1"/>
        </w:rPr>
        <w:t>入达到</w:t>
      </w:r>
      <w:r>
        <w:rPr>
          <w:spacing w:val="-20"/>
          <w:position w:val="1"/>
        </w:rPr>
        <w:t xml:space="preserve"> </w:t>
      </w:r>
      <w:r>
        <w:rPr>
          <w:spacing w:val="7"/>
          <w:position w:val="1"/>
        </w:rPr>
        <w:t>3</w:t>
      </w:r>
      <w:r>
        <w:rPr>
          <w:spacing w:val="-35"/>
          <w:position w:val="1"/>
        </w:rPr>
        <w:t xml:space="preserve"> </w:t>
      </w:r>
      <w:r>
        <w:rPr>
          <w:spacing w:val="7"/>
          <w:position w:val="1"/>
        </w:rPr>
        <w:t>万元以上</w:t>
      </w:r>
      <w:r>
        <w:rPr>
          <w:spacing w:val="-56"/>
          <w:position w:val="1"/>
        </w:rPr>
        <w:t xml:space="preserve"> </w:t>
      </w:r>
      <w:r>
        <w:rPr>
          <w:spacing w:val="7"/>
          <w:position w:val="1"/>
        </w:rPr>
        <w:t>，年均增长</w:t>
      </w:r>
      <w:r>
        <w:rPr>
          <w:spacing w:val="-32"/>
          <w:position w:val="1"/>
        </w:rPr>
        <w:t xml:space="preserve"> </w:t>
      </w:r>
      <w:r>
        <w:rPr>
          <w:spacing w:val="7"/>
          <w:position w:val="1"/>
        </w:rPr>
        <w:t>8.6%</w:t>
      </w:r>
      <w:r>
        <w:rPr>
          <w:spacing w:val="-57"/>
          <w:position w:val="1"/>
        </w:rPr>
        <w:t xml:space="preserve"> </w:t>
      </w:r>
      <w:r>
        <w:rPr>
          <w:spacing w:val="7"/>
          <w:position w:val="1"/>
        </w:rPr>
        <w:t>，高于同</w:t>
      </w:r>
    </w:p>
    <w:p>
      <w:pPr>
        <w:pStyle w:val="BodyText"/>
        <w:ind w:left="25" w:right="329"/>
        <w:spacing w:before="127" w:line="386" w:lineRule="auto"/>
        <w:rPr/>
      </w:pPr>
      <w:r>
        <w:rPr>
          <w:spacing w:val="7"/>
        </w:rPr>
        <w:t>期经济增长，城乡居民收入比逐步缩小。实现</w:t>
      </w:r>
      <w:r>
        <w:rPr>
          <w:spacing w:val="12"/>
        </w:rPr>
        <w:t>更加充分更高质量就业，新增城镇就业人口4</w:t>
      </w:r>
    </w:p>
    <w:p>
      <w:pPr>
        <w:spacing w:line="14" w:lineRule="auto"/>
        <w:rPr>
          <w:rFonts w:ascii="Arial"/>
          <w:sz w:val="2"/>
        </w:rPr>
      </w:pPr>
      <w:r>
        <w:rPr>
          <w:rFonts w:ascii="Arial" w:hAnsi="Arial" w:eastAsia="Arial" w:cs="Arial"/>
          <w:sz w:val="2"/>
          <w:szCs w:val="2"/>
        </w:rPr>
        <w:br w:type="column"/>
      </w:r>
    </w:p>
    <w:p>
      <w:pPr>
        <w:pStyle w:val="BodyText"/>
        <w:ind w:firstLine="2"/>
        <w:spacing w:before="41" w:line="370" w:lineRule="auto"/>
        <w:jc w:val="both"/>
        <w:rPr/>
      </w:pPr>
      <w:r>
        <w:rPr>
          <w:spacing w:val="7"/>
        </w:rPr>
        <w:t>万人以上，城镇调查失业率控制在</w:t>
      </w:r>
      <w:r>
        <w:rPr>
          <w:spacing w:val="-31"/>
        </w:rPr>
        <w:t xml:space="preserve"> </w:t>
      </w:r>
      <w:r>
        <w:rPr>
          <w:spacing w:val="7"/>
        </w:rPr>
        <w:t>5.5%以内。</w:t>
      </w:r>
      <w:r>
        <w:rPr>
          <w:spacing w:val="7"/>
        </w:rPr>
        <w:t>全民受教育程度和教育质量明显提高，劳动年</w:t>
      </w:r>
      <w:r>
        <w:rPr/>
        <w:t>龄人口平均受教育年限提高到</w:t>
      </w:r>
      <w:r>
        <w:rPr>
          <w:spacing w:val="-11"/>
        </w:rPr>
        <w:t xml:space="preserve"> </w:t>
      </w:r>
      <w:r>
        <w:rPr/>
        <w:t>11.3</w:t>
      </w:r>
      <w:r>
        <w:rPr>
          <w:spacing w:val="-41"/>
        </w:rPr>
        <w:t xml:space="preserve"> </w:t>
      </w:r>
      <w:r>
        <w:rPr/>
        <w:t>年。医疗保</w:t>
      </w:r>
      <w:r>
        <w:rPr>
          <w:spacing w:val="7"/>
        </w:rPr>
        <w:t>障和疾病防控体系更加完善，居民主要健康指</w:t>
      </w:r>
      <w:r>
        <w:rPr>
          <w:spacing w:val="7"/>
        </w:rPr>
        <w:t>标达到全区平均水平。多层次社会保障体系更</w:t>
      </w:r>
      <w:r>
        <w:rPr>
          <w:spacing w:val="10"/>
        </w:rPr>
        <w:t>加健全，社会保障待遇水平、人均民生投入、</w:t>
      </w:r>
      <w:r>
        <w:rPr>
          <w:spacing w:val="10"/>
        </w:rPr>
        <w:t>基本公共服务均等化水平达到全区平均水平。</w:t>
      </w:r>
      <w:r>
        <w:rPr>
          <w:spacing w:val="7"/>
        </w:rPr>
        <w:t>脱贫攻坚成果不断巩固拓展，乡村振兴战略全</w:t>
      </w:r>
      <w:r>
        <w:rPr>
          <w:spacing w:val="7"/>
        </w:rPr>
        <w:t>面推进。高质量建设宁夏副中心城市，初步建</w:t>
      </w:r>
      <w:r>
        <w:rPr>
          <w:spacing w:val="5"/>
        </w:rPr>
        <w:t>成智慧城市，“</w:t>
      </w:r>
      <w:r>
        <w:rPr>
          <w:spacing w:val="-62"/>
        </w:rPr>
        <w:t xml:space="preserve"> </w:t>
      </w:r>
      <w:r>
        <w:rPr>
          <w:spacing w:val="5"/>
        </w:rPr>
        <w:t>1411”城镇体系服务功能更趋</w:t>
      </w:r>
      <w:r>
        <w:rPr>
          <w:spacing w:val="7"/>
        </w:rPr>
        <w:t>完善、质量明显提升，常住人口城镇化率达到</w:t>
      </w:r>
      <w:r>
        <w:rPr>
          <w:spacing w:val="16"/>
        </w:rPr>
        <w:t>60%左右。</w:t>
      </w:r>
    </w:p>
    <w:p>
      <w:pPr>
        <w:pStyle w:val="BodyText"/>
        <w:ind w:left="423"/>
        <w:spacing w:line="219" w:lineRule="auto"/>
        <w:rPr/>
      </w:pPr>
      <w:r>
        <w:rPr>
          <w:spacing w:val="6"/>
        </w:rPr>
        <w:t>治理效能实现新突破。社会主义民主法治</w:t>
      </w:r>
    </w:p>
    <w:p>
      <w:pPr>
        <w:pStyle w:val="BodyText"/>
        <w:spacing w:before="160" w:line="223" w:lineRule="auto"/>
        <w:outlineLvl w:val="0"/>
        <w:jc w:val="right"/>
        <w:rPr/>
      </w:pPr>
      <w:r>
        <w:rPr>
          <w:spacing w:val="1"/>
        </w:rPr>
        <w:t>实践更加广泛深入，政府诚信度、行政执行力、</w:t>
      </w:r>
    </w:p>
    <w:p>
      <w:pPr>
        <w:pStyle w:val="BodyText"/>
        <w:ind w:firstLine="12"/>
        <w:spacing w:before="159" w:line="369" w:lineRule="auto"/>
        <w:jc w:val="both"/>
        <w:rPr/>
      </w:pPr>
      <w:r>
        <w:rPr>
          <w:spacing w:val="6"/>
        </w:rPr>
        <w:t>司法公信力显著提升，乡村、社区、宗教、校</w:t>
      </w:r>
      <w:r>
        <w:rPr>
          <w:spacing w:val="7"/>
        </w:rPr>
        <w:t>园、企业、社团等重点领域治理能力和治理水</w:t>
      </w:r>
      <w:r>
        <w:rPr>
          <w:spacing w:val="10"/>
        </w:rPr>
        <w:t>平明显提升。重大风险防范、突发事件应对、</w:t>
      </w:r>
      <w:r>
        <w:rPr>
          <w:spacing w:val="11"/>
        </w:rPr>
        <w:t>公共事件处置、自然灾害防御能力明显增强，</w:t>
      </w:r>
      <w:r>
        <w:rPr>
          <w:spacing w:val="7"/>
        </w:rPr>
        <w:t>发展安全保障更加有力。巩固提升全国民族团</w:t>
      </w:r>
      <w:r>
        <w:rPr>
          <w:spacing w:val="7"/>
        </w:rPr>
        <w:t>结进步示范市成果，西吉县、隆德县创成全国</w:t>
      </w:r>
      <w:r>
        <w:rPr>
          <w:spacing w:val="7"/>
        </w:rPr>
        <w:t>民族团结进步示范县，中华民族共同体意识全</w:t>
      </w:r>
      <w:r>
        <w:rPr>
          <w:spacing w:val="1"/>
        </w:rPr>
        <w:t>面增强，宗教中国化方向深入推进，民族团结、</w:t>
      </w:r>
      <w:r>
        <w:rPr>
          <w:spacing w:val="9"/>
        </w:rPr>
        <w:t>宗教和顺、社会和谐的良好局面更加稳固。</w:t>
      </w:r>
    </w:p>
    <w:p>
      <w:pPr>
        <w:spacing w:line="369" w:lineRule="auto"/>
        <w:sectPr>
          <w:type w:val="continuous"/>
          <w:pgSz w:w="11906" w:h="16839"/>
          <w:pgMar w:top="1793" w:right="1509" w:bottom="1570" w:left="1565" w:header="1428" w:footer="1172" w:gutter="0"/>
          <w:cols w:equalWidth="0" w:num="2">
            <w:col w:w="4503" w:space="100"/>
            <w:col w:w="4228" w:space="0"/>
          </w:cols>
        </w:sectPr>
        <w:rPr/>
      </w:pPr>
    </w:p>
    <w:p>
      <w:pPr>
        <w:ind w:left="1794"/>
        <w:spacing w:before="98" w:line="216" w:lineRule="auto"/>
        <w:rPr>
          <w:rFonts w:ascii="Microsoft YaHei" w:hAnsi="Microsoft YaHei" w:eastAsia="Microsoft YaHei" w:cs="Microsoft YaHei"/>
          <w:sz w:val="20"/>
          <w:szCs w:val="20"/>
        </w:rPr>
      </w:pPr>
      <w:r>
        <w:drawing>
          <wp:anchor distT="0" distB="0" distL="0" distR="0" simplePos="0" relativeHeight="251760640" behindDoc="0" locked="0" layoutInCell="1" allowOverlap="1">
            <wp:simplePos x="0" y="0"/>
            <wp:positionH relativeFrom="column">
              <wp:posOffset>14351</wp:posOffset>
            </wp:positionH>
            <wp:positionV relativeFrom="paragraph">
              <wp:posOffset>-6052336</wp:posOffset>
            </wp:positionV>
            <wp:extent cx="5579745" cy="7619"/>
            <wp:effectExtent l="0" t="0" r="0" b="0"/>
            <wp:wrapNone/>
            <wp:docPr id="344" name="IM 344"/>
            <wp:cNvGraphicFramePr/>
            <a:graphic>
              <a:graphicData uri="http://schemas.openxmlformats.org/drawingml/2006/picture">
                <pic:pic>
                  <pic:nvPicPr>
                    <pic:cNvPr id="344" name="IM 344"/>
                    <pic:cNvPicPr/>
                  </pic:nvPicPr>
                  <pic:blipFill>
                    <a:blip r:embed="rId174"/>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6"/>
        </w:rPr>
        <w:t>专栏 2</w:t>
      </w:r>
      <w:r>
        <w:rPr>
          <w:rFonts w:ascii="Microsoft YaHei" w:hAnsi="Microsoft YaHei" w:eastAsia="Microsoft YaHei" w:cs="Microsoft YaHei"/>
          <w:sz w:val="20"/>
          <w:szCs w:val="20"/>
          <w:spacing w:val="19"/>
          <w:w w:val="101"/>
        </w:rPr>
        <w:t xml:space="preserve">   </w:t>
      </w:r>
      <w:r>
        <w:rPr>
          <w:rFonts w:ascii="Microsoft YaHei" w:hAnsi="Microsoft YaHei" w:eastAsia="Microsoft YaHei" w:cs="Microsoft YaHei"/>
          <w:sz w:val="20"/>
          <w:szCs w:val="20"/>
          <w:spacing w:val="6"/>
        </w:rPr>
        <w:t>固原市“</w:t>
      </w:r>
      <w:r>
        <w:rPr>
          <w:rFonts w:ascii="Microsoft YaHei" w:hAnsi="Microsoft YaHei" w:eastAsia="Microsoft YaHei" w:cs="Microsoft YaHei"/>
          <w:sz w:val="20"/>
          <w:szCs w:val="20"/>
          <w:spacing w:val="-44"/>
        </w:rPr>
        <w:t xml:space="preserve"> </w:t>
      </w:r>
      <w:r>
        <w:rPr>
          <w:rFonts w:ascii="Microsoft YaHei" w:hAnsi="Microsoft YaHei" w:eastAsia="Microsoft YaHei" w:cs="Microsoft YaHei"/>
          <w:sz w:val="20"/>
          <w:szCs w:val="20"/>
          <w:spacing w:val="6"/>
        </w:rPr>
        <w:t>十四五”</w:t>
      </w:r>
      <w:r>
        <w:rPr>
          <w:rFonts w:ascii="Microsoft YaHei" w:hAnsi="Microsoft YaHei" w:eastAsia="Microsoft YaHei" w:cs="Microsoft YaHei"/>
          <w:sz w:val="20"/>
          <w:szCs w:val="20"/>
          <w:spacing w:val="-38"/>
        </w:rPr>
        <w:t xml:space="preserve"> </w:t>
      </w:r>
      <w:r>
        <w:rPr>
          <w:rFonts w:ascii="Microsoft YaHei" w:hAnsi="Microsoft YaHei" w:eastAsia="Microsoft YaHei" w:cs="Microsoft YaHei"/>
          <w:sz w:val="20"/>
          <w:szCs w:val="20"/>
          <w:spacing w:val="6"/>
        </w:rPr>
        <w:t>时期经济社会发展</w:t>
      </w:r>
      <w:r>
        <w:rPr>
          <w:rFonts w:ascii="Microsoft YaHei" w:hAnsi="Microsoft YaHei" w:eastAsia="Microsoft YaHei" w:cs="Microsoft YaHei"/>
          <w:sz w:val="20"/>
          <w:szCs w:val="20"/>
          <w:spacing w:val="5"/>
        </w:rPr>
        <w:t>主要指标表</w:t>
      </w:r>
    </w:p>
    <w:p>
      <w:pPr>
        <w:spacing w:line="214" w:lineRule="exact"/>
        <w:rPr/>
      </w:pPr>
      <w:r/>
    </w:p>
    <w:tbl>
      <w:tblPr>
        <w:tblStyle w:val="TableNormal"/>
        <w:tblW w:w="8759"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90"/>
        <w:gridCol w:w="3853"/>
        <w:gridCol w:w="773"/>
        <w:gridCol w:w="777"/>
        <w:gridCol w:w="1550"/>
        <w:gridCol w:w="716"/>
      </w:tblGrid>
      <w:tr>
        <w:trPr>
          <w:trHeight w:val="366" w:hRule="atLeast"/>
        </w:trPr>
        <w:tc>
          <w:tcPr>
            <w:tcW w:w="1090" w:type="dxa"/>
            <w:vAlign w:val="top"/>
            <w:tcBorders>
              <w:left w:val="single" w:color="000000" w:sz="6" w:space="0"/>
              <w:top w:val="single" w:color="000000" w:sz="6" w:space="0"/>
            </w:tcBorders>
          </w:tcPr>
          <w:p>
            <w:pPr>
              <w:pStyle w:val="TableText"/>
              <w:ind w:left="358"/>
              <w:spacing w:before="102" w:line="211" w:lineRule="auto"/>
              <w:rPr/>
            </w:pPr>
            <w:r>
              <w:rPr>
                <w:b/>
                <w:bCs/>
                <w:spacing w:val="-3"/>
              </w:rPr>
              <w:t>类别</w:t>
            </w:r>
          </w:p>
        </w:tc>
        <w:tc>
          <w:tcPr>
            <w:tcW w:w="3853" w:type="dxa"/>
            <w:vAlign w:val="top"/>
            <w:tcBorders>
              <w:top w:val="single" w:color="000000" w:sz="6" w:space="0"/>
            </w:tcBorders>
          </w:tcPr>
          <w:p>
            <w:pPr>
              <w:pStyle w:val="TableText"/>
              <w:ind w:left="1564"/>
              <w:spacing w:before="103" w:line="211" w:lineRule="auto"/>
              <w:rPr/>
            </w:pPr>
            <w:r>
              <w:rPr>
                <w:b/>
                <w:bCs/>
                <w:spacing w:val="-3"/>
              </w:rPr>
              <w:t>指标名称</w:t>
            </w:r>
          </w:p>
        </w:tc>
        <w:tc>
          <w:tcPr>
            <w:tcW w:w="773" w:type="dxa"/>
            <w:vAlign w:val="top"/>
            <w:tcBorders>
              <w:top w:val="single" w:color="000000" w:sz="6" w:space="0"/>
            </w:tcBorders>
          </w:tcPr>
          <w:p>
            <w:pPr>
              <w:pStyle w:val="TableText"/>
              <w:ind w:left="95"/>
              <w:spacing w:before="98" w:line="241" w:lineRule="exact"/>
              <w:rPr/>
            </w:pPr>
            <w:r>
              <w:rPr>
                <w:b/>
                <w:bCs/>
                <w:spacing w:val="-3"/>
                <w:position w:val="1"/>
              </w:rPr>
              <w:t>2020</w:t>
            </w:r>
            <w:r>
              <w:rPr>
                <w:spacing w:val="-42"/>
                <w:position w:val="1"/>
              </w:rPr>
              <w:t xml:space="preserve"> </w:t>
            </w:r>
            <w:r>
              <w:rPr>
                <w:b/>
                <w:bCs/>
                <w:spacing w:val="-3"/>
                <w:position w:val="1"/>
              </w:rPr>
              <w:t>年</w:t>
            </w:r>
          </w:p>
        </w:tc>
        <w:tc>
          <w:tcPr>
            <w:tcW w:w="777" w:type="dxa"/>
            <w:vAlign w:val="top"/>
            <w:tcBorders>
              <w:top w:val="single" w:color="000000" w:sz="6" w:space="0"/>
            </w:tcBorders>
          </w:tcPr>
          <w:p>
            <w:pPr>
              <w:pStyle w:val="TableText"/>
              <w:ind w:left="98"/>
              <w:spacing w:before="98" w:line="241" w:lineRule="exact"/>
              <w:rPr/>
            </w:pPr>
            <w:r>
              <w:rPr>
                <w:b/>
                <w:bCs/>
                <w:spacing w:val="-3"/>
                <w:position w:val="1"/>
              </w:rPr>
              <w:t>2025</w:t>
            </w:r>
            <w:r>
              <w:rPr>
                <w:spacing w:val="-40"/>
                <w:position w:val="1"/>
              </w:rPr>
              <w:t xml:space="preserve"> </w:t>
            </w:r>
            <w:r>
              <w:rPr>
                <w:b/>
                <w:bCs/>
                <w:spacing w:val="-3"/>
                <w:position w:val="1"/>
              </w:rPr>
              <w:t>年</w:t>
            </w:r>
          </w:p>
        </w:tc>
        <w:tc>
          <w:tcPr>
            <w:tcW w:w="1550" w:type="dxa"/>
            <w:vAlign w:val="top"/>
            <w:tcBorders>
              <w:top w:val="single" w:color="000000" w:sz="6" w:space="0"/>
            </w:tcBorders>
          </w:tcPr>
          <w:p>
            <w:pPr>
              <w:pStyle w:val="TableText"/>
              <w:ind w:left="190"/>
              <w:spacing w:before="98" w:line="241" w:lineRule="exact"/>
              <w:rPr/>
            </w:pPr>
            <w:r>
              <w:rPr>
                <w:b/>
                <w:bCs/>
                <w:spacing w:val="-8"/>
                <w:position w:val="1"/>
              </w:rPr>
              <w:t>年均增速[累计]</w:t>
            </w:r>
          </w:p>
        </w:tc>
        <w:tc>
          <w:tcPr>
            <w:tcW w:w="716" w:type="dxa"/>
            <w:vAlign w:val="top"/>
            <w:tcBorders>
              <w:right w:val="single" w:color="000000" w:sz="6" w:space="0"/>
              <w:top w:val="single" w:color="000000" w:sz="6" w:space="0"/>
            </w:tcBorders>
          </w:tcPr>
          <w:p>
            <w:pPr>
              <w:pStyle w:val="TableText"/>
              <w:ind w:left="180"/>
              <w:spacing w:before="106" w:line="207" w:lineRule="auto"/>
              <w:rPr/>
            </w:pPr>
            <w:r>
              <w:rPr>
                <w:b/>
                <w:bCs/>
                <w:spacing w:val="-5"/>
              </w:rPr>
              <w:t>属性</w:t>
            </w:r>
          </w:p>
        </w:tc>
      </w:tr>
      <w:tr>
        <w:trPr>
          <w:trHeight w:val="364" w:hRule="atLeast"/>
        </w:trPr>
        <w:tc>
          <w:tcPr>
            <w:tcW w:w="1090" w:type="dxa"/>
            <w:vAlign w:val="top"/>
            <w:vMerge w:val="restart"/>
            <w:tcBorders>
              <w:left w:val="single" w:color="000000" w:sz="6" w:space="0"/>
              <w:bottom w:val="nil"/>
            </w:tcBorders>
          </w:tcPr>
          <w:p>
            <w:pPr>
              <w:spacing w:line="413" w:lineRule="auto"/>
              <w:rPr>
                <w:rFonts w:ascii="Arial"/>
                <w:sz w:val="21"/>
              </w:rPr>
            </w:pPr>
            <w:r/>
          </w:p>
          <w:p>
            <w:pPr>
              <w:pStyle w:val="TableText"/>
              <w:ind w:left="181"/>
              <w:spacing w:before="58" w:line="214" w:lineRule="auto"/>
              <w:rPr/>
            </w:pPr>
            <w:r>
              <w:rPr>
                <w:spacing w:val="-2"/>
              </w:rPr>
              <w:t>经济发展</w:t>
            </w:r>
          </w:p>
        </w:tc>
        <w:tc>
          <w:tcPr>
            <w:tcW w:w="3853" w:type="dxa"/>
            <w:vAlign w:val="top"/>
          </w:tcPr>
          <w:p>
            <w:pPr>
              <w:pStyle w:val="TableText"/>
              <w:ind w:left="20"/>
              <w:spacing w:before="97" w:line="240" w:lineRule="exact"/>
              <w:rPr/>
            </w:pPr>
            <w:r>
              <w:rPr>
                <w:spacing w:val="-6"/>
                <w:position w:val="1"/>
              </w:rPr>
              <w:t>1.地区生产总值（亿元）</w:t>
            </w:r>
          </w:p>
        </w:tc>
        <w:tc>
          <w:tcPr>
            <w:tcW w:w="773" w:type="dxa"/>
            <w:vAlign w:val="top"/>
          </w:tcPr>
          <w:p>
            <w:pPr>
              <w:pStyle w:val="TableText"/>
              <w:ind w:left="146"/>
              <w:spacing w:before="97" w:line="256" w:lineRule="exact"/>
              <w:rPr/>
            </w:pPr>
            <w:r>
              <w:rPr>
                <w:spacing w:val="-10"/>
                <w:position w:val="1"/>
              </w:rPr>
              <w:t>352.46</w:t>
            </w:r>
          </w:p>
        </w:tc>
        <w:tc>
          <w:tcPr>
            <w:tcW w:w="777" w:type="dxa"/>
            <w:vAlign w:val="top"/>
          </w:tcPr>
          <w:p>
            <w:pPr>
              <w:pStyle w:val="TableText"/>
              <w:ind w:left="257"/>
              <w:spacing w:before="97" w:line="256" w:lineRule="exact"/>
              <w:rPr/>
            </w:pPr>
            <w:r>
              <w:rPr>
                <w:spacing w:val="-3"/>
                <w:position w:val="1"/>
              </w:rPr>
              <w:t>575</w:t>
            </w:r>
          </w:p>
        </w:tc>
        <w:tc>
          <w:tcPr>
            <w:tcW w:w="1550" w:type="dxa"/>
            <w:vAlign w:val="top"/>
          </w:tcPr>
          <w:p>
            <w:pPr>
              <w:pStyle w:val="TableText"/>
              <w:ind w:left="666"/>
              <w:spacing w:before="97" w:line="256" w:lineRule="exact"/>
              <w:rPr/>
            </w:pPr>
            <w:r>
              <w:rPr>
                <w:spacing w:val="-17"/>
                <w:position w:val="1"/>
              </w:rPr>
              <w:t>7.3</w:t>
            </w:r>
          </w:p>
        </w:tc>
        <w:tc>
          <w:tcPr>
            <w:tcW w:w="716" w:type="dxa"/>
            <w:vAlign w:val="top"/>
            <w:tcBorders>
              <w:right w:val="single" w:color="000000" w:sz="6" w:space="0"/>
            </w:tcBorders>
          </w:tcPr>
          <w:p>
            <w:pPr>
              <w:pStyle w:val="TableText"/>
              <w:ind w:left="91"/>
              <w:spacing w:before="101" w:line="211" w:lineRule="auto"/>
              <w:rPr/>
            </w:pPr>
            <w:r>
              <w:rPr>
                <w:spacing w:val="-3"/>
              </w:rPr>
              <w:t>预期性</w:t>
            </w:r>
          </w:p>
        </w:tc>
      </w:tr>
      <w:tr>
        <w:trPr>
          <w:trHeight w:val="364" w:hRule="atLeast"/>
        </w:trPr>
        <w:tc>
          <w:tcPr>
            <w:tcW w:w="1090" w:type="dxa"/>
            <w:vAlign w:val="top"/>
            <w:vMerge w:val="continue"/>
            <w:tcBorders>
              <w:left w:val="single" w:color="000000" w:sz="6" w:space="0"/>
              <w:top w:val="nil"/>
              <w:bottom w:val="nil"/>
            </w:tcBorders>
          </w:tcPr>
          <w:p>
            <w:pPr>
              <w:rPr>
                <w:rFonts w:ascii="Arial"/>
                <w:sz w:val="21"/>
              </w:rPr>
            </w:pPr>
            <w:r/>
          </w:p>
        </w:tc>
        <w:tc>
          <w:tcPr>
            <w:tcW w:w="3853" w:type="dxa"/>
            <w:vAlign w:val="top"/>
          </w:tcPr>
          <w:p>
            <w:pPr>
              <w:pStyle w:val="TableText"/>
              <w:ind w:left="5"/>
              <w:spacing w:before="97" w:line="241" w:lineRule="exact"/>
              <w:rPr/>
            </w:pPr>
            <w:r>
              <w:rPr>
                <w:position w:val="1"/>
              </w:rPr>
              <w:t>2.常住人口城镇化率（%）</w:t>
            </w:r>
          </w:p>
        </w:tc>
        <w:tc>
          <w:tcPr>
            <w:tcW w:w="773" w:type="dxa"/>
            <w:vAlign w:val="top"/>
          </w:tcPr>
          <w:p>
            <w:pPr>
              <w:pStyle w:val="TableText"/>
              <w:ind w:left="230"/>
              <w:spacing w:before="97" w:line="256" w:lineRule="exact"/>
              <w:rPr/>
            </w:pPr>
            <w:r>
              <w:rPr>
                <w:spacing w:val="-13"/>
                <w:position w:val="1"/>
              </w:rPr>
              <w:t>42.4</w:t>
            </w:r>
          </w:p>
        </w:tc>
        <w:tc>
          <w:tcPr>
            <w:tcW w:w="777" w:type="dxa"/>
            <w:vAlign w:val="top"/>
          </w:tcPr>
          <w:p>
            <w:pPr>
              <w:pStyle w:val="TableText"/>
              <w:ind w:left="98"/>
              <w:spacing w:before="97" w:line="246" w:lineRule="exact"/>
              <w:rPr/>
            </w:pPr>
            <w:r>
              <w:rPr>
                <w:spacing w:val="-3"/>
                <w:position w:val="1"/>
              </w:rPr>
              <w:t>60</w:t>
            </w:r>
            <w:r>
              <w:rPr>
                <w:spacing w:val="-42"/>
                <w:position w:val="1"/>
              </w:rPr>
              <w:t xml:space="preserve"> </w:t>
            </w:r>
            <w:r>
              <w:rPr>
                <w:spacing w:val="-3"/>
                <w:position w:val="1"/>
              </w:rPr>
              <w:t>左右</w:t>
            </w:r>
          </w:p>
        </w:tc>
        <w:tc>
          <w:tcPr>
            <w:tcW w:w="1550" w:type="dxa"/>
            <w:vAlign w:val="top"/>
          </w:tcPr>
          <w:p>
            <w:pPr>
              <w:pStyle w:val="TableText"/>
              <w:ind w:left="577"/>
              <w:spacing w:before="97" w:line="245" w:lineRule="exact"/>
              <w:rPr/>
            </w:pPr>
            <w:r>
              <w:rPr>
                <w:spacing w:val="-17"/>
                <w:position w:val="1"/>
              </w:rPr>
              <w:t>[17.6]</w:t>
            </w:r>
          </w:p>
        </w:tc>
        <w:tc>
          <w:tcPr>
            <w:tcW w:w="716" w:type="dxa"/>
            <w:vAlign w:val="top"/>
            <w:tcBorders>
              <w:right w:val="single" w:color="000000" w:sz="6" w:space="0"/>
            </w:tcBorders>
          </w:tcPr>
          <w:p>
            <w:pPr>
              <w:pStyle w:val="TableText"/>
              <w:ind w:left="91"/>
              <w:spacing w:before="101" w:line="211" w:lineRule="auto"/>
              <w:rPr/>
            </w:pPr>
            <w:r>
              <w:rPr>
                <w:spacing w:val="-3"/>
              </w:rPr>
              <w:t>预期性</w:t>
            </w:r>
          </w:p>
        </w:tc>
      </w:tr>
      <w:tr>
        <w:trPr>
          <w:trHeight w:val="364" w:hRule="atLeast"/>
        </w:trPr>
        <w:tc>
          <w:tcPr>
            <w:tcW w:w="1090" w:type="dxa"/>
            <w:vAlign w:val="top"/>
            <w:vMerge w:val="continue"/>
            <w:tcBorders>
              <w:left w:val="single" w:color="000000" w:sz="6" w:space="0"/>
              <w:top w:val="nil"/>
            </w:tcBorders>
          </w:tcPr>
          <w:p>
            <w:pPr>
              <w:rPr>
                <w:rFonts w:ascii="Arial"/>
                <w:sz w:val="21"/>
              </w:rPr>
            </w:pPr>
            <w:r/>
          </w:p>
        </w:tc>
        <w:tc>
          <w:tcPr>
            <w:tcW w:w="3853" w:type="dxa"/>
            <w:vAlign w:val="top"/>
          </w:tcPr>
          <w:p>
            <w:pPr>
              <w:pStyle w:val="TableText"/>
              <w:ind w:left="8"/>
              <w:spacing w:before="100" w:line="240" w:lineRule="exact"/>
              <w:rPr/>
            </w:pPr>
            <w:r>
              <w:rPr>
                <w:spacing w:val="-7"/>
                <w:position w:val="1"/>
              </w:rPr>
              <w:t>3.全员劳动生产率（万元/人）</w:t>
            </w:r>
          </w:p>
        </w:tc>
        <w:tc>
          <w:tcPr>
            <w:tcW w:w="773" w:type="dxa"/>
            <w:vAlign w:val="top"/>
          </w:tcPr>
          <w:p>
            <w:pPr>
              <w:pStyle w:val="TableText"/>
              <w:ind w:left="276"/>
              <w:spacing w:before="100" w:line="253" w:lineRule="exact"/>
              <w:rPr/>
            </w:pPr>
            <w:r>
              <w:rPr>
                <w:spacing w:val="-18"/>
                <w:position w:val="1"/>
              </w:rPr>
              <w:t>5.4</w:t>
            </w:r>
          </w:p>
        </w:tc>
        <w:tc>
          <w:tcPr>
            <w:tcW w:w="777" w:type="dxa"/>
            <w:vAlign w:val="top"/>
          </w:tcPr>
          <w:p>
            <w:pPr>
              <w:pStyle w:val="TableText"/>
              <w:ind w:left="279"/>
              <w:spacing w:before="100" w:line="253" w:lineRule="exact"/>
              <w:rPr/>
            </w:pPr>
            <w:r>
              <w:rPr>
                <w:spacing w:val="-17"/>
                <w:position w:val="1"/>
              </w:rPr>
              <w:t>7.8</w:t>
            </w:r>
          </w:p>
        </w:tc>
        <w:tc>
          <w:tcPr>
            <w:tcW w:w="1550" w:type="dxa"/>
            <w:vAlign w:val="top"/>
          </w:tcPr>
          <w:p>
            <w:pPr>
              <w:pStyle w:val="TableText"/>
              <w:ind w:left="623"/>
              <w:spacing w:before="100" w:line="245" w:lineRule="exact"/>
              <w:rPr/>
            </w:pPr>
            <w:r>
              <w:rPr>
                <w:spacing w:val="-20"/>
                <w:position w:val="1"/>
              </w:rPr>
              <w:t>[2.4]</w:t>
            </w:r>
          </w:p>
        </w:tc>
        <w:tc>
          <w:tcPr>
            <w:tcW w:w="716" w:type="dxa"/>
            <w:vAlign w:val="top"/>
            <w:tcBorders>
              <w:right w:val="single" w:color="000000" w:sz="6" w:space="0"/>
            </w:tcBorders>
          </w:tcPr>
          <w:p>
            <w:pPr>
              <w:pStyle w:val="TableText"/>
              <w:ind w:left="91"/>
              <w:spacing w:before="104" w:line="211" w:lineRule="auto"/>
              <w:rPr/>
            </w:pPr>
            <w:r>
              <w:rPr>
                <w:spacing w:val="-3"/>
              </w:rPr>
              <w:t>预期性</w:t>
            </w:r>
          </w:p>
        </w:tc>
      </w:tr>
      <w:tr>
        <w:trPr>
          <w:trHeight w:val="364" w:hRule="atLeast"/>
        </w:trPr>
        <w:tc>
          <w:tcPr>
            <w:tcW w:w="1090" w:type="dxa"/>
            <w:vAlign w:val="top"/>
            <w:vMerge w:val="restart"/>
            <w:tcBorders>
              <w:left w:val="single" w:color="000000" w:sz="6" w:space="0"/>
              <w:bottom w:val="nil"/>
            </w:tcBorders>
          </w:tcPr>
          <w:p>
            <w:pPr>
              <w:spacing w:line="420" w:lineRule="auto"/>
              <w:rPr>
                <w:rFonts w:ascii="Arial"/>
                <w:sz w:val="21"/>
              </w:rPr>
            </w:pPr>
            <w:r/>
          </w:p>
          <w:p>
            <w:pPr>
              <w:pStyle w:val="TableText"/>
              <w:ind w:left="179"/>
              <w:spacing w:before="58" w:line="211" w:lineRule="auto"/>
              <w:rPr/>
            </w:pPr>
            <w:r>
              <w:rPr>
                <w:spacing w:val="-1"/>
              </w:rPr>
              <w:t>创新驱动</w:t>
            </w:r>
          </w:p>
        </w:tc>
        <w:tc>
          <w:tcPr>
            <w:tcW w:w="3853" w:type="dxa"/>
            <w:vAlign w:val="top"/>
          </w:tcPr>
          <w:p>
            <w:pPr>
              <w:pStyle w:val="TableText"/>
              <w:ind w:left="3"/>
              <w:spacing w:before="102" w:line="240" w:lineRule="exact"/>
              <w:rPr/>
            </w:pPr>
            <w:r>
              <w:rPr>
                <w:position w:val="1"/>
              </w:rPr>
              <w:t>4.研究与试验发展经费投入强度（%）</w:t>
            </w:r>
          </w:p>
        </w:tc>
        <w:tc>
          <w:tcPr>
            <w:tcW w:w="773" w:type="dxa"/>
            <w:vAlign w:val="top"/>
          </w:tcPr>
          <w:p>
            <w:pPr>
              <w:pStyle w:val="TableText"/>
              <w:ind w:left="275"/>
              <w:spacing w:before="102" w:line="251" w:lineRule="exact"/>
              <w:rPr/>
            </w:pPr>
            <w:r>
              <w:rPr>
                <w:spacing w:val="-18"/>
                <w:position w:val="1"/>
              </w:rPr>
              <w:t>0.5</w:t>
            </w:r>
          </w:p>
        </w:tc>
        <w:tc>
          <w:tcPr>
            <w:tcW w:w="777" w:type="dxa"/>
            <w:vAlign w:val="top"/>
          </w:tcPr>
          <w:p>
            <w:pPr>
              <w:pStyle w:val="TableText"/>
              <w:ind w:left="158"/>
              <w:spacing w:before="102" w:line="244" w:lineRule="exact"/>
              <w:rPr/>
            </w:pPr>
            <w:r>
              <w:rPr>
                <w:spacing w:val="-13"/>
                <w:position w:val="1"/>
              </w:rPr>
              <w:t>1</w:t>
            </w:r>
            <w:r>
              <w:rPr>
                <w:spacing w:val="-27"/>
                <w:position w:val="1"/>
              </w:rPr>
              <w:t xml:space="preserve"> </w:t>
            </w:r>
            <w:r>
              <w:rPr>
                <w:spacing w:val="-13"/>
                <w:position w:val="1"/>
              </w:rPr>
              <w:t>以上</w:t>
            </w:r>
          </w:p>
        </w:tc>
        <w:tc>
          <w:tcPr>
            <w:tcW w:w="1550" w:type="dxa"/>
            <w:vAlign w:val="top"/>
          </w:tcPr>
          <w:p>
            <w:pPr>
              <w:pStyle w:val="TableText"/>
              <w:ind w:left="623"/>
              <w:spacing w:before="102" w:line="246" w:lineRule="exact"/>
              <w:rPr/>
            </w:pPr>
            <w:r>
              <w:rPr>
                <w:spacing w:val="-20"/>
                <w:position w:val="1"/>
              </w:rPr>
              <w:t>[0.5]</w:t>
            </w:r>
          </w:p>
        </w:tc>
        <w:tc>
          <w:tcPr>
            <w:tcW w:w="716" w:type="dxa"/>
            <w:vAlign w:val="top"/>
            <w:tcBorders>
              <w:right w:val="single" w:color="000000" w:sz="6" w:space="0"/>
            </w:tcBorders>
          </w:tcPr>
          <w:p>
            <w:pPr>
              <w:pStyle w:val="TableText"/>
              <w:ind w:left="91"/>
              <w:spacing w:before="107" w:line="211" w:lineRule="auto"/>
              <w:rPr/>
            </w:pPr>
            <w:r>
              <w:rPr>
                <w:spacing w:val="-3"/>
              </w:rPr>
              <w:t>预期性</w:t>
            </w:r>
          </w:p>
        </w:tc>
      </w:tr>
      <w:tr>
        <w:trPr>
          <w:trHeight w:val="364" w:hRule="atLeast"/>
        </w:trPr>
        <w:tc>
          <w:tcPr>
            <w:tcW w:w="1090" w:type="dxa"/>
            <w:vAlign w:val="top"/>
            <w:vMerge w:val="continue"/>
            <w:tcBorders>
              <w:left w:val="single" w:color="000000" w:sz="6" w:space="0"/>
              <w:top w:val="nil"/>
              <w:bottom w:val="nil"/>
            </w:tcBorders>
          </w:tcPr>
          <w:p>
            <w:pPr>
              <w:rPr>
                <w:rFonts w:ascii="Arial"/>
                <w:sz w:val="21"/>
              </w:rPr>
            </w:pPr>
            <w:r/>
          </w:p>
        </w:tc>
        <w:tc>
          <w:tcPr>
            <w:tcW w:w="3853" w:type="dxa"/>
            <w:vAlign w:val="top"/>
          </w:tcPr>
          <w:p>
            <w:pPr>
              <w:pStyle w:val="TableText"/>
              <w:ind w:left="6"/>
              <w:spacing w:before="102" w:line="241" w:lineRule="exact"/>
              <w:rPr/>
            </w:pPr>
            <w:r>
              <w:rPr>
                <w:spacing w:val="-4"/>
                <w:position w:val="1"/>
              </w:rPr>
              <w:t>5.每万人口发明专利拥有量（件）</w:t>
            </w:r>
          </w:p>
        </w:tc>
        <w:tc>
          <w:tcPr>
            <w:tcW w:w="773" w:type="dxa"/>
            <w:vAlign w:val="top"/>
          </w:tcPr>
          <w:p>
            <w:pPr>
              <w:pStyle w:val="TableText"/>
              <w:ind w:left="232"/>
              <w:spacing w:before="102" w:line="251" w:lineRule="exact"/>
              <w:rPr/>
            </w:pPr>
            <w:r>
              <w:rPr>
                <w:spacing w:val="-14"/>
                <w:position w:val="1"/>
              </w:rPr>
              <w:t>0.42</w:t>
            </w:r>
          </w:p>
        </w:tc>
        <w:tc>
          <w:tcPr>
            <w:tcW w:w="777" w:type="dxa"/>
            <w:vAlign w:val="top"/>
          </w:tcPr>
          <w:p>
            <w:pPr>
              <w:pStyle w:val="TableText"/>
              <w:ind w:left="234"/>
              <w:spacing w:before="102" w:line="251" w:lineRule="exact"/>
              <w:rPr/>
            </w:pPr>
            <w:r>
              <w:rPr>
                <w:spacing w:val="-14"/>
                <w:position w:val="1"/>
              </w:rPr>
              <w:t>0.68</w:t>
            </w:r>
          </w:p>
        </w:tc>
        <w:tc>
          <w:tcPr>
            <w:tcW w:w="1550" w:type="dxa"/>
            <w:vAlign w:val="top"/>
          </w:tcPr>
          <w:p>
            <w:pPr>
              <w:pStyle w:val="TableText"/>
              <w:ind w:left="577"/>
              <w:spacing w:before="102" w:line="246" w:lineRule="exact"/>
              <w:rPr/>
            </w:pPr>
            <w:r>
              <w:rPr>
                <w:spacing w:val="-17"/>
                <w:position w:val="1"/>
              </w:rPr>
              <w:t>[0.26]</w:t>
            </w:r>
          </w:p>
        </w:tc>
        <w:tc>
          <w:tcPr>
            <w:tcW w:w="716" w:type="dxa"/>
            <w:vAlign w:val="top"/>
            <w:tcBorders>
              <w:right w:val="single" w:color="000000" w:sz="6" w:space="0"/>
            </w:tcBorders>
          </w:tcPr>
          <w:p>
            <w:pPr>
              <w:pStyle w:val="TableText"/>
              <w:ind w:left="91"/>
              <w:spacing w:before="107" w:line="211" w:lineRule="auto"/>
              <w:rPr/>
            </w:pPr>
            <w:r>
              <w:rPr>
                <w:spacing w:val="-3"/>
              </w:rPr>
              <w:t>预期性</w:t>
            </w:r>
          </w:p>
        </w:tc>
      </w:tr>
      <w:tr>
        <w:trPr>
          <w:trHeight w:val="364" w:hRule="atLeast"/>
        </w:trPr>
        <w:tc>
          <w:tcPr>
            <w:tcW w:w="1090" w:type="dxa"/>
            <w:vAlign w:val="top"/>
            <w:vMerge w:val="continue"/>
            <w:tcBorders>
              <w:left w:val="single" w:color="000000" w:sz="6" w:space="0"/>
              <w:top w:val="nil"/>
            </w:tcBorders>
          </w:tcPr>
          <w:p>
            <w:pPr>
              <w:rPr>
                <w:rFonts w:ascii="Arial"/>
                <w:sz w:val="21"/>
              </w:rPr>
            </w:pPr>
            <w:r/>
          </w:p>
        </w:tc>
        <w:tc>
          <w:tcPr>
            <w:tcW w:w="3853" w:type="dxa"/>
            <w:vAlign w:val="top"/>
          </w:tcPr>
          <w:p>
            <w:pPr>
              <w:pStyle w:val="TableText"/>
              <w:ind w:left="6"/>
              <w:spacing w:before="105" w:line="241" w:lineRule="exact"/>
              <w:rPr/>
            </w:pPr>
            <w:r>
              <w:rPr>
                <w:position w:val="1"/>
              </w:rPr>
              <w:t>6.战略性新兴产业增加值占</w:t>
            </w:r>
            <w:r>
              <w:rPr>
                <w:spacing w:val="-34"/>
                <w:position w:val="1"/>
              </w:rPr>
              <w:t xml:space="preserve"> </w:t>
            </w:r>
            <w:r>
              <w:rPr>
                <w:position w:val="1"/>
              </w:rPr>
              <w:t>GDP</w:t>
            </w:r>
            <w:r>
              <w:rPr>
                <w:spacing w:val="-21"/>
                <w:position w:val="1"/>
              </w:rPr>
              <w:t xml:space="preserve"> </w:t>
            </w:r>
            <w:r>
              <w:rPr>
                <w:position w:val="1"/>
              </w:rPr>
              <w:t>比重(%)</w:t>
            </w:r>
          </w:p>
        </w:tc>
        <w:tc>
          <w:tcPr>
            <w:tcW w:w="773" w:type="dxa"/>
            <w:vAlign w:val="top"/>
          </w:tcPr>
          <w:p>
            <w:pPr>
              <w:pStyle w:val="TableText"/>
              <w:ind w:left="275"/>
              <w:spacing w:before="105" w:line="248" w:lineRule="exact"/>
              <w:rPr/>
            </w:pPr>
            <w:r>
              <w:rPr>
                <w:spacing w:val="-18"/>
                <w:position w:val="1"/>
              </w:rPr>
              <w:t>2.1</w:t>
            </w:r>
          </w:p>
        </w:tc>
        <w:tc>
          <w:tcPr>
            <w:tcW w:w="777" w:type="dxa"/>
            <w:vAlign w:val="top"/>
          </w:tcPr>
          <w:p>
            <w:pPr>
              <w:pStyle w:val="TableText"/>
              <w:ind w:left="279"/>
              <w:spacing w:before="105" w:line="248" w:lineRule="exact"/>
              <w:rPr/>
            </w:pPr>
            <w:r>
              <w:rPr>
                <w:spacing w:val="-17"/>
                <w:position w:val="1"/>
              </w:rPr>
              <w:t>7.1</w:t>
            </w:r>
          </w:p>
        </w:tc>
        <w:tc>
          <w:tcPr>
            <w:tcW w:w="1550" w:type="dxa"/>
            <w:vAlign w:val="top"/>
          </w:tcPr>
          <w:p>
            <w:pPr>
              <w:pStyle w:val="TableText"/>
              <w:ind w:left="690"/>
              <w:spacing w:before="105" w:line="246" w:lineRule="exact"/>
              <w:rPr/>
            </w:pPr>
            <w:r>
              <w:rPr>
                <w:spacing w:val="-17"/>
                <w:position w:val="1"/>
              </w:rPr>
              <w:t>[5]</w:t>
            </w:r>
          </w:p>
        </w:tc>
        <w:tc>
          <w:tcPr>
            <w:tcW w:w="716" w:type="dxa"/>
            <w:vAlign w:val="top"/>
            <w:tcBorders>
              <w:right w:val="single" w:color="000000" w:sz="6" w:space="0"/>
            </w:tcBorders>
          </w:tcPr>
          <w:p>
            <w:pPr>
              <w:rPr>
                <w:rFonts w:ascii="Arial"/>
                <w:sz w:val="21"/>
              </w:rPr>
            </w:pPr>
            <w:r/>
          </w:p>
        </w:tc>
      </w:tr>
      <w:tr>
        <w:trPr>
          <w:trHeight w:val="373" w:hRule="atLeast"/>
        </w:trPr>
        <w:tc>
          <w:tcPr>
            <w:tcW w:w="1090" w:type="dxa"/>
            <w:vAlign w:val="top"/>
            <w:tcBorders>
              <w:left w:val="single" w:color="000000" w:sz="6" w:space="0"/>
              <w:bottom w:val="single" w:color="000000" w:sz="6" w:space="0"/>
            </w:tcBorders>
          </w:tcPr>
          <w:p>
            <w:pPr>
              <w:pStyle w:val="TableText"/>
              <w:ind w:left="196"/>
              <w:spacing w:before="113" w:line="209" w:lineRule="auto"/>
              <w:rPr/>
            </w:pPr>
            <w:r>
              <w:rPr>
                <w:spacing w:val="-5"/>
              </w:rPr>
              <w:t>民生福祉</w:t>
            </w:r>
          </w:p>
        </w:tc>
        <w:tc>
          <w:tcPr>
            <w:tcW w:w="3853" w:type="dxa"/>
            <w:vAlign w:val="top"/>
            <w:tcBorders>
              <w:bottom w:val="single" w:color="000000" w:sz="6" w:space="0"/>
            </w:tcBorders>
          </w:tcPr>
          <w:p>
            <w:pPr>
              <w:pStyle w:val="TableText"/>
              <w:ind w:left="4"/>
              <w:spacing w:before="108" w:line="240" w:lineRule="exact"/>
              <w:rPr/>
            </w:pPr>
            <w:r>
              <w:rPr>
                <w:position w:val="1"/>
              </w:rPr>
              <w:t>7.居民人均可支配收入增长（%）</w:t>
            </w:r>
          </w:p>
        </w:tc>
        <w:tc>
          <w:tcPr>
            <w:tcW w:w="773" w:type="dxa"/>
            <w:vAlign w:val="top"/>
            <w:tcBorders>
              <w:bottom w:val="single" w:color="000000" w:sz="6" w:space="0"/>
            </w:tcBorders>
          </w:tcPr>
          <w:p>
            <w:pPr>
              <w:pStyle w:val="TableText"/>
              <w:ind w:left="341"/>
              <w:spacing w:before="214" w:line="126" w:lineRule="exact"/>
              <w:rPr/>
            </w:pPr>
            <w:r>
              <w:rPr>
                <w:position w:val="-3"/>
              </w:rPr>
              <w:t>-</w:t>
            </w:r>
          </w:p>
        </w:tc>
        <w:tc>
          <w:tcPr>
            <w:tcW w:w="777" w:type="dxa"/>
            <w:vAlign w:val="top"/>
            <w:tcBorders>
              <w:bottom w:val="single" w:color="000000" w:sz="6" w:space="0"/>
            </w:tcBorders>
          </w:tcPr>
          <w:p>
            <w:pPr>
              <w:pStyle w:val="TableText"/>
              <w:ind w:left="170"/>
              <w:spacing w:before="108" w:line="255" w:lineRule="exact"/>
              <w:rPr/>
            </w:pPr>
            <w:r>
              <w:rPr>
                <w:spacing w:val="-3"/>
                <w:position w:val="1"/>
              </w:rPr>
              <w:t>31598</w:t>
            </w:r>
          </w:p>
        </w:tc>
        <w:tc>
          <w:tcPr>
            <w:tcW w:w="1550" w:type="dxa"/>
            <w:vAlign w:val="top"/>
            <w:tcBorders>
              <w:bottom w:val="single" w:color="000000" w:sz="6" w:space="0"/>
            </w:tcBorders>
          </w:tcPr>
          <w:p>
            <w:pPr>
              <w:pStyle w:val="TableText"/>
              <w:ind w:left="669"/>
              <w:spacing w:before="108" w:line="255" w:lineRule="exact"/>
              <w:rPr/>
            </w:pPr>
            <w:r>
              <w:rPr>
                <w:spacing w:val="-18"/>
                <w:position w:val="1"/>
              </w:rPr>
              <w:t>8.6</w:t>
            </w:r>
          </w:p>
        </w:tc>
        <w:tc>
          <w:tcPr>
            <w:tcW w:w="716" w:type="dxa"/>
            <w:vAlign w:val="top"/>
            <w:tcBorders>
              <w:bottom w:val="single" w:color="000000" w:sz="6" w:space="0"/>
              <w:right w:val="single" w:color="000000" w:sz="6" w:space="0"/>
            </w:tcBorders>
          </w:tcPr>
          <w:p>
            <w:pPr>
              <w:pStyle w:val="TableText"/>
              <w:ind w:left="91"/>
              <w:spacing w:before="112" w:line="211" w:lineRule="auto"/>
              <w:rPr/>
            </w:pPr>
            <w:r>
              <w:rPr>
                <w:spacing w:val="-3"/>
              </w:rPr>
              <w:t>预期性</w:t>
            </w:r>
          </w:p>
        </w:tc>
      </w:tr>
    </w:tbl>
    <w:p>
      <w:pPr>
        <w:spacing w:line="14" w:lineRule="auto"/>
        <w:rPr>
          <w:rFonts w:ascii="Arial"/>
          <w:sz w:val="2"/>
        </w:rPr>
      </w:pPr>
      <w:r/>
    </w:p>
    <w:p>
      <w:pPr>
        <w:spacing w:line="14" w:lineRule="auto"/>
        <w:sectPr>
          <w:type w:val="continuous"/>
          <w:pgSz w:w="11906" w:h="16839"/>
          <w:pgMar w:top="1793" w:right="1509" w:bottom="1570" w:left="1565" w:header="1428" w:footer="1172" w:gutter="0"/>
          <w:cols w:equalWidth="0" w:num="1">
            <w:col w:w="8831" w:space="0"/>
          </w:cols>
        </w:sectPr>
        <w:rPr>
          <w:rFonts w:ascii="Arial" w:hAnsi="Arial" w:eastAsia="Arial" w:cs="Arial"/>
          <w:sz w:val="2"/>
          <w:szCs w:val="2"/>
        </w:rPr>
      </w:pPr>
    </w:p>
    <w:p>
      <w:pPr>
        <w:spacing w:line="191" w:lineRule="exact"/>
        <w:rPr/>
      </w:pPr>
      <w:r>
        <w:drawing>
          <wp:anchor distT="0" distB="0" distL="0" distR="0" simplePos="0" relativeHeight="251762688"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348" name="IM 348"/>
            <wp:cNvGraphicFramePr/>
            <a:graphic>
              <a:graphicData uri="http://schemas.openxmlformats.org/drawingml/2006/picture">
                <pic:pic>
                  <pic:nvPicPr>
                    <pic:cNvPr id="348" name="IM 348"/>
                    <pic:cNvPicPr/>
                  </pic:nvPicPr>
                  <pic:blipFill>
                    <a:blip r:embed="rId176"/>
                    <a:stretch>
                      <a:fillRect/>
                    </a:stretch>
                  </pic:blipFill>
                  <pic:spPr>
                    <a:xfrm rot="0">
                      <a:off x="0" y="0"/>
                      <a:ext cx="5579745" cy="7619"/>
                    </a:xfrm>
                    <a:prstGeom prst="rect">
                      <a:avLst/>
                    </a:prstGeom>
                  </pic:spPr>
                </pic:pic>
              </a:graphicData>
            </a:graphic>
          </wp:anchor>
        </w:drawing>
      </w:r>
      <w:r/>
    </w:p>
    <w:tbl>
      <w:tblPr>
        <w:tblStyle w:val="TableNormal"/>
        <w:tblW w:w="8759"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90"/>
        <w:gridCol w:w="3853"/>
        <w:gridCol w:w="773"/>
        <w:gridCol w:w="777"/>
        <w:gridCol w:w="1550"/>
        <w:gridCol w:w="716"/>
      </w:tblGrid>
      <w:tr>
        <w:trPr>
          <w:trHeight w:val="368" w:hRule="atLeast"/>
        </w:trPr>
        <w:tc>
          <w:tcPr>
            <w:tcW w:w="1090" w:type="dxa"/>
            <w:vAlign w:val="top"/>
            <w:tcBorders>
              <w:left w:val="single" w:color="000000" w:sz="6" w:space="0"/>
              <w:top w:val="single" w:color="000000" w:sz="6" w:space="0"/>
            </w:tcBorders>
          </w:tcPr>
          <w:p>
            <w:pPr>
              <w:pStyle w:val="TableText"/>
              <w:ind w:left="358"/>
              <w:spacing w:before="105" w:line="211" w:lineRule="auto"/>
              <w:rPr/>
            </w:pPr>
            <w:r>
              <w:rPr>
                <w:b/>
                <w:bCs/>
                <w:spacing w:val="-3"/>
              </w:rPr>
              <w:t>类别</w:t>
            </w:r>
          </w:p>
        </w:tc>
        <w:tc>
          <w:tcPr>
            <w:tcW w:w="3853" w:type="dxa"/>
            <w:vAlign w:val="top"/>
            <w:tcBorders>
              <w:top w:val="single" w:color="000000" w:sz="6" w:space="0"/>
            </w:tcBorders>
          </w:tcPr>
          <w:p>
            <w:pPr>
              <w:pStyle w:val="TableText"/>
              <w:ind w:left="1564"/>
              <w:spacing w:before="106" w:line="211" w:lineRule="auto"/>
              <w:rPr/>
            </w:pPr>
            <w:r>
              <w:rPr>
                <w:b/>
                <w:bCs/>
                <w:spacing w:val="-3"/>
              </w:rPr>
              <w:t>指标名称</w:t>
            </w:r>
          </w:p>
        </w:tc>
        <w:tc>
          <w:tcPr>
            <w:tcW w:w="773" w:type="dxa"/>
            <w:vAlign w:val="top"/>
            <w:tcBorders>
              <w:top w:val="single" w:color="000000" w:sz="6" w:space="0"/>
            </w:tcBorders>
          </w:tcPr>
          <w:p>
            <w:pPr>
              <w:pStyle w:val="TableText"/>
              <w:ind w:left="95"/>
              <w:spacing w:before="101" w:line="241" w:lineRule="exact"/>
              <w:rPr/>
            </w:pPr>
            <w:r>
              <w:rPr>
                <w:b/>
                <w:bCs/>
                <w:spacing w:val="-3"/>
                <w:position w:val="1"/>
              </w:rPr>
              <w:t>2020</w:t>
            </w:r>
            <w:r>
              <w:rPr>
                <w:spacing w:val="-42"/>
                <w:position w:val="1"/>
              </w:rPr>
              <w:t xml:space="preserve"> </w:t>
            </w:r>
            <w:r>
              <w:rPr>
                <w:b/>
                <w:bCs/>
                <w:spacing w:val="-3"/>
                <w:position w:val="1"/>
              </w:rPr>
              <w:t>年</w:t>
            </w:r>
          </w:p>
        </w:tc>
        <w:tc>
          <w:tcPr>
            <w:tcW w:w="777" w:type="dxa"/>
            <w:vAlign w:val="top"/>
            <w:tcBorders>
              <w:top w:val="single" w:color="000000" w:sz="6" w:space="0"/>
            </w:tcBorders>
          </w:tcPr>
          <w:p>
            <w:pPr>
              <w:pStyle w:val="TableText"/>
              <w:ind w:left="98"/>
              <w:spacing w:before="101" w:line="241" w:lineRule="exact"/>
              <w:rPr/>
            </w:pPr>
            <w:r>
              <w:rPr>
                <w:b/>
                <w:bCs/>
                <w:spacing w:val="-3"/>
                <w:position w:val="1"/>
              </w:rPr>
              <w:t>2025</w:t>
            </w:r>
            <w:r>
              <w:rPr>
                <w:spacing w:val="-40"/>
                <w:position w:val="1"/>
              </w:rPr>
              <w:t xml:space="preserve"> </w:t>
            </w:r>
            <w:r>
              <w:rPr>
                <w:b/>
                <w:bCs/>
                <w:spacing w:val="-3"/>
                <w:position w:val="1"/>
              </w:rPr>
              <w:t>年</w:t>
            </w:r>
          </w:p>
        </w:tc>
        <w:tc>
          <w:tcPr>
            <w:tcW w:w="1550" w:type="dxa"/>
            <w:vAlign w:val="top"/>
            <w:tcBorders>
              <w:top w:val="single" w:color="000000" w:sz="6" w:space="0"/>
            </w:tcBorders>
          </w:tcPr>
          <w:p>
            <w:pPr>
              <w:pStyle w:val="TableText"/>
              <w:ind w:left="190"/>
              <w:spacing w:before="101" w:line="241" w:lineRule="exact"/>
              <w:rPr/>
            </w:pPr>
            <w:r>
              <w:rPr>
                <w:b/>
                <w:bCs/>
                <w:spacing w:val="-8"/>
                <w:position w:val="1"/>
              </w:rPr>
              <w:t>年均增速[累计]</w:t>
            </w:r>
          </w:p>
        </w:tc>
        <w:tc>
          <w:tcPr>
            <w:tcW w:w="716" w:type="dxa"/>
            <w:vAlign w:val="top"/>
            <w:tcBorders>
              <w:right w:val="single" w:color="000000" w:sz="6" w:space="0"/>
              <w:top w:val="single" w:color="000000" w:sz="6" w:space="0"/>
            </w:tcBorders>
          </w:tcPr>
          <w:p>
            <w:pPr>
              <w:pStyle w:val="TableText"/>
              <w:ind w:left="180"/>
              <w:spacing w:before="108" w:line="207" w:lineRule="auto"/>
              <w:rPr/>
            </w:pPr>
            <w:r>
              <w:rPr>
                <w:b/>
                <w:bCs/>
                <w:spacing w:val="-5"/>
              </w:rPr>
              <w:t>属性</w:t>
            </w:r>
          </w:p>
        </w:tc>
      </w:tr>
      <w:tr>
        <w:trPr>
          <w:trHeight w:val="365" w:hRule="atLeast"/>
        </w:trPr>
        <w:tc>
          <w:tcPr>
            <w:tcW w:w="1090" w:type="dxa"/>
            <w:vAlign w:val="top"/>
            <w:vMerge w:val="restart"/>
            <w:tcBorders>
              <w:left w:val="single" w:color="000000" w:sz="6" w:space="0"/>
              <w:bottom w:val="nil"/>
            </w:tcBorders>
          </w:tcPr>
          <w:p>
            <w:pPr>
              <w:rPr>
                <w:rFonts w:ascii="Arial"/>
                <w:sz w:val="21"/>
              </w:rPr>
            </w:pPr>
            <w:r/>
          </w:p>
        </w:tc>
        <w:tc>
          <w:tcPr>
            <w:tcW w:w="3853" w:type="dxa"/>
            <w:vAlign w:val="top"/>
          </w:tcPr>
          <w:p>
            <w:pPr>
              <w:pStyle w:val="TableText"/>
              <w:ind w:left="7"/>
              <w:spacing w:before="95" w:line="241" w:lineRule="exact"/>
              <w:rPr/>
            </w:pPr>
            <w:r>
              <w:rPr>
                <w:position w:val="1"/>
              </w:rPr>
              <w:t>8.城镇调查失业率（%）</w:t>
            </w:r>
          </w:p>
        </w:tc>
        <w:tc>
          <w:tcPr>
            <w:tcW w:w="773" w:type="dxa"/>
            <w:vAlign w:val="top"/>
          </w:tcPr>
          <w:p>
            <w:pPr>
              <w:pStyle w:val="TableText"/>
              <w:ind w:left="341"/>
              <w:spacing w:before="201" w:line="126" w:lineRule="exact"/>
              <w:rPr/>
            </w:pPr>
            <w:r>
              <w:rPr>
                <w:position w:val="-3"/>
              </w:rPr>
              <w:t>-</w:t>
            </w:r>
          </w:p>
        </w:tc>
        <w:tc>
          <w:tcPr>
            <w:tcW w:w="777" w:type="dxa"/>
            <w:vAlign w:val="top"/>
          </w:tcPr>
          <w:p>
            <w:pPr>
              <w:pStyle w:val="TableText"/>
              <w:ind w:left="233"/>
              <w:spacing w:before="95" w:line="260" w:lineRule="exact"/>
              <w:rPr/>
            </w:pPr>
            <w:r>
              <w:rPr>
                <w:spacing w:val="-12"/>
                <w:position w:val="1"/>
              </w:rPr>
              <w:t>&lt;5.5</w:t>
            </w:r>
          </w:p>
        </w:tc>
        <w:tc>
          <w:tcPr>
            <w:tcW w:w="1550" w:type="dxa"/>
            <w:vAlign w:val="top"/>
          </w:tcPr>
          <w:p>
            <w:pPr>
              <w:pStyle w:val="TableText"/>
              <w:ind w:left="729"/>
              <w:spacing w:before="262" w:line="37" w:lineRule="exact"/>
              <w:rPr/>
            </w:pPr>
            <w:r>
              <w:rPr>
                <w:position w:val="3"/>
              </w:rPr>
              <w:t>_</w:t>
            </w:r>
          </w:p>
        </w:tc>
        <w:tc>
          <w:tcPr>
            <w:tcW w:w="716" w:type="dxa"/>
            <w:vAlign w:val="top"/>
            <w:tcBorders>
              <w:right w:val="single" w:color="000000" w:sz="6" w:space="0"/>
            </w:tcBorders>
          </w:tcPr>
          <w:p>
            <w:pPr>
              <w:pStyle w:val="TableText"/>
              <w:ind w:left="91"/>
              <w:spacing w:before="100" w:line="211" w:lineRule="auto"/>
              <w:rPr/>
            </w:pPr>
            <w:r>
              <w:rPr>
                <w:spacing w:val="-3"/>
              </w:rPr>
              <w:t>预期性</w:t>
            </w:r>
          </w:p>
        </w:tc>
      </w:tr>
      <w:tr>
        <w:trPr>
          <w:trHeight w:val="365" w:hRule="atLeast"/>
        </w:trPr>
        <w:tc>
          <w:tcPr>
            <w:tcW w:w="1090" w:type="dxa"/>
            <w:vAlign w:val="top"/>
            <w:vMerge w:val="continue"/>
            <w:tcBorders>
              <w:left w:val="single" w:color="000000" w:sz="6" w:space="0"/>
              <w:top w:val="nil"/>
              <w:bottom w:val="nil"/>
            </w:tcBorders>
          </w:tcPr>
          <w:p>
            <w:pPr>
              <w:rPr>
                <w:rFonts w:ascii="Arial"/>
                <w:sz w:val="21"/>
              </w:rPr>
            </w:pPr>
            <w:r/>
          </w:p>
        </w:tc>
        <w:tc>
          <w:tcPr>
            <w:tcW w:w="3853" w:type="dxa"/>
            <w:vAlign w:val="top"/>
          </w:tcPr>
          <w:p>
            <w:pPr>
              <w:pStyle w:val="TableText"/>
              <w:ind w:left="5"/>
              <w:spacing w:before="97" w:line="241" w:lineRule="exact"/>
              <w:rPr/>
            </w:pPr>
            <w:r>
              <w:rPr>
                <w:spacing w:val="-3"/>
                <w:position w:val="1"/>
              </w:rPr>
              <w:t>9.劳动年龄人口平均受教育年限（年）</w:t>
            </w:r>
          </w:p>
        </w:tc>
        <w:tc>
          <w:tcPr>
            <w:tcW w:w="773" w:type="dxa"/>
            <w:vAlign w:val="top"/>
          </w:tcPr>
          <w:p>
            <w:pPr>
              <w:pStyle w:val="TableText"/>
              <w:ind w:left="247"/>
              <w:spacing w:before="97" w:line="257" w:lineRule="exact"/>
              <w:rPr/>
            </w:pPr>
            <w:r>
              <w:rPr>
                <w:spacing w:val="-17"/>
                <w:position w:val="1"/>
              </w:rPr>
              <w:t>10.8</w:t>
            </w:r>
          </w:p>
        </w:tc>
        <w:tc>
          <w:tcPr>
            <w:tcW w:w="777" w:type="dxa"/>
            <w:vAlign w:val="top"/>
          </w:tcPr>
          <w:p>
            <w:pPr>
              <w:pStyle w:val="TableText"/>
              <w:ind w:left="249"/>
              <w:spacing w:before="97" w:line="257" w:lineRule="exact"/>
              <w:rPr/>
            </w:pPr>
            <w:r>
              <w:rPr>
                <w:spacing w:val="-17"/>
                <w:position w:val="1"/>
              </w:rPr>
              <w:t>11.3</w:t>
            </w:r>
          </w:p>
        </w:tc>
        <w:tc>
          <w:tcPr>
            <w:tcW w:w="1550" w:type="dxa"/>
            <w:vAlign w:val="top"/>
          </w:tcPr>
          <w:p>
            <w:pPr>
              <w:pStyle w:val="TableText"/>
              <w:ind w:left="623"/>
              <w:spacing w:before="97" w:line="246" w:lineRule="exact"/>
              <w:rPr/>
            </w:pPr>
            <w:r>
              <w:rPr>
                <w:spacing w:val="-20"/>
                <w:position w:val="1"/>
              </w:rPr>
              <w:t>[0.5]</w:t>
            </w:r>
          </w:p>
        </w:tc>
        <w:tc>
          <w:tcPr>
            <w:tcW w:w="716" w:type="dxa"/>
            <w:vAlign w:val="top"/>
            <w:tcBorders>
              <w:right w:val="single" w:color="000000" w:sz="6" w:space="0"/>
            </w:tcBorders>
          </w:tcPr>
          <w:p>
            <w:pPr>
              <w:pStyle w:val="TableText"/>
              <w:ind w:left="93"/>
              <w:spacing w:before="99" w:line="214" w:lineRule="auto"/>
              <w:rPr/>
            </w:pPr>
            <w:r>
              <w:rPr>
                <w:spacing w:val="-3"/>
              </w:rPr>
              <w:t>约束性</w:t>
            </w:r>
          </w:p>
        </w:tc>
      </w:tr>
      <w:tr>
        <w:trPr>
          <w:trHeight w:val="365" w:hRule="atLeast"/>
        </w:trPr>
        <w:tc>
          <w:tcPr>
            <w:tcW w:w="1090" w:type="dxa"/>
            <w:vAlign w:val="top"/>
            <w:vMerge w:val="continue"/>
            <w:tcBorders>
              <w:left w:val="single" w:color="000000" w:sz="6" w:space="0"/>
              <w:top w:val="nil"/>
              <w:bottom w:val="nil"/>
            </w:tcBorders>
          </w:tcPr>
          <w:p>
            <w:pPr>
              <w:rPr>
                <w:rFonts w:ascii="Arial"/>
                <w:sz w:val="21"/>
              </w:rPr>
            </w:pPr>
            <w:r/>
          </w:p>
        </w:tc>
        <w:tc>
          <w:tcPr>
            <w:tcW w:w="3853" w:type="dxa"/>
            <w:vAlign w:val="top"/>
          </w:tcPr>
          <w:p>
            <w:pPr>
              <w:pStyle w:val="TableText"/>
              <w:ind w:left="20"/>
              <w:spacing w:before="96" w:line="241" w:lineRule="exact"/>
              <w:rPr/>
            </w:pPr>
            <w:r>
              <w:rPr>
                <w:spacing w:val="-4"/>
                <w:position w:val="1"/>
              </w:rPr>
              <w:t>10.每千人口拥有执业（助理）医师数（个）</w:t>
            </w:r>
          </w:p>
        </w:tc>
        <w:tc>
          <w:tcPr>
            <w:tcW w:w="773" w:type="dxa"/>
            <w:vAlign w:val="top"/>
          </w:tcPr>
          <w:p>
            <w:pPr>
              <w:pStyle w:val="TableText"/>
              <w:ind w:left="275"/>
              <w:spacing w:before="96" w:line="258" w:lineRule="exact"/>
              <w:rPr/>
            </w:pPr>
            <w:r>
              <w:rPr>
                <w:spacing w:val="-18"/>
                <w:position w:val="1"/>
              </w:rPr>
              <w:t>2.5</w:t>
            </w:r>
          </w:p>
        </w:tc>
        <w:tc>
          <w:tcPr>
            <w:tcW w:w="777" w:type="dxa"/>
            <w:vAlign w:val="top"/>
          </w:tcPr>
          <w:p>
            <w:pPr>
              <w:pStyle w:val="TableText"/>
              <w:ind w:left="348"/>
              <w:spacing w:before="96" w:line="258" w:lineRule="exact"/>
              <w:rPr/>
            </w:pPr>
            <w:r>
              <w:rPr>
                <w:position w:val="1"/>
              </w:rPr>
              <w:t>3</w:t>
            </w:r>
          </w:p>
        </w:tc>
        <w:tc>
          <w:tcPr>
            <w:tcW w:w="1550" w:type="dxa"/>
            <w:vAlign w:val="top"/>
          </w:tcPr>
          <w:p>
            <w:pPr>
              <w:pStyle w:val="TableText"/>
              <w:ind w:left="623"/>
              <w:spacing w:before="96" w:line="246" w:lineRule="exact"/>
              <w:rPr/>
            </w:pPr>
            <w:r>
              <w:rPr>
                <w:spacing w:val="-20"/>
                <w:position w:val="1"/>
              </w:rPr>
              <w:t>[0.5]</w:t>
            </w:r>
          </w:p>
        </w:tc>
        <w:tc>
          <w:tcPr>
            <w:tcW w:w="716" w:type="dxa"/>
            <w:vAlign w:val="top"/>
            <w:tcBorders>
              <w:right w:val="single" w:color="000000" w:sz="6" w:space="0"/>
            </w:tcBorders>
          </w:tcPr>
          <w:p>
            <w:pPr>
              <w:pStyle w:val="TableText"/>
              <w:ind w:left="93"/>
              <w:spacing w:before="99" w:line="214" w:lineRule="auto"/>
              <w:rPr/>
            </w:pPr>
            <w:r>
              <w:rPr>
                <w:spacing w:val="-3"/>
              </w:rPr>
              <w:t>约束性</w:t>
            </w:r>
          </w:p>
        </w:tc>
      </w:tr>
      <w:tr>
        <w:trPr>
          <w:trHeight w:val="365" w:hRule="atLeast"/>
        </w:trPr>
        <w:tc>
          <w:tcPr>
            <w:tcW w:w="1090" w:type="dxa"/>
            <w:vAlign w:val="top"/>
            <w:vMerge w:val="continue"/>
            <w:tcBorders>
              <w:left w:val="single" w:color="000000" w:sz="6" w:space="0"/>
              <w:top w:val="nil"/>
              <w:bottom w:val="nil"/>
            </w:tcBorders>
          </w:tcPr>
          <w:p>
            <w:pPr>
              <w:rPr>
                <w:rFonts w:ascii="Arial"/>
                <w:sz w:val="21"/>
              </w:rPr>
            </w:pPr>
            <w:r/>
          </w:p>
        </w:tc>
        <w:tc>
          <w:tcPr>
            <w:tcW w:w="3853" w:type="dxa"/>
            <w:vAlign w:val="top"/>
          </w:tcPr>
          <w:p>
            <w:pPr>
              <w:pStyle w:val="TableText"/>
              <w:ind w:left="20"/>
              <w:spacing w:before="98" w:line="240" w:lineRule="exact"/>
              <w:rPr/>
            </w:pPr>
            <w:r>
              <w:rPr>
                <w:spacing w:val="-1"/>
                <w:position w:val="1"/>
              </w:rPr>
              <w:t>11.基本养老保险参保率（%）</w:t>
            </w:r>
          </w:p>
        </w:tc>
        <w:tc>
          <w:tcPr>
            <w:tcW w:w="773" w:type="dxa"/>
            <w:vAlign w:val="top"/>
          </w:tcPr>
          <w:p>
            <w:pPr>
              <w:pStyle w:val="TableText"/>
              <w:ind w:left="299"/>
              <w:spacing w:before="98" w:line="257" w:lineRule="exact"/>
              <w:rPr/>
            </w:pPr>
            <w:r>
              <w:rPr>
                <w:spacing w:val="-3"/>
                <w:position w:val="1"/>
              </w:rPr>
              <w:t>96</w:t>
            </w:r>
          </w:p>
        </w:tc>
        <w:tc>
          <w:tcPr>
            <w:tcW w:w="777" w:type="dxa"/>
            <w:vAlign w:val="top"/>
          </w:tcPr>
          <w:p>
            <w:pPr>
              <w:pStyle w:val="TableText"/>
              <w:ind w:left="302"/>
              <w:spacing w:before="98" w:line="257" w:lineRule="exact"/>
              <w:rPr/>
            </w:pPr>
            <w:r>
              <w:rPr>
                <w:spacing w:val="-3"/>
                <w:position w:val="1"/>
              </w:rPr>
              <w:t>97</w:t>
            </w:r>
          </w:p>
        </w:tc>
        <w:tc>
          <w:tcPr>
            <w:tcW w:w="1550" w:type="dxa"/>
            <w:vAlign w:val="top"/>
          </w:tcPr>
          <w:p>
            <w:pPr>
              <w:pStyle w:val="TableText"/>
              <w:ind w:left="623"/>
              <w:spacing w:before="98" w:line="246" w:lineRule="exact"/>
              <w:rPr/>
            </w:pPr>
            <w:r>
              <w:rPr>
                <w:spacing w:val="-20"/>
                <w:position w:val="1"/>
              </w:rPr>
              <w:t>[1.0]</w:t>
            </w:r>
          </w:p>
        </w:tc>
        <w:tc>
          <w:tcPr>
            <w:tcW w:w="716" w:type="dxa"/>
            <w:vAlign w:val="top"/>
            <w:tcBorders>
              <w:right w:val="single" w:color="000000" w:sz="6" w:space="0"/>
            </w:tcBorders>
          </w:tcPr>
          <w:p>
            <w:pPr>
              <w:pStyle w:val="TableText"/>
              <w:ind w:left="91"/>
              <w:spacing w:before="103" w:line="211" w:lineRule="auto"/>
              <w:rPr/>
            </w:pPr>
            <w:r>
              <w:rPr>
                <w:spacing w:val="-3"/>
              </w:rPr>
              <w:t>预期性</w:t>
            </w:r>
          </w:p>
        </w:tc>
      </w:tr>
      <w:tr>
        <w:trPr>
          <w:trHeight w:val="365" w:hRule="atLeast"/>
        </w:trPr>
        <w:tc>
          <w:tcPr>
            <w:tcW w:w="1090" w:type="dxa"/>
            <w:vAlign w:val="top"/>
            <w:vMerge w:val="continue"/>
            <w:tcBorders>
              <w:left w:val="single" w:color="000000" w:sz="6" w:space="0"/>
              <w:top w:val="nil"/>
              <w:bottom w:val="nil"/>
            </w:tcBorders>
          </w:tcPr>
          <w:p>
            <w:pPr>
              <w:rPr>
                <w:rFonts w:ascii="Arial"/>
                <w:sz w:val="21"/>
              </w:rPr>
            </w:pPr>
            <w:r/>
          </w:p>
        </w:tc>
        <w:tc>
          <w:tcPr>
            <w:tcW w:w="3853" w:type="dxa"/>
            <w:vAlign w:val="top"/>
          </w:tcPr>
          <w:p>
            <w:pPr>
              <w:pStyle w:val="TableText"/>
              <w:ind w:left="20"/>
              <w:spacing w:before="100" w:line="241" w:lineRule="exact"/>
              <w:rPr/>
            </w:pPr>
            <w:r>
              <w:rPr>
                <w:spacing w:val="-4"/>
                <w:position w:val="1"/>
              </w:rPr>
              <w:t>12.每千人口拥有</w:t>
            </w:r>
            <w:r>
              <w:rPr>
                <w:spacing w:val="-30"/>
                <w:position w:val="1"/>
              </w:rPr>
              <w:t xml:space="preserve"> </w:t>
            </w:r>
            <w:r>
              <w:rPr>
                <w:spacing w:val="-4"/>
                <w:position w:val="1"/>
              </w:rPr>
              <w:t>3</w:t>
            </w:r>
            <w:r>
              <w:rPr>
                <w:spacing w:val="-40"/>
                <w:position w:val="1"/>
              </w:rPr>
              <w:t xml:space="preserve"> </w:t>
            </w:r>
            <w:r>
              <w:rPr>
                <w:spacing w:val="-4"/>
                <w:position w:val="1"/>
              </w:rPr>
              <w:t>岁以下婴幼儿托位数（个）</w:t>
            </w:r>
          </w:p>
        </w:tc>
        <w:tc>
          <w:tcPr>
            <w:tcW w:w="773" w:type="dxa"/>
            <w:vAlign w:val="top"/>
          </w:tcPr>
          <w:p>
            <w:pPr>
              <w:pStyle w:val="TableText"/>
              <w:ind w:left="342"/>
              <w:spacing w:before="100" w:line="255" w:lineRule="exact"/>
              <w:rPr/>
            </w:pPr>
            <w:r>
              <w:rPr>
                <w:position w:val="1"/>
              </w:rPr>
              <w:t>0</w:t>
            </w:r>
          </w:p>
        </w:tc>
        <w:tc>
          <w:tcPr>
            <w:tcW w:w="777" w:type="dxa"/>
            <w:vAlign w:val="top"/>
          </w:tcPr>
          <w:p>
            <w:pPr>
              <w:pStyle w:val="TableText"/>
              <w:ind w:left="295"/>
              <w:spacing w:before="100" w:line="255" w:lineRule="exact"/>
              <w:rPr/>
            </w:pPr>
            <w:r>
              <w:rPr>
                <w:spacing w:val="-23"/>
                <w:position w:val="1"/>
              </w:rPr>
              <w:t>1.5</w:t>
            </w:r>
          </w:p>
        </w:tc>
        <w:tc>
          <w:tcPr>
            <w:tcW w:w="1550" w:type="dxa"/>
            <w:vAlign w:val="top"/>
          </w:tcPr>
          <w:p>
            <w:pPr>
              <w:pStyle w:val="TableText"/>
              <w:ind w:left="623"/>
              <w:spacing w:before="100" w:line="246" w:lineRule="exact"/>
              <w:rPr/>
            </w:pPr>
            <w:r>
              <w:rPr>
                <w:spacing w:val="-20"/>
                <w:position w:val="1"/>
              </w:rPr>
              <w:t>[1.5]</w:t>
            </w:r>
          </w:p>
        </w:tc>
        <w:tc>
          <w:tcPr>
            <w:tcW w:w="716" w:type="dxa"/>
            <w:vAlign w:val="top"/>
            <w:tcBorders>
              <w:right w:val="single" w:color="000000" w:sz="6" w:space="0"/>
            </w:tcBorders>
          </w:tcPr>
          <w:p>
            <w:pPr>
              <w:pStyle w:val="TableText"/>
              <w:ind w:left="93"/>
              <w:spacing w:before="102" w:line="214" w:lineRule="auto"/>
              <w:rPr/>
            </w:pPr>
            <w:r>
              <w:rPr>
                <w:spacing w:val="-3"/>
              </w:rPr>
              <w:t>约束性</w:t>
            </w:r>
          </w:p>
        </w:tc>
      </w:tr>
      <w:tr>
        <w:trPr>
          <w:trHeight w:val="365" w:hRule="atLeast"/>
        </w:trPr>
        <w:tc>
          <w:tcPr>
            <w:tcW w:w="1090" w:type="dxa"/>
            <w:vAlign w:val="top"/>
            <w:vMerge w:val="continue"/>
            <w:tcBorders>
              <w:left w:val="single" w:color="000000" w:sz="6" w:space="0"/>
              <w:top w:val="nil"/>
            </w:tcBorders>
          </w:tcPr>
          <w:p>
            <w:pPr>
              <w:rPr>
                <w:rFonts w:ascii="Arial"/>
                <w:sz w:val="21"/>
              </w:rPr>
            </w:pPr>
            <w:r/>
          </w:p>
        </w:tc>
        <w:tc>
          <w:tcPr>
            <w:tcW w:w="3853" w:type="dxa"/>
            <w:vAlign w:val="top"/>
          </w:tcPr>
          <w:p>
            <w:pPr>
              <w:pStyle w:val="TableText"/>
              <w:ind w:left="20"/>
              <w:spacing w:before="99" w:line="242" w:lineRule="exact"/>
              <w:rPr/>
            </w:pPr>
            <w:r>
              <w:rPr>
                <w:spacing w:val="-6"/>
                <w:position w:val="1"/>
              </w:rPr>
              <w:t>13.人均预期寿命（岁）</w:t>
            </w:r>
          </w:p>
        </w:tc>
        <w:tc>
          <w:tcPr>
            <w:tcW w:w="773" w:type="dxa"/>
            <w:vAlign w:val="top"/>
          </w:tcPr>
          <w:p>
            <w:pPr>
              <w:pStyle w:val="TableText"/>
              <w:ind w:left="231"/>
              <w:spacing w:before="99" w:line="256" w:lineRule="exact"/>
              <w:rPr/>
            </w:pPr>
            <w:r>
              <w:rPr>
                <w:spacing w:val="-13"/>
                <w:position w:val="1"/>
              </w:rPr>
              <w:t>76.8</w:t>
            </w:r>
          </w:p>
        </w:tc>
        <w:tc>
          <w:tcPr>
            <w:tcW w:w="777" w:type="dxa"/>
            <w:vAlign w:val="top"/>
          </w:tcPr>
          <w:p>
            <w:pPr>
              <w:pStyle w:val="TableText"/>
              <w:ind w:left="300"/>
              <w:spacing w:before="99" w:line="256" w:lineRule="exact"/>
              <w:rPr/>
            </w:pPr>
            <w:r>
              <w:rPr>
                <w:spacing w:val="-3"/>
                <w:position w:val="1"/>
              </w:rPr>
              <w:t>78</w:t>
            </w:r>
          </w:p>
        </w:tc>
        <w:tc>
          <w:tcPr>
            <w:tcW w:w="1550" w:type="dxa"/>
            <w:vAlign w:val="top"/>
          </w:tcPr>
          <w:p>
            <w:pPr>
              <w:pStyle w:val="TableText"/>
              <w:ind w:left="623"/>
              <w:spacing w:before="99" w:line="246" w:lineRule="exact"/>
              <w:rPr/>
            </w:pPr>
            <w:r>
              <w:rPr>
                <w:spacing w:val="-20"/>
                <w:position w:val="1"/>
              </w:rPr>
              <w:t>[1.2]</w:t>
            </w:r>
          </w:p>
        </w:tc>
        <w:tc>
          <w:tcPr>
            <w:tcW w:w="716" w:type="dxa"/>
            <w:vAlign w:val="top"/>
            <w:tcBorders>
              <w:right w:val="single" w:color="000000" w:sz="6" w:space="0"/>
            </w:tcBorders>
          </w:tcPr>
          <w:p>
            <w:pPr>
              <w:pStyle w:val="TableText"/>
              <w:ind w:left="91"/>
              <w:spacing w:before="104" w:line="211" w:lineRule="auto"/>
              <w:rPr/>
            </w:pPr>
            <w:r>
              <w:rPr>
                <w:spacing w:val="-3"/>
              </w:rPr>
              <w:t>预期性</w:t>
            </w:r>
          </w:p>
        </w:tc>
      </w:tr>
      <w:tr>
        <w:trPr>
          <w:trHeight w:val="366" w:hRule="atLeast"/>
        </w:trPr>
        <w:tc>
          <w:tcPr>
            <w:tcW w:w="1090" w:type="dxa"/>
            <w:vAlign w:val="top"/>
            <w:vMerge w:val="restart"/>
            <w:tcBorders>
              <w:left w:val="single" w:color="000000" w:sz="6" w:space="0"/>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80"/>
              <w:spacing w:before="58" w:line="210" w:lineRule="auto"/>
              <w:rPr/>
            </w:pPr>
            <w:r>
              <w:rPr>
                <w:spacing w:val="-2"/>
              </w:rPr>
              <w:t>绿色发展</w:t>
            </w:r>
          </w:p>
        </w:tc>
        <w:tc>
          <w:tcPr>
            <w:tcW w:w="3853" w:type="dxa"/>
            <w:vAlign w:val="top"/>
          </w:tcPr>
          <w:p>
            <w:pPr>
              <w:pStyle w:val="TableText"/>
              <w:ind w:left="20"/>
              <w:spacing w:before="101" w:line="242" w:lineRule="exact"/>
              <w:rPr/>
            </w:pPr>
            <w:r>
              <w:rPr>
                <w:spacing w:val="-1"/>
                <w:position w:val="1"/>
              </w:rPr>
              <w:t>14.非化石能源占能源消费总量比重（%）</w:t>
            </w:r>
          </w:p>
        </w:tc>
        <w:tc>
          <w:tcPr>
            <w:tcW w:w="773" w:type="dxa"/>
            <w:vAlign w:val="top"/>
          </w:tcPr>
          <w:p>
            <w:pPr>
              <w:pStyle w:val="TableText"/>
              <w:ind w:left="276"/>
              <w:spacing w:before="101" w:line="254" w:lineRule="exact"/>
              <w:rPr/>
            </w:pPr>
            <w:r>
              <w:rPr>
                <w:spacing w:val="-18"/>
                <w:position w:val="1"/>
              </w:rPr>
              <w:t>5.5</w:t>
            </w:r>
          </w:p>
        </w:tc>
        <w:tc>
          <w:tcPr>
            <w:tcW w:w="777" w:type="dxa"/>
            <w:vAlign w:val="top"/>
          </w:tcPr>
          <w:p>
            <w:pPr>
              <w:pStyle w:val="TableText"/>
              <w:ind w:left="347"/>
              <w:spacing w:before="101" w:line="254" w:lineRule="exact"/>
              <w:rPr/>
            </w:pPr>
            <w:r>
              <w:rPr>
                <w:position w:val="1"/>
              </w:rPr>
              <w:t>8</w:t>
            </w:r>
          </w:p>
        </w:tc>
        <w:tc>
          <w:tcPr>
            <w:tcW w:w="1550" w:type="dxa"/>
            <w:vAlign w:val="top"/>
          </w:tcPr>
          <w:p>
            <w:pPr>
              <w:pStyle w:val="TableText"/>
              <w:ind w:left="623"/>
              <w:spacing w:before="101" w:line="246" w:lineRule="exact"/>
              <w:rPr/>
            </w:pPr>
            <w:r>
              <w:rPr>
                <w:spacing w:val="-20"/>
                <w:position w:val="1"/>
              </w:rPr>
              <w:t>[2.5]</w:t>
            </w:r>
          </w:p>
        </w:tc>
        <w:tc>
          <w:tcPr>
            <w:tcW w:w="716" w:type="dxa"/>
            <w:vAlign w:val="top"/>
            <w:tcBorders>
              <w:right w:val="single" w:color="000000" w:sz="6" w:space="0"/>
            </w:tcBorders>
          </w:tcPr>
          <w:p>
            <w:pPr>
              <w:pStyle w:val="TableText"/>
              <w:ind w:left="91"/>
              <w:spacing w:before="106" w:line="211" w:lineRule="auto"/>
              <w:rPr/>
            </w:pPr>
            <w:r>
              <w:rPr>
                <w:spacing w:val="-3"/>
              </w:rPr>
              <w:t>预期性</w:t>
            </w:r>
          </w:p>
        </w:tc>
      </w:tr>
      <w:tr>
        <w:trPr>
          <w:trHeight w:val="365" w:hRule="atLeast"/>
        </w:trPr>
        <w:tc>
          <w:tcPr>
            <w:tcW w:w="1090" w:type="dxa"/>
            <w:vAlign w:val="top"/>
            <w:vMerge w:val="continue"/>
            <w:tcBorders>
              <w:left w:val="single" w:color="000000" w:sz="6" w:space="0"/>
              <w:top w:val="nil"/>
              <w:bottom w:val="nil"/>
            </w:tcBorders>
          </w:tcPr>
          <w:p>
            <w:pPr>
              <w:rPr>
                <w:rFonts w:ascii="Arial"/>
                <w:sz w:val="21"/>
              </w:rPr>
            </w:pPr>
            <w:r/>
          </w:p>
        </w:tc>
        <w:tc>
          <w:tcPr>
            <w:tcW w:w="3853" w:type="dxa"/>
            <w:vAlign w:val="top"/>
          </w:tcPr>
          <w:p>
            <w:pPr>
              <w:pStyle w:val="TableText"/>
              <w:ind w:left="20"/>
              <w:spacing w:before="102" w:line="241" w:lineRule="exact"/>
              <w:rPr/>
            </w:pPr>
            <w:r>
              <w:rPr>
                <w:spacing w:val="3"/>
                <w:position w:val="1"/>
              </w:rPr>
              <w:t>15.单位</w:t>
            </w:r>
            <w:r>
              <w:rPr>
                <w:spacing w:val="-33"/>
                <w:position w:val="1"/>
              </w:rPr>
              <w:t xml:space="preserve"> </w:t>
            </w:r>
            <w:r>
              <w:rPr>
                <w:position w:val="1"/>
              </w:rPr>
              <w:t>GDP</w:t>
            </w:r>
            <w:r>
              <w:rPr>
                <w:spacing w:val="-38"/>
                <w:position w:val="1"/>
              </w:rPr>
              <w:t xml:space="preserve"> </w:t>
            </w:r>
            <w:r>
              <w:rPr>
                <w:spacing w:val="3"/>
                <w:position w:val="1"/>
              </w:rPr>
              <w:t>能源消耗降低（%）</w:t>
            </w:r>
          </w:p>
        </w:tc>
        <w:tc>
          <w:tcPr>
            <w:tcW w:w="773" w:type="dxa"/>
            <w:vAlign w:val="top"/>
          </w:tcPr>
          <w:p>
            <w:pPr>
              <w:pStyle w:val="TableText"/>
              <w:ind w:left="338"/>
              <w:spacing w:before="269" w:line="37" w:lineRule="exact"/>
              <w:rPr/>
            </w:pPr>
            <w:r>
              <w:rPr>
                <w:position w:val="3"/>
              </w:rPr>
              <w:t>_</w:t>
            </w:r>
          </w:p>
        </w:tc>
        <w:tc>
          <w:tcPr>
            <w:tcW w:w="2327" w:type="dxa"/>
            <w:vAlign w:val="top"/>
            <w:gridSpan w:val="2"/>
          </w:tcPr>
          <w:p>
            <w:pPr>
              <w:pStyle w:val="TableText"/>
              <w:ind w:left="356"/>
              <w:spacing w:before="107" w:line="211" w:lineRule="auto"/>
              <w:rPr/>
            </w:pPr>
            <w:r>
              <w:rPr>
                <w:spacing w:val="-1"/>
              </w:rPr>
              <w:t>完成自治区下达指标</w:t>
            </w:r>
          </w:p>
        </w:tc>
        <w:tc>
          <w:tcPr>
            <w:tcW w:w="716" w:type="dxa"/>
            <w:vAlign w:val="top"/>
            <w:tcBorders>
              <w:right w:val="single" w:color="000000" w:sz="6" w:space="0"/>
            </w:tcBorders>
          </w:tcPr>
          <w:p>
            <w:pPr>
              <w:pStyle w:val="TableText"/>
              <w:ind w:left="93"/>
              <w:spacing w:before="104" w:line="214" w:lineRule="auto"/>
              <w:rPr/>
            </w:pPr>
            <w:r>
              <w:rPr>
                <w:spacing w:val="-3"/>
              </w:rPr>
              <w:t>约束性</w:t>
            </w:r>
          </w:p>
        </w:tc>
      </w:tr>
      <w:tr>
        <w:trPr>
          <w:trHeight w:val="365" w:hRule="atLeast"/>
        </w:trPr>
        <w:tc>
          <w:tcPr>
            <w:tcW w:w="1090" w:type="dxa"/>
            <w:vAlign w:val="top"/>
            <w:vMerge w:val="continue"/>
            <w:tcBorders>
              <w:left w:val="single" w:color="000000" w:sz="6" w:space="0"/>
              <w:top w:val="nil"/>
              <w:bottom w:val="nil"/>
            </w:tcBorders>
          </w:tcPr>
          <w:p>
            <w:pPr>
              <w:rPr>
                <w:rFonts w:ascii="Arial"/>
                <w:sz w:val="21"/>
              </w:rPr>
            </w:pPr>
            <w:r/>
          </w:p>
        </w:tc>
        <w:tc>
          <w:tcPr>
            <w:tcW w:w="3853" w:type="dxa"/>
            <w:vAlign w:val="top"/>
          </w:tcPr>
          <w:p>
            <w:pPr>
              <w:pStyle w:val="TableText"/>
              <w:ind w:left="20"/>
              <w:spacing w:before="101" w:line="240" w:lineRule="exact"/>
              <w:rPr/>
            </w:pPr>
            <w:r>
              <w:rPr>
                <w:spacing w:val="3"/>
                <w:position w:val="1"/>
              </w:rPr>
              <w:t>16.单位</w:t>
            </w:r>
            <w:r>
              <w:rPr>
                <w:spacing w:val="-36"/>
                <w:position w:val="1"/>
              </w:rPr>
              <w:t xml:space="preserve"> </w:t>
            </w:r>
            <w:r>
              <w:rPr>
                <w:position w:val="1"/>
              </w:rPr>
              <w:t>GDP</w:t>
            </w:r>
            <w:r>
              <w:rPr>
                <w:spacing w:val="-41"/>
                <w:position w:val="1"/>
              </w:rPr>
              <w:t xml:space="preserve"> </w:t>
            </w:r>
            <w:r>
              <w:rPr>
                <w:spacing w:val="3"/>
                <w:position w:val="1"/>
              </w:rPr>
              <w:t>二氧化碳排放降低（%）</w:t>
            </w:r>
          </w:p>
        </w:tc>
        <w:tc>
          <w:tcPr>
            <w:tcW w:w="773" w:type="dxa"/>
            <w:vAlign w:val="top"/>
          </w:tcPr>
          <w:p>
            <w:pPr>
              <w:pStyle w:val="TableText"/>
              <w:ind w:left="338"/>
              <w:spacing w:before="269" w:line="36" w:lineRule="exact"/>
              <w:rPr/>
            </w:pPr>
            <w:r>
              <w:rPr>
                <w:position w:val="3"/>
              </w:rPr>
              <w:t>_</w:t>
            </w:r>
          </w:p>
        </w:tc>
        <w:tc>
          <w:tcPr>
            <w:tcW w:w="2327" w:type="dxa"/>
            <w:vAlign w:val="top"/>
            <w:gridSpan w:val="2"/>
          </w:tcPr>
          <w:p>
            <w:pPr>
              <w:pStyle w:val="TableText"/>
              <w:ind w:left="356"/>
              <w:spacing w:before="107" w:line="211" w:lineRule="auto"/>
              <w:rPr/>
            </w:pPr>
            <w:r>
              <w:rPr>
                <w:spacing w:val="-1"/>
              </w:rPr>
              <w:t>完成自治区下达指标</w:t>
            </w:r>
          </w:p>
        </w:tc>
        <w:tc>
          <w:tcPr>
            <w:tcW w:w="716" w:type="dxa"/>
            <w:vAlign w:val="top"/>
            <w:tcBorders>
              <w:right w:val="single" w:color="000000" w:sz="6" w:space="0"/>
            </w:tcBorders>
          </w:tcPr>
          <w:p>
            <w:pPr>
              <w:pStyle w:val="TableText"/>
              <w:ind w:left="93"/>
              <w:spacing w:before="104" w:line="214" w:lineRule="auto"/>
              <w:rPr/>
            </w:pPr>
            <w:r>
              <w:rPr>
                <w:spacing w:val="-3"/>
              </w:rPr>
              <w:t>约束性</w:t>
            </w:r>
          </w:p>
        </w:tc>
      </w:tr>
      <w:tr>
        <w:trPr>
          <w:trHeight w:val="366" w:hRule="atLeast"/>
        </w:trPr>
        <w:tc>
          <w:tcPr>
            <w:tcW w:w="1090" w:type="dxa"/>
            <w:vAlign w:val="top"/>
            <w:vMerge w:val="continue"/>
            <w:tcBorders>
              <w:left w:val="single" w:color="000000" w:sz="6" w:space="0"/>
              <w:top w:val="nil"/>
              <w:bottom w:val="nil"/>
            </w:tcBorders>
          </w:tcPr>
          <w:p>
            <w:pPr>
              <w:rPr>
                <w:rFonts w:ascii="Arial"/>
                <w:sz w:val="21"/>
              </w:rPr>
            </w:pPr>
            <w:r/>
          </w:p>
        </w:tc>
        <w:tc>
          <w:tcPr>
            <w:tcW w:w="3853" w:type="dxa"/>
            <w:vAlign w:val="top"/>
          </w:tcPr>
          <w:p>
            <w:pPr>
              <w:pStyle w:val="TableText"/>
              <w:ind w:left="20"/>
              <w:spacing w:before="103" w:line="241" w:lineRule="exact"/>
              <w:rPr/>
            </w:pPr>
            <w:r>
              <w:rPr>
                <w:spacing w:val="3"/>
                <w:position w:val="1"/>
              </w:rPr>
              <w:t>17.单位</w:t>
            </w:r>
            <w:r>
              <w:rPr>
                <w:spacing w:val="-27"/>
                <w:position w:val="1"/>
              </w:rPr>
              <w:t xml:space="preserve"> </w:t>
            </w:r>
            <w:r>
              <w:rPr>
                <w:position w:val="1"/>
              </w:rPr>
              <w:t>GDP</w:t>
            </w:r>
            <w:r>
              <w:rPr>
                <w:spacing w:val="-41"/>
                <w:position w:val="1"/>
              </w:rPr>
              <w:t xml:space="preserve"> </w:t>
            </w:r>
            <w:r>
              <w:rPr>
                <w:spacing w:val="3"/>
                <w:position w:val="1"/>
              </w:rPr>
              <w:t>用水量降低（%）</w:t>
            </w:r>
          </w:p>
        </w:tc>
        <w:tc>
          <w:tcPr>
            <w:tcW w:w="773" w:type="dxa"/>
            <w:vAlign w:val="top"/>
          </w:tcPr>
          <w:p>
            <w:pPr>
              <w:pStyle w:val="TableText"/>
              <w:ind w:left="344"/>
              <w:spacing w:before="103" w:line="246" w:lineRule="exact"/>
              <w:rPr/>
            </w:pPr>
            <w:r>
              <w:rPr>
                <w:spacing w:val="-13"/>
                <w:position w:val="1"/>
              </w:rPr>
              <w:t>[19]</w:t>
            </w:r>
          </w:p>
        </w:tc>
        <w:tc>
          <w:tcPr>
            <w:tcW w:w="777" w:type="dxa"/>
            <w:vAlign w:val="top"/>
          </w:tcPr>
          <w:p>
            <w:pPr>
              <w:pStyle w:val="TableText"/>
              <w:ind w:left="300"/>
              <w:spacing w:before="103" w:line="246" w:lineRule="exact"/>
              <w:rPr/>
            </w:pPr>
            <w:r>
              <w:rPr>
                <w:spacing w:val="-17"/>
                <w:position w:val="1"/>
              </w:rPr>
              <w:t>[8]</w:t>
            </w:r>
          </w:p>
        </w:tc>
        <w:tc>
          <w:tcPr>
            <w:tcW w:w="1550" w:type="dxa"/>
            <w:vAlign w:val="top"/>
          </w:tcPr>
          <w:p>
            <w:pPr>
              <w:pStyle w:val="TableText"/>
              <w:ind w:left="729"/>
              <w:spacing w:before="270" w:line="37" w:lineRule="exact"/>
              <w:rPr/>
            </w:pPr>
            <w:r>
              <w:rPr>
                <w:position w:val="3"/>
              </w:rPr>
              <w:t>_</w:t>
            </w:r>
          </w:p>
        </w:tc>
        <w:tc>
          <w:tcPr>
            <w:tcW w:w="716" w:type="dxa"/>
            <w:vAlign w:val="top"/>
            <w:tcBorders>
              <w:right w:val="single" w:color="000000" w:sz="6" w:space="0"/>
            </w:tcBorders>
          </w:tcPr>
          <w:p>
            <w:pPr>
              <w:pStyle w:val="TableText"/>
              <w:ind w:left="93"/>
              <w:spacing w:before="105" w:line="214" w:lineRule="auto"/>
              <w:rPr/>
            </w:pPr>
            <w:r>
              <w:rPr>
                <w:spacing w:val="-3"/>
              </w:rPr>
              <w:t>约束性</w:t>
            </w:r>
          </w:p>
        </w:tc>
      </w:tr>
      <w:tr>
        <w:trPr>
          <w:trHeight w:val="365" w:hRule="atLeast"/>
        </w:trPr>
        <w:tc>
          <w:tcPr>
            <w:tcW w:w="1090" w:type="dxa"/>
            <w:vAlign w:val="top"/>
            <w:vMerge w:val="continue"/>
            <w:tcBorders>
              <w:left w:val="single" w:color="000000" w:sz="6" w:space="0"/>
              <w:top w:val="nil"/>
              <w:bottom w:val="nil"/>
            </w:tcBorders>
          </w:tcPr>
          <w:p>
            <w:pPr>
              <w:rPr>
                <w:rFonts w:ascii="Arial"/>
                <w:sz w:val="21"/>
              </w:rPr>
            </w:pPr>
            <w:r/>
          </w:p>
        </w:tc>
        <w:tc>
          <w:tcPr>
            <w:tcW w:w="3853" w:type="dxa"/>
            <w:vAlign w:val="top"/>
          </w:tcPr>
          <w:p>
            <w:pPr>
              <w:pStyle w:val="TableText"/>
              <w:spacing w:before="104" w:line="241" w:lineRule="exact"/>
              <w:jc w:val="right"/>
              <w:rPr/>
            </w:pPr>
            <w:r>
              <w:rPr>
                <w:spacing w:val="-6"/>
                <w:position w:val="1"/>
              </w:rPr>
              <w:t>18.地级以及以上城市空气质量优良天数比率（%）</w:t>
            </w:r>
          </w:p>
        </w:tc>
        <w:tc>
          <w:tcPr>
            <w:tcW w:w="773" w:type="dxa"/>
            <w:vAlign w:val="top"/>
          </w:tcPr>
          <w:p>
            <w:pPr>
              <w:pStyle w:val="TableText"/>
              <w:ind w:left="232"/>
              <w:spacing w:before="104" w:line="251" w:lineRule="exact"/>
              <w:rPr/>
            </w:pPr>
            <w:r>
              <w:rPr>
                <w:spacing w:val="-14"/>
                <w:position w:val="1"/>
              </w:rPr>
              <w:t>94.3</w:t>
            </w:r>
          </w:p>
        </w:tc>
        <w:tc>
          <w:tcPr>
            <w:tcW w:w="777" w:type="dxa"/>
            <w:vAlign w:val="top"/>
          </w:tcPr>
          <w:p>
            <w:pPr>
              <w:pStyle w:val="TableText"/>
              <w:ind w:left="234"/>
              <w:spacing w:before="104" w:line="251" w:lineRule="exact"/>
              <w:rPr/>
            </w:pPr>
            <w:r>
              <w:rPr>
                <w:spacing w:val="-10"/>
                <w:position w:val="1"/>
              </w:rPr>
              <w:t>≥90</w:t>
            </w:r>
          </w:p>
        </w:tc>
        <w:tc>
          <w:tcPr>
            <w:tcW w:w="1550" w:type="dxa"/>
            <w:vAlign w:val="top"/>
          </w:tcPr>
          <w:p>
            <w:pPr>
              <w:pStyle w:val="TableText"/>
              <w:ind w:left="729"/>
              <w:spacing w:before="271" w:line="37" w:lineRule="exact"/>
              <w:rPr/>
            </w:pPr>
            <w:r>
              <w:rPr>
                <w:position w:val="3"/>
              </w:rPr>
              <w:t>_</w:t>
            </w:r>
          </w:p>
        </w:tc>
        <w:tc>
          <w:tcPr>
            <w:tcW w:w="716" w:type="dxa"/>
            <w:vAlign w:val="top"/>
            <w:tcBorders>
              <w:right w:val="single" w:color="000000" w:sz="6" w:space="0"/>
            </w:tcBorders>
          </w:tcPr>
          <w:p>
            <w:pPr>
              <w:pStyle w:val="TableText"/>
              <w:ind w:left="91"/>
              <w:spacing w:before="108" w:line="211" w:lineRule="auto"/>
              <w:rPr/>
            </w:pPr>
            <w:r>
              <w:rPr>
                <w:spacing w:val="-3"/>
              </w:rPr>
              <w:t>预期性</w:t>
            </w:r>
          </w:p>
        </w:tc>
      </w:tr>
      <w:tr>
        <w:trPr>
          <w:trHeight w:val="365" w:hRule="atLeast"/>
        </w:trPr>
        <w:tc>
          <w:tcPr>
            <w:tcW w:w="1090" w:type="dxa"/>
            <w:vAlign w:val="top"/>
            <w:vMerge w:val="continue"/>
            <w:tcBorders>
              <w:left w:val="single" w:color="000000" w:sz="6" w:space="0"/>
              <w:top w:val="nil"/>
              <w:bottom w:val="nil"/>
            </w:tcBorders>
          </w:tcPr>
          <w:p>
            <w:pPr>
              <w:rPr>
                <w:rFonts w:ascii="Arial"/>
                <w:sz w:val="21"/>
              </w:rPr>
            </w:pPr>
            <w:r/>
          </w:p>
        </w:tc>
        <w:tc>
          <w:tcPr>
            <w:tcW w:w="3853" w:type="dxa"/>
            <w:vAlign w:val="top"/>
          </w:tcPr>
          <w:p>
            <w:pPr>
              <w:pStyle w:val="TableText"/>
              <w:ind w:left="20"/>
              <w:spacing w:before="103" w:line="241" w:lineRule="exact"/>
              <w:rPr/>
            </w:pPr>
            <w:r>
              <w:rPr>
                <w:spacing w:val="-1"/>
                <w:position w:val="1"/>
              </w:rPr>
              <w:t>19.地表水质量达到或优于Ⅲ类水体比例（%）</w:t>
            </w:r>
          </w:p>
        </w:tc>
        <w:tc>
          <w:tcPr>
            <w:tcW w:w="773" w:type="dxa"/>
            <w:vAlign w:val="top"/>
          </w:tcPr>
          <w:p>
            <w:pPr>
              <w:pStyle w:val="TableText"/>
              <w:ind w:left="302"/>
              <w:spacing w:before="103" w:line="252" w:lineRule="exact"/>
              <w:rPr/>
            </w:pPr>
            <w:r>
              <w:rPr>
                <w:spacing w:val="-4"/>
                <w:position w:val="1"/>
              </w:rPr>
              <w:t>80</w:t>
            </w:r>
          </w:p>
        </w:tc>
        <w:tc>
          <w:tcPr>
            <w:tcW w:w="777" w:type="dxa"/>
            <w:vAlign w:val="top"/>
          </w:tcPr>
          <w:p>
            <w:pPr>
              <w:pStyle w:val="TableText"/>
              <w:ind w:left="300"/>
              <w:spacing w:before="103" w:line="252" w:lineRule="exact"/>
              <w:rPr/>
            </w:pPr>
            <w:r>
              <w:rPr>
                <w:spacing w:val="-3"/>
                <w:position w:val="1"/>
              </w:rPr>
              <w:t>75</w:t>
            </w:r>
          </w:p>
        </w:tc>
        <w:tc>
          <w:tcPr>
            <w:tcW w:w="1550" w:type="dxa"/>
            <w:vAlign w:val="top"/>
          </w:tcPr>
          <w:p>
            <w:pPr>
              <w:pStyle w:val="TableText"/>
              <w:ind w:left="729"/>
              <w:spacing w:before="271" w:line="36" w:lineRule="exact"/>
              <w:rPr/>
            </w:pPr>
            <w:r>
              <w:rPr>
                <w:position w:val="3"/>
              </w:rPr>
              <w:t>_</w:t>
            </w:r>
          </w:p>
        </w:tc>
        <w:tc>
          <w:tcPr>
            <w:tcW w:w="716" w:type="dxa"/>
            <w:vAlign w:val="top"/>
            <w:tcBorders>
              <w:right w:val="single" w:color="000000" w:sz="6" w:space="0"/>
            </w:tcBorders>
          </w:tcPr>
          <w:p>
            <w:pPr>
              <w:pStyle w:val="TableText"/>
              <w:ind w:left="91"/>
              <w:spacing w:before="108" w:line="211" w:lineRule="auto"/>
              <w:rPr/>
            </w:pPr>
            <w:r>
              <w:rPr>
                <w:spacing w:val="-3"/>
              </w:rPr>
              <w:t>预期性</w:t>
            </w:r>
          </w:p>
        </w:tc>
      </w:tr>
      <w:tr>
        <w:trPr>
          <w:trHeight w:val="365" w:hRule="atLeast"/>
        </w:trPr>
        <w:tc>
          <w:tcPr>
            <w:tcW w:w="1090" w:type="dxa"/>
            <w:vAlign w:val="top"/>
            <w:vMerge w:val="continue"/>
            <w:tcBorders>
              <w:left w:val="single" w:color="000000" w:sz="6" w:space="0"/>
              <w:top w:val="nil"/>
              <w:bottom w:val="nil"/>
            </w:tcBorders>
          </w:tcPr>
          <w:p>
            <w:pPr>
              <w:rPr>
                <w:rFonts w:ascii="Arial"/>
                <w:sz w:val="21"/>
              </w:rPr>
            </w:pPr>
            <w:r/>
          </w:p>
        </w:tc>
        <w:tc>
          <w:tcPr>
            <w:tcW w:w="3853" w:type="dxa"/>
            <w:vAlign w:val="top"/>
          </w:tcPr>
          <w:p>
            <w:pPr>
              <w:pStyle w:val="TableText"/>
              <w:ind w:left="5"/>
              <w:spacing w:before="105" w:line="241" w:lineRule="exact"/>
              <w:rPr/>
            </w:pPr>
            <w:r>
              <w:rPr>
                <w:position w:val="1"/>
              </w:rPr>
              <w:t>20.森林覆盖率（%）</w:t>
            </w:r>
          </w:p>
        </w:tc>
        <w:tc>
          <w:tcPr>
            <w:tcW w:w="773" w:type="dxa"/>
            <w:vAlign w:val="top"/>
          </w:tcPr>
          <w:p>
            <w:pPr>
              <w:pStyle w:val="TableText"/>
              <w:ind w:left="235"/>
              <w:spacing w:before="105" w:line="250" w:lineRule="exact"/>
              <w:rPr/>
            </w:pPr>
            <w:r>
              <w:rPr>
                <w:spacing w:val="-14"/>
                <w:position w:val="1"/>
              </w:rPr>
              <w:t>30.1</w:t>
            </w:r>
          </w:p>
        </w:tc>
        <w:tc>
          <w:tcPr>
            <w:tcW w:w="777" w:type="dxa"/>
            <w:vAlign w:val="top"/>
          </w:tcPr>
          <w:p>
            <w:pPr>
              <w:pStyle w:val="TableText"/>
              <w:ind w:left="237"/>
              <w:spacing w:before="105" w:line="250" w:lineRule="exact"/>
              <w:rPr/>
            </w:pPr>
            <w:r>
              <w:rPr>
                <w:spacing w:val="-14"/>
                <w:position w:val="1"/>
              </w:rPr>
              <w:t>33.6</w:t>
            </w:r>
          </w:p>
        </w:tc>
        <w:tc>
          <w:tcPr>
            <w:tcW w:w="1550" w:type="dxa"/>
            <w:vAlign w:val="top"/>
          </w:tcPr>
          <w:p>
            <w:pPr>
              <w:pStyle w:val="TableText"/>
              <w:ind w:left="623"/>
              <w:spacing w:before="105" w:line="246" w:lineRule="exact"/>
              <w:rPr/>
            </w:pPr>
            <w:r>
              <w:rPr>
                <w:spacing w:val="-20"/>
                <w:position w:val="1"/>
              </w:rPr>
              <w:t>[3.5]</w:t>
            </w:r>
          </w:p>
        </w:tc>
        <w:tc>
          <w:tcPr>
            <w:tcW w:w="716" w:type="dxa"/>
            <w:vAlign w:val="top"/>
            <w:tcBorders>
              <w:right w:val="single" w:color="000000" w:sz="6" w:space="0"/>
            </w:tcBorders>
          </w:tcPr>
          <w:p>
            <w:pPr>
              <w:pStyle w:val="TableText"/>
              <w:ind w:left="93"/>
              <w:spacing w:before="107" w:line="214" w:lineRule="auto"/>
              <w:rPr/>
            </w:pPr>
            <w:r>
              <w:rPr>
                <w:spacing w:val="-3"/>
              </w:rPr>
              <w:t>约束性</w:t>
            </w:r>
          </w:p>
        </w:tc>
      </w:tr>
      <w:tr>
        <w:trPr>
          <w:trHeight w:val="365" w:hRule="atLeast"/>
        </w:trPr>
        <w:tc>
          <w:tcPr>
            <w:tcW w:w="1090" w:type="dxa"/>
            <w:vAlign w:val="top"/>
            <w:vMerge w:val="continue"/>
            <w:tcBorders>
              <w:left w:val="single" w:color="000000" w:sz="6" w:space="0"/>
              <w:top w:val="nil"/>
              <w:bottom w:val="nil"/>
            </w:tcBorders>
          </w:tcPr>
          <w:p>
            <w:pPr>
              <w:rPr>
                <w:rFonts w:ascii="Arial"/>
                <w:sz w:val="21"/>
              </w:rPr>
            </w:pPr>
            <w:r/>
          </w:p>
        </w:tc>
        <w:tc>
          <w:tcPr>
            <w:tcW w:w="3853" w:type="dxa"/>
            <w:vAlign w:val="top"/>
          </w:tcPr>
          <w:p>
            <w:pPr>
              <w:pStyle w:val="TableText"/>
              <w:ind w:left="5"/>
              <w:spacing w:before="107" w:line="241" w:lineRule="exact"/>
              <w:rPr/>
            </w:pPr>
            <w:r>
              <w:rPr>
                <w:position w:val="1"/>
              </w:rPr>
              <w:t>21.湿地保护率（%）</w:t>
            </w:r>
          </w:p>
        </w:tc>
        <w:tc>
          <w:tcPr>
            <w:tcW w:w="773" w:type="dxa"/>
            <w:vAlign w:val="top"/>
          </w:tcPr>
          <w:p>
            <w:pPr>
              <w:pStyle w:val="TableText"/>
              <w:ind w:left="233"/>
              <w:spacing w:before="107" w:line="247" w:lineRule="exact"/>
              <w:rPr/>
            </w:pPr>
            <w:r>
              <w:rPr>
                <w:spacing w:val="-14"/>
                <w:position w:val="1"/>
              </w:rPr>
              <w:t>51.6</w:t>
            </w:r>
          </w:p>
        </w:tc>
        <w:tc>
          <w:tcPr>
            <w:tcW w:w="777" w:type="dxa"/>
            <w:vAlign w:val="top"/>
          </w:tcPr>
          <w:p>
            <w:pPr>
              <w:pStyle w:val="TableText"/>
              <w:ind w:left="235"/>
              <w:spacing w:before="107" w:line="247" w:lineRule="exact"/>
              <w:rPr/>
            </w:pPr>
            <w:r>
              <w:rPr>
                <w:spacing w:val="-14"/>
                <w:position w:val="1"/>
              </w:rPr>
              <w:t>56.2</w:t>
            </w:r>
          </w:p>
        </w:tc>
        <w:tc>
          <w:tcPr>
            <w:tcW w:w="1550" w:type="dxa"/>
            <w:vAlign w:val="top"/>
          </w:tcPr>
          <w:p>
            <w:pPr>
              <w:pStyle w:val="TableText"/>
              <w:ind w:left="623"/>
              <w:spacing w:before="107" w:line="246" w:lineRule="exact"/>
              <w:rPr/>
            </w:pPr>
            <w:r>
              <w:rPr>
                <w:spacing w:val="-20"/>
                <w:position w:val="1"/>
              </w:rPr>
              <w:t>[4.6]</w:t>
            </w:r>
          </w:p>
        </w:tc>
        <w:tc>
          <w:tcPr>
            <w:tcW w:w="716" w:type="dxa"/>
            <w:vAlign w:val="top"/>
            <w:tcBorders>
              <w:right w:val="single" w:color="000000" w:sz="6" w:space="0"/>
            </w:tcBorders>
          </w:tcPr>
          <w:p>
            <w:pPr>
              <w:pStyle w:val="TableText"/>
              <w:ind w:left="91"/>
              <w:spacing w:before="111" w:line="211" w:lineRule="auto"/>
              <w:rPr/>
            </w:pPr>
            <w:r>
              <w:rPr>
                <w:spacing w:val="-3"/>
              </w:rPr>
              <w:t>预期性</w:t>
            </w:r>
          </w:p>
        </w:tc>
      </w:tr>
      <w:tr>
        <w:trPr>
          <w:trHeight w:val="365" w:hRule="atLeast"/>
        </w:trPr>
        <w:tc>
          <w:tcPr>
            <w:tcW w:w="1090" w:type="dxa"/>
            <w:vAlign w:val="top"/>
            <w:vMerge w:val="continue"/>
            <w:tcBorders>
              <w:left w:val="single" w:color="000000" w:sz="6" w:space="0"/>
              <w:top w:val="nil"/>
            </w:tcBorders>
          </w:tcPr>
          <w:p>
            <w:pPr>
              <w:rPr>
                <w:rFonts w:ascii="Arial"/>
                <w:sz w:val="21"/>
              </w:rPr>
            </w:pPr>
            <w:r/>
          </w:p>
        </w:tc>
        <w:tc>
          <w:tcPr>
            <w:tcW w:w="3853" w:type="dxa"/>
            <w:vAlign w:val="top"/>
          </w:tcPr>
          <w:p>
            <w:pPr>
              <w:pStyle w:val="TableText"/>
              <w:ind w:left="5"/>
              <w:spacing w:before="106" w:line="241" w:lineRule="exact"/>
              <w:rPr/>
            </w:pPr>
            <w:r>
              <w:rPr>
                <w:position w:val="1"/>
              </w:rPr>
              <w:t>22.水土保持率（%）</w:t>
            </w:r>
          </w:p>
        </w:tc>
        <w:tc>
          <w:tcPr>
            <w:tcW w:w="773" w:type="dxa"/>
            <w:vAlign w:val="top"/>
          </w:tcPr>
          <w:p>
            <w:pPr>
              <w:pStyle w:val="TableText"/>
              <w:ind w:left="298"/>
              <w:spacing w:before="106" w:line="248" w:lineRule="exact"/>
              <w:rPr/>
            </w:pPr>
            <w:r>
              <w:rPr>
                <w:spacing w:val="-3"/>
                <w:position w:val="1"/>
              </w:rPr>
              <w:t>76</w:t>
            </w:r>
          </w:p>
        </w:tc>
        <w:tc>
          <w:tcPr>
            <w:tcW w:w="777" w:type="dxa"/>
            <w:vAlign w:val="top"/>
          </w:tcPr>
          <w:p>
            <w:pPr>
              <w:pStyle w:val="TableText"/>
              <w:ind w:left="304"/>
              <w:spacing w:before="106" w:line="248" w:lineRule="exact"/>
              <w:rPr/>
            </w:pPr>
            <w:r>
              <w:rPr>
                <w:spacing w:val="-4"/>
                <w:position w:val="1"/>
              </w:rPr>
              <w:t>87</w:t>
            </w:r>
          </w:p>
        </w:tc>
        <w:tc>
          <w:tcPr>
            <w:tcW w:w="1550" w:type="dxa"/>
            <w:vAlign w:val="top"/>
          </w:tcPr>
          <w:p>
            <w:pPr>
              <w:pStyle w:val="TableText"/>
              <w:ind w:left="644"/>
              <w:spacing w:before="106" w:line="246" w:lineRule="exact"/>
              <w:rPr/>
            </w:pPr>
            <w:r>
              <w:rPr>
                <w:spacing w:val="-13"/>
                <w:position w:val="1"/>
              </w:rPr>
              <w:t>[11]</w:t>
            </w:r>
          </w:p>
        </w:tc>
        <w:tc>
          <w:tcPr>
            <w:tcW w:w="716" w:type="dxa"/>
            <w:vAlign w:val="top"/>
            <w:tcBorders>
              <w:right w:val="single" w:color="000000" w:sz="6" w:space="0"/>
            </w:tcBorders>
          </w:tcPr>
          <w:p>
            <w:pPr>
              <w:pStyle w:val="TableText"/>
              <w:ind w:left="91"/>
              <w:spacing w:before="111" w:line="211" w:lineRule="auto"/>
              <w:rPr/>
            </w:pPr>
            <w:r>
              <w:rPr>
                <w:spacing w:val="-3"/>
              </w:rPr>
              <w:t>预期性</w:t>
            </w:r>
          </w:p>
        </w:tc>
      </w:tr>
      <w:tr>
        <w:trPr>
          <w:trHeight w:val="365" w:hRule="atLeast"/>
        </w:trPr>
        <w:tc>
          <w:tcPr>
            <w:tcW w:w="1090" w:type="dxa"/>
            <w:vAlign w:val="top"/>
            <w:vMerge w:val="restart"/>
            <w:tcBorders>
              <w:left w:val="single" w:color="000000" w:sz="6" w:space="0"/>
              <w:bottom w:val="nil"/>
            </w:tcBorders>
          </w:tcPr>
          <w:p>
            <w:pPr>
              <w:pStyle w:val="TableText"/>
              <w:ind w:left="180"/>
              <w:spacing w:before="298" w:line="214" w:lineRule="auto"/>
              <w:rPr/>
            </w:pPr>
            <w:r>
              <w:rPr>
                <w:spacing w:val="-2"/>
              </w:rPr>
              <w:t>安全保障</w:t>
            </w:r>
          </w:p>
        </w:tc>
        <w:tc>
          <w:tcPr>
            <w:tcW w:w="3853" w:type="dxa"/>
            <w:vAlign w:val="top"/>
          </w:tcPr>
          <w:p>
            <w:pPr>
              <w:pStyle w:val="TableText"/>
              <w:ind w:left="5"/>
              <w:spacing w:before="108" w:line="240" w:lineRule="exact"/>
              <w:rPr/>
            </w:pPr>
            <w:r>
              <w:rPr>
                <w:spacing w:val="-4"/>
                <w:position w:val="1"/>
              </w:rPr>
              <w:t>23.粮食综合生产能力（万吨）</w:t>
            </w:r>
          </w:p>
        </w:tc>
        <w:tc>
          <w:tcPr>
            <w:tcW w:w="773" w:type="dxa"/>
            <w:vAlign w:val="top"/>
          </w:tcPr>
          <w:p>
            <w:pPr>
              <w:pStyle w:val="TableText"/>
              <w:ind w:left="232"/>
              <w:spacing w:before="108" w:line="247" w:lineRule="exact"/>
              <w:rPr/>
            </w:pPr>
            <w:r>
              <w:rPr>
                <w:spacing w:val="-14"/>
                <w:position w:val="1"/>
              </w:rPr>
              <w:t>91.3</w:t>
            </w:r>
          </w:p>
        </w:tc>
        <w:tc>
          <w:tcPr>
            <w:tcW w:w="777" w:type="dxa"/>
            <w:vAlign w:val="top"/>
          </w:tcPr>
          <w:p>
            <w:pPr>
              <w:pStyle w:val="TableText"/>
              <w:ind w:left="254"/>
              <w:spacing w:before="108" w:line="247" w:lineRule="exact"/>
              <w:rPr/>
            </w:pPr>
            <w:r>
              <w:rPr>
                <w:spacing w:val="-1"/>
                <w:position w:val="1"/>
              </w:rPr>
              <w:t>&gt;80</w:t>
            </w:r>
          </w:p>
        </w:tc>
        <w:tc>
          <w:tcPr>
            <w:tcW w:w="1550" w:type="dxa"/>
            <w:vAlign w:val="top"/>
          </w:tcPr>
          <w:p>
            <w:pPr>
              <w:pStyle w:val="TableText"/>
              <w:ind w:left="729"/>
              <w:spacing w:before="275" w:line="37" w:lineRule="exact"/>
              <w:rPr/>
            </w:pPr>
            <w:r>
              <w:rPr>
                <w:position w:val="3"/>
              </w:rPr>
              <w:t>_</w:t>
            </w:r>
          </w:p>
        </w:tc>
        <w:tc>
          <w:tcPr>
            <w:tcW w:w="716" w:type="dxa"/>
            <w:vAlign w:val="top"/>
            <w:tcBorders>
              <w:right w:val="single" w:color="000000" w:sz="6" w:space="0"/>
            </w:tcBorders>
          </w:tcPr>
          <w:p>
            <w:pPr>
              <w:pStyle w:val="TableText"/>
              <w:ind w:left="93"/>
              <w:spacing w:before="110" w:line="214" w:lineRule="auto"/>
              <w:rPr/>
            </w:pPr>
            <w:r>
              <w:rPr>
                <w:spacing w:val="-3"/>
              </w:rPr>
              <w:t>约束性</w:t>
            </w:r>
          </w:p>
        </w:tc>
      </w:tr>
      <w:tr>
        <w:trPr>
          <w:trHeight w:val="377" w:hRule="atLeast"/>
        </w:trPr>
        <w:tc>
          <w:tcPr>
            <w:tcW w:w="1090" w:type="dxa"/>
            <w:vAlign w:val="top"/>
            <w:vMerge w:val="continue"/>
            <w:tcBorders>
              <w:left w:val="single" w:color="000000" w:sz="6" w:space="0"/>
              <w:bottom w:val="single" w:color="000000" w:sz="6" w:space="0"/>
              <w:top w:val="nil"/>
            </w:tcBorders>
          </w:tcPr>
          <w:p>
            <w:pPr>
              <w:rPr>
                <w:rFonts w:ascii="Arial"/>
                <w:sz w:val="21"/>
              </w:rPr>
            </w:pPr>
            <w:r/>
          </w:p>
        </w:tc>
        <w:tc>
          <w:tcPr>
            <w:tcW w:w="3853" w:type="dxa"/>
            <w:vAlign w:val="top"/>
            <w:tcBorders>
              <w:bottom w:val="single" w:color="000000" w:sz="6" w:space="0"/>
            </w:tcBorders>
          </w:tcPr>
          <w:p>
            <w:pPr>
              <w:pStyle w:val="TableText"/>
              <w:ind w:left="5"/>
              <w:spacing w:before="110" w:line="241" w:lineRule="exact"/>
              <w:rPr/>
            </w:pPr>
            <w:r>
              <w:rPr>
                <w:spacing w:val="-4"/>
                <w:position w:val="1"/>
              </w:rPr>
              <w:t>24.能源综合生产能力（万吨标准煤)</w:t>
            </w:r>
          </w:p>
        </w:tc>
        <w:tc>
          <w:tcPr>
            <w:tcW w:w="773" w:type="dxa"/>
            <w:vAlign w:val="top"/>
            <w:tcBorders>
              <w:bottom w:val="single" w:color="000000" w:sz="6" w:space="0"/>
            </w:tcBorders>
          </w:tcPr>
          <w:p>
            <w:pPr>
              <w:pStyle w:val="TableText"/>
              <w:ind w:left="256"/>
              <w:spacing w:before="110" w:line="257" w:lineRule="exact"/>
              <w:rPr/>
            </w:pPr>
            <w:r>
              <w:rPr>
                <w:spacing w:val="-3"/>
                <w:position w:val="1"/>
              </w:rPr>
              <w:t>860</w:t>
            </w:r>
          </w:p>
        </w:tc>
        <w:tc>
          <w:tcPr>
            <w:tcW w:w="777" w:type="dxa"/>
            <w:vAlign w:val="top"/>
            <w:tcBorders>
              <w:bottom w:val="single" w:color="000000" w:sz="6" w:space="0"/>
            </w:tcBorders>
          </w:tcPr>
          <w:p>
            <w:pPr>
              <w:pStyle w:val="TableText"/>
              <w:ind w:left="228"/>
              <w:spacing w:before="110" w:line="257" w:lineRule="exact"/>
              <w:rPr/>
            </w:pPr>
            <w:r>
              <w:rPr>
                <w:spacing w:val="-6"/>
                <w:position w:val="1"/>
              </w:rPr>
              <w:t>1110</w:t>
            </w:r>
          </w:p>
        </w:tc>
        <w:tc>
          <w:tcPr>
            <w:tcW w:w="1550" w:type="dxa"/>
            <w:vAlign w:val="top"/>
            <w:tcBorders>
              <w:bottom w:val="single" w:color="000000" w:sz="6" w:space="0"/>
            </w:tcBorders>
          </w:tcPr>
          <w:p>
            <w:pPr>
              <w:pStyle w:val="TableText"/>
              <w:ind w:left="601"/>
              <w:spacing w:before="110" w:line="246" w:lineRule="exact"/>
              <w:rPr/>
            </w:pPr>
            <w:r>
              <w:rPr>
                <w:spacing w:val="-11"/>
                <w:position w:val="1"/>
              </w:rPr>
              <w:t>[250]</w:t>
            </w:r>
          </w:p>
        </w:tc>
        <w:tc>
          <w:tcPr>
            <w:tcW w:w="716" w:type="dxa"/>
            <w:vAlign w:val="top"/>
            <w:tcBorders>
              <w:bottom w:val="single" w:color="000000" w:sz="6" w:space="0"/>
              <w:right w:val="single" w:color="000000" w:sz="6" w:space="0"/>
            </w:tcBorders>
          </w:tcPr>
          <w:p>
            <w:pPr>
              <w:pStyle w:val="TableText"/>
              <w:ind w:left="91"/>
              <w:spacing w:before="114" w:line="211" w:lineRule="auto"/>
              <w:rPr/>
            </w:pPr>
            <w:r>
              <w:rPr>
                <w:spacing w:val="-3"/>
              </w:rPr>
              <w:t>预期性</w:t>
            </w:r>
          </w:p>
        </w:tc>
      </w:tr>
    </w:tbl>
    <w:p>
      <w:pPr>
        <w:ind w:left="397"/>
        <w:spacing w:before="164" w:line="198" w:lineRule="auto"/>
        <w:outlineLvl w:val="0"/>
        <w:rPr>
          <w:rFonts w:ascii="KaiTi" w:hAnsi="KaiTi" w:eastAsia="KaiTi" w:cs="KaiTi"/>
          <w:sz w:val="18"/>
          <w:szCs w:val="18"/>
        </w:rPr>
      </w:pPr>
      <w:r>
        <w:rPr>
          <w:rFonts w:ascii="Microsoft YaHei" w:hAnsi="Microsoft YaHei" w:eastAsia="Microsoft YaHei" w:cs="Microsoft YaHei"/>
          <w:sz w:val="18"/>
          <w:szCs w:val="18"/>
          <w:spacing w:val="-5"/>
        </w:rPr>
        <w:t>说明:</w:t>
      </w:r>
      <w:r>
        <w:rPr>
          <w:rFonts w:ascii="KaiTi" w:hAnsi="KaiTi" w:eastAsia="KaiTi" w:cs="KaiTi"/>
          <w:sz w:val="18"/>
          <w:szCs w:val="18"/>
          <w:spacing w:val="-5"/>
        </w:rPr>
        <w:t>1.</w:t>
      </w:r>
      <w:r>
        <w:rPr>
          <w:rFonts w:ascii="KaiTi" w:hAnsi="KaiTi" w:eastAsia="KaiTi" w:cs="KaiTi"/>
          <w:sz w:val="18"/>
          <w:szCs w:val="18"/>
          <w:spacing w:val="-5"/>
        </w:rPr>
        <w:t xml:space="preserve"> </w:t>
      </w:r>
      <w:r>
        <w:rPr>
          <w:rFonts w:ascii="KaiTi" w:hAnsi="KaiTi" w:eastAsia="KaiTi" w:cs="KaiTi"/>
          <w:sz w:val="18"/>
          <w:szCs w:val="18"/>
          <w:spacing w:val="-5"/>
        </w:rPr>
        <w:t>地区生产总值绝对值为现价测算数据,增速为不变价测算；2.</w:t>
      </w:r>
      <w:r>
        <w:rPr>
          <w:rFonts w:ascii="KaiTi" w:hAnsi="KaiTi" w:eastAsia="KaiTi" w:cs="KaiTi"/>
          <w:sz w:val="18"/>
          <w:szCs w:val="18"/>
          <w:spacing w:val="-21"/>
        </w:rPr>
        <w:t xml:space="preserve"> </w:t>
      </w:r>
      <w:r>
        <w:rPr>
          <w:rFonts w:ascii="KaiTi" w:hAnsi="KaiTi" w:eastAsia="KaiTi" w:cs="KaiTi"/>
          <w:sz w:val="18"/>
          <w:szCs w:val="18"/>
          <w:spacing w:val="-5"/>
        </w:rPr>
        <w:t>[</w:t>
      </w:r>
      <w:r>
        <w:rPr>
          <w:rFonts w:ascii="KaiTi" w:hAnsi="KaiTi" w:eastAsia="KaiTi" w:cs="KaiTi"/>
          <w:sz w:val="18"/>
          <w:szCs w:val="18"/>
          <w:spacing w:val="-37"/>
        </w:rPr>
        <w:t xml:space="preserve"> </w:t>
      </w:r>
      <w:r>
        <w:rPr>
          <w:rFonts w:ascii="KaiTi" w:hAnsi="KaiTi" w:eastAsia="KaiTi" w:cs="KaiTi"/>
          <w:sz w:val="18"/>
          <w:szCs w:val="18"/>
          <w:spacing w:val="-5"/>
        </w:rPr>
        <w:t>]内数据为五年累计数据。</w:t>
      </w:r>
    </w:p>
    <w:p>
      <w:pPr>
        <w:spacing w:before="227"/>
        <w:rPr/>
      </w:pPr>
      <w:r/>
    </w:p>
    <w:p>
      <w:pPr>
        <w:sectPr>
          <w:headerReference w:type="default" r:id="rId153"/>
          <w:footerReference w:type="default" r:id="rId175"/>
          <w:pgSz w:w="11906" w:h="16839"/>
          <w:pgMar w:top="1793" w:right="1489" w:bottom="1672" w:left="1560" w:header="1428" w:footer="1277" w:gutter="0"/>
          <w:cols w:equalWidth="0" w:num="1">
            <w:col w:w="8857" w:space="0"/>
          </w:cols>
        </w:sectPr>
        <w:rPr/>
      </w:pPr>
    </w:p>
    <w:p>
      <w:pPr>
        <w:ind w:left="538"/>
        <w:spacing w:before="60" w:line="181"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第二章</w:t>
      </w:r>
      <w:r>
        <w:rPr>
          <w:rFonts w:ascii="Microsoft YaHei" w:hAnsi="Microsoft YaHei" w:eastAsia="Microsoft YaHei" w:cs="Microsoft YaHei"/>
          <w:sz w:val="20"/>
          <w:szCs w:val="20"/>
          <w:spacing w:val="15"/>
          <w:w w:val="101"/>
        </w:rPr>
        <w:t xml:space="preserve">   </w:t>
      </w:r>
      <w:r>
        <w:rPr>
          <w:rFonts w:ascii="Microsoft YaHei" w:hAnsi="Microsoft YaHei" w:eastAsia="Microsoft YaHei" w:cs="Microsoft YaHei"/>
          <w:sz w:val="20"/>
          <w:szCs w:val="20"/>
          <w:spacing w:val="8"/>
        </w:rPr>
        <w:t>坚持以先行区建设为统领</w:t>
      </w:r>
    </w:p>
    <w:p>
      <w:pPr>
        <w:ind w:left="534"/>
        <w:spacing w:before="141" w:line="182"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切实担负践行时代使命的政治责任</w:t>
      </w:r>
    </w:p>
    <w:p>
      <w:pPr>
        <w:spacing w:line="466" w:lineRule="auto"/>
        <w:rPr>
          <w:rFonts w:ascii="Arial"/>
          <w:sz w:val="21"/>
        </w:rPr>
      </w:pPr>
      <w:r/>
    </w:p>
    <w:p>
      <w:pPr>
        <w:pStyle w:val="BodyText"/>
        <w:ind w:left="455"/>
        <w:spacing w:before="66" w:line="223" w:lineRule="auto"/>
        <w:rPr/>
      </w:pPr>
      <w:r>
        <w:rPr>
          <w:spacing w:val="6"/>
        </w:rPr>
        <w:t>牢记习近平总书记嘱托，坚决扛起建设先</w:t>
      </w:r>
    </w:p>
    <w:p>
      <w:pPr>
        <w:pStyle w:val="BodyText"/>
        <w:ind w:left="32"/>
        <w:spacing w:before="158" w:line="223" w:lineRule="auto"/>
        <w:outlineLvl w:val="0"/>
        <w:rPr/>
      </w:pPr>
      <w:r>
        <w:rPr>
          <w:spacing w:val="9"/>
        </w:rPr>
        <w:t>行区、守好生命线、固原作贡献的政治责任，</w:t>
      </w:r>
    </w:p>
    <w:p>
      <w:pPr>
        <w:pStyle w:val="BodyText"/>
        <w:ind w:left="31" w:right="330" w:firstLine="2"/>
        <w:spacing w:before="161" w:line="369" w:lineRule="auto"/>
        <w:jc w:val="both"/>
        <w:rPr/>
      </w:pPr>
      <w:r>
        <w:rPr>
          <w:spacing w:val="7"/>
        </w:rPr>
        <w:t>坚持绿水青山就是金山银山的理念，坚持以先</w:t>
      </w:r>
      <w:r>
        <w:rPr>
          <w:spacing w:val="7"/>
        </w:rPr>
        <w:t>行区建设统领经济社会发展全局，共同抓好大</w:t>
      </w:r>
      <w:r>
        <w:rPr>
          <w:spacing w:val="7"/>
        </w:rPr>
        <w:t>保护、协同推进大治理，让先行区成为固原现</w:t>
      </w:r>
      <w:r>
        <w:rPr>
          <w:spacing w:val="8"/>
        </w:rPr>
        <w:t>代化的优先路径和主战场。</w:t>
      </w:r>
    </w:p>
    <w:p>
      <w:pPr>
        <w:pStyle w:val="BodyText"/>
        <w:ind w:left="530"/>
        <w:spacing w:before="259" w:line="223" w:lineRule="auto"/>
        <w:outlineLvl w:val="0"/>
        <w:rPr/>
      </w:pPr>
      <w:r>
        <w:rPr>
          <w:b/>
          <w:bCs/>
          <w:spacing w:val="8"/>
        </w:rPr>
        <w:t>第一节</w:t>
      </w:r>
      <w:r>
        <w:rPr>
          <w:spacing w:val="8"/>
        </w:rPr>
        <w:t xml:space="preserve">  </w:t>
      </w:r>
      <w:r>
        <w:rPr>
          <w:b/>
          <w:bCs/>
          <w:spacing w:val="8"/>
        </w:rPr>
        <w:t>落实“五个区”战略定位</w:t>
      </w:r>
    </w:p>
    <w:p>
      <w:pPr>
        <w:spacing w:line="335" w:lineRule="auto"/>
        <w:rPr>
          <w:rFonts w:ascii="Arial"/>
          <w:sz w:val="21"/>
        </w:rPr>
      </w:pPr>
      <w:r/>
    </w:p>
    <w:p>
      <w:pPr>
        <w:pStyle w:val="BodyText"/>
        <w:ind w:left="453"/>
        <w:spacing w:before="66" w:line="222" w:lineRule="auto"/>
        <w:rPr/>
      </w:pPr>
      <w:r>
        <w:rPr>
          <w:spacing w:val="-4"/>
        </w:rPr>
        <w:t>坚持生态优先、绿色发展，紧扣自治区“五</w:t>
      </w:r>
    </w:p>
    <w:p>
      <w:pPr>
        <w:pStyle w:val="BodyText"/>
        <w:ind w:left="31"/>
        <w:spacing w:before="141" w:line="221" w:lineRule="auto"/>
        <w:outlineLvl w:val="0"/>
        <w:rPr/>
      </w:pPr>
      <w:r>
        <w:rPr>
          <w:spacing w:val="2"/>
        </w:rPr>
        <w:t>个区”战略定位，分区分类推进生态保护治理，</w:t>
      </w:r>
    </w:p>
    <w:p>
      <w:pPr>
        <w:spacing w:line="14" w:lineRule="auto"/>
        <w:rPr>
          <w:rFonts w:ascii="Arial"/>
          <w:sz w:val="2"/>
        </w:rPr>
      </w:pPr>
      <w:r>
        <w:rPr>
          <w:rFonts w:ascii="Arial" w:hAnsi="Arial" w:eastAsia="Arial" w:cs="Arial"/>
          <w:sz w:val="2"/>
          <w:szCs w:val="2"/>
        </w:rPr>
        <w:br w:type="column"/>
      </w:r>
    </w:p>
    <w:p>
      <w:pPr>
        <w:pStyle w:val="BodyText"/>
        <w:ind w:right="101" w:firstLine="18"/>
        <w:spacing w:before="39" w:line="350" w:lineRule="auto"/>
        <w:jc w:val="both"/>
        <w:rPr/>
      </w:pPr>
      <w:r>
        <w:rPr>
          <w:spacing w:val="6"/>
        </w:rPr>
        <w:t>因情施策推动经济社会发展。创新实践，作出</w:t>
      </w:r>
      <w:r>
        <w:rPr>
          <w:spacing w:val="7"/>
        </w:rPr>
        <w:t>贡献，努力建设黄河流域生态保护和高质量发</w:t>
      </w:r>
      <w:r>
        <w:rPr>
          <w:spacing w:val="8"/>
        </w:rPr>
        <w:t>展先行区美丽新固原。</w:t>
      </w:r>
    </w:p>
    <w:p>
      <w:pPr>
        <w:pStyle w:val="BodyText"/>
        <w:ind w:left="422"/>
        <w:spacing w:line="221" w:lineRule="auto"/>
        <w:rPr/>
      </w:pPr>
      <w:r>
        <w:rPr>
          <w:spacing w:val="6"/>
        </w:rPr>
        <w:t>在建设河段堤防安全标准区上走在前。按</w:t>
      </w:r>
    </w:p>
    <w:p>
      <w:pPr>
        <w:pStyle w:val="BodyText"/>
        <w:ind w:left="4"/>
        <w:spacing w:before="138" w:line="277" w:lineRule="exact"/>
        <w:outlineLvl w:val="0"/>
        <w:rPr/>
      </w:pPr>
      <w:r>
        <w:rPr>
          <w:spacing w:val="8"/>
          <w:position w:val="1"/>
        </w:rPr>
        <w:t>照一般河段</w:t>
      </w:r>
      <w:r>
        <w:rPr>
          <w:spacing w:val="-35"/>
          <w:position w:val="1"/>
        </w:rPr>
        <w:t xml:space="preserve"> </w:t>
      </w:r>
      <w:r>
        <w:rPr>
          <w:spacing w:val="8"/>
          <w:position w:val="1"/>
        </w:rPr>
        <w:t>50</w:t>
      </w:r>
      <w:r>
        <w:rPr>
          <w:spacing w:val="-37"/>
          <w:position w:val="1"/>
        </w:rPr>
        <w:t xml:space="preserve"> </w:t>
      </w:r>
      <w:r>
        <w:rPr>
          <w:spacing w:val="8"/>
          <w:position w:val="1"/>
        </w:rPr>
        <w:t>年一遇、城市河段</w:t>
      </w:r>
      <w:r>
        <w:rPr>
          <w:spacing w:val="-20"/>
          <w:position w:val="1"/>
        </w:rPr>
        <w:t xml:space="preserve"> </w:t>
      </w:r>
      <w:r>
        <w:rPr>
          <w:spacing w:val="8"/>
          <w:position w:val="1"/>
        </w:rPr>
        <w:t>100</w:t>
      </w:r>
      <w:r>
        <w:rPr>
          <w:spacing w:val="-33"/>
          <w:position w:val="1"/>
        </w:rPr>
        <w:t xml:space="preserve"> </w:t>
      </w:r>
      <w:r>
        <w:rPr>
          <w:spacing w:val="8"/>
          <w:position w:val="1"/>
        </w:rPr>
        <w:t>年一遇</w:t>
      </w:r>
    </w:p>
    <w:p>
      <w:pPr>
        <w:pStyle w:val="BodyText"/>
        <w:ind w:right="78" w:firstLine="17"/>
        <w:spacing w:before="110" w:line="350" w:lineRule="auto"/>
        <w:jc w:val="both"/>
        <w:rPr/>
      </w:pPr>
      <w:r>
        <w:rPr>
          <w:spacing w:val="6"/>
        </w:rPr>
        <w:t>的防洪标准，综合推进“五河”堤防加固、防</w:t>
      </w:r>
      <w:r>
        <w:rPr>
          <w:spacing w:val="7"/>
        </w:rPr>
        <w:t>洪排涝、水系连通、河道管控、川道治理、生</w:t>
      </w:r>
      <w:r>
        <w:rPr>
          <w:spacing w:val="8"/>
        </w:rPr>
        <w:t>态恢复，系统治理水资源、水生态、水环境、</w:t>
      </w:r>
      <w:r>
        <w:rPr>
          <w:spacing w:val="7"/>
        </w:rPr>
        <w:t>水灾害，实现境内水患、堤防安全隐患基本消</w:t>
      </w:r>
      <w:r>
        <w:rPr>
          <w:spacing w:val="7"/>
        </w:rPr>
        <w:t>除，河道河床、排洪输沙功能基本稳定，保障</w:t>
      </w:r>
      <w:r>
        <w:rPr>
          <w:spacing w:val="8"/>
        </w:rPr>
        <w:t>“五河”流域人水和谐。</w:t>
      </w:r>
    </w:p>
    <w:p>
      <w:pPr>
        <w:pStyle w:val="BodyText"/>
        <w:ind w:left="422"/>
        <w:spacing w:before="2" w:line="223" w:lineRule="auto"/>
        <w:rPr/>
      </w:pPr>
      <w:r>
        <w:rPr>
          <w:spacing w:val="6"/>
        </w:rPr>
        <w:t>在建设生态保护修复示范区上作表率。建</w:t>
      </w:r>
    </w:p>
    <w:p>
      <w:pPr>
        <w:pStyle w:val="BodyText"/>
        <w:spacing w:before="137" w:line="224" w:lineRule="auto"/>
        <w:outlineLvl w:val="0"/>
        <w:rPr/>
      </w:pPr>
      <w:r>
        <w:rPr>
          <w:spacing w:val="7"/>
        </w:rPr>
        <w:t>立健全覆盖全市域的空间规划体系，实施六盘</w:t>
      </w:r>
    </w:p>
    <w:p>
      <w:pPr>
        <w:pStyle w:val="BodyText"/>
        <w:ind w:left="16"/>
        <w:spacing w:before="136" w:line="188" w:lineRule="auto"/>
        <w:rPr/>
      </w:pPr>
      <w:r>
        <w:rPr>
          <w:spacing w:val="17"/>
        </w:rPr>
        <w:t>山国家公园创建和山水林田湖草综合治理项</w:t>
      </w:r>
    </w:p>
    <w:p>
      <w:pPr>
        <w:spacing w:line="188" w:lineRule="auto"/>
        <w:sectPr>
          <w:type w:val="continuous"/>
          <w:pgSz w:w="11906" w:h="16839"/>
          <w:pgMar w:top="1793" w:right="1489" w:bottom="1672" w:left="1560" w:header="1428" w:footer="1277" w:gutter="0"/>
          <w:cols w:equalWidth="0" w:num="2">
            <w:col w:w="4509" w:space="100"/>
            <w:col w:w="4248" w:space="0"/>
          </w:cols>
        </w:sectPr>
        <w:rPr/>
      </w:pPr>
    </w:p>
    <w:p>
      <w:pPr>
        <w:spacing w:before="37"/>
        <w:rPr/>
      </w:pPr>
      <w:r>
        <w:drawing>
          <wp:anchor distT="0" distB="0" distL="0" distR="0" simplePos="0" relativeHeight="251764736"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352" name="IM 352"/>
            <wp:cNvGraphicFramePr/>
            <a:graphic>
              <a:graphicData uri="http://schemas.openxmlformats.org/drawingml/2006/picture">
                <pic:pic>
                  <pic:nvPicPr>
                    <pic:cNvPr id="352" name="IM 352"/>
                    <pic:cNvPicPr/>
                  </pic:nvPicPr>
                  <pic:blipFill>
                    <a:blip r:embed="rId178"/>
                    <a:stretch>
                      <a:fillRect/>
                    </a:stretch>
                  </pic:blipFill>
                  <pic:spPr>
                    <a:xfrm rot="0">
                      <a:off x="0" y="0"/>
                      <a:ext cx="5579745" cy="7619"/>
                    </a:xfrm>
                    <a:prstGeom prst="rect">
                      <a:avLst/>
                    </a:prstGeom>
                  </pic:spPr>
                </pic:pic>
              </a:graphicData>
            </a:graphic>
          </wp:anchor>
        </w:drawing>
      </w:r>
      <w:r/>
    </w:p>
    <w:p>
      <w:pPr>
        <w:sectPr>
          <w:headerReference w:type="default" r:id="rId150"/>
          <w:footerReference w:type="default" r:id="rId177"/>
          <w:pgSz w:w="11906" w:h="16839"/>
          <w:pgMar w:top="1793" w:right="1530" w:bottom="1570" w:left="1579" w:header="1428" w:footer="1172" w:gutter="0"/>
          <w:cols w:equalWidth="0" w:num="1">
            <w:col w:w="8796" w:space="0"/>
          </w:cols>
        </w:sectPr>
        <w:rPr/>
      </w:pPr>
    </w:p>
    <w:p>
      <w:pPr>
        <w:pStyle w:val="BodyText"/>
        <w:ind w:left="11" w:right="321" w:firstLine="41"/>
        <w:spacing w:before="43" w:line="350" w:lineRule="auto"/>
        <w:jc w:val="both"/>
        <w:rPr/>
      </w:pPr>
      <w:r>
        <w:rPr>
          <w:spacing w:val="5"/>
        </w:rPr>
        <w:t>目，增强水土保持、水源涵养、水量增加、水</w:t>
      </w:r>
      <w:r>
        <w:rPr>
          <w:spacing w:val="7"/>
        </w:rPr>
        <w:t>质改善能力，推进六盘山保护区生态保护修复</w:t>
      </w:r>
      <w:r>
        <w:rPr>
          <w:spacing w:val="7"/>
        </w:rPr>
        <w:t>和环境综合治理取得重大成果，水土流失、入</w:t>
      </w:r>
      <w:r>
        <w:rPr>
          <w:spacing w:val="7"/>
        </w:rPr>
        <w:t>黄泥沙大幅减少，用水控制在确定的总量内，</w:t>
      </w:r>
      <w:r>
        <w:rPr>
          <w:spacing w:val="7"/>
        </w:rPr>
        <w:t>保护好祖国西北绿色屏障，守护好六盘山“天</w:t>
      </w:r>
      <w:r>
        <w:rPr>
          <w:spacing w:val="12"/>
        </w:rPr>
        <w:t>然水塔”。</w:t>
      </w:r>
    </w:p>
    <w:p>
      <w:pPr>
        <w:pStyle w:val="BodyText"/>
        <w:ind w:left="434"/>
        <w:spacing w:line="223" w:lineRule="auto"/>
        <w:rPr/>
      </w:pPr>
      <w:r>
        <w:rPr>
          <w:spacing w:val="6"/>
        </w:rPr>
        <w:t>在建设环境污染防治率先区上树标杆。持</w:t>
      </w:r>
    </w:p>
    <w:p>
      <w:pPr>
        <w:pStyle w:val="BodyText"/>
        <w:ind w:left="13"/>
        <w:spacing w:before="139" w:line="224" w:lineRule="auto"/>
        <w:outlineLvl w:val="0"/>
        <w:rPr/>
      </w:pPr>
      <w:r>
        <w:rPr>
          <w:spacing w:val="7"/>
        </w:rPr>
        <w:t>续打好蓝天、碧水、净土保卫战，建立健全污</w:t>
      </w:r>
    </w:p>
    <w:p>
      <w:pPr>
        <w:pStyle w:val="BodyText"/>
        <w:ind w:left="12" w:right="327"/>
        <w:spacing w:before="141" w:line="350" w:lineRule="auto"/>
        <w:jc w:val="both"/>
        <w:rPr/>
      </w:pPr>
      <w:r>
        <w:rPr>
          <w:spacing w:val="15"/>
        </w:rPr>
        <w:t>染防治长效机制</w:t>
      </w:r>
      <w:r>
        <w:rPr>
          <w:spacing w:val="-40"/>
        </w:rPr>
        <w:t xml:space="preserve"> </w:t>
      </w:r>
      <w:r>
        <w:rPr>
          <w:spacing w:val="15"/>
        </w:rPr>
        <w:t>，推动农业面源污染大幅减</w:t>
      </w:r>
      <w:r>
        <w:rPr>
          <w:spacing w:val="7"/>
        </w:rPr>
        <w:t>少，工业生产“三废”实现达标排放，城乡生</w:t>
      </w:r>
      <w:r>
        <w:rPr>
          <w:spacing w:val="7"/>
        </w:rPr>
        <w:t>活污染全面有效治理，确保生态环境保护约束</w:t>
      </w:r>
      <w:r>
        <w:rPr>
          <w:spacing w:val="7"/>
        </w:rPr>
        <w:t>性指标稳定提升、生态环境质量好中向优，力</w:t>
      </w:r>
      <w:r>
        <w:rPr>
          <w:spacing w:val="7"/>
        </w:rPr>
        <w:t>争在宁夏率先解决环境污染问题，建成国家生</w:t>
      </w:r>
      <w:r>
        <w:rPr>
          <w:spacing w:val="8"/>
        </w:rPr>
        <w:t>态文明建设示范市。</w:t>
      </w:r>
    </w:p>
    <w:p>
      <w:pPr>
        <w:pStyle w:val="BodyText"/>
        <w:ind w:left="434"/>
        <w:spacing w:line="222" w:lineRule="auto"/>
        <w:rPr/>
      </w:pPr>
      <w:r>
        <w:rPr>
          <w:spacing w:val="6"/>
        </w:rPr>
        <w:t>在建设经济转型发展创新区上趟新路。坚</w:t>
      </w:r>
    </w:p>
    <w:p>
      <w:pPr>
        <w:pStyle w:val="BodyText"/>
        <w:ind w:left="12"/>
        <w:spacing w:before="140" w:line="222" w:lineRule="auto"/>
        <w:outlineLvl w:val="0"/>
        <w:rPr/>
      </w:pPr>
      <w:r>
        <w:rPr>
          <w:spacing w:val="7"/>
        </w:rPr>
        <w:t>定不移贯彻落实新发展理念，深化供给侧结构</w:t>
      </w:r>
    </w:p>
    <w:p>
      <w:pPr>
        <w:pStyle w:val="BodyText"/>
        <w:ind w:left="14" w:right="304" w:hanging="2"/>
        <w:spacing w:before="141" w:line="350" w:lineRule="auto"/>
        <w:jc w:val="both"/>
        <w:rPr/>
      </w:pPr>
      <w:r>
        <w:rPr>
          <w:spacing w:val="7"/>
        </w:rPr>
        <w:t>性改革，加快经济结构调整，推动产业转型升</w:t>
      </w:r>
      <w:r>
        <w:rPr>
          <w:spacing w:val="8"/>
        </w:rPr>
        <w:t>级，在特色农业、生态经济、现代纺织服装、</w:t>
      </w:r>
      <w:r>
        <w:rPr>
          <w:spacing w:val="7"/>
        </w:rPr>
        <w:t>文化旅游四大产业发展上取得新突破，保持经</w:t>
      </w:r>
      <w:r>
        <w:rPr>
          <w:spacing w:val="7"/>
        </w:rPr>
        <w:t>济持续健康发展，实现经济发展量的合理增长</w:t>
      </w:r>
      <w:r>
        <w:rPr>
          <w:spacing w:val="7"/>
        </w:rPr>
        <w:t>和质的稳步提升。</w:t>
      </w:r>
    </w:p>
    <w:p>
      <w:pPr>
        <w:pStyle w:val="BodyText"/>
        <w:ind w:left="434"/>
        <w:spacing w:line="223" w:lineRule="auto"/>
        <w:rPr/>
      </w:pPr>
      <w:r>
        <w:rPr>
          <w:spacing w:val="6"/>
        </w:rPr>
        <w:t>在建设黄河文明传承彰显区上作贡献。实</w:t>
      </w:r>
    </w:p>
    <w:p>
      <w:pPr>
        <w:pStyle w:val="BodyText"/>
        <w:ind w:left="11"/>
        <w:spacing w:before="143" w:line="219" w:lineRule="auto"/>
        <w:outlineLvl w:val="0"/>
        <w:rPr/>
      </w:pPr>
      <w:r>
        <w:rPr>
          <w:spacing w:val="2"/>
        </w:rPr>
        <w:t>施红色文化、生态文化、乡土文化、非遗文</w:t>
      </w:r>
      <w:r>
        <w:rPr>
          <w:spacing w:val="1"/>
        </w:rPr>
        <w:t>化、</w:t>
      </w:r>
    </w:p>
    <w:p>
      <w:pPr>
        <w:pStyle w:val="BodyText"/>
        <w:ind w:left="15" w:right="247"/>
        <w:spacing w:before="144" w:line="350" w:lineRule="auto"/>
        <w:jc w:val="both"/>
        <w:rPr/>
      </w:pPr>
      <w:r>
        <w:rPr>
          <w:spacing w:val="7"/>
        </w:rPr>
        <w:t>黄河文化五大提升行动，延续历史文脉，坚定</w:t>
      </w:r>
      <w:r>
        <w:rPr>
          <w:spacing w:val="1"/>
        </w:rPr>
        <w:t>文化自信，建设厚植国家情怀、传承传统美德、</w:t>
      </w:r>
      <w:r>
        <w:rPr>
          <w:spacing w:val="7"/>
        </w:rPr>
        <w:t>弘扬时代精神、各民族同进步同发展的和谐家</w:t>
      </w:r>
      <w:r>
        <w:rPr>
          <w:spacing w:val="7"/>
        </w:rPr>
        <w:t>园，创建成国家全域旅游示范区，使固原成为</w:t>
      </w:r>
      <w:r>
        <w:rPr>
          <w:spacing w:val="8"/>
        </w:rPr>
        <w:t>彰显红色文化、黄河文化的重要窗口。</w:t>
      </w:r>
    </w:p>
    <w:p>
      <w:pPr>
        <w:spacing w:line="348" w:lineRule="auto"/>
        <w:rPr>
          <w:rFonts w:ascii="Arial"/>
          <w:sz w:val="21"/>
        </w:rPr>
      </w:pPr>
      <w:r/>
    </w:p>
    <w:p>
      <w:pPr>
        <w:pStyle w:val="BodyText"/>
        <w:ind w:left="511"/>
        <w:spacing w:before="65" w:line="223" w:lineRule="auto"/>
        <w:outlineLvl w:val="0"/>
        <w:rPr/>
      </w:pPr>
      <w:r>
        <w:rPr>
          <w:b/>
          <w:bCs/>
          <w:spacing w:val="8"/>
        </w:rPr>
        <w:t>第二节</w:t>
      </w:r>
      <w:r>
        <w:rPr>
          <w:spacing w:val="8"/>
        </w:rPr>
        <w:t xml:space="preserve">  </w:t>
      </w:r>
      <w:r>
        <w:rPr>
          <w:b/>
          <w:bCs/>
          <w:spacing w:val="8"/>
        </w:rPr>
        <w:t>构建“五美融合”新格局</w:t>
      </w:r>
    </w:p>
    <w:p>
      <w:pPr>
        <w:spacing w:line="244" w:lineRule="auto"/>
        <w:rPr>
          <w:rFonts w:ascii="Arial"/>
          <w:sz w:val="21"/>
        </w:rPr>
      </w:pPr>
      <w:r/>
    </w:p>
    <w:p>
      <w:pPr>
        <w:spacing w:line="244" w:lineRule="auto"/>
        <w:rPr>
          <w:rFonts w:ascii="Arial"/>
          <w:sz w:val="21"/>
        </w:rPr>
      </w:pPr>
      <w:r/>
    </w:p>
    <w:p>
      <w:pPr>
        <w:pStyle w:val="BodyText"/>
        <w:ind w:left="433"/>
        <w:spacing w:before="66" w:line="221" w:lineRule="auto"/>
        <w:rPr/>
      </w:pPr>
      <w:r>
        <w:rPr>
          <w:spacing w:val="6"/>
        </w:rPr>
        <w:t>立足自然条件、资源环境承载能力和业已</w:t>
      </w:r>
    </w:p>
    <w:p>
      <w:pPr>
        <w:pStyle w:val="BodyText"/>
        <w:ind w:left="12"/>
        <w:spacing w:before="154" w:line="277" w:lineRule="exact"/>
        <w:outlineLvl w:val="0"/>
        <w:rPr/>
      </w:pPr>
      <w:r>
        <w:rPr>
          <w:spacing w:val="6"/>
          <w:position w:val="1"/>
        </w:rPr>
        <w:t>形成的发展基础，发挥各县（</w:t>
      </w:r>
      <w:r>
        <w:rPr>
          <w:spacing w:val="-36"/>
          <w:position w:val="1"/>
        </w:rPr>
        <w:t xml:space="preserve"> </w:t>
      </w:r>
      <w:r>
        <w:rPr>
          <w:spacing w:val="6"/>
          <w:position w:val="1"/>
        </w:rPr>
        <w:t>区）比较优势，</w:t>
      </w:r>
    </w:p>
    <w:p>
      <w:pPr>
        <w:pStyle w:val="BodyText"/>
        <w:ind w:left="30"/>
        <w:spacing w:before="124" w:line="222" w:lineRule="auto"/>
        <w:rPr/>
      </w:pPr>
      <w:r>
        <w:rPr>
          <w:spacing w:val="6"/>
        </w:rPr>
        <w:t>明确国土空间开发重点和方向，优化生态安全</w:t>
      </w:r>
    </w:p>
    <w:p>
      <w:pPr>
        <w:spacing w:line="14" w:lineRule="auto"/>
        <w:rPr>
          <w:rFonts w:ascii="Arial"/>
          <w:sz w:val="2"/>
        </w:rPr>
      </w:pPr>
      <w:r>
        <w:rPr>
          <w:rFonts w:ascii="Arial" w:hAnsi="Arial" w:eastAsia="Arial" w:cs="Arial"/>
          <w:sz w:val="2"/>
          <w:szCs w:val="2"/>
        </w:rPr>
        <w:br w:type="column"/>
      </w:r>
    </w:p>
    <w:p>
      <w:pPr>
        <w:pStyle w:val="BodyText"/>
        <w:ind w:left="2" w:right="59"/>
        <w:spacing w:before="49" w:line="366" w:lineRule="auto"/>
        <w:jc w:val="both"/>
        <w:rPr/>
      </w:pPr>
      <w:r>
        <w:rPr>
          <w:spacing w:val="7"/>
        </w:rPr>
        <w:t>屏障体系，建设南部水源涵养区，构建“一区</w:t>
      </w:r>
      <w:r>
        <w:rPr>
          <w:spacing w:val="7"/>
        </w:rPr>
        <w:t>五城”生产、生活、生态发展格局，促进产业</w:t>
      </w:r>
      <w:r>
        <w:rPr>
          <w:spacing w:val="6"/>
        </w:rPr>
        <w:t>集聚发展。</w:t>
      </w:r>
    </w:p>
    <w:p>
      <w:pPr>
        <w:pStyle w:val="BodyText"/>
        <w:ind w:left="5" w:right="59" w:firstLine="417"/>
        <w:spacing w:before="1" w:line="293" w:lineRule="auto"/>
        <w:outlineLvl w:val="0"/>
        <w:rPr/>
      </w:pPr>
      <w:r>
        <w:rPr>
          <w:spacing w:val="6"/>
        </w:rPr>
        <w:t>优化国土空间布局。坚持人口资源环境相</w:t>
      </w:r>
      <w:r>
        <w:rPr>
          <w:spacing w:val="7"/>
        </w:rPr>
        <w:t>均衡、经济社会生态相统一，按照自治区国土</w:t>
      </w:r>
    </w:p>
    <w:p>
      <w:pPr>
        <w:pStyle w:val="BodyText"/>
        <w:ind w:left="2" w:right="36" w:firstLine="4"/>
        <w:spacing w:before="151" w:line="365" w:lineRule="auto"/>
        <w:jc w:val="both"/>
        <w:rPr/>
      </w:pPr>
      <w:r>
        <w:rPr>
          <w:spacing w:val="7"/>
        </w:rPr>
        <w:t>空间总体布局要求，着眼于先行区美丽新固原</w:t>
      </w:r>
      <w:r>
        <w:rPr>
          <w:spacing w:val="7"/>
        </w:rPr>
        <w:t>建设，以“三山五河”为生态坐标，构建“一</w:t>
      </w:r>
      <w:r>
        <w:rPr>
          <w:spacing w:val="7"/>
        </w:rPr>
        <w:t>区五城”生产、生活、生态空间布局。加快完</w:t>
      </w:r>
      <w:r>
        <w:rPr>
          <w:spacing w:val="4"/>
        </w:rPr>
        <w:t>善市县（</w:t>
      </w:r>
      <w:r>
        <w:rPr>
          <w:spacing w:val="-35"/>
        </w:rPr>
        <w:t xml:space="preserve"> </w:t>
      </w:r>
      <w:r>
        <w:rPr>
          <w:spacing w:val="4"/>
        </w:rPr>
        <w:t>区）二级国土空间规划，推动总详专</w:t>
      </w:r>
      <w:r>
        <w:rPr>
          <w:spacing w:val="7"/>
        </w:rPr>
        <w:t>三类规划有机衔接、协同配套、一体落实。着</w:t>
      </w:r>
      <w:r>
        <w:rPr>
          <w:spacing w:val="7"/>
        </w:rPr>
        <w:t>眼于主体功能定位，全市域一盘棋，科学划定</w:t>
      </w:r>
      <w:r>
        <w:rPr>
          <w:spacing w:val="7"/>
        </w:rPr>
        <w:t>生态保护红线、永久基本农田、城镇开发边界</w:t>
      </w:r>
      <w:r>
        <w:rPr>
          <w:spacing w:val="8"/>
        </w:rPr>
        <w:t>三条控制线。推进经济、产业、主要农产品、</w:t>
      </w:r>
      <w:r>
        <w:rPr>
          <w:spacing w:val="7"/>
        </w:rPr>
        <w:t>人口向市区、四县县城及“五河”流域川道区</w:t>
      </w:r>
      <w:r>
        <w:rPr>
          <w:spacing w:val="7"/>
        </w:rPr>
        <w:t>高效集聚，推进生态保护和建设沿山脊及林地</w:t>
      </w:r>
      <w:r>
        <w:rPr>
          <w:spacing w:val="7"/>
        </w:rPr>
        <w:t>成片成带规模集聚。前瞻性预留、优化重大基</w:t>
      </w:r>
      <w:r>
        <w:rPr>
          <w:spacing w:val="9"/>
        </w:rPr>
        <w:t>础设施及公共设施、重大生产力布局空间。</w:t>
      </w:r>
    </w:p>
    <w:p>
      <w:pPr>
        <w:pStyle w:val="BodyText"/>
        <w:ind w:left="4" w:right="36" w:firstLine="418"/>
        <w:spacing w:before="8" w:line="295" w:lineRule="auto"/>
        <w:outlineLvl w:val="0"/>
        <w:rPr/>
      </w:pPr>
      <w:r>
        <w:rPr>
          <w:spacing w:val="6"/>
        </w:rPr>
        <w:t>建设南部水源涵养区。着眼增强六盘山天</w:t>
      </w:r>
      <w:r>
        <w:rPr>
          <w:spacing w:val="8"/>
        </w:rPr>
        <w:t>然水塔、生态绿岛功能，以六盘山、云雾山、</w:t>
      </w:r>
    </w:p>
    <w:p>
      <w:pPr>
        <w:pStyle w:val="BodyText"/>
        <w:ind w:right="39" w:firstLine="6"/>
        <w:spacing w:before="155" w:line="355" w:lineRule="auto"/>
        <w:jc w:val="both"/>
        <w:rPr/>
      </w:pPr>
      <w:r>
        <w:rPr>
          <w:spacing w:val="7"/>
        </w:rPr>
        <w:t>月亮山及其外围拓展延伸区域为重点，全市域</w:t>
      </w:r>
      <w:r>
        <w:rPr>
          <w:spacing w:val="7"/>
        </w:rPr>
        <w:t>抓好生态保护林和水源涵养林建设。加大六盘</w:t>
      </w:r>
      <w:r>
        <w:rPr>
          <w:spacing w:val="7"/>
        </w:rPr>
        <w:t>山水源涵养林建设力度，开展六盘山及其外缘</w:t>
      </w:r>
      <w:r>
        <w:rPr>
          <w:spacing w:val="7"/>
        </w:rPr>
        <w:t>宜林地水源涵养林建设，进一步恢复和增强六</w:t>
      </w:r>
      <w:r>
        <w:rPr>
          <w:spacing w:val="7"/>
        </w:rPr>
        <w:t>盘山区域水源涵养功能；加强月亮山水源涵养</w:t>
      </w:r>
      <w:r>
        <w:rPr>
          <w:spacing w:val="15"/>
        </w:rPr>
        <w:t>林建设力度</w:t>
      </w:r>
      <w:r>
        <w:rPr>
          <w:spacing w:val="-38"/>
        </w:rPr>
        <w:t xml:space="preserve"> </w:t>
      </w:r>
      <w:r>
        <w:rPr>
          <w:spacing w:val="15"/>
        </w:rPr>
        <w:t>，大力营造水源涵养和水土保持</w:t>
      </w:r>
      <w:r>
        <w:rPr>
          <w:spacing w:val="7"/>
        </w:rPr>
        <w:t>林，扩大林草植被面积，加快生态修复，减少</w:t>
      </w:r>
      <w:r>
        <w:rPr>
          <w:spacing w:val="7"/>
        </w:rPr>
        <w:t>水土流失，增强水源涵养和水土保持功能；加</w:t>
      </w:r>
      <w:r>
        <w:rPr>
          <w:spacing w:val="7"/>
        </w:rPr>
        <w:t>快云雾山草原植被修复进度，继续实施草地禁</w:t>
      </w:r>
      <w:r>
        <w:rPr>
          <w:spacing w:val="7"/>
        </w:rPr>
        <w:t>牧封育，通过改良、补播等方式改善云雾山退</w:t>
      </w:r>
      <w:r>
        <w:rPr>
          <w:spacing w:val="8"/>
        </w:rPr>
        <w:t>化草地植被生态环境，逐步恢复草地生产力。</w:t>
      </w:r>
      <w:r>
        <w:rPr/>
        <w:t>到</w:t>
      </w:r>
      <w:r>
        <w:rPr>
          <w:spacing w:val="-27"/>
        </w:rPr>
        <w:t xml:space="preserve"> </w:t>
      </w:r>
      <w:r>
        <w:rPr/>
        <w:t>2025</w:t>
      </w:r>
      <w:r>
        <w:rPr>
          <w:spacing w:val="-39"/>
        </w:rPr>
        <w:t xml:space="preserve"> </w:t>
      </w:r>
      <w:r>
        <w:rPr/>
        <w:t>年，完成营造林</w:t>
      </w:r>
      <w:r>
        <w:rPr>
          <w:spacing w:val="-41"/>
        </w:rPr>
        <w:t xml:space="preserve"> </w:t>
      </w:r>
      <w:r>
        <w:rPr/>
        <w:t>242.5</w:t>
      </w:r>
      <w:r>
        <w:rPr>
          <w:spacing w:val="-41"/>
        </w:rPr>
        <w:t xml:space="preserve"> </w:t>
      </w:r>
      <w:r>
        <w:rPr/>
        <w:t>万亩，新建水源</w:t>
      </w:r>
      <w:r>
        <w:rPr>
          <w:spacing w:val="8"/>
        </w:rPr>
        <w:t>涵养林41</w:t>
      </w:r>
      <w:r>
        <w:rPr>
          <w:spacing w:val="-40"/>
        </w:rPr>
        <w:t xml:space="preserve"> </w:t>
      </w:r>
      <w:r>
        <w:rPr>
          <w:spacing w:val="8"/>
        </w:rPr>
        <w:t>万亩，新增涵养水源</w:t>
      </w:r>
      <w:r>
        <w:rPr>
          <w:spacing w:val="-41"/>
        </w:rPr>
        <w:t xml:space="preserve"> </w:t>
      </w:r>
      <w:r>
        <w:rPr>
          <w:spacing w:val="8"/>
        </w:rPr>
        <w:t>5000</w:t>
      </w:r>
      <w:r>
        <w:rPr>
          <w:spacing w:val="-41"/>
        </w:rPr>
        <w:t xml:space="preserve"> </w:t>
      </w:r>
      <w:r>
        <w:rPr>
          <w:spacing w:val="8"/>
        </w:rPr>
        <w:t>万立</w:t>
      </w:r>
      <w:r>
        <w:rPr>
          <w:spacing w:val="7"/>
        </w:rPr>
        <w:t>方米</w:t>
      </w:r>
      <w:r>
        <w:rPr>
          <w:spacing w:val="6"/>
        </w:rPr>
        <w:t>以上，全市森林覆盖率达到</w:t>
      </w:r>
      <w:r>
        <w:rPr>
          <w:spacing w:val="-20"/>
        </w:rPr>
        <w:t xml:space="preserve"> </w:t>
      </w:r>
      <w:r>
        <w:rPr>
          <w:spacing w:val="6"/>
        </w:rPr>
        <w:t>33.6%</w:t>
      </w:r>
      <w:r>
        <w:rPr>
          <w:spacing w:val="-60"/>
        </w:rPr>
        <w:t xml:space="preserve"> </w:t>
      </w:r>
      <w:r>
        <w:rPr>
          <w:spacing w:val="6"/>
        </w:rPr>
        <w:t>，草原综合</w:t>
      </w:r>
    </w:p>
    <w:p>
      <w:pPr>
        <w:spacing w:line="355" w:lineRule="auto"/>
        <w:sectPr>
          <w:type w:val="continuous"/>
          <w:pgSz w:w="11906" w:h="16839"/>
          <w:pgMar w:top="1793" w:right="1530" w:bottom="1570" w:left="1579" w:header="1428" w:footer="1172" w:gutter="0"/>
          <w:cols w:equalWidth="0" w:num="2">
            <w:col w:w="4487" w:space="100"/>
            <w:col w:w="4209" w:space="0"/>
          </w:cols>
        </w:sectPr>
        <w:rPr/>
      </w:pPr>
    </w:p>
    <w:p>
      <w:pPr>
        <w:spacing w:before="27"/>
        <w:rPr/>
      </w:pPr>
      <w:r>
        <w:drawing>
          <wp:anchor distT="0" distB="0" distL="0" distR="0" simplePos="0" relativeHeight="251766784"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356" name="IM 356"/>
            <wp:cNvGraphicFramePr/>
            <a:graphic>
              <a:graphicData uri="http://schemas.openxmlformats.org/drawingml/2006/picture">
                <pic:pic>
                  <pic:nvPicPr>
                    <pic:cNvPr id="356" name="IM 356"/>
                    <pic:cNvPicPr/>
                  </pic:nvPicPr>
                  <pic:blipFill>
                    <a:blip r:embed="rId180"/>
                    <a:stretch>
                      <a:fillRect/>
                    </a:stretch>
                  </pic:blipFill>
                  <pic:spPr>
                    <a:xfrm rot="0">
                      <a:off x="0" y="0"/>
                      <a:ext cx="5579745" cy="7619"/>
                    </a:xfrm>
                    <a:prstGeom prst="rect">
                      <a:avLst/>
                    </a:prstGeom>
                  </pic:spPr>
                </pic:pic>
              </a:graphicData>
            </a:graphic>
          </wp:anchor>
        </w:drawing>
      </w:r>
      <w:r/>
    </w:p>
    <w:p>
      <w:pPr>
        <w:sectPr>
          <w:headerReference w:type="default" r:id="rId153"/>
          <w:footerReference w:type="default" r:id="rId179"/>
          <w:pgSz w:w="11906" w:h="16839"/>
          <w:pgMar w:top="1793" w:right="1489" w:bottom="1672" w:left="1560" w:header="1428" w:footer="1277" w:gutter="0"/>
          <w:cols w:equalWidth="0" w:num="1">
            <w:col w:w="8857" w:space="0"/>
          </w:cols>
        </w:sectPr>
        <w:rPr/>
      </w:pPr>
    </w:p>
    <w:p>
      <w:pPr>
        <w:pStyle w:val="BodyText"/>
        <w:ind w:left="31"/>
        <w:spacing w:before="57" w:line="278" w:lineRule="exact"/>
        <w:rPr/>
      </w:pPr>
      <w:r>
        <w:rPr>
          <w:spacing w:val="6"/>
          <w:position w:val="1"/>
        </w:rPr>
        <w:t>植被盖度达到</w:t>
      </w:r>
      <w:r>
        <w:rPr>
          <w:spacing w:val="-29"/>
          <w:position w:val="1"/>
        </w:rPr>
        <w:t xml:space="preserve"> </w:t>
      </w:r>
      <w:r>
        <w:rPr>
          <w:spacing w:val="6"/>
          <w:position w:val="1"/>
        </w:rPr>
        <w:t>89.9%。</w:t>
      </w:r>
    </w:p>
    <w:p>
      <w:pPr>
        <w:pStyle w:val="BodyText"/>
        <w:ind w:left="452"/>
        <w:spacing w:before="100" w:line="223" w:lineRule="auto"/>
        <w:rPr/>
      </w:pPr>
      <w:r>
        <w:rPr>
          <w:spacing w:val="6"/>
        </w:rPr>
        <w:t>建设五城融合发展极。立足资源禀赋、产</w:t>
      </w:r>
    </w:p>
    <w:p>
      <w:pPr>
        <w:pStyle w:val="BodyText"/>
        <w:ind w:left="31"/>
        <w:spacing w:before="129" w:line="223" w:lineRule="auto"/>
        <w:outlineLvl w:val="0"/>
        <w:rPr/>
      </w:pPr>
      <w:r>
        <w:rPr>
          <w:spacing w:val="2"/>
        </w:rPr>
        <w:t>业基础和发展潜力，以固原市区和西吉、隆德、</w:t>
      </w:r>
    </w:p>
    <w:p>
      <w:pPr>
        <w:pStyle w:val="BodyText"/>
        <w:ind w:left="29" w:right="252" w:firstLine="6"/>
        <w:spacing w:before="126" w:line="341" w:lineRule="auto"/>
        <w:jc w:val="both"/>
        <w:rPr/>
      </w:pPr>
      <w:r>
        <w:rPr>
          <w:spacing w:val="10"/>
        </w:rPr>
        <w:t>泾源、彭阳四县县城为中心，以三营、彭堡、</w:t>
      </w:r>
      <w:r>
        <w:rPr>
          <w:spacing w:val="7"/>
        </w:rPr>
        <w:t>将台堡、兴隆、沙塘、泾河源、红河等重点特</w:t>
      </w:r>
      <w:r>
        <w:rPr>
          <w:spacing w:val="7"/>
        </w:rPr>
        <w:t>色集镇为支点，围绕总体建设规划和发展功能</w:t>
      </w:r>
      <w:r>
        <w:rPr>
          <w:spacing w:val="7"/>
        </w:rPr>
        <w:t>定位，依托已形成的发展基础，加强传统基础</w:t>
      </w:r>
      <w:r>
        <w:rPr>
          <w:spacing w:val="7"/>
        </w:rPr>
        <w:t>设施改造提升和新型基础设施建设，优先补齐</w:t>
      </w:r>
      <w:r>
        <w:rPr>
          <w:spacing w:val="7"/>
        </w:rPr>
        <w:t>基本公共服务短板，不断完善城镇功能，提高</w:t>
      </w:r>
      <w:r>
        <w:rPr>
          <w:spacing w:val="1"/>
        </w:rPr>
        <w:t>城镇品位，增强服务能力，推进城乡融合发展，</w:t>
      </w:r>
      <w:r>
        <w:rPr>
          <w:spacing w:val="7"/>
        </w:rPr>
        <w:t>实现产业龙头带动、园区（基地）支撑、链条</w:t>
      </w:r>
      <w:r>
        <w:rPr>
          <w:spacing w:val="7"/>
        </w:rPr>
        <w:t>完整的业态美，城乡一体、产城融合、就业就</w:t>
      </w:r>
      <w:r>
        <w:rPr>
          <w:spacing w:val="7"/>
        </w:rPr>
        <w:t>近的城乡美，花海梯田、果树成林、清水长流</w:t>
      </w:r>
      <w:r>
        <w:rPr>
          <w:spacing w:val="7"/>
        </w:rPr>
        <w:t>的山水美，收入稳增长、消费更便利、健身有</w:t>
      </w:r>
      <w:r>
        <w:rPr>
          <w:spacing w:val="7"/>
        </w:rPr>
        <w:t>去处、就业就学就医有保障的生活美，民族团</w:t>
      </w:r>
      <w:r>
        <w:rPr>
          <w:spacing w:val="1"/>
        </w:rPr>
        <w:t>结、社会和谐、亲商重商、人文质朴的环境美。</w:t>
      </w:r>
    </w:p>
    <w:p>
      <w:pPr>
        <w:spacing w:line="288" w:lineRule="auto"/>
        <w:rPr>
          <w:rFonts w:ascii="Arial"/>
          <w:sz w:val="21"/>
        </w:rPr>
      </w:pPr>
      <w:r/>
    </w:p>
    <w:p>
      <w:pPr>
        <w:pStyle w:val="BodyText"/>
        <w:ind w:left="847"/>
        <w:spacing w:before="66" w:line="221" w:lineRule="auto"/>
        <w:outlineLvl w:val="0"/>
        <w:rPr/>
      </w:pPr>
      <w:r>
        <w:rPr>
          <w:b/>
          <w:bCs/>
          <w:spacing w:val="7"/>
        </w:rPr>
        <w:t>第三节</w:t>
      </w:r>
      <w:r>
        <w:rPr>
          <w:spacing w:val="7"/>
        </w:rPr>
        <w:t xml:space="preserve">  </w:t>
      </w:r>
      <w:r>
        <w:rPr>
          <w:b/>
          <w:bCs/>
          <w:spacing w:val="7"/>
        </w:rPr>
        <w:t>创新机制率先突破</w:t>
      </w:r>
    </w:p>
    <w:p>
      <w:pPr>
        <w:spacing w:line="456" w:lineRule="auto"/>
        <w:rPr>
          <w:rFonts w:ascii="Arial"/>
          <w:sz w:val="21"/>
        </w:rPr>
      </w:pPr>
      <w:r/>
    </w:p>
    <w:p>
      <w:pPr>
        <w:pStyle w:val="BodyText"/>
        <w:ind w:left="453"/>
        <w:spacing w:before="65" w:line="221" w:lineRule="auto"/>
        <w:rPr/>
      </w:pPr>
      <w:r>
        <w:rPr>
          <w:spacing w:val="6"/>
        </w:rPr>
        <w:t>坚持服务国家、自治区战略大局，以机制</w:t>
      </w:r>
    </w:p>
    <w:p>
      <w:pPr>
        <w:pStyle w:val="BodyText"/>
        <w:ind w:left="32"/>
        <w:spacing w:before="139" w:line="223" w:lineRule="auto"/>
        <w:outlineLvl w:val="0"/>
        <w:rPr/>
      </w:pPr>
      <w:r>
        <w:rPr>
          <w:spacing w:val="6"/>
        </w:rPr>
        <w:t>创新为先导，全面落实自治区“</w:t>
      </w:r>
      <w:r>
        <w:rPr>
          <w:spacing w:val="-69"/>
        </w:rPr>
        <w:t xml:space="preserve"> </w:t>
      </w:r>
      <w:r>
        <w:rPr>
          <w:spacing w:val="6"/>
        </w:rPr>
        <w:t>四个率先”要</w:t>
      </w:r>
    </w:p>
    <w:p>
      <w:pPr>
        <w:pStyle w:val="BodyText"/>
        <w:ind w:left="32" w:right="329"/>
        <w:spacing w:before="141" w:line="350" w:lineRule="auto"/>
        <w:jc w:val="both"/>
        <w:rPr/>
      </w:pPr>
      <w:r>
        <w:rPr>
          <w:spacing w:val="7"/>
        </w:rPr>
        <w:t>求，着力在生态保护补偿、区域合作、绿色发</w:t>
      </w:r>
      <w:r>
        <w:rPr>
          <w:spacing w:val="7"/>
        </w:rPr>
        <w:t>展、土地增减挂钩、重大项目建设等方面干在</w:t>
      </w:r>
      <w:r>
        <w:rPr>
          <w:spacing w:val="8"/>
        </w:rPr>
        <w:t>实处、趟出新路、创造经验。</w:t>
      </w:r>
    </w:p>
    <w:p>
      <w:pPr>
        <w:pStyle w:val="BodyText"/>
        <w:ind w:left="32" w:right="329" w:firstLine="420"/>
        <w:spacing w:before="1" w:line="287" w:lineRule="auto"/>
        <w:outlineLvl w:val="0"/>
        <w:rPr/>
      </w:pPr>
      <w:r>
        <w:rPr>
          <w:spacing w:val="6"/>
        </w:rPr>
        <w:t>建立生态综合补偿机制。统一产业准入门</w:t>
      </w:r>
      <w:r>
        <w:rPr>
          <w:spacing w:val="7"/>
        </w:rPr>
        <w:t>槛和行业污染控制标准，探索实施生态综合补</w:t>
      </w:r>
    </w:p>
    <w:p>
      <w:pPr>
        <w:pStyle w:val="BodyText"/>
        <w:ind w:left="30" w:right="246"/>
        <w:spacing w:before="140" w:line="351" w:lineRule="auto"/>
        <w:jc w:val="both"/>
        <w:rPr/>
      </w:pPr>
      <w:r>
        <w:rPr>
          <w:spacing w:val="10"/>
        </w:rPr>
        <w:t>偿试点，建立和完善水权、排污权、用能权、</w:t>
      </w:r>
      <w:r>
        <w:rPr>
          <w:spacing w:val="7"/>
        </w:rPr>
        <w:t>碳排放权有偿使用和交易制度，全面推行河湖</w:t>
      </w:r>
      <w:r>
        <w:rPr>
          <w:spacing w:val="1"/>
        </w:rPr>
        <w:t>长制、林长制和山长制，严格落实禁伐、禁垦、</w:t>
      </w:r>
      <w:r>
        <w:rPr/>
        <w:t>禁采、禁牧“</w:t>
      </w:r>
      <w:r>
        <w:rPr>
          <w:spacing w:val="-71"/>
        </w:rPr>
        <w:t xml:space="preserve"> </w:t>
      </w:r>
      <w:r>
        <w:rPr/>
        <w:t>四禁”规定，完善减少资源消耗、</w:t>
      </w:r>
      <w:r>
        <w:rPr>
          <w:spacing w:val="7"/>
        </w:rPr>
        <w:t>减少污染行为、减少废物排放、减少肥物用量</w:t>
      </w:r>
      <w:r>
        <w:rPr>
          <w:spacing w:val="6"/>
        </w:rPr>
        <w:t>“</w:t>
      </w:r>
      <w:r>
        <w:rPr>
          <w:spacing w:val="-74"/>
        </w:rPr>
        <w:t xml:space="preserve"> </w:t>
      </w:r>
      <w:r>
        <w:rPr>
          <w:spacing w:val="6"/>
        </w:rPr>
        <w:t>四减”措施，努力实现保持河道不断流、保</w:t>
      </w:r>
      <w:r>
        <w:rPr>
          <w:spacing w:val="7"/>
        </w:rPr>
        <w:t>持湖泊不干涸、保持水土不流失、保持农田不</w:t>
      </w:r>
      <w:r>
        <w:rPr>
          <w:spacing w:val="1"/>
        </w:rPr>
        <w:t>污染“</w:t>
      </w:r>
      <w:r>
        <w:rPr>
          <w:spacing w:val="-73"/>
        </w:rPr>
        <w:t xml:space="preserve"> </w:t>
      </w:r>
      <w:r>
        <w:rPr>
          <w:spacing w:val="1"/>
        </w:rPr>
        <w:t>四保”</w:t>
      </w:r>
      <w:r>
        <w:rPr>
          <w:spacing w:val="-62"/>
        </w:rPr>
        <w:t xml:space="preserve"> </w:t>
      </w:r>
      <w:r>
        <w:rPr>
          <w:spacing w:val="1"/>
        </w:rPr>
        <w:t>目标。</w:t>
      </w:r>
    </w:p>
    <w:p>
      <w:pPr>
        <w:spacing w:line="14" w:lineRule="auto"/>
        <w:rPr>
          <w:rFonts w:ascii="Arial"/>
          <w:sz w:val="2"/>
        </w:rPr>
      </w:pPr>
      <w:r>
        <w:rPr>
          <w:rFonts w:ascii="Arial" w:hAnsi="Arial" w:eastAsia="Arial" w:cs="Arial"/>
          <w:sz w:val="2"/>
          <w:szCs w:val="2"/>
        </w:rPr>
        <w:br w:type="column"/>
      </w:r>
    </w:p>
    <w:p>
      <w:pPr>
        <w:pStyle w:val="BodyText"/>
        <w:ind w:left="3" w:right="81" w:firstLine="417"/>
        <w:spacing w:before="47" w:line="288" w:lineRule="auto"/>
        <w:outlineLvl w:val="0"/>
        <w:rPr/>
      </w:pPr>
      <w:r>
        <w:rPr>
          <w:spacing w:val="8"/>
        </w:rPr>
        <w:t>建立产业跨地区转移利益共享合作机制。</w:t>
      </w:r>
      <w:r>
        <w:rPr>
          <w:spacing w:val="7"/>
        </w:rPr>
        <w:t>积极融入新发展格局，进一步加强与兄弟省市</w:t>
      </w:r>
    </w:p>
    <w:p>
      <w:pPr>
        <w:pStyle w:val="BodyText"/>
        <w:ind w:right="78" w:firstLine="18"/>
        <w:spacing w:before="135" w:line="351" w:lineRule="auto"/>
        <w:jc w:val="both"/>
        <w:rPr/>
      </w:pPr>
      <w:r>
        <w:rPr>
          <w:spacing w:val="6"/>
        </w:rPr>
        <w:t>的紧密协作，加大与央企民企的密切合作，做</w:t>
      </w:r>
      <w:r>
        <w:rPr>
          <w:spacing w:val="7"/>
        </w:rPr>
        <w:t>好产业跨地区转移的承接和落地工作，做到园</w:t>
      </w:r>
      <w:r>
        <w:rPr>
          <w:spacing w:val="7"/>
        </w:rPr>
        <w:t>区共建、利益共享。加强闽宁对口帮扶紧密协</w:t>
      </w:r>
      <w:r>
        <w:rPr>
          <w:spacing w:val="6"/>
        </w:rPr>
        <w:t>作，在固原建立“飞地产业园”</w:t>
      </w:r>
      <w:r>
        <w:rPr>
          <w:spacing w:val="-51"/>
        </w:rPr>
        <w:t xml:space="preserve"> </w:t>
      </w:r>
      <w:r>
        <w:rPr>
          <w:spacing w:val="6"/>
        </w:rPr>
        <w:t>，共享产值、</w:t>
      </w:r>
      <w:r>
        <w:rPr>
          <w:spacing w:val="8"/>
        </w:rPr>
        <w:t>税收、投资、就业、成果。</w:t>
      </w:r>
    </w:p>
    <w:p>
      <w:pPr>
        <w:pStyle w:val="BodyText"/>
        <w:ind w:left="4" w:right="101" w:firstLine="416"/>
        <w:spacing w:line="286" w:lineRule="auto"/>
        <w:outlineLvl w:val="0"/>
        <w:rPr/>
      </w:pPr>
      <w:r>
        <w:rPr>
          <w:spacing w:val="6"/>
        </w:rPr>
        <w:t>建立绿色发展长效投入机制。全力争取国</w:t>
      </w:r>
      <w:r>
        <w:rPr>
          <w:spacing w:val="7"/>
        </w:rPr>
        <w:t>家、自治区黄河流域生态保护和高质量发展资</w:t>
      </w:r>
    </w:p>
    <w:p>
      <w:pPr>
        <w:pStyle w:val="BodyText"/>
        <w:ind w:right="101"/>
        <w:spacing w:before="140" w:line="350" w:lineRule="auto"/>
        <w:jc w:val="both"/>
        <w:rPr/>
      </w:pPr>
      <w:r>
        <w:rPr>
          <w:spacing w:val="7"/>
        </w:rPr>
        <w:t>金，集中财力实施先行区建设重点项目，设立</w:t>
      </w:r>
      <w:r>
        <w:rPr>
          <w:spacing w:val="7"/>
        </w:rPr>
        <w:t>黄河流域生态保护和高质量发展基金，鼓励引</w:t>
      </w:r>
      <w:r>
        <w:rPr>
          <w:spacing w:val="7"/>
        </w:rPr>
        <w:t>导社会力量、社会资本参与建设，推动形成先</w:t>
      </w:r>
      <w:r>
        <w:rPr>
          <w:spacing w:val="8"/>
        </w:rPr>
        <w:t>行区建设多元投入机制。</w:t>
      </w:r>
    </w:p>
    <w:p>
      <w:pPr>
        <w:pStyle w:val="BodyText"/>
        <w:ind w:left="2" w:right="101" w:firstLine="419"/>
        <w:spacing w:before="3" w:line="287" w:lineRule="auto"/>
        <w:outlineLvl w:val="0"/>
        <w:rPr/>
      </w:pPr>
      <w:r>
        <w:rPr>
          <w:spacing w:val="6"/>
        </w:rPr>
        <w:t>建立土地增减挂钩调剂政策机制。盘活利</w:t>
      </w:r>
      <w:r>
        <w:rPr>
          <w:spacing w:val="7"/>
        </w:rPr>
        <w:t>用好土地资源，灵活运用城乡建设用地增减挂</w:t>
      </w:r>
    </w:p>
    <w:p>
      <w:pPr>
        <w:pStyle w:val="BodyText"/>
        <w:ind w:left="2" w:right="30" w:firstLine="3"/>
        <w:spacing w:before="137" w:line="350" w:lineRule="auto"/>
        <w:jc w:val="both"/>
        <w:rPr/>
      </w:pPr>
      <w:r>
        <w:rPr>
          <w:spacing w:val="7"/>
        </w:rPr>
        <w:t>钩节余指标调剂、耕地占补平衡指标调剂等土</w:t>
      </w:r>
      <w:r>
        <w:rPr>
          <w:spacing w:val="-3"/>
        </w:rPr>
        <w:t>地政策，保障用地供给，支持先行区美丽新固原</w:t>
      </w:r>
      <w:r>
        <w:rPr/>
        <w:t>重大基础设施、公共设施和重大产业项目建设。</w:t>
      </w:r>
    </w:p>
    <w:p>
      <w:pPr>
        <w:pStyle w:val="BodyText"/>
        <w:ind w:left="6" w:right="101" w:firstLine="415"/>
        <w:spacing w:line="304" w:lineRule="auto"/>
        <w:outlineLvl w:val="0"/>
        <w:rPr/>
      </w:pPr>
      <w:r>
        <w:rPr>
          <w:spacing w:val="6"/>
        </w:rPr>
        <w:t>建立重大项目谋划落地机制。紧抓《黄河</w:t>
      </w:r>
      <w:r>
        <w:rPr>
          <w:spacing w:val="7"/>
        </w:rPr>
        <w:t>流域生态保护和高质量发展规划纲要》中明确</w:t>
      </w:r>
    </w:p>
    <w:p>
      <w:pPr>
        <w:pStyle w:val="BodyText"/>
        <w:ind w:left="2" w:right="94" w:firstLine="2"/>
        <w:spacing w:before="103" w:line="351" w:lineRule="auto"/>
        <w:jc w:val="both"/>
        <w:rPr/>
      </w:pPr>
      <w:r>
        <w:rPr>
          <w:spacing w:val="18"/>
        </w:rPr>
        <w:t>提出中央财政将设立黄河流域生态保护和高</w:t>
      </w:r>
      <w:r>
        <w:rPr>
          <w:spacing w:val="7"/>
        </w:rPr>
        <w:t>质量发展专项奖补资金，专门用于补助生态功</w:t>
      </w:r>
      <w:r>
        <w:rPr>
          <w:spacing w:val="7"/>
        </w:rPr>
        <w:t>能重要、公共服务短板较多地区机遇，积极争</w:t>
      </w:r>
      <w:r>
        <w:rPr>
          <w:spacing w:val="7"/>
        </w:rPr>
        <w:t>取资金，统筹实施重点产业培育、重要民生改</w:t>
      </w:r>
      <w:r>
        <w:rPr>
          <w:spacing w:val="7"/>
        </w:rPr>
        <w:t>善、重大设施建设、重要生态保护重大项目，</w:t>
      </w:r>
      <w:r>
        <w:rPr>
          <w:spacing w:val="7"/>
        </w:rPr>
        <w:t>不断增加有效投入，强化重大项目对先行区美</w:t>
      </w:r>
      <w:r>
        <w:rPr>
          <w:spacing w:val="8"/>
        </w:rPr>
        <w:t>丽新固原建设的“硬核”支撑。</w:t>
      </w:r>
    </w:p>
    <w:p>
      <w:pPr>
        <w:spacing w:line="292" w:lineRule="auto"/>
        <w:rPr>
          <w:rFonts w:ascii="Arial"/>
          <w:sz w:val="21"/>
        </w:rPr>
      </w:pPr>
      <w:r/>
    </w:p>
    <w:p>
      <w:pPr>
        <w:ind w:left="718"/>
        <w:spacing w:before="86" w:line="182"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第三章</w:t>
      </w:r>
      <w:r>
        <w:rPr>
          <w:rFonts w:ascii="Microsoft YaHei" w:hAnsi="Microsoft YaHei" w:eastAsia="Microsoft YaHei" w:cs="Microsoft YaHei"/>
          <w:sz w:val="20"/>
          <w:szCs w:val="20"/>
          <w:spacing w:val="14"/>
        </w:rPr>
        <w:t xml:space="preserve">   </w:t>
      </w:r>
      <w:r>
        <w:rPr>
          <w:rFonts w:ascii="Microsoft YaHei" w:hAnsi="Microsoft YaHei" w:eastAsia="Microsoft YaHei" w:cs="Microsoft YaHei"/>
          <w:sz w:val="20"/>
          <w:szCs w:val="20"/>
          <w:spacing w:val="8"/>
        </w:rPr>
        <w:t>构建现代化产业体系</w:t>
      </w:r>
    </w:p>
    <w:p>
      <w:pPr>
        <w:ind w:left="1135"/>
        <w:spacing w:before="139" w:line="185"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提高经济质量和效益</w:t>
      </w:r>
    </w:p>
    <w:p>
      <w:pPr>
        <w:spacing w:line="422" w:lineRule="auto"/>
        <w:rPr>
          <w:rFonts w:ascii="Arial"/>
          <w:sz w:val="21"/>
        </w:rPr>
      </w:pPr>
      <w:r/>
    </w:p>
    <w:p>
      <w:pPr>
        <w:pStyle w:val="BodyText"/>
        <w:ind w:left="10" w:right="94" w:firstLine="411"/>
        <w:spacing w:before="65" w:line="297" w:lineRule="auto"/>
        <w:outlineLvl w:val="0"/>
        <w:rPr/>
      </w:pPr>
      <w:r>
        <w:rPr>
          <w:spacing w:val="7"/>
        </w:rPr>
        <w:t>坚持把发展经济着力点放在实体经济上，</w:t>
      </w:r>
      <w:r>
        <w:rPr>
          <w:spacing w:val="6"/>
        </w:rPr>
        <w:t>紧紧依托已形成的产业基础，以供给侧结构性</w:t>
      </w:r>
    </w:p>
    <w:p>
      <w:pPr>
        <w:pStyle w:val="BodyText"/>
        <w:ind w:left="3"/>
        <w:spacing w:before="162" w:line="187" w:lineRule="auto"/>
        <w:rPr/>
      </w:pPr>
      <w:r>
        <w:rPr>
          <w:spacing w:val="7"/>
        </w:rPr>
        <w:t>改革为主线，以推动实施“十大产业工程”为</w:t>
      </w:r>
    </w:p>
    <w:p>
      <w:pPr>
        <w:spacing w:line="187" w:lineRule="auto"/>
        <w:sectPr>
          <w:type w:val="continuous"/>
          <w:pgSz w:w="11906" w:h="16839"/>
          <w:pgMar w:top="1793" w:right="1489" w:bottom="1672" w:left="1560" w:header="1428" w:footer="1277" w:gutter="0"/>
          <w:cols w:equalWidth="0" w:num="2">
            <w:col w:w="4509" w:space="100"/>
            <w:col w:w="4249" w:space="0"/>
          </w:cols>
        </w:sectPr>
        <w:rPr/>
      </w:pPr>
    </w:p>
    <w:p>
      <w:pPr>
        <w:spacing w:before="51"/>
        <w:rPr/>
      </w:pPr>
      <w:r>
        <w:drawing>
          <wp:anchor distT="0" distB="0" distL="0" distR="0" simplePos="0" relativeHeight="251768832"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360" name="IM 360"/>
            <wp:cNvGraphicFramePr/>
            <a:graphic>
              <a:graphicData uri="http://schemas.openxmlformats.org/drawingml/2006/picture">
                <pic:pic>
                  <pic:nvPicPr>
                    <pic:cNvPr id="360" name="IM 360"/>
                    <pic:cNvPicPr/>
                  </pic:nvPicPr>
                  <pic:blipFill>
                    <a:blip r:embed="rId182"/>
                    <a:stretch>
                      <a:fillRect/>
                    </a:stretch>
                  </pic:blipFill>
                  <pic:spPr>
                    <a:xfrm rot="0">
                      <a:off x="0" y="0"/>
                      <a:ext cx="5579745" cy="7619"/>
                    </a:xfrm>
                    <a:prstGeom prst="rect">
                      <a:avLst/>
                    </a:prstGeom>
                  </pic:spPr>
                </pic:pic>
              </a:graphicData>
            </a:graphic>
          </wp:anchor>
        </w:drawing>
      </w:r>
      <w:r/>
    </w:p>
    <w:p>
      <w:pPr>
        <w:sectPr>
          <w:headerReference w:type="default" r:id="rId167"/>
          <w:footerReference w:type="default" r:id="rId181"/>
          <w:pgSz w:w="11906" w:h="16839"/>
          <w:pgMar w:top="1793" w:right="1509" w:bottom="1570" w:left="1579" w:header="1428" w:footer="1172" w:gutter="0"/>
          <w:cols w:equalWidth="0" w:num="1">
            <w:col w:w="8817" w:space="0"/>
          </w:cols>
        </w:sectPr>
        <w:rPr/>
      </w:pPr>
    </w:p>
    <w:p>
      <w:pPr>
        <w:pStyle w:val="BodyText"/>
        <w:ind w:left="13" w:right="263"/>
        <w:spacing w:before="45" w:line="364" w:lineRule="auto"/>
        <w:jc w:val="both"/>
        <w:rPr/>
      </w:pPr>
      <w:r>
        <w:rPr>
          <w:spacing w:val="5"/>
        </w:rPr>
        <w:t>抓手，做好 “调” “转” “改”三篇文</w:t>
      </w:r>
      <w:r>
        <w:rPr>
          <w:spacing w:val="4"/>
        </w:rPr>
        <w:t>章，</w:t>
      </w:r>
      <w:r>
        <w:rPr>
          <w:spacing w:val="7"/>
        </w:rPr>
        <w:t>聚焦高端化、绿色化、智能化、融合化，推进</w:t>
      </w:r>
      <w:r>
        <w:rPr>
          <w:spacing w:val="7"/>
        </w:rPr>
        <w:t>产业发展建成链、形成群、有体系，努力实现</w:t>
      </w:r>
      <w:r>
        <w:rPr>
          <w:spacing w:val="9"/>
        </w:rPr>
        <w:t>经济发展量的合理增长和质的稳步提升。</w:t>
      </w:r>
    </w:p>
    <w:p>
      <w:pPr>
        <w:spacing w:line="352" w:lineRule="auto"/>
        <w:rPr>
          <w:rFonts w:ascii="Arial"/>
          <w:sz w:val="21"/>
        </w:rPr>
      </w:pPr>
      <w:r/>
    </w:p>
    <w:p>
      <w:pPr>
        <w:pStyle w:val="BodyText"/>
        <w:ind w:left="827"/>
        <w:spacing w:before="65" w:line="220" w:lineRule="auto"/>
        <w:outlineLvl w:val="0"/>
        <w:rPr/>
      </w:pPr>
      <w:r>
        <w:rPr>
          <w:b/>
          <w:bCs/>
          <w:spacing w:val="7"/>
        </w:rPr>
        <w:t>第一节</w:t>
      </w:r>
      <w:r>
        <w:rPr>
          <w:spacing w:val="7"/>
        </w:rPr>
        <w:t xml:space="preserve">  </w:t>
      </w:r>
      <w:r>
        <w:rPr>
          <w:b/>
          <w:bCs/>
          <w:spacing w:val="7"/>
        </w:rPr>
        <w:t>扩量做大特色农业</w:t>
      </w:r>
    </w:p>
    <w:p>
      <w:pPr>
        <w:spacing w:line="248" w:lineRule="auto"/>
        <w:rPr>
          <w:rFonts w:ascii="Arial"/>
          <w:sz w:val="21"/>
        </w:rPr>
      </w:pPr>
      <w:r/>
    </w:p>
    <w:p>
      <w:pPr>
        <w:spacing w:line="248" w:lineRule="auto"/>
        <w:rPr>
          <w:rFonts w:ascii="Arial"/>
          <w:sz w:val="21"/>
        </w:rPr>
      </w:pPr>
      <w:r/>
    </w:p>
    <w:p>
      <w:pPr>
        <w:pStyle w:val="BodyText"/>
        <w:ind w:left="432"/>
        <w:spacing w:before="65" w:line="219" w:lineRule="auto"/>
        <w:rPr/>
      </w:pPr>
      <w:r>
        <w:rPr>
          <w:spacing w:val="7"/>
        </w:rPr>
        <w:t>按照“调优种养结构、调大经营规模、调</w:t>
      </w:r>
    </w:p>
    <w:p>
      <w:pPr>
        <w:pStyle w:val="BodyText"/>
        <w:ind w:left="15"/>
        <w:spacing w:before="159" w:line="223" w:lineRule="auto"/>
        <w:outlineLvl w:val="0"/>
        <w:rPr/>
      </w:pPr>
      <w:r>
        <w:rPr>
          <w:spacing w:val="7"/>
        </w:rPr>
        <w:t>强加工能力、调长产业链条”的原则，大力发</w:t>
      </w:r>
    </w:p>
    <w:p>
      <w:pPr>
        <w:pStyle w:val="BodyText"/>
        <w:ind w:left="13" w:right="247"/>
        <w:spacing w:before="154" w:line="355" w:lineRule="auto"/>
        <w:jc w:val="both"/>
        <w:rPr/>
      </w:pPr>
      <w:r>
        <w:rPr>
          <w:spacing w:val="1"/>
        </w:rPr>
        <w:t>展肉牛、绿色食品产业，加快调结构、强特色、</w:t>
      </w:r>
      <w:r>
        <w:rPr>
          <w:spacing w:val="10"/>
        </w:rPr>
        <w:t>树品牌，推进形成布局区域化、生产标准化、</w:t>
      </w:r>
      <w:r>
        <w:rPr>
          <w:spacing w:val="8"/>
        </w:rPr>
        <w:t>经营规模化、发展产业化。</w:t>
      </w:r>
    </w:p>
    <w:p>
      <w:pPr>
        <w:pStyle w:val="BodyText"/>
        <w:ind w:left="433"/>
        <w:spacing w:before="49" w:line="223" w:lineRule="auto"/>
        <w:rPr/>
      </w:pPr>
      <w:r>
        <w:rPr>
          <w:spacing w:val="6"/>
        </w:rPr>
        <w:t>建设高端肉牛生产基地。充分利用自治区</w:t>
      </w:r>
    </w:p>
    <w:p>
      <w:pPr>
        <w:pStyle w:val="BodyText"/>
        <w:ind w:left="13"/>
        <w:spacing w:before="160" w:line="223" w:lineRule="auto"/>
        <w:outlineLvl w:val="0"/>
        <w:rPr/>
      </w:pPr>
      <w:r>
        <w:rPr>
          <w:spacing w:val="7"/>
        </w:rPr>
        <w:t>建设国家农业绿色发展先行区的政策机遇，坚</w:t>
      </w:r>
    </w:p>
    <w:p>
      <w:pPr>
        <w:pStyle w:val="BodyText"/>
        <w:ind w:left="18" w:right="321" w:hanging="4"/>
        <w:spacing w:before="156" w:line="370" w:lineRule="auto"/>
        <w:jc w:val="both"/>
        <w:rPr/>
      </w:pPr>
      <w:r>
        <w:rPr>
          <w:spacing w:val="12"/>
        </w:rPr>
        <w:t>持“优质+高效”双轮驱动，着力构建现代肉</w:t>
      </w:r>
      <w:r>
        <w:rPr>
          <w:spacing w:val="6"/>
        </w:rPr>
        <w:t>牛产业体系、生产体系、经营体系。推进布局</w:t>
      </w:r>
      <w:r>
        <w:rPr>
          <w:spacing w:val="7"/>
        </w:rPr>
        <w:t>区域化，按照“二轴一园五基地”整体布局，</w:t>
      </w:r>
    </w:p>
    <w:p>
      <w:pPr>
        <w:pStyle w:val="BodyText"/>
        <w:ind w:left="11" w:right="122" w:firstLine="7"/>
        <w:spacing w:before="14" w:line="368" w:lineRule="auto"/>
        <w:tabs>
          <w:tab w:val="left" w:pos="4362"/>
        </w:tabs>
        <w:jc w:val="both"/>
        <w:rPr/>
      </w:pPr>
      <w:r>
        <w:rPr>
          <w:spacing w:val="6"/>
        </w:rPr>
        <w:t>突出发展优质肉牛和特色牛肉加工，重点推行</w:t>
      </w:r>
      <w:r>
        <w:rPr/>
        <w:tab/>
      </w:r>
      <w:r>
        <w:rPr/>
        <w:t xml:space="preserve"> </w:t>
      </w:r>
      <w:r>
        <w:rPr>
          <w:spacing w:val="7"/>
        </w:rPr>
        <w:t>“家家种草、户户养牛、自繁自育、适度规模”</w:t>
      </w:r>
      <w:r>
        <w:rPr>
          <w:spacing w:val="7"/>
        </w:rPr>
        <w:t>生产经营方式，扩大养殖规模；加快区域特色</w:t>
      </w:r>
      <w:r>
        <w:rPr/>
        <w:tab/>
      </w:r>
      <w:r>
        <w:rPr/>
        <w:t xml:space="preserve"> </w:t>
      </w:r>
      <w:r>
        <w:rPr>
          <w:spacing w:val="7"/>
        </w:rPr>
        <w:t>牛肉加工业发展，延长产业链条，带动肉牛产</w:t>
      </w:r>
      <w:r>
        <w:rPr/>
        <w:tab/>
      </w:r>
      <w:r>
        <w:rPr/>
        <w:t xml:space="preserve"> </w:t>
      </w:r>
      <w:r>
        <w:rPr>
          <w:spacing w:val="7"/>
        </w:rPr>
        <w:t>业扩量提质增效。推进经营规模化，支持养殖</w:t>
      </w:r>
      <w:r>
        <w:rPr/>
        <w:tab/>
      </w:r>
      <w:r>
        <w:rPr/>
        <w:t xml:space="preserve"> </w:t>
      </w:r>
      <w:r>
        <w:rPr>
          <w:spacing w:val="7"/>
        </w:rPr>
        <w:t>大户、家庭农场、农民合作社、龙头企业等新</w:t>
      </w:r>
      <w:r>
        <w:rPr/>
        <w:tab/>
      </w:r>
      <w:r>
        <w:rPr/>
        <w:t xml:space="preserve"> </w:t>
      </w:r>
      <w:r>
        <w:rPr>
          <w:spacing w:val="7"/>
        </w:rPr>
        <w:t>型经营主体完善基础设施，配套养殖机械，发</w:t>
      </w:r>
      <w:r>
        <w:rPr>
          <w:spacing w:val="15"/>
        </w:rPr>
        <w:t>展规模养殖</w:t>
      </w:r>
      <w:r>
        <w:rPr>
          <w:spacing w:val="-39"/>
        </w:rPr>
        <w:t xml:space="preserve"> </w:t>
      </w:r>
      <w:r>
        <w:rPr>
          <w:spacing w:val="15"/>
        </w:rPr>
        <w:t>，整乡整村推进肉牛养殖扩群增</w:t>
      </w:r>
      <w:r>
        <w:rPr>
          <w:spacing w:val="7"/>
        </w:rPr>
        <w:t>量。推进生产标准化，围绕肉牛饲养管理、疫</w:t>
      </w:r>
      <w:r>
        <w:rPr/>
        <w:tab/>
      </w:r>
      <w:r>
        <w:rPr/>
        <w:t xml:space="preserve"> </w:t>
      </w:r>
      <w:r>
        <w:rPr>
          <w:spacing w:val="7"/>
        </w:rPr>
        <w:t>病防控、产品加工等生产环节，建立完善肉牛</w:t>
      </w:r>
      <w:r>
        <w:rPr/>
        <w:tab/>
      </w:r>
      <w:r>
        <w:rPr/>
        <w:t xml:space="preserve"> </w:t>
      </w:r>
      <w:r>
        <w:rPr>
          <w:spacing w:val="7"/>
        </w:rPr>
        <w:t>良种繁育、饲草料加工调制等标准，推广应用</w:t>
      </w:r>
      <w:r>
        <w:rPr/>
        <w:tab/>
      </w:r>
      <w:r>
        <w:rPr/>
        <w:t xml:space="preserve"> </w:t>
      </w:r>
      <w:r>
        <w:rPr>
          <w:spacing w:val="7"/>
        </w:rPr>
        <w:t>标准化生产技术，建立西门塔尔牛品种改良和</w:t>
      </w:r>
      <w:r>
        <w:rPr/>
        <w:tab/>
      </w:r>
      <w:r>
        <w:rPr/>
        <w:t xml:space="preserve"> </w:t>
      </w:r>
      <w:r>
        <w:rPr>
          <w:spacing w:val="7"/>
        </w:rPr>
        <w:t>安格斯牛品种选育繁育基地，加快养殖场升级</w:t>
      </w:r>
      <w:r>
        <w:rPr/>
        <w:tab/>
      </w:r>
      <w:r>
        <w:rPr/>
        <w:t xml:space="preserve"> </w:t>
      </w:r>
      <w:r>
        <w:rPr>
          <w:spacing w:val="9"/>
        </w:rPr>
        <w:t>改造和标准化建设；完善动物疫病防控体系，</w:t>
      </w:r>
    </w:p>
    <w:p>
      <w:pPr>
        <w:pStyle w:val="BodyText"/>
        <w:ind w:left="16"/>
        <w:spacing w:before="2" w:line="278" w:lineRule="exact"/>
        <w:rPr/>
      </w:pPr>
      <w:r>
        <w:rPr>
          <w:spacing w:val="18"/>
          <w:position w:val="1"/>
        </w:rPr>
        <w:t>提升动物疫病防控综合能力和动物产品质量</w:t>
      </w:r>
    </w:p>
    <w:p>
      <w:pPr>
        <w:spacing w:line="14" w:lineRule="auto"/>
        <w:rPr>
          <w:rFonts w:ascii="Arial"/>
          <w:sz w:val="2"/>
        </w:rPr>
      </w:pPr>
      <w:r>
        <w:rPr>
          <w:rFonts w:ascii="Arial" w:hAnsi="Arial" w:eastAsia="Arial" w:cs="Arial"/>
          <w:sz w:val="2"/>
          <w:szCs w:val="2"/>
        </w:rPr>
        <w:br w:type="column"/>
      </w:r>
    </w:p>
    <w:p>
      <w:pPr>
        <w:pStyle w:val="BodyText"/>
        <w:ind w:firstLine="3"/>
        <w:spacing w:before="45" w:line="368" w:lineRule="auto"/>
        <w:jc w:val="both"/>
        <w:rPr/>
      </w:pPr>
      <w:r>
        <w:rPr>
          <w:spacing w:val="7"/>
        </w:rPr>
        <w:t>安全监管水平，建立肉牛产业大数据信息化平</w:t>
      </w:r>
      <w:r>
        <w:rPr>
          <w:spacing w:val="7"/>
        </w:rPr>
        <w:t>台，实现肉牛养殖、屠宰加工、产品销售等全</w:t>
      </w:r>
      <w:r>
        <w:rPr>
          <w:spacing w:val="7"/>
        </w:rPr>
        <w:t>程追溯；加快科技创新与成果转化，强化品种</w:t>
      </w:r>
      <w:r>
        <w:rPr>
          <w:spacing w:val="7"/>
        </w:rPr>
        <w:t>选育、高效养殖、精细管理、精深加工等技术</w:t>
      </w:r>
      <w:r>
        <w:rPr>
          <w:spacing w:val="7"/>
        </w:rPr>
        <w:t>集成应用，推广应用肉牛高效生产综合配套技</w:t>
      </w:r>
      <w:r>
        <w:rPr>
          <w:spacing w:val="1"/>
        </w:rPr>
        <w:t>术，启动实施一批重大科技专项，加快新产品、</w:t>
      </w:r>
      <w:r>
        <w:rPr>
          <w:spacing w:val="7"/>
        </w:rPr>
        <w:t>新技术、新工艺集成应用，提升产业发展质量</w:t>
      </w:r>
      <w:r>
        <w:rPr>
          <w:spacing w:val="7"/>
        </w:rPr>
        <w:t>效益。推进发展产业化，加大招商力度，抓好</w:t>
      </w:r>
      <w:r>
        <w:rPr>
          <w:spacing w:val="7"/>
        </w:rPr>
        <w:t>伊赛肉牛全产业链等项目落地建设，支持龙头</w:t>
      </w:r>
      <w:r>
        <w:rPr>
          <w:spacing w:val="11"/>
        </w:rPr>
        <w:t>企业新建、扩建屠宰加工厂，发展订单生产，</w:t>
      </w:r>
      <w:r>
        <w:rPr>
          <w:spacing w:val="11"/>
        </w:rPr>
        <w:t>构建“规模养殖+精深加工+品牌营销+综合服</w:t>
      </w:r>
      <w:r>
        <w:rPr>
          <w:spacing w:val="7"/>
        </w:rPr>
        <w:t>务”一体化经营体系；以长三角、珠三角、京</w:t>
      </w:r>
      <w:r>
        <w:rPr>
          <w:spacing w:val="7"/>
        </w:rPr>
        <w:t>津冀经济圈为重点，紧盯中高端消费市场，创</w:t>
      </w:r>
      <w:r>
        <w:rPr>
          <w:spacing w:val="7"/>
        </w:rPr>
        <w:t>新营销模式，大力开展网上线下销售，扩大消</w:t>
      </w:r>
      <w:r>
        <w:rPr>
          <w:spacing w:val="6"/>
        </w:rPr>
        <w:t>费半径；扩大“</w:t>
      </w:r>
      <w:r>
        <w:rPr>
          <w:spacing w:val="-71"/>
        </w:rPr>
        <w:t xml:space="preserve"> </w:t>
      </w:r>
      <w:r>
        <w:rPr>
          <w:spacing w:val="6"/>
        </w:rPr>
        <w:t>固原黄牛”“六盘山牛肉”等</w:t>
      </w:r>
      <w:r>
        <w:rPr>
          <w:spacing w:val="7"/>
        </w:rPr>
        <w:t>区域公用品牌影响力，提高品牌知名度，加强</w:t>
      </w:r>
      <w:r>
        <w:rPr>
          <w:spacing w:val="7"/>
        </w:rPr>
        <w:t>“两品一标”认证管理，稳步提升牛肉品质和</w:t>
      </w:r>
      <w:r>
        <w:rPr>
          <w:spacing w:val="7"/>
        </w:rPr>
        <w:t>品牌效益，以优质品质、知名品牌引领肉牛产</w:t>
      </w:r>
      <w:r>
        <w:rPr>
          <w:spacing w:val="8"/>
        </w:rPr>
        <w:t>业高质量发展。到</w:t>
      </w:r>
      <w:r>
        <w:rPr>
          <w:spacing w:val="-26"/>
        </w:rPr>
        <w:t xml:space="preserve"> </w:t>
      </w:r>
      <w:r>
        <w:rPr>
          <w:spacing w:val="8"/>
        </w:rPr>
        <w:t>2025</w:t>
      </w:r>
      <w:r>
        <w:rPr>
          <w:spacing w:val="-34"/>
        </w:rPr>
        <w:t xml:space="preserve"> </w:t>
      </w:r>
      <w:r>
        <w:rPr>
          <w:spacing w:val="8"/>
        </w:rPr>
        <w:t>年</w:t>
      </w:r>
      <w:r>
        <w:rPr>
          <w:spacing w:val="-59"/>
        </w:rPr>
        <w:t xml:space="preserve"> </w:t>
      </w:r>
      <w:r>
        <w:rPr>
          <w:spacing w:val="8"/>
        </w:rPr>
        <w:t>，全市肉牛饲养量</w:t>
      </w:r>
      <w:r>
        <w:rPr>
          <w:spacing w:val="-1"/>
        </w:rPr>
        <w:t>达到</w:t>
      </w:r>
      <w:r>
        <w:rPr>
          <w:spacing w:val="-20"/>
        </w:rPr>
        <w:t xml:space="preserve"> </w:t>
      </w:r>
      <w:r>
        <w:rPr>
          <w:spacing w:val="-1"/>
        </w:rPr>
        <w:t>120</w:t>
      </w:r>
      <w:r>
        <w:rPr>
          <w:spacing w:val="-41"/>
        </w:rPr>
        <w:t xml:space="preserve"> </w:t>
      </w:r>
      <w:r>
        <w:rPr>
          <w:spacing w:val="-1"/>
        </w:rPr>
        <w:t>万头，良种化率达到</w:t>
      </w:r>
      <w:r>
        <w:rPr>
          <w:spacing w:val="-50"/>
        </w:rPr>
        <w:t xml:space="preserve"> </w:t>
      </w:r>
      <w:r>
        <w:rPr>
          <w:spacing w:val="-1"/>
        </w:rPr>
        <w:t>90%以上，肉牛屠</w:t>
      </w:r>
      <w:r>
        <w:rPr>
          <w:spacing w:val="4"/>
        </w:rPr>
        <w:t>宰加工率达到</w:t>
      </w:r>
      <w:r>
        <w:rPr>
          <w:spacing w:val="-35"/>
        </w:rPr>
        <w:t xml:space="preserve"> </w:t>
      </w:r>
      <w:r>
        <w:rPr>
          <w:spacing w:val="4"/>
        </w:rPr>
        <w:t>70%以上，全产业链产值达到300</w:t>
      </w:r>
      <w:r>
        <w:rPr>
          <w:spacing w:val="-1"/>
        </w:rPr>
        <w:t>亿元，把固原打造成全国高端牛肉加工基地。</w:t>
      </w:r>
    </w:p>
    <w:p>
      <w:pPr>
        <w:pStyle w:val="BodyText"/>
        <w:ind w:left="3" w:right="80" w:firstLine="422"/>
        <w:spacing w:before="36" w:line="306" w:lineRule="auto"/>
        <w:outlineLvl w:val="0"/>
        <w:rPr/>
      </w:pPr>
      <w:r>
        <w:rPr>
          <w:spacing w:val="6"/>
        </w:rPr>
        <w:t>提升绿色食品全产业链水平。马铃薯坚持</w:t>
      </w:r>
      <w:r>
        <w:rPr>
          <w:spacing w:val="7"/>
        </w:rPr>
        <w:t>种薯繁育、鲜薯外销、淀粉加工、主食开发并</w:t>
      </w:r>
    </w:p>
    <w:p>
      <w:pPr>
        <w:pStyle w:val="BodyText"/>
        <w:ind w:left="3" w:right="28" w:hanging="3"/>
        <w:spacing w:before="177" w:line="363" w:lineRule="auto"/>
        <w:jc w:val="both"/>
        <w:rPr/>
      </w:pPr>
      <w:r>
        <w:rPr>
          <w:spacing w:val="10"/>
        </w:rPr>
        <w:t>举，加快推进优质马铃薯三级种薯繁育体系、</w:t>
      </w:r>
      <w:r>
        <w:rPr>
          <w:spacing w:val="7"/>
        </w:rPr>
        <w:t>冷链流通保质贮藏体系、新业态新模式营销体</w:t>
      </w:r>
      <w:r>
        <w:rPr>
          <w:spacing w:val="7"/>
        </w:rPr>
        <w:t>系、科技创新技术体系建设。整合市县（</w:t>
      </w:r>
      <w:r>
        <w:rPr>
          <w:spacing w:val="-43"/>
        </w:rPr>
        <w:t xml:space="preserve"> </w:t>
      </w:r>
      <w:r>
        <w:rPr>
          <w:spacing w:val="7"/>
        </w:rPr>
        <w:t>区）</w:t>
      </w:r>
      <w:r>
        <w:rPr>
          <w:spacing w:val="9"/>
        </w:rPr>
        <w:t>各繁育中心及繁育基地技术和地域优势资源，</w:t>
      </w:r>
      <w:r>
        <w:rPr>
          <w:spacing w:val="7"/>
        </w:rPr>
        <w:t>积极培育自主品种，科学合理布局马铃薯生产</w:t>
      </w:r>
      <w:r>
        <w:rPr>
          <w:spacing w:val="7"/>
        </w:rPr>
        <w:t>区域，推广新品种和现代生产技术应用，实现</w:t>
      </w:r>
      <w:r>
        <w:rPr>
          <w:spacing w:val="7"/>
        </w:rPr>
        <w:t>产量质量双增长。坚持农业产业化龙头企业带</w:t>
      </w:r>
      <w:r>
        <w:rPr>
          <w:spacing w:val="9"/>
        </w:rPr>
        <w:t>动，引导山东水发、宁夏佳立、宁夏黄土地、</w:t>
      </w:r>
    </w:p>
    <w:p>
      <w:pPr>
        <w:spacing w:line="363" w:lineRule="auto"/>
        <w:sectPr>
          <w:type w:val="continuous"/>
          <w:pgSz w:w="11906" w:h="16839"/>
          <w:pgMar w:top="1793" w:right="1509" w:bottom="1570" w:left="1579" w:header="1428" w:footer="1172" w:gutter="0"/>
          <w:cols w:equalWidth="0" w:num="2">
            <w:col w:w="4487" w:space="100"/>
            <w:col w:w="4230" w:space="0"/>
          </w:cols>
        </w:sectPr>
        <w:rPr/>
      </w:pPr>
    </w:p>
    <w:p>
      <w:pPr>
        <w:spacing w:before="58"/>
        <w:rPr/>
      </w:pPr>
      <w:r>
        <w:drawing>
          <wp:anchor distT="0" distB="0" distL="0" distR="0" simplePos="0" relativeHeight="251770880"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364" name="IM 364"/>
            <wp:cNvGraphicFramePr/>
            <a:graphic>
              <a:graphicData uri="http://schemas.openxmlformats.org/drawingml/2006/picture">
                <pic:pic>
                  <pic:nvPicPr>
                    <pic:cNvPr id="364" name="IM 364"/>
                    <pic:cNvPicPr/>
                  </pic:nvPicPr>
                  <pic:blipFill>
                    <a:blip r:embed="rId184"/>
                    <a:stretch>
                      <a:fillRect/>
                    </a:stretch>
                  </pic:blipFill>
                  <pic:spPr>
                    <a:xfrm rot="0">
                      <a:off x="0" y="0"/>
                      <a:ext cx="5579745" cy="7619"/>
                    </a:xfrm>
                    <a:prstGeom prst="rect">
                      <a:avLst/>
                    </a:prstGeom>
                  </pic:spPr>
                </pic:pic>
              </a:graphicData>
            </a:graphic>
          </wp:anchor>
        </w:drawing>
      </w:r>
      <w:r/>
    </w:p>
    <w:p>
      <w:pPr>
        <w:sectPr>
          <w:headerReference w:type="default" r:id="rId153"/>
          <w:footerReference w:type="default" r:id="rId183"/>
          <w:pgSz w:w="11906" w:h="16839"/>
          <w:pgMar w:top="1793" w:right="1489" w:bottom="1672" w:left="1560" w:header="1428" w:footer="1277" w:gutter="0"/>
          <w:cols w:equalWidth="0" w:num="1">
            <w:col w:w="8857" w:space="0"/>
          </w:cols>
        </w:sectPr>
        <w:rPr/>
      </w:pPr>
    </w:p>
    <w:p>
      <w:pPr>
        <w:pStyle w:val="BodyText"/>
        <w:ind w:left="30" w:right="248" w:firstLine="3"/>
        <w:spacing w:before="59" w:line="382" w:lineRule="auto"/>
        <w:jc w:val="both"/>
        <w:rPr/>
      </w:pPr>
      <w:r>
        <w:rPr>
          <w:spacing w:val="7"/>
        </w:rPr>
        <w:t>雪川农业等企业开展马铃薯精深加工，延长马</w:t>
      </w:r>
      <w:r>
        <w:rPr>
          <w:spacing w:val="8"/>
        </w:rPr>
        <w:t>铃薯产业链。到</w:t>
      </w:r>
      <w:r>
        <w:rPr>
          <w:spacing w:val="-26"/>
        </w:rPr>
        <w:t xml:space="preserve"> </w:t>
      </w:r>
      <w:r>
        <w:rPr>
          <w:spacing w:val="8"/>
        </w:rPr>
        <w:t>2025</w:t>
      </w:r>
      <w:r>
        <w:rPr>
          <w:spacing w:val="-37"/>
        </w:rPr>
        <w:t xml:space="preserve"> </w:t>
      </w:r>
      <w:r>
        <w:rPr>
          <w:spacing w:val="8"/>
        </w:rPr>
        <w:t>年</w:t>
      </w:r>
      <w:r>
        <w:rPr>
          <w:spacing w:val="-58"/>
        </w:rPr>
        <w:t xml:space="preserve"> </w:t>
      </w:r>
      <w:r>
        <w:rPr>
          <w:spacing w:val="8"/>
        </w:rPr>
        <w:t>，全市马铃薯种植面</w:t>
      </w:r>
      <w:r>
        <w:rPr>
          <w:spacing w:val="4"/>
        </w:rPr>
        <w:t>积稳定在</w:t>
      </w:r>
      <w:r>
        <w:rPr>
          <w:spacing w:val="-16"/>
        </w:rPr>
        <w:t xml:space="preserve"> </w:t>
      </w:r>
      <w:r>
        <w:rPr>
          <w:spacing w:val="4"/>
        </w:rPr>
        <w:t>100</w:t>
      </w:r>
      <w:r>
        <w:rPr>
          <w:spacing w:val="-41"/>
        </w:rPr>
        <w:t xml:space="preserve"> </w:t>
      </w:r>
      <w:r>
        <w:rPr>
          <w:spacing w:val="4"/>
        </w:rPr>
        <w:t>万亩以上，总产量达到</w:t>
      </w:r>
      <w:r>
        <w:rPr>
          <w:spacing w:val="-39"/>
        </w:rPr>
        <w:t xml:space="preserve"> </w:t>
      </w:r>
      <w:r>
        <w:rPr>
          <w:spacing w:val="4"/>
        </w:rPr>
        <w:t>200</w:t>
      </w:r>
      <w:r>
        <w:rPr>
          <w:spacing w:val="-41"/>
        </w:rPr>
        <w:t xml:space="preserve"> </w:t>
      </w:r>
      <w:r>
        <w:rPr>
          <w:spacing w:val="4"/>
        </w:rPr>
        <w:t>万吨</w:t>
      </w:r>
      <w:r>
        <w:rPr>
          <w:spacing w:val="11"/>
        </w:rPr>
        <w:t>以上，马铃薯加工转化率达到60%以上，全产</w:t>
      </w:r>
      <w:r>
        <w:rPr>
          <w:spacing w:val="5"/>
        </w:rPr>
        <w:t>业链年产值达到</w:t>
      </w:r>
      <w:r>
        <w:rPr>
          <w:spacing w:val="-12"/>
        </w:rPr>
        <w:t xml:space="preserve"> </w:t>
      </w:r>
      <w:r>
        <w:rPr>
          <w:spacing w:val="5"/>
        </w:rPr>
        <w:t>100</w:t>
      </w:r>
      <w:r>
        <w:rPr>
          <w:spacing w:val="-44"/>
        </w:rPr>
        <w:t xml:space="preserve"> </w:t>
      </w:r>
      <w:r>
        <w:rPr>
          <w:spacing w:val="5"/>
        </w:rPr>
        <w:t>亿元，努力把固原市打造</w:t>
      </w:r>
      <w:r>
        <w:rPr>
          <w:spacing w:val="7"/>
        </w:rPr>
        <w:t>成马铃薯种薯培育推广基地、标准化种植示范</w:t>
      </w:r>
      <w:r>
        <w:rPr>
          <w:spacing w:val="7"/>
        </w:rPr>
        <w:t>基地、马铃薯产品深加工基地，擦亮“马铃薯</w:t>
      </w:r>
      <w:r>
        <w:rPr>
          <w:spacing w:val="1"/>
        </w:rPr>
        <w:t>之乡”国字号品牌。冷凉蔬菜坚持“质量第一、</w:t>
      </w:r>
      <w:r>
        <w:rPr>
          <w:spacing w:val="11"/>
        </w:rPr>
        <w:t>效益优先，质量兴菜、绿色兴菜”发展思路，</w:t>
      </w:r>
      <w:r>
        <w:rPr>
          <w:spacing w:val="9"/>
        </w:rPr>
        <w:t>立足市场导向，种植多样，定植错时（季</w:t>
      </w:r>
      <w:r>
        <w:rPr>
          <w:spacing w:val="6"/>
        </w:rPr>
        <w:t>）</w:t>
      </w:r>
      <w:r>
        <w:rPr>
          <w:spacing w:val="-52"/>
        </w:rPr>
        <w:t xml:space="preserve"> </w:t>
      </w:r>
      <w:r>
        <w:rPr>
          <w:spacing w:val="6"/>
        </w:rPr>
        <w:t>，</w:t>
      </w:r>
      <w:r>
        <w:rPr>
          <w:spacing w:val="7"/>
        </w:rPr>
        <w:t>丰富种类，优化品质；强化规模化、标准化生</w:t>
      </w:r>
      <w:r>
        <w:rPr>
          <w:spacing w:val="7"/>
        </w:rPr>
        <w:t>产，打造安全、优质、绿色、有机的农产品名</w:t>
      </w:r>
      <w:r>
        <w:rPr>
          <w:spacing w:val="7"/>
        </w:rPr>
        <w:t>优品牌；拓展生产空间，开展精深加工，提高</w:t>
      </w:r>
      <w:r>
        <w:rPr>
          <w:spacing w:val="7"/>
        </w:rPr>
        <w:t>蔬菜产品附加值；加快服务体系和产地专业批</w:t>
      </w:r>
      <w:r>
        <w:rPr>
          <w:spacing w:val="7"/>
        </w:rPr>
        <w:t>发市场建设，培育流通体系，开拓市场，提高</w:t>
      </w:r>
      <w:r>
        <w:rPr>
          <w:spacing w:val="7"/>
        </w:rPr>
        <w:t>市场竞争力，推进冷凉蔬菜产业逐步实现生产</w:t>
      </w:r>
      <w:r>
        <w:rPr>
          <w:spacing w:val="7"/>
        </w:rPr>
        <w:t>技术科学化、生产工具机械化、生产组织社会</w:t>
      </w:r>
      <w:r>
        <w:rPr>
          <w:spacing w:val="10"/>
        </w:rPr>
        <w:t>化、经营管理信息化、生产经营适度规模化、</w:t>
      </w:r>
      <w:r>
        <w:rPr>
          <w:spacing w:val="18"/>
        </w:rPr>
        <w:t>生产过程及产品质量标准化、产业链条全面</w:t>
      </w:r>
      <w:r>
        <w:rPr>
          <w:spacing w:val="7"/>
        </w:rPr>
        <w:t>化，将固原市打造成全国绿色蔬菜产品生产基</w:t>
      </w:r>
      <w:r>
        <w:rPr>
          <w:spacing w:val="10"/>
        </w:rPr>
        <w:t>地。到</w:t>
      </w:r>
      <w:r>
        <w:rPr>
          <w:spacing w:val="-42"/>
        </w:rPr>
        <w:t xml:space="preserve"> </w:t>
      </w:r>
      <w:r>
        <w:rPr>
          <w:spacing w:val="10"/>
        </w:rPr>
        <w:t>2025</w:t>
      </w:r>
      <w:r>
        <w:rPr>
          <w:spacing w:val="-38"/>
        </w:rPr>
        <w:t xml:space="preserve"> </w:t>
      </w:r>
      <w:r>
        <w:rPr>
          <w:spacing w:val="10"/>
        </w:rPr>
        <w:t>年，全市蔬菜生产面积稳定在50</w:t>
      </w:r>
      <w:r>
        <w:rPr>
          <w:spacing w:val="11"/>
        </w:rPr>
        <w:t>万亩，95%左右蔬菜产品整体达到绿色食品标</w:t>
      </w:r>
      <w:r>
        <w:rPr>
          <w:spacing w:val="8"/>
        </w:rPr>
        <w:t>准，蔬菜加工转化率达到</w:t>
      </w:r>
      <w:r>
        <w:rPr>
          <w:spacing w:val="-19"/>
        </w:rPr>
        <w:t xml:space="preserve"> </w:t>
      </w:r>
      <w:r>
        <w:rPr>
          <w:spacing w:val="8"/>
        </w:rPr>
        <w:t>30%以上，全产业链</w:t>
      </w:r>
      <w:r>
        <w:rPr>
          <w:spacing w:val="5"/>
        </w:rPr>
        <w:t>年产值达到</w:t>
      </w:r>
      <w:r>
        <w:rPr>
          <w:spacing w:val="-12"/>
        </w:rPr>
        <w:t xml:space="preserve"> </w:t>
      </w:r>
      <w:r>
        <w:rPr>
          <w:spacing w:val="5"/>
        </w:rPr>
        <w:t>100</w:t>
      </w:r>
      <w:r>
        <w:rPr>
          <w:spacing w:val="-44"/>
        </w:rPr>
        <w:t xml:space="preserve"> </w:t>
      </w:r>
      <w:r>
        <w:rPr>
          <w:spacing w:val="5"/>
        </w:rPr>
        <w:t>亿元以上，把固原市打造成粤</w:t>
      </w:r>
      <w:r>
        <w:rPr>
          <w:spacing w:val="18"/>
        </w:rPr>
        <w:t>港澳大湾区有机蔬菜直供基地和全国绿色无</w:t>
      </w:r>
      <w:r>
        <w:rPr>
          <w:spacing w:val="7"/>
        </w:rPr>
        <w:t>公害蔬菜产品生产基地。小杂粮（油料）按照</w:t>
      </w:r>
      <w:r>
        <w:rPr>
          <w:spacing w:val="7"/>
        </w:rPr>
        <w:t>区域化布局、规模化生产、专业化加工、品牌</w:t>
      </w:r>
      <w:r>
        <w:rPr>
          <w:spacing w:val="1"/>
        </w:rPr>
        <w:t>化销售的发展思路，坚持市场导向，科技支撑，</w:t>
      </w:r>
      <w:r>
        <w:rPr>
          <w:spacing w:val="7"/>
        </w:rPr>
        <w:t>推进良种推广和标准化生产，扶持鼓励新型农</w:t>
      </w:r>
      <w:r>
        <w:rPr>
          <w:spacing w:val="15"/>
        </w:rPr>
        <w:t>业经营主体参与</w:t>
      </w:r>
      <w:r>
        <w:rPr>
          <w:spacing w:val="-39"/>
        </w:rPr>
        <w:t xml:space="preserve"> </w:t>
      </w:r>
      <w:r>
        <w:rPr>
          <w:spacing w:val="15"/>
        </w:rPr>
        <w:t>，逐步稳定区域特色种植规</w:t>
      </w:r>
      <w:r>
        <w:rPr>
          <w:spacing w:val="9"/>
        </w:rPr>
        <w:t>模。引进龙头加工企业，整合现有加工能力，</w:t>
      </w:r>
    </w:p>
    <w:p>
      <w:pPr>
        <w:spacing w:line="14" w:lineRule="auto"/>
        <w:rPr>
          <w:rFonts w:ascii="Arial"/>
          <w:sz w:val="2"/>
        </w:rPr>
      </w:pPr>
      <w:r>
        <w:rPr>
          <w:rFonts w:ascii="Arial" w:hAnsi="Arial" w:eastAsia="Arial" w:cs="Arial"/>
          <w:sz w:val="2"/>
          <w:szCs w:val="2"/>
        </w:rPr>
        <w:br w:type="column"/>
      </w:r>
    </w:p>
    <w:p>
      <w:pPr>
        <w:pStyle w:val="BodyText"/>
        <w:ind w:right="18" w:firstLine="3"/>
        <w:spacing w:before="57" w:line="382" w:lineRule="auto"/>
        <w:rPr/>
      </w:pPr>
      <w:r>
        <w:rPr>
          <w:spacing w:val="10"/>
        </w:rPr>
        <w:t>加强与食品研究院所的合作，开发加工小米、</w:t>
      </w:r>
      <w:r>
        <w:rPr>
          <w:spacing w:val="7"/>
        </w:rPr>
        <w:t>荞麦、苦荞、燕麦、豆类、亚麻籽油等最具营</w:t>
      </w:r>
      <w:r>
        <w:rPr>
          <w:spacing w:val="7"/>
        </w:rPr>
        <w:t>养和药用价值的小杂粮和油料，生产健康休闲</w:t>
      </w:r>
      <w:r>
        <w:rPr>
          <w:spacing w:val="7"/>
        </w:rPr>
        <w:t>食品，提升小杂粮食药同源保健价值，延伸小</w:t>
      </w:r>
      <w:r>
        <w:rPr>
          <w:spacing w:val="1"/>
        </w:rPr>
        <w:t>杂粮加工产业链。到</w:t>
      </w:r>
      <w:r>
        <w:rPr>
          <w:spacing w:val="-34"/>
        </w:rPr>
        <w:t xml:space="preserve"> </w:t>
      </w:r>
      <w:r>
        <w:rPr>
          <w:spacing w:val="1"/>
        </w:rPr>
        <w:t>2025</w:t>
      </w:r>
      <w:r>
        <w:rPr>
          <w:spacing w:val="-39"/>
        </w:rPr>
        <w:t xml:space="preserve"> </w:t>
      </w:r>
      <w:r>
        <w:rPr>
          <w:spacing w:val="1"/>
        </w:rPr>
        <w:t>年，全市小杂粮（油</w:t>
      </w:r>
      <w:r>
        <w:rPr>
          <w:spacing w:val="9"/>
        </w:rPr>
        <w:t>料）种植面积稳定在</w:t>
      </w:r>
      <w:r>
        <w:rPr>
          <w:spacing w:val="-37"/>
        </w:rPr>
        <w:t xml:space="preserve"> </w:t>
      </w:r>
      <w:r>
        <w:rPr>
          <w:spacing w:val="9"/>
        </w:rPr>
        <w:t>75</w:t>
      </w:r>
      <w:r>
        <w:rPr>
          <w:spacing w:val="-38"/>
        </w:rPr>
        <w:t xml:space="preserve"> </w:t>
      </w:r>
      <w:r>
        <w:rPr>
          <w:spacing w:val="9"/>
        </w:rPr>
        <w:t>万亩以上</w:t>
      </w:r>
      <w:r>
        <w:rPr>
          <w:spacing w:val="-58"/>
        </w:rPr>
        <w:t xml:space="preserve"> </w:t>
      </w:r>
      <w:r>
        <w:rPr>
          <w:spacing w:val="9"/>
        </w:rPr>
        <w:t>，全市小杂</w:t>
      </w:r>
      <w:r>
        <w:rPr>
          <w:spacing w:val="9"/>
        </w:rPr>
        <w:t>粮加工转化后年实现产值</w:t>
      </w:r>
      <w:r>
        <w:rPr>
          <w:spacing w:val="-34"/>
        </w:rPr>
        <w:t xml:space="preserve"> </w:t>
      </w:r>
      <w:r>
        <w:rPr>
          <w:spacing w:val="9"/>
        </w:rPr>
        <w:t>20</w:t>
      </w:r>
      <w:r>
        <w:rPr>
          <w:spacing w:val="-41"/>
        </w:rPr>
        <w:t xml:space="preserve"> </w:t>
      </w:r>
      <w:r>
        <w:rPr>
          <w:spacing w:val="9"/>
        </w:rPr>
        <w:t>亿元以上</w:t>
      </w:r>
      <w:r>
        <w:rPr>
          <w:spacing w:val="-58"/>
        </w:rPr>
        <w:t xml:space="preserve"> </w:t>
      </w:r>
      <w:r>
        <w:rPr>
          <w:spacing w:val="9"/>
        </w:rPr>
        <w:t>，依托</w:t>
      </w:r>
      <w:r>
        <w:rPr>
          <w:spacing w:val="7"/>
        </w:rPr>
        <w:t>国家小杂粮生产区位优势，把固原打造成优质</w:t>
      </w:r>
      <w:r>
        <w:rPr>
          <w:spacing w:val="13"/>
        </w:rPr>
        <w:t>绿色小杂粮基地。中药材重点围绕 “药材、</w:t>
      </w:r>
      <w:r>
        <w:rPr>
          <w:spacing w:val="7"/>
        </w:rPr>
        <w:t>药品、药市、药膳、药养”发展，以秦艽、黄</w:t>
      </w:r>
      <w:r>
        <w:rPr>
          <w:spacing w:val="7"/>
        </w:rPr>
        <w:t>芩、黄芪、柴胡、党参、金莲花、杏仁等为主</w:t>
      </w:r>
      <w:r>
        <w:rPr>
          <w:spacing w:val="7"/>
        </w:rPr>
        <w:t>导产品，建设规模化标准化生产基地，逐步推</w:t>
      </w:r>
      <w:r>
        <w:rPr>
          <w:spacing w:val="7"/>
        </w:rPr>
        <w:t>进中药材向优势产区集聚。提升精深加工能力</w:t>
      </w:r>
      <w:r>
        <w:rPr>
          <w:spacing w:val="7"/>
        </w:rPr>
        <w:t>和水平，以长江医药现代中药大健康产业园项</w:t>
      </w:r>
      <w:r>
        <w:rPr>
          <w:spacing w:val="7"/>
        </w:rPr>
        <w:t>目为龙头，培育广州香雪、上药集团等中药饮</w:t>
      </w:r>
      <w:r>
        <w:rPr>
          <w:spacing w:val="10"/>
        </w:rPr>
        <w:t>片炮制和中药配方颗粒、中药制剂、中成药、</w:t>
      </w:r>
      <w:r>
        <w:rPr>
          <w:spacing w:val="7"/>
        </w:rPr>
        <w:t>中药健康食品、植物源生物农药制造，加强产</w:t>
      </w:r>
      <w:r>
        <w:rPr>
          <w:spacing w:val="7"/>
        </w:rPr>
        <w:t>品研发和协同创新，促使中药材产业由原料输</w:t>
      </w:r>
      <w:r>
        <w:rPr>
          <w:spacing w:val="7"/>
        </w:rPr>
        <w:t>出型向精深开发型转变，提升中药材产品科技</w:t>
      </w:r>
      <w:r>
        <w:rPr>
          <w:spacing w:val="10"/>
        </w:rPr>
        <w:t>附加值。到</w:t>
      </w:r>
      <w:r>
        <w:rPr>
          <w:spacing w:val="-42"/>
        </w:rPr>
        <w:t xml:space="preserve"> </w:t>
      </w:r>
      <w:r>
        <w:rPr>
          <w:spacing w:val="10"/>
        </w:rPr>
        <w:t>2025</w:t>
      </w:r>
      <w:r>
        <w:rPr>
          <w:spacing w:val="-38"/>
        </w:rPr>
        <w:t xml:space="preserve"> </w:t>
      </w:r>
      <w:r>
        <w:rPr>
          <w:spacing w:val="10"/>
        </w:rPr>
        <w:t>年，中药材种植面积达到30</w:t>
      </w:r>
      <w:r>
        <w:rPr>
          <w:spacing w:val="9"/>
        </w:rPr>
        <w:t>万亩，加工能力达到6</w:t>
      </w:r>
      <w:r>
        <w:rPr>
          <w:spacing w:val="-31"/>
        </w:rPr>
        <w:t xml:space="preserve"> </w:t>
      </w:r>
      <w:r>
        <w:rPr>
          <w:spacing w:val="9"/>
        </w:rPr>
        <w:t>万吨以上，中药材交易</w:t>
      </w:r>
      <w:r>
        <w:rPr>
          <w:spacing w:val="5"/>
        </w:rPr>
        <w:t>额达到</w:t>
      </w:r>
      <w:r>
        <w:rPr>
          <w:spacing w:val="-32"/>
        </w:rPr>
        <w:t xml:space="preserve"> </w:t>
      </w:r>
      <w:r>
        <w:rPr>
          <w:spacing w:val="5"/>
        </w:rPr>
        <w:t>20</w:t>
      </w:r>
      <w:r>
        <w:rPr>
          <w:spacing w:val="-43"/>
        </w:rPr>
        <w:t xml:space="preserve"> </w:t>
      </w:r>
      <w:r>
        <w:rPr>
          <w:spacing w:val="5"/>
        </w:rPr>
        <w:t>亿元左右，把固原打造成生态休闲、</w:t>
      </w:r>
      <w:r>
        <w:rPr>
          <w:spacing w:val="18"/>
        </w:rPr>
        <w:t>旅游度假、康体养生为一体的道地中药材基</w:t>
      </w:r>
      <w:r>
        <w:rPr>
          <w:spacing w:val="9"/>
        </w:rPr>
        <w:t>地。中蜂及蜂蜜按照“</w:t>
      </w:r>
      <w:r>
        <w:rPr>
          <w:spacing w:val="-58"/>
        </w:rPr>
        <w:t xml:space="preserve"> </w:t>
      </w:r>
      <w:r>
        <w:rPr>
          <w:spacing w:val="9"/>
        </w:rPr>
        <w:t>中蜂为主，政府扶持，</w:t>
      </w:r>
      <w:r>
        <w:rPr>
          <w:spacing w:val="7"/>
        </w:rPr>
        <w:t>规模发展，品牌经营”的发展思路，推广普及</w:t>
      </w:r>
      <w:r>
        <w:rPr>
          <w:spacing w:val="11"/>
        </w:rPr>
        <w:t>蜜蜂授粉增产技术，着力提高养蜂生产能力，</w:t>
      </w:r>
      <w:r>
        <w:rPr>
          <w:spacing w:val="7"/>
        </w:rPr>
        <w:t>积极推动发展养蜂和促进农业增产、生态保护</w:t>
      </w:r>
      <w:r>
        <w:rPr>
          <w:spacing w:val="7"/>
        </w:rPr>
        <w:t>的良性互动，大力推进蜂业基地景区化、蜂产</w:t>
      </w:r>
      <w:r>
        <w:rPr>
          <w:spacing w:val="10"/>
        </w:rPr>
        <w:t>品品牌化、蜜源基地“观光+体验”化</w:t>
      </w:r>
      <w:r>
        <w:rPr>
          <w:spacing w:val="-51"/>
        </w:rPr>
        <w:t xml:space="preserve"> </w:t>
      </w:r>
      <w:r>
        <w:rPr>
          <w:spacing w:val="10"/>
        </w:rPr>
        <w:t>，逐步</w:t>
      </w:r>
      <w:r>
        <w:rPr>
          <w:spacing w:val="7"/>
        </w:rPr>
        <w:t>形成蜂产业生态发展新业态，全面释放产业融</w:t>
      </w:r>
      <w:r>
        <w:rPr>
          <w:spacing w:val="8"/>
        </w:rPr>
        <w:t>合“叠加效应”。到</w:t>
      </w:r>
      <w:r>
        <w:rPr>
          <w:spacing w:val="-26"/>
        </w:rPr>
        <w:t xml:space="preserve"> </w:t>
      </w:r>
      <w:r>
        <w:rPr>
          <w:spacing w:val="8"/>
        </w:rPr>
        <w:t>2025</w:t>
      </w:r>
      <w:r>
        <w:rPr>
          <w:spacing w:val="-34"/>
        </w:rPr>
        <w:t xml:space="preserve"> </w:t>
      </w:r>
      <w:r>
        <w:rPr>
          <w:spacing w:val="8"/>
        </w:rPr>
        <w:t>年</w:t>
      </w:r>
      <w:r>
        <w:rPr>
          <w:spacing w:val="-59"/>
        </w:rPr>
        <w:t xml:space="preserve"> </w:t>
      </w:r>
      <w:r>
        <w:rPr>
          <w:spacing w:val="8"/>
        </w:rPr>
        <w:t>，全市蜜蜂饲养</w:t>
      </w:r>
    </w:p>
    <w:p>
      <w:pPr>
        <w:spacing w:line="382" w:lineRule="auto"/>
        <w:sectPr>
          <w:type w:val="continuous"/>
          <w:pgSz w:w="11906" w:h="16839"/>
          <w:pgMar w:top="1793" w:right="1489" w:bottom="1672" w:left="1560" w:header="1428" w:footer="1277" w:gutter="0"/>
          <w:cols w:equalWidth="0" w:num="2">
            <w:col w:w="4508" w:space="100"/>
            <w:col w:w="4250" w:space="0"/>
          </w:cols>
        </w:sectPr>
        <w:rPr/>
      </w:pPr>
    </w:p>
    <w:p>
      <w:pPr>
        <w:spacing w:before="58"/>
        <w:rPr/>
      </w:pPr>
      <w:r/>
    </w:p>
    <w:p>
      <w:pPr>
        <w:sectPr>
          <w:headerReference w:type="default" r:id="rId185"/>
          <w:footerReference w:type="default" r:id="rId186"/>
          <w:pgSz w:w="11906" w:h="16839"/>
          <w:pgMar w:top="1793" w:right="1526" w:bottom="1570" w:left="1526" w:header="1428" w:footer="1172" w:gutter="0"/>
          <w:cols w:equalWidth="0" w:num="1">
            <w:col w:w="8854" w:space="0"/>
          </w:cols>
        </w:sectPr>
        <w:rPr/>
      </w:pPr>
    </w:p>
    <w:p>
      <w:pPr>
        <w:pStyle w:val="BodyText"/>
        <w:ind w:left="66"/>
        <w:spacing w:before="47" w:line="278" w:lineRule="exact"/>
        <w:rPr/>
      </w:pPr>
      <w:r>
        <w:rPr>
          <w:spacing w:val="7"/>
          <w:position w:val="1"/>
        </w:rPr>
        <w:t>量达到</w:t>
      </w:r>
      <w:r>
        <w:rPr>
          <w:spacing w:val="-16"/>
          <w:position w:val="1"/>
        </w:rPr>
        <w:t xml:space="preserve"> </w:t>
      </w:r>
      <w:r>
        <w:rPr>
          <w:spacing w:val="7"/>
          <w:position w:val="1"/>
        </w:rPr>
        <w:t>13</w:t>
      </w:r>
      <w:r>
        <w:rPr>
          <w:spacing w:val="-41"/>
          <w:position w:val="1"/>
        </w:rPr>
        <w:t xml:space="preserve"> </w:t>
      </w:r>
      <w:r>
        <w:rPr>
          <w:spacing w:val="7"/>
          <w:position w:val="1"/>
        </w:rPr>
        <w:t>万群，年产蜂蜜2000</w:t>
      </w:r>
      <w:r>
        <w:rPr>
          <w:spacing w:val="-24"/>
          <w:position w:val="1"/>
        </w:rPr>
        <w:t xml:space="preserve"> </w:t>
      </w:r>
      <w:r>
        <w:rPr>
          <w:spacing w:val="7"/>
          <w:position w:val="1"/>
        </w:rPr>
        <w:t>吨以上。</w:t>
      </w:r>
    </w:p>
    <w:p>
      <w:pPr>
        <w:pStyle w:val="BodyText"/>
        <w:ind w:left="489"/>
        <w:spacing w:before="146" w:line="221" w:lineRule="auto"/>
        <w:rPr/>
      </w:pPr>
      <w:r>
        <w:rPr>
          <w:spacing w:val="6"/>
        </w:rPr>
        <w:t>实现生态经济可持续发展。坚持生态产业</w:t>
      </w:r>
    </w:p>
    <w:p>
      <w:pPr>
        <w:pStyle w:val="BodyText"/>
        <w:ind w:left="67"/>
        <w:spacing w:before="182" w:line="222" w:lineRule="auto"/>
        <w:outlineLvl w:val="0"/>
        <w:rPr/>
      </w:pPr>
      <w:r>
        <w:rPr>
          <w:spacing w:val="6"/>
        </w:rPr>
        <w:t>化、产业生态化原则，重点实施“</w:t>
      </w:r>
      <w:r>
        <w:rPr>
          <w:spacing w:val="-73"/>
        </w:rPr>
        <w:t xml:space="preserve"> </w:t>
      </w:r>
      <w:r>
        <w:rPr>
          <w:spacing w:val="6"/>
        </w:rPr>
        <w:t>四个一”林</w:t>
      </w:r>
    </w:p>
    <w:p>
      <w:pPr>
        <w:pStyle w:val="BodyText"/>
        <w:ind w:left="63" w:right="181" w:firstLine="5"/>
        <w:spacing w:before="175" w:line="387" w:lineRule="auto"/>
        <w:jc w:val="both"/>
        <w:rPr/>
      </w:pPr>
      <w:r>
        <w:rPr>
          <w:spacing w:val="14"/>
        </w:rPr>
        <w:t>草产业工程，按照“一屏一带一线三区五城”</w:t>
      </w:r>
      <w:r>
        <w:rPr>
          <w:spacing w:val="6"/>
        </w:rPr>
        <w:t>和“</w:t>
      </w:r>
      <w:r>
        <w:rPr>
          <w:spacing w:val="-72"/>
        </w:rPr>
        <w:t xml:space="preserve"> </w:t>
      </w:r>
      <w:r>
        <w:rPr>
          <w:spacing w:val="6"/>
        </w:rPr>
        <w:t>四个融合”总体布局，重点培育发展集基</w:t>
      </w:r>
      <w:r>
        <w:rPr>
          <w:spacing w:val="7"/>
        </w:rPr>
        <w:t>地建设、旅游观光、农事体验、苗木供应、产</w:t>
      </w:r>
      <w:r>
        <w:rPr>
          <w:spacing w:val="7"/>
        </w:rPr>
        <w:t>品深加工、林下经济等为一体的生态经济产业</w:t>
      </w:r>
      <w:r>
        <w:rPr>
          <w:spacing w:val="7"/>
        </w:rPr>
        <w:t>链，争取建设国家储备林项目，多元化引进企</w:t>
      </w:r>
      <w:r>
        <w:rPr>
          <w:spacing w:val="7"/>
        </w:rPr>
        <w:t>业，全方位提供技术服务，推行“企业+基地+</w:t>
      </w:r>
      <w:r>
        <w:rPr>
          <w:spacing w:val="2"/>
        </w:rPr>
        <w:t>农户”等发展模式，采取少量引种、多点试验、</w:t>
      </w:r>
    </w:p>
    <w:p>
      <w:pPr>
        <w:spacing w:line="92" w:lineRule="auto"/>
        <w:rPr>
          <w:rFonts w:ascii="Arial"/>
          <w:sz w:val="2"/>
        </w:rPr>
      </w:pPr>
      <w:r>
        <w:rPr>
          <w:rFonts w:ascii="Arial"/>
          <w:sz w:val="2"/>
        </w:rPr>
      </w:r>
    </w:p>
    <w:p>
      <w:pPr>
        <w:spacing w:line="14" w:lineRule="auto"/>
        <w:rPr>
          <w:rFonts w:ascii="Arial"/>
          <w:sz w:val="2"/>
        </w:rPr>
      </w:pPr>
      <w:r>
        <w:rPr>
          <w:rFonts w:ascii="Arial" w:hAnsi="Arial" w:eastAsia="Arial" w:cs="Arial"/>
          <w:sz w:val="2"/>
          <w:szCs w:val="2"/>
        </w:rPr>
        <w:br w:type="column"/>
      </w:r>
    </w:p>
    <w:p>
      <w:pPr>
        <w:pStyle w:val="BodyText"/>
        <w:ind w:right="39"/>
        <w:spacing w:before="41" w:line="384" w:lineRule="auto"/>
        <w:jc w:val="both"/>
        <w:rPr/>
      </w:pPr>
      <w:r>
        <w:rPr>
          <w:spacing w:val="4"/>
        </w:rPr>
        <w:t>循序渐进、逐步推广的方式，因县（</w:t>
      </w:r>
      <w:r>
        <w:rPr>
          <w:spacing w:val="-34"/>
        </w:rPr>
        <w:t xml:space="preserve"> </w:t>
      </w:r>
      <w:r>
        <w:rPr>
          <w:spacing w:val="4"/>
        </w:rPr>
        <w:t>区）因乡</w:t>
      </w:r>
      <w:r>
        <w:rPr>
          <w:spacing w:val="8"/>
        </w:rPr>
        <w:t>因村制宜</w:t>
      </w:r>
      <w:r>
        <w:rPr>
          <w:spacing w:val="-49"/>
        </w:rPr>
        <w:t xml:space="preserve"> </w:t>
      </w:r>
      <w:r>
        <w:rPr>
          <w:spacing w:val="8"/>
        </w:rPr>
        <w:t>，到</w:t>
      </w:r>
      <w:r>
        <w:rPr>
          <w:spacing w:val="-37"/>
        </w:rPr>
        <w:t xml:space="preserve"> </w:t>
      </w:r>
      <w:r>
        <w:rPr>
          <w:spacing w:val="8"/>
        </w:rPr>
        <w:t>2025</w:t>
      </w:r>
      <w:r>
        <w:rPr>
          <w:spacing w:val="-34"/>
        </w:rPr>
        <w:t xml:space="preserve"> </w:t>
      </w:r>
      <w:r>
        <w:rPr>
          <w:spacing w:val="8"/>
        </w:rPr>
        <w:t>年发展大果榛子、矮砧密</w:t>
      </w:r>
      <w:r>
        <w:rPr>
          <w:spacing w:val="11"/>
        </w:rPr>
        <w:t>植苹果、黑果花楸、红梅杏等“一棵树”200</w:t>
      </w:r>
      <w:r>
        <w:rPr>
          <w:spacing w:val="7"/>
        </w:rPr>
        <w:t>万亩；造型油松、海棠、红枫等“一株苗”30</w:t>
      </w:r>
      <w:r>
        <w:rPr/>
        <w:t>万亩；中苜</w:t>
      </w:r>
      <w:r>
        <w:rPr>
          <w:spacing w:val="-23"/>
        </w:rPr>
        <w:t xml:space="preserve"> </w:t>
      </w:r>
      <w:r>
        <w:rPr/>
        <w:t>1</w:t>
      </w:r>
      <w:r>
        <w:rPr>
          <w:spacing w:val="-40"/>
        </w:rPr>
        <w:t xml:space="preserve"> </w:t>
      </w:r>
      <w:r>
        <w:rPr/>
        <w:t>号苜蓿、宁单</w:t>
      </w:r>
      <w:r>
        <w:rPr>
          <w:spacing w:val="-42"/>
        </w:rPr>
        <w:t xml:space="preserve"> </w:t>
      </w:r>
      <w:r>
        <w:rPr/>
        <w:t>40</w:t>
      </w:r>
      <w:r>
        <w:rPr>
          <w:spacing w:val="-44"/>
        </w:rPr>
        <w:t xml:space="preserve"> </w:t>
      </w:r>
      <w:r>
        <w:rPr/>
        <w:t>青贮玉米等“一</w:t>
      </w:r>
      <w:r>
        <w:rPr/>
        <w:t>棵草”300</w:t>
      </w:r>
      <w:r>
        <w:rPr>
          <w:spacing w:val="-32"/>
        </w:rPr>
        <w:t xml:space="preserve"> </w:t>
      </w:r>
      <w:r>
        <w:rPr/>
        <w:t>万亩；暴马丁香、月季、百合等“一</w:t>
      </w:r>
      <w:r>
        <w:rPr>
          <w:spacing w:val="-4"/>
        </w:rPr>
        <w:t>枝花”13</w:t>
      </w:r>
      <w:r>
        <w:rPr>
          <w:spacing w:val="-42"/>
        </w:rPr>
        <w:t xml:space="preserve"> </w:t>
      </w:r>
      <w:r>
        <w:rPr>
          <w:spacing w:val="-4"/>
        </w:rPr>
        <w:t>万亩，全市“四个一”林草种植面积达</w:t>
      </w:r>
      <w:r>
        <w:rPr>
          <w:spacing w:val="-2"/>
        </w:rPr>
        <w:t>到</w:t>
      </w:r>
      <w:r>
        <w:rPr>
          <w:spacing w:val="-33"/>
        </w:rPr>
        <w:t xml:space="preserve"> </w:t>
      </w:r>
      <w:r>
        <w:rPr>
          <w:spacing w:val="-2"/>
        </w:rPr>
        <w:t>543</w:t>
      </w:r>
      <w:r>
        <w:rPr>
          <w:spacing w:val="-51"/>
        </w:rPr>
        <w:t xml:space="preserve"> </w:t>
      </w:r>
      <w:r>
        <w:rPr>
          <w:spacing w:val="-2"/>
        </w:rPr>
        <w:t>万亩，综合经济效益</w:t>
      </w:r>
      <w:r>
        <w:rPr>
          <w:spacing w:val="-49"/>
        </w:rPr>
        <w:t xml:space="preserve"> </w:t>
      </w:r>
      <w:r>
        <w:rPr>
          <w:spacing w:val="-2"/>
        </w:rPr>
        <w:t>360</w:t>
      </w:r>
      <w:r>
        <w:rPr>
          <w:spacing w:val="-53"/>
        </w:rPr>
        <w:t xml:space="preserve"> </w:t>
      </w:r>
      <w:r>
        <w:rPr>
          <w:spacing w:val="-2"/>
        </w:rPr>
        <w:t>亿元左右，培育</w:t>
      </w:r>
      <w:r>
        <w:rPr>
          <w:spacing w:val="-2"/>
        </w:rPr>
        <w:t>固原绿色经济增长极，实现山绿与民富双赢，把</w:t>
      </w:r>
      <w:r>
        <w:rPr>
          <w:spacing w:val="-3"/>
        </w:rPr>
        <w:t>固原打造成西北地区生态经济发展新高地。</w:t>
      </w:r>
    </w:p>
    <w:p>
      <w:pPr>
        <w:spacing w:line="384" w:lineRule="auto"/>
        <w:sectPr>
          <w:type w:val="continuous"/>
          <w:pgSz w:w="11906" w:h="16839"/>
          <w:pgMar w:top="1793" w:right="1526" w:bottom="1570" w:left="1526" w:header="1428" w:footer="1172" w:gutter="0"/>
          <w:cols w:equalWidth="0" w:num="2">
            <w:col w:w="4542" w:space="100"/>
            <w:col w:w="4212" w:space="0"/>
          </w:cols>
        </w:sectPr>
        <w:rPr/>
      </w:pPr>
    </w:p>
    <w:p>
      <w:pPr>
        <w:ind w:left="2990"/>
        <w:spacing w:before="271" w:line="216" w:lineRule="auto"/>
        <w:outlineLvl w:val="0"/>
        <w:rPr>
          <w:rFonts w:ascii="Microsoft YaHei" w:hAnsi="Microsoft YaHei" w:eastAsia="Microsoft YaHei" w:cs="Microsoft YaHei"/>
          <w:sz w:val="20"/>
          <w:szCs w:val="20"/>
        </w:rPr>
      </w:pPr>
      <w:r>
        <w:drawing>
          <wp:anchor distT="0" distB="0" distL="0" distR="0" simplePos="0" relativeHeight="251772928" behindDoc="0" locked="0" layoutInCell="1" allowOverlap="1">
            <wp:simplePos x="0" y="0"/>
            <wp:positionH relativeFrom="column">
              <wp:posOffset>39242</wp:posOffset>
            </wp:positionH>
            <wp:positionV relativeFrom="paragraph">
              <wp:posOffset>-2865858</wp:posOffset>
            </wp:positionV>
            <wp:extent cx="5579745" cy="7619"/>
            <wp:effectExtent l="0" t="0" r="0" b="0"/>
            <wp:wrapNone/>
            <wp:docPr id="370" name="IM 370"/>
            <wp:cNvGraphicFramePr/>
            <a:graphic>
              <a:graphicData uri="http://schemas.openxmlformats.org/drawingml/2006/picture">
                <pic:pic>
                  <pic:nvPicPr>
                    <pic:cNvPr id="370" name="IM 370"/>
                    <pic:cNvPicPr/>
                  </pic:nvPicPr>
                  <pic:blipFill>
                    <a:blip r:embed="rId187"/>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6"/>
        </w:rPr>
        <w:t>专栏 3</w:t>
      </w:r>
      <w:r>
        <w:rPr>
          <w:rFonts w:ascii="Microsoft YaHei" w:hAnsi="Microsoft YaHei" w:eastAsia="Microsoft YaHei" w:cs="Microsoft YaHei"/>
          <w:sz w:val="20"/>
          <w:szCs w:val="20"/>
          <w:spacing w:val="17"/>
        </w:rPr>
        <w:t xml:space="preserve">   </w:t>
      </w:r>
      <w:r>
        <w:rPr>
          <w:rFonts w:ascii="Microsoft YaHei" w:hAnsi="Microsoft YaHei" w:eastAsia="Microsoft YaHei" w:cs="Microsoft YaHei"/>
          <w:sz w:val="20"/>
          <w:szCs w:val="20"/>
          <w:spacing w:val="6"/>
        </w:rPr>
        <w:t>特色农业发展重点项目工程</w:t>
      </w:r>
    </w:p>
    <w:p>
      <w:pPr>
        <w:spacing w:line="59" w:lineRule="exact"/>
        <w:rPr/>
      </w:pPr>
      <w:r/>
    </w:p>
    <w:tbl>
      <w:tblPr>
        <w:tblStyle w:val="TableNormal"/>
        <w:tblW w:w="8848" w:type="dxa"/>
        <w:tblInd w:w="2" w:type="dxa"/>
        <w:tblLayout w:type="fixed"/>
        <w:tblBorders>
          <w:left w:val="single" w:color="000000" w:sz="2" w:space="0"/>
          <w:bottom w:val="single" w:color="000000" w:sz="2" w:space="0"/>
          <w:right w:val="single" w:color="000000" w:sz="2" w:space="0"/>
          <w:top w:val="single" w:color="000000" w:sz="2" w:space="0"/>
        </w:tblBorders>
      </w:tblPr>
      <w:tblGrid>
        <w:gridCol w:w="8848"/>
      </w:tblGrid>
      <w:tr>
        <w:trPr>
          <w:trHeight w:val="5938" w:hRule="atLeast"/>
        </w:trPr>
        <w:tc>
          <w:tcPr>
            <w:tcW w:w="8848" w:type="dxa"/>
            <w:vAlign w:val="top"/>
          </w:tcPr>
          <w:p>
            <w:pPr>
              <w:pStyle w:val="TableText"/>
              <w:ind w:left="110" w:right="97" w:firstLine="439"/>
              <w:spacing w:before="198" w:line="323" w:lineRule="auto"/>
              <w:rPr/>
            </w:pPr>
            <w:r>
              <w:rPr>
                <w:b/>
                <w:bCs/>
              </w:rPr>
              <w:t>1.高端牛肉加工基地建设工程*</w:t>
            </w:r>
            <w:r>
              <w:rPr/>
              <w:t>：突出抓好固原黄</w:t>
            </w:r>
            <w:r>
              <w:rPr>
                <w:spacing w:val="-1"/>
              </w:rPr>
              <w:t>牛、安格斯、西门塔尔等品种选育，实施六盘山区国家</w:t>
            </w:r>
            <w:r>
              <w:rPr>
                <w:spacing w:val="1"/>
              </w:rPr>
              <w:t>肉牛优势特色产业集群项目，投产融侨肉牛加工项目，落地伊赛固原黄牛繁育加工项目，建设</w:t>
            </w:r>
            <w:r>
              <w:rPr/>
              <w:t>良种繁育基地2</w:t>
            </w:r>
            <w:r>
              <w:rPr/>
              <w:t>个，推进饲草料科学化种植、养殖场标准化建设，提高分级加工、分割包</w:t>
            </w:r>
            <w:r>
              <w:rPr>
                <w:spacing w:val="-1"/>
              </w:rPr>
              <w:t>装、冷鲜储运比重，扩大六盘山牛肉</w:t>
            </w:r>
            <w:r>
              <w:rPr>
                <w:spacing w:val="-1"/>
              </w:rPr>
              <w:t>品牌影响力。</w:t>
            </w:r>
          </w:p>
          <w:p>
            <w:pPr>
              <w:pStyle w:val="TableText"/>
              <w:ind w:left="110" w:right="97" w:firstLine="425"/>
              <w:spacing w:before="98" w:line="315" w:lineRule="auto"/>
              <w:rPr/>
            </w:pPr>
            <w:r>
              <w:rPr>
                <w:b/>
                <w:bCs/>
              </w:rPr>
              <w:t>2.绿色食品全产业链提升工程*：</w:t>
            </w:r>
            <w:r>
              <w:rPr/>
              <w:t>加快长江医药大健康产业园等项目建设，开</w:t>
            </w:r>
            <w:r>
              <w:rPr>
                <w:spacing w:val="-1"/>
              </w:rPr>
              <w:t>发马铃薯方便食品、胡麻油</w:t>
            </w:r>
            <w:r>
              <w:rPr/>
              <w:t>高端保健油脂、速冻保鲜蔬菜等即食健康产品和黑果花楸等功能性饮品，</w:t>
            </w:r>
            <w:r>
              <w:rPr>
                <w:spacing w:val="-1"/>
              </w:rPr>
              <w:t>加强对固原鸡、红梅杏等种质资源的</w:t>
            </w:r>
            <w:r>
              <w:rPr/>
              <w:t>保护利用，培育龙头企业</w:t>
            </w:r>
            <w:r>
              <w:rPr>
                <w:spacing w:val="-36"/>
              </w:rPr>
              <w:t xml:space="preserve"> </w:t>
            </w:r>
            <w:r>
              <w:rPr/>
              <w:t>4</w:t>
            </w:r>
            <w:r>
              <w:rPr>
                <w:spacing w:val="-38"/>
              </w:rPr>
              <w:t xml:space="preserve"> </w:t>
            </w:r>
            <w:r>
              <w:rPr/>
              <w:t>家。建设高标准农田50</w:t>
            </w:r>
            <w:r>
              <w:rPr>
                <w:spacing w:val="-39"/>
              </w:rPr>
              <w:t xml:space="preserve"> </w:t>
            </w:r>
            <w:r>
              <w:rPr/>
              <w:t>万亩，全市粮食产量达到</w:t>
            </w:r>
            <w:r>
              <w:rPr>
                <w:spacing w:val="-37"/>
              </w:rPr>
              <w:t xml:space="preserve"> </w:t>
            </w:r>
            <w:r>
              <w:rPr/>
              <w:t>80</w:t>
            </w:r>
            <w:r>
              <w:rPr>
                <w:spacing w:val="-41"/>
              </w:rPr>
              <w:t xml:space="preserve"> </w:t>
            </w:r>
            <w:r>
              <w:rPr/>
              <w:t>万吨以上。创建国家食品安全</w:t>
            </w:r>
            <w:r>
              <w:rPr>
                <w:spacing w:val="-1"/>
              </w:rPr>
              <w:t>示范市。</w:t>
            </w:r>
          </w:p>
          <w:p>
            <w:pPr>
              <w:pStyle w:val="TableText"/>
              <w:ind w:left="110" w:right="99" w:firstLine="427"/>
              <w:spacing w:before="131" w:line="298" w:lineRule="auto"/>
              <w:rPr/>
            </w:pPr>
            <w:r>
              <w:rPr>
                <w:b/>
                <w:bCs/>
                <w:spacing w:val="-2"/>
              </w:rPr>
              <w:t>3.粤港澳大湾区有机蔬菜直供基地工程*：</w:t>
            </w:r>
            <w:r>
              <w:rPr>
                <w:spacing w:val="-2"/>
              </w:rPr>
              <w:t>建设以菜心、芥蓝、娃娃菜等为主的有机供港蔬菜直供基地</w:t>
            </w:r>
            <w:r>
              <w:rPr>
                <w:spacing w:val="-18"/>
              </w:rPr>
              <w:t xml:space="preserve"> </w:t>
            </w:r>
            <w:r>
              <w:rPr>
                <w:spacing w:val="-2"/>
              </w:rPr>
              <w:t>10</w:t>
            </w:r>
            <w:r>
              <w:rPr>
                <w:spacing w:val="-3"/>
              </w:rPr>
              <w:t>个共</w:t>
            </w:r>
            <w:r>
              <w:rPr>
                <w:spacing w:val="-25"/>
              </w:rPr>
              <w:t xml:space="preserve"> </w:t>
            </w:r>
            <w:r>
              <w:rPr>
                <w:spacing w:val="-3"/>
              </w:rPr>
              <w:t>1</w:t>
            </w:r>
            <w:r>
              <w:rPr>
                <w:spacing w:val="-43"/>
              </w:rPr>
              <w:t xml:space="preserve"> </w:t>
            </w:r>
            <w:r>
              <w:rPr>
                <w:spacing w:val="-3"/>
              </w:rPr>
              <w:t>万亩，蔬菜深加工厂</w:t>
            </w:r>
            <w:r>
              <w:rPr>
                <w:spacing w:val="-25"/>
              </w:rPr>
              <w:t xml:space="preserve"> </w:t>
            </w:r>
            <w:r>
              <w:rPr>
                <w:spacing w:val="-3"/>
              </w:rPr>
              <w:t>1</w:t>
            </w:r>
            <w:r>
              <w:rPr>
                <w:spacing w:val="-39"/>
              </w:rPr>
              <w:t xml:space="preserve"> </w:t>
            </w:r>
            <w:r>
              <w:rPr>
                <w:spacing w:val="-3"/>
              </w:rPr>
              <w:t>座，冷链物流集配中心</w:t>
            </w:r>
            <w:r>
              <w:rPr>
                <w:spacing w:val="-25"/>
              </w:rPr>
              <w:t xml:space="preserve"> </w:t>
            </w:r>
            <w:r>
              <w:rPr>
                <w:spacing w:val="-3"/>
              </w:rPr>
              <w:t>1</w:t>
            </w:r>
            <w:r>
              <w:rPr>
                <w:spacing w:val="-39"/>
              </w:rPr>
              <w:t xml:space="preserve"> </w:t>
            </w:r>
            <w:r>
              <w:rPr>
                <w:spacing w:val="-4"/>
              </w:rPr>
              <w:t>座。</w:t>
            </w:r>
          </w:p>
          <w:p>
            <w:pPr>
              <w:pStyle w:val="TableText"/>
              <w:ind w:left="112" w:right="28" w:firstLine="420"/>
              <w:spacing w:before="97" w:line="316" w:lineRule="auto"/>
              <w:rPr/>
            </w:pPr>
            <w:r>
              <w:rPr>
                <w:b/>
                <w:bCs/>
                <w:spacing w:val="-1"/>
              </w:rPr>
              <w:t>4.“</w:t>
            </w:r>
            <w:r>
              <w:rPr>
                <w:spacing w:val="-65"/>
              </w:rPr>
              <w:t xml:space="preserve"> </w:t>
            </w:r>
            <w:r>
              <w:rPr>
                <w:b/>
                <w:bCs/>
                <w:spacing w:val="-1"/>
              </w:rPr>
              <w:t>四个一”林草产业及国家储备林建设工程*：</w:t>
            </w:r>
            <w:r>
              <w:rPr>
                <w:spacing w:val="-1"/>
              </w:rPr>
              <w:t>以生态产业化</w:t>
            </w:r>
            <w:r>
              <w:rPr>
                <w:spacing w:val="-2"/>
              </w:rPr>
              <w:t>、产业生态化为路径，发展“</w:t>
            </w:r>
            <w:r>
              <w:rPr>
                <w:spacing w:val="-67"/>
              </w:rPr>
              <w:t xml:space="preserve"> </w:t>
            </w:r>
            <w:r>
              <w:rPr>
                <w:spacing w:val="-2"/>
              </w:rPr>
              <w:t>四个一”林</w:t>
            </w:r>
            <w:r>
              <w:rPr>
                <w:spacing w:val="-2"/>
              </w:rPr>
              <w:t>草产业543 万亩，其中：“一棵树”200</w:t>
            </w:r>
            <w:r>
              <w:rPr>
                <w:spacing w:val="-38"/>
              </w:rPr>
              <w:t xml:space="preserve"> </w:t>
            </w:r>
            <w:r>
              <w:rPr>
                <w:spacing w:val="-3"/>
              </w:rPr>
              <w:t>万亩、“一株苗”30</w:t>
            </w:r>
            <w:r>
              <w:rPr>
                <w:spacing w:val="-41"/>
              </w:rPr>
              <w:t xml:space="preserve"> </w:t>
            </w:r>
            <w:r>
              <w:rPr>
                <w:spacing w:val="-3"/>
              </w:rPr>
              <w:t>万亩、“一棵草”300</w:t>
            </w:r>
            <w:r>
              <w:rPr>
                <w:spacing w:val="-38"/>
              </w:rPr>
              <w:t xml:space="preserve"> </w:t>
            </w:r>
            <w:r>
              <w:rPr>
                <w:spacing w:val="-3"/>
              </w:rPr>
              <w:t>万亩、“一枝花”13</w:t>
            </w:r>
            <w:r>
              <w:rPr>
                <w:spacing w:val="-38"/>
              </w:rPr>
              <w:t xml:space="preserve"> </w:t>
            </w:r>
            <w:r>
              <w:rPr>
                <w:spacing w:val="-3"/>
              </w:rPr>
              <w:t>万亩。</w:t>
            </w:r>
            <w:r>
              <w:rPr>
                <w:spacing w:val="-6"/>
              </w:rPr>
              <w:t>加快落实中化集团元宝枫、杜仲种植基地</w:t>
            </w:r>
            <w:r>
              <w:rPr>
                <w:spacing w:val="-38"/>
              </w:rPr>
              <w:t xml:space="preserve"> </w:t>
            </w:r>
            <w:r>
              <w:rPr>
                <w:spacing w:val="-6"/>
              </w:rPr>
              <w:t>5</w:t>
            </w:r>
            <w:r>
              <w:rPr>
                <w:spacing w:val="-43"/>
              </w:rPr>
              <w:t xml:space="preserve"> </w:t>
            </w:r>
            <w:r>
              <w:rPr>
                <w:spacing w:val="-6"/>
              </w:rPr>
              <w:t>万亩，争取实施国家储备林和“云花北上”项目，加</w:t>
            </w:r>
            <w:r>
              <w:rPr>
                <w:spacing w:val="-7"/>
              </w:rPr>
              <w:t>强农林牧、文旅、</w:t>
            </w:r>
            <w:r>
              <w:rPr>
                <w:spacing w:val="-15"/>
              </w:rPr>
              <w:t>产业扶贫、乡村振兴等多领域多产业融合发展，构建创新引领</w:t>
            </w:r>
            <w:r>
              <w:rPr>
                <w:spacing w:val="-16"/>
              </w:rPr>
              <w:t>、协同发展的现代产业体系。</w:t>
            </w:r>
          </w:p>
          <w:p>
            <w:pPr>
              <w:pStyle w:val="TableText"/>
              <w:ind w:left="112" w:right="97" w:firstLine="356"/>
              <w:spacing w:before="130" w:line="314" w:lineRule="auto"/>
              <w:rPr/>
            </w:pPr>
            <w:r>
              <w:rPr>
                <w:b/>
                <w:bCs/>
                <w:spacing w:val="-1"/>
              </w:rPr>
              <w:t>5.现代农业示范园创建工程：</w:t>
            </w:r>
            <w:r>
              <w:rPr>
                <w:spacing w:val="-1"/>
              </w:rPr>
              <w:t>重点创建清水河、葫芦河、渝河、泾河和红茹河</w:t>
            </w:r>
            <w:r>
              <w:rPr>
                <w:spacing w:val="-31"/>
              </w:rPr>
              <w:t xml:space="preserve"> </w:t>
            </w:r>
            <w:r>
              <w:rPr>
                <w:spacing w:val="-1"/>
              </w:rPr>
              <w:t>5</w:t>
            </w:r>
            <w:r>
              <w:rPr>
                <w:spacing w:val="-43"/>
              </w:rPr>
              <w:t xml:space="preserve"> </w:t>
            </w:r>
            <w:r>
              <w:rPr>
                <w:spacing w:val="-1"/>
              </w:rPr>
              <w:t>个现代农业科技示范园和</w:t>
            </w:r>
            <w:r>
              <w:rPr/>
              <w:t>融侨（丰霖）肉牛生态产业园、原州区高品质蛋鸡产业园、西吉县马铃薯循环产业园区等现</w:t>
            </w:r>
            <w:r>
              <w:rPr>
                <w:spacing w:val="-1"/>
              </w:rPr>
              <w:t>代农业示范园区。</w:t>
            </w:r>
            <w:r>
              <w:rPr/>
              <w:t>到</w:t>
            </w:r>
            <w:r>
              <w:rPr>
                <w:spacing w:val="-30"/>
              </w:rPr>
              <w:t xml:space="preserve"> </w:t>
            </w:r>
            <w:r>
              <w:rPr/>
              <w:t>2025</w:t>
            </w:r>
            <w:r>
              <w:rPr>
                <w:spacing w:val="-39"/>
              </w:rPr>
              <w:t xml:space="preserve"> </w:t>
            </w:r>
            <w:r>
              <w:rPr/>
              <w:t>年，全市建设现代农业产业示范园</w:t>
            </w:r>
            <w:r>
              <w:rPr>
                <w:spacing w:val="-37"/>
              </w:rPr>
              <w:t xml:space="preserve"> </w:t>
            </w:r>
            <w:r>
              <w:rPr/>
              <w:t>8</w:t>
            </w:r>
            <w:r>
              <w:rPr>
                <w:spacing w:val="-43"/>
              </w:rPr>
              <w:t xml:space="preserve"> </w:t>
            </w:r>
            <w:r>
              <w:rPr/>
              <w:t>个、争创自治区和国家级农业产业园3</w:t>
            </w:r>
            <w:r>
              <w:rPr>
                <w:spacing w:val="-43"/>
              </w:rPr>
              <w:t xml:space="preserve"> </w:t>
            </w:r>
            <w:r>
              <w:rPr/>
              <w:t>个。</w:t>
            </w:r>
          </w:p>
        </w:tc>
      </w:tr>
    </w:tbl>
    <w:p>
      <w:pPr>
        <w:spacing w:line="116" w:lineRule="exact"/>
        <w:rPr>
          <w:rFonts w:ascii="Arial"/>
          <w:sz w:val="10"/>
        </w:rPr>
      </w:pPr>
      <w:r/>
    </w:p>
    <w:p>
      <w:pPr>
        <w:spacing w:line="116" w:lineRule="exact"/>
        <w:sectPr>
          <w:type w:val="continuous"/>
          <w:pgSz w:w="11906" w:h="16839"/>
          <w:pgMar w:top="1793" w:right="1526" w:bottom="1570" w:left="1526" w:header="1428" w:footer="1172" w:gutter="0"/>
          <w:cols w:equalWidth="0" w:num="1">
            <w:col w:w="8854" w:space="0"/>
          </w:cols>
        </w:sectPr>
        <w:rPr>
          <w:rFonts w:ascii="Arial" w:hAnsi="Arial" w:eastAsia="Arial" w:cs="Arial"/>
          <w:sz w:val="10"/>
          <w:szCs w:val="10"/>
        </w:rPr>
      </w:pPr>
    </w:p>
    <w:p>
      <w:pPr>
        <w:ind w:left="433"/>
        <w:spacing w:before="42" w:line="211" w:lineRule="auto"/>
        <w:outlineLvl w:val="0"/>
        <w:rPr>
          <w:rFonts w:ascii="KaiTi" w:hAnsi="KaiTi" w:eastAsia="KaiTi" w:cs="KaiTi"/>
          <w:sz w:val="18"/>
          <w:szCs w:val="18"/>
        </w:rPr>
      </w:pPr>
      <w:r>
        <w:rPr>
          <w:rFonts w:ascii="Microsoft YaHei" w:hAnsi="Microsoft YaHei" w:eastAsia="Microsoft YaHei" w:cs="Microsoft YaHei"/>
          <w:sz w:val="18"/>
          <w:szCs w:val="18"/>
          <w:spacing w:val="-2"/>
        </w:rPr>
        <w:t>注</w:t>
      </w:r>
      <w:r>
        <w:rPr>
          <w:rFonts w:ascii="Microsoft YaHei" w:hAnsi="Microsoft YaHei" w:eastAsia="Microsoft YaHei" w:cs="Microsoft YaHei"/>
          <w:sz w:val="18"/>
          <w:szCs w:val="18"/>
          <w:spacing w:val="-20"/>
        </w:rPr>
        <w:t xml:space="preserve"> </w:t>
      </w:r>
      <w:r>
        <w:rPr>
          <w:rFonts w:ascii="Microsoft YaHei" w:hAnsi="Microsoft YaHei" w:eastAsia="Microsoft YaHei" w:cs="Microsoft YaHei"/>
          <w:sz w:val="18"/>
          <w:szCs w:val="18"/>
          <w:spacing w:val="-2"/>
        </w:rPr>
        <w:t>：</w:t>
      </w:r>
      <w:r>
        <w:rPr>
          <w:rFonts w:ascii="KaiTi" w:hAnsi="KaiTi" w:eastAsia="KaiTi" w:cs="KaiTi"/>
          <w:sz w:val="18"/>
          <w:szCs w:val="18"/>
          <w:spacing w:val="-2"/>
        </w:rPr>
        <w:t>项目名称右上角标“*”的为产业十大工程。</w:t>
      </w:r>
    </w:p>
    <w:p>
      <w:pPr>
        <w:pStyle w:val="BodyText"/>
        <w:ind w:left="564"/>
        <w:spacing w:before="285" w:line="220" w:lineRule="auto"/>
        <w:outlineLvl w:val="0"/>
        <w:rPr/>
      </w:pPr>
      <w:r>
        <w:rPr>
          <w:b/>
          <w:bCs/>
          <w:spacing w:val="8"/>
        </w:rPr>
        <w:t>第二节</w:t>
      </w:r>
      <w:r>
        <w:rPr>
          <w:spacing w:val="8"/>
        </w:rPr>
        <w:t xml:space="preserve">  </w:t>
      </w:r>
      <w:r>
        <w:rPr>
          <w:b/>
          <w:bCs/>
          <w:spacing w:val="8"/>
        </w:rPr>
        <w:t>培育壮大生态友好型工业</w:t>
      </w:r>
    </w:p>
    <w:p>
      <w:pPr>
        <w:spacing w:line="459" w:lineRule="auto"/>
        <w:rPr>
          <w:rFonts w:ascii="Arial"/>
          <w:sz w:val="21"/>
        </w:rPr>
      </w:pPr>
      <w:r/>
    </w:p>
    <w:p>
      <w:pPr>
        <w:pStyle w:val="BodyText"/>
        <w:ind w:left="67" w:right="329" w:firstLine="420"/>
        <w:spacing w:before="66" w:line="280" w:lineRule="auto"/>
        <w:outlineLvl w:val="0"/>
        <w:rPr/>
      </w:pPr>
      <w:r>
        <w:rPr>
          <w:spacing w:val="6"/>
        </w:rPr>
        <w:t>坚持整体带动、延链强链、配套支撑、集</w:t>
      </w:r>
      <w:r>
        <w:rPr>
          <w:spacing w:val="7"/>
        </w:rPr>
        <w:t>群发展，实施工业“十强双百”行动，重点发</w:t>
      </w:r>
    </w:p>
    <w:p>
      <w:pPr>
        <w:spacing w:line="14" w:lineRule="auto"/>
        <w:rPr>
          <w:rFonts w:ascii="Arial"/>
          <w:sz w:val="2"/>
        </w:rPr>
      </w:pPr>
      <w:r>
        <w:rPr>
          <w:rFonts w:ascii="Arial" w:hAnsi="Arial" w:eastAsia="Arial" w:cs="Arial"/>
          <w:sz w:val="2"/>
          <w:szCs w:val="2"/>
        </w:rPr>
        <w:br w:type="column"/>
      </w:r>
    </w:p>
    <w:p>
      <w:pPr>
        <w:spacing w:line="360" w:lineRule="auto"/>
        <w:rPr>
          <w:rFonts w:ascii="Arial"/>
          <w:sz w:val="21"/>
        </w:rPr>
      </w:pPr>
      <w:r/>
    </w:p>
    <w:p>
      <w:pPr>
        <w:pStyle w:val="BodyText"/>
        <w:ind w:right="64" w:firstLine="1"/>
        <w:spacing w:before="65" w:line="356" w:lineRule="auto"/>
        <w:jc w:val="both"/>
        <w:rPr/>
      </w:pPr>
      <w:r>
        <w:rPr>
          <w:spacing w:val="7"/>
        </w:rPr>
        <w:t>展现代纺织和服装加工产业，鼓励发展能源和</w:t>
      </w:r>
      <w:r>
        <w:rPr>
          <w:spacing w:val="7"/>
        </w:rPr>
        <w:t>新材料产业、电子信息产业，着力提升二产比</w:t>
      </w:r>
      <w:r>
        <w:rPr>
          <w:spacing w:val="7"/>
        </w:rPr>
        <w:t>重，不断提高生态友好型工业集群化规模化现</w:t>
      </w:r>
      <w:r>
        <w:rPr>
          <w:spacing w:val="7"/>
        </w:rPr>
        <w:t>代化发展水平。</w:t>
      </w:r>
    </w:p>
    <w:p>
      <w:pPr>
        <w:spacing w:line="356" w:lineRule="auto"/>
        <w:sectPr>
          <w:type w:val="continuous"/>
          <w:pgSz w:w="11906" w:h="16839"/>
          <w:pgMar w:top="1793" w:right="1526" w:bottom="1570" w:left="1526" w:header="1428" w:footer="1172" w:gutter="0"/>
          <w:cols w:equalWidth="0" w:num="2">
            <w:col w:w="4542" w:space="100"/>
            <w:col w:w="4212" w:space="0"/>
          </w:cols>
        </w:sectPr>
        <w:rPr/>
      </w:pPr>
    </w:p>
    <w:p>
      <w:pPr>
        <w:spacing w:before="84"/>
        <w:rPr/>
      </w:pPr>
      <w:r>
        <w:drawing>
          <wp:anchor distT="0" distB="0" distL="0" distR="0" simplePos="0" relativeHeight="251774976"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376" name="IM 376"/>
            <wp:cNvGraphicFramePr/>
            <a:graphic>
              <a:graphicData uri="http://schemas.openxmlformats.org/drawingml/2006/picture">
                <pic:pic>
                  <pic:nvPicPr>
                    <pic:cNvPr id="376" name="IM 376"/>
                    <pic:cNvPicPr/>
                  </pic:nvPicPr>
                  <pic:blipFill>
                    <a:blip r:embed="rId190"/>
                    <a:stretch>
                      <a:fillRect/>
                    </a:stretch>
                  </pic:blipFill>
                  <pic:spPr>
                    <a:xfrm rot="0">
                      <a:off x="0" y="0"/>
                      <a:ext cx="5579745" cy="7619"/>
                    </a:xfrm>
                    <a:prstGeom prst="rect">
                      <a:avLst/>
                    </a:prstGeom>
                  </pic:spPr>
                </pic:pic>
              </a:graphicData>
            </a:graphic>
          </wp:anchor>
        </w:drawing>
      </w:r>
      <w:r/>
    </w:p>
    <w:p>
      <w:pPr>
        <w:sectPr>
          <w:headerReference w:type="default" r:id="rId188"/>
          <w:footerReference w:type="default" r:id="rId189"/>
          <w:pgSz w:w="11906" w:h="16839"/>
          <w:pgMar w:top="1793" w:right="1489" w:bottom="1673" w:left="1565" w:header="1428" w:footer="1277" w:gutter="0"/>
          <w:cols w:equalWidth="0" w:num="1">
            <w:col w:w="8852" w:space="0"/>
          </w:cols>
        </w:sectPr>
        <w:rPr/>
      </w:pPr>
    </w:p>
    <w:p>
      <w:pPr>
        <w:pStyle w:val="BodyText"/>
        <w:ind w:left="49" w:right="327" w:firstLine="400"/>
        <w:spacing w:before="40" w:line="314" w:lineRule="auto"/>
        <w:outlineLvl w:val="0"/>
        <w:rPr/>
      </w:pPr>
      <w:r>
        <w:rPr>
          <w:spacing w:val="6"/>
        </w:rPr>
        <w:t>发展壮大现代纺织和服装加工产业。对标</w:t>
      </w:r>
      <w:r>
        <w:rPr>
          <w:spacing w:val="17"/>
        </w:rPr>
        <w:t>国内劳动密集型技术密集型纺织及服装加工</w:t>
      </w:r>
    </w:p>
    <w:p>
      <w:pPr>
        <w:pStyle w:val="BodyText"/>
        <w:ind w:left="27" w:right="250"/>
        <w:spacing w:before="203" w:line="404" w:lineRule="auto"/>
        <w:jc w:val="both"/>
        <w:rPr/>
      </w:pPr>
      <w:r>
        <w:rPr>
          <w:spacing w:val="7"/>
        </w:rPr>
        <w:t>企业先进发展模式，突出产业关联配套，积极</w:t>
      </w:r>
      <w:r>
        <w:rPr>
          <w:spacing w:val="15"/>
        </w:rPr>
        <w:t>承接东部地区产业链转移</w:t>
      </w:r>
      <w:r>
        <w:rPr>
          <w:spacing w:val="-40"/>
        </w:rPr>
        <w:t xml:space="preserve"> </w:t>
      </w:r>
      <w:r>
        <w:rPr>
          <w:spacing w:val="15"/>
        </w:rPr>
        <w:t>，重点培育现代纺</w:t>
      </w:r>
      <w:r>
        <w:rPr>
          <w:spacing w:val="1"/>
        </w:rPr>
        <w:t>纱、织布、植物印染、服装加工四大产业链条。</w:t>
      </w:r>
      <w:r>
        <w:rPr>
          <w:spacing w:val="7"/>
        </w:rPr>
        <w:t>实施百万锭棉纺纱基地建设工程，出台纺织服</w:t>
      </w:r>
      <w:r>
        <w:rPr>
          <w:spacing w:val="7"/>
        </w:rPr>
        <w:t>装产业公共扶持政策，做好福建长乐纺织产业</w:t>
      </w:r>
      <w:r>
        <w:rPr>
          <w:spacing w:val="11"/>
        </w:rPr>
        <w:t>园转移承接；抓好宁夏丰源纺织</w:t>
      </w:r>
      <w:r>
        <w:rPr>
          <w:spacing w:val="-35"/>
        </w:rPr>
        <w:t xml:space="preserve"> </w:t>
      </w:r>
      <w:r>
        <w:rPr>
          <w:spacing w:val="11"/>
        </w:rPr>
        <w:t>20</w:t>
      </w:r>
      <w:r>
        <w:rPr>
          <w:spacing w:val="-38"/>
        </w:rPr>
        <w:t xml:space="preserve"> </w:t>
      </w:r>
      <w:r>
        <w:rPr>
          <w:spacing w:val="11"/>
        </w:rPr>
        <w:t>万锭纺纱</w:t>
      </w:r>
      <w:r>
        <w:rPr>
          <w:spacing w:val="11"/>
        </w:rPr>
        <w:t>纺织二期工程、宁夏宁川置业</w:t>
      </w:r>
      <w:r>
        <w:rPr>
          <w:spacing w:val="-35"/>
        </w:rPr>
        <w:t xml:space="preserve"> </w:t>
      </w:r>
      <w:r>
        <w:rPr>
          <w:spacing w:val="11"/>
        </w:rPr>
        <w:t>20</w:t>
      </w:r>
      <w:r>
        <w:rPr>
          <w:spacing w:val="-38"/>
        </w:rPr>
        <w:t xml:space="preserve"> </w:t>
      </w:r>
      <w:r>
        <w:rPr>
          <w:spacing w:val="11"/>
        </w:rPr>
        <w:t>万锭纺纱织</w:t>
      </w:r>
      <w:r>
        <w:rPr>
          <w:spacing w:val="7"/>
        </w:rPr>
        <w:t>布、宁夏双文绒业高档羊绒制品等项目建成达</w:t>
      </w:r>
      <w:r>
        <w:rPr>
          <w:spacing w:val="7"/>
        </w:rPr>
        <w:t>产；推进现代纺织服装产业园建设，加大亚麻</w:t>
      </w:r>
      <w:r>
        <w:rPr>
          <w:spacing w:val="10"/>
        </w:rPr>
        <w:t>纤维加工、织布及家纺用品生产、植物印染、</w:t>
      </w:r>
      <w:r>
        <w:rPr>
          <w:spacing w:val="15"/>
        </w:rPr>
        <w:t>华人礼服服装加工等项目招商力度</w:t>
      </w:r>
      <w:r>
        <w:rPr>
          <w:spacing w:val="-40"/>
        </w:rPr>
        <w:t xml:space="preserve"> </w:t>
      </w:r>
      <w:r>
        <w:rPr>
          <w:spacing w:val="15"/>
        </w:rPr>
        <w:t>，引进织</w:t>
      </w:r>
      <w:r>
        <w:rPr>
          <w:spacing w:val="11"/>
        </w:rPr>
        <w:t>布、服装加工、植物印染和后整理生产企业，</w:t>
      </w:r>
      <w:r>
        <w:rPr>
          <w:spacing w:val="10"/>
        </w:rPr>
        <w:t>推动固原市现代纺织和服装加工产业规模化、</w:t>
      </w:r>
      <w:r>
        <w:rPr>
          <w:spacing w:val="3"/>
        </w:rPr>
        <w:t>集聚化发展。到</w:t>
      </w:r>
      <w:r>
        <w:rPr>
          <w:spacing w:val="-40"/>
        </w:rPr>
        <w:t xml:space="preserve"> </w:t>
      </w:r>
      <w:r>
        <w:rPr>
          <w:spacing w:val="3"/>
        </w:rPr>
        <w:t>2025</w:t>
      </w:r>
      <w:r>
        <w:rPr>
          <w:spacing w:val="-39"/>
        </w:rPr>
        <w:t xml:space="preserve"> </w:t>
      </w:r>
      <w:r>
        <w:rPr>
          <w:spacing w:val="3"/>
        </w:rPr>
        <w:t>年，100</w:t>
      </w:r>
      <w:r>
        <w:rPr>
          <w:spacing w:val="-40"/>
        </w:rPr>
        <w:t xml:space="preserve"> </w:t>
      </w:r>
      <w:r>
        <w:rPr>
          <w:spacing w:val="3"/>
        </w:rPr>
        <w:t>万锭棉纺纱基地</w:t>
      </w:r>
      <w:r>
        <w:rPr>
          <w:spacing w:val="7"/>
        </w:rPr>
        <w:t>建成投产，全市现代纺织及服装产业总产值达</w:t>
      </w:r>
      <w:r>
        <w:rPr>
          <w:spacing w:val="5"/>
        </w:rPr>
        <w:t>到</w:t>
      </w:r>
      <w:r>
        <w:rPr>
          <w:spacing w:val="-14"/>
        </w:rPr>
        <w:t xml:space="preserve"> </w:t>
      </w:r>
      <w:r>
        <w:rPr>
          <w:spacing w:val="5"/>
        </w:rPr>
        <w:t>150</w:t>
      </w:r>
      <w:r>
        <w:rPr>
          <w:spacing w:val="-44"/>
        </w:rPr>
        <w:t xml:space="preserve"> </w:t>
      </w:r>
      <w:r>
        <w:rPr>
          <w:spacing w:val="5"/>
        </w:rPr>
        <w:t>亿元，把固原打造成区域纺织及服装加</w:t>
      </w:r>
      <w:r>
        <w:rPr>
          <w:spacing w:val="6"/>
        </w:rPr>
        <w:t>工基地。</w:t>
      </w:r>
    </w:p>
    <w:p>
      <w:pPr>
        <w:pStyle w:val="BodyText"/>
        <w:ind w:left="453"/>
        <w:spacing w:before="33" w:line="277" w:lineRule="exact"/>
        <w:rPr/>
      </w:pPr>
      <w:r>
        <w:rPr>
          <w:spacing w:val="6"/>
          <w:position w:val="1"/>
        </w:rPr>
        <w:t>打造能源及新材料产业集群新高地。立足</w:t>
      </w:r>
    </w:p>
    <w:p>
      <w:pPr>
        <w:pStyle w:val="BodyText"/>
        <w:ind w:left="49"/>
        <w:spacing w:before="164" w:line="224" w:lineRule="auto"/>
        <w:outlineLvl w:val="0"/>
        <w:rPr/>
      </w:pPr>
      <w:r>
        <w:rPr>
          <w:spacing w:val="6"/>
        </w:rPr>
        <w:t>固原煤炭、风光、岩盐资源禀赋，以煤电一体</w:t>
      </w:r>
    </w:p>
    <w:p>
      <w:pPr>
        <w:pStyle w:val="BodyText"/>
        <w:ind w:left="27" w:right="325" w:firstLine="1"/>
        <w:spacing w:before="197" w:line="383" w:lineRule="auto"/>
        <w:jc w:val="both"/>
        <w:rPr/>
      </w:pPr>
      <w:r>
        <w:rPr>
          <w:spacing w:val="7"/>
        </w:rPr>
        <w:t>化发展、盐化工循环加工、精细化工产品生产</w:t>
      </w:r>
      <w:r>
        <w:rPr>
          <w:spacing w:val="7"/>
        </w:rPr>
        <w:t>为主攻方向，重点围绕培育发展煤炭加工转化</w:t>
      </w:r>
      <w:r>
        <w:rPr>
          <w:spacing w:val="7"/>
        </w:rPr>
        <w:t>为主的煤电一体化产业链，实施扩能增产，完</w:t>
      </w:r>
      <w:r>
        <w:rPr>
          <w:spacing w:val="7"/>
        </w:rPr>
        <w:t>成矿区煤炭资源市场化配置，争取开工建设向</w:t>
      </w:r>
      <w:r>
        <w:rPr>
          <w:spacing w:val="7"/>
        </w:rPr>
        <w:t>华中输电固原电源点工程及热电联产项目，在</w:t>
      </w:r>
      <w:r>
        <w:rPr>
          <w:spacing w:val="7"/>
        </w:rPr>
        <w:t>具备基本条件的区域积极推进风电、光伏电站</w:t>
      </w:r>
      <w:r>
        <w:rPr>
          <w:spacing w:val="7"/>
        </w:rPr>
        <w:t>项目，推动能源产业发展。延长盐化工下游产</w:t>
      </w:r>
      <w:r>
        <w:rPr>
          <w:spacing w:val="13"/>
        </w:rPr>
        <w:t>品，重点打造原盐—氯碱—</w:t>
      </w:r>
      <w:r>
        <w:rPr/>
        <w:t>PVC</w:t>
      </w:r>
      <w:r>
        <w:rPr>
          <w:spacing w:val="13"/>
        </w:rPr>
        <w:t>—多元醇精细</w:t>
      </w:r>
    </w:p>
    <w:p>
      <w:pPr>
        <w:spacing w:line="14" w:lineRule="auto"/>
        <w:rPr>
          <w:rFonts w:ascii="Arial"/>
          <w:sz w:val="2"/>
        </w:rPr>
      </w:pPr>
      <w:r>
        <w:rPr>
          <w:rFonts w:ascii="Arial" w:hAnsi="Arial" w:eastAsia="Arial" w:cs="Arial"/>
          <w:sz w:val="2"/>
          <w:szCs w:val="2"/>
        </w:rPr>
        <w:br w:type="column"/>
      </w:r>
    </w:p>
    <w:p>
      <w:pPr>
        <w:pStyle w:val="BodyText"/>
        <w:ind w:left="1" w:right="94" w:firstLine="2"/>
        <w:spacing w:before="41" w:line="400" w:lineRule="auto"/>
        <w:jc w:val="both"/>
        <w:rPr/>
      </w:pPr>
      <w:r>
        <w:rPr>
          <w:spacing w:val="7"/>
        </w:rPr>
        <w:t>化工，原盐—氯碱—氢能源—耗氯精细化工，</w:t>
      </w:r>
      <w:r>
        <w:rPr>
          <w:spacing w:val="7"/>
        </w:rPr>
        <w:t>原盐—纯碱—日用玻璃及洗涤化学品，岩盐—</w:t>
      </w:r>
      <w:r>
        <w:rPr>
          <w:spacing w:val="6"/>
        </w:rPr>
        <w:t>保健盐—盐文化旅游休闲“</w:t>
      </w:r>
      <w:r>
        <w:rPr>
          <w:spacing w:val="-74"/>
        </w:rPr>
        <w:t xml:space="preserve"> </w:t>
      </w:r>
      <w:r>
        <w:rPr>
          <w:spacing w:val="6"/>
        </w:rPr>
        <w:t>四大产业链”，到</w:t>
      </w:r>
      <w:r>
        <w:rPr>
          <w:spacing w:val="2"/>
        </w:rPr>
        <w:t>2025</w:t>
      </w:r>
      <w:r>
        <w:rPr>
          <w:spacing w:val="-30"/>
        </w:rPr>
        <w:t xml:space="preserve"> </w:t>
      </w:r>
      <w:r>
        <w:rPr>
          <w:spacing w:val="2"/>
        </w:rPr>
        <w:t>年，盐化工产业链产值达到</w:t>
      </w:r>
      <w:r>
        <w:rPr>
          <w:spacing w:val="-24"/>
        </w:rPr>
        <w:t xml:space="preserve"> </w:t>
      </w:r>
      <w:r>
        <w:rPr>
          <w:spacing w:val="2"/>
        </w:rPr>
        <w:t>130</w:t>
      </w:r>
      <w:r>
        <w:rPr>
          <w:spacing w:val="-41"/>
        </w:rPr>
        <w:t xml:space="preserve"> </w:t>
      </w:r>
      <w:r>
        <w:rPr>
          <w:spacing w:val="2"/>
        </w:rPr>
        <w:t>亿元，把</w:t>
      </w:r>
      <w:r>
        <w:rPr>
          <w:spacing w:val="18"/>
        </w:rPr>
        <w:t>固原打造成宁夏建设国家新能源及新材料综</w:t>
      </w:r>
      <w:r>
        <w:rPr>
          <w:spacing w:val="8"/>
        </w:rPr>
        <w:t>合示范区宁南基地。</w:t>
      </w:r>
    </w:p>
    <w:p>
      <w:pPr>
        <w:pStyle w:val="BodyText"/>
        <w:ind w:left="3" w:right="101" w:firstLine="423"/>
        <w:spacing w:before="37" w:line="315" w:lineRule="auto"/>
        <w:outlineLvl w:val="0"/>
        <w:rPr/>
      </w:pPr>
      <w:r>
        <w:rPr>
          <w:spacing w:val="6"/>
        </w:rPr>
        <w:t>培育壮大电子信息产业。以国家、自治区</w:t>
      </w:r>
      <w:r>
        <w:rPr>
          <w:spacing w:val="7"/>
        </w:rPr>
        <w:t>进一步高度重视发展电子信息产业为契机，紧</w:t>
      </w:r>
    </w:p>
    <w:p>
      <w:pPr>
        <w:pStyle w:val="BodyText"/>
        <w:ind w:right="94" w:firstLine="3"/>
        <w:spacing w:before="204" w:line="397" w:lineRule="auto"/>
        <w:jc w:val="both"/>
        <w:rPr/>
      </w:pPr>
      <w:r>
        <w:rPr>
          <w:spacing w:val="11"/>
        </w:rPr>
        <w:t>抓东部电子产品制造组装业西移以及</w:t>
      </w:r>
      <w:r>
        <w:rPr>
          <w:spacing w:val="-32"/>
        </w:rPr>
        <w:t xml:space="preserve"> </w:t>
      </w:r>
      <w:r>
        <w:rPr>
          <w:spacing w:val="11"/>
        </w:rPr>
        <w:t>5G</w:t>
      </w:r>
      <w:r>
        <w:rPr>
          <w:spacing w:val="-41"/>
        </w:rPr>
        <w:t xml:space="preserve"> </w:t>
      </w:r>
      <w:r>
        <w:rPr>
          <w:spacing w:val="11"/>
        </w:rPr>
        <w:t>基站</w:t>
      </w:r>
      <w:r>
        <w:rPr>
          <w:spacing w:val="7"/>
        </w:rPr>
        <w:t>建设、大数据中心、人工智能、工业互联网等</w:t>
      </w:r>
      <w:r>
        <w:rPr>
          <w:spacing w:val="7"/>
        </w:rPr>
        <w:t>新基建机遇，提升企业“数字化、网络化、智</w:t>
      </w:r>
      <w:r>
        <w:rPr>
          <w:spacing w:val="7"/>
        </w:rPr>
        <w:t>能化”发展水平，支持固原广元信息产业园大</w:t>
      </w:r>
      <w:r>
        <w:rPr>
          <w:spacing w:val="7"/>
        </w:rPr>
        <w:t>力招引和培育电子信息产业项目，积极引进罗</w:t>
      </w:r>
      <w:r>
        <w:rPr>
          <w:spacing w:val="7"/>
        </w:rPr>
        <w:t>普特投资集团建设军民融合高端制造、深圳博</w:t>
      </w:r>
      <w:r>
        <w:rPr>
          <w:spacing w:val="18"/>
        </w:rPr>
        <w:t>磊达钛酸锂电池等国内知名电子信息企业落</w:t>
      </w:r>
      <w:r>
        <w:rPr>
          <w:spacing w:val="13"/>
        </w:rPr>
        <w:t>户固原投资兴业。加快建成5G</w:t>
      </w:r>
      <w:r>
        <w:rPr>
          <w:spacing w:val="-13"/>
        </w:rPr>
        <w:t xml:space="preserve"> </w:t>
      </w:r>
      <w:r>
        <w:rPr>
          <w:spacing w:val="13"/>
        </w:rPr>
        <w:t>网络建设项目</w:t>
      </w:r>
      <w:r>
        <w:rPr>
          <w:spacing w:val="7"/>
        </w:rPr>
        <w:t>和智慧固原数据中心、大数据服务平台项目，</w:t>
      </w:r>
      <w:r>
        <w:rPr>
          <w:spacing w:val="7"/>
        </w:rPr>
        <w:t>加快建设数创城市，带动上下游智慧城市产品</w:t>
      </w:r>
      <w:r>
        <w:rPr>
          <w:spacing w:val="7"/>
        </w:rPr>
        <w:t>与服务提供商成立智慧城市产业联盟，共同建</w:t>
      </w:r>
      <w:r>
        <w:rPr>
          <w:spacing w:val="8"/>
        </w:rPr>
        <w:t>设智慧产业园区（基地</w:t>
      </w:r>
      <w:r>
        <w:rPr>
          <w:spacing w:val="1"/>
        </w:rPr>
        <w:t>）；</w:t>
      </w:r>
      <w:r>
        <w:rPr>
          <w:spacing w:val="8"/>
        </w:rPr>
        <w:t>跟进做好服务，确</w:t>
      </w:r>
      <w:r>
        <w:rPr>
          <w:spacing w:val="7"/>
        </w:rPr>
        <w:t>保锐捷网络西北运营中心项目尽快落地。加快</w:t>
      </w:r>
      <w:r>
        <w:rPr>
          <w:spacing w:val="7"/>
        </w:rPr>
        <w:t>推进数字化发展，实施数字固原建设工程，汇</w:t>
      </w:r>
      <w:r>
        <w:rPr>
          <w:spacing w:val="7"/>
        </w:rPr>
        <w:t>聚政府和社会数据资源，形成数据资产，推动</w:t>
      </w:r>
      <w:r>
        <w:rPr>
          <w:spacing w:val="14"/>
        </w:rPr>
        <w:t>云计算、大数据、物联网、5G</w:t>
      </w:r>
      <w:r>
        <w:rPr>
          <w:spacing w:val="-33"/>
        </w:rPr>
        <w:t xml:space="preserve"> </w:t>
      </w:r>
      <w:r>
        <w:rPr>
          <w:spacing w:val="14"/>
        </w:rPr>
        <w:t>等新一代信息</w:t>
      </w:r>
      <w:r>
        <w:rPr>
          <w:spacing w:val="7"/>
        </w:rPr>
        <w:t>技术同工业、农业、文化旅游、电子商务等的</w:t>
      </w:r>
      <w:r>
        <w:rPr>
          <w:spacing w:val="8"/>
        </w:rPr>
        <w:t>融合发展。到</w:t>
      </w:r>
      <w:r>
        <w:rPr>
          <w:spacing w:val="-26"/>
        </w:rPr>
        <w:t xml:space="preserve"> </w:t>
      </w:r>
      <w:r>
        <w:rPr>
          <w:spacing w:val="8"/>
        </w:rPr>
        <w:t>2025</w:t>
      </w:r>
      <w:r>
        <w:rPr>
          <w:spacing w:val="-34"/>
        </w:rPr>
        <w:t xml:space="preserve"> </w:t>
      </w:r>
      <w:r>
        <w:rPr>
          <w:spacing w:val="8"/>
        </w:rPr>
        <w:t>年</w:t>
      </w:r>
      <w:r>
        <w:rPr>
          <w:spacing w:val="-58"/>
        </w:rPr>
        <w:t xml:space="preserve"> </w:t>
      </w:r>
      <w:r>
        <w:rPr>
          <w:spacing w:val="8"/>
        </w:rPr>
        <w:t>，全市数字产业、数字</w:t>
      </w:r>
      <w:r>
        <w:rPr>
          <w:spacing w:val="7"/>
        </w:rPr>
        <w:t>政府、数字城市取得明显进展，电子信息产业</w:t>
      </w:r>
      <w:r>
        <w:rPr>
          <w:spacing w:val="6"/>
        </w:rPr>
        <w:t>初具规模，产值达到</w:t>
      </w:r>
      <w:r>
        <w:rPr>
          <w:spacing w:val="-27"/>
        </w:rPr>
        <w:t xml:space="preserve"> </w:t>
      </w:r>
      <w:r>
        <w:rPr>
          <w:spacing w:val="6"/>
        </w:rPr>
        <w:t>5</w:t>
      </w:r>
      <w:r>
        <w:rPr>
          <w:spacing w:val="-43"/>
        </w:rPr>
        <w:t xml:space="preserve"> </w:t>
      </w:r>
      <w:r>
        <w:rPr>
          <w:spacing w:val="6"/>
        </w:rPr>
        <w:t>亿元以上，把固原市打</w:t>
      </w:r>
      <w:r>
        <w:rPr>
          <w:spacing w:val="9"/>
        </w:rPr>
        <w:t>造成全区电子信息产业发展的宁南分区。</w:t>
      </w:r>
    </w:p>
    <w:p>
      <w:pPr>
        <w:spacing w:line="397" w:lineRule="auto"/>
        <w:sectPr>
          <w:type w:val="continuous"/>
          <w:pgSz w:w="11906" w:h="16839"/>
          <w:pgMar w:top="1793" w:right="1489" w:bottom="1673" w:left="1565" w:header="1428" w:footer="1277" w:gutter="0"/>
          <w:cols w:equalWidth="0" w:num="2">
            <w:col w:w="4502" w:space="100"/>
            <w:col w:w="4251" w:space="0"/>
          </w:cols>
        </w:sectPr>
        <w:rPr/>
      </w:pPr>
    </w:p>
    <w:p>
      <w:pPr>
        <w:ind w:left="2674"/>
        <w:spacing w:before="230" w:line="216" w:lineRule="auto"/>
        <w:rPr>
          <w:rFonts w:ascii="Microsoft YaHei" w:hAnsi="Microsoft YaHei" w:eastAsia="Microsoft YaHei" w:cs="Microsoft YaHei"/>
          <w:sz w:val="20"/>
          <w:szCs w:val="20"/>
        </w:rPr>
      </w:pPr>
      <w:r>
        <w:drawing>
          <wp:anchor distT="0" distB="0" distL="0" distR="0" simplePos="0" relativeHeight="251777024" behindDoc="0" locked="0" layoutInCell="1" allowOverlap="1">
            <wp:simplePos x="0" y="0"/>
            <wp:positionH relativeFrom="column">
              <wp:posOffset>39242</wp:posOffset>
            </wp:positionH>
            <wp:positionV relativeFrom="paragraph">
              <wp:posOffset>25314</wp:posOffset>
            </wp:positionV>
            <wp:extent cx="5579745" cy="7619"/>
            <wp:effectExtent l="0" t="0" r="0" b="0"/>
            <wp:wrapNone/>
            <wp:docPr id="382" name="IM 382"/>
            <wp:cNvGraphicFramePr/>
            <a:graphic>
              <a:graphicData uri="http://schemas.openxmlformats.org/drawingml/2006/picture">
                <pic:pic>
                  <pic:nvPicPr>
                    <pic:cNvPr id="382" name="IM 382"/>
                    <pic:cNvPicPr/>
                  </pic:nvPicPr>
                  <pic:blipFill>
                    <a:blip r:embed="rId193"/>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6"/>
        </w:rPr>
        <w:t>专栏 4</w:t>
      </w:r>
      <w:r>
        <w:rPr>
          <w:rFonts w:ascii="Microsoft YaHei" w:hAnsi="Microsoft YaHei" w:eastAsia="Microsoft YaHei" w:cs="Microsoft YaHei"/>
          <w:sz w:val="20"/>
          <w:szCs w:val="20"/>
          <w:spacing w:val="19"/>
        </w:rPr>
        <w:t xml:space="preserve">   </w:t>
      </w:r>
      <w:r>
        <w:rPr>
          <w:rFonts w:ascii="Microsoft YaHei" w:hAnsi="Microsoft YaHei" w:eastAsia="Microsoft YaHei" w:cs="Microsoft YaHei"/>
          <w:sz w:val="20"/>
          <w:szCs w:val="20"/>
          <w:spacing w:val="6"/>
        </w:rPr>
        <w:t>生态友好型工业重点项目工程</w:t>
      </w:r>
    </w:p>
    <w:p>
      <w:pPr>
        <w:spacing w:before="18"/>
        <w:rPr/>
      </w:pPr>
      <w:r/>
    </w:p>
    <w:tbl>
      <w:tblPr>
        <w:tblStyle w:val="TableNormal"/>
        <w:tblW w:w="8848" w:type="dxa"/>
        <w:tblInd w:w="2" w:type="dxa"/>
        <w:tblLayout w:type="fixed"/>
        <w:tblBorders>
          <w:left w:val="single" w:color="000000" w:sz="2" w:space="0"/>
          <w:bottom w:val="single" w:color="000000" w:sz="2" w:space="0"/>
          <w:right w:val="single" w:color="000000" w:sz="2" w:space="0"/>
          <w:top w:val="single" w:color="000000" w:sz="2" w:space="0"/>
        </w:tblBorders>
      </w:tblPr>
      <w:tblGrid>
        <w:gridCol w:w="8848"/>
      </w:tblGrid>
      <w:tr>
        <w:trPr>
          <w:trHeight w:val="4809" w:hRule="atLeast"/>
        </w:trPr>
        <w:tc>
          <w:tcPr>
            <w:tcW w:w="8848" w:type="dxa"/>
            <w:vAlign w:val="top"/>
          </w:tcPr>
          <w:p>
            <w:pPr>
              <w:pStyle w:val="TableText"/>
              <w:ind w:left="112" w:right="86" w:firstLine="437"/>
              <w:spacing w:before="170" w:line="410" w:lineRule="auto"/>
              <w:jc w:val="both"/>
              <w:rPr/>
            </w:pPr>
            <w:r>
              <w:rPr>
                <w:b/>
                <w:bCs/>
              </w:rPr>
              <w:t>1.百万锭棉纺纱基地建设工程*：</w:t>
            </w:r>
            <w:r>
              <w:rPr/>
              <w:t>建设现代纺</w:t>
            </w:r>
            <w:r>
              <w:rPr>
                <w:spacing w:val="-1"/>
              </w:rPr>
              <w:t>织服装产业园，出台纺织服装产业公共扶持政策，做好福建</w:t>
            </w:r>
            <w:r>
              <w:rPr>
                <w:spacing w:val="1"/>
              </w:rPr>
              <w:t>长乐纺织产业园转移承接，支持丰源、宁川置业等</w:t>
            </w:r>
            <w:r>
              <w:rPr>
                <w:spacing w:val="-27"/>
              </w:rPr>
              <w:t xml:space="preserve"> </w:t>
            </w:r>
            <w:r>
              <w:rPr>
                <w:spacing w:val="1"/>
              </w:rPr>
              <w:t>40</w:t>
            </w:r>
            <w:r>
              <w:rPr>
                <w:spacing w:val="-39"/>
              </w:rPr>
              <w:t xml:space="preserve"> </w:t>
            </w:r>
            <w:r>
              <w:rPr>
                <w:spacing w:val="1"/>
              </w:rPr>
              <w:t>万锭纺纱项目建设投产，力促华人礼服等织布、制衣下</w:t>
            </w:r>
            <w:r>
              <w:rPr>
                <w:spacing w:val="-1"/>
              </w:rPr>
              <w:t>游延伸增值项目落地，纱线总规模达到</w:t>
            </w:r>
            <w:r>
              <w:rPr>
                <w:spacing w:val="-23"/>
              </w:rPr>
              <w:t xml:space="preserve"> </w:t>
            </w:r>
            <w:r>
              <w:rPr>
                <w:spacing w:val="-1"/>
              </w:rPr>
              <w:t>100</w:t>
            </w:r>
            <w:r>
              <w:rPr>
                <w:spacing w:val="-40"/>
              </w:rPr>
              <w:t xml:space="preserve"> </w:t>
            </w:r>
            <w:r>
              <w:rPr>
                <w:spacing w:val="-1"/>
              </w:rPr>
              <w:t>万锭，年实现产值</w:t>
            </w:r>
            <w:r>
              <w:rPr>
                <w:spacing w:val="-43"/>
              </w:rPr>
              <w:t xml:space="preserve"> </w:t>
            </w:r>
            <w:r>
              <w:rPr>
                <w:spacing w:val="-1"/>
              </w:rPr>
              <w:t>40</w:t>
            </w:r>
            <w:r>
              <w:rPr>
                <w:spacing w:val="-43"/>
              </w:rPr>
              <w:t xml:space="preserve"> </w:t>
            </w:r>
            <w:r>
              <w:rPr>
                <w:spacing w:val="-1"/>
              </w:rPr>
              <w:t>亿元，织布产能达到</w:t>
            </w:r>
            <w:r>
              <w:rPr>
                <w:spacing w:val="-39"/>
              </w:rPr>
              <w:t xml:space="preserve"> </w:t>
            </w:r>
            <w:r>
              <w:rPr>
                <w:spacing w:val="-1"/>
              </w:rPr>
              <w:t>2000</w:t>
            </w:r>
            <w:r>
              <w:rPr>
                <w:spacing w:val="-39"/>
              </w:rPr>
              <w:t xml:space="preserve"> </w:t>
            </w:r>
            <w:r>
              <w:rPr>
                <w:spacing w:val="-1"/>
              </w:rPr>
              <w:t>万米，</w:t>
            </w:r>
            <w:r>
              <w:rPr>
                <w:spacing w:val="-2"/>
              </w:rPr>
              <w:t>年实现产值</w:t>
            </w:r>
            <w:r>
              <w:rPr>
                <w:spacing w:val="-4"/>
              </w:rPr>
              <w:t>2.5</w:t>
            </w:r>
            <w:r>
              <w:rPr>
                <w:spacing w:val="-42"/>
              </w:rPr>
              <w:t xml:space="preserve"> </w:t>
            </w:r>
            <w:r>
              <w:rPr>
                <w:spacing w:val="-4"/>
              </w:rPr>
              <w:t>亿元，服装加工产能达到</w:t>
            </w:r>
            <w:r>
              <w:rPr>
                <w:spacing w:val="-39"/>
              </w:rPr>
              <w:t xml:space="preserve"> </w:t>
            </w:r>
            <w:r>
              <w:rPr>
                <w:spacing w:val="-4"/>
              </w:rPr>
              <w:t>250</w:t>
            </w:r>
            <w:r>
              <w:rPr>
                <w:spacing w:val="-41"/>
              </w:rPr>
              <w:t xml:space="preserve"> </w:t>
            </w:r>
            <w:r>
              <w:rPr>
                <w:spacing w:val="-4"/>
              </w:rPr>
              <w:t>万件，年实现产值</w:t>
            </w:r>
            <w:r>
              <w:rPr>
                <w:spacing w:val="-25"/>
              </w:rPr>
              <w:t xml:space="preserve"> </w:t>
            </w:r>
            <w:r>
              <w:rPr>
                <w:spacing w:val="-4"/>
              </w:rPr>
              <w:t>15</w:t>
            </w:r>
            <w:r>
              <w:rPr>
                <w:spacing w:val="-43"/>
              </w:rPr>
              <w:t xml:space="preserve"> </w:t>
            </w:r>
            <w:r>
              <w:rPr>
                <w:spacing w:val="-4"/>
              </w:rPr>
              <w:t>亿元，印染能力达到</w:t>
            </w:r>
            <w:r>
              <w:rPr>
                <w:spacing w:val="-25"/>
              </w:rPr>
              <w:t xml:space="preserve"> </w:t>
            </w:r>
            <w:r>
              <w:rPr>
                <w:spacing w:val="-4"/>
              </w:rPr>
              <w:t>1000</w:t>
            </w:r>
            <w:r>
              <w:rPr>
                <w:spacing w:val="-38"/>
              </w:rPr>
              <w:t xml:space="preserve"> </w:t>
            </w:r>
            <w:r>
              <w:rPr>
                <w:spacing w:val="-4"/>
              </w:rPr>
              <w:t>万米，年实现产值</w:t>
            </w:r>
            <w:r>
              <w:rPr>
                <w:spacing w:val="-27"/>
              </w:rPr>
              <w:t xml:space="preserve"> </w:t>
            </w:r>
            <w:r>
              <w:rPr>
                <w:spacing w:val="-4"/>
              </w:rPr>
              <w:t>1.5</w:t>
            </w:r>
            <w:r>
              <w:rPr>
                <w:spacing w:val="-41"/>
              </w:rPr>
              <w:t xml:space="preserve"> </w:t>
            </w:r>
            <w:r>
              <w:rPr>
                <w:spacing w:val="-4"/>
              </w:rPr>
              <w:t>亿元。</w:t>
            </w:r>
          </w:p>
          <w:p>
            <w:pPr>
              <w:pStyle w:val="TableText"/>
              <w:ind w:right="6"/>
              <w:spacing w:before="1" w:line="240" w:lineRule="exact"/>
              <w:outlineLvl w:val="0"/>
              <w:jc w:val="right"/>
              <w:rPr/>
            </w:pPr>
            <w:r>
              <w:rPr>
                <w:position w:val="1"/>
              </w:rPr>
              <w:t>2.盐化工下游产品深加工项目：建设集</w:t>
            </w:r>
            <w:r>
              <w:rPr>
                <w:spacing w:val="-43"/>
                <w:position w:val="1"/>
              </w:rPr>
              <w:t xml:space="preserve"> </w:t>
            </w:r>
            <w:r>
              <w:rPr>
                <w:position w:val="1"/>
              </w:rPr>
              <w:t>PVC</w:t>
            </w:r>
            <w:r>
              <w:rPr>
                <w:spacing w:val="-38"/>
                <w:position w:val="1"/>
              </w:rPr>
              <w:t xml:space="preserve"> </w:t>
            </w:r>
            <w:r>
              <w:rPr>
                <w:position w:val="1"/>
              </w:rPr>
              <w:t>管材、型材、PVC</w:t>
            </w:r>
            <w:r>
              <w:rPr>
                <w:spacing w:val="-41"/>
                <w:position w:val="1"/>
              </w:rPr>
              <w:t xml:space="preserve"> </w:t>
            </w:r>
            <w:r>
              <w:rPr>
                <w:position w:val="1"/>
              </w:rPr>
              <w:t>异型材、PP</w:t>
            </w:r>
            <w:r>
              <w:rPr>
                <w:spacing w:val="-38"/>
                <w:position w:val="1"/>
              </w:rPr>
              <w:t xml:space="preserve"> </w:t>
            </w:r>
            <w:r>
              <w:rPr>
                <w:position w:val="1"/>
              </w:rPr>
              <w:t>管材、聚氯乙烯双壁波纹管材、</w:t>
            </w:r>
          </w:p>
          <w:p>
            <w:pPr>
              <w:pStyle w:val="TableText"/>
              <w:ind w:left="110" w:right="102" w:firstLine="4"/>
              <w:spacing w:before="161" w:line="408" w:lineRule="auto"/>
              <w:rPr/>
            </w:pPr>
            <w:r>
              <w:rPr>
                <w:spacing w:val="5"/>
              </w:rPr>
              <w:t>宽幅</w:t>
            </w:r>
            <w:r>
              <w:rPr>
                <w:spacing w:val="-25"/>
              </w:rPr>
              <w:t xml:space="preserve"> </w:t>
            </w:r>
            <w:r>
              <w:rPr/>
              <w:t>PVC</w:t>
            </w:r>
            <w:r>
              <w:rPr>
                <w:spacing w:val="-30"/>
              </w:rPr>
              <w:t xml:space="preserve"> </w:t>
            </w:r>
            <w:r>
              <w:rPr>
                <w:spacing w:val="5"/>
              </w:rPr>
              <w:t>防水材料、</w:t>
            </w:r>
            <w:r>
              <w:rPr/>
              <w:t>PVC</w:t>
            </w:r>
            <w:r>
              <w:rPr>
                <w:spacing w:val="-36"/>
              </w:rPr>
              <w:t xml:space="preserve"> </w:t>
            </w:r>
            <w:r>
              <w:rPr>
                <w:spacing w:val="5"/>
              </w:rPr>
              <w:t>塑钢管材、</w:t>
            </w:r>
            <w:r>
              <w:rPr/>
              <w:t>ADC</w:t>
            </w:r>
            <w:r>
              <w:rPr>
                <w:spacing w:val="-39"/>
              </w:rPr>
              <w:t xml:space="preserve"> </w:t>
            </w:r>
            <w:r>
              <w:rPr>
                <w:spacing w:val="5"/>
              </w:rPr>
              <w:t>发泡剂等生产加工于一体的综合性产业园区，年生产盐化工下游各</w:t>
            </w:r>
            <w:r>
              <w:rPr>
                <w:spacing w:val="1"/>
              </w:rPr>
              <w:t>类产品50</w:t>
            </w:r>
            <w:r>
              <w:rPr>
                <w:spacing w:val="-31"/>
              </w:rPr>
              <w:t xml:space="preserve"> </w:t>
            </w:r>
            <w:r>
              <w:rPr>
                <w:spacing w:val="1"/>
              </w:rPr>
              <w:t>万吨，实现产值</w:t>
            </w:r>
            <w:r>
              <w:rPr>
                <w:spacing w:val="-41"/>
              </w:rPr>
              <w:t xml:space="preserve"> </w:t>
            </w:r>
            <w:r>
              <w:rPr>
                <w:spacing w:val="1"/>
              </w:rPr>
              <w:t>50</w:t>
            </w:r>
            <w:r>
              <w:rPr>
                <w:spacing w:val="-41"/>
              </w:rPr>
              <w:t xml:space="preserve"> </w:t>
            </w:r>
            <w:r>
              <w:rPr>
                <w:spacing w:val="1"/>
              </w:rPr>
              <w:t>亿元。</w:t>
            </w:r>
          </w:p>
          <w:p>
            <w:pPr>
              <w:pStyle w:val="TableText"/>
              <w:ind w:left="538"/>
              <w:spacing w:before="2" w:line="241" w:lineRule="exact"/>
              <w:outlineLvl w:val="0"/>
              <w:rPr/>
            </w:pPr>
            <w:r>
              <w:rPr>
                <w:spacing w:val="-1"/>
                <w:position w:val="1"/>
              </w:rPr>
              <w:t>3.王洼煤矿输煤走廊项目：建设银洞沟煤矿至王洼</w:t>
            </w:r>
            <w:r>
              <w:rPr>
                <w:spacing w:val="-2"/>
                <w:position w:val="1"/>
              </w:rPr>
              <w:t>煤矿输煤系统及洗煤厂二期扩建工程。</w:t>
            </w:r>
          </w:p>
          <w:p>
            <w:pPr>
              <w:pStyle w:val="TableText"/>
              <w:ind w:left="110" w:right="55" w:firstLine="422"/>
              <w:spacing w:before="160" w:line="327" w:lineRule="auto"/>
              <w:rPr/>
            </w:pPr>
            <w:r>
              <w:rPr>
                <w:b/>
                <w:bCs/>
              </w:rPr>
              <w:t>4.向华中输电固原电源点工程*：</w:t>
            </w:r>
            <w:r>
              <w:rPr/>
              <w:t>建设2</w:t>
            </w:r>
            <w:r>
              <w:rPr>
                <w:spacing w:val="-43"/>
              </w:rPr>
              <w:t xml:space="preserve"> </w:t>
            </w:r>
            <w:r>
              <w:rPr/>
              <w:t>×</w:t>
            </w:r>
            <w:r>
              <w:rPr>
                <w:spacing w:val="-70"/>
              </w:rPr>
              <w:t xml:space="preserve"> </w:t>
            </w:r>
            <w:r>
              <w:rPr/>
              <w:t>1000MW</w:t>
            </w:r>
            <w:r>
              <w:rPr>
                <w:spacing w:val="-34"/>
              </w:rPr>
              <w:t xml:space="preserve"> </w:t>
            </w:r>
            <w:r>
              <w:rPr/>
              <w:t>高效超超临界间接空冷燃煤发电机组，同步建设脱硫、</w:t>
            </w:r>
            <w:r>
              <w:rPr>
                <w:spacing w:val="1"/>
              </w:rPr>
              <w:t>脱硝设施及</w:t>
            </w:r>
            <w:r>
              <w:rPr>
                <w:spacing w:val="-25"/>
              </w:rPr>
              <w:t xml:space="preserve"> </w:t>
            </w:r>
            <w:r>
              <w:rPr>
                <w:spacing w:val="1"/>
              </w:rPr>
              <w:t>1</w:t>
            </w:r>
            <w:r>
              <w:rPr>
                <w:spacing w:val="-42"/>
              </w:rPr>
              <w:t xml:space="preserve"> </w:t>
            </w:r>
            <w:r>
              <w:rPr>
                <w:spacing w:val="1"/>
              </w:rPr>
              <w:t>×350</w:t>
            </w:r>
            <w:r>
              <w:rPr/>
              <w:t>MW</w:t>
            </w:r>
            <w:r>
              <w:rPr>
                <w:spacing w:val="-40"/>
              </w:rPr>
              <w:t xml:space="preserve"> </w:t>
            </w:r>
            <w:r>
              <w:rPr>
                <w:spacing w:val="1"/>
              </w:rPr>
              <w:t>超临界空冷燃煤热电联产机组，新建蒸气管</w:t>
            </w:r>
            <w:r>
              <w:rPr/>
              <w:t>网辐射</w:t>
            </w:r>
            <w:r>
              <w:rPr>
                <w:spacing w:val="-39"/>
              </w:rPr>
              <w:t xml:space="preserve"> </w:t>
            </w:r>
            <w:r>
              <w:rPr/>
              <w:t>30</w:t>
            </w:r>
            <w:r>
              <w:rPr>
                <w:spacing w:val="-44"/>
              </w:rPr>
              <w:t xml:space="preserve"> </w:t>
            </w:r>
            <w:r>
              <w:rPr/>
              <w:t>余公里。</w:t>
            </w:r>
          </w:p>
          <w:p>
            <w:pPr>
              <w:pStyle w:val="TableText"/>
              <w:ind w:left="112" w:right="43" w:firstLine="360"/>
              <w:spacing w:before="161" w:line="314" w:lineRule="auto"/>
              <w:rPr/>
            </w:pPr>
            <w:r>
              <w:rPr>
                <w:b/>
                <w:bCs/>
                <w:spacing w:val="-2"/>
              </w:rPr>
              <w:t>5.数字固原建设工程*：</w:t>
            </w:r>
            <w:r>
              <w:rPr>
                <w:spacing w:val="-2"/>
              </w:rPr>
              <w:t>突出整合资源，组建运维企业，构建“数字固原”六盘云“</w:t>
            </w:r>
            <w:r>
              <w:rPr>
                <w:spacing w:val="-62"/>
              </w:rPr>
              <w:t xml:space="preserve"> </w:t>
            </w:r>
            <w:r>
              <w:rPr>
                <w:spacing w:val="-2"/>
              </w:rPr>
              <w:t>四横两纵”分层架构，</w:t>
            </w:r>
            <w:r>
              <w:rPr>
                <w:spacing w:val="-3"/>
              </w:rPr>
              <w:t>整合盘活现有数字资产，消除数据壁垒，实现数据互通共享、智慧应用，发展信息产业，加快产业数字化进程。</w:t>
            </w:r>
          </w:p>
        </w:tc>
      </w:tr>
    </w:tbl>
    <w:p>
      <w:pPr>
        <w:spacing w:line="118" w:lineRule="exact"/>
        <w:rPr>
          <w:rFonts w:ascii="Arial"/>
          <w:sz w:val="10"/>
        </w:rPr>
      </w:pPr>
      <w:r/>
    </w:p>
    <w:p>
      <w:pPr>
        <w:spacing w:line="118" w:lineRule="exact"/>
        <w:sectPr>
          <w:headerReference w:type="default" r:id="rId191"/>
          <w:footerReference w:type="default" r:id="rId192"/>
          <w:pgSz w:w="11906" w:h="16839"/>
          <w:pgMar w:top="1793" w:right="1509" w:bottom="1570" w:left="1526" w:header="1428" w:footer="1172" w:gutter="0"/>
          <w:cols w:equalWidth="0" w:num="1">
            <w:col w:w="8870" w:space="0"/>
          </w:cols>
        </w:sectPr>
        <w:rPr>
          <w:rFonts w:ascii="Arial" w:hAnsi="Arial" w:eastAsia="Arial" w:cs="Arial"/>
          <w:sz w:val="10"/>
          <w:szCs w:val="10"/>
        </w:rPr>
      </w:pPr>
    </w:p>
    <w:p>
      <w:pPr>
        <w:ind w:left="433"/>
        <w:spacing w:before="42" w:line="211" w:lineRule="auto"/>
        <w:rPr>
          <w:rFonts w:ascii="KaiTi" w:hAnsi="KaiTi" w:eastAsia="KaiTi" w:cs="KaiTi"/>
          <w:sz w:val="18"/>
          <w:szCs w:val="18"/>
        </w:rPr>
      </w:pPr>
      <w:r>
        <w:rPr>
          <w:rFonts w:ascii="Microsoft YaHei" w:hAnsi="Microsoft YaHei" w:eastAsia="Microsoft YaHei" w:cs="Microsoft YaHei"/>
          <w:sz w:val="18"/>
          <w:szCs w:val="18"/>
          <w:spacing w:val="-2"/>
        </w:rPr>
        <w:t>注</w:t>
      </w:r>
      <w:r>
        <w:rPr>
          <w:rFonts w:ascii="Microsoft YaHei" w:hAnsi="Microsoft YaHei" w:eastAsia="Microsoft YaHei" w:cs="Microsoft YaHei"/>
          <w:sz w:val="18"/>
          <w:szCs w:val="18"/>
          <w:spacing w:val="-20"/>
        </w:rPr>
        <w:t xml:space="preserve"> </w:t>
      </w:r>
      <w:r>
        <w:rPr>
          <w:rFonts w:ascii="Microsoft YaHei" w:hAnsi="Microsoft YaHei" w:eastAsia="Microsoft YaHei" w:cs="Microsoft YaHei"/>
          <w:sz w:val="18"/>
          <w:szCs w:val="18"/>
          <w:spacing w:val="-2"/>
        </w:rPr>
        <w:t>：</w:t>
      </w:r>
      <w:r>
        <w:rPr>
          <w:rFonts w:ascii="KaiTi" w:hAnsi="KaiTi" w:eastAsia="KaiTi" w:cs="KaiTi"/>
          <w:sz w:val="18"/>
          <w:szCs w:val="18"/>
          <w:spacing w:val="-2"/>
        </w:rPr>
        <w:t>项目名称右上角标“*”的为产业十大工程。</w:t>
      </w:r>
    </w:p>
    <w:p>
      <w:pPr>
        <w:spacing w:line="445" w:lineRule="auto"/>
        <w:rPr>
          <w:rFonts w:ascii="Arial"/>
          <w:sz w:val="21"/>
        </w:rPr>
      </w:pPr>
      <w:r/>
    </w:p>
    <w:p>
      <w:pPr>
        <w:pStyle w:val="BodyText"/>
        <w:ind w:left="775"/>
        <w:spacing w:before="65" w:line="220" w:lineRule="auto"/>
        <w:outlineLvl w:val="0"/>
        <w:rPr/>
      </w:pPr>
      <w:r>
        <w:rPr>
          <w:b/>
          <w:bCs/>
          <w:spacing w:val="7"/>
        </w:rPr>
        <w:t>第三节</w:t>
      </w:r>
      <w:r>
        <w:rPr>
          <w:spacing w:val="7"/>
        </w:rPr>
        <w:t xml:space="preserve">  </w:t>
      </w:r>
      <w:r>
        <w:rPr>
          <w:b/>
          <w:bCs/>
          <w:spacing w:val="7"/>
        </w:rPr>
        <w:t>优化提升现代服务业</w:t>
      </w:r>
    </w:p>
    <w:p>
      <w:pPr>
        <w:spacing w:line="244" w:lineRule="auto"/>
        <w:rPr>
          <w:rFonts w:ascii="Arial"/>
          <w:sz w:val="21"/>
        </w:rPr>
      </w:pPr>
      <w:r/>
    </w:p>
    <w:p>
      <w:pPr>
        <w:spacing w:line="244" w:lineRule="auto"/>
        <w:rPr>
          <w:rFonts w:ascii="Arial"/>
          <w:sz w:val="21"/>
        </w:rPr>
      </w:pPr>
      <w:r/>
    </w:p>
    <w:p>
      <w:pPr>
        <w:pStyle w:val="BodyText"/>
        <w:ind w:left="70" w:right="329" w:firstLine="424"/>
        <w:spacing w:before="65" w:line="298" w:lineRule="auto"/>
        <w:outlineLvl w:val="0"/>
        <w:rPr/>
      </w:pPr>
      <w:r>
        <w:rPr>
          <w:spacing w:val="6"/>
        </w:rPr>
        <w:t>聚焦做规模、提层次、强品质，紧跟消费</w:t>
      </w:r>
      <w:r>
        <w:rPr>
          <w:spacing w:val="7"/>
        </w:rPr>
        <w:t>升级趋势，紧贴生产需要，积极培育发展新业</w:t>
      </w:r>
    </w:p>
    <w:p>
      <w:pPr>
        <w:pStyle w:val="BodyText"/>
        <w:ind w:left="68" w:right="329"/>
        <w:spacing w:before="161" w:line="368" w:lineRule="auto"/>
        <w:jc w:val="both"/>
        <w:rPr/>
      </w:pPr>
      <w:r>
        <w:rPr>
          <w:spacing w:val="7"/>
        </w:rPr>
        <w:t>态新模式，推动生活性服务业和生产性服务业</w:t>
      </w:r>
      <w:r>
        <w:rPr>
          <w:spacing w:val="7"/>
        </w:rPr>
        <w:t>提档升级，构建优质高效、充满活力、竞争力</w:t>
      </w:r>
      <w:r>
        <w:rPr>
          <w:spacing w:val="8"/>
        </w:rPr>
        <w:t>强的现代服务业体系。</w:t>
      </w:r>
    </w:p>
    <w:p>
      <w:pPr>
        <w:pStyle w:val="BodyText"/>
        <w:ind w:left="68" w:right="329" w:firstLine="420"/>
        <w:spacing w:before="3" w:line="294" w:lineRule="auto"/>
        <w:outlineLvl w:val="0"/>
        <w:rPr/>
      </w:pPr>
      <w:r>
        <w:rPr>
          <w:spacing w:val="6"/>
        </w:rPr>
        <w:t>推动生产性服务业高端化发展。以产业升</w:t>
      </w:r>
      <w:r>
        <w:rPr>
          <w:spacing w:val="7"/>
        </w:rPr>
        <w:t>级为需求，促进生产性服务向专业化和价值链</w:t>
      </w:r>
    </w:p>
    <w:p>
      <w:pPr>
        <w:pStyle w:val="BodyText"/>
        <w:ind w:left="65" w:right="306" w:firstLine="5"/>
        <w:spacing w:before="157" w:line="351" w:lineRule="auto"/>
        <w:jc w:val="both"/>
        <w:rPr/>
      </w:pPr>
      <w:r>
        <w:rPr>
          <w:spacing w:val="7"/>
        </w:rPr>
        <w:t>高端延伸，提升产业整体素质和竞争力。依托</w:t>
      </w:r>
      <w:r>
        <w:rPr>
          <w:spacing w:val="18"/>
        </w:rPr>
        <w:t>自治区批复建立的西南新区商贸服务业集聚</w:t>
      </w:r>
      <w:r>
        <w:rPr>
          <w:spacing w:val="7"/>
        </w:rPr>
        <w:t>区、泾河源旅游服务业集聚区等，建设一批生</w:t>
      </w:r>
      <w:r>
        <w:rPr>
          <w:spacing w:val="7"/>
        </w:rPr>
        <w:t>产性服务业公共服务平台，支持发展面向重点</w:t>
      </w:r>
      <w:r>
        <w:rPr>
          <w:spacing w:val="8"/>
        </w:rPr>
        <w:t>工业企业和特色农业的研发设计、现代金融、</w:t>
      </w:r>
      <w:r>
        <w:rPr>
          <w:spacing w:val="7"/>
        </w:rPr>
        <w:t>科技咨询、流程诊断、技术测试、信息服务等</w:t>
      </w:r>
      <w:r>
        <w:rPr>
          <w:spacing w:val="7"/>
        </w:rPr>
        <w:t>专业化、社会化服务，鼓励生产性企业由提供</w:t>
      </w:r>
      <w:r>
        <w:rPr>
          <w:spacing w:val="7"/>
        </w:rPr>
        <w:t>产品向提供设计、承接项目、系统维护、管理</w:t>
      </w:r>
    </w:p>
    <w:p>
      <w:pPr>
        <w:spacing w:line="14" w:lineRule="auto"/>
        <w:rPr>
          <w:rFonts w:ascii="Arial"/>
          <w:sz w:val="2"/>
        </w:rPr>
      </w:pPr>
      <w:r>
        <w:rPr>
          <w:rFonts w:ascii="Arial" w:hAnsi="Arial" w:eastAsia="Arial" w:cs="Arial"/>
          <w:sz w:val="2"/>
          <w:szCs w:val="2"/>
        </w:rPr>
        <w:br w:type="column"/>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pStyle w:val="BodyText"/>
        <w:ind w:right="80" w:firstLine="2"/>
        <w:spacing w:before="65" w:line="369" w:lineRule="auto"/>
        <w:jc w:val="both"/>
        <w:rPr/>
      </w:pPr>
      <w:r>
        <w:rPr>
          <w:spacing w:val="7"/>
        </w:rPr>
        <w:t>运营、售后服务一体化发展转变，加快推动现</w:t>
      </w:r>
      <w:r>
        <w:rPr>
          <w:spacing w:val="7"/>
        </w:rPr>
        <w:t>代服务业同重点工业、特色农业深度融合。整</w:t>
      </w:r>
      <w:r>
        <w:rPr>
          <w:spacing w:val="7"/>
        </w:rPr>
        <w:t>合律师、公证、仲裁、司法等各类法律服务资</w:t>
      </w:r>
      <w:r>
        <w:rPr>
          <w:spacing w:val="7"/>
        </w:rPr>
        <w:t>源，加快建立覆盖全业务、全时空的法律服务</w:t>
      </w:r>
      <w:r>
        <w:rPr>
          <w:spacing w:val="7"/>
        </w:rPr>
        <w:t>网络。鼓励各类社会资本以多种形式提供商务</w:t>
      </w:r>
      <w:r>
        <w:rPr>
          <w:spacing w:val="7"/>
        </w:rPr>
        <w:t>服务，加快培育有竞争力的服务机构，鼓励发</w:t>
      </w:r>
      <w:r>
        <w:rPr>
          <w:spacing w:val="7"/>
        </w:rPr>
        <w:t>展综合与专业相互协调的商务服务。聚焦重点</w:t>
      </w:r>
      <w:r>
        <w:rPr>
          <w:spacing w:val="7"/>
        </w:rPr>
        <w:t>领域重点行业发展，加快发展外包、派遣、培</w:t>
      </w:r>
      <w:r>
        <w:rPr>
          <w:spacing w:val="9"/>
        </w:rPr>
        <w:t>训、招聘、咨询管理等人力资源服务。</w:t>
      </w:r>
    </w:p>
    <w:p>
      <w:pPr>
        <w:pStyle w:val="BodyText"/>
        <w:ind w:left="2" w:right="80" w:firstLine="421"/>
        <w:spacing w:before="2" w:line="298" w:lineRule="auto"/>
        <w:outlineLvl w:val="0"/>
        <w:rPr/>
      </w:pPr>
      <w:r>
        <w:rPr>
          <w:spacing w:val="6"/>
        </w:rPr>
        <w:t>推动生活性服务业品质化升级。以提升便</w:t>
      </w:r>
      <w:r>
        <w:rPr>
          <w:spacing w:val="7"/>
        </w:rPr>
        <w:t>利度和改善服务体验为导向，推动生活性服务</w:t>
      </w:r>
    </w:p>
    <w:p>
      <w:pPr>
        <w:pStyle w:val="BodyText"/>
        <w:spacing w:before="152" w:line="345" w:lineRule="auto"/>
        <w:jc w:val="both"/>
        <w:rPr/>
      </w:pPr>
      <w:r>
        <w:rPr>
          <w:spacing w:val="7"/>
        </w:rPr>
        <w:t>业向高品质和多样化升级，扩大覆盖全生命周</w:t>
      </w:r>
      <w:r>
        <w:rPr>
          <w:spacing w:val="7"/>
        </w:rPr>
        <w:t>期的各类服务供给。加大培育品牌企业、现代</w:t>
      </w:r>
      <w:r>
        <w:rPr>
          <w:spacing w:val="1"/>
        </w:rPr>
        <w:t>商圈、商业街区、中高端市场、大型物流实体，</w:t>
      </w:r>
      <w:r>
        <w:rPr>
          <w:spacing w:val="7"/>
        </w:rPr>
        <w:t>加快发展健身、教育、文化、旅游、体育等公</w:t>
      </w:r>
      <w:r>
        <w:rPr>
          <w:spacing w:val="1"/>
        </w:rPr>
        <w:t>益性、基础性服务业供给，积极发展电子商务、</w:t>
      </w:r>
      <w:r>
        <w:rPr>
          <w:spacing w:val="7"/>
        </w:rPr>
        <w:t>夜间经济、假日经济等新业态新模式。完善家</w:t>
      </w:r>
    </w:p>
    <w:p>
      <w:pPr>
        <w:spacing w:line="345" w:lineRule="auto"/>
        <w:sectPr>
          <w:type w:val="continuous"/>
          <w:pgSz w:w="11906" w:h="16839"/>
          <w:pgMar w:top="1793" w:right="1509" w:bottom="1570" w:left="1526" w:header="1428" w:footer="1172" w:gutter="0"/>
          <w:cols w:equalWidth="0" w:num="2">
            <w:col w:w="4542" w:space="100"/>
            <w:col w:w="4228" w:space="0"/>
          </w:cols>
        </w:sectPr>
        <w:rPr/>
      </w:pPr>
    </w:p>
    <w:p>
      <w:pPr>
        <w:spacing w:before="51"/>
        <w:rPr/>
      </w:pPr>
      <w:r>
        <w:drawing>
          <wp:anchor distT="0" distB="0" distL="0" distR="0" simplePos="0" relativeHeight="251779072"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388" name="IM 388"/>
            <wp:cNvGraphicFramePr/>
            <a:graphic>
              <a:graphicData uri="http://schemas.openxmlformats.org/drawingml/2006/picture">
                <pic:pic>
                  <pic:nvPicPr>
                    <pic:cNvPr id="388" name="IM 388"/>
                    <pic:cNvPicPr/>
                  </pic:nvPicPr>
                  <pic:blipFill>
                    <a:blip r:embed="rId196"/>
                    <a:stretch>
                      <a:fillRect/>
                    </a:stretch>
                  </pic:blipFill>
                  <pic:spPr>
                    <a:xfrm rot="0">
                      <a:off x="0" y="0"/>
                      <a:ext cx="5579745" cy="7619"/>
                    </a:xfrm>
                    <a:prstGeom prst="rect">
                      <a:avLst/>
                    </a:prstGeom>
                  </pic:spPr>
                </pic:pic>
              </a:graphicData>
            </a:graphic>
          </wp:anchor>
        </w:drawing>
      </w:r>
      <w:r/>
    </w:p>
    <w:p>
      <w:pPr>
        <w:sectPr>
          <w:headerReference w:type="default" r:id="rId194"/>
          <w:footerReference w:type="default" r:id="rId195"/>
          <w:pgSz w:w="11906" w:h="16839"/>
          <w:pgMar w:top="1793" w:right="1382" w:bottom="1673" w:left="1565" w:header="1428" w:footer="1277" w:gutter="0"/>
          <w:cols w:equalWidth="0" w:num="1">
            <w:col w:w="8959" w:space="0"/>
          </w:cols>
        </w:sectPr>
        <w:rPr/>
      </w:pPr>
    </w:p>
    <w:p>
      <w:pPr>
        <w:pStyle w:val="BodyText"/>
        <w:ind w:left="24" w:right="309" w:firstLine="3"/>
        <w:spacing w:before="44" w:line="368" w:lineRule="auto"/>
        <w:rPr/>
      </w:pPr>
      <w:r>
        <w:rPr>
          <w:spacing w:val="7"/>
        </w:rPr>
        <w:t>政服务规范化、标准化和职业化建设，推动家</w:t>
      </w:r>
      <w:r>
        <w:rPr>
          <w:spacing w:val="8"/>
        </w:rPr>
        <w:t>政服务业与智慧社区、养老抚育等融合发展。</w:t>
      </w:r>
      <w:r>
        <w:rPr>
          <w:spacing w:val="7"/>
        </w:rPr>
        <w:t>创新医养结合的健康养老新模式，鼓励社会力</w:t>
      </w:r>
      <w:r>
        <w:rPr>
          <w:spacing w:val="8"/>
        </w:rPr>
        <w:t>量兴办养老机构，实施生态康养城建设项目，</w:t>
      </w:r>
      <w:r>
        <w:rPr>
          <w:spacing w:val="7"/>
        </w:rPr>
        <w:t>推进养老服务和医疗卫生、生态旅游、休闲康</w:t>
      </w:r>
      <w:r>
        <w:rPr>
          <w:spacing w:val="7"/>
        </w:rPr>
        <w:t>养等融合发展。以园区、社区为重点，布局建</w:t>
      </w:r>
      <w:r>
        <w:rPr>
          <w:spacing w:val="7"/>
        </w:rPr>
        <w:t>设一批托育服务中心，加强婴幼儿照护专业化</w:t>
      </w:r>
      <w:r>
        <w:rPr>
          <w:spacing w:val="8"/>
        </w:rPr>
        <w:t>规范化建设，建立健全婴幼儿照护服务体系，</w:t>
      </w:r>
      <w:r>
        <w:rPr>
          <w:spacing w:val="5"/>
        </w:rPr>
        <w:t>每千人口拥有</w:t>
      </w:r>
      <w:r>
        <w:rPr>
          <w:spacing w:val="-34"/>
        </w:rPr>
        <w:t xml:space="preserve"> </w:t>
      </w:r>
      <w:r>
        <w:rPr>
          <w:spacing w:val="5"/>
        </w:rPr>
        <w:t>3</w:t>
      </w:r>
      <w:r>
        <w:rPr>
          <w:spacing w:val="-41"/>
        </w:rPr>
        <w:t xml:space="preserve"> </w:t>
      </w:r>
      <w:r>
        <w:rPr>
          <w:spacing w:val="5"/>
        </w:rPr>
        <w:t>岁以下婴幼儿托位数</w:t>
      </w:r>
      <w:r>
        <w:rPr>
          <w:spacing w:val="-22"/>
        </w:rPr>
        <w:t xml:space="preserve"> </w:t>
      </w:r>
      <w:r>
        <w:rPr>
          <w:spacing w:val="5"/>
        </w:rPr>
        <w:t>1.5</w:t>
      </w:r>
      <w:r>
        <w:rPr>
          <w:spacing w:val="-43"/>
        </w:rPr>
        <w:t xml:space="preserve"> </w:t>
      </w:r>
      <w:r>
        <w:rPr>
          <w:spacing w:val="5"/>
        </w:rPr>
        <w:t>个。</w:t>
      </w:r>
      <w:r>
        <w:rPr>
          <w:spacing w:val="8"/>
        </w:rPr>
        <w:t>加强物业行业规范管理，提升物业服务水平。</w:t>
      </w:r>
      <w:r>
        <w:rPr>
          <w:spacing w:val="8"/>
        </w:rPr>
        <w:t>力争到</w:t>
      </w:r>
      <w:r>
        <w:rPr>
          <w:spacing w:val="-26"/>
        </w:rPr>
        <w:t xml:space="preserve"> </w:t>
      </w:r>
      <w:r>
        <w:rPr>
          <w:spacing w:val="8"/>
        </w:rPr>
        <w:t>2025</w:t>
      </w:r>
      <w:r>
        <w:rPr>
          <w:spacing w:val="-36"/>
        </w:rPr>
        <w:t xml:space="preserve"> </w:t>
      </w:r>
      <w:r>
        <w:rPr>
          <w:spacing w:val="8"/>
        </w:rPr>
        <w:t>年</w:t>
      </w:r>
      <w:r>
        <w:rPr>
          <w:spacing w:val="-59"/>
        </w:rPr>
        <w:t xml:space="preserve"> </w:t>
      </w:r>
      <w:r>
        <w:rPr>
          <w:spacing w:val="8"/>
        </w:rPr>
        <w:t>，建设服务宁南地区、辐射周</w:t>
      </w:r>
      <w:r>
        <w:rPr>
          <w:spacing w:val="7"/>
        </w:rPr>
        <w:t>边城市、面向全区的宁南及毗邻地区消费中心</w:t>
      </w:r>
      <w:r>
        <w:rPr>
          <w:spacing w:val="8"/>
        </w:rPr>
        <w:t>和服务中心。</w:t>
      </w:r>
    </w:p>
    <w:p>
      <w:pPr>
        <w:pStyle w:val="BodyText"/>
        <w:ind w:left="450"/>
        <w:spacing w:before="16" w:line="220" w:lineRule="auto"/>
        <w:rPr/>
      </w:pPr>
      <w:r>
        <w:rPr>
          <w:spacing w:val="6"/>
        </w:rPr>
        <w:t>推动现代物流产业发展壮大。围绕培育发</w:t>
      </w:r>
    </w:p>
    <w:p>
      <w:pPr>
        <w:pStyle w:val="BodyText"/>
        <w:ind w:left="27"/>
        <w:spacing w:before="158" w:line="223" w:lineRule="auto"/>
        <w:outlineLvl w:val="0"/>
        <w:rPr/>
      </w:pPr>
      <w:r>
        <w:rPr>
          <w:spacing w:val="7"/>
        </w:rPr>
        <w:t>展运输、仓储、配送、信息等于一体的现代物</w:t>
      </w:r>
    </w:p>
    <w:p>
      <w:pPr>
        <w:pStyle w:val="BodyText"/>
        <w:ind w:left="24" w:right="306" w:firstLine="8"/>
        <w:spacing w:before="157" w:line="369" w:lineRule="auto"/>
        <w:jc w:val="both"/>
        <w:rPr/>
      </w:pPr>
      <w:r>
        <w:rPr>
          <w:spacing w:val="7"/>
        </w:rPr>
        <w:t>流产业链，加快构建支撑工业、农业、消费及</w:t>
      </w:r>
      <w:r>
        <w:rPr>
          <w:spacing w:val="7"/>
        </w:rPr>
        <w:t>其他行业发展的流通体系。合理布局物流集散</w:t>
      </w:r>
      <w:r>
        <w:rPr>
          <w:spacing w:val="7"/>
        </w:rPr>
        <w:t>中心及节点，着眼提升现代物流服务能力和水</w:t>
      </w:r>
      <w:r>
        <w:rPr>
          <w:spacing w:val="7"/>
        </w:rPr>
        <w:t>平，加快建设以西兰银综合物流园为核心、四</w:t>
      </w:r>
      <w:r>
        <w:rPr>
          <w:spacing w:val="7"/>
        </w:rPr>
        <w:t>县物流中心为支撑、城乡物流配送为节点，辐</w:t>
      </w:r>
      <w:r>
        <w:rPr>
          <w:spacing w:val="7"/>
        </w:rPr>
        <w:t>射内外、层级合理、有机衔接的现代物流基础</w:t>
      </w:r>
      <w:r>
        <w:rPr>
          <w:spacing w:val="7"/>
        </w:rPr>
        <w:t>设施。筹建空港物流园区，积极打造“一带一</w:t>
      </w:r>
      <w:r>
        <w:rPr>
          <w:spacing w:val="7"/>
        </w:rPr>
        <w:t>路”重要节点，在西兰银物流园整合建设集收</w:t>
      </w:r>
      <w:r>
        <w:rPr>
          <w:spacing w:val="8"/>
        </w:rPr>
        <w:t>储、分拣、冷链运输、线上线下交易为一体、</w:t>
      </w:r>
      <w:r>
        <w:rPr>
          <w:spacing w:val="7"/>
        </w:rPr>
        <w:t>辐射县区的现代物流企业平台，推进物流企业</w:t>
      </w:r>
      <w:r>
        <w:rPr>
          <w:spacing w:val="7"/>
        </w:rPr>
        <w:t>信息化建设。谋划和招商引进培育一批具有实</w:t>
      </w:r>
      <w:r>
        <w:rPr>
          <w:spacing w:val="7"/>
        </w:rPr>
        <w:t>力的现代物流骨干企业落户固原，为市域经济</w:t>
      </w:r>
      <w:r>
        <w:rPr>
          <w:spacing w:val="4"/>
        </w:rPr>
        <w:t>社会发展提供强有力的现代物流支撑。到</w:t>
      </w:r>
      <w:r>
        <w:rPr>
          <w:spacing w:val="-38"/>
        </w:rPr>
        <w:t xml:space="preserve"> </w:t>
      </w:r>
      <w:r>
        <w:rPr>
          <w:spacing w:val="4"/>
        </w:rPr>
        <w:t>2025</w:t>
      </w:r>
      <w:r>
        <w:rPr>
          <w:spacing w:val="5"/>
        </w:rPr>
        <w:t>年，现代物流业总收入达到</w:t>
      </w:r>
      <w:r>
        <w:rPr>
          <w:spacing w:val="-12"/>
        </w:rPr>
        <w:t xml:space="preserve"> </w:t>
      </w:r>
      <w:r>
        <w:rPr>
          <w:spacing w:val="5"/>
        </w:rPr>
        <w:t>100</w:t>
      </w:r>
      <w:r>
        <w:rPr>
          <w:spacing w:val="-43"/>
        </w:rPr>
        <w:t xml:space="preserve"> </w:t>
      </w:r>
      <w:r>
        <w:rPr>
          <w:spacing w:val="5"/>
        </w:rPr>
        <w:t>亿元左右，把</w:t>
      </w:r>
      <w:r>
        <w:rPr>
          <w:spacing w:val="18"/>
        </w:rPr>
        <w:t>固原打造成西北地区重要物流节点和宁南区</w:t>
      </w:r>
      <w:r>
        <w:rPr>
          <w:spacing w:val="8"/>
        </w:rPr>
        <w:t>域物流综合枢纽中心。</w:t>
      </w:r>
    </w:p>
    <w:p>
      <w:pPr>
        <w:pStyle w:val="BodyText"/>
        <w:ind w:left="450"/>
        <w:spacing w:before="7" w:line="188" w:lineRule="auto"/>
        <w:outlineLvl w:val="0"/>
        <w:rPr/>
      </w:pPr>
      <w:r>
        <w:rPr>
          <w:spacing w:val="6"/>
        </w:rPr>
        <w:t>推动文化旅游产业融合发展。坚持生态为</w:t>
      </w:r>
    </w:p>
    <w:p>
      <w:pPr>
        <w:spacing w:line="14" w:lineRule="auto"/>
        <w:rPr>
          <w:rFonts w:ascii="Arial"/>
          <w:sz w:val="2"/>
        </w:rPr>
      </w:pPr>
      <w:r>
        <w:rPr>
          <w:rFonts w:ascii="Arial" w:hAnsi="Arial" w:eastAsia="Arial" w:cs="Arial"/>
          <w:sz w:val="2"/>
          <w:szCs w:val="2"/>
        </w:rPr>
        <w:br w:type="column"/>
      </w:r>
    </w:p>
    <w:p>
      <w:pPr>
        <w:pStyle w:val="BodyText"/>
        <w:ind w:right="95"/>
        <w:spacing w:before="49" w:line="368" w:lineRule="auto"/>
        <w:rPr/>
      </w:pPr>
      <w:r>
        <w:rPr>
          <w:spacing w:val="7"/>
        </w:rPr>
        <w:t>形、文化为魂，以文塑旅、以旅彰文，在挖潜</w:t>
      </w:r>
      <w:r>
        <w:rPr>
          <w:spacing w:val="7"/>
        </w:rPr>
        <w:t>转化、丰富产品、扩大合作、改善服务上下功</w:t>
      </w:r>
      <w:r>
        <w:rPr>
          <w:spacing w:val="7"/>
        </w:rPr>
        <w:t>夫，构建现代文化旅游产业体系，创建国家全</w:t>
      </w:r>
      <w:r>
        <w:rPr>
          <w:spacing w:val="7"/>
        </w:rPr>
        <w:t>域旅游示范市。实施国家全域旅游示范市创建</w:t>
      </w:r>
      <w:r>
        <w:rPr>
          <w:spacing w:val="7"/>
        </w:rPr>
        <w:t>工程，加大景区品质提升改造，加快六盘山红</w:t>
      </w:r>
      <w:r>
        <w:rPr>
          <w:spacing w:val="11"/>
        </w:rPr>
        <w:t>军长征</w:t>
      </w:r>
      <w:r>
        <w:rPr>
          <w:spacing w:val="-33"/>
        </w:rPr>
        <w:t xml:space="preserve"> </w:t>
      </w:r>
      <w:r>
        <w:rPr>
          <w:spacing w:val="11"/>
        </w:rPr>
        <w:t>5A</w:t>
      </w:r>
      <w:r>
        <w:rPr>
          <w:spacing w:val="-39"/>
        </w:rPr>
        <w:t xml:space="preserve"> </w:t>
      </w:r>
      <w:r>
        <w:rPr>
          <w:spacing w:val="11"/>
        </w:rPr>
        <w:t>级景区创建，改造提升六盘山森林</w:t>
      </w:r>
      <w:r>
        <w:rPr>
          <w:spacing w:val="7"/>
        </w:rPr>
        <w:t>公园、老龙潭、须弥山、火石寨、蒋台堡等知</w:t>
      </w:r>
      <w:r>
        <w:rPr>
          <w:spacing w:val="7"/>
        </w:rPr>
        <w:t>名景区景点，做精做优做强西吉龙王坝、隆德</w:t>
      </w:r>
      <w:r>
        <w:rPr>
          <w:spacing w:val="1"/>
        </w:rPr>
        <w:t>老巷子、泾源冶家村等“</w:t>
      </w:r>
      <w:r>
        <w:rPr>
          <w:spacing w:val="-63"/>
        </w:rPr>
        <w:t xml:space="preserve"> </w:t>
      </w:r>
      <w:r>
        <w:rPr>
          <w:spacing w:val="1"/>
        </w:rPr>
        <w:t>中国最美休闲乡村”，</w:t>
      </w:r>
      <w:r>
        <w:rPr>
          <w:spacing w:val="5"/>
        </w:rPr>
        <w:t>完善提升彭阳“</w:t>
      </w:r>
      <w:r>
        <w:rPr>
          <w:spacing w:val="-54"/>
        </w:rPr>
        <w:t xml:space="preserve"> </w:t>
      </w:r>
      <w:r>
        <w:rPr>
          <w:spacing w:val="5"/>
        </w:rPr>
        <w:t>中国最美旱作梯田”，万亩花</w:t>
      </w:r>
      <w:r>
        <w:rPr>
          <w:spacing w:val="7"/>
        </w:rPr>
        <w:t>卉等观光农业旅游。积极开发休闲避暑康养新</w:t>
      </w:r>
      <w:r>
        <w:rPr>
          <w:spacing w:val="7"/>
        </w:rPr>
        <w:t>业态，做足生态和清凉文章，打造丝路文化和</w:t>
      </w:r>
      <w:r>
        <w:rPr>
          <w:spacing w:val="10"/>
        </w:rPr>
        <w:t>古城文化、生态观光与运动休闲、红色旅游、</w:t>
      </w:r>
      <w:r>
        <w:rPr>
          <w:spacing w:val="7"/>
        </w:rPr>
        <w:t>黄土高原乡村旅游四条精品线路。不断畅通旅</w:t>
      </w:r>
      <w:r>
        <w:rPr>
          <w:spacing w:val="7"/>
        </w:rPr>
        <w:t>游交通网络，改造提升旅游交通干线和景区连</w:t>
      </w:r>
      <w:r>
        <w:rPr>
          <w:spacing w:val="7"/>
        </w:rPr>
        <w:t>接线，形成“三纵三横”对外旅游主通道，构</w:t>
      </w:r>
      <w:r>
        <w:rPr>
          <w:spacing w:val="7"/>
        </w:rPr>
        <w:t>建“</w:t>
      </w:r>
      <w:r>
        <w:rPr>
          <w:spacing w:val="-55"/>
        </w:rPr>
        <w:t xml:space="preserve"> </w:t>
      </w:r>
      <w:r>
        <w:rPr>
          <w:spacing w:val="7"/>
        </w:rPr>
        <w:t>内外联通、成环成网”的旅游交通网络。</w:t>
      </w:r>
    </w:p>
    <w:p>
      <w:pPr>
        <w:pStyle w:val="BodyText"/>
        <w:ind w:firstLine="3"/>
        <w:spacing w:before="17" w:line="357" w:lineRule="auto"/>
        <w:rPr/>
      </w:pPr>
      <w:r>
        <w:rPr>
          <w:spacing w:val="7"/>
        </w:rPr>
        <w:t>持续壮大旅游市场主体，积极吸引知名文化旅</w:t>
      </w:r>
      <w:r>
        <w:rPr>
          <w:spacing w:val="15"/>
        </w:rPr>
        <w:t>游企业投资兴业</w:t>
      </w:r>
      <w:r>
        <w:rPr>
          <w:spacing w:val="-39"/>
        </w:rPr>
        <w:t xml:space="preserve"> </w:t>
      </w:r>
      <w:r>
        <w:rPr>
          <w:spacing w:val="15"/>
        </w:rPr>
        <w:t>，培育发展本地文化旅游企</w:t>
      </w:r>
      <w:r>
        <w:rPr/>
        <w:t xml:space="preserve"> </w:t>
      </w:r>
      <w:r>
        <w:rPr>
          <w:spacing w:val="7"/>
        </w:rPr>
        <w:t>业，支持个体私营发展旅游经济，推动全民参</w:t>
      </w:r>
      <w:r>
        <w:rPr>
          <w:spacing w:val="2"/>
        </w:rPr>
        <w:t xml:space="preserve"> </w:t>
      </w:r>
      <w:r>
        <w:rPr>
          <w:spacing w:val="11"/>
        </w:rPr>
        <w:t>与旅游发展，打响“天高云淡六盘山”品牌，</w:t>
      </w:r>
      <w:r>
        <w:rPr>
          <w:spacing w:val="18"/>
        </w:rPr>
        <w:t>努力把固原打造成西部重要的生态休闲旅游</w:t>
      </w:r>
      <w:r>
        <w:rPr>
          <w:spacing w:val="1"/>
        </w:rPr>
        <w:t xml:space="preserve"> </w:t>
      </w:r>
      <w:r>
        <w:rPr>
          <w:spacing w:val="7"/>
        </w:rPr>
        <w:t>度假区和红色文化旅游目的地。实施“文化旅</w:t>
      </w:r>
      <w:r>
        <w:rPr>
          <w:spacing w:val="2"/>
        </w:rPr>
        <w:t xml:space="preserve"> </w:t>
      </w:r>
      <w:r>
        <w:rPr>
          <w:spacing w:val="7"/>
        </w:rPr>
        <w:t>游提质增效三年行动计划”，积极探索文化和</w:t>
      </w:r>
      <w:r>
        <w:rPr>
          <w:spacing w:val="2"/>
        </w:rPr>
        <w:t xml:space="preserve"> </w:t>
      </w:r>
      <w:r>
        <w:rPr>
          <w:spacing w:val="7"/>
        </w:rPr>
        <w:t>旅游融合发展路径，形成文旅产业升级的增长</w:t>
      </w:r>
      <w:r>
        <w:rPr>
          <w:spacing w:val="2"/>
        </w:rPr>
        <w:t xml:space="preserve"> </w:t>
      </w:r>
      <w:r>
        <w:rPr>
          <w:spacing w:val="12"/>
        </w:rPr>
        <w:t>点。促进“旅游+红色文化资源”发展，创新</w:t>
      </w:r>
      <w:r>
        <w:rPr>
          <w:spacing w:val="2"/>
        </w:rPr>
        <w:t xml:space="preserve"> </w:t>
      </w:r>
      <w:r>
        <w:rPr>
          <w:spacing w:val="7"/>
        </w:rPr>
        <w:t>培育一批红色小镇、红色乡村、红色旅游经典</w:t>
      </w:r>
      <w:r>
        <w:rPr>
          <w:spacing w:val="2"/>
        </w:rPr>
        <w:t xml:space="preserve"> </w:t>
      </w:r>
      <w:r>
        <w:rPr>
          <w:spacing w:val="14"/>
        </w:rPr>
        <w:t>景区等复合型旅游产品，建成以5A</w:t>
      </w:r>
      <w:r>
        <w:rPr>
          <w:spacing w:val="-34"/>
        </w:rPr>
        <w:t xml:space="preserve"> </w:t>
      </w:r>
      <w:r>
        <w:rPr>
          <w:spacing w:val="14"/>
        </w:rPr>
        <w:t>级景区为</w:t>
      </w:r>
      <w:r>
        <w:rPr/>
        <w:t xml:space="preserve"> </w:t>
      </w:r>
      <w:r>
        <w:rPr>
          <w:spacing w:val="7"/>
        </w:rPr>
        <w:t>核心的红色旅游目的地，打造“全国红色旅游</w:t>
      </w:r>
      <w:r>
        <w:rPr>
          <w:spacing w:val="2"/>
        </w:rPr>
        <w:t xml:space="preserve"> </w:t>
      </w:r>
      <w:r>
        <w:rPr>
          <w:spacing w:val="12"/>
        </w:rPr>
        <w:t>新高地”。促进“旅游+民俗与民间文化艺术”</w:t>
      </w:r>
      <w:r>
        <w:rPr>
          <w:spacing w:val="7"/>
        </w:rPr>
        <w:t>发展，深挖六盘山花儿、高台马社火、农民画</w:t>
      </w:r>
      <w:r>
        <w:rPr>
          <w:spacing w:val="2"/>
        </w:rPr>
        <w:t xml:space="preserve"> </w:t>
      </w:r>
      <w:r>
        <w:rPr>
          <w:spacing w:val="7"/>
        </w:rPr>
        <w:t>等非遗民俗文化底蕴，培育一批特色产业示范</w:t>
      </w:r>
    </w:p>
    <w:p>
      <w:pPr>
        <w:spacing w:line="357" w:lineRule="auto"/>
        <w:sectPr>
          <w:type w:val="continuous"/>
          <w:pgSz w:w="11906" w:h="16839"/>
          <w:pgMar w:top="1793" w:right="1382" w:bottom="1673" w:left="1565" w:header="1428" w:footer="1277" w:gutter="0"/>
          <w:cols w:equalWidth="0" w:num="2">
            <w:col w:w="4504" w:space="100"/>
            <w:col w:w="4356" w:space="0"/>
          </w:cols>
        </w:sectPr>
        <w:rPr/>
      </w:pPr>
    </w:p>
    <w:p>
      <w:pPr>
        <w:spacing w:before="42"/>
        <w:rPr/>
      </w:pPr>
      <w:r/>
    </w:p>
    <w:p>
      <w:pPr>
        <w:sectPr>
          <w:headerReference w:type="default" r:id="rId185"/>
          <w:footerReference w:type="default" r:id="rId197"/>
          <w:pgSz w:w="11906" w:h="16839"/>
          <w:pgMar w:top="1793" w:right="1526" w:bottom="1570" w:left="1526" w:header="1428" w:footer="1172" w:gutter="0"/>
          <w:cols w:equalWidth="0" w:num="1">
            <w:col w:w="8854" w:space="0"/>
          </w:cols>
        </w:sectPr>
        <w:rPr/>
      </w:pPr>
    </w:p>
    <w:p>
      <w:pPr>
        <w:pStyle w:val="BodyText"/>
        <w:ind w:left="65" w:right="265" w:firstLine="1"/>
        <w:spacing w:before="54" w:line="377" w:lineRule="auto"/>
        <w:jc w:val="both"/>
        <w:rPr/>
      </w:pPr>
      <w:r>
        <w:rPr>
          <w:spacing w:val="7"/>
        </w:rPr>
        <w:t>村、特色文化旅游村镇，开发打造民俗文化记</w:t>
      </w:r>
      <w:r>
        <w:rPr>
          <w:spacing w:val="5"/>
        </w:rPr>
        <w:t>忆旅游带。促进“旅游+休闲文化资源”发展，</w:t>
      </w:r>
      <w:r>
        <w:rPr>
          <w:spacing w:val="7"/>
        </w:rPr>
        <w:t>充分利用泾源娅豪滑雪场等资源，发展运动旅</w:t>
      </w:r>
      <w:r>
        <w:rPr>
          <w:spacing w:val="7"/>
        </w:rPr>
        <w:t>游项目，打造休闲生活系列旅游产品，丰富休</w:t>
      </w:r>
    </w:p>
    <w:p>
      <w:pPr>
        <w:spacing w:line="14" w:lineRule="auto"/>
        <w:rPr>
          <w:rFonts w:ascii="Arial"/>
          <w:sz w:val="2"/>
        </w:rPr>
      </w:pPr>
      <w:r>
        <w:rPr>
          <w:rFonts w:ascii="Arial" w:hAnsi="Arial" w:eastAsia="Arial" w:cs="Arial"/>
          <w:sz w:val="2"/>
          <w:szCs w:val="2"/>
        </w:rPr>
        <w:br w:type="column"/>
      </w:r>
    </w:p>
    <w:p>
      <w:pPr>
        <w:pStyle w:val="BodyText"/>
        <w:ind w:right="64" w:firstLine="17"/>
        <w:spacing w:before="47" w:line="363" w:lineRule="auto"/>
        <w:jc w:val="both"/>
        <w:rPr/>
      </w:pPr>
      <w:r>
        <w:rPr>
          <w:spacing w:val="7"/>
        </w:rPr>
        <w:t>闲旅游业态。到</w:t>
      </w:r>
      <w:r>
        <w:rPr>
          <w:spacing w:val="-29"/>
        </w:rPr>
        <w:t xml:space="preserve"> </w:t>
      </w:r>
      <w:r>
        <w:rPr>
          <w:spacing w:val="7"/>
        </w:rPr>
        <w:t>2025</w:t>
      </w:r>
      <w:r>
        <w:rPr>
          <w:spacing w:val="-34"/>
        </w:rPr>
        <w:t xml:space="preserve"> </w:t>
      </w:r>
      <w:r>
        <w:rPr>
          <w:spacing w:val="7"/>
        </w:rPr>
        <w:t>年</w:t>
      </w:r>
      <w:r>
        <w:rPr>
          <w:spacing w:val="-59"/>
        </w:rPr>
        <w:t xml:space="preserve"> </w:t>
      </w:r>
      <w:r>
        <w:rPr>
          <w:spacing w:val="7"/>
        </w:rPr>
        <w:t>，接待国内外游客达</w:t>
      </w:r>
      <w:r>
        <w:rPr>
          <w:spacing w:val="7"/>
        </w:rPr>
        <w:t>到</w:t>
      </w:r>
      <w:r>
        <w:rPr>
          <w:spacing w:val="-1"/>
        </w:rPr>
        <w:t xml:space="preserve"> </w:t>
      </w:r>
      <w:r>
        <w:rPr>
          <w:spacing w:val="7"/>
        </w:rPr>
        <w:t>1300</w:t>
      </w:r>
      <w:r>
        <w:rPr>
          <w:spacing w:val="-31"/>
        </w:rPr>
        <w:t xml:space="preserve"> </w:t>
      </w:r>
      <w:r>
        <w:rPr>
          <w:spacing w:val="7"/>
        </w:rPr>
        <w:t>万人次</w:t>
      </w:r>
      <w:r>
        <w:rPr>
          <w:spacing w:val="-52"/>
        </w:rPr>
        <w:t xml:space="preserve"> </w:t>
      </w:r>
      <w:r>
        <w:rPr>
          <w:spacing w:val="7"/>
        </w:rPr>
        <w:t>，旅游收入达到</w:t>
      </w:r>
      <w:r>
        <w:rPr>
          <w:spacing w:val="-32"/>
        </w:rPr>
        <w:t xml:space="preserve"> </w:t>
      </w:r>
      <w:r>
        <w:rPr>
          <w:spacing w:val="7"/>
        </w:rPr>
        <w:t>90</w:t>
      </w:r>
      <w:r>
        <w:rPr>
          <w:spacing w:val="-34"/>
        </w:rPr>
        <w:t xml:space="preserve"> </w:t>
      </w:r>
      <w:r>
        <w:rPr>
          <w:spacing w:val="7"/>
        </w:rPr>
        <w:t>亿元</w:t>
      </w:r>
      <w:r>
        <w:rPr>
          <w:spacing w:val="-54"/>
        </w:rPr>
        <w:t xml:space="preserve"> </w:t>
      </w:r>
      <w:r>
        <w:rPr>
          <w:spacing w:val="7"/>
        </w:rPr>
        <w:t>，文</w:t>
      </w:r>
      <w:r>
        <w:rPr>
          <w:spacing w:val="18"/>
        </w:rPr>
        <w:t>化旅游产业成为固原市经济社会发展的主导</w:t>
      </w:r>
      <w:r>
        <w:rPr>
          <w:spacing w:val="5"/>
        </w:rPr>
        <w:t>产业。</w:t>
      </w:r>
    </w:p>
    <w:p>
      <w:pPr>
        <w:spacing w:line="363" w:lineRule="auto"/>
        <w:sectPr>
          <w:type w:val="continuous"/>
          <w:pgSz w:w="11906" w:h="16839"/>
          <w:pgMar w:top="1793" w:right="1526" w:bottom="1570" w:left="1526" w:header="1428" w:footer="1172" w:gutter="0"/>
          <w:cols w:equalWidth="0" w:num="2">
            <w:col w:w="4545" w:space="100"/>
            <w:col w:w="4210" w:space="0"/>
          </w:cols>
        </w:sectPr>
        <w:rPr/>
      </w:pPr>
    </w:p>
    <w:p>
      <w:pPr>
        <w:ind w:left="2885"/>
        <w:spacing w:before="126" w:line="198" w:lineRule="auto"/>
        <w:rPr>
          <w:rFonts w:ascii="Microsoft YaHei" w:hAnsi="Microsoft YaHei" w:eastAsia="Microsoft YaHei" w:cs="Microsoft YaHei"/>
          <w:sz w:val="20"/>
          <w:szCs w:val="20"/>
        </w:rPr>
      </w:pPr>
      <w:r>
        <w:drawing>
          <wp:anchor distT="0" distB="0" distL="0" distR="0" simplePos="0" relativeHeight="251781120" behindDoc="0" locked="0" layoutInCell="1" allowOverlap="1">
            <wp:simplePos x="0" y="0"/>
            <wp:positionH relativeFrom="column">
              <wp:posOffset>39242</wp:posOffset>
            </wp:positionH>
            <wp:positionV relativeFrom="paragraph">
              <wp:posOffset>-1226671</wp:posOffset>
            </wp:positionV>
            <wp:extent cx="5579745" cy="7619"/>
            <wp:effectExtent l="0" t="0" r="0" b="0"/>
            <wp:wrapNone/>
            <wp:docPr id="392" name="IM 392"/>
            <wp:cNvGraphicFramePr/>
            <a:graphic>
              <a:graphicData uri="http://schemas.openxmlformats.org/drawingml/2006/picture">
                <pic:pic>
                  <pic:nvPicPr>
                    <pic:cNvPr id="392" name="IM 392"/>
                    <pic:cNvPicPr/>
                  </pic:nvPicPr>
                  <pic:blipFill>
                    <a:blip r:embed="rId198"/>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6"/>
        </w:rPr>
        <w:t>专栏 5</w:t>
      </w:r>
      <w:r>
        <w:rPr>
          <w:rFonts w:ascii="Microsoft YaHei" w:hAnsi="Microsoft YaHei" w:eastAsia="Microsoft YaHei" w:cs="Microsoft YaHei"/>
          <w:sz w:val="20"/>
          <w:szCs w:val="20"/>
          <w:spacing w:val="16"/>
        </w:rPr>
        <w:t xml:space="preserve">   </w:t>
      </w:r>
      <w:r>
        <w:rPr>
          <w:rFonts w:ascii="Microsoft YaHei" w:hAnsi="Microsoft YaHei" w:eastAsia="Microsoft YaHei" w:cs="Microsoft YaHei"/>
          <w:sz w:val="20"/>
          <w:szCs w:val="20"/>
          <w:spacing w:val="6"/>
        </w:rPr>
        <w:t>现代服务业重点项目工程</w:t>
      </w:r>
    </w:p>
    <w:tbl>
      <w:tblPr>
        <w:tblStyle w:val="TableNormal"/>
        <w:tblW w:w="8848" w:type="dxa"/>
        <w:tblInd w:w="2" w:type="dxa"/>
        <w:tblLayout w:type="fixed"/>
        <w:tblBorders>
          <w:left w:val="single" w:color="000000" w:sz="2" w:space="0"/>
          <w:bottom w:val="single" w:color="000000" w:sz="2" w:space="0"/>
          <w:right w:val="single" w:color="000000" w:sz="2" w:space="0"/>
          <w:top w:val="single" w:color="000000" w:sz="2" w:space="0"/>
        </w:tblBorders>
      </w:tblPr>
      <w:tblGrid>
        <w:gridCol w:w="8848"/>
      </w:tblGrid>
      <w:tr>
        <w:trPr>
          <w:trHeight w:val="4409" w:hRule="atLeast"/>
        </w:trPr>
        <w:tc>
          <w:tcPr>
            <w:tcW w:w="8848" w:type="dxa"/>
            <w:vAlign w:val="top"/>
          </w:tcPr>
          <w:p>
            <w:pPr>
              <w:pStyle w:val="TableText"/>
              <w:ind w:left="108" w:right="102" w:firstLine="441"/>
              <w:spacing w:before="171" w:line="313" w:lineRule="auto"/>
              <w:rPr/>
            </w:pPr>
            <w:r>
              <w:rPr>
                <w:b/>
                <w:bCs/>
                <w:spacing w:val="-3"/>
              </w:rPr>
              <w:t>1.空港物流园：</w:t>
            </w:r>
            <w:r>
              <w:rPr>
                <w:spacing w:val="-3"/>
              </w:rPr>
              <w:t>规划面积</w:t>
            </w:r>
            <w:r>
              <w:rPr>
                <w:spacing w:val="-24"/>
              </w:rPr>
              <w:t xml:space="preserve"> </w:t>
            </w:r>
            <w:r>
              <w:rPr>
                <w:spacing w:val="-3"/>
              </w:rPr>
              <w:t>2000</w:t>
            </w:r>
            <w:r>
              <w:rPr>
                <w:spacing w:val="-35"/>
              </w:rPr>
              <w:t xml:space="preserve"> </w:t>
            </w:r>
            <w:r>
              <w:rPr>
                <w:spacing w:val="-3"/>
              </w:rPr>
              <w:t>亩，建设现代保税物流中心和信息化工程，到</w:t>
            </w:r>
            <w:r>
              <w:rPr>
                <w:spacing w:val="-40"/>
              </w:rPr>
              <w:t xml:space="preserve"> </w:t>
            </w:r>
            <w:r>
              <w:rPr>
                <w:spacing w:val="-3"/>
              </w:rPr>
              <w:t>2025</w:t>
            </w:r>
            <w:r>
              <w:rPr>
                <w:spacing w:val="-37"/>
              </w:rPr>
              <w:t xml:space="preserve"> </w:t>
            </w:r>
            <w:r>
              <w:rPr>
                <w:spacing w:val="-3"/>
              </w:rPr>
              <w:t>年，实现企业信息化建</w:t>
            </w:r>
            <w:r>
              <w:rPr>
                <w:spacing w:val="-1"/>
              </w:rPr>
              <w:t>设全覆盖，物流信息全程可控。</w:t>
            </w:r>
          </w:p>
          <w:p>
            <w:pPr>
              <w:pStyle w:val="TableText"/>
              <w:ind w:left="112" w:right="97" w:firstLine="422"/>
              <w:spacing w:before="188" w:line="345" w:lineRule="auto"/>
              <w:rPr/>
            </w:pPr>
            <w:r>
              <w:rPr>
                <w:b/>
                <w:bCs/>
                <w:spacing w:val="-2"/>
              </w:rPr>
              <w:t>2.固原市现代服务业集聚区培育工程：</w:t>
            </w:r>
            <w:r>
              <w:rPr>
                <w:spacing w:val="-2"/>
              </w:rPr>
              <w:t>围绕提升核心竞争力和市场主体集聚能力</w:t>
            </w:r>
            <w:r>
              <w:rPr>
                <w:spacing w:val="-3"/>
              </w:rPr>
              <w:t>，重点在信息服务、科技</w:t>
            </w:r>
            <w:r>
              <w:rPr/>
              <w:t>服务、现代物流、文化旅游、健康产业等领域，培</w:t>
            </w:r>
            <w:r>
              <w:rPr>
                <w:spacing w:val="-1"/>
              </w:rPr>
              <w:t>育建设</w:t>
            </w:r>
            <w:r>
              <w:rPr>
                <w:spacing w:val="-41"/>
              </w:rPr>
              <w:t xml:space="preserve"> </w:t>
            </w:r>
            <w:r>
              <w:rPr>
                <w:spacing w:val="-1"/>
              </w:rPr>
              <w:t>6-8</w:t>
            </w:r>
            <w:r>
              <w:rPr>
                <w:spacing w:val="-40"/>
              </w:rPr>
              <w:t xml:space="preserve"> </w:t>
            </w:r>
            <w:r>
              <w:rPr>
                <w:spacing w:val="-1"/>
              </w:rPr>
              <w:t>个现代服务业功能区和集聚区，形成示范引领和</w:t>
            </w:r>
            <w:r>
              <w:rPr>
                <w:spacing w:val="-1"/>
              </w:rPr>
              <w:t>辐射带动作用。</w:t>
            </w:r>
          </w:p>
          <w:p>
            <w:pPr>
              <w:pStyle w:val="TableText"/>
              <w:ind w:left="114" w:right="99" w:firstLine="423"/>
              <w:spacing w:before="189" w:line="329" w:lineRule="auto"/>
              <w:rPr/>
            </w:pPr>
            <w:r>
              <w:rPr>
                <w:b/>
                <w:bCs/>
              </w:rPr>
              <w:t>3.国家全域旅游示范市创建工程*：</w:t>
            </w:r>
            <w:r>
              <w:rPr/>
              <w:t>整合全市旅游资源，以建</w:t>
            </w:r>
            <w:r>
              <w:rPr>
                <w:spacing w:val="-1"/>
              </w:rPr>
              <w:t>设国家长征、长城文化公园为重点，六盘山</w:t>
            </w:r>
            <w:r>
              <w:rPr/>
              <w:t>红军长征景区创成</w:t>
            </w:r>
            <w:r>
              <w:rPr>
                <w:spacing w:val="-29"/>
              </w:rPr>
              <w:t xml:space="preserve"> </w:t>
            </w:r>
            <w:r>
              <w:rPr/>
              <w:t>5A</w:t>
            </w:r>
            <w:r>
              <w:rPr>
                <w:spacing w:val="-41"/>
              </w:rPr>
              <w:t xml:space="preserve"> </w:t>
            </w:r>
            <w:r>
              <w:rPr/>
              <w:t>级景区，泾源县创成全域旅游示范县。</w:t>
            </w:r>
          </w:p>
          <w:p>
            <w:pPr>
              <w:pStyle w:val="TableText"/>
              <w:ind w:left="117" w:right="97" w:firstLine="345"/>
              <w:spacing w:before="159" w:line="314" w:lineRule="auto"/>
              <w:rPr/>
            </w:pPr>
            <w:r>
              <w:rPr>
                <w:b/>
                <w:bCs/>
              </w:rPr>
              <w:t>4.乡村旅游质量提升项目：</w:t>
            </w:r>
            <w:r>
              <w:rPr/>
              <w:t>围绕成熟景区和成熟线路重</w:t>
            </w:r>
            <w:r>
              <w:rPr>
                <w:spacing w:val="-1"/>
              </w:rPr>
              <w:t>点打造已入选全国重点旅游村名录的11个村，鼓励</w:t>
            </w:r>
            <w:r>
              <w:rPr>
                <w:spacing w:val="-1"/>
              </w:rPr>
              <w:t>引导农户发展观光农业、休闲度假、民俗体验等乡村旅游。</w:t>
            </w:r>
          </w:p>
          <w:p>
            <w:pPr>
              <w:pStyle w:val="TableText"/>
              <w:ind w:left="113" w:right="81" w:firstLine="422"/>
              <w:spacing w:before="188" w:line="313" w:lineRule="auto"/>
              <w:rPr/>
            </w:pPr>
            <w:r>
              <w:rPr>
                <w:b/>
                <w:bCs/>
                <w:spacing w:val="-2"/>
              </w:rPr>
              <w:t>5.固原市旅游集散中心建设工程：</w:t>
            </w:r>
            <w:r>
              <w:rPr>
                <w:spacing w:val="-2"/>
              </w:rPr>
              <w:t>新建旅游综合服务中心、城市汽车站、固原市形象展列馆、星级酒店、</w:t>
            </w:r>
            <w:r>
              <w:rPr/>
              <w:t>特色餐厅等，提供信息咨询、导游服务、交通换乘、商</w:t>
            </w:r>
            <w:r>
              <w:rPr>
                <w:spacing w:val="-1"/>
              </w:rPr>
              <w:t>业服务等服务。</w:t>
            </w:r>
          </w:p>
        </w:tc>
      </w:tr>
    </w:tbl>
    <w:p>
      <w:pPr>
        <w:spacing w:line="117" w:lineRule="exact"/>
        <w:rPr>
          <w:rFonts w:ascii="Arial"/>
          <w:sz w:val="10"/>
        </w:rPr>
      </w:pPr>
      <w:r/>
    </w:p>
    <w:p>
      <w:pPr>
        <w:spacing w:line="117" w:lineRule="exact"/>
        <w:sectPr>
          <w:type w:val="continuous"/>
          <w:pgSz w:w="11906" w:h="16839"/>
          <w:pgMar w:top="1793" w:right="1526" w:bottom="1570" w:left="1526" w:header="1428" w:footer="1172" w:gutter="0"/>
          <w:cols w:equalWidth="0" w:num="1">
            <w:col w:w="8854" w:space="0"/>
          </w:cols>
        </w:sectPr>
        <w:rPr>
          <w:rFonts w:ascii="Arial" w:hAnsi="Arial" w:eastAsia="Arial" w:cs="Arial"/>
          <w:sz w:val="10"/>
          <w:szCs w:val="10"/>
        </w:rPr>
      </w:pPr>
    </w:p>
    <w:p>
      <w:pPr>
        <w:ind w:left="433"/>
        <w:spacing w:before="42" w:line="211" w:lineRule="auto"/>
        <w:outlineLvl w:val="0"/>
        <w:rPr>
          <w:rFonts w:ascii="KaiTi" w:hAnsi="KaiTi" w:eastAsia="KaiTi" w:cs="KaiTi"/>
          <w:sz w:val="18"/>
          <w:szCs w:val="18"/>
        </w:rPr>
      </w:pPr>
      <w:r>
        <w:rPr>
          <w:rFonts w:ascii="Microsoft YaHei" w:hAnsi="Microsoft YaHei" w:eastAsia="Microsoft YaHei" w:cs="Microsoft YaHei"/>
          <w:sz w:val="18"/>
          <w:szCs w:val="18"/>
          <w:spacing w:val="-2"/>
        </w:rPr>
        <w:t>注</w:t>
      </w:r>
      <w:r>
        <w:rPr>
          <w:rFonts w:ascii="Microsoft YaHei" w:hAnsi="Microsoft YaHei" w:eastAsia="Microsoft YaHei" w:cs="Microsoft YaHei"/>
          <w:sz w:val="18"/>
          <w:szCs w:val="18"/>
          <w:spacing w:val="-20"/>
        </w:rPr>
        <w:t xml:space="preserve"> </w:t>
      </w:r>
      <w:r>
        <w:rPr>
          <w:rFonts w:ascii="Microsoft YaHei" w:hAnsi="Microsoft YaHei" w:eastAsia="Microsoft YaHei" w:cs="Microsoft YaHei"/>
          <w:sz w:val="18"/>
          <w:szCs w:val="18"/>
          <w:spacing w:val="-2"/>
        </w:rPr>
        <w:t>：</w:t>
      </w:r>
      <w:r>
        <w:rPr>
          <w:rFonts w:ascii="KaiTi" w:hAnsi="KaiTi" w:eastAsia="KaiTi" w:cs="KaiTi"/>
          <w:sz w:val="18"/>
          <w:szCs w:val="18"/>
          <w:spacing w:val="-2"/>
        </w:rPr>
        <w:t>项目名称右上角标“*”的为产业十大工程。</w:t>
      </w:r>
    </w:p>
    <w:p>
      <w:pPr>
        <w:spacing w:line="445" w:lineRule="auto"/>
        <w:rPr>
          <w:rFonts w:ascii="Arial"/>
          <w:sz w:val="21"/>
        </w:rPr>
      </w:pPr>
      <w:r/>
    </w:p>
    <w:p>
      <w:pPr>
        <w:pStyle w:val="BodyText"/>
        <w:ind w:left="881"/>
        <w:spacing w:before="65" w:line="220" w:lineRule="auto"/>
        <w:outlineLvl w:val="0"/>
        <w:rPr/>
      </w:pPr>
      <w:r>
        <w:rPr>
          <w:b/>
          <w:bCs/>
          <w:spacing w:val="7"/>
        </w:rPr>
        <w:t>第四节</w:t>
      </w:r>
      <w:r>
        <w:rPr>
          <w:spacing w:val="7"/>
        </w:rPr>
        <w:t xml:space="preserve">  </w:t>
      </w:r>
      <w:r>
        <w:rPr>
          <w:b/>
          <w:bCs/>
          <w:spacing w:val="7"/>
        </w:rPr>
        <w:t>改造升级产业园区</w:t>
      </w:r>
    </w:p>
    <w:p>
      <w:pPr>
        <w:spacing w:line="246" w:lineRule="auto"/>
        <w:rPr>
          <w:rFonts w:ascii="Arial"/>
          <w:sz w:val="21"/>
        </w:rPr>
      </w:pPr>
      <w:r/>
    </w:p>
    <w:p>
      <w:pPr>
        <w:spacing w:line="247" w:lineRule="auto"/>
        <w:rPr>
          <w:rFonts w:ascii="Arial"/>
          <w:sz w:val="21"/>
        </w:rPr>
      </w:pPr>
      <w:r/>
    </w:p>
    <w:p>
      <w:pPr>
        <w:pStyle w:val="BodyText"/>
        <w:ind w:left="70" w:right="327" w:firstLine="416"/>
        <w:spacing w:before="65" w:line="296" w:lineRule="auto"/>
        <w:outlineLvl w:val="0"/>
        <w:rPr/>
      </w:pPr>
      <w:r>
        <w:rPr>
          <w:spacing w:val="6"/>
        </w:rPr>
        <w:t>立足资源禀赋、产业基础和发展潜力，按</w:t>
      </w:r>
      <w:r>
        <w:rPr>
          <w:spacing w:val="7"/>
        </w:rPr>
        <w:t>照错位发展、扬长补短理念，推动园区产业发</w:t>
      </w:r>
    </w:p>
    <w:p>
      <w:pPr>
        <w:pStyle w:val="BodyText"/>
        <w:ind w:left="64" w:right="247" w:firstLine="2"/>
        <w:spacing w:before="158" w:line="369" w:lineRule="auto"/>
        <w:jc w:val="both"/>
        <w:rPr/>
      </w:pPr>
      <w:r>
        <w:rPr>
          <w:spacing w:val="7"/>
        </w:rPr>
        <w:t>展规划实施，进一步支持完善园区功能，促进</w:t>
      </w:r>
      <w:r>
        <w:rPr>
          <w:spacing w:val="7"/>
        </w:rPr>
        <w:t>企业向园区集中、业态向园区集聚、要素向园</w:t>
      </w:r>
      <w:r>
        <w:rPr>
          <w:spacing w:val="1"/>
        </w:rPr>
        <w:t>区汇集，构建市县一体、布局合理、特色明显、</w:t>
      </w:r>
      <w:r>
        <w:rPr>
          <w:spacing w:val="15"/>
        </w:rPr>
        <w:t>优势集中的产业发展集群</w:t>
      </w:r>
      <w:r>
        <w:rPr>
          <w:spacing w:val="-39"/>
        </w:rPr>
        <w:t xml:space="preserve"> </w:t>
      </w:r>
      <w:r>
        <w:rPr>
          <w:spacing w:val="15"/>
        </w:rPr>
        <w:t>，推进园区做大规</w:t>
      </w:r>
      <w:r>
        <w:rPr>
          <w:spacing w:val="9"/>
        </w:rPr>
        <w:t>模、提高效益、提升核心竞争力。</w:t>
      </w:r>
    </w:p>
    <w:p>
      <w:pPr>
        <w:pStyle w:val="BodyText"/>
        <w:ind w:left="87" w:right="327" w:firstLine="402"/>
        <w:spacing w:before="1" w:line="311" w:lineRule="auto"/>
        <w:outlineLvl w:val="0"/>
        <w:rPr/>
      </w:pPr>
      <w:r>
        <w:rPr>
          <w:spacing w:val="6"/>
        </w:rPr>
        <w:t>高效创建现代农业产业园。着力提升固原</w:t>
      </w:r>
      <w:r>
        <w:rPr>
          <w:spacing w:val="6"/>
        </w:rPr>
        <w:t>国家级农业科技园区创新水平，建设农产品加</w:t>
      </w:r>
    </w:p>
    <w:p>
      <w:pPr>
        <w:pStyle w:val="BodyText"/>
        <w:ind w:left="67" w:right="275"/>
        <w:spacing w:before="123" w:line="310" w:lineRule="auto"/>
        <w:jc w:val="both"/>
        <w:rPr/>
      </w:pPr>
      <w:r>
        <w:rPr>
          <w:spacing w:val="7"/>
        </w:rPr>
        <w:t>工综合园或融合发展示范园，鼓励各县（</w:t>
      </w:r>
      <w:r>
        <w:rPr>
          <w:spacing w:val="-44"/>
        </w:rPr>
        <w:t xml:space="preserve"> </w:t>
      </w:r>
      <w:r>
        <w:rPr>
          <w:spacing w:val="7"/>
        </w:rPr>
        <w:t>区）</w:t>
      </w:r>
      <w:r>
        <w:rPr>
          <w:spacing w:val="18"/>
        </w:rPr>
        <w:t>围绕优势特色产业建设农产品加工综合园或</w:t>
      </w:r>
      <w:r>
        <w:rPr>
          <w:spacing w:val="7"/>
        </w:rPr>
        <w:t>融合发展示范园，积极争创国家级和自治区级</w:t>
      </w:r>
    </w:p>
    <w:p>
      <w:pPr>
        <w:spacing w:line="14" w:lineRule="auto"/>
        <w:rPr>
          <w:rFonts w:ascii="Arial"/>
          <w:sz w:val="2"/>
        </w:rPr>
      </w:pPr>
      <w:r>
        <w:rPr>
          <w:rFonts w:ascii="Arial" w:hAnsi="Arial" w:eastAsia="Arial" w:cs="Arial"/>
          <w:sz w:val="2"/>
          <w:szCs w:val="2"/>
        </w:rPr>
        <w:br w:type="column"/>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pStyle w:val="BodyText"/>
        <w:ind w:left="1" w:right="62" w:hanging="1"/>
        <w:spacing w:before="65" w:line="369" w:lineRule="auto"/>
        <w:jc w:val="both"/>
        <w:rPr/>
      </w:pPr>
      <w:r>
        <w:rPr>
          <w:spacing w:val="7"/>
        </w:rPr>
        <w:t>农业高新技术产业示范区，创建国家现代农业</w:t>
      </w:r>
      <w:r>
        <w:rPr>
          <w:spacing w:val="5"/>
        </w:rPr>
        <w:t>园、国家现代林业园，每个县区至少引进</w:t>
      </w:r>
      <w:r>
        <w:rPr>
          <w:spacing w:val="-11"/>
        </w:rPr>
        <w:t xml:space="preserve"> </w:t>
      </w:r>
      <w:r>
        <w:rPr>
          <w:spacing w:val="5"/>
        </w:rPr>
        <w:t>1</w:t>
      </w:r>
      <w:r>
        <w:rPr>
          <w:spacing w:val="-41"/>
        </w:rPr>
        <w:t xml:space="preserve"> </w:t>
      </w:r>
      <w:r>
        <w:rPr>
          <w:spacing w:val="5"/>
        </w:rPr>
        <w:t>家</w:t>
      </w:r>
      <w:r>
        <w:rPr>
          <w:spacing w:val="8"/>
        </w:rPr>
        <w:t>产值过</w:t>
      </w:r>
      <w:r>
        <w:rPr>
          <w:spacing w:val="-15"/>
        </w:rPr>
        <w:t xml:space="preserve"> </w:t>
      </w:r>
      <w:r>
        <w:rPr>
          <w:spacing w:val="8"/>
        </w:rPr>
        <w:t>10</w:t>
      </w:r>
      <w:r>
        <w:rPr>
          <w:spacing w:val="-41"/>
        </w:rPr>
        <w:t xml:space="preserve"> </w:t>
      </w:r>
      <w:r>
        <w:rPr>
          <w:spacing w:val="8"/>
        </w:rPr>
        <w:t>亿元的农产品深加工龙头企业</w:t>
      </w:r>
      <w:r>
        <w:rPr>
          <w:spacing w:val="-58"/>
        </w:rPr>
        <w:t xml:space="preserve"> </w:t>
      </w:r>
      <w:r>
        <w:rPr>
          <w:spacing w:val="8"/>
        </w:rPr>
        <w:t>，培</w:t>
      </w:r>
      <w:r>
        <w:rPr>
          <w:spacing w:val="6"/>
        </w:rPr>
        <w:t>育</w:t>
      </w:r>
      <w:r>
        <w:rPr>
          <w:spacing w:val="-12"/>
        </w:rPr>
        <w:t xml:space="preserve"> </w:t>
      </w:r>
      <w:r>
        <w:rPr>
          <w:spacing w:val="6"/>
        </w:rPr>
        <w:t>1</w:t>
      </w:r>
      <w:r>
        <w:rPr>
          <w:spacing w:val="-40"/>
        </w:rPr>
        <w:t xml:space="preserve"> </w:t>
      </w:r>
      <w:r>
        <w:rPr>
          <w:spacing w:val="6"/>
        </w:rPr>
        <w:t>个产值过</w:t>
      </w:r>
      <w:r>
        <w:rPr>
          <w:spacing w:val="-20"/>
        </w:rPr>
        <w:t xml:space="preserve"> </w:t>
      </w:r>
      <w:r>
        <w:rPr>
          <w:spacing w:val="6"/>
        </w:rPr>
        <w:t>10</w:t>
      </w:r>
      <w:r>
        <w:rPr>
          <w:spacing w:val="-41"/>
        </w:rPr>
        <w:t xml:space="preserve"> </w:t>
      </w:r>
      <w:r>
        <w:rPr>
          <w:spacing w:val="6"/>
        </w:rPr>
        <w:t>亿元的主导产业集群</w:t>
      </w:r>
      <w:r>
        <w:rPr>
          <w:spacing w:val="-59"/>
        </w:rPr>
        <w:t xml:space="preserve"> </w:t>
      </w:r>
      <w:r>
        <w:rPr>
          <w:spacing w:val="6"/>
        </w:rPr>
        <w:t>，重点</w:t>
      </w:r>
      <w:r>
        <w:rPr>
          <w:spacing w:val="12"/>
        </w:rPr>
        <w:t>创建清水河、葫芦河、渝河、泾河和红茹河5</w:t>
      </w:r>
      <w:r>
        <w:rPr>
          <w:spacing w:val="7"/>
        </w:rPr>
        <w:t>个现代农业科技示范园和融侨（丰霖）肉牛生</w:t>
      </w:r>
      <w:r>
        <w:rPr>
          <w:spacing w:val="7"/>
        </w:rPr>
        <w:t>态产业园、原州区高品质蛋鸡产业园、西吉县</w:t>
      </w:r>
      <w:r>
        <w:rPr>
          <w:spacing w:val="7"/>
        </w:rPr>
        <w:t>马铃薯循环产业园区等现代农业示范园区。到</w:t>
      </w:r>
      <w:r>
        <w:rPr>
          <w:spacing w:val="4"/>
        </w:rPr>
        <w:t>2025</w:t>
      </w:r>
      <w:r>
        <w:rPr>
          <w:spacing w:val="-39"/>
        </w:rPr>
        <w:t xml:space="preserve"> </w:t>
      </w:r>
      <w:r>
        <w:rPr>
          <w:spacing w:val="4"/>
        </w:rPr>
        <w:t>年，全市建设现代农业产业园和一二三产</w:t>
      </w:r>
      <w:r>
        <w:rPr>
          <w:spacing w:val="10"/>
        </w:rPr>
        <w:t>业融合发展示范园</w:t>
      </w:r>
      <w:r>
        <w:rPr>
          <w:spacing w:val="-12"/>
        </w:rPr>
        <w:t xml:space="preserve"> </w:t>
      </w:r>
      <w:r>
        <w:rPr>
          <w:spacing w:val="10"/>
        </w:rPr>
        <w:t>10</w:t>
      </w:r>
      <w:r>
        <w:rPr>
          <w:spacing w:val="-40"/>
        </w:rPr>
        <w:t xml:space="preserve"> </w:t>
      </w:r>
      <w:r>
        <w:rPr>
          <w:spacing w:val="10"/>
        </w:rPr>
        <w:t>个、争创自治区和国家</w:t>
      </w:r>
      <w:r>
        <w:rPr>
          <w:spacing w:val="6"/>
        </w:rPr>
        <w:t>级农业产业园</w:t>
      </w:r>
      <w:r>
        <w:rPr>
          <w:spacing w:val="-37"/>
        </w:rPr>
        <w:t xml:space="preserve"> </w:t>
      </w:r>
      <w:r>
        <w:rPr>
          <w:spacing w:val="6"/>
        </w:rPr>
        <w:t>3</w:t>
      </w:r>
      <w:r>
        <w:rPr>
          <w:spacing w:val="-43"/>
        </w:rPr>
        <w:t xml:space="preserve"> </w:t>
      </w:r>
      <w:r>
        <w:rPr>
          <w:spacing w:val="6"/>
        </w:rPr>
        <w:t>个。</w:t>
      </w:r>
    </w:p>
    <w:p>
      <w:pPr>
        <w:pStyle w:val="BodyText"/>
        <w:ind w:left="3" w:right="64" w:firstLine="422"/>
        <w:spacing w:before="1" w:line="295" w:lineRule="auto"/>
        <w:outlineLvl w:val="0"/>
        <w:rPr/>
      </w:pPr>
      <w:r>
        <w:rPr>
          <w:spacing w:val="18"/>
        </w:rPr>
        <w:t>提升壮大工业产业园区。按照产业集群</w:t>
      </w:r>
      <w:r>
        <w:rPr>
          <w:spacing w:val="7"/>
        </w:rPr>
        <w:t>化、产城一体化发展思路，支持固原经济开发</w:t>
      </w:r>
    </w:p>
    <w:p>
      <w:pPr>
        <w:pStyle w:val="BodyText"/>
        <w:ind w:left="18"/>
        <w:spacing w:before="159" w:line="188" w:lineRule="auto"/>
        <w:rPr/>
      </w:pPr>
      <w:r>
        <w:rPr>
          <w:spacing w:val="6"/>
        </w:rPr>
        <w:t>区完善园区功能，加快集聚创新资源，完善公</w:t>
      </w:r>
    </w:p>
    <w:p>
      <w:pPr>
        <w:spacing w:line="188" w:lineRule="auto"/>
        <w:sectPr>
          <w:type w:val="continuous"/>
          <w:pgSz w:w="11906" w:h="16839"/>
          <w:pgMar w:top="1793" w:right="1526" w:bottom="1570" w:left="1526" w:header="1428" w:footer="1172" w:gutter="0"/>
          <w:cols w:equalWidth="0" w:num="2">
            <w:col w:w="4541" w:space="100"/>
            <w:col w:w="4214" w:space="0"/>
          </w:cols>
        </w:sectPr>
        <w:rPr/>
      </w:pPr>
    </w:p>
    <w:p>
      <w:pPr>
        <w:spacing w:before="54"/>
        <w:rPr/>
      </w:pPr>
      <w:r/>
    </w:p>
    <w:p>
      <w:pPr>
        <w:sectPr>
          <w:headerReference w:type="default" r:id="rId199"/>
          <w:footerReference w:type="default" r:id="rId200"/>
          <w:pgSz w:w="11906" w:h="16839"/>
          <w:pgMar w:top="1793" w:right="1489" w:bottom="1673" w:left="1526" w:header="1428" w:footer="1277" w:gutter="0"/>
          <w:cols w:equalWidth="0" w:num="1">
            <w:col w:w="8891" w:space="0"/>
          </w:cols>
        </w:sectPr>
        <w:rPr/>
      </w:pPr>
    </w:p>
    <w:p>
      <w:pPr>
        <w:pStyle w:val="BodyText"/>
        <w:ind w:left="65" w:right="249" w:firstLine="2"/>
        <w:spacing w:before="42" w:line="369" w:lineRule="auto"/>
        <w:jc w:val="both"/>
        <w:rPr/>
      </w:pPr>
      <w:r>
        <w:rPr>
          <w:spacing w:val="7"/>
        </w:rPr>
        <w:t>用基础设施，促进企业向园区集中、业态向园</w:t>
      </w:r>
      <w:r>
        <w:rPr>
          <w:spacing w:val="7"/>
        </w:rPr>
        <w:t>区集聚、要素向园区汇集，力争创建为自治区</w:t>
      </w:r>
      <w:r>
        <w:rPr>
          <w:spacing w:val="7"/>
        </w:rPr>
        <w:t>高新技术产业开发区。按照市县一体、集中优</w:t>
      </w:r>
      <w:r>
        <w:rPr>
          <w:spacing w:val="7"/>
        </w:rPr>
        <w:t>势、突出重点的原则，实施工业园区标准化提</w:t>
      </w:r>
      <w:r>
        <w:rPr>
          <w:spacing w:val="7"/>
        </w:rPr>
        <w:t>升工程，鼓励支持各县统筹产业布局，突出主</w:t>
      </w:r>
      <w:r>
        <w:rPr>
          <w:spacing w:val="7"/>
        </w:rPr>
        <w:t>导产业，注重结构优化，培育壮大各具特色的</w:t>
      </w:r>
      <w:r>
        <w:rPr>
          <w:spacing w:val="7"/>
        </w:rPr>
        <w:t>工业园区和产业集聚区。严格按照规划明确的</w:t>
      </w:r>
      <w:r>
        <w:rPr>
          <w:spacing w:val="11"/>
        </w:rPr>
        <w:t>园区主导产业定位，严把入园项目准入关口，</w:t>
      </w:r>
      <w:r>
        <w:rPr>
          <w:spacing w:val="7"/>
        </w:rPr>
        <w:t>坚决杜绝高污染、高耗能、高耗水项目及限制</w:t>
      </w:r>
      <w:r>
        <w:rPr>
          <w:spacing w:val="7"/>
        </w:rPr>
        <w:t>发展类产业项目入园建设，严控与主导产业无</w:t>
      </w:r>
      <w:r>
        <w:rPr>
          <w:spacing w:val="7"/>
        </w:rPr>
        <w:t>关项目入园建设。结合园区产业布局、功能分</w:t>
      </w:r>
      <w:r>
        <w:rPr>
          <w:spacing w:val="15"/>
        </w:rPr>
        <w:t>区和开发建设等实际</w:t>
      </w:r>
      <w:r>
        <w:rPr>
          <w:spacing w:val="-39"/>
        </w:rPr>
        <w:t xml:space="preserve"> </w:t>
      </w:r>
      <w:r>
        <w:rPr>
          <w:spacing w:val="15"/>
        </w:rPr>
        <w:t>，合理集约配置建设用</w:t>
      </w:r>
      <w:r>
        <w:rPr>
          <w:spacing w:val="7"/>
        </w:rPr>
        <w:t>地，加快清理清退闲置土地，切实提升土地利</w:t>
      </w:r>
      <w:r>
        <w:rPr>
          <w:spacing w:val="7"/>
        </w:rPr>
        <w:t>用效率，力争土地投资强度、产出强度、税金</w:t>
      </w:r>
      <w:r>
        <w:rPr>
          <w:spacing w:val="7"/>
        </w:rPr>
        <w:t>等主要指标达到自治区平均水平。加大基础设</w:t>
      </w:r>
      <w:r>
        <w:rPr>
          <w:spacing w:val="1"/>
        </w:rPr>
        <w:t>施建设投入，全面配套完善道路、雨水、污水、</w:t>
      </w:r>
      <w:r>
        <w:rPr>
          <w:spacing w:val="7"/>
        </w:rPr>
        <w:t>生产生活用水、天然气、电力、电信、热力及</w:t>
      </w:r>
      <w:r>
        <w:rPr>
          <w:spacing w:val="7"/>
        </w:rPr>
        <w:t>有线电视管线等设施，力争实现基础设施“九</w:t>
      </w:r>
      <w:r>
        <w:rPr>
          <w:spacing w:val="7"/>
        </w:rPr>
        <w:t>通一平”，支持园区企业建设人才公寓和员工</w:t>
      </w:r>
      <w:r>
        <w:rPr>
          <w:spacing w:val="7"/>
        </w:rPr>
        <w:t>公寓，补充园区商业功能、景观功能和公共交</w:t>
      </w:r>
      <w:r>
        <w:rPr>
          <w:spacing w:val="7"/>
        </w:rPr>
        <w:t>通功能，提升综合配套能力，不断壮大园区承</w:t>
      </w:r>
    </w:p>
    <w:p>
      <w:pPr>
        <w:spacing w:line="14" w:lineRule="auto"/>
        <w:rPr>
          <w:rFonts w:ascii="Arial"/>
          <w:sz w:val="2"/>
        </w:rPr>
      </w:pPr>
      <w:r>
        <w:rPr>
          <w:rFonts w:ascii="Arial" w:hAnsi="Arial" w:eastAsia="Arial" w:cs="Arial"/>
          <w:sz w:val="2"/>
          <w:szCs w:val="2"/>
        </w:rPr>
        <w:br w:type="column"/>
      </w:r>
    </w:p>
    <w:p>
      <w:pPr>
        <w:pStyle w:val="BodyText"/>
        <w:ind w:left="4"/>
        <w:spacing w:before="41" w:line="216" w:lineRule="auto"/>
        <w:rPr/>
      </w:pPr>
      <w:r>
        <w:rPr>
          <w:spacing w:val="5"/>
        </w:rPr>
        <w:t>载能力。</w:t>
      </w:r>
    </w:p>
    <w:p>
      <w:pPr>
        <w:pStyle w:val="BodyText"/>
        <w:ind w:left="1" w:right="101" w:firstLine="420"/>
        <w:spacing w:before="161" w:line="296" w:lineRule="auto"/>
        <w:outlineLvl w:val="0"/>
        <w:rPr/>
      </w:pPr>
      <w:r>
        <w:rPr>
          <w:spacing w:val="6"/>
        </w:rPr>
        <w:t>加快园区体制改革和机制创新。进一步优</w:t>
      </w:r>
      <w:r>
        <w:rPr>
          <w:spacing w:val="7"/>
        </w:rPr>
        <w:t>化开发区、工业园区管委会机构设置，理顺强</w:t>
      </w:r>
    </w:p>
    <w:p>
      <w:pPr>
        <w:pStyle w:val="BodyText"/>
        <w:ind w:right="1" w:firstLine="1"/>
        <w:spacing w:before="163" w:line="368" w:lineRule="auto"/>
        <w:jc w:val="both"/>
        <w:rPr/>
      </w:pPr>
      <w:r>
        <w:rPr>
          <w:spacing w:val="7"/>
        </w:rPr>
        <w:t>化管委会班子配备，不断加大行政审批、简政</w:t>
      </w:r>
      <w:r>
        <w:rPr>
          <w:spacing w:val="7"/>
        </w:rPr>
        <w:t>放权力度，积极推进项目审批服务代办制，推</w:t>
      </w:r>
      <w:r>
        <w:rPr>
          <w:spacing w:val="7"/>
        </w:rPr>
        <w:t>进区域评改革，强化开发区、工业园区招商主</w:t>
      </w:r>
      <w:r>
        <w:rPr>
          <w:spacing w:val="7"/>
        </w:rPr>
        <w:t>体作用。探索建设、招商、运营、管理和园区</w:t>
      </w:r>
      <w:r>
        <w:rPr>
          <w:spacing w:val="17"/>
        </w:rPr>
        <w:t>服务的市场化模式，推行“管委会+公司化”</w:t>
      </w:r>
      <w:r>
        <w:rPr>
          <w:spacing w:val="7"/>
        </w:rPr>
        <w:t>运营模式，支持不同市场主体参与园区建设和</w:t>
      </w:r>
      <w:r>
        <w:rPr>
          <w:spacing w:val="7"/>
        </w:rPr>
        <w:t>运营管理，逐步实现由政府主导型向市场主体</w:t>
      </w:r>
      <w:r>
        <w:rPr>
          <w:spacing w:val="7"/>
        </w:rPr>
        <w:t>主导型转变。加快建设一批功能完备、配套齐</w:t>
      </w:r>
      <w:r>
        <w:rPr>
          <w:spacing w:val="7"/>
        </w:rPr>
        <w:t>全的众创空间和科技企业孵化器，大力培育科</w:t>
      </w:r>
      <w:r>
        <w:rPr>
          <w:spacing w:val="2"/>
        </w:rPr>
        <w:t>技型企业、高新技术企业，聚焦产业关键技术、</w:t>
      </w:r>
      <w:r>
        <w:rPr>
          <w:spacing w:val="7"/>
        </w:rPr>
        <w:t>核心环节，强化科技攻关，加速科技成果引进</w:t>
      </w:r>
      <w:r>
        <w:rPr>
          <w:spacing w:val="7"/>
        </w:rPr>
        <w:t>转化，提升园区科技创新能力，加强产业技术</w:t>
      </w:r>
      <w:r>
        <w:rPr>
          <w:spacing w:val="7"/>
        </w:rPr>
        <w:t>创新中心建设，帮助企业建立研发中心及人才</w:t>
      </w:r>
      <w:r>
        <w:rPr>
          <w:spacing w:val="7"/>
        </w:rPr>
        <w:t>培训培养基地。健全完善闽宁协作合办产业园</w:t>
      </w:r>
      <w:r>
        <w:rPr>
          <w:spacing w:val="7"/>
        </w:rPr>
        <w:t>区机制，鼓励采取代管、托管、飞地经济等多</w:t>
      </w:r>
      <w:r>
        <w:rPr>
          <w:spacing w:val="8"/>
        </w:rPr>
        <w:t>种合作方式。到</w:t>
      </w:r>
      <w:r>
        <w:rPr>
          <w:spacing w:val="-28"/>
        </w:rPr>
        <w:t xml:space="preserve"> </w:t>
      </w:r>
      <w:r>
        <w:rPr>
          <w:spacing w:val="8"/>
        </w:rPr>
        <w:t>2025</w:t>
      </w:r>
      <w:r>
        <w:rPr>
          <w:spacing w:val="-36"/>
        </w:rPr>
        <w:t xml:space="preserve"> </w:t>
      </w:r>
      <w:r>
        <w:rPr>
          <w:spacing w:val="8"/>
        </w:rPr>
        <w:t>年</w:t>
      </w:r>
      <w:r>
        <w:rPr>
          <w:spacing w:val="-59"/>
        </w:rPr>
        <w:t xml:space="preserve"> </w:t>
      </w:r>
      <w:r>
        <w:rPr>
          <w:spacing w:val="8"/>
        </w:rPr>
        <w:t>，开发区和工业园区</w:t>
      </w:r>
      <w:r>
        <w:rPr>
          <w:spacing w:val="4"/>
        </w:rPr>
        <w:t>力争实现产值</w:t>
      </w:r>
      <w:r>
        <w:rPr>
          <w:spacing w:val="-18"/>
        </w:rPr>
        <w:t xml:space="preserve"> </w:t>
      </w:r>
      <w:r>
        <w:rPr>
          <w:spacing w:val="4"/>
        </w:rPr>
        <w:t>164</w:t>
      </w:r>
      <w:r>
        <w:rPr>
          <w:spacing w:val="-41"/>
        </w:rPr>
        <w:t xml:space="preserve"> </w:t>
      </w:r>
      <w:r>
        <w:rPr>
          <w:spacing w:val="4"/>
        </w:rPr>
        <w:t>亿元左右，吸纳就业</w:t>
      </w:r>
      <w:r>
        <w:rPr>
          <w:spacing w:val="-41"/>
        </w:rPr>
        <w:t xml:space="preserve"> </w:t>
      </w:r>
      <w:r>
        <w:rPr>
          <w:spacing w:val="4"/>
        </w:rPr>
        <w:t>6.9</w:t>
      </w:r>
      <w:r>
        <w:rPr>
          <w:spacing w:val="-41"/>
        </w:rPr>
        <w:t xml:space="preserve"> </w:t>
      </w:r>
      <w:r>
        <w:rPr>
          <w:spacing w:val="4"/>
        </w:rPr>
        <w:t>万</w:t>
      </w:r>
      <w:r>
        <w:rPr>
          <w:spacing w:val="6"/>
        </w:rPr>
        <w:t>人以上。</w:t>
      </w:r>
    </w:p>
    <w:p>
      <w:pPr>
        <w:spacing w:line="368" w:lineRule="auto"/>
        <w:sectPr>
          <w:type w:val="continuous"/>
          <w:pgSz w:w="11906" w:h="16839"/>
          <w:pgMar w:top="1793" w:right="1489" w:bottom="1673" w:left="1526" w:header="1428" w:footer="1277" w:gutter="0"/>
          <w:cols w:equalWidth="0" w:num="2">
            <w:col w:w="4543" w:space="100"/>
            <w:col w:w="4248" w:space="0"/>
          </w:cols>
        </w:sectPr>
        <w:rPr/>
      </w:pPr>
    </w:p>
    <w:p>
      <w:pPr>
        <w:ind w:left="2359"/>
        <w:spacing w:before="138" w:line="197" w:lineRule="auto"/>
        <w:rPr>
          <w:rFonts w:ascii="Microsoft YaHei" w:hAnsi="Microsoft YaHei" w:eastAsia="Microsoft YaHei" w:cs="Microsoft YaHei"/>
          <w:sz w:val="20"/>
          <w:szCs w:val="20"/>
        </w:rPr>
      </w:pPr>
      <w:r>
        <w:drawing>
          <wp:anchor distT="0" distB="0" distL="0" distR="0" simplePos="0" relativeHeight="251783168" behindDoc="0" locked="0" layoutInCell="1" allowOverlap="1">
            <wp:simplePos x="0" y="0"/>
            <wp:positionH relativeFrom="column">
              <wp:posOffset>39242</wp:posOffset>
            </wp:positionH>
            <wp:positionV relativeFrom="paragraph">
              <wp:posOffset>-5519625</wp:posOffset>
            </wp:positionV>
            <wp:extent cx="5579745" cy="7619"/>
            <wp:effectExtent l="0" t="0" r="0" b="0"/>
            <wp:wrapNone/>
            <wp:docPr id="398" name="IM 398"/>
            <wp:cNvGraphicFramePr/>
            <a:graphic>
              <a:graphicData uri="http://schemas.openxmlformats.org/drawingml/2006/picture">
                <pic:pic>
                  <pic:nvPicPr>
                    <pic:cNvPr id="398" name="IM 398"/>
                    <pic:cNvPicPr/>
                  </pic:nvPicPr>
                  <pic:blipFill>
                    <a:blip r:embed="rId20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7"/>
        </w:rPr>
        <w:t>专栏 6</w:t>
      </w:r>
      <w:r>
        <w:rPr>
          <w:rFonts w:ascii="Microsoft YaHei" w:hAnsi="Microsoft YaHei" w:eastAsia="Microsoft YaHei" w:cs="Microsoft YaHei"/>
          <w:sz w:val="20"/>
          <w:szCs w:val="20"/>
          <w:spacing w:val="16"/>
        </w:rPr>
        <w:t xml:space="preserve">   </w:t>
      </w:r>
      <w:r>
        <w:rPr>
          <w:rFonts w:ascii="Microsoft YaHei" w:hAnsi="Microsoft YaHei" w:eastAsia="Microsoft YaHei" w:cs="Microsoft YaHei"/>
          <w:sz w:val="20"/>
          <w:szCs w:val="20"/>
          <w:spacing w:val="7"/>
        </w:rPr>
        <w:t>改造升级产业园区发展重点项目工程</w:t>
      </w:r>
    </w:p>
    <w:tbl>
      <w:tblPr>
        <w:tblStyle w:val="TableNormal"/>
        <w:tblW w:w="8848" w:type="dxa"/>
        <w:tblInd w:w="2" w:type="dxa"/>
        <w:tblLayout w:type="fixed"/>
        <w:tblBorders>
          <w:left w:val="single" w:color="000000" w:sz="2" w:space="0"/>
          <w:bottom w:val="single" w:color="000000" w:sz="2" w:space="0"/>
          <w:right w:val="single" w:color="000000" w:sz="2" w:space="0"/>
          <w:top w:val="single" w:color="000000" w:sz="2" w:space="0"/>
        </w:tblBorders>
      </w:tblPr>
      <w:tblGrid>
        <w:gridCol w:w="8848"/>
      </w:tblGrid>
      <w:tr>
        <w:trPr>
          <w:trHeight w:val="3672" w:hRule="atLeast"/>
        </w:trPr>
        <w:tc>
          <w:tcPr>
            <w:tcW w:w="8848" w:type="dxa"/>
            <w:vAlign w:val="top"/>
          </w:tcPr>
          <w:p>
            <w:pPr>
              <w:pStyle w:val="TableText"/>
              <w:ind w:left="111" w:right="99" w:firstLine="438"/>
              <w:spacing w:before="167" w:line="293" w:lineRule="auto"/>
              <w:rPr/>
            </w:pPr>
            <w:r>
              <w:rPr>
                <w:b/>
                <w:bCs/>
              </w:rPr>
              <w:t>1.工业园区标准化提升工程*</w:t>
            </w:r>
            <w:r>
              <w:rPr/>
              <w:t>：建设智慧园区、</w:t>
            </w:r>
            <w:r>
              <w:rPr>
                <w:spacing w:val="-1"/>
              </w:rPr>
              <w:t>仓储物流、污水处理等项目，完善配套设施、提升服务质</w:t>
            </w:r>
            <w:r>
              <w:rPr>
                <w:spacing w:val="-1"/>
              </w:rPr>
              <w:t>量、搭建融资平台、招引龙头企业、承接产业转移。</w:t>
            </w:r>
          </w:p>
          <w:p>
            <w:pPr>
              <w:pStyle w:val="TableText"/>
              <w:ind w:left="110" w:right="28" w:firstLine="424"/>
              <w:spacing w:before="148" w:line="339" w:lineRule="auto"/>
              <w:rPr/>
            </w:pPr>
            <w:r>
              <w:rPr>
                <w:b/>
                <w:bCs/>
                <w:spacing w:val="-4"/>
              </w:rPr>
              <w:t>2.创建自治区级高新技术产业开发区</w:t>
            </w:r>
            <w:r>
              <w:rPr>
                <w:spacing w:val="-4"/>
              </w:rPr>
              <w:t>：对标自治区高新</w:t>
            </w:r>
            <w:r>
              <w:rPr>
                <w:spacing w:val="-5"/>
              </w:rPr>
              <w:t>区认定条件，完善固原经济开发区科技企业孵化器、</w:t>
            </w:r>
            <w:r>
              <w:rPr/>
              <w:t>众创空间等创新创业公共服务机构，围绕主导产业发展培育引进一批研发</w:t>
            </w:r>
            <w:r>
              <w:rPr>
                <w:spacing w:val="-1"/>
              </w:rPr>
              <w:t>设计、知识产权、科技金融、检验检</w:t>
            </w:r>
            <w:r>
              <w:rPr/>
              <w:t>测、科技咨询等科技服务机构，运用大数据、云计算、移动互联网等现代信息</w:t>
            </w:r>
            <w:r>
              <w:rPr>
                <w:spacing w:val="-1"/>
              </w:rPr>
              <w:t>技术创新科技服务模式，提升开</w:t>
            </w:r>
            <w:r>
              <w:rPr/>
              <w:t>发区公共科技服务供给水平。培育一批科技型企业、建设一批创新平台，</w:t>
            </w:r>
            <w:r>
              <w:rPr>
                <w:spacing w:val="-1"/>
              </w:rPr>
              <w:t>突破一批重大关键技术，落地转化一</w:t>
            </w:r>
            <w:r>
              <w:rPr/>
              <w:t>批科技成果，将固原经济开发区发展成为高新技术</w:t>
            </w:r>
            <w:r>
              <w:rPr>
                <w:spacing w:val="-1"/>
              </w:rPr>
              <w:t>开发区。</w:t>
            </w:r>
          </w:p>
          <w:p>
            <w:pPr>
              <w:pStyle w:val="TableText"/>
              <w:ind w:left="112" w:right="97" w:firstLine="358"/>
              <w:spacing w:before="149" w:line="328" w:lineRule="auto"/>
              <w:rPr/>
            </w:pPr>
            <w:r>
              <w:rPr>
                <w:b/>
                <w:bCs/>
                <w:spacing w:val="-1"/>
              </w:rPr>
              <w:t>3.现代农业示范园创建工程：</w:t>
            </w:r>
            <w:r>
              <w:rPr>
                <w:spacing w:val="-1"/>
              </w:rPr>
              <w:t>重点创建清水河、葫芦河、渝河、泾河和红茹河</w:t>
            </w:r>
            <w:r>
              <w:rPr>
                <w:spacing w:val="-34"/>
              </w:rPr>
              <w:t xml:space="preserve"> </w:t>
            </w:r>
            <w:r>
              <w:rPr>
                <w:spacing w:val="-1"/>
              </w:rPr>
              <w:t>5</w:t>
            </w:r>
            <w:r>
              <w:rPr>
                <w:spacing w:val="-42"/>
              </w:rPr>
              <w:t xml:space="preserve"> </w:t>
            </w:r>
            <w:r>
              <w:rPr>
                <w:spacing w:val="-1"/>
              </w:rPr>
              <w:t>个现代农业科技示范园和</w:t>
            </w:r>
            <w:r>
              <w:rPr/>
              <w:t>融侨（丰霖）肉牛生态产业园、原州区高品质蛋鸡产业园、西吉县马铃薯循环产业园区等现</w:t>
            </w:r>
            <w:r>
              <w:rPr>
                <w:spacing w:val="-1"/>
              </w:rPr>
              <w:t>代农业示范园区。</w:t>
            </w:r>
            <w:r>
              <w:rPr>
                <w:spacing w:val="-10"/>
              </w:rPr>
              <w:t>到</w:t>
            </w:r>
            <w:r>
              <w:rPr>
                <w:spacing w:val="-52"/>
              </w:rPr>
              <w:t xml:space="preserve"> </w:t>
            </w:r>
            <w:r>
              <w:rPr>
                <w:spacing w:val="-10"/>
              </w:rPr>
              <w:t>2025</w:t>
            </w:r>
            <w:r>
              <w:rPr>
                <w:spacing w:val="-52"/>
              </w:rPr>
              <w:t xml:space="preserve"> </w:t>
            </w:r>
            <w:r>
              <w:rPr>
                <w:spacing w:val="-10"/>
              </w:rPr>
              <w:t>年，全市建设现代农业产业园和一二三产业</w:t>
            </w:r>
            <w:r>
              <w:rPr>
                <w:spacing w:val="-11"/>
              </w:rPr>
              <w:t>融合发展示范园10</w:t>
            </w:r>
            <w:r>
              <w:rPr>
                <w:spacing w:val="-53"/>
              </w:rPr>
              <w:t xml:space="preserve"> </w:t>
            </w:r>
            <w:r>
              <w:rPr>
                <w:spacing w:val="-11"/>
              </w:rPr>
              <w:t>个、争创自治区和国家级农业产业园</w:t>
            </w:r>
            <w:r>
              <w:rPr>
                <w:spacing w:val="-48"/>
              </w:rPr>
              <w:t xml:space="preserve"> </w:t>
            </w:r>
            <w:r>
              <w:rPr>
                <w:spacing w:val="-11"/>
              </w:rPr>
              <w:t>3</w:t>
            </w:r>
            <w:r>
              <w:rPr>
                <w:spacing w:val="-51"/>
              </w:rPr>
              <w:t xml:space="preserve"> </w:t>
            </w:r>
            <w:r>
              <w:rPr>
                <w:spacing w:val="-11"/>
              </w:rPr>
              <w:t>个。</w:t>
            </w:r>
          </w:p>
        </w:tc>
      </w:tr>
    </w:tbl>
    <w:p>
      <w:pPr>
        <w:ind w:left="433"/>
        <w:spacing w:before="158" w:line="164" w:lineRule="auto"/>
        <w:rPr>
          <w:rFonts w:ascii="KaiTi" w:hAnsi="KaiTi" w:eastAsia="KaiTi" w:cs="KaiTi"/>
          <w:sz w:val="18"/>
          <w:szCs w:val="18"/>
        </w:rPr>
      </w:pPr>
      <w:r>
        <w:rPr>
          <w:rFonts w:ascii="Microsoft YaHei" w:hAnsi="Microsoft YaHei" w:eastAsia="Microsoft YaHei" w:cs="Microsoft YaHei"/>
          <w:sz w:val="18"/>
          <w:szCs w:val="18"/>
          <w:spacing w:val="-2"/>
        </w:rPr>
        <w:t>注</w:t>
      </w:r>
      <w:r>
        <w:rPr>
          <w:rFonts w:ascii="Microsoft YaHei" w:hAnsi="Microsoft YaHei" w:eastAsia="Microsoft YaHei" w:cs="Microsoft YaHei"/>
          <w:sz w:val="18"/>
          <w:szCs w:val="18"/>
          <w:spacing w:val="-20"/>
        </w:rPr>
        <w:t xml:space="preserve"> </w:t>
      </w:r>
      <w:r>
        <w:rPr>
          <w:rFonts w:ascii="Microsoft YaHei" w:hAnsi="Microsoft YaHei" w:eastAsia="Microsoft YaHei" w:cs="Microsoft YaHei"/>
          <w:sz w:val="18"/>
          <w:szCs w:val="18"/>
          <w:spacing w:val="-2"/>
        </w:rPr>
        <w:t>：</w:t>
      </w:r>
      <w:r>
        <w:rPr>
          <w:rFonts w:ascii="KaiTi" w:hAnsi="KaiTi" w:eastAsia="KaiTi" w:cs="KaiTi"/>
          <w:sz w:val="18"/>
          <w:szCs w:val="18"/>
          <w:spacing w:val="-2"/>
        </w:rPr>
        <w:t>项目名称右上角标“*”的为产业十大工程。</w:t>
      </w:r>
    </w:p>
    <w:p>
      <w:pPr>
        <w:spacing w:line="164" w:lineRule="auto"/>
        <w:sectPr>
          <w:type w:val="continuous"/>
          <w:pgSz w:w="11906" w:h="16839"/>
          <w:pgMar w:top="1793" w:right="1489" w:bottom="1673" w:left="1526" w:header="1428" w:footer="1277" w:gutter="0"/>
          <w:cols w:equalWidth="0" w:num="1">
            <w:col w:w="8891" w:space="0"/>
          </w:cols>
        </w:sectPr>
        <w:rPr>
          <w:rFonts w:ascii="KaiTi" w:hAnsi="KaiTi" w:eastAsia="KaiTi" w:cs="KaiTi"/>
          <w:sz w:val="18"/>
          <w:szCs w:val="18"/>
        </w:rPr>
      </w:pPr>
    </w:p>
    <w:p>
      <w:pPr>
        <w:spacing w:line="218" w:lineRule="exact"/>
        <w:rPr/>
      </w:pPr>
      <w:r>
        <w:drawing>
          <wp:anchor distT="0" distB="0" distL="0" distR="0" simplePos="0" relativeHeight="251785216"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402" name="IM 402"/>
            <wp:cNvGraphicFramePr/>
            <a:graphic>
              <a:graphicData uri="http://schemas.openxmlformats.org/drawingml/2006/picture">
                <pic:pic>
                  <pic:nvPicPr>
                    <pic:cNvPr id="402" name="IM 402"/>
                    <pic:cNvPicPr/>
                  </pic:nvPicPr>
                  <pic:blipFill>
                    <a:blip r:embed="rId203"/>
                    <a:stretch>
                      <a:fillRect/>
                    </a:stretch>
                  </pic:blipFill>
                  <pic:spPr>
                    <a:xfrm rot="0">
                      <a:off x="0" y="0"/>
                      <a:ext cx="5579745" cy="7619"/>
                    </a:xfrm>
                    <a:prstGeom prst="rect">
                      <a:avLst/>
                    </a:prstGeom>
                  </pic:spPr>
                </pic:pic>
              </a:graphicData>
            </a:graphic>
          </wp:anchor>
        </w:drawing>
      </w:r>
      <w:r/>
    </w:p>
    <w:p>
      <w:pPr>
        <w:spacing w:line="218" w:lineRule="exact"/>
        <w:sectPr>
          <w:headerReference w:type="default" r:id="rId167"/>
          <w:footerReference w:type="default" r:id="rId202"/>
          <w:pgSz w:w="11906" w:h="16839"/>
          <w:pgMar w:top="1793" w:right="1509" w:bottom="1570" w:left="1579" w:header="1428" w:footer="1172" w:gutter="0"/>
          <w:cols w:equalWidth="0" w:num="1">
            <w:col w:w="8817" w:space="0"/>
          </w:cols>
        </w:sectPr>
        <w:rPr/>
      </w:pPr>
    </w:p>
    <w:p>
      <w:pPr>
        <w:ind w:left="624"/>
        <w:spacing w:before="40" w:line="182"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第四章</w:t>
      </w:r>
      <w:r>
        <w:rPr>
          <w:rFonts w:ascii="Microsoft YaHei" w:hAnsi="Microsoft YaHei" w:eastAsia="Microsoft YaHei" w:cs="Microsoft YaHei"/>
          <w:sz w:val="20"/>
          <w:szCs w:val="20"/>
          <w:spacing w:val="14"/>
          <w:w w:val="101"/>
        </w:rPr>
        <w:t xml:space="preserve">   </w:t>
      </w:r>
      <w:r>
        <w:rPr>
          <w:rFonts w:ascii="Microsoft YaHei" w:hAnsi="Microsoft YaHei" w:eastAsia="Microsoft YaHei" w:cs="Microsoft YaHei"/>
          <w:sz w:val="20"/>
          <w:szCs w:val="20"/>
          <w:spacing w:val="8"/>
        </w:rPr>
        <w:t>巩固拓展脱贫攻坚成果</w:t>
      </w:r>
    </w:p>
    <w:p>
      <w:pPr>
        <w:ind w:left="1251"/>
        <w:spacing w:before="41" w:line="180"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全面推进乡村振兴</w:t>
      </w:r>
    </w:p>
    <w:p>
      <w:pPr>
        <w:spacing w:line="351" w:lineRule="auto"/>
        <w:rPr>
          <w:rFonts w:ascii="Arial"/>
          <w:sz w:val="21"/>
        </w:rPr>
      </w:pPr>
      <w:r/>
    </w:p>
    <w:p>
      <w:pPr>
        <w:pStyle w:val="BodyText"/>
        <w:ind w:left="434"/>
        <w:spacing w:before="65" w:line="219" w:lineRule="auto"/>
        <w:rPr/>
      </w:pPr>
      <w:r>
        <w:rPr>
          <w:spacing w:val="6"/>
        </w:rPr>
        <w:t>坚持把解决好“三农”问题作为工作重中</w:t>
      </w:r>
    </w:p>
    <w:p>
      <w:pPr>
        <w:pStyle w:val="BodyText"/>
        <w:ind w:left="15"/>
        <w:spacing w:before="164" w:line="220" w:lineRule="auto"/>
        <w:outlineLvl w:val="0"/>
        <w:rPr/>
      </w:pPr>
      <w:r>
        <w:rPr>
          <w:spacing w:val="1"/>
        </w:rPr>
        <w:t>之重，全面实施乡村振兴战略，强化以工补农、</w:t>
      </w:r>
    </w:p>
    <w:p>
      <w:pPr>
        <w:pStyle w:val="BodyText"/>
        <w:ind w:left="14" w:right="329" w:firstLine="16"/>
        <w:spacing w:before="158" w:line="370" w:lineRule="auto"/>
        <w:jc w:val="both"/>
        <w:rPr/>
      </w:pPr>
      <w:r>
        <w:rPr>
          <w:spacing w:val="6"/>
        </w:rPr>
        <w:t>以城带乡，推动形成工农互促、城乡互补、协</w:t>
      </w:r>
      <w:r>
        <w:rPr>
          <w:spacing w:val="7"/>
        </w:rPr>
        <w:t>调发展、共同繁荣的新型工农关系，促进农业</w:t>
      </w:r>
      <w:r>
        <w:rPr>
          <w:spacing w:val="9"/>
        </w:rPr>
        <w:t>高质高效、乡村宜居宜业、农民富裕富足。</w:t>
      </w:r>
    </w:p>
    <w:p>
      <w:pPr>
        <w:pStyle w:val="BodyText"/>
        <w:ind w:left="302"/>
        <w:spacing w:before="199" w:line="220" w:lineRule="auto"/>
        <w:outlineLvl w:val="0"/>
        <w:rPr/>
      </w:pPr>
      <w:r>
        <w:rPr>
          <w:b/>
          <w:bCs/>
          <w:spacing w:val="8"/>
        </w:rPr>
        <w:t>第一节</w:t>
      </w:r>
      <w:r>
        <w:rPr>
          <w:spacing w:val="8"/>
        </w:rPr>
        <w:t xml:space="preserve">  </w:t>
      </w:r>
      <w:r>
        <w:rPr>
          <w:b/>
          <w:bCs/>
          <w:spacing w:val="8"/>
        </w:rPr>
        <w:t>实现巩固拓展脱贫攻坚成果同</w:t>
      </w:r>
    </w:p>
    <w:p>
      <w:pPr>
        <w:pStyle w:val="BodyText"/>
        <w:ind w:left="1258"/>
        <w:spacing w:before="62" w:line="219" w:lineRule="auto"/>
        <w:outlineLvl w:val="0"/>
        <w:rPr/>
      </w:pPr>
      <w:r>
        <w:rPr>
          <w:b/>
          <w:bCs/>
          <w:spacing w:val="6"/>
        </w:rPr>
        <w:t>乡村振兴有效衔接</w:t>
      </w:r>
    </w:p>
    <w:p>
      <w:pPr>
        <w:spacing w:line="361" w:lineRule="auto"/>
        <w:rPr>
          <w:rFonts w:ascii="Arial"/>
          <w:sz w:val="21"/>
        </w:rPr>
      </w:pPr>
      <w:r/>
    </w:p>
    <w:p>
      <w:pPr>
        <w:pStyle w:val="BodyText"/>
        <w:ind w:left="434"/>
        <w:spacing w:before="66" w:line="223" w:lineRule="auto"/>
        <w:rPr/>
      </w:pPr>
      <w:r>
        <w:rPr>
          <w:spacing w:val="9"/>
        </w:rPr>
        <w:t>坚决守住脱贫攻坚成果，工作不留空档、</w:t>
      </w:r>
    </w:p>
    <w:p>
      <w:pPr>
        <w:pStyle w:val="BodyText"/>
        <w:ind w:left="14"/>
        <w:spacing w:before="170" w:line="221" w:lineRule="auto"/>
        <w:outlineLvl w:val="0"/>
        <w:rPr/>
      </w:pPr>
      <w:r>
        <w:rPr>
          <w:spacing w:val="7"/>
        </w:rPr>
        <w:t>政策不留空白，继续精准施策，保持现有帮扶</w:t>
      </w:r>
    </w:p>
    <w:p>
      <w:pPr>
        <w:pStyle w:val="BodyText"/>
        <w:ind w:left="20" w:right="329" w:hanging="6"/>
        <w:spacing w:before="167" w:line="376" w:lineRule="auto"/>
        <w:rPr/>
      </w:pPr>
      <w:r>
        <w:rPr>
          <w:spacing w:val="7"/>
        </w:rPr>
        <w:t>政策总体稳定，确保脱贫攻坚成果经得起历史</w:t>
      </w:r>
      <w:r>
        <w:rPr>
          <w:spacing w:val="6"/>
        </w:rPr>
        <w:t>和人民的检验。</w:t>
      </w:r>
    </w:p>
    <w:p>
      <w:pPr>
        <w:pStyle w:val="BodyText"/>
        <w:ind w:left="433"/>
        <w:spacing w:before="6" w:line="223" w:lineRule="auto"/>
        <w:rPr/>
      </w:pPr>
      <w:r>
        <w:rPr>
          <w:spacing w:val="6"/>
        </w:rPr>
        <w:t>建立防止返贫致贫长效机制。全面落实从</w:t>
      </w:r>
    </w:p>
    <w:p>
      <w:pPr>
        <w:pStyle w:val="BodyText"/>
        <w:ind w:left="11"/>
        <w:spacing w:before="166" w:line="278" w:lineRule="exact"/>
        <w:outlineLvl w:val="0"/>
        <w:rPr/>
      </w:pPr>
      <w:r>
        <w:rPr>
          <w:spacing w:val="6"/>
          <w:position w:val="1"/>
        </w:rPr>
        <w:t>脱贫之日起设立</w:t>
      </w:r>
      <w:r>
        <w:rPr>
          <w:spacing w:val="-33"/>
          <w:position w:val="1"/>
        </w:rPr>
        <w:t xml:space="preserve"> </w:t>
      </w:r>
      <w:r>
        <w:rPr>
          <w:spacing w:val="6"/>
          <w:position w:val="1"/>
        </w:rPr>
        <w:t>5</w:t>
      </w:r>
      <w:r>
        <w:rPr>
          <w:spacing w:val="-39"/>
          <w:position w:val="1"/>
        </w:rPr>
        <w:t xml:space="preserve"> </w:t>
      </w:r>
      <w:r>
        <w:rPr>
          <w:spacing w:val="6"/>
          <w:position w:val="1"/>
        </w:rPr>
        <w:t>年过渡期，过渡期内严格落</w:t>
      </w:r>
    </w:p>
    <w:p>
      <w:pPr>
        <w:pStyle w:val="BodyText"/>
        <w:ind w:left="10" w:right="247" w:firstLine="6"/>
        <w:spacing w:before="128" w:line="379" w:lineRule="auto"/>
        <w:jc w:val="both"/>
        <w:rPr/>
      </w:pPr>
      <w:r>
        <w:rPr>
          <w:spacing w:val="5"/>
        </w:rPr>
        <w:t>实“</w:t>
      </w:r>
      <w:r>
        <w:rPr>
          <w:spacing w:val="-59"/>
        </w:rPr>
        <w:t xml:space="preserve"> </w:t>
      </w:r>
      <w:r>
        <w:rPr>
          <w:spacing w:val="5"/>
        </w:rPr>
        <w:t>四个不摘”要求，坚持政策措施不断、扶</w:t>
      </w:r>
      <w:r>
        <w:rPr>
          <w:spacing w:val="10"/>
        </w:rPr>
        <w:t>贫力量不减、帮扶关系不变、监管力度不降、</w:t>
      </w:r>
      <w:r>
        <w:rPr>
          <w:spacing w:val="7"/>
        </w:rPr>
        <w:t>财政投入力度总体稳定，保障脱贫成果稳定可</w:t>
      </w:r>
      <w:r>
        <w:rPr>
          <w:spacing w:val="7"/>
        </w:rPr>
        <w:t>持续。健全防止返贫动态监测和帮扶机制，对</w:t>
      </w:r>
      <w:r>
        <w:rPr>
          <w:spacing w:val="7"/>
        </w:rPr>
        <w:t>易返贫致贫人口实施常态化监测，实施脱贫户</w:t>
      </w:r>
      <w:r>
        <w:rPr>
          <w:spacing w:val="7"/>
        </w:rPr>
        <w:t>移民户双富计划，补上技术、设施、营销等短</w:t>
      </w:r>
      <w:r>
        <w:rPr>
          <w:spacing w:val="7"/>
        </w:rPr>
        <w:t>板，促进产业提档升级。做好脱贫人口稳岗就</w:t>
      </w:r>
      <w:r>
        <w:rPr>
          <w:spacing w:val="7"/>
        </w:rPr>
        <w:t>业，落实农村社会保障和救助制度，坚决防止</w:t>
      </w:r>
      <w:r>
        <w:rPr>
          <w:spacing w:val="7"/>
        </w:rPr>
        <w:t>返贫。坚持和完善社会力量参与帮扶机制，持</w:t>
      </w:r>
      <w:r>
        <w:rPr>
          <w:spacing w:val="7"/>
        </w:rPr>
        <w:t>续深化闽宁协作和企业定点帮扶等制度，开展</w:t>
      </w:r>
      <w:r>
        <w:rPr>
          <w:spacing w:val="7"/>
        </w:rPr>
        <w:t>“百企帮百村”“百企兴百村”行动，继续加</w:t>
      </w:r>
      <w:r>
        <w:rPr>
          <w:spacing w:val="7"/>
        </w:rPr>
        <w:t>大对已脱贫薄弱乡村的帮扶支持力度。做好易</w:t>
      </w:r>
      <w:r>
        <w:rPr>
          <w:spacing w:val="7"/>
        </w:rPr>
        <w:t>地搬迁后续扶持，多渠道促进就业，加强基础</w:t>
      </w:r>
      <w:r>
        <w:rPr>
          <w:spacing w:val="7"/>
        </w:rPr>
        <w:t>设施和公共服务，整治人居环境和促进社会融</w:t>
      </w:r>
      <w:r>
        <w:rPr>
          <w:spacing w:val="-8"/>
        </w:rPr>
        <w:t>入，确保搬迁群众稳得住、有就业、逐步能致富。</w:t>
      </w:r>
    </w:p>
    <w:p>
      <w:pPr>
        <w:pStyle w:val="BodyText"/>
        <w:ind w:left="432"/>
        <w:spacing w:before="1" w:line="217" w:lineRule="auto"/>
        <w:outlineLvl w:val="0"/>
        <w:rPr/>
      </w:pPr>
      <w:r>
        <w:rPr>
          <w:spacing w:val="7"/>
        </w:rPr>
        <w:t>增强低收入人口自我发展能力。引导群众</w:t>
      </w:r>
    </w:p>
    <w:p>
      <w:pPr>
        <w:spacing w:line="14" w:lineRule="auto"/>
        <w:rPr>
          <w:rFonts w:ascii="Arial"/>
          <w:sz w:val="2"/>
        </w:rPr>
      </w:pPr>
      <w:r>
        <w:rPr>
          <w:rFonts w:ascii="Arial" w:hAnsi="Arial" w:eastAsia="Arial" w:cs="Arial"/>
          <w:sz w:val="2"/>
          <w:szCs w:val="2"/>
        </w:rPr>
        <w:br w:type="column"/>
      </w:r>
    </w:p>
    <w:p>
      <w:pPr>
        <w:pStyle w:val="BodyText"/>
        <w:ind w:firstLine="1"/>
        <w:spacing w:before="115" w:line="379" w:lineRule="auto"/>
        <w:jc w:val="both"/>
        <w:rPr/>
      </w:pPr>
      <w:r>
        <w:rPr>
          <w:spacing w:val="7"/>
        </w:rPr>
        <w:t>树立主体意识，激发群众的积极性、主动性和</w:t>
      </w:r>
      <w:r>
        <w:rPr>
          <w:spacing w:val="7"/>
        </w:rPr>
        <w:t>创造性。实施特色种养业提升行动，支持发展</w:t>
      </w:r>
      <w:r>
        <w:rPr>
          <w:spacing w:val="7"/>
        </w:rPr>
        <w:t>壮大乡村特色产业，提升产业竞争力和抗风险</w:t>
      </w:r>
      <w:r>
        <w:rPr>
          <w:spacing w:val="7"/>
        </w:rPr>
        <w:t>能力。加强产业发展基础设施建设，因地制宜</w:t>
      </w:r>
      <w:r>
        <w:rPr>
          <w:spacing w:val="1"/>
        </w:rPr>
        <w:t>发展特色种养、农产品加工、生态经济等产业，</w:t>
      </w:r>
      <w:r>
        <w:rPr>
          <w:spacing w:val="7"/>
        </w:rPr>
        <w:t>积极培育休闲农业、乡村旅游、光伏发电等新</w:t>
      </w:r>
      <w:r>
        <w:rPr>
          <w:spacing w:val="1"/>
        </w:rPr>
        <w:t>产业。完善乡村流通服务网点，支持批发市场、</w:t>
      </w:r>
      <w:r>
        <w:rPr>
          <w:spacing w:val="7"/>
        </w:rPr>
        <w:t>电商企业、大型超市等流通企业与乡村特色产</w:t>
      </w:r>
      <w:r>
        <w:rPr>
          <w:spacing w:val="7"/>
        </w:rPr>
        <w:t>业精准对接，促进农产品稳定销售。加大职业</w:t>
      </w:r>
      <w:r>
        <w:rPr>
          <w:spacing w:val="7"/>
        </w:rPr>
        <w:t>技能培训力度，积极开辟就业岗位，引导群众</w:t>
      </w:r>
      <w:r>
        <w:rPr>
          <w:spacing w:val="11"/>
        </w:rPr>
        <w:t>就近就地务工，规范管理并增加公益性岗位，</w:t>
      </w:r>
      <w:r>
        <w:rPr>
          <w:spacing w:val="7"/>
        </w:rPr>
        <w:t>促进弱劳力、半劳力等家庭就地解决就业，实</w:t>
      </w:r>
      <w:r>
        <w:rPr>
          <w:spacing w:val="7"/>
        </w:rPr>
        <w:t>现有劳动能力的家庭至少</w:t>
      </w:r>
      <w:r>
        <w:rPr>
          <w:spacing w:val="-19"/>
        </w:rPr>
        <w:t xml:space="preserve"> </w:t>
      </w:r>
      <w:r>
        <w:rPr>
          <w:spacing w:val="7"/>
        </w:rPr>
        <w:t>1</w:t>
      </w:r>
      <w:r>
        <w:rPr>
          <w:spacing w:val="-44"/>
        </w:rPr>
        <w:t xml:space="preserve"> </w:t>
      </w:r>
      <w:r>
        <w:rPr>
          <w:spacing w:val="7"/>
        </w:rPr>
        <w:t>人务工就业。</w:t>
      </w:r>
    </w:p>
    <w:p>
      <w:pPr>
        <w:pStyle w:val="BodyText"/>
        <w:ind w:left="14" w:right="57" w:firstLine="406"/>
        <w:spacing w:before="1" w:line="300" w:lineRule="auto"/>
        <w:outlineLvl w:val="0"/>
        <w:rPr/>
      </w:pPr>
      <w:r>
        <w:rPr>
          <w:spacing w:val="7"/>
        </w:rPr>
        <w:t>稳步推进与乡村振兴有效衔接。把脱贫摘</w:t>
      </w:r>
      <w:r>
        <w:rPr>
          <w:spacing w:val="7"/>
        </w:rPr>
        <w:t>帽作为新生活新奋斗的起点，争取将原州区、</w:t>
      </w:r>
    </w:p>
    <w:p>
      <w:pPr>
        <w:pStyle w:val="BodyText"/>
        <w:ind w:right="57" w:firstLine="3"/>
        <w:spacing w:before="172" w:line="367" w:lineRule="auto"/>
        <w:jc w:val="both"/>
        <w:rPr/>
      </w:pPr>
      <w:r>
        <w:rPr>
          <w:spacing w:val="15"/>
        </w:rPr>
        <w:t>西吉列入国家乡村振兴重点帮扶县</w:t>
      </w:r>
      <w:r>
        <w:rPr>
          <w:spacing w:val="-43"/>
        </w:rPr>
        <w:t xml:space="preserve"> </w:t>
      </w:r>
      <w:r>
        <w:rPr>
          <w:spacing w:val="15"/>
        </w:rPr>
        <w:t>，将隆德</w:t>
      </w:r>
      <w:r>
        <w:rPr>
          <w:spacing w:val="7"/>
        </w:rPr>
        <w:t>县、泾源县、彭阳县列入自治区乡村振兴重点</w:t>
      </w:r>
      <w:r>
        <w:rPr>
          <w:spacing w:val="7"/>
        </w:rPr>
        <w:t>帮扶县。推进制度衔接，对脱贫攻坚中形成的</w:t>
      </w:r>
      <w:r>
        <w:rPr>
          <w:spacing w:val="8"/>
        </w:rPr>
        <w:t>经验做法、推进机制，总结凝练固化为制度，</w:t>
      </w:r>
      <w:r>
        <w:rPr>
          <w:spacing w:val="8"/>
        </w:rPr>
        <w:t>推动聚焦个体化发展转变为支持多元化发展、</w:t>
      </w:r>
      <w:r>
        <w:rPr>
          <w:spacing w:val="7"/>
        </w:rPr>
        <w:t>特惠性扶贫政策转变为普惠性民生政策、日常</w:t>
      </w:r>
      <w:r>
        <w:rPr>
          <w:spacing w:val="7"/>
        </w:rPr>
        <w:t>性帮扶措施转变为常态化扶持措施。推进产业</w:t>
      </w:r>
      <w:r>
        <w:rPr>
          <w:spacing w:val="7"/>
        </w:rPr>
        <w:t>衔接，建立推动扶贫产业向特色产业转变、向</w:t>
      </w:r>
      <w:r>
        <w:rPr>
          <w:spacing w:val="7"/>
        </w:rPr>
        <w:t>优势产业转变、向致富产业转变保障机制，建</w:t>
      </w:r>
      <w:r>
        <w:rPr>
          <w:spacing w:val="7"/>
        </w:rPr>
        <w:t>立确保农民收入稳定增长长效机制。推进项目</w:t>
      </w:r>
      <w:r>
        <w:rPr>
          <w:spacing w:val="15"/>
        </w:rPr>
        <w:t>衔接</w:t>
      </w:r>
      <w:r>
        <w:rPr>
          <w:spacing w:val="-40"/>
        </w:rPr>
        <w:t xml:space="preserve"> </w:t>
      </w:r>
      <w:r>
        <w:rPr>
          <w:spacing w:val="15"/>
        </w:rPr>
        <w:t>，选择一批基础条件好的出列村作为试</w:t>
      </w:r>
      <w:r>
        <w:rPr>
          <w:spacing w:val="7"/>
        </w:rPr>
        <w:t>点，在政策、资金、项目等方面优先支持，打</w:t>
      </w:r>
      <w:r>
        <w:rPr>
          <w:spacing w:val="7"/>
        </w:rPr>
        <w:t>造一批生态宜居的特色小镇、美丽乡村。推进</w:t>
      </w:r>
      <w:r>
        <w:rPr>
          <w:spacing w:val="7"/>
        </w:rPr>
        <w:t>规划衔接，综合土地资源、产业培育、居民点</w:t>
      </w:r>
      <w:r>
        <w:rPr>
          <w:spacing w:val="7"/>
        </w:rPr>
        <w:t>建设、人居环境整治、生态保护和历史文化传</w:t>
      </w:r>
      <w:r>
        <w:rPr>
          <w:spacing w:val="7"/>
        </w:rPr>
        <w:t>承等要素，形成城乡融合、区域一体、多规合</w:t>
      </w:r>
      <w:r>
        <w:rPr>
          <w:spacing w:val="7"/>
        </w:rPr>
        <w:t>一的规划体系。推进机制衔接，健全现代乡村</w:t>
      </w:r>
    </w:p>
    <w:p>
      <w:pPr>
        <w:spacing w:line="367" w:lineRule="auto"/>
        <w:sectPr>
          <w:type w:val="continuous"/>
          <w:pgSz w:w="11906" w:h="16839"/>
          <w:pgMar w:top="1793" w:right="1509" w:bottom="1570" w:left="1579" w:header="1428" w:footer="1172" w:gutter="0"/>
          <w:cols w:equalWidth="0" w:num="2">
            <w:col w:w="4489" w:space="100"/>
            <w:col w:w="4228" w:space="0"/>
          </w:cols>
        </w:sectPr>
        <w:rPr/>
      </w:pPr>
    </w:p>
    <w:p>
      <w:pPr>
        <w:spacing w:before="37"/>
        <w:rPr/>
      </w:pPr>
      <w:r>
        <w:drawing>
          <wp:anchor distT="0" distB="0" distL="0" distR="0" simplePos="0" relativeHeight="251787264"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406" name="IM 406"/>
            <wp:cNvGraphicFramePr/>
            <a:graphic>
              <a:graphicData uri="http://schemas.openxmlformats.org/drawingml/2006/picture">
                <pic:pic>
                  <pic:nvPicPr>
                    <pic:cNvPr id="406" name="IM 406"/>
                    <pic:cNvPicPr/>
                  </pic:nvPicPr>
                  <pic:blipFill>
                    <a:blip r:embed="rId205"/>
                    <a:stretch>
                      <a:fillRect/>
                    </a:stretch>
                  </pic:blipFill>
                  <pic:spPr>
                    <a:xfrm rot="0">
                      <a:off x="0" y="0"/>
                      <a:ext cx="5579745" cy="7619"/>
                    </a:xfrm>
                    <a:prstGeom prst="rect">
                      <a:avLst/>
                    </a:prstGeom>
                  </pic:spPr>
                </pic:pic>
              </a:graphicData>
            </a:graphic>
          </wp:anchor>
        </w:drawing>
      </w:r>
      <w:r/>
    </w:p>
    <w:p>
      <w:pPr>
        <w:sectPr>
          <w:headerReference w:type="default" r:id="rId188"/>
          <w:footerReference w:type="default" r:id="rId204"/>
          <w:pgSz w:w="11906" w:h="16839"/>
          <w:pgMar w:top="1793" w:right="1489" w:bottom="1673" w:left="1565" w:header="1428" w:footer="1277" w:gutter="0"/>
          <w:cols w:equalWidth="0" w:num="1">
            <w:col w:w="8852" w:space="0"/>
          </w:cols>
        </w:sectPr>
        <w:rPr/>
      </w:pPr>
    </w:p>
    <w:p>
      <w:pPr>
        <w:pStyle w:val="BodyText"/>
        <w:ind w:left="30" w:right="306"/>
        <w:spacing w:before="63" w:line="378" w:lineRule="auto"/>
        <w:jc w:val="both"/>
        <w:rPr/>
      </w:pPr>
      <w:r>
        <w:rPr>
          <w:spacing w:val="8"/>
        </w:rPr>
        <w:t>治理体系，建立治理理念由管理向服务转变、</w:t>
      </w:r>
      <w:r>
        <w:rPr>
          <w:spacing w:val="7"/>
        </w:rPr>
        <w:t>治理方式由粗放向精细转变、治理主体由单一</w:t>
      </w:r>
      <w:r>
        <w:rPr>
          <w:spacing w:val="7"/>
        </w:rPr>
        <w:t>向多元转变机制。</w:t>
      </w:r>
    </w:p>
    <w:p>
      <w:pPr>
        <w:pStyle w:val="BodyText"/>
        <w:ind w:left="842"/>
        <w:spacing w:before="293" w:line="220" w:lineRule="auto"/>
        <w:outlineLvl w:val="0"/>
        <w:rPr/>
      </w:pPr>
      <w:r>
        <w:rPr>
          <w:b/>
          <w:bCs/>
          <w:spacing w:val="7"/>
        </w:rPr>
        <w:t>第二节</w:t>
      </w:r>
      <w:r>
        <w:rPr>
          <w:spacing w:val="7"/>
        </w:rPr>
        <w:t xml:space="preserve">  </w:t>
      </w:r>
      <w:r>
        <w:rPr>
          <w:b/>
          <w:bCs/>
          <w:spacing w:val="7"/>
        </w:rPr>
        <w:t>夯实农业发展基础</w:t>
      </w:r>
    </w:p>
    <w:p>
      <w:pPr>
        <w:spacing w:line="376" w:lineRule="auto"/>
        <w:rPr>
          <w:rFonts w:ascii="Arial"/>
          <w:sz w:val="21"/>
        </w:rPr>
      </w:pPr>
      <w:r/>
    </w:p>
    <w:p>
      <w:pPr>
        <w:pStyle w:val="BodyText"/>
        <w:ind w:left="448"/>
        <w:spacing w:before="65" w:line="224" w:lineRule="auto"/>
        <w:rPr/>
      </w:pPr>
      <w:r>
        <w:rPr>
          <w:spacing w:val="6"/>
        </w:rPr>
        <w:t>加快转变农业发展方式，着力构建现代农</w:t>
      </w:r>
    </w:p>
    <w:p>
      <w:pPr>
        <w:pStyle w:val="BodyText"/>
        <w:ind w:left="26"/>
        <w:spacing w:before="138" w:line="224" w:lineRule="auto"/>
        <w:outlineLvl w:val="0"/>
        <w:rPr/>
      </w:pPr>
      <w:r>
        <w:rPr>
          <w:spacing w:val="7"/>
        </w:rPr>
        <w:t>业产业体系、生产体系、经营体系，提高农业</w:t>
      </w:r>
    </w:p>
    <w:p>
      <w:pPr>
        <w:pStyle w:val="BodyText"/>
        <w:ind w:left="32" w:right="306" w:hanging="3"/>
        <w:spacing w:before="135" w:line="332" w:lineRule="auto"/>
        <w:rPr/>
      </w:pPr>
      <w:r>
        <w:rPr>
          <w:spacing w:val="8"/>
        </w:rPr>
        <w:t>质量效益和竞争力，走产出高效、产品安全、</w:t>
      </w:r>
      <w:r>
        <w:rPr>
          <w:spacing w:val="8"/>
        </w:rPr>
        <w:t>资源节约、环境友好的农业现代化道路。</w:t>
      </w:r>
    </w:p>
    <w:p>
      <w:pPr>
        <w:pStyle w:val="BodyText"/>
        <w:ind w:left="448"/>
        <w:spacing w:before="45" w:line="220" w:lineRule="auto"/>
        <w:rPr/>
      </w:pPr>
      <w:r>
        <w:rPr>
          <w:spacing w:val="6"/>
        </w:rPr>
        <w:t>加强耕地保护与利用。坚持最严格的耕地</w:t>
      </w:r>
    </w:p>
    <w:p>
      <w:pPr>
        <w:pStyle w:val="BodyText"/>
        <w:ind w:left="26"/>
        <w:spacing w:before="140" w:line="223" w:lineRule="auto"/>
        <w:outlineLvl w:val="0"/>
        <w:rPr/>
      </w:pPr>
      <w:r>
        <w:rPr>
          <w:spacing w:val="7"/>
        </w:rPr>
        <w:t>保护制度，加强耕地数量、质量、生态“三位</w:t>
      </w:r>
    </w:p>
    <w:p>
      <w:pPr>
        <w:pStyle w:val="BodyText"/>
        <w:ind w:left="27" w:right="262" w:firstLine="1"/>
        <w:spacing w:before="137" w:line="351" w:lineRule="auto"/>
        <w:jc w:val="both"/>
        <w:rPr/>
      </w:pPr>
      <w:r>
        <w:rPr>
          <w:spacing w:val="7"/>
        </w:rPr>
        <w:t>一体”保护，坚决遏制耕地“非农化”、防止</w:t>
      </w:r>
      <w:r>
        <w:rPr>
          <w:spacing w:val="7"/>
        </w:rPr>
        <w:t>“非粮化“，进一步规范高标准农田建设和占</w:t>
      </w:r>
      <w:r>
        <w:rPr>
          <w:spacing w:val="7"/>
        </w:rPr>
        <w:t>补平衡管理，不断提高耕地保护工作质量和水</w:t>
      </w:r>
      <w:r>
        <w:rPr>
          <w:spacing w:val="7"/>
        </w:rPr>
        <w:t>平。加快农业基础设施建设，新建高标准农田</w:t>
      </w:r>
      <w:r>
        <w:rPr>
          <w:spacing w:val="9"/>
        </w:rPr>
        <w:t>200</w:t>
      </w:r>
      <w:r>
        <w:rPr>
          <w:spacing w:val="-20"/>
        </w:rPr>
        <w:t xml:space="preserve"> </w:t>
      </w:r>
      <w:r>
        <w:rPr>
          <w:spacing w:val="9"/>
        </w:rPr>
        <w:t>万亩</w:t>
      </w:r>
      <w:r>
        <w:rPr>
          <w:spacing w:val="-54"/>
        </w:rPr>
        <w:t xml:space="preserve"> </w:t>
      </w:r>
      <w:r>
        <w:rPr>
          <w:spacing w:val="9"/>
        </w:rPr>
        <w:t>，建设改造高效节水灌溉面积</w:t>
      </w:r>
      <w:r>
        <w:rPr>
          <w:spacing w:val="-34"/>
        </w:rPr>
        <w:t xml:space="preserve"> </w:t>
      </w:r>
      <w:r>
        <w:rPr>
          <w:spacing w:val="9"/>
        </w:rPr>
        <w:t>30</w:t>
      </w:r>
      <w:r>
        <w:rPr>
          <w:spacing w:val="-34"/>
        </w:rPr>
        <w:t xml:space="preserve"> </w:t>
      </w:r>
      <w:r>
        <w:rPr>
          <w:spacing w:val="9"/>
        </w:rPr>
        <w:t>万</w:t>
      </w:r>
      <w:r>
        <w:rPr>
          <w:spacing w:val="7"/>
        </w:rPr>
        <w:t>亩。积极稳妥推进耕地轮作休耕试点，加强耕</w:t>
      </w:r>
      <w:r>
        <w:rPr>
          <w:spacing w:val="7"/>
        </w:rPr>
        <w:t>地轮作休耕管理，杜绝改变耕地类型和减少耕</w:t>
      </w:r>
      <w:r>
        <w:rPr>
          <w:spacing w:val="4"/>
        </w:rPr>
        <w:t>地面积，保持农业综合生产能力。到</w:t>
      </w:r>
      <w:r>
        <w:rPr>
          <w:spacing w:val="-35"/>
        </w:rPr>
        <w:t xml:space="preserve"> </w:t>
      </w:r>
      <w:r>
        <w:rPr>
          <w:spacing w:val="4"/>
        </w:rPr>
        <w:t>2025</w:t>
      </w:r>
      <w:r>
        <w:rPr>
          <w:spacing w:val="-41"/>
        </w:rPr>
        <w:t xml:space="preserve"> </w:t>
      </w:r>
      <w:r>
        <w:rPr>
          <w:spacing w:val="4"/>
        </w:rPr>
        <w:t>年，</w:t>
      </w:r>
      <w:r>
        <w:rPr>
          <w:spacing w:val="9"/>
        </w:rPr>
        <w:t>全市耕地保有量稳定在511</w:t>
      </w:r>
      <w:r>
        <w:rPr>
          <w:spacing w:val="-41"/>
        </w:rPr>
        <w:t xml:space="preserve"> </w:t>
      </w:r>
      <w:r>
        <w:rPr>
          <w:spacing w:val="9"/>
        </w:rPr>
        <w:t>万亩，全市永久基</w:t>
      </w:r>
      <w:r>
        <w:rPr>
          <w:spacing w:val="6"/>
        </w:rPr>
        <w:t>本农田稳定在</w:t>
      </w:r>
      <w:r>
        <w:rPr>
          <w:spacing w:val="-43"/>
        </w:rPr>
        <w:t xml:space="preserve"> </w:t>
      </w:r>
      <w:r>
        <w:rPr>
          <w:spacing w:val="6"/>
        </w:rPr>
        <w:t>440</w:t>
      </w:r>
      <w:r>
        <w:rPr>
          <w:spacing w:val="-41"/>
        </w:rPr>
        <w:t xml:space="preserve"> </w:t>
      </w:r>
      <w:r>
        <w:rPr>
          <w:spacing w:val="6"/>
        </w:rPr>
        <w:t>万亩。</w:t>
      </w:r>
    </w:p>
    <w:p>
      <w:pPr>
        <w:pStyle w:val="BodyText"/>
        <w:ind w:left="450"/>
        <w:spacing w:line="221" w:lineRule="auto"/>
        <w:rPr/>
      </w:pPr>
      <w:r>
        <w:rPr>
          <w:spacing w:val="6"/>
        </w:rPr>
        <w:t>强化粮食安全保障能力。深入实施藏粮于</w:t>
      </w:r>
    </w:p>
    <w:p>
      <w:pPr>
        <w:pStyle w:val="BodyText"/>
        <w:ind w:left="28"/>
        <w:spacing w:before="140" w:line="222" w:lineRule="auto"/>
        <w:outlineLvl w:val="0"/>
        <w:rPr/>
      </w:pPr>
      <w:r>
        <w:rPr>
          <w:spacing w:val="7"/>
        </w:rPr>
        <w:t>地、藏粮于技战略，全面提升粮食单产和综合</w:t>
      </w:r>
    </w:p>
    <w:p>
      <w:pPr>
        <w:pStyle w:val="BodyText"/>
        <w:ind w:left="26" w:right="322"/>
        <w:spacing w:before="139" w:line="348" w:lineRule="auto"/>
        <w:jc w:val="both"/>
        <w:rPr/>
      </w:pPr>
      <w:r>
        <w:rPr>
          <w:spacing w:val="7"/>
        </w:rPr>
        <w:t>保障能力。把保障粮食安全作为农业现代化的</w:t>
      </w:r>
      <w:r>
        <w:rPr>
          <w:spacing w:val="7"/>
        </w:rPr>
        <w:t>首要任务，划定粮食生产功能区和重要农产品</w:t>
      </w:r>
      <w:r>
        <w:rPr>
          <w:spacing w:val="7"/>
        </w:rPr>
        <w:t>生产保护区，稳定优质小麦、优质马铃薯、秋</w:t>
      </w:r>
      <w:r>
        <w:rPr>
          <w:spacing w:val="7"/>
        </w:rPr>
        <w:t>杂粮、油料等主要农作物种植面积，扎实开展</w:t>
      </w:r>
      <w:r>
        <w:rPr>
          <w:spacing w:val="7"/>
        </w:rPr>
        <w:t>粮食高产创建和绿色增产攻关，加强种质资源</w:t>
      </w:r>
      <w:r>
        <w:rPr>
          <w:spacing w:val="7"/>
        </w:rPr>
        <w:t>保护和利用，加强种子库建设，有序推进生物</w:t>
      </w:r>
      <w:r>
        <w:rPr>
          <w:spacing w:val="7"/>
        </w:rPr>
        <w:t>育种产业化应用，开展种源“卡脖子”技术攻</w:t>
      </w:r>
      <w:r>
        <w:rPr>
          <w:spacing w:val="7"/>
        </w:rPr>
        <w:t>关，选育推广高产、优质、多抗粮食新品种，</w:t>
      </w:r>
      <w:r>
        <w:rPr>
          <w:spacing w:val="7"/>
        </w:rPr>
        <w:t>优化粮食种植结构，构建充足、可靠、多样化</w:t>
      </w:r>
      <w:r>
        <w:rPr>
          <w:spacing w:val="7"/>
        </w:rPr>
        <w:t>的粮食安全保障体系，实现全市粮食生产产量</w:t>
      </w:r>
    </w:p>
    <w:p>
      <w:pPr>
        <w:spacing w:line="14" w:lineRule="auto"/>
        <w:rPr>
          <w:rFonts w:ascii="Arial"/>
          <w:sz w:val="2"/>
        </w:rPr>
      </w:pPr>
      <w:r>
        <w:rPr>
          <w:rFonts w:ascii="Arial" w:hAnsi="Arial" w:eastAsia="Arial" w:cs="Arial"/>
          <w:sz w:val="2"/>
          <w:szCs w:val="2"/>
        </w:rPr>
        <w:br w:type="column"/>
      </w:r>
    </w:p>
    <w:p>
      <w:pPr>
        <w:pStyle w:val="BodyText"/>
        <w:ind w:left="1" w:right="98" w:hanging="1"/>
        <w:spacing w:before="38" w:line="351" w:lineRule="auto"/>
        <w:jc w:val="both"/>
        <w:rPr/>
      </w:pPr>
      <w:r>
        <w:rPr>
          <w:spacing w:val="7"/>
        </w:rPr>
        <w:t>增加和质量稳步提升。开展粮食节约行动，提</w:t>
      </w:r>
      <w:r>
        <w:rPr>
          <w:spacing w:val="7"/>
        </w:rPr>
        <w:t>升收储粮食调控能力，坚持完善最低收购价政</w:t>
      </w:r>
      <w:r>
        <w:rPr>
          <w:spacing w:val="7"/>
        </w:rPr>
        <w:t>策，扩大完全成本和收入保险范围。调动农民</w:t>
      </w:r>
      <w:r>
        <w:rPr>
          <w:spacing w:val="7"/>
        </w:rPr>
        <w:t>种粮积极性，稳定和加强种粮农民补贴，保障</w:t>
      </w:r>
      <w:r>
        <w:rPr>
          <w:spacing w:val="-3"/>
        </w:rPr>
        <w:t>重要农产品供给安全，市场价格总体稳定。“十</w:t>
      </w:r>
      <w:r>
        <w:rPr>
          <w:spacing w:val="5"/>
        </w:rPr>
        <w:t>四五”期间，全市粮食播种面积稳定在</w:t>
      </w:r>
      <w:r>
        <w:rPr>
          <w:spacing w:val="-19"/>
        </w:rPr>
        <w:t xml:space="preserve"> </w:t>
      </w:r>
      <w:r>
        <w:rPr>
          <w:spacing w:val="5"/>
        </w:rPr>
        <w:t>310</w:t>
      </w:r>
      <w:r>
        <w:rPr>
          <w:spacing w:val="-40"/>
        </w:rPr>
        <w:t xml:space="preserve"> </w:t>
      </w:r>
      <w:r>
        <w:rPr>
          <w:spacing w:val="5"/>
        </w:rPr>
        <w:t>万</w:t>
      </w:r>
      <w:r>
        <w:rPr>
          <w:spacing w:val="7"/>
        </w:rPr>
        <w:t>亩，粮食综合生产能力稳定在</w:t>
      </w:r>
      <w:r>
        <w:rPr>
          <w:spacing w:val="-25"/>
        </w:rPr>
        <w:t xml:space="preserve"> </w:t>
      </w:r>
      <w:r>
        <w:rPr>
          <w:spacing w:val="7"/>
        </w:rPr>
        <w:t>80</w:t>
      </w:r>
      <w:r>
        <w:rPr>
          <w:spacing w:val="-40"/>
        </w:rPr>
        <w:t xml:space="preserve"> </w:t>
      </w:r>
      <w:r>
        <w:rPr>
          <w:spacing w:val="7"/>
        </w:rPr>
        <w:t>万吨以上。</w:t>
      </w:r>
    </w:p>
    <w:p>
      <w:pPr>
        <w:pStyle w:val="BodyText"/>
        <w:ind w:right="101" w:firstLine="423"/>
        <w:spacing w:before="2" w:line="285" w:lineRule="auto"/>
        <w:outlineLvl w:val="0"/>
        <w:rPr/>
      </w:pPr>
      <w:r>
        <w:rPr>
          <w:spacing w:val="6"/>
        </w:rPr>
        <w:t>提高农业现代化生产水平。推动农业供给</w:t>
      </w:r>
      <w:r>
        <w:rPr>
          <w:spacing w:val="15"/>
        </w:rPr>
        <w:t>侧结构性改革</w:t>
      </w:r>
      <w:r>
        <w:rPr>
          <w:spacing w:val="-40"/>
        </w:rPr>
        <w:t xml:space="preserve"> </w:t>
      </w:r>
      <w:r>
        <w:rPr>
          <w:spacing w:val="15"/>
        </w:rPr>
        <w:t>，强化现代农业科技和装备支</w:t>
      </w:r>
    </w:p>
    <w:p>
      <w:pPr>
        <w:pStyle w:val="BodyText"/>
        <w:ind w:right="97" w:firstLine="1"/>
        <w:spacing w:before="144" w:line="352" w:lineRule="auto"/>
        <w:jc w:val="both"/>
        <w:rPr/>
      </w:pPr>
      <w:r>
        <w:rPr>
          <w:spacing w:val="7"/>
        </w:rPr>
        <w:t>撑，对农业基础设施改造提升，加强农业机械</w:t>
      </w:r>
      <w:r>
        <w:rPr>
          <w:spacing w:val="7"/>
        </w:rPr>
        <w:t>化耕作，进一步推广农业实用技术，着力构建</w:t>
      </w:r>
      <w:r>
        <w:rPr>
          <w:spacing w:val="7"/>
        </w:rPr>
        <w:t>机械化、科技化、标准化为一体的现代农业生</w:t>
      </w:r>
      <w:r>
        <w:rPr>
          <w:spacing w:val="7"/>
        </w:rPr>
        <w:t>产体系。推进龙头企业引领、新型经营主体提</w:t>
      </w:r>
      <w:r>
        <w:rPr>
          <w:spacing w:val="7"/>
        </w:rPr>
        <w:t>升、目标市场开拓、品牌培育打造、农产品出</w:t>
      </w:r>
      <w:r>
        <w:rPr>
          <w:spacing w:val="7"/>
        </w:rPr>
        <w:t>村进城“五大行动”，着力构建以农户家庭经</w:t>
      </w:r>
      <w:r>
        <w:rPr>
          <w:spacing w:val="7"/>
        </w:rPr>
        <w:t>营为基础、合作与联合为纽带、社会化服务体</w:t>
      </w:r>
      <w:r>
        <w:rPr>
          <w:spacing w:val="7"/>
        </w:rPr>
        <w:t>系为支撑的现代农业经营体系。加强与农业科</w:t>
      </w:r>
      <w:r>
        <w:rPr>
          <w:spacing w:val="7"/>
        </w:rPr>
        <w:t>研机构、农业高等院校等技术平台的合作，积</w:t>
      </w:r>
      <w:r>
        <w:rPr>
          <w:spacing w:val="7"/>
        </w:rPr>
        <w:t>极争取并实施一批重大科技专项，集中抓好国</w:t>
      </w:r>
      <w:r>
        <w:rPr>
          <w:spacing w:val="7"/>
        </w:rPr>
        <w:t>家农业科技园区创建工作，加强农业科技示范</w:t>
      </w:r>
      <w:r>
        <w:rPr>
          <w:spacing w:val="7"/>
        </w:rPr>
        <w:t>村示范基地建设，推进农业科技研发和推广应</w:t>
      </w:r>
      <w:r>
        <w:rPr>
          <w:spacing w:val="15"/>
        </w:rPr>
        <w:t>用</w:t>
      </w:r>
      <w:r>
        <w:rPr>
          <w:spacing w:val="-39"/>
        </w:rPr>
        <w:t xml:space="preserve"> </w:t>
      </w:r>
      <w:r>
        <w:rPr>
          <w:spacing w:val="15"/>
        </w:rPr>
        <w:t>，着力提高农业良种化水平和科技转化能</w:t>
      </w:r>
      <w:r>
        <w:rPr>
          <w:spacing w:val="7"/>
        </w:rPr>
        <w:t>力，健全农产品质量追溯体系，保障农产品质</w:t>
      </w:r>
      <w:r>
        <w:rPr>
          <w:spacing w:val="8"/>
        </w:rPr>
        <w:t>量安全。到</w:t>
      </w:r>
      <w:r>
        <w:rPr>
          <w:spacing w:val="-27"/>
        </w:rPr>
        <w:t xml:space="preserve"> </w:t>
      </w:r>
      <w:r>
        <w:rPr>
          <w:spacing w:val="8"/>
        </w:rPr>
        <w:t>2025</w:t>
      </w:r>
      <w:r>
        <w:rPr>
          <w:spacing w:val="-37"/>
        </w:rPr>
        <w:t xml:space="preserve"> </w:t>
      </w:r>
      <w:r>
        <w:rPr>
          <w:spacing w:val="8"/>
        </w:rPr>
        <w:t>年</w:t>
      </w:r>
      <w:r>
        <w:rPr>
          <w:spacing w:val="-58"/>
        </w:rPr>
        <w:t xml:space="preserve"> </w:t>
      </w:r>
      <w:r>
        <w:rPr>
          <w:spacing w:val="8"/>
        </w:rPr>
        <w:t>，全市农业产业化龙头企</w:t>
      </w:r>
      <w:r>
        <w:rPr>
          <w:spacing w:val="5"/>
        </w:rPr>
        <w:t>业达到</w:t>
      </w:r>
      <w:r>
        <w:rPr>
          <w:spacing w:val="-19"/>
        </w:rPr>
        <w:t xml:space="preserve"> </w:t>
      </w:r>
      <w:r>
        <w:rPr>
          <w:spacing w:val="5"/>
        </w:rPr>
        <w:t>140</w:t>
      </w:r>
      <w:r>
        <w:rPr>
          <w:spacing w:val="-38"/>
        </w:rPr>
        <w:t xml:space="preserve"> </w:t>
      </w:r>
      <w:r>
        <w:rPr>
          <w:spacing w:val="5"/>
        </w:rPr>
        <w:t>家以上，各类农业专业合作社达到</w:t>
      </w:r>
      <w:r>
        <w:rPr>
          <w:spacing w:val="4"/>
        </w:rPr>
        <w:t>2500</w:t>
      </w:r>
      <w:r>
        <w:rPr>
          <w:spacing w:val="-40"/>
        </w:rPr>
        <w:t xml:space="preserve"> </w:t>
      </w:r>
      <w:r>
        <w:rPr>
          <w:spacing w:val="4"/>
        </w:rPr>
        <w:t>余家，主要农作物综合机械化作业水平达</w:t>
      </w:r>
      <w:r>
        <w:rPr>
          <w:spacing w:val="17"/>
        </w:rPr>
        <w:t>到</w:t>
      </w:r>
      <w:r>
        <w:rPr>
          <w:spacing w:val="-21"/>
        </w:rPr>
        <w:t xml:space="preserve"> </w:t>
      </w:r>
      <w:r>
        <w:rPr>
          <w:spacing w:val="17"/>
        </w:rPr>
        <w:t>70%左右</w:t>
      </w:r>
      <w:r>
        <w:rPr>
          <w:spacing w:val="-53"/>
        </w:rPr>
        <w:t xml:space="preserve"> </w:t>
      </w:r>
      <w:r>
        <w:rPr>
          <w:spacing w:val="17"/>
        </w:rPr>
        <w:t>，农业新技术覆盖率达到</w:t>
      </w:r>
      <w:r>
        <w:rPr>
          <w:spacing w:val="-35"/>
        </w:rPr>
        <w:t xml:space="preserve"> </w:t>
      </w:r>
      <w:r>
        <w:rPr>
          <w:spacing w:val="17"/>
        </w:rPr>
        <w:t>90%左</w:t>
      </w:r>
      <w:r>
        <w:rPr>
          <w:spacing w:val="15"/>
        </w:rPr>
        <w:t>右，农业科技贡献率达到60%以上。</w:t>
      </w:r>
    </w:p>
    <w:p>
      <w:pPr>
        <w:spacing w:line="297" w:lineRule="auto"/>
        <w:rPr>
          <w:rFonts w:ascii="Arial"/>
          <w:sz w:val="21"/>
        </w:rPr>
      </w:pPr>
      <w:r/>
    </w:p>
    <w:p>
      <w:pPr>
        <w:pStyle w:val="BodyText"/>
        <w:ind w:left="815"/>
        <w:spacing w:before="65" w:line="221" w:lineRule="auto"/>
        <w:outlineLvl w:val="0"/>
        <w:rPr/>
      </w:pPr>
      <w:r>
        <w:rPr>
          <w:b/>
          <w:bCs/>
          <w:spacing w:val="7"/>
        </w:rPr>
        <w:t>第三节</w:t>
      </w:r>
      <w:r>
        <w:rPr>
          <w:spacing w:val="7"/>
        </w:rPr>
        <w:t xml:space="preserve">  </w:t>
      </w:r>
      <w:r>
        <w:rPr>
          <w:b/>
          <w:bCs/>
          <w:spacing w:val="7"/>
        </w:rPr>
        <w:t>实施乡村建设行动</w:t>
      </w:r>
    </w:p>
    <w:p>
      <w:pPr>
        <w:spacing w:line="245" w:lineRule="auto"/>
        <w:rPr>
          <w:rFonts w:ascii="Arial"/>
          <w:sz w:val="21"/>
        </w:rPr>
      </w:pPr>
      <w:r/>
    </w:p>
    <w:p>
      <w:pPr>
        <w:spacing w:line="245" w:lineRule="auto"/>
        <w:rPr>
          <w:rFonts w:ascii="Arial"/>
          <w:sz w:val="21"/>
        </w:rPr>
      </w:pPr>
      <w:r/>
    </w:p>
    <w:p>
      <w:pPr>
        <w:pStyle w:val="BodyText"/>
        <w:ind w:left="6" w:right="94" w:firstLine="420"/>
        <w:spacing w:before="66" w:line="297" w:lineRule="auto"/>
        <w:outlineLvl w:val="0"/>
        <w:rPr/>
      </w:pPr>
      <w:r>
        <w:rPr>
          <w:spacing w:val="7"/>
        </w:rPr>
        <w:t>突出乡村建设在乡村振兴中的重要位置，</w:t>
      </w:r>
      <w:r>
        <w:rPr>
          <w:spacing w:val="7"/>
        </w:rPr>
        <w:t>大力实施乡村建设行动，加快补齐乡村建设发</w:t>
      </w:r>
    </w:p>
    <w:p>
      <w:pPr>
        <w:pStyle w:val="BodyText"/>
        <w:ind w:left="1"/>
        <w:spacing w:before="160" w:line="186" w:lineRule="auto"/>
        <w:rPr/>
      </w:pPr>
      <w:r>
        <w:rPr>
          <w:spacing w:val="9"/>
        </w:rPr>
        <w:t>展短板，让农村成为安居乐业的家园。</w:t>
      </w:r>
    </w:p>
    <w:p>
      <w:pPr>
        <w:spacing w:line="186" w:lineRule="auto"/>
        <w:sectPr>
          <w:type w:val="continuous"/>
          <w:pgSz w:w="11906" w:h="16839"/>
          <w:pgMar w:top="1793" w:right="1489" w:bottom="1673" w:left="1565" w:header="1428" w:footer="1277" w:gutter="0"/>
          <w:cols w:equalWidth="0" w:num="2">
            <w:col w:w="4504" w:space="100"/>
            <w:col w:w="4249" w:space="0"/>
          </w:cols>
        </w:sectPr>
        <w:rPr/>
      </w:pPr>
    </w:p>
    <w:p>
      <w:pPr>
        <w:spacing w:before="46"/>
        <w:rPr/>
      </w:pPr>
      <w:r>
        <w:drawing>
          <wp:anchor distT="0" distB="0" distL="0" distR="0" simplePos="0" relativeHeight="251789312"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410" name="IM 410"/>
            <wp:cNvGraphicFramePr/>
            <a:graphic>
              <a:graphicData uri="http://schemas.openxmlformats.org/drawingml/2006/picture">
                <pic:pic>
                  <pic:nvPicPr>
                    <pic:cNvPr id="410" name="IM 410"/>
                    <pic:cNvPicPr/>
                  </pic:nvPicPr>
                  <pic:blipFill>
                    <a:blip r:embed="rId207"/>
                    <a:stretch>
                      <a:fillRect/>
                    </a:stretch>
                  </pic:blipFill>
                  <pic:spPr>
                    <a:xfrm rot="0">
                      <a:off x="0" y="0"/>
                      <a:ext cx="5579745" cy="7619"/>
                    </a:xfrm>
                    <a:prstGeom prst="rect">
                      <a:avLst/>
                    </a:prstGeom>
                  </pic:spPr>
                </pic:pic>
              </a:graphicData>
            </a:graphic>
          </wp:anchor>
        </w:drawing>
      </w:r>
      <w:r/>
    </w:p>
    <w:p>
      <w:pPr>
        <w:sectPr>
          <w:headerReference w:type="default" r:id="rId150"/>
          <w:footerReference w:type="default" r:id="rId206"/>
          <w:pgSz w:w="11906" w:h="16839"/>
          <w:pgMar w:top="1793" w:right="1530" w:bottom="1570" w:left="1579" w:header="1428" w:footer="1172" w:gutter="0"/>
          <w:cols w:equalWidth="0" w:num="1">
            <w:col w:w="8796" w:space="0"/>
          </w:cols>
        </w:sectPr>
        <w:rPr/>
      </w:pPr>
    </w:p>
    <w:p>
      <w:pPr>
        <w:pStyle w:val="BodyText"/>
        <w:ind w:left="434"/>
        <w:spacing w:before="41" w:line="223" w:lineRule="auto"/>
        <w:rPr/>
      </w:pPr>
      <w:r>
        <w:rPr>
          <w:spacing w:val="6"/>
        </w:rPr>
        <w:t>持续提升乡村基础设施。落实乡村建设行</w:t>
      </w:r>
    </w:p>
    <w:p>
      <w:pPr>
        <w:pStyle w:val="BodyText"/>
        <w:ind w:left="16"/>
        <w:spacing w:before="154" w:line="223" w:lineRule="auto"/>
        <w:outlineLvl w:val="0"/>
        <w:rPr/>
      </w:pPr>
      <w:r>
        <w:rPr>
          <w:spacing w:val="7"/>
        </w:rPr>
        <w:t>动，统筹县域城镇和村庄规划建设，优化乡村</w:t>
      </w:r>
    </w:p>
    <w:p>
      <w:pPr>
        <w:pStyle w:val="BodyText"/>
        <w:ind w:left="11" w:right="327" w:firstLine="5"/>
        <w:spacing w:before="149" w:line="366" w:lineRule="auto"/>
        <w:jc w:val="both"/>
        <w:rPr/>
      </w:pPr>
      <w:r>
        <w:rPr>
          <w:spacing w:val="7"/>
        </w:rPr>
        <w:t>空间布局，保护传统村落和乡村风貌，打造集</w:t>
      </w:r>
      <w:r>
        <w:rPr>
          <w:spacing w:val="7"/>
        </w:rPr>
        <w:t>约高效生产空间，营造宜居适度生活空间。持</w:t>
      </w:r>
      <w:r>
        <w:rPr>
          <w:spacing w:val="7"/>
        </w:rPr>
        <w:t>续开展农村人居环境整治，持续推进“百村示</w:t>
      </w:r>
      <w:r>
        <w:rPr>
          <w:spacing w:val="7"/>
        </w:rPr>
        <w:t>范、千村整治”行动，加大农村改厕、生活垃</w:t>
      </w:r>
      <w:r>
        <w:rPr>
          <w:spacing w:val="7"/>
        </w:rPr>
        <w:t>圾处理和污水治理力度，实施乡村绿化和水环</w:t>
      </w:r>
      <w:r>
        <w:rPr>
          <w:spacing w:val="7"/>
        </w:rPr>
        <w:t>境整治工程，全面提升村容村貌，提档升级农</w:t>
      </w:r>
      <w:r>
        <w:rPr>
          <w:spacing w:val="7"/>
        </w:rPr>
        <w:t>村水、电、路、气、通信、广播电视、物流等</w:t>
      </w:r>
      <w:r>
        <w:rPr>
          <w:spacing w:val="5"/>
        </w:rPr>
        <w:t>基础设施，提升农房建设质量。发挥</w:t>
      </w:r>
      <w:r>
        <w:rPr>
          <w:spacing w:val="-14"/>
        </w:rPr>
        <w:t xml:space="preserve"> </w:t>
      </w:r>
      <w:r>
        <w:rPr>
          <w:spacing w:val="5"/>
        </w:rPr>
        <w:t>100</w:t>
      </w:r>
      <w:r>
        <w:rPr>
          <w:spacing w:val="-43"/>
        </w:rPr>
        <w:t xml:space="preserve"> </w:t>
      </w:r>
      <w:r>
        <w:rPr>
          <w:spacing w:val="5"/>
        </w:rPr>
        <w:t>个美</w:t>
      </w:r>
      <w:r>
        <w:rPr>
          <w:spacing w:val="7"/>
        </w:rPr>
        <w:t>丽示范村带动作用，建设一批立足乡土、富有</w:t>
      </w:r>
      <w:r>
        <w:rPr>
          <w:spacing w:val="7"/>
        </w:rPr>
        <w:t>特色、承载乡愁、体现文明的升级版生态美丽</w:t>
      </w:r>
      <w:r>
        <w:rPr>
          <w:spacing w:val="7"/>
        </w:rPr>
        <w:t>特色村和现代化示范村，打造新时代固原美丽</w:t>
      </w:r>
      <w:r>
        <w:rPr>
          <w:spacing w:val="8"/>
        </w:rPr>
        <w:t>乡村建设“样板间”。到</w:t>
      </w:r>
      <w:r>
        <w:rPr>
          <w:spacing w:val="-27"/>
        </w:rPr>
        <w:t xml:space="preserve"> </w:t>
      </w:r>
      <w:r>
        <w:rPr>
          <w:spacing w:val="8"/>
        </w:rPr>
        <w:t>2025</w:t>
      </w:r>
      <w:r>
        <w:rPr>
          <w:spacing w:val="-34"/>
        </w:rPr>
        <w:t xml:space="preserve"> </w:t>
      </w:r>
      <w:r>
        <w:rPr>
          <w:spacing w:val="8"/>
        </w:rPr>
        <w:t>年</w:t>
      </w:r>
      <w:r>
        <w:rPr>
          <w:spacing w:val="-59"/>
        </w:rPr>
        <w:t xml:space="preserve"> </w:t>
      </w:r>
      <w:r>
        <w:rPr>
          <w:spacing w:val="8"/>
        </w:rPr>
        <w:t>，全市农村</w:t>
      </w:r>
      <w:r>
        <w:rPr>
          <w:spacing w:val="7"/>
        </w:rPr>
        <w:t>卫生厕所普及率、农村垃圾治理率、污水治理</w:t>
      </w:r>
      <w:r>
        <w:rPr>
          <w:spacing w:val="17"/>
        </w:rPr>
        <w:t>率分别达到</w:t>
      </w:r>
      <w:r>
        <w:rPr>
          <w:spacing w:val="-30"/>
        </w:rPr>
        <w:t xml:space="preserve"> </w:t>
      </w:r>
      <w:r>
        <w:rPr>
          <w:spacing w:val="17"/>
        </w:rPr>
        <w:t>85%、95%和</w:t>
      </w:r>
      <w:r>
        <w:rPr>
          <w:spacing w:val="-43"/>
        </w:rPr>
        <w:t xml:space="preserve"> </w:t>
      </w:r>
      <w:r>
        <w:rPr>
          <w:spacing w:val="17"/>
        </w:rPr>
        <w:t>40%。</w:t>
      </w:r>
    </w:p>
    <w:p>
      <w:pPr>
        <w:pStyle w:val="BodyText"/>
        <w:ind w:left="436"/>
        <w:spacing w:line="219" w:lineRule="auto"/>
        <w:rPr/>
      </w:pPr>
      <w:r>
        <w:rPr>
          <w:spacing w:val="6"/>
        </w:rPr>
        <w:t>培育引进乡村实用人才。围绕农业生产服</w:t>
      </w:r>
    </w:p>
    <w:p>
      <w:pPr>
        <w:pStyle w:val="BodyText"/>
        <w:ind w:left="13"/>
        <w:spacing w:before="157" w:line="222" w:lineRule="auto"/>
        <w:outlineLvl w:val="0"/>
        <w:rPr/>
      </w:pPr>
      <w:r>
        <w:rPr>
          <w:spacing w:val="7"/>
        </w:rPr>
        <w:t>务、农村社会管理和涉农用工刚性需求，依托</w:t>
      </w:r>
    </w:p>
    <w:p>
      <w:pPr>
        <w:pStyle w:val="BodyText"/>
        <w:ind w:left="11" w:right="121" w:firstLine="1"/>
        <w:spacing w:before="156" w:line="366" w:lineRule="auto"/>
        <w:rPr/>
      </w:pPr>
      <w:r>
        <w:rPr>
          <w:spacing w:val="7"/>
        </w:rPr>
        <w:t>各类农民专业合作社、专业技术协会、龙头企</w:t>
      </w:r>
      <w:r>
        <w:rPr>
          <w:spacing w:val="1"/>
        </w:rPr>
        <w:t xml:space="preserve"> </w:t>
      </w:r>
      <w:r>
        <w:rPr>
          <w:spacing w:val="7"/>
        </w:rPr>
        <w:t>业、职业院校，通过“车间课堂”“田间课堂”</w:t>
      </w:r>
      <w:r>
        <w:rPr>
          <w:spacing w:val="9"/>
        </w:rPr>
        <w:t>等方式，培养一批有文化、懂技术、善经营、</w:t>
      </w:r>
    </w:p>
    <w:p>
      <w:pPr>
        <w:pStyle w:val="BodyText"/>
        <w:ind w:left="11" w:right="181" w:hanging="1"/>
        <w:spacing w:before="10" w:line="350" w:lineRule="auto"/>
        <w:rPr/>
      </w:pPr>
      <w:r>
        <w:rPr>
          <w:spacing w:val="7"/>
        </w:rPr>
        <w:t>会管理的新型职业农民。充分利用国家、自治</w:t>
      </w:r>
      <w:r>
        <w:rPr>
          <w:spacing w:val="7"/>
        </w:rPr>
        <w:t>区职业技能人才培训政策，加大实用技术人才</w:t>
      </w:r>
      <w:r>
        <w:rPr>
          <w:spacing w:val="7"/>
        </w:rPr>
        <w:t>培养培训。完善落实优惠政策，鼓励返乡农民</w:t>
      </w:r>
      <w:r>
        <w:rPr>
          <w:spacing w:val="7"/>
        </w:rPr>
        <w:t>工、致富带头人创新创业，引入现代科技、生</w:t>
      </w:r>
      <w:r>
        <w:rPr>
          <w:spacing w:val="14"/>
        </w:rPr>
        <w:t>产方式和经营模式。挖掘培育一批“土专家”</w:t>
      </w:r>
      <w:r>
        <w:rPr>
          <w:spacing w:val="13"/>
        </w:rPr>
        <w:t xml:space="preserve"> </w:t>
      </w:r>
      <w:r>
        <w:rPr>
          <w:spacing w:val="5"/>
        </w:rPr>
        <w:t>“</w:t>
      </w:r>
      <w:r>
        <w:rPr>
          <w:spacing w:val="-55"/>
        </w:rPr>
        <w:t xml:space="preserve"> </w:t>
      </w:r>
      <w:r>
        <w:rPr>
          <w:spacing w:val="5"/>
        </w:rPr>
        <w:t>田秀才”和农村电商人才，扶持创办科技和</w:t>
      </w:r>
      <w:r>
        <w:rPr>
          <w:spacing w:val="7"/>
        </w:rPr>
        <w:t>经济实体，推进农业科技进企入村下田。择优</w:t>
      </w:r>
      <w:r>
        <w:rPr>
          <w:spacing w:val="7"/>
        </w:rPr>
        <w:t>选送青年人才到区内外知名院校访学研修；深</w:t>
      </w:r>
      <w:r>
        <w:rPr>
          <w:spacing w:val="7"/>
        </w:rPr>
        <w:t>入推进“两个带头人”工程，实施高素质农民</w:t>
      </w:r>
      <w:r>
        <w:rPr>
          <w:spacing w:val="7"/>
        </w:rPr>
        <w:t>培育工程和农村劳动力就业能力提升行动，为</w:t>
      </w:r>
      <w:r>
        <w:rPr>
          <w:spacing w:val="18"/>
        </w:rPr>
        <w:t>重点领域和特色产业发展培养一大批实用型</w:t>
      </w:r>
      <w:r>
        <w:rPr>
          <w:spacing w:val="4"/>
        </w:rPr>
        <w:t>人才。</w:t>
      </w:r>
    </w:p>
    <w:p>
      <w:pPr>
        <w:spacing w:line="14" w:lineRule="auto"/>
        <w:rPr>
          <w:rFonts w:ascii="Arial"/>
          <w:sz w:val="2"/>
        </w:rPr>
      </w:pPr>
      <w:r>
        <w:rPr>
          <w:rFonts w:ascii="Arial" w:hAnsi="Arial" w:eastAsia="Arial" w:cs="Arial"/>
          <w:sz w:val="2"/>
          <w:szCs w:val="2"/>
        </w:rPr>
        <w:br w:type="column"/>
      </w:r>
    </w:p>
    <w:p>
      <w:pPr>
        <w:spacing w:line="370" w:lineRule="auto"/>
        <w:rPr>
          <w:rFonts w:ascii="Arial"/>
          <w:sz w:val="21"/>
        </w:rPr>
      </w:pPr>
      <w:r/>
    </w:p>
    <w:p>
      <w:pPr>
        <w:pStyle w:val="BodyText"/>
        <w:ind w:left="815"/>
        <w:spacing w:before="65" w:line="220" w:lineRule="auto"/>
        <w:outlineLvl w:val="0"/>
        <w:rPr/>
      </w:pPr>
      <w:r>
        <w:rPr>
          <w:b/>
          <w:bCs/>
          <w:spacing w:val="7"/>
        </w:rPr>
        <w:t>第四节</w:t>
      </w:r>
      <w:r>
        <w:rPr>
          <w:spacing w:val="7"/>
        </w:rPr>
        <w:t xml:space="preserve">  </w:t>
      </w:r>
      <w:r>
        <w:rPr>
          <w:b/>
          <w:bCs/>
          <w:spacing w:val="7"/>
        </w:rPr>
        <w:t>推进农村综合改革</w:t>
      </w:r>
    </w:p>
    <w:p>
      <w:pPr>
        <w:spacing w:line="243" w:lineRule="auto"/>
        <w:rPr>
          <w:rFonts w:ascii="Arial"/>
          <w:sz w:val="21"/>
        </w:rPr>
      </w:pPr>
      <w:r/>
    </w:p>
    <w:p>
      <w:pPr>
        <w:spacing w:line="243" w:lineRule="auto"/>
        <w:rPr>
          <w:rFonts w:ascii="Arial"/>
          <w:sz w:val="21"/>
        </w:rPr>
      </w:pPr>
      <w:r/>
    </w:p>
    <w:p>
      <w:pPr>
        <w:pStyle w:val="BodyText"/>
        <w:ind w:right="59" w:firstLine="420"/>
        <w:spacing w:before="65" w:line="293" w:lineRule="auto"/>
        <w:outlineLvl w:val="0"/>
        <w:rPr/>
      </w:pPr>
      <w:r>
        <w:rPr>
          <w:spacing w:val="16"/>
        </w:rPr>
        <w:t>稳定农村土地承包关系</w:t>
      </w:r>
      <w:r>
        <w:rPr>
          <w:spacing w:val="-47"/>
        </w:rPr>
        <w:t xml:space="preserve"> </w:t>
      </w:r>
      <w:r>
        <w:rPr>
          <w:spacing w:val="16"/>
        </w:rPr>
        <w:t>，完善土地所有</w:t>
      </w:r>
      <w:r>
        <w:rPr>
          <w:spacing w:val="7"/>
        </w:rPr>
        <w:t>权、承包权、经营权分置办法，依法推进土地</w:t>
      </w:r>
    </w:p>
    <w:p>
      <w:pPr>
        <w:pStyle w:val="BodyText"/>
        <w:ind w:left="17" w:right="59" w:hanging="14"/>
        <w:spacing w:before="153" w:line="367" w:lineRule="auto"/>
        <w:rPr/>
      </w:pPr>
      <w:r>
        <w:rPr>
          <w:spacing w:val="7"/>
        </w:rPr>
        <w:t>经营权有序流转，构建培育新型农业经营主体</w:t>
      </w:r>
      <w:r>
        <w:rPr>
          <w:spacing w:val="8"/>
        </w:rPr>
        <w:t>的政策体系，有效激发农业农村发展活力。</w:t>
      </w:r>
    </w:p>
    <w:p>
      <w:pPr>
        <w:pStyle w:val="BodyText"/>
        <w:ind w:right="57" w:firstLine="423"/>
        <w:spacing w:before="1" w:line="308" w:lineRule="auto"/>
        <w:outlineLvl w:val="0"/>
        <w:rPr/>
      </w:pPr>
      <w:r>
        <w:rPr>
          <w:spacing w:val="6"/>
        </w:rPr>
        <w:t>巩固和完善农村基本经营制度。全面落实</w:t>
      </w:r>
      <w:r>
        <w:rPr>
          <w:spacing w:val="9"/>
        </w:rPr>
        <w:t>第二轮土地承包到期后再延长</w:t>
      </w:r>
      <w:r>
        <w:rPr>
          <w:spacing w:val="-36"/>
        </w:rPr>
        <w:t xml:space="preserve"> </w:t>
      </w:r>
      <w:r>
        <w:rPr>
          <w:spacing w:val="9"/>
        </w:rPr>
        <w:t>30</w:t>
      </w:r>
      <w:r>
        <w:rPr>
          <w:spacing w:val="-37"/>
        </w:rPr>
        <w:t xml:space="preserve"> </w:t>
      </w:r>
      <w:r>
        <w:rPr>
          <w:spacing w:val="9"/>
        </w:rPr>
        <w:t>年政策</w:t>
      </w:r>
      <w:r>
        <w:rPr>
          <w:spacing w:val="-59"/>
        </w:rPr>
        <w:t xml:space="preserve"> </w:t>
      </w:r>
      <w:r>
        <w:rPr>
          <w:spacing w:val="9"/>
        </w:rPr>
        <w:t>，稳</w:t>
      </w:r>
    </w:p>
    <w:p>
      <w:pPr>
        <w:pStyle w:val="BodyText"/>
        <w:ind w:right="36"/>
        <w:spacing w:before="118" w:line="365" w:lineRule="auto"/>
        <w:jc w:val="both"/>
        <w:rPr/>
      </w:pPr>
      <w:r>
        <w:rPr>
          <w:spacing w:val="8"/>
        </w:rPr>
        <w:t>定农村土地承包关系。加快培育农民合作社、</w:t>
      </w:r>
      <w:r>
        <w:rPr>
          <w:spacing w:val="15"/>
        </w:rPr>
        <w:t>家庭农场等新型经营主体</w:t>
      </w:r>
      <w:r>
        <w:rPr>
          <w:spacing w:val="-41"/>
        </w:rPr>
        <w:t xml:space="preserve"> </w:t>
      </w:r>
      <w:r>
        <w:rPr>
          <w:spacing w:val="15"/>
        </w:rPr>
        <w:t>，引导健康规范发</w:t>
      </w:r>
      <w:r>
        <w:rPr>
          <w:spacing w:val="7"/>
        </w:rPr>
        <w:t>展。健全农业专业化社会化服务体系，通过服</w:t>
      </w:r>
      <w:r>
        <w:rPr>
          <w:spacing w:val="7"/>
        </w:rPr>
        <w:t>务组织将先进适用的品种、技术、装备、设施</w:t>
      </w:r>
      <w:r>
        <w:rPr>
          <w:spacing w:val="15"/>
        </w:rPr>
        <w:t>导入小农户</w:t>
      </w:r>
      <w:r>
        <w:rPr>
          <w:spacing w:val="-41"/>
        </w:rPr>
        <w:t xml:space="preserve"> </w:t>
      </w:r>
      <w:r>
        <w:rPr>
          <w:spacing w:val="15"/>
        </w:rPr>
        <w:t>，实现小农户和现代农业有机衔</w:t>
      </w:r>
      <w:r>
        <w:rPr>
          <w:spacing w:val="7"/>
        </w:rPr>
        <w:t>接。发展多种形式适度规模经营，坚持家庭经</w:t>
      </w:r>
      <w:r>
        <w:rPr>
          <w:spacing w:val="7"/>
        </w:rPr>
        <w:t>营基础性地位，创新农业经营组织方式，推动</w:t>
      </w:r>
      <w:r>
        <w:rPr>
          <w:spacing w:val="8"/>
        </w:rPr>
        <w:t>土地经营权规范有序流转。</w:t>
      </w:r>
    </w:p>
    <w:p>
      <w:pPr>
        <w:pStyle w:val="BodyText"/>
        <w:ind w:left="1" w:right="59" w:firstLine="421"/>
        <w:spacing w:before="8" w:line="294" w:lineRule="auto"/>
        <w:outlineLvl w:val="0"/>
        <w:rPr/>
      </w:pPr>
      <w:r>
        <w:rPr>
          <w:spacing w:val="6"/>
        </w:rPr>
        <w:t>深化农村土地制度改革。积极探索实施农</w:t>
      </w:r>
      <w:r>
        <w:rPr>
          <w:spacing w:val="7"/>
        </w:rPr>
        <w:t>村集体经营性建设用地入市制度，建立公平合</w:t>
      </w:r>
    </w:p>
    <w:p>
      <w:pPr>
        <w:pStyle w:val="BodyText"/>
        <w:ind w:right="36" w:firstLine="2"/>
        <w:spacing w:before="156" w:line="353" w:lineRule="auto"/>
        <w:jc w:val="both"/>
        <w:rPr/>
      </w:pPr>
      <w:r>
        <w:rPr>
          <w:spacing w:val="7"/>
        </w:rPr>
        <w:t>理的增值收益分配机制；允许县级政府优化村</w:t>
      </w:r>
      <w:r>
        <w:rPr>
          <w:spacing w:val="15"/>
        </w:rPr>
        <w:t>庄用地布局</w:t>
      </w:r>
      <w:r>
        <w:rPr>
          <w:spacing w:val="-40"/>
        </w:rPr>
        <w:t xml:space="preserve"> </w:t>
      </w:r>
      <w:r>
        <w:rPr>
          <w:spacing w:val="15"/>
        </w:rPr>
        <w:t>，盘活利用农村零星分散建设用</w:t>
      </w:r>
      <w:r>
        <w:rPr>
          <w:spacing w:val="7"/>
        </w:rPr>
        <w:t>地；在符合国土空间规划、用途管制和依法取</w:t>
      </w:r>
      <w:r>
        <w:rPr>
          <w:spacing w:val="7"/>
        </w:rPr>
        <w:t>得的前提下，赋予农村集体经营性建设用地出</w:t>
      </w:r>
      <w:r>
        <w:rPr>
          <w:spacing w:val="7"/>
        </w:rPr>
        <w:t>让、租赁、入股权能；允许村集体在农民自愿</w:t>
      </w:r>
      <w:r>
        <w:rPr>
          <w:spacing w:val="7"/>
        </w:rPr>
        <w:t>的前提下，依法把有偿收回的闲置宅基地和废</w:t>
      </w:r>
      <w:r>
        <w:rPr>
          <w:spacing w:val="7"/>
        </w:rPr>
        <w:t>弃校舍、厂房、集体公益性建设用地转变为集</w:t>
      </w:r>
      <w:r>
        <w:rPr>
          <w:spacing w:val="7"/>
        </w:rPr>
        <w:t>体经营性建设用地。建立土地征收公共利用用</w:t>
      </w:r>
      <w:r>
        <w:rPr>
          <w:spacing w:val="7"/>
        </w:rPr>
        <w:t>地认定机制，缩小土地征收范围，规范征收程</w:t>
      </w:r>
      <w:r>
        <w:rPr>
          <w:spacing w:val="7"/>
        </w:rPr>
        <w:t>序，维护被征地农民和农村集体权益。稳慎推</w:t>
      </w:r>
      <w:r>
        <w:rPr>
          <w:spacing w:val="8"/>
        </w:rPr>
        <w:t>进农村宅基地制度改革，探索宅基地所有权、</w:t>
      </w:r>
      <w:r>
        <w:rPr>
          <w:spacing w:val="7"/>
        </w:rPr>
        <w:t>资格权、使用权分置实现形式；加快推进农村</w:t>
      </w:r>
      <w:r>
        <w:rPr>
          <w:spacing w:val="7"/>
        </w:rPr>
        <w:t>宅基地使用权确权登记颁证，探索赋予宅基地</w:t>
      </w:r>
      <w:r>
        <w:rPr>
          <w:spacing w:val="7"/>
        </w:rPr>
        <w:t>使用权作为用益物权更加充分的权能；严格落</w:t>
      </w:r>
    </w:p>
    <w:p>
      <w:pPr>
        <w:spacing w:line="353" w:lineRule="auto"/>
        <w:sectPr>
          <w:type w:val="continuous"/>
          <w:pgSz w:w="11906" w:h="16839"/>
          <w:pgMar w:top="1793" w:right="1530" w:bottom="1570" w:left="1579" w:header="1428" w:footer="1172" w:gutter="0"/>
          <w:cols w:equalWidth="0" w:num="2">
            <w:col w:w="4489" w:space="100"/>
            <w:col w:w="4207" w:space="0"/>
          </w:cols>
        </w:sectPr>
        <w:rPr/>
      </w:pPr>
    </w:p>
    <w:p>
      <w:pPr>
        <w:spacing w:before="35"/>
        <w:rPr/>
      </w:pPr>
      <w:r/>
    </w:p>
    <w:p>
      <w:pPr>
        <w:sectPr>
          <w:headerReference w:type="default" r:id="rId199"/>
          <w:footerReference w:type="default" r:id="rId208"/>
          <w:pgSz w:w="11906" w:h="16839"/>
          <w:pgMar w:top="1793" w:right="1489" w:bottom="1673" w:left="1526" w:header="1428" w:footer="1277" w:gutter="0"/>
          <w:cols w:equalWidth="0" w:num="1">
            <w:col w:w="8891" w:space="0"/>
          </w:cols>
        </w:sectPr>
        <w:rPr/>
      </w:pPr>
    </w:p>
    <w:p>
      <w:pPr>
        <w:pStyle w:val="BodyText"/>
        <w:ind w:left="66" w:right="328" w:firstLine="3"/>
        <w:spacing w:before="51" w:line="363" w:lineRule="auto"/>
        <w:jc w:val="both"/>
        <w:rPr/>
      </w:pPr>
      <w:r>
        <w:rPr>
          <w:spacing w:val="7"/>
        </w:rPr>
        <w:t>实“一户一宅”规定，加强宅基地管理。保障</w:t>
      </w:r>
      <w:r>
        <w:rPr>
          <w:spacing w:val="7"/>
        </w:rPr>
        <w:t>进城落户农民土地承包权、宅基地使用权、集</w:t>
      </w:r>
      <w:r>
        <w:rPr>
          <w:spacing w:val="7"/>
        </w:rPr>
        <w:t>体收益分配权，鼓励依法自愿有偿转让，探索</w:t>
      </w:r>
      <w:r>
        <w:rPr>
          <w:spacing w:val="8"/>
        </w:rPr>
        <w:t>自愿有偿退出机制。</w:t>
      </w:r>
    </w:p>
    <w:p>
      <w:pPr>
        <w:pStyle w:val="BodyText"/>
        <w:ind w:left="66" w:right="328" w:firstLine="421"/>
        <w:spacing w:before="1" w:line="288" w:lineRule="auto"/>
        <w:outlineLvl w:val="0"/>
        <w:rPr/>
      </w:pPr>
      <w:r>
        <w:rPr>
          <w:spacing w:val="6"/>
        </w:rPr>
        <w:t>深化农村集体产权制度改革。加快农村集</w:t>
      </w:r>
      <w:r>
        <w:rPr>
          <w:spacing w:val="15"/>
        </w:rPr>
        <w:t>体产权制度改革试点</w:t>
      </w:r>
      <w:r>
        <w:rPr>
          <w:spacing w:val="-41"/>
        </w:rPr>
        <w:t xml:space="preserve"> </w:t>
      </w:r>
      <w:r>
        <w:rPr>
          <w:spacing w:val="15"/>
        </w:rPr>
        <w:t>，加强集体资产监督管</w:t>
      </w:r>
    </w:p>
    <w:p>
      <w:pPr>
        <w:pStyle w:val="BodyText"/>
        <w:ind w:left="67" w:right="264"/>
        <w:spacing w:before="136" w:line="350" w:lineRule="auto"/>
        <w:jc w:val="both"/>
        <w:rPr/>
      </w:pPr>
      <w:r>
        <w:rPr>
          <w:spacing w:val="7"/>
        </w:rPr>
        <w:t>理，切实维护集体经济组织成员权力，建立健</w:t>
      </w:r>
      <w:r>
        <w:rPr>
          <w:spacing w:val="18"/>
        </w:rPr>
        <w:t>全农村集体经济组织。发展新型农村集体经</w:t>
      </w:r>
      <w:r>
        <w:rPr/>
        <w:t>济，以发展特色产业、盘活土地资源等为抓手，</w:t>
      </w:r>
      <w:r>
        <w:rPr>
          <w:spacing w:val="7"/>
        </w:rPr>
        <w:t>拓宽农村集体经济发展路径，增强集体经济组</w:t>
      </w:r>
      <w:r>
        <w:rPr>
          <w:spacing w:val="7"/>
        </w:rPr>
        <w:t>织服务能力。</w:t>
      </w:r>
    </w:p>
    <w:p>
      <w:pPr>
        <w:pStyle w:val="BodyText"/>
        <w:ind w:left="485"/>
        <w:spacing w:before="4" w:line="223" w:lineRule="auto"/>
        <w:rPr/>
      </w:pPr>
      <w:r>
        <w:rPr>
          <w:spacing w:val="9"/>
        </w:rPr>
        <w:t>健全投入保障机制。完善政府投资体制，</w:t>
      </w:r>
    </w:p>
    <w:p>
      <w:pPr>
        <w:pStyle w:val="BodyText"/>
        <w:ind w:left="67"/>
        <w:spacing w:before="138" w:line="221" w:lineRule="auto"/>
        <w:outlineLvl w:val="0"/>
        <w:rPr/>
      </w:pPr>
      <w:r>
        <w:rPr>
          <w:spacing w:val="7"/>
        </w:rPr>
        <w:t>加快形成财政优先保障、社会积极参与的多元</w:t>
      </w:r>
    </w:p>
    <w:p>
      <w:pPr>
        <w:pStyle w:val="BodyText"/>
        <w:ind w:left="66" w:right="328"/>
        <w:spacing w:before="137" w:line="335" w:lineRule="auto"/>
        <w:rPr/>
      </w:pPr>
      <w:r>
        <w:rPr>
          <w:spacing w:val="-3"/>
        </w:rPr>
        <w:t>投入格局。明确强化市县（区）政府“三农“投</w:t>
      </w:r>
      <w:r>
        <w:rPr>
          <w:spacing w:val="7"/>
        </w:rPr>
        <w:t>入责任，根据乡村振兴目标任务，积极争取加</w:t>
      </w:r>
    </w:p>
    <w:p>
      <w:pPr>
        <w:spacing w:line="38" w:lineRule="exact"/>
        <w:rPr/>
      </w:pPr>
      <w:r/>
    </w:p>
    <w:p>
      <w:pPr>
        <w:spacing w:line="14" w:lineRule="auto"/>
        <w:rPr>
          <w:rFonts w:ascii="Arial"/>
          <w:sz w:val="2"/>
        </w:rPr>
      </w:pPr>
      <w:r>
        <w:rPr>
          <w:rFonts w:ascii="Arial" w:hAnsi="Arial" w:eastAsia="Arial" w:cs="Arial"/>
          <w:sz w:val="2"/>
          <w:szCs w:val="2"/>
        </w:rPr>
        <w:br w:type="column"/>
      </w:r>
    </w:p>
    <w:p>
      <w:pPr>
        <w:pStyle w:val="BodyText"/>
        <w:ind w:right="94" w:firstLine="7"/>
        <w:spacing w:before="33" w:line="351" w:lineRule="auto"/>
        <w:jc w:val="both"/>
        <w:rPr/>
      </w:pPr>
      <w:r>
        <w:rPr>
          <w:spacing w:val="7"/>
        </w:rPr>
        <w:t>大财政投入保障力度，政府重点保障农业绿色</w:t>
      </w:r>
      <w:r>
        <w:rPr>
          <w:spacing w:val="7"/>
        </w:rPr>
        <w:t>生产、农村人居环境、基本公共服务等重点领</w:t>
      </w:r>
      <w:r>
        <w:rPr>
          <w:spacing w:val="7"/>
        </w:rPr>
        <w:t>域和短板弱项的投入。制定调整完善土地出让</w:t>
      </w:r>
      <w:r>
        <w:rPr>
          <w:spacing w:val="7"/>
        </w:rPr>
        <w:t>收入使用范围，提高土地出让收益用于乡村振</w:t>
      </w:r>
      <w:r>
        <w:rPr>
          <w:spacing w:val="7"/>
        </w:rPr>
        <w:t>兴比例。优化乡村营商环境，吸引社会资本参</w:t>
      </w:r>
      <w:r>
        <w:rPr>
          <w:spacing w:val="7"/>
        </w:rPr>
        <w:t>与乡村振兴，鼓励工商资本投入农业农村。加</w:t>
      </w:r>
      <w:r>
        <w:rPr>
          <w:spacing w:val="7"/>
        </w:rPr>
        <w:t>强金融支农，适度扩大支农支小再贷款额度，</w:t>
      </w:r>
      <w:r>
        <w:rPr>
          <w:spacing w:val="7"/>
        </w:rPr>
        <w:t>加强考核引导，控制地方存款外流额度，提高</w:t>
      </w:r>
      <w:r>
        <w:rPr>
          <w:spacing w:val="7"/>
        </w:rPr>
        <w:t>存贷比例。创新金融支农产品和服务，稳妥有</w:t>
      </w:r>
      <w:r>
        <w:rPr>
          <w:spacing w:val="18"/>
        </w:rPr>
        <w:t>序推进农村承包土地经营权、农民住房财产</w:t>
      </w:r>
      <w:r>
        <w:rPr>
          <w:spacing w:val="18"/>
        </w:rPr>
        <w:t>权、集体经营性建设用地使用权抵押贷款试</w:t>
      </w:r>
      <w:r>
        <w:rPr>
          <w:spacing w:val="7"/>
        </w:rPr>
        <w:t>点，设置与农业生产周期相匹配的农业贷款期</w:t>
      </w:r>
      <w:r>
        <w:rPr>
          <w:spacing w:val="7"/>
        </w:rPr>
        <w:t>限，扩大农村普惠金融改革试点，把更多金融</w:t>
      </w:r>
      <w:r>
        <w:rPr>
          <w:spacing w:val="18"/>
        </w:rPr>
        <w:t>资源配置到农村经济社会发展的重点领域和</w:t>
      </w:r>
      <w:r>
        <w:rPr>
          <w:spacing w:val="7"/>
        </w:rPr>
        <w:t>薄弱环节。</w:t>
      </w:r>
    </w:p>
    <w:p>
      <w:pPr>
        <w:spacing w:line="351" w:lineRule="auto"/>
        <w:sectPr>
          <w:type w:val="continuous"/>
          <w:pgSz w:w="11906" w:h="16839"/>
          <w:pgMar w:top="1793" w:right="1489" w:bottom="1673" w:left="1526" w:header="1428" w:footer="1277" w:gutter="0"/>
          <w:cols w:equalWidth="0" w:num="2">
            <w:col w:w="4542" w:space="100"/>
            <w:col w:w="4250" w:space="0"/>
          </w:cols>
        </w:sectPr>
        <w:rPr/>
      </w:pPr>
    </w:p>
    <w:p>
      <w:pPr>
        <w:ind w:left="2990"/>
        <w:spacing w:before="232" w:line="197" w:lineRule="auto"/>
        <w:rPr>
          <w:rFonts w:ascii="Microsoft YaHei" w:hAnsi="Microsoft YaHei" w:eastAsia="Microsoft YaHei" w:cs="Microsoft YaHei"/>
          <w:sz w:val="20"/>
          <w:szCs w:val="20"/>
        </w:rPr>
      </w:pPr>
      <w:r>
        <w:drawing>
          <wp:anchor distT="0" distB="0" distL="0" distR="0" simplePos="0" relativeHeight="251791360" behindDoc="0" locked="0" layoutInCell="1" allowOverlap="1">
            <wp:simplePos x="0" y="0"/>
            <wp:positionH relativeFrom="column">
              <wp:posOffset>39242</wp:posOffset>
            </wp:positionH>
            <wp:positionV relativeFrom="paragraph">
              <wp:posOffset>-3837301</wp:posOffset>
            </wp:positionV>
            <wp:extent cx="5579745" cy="7619"/>
            <wp:effectExtent l="0" t="0" r="0" b="0"/>
            <wp:wrapNone/>
            <wp:docPr id="414" name="IM 414"/>
            <wp:cNvGraphicFramePr/>
            <a:graphic>
              <a:graphicData uri="http://schemas.openxmlformats.org/drawingml/2006/picture">
                <pic:pic>
                  <pic:nvPicPr>
                    <pic:cNvPr id="414" name="IM 414"/>
                    <pic:cNvPicPr/>
                  </pic:nvPicPr>
                  <pic:blipFill>
                    <a:blip r:embed="rId209"/>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专栏 7</w:t>
      </w:r>
      <w:r>
        <w:rPr>
          <w:rFonts w:ascii="Microsoft YaHei" w:hAnsi="Microsoft YaHei" w:eastAsia="Microsoft YaHei" w:cs="Microsoft YaHei"/>
          <w:sz w:val="20"/>
          <w:szCs w:val="20"/>
          <w:spacing w:val="19"/>
        </w:rPr>
        <w:t xml:space="preserve">   </w:t>
      </w:r>
      <w:r>
        <w:rPr>
          <w:rFonts w:ascii="Microsoft YaHei" w:hAnsi="Microsoft YaHei" w:eastAsia="Microsoft YaHei" w:cs="Microsoft YaHei"/>
          <w:sz w:val="20"/>
          <w:szCs w:val="20"/>
          <w:spacing w:val="5"/>
        </w:rPr>
        <w:t>乡村振兴重点项目工程</w:t>
      </w:r>
    </w:p>
    <w:tbl>
      <w:tblPr>
        <w:tblStyle w:val="TableNormal"/>
        <w:tblW w:w="8848" w:type="dxa"/>
        <w:tblInd w:w="2" w:type="dxa"/>
        <w:tblLayout w:type="fixed"/>
        <w:tblBorders>
          <w:left w:val="single" w:color="000000" w:sz="2" w:space="0"/>
          <w:bottom w:val="single" w:color="000000" w:sz="2" w:space="0"/>
          <w:right w:val="single" w:color="000000" w:sz="2" w:space="0"/>
          <w:top w:val="single" w:color="000000" w:sz="2" w:space="0"/>
        </w:tblBorders>
      </w:tblPr>
      <w:tblGrid>
        <w:gridCol w:w="8848"/>
      </w:tblGrid>
      <w:tr>
        <w:trPr>
          <w:trHeight w:val="6583" w:hRule="atLeast"/>
        </w:trPr>
        <w:tc>
          <w:tcPr>
            <w:tcW w:w="8848" w:type="dxa"/>
            <w:vAlign w:val="top"/>
          </w:tcPr>
          <w:p>
            <w:pPr>
              <w:pStyle w:val="TableText"/>
              <w:ind w:left="547"/>
              <w:spacing w:before="119" w:line="240" w:lineRule="exact"/>
              <w:rPr/>
            </w:pPr>
            <w:r>
              <w:pict>
                <v:shape id="_x0000_s6" style="position:absolute;margin-left:-436.76pt;margin-top:327.281pt;mso-position-vertical-relative:top-margin-area;mso-position-horizontal-relative:right-margin-area;width:431.4pt;height:0.5pt;z-index:251792384;" fillcolor="#FFFFFF" filled="true" stroked="false" coordsize="8627,10" coordorigin="0,0" path="m,l8627,0l8627,9l0,9l0,0xe"/>
              </w:pict>
            </w:r>
            <w:r>
              <w:rPr>
                <w:b/>
                <w:bCs/>
                <w:spacing w:val="-2"/>
                <w:position w:val="1"/>
              </w:rPr>
              <w:t>1.高标准基本农田建设项目</w:t>
            </w:r>
            <w:r>
              <w:rPr>
                <w:spacing w:val="-2"/>
                <w:position w:val="1"/>
              </w:rPr>
              <w:t>：新建高标准农田200万亩，建设改造高效节水灌溉面积30万亩。</w:t>
            </w:r>
          </w:p>
          <w:p>
            <w:pPr>
              <w:pStyle w:val="TableText"/>
              <w:ind w:left="112" w:right="47" w:firstLine="420"/>
              <w:spacing w:before="70" w:line="300" w:lineRule="auto"/>
              <w:rPr/>
            </w:pPr>
            <w:r>
              <w:rPr>
                <w:b/>
                <w:bCs/>
                <w:spacing w:val="-2"/>
              </w:rPr>
              <w:t>2.农业机械化提升工程：</w:t>
            </w:r>
            <w:r>
              <w:rPr>
                <w:spacing w:val="-2"/>
              </w:rPr>
              <w:t>提高设施农业、工厂化农业机械化水平，推进主要农作物耕、种、收、贮、加工</w:t>
            </w:r>
            <w:r>
              <w:rPr>
                <w:spacing w:val="2"/>
              </w:rPr>
              <w:t>全程机械化，促进农机农艺融合，用先进设备代替手工</w:t>
            </w:r>
            <w:r>
              <w:rPr>
                <w:spacing w:val="1"/>
              </w:rPr>
              <w:t>劳动</w:t>
            </w:r>
            <w:r>
              <w:rPr>
                <w:spacing w:val="-53"/>
              </w:rPr>
              <w:t xml:space="preserve"> </w:t>
            </w:r>
            <w:r>
              <w:rPr>
                <w:spacing w:val="1"/>
              </w:rPr>
              <w:t>，降低农业劳动强度，提高劳动生产率。到</w:t>
            </w:r>
            <w:r>
              <w:rPr>
                <w:spacing w:val="-37"/>
              </w:rPr>
              <w:t xml:space="preserve"> </w:t>
            </w:r>
            <w:r>
              <w:rPr>
                <w:spacing w:val="1"/>
              </w:rPr>
              <w:t>2025</w:t>
            </w:r>
            <w:r>
              <w:rPr>
                <w:spacing w:val="-1"/>
              </w:rPr>
              <w:t>年，全市农机装备总动力达到</w:t>
            </w:r>
            <w:r>
              <w:rPr>
                <w:spacing w:val="-25"/>
              </w:rPr>
              <w:t xml:space="preserve"> </w:t>
            </w:r>
            <w:r>
              <w:rPr>
                <w:spacing w:val="-1"/>
              </w:rPr>
              <w:t>180</w:t>
            </w:r>
            <w:r>
              <w:rPr>
                <w:spacing w:val="-41"/>
              </w:rPr>
              <w:t xml:space="preserve"> </w:t>
            </w:r>
            <w:r>
              <w:rPr>
                <w:spacing w:val="-1"/>
              </w:rPr>
              <w:t>万千瓦，综合机械化作业</w:t>
            </w:r>
            <w:r>
              <w:rPr>
                <w:spacing w:val="-2"/>
              </w:rPr>
              <w:t>水平达到68%，农作物机械耕作面积达到</w:t>
            </w:r>
            <w:r>
              <w:rPr>
                <w:spacing w:val="-45"/>
              </w:rPr>
              <w:t xml:space="preserve"> </w:t>
            </w:r>
            <w:r>
              <w:rPr>
                <w:spacing w:val="-2"/>
              </w:rPr>
              <w:t>480</w:t>
            </w:r>
            <w:r>
              <w:rPr>
                <w:spacing w:val="-40"/>
              </w:rPr>
              <w:t xml:space="preserve"> </w:t>
            </w:r>
            <w:r>
              <w:rPr>
                <w:spacing w:val="-2"/>
              </w:rPr>
              <w:t>万亩，</w:t>
            </w:r>
            <w:r>
              <w:rPr>
                <w:spacing w:val="-2"/>
              </w:rPr>
              <w:t>机械播种和机械收获面积达到</w:t>
            </w:r>
            <w:r>
              <w:rPr>
                <w:spacing w:val="-19"/>
              </w:rPr>
              <w:t xml:space="preserve"> </w:t>
            </w:r>
            <w:r>
              <w:rPr>
                <w:spacing w:val="-2"/>
              </w:rPr>
              <w:t>350</w:t>
            </w:r>
            <w:r>
              <w:rPr>
                <w:spacing w:val="-41"/>
              </w:rPr>
              <w:t xml:space="preserve"> </w:t>
            </w:r>
            <w:r>
              <w:rPr>
                <w:spacing w:val="-2"/>
              </w:rPr>
              <w:t>万亩。</w:t>
            </w:r>
          </w:p>
          <w:p>
            <w:pPr>
              <w:pStyle w:val="TableText"/>
              <w:ind w:left="111" w:right="95" w:firstLine="424"/>
              <w:spacing w:before="71" w:line="300" w:lineRule="auto"/>
              <w:rPr/>
            </w:pPr>
            <w:r>
              <w:rPr>
                <w:b/>
                <w:bCs/>
                <w:spacing w:val="-2"/>
              </w:rPr>
              <w:t>3.农产品质量安全提升工程：</w:t>
            </w:r>
            <w:r>
              <w:rPr>
                <w:spacing w:val="-2"/>
              </w:rPr>
              <w:t>开展“二品一标”认证，突出优质、安全、绿色导向，健全农产品质量</w:t>
            </w:r>
            <w:r>
              <w:rPr>
                <w:spacing w:val="-3"/>
              </w:rPr>
              <w:t>和食</w:t>
            </w:r>
            <w:r>
              <w:rPr/>
              <w:t>品安全标准体系，加快建立健全覆盖从农田到餐桌的各个环节可追溯的</w:t>
            </w:r>
            <w:r>
              <w:rPr>
                <w:spacing w:val="-1"/>
              </w:rPr>
              <w:t>管理机制，从源头上保障农产品质量安</w:t>
            </w:r>
            <w:r>
              <w:rPr>
                <w:spacing w:val="-6"/>
              </w:rPr>
              <w:t>全，实现把优质“产出来”、把安全“管出来”、把品牌“树起来”。到</w:t>
            </w:r>
            <w:r>
              <w:rPr>
                <w:spacing w:val="-34"/>
              </w:rPr>
              <w:t xml:space="preserve"> </w:t>
            </w:r>
            <w:r>
              <w:rPr>
                <w:spacing w:val="-6"/>
              </w:rPr>
              <w:t>2025</w:t>
            </w:r>
            <w:r>
              <w:rPr>
                <w:spacing w:val="-37"/>
              </w:rPr>
              <w:t xml:space="preserve"> </w:t>
            </w:r>
            <w:r>
              <w:rPr>
                <w:spacing w:val="-6"/>
              </w:rPr>
              <w:t>年，全市认证“二品一标”农产品</w:t>
            </w:r>
            <w:r>
              <w:rPr>
                <w:spacing w:val="3"/>
              </w:rPr>
              <w:t>数量</w:t>
            </w:r>
            <w:r>
              <w:rPr>
                <w:spacing w:val="-32"/>
              </w:rPr>
              <w:t xml:space="preserve"> </w:t>
            </w:r>
            <w:r>
              <w:rPr>
                <w:spacing w:val="3"/>
              </w:rPr>
              <w:t>80</w:t>
            </w:r>
            <w:r>
              <w:rPr>
                <w:spacing w:val="-43"/>
              </w:rPr>
              <w:t xml:space="preserve"> </w:t>
            </w:r>
            <w:r>
              <w:rPr>
                <w:spacing w:val="3"/>
              </w:rPr>
              <w:t>个、农产品质量安全追溯率达到80%、农产品质量监测合格率达到</w:t>
            </w:r>
            <w:r>
              <w:rPr>
                <w:spacing w:val="-25"/>
              </w:rPr>
              <w:t xml:space="preserve"> </w:t>
            </w:r>
            <w:r>
              <w:rPr>
                <w:spacing w:val="3"/>
              </w:rPr>
              <w:t>100%。</w:t>
            </w:r>
          </w:p>
          <w:p>
            <w:pPr>
              <w:pStyle w:val="TableText"/>
              <w:ind w:left="114" w:right="97" w:firstLine="415"/>
              <w:spacing w:before="68" w:line="294" w:lineRule="auto"/>
              <w:rPr/>
            </w:pPr>
            <w:r>
              <w:rPr>
                <w:b/>
                <w:bCs/>
              </w:rPr>
              <w:t>4.新型农业经营主体培育工程：</w:t>
            </w:r>
            <w:r>
              <w:rPr/>
              <w:t>培育一批适度规模经营多样、社会化服务支撑、与“互联网+”</w:t>
            </w:r>
            <w:r>
              <w:rPr>
                <w:spacing w:val="-1"/>
              </w:rPr>
              <w:t>紧密结合</w:t>
            </w:r>
            <w:r>
              <w:rPr>
                <w:spacing w:val="-2"/>
              </w:rPr>
              <w:t>的各类新型经营主体，实施农村实用人才和新型职业农民培育工程，到</w:t>
            </w:r>
            <w:r>
              <w:rPr>
                <w:spacing w:val="-40"/>
              </w:rPr>
              <w:t xml:space="preserve"> </w:t>
            </w:r>
            <w:r>
              <w:rPr>
                <w:spacing w:val="-2"/>
              </w:rPr>
              <w:t>2025</w:t>
            </w:r>
            <w:r>
              <w:rPr>
                <w:spacing w:val="-39"/>
              </w:rPr>
              <w:t xml:space="preserve"> </w:t>
            </w:r>
            <w:r>
              <w:rPr>
                <w:spacing w:val="-2"/>
              </w:rPr>
              <w:t>年，全</w:t>
            </w:r>
            <w:r>
              <w:rPr>
                <w:spacing w:val="-3"/>
              </w:rPr>
              <w:t>市农民专业合作社达到2500</w:t>
            </w:r>
            <w:r>
              <w:rPr>
                <w:spacing w:val="-2"/>
              </w:rPr>
              <w:t>家、家庭农场</w:t>
            </w:r>
            <w:r>
              <w:rPr>
                <w:spacing w:val="-37"/>
              </w:rPr>
              <w:t xml:space="preserve"> </w:t>
            </w:r>
            <w:r>
              <w:rPr>
                <w:spacing w:val="-2"/>
              </w:rPr>
              <w:t>800</w:t>
            </w:r>
            <w:r>
              <w:rPr>
                <w:spacing w:val="-39"/>
              </w:rPr>
              <w:t xml:space="preserve"> </w:t>
            </w:r>
            <w:r>
              <w:rPr>
                <w:spacing w:val="-2"/>
              </w:rPr>
              <w:t>家、专业大户</w:t>
            </w:r>
            <w:r>
              <w:rPr>
                <w:spacing w:val="-27"/>
              </w:rPr>
              <w:t xml:space="preserve"> </w:t>
            </w:r>
            <w:r>
              <w:rPr>
                <w:spacing w:val="-2"/>
              </w:rPr>
              <w:t>1450</w:t>
            </w:r>
            <w:r>
              <w:rPr>
                <w:spacing w:val="-38"/>
              </w:rPr>
              <w:t xml:space="preserve"> </w:t>
            </w:r>
            <w:r>
              <w:rPr>
                <w:spacing w:val="-2"/>
              </w:rPr>
              <w:t>户，带动农户达到</w:t>
            </w:r>
            <w:r>
              <w:rPr>
                <w:spacing w:val="-36"/>
              </w:rPr>
              <w:t xml:space="preserve"> </w:t>
            </w:r>
            <w:r>
              <w:rPr>
                <w:spacing w:val="-2"/>
              </w:rPr>
              <w:t>30</w:t>
            </w:r>
            <w:r>
              <w:rPr>
                <w:spacing w:val="-41"/>
              </w:rPr>
              <w:t xml:space="preserve"> </w:t>
            </w:r>
            <w:r>
              <w:rPr>
                <w:spacing w:val="-3"/>
              </w:rPr>
              <w:t>万人。</w:t>
            </w:r>
          </w:p>
          <w:p>
            <w:pPr>
              <w:pStyle w:val="TableText"/>
              <w:ind w:left="110" w:right="95" w:firstLine="422"/>
              <w:spacing w:before="68" w:line="293" w:lineRule="auto"/>
              <w:rPr/>
            </w:pPr>
            <w:r>
              <w:rPr>
                <w:b/>
                <w:bCs/>
                <w:spacing w:val="-2"/>
              </w:rPr>
              <w:t>5.基础设施提档升级工程：</w:t>
            </w:r>
            <w:r>
              <w:rPr>
                <w:spacing w:val="-2"/>
              </w:rPr>
              <w:t>完善农村公路、供水、供气、环保、电网、物流、信息、广播电视等基础设施</w:t>
            </w:r>
            <w:r>
              <w:rPr>
                <w:spacing w:val="1"/>
              </w:rPr>
              <w:t>建设，每年新改建农村公路</w:t>
            </w:r>
            <w:r>
              <w:rPr>
                <w:spacing w:val="-37"/>
              </w:rPr>
              <w:t xml:space="preserve"> </w:t>
            </w:r>
            <w:r>
              <w:rPr>
                <w:spacing w:val="1"/>
              </w:rPr>
              <w:t>300</w:t>
            </w:r>
            <w:r>
              <w:rPr>
                <w:spacing w:val="-40"/>
              </w:rPr>
              <w:t xml:space="preserve"> </w:t>
            </w:r>
            <w:r>
              <w:rPr>
                <w:spacing w:val="1"/>
              </w:rPr>
              <w:t>公里并向进村入户倾斜，提高农村公路通达深度，到</w:t>
            </w:r>
            <w:r>
              <w:rPr>
                <w:spacing w:val="-37"/>
              </w:rPr>
              <w:t xml:space="preserve"> </w:t>
            </w:r>
            <w:r>
              <w:rPr>
                <w:spacing w:val="1"/>
              </w:rPr>
              <w:t>2025</w:t>
            </w:r>
            <w:r>
              <w:rPr>
                <w:spacing w:val="-37"/>
              </w:rPr>
              <w:t xml:space="preserve"> </w:t>
            </w:r>
            <w:r>
              <w:rPr>
                <w:spacing w:val="1"/>
              </w:rPr>
              <w:t>年全市农村</w:t>
            </w:r>
            <w:r>
              <w:rPr/>
              <w:t>自来水</w:t>
            </w:r>
            <w:r>
              <w:rPr>
                <w:spacing w:val="3"/>
              </w:rPr>
              <w:t>普及率达到99%，建设</w:t>
            </w:r>
            <w:r>
              <w:rPr>
                <w:spacing w:val="-24"/>
              </w:rPr>
              <w:t xml:space="preserve"> </w:t>
            </w:r>
            <w:r>
              <w:rPr>
                <w:spacing w:val="3"/>
              </w:rPr>
              <w:t>5G</w:t>
            </w:r>
            <w:r>
              <w:rPr>
                <w:spacing w:val="-41"/>
              </w:rPr>
              <w:t xml:space="preserve"> </w:t>
            </w:r>
            <w:r>
              <w:rPr>
                <w:spacing w:val="3"/>
              </w:rPr>
              <w:t>基站</w:t>
            </w:r>
            <w:r>
              <w:rPr>
                <w:spacing w:val="-38"/>
              </w:rPr>
              <w:t xml:space="preserve"> </w:t>
            </w:r>
            <w:r>
              <w:rPr>
                <w:spacing w:val="3"/>
              </w:rPr>
              <w:t>5800</w:t>
            </w:r>
            <w:r>
              <w:rPr>
                <w:spacing w:val="-37"/>
              </w:rPr>
              <w:t xml:space="preserve"> </w:t>
            </w:r>
            <w:r>
              <w:rPr>
                <w:spacing w:val="3"/>
              </w:rPr>
              <w:t>座，基本实现农村5G</w:t>
            </w:r>
            <w:r>
              <w:rPr>
                <w:spacing w:val="-25"/>
              </w:rPr>
              <w:t xml:space="preserve"> </w:t>
            </w:r>
            <w:r>
              <w:rPr>
                <w:spacing w:val="3"/>
              </w:rPr>
              <w:t>网络全覆盖，实现农村抗震窑改造全覆盖，推广农</w:t>
            </w:r>
            <w:r>
              <w:rPr>
                <w:spacing w:val="-4"/>
              </w:rPr>
              <w:t>村“煤改气”、“煤改电”清洁能源项目，形成城乡快捷互通、协调联</w:t>
            </w:r>
            <w:r>
              <w:rPr>
                <w:spacing w:val="-5"/>
              </w:rPr>
              <w:t>动、功能完善的网络体系。</w:t>
            </w:r>
          </w:p>
          <w:p>
            <w:pPr>
              <w:pStyle w:val="TableText"/>
              <w:ind w:left="110" w:right="38" w:firstLine="422"/>
              <w:spacing w:before="100" w:line="292" w:lineRule="auto"/>
              <w:rPr/>
            </w:pPr>
            <w:r>
              <w:rPr>
                <w:b/>
                <w:bCs/>
                <w:spacing w:val="-1"/>
              </w:rPr>
              <w:t>6.美丽宜居乡村建设工程：</w:t>
            </w:r>
            <w:r>
              <w:rPr>
                <w:spacing w:val="-1"/>
              </w:rPr>
              <w:t>开展农村人居环境整治，推进“百村示范、千村整治”行动，加大农村改厕、</w:t>
            </w:r>
            <w:r>
              <w:rPr>
                <w:spacing w:val="-2"/>
              </w:rPr>
              <w:t>生活垃圾处理和污水治理力度，实施乡村绿</w:t>
            </w:r>
            <w:r>
              <w:rPr>
                <w:spacing w:val="-3"/>
              </w:rPr>
              <w:t>化和水环境整治工程，全面提升村容村貌提档升级农村水、电、路、</w:t>
            </w:r>
            <w:r>
              <w:rPr>
                <w:spacing w:val="-1"/>
              </w:rPr>
              <w:t>气、通信、广播电视、物流等基础设施，发挥</w:t>
            </w:r>
            <w:r>
              <w:rPr>
                <w:spacing w:val="-10"/>
              </w:rPr>
              <w:t xml:space="preserve"> </w:t>
            </w:r>
            <w:r>
              <w:rPr>
                <w:spacing w:val="-1"/>
              </w:rPr>
              <w:t>100</w:t>
            </w:r>
            <w:r>
              <w:rPr>
                <w:spacing w:val="-43"/>
              </w:rPr>
              <w:t xml:space="preserve"> </w:t>
            </w:r>
            <w:r>
              <w:rPr>
                <w:spacing w:val="-1"/>
              </w:rPr>
              <w:t>个美丽示范村带动作用，建设一批立足乡土、富有特色、承</w:t>
            </w:r>
            <w:r>
              <w:rPr/>
              <w:t>载乡愁、体现文明的升级版生态美丽特色村和现代化</w:t>
            </w:r>
            <w:r>
              <w:rPr>
                <w:spacing w:val="-1"/>
              </w:rPr>
              <w:t>示范村。</w:t>
            </w:r>
          </w:p>
        </w:tc>
      </w:tr>
    </w:tbl>
    <w:p>
      <w:pPr>
        <w:spacing w:line="14" w:lineRule="auto"/>
        <w:rPr>
          <w:rFonts w:ascii="Arial"/>
          <w:sz w:val="2"/>
        </w:rPr>
      </w:pPr>
      <w:r/>
    </w:p>
    <w:p>
      <w:pPr>
        <w:spacing w:line="14" w:lineRule="auto"/>
        <w:sectPr>
          <w:type w:val="continuous"/>
          <w:pgSz w:w="11906" w:h="16839"/>
          <w:pgMar w:top="1793" w:right="1489" w:bottom="1673" w:left="1526" w:header="1428" w:footer="1277" w:gutter="0"/>
          <w:cols w:equalWidth="0" w:num="1">
            <w:col w:w="8891" w:space="0"/>
          </w:cols>
        </w:sectPr>
        <w:rPr>
          <w:rFonts w:ascii="Arial" w:hAnsi="Arial" w:eastAsia="Arial" w:cs="Arial"/>
          <w:sz w:val="2"/>
          <w:szCs w:val="2"/>
        </w:rPr>
      </w:pPr>
    </w:p>
    <w:p>
      <w:pPr>
        <w:spacing w:before="25"/>
        <w:rPr/>
      </w:pPr>
      <w:r>
        <w:drawing>
          <wp:anchor distT="0" distB="0" distL="0" distR="0" simplePos="0" relativeHeight="251793408"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418" name="IM 418"/>
            <wp:cNvGraphicFramePr/>
            <a:graphic>
              <a:graphicData uri="http://schemas.openxmlformats.org/drawingml/2006/picture">
                <pic:pic>
                  <pic:nvPicPr>
                    <pic:cNvPr id="418" name="IM 418"/>
                    <pic:cNvPicPr/>
                  </pic:nvPicPr>
                  <pic:blipFill>
                    <a:blip r:embed="rId211"/>
                    <a:stretch>
                      <a:fillRect/>
                    </a:stretch>
                  </pic:blipFill>
                  <pic:spPr>
                    <a:xfrm rot="0">
                      <a:off x="0" y="0"/>
                      <a:ext cx="5579745" cy="7619"/>
                    </a:xfrm>
                    <a:prstGeom prst="rect">
                      <a:avLst/>
                    </a:prstGeom>
                  </pic:spPr>
                </pic:pic>
              </a:graphicData>
            </a:graphic>
          </wp:anchor>
        </w:drawing>
      </w:r>
      <w:r/>
    </w:p>
    <w:p>
      <w:pPr>
        <w:sectPr>
          <w:headerReference w:type="default" r:id="rId167"/>
          <w:footerReference w:type="default" r:id="rId210"/>
          <w:pgSz w:w="11906" w:h="16839"/>
          <w:pgMar w:top="1793" w:right="1509" w:bottom="1570" w:left="1579" w:header="1428" w:footer="1172" w:gutter="0"/>
          <w:cols w:equalWidth="0" w:num="1">
            <w:col w:w="8817" w:space="0"/>
          </w:cols>
        </w:sectPr>
        <w:rPr/>
      </w:pPr>
    </w:p>
    <w:p>
      <w:pPr>
        <w:ind w:left="624"/>
        <w:spacing w:before="58" w:line="181"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第五章</w:t>
      </w:r>
      <w:r>
        <w:rPr>
          <w:rFonts w:ascii="Microsoft YaHei" w:hAnsi="Microsoft YaHei" w:eastAsia="Microsoft YaHei" w:cs="Microsoft YaHei"/>
          <w:sz w:val="20"/>
          <w:szCs w:val="20"/>
          <w:spacing w:val="14"/>
          <w:w w:val="101"/>
        </w:rPr>
        <w:t xml:space="preserve">   </w:t>
      </w:r>
      <w:r>
        <w:rPr>
          <w:rFonts w:ascii="Microsoft YaHei" w:hAnsi="Microsoft YaHei" w:eastAsia="Microsoft YaHei" w:cs="Microsoft YaHei"/>
          <w:sz w:val="20"/>
          <w:szCs w:val="20"/>
          <w:spacing w:val="8"/>
        </w:rPr>
        <w:t>深入推进创新驱动发展</w:t>
      </w:r>
    </w:p>
    <w:p>
      <w:pPr>
        <w:ind w:left="939"/>
        <w:spacing w:before="118" w:line="182"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塑造经济社会发展新优势</w:t>
      </w:r>
    </w:p>
    <w:p>
      <w:pPr>
        <w:spacing w:line="428" w:lineRule="auto"/>
        <w:rPr>
          <w:rFonts w:ascii="Arial"/>
          <w:sz w:val="21"/>
        </w:rPr>
      </w:pPr>
      <w:r/>
    </w:p>
    <w:p>
      <w:pPr>
        <w:pStyle w:val="BodyText"/>
        <w:ind w:left="434"/>
        <w:spacing w:before="65" w:line="222" w:lineRule="auto"/>
        <w:rPr/>
      </w:pPr>
      <w:r>
        <w:rPr>
          <w:spacing w:val="6"/>
        </w:rPr>
        <w:t>坚持越是贫困地区越要创新驱动发展，深</w:t>
      </w:r>
    </w:p>
    <w:p>
      <w:pPr>
        <w:pStyle w:val="BodyText"/>
        <w:ind w:left="13"/>
        <w:spacing w:before="141" w:line="221" w:lineRule="auto"/>
        <w:outlineLvl w:val="0"/>
        <w:rPr/>
      </w:pPr>
      <w:r>
        <w:rPr>
          <w:spacing w:val="7"/>
        </w:rPr>
        <w:t>入实施创新驱动战略，大力推进科技兴固、人</w:t>
      </w:r>
    </w:p>
    <w:p>
      <w:pPr>
        <w:pStyle w:val="BodyText"/>
        <w:ind w:left="12" w:right="327" w:firstLine="2"/>
        <w:spacing w:before="138" w:line="351" w:lineRule="auto"/>
        <w:jc w:val="both"/>
        <w:rPr/>
      </w:pPr>
      <w:r>
        <w:rPr>
          <w:spacing w:val="7"/>
        </w:rPr>
        <w:t>才强市，构建市场为导向、产业为支撑、企业</w:t>
      </w:r>
      <w:r>
        <w:rPr>
          <w:spacing w:val="7"/>
        </w:rPr>
        <w:t>为主体、人才为引领的创新体系，大力发展新</w:t>
      </w:r>
      <w:r>
        <w:rPr>
          <w:spacing w:val="7"/>
        </w:rPr>
        <w:t>技术、新产业、新业态、新模式，促进产业链</w:t>
      </w:r>
      <w:r>
        <w:rPr>
          <w:spacing w:val="7"/>
        </w:rPr>
        <w:t>创新链双向互动，催生高质量发展新动能，推</w:t>
      </w:r>
      <w:r>
        <w:rPr>
          <w:spacing w:val="8"/>
        </w:rPr>
        <w:t>动经济高质量发展。</w:t>
      </w:r>
    </w:p>
    <w:p>
      <w:pPr>
        <w:spacing w:line="311" w:lineRule="auto"/>
        <w:rPr>
          <w:rFonts w:ascii="Arial"/>
          <w:sz w:val="21"/>
        </w:rPr>
      </w:pPr>
      <w:r/>
    </w:p>
    <w:p>
      <w:pPr>
        <w:pStyle w:val="BodyText"/>
        <w:ind w:left="827"/>
        <w:spacing w:before="65" w:line="221" w:lineRule="auto"/>
        <w:outlineLvl w:val="0"/>
        <w:rPr/>
      </w:pPr>
      <w:r>
        <w:rPr>
          <w:b/>
          <w:bCs/>
          <w:spacing w:val="7"/>
        </w:rPr>
        <w:t>第一节</w:t>
      </w:r>
      <w:r>
        <w:rPr>
          <w:spacing w:val="7"/>
        </w:rPr>
        <w:t xml:space="preserve">  </w:t>
      </w:r>
      <w:r>
        <w:rPr>
          <w:b/>
          <w:bCs/>
          <w:spacing w:val="7"/>
        </w:rPr>
        <w:t>加强科技力量建设</w:t>
      </w:r>
    </w:p>
    <w:p>
      <w:pPr>
        <w:spacing w:line="453" w:lineRule="auto"/>
        <w:rPr>
          <w:rFonts w:ascii="Arial"/>
          <w:sz w:val="21"/>
        </w:rPr>
      </w:pPr>
      <w:r/>
    </w:p>
    <w:p>
      <w:pPr>
        <w:pStyle w:val="BodyText"/>
        <w:ind w:left="435"/>
        <w:spacing w:before="66" w:line="223" w:lineRule="auto"/>
        <w:rPr/>
      </w:pPr>
      <w:r>
        <w:rPr>
          <w:spacing w:val="6"/>
        </w:rPr>
        <w:t>强化创新体系和创新能力建设，推动科技</w:t>
      </w:r>
    </w:p>
    <w:p>
      <w:pPr>
        <w:pStyle w:val="BodyText"/>
        <w:ind w:left="12"/>
        <w:spacing w:before="138" w:line="223" w:lineRule="auto"/>
        <w:outlineLvl w:val="0"/>
        <w:rPr/>
      </w:pPr>
      <w:r>
        <w:rPr>
          <w:spacing w:val="7"/>
        </w:rPr>
        <w:t>创新和经济社会发展深度融合，更多依靠科技</w:t>
      </w:r>
    </w:p>
    <w:p>
      <w:pPr>
        <w:pStyle w:val="BodyText"/>
        <w:ind w:left="433" w:right="307" w:hanging="420"/>
        <w:spacing w:before="139" w:line="349" w:lineRule="auto"/>
        <w:rPr/>
      </w:pPr>
      <w:r>
        <w:rPr>
          <w:spacing w:val="8"/>
        </w:rPr>
        <w:t>进步和全面创新，增强高质量发展内生动力。</w:t>
      </w:r>
      <w:r>
        <w:rPr>
          <w:spacing w:val="6"/>
        </w:rPr>
        <w:t>加快关键共性技术攻关。围绕特色优势产</w:t>
      </w:r>
    </w:p>
    <w:p>
      <w:pPr>
        <w:pStyle w:val="BodyText"/>
        <w:ind w:left="11"/>
        <w:spacing w:line="277" w:lineRule="exact"/>
        <w:outlineLvl w:val="0"/>
        <w:rPr/>
      </w:pPr>
      <w:r>
        <w:rPr>
          <w:spacing w:val="7"/>
          <w:position w:val="1"/>
        </w:rPr>
        <w:t>业布局创新链，聚焦产业链关键环节，打好关</w:t>
      </w:r>
    </w:p>
    <w:p>
      <w:pPr>
        <w:pStyle w:val="BodyText"/>
        <w:ind w:left="11" w:right="327"/>
        <w:spacing w:before="104" w:line="349" w:lineRule="auto"/>
        <w:jc w:val="both"/>
        <w:rPr/>
      </w:pPr>
      <w:r>
        <w:rPr>
          <w:spacing w:val="7"/>
        </w:rPr>
        <w:t>键核心技术攻坚战，提高创新链整体效能。以</w:t>
      </w:r>
      <w:r>
        <w:rPr>
          <w:spacing w:val="7"/>
        </w:rPr>
        <w:t>特色农业、新材料、清洁能源、生态环保、人</w:t>
      </w:r>
      <w:r>
        <w:rPr>
          <w:spacing w:val="7"/>
        </w:rPr>
        <w:t>口健康等领域为重点，加快研究部署一批新的</w:t>
      </w:r>
      <w:r>
        <w:rPr>
          <w:spacing w:val="7"/>
        </w:rPr>
        <w:t>重大科技项目，引导技术能力突出的创新型领</w:t>
      </w:r>
      <w:r>
        <w:rPr>
          <w:spacing w:val="7"/>
        </w:rPr>
        <w:t>军企业加强基础研究，开展重大关键共性技术</w:t>
      </w:r>
      <w:r>
        <w:rPr>
          <w:spacing w:val="7"/>
        </w:rPr>
        <w:t>研发攻关，力争突破一批关键共性技术、推出</w:t>
      </w:r>
      <w:r>
        <w:rPr>
          <w:spacing w:val="7"/>
        </w:rPr>
        <w:t>一批高端产品，不断增强产业竞争力。依托重</w:t>
      </w:r>
      <w:r>
        <w:rPr>
          <w:spacing w:val="7"/>
        </w:rPr>
        <w:t>大工程建设和有条件的行业骨干企业，推进首</w:t>
      </w:r>
      <w:r>
        <w:rPr>
          <w:spacing w:val="7"/>
        </w:rPr>
        <w:t>台（套）示范应用，推动产业向价值链中高端</w:t>
      </w:r>
      <w:r>
        <w:rPr>
          <w:spacing w:val="5"/>
        </w:rPr>
        <w:t>迈进。</w:t>
      </w:r>
    </w:p>
    <w:p>
      <w:pPr>
        <w:pStyle w:val="BodyText"/>
        <w:ind w:left="434"/>
        <w:spacing w:before="21" w:line="225" w:lineRule="auto"/>
        <w:rPr/>
      </w:pPr>
      <w:r>
        <w:rPr>
          <w:spacing w:val="6"/>
        </w:rPr>
        <w:t>加强创新平台建设。围绕重点和鼓励发展</w:t>
      </w:r>
    </w:p>
    <w:p>
      <w:pPr>
        <w:pStyle w:val="BodyText"/>
        <w:ind w:left="14"/>
        <w:spacing w:before="136" w:line="224" w:lineRule="auto"/>
        <w:outlineLvl w:val="0"/>
        <w:rPr/>
      </w:pPr>
      <w:r>
        <w:rPr>
          <w:spacing w:val="7"/>
        </w:rPr>
        <w:t>产业需求，组建产业公共研发平台和技术服务</w:t>
      </w:r>
    </w:p>
    <w:p>
      <w:pPr>
        <w:pStyle w:val="BodyText"/>
        <w:ind w:left="13" w:right="327" w:hanging="1"/>
        <w:spacing w:before="137" w:line="349" w:lineRule="auto"/>
        <w:jc w:val="both"/>
        <w:rPr/>
      </w:pPr>
      <w:r>
        <w:rPr>
          <w:spacing w:val="7"/>
        </w:rPr>
        <w:t>平台，建立开放、共享的引导、补偿机制，不</w:t>
      </w:r>
      <w:r>
        <w:rPr>
          <w:spacing w:val="7"/>
        </w:rPr>
        <w:t>断拓宽和完善服务功能。推进科技数据、科研</w:t>
      </w:r>
      <w:r>
        <w:rPr>
          <w:spacing w:val="7"/>
        </w:rPr>
        <w:t>仪器设施设备等科技资源跨部门、跨行业、跨</w:t>
      </w:r>
      <w:r>
        <w:rPr>
          <w:spacing w:val="7"/>
        </w:rPr>
        <w:t>县区高效协作共享。聚焦固原特色产业，引导</w:t>
      </w:r>
    </w:p>
    <w:p>
      <w:pPr>
        <w:spacing w:line="14" w:lineRule="auto"/>
        <w:rPr>
          <w:rFonts w:ascii="Arial"/>
          <w:sz w:val="2"/>
        </w:rPr>
      </w:pPr>
      <w:r>
        <w:rPr>
          <w:rFonts w:ascii="Arial" w:hAnsi="Arial" w:eastAsia="Arial" w:cs="Arial"/>
          <w:sz w:val="2"/>
          <w:szCs w:val="2"/>
        </w:rPr>
        <w:br w:type="column"/>
      </w:r>
    </w:p>
    <w:p>
      <w:pPr>
        <w:pStyle w:val="BodyText"/>
        <w:ind w:left="2" w:right="3" w:firstLine="2"/>
        <w:spacing w:before="46" w:line="351" w:lineRule="auto"/>
        <w:jc w:val="both"/>
        <w:rPr/>
      </w:pPr>
      <w:r>
        <w:rPr>
          <w:spacing w:val="6"/>
        </w:rPr>
        <w:t>支持建设</w:t>
      </w:r>
      <w:r>
        <w:rPr>
          <w:spacing w:val="-37"/>
        </w:rPr>
        <w:t xml:space="preserve"> </w:t>
      </w:r>
      <w:r>
        <w:rPr>
          <w:spacing w:val="6"/>
        </w:rPr>
        <w:t>3</w:t>
      </w:r>
      <w:r>
        <w:rPr>
          <w:spacing w:val="-38"/>
        </w:rPr>
        <w:t xml:space="preserve"> </w:t>
      </w:r>
      <w:r>
        <w:rPr>
          <w:spacing w:val="6"/>
        </w:rPr>
        <w:t>家以上投资主体多元化、管理制度</w:t>
      </w:r>
      <w:r>
        <w:rPr>
          <w:spacing w:val="7"/>
        </w:rPr>
        <w:t>现代化、运行机制市场化的新型研发机构，开</w:t>
      </w:r>
      <w:r>
        <w:rPr>
          <w:spacing w:val="18"/>
        </w:rPr>
        <w:t>展产业共性关键技术研发、科技成果转移转</w:t>
      </w:r>
      <w:r>
        <w:rPr>
          <w:spacing w:val="7"/>
        </w:rPr>
        <w:t>化、技术服务、企业孵化等创新创业活动，积</w:t>
      </w:r>
      <w:r>
        <w:rPr>
          <w:spacing w:val="18"/>
        </w:rPr>
        <w:t>极引进区内外新型研发机构在固原设立分院</w:t>
      </w:r>
      <w:r>
        <w:rPr>
          <w:spacing w:val="7"/>
        </w:rPr>
        <w:t>分所，联合省外高校和科研院所建设飞地实验</w:t>
      </w:r>
      <w:r>
        <w:rPr>
          <w:spacing w:val="7"/>
        </w:rPr>
        <w:t>室。以宁夏师范学院、宁夏农科院固原分院科</w:t>
      </w:r>
      <w:r>
        <w:rPr>
          <w:spacing w:val="7"/>
        </w:rPr>
        <w:t>技资源为基础，引入区内外优势资源，借智借</w:t>
      </w:r>
      <w:r>
        <w:rPr>
          <w:spacing w:val="7"/>
        </w:rPr>
        <w:t>力共同推进宁夏固原产业技术研究院建设，支</w:t>
      </w:r>
      <w:r>
        <w:rPr>
          <w:spacing w:val="7"/>
        </w:rPr>
        <w:t>持企业组建市场化运作的产业创新联盟，力争</w:t>
      </w:r>
      <w:r>
        <w:rPr/>
        <w:t>到</w:t>
      </w:r>
      <w:r>
        <w:rPr>
          <w:spacing w:val="-35"/>
        </w:rPr>
        <w:t xml:space="preserve"> </w:t>
      </w:r>
      <w:r>
        <w:rPr/>
        <w:t>2025</w:t>
      </w:r>
      <w:r>
        <w:rPr>
          <w:spacing w:val="-51"/>
        </w:rPr>
        <w:t xml:space="preserve"> </w:t>
      </w:r>
      <w:r>
        <w:rPr/>
        <w:t>年，新建各类科技创新平台</w:t>
      </w:r>
      <w:r>
        <w:rPr>
          <w:spacing w:val="-34"/>
        </w:rPr>
        <w:t xml:space="preserve"> </w:t>
      </w:r>
      <w:r>
        <w:rPr/>
        <w:t>15</w:t>
      </w:r>
      <w:r>
        <w:rPr>
          <w:spacing w:val="-58"/>
        </w:rPr>
        <w:t xml:space="preserve"> </w:t>
      </w:r>
      <w:r>
        <w:rPr/>
        <w:t>个以上。</w:t>
      </w:r>
    </w:p>
    <w:p>
      <w:pPr>
        <w:pStyle w:val="BodyText"/>
        <w:ind w:left="1" w:right="80" w:firstLine="423"/>
        <w:spacing w:before="2" w:line="285" w:lineRule="auto"/>
        <w:outlineLvl w:val="0"/>
        <w:rPr/>
      </w:pPr>
      <w:r>
        <w:rPr>
          <w:spacing w:val="6"/>
        </w:rPr>
        <w:t>推动产学研深度融合。以创建自治区农业</w:t>
      </w:r>
      <w:r>
        <w:rPr>
          <w:spacing w:val="7"/>
        </w:rPr>
        <w:t>科技示范园区、培育自治区农业高新技术企业</w:t>
      </w:r>
    </w:p>
    <w:p>
      <w:pPr>
        <w:pStyle w:val="BodyText"/>
        <w:ind w:firstLine="8"/>
        <w:spacing w:before="145" w:line="350" w:lineRule="auto"/>
        <w:jc w:val="both"/>
        <w:rPr/>
      </w:pPr>
      <w:r>
        <w:rPr>
          <w:spacing w:val="6"/>
        </w:rPr>
        <w:t>为目标，实施产业技术研究院创新工程，持续</w:t>
      </w:r>
      <w:r>
        <w:rPr>
          <w:spacing w:val="7"/>
        </w:rPr>
        <w:t>推进固原国家农业科技园区建设，试点宁夏农</w:t>
      </w:r>
      <w:r>
        <w:rPr>
          <w:spacing w:val="18"/>
        </w:rPr>
        <w:t>科院固原分院与固原国家农业科技园区职能</w:t>
      </w:r>
      <w:r>
        <w:rPr>
          <w:spacing w:val="7"/>
        </w:rPr>
        <w:t>整合，探索“院区一体化”合作新模式。加大</w:t>
      </w:r>
      <w:r>
        <w:rPr>
          <w:spacing w:val="7"/>
        </w:rPr>
        <w:t>园区与科研单位、高校院所的合作力度，以技</w:t>
      </w:r>
      <w:r>
        <w:rPr>
          <w:spacing w:val="7"/>
        </w:rPr>
        <w:t>术合作等方式吸引优质企业、科研院所等进入</w:t>
      </w:r>
      <w:r>
        <w:rPr>
          <w:spacing w:val="7"/>
        </w:rPr>
        <w:t>园区，不断提高园区整体科技水平。鼓励和引</w:t>
      </w:r>
      <w:r>
        <w:rPr>
          <w:spacing w:val="7"/>
        </w:rPr>
        <w:t>导金融机构、民间资本进入农业科技园，构建</w:t>
      </w:r>
      <w:r>
        <w:rPr>
          <w:spacing w:val="10"/>
        </w:rPr>
        <w:t>多元投入机制，不断增强马铃薯、冷凉蔬菜、</w:t>
      </w:r>
      <w:r>
        <w:rPr>
          <w:spacing w:val="1"/>
        </w:rPr>
        <w:t>肉牛、中药材等特色产业科技核心区、示范区、</w:t>
      </w:r>
      <w:r>
        <w:rPr>
          <w:spacing w:val="7"/>
        </w:rPr>
        <w:t>辐射区带动功能。围绕特色产业发展需求，解</w:t>
      </w:r>
      <w:r>
        <w:rPr>
          <w:spacing w:val="7"/>
        </w:rPr>
        <w:t>决一批产业发展技术难题，落地转化一批科技</w:t>
      </w:r>
      <w:r>
        <w:rPr>
          <w:spacing w:val="7"/>
        </w:rPr>
        <w:t>成果，培育一批产业经营龙头企业，助推固原</w:t>
      </w:r>
      <w:r>
        <w:rPr>
          <w:spacing w:val="7"/>
        </w:rPr>
        <w:t>国家农业科技园区和工业园区水平提升，统筹</w:t>
      </w:r>
      <w:r>
        <w:rPr>
          <w:spacing w:val="5"/>
        </w:rPr>
        <w:t>布局建设</w:t>
      </w:r>
      <w:r>
        <w:rPr>
          <w:spacing w:val="-12"/>
        </w:rPr>
        <w:t xml:space="preserve"> </w:t>
      </w:r>
      <w:r>
        <w:rPr>
          <w:spacing w:val="5"/>
        </w:rPr>
        <w:t>1</w:t>
      </w:r>
      <w:r>
        <w:rPr>
          <w:spacing w:val="-38"/>
        </w:rPr>
        <w:t xml:space="preserve"> </w:t>
      </w:r>
      <w:r>
        <w:rPr>
          <w:spacing w:val="5"/>
        </w:rPr>
        <w:t>家产业技术协同创新中心，争取建</w:t>
      </w:r>
      <w:r>
        <w:rPr>
          <w:spacing w:val="9"/>
        </w:rPr>
        <w:t>设</w:t>
      </w:r>
      <w:r>
        <w:rPr>
          <w:spacing w:val="-35"/>
        </w:rPr>
        <w:t xml:space="preserve"> </w:t>
      </w:r>
      <w:r>
        <w:rPr>
          <w:spacing w:val="9"/>
        </w:rPr>
        <w:t>2-3</w:t>
      </w:r>
      <w:r>
        <w:rPr>
          <w:spacing w:val="-30"/>
        </w:rPr>
        <w:t xml:space="preserve"> </w:t>
      </w:r>
      <w:r>
        <w:rPr>
          <w:spacing w:val="9"/>
        </w:rPr>
        <w:t>家自治区工程技术研究中心</w:t>
      </w:r>
      <w:r>
        <w:rPr>
          <w:spacing w:val="-56"/>
        </w:rPr>
        <w:t xml:space="preserve"> </w:t>
      </w:r>
      <w:r>
        <w:rPr>
          <w:spacing w:val="9"/>
        </w:rPr>
        <w:t>，建成</w:t>
      </w:r>
      <w:r>
        <w:rPr>
          <w:spacing w:val="-18"/>
        </w:rPr>
        <w:t xml:space="preserve"> </w:t>
      </w:r>
      <w:r>
        <w:rPr>
          <w:spacing w:val="9"/>
        </w:rPr>
        <w:t>10</w:t>
      </w:r>
      <w:r>
        <w:rPr>
          <w:spacing w:val="8"/>
        </w:rPr>
        <w:t>家自治区技术创新中心。</w:t>
      </w:r>
    </w:p>
    <w:p>
      <w:pPr>
        <w:pStyle w:val="BodyText"/>
        <w:ind w:left="606"/>
        <w:spacing w:before="245" w:line="222" w:lineRule="auto"/>
        <w:outlineLvl w:val="0"/>
        <w:rPr/>
      </w:pPr>
      <w:r>
        <w:rPr>
          <w:b/>
          <w:bCs/>
          <w:spacing w:val="7"/>
        </w:rPr>
        <w:t>第二节</w:t>
      </w:r>
      <w:r>
        <w:rPr>
          <w:spacing w:val="7"/>
        </w:rPr>
        <w:t xml:space="preserve">  </w:t>
      </w:r>
      <w:r>
        <w:rPr>
          <w:b/>
          <w:bCs/>
          <w:spacing w:val="7"/>
        </w:rPr>
        <w:t>强化企业创新主体地位</w:t>
      </w:r>
    </w:p>
    <w:p>
      <w:pPr>
        <w:spacing w:line="367" w:lineRule="auto"/>
        <w:rPr>
          <w:rFonts w:ascii="Arial"/>
          <w:sz w:val="21"/>
        </w:rPr>
      </w:pPr>
      <w:r/>
    </w:p>
    <w:p>
      <w:pPr>
        <w:pStyle w:val="BodyText"/>
        <w:ind w:left="4" w:right="80" w:firstLine="419"/>
        <w:spacing w:before="66" w:line="277" w:lineRule="auto"/>
        <w:outlineLvl w:val="0"/>
        <w:rPr/>
      </w:pPr>
      <w:r>
        <w:rPr>
          <w:spacing w:val="6"/>
        </w:rPr>
        <w:t>坚持创新是发展的第一动力，落实政府扶</w:t>
      </w:r>
      <w:r>
        <w:rPr>
          <w:spacing w:val="7"/>
        </w:rPr>
        <w:t>持政策、项目资金，推动各类创新要素向企业</w:t>
      </w:r>
    </w:p>
    <w:p>
      <w:pPr>
        <w:spacing w:line="277" w:lineRule="auto"/>
        <w:sectPr>
          <w:type w:val="continuous"/>
          <w:pgSz w:w="11906" w:h="16839"/>
          <w:pgMar w:top="1793" w:right="1509" w:bottom="1570" w:left="1579" w:header="1428" w:footer="1172" w:gutter="0"/>
          <w:cols w:equalWidth="0" w:num="2">
            <w:col w:w="4487" w:space="100"/>
            <w:col w:w="4230" w:space="0"/>
          </w:cols>
        </w:sectPr>
        <w:rPr/>
      </w:pPr>
    </w:p>
    <w:p>
      <w:pPr>
        <w:spacing w:before="36"/>
        <w:rPr/>
      </w:pPr>
      <w:r>
        <w:drawing>
          <wp:anchor distT="0" distB="0" distL="0" distR="0" simplePos="0" relativeHeight="251795456"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424" name="IM 424"/>
            <wp:cNvGraphicFramePr/>
            <a:graphic>
              <a:graphicData uri="http://schemas.openxmlformats.org/drawingml/2006/picture">
                <pic:pic>
                  <pic:nvPicPr>
                    <pic:cNvPr id="424" name="IM 424"/>
                    <pic:cNvPicPr/>
                  </pic:nvPicPr>
                  <pic:blipFill>
                    <a:blip r:embed="rId214"/>
                    <a:stretch>
                      <a:fillRect/>
                    </a:stretch>
                  </pic:blipFill>
                  <pic:spPr>
                    <a:xfrm rot="0">
                      <a:off x="0" y="0"/>
                      <a:ext cx="5579745" cy="7619"/>
                    </a:xfrm>
                    <a:prstGeom prst="rect">
                      <a:avLst/>
                    </a:prstGeom>
                  </pic:spPr>
                </pic:pic>
              </a:graphicData>
            </a:graphic>
          </wp:anchor>
        </w:drawing>
      </w:r>
      <w:r/>
    </w:p>
    <w:p>
      <w:pPr>
        <w:sectPr>
          <w:headerReference w:type="default" r:id="rId212"/>
          <w:footerReference w:type="default" r:id="rId213"/>
          <w:pgSz w:w="11906" w:h="16839"/>
          <w:pgMar w:top="1793" w:right="1442" w:bottom="1673" w:left="1565" w:header="1428" w:footer="1277" w:gutter="0"/>
          <w:cols w:equalWidth="0" w:num="1">
            <w:col w:w="8899" w:space="0"/>
          </w:cols>
        </w:sectPr>
        <w:rPr/>
      </w:pPr>
    </w:p>
    <w:p>
      <w:pPr>
        <w:pStyle w:val="BodyText"/>
        <w:ind w:left="29" w:right="329" w:firstLine="6"/>
        <w:spacing w:before="51" w:line="366" w:lineRule="auto"/>
        <w:jc w:val="both"/>
        <w:rPr/>
      </w:pPr>
      <w:r>
        <w:rPr>
          <w:spacing w:val="15"/>
        </w:rPr>
        <w:t>聚集</w:t>
      </w:r>
      <w:r>
        <w:rPr>
          <w:spacing w:val="-49"/>
        </w:rPr>
        <w:t xml:space="preserve"> </w:t>
      </w:r>
      <w:r>
        <w:rPr>
          <w:spacing w:val="15"/>
        </w:rPr>
        <w:t>，支持企业建立技术创新中心和智能车</w:t>
      </w:r>
      <w:r>
        <w:rPr>
          <w:spacing w:val="7"/>
        </w:rPr>
        <w:t>间、承担科技项目、开展技术合作，发挥企业</w:t>
      </w:r>
      <w:r>
        <w:rPr>
          <w:spacing w:val="9"/>
        </w:rPr>
        <w:t>在创新要素集成和资源配置中的主导作用。</w:t>
      </w:r>
    </w:p>
    <w:p>
      <w:pPr>
        <w:pStyle w:val="BodyText"/>
        <w:ind w:left="449"/>
        <w:spacing w:before="1" w:line="219" w:lineRule="auto"/>
        <w:rPr/>
      </w:pPr>
      <w:r>
        <w:rPr>
          <w:spacing w:val="6"/>
        </w:rPr>
        <w:t>壮大培育科技型企业。对标自治区九大重</w:t>
      </w:r>
    </w:p>
    <w:p>
      <w:pPr>
        <w:pStyle w:val="BodyText"/>
        <w:ind w:left="30"/>
        <w:spacing w:before="158" w:line="222" w:lineRule="auto"/>
        <w:outlineLvl w:val="0"/>
        <w:rPr/>
      </w:pPr>
      <w:r>
        <w:rPr>
          <w:spacing w:val="7"/>
        </w:rPr>
        <w:t>点特色产业，紧紧围绕固原市确定的肉牛、绿</w:t>
      </w:r>
    </w:p>
    <w:p>
      <w:pPr>
        <w:pStyle w:val="BodyText"/>
        <w:ind w:left="27" w:right="306" w:firstLine="4"/>
        <w:spacing w:before="149" w:line="364" w:lineRule="auto"/>
        <w:rPr/>
      </w:pPr>
      <w:r>
        <w:rPr>
          <w:spacing w:val="7"/>
        </w:rPr>
        <w:t>色食品、生态经济、文化旅游、现代纺织和服</w:t>
      </w:r>
      <w:r>
        <w:rPr>
          <w:spacing w:val="7"/>
        </w:rPr>
        <w:t>装加工重点发展产业，能源及新材料、现代服</w:t>
      </w:r>
      <w:r>
        <w:rPr>
          <w:spacing w:val="7"/>
        </w:rPr>
        <w:t>务及物流、电子信息鼓励发展产业，强化企业</w:t>
      </w:r>
      <w:r>
        <w:rPr>
          <w:spacing w:val="7"/>
        </w:rPr>
        <w:t>创新主体地位，按照自治区统一部署的科技型</w:t>
      </w:r>
      <w:r>
        <w:rPr>
          <w:spacing w:val="7"/>
        </w:rPr>
        <w:t>企业成长梯队，遴选一批产业特色明显、创新</w:t>
      </w:r>
      <w:r>
        <w:rPr>
          <w:spacing w:val="8"/>
        </w:rPr>
        <w:t>能力突出的龙头科技型骨干企业，加大项目、</w:t>
      </w:r>
    </w:p>
    <w:p>
      <w:pPr>
        <w:pStyle w:val="BodyText"/>
        <w:ind w:left="30" w:right="306" w:hanging="3"/>
        <w:spacing w:before="14" w:line="365" w:lineRule="auto"/>
        <w:rPr/>
      </w:pPr>
      <w:r>
        <w:rPr>
          <w:spacing w:val="7"/>
        </w:rPr>
        <w:t>平台、人才、金融等支持力度，引导其持续加</w:t>
      </w:r>
      <w:r>
        <w:rPr>
          <w:spacing w:val="7"/>
        </w:rPr>
        <w:t>强技术创新、管理创新和营运模式创新，全力</w:t>
      </w:r>
      <w:r>
        <w:rPr>
          <w:spacing w:val="8"/>
        </w:rPr>
        <w:t>培育一批创新示范企业。加快发展众创空间、</w:t>
      </w:r>
    </w:p>
    <w:p>
      <w:pPr>
        <w:pStyle w:val="BodyText"/>
        <w:ind w:left="26" w:right="123" w:firstLine="7"/>
        <w:spacing w:before="8" w:line="365" w:lineRule="auto"/>
        <w:rPr/>
      </w:pPr>
      <w:r>
        <w:rPr>
          <w:spacing w:val="11"/>
        </w:rPr>
        <w:t>星创天地，建设一批以科技为支撑的 “双创”</w:t>
      </w:r>
      <w:r>
        <w:rPr>
          <w:spacing w:val="7"/>
        </w:rPr>
        <w:t>载体和孵化基地，鼓励各县区特别是开发区围</w:t>
      </w:r>
      <w:r>
        <w:rPr>
          <w:spacing w:val="2"/>
        </w:rPr>
        <w:t xml:space="preserve"> </w:t>
      </w:r>
      <w:r>
        <w:rPr>
          <w:spacing w:val="7"/>
        </w:rPr>
        <w:t>绕主导产业强链延链补链需求，精准引进培育</w:t>
      </w:r>
      <w:r>
        <w:rPr>
          <w:spacing w:val="2"/>
        </w:rPr>
        <w:t xml:space="preserve"> </w:t>
      </w:r>
      <w:r>
        <w:rPr>
          <w:spacing w:val="7"/>
        </w:rPr>
        <w:t>一批初创型科技型企业，形成一批有区域竞争</w:t>
      </w:r>
      <w:r>
        <w:rPr>
          <w:spacing w:val="2"/>
        </w:rPr>
        <w:t xml:space="preserve"> </w:t>
      </w:r>
      <w:r>
        <w:rPr>
          <w:spacing w:val="8"/>
        </w:rPr>
        <w:t>力的创新型领军企业。到</w:t>
      </w:r>
      <w:r>
        <w:rPr>
          <w:spacing w:val="-27"/>
        </w:rPr>
        <w:t xml:space="preserve"> </w:t>
      </w:r>
      <w:r>
        <w:rPr>
          <w:spacing w:val="8"/>
        </w:rPr>
        <w:t>2025</w:t>
      </w:r>
      <w:r>
        <w:rPr>
          <w:spacing w:val="-34"/>
        </w:rPr>
        <w:t xml:space="preserve"> </w:t>
      </w:r>
      <w:r>
        <w:rPr>
          <w:spacing w:val="8"/>
        </w:rPr>
        <w:t>年</w:t>
      </w:r>
      <w:r>
        <w:rPr>
          <w:spacing w:val="-59"/>
        </w:rPr>
        <w:t xml:space="preserve"> </w:t>
      </w:r>
      <w:r>
        <w:rPr>
          <w:spacing w:val="8"/>
        </w:rPr>
        <w:t>，力争固原</w:t>
      </w:r>
      <w:r>
        <w:rPr>
          <w:spacing w:val="6"/>
        </w:rPr>
        <w:t>市国家高新技术企业突破</w:t>
      </w:r>
      <w:r>
        <w:rPr>
          <w:spacing w:val="-26"/>
        </w:rPr>
        <w:t xml:space="preserve"> </w:t>
      </w:r>
      <w:r>
        <w:rPr>
          <w:spacing w:val="6"/>
        </w:rPr>
        <w:t>20</w:t>
      </w:r>
      <w:r>
        <w:rPr>
          <w:spacing w:val="-35"/>
        </w:rPr>
        <w:t xml:space="preserve"> </w:t>
      </w:r>
      <w:r>
        <w:rPr>
          <w:spacing w:val="6"/>
        </w:rPr>
        <w:t>家</w:t>
      </w:r>
      <w:r>
        <w:rPr>
          <w:spacing w:val="-59"/>
        </w:rPr>
        <w:t xml:space="preserve"> </w:t>
      </w:r>
      <w:r>
        <w:rPr>
          <w:spacing w:val="6"/>
        </w:rPr>
        <w:t>，</w:t>
      </w:r>
      <w:r>
        <w:rPr>
          <w:spacing w:val="-54"/>
        </w:rPr>
        <w:t xml:space="preserve"> </w:t>
      </w:r>
      <w:r>
        <w:rPr>
          <w:spacing w:val="6"/>
        </w:rPr>
        <w:t>自治区科技</w:t>
      </w:r>
      <w:r>
        <w:rPr>
          <w:spacing w:val="8"/>
        </w:rPr>
        <w:t>小巨人企业达到</w:t>
      </w:r>
      <w:r>
        <w:rPr>
          <w:spacing w:val="-20"/>
        </w:rPr>
        <w:t xml:space="preserve"> </w:t>
      </w:r>
      <w:r>
        <w:rPr>
          <w:spacing w:val="8"/>
        </w:rPr>
        <w:t>15</w:t>
      </w:r>
      <w:r>
        <w:rPr>
          <w:spacing w:val="-33"/>
        </w:rPr>
        <w:t xml:space="preserve"> </w:t>
      </w:r>
      <w:r>
        <w:rPr>
          <w:spacing w:val="8"/>
        </w:rPr>
        <w:t>家以上</w:t>
      </w:r>
      <w:r>
        <w:rPr>
          <w:spacing w:val="-59"/>
        </w:rPr>
        <w:t xml:space="preserve"> </w:t>
      </w:r>
      <w:r>
        <w:rPr>
          <w:spacing w:val="8"/>
        </w:rPr>
        <w:t>，科技型中小企业</w:t>
      </w:r>
      <w:r>
        <w:rPr/>
        <w:t xml:space="preserve"> </w:t>
      </w:r>
      <w:r>
        <w:rPr>
          <w:spacing w:val="4"/>
        </w:rPr>
        <w:t>达到</w:t>
      </w:r>
      <w:r>
        <w:rPr>
          <w:spacing w:val="-38"/>
        </w:rPr>
        <w:t xml:space="preserve"> </w:t>
      </w:r>
      <w:r>
        <w:rPr>
          <w:spacing w:val="4"/>
        </w:rPr>
        <w:t>240</w:t>
      </w:r>
      <w:r>
        <w:rPr>
          <w:spacing w:val="-38"/>
        </w:rPr>
        <w:t xml:space="preserve"> </w:t>
      </w:r>
      <w:r>
        <w:rPr>
          <w:spacing w:val="4"/>
        </w:rPr>
        <w:t>家左右。</w:t>
      </w:r>
    </w:p>
    <w:p>
      <w:pPr>
        <w:pStyle w:val="BodyText"/>
        <w:ind w:left="449"/>
        <w:spacing w:line="219" w:lineRule="auto"/>
        <w:rPr/>
      </w:pPr>
      <w:r>
        <w:rPr>
          <w:spacing w:val="6"/>
        </w:rPr>
        <w:t>发挥企业家重要作用。尊重企业家首创精</w:t>
      </w:r>
    </w:p>
    <w:p>
      <w:pPr>
        <w:pStyle w:val="BodyText"/>
        <w:ind w:left="29"/>
        <w:spacing w:before="156" w:line="224" w:lineRule="auto"/>
        <w:outlineLvl w:val="0"/>
        <w:rPr/>
      </w:pPr>
      <w:r>
        <w:rPr>
          <w:spacing w:val="7"/>
        </w:rPr>
        <w:t>神，建立有利于企业家参与创新决策、凝聚创</w:t>
      </w:r>
    </w:p>
    <w:p>
      <w:pPr>
        <w:pStyle w:val="BodyText"/>
        <w:ind w:left="26" w:right="329"/>
        <w:spacing w:before="158" w:line="345" w:lineRule="auto"/>
        <w:jc w:val="both"/>
        <w:rPr/>
      </w:pPr>
      <w:r>
        <w:rPr>
          <w:spacing w:val="7"/>
        </w:rPr>
        <w:t>新人才、整合创新资源的新机制，激发和保护</w:t>
      </w:r>
      <w:r>
        <w:rPr>
          <w:spacing w:val="15"/>
        </w:rPr>
        <w:t>企业家精神</w:t>
      </w:r>
      <w:r>
        <w:rPr>
          <w:spacing w:val="-39"/>
        </w:rPr>
        <w:t xml:space="preserve"> </w:t>
      </w:r>
      <w:r>
        <w:rPr>
          <w:spacing w:val="15"/>
        </w:rPr>
        <w:t>，鼓励更多社会主体投身创新创</w:t>
      </w:r>
      <w:r>
        <w:rPr>
          <w:spacing w:val="7"/>
        </w:rPr>
        <w:t>业。开展企业家创新创造意识培育行动，分层</w:t>
      </w:r>
      <w:r>
        <w:rPr>
          <w:spacing w:val="15"/>
        </w:rPr>
        <w:t>分类开展创新教育培训</w:t>
      </w:r>
      <w:r>
        <w:rPr>
          <w:spacing w:val="-39"/>
        </w:rPr>
        <w:t xml:space="preserve"> </w:t>
      </w:r>
      <w:r>
        <w:rPr>
          <w:spacing w:val="15"/>
        </w:rPr>
        <w:t>，增强企业家创新精</w:t>
      </w:r>
      <w:r>
        <w:rPr>
          <w:spacing w:val="7"/>
        </w:rPr>
        <w:t>神、创新意识、创新能力。鼓励企业家与科研</w:t>
      </w:r>
      <w:r>
        <w:rPr>
          <w:spacing w:val="7"/>
        </w:rPr>
        <w:t>人员深度合作，促进科研成果从实验室走向市</w:t>
      </w:r>
      <w:r>
        <w:rPr>
          <w:spacing w:val="7"/>
        </w:rPr>
        <w:t>场。依法保护企业家财产权和创新收益，进一</w:t>
      </w:r>
      <w:r>
        <w:rPr>
          <w:spacing w:val="7"/>
        </w:rPr>
        <w:t>步营造尊重、关怀、宽容、支持企业家的社会</w:t>
      </w:r>
      <w:r>
        <w:rPr>
          <w:spacing w:val="7"/>
        </w:rPr>
        <w:t>文化环境。</w:t>
      </w:r>
    </w:p>
    <w:p>
      <w:pPr>
        <w:spacing w:line="14" w:lineRule="auto"/>
        <w:rPr>
          <w:rFonts w:ascii="Arial"/>
          <w:sz w:val="2"/>
        </w:rPr>
      </w:pPr>
      <w:r>
        <w:rPr>
          <w:rFonts w:ascii="Arial" w:hAnsi="Arial" w:eastAsia="Arial" w:cs="Arial"/>
          <w:sz w:val="2"/>
          <w:szCs w:val="2"/>
        </w:rPr>
        <w:br w:type="column"/>
      </w:r>
    </w:p>
    <w:p>
      <w:pPr>
        <w:pStyle w:val="BodyText"/>
        <w:ind w:left="815"/>
        <w:spacing w:before="40" w:line="220" w:lineRule="auto"/>
        <w:outlineLvl w:val="0"/>
        <w:rPr/>
      </w:pPr>
      <w:r>
        <w:rPr>
          <w:b/>
          <w:bCs/>
          <w:spacing w:val="7"/>
        </w:rPr>
        <w:t>第三节</w:t>
      </w:r>
      <w:r>
        <w:rPr>
          <w:spacing w:val="7"/>
        </w:rPr>
        <w:t xml:space="preserve">  </w:t>
      </w:r>
      <w:r>
        <w:rPr>
          <w:b/>
          <w:bCs/>
          <w:spacing w:val="7"/>
        </w:rPr>
        <w:t>激发人才创新活力</w:t>
      </w:r>
    </w:p>
    <w:p>
      <w:pPr>
        <w:spacing w:line="456" w:lineRule="auto"/>
        <w:rPr>
          <w:rFonts w:ascii="Arial"/>
          <w:sz w:val="21"/>
        </w:rPr>
      </w:pPr>
      <w:r/>
    </w:p>
    <w:p>
      <w:pPr>
        <w:pStyle w:val="BodyText"/>
        <w:ind w:left="4" w:right="148" w:firstLine="417"/>
        <w:spacing w:before="65" w:line="285" w:lineRule="auto"/>
        <w:outlineLvl w:val="0"/>
        <w:rPr/>
      </w:pPr>
      <w:r>
        <w:rPr>
          <w:spacing w:val="6"/>
        </w:rPr>
        <w:t>坚持人才优先发展，以更大力度实施新一</w:t>
      </w:r>
      <w:r>
        <w:rPr>
          <w:spacing w:val="7"/>
        </w:rPr>
        <w:t>轮英才计划和产业人才发展行动计划，积极引</w:t>
      </w:r>
    </w:p>
    <w:p>
      <w:pPr>
        <w:pStyle w:val="BodyText"/>
        <w:ind w:left="1" w:right="141"/>
        <w:spacing w:before="141" w:line="351" w:lineRule="auto"/>
        <w:jc w:val="both"/>
        <w:rPr/>
      </w:pPr>
      <w:r>
        <w:rPr>
          <w:spacing w:val="18"/>
        </w:rPr>
        <w:t>进经济社会发展急需的高层次创新创业人才</w:t>
      </w:r>
      <w:r>
        <w:rPr>
          <w:spacing w:val="7"/>
        </w:rPr>
        <w:t>和高技能人才，全面提升本土人才队伍素质，</w:t>
      </w:r>
      <w:r>
        <w:rPr>
          <w:spacing w:val="-3"/>
        </w:rPr>
        <w:t>努力建成区域特色产业科技人才聚集创业洼</w:t>
      </w:r>
      <w:r>
        <w:rPr>
          <w:spacing w:val="-4"/>
        </w:rPr>
        <w:t>地。</w:t>
      </w:r>
    </w:p>
    <w:p>
      <w:pPr>
        <w:pStyle w:val="BodyText"/>
        <w:ind w:left="9" w:right="148" w:firstLine="414"/>
        <w:spacing w:line="286" w:lineRule="auto"/>
        <w:outlineLvl w:val="0"/>
        <w:rPr/>
      </w:pPr>
      <w:r>
        <w:rPr>
          <w:spacing w:val="6"/>
        </w:rPr>
        <w:t>培育各类创新人才。开展重点产业人才集</w:t>
      </w:r>
      <w:r>
        <w:rPr>
          <w:spacing w:val="5"/>
        </w:rPr>
        <w:t>聚行动，围绕建设林草产业“</w:t>
      </w:r>
      <w:r>
        <w:rPr>
          <w:spacing w:val="-64"/>
        </w:rPr>
        <w:t xml:space="preserve"> </w:t>
      </w:r>
      <w:r>
        <w:rPr>
          <w:spacing w:val="5"/>
        </w:rPr>
        <w:t>四个一”试验示</w:t>
      </w:r>
    </w:p>
    <w:p>
      <w:pPr>
        <w:pStyle w:val="BodyText"/>
        <w:ind w:firstLine="5"/>
        <w:spacing w:before="144" w:line="350" w:lineRule="auto"/>
        <w:jc w:val="both"/>
        <w:rPr/>
      </w:pPr>
      <w:r>
        <w:rPr>
          <w:spacing w:val="7"/>
        </w:rPr>
        <w:t>范园和构建特色农业、生态友好型工业、现代</w:t>
      </w:r>
      <w:r>
        <w:rPr>
          <w:spacing w:val="7"/>
        </w:rPr>
        <w:t>服务业为主导的现代产业体系，培养引进一批</w:t>
      </w:r>
      <w:r>
        <w:rPr>
          <w:spacing w:val="7"/>
        </w:rPr>
        <w:t>产业急需紧缺人才，以人才优先发展推动产业</w:t>
      </w:r>
      <w:r>
        <w:rPr>
          <w:spacing w:val="7"/>
        </w:rPr>
        <w:t>优化升级。开展高技能人才培养行动，积极联</w:t>
      </w:r>
      <w:r>
        <w:rPr>
          <w:spacing w:val="7"/>
        </w:rPr>
        <w:t>系对接区内外有关院校，根据产业需求培养高</w:t>
      </w:r>
      <w:r>
        <w:rPr>
          <w:spacing w:val="13"/>
        </w:rPr>
        <w:t>技能人才</w:t>
      </w:r>
      <w:r>
        <w:rPr>
          <w:spacing w:val="-48"/>
        </w:rPr>
        <w:t xml:space="preserve"> </w:t>
      </w:r>
      <w:r>
        <w:rPr>
          <w:spacing w:val="13"/>
        </w:rPr>
        <w:t>，全市每年遴选</w:t>
      </w:r>
      <w:r>
        <w:rPr>
          <w:spacing w:val="-28"/>
        </w:rPr>
        <w:t xml:space="preserve"> </w:t>
      </w:r>
      <w:r>
        <w:rPr>
          <w:spacing w:val="13"/>
        </w:rPr>
        <w:t>3-5</w:t>
      </w:r>
      <w:r>
        <w:rPr>
          <w:spacing w:val="-36"/>
        </w:rPr>
        <w:t xml:space="preserve"> </w:t>
      </w:r>
      <w:r>
        <w:rPr>
          <w:spacing w:val="13"/>
        </w:rPr>
        <w:t>个急需特色专</w:t>
      </w:r>
      <w:r>
        <w:rPr>
          <w:spacing w:val="7"/>
        </w:rPr>
        <w:t>业，培养技术技能型、知识技能型和复合技能</w:t>
      </w:r>
      <w:r>
        <w:rPr>
          <w:spacing w:val="9"/>
        </w:rPr>
        <w:t>型人才</w:t>
      </w:r>
      <w:r>
        <w:rPr>
          <w:spacing w:val="-6"/>
        </w:rPr>
        <w:t xml:space="preserve"> </w:t>
      </w:r>
      <w:r>
        <w:rPr>
          <w:spacing w:val="9"/>
        </w:rPr>
        <w:t>1000</w:t>
      </w:r>
      <w:r>
        <w:rPr>
          <w:spacing w:val="-35"/>
        </w:rPr>
        <w:t xml:space="preserve"> </w:t>
      </w:r>
      <w:r>
        <w:rPr>
          <w:spacing w:val="9"/>
        </w:rPr>
        <w:t>名以上。开展高层次人才引进行</w:t>
      </w:r>
      <w:r>
        <w:rPr>
          <w:spacing w:val="7"/>
        </w:rPr>
        <w:t>动，加大急需紧缺硕博研究生引进力度，鼓励</w:t>
      </w:r>
      <w:r>
        <w:rPr>
          <w:spacing w:val="11"/>
        </w:rPr>
        <w:t>企事业单位与在读硕博研究生签订引进协议，</w:t>
      </w:r>
      <w:r>
        <w:rPr>
          <w:spacing w:val="7"/>
        </w:rPr>
        <w:t>精准引进一批农产品深加工、信息技术、现代</w:t>
      </w:r>
      <w:r>
        <w:rPr>
          <w:spacing w:val="7"/>
        </w:rPr>
        <w:t>纺织、现代物流、文化旅游、现代金融等领域</w:t>
      </w:r>
      <w:r>
        <w:rPr>
          <w:spacing w:val="7"/>
        </w:rPr>
        <w:t>急需紧缺专业硕博研究生。开展本土人才深造</w:t>
      </w:r>
      <w:r>
        <w:rPr>
          <w:spacing w:val="14"/>
        </w:rPr>
        <w:t>及回流行动，利用“西部之光”“基层之星”</w:t>
      </w:r>
      <w:r>
        <w:rPr>
          <w:spacing w:val="8"/>
        </w:rPr>
        <w:t>等人才培养平台</w:t>
      </w:r>
      <w:r>
        <w:rPr>
          <w:spacing w:val="-41"/>
        </w:rPr>
        <w:t xml:space="preserve"> </w:t>
      </w:r>
      <w:r>
        <w:rPr>
          <w:spacing w:val="8"/>
        </w:rPr>
        <w:t>，每年选送</w:t>
      </w:r>
      <w:r>
        <w:rPr>
          <w:spacing w:val="-36"/>
        </w:rPr>
        <w:t xml:space="preserve"> </w:t>
      </w:r>
      <w:r>
        <w:rPr>
          <w:spacing w:val="8"/>
        </w:rPr>
        <w:t>30</w:t>
      </w:r>
      <w:r>
        <w:rPr>
          <w:spacing w:val="-37"/>
        </w:rPr>
        <w:t xml:space="preserve"> </w:t>
      </w:r>
      <w:r>
        <w:rPr>
          <w:spacing w:val="8"/>
        </w:rPr>
        <w:t>名左右本土中</w:t>
      </w:r>
      <w:r>
        <w:rPr>
          <w:spacing w:val="7"/>
        </w:rPr>
        <w:t>青年人才，到国家有关部委、发达省区及自治</w:t>
      </w:r>
      <w:r>
        <w:rPr>
          <w:spacing w:val="15"/>
        </w:rPr>
        <w:t>区对口单位访学研修</w:t>
      </w:r>
      <w:r>
        <w:rPr>
          <w:spacing w:val="-39"/>
        </w:rPr>
        <w:t xml:space="preserve"> </w:t>
      </w:r>
      <w:r>
        <w:rPr>
          <w:spacing w:val="15"/>
        </w:rPr>
        <w:t>，培养一批专业紧缺人</w:t>
      </w:r>
      <w:r>
        <w:rPr>
          <w:spacing w:val="5"/>
        </w:rPr>
        <w:t>才。进一步抓好人才“</w:t>
      </w:r>
      <w:r>
        <w:rPr>
          <w:spacing w:val="-54"/>
        </w:rPr>
        <w:t xml:space="preserve"> </w:t>
      </w:r>
      <w:r>
        <w:rPr>
          <w:spacing w:val="5"/>
        </w:rPr>
        <w:t>回归六盘”工程，引导</w:t>
      </w:r>
      <w:r>
        <w:rPr>
          <w:spacing w:val="7"/>
        </w:rPr>
        <w:t>固原籍在外各类人才回报家乡，实现智力、技</w:t>
      </w:r>
      <w:r>
        <w:rPr>
          <w:spacing w:val="8"/>
        </w:rPr>
        <w:t>术、项目、资金回流。</w:t>
      </w:r>
    </w:p>
    <w:p>
      <w:pPr>
        <w:pStyle w:val="BodyText"/>
        <w:ind w:right="148" w:firstLine="420"/>
        <w:spacing w:before="10" w:line="286" w:lineRule="auto"/>
        <w:outlineLvl w:val="0"/>
        <w:rPr/>
      </w:pPr>
      <w:r>
        <w:rPr>
          <w:spacing w:val="7"/>
        </w:rPr>
        <w:t>健全人才激励保障机制。实施创新人才激</w:t>
      </w:r>
      <w:r>
        <w:rPr>
          <w:spacing w:val="15"/>
        </w:rPr>
        <w:t>励计划</w:t>
      </w:r>
      <w:r>
        <w:rPr>
          <w:spacing w:val="-39"/>
        </w:rPr>
        <w:t xml:space="preserve"> </w:t>
      </w:r>
      <w:r>
        <w:rPr>
          <w:spacing w:val="15"/>
        </w:rPr>
        <w:t>，完善科研人员发明成果权益分享机</w:t>
      </w:r>
    </w:p>
    <w:p>
      <w:pPr>
        <w:pStyle w:val="BodyText"/>
        <w:ind w:right="141" w:firstLine="1"/>
        <w:spacing w:before="141" w:line="339" w:lineRule="auto"/>
        <w:jc w:val="both"/>
        <w:rPr/>
      </w:pPr>
      <w:r>
        <w:rPr>
          <w:spacing w:val="7"/>
        </w:rPr>
        <w:t>制，鼓励企事业单位对急需紧缺高层次人才实</w:t>
      </w:r>
      <w:r>
        <w:rPr>
          <w:spacing w:val="7"/>
        </w:rPr>
        <w:t>行灵活多样的分配方式。健全以创新能力、质</w:t>
      </w:r>
      <w:r>
        <w:rPr>
          <w:spacing w:val="7"/>
        </w:rPr>
        <w:t>量、实效、贡献为导向的科技人才评价体系，</w:t>
      </w:r>
    </w:p>
    <w:p>
      <w:pPr>
        <w:spacing w:line="339" w:lineRule="auto"/>
        <w:sectPr>
          <w:type w:val="continuous"/>
          <w:pgSz w:w="11906" w:h="16839"/>
          <w:pgMar w:top="1793" w:right="1442" w:bottom="1673" w:left="1565" w:header="1428" w:footer="1277" w:gutter="0"/>
          <w:cols w:equalWidth="0" w:num="2">
            <w:col w:w="4504" w:space="100"/>
            <w:col w:w="4296" w:space="0"/>
          </w:cols>
        </w:sectPr>
        <w:rPr/>
      </w:pPr>
    </w:p>
    <w:p>
      <w:pPr>
        <w:spacing w:before="36"/>
        <w:rPr/>
      </w:pPr>
      <w:r>
        <w:drawing>
          <wp:anchor distT="0" distB="0" distL="0" distR="0" simplePos="0" relativeHeight="251797504"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428" name="IM 428"/>
            <wp:cNvGraphicFramePr/>
            <a:graphic>
              <a:graphicData uri="http://schemas.openxmlformats.org/drawingml/2006/picture">
                <pic:pic>
                  <pic:nvPicPr>
                    <pic:cNvPr id="428" name="IM 428"/>
                    <pic:cNvPicPr/>
                  </pic:nvPicPr>
                  <pic:blipFill>
                    <a:blip r:embed="rId216"/>
                    <a:stretch>
                      <a:fillRect/>
                    </a:stretch>
                  </pic:blipFill>
                  <pic:spPr>
                    <a:xfrm rot="0">
                      <a:off x="0" y="0"/>
                      <a:ext cx="5579745" cy="7619"/>
                    </a:xfrm>
                    <a:prstGeom prst="rect">
                      <a:avLst/>
                    </a:prstGeom>
                  </pic:spPr>
                </pic:pic>
              </a:graphicData>
            </a:graphic>
          </wp:anchor>
        </w:drawing>
      </w:r>
      <w:r/>
    </w:p>
    <w:p>
      <w:pPr>
        <w:sectPr>
          <w:headerReference w:type="default" r:id="rId167"/>
          <w:footerReference w:type="default" r:id="rId215"/>
          <w:pgSz w:w="11906" w:h="16839"/>
          <w:pgMar w:top="1793" w:right="1509" w:bottom="1570" w:left="1579" w:header="1428" w:footer="1172" w:gutter="0"/>
          <w:cols w:equalWidth="0" w:num="1">
            <w:col w:w="8817" w:space="0"/>
          </w:cols>
        </w:sectPr>
        <w:rPr/>
      </w:pPr>
    </w:p>
    <w:p>
      <w:pPr>
        <w:pStyle w:val="BodyText"/>
        <w:ind w:left="12" w:right="248"/>
        <w:spacing w:before="38" w:line="351" w:lineRule="auto"/>
        <w:jc w:val="both"/>
        <w:rPr/>
      </w:pPr>
      <w:r>
        <w:rPr>
          <w:spacing w:val="1"/>
        </w:rPr>
        <w:t>探索年薪制、协议工资制、项目工资制和股权、</w:t>
      </w:r>
      <w:r>
        <w:rPr>
          <w:spacing w:val="10"/>
        </w:rPr>
        <w:t>期权、分红等激励措施，构建充分体现知识、</w:t>
      </w:r>
      <w:r>
        <w:rPr>
          <w:spacing w:val="7"/>
        </w:rPr>
        <w:t>技术等创新要素价值的收益分配机制。突出用</w:t>
      </w:r>
      <w:r>
        <w:rPr>
          <w:spacing w:val="7"/>
        </w:rPr>
        <w:t>人主体在职称评定中的主导作用，合理界定和</w:t>
      </w:r>
      <w:r>
        <w:rPr>
          <w:spacing w:val="7"/>
        </w:rPr>
        <w:t>下放职称评审权，探索高层次人才、急需紧缺</w:t>
      </w:r>
    </w:p>
    <w:p>
      <w:pPr>
        <w:pStyle w:val="BodyText"/>
        <w:ind w:left="12" w:right="306"/>
        <w:spacing w:before="3" w:line="350" w:lineRule="auto"/>
        <w:jc w:val="both"/>
        <w:rPr/>
      </w:pPr>
      <w:r>
        <w:rPr>
          <w:spacing w:val="18"/>
        </w:rPr>
        <w:t>人才职称直聘办法。清理减少准入类职业资</w:t>
      </w:r>
      <w:r>
        <w:rPr>
          <w:spacing w:val="7"/>
        </w:rPr>
        <w:t>格，放宽急需紧缺人才执业资格准入。落实高</w:t>
      </w:r>
      <w:r>
        <w:rPr>
          <w:spacing w:val="8"/>
        </w:rPr>
        <w:t>层次人才享受特定政策待遇，做好人才住房、</w:t>
      </w:r>
      <w:r>
        <w:rPr>
          <w:spacing w:val="7"/>
        </w:rPr>
        <w:t>就医、子女入学等保障工作。完善人才服务保</w:t>
      </w:r>
      <w:r>
        <w:rPr>
          <w:spacing w:val="7"/>
        </w:rPr>
        <w:t>障体系，落实人才安居政策，激发人才创新创</w:t>
      </w:r>
      <w:r>
        <w:rPr>
          <w:spacing w:val="6"/>
        </w:rPr>
        <w:t>造活力。</w:t>
      </w:r>
    </w:p>
    <w:p>
      <w:pPr>
        <w:spacing w:line="315" w:lineRule="auto"/>
        <w:rPr>
          <w:rFonts w:ascii="Arial"/>
          <w:sz w:val="21"/>
        </w:rPr>
      </w:pPr>
      <w:r/>
    </w:p>
    <w:p>
      <w:pPr>
        <w:pStyle w:val="BodyText"/>
        <w:ind w:left="827"/>
        <w:spacing w:before="65" w:line="220" w:lineRule="auto"/>
        <w:outlineLvl w:val="0"/>
        <w:rPr/>
      </w:pPr>
      <w:r>
        <w:rPr>
          <w:b/>
          <w:bCs/>
          <w:spacing w:val="7"/>
        </w:rPr>
        <w:t>第四节</w:t>
      </w:r>
      <w:r>
        <w:rPr>
          <w:spacing w:val="7"/>
        </w:rPr>
        <w:t xml:space="preserve">  </w:t>
      </w:r>
      <w:r>
        <w:rPr>
          <w:b/>
          <w:bCs/>
          <w:spacing w:val="7"/>
        </w:rPr>
        <w:t>培育良好创新生态</w:t>
      </w:r>
    </w:p>
    <w:p>
      <w:pPr>
        <w:spacing w:line="247" w:lineRule="auto"/>
        <w:rPr>
          <w:rFonts w:ascii="Arial"/>
          <w:sz w:val="21"/>
        </w:rPr>
      </w:pPr>
      <w:r/>
    </w:p>
    <w:p>
      <w:pPr>
        <w:spacing w:line="248" w:lineRule="auto"/>
        <w:rPr>
          <w:rFonts w:ascii="Arial"/>
          <w:sz w:val="21"/>
        </w:rPr>
      </w:pPr>
      <w:r/>
    </w:p>
    <w:p>
      <w:pPr>
        <w:pStyle w:val="BodyText"/>
        <w:ind w:left="442"/>
        <w:spacing w:before="65" w:line="220" w:lineRule="auto"/>
        <w:rPr/>
      </w:pPr>
      <w:r>
        <w:rPr>
          <w:spacing w:val="18"/>
        </w:rPr>
        <w:t>紧紧围绕事关市域经济社会发展短板弱</w:t>
      </w:r>
    </w:p>
    <w:p>
      <w:pPr>
        <w:pStyle w:val="BodyText"/>
        <w:ind w:left="13"/>
        <w:spacing w:before="192" w:line="221" w:lineRule="auto"/>
        <w:outlineLvl w:val="0"/>
        <w:rPr/>
      </w:pPr>
      <w:r>
        <w:rPr>
          <w:spacing w:val="7"/>
        </w:rPr>
        <w:t>项，改进科技项目组织管理模式，扩大科研自</w:t>
      </w:r>
    </w:p>
    <w:p>
      <w:pPr>
        <w:pStyle w:val="BodyText"/>
        <w:ind w:left="21"/>
        <w:spacing w:before="189" w:line="222" w:lineRule="auto"/>
        <w:rPr/>
      </w:pPr>
      <w:r>
        <w:rPr>
          <w:spacing w:val="8"/>
        </w:rPr>
        <w:t>主权，提高科技产出效率。</w:t>
      </w:r>
    </w:p>
    <w:p>
      <w:pPr>
        <w:pStyle w:val="BodyText"/>
        <w:ind w:left="19" w:right="329" w:firstLine="415"/>
        <w:spacing w:before="187" w:line="310" w:lineRule="auto"/>
        <w:outlineLvl w:val="0"/>
        <w:rPr/>
      </w:pPr>
      <w:r>
        <w:rPr>
          <w:spacing w:val="6"/>
        </w:rPr>
        <w:t>深化科技管理体制改革。深入推进以需求</w:t>
      </w:r>
      <w:r>
        <w:rPr>
          <w:spacing w:val="6"/>
        </w:rPr>
        <w:t>为导向的科技项目形成机制改革，建立健全科</w:t>
      </w:r>
    </w:p>
    <w:p>
      <w:pPr>
        <w:pStyle w:val="BodyText"/>
        <w:ind w:left="11" w:right="329"/>
        <w:spacing w:before="188" w:line="397" w:lineRule="auto"/>
        <w:jc w:val="both"/>
        <w:rPr/>
      </w:pPr>
      <w:r>
        <w:rPr>
          <w:spacing w:val="7"/>
        </w:rPr>
        <w:t>研活动普惠性与竞争性分类支持机制，构建政</w:t>
      </w:r>
      <w:r>
        <w:rPr>
          <w:spacing w:val="7"/>
        </w:rPr>
        <w:t>府、市场、社会等多元主体协同的科技创新体</w:t>
      </w:r>
      <w:r>
        <w:rPr>
          <w:spacing w:val="7"/>
        </w:rPr>
        <w:t>系。完善激励机制和科技评价机制，探索完善</w:t>
      </w:r>
      <w:r>
        <w:rPr>
          <w:spacing w:val="7"/>
        </w:rPr>
        <w:t>因素分配、前引导后支持、企业创新后补助等</w:t>
      </w:r>
      <w:r>
        <w:rPr>
          <w:spacing w:val="7"/>
        </w:rPr>
        <w:t>制度，精减政府科技奖励，鼓励和支持社会力</w:t>
      </w:r>
      <w:r>
        <w:rPr>
          <w:spacing w:val="7"/>
        </w:rPr>
        <w:t>量设立科技奖项，实行“揭榜挂帅”，推进科</w:t>
      </w:r>
      <w:r>
        <w:rPr>
          <w:spacing w:val="7"/>
        </w:rPr>
        <w:t>研经费“包干制”改革。深化科技领域“放管</w:t>
      </w:r>
      <w:r>
        <w:rPr>
          <w:spacing w:val="7"/>
        </w:rPr>
        <w:t>服”改革，扩大科研管理自主权，赋予科技人</w:t>
      </w:r>
      <w:r>
        <w:rPr>
          <w:spacing w:val="7"/>
        </w:rPr>
        <w:t>员路线决定权和经费使用权。加强知识产权保</w:t>
      </w:r>
      <w:r>
        <w:rPr>
          <w:spacing w:val="8"/>
        </w:rPr>
        <w:t>护，健全技术交易服务体系。</w:t>
      </w:r>
    </w:p>
    <w:p>
      <w:pPr>
        <w:pStyle w:val="BodyText"/>
        <w:ind w:left="13" w:right="329" w:firstLine="419"/>
        <w:spacing w:before="1" w:line="308" w:lineRule="auto"/>
        <w:outlineLvl w:val="0"/>
        <w:rPr/>
      </w:pPr>
      <w:r>
        <w:rPr>
          <w:spacing w:val="7"/>
        </w:rPr>
        <w:t>健全科技创新投入机制。建立健全政府投</w:t>
      </w:r>
      <w:r>
        <w:rPr>
          <w:spacing w:val="18"/>
        </w:rPr>
        <w:t>入为主、社会多渠道投入的稳定增长投入机</w:t>
      </w:r>
    </w:p>
    <w:p>
      <w:pPr>
        <w:pStyle w:val="BodyText"/>
        <w:ind w:left="14"/>
        <w:spacing w:before="192" w:line="188" w:lineRule="auto"/>
        <w:rPr/>
      </w:pPr>
      <w:r>
        <w:rPr>
          <w:spacing w:val="7"/>
        </w:rPr>
        <w:t>制，提高全社会研发支出占生产总值比重。加</w:t>
      </w:r>
    </w:p>
    <w:p>
      <w:pPr>
        <w:spacing w:line="14" w:lineRule="auto"/>
        <w:rPr>
          <w:rFonts w:ascii="Arial"/>
          <w:sz w:val="2"/>
        </w:rPr>
      </w:pPr>
      <w:r>
        <w:rPr>
          <w:rFonts w:ascii="Arial" w:hAnsi="Arial" w:eastAsia="Arial" w:cs="Arial"/>
          <w:sz w:val="2"/>
          <w:szCs w:val="2"/>
        </w:rPr>
        <w:br w:type="column"/>
      </w:r>
    </w:p>
    <w:p>
      <w:pPr>
        <w:pStyle w:val="BodyText"/>
        <w:ind w:right="71" w:firstLine="6"/>
        <w:spacing w:before="79" w:line="397" w:lineRule="auto"/>
        <w:jc w:val="both"/>
        <w:rPr/>
      </w:pPr>
      <w:r>
        <w:rPr>
          <w:spacing w:val="7"/>
        </w:rPr>
        <w:t>大财政资金投入力度，落实企业研发费用加计</w:t>
      </w:r>
      <w:r>
        <w:rPr>
          <w:spacing w:val="7"/>
        </w:rPr>
        <w:t>扣除、高新技术企业税收优惠等政策，探索建</w:t>
      </w:r>
      <w:r>
        <w:rPr>
          <w:spacing w:val="7"/>
        </w:rPr>
        <w:t>立企业创新地方税收减免、财政支持等多层次</w:t>
      </w:r>
      <w:r>
        <w:rPr>
          <w:spacing w:val="7"/>
        </w:rPr>
        <w:t>政策机制。设立固原市创投基金，引进天使投</w:t>
      </w:r>
      <w:r>
        <w:rPr>
          <w:spacing w:val="7"/>
        </w:rPr>
        <w:t>资、科技创新风投机制，健全创新投融资支持</w:t>
      </w:r>
      <w:r>
        <w:rPr>
          <w:spacing w:val="7"/>
        </w:rPr>
        <w:t>与服务体系，撬动金融资本和社会资本支持科</w:t>
      </w:r>
      <w:r>
        <w:rPr>
          <w:spacing w:val="7"/>
        </w:rPr>
        <w:t>技创新。鼓励引导重点民营企业发挥科研创新</w:t>
      </w:r>
      <w:r>
        <w:rPr>
          <w:spacing w:val="7"/>
        </w:rPr>
        <w:t>引领带动作用，加大国有企业研发投入和科技</w:t>
      </w:r>
      <w:r>
        <w:rPr>
          <w:spacing w:val="9"/>
        </w:rPr>
        <w:t>创新绩效考核。到</w:t>
      </w:r>
      <w:r>
        <w:rPr>
          <w:spacing w:val="-27"/>
        </w:rPr>
        <w:t xml:space="preserve"> </w:t>
      </w:r>
      <w:r>
        <w:rPr>
          <w:spacing w:val="9"/>
        </w:rPr>
        <w:t>2025</w:t>
      </w:r>
      <w:r>
        <w:rPr>
          <w:spacing w:val="-39"/>
        </w:rPr>
        <w:t xml:space="preserve"> </w:t>
      </w:r>
      <w:r>
        <w:rPr>
          <w:spacing w:val="9"/>
        </w:rPr>
        <w:t>年，全社会</w:t>
      </w:r>
      <w:r>
        <w:rPr>
          <w:spacing w:val="-37"/>
        </w:rPr>
        <w:t xml:space="preserve"> </w:t>
      </w:r>
      <w:r>
        <w:rPr>
          <w:spacing w:val="9"/>
        </w:rPr>
        <w:t>R&amp;D</w:t>
      </w:r>
      <w:r>
        <w:rPr>
          <w:spacing w:val="-42"/>
        </w:rPr>
        <w:t xml:space="preserve"> </w:t>
      </w:r>
      <w:r>
        <w:rPr>
          <w:spacing w:val="9"/>
        </w:rPr>
        <w:t>投入</w:t>
      </w:r>
      <w:r>
        <w:rPr>
          <w:spacing w:val="10"/>
        </w:rPr>
        <w:t>强度达到</w:t>
      </w:r>
      <w:r>
        <w:rPr>
          <w:spacing w:val="-6"/>
        </w:rPr>
        <w:t xml:space="preserve"> </w:t>
      </w:r>
      <w:r>
        <w:rPr>
          <w:spacing w:val="10"/>
        </w:rPr>
        <w:t>1.0%以上</w:t>
      </w:r>
      <w:r>
        <w:rPr>
          <w:spacing w:val="-56"/>
        </w:rPr>
        <w:t xml:space="preserve"> </w:t>
      </w:r>
      <w:r>
        <w:rPr>
          <w:spacing w:val="10"/>
        </w:rPr>
        <w:t>，有研发活动的规模以上</w:t>
      </w:r>
      <w:r>
        <w:rPr>
          <w:spacing w:val="16"/>
        </w:rPr>
        <w:t>工业企业占比达到</w:t>
      </w:r>
      <w:r>
        <w:rPr>
          <w:spacing w:val="-17"/>
        </w:rPr>
        <w:t xml:space="preserve"> </w:t>
      </w:r>
      <w:r>
        <w:rPr>
          <w:spacing w:val="16"/>
        </w:rPr>
        <w:t>40%</w:t>
      </w:r>
      <w:r>
        <w:rPr>
          <w:spacing w:val="-55"/>
        </w:rPr>
        <w:t xml:space="preserve"> </w:t>
      </w:r>
      <w:r>
        <w:rPr>
          <w:spacing w:val="16"/>
        </w:rPr>
        <w:t>，规模以上工业企业</w:t>
      </w:r>
      <w:r>
        <w:rPr>
          <w:spacing w:val="12"/>
        </w:rPr>
        <w:t>R&amp;D</w:t>
      </w:r>
      <w:r>
        <w:rPr>
          <w:spacing w:val="-30"/>
        </w:rPr>
        <w:t xml:space="preserve"> </w:t>
      </w:r>
      <w:r>
        <w:rPr>
          <w:spacing w:val="12"/>
        </w:rPr>
        <w:t>经费占主营业务收入的比重达到</w:t>
      </w:r>
      <w:r>
        <w:rPr>
          <w:spacing w:val="-20"/>
        </w:rPr>
        <w:t xml:space="preserve"> </w:t>
      </w:r>
      <w:r>
        <w:rPr>
          <w:spacing w:val="12"/>
        </w:rPr>
        <w:t>1.2%</w:t>
      </w:r>
      <w:r>
        <w:rPr>
          <w:spacing w:val="-59"/>
        </w:rPr>
        <w:t xml:space="preserve"> </w:t>
      </w:r>
      <w:r>
        <w:rPr>
          <w:spacing w:val="12"/>
        </w:rPr>
        <w:t>，</w:t>
      </w:r>
      <w:r>
        <w:rPr>
          <w:spacing w:val="6"/>
        </w:rPr>
        <w:t>综合科技创新水平指数年均增长</w:t>
      </w:r>
      <w:r>
        <w:rPr>
          <w:spacing w:val="-20"/>
        </w:rPr>
        <w:t xml:space="preserve"> </w:t>
      </w:r>
      <w:r>
        <w:rPr>
          <w:spacing w:val="6"/>
        </w:rPr>
        <w:t>1</w:t>
      </w:r>
      <w:r>
        <w:rPr>
          <w:spacing w:val="-45"/>
        </w:rPr>
        <w:t xml:space="preserve"> </w:t>
      </w:r>
      <w:r>
        <w:rPr>
          <w:spacing w:val="6"/>
        </w:rPr>
        <w:t>个百分点，</w:t>
      </w:r>
      <w:r>
        <w:rPr>
          <w:spacing w:val="14"/>
        </w:rPr>
        <w:t>达到</w:t>
      </w:r>
      <w:r>
        <w:rPr>
          <w:spacing w:val="-37"/>
        </w:rPr>
        <w:t xml:space="preserve"> </w:t>
      </w:r>
      <w:r>
        <w:rPr>
          <w:spacing w:val="14"/>
        </w:rPr>
        <w:t>55%。</w:t>
      </w:r>
    </w:p>
    <w:p>
      <w:pPr>
        <w:pStyle w:val="BodyText"/>
        <w:ind w:left="3" w:right="80" w:firstLine="427"/>
        <w:spacing w:before="1" w:line="308" w:lineRule="auto"/>
        <w:outlineLvl w:val="0"/>
        <w:rPr/>
      </w:pPr>
      <w:r>
        <w:rPr>
          <w:spacing w:val="6"/>
        </w:rPr>
        <w:t>营造创新创业良好环境。大力弘扬科学精</w:t>
      </w:r>
      <w:r>
        <w:rPr>
          <w:spacing w:val="7"/>
        </w:rPr>
        <w:t>神、工匠精神，规范科技伦理，树立良好学风</w:t>
      </w:r>
    </w:p>
    <w:p>
      <w:pPr>
        <w:pStyle w:val="BodyText"/>
        <w:ind w:firstLine="8"/>
        <w:spacing w:before="197" w:line="392" w:lineRule="auto"/>
        <w:jc w:val="both"/>
        <w:rPr/>
      </w:pPr>
      <w:r>
        <w:rPr/>
        <w:t>和作风，营造求真务实、不懈探索、崇尚创新、</w:t>
      </w:r>
      <w:r>
        <w:rPr>
          <w:spacing w:val="7"/>
        </w:rPr>
        <w:t>宽容失败的创新文化和社会氛围。充分利用区</w:t>
      </w:r>
      <w:r>
        <w:rPr>
          <w:spacing w:val="7"/>
        </w:rPr>
        <w:t>内外创新资源，加强资源开放共享与产学研用</w:t>
      </w:r>
      <w:r>
        <w:rPr>
          <w:spacing w:val="7"/>
        </w:rPr>
        <w:t>合作，鼓励支持重点企业、高校、科研院所和</w:t>
      </w:r>
      <w:r>
        <w:rPr>
          <w:spacing w:val="7"/>
        </w:rPr>
        <w:t>个人创客，突破一批重大科技瓶颈，在特色产</w:t>
      </w:r>
      <w:r>
        <w:rPr>
          <w:spacing w:val="7"/>
        </w:rPr>
        <w:t>业领域形成独特优势。加快推进国家、自治区</w:t>
      </w:r>
      <w:r>
        <w:rPr>
          <w:spacing w:val="7"/>
        </w:rPr>
        <w:t>和市县级双创示范基地高质量发展，鼓励企业</w:t>
      </w:r>
      <w:r>
        <w:rPr>
          <w:spacing w:val="7"/>
        </w:rPr>
        <w:t>建设多层次科技孵化载体，促进各类双创载体</w:t>
      </w:r>
      <w:r>
        <w:rPr>
          <w:spacing w:val="7"/>
        </w:rPr>
        <w:t>融通发展。完善激励创新创业政策措施，鼓励</w:t>
      </w:r>
      <w:r>
        <w:rPr>
          <w:spacing w:val="7"/>
        </w:rPr>
        <w:t>高校、科研院所等专业技术人员离岗创业，吸</w:t>
      </w:r>
      <w:r>
        <w:rPr>
          <w:spacing w:val="7"/>
        </w:rPr>
        <w:t>引固原籍人才回乡创业。实施全民科学素质行</w:t>
      </w:r>
      <w:r>
        <w:rPr>
          <w:spacing w:val="7"/>
        </w:rPr>
        <w:t>动，加强科普基地建设，开展全域科普，加强</w:t>
      </w:r>
      <w:r>
        <w:rPr>
          <w:spacing w:val="7"/>
        </w:rPr>
        <w:t>青少年科学兴趣引导和培养，促进公民科学素</w:t>
      </w:r>
      <w:r>
        <w:rPr>
          <w:spacing w:val="7"/>
        </w:rPr>
        <w:t>质大幅提升。</w:t>
      </w:r>
    </w:p>
    <w:p>
      <w:pPr>
        <w:spacing w:line="392" w:lineRule="auto"/>
        <w:sectPr>
          <w:type w:val="continuous"/>
          <w:pgSz w:w="11906" w:h="16839"/>
          <w:pgMar w:top="1793" w:right="1509" w:bottom="1570" w:left="1579" w:header="1428" w:footer="1172" w:gutter="0"/>
          <w:cols w:equalWidth="0" w:num="2">
            <w:col w:w="4489" w:space="100"/>
            <w:col w:w="4228" w:space="0"/>
          </w:cols>
        </w:sectPr>
        <w:rPr/>
      </w:pPr>
    </w:p>
    <w:p>
      <w:pPr>
        <w:ind w:left="2963"/>
        <w:spacing w:before="231" w:line="197" w:lineRule="auto"/>
        <w:rPr>
          <w:rFonts w:ascii="Microsoft YaHei" w:hAnsi="Microsoft YaHei" w:eastAsia="Microsoft YaHei" w:cs="Microsoft YaHei"/>
          <w:sz w:val="20"/>
          <w:szCs w:val="20"/>
        </w:rPr>
      </w:pPr>
      <w:r>
        <w:drawing>
          <wp:anchor distT="0" distB="0" distL="0" distR="0" simplePos="0" relativeHeight="251799552" behindDoc="0" locked="0" layoutInCell="1" allowOverlap="1">
            <wp:simplePos x="0" y="0"/>
            <wp:positionH relativeFrom="column">
              <wp:posOffset>22098</wp:posOffset>
            </wp:positionH>
            <wp:positionV relativeFrom="paragraph">
              <wp:posOffset>25786</wp:posOffset>
            </wp:positionV>
            <wp:extent cx="5579745" cy="7619"/>
            <wp:effectExtent l="0" t="0" r="0" b="0"/>
            <wp:wrapNone/>
            <wp:docPr id="434" name="IM 434"/>
            <wp:cNvGraphicFramePr/>
            <a:graphic>
              <a:graphicData uri="http://schemas.openxmlformats.org/drawingml/2006/picture">
                <pic:pic>
                  <pic:nvPicPr>
                    <pic:cNvPr id="434" name="IM 434"/>
                    <pic:cNvPicPr/>
                  </pic:nvPicPr>
                  <pic:blipFill>
                    <a:blip r:embed="rId219"/>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6"/>
        </w:rPr>
        <w:t>专栏 8</w:t>
      </w:r>
      <w:r>
        <w:rPr>
          <w:rFonts w:ascii="Microsoft YaHei" w:hAnsi="Microsoft YaHei" w:eastAsia="Microsoft YaHei" w:cs="Microsoft YaHei"/>
          <w:sz w:val="20"/>
          <w:szCs w:val="20"/>
          <w:spacing w:val="14"/>
        </w:rPr>
        <w:t xml:space="preserve">   </w:t>
      </w:r>
      <w:r>
        <w:rPr>
          <w:rFonts w:ascii="Microsoft YaHei" w:hAnsi="Microsoft YaHei" w:eastAsia="Microsoft YaHei" w:cs="Microsoft YaHei"/>
          <w:sz w:val="20"/>
          <w:szCs w:val="20"/>
          <w:spacing w:val="6"/>
        </w:rPr>
        <w:t>创新驱动重点项目工程</w:t>
      </w:r>
    </w:p>
    <w:tbl>
      <w:tblPr>
        <w:tblStyle w:val="TableNormal"/>
        <w:tblW w:w="8793" w:type="dxa"/>
        <w:tblInd w:w="2" w:type="dxa"/>
        <w:tblLayout w:type="fixed"/>
        <w:tblBorders>
          <w:left w:val="single" w:color="000000" w:sz="2" w:space="0"/>
          <w:bottom w:val="single" w:color="000000" w:sz="2" w:space="0"/>
          <w:right w:val="single" w:color="000000" w:sz="2" w:space="0"/>
          <w:top w:val="single" w:color="000000" w:sz="2" w:space="0"/>
        </w:tblBorders>
      </w:tblPr>
      <w:tblGrid>
        <w:gridCol w:w="8793"/>
      </w:tblGrid>
      <w:tr>
        <w:trPr>
          <w:trHeight w:val="4094" w:hRule="atLeast"/>
        </w:trPr>
        <w:tc>
          <w:tcPr>
            <w:tcW w:w="8793" w:type="dxa"/>
            <w:vAlign w:val="top"/>
          </w:tcPr>
          <w:p>
            <w:pPr>
              <w:pStyle w:val="TableText"/>
              <w:ind w:left="487"/>
              <w:spacing w:before="198" w:line="240" w:lineRule="exact"/>
              <w:outlineLvl w:val="1"/>
              <w:rPr/>
            </w:pPr>
            <w:r>
              <w:rPr>
                <w:b/>
                <w:bCs/>
                <w:position w:val="1"/>
              </w:rPr>
              <w:t>1.产业技术研究院创新工程*</w:t>
            </w:r>
            <w:r>
              <w:rPr>
                <w:position w:val="1"/>
              </w:rPr>
              <w:t>：结合固原产业发展实际，突破科</w:t>
            </w:r>
            <w:r>
              <w:rPr>
                <w:spacing w:val="-1"/>
                <w:position w:val="1"/>
              </w:rPr>
              <w:t>技资源不足的制约，以科技创新支撑产业</w:t>
            </w:r>
          </w:p>
          <w:p>
            <w:pPr>
              <w:pStyle w:val="TableText"/>
              <w:ind w:right="16"/>
              <w:spacing w:before="121" w:line="216" w:lineRule="auto"/>
              <w:jc w:val="right"/>
              <w:rPr/>
            </w:pPr>
            <w:r>
              <w:rPr>
                <w:spacing w:val="-3"/>
              </w:rPr>
              <w:t>体系优化升级，引领产业基础高级化、产业链现代化，提高经济质量效益和核心</w:t>
            </w:r>
            <w:r>
              <w:rPr>
                <w:spacing w:val="-4"/>
              </w:rPr>
              <w:t>竞争力，推进产业高质量发展。</w:t>
            </w:r>
          </w:p>
          <w:p>
            <w:pPr>
              <w:pStyle w:val="TableText"/>
              <w:ind w:left="472"/>
              <w:spacing w:before="147" w:line="240" w:lineRule="exact"/>
              <w:outlineLvl w:val="1"/>
              <w:rPr/>
            </w:pPr>
            <w:r>
              <w:rPr>
                <w:b/>
                <w:bCs/>
                <w:spacing w:val="-3"/>
                <w:position w:val="1"/>
              </w:rPr>
              <w:t>2.</w:t>
            </w:r>
            <w:r>
              <w:rPr>
                <w:spacing w:val="-43"/>
                <w:position w:val="1"/>
              </w:rPr>
              <w:t xml:space="preserve"> </w:t>
            </w:r>
            <w:r>
              <w:rPr>
                <w:b/>
                <w:bCs/>
                <w:spacing w:val="-3"/>
                <w:position w:val="1"/>
              </w:rPr>
              <w:t>自治区级工程技术研究中心项目：</w:t>
            </w:r>
            <w:r>
              <w:rPr>
                <w:spacing w:val="-3"/>
                <w:position w:val="1"/>
              </w:rPr>
              <w:t>参照固原宝发农牧有限责任公司建设的“宁夏微生物饲料发酵技术工</w:t>
            </w:r>
          </w:p>
          <w:p>
            <w:pPr>
              <w:pStyle w:val="TableText"/>
              <w:ind w:left="109" w:right="105" w:firstLine="1"/>
              <w:spacing w:before="122" w:line="368" w:lineRule="auto"/>
              <w:rPr/>
            </w:pPr>
            <w:r>
              <w:rPr>
                <w:spacing w:val="-1"/>
              </w:rPr>
              <w:t>程研究中心”模式，依托全市重点发展产业龙头企业，引进</w:t>
            </w:r>
            <w:r>
              <w:rPr>
                <w:spacing w:val="-2"/>
              </w:rPr>
              <w:t>区外科研院所和高校人才，带领本地技术人员，围</w:t>
            </w:r>
            <w:r>
              <w:rPr/>
              <w:t>绕技术研究、产品研发、成果转化等环节，争取建设自治区工程研究中心2-3个。</w:t>
            </w:r>
          </w:p>
          <w:p>
            <w:pPr>
              <w:pStyle w:val="TableText"/>
              <w:ind w:left="475"/>
              <w:spacing w:line="240" w:lineRule="exact"/>
              <w:outlineLvl w:val="1"/>
              <w:rPr/>
            </w:pPr>
            <w:r>
              <w:rPr>
                <w:b/>
                <w:bCs/>
                <w:spacing w:val="-3"/>
                <w:position w:val="1"/>
              </w:rPr>
              <w:t>3.</w:t>
            </w:r>
            <w:r>
              <w:rPr>
                <w:spacing w:val="-42"/>
                <w:position w:val="1"/>
              </w:rPr>
              <w:t xml:space="preserve"> </w:t>
            </w:r>
            <w:r>
              <w:rPr>
                <w:b/>
                <w:bCs/>
                <w:spacing w:val="-3"/>
                <w:position w:val="1"/>
              </w:rPr>
              <w:t>自治区级企业技术中心项目：</w:t>
            </w:r>
            <w:r>
              <w:rPr>
                <w:spacing w:val="-3"/>
                <w:position w:val="1"/>
              </w:rPr>
              <w:t>结合我市重点发展产业龙头企业，加大科学技术投入，培育建设解决产业</w:t>
            </w:r>
          </w:p>
          <w:p>
            <w:pPr>
              <w:pStyle w:val="TableText"/>
              <w:ind w:left="110" w:right="105" w:firstLine="1"/>
              <w:spacing w:before="120" w:line="369" w:lineRule="auto"/>
              <w:rPr/>
            </w:pPr>
            <w:r>
              <w:rPr>
                <w:spacing w:val="-1"/>
              </w:rPr>
              <w:t>发展中突出瓶颈问题的自治区企业技术中心1-2个，技术创新示范企</w:t>
            </w:r>
            <w:r>
              <w:rPr>
                <w:spacing w:val="-2"/>
              </w:rPr>
              <w:t>业2-3个，自治区级小微企业创新创业示范</w:t>
            </w:r>
            <w:r>
              <w:rPr>
                <w:spacing w:val="-1"/>
              </w:rPr>
              <w:t>基地5家。</w:t>
            </w:r>
          </w:p>
          <w:p>
            <w:pPr>
              <w:pStyle w:val="TableText"/>
              <w:ind w:left="469"/>
              <w:spacing w:line="241" w:lineRule="exact"/>
              <w:outlineLvl w:val="1"/>
              <w:rPr/>
            </w:pPr>
            <w:r>
              <w:rPr>
                <w:b/>
                <w:bCs/>
                <w:spacing w:val="-2"/>
                <w:position w:val="1"/>
              </w:rPr>
              <w:t>4.</w:t>
            </w:r>
            <w:r>
              <w:rPr>
                <w:spacing w:val="-53"/>
                <w:position w:val="1"/>
              </w:rPr>
              <w:t xml:space="preserve"> </w:t>
            </w:r>
            <w:r>
              <w:rPr>
                <w:b/>
                <w:bCs/>
                <w:spacing w:val="-2"/>
                <w:position w:val="1"/>
              </w:rPr>
              <w:t>自治区级“双创”载体和孵化器项目</w:t>
            </w:r>
            <w:r>
              <w:rPr>
                <w:spacing w:val="-2"/>
                <w:position w:val="1"/>
              </w:rPr>
              <w:t>：建</w:t>
            </w:r>
            <w:r>
              <w:rPr>
                <w:spacing w:val="-3"/>
                <w:position w:val="1"/>
              </w:rPr>
              <w:t>设双创实训基地，年培训和鉴定8000人次。按照自治区级双创</w:t>
            </w:r>
          </w:p>
          <w:p>
            <w:pPr>
              <w:pStyle w:val="TableText"/>
              <w:ind w:left="113" w:right="50" w:hanging="4"/>
              <w:spacing w:before="119" w:line="331" w:lineRule="auto"/>
              <w:rPr/>
            </w:pPr>
            <w:r>
              <w:rPr>
                <w:spacing w:val="-4"/>
              </w:rPr>
              <w:t>示范基地和科技企业孵化器建设标准，围绕绿色食品、现代纺织和服装加工、能源和新材料等产业企业和园区，</w:t>
            </w:r>
            <w:r>
              <w:rPr>
                <w:spacing w:val="-1"/>
              </w:rPr>
              <w:t>培育建设一批自治区“双创”载体和孵化器。</w:t>
            </w:r>
          </w:p>
        </w:tc>
      </w:tr>
    </w:tbl>
    <w:p>
      <w:pPr>
        <w:spacing w:line="110" w:lineRule="exact"/>
        <w:rPr>
          <w:rFonts w:ascii="Arial"/>
          <w:sz w:val="9"/>
        </w:rPr>
      </w:pPr>
      <w:r/>
    </w:p>
    <w:p>
      <w:pPr>
        <w:spacing w:line="110" w:lineRule="exact"/>
        <w:sectPr>
          <w:headerReference w:type="default" r:id="rId217"/>
          <w:footerReference w:type="default" r:id="rId218"/>
          <w:pgSz w:w="11906" w:h="16839"/>
          <w:pgMar w:top="1793" w:right="1489" w:bottom="1673" w:left="1553" w:header="1428" w:footer="1277" w:gutter="0"/>
          <w:cols w:equalWidth="0" w:num="1">
            <w:col w:w="8864" w:space="0"/>
          </w:cols>
        </w:sectPr>
        <w:rPr>
          <w:rFonts w:ascii="Arial" w:hAnsi="Arial" w:eastAsia="Arial" w:cs="Arial"/>
          <w:sz w:val="9"/>
          <w:szCs w:val="9"/>
        </w:rPr>
      </w:pPr>
    </w:p>
    <w:p>
      <w:pPr>
        <w:ind w:left="406"/>
        <w:spacing w:before="48" w:line="211" w:lineRule="auto"/>
        <w:outlineLvl w:val="0"/>
        <w:rPr>
          <w:rFonts w:ascii="KaiTi" w:hAnsi="KaiTi" w:eastAsia="KaiTi" w:cs="KaiTi"/>
          <w:sz w:val="18"/>
          <w:szCs w:val="18"/>
        </w:rPr>
      </w:pPr>
      <w:r>
        <w:rPr>
          <w:rFonts w:ascii="Microsoft YaHei" w:hAnsi="Microsoft YaHei" w:eastAsia="Microsoft YaHei" w:cs="Microsoft YaHei"/>
          <w:sz w:val="18"/>
          <w:szCs w:val="18"/>
          <w:spacing w:val="-2"/>
        </w:rPr>
        <w:t>注</w:t>
      </w:r>
      <w:r>
        <w:rPr>
          <w:rFonts w:ascii="Microsoft YaHei" w:hAnsi="Microsoft YaHei" w:eastAsia="Microsoft YaHei" w:cs="Microsoft YaHei"/>
          <w:sz w:val="18"/>
          <w:szCs w:val="18"/>
          <w:spacing w:val="-20"/>
        </w:rPr>
        <w:t xml:space="preserve"> </w:t>
      </w:r>
      <w:r>
        <w:rPr>
          <w:rFonts w:ascii="Microsoft YaHei" w:hAnsi="Microsoft YaHei" w:eastAsia="Microsoft YaHei" w:cs="Microsoft YaHei"/>
          <w:sz w:val="18"/>
          <w:szCs w:val="18"/>
          <w:spacing w:val="-2"/>
        </w:rPr>
        <w:t>：</w:t>
      </w:r>
      <w:r>
        <w:rPr>
          <w:rFonts w:ascii="KaiTi" w:hAnsi="KaiTi" w:eastAsia="KaiTi" w:cs="KaiTi"/>
          <w:sz w:val="18"/>
          <w:szCs w:val="18"/>
          <w:spacing w:val="-2"/>
        </w:rPr>
        <w:t>项目名称右上角标“*”的为产业十大工程。</w:t>
      </w:r>
    </w:p>
    <w:p>
      <w:pPr>
        <w:spacing w:line="430" w:lineRule="auto"/>
        <w:rPr>
          <w:rFonts w:ascii="Arial"/>
          <w:sz w:val="21"/>
        </w:rPr>
      </w:pPr>
      <w:r/>
    </w:p>
    <w:p>
      <w:pPr>
        <w:ind w:left="862"/>
        <w:spacing w:before="86" w:line="181"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第六章</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8"/>
        </w:rPr>
        <w:t>优化空间发展格局</w:t>
      </w:r>
    </w:p>
    <w:p>
      <w:pPr>
        <w:ind w:left="651"/>
        <w:spacing w:before="141" w:line="182"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推进城乡协调发展和新型城镇化</w:t>
      </w:r>
    </w:p>
    <w:p>
      <w:pPr>
        <w:spacing w:line="467" w:lineRule="auto"/>
        <w:rPr>
          <w:rFonts w:ascii="Arial"/>
          <w:sz w:val="21"/>
        </w:rPr>
      </w:pPr>
      <w:r/>
    </w:p>
    <w:p>
      <w:pPr>
        <w:pStyle w:val="BodyText"/>
        <w:ind w:left="55" w:right="329" w:firstLine="406"/>
        <w:spacing w:before="65" w:line="295" w:lineRule="auto"/>
        <w:outlineLvl w:val="0"/>
        <w:rPr/>
      </w:pPr>
      <w:r>
        <w:rPr>
          <w:spacing w:val="6"/>
        </w:rPr>
        <w:t>推进区域协调发展和新型城镇化，实施市</w:t>
      </w:r>
      <w:r>
        <w:rPr>
          <w:spacing w:val="6"/>
        </w:rPr>
        <w:t>区集合、县城提升计划，建立健全城乡融合发</w:t>
      </w:r>
    </w:p>
    <w:p>
      <w:pPr>
        <w:pStyle w:val="BodyText"/>
        <w:ind w:left="36" w:right="329" w:firstLine="3"/>
        <w:spacing w:before="157" w:line="369" w:lineRule="auto"/>
        <w:jc w:val="both"/>
        <w:rPr/>
      </w:pPr>
      <w:r>
        <w:rPr>
          <w:spacing w:val="7"/>
        </w:rPr>
        <w:t>展机制，做大做强中心城市，做精做优县城建</w:t>
      </w:r>
      <w:r>
        <w:rPr>
          <w:spacing w:val="7"/>
        </w:rPr>
        <w:t>设，做深做活中心乡镇，把城市和农村作为一</w:t>
      </w:r>
      <w:r>
        <w:rPr>
          <w:spacing w:val="7"/>
        </w:rPr>
        <w:t>个整体全域推进，构建科学、多元、绿色、开</w:t>
      </w:r>
      <w:r>
        <w:rPr>
          <w:spacing w:val="7"/>
        </w:rPr>
        <w:t>放的城镇空间发展体系，形成功能完善、特色</w:t>
      </w:r>
      <w:r>
        <w:rPr>
          <w:spacing w:val="9"/>
        </w:rPr>
        <w:t>鲜明、各具风格的新型城镇化发展新格局。</w:t>
      </w:r>
    </w:p>
    <w:p>
      <w:pPr>
        <w:spacing w:line="336" w:lineRule="auto"/>
        <w:rPr>
          <w:rFonts w:ascii="Arial"/>
          <w:sz w:val="21"/>
        </w:rPr>
      </w:pPr>
      <w:r/>
    </w:p>
    <w:p>
      <w:pPr>
        <w:pStyle w:val="BodyText"/>
        <w:ind w:left="642"/>
        <w:spacing w:before="66" w:line="220" w:lineRule="auto"/>
        <w:outlineLvl w:val="0"/>
        <w:rPr/>
      </w:pPr>
      <w:r>
        <w:rPr>
          <w:b/>
          <w:bCs/>
          <w:spacing w:val="7"/>
        </w:rPr>
        <w:t>第一节</w:t>
      </w:r>
      <w:r>
        <w:rPr>
          <w:spacing w:val="7"/>
        </w:rPr>
        <w:t xml:space="preserve">  </w:t>
      </w:r>
      <w:r>
        <w:rPr>
          <w:b/>
          <w:bCs/>
          <w:spacing w:val="7"/>
        </w:rPr>
        <w:t>优化城镇空间发展格局</w:t>
      </w:r>
    </w:p>
    <w:p>
      <w:pPr>
        <w:spacing w:line="249" w:lineRule="auto"/>
        <w:rPr>
          <w:rFonts w:ascii="Arial"/>
          <w:sz w:val="21"/>
        </w:rPr>
      </w:pPr>
      <w:r/>
    </w:p>
    <w:p>
      <w:pPr>
        <w:spacing w:line="249" w:lineRule="auto"/>
        <w:rPr>
          <w:rFonts w:ascii="Arial"/>
          <w:sz w:val="21"/>
        </w:rPr>
      </w:pPr>
      <w:r/>
    </w:p>
    <w:p>
      <w:pPr>
        <w:pStyle w:val="BodyText"/>
        <w:ind w:left="462"/>
        <w:spacing w:before="65" w:line="224" w:lineRule="auto"/>
        <w:rPr/>
      </w:pPr>
      <w:r>
        <w:rPr>
          <w:spacing w:val="6"/>
        </w:rPr>
        <w:t>落实主体功能区和城市建设规划，持续构</w:t>
      </w:r>
    </w:p>
    <w:p>
      <w:pPr>
        <w:pStyle w:val="BodyText"/>
        <w:ind w:left="39"/>
        <w:spacing w:before="164" w:line="277" w:lineRule="exact"/>
        <w:outlineLvl w:val="0"/>
        <w:rPr/>
      </w:pPr>
      <w:r>
        <w:rPr>
          <w:spacing w:val="6"/>
          <w:position w:val="1"/>
        </w:rPr>
        <w:t>建中心城市、县城和小城镇协调发展的“1411”</w:t>
      </w:r>
    </w:p>
    <w:p>
      <w:pPr>
        <w:pStyle w:val="BodyText"/>
        <w:ind w:left="38"/>
        <w:spacing w:before="137" w:line="217" w:lineRule="auto"/>
        <w:rPr/>
      </w:pPr>
      <w:r>
        <w:rPr>
          <w:spacing w:val="8"/>
        </w:rPr>
        <w:t>新型城镇化格局。</w:t>
      </w:r>
    </w:p>
    <w:p>
      <w:pPr>
        <w:pStyle w:val="BodyText"/>
        <w:ind w:left="43" w:right="329" w:firstLine="419"/>
        <w:spacing w:before="172" w:line="299" w:lineRule="auto"/>
        <w:outlineLvl w:val="0"/>
        <w:rPr/>
      </w:pPr>
      <w:r>
        <w:rPr>
          <w:spacing w:val="6"/>
        </w:rPr>
        <w:t>提升中心城市功能。按照宁夏副中心城市</w:t>
      </w:r>
      <w:r>
        <w:rPr>
          <w:spacing w:val="7"/>
        </w:rPr>
        <w:t>功能定位，突出生态休闲和文化旅游，坚持规</w:t>
      </w:r>
    </w:p>
    <w:p>
      <w:pPr>
        <w:pStyle w:val="BodyText"/>
        <w:ind w:left="39"/>
        <w:spacing w:before="166" w:line="223" w:lineRule="auto"/>
        <w:rPr/>
      </w:pPr>
      <w:r>
        <w:rPr>
          <w:spacing w:val="7"/>
        </w:rPr>
        <w:t>划先行，立足区域特色资源和产业基础，优化</w:t>
      </w:r>
    </w:p>
    <w:p>
      <w:pPr>
        <w:spacing w:line="14" w:lineRule="auto"/>
        <w:rPr>
          <w:rFonts w:ascii="Arial"/>
          <w:sz w:val="2"/>
        </w:rPr>
      </w:pPr>
      <w:r>
        <w:rPr>
          <w:rFonts w:ascii="Arial" w:hAnsi="Arial" w:eastAsia="Arial" w:cs="Arial"/>
          <w:sz w:val="2"/>
          <w:szCs w:val="2"/>
        </w:rPr>
        <w:br w:type="column"/>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pStyle w:val="BodyText"/>
        <w:ind w:right="98" w:firstLine="1"/>
        <w:spacing w:before="65" w:line="377" w:lineRule="auto"/>
        <w:jc w:val="both"/>
        <w:rPr/>
      </w:pPr>
      <w:r>
        <w:rPr>
          <w:spacing w:val="7"/>
        </w:rPr>
        <w:t>城市空间开发格局，提升老城品质、完善新城</w:t>
      </w:r>
      <w:r>
        <w:rPr>
          <w:spacing w:val="7"/>
        </w:rPr>
        <w:t>配套、加快新区建设，推动老城新城新区联动</w:t>
      </w:r>
      <w:r>
        <w:rPr>
          <w:spacing w:val="7"/>
        </w:rPr>
        <w:t>开发、差异化发展。完善城市市政、交通、信</w:t>
      </w:r>
      <w:r>
        <w:rPr>
          <w:spacing w:val="7"/>
        </w:rPr>
        <w:t>息等基础设施，增加优质教育、医疗、文化体</w:t>
      </w:r>
      <w:r>
        <w:rPr>
          <w:spacing w:val="7"/>
        </w:rPr>
        <w:t>育资源供给，提高城市基本公共服务标准，提</w:t>
      </w:r>
      <w:r>
        <w:rPr>
          <w:spacing w:val="7"/>
        </w:rPr>
        <w:t>升产业发展水平，增强城市综合承载力、资源</w:t>
      </w:r>
      <w:r>
        <w:rPr>
          <w:spacing w:val="8"/>
        </w:rPr>
        <w:t>集聚力和城市竞争力。到</w:t>
      </w:r>
      <w:r>
        <w:rPr>
          <w:spacing w:val="-28"/>
        </w:rPr>
        <w:t xml:space="preserve"> </w:t>
      </w:r>
      <w:r>
        <w:rPr>
          <w:spacing w:val="8"/>
        </w:rPr>
        <w:t>2025</w:t>
      </w:r>
      <w:r>
        <w:rPr>
          <w:spacing w:val="-34"/>
        </w:rPr>
        <w:t xml:space="preserve"> </w:t>
      </w:r>
      <w:r>
        <w:rPr>
          <w:spacing w:val="8"/>
        </w:rPr>
        <w:t>年</w:t>
      </w:r>
      <w:r>
        <w:rPr>
          <w:spacing w:val="-59"/>
        </w:rPr>
        <w:t xml:space="preserve"> </w:t>
      </w:r>
      <w:r>
        <w:rPr>
          <w:spacing w:val="8"/>
        </w:rPr>
        <w:t>，市区人口</w:t>
      </w:r>
      <w:r>
        <w:rPr>
          <w:spacing w:val="9"/>
        </w:rPr>
        <w:t>达到</w:t>
      </w:r>
      <w:r>
        <w:rPr>
          <w:spacing w:val="-39"/>
        </w:rPr>
        <w:t xml:space="preserve"> </w:t>
      </w:r>
      <w:r>
        <w:rPr>
          <w:spacing w:val="9"/>
        </w:rPr>
        <w:t>50</w:t>
      </w:r>
      <w:r>
        <w:rPr>
          <w:spacing w:val="-38"/>
        </w:rPr>
        <w:t xml:space="preserve"> </w:t>
      </w:r>
      <w:r>
        <w:rPr>
          <w:spacing w:val="9"/>
        </w:rPr>
        <w:t>万人</w:t>
      </w:r>
      <w:r>
        <w:rPr>
          <w:spacing w:val="-58"/>
        </w:rPr>
        <w:t xml:space="preserve"> </w:t>
      </w:r>
      <w:r>
        <w:rPr>
          <w:spacing w:val="9"/>
        </w:rPr>
        <w:t>，把固原建成宁夏南部及陕甘宁</w:t>
      </w:r>
      <w:r>
        <w:rPr>
          <w:spacing w:val="7"/>
        </w:rPr>
        <w:t>毗邻地区人口集聚的中心城市、重要的特色农</w:t>
      </w:r>
      <w:r>
        <w:rPr>
          <w:spacing w:val="9"/>
        </w:rPr>
        <w:t>产品生产加工基地、红色文化旅游城市。</w:t>
      </w:r>
    </w:p>
    <w:p>
      <w:pPr>
        <w:pStyle w:val="BodyText"/>
        <w:ind w:left="18" w:right="101" w:firstLine="405"/>
        <w:spacing w:before="1" w:line="298" w:lineRule="auto"/>
        <w:outlineLvl w:val="0"/>
        <w:rPr/>
      </w:pPr>
      <w:r>
        <w:rPr>
          <w:spacing w:val="6"/>
        </w:rPr>
        <w:t>推进县城城镇化补短板强弱项。加快推进</w:t>
      </w:r>
      <w:r>
        <w:rPr>
          <w:spacing w:val="6"/>
        </w:rPr>
        <w:t>以县城为重要载体的城镇化建设，结合区位条</w:t>
      </w:r>
    </w:p>
    <w:p>
      <w:pPr>
        <w:pStyle w:val="BodyText"/>
        <w:ind w:right="78" w:firstLine="2"/>
        <w:spacing w:before="166" w:line="350" w:lineRule="auto"/>
        <w:jc w:val="both"/>
        <w:rPr/>
      </w:pPr>
      <w:r>
        <w:rPr>
          <w:spacing w:val="8"/>
        </w:rPr>
        <w:t>件和资源禀赋，科学确定西吉、隆德、泾源、</w:t>
      </w:r>
      <w:r>
        <w:rPr>
          <w:spacing w:val="7"/>
        </w:rPr>
        <w:t>彭阳县城发展定位，形成功能错位互补、产业</w:t>
      </w:r>
      <w:r>
        <w:rPr>
          <w:spacing w:val="7"/>
        </w:rPr>
        <w:t>分工协作的格局。实施公共服务设施提标扩面</w:t>
      </w:r>
      <w:r>
        <w:rPr>
          <w:spacing w:val="7"/>
        </w:rPr>
        <w:t>工程，优化医疗卫生、教育、养老、托育、文</w:t>
      </w:r>
      <w:r>
        <w:rPr>
          <w:spacing w:val="7"/>
        </w:rPr>
        <w:t>旅、体育、社会福利和社区综合服务设施；实</w:t>
      </w:r>
      <w:r>
        <w:rPr>
          <w:spacing w:val="7"/>
        </w:rPr>
        <w:t>施环境卫生提级扩能工程，完善垃圾、污水处</w:t>
      </w:r>
      <w:r>
        <w:rPr>
          <w:spacing w:val="7"/>
        </w:rPr>
        <w:t>理和公厕设施；实施市政公用设施提档升级工</w:t>
      </w:r>
    </w:p>
    <w:p>
      <w:pPr>
        <w:spacing w:line="350" w:lineRule="auto"/>
        <w:sectPr>
          <w:type w:val="continuous"/>
          <w:pgSz w:w="11906" w:h="16839"/>
          <w:pgMar w:top="1793" w:right="1489" w:bottom="1673" w:left="1553" w:header="1428" w:footer="1277" w:gutter="0"/>
          <w:cols w:equalWidth="0" w:num="2">
            <w:col w:w="4515" w:space="100"/>
            <w:col w:w="4249" w:space="0"/>
          </w:cols>
        </w:sectPr>
        <w:rPr/>
      </w:pPr>
    </w:p>
    <w:p>
      <w:pPr>
        <w:spacing w:before="59"/>
        <w:rPr/>
      </w:pPr>
      <w:r>
        <w:drawing>
          <wp:anchor distT="0" distB="0" distL="0" distR="0" simplePos="0" relativeHeight="251801600"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438" name="IM 438"/>
            <wp:cNvGraphicFramePr/>
            <a:graphic>
              <a:graphicData uri="http://schemas.openxmlformats.org/drawingml/2006/picture">
                <pic:pic>
                  <pic:nvPicPr>
                    <pic:cNvPr id="438" name="IM 438"/>
                    <pic:cNvPicPr/>
                  </pic:nvPicPr>
                  <pic:blipFill>
                    <a:blip r:embed="rId221"/>
                    <a:stretch>
                      <a:fillRect/>
                    </a:stretch>
                  </pic:blipFill>
                  <pic:spPr>
                    <a:xfrm rot="0">
                      <a:off x="0" y="0"/>
                      <a:ext cx="5579745" cy="7619"/>
                    </a:xfrm>
                    <a:prstGeom prst="rect">
                      <a:avLst/>
                    </a:prstGeom>
                  </pic:spPr>
                </pic:pic>
              </a:graphicData>
            </a:graphic>
          </wp:anchor>
        </w:drawing>
      </w:r>
      <w:r/>
    </w:p>
    <w:p>
      <w:pPr>
        <w:sectPr>
          <w:headerReference w:type="default" r:id="rId167"/>
          <w:footerReference w:type="default" r:id="rId220"/>
          <w:pgSz w:w="11906" w:h="16839"/>
          <w:pgMar w:top="1793" w:right="1509" w:bottom="1570" w:left="1579" w:header="1428" w:footer="1172" w:gutter="0"/>
          <w:cols w:equalWidth="0" w:num="1">
            <w:col w:w="8817" w:space="0"/>
          </w:cols>
        </w:sectPr>
        <w:rPr/>
      </w:pPr>
    </w:p>
    <w:p>
      <w:pPr>
        <w:pStyle w:val="BodyText"/>
        <w:ind w:left="10" w:right="325" w:firstLine="3"/>
        <w:spacing w:before="45" w:line="375" w:lineRule="auto"/>
        <w:jc w:val="both"/>
        <w:rPr/>
      </w:pPr>
      <w:r>
        <w:rPr>
          <w:spacing w:val="7"/>
        </w:rPr>
        <w:t>程，推进市政交通、城市管网、配送投递设施</w:t>
      </w:r>
      <w:r>
        <w:rPr>
          <w:spacing w:val="7"/>
        </w:rPr>
        <w:t>和老旧小区更新改造、县城智慧改造；实施产</w:t>
      </w:r>
      <w:r>
        <w:rPr>
          <w:spacing w:val="15"/>
        </w:rPr>
        <w:t>业配套设施提质增效工程</w:t>
      </w:r>
      <w:r>
        <w:rPr>
          <w:spacing w:val="-38"/>
        </w:rPr>
        <w:t xml:space="preserve"> </w:t>
      </w:r>
      <w:r>
        <w:rPr>
          <w:spacing w:val="15"/>
        </w:rPr>
        <w:t>，完善产业平台配</w:t>
      </w:r>
      <w:r>
        <w:rPr>
          <w:spacing w:val="7"/>
        </w:rPr>
        <w:t>套、物流设施和农贸市场，大力提升县城公共</w:t>
      </w:r>
      <w:r>
        <w:rPr>
          <w:spacing w:val="7"/>
        </w:rPr>
        <w:t>设施和服务能力，改善县城人居环境，提高县</w:t>
      </w:r>
      <w:r>
        <w:rPr>
          <w:spacing w:val="4"/>
        </w:rPr>
        <w:t>城承载能力，更好吸纳农业转移人口。到</w:t>
      </w:r>
      <w:r>
        <w:rPr>
          <w:spacing w:val="-38"/>
        </w:rPr>
        <w:t xml:space="preserve"> </w:t>
      </w:r>
      <w:r>
        <w:rPr>
          <w:spacing w:val="4"/>
        </w:rPr>
        <w:t>2025</w:t>
      </w:r>
      <w:r>
        <w:rPr>
          <w:spacing w:val="7"/>
        </w:rPr>
        <w:t>年，县域人口向县城集聚，县城作为县域经济</w:t>
      </w:r>
      <w:r>
        <w:rPr>
          <w:spacing w:val="18"/>
        </w:rPr>
        <w:t>社会发展中心和城乡融合发展关键节点作用</w:t>
      </w:r>
      <w:r>
        <w:rPr>
          <w:spacing w:val="7"/>
        </w:rPr>
        <w:t>更加凸显。</w:t>
      </w:r>
    </w:p>
    <w:p>
      <w:pPr>
        <w:pStyle w:val="BodyText"/>
        <w:ind w:left="22" w:right="327" w:firstLine="412"/>
        <w:spacing w:before="5" w:line="296" w:lineRule="auto"/>
        <w:outlineLvl w:val="0"/>
        <w:rPr/>
      </w:pPr>
      <w:r>
        <w:rPr>
          <w:spacing w:val="6"/>
        </w:rPr>
        <w:t>支持特色小城镇发展。发挥小城镇衔接城</w:t>
      </w:r>
      <w:r>
        <w:rPr>
          <w:spacing w:val="6"/>
        </w:rPr>
        <w:t>乡、联动工农作用，推动城市交通、通信、教</w:t>
      </w:r>
    </w:p>
    <w:p>
      <w:pPr>
        <w:pStyle w:val="BodyText"/>
        <w:ind w:left="13" w:right="304" w:firstLine="1"/>
        <w:spacing w:before="150" w:line="368" w:lineRule="auto"/>
        <w:jc w:val="both"/>
        <w:rPr/>
      </w:pPr>
      <w:r>
        <w:rPr>
          <w:spacing w:val="7"/>
        </w:rPr>
        <w:t>育、医疗等基础设施和服务体系向特色小镇延</w:t>
      </w:r>
      <w:r>
        <w:rPr>
          <w:spacing w:val="7"/>
        </w:rPr>
        <w:t>伸，加快三营、将台堡、沙塘、泾河源、王洼</w:t>
      </w:r>
      <w:r>
        <w:rPr>
          <w:spacing w:val="10"/>
        </w:rPr>
        <w:t>等</w:t>
      </w:r>
      <w:r>
        <w:rPr>
          <w:spacing w:val="-16"/>
        </w:rPr>
        <w:t xml:space="preserve"> </w:t>
      </w:r>
      <w:r>
        <w:rPr>
          <w:spacing w:val="10"/>
        </w:rPr>
        <w:t>14</w:t>
      </w:r>
      <w:r>
        <w:rPr>
          <w:spacing w:val="-40"/>
        </w:rPr>
        <w:t xml:space="preserve"> </w:t>
      </w:r>
      <w:r>
        <w:rPr>
          <w:spacing w:val="10"/>
        </w:rPr>
        <w:t>个区位优势明显、资源丰富、产业基础</w:t>
      </w:r>
      <w:r>
        <w:rPr>
          <w:spacing w:val="8"/>
        </w:rPr>
        <w:t>良好的特色镇聚集主导产业、突出特色服务、</w:t>
      </w:r>
      <w:r>
        <w:rPr>
          <w:spacing w:val="8"/>
        </w:rPr>
        <w:t>提升城镇综合功能，发展培育形成商贸物流、</w:t>
      </w:r>
      <w:r>
        <w:rPr>
          <w:spacing w:val="-5"/>
        </w:rPr>
        <w:t>文化旅游、资源加工、特色产业型城镇。到</w:t>
      </w:r>
      <w:r>
        <w:rPr>
          <w:spacing w:val="-38"/>
        </w:rPr>
        <w:t xml:space="preserve"> </w:t>
      </w:r>
      <w:r>
        <w:rPr>
          <w:spacing w:val="-5"/>
        </w:rPr>
        <w:t>2025</w:t>
      </w:r>
      <w:r>
        <w:rPr>
          <w:spacing w:val="8"/>
        </w:rPr>
        <w:t>年，培育形成一批示范性的精品特色小城镇，</w:t>
      </w:r>
      <w:r>
        <w:rPr>
          <w:spacing w:val="7"/>
        </w:rPr>
        <w:t>成为推进一二三产业融合、联结乡村和城市的</w:t>
      </w:r>
      <w:r>
        <w:rPr>
          <w:spacing w:val="6"/>
        </w:rPr>
        <w:t>重要载体。</w:t>
      </w:r>
    </w:p>
    <w:p>
      <w:pPr>
        <w:spacing w:line="352" w:lineRule="auto"/>
        <w:rPr>
          <w:rFonts w:ascii="Arial"/>
          <w:sz w:val="21"/>
        </w:rPr>
      </w:pPr>
      <w:r/>
    </w:p>
    <w:p>
      <w:pPr>
        <w:pStyle w:val="BodyText"/>
        <w:ind w:left="249"/>
        <w:spacing w:before="65" w:line="220" w:lineRule="auto"/>
        <w:outlineLvl w:val="0"/>
        <w:rPr/>
      </w:pPr>
      <w:r>
        <w:rPr>
          <w:b/>
          <w:bCs/>
          <w:spacing w:val="7"/>
        </w:rPr>
        <w:t>第二节</w:t>
      </w:r>
      <w:r>
        <w:rPr>
          <w:spacing w:val="7"/>
        </w:rPr>
        <w:t xml:space="preserve">   </w:t>
      </w:r>
      <w:r>
        <w:rPr>
          <w:b/>
          <w:bCs/>
          <w:spacing w:val="7"/>
        </w:rPr>
        <w:t>推进以人为核心的新型城镇化</w:t>
      </w:r>
    </w:p>
    <w:p>
      <w:pPr>
        <w:spacing w:line="256" w:lineRule="auto"/>
        <w:rPr>
          <w:rFonts w:ascii="Arial"/>
          <w:sz w:val="21"/>
        </w:rPr>
      </w:pPr>
      <w:r/>
    </w:p>
    <w:p>
      <w:pPr>
        <w:spacing w:line="256" w:lineRule="auto"/>
        <w:rPr>
          <w:rFonts w:ascii="Arial"/>
          <w:sz w:val="21"/>
        </w:rPr>
      </w:pPr>
      <w:r/>
    </w:p>
    <w:p>
      <w:pPr>
        <w:pStyle w:val="BodyText"/>
        <w:ind w:left="432"/>
        <w:spacing w:before="65" w:line="220" w:lineRule="auto"/>
        <w:rPr/>
      </w:pPr>
      <w:r>
        <w:rPr>
          <w:spacing w:val="7"/>
        </w:rPr>
        <w:t>增强城镇人口承载力和吸引力，引导人口</w:t>
      </w:r>
    </w:p>
    <w:p>
      <w:pPr>
        <w:pStyle w:val="BodyText"/>
        <w:ind w:left="34"/>
        <w:spacing w:before="180" w:line="221" w:lineRule="auto"/>
        <w:outlineLvl w:val="0"/>
        <w:rPr/>
      </w:pPr>
      <w:r>
        <w:rPr>
          <w:spacing w:val="6"/>
        </w:rPr>
        <w:t>向区域中心城市、五河流域集聚，增强对乡村</w:t>
      </w:r>
    </w:p>
    <w:p>
      <w:pPr>
        <w:pStyle w:val="BodyText"/>
        <w:ind w:left="30"/>
        <w:spacing w:before="179" w:line="223" w:lineRule="auto"/>
        <w:rPr/>
      </w:pPr>
      <w:r>
        <w:rPr>
          <w:spacing w:val="8"/>
        </w:rPr>
        <w:t>的辐射带动能力，稳步提升城镇化水平。</w:t>
      </w:r>
    </w:p>
    <w:p>
      <w:pPr>
        <w:pStyle w:val="BodyText"/>
        <w:ind w:left="435"/>
        <w:spacing w:before="180" w:line="219" w:lineRule="auto"/>
        <w:rPr/>
      </w:pPr>
      <w:r>
        <w:rPr>
          <w:spacing w:val="6"/>
        </w:rPr>
        <w:t>推动农业转移人口市民化。持续深化户籍</w:t>
      </w:r>
    </w:p>
    <w:p>
      <w:pPr>
        <w:pStyle w:val="BodyText"/>
        <w:ind w:left="14"/>
        <w:spacing w:before="181" w:line="223" w:lineRule="auto"/>
        <w:outlineLvl w:val="0"/>
        <w:rPr/>
      </w:pPr>
      <w:r>
        <w:rPr>
          <w:spacing w:val="7"/>
        </w:rPr>
        <w:t>制度改革，全面放开放宽农业转移人口落户条</w:t>
      </w:r>
    </w:p>
    <w:p>
      <w:pPr>
        <w:pStyle w:val="BodyText"/>
        <w:ind w:left="11" w:right="263" w:firstLine="2"/>
        <w:spacing w:before="178" w:line="338" w:lineRule="auto"/>
        <w:jc w:val="both"/>
        <w:rPr/>
      </w:pPr>
      <w:r>
        <w:rPr/>
        <w:t>件，简化户籍迁移手续，大幅提高落户便利性，</w:t>
      </w:r>
      <w:r>
        <w:rPr>
          <w:spacing w:val="10"/>
        </w:rPr>
        <w:t>促进农业转移人口市民化。实行居住证制度，</w:t>
      </w:r>
      <w:r>
        <w:rPr>
          <w:spacing w:val="7"/>
        </w:rPr>
        <w:t>运用信息化手段，将全市居住证信息接入市政</w:t>
      </w:r>
      <w:r>
        <w:rPr>
          <w:spacing w:val="7"/>
        </w:rPr>
        <w:t>府政务信息资源共享平台，完善社会保险关系</w:t>
      </w:r>
    </w:p>
    <w:p>
      <w:pPr>
        <w:spacing w:line="14" w:lineRule="auto"/>
        <w:rPr>
          <w:rFonts w:ascii="Arial"/>
          <w:sz w:val="2"/>
        </w:rPr>
      </w:pPr>
      <w:r>
        <w:rPr>
          <w:rFonts w:ascii="Arial" w:hAnsi="Arial" w:eastAsia="Arial" w:cs="Arial"/>
          <w:sz w:val="2"/>
          <w:szCs w:val="2"/>
        </w:rPr>
        <w:br w:type="column"/>
      </w:r>
    </w:p>
    <w:p>
      <w:pPr>
        <w:pStyle w:val="BodyText"/>
        <w:ind w:right="71" w:firstLine="3"/>
        <w:spacing w:before="56" w:line="387" w:lineRule="auto"/>
        <w:jc w:val="both"/>
        <w:rPr/>
      </w:pPr>
      <w:r>
        <w:rPr>
          <w:spacing w:val="7"/>
        </w:rPr>
        <w:t>转移接续，增加学位供给，健全随迁子女入学</w:t>
      </w:r>
      <w:r>
        <w:rPr>
          <w:spacing w:val="7"/>
        </w:rPr>
        <w:t>入园政策和新市民住房保障政策，推动城镇基</w:t>
      </w:r>
      <w:r>
        <w:rPr>
          <w:spacing w:val="7"/>
        </w:rPr>
        <w:t>本公共服务常住人口全覆盖。健全农业转移人</w:t>
      </w:r>
      <w:r>
        <w:rPr>
          <w:spacing w:val="7"/>
        </w:rPr>
        <w:t>口与城镇新增建设用地指标增减挂钩机制，支</w:t>
      </w:r>
      <w:r>
        <w:rPr>
          <w:spacing w:val="7"/>
        </w:rPr>
        <w:t>持企业吸纳农业转移人口就业。分类推进城中</w:t>
      </w:r>
      <w:r>
        <w:rPr>
          <w:spacing w:val="7"/>
        </w:rPr>
        <w:t>村和城边村改造，推动农业人口就地市民化；</w:t>
      </w:r>
      <w:r>
        <w:rPr>
          <w:spacing w:val="7"/>
        </w:rPr>
        <w:t>对符合标准、条件成熟的城中村和城边村实行</w:t>
      </w:r>
      <w:r>
        <w:rPr>
          <w:spacing w:val="7"/>
        </w:rPr>
        <w:t>“村改居”。加快小城镇和农村新型社区基础</w:t>
      </w:r>
      <w:r>
        <w:rPr>
          <w:spacing w:val="6"/>
        </w:rPr>
        <w:t>设施建设，以小城镇公共服务设施</w:t>
      </w:r>
      <w:r>
        <w:rPr>
          <w:spacing w:val="-33"/>
        </w:rPr>
        <w:t xml:space="preserve"> </w:t>
      </w:r>
      <w:r>
        <w:rPr>
          <w:spacing w:val="6"/>
        </w:rPr>
        <w:t>3-5</w:t>
      </w:r>
      <w:r>
        <w:rPr>
          <w:spacing w:val="-43"/>
        </w:rPr>
        <w:t xml:space="preserve"> </w:t>
      </w:r>
      <w:r>
        <w:rPr>
          <w:spacing w:val="6"/>
        </w:rPr>
        <w:t>公里服</w:t>
      </w:r>
      <w:r>
        <w:rPr>
          <w:spacing w:val="7"/>
        </w:rPr>
        <w:t>务半径覆盖范围的村级单位为重点，进一步提</w:t>
      </w:r>
      <w:r>
        <w:rPr>
          <w:spacing w:val="7"/>
        </w:rPr>
        <w:t>升公共服务供给、产业支撑和管理水平能力，</w:t>
      </w:r>
      <w:r>
        <w:rPr>
          <w:spacing w:val="18"/>
        </w:rPr>
        <w:t>引导城乡就业人口和返乡农民工就地就近市</w:t>
      </w:r>
      <w:r>
        <w:rPr>
          <w:spacing w:val="8"/>
        </w:rPr>
        <w:t>民化。到</w:t>
      </w:r>
      <w:r>
        <w:rPr>
          <w:spacing w:val="-26"/>
        </w:rPr>
        <w:t xml:space="preserve"> </w:t>
      </w:r>
      <w:r>
        <w:rPr>
          <w:spacing w:val="8"/>
        </w:rPr>
        <w:t>2025</w:t>
      </w:r>
      <w:r>
        <w:rPr>
          <w:spacing w:val="-36"/>
        </w:rPr>
        <w:t xml:space="preserve"> </w:t>
      </w:r>
      <w:r>
        <w:rPr>
          <w:spacing w:val="8"/>
        </w:rPr>
        <w:t>年</w:t>
      </w:r>
      <w:r>
        <w:rPr>
          <w:spacing w:val="-59"/>
        </w:rPr>
        <w:t xml:space="preserve"> </w:t>
      </w:r>
      <w:r>
        <w:rPr>
          <w:spacing w:val="8"/>
        </w:rPr>
        <w:t>，全市常住人口城镇化率达</w:t>
      </w:r>
      <w:r>
        <w:rPr>
          <w:spacing w:val="14"/>
        </w:rPr>
        <w:t>到</w:t>
      </w:r>
      <w:r>
        <w:rPr>
          <w:spacing w:val="-39"/>
        </w:rPr>
        <w:t xml:space="preserve"> </w:t>
      </w:r>
      <w:r>
        <w:rPr>
          <w:spacing w:val="14"/>
        </w:rPr>
        <w:t>60%左右。</w:t>
      </w:r>
    </w:p>
    <w:p>
      <w:pPr>
        <w:pStyle w:val="BodyText"/>
        <w:ind w:left="6" w:right="80" w:firstLine="420"/>
        <w:spacing w:before="1" w:line="306" w:lineRule="auto"/>
        <w:outlineLvl w:val="0"/>
        <w:rPr/>
      </w:pPr>
      <w:r>
        <w:rPr>
          <w:spacing w:val="6"/>
        </w:rPr>
        <w:t>提升城镇发展品质品位。实施城市更新行</w:t>
      </w:r>
      <w:r>
        <w:rPr>
          <w:spacing w:val="7"/>
        </w:rPr>
        <w:t>动，建设宜居城市、绿色城市、韧性城市、智</w:t>
      </w:r>
    </w:p>
    <w:p>
      <w:pPr>
        <w:pStyle w:val="BodyText"/>
        <w:ind w:firstLine="8"/>
        <w:spacing w:before="183" w:line="376" w:lineRule="auto"/>
        <w:jc w:val="both"/>
        <w:rPr/>
      </w:pPr>
      <w:r>
        <w:rPr>
          <w:spacing w:val="6"/>
        </w:rPr>
        <w:t>慧城市、人文城市，不断提升城市人居环境质</w:t>
      </w:r>
      <w:r>
        <w:rPr>
          <w:spacing w:val="1"/>
        </w:rPr>
        <w:t>量、人民生活质量和城市竞争力。实施古雁岭、</w:t>
      </w:r>
      <w:r>
        <w:rPr>
          <w:spacing w:val="7"/>
        </w:rPr>
        <w:t>长城梁、九龙山等城市生态修复和饮马河水环</w:t>
      </w:r>
      <w:r>
        <w:rPr>
          <w:spacing w:val="7"/>
        </w:rPr>
        <w:t>境综合治理工程，建设火车站广场、金城绿地</w:t>
      </w:r>
      <w:r>
        <w:rPr>
          <w:spacing w:val="7"/>
        </w:rPr>
        <w:t>公园，完善城市生态系统，保护城市山体自然</w:t>
      </w:r>
      <w:r>
        <w:rPr>
          <w:spacing w:val="7"/>
        </w:rPr>
        <w:t>风貌，修复河湖水系和湿地。强化历史文化保</w:t>
      </w:r>
      <w:r>
        <w:rPr>
          <w:spacing w:val="7"/>
        </w:rPr>
        <w:t>护，改造保护固原古城墙遗址，保护修缮城隍</w:t>
      </w:r>
      <w:r>
        <w:rPr>
          <w:spacing w:val="7"/>
        </w:rPr>
        <w:t>庙、魁星楼等历史文化建筑，推进历史文化遗</w:t>
      </w:r>
      <w:r>
        <w:rPr>
          <w:spacing w:val="7"/>
        </w:rPr>
        <w:t>产活化利用，加强新建建筑设计管理，塑造城</w:t>
      </w:r>
      <w:r>
        <w:rPr>
          <w:spacing w:val="7"/>
        </w:rPr>
        <w:t>市时代特色风貌。健全城市路网系统，新建改</w:t>
      </w:r>
      <w:r>
        <w:rPr>
          <w:spacing w:val="9"/>
        </w:rPr>
        <w:t>造城市道路</w:t>
      </w:r>
      <w:r>
        <w:rPr>
          <w:spacing w:val="-31"/>
        </w:rPr>
        <w:t xml:space="preserve"> </w:t>
      </w:r>
      <w:r>
        <w:rPr>
          <w:spacing w:val="9"/>
        </w:rPr>
        <w:t>60</w:t>
      </w:r>
      <w:r>
        <w:rPr>
          <w:spacing w:val="-41"/>
        </w:rPr>
        <w:t xml:space="preserve"> </w:t>
      </w:r>
      <w:r>
        <w:rPr>
          <w:spacing w:val="9"/>
        </w:rPr>
        <w:t>公里</w:t>
      </w:r>
      <w:r>
        <w:rPr>
          <w:spacing w:val="-58"/>
        </w:rPr>
        <w:t xml:space="preserve"> </w:t>
      </w:r>
      <w:r>
        <w:rPr>
          <w:spacing w:val="9"/>
        </w:rPr>
        <w:t>，推进公交港湾式站点建</w:t>
      </w:r>
      <w:r>
        <w:rPr>
          <w:spacing w:val="7"/>
        </w:rPr>
        <w:t>设，完善非机动车和行人交通系统、行人过街</w:t>
      </w:r>
      <w:r>
        <w:rPr>
          <w:spacing w:val="7"/>
        </w:rPr>
        <w:t>设施，建设健康步道、自行车专用道。全面推</w:t>
      </w:r>
      <w:r>
        <w:rPr>
          <w:spacing w:val="10"/>
        </w:rPr>
        <w:t>进城市老旧小区改造，稳步推进棚户区改造。</w:t>
      </w:r>
      <w:r>
        <w:rPr>
          <w:spacing w:val="7"/>
        </w:rPr>
        <w:t>坚持租购并举，加快完善长租房政策，逐步使</w:t>
      </w:r>
    </w:p>
    <w:p>
      <w:pPr>
        <w:spacing w:line="376" w:lineRule="auto"/>
        <w:sectPr>
          <w:type w:val="continuous"/>
          <w:pgSz w:w="11906" w:h="16839"/>
          <w:pgMar w:top="1793" w:right="1509" w:bottom="1570" w:left="1579" w:header="1428" w:footer="1172" w:gutter="0"/>
          <w:cols w:equalWidth="0" w:num="2">
            <w:col w:w="4487" w:space="100"/>
            <w:col w:w="4230" w:space="0"/>
          </w:cols>
        </w:sectPr>
        <w:rPr/>
      </w:pPr>
    </w:p>
    <w:p>
      <w:pPr>
        <w:spacing w:before="51"/>
        <w:rPr/>
      </w:pPr>
      <w:r>
        <w:drawing>
          <wp:anchor distT="0" distB="0" distL="0" distR="0" simplePos="0" relativeHeight="251803648"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442" name="IM 442"/>
            <wp:cNvGraphicFramePr/>
            <a:graphic>
              <a:graphicData uri="http://schemas.openxmlformats.org/drawingml/2006/picture">
                <pic:pic>
                  <pic:nvPicPr>
                    <pic:cNvPr id="442" name="IM 442"/>
                    <pic:cNvPicPr/>
                  </pic:nvPicPr>
                  <pic:blipFill>
                    <a:blip r:embed="rId223"/>
                    <a:stretch>
                      <a:fillRect/>
                    </a:stretch>
                  </pic:blipFill>
                  <pic:spPr>
                    <a:xfrm rot="0">
                      <a:off x="0" y="0"/>
                      <a:ext cx="5579745" cy="7619"/>
                    </a:xfrm>
                    <a:prstGeom prst="rect">
                      <a:avLst/>
                    </a:prstGeom>
                  </pic:spPr>
                </pic:pic>
              </a:graphicData>
            </a:graphic>
          </wp:anchor>
        </w:drawing>
      </w:r>
      <w:r/>
    </w:p>
    <w:p>
      <w:pPr>
        <w:sectPr>
          <w:headerReference w:type="default" r:id="rId188"/>
          <w:footerReference w:type="default" r:id="rId222"/>
          <w:pgSz w:w="11906" w:h="16839"/>
          <w:pgMar w:top="1793" w:right="1489" w:bottom="1673" w:left="1565" w:header="1428" w:footer="1277" w:gutter="0"/>
          <w:cols w:equalWidth="0" w:num="1">
            <w:col w:w="8852" w:space="0"/>
          </w:cols>
        </w:sectPr>
        <w:rPr/>
      </w:pPr>
    </w:p>
    <w:p>
      <w:pPr>
        <w:pStyle w:val="BodyText"/>
        <w:ind w:left="26" w:right="304" w:firstLine="4"/>
        <w:spacing w:before="58" w:line="388" w:lineRule="auto"/>
        <w:jc w:val="both"/>
        <w:rPr/>
      </w:pPr>
      <w:r>
        <w:rPr>
          <w:spacing w:val="7"/>
        </w:rPr>
        <w:t>租购住房在享受公共服务上具有同等权利，规</w:t>
      </w:r>
      <w:r>
        <w:rPr>
          <w:spacing w:val="7"/>
        </w:rPr>
        <w:t>范发展长租房，有效增加保障性住房供给，促</w:t>
      </w:r>
      <w:r>
        <w:rPr>
          <w:spacing w:val="8"/>
        </w:rPr>
        <w:t>进房地产市场平稳健康发展。合理增加教育、</w:t>
      </w:r>
      <w:r>
        <w:rPr>
          <w:spacing w:val="7"/>
        </w:rPr>
        <w:t>医疗、文化体育等重要配套城镇资源供给。系</w:t>
      </w:r>
      <w:r>
        <w:rPr>
          <w:spacing w:val="7"/>
        </w:rPr>
        <w:t>统化全市域推进海绵城市建设，科学规划和改</w:t>
      </w:r>
      <w:r>
        <w:rPr>
          <w:spacing w:val="7"/>
        </w:rPr>
        <w:t>造建设城市防洪、抗震、消防、排水防涝等设</w:t>
      </w:r>
      <w:r>
        <w:rPr>
          <w:spacing w:val="7"/>
        </w:rPr>
        <w:t>施，合理规划布局建设应急避难场所、平战结</w:t>
      </w:r>
      <w:r>
        <w:rPr>
          <w:spacing w:val="8"/>
        </w:rPr>
        <w:t>合医院等，提升城市系统防灾抗灾应急能力。</w:t>
      </w:r>
    </w:p>
    <w:p>
      <w:pPr>
        <w:pStyle w:val="BodyText"/>
        <w:ind w:left="28" w:right="321" w:firstLine="422"/>
        <w:spacing w:before="1" w:line="303" w:lineRule="auto"/>
        <w:outlineLvl w:val="0"/>
        <w:rPr/>
      </w:pPr>
      <w:r>
        <w:rPr>
          <w:spacing w:val="7"/>
        </w:rPr>
        <w:t>提升城市治理水平。创新城市治理方式，</w:t>
      </w:r>
      <w:r>
        <w:rPr>
          <w:spacing w:val="18"/>
        </w:rPr>
        <w:t>运用新一代信息技术建设城市综合运行管理</w:t>
      </w:r>
    </w:p>
    <w:p>
      <w:pPr>
        <w:pStyle w:val="BodyText"/>
        <w:ind w:left="27" w:right="248" w:firstLine="4"/>
        <w:spacing w:before="183" w:line="378" w:lineRule="auto"/>
        <w:jc w:val="both"/>
        <w:rPr/>
      </w:pPr>
      <w:r>
        <w:rPr>
          <w:spacing w:val="10"/>
        </w:rPr>
        <w:t>服务平台，加强对城市管理工作的统筹协调、</w:t>
      </w:r>
      <w:r>
        <w:rPr>
          <w:spacing w:val="7"/>
        </w:rPr>
        <w:t>智慧监督、综合评价、推行城市治理“一网统</w:t>
      </w:r>
      <w:r>
        <w:rPr>
          <w:spacing w:val="7"/>
        </w:rPr>
        <w:t>管”，提升城市科学化、精细化、智能化治理</w:t>
      </w:r>
      <w:r>
        <w:rPr>
          <w:spacing w:val="1"/>
        </w:rPr>
        <w:t>水平。全方位开展城市体检，系统治理城市病，</w:t>
      </w:r>
      <w:r>
        <w:rPr>
          <w:spacing w:val="7"/>
        </w:rPr>
        <w:t>优化交通网络、合理设置交通标线、加大力度</w:t>
      </w:r>
      <w:r>
        <w:rPr>
          <w:spacing w:val="7"/>
        </w:rPr>
        <w:t>规划建设停车场，挖掘停车潜力，有效缓解城</w:t>
      </w:r>
      <w:r>
        <w:rPr>
          <w:spacing w:val="7"/>
        </w:rPr>
        <w:t>市道路拥堵。推进社区管理物业化、街面管理</w:t>
      </w:r>
      <w:r>
        <w:rPr>
          <w:spacing w:val="11"/>
        </w:rPr>
        <w:t>网格化、路面清扫机械化、垃圾焚烧无害化，</w:t>
      </w:r>
      <w:r>
        <w:rPr>
          <w:spacing w:val="7"/>
        </w:rPr>
        <w:t>打造干净整洁的城市面貌。加快推进基于信息</w:t>
      </w:r>
      <w:r>
        <w:rPr>
          <w:spacing w:val="7"/>
        </w:rPr>
        <w:t>化、数字化、智能化的新型城市基础设施建设</w:t>
      </w:r>
      <w:r>
        <w:rPr>
          <w:spacing w:val="7"/>
        </w:rPr>
        <w:t>和改造，综合运用智慧化手段对规划建成区地</w:t>
      </w:r>
      <w:r>
        <w:rPr>
          <w:spacing w:val="7"/>
        </w:rPr>
        <w:t>下管网进行监测预警和运维管理，全面提升城</w:t>
      </w:r>
      <w:r>
        <w:rPr>
          <w:spacing w:val="7"/>
        </w:rPr>
        <w:t>市建设水平和安全运行效率。开展完整居住社</w:t>
      </w:r>
      <w:r>
        <w:rPr>
          <w:spacing w:val="8"/>
        </w:rPr>
        <w:t>区设施补短板行动，因地制宜对居住社区市政</w:t>
      </w:r>
      <w:r>
        <w:rPr>
          <w:spacing w:val="1"/>
        </w:rPr>
        <w:t>配套基础设施、公共服务设施进行改造和建设，</w:t>
      </w:r>
      <w:r>
        <w:rPr>
          <w:spacing w:val="8"/>
        </w:rPr>
        <w:t>把居住社区建设成为满足人民群众日常生活需</w:t>
      </w:r>
      <w:r>
        <w:rPr>
          <w:spacing w:val="8"/>
        </w:rPr>
        <w:t>求的完整单元。大力开展文明城市、文明县城</w:t>
      </w:r>
      <w:r>
        <w:rPr>
          <w:spacing w:val="6"/>
        </w:rPr>
        <w:t>创建活动</w:t>
      </w:r>
      <w:r>
        <w:rPr>
          <w:spacing w:val="-55"/>
        </w:rPr>
        <w:t xml:space="preserve"> </w:t>
      </w:r>
      <w:r>
        <w:rPr>
          <w:spacing w:val="6"/>
        </w:rPr>
        <w:t>，健全完善公民行为规范约束制度体</w:t>
      </w:r>
      <w:r>
        <w:rPr>
          <w:spacing w:val="4"/>
        </w:rPr>
        <w:t>系</w:t>
      </w:r>
      <w:r>
        <w:rPr>
          <w:spacing w:val="-55"/>
        </w:rPr>
        <w:t xml:space="preserve"> </w:t>
      </w:r>
      <w:r>
        <w:rPr>
          <w:spacing w:val="4"/>
        </w:rPr>
        <w:t>，引导市民养成良好行为习惯</w:t>
      </w:r>
      <w:r>
        <w:rPr>
          <w:spacing w:val="-60"/>
        </w:rPr>
        <w:t xml:space="preserve"> </w:t>
      </w:r>
      <w:r>
        <w:rPr>
          <w:spacing w:val="4"/>
        </w:rPr>
        <w:t>，提升城市形</w:t>
      </w:r>
      <w:r>
        <w:rPr>
          <w:spacing w:val="8"/>
        </w:rPr>
        <w:t>象和品位。切实加强城市管理法规宣传教育工</w:t>
      </w:r>
      <w:r>
        <w:rPr>
          <w:spacing w:val="2"/>
        </w:rPr>
        <w:t>作，积极营造人人参与城市管理的浓厚氛围。</w:t>
      </w:r>
    </w:p>
    <w:p>
      <w:pPr>
        <w:spacing w:line="14" w:lineRule="auto"/>
        <w:rPr>
          <w:rFonts w:ascii="Arial"/>
          <w:sz w:val="2"/>
        </w:rPr>
      </w:pPr>
      <w:r>
        <w:rPr>
          <w:rFonts w:ascii="Arial" w:hAnsi="Arial" w:eastAsia="Arial" w:cs="Arial"/>
          <w:sz w:val="2"/>
          <w:szCs w:val="2"/>
        </w:rPr>
        <w:br w:type="column"/>
      </w:r>
    </w:p>
    <w:p>
      <w:pPr>
        <w:pStyle w:val="BodyText"/>
        <w:ind w:left="606"/>
        <w:spacing w:before="39" w:line="222" w:lineRule="auto"/>
        <w:outlineLvl w:val="0"/>
        <w:rPr/>
      </w:pPr>
      <w:r>
        <w:rPr>
          <w:b/>
          <w:bCs/>
          <w:spacing w:val="7"/>
        </w:rPr>
        <w:t>第三节</w:t>
      </w:r>
      <w:r>
        <w:rPr>
          <w:spacing w:val="7"/>
        </w:rPr>
        <w:t xml:space="preserve">  </w:t>
      </w:r>
      <w:r>
        <w:rPr>
          <w:b/>
          <w:bCs/>
          <w:spacing w:val="7"/>
        </w:rPr>
        <w:t>促进城乡一体产城融合</w:t>
      </w:r>
    </w:p>
    <w:p>
      <w:pPr>
        <w:spacing w:line="475" w:lineRule="auto"/>
        <w:rPr>
          <w:rFonts w:ascii="Arial"/>
          <w:sz w:val="21"/>
        </w:rPr>
      </w:pPr>
      <w:r/>
    </w:p>
    <w:p>
      <w:pPr>
        <w:pStyle w:val="BodyText"/>
        <w:ind w:left="3" w:right="101" w:firstLine="425"/>
        <w:spacing w:before="65" w:line="287" w:lineRule="auto"/>
        <w:outlineLvl w:val="0"/>
        <w:rPr/>
      </w:pPr>
      <w:r>
        <w:rPr>
          <w:spacing w:val="6"/>
        </w:rPr>
        <w:t>突出以城带乡、以工促农，建立市、县财</w:t>
      </w:r>
      <w:r>
        <w:rPr>
          <w:spacing w:val="7"/>
        </w:rPr>
        <w:t>政支持城乡融合发展机制，建立城乡基础设施</w:t>
      </w:r>
    </w:p>
    <w:p>
      <w:pPr>
        <w:pStyle w:val="BodyText"/>
        <w:ind w:left="1" w:right="36" w:firstLine="8"/>
        <w:spacing w:before="135" w:line="352" w:lineRule="auto"/>
        <w:jc w:val="both"/>
        <w:rPr/>
      </w:pPr>
      <w:r>
        <w:rPr>
          <w:spacing w:val="6"/>
        </w:rPr>
        <w:t>和公共服务设施互联互通、共建共享机制，推</w:t>
      </w:r>
      <w:r>
        <w:rPr/>
        <w:t>进城乡产业发展、基础设施、公共服务一体化，</w:t>
      </w:r>
      <w:r>
        <w:rPr>
          <w:spacing w:val="16"/>
        </w:rPr>
        <w:t>促进城乡生产要素双向自</w:t>
      </w:r>
      <w:r>
        <w:rPr>
          <w:spacing w:val="-58"/>
        </w:rPr>
        <w:t xml:space="preserve"> </w:t>
      </w:r>
      <w:r>
        <w:rPr>
          <w:spacing w:val="16"/>
        </w:rPr>
        <w:t>由流动和公共资源</w:t>
      </w:r>
      <w:r>
        <w:rPr>
          <w:spacing w:val="7"/>
        </w:rPr>
        <w:t>合理配置。</w:t>
      </w:r>
    </w:p>
    <w:p>
      <w:pPr>
        <w:pStyle w:val="BodyText"/>
        <w:ind w:left="12" w:right="101" w:firstLine="411"/>
        <w:spacing w:before="2" w:line="285" w:lineRule="auto"/>
        <w:outlineLvl w:val="0"/>
        <w:rPr/>
      </w:pPr>
      <w:r>
        <w:rPr>
          <w:spacing w:val="6"/>
        </w:rPr>
        <w:t>加快引导资源要素双向自由流动。健全城</w:t>
      </w:r>
      <w:r>
        <w:rPr>
          <w:spacing w:val="6"/>
        </w:rPr>
        <w:t>乡融合发展机制，坚决破除妨碍城乡要素自由</w:t>
      </w:r>
    </w:p>
    <w:p>
      <w:pPr>
        <w:pStyle w:val="BodyText"/>
        <w:ind w:right="20" w:firstLine="8"/>
        <w:spacing w:before="133" w:line="351" w:lineRule="auto"/>
        <w:jc w:val="both"/>
        <w:rPr/>
      </w:pPr>
      <w:r>
        <w:rPr>
          <w:spacing w:val="7"/>
        </w:rPr>
        <w:t>流动和平等交换的机制壁垒，推进城乡间要素</w:t>
      </w:r>
      <w:r>
        <w:rPr>
          <w:spacing w:val="7"/>
        </w:rPr>
        <w:t>自由流动。深入实施“引凤还巢”工程，制定</w:t>
      </w:r>
      <w:r>
        <w:rPr>
          <w:spacing w:val="7"/>
        </w:rPr>
        <w:t>完善财政、金融、创业就业、社会保障等激励</w:t>
      </w:r>
      <w:r>
        <w:rPr>
          <w:spacing w:val="7"/>
        </w:rPr>
        <w:t>政策，吸引高校毕业生、外出农民工、退伍军</w:t>
      </w:r>
      <w:r>
        <w:rPr>
          <w:spacing w:val="7"/>
        </w:rPr>
        <w:t>人、科技人员及经商人员等各类人才返乡创新</w:t>
      </w:r>
      <w:r>
        <w:rPr>
          <w:spacing w:val="7"/>
        </w:rPr>
        <w:t>创业，引导和支持党政干部、企业家等参与乡</w:t>
      </w:r>
      <w:r>
        <w:rPr>
          <w:spacing w:val="7"/>
        </w:rPr>
        <w:t>村振兴。健全投入保障机制，建立市、县财政</w:t>
      </w:r>
      <w:r>
        <w:rPr>
          <w:spacing w:val="7"/>
        </w:rPr>
        <w:t>支持城乡融合发展及相关平台载体，加大支持</w:t>
      </w:r>
      <w:r>
        <w:rPr>
          <w:spacing w:val="11"/>
        </w:rPr>
        <w:t>农业农村投入力度；实施“引银入固”工程，</w:t>
      </w:r>
      <w:r>
        <w:rPr>
          <w:spacing w:val="7"/>
        </w:rPr>
        <w:t>完善乡村金融服务体系，建立健全农业信贷担</w:t>
      </w:r>
      <w:r>
        <w:rPr>
          <w:spacing w:val="7"/>
        </w:rPr>
        <w:t>保体系，把更多的金融资源配置到乡村，切实</w:t>
      </w:r>
      <w:r>
        <w:rPr>
          <w:spacing w:val="7"/>
        </w:rPr>
        <w:t>解决农业经营主体融资难融资贵问题。开展工</w:t>
      </w:r>
      <w:r>
        <w:rPr>
          <w:spacing w:val="7"/>
        </w:rPr>
        <w:t>商资本入乡发展试点，支持引导工商资本和金</w:t>
      </w:r>
      <w:r>
        <w:rPr>
          <w:spacing w:val="7"/>
        </w:rPr>
        <w:t>融资本入乡发展，培育一批城乡融合发展重点</w:t>
      </w:r>
      <w:r>
        <w:rPr>
          <w:spacing w:val="15"/>
        </w:rPr>
        <w:t>项目</w:t>
      </w:r>
      <w:r>
        <w:rPr>
          <w:spacing w:val="-38"/>
        </w:rPr>
        <w:t xml:space="preserve"> </w:t>
      </w:r>
      <w:r>
        <w:rPr>
          <w:spacing w:val="15"/>
        </w:rPr>
        <w:t>，形成承载城乡要素跨界配置的有效载</w:t>
      </w:r>
      <w:r>
        <w:rPr>
          <w:spacing w:val="1"/>
        </w:rPr>
        <w:t>体。鼓励高校、科研院所等单位科技人员领办、</w:t>
      </w:r>
      <w:r>
        <w:rPr>
          <w:spacing w:val="7"/>
        </w:rPr>
        <w:t>创办、协办科技型实体，建立农业科技人员到</w:t>
      </w:r>
      <w:r>
        <w:rPr>
          <w:spacing w:val="7"/>
        </w:rPr>
        <w:t>乡村和涉农企业兼职兼薪、离岗创业和技术入</w:t>
      </w:r>
      <w:r>
        <w:rPr>
          <w:spacing w:val="9"/>
        </w:rPr>
        <w:t>股制度，推动科技成果入乡转化。</w:t>
      </w:r>
    </w:p>
    <w:p>
      <w:pPr>
        <w:pStyle w:val="BodyText"/>
        <w:ind w:left="10" w:right="101" w:firstLine="414"/>
        <w:spacing w:before="2" w:line="285" w:lineRule="auto"/>
        <w:outlineLvl w:val="0"/>
        <w:rPr/>
      </w:pPr>
      <w:r>
        <w:rPr>
          <w:spacing w:val="6"/>
        </w:rPr>
        <w:t>推进城乡基础设施一体化。建立健全有利</w:t>
      </w:r>
      <w:r>
        <w:rPr>
          <w:spacing w:val="6"/>
        </w:rPr>
        <w:t>于城乡基础设施统一规划、统一建设、统一管</w:t>
      </w:r>
    </w:p>
    <w:p>
      <w:pPr>
        <w:pStyle w:val="BodyText"/>
        <w:ind w:left="4" w:right="18" w:firstLine="2"/>
        <w:spacing w:before="141" w:line="313" w:lineRule="auto"/>
        <w:jc w:val="both"/>
        <w:rPr/>
      </w:pPr>
      <w:r>
        <w:rPr>
          <w:spacing w:val="1"/>
        </w:rPr>
        <w:t>护一体化发展的体制机制，以市、县域为整体，</w:t>
      </w:r>
      <w:r>
        <w:rPr>
          <w:spacing w:val="1"/>
        </w:rPr>
        <w:t>统筹设计城乡路网和水、电、讯、广电、污水、</w:t>
      </w:r>
      <w:r>
        <w:rPr>
          <w:spacing w:val="7"/>
        </w:rPr>
        <w:t>垃圾处理等城乡基础设施，推进城镇基础设施</w:t>
      </w:r>
    </w:p>
    <w:p>
      <w:pPr>
        <w:spacing w:line="313" w:lineRule="auto"/>
        <w:sectPr>
          <w:type w:val="continuous"/>
          <w:pgSz w:w="11906" w:h="16839"/>
          <w:pgMar w:top="1793" w:right="1489" w:bottom="1673" w:left="1565" w:header="1428" w:footer="1277" w:gutter="0"/>
          <w:cols w:equalWidth="0" w:num="2">
            <w:col w:w="4502" w:space="100"/>
            <w:col w:w="4251" w:space="0"/>
          </w:cols>
        </w:sectPr>
        <w:rPr/>
      </w:pPr>
    </w:p>
    <w:p>
      <w:pPr>
        <w:spacing w:before="36"/>
        <w:rPr/>
      </w:pPr>
      <w:r/>
    </w:p>
    <w:p>
      <w:pPr>
        <w:sectPr>
          <w:headerReference w:type="default" r:id="rId224"/>
          <w:footerReference w:type="default" r:id="rId225"/>
          <w:pgSz w:w="11906" w:h="16839"/>
          <w:pgMar w:top="1793" w:right="1523" w:bottom="1570" w:left="1526" w:header="1428" w:footer="1172" w:gutter="0"/>
          <w:cols w:equalWidth="0" w:num="1">
            <w:col w:w="8857" w:space="0"/>
          </w:cols>
        </w:sectPr>
        <w:rPr/>
      </w:pPr>
    </w:p>
    <w:p>
      <w:pPr>
        <w:pStyle w:val="BodyText"/>
        <w:ind w:left="65" w:right="252" w:firstLine="22"/>
        <w:spacing w:before="38" w:line="351" w:lineRule="auto"/>
        <w:jc w:val="both"/>
        <w:rPr/>
      </w:pPr>
      <w:r>
        <w:rPr>
          <w:spacing w:val="6"/>
        </w:rPr>
        <w:t>向城市郊区乡村和规模较大重点镇延伸，加快</w:t>
      </w:r>
      <w:r>
        <w:rPr>
          <w:spacing w:val="7"/>
        </w:rPr>
        <w:t>形成城乡快捷互通、协调联动、功能完善的网</w:t>
      </w:r>
      <w:r>
        <w:rPr>
          <w:spacing w:val="7"/>
        </w:rPr>
        <w:t>络体系。完善城乡基础设施分级分类投入建设</w:t>
      </w:r>
      <w:r>
        <w:rPr>
          <w:spacing w:val="7"/>
        </w:rPr>
        <w:t>机制，明确乡村基础设施的公共产品定位，加</w:t>
      </w:r>
      <w:r>
        <w:rPr>
          <w:spacing w:val="7"/>
        </w:rPr>
        <w:t>大政府对公益性项目的投入，引导社会资本投</w:t>
      </w:r>
      <w:r>
        <w:rPr>
          <w:spacing w:val="7"/>
        </w:rPr>
        <w:t>资经营性的基础设施，支持有条件的县（</w:t>
      </w:r>
      <w:r>
        <w:rPr>
          <w:spacing w:val="-42"/>
        </w:rPr>
        <w:t xml:space="preserve"> </w:t>
      </w:r>
      <w:r>
        <w:rPr>
          <w:spacing w:val="7"/>
        </w:rPr>
        <w:t>区）</w:t>
      </w:r>
      <w:r>
        <w:rPr>
          <w:spacing w:val="7"/>
        </w:rPr>
        <w:t>将城乡基础设施项目整体打包，实行一体化开</w:t>
      </w:r>
      <w:r>
        <w:rPr>
          <w:spacing w:val="7"/>
        </w:rPr>
        <w:t>发建设。推动城乡基础设施一体化管理，明确</w:t>
      </w:r>
      <w:r>
        <w:rPr>
          <w:spacing w:val="7"/>
        </w:rPr>
        <w:t>乡村基础设施产权归属，落实产权所有者管护</w:t>
      </w:r>
      <w:r>
        <w:rPr>
          <w:spacing w:val="7"/>
        </w:rPr>
        <w:t>责任，推进城市基础设施建设运营事业单位改</w:t>
      </w:r>
      <w:r>
        <w:rPr>
          <w:spacing w:val="7"/>
        </w:rPr>
        <w:t>革，建立独立核算、自主经营的企业化管理模</w:t>
      </w:r>
      <w:r>
        <w:rPr>
          <w:spacing w:val="7"/>
        </w:rPr>
        <w:t>式，逐步建立完善城乡供水一体化、环卫一体</w:t>
      </w:r>
      <w:r>
        <w:rPr>
          <w:spacing w:val="1"/>
        </w:rPr>
        <w:t>化、农村污水治理、无害化卫生厕所管养体系。</w:t>
      </w:r>
      <w:r>
        <w:rPr>
          <w:spacing w:val="4"/>
        </w:rPr>
        <w:t>到</w:t>
      </w:r>
      <w:r>
        <w:rPr>
          <w:spacing w:val="-36"/>
        </w:rPr>
        <w:t xml:space="preserve"> </w:t>
      </w:r>
      <w:r>
        <w:rPr>
          <w:spacing w:val="4"/>
        </w:rPr>
        <w:t>2025</w:t>
      </w:r>
      <w:r>
        <w:rPr>
          <w:spacing w:val="-39"/>
        </w:rPr>
        <w:t xml:space="preserve"> </w:t>
      </w:r>
      <w:r>
        <w:rPr>
          <w:spacing w:val="4"/>
        </w:rPr>
        <w:t>年，实现农村</w:t>
      </w:r>
      <w:r>
        <w:rPr>
          <w:spacing w:val="-38"/>
        </w:rPr>
        <w:t xml:space="preserve"> </w:t>
      </w:r>
      <w:r>
        <w:rPr>
          <w:spacing w:val="4"/>
        </w:rPr>
        <w:t>5G</w:t>
      </w:r>
      <w:r>
        <w:rPr>
          <w:spacing w:val="-24"/>
        </w:rPr>
        <w:t xml:space="preserve"> </w:t>
      </w:r>
      <w:r>
        <w:rPr>
          <w:spacing w:val="4"/>
        </w:rPr>
        <w:t>网络全覆盖，农村卫</w:t>
      </w:r>
      <w:r>
        <w:rPr>
          <w:spacing w:val="7"/>
        </w:rPr>
        <w:t>生厕所覆盖率、农村垃圾治理率和污水处理率</w:t>
      </w:r>
      <w:r>
        <w:rPr>
          <w:spacing w:val="18"/>
        </w:rPr>
        <w:t>分别达到</w:t>
      </w:r>
      <w:r>
        <w:rPr>
          <w:spacing w:val="-38"/>
        </w:rPr>
        <w:t xml:space="preserve"> </w:t>
      </w:r>
      <w:r>
        <w:rPr>
          <w:spacing w:val="18"/>
        </w:rPr>
        <w:t>85%、95%和</w:t>
      </w:r>
      <w:r>
        <w:rPr>
          <w:spacing w:val="-43"/>
        </w:rPr>
        <w:t xml:space="preserve"> </w:t>
      </w:r>
      <w:r>
        <w:rPr>
          <w:spacing w:val="18"/>
        </w:rPr>
        <w:t>40%。</w:t>
      </w:r>
    </w:p>
    <w:p>
      <w:pPr>
        <w:pStyle w:val="BodyText"/>
        <w:ind w:left="485"/>
        <w:spacing w:line="219" w:lineRule="auto"/>
        <w:rPr/>
      </w:pPr>
      <w:r>
        <w:rPr>
          <w:spacing w:val="7"/>
        </w:rPr>
        <w:t>促进城乡公共资源均衡配置。均衡配置城</w:t>
      </w:r>
    </w:p>
    <w:p>
      <w:pPr>
        <w:pStyle w:val="BodyText"/>
        <w:ind w:left="75"/>
        <w:spacing w:before="141" w:line="222" w:lineRule="auto"/>
        <w:outlineLvl w:val="0"/>
        <w:rPr/>
      </w:pPr>
      <w:r>
        <w:rPr>
          <w:spacing w:val="6"/>
        </w:rPr>
        <w:t>乡教育资源，切实办好乡村小规模学校、乡镇</w:t>
      </w:r>
    </w:p>
    <w:p>
      <w:pPr>
        <w:spacing w:line="14" w:lineRule="auto"/>
        <w:rPr>
          <w:rFonts w:ascii="Arial"/>
          <w:sz w:val="2"/>
        </w:rPr>
      </w:pPr>
      <w:r>
        <w:rPr>
          <w:rFonts w:ascii="Arial" w:hAnsi="Arial" w:eastAsia="Arial" w:cs="Arial"/>
          <w:sz w:val="2"/>
          <w:szCs w:val="2"/>
        </w:rPr>
        <w:br w:type="column"/>
      </w:r>
    </w:p>
    <w:p>
      <w:pPr>
        <w:pStyle w:val="BodyText"/>
        <w:ind w:firstLine="6"/>
        <w:spacing w:before="33" w:line="351" w:lineRule="auto"/>
        <w:jc w:val="both"/>
        <w:rPr/>
      </w:pPr>
      <w:r>
        <w:rPr>
          <w:spacing w:val="7"/>
        </w:rPr>
        <w:t>寄宿制学校，推动教师资源向乡村倾斜，落实</w:t>
      </w:r>
      <w:r>
        <w:rPr>
          <w:spacing w:val="7"/>
        </w:rPr>
        <w:t>乡村教师补充机制和教师待遇增长机制，实行</w:t>
      </w:r>
      <w:r>
        <w:rPr>
          <w:spacing w:val="7"/>
        </w:rPr>
        <w:t>义务教育学校“县管校聘”，推进县域内校长</w:t>
      </w:r>
      <w:r>
        <w:rPr>
          <w:spacing w:val="7"/>
        </w:rPr>
        <w:t>教师交流轮岗，推行集团化办学和城乡教育共</w:t>
      </w:r>
      <w:r>
        <w:rPr>
          <w:spacing w:val="7"/>
        </w:rPr>
        <w:t>同体，加大在线互动课堂建设，大力发展乡村</w:t>
      </w:r>
      <w:r>
        <w:rPr>
          <w:spacing w:val="7"/>
        </w:rPr>
        <w:t>普惠性学前教育，确保乡村学生享受到优质教</w:t>
      </w:r>
      <w:r>
        <w:rPr>
          <w:spacing w:val="7"/>
        </w:rPr>
        <w:t>育资源。健全乡村卫生服务体系，改造提升乡</w:t>
      </w:r>
      <w:r>
        <w:rPr>
          <w:spacing w:val="7"/>
        </w:rPr>
        <w:t>镇卫生院和社区、村卫生室，缩小城乡卫生资</w:t>
      </w:r>
      <w:r>
        <w:rPr>
          <w:spacing w:val="15"/>
        </w:rPr>
        <w:t>源配置差距</w:t>
      </w:r>
      <w:r>
        <w:rPr>
          <w:spacing w:val="-39"/>
        </w:rPr>
        <w:t xml:space="preserve"> </w:t>
      </w:r>
      <w:r>
        <w:rPr>
          <w:spacing w:val="15"/>
        </w:rPr>
        <w:t>，推动职称评定和工资待遇向社</w:t>
      </w:r>
      <w:r>
        <w:rPr/>
        <w:t>区、乡村医生倾斜，增加基层医务人员吸引力；</w:t>
      </w:r>
      <w:r>
        <w:rPr>
          <w:spacing w:val="7"/>
        </w:rPr>
        <w:t>鼓励县医院与乡镇卫生院建立县域医共体，大</w:t>
      </w:r>
      <w:r>
        <w:rPr>
          <w:spacing w:val="7"/>
        </w:rPr>
        <w:t>力开展巡回医疗、远程诊疗服务，全面落实农</w:t>
      </w:r>
      <w:r>
        <w:rPr>
          <w:spacing w:val="7"/>
        </w:rPr>
        <w:t>村家庭医生签约服务，实现优质医疗资源在城</w:t>
      </w:r>
      <w:r>
        <w:rPr>
          <w:spacing w:val="7"/>
        </w:rPr>
        <w:t>乡间共享。提升乡村公共文化服务水平，发挥</w:t>
      </w:r>
      <w:r>
        <w:rPr>
          <w:spacing w:val="7"/>
        </w:rPr>
        <w:t>好乡村文化广场、农家书屋、文化大院等引领</w:t>
      </w:r>
      <w:r>
        <w:rPr>
          <w:spacing w:val="7"/>
        </w:rPr>
        <w:t>服务功能。完善城乡统一的社会保险制度，实</w:t>
      </w:r>
      <w:r>
        <w:rPr>
          <w:spacing w:val="7"/>
        </w:rPr>
        <w:t>施城乡管理领域全方位对接，加强城乡社会保</w:t>
      </w:r>
      <w:r>
        <w:rPr>
          <w:spacing w:val="7"/>
        </w:rPr>
        <w:t>障制度衔接。</w:t>
      </w:r>
    </w:p>
    <w:p>
      <w:pPr>
        <w:spacing w:line="351" w:lineRule="auto"/>
        <w:sectPr>
          <w:type w:val="continuous"/>
          <w:pgSz w:w="11906" w:h="16839"/>
          <w:pgMar w:top="1793" w:right="1523" w:bottom="1570" w:left="1526" w:header="1428" w:footer="1172" w:gutter="0"/>
          <w:cols w:equalWidth="0" w:num="2">
            <w:col w:w="4542" w:space="100"/>
            <w:col w:w="4215" w:space="0"/>
          </w:cols>
        </w:sectPr>
        <w:rPr/>
      </w:pPr>
    </w:p>
    <w:p>
      <w:pPr>
        <w:ind w:left="3094"/>
        <w:spacing w:before="106" w:line="187" w:lineRule="auto"/>
        <w:outlineLvl w:val="0"/>
        <w:rPr>
          <w:rFonts w:ascii="Microsoft YaHei" w:hAnsi="Microsoft YaHei" w:eastAsia="Microsoft YaHei" w:cs="Microsoft YaHei"/>
          <w:sz w:val="20"/>
          <w:szCs w:val="20"/>
        </w:rPr>
      </w:pPr>
      <w:r>
        <w:drawing>
          <wp:anchor distT="0" distB="0" distL="0" distR="0" simplePos="0" relativeHeight="251805696" behindDoc="0" locked="0" layoutInCell="1" allowOverlap="1">
            <wp:simplePos x="0" y="0"/>
            <wp:positionH relativeFrom="column">
              <wp:posOffset>39242</wp:posOffset>
            </wp:positionH>
            <wp:positionV relativeFrom="paragraph">
              <wp:posOffset>-4520089</wp:posOffset>
            </wp:positionV>
            <wp:extent cx="5579745" cy="7619"/>
            <wp:effectExtent l="0" t="0" r="0" b="0"/>
            <wp:wrapNone/>
            <wp:docPr id="448" name="IM 448"/>
            <wp:cNvGraphicFramePr/>
            <a:graphic>
              <a:graphicData uri="http://schemas.openxmlformats.org/drawingml/2006/picture">
                <pic:pic>
                  <pic:nvPicPr>
                    <pic:cNvPr id="448" name="IM 448"/>
                    <pic:cNvPicPr/>
                  </pic:nvPicPr>
                  <pic:blipFill>
                    <a:blip r:embed="rId226"/>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6"/>
        </w:rPr>
        <w:t>专栏 9</w:t>
      </w:r>
      <w:r>
        <w:rPr>
          <w:rFonts w:ascii="Microsoft YaHei" w:hAnsi="Microsoft YaHei" w:eastAsia="Microsoft YaHei" w:cs="Microsoft YaHei"/>
          <w:sz w:val="20"/>
          <w:szCs w:val="20"/>
          <w:spacing w:val="16"/>
          <w:w w:val="101"/>
        </w:rPr>
        <w:t xml:space="preserve">   </w:t>
      </w:r>
      <w:r>
        <w:rPr>
          <w:rFonts w:ascii="Microsoft YaHei" w:hAnsi="Microsoft YaHei" w:eastAsia="Microsoft YaHei" w:cs="Microsoft YaHei"/>
          <w:sz w:val="20"/>
          <w:szCs w:val="20"/>
          <w:spacing w:val="6"/>
        </w:rPr>
        <w:t>新型城镇化重点项目工程</w:t>
      </w:r>
    </w:p>
    <w:tbl>
      <w:tblPr>
        <w:tblStyle w:val="TableNormal"/>
        <w:tblW w:w="8848" w:type="dxa"/>
        <w:tblInd w:w="2" w:type="dxa"/>
        <w:tblLayout w:type="fixed"/>
        <w:tblBorders>
          <w:left w:val="single" w:color="000000" w:sz="2" w:space="0"/>
          <w:bottom w:val="single" w:color="000000" w:sz="2" w:space="0"/>
          <w:right w:val="single" w:color="000000" w:sz="2" w:space="0"/>
          <w:top w:val="single" w:color="000000" w:sz="2" w:space="0"/>
        </w:tblBorders>
      </w:tblPr>
      <w:tblGrid>
        <w:gridCol w:w="8848"/>
      </w:tblGrid>
      <w:tr>
        <w:trPr>
          <w:trHeight w:val="5341" w:hRule="atLeast"/>
        </w:trPr>
        <w:tc>
          <w:tcPr>
            <w:tcW w:w="8848" w:type="dxa"/>
            <w:vAlign w:val="top"/>
          </w:tcPr>
          <w:p>
            <w:pPr>
              <w:pStyle w:val="TableText"/>
              <w:ind w:left="110" w:right="95" w:firstLine="439"/>
              <w:spacing w:before="58" w:line="243" w:lineRule="auto"/>
              <w:rPr/>
            </w:pPr>
            <w:r>
              <w:rPr>
                <w:b/>
                <w:bCs/>
                <w:spacing w:val="-2"/>
              </w:rPr>
              <w:t>1.城市老旧小区改造项目</w:t>
            </w:r>
            <w:r>
              <w:rPr>
                <w:spacing w:val="-2"/>
              </w:rPr>
              <w:t>：改造棚户区住房6000套，改造2005年以前建成的老旧小区40个，配套消防</w:t>
            </w:r>
            <w:r>
              <w:rPr>
                <w:spacing w:val="-3"/>
              </w:rPr>
              <w:t>等设</w:t>
            </w:r>
            <w:r>
              <w:rPr>
                <w:spacing w:val="-1"/>
              </w:rPr>
              <w:t>施设备。</w:t>
            </w:r>
          </w:p>
          <w:p>
            <w:pPr>
              <w:pStyle w:val="TableText"/>
              <w:ind w:left="110" w:right="99" w:firstLine="355"/>
              <w:spacing w:before="45" w:line="262" w:lineRule="auto"/>
              <w:rPr/>
            </w:pPr>
            <w:r>
              <w:rPr>
                <w:b/>
                <w:bCs/>
                <w:spacing w:val="-1"/>
              </w:rPr>
              <w:t>2.市政基础设施建设工程：</w:t>
            </w:r>
            <w:r>
              <w:rPr>
                <w:spacing w:val="-1"/>
              </w:rPr>
              <w:t>实施供水提升改造、城市供气、城市供热、城市供水管网配套项目，新建城市</w:t>
            </w:r>
            <w:r>
              <w:rPr/>
              <w:t>供热主管网延伸、县城供热等项目，新建城市道路24公里，改造城市道路37公里</w:t>
            </w:r>
            <w:r>
              <w:rPr>
                <w:spacing w:val="-1"/>
              </w:rPr>
              <w:t>，新增健康步道和自行车专用</w:t>
            </w:r>
            <w:r>
              <w:rPr/>
              <w:t>到33公里。实施西兰银物流园区排水防涝建设和污水管网疏浚，新建雨水管网83公里，改造</w:t>
            </w:r>
            <w:r>
              <w:rPr>
                <w:spacing w:val="-1"/>
              </w:rPr>
              <w:t>污水管网40公里。</w:t>
            </w:r>
            <w:r>
              <w:rPr>
                <w:spacing w:val="-1"/>
              </w:rPr>
              <w:t>新建城市停车场7座、公厕及垃圾中转站10座。</w:t>
            </w:r>
          </w:p>
          <w:p>
            <w:pPr>
              <w:pStyle w:val="TableText"/>
              <w:ind w:left="111" w:right="99" w:firstLine="356"/>
              <w:spacing w:before="4" w:line="265" w:lineRule="auto"/>
              <w:rPr/>
            </w:pPr>
            <w:r>
              <w:rPr>
                <w:b/>
                <w:bCs/>
                <w:spacing w:val="-1"/>
              </w:rPr>
              <w:t>3.城乡安全供热项目</w:t>
            </w:r>
            <w:r>
              <w:rPr>
                <w:sz w:val="8"/>
                <w:szCs w:val="8"/>
                <w:b/>
                <w:bCs/>
                <w:spacing w:val="-1"/>
                <w:position w:val="9"/>
              </w:rPr>
              <w:t>#</w:t>
            </w:r>
            <w:r>
              <w:rPr>
                <w:b/>
                <w:bCs/>
                <w:spacing w:val="-1"/>
              </w:rPr>
              <w:t>：</w:t>
            </w:r>
            <w:r>
              <w:rPr>
                <w:spacing w:val="-1"/>
              </w:rPr>
              <w:t>实施六盘山热电厂智慧供热节能系统</w:t>
            </w:r>
            <w:r>
              <w:rPr>
                <w:spacing w:val="-2"/>
              </w:rPr>
              <w:t>的研究和应用、正祥供热公司天然气供热、固</w:t>
            </w:r>
            <w:r>
              <w:rPr/>
              <w:t>原市城市集中供热热源、泾源县集中供热锅炉房迁建及供热管网改扩建</w:t>
            </w:r>
            <w:r>
              <w:rPr>
                <w:spacing w:val="-1"/>
              </w:rPr>
              <w:t>等项目，加快建设市、县集中供热热源</w:t>
            </w:r>
            <w:r>
              <w:rPr/>
              <w:t>项目，同时推进空气动力源电力取暖设备改造、天然气热源站建设等项目，保障城乡</w:t>
            </w:r>
            <w:r>
              <w:rPr>
                <w:spacing w:val="-1"/>
              </w:rPr>
              <w:t>安全供热。</w:t>
            </w:r>
          </w:p>
          <w:p>
            <w:pPr>
              <w:pStyle w:val="TableText"/>
              <w:ind w:left="112" w:right="102" w:firstLine="360"/>
              <w:spacing w:before="19" w:line="250" w:lineRule="auto"/>
              <w:rPr/>
            </w:pPr>
            <w:r>
              <w:rPr>
                <w:b/>
                <w:bCs/>
                <w:spacing w:val="-1"/>
              </w:rPr>
              <w:t>4.城市品质提升工程：</w:t>
            </w:r>
            <w:r>
              <w:rPr>
                <w:spacing w:val="-1"/>
              </w:rPr>
              <w:t>实施古雁岭、长城梁、九龙山、城市生态修复，建设火车站广场、金城绿地公园等</w:t>
            </w:r>
            <w:r>
              <w:rPr>
                <w:spacing w:val="2"/>
              </w:rPr>
              <w:t>绿地广场，开展城市“双修”和特色风貌塑造，实施固</w:t>
            </w:r>
            <w:r>
              <w:rPr>
                <w:spacing w:val="1"/>
              </w:rPr>
              <w:t>原市回字形内城墙遗址外轮廓恢复工程、文化街-博物</w:t>
            </w:r>
            <w:r>
              <w:rPr/>
              <w:t>馆街区、魁星楼-城隍庙等历史建筑片区保护利用工程。</w:t>
            </w:r>
          </w:p>
          <w:p>
            <w:pPr>
              <w:pStyle w:val="TableText"/>
              <w:ind w:left="111" w:right="99" w:firstLine="354"/>
              <w:spacing w:before="31" w:line="266" w:lineRule="auto"/>
              <w:rPr/>
            </w:pPr>
            <w:r>
              <w:rPr>
                <w:b/>
                <w:bCs/>
                <w:spacing w:val="-1"/>
              </w:rPr>
              <w:t>5.全市域海绵城市推广项目</w:t>
            </w:r>
            <w:r>
              <w:rPr>
                <w:sz w:val="8"/>
                <w:szCs w:val="8"/>
                <w:b/>
                <w:bCs/>
                <w:spacing w:val="-1"/>
                <w:position w:val="9"/>
              </w:rPr>
              <w:t>#</w:t>
            </w:r>
            <w:r>
              <w:rPr>
                <w:b/>
                <w:bCs/>
                <w:spacing w:val="-1"/>
              </w:rPr>
              <w:t>：</w:t>
            </w:r>
            <w:r>
              <w:rPr>
                <w:spacing w:val="-1"/>
              </w:rPr>
              <w:t>在四县一区全面开展</w:t>
            </w:r>
            <w:r>
              <w:rPr>
                <w:spacing w:val="-2"/>
              </w:rPr>
              <w:t>海绵城市建设，老城区结合老旧小区改造实施海绵化改</w:t>
            </w:r>
            <w:r>
              <w:rPr/>
              <w:t>造，实施雨污分流改造、海绵型道路与广场建设、海绵型公园与绿地建</w:t>
            </w:r>
            <w:r>
              <w:rPr>
                <w:spacing w:val="-1"/>
              </w:rPr>
              <w:t>设、河道系统综合整治与湿地水体的自</w:t>
            </w:r>
            <w:r>
              <w:rPr/>
              <w:t>然形态保护和恢复，逐步实现小雨不积水、大雨不内涝、水体不黑臭、热岛</w:t>
            </w:r>
            <w:r>
              <w:rPr>
                <w:spacing w:val="-1"/>
              </w:rPr>
              <w:t>有缓解，重塑健康自然的弯曲河岸</w:t>
            </w:r>
            <w:r>
              <w:rPr>
                <w:spacing w:val="1"/>
              </w:rPr>
              <w:t>线，恢复自然生态。2025年市区全部建成海绵城市，2030年县城建成区面积80%以上达到海绵城</w:t>
            </w:r>
            <w:r>
              <w:rPr/>
              <w:t>市。</w:t>
            </w:r>
          </w:p>
          <w:p>
            <w:pPr>
              <w:pStyle w:val="TableText"/>
              <w:ind w:left="112" w:right="99" w:firstLine="353"/>
              <w:spacing w:before="20" w:line="242" w:lineRule="auto"/>
              <w:rPr/>
            </w:pPr>
            <w:r>
              <w:rPr>
                <w:b/>
                <w:bCs/>
              </w:rPr>
              <w:t>6.县城补短板强弱项项目</w:t>
            </w:r>
            <w:r>
              <w:rPr/>
              <w:t>：实施县城公共设</w:t>
            </w:r>
            <w:r>
              <w:rPr>
                <w:spacing w:val="-1"/>
              </w:rPr>
              <w:t>施和服务能力提升、公共服务设施提标扩面、环境卫生设施提</w:t>
            </w:r>
            <w:r>
              <w:rPr/>
              <w:t>级扩能、公用设施提档升级四大类项目，推进农业转移人口就地</w:t>
            </w:r>
            <w:r>
              <w:rPr>
                <w:spacing w:val="-1"/>
              </w:rPr>
              <w:t>就近城镇化。</w:t>
            </w:r>
          </w:p>
          <w:p>
            <w:pPr>
              <w:pStyle w:val="TableText"/>
              <w:ind w:left="113" w:right="28" w:firstLine="360"/>
              <w:spacing w:before="46" w:line="258" w:lineRule="auto"/>
              <w:rPr/>
            </w:pPr>
            <w:r>
              <w:rPr>
                <w:b/>
                <w:bCs/>
                <w:spacing w:val="-3"/>
              </w:rPr>
              <w:t>7.重点小城镇建设项目</w:t>
            </w:r>
            <w:r>
              <w:rPr>
                <w:spacing w:val="-3"/>
              </w:rPr>
              <w:t>：聚焦小城镇主导产业，突出特色服务，围绕培育商贸物流、文化旅游、资源加工、</w:t>
            </w:r>
            <w:r>
              <w:rPr/>
              <w:t>特色产业型小城镇，续建、新建三营、兴隆、联财、六盘山、王洼等14个重点特</w:t>
            </w:r>
            <w:r>
              <w:rPr>
                <w:spacing w:val="-1"/>
              </w:rPr>
              <w:t>色小城镇建设项目。</w:t>
            </w:r>
          </w:p>
        </w:tc>
      </w:tr>
    </w:tbl>
    <w:p>
      <w:pPr>
        <w:ind w:left="433"/>
        <w:spacing w:before="158" w:line="164" w:lineRule="auto"/>
        <w:outlineLvl w:val="0"/>
        <w:rPr>
          <w:rFonts w:ascii="KaiTi" w:hAnsi="KaiTi" w:eastAsia="KaiTi" w:cs="KaiTi"/>
          <w:sz w:val="18"/>
          <w:szCs w:val="18"/>
        </w:rPr>
      </w:pPr>
      <w:r>
        <w:rPr>
          <w:rFonts w:ascii="Microsoft YaHei" w:hAnsi="Microsoft YaHei" w:eastAsia="Microsoft YaHei" w:cs="Microsoft YaHei"/>
          <w:sz w:val="18"/>
          <w:szCs w:val="18"/>
          <w:spacing w:val="-3"/>
        </w:rPr>
        <w:t>注</w:t>
      </w:r>
      <w:r>
        <w:rPr>
          <w:rFonts w:ascii="Microsoft YaHei" w:hAnsi="Microsoft YaHei" w:eastAsia="Microsoft YaHei" w:cs="Microsoft YaHei"/>
          <w:sz w:val="18"/>
          <w:szCs w:val="18"/>
          <w:spacing w:val="-9"/>
        </w:rPr>
        <w:t xml:space="preserve"> </w:t>
      </w:r>
      <w:r>
        <w:rPr>
          <w:rFonts w:ascii="Microsoft YaHei" w:hAnsi="Microsoft YaHei" w:eastAsia="Microsoft YaHei" w:cs="Microsoft YaHei"/>
          <w:sz w:val="18"/>
          <w:szCs w:val="18"/>
          <w:spacing w:val="-3"/>
        </w:rPr>
        <w:t>：</w:t>
      </w:r>
      <w:r>
        <w:rPr>
          <w:rFonts w:ascii="KaiTi" w:hAnsi="KaiTi" w:eastAsia="KaiTi" w:cs="KaiTi"/>
          <w:sz w:val="18"/>
          <w:szCs w:val="18"/>
          <w:spacing w:val="-3"/>
        </w:rPr>
        <w:t>项目名称右上角标“#”的为基础设施十大项</w:t>
      </w:r>
      <w:r>
        <w:rPr>
          <w:rFonts w:ascii="KaiTi" w:hAnsi="KaiTi" w:eastAsia="KaiTi" w:cs="KaiTi"/>
          <w:sz w:val="18"/>
          <w:szCs w:val="18"/>
          <w:spacing w:val="-47"/>
        </w:rPr>
        <w:t xml:space="preserve"> </w:t>
      </w:r>
      <w:r>
        <w:rPr>
          <w:rFonts w:ascii="KaiTi" w:hAnsi="KaiTi" w:eastAsia="KaiTi" w:cs="KaiTi"/>
          <w:sz w:val="18"/>
          <w:szCs w:val="18"/>
          <w:spacing w:val="-3"/>
        </w:rPr>
        <w:t>目。</w:t>
      </w:r>
    </w:p>
    <w:p>
      <w:pPr>
        <w:spacing w:line="164" w:lineRule="auto"/>
        <w:sectPr>
          <w:type w:val="continuous"/>
          <w:pgSz w:w="11906" w:h="16839"/>
          <w:pgMar w:top="1793" w:right="1523" w:bottom="1570" w:left="1526" w:header="1428" w:footer="1172" w:gutter="0"/>
          <w:cols w:equalWidth="0" w:num="1">
            <w:col w:w="8857" w:space="0"/>
          </w:cols>
        </w:sectPr>
        <w:rPr>
          <w:rFonts w:ascii="KaiTi" w:hAnsi="KaiTi" w:eastAsia="KaiTi" w:cs="KaiTi"/>
          <w:sz w:val="18"/>
          <w:szCs w:val="18"/>
        </w:rPr>
      </w:pPr>
    </w:p>
    <w:p>
      <w:pPr>
        <w:spacing w:before="38"/>
        <w:rPr/>
      </w:pPr>
      <w:r>
        <w:drawing>
          <wp:anchor distT="0" distB="0" distL="0" distR="0" simplePos="0" relativeHeight="251807744"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452" name="IM 452"/>
            <wp:cNvGraphicFramePr/>
            <a:graphic>
              <a:graphicData uri="http://schemas.openxmlformats.org/drawingml/2006/picture">
                <pic:pic>
                  <pic:nvPicPr>
                    <pic:cNvPr id="452" name="IM 452"/>
                    <pic:cNvPicPr/>
                  </pic:nvPicPr>
                  <pic:blipFill>
                    <a:blip r:embed="rId228"/>
                    <a:stretch>
                      <a:fillRect/>
                    </a:stretch>
                  </pic:blipFill>
                  <pic:spPr>
                    <a:xfrm rot="0">
                      <a:off x="0" y="0"/>
                      <a:ext cx="5579745" cy="7619"/>
                    </a:xfrm>
                    <a:prstGeom prst="rect">
                      <a:avLst/>
                    </a:prstGeom>
                  </pic:spPr>
                </pic:pic>
              </a:graphicData>
            </a:graphic>
          </wp:anchor>
        </w:drawing>
      </w:r>
      <w:r/>
    </w:p>
    <w:p>
      <w:pPr>
        <w:sectPr>
          <w:headerReference w:type="default" r:id="rId188"/>
          <w:footerReference w:type="default" r:id="rId227"/>
          <w:pgSz w:w="11906" w:h="16839"/>
          <w:pgMar w:top="1793" w:right="1489" w:bottom="1673" w:left="1565" w:header="1428" w:footer="1277" w:gutter="0"/>
          <w:cols w:equalWidth="0" w:num="1">
            <w:col w:w="8852" w:space="0"/>
          </w:cols>
        </w:sectPr>
        <w:rPr/>
      </w:pPr>
    </w:p>
    <w:p>
      <w:pPr>
        <w:ind w:left="324"/>
        <w:spacing w:before="58" w:line="181"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第七章</w:t>
      </w:r>
      <w:r>
        <w:rPr>
          <w:rFonts w:ascii="Microsoft YaHei" w:hAnsi="Microsoft YaHei" w:eastAsia="Microsoft YaHei" w:cs="Microsoft YaHei"/>
          <w:sz w:val="20"/>
          <w:szCs w:val="20"/>
          <w:spacing w:val="17"/>
        </w:rPr>
        <w:t xml:space="preserve">   </w:t>
      </w:r>
      <w:r>
        <w:rPr>
          <w:rFonts w:ascii="Microsoft YaHei" w:hAnsi="Microsoft YaHei" w:eastAsia="Microsoft YaHei" w:cs="Microsoft YaHei"/>
          <w:sz w:val="20"/>
          <w:szCs w:val="20"/>
          <w:spacing w:val="8"/>
        </w:rPr>
        <w:t>持续加强生态建设和环境保护</w:t>
      </w:r>
    </w:p>
    <w:p>
      <w:pPr>
        <w:ind w:left="747"/>
        <w:spacing w:before="141" w:line="182"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坚决守好改善生态环境生命线</w:t>
      </w:r>
    </w:p>
    <w:p>
      <w:pPr>
        <w:spacing w:line="468" w:lineRule="auto"/>
        <w:rPr>
          <w:rFonts w:ascii="Arial"/>
          <w:sz w:val="21"/>
        </w:rPr>
      </w:pPr>
      <w:r/>
    </w:p>
    <w:p>
      <w:pPr>
        <w:pStyle w:val="BodyText"/>
        <w:ind w:left="450"/>
        <w:spacing w:before="65" w:line="221" w:lineRule="auto"/>
        <w:rPr/>
      </w:pPr>
      <w:r>
        <w:rPr>
          <w:spacing w:val="1"/>
        </w:rPr>
        <w:t>牢固树立“绿水青山就是金山银山”理念，</w:t>
      </w:r>
    </w:p>
    <w:p>
      <w:pPr>
        <w:pStyle w:val="BodyText"/>
        <w:ind w:left="28"/>
        <w:spacing w:before="159" w:line="224" w:lineRule="auto"/>
        <w:outlineLvl w:val="0"/>
        <w:rPr/>
      </w:pPr>
      <w:r>
        <w:rPr>
          <w:spacing w:val="2"/>
        </w:rPr>
        <w:t>坚持生态保护、生态建设、生态治理三管齐</w:t>
      </w:r>
      <w:r>
        <w:rPr>
          <w:spacing w:val="1"/>
        </w:rPr>
        <w:t>下，</w:t>
      </w:r>
    </w:p>
    <w:p>
      <w:pPr>
        <w:pStyle w:val="BodyText"/>
        <w:ind w:left="26" w:right="322" w:firstLine="3"/>
        <w:spacing w:before="159" w:line="369" w:lineRule="auto"/>
        <w:jc w:val="both"/>
        <w:rPr/>
      </w:pPr>
      <w:r>
        <w:rPr>
          <w:spacing w:val="7"/>
        </w:rPr>
        <w:t>守好改善生态环境生命线，实行最严格的环境</w:t>
      </w:r>
      <w:r>
        <w:rPr>
          <w:spacing w:val="7"/>
        </w:rPr>
        <w:t>保护制度，发展绿色、低碳、循环经济，建设</w:t>
      </w:r>
      <w:r>
        <w:rPr>
          <w:spacing w:val="7"/>
        </w:rPr>
        <w:t>人与自然和谐共生的美丽家园，推进黄河流域</w:t>
      </w:r>
      <w:r>
        <w:rPr>
          <w:spacing w:val="7"/>
        </w:rPr>
        <w:t>生态保护和高质量发展先行区建设，打造天蓝</w:t>
      </w:r>
      <w:r>
        <w:rPr>
          <w:spacing w:val="8"/>
        </w:rPr>
        <w:t>水净地绿的美丽新固原。</w:t>
      </w:r>
    </w:p>
    <w:p>
      <w:pPr>
        <w:spacing w:line="332" w:lineRule="auto"/>
        <w:rPr>
          <w:rFonts w:ascii="Arial"/>
          <w:sz w:val="21"/>
        </w:rPr>
      </w:pPr>
      <w:r/>
    </w:p>
    <w:p>
      <w:pPr>
        <w:pStyle w:val="BodyText"/>
        <w:ind w:left="631"/>
        <w:spacing w:before="65" w:line="222" w:lineRule="auto"/>
        <w:outlineLvl w:val="0"/>
        <w:rPr/>
      </w:pPr>
      <w:r>
        <w:rPr>
          <w:b/>
          <w:bCs/>
          <w:spacing w:val="7"/>
        </w:rPr>
        <w:t>第一节</w:t>
      </w:r>
      <w:r>
        <w:rPr>
          <w:spacing w:val="7"/>
        </w:rPr>
        <w:t xml:space="preserve">  </w:t>
      </w:r>
      <w:r>
        <w:rPr>
          <w:b/>
          <w:bCs/>
          <w:spacing w:val="7"/>
        </w:rPr>
        <w:t>筑牢绿色生态安全屏障</w:t>
      </w:r>
    </w:p>
    <w:p>
      <w:pPr>
        <w:spacing w:line="476" w:lineRule="auto"/>
        <w:rPr>
          <w:rFonts w:ascii="Arial"/>
          <w:sz w:val="21"/>
        </w:rPr>
      </w:pPr>
      <w:r/>
    </w:p>
    <w:p>
      <w:pPr>
        <w:pStyle w:val="BodyText"/>
        <w:ind w:left="29" w:right="315" w:firstLine="420"/>
        <w:spacing w:before="65" w:line="308" w:lineRule="auto"/>
        <w:outlineLvl w:val="0"/>
        <w:rPr/>
      </w:pPr>
      <w:r>
        <w:rPr>
          <w:spacing w:val="6"/>
        </w:rPr>
        <w:t>统筹推进生态环境保护、修复和建设，全</w:t>
      </w:r>
      <w:r>
        <w:rPr>
          <w:spacing w:val="7"/>
        </w:rPr>
        <w:t>面提升各类生态系统稳定性和生态服务功能，</w:t>
      </w:r>
      <w:r>
        <w:rPr>
          <w:spacing w:val="8"/>
        </w:rPr>
        <w:t>筑牢西北重要生态安全屏障。</w:t>
      </w:r>
    </w:p>
    <w:p>
      <w:pPr>
        <w:pStyle w:val="BodyText"/>
        <w:ind w:left="32" w:right="322" w:firstLine="418"/>
        <w:spacing w:before="141" w:line="286" w:lineRule="auto"/>
        <w:outlineLvl w:val="0"/>
        <w:rPr/>
      </w:pPr>
      <w:r>
        <w:rPr>
          <w:spacing w:val="6"/>
        </w:rPr>
        <w:t>实施“三山”及外围拓展区生态保护和修</w:t>
      </w:r>
      <w:r>
        <w:rPr>
          <w:spacing w:val="7"/>
        </w:rPr>
        <w:t>复工程。加强生态保护修复，推广彭阳县小流</w:t>
      </w:r>
    </w:p>
    <w:p>
      <w:pPr>
        <w:pStyle w:val="BodyText"/>
        <w:ind w:left="27" w:right="258" w:firstLine="1"/>
        <w:spacing w:before="137" w:line="350" w:lineRule="auto"/>
        <w:jc w:val="both"/>
        <w:rPr/>
      </w:pPr>
      <w:r>
        <w:rPr>
          <w:spacing w:val="15"/>
        </w:rPr>
        <w:t>域综合治理经验</w:t>
      </w:r>
      <w:r>
        <w:rPr>
          <w:spacing w:val="-42"/>
        </w:rPr>
        <w:t xml:space="preserve"> </w:t>
      </w:r>
      <w:r>
        <w:rPr>
          <w:spacing w:val="15"/>
        </w:rPr>
        <w:t>，实施山水林田湖草综合治</w:t>
      </w:r>
      <w:r>
        <w:rPr>
          <w:spacing w:val="7"/>
        </w:rPr>
        <w:t>理，加快六盘山人工促进生态修复，构建六盘</w:t>
      </w:r>
      <w:r>
        <w:rPr>
          <w:spacing w:val="7"/>
        </w:rPr>
        <w:t>山、云雾山、月亮山及其外围拓展延伸区绿色</w:t>
      </w:r>
      <w:r>
        <w:rPr>
          <w:spacing w:val="7"/>
        </w:rPr>
        <w:t>生态安全屏障，持续增强区域生态系统的安全</w:t>
      </w:r>
      <w:r>
        <w:rPr/>
        <w:t>性、稳定性。实施宁夏南部水源涵养建设工程，</w:t>
      </w:r>
      <w:r>
        <w:rPr>
          <w:spacing w:val="9"/>
        </w:rPr>
        <w:t>到</w:t>
      </w:r>
      <w:r>
        <w:rPr>
          <w:spacing w:val="-40"/>
        </w:rPr>
        <w:t xml:space="preserve"> </w:t>
      </w:r>
      <w:r>
        <w:rPr>
          <w:spacing w:val="9"/>
        </w:rPr>
        <w:t>2025</w:t>
      </w:r>
      <w:r>
        <w:rPr>
          <w:spacing w:val="-34"/>
        </w:rPr>
        <w:t xml:space="preserve"> </w:t>
      </w:r>
      <w:r>
        <w:rPr>
          <w:spacing w:val="9"/>
        </w:rPr>
        <w:t>年实施生态保护和修复</w:t>
      </w:r>
      <w:r>
        <w:rPr>
          <w:spacing w:val="-37"/>
        </w:rPr>
        <w:t xml:space="preserve"> </w:t>
      </w:r>
      <w:r>
        <w:rPr>
          <w:spacing w:val="9"/>
        </w:rPr>
        <w:t>233</w:t>
      </w:r>
      <w:r>
        <w:rPr>
          <w:spacing w:val="-38"/>
        </w:rPr>
        <w:t xml:space="preserve"> </w:t>
      </w:r>
      <w:r>
        <w:rPr>
          <w:spacing w:val="9"/>
        </w:rPr>
        <w:t>万亩</w:t>
      </w:r>
      <w:r>
        <w:rPr>
          <w:spacing w:val="8"/>
        </w:rPr>
        <w:t>（含</w:t>
      </w:r>
      <w:r>
        <w:rPr>
          <w:spacing w:val="8"/>
        </w:rPr>
        <w:t>海原县</w:t>
      </w:r>
      <w:r>
        <w:rPr>
          <w:spacing w:val="-11"/>
        </w:rPr>
        <w:t>）</w:t>
      </w:r>
      <w:r>
        <w:rPr>
          <w:spacing w:val="-44"/>
        </w:rPr>
        <w:t xml:space="preserve"> </w:t>
      </w:r>
      <w:r>
        <w:rPr>
          <w:spacing w:val="-11"/>
        </w:rPr>
        <w:t>，</w:t>
      </w:r>
      <w:r>
        <w:rPr>
          <w:spacing w:val="8"/>
        </w:rPr>
        <w:t>其中人工造林</w:t>
      </w:r>
      <w:r>
        <w:rPr>
          <w:spacing w:val="-36"/>
        </w:rPr>
        <w:t xml:space="preserve"> </w:t>
      </w:r>
      <w:r>
        <w:rPr>
          <w:spacing w:val="8"/>
        </w:rPr>
        <w:t>83</w:t>
      </w:r>
      <w:r>
        <w:rPr>
          <w:spacing w:val="-38"/>
        </w:rPr>
        <w:t xml:space="preserve"> </w:t>
      </w:r>
      <w:r>
        <w:rPr>
          <w:spacing w:val="8"/>
        </w:rPr>
        <w:t>万亩</w:t>
      </w:r>
      <w:r>
        <w:rPr>
          <w:spacing w:val="-59"/>
        </w:rPr>
        <w:t xml:space="preserve"> </w:t>
      </w:r>
      <w:r>
        <w:rPr>
          <w:spacing w:val="8"/>
        </w:rPr>
        <w:t>，未成林抚</w:t>
      </w:r>
      <w:r>
        <w:rPr>
          <w:spacing w:val="5"/>
        </w:rPr>
        <w:t>育提升及退化林改造</w:t>
      </w:r>
      <w:r>
        <w:rPr>
          <w:spacing w:val="-17"/>
        </w:rPr>
        <w:t xml:space="preserve"> </w:t>
      </w:r>
      <w:r>
        <w:rPr>
          <w:spacing w:val="5"/>
        </w:rPr>
        <w:t>140</w:t>
      </w:r>
      <w:r>
        <w:rPr>
          <w:spacing w:val="-41"/>
        </w:rPr>
        <w:t xml:space="preserve"> </w:t>
      </w:r>
      <w:r>
        <w:rPr>
          <w:spacing w:val="5"/>
        </w:rPr>
        <w:t>万亩，村庄绿化和庭</w:t>
      </w:r>
      <w:r>
        <w:rPr>
          <w:spacing w:val="10"/>
        </w:rPr>
        <w:t>院经济林</w:t>
      </w:r>
      <w:r>
        <w:rPr>
          <w:spacing w:val="-15"/>
        </w:rPr>
        <w:t xml:space="preserve"> </w:t>
      </w:r>
      <w:r>
        <w:rPr>
          <w:spacing w:val="10"/>
        </w:rPr>
        <w:t>10</w:t>
      </w:r>
      <w:r>
        <w:rPr>
          <w:spacing w:val="-38"/>
        </w:rPr>
        <w:t xml:space="preserve"> </w:t>
      </w:r>
      <w:r>
        <w:rPr>
          <w:spacing w:val="10"/>
        </w:rPr>
        <w:t>万亩。实施宁夏自然保护地生态</w:t>
      </w:r>
      <w:r>
        <w:rPr>
          <w:spacing w:val="7"/>
        </w:rPr>
        <w:t>修复建设工程，重点在云雾山、火石寨、六盘</w:t>
      </w:r>
      <w:r>
        <w:rPr>
          <w:spacing w:val="18"/>
        </w:rPr>
        <w:t>山等国家级自然保护区的一般控制区以及原</w:t>
      </w:r>
      <w:r>
        <w:rPr>
          <w:spacing w:val="7"/>
        </w:rPr>
        <w:t>州区、西吉县、隆德县、泾源县和六盘山林业</w:t>
      </w:r>
      <w:r>
        <w:rPr>
          <w:spacing w:val="7"/>
        </w:rPr>
        <w:t>局管理的高密度林区进行生态抚育、森林质量</w:t>
      </w:r>
      <w:r>
        <w:rPr>
          <w:spacing w:val="7"/>
        </w:rPr>
        <w:t>精准提升。争取设立六盘山国家公园，全面开</w:t>
      </w:r>
      <w:r>
        <w:rPr>
          <w:spacing w:val="7"/>
        </w:rPr>
        <w:t>展自然保护地调查及资源评估工作，尽快完成</w:t>
      </w:r>
    </w:p>
    <w:p>
      <w:pPr>
        <w:spacing w:line="14" w:lineRule="auto"/>
        <w:rPr>
          <w:rFonts w:ascii="Arial"/>
          <w:sz w:val="2"/>
        </w:rPr>
      </w:pPr>
      <w:r>
        <w:rPr>
          <w:rFonts w:ascii="Arial" w:hAnsi="Arial" w:eastAsia="Arial" w:cs="Arial"/>
          <w:sz w:val="2"/>
          <w:szCs w:val="2"/>
        </w:rPr>
        <w:br w:type="column"/>
      </w:r>
    </w:p>
    <w:p>
      <w:pPr>
        <w:pStyle w:val="BodyText"/>
        <w:ind w:left="6" w:right="34" w:firstLine="1"/>
        <w:spacing w:before="32" w:line="351" w:lineRule="auto"/>
        <w:jc w:val="both"/>
        <w:rPr/>
      </w:pPr>
      <w:r>
        <w:rPr>
          <w:spacing w:val="7"/>
        </w:rPr>
        <w:t>六盘山自然保护区“三区”并“两区”勘界定</w:t>
      </w:r>
      <w:r>
        <w:rPr>
          <w:spacing w:val="10"/>
        </w:rPr>
        <w:t>标工作，编制六盘山国家公园前期研究规划，</w:t>
      </w:r>
      <w:r>
        <w:rPr>
          <w:spacing w:val="18"/>
        </w:rPr>
        <w:t>加快建立以六盘山国家公园为主体的自然保</w:t>
      </w:r>
      <w:r>
        <w:rPr>
          <w:spacing w:val="7"/>
        </w:rPr>
        <w:t>护区体系，加强森林资源保护与利用。实施退</w:t>
      </w:r>
      <w:r>
        <w:rPr>
          <w:spacing w:val="10"/>
        </w:rPr>
        <w:t>耕还林工程，对现有的21万亩荒山进行造林，</w:t>
      </w:r>
      <w:r>
        <w:rPr>
          <w:spacing w:val="11"/>
        </w:rPr>
        <w:t>对既有的266万亩退耕还林地实施精准提质增</w:t>
      </w:r>
      <w:r>
        <w:rPr>
          <w:spacing w:val="6"/>
        </w:rPr>
        <w:t>效改造，重点营建针阔混交林、“</w:t>
      </w:r>
      <w:r>
        <w:rPr>
          <w:spacing w:val="-74"/>
        </w:rPr>
        <w:t xml:space="preserve"> </w:t>
      </w:r>
      <w:r>
        <w:rPr>
          <w:spacing w:val="6"/>
        </w:rPr>
        <w:t>四个一”工</w:t>
      </w:r>
      <w:r>
        <w:rPr>
          <w:spacing w:val="7"/>
        </w:rPr>
        <w:t>程生态经济林。推进天然林资源保护，严格执</w:t>
      </w:r>
      <w:r>
        <w:rPr>
          <w:spacing w:val="15"/>
        </w:rPr>
        <w:t>行天然林保护制度</w:t>
      </w:r>
      <w:r>
        <w:rPr>
          <w:spacing w:val="-39"/>
        </w:rPr>
        <w:t xml:space="preserve"> </w:t>
      </w:r>
      <w:r>
        <w:rPr>
          <w:spacing w:val="15"/>
        </w:rPr>
        <w:t>，推行森林资源管理林长</w:t>
      </w:r>
      <w:r>
        <w:rPr>
          <w:spacing w:val="7"/>
        </w:rPr>
        <w:t>制，构建全方位、多角度、高效运转的天然林</w:t>
      </w:r>
      <w:r>
        <w:rPr>
          <w:spacing w:val="7"/>
        </w:rPr>
        <w:t>管护网络。争取启动森林生态补偿，对天保工</w:t>
      </w:r>
      <w:r>
        <w:rPr>
          <w:spacing w:val="15"/>
        </w:rPr>
        <w:t>程区内退化林分改造修复</w:t>
      </w:r>
      <w:r>
        <w:rPr>
          <w:spacing w:val="-39"/>
        </w:rPr>
        <w:t xml:space="preserve"> </w:t>
      </w:r>
      <w:r>
        <w:rPr>
          <w:spacing w:val="15"/>
        </w:rPr>
        <w:t>，加快建立全面保</w:t>
      </w:r>
      <w:r>
        <w:rPr>
          <w:spacing w:val="7"/>
        </w:rPr>
        <w:t>护、系统恢复、用途管控、权责明确的天然林</w:t>
      </w:r>
      <w:r>
        <w:rPr>
          <w:spacing w:val="7"/>
        </w:rPr>
        <w:t>保护修复制度体系。实施三北防护林工程，以</w:t>
      </w:r>
      <w:r>
        <w:rPr>
          <w:spacing w:val="7"/>
        </w:rPr>
        <w:t>“三山”外围生态移民迁出区和黄土丘陵区为</w:t>
      </w:r>
      <w:r>
        <w:rPr>
          <w:spacing w:val="7"/>
        </w:rPr>
        <w:t>主，在保护好现有森林草原植被基础上，采取</w:t>
      </w:r>
      <w:r>
        <w:rPr>
          <w:spacing w:val="7"/>
        </w:rPr>
        <w:t>人工造林、封山育林育草等方法，坚持新造林</w:t>
      </w:r>
      <w:r>
        <w:rPr>
          <w:spacing w:val="7"/>
        </w:rPr>
        <w:t>与补植补造、退化林分改造并举，优先使用乡</w:t>
      </w:r>
      <w:r>
        <w:rPr>
          <w:spacing w:val="7"/>
        </w:rPr>
        <w:t>土树种，营造农田防护、水源涵养林，构建稳</w:t>
      </w:r>
      <w:r>
        <w:rPr>
          <w:spacing w:val="9"/>
        </w:rPr>
        <w:t>定的生态系统，筑牢西北重要生态安全屏障。</w:t>
      </w:r>
    </w:p>
    <w:p>
      <w:pPr>
        <w:pStyle w:val="BodyText"/>
        <w:ind w:left="8" w:right="36" w:firstLine="425"/>
        <w:spacing w:before="13" w:line="309" w:lineRule="auto"/>
        <w:outlineLvl w:val="0"/>
        <w:rPr/>
      </w:pPr>
      <w:r>
        <w:rPr>
          <w:spacing w:val="6"/>
        </w:rPr>
        <w:t>打造五河流域生态廊道。以清水河、葫芦</w:t>
      </w:r>
      <w:r>
        <w:rPr/>
        <w:t>河、渝河、泾河、茹（红）河生态廊道为骨架，</w:t>
      </w:r>
    </w:p>
    <w:p>
      <w:pPr>
        <w:pStyle w:val="BodyText"/>
        <w:ind w:right="18" w:firstLine="10"/>
        <w:spacing w:before="118" w:line="351" w:lineRule="auto"/>
        <w:jc w:val="both"/>
        <w:rPr/>
      </w:pPr>
      <w:r>
        <w:rPr>
          <w:spacing w:val="7"/>
        </w:rPr>
        <w:t>统筹生态保护、自然景观和城镇风貌建设，开</w:t>
      </w:r>
      <w:r>
        <w:rPr>
          <w:spacing w:val="7"/>
        </w:rPr>
        <w:t>展五河综合提升治理，打造人河城和谐统一的</w:t>
      </w:r>
      <w:r>
        <w:rPr>
          <w:spacing w:val="10"/>
        </w:rPr>
        <w:t>黄河支流绿色生态廊道。围绕“五河”河道、</w:t>
      </w:r>
      <w:r>
        <w:rPr>
          <w:spacing w:val="7"/>
        </w:rPr>
        <w:t>支沟及其他重点沟道，实施中小河流和病险水</w:t>
      </w:r>
      <w:r>
        <w:rPr>
          <w:spacing w:val="7"/>
        </w:rPr>
        <w:t>库除险加固工程，提升流域水生态环境质量和</w:t>
      </w:r>
      <w:r>
        <w:rPr>
          <w:spacing w:val="7"/>
        </w:rPr>
        <w:t>河道保护治理水平。围绕“五河”及其他骨干</w:t>
      </w:r>
      <w:r>
        <w:rPr>
          <w:spacing w:val="7"/>
        </w:rPr>
        <w:t>河道出境断面水质控制阶段性及长远目标，新</w:t>
      </w:r>
      <w:r>
        <w:rPr>
          <w:spacing w:val="1"/>
        </w:rPr>
        <w:t>（改）建污水、垃圾处理厂（场）及集污管网、</w:t>
      </w:r>
      <w:r>
        <w:rPr>
          <w:spacing w:val="11"/>
        </w:rPr>
        <w:t>垃圾收运设施。因地就势打造生态景观河道，</w:t>
      </w:r>
      <w:r>
        <w:rPr>
          <w:spacing w:val="7"/>
        </w:rPr>
        <w:t>建设城市生态公园。在五河流域通过库湖联通</w:t>
      </w:r>
      <w:r>
        <w:rPr>
          <w:spacing w:val="9"/>
        </w:rPr>
        <w:t>修复生态区</w:t>
      </w:r>
      <w:r>
        <w:rPr>
          <w:spacing w:val="-28"/>
        </w:rPr>
        <w:t xml:space="preserve"> </w:t>
      </w:r>
      <w:r>
        <w:rPr>
          <w:spacing w:val="9"/>
        </w:rPr>
        <w:t>30</w:t>
      </w:r>
      <w:r>
        <w:rPr>
          <w:spacing w:val="-38"/>
        </w:rPr>
        <w:t xml:space="preserve"> </w:t>
      </w:r>
      <w:r>
        <w:rPr>
          <w:spacing w:val="9"/>
        </w:rPr>
        <w:t>万亩</w:t>
      </w:r>
      <w:r>
        <w:rPr>
          <w:spacing w:val="-59"/>
        </w:rPr>
        <w:t xml:space="preserve"> </w:t>
      </w:r>
      <w:r>
        <w:rPr>
          <w:spacing w:val="9"/>
        </w:rPr>
        <w:t>，确保重要湿地和河湖面</w:t>
      </w:r>
      <w:r>
        <w:rPr>
          <w:spacing w:val="7"/>
        </w:rPr>
        <w:t>积不减少、生态功能不退化，形成水质稳定达</w:t>
      </w:r>
    </w:p>
    <w:p>
      <w:pPr>
        <w:spacing w:line="351" w:lineRule="auto"/>
        <w:sectPr>
          <w:type w:val="continuous"/>
          <w:pgSz w:w="11906" w:h="16839"/>
          <w:pgMar w:top="1793" w:right="1489" w:bottom="1673" w:left="1565" w:header="1428" w:footer="1277" w:gutter="0"/>
          <w:cols w:equalWidth="0" w:num="2">
            <w:col w:w="4497" w:space="100"/>
            <w:col w:w="4256" w:space="0"/>
          </w:cols>
        </w:sectPr>
        <w:rPr/>
      </w:pPr>
    </w:p>
    <w:p>
      <w:pPr>
        <w:spacing w:before="46"/>
        <w:rPr/>
      </w:pPr>
      <w:r/>
    </w:p>
    <w:p>
      <w:pPr>
        <w:sectPr>
          <w:headerReference w:type="default" r:id="rId162"/>
          <w:footerReference w:type="default" r:id="rId229"/>
          <w:pgSz w:w="11906" w:h="16839"/>
          <w:pgMar w:top="1793" w:right="1521" w:bottom="1570" w:left="1521" w:header="1428" w:footer="1172" w:gutter="0"/>
          <w:cols w:equalWidth="0" w:num="1">
            <w:col w:w="8864" w:space="0"/>
          </w:cols>
        </w:sectPr>
        <w:rPr/>
      </w:pPr>
    </w:p>
    <w:p>
      <w:pPr>
        <w:pStyle w:val="BodyText"/>
        <w:ind w:left="70" w:right="247"/>
        <w:spacing w:before="46" w:line="365" w:lineRule="auto"/>
        <w:jc w:val="both"/>
        <w:rPr/>
      </w:pPr>
      <w:r>
        <w:rPr>
          <w:spacing w:val="7"/>
        </w:rPr>
        <w:t>标、水环境质量持续改善、水生态系统功能初</w:t>
      </w:r>
      <w:r>
        <w:rPr>
          <w:spacing w:val="7"/>
        </w:rPr>
        <w:t>步恢复格局。加大湿地生态系统建设，保护和</w:t>
      </w:r>
      <w:r>
        <w:rPr>
          <w:spacing w:val="9"/>
        </w:rPr>
        <w:t>提升清水河国家级湿地公园、党家岔（震湖）</w:t>
      </w:r>
      <w:r>
        <w:rPr>
          <w:spacing w:val="7"/>
        </w:rPr>
        <w:t>自治区级湿地自然保护区，争取建设原州区饮</w:t>
      </w:r>
      <w:r>
        <w:rPr>
          <w:spacing w:val="1"/>
        </w:rPr>
        <w:t>马河、西吉葫芦河、隆德县渝河、彭阳县茹河、</w:t>
      </w:r>
      <w:r>
        <w:rPr>
          <w:spacing w:val="16"/>
        </w:rPr>
        <w:t>泾源县卧龙河及颉河等</w:t>
      </w:r>
      <w:r>
        <w:rPr>
          <w:spacing w:val="-24"/>
        </w:rPr>
        <w:t xml:space="preserve"> </w:t>
      </w:r>
      <w:r>
        <w:rPr>
          <w:spacing w:val="16"/>
        </w:rPr>
        <w:t>6</w:t>
      </w:r>
      <w:r>
        <w:rPr>
          <w:spacing w:val="-36"/>
        </w:rPr>
        <w:t xml:space="preserve"> </w:t>
      </w:r>
      <w:r>
        <w:rPr>
          <w:spacing w:val="16"/>
        </w:rPr>
        <w:t>个自治区级湿地公</w:t>
      </w:r>
      <w:r>
        <w:rPr>
          <w:spacing w:val="6"/>
        </w:rPr>
        <w:t>园</w:t>
      </w:r>
      <w:r>
        <w:rPr>
          <w:spacing w:val="-50"/>
        </w:rPr>
        <w:t xml:space="preserve"> </w:t>
      </w:r>
      <w:r>
        <w:rPr>
          <w:spacing w:val="6"/>
        </w:rPr>
        <w:t>，增强城市“绿肺功能”。到</w:t>
      </w:r>
      <w:r>
        <w:rPr>
          <w:spacing w:val="-37"/>
        </w:rPr>
        <w:t xml:space="preserve"> </w:t>
      </w:r>
      <w:r>
        <w:rPr>
          <w:spacing w:val="6"/>
        </w:rPr>
        <w:t>2025</w:t>
      </w:r>
      <w:r>
        <w:rPr>
          <w:spacing w:val="-34"/>
        </w:rPr>
        <w:t xml:space="preserve"> </w:t>
      </w:r>
      <w:r>
        <w:rPr>
          <w:spacing w:val="6"/>
        </w:rPr>
        <w:t>年</w:t>
      </w:r>
      <w:r>
        <w:rPr>
          <w:spacing w:val="-58"/>
        </w:rPr>
        <w:t xml:space="preserve"> </w:t>
      </w:r>
      <w:r>
        <w:rPr>
          <w:spacing w:val="6"/>
        </w:rPr>
        <w:t>，水</w:t>
      </w:r>
      <w:r>
        <w:rPr>
          <w:spacing w:val="8"/>
        </w:rPr>
        <w:t>土流失治理面积达到</w:t>
      </w:r>
      <w:r>
        <w:rPr>
          <w:spacing w:val="-26"/>
        </w:rPr>
        <w:t xml:space="preserve"> </w:t>
      </w:r>
      <w:r>
        <w:rPr>
          <w:spacing w:val="8"/>
        </w:rPr>
        <w:t>7004</w:t>
      </w:r>
      <w:r>
        <w:rPr>
          <w:spacing w:val="-37"/>
        </w:rPr>
        <w:t xml:space="preserve"> </w:t>
      </w:r>
      <w:r>
        <w:rPr>
          <w:spacing w:val="8"/>
        </w:rPr>
        <w:t>平方公里</w:t>
      </w:r>
      <w:r>
        <w:rPr>
          <w:spacing w:val="-59"/>
        </w:rPr>
        <w:t xml:space="preserve"> </w:t>
      </w:r>
      <w:r>
        <w:rPr>
          <w:spacing w:val="8"/>
        </w:rPr>
        <w:t>，水土流</w:t>
      </w:r>
      <w:r>
        <w:rPr>
          <w:spacing w:val="12"/>
        </w:rPr>
        <w:t>失治理率达</w:t>
      </w:r>
      <w:r>
        <w:rPr>
          <w:spacing w:val="-37"/>
        </w:rPr>
        <w:t xml:space="preserve"> </w:t>
      </w:r>
      <w:r>
        <w:rPr>
          <w:spacing w:val="12"/>
        </w:rPr>
        <w:t>87%以上。</w:t>
      </w:r>
    </w:p>
    <w:p>
      <w:pPr>
        <w:pStyle w:val="BodyText"/>
        <w:ind w:left="492"/>
        <w:spacing w:line="222" w:lineRule="auto"/>
        <w:rPr/>
      </w:pPr>
      <w:r>
        <w:rPr>
          <w:spacing w:val="6"/>
        </w:rPr>
        <w:t>加强城市生态系统建设。合理规划城市建</w:t>
      </w:r>
    </w:p>
    <w:p>
      <w:pPr>
        <w:pStyle w:val="BodyText"/>
        <w:ind w:left="68"/>
        <w:spacing w:before="156" w:line="223" w:lineRule="auto"/>
        <w:outlineLvl w:val="0"/>
        <w:rPr/>
      </w:pPr>
      <w:r>
        <w:rPr>
          <w:spacing w:val="7"/>
        </w:rPr>
        <w:t>设规模、经济开发空间、生态环境容量，完善</w:t>
      </w:r>
    </w:p>
    <w:p>
      <w:pPr>
        <w:pStyle w:val="BodyText"/>
        <w:ind w:left="68" w:right="119" w:firstLine="2"/>
        <w:spacing w:before="158" w:line="365" w:lineRule="auto"/>
        <w:rPr/>
      </w:pPr>
      <w:r>
        <w:rPr>
          <w:spacing w:val="7"/>
        </w:rPr>
        <w:t>水系、增加绿地、畅通风道，实现生产空间集</w:t>
      </w:r>
      <w:r>
        <w:rPr>
          <w:spacing w:val="1"/>
        </w:rPr>
        <w:t xml:space="preserve"> </w:t>
      </w:r>
      <w:r>
        <w:rPr>
          <w:spacing w:val="7"/>
        </w:rPr>
        <w:t>约高效、生活空间宜居适度、生态空间山清水</w:t>
      </w:r>
      <w:r>
        <w:rPr>
          <w:spacing w:val="2"/>
        </w:rPr>
        <w:t xml:space="preserve"> </w:t>
      </w:r>
      <w:r>
        <w:rPr>
          <w:spacing w:val="12"/>
        </w:rPr>
        <w:t>秀。全力实施环固原市区“U”型生态屏障建</w:t>
      </w:r>
      <w:r>
        <w:rPr>
          <w:spacing w:val="2"/>
        </w:rPr>
        <w:t xml:space="preserve"> </w:t>
      </w:r>
      <w:r>
        <w:rPr>
          <w:spacing w:val="7"/>
        </w:rPr>
        <w:t>设，在清水河沟道两岸，按照生态修复、道路</w:t>
      </w:r>
      <w:r>
        <w:rPr>
          <w:spacing w:val="2"/>
        </w:rPr>
        <w:t xml:space="preserve"> </w:t>
      </w:r>
      <w:r>
        <w:rPr>
          <w:spacing w:val="12"/>
        </w:rPr>
        <w:t>景观绿化和水体治理并行的建设模式，在“U”</w:t>
      </w:r>
      <w:r>
        <w:rPr>
          <w:spacing w:val="7"/>
        </w:rPr>
        <w:t>型区域内开展山体绿化、主干道路绿化、清水</w:t>
      </w:r>
    </w:p>
    <w:p>
      <w:pPr>
        <w:spacing w:line="14" w:lineRule="auto"/>
        <w:rPr>
          <w:rFonts w:ascii="Arial"/>
          <w:sz w:val="2"/>
        </w:rPr>
      </w:pPr>
      <w:r>
        <w:rPr>
          <w:rFonts w:ascii="Arial" w:hAnsi="Arial" w:eastAsia="Arial" w:cs="Arial"/>
          <w:sz w:val="2"/>
          <w:szCs w:val="2"/>
        </w:rPr>
        <w:br w:type="column"/>
      </w:r>
    </w:p>
    <w:p>
      <w:pPr>
        <w:pStyle w:val="BodyText"/>
        <w:ind w:right="4" w:firstLine="3"/>
        <w:spacing w:before="45" w:line="367" w:lineRule="auto"/>
        <w:jc w:val="both"/>
        <w:rPr/>
      </w:pPr>
      <w:r>
        <w:rPr>
          <w:spacing w:val="10"/>
        </w:rPr>
        <w:t>河流域综合治理等工程。建设城市绿色廊道，</w:t>
      </w:r>
      <w:r>
        <w:rPr>
          <w:spacing w:val="7"/>
        </w:rPr>
        <w:t>实施东岳山、九龙山、白马山、古雁岭、长城</w:t>
      </w:r>
      <w:r>
        <w:rPr>
          <w:spacing w:val="7"/>
        </w:rPr>
        <w:t>梁生态修复环境提升工程，规划建设萧关文化</w:t>
      </w:r>
      <w:r>
        <w:rPr>
          <w:spacing w:val="6"/>
        </w:rPr>
        <w:t>园等</w:t>
      </w:r>
      <w:r>
        <w:rPr>
          <w:spacing w:val="-31"/>
        </w:rPr>
        <w:t xml:space="preserve"> </w:t>
      </w:r>
      <w:r>
        <w:rPr>
          <w:spacing w:val="6"/>
        </w:rPr>
        <w:t>4</w:t>
      </w:r>
      <w:r>
        <w:rPr>
          <w:spacing w:val="-39"/>
        </w:rPr>
        <w:t xml:space="preserve"> </w:t>
      </w:r>
      <w:r>
        <w:rPr>
          <w:spacing w:val="6"/>
        </w:rPr>
        <w:t>座公园广场及城市绿心、街头绿地，持</w:t>
      </w:r>
      <w:r>
        <w:rPr>
          <w:spacing w:val="7"/>
        </w:rPr>
        <w:t>续拓展城市绿色生态空间。启动泾源县、隆德</w:t>
      </w:r>
      <w:r>
        <w:rPr>
          <w:spacing w:val="7"/>
        </w:rPr>
        <w:t>县、彭阳县森林城市创建工作，打造森林城市</w:t>
      </w:r>
      <w:r>
        <w:rPr>
          <w:spacing w:val="7"/>
        </w:rPr>
        <w:t>群。扩大城市生态空间，加快城市小游园、社</w:t>
      </w:r>
      <w:r>
        <w:rPr>
          <w:spacing w:val="7"/>
        </w:rPr>
        <w:t>区公园和市民休闲公园建设，增加森林、湿地</w:t>
      </w:r>
      <w:r>
        <w:rPr>
          <w:spacing w:val="9"/>
        </w:rPr>
        <w:t>等景观斑块面积。落实城市建成区“300</w:t>
      </w:r>
      <w:r>
        <w:rPr>
          <w:spacing w:val="-39"/>
        </w:rPr>
        <w:t xml:space="preserve"> </w:t>
      </w:r>
      <w:r>
        <w:rPr>
          <w:spacing w:val="9"/>
        </w:rPr>
        <w:t>米见</w:t>
      </w:r>
      <w:r>
        <w:rPr>
          <w:spacing w:val="9"/>
        </w:rPr>
        <w:t>绿、500</w:t>
      </w:r>
      <w:r>
        <w:rPr>
          <w:spacing w:val="-39"/>
        </w:rPr>
        <w:t xml:space="preserve"> </w:t>
      </w:r>
      <w:r>
        <w:rPr>
          <w:spacing w:val="9"/>
        </w:rPr>
        <w:t>米见园”要求，巩固国家园林城市建</w:t>
      </w:r>
      <w:r>
        <w:rPr>
          <w:spacing w:val="7"/>
        </w:rPr>
        <w:t>设成果，全面推进国家森林城市创建，建成国</w:t>
      </w:r>
      <w:r>
        <w:rPr>
          <w:spacing w:val="10"/>
        </w:rPr>
        <w:t>家生态文明示范市。实施城市周边绿化工程，</w:t>
      </w:r>
      <w:r>
        <w:rPr>
          <w:spacing w:val="7"/>
        </w:rPr>
        <w:t>实施道路沿线生态廊道工程，建成环城绿岛和</w:t>
      </w:r>
      <w:r>
        <w:rPr>
          <w:spacing w:val="7"/>
        </w:rPr>
        <w:t>环城绿色林带，有效衔接道路绿带与现有城市</w:t>
      </w:r>
      <w:r>
        <w:rPr>
          <w:spacing w:val="7"/>
        </w:rPr>
        <w:t>公园、林地、农田、水系和湿地等重要绿地斑</w:t>
      </w:r>
      <w:r>
        <w:rPr/>
        <w:t>块，形成系统完备、景观优美的生态廊道网络，</w:t>
      </w:r>
      <w:r>
        <w:rPr>
          <w:spacing w:val="12"/>
        </w:rPr>
        <w:t>到</w:t>
      </w:r>
      <w:r>
        <w:rPr>
          <w:spacing w:val="-27"/>
        </w:rPr>
        <w:t xml:space="preserve"> </w:t>
      </w:r>
      <w:r>
        <w:rPr>
          <w:spacing w:val="12"/>
        </w:rPr>
        <w:t>2025</w:t>
      </w:r>
      <w:r>
        <w:rPr>
          <w:spacing w:val="-41"/>
        </w:rPr>
        <w:t xml:space="preserve"> </w:t>
      </w:r>
      <w:r>
        <w:rPr>
          <w:spacing w:val="12"/>
        </w:rPr>
        <w:t>年，建成区绿地率达到40%。</w:t>
      </w:r>
    </w:p>
    <w:p>
      <w:pPr>
        <w:spacing w:line="367" w:lineRule="auto"/>
        <w:sectPr>
          <w:type w:val="continuous"/>
          <w:pgSz w:w="11906" w:h="16839"/>
          <w:pgMar w:top="1793" w:right="1521" w:bottom="1570" w:left="1521" w:header="1428" w:footer="1172" w:gutter="0"/>
          <w:cols w:equalWidth="0" w:num="2">
            <w:col w:w="4546" w:space="100"/>
            <w:col w:w="4219" w:space="0"/>
          </w:cols>
        </w:sectPr>
        <w:rPr/>
      </w:pPr>
    </w:p>
    <w:p>
      <w:pPr>
        <w:ind w:left="2306"/>
        <w:spacing w:before="134" w:line="199" w:lineRule="auto"/>
        <w:rPr>
          <w:rFonts w:ascii="Microsoft YaHei" w:hAnsi="Microsoft YaHei" w:eastAsia="Microsoft YaHei" w:cs="Microsoft YaHei"/>
          <w:sz w:val="20"/>
          <w:szCs w:val="20"/>
        </w:rPr>
      </w:pPr>
      <w:r>
        <w:drawing>
          <wp:anchor distT="0" distB="0" distL="0" distR="0" simplePos="0" relativeHeight="251809792" behindDoc="0" locked="0" layoutInCell="1" allowOverlap="1">
            <wp:simplePos x="0" y="0"/>
            <wp:positionH relativeFrom="column">
              <wp:posOffset>42291</wp:posOffset>
            </wp:positionH>
            <wp:positionV relativeFrom="paragraph">
              <wp:posOffset>-4479521</wp:posOffset>
            </wp:positionV>
            <wp:extent cx="5579745" cy="7619"/>
            <wp:effectExtent l="0" t="0" r="0" b="0"/>
            <wp:wrapNone/>
            <wp:docPr id="456" name="IM 456"/>
            <wp:cNvGraphicFramePr/>
            <a:graphic>
              <a:graphicData uri="http://schemas.openxmlformats.org/drawingml/2006/picture">
                <pic:pic>
                  <pic:nvPicPr>
                    <pic:cNvPr id="456" name="IM 456"/>
                    <pic:cNvPicPr/>
                  </pic:nvPicPr>
                  <pic:blipFill>
                    <a:blip r:embed="rId230"/>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7"/>
        </w:rPr>
        <w:t>专栏 10</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7"/>
        </w:rPr>
        <w:t>筑牢绿色生态安全屏障重点项目工程</w:t>
      </w:r>
    </w:p>
    <w:tbl>
      <w:tblPr>
        <w:tblStyle w:val="TableNormal"/>
        <w:tblW w:w="8848" w:type="dxa"/>
        <w:tblInd w:w="7" w:type="dxa"/>
        <w:tblLayout w:type="fixed"/>
        <w:tblBorders>
          <w:left w:val="single" w:color="000000" w:sz="6" w:space="0"/>
          <w:bottom w:val="single" w:color="000000" w:sz="6" w:space="0"/>
          <w:right w:val="single" w:color="000000" w:sz="6" w:space="0"/>
          <w:top w:val="single" w:color="000000" w:sz="6" w:space="0"/>
        </w:tblBorders>
      </w:tblPr>
      <w:tblGrid>
        <w:gridCol w:w="8848"/>
      </w:tblGrid>
      <w:tr>
        <w:trPr>
          <w:trHeight w:val="5387" w:hRule="atLeast"/>
        </w:trPr>
        <w:tc>
          <w:tcPr>
            <w:tcW w:w="8848" w:type="dxa"/>
            <w:vAlign w:val="top"/>
          </w:tcPr>
          <w:p>
            <w:pPr>
              <w:pStyle w:val="TableText"/>
              <w:ind w:left="108" w:right="92" w:firstLine="434"/>
              <w:spacing w:before="97" w:line="268" w:lineRule="auto"/>
              <w:rPr/>
            </w:pPr>
            <w:r>
              <w:rPr>
                <w:b/>
                <w:bCs/>
                <w:spacing w:val="-2"/>
              </w:rPr>
              <w:t>1.宁夏南部水源涵养建设工程：</w:t>
            </w:r>
            <w:r>
              <w:rPr>
                <w:spacing w:val="-2"/>
              </w:rPr>
              <w:t>系统治理黄河支流，加强小流域</w:t>
            </w:r>
            <w:r>
              <w:rPr>
                <w:spacing w:val="-3"/>
              </w:rPr>
              <w:t>综合治理，加大植树造林力度，建设生态</w:t>
            </w:r>
            <w:r>
              <w:rPr/>
              <w:t>经济林，保护森林资源和生物多样性，持续提升水源涵养和</w:t>
            </w:r>
            <w:r>
              <w:rPr>
                <w:spacing w:val="-1"/>
              </w:rPr>
              <w:t>水土保持功能。</w:t>
            </w:r>
          </w:p>
          <w:p>
            <w:pPr>
              <w:pStyle w:val="TableText"/>
              <w:ind w:left="106" w:right="19" w:firstLine="421"/>
              <w:spacing w:before="80" w:line="304" w:lineRule="auto"/>
              <w:rPr/>
            </w:pPr>
            <w:r>
              <w:rPr>
                <w:b/>
                <w:bCs/>
                <w:spacing w:val="-2"/>
              </w:rPr>
              <w:t>2.六盘山国家公园创建及山水林田湖草生态保护修复项目</w:t>
            </w:r>
            <w:r>
              <w:rPr>
                <w:sz w:val="8"/>
                <w:szCs w:val="8"/>
                <w:b/>
                <w:bCs/>
                <w:spacing w:val="-2"/>
                <w:position w:val="9"/>
              </w:rPr>
              <w:t>#</w:t>
            </w:r>
            <w:r>
              <w:rPr>
                <w:b/>
                <w:bCs/>
                <w:spacing w:val="-2"/>
              </w:rPr>
              <w:t>：</w:t>
            </w:r>
            <w:r>
              <w:rPr>
                <w:spacing w:val="-2"/>
              </w:rPr>
              <w:t>对现有自然保护区、风景名胜区、地质公园、</w:t>
            </w:r>
            <w:r>
              <w:rPr/>
              <w:t>森林公园、湿地公园、沙漠公园、水产种质资源保护区等保护地，根据保护</w:t>
            </w:r>
            <w:r>
              <w:rPr>
                <w:spacing w:val="-1"/>
              </w:rPr>
              <w:t>区域的自然属性、生态价值和保护</w:t>
            </w:r>
            <w:r>
              <w:rPr>
                <w:spacing w:val="-2"/>
              </w:rPr>
              <w:t>强度高低，国家和自治区批准后依次分为国家公园</w:t>
            </w:r>
            <w:r>
              <w:rPr>
                <w:spacing w:val="-3"/>
              </w:rPr>
              <w:t>、自然保护区、自然公园</w:t>
            </w:r>
            <w:r>
              <w:rPr>
                <w:spacing w:val="-36"/>
              </w:rPr>
              <w:t xml:space="preserve"> </w:t>
            </w:r>
            <w:r>
              <w:rPr>
                <w:spacing w:val="-3"/>
              </w:rPr>
              <w:t>3</w:t>
            </w:r>
            <w:r>
              <w:rPr>
                <w:spacing w:val="-43"/>
              </w:rPr>
              <w:t xml:space="preserve"> </w:t>
            </w:r>
            <w:r>
              <w:rPr>
                <w:spacing w:val="-3"/>
              </w:rPr>
              <w:t>类，逐步形成以国家公园为主体、</w:t>
            </w:r>
            <w:r>
              <w:rPr/>
              <w:t>自然保护区为基础、各类自然公园为补充的自然保护地分类系统。实施六盘山水源涵养与生物多样性保护区、</w:t>
            </w:r>
            <w:r>
              <w:rPr/>
              <w:t>云雾山草原修复水土保持区、月亮山灌丛草甸水土保持区三山建设和清水河、葫芦河、渝河、泾河、红（茹）</w:t>
            </w:r>
            <w:r>
              <w:rPr>
                <w:spacing w:val="-1"/>
              </w:rPr>
              <w:t>河五个流域的综合修复区建设工程。</w:t>
            </w:r>
          </w:p>
          <w:p>
            <w:pPr>
              <w:pStyle w:val="TableText"/>
              <w:ind w:left="108" w:right="95" w:firstLine="422"/>
              <w:spacing w:before="99" w:line="284" w:lineRule="auto"/>
              <w:rPr/>
            </w:pPr>
            <w:r>
              <w:rPr>
                <w:b/>
                <w:bCs/>
                <w:spacing w:val="-3"/>
              </w:rPr>
              <w:t>3.</w:t>
            </w:r>
            <w:r>
              <w:rPr>
                <w:spacing w:val="-49"/>
              </w:rPr>
              <w:t xml:space="preserve"> </w:t>
            </w:r>
            <w:r>
              <w:rPr>
                <w:b/>
                <w:bCs/>
                <w:spacing w:val="-3"/>
              </w:rPr>
              <w:t>自然保护地生态修复工程：</w:t>
            </w:r>
            <w:r>
              <w:rPr>
                <w:spacing w:val="-3"/>
              </w:rPr>
              <w:t>实施宁夏自然保护地生态修复建设工程，重点在云雾山、火石寨、六盘山等</w:t>
            </w:r>
            <w:r>
              <w:rPr/>
              <w:t>国家级自然保护区的一般控制区以及原州区、西吉县、隆德县、泾</w:t>
            </w:r>
            <w:r>
              <w:rPr>
                <w:spacing w:val="-1"/>
              </w:rPr>
              <w:t>源县和六盘山林业局管理的高密度林区进行</w:t>
            </w:r>
            <w:r>
              <w:rPr>
                <w:spacing w:val="-1"/>
              </w:rPr>
              <w:t>生态抚育、森林质量精准提升。</w:t>
            </w:r>
          </w:p>
          <w:p>
            <w:pPr>
              <w:pStyle w:val="TableText"/>
              <w:ind w:left="104" w:right="92" w:firstLine="420"/>
              <w:spacing w:before="99" w:line="294" w:lineRule="auto"/>
              <w:rPr/>
            </w:pPr>
            <w:r>
              <w:rPr>
                <w:b/>
                <w:bCs/>
                <w:spacing w:val="-3"/>
              </w:rPr>
              <w:t>4.固原市三北防护林建设项目</w:t>
            </w:r>
            <w:r>
              <w:rPr>
                <w:spacing w:val="-3"/>
              </w:rPr>
              <w:t>：实施总规模</w:t>
            </w:r>
            <w:r>
              <w:rPr>
                <w:spacing w:val="-18"/>
              </w:rPr>
              <w:t xml:space="preserve"> </w:t>
            </w:r>
            <w:r>
              <w:rPr>
                <w:spacing w:val="-3"/>
              </w:rPr>
              <w:t>150</w:t>
            </w:r>
            <w:r>
              <w:rPr>
                <w:spacing w:val="-38"/>
              </w:rPr>
              <w:t xml:space="preserve"> </w:t>
            </w:r>
            <w:r>
              <w:rPr>
                <w:spacing w:val="-3"/>
              </w:rPr>
              <w:t>万亩，其中人工造林</w:t>
            </w:r>
            <w:r>
              <w:rPr>
                <w:spacing w:val="-42"/>
              </w:rPr>
              <w:t xml:space="preserve"> </w:t>
            </w:r>
            <w:r>
              <w:rPr>
                <w:spacing w:val="-3"/>
              </w:rPr>
              <w:t>50</w:t>
            </w:r>
            <w:r>
              <w:rPr>
                <w:spacing w:val="-38"/>
              </w:rPr>
              <w:t xml:space="preserve"> </w:t>
            </w:r>
            <w:r>
              <w:rPr>
                <w:spacing w:val="-3"/>
              </w:rPr>
              <w:t>万亩，改造提升</w:t>
            </w:r>
            <w:r>
              <w:rPr>
                <w:spacing w:val="-39"/>
              </w:rPr>
              <w:t xml:space="preserve"> </w:t>
            </w:r>
            <w:r>
              <w:rPr>
                <w:spacing w:val="-3"/>
              </w:rPr>
              <w:t>50</w:t>
            </w:r>
            <w:r>
              <w:rPr>
                <w:spacing w:val="-41"/>
              </w:rPr>
              <w:t xml:space="preserve"> </w:t>
            </w:r>
            <w:r>
              <w:rPr>
                <w:spacing w:val="-3"/>
              </w:rPr>
              <w:t>万亩，封育保</w:t>
            </w:r>
            <w:r>
              <w:rPr/>
              <w:t>护</w:t>
            </w:r>
            <w:r>
              <w:rPr>
                <w:spacing w:val="-35"/>
              </w:rPr>
              <w:t xml:space="preserve"> </w:t>
            </w:r>
            <w:r>
              <w:rPr/>
              <w:t>50</w:t>
            </w:r>
            <w:r>
              <w:rPr>
                <w:spacing w:val="-38"/>
              </w:rPr>
              <w:t xml:space="preserve"> </w:t>
            </w:r>
            <w:r>
              <w:rPr/>
              <w:t>万亩；在六盘山外围土石质山区建设总规模</w:t>
            </w:r>
            <w:r>
              <w:rPr>
                <w:spacing w:val="-34"/>
              </w:rPr>
              <w:t xml:space="preserve"> </w:t>
            </w:r>
            <w:r>
              <w:rPr/>
              <w:t>30</w:t>
            </w:r>
            <w:r>
              <w:rPr>
                <w:spacing w:val="-38"/>
              </w:rPr>
              <w:t xml:space="preserve"> </w:t>
            </w:r>
            <w:r>
              <w:rPr/>
              <w:t>万亩，其中：人工造林</w:t>
            </w:r>
            <w:r>
              <w:rPr>
                <w:spacing w:val="-39"/>
              </w:rPr>
              <w:t xml:space="preserve"> </w:t>
            </w:r>
            <w:r>
              <w:rPr/>
              <w:t>5</w:t>
            </w:r>
            <w:r>
              <w:rPr>
                <w:spacing w:val="-39"/>
              </w:rPr>
              <w:t xml:space="preserve"> </w:t>
            </w:r>
            <w:r>
              <w:rPr/>
              <w:t>万亩、改造提升</w:t>
            </w:r>
            <w:r>
              <w:rPr>
                <w:spacing w:val="-22"/>
              </w:rPr>
              <w:t xml:space="preserve"> </w:t>
            </w:r>
            <w:r>
              <w:rPr/>
              <w:t>10</w:t>
            </w:r>
            <w:r>
              <w:rPr>
                <w:spacing w:val="-41"/>
              </w:rPr>
              <w:t xml:space="preserve"> </w:t>
            </w:r>
            <w:r>
              <w:rPr/>
              <w:t>万亩、封育</w:t>
            </w:r>
            <w:r>
              <w:rPr>
                <w:spacing w:val="-4"/>
              </w:rPr>
              <w:t>保护</w:t>
            </w:r>
            <w:r>
              <w:rPr>
                <w:spacing w:val="-25"/>
              </w:rPr>
              <w:t xml:space="preserve"> </w:t>
            </w:r>
            <w:r>
              <w:rPr>
                <w:spacing w:val="-4"/>
              </w:rPr>
              <w:t>15</w:t>
            </w:r>
            <w:r>
              <w:rPr>
                <w:spacing w:val="-41"/>
              </w:rPr>
              <w:t xml:space="preserve"> </w:t>
            </w:r>
            <w:r>
              <w:rPr>
                <w:spacing w:val="-4"/>
              </w:rPr>
              <w:t>万亩。</w:t>
            </w:r>
          </w:p>
          <w:p>
            <w:pPr>
              <w:pStyle w:val="TableText"/>
              <w:ind w:left="104" w:right="95" w:firstLine="423"/>
              <w:spacing w:before="68" w:line="295" w:lineRule="auto"/>
              <w:rPr/>
            </w:pPr>
            <w:r>
              <w:rPr>
                <w:b/>
                <w:bCs/>
                <w:spacing w:val="-2"/>
              </w:rPr>
              <w:t>5.天然林资源保护工程：</w:t>
            </w:r>
            <w:r>
              <w:rPr>
                <w:spacing w:val="-2"/>
              </w:rPr>
              <w:t>原州区实施天保工</w:t>
            </w:r>
            <w:r>
              <w:rPr>
                <w:spacing w:val="-3"/>
              </w:rPr>
              <w:t>程森林资源管护</w:t>
            </w:r>
            <w:r>
              <w:rPr>
                <w:spacing w:val="-27"/>
              </w:rPr>
              <w:t xml:space="preserve"> </w:t>
            </w:r>
            <w:r>
              <w:rPr>
                <w:spacing w:val="-3"/>
              </w:rPr>
              <w:t>120</w:t>
            </w:r>
            <w:r>
              <w:rPr>
                <w:spacing w:val="-38"/>
              </w:rPr>
              <w:t xml:space="preserve"> </w:t>
            </w:r>
            <w:r>
              <w:rPr>
                <w:spacing w:val="-3"/>
              </w:rPr>
              <w:t>万亩，其中国家公益林</w:t>
            </w:r>
            <w:r>
              <w:rPr>
                <w:spacing w:val="-39"/>
              </w:rPr>
              <w:t xml:space="preserve"> </w:t>
            </w:r>
            <w:r>
              <w:rPr>
                <w:spacing w:val="-3"/>
              </w:rPr>
              <w:t>55.54</w:t>
            </w:r>
            <w:r>
              <w:rPr>
                <w:spacing w:val="-41"/>
              </w:rPr>
              <w:t xml:space="preserve"> </w:t>
            </w:r>
            <w:r>
              <w:rPr>
                <w:spacing w:val="-3"/>
              </w:rPr>
              <w:t>万亩，地方</w:t>
            </w:r>
            <w:r>
              <w:rPr>
                <w:spacing w:val="-2"/>
              </w:rPr>
              <w:t>公益林</w:t>
            </w:r>
            <w:r>
              <w:rPr>
                <w:spacing w:val="-39"/>
              </w:rPr>
              <w:t xml:space="preserve"> </w:t>
            </w:r>
            <w:r>
              <w:rPr>
                <w:spacing w:val="-2"/>
              </w:rPr>
              <w:t>64.46</w:t>
            </w:r>
            <w:r>
              <w:rPr>
                <w:spacing w:val="-38"/>
              </w:rPr>
              <w:t xml:space="preserve"> </w:t>
            </w:r>
            <w:r>
              <w:rPr>
                <w:spacing w:val="-2"/>
              </w:rPr>
              <w:t>万亩。西吉县实施天然林资</w:t>
            </w:r>
            <w:r>
              <w:rPr>
                <w:spacing w:val="-3"/>
              </w:rPr>
              <w:t>源保护工程人工造林</w:t>
            </w:r>
            <w:r>
              <w:rPr>
                <w:spacing w:val="-39"/>
              </w:rPr>
              <w:t xml:space="preserve"> </w:t>
            </w:r>
            <w:r>
              <w:rPr>
                <w:spacing w:val="-3"/>
              </w:rPr>
              <w:t>5.04</w:t>
            </w:r>
            <w:r>
              <w:rPr>
                <w:spacing w:val="-38"/>
              </w:rPr>
              <w:t xml:space="preserve"> </w:t>
            </w:r>
            <w:r>
              <w:rPr>
                <w:spacing w:val="-3"/>
              </w:rPr>
              <w:t>万亩。共栽植各类苗木</w:t>
            </w:r>
            <w:r>
              <w:rPr>
                <w:spacing w:val="-37"/>
              </w:rPr>
              <w:t xml:space="preserve"> </w:t>
            </w:r>
            <w:r>
              <w:rPr>
                <w:spacing w:val="-3"/>
              </w:rPr>
              <w:t>373</w:t>
            </w:r>
            <w:r>
              <w:rPr>
                <w:spacing w:val="-41"/>
              </w:rPr>
              <w:t xml:space="preserve"> </w:t>
            </w:r>
            <w:r>
              <w:rPr>
                <w:spacing w:val="-3"/>
              </w:rPr>
              <w:t>万株。人工造林</w:t>
            </w:r>
            <w:r>
              <w:rPr>
                <w:spacing w:val="-2"/>
              </w:rPr>
              <w:t>3300</w:t>
            </w:r>
            <w:r>
              <w:rPr>
                <w:spacing w:val="-43"/>
              </w:rPr>
              <w:t xml:space="preserve"> </w:t>
            </w:r>
            <w:r>
              <w:rPr>
                <w:spacing w:val="-2"/>
              </w:rPr>
              <w:t>公顷，退化林分改造</w:t>
            </w:r>
            <w:r>
              <w:rPr>
                <w:spacing w:val="-25"/>
              </w:rPr>
              <w:t xml:space="preserve"> </w:t>
            </w:r>
            <w:r>
              <w:rPr>
                <w:spacing w:val="-2"/>
              </w:rPr>
              <w:t>13300</w:t>
            </w:r>
            <w:r>
              <w:rPr>
                <w:spacing w:val="-40"/>
              </w:rPr>
              <w:t xml:space="preserve"> </w:t>
            </w:r>
            <w:r>
              <w:rPr>
                <w:spacing w:val="-2"/>
              </w:rPr>
              <w:t>公顷，补植补造</w:t>
            </w:r>
            <w:r>
              <w:rPr>
                <w:spacing w:val="-27"/>
              </w:rPr>
              <w:t xml:space="preserve"> </w:t>
            </w:r>
            <w:r>
              <w:rPr>
                <w:spacing w:val="-2"/>
              </w:rPr>
              <w:t>13300</w:t>
            </w:r>
            <w:r>
              <w:rPr>
                <w:spacing w:val="-40"/>
              </w:rPr>
              <w:t xml:space="preserve"> </w:t>
            </w:r>
            <w:r>
              <w:rPr>
                <w:spacing w:val="-2"/>
              </w:rPr>
              <w:t>公顷，森林抚育</w:t>
            </w:r>
            <w:r>
              <w:rPr>
                <w:spacing w:val="-25"/>
              </w:rPr>
              <w:t xml:space="preserve"> </w:t>
            </w:r>
            <w:r>
              <w:rPr>
                <w:spacing w:val="-2"/>
              </w:rPr>
              <w:t>13300</w:t>
            </w:r>
            <w:r>
              <w:rPr>
                <w:spacing w:val="-40"/>
              </w:rPr>
              <w:t xml:space="preserve"> </w:t>
            </w:r>
            <w:r>
              <w:rPr>
                <w:spacing w:val="-2"/>
              </w:rPr>
              <w:t>公</w:t>
            </w:r>
            <w:r>
              <w:rPr>
                <w:spacing w:val="-3"/>
              </w:rPr>
              <w:t>顷。</w:t>
            </w:r>
          </w:p>
        </w:tc>
      </w:tr>
    </w:tbl>
    <w:p>
      <w:pPr>
        <w:ind w:left="438"/>
        <w:spacing w:before="159" w:line="164" w:lineRule="auto"/>
        <w:outlineLvl w:val="0"/>
        <w:rPr>
          <w:rFonts w:ascii="KaiTi" w:hAnsi="KaiTi" w:eastAsia="KaiTi" w:cs="KaiTi"/>
          <w:sz w:val="18"/>
          <w:szCs w:val="18"/>
        </w:rPr>
      </w:pPr>
      <w:r>
        <w:rPr>
          <w:rFonts w:ascii="Microsoft YaHei" w:hAnsi="Microsoft YaHei" w:eastAsia="Microsoft YaHei" w:cs="Microsoft YaHei"/>
          <w:sz w:val="18"/>
          <w:szCs w:val="18"/>
          <w:spacing w:val="-3"/>
        </w:rPr>
        <w:t>注</w:t>
      </w:r>
      <w:r>
        <w:rPr>
          <w:rFonts w:ascii="Microsoft YaHei" w:hAnsi="Microsoft YaHei" w:eastAsia="Microsoft YaHei" w:cs="Microsoft YaHei"/>
          <w:sz w:val="18"/>
          <w:szCs w:val="18"/>
          <w:spacing w:val="-9"/>
        </w:rPr>
        <w:t xml:space="preserve"> </w:t>
      </w:r>
      <w:r>
        <w:rPr>
          <w:rFonts w:ascii="Microsoft YaHei" w:hAnsi="Microsoft YaHei" w:eastAsia="Microsoft YaHei" w:cs="Microsoft YaHei"/>
          <w:sz w:val="18"/>
          <w:szCs w:val="18"/>
          <w:spacing w:val="-3"/>
        </w:rPr>
        <w:t>：</w:t>
      </w:r>
      <w:r>
        <w:rPr>
          <w:rFonts w:ascii="KaiTi" w:hAnsi="KaiTi" w:eastAsia="KaiTi" w:cs="KaiTi"/>
          <w:sz w:val="18"/>
          <w:szCs w:val="18"/>
          <w:spacing w:val="-3"/>
        </w:rPr>
        <w:t>项目名称右上角标“#”的为基础设施十大项</w:t>
      </w:r>
      <w:r>
        <w:rPr>
          <w:rFonts w:ascii="KaiTi" w:hAnsi="KaiTi" w:eastAsia="KaiTi" w:cs="KaiTi"/>
          <w:sz w:val="18"/>
          <w:szCs w:val="18"/>
          <w:spacing w:val="-47"/>
        </w:rPr>
        <w:t xml:space="preserve"> </w:t>
      </w:r>
      <w:r>
        <w:rPr>
          <w:rFonts w:ascii="KaiTi" w:hAnsi="KaiTi" w:eastAsia="KaiTi" w:cs="KaiTi"/>
          <w:sz w:val="18"/>
          <w:szCs w:val="18"/>
          <w:spacing w:val="-3"/>
        </w:rPr>
        <w:t>目。</w:t>
      </w:r>
    </w:p>
    <w:p>
      <w:pPr>
        <w:spacing w:line="164" w:lineRule="auto"/>
        <w:sectPr>
          <w:type w:val="continuous"/>
          <w:pgSz w:w="11906" w:h="16839"/>
          <w:pgMar w:top="1793" w:right="1521" w:bottom="1570" w:left="1521" w:header="1428" w:footer="1172" w:gutter="0"/>
          <w:cols w:equalWidth="0" w:num="1">
            <w:col w:w="8864" w:space="0"/>
          </w:cols>
        </w:sectPr>
        <w:rPr>
          <w:rFonts w:ascii="KaiTi" w:hAnsi="KaiTi" w:eastAsia="KaiTi" w:cs="KaiTi"/>
          <w:sz w:val="18"/>
          <w:szCs w:val="18"/>
        </w:rPr>
      </w:pPr>
    </w:p>
    <w:p>
      <w:pPr>
        <w:spacing w:before="53"/>
        <w:rPr/>
      </w:pPr>
      <w:r>
        <w:drawing>
          <wp:anchor distT="0" distB="0" distL="0" distR="0" simplePos="0" relativeHeight="251811840"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460" name="IM 460"/>
            <wp:cNvGraphicFramePr/>
            <a:graphic>
              <a:graphicData uri="http://schemas.openxmlformats.org/drawingml/2006/picture">
                <pic:pic>
                  <pic:nvPicPr>
                    <pic:cNvPr id="460" name="IM 460"/>
                    <pic:cNvPicPr/>
                  </pic:nvPicPr>
                  <pic:blipFill>
                    <a:blip r:embed="rId232"/>
                    <a:stretch>
                      <a:fillRect/>
                    </a:stretch>
                  </pic:blipFill>
                  <pic:spPr>
                    <a:xfrm rot="0">
                      <a:off x="0" y="0"/>
                      <a:ext cx="5579745" cy="7619"/>
                    </a:xfrm>
                    <a:prstGeom prst="rect">
                      <a:avLst/>
                    </a:prstGeom>
                  </pic:spPr>
                </pic:pic>
              </a:graphicData>
            </a:graphic>
          </wp:anchor>
        </w:drawing>
      </w:r>
      <w:r/>
    </w:p>
    <w:p>
      <w:pPr>
        <w:sectPr>
          <w:headerReference w:type="default" r:id="rId188"/>
          <w:footerReference w:type="default" r:id="rId231"/>
          <w:pgSz w:w="11906" w:h="16839"/>
          <w:pgMar w:top="1793" w:right="1489" w:bottom="1673" w:left="1565" w:header="1428" w:footer="1277" w:gutter="0"/>
          <w:cols w:equalWidth="0" w:num="1">
            <w:col w:w="8852" w:space="0"/>
          </w:cols>
        </w:sectPr>
        <w:rPr/>
      </w:pPr>
    </w:p>
    <w:p>
      <w:pPr>
        <w:pStyle w:val="BodyText"/>
        <w:ind w:left="631"/>
        <w:spacing w:before="41" w:line="223" w:lineRule="auto"/>
        <w:outlineLvl w:val="0"/>
        <w:rPr/>
      </w:pPr>
      <w:r>
        <w:rPr>
          <w:b/>
          <w:bCs/>
          <w:spacing w:val="7"/>
        </w:rPr>
        <w:t>第二节</w:t>
      </w:r>
      <w:r>
        <w:rPr>
          <w:spacing w:val="7"/>
        </w:rPr>
        <w:t xml:space="preserve">  </w:t>
      </w:r>
      <w:r>
        <w:rPr>
          <w:b/>
          <w:bCs/>
          <w:spacing w:val="7"/>
        </w:rPr>
        <w:t>深化重点领域污染防治</w:t>
      </w:r>
    </w:p>
    <w:p>
      <w:pPr>
        <w:spacing w:line="252" w:lineRule="auto"/>
        <w:rPr>
          <w:rFonts w:ascii="Arial"/>
          <w:sz w:val="21"/>
        </w:rPr>
      </w:pPr>
      <w:r/>
    </w:p>
    <w:p>
      <w:pPr>
        <w:spacing w:line="253" w:lineRule="auto"/>
        <w:rPr>
          <w:rFonts w:ascii="Arial"/>
          <w:sz w:val="21"/>
        </w:rPr>
      </w:pPr>
      <w:r/>
    </w:p>
    <w:p>
      <w:pPr>
        <w:pStyle w:val="BodyText"/>
        <w:ind w:left="451"/>
        <w:spacing w:before="65" w:line="223" w:lineRule="auto"/>
        <w:rPr/>
      </w:pPr>
      <w:r>
        <w:rPr>
          <w:spacing w:val="6"/>
        </w:rPr>
        <w:t>实行严格的生态环境保护制度，坚持综合</w:t>
      </w:r>
    </w:p>
    <w:p>
      <w:pPr>
        <w:pStyle w:val="BodyText"/>
        <w:ind w:left="30"/>
        <w:spacing w:before="179" w:line="222" w:lineRule="auto"/>
        <w:outlineLvl w:val="0"/>
        <w:rPr/>
      </w:pPr>
      <w:r>
        <w:rPr>
          <w:spacing w:val="9"/>
        </w:rPr>
        <w:t>治理、系统治理、源头治理，持续打好蓝天、</w:t>
      </w:r>
    </w:p>
    <w:p>
      <w:pPr>
        <w:pStyle w:val="BodyText"/>
        <w:ind w:left="29" w:right="321" w:hanging="2"/>
        <w:spacing w:before="176" w:line="389" w:lineRule="auto"/>
        <w:rPr/>
      </w:pPr>
      <w:r>
        <w:rPr>
          <w:spacing w:val="7"/>
        </w:rPr>
        <w:t>碧水、净土保卫战，建立污染防治长效机制，</w:t>
      </w:r>
      <w:r>
        <w:rPr>
          <w:spacing w:val="8"/>
        </w:rPr>
        <w:t>持续改善环境质量。</w:t>
      </w:r>
    </w:p>
    <w:p>
      <w:pPr>
        <w:pStyle w:val="BodyText"/>
        <w:ind w:left="27" w:right="250" w:firstLine="421"/>
        <w:spacing w:before="1" w:line="304" w:lineRule="auto"/>
        <w:outlineLvl w:val="0"/>
        <w:rPr/>
      </w:pPr>
      <w:r>
        <w:rPr/>
        <w:t>坚持“四尘同治”，持续打好蓝天保卫战。</w:t>
      </w:r>
      <w:r>
        <w:rPr>
          <w:spacing w:val="18"/>
        </w:rPr>
        <w:t>对标环境空气质量指标制定管控措施和污染</w:t>
      </w:r>
    </w:p>
    <w:p>
      <w:pPr>
        <w:pStyle w:val="BodyText"/>
        <w:ind w:left="26" w:right="215" w:firstLine="5"/>
        <w:spacing w:before="171" w:line="388" w:lineRule="auto"/>
        <w:jc w:val="both"/>
        <w:rPr/>
      </w:pPr>
      <w:r>
        <w:rPr>
          <w:spacing w:val="10"/>
        </w:rPr>
        <w:t>源减排清单，全地域全时段全过程推进煤尘、</w:t>
      </w:r>
      <w:r>
        <w:rPr>
          <w:spacing w:val="1"/>
        </w:rPr>
        <w:t>烟尘、汽尘、扬尘“</w:t>
      </w:r>
      <w:r>
        <w:rPr>
          <w:spacing w:val="-63"/>
        </w:rPr>
        <w:t xml:space="preserve"> </w:t>
      </w:r>
      <w:r>
        <w:rPr>
          <w:spacing w:val="1"/>
        </w:rPr>
        <w:t>四尘同治”。“控煤尘”，</w:t>
      </w:r>
      <w:r>
        <w:rPr>
          <w:spacing w:val="7"/>
        </w:rPr>
        <w:t>实行煤炭消费总量控制，严控高耗煤行业新增</w:t>
      </w:r>
      <w:r>
        <w:rPr>
          <w:spacing w:val="7"/>
        </w:rPr>
        <w:t>项目，淘汰不符合国家规定的燃煤锅炉，进一</w:t>
      </w:r>
      <w:r>
        <w:rPr>
          <w:spacing w:val="7"/>
        </w:rPr>
        <w:t>步推进固原市区、四县县城、乡镇所在地和城</w:t>
      </w:r>
      <w:r>
        <w:rPr>
          <w:spacing w:val="7"/>
        </w:rPr>
        <w:t>市周边等重点区域清洁供暖；推进农村清洁取</w:t>
      </w:r>
      <w:r>
        <w:rPr>
          <w:spacing w:val="7"/>
        </w:rPr>
        <w:t>暖，不断降低煤炭消费比重。“控烟尘”，全</w:t>
      </w:r>
      <w:r>
        <w:rPr>
          <w:spacing w:val="7"/>
        </w:rPr>
        <w:t>面推进工业窑炉淘汰和深度治理，加快推进火</w:t>
      </w:r>
      <w:r>
        <w:rPr>
          <w:spacing w:val="7"/>
        </w:rPr>
        <w:t>电等重点行业排放提标改造，深化挥发性有机</w:t>
      </w:r>
      <w:r>
        <w:rPr>
          <w:spacing w:val="7"/>
        </w:rPr>
        <w:t>物治理，严控可吸入颗粒物浓度，加强秸秆禁</w:t>
      </w:r>
      <w:r>
        <w:rPr>
          <w:spacing w:val="7"/>
        </w:rPr>
        <w:t>烧监管和资源化利用。“控汽尘”，建立机动</w:t>
      </w:r>
      <w:r>
        <w:rPr>
          <w:spacing w:val="11"/>
        </w:rPr>
        <w:t>车全防全控监管制度，加大老旧车淘汰力度，</w:t>
      </w:r>
      <w:r>
        <w:rPr>
          <w:spacing w:val="7"/>
        </w:rPr>
        <w:t>整治柴油货车尾气超标排放；加快新能源汽车</w:t>
      </w:r>
      <w:r>
        <w:rPr>
          <w:spacing w:val="7"/>
        </w:rPr>
        <w:t>推广使用，推进新能源汽车有序替换存量燃油</w:t>
      </w:r>
      <w:r>
        <w:rPr>
          <w:spacing w:val="7"/>
        </w:rPr>
        <w:t>公交车。“控扬尘”，严格落实建筑、拆迁工</w:t>
      </w:r>
      <w:r>
        <w:rPr>
          <w:spacing w:val="12"/>
        </w:rPr>
        <w:t>地“6</w:t>
      </w:r>
      <w:r>
        <w:rPr>
          <w:spacing w:val="-30"/>
        </w:rPr>
        <w:t xml:space="preserve"> </w:t>
      </w:r>
      <w:r>
        <w:rPr>
          <w:spacing w:val="12"/>
        </w:rPr>
        <w:t>个</w:t>
      </w:r>
      <w:r>
        <w:rPr>
          <w:spacing w:val="-18"/>
        </w:rPr>
        <w:t xml:space="preserve"> </w:t>
      </w:r>
      <w:r>
        <w:rPr>
          <w:spacing w:val="12"/>
        </w:rPr>
        <w:t>100%”抑尘措施</w:t>
      </w:r>
      <w:r>
        <w:rPr>
          <w:spacing w:val="-56"/>
        </w:rPr>
        <w:t xml:space="preserve"> </w:t>
      </w:r>
      <w:r>
        <w:rPr>
          <w:spacing w:val="12"/>
        </w:rPr>
        <w:t>，最大限度减少城</w:t>
      </w:r>
      <w:r>
        <w:rPr>
          <w:spacing w:val="7"/>
        </w:rPr>
        <w:t>市建成区裸露地面，提高城市建成区道路机械</w:t>
      </w:r>
      <w:r>
        <w:rPr>
          <w:spacing w:val="7"/>
        </w:rPr>
        <w:t>化清扫率。</w:t>
      </w:r>
    </w:p>
    <w:p>
      <w:pPr>
        <w:pStyle w:val="BodyText"/>
        <w:ind w:left="28" w:right="250" w:firstLine="420"/>
        <w:spacing w:before="3" w:line="303" w:lineRule="auto"/>
        <w:outlineLvl w:val="0"/>
        <w:rPr/>
      </w:pPr>
      <w:r>
        <w:rPr/>
        <w:t>坚持“五河共治”，持续打好碧水保卫战。</w:t>
      </w:r>
      <w:r>
        <w:rPr>
          <w:spacing w:val="7"/>
        </w:rPr>
        <w:t>坚决守好水环境质量只能变好、不能变差的底</w:t>
      </w:r>
    </w:p>
    <w:p>
      <w:pPr>
        <w:pStyle w:val="BodyText"/>
        <w:ind w:left="27" w:right="327" w:firstLine="1"/>
        <w:spacing w:before="181" w:line="334" w:lineRule="auto"/>
        <w:jc w:val="both"/>
        <w:rPr/>
      </w:pPr>
      <w:r>
        <w:rPr>
          <w:spacing w:val="7"/>
        </w:rPr>
        <w:t>线。全面排查入河排污口，确保入河直排口零</w:t>
      </w:r>
      <w:r>
        <w:rPr>
          <w:spacing w:val="7"/>
        </w:rPr>
        <w:t>增长。实施市区第三污水处理厂、泾源污水处</w:t>
      </w:r>
      <w:r>
        <w:rPr>
          <w:spacing w:val="7"/>
        </w:rPr>
        <w:t>理厂二期、彭阳第二污水处理厂等项目，推进</w:t>
      </w:r>
    </w:p>
    <w:p>
      <w:pPr>
        <w:spacing w:line="14" w:lineRule="auto"/>
        <w:rPr>
          <w:rFonts w:ascii="Arial"/>
          <w:sz w:val="2"/>
        </w:rPr>
      </w:pPr>
      <w:r>
        <w:rPr>
          <w:rFonts w:ascii="Arial" w:hAnsi="Arial" w:eastAsia="Arial" w:cs="Arial"/>
          <w:sz w:val="2"/>
          <w:szCs w:val="2"/>
        </w:rPr>
        <w:br w:type="column"/>
      </w:r>
    </w:p>
    <w:p>
      <w:pPr>
        <w:pStyle w:val="BodyText"/>
        <w:ind w:right="92" w:firstLine="18"/>
        <w:spacing w:before="63" w:line="387" w:lineRule="auto"/>
        <w:jc w:val="both"/>
        <w:rPr/>
      </w:pPr>
      <w:r>
        <w:rPr>
          <w:spacing w:val="6"/>
        </w:rPr>
        <w:t>园区企业污水达标排放。推进城镇污水处理中</w:t>
      </w:r>
      <w:r>
        <w:rPr>
          <w:spacing w:val="7"/>
        </w:rPr>
        <w:t>水回用工程和城乡再生水循环利用项目，科学</w:t>
      </w:r>
      <w:r>
        <w:rPr>
          <w:spacing w:val="7"/>
        </w:rPr>
        <w:t>规范实施马铃薯淀粉加工废水汁水还田，加强</w:t>
      </w:r>
      <w:r>
        <w:rPr>
          <w:spacing w:val="7"/>
        </w:rPr>
        <w:t>废水处理技术攻关和生产工艺改造，确保达标</w:t>
      </w:r>
      <w:r>
        <w:rPr>
          <w:spacing w:val="7"/>
        </w:rPr>
        <w:t>利用和排放；加快农村生活污水治理利用，坚</w:t>
      </w:r>
      <w:r>
        <w:rPr>
          <w:spacing w:val="7"/>
        </w:rPr>
        <w:t>持再生水“宜用则用、排放从严”。加快清水</w:t>
      </w:r>
      <w:r>
        <w:rPr>
          <w:spacing w:val="7"/>
        </w:rPr>
        <w:t>河、葫芦河、渝河、泾河、茹河、红河、蒲河</w:t>
      </w:r>
      <w:r>
        <w:rPr>
          <w:spacing w:val="7"/>
        </w:rPr>
        <w:t>等市域骨干河流生态缓冲带和人工湿地建设，</w:t>
      </w:r>
      <w:r>
        <w:rPr>
          <w:spacing w:val="7"/>
        </w:rPr>
        <w:t>深入开展水源地保护专项行动，对六盘山水源</w:t>
      </w:r>
      <w:r>
        <w:rPr>
          <w:spacing w:val="7"/>
        </w:rPr>
        <w:t>核心区，坚决退出旅游项目，严禁游客进入；</w:t>
      </w:r>
      <w:r>
        <w:rPr>
          <w:spacing w:val="18"/>
        </w:rPr>
        <w:t>实施县级以上集中式饮用水水源地规范化建</w:t>
      </w:r>
      <w:r>
        <w:rPr>
          <w:spacing w:val="7"/>
        </w:rPr>
        <w:t>设项目，推进地下水污染防治修复，确保水源</w:t>
      </w:r>
      <w:r>
        <w:rPr>
          <w:spacing w:val="8"/>
        </w:rPr>
        <w:t>地水质达到国家标准。</w:t>
      </w:r>
    </w:p>
    <w:p>
      <w:pPr>
        <w:pStyle w:val="BodyText"/>
        <w:ind w:right="23" w:firstLine="423"/>
        <w:spacing w:before="2" w:line="320" w:lineRule="auto"/>
        <w:outlineLvl w:val="0"/>
        <w:rPr/>
      </w:pPr>
      <w:r>
        <w:rPr/>
        <w:t>坚持“六废联治”，持续打好净土保卫战。</w:t>
      </w:r>
      <w:r>
        <w:rPr>
          <w:spacing w:val="4"/>
        </w:rPr>
        <w:t>认真总结推广各县（</w:t>
      </w:r>
      <w:r>
        <w:rPr>
          <w:spacing w:val="-33"/>
        </w:rPr>
        <w:t xml:space="preserve"> </w:t>
      </w:r>
      <w:r>
        <w:rPr>
          <w:spacing w:val="4"/>
        </w:rPr>
        <w:t>区）成功做法和经验，探</w:t>
      </w:r>
    </w:p>
    <w:p>
      <w:pPr>
        <w:pStyle w:val="BodyText"/>
        <w:ind w:left="3" w:right="81" w:firstLine="1"/>
        <w:spacing w:before="144" w:line="388" w:lineRule="auto"/>
        <w:jc w:val="both"/>
        <w:rPr/>
      </w:pPr>
      <w:r>
        <w:rPr>
          <w:spacing w:val="7"/>
        </w:rPr>
        <w:t>索建立“村子的污染村上解决”良好机制，深</w:t>
      </w:r>
      <w:r>
        <w:rPr>
          <w:spacing w:val="7"/>
        </w:rPr>
        <w:t>入开展清废行动，严格管控固体废物、危险废</w:t>
      </w:r>
      <w:r>
        <w:rPr>
          <w:spacing w:val="7"/>
        </w:rPr>
        <w:t>物、建筑垃圾、生活垃圾、畜禽粪污、电子废</w:t>
      </w:r>
      <w:r>
        <w:rPr>
          <w:spacing w:val="7"/>
        </w:rPr>
        <w:t>弃物。抓好农业面源污染防治，加快农村养殖</w:t>
      </w:r>
      <w:r>
        <w:rPr>
          <w:spacing w:val="7"/>
        </w:rPr>
        <w:t>“出户入园”，落实“一控两减三利用”，严</w:t>
      </w:r>
      <w:r>
        <w:rPr>
          <w:spacing w:val="7"/>
        </w:rPr>
        <w:t>控农业用水总量，减少化肥和农药使用量，实</w:t>
      </w:r>
      <w:r>
        <w:rPr>
          <w:spacing w:val="8"/>
        </w:rPr>
        <w:t>现畜禽粪便、农作物秸秆、农膜资源化利用。</w:t>
      </w:r>
    </w:p>
    <w:p>
      <w:pPr>
        <w:pStyle w:val="BodyText"/>
        <w:ind w:left="3" w:right="101" w:firstLine="421"/>
        <w:spacing w:line="305" w:lineRule="auto"/>
        <w:outlineLvl w:val="0"/>
        <w:rPr/>
      </w:pPr>
      <w:r>
        <w:rPr>
          <w:spacing w:val="6"/>
        </w:rPr>
        <w:t>深入持久推进城镇脏乱区域集中整治，有</w:t>
      </w:r>
      <w:r>
        <w:rPr>
          <w:spacing w:val="7"/>
        </w:rPr>
        <w:t>效治理流动摊点污染。严格落实垃圾分类管理</w:t>
      </w:r>
    </w:p>
    <w:p>
      <w:pPr>
        <w:pStyle w:val="BodyText"/>
        <w:ind w:left="1" w:right="20" w:firstLine="4"/>
        <w:spacing w:before="179" w:line="359" w:lineRule="auto"/>
        <w:jc w:val="both"/>
        <w:rPr/>
      </w:pPr>
      <w:r>
        <w:rPr>
          <w:spacing w:val="1"/>
        </w:rPr>
        <w:t>责任人制度，发挥各级党政机关、企事业单位、</w:t>
      </w:r>
      <w:r>
        <w:rPr>
          <w:spacing w:val="7"/>
        </w:rPr>
        <w:t>社会团体及居民小区作用，把垃圾分类纳入社</w:t>
      </w:r>
      <w:r>
        <w:rPr>
          <w:spacing w:val="7"/>
        </w:rPr>
        <w:t>区治理，推动市民文明习惯养成。完善垃圾分</w:t>
      </w:r>
      <w:r>
        <w:rPr>
          <w:spacing w:val="7"/>
        </w:rPr>
        <w:t>类收集设施网络和运输体系，坚决淘汰垃圾填</w:t>
      </w:r>
      <w:r>
        <w:rPr>
          <w:spacing w:val="7"/>
        </w:rPr>
        <w:t>埋处理，全面推行垃圾资源化综合利用。聚焦</w:t>
      </w:r>
      <w:r>
        <w:rPr>
          <w:spacing w:val="7"/>
        </w:rPr>
        <w:t>重点行业和关键环节，持续从源头上促进垃圾</w:t>
      </w:r>
      <w:r>
        <w:rPr>
          <w:spacing w:val="8"/>
        </w:rPr>
        <w:t>减量，提高垃圾资源化利用。</w:t>
      </w:r>
    </w:p>
    <w:p>
      <w:pPr>
        <w:spacing w:line="359" w:lineRule="auto"/>
        <w:sectPr>
          <w:type w:val="continuous"/>
          <w:pgSz w:w="11906" w:h="16839"/>
          <w:pgMar w:top="1793" w:right="1489" w:bottom="1673" w:left="1565" w:header="1428" w:footer="1277" w:gutter="0"/>
          <w:cols w:equalWidth="0" w:num="2">
            <w:col w:w="4502" w:space="100"/>
            <w:col w:w="4251" w:space="0"/>
          </w:cols>
        </w:sectPr>
        <w:rPr/>
      </w:pPr>
    </w:p>
    <w:p>
      <w:pPr>
        <w:ind w:left="2935"/>
        <w:spacing w:before="230" w:line="216" w:lineRule="auto"/>
        <w:rPr>
          <w:rFonts w:ascii="Microsoft YaHei" w:hAnsi="Microsoft YaHei" w:eastAsia="Microsoft YaHei" w:cs="Microsoft YaHei"/>
          <w:sz w:val="20"/>
          <w:szCs w:val="20"/>
        </w:rPr>
      </w:pPr>
      <w:r>
        <w:drawing>
          <wp:anchor distT="0" distB="0" distL="0" distR="0" simplePos="0" relativeHeight="251813888" behindDoc="0" locked="0" layoutInCell="1" allowOverlap="1">
            <wp:simplePos x="0" y="0"/>
            <wp:positionH relativeFrom="column">
              <wp:posOffset>42291</wp:posOffset>
            </wp:positionH>
            <wp:positionV relativeFrom="paragraph">
              <wp:posOffset>25314</wp:posOffset>
            </wp:positionV>
            <wp:extent cx="5579745" cy="7619"/>
            <wp:effectExtent l="0" t="0" r="0" b="0"/>
            <wp:wrapNone/>
            <wp:docPr id="466" name="IM 466"/>
            <wp:cNvGraphicFramePr/>
            <a:graphic>
              <a:graphicData uri="http://schemas.openxmlformats.org/drawingml/2006/picture">
                <pic:pic>
                  <pic:nvPicPr>
                    <pic:cNvPr id="466" name="IM 466"/>
                    <pic:cNvPicPr/>
                  </pic:nvPicPr>
                  <pic:blipFill>
                    <a:blip r:embed="rId235"/>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专栏 11</w:t>
      </w:r>
      <w:r>
        <w:rPr>
          <w:rFonts w:ascii="Microsoft YaHei" w:hAnsi="Microsoft YaHei" w:eastAsia="Microsoft YaHei" w:cs="Microsoft YaHei"/>
          <w:sz w:val="20"/>
          <w:szCs w:val="20"/>
          <w:spacing w:val="18"/>
        </w:rPr>
        <w:t xml:space="preserve">   </w:t>
      </w:r>
      <w:r>
        <w:rPr>
          <w:rFonts w:ascii="Microsoft YaHei" w:hAnsi="Microsoft YaHei" w:eastAsia="Microsoft YaHei" w:cs="Microsoft YaHei"/>
          <w:sz w:val="20"/>
          <w:szCs w:val="20"/>
          <w:spacing w:val="5"/>
        </w:rPr>
        <w:t>污染防治重点项目工程</w:t>
      </w:r>
    </w:p>
    <w:p>
      <w:pPr>
        <w:spacing w:line="228" w:lineRule="exact"/>
        <w:rPr/>
      </w:pPr>
      <w:r/>
    </w:p>
    <w:tbl>
      <w:tblPr>
        <w:tblStyle w:val="TableNormal"/>
        <w:tblW w:w="8848" w:type="dxa"/>
        <w:tblInd w:w="7" w:type="dxa"/>
        <w:tblLayout w:type="fixed"/>
        <w:tblBorders>
          <w:left w:val="single" w:color="000000" w:sz="6" w:space="0"/>
          <w:bottom w:val="single" w:color="000000" w:sz="6" w:space="0"/>
          <w:right w:val="single" w:color="000000" w:sz="6" w:space="0"/>
          <w:top w:val="single" w:color="000000" w:sz="6" w:space="0"/>
        </w:tblBorders>
      </w:tblPr>
      <w:tblGrid>
        <w:gridCol w:w="8848"/>
      </w:tblGrid>
      <w:tr>
        <w:trPr>
          <w:trHeight w:val="5109" w:hRule="atLeast"/>
        </w:trPr>
        <w:tc>
          <w:tcPr>
            <w:tcW w:w="8848" w:type="dxa"/>
            <w:vAlign w:val="top"/>
          </w:tcPr>
          <w:p>
            <w:pPr>
              <w:pStyle w:val="TableText"/>
              <w:ind w:left="105" w:right="92" w:firstLine="436"/>
              <w:spacing w:before="122" w:line="322" w:lineRule="auto"/>
              <w:rPr/>
            </w:pPr>
            <w:r>
              <w:rPr>
                <w:b/>
                <w:bCs/>
                <w:spacing w:val="-1"/>
              </w:rPr>
              <w:t>1.水生态综合治理项目</w:t>
            </w:r>
            <w:r>
              <w:rPr>
                <w:spacing w:val="-1"/>
              </w:rPr>
              <w:t>：在泾河、茹河、渝河、葫芦河、颉河流域</w:t>
            </w:r>
            <w:r>
              <w:rPr>
                <w:spacing w:val="-2"/>
              </w:rPr>
              <w:t>新建地方级湿地公园5</w:t>
            </w:r>
            <w:r>
              <w:rPr>
                <w:spacing w:val="-40"/>
              </w:rPr>
              <w:t xml:space="preserve"> </w:t>
            </w:r>
            <w:r>
              <w:rPr>
                <w:spacing w:val="-2"/>
              </w:rPr>
              <w:t>个，续建固原清</w:t>
            </w:r>
            <w:r>
              <w:rPr>
                <w:spacing w:val="-1"/>
              </w:rPr>
              <w:t>水河国家湿地公园；实施原州区清水河流域环境综合整治，配备垃圾分类箱</w:t>
            </w:r>
            <w:r>
              <w:rPr>
                <w:spacing w:val="-27"/>
              </w:rPr>
              <w:t xml:space="preserve"> </w:t>
            </w:r>
            <w:r>
              <w:rPr>
                <w:spacing w:val="-1"/>
              </w:rPr>
              <w:t>640</w:t>
            </w:r>
            <w:r>
              <w:rPr>
                <w:spacing w:val="-40"/>
              </w:rPr>
              <w:t xml:space="preserve"> </w:t>
            </w:r>
            <w:r>
              <w:rPr>
                <w:spacing w:val="-1"/>
              </w:rPr>
              <w:t>个、垃圾清运箱</w:t>
            </w:r>
            <w:r>
              <w:rPr>
                <w:spacing w:val="-37"/>
              </w:rPr>
              <w:t xml:space="preserve"> </w:t>
            </w:r>
            <w:r>
              <w:rPr>
                <w:spacing w:val="-1"/>
              </w:rPr>
              <w:t>320</w:t>
            </w:r>
            <w:r>
              <w:rPr>
                <w:spacing w:val="-42"/>
              </w:rPr>
              <w:t xml:space="preserve"> </w:t>
            </w:r>
            <w:r>
              <w:rPr>
                <w:spacing w:val="-1"/>
              </w:rPr>
              <w:t>个、电动</w:t>
            </w:r>
            <w:r>
              <w:rPr/>
              <w:t>垃圾车</w:t>
            </w:r>
            <w:r>
              <w:rPr>
                <w:spacing w:val="-28"/>
              </w:rPr>
              <w:t xml:space="preserve"> </w:t>
            </w:r>
            <w:r>
              <w:rPr/>
              <w:t>320</w:t>
            </w:r>
            <w:r>
              <w:rPr>
                <w:spacing w:val="-39"/>
              </w:rPr>
              <w:t xml:space="preserve"> </w:t>
            </w:r>
            <w:r>
              <w:rPr/>
              <w:t>辆、勾臂垃圾车</w:t>
            </w:r>
            <w:r>
              <w:rPr>
                <w:spacing w:val="-34"/>
              </w:rPr>
              <w:t xml:space="preserve"> </w:t>
            </w:r>
            <w:r>
              <w:rPr/>
              <w:t>36</w:t>
            </w:r>
            <w:r>
              <w:rPr>
                <w:spacing w:val="-38"/>
              </w:rPr>
              <w:t xml:space="preserve"> </w:t>
            </w:r>
            <w:r>
              <w:rPr/>
              <w:t>辆、吸污车</w:t>
            </w:r>
            <w:r>
              <w:rPr>
                <w:spacing w:val="-23"/>
              </w:rPr>
              <w:t xml:space="preserve"> </w:t>
            </w:r>
            <w:r>
              <w:rPr/>
              <w:t>15</w:t>
            </w:r>
            <w:r>
              <w:rPr>
                <w:spacing w:val="-40"/>
              </w:rPr>
              <w:t xml:space="preserve"> </w:t>
            </w:r>
            <w:r>
              <w:rPr/>
              <w:t>辆；配置建设垃圾中转站</w:t>
            </w:r>
            <w:r>
              <w:rPr>
                <w:spacing w:val="-34"/>
              </w:rPr>
              <w:t xml:space="preserve"> </w:t>
            </w:r>
            <w:r>
              <w:rPr/>
              <w:t>36</w:t>
            </w:r>
            <w:r>
              <w:rPr>
                <w:spacing w:val="-41"/>
              </w:rPr>
              <w:t xml:space="preserve"> </w:t>
            </w:r>
            <w:r>
              <w:rPr/>
              <w:t>个，清水河两岸配建景观、桥梁、</w:t>
            </w:r>
            <w:r>
              <w:rPr/>
              <w:t>排污管网等设施；开展葫芦河县城段生态治理；实施隆德县水源地保护工</w:t>
            </w:r>
            <w:r>
              <w:rPr>
                <w:spacing w:val="-1"/>
              </w:rPr>
              <w:t>程；新建固原市第三污水处理厂；完</w:t>
            </w:r>
            <w:r>
              <w:rPr/>
              <w:t>善彭阳县茹河瀑布游客服务中心、停车场、给水管网等基础设</w:t>
            </w:r>
            <w:r>
              <w:rPr>
                <w:spacing w:val="-1"/>
              </w:rPr>
              <w:t>施建设。</w:t>
            </w:r>
          </w:p>
          <w:p>
            <w:pPr>
              <w:pStyle w:val="TableText"/>
              <w:ind w:left="105" w:right="95" w:firstLine="421"/>
              <w:spacing w:before="131" w:line="314" w:lineRule="auto"/>
              <w:rPr/>
            </w:pPr>
            <w:r>
              <w:rPr>
                <w:b/>
                <w:bCs/>
              </w:rPr>
              <w:t>2.固原市河流重点乡镇治污工程</w:t>
            </w:r>
            <w:r>
              <w:rPr/>
              <w:t>：原州区在清水河</w:t>
            </w:r>
            <w:r>
              <w:rPr>
                <w:spacing w:val="-1"/>
              </w:rPr>
              <w:t>新建彭堡镇、张易镇污水处理厂（站</w:t>
            </w:r>
            <w:r>
              <w:rPr>
                <w:spacing w:val="-39"/>
              </w:rPr>
              <w:t>）；</w:t>
            </w:r>
            <w:r>
              <w:rPr>
                <w:spacing w:val="-1"/>
              </w:rPr>
              <w:t>泾源县新建污</w:t>
            </w:r>
            <w:r>
              <w:rPr/>
              <w:t>水处理厂尾水生态湿地处理工程、县城排水雨污分流一期工程；彭阳县在</w:t>
            </w:r>
            <w:r>
              <w:rPr>
                <w:spacing w:val="-1"/>
              </w:rPr>
              <w:t>洪河沿线新集乡、洪河镇各村新建污</w:t>
            </w:r>
            <w:r>
              <w:rPr>
                <w:spacing w:val="-2"/>
              </w:rPr>
              <w:t>水处理站</w:t>
            </w:r>
            <w:r>
              <w:rPr>
                <w:spacing w:val="-24"/>
              </w:rPr>
              <w:t xml:space="preserve"> </w:t>
            </w:r>
            <w:r>
              <w:rPr>
                <w:spacing w:val="-2"/>
              </w:rPr>
              <w:t>19</w:t>
            </w:r>
            <w:r>
              <w:rPr>
                <w:spacing w:val="-40"/>
              </w:rPr>
              <w:t xml:space="preserve"> </w:t>
            </w:r>
            <w:r>
              <w:rPr>
                <w:spacing w:val="-2"/>
              </w:rPr>
              <w:t>座，修建人工湿地等。</w:t>
            </w:r>
          </w:p>
          <w:p>
            <w:pPr>
              <w:pStyle w:val="TableText"/>
              <w:ind w:left="109" w:right="92" w:firstLine="421"/>
              <w:spacing w:before="100" w:line="283" w:lineRule="auto"/>
              <w:rPr/>
            </w:pPr>
            <w:r>
              <w:rPr>
                <w:b/>
                <w:bCs/>
                <w:spacing w:val="-2"/>
              </w:rPr>
              <w:t>3.固原市污染土壤修复项目：</w:t>
            </w:r>
            <w:r>
              <w:rPr>
                <w:spacing w:val="-2"/>
              </w:rPr>
              <w:t>污染物富及的区域进行物理化学修复、生物修复、根标过滤、植物</w:t>
            </w:r>
            <w:r>
              <w:rPr>
                <w:spacing w:val="-3"/>
              </w:rPr>
              <w:t>固定、植</w:t>
            </w:r>
            <w:r>
              <w:rPr>
                <w:spacing w:val="-1"/>
              </w:rPr>
              <w:t>物挥发、微生物修复、慢速渗滤以及土壤原位修复。</w:t>
            </w:r>
          </w:p>
          <w:p>
            <w:pPr>
              <w:pStyle w:val="TableText"/>
              <w:ind w:left="104" w:right="89" w:firstLine="420"/>
              <w:spacing w:before="127" w:line="298" w:lineRule="auto"/>
              <w:rPr/>
            </w:pPr>
            <w:r>
              <w:rPr>
                <w:b/>
                <w:bCs/>
              </w:rPr>
              <w:t>4.固原市第三污水处理厂及再生水回用项目</w:t>
            </w:r>
            <w:r>
              <w:rPr/>
              <w:t>：建设日处理污水</w:t>
            </w:r>
            <w:r>
              <w:rPr>
                <w:spacing w:val="-26"/>
              </w:rPr>
              <w:t xml:space="preserve"> </w:t>
            </w:r>
            <w:r>
              <w:rPr/>
              <w:t>2</w:t>
            </w:r>
            <w:r>
              <w:rPr>
                <w:spacing w:val="-38"/>
              </w:rPr>
              <w:t xml:space="preserve"> </w:t>
            </w:r>
            <w:r>
              <w:rPr/>
              <w:t>万立方米污水处理厂；对城市已有的</w:t>
            </w:r>
            <w:r>
              <w:rPr>
                <w:spacing w:val="-37"/>
              </w:rPr>
              <w:t xml:space="preserve"> </w:t>
            </w:r>
            <w:r>
              <w:rPr/>
              <w:t>28</w:t>
            </w:r>
            <w:r>
              <w:rPr>
                <w:spacing w:val="1"/>
              </w:rPr>
              <w:t>公里中水管网进行回水管网联通，新建中水管网2</w:t>
            </w:r>
            <w:r>
              <w:rPr>
                <w:spacing w:val="-31"/>
              </w:rPr>
              <w:t xml:space="preserve"> </w:t>
            </w:r>
            <w:r>
              <w:rPr>
                <w:spacing w:val="1"/>
              </w:rPr>
              <w:t>公里。</w:t>
            </w:r>
          </w:p>
          <w:p>
            <w:pPr>
              <w:pStyle w:val="TableText"/>
              <w:ind w:left="106" w:right="85" w:firstLine="421"/>
              <w:spacing w:before="100" w:line="306" w:lineRule="auto"/>
              <w:rPr/>
            </w:pPr>
            <w:r>
              <w:rPr>
                <w:b/>
                <w:bCs/>
                <w:spacing w:val="-2"/>
              </w:rPr>
              <w:t>5.园区污水垃圾处理及乡镇生活垃圾分类收运处理工程</w:t>
            </w:r>
            <w:r>
              <w:rPr>
                <w:spacing w:val="-2"/>
              </w:rPr>
              <w:t>：新材料产业</w:t>
            </w:r>
            <w:r>
              <w:rPr>
                <w:spacing w:val="-3"/>
              </w:rPr>
              <w:t>园实施雨污分流和垃圾收运工程；原</w:t>
            </w:r>
            <w:r>
              <w:rPr>
                <w:spacing w:val="-1"/>
              </w:rPr>
              <w:t>州区建设占地</w:t>
            </w:r>
            <w:r>
              <w:rPr>
                <w:spacing w:val="-32"/>
              </w:rPr>
              <w:t xml:space="preserve"> </w:t>
            </w:r>
            <w:r>
              <w:rPr>
                <w:spacing w:val="-1"/>
              </w:rPr>
              <w:t>30</w:t>
            </w:r>
            <w:r>
              <w:rPr>
                <w:spacing w:val="-38"/>
              </w:rPr>
              <w:t xml:space="preserve"> </w:t>
            </w:r>
            <w:r>
              <w:rPr>
                <w:spacing w:val="-1"/>
              </w:rPr>
              <w:t>亩可回收垃圾收集站；西吉县建设乡镇垃圾转运站</w:t>
            </w:r>
            <w:r>
              <w:rPr>
                <w:spacing w:val="-39"/>
              </w:rPr>
              <w:t xml:space="preserve"> </w:t>
            </w:r>
            <w:r>
              <w:rPr>
                <w:spacing w:val="-1"/>
              </w:rPr>
              <w:t>20</w:t>
            </w:r>
            <w:r>
              <w:rPr>
                <w:spacing w:val="-43"/>
              </w:rPr>
              <w:t xml:space="preserve"> </w:t>
            </w:r>
            <w:r>
              <w:rPr>
                <w:spacing w:val="-1"/>
              </w:rPr>
              <w:t>个；隆德县配备陈靳乡等</w:t>
            </w:r>
            <w:r>
              <w:rPr>
                <w:spacing w:val="-41"/>
              </w:rPr>
              <w:t xml:space="preserve"> </w:t>
            </w:r>
            <w:r>
              <w:rPr>
                <w:spacing w:val="-1"/>
              </w:rPr>
              <w:t>7</w:t>
            </w:r>
            <w:r>
              <w:rPr>
                <w:spacing w:val="-43"/>
              </w:rPr>
              <w:t xml:space="preserve"> </w:t>
            </w:r>
            <w:r>
              <w:rPr>
                <w:spacing w:val="-1"/>
              </w:rPr>
              <w:t>个乡镇垃圾</w:t>
            </w:r>
            <w:r>
              <w:rPr>
                <w:spacing w:val="-2"/>
              </w:rPr>
              <w:t>箱</w:t>
            </w:r>
            <w:r>
              <w:rPr>
                <w:spacing w:val="-34"/>
              </w:rPr>
              <w:t xml:space="preserve"> </w:t>
            </w:r>
            <w:r>
              <w:rPr>
                <w:spacing w:val="-2"/>
              </w:rPr>
              <w:t>850</w:t>
            </w:r>
            <w:r>
              <w:rPr>
                <w:spacing w:val="-42"/>
              </w:rPr>
              <w:t xml:space="preserve"> </w:t>
            </w:r>
            <w:r>
              <w:rPr>
                <w:spacing w:val="-2"/>
              </w:rPr>
              <w:t>个、压缩车</w:t>
            </w:r>
            <w:r>
              <w:rPr>
                <w:spacing w:val="-39"/>
              </w:rPr>
              <w:t xml:space="preserve"> </w:t>
            </w:r>
            <w:r>
              <w:rPr>
                <w:spacing w:val="-2"/>
              </w:rPr>
              <w:t>3</w:t>
            </w:r>
            <w:r>
              <w:rPr>
                <w:spacing w:val="-39"/>
              </w:rPr>
              <w:t xml:space="preserve"> </w:t>
            </w:r>
            <w:r>
              <w:rPr>
                <w:spacing w:val="-2"/>
              </w:rPr>
              <w:t>辆、小钩臂车</w:t>
            </w:r>
            <w:r>
              <w:rPr>
                <w:spacing w:val="-27"/>
              </w:rPr>
              <w:t xml:space="preserve"> </w:t>
            </w:r>
            <w:r>
              <w:rPr>
                <w:spacing w:val="-2"/>
              </w:rPr>
              <w:t>12</w:t>
            </w:r>
            <w:r>
              <w:rPr>
                <w:spacing w:val="-41"/>
              </w:rPr>
              <w:t xml:space="preserve"> </w:t>
            </w:r>
            <w:r>
              <w:rPr>
                <w:spacing w:val="-2"/>
              </w:rPr>
              <w:t>辆，餐厨收集车</w:t>
            </w:r>
            <w:r>
              <w:rPr>
                <w:spacing w:val="-24"/>
              </w:rPr>
              <w:t xml:space="preserve"> </w:t>
            </w:r>
            <w:r>
              <w:rPr>
                <w:spacing w:val="-2"/>
              </w:rPr>
              <w:t>1</w:t>
            </w:r>
            <w:r>
              <w:rPr>
                <w:spacing w:val="-41"/>
              </w:rPr>
              <w:t xml:space="preserve"> </w:t>
            </w:r>
            <w:r>
              <w:rPr>
                <w:spacing w:val="-2"/>
              </w:rPr>
              <w:t>辆；对已建成垃圾填埋场维修治理。</w:t>
            </w:r>
          </w:p>
        </w:tc>
      </w:tr>
    </w:tbl>
    <w:p>
      <w:pPr>
        <w:rPr>
          <w:rFonts w:ascii="Arial"/>
          <w:sz w:val="21"/>
        </w:rPr>
      </w:pPr>
      <w:r/>
    </w:p>
    <w:p>
      <w:pPr>
        <w:spacing w:before="11"/>
        <w:rPr/>
      </w:pPr>
      <w:r/>
    </w:p>
    <w:p>
      <w:pPr>
        <w:sectPr>
          <w:headerReference w:type="default" r:id="rId233"/>
          <w:footerReference w:type="default" r:id="rId234"/>
          <w:pgSz w:w="11906" w:h="16839"/>
          <w:pgMar w:top="1793" w:right="1478" w:bottom="1570" w:left="1521" w:header="1428" w:footer="1172" w:gutter="0"/>
          <w:cols w:equalWidth="0" w:num="1">
            <w:col w:w="8907" w:space="0"/>
          </w:cols>
        </w:sectPr>
        <w:rPr/>
      </w:pPr>
    </w:p>
    <w:p>
      <w:pPr>
        <w:pStyle w:val="BodyText"/>
        <w:ind w:left="674"/>
        <w:spacing w:before="51" w:line="222" w:lineRule="auto"/>
        <w:outlineLvl w:val="0"/>
        <w:rPr/>
      </w:pPr>
      <w:r>
        <w:rPr>
          <w:b/>
          <w:bCs/>
          <w:spacing w:val="7"/>
        </w:rPr>
        <w:t>第三节</w:t>
      </w:r>
      <w:r>
        <w:rPr>
          <w:spacing w:val="7"/>
        </w:rPr>
        <w:t xml:space="preserve">  </w:t>
      </w:r>
      <w:r>
        <w:rPr>
          <w:b/>
          <w:bCs/>
          <w:spacing w:val="7"/>
        </w:rPr>
        <w:t>全面提高资源利用效率</w:t>
      </w:r>
    </w:p>
    <w:p>
      <w:pPr>
        <w:spacing w:line="245" w:lineRule="auto"/>
        <w:rPr>
          <w:rFonts w:ascii="Arial"/>
          <w:sz w:val="21"/>
        </w:rPr>
      </w:pPr>
      <w:r/>
    </w:p>
    <w:p>
      <w:pPr>
        <w:spacing w:line="246" w:lineRule="auto"/>
        <w:rPr>
          <w:rFonts w:ascii="Arial"/>
          <w:sz w:val="21"/>
        </w:rPr>
      </w:pPr>
      <w:r/>
    </w:p>
    <w:p>
      <w:pPr>
        <w:pStyle w:val="BodyText"/>
        <w:ind w:left="72" w:right="329" w:firstLine="421"/>
        <w:spacing w:before="65" w:line="296" w:lineRule="auto"/>
        <w:outlineLvl w:val="0"/>
        <w:rPr/>
      </w:pPr>
      <w:r>
        <w:rPr>
          <w:spacing w:val="6"/>
        </w:rPr>
        <w:t>牢固树立节约集约循环利用的资源观，严</w:t>
      </w:r>
      <w:r>
        <w:rPr>
          <w:spacing w:val="7"/>
        </w:rPr>
        <w:t>控资源利用上线，落实水资源、能源、建设用</w:t>
      </w:r>
    </w:p>
    <w:p>
      <w:pPr>
        <w:pStyle w:val="BodyText"/>
        <w:ind w:left="70" w:right="329" w:firstLine="1"/>
        <w:spacing w:before="156" w:line="369" w:lineRule="auto"/>
        <w:rPr/>
      </w:pPr>
      <w:r>
        <w:rPr>
          <w:spacing w:val="7"/>
        </w:rPr>
        <w:t>地总量和强度“双控”管理，建设资源节约性</w:t>
      </w:r>
      <w:r>
        <w:rPr>
          <w:spacing w:val="4"/>
        </w:rPr>
        <w:t>社会。</w:t>
      </w:r>
    </w:p>
    <w:p>
      <w:pPr>
        <w:pStyle w:val="BodyText"/>
        <w:ind w:left="68" w:right="329" w:firstLine="422"/>
        <w:spacing w:before="4" w:line="295" w:lineRule="auto"/>
        <w:outlineLvl w:val="0"/>
        <w:rPr/>
      </w:pPr>
      <w:r>
        <w:rPr>
          <w:spacing w:val="7"/>
        </w:rPr>
        <w:t>集约高效利用资源。落实生态保护、基本</w:t>
      </w:r>
      <w:r>
        <w:rPr>
          <w:spacing w:val="7"/>
        </w:rPr>
        <w:t>农田、城镇开发空间管控边界，严格管控生态</w:t>
      </w:r>
    </w:p>
    <w:p>
      <w:pPr>
        <w:pStyle w:val="BodyText"/>
        <w:ind w:left="68" w:right="306" w:firstLine="6"/>
        <w:spacing w:before="160" w:line="349" w:lineRule="auto"/>
        <w:jc w:val="both"/>
        <w:rPr/>
      </w:pPr>
      <w:r>
        <w:rPr>
          <w:spacing w:val="7"/>
        </w:rPr>
        <w:t>红线。加强重点行业废水、废气、废渣和余热</w:t>
      </w:r>
      <w:r>
        <w:rPr>
          <w:spacing w:val="15"/>
        </w:rPr>
        <w:t>余压循环利用</w:t>
      </w:r>
      <w:r>
        <w:rPr>
          <w:spacing w:val="-38"/>
        </w:rPr>
        <w:t xml:space="preserve"> </w:t>
      </w:r>
      <w:r>
        <w:rPr>
          <w:spacing w:val="15"/>
        </w:rPr>
        <w:t>，建设盐化工循环经济示范基</w:t>
      </w:r>
      <w:r>
        <w:rPr>
          <w:spacing w:val="8"/>
        </w:rPr>
        <w:t>地、大宗固体废弃物资源综合利用示范基地、</w:t>
      </w:r>
      <w:r>
        <w:rPr>
          <w:spacing w:val="18"/>
        </w:rPr>
        <w:t>餐厨废弃物资源化利用和无害化处理试点及</w:t>
      </w:r>
      <w:r>
        <w:rPr>
          <w:spacing w:val="7"/>
        </w:rPr>
        <w:t>循环化示范企业等循环经济示范点。围绕国家</w:t>
      </w:r>
      <w:r>
        <w:rPr>
          <w:spacing w:val="7"/>
        </w:rPr>
        <w:t>级产业废物综合利用示范基地建设，实施资源</w:t>
      </w:r>
      <w:r>
        <w:rPr>
          <w:spacing w:val="18"/>
        </w:rPr>
        <w:t>循环利用绿色建材基地、生活垃圾资源化利</w:t>
      </w:r>
      <w:r>
        <w:rPr>
          <w:spacing w:val="7"/>
        </w:rPr>
        <w:t>用、再制造产业示范、余热余压深度利用等循</w:t>
      </w:r>
      <w:r>
        <w:rPr>
          <w:spacing w:val="7"/>
        </w:rPr>
        <w:t>环经济工程，重点建设王洼煤矿煤矸石综合利</w:t>
      </w:r>
    </w:p>
    <w:p>
      <w:pPr>
        <w:spacing w:line="14" w:lineRule="auto"/>
        <w:rPr>
          <w:rFonts w:ascii="Arial"/>
          <w:sz w:val="2"/>
        </w:rPr>
      </w:pPr>
      <w:r>
        <w:rPr>
          <w:rFonts w:ascii="Arial" w:hAnsi="Arial" w:eastAsia="Arial" w:cs="Arial"/>
          <w:sz w:val="2"/>
          <w:szCs w:val="2"/>
        </w:rPr>
        <w:br w:type="column"/>
      </w:r>
    </w:p>
    <w:p>
      <w:pPr>
        <w:pStyle w:val="BodyText"/>
        <w:ind w:right="109" w:firstLine="2"/>
        <w:spacing w:before="43" w:line="370" w:lineRule="auto"/>
        <w:jc w:val="both"/>
        <w:rPr/>
      </w:pPr>
      <w:r>
        <w:rPr>
          <w:spacing w:val="8"/>
        </w:rPr>
        <w:t>用、宁夏建材</w:t>
      </w:r>
      <w:r>
        <w:rPr>
          <w:spacing w:val="-12"/>
        </w:rPr>
        <w:t xml:space="preserve"> </w:t>
      </w:r>
      <w:r>
        <w:rPr>
          <w:spacing w:val="8"/>
        </w:rPr>
        <w:t>100</w:t>
      </w:r>
      <w:r>
        <w:rPr>
          <w:spacing w:val="-38"/>
        </w:rPr>
        <w:t xml:space="preserve"> </w:t>
      </w:r>
      <w:r>
        <w:rPr>
          <w:spacing w:val="8"/>
        </w:rPr>
        <w:t>万吨绿色建材暨</w:t>
      </w:r>
      <w:r>
        <w:rPr>
          <w:spacing w:val="-34"/>
        </w:rPr>
        <w:t xml:space="preserve"> </w:t>
      </w:r>
      <w:r>
        <w:rPr>
          <w:spacing w:val="8"/>
        </w:rPr>
        <w:t>50</w:t>
      </w:r>
      <w:r>
        <w:rPr>
          <w:spacing w:val="-38"/>
        </w:rPr>
        <w:t xml:space="preserve"> </w:t>
      </w:r>
      <w:r>
        <w:rPr>
          <w:spacing w:val="8"/>
        </w:rPr>
        <w:t>万吨建</w:t>
      </w:r>
      <w:r>
        <w:rPr>
          <w:spacing w:val="7"/>
        </w:rPr>
        <w:t>筑废弃物综合利用、开源节能蒸压加气混凝土</w:t>
      </w:r>
      <w:r>
        <w:rPr>
          <w:spacing w:val="8"/>
        </w:rPr>
        <w:t>板材等项目</w:t>
      </w:r>
      <w:r>
        <w:rPr>
          <w:spacing w:val="-49"/>
        </w:rPr>
        <w:t xml:space="preserve"> </w:t>
      </w:r>
      <w:r>
        <w:rPr>
          <w:spacing w:val="8"/>
        </w:rPr>
        <w:t>，到</w:t>
      </w:r>
      <w:r>
        <w:rPr>
          <w:spacing w:val="-37"/>
        </w:rPr>
        <w:t xml:space="preserve"> </w:t>
      </w:r>
      <w:r>
        <w:rPr>
          <w:spacing w:val="8"/>
        </w:rPr>
        <w:t>2025</w:t>
      </w:r>
      <w:r>
        <w:rPr>
          <w:spacing w:val="-36"/>
        </w:rPr>
        <w:t xml:space="preserve"> </w:t>
      </w:r>
      <w:r>
        <w:rPr>
          <w:spacing w:val="8"/>
        </w:rPr>
        <w:t>年全市工业固体废弃物</w:t>
      </w:r>
      <w:r>
        <w:rPr>
          <w:spacing w:val="9"/>
        </w:rPr>
        <w:t>综合利用率达到</w:t>
      </w:r>
      <w:r>
        <w:rPr>
          <w:spacing w:val="-39"/>
        </w:rPr>
        <w:t xml:space="preserve"> </w:t>
      </w:r>
      <w:r>
        <w:rPr>
          <w:spacing w:val="9"/>
        </w:rPr>
        <w:t>80%。综合利用水资源，</w:t>
      </w:r>
      <w:r>
        <w:rPr>
          <w:spacing w:val="8"/>
        </w:rPr>
        <w:t>建设</w:t>
      </w:r>
      <w:r>
        <w:rPr>
          <w:spacing w:val="7"/>
        </w:rPr>
        <w:t>雨水集蓄利用工程，实现降水就地截留、收集</w:t>
      </w:r>
      <w:r>
        <w:rPr>
          <w:spacing w:val="7"/>
        </w:rPr>
        <w:t>利用；实施水库水系连通、生态湿地修复等工</w:t>
      </w:r>
      <w:r>
        <w:rPr>
          <w:spacing w:val="7"/>
        </w:rPr>
        <w:t>程，科学调度洪水滞蓄，稳步推进洪水资源化</w:t>
      </w:r>
      <w:r>
        <w:rPr>
          <w:spacing w:val="6"/>
        </w:rPr>
        <w:t>利用</w:t>
      </w:r>
      <w:r>
        <w:rPr>
          <w:spacing w:val="-46"/>
        </w:rPr>
        <w:t xml:space="preserve"> </w:t>
      </w:r>
      <w:r>
        <w:rPr>
          <w:spacing w:val="6"/>
        </w:rPr>
        <w:t>，大力推广中水应用</w:t>
      </w:r>
      <w:r>
        <w:rPr>
          <w:spacing w:val="-59"/>
        </w:rPr>
        <w:t xml:space="preserve"> </w:t>
      </w:r>
      <w:r>
        <w:rPr>
          <w:spacing w:val="6"/>
        </w:rPr>
        <w:t>，到</w:t>
      </w:r>
      <w:r>
        <w:rPr>
          <w:spacing w:val="-39"/>
        </w:rPr>
        <w:t xml:space="preserve"> </w:t>
      </w:r>
      <w:r>
        <w:rPr>
          <w:spacing w:val="6"/>
        </w:rPr>
        <w:t>2025</w:t>
      </w:r>
      <w:r>
        <w:rPr>
          <w:spacing w:val="-34"/>
        </w:rPr>
        <w:t xml:space="preserve"> </w:t>
      </w:r>
      <w:r>
        <w:rPr>
          <w:spacing w:val="6"/>
        </w:rPr>
        <w:t>年利用率</w:t>
      </w:r>
      <w:r>
        <w:rPr>
          <w:spacing w:val="13"/>
        </w:rPr>
        <w:t>达到</w:t>
      </w:r>
      <w:r>
        <w:rPr>
          <w:spacing w:val="-36"/>
        </w:rPr>
        <w:t xml:space="preserve"> </w:t>
      </w:r>
      <w:r>
        <w:rPr>
          <w:spacing w:val="13"/>
        </w:rPr>
        <w:t>85%以上。</w:t>
      </w:r>
    </w:p>
    <w:p>
      <w:pPr>
        <w:pStyle w:val="BodyText"/>
        <w:ind w:right="48" w:firstLine="422"/>
        <w:spacing w:line="294" w:lineRule="auto"/>
        <w:outlineLvl w:val="0"/>
        <w:rPr/>
      </w:pPr>
      <w:r>
        <w:rPr>
          <w:spacing w:val="6"/>
        </w:rPr>
        <w:t>持续推广节约用水。坚持以水定城、以水</w:t>
      </w:r>
      <w:r>
        <w:rPr/>
        <w:t>定地、以水定人、以水定产，科学配置水资源，</w:t>
      </w:r>
    </w:p>
    <w:p>
      <w:pPr>
        <w:pStyle w:val="BodyText"/>
        <w:spacing w:before="161" w:line="339" w:lineRule="auto"/>
        <w:jc w:val="both"/>
        <w:rPr/>
      </w:pPr>
      <w:r>
        <w:rPr>
          <w:spacing w:val="7"/>
        </w:rPr>
        <w:t>严格能耗物耗准入门槛，支撑发展刚需。编制</w:t>
      </w:r>
      <w:r>
        <w:rPr>
          <w:spacing w:val="2"/>
        </w:rPr>
        <w:t>并实施《固原市高质量发展水安全保障规划》，</w:t>
      </w:r>
      <w:r>
        <w:rPr>
          <w:spacing w:val="7"/>
        </w:rPr>
        <w:t>细化覆盖各行业各领域的节水定额标准，对水</w:t>
      </w:r>
      <w:r>
        <w:rPr>
          <w:spacing w:val="7"/>
        </w:rPr>
        <w:t>资源超载地区实行用水和项目“双限批”。推</w:t>
      </w:r>
      <w:r>
        <w:rPr>
          <w:spacing w:val="7"/>
        </w:rPr>
        <w:t>广农业成套综合节水技术，大力发展节水型农</w:t>
      </w:r>
      <w:r>
        <w:rPr>
          <w:spacing w:val="7"/>
        </w:rPr>
        <w:t>业及工业、涵水型林业。实施工业节水增效行</w:t>
      </w:r>
    </w:p>
    <w:p>
      <w:pPr>
        <w:spacing w:line="339" w:lineRule="auto"/>
        <w:sectPr>
          <w:type w:val="continuous"/>
          <w:pgSz w:w="11906" w:h="16839"/>
          <w:pgMar w:top="1793" w:right="1478" w:bottom="1570" w:left="1521" w:header="1428" w:footer="1172" w:gutter="0"/>
          <w:cols w:equalWidth="0" w:num="2">
            <w:col w:w="4547" w:space="100"/>
            <w:col w:w="4260" w:space="0"/>
          </w:cols>
        </w:sectPr>
        <w:rPr/>
      </w:pPr>
    </w:p>
    <w:p>
      <w:pPr>
        <w:spacing w:before="51"/>
        <w:rPr/>
      </w:pPr>
      <w:r/>
    </w:p>
    <w:p>
      <w:pPr>
        <w:sectPr>
          <w:headerReference w:type="default" r:id="rId236"/>
          <w:footerReference w:type="default" r:id="rId237"/>
          <w:pgSz w:w="11906" w:h="16839"/>
          <w:pgMar w:top="1793" w:right="1489" w:bottom="1673" w:left="1521" w:header="1428" w:footer="1277" w:gutter="0"/>
          <w:cols w:equalWidth="0" w:num="1">
            <w:col w:w="8896" w:space="0"/>
          </w:cols>
        </w:sectPr>
        <w:rPr/>
      </w:pPr>
    </w:p>
    <w:p>
      <w:pPr>
        <w:pStyle w:val="BodyText"/>
        <w:ind w:left="70" w:right="327" w:firstLine="3"/>
        <w:spacing w:before="41" w:line="369" w:lineRule="auto"/>
        <w:jc w:val="both"/>
        <w:rPr/>
      </w:pPr>
      <w:r>
        <w:rPr>
          <w:spacing w:val="7"/>
        </w:rPr>
        <w:t>动，改造建设节水型工业园区，推动传统高耗</w:t>
      </w:r>
      <w:r>
        <w:rPr>
          <w:spacing w:val="7"/>
        </w:rPr>
        <w:t>水行业转型升级。鼓励西吉、隆德、泾源、彭</w:t>
      </w:r>
      <w:r>
        <w:rPr>
          <w:spacing w:val="18"/>
        </w:rPr>
        <w:t>阳四县根据实际选择重点区域先行开展海绵</w:t>
      </w:r>
      <w:r>
        <w:rPr>
          <w:spacing w:val="1"/>
        </w:rPr>
        <w:t>化改造和建设，全市用水总量控制在</w:t>
      </w:r>
      <w:r>
        <w:rPr>
          <w:spacing w:val="-29"/>
        </w:rPr>
        <w:t xml:space="preserve"> </w:t>
      </w:r>
      <w:r>
        <w:rPr>
          <w:spacing w:val="1"/>
        </w:rPr>
        <w:t>2.89</w:t>
      </w:r>
      <w:r>
        <w:rPr>
          <w:spacing w:val="-46"/>
        </w:rPr>
        <w:t xml:space="preserve"> </w:t>
      </w:r>
      <w:r>
        <w:rPr>
          <w:spacing w:val="1"/>
        </w:rPr>
        <w:t>亿立</w:t>
      </w:r>
      <w:r>
        <w:rPr>
          <w:spacing w:val="17"/>
        </w:rPr>
        <w:t>方米，单位</w:t>
      </w:r>
      <w:r>
        <w:rPr>
          <w:spacing w:val="-37"/>
        </w:rPr>
        <w:t xml:space="preserve"> </w:t>
      </w:r>
      <w:r>
        <w:rPr/>
        <w:t>GDP</w:t>
      </w:r>
      <w:r>
        <w:rPr>
          <w:spacing w:val="-43"/>
        </w:rPr>
        <w:t xml:space="preserve"> </w:t>
      </w:r>
      <w:r>
        <w:rPr>
          <w:spacing w:val="17"/>
        </w:rPr>
        <w:t>用水量较</w:t>
      </w:r>
      <w:r>
        <w:rPr>
          <w:spacing w:val="-39"/>
        </w:rPr>
        <w:t xml:space="preserve"> </w:t>
      </w:r>
      <w:r>
        <w:rPr>
          <w:spacing w:val="17"/>
        </w:rPr>
        <w:t>2020</w:t>
      </w:r>
      <w:r>
        <w:rPr>
          <w:spacing w:val="-39"/>
        </w:rPr>
        <w:t xml:space="preserve"> </w:t>
      </w:r>
      <w:r>
        <w:rPr>
          <w:spacing w:val="17"/>
        </w:rPr>
        <w:t>年下降8%。</w:t>
      </w:r>
    </w:p>
    <w:p>
      <w:pPr>
        <w:pStyle w:val="BodyText"/>
        <w:ind w:left="72" w:right="329" w:firstLine="417"/>
        <w:spacing w:before="1" w:line="296" w:lineRule="auto"/>
        <w:outlineLvl w:val="0"/>
        <w:rPr/>
      </w:pPr>
      <w:r>
        <w:rPr>
          <w:spacing w:val="7"/>
        </w:rPr>
        <w:t>严格节约集约利用土地。严控新增建设用</w:t>
      </w:r>
      <w:r>
        <w:rPr>
          <w:spacing w:val="7"/>
        </w:rPr>
        <w:t>地规模，盘活利用批而未供和闲置土地，全面</w:t>
      </w:r>
    </w:p>
    <w:p>
      <w:pPr>
        <w:pStyle w:val="BodyText"/>
        <w:ind w:left="74"/>
        <w:spacing w:before="161" w:line="222" w:lineRule="auto"/>
        <w:rPr/>
      </w:pPr>
      <w:r>
        <w:rPr>
          <w:spacing w:val="7"/>
        </w:rPr>
        <w:t>实施节地水平、产出效益双提升行动，不断提</w:t>
      </w:r>
    </w:p>
    <w:p>
      <w:pPr>
        <w:spacing w:line="162" w:lineRule="exact"/>
        <w:rPr/>
      </w:pPr>
      <w:r/>
    </w:p>
    <w:p>
      <w:pPr>
        <w:spacing w:line="14" w:lineRule="auto"/>
        <w:rPr>
          <w:rFonts w:ascii="Arial"/>
          <w:sz w:val="2"/>
        </w:rPr>
      </w:pPr>
      <w:r>
        <w:rPr>
          <w:rFonts w:ascii="Arial" w:hAnsi="Arial" w:eastAsia="Arial" w:cs="Arial"/>
          <w:sz w:val="2"/>
          <w:szCs w:val="2"/>
        </w:rPr>
        <w:br w:type="column"/>
      </w:r>
    </w:p>
    <w:p>
      <w:pPr>
        <w:pStyle w:val="BodyText"/>
        <w:ind w:right="36" w:firstLine="5"/>
        <w:spacing w:before="41" w:line="368" w:lineRule="auto"/>
        <w:rPr/>
      </w:pPr>
      <w:r>
        <w:rPr>
          <w:spacing w:val="17"/>
        </w:rPr>
        <w:t>升土地利用效率。实行最严格的耕地保护制</w:t>
      </w:r>
      <w:r>
        <w:rPr>
          <w:spacing w:val="7"/>
        </w:rPr>
        <w:t>度，健全和落实耕地保护执法监管共同责任机</w:t>
      </w:r>
      <w:r>
        <w:rPr>
          <w:spacing w:val="8"/>
        </w:rPr>
        <w:t>制，严守永久基本农田</w:t>
      </w:r>
      <w:r>
        <w:rPr>
          <w:spacing w:val="-50"/>
        </w:rPr>
        <w:t xml:space="preserve"> </w:t>
      </w:r>
      <w:r>
        <w:rPr>
          <w:spacing w:val="8"/>
        </w:rPr>
        <w:t>，严管城镇开发边界，</w:t>
      </w:r>
      <w:r>
        <w:rPr>
          <w:spacing w:val="18"/>
        </w:rPr>
        <w:t>严格落实耕地占补平衡。强化工业项目节约</w:t>
      </w:r>
      <w:r>
        <w:rPr>
          <w:spacing w:val="7"/>
        </w:rPr>
        <w:t>用地评价</w:t>
      </w:r>
      <w:r>
        <w:rPr>
          <w:spacing w:val="-41"/>
        </w:rPr>
        <w:t xml:space="preserve"> </w:t>
      </w:r>
      <w:r>
        <w:rPr>
          <w:spacing w:val="7"/>
        </w:rPr>
        <w:t>，到</w:t>
      </w:r>
      <w:r>
        <w:rPr>
          <w:spacing w:val="-37"/>
        </w:rPr>
        <w:t xml:space="preserve"> </w:t>
      </w:r>
      <w:r>
        <w:rPr>
          <w:spacing w:val="7"/>
        </w:rPr>
        <w:t>2025</w:t>
      </w:r>
      <w:r>
        <w:rPr>
          <w:spacing w:val="-36"/>
        </w:rPr>
        <w:t xml:space="preserve"> </w:t>
      </w:r>
      <w:r>
        <w:rPr>
          <w:spacing w:val="7"/>
        </w:rPr>
        <w:t>年</w:t>
      </w:r>
      <w:r>
        <w:rPr>
          <w:spacing w:val="-59"/>
        </w:rPr>
        <w:t xml:space="preserve"> </w:t>
      </w:r>
      <w:r>
        <w:rPr>
          <w:spacing w:val="7"/>
        </w:rPr>
        <w:t>，力争园区土地产值、</w:t>
      </w:r>
      <w:r>
        <w:rPr>
          <w:spacing w:val="18"/>
        </w:rPr>
        <w:t>投资强度、容积率等主要指标达到自治区平</w:t>
      </w:r>
      <w:r>
        <w:rPr>
          <w:spacing w:val="8"/>
        </w:rPr>
        <w:t>均水平。</w:t>
      </w:r>
    </w:p>
    <w:p>
      <w:pPr>
        <w:spacing w:line="368" w:lineRule="auto"/>
        <w:sectPr>
          <w:type w:val="continuous"/>
          <w:pgSz w:w="11906" w:h="16839"/>
          <w:pgMar w:top="1793" w:right="1489" w:bottom="1673" w:left="1521" w:header="1428" w:footer="1277" w:gutter="0"/>
          <w:cols w:equalWidth="0" w:num="2">
            <w:col w:w="4547" w:space="100"/>
            <w:col w:w="4249" w:space="0"/>
          </w:cols>
        </w:sectPr>
        <w:rPr/>
      </w:pPr>
    </w:p>
    <w:p>
      <w:pPr>
        <w:ind w:left="2726"/>
        <w:spacing w:before="286" w:line="186" w:lineRule="auto"/>
        <w:outlineLvl w:val="0"/>
        <w:rPr>
          <w:rFonts w:ascii="Microsoft YaHei" w:hAnsi="Microsoft YaHei" w:eastAsia="Microsoft YaHei" w:cs="Microsoft YaHei"/>
          <w:sz w:val="20"/>
          <w:szCs w:val="20"/>
        </w:rPr>
      </w:pPr>
      <w:r>
        <w:drawing>
          <wp:anchor distT="0" distB="0" distL="0" distR="0" simplePos="0" relativeHeight="251815936" behindDoc="0" locked="0" layoutInCell="1" allowOverlap="1">
            <wp:simplePos x="0" y="0"/>
            <wp:positionH relativeFrom="column">
              <wp:posOffset>42291</wp:posOffset>
            </wp:positionH>
            <wp:positionV relativeFrom="paragraph">
              <wp:posOffset>-2222241</wp:posOffset>
            </wp:positionV>
            <wp:extent cx="5579745" cy="7619"/>
            <wp:effectExtent l="0" t="0" r="0" b="0"/>
            <wp:wrapNone/>
            <wp:docPr id="472" name="IM 472"/>
            <wp:cNvGraphicFramePr/>
            <a:graphic>
              <a:graphicData uri="http://schemas.openxmlformats.org/drawingml/2006/picture">
                <pic:pic>
                  <pic:nvPicPr>
                    <pic:cNvPr id="472" name="IM 472"/>
                    <pic:cNvPicPr/>
                  </pic:nvPicPr>
                  <pic:blipFill>
                    <a:blip r:embed="rId238"/>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6"/>
        </w:rPr>
        <w:t>专栏 12</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6"/>
        </w:rPr>
        <w:t>资源节约利用重点项目工程</w:t>
      </w:r>
    </w:p>
    <w:tbl>
      <w:tblPr>
        <w:tblStyle w:val="TableNormal"/>
        <w:tblW w:w="8848" w:type="dxa"/>
        <w:tblInd w:w="7" w:type="dxa"/>
        <w:tblLayout w:type="fixed"/>
        <w:tblBorders>
          <w:left w:val="single" w:color="000000" w:sz="6" w:space="0"/>
          <w:bottom w:val="single" w:color="000000" w:sz="6" w:space="0"/>
          <w:right w:val="single" w:color="000000" w:sz="6" w:space="0"/>
          <w:top w:val="single" w:color="000000" w:sz="6" w:space="0"/>
        </w:tblBorders>
      </w:tblPr>
      <w:tblGrid>
        <w:gridCol w:w="8848"/>
      </w:tblGrid>
      <w:tr>
        <w:trPr>
          <w:trHeight w:val="4034" w:hRule="atLeast"/>
        </w:trPr>
        <w:tc>
          <w:tcPr>
            <w:tcW w:w="8848" w:type="dxa"/>
            <w:vAlign w:val="top"/>
          </w:tcPr>
          <w:p>
            <w:pPr>
              <w:pStyle w:val="TableText"/>
              <w:ind w:left="108" w:right="90" w:firstLine="434"/>
              <w:spacing w:before="264" w:line="283" w:lineRule="auto"/>
              <w:rPr/>
            </w:pPr>
            <w:r>
              <w:rPr>
                <w:b/>
                <w:bCs/>
                <w:spacing w:val="-3"/>
              </w:rPr>
              <w:t>1.固原市农村气代煤人居环境提升项目：</w:t>
            </w:r>
            <w:r>
              <w:rPr>
                <w:spacing w:val="-3"/>
              </w:rPr>
              <w:t>对固原市</w:t>
            </w:r>
            <w:r>
              <w:rPr>
                <w:spacing w:val="-32"/>
              </w:rPr>
              <w:t xml:space="preserve"> </w:t>
            </w:r>
            <w:r>
              <w:rPr>
                <w:spacing w:val="-3"/>
              </w:rPr>
              <w:t>52</w:t>
            </w:r>
            <w:r>
              <w:rPr>
                <w:spacing w:val="-41"/>
              </w:rPr>
              <w:t xml:space="preserve"> </w:t>
            </w:r>
            <w:r>
              <w:rPr>
                <w:spacing w:val="-3"/>
              </w:rPr>
              <w:t>个乡镇所辖行政村</w:t>
            </w:r>
            <w:r>
              <w:rPr>
                <w:spacing w:val="-42"/>
              </w:rPr>
              <w:t xml:space="preserve"> </w:t>
            </w:r>
            <w:r>
              <w:rPr>
                <w:spacing w:val="-3"/>
              </w:rPr>
              <w:t>24</w:t>
            </w:r>
            <w:r>
              <w:rPr>
                <w:spacing w:val="-38"/>
              </w:rPr>
              <w:t xml:space="preserve"> </w:t>
            </w:r>
            <w:r>
              <w:rPr>
                <w:spacing w:val="-3"/>
              </w:rPr>
              <w:t>万户农村居民实施天然气入户</w:t>
            </w:r>
            <w:r>
              <w:rPr>
                <w:spacing w:val="-1"/>
              </w:rPr>
              <w:t>改造、清洁能源取暖改造、水暖炕改造。</w:t>
            </w:r>
          </w:p>
          <w:p>
            <w:pPr>
              <w:pStyle w:val="TableText"/>
              <w:ind w:left="104" w:right="90" w:firstLine="422"/>
              <w:spacing w:before="127" w:line="284" w:lineRule="auto"/>
              <w:rPr/>
            </w:pPr>
            <w:r>
              <w:rPr>
                <w:b/>
                <w:bCs/>
                <w:spacing w:val="-2"/>
              </w:rPr>
              <w:t>2.固原市园区共享环保设施项目：</w:t>
            </w:r>
            <w:r>
              <w:rPr>
                <w:spacing w:val="-2"/>
              </w:rPr>
              <w:t>推进园区共享污水循环利用、固废循环利用经济模式，建设统一</w:t>
            </w:r>
            <w:r>
              <w:rPr>
                <w:spacing w:val="-3"/>
              </w:rPr>
              <w:t>环保设</w:t>
            </w:r>
            <w:r>
              <w:rPr/>
              <w:t>施，推进淀粉加工、纺织、牛羊屠宰等企业三废的处理设</w:t>
            </w:r>
            <w:r>
              <w:rPr>
                <w:spacing w:val="-1"/>
              </w:rPr>
              <w:t>施共享。</w:t>
            </w:r>
          </w:p>
          <w:p>
            <w:pPr>
              <w:pStyle w:val="TableText"/>
              <w:ind w:left="106" w:right="92" w:firstLine="424"/>
              <w:spacing w:before="129" w:line="314" w:lineRule="auto"/>
              <w:rPr/>
            </w:pPr>
            <w:r>
              <w:rPr>
                <w:b/>
                <w:bCs/>
                <w:spacing w:val="-2"/>
              </w:rPr>
              <w:t>3.王洼煤矿矸石资源综合利用项目：</w:t>
            </w:r>
            <w:r>
              <w:rPr>
                <w:spacing w:val="-2"/>
              </w:rPr>
              <w:t>依托王洼煤矿丰富的煤矸石</w:t>
            </w:r>
            <w:r>
              <w:rPr>
                <w:spacing w:val="-3"/>
              </w:rPr>
              <w:t>资源，规划建设矸石精选生产线</w:t>
            </w:r>
            <w:r>
              <w:rPr>
                <w:spacing w:val="-39"/>
              </w:rPr>
              <w:t xml:space="preserve"> </w:t>
            </w:r>
            <w:r>
              <w:rPr>
                <w:spacing w:val="-3"/>
              </w:rPr>
              <w:t>5</w:t>
            </w:r>
            <w:r>
              <w:rPr>
                <w:spacing w:val="-43"/>
              </w:rPr>
              <w:t xml:space="preserve"> </w:t>
            </w:r>
            <w:r>
              <w:rPr>
                <w:spacing w:val="-3"/>
              </w:rPr>
              <w:t>条，对</w:t>
            </w:r>
            <w:r>
              <w:rPr/>
              <w:t>热值较高煤矸石分拣再利用，依托下游企业制取结晶氯化铝、水玻璃等</w:t>
            </w:r>
            <w:r>
              <w:rPr>
                <w:spacing w:val="-1"/>
              </w:rPr>
              <w:t>高附加值化工产品，矸石渣等产品作为</w:t>
            </w:r>
            <w:r>
              <w:rPr>
                <w:spacing w:val="-1"/>
              </w:rPr>
              <w:t>金昱元、鑫卓能源等本地企业建材原材料回收利用。</w:t>
            </w:r>
          </w:p>
          <w:p>
            <w:pPr>
              <w:pStyle w:val="TableText"/>
              <w:ind w:left="107" w:right="85" w:firstLine="417"/>
              <w:spacing w:before="100" w:line="297" w:lineRule="auto"/>
              <w:rPr/>
            </w:pPr>
            <w:r>
              <w:rPr>
                <w:b/>
                <w:bCs/>
              </w:rPr>
              <w:t>4.固原天楹城市生活垃圾无害化利用项目：</w:t>
            </w:r>
            <w:r>
              <w:rPr/>
              <w:t>一期建设</w:t>
            </w:r>
            <w:r>
              <w:rPr>
                <w:spacing w:val="-31"/>
              </w:rPr>
              <w:t xml:space="preserve"> </w:t>
            </w:r>
            <w:r>
              <w:rPr/>
              <w:t>2</w:t>
            </w:r>
            <w:r>
              <w:rPr>
                <w:spacing w:val="-36"/>
              </w:rPr>
              <w:t xml:space="preserve"> </w:t>
            </w:r>
            <w:r>
              <w:rPr/>
              <w:t>条</w:t>
            </w:r>
            <w:r>
              <w:rPr>
                <w:spacing w:val="-37"/>
              </w:rPr>
              <w:t xml:space="preserve"> </w:t>
            </w:r>
            <w:r>
              <w:rPr/>
              <w:t>350</w:t>
            </w:r>
            <w:r>
              <w:rPr>
                <w:spacing w:val="-27"/>
              </w:rPr>
              <w:t xml:space="preserve"> </w:t>
            </w:r>
            <w:r>
              <w:rPr/>
              <w:t>吨/日生活垃圾焚烧生产线和</w:t>
            </w:r>
            <w:r>
              <w:rPr>
                <w:spacing w:val="-24"/>
              </w:rPr>
              <w:t xml:space="preserve"> </w:t>
            </w:r>
            <w:r>
              <w:rPr/>
              <w:t>1*15MW</w:t>
            </w:r>
            <w:r>
              <w:rPr>
                <w:spacing w:val="-32"/>
              </w:rPr>
              <w:t xml:space="preserve"> </w:t>
            </w:r>
            <w:r>
              <w:rPr/>
              <w:t>汽轮</w:t>
            </w:r>
            <w:r>
              <w:rPr>
                <w:spacing w:val="-1"/>
              </w:rPr>
              <w:t>发电机组；二期建设</w:t>
            </w:r>
            <w:r>
              <w:rPr>
                <w:spacing w:val="-25"/>
              </w:rPr>
              <w:t xml:space="preserve"> </w:t>
            </w:r>
            <w:r>
              <w:rPr>
                <w:spacing w:val="-1"/>
              </w:rPr>
              <w:t>1</w:t>
            </w:r>
            <w:r>
              <w:rPr>
                <w:spacing w:val="-43"/>
              </w:rPr>
              <w:t xml:space="preserve"> </w:t>
            </w:r>
            <w:r>
              <w:rPr>
                <w:spacing w:val="-1"/>
              </w:rPr>
              <w:t>条</w:t>
            </w:r>
            <w:r>
              <w:rPr>
                <w:spacing w:val="-37"/>
              </w:rPr>
              <w:t xml:space="preserve"> </w:t>
            </w:r>
            <w:r>
              <w:rPr>
                <w:spacing w:val="-1"/>
              </w:rPr>
              <w:t>350</w:t>
            </w:r>
            <w:r>
              <w:rPr>
                <w:spacing w:val="-27"/>
              </w:rPr>
              <w:t xml:space="preserve"> </w:t>
            </w:r>
            <w:r>
              <w:rPr>
                <w:spacing w:val="-1"/>
              </w:rPr>
              <w:t>吨/日生活垃圾焚烧生产线</w:t>
            </w:r>
            <w:r>
              <w:rPr>
                <w:spacing w:val="-2"/>
              </w:rPr>
              <w:t>和</w:t>
            </w:r>
            <w:r>
              <w:rPr>
                <w:spacing w:val="-25"/>
              </w:rPr>
              <w:t xml:space="preserve"> </w:t>
            </w:r>
            <w:r>
              <w:rPr>
                <w:spacing w:val="-2"/>
              </w:rPr>
              <w:t>1*7.5MW</w:t>
            </w:r>
            <w:r>
              <w:rPr>
                <w:spacing w:val="-38"/>
              </w:rPr>
              <w:t xml:space="preserve"> </w:t>
            </w:r>
            <w:r>
              <w:rPr>
                <w:spacing w:val="-2"/>
              </w:rPr>
              <w:t>汽轮发电机组。</w:t>
            </w:r>
          </w:p>
          <w:p>
            <w:pPr>
              <w:pStyle w:val="TableText"/>
              <w:ind w:left="106" w:right="92" w:firstLine="421"/>
              <w:spacing w:before="100" w:line="298" w:lineRule="auto"/>
              <w:rPr/>
            </w:pPr>
            <w:r>
              <w:rPr>
                <w:b/>
                <w:bCs/>
              </w:rPr>
              <w:t>5.固原市固废综合处理利用项目：</w:t>
            </w:r>
            <w:r>
              <w:rPr/>
              <w:t>建设一般工业固废贮存</w:t>
            </w:r>
            <w:r>
              <w:rPr>
                <w:spacing w:val="-1"/>
              </w:rPr>
              <w:t>场、年产</w:t>
            </w:r>
            <w:r>
              <w:rPr>
                <w:spacing w:val="-39"/>
              </w:rPr>
              <w:t xml:space="preserve"> </w:t>
            </w:r>
            <w:r>
              <w:rPr>
                <w:spacing w:val="-1"/>
              </w:rPr>
              <w:t>4000</w:t>
            </w:r>
            <w:r>
              <w:rPr>
                <w:spacing w:val="-39"/>
              </w:rPr>
              <w:t xml:space="preserve"> </w:t>
            </w:r>
            <w:r>
              <w:rPr>
                <w:spacing w:val="-1"/>
              </w:rPr>
              <w:t>万平方米新型高档饰面石膏板生</w:t>
            </w:r>
            <w:r>
              <w:rPr>
                <w:spacing w:val="-1"/>
              </w:rPr>
              <w:t>产线、30</w:t>
            </w:r>
            <w:r>
              <w:rPr>
                <w:spacing w:val="-23"/>
              </w:rPr>
              <w:t xml:space="preserve"> </w:t>
            </w:r>
            <w:r>
              <w:rPr>
                <w:spacing w:val="-1"/>
              </w:rPr>
              <w:t>万立方米真压气混凝土板生产线，配套建设基础设施。</w:t>
            </w:r>
          </w:p>
        </w:tc>
      </w:tr>
    </w:tbl>
    <w:p>
      <w:pPr>
        <w:rPr>
          <w:rFonts w:ascii="Arial"/>
          <w:sz w:val="21"/>
        </w:rPr>
      </w:pPr>
      <w:r/>
    </w:p>
    <w:p>
      <w:pPr>
        <w:spacing w:line="63" w:lineRule="exact"/>
        <w:rPr/>
      </w:pPr>
      <w:r/>
    </w:p>
    <w:p>
      <w:pPr>
        <w:spacing w:line="63" w:lineRule="exact"/>
        <w:sectPr>
          <w:type w:val="continuous"/>
          <w:pgSz w:w="11906" w:h="16839"/>
          <w:pgMar w:top="1793" w:right="1489" w:bottom="1673" w:left="1521" w:header="1428" w:footer="1277" w:gutter="0"/>
          <w:cols w:equalWidth="0" w:num="1">
            <w:col w:w="8896" w:space="0"/>
          </w:cols>
        </w:sectPr>
        <w:rPr/>
      </w:pPr>
    </w:p>
    <w:p>
      <w:pPr>
        <w:pStyle w:val="BodyText"/>
        <w:ind w:left="73" w:right="331" w:firstLine="419"/>
        <w:spacing w:before="41" w:line="295" w:lineRule="auto"/>
        <w:outlineLvl w:val="0"/>
        <w:rPr/>
      </w:pPr>
      <w:r>
        <w:rPr>
          <w:spacing w:val="6"/>
        </w:rPr>
        <w:t>加快推动绿色低碳发展。坚持一产利用生</w:t>
      </w:r>
      <w:r>
        <w:rPr>
          <w:spacing w:val="7"/>
        </w:rPr>
        <w:t>态、二产服从生态、三产保护生态，加快传统</w:t>
      </w:r>
    </w:p>
    <w:p>
      <w:pPr>
        <w:pStyle w:val="BodyText"/>
        <w:ind w:left="70" w:right="250" w:firstLine="1"/>
        <w:spacing w:before="156" w:line="351" w:lineRule="auto"/>
        <w:jc w:val="both"/>
        <w:rPr/>
      </w:pPr>
      <w:r>
        <w:rPr>
          <w:spacing w:val="7"/>
        </w:rPr>
        <w:t>产业绿色化改造，加快传统高耗能企业技术改</w:t>
      </w:r>
      <w:r>
        <w:rPr>
          <w:spacing w:val="7"/>
        </w:rPr>
        <w:t>造，积极引进科技含量高、能源消耗低的优势</w:t>
      </w:r>
      <w:r>
        <w:rPr>
          <w:spacing w:val="7"/>
        </w:rPr>
        <w:t>项目。优化工业内部结构，深入开展重点用能</w:t>
      </w:r>
      <w:r>
        <w:rPr>
          <w:spacing w:val="7"/>
        </w:rPr>
        <w:t>单位“百千万”行动，加强中铝宁夏能源集团</w:t>
      </w:r>
      <w:r>
        <w:rPr>
          <w:spacing w:val="7"/>
        </w:rPr>
        <w:t>有限公司六盘山热电厂、宁夏兴昊永胜盐业等</w:t>
      </w:r>
      <w:r>
        <w:rPr>
          <w:spacing w:val="11"/>
        </w:rPr>
        <w:t>重点用能单位能耗在线监测，提高能效水平，</w:t>
      </w:r>
      <w:r>
        <w:rPr>
          <w:spacing w:val="1"/>
        </w:rPr>
        <w:t>实现资源利用高效化、能耗最小化。利用能耗、</w:t>
      </w:r>
      <w:r>
        <w:rPr>
          <w:spacing w:val="7"/>
        </w:rPr>
        <w:t>安全、环保、技术等综合手段依法依规推动农</w:t>
      </w:r>
      <w:r>
        <w:rPr>
          <w:spacing w:val="11"/>
        </w:rPr>
        <w:t>副食品加工、建材等行业落后产能淘汰退出，</w:t>
      </w:r>
      <w:r>
        <w:rPr>
          <w:spacing w:val="8"/>
        </w:rPr>
        <w:t>为新兴产业发展留出空间。</w:t>
      </w:r>
    </w:p>
    <w:p>
      <w:pPr>
        <w:spacing w:line="14" w:lineRule="auto"/>
        <w:rPr>
          <w:rFonts w:ascii="Arial"/>
          <w:sz w:val="2"/>
        </w:rPr>
      </w:pPr>
      <w:r>
        <w:rPr>
          <w:rFonts w:ascii="Arial" w:hAnsi="Arial" w:eastAsia="Arial" w:cs="Arial"/>
          <w:sz w:val="2"/>
          <w:szCs w:val="2"/>
        </w:rPr>
        <w:br w:type="column"/>
      </w:r>
    </w:p>
    <w:p>
      <w:pPr>
        <w:pStyle w:val="BodyText"/>
        <w:ind w:left="603"/>
        <w:spacing w:before="235" w:line="221" w:lineRule="auto"/>
        <w:outlineLvl w:val="0"/>
        <w:rPr/>
      </w:pPr>
      <w:r>
        <w:rPr>
          <w:b/>
          <w:bCs/>
          <w:spacing w:val="7"/>
        </w:rPr>
        <w:t>第四节</w:t>
      </w:r>
      <w:r>
        <w:rPr>
          <w:spacing w:val="7"/>
        </w:rPr>
        <w:t xml:space="preserve">  </w:t>
      </w:r>
      <w:r>
        <w:rPr>
          <w:b/>
          <w:bCs/>
          <w:spacing w:val="7"/>
        </w:rPr>
        <w:t>建立生态文明体制机制</w:t>
      </w:r>
    </w:p>
    <w:p>
      <w:pPr>
        <w:spacing w:line="246" w:lineRule="auto"/>
        <w:rPr>
          <w:rFonts w:ascii="Arial"/>
          <w:sz w:val="21"/>
        </w:rPr>
      </w:pPr>
      <w:r/>
    </w:p>
    <w:p>
      <w:pPr>
        <w:spacing w:line="247" w:lineRule="auto"/>
        <w:rPr>
          <w:rFonts w:ascii="Arial"/>
          <w:sz w:val="21"/>
        </w:rPr>
      </w:pPr>
      <w:r/>
    </w:p>
    <w:p>
      <w:pPr>
        <w:pStyle w:val="BodyText"/>
        <w:ind w:left="15" w:right="101" w:firstLine="405"/>
        <w:spacing w:before="65" w:line="296" w:lineRule="auto"/>
        <w:outlineLvl w:val="0"/>
        <w:rPr/>
      </w:pPr>
      <w:r>
        <w:rPr>
          <w:spacing w:val="6"/>
        </w:rPr>
        <w:t>加强生态文明制度建设，积极促进建立跨</w:t>
      </w:r>
      <w:r>
        <w:rPr>
          <w:spacing w:val="6"/>
        </w:rPr>
        <w:t>区域生态补偿机制，全面实行排污许可制，健</w:t>
      </w:r>
    </w:p>
    <w:p>
      <w:pPr>
        <w:pStyle w:val="BodyText"/>
        <w:ind w:right="101"/>
        <w:spacing w:before="158" w:line="370" w:lineRule="auto"/>
        <w:jc w:val="both"/>
        <w:rPr/>
      </w:pPr>
      <w:r>
        <w:rPr>
          <w:spacing w:val="15"/>
        </w:rPr>
        <w:t>全完善生态监管体系</w:t>
      </w:r>
      <w:r>
        <w:rPr>
          <w:spacing w:val="-42"/>
        </w:rPr>
        <w:t xml:space="preserve"> </w:t>
      </w:r>
      <w:r>
        <w:rPr>
          <w:spacing w:val="15"/>
        </w:rPr>
        <w:t>，把生态文明建设的理</w:t>
      </w:r>
      <w:r>
        <w:rPr>
          <w:spacing w:val="7"/>
        </w:rPr>
        <w:t>念、原则、目标、要求深度融入到经济社会发</w:t>
      </w:r>
      <w:r>
        <w:rPr>
          <w:spacing w:val="8"/>
        </w:rPr>
        <w:t>展的各方面全过程。</w:t>
      </w:r>
    </w:p>
    <w:p>
      <w:pPr>
        <w:pStyle w:val="BodyText"/>
        <w:ind w:right="101" w:firstLine="419"/>
        <w:spacing w:before="15" w:line="306" w:lineRule="auto"/>
        <w:outlineLvl w:val="0"/>
        <w:rPr/>
      </w:pPr>
      <w:r>
        <w:rPr>
          <w:spacing w:val="7"/>
        </w:rPr>
        <w:t>探索建立跨区域生态补偿制度。争取建立</w:t>
      </w:r>
      <w:r>
        <w:rPr>
          <w:spacing w:val="7"/>
        </w:rPr>
        <w:t>六盘山水资源保护跨省生态补偿机制，设立六</w:t>
      </w:r>
    </w:p>
    <w:p>
      <w:pPr>
        <w:pStyle w:val="BodyText"/>
        <w:ind w:left="1" w:right="101"/>
        <w:spacing w:before="179" w:line="343" w:lineRule="auto"/>
        <w:rPr/>
      </w:pPr>
      <w:r>
        <w:rPr>
          <w:spacing w:val="7"/>
        </w:rPr>
        <w:t>盘山国家级生态补偿示范区。落实“谁受益谁</w:t>
      </w:r>
      <w:r>
        <w:rPr>
          <w:spacing w:val="7"/>
        </w:rPr>
        <w:t>补偿”的生态补偿原则，建立以中央纵向补偿</w:t>
      </w:r>
    </w:p>
    <w:p>
      <w:pPr>
        <w:spacing w:line="343" w:lineRule="auto"/>
        <w:sectPr>
          <w:type w:val="continuous"/>
          <w:pgSz w:w="11906" w:h="16839"/>
          <w:pgMar w:top="1793" w:right="1489" w:bottom="1673" w:left="1521" w:header="1428" w:footer="1277" w:gutter="0"/>
          <w:cols w:equalWidth="0" w:num="2">
            <w:col w:w="4549" w:space="100"/>
            <w:col w:w="4247" w:space="0"/>
          </w:cols>
        </w:sectPr>
        <w:rPr/>
      </w:pPr>
    </w:p>
    <w:p>
      <w:pPr>
        <w:spacing w:before="70"/>
        <w:rPr/>
      </w:pPr>
      <w:r>
        <w:drawing>
          <wp:anchor distT="0" distB="0" distL="0" distR="0" simplePos="0" relativeHeight="251817984"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478" name="IM 478"/>
            <wp:cNvGraphicFramePr/>
            <a:graphic>
              <a:graphicData uri="http://schemas.openxmlformats.org/drawingml/2006/picture">
                <pic:pic>
                  <pic:nvPicPr>
                    <pic:cNvPr id="478" name="IM 478"/>
                    <pic:cNvPicPr/>
                  </pic:nvPicPr>
                  <pic:blipFill>
                    <a:blip r:embed="rId241"/>
                    <a:stretch>
                      <a:fillRect/>
                    </a:stretch>
                  </pic:blipFill>
                  <pic:spPr>
                    <a:xfrm rot="0">
                      <a:off x="0" y="0"/>
                      <a:ext cx="5579745" cy="7619"/>
                    </a:xfrm>
                    <a:prstGeom prst="rect">
                      <a:avLst/>
                    </a:prstGeom>
                  </pic:spPr>
                </pic:pic>
              </a:graphicData>
            </a:graphic>
          </wp:anchor>
        </w:drawing>
      </w:r>
      <w:r/>
    </w:p>
    <w:p>
      <w:pPr>
        <w:sectPr>
          <w:headerReference w:type="default" r:id="rId239"/>
          <w:footerReference w:type="default" r:id="rId240"/>
          <w:pgSz w:w="11906" w:h="16839"/>
          <w:pgMar w:top="1793" w:right="1509" w:bottom="1570" w:left="1579" w:header="1428" w:footer="1172" w:gutter="0"/>
          <w:cols w:equalWidth="0" w:num="1">
            <w:col w:w="8817" w:space="0"/>
          </w:cols>
        </w:sectPr>
        <w:rPr/>
      </w:pPr>
    </w:p>
    <w:p>
      <w:pPr>
        <w:pStyle w:val="BodyText"/>
        <w:ind w:left="14" w:right="321" w:firstLine="5"/>
        <w:spacing w:before="43" w:line="385" w:lineRule="auto"/>
        <w:jc w:val="both"/>
        <w:rPr/>
      </w:pPr>
      <w:r>
        <w:rPr>
          <w:spacing w:val="6"/>
        </w:rPr>
        <w:t>为主、地方横向补偿为辅的跨区域生态补偿机</w:t>
      </w:r>
      <w:r>
        <w:rPr>
          <w:spacing w:val="5"/>
        </w:rPr>
        <w:t>制，争取中央及陕甘宁三省（</w:t>
      </w:r>
      <w:r>
        <w:rPr>
          <w:spacing w:val="-50"/>
        </w:rPr>
        <w:t xml:space="preserve"> </w:t>
      </w:r>
      <w:r>
        <w:rPr>
          <w:spacing w:val="5"/>
        </w:rPr>
        <w:t>区）补助资金，</w:t>
      </w:r>
      <w:r>
        <w:rPr>
          <w:spacing w:val="18"/>
        </w:rPr>
        <w:t>用于加大六盘山及其外围水源涵养林建设和</w:t>
      </w:r>
      <w:r>
        <w:rPr>
          <w:spacing w:val="7"/>
        </w:rPr>
        <w:t>自然生态保护，确保六盘山水源地水量水质安</w:t>
      </w:r>
      <w:r>
        <w:rPr>
          <w:spacing w:val="8"/>
        </w:rPr>
        <w:t>全，确保“五河”流域水质稳定达标。</w:t>
      </w:r>
    </w:p>
    <w:p>
      <w:pPr>
        <w:pStyle w:val="BodyText"/>
        <w:ind w:left="12" w:right="327" w:firstLine="420"/>
        <w:spacing w:before="10" w:line="305" w:lineRule="auto"/>
        <w:outlineLvl w:val="0"/>
        <w:rPr/>
      </w:pPr>
      <w:r>
        <w:rPr>
          <w:spacing w:val="7"/>
        </w:rPr>
        <w:t>健全生态环境损害赔偿制度。建立生态环</w:t>
      </w:r>
      <w:r>
        <w:rPr>
          <w:spacing w:val="7"/>
        </w:rPr>
        <w:t>境保护考核评价机制，坚持生态环境损害责任</w:t>
      </w:r>
    </w:p>
    <w:p>
      <w:pPr>
        <w:pStyle w:val="BodyText"/>
        <w:ind w:left="10" w:right="247" w:firstLine="3"/>
        <w:spacing w:before="177" w:line="388" w:lineRule="auto"/>
        <w:jc w:val="both"/>
        <w:rPr/>
      </w:pPr>
      <w:r>
        <w:rPr>
          <w:spacing w:val="1"/>
        </w:rPr>
        <w:t>追究、自然资源资产审计、生态环境损害赔偿、</w:t>
      </w:r>
      <w:r>
        <w:rPr>
          <w:spacing w:val="4"/>
        </w:rPr>
        <w:t xml:space="preserve"> </w:t>
      </w:r>
      <w:r>
        <w:rPr>
          <w:spacing w:val="7"/>
        </w:rPr>
        <w:t>“三线一单”等制度。制定生态环境损害赔偿</w:t>
      </w:r>
      <w:r>
        <w:rPr>
          <w:spacing w:val="7"/>
        </w:rPr>
        <w:t>实施办法，按照“谁损害谁赔偿”原则，明确</w:t>
      </w:r>
      <w:r>
        <w:rPr>
          <w:spacing w:val="11"/>
        </w:rPr>
        <w:t>赔偿范围、责任主体、索赔主体和解决途径，</w:t>
      </w:r>
      <w:r>
        <w:rPr>
          <w:spacing w:val="7"/>
        </w:rPr>
        <w:t>提高破坏生态环境违法成本。探索出台有利于</w:t>
      </w:r>
      <w:r>
        <w:rPr>
          <w:spacing w:val="10"/>
        </w:rPr>
        <w:t>推动绿色发展和生态环境保护的价格、税收、</w:t>
      </w:r>
      <w:r>
        <w:rPr>
          <w:spacing w:val="7"/>
        </w:rPr>
        <w:t>金融、投资等政策，全面加强企业环境信用评</w:t>
      </w:r>
      <w:r>
        <w:rPr>
          <w:spacing w:val="7"/>
        </w:rPr>
        <w:t>价，落实“黑名单”制度，在高风险行业推行</w:t>
      </w:r>
      <w:r>
        <w:rPr>
          <w:spacing w:val="8"/>
        </w:rPr>
        <w:t>环境污染强制责任保险。</w:t>
      </w:r>
    </w:p>
    <w:p>
      <w:pPr>
        <w:pStyle w:val="BodyText"/>
        <w:ind w:left="435"/>
        <w:spacing w:line="222" w:lineRule="auto"/>
        <w:rPr/>
      </w:pPr>
      <w:r>
        <w:rPr>
          <w:spacing w:val="6"/>
        </w:rPr>
        <w:t>落实自然资源产权和用途管制制度。逐步</w:t>
      </w:r>
    </w:p>
    <w:p>
      <w:pPr>
        <w:pStyle w:val="BodyText"/>
        <w:ind w:left="13"/>
        <w:spacing w:before="177" w:line="221" w:lineRule="auto"/>
        <w:outlineLvl w:val="0"/>
        <w:rPr/>
      </w:pPr>
      <w:r>
        <w:rPr>
          <w:spacing w:val="7"/>
        </w:rPr>
        <w:t>建立纵向与横向、补偿与赔偿、政府与市场有</w:t>
      </w:r>
    </w:p>
    <w:p>
      <w:pPr>
        <w:pStyle w:val="BodyText"/>
        <w:ind w:left="13" w:right="327" w:firstLine="1"/>
        <w:spacing w:before="180" w:line="387" w:lineRule="auto"/>
        <w:jc w:val="both"/>
        <w:rPr/>
      </w:pPr>
      <w:r>
        <w:rPr>
          <w:spacing w:val="15"/>
        </w:rPr>
        <w:t>机结合的生态产品价值实现机制</w:t>
      </w:r>
      <w:r>
        <w:rPr>
          <w:spacing w:val="-42"/>
        </w:rPr>
        <w:t xml:space="preserve"> </w:t>
      </w:r>
      <w:r>
        <w:rPr>
          <w:spacing w:val="15"/>
        </w:rPr>
        <w:t>，实现水资</w:t>
      </w:r>
      <w:r>
        <w:rPr>
          <w:spacing w:val="7"/>
        </w:rPr>
        <w:t>源、矿产资源按质量分级、阶梯利用。扩大国</w:t>
      </w:r>
      <w:r>
        <w:rPr>
          <w:spacing w:val="15"/>
        </w:rPr>
        <w:t>有土地有偿使用范围</w:t>
      </w:r>
      <w:r>
        <w:rPr>
          <w:spacing w:val="-41"/>
        </w:rPr>
        <w:t xml:space="preserve"> </w:t>
      </w:r>
      <w:r>
        <w:rPr>
          <w:spacing w:val="15"/>
        </w:rPr>
        <w:t>，强化供地计划管理制</w:t>
      </w:r>
      <w:r>
        <w:rPr>
          <w:spacing w:val="7"/>
        </w:rPr>
        <w:t>度。完善矿产资源有偿使用制度，加强市、县</w:t>
      </w:r>
      <w:r>
        <w:rPr>
          <w:spacing w:val="7"/>
        </w:rPr>
        <w:t>两级矿山资源总体规划管理，强化矿产资源开</w:t>
      </w:r>
      <w:r>
        <w:rPr>
          <w:spacing w:val="7"/>
        </w:rPr>
        <w:t>发准入管理，有序推进自然资源资产管理体制</w:t>
      </w:r>
      <w:r>
        <w:rPr>
          <w:spacing w:val="4"/>
        </w:rPr>
        <w:t>改革。</w:t>
      </w:r>
    </w:p>
    <w:p>
      <w:pPr>
        <w:pStyle w:val="BodyText"/>
        <w:ind w:left="434"/>
        <w:spacing w:before="6" w:line="220" w:lineRule="auto"/>
        <w:rPr/>
      </w:pPr>
      <w:r>
        <w:rPr>
          <w:spacing w:val="8"/>
        </w:rPr>
        <w:t>全面建设生态市场化机制。根据国家、自</w:t>
      </w:r>
    </w:p>
    <w:p>
      <w:pPr>
        <w:pStyle w:val="BodyText"/>
        <w:ind w:left="15"/>
        <w:spacing w:before="181" w:line="224" w:lineRule="auto"/>
        <w:outlineLvl w:val="0"/>
        <w:rPr/>
      </w:pPr>
      <w:r>
        <w:rPr>
          <w:spacing w:val="7"/>
        </w:rPr>
        <w:t>治区的安排部署，积极按权限逐步建立市域内</w:t>
      </w:r>
    </w:p>
    <w:p>
      <w:pPr>
        <w:pStyle w:val="BodyText"/>
        <w:ind w:left="13" w:right="321"/>
        <w:spacing w:before="179" w:line="343" w:lineRule="auto"/>
        <w:jc w:val="both"/>
        <w:rPr/>
      </w:pPr>
      <w:r>
        <w:rPr>
          <w:spacing w:val="7"/>
        </w:rPr>
        <w:t>部用水权、排污权、碳排放权等能源消费权分</w:t>
      </w:r>
      <w:r>
        <w:rPr>
          <w:spacing w:val="7"/>
        </w:rPr>
        <w:t>配、交易制度，对符合用能条件的新建项目，</w:t>
      </w:r>
      <w:r>
        <w:rPr>
          <w:spacing w:val="7"/>
        </w:rPr>
        <w:t>全部按照交易规定取得用能指标。探索地区间</w:t>
      </w:r>
      <w:r>
        <w:rPr>
          <w:spacing w:val="7"/>
        </w:rPr>
        <w:t>能源消费权交易方式，完善有偿使用、预算管</w:t>
      </w:r>
    </w:p>
    <w:p>
      <w:pPr>
        <w:spacing w:line="14" w:lineRule="auto"/>
        <w:rPr>
          <w:rFonts w:ascii="Arial"/>
          <w:sz w:val="2"/>
        </w:rPr>
      </w:pPr>
      <w:r>
        <w:rPr>
          <w:rFonts w:ascii="Arial" w:hAnsi="Arial" w:eastAsia="Arial" w:cs="Arial"/>
          <w:sz w:val="2"/>
          <w:szCs w:val="2"/>
        </w:rPr>
        <w:br w:type="column"/>
      </w:r>
    </w:p>
    <w:p>
      <w:pPr>
        <w:pStyle w:val="BodyText"/>
        <w:ind w:left="1" w:firstLine="3"/>
        <w:spacing w:before="39" w:line="387" w:lineRule="auto"/>
        <w:jc w:val="both"/>
        <w:rPr/>
      </w:pPr>
      <w:r>
        <w:rPr>
          <w:spacing w:val="7"/>
        </w:rPr>
        <w:t>理、投融资机制，培育和发展交易平台。力争</w:t>
      </w:r>
      <w:r>
        <w:rPr>
          <w:spacing w:val="7"/>
        </w:rPr>
        <w:t>“十四五”期间，建设碳排放权交易市场，做</w:t>
      </w:r>
      <w:r>
        <w:rPr>
          <w:spacing w:val="-8"/>
        </w:rPr>
        <w:t>好本市区域市场与自治区、全国交易市场的对接。</w:t>
      </w:r>
    </w:p>
    <w:p>
      <w:pPr>
        <w:ind w:left="825"/>
        <w:spacing w:before="209" w:line="181"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第八章</w:t>
      </w:r>
      <w:r>
        <w:rPr>
          <w:rFonts w:ascii="Microsoft YaHei" w:hAnsi="Microsoft YaHei" w:eastAsia="Microsoft YaHei" w:cs="Microsoft YaHei"/>
          <w:sz w:val="20"/>
          <w:szCs w:val="20"/>
          <w:spacing w:val="17"/>
        </w:rPr>
        <w:t xml:space="preserve">   </w:t>
      </w:r>
      <w:r>
        <w:rPr>
          <w:rFonts w:ascii="Microsoft YaHei" w:hAnsi="Microsoft YaHei" w:eastAsia="Microsoft YaHei" w:cs="Microsoft YaHei"/>
          <w:sz w:val="20"/>
          <w:szCs w:val="20"/>
          <w:spacing w:val="7"/>
        </w:rPr>
        <w:t>实现设施互联互通</w:t>
      </w:r>
    </w:p>
    <w:p>
      <w:pPr>
        <w:ind w:left="1028"/>
        <w:spacing w:before="40" w:line="182"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夯实经济社会发展基础</w:t>
      </w:r>
    </w:p>
    <w:p>
      <w:pPr>
        <w:spacing w:line="349" w:lineRule="auto"/>
        <w:rPr>
          <w:rFonts w:ascii="Arial"/>
          <w:sz w:val="21"/>
        </w:rPr>
      </w:pPr>
      <w:r/>
    </w:p>
    <w:p>
      <w:pPr>
        <w:pStyle w:val="BodyText"/>
        <w:ind w:left="10" w:right="80" w:firstLine="413"/>
        <w:spacing w:before="65" w:line="296" w:lineRule="auto"/>
        <w:outlineLvl w:val="0"/>
        <w:rPr/>
      </w:pPr>
      <w:r>
        <w:rPr>
          <w:spacing w:val="6"/>
        </w:rPr>
        <w:t>坚持统筹城乡、强化功能、服务发展，以</w:t>
      </w:r>
      <w:r>
        <w:rPr>
          <w:spacing w:val="15"/>
        </w:rPr>
        <w:t>十大基础设施项目为抓手</w:t>
      </w:r>
      <w:r>
        <w:rPr>
          <w:spacing w:val="-48"/>
        </w:rPr>
        <w:t xml:space="preserve"> </w:t>
      </w:r>
      <w:r>
        <w:rPr>
          <w:spacing w:val="15"/>
        </w:rPr>
        <w:t>，加快构建系统完</w:t>
      </w:r>
    </w:p>
    <w:p>
      <w:pPr>
        <w:pStyle w:val="BodyText"/>
        <w:ind w:left="2" w:right="80"/>
        <w:spacing w:before="156" w:line="370" w:lineRule="auto"/>
        <w:jc w:val="both"/>
        <w:rPr/>
      </w:pPr>
      <w:r>
        <w:rPr>
          <w:spacing w:val="7"/>
        </w:rPr>
        <w:t>备、高效实用、智能绿色、安全可靠的现代化</w:t>
      </w:r>
      <w:r>
        <w:rPr>
          <w:spacing w:val="7"/>
        </w:rPr>
        <w:t>基础设施体系，充分发挥对经济社会发展的支</w:t>
      </w:r>
      <w:r>
        <w:rPr>
          <w:spacing w:val="6"/>
        </w:rPr>
        <w:t>撑作用。</w:t>
      </w:r>
    </w:p>
    <w:p>
      <w:pPr>
        <w:pStyle w:val="BodyText"/>
        <w:ind w:left="712"/>
        <w:spacing w:before="296" w:line="223" w:lineRule="auto"/>
        <w:outlineLvl w:val="0"/>
        <w:rPr/>
      </w:pPr>
      <w:r>
        <w:rPr>
          <w:b/>
          <w:bCs/>
          <w:spacing w:val="7"/>
        </w:rPr>
        <w:t>第一节</w:t>
      </w:r>
      <w:r>
        <w:rPr>
          <w:spacing w:val="7"/>
        </w:rPr>
        <w:t xml:space="preserve">  </w:t>
      </w:r>
      <w:r>
        <w:rPr>
          <w:b/>
          <w:bCs/>
          <w:spacing w:val="7"/>
        </w:rPr>
        <w:t>构建便捷畅通交通网</w:t>
      </w:r>
    </w:p>
    <w:p>
      <w:pPr>
        <w:spacing w:line="410" w:lineRule="auto"/>
        <w:rPr>
          <w:rFonts w:ascii="Arial"/>
          <w:sz w:val="21"/>
        </w:rPr>
      </w:pPr>
      <w:r/>
    </w:p>
    <w:p>
      <w:pPr>
        <w:pStyle w:val="BodyText"/>
        <w:ind w:left="2" w:right="80" w:firstLine="422"/>
        <w:spacing w:before="66" w:line="305" w:lineRule="auto"/>
        <w:outlineLvl w:val="0"/>
        <w:rPr/>
      </w:pPr>
      <w:r>
        <w:rPr>
          <w:spacing w:val="6"/>
        </w:rPr>
        <w:t>统筹规划推进铁路、公路、航空等各种运</w:t>
      </w:r>
      <w:r>
        <w:rPr>
          <w:spacing w:val="7"/>
        </w:rPr>
        <w:t>输方式一体化建设，系统布局综合交通基础设</w:t>
      </w:r>
    </w:p>
    <w:p>
      <w:pPr>
        <w:pStyle w:val="BodyText"/>
        <w:ind w:left="3" w:right="16" w:hanging="2"/>
        <w:spacing w:before="180" w:line="387" w:lineRule="auto"/>
        <w:jc w:val="both"/>
        <w:rPr/>
      </w:pPr>
      <w:r>
        <w:rPr/>
        <w:t>施，畅通对外大通道，优化枢纽节点高效衔接，</w:t>
      </w:r>
      <w:r>
        <w:rPr>
          <w:spacing w:val="7"/>
        </w:rPr>
        <w:t>织密织牢综合交通便捷的快速网、完善的干线</w:t>
      </w:r>
      <w:r>
        <w:rPr>
          <w:spacing w:val="7"/>
        </w:rPr>
        <w:t>网、广泛的基础网、绿色的出行网，实现固原</w:t>
      </w:r>
      <w:r>
        <w:rPr>
          <w:spacing w:val="9"/>
        </w:rPr>
        <w:t>与全区及周边交通一张网，深度融入全国网。</w:t>
      </w:r>
    </w:p>
    <w:p>
      <w:pPr>
        <w:pStyle w:val="BodyText"/>
        <w:ind w:left="3" w:right="80" w:firstLine="420"/>
        <w:spacing w:before="2" w:line="305" w:lineRule="auto"/>
        <w:outlineLvl w:val="0"/>
        <w:rPr/>
      </w:pPr>
      <w:r>
        <w:rPr>
          <w:spacing w:val="6"/>
        </w:rPr>
        <w:t>加快铁路通道建设。建成宝中铁路扩能改</w:t>
      </w:r>
      <w:r>
        <w:rPr>
          <w:spacing w:val="15"/>
        </w:rPr>
        <w:t>造项目</w:t>
      </w:r>
      <w:r>
        <w:rPr>
          <w:spacing w:val="-41"/>
        </w:rPr>
        <w:t xml:space="preserve"> </w:t>
      </w:r>
      <w:r>
        <w:rPr>
          <w:spacing w:val="15"/>
        </w:rPr>
        <w:t>，积极推进定西经固原至庆阳铁路建</w:t>
      </w:r>
    </w:p>
    <w:p>
      <w:pPr>
        <w:pStyle w:val="BodyText"/>
        <w:ind w:right="16"/>
        <w:spacing w:before="177" w:line="370" w:lineRule="auto"/>
        <w:jc w:val="right"/>
        <w:rPr/>
      </w:pPr>
      <w:r>
        <w:rPr>
          <w:spacing w:val="7"/>
        </w:rPr>
        <w:t>设，争取打通固原东西向高速铁路通道，实现</w:t>
      </w:r>
      <w:r>
        <w:rPr>
          <w:spacing w:val="7"/>
        </w:rPr>
        <w:t>与宝中铁路“十字型”连接国家高铁网，规划</w:t>
      </w:r>
      <w:r>
        <w:rPr>
          <w:spacing w:val="10"/>
        </w:rPr>
        <w:t>设置固原“一主两辅”高铁站，增强与关中、</w:t>
      </w:r>
      <w:r>
        <w:rPr>
          <w:spacing w:val="7"/>
        </w:rPr>
        <w:t>兰西城市群之间合作。扎实推进货物运输“公</w:t>
      </w:r>
      <w:r>
        <w:rPr>
          <w:spacing w:val="7"/>
        </w:rPr>
        <w:t>转铁”，新建三营站至新材料产业园等铁路专</w:t>
      </w:r>
      <w:r>
        <w:rPr>
          <w:spacing w:val="7"/>
        </w:rPr>
        <w:t>用线；整合固原火车站、三营火车站和西兰银</w:t>
      </w:r>
      <w:r>
        <w:rPr>
          <w:spacing w:val="7"/>
        </w:rPr>
        <w:t>物流园货运资源，建设公铁联运集散枢纽，实</w:t>
      </w:r>
      <w:r>
        <w:rPr/>
        <w:t>现货运无缝隙转换，形成以铁路、公路为纽带，</w:t>
      </w:r>
      <w:r>
        <w:rPr>
          <w:spacing w:val="10"/>
        </w:rPr>
        <w:t>立足宁南、辐射周边的区域性货物集散中心。</w:t>
      </w:r>
      <w:r>
        <w:rPr>
          <w:spacing w:val="6"/>
        </w:rPr>
        <w:t>加快公路网络建设。加密完善高速公路省</w:t>
      </w:r>
    </w:p>
    <w:p>
      <w:pPr>
        <w:spacing w:line="370" w:lineRule="auto"/>
        <w:sectPr>
          <w:type w:val="continuous"/>
          <w:pgSz w:w="11906" w:h="16839"/>
          <w:pgMar w:top="1793" w:right="1509" w:bottom="1570" w:left="1579" w:header="1428" w:footer="1172" w:gutter="0"/>
          <w:cols w:equalWidth="0" w:num="2">
            <w:col w:w="4487" w:space="100"/>
            <w:col w:w="4230" w:space="0"/>
          </w:cols>
        </w:sectPr>
        <w:rPr/>
      </w:pPr>
    </w:p>
    <w:p>
      <w:pPr>
        <w:spacing w:before="94"/>
        <w:rPr/>
      </w:pPr>
      <w:r>
        <w:drawing>
          <wp:anchor distT="0" distB="0" distL="0" distR="0" simplePos="0" relativeHeight="251820032"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482" name="IM 482"/>
            <wp:cNvGraphicFramePr/>
            <a:graphic>
              <a:graphicData uri="http://schemas.openxmlformats.org/drawingml/2006/picture">
                <pic:pic>
                  <pic:nvPicPr>
                    <pic:cNvPr id="482" name="IM 482"/>
                    <pic:cNvPicPr/>
                  </pic:nvPicPr>
                  <pic:blipFill>
                    <a:blip r:embed="rId243"/>
                    <a:stretch>
                      <a:fillRect/>
                    </a:stretch>
                  </pic:blipFill>
                  <pic:spPr>
                    <a:xfrm rot="0">
                      <a:off x="0" y="0"/>
                      <a:ext cx="5579745" cy="7619"/>
                    </a:xfrm>
                    <a:prstGeom prst="rect">
                      <a:avLst/>
                    </a:prstGeom>
                  </pic:spPr>
                </pic:pic>
              </a:graphicData>
            </a:graphic>
          </wp:anchor>
        </w:drawing>
      </w:r>
      <w:r/>
    </w:p>
    <w:p>
      <w:pPr>
        <w:sectPr>
          <w:headerReference w:type="default" r:id="rId188"/>
          <w:footerReference w:type="default" r:id="rId242"/>
          <w:pgSz w:w="11906" w:h="16839"/>
          <w:pgMar w:top="1793" w:right="1489" w:bottom="1673" w:left="1565" w:header="1428" w:footer="1277" w:gutter="0"/>
          <w:cols w:equalWidth="0" w:num="1">
            <w:col w:w="8852" w:space="0"/>
          </w:cols>
        </w:sectPr>
        <w:rPr/>
      </w:pPr>
    </w:p>
    <w:p>
      <w:pPr>
        <w:pStyle w:val="BodyText"/>
        <w:ind w:left="25" w:right="244" w:firstLine="14"/>
        <w:spacing w:before="26" w:line="415" w:lineRule="auto"/>
        <w:rPr/>
      </w:pPr>
      <w:r>
        <w:rPr>
          <w:spacing w:val="6"/>
        </w:rPr>
        <w:t>际出口通道，优化高速公路网络布局，加快形</w:t>
      </w:r>
      <w:r>
        <w:rPr>
          <w:spacing w:val="17"/>
        </w:rPr>
        <w:t>成“三纵四横</w:t>
      </w:r>
      <w:r>
        <w:rPr>
          <w:spacing w:val="-65"/>
        </w:rPr>
        <w:t xml:space="preserve"> </w:t>
      </w:r>
      <w:r>
        <w:rPr>
          <w:spacing w:val="17"/>
        </w:rPr>
        <w:t>”高速公路骨架网。建成</w:t>
      </w:r>
      <w:r>
        <w:rPr>
          <w:spacing w:val="-26"/>
        </w:rPr>
        <w:t xml:space="preserve"> </w:t>
      </w:r>
      <w:r>
        <w:rPr>
          <w:spacing w:val="17"/>
        </w:rPr>
        <w:t>G85</w:t>
      </w:r>
      <w:r>
        <w:rPr>
          <w:spacing w:val="8"/>
        </w:rPr>
        <w:t>银昆高速公路固原段建设项目，争取建设</w:t>
      </w:r>
      <w:r>
        <w:rPr>
          <w:spacing w:val="-28"/>
        </w:rPr>
        <w:t xml:space="preserve"> </w:t>
      </w:r>
      <w:r>
        <w:rPr>
          <w:spacing w:val="8"/>
        </w:rPr>
        <w:t>S50</w:t>
      </w:r>
      <w:r>
        <w:rPr>
          <w:spacing w:val="6"/>
        </w:rPr>
        <w:t>寨科至海原高速公路，积极推进</w:t>
      </w:r>
      <w:r>
        <w:rPr>
          <w:spacing w:val="-39"/>
        </w:rPr>
        <w:t xml:space="preserve"> </w:t>
      </w:r>
      <w:r>
        <w:rPr>
          <w:spacing w:val="6"/>
        </w:rPr>
        <w:t>S70</w:t>
      </w:r>
      <w:r>
        <w:rPr>
          <w:spacing w:val="-38"/>
        </w:rPr>
        <w:t xml:space="preserve"> </w:t>
      </w:r>
      <w:r>
        <w:rPr>
          <w:spacing w:val="6"/>
        </w:rPr>
        <w:t>彭阳至沟</w:t>
      </w:r>
      <w:r>
        <w:rPr>
          <w:spacing w:val="9"/>
        </w:rPr>
        <w:t>圈段、S45</w:t>
      </w:r>
      <w:r>
        <w:rPr>
          <w:spacing w:val="-40"/>
        </w:rPr>
        <w:t xml:space="preserve"> </w:t>
      </w:r>
      <w:r>
        <w:rPr>
          <w:spacing w:val="9"/>
        </w:rPr>
        <w:t>海原至西吉段及隆德至庄浪段等高</w:t>
      </w:r>
      <w:r>
        <w:rPr>
          <w:spacing w:val="11"/>
        </w:rPr>
        <w:t>速公路前期工作。推进普通国省道改造升级，</w:t>
      </w:r>
      <w:r>
        <w:rPr>
          <w:spacing w:val="1"/>
        </w:rPr>
        <w:t>增强通行能力、提高技术等级，强化服务水平、</w:t>
      </w:r>
      <w:r>
        <w:rPr>
          <w:spacing w:val="7"/>
        </w:rPr>
        <w:t>完善沿线配套设施，扩大普通国省道对主要城</w:t>
      </w:r>
      <w:r>
        <w:rPr>
          <w:spacing w:val="7"/>
        </w:rPr>
        <w:t>镇、产业园区、旅游景点等重要交通节点的联</w:t>
      </w:r>
      <w:r>
        <w:rPr>
          <w:spacing w:val="9"/>
        </w:rPr>
        <w:t>通覆盖率</w:t>
      </w:r>
      <w:r>
        <w:rPr>
          <w:spacing w:val="-53"/>
        </w:rPr>
        <w:t xml:space="preserve"> </w:t>
      </w:r>
      <w:r>
        <w:rPr>
          <w:spacing w:val="9"/>
        </w:rPr>
        <w:t>，重点推进</w:t>
      </w:r>
      <w:r>
        <w:rPr>
          <w:spacing w:val="-35"/>
        </w:rPr>
        <w:t xml:space="preserve"> </w:t>
      </w:r>
      <w:r>
        <w:rPr>
          <w:spacing w:val="9"/>
        </w:rPr>
        <w:t>G312</w:t>
      </w:r>
      <w:r>
        <w:rPr>
          <w:spacing w:val="-41"/>
        </w:rPr>
        <w:t xml:space="preserve"> </w:t>
      </w:r>
      <w:r>
        <w:rPr>
          <w:spacing w:val="9"/>
        </w:rPr>
        <w:t>线苋麻湾至隆德、</w:t>
      </w:r>
      <w:r>
        <w:rPr/>
        <w:t xml:space="preserve"> </w:t>
      </w:r>
      <w:r>
        <w:rPr>
          <w:spacing w:val="11"/>
        </w:rPr>
        <w:t>G566线西吉至上堡等</w:t>
      </w:r>
      <w:r>
        <w:rPr>
          <w:spacing w:val="-34"/>
        </w:rPr>
        <w:t xml:space="preserve"> </w:t>
      </w:r>
      <w:r>
        <w:rPr>
          <w:spacing w:val="11"/>
        </w:rPr>
        <w:t>18条500公里瓶颈路段、</w:t>
      </w:r>
      <w:r>
        <w:rPr>
          <w:spacing w:val="7"/>
        </w:rPr>
        <w:t>城镇过境路段改造升级，力争普通国道二级及</w:t>
      </w:r>
      <w:r>
        <w:rPr>
          <w:spacing w:val="27"/>
        </w:rPr>
        <w:t>以上</w:t>
      </w:r>
      <w:r>
        <w:rPr>
          <w:spacing w:val="-39"/>
        </w:rPr>
        <w:t xml:space="preserve"> </w:t>
      </w:r>
      <w:r>
        <w:rPr>
          <w:spacing w:val="27"/>
        </w:rPr>
        <w:t>、普通省道三级及以上公路比重达到</w:t>
      </w:r>
      <w:r>
        <w:rPr>
          <w:spacing w:val="15"/>
        </w:rPr>
        <w:t>100%。加大地方经济干线建设</w:t>
      </w:r>
      <w:r>
        <w:rPr>
          <w:spacing w:val="-52"/>
        </w:rPr>
        <w:t xml:space="preserve"> </w:t>
      </w:r>
      <w:r>
        <w:rPr>
          <w:spacing w:val="15"/>
        </w:rPr>
        <w:t>，立足实际、</w:t>
      </w:r>
      <w:r>
        <w:rPr>
          <w:spacing w:val="7"/>
        </w:rPr>
        <w:t>补齐短板、完善路网服务功能，力争把支撑全</w:t>
      </w:r>
      <w:r>
        <w:rPr>
          <w:spacing w:val="7"/>
        </w:rPr>
        <w:t>市城镇化建设、促进产业发展壮大、提升路网</w:t>
      </w:r>
      <w:r>
        <w:rPr>
          <w:spacing w:val="18"/>
        </w:rPr>
        <w:t>整体效率的地方经济干线建成三级及以上公</w:t>
      </w:r>
      <w:r>
        <w:rPr>
          <w:spacing w:val="4"/>
        </w:rPr>
        <w:t>路标准，新（改）建地方经济干线</w:t>
      </w:r>
      <w:r>
        <w:rPr>
          <w:spacing w:val="-13"/>
        </w:rPr>
        <w:t xml:space="preserve"> </w:t>
      </w:r>
      <w:r>
        <w:rPr>
          <w:spacing w:val="4"/>
        </w:rPr>
        <w:t>1128</w:t>
      </w:r>
      <w:r>
        <w:rPr>
          <w:spacing w:val="-45"/>
        </w:rPr>
        <w:t xml:space="preserve"> </w:t>
      </w:r>
      <w:r>
        <w:rPr>
          <w:spacing w:val="4"/>
        </w:rPr>
        <w:t>公里。</w:t>
      </w:r>
      <w:r>
        <w:rPr>
          <w:spacing w:val="6"/>
        </w:rPr>
        <w:t>提标推动“</w:t>
      </w:r>
      <w:r>
        <w:rPr>
          <w:spacing w:val="-73"/>
        </w:rPr>
        <w:t xml:space="preserve"> </w:t>
      </w:r>
      <w:r>
        <w:rPr>
          <w:spacing w:val="6"/>
        </w:rPr>
        <w:t>四好农村公路”建设，延伸农村公</w:t>
      </w:r>
      <w:r>
        <w:rPr>
          <w:spacing w:val="7"/>
        </w:rPr>
        <w:t>路通达深度、畅通农村公路微循环，深化农村</w:t>
      </w:r>
      <w:r>
        <w:rPr>
          <w:spacing w:val="7"/>
        </w:rPr>
        <w:t>公路管养体制改革，全面推行“路长制”；加</w:t>
      </w:r>
      <w:r>
        <w:rPr>
          <w:spacing w:val="7"/>
        </w:rPr>
        <w:t>快推进自然村通硬化路建设和村组道路“窄加</w:t>
      </w:r>
      <w:r>
        <w:rPr>
          <w:spacing w:val="7"/>
        </w:rPr>
        <w:t>宽”工程，提高农村公路通达性，全面提升通</w:t>
      </w:r>
      <w:r>
        <w:rPr>
          <w:spacing w:val="7"/>
        </w:rPr>
        <w:t>乡镇公路等级，具备条件的自然村全部实现通</w:t>
      </w:r>
      <w:r>
        <w:rPr>
          <w:spacing w:val="6"/>
        </w:rPr>
        <w:t>硬化路</w:t>
      </w:r>
      <w:r>
        <w:rPr>
          <w:spacing w:val="-58"/>
        </w:rPr>
        <w:t xml:space="preserve"> </w:t>
      </w:r>
      <w:r>
        <w:rPr>
          <w:spacing w:val="6"/>
        </w:rPr>
        <w:t>，新（改）建农村公路</w:t>
      </w:r>
      <w:r>
        <w:rPr>
          <w:spacing w:val="-22"/>
        </w:rPr>
        <w:t xml:space="preserve"> </w:t>
      </w:r>
      <w:r>
        <w:rPr>
          <w:spacing w:val="6"/>
        </w:rPr>
        <w:t>1000</w:t>
      </w:r>
      <w:r>
        <w:rPr>
          <w:spacing w:val="-41"/>
        </w:rPr>
        <w:t xml:space="preserve"> </w:t>
      </w:r>
      <w:r>
        <w:rPr>
          <w:spacing w:val="6"/>
        </w:rPr>
        <w:t>公里</w:t>
      </w:r>
      <w:r>
        <w:rPr>
          <w:spacing w:val="-58"/>
        </w:rPr>
        <w:t xml:space="preserve"> </w:t>
      </w:r>
      <w:r>
        <w:rPr>
          <w:spacing w:val="6"/>
        </w:rPr>
        <w:t>，实</w:t>
      </w:r>
      <w:r>
        <w:rPr>
          <w:spacing w:val="7"/>
        </w:rPr>
        <w:t>施安全生命防护工程</w:t>
      </w:r>
      <w:r>
        <w:rPr>
          <w:spacing w:val="-1"/>
        </w:rPr>
        <w:t xml:space="preserve"> </w:t>
      </w:r>
      <w:r>
        <w:rPr>
          <w:spacing w:val="7"/>
        </w:rPr>
        <w:t>1000</w:t>
      </w:r>
      <w:r>
        <w:rPr>
          <w:spacing w:val="-38"/>
        </w:rPr>
        <w:t xml:space="preserve"> </w:t>
      </w:r>
      <w:r>
        <w:rPr>
          <w:spacing w:val="7"/>
        </w:rPr>
        <w:t>公里</w:t>
      </w:r>
      <w:r>
        <w:rPr>
          <w:spacing w:val="-59"/>
        </w:rPr>
        <w:t xml:space="preserve"> </w:t>
      </w:r>
      <w:r>
        <w:rPr>
          <w:spacing w:val="7"/>
        </w:rPr>
        <w:t>，不断提升农</w:t>
      </w:r>
      <w:r>
        <w:rPr>
          <w:spacing w:val="9"/>
        </w:rPr>
        <w:t>村公路安全保障水平和抗灾能力。</w:t>
      </w:r>
    </w:p>
    <w:p>
      <w:pPr>
        <w:pStyle w:val="BodyText"/>
        <w:ind w:left="30" w:right="327" w:firstLine="418"/>
        <w:spacing w:before="27" w:line="316" w:lineRule="auto"/>
        <w:outlineLvl w:val="0"/>
        <w:rPr/>
      </w:pPr>
      <w:r>
        <w:rPr>
          <w:spacing w:val="6"/>
        </w:rPr>
        <w:t>加快发展航空运输。加快推进六盘山机场</w:t>
      </w:r>
      <w:r>
        <w:rPr>
          <w:spacing w:val="7"/>
        </w:rPr>
        <w:t>扩建工程，优化航班航线，畅联京津冀、长三</w:t>
      </w:r>
    </w:p>
    <w:p>
      <w:pPr>
        <w:spacing w:line="14" w:lineRule="auto"/>
        <w:rPr>
          <w:rFonts w:ascii="Arial"/>
          <w:sz w:val="2"/>
        </w:rPr>
      </w:pPr>
      <w:r>
        <w:rPr>
          <w:rFonts w:ascii="Arial" w:hAnsi="Arial" w:eastAsia="Arial" w:cs="Arial"/>
          <w:sz w:val="2"/>
          <w:szCs w:val="2"/>
        </w:rPr>
        <w:br w:type="column"/>
      </w:r>
    </w:p>
    <w:p>
      <w:pPr>
        <w:pStyle w:val="BodyText"/>
        <w:ind w:right="98" w:firstLine="7"/>
        <w:spacing w:before="43" w:line="414" w:lineRule="auto"/>
        <w:jc w:val="both"/>
        <w:rPr/>
      </w:pPr>
      <w:r>
        <w:rPr>
          <w:spacing w:val="7"/>
        </w:rPr>
        <w:t>角、珠三角、成渝城市群。打造银西快线、银</w:t>
      </w:r>
      <w:r>
        <w:rPr>
          <w:spacing w:val="7"/>
        </w:rPr>
        <w:t>固快线“云上公交”，完善与北京、上海、广</w:t>
      </w:r>
      <w:r>
        <w:rPr>
          <w:spacing w:val="7"/>
        </w:rPr>
        <w:t>州、福州、天津、重庆航空枢纽航线，开通固</w:t>
      </w:r>
      <w:r>
        <w:rPr>
          <w:spacing w:val="7"/>
        </w:rPr>
        <w:t>原至深圳、武汉、郑州、乌鲁木齐等城市直飞</w:t>
      </w:r>
      <w:r>
        <w:rPr>
          <w:spacing w:val="7"/>
        </w:rPr>
        <w:t>航线。争取建设隆德通用机场，开展西吉、泾</w:t>
      </w:r>
      <w:r>
        <w:rPr>
          <w:spacing w:val="7"/>
        </w:rPr>
        <w:t>源、彭阳通用机场前期研究，拓宽对外出口通</w:t>
      </w:r>
      <w:r>
        <w:rPr>
          <w:spacing w:val="7"/>
        </w:rPr>
        <w:t>道。依托六盘山机场和固原中心城区，规划建</w:t>
      </w:r>
      <w:r>
        <w:rPr>
          <w:spacing w:val="7"/>
        </w:rPr>
        <w:t>设空港物流中心。2025</w:t>
      </w:r>
      <w:r>
        <w:rPr>
          <w:spacing w:val="-25"/>
        </w:rPr>
        <w:t xml:space="preserve"> </w:t>
      </w:r>
      <w:r>
        <w:rPr>
          <w:spacing w:val="7"/>
        </w:rPr>
        <w:t>年</w:t>
      </w:r>
      <w:r>
        <w:rPr>
          <w:spacing w:val="-59"/>
        </w:rPr>
        <w:t xml:space="preserve"> </w:t>
      </w:r>
      <w:r>
        <w:rPr>
          <w:spacing w:val="7"/>
        </w:rPr>
        <w:t>，建成联通国内</w:t>
      </w:r>
      <w:r>
        <w:rPr>
          <w:spacing w:val="-20"/>
        </w:rPr>
        <w:t xml:space="preserve"> </w:t>
      </w:r>
      <w:r>
        <w:rPr>
          <w:spacing w:val="7"/>
        </w:rPr>
        <w:t>12</w:t>
      </w:r>
      <w:r>
        <w:rPr>
          <w:spacing w:val="4"/>
        </w:rPr>
        <w:t>个城市</w:t>
      </w:r>
      <w:r>
        <w:rPr>
          <w:spacing w:val="-14"/>
        </w:rPr>
        <w:t xml:space="preserve"> </w:t>
      </w:r>
      <w:r>
        <w:rPr>
          <w:spacing w:val="4"/>
        </w:rPr>
        <w:t>15</w:t>
      </w:r>
      <w:r>
        <w:rPr>
          <w:spacing w:val="-40"/>
        </w:rPr>
        <w:t xml:space="preserve"> </w:t>
      </w:r>
      <w:r>
        <w:rPr>
          <w:spacing w:val="4"/>
        </w:rPr>
        <w:t>条航线网络，年航空旅客达到</w:t>
      </w:r>
      <w:r>
        <w:rPr>
          <w:spacing w:val="-40"/>
        </w:rPr>
        <w:t xml:space="preserve"> </w:t>
      </w:r>
      <w:r>
        <w:rPr>
          <w:spacing w:val="4"/>
        </w:rPr>
        <w:t>80</w:t>
      </w:r>
      <w:r>
        <w:rPr>
          <w:spacing w:val="-40"/>
        </w:rPr>
        <w:t xml:space="preserve"> </w:t>
      </w:r>
      <w:r>
        <w:rPr>
          <w:spacing w:val="4"/>
        </w:rPr>
        <w:t>万</w:t>
      </w:r>
      <w:r>
        <w:rPr>
          <w:spacing w:val="7"/>
        </w:rPr>
        <w:t>人次，初步形成集运输、航空培训、观光、应</w:t>
      </w:r>
      <w:r>
        <w:rPr>
          <w:spacing w:val="9"/>
        </w:rPr>
        <w:t>急救援为一体的航空运输体系。</w:t>
      </w:r>
    </w:p>
    <w:p>
      <w:pPr>
        <w:pStyle w:val="BodyText"/>
        <w:ind w:left="4" w:right="101" w:firstLine="419"/>
        <w:spacing w:before="10" w:line="320" w:lineRule="auto"/>
        <w:outlineLvl w:val="0"/>
        <w:rPr/>
      </w:pPr>
      <w:r>
        <w:rPr>
          <w:spacing w:val="6"/>
        </w:rPr>
        <w:t>加快综合交通枢纽建设。推进枢纽场站补</w:t>
      </w:r>
      <w:r>
        <w:rPr>
          <w:spacing w:val="7"/>
        </w:rPr>
        <w:t>短增效，在交通枢纽、商业区、居住区等主要</w:t>
      </w:r>
    </w:p>
    <w:p>
      <w:pPr>
        <w:pStyle w:val="BodyText"/>
        <w:ind w:right="78" w:firstLine="3"/>
        <w:spacing w:before="209" w:line="403" w:lineRule="auto"/>
        <w:jc w:val="both"/>
        <w:rPr/>
      </w:pPr>
      <w:r>
        <w:rPr>
          <w:spacing w:val="7"/>
        </w:rPr>
        <w:t>节点实现公交站点全覆盖，改造升级建设公交</w:t>
      </w:r>
      <w:r>
        <w:rPr>
          <w:spacing w:val="7"/>
        </w:rPr>
        <w:t>港湾停靠站、中途站、电子站牌，推进智慧公</w:t>
      </w:r>
      <w:r>
        <w:rPr>
          <w:spacing w:val="7"/>
        </w:rPr>
        <w:t>交系统建设，规划建设固原火车站等城乡客运</w:t>
      </w:r>
      <w:r>
        <w:rPr>
          <w:spacing w:val="7"/>
        </w:rPr>
        <w:t>一体化及“零距离换乘”交通枢纽项目，实现</w:t>
      </w:r>
      <w:r>
        <w:rPr>
          <w:spacing w:val="7"/>
        </w:rPr>
        <w:t>市域内零距离换乘。加快推进城乡客运一体化</w:t>
      </w:r>
      <w:r>
        <w:rPr>
          <w:spacing w:val="7"/>
        </w:rPr>
        <w:t>建设，完善县乡（镇）客运站及农村综合服务</w:t>
      </w:r>
      <w:r>
        <w:rPr>
          <w:spacing w:val="7"/>
        </w:rPr>
        <w:t>站建设，实行农村客运班车公司化改造、班线</w:t>
      </w:r>
      <w:r>
        <w:rPr>
          <w:spacing w:val="7"/>
        </w:rPr>
        <w:t>公交化运营，优化线路、提供多样化服务、增</w:t>
      </w:r>
      <w:r>
        <w:rPr>
          <w:spacing w:val="7"/>
        </w:rPr>
        <w:t>加停靠点，提高换乘便捷性。加强高速公路服</w:t>
      </w:r>
      <w:r>
        <w:rPr>
          <w:spacing w:val="12"/>
        </w:rPr>
        <w:t>务区改造，探索“服务区+”模式；完善普通</w:t>
      </w:r>
      <w:r>
        <w:rPr>
          <w:spacing w:val="15"/>
        </w:rPr>
        <w:t>公路和乡村公路旅游设施</w:t>
      </w:r>
      <w:r>
        <w:rPr>
          <w:spacing w:val="-38"/>
        </w:rPr>
        <w:t xml:space="preserve"> </w:t>
      </w:r>
      <w:r>
        <w:rPr>
          <w:spacing w:val="15"/>
        </w:rPr>
        <w:t>，科学合理设置驿</w:t>
      </w:r>
      <w:r>
        <w:rPr>
          <w:spacing w:val="8"/>
        </w:rPr>
        <w:t>站、简易自驾营地、观景台、港湾式停车带、</w:t>
      </w:r>
      <w:r>
        <w:rPr>
          <w:spacing w:val="7"/>
        </w:rPr>
        <w:t>厕所等设施，加大景区和乡村旅游点停车场建</w:t>
      </w:r>
      <w:r>
        <w:rPr>
          <w:spacing w:val="7"/>
        </w:rPr>
        <w:t>设。大力推进新能源公交发展，加快公交车辆</w:t>
      </w:r>
      <w:r>
        <w:rPr>
          <w:spacing w:val="4"/>
        </w:rPr>
        <w:t>新能源化和公交场站新能源改造，2025</w:t>
      </w:r>
      <w:r>
        <w:rPr>
          <w:spacing w:val="-38"/>
        </w:rPr>
        <w:t xml:space="preserve"> </w:t>
      </w:r>
      <w:r>
        <w:rPr>
          <w:spacing w:val="4"/>
        </w:rPr>
        <w:t>年新能</w:t>
      </w:r>
      <w:r>
        <w:rPr>
          <w:spacing w:val="12"/>
        </w:rPr>
        <w:t>源公交占比达到</w:t>
      </w:r>
      <w:r>
        <w:rPr>
          <w:spacing w:val="-37"/>
        </w:rPr>
        <w:t xml:space="preserve"> </w:t>
      </w:r>
      <w:r>
        <w:rPr>
          <w:spacing w:val="12"/>
        </w:rPr>
        <w:t>80%以上。</w:t>
      </w:r>
    </w:p>
    <w:p>
      <w:pPr>
        <w:spacing w:line="403" w:lineRule="auto"/>
        <w:sectPr>
          <w:type w:val="continuous"/>
          <w:pgSz w:w="11906" w:h="16839"/>
          <w:pgMar w:top="1793" w:right="1489" w:bottom="1673" w:left="1565" w:header="1428" w:footer="1277" w:gutter="0"/>
          <w:cols w:equalWidth="0" w:num="2">
            <w:col w:w="4502" w:space="100"/>
            <w:col w:w="4251" w:space="0"/>
          </w:cols>
        </w:sectPr>
        <w:rPr/>
      </w:pPr>
    </w:p>
    <w:p>
      <w:pPr>
        <w:ind w:left="2616"/>
        <w:spacing w:before="231" w:line="197" w:lineRule="auto"/>
        <w:rPr>
          <w:rFonts w:ascii="Microsoft YaHei" w:hAnsi="Microsoft YaHei" w:eastAsia="Microsoft YaHei" w:cs="Microsoft YaHei"/>
          <w:sz w:val="20"/>
          <w:szCs w:val="20"/>
        </w:rPr>
      </w:pPr>
      <w:r>
        <w:drawing>
          <wp:anchor distT="0" distB="0" distL="0" distR="0" simplePos="0" relativeHeight="251822080" behindDoc="0" locked="0" layoutInCell="1" allowOverlap="1">
            <wp:simplePos x="0" y="0"/>
            <wp:positionH relativeFrom="column">
              <wp:posOffset>39242</wp:posOffset>
            </wp:positionH>
            <wp:positionV relativeFrom="paragraph">
              <wp:posOffset>25786</wp:posOffset>
            </wp:positionV>
            <wp:extent cx="5579745" cy="7619"/>
            <wp:effectExtent l="0" t="0" r="0" b="0"/>
            <wp:wrapNone/>
            <wp:docPr id="486" name="IM 486"/>
            <wp:cNvGraphicFramePr/>
            <a:graphic>
              <a:graphicData uri="http://schemas.openxmlformats.org/drawingml/2006/picture">
                <pic:pic>
                  <pic:nvPicPr>
                    <pic:cNvPr id="486" name="IM 486"/>
                    <pic:cNvPicPr/>
                  </pic:nvPicPr>
                  <pic:blipFill>
                    <a:blip r:embed="rId245"/>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6"/>
        </w:rPr>
        <w:t>专栏 13</w:t>
      </w:r>
      <w:r>
        <w:rPr>
          <w:rFonts w:ascii="Microsoft YaHei" w:hAnsi="Microsoft YaHei" w:eastAsia="Microsoft YaHei" w:cs="Microsoft YaHei"/>
          <w:sz w:val="20"/>
          <w:szCs w:val="20"/>
          <w:spacing w:val="16"/>
          <w:w w:val="101"/>
        </w:rPr>
        <w:t xml:space="preserve">   </w:t>
      </w:r>
      <w:r>
        <w:rPr>
          <w:rFonts w:ascii="Microsoft YaHei" w:hAnsi="Microsoft YaHei" w:eastAsia="Microsoft YaHei" w:cs="Microsoft YaHei"/>
          <w:sz w:val="20"/>
          <w:szCs w:val="20"/>
          <w:spacing w:val="6"/>
        </w:rPr>
        <w:t>便捷畅通交通网重点项目工程</w:t>
      </w:r>
    </w:p>
    <w:tbl>
      <w:tblPr>
        <w:tblStyle w:val="TableNormal"/>
        <w:tblW w:w="8848" w:type="dxa"/>
        <w:tblInd w:w="2" w:type="dxa"/>
        <w:tblLayout w:type="fixed"/>
        <w:tblBorders>
          <w:left w:val="single" w:color="000000" w:sz="2" w:space="0"/>
          <w:bottom w:val="single" w:color="000000" w:sz="2" w:space="0"/>
          <w:right w:val="single" w:color="000000" w:sz="2" w:space="0"/>
          <w:top w:val="single" w:color="000000" w:sz="2" w:space="0"/>
        </w:tblBorders>
      </w:tblPr>
      <w:tblGrid>
        <w:gridCol w:w="8848"/>
      </w:tblGrid>
      <w:tr>
        <w:trPr>
          <w:trHeight w:val="5481" w:hRule="atLeast"/>
        </w:trPr>
        <w:tc>
          <w:tcPr>
            <w:tcW w:w="8848" w:type="dxa"/>
            <w:vAlign w:val="top"/>
          </w:tcPr>
          <w:p>
            <w:pPr>
              <w:pStyle w:val="TableText"/>
              <w:ind w:left="112" w:right="73" w:firstLine="435"/>
              <w:spacing w:before="91" w:line="296" w:lineRule="auto"/>
              <w:rPr/>
            </w:pPr>
            <w:r>
              <w:rPr>
                <w:b/>
                <w:bCs/>
                <w:spacing w:val="-3"/>
              </w:rPr>
              <w:t>1.六盘山片区中卫至固原至平凉至庆阳铁路项目</w:t>
            </w:r>
            <w:r>
              <w:rPr>
                <w:sz w:val="8"/>
                <w:szCs w:val="8"/>
                <w:b/>
                <w:bCs/>
                <w:spacing w:val="-3"/>
                <w:position w:val="9"/>
              </w:rPr>
              <w:t>#</w:t>
            </w:r>
            <w:r>
              <w:rPr>
                <w:b/>
                <w:bCs/>
                <w:spacing w:val="-3"/>
              </w:rPr>
              <w:t>：</w:t>
            </w:r>
            <w:r>
              <w:rPr>
                <w:spacing w:val="-16"/>
              </w:rPr>
              <w:t>对六盘山片区中卫至固原、固原至平凉段按双线160公里/小</w:t>
            </w:r>
            <w:r>
              <w:rPr>
                <w:spacing w:val="-18"/>
              </w:rPr>
              <w:t>时改造建设，对市区火车站改扩建，建筑面积1.2万平方米，并同步启动公交站站场、出租车载客区、社会车辆停车区、铁</w:t>
            </w:r>
            <w:r>
              <w:rPr>
                <w:spacing w:val="-15"/>
              </w:rPr>
              <w:t>路商业综合区等。</w:t>
            </w:r>
          </w:p>
          <w:p>
            <w:pPr>
              <w:pStyle w:val="TableText"/>
              <w:ind w:right="3"/>
              <w:spacing w:before="108" w:line="240" w:lineRule="exact"/>
              <w:jc w:val="right"/>
              <w:rPr/>
            </w:pPr>
            <w:r>
              <w:rPr>
                <w:b/>
                <w:bCs/>
                <w:spacing w:val="-11"/>
                <w:position w:val="1"/>
              </w:rPr>
              <w:t>2.固原货运“公转铁”铁路专用线项目：</w:t>
            </w:r>
            <w:r>
              <w:rPr>
                <w:spacing w:val="-11"/>
                <w:position w:val="1"/>
              </w:rPr>
              <w:t>新建三营站至新材料产业园、固原货运站至西兰银物流园铁路专用线。</w:t>
            </w:r>
          </w:p>
          <w:p>
            <w:pPr>
              <w:pStyle w:val="TableText"/>
              <w:ind w:left="112" w:right="97" w:firstLine="423"/>
              <w:spacing w:before="63" w:line="281" w:lineRule="auto"/>
              <w:rPr/>
            </w:pPr>
            <w:r>
              <w:rPr>
                <w:b/>
                <w:bCs/>
              </w:rPr>
              <w:t>3.银昆固原高速公路建设项目</w:t>
            </w:r>
            <w:r>
              <w:rPr>
                <w:sz w:val="8"/>
                <w:szCs w:val="8"/>
                <w:b/>
                <w:bCs/>
                <w:position w:val="9"/>
              </w:rPr>
              <w:t>#</w:t>
            </w:r>
            <w:r>
              <w:rPr>
                <w:b/>
                <w:bCs/>
              </w:rPr>
              <w:t>：</w:t>
            </w:r>
            <w:r>
              <w:rPr/>
              <w:t>建高速公路</w:t>
            </w:r>
            <w:r>
              <w:rPr>
                <w:spacing w:val="-17"/>
              </w:rPr>
              <w:t xml:space="preserve"> </w:t>
            </w:r>
            <w:r>
              <w:rPr/>
              <w:t>112</w:t>
            </w:r>
            <w:r>
              <w:rPr>
                <w:spacing w:val="-43"/>
              </w:rPr>
              <w:t xml:space="preserve"> </w:t>
            </w:r>
            <w:r>
              <w:rPr/>
              <w:t>公里（原州区境内34</w:t>
            </w:r>
            <w:r>
              <w:rPr>
                <w:spacing w:val="-40"/>
              </w:rPr>
              <w:t xml:space="preserve"> </w:t>
            </w:r>
            <w:r>
              <w:rPr/>
              <w:t>公里，彭阳县境内78</w:t>
            </w:r>
            <w:r>
              <w:rPr>
                <w:spacing w:val="-41"/>
              </w:rPr>
              <w:t xml:space="preserve"> </w:t>
            </w:r>
            <w:r>
              <w:rPr/>
              <w:t>公里） 实施</w:t>
            </w:r>
            <w:r>
              <w:rPr/>
              <w:t>路基、路面、桥涵、隧道、防排水、交通管线及安全</w:t>
            </w:r>
            <w:r>
              <w:rPr>
                <w:spacing w:val="-1"/>
              </w:rPr>
              <w:t>设施等建设。</w:t>
            </w:r>
          </w:p>
          <w:p>
            <w:pPr>
              <w:pStyle w:val="TableText"/>
              <w:ind w:left="113" w:right="95" w:firstLine="416"/>
              <w:spacing w:before="108" w:line="288" w:lineRule="auto"/>
              <w:rPr/>
            </w:pPr>
            <w:r>
              <w:rPr>
                <w:b/>
                <w:bCs/>
                <w:spacing w:val="-1"/>
              </w:rPr>
              <w:t>4.市域其它高速公路项目：</w:t>
            </w:r>
            <w:r>
              <w:rPr>
                <w:spacing w:val="-1"/>
              </w:rPr>
              <w:t>争取建设</w:t>
            </w:r>
            <w:r>
              <w:rPr>
                <w:spacing w:val="-37"/>
              </w:rPr>
              <w:t xml:space="preserve"> </w:t>
            </w:r>
            <w:r>
              <w:rPr>
                <w:spacing w:val="-1"/>
              </w:rPr>
              <w:t>S50</w:t>
            </w:r>
            <w:r>
              <w:rPr>
                <w:spacing w:val="-41"/>
              </w:rPr>
              <w:t xml:space="preserve"> </w:t>
            </w:r>
            <w:r>
              <w:rPr>
                <w:spacing w:val="-1"/>
              </w:rPr>
              <w:t>寨科</w:t>
            </w:r>
            <w:r>
              <w:rPr>
                <w:spacing w:val="-2"/>
              </w:rPr>
              <w:t>至海原高速公路；积极推进</w:t>
            </w:r>
            <w:r>
              <w:rPr>
                <w:spacing w:val="-38"/>
              </w:rPr>
              <w:t xml:space="preserve"> </w:t>
            </w:r>
            <w:r>
              <w:rPr>
                <w:spacing w:val="-2"/>
              </w:rPr>
              <w:t>S70</w:t>
            </w:r>
            <w:r>
              <w:rPr>
                <w:spacing w:val="-36"/>
              </w:rPr>
              <w:t xml:space="preserve"> </w:t>
            </w:r>
            <w:r>
              <w:rPr>
                <w:spacing w:val="-2"/>
              </w:rPr>
              <w:t>彭阳至沟圈段、S45</w:t>
            </w:r>
            <w:r>
              <w:rPr>
                <w:spacing w:val="-38"/>
              </w:rPr>
              <w:t xml:space="preserve"> </w:t>
            </w:r>
            <w:r>
              <w:rPr>
                <w:spacing w:val="-2"/>
              </w:rPr>
              <w:t>海原至</w:t>
            </w:r>
            <w:r>
              <w:rPr>
                <w:spacing w:val="-1"/>
              </w:rPr>
              <w:t>西吉段及隆德至庄浪段高速公路项目前期工作，建设总规模</w:t>
            </w:r>
            <w:r>
              <w:rPr>
                <w:spacing w:val="-25"/>
              </w:rPr>
              <w:t xml:space="preserve"> </w:t>
            </w:r>
            <w:r>
              <w:rPr>
                <w:spacing w:val="-1"/>
              </w:rPr>
              <w:t>302</w:t>
            </w:r>
            <w:r>
              <w:rPr>
                <w:spacing w:val="-42"/>
              </w:rPr>
              <w:t xml:space="preserve"> </w:t>
            </w:r>
            <w:r>
              <w:rPr>
                <w:spacing w:val="-1"/>
              </w:rPr>
              <w:t>公里。</w:t>
            </w:r>
          </w:p>
          <w:p>
            <w:pPr>
              <w:pStyle w:val="TableText"/>
              <w:ind w:left="111" w:right="97" w:firstLine="421"/>
              <w:spacing w:before="78" w:line="287" w:lineRule="auto"/>
              <w:rPr/>
            </w:pPr>
            <w:r>
              <w:rPr>
                <w:b/>
                <w:bCs/>
              </w:rPr>
              <w:t>5.普通国省干线项目：</w:t>
            </w:r>
            <w:r>
              <w:rPr/>
              <w:t>实施</w:t>
            </w:r>
            <w:r>
              <w:rPr>
                <w:spacing w:val="-36"/>
              </w:rPr>
              <w:t xml:space="preserve"> </w:t>
            </w:r>
            <w:r>
              <w:rPr/>
              <w:t>G312</w:t>
            </w:r>
            <w:r>
              <w:rPr>
                <w:spacing w:val="-38"/>
              </w:rPr>
              <w:t xml:space="preserve"> </w:t>
            </w:r>
            <w:r>
              <w:rPr/>
              <w:t>线苋麻湾至隆德、G566</w:t>
            </w:r>
            <w:r>
              <w:rPr>
                <w:spacing w:val="-38"/>
              </w:rPr>
              <w:t xml:space="preserve"> </w:t>
            </w:r>
            <w:r>
              <w:rPr/>
              <w:t>线西吉上堡至夏寨等</w:t>
            </w:r>
            <w:r>
              <w:rPr>
                <w:spacing w:val="-25"/>
              </w:rPr>
              <w:t xml:space="preserve"> </w:t>
            </w:r>
            <w:r>
              <w:rPr/>
              <w:t>18</w:t>
            </w:r>
            <w:r>
              <w:rPr>
                <w:spacing w:val="-40"/>
              </w:rPr>
              <w:t xml:space="preserve"> </w:t>
            </w:r>
            <w:r>
              <w:rPr/>
              <w:t>个普通国省干线</w:t>
            </w:r>
            <w:r>
              <w:rPr>
                <w:spacing w:val="-1"/>
              </w:rPr>
              <w:t>公路能</w:t>
            </w:r>
            <w:r>
              <w:rPr>
                <w:spacing w:val="-1"/>
              </w:rPr>
              <w:t>力提升项目，建设总里程</w:t>
            </w:r>
            <w:r>
              <w:rPr>
                <w:spacing w:val="-38"/>
              </w:rPr>
              <w:t xml:space="preserve"> </w:t>
            </w:r>
            <w:r>
              <w:rPr>
                <w:spacing w:val="-1"/>
              </w:rPr>
              <w:t>500</w:t>
            </w:r>
            <w:r>
              <w:rPr>
                <w:spacing w:val="-42"/>
              </w:rPr>
              <w:t xml:space="preserve"> </w:t>
            </w:r>
            <w:r>
              <w:rPr>
                <w:spacing w:val="-1"/>
              </w:rPr>
              <w:t>公里。</w:t>
            </w:r>
          </w:p>
          <w:p>
            <w:pPr>
              <w:pStyle w:val="TableText"/>
              <w:ind w:left="533"/>
              <w:spacing w:before="81" w:line="240" w:lineRule="exact"/>
              <w:rPr/>
            </w:pPr>
            <w:r>
              <w:rPr>
                <w:b/>
                <w:bCs/>
                <w:spacing w:val="-3"/>
                <w:position w:val="1"/>
              </w:rPr>
              <w:t>6.地方经济干线项目：</w:t>
            </w:r>
            <w:r>
              <w:rPr>
                <w:spacing w:val="-3"/>
                <w:position w:val="1"/>
              </w:rPr>
              <w:t>新（改）建地方经济干线1128公里。</w:t>
            </w:r>
          </w:p>
          <w:p>
            <w:pPr>
              <w:pStyle w:val="TableText"/>
              <w:ind w:left="531"/>
              <w:spacing w:before="79" w:line="240" w:lineRule="exact"/>
              <w:rPr/>
            </w:pPr>
            <w:r>
              <w:rPr>
                <w:b/>
                <w:bCs/>
                <w:spacing w:val="-3"/>
                <w:position w:val="1"/>
              </w:rPr>
              <w:t>7.农村公路项目：</w:t>
            </w:r>
            <w:r>
              <w:rPr>
                <w:spacing w:val="-3"/>
                <w:position w:val="1"/>
              </w:rPr>
              <w:t>新（改）建农村公路1000公里。</w:t>
            </w:r>
          </w:p>
          <w:p>
            <w:pPr>
              <w:pStyle w:val="TableText"/>
              <w:ind w:left="535"/>
              <w:spacing w:before="64" w:line="256" w:lineRule="exact"/>
              <w:rPr/>
            </w:pPr>
            <w:r>
              <w:rPr>
                <w:b/>
                <w:bCs/>
                <w:spacing w:val="-4"/>
                <w:position w:val="1"/>
              </w:rPr>
              <w:t>8.固原六盘山机场改扩建项目</w:t>
            </w:r>
            <w:r>
              <w:rPr>
                <w:sz w:val="8"/>
                <w:szCs w:val="8"/>
                <w:b/>
                <w:bCs/>
                <w:spacing w:val="-4"/>
                <w:position w:val="10"/>
              </w:rPr>
              <w:t>#</w:t>
            </w:r>
            <w:r>
              <w:rPr>
                <w:b/>
                <w:bCs/>
                <w:spacing w:val="-4"/>
                <w:position w:val="1"/>
              </w:rPr>
              <w:t>：</w:t>
            </w:r>
            <w:r>
              <w:rPr>
                <w:spacing w:val="-13"/>
                <w:position w:val="1"/>
              </w:rPr>
              <w:t>建设1.4万平方米航站楼，5部登机桥，同步扩建站坪、通航设施及配套设施。</w:t>
            </w:r>
          </w:p>
          <w:p>
            <w:pPr>
              <w:pStyle w:val="TableText"/>
              <w:ind w:left="112" w:right="92" w:firstLine="420"/>
              <w:spacing w:before="81" w:line="271" w:lineRule="auto"/>
              <w:rPr/>
            </w:pPr>
            <w:r>
              <w:rPr>
                <w:b/>
                <w:bCs/>
              </w:rPr>
              <w:t>9.固原隆德、西吉、泾源、彭阳通用机场项目：</w:t>
            </w:r>
            <w:r>
              <w:rPr/>
              <w:t>建设隆德A类标准通</w:t>
            </w:r>
            <w:r>
              <w:rPr>
                <w:spacing w:val="-1"/>
              </w:rPr>
              <w:t>航机场，开展西吉、泾源、彭阳通用</w:t>
            </w:r>
            <w:r>
              <w:rPr>
                <w:spacing w:val="-1"/>
              </w:rPr>
              <w:t>机场前期工作。</w:t>
            </w:r>
          </w:p>
          <w:p>
            <w:pPr>
              <w:pStyle w:val="TableText"/>
              <w:ind w:left="112" w:right="90" w:firstLine="435"/>
              <w:spacing w:before="95" w:line="281" w:lineRule="auto"/>
              <w:rPr/>
            </w:pPr>
            <w:r>
              <w:rPr>
                <w:b/>
                <w:bCs/>
                <w:spacing w:val="-1"/>
              </w:rPr>
              <w:t>10.城乡公交一体化及零距离换乘交通枢纽项</w:t>
            </w:r>
            <w:r>
              <w:rPr>
                <w:b/>
                <w:bCs/>
                <w:spacing w:val="-2"/>
              </w:rPr>
              <w:t>目</w:t>
            </w:r>
            <w:r>
              <w:rPr>
                <w:sz w:val="8"/>
                <w:szCs w:val="8"/>
                <w:b/>
                <w:bCs/>
                <w:spacing w:val="-2"/>
                <w:position w:val="9"/>
              </w:rPr>
              <w:t>@</w:t>
            </w:r>
            <w:r>
              <w:rPr>
                <w:b/>
                <w:bCs/>
                <w:spacing w:val="-2"/>
              </w:rPr>
              <w:t>：</w:t>
            </w:r>
            <w:r>
              <w:rPr>
                <w:spacing w:val="-2"/>
              </w:rPr>
              <w:t>新建北环路、南环路2处公交首末站（含充电站</w:t>
            </w:r>
            <w:r>
              <w:rPr>
                <w:spacing w:val="-44"/>
              </w:rPr>
              <w:t>），</w:t>
            </w:r>
            <w:r>
              <w:rPr>
                <w:spacing w:val="-2"/>
              </w:rPr>
              <w:t>改造</w:t>
            </w:r>
            <w:r>
              <w:rPr>
                <w:spacing w:val="-1"/>
              </w:rPr>
              <w:t>城区部分街道公交站亭。</w:t>
            </w:r>
          </w:p>
        </w:tc>
      </w:tr>
    </w:tbl>
    <w:p>
      <w:pPr>
        <w:ind w:left="433"/>
        <w:spacing w:before="159" w:line="211" w:lineRule="auto"/>
        <w:outlineLvl w:val="0"/>
        <w:rPr>
          <w:rFonts w:ascii="KaiTi" w:hAnsi="KaiTi" w:eastAsia="KaiTi" w:cs="KaiTi"/>
          <w:sz w:val="18"/>
          <w:szCs w:val="18"/>
        </w:rPr>
      </w:pPr>
      <w:r>
        <w:rPr>
          <w:rFonts w:ascii="Microsoft YaHei" w:hAnsi="Microsoft YaHei" w:eastAsia="Microsoft YaHei" w:cs="Microsoft YaHei"/>
          <w:sz w:val="18"/>
          <w:szCs w:val="18"/>
          <w:spacing w:val="-1"/>
        </w:rPr>
        <w:t>注</w:t>
      </w:r>
      <w:r>
        <w:rPr>
          <w:rFonts w:ascii="Microsoft YaHei" w:hAnsi="Microsoft YaHei" w:eastAsia="Microsoft YaHei" w:cs="Microsoft YaHei"/>
          <w:sz w:val="18"/>
          <w:szCs w:val="18"/>
          <w:spacing w:val="-11"/>
        </w:rPr>
        <w:t xml:space="preserve"> </w:t>
      </w:r>
      <w:r>
        <w:rPr>
          <w:rFonts w:ascii="Microsoft YaHei" w:hAnsi="Microsoft YaHei" w:eastAsia="Microsoft YaHei" w:cs="Microsoft YaHei"/>
          <w:sz w:val="18"/>
          <w:szCs w:val="18"/>
          <w:spacing w:val="-1"/>
        </w:rPr>
        <w:t>：</w:t>
      </w:r>
      <w:r>
        <w:rPr>
          <w:rFonts w:ascii="KaiTi" w:hAnsi="KaiTi" w:eastAsia="KaiTi" w:cs="KaiTi"/>
          <w:sz w:val="18"/>
          <w:szCs w:val="18"/>
          <w:spacing w:val="-1"/>
        </w:rPr>
        <w:t>项目名称右上角标“#”的为基础设施十大项</w:t>
      </w:r>
      <w:r>
        <w:rPr>
          <w:rFonts w:ascii="KaiTi" w:hAnsi="KaiTi" w:eastAsia="KaiTi" w:cs="KaiTi"/>
          <w:sz w:val="18"/>
          <w:szCs w:val="18"/>
          <w:spacing w:val="-47"/>
        </w:rPr>
        <w:t xml:space="preserve"> </w:t>
      </w:r>
      <w:r>
        <w:rPr>
          <w:rFonts w:ascii="KaiTi" w:hAnsi="KaiTi" w:eastAsia="KaiTi" w:cs="KaiTi"/>
          <w:sz w:val="18"/>
          <w:szCs w:val="18"/>
          <w:spacing w:val="-1"/>
        </w:rPr>
        <w:t>目；标“@”的为民生五大项</w:t>
      </w:r>
      <w:r>
        <w:rPr>
          <w:rFonts w:ascii="KaiTi" w:hAnsi="KaiTi" w:eastAsia="KaiTi" w:cs="KaiTi"/>
          <w:sz w:val="18"/>
          <w:szCs w:val="18"/>
          <w:spacing w:val="-47"/>
        </w:rPr>
        <w:t xml:space="preserve"> </w:t>
      </w:r>
      <w:r>
        <w:rPr>
          <w:rFonts w:ascii="KaiTi" w:hAnsi="KaiTi" w:eastAsia="KaiTi" w:cs="KaiTi"/>
          <w:sz w:val="18"/>
          <w:szCs w:val="18"/>
          <w:spacing w:val="-1"/>
        </w:rPr>
        <w:t>目。</w:t>
      </w:r>
    </w:p>
    <w:p>
      <w:pPr>
        <w:spacing w:before="17"/>
        <w:rPr/>
      </w:pPr>
      <w:r/>
    </w:p>
    <w:p>
      <w:pPr>
        <w:spacing w:before="16"/>
        <w:rPr/>
      </w:pPr>
      <w:r/>
    </w:p>
    <w:p>
      <w:pPr>
        <w:sectPr>
          <w:headerReference w:type="default" r:id="rId185"/>
          <w:footerReference w:type="default" r:id="rId244"/>
          <w:pgSz w:w="11906" w:h="16839"/>
          <w:pgMar w:top="1793" w:right="1526" w:bottom="1570" w:left="1526" w:header="1428" w:footer="1172" w:gutter="0"/>
          <w:cols w:equalWidth="0" w:num="1">
            <w:col w:w="8854" w:space="0"/>
          </w:cols>
        </w:sectPr>
        <w:rPr/>
      </w:pPr>
    </w:p>
    <w:p>
      <w:pPr>
        <w:pStyle w:val="BodyText"/>
        <w:ind w:left="969"/>
        <w:spacing w:before="40" w:line="214" w:lineRule="auto"/>
        <w:outlineLvl w:val="0"/>
        <w:rPr>
          <w:sz w:val="18"/>
          <w:szCs w:val="18"/>
        </w:rPr>
      </w:pPr>
      <w:r>
        <w:rPr>
          <w:sz w:val="18"/>
          <w:szCs w:val="18"/>
          <w:b/>
          <w:bCs/>
          <w:spacing w:val="-2"/>
        </w:rPr>
        <w:t>第二节</w:t>
      </w:r>
      <w:r>
        <w:rPr>
          <w:sz w:val="18"/>
          <w:szCs w:val="18"/>
          <w:spacing w:val="-2"/>
        </w:rPr>
        <w:t xml:space="preserve">  </w:t>
      </w:r>
      <w:r>
        <w:rPr>
          <w:sz w:val="18"/>
          <w:szCs w:val="18"/>
          <w:b/>
          <w:bCs/>
          <w:spacing w:val="-2"/>
        </w:rPr>
        <w:t>构建集约高效水利网</w:t>
      </w:r>
    </w:p>
    <w:p>
      <w:pPr>
        <w:spacing w:line="303" w:lineRule="auto"/>
        <w:rPr>
          <w:rFonts w:ascii="Arial"/>
          <w:sz w:val="21"/>
        </w:rPr>
      </w:pPr>
      <w:r/>
    </w:p>
    <w:p>
      <w:pPr>
        <w:pStyle w:val="BodyText"/>
        <w:ind w:left="488"/>
        <w:spacing w:before="65" w:line="223" w:lineRule="auto"/>
        <w:rPr/>
      </w:pPr>
      <w:r>
        <w:rPr>
          <w:spacing w:val="6"/>
        </w:rPr>
        <w:t>统筹治水、兴水、用水、节水，推进水资</w:t>
      </w:r>
    </w:p>
    <w:p>
      <w:pPr>
        <w:pStyle w:val="BodyText"/>
        <w:ind w:left="70"/>
        <w:spacing w:before="140" w:line="223" w:lineRule="auto"/>
        <w:outlineLvl w:val="0"/>
        <w:rPr/>
      </w:pPr>
      <w:r>
        <w:rPr>
          <w:spacing w:val="7"/>
        </w:rPr>
        <w:t>源、水环境、水生态、水灾害综合治理，形成</w:t>
      </w:r>
    </w:p>
    <w:p>
      <w:pPr>
        <w:pStyle w:val="BodyText"/>
        <w:ind w:left="65" w:right="329"/>
        <w:spacing w:before="138" w:line="350" w:lineRule="auto"/>
        <w:jc w:val="both"/>
        <w:rPr/>
      </w:pPr>
      <w:r>
        <w:rPr>
          <w:spacing w:val="7"/>
        </w:rPr>
        <w:t>挖潜利用当地水、双水互通外调水、互联互通</w:t>
      </w:r>
      <w:r>
        <w:rPr>
          <w:spacing w:val="7"/>
        </w:rPr>
        <w:t>用洪水、绿化环卫靠中水的多水源合理配置供</w:t>
      </w:r>
      <w:r>
        <w:rPr>
          <w:spacing w:val="7"/>
        </w:rPr>
        <w:t>水布局，全面提升城乡供水保障、联调联控联</w:t>
      </w:r>
      <w:r>
        <w:rPr>
          <w:spacing w:val="8"/>
        </w:rPr>
        <w:t>蓄和防洪抗旱除涝减灾能力。</w:t>
      </w:r>
    </w:p>
    <w:p>
      <w:pPr>
        <w:pStyle w:val="BodyText"/>
        <w:ind w:left="488"/>
        <w:spacing w:before="1" w:line="221" w:lineRule="auto"/>
        <w:rPr/>
      </w:pPr>
      <w:r>
        <w:rPr>
          <w:spacing w:val="6"/>
        </w:rPr>
        <w:t>构建多元供给用水保障体系。坚持开源与</w:t>
      </w:r>
    </w:p>
    <w:p>
      <w:pPr>
        <w:pStyle w:val="BodyText"/>
        <w:ind w:left="67"/>
        <w:spacing w:before="143" w:line="223" w:lineRule="auto"/>
        <w:outlineLvl w:val="0"/>
        <w:rPr/>
      </w:pPr>
      <w:r>
        <w:rPr>
          <w:spacing w:val="7"/>
        </w:rPr>
        <w:t>节流并重，优化水资源配置，全面提高水资源</w:t>
      </w:r>
    </w:p>
    <w:p>
      <w:pPr>
        <w:pStyle w:val="BodyText"/>
        <w:ind w:left="65" w:right="289" w:firstLine="2"/>
        <w:spacing w:before="136" w:line="332" w:lineRule="auto"/>
        <w:jc w:val="both"/>
        <w:rPr/>
      </w:pPr>
      <w:r>
        <w:rPr>
          <w:spacing w:val="9"/>
        </w:rPr>
        <w:t>利用效率和承载力。落实黄河水量分配方案，</w:t>
      </w:r>
      <w:r>
        <w:rPr>
          <w:spacing w:val="7"/>
        </w:rPr>
        <w:t>严格执行用水计划，强化水资源统一调度，利</w:t>
      </w:r>
      <w:r>
        <w:rPr>
          <w:spacing w:val="7"/>
        </w:rPr>
        <w:t>用好有限水资源。充分挖潜现有供水潜力的基</w:t>
      </w:r>
      <w:r>
        <w:rPr>
          <w:spacing w:val="7"/>
        </w:rPr>
        <w:t>础上，加大外调水，实施中水、矿井水、苦咸</w:t>
      </w:r>
      <w:r>
        <w:rPr>
          <w:spacing w:val="4"/>
        </w:rPr>
        <w:t>水、雨水等非常规水利用。2025</w:t>
      </w:r>
      <w:r>
        <w:rPr>
          <w:spacing w:val="-39"/>
        </w:rPr>
        <w:t xml:space="preserve"> </w:t>
      </w:r>
      <w:r>
        <w:rPr>
          <w:spacing w:val="4"/>
        </w:rPr>
        <w:t>年，全市用水</w:t>
      </w:r>
      <w:r>
        <w:rPr>
          <w:spacing w:val="1"/>
        </w:rPr>
        <w:t>量控制在</w:t>
      </w:r>
      <w:r>
        <w:rPr>
          <w:spacing w:val="-28"/>
        </w:rPr>
        <w:t xml:space="preserve"> </w:t>
      </w:r>
      <w:r>
        <w:rPr>
          <w:spacing w:val="1"/>
        </w:rPr>
        <w:t>2.64</w:t>
      </w:r>
      <w:r>
        <w:rPr>
          <w:spacing w:val="-46"/>
        </w:rPr>
        <w:t xml:space="preserve"> </w:t>
      </w:r>
      <w:r>
        <w:rPr>
          <w:spacing w:val="1"/>
        </w:rPr>
        <w:t>亿立方米以内，城市再生水回用</w:t>
      </w:r>
      <w:r>
        <w:rPr>
          <w:spacing w:val="11"/>
        </w:rPr>
        <w:t>率达到40%</w:t>
      </w:r>
      <w:r>
        <w:rPr>
          <w:spacing w:val="-45"/>
        </w:rPr>
        <w:t xml:space="preserve"> </w:t>
      </w:r>
      <w:r>
        <w:rPr>
          <w:spacing w:val="11"/>
        </w:rPr>
        <w:t>，基本构筑形成多水源互联互调、</w:t>
      </w:r>
    </w:p>
    <w:p>
      <w:pPr>
        <w:spacing w:line="14" w:lineRule="auto"/>
        <w:rPr>
          <w:rFonts w:ascii="Arial"/>
          <w:sz w:val="2"/>
        </w:rPr>
      </w:pPr>
      <w:r>
        <w:rPr>
          <w:rFonts w:ascii="Arial" w:hAnsi="Arial" w:eastAsia="Arial" w:cs="Arial"/>
          <w:sz w:val="2"/>
          <w:szCs w:val="2"/>
        </w:rPr>
        <w:br w:type="column"/>
      </w:r>
    </w:p>
    <w:p>
      <w:pPr>
        <w:pStyle w:val="BodyText"/>
        <w:ind w:left="2"/>
        <w:spacing w:before="76" w:line="223" w:lineRule="auto"/>
        <w:rPr/>
      </w:pPr>
      <w:r>
        <w:rPr>
          <w:spacing w:val="9"/>
        </w:rPr>
        <w:t>安全可靠的城乡区域用水保障体系。</w:t>
      </w:r>
    </w:p>
    <w:p>
      <w:pPr>
        <w:pStyle w:val="BodyText"/>
        <w:ind w:left="423"/>
        <w:spacing w:before="140" w:line="222" w:lineRule="auto"/>
        <w:rPr/>
      </w:pPr>
      <w:r>
        <w:rPr>
          <w:spacing w:val="19"/>
        </w:rPr>
        <w:t>推进重大水利设施建设。统筹用好泾河</w:t>
      </w:r>
    </w:p>
    <w:p>
      <w:pPr>
        <w:pStyle w:val="BodyText"/>
        <w:spacing w:before="141" w:line="222" w:lineRule="auto"/>
        <w:outlineLvl w:val="0"/>
        <w:rPr/>
      </w:pPr>
      <w:r>
        <w:rPr>
          <w:spacing w:val="7"/>
        </w:rPr>
        <w:t>水、引好黄河水、利用雨洪水，积极争取跨流</w:t>
      </w:r>
    </w:p>
    <w:p>
      <w:pPr>
        <w:pStyle w:val="BodyText"/>
        <w:ind w:right="59" w:firstLine="2"/>
        <w:spacing w:before="137" w:line="352" w:lineRule="auto"/>
        <w:jc w:val="both"/>
        <w:rPr/>
      </w:pPr>
      <w:r>
        <w:rPr>
          <w:spacing w:val="7"/>
        </w:rPr>
        <w:t>域调水，推进重大水利设施建设。重点实施固</w:t>
      </w:r>
      <w:r>
        <w:rPr>
          <w:spacing w:val="7"/>
        </w:rPr>
        <w:t>海扩灌扬水更新改造、黄河水入西通彭、清水</w:t>
      </w:r>
      <w:r>
        <w:rPr>
          <w:spacing w:val="7"/>
        </w:rPr>
        <w:t>河流域城乡供水、泾河水高效利用等骨干水资</w:t>
      </w:r>
      <w:r>
        <w:rPr>
          <w:spacing w:val="7"/>
        </w:rPr>
        <w:t>源配置工程，形成全市骨干供水网。实施水资</w:t>
      </w:r>
      <w:r>
        <w:rPr>
          <w:spacing w:val="7"/>
        </w:rPr>
        <w:t>源高效利用工程，建设水库联蓄联调、新建水</w:t>
      </w:r>
      <w:r>
        <w:rPr>
          <w:spacing w:val="7"/>
        </w:rPr>
        <w:t>库、雨水利用、寺口子水库和冬至河水库苦咸</w:t>
      </w:r>
      <w:r>
        <w:rPr>
          <w:spacing w:val="7"/>
        </w:rPr>
        <w:t>水利用等工程，高效利用当地雨洪和非常规水</w:t>
      </w:r>
      <w:r>
        <w:rPr>
          <w:spacing w:val="7"/>
        </w:rPr>
        <w:t>资源，实现生活用水、工业用水、灌溉用水统</w:t>
      </w:r>
      <w:r>
        <w:rPr>
          <w:spacing w:val="7"/>
        </w:rPr>
        <w:t>筹调配，夯实水安全基础。实施农村饮水安全</w:t>
      </w:r>
      <w:r>
        <w:rPr>
          <w:spacing w:val="7"/>
        </w:rPr>
        <w:t>巩固提升及管网改造工程，实现城乡供水一体</w:t>
      </w:r>
      <w:r>
        <w:rPr>
          <w:spacing w:val="7"/>
        </w:rPr>
        <w:t>化，提高供水水质和供水保证率。实施中型灌</w:t>
      </w:r>
      <w:r>
        <w:rPr>
          <w:spacing w:val="7"/>
        </w:rPr>
        <w:t>区续建配套与节水改造项目，夯实农业供水条</w:t>
      </w:r>
      <w:r>
        <w:rPr>
          <w:spacing w:val="5"/>
        </w:rPr>
        <w:t>件。到</w:t>
      </w:r>
      <w:r>
        <w:rPr>
          <w:spacing w:val="-42"/>
        </w:rPr>
        <w:t xml:space="preserve"> </w:t>
      </w:r>
      <w:r>
        <w:rPr>
          <w:spacing w:val="5"/>
        </w:rPr>
        <w:t>2025</w:t>
      </w:r>
      <w:r>
        <w:rPr>
          <w:spacing w:val="-39"/>
        </w:rPr>
        <w:t xml:space="preserve"> </w:t>
      </w:r>
      <w:r>
        <w:rPr>
          <w:spacing w:val="5"/>
        </w:rPr>
        <w:t>年，全市供水能力达到</w:t>
      </w:r>
      <w:r>
        <w:rPr>
          <w:spacing w:val="-40"/>
        </w:rPr>
        <w:t xml:space="preserve"> </w:t>
      </w:r>
      <w:r>
        <w:rPr>
          <w:spacing w:val="5"/>
        </w:rPr>
        <w:t>2.89</w:t>
      </w:r>
      <w:r>
        <w:rPr>
          <w:spacing w:val="-43"/>
        </w:rPr>
        <w:t xml:space="preserve"> </w:t>
      </w:r>
      <w:r>
        <w:rPr>
          <w:spacing w:val="5"/>
        </w:rPr>
        <w:t>亿立</w:t>
      </w:r>
    </w:p>
    <w:p>
      <w:pPr>
        <w:spacing w:line="352" w:lineRule="auto"/>
        <w:sectPr>
          <w:type w:val="continuous"/>
          <w:pgSz w:w="11906" w:h="16839"/>
          <w:pgMar w:top="1793" w:right="1526" w:bottom="1570" w:left="1526" w:header="1428" w:footer="1172" w:gutter="0"/>
          <w:cols w:equalWidth="0" w:num="2">
            <w:col w:w="4542" w:space="100"/>
            <w:col w:w="4212" w:space="0"/>
          </w:cols>
        </w:sectPr>
        <w:rPr/>
      </w:pPr>
    </w:p>
    <w:p>
      <w:pPr>
        <w:spacing w:before="25"/>
        <w:rPr/>
      </w:pPr>
      <w:r/>
    </w:p>
    <w:p>
      <w:pPr>
        <w:sectPr>
          <w:headerReference w:type="default" r:id="rId246"/>
          <w:footerReference w:type="default" r:id="rId247"/>
          <w:pgSz w:w="11906" w:h="16839"/>
          <w:pgMar w:top="1793" w:right="1382" w:bottom="1673" w:left="1526" w:header="1428" w:footer="1277" w:gutter="0"/>
          <w:cols w:equalWidth="0" w:num="1">
            <w:col w:w="8998" w:space="0"/>
          </w:cols>
        </w:sectPr>
        <w:rPr/>
      </w:pPr>
    </w:p>
    <w:p>
      <w:pPr>
        <w:pStyle w:val="BodyText"/>
        <w:ind w:left="65" w:right="326"/>
        <w:spacing w:before="49" w:line="350" w:lineRule="auto"/>
        <w:jc w:val="both"/>
        <w:rPr/>
      </w:pPr>
      <w:r>
        <w:rPr>
          <w:spacing w:val="6"/>
        </w:rPr>
        <w:t>方米，农田灌溉水有效利用系数提高到0.75，</w:t>
      </w:r>
      <w:r>
        <w:rPr>
          <w:spacing w:val="11"/>
        </w:rPr>
        <w:t>城乡集中供水工程供水率</w:t>
      </w:r>
      <w:r>
        <w:rPr>
          <w:spacing w:val="-25"/>
        </w:rPr>
        <w:t xml:space="preserve"> </w:t>
      </w:r>
      <w:r>
        <w:rPr>
          <w:spacing w:val="11"/>
        </w:rPr>
        <w:t>100%</w:t>
      </w:r>
      <w:r>
        <w:rPr>
          <w:spacing w:val="-57"/>
        </w:rPr>
        <w:t xml:space="preserve"> </w:t>
      </w:r>
      <w:r>
        <w:rPr>
          <w:spacing w:val="11"/>
        </w:rPr>
        <w:t>，农村自</w:t>
      </w:r>
      <w:r>
        <w:rPr>
          <w:spacing w:val="10"/>
        </w:rPr>
        <w:t>来水</w:t>
      </w:r>
      <w:r>
        <w:rPr>
          <w:spacing w:val="13"/>
        </w:rPr>
        <w:t>普及率</w:t>
      </w:r>
      <w:r>
        <w:rPr>
          <w:spacing w:val="-41"/>
        </w:rPr>
        <w:t xml:space="preserve"> </w:t>
      </w:r>
      <w:r>
        <w:rPr>
          <w:spacing w:val="13"/>
        </w:rPr>
        <w:t>95%以上。</w:t>
      </w:r>
    </w:p>
    <w:p>
      <w:pPr>
        <w:pStyle w:val="BodyText"/>
        <w:ind w:left="68" w:right="330" w:firstLine="419"/>
        <w:spacing w:before="2" w:line="288" w:lineRule="auto"/>
        <w:outlineLvl w:val="0"/>
        <w:rPr/>
      </w:pPr>
      <w:r>
        <w:rPr>
          <w:spacing w:val="6"/>
        </w:rPr>
        <w:t>加快智慧水利建设。着力发挥信息化在系</w:t>
      </w:r>
      <w:r>
        <w:rPr>
          <w:spacing w:val="10"/>
        </w:rPr>
        <w:t>统治水中的关键作用</w:t>
      </w:r>
      <w:r>
        <w:rPr>
          <w:spacing w:val="-57"/>
        </w:rPr>
        <w:t xml:space="preserve"> </w:t>
      </w:r>
      <w:r>
        <w:rPr>
          <w:spacing w:val="10"/>
        </w:rPr>
        <w:t>，实施“互联网+城乡供</w:t>
      </w:r>
    </w:p>
    <w:p>
      <w:pPr>
        <w:pStyle w:val="BodyText"/>
        <w:ind w:left="63" w:right="249" w:firstLine="2"/>
        <w:spacing w:before="145" w:line="350" w:lineRule="auto"/>
        <w:jc w:val="both"/>
        <w:rPr/>
      </w:pPr>
      <w:r>
        <w:rPr>
          <w:spacing w:val="7"/>
        </w:rPr>
        <w:t>水”项目，推动全要素水利大数据向水利云汇</w:t>
      </w:r>
      <w:r>
        <w:rPr>
          <w:spacing w:val="7"/>
        </w:rPr>
        <w:t>聚，不断提升水利大数据资源规范管理、在线</w:t>
      </w:r>
      <w:r>
        <w:rPr>
          <w:spacing w:val="7"/>
        </w:rPr>
        <w:t>共享和服务能力，建成全市水利信息网。积极</w:t>
      </w:r>
      <w:r>
        <w:rPr>
          <w:spacing w:val="7"/>
        </w:rPr>
        <w:t>推进建设数字防汛抗旱、数字水工程监测、数</w:t>
      </w:r>
      <w:r>
        <w:rPr>
          <w:spacing w:val="7"/>
        </w:rPr>
        <w:t>字灌区、数字水资源、数字水生态、数字水利</w:t>
      </w:r>
      <w:r>
        <w:rPr>
          <w:spacing w:val="6"/>
        </w:rPr>
        <w:t>综合监管、政务管理等</w:t>
      </w:r>
      <w:r>
        <w:rPr>
          <w:spacing w:val="-31"/>
        </w:rPr>
        <w:t xml:space="preserve"> </w:t>
      </w:r>
      <w:r>
        <w:rPr>
          <w:spacing w:val="6"/>
        </w:rPr>
        <w:t>7</w:t>
      </w:r>
      <w:r>
        <w:rPr>
          <w:spacing w:val="-39"/>
        </w:rPr>
        <w:t xml:space="preserve"> </w:t>
      </w:r>
      <w:r>
        <w:rPr>
          <w:spacing w:val="6"/>
        </w:rPr>
        <w:t>大平台，提高水利信</w:t>
      </w:r>
      <w:r>
        <w:rPr>
          <w:spacing w:val="7"/>
        </w:rPr>
        <w:t>息化装备水平。加强水利信息采集与监测，建</w:t>
      </w:r>
      <w:r>
        <w:rPr>
          <w:spacing w:val="1"/>
        </w:rPr>
        <w:t>设防汛抗旱、水资源、灌区取用水计量、河湖、</w:t>
      </w:r>
      <w:r>
        <w:rPr>
          <w:spacing w:val="7"/>
        </w:rPr>
        <w:t>水土保持工程运行管理、水土流失动态、水库</w:t>
      </w:r>
      <w:r>
        <w:rPr>
          <w:spacing w:val="1"/>
        </w:rPr>
        <w:t>安全、淤地坝安全、节水治污处理自动化工程、</w:t>
      </w:r>
      <w:r>
        <w:rPr>
          <w:spacing w:val="8"/>
        </w:rPr>
        <w:t>田间智能等</w:t>
      </w:r>
      <w:r>
        <w:rPr>
          <w:spacing w:val="-11"/>
        </w:rPr>
        <w:t xml:space="preserve"> </w:t>
      </w:r>
      <w:r>
        <w:rPr>
          <w:spacing w:val="8"/>
        </w:rPr>
        <w:t>10</w:t>
      </w:r>
      <w:r>
        <w:rPr>
          <w:spacing w:val="-41"/>
        </w:rPr>
        <w:t xml:space="preserve"> </w:t>
      </w:r>
      <w:r>
        <w:rPr>
          <w:spacing w:val="8"/>
        </w:rPr>
        <w:t>个项目的自动化监测系统</w:t>
      </w:r>
      <w:r>
        <w:rPr>
          <w:spacing w:val="-58"/>
        </w:rPr>
        <w:t xml:space="preserve"> </w:t>
      </w:r>
      <w:r>
        <w:rPr>
          <w:spacing w:val="8"/>
        </w:rPr>
        <w:t>，大</w:t>
      </w:r>
      <w:r>
        <w:rPr>
          <w:spacing w:val="4"/>
        </w:rPr>
        <w:t>力提升水利感知智能水平。2025</w:t>
      </w:r>
      <w:r>
        <w:rPr>
          <w:spacing w:val="-38"/>
        </w:rPr>
        <w:t xml:space="preserve"> </w:t>
      </w:r>
      <w:r>
        <w:rPr>
          <w:spacing w:val="4"/>
        </w:rPr>
        <w:t>年，重要河湖</w:t>
      </w:r>
      <w:r>
        <w:rPr>
          <w:spacing w:val="9"/>
        </w:rPr>
        <w:t>水域岸线监管率达到</w:t>
      </w:r>
      <w:r>
        <w:rPr>
          <w:spacing w:val="-39"/>
        </w:rPr>
        <w:t xml:space="preserve"> </w:t>
      </w:r>
      <w:r>
        <w:rPr>
          <w:spacing w:val="9"/>
        </w:rPr>
        <w:t>85%，重点取用水户监管</w:t>
      </w:r>
    </w:p>
    <w:p>
      <w:pPr>
        <w:spacing w:line="14" w:lineRule="auto"/>
        <w:rPr>
          <w:rFonts w:ascii="Arial"/>
          <w:sz w:val="2"/>
        </w:rPr>
      </w:pPr>
      <w:r>
        <w:rPr>
          <w:rFonts w:ascii="Arial" w:hAnsi="Arial" w:eastAsia="Arial" w:cs="Arial"/>
          <w:sz w:val="2"/>
          <w:szCs w:val="2"/>
        </w:rPr>
        <w:br w:type="column"/>
      </w:r>
    </w:p>
    <w:p>
      <w:pPr>
        <w:pStyle w:val="BodyText"/>
        <w:ind w:right="165"/>
        <w:spacing w:before="45" w:line="338" w:lineRule="auto"/>
        <w:jc w:val="both"/>
        <w:rPr/>
      </w:pPr>
      <w:r>
        <w:rPr>
          <w:spacing w:val="14"/>
        </w:rPr>
        <w:t>率</w:t>
      </w:r>
      <w:r>
        <w:rPr>
          <w:spacing w:val="-21"/>
        </w:rPr>
        <w:t xml:space="preserve"> </w:t>
      </w:r>
      <w:r>
        <w:rPr>
          <w:spacing w:val="14"/>
        </w:rPr>
        <w:t>80%以上，水利工程安全监测覆盖率85%，</w:t>
      </w:r>
      <w:r>
        <w:rPr>
          <w:spacing w:val="9"/>
        </w:rPr>
        <w:t>数字治水指数</w:t>
      </w:r>
      <w:r>
        <w:rPr>
          <w:spacing w:val="-40"/>
        </w:rPr>
        <w:t xml:space="preserve"> </w:t>
      </w:r>
      <w:r>
        <w:rPr>
          <w:spacing w:val="9"/>
        </w:rPr>
        <w:t>80，建设全国“互联网+城</w:t>
      </w:r>
      <w:r>
        <w:rPr>
          <w:spacing w:val="8"/>
        </w:rPr>
        <w:t>乡供</w:t>
      </w:r>
      <w:r>
        <w:rPr>
          <w:spacing w:val="7"/>
        </w:rPr>
        <w:t>水”示范市。</w:t>
      </w:r>
    </w:p>
    <w:p>
      <w:pPr>
        <w:pStyle w:val="BodyText"/>
        <w:ind w:left="9" w:right="208" w:firstLine="411"/>
        <w:spacing w:before="44" w:line="288" w:lineRule="auto"/>
        <w:outlineLvl w:val="0"/>
        <w:rPr/>
      </w:pPr>
      <w:r>
        <w:rPr>
          <w:spacing w:val="6"/>
        </w:rPr>
        <w:t>加强防洪抗旱体系建设。实施城市备用及</w:t>
      </w:r>
      <w:r>
        <w:rPr>
          <w:spacing w:val="6"/>
        </w:rPr>
        <w:t>乡镇抗旱水源工程，建设隆德苏台—地湾连通</w:t>
      </w:r>
    </w:p>
    <w:p>
      <w:pPr>
        <w:pStyle w:val="BodyText"/>
        <w:ind w:left="1"/>
        <w:spacing w:before="134" w:line="278" w:lineRule="exact"/>
        <w:rPr/>
      </w:pPr>
      <w:r>
        <w:rPr>
          <w:spacing w:val="6"/>
          <w:position w:val="1"/>
        </w:rPr>
        <w:t>工程、泾源龙潭水库</w:t>
      </w:r>
      <w:r>
        <w:rPr>
          <w:spacing w:val="-31"/>
          <w:position w:val="1"/>
        </w:rPr>
        <w:t xml:space="preserve"> </w:t>
      </w:r>
      <w:r>
        <w:rPr>
          <w:spacing w:val="6"/>
          <w:position w:val="1"/>
        </w:rPr>
        <w:t>2</w:t>
      </w:r>
      <w:r>
        <w:rPr>
          <w:spacing w:val="-43"/>
          <w:position w:val="1"/>
        </w:rPr>
        <w:t xml:space="preserve"> </w:t>
      </w:r>
      <w:r>
        <w:rPr>
          <w:spacing w:val="6"/>
          <w:position w:val="1"/>
        </w:rPr>
        <w:t>处城市备用水源工程和</w:t>
      </w:r>
    </w:p>
    <w:p>
      <w:pPr>
        <w:pStyle w:val="BodyText"/>
        <w:ind w:left="2"/>
        <w:spacing w:before="101" w:line="278" w:lineRule="exact"/>
        <w:rPr/>
      </w:pPr>
      <w:r>
        <w:rPr>
          <w:spacing w:val="7"/>
          <w:position w:val="1"/>
        </w:rPr>
        <w:t>28</w:t>
      </w:r>
      <w:r>
        <w:rPr>
          <w:spacing w:val="-27"/>
          <w:position w:val="1"/>
        </w:rPr>
        <w:t xml:space="preserve"> </w:t>
      </w:r>
      <w:r>
        <w:rPr>
          <w:spacing w:val="7"/>
          <w:position w:val="1"/>
        </w:rPr>
        <w:t>处乡镇抗旱水源。实施中小河流治理</w:t>
      </w:r>
      <w:r>
        <w:rPr>
          <w:spacing w:val="-42"/>
          <w:position w:val="1"/>
        </w:rPr>
        <w:t xml:space="preserve"> </w:t>
      </w:r>
      <w:r>
        <w:rPr>
          <w:spacing w:val="7"/>
          <w:position w:val="1"/>
        </w:rPr>
        <w:t>25</w:t>
      </w:r>
      <w:r>
        <w:rPr>
          <w:spacing w:val="-40"/>
          <w:position w:val="1"/>
        </w:rPr>
        <w:t xml:space="preserve"> </w:t>
      </w:r>
      <w:r>
        <w:rPr>
          <w:spacing w:val="7"/>
          <w:position w:val="1"/>
        </w:rPr>
        <w:t>条</w:t>
      </w:r>
    </w:p>
    <w:p>
      <w:pPr>
        <w:pStyle w:val="BodyText"/>
        <w:ind w:firstLine="1"/>
        <w:spacing w:before="104" w:line="338" w:lineRule="auto"/>
        <w:rPr/>
      </w:pPr>
      <w:r>
        <w:rPr>
          <w:spacing w:val="1"/>
        </w:rPr>
        <w:t>246</w:t>
      </w:r>
      <w:r>
        <w:rPr>
          <w:spacing w:val="-31"/>
        </w:rPr>
        <w:t xml:space="preserve"> </w:t>
      </w:r>
      <w:r>
        <w:rPr>
          <w:spacing w:val="1"/>
        </w:rPr>
        <w:t>公里、山洪沟治理</w:t>
      </w:r>
      <w:r>
        <w:rPr>
          <w:spacing w:val="-39"/>
        </w:rPr>
        <w:t xml:space="preserve"> </w:t>
      </w:r>
      <w:r>
        <w:rPr>
          <w:spacing w:val="1"/>
        </w:rPr>
        <w:t>28</w:t>
      </w:r>
      <w:r>
        <w:rPr>
          <w:spacing w:val="-43"/>
        </w:rPr>
        <w:t xml:space="preserve"> </w:t>
      </w:r>
      <w:r>
        <w:rPr>
          <w:spacing w:val="1"/>
        </w:rPr>
        <w:t>条</w:t>
      </w:r>
      <w:r>
        <w:rPr>
          <w:spacing w:val="-22"/>
        </w:rPr>
        <w:t xml:space="preserve"> </w:t>
      </w:r>
      <w:r>
        <w:rPr>
          <w:spacing w:val="1"/>
        </w:rPr>
        <w:t>145</w:t>
      </w:r>
      <w:r>
        <w:rPr>
          <w:spacing w:val="-43"/>
        </w:rPr>
        <w:t xml:space="preserve"> </w:t>
      </w:r>
      <w:r>
        <w:rPr>
          <w:spacing w:val="1"/>
        </w:rPr>
        <w:t>公里，除险加</w:t>
      </w:r>
      <w:r>
        <w:rPr>
          <w:spacing w:val="11"/>
        </w:rPr>
        <w:t>固病险水库</w:t>
      </w:r>
      <w:r>
        <w:rPr>
          <w:spacing w:val="-40"/>
        </w:rPr>
        <w:t xml:space="preserve"> </w:t>
      </w:r>
      <w:r>
        <w:rPr>
          <w:spacing w:val="11"/>
        </w:rPr>
        <w:t>24</w:t>
      </w:r>
      <w:r>
        <w:rPr>
          <w:spacing w:val="-39"/>
        </w:rPr>
        <w:t xml:space="preserve"> </w:t>
      </w:r>
      <w:r>
        <w:rPr>
          <w:spacing w:val="11"/>
        </w:rPr>
        <w:t>座。规划建设市区“三纵七横”</w:t>
      </w:r>
      <w:r>
        <w:rPr>
          <w:spacing w:val="12"/>
        </w:rPr>
        <w:t>排洪系统，新建长城梁、古雁岭、东岳山等6</w:t>
      </w:r>
      <w:r>
        <w:rPr/>
        <w:t xml:space="preserve"> </w:t>
      </w:r>
      <w:r>
        <w:rPr>
          <w:spacing w:val="9"/>
        </w:rPr>
        <w:t>条</w:t>
      </w:r>
      <w:r>
        <w:rPr>
          <w:spacing w:val="-37"/>
        </w:rPr>
        <w:t xml:space="preserve"> </w:t>
      </w:r>
      <w:r>
        <w:rPr>
          <w:spacing w:val="9"/>
        </w:rPr>
        <w:t>26</w:t>
      </w:r>
      <w:r>
        <w:rPr>
          <w:spacing w:val="-38"/>
        </w:rPr>
        <w:t xml:space="preserve"> </w:t>
      </w:r>
      <w:r>
        <w:rPr>
          <w:spacing w:val="9"/>
        </w:rPr>
        <w:t>公里截洪沟渠</w:t>
      </w:r>
      <w:r>
        <w:rPr>
          <w:spacing w:val="-59"/>
        </w:rPr>
        <w:t xml:space="preserve"> </w:t>
      </w:r>
      <w:r>
        <w:rPr>
          <w:spacing w:val="9"/>
        </w:rPr>
        <w:t>，对老城区、新区低洼地</w:t>
      </w:r>
      <w:r>
        <w:rPr/>
        <w:t xml:space="preserve"> </w:t>
      </w:r>
      <w:r>
        <w:rPr>
          <w:spacing w:val="7"/>
        </w:rPr>
        <w:t>段内涝点进行海绵化改造，建设县城防洪工程</w:t>
      </w:r>
      <w:r>
        <w:rPr>
          <w:spacing w:val="1"/>
        </w:rPr>
        <w:t xml:space="preserve"> </w:t>
      </w:r>
      <w:r>
        <w:rPr>
          <w:spacing w:val="9"/>
        </w:rPr>
        <w:t>体系，增强城市防洪排涝减灾能力。2025</w:t>
      </w:r>
      <w:r>
        <w:rPr>
          <w:spacing w:val="-28"/>
        </w:rPr>
        <w:t xml:space="preserve"> </w:t>
      </w:r>
      <w:r>
        <w:rPr>
          <w:spacing w:val="9"/>
        </w:rPr>
        <w:t>年，</w:t>
      </w:r>
      <w:r>
        <w:rPr>
          <w:spacing w:val="11"/>
        </w:rPr>
        <w:t>城市应急备用水源覆盖度达到80%，清水河完</w:t>
      </w:r>
      <w:r>
        <w:rPr>
          <w:spacing w:val="5"/>
        </w:rPr>
        <w:t xml:space="preserve"> </w:t>
      </w:r>
      <w:r>
        <w:rPr>
          <w:spacing w:val="7"/>
        </w:rPr>
        <w:t>成达标建设，重要中小河流完成达标治理，市</w:t>
      </w:r>
      <w:r>
        <w:rPr>
          <w:spacing w:val="1"/>
        </w:rPr>
        <w:t xml:space="preserve"> </w:t>
      </w:r>
      <w:r>
        <w:rPr>
          <w:spacing w:val="7"/>
        </w:rPr>
        <w:t>县城市防洪排涝工程体系基本建成，抗旱减灾</w:t>
      </w:r>
      <w:r>
        <w:rPr>
          <w:spacing w:val="1"/>
        </w:rPr>
        <w:t xml:space="preserve"> </w:t>
      </w:r>
      <w:r>
        <w:rPr>
          <w:spacing w:val="8"/>
        </w:rPr>
        <w:t>和应对风险能力显著提高。</w:t>
      </w:r>
    </w:p>
    <w:p>
      <w:pPr>
        <w:spacing w:line="338" w:lineRule="auto"/>
        <w:sectPr>
          <w:type w:val="continuous"/>
          <w:pgSz w:w="11906" w:h="16839"/>
          <w:pgMar w:top="1793" w:right="1382" w:bottom="1673" w:left="1526" w:header="1428" w:footer="1277" w:gutter="0"/>
          <w:cols w:equalWidth="0" w:num="2">
            <w:col w:w="4543" w:space="100"/>
            <w:col w:w="4355" w:space="0"/>
          </w:cols>
        </w:sectPr>
        <w:rPr/>
      </w:pPr>
    </w:p>
    <w:p>
      <w:pPr>
        <w:ind w:left="2669"/>
        <w:spacing w:before="115" w:line="198" w:lineRule="auto"/>
        <w:rPr>
          <w:rFonts w:ascii="Microsoft YaHei" w:hAnsi="Microsoft YaHei" w:eastAsia="Microsoft YaHei" w:cs="Microsoft YaHei"/>
          <w:sz w:val="20"/>
          <w:szCs w:val="20"/>
        </w:rPr>
      </w:pPr>
      <w:r>
        <w:drawing>
          <wp:anchor distT="0" distB="0" distL="0" distR="0" simplePos="0" relativeHeight="251824128" behindDoc="0" locked="0" layoutInCell="1" allowOverlap="1">
            <wp:simplePos x="0" y="0"/>
            <wp:positionH relativeFrom="column">
              <wp:posOffset>39242</wp:posOffset>
            </wp:positionH>
            <wp:positionV relativeFrom="paragraph">
              <wp:posOffset>-4517931</wp:posOffset>
            </wp:positionV>
            <wp:extent cx="5579745" cy="7619"/>
            <wp:effectExtent l="0" t="0" r="0" b="0"/>
            <wp:wrapNone/>
            <wp:docPr id="492" name="IM 492"/>
            <wp:cNvGraphicFramePr/>
            <a:graphic>
              <a:graphicData uri="http://schemas.openxmlformats.org/drawingml/2006/picture">
                <pic:pic>
                  <pic:nvPicPr>
                    <pic:cNvPr id="492" name="IM 492"/>
                    <pic:cNvPicPr/>
                  </pic:nvPicPr>
                  <pic:blipFill>
                    <a:blip r:embed="rId248"/>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专栏 14  集约高效水利网重点项目工程</w:t>
      </w:r>
    </w:p>
    <w:tbl>
      <w:tblPr>
        <w:tblStyle w:val="TableNormal"/>
        <w:tblW w:w="8848" w:type="dxa"/>
        <w:tblInd w:w="2" w:type="dxa"/>
        <w:tblLayout w:type="fixed"/>
        <w:tblBorders>
          <w:left w:val="single" w:color="000000" w:sz="2" w:space="0"/>
          <w:bottom w:val="single" w:color="000000" w:sz="2" w:space="0"/>
          <w:right w:val="single" w:color="000000" w:sz="2" w:space="0"/>
          <w:top w:val="single" w:color="000000" w:sz="2" w:space="0"/>
        </w:tblBorders>
      </w:tblPr>
      <w:tblGrid>
        <w:gridCol w:w="8848"/>
      </w:tblGrid>
      <w:tr>
        <w:trPr>
          <w:trHeight w:val="5313" w:hRule="atLeast"/>
        </w:trPr>
        <w:tc>
          <w:tcPr>
            <w:tcW w:w="8848" w:type="dxa"/>
            <w:vAlign w:val="top"/>
          </w:tcPr>
          <w:p>
            <w:pPr>
              <w:pStyle w:val="TableText"/>
              <w:ind w:left="110" w:right="83" w:firstLine="436"/>
              <w:spacing w:before="95" w:line="265" w:lineRule="auto"/>
              <w:rPr/>
            </w:pPr>
            <w:r>
              <w:rPr>
                <w:b/>
                <w:bCs/>
                <w:spacing w:val="-1"/>
              </w:rPr>
              <w:t>1.水库联调联蓄及“互联网+城乡供水”示范区建设</w:t>
            </w:r>
            <w:r>
              <w:rPr>
                <w:b/>
                <w:bCs/>
                <w:spacing w:val="-2"/>
              </w:rPr>
              <w:t>项目</w:t>
            </w:r>
            <w:r>
              <w:rPr>
                <w:sz w:val="8"/>
                <w:szCs w:val="8"/>
                <w:b/>
                <w:bCs/>
                <w:spacing w:val="-2"/>
                <w:position w:val="9"/>
              </w:rPr>
              <w:t>#</w:t>
            </w:r>
            <w:r>
              <w:rPr>
                <w:b/>
                <w:bCs/>
                <w:spacing w:val="-2"/>
              </w:rPr>
              <w:t>：</w:t>
            </w:r>
            <w:r>
              <w:rPr>
                <w:spacing w:val="-2"/>
              </w:rPr>
              <w:t>建设联蓄联调工程13处，联通水库38座，其中</w:t>
            </w:r>
            <w:r>
              <w:rPr>
                <w:spacing w:val="-6"/>
              </w:rPr>
              <w:t>2021年实施水库联蓄联调工程4处；“互联网+城乡供水”示范区分二</w:t>
            </w:r>
            <w:r>
              <w:rPr>
                <w:spacing w:val="-7"/>
              </w:rPr>
              <w:t>期建设，一期到2021年底，建设农村自动化和</w:t>
            </w:r>
            <w:r>
              <w:rPr>
                <w:spacing w:val="-17"/>
              </w:rPr>
              <w:t>信息化工程，确保2021年底“互联网+城乡供水”全面展开；二期到2025年底，通过对城乡供水工程进行提升改造，人均供</w:t>
            </w:r>
            <w:r>
              <w:rPr>
                <w:spacing w:val="-17"/>
              </w:rPr>
              <w:t>水标准提高到70升/日，基本实现全市“互联网+城乡供水”全覆盖。</w:t>
            </w:r>
          </w:p>
          <w:p>
            <w:pPr>
              <w:pStyle w:val="TableText"/>
              <w:ind w:left="110" w:right="92" w:firstLine="421"/>
              <w:spacing w:before="5" w:line="256" w:lineRule="auto"/>
              <w:rPr/>
            </w:pPr>
            <w:r>
              <w:rPr>
                <w:b/>
                <w:bCs/>
                <w:spacing w:val="-3"/>
              </w:rPr>
              <w:t>2.固海扩灌黄河水入西通彭项目</w:t>
            </w:r>
            <w:r>
              <w:rPr>
                <w:sz w:val="8"/>
                <w:szCs w:val="8"/>
                <w:b/>
                <w:bCs/>
                <w:spacing w:val="-3"/>
                <w:position w:val="9"/>
              </w:rPr>
              <w:t>#</w:t>
            </w:r>
            <w:r>
              <w:rPr>
                <w:b/>
                <w:bCs/>
                <w:spacing w:val="-3"/>
              </w:rPr>
              <w:t>：</w:t>
            </w:r>
            <w:r>
              <w:rPr>
                <w:spacing w:val="-3"/>
              </w:rPr>
              <w:t>铺设输水主管线65.62公里，改造铁家窑、芦子沟水库2座，新建配套建</w:t>
            </w:r>
            <w:r>
              <w:rPr>
                <w:spacing w:val="-3"/>
              </w:rPr>
              <w:t>筑物576座和2000立方米转换池1座。黄河水通彭（</w:t>
            </w:r>
            <w:r>
              <w:rPr>
                <w:spacing w:val="-35"/>
              </w:rPr>
              <w:t xml:space="preserve"> </w:t>
            </w:r>
            <w:r>
              <w:rPr>
                <w:spacing w:val="-3"/>
              </w:rPr>
              <w:t>阳）项目,积极向自治区争取黄河用水指标，待自治区批复取</w:t>
            </w:r>
            <w:r>
              <w:rPr/>
              <w:t>水指标后启动方案论证等前期工作；或者争取将泾河水引至彭阳县，为自</w:t>
            </w:r>
            <w:r>
              <w:rPr>
                <w:spacing w:val="-1"/>
              </w:rPr>
              <w:t>流供水。</w:t>
            </w:r>
          </w:p>
          <w:p>
            <w:pPr>
              <w:pStyle w:val="TableText"/>
              <w:ind w:left="110" w:right="97" w:firstLine="424"/>
              <w:spacing w:before="48" w:line="256" w:lineRule="auto"/>
              <w:rPr/>
            </w:pPr>
            <w:r>
              <w:rPr>
                <w:b/>
                <w:bCs/>
                <w:spacing w:val="-2"/>
              </w:rPr>
              <w:t>3.水资源高效利用工程：</w:t>
            </w:r>
            <w:r>
              <w:rPr>
                <w:spacing w:val="-2"/>
              </w:rPr>
              <w:t>单库利用工程51处；新建水库15座，中水利用工程3处，苦咸水利用工程1处，雨</w:t>
            </w:r>
            <w:r>
              <w:rPr>
                <w:spacing w:val="-1"/>
              </w:rPr>
              <w:t>水利用工程5项。</w:t>
            </w:r>
          </w:p>
          <w:p>
            <w:pPr>
              <w:pStyle w:val="TableText"/>
              <w:ind w:left="113" w:right="42" w:firstLine="416"/>
              <w:spacing w:before="17" w:line="258" w:lineRule="auto"/>
              <w:rPr/>
            </w:pPr>
            <w:r>
              <w:rPr>
                <w:b/>
                <w:bCs/>
                <w:spacing w:val="-3"/>
              </w:rPr>
              <w:t>4.农村饮水安全巩固提升工程：</w:t>
            </w:r>
            <w:r>
              <w:rPr>
                <w:spacing w:val="-3"/>
              </w:rPr>
              <w:t>实施固原市一区四县引水及管网连通工程，共改扩建输水主管道360公里，</w:t>
            </w:r>
            <w:r>
              <w:rPr>
                <w:spacing w:val="-1"/>
              </w:rPr>
              <w:t>扩建水厂4座。</w:t>
            </w:r>
          </w:p>
          <w:p>
            <w:pPr>
              <w:pStyle w:val="TableText"/>
              <w:ind w:left="533"/>
              <w:spacing w:before="18" w:line="241" w:lineRule="exact"/>
              <w:rPr/>
            </w:pPr>
            <w:r>
              <w:rPr>
                <w:b/>
                <w:bCs/>
                <w:spacing w:val="-2"/>
                <w:position w:val="1"/>
              </w:rPr>
              <w:t>5.库井灌区提升改造工程：</w:t>
            </w:r>
            <w:r>
              <w:rPr>
                <w:spacing w:val="-2"/>
                <w:position w:val="1"/>
              </w:rPr>
              <w:t>实施农业灌溉工程5项79万亩，全市灌溉面积达到90万亩。</w:t>
            </w:r>
          </w:p>
          <w:p>
            <w:pPr>
              <w:pStyle w:val="TableText"/>
              <w:ind w:left="111" w:right="38" w:firstLine="421"/>
              <w:spacing w:before="19" w:line="260" w:lineRule="auto"/>
              <w:rPr/>
            </w:pPr>
            <w:r>
              <w:rPr>
                <w:b/>
                <w:bCs/>
                <w:spacing w:val="-2"/>
              </w:rPr>
              <w:t>6.水旱灾害防御工程：</w:t>
            </w:r>
            <w:r>
              <w:rPr>
                <w:spacing w:val="-2"/>
              </w:rPr>
              <w:t>建设隆德县苏台-地湾连通工程、泾源县龙潭水库等 2 项城市备用水源工程和28处</w:t>
            </w:r>
            <w:r>
              <w:rPr>
                <w:spacing w:val="-4"/>
              </w:rPr>
              <w:t>乡镇抗旱水源工程；对25条50平方公里以上中小河流进行综合治理，治理总长度为246.3公里，对山洪灾害</w:t>
            </w:r>
            <w:r>
              <w:rPr>
                <w:spacing w:val="-5"/>
              </w:rPr>
              <w:t>频发、</w:t>
            </w:r>
            <w:r>
              <w:rPr/>
              <w:t>受灾影响严重的28条山洪沟治理，治理总长145公里；建设</w:t>
            </w:r>
            <w:r>
              <w:rPr>
                <w:spacing w:val="-1"/>
              </w:rPr>
              <w:t>四县一区防洪工程。</w:t>
            </w:r>
          </w:p>
          <w:p>
            <w:pPr>
              <w:pStyle w:val="TableText"/>
              <w:ind w:left="112" w:right="99" w:firstLine="418"/>
              <w:spacing w:before="18" w:line="258" w:lineRule="auto"/>
              <w:rPr/>
            </w:pPr>
            <w:r>
              <w:rPr>
                <w:b/>
                <w:bCs/>
                <w:spacing w:val="-4"/>
              </w:rPr>
              <w:t>7.水土保持综合治理工程:</w:t>
            </w:r>
            <w:r>
              <w:rPr>
                <w:spacing w:val="-4"/>
              </w:rPr>
              <w:t>实施清水河、泾河、葫芦河、祖厉河等流域水土保持综合治理工程，新建淤地坝</w:t>
            </w:r>
            <w:r>
              <w:rPr>
                <w:spacing w:val="-1"/>
              </w:rPr>
              <w:t>26座，除险加固淤地坝45座，除险加固水库24座。</w:t>
            </w:r>
          </w:p>
          <w:p>
            <w:pPr>
              <w:pStyle w:val="TableText"/>
              <w:ind w:left="112" w:right="96" w:firstLine="422"/>
              <w:spacing w:before="19" w:line="260" w:lineRule="auto"/>
              <w:rPr/>
            </w:pPr>
            <w:r>
              <w:rPr>
                <w:b/>
                <w:bCs/>
                <w:spacing w:val="-1"/>
              </w:rPr>
              <w:t>8.智慧水利建设工程：</w:t>
            </w:r>
            <w:r>
              <w:rPr>
                <w:spacing w:val="-1"/>
              </w:rPr>
              <w:t>水利监测网建设，配套防汛抗旱等</w:t>
            </w:r>
            <w:r>
              <w:rPr>
                <w:spacing w:val="-23"/>
              </w:rPr>
              <w:t xml:space="preserve"> </w:t>
            </w:r>
            <w:r>
              <w:rPr>
                <w:spacing w:val="-1"/>
              </w:rPr>
              <w:t>10</w:t>
            </w:r>
            <w:r>
              <w:rPr>
                <w:spacing w:val="-39"/>
              </w:rPr>
              <w:t xml:space="preserve"> </w:t>
            </w:r>
            <w:r>
              <w:rPr>
                <w:spacing w:val="-1"/>
              </w:rPr>
              <w:t>项监测体系；水</w:t>
            </w:r>
            <w:r>
              <w:rPr>
                <w:spacing w:val="-2"/>
              </w:rPr>
              <w:t>利信息网建设，新建</w:t>
            </w:r>
            <w:r>
              <w:rPr>
                <w:spacing w:val="-24"/>
              </w:rPr>
              <w:t xml:space="preserve"> </w:t>
            </w:r>
            <w:r>
              <w:rPr>
                <w:spacing w:val="-2"/>
              </w:rPr>
              <w:t>132</w:t>
            </w:r>
            <w:r>
              <w:rPr>
                <w:spacing w:val="-37"/>
              </w:rPr>
              <w:t xml:space="preserve"> </w:t>
            </w:r>
            <w:r>
              <w:rPr>
                <w:spacing w:val="-2"/>
              </w:rPr>
              <w:t>座</w:t>
            </w:r>
            <w:r>
              <w:rPr>
                <w:spacing w:val="3"/>
              </w:rPr>
              <w:t>重点水库光纤通信链路</w:t>
            </w:r>
            <w:r>
              <w:rPr>
                <w:spacing w:val="-37"/>
              </w:rPr>
              <w:t xml:space="preserve"> </w:t>
            </w:r>
            <w:r>
              <w:rPr>
                <w:spacing w:val="3"/>
              </w:rPr>
              <w:t>264</w:t>
            </w:r>
            <w:r>
              <w:rPr>
                <w:spacing w:val="-40"/>
              </w:rPr>
              <w:t xml:space="preserve"> </w:t>
            </w:r>
            <w:r>
              <w:rPr>
                <w:spacing w:val="3"/>
              </w:rPr>
              <w:t>公里，地市水行政主管部门、县级</w:t>
            </w:r>
            <w:r>
              <w:rPr>
                <w:spacing w:val="2"/>
              </w:rPr>
              <w:t>水行政主管部门网络扩容为</w:t>
            </w:r>
            <w:r>
              <w:rPr>
                <w:spacing w:val="-20"/>
              </w:rPr>
              <w:t xml:space="preserve"> </w:t>
            </w:r>
            <w:r>
              <w:rPr>
                <w:spacing w:val="2"/>
              </w:rPr>
              <w:t>100M</w:t>
            </w:r>
            <w:r>
              <w:rPr>
                <w:spacing w:val="-39"/>
              </w:rPr>
              <w:t xml:space="preserve"> </w:t>
            </w:r>
            <w:r>
              <w:rPr>
                <w:spacing w:val="2"/>
              </w:rPr>
              <w:t>带宽，共计5</w:t>
            </w:r>
            <w:r>
              <w:rPr>
                <w:spacing w:val="-11"/>
              </w:rPr>
              <w:t>条，重点水库业务网络扩容为20M带宽，共计</w:t>
            </w:r>
            <w:r>
              <w:rPr>
                <w:spacing w:val="-46"/>
              </w:rPr>
              <w:t xml:space="preserve"> </w:t>
            </w:r>
            <w:r>
              <w:rPr>
                <w:spacing w:val="-11"/>
              </w:rPr>
              <w:t>132条；业务应用提升工程，建设数字防汛抗旱</w:t>
            </w:r>
            <w:r>
              <w:rPr>
                <w:spacing w:val="-12"/>
              </w:rPr>
              <w:t>等7个平台。</w:t>
            </w:r>
          </w:p>
        </w:tc>
      </w:tr>
    </w:tbl>
    <w:p>
      <w:pPr>
        <w:ind w:left="433"/>
        <w:spacing w:before="158" w:line="164" w:lineRule="auto"/>
        <w:outlineLvl w:val="0"/>
        <w:rPr>
          <w:rFonts w:ascii="KaiTi" w:hAnsi="KaiTi" w:eastAsia="KaiTi" w:cs="KaiTi"/>
          <w:sz w:val="18"/>
          <w:szCs w:val="18"/>
        </w:rPr>
      </w:pPr>
      <w:r>
        <w:rPr>
          <w:rFonts w:ascii="Microsoft YaHei" w:hAnsi="Microsoft YaHei" w:eastAsia="Microsoft YaHei" w:cs="Microsoft YaHei"/>
          <w:sz w:val="18"/>
          <w:szCs w:val="18"/>
          <w:spacing w:val="-3"/>
        </w:rPr>
        <w:t>注</w:t>
      </w:r>
      <w:r>
        <w:rPr>
          <w:rFonts w:ascii="Microsoft YaHei" w:hAnsi="Microsoft YaHei" w:eastAsia="Microsoft YaHei" w:cs="Microsoft YaHei"/>
          <w:sz w:val="18"/>
          <w:szCs w:val="18"/>
          <w:spacing w:val="-9"/>
        </w:rPr>
        <w:t xml:space="preserve"> </w:t>
      </w:r>
      <w:r>
        <w:rPr>
          <w:rFonts w:ascii="Microsoft YaHei" w:hAnsi="Microsoft YaHei" w:eastAsia="Microsoft YaHei" w:cs="Microsoft YaHei"/>
          <w:sz w:val="18"/>
          <w:szCs w:val="18"/>
          <w:spacing w:val="-3"/>
        </w:rPr>
        <w:t>：</w:t>
      </w:r>
      <w:r>
        <w:rPr>
          <w:rFonts w:ascii="KaiTi" w:hAnsi="KaiTi" w:eastAsia="KaiTi" w:cs="KaiTi"/>
          <w:sz w:val="18"/>
          <w:szCs w:val="18"/>
          <w:spacing w:val="-3"/>
        </w:rPr>
        <w:t>项目名称右上角标“#”的为基础设施十大项</w:t>
      </w:r>
      <w:r>
        <w:rPr>
          <w:rFonts w:ascii="KaiTi" w:hAnsi="KaiTi" w:eastAsia="KaiTi" w:cs="KaiTi"/>
          <w:sz w:val="18"/>
          <w:szCs w:val="18"/>
          <w:spacing w:val="-47"/>
        </w:rPr>
        <w:t xml:space="preserve"> </w:t>
      </w:r>
      <w:r>
        <w:rPr>
          <w:rFonts w:ascii="KaiTi" w:hAnsi="KaiTi" w:eastAsia="KaiTi" w:cs="KaiTi"/>
          <w:sz w:val="18"/>
          <w:szCs w:val="18"/>
          <w:spacing w:val="-3"/>
        </w:rPr>
        <w:t>目。</w:t>
      </w:r>
    </w:p>
    <w:p>
      <w:pPr>
        <w:spacing w:line="164" w:lineRule="auto"/>
        <w:sectPr>
          <w:type w:val="continuous"/>
          <w:pgSz w:w="11906" w:h="16839"/>
          <w:pgMar w:top="1793" w:right="1382" w:bottom="1673" w:left="1526" w:header="1428" w:footer="1277" w:gutter="0"/>
          <w:cols w:equalWidth="0" w:num="1">
            <w:col w:w="8998" w:space="0"/>
          </w:cols>
        </w:sectPr>
        <w:rPr>
          <w:rFonts w:ascii="KaiTi" w:hAnsi="KaiTi" w:eastAsia="KaiTi" w:cs="KaiTi"/>
          <w:sz w:val="18"/>
          <w:szCs w:val="18"/>
        </w:rPr>
      </w:pPr>
    </w:p>
    <w:p>
      <w:pPr>
        <w:spacing w:before="15"/>
        <w:rPr/>
      </w:pPr>
      <w:r/>
    </w:p>
    <w:p>
      <w:pPr>
        <w:sectPr>
          <w:headerReference w:type="default" r:id="rId249"/>
          <w:footerReference w:type="default" r:id="rId250"/>
          <w:pgSz w:w="11906" w:h="16839"/>
          <w:pgMar w:top="1793" w:right="1507" w:bottom="1570" w:left="1521" w:header="1428" w:footer="1172" w:gutter="0"/>
          <w:cols w:equalWidth="0" w:num="1">
            <w:col w:w="8878" w:space="0"/>
          </w:cols>
        </w:sectPr>
        <w:rPr/>
      </w:pPr>
    </w:p>
    <w:p>
      <w:pPr>
        <w:pStyle w:val="BodyText"/>
        <w:ind w:left="780"/>
        <w:spacing w:before="76" w:line="222" w:lineRule="auto"/>
        <w:outlineLvl w:val="0"/>
        <w:rPr/>
      </w:pPr>
      <w:r>
        <w:rPr>
          <w:b/>
          <w:bCs/>
          <w:spacing w:val="7"/>
        </w:rPr>
        <w:t>第三节</w:t>
      </w:r>
      <w:r>
        <w:rPr>
          <w:spacing w:val="7"/>
        </w:rPr>
        <w:t xml:space="preserve">  </w:t>
      </w:r>
      <w:r>
        <w:rPr>
          <w:b/>
          <w:bCs/>
          <w:spacing w:val="7"/>
        </w:rPr>
        <w:t>构建安全清洁能源网</w:t>
      </w:r>
    </w:p>
    <w:p>
      <w:pPr>
        <w:spacing w:line="454" w:lineRule="auto"/>
        <w:rPr>
          <w:rFonts w:ascii="Arial"/>
          <w:sz w:val="21"/>
        </w:rPr>
      </w:pPr>
      <w:r/>
    </w:p>
    <w:p>
      <w:pPr>
        <w:pStyle w:val="BodyText"/>
        <w:ind w:left="508"/>
        <w:spacing w:before="65" w:line="223" w:lineRule="auto"/>
        <w:rPr/>
      </w:pPr>
      <w:r>
        <w:rPr>
          <w:spacing w:val="6"/>
        </w:rPr>
        <w:t>以构建多能融合、清洁低碳、安全高效的</w:t>
      </w:r>
    </w:p>
    <w:p>
      <w:pPr>
        <w:pStyle w:val="BodyText"/>
        <w:ind w:left="76"/>
        <w:spacing w:before="116" w:line="224" w:lineRule="auto"/>
        <w:outlineLvl w:val="0"/>
        <w:rPr/>
      </w:pPr>
      <w:r>
        <w:rPr>
          <w:spacing w:val="7"/>
        </w:rPr>
        <w:t>能源体系为目标，加大能源基础设施建设，壮</w:t>
      </w:r>
    </w:p>
    <w:p>
      <w:pPr>
        <w:pStyle w:val="BodyText"/>
        <w:ind w:left="494" w:right="245" w:hanging="418"/>
        <w:spacing w:before="114" w:line="328" w:lineRule="auto"/>
        <w:rPr/>
      </w:pPr>
      <w:r>
        <w:rPr>
          <w:spacing w:val="-8"/>
        </w:rPr>
        <w:t>大清洁能源产业，强化能源支撑，确保能源安</w:t>
      </w:r>
      <w:r>
        <w:rPr>
          <w:spacing w:val="-9"/>
        </w:rPr>
        <w:t>全。</w:t>
      </w:r>
      <w:r>
        <w:rPr>
          <w:spacing w:val="6"/>
        </w:rPr>
        <w:t>提升能源保障能力。推进储油设施扩容升</w:t>
      </w:r>
    </w:p>
    <w:p>
      <w:pPr>
        <w:pStyle w:val="BodyText"/>
        <w:ind w:left="73"/>
        <w:spacing w:before="1" w:line="224" w:lineRule="auto"/>
        <w:outlineLvl w:val="0"/>
        <w:rPr/>
      </w:pPr>
      <w:r>
        <w:rPr>
          <w:spacing w:val="7"/>
        </w:rPr>
        <w:t>级，完善应急调度预案，建立储备调节与应急</w:t>
      </w:r>
    </w:p>
    <w:p>
      <w:pPr>
        <w:pStyle w:val="BodyText"/>
        <w:ind w:left="69" w:right="322" w:firstLine="2"/>
        <w:spacing w:before="106" w:line="328" w:lineRule="auto"/>
        <w:jc w:val="both"/>
        <w:rPr/>
      </w:pPr>
      <w:r>
        <w:rPr>
          <w:spacing w:val="7"/>
        </w:rPr>
        <w:t>调节相结合的成品油保障体系。压实天然气营</w:t>
      </w:r>
      <w:r>
        <w:rPr>
          <w:spacing w:val="7"/>
        </w:rPr>
        <w:t>销主体储气能力建设责任，加快推进储气设施</w:t>
      </w:r>
      <w:r>
        <w:rPr>
          <w:spacing w:val="7"/>
        </w:rPr>
        <w:t>建设，健全“压非保民”分级管控制度，建立</w:t>
      </w:r>
      <w:r>
        <w:rPr>
          <w:spacing w:val="18"/>
        </w:rPr>
        <w:t>多元储气与分级调峰相结合的天然气保障体</w:t>
      </w:r>
      <w:r>
        <w:rPr>
          <w:spacing w:val="7"/>
        </w:rPr>
        <w:t>系，建设西气东输固原至彭阳、固原至海原油</w:t>
      </w:r>
      <w:r>
        <w:rPr>
          <w:spacing w:val="18"/>
        </w:rPr>
        <w:t>气联络管道互联互通工程。重点围绕扩能增</w:t>
      </w:r>
      <w:r>
        <w:rPr>
          <w:spacing w:val="7"/>
        </w:rPr>
        <w:t>产，完成矿区煤炭资源市场化配置，具备前置</w:t>
      </w:r>
      <w:r>
        <w:rPr>
          <w:spacing w:val="6"/>
        </w:rPr>
        <w:t>条件后启动投产王洼煤矿</w:t>
      </w:r>
      <w:r>
        <w:rPr>
          <w:spacing w:val="-34"/>
        </w:rPr>
        <w:t xml:space="preserve"> </w:t>
      </w:r>
      <w:r>
        <w:rPr>
          <w:spacing w:val="6"/>
        </w:rPr>
        <w:t>600</w:t>
      </w:r>
      <w:r>
        <w:rPr>
          <w:spacing w:val="-40"/>
        </w:rPr>
        <w:t xml:space="preserve"> </w:t>
      </w:r>
      <w:r>
        <w:rPr>
          <w:spacing w:val="6"/>
        </w:rPr>
        <w:t>万吨生产线；积</w:t>
      </w:r>
      <w:r>
        <w:rPr>
          <w:spacing w:val="18"/>
        </w:rPr>
        <w:t>极争取自治区在固原建设煤炭物流交易中心</w:t>
      </w:r>
      <w:r>
        <w:rPr>
          <w:spacing w:val="7"/>
        </w:rPr>
        <w:t>及煤炭储运基地，完善产品与产能相结合的煤</w:t>
      </w:r>
      <w:r>
        <w:rPr>
          <w:spacing w:val="7"/>
        </w:rPr>
        <w:t>炭保障体系，规划建设固原市煤炭清洁高效转</w:t>
      </w:r>
      <w:r>
        <w:rPr>
          <w:spacing w:val="7"/>
        </w:rPr>
        <w:t>化利用项目，实施中铝宁能六盘山热电厂供热</w:t>
      </w:r>
      <w:r>
        <w:rPr>
          <w:spacing w:val="7"/>
        </w:rPr>
        <w:t>节能优化及能力提升工程，开展煤制氢项目前</w:t>
      </w:r>
      <w:r>
        <w:rPr>
          <w:spacing w:val="4"/>
        </w:rPr>
        <w:t>期研究。到</w:t>
      </w:r>
      <w:r>
        <w:rPr>
          <w:spacing w:val="-35"/>
        </w:rPr>
        <w:t xml:space="preserve"> </w:t>
      </w:r>
      <w:r>
        <w:rPr>
          <w:spacing w:val="4"/>
        </w:rPr>
        <w:t>2025</w:t>
      </w:r>
      <w:r>
        <w:rPr>
          <w:spacing w:val="-41"/>
        </w:rPr>
        <w:t xml:space="preserve"> </w:t>
      </w:r>
      <w:r>
        <w:rPr>
          <w:spacing w:val="4"/>
        </w:rPr>
        <w:t>年，原煤产量稳定在</w:t>
      </w:r>
      <w:r>
        <w:rPr>
          <w:spacing w:val="-25"/>
        </w:rPr>
        <w:t xml:space="preserve"> </w:t>
      </w:r>
      <w:r>
        <w:rPr>
          <w:spacing w:val="4"/>
        </w:rPr>
        <w:t>1200</w:t>
      </w:r>
      <w:r>
        <w:rPr>
          <w:spacing w:val="-40"/>
        </w:rPr>
        <w:t xml:space="preserve"> </w:t>
      </w:r>
      <w:r>
        <w:rPr>
          <w:spacing w:val="4"/>
        </w:rPr>
        <w:t>万</w:t>
      </w:r>
      <w:r>
        <w:rPr>
          <w:spacing w:val="6"/>
        </w:rPr>
        <w:t>吨以上。</w:t>
      </w:r>
    </w:p>
    <w:p>
      <w:pPr>
        <w:pStyle w:val="BodyText"/>
        <w:ind w:left="493"/>
        <w:spacing w:before="19" w:line="219" w:lineRule="auto"/>
        <w:outlineLvl w:val="0"/>
        <w:rPr/>
      </w:pPr>
      <w:r>
        <w:rPr>
          <w:spacing w:val="6"/>
        </w:rPr>
        <w:t>推进电网提档升级。全力推动宁夏电力外</w:t>
      </w:r>
    </w:p>
    <w:p>
      <w:pPr>
        <w:spacing w:line="77" w:lineRule="exact"/>
        <w:rPr/>
      </w:pPr>
      <w:r/>
    </w:p>
    <w:p>
      <w:pPr>
        <w:spacing w:line="14" w:lineRule="auto"/>
        <w:rPr>
          <w:rFonts w:ascii="Arial"/>
          <w:sz w:val="2"/>
        </w:rPr>
      </w:pPr>
      <w:r>
        <w:rPr>
          <w:rFonts w:ascii="Arial" w:hAnsi="Arial" w:eastAsia="Arial" w:cs="Arial"/>
          <w:sz w:val="2"/>
          <w:szCs w:val="2"/>
        </w:rPr>
        <w:br w:type="column"/>
      </w:r>
    </w:p>
    <w:p>
      <w:pPr>
        <w:pStyle w:val="BodyText"/>
        <w:ind w:firstLine="2"/>
        <w:spacing w:before="36" w:line="329" w:lineRule="auto"/>
        <w:jc w:val="both"/>
        <w:rPr/>
      </w:pPr>
      <w:r>
        <w:rPr>
          <w:spacing w:val="7"/>
        </w:rPr>
        <w:t>送第三条通道落户固原，加强电网调峰能力建</w:t>
      </w:r>
      <w:r>
        <w:rPr>
          <w:spacing w:val="7"/>
        </w:rPr>
        <w:t>设，积极推进配电网改造和农网改造升级，提</w:t>
      </w:r>
      <w:r>
        <w:rPr>
          <w:spacing w:val="8"/>
        </w:rPr>
        <w:t>高偏远地区供电能力，建设云雾山、硝河</w:t>
      </w:r>
      <w:r>
        <w:rPr>
          <w:spacing w:val="-27"/>
        </w:rPr>
        <w:t xml:space="preserve"> </w:t>
      </w:r>
      <w:r>
        <w:rPr>
          <w:spacing w:val="8"/>
        </w:rPr>
        <w:t>330</w:t>
      </w:r>
      <w:r>
        <w:rPr>
          <w:spacing w:val="5"/>
        </w:rPr>
        <w:t>千伏和张易、水泉、东郊、坪乐、王洼</w:t>
      </w:r>
      <w:r>
        <w:rPr>
          <w:spacing w:val="-17"/>
        </w:rPr>
        <w:t xml:space="preserve"> </w:t>
      </w:r>
      <w:r>
        <w:rPr>
          <w:spacing w:val="5"/>
        </w:rPr>
        <w:t>110</w:t>
      </w:r>
      <w:r>
        <w:rPr>
          <w:spacing w:val="-36"/>
        </w:rPr>
        <w:t xml:space="preserve"> </w:t>
      </w:r>
      <w:r>
        <w:rPr>
          <w:spacing w:val="5"/>
        </w:rPr>
        <w:t>千</w:t>
      </w:r>
      <w:r>
        <w:rPr>
          <w:spacing w:val="7"/>
        </w:rPr>
        <w:t>伏输变电工程，扩建清水河三号主变、固原至</w:t>
      </w:r>
      <w:r>
        <w:rPr>
          <w:spacing w:val="3"/>
        </w:rPr>
        <w:t>三营</w:t>
      </w:r>
      <w:r>
        <w:rPr>
          <w:spacing w:val="-36"/>
        </w:rPr>
        <w:t xml:space="preserve"> </w:t>
      </w:r>
      <w:r>
        <w:rPr>
          <w:spacing w:val="3"/>
        </w:rPr>
        <w:t>110千伏线路改造等工程，积极推进风电、</w:t>
      </w:r>
      <w:r>
        <w:rPr>
          <w:spacing w:val="7"/>
        </w:rPr>
        <w:t>光伏电站、锂电池储能电站等新能源建设，构</w:t>
      </w:r>
      <w:r>
        <w:rPr>
          <w:spacing w:val="7"/>
        </w:rPr>
        <w:t>建以特高压电网为骨干、各级电网协调的区域</w:t>
      </w:r>
      <w:r>
        <w:rPr>
          <w:spacing w:val="8"/>
        </w:rPr>
        <w:t>性统一智能电网。到</w:t>
      </w:r>
      <w:r>
        <w:rPr>
          <w:spacing w:val="-26"/>
        </w:rPr>
        <w:t xml:space="preserve"> </w:t>
      </w:r>
      <w:r>
        <w:rPr>
          <w:spacing w:val="8"/>
        </w:rPr>
        <w:t>2025</w:t>
      </w:r>
      <w:r>
        <w:rPr>
          <w:spacing w:val="-34"/>
        </w:rPr>
        <w:t xml:space="preserve"> </w:t>
      </w:r>
      <w:r>
        <w:rPr>
          <w:spacing w:val="8"/>
        </w:rPr>
        <w:t>年</w:t>
      </w:r>
      <w:r>
        <w:rPr>
          <w:spacing w:val="-58"/>
        </w:rPr>
        <w:t xml:space="preserve"> </w:t>
      </w:r>
      <w:r>
        <w:rPr>
          <w:spacing w:val="8"/>
        </w:rPr>
        <w:t>，供电可靠率达</w:t>
      </w:r>
      <w:r>
        <w:rPr>
          <w:spacing w:val="8"/>
        </w:rPr>
        <w:t>到</w:t>
      </w:r>
      <w:r>
        <w:rPr>
          <w:spacing w:val="-39"/>
        </w:rPr>
        <w:t xml:space="preserve"> </w:t>
      </w:r>
      <w:r>
        <w:rPr>
          <w:spacing w:val="8"/>
        </w:rPr>
        <w:t>99.8%以上</w:t>
      </w:r>
      <w:r>
        <w:rPr>
          <w:spacing w:val="-59"/>
        </w:rPr>
        <w:t xml:space="preserve"> </w:t>
      </w:r>
      <w:r>
        <w:rPr>
          <w:spacing w:val="8"/>
        </w:rPr>
        <w:t>，综合电压合格率达到</w:t>
      </w:r>
      <w:r>
        <w:rPr>
          <w:spacing w:val="-39"/>
        </w:rPr>
        <w:t xml:space="preserve"> </w:t>
      </w:r>
      <w:r>
        <w:rPr>
          <w:spacing w:val="8"/>
        </w:rPr>
        <w:t>99.</w:t>
      </w:r>
      <w:r>
        <w:rPr>
          <w:spacing w:val="7"/>
        </w:rPr>
        <w:t>3%以</w:t>
      </w:r>
      <w:r>
        <w:rPr>
          <w:spacing w:val="9"/>
        </w:rPr>
        <w:t>上，配电自动化覆盖率</w:t>
      </w:r>
      <w:r>
        <w:rPr>
          <w:spacing w:val="-39"/>
        </w:rPr>
        <w:t xml:space="preserve"> </w:t>
      </w:r>
      <w:r>
        <w:rPr>
          <w:spacing w:val="9"/>
        </w:rPr>
        <w:t>92%以上，智能电表覆</w:t>
      </w:r>
      <w:r>
        <w:rPr>
          <w:spacing w:val="1"/>
        </w:rPr>
        <w:t>盖率100%，新能源发电规模达到1200兆瓦以上。</w:t>
      </w:r>
    </w:p>
    <w:p>
      <w:pPr>
        <w:pStyle w:val="BodyText"/>
        <w:ind w:left="7" w:right="83" w:firstLine="418"/>
        <w:spacing w:line="275" w:lineRule="auto"/>
        <w:outlineLvl w:val="0"/>
        <w:rPr/>
      </w:pPr>
      <w:r>
        <w:rPr>
          <w:spacing w:val="6"/>
        </w:rPr>
        <w:t>推广新型供能用能系统。加快推进新能源</w:t>
      </w:r>
      <w:r>
        <w:rPr>
          <w:spacing w:val="15"/>
        </w:rPr>
        <w:t>汽车充电设施建设</w:t>
      </w:r>
      <w:r>
        <w:rPr>
          <w:spacing w:val="-45"/>
        </w:rPr>
        <w:t xml:space="preserve"> </w:t>
      </w:r>
      <w:r>
        <w:rPr>
          <w:spacing w:val="15"/>
        </w:rPr>
        <w:t>，在城区建设大型充换电</w:t>
      </w:r>
    </w:p>
    <w:p>
      <w:pPr>
        <w:pStyle w:val="BodyText"/>
        <w:ind w:left="1" w:right="63" w:firstLine="3"/>
        <w:spacing w:before="114" w:line="332" w:lineRule="auto"/>
        <w:jc w:val="both"/>
        <w:rPr/>
      </w:pPr>
      <w:r>
        <w:rPr>
          <w:spacing w:val="7"/>
        </w:rPr>
        <w:t>站，在高速公路服务区、公共停车场、小区配</w:t>
      </w:r>
      <w:r>
        <w:rPr>
          <w:spacing w:val="7"/>
        </w:rPr>
        <w:t>套建设充电桩，以满足新能源汽车需求，提升</w:t>
      </w:r>
      <w:r>
        <w:rPr>
          <w:spacing w:val="7"/>
        </w:rPr>
        <w:t>充电便利度。积极推进煤改气、煤改电等清洁</w:t>
      </w:r>
      <w:r>
        <w:rPr>
          <w:spacing w:val="15"/>
        </w:rPr>
        <w:t>能源替代</w:t>
      </w:r>
      <w:r>
        <w:rPr>
          <w:spacing w:val="-39"/>
        </w:rPr>
        <w:t xml:space="preserve"> </w:t>
      </w:r>
      <w:r>
        <w:rPr>
          <w:spacing w:val="15"/>
        </w:rPr>
        <w:t>，实施五县区民用天然气全覆盖项</w:t>
      </w:r>
      <w:r>
        <w:rPr>
          <w:spacing w:val="7"/>
        </w:rPr>
        <w:t>目，建设乡镇加气站，具备条件的行政村试点</w:t>
      </w:r>
      <w:r>
        <w:rPr>
          <w:spacing w:val="7"/>
        </w:rPr>
        <w:t>建设天燃气集中取暖设施，实现市域燃气镇镇</w:t>
      </w:r>
      <w:r>
        <w:rPr>
          <w:spacing w:val="-2"/>
        </w:rPr>
        <w:t>通。实施城乡安全供热项目，在有条件乡镇、村</w:t>
      </w:r>
      <w:r>
        <w:rPr>
          <w:spacing w:val="-4"/>
        </w:rPr>
        <w:t>庄推进电热能综合利用。到2025</w:t>
      </w:r>
      <w:r>
        <w:rPr>
          <w:spacing w:val="-43"/>
        </w:rPr>
        <w:t xml:space="preserve"> </w:t>
      </w:r>
      <w:r>
        <w:rPr>
          <w:spacing w:val="-4"/>
        </w:rPr>
        <w:t>年，建成区燃气</w:t>
      </w:r>
      <w:r>
        <w:rPr>
          <w:spacing w:val="4"/>
        </w:rPr>
        <w:t>管网覆盖率达到95%，燃气普及率达到80%。</w:t>
      </w:r>
    </w:p>
    <w:p>
      <w:pPr>
        <w:spacing w:line="332" w:lineRule="auto"/>
        <w:sectPr>
          <w:type w:val="continuous"/>
          <w:pgSz w:w="11906" w:h="16839"/>
          <w:pgMar w:top="1793" w:right="1507" w:bottom="1570" w:left="1521" w:header="1428" w:footer="1172" w:gutter="0"/>
          <w:cols w:equalWidth="0" w:num="2">
            <w:col w:w="4546" w:space="100"/>
            <w:col w:w="4232" w:space="0"/>
          </w:cols>
        </w:sectPr>
        <w:rPr/>
      </w:pPr>
    </w:p>
    <w:p>
      <w:pPr>
        <w:ind w:left="2621"/>
        <w:spacing w:before="289" w:line="199" w:lineRule="auto"/>
        <w:rPr>
          <w:rFonts w:ascii="Microsoft YaHei" w:hAnsi="Microsoft YaHei" w:eastAsia="Microsoft YaHei" w:cs="Microsoft YaHei"/>
          <w:sz w:val="20"/>
          <w:szCs w:val="20"/>
        </w:rPr>
      </w:pPr>
      <w:r>
        <w:drawing>
          <wp:anchor distT="0" distB="0" distL="0" distR="0" simplePos="0" relativeHeight="251826176" behindDoc="0" locked="0" layoutInCell="1" allowOverlap="1">
            <wp:simplePos x="0" y="0"/>
            <wp:positionH relativeFrom="column">
              <wp:posOffset>42291</wp:posOffset>
            </wp:positionH>
            <wp:positionV relativeFrom="paragraph">
              <wp:posOffset>-5395050</wp:posOffset>
            </wp:positionV>
            <wp:extent cx="5579745" cy="7619"/>
            <wp:effectExtent l="0" t="0" r="0" b="0"/>
            <wp:wrapNone/>
            <wp:docPr id="498" name="IM 498"/>
            <wp:cNvGraphicFramePr/>
            <a:graphic>
              <a:graphicData uri="http://schemas.openxmlformats.org/drawingml/2006/picture">
                <pic:pic>
                  <pic:nvPicPr>
                    <pic:cNvPr id="498" name="IM 498"/>
                    <pic:cNvPicPr/>
                  </pic:nvPicPr>
                  <pic:blipFill>
                    <a:blip r:embed="rId25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6"/>
        </w:rPr>
        <w:t>专栏 15</w:t>
      </w:r>
      <w:r>
        <w:rPr>
          <w:rFonts w:ascii="Microsoft YaHei" w:hAnsi="Microsoft YaHei" w:eastAsia="Microsoft YaHei" w:cs="Microsoft YaHei"/>
          <w:sz w:val="20"/>
          <w:szCs w:val="20"/>
          <w:spacing w:val="16"/>
          <w:w w:val="101"/>
        </w:rPr>
        <w:t xml:space="preserve">   </w:t>
      </w:r>
      <w:r>
        <w:rPr>
          <w:rFonts w:ascii="Microsoft YaHei" w:hAnsi="Microsoft YaHei" w:eastAsia="Microsoft YaHei" w:cs="Microsoft YaHei"/>
          <w:sz w:val="20"/>
          <w:szCs w:val="20"/>
          <w:spacing w:val="6"/>
        </w:rPr>
        <w:t>安全清洁能源网重点项目工程</w:t>
      </w:r>
    </w:p>
    <w:tbl>
      <w:tblPr>
        <w:tblStyle w:val="TableNormal"/>
        <w:tblW w:w="8854" w:type="dxa"/>
        <w:tblInd w:w="7" w:type="dxa"/>
        <w:tblLayout w:type="fixed"/>
        <w:tblBorders>
          <w:left w:val="single" w:color="000000" w:sz="6" w:space="0"/>
          <w:bottom w:val="single" w:color="000000" w:sz="6" w:space="0"/>
          <w:right w:val="single" w:color="000000" w:sz="6" w:space="0"/>
          <w:top w:val="single" w:color="000000" w:sz="6" w:space="0"/>
        </w:tblBorders>
      </w:tblPr>
      <w:tblGrid>
        <w:gridCol w:w="8854"/>
      </w:tblGrid>
      <w:tr>
        <w:trPr>
          <w:trHeight w:val="3849" w:hRule="atLeast"/>
        </w:trPr>
        <w:tc>
          <w:tcPr>
            <w:tcW w:w="8854" w:type="dxa"/>
            <w:vAlign w:val="top"/>
          </w:tcPr>
          <w:p>
            <w:pPr>
              <w:pStyle w:val="TableText"/>
              <w:ind w:left="20" w:right="12" w:firstLine="437"/>
              <w:spacing w:before="43" w:line="246" w:lineRule="auto"/>
              <w:rPr/>
            </w:pPr>
            <w:r>
              <w:rPr>
                <w:b/>
                <w:bCs/>
                <w:spacing w:val="-3"/>
              </w:rPr>
              <w:t>1.固原市煤炭清洁高效转化利用项目：</w:t>
            </w:r>
            <w:r>
              <w:rPr>
                <w:spacing w:val="-3"/>
              </w:rPr>
              <w:t>依托王洼煤矿百亿吨级矿区，立足打造宁南地区煤炭清洁高效转换利</w:t>
            </w:r>
            <w:r>
              <w:rPr>
                <w:spacing w:val="2"/>
              </w:rPr>
              <w:t>用基地，建设百万吨低阶煤热解项目，打造煤炭热解-</w:t>
            </w:r>
            <w:r>
              <w:rPr>
                <w:spacing w:val="1"/>
              </w:rPr>
              <w:t>气化一体化（</w:t>
            </w:r>
            <w:r>
              <w:rPr/>
              <w:t>CGPS</w:t>
            </w:r>
            <w:r>
              <w:rPr>
                <w:spacing w:val="1"/>
              </w:rPr>
              <w:t>）产业链条。</w:t>
            </w:r>
          </w:p>
          <w:p>
            <w:pPr>
              <w:pStyle w:val="TableText"/>
              <w:ind w:left="21" w:firstLine="421"/>
              <w:spacing w:line="246" w:lineRule="auto"/>
              <w:rPr/>
            </w:pPr>
            <w:r>
              <w:rPr>
                <w:b/>
                <w:bCs/>
                <w:spacing w:val="-3"/>
              </w:rPr>
              <w:t>2.中铝宁能六盘山热电厂供热节能优化及能力提升项目：</w:t>
            </w:r>
            <w:r>
              <w:rPr>
                <w:spacing w:val="-3"/>
              </w:rPr>
              <w:t>利用供热蒸汽的压损增设两台小型、背压式汽轮机</w:t>
            </w:r>
            <w:r>
              <w:rPr>
                <w:spacing w:val="2"/>
              </w:rPr>
              <w:t>直接带动异步发电机发电，六盘山热电厂直供区域88</w:t>
            </w:r>
            <w:r>
              <w:rPr>
                <w:spacing w:val="-27"/>
              </w:rPr>
              <w:t xml:space="preserve"> </w:t>
            </w:r>
            <w:r>
              <w:rPr>
                <w:spacing w:val="2"/>
              </w:rPr>
              <w:t>台</w:t>
            </w:r>
            <w:r>
              <w:rPr>
                <w:spacing w:val="1"/>
              </w:rPr>
              <w:t>二级换热机组全部采用溴化锂吸收式热泵技术进行节能</w:t>
            </w:r>
            <w:r>
              <w:rPr/>
              <w:t>改造，扩建热力一次管网8</w:t>
            </w:r>
            <w:r>
              <w:rPr>
                <w:spacing w:val="-43"/>
              </w:rPr>
              <w:t xml:space="preserve"> </w:t>
            </w:r>
            <w:r>
              <w:rPr/>
              <w:t>公里，六盘山热电厂#2</w:t>
            </w:r>
            <w:r>
              <w:rPr>
                <w:spacing w:val="-38"/>
              </w:rPr>
              <w:t xml:space="preserve"> </w:t>
            </w:r>
            <w:r>
              <w:rPr/>
              <w:t>汽轮机进行低压缸“零出力”改</w:t>
            </w:r>
            <w:r>
              <w:rPr>
                <w:spacing w:val="-1"/>
              </w:rPr>
              <w:t>造，配套新建一座热网首站。</w:t>
            </w:r>
          </w:p>
          <w:p>
            <w:pPr>
              <w:pStyle w:val="TableText"/>
              <w:ind w:left="20" w:right="2" w:firstLine="425"/>
              <w:spacing w:line="246" w:lineRule="auto"/>
              <w:rPr/>
            </w:pPr>
            <w:r>
              <w:rPr>
                <w:b/>
                <w:bCs/>
                <w:spacing w:val="-1"/>
              </w:rPr>
              <w:t>3.西气东输固原-彭阳、固原-海原油气联络管道互联互通工程：</w:t>
            </w:r>
            <w:r>
              <w:rPr>
                <w:spacing w:val="-1"/>
              </w:rPr>
              <w:t>固原-彭阳线路全长</w:t>
            </w:r>
            <w:r>
              <w:rPr>
                <w:spacing w:val="-39"/>
              </w:rPr>
              <w:t xml:space="preserve"> </w:t>
            </w:r>
            <w:r>
              <w:rPr>
                <w:spacing w:val="-1"/>
              </w:rPr>
              <w:t>50.2</w:t>
            </w:r>
            <w:r>
              <w:rPr>
                <w:spacing w:val="-38"/>
              </w:rPr>
              <w:t xml:space="preserve"> </w:t>
            </w:r>
            <w:r>
              <w:rPr>
                <w:spacing w:val="-1"/>
              </w:rPr>
              <w:t>公里，海原-固原</w:t>
            </w:r>
            <w:r>
              <w:rPr>
                <w:spacing w:val="-2"/>
              </w:rPr>
              <w:t>线路全长约</w:t>
            </w:r>
            <w:r>
              <w:rPr>
                <w:spacing w:val="-34"/>
              </w:rPr>
              <w:t xml:space="preserve"> </w:t>
            </w:r>
            <w:r>
              <w:rPr>
                <w:spacing w:val="-2"/>
              </w:rPr>
              <w:t>96</w:t>
            </w:r>
            <w:r>
              <w:rPr>
                <w:spacing w:val="-43"/>
              </w:rPr>
              <w:t xml:space="preserve"> </w:t>
            </w:r>
            <w:r>
              <w:rPr>
                <w:spacing w:val="-2"/>
              </w:rPr>
              <w:t>公里。</w:t>
            </w:r>
          </w:p>
          <w:p>
            <w:pPr>
              <w:pStyle w:val="TableText"/>
              <w:ind w:left="20" w:right="14" w:firstLine="420"/>
              <w:spacing w:line="246" w:lineRule="auto"/>
              <w:rPr/>
            </w:pPr>
            <w:r>
              <w:rPr>
                <w:b/>
                <w:bCs/>
                <w:spacing w:val="-3"/>
              </w:rPr>
              <w:t>4.固原市分布式储能项目：</w:t>
            </w:r>
            <w:r>
              <w:rPr>
                <w:spacing w:val="-3"/>
              </w:rPr>
              <w:t>固原经济开发区一期建设</w:t>
            </w:r>
            <w:r>
              <w:rPr>
                <w:spacing w:val="-16"/>
              </w:rPr>
              <w:t xml:space="preserve"> </w:t>
            </w:r>
            <w:r>
              <w:rPr>
                <w:spacing w:val="-3"/>
              </w:rPr>
              <w:t>100</w:t>
            </w:r>
            <w:r>
              <w:rPr>
                <w:spacing w:val="-40"/>
              </w:rPr>
              <w:t xml:space="preserve"> </w:t>
            </w:r>
            <w:r>
              <w:rPr>
                <w:spacing w:val="-3"/>
              </w:rPr>
              <w:t>兆瓦时级锂电池储能电站，二期扩建</w:t>
            </w:r>
            <w:r>
              <w:rPr>
                <w:spacing w:val="-37"/>
              </w:rPr>
              <w:t xml:space="preserve"> </w:t>
            </w:r>
            <w:r>
              <w:rPr>
                <w:spacing w:val="-3"/>
              </w:rPr>
              <w:t>500</w:t>
            </w:r>
            <w:r>
              <w:rPr>
                <w:spacing w:val="-40"/>
              </w:rPr>
              <w:t xml:space="preserve"> </w:t>
            </w:r>
            <w:r>
              <w:rPr>
                <w:spacing w:val="-3"/>
              </w:rPr>
              <w:t>兆瓦时级</w:t>
            </w:r>
            <w:r>
              <w:rPr>
                <w:spacing w:val="-1"/>
              </w:rPr>
              <w:t>锂电池储能设备，三期扩建</w:t>
            </w:r>
            <w:r>
              <w:rPr>
                <w:spacing w:val="-25"/>
              </w:rPr>
              <w:t xml:space="preserve"> </w:t>
            </w:r>
            <w:r>
              <w:rPr>
                <w:spacing w:val="-1"/>
              </w:rPr>
              <w:t>1000</w:t>
            </w:r>
            <w:r>
              <w:rPr>
                <w:spacing w:val="-37"/>
              </w:rPr>
              <w:t xml:space="preserve"> </w:t>
            </w:r>
            <w:r>
              <w:rPr>
                <w:spacing w:val="-1"/>
              </w:rPr>
              <w:t>兆瓦时级锂电</w:t>
            </w:r>
            <w:r>
              <w:rPr>
                <w:spacing w:val="-2"/>
              </w:rPr>
              <w:t>池储能设备。</w:t>
            </w:r>
          </w:p>
          <w:p>
            <w:pPr>
              <w:pStyle w:val="TableText"/>
              <w:ind w:left="19" w:right="14" w:firstLine="357"/>
              <w:spacing w:before="1" w:line="230" w:lineRule="auto"/>
              <w:rPr/>
            </w:pPr>
            <w:r>
              <w:rPr>
                <w:b/>
                <w:bCs/>
                <w:spacing w:val="-1"/>
              </w:rPr>
              <w:t>5.固原市煤制氢气项目：</w:t>
            </w:r>
            <w:r>
              <w:rPr>
                <w:spacing w:val="-1"/>
              </w:rPr>
              <w:t>与知名高校和科研机构合作，应用最新技术成果，建设煤炭制氢项目一处，并预留</w:t>
            </w:r>
            <w:r>
              <w:rPr>
                <w:spacing w:val="-1"/>
              </w:rPr>
              <w:t>后期扩建空间。</w:t>
            </w:r>
          </w:p>
          <w:p>
            <w:pPr>
              <w:pStyle w:val="TableText"/>
              <w:ind w:left="18" w:right="14" w:firstLine="358"/>
              <w:spacing w:before="15" w:line="246" w:lineRule="auto"/>
              <w:rPr/>
            </w:pPr>
            <w:r>
              <w:rPr>
                <w:b/>
                <w:bCs/>
              </w:rPr>
              <w:t>6.固原电网升级改造项目</w:t>
            </w:r>
            <w:r>
              <w:rPr>
                <w:sz w:val="8"/>
                <w:szCs w:val="8"/>
                <w:b/>
                <w:bCs/>
                <w:position w:val="9"/>
              </w:rPr>
              <w:t>#</w:t>
            </w:r>
            <w:r>
              <w:rPr>
                <w:b/>
                <w:bCs/>
              </w:rPr>
              <w:t>：</w:t>
            </w:r>
            <w:r>
              <w:rPr/>
              <w:t>新建云雾山—六盘山双回、云雾山—绿塬单回330千伏线路约60公里，硝河—六</w:t>
            </w:r>
            <w:r>
              <w:rPr>
                <w:spacing w:val="1"/>
              </w:rPr>
              <w:t>盘山双回330千伏线路约72公里，新建、改造10千伏主变压器1774台；进行农村及城市电网改造，架空线路2550</w:t>
            </w:r>
            <w:r>
              <w:rPr>
                <w:spacing w:val="-1"/>
              </w:rPr>
              <w:t>公里，电缆长度269公里。</w:t>
            </w:r>
          </w:p>
          <w:p>
            <w:pPr>
              <w:pStyle w:val="TableText"/>
              <w:ind w:left="18" w:right="14" w:firstLine="423"/>
              <w:spacing w:line="231" w:lineRule="auto"/>
              <w:rPr/>
            </w:pPr>
            <w:r>
              <w:rPr>
                <w:b/>
                <w:bCs/>
              </w:rPr>
              <w:t>7.五县区民用天然气全覆盖项目</w:t>
            </w:r>
            <w:r>
              <w:rPr>
                <w:sz w:val="8"/>
                <w:szCs w:val="8"/>
                <w:b/>
                <w:bCs/>
                <w:position w:val="9"/>
              </w:rPr>
              <w:t>#</w:t>
            </w:r>
            <w:r>
              <w:rPr>
                <w:sz w:val="8"/>
                <w:szCs w:val="8"/>
                <w:position w:val="9"/>
              </w:rPr>
              <w:t xml:space="preserve"> </w:t>
            </w:r>
            <w:r>
              <w:rPr>
                <w:b/>
                <w:bCs/>
              </w:rPr>
              <w:t>：</w:t>
            </w:r>
            <w:r>
              <w:rPr/>
              <w:t>实施固原市老旧小区改造天然气基础设施配套</w:t>
            </w:r>
            <w:r>
              <w:rPr>
                <w:spacing w:val="-1"/>
              </w:rPr>
              <w:t>、天然气智慧管网动态实</w:t>
            </w:r>
            <w:r>
              <w:rPr/>
              <w:t>施监测控制系统、天然气基础设施综合利用、天然气取暖工程及彭阳县城区天然气</w:t>
            </w:r>
            <w:r>
              <w:rPr>
                <w:spacing w:val="-1"/>
              </w:rPr>
              <w:t>管网建设工程等</w:t>
            </w:r>
            <w:r>
              <w:rPr>
                <w:spacing w:val="-39"/>
              </w:rPr>
              <w:t xml:space="preserve"> </w:t>
            </w:r>
            <w:r>
              <w:rPr>
                <w:spacing w:val="-1"/>
              </w:rPr>
              <w:t>5</w:t>
            </w:r>
            <w:r>
              <w:rPr>
                <w:spacing w:val="-43"/>
              </w:rPr>
              <w:t xml:space="preserve"> </w:t>
            </w:r>
            <w:r>
              <w:rPr>
                <w:spacing w:val="-1"/>
              </w:rPr>
              <w:t>个项目。</w:t>
            </w:r>
          </w:p>
        </w:tc>
      </w:tr>
    </w:tbl>
    <w:p>
      <w:pPr>
        <w:ind w:left="438"/>
        <w:spacing w:before="64" w:line="164" w:lineRule="auto"/>
        <w:outlineLvl w:val="0"/>
        <w:rPr>
          <w:rFonts w:ascii="KaiTi" w:hAnsi="KaiTi" w:eastAsia="KaiTi" w:cs="KaiTi"/>
          <w:sz w:val="18"/>
          <w:szCs w:val="18"/>
        </w:rPr>
      </w:pPr>
      <w:r>
        <w:rPr>
          <w:rFonts w:ascii="Microsoft YaHei" w:hAnsi="Microsoft YaHei" w:eastAsia="Microsoft YaHei" w:cs="Microsoft YaHei"/>
          <w:sz w:val="18"/>
          <w:szCs w:val="18"/>
          <w:spacing w:val="-3"/>
        </w:rPr>
        <w:t>注</w:t>
      </w:r>
      <w:r>
        <w:rPr>
          <w:rFonts w:ascii="Microsoft YaHei" w:hAnsi="Microsoft YaHei" w:eastAsia="Microsoft YaHei" w:cs="Microsoft YaHei"/>
          <w:sz w:val="18"/>
          <w:szCs w:val="18"/>
          <w:spacing w:val="-9"/>
        </w:rPr>
        <w:t xml:space="preserve"> </w:t>
      </w:r>
      <w:r>
        <w:rPr>
          <w:rFonts w:ascii="Microsoft YaHei" w:hAnsi="Microsoft YaHei" w:eastAsia="Microsoft YaHei" w:cs="Microsoft YaHei"/>
          <w:sz w:val="18"/>
          <w:szCs w:val="18"/>
          <w:spacing w:val="-3"/>
        </w:rPr>
        <w:t>：</w:t>
      </w:r>
      <w:r>
        <w:rPr>
          <w:rFonts w:ascii="KaiTi" w:hAnsi="KaiTi" w:eastAsia="KaiTi" w:cs="KaiTi"/>
          <w:sz w:val="18"/>
          <w:szCs w:val="18"/>
          <w:spacing w:val="-3"/>
        </w:rPr>
        <w:t>项目名称右上角标“#”的为基础设施十大项</w:t>
      </w:r>
      <w:r>
        <w:rPr>
          <w:rFonts w:ascii="KaiTi" w:hAnsi="KaiTi" w:eastAsia="KaiTi" w:cs="KaiTi"/>
          <w:sz w:val="18"/>
          <w:szCs w:val="18"/>
          <w:spacing w:val="-47"/>
        </w:rPr>
        <w:t xml:space="preserve"> </w:t>
      </w:r>
      <w:r>
        <w:rPr>
          <w:rFonts w:ascii="KaiTi" w:hAnsi="KaiTi" w:eastAsia="KaiTi" w:cs="KaiTi"/>
          <w:sz w:val="18"/>
          <w:szCs w:val="18"/>
          <w:spacing w:val="-3"/>
        </w:rPr>
        <w:t>目。</w:t>
      </w:r>
    </w:p>
    <w:p>
      <w:pPr>
        <w:spacing w:line="164" w:lineRule="auto"/>
        <w:sectPr>
          <w:type w:val="continuous"/>
          <w:pgSz w:w="11906" w:h="16839"/>
          <w:pgMar w:top="1793" w:right="1507" w:bottom="1570" w:left="1521" w:header="1428" w:footer="1172" w:gutter="0"/>
          <w:cols w:equalWidth="0" w:num="1">
            <w:col w:w="8878" w:space="0"/>
          </w:cols>
        </w:sectPr>
        <w:rPr>
          <w:rFonts w:ascii="KaiTi" w:hAnsi="KaiTi" w:eastAsia="KaiTi" w:cs="KaiTi"/>
          <w:sz w:val="18"/>
          <w:szCs w:val="18"/>
        </w:rPr>
      </w:pPr>
    </w:p>
    <w:p>
      <w:pPr>
        <w:spacing w:before="51"/>
        <w:rPr/>
      </w:pPr>
      <w:r/>
    </w:p>
    <w:p>
      <w:pPr>
        <w:sectPr>
          <w:headerReference w:type="default" r:id="rId252"/>
          <w:footerReference w:type="default" r:id="rId253"/>
          <w:pgSz w:w="11906" w:h="16839"/>
          <w:pgMar w:top="1793" w:right="1468" w:bottom="1673" w:left="1526" w:header="1428" w:footer="1277" w:gutter="0"/>
          <w:cols w:equalWidth="0" w:num="1">
            <w:col w:w="8912" w:space="0"/>
          </w:cols>
        </w:sectPr>
        <w:rPr/>
      </w:pPr>
    </w:p>
    <w:p>
      <w:pPr>
        <w:pStyle w:val="BodyText"/>
        <w:ind w:left="775"/>
        <w:spacing w:before="41" w:line="223" w:lineRule="auto"/>
        <w:outlineLvl w:val="0"/>
        <w:rPr/>
      </w:pPr>
      <w:r>
        <w:rPr>
          <w:b/>
          <w:bCs/>
          <w:spacing w:val="7"/>
        </w:rPr>
        <w:t>第四节</w:t>
      </w:r>
      <w:r>
        <w:rPr>
          <w:spacing w:val="7"/>
        </w:rPr>
        <w:t xml:space="preserve">  </w:t>
      </w:r>
      <w:r>
        <w:rPr>
          <w:b/>
          <w:bCs/>
          <w:spacing w:val="7"/>
        </w:rPr>
        <w:t>构建新型智能信息网</w:t>
      </w:r>
    </w:p>
    <w:p>
      <w:pPr>
        <w:spacing w:line="244" w:lineRule="auto"/>
        <w:rPr>
          <w:rFonts w:ascii="Arial"/>
          <w:sz w:val="21"/>
        </w:rPr>
      </w:pPr>
      <w:r/>
    </w:p>
    <w:p>
      <w:pPr>
        <w:spacing w:line="245" w:lineRule="auto"/>
        <w:rPr>
          <w:rFonts w:ascii="Arial"/>
          <w:sz w:val="21"/>
        </w:rPr>
      </w:pPr>
      <w:r/>
    </w:p>
    <w:p>
      <w:pPr>
        <w:pStyle w:val="BodyText"/>
        <w:ind w:left="485"/>
        <w:spacing w:before="65" w:line="223" w:lineRule="auto"/>
        <w:rPr/>
      </w:pPr>
      <w:r>
        <w:rPr>
          <w:spacing w:val="7"/>
        </w:rPr>
        <w:t>抢抓信息时代发展机遇，整合改造提升市</w:t>
      </w:r>
    </w:p>
    <w:p>
      <w:pPr>
        <w:pStyle w:val="BodyText"/>
        <w:ind w:left="67"/>
        <w:spacing w:before="160" w:line="223" w:lineRule="auto"/>
        <w:outlineLvl w:val="0"/>
        <w:rPr/>
      </w:pPr>
      <w:r>
        <w:rPr>
          <w:spacing w:val="7"/>
        </w:rPr>
        <w:t>域现有信息基础设施智能化水平，全力推动新</w:t>
      </w:r>
    </w:p>
    <w:p>
      <w:pPr>
        <w:pStyle w:val="BodyText"/>
        <w:ind w:left="488" w:right="300" w:hanging="415"/>
        <w:spacing w:before="157" w:line="368" w:lineRule="auto"/>
        <w:rPr/>
      </w:pPr>
      <w:r>
        <w:rPr>
          <w:spacing w:val="-2"/>
        </w:rPr>
        <w:t>型基础设施建设，更好服务市域经济社会发展。</w:t>
      </w:r>
      <w:r>
        <w:rPr>
          <w:spacing w:val="6"/>
        </w:rPr>
        <w:t>推进新型通信基础设施建设。实施基础网</w:t>
      </w:r>
    </w:p>
    <w:p>
      <w:pPr>
        <w:pStyle w:val="BodyText"/>
        <w:ind w:left="69"/>
        <w:spacing w:line="277" w:lineRule="exact"/>
        <w:outlineLvl w:val="0"/>
        <w:rPr/>
      </w:pPr>
      <w:r>
        <w:rPr>
          <w:spacing w:val="15"/>
          <w:position w:val="1"/>
        </w:rPr>
        <w:t>络优化和</w:t>
      </w:r>
      <w:r>
        <w:rPr>
          <w:spacing w:val="-23"/>
          <w:position w:val="1"/>
        </w:rPr>
        <w:t xml:space="preserve"> </w:t>
      </w:r>
      <w:r>
        <w:rPr>
          <w:spacing w:val="15"/>
          <w:position w:val="1"/>
        </w:rPr>
        <w:t>5G基站建设工程</w:t>
      </w:r>
      <w:r>
        <w:rPr>
          <w:spacing w:val="-59"/>
          <w:position w:val="1"/>
        </w:rPr>
        <w:t xml:space="preserve"> </w:t>
      </w:r>
      <w:r>
        <w:rPr>
          <w:spacing w:val="15"/>
          <w:position w:val="1"/>
        </w:rPr>
        <w:t>，建设改造</w:t>
      </w:r>
      <w:r>
        <w:rPr>
          <w:spacing w:val="-36"/>
          <w:position w:val="1"/>
        </w:rPr>
        <w:t xml:space="preserve"> </w:t>
      </w:r>
      <w:r>
        <w:rPr>
          <w:spacing w:val="15"/>
          <w:position w:val="1"/>
        </w:rPr>
        <w:t>5G</w:t>
      </w:r>
      <w:r>
        <w:rPr>
          <w:spacing w:val="-39"/>
          <w:position w:val="1"/>
        </w:rPr>
        <w:t xml:space="preserve"> </w:t>
      </w:r>
      <w:r>
        <w:rPr>
          <w:spacing w:val="15"/>
          <w:position w:val="1"/>
        </w:rPr>
        <w:t>基</w:t>
      </w:r>
    </w:p>
    <w:p>
      <w:pPr>
        <w:pStyle w:val="BodyText"/>
        <w:ind w:left="65" w:right="306" w:firstLine="3"/>
        <w:spacing w:before="127" w:line="369" w:lineRule="auto"/>
        <w:jc w:val="both"/>
        <w:rPr/>
      </w:pPr>
      <w:r>
        <w:rPr>
          <w:spacing w:val="11"/>
        </w:rPr>
        <w:t>站</w:t>
      </w:r>
      <w:r>
        <w:rPr>
          <w:spacing w:val="-21"/>
        </w:rPr>
        <w:t xml:space="preserve"> </w:t>
      </w:r>
      <w:r>
        <w:rPr>
          <w:spacing w:val="11"/>
        </w:rPr>
        <w:t>3500</w:t>
      </w:r>
      <w:r>
        <w:rPr>
          <w:spacing w:val="-39"/>
        </w:rPr>
        <w:t xml:space="preserve"> </w:t>
      </w:r>
      <w:r>
        <w:rPr>
          <w:spacing w:val="11"/>
        </w:rPr>
        <w:t>座，建设窄带物联网（</w:t>
      </w:r>
      <w:r>
        <w:rPr/>
        <w:t>NB</w:t>
      </w:r>
      <w:r>
        <w:rPr>
          <w:spacing w:val="11"/>
        </w:rPr>
        <w:t>-</w:t>
      </w:r>
      <w:r>
        <w:rPr/>
        <w:t>IOT</w:t>
      </w:r>
      <w:r>
        <w:rPr>
          <w:spacing w:val="11"/>
        </w:rPr>
        <w:t>）网络</w:t>
      </w:r>
      <w:r>
        <w:rPr>
          <w:spacing w:val="8"/>
        </w:rPr>
        <w:t>基站</w:t>
      </w:r>
      <w:r>
        <w:rPr>
          <w:spacing w:val="-22"/>
        </w:rPr>
        <w:t xml:space="preserve"> </w:t>
      </w:r>
      <w:r>
        <w:rPr>
          <w:spacing w:val="8"/>
        </w:rPr>
        <w:t>3000</w:t>
      </w:r>
      <w:r>
        <w:rPr>
          <w:spacing w:val="-39"/>
        </w:rPr>
        <w:t xml:space="preserve"> </w:t>
      </w:r>
      <w:r>
        <w:rPr>
          <w:spacing w:val="8"/>
        </w:rPr>
        <w:t>座，加快窄带物联网（</w:t>
      </w:r>
      <w:r>
        <w:rPr/>
        <w:t>NB</w:t>
      </w:r>
      <w:r>
        <w:rPr>
          <w:spacing w:val="8"/>
        </w:rPr>
        <w:t>-</w:t>
      </w:r>
      <w:r>
        <w:rPr/>
        <w:t>IOT</w:t>
      </w:r>
      <w:r>
        <w:rPr>
          <w:spacing w:val="-41"/>
        </w:rPr>
        <w:t xml:space="preserve"> </w:t>
      </w:r>
      <w:r>
        <w:rPr>
          <w:spacing w:val="8"/>
        </w:rPr>
        <w:t>）由</w:t>
      </w:r>
      <w:r>
        <w:rPr>
          <w:spacing w:val="7"/>
        </w:rPr>
        <w:t>中心城区向城乡拓展覆盖。加快对固定宽带智</w:t>
      </w:r>
      <w:r>
        <w:rPr>
          <w:spacing w:val="7"/>
        </w:rPr>
        <w:t>能网络更新升级</w:t>
      </w:r>
      <w:r>
        <w:rPr>
          <w:spacing w:val="-48"/>
        </w:rPr>
        <w:t xml:space="preserve"> </w:t>
      </w:r>
      <w:r>
        <w:rPr>
          <w:spacing w:val="7"/>
        </w:rPr>
        <w:t>，提升</w:t>
      </w:r>
      <w:r>
        <w:rPr>
          <w:spacing w:val="-36"/>
        </w:rPr>
        <w:t xml:space="preserve"> </w:t>
      </w:r>
      <w:r>
        <w:rPr/>
        <w:t>IPv</w:t>
      </w:r>
      <w:r>
        <w:rPr>
          <w:spacing w:val="7"/>
        </w:rPr>
        <w:t>6</w:t>
      </w:r>
      <w:r>
        <w:rPr>
          <w:spacing w:val="-18"/>
        </w:rPr>
        <w:t xml:space="preserve"> </w:t>
      </w:r>
      <w:r>
        <w:rPr>
          <w:spacing w:val="7"/>
        </w:rPr>
        <w:t>网络接入能力</w:t>
      </w:r>
      <w:r>
        <w:rPr>
          <w:spacing w:val="-56"/>
        </w:rPr>
        <w:t xml:space="preserve"> </w:t>
      </w:r>
      <w:r>
        <w:rPr>
          <w:spacing w:val="7"/>
        </w:rPr>
        <w:t>，</w:t>
      </w:r>
      <w:r>
        <w:rPr>
          <w:spacing w:val="8"/>
        </w:rPr>
        <w:t>持续优化扩容区域骨干网络。积极鼓励通信、</w:t>
      </w:r>
      <w:r>
        <w:rPr>
          <w:spacing w:val="8"/>
        </w:rPr>
        <w:t>城建、交通、电力等行业共建共享杆塔资源。</w:t>
      </w:r>
      <w:r>
        <w:rPr>
          <w:spacing w:val="8"/>
        </w:rPr>
        <w:t>到</w:t>
      </w:r>
      <w:r>
        <w:rPr>
          <w:spacing w:val="-28"/>
        </w:rPr>
        <w:t xml:space="preserve"> </w:t>
      </w:r>
      <w:r>
        <w:rPr>
          <w:spacing w:val="8"/>
        </w:rPr>
        <w:t>2025</w:t>
      </w:r>
      <w:r>
        <w:rPr>
          <w:spacing w:val="-34"/>
        </w:rPr>
        <w:t xml:space="preserve"> </w:t>
      </w:r>
      <w:r>
        <w:rPr>
          <w:spacing w:val="8"/>
        </w:rPr>
        <w:t>年</w:t>
      </w:r>
      <w:r>
        <w:rPr>
          <w:spacing w:val="-59"/>
        </w:rPr>
        <w:t xml:space="preserve"> </w:t>
      </w:r>
      <w:r>
        <w:rPr>
          <w:spacing w:val="8"/>
        </w:rPr>
        <w:t>，实现千兆光纤网络城乡全覆盖和</w:t>
      </w:r>
      <w:r>
        <w:rPr>
          <w:spacing w:val="13"/>
        </w:rPr>
        <w:t>市域5G</w:t>
      </w:r>
      <w:r>
        <w:rPr>
          <w:spacing w:val="-18"/>
        </w:rPr>
        <w:t xml:space="preserve"> </w:t>
      </w:r>
      <w:r>
        <w:rPr>
          <w:spacing w:val="13"/>
        </w:rPr>
        <w:t>网络全覆盖。</w:t>
      </w:r>
    </w:p>
    <w:p>
      <w:pPr>
        <w:pStyle w:val="BodyText"/>
        <w:ind w:left="489"/>
        <w:spacing w:line="223" w:lineRule="auto"/>
        <w:rPr/>
      </w:pPr>
      <w:r>
        <w:rPr>
          <w:spacing w:val="9"/>
        </w:rPr>
        <w:t>推进数字固原建设。统筹整合智慧城管、</w:t>
      </w:r>
    </w:p>
    <w:p>
      <w:pPr>
        <w:pStyle w:val="BodyText"/>
        <w:ind w:left="67"/>
        <w:spacing w:before="160" w:line="222" w:lineRule="auto"/>
        <w:outlineLvl w:val="0"/>
        <w:rPr/>
      </w:pPr>
      <w:r>
        <w:rPr>
          <w:spacing w:val="7"/>
        </w:rPr>
        <w:t>雪亮工程、智慧固原、智慧社区等现有平台资</w:t>
      </w:r>
    </w:p>
    <w:p>
      <w:pPr>
        <w:pStyle w:val="BodyText"/>
        <w:ind w:left="70"/>
        <w:spacing w:before="155" w:line="277" w:lineRule="exact"/>
        <w:rPr/>
      </w:pPr>
      <w:r>
        <w:rPr>
          <w:spacing w:val="7"/>
          <w:position w:val="1"/>
        </w:rPr>
        <w:t>源，构建数字固原（六盘云）基础支撑平台和</w:t>
      </w:r>
    </w:p>
    <w:p>
      <w:pPr>
        <w:spacing w:line="126" w:lineRule="exact"/>
        <w:rPr/>
      </w:pPr>
      <w:r/>
    </w:p>
    <w:p>
      <w:pPr>
        <w:spacing w:line="14" w:lineRule="auto"/>
        <w:rPr>
          <w:rFonts w:ascii="Arial"/>
          <w:sz w:val="2"/>
        </w:rPr>
      </w:pPr>
      <w:r>
        <w:rPr>
          <w:rFonts w:ascii="Arial" w:hAnsi="Arial" w:eastAsia="Arial" w:cs="Arial"/>
          <w:sz w:val="2"/>
          <w:szCs w:val="2"/>
        </w:rPr>
        <w:br w:type="column"/>
      </w:r>
    </w:p>
    <w:p>
      <w:pPr>
        <w:pStyle w:val="BodyText"/>
        <w:spacing w:before="37" w:line="367" w:lineRule="auto"/>
        <w:jc w:val="both"/>
        <w:rPr/>
      </w:pPr>
      <w:r>
        <w:rPr>
          <w:spacing w:val="7"/>
        </w:rPr>
        <w:t>数据支撑平台，为政府部门和社会公众提供全</w:t>
      </w:r>
      <w:r>
        <w:rPr>
          <w:spacing w:val="10"/>
        </w:rPr>
        <w:t>面高品质的服务。加强视频监控、环境监测、</w:t>
      </w:r>
      <w:r>
        <w:rPr>
          <w:spacing w:val="7"/>
        </w:rPr>
        <w:t>民生服务、安全应急、城市管理等领域的数据</w:t>
      </w:r>
      <w:r>
        <w:rPr>
          <w:spacing w:val="7"/>
        </w:rPr>
        <w:t>采集、管理分析和监督评价，构建城市运行综</w:t>
      </w:r>
      <w:r>
        <w:rPr>
          <w:spacing w:val="5"/>
        </w:rPr>
        <w:t>合管理体系。推进</w:t>
      </w:r>
      <w:r>
        <w:rPr>
          <w:spacing w:val="-17"/>
        </w:rPr>
        <w:t xml:space="preserve"> </w:t>
      </w:r>
      <w:r>
        <w:rPr>
          <w:spacing w:val="5"/>
        </w:rPr>
        <w:t>163</w:t>
      </w:r>
      <w:r>
        <w:rPr>
          <w:spacing w:val="-41"/>
        </w:rPr>
        <w:t xml:space="preserve"> </w:t>
      </w:r>
      <w:r>
        <w:rPr>
          <w:spacing w:val="5"/>
        </w:rPr>
        <w:t>政务服务一体化平台升</w:t>
      </w:r>
      <w:r>
        <w:rPr>
          <w:spacing w:val="7"/>
        </w:rPr>
        <w:t>级改造，促进政务审批平台和大数据服务平台</w:t>
      </w:r>
      <w:r>
        <w:rPr>
          <w:spacing w:val="-2"/>
        </w:rPr>
        <w:t>互联互通，实现行业专用审批系统数据资源与政</w:t>
      </w:r>
      <w:r>
        <w:rPr>
          <w:spacing w:val="-8"/>
        </w:rPr>
        <w:t>务服务平台的对接共享，到2025</w:t>
      </w:r>
      <w:r>
        <w:rPr>
          <w:spacing w:val="-41"/>
        </w:rPr>
        <w:t xml:space="preserve"> </w:t>
      </w:r>
      <w:r>
        <w:rPr>
          <w:spacing w:val="-8"/>
        </w:rPr>
        <w:t>年，市、县（区）</w:t>
      </w:r>
      <w:r>
        <w:rPr>
          <w:spacing w:val="-7"/>
        </w:rPr>
        <w:t>政务服务事项审批过程数据电子监察实现全覆盖。</w:t>
      </w:r>
    </w:p>
    <w:p>
      <w:pPr>
        <w:pStyle w:val="BodyText"/>
        <w:ind w:left="20" w:right="122" w:firstLine="403"/>
        <w:spacing w:before="23" w:line="297" w:lineRule="auto"/>
        <w:outlineLvl w:val="0"/>
        <w:rPr/>
      </w:pPr>
      <w:r>
        <w:rPr>
          <w:spacing w:val="6"/>
        </w:rPr>
        <w:t>推进信息惠民工程建设。大力开展信息惠</w:t>
      </w:r>
      <w:r>
        <w:rPr>
          <w:spacing w:val="6"/>
        </w:rPr>
        <w:t>民工程，推动公共服务由被动服务向主动服务</w:t>
      </w:r>
    </w:p>
    <w:p>
      <w:pPr>
        <w:pStyle w:val="BodyText"/>
        <w:ind w:right="119" w:firstLine="2"/>
        <w:spacing w:before="157" w:line="368" w:lineRule="auto"/>
        <w:jc w:val="both"/>
        <w:rPr/>
      </w:pPr>
      <w:r>
        <w:rPr>
          <w:spacing w:val="7"/>
        </w:rPr>
        <w:t>转变，通过互联网、人工智能、大数据、北斗</w:t>
      </w:r>
      <w:r>
        <w:rPr>
          <w:spacing w:val="7"/>
        </w:rPr>
        <w:t>导航等技术推动就业、出行、养老、医疗、教</w:t>
      </w:r>
      <w:r>
        <w:rPr>
          <w:spacing w:val="7"/>
        </w:rPr>
        <w:t>育、社会保障等公共服务精细化，实现社区治</w:t>
      </w:r>
      <w:r>
        <w:rPr>
          <w:spacing w:val="7"/>
        </w:rPr>
        <w:t>理、文化旅游、医疗健康、政务服务、特色产</w:t>
      </w:r>
      <w:r>
        <w:rPr>
          <w:spacing w:val="4"/>
        </w:rPr>
        <w:t>业、空间管护、环境监测等云端管控。到</w:t>
      </w:r>
      <w:r>
        <w:rPr>
          <w:spacing w:val="-40"/>
        </w:rPr>
        <w:t xml:space="preserve"> </w:t>
      </w:r>
      <w:r>
        <w:rPr>
          <w:spacing w:val="4"/>
        </w:rPr>
        <w:t>2025</w:t>
      </w:r>
      <w:r>
        <w:rPr>
          <w:spacing w:val="9"/>
        </w:rPr>
        <w:t>年固原市信息化服务实现更高水平的覆盖。</w:t>
      </w:r>
    </w:p>
    <w:p>
      <w:pPr>
        <w:spacing w:line="368" w:lineRule="auto"/>
        <w:sectPr>
          <w:type w:val="continuous"/>
          <w:pgSz w:w="11906" w:h="16839"/>
          <w:pgMar w:top="1793" w:right="1468" w:bottom="1673" w:left="1526" w:header="1428" w:footer="1277" w:gutter="0"/>
          <w:cols w:equalWidth="0" w:num="2">
            <w:col w:w="4542" w:space="100"/>
            <w:col w:w="4270" w:space="0"/>
          </w:cols>
        </w:sectPr>
        <w:rPr/>
      </w:pPr>
    </w:p>
    <w:p>
      <w:pPr>
        <w:ind w:left="2616"/>
        <w:spacing w:before="216" w:line="198" w:lineRule="auto"/>
        <w:rPr>
          <w:rFonts w:ascii="Microsoft YaHei" w:hAnsi="Microsoft YaHei" w:eastAsia="Microsoft YaHei" w:cs="Microsoft YaHei"/>
          <w:sz w:val="20"/>
          <w:szCs w:val="20"/>
        </w:rPr>
      </w:pPr>
      <w:r>
        <w:drawing>
          <wp:anchor distT="0" distB="0" distL="0" distR="0" simplePos="0" relativeHeight="251828224" behindDoc="0" locked="0" layoutInCell="1" allowOverlap="1">
            <wp:simplePos x="0" y="0"/>
            <wp:positionH relativeFrom="column">
              <wp:posOffset>39242</wp:posOffset>
            </wp:positionH>
            <wp:positionV relativeFrom="paragraph">
              <wp:posOffset>-4759045</wp:posOffset>
            </wp:positionV>
            <wp:extent cx="5579745" cy="7619"/>
            <wp:effectExtent l="0" t="0" r="0" b="0"/>
            <wp:wrapNone/>
            <wp:docPr id="504" name="IM 504"/>
            <wp:cNvGraphicFramePr/>
            <a:graphic>
              <a:graphicData uri="http://schemas.openxmlformats.org/drawingml/2006/picture">
                <pic:pic>
                  <pic:nvPicPr>
                    <pic:cNvPr id="504" name="IM 504"/>
                    <pic:cNvPicPr/>
                  </pic:nvPicPr>
                  <pic:blipFill>
                    <a:blip r:embed="rId254"/>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6"/>
        </w:rPr>
        <w:t>专栏 16</w:t>
      </w:r>
      <w:r>
        <w:rPr>
          <w:rFonts w:ascii="Microsoft YaHei" w:hAnsi="Microsoft YaHei" w:eastAsia="Microsoft YaHei" w:cs="Microsoft YaHei"/>
          <w:sz w:val="20"/>
          <w:szCs w:val="20"/>
          <w:spacing w:val="16"/>
          <w:w w:val="101"/>
        </w:rPr>
        <w:t xml:space="preserve">   </w:t>
      </w:r>
      <w:r>
        <w:rPr>
          <w:rFonts w:ascii="Microsoft YaHei" w:hAnsi="Microsoft YaHei" w:eastAsia="Microsoft YaHei" w:cs="Microsoft YaHei"/>
          <w:sz w:val="20"/>
          <w:szCs w:val="20"/>
          <w:spacing w:val="6"/>
        </w:rPr>
        <w:t>新型智能信息网重点项目工程</w:t>
      </w:r>
    </w:p>
    <w:tbl>
      <w:tblPr>
        <w:tblStyle w:val="TableNormal"/>
        <w:tblW w:w="8848" w:type="dxa"/>
        <w:tblInd w:w="2" w:type="dxa"/>
        <w:tblLayout w:type="fixed"/>
        <w:tblBorders>
          <w:left w:val="single" w:color="000000" w:sz="2" w:space="0"/>
          <w:bottom w:val="single" w:color="000000" w:sz="2" w:space="0"/>
          <w:right w:val="single" w:color="000000" w:sz="2" w:space="0"/>
          <w:top w:val="single" w:color="000000" w:sz="2" w:space="0"/>
        </w:tblBorders>
      </w:tblPr>
      <w:tblGrid>
        <w:gridCol w:w="8848"/>
      </w:tblGrid>
      <w:tr>
        <w:trPr>
          <w:trHeight w:val="5048" w:hRule="atLeast"/>
        </w:trPr>
        <w:tc>
          <w:tcPr>
            <w:tcW w:w="8848" w:type="dxa"/>
            <w:vAlign w:val="top"/>
          </w:tcPr>
          <w:p>
            <w:pPr>
              <w:pStyle w:val="TableText"/>
              <w:ind w:left="108" w:right="97" w:firstLine="438"/>
              <w:spacing w:before="76" w:line="273" w:lineRule="auto"/>
              <w:rPr/>
            </w:pPr>
            <w:r>
              <w:rPr>
                <w:b/>
                <w:bCs/>
                <w:spacing w:val="-2"/>
              </w:rPr>
              <w:t>1.通信基础设施建设：</w:t>
            </w:r>
            <w:r>
              <w:rPr>
                <w:spacing w:val="-2"/>
              </w:rPr>
              <w:t>新建5G光纤管道230公里，新建光纤杆路10000公里，新建5G汇聚节点机房34个；建</w:t>
            </w:r>
            <w:r>
              <w:rPr/>
              <w:t>设5G基站3552个，其中新建1775个，改造存量基站1777个，到2025年实现全市5G网络连续覆盖</w:t>
            </w:r>
            <w:r>
              <w:rPr>
                <w:spacing w:val="-1"/>
              </w:rPr>
              <w:t>；建设窄带物联</w:t>
            </w:r>
            <w:r>
              <w:rPr>
                <w:spacing w:val="5"/>
              </w:rPr>
              <w:t>网</w:t>
            </w:r>
            <w:r>
              <w:rPr/>
              <w:t>NB</w:t>
            </w:r>
            <w:r>
              <w:rPr>
                <w:spacing w:val="5"/>
              </w:rPr>
              <w:t>-</w:t>
            </w:r>
            <w:r>
              <w:rPr/>
              <w:t>IOT</w:t>
            </w:r>
            <w:r>
              <w:rPr>
                <w:spacing w:val="5"/>
              </w:rPr>
              <w:t>网络基站3000个，实现</w:t>
            </w:r>
            <w:r>
              <w:rPr/>
              <w:t>NB</w:t>
            </w:r>
            <w:r>
              <w:rPr>
                <w:spacing w:val="5"/>
              </w:rPr>
              <w:t>-</w:t>
            </w:r>
            <w:r>
              <w:rPr/>
              <w:t>IOT</w:t>
            </w:r>
            <w:r>
              <w:rPr>
                <w:spacing w:val="5"/>
              </w:rPr>
              <w:t>网络全市覆盖。</w:t>
            </w:r>
          </w:p>
          <w:p>
            <w:pPr>
              <w:pStyle w:val="TableText"/>
              <w:ind w:left="112" w:right="95" w:firstLine="420"/>
              <w:spacing w:before="40" w:line="266" w:lineRule="auto"/>
              <w:rPr/>
            </w:pPr>
            <w:r>
              <w:rPr>
                <w:b/>
                <w:bCs/>
                <w:spacing w:val="-3"/>
              </w:rPr>
              <w:t>2.新型互联网（IPv6）建设：</w:t>
            </w:r>
            <w:r>
              <w:rPr>
                <w:spacing w:val="-3"/>
              </w:rPr>
              <w:t>加快对固定</w:t>
            </w:r>
            <w:r>
              <w:rPr>
                <w:spacing w:val="-4"/>
              </w:rPr>
              <w:t>宽带智能网关更新升级，提高固网 IPv6渗透率，完善网络管理和</w:t>
            </w:r>
            <w:r>
              <w:rPr>
                <w:spacing w:val="-3"/>
              </w:rPr>
              <w:t>支撑服务系统IPv6改造，提升IPv6网络接入能力。</w:t>
            </w:r>
          </w:p>
          <w:p>
            <w:pPr>
              <w:pStyle w:val="TableText"/>
              <w:ind w:left="114" w:right="97" w:firstLine="421"/>
              <w:spacing w:before="41" w:line="252" w:lineRule="auto"/>
              <w:rPr/>
            </w:pPr>
            <w:r>
              <w:rPr>
                <w:b/>
                <w:bCs/>
                <w:spacing w:val="-2"/>
              </w:rPr>
              <w:t>3.公共管理大数据中心项目：</w:t>
            </w:r>
            <w:r>
              <w:rPr>
                <w:spacing w:val="-2"/>
              </w:rPr>
              <w:t>建立大数据采集挖掘平台，建设共性业务支持体系、信息安全保障</w:t>
            </w:r>
            <w:r>
              <w:rPr>
                <w:spacing w:val="-3"/>
              </w:rPr>
              <w:t>平台，实</w:t>
            </w:r>
            <w:r>
              <w:rPr>
                <w:spacing w:val="-1"/>
              </w:rPr>
              <w:t>现以云计算中心为核心的信息化基础支撑。</w:t>
            </w:r>
          </w:p>
          <w:p>
            <w:pPr>
              <w:pStyle w:val="TableText"/>
              <w:ind w:left="112" w:right="107" w:firstLine="417"/>
              <w:spacing w:before="65" w:line="264" w:lineRule="auto"/>
              <w:rPr/>
            </w:pPr>
            <w:r>
              <w:rPr>
                <w:b/>
                <w:bCs/>
                <w:spacing w:val="-2"/>
              </w:rPr>
              <w:t>4.固原市华为云综合服务项目：</w:t>
            </w:r>
            <w:r>
              <w:rPr>
                <w:spacing w:val="-2"/>
              </w:rPr>
              <w:t>立足互联网，依托华为公司的计算研发实力，面向</w:t>
            </w:r>
            <w:r>
              <w:rPr>
                <w:spacing w:val="-3"/>
              </w:rPr>
              <w:t>互联网增值服务运营商</w:t>
            </w:r>
            <w:r>
              <w:rPr/>
              <w:t xml:space="preserve"> </w:t>
            </w:r>
            <w:r>
              <w:rPr>
                <w:spacing w:val="-1"/>
              </w:rPr>
              <w:t>、企事业、政府、科研院所的云主机、云托管、区域云存储、视</w:t>
            </w:r>
            <w:r>
              <w:rPr>
                <w:spacing w:val="-2"/>
              </w:rPr>
              <w:t>频托管、企业</w:t>
            </w:r>
            <w:r>
              <w:rPr>
                <w:spacing w:val="-38"/>
              </w:rPr>
              <w:t xml:space="preserve"> </w:t>
            </w:r>
            <w:r>
              <w:rPr>
                <w:spacing w:val="-2"/>
              </w:rPr>
              <w:t>IT、云会议、云电脑等特色大数</w:t>
            </w:r>
            <w:r>
              <w:rPr>
                <w:spacing w:val="-2"/>
              </w:rPr>
              <w:t>据服务。</w:t>
            </w:r>
          </w:p>
          <w:p>
            <w:pPr>
              <w:pStyle w:val="TableText"/>
              <w:ind w:left="111" w:right="74" w:firstLine="421"/>
              <w:spacing w:before="69" w:line="274" w:lineRule="auto"/>
              <w:rPr/>
            </w:pPr>
            <w:r>
              <w:rPr>
                <w:b/>
                <w:bCs/>
                <w:spacing w:val="-2"/>
              </w:rPr>
              <w:t>5.固原市地理标志畜牧业可溯源信息系统建设：</w:t>
            </w:r>
            <w:r>
              <w:rPr>
                <w:spacing w:val="-2"/>
              </w:rPr>
              <w:t>搭建固原市地理标志农产品可溯源信息系统，用以连接、</w:t>
            </w:r>
            <w:r>
              <w:rPr/>
              <w:t>记录和采集畜牧产品、农产品在生产、检验、监管、流通和消费各个环节数</w:t>
            </w:r>
            <w:r>
              <w:rPr>
                <w:spacing w:val="-1"/>
              </w:rPr>
              <w:t>据，并向社会公开畜牧产品与农产</w:t>
            </w:r>
            <w:r>
              <w:rPr/>
              <w:t>品生产、检验、流通信息，提高消费者食品安全信任的</w:t>
            </w:r>
            <w:r>
              <w:rPr>
                <w:spacing w:val="-1"/>
              </w:rPr>
              <w:t>信息系统。</w:t>
            </w:r>
          </w:p>
          <w:p>
            <w:pPr>
              <w:pStyle w:val="TableText"/>
              <w:ind w:left="111" w:right="90" w:firstLine="421"/>
              <w:spacing w:before="38" w:line="264" w:lineRule="auto"/>
              <w:rPr/>
            </w:pPr>
            <w:r>
              <w:rPr>
                <w:b/>
                <w:bCs/>
                <w:spacing w:val="-13"/>
              </w:rPr>
              <w:t>6.“一部手机游固原”建设项目：</w:t>
            </w:r>
            <w:r>
              <w:rPr>
                <w:spacing w:val="-13"/>
              </w:rPr>
              <w:t>固原市“智慧旅游”公共服务平台建设，建设固原市智慧旅游公共服务平台，</w:t>
            </w:r>
            <w:r>
              <w:rPr>
                <w:spacing w:val="-17"/>
              </w:rPr>
              <w:t>实现智慧决策、安全生产、游客投诉等舆情监管与分析、旅游数据分析等；通过固原全域游子平台，实现旅游网络、旅游</w:t>
            </w:r>
            <w:r>
              <w:rPr>
                <w:spacing w:val="-13"/>
              </w:rPr>
              <w:t>信息查询等。</w:t>
            </w:r>
          </w:p>
          <w:p>
            <w:pPr>
              <w:pStyle w:val="TableText"/>
              <w:ind w:left="112" w:right="95" w:firstLine="419"/>
              <w:spacing w:before="66" w:line="249" w:lineRule="auto"/>
              <w:rPr/>
            </w:pPr>
            <w:r>
              <w:rPr>
                <w:b/>
                <w:bCs/>
                <w:spacing w:val="-2"/>
              </w:rPr>
              <w:t>7.城乡公交“一码通”智能平台：</w:t>
            </w:r>
            <w:r>
              <w:rPr>
                <w:spacing w:val="-2"/>
              </w:rPr>
              <w:t>城乡公交全部安装智能监控、视频录像、语音播报、多种支付系统等应</w:t>
            </w:r>
            <w:r>
              <w:rPr>
                <w:spacing w:val="-1"/>
              </w:rPr>
              <w:t>用功能，实现微信小程序、支付宝二维码扫码搭车。</w:t>
            </w:r>
          </w:p>
        </w:tc>
      </w:tr>
    </w:tbl>
    <w:p>
      <w:pPr>
        <w:spacing w:line="14" w:lineRule="auto"/>
        <w:rPr>
          <w:rFonts w:ascii="Arial"/>
          <w:sz w:val="2"/>
        </w:rPr>
      </w:pPr>
      <w:r/>
    </w:p>
    <w:p>
      <w:pPr>
        <w:spacing w:line="14" w:lineRule="auto"/>
        <w:sectPr>
          <w:type w:val="continuous"/>
          <w:pgSz w:w="11906" w:h="16839"/>
          <w:pgMar w:top="1793" w:right="1468" w:bottom="1673" w:left="1526" w:header="1428" w:footer="1277" w:gutter="0"/>
          <w:cols w:equalWidth="0" w:num="1">
            <w:col w:w="8912" w:space="0"/>
          </w:cols>
        </w:sectPr>
        <w:rPr>
          <w:rFonts w:ascii="Arial" w:hAnsi="Arial" w:eastAsia="Arial" w:cs="Arial"/>
          <w:sz w:val="2"/>
          <w:szCs w:val="2"/>
        </w:rPr>
      </w:pPr>
    </w:p>
    <w:p>
      <w:pPr>
        <w:spacing w:before="34"/>
        <w:rPr/>
      </w:pPr>
      <w:r>
        <w:drawing>
          <wp:anchor distT="0" distB="0" distL="0" distR="0" simplePos="0" relativeHeight="251830272"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508" name="IM 508"/>
            <wp:cNvGraphicFramePr/>
            <a:graphic>
              <a:graphicData uri="http://schemas.openxmlformats.org/drawingml/2006/picture">
                <pic:pic>
                  <pic:nvPicPr>
                    <pic:cNvPr id="508" name="IM 508"/>
                    <pic:cNvPicPr/>
                  </pic:nvPicPr>
                  <pic:blipFill>
                    <a:blip r:embed="rId256"/>
                    <a:stretch>
                      <a:fillRect/>
                    </a:stretch>
                  </pic:blipFill>
                  <pic:spPr>
                    <a:xfrm rot="0">
                      <a:off x="0" y="0"/>
                      <a:ext cx="5579745" cy="7619"/>
                    </a:xfrm>
                    <a:prstGeom prst="rect">
                      <a:avLst/>
                    </a:prstGeom>
                  </pic:spPr>
                </pic:pic>
              </a:graphicData>
            </a:graphic>
          </wp:anchor>
        </w:drawing>
      </w:r>
      <w:r/>
    </w:p>
    <w:p>
      <w:pPr>
        <w:sectPr>
          <w:headerReference w:type="default" r:id="rId167"/>
          <w:footerReference w:type="default" r:id="rId255"/>
          <w:pgSz w:w="11906" w:h="16839"/>
          <w:pgMar w:top="1793" w:right="1509" w:bottom="1570" w:left="1579" w:header="1428" w:footer="1172" w:gutter="0"/>
          <w:cols w:equalWidth="0" w:num="1">
            <w:col w:w="8817" w:space="0"/>
          </w:cols>
        </w:sectPr>
        <w:rPr/>
      </w:pPr>
    </w:p>
    <w:p>
      <w:pPr>
        <w:ind w:left="519"/>
        <w:spacing w:before="47" w:line="183"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第九章</w:t>
      </w:r>
      <w:r>
        <w:rPr>
          <w:rFonts w:ascii="Microsoft YaHei" w:hAnsi="Microsoft YaHei" w:eastAsia="Microsoft YaHei" w:cs="Microsoft YaHei"/>
          <w:sz w:val="20"/>
          <w:szCs w:val="20"/>
          <w:spacing w:val="15"/>
          <w:w w:val="101"/>
        </w:rPr>
        <w:t xml:space="preserve">   </w:t>
      </w:r>
      <w:r>
        <w:rPr>
          <w:rFonts w:ascii="Microsoft YaHei" w:hAnsi="Microsoft YaHei" w:eastAsia="Microsoft YaHei" w:cs="Microsoft YaHei"/>
          <w:sz w:val="20"/>
          <w:szCs w:val="20"/>
          <w:spacing w:val="8"/>
        </w:rPr>
        <w:t>繁荣文化事业和文化产业</w:t>
      </w:r>
    </w:p>
    <w:p>
      <w:pPr>
        <w:ind w:left="1252"/>
        <w:spacing w:before="119" w:line="179"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加强文化强市建设</w:t>
      </w:r>
    </w:p>
    <w:p>
      <w:pPr>
        <w:spacing w:line="429" w:lineRule="auto"/>
        <w:rPr>
          <w:rFonts w:ascii="Arial"/>
          <w:sz w:val="21"/>
        </w:rPr>
      </w:pPr>
      <w:r/>
    </w:p>
    <w:p>
      <w:pPr>
        <w:pStyle w:val="BodyText"/>
        <w:ind w:left="434"/>
        <w:spacing w:before="65" w:line="223" w:lineRule="auto"/>
        <w:rPr/>
      </w:pPr>
      <w:r>
        <w:rPr>
          <w:spacing w:val="6"/>
        </w:rPr>
        <w:t>坚定文化自信，围绕举旗帜、聚民心、育</w:t>
      </w:r>
    </w:p>
    <w:p>
      <w:pPr>
        <w:pStyle w:val="BodyText"/>
        <w:ind w:left="11"/>
        <w:spacing w:before="140" w:line="223" w:lineRule="auto"/>
        <w:outlineLvl w:val="0"/>
        <w:rPr/>
      </w:pPr>
      <w:r>
        <w:rPr>
          <w:spacing w:val="7"/>
        </w:rPr>
        <w:t>新人、兴文化、展形象的使命任务，以培育和</w:t>
      </w:r>
    </w:p>
    <w:p>
      <w:pPr>
        <w:pStyle w:val="BodyText"/>
        <w:ind w:left="13" w:right="299"/>
        <w:spacing w:before="135" w:line="351" w:lineRule="auto"/>
        <w:jc w:val="both"/>
        <w:rPr/>
      </w:pPr>
      <w:r>
        <w:rPr>
          <w:spacing w:val="7"/>
        </w:rPr>
        <w:t>践行社会主义核心价值观为引领，以深化文化</w:t>
      </w:r>
      <w:r>
        <w:rPr>
          <w:spacing w:val="8"/>
        </w:rPr>
        <w:t>体制改革为动力，突出思想引领、全民参与、</w:t>
      </w:r>
      <w:r>
        <w:rPr>
          <w:spacing w:val="7"/>
        </w:rPr>
        <w:t>融合发展、注重继承、鼓励创新，激发文化创</w:t>
      </w:r>
      <w:r>
        <w:rPr>
          <w:spacing w:val="7"/>
        </w:rPr>
        <w:t>造活力，促进文化事业全面繁荣、文化产业快</w:t>
      </w:r>
      <w:r>
        <w:rPr>
          <w:spacing w:val="7"/>
        </w:rPr>
        <w:t>速发展、优秀传统文化传承弘扬、人的素质全</w:t>
      </w:r>
      <w:r>
        <w:rPr>
          <w:spacing w:val="6"/>
        </w:rPr>
        <w:t>面提升。</w:t>
      </w:r>
    </w:p>
    <w:p>
      <w:pPr>
        <w:spacing w:line="313" w:lineRule="auto"/>
        <w:rPr>
          <w:rFonts w:ascii="Arial"/>
          <w:sz w:val="21"/>
        </w:rPr>
      </w:pPr>
      <w:r/>
    </w:p>
    <w:p>
      <w:pPr>
        <w:pStyle w:val="BodyText"/>
        <w:ind w:left="616"/>
        <w:spacing w:before="65" w:line="220" w:lineRule="auto"/>
        <w:outlineLvl w:val="0"/>
        <w:rPr/>
      </w:pPr>
      <w:r>
        <w:rPr>
          <w:b/>
          <w:bCs/>
          <w:spacing w:val="7"/>
        </w:rPr>
        <w:t>第一节</w:t>
      </w:r>
      <w:r>
        <w:rPr>
          <w:spacing w:val="7"/>
        </w:rPr>
        <w:t xml:space="preserve">  </w:t>
      </w:r>
      <w:r>
        <w:rPr>
          <w:b/>
          <w:bCs/>
          <w:spacing w:val="7"/>
        </w:rPr>
        <w:t>持续提高社会文明程度</w:t>
      </w:r>
    </w:p>
    <w:p>
      <w:pPr>
        <w:spacing w:line="456" w:lineRule="auto"/>
        <w:rPr>
          <w:rFonts w:ascii="Arial"/>
          <w:sz w:val="21"/>
        </w:rPr>
      </w:pPr>
      <w:r/>
    </w:p>
    <w:p>
      <w:pPr>
        <w:pStyle w:val="BodyText"/>
        <w:ind w:left="14" w:right="322" w:firstLine="421"/>
        <w:spacing w:before="65" w:line="307" w:lineRule="auto"/>
        <w:outlineLvl w:val="0"/>
        <w:rPr/>
      </w:pPr>
      <w:r>
        <w:rPr>
          <w:spacing w:val="6"/>
        </w:rPr>
        <w:t>强化社会主义核心价值观的引领作用，推</w:t>
      </w:r>
      <w:r>
        <w:rPr>
          <w:spacing w:val="18"/>
        </w:rPr>
        <w:t>动形成适应新时代要求的思想观念、精神面</w:t>
      </w:r>
      <w:r>
        <w:rPr>
          <w:spacing w:val="8"/>
        </w:rPr>
        <w:t>貌、文明风尚、行为规范。</w:t>
      </w:r>
    </w:p>
    <w:p>
      <w:pPr>
        <w:pStyle w:val="BodyText"/>
        <w:ind w:left="435"/>
        <w:spacing w:before="140" w:line="223" w:lineRule="auto"/>
        <w:rPr/>
      </w:pPr>
      <w:r>
        <w:rPr>
          <w:spacing w:val="6"/>
        </w:rPr>
        <w:t>强化理想信念持续教育。坚持马克思主义</w:t>
      </w:r>
    </w:p>
    <w:p>
      <w:pPr>
        <w:pStyle w:val="BodyText"/>
        <w:ind w:left="14"/>
        <w:spacing w:before="140" w:line="222" w:lineRule="auto"/>
        <w:outlineLvl w:val="0"/>
        <w:rPr/>
      </w:pPr>
      <w:r>
        <w:rPr>
          <w:spacing w:val="7"/>
        </w:rPr>
        <w:t>在意识形态领域的指导地位，严格落实意识形</w:t>
      </w:r>
    </w:p>
    <w:p>
      <w:pPr>
        <w:pStyle w:val="BodyText"/>
        <w:ind w:left="13" w:right="315" w:firstLine="1"/>
        <w:spacing w:before="136" w:line="351" w:lineRule="auto"/>
        <w:jc w:val="both"/>
        <w:rPr/>
      </w:pPr>
      <w:r>
        <w:rPr>
          <w:spacing w:val="7"/>
        </w:rPr>
        <w:t>态工作责任制，强化阵地建设和管理。深化党</w:t>
      </w:r>
      <w:r>
        <w:rPr>
          <w:spacing w:val="7"/>
        </w:rPr>
        <w:t>的创新理论学习教育，推动学习贯彻习近平新</w:t>
      </w:r>
      <w:r>
        <w:rPr>
          <w:spacing w:val="7"/>
        </w:rPr>
        <w:t>时代中国特色社会主义思想走深走心走实。充</w:t>
      </w:r>
      <w:r>
        <w:rPr>
          <w:spacing w:val="7"/>
        </w:rPr>
        <w:t>分发挥红色资源优势，打造红色教育基地，加</w:t>
      </w:r>
      <w:r>
        <w:rPr>
          <w:spacing w:val="7"/>
        </w:rPr>
        <w:t>强党史、新中国史、改革开放史、社会主义发</w:t>
      </w:r>
      <w:r>
        <w:rPr>
          <w:spacing w:val="7"/>
        </w:rPr>
        <w:t>展史教育，开展“三苦”作风实践体验活动，</w:t>
      </w:r>
      <w:r>
        <w:rPr>
          <w:spacing w:val="7"/>
        </w:rPr>
        <w:t>加强爱国主义、集体主义、社会主义教育，推</w:t>
      </w:r>
      <w:r>
        <w:rPr>
          <w:spacing w:val="8"/>
        </w:rPr>
        <w:t>动理想信念教育常态化制度化。</w:t>
      </w:r>
    </w:p>
    <w:p>
      <w:pPr>
        <w:pStyle w:val="BodyText"/>
        <w:ind w:left="435"/>
        <w:spacing w:line="221" w:lineRule="auto"/>
        <w:rPr/>
      </w:pPr>
      <w:r>
        <w:rPr>
          <w:spacing w:val="6"/>
        </w:rPr>
        <w:t>强化核心价值观宣传教育。大力发展先进</w:t>
      </w:r>
    </w:p>
    <w:p>
      <w:pPr>
        <w:pStyle w:val="BodyText"/>
        <w:ind w:left="15"/>
        <w:spacing w:before="142" w:line="223" w:lineRule="auto"/>
        <w:outlineLvl w:val="0"/>
        <w:rPr/>
      </w:pPr>
      <w:r>
        <w:rPr>
          <w:spacing w:val="7"/>
        </w:rPr>
        <w:t>文化，创新传统文化，扶持通俗文化，倡导流</w:t>
      </w:r>
    </w:p>
    <w:p>
      <w:pPr>
        <w:pStyle w:val="BodyText"/>
        <w:ind w:left="12" w:right="322"/>
        <w:spacing w:before="139" w:line="324" w:lineRule="auto"/>
        <w:jc w:val="both"/>
        <w:rPr/>
      </w:pPr>
      <w:r>
        <w:rPr>
          <w:spacing w:val="7"/>
        </w:rPr>
        <w:t>行文化，抵制有害文化，培育健康向上的网络</w:t>
      </w:r>
      <w:r>
        <w:rPr>
          <w:spacing w:val="7"/>
        </w:rPr>
        <w:t>文化，不断净化社会风气。充分发挥党报、党</w:t>
      </w:r>
      <w:r>
        <w:rPr>
          <w:spacing w:val="7"/>
        </w:rPr>
        <w:t>刊、电台、电视台新闻网站的核心作用，深入</w:t>
      </w:r>
      <w:r>
        <w:rPr>
          <w:spacing w:val="7"/>
        </w:rPr>
        <w:t>开展社会主义核心价值观宣传教育活动。深化</w:t>
      </w:r>
      <w:r>
        <w:rPr>
          <w:spacing w:val="7"/>
        </w:rPr>
        <w:t>社会主义核心价值观推广普及，健全完善公益</w:t>
      </w:r>
    </w:p>
    <w:p>
      <w:pPr>
        <w:spacing w:line="14" w:lineRule="auto"/>
        <w:rPr>
          <w:rFonts w:ascii="Arial"/>
          <w:sz w:val="2"/>
        </w:rPr>
      </w:pPr>
      <w:r>
        <w:rPr>
          <w:rFonts w:ascii="Arial" w:hAnsi="Arial" w:eastAsia="Arial" w:cs="Arial"/>
          <w:sz w:val="2"/>
          <w:szCs w:val="2"/>
        </w:rPr>
        <w:br w:type="column"/>
      </w:r>
    </w:p>
    <w:p>
      <w:pPr>
        <w:pStyle w:val="BodyText"/>
        <w:ind w:left="7" w:firstLine="2"/>
        <w:spacing w:before="36" w:line="350" w:lineRule="auto"/>
        <w:jc w:val="both"/>
        <w:rPr/>
      </w:pPr>
      <w:r>
        <w:rPr>
          <w:spacing w:val="7"/>
        </w:rPr>
        <w:t>广告宣传领导体制和工作机制，构建全媒体有</w:t>
      </w:r>
      <w:r>
        <w:rPr>
          <w:spacing w:val="7"/>
        </w:rPr>
        <w:t>效宣传普及工作机制，创排一批传播核心价值</w:t>
      </w:r>
      <w:r>
        <w:rPr>
          <w:spacing w:val="7"/>
        </w:rPr>
        <w:t>观的固原文艺精品和民间文化作品。健全新闻</w:t>
      </w:r>
      <w:r>
        <w:rPr>
          <w:spacing w:val="7"/>
        </w:rPr>
        <w:t>发布和政策解读机制，完善应急报道和舆论引</w:t>
      </w:r>
      <w:r>
        <w:rPr>
          <w:spacing w:val="7"/>
        </w:rPr>
        <w:t>导机制。加强网络内容建设，巩固网络思想阵</w:t>
      </w:r>
      <w:r>
        <w:rPr>
          <w:spacing w:val="1"/>
        </w:rPr>
        <w:t>地。精心打造言论评论、对话访谈类品牌栏目、</w:t>
      </w:r>
      <w:r>
        <w:rPr>
          <w:spacing w:val="7"/>
        </w:rPr>
        <w:t>节目，建设高素质新闻评论员队伍。推进社科</w:t>
      </w:r>
      <w:r>
        <w:rPr>
          <w:spacing w:val="8"/>
        </w:rPr>
        <w:t>普及，培育地方特色智库。</w:t>
      </w:r>
    </w:p>
    <w:p>
      <w:pPr>
        <w:pStyle w:val="BodyText"/>
        <w:ind w:left="14" w:right="80" w:firstLine="416"/>
        <w:spacing w:before="10" w:line="287" w:lineRule="auto"/>
        <w:outlineLvl w:val="0"/>
        <w:rPr/>
      </w:pPr>
      <w:r>
        <w:rPr>
          <w:spacing w:val="6"/>
        </w:rPr>
        <w:t>强化道德风尚培育。以创建全国文明城市</w:t>
      </w:r>
      <w:r>
        <w:rPr>
          <w:spacing w:val="6"/>
        </w:rPr>
        <w:t>为契机，以长效机制引领文明城市、文明村镇</w:t>
      </w:r>
    </w:p>
    <w:p>
      <w:pPr>
        <w:pStyle w:val="BodyText"/>
        <w:ind w:firstLine="10"/>
        <w:spacing w:before="137" w:line="350" w:lineRule="auto"/>
        <w:jc w:val="both"/>
        <w:rPr/>
      </w:pPr>
      <w:r>
        <w:rPr>
          <w:spacing w:val="1"/>
        </w:rPr>
        <w:t>等常态化建设。广泛开展诚信教育、勤俭教育、</w:t>
      </w:r>
      <w:r>
        <w:rPr>
          <w:spacing w:val="7"/>
        </w:rPr>
        <w:t>孝道教育和礼仪教育，加强社会公德、职业道</w:t>
      </w:r>
      <w:r>
        <w:rPr>
          <w:spacing w:val="7"/>
        </w:rPr>
        <w:t>德、家庭美德、个人品德建设，提升群众综合</w:t>
      </w:r>
      <w:r>
        <w:rPr>
          <w:spacing w:val="7"/>
        </w:rPr>
        <w:t>素质。健全志愿服务机制，加强志愿服务社会</w:t>
      </w:r>
      <w:r>
        <w:rPr>
          <w:spacing w:val="10"/>
        </w:rPr>
        <w:t>化、阵地化、项目化、常态化、制度化建设。</w:t>
      </w:r>
      <w:r>
        <w:rPr>
          <w:spacing w:val="7"/>
        </w:rPr>
        <w:t>深入推进群众性精神文明创建活动，积极打造</w:t>
      </w:r>
      <w:r>
        <w:rPr>
          <w:spacing w:val="7"/>
        </w:rPr>
        <w:t>窗口行业、窗口单位优质服务品牌，培育良好</w:t>
      </w:r>
      <w:r>
        <w:rPr>
          <w:spacing w:val="7"/>
        </w:rPr>
        <w:t>的家风家教，培育勤劳节俭之风，开展文明餐</w:t>
      </w:r>
      <w:r>
        <w:rPr>
          <w:spacing w:val="7"/>
        </w:rPr>
        <w:t>桌活动。深入推进农村移风易俗，建立市、县</w:t>
      </w:r>
      <w:r>
        <w:rPr>
          <w:spacing w:val="8"/>
        </w:rPr>
        <w:t>（</w:t>
      </w:r>
      <w:r>
        <w:rPr>
          <w:spacing w:val="-44"/>
        </w:rPr>
        <w:t xml:space="preserve"> </w:t>
      </w:r>
      <w:r>
        <w:rPr>
          <w:spacing w:val="8"/>
        </w:rPr>
        <w:t>区）新时代文明实践中心实体化运行机制。</w:t>
      </w:r>
      <w:r>
        <w:rPr>
          <w:spacing w:val="7"/>
        </w:rPr>
        <w:t>全面落实禁烟行动，开展文明交通行动、公益</w:t>
      </w:r>
      <w:r>
        <w:rPr>
          <w:spacing w:val="11"/>
        </w:rPr>
        <w:t>活动，完善见义勇为认定、表彰、帮扶机制，</w:t>
      </w:r>
      <w:r>
        <w:rPr>
          <w:spacing w:val="9"/>
        </w:rPr>
        <w:t>进一步培育和提升群众文明素质。</w:t>
      </w:r>
    </w:p>
    <w:p>
      <w:pPr>
        <w:spacing w:line="325" w:lineRule="auto"/>
        <w:rPr>
          <w:rFonts w:ascii="Arial"/>
          <w:sz w:val="21"/>
        </w:rPr>
      </w:pPr>
      <w:r/>
    </w:p>
    <w:p>
      <w:pPr>
        <w:pStyle w:val="BodyText"/>
        <w:ind w:left="402"/>
        <w:spacing w:before="65" w:line="221" w:lineRule="auto"/>
        <w:outlineLvl w:val="0"/>
        <w:rPr/>
      </w:pPr>
      <w:r>
        <w:rPr>
          <w:b/>
          <w:bCs/>
          <w:spacing w:val="7"/>
        </w:rPr>
        <w:t>第二节</w:t>
      </w:r>
      <w:r>
        <w:rPr>
          <w:spacing w:val="7"/>
        </w:rPr>
        <w:t xml:space="preserve">  </w:t>
      </w:r>
      <w:r>
        <w:rPr>
          <w:b/>
          <w:bCs/>
          <w:spacing w:val="7"/>
        </w:rPr>
        <w:t>全面提升公共文化服务水平</w:t>
      </w:r>
    </w:p>
    <w:p>
      <w:pPr>
        <w:spacing w:line="454" w:lineRule="auto"/>
        <w:rPr>
          <w:rFonts w:ascii="Arial"/>
          <w:sz w:val="21"/>
        </w:rPr>
      </w:pPr>
      <w:r/>
    </w:p>
    <w:p>
      <w:pPr>
        <w:pStyle w:val="BodyText"/>
        <w:ind w:left="9" w:right="80" w:firstLine="419"/>
        <w:spacing w:before="65" w:line="308" w:lineRule="auto"/>
        <w:outlineLvl w:val="0"/>
        <w:rPr/>
      </w:pPr>
      <w:r>
        <w:rPr>
          <w:spacing w:val="6"/>
        </w:rPr>
        <w:t>优化公共文化资源配置，推进城乡公共文</w:t>
      </w:r>
      <w:r>
        <w:rPr>
          <w:spacing w:val="15"/>
        </w:rPr>
        <w:t>化服务体系一体建设</w:t>
      </w:r>
      <w:r>
        <w:rPr>
          <w:spacing w:val="-42"/>
        </w:rPr>
        <w:t xml:space="preserve"> </w:t>
      </w:r>
      <w:r>
        <w:rPr>
          <w:spacing w:val="15"/>
        </w:rPr>
        <w:t>，创新实施文化惠民工</w:t>
      </w:r>
      <w:r>
        <w:rPr>
          <w:spacing w:val="8"/>
        </w:rPr>
        <w:t>程，着力提升公共文化服务效能。</w:t>
      </w:r>
    </w:p>
    <w:p>
      <w:pPr>
        <w:pStyle w:val="BodyText"/>
        <w:ind w:left="9" w:right="80" w:firstLine="419"/>
        <w:spacing w:before="141" w:line="285" w:lineRule="auto"/>
        <w:outlineLvl w:val="0"/>
        <w:rPr/>
      </w:pPr>
      <w:r>
        <w:rPr>
          <w:spacing w:val="6"/>
        </w:rPr>
        <w:t>进一步完善公共文化设施。按照城乡人口</w:t>
      </w:r>
      <w:r>
        <w:rPr>
          <w:spacing w:val="7"/>
        </w:rPr>
        <w:t>分布，结合现有设施状况，合理规划建设公共</w:t>
      </w:r>
    </w:p>
    <w:p>
      <w:pPr>
        <w:pStyle w:val="BodyText"/>
        <w:ind w:left="7" w:right="80" w:firstLine="3"/>
        <w:spacing w:before="144" w:line="305" w:lineRule="auto"/>
        <w:jc w:val="both"/>
        <w:rPr/>
      </w:pPr>
      <w:r>
        <w:rPr>
          <w:spacing w:val="7"/>
        </w:rPr>
        <w:t>文化设施，形成以城市标志性公共文化设施为</w:t>
      </w:r>
      <w:r>
        <w:rPr>
          <w:spacing w:val="-3"/>
        </w:rPr>
        <w:t>龙头，特色城镇公共文化设施为纽带，乡村（社</w:t>
      </w:r>
      <w:r>
        <w:rPr>
          <w:spacing w:val="7"/>
        </w:rPr>
        <w:t>区）普及型公共文化设施为基础的公共文化设</w:t>
      </w:r>
    </w:p>
    <w:p>
      <w:pPr>
        <w:spacing w:line="305" w:lineRule="auto"/>
        <w:sectPr>
          <w:type w:val="continuous"/>
          <w:pgSz w:w="11906" w:h="16839"/>
          <w:pgMar w:top="1793" w:right="1509" w:bottom="1570" w:left="1579" w:header="1428" w:footer="1172" w:gutter="0"/>
          <w:cols w:equalWidth="0" w:num="2">
            <w:col w:w="4482" w:space="100"/>
            <w:col w:w="4235" w:space="0"/>
          </w:cols>
        </w:sectPr>
        <w:rPr/>
      </w:pPr>
    </w:p>
    <w:p>
      <w:pPr>
        <w:spacing w:before="27"/>
        <w:rPr/>
      </w:pPr>
      <w:r>
        <w:drawing>
          <wp:anchor distT="0" distB="0" distL="0" distR="0" simplePos="0" relativeHeight="251832320"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514" name="IM 514"/>
            <wp:cNvGraphicFramePr/>
            <a:graphic>
              <a:graphicData uri="http://schemas.openxmlformats.org/drawingml/2006/picture">
                <pic:pic>
                  <pic:nvPicPr>
                    <pic:cNvPr id="514" name="IM 514"/>
                    <pic:cNvPicPr/>
                  </pic:nvPicPr>
                  <pic:blipFill>
                    <a:blip r:embed="rId259"/>
                    <a:stretch>
                      <a:fillRect/>
                    </a:stretch>
                  </pic:blipFill>
                  <pic:spPr>
                    <a:xfrm rot="0">
                      <a:off x="0" y="0"/>
                      <a:ext cx="5579745" cy="7619"/>
                    </a:xfrm>
                    <a:prstGeom prst="rect">
                      <a:avLst/>
                    </a:prstGeom>
                  </pic:spPr>
                </pic:pic>
              </a:graphicData>
            </a:graphic>
          </wp:anchor>
        </w:drawing>
      </w:r>
      <w:r/>
    </w:p>
    <w:p>
      <w:pPr>
        <w:sectPr>
          <w:headerReference w:type="default" r:id="rId257"/>
          <w:footerReference w:type="default" r:id="rId258"/>
          <w:pgSz w:w="11906" w:h="16839"/>
          <w:pgMar w:top="1793" w:right="1385" w:bottom="1673" w:left="1565" w:header="1428" w:footer="1277" w:gutter="0"/>
          <w:cols w:equalWidth="0" w:num="1">
            <w:col w:w="8956" w:space="0"/>
          </w:cols>
        </w:sectPr>
        <w:rPr/>
      </w:pPr>
    </w:p>
    <w:p>
      <w:pPr>
        <w:pStyle w:val="BodyText"/>
        <w:ind w:left="27" w:right="265" w:hanging="1"/>
        <w:spacing w:before="47" w:line="350" w:lineRule="auto"/>
        <w:jc w:val="both"/>
        <w:rPr/>
      </w:pPr>
      <w:r>
        <w:rPr>
          <w:spacing w:val="7"/>
        </w:rPr>
        <w:t>施网络。构建四级公共文化服务设施体系，扩</w:t>
      </w:r>
      <w:r>
        <w:rPr>
          <w:spacing w:val="10"/>
        </w:rPr>
        <w:t>大文化设施服务覆盖面。实施文化惠民工程，</w:t>
      </w:r>
      <w:r>
        <w:rPr>
          <w:spacing w:val="7"/>
        </w:rPr>
        <w:t>加大文化艺术中心建设，实施市文化馆、图书</w:t>
      </w:r>
      <w:r>
        <w:rPr>
          <w:spacing w:val="7"/>
        </w:rPr>
        <w:t>馆装修布展工程，提升体育公共服务水平，加</w:t>
      </w:r>
      <w:r>
        <w:rPr>
          <w:spacing w:val="7"/>
        </w:rPr>
        <w:t>强体育场（馆）、健身活动中心、多功能运动</w:t>
      </w:r>
      <w:r>
        <w:rPr>
          <w:spacing w:val="7"/>
        </w:rPr>
        <w:t>场等公共体育设施建设，实施固原大剧院、音</w:t>
      </w:r>
      <w:r>
        <w:rPr>
          <w:spacing w:val="7"/>
        </w:rPr>
        <w:t>乐厅、科技体验中心、非遗展示馆等工程，推</w:t>
      </w:r>
      <w:r>
        <w:rPr>
          <w:spacing w:val="7"/>
        </w:rPr>
        <w:t>进各县区文化“三馆”、乡镇（街道）综合文</w:t>
      </w:r>
      <w:r>
        <w:rPr/>
        <w:t>化站、村（社区）文化服务中心新建提升改造，</w:t>
      </w:r>
      <w:r>
        <w:rPr>
          <w:spacing w:val="7"/>
        </w:rPr>
        <w:t>提高综合利用率，加强对文化大院的常态化扶</w:t>
      </w:r>
      <w:r>
        <w:rPr>
          <w:spacing w:val="7"/>
        </w:rPr>
        <w:t>持和培育力度，广泛开展群众性文化活动，加</w:t>
      </w:r>
      <w:r>
        <w:rPr>
          <w:spacing w:val="7"/>
        </w:rPr>
        <w:t>快公共文化设施建设步伐。推动公共文化数字</w:t>
      </w:r>
      <w:r>
        <w:rPr>
          <w:spacing w:val="10"/>
        </w:rPr>
        <w:t>化建设，建设固原市公共文化旅游服务平台、</w:t>
      </w:r>
      <w:r>
        <w:rPr>
          <w:spacing w:val="4"/>
        </w:rPr>
        <w:t>县（</w:t>
      </w:r>
      <w:r>
        <w:rPr>
          <w:spacing w:val="-36"/>
        </w:rPr>
        <w:t xml:space="preserve"> </w:t>
      </w:r>
      <w:r>
        <w:rPr>
          <w:spacing w:val="4"/>
        </w:rPr>
        <w:t>区）公共文化机构数字化应用服务平台和</w:t>
      </w:r>
      <w:r>
        <w:rPr>
          <w:spacing w:val="7"/>
        </w:rPr>
        <w:t>乡村数字化文化场馆，形成覆盖城乡的数字文</w:t>
      </w:r>
      <w:r>
        <w:rPr>
          <w:spacing w:val="7"/>
        </w:rPr>
        <w:t>化服务体系。</w:t>
      </w:r>
    </w:p>
    <w:p>
      <w:pPr>
        <w:pStyle w:val="BodyText"/>
        <w:ind w:left="449"/>
        <w:spacing w:before="15" w:line="222" w:lineRule="auto"/>
        <w:rPr/>
      </w:pPr>
      <w:r>
        <w:rPr>
          <w:spacing w:val="6"/>
        </w:rPr>
        <w:t>统筹推进公共文化服务均衡发展。建立健</w:t>
      </w:r>
    </w:p>
    <w:p>
      <w:pPr>
        <w:pStyle w:val="BodyText"/>
        <w:ind w:left="28"/>
        <w:spacing w:before="141" w:line="221" w:lineRule="auto"/>
        <w:outlineLvl w:val="0"/>
        <w:rPr/>
      </w:pPr>
      <w:r>
        <w:rPr>
          <w:spacing w:val="7"/>
        </w:rPr>
        <w:t>全公共文化服务统筹协调机制，坚持公共文化</w:t>
      </w:r>
    </w:p>
    <w:p>
      <w:pPr>
        <w:pStyle w:val="BodyText"/>
        <w:ind w:left="27" w:right="265" w:firstLine="5"/>
        <w:spacing w:before="143" w:line="350" w:lineRule="auto"/>
        <w:jc w:val="both"/>
        <w:rPr/>
      </w:pPr>
      <w:r>
        <w:rPr>
          <w:spacing w:val="10"/>
        </w:rPr>
        <w:t>资源向基层倾斜，推动基本公共服务均等化。</w:t>
      </w:r>
      <w:r>
        <w:rPr>
          <w:spacing w:val="10"/>
        </w:rPr>
        <w:t>加强行政村（社区）综合文化服务中心建设，</w:t>
      </w:r>
      <w:r>
        <w:rPr>
          <w:spacing w:val="4"/>
        </w:rPr>
        <w:t>打造“社区</w:t>
      </w:r>
      <w:r>
        <w:rPr>
          <w:spacing w:val="-15"/>
        </w:rPr>
        <w:t xml:space="preserve"> </w:t>
      </w:r>
      <w:r>
        <w:rPr>
          <w:spacing w:val="4"/>
        </w:rPr>
        <w:t>15</w:t>
      </w:r>
      <w:r>
        <w:rPr>
          <w:spacing w:val="-40"/>
        </w:rPr>
        <w:t xml:space="preserve"> </w:t>
      </w:r>
      <w:r>
        <w:rPr>
          <w:spacing w:val="4"/>
        </w:rPr>
        <w:t>分钟文化圈”和“农村</w:t>
      </w:r>
      <w:r>
        <w:rPr>
          <w:spacing w:val="-39"/>
        </w:rPr>
        <w:t xml:space="preserve"> </w:t>
      </w:r>
      <w:r>
        <w:rPr>
          <w:spacing w:val="4"/>
        </w:rPr>
        <w:t>30</w:t>
      </w:r>
      <w:r>
        <w:rPr>
          <w:spacing w:val="-43"/>
        </w:rPr>
        <w:t xml:space="preserve"> </w:t>
      </w:r>
      <w:r>
        <w:rPr>
          <w:spacing w:val="4"/>
        </w:rPr>
        <w:t>分钟</w:t>
      </w:r>
      <w:r>
        <w:rPr>
          <w:spacing w:val="7"/>
        </w:rPr>
        <w:t>文化圈”。创新公共文化服务模式，大力实施</w:t>
      </w:r>
      <w:r>
        <w:rPr>
          <w:spacing w:val="7"/>
        </w:rPr>
        <w:t>城市文化形象提升、固原文化人才等工程。加</w:t>
      </w:r>
      <w:r>
        <w:rPr/>
        <w:t>大文化“五送”惠民力度，“送”“种”结合，</w:t>
      </w:r>
      <w:r>
        <w:rPr>
          <w:spacing w:val="7"/>
        </w:rPr>
        <w:t>加强乡土文化培育。推进博物馆、文化馆、公</w:t>
      </w:r>
      <w:r>
        <w:rPr>
          <w:spacing w:val="7"/>
        </w:rPr>
        <w:t>共图书馆等公益性场馆设施免费开放。推进网</w:t>
      </w:r>
      <w:r>
        <w:rPr>
          <w:spacing w:val="7"/>
        </w:rPr>
        <w:t>络图书馆、网络博物馆、网络剧场、群众文化</w:t>
      </w:r>
      <w:r>
        <w:rPr>
          <w:spacing w:val="7"/>
        </w:rPr>
        <w:t>活动远程指导网建设，实现数字公共文化服务</w:t>
      </w:r>
      <w:r>
        <w:rPr>
          <w:spacing w:val="7"/>
        </w:rPr>
        <w:t>互联互通、共建共享。广泛开展各类群众性体</w:t>
      </w:r>
      <w:r>
        <w:rPr>
          <w:spacing w:val="7"/>
        </w:rPr>
        <w:t>育、竞技体育活动，发展和壮大体育产业，构</w:t>
      </w:r>
      <w:r>
        <w:rPr>
          <w:spacing w:val="9"/>
        </w:rPr>
        <w:t>建更高水平的全民健身公共服务体系。</w:t>
      </w:r>
    </w:p>
    <w:p>
      <w:pPr>
        <w:pStyle w:val="BodyText"/>
        <w:ind w:left="446"/>
        <w:spacing w:before="31" w:line="222" w:lineRule="auto"/>
        <w:rPr/>
      </w:pPr>
      <w:r>
        <w:rPr>
          <w:spacing w:val="7"/>
        </w:rPr>
        <w:t>保护传承优秀传统文化。实施文物保护利</w:t>
      </w:r>
    </w:p>
    <w:p>
      <w:pPr>
        <w:pStyle w:val="BodyText"/>
        <w:ind w:left="28"/>
        <w:spacing w:before="164" w:line="277" w:lineRule="exact"/>
        <w:outlineLvl w:val="0"/>
        <w:rPr/>
      </w:pPr>
      <w:r>
        <w:rPr>
          <w:spacing w:val="2"/>
          <w:position w:val="1"/>
        </w:rPr>
        <w:t>用、黄河文化传承创新等工程，加强对古遗</w:t>
      </w:r>
      <w:r>
        <w:rPr>
          <w:spacing w:val="1"/>
          <w:position w:val="1"/>
        </w:rPr>
        <w:t>址、</w:t>
      </w:r>
    </w:p>
    <w:p>
      <w:pPr>
        <w:pStyle w:val="BodyText"/>
        <w:ind w:left="27"/>
        <w:spacing w:before="135" w:line="223" w:lineRule="auto"/>
        <w:rPr/>
      </w:pPr>
      <w:r>
        <w:rPr>
          <w:spacing w:val="7"/>
        </w:rPr>
        <w:t>古建筑、近现代历史建筑、地名文化遗产的保</w:t>
      </w:r>
    </w:p>
    <w:p>
      <w:pPr>
        <w:spacing w:line="14" w:lineRule="auto"/>
        <w:rPr>
          <w:rFonts w:ascii="Arial"/>
          <w:sz w:val="2"/>
        </w:rPr>
      </w:pPr>
      <w:r>
        <w:rPr>
          <w:rFonts w:ascii="Arial" w:hAnsi="Arial" w:eastAsia="Arial" w:cs="Arial"/>
          <w:sz w:val="2"/>
          <w:szCs w:val="2"/>
        </w:rPr>
        <w:br w:type="column"/>
      </w:r>
    </w:p>
    <w:p>
      <w:pPr>
        <w:pStyle w:val="BodyText"/>
        <w:ind w:left="2" w:right="198" w:firstLine="3"/>
        <w:spacing w:before="67" w:line="360" w:lineRule="auto"/>
        <w:rPr/>
      </w:pPr>
      <w:r>
        <w:rPr>
          <w:spacing w:val="4"/>
        </w:rPr>
        <w:t>护，继续开展“丝绸之路”（</w:t>
      </w:r>
      <w:r>
        <w:rPr>
          <w:spacing w:val="-37"/>
        </w:rPr>
        <w:t xml:space="preserve"> </w:t>
      </w:r>
      <w:r>
        <w:rPr>
          <w:spacing w:val="4"/>
        </w:rPr>
        <w:t>固原段）世界文</w:t>
      </w:r>
      <w:r>
        <w:rPr>
          <w:spacing w:val="7"/>
        </w:rPr>
        <w:t>化遗产申报。建设固原市长征国家文化公园，</w:t>
      </w:r>
    </w:p>
    <w:p>
      <w:pPr>
        <w:pStyle w:val="BodyText"/>
        <w:ind w:firstLine="7"/>
        <w:spacing w:before="40" w:line="378" w:lineRule="auto"/>
        <w:rPr/>
      </w:pPr>
      <w:r>
        <w:rPr>
          <w:spacing w:val="6"/>
        </w:rPr>
        <w:t>打造固原长城国家文化公园，建设国家级非遗 </w:t>
      </w:r>
      <w:r>
        <w:rPr>
          <w:spacing w:val="7"/>
        </w:rPr>
        <w:t>展示馆，推进县级以上非遗项目、非遗传承基</w:t>
      </w:r>
      <w:r>
        <w:rPr>
          <w:spacing w:val="2"/>
        </w:rPr>
        <w:t xml:space="preserve"> </w:t>
      </w:r>
      <w:r>
        <w:rPr>
          <w:spacing w:val="10"/>
        </w:rPr>
        <w:t>地建设，挖掘非遗传承人。加强剪纸、刺绣、</w:t>
      </w:r>
      <w:r>
        <w:rPr>
          <w:spacing w:val="7"/>
        </w:rPr>
        <w:t>砖雕、泥塑等特色非物质文化遗产活化形态创</w:t>
      </w:r>
      <w:r>
        <w:rPr>
          <w:spacing w:val="2"/>
        </w:rPr>
        <w:t xml:space="preserve"> </w:t>
      </w:r>
      <w:r>
        <w:rPr>
          <w:spacing w:val="7"/>
        </w:rPr>
        <w:t>意设计，开发特色化、规模化、品牌化、个性</w:t>
      </w:r>
      <w:r>
        <w:rPr>
          <w:spacing w:val="2"/>
        </w:rPr>
        <w:t xml:space="preserve"> </w:t>
      </w:r>
      <w:r>
        <w:rPr>
          <w:spacing w:val="7"/>
        </w:rPr>
        <w:t>化、多样化的非遗产品，打造提升老巷子非遗</w:t>
      </w:r>
      <w:r>
        <w:rPr>
          <w:spacing w:val="2"/>
        </w:rPr>
        <w:t xml:space="preserve"> </w:t>
      </w:r>
      <w:r>
        <w:rPr>
          <w:spacing w:val="7"/>
        </w:rPr>
        <w:t>文化基地、新和村马社火非遗保护基地、魏氏</w:t>
      </w:r>
      <w:r>
        <w:rPr>
          <w:spacing w:val="2"/>
        </w:rPr>
        <w:t xml:space="preserve"> </w:t>
      </w:r>
      <w:r>
        <w:rPr>
          <w:spacing w:val="7"/>
        </w:rPr>
        <w:t>砖雕非遗保护基地、杨氏彩塑非遗基地等。扎</w:t>
      </w:r>
      <w:r>
        <w:rPr>
          <w:spacing w:val="2"/>
        </w:rPr>
        <w:t xml:space="preserve"> </w:t>
      </w:r>
      <w:r>
        <w:rPr>
          <w:spacing w:val="7"/>
        </w:rPr>
        <w:t>实做好戏曲传承普及，组织开展“戏曲进校园”</w:t>
      </w:r>
      <w:r>
        <w:rPr>
          <w:spacing w:val="4"/>
        </w:rPr>
        <w:t xml:space="preserve"> </w:t>
      </w:r>
      <w:r>
        <w:rPr>
          <w:spacing w:val="3"/>
        </w:rPr>
        <w:t>“戏曲进乡村”“戏曲进景区”展示展演活动，</w:t>
      </w:r>
      <w:r>
        <w:rPr>
          <w:spacing w:val="9"/>
        </w:rPr>
        <w:t>推动中华优秀传统文化保护传承。</w:t>
      </w:r>
    </w:p>
    <w:p>
      <w:pPr>
        <w:pStyle w:val="BodyText"/>
        <w:ind w:left="3" w:right="205" w:firstLine="424"/>
        <w:spacing w:before="5" w:line="302" w:lineRule="auto"/>
        <w:outlineLvl w:val="0"/>
        <w:rPr/>
      </w:pPr>
      <w:r>
        <w:rPr>
          <w:spacing w:val="6"/>
        </w:rPr>
        <w:t>丰富提升文化产品和服务。积极创建国家</w:t>
      </w:r>
      <w:r>
        <w:rPr>
          <w:spacing w:val="7"/>
        </w:rPr>
        <w:t>级和自治区级公共文化服务体系示范区、示范</w:t>
      </w:r>
    </w:p>
    <w:p>
      <w:pPr>
        <w:pStyle w:val="BodyText"/>
        <w:ind w:right="95"/>
        <w:spacing w:before="170" w:line="369" w:lineRule="auto"/>
        <w:rPr/>
      </w:pPr>
      <w:r>
        <w:rPr>
          <w:spacing w:val="7"/>
        </w:rPr>
        <w:t>项目。加强公共文化服务品牌建设，深化“六</w:t>
      </w:r>
      <w:r>
        <w:rPr>
          <w:spacing w:val="10"/>
        </w:rPr>
        <w:t>盘文化文艺名家”提升工程，围绕历史故事、</w:t>
      </w:r>
      <w:r>
        <w:rPr>
          <w:spacing w:val="11"/>
        </w:rPr>
        <w:t>现实题材、革命红色教育、地域特色文化等，</w:t>
      </w:r>
      <w:r>
        <w:rPr>
          <w:spacing w:val="11"/>
        </w:rPr>
        <w:t>挖掘提炼创作一批体现固原特质的文艺作品，</w:t>
      </w:r>
      <w:r>
        <w:rPr>
          <w:spacing w:val="7"/>
        </w:rPr>
        <w:t>出版一批品牌精品图书，拍摄一批特色影视作</w:t>
      </w:r>
      <w:r>
        <w:rPr>
          <w:spacing w:val="7"/>
        </w:rPr>
        <w:t>品，编排一批文艺精品节目文化产品，打造六</w:t>
      </w:r>
      <w:r>
        <w:rPr>
          <w:spacing w:val="7"/>
        </w:rPr>
        <w:t>盘山文化品牌。制定公共文化服务目录，开展</w:t>
      </w:r>
      <w:r>
        <w:rPr>
          <w:spacing w:val="7"/>
        </w:rPr>
        <w:t>“菜单式”“订单式”服务，提高公共文化产</w:t>
      </w:r>
      <w:r>
        <w:rPr>
          <w:spacing w:val="7"/>
        </w:rPr>
        <w:t>品质量，扩大公共文化活动影响力，繁荣群众</w:t>
      </w:r>
      <w:r>
        <w:rPr>
          <w:spacing w:val="7"/>
        </w:rPr>
        <w:t>文化活动。推进文艺活动进景区、进旅游集散</w:t>
      </w:r>
      <w:r>
        <w:rPr>
          <w:spacing w:val="11"/>
        </w:rPr>
        <w:t>中心，打磨提升《六盘山下花正红》舞台剧，</w:t>
      </w:r>
      <w:r>
        <w:rPr>
          <w:spacing w:val="7"/>
        </w:rPr>
        <w:t>打造六盘山红军长征景区、将台堡红军长征纪</w:t>
      </w:r>
      <w:r>
        <w:rPr>
          <w:spacing w:val="7"/>
        </w:rPr>
        <w:t>念园等实景剧或舞台剧，主题创作舞台艺术精</w:t>
      </w:r>
      <w:r>
        <w:rPr>
          <w:spacing w:val="7"/>
        </w:rPr>
        <w:t>品，讲好固原故事、传递固原声音。推进文艺</w:t>
      </w:r>
      <w:r>
        <w:rPr>
          <w:spacing w:val="6"/>
        </w:rPr>
        <w:t>创作基地建设，打造文学、诗歌、美术</w:t>
      </w:r>
      <w:r>
        <w:rPr>
          <w:spacing w:val="-28"/>
        </w:rPr>
        <w:t xml:space="preserve"> </w:t>
      </w:r>
      <w:r>
        <w:rPr>
          <w:spacing w:val="6"/>
        </w:rPr>
        <w:t>3</w:t>
      </w:r>
      <w:r>
        <w:rPr>
          <w:spacing w:val="-45"/>
        </w:rPr>
        <w:t xml:space="preserve"> </w:t>
      </w:r>
      <w:r>
        <w:rPr>
          <w:spacing w:val="6"/>
        </w:rPr>
        <w:t>个国</w:t>
      </w:r>
      <w:r>
        <w:rPr/>
        <w:t>家级创作基地，建设村史馆，市区及各县（</w:t>
      </w:r>
      <w:r>
        <w:rPr>
          <w:spacing w:val="-45"/>
        </w:rPr>
        <w:t xml:space="preserve"> </w:t>
      </w:r>
      <w:r>
        <w:rPr/>
        <w:t>区）</w:t>
      </w:r>
      <w:r>
        <w:rPr>
          <w:spacing w:val="9"/>
        </w:rPr>
        <w:t>着力打造彰显固原历史文化特色的品牌街区。</w:t>
      </w:r>
    </w:p>
    <w:p>
      <w:pPr>
        <w:spacing w:line="369" w:lineRule="auto"/>
        <w:sectPr>
          <w:type w:val="continuous"/>
          <w:pgSz w:w="11906" w:h="16839"/>
          <w:pgMar w:top="1793" w:right="1385" w:bottom="1673" w:left="1565" w:header="1428" w:footer="1277" w:gutter="0"/>
          <w:cols w:equalWidth="0" w:num="2">
            <w:col w:w="4504" w:space="100"/>
            <w:col w:w="4353" w:space="0"/>
          </w:cols>
        </w:sectPr>
        <w:rPr/>
      </w:pPr>
    </w:p>
    <w:p>
      <w:pPr>
        <w:spacing w:before="36"/>
        <w:rPr/>
      </w:pPr>
      <w:r/>
    </w:p>
    <w:p>
      <w:pPr>
        <w:sectPr>
          <w:headerReference w:type="default" r:id="rId191"/>
          <w:footerReference w:type="default" r:id="rId260"/>
          <w:pgSz w:w="11906" w:h="16839"/>
          <w:pgMar w:top="1793" w:right="1509" w:bottom="1570" w:left="1526" w:header="1428" w:footer="1172" w:gutter="0"/>
          <w:cols w:equalWidth="0" w:num="1">
            <w:col w:w="8870" w:space="0"/>
          </w:cols>
        </w:sectPr>
        <w:rPr/>
      </w:pPr>
    </w:p>
    <w:p>
      <w:pPr>
        <w:pStyle w:val="BodyText"/>
        <w:ind w:left="669"/>
        <w:spacing w:before="40" w:line="220" w:lineRule="auto"/>
        <w:outlineLvl w:val="0"/>
        <w:rPr/>
      </w:pPr>
      <w:r>
        <w:rPr>
          <w:b/>
          <w:bCs/>
          <w:spacing w:val="7"/>
        </w:rPr>
        <w:t>第三节</w:t>
      </w:r>
      <w:r>
        <w:rPr>
          <w:spacing w:val="7"/>
        </w:rPr>
        <w:t xml:space="preserve">  </w:t>
      </w:r>
      <w:r>
        <w:rPr>
          <w:b/>
          <w:bCs/>
          <w:spacing w:val="7"/>
        </w:rPr>
        <w:t>加快发展现代文化产业</w:t>
      </w:r>
    </w:p>
    <w:p>
      <w:pPr>
        <w:spacing w:line="455" w:lineRule="auto"/>
        <w:rPr>
          <w:rFonts w:ascii="Arial"/>
          <w:sz w:val="21"/>
        </w:rPr>
      </w:pPr>
      <w:r/>
    </w:p>
    <w:p>
      <w:pPr>
        <w:pStyle w:val="BodyText"/>
        <w:ind w:left="487"/>
        <w:spacing w:before="65" w:line="221" w:lineRule="auto"/>
        <w:rPr/>
      </w:pPr>
      <w:r>
        <w:rPr>
          <w:spacing w:val="6"/>
        </w:rPr>
        <w:t>坚持社会主义先进文化前进方向，发展文</w:t>
      </w:r>
    </w:p>
    <w:p>
      <w:pPr>
        <w:pStyle w:val="BodyText"/>
        <w:ind w:left="67"/>
        <w:spacing w:before="139" w:line="222" w:lineRule="auto"/>
        <w:outlineLvl w:val="0"/>
        <w:rPr/>
      </w:pPr>
      <w:r>
        <w:rPr>
          <w:spacing w:val="7"/>
        </w:rPr>
        <w:t>化产业、培育文化市场，加快文化产业数字化</w:t>
      </w:r>
    </w:p>
    <w:p>
      <w:pPr>
        <w:pStyle w:val="BodyText"/>
        <w:ind w:left="488" w:right="252" w:hanging="420"/>
        <w:spacing w:before="137" w:line="331" w:lineRule="auto"/>
        <w:rPr/>
      </w:pPr>
      <w:r>
        <w:rPr>
          <w:spacing w:val="1"/>
        </w:rPr>
        <w:t>发展，不断满足群众多样化、高品质文化需求。</w:t>
      </w:r>
      <w:r>
        <w:rPr>
          <w:spacing w:val="6"/>
        </w:rPr>
        <w:t>深化文化体制改革。坚持把社会效益放在</w:t>
      </w:r>
    </w:p>
    <w:p>
      <w:pPr>
        <w:pStyle w:val="BodyText"/>
        <w:ind w:left="68"/>
        <w:spacing w:before="44" w:line="222" w:lineRule="auto"/>
        <w:outlineLvl w:val="0"/>
        <w:rPr/>
      </w:pPr>
      <w:r>
        <w:rPr>
          <w:spacing w:val="7"/>
        </w:rPr>
        <w:t>首位、社会效益和经济效益相统一，顺应文化</w:t>
      </w:r>
    </w:p>
    <w:p>
      <w:pPr>
        <w:pStyle w:val="BodyText"/>
        <w:ind w:left="65" w:right="329" w:firstLine="8"/>
        <w:spacing w:before="142" w:line="350" w:lineRule="auto"/>
        <w:jc w:val="both"/>
        <w:rPr/>
      </w:pPr>
      <w:r>
        <w:rPr>
          <w:spacing w:val="6"/>
        </w:rPr>
        <w:t>消费提升转型升级新趋势，深化公益性文化事</w:t>
      </w:r>
      <w:r>
        <w:rPr>
          <w:spacing w:val="7"/>
        </w:rPr>
        <w:t>业单位改革，完善文化产业规划和政策，建立</w:t>
      </w:r>
      <w:r>
        <w:rPr>
          <w:spacing w:val="18"/>
        </w:rPr>
        <w:t>健全特色地方文化产业与景区旅游深度融合</w:t>
      </w:r>
      <w:r>
        <w:rPr>
          <w:spacing w:val="7"/>
        </w:rPr>
        <w:t>发展机制。推动公共文化服务社会化发展，发</w:t>
      </w:r>
      <w:r>
        <w:rPr>
          <w:spacing w:val="9"/>
        </w:rPr>
        <w:t>展文化非营利组织和文化志愿服务。</w:t>
      </w:r>
    </w:p>
    <w:p>
      <w:pPr>
        <w:pStyle w:val="BodyText"/>
        <w:ind w:left="487"/>
        <w:spacing w:before="1" w:line="221" w:lineRule="auto"/>
        <w:rPr/>
      </w:pPr>
      <w:r>
        <w:rPr>
          <w:spacing w:val="9"/>
        </w:rPr>
        <w:t>激发文化市场主体活力。加强规划布局、</w:t>
      </w:r>
    </w:p>
    <w:p>
      <w:pPr>
        <w:pStyle w:val="BodyText"/>
        <w:ind w:left="67"/>
        <w:spacing w:before="142" w:line="224" w:lineRule="auto"/>
        <w:outlineLvl w:val="0"/>
        <w:rPr/>
      </w:pPr>
      <w:r>
        <w:rPr>
          <w:spacing w:val="7"/>
        </w:rPr>
        <w:t>产业引领、政策扶持、平台建设，发挥国有及</w:t>
      </w:r>
    </w:p>
    <w:p>
      <w:pPr>
        <w:pStyle w:val="BodyText"/>
        <w:ind w:left="66" w:right="322"/>
        <w:spacing w:before="140" w:line="350" w:lineRule="auto"/>
        <w:jc w:val="both"/>
        <w:rPr/>
      </w:pPr>
      <w:r>
        <w:rPr>
          <w:spacing w:val="7"/>
        </w:rPr>
        <w:t>政府补助类文化企业的龙头作用，鼓励和引导</w:t>
      </w:r>
      <w:r>
        <w:rPr>
          <w:spacing w:val="7"/>
        </w:rPr>
        <w:t>各种非公有制文化企业健康发展，促进形成多</w:t>
      </w:r>
      <w:r>
        <w:rPr>
          <w:spacing w:val="7"/>
        </w:rPr>
        <w:t>点支撑、各具特色、优势互补、协调发展的文</w:t>
      </w:r>
      <w:r>
        <w:rPr>
          <w:spacing w:val="7"/>
        </w:rPr>
        <w:t>化产业新格局。探索设立文化产业扶持发展专</w:t>
      </w:r>
      <w:r>
        <w:rPr>
          <w:spacing w:val="7"/>
        </w:rPr>
        <w:t>项资金，引进培育一批主业突出的文化企业，</w:t>
      </w:r>
    </w:p>
    <w:p>
      <w:pPr>
        <w:spacing w:line="14" w:lineRule="auto"/>
        <w:rPr>
          <w:rFonts w:ascii="Arial"/>
          <w:sz w:val="2"/>
        </w:rPr>
      </w:pPr>
      <w:r>
        <w:rPr>
          <w:rFonts w:ascii="Arial" w:hAnsi="Arial" w:eastAsia="Arial" w:cs="Arial"/>
          <w:sz w:val="2"/>
          <w:szCs w:val="2"/>
        </w:rPr>
        <w:br w:type="column"/>
      </w:r>
    </w:p>
    <w:p>
      <w:pPr>
        <w:pStyle w:val="BodyText"/>
        <w:ind w:right="80" w:firstLine="3"/>
        <w:spacing w:before="39" w:line="351" w:lineRule="auto"/>
        <w:jc w:val="both"/>
        <w:rPr/>
      </w:pPr>
      <w:r>
        <w:rPr>
          <w:spacing w:val="7"/>
        </w:rPr>
        <w:t>重点推进六盘山文化产业聚集区、丝路文化产</w:t>
      </w:r>
      <w:r>
        <w:rPr>
          <w:spacing w:val="7"/>
        </w:rPr>
        <w:t>业聚集区、固原文化创意产业园、固原纺织文</w:t>
      </w:r>
      <w:r>
        <w:rPr>
          <w:spacing w:val="7"/>
        </w:rPr>
        <w:t>化创意产业园等文化载体建设，形成一批布局</w:t>
      </w:r>
      <w:r>
        <w:rPr>
          <w:spacing w:val="7"/>
        </w:rPr>
        <w:t>合理、特色鲜明、带动力和辐射力强的文化产</w:t>
      </w:r>
      <w:r>
        <w:rPr>
          <w:spacing w:val="7"/>
        </w:rPr>
        <w:t>业集聚区，提高文化产业集聚度。支持各类文</w:t>
      </w:r>
      <w:r>
        <w:rPr>
          <w:spacing w:val="18"/>
        </w:rPr>
        <w:t>化市场主体创建国家和自治区级文化产业示</w:t>
      </w:r>
      <w:r>
        <w:rPr>
          <w:spacing w:val="6"/>
        </w:rPr>
        <w:t>范园区（基地）。</w:t>
      </w:r>
    </w:p>
    <w:p>
      <w:pPr>
        <w:pStyle w:val="BodyText"/>
        <w:ind w:left="3" w:right="57" w:firstLine="421"/>
        <w:spacing w:before="1" w:line="284" w:lineRule="auto"/>
        <w:outlineLvl w:val="0"/>
        <w:rPr/>
      </w:pPr>
      <w:r>
        <w:rPr>
          <w:spacing w:val="6"/>
        </w:rPr>
        <w:t>培育新型文化业态。支持和鼓励文化企业</w:t>
      </w:r>
      <w:r>
        <w:rPr>
          <w:spacing w:val="8"/>
        </w:rPr>
        <w:t>在与设计、科技、旅游、体育、网络、物流、</w:t>
      </w:r>
    </w:p>
    <w:p>
      <w:pPr>
        <w:pStyle w:val="BodyText"/>
        <w:ind w:left="1"/>
        <w:spacing w:before="136" w:line="350" w:lineRule="auto"/>
        <w:jc w:val="both"/>
        <w:rPr/>
      </w:pPr>
      <w:r>
        <w:rPr>
          <w:spacing w:val="7"/>
        </w:rPr>
        <w:t>金融等产业融合中创新业态。改造提升传统文</w:t>
      </w:r>
      <w:r>
        <w:rPr>
          <w:spacing w:val="7"/>
        </w:rPr>
        <w:t>化业态，进一步壮大新闻出版发行、广播电视</w:t>
      </w:r>
      <w:r>
        <w:rPr>
          <w:spacing w:val="7"/>
        </w:rPr>
        <w:t>电影、演艺休闲娱乐等传统文化产业。积极发</w:t>
      </w:r>
      <w:r>
        <w:rPr>
          <w:spacing w:val="1"/>
        </w:rPr>
        <w:t>展互联网信息服务、文化创意设计、文化旅游、</w:t>
      </w:r>
      <w:r>
        <w:rPr>
          <w:spacing w:val="18"/>
        </w:rPr>
        <w:t>工艺美术品制造产业。积极举办大型体育赛</w:t>
      </w:r>
      <w:r>
        <w:rPr>
          <w:spacing w:val="10"/>
        </w:rPr>
        <w:t>事，开发建设服务市场，发展壮大体育产业。</w:t>
      </w:r>
      <w:r>
        <w:rPr>
          <w:spacing w:val="7"/>
        </w:rPr>
        <w:t>支持文化场馆、景区景点、街区园区开发数字</w:t>
      </w:r>
      <w:r>
        <w:rPr>
          <w:spacing w:val="7"/>
        </w:rPr>
        <w:t>化产品和服务，促进数字文化与社交电商、网</w:t>
      </w:r>
      <w:r>
        <w:rPr>
          <w:spacing w:val="9"/>
        </w:rPr>
        <w:t>络直播、短视频等在线新经济结合。</w:t>
      </w:r>
    </w:p>
    <w:p>
      <w:pPr>
        <w:spacing w:line="350" w:lineRule="auto"/>
        <w:sectPr>
          <w:type w:val="continuous"/>
          <w:pgSz w:w="11906" w:h="16839"/>
          <w:pgMar w:top="1793" w:right="1509" w:bottom="1570" w:left="1526" w:header="1428" w:footer="1172" w:gutter="0"/>
          <w:cols w:equalWidth="0" w:num="2">
            <w:col w:w="4542" w:space="100"/>
            <w:col w:w="4228" w:space="0"/>
          </w:cols>
        </w:sectPr>
        <w:rPr/>
      </w:pPr>
    </w:p>
    <w:p>
      <w:pPr>
        <w:ind w:left="1987"/>
        <w:spacing w:before="231" w:line="199" w:lineRule="auto"/>
        <w:rPr>
          <w:rFonts w:ascii="Microsoft YaHei" w:hAnsi="Microsoft YaHei" w:eastAsia="Microsoft YaHei" w:cs="Microsoft YaHei"/>
          <w:sz w:val="20"/>
          <w:szCs w:val="20"/>
        </w:rPr>
      </w:pPr>
      <w:r>
        <w:drawing>
          <wp:anchor distT="0" distB="0" distL="0" distR="0" simplePos="0" relativeHeight="251834368" behindDoc="0" locked="0" layoutInCell="1" allowOverlap="1">
            <wp:simplePos x="0" y="0"/>
            <wp:positionH relativeFrom="column">
              <wp:posOffset>39242</wp:posOffset>
            </wp:positionH>
            <wp:positionV relativeFrom="paragraph">
              <wp:posOffset>-4761486</wp:posOffset>
            </wp:positionV>
            <wp:extent cx="5579745" cy="7619"/>
            <wp:effectExtent l="0" t="0" r="0" b="0"/>
            <wp:wrapNone/>
            <wp:docPr id="518" name="IM 518"/>
            <wp:cNvGraphicFramePr/>
            <a:graphic>
              <a:graphicData uri="http://schemas.openxmlformats.org/drawingml/2006/picture">
                <pic:pic>
                  <pic:nvPicPr>
                    <pic:cNvPr id="518" name="IM 518"/>
                    <pic:cNvPicPr/>
                  </pic:nvPicPr>
                  <pic:blipFill>
                    <a:blip r:embed="rId26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7"/>
        </w:rPr>
        <w:t>专栏 17</w:t>
      </w:r>
      <w:r>
        <w:rPr>
          <w:rFonts w:ascii="Microsoft YaHei" w:hAnsi="Microsoft YaHei" w:eastAsia="Microsoft YaHei" w:cs="Microsoft YaHei"/>
          <w:sz w:val="20"/>
          <w:szCs w:val="20"/>
          <w:spacing w:val="16"/>
          <w:w w:val="101"/>
        </w:rPr>
        <w:t xml:space="preserve">   </w:t>
      </w:r>
      <w:r>
        <w:rPr>
          <w:rFonts w:ascii="Microsoft YaHei" w:hAnsi="Microsoft YaHei" w:eastAsia="Microsoft YaHei" w:cs="Microsoft YaHei"/>
          <w:sz w:val="20"/>
          <w:szCs w:val="20"/>
          <w:spacing w:val="7"/>
        </w:rPr>
        <w:t>繁荣发展文化事业和文化产业重点项目工程</w:t>
      </w:r>
    </w:p>
    <w:tbl>
      <w:tblPr>
        <w:tblStyle w:val="TableNormal"/>
        <w:tblW w:w="8848" w:type="dxa"/>
        <w:tblInd w:w="2" w:type="dxa"/>
        <w:tblLayout w:type="fixed"/>
        <w:tblBorders>
          <w:left w:val="single" w:color="000000" w:sz="2" w:space="0"/>
          <w:bottom w:val="single" w:color="000000" w:sz="2" w:space="0"/>
          <w:right w:val="single" w:color="000000" w:sz="2" w:space="0"/>
          <w:top w:val="single" w:color="000000" w:sz="2" w:space="0"/>
        </w:tblBorders>
      </w:tblPr>
      <w:tblGrid>
        <w:gridCol w:w="8848"/>
      </w:tblGrid>
      <w:tr>
        <w:trPr>
          <w:trHeight w:val="5108" w:hRule="atLeast"/>
        </w:trPr>
        <w:tc>
          <w:tcPr>
            <w:tcW w:w="8848" w:type="dxa"/>
            <w:vAlign w:val="top"/>
          </w:tcPr>
          <w:p>
            <w:pPr>
              <w:pStyle w:val="TableText"/>
              <w:ind w:left="114" w:right="31" w:firstLine="433"/>
              <w:spacing w:before="91" w:line="261" w:lineRule="auto"/>
              <w:rPr/>
            </w:pPr>
            <w:r>
              <w:rPr>
                <w:b/>
                <w:bCs/>
                <w:spacing w:val="-5"/>
              </w:rPr>
              <w:t>1.固原长城国家文化公园项目：</w:t>
            </w:r>
            <w:r>
              <w:rPr>
                <w:spacing w:val="-5"/>
              </w:rPr>
              <w:t>建设原州区战国秦长城文化展示园、西吉县将台堡秦长城文化公园展示园、</w:t>
            </w:r>
            <w:r>
              <w:rPr>
                <w:spacing w:val="-1"/>
              </w:rPr>
              <w:t>彭阳县长城国家文化公园。</w:t>
            </w:r>
          </w:p>
          <w:p>
            <w:pPr>
              <w:pStyle w:val="TableText"/>
              <w:ind w:left="110" w:right="95" w:firstLine="422"/>
              <w:spacing w:before="90" w:line="277" w:lineRule="auto"/>
              <w:rPr/>
            </w:pPr>
            <w:r>
              <w:rPr>
                <w:b/>
                <w:bCs/>
                <w:spacing w:val="-2"/>
              </w:rPr>
              <w:t>2.固原长征国家文化公园项目：</w:t>
            </w:r>
            <w:r>
              <w:rPr>
                <w:spacing w:val="-2"/>
              </w:rPr>
              <w:t>建设西吉县将台堡长征文化公园、隆德县长征文化公园、彭阳县长征文化</w:t>
            </w:r>
            <w:r>
              <w:rPr/>
              <w:t>公园，改造六盘山长征景区杨家店红军村，建设青石嘴红军长征战斗遗</w:t>
            </w:r>
            <w:r>
              <w:rPr>
                <w:spacing w:val="-1"/>
              </w:rPr>
              <w:t>址景区。</w:t>
            </w:r>
          </w:p>
          <w:p>
            <w:pPr>
              <w:pStyle w:val="TableText"/>
              <w:ind w:left="114" w:right="99" w:firstLine="421"/>
              <w:spacing w:before="60" w:line="262" w:lineRule="auto"/>
              <w:rPr/>
            </w:pPr>
            <w:r>
              <w:rPr>
                <w:b/>
                <w:bCs/>
                <w:spacing w:val="-2"/>
              </w:rPr>
              <w:t>3.固原历史文化城建设项目：</w:t>
            </w:r>
            <w:r>
              <w:rPr>
                <w:spacing w:val="-2"/>
              </w:rPr>
              <w:t>复制重建固原古城、安西王府、唐代“苑马车”、李贤之墓</w:t>
            </w:r>
            <w:r>
              <w:rPr>
                <w:spacing w:val="-3"/>
              </w:rPr>
              <w:t>等历史遗迹，再</w:t>
            </w:r>
            <w:r>
              <w:rPr/>
              <w:t>现固原历史文化古城风貌，实现固原历史与</w:t>
            </w:r>
            <w:r>
              <w:rPr>
                <w:spacing w:val="-1"/>
              </w:rPr>
              <w:t>文化的融合发展。</w:t>
            </w:r>
          </w:p>
          <w:p>
            <w:pPr>
              <w:pStyle w:val="TableText"/>
              <w:ind w:left="112" w:right="92" w:firstLine="418"/>
              <w:spacing w:before="89" w:line="276" w:lineRule="auto"/>
              <w:rPr/>
            </w:pPr>
            <w:r>
              <w:rPr>
                <w:b/>
                <w:bCs/>
              </w:rPr>
              <w:t>4.须弥山石窟文化遗产数字化开发研究项目</w:t>
            </w:r>
            <w:r>
              <w:rPr/>
              <w:t>：建立须弥山石窟数字研究中心，对现存1</w:t>
            </w:r>
            <w:r>
              <w:rPr>
                <w:spacing w:val="-1"/>
              </w:rPr>
              <w:t>62座洞窟进行数字</w:t>
            </w:r>
            <w:r>
              <w:rPr/>
              <w:t>化整理，通过数字档案的建立，永久保存。在游客中心播放须弥数字电影，建设V</w:t>
            </w:r>
            <w:r>
              <w:rPr>
                <w:spacing w:val="-1"/>
              </w:rPr>
              <w:t>R实景体验馆，增值旅游开发</w:t>
            </w:r>
            <w:r>
              <w:rPr>
                <w:spacing w:val="-1"/>
              </w:rPr>
              <w:t>附加服务。</w:t>
            </w:r>
          </w:p>
          <w:p>
            <w:pPr>
              <w:pStyle w:val="TableText"/>
              <w:ind w:left="533"/>
              <w:spacing w:before="91" w:line="241" w:lineRule="exact"/>
              <w:rPr/>
            </w:pPr>
            <w:r>
              <w:rPr>
                <w:b/>
                <w:bCs/>
                <w:spacing w:val="-2"/>
                <w:position w:val="1"/>
              </w:rPr>
              <w:t>5.国家级非遗产业园项目</w:t>
            </w:r>
            <w:r>
              <w:rPr>
                <w:spacing w:val="-2"/>
                <w:position w:val="1"/>
              </w:rPr>
              <w:t>：建设非遗展厅、培训中心、</w:t>
            </w:r>
            <w:r>
              <w:rPr>
                <w:spacing w:val="-3"/>
                <w:position w:val="1"/>
              </w:rPr>
              <w:t>产业基地等。</w:t>
            </w:r>
          </w:p>
          <w:p>
            <w:pPr>
              <w:pStyle w:val="TableText"/>
              <w:ind w:left="111" w:right="99" w:firstLine="421"/>
              <w:spacing w:before="60" w:line="287" w:lineRule="auto"/>
              <w:rPr/>
            </w:pPr>
            <w:r>
              <w:rPr>
                <w:b/>
                <w:bCs/>
                <w:spacing w:val="-2"/>
              </w:rPr>
              <w:t>6.大型实景剧项目</w:t>
            </w:r>
            <w:r>
              <w:rPr>
                <w:spacing w:val="-2"/>
              </w:rPr>
              <w:t>：依托固原市厚重的历史文化、红色文化，引进、鼓励文创企业和旅游龙头企业，围绕</w:t>
            </w:r>
            <w:r>
              <w:rPr/>
              <w:t>历史故事、现实题材、革命红色教育、地域特色文化等主题创作舞台艺术精</w:t>
            </w:r>
            <w:r>
              <w:rPr>
                <w:spacing w:val="-1"/>
              </w:rPr>
              <w:t>品，打造实景剧或舞台剧，培育固</w:t>
            </w:r>
            <w:r>
              <w:rPr/>
              <w:t>原市文化旅游新的文化旅游消费热点。</w:t>
            </w:r>
            <w:r>
              <w:rPr>
                <w:b/>
                <w:bCs/>
              </w:rPr>
              <w:t>.</w:t>
            </w:r>
          </w:p>
          <w:p>
            <w:pPr>
              <w:pStyle w:val="TableText"/>
              <w:ind w:left="112" w:right="97" w:firstLine="419"/>
              <w:spacing w:before="58" w:line="277" w:lineRule="auto"/>
              <w:rPr/>
            </w:pPr>
            <w:r>
              <w:rPr>
                <w:b/>
                <w:bCs/>
                <w:spacing w:val="-2"/>
              </w:rPr>
              <w:t>7.六盘山民俗文化园建设项目</w:t>
            </w:r>
            <w:r>
              <w:rPr>
                <w:spacing w:val="-2"/>
              </w:rPr>
              <w:t>：依托固原市丰富的非物质文化遗产资源，以砖雕、泥塑、剪纸、刺绣、书</w:t>
            </w:r>
            <w:r>
              <w:rPr/>
              <w:t>画、草编、纸质画为重点，建设集文化认知，实践体验，观光餐饮、</w:t>
            </w:r>
            <w:r>
              <w:rPr>
                <w:spacing w:val="-1"/>
              </w:rPr>
              <w:t>养生度假为一体的六盘山民俗文化展示基</w:t>
            </w:r>
            <w:r>
              <w:rPr>
                <w:spacing w:val="-1"/>
              </w:rPr>
              <w:t>地和青少年户外教育实践基地。</w:t>
            </w:r>
          </w:p>
          <w:p>
            <w:pPr>
              <w:pStyle w:val="TableText"/>
              <w:ind w:left="535"/>
              <w:spacing w:before="91" w:line="213" w:lineRule="auto"/>
              <w:rPr/>
            </w:pPr>
            <w:r>
              <w:rPr>
                <w:b/>
                <w:bCs/>
                <w:spacing w:val="-1"/>
              </w:rPr>
              <w:t>8.全民健身提升项目：</w:t>
            </w:r>
            <w:r>
              <w:rPr>
                <w:spacing w:val="-1"/>
              </w:rPr>
              <w:t>新建体育场馆（包括</w:t>
            </w:r>
            <w:r>
              <w:rPr>
                <w:spacing w:val="-2"/>
              </w:rPr>
              <w:t>游泳馆、滑雪场）22个，建成全民健身活动站点240个。</w:t>
            </w:r>
          </w:p>
        </w:tc>
      </w:tr>
    </w:tbl>
    <w:p>
      <w:pPr>
        <w:spacing w:line="14" w:lineRule="auto"/>
        <w:rPr>
          <w:rFonts w:ascii="Arial"/>
          <w:sz w:val="2"/>
        </w:rPr>
      </w:pPr>
      <w:r/>
    </w:p>
    <w:p>
      <w:pPr>
        <w:spacing w:line="14" w:lineRule="auto"/>
        <w:sectPr>
          <w:type w:val="continuous"/>
          <w:pgSz w:w="11906" w:h="16839"/>
          <w:pgMar w:top="1793" w:right="1509" w:bottom="1570" w:left="1526" w:header="1428" w:footer="1172" w:gutter="0"/>
          <w:cols w:equalWidth="0" w:num="1">
            <w:col w:w="8870" w:space="0"/>
          </w:cols>
        </w:sectPr>
        <w:rPr>
          <w:rFonts w:ascii="Arial" w:hAnsi="Arial" w:eastAsia="Arial" w:cs="Arial"/>
          <w:sz w:val="2"/>
          <w:szCs w:val="2"/>
        </w:rPr>
      </w:pPr>
    </w:p>
    <w:p>
      <w:pPr>
        <w:spacing w:before="42"/>
        <w:rPr/>
      </w:pPr>
      <w:r>
        <w:drawing>
          <wp:anchor distT="0" distB="0" distL="0" distR="0" simplePos="0" relativeHeight="251836416"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522" name="IM 522"/>
            <wp:cNvGraphicFramePr/>
            <a:graphic>
              <a:graphicData uri="http://schemas.openxmlformats.org/drawingml/2006/picture">
                <pic:pic>
                  <pic:nvPicPr>
                    <pic:cNvPr id="522" name="IM 522"/>
                    <pic:cNvPicPr/>
                  </pic:nvPicPr>
                  <pic:blipFill>
                    <a:blip r:embed="rId263"/>
                    <a:stretch>
                      <a:fillRect/>
                    </a:stretch>
                  </pic:blipFill>
                  <pic:spPr>
                    <a:xfrm rot="0">
                      <a:off x="0" y="0"/>
                      <a:ext cx="5579745" cy="7619"/>
                    </a:xfrm>
                    <a:prstGeom prst="rect">
                      <a:avLst/>
                    </a:prstGeom>
                  </pic:spPr>
                </pic:pic>
              </a:graphicData>
            </a:graphic>
          </wp:anchor>
        </w:drawing>
      </w:r>
      <w:r/>
    </w:p>
    <w:p>
      <w:pPr>
        <w:sectPr>
          <w:headerReference w:type="default" r:id="rId188"/>
          <w:footerReference w:type="default" r:id="rId262"/>
          <w:pgSz w:w="11906" w:h="16839"/>
          <w:pgMar w:top="1793" w:right="1489" w:bottom="1673" w:left="1565" w:header="1428" w:footer="1277" w:gutter="0"/>
          <w:cols w:equalWidth="0" w:num="1">
            <w:col w:w="8852" w:space="0"/>
          </w:cols>
        </w:sectPr>
        <w:rPr/>
      </w:pPr>
    </w:p>
    <w:p>
      <w:pPr>
        <w:ind w:left="850"/>
        <w:spacing w:before="40" w:line="181"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第十章</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8"/>
        </w:rPr>
        <w:t>加快改革开放步伐</w:t>
      </w:r>
    </w:p>
    <w:p>
      <w:pPr>
        <w:ind w:left="1057"/>
        <w:spacing w:before="122" w:line="179"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持续增强发展动力活力</w:t>
      </w:r>
    </w:p>
    <w:p>
      <w:pPr>
        <w:spacing w:line="428" w:lineRule="auto"/>
        <w:rPr>
          <w:rFonts w:ascii="Arial"/>
          <w:sz w:val="21"/>
        </w:rPr>
      </w:pPr>
      <w:r/>
    </w:p>
    <w:p>
      <w:pPr>
        <w:pStyle w:val="BodyText"/>
        <w:ind w:left="449"/>
        <w:spacing w:before="65" w:line="223" w:lineRule="auto"/>
        <w:rPr/>
      </w:pPr>
      <w:r>
        <w:rPr>
          <w:spacing w:val="6"/>
        </w:rPr>
        <w:t>深度融入“双循环”新发展格局，积极参</w:t>
      </w:r>
    </w:p>
    <w:p>
      <w:pPr>
        <w:pStyle w:val="BodyText"/>
        <w:ind w:left="33"/>
        <w:spacing w:before="141" w:line="220" w:lineRule="auto"/>
        <w:outlineLvl w:val="0"/>
        <w:rPr/>
      </w:pPr>
      <w:r>
        <w:rPr>
          <w:spacing w:val="6"/>
        </w:rPr>
        <w:t>与黄河流域生态保护和高质量发展、西部大开</w:t>
      </w:r>
    </w:p>
    <w:p>
      <w:pPr>
        <w:pStyle w:val="BodyText"/>
        <w:ind w:left="26" w:right="308" w:firstLine="3"/>
        <w:spacing w:before="136" w:line="352" w:lineRule="auto"/>
        <w:jc w:val="both"/>
        <w:rPr/>
      </w:pPr>
      <w:r>
        <w:rPr>
          <w:spacing w:val="7"/>
        </w:rPr>
        <w:t>发、“一带一路”重点节点建设，全面深化重</w:t>
      </w:r>
      <w:r>
        <w:rPr>
          <w:spacing w:val="7"/>
        </w:rPr>
        <w:t>点领域改革，继续深化对外开放合作，持续优</w:t>
      </w:r>
      <w:r>
        <w:rPr>
          <w:spacing w:val="7"/>
        </w:rPr>
        <w:t>化营商环境，充分释放发展活力，积极探索发</w:t>
      </w:r>
      <w:r>
        <w:rPr>
          <w:spacing w:val="7"/>
        </w:rPr>
        <w:t>展开放型经济路子，打造国内产业转移区域重</w:t>
      </w:r>
      <w:r>
        <w:rPr>
          <w:spacing w:val="8"/>
        </w:rPr>
        <w:t>要承载基地，建成宁夏开放的重要门户基地。</w:t>
      </w:r>
    </w:p>
    <w:p>
      <w:pPr>
        <w:spacing w:line="310" w:lineRule="auto"/>
        <w:rPr>
          <w:rFonts w:ascii="Arial"/>
          <w:sz w:val="21"/>
        </w:rPr>
      </w:pPr>
      <w:r/>
    </w:p>
    <w:p>
      <w:pPr>
        <w:pStyle w:val="BodyText"/>
        <w:ind w:left="736"/>
        <w:spacing w:before="66" w:line="220" w:lineRule="auto"/>
        <w:outlineLvl w:val="0"/>
        <w:rPr/>
      </w:pPr>
      <w:r>
        <w:rPr>
          <w:b/>
          <w:bCs/>
          <w:spacing w:val="7"/>
        </w:rPr>
        <w:t>第一节</w:t>
      </w:r>
      <w:r>
        <w:rPr>
          <w:spacing w:val="7"/>
        </w:rPr>
        <w:t xml:space="preserve">  </w:t>
      </w:r>
      <w:r>
        <w:rPr>
          <w:b/>
          <w:bCs/>
          <w:spacing w:val="7"/>
        </w:rPr>
        <w:t>主动融入新发展格局</w:t>
      </w:r>
    </w:p>
    <w:p>
      <w:pPr>
        <w:spacing w:line="455" w:lineRule="auto"/>
        <w:rPr>
          <w:rFonts w:ascii="Arial"/>
          <w:sz w:val="21"/>
        </w:rPr>
      </w:pPr>
      <w:r/>
    </w:p>
    <w:p>
      <w:pPr>
        <w:pStyle w:val="BodyText"/>
        <w:ind w:left="31" w:right="305" w:firstLine="417"/>
        <w:spacing w:before="65" w:line="286" w:lineRule="auto"/>
        <w:outlineLvl w:val="0"/>
        <w:rPr/>
      </w:pPr>
      <w:r>
        <w:rPr>
          <w:spacing w:val="8"/>
        </w:rPr>
        <w:t>坚持扩大内需这个战略基点，立足全国、</w:t>
      </w:r>
      <w:r>
        <w:rPr>
          <w:spacing w:val="7"/>
        </w:rPr>
        <w:t>服务大局，从生产、分配、流通、消费各环节</w:t>
      </w:r>
    </w:p>
    <w:p>
      <w:pPr>
        <w:pStyle w:val="BodyText"/>
        <w:ind w:left="27" w:right="328" w:firstLine="5"/>
        <w:spacing w:before="138" w:line="351" w:lineRule="auto"/>
        <w:rPr/>
      </w:pPr>
      <w:r>
        <w:rPr>
          <w:spacing w:val="6"/>
        </w:rPr>
        <w:t>多点发力，加快融入新发展格局，增强经济发</w:t>
      </w:r>
      <w:r>
        <w:rPr>
          <w:spacing w:val="8"/>
        </w:rPr>
        <w:t>展协同性和高效率。</w:t>
      </w:r>
    </w:p>
    <w:p>
      <w:pPr>
        <w:pStyle w:val="BodyText"/>
        <w:ind w:left="27" w:right="328" w:firstLine="423"/>
        <w:spacing w:before="1" w:line="286" w:lineRule="auto"/>
        <w:outlineLvl w:val="0"/>
        <w:rPr/>
      </w:pPr>
      <w:r>
        <w:rPr>
          <w:spacing w:val="6"/>
        </w:rPr>
        <w:t>积极融入国内国际市场。紧盯产业链和供</w:t>
      </w:r>
      <w:r>
        <w:rPr>
          <w:spacing w:val="7"/>
        </w:rPr>
        <w:t>应链，积极融入国内大市场，充分发挥固原生</w:t>
      </w:r>
    </w:p>
    <w:p>
      <w:pPr>
        <w:pStyle w:val="BodyText"/>
        <w:ind w:left="27" w:right="251" w:firstLine="2"/>
        <w:spacing w:before="148" w:line="350" w:lineRule="auto"/>
        <w:jc w:val="right"/>
        <w:rPr/>
      </w:pPr>
      <w:r>
        <w:rPr>
          <w:spacing w:val="7"/>
        </w:rPr>
        <w:t>态、绿色、历史、文化等特色优势，重点做好</w:t>
      </w:r>
      <w:r>
        <w:rPr>
          <w:spacing w:val="7"/>
        </w:rPr>
        <w:t>与沿黄生态经济带、宁夏沿黄城市群、兰西城</w:t>
      </w:r>
      <w:r>
        <w:rPr>
          <w:spacing w:val="7"/>
        </w:rPr>
        <w:t>市群、关中平原城市群等的产业配套协作。发</w:t>
      </w:r>
      <w:r>
        <w:rPr>
          <w:spacing w:val="7"/>
        </w:rPr>
        <w:t>展能源及新材料、现代纺织和服装加工、电子</w:t>
      </w:r>
      <w:r>
        <w:rPr>
          <w:spacing w:val="7"/>
        </w:rPr>
        <w:t>信息、文化旅游、特色农业等产业与大区域合</w:t>
      </w:r>
      <w:r>
        <w:rPr>
          <w:spacing w:val="18"/>
        </w:rPr>
        <w:t>作共建高中低端产业和上中下游供应链全覆</w:t>
      </w:r>
      <w:r>
        <w:rPr>
          <w:spacing w:val="7"/>
        </w:rPr>
        <w:t>盖的完整产业链、供应链。探索研究国内基础</w:t>
      </w:r>
      <w:r>
        <w:rPr>
          <w:spacing w:val="11"/>
        </w:rPr>
        <w:t>端生产资料薄弱环节，积极开展差异化生产，</w:t>
      </w:r>
      <w:r>
        <w:rPr>
          <w:spacing w:val="7"/>
        </w:rPr>
        <w:t>重点围绕肉牛、冷凉蔬菜、淀粉、林草等特色</w:t>
      </w:r>
      <w:r>
        <w:rPr>
          <w:spacing w:val="7"/>
        </w:rPr>
        <w:t>优势产品，打造西北地区“产品工厂”。探索</w:t>
      </w:r>
      <w:r>
        <w:rPr>
          <w:spacing w:val="7"/>
        </w:rPr>
        <w:t>东西协作消费，借助网络销售平台，加快固原</w:t>
      </w:r>
      <w:r>
        <w:rPr>
          <w:spacing w:val="7"/>
        </w:rPr>
        <w:t>优质产品国内流通；依托“一带一路”，面向</w:t>
      </w:r>
      <w:r>
        <w:rPr>
          <w:spacing w:val="1"/>
        </w:rPr>
        <w:t>中亚、欧洲等国际市场，积极扩大进出口贸易。</w:t>
      </w:r>
      <w:r>
        <w:rPr>
          <w:spacing w:val="6"/>
        </w:rPr>
        <w:t>提升消费业态模式。顺应居民消费升级趋</w:t>
      </w:r>
    </w:p>
    <w:p>
      <w:pPr>
        <w:pStyle w:val="BodyText"/>
        <w:ind w:left="30"/>
        <w:spacing w:before="20" w:line="189" w:lineRule="auto"/>
        <w:outlineLvl w:val="0"/>
        <w:rPr/>
      </w:pPr>
      <w:r>
        <w:rPr>
          <w:spacing w:val="7"/>
        </w:rPr>
        <w:t>势，完善促进消费体制机制，增强消费对经济</w:t>
      </w:r>
    </w:p>
    <w:p>
      <w:pPr>
        <w:spacing w:line="14" w:lineRule="auto"/>
        <w:rPr>
          <w:rFonts w:ascii="Arial"/>
          <w:sz w:val="2"/>
        </w:rPr>
      </w:pPr>
      <w:r>
        <w:rPr>
          <w:rFonts w:ascii="Arial" w:hAnsi="Arial" w:eastAsia="Arial" w:cs="Arial"/>
          <w:sz w:val="2"/>
          <w:szCs w:val="2"/>
        </w:rPr>
        <w:br w:type="column"/>
      </w:r>
    </w:p>
    <w:p>
      <w:pPr>
        <w:pStyle w:val="BodyText"/>
        <w:ind w:right="20" w:firstLine="3"/>
        <w:spacing w:before="35" w:line="360" w:lineRule="auto"/>
        <w:rPr/>
      </w:pPr>
      <w:r>
        <w:rPr>
          <w:spacing w:val="7"/>
        </w:rPr>
        <w:t>发展的基础性作用。持续提升传统消费，加快</w:t>
      </w:r>
      <w:r>
        <w:rPr>
          <w:spacing w:val="7"/>
        </w:rPr>
        <w:t>餐饮、住宿、零售等传统消费线上线下深度融</w:t>
      </w:r>
      <w:r>
        <w:rPr>
          <w:spacing w:val="1"/>
        </w:rPr>
        <w:t>合，积极开展消费惠民计划，引进一批品牌店、</w:t>
      </w:r>
      <w:r>
        <w:rPr>
          <w:spacing w:val="7"/>
        </w:rPr>
        <w:t>专卖店、连锁店，打造名小吃专业街等特色商</w:t>
      </w:r>
      <w:r>
        <w:rPr>
          <w:spacing w:val="7"/>
        </w:rPr>
        <w:t>业街区，不断优化服务消费供给，积极发展夜</w:t>
      </w:r>
      <w:r>
        <w:rPr>
          <w:spacing w:val="7"/>
        </w:rPr>
        <w:t>间经济、地摊经济，加快打造集文化休闲一体</w:t>
      </w:r>
      <w:r>
        <w:rPr>
          <w:spacing w:val="7"/>
        </w:rPr>
        <w:t>化的吃住行游购娱旅游消费新业态。大力培育</w:t>
      </w:r>
      <w:r>
        <w:rPr>
          <w:spacing w:val="7"/>
        </w:rPr>
        <w:t>新型消费，支持发展“线上+物流+零售”等新</w:t>
      </w:r>
      <w:r>
        <w:rPr>
          <w:spacing w:val="7"/>
        </w:rPr>
        <w:t>模式，加快拓展时尚消费、定制消费、信息消</w:t>
      </w:r>
      <w:r>
        <w:rPr>
          <w:spacing w:val="7"/>
        </w:rPr>
        <w:t>费、智能消费等新兴消费领域，重点推动实体</w:t>
      </w:r>
      <w:r>
        <w:rPr>
          <w:spacing w:val="7"/>
        </w:rPr>
        <w:t>商业推广网上营销、直播带货、云逛街等，支</w:t>
      </w:r>
      <w:r>
        <w:rPr>
          <w:spacing w:val="13"/>
        </w:rPr>
        <w:t>持培育一批门店宅配、“前置仓+提货站”、</w:t>
      </w:r>
      <w:r>
        <w:rPr>
          <w:spacing w:val="11"/>
        </w:rPr>
        <w:t>无接触配送等示范项目。合理增加公共消费，</w:t>
      </w:r>
      <w:r>
        <w:rPr>
          <w:spacing w:val="7"/>
        </w:rPr>
        <w:t>合理增加教育、医疗、养老、育幼、文体等领</w:t>
      </w:r>
      <w:r>
        <w:rPr>
          <w:spacing w:val="7"/>
        </w:rPr>
        <w:t>域公共支出，提高公共服务支出效率，建立健</w:t>
      </w:r>
      <w:r>
        <w:rPr>
          <w:spacing w:val="7"/>
        </w:rPr>
        <w:t>全基本公共教育资源均衡配置机制，完善市县</w:t>
      </w:r>
      <w:r>
        <w:rPr>
          <w:spacing w:val="7"/>
        </w:rPr>
        <w:t>乡村全民健身公共服务设施，补齐全民健身领</w:t>
      </w:r>
      <w:r>
        <w:rPr>
          <w:spacing w:val="7"/>
        </w:rPr>
        <w:t>域短板弱项。</w:t>
      </w:r>
    </w:p>
    <w:p>
      <w:pPr>
        <w:pStyle w:val="BodyText"/>
        <w:ind w:left="11" w:right="94" w:firstLine="410"/>
        <w:spacing w:before="7" w:line="291" w:lineRule="auto"/>
        <w:outlineLvl w:val="0"/>
        <w:rPr/>
      </w:pPr>
      <w:r>
        <w:rPr>
          <w:spacing w:val="7"/>
        </w:rPr>
        <w:t>创新投资融资机制。积极争取政府投资，</w:t>
      </w:r>
      <w:r>
        <w:rPr>
          <w:spacing w:val="6"/>
        </w:rPr>
        <w:t>紧扣国家、自治区政策导向和投资方向，围绕</w:t>
      </w:r>
    </w:p>
    <w:p>
      <w:pPr>
        <w:pStyle w:val="BodyText"/>
        <w:ind w:left="1" w:right="78" w:firstLine="2"/>
        <w:spacing w:before="145" w:line="352" w:lineRule="auto"/>
        <w:jc w:val="both"/>
        <w:rPr/>
      </w:pPr>
      <w:r>
        <w:rPr>
          <w:spacing w:val="7"/>
        </w:rPr>
        <w:t>市域经济社会发展亟需，积极争取资金投向具</w:t>
      </w:r>
      <w:r>
        <w:rPr>
          <w:spacing w:val="7"/>
        </w:rPr>
        <w:t>有乘数效应的重点领域和主要行业，强化投资</w:t>
      </w:r>
      <w:r>
        <w:rPr>
          <w:spacing w:val="7"/>
        </w:rPr>
        <w:t>对稳增长、调结构、补短板、惠民生的关键作</w:t>
      </w:r>
      <w:r>
        <w:rPr>
          <w:spacing w:val="8"/>
        </w:rPr>
        <w:t>用。持续招引社会投资，突出抓好以商招商、</w:t>
      </w:r>
      <w:r>
        <w:rPr>
          <w:spacing w:val="8"/>
        </w:rPr>
        <w:t>网上招商、专业招商，推进项目洽谈、签约、</w:t>
      </w:r>
      <w:r>
        <w:rPr>
          <w:spacing w:val="7"/>
        </w:rPr>
        <w:t>落地、建设、运营全过程“保姆式”服务，建</w:t>
      </w:r>
      <w:r>
        <w:rPr>
          <w:spacing w:val="8"/>
        </w:rPr>
        <w:t>立有效的引导奖励机制，提高招商引资实效，</w:t>
      </w:r>
      <w:r>
        <w:rPr>
          <w:spacing w:val="7"/>
        </w:rPr>
        <w:t>实现招商引资项目质和量双突破。发挥政府投</w:t>
      </w:r>
      <w:r>
        <w:rPr>
          <w:spacing w:val="7"/>
        </w:rPr>
        <w:t>资撬动作用，创新投融资模式，用好融资担保</w:t>
      </w:r>
      <w:r>
        <w:rPr>
          <w:spacing w:val="10"/>
        </w:rPr>
        <w:t>基金，激发民间投资活力，依法依规推进</w:t>
      </w:r>
      <w:r>
        <w:rPr>
          <w:spacing w:val="-32"/>
        </w:rPr>
        <w:t xml:space="preserve"> </w:t>
      </w:r>
      <w:r>
        <w:rPr/>
        <w:t>PPP</w:t>
      </w:r>
      <w:r>
        <w:rPr>
          <w:spacing w:val="7"/>
        </w:rPr>
        <w:t>项目，构建多元化投融资体系。市场化推进政</w:t>
      </w:r>
      <w:r>
        <w:rPr>
          <w:spacing w:val="7"/>
        </w:rPr>
        <w:t>府融资平台改革，支持国有企业积极对接市场</w:t>
      </w:r>
      <w:r>
        <w:rPr>
          <w:spacing w:val="9"/>
        </w:rPr>
        <w:t>资源，形成市场主导的投资内生增长机制。</w:t>
      </w:r>
    </w:p>
    <w:p>
      <w:pPr>
        <w:spacing w:line="352" w:lineRule="auto"/>
        <w:sectPr>
          <w:type w:val="continuous"/>
          <w:pgSz w:w="11906" w:h="16839"/>
          <w:pgMar w:top="1793" w:right="1489" w:bottom="1673" w:left="1565" w:header="1428" w:footer="1277" w:gutter="0"/>
          <w:cols w:equalWidth="0" w:num="2">
            <w:col w:w="4503" w:space="100"/>
            <w:col w:w="4250" w:space="0"/>
          </w:cols>
        </w:sectPr>
        <w:rPr/>
      </w:pPr>
    </w:p>
    <w:p>
      <w:pPr>
        <w:spacing w:before="36"/>
        <w:rPr/>
      </w:pPr>
      <w:r>
        <w:drawing>
          <wp:anchor distT="0" distB="0" distL="0" distR="0" simplePos="0" relativeHeight="251838464"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526" name="IM 526"/>
            <wp:cNvGraphicFramePr/>
            <a:graphic>
              <a:graphicData uri="http://schemas.openxmlformats.org/drawingml/2006/picture">
                <pic:pic>
                  <pic:nvPicPr>
                    <pic:cNvPr id="526" name="IM 526"/>
                    <pic:cNvPicPr/>
                  </pic:nvPicPr>
                  <pic:blipFill>
                    <a:blip r:embed="rId265"/>
                    <a:stretch>
                      <a:fillRect/>
                    </a:stretch>
                  </pic:blipFill>
                  <pic:spPr>
                    <a:xfrm rot="0">
                      <a:off x="0" y="0"/>
                      <a:ext cx="5579745" cy="7619"/>
                    </a:xfrm>
                    <a:prstGeom prst="rect">
                      <a:avLst/>
                    </a:prstGeom>
                  </pic:spPr>
                </pic:pic>
              </a:graphicData>
            </a:graphic>
          </wp:anchor>
        </w:drawing>
      </w:r>
      <w:r/>
    </w:p>
    <w:p>
      <w:pPr>
        <w:sectPr>
          <w:headerReference w:type="default" r:id="rId150"/>
          <w:footerReference w:type="default" r:id="rId264"/>
          <w:pgSz w:w="11906" w:h="16839"/>
          <w:pgMar w:top="1793" w:right="1530" w:bottom="1570" w:left="1579" w:header="1428" w:footer="1172" w:gutter="0"/>
          <w:cols w:equalWidth="0" w:num="1">
            <w:col w:w="8796" w:space="0"/>
          </w:cols>
        </w:sectPr>
        <w:rPr/>
      </w:pPr>
    </w:p>
    <w:p>
      <w:pPr>
        <w:pStyle w:val="BodyText"/>
        <w:ind w:left="616"/>
        <w:spacing w:before="40" w:line="221" w:lineRule="auto"/>
        <w:outlineLvl w:val="0"/>
        <w:rPr/>
      </w:pPr>
      <w:r>
        <w:rPr>
          <w:b/>
          <w:bCs/>
          <w:spacing w:val="7"/>
        </w:rPr>
        <w:t>第二节</w:t>
      </w:r>
      <w:r>
        <w:rPr>
          <w:spacing w:val="7"/>
        </w:rPr>
        <w:t xml:space="preserve">  </w:t>
      </w:r>
      <w:r>
        <w:rPr>
          <w:b/>
          <w:bCs/>
          <w:spacing w:val="7"/>
        </w:rPr>
        <w:t>积极融入重大发展战略</w:t>
      </w:r>
    </w:p>
    <w:p>
      <w:pPr>
        <w:spacing w:line="451" w:lineRule="auto"/>
        <w:rPr>
          <w:rFonts w:ascii="Arial"/>
          <w:sz w:val="21"/>
        </w:rPr>
      </w:pPr>
      <w:r/>
    </w:p>
    <w:p>
      <w:pPr>
        <w:pStyle w:val="BodyText"/>
        <w:ind w:left="435"/>
        <w:spacing w:before="65" w:line="222" w:lineRule="auto"/>
        <w:rPr/>
      </w:pPr>
      <w:r>
        <w:rPr>
          <w:spacing w:val="6"/>
        </w:rPr>
        <w:t>牢牢抓住国家“一带一路”建设和新时代</w:t>
      </w:r>
    </w:p>
    <w:p>
      <w:pPr>
        <w:pStyle w:val="BodyText"/>
        <w:ind w:left="23"/>
        <w:spacing w:before="138" w:line="222" w:lineRule="auto"/>
        <w:outlineLvl w:val="0"/>
        <w:rPr/>
      </w:pPr>
      <w:r>
        <w:rPr>
          <w:spacing w:val="6"/>
        </w:rPr>
        <w:t>宁夏推进西部大开发形成新格局、建设自由贸</w:t>
      </w:r>
    </w:p>
    <w:p>
      <w:pPr>
        <w:pStyle w:val="BodyText"/>
        <w:ind w:left="17" w:right="327"/>
        <w:spacing w:before="143" w:line="350" w:lineRule="auto"/>
        <w:rPr/>
      </w:pPr>
      <w:r>
        <w:rPr>
          <w:spacing w:val="17"/>
        </w:rPr>
        <w:t>易试验区、内陆开放型经济试验区等重大机</w:t>
      </w:r>
      <w:r>
        <w:rPr>
          <w:spacing w:val="8"/>
        </w:rPr>
        <w:t>遇，在积极融入重大战略中实现自身发展。</w:t>
      </w:r>
    </w:p>
    <w:p>
      <w:pPr>
        <w:pStyle w:val="BodyText"/>
        <w:ind w:left="434"/>
        <w:spacing w:line="220" w:lineRule="auto"/>
        <w:rPr/>
      </w:pPr>
      <w:r>
        <w:rPr>
          <w:spacing w:val="19"/>
        </w:rPr>
        <w:t>全面融入黄河流域生态保护和高质量发</w:t>
      </w:r>
    </w:p>
    <w:p>
      <w:pPr>
        <w:pStyle w:val="BodyText"/>
        <w:ind w:left="13"/>
        <w:spacing w:before="143" w:line="221" w:lineRule="auto"/>
        <w:outlineLvl w:val="0"/>
        <w:rPr/>
      </w:pPr>
      <w:r>
        <w:rPr>
          <w:spacing w:val="7"/>
        </w:rPr>
        <w:t>展战略。深度融入黄河流域生态保护和高质量</w:t>
      </w:r>
    </w:p>
    <w:p>
      <w:pPr>
        <w:pStyle w:val="BodyText"/>
        <w:ind w:left="11" w:right="244" w:firstLine="3"/>
        <w:spacing w:before="137" w:line="351" w:lineRule="auto"/>
        <w:jc w:val="both"/>
        <w:rPr/>
      </w:pPr>
      <w:r>
        <w:rPr>
          <w:spacing w:val="7"/>
        </w:rPr>
        <w:t>发展战略，以重在保护、要在治理为主线，守</w:t>
      </w:r>
      <w:r>
        <w:rPr>
          <w:spacing w:val="7"/>
        </w:rPr>
        <w:t>好改善生态环境生命线，建设黄河流域生态保</w:t>
      </w:r>
      <w:r>
        <w:rPr>
          <w:spacing w:val="7"/>
        </w:rPr>
        <w:t>护和高质量发展先行区美丽新固原。加强与黄</w:t>
      </w:r>
      <w:r>
        <w:rPr>
          <w:spacing w:val="7"/>
        </w:rPr>
        <w:t>河“几”字弯都市圈、宁夏沿黄城市群及沿黄</w:t>
      </w:r>
      <w:r>
        <w:rPr>
          <w:spacing w:val="7"/>
        </w:rPr>
        <w:t>生态经济带协同发展，积极参与区域间生态环</w:t>
      </w:r>
      <w:r>
        <w:rPr>
          <w:spacing w:val="7"/>
        </w:rPr>
        <w:t>境共防共治、资源要素自由流动、产业结构配</w:t>
      </w:r>
      <w:r>
        <w:rPr>
          <w:spacing w:val="7"/>
        </w:rPr>
        <w:t>套协作，建设生态保护修复示范区、环境污染</w:t>
      </w:r>
      <w:r>
        <w:rPr>
          <w:spacing w:val="7"/>
        </w:rPr>
        <w:t>防治率先区、经济转型发展创新区和黄河文明</w:t>
      </w:r>
      <w:r>
        <w:rPr>
          <w:spacing w:val="7"/>
        </w:rPr>
        <w:t>传承彰显区。重点开展跨区域产业协作，推进</w:t>
      </w:r>
      <w:r>
        <w:rPr>
          <w:spacing w:val="13"/>
        </w:rPr>
        <w:t>“东部总部研发+固原生产基地”合作模式，</w:t>
      </w:r>
      <w:r>
        <w:rPr>
          <w:spacing w:val="-8"/>
        </w:rPr>
        <w:t>与沿黄省市共同打造跨区域优势产业链、供应链。</w:t>
      </w:r>
    </w:p>
    <w:p>
      <w:pPr>
        <w:pStyle w:val="BodyText"/>
        <w:ind w:left="20" w:right="327" w:firstLine="415"/>
        <w:spacing w:before="2" w:line="301" w:lineRule="auto"/>
        <w:outlineLvl w:val="0"/>
        <w:rPr/>
      </w:pPr>
      <w:r>
        <w:rPr>
          <w:spacing w:val="6"/>
        </w:rPr>
        <w:t>实施新一轮西部大开发固原行动计划。全</w:t>
      </w:r>
      <w:r>
        <w:rPr>
          <w:spacing w:val="10"/>
        </w:rPr>
        <w:t>面贯彻落实《中共中央</w:t>
      </w:r>
      <w:r>
        <w:rPr>
          <w:spacing w:val="47"/>
        </w:rPr>
        <w:t xml:space="preserve"> </w:t>
      </w:r>
      <w:r>
        <w:rPr>
          <w:spacing w:val="10"/>
        </w:rPr>
        <w:t>国务院关于新时代推</w:t>
      </w:r>
    </w:p>
    <w:p>
      <w:pPr>
        <w:pStyle w:val="BodyText"/>
        <w:ind w:left="10" w:right="307" w:firstLine="3"/>
        <w:spacing w:before="97" w:line="339" w:lineRule="auto"/>
        <w:jc w:val="both"/>
        <w:rPr/>
      </w:pPr>
      <w:r>
        <w:rPr>
          <w:spacing w:val="4"/>
        </w:rPr>
        <w:t>进西部大开发形成新格局的指导意见》和《</w:t>
      </w:r>
      <w:r>
        <w:rPr>
          <w:spacing w:val="-36"/>
        </w:rPr>
        <w:t xml:space="preserve"> </w:t>
      </w:r>
      <w:r>
        <w:rPr>
          <w:spacing w:val="4"/>
        </w:rPr>
        <w:t>自</w:t>
      </w:r>
      <w:r>
        <w:rPr>
          <w:spacing w:val="12"/>
        </w:rPr>
        <w:t>治区党委 人民政府关于新时代宁夏推进西部</w:t>
      </w:r>
      <w:r>
        <w:rPr>
          <w:spacing w:val="7"/>
        </w:rPr>
        <w:t>大开发的实施意见》，按照中共固原市委、市</w:t>
      </w:r>
      <w:r>
        <w:rPr>
          <w:spacing w:val="10"/>
        </w:rPr>
        <w:t>人民政府办公室印发的《固原市贯彻落实&lt;</w:t>
      </w:r>
      <w:r>
        <w:rPr>
          <w:spacing w:val="-53"/>
        </w:rPr>
        <w:t xml:space="preserve"> </w:t>
      </w:r>
      <w:r>
        <w:rPr>
          <w:spacing w:val="10"/>
        </w:rPr>
        <w:t>自</w:t>
      </w:r>
      <w:r>
        <w:rPr>
          <w:spacing w:val="18"/>
        </w:rPr>
        <w:t>治区党委人民政府关于新时代宁夏推进西部</w:t>
      </w:r>
      <w:r>
        <w:rPr>
          <w:spacing w:val="9"/>
        </w:rPr>
        <w:t>大开发的实施意见&gt;任务清单》</w:t>
      </w:r>
      <w:r>
        <w:rPr>
          <w:spacing w:val="-30"/>
        </w:rPr>
        <w:t xml:space="preserve"> </w:t>
      </w:r>
      <w:r>
        <w:rPr>
          <w:spacing w:val="9"/>
        </w:rPr>
        <w:t>，以加快促进</w:t>
      </w:r>
      <w:r>
        <w:rPr>
          <w:spacing w:val="7"/>
        </w:rPr>
        <w:t>区域协调和高质量发展为重点，紧抓新时代西</w:t>
      </w:r>
      <w:r>
        <w:rPr>
          <w:spacing w:val="7"/>
        </w:rPr>
        <w:t>部大开发形成新格局战略机遇，加快补齐基础</w:t>
      </w:r>
      <w:r>
        <w:rPr>
          <w:spacing w:val="7"/>
        </w:rPr>
        <w:t>设施短板，构建现代化综合交通运输体系和高</w:t>
      </w:r>
      <w:r>
        <w:rPr>
          <w:spacing w:val="8"/>
        </w:rPr>
        <w:t>效水资源综合利用体系，优化能源供需结构，</w:t>
      </w:r>
      <w:r>
        <w:rPr>
          <w:spacing w:val="8"/>
        </w:rPr>
        <w:t>持续加强信息化建设，筑牢高质量发展基石。</w:t>
      </w:r>
      <w:r>
        <w:rPr>
          <w:spacing w:val="7"/>
        </w:rPr>
        <w:t>进一步突出绿色发展，着力在高效生态农业发</w:t>
      </w:r>
      <w:r>
        <w:rPr>
          <w:spacing w:val="7"/>
        </w:rPr>
        <w:t>展上突围，在生态友好型工业发展上破题，在</w:t>
      </w:r>
    </w:p>
    <w:p>
      <w:pPr>
        <w:spacing w:line="14" w:lineRule="auto"/>
        <w:rPr>
          <w:rFonts w:ascii="Arial"/>
          <w:sz w:val="2"/>
        </w:rPr>
      </w:pPr>
      <w:r>
        <w:rPr>
          <w:rFonts w:ascii="Arial" w:hAnsi="Arial" w:eastAsia="Arial" w:cs="Arial"/>
          <w:sz w:val="2"/>
          <w:szCs w:val="2"/>
        </w:rPr>
        <w:br w:type="column"/>
      </w:r>
    </w:p>
    <w:p>
      <w:pPr>
        <w:pStyle w:val="BodyText"/>
        <w:ind w:left="3" w:right="59" w:firstLine="3"/>
        <w:spacing w:before="36" w:line="351" w:lineRule="auto"/>
        <w:jc w:val="both"/>
        <w:rPr/>
      </w:pPr>
      <w:r>
        <w:rPr>
          <w:spacing w:val="7"/>
        </w:rPr>
        <w:t>现代服务业发展上集聚，在全域旅游发展上破</w:t>
      </w:r>
      <w:r>
        <w:rPr>
          <w:spacing w:val="7"/>
        </w:rPr>
        <w:t>局，全力构建高质量产业体系。加快实施创新</w:t>
      </w:r>
      <w:r>
        <w:rPr>
          <w:spacing w:val="7"/>
        </w:rPr>
        <w:t>驱动战略，不断增强固原发展活力。进一步巩</w:t>
      </w:r>
      <w:r>
        <w:rPr>
          <w:spacing w:val="7"/>
        </w:rPr>
        <w:t>固脱贫攻坚成果，推动社会民生事业全面高质</w:t>
      </w:r>
      <w:r>
        <w:rPr>
          <w:spacing w:val="7"/>
        </w:rPr>
        <w:t>量发展。加快补齐全面建成小康社会后仍然存</w:t>
      </w:r>
      <w:r>
        <w:rPr>
          <w:spacing w:val="9"/>
        </w:rPr>
        <w:t>在的弱项短板，统筹城乡一体化发展。</w:t>
      </w:r>
    </w:p>
    <w:p>
      <w:pPr>
        <w:pStyle w:val="BodyText"/>
        <w:ind w:left="425"/>
        <w:spacing w:line="221" w:lineRule="auto"/>
        <w:rPr/>
      </w:pPr>
      <w:r>
        <w:rPr>
          <w:spacing w:val="6"/>
        </w:rPr>
        <w:t>积极融入“一带一路”倡议。主动参与</w:t>
      </w:r>
    </w:p>
    <w:p>
      <w:pPr>
        <w:pStyle w:val="BodyText"/>
        <w:ind w:left="24"/>
        <w:spacing w:before="141" w:line="224" w:lineRule="auto"/>
        <w:outlineLvl w:val="0"/>
        <w:rPr/>
      </w:pPr>
      <w:r>
        <w:rPr>
          <w:spacing w:val="6"/>
        </w:rPr>
        <w:t>国家“一带一路”建设，优化综合交通体系，</w:t>
      </w:r>
    </w:p>
    <w:p>
      <w:pPr>
        <w:pStyle w:val="BodyText"/>
        <w:ind w:left="2" w:right="59" w:firstLine="17"/>
        <w:spacing w:before="139" w:line="350" w:lineRule="auto"/>
        <w:jc w:val="both"/>
        <w:rPr/>
      </w:pPr>
      <w:r>
        <w:rPr>
          <w:spacing w:val="5"/>
        </w:rPr>
        <w:t>以对接兰州、西安中欧班列交通枢纽为重点，</w:t>
      </w:r>
      <w:r>
        <w:rPr>
          <w:spacing w:val="7"/>
        </w:rPr>
        <w:t>建设中欧班列支线铁路，促进商贸物流国内国</w:t>
      </w:r>
      <w:r>
        <w:rPr>
          <w:spacing w:val="7"/>
        </w:rPr>
        <w:t>外双向循环。积极探索建立与沿线国家、地区</w:t>
      </w:r>
      <w:r>
        <w:rPr>
          <w:spacing w:val="7"/>
        </w:rPr>
        <w:t>的合作发展机制，重点引进经贸企业在固原建</w:t>
      </w:r>
      <w:r>
        <w:rPr>
          <w:spacing w:val="7"/>
        </w:rPr>
        <w:t>立生产基地、科技成果转化基地，推动固原产</w:t>
      </w:r>
      <w:r>
        <w:rPr>
          <w:spacing w:val="7"/>
        </w:rPr>
        <w:t>品进入出口产品供应链体系，增强内外资企业</w:t>
      </w:r>
      <w:r>
        <w:rPr>
          <w:spacing w:val="7"/>
        </w:rPr>
        <w:t>产业关联度和技术交流合作，构建固原与“一</w:t>
      </w:r>
      <w:r>
        <w:rPr>
          <w:spacing w:val="7"/>
        </w:rPr>
        <w:t>带一路”沿线城市间协同发展模式。重点建设</w:t>
      </w:r>
      <w:r>
        <w:rPr>
          <w:spacing w:val="7"/>
        </w:rPr>
        <w:t>临空经济区，支持国际物流、电子商务发展，</w:t>
      </w:r>
      <w:r>
        <w:rPr>
          <w:spacing w:val="7"/>
        </w:rPr>
        <w:t>稳步建设跨境经济合作区，更好发挥境外经贸</w:t>
      </w:r>
      <w:r>
        <w:rPr>
          <w:spacing w:val="7"/>
        </w:rPr>
        <w:t>合作带动作用。</w:t>
      </w:r>
    </w:p>
    <w:p>
      <w:pPr>
        <w:spacing w:line="320" w:lineRule="auto"/>
        <w:rPr>
          <w:rFonts w:ascii="Arial"/>
          <w:sz w:val="21"/>
        </w:rPr>
      </w:pPr>
      <w:r/>
    </w:p>
    <w:p>
      <w:pPr>
        <w:pStyle w:val="BodyText"/>
        <w:ind w:left="817"/>
        <w:spacing w:before="66" w:line="223" w:lineRule="auto"/>
        <w:outlineLvl w:val="0"/>
        <w:rPr/>
      </w:pPr>
      <w:r>
        <w:rPr>
          <w:b/>
          <w:bCs/>
          <w:spacing w:val="7"/>
        </w:rPr>
        <w:t>第三节</w:t>
      </w:r>
      <w:r>
        <w:rPr>
          <w:spacing w:val="7"/>
        </w:rPr>
        <w:t xml:space="preserve">  </w:t>
      </w:r>
      <w:r>
        <w:rPr>
          <w:b/>
          <w:bCs/>
          <w:spacing w:val="7"/>
        </w:rPr>
        <w:t>推进重点领域改革</w:t>
      </w:r>
    </w:p>
    <w:p>
      <w:pPr>
        <w:spacing w:line="451" w:lineRule="auto"/>
        <w:rPr>
          <w:rFonts w:ascii="Arial"/>
          <w:sz w:val="21"/>
        </w:rPr>
      </w:pPr>
      <w:r/>
    </w:p>
    <w:p>
      <w:pPr>
        <w:pStyle w:val="BodyText"/>
        <w:ind w:left="3" w:right="59" w:firstLine="420"/>
        <w:spacing w:before="66" w:line="286" w:lineRule="auto"/>
        <w:outlineLvl w:val="0"/>
        <w:rPr/>
      </w:pPr>
      <w:r>
        <w:rPr>
          <w:spacing w:val="6"/>
        </w:rPr>
        <w:t>坚持社会主义市场经济改革方向，充分发</w:t>
      </w:r>
      <w:r>
        <w:rPr>
          <w:spacing w:val="7"/>
        </w:rPr>
        <w:t>挥市场在资源配置中的决定性作用，破除发展</w:t>
      </w:r>
    </w:p>
    <w:p>
      <w:pPr>
        <w:pStyle w:val="BodyText"/>
        <w:ind w:left="3"/>
        <w:spacing w:before="140" w:line="221" w:lineRule="auto"/>
        <w:rPr/>
      </w:pPr>
      <w:r>
        <w:rPr>
          <w:spacing w:val="9"/>
        </w:rPr>
        <w:t>瓶颈，汇聚发展优势，增强发展动力活力。</w:t>
      </w:r>
    </w:p>
    <w:p>
      <w:pPr>
        <w:pStyle w:val="BodyText"/>
        <w:ind w:left="8" w:right="59" w:firstLine="414"/>
        <w:spacing w:before="138" w:line="286" w:lineRule="auto"/>
        <w:outlineLvl w:val="0"/>
        <w:rPr/>
      </w:pPr>
      <w:r>
        <w:rPr>
          <w:spacing w:val="6"/>
        </w:rPr>
        <w:t>激发民营经济市场主体活力。深入贯彻习</w:t>
      </w:r>
      <w:r>
        <w:rPr>
          <w:spacing w:val="17"/>
        </w:rPr>
        <w:t>近平总书记在民营企业家座谈会上的重要讲</w:t>
      </w:r>
    </w:p>
    <w:p>
      <w:pPr>
        <w:pStyle w:val="BodyText"/>
        <w:ind w:left="2" w:right="59" w:hanging="2"/>
        <w:spacing w:before="139" w:line="328" w:lineRule="auto"/>
        <w:jc w:val="both"/>
        <w:rPr/>
      </w:pPr>
      <w:r>
        <w:rPr>
          <w:spacing w:val="7"/>
        </w:rPr>
        <w:t>话精神，全面落实自治区党委、政府《关于促</w:t>
      </w:r>
      <w:r>
        <w:rPr>
          <w:spacing w:val="16"/>
        </w:rPr>
        <w:t>进民营经济健康发展的若干意见》</w:t>
      </w:r>
      <w:r>
        <w:rPr>
          <w:spacing w:val="-59"/>
        </w:rPr>
        <w:t xml:space="preserve"> </w:t>
      </w:r>
      <w:r>
        <w:rPr>
          <w:spacing w:val="16"/>
        </w:rPr>
        <w:t>和固原市</w:t>
      </w:r>
      <w:r>
        <w:rPr>
          <w:spacing w:val="7"/>
        </w:rPr>
        <w:t>委、市人民政府《关于促进民营经济加快发展</w:t>
      </w:r>
      <w:r>
        <w:rPr>
          <w:spacing w:val="7"/>
        </w:rPr>
        <w:t>的实施意见》和“五项制度”，大力完善落实</w:t>
      </w:r>
      <w:r>
        <w:rPr>
          <w:spacing w:val="7"/>
        </w:rPr>
        <w:t>鼓励和引导民营资本健康发展的政策，依法平</w:t>
      </w:r>
      <w:r>
        <w:rPr>
          <w:spacing w:val="7"/>
        </w:rPr>
        <w:t>等保护民营经济主体合法权益，继续推进减税</w:t>
      </w:r>
      <w:r>
        <w:rPr>
          <w:spacing w:val="7"/>
        </w:rPr>
        <w:t>降费，切实减轻企业和个体工商户负担；创新</w:t>
      </w:r>
    </w:p>
    <w:p>
      <w:pPr>
        <w:spacing w:line="328" w:lineRule="auto"/>
        <w:sectPr>
          <w:type w:val="continuous"/>
          <w:pgSz w:w="11906" w:h="16839"/>
          <w:pgMar w:top="1793" w:right="1530" w:bottom="1570" w:left="1579" w:header="1428" w:footer="1172" w:gutter="0"/>
          <w:cols w:equalWidth="0" w:num="2">
            <w:col w:w="4487" w:space="100"/>
            <w:col w:w="4209" w:space="0"/>
          </w:cols>
        </w:sectPr>
        <w:rPr/>
      </w:pPr>
    </w:p>
    <w:p>
      <w:pPr>
        <w:spacing w:before="35"/>
        <w:rPr/>
      </w:pPr>
      <w:r>
        <w:drawing>
          <wp:anchor distT="0" distB="0" distL="0" distR="0" simplePos="0" relativeHeight="251840512"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530" name="IM 530"/>
            <wp:cNvGraphicFramePr/>
            <a:graphic>
              <a:graphicData uri="http://schemas.openxmlformats.org/drawingml/2006/picture">
                <pic:pic>
                  <pic:nvPicPr>
                    <pic:cNvPr id="530" name="IM 530"/>
                    <pic:cNvPicPr/>
                  </pic:nvPicPr>
                  <pic:blipFill>
                    <a:blip r:embed="rId267"/>
                    <a:stretch>
                      <a:fillRect/>
                    </a:stretch>
                  </pic:blipFill>
                  <pic:spPr>
                    <a:xfrm rot="0">
                      <a:off x="0" y="0"/>
                      <a:ext cx="5579745" cy="7619"/>
                    </a:xfrm>
                    <a:prstGeom prst="rect">
                      <a:avLst/>
                    </a:prstGeom>
                  </pic:spPr>
                </pic:pic>
              </a:graphicData>
            </a:graphic>
          </wp:anchor>
        </w:drawing>
      </w:r>
      <w:r/>
    </w:p>
    <w:p>
      <w:pPr>
        <w:sectPr>
          <w:headerReference w:type="default" r:id="rId188"/>
          <w:footerReference w:type="default" r:id="rId266"/>
          <w:pgSz w:w="11906" w:h="16839"/>
          <w:pgMar w:top="1793" w:right="1489" w:bottom="1673" w:left="1565" w:header="1428" w:footer="1277" w:gutter="0"/>
          <w:cols w:equalWidth="0" w:num="1">
            <w:col w:w="8852" w:space="0"/>
          </w:cols>
        </w:sectPr>
        <w:rPr/>
      </w:pPr>
    </w:p>
    <w:p>
      <w:pPr>
        <w:pStyle w:val="BodyText"/>
        <w:ind w:left="26" w:right="248" w:firstLine="1"/>
        <w:spacing w:before="49" w:line="350" w:lineRule="auto"/>
        <w:jc w:val="both"/>
        <w:rPr/>
      </w:pPr>
      <w:r>
        <w:rPr>
          <w:spacing w:val="7"/>
        </w:rPr>
        <w:t>优化金融服务，着力破解融资难题；持续培育</w:t>
      </w:r>
      <w:r>
        <w:rPr>
          <w:spacing w:val="7"/>
        </w:rPr>
        <w:t>市场主体，壮大增强规模活力；落实公平竞争</w:t>
      </w:r>
      <w:r>
        <w:rPr>
          <w:spacing w:val="10"/>
        </w:rPr>
        <w:t>审查制度，推进土地、劳动力、资本、技术、</w:t>
      </w:r>
      <w:r>
        <w:rPr>
          <w:spacing w:val="10"/>
        </w:rPr>
        <w:t>数据等要素市场化改革，加快建立平等准入、</w:t>
      </w:r>
      <w:r>
        <w:rPr>
          <w:spacing w:val="7"/>
        </w:rPr>
        <w:t>公正监管、诚信守法、高效规范、公平竞争的</w:t>
      </w:r>
      <w:r>
        <w:rPr>
          <w:spacing w:val="7"/>
        </w:rPr>
        <w:t>市场体系，努力提振发展信心，支持推动个体</w:t>
      </w:r>
      <w:r>
        <w:rPr>
          <w:spacing w:val="18"/>
        </w:rPr>
        <w:t>工商户转型升级。实施市场准入负面清单制</w:t>
      </w:r>
      <w:r>
        <w:rPr>
          <w:spacing w:val="7"/>
        </w:rPr>
        <w:t>度，坚持“非禁即许”，放开行业准入，鼓励</w:t>
      </w:r>
      <w:r>
        <w:rPr>
          <w:spacing w:val="7"/>
        </w:rPr>
        <w:t>发展非公有资本控股的混合所有制企业。开展</w:t>
      </w:r>
      <w:r>
        <w:rPr>
          <w:spacing w:val="7"/>
        </w:rPr>
        <w:t>民营企业建立现代企业制度试点，推进企业联</w:t>
      </w:r>
      <w:r>
        <w:rPr>
          <w:spacing w:val="7"/>
        </w:rPr>
        <w:t>合重组，打造一批优势企业，推进民营经济走</w:t>
      </w:r>
      <w:r>
        <w:rPr>
          <w:spacing w:val="7"/>
        </w:rPr>
        <w:t>特色化、规模化、集群化发展道路。加强中小</w:t>
      </w:r>
      <w:r>
        <w:rPr>
          <w:spacing w:val="7"/>
        </w:rPr>
        <w:t>微企业服务体系建设，不断完善民营经济发展</w:t>
      </w:r>
      <w:r>
        <w:rPr>
          <w:spacing w:val="7"/>
        </w:rPr>
        <w:t>政策体系，实施民营企业梯度培育计划，针对</w:t>
      </w:r>
      <w:r>
        <w:rPr>
          <w:spacing w:val="1"/>
        </w:rPr>
        <w:t>企业不同成长阶段，完善捕捉寻找、孵化培育、</w:t>
      </w:r>
      <w:r>
        <w:rPr>
          <w:spacing w:val="7"/>
        </w:rPr>
        <w:t>扶持壮大机制，健全支持中小微企业发展的制</w:t>
      </w:r>
      <w:r>
        <w:rPr>
          <w:spacing w:val="7"/>
        </w:rPr>
        <w:t>度和政策体系；鼓励银行采用第三方数据平台</w:t>
      </w:r>
      <w:r>
        <w:rPr>
          <w:spacing w:val="7"/>
        </w:rPr>
        <w:t>为企业增信，发展“云量贷”等新产品，破解</w:t>
      </w:r>
      <w:r>
        <w:rPr>
          <w:spacing w:val="8"/>
        </w:rPr>
        <w:t>中小微企业发展难题。</w:t>
      </w:r>
    </w:p>
    <w:p>
      <w:pPr>
        <w:pStyle w:val="BodyText"/>
        <w:ind w:left="449"/>
        <w:spacing w:before="9" w:line="220" w:lineRule="auto"/>
        <w:rPr/>
      </w:pPr>
      <w:r>
        <w:rPr>
          <w:spacing w:val="19"/>
        </w:rPr>
        <w:t>深化国资国企改革。坚持“两个毫不动</w:t>
      </w:r>
    </w:p>
    <w:p>
      <w:pPr>
        <w:pStyle w:val="BodyText"/>
        <w:ind w:left="27"/>
        <w:spacing w:before="139" w:line="224" w:lineRule="auto"/>
        <w:outlineLvl w:val="0"/>
        <w:rPr/>
      </w:pPr>
      <w:r>
        <w:rPr>
          <w:spacing w:val="7"/>
        </w:rPr>
        <w:t>摇”，结合市情不断完善各类国有资产管理体</w:t>
      </w:r>
    </w:p>
    <w:p>
      <w:pPr>
        <w:pStyle w:val="BodyText"/>
        <w:ind w:left="27" w:right="329" w:firstLine="1"/>
        <w:spacing w:before="141" w:line="338" w:lineRule="auto"/>
        <w:jc w:val="both"/>
        <w:rPr/>
      </w:pPr>
      <w:r>
        <w:rPr>
          <w:spacing w:val="7"/>
        </w:rPr>
        <w:t>制，增强国有经济活力、控制力、影响力和抗</w:t>
      </w:r>
      <w:r>
        <w:rPr>
          <w:spacing w:val="7"/>
        </w:rPr>
        <w:t>风险能力。进一步优化国有资本布局，加快国</w:t>
      </w:r>
      <w:r>
        <w:rPr>
          <w:spacing w:val="7"/>
        </w:rPr>
        <w:t>有资产整合重组，提高市属国有企业盈利和服</w:t>
      </w:r>
      <w:r>
        <w:rPr>
          <w:spacing w:val="15"/>
        </w:rPr>
        <w:t>务社会经济发展水平</w:t>
      </w:r>
      <w:r>
        <w:rPr>
          <w:spacing w:val="-40"/>
        </w:rPr>
        <w:t xml:space="preserve"> </w:t>
      </w:r>
      <w:r>
        <w:rPr>
          <w:spacing w:val="15"/>
        </w:rPr>
        <w:t>，提高国有资本运行效</w:t>
      </w:r>
      <w:r>
        <w:rPr>
          <w:spacing w:val="7"/>
        </w:rPr>
        <w:t>率；完善国有资本授权经营机制，提高监管的</w:t>
      </w:r>
      <w:r>
        <w:rPr>
          <w:spacing w:val="7"/>
        </w:rPr>
        <w:t>系统性、针对性和有效性。推进国有企业布局</w:t>
      </w:r>
      <w:r>
        <w:rPr>
          <w:spacing w:val="15"/>
        </w:rPr>
        <w:t>优化和结构调整</w:t>
      </w:r>
      <w:r>
        <w:rPr>
          <w:spacing w:val="-40"/>
        </w:rPr>
        <w:t xml:space="preserve"> </w:t>
      </w:r>
      <w:r>
        <w:rPr>
          <w:spacing w:val="15"/>
        </w:rPr>
        <w:t>，实施国企改革三年行动计</w:t>
      </w:r>
      <w:r>
        <w:rPr>
          <w:spacing w:val="7"/>
        </w:rPr>
        <w:t>划，完善现代企业管理制度，探索建立职业经</w:t>
      </w:r>
      <w:r>
        <w:rPr>
          <w:spacing w:val="7"/>
        </w:rPr>
        <w:t>理人制度，完善经营预算管理、收益分配和经</w:t>
      </w:r>
      <w:r>
        <w:rPr>
          <w:spacing w:val="7"/>
        </w:rPr>
        <w:t>营业绩考核机制。积极稳妥推进国有企业混合</w:t>
      </w:r>
      <w:r>
        <w:rPr>
          <w:spacing w:val="7"/>
        </w:rPr>
        <w:t>所有制改革，探索以产权（股权）转让、增资</w:t>
      </w:r>
      <w:r>
        <w:rPr>
          <w:spacing w:val="7"/>
        </w:rPr>
        <w:t>扩股、互相持股、重组上市等方式，规范有序</w:t>
      </w:r>
      <w:r>
        <w:rPr>
          <w:spacing w:val="8"/>
        </w:rPr>
        <w:t>地发展混合所有制经济。</w:t>
      </w:r>
    </w:p>
    <w:p>
      <w:pPr>
        <w:spacing w:line="14" w:lineRule="auto"/>
        <w:rPr>
          <w:rFonts w:ascii="Arial"/>
          <w:sz w:val="2"/>
        </w:rPr>
      </w:pPr>
      <w:r>
        <w:rPr>
          <w:rFonts w:ascii="Arial" w:hAnsi="Arial" w:eastAsia="Arial" w:cs="Arial"/>
          <w:sz w:val="2"/>
          <w:szCs w:val="2"/>
        </w:rPr>
        <w:br w:type="column"/>
      </w:r>
    </w:p>
    <w:p>
      <w:pPr>
        <w:pStyle w:val="BodyText"/>
        <w:ind w:left="17" w:right="94" w:firstLine="405"/>
        <w:spacing w:before="39" w:line="287" w:lineRule="auto"/>
        <w:outlineLvl w:val="0"/>
        <w:rPr/>
      </w:pPr>
      <w:r>
        <w:rPr>
          <w:spacing w:val="6"/>
        </w:rPr>
        <w:t>完善现代财税金融机制。根据国家和自治</w:t>
      </w:r>
      <w:r>
        <w:rPr>
          <w:spacing w:val="6"/>
        </w:rPr>
        <w:t>区的安排部署，积极推进财税体制机制改革，</w:t>
      </w:r>
    </w:p>
    <w:p>
      <w:pPr>
        <w:pStyle w:val="BodyText"/>
        <w:ind w:right="23" w:firstLine="2"/>
        <w:spacing w:before="132" w:line="351" w:lineRule="auto"/>
        <w:jc w:val="both"/>
        <w:rPr/>
      </w:pPr>
      <w:r>
        <w:rPr>
          <w:spacing w:val="1"/>
        </w:rPr>
        <w:t>不断提高经济治理、市场调节、公共服务能力。</w:t>
      </w:r>
      <w:r>
        <w:rPr>
          <w:spacing w:val="7"/>
        </w:rPr>
        <w:t>加强财政资源统筹，增强全市重大战略任务财</w:t>
      </w:r>
      <w:r>
        <w:rPr>
          <w:spacing w:val="7"/>
        </w:rPr>
        <w:t>力保障；深化预算管理制度改革，实施全面规</w:t>
      </w:r>
      <w:r>
        <w:rPr>
          <w:spacing w:val="7"/>
        </w:rPr>
        <w:t>范、公开透明的预算制度，积极争取自治区增</w:t>
      </w:r>
      <w:r>
        <w:rPr>
          <w:spacing w:val="7"/>
        </w:rPr>
        <w:t>加一般性转移支付规模，规范约束政府购买服</w:t>
      </w:r>
      <w:r>
        <w:rPr>
          <w:spacing w:val="7"/>
        </w:rPr>
        <w:t>务，强化预算约束和绩效管理；进一步规范政</w:t>
      </w:r>
      <w:r>
        <w:rPr>
          <w:spacing w:val="11"/>
        </w:rPr>
        <w:t>府非税收入管理，严格管控新增政府性债务，</w:t>
      </w:r>
      <w:r>
        <w:rPr>
          <w:spacing w:val="7"/>
        </w:rPr>
        <w:t>健全政府债务管理制度；全面深化国家和自治</w:t>
      </w:r>
      <w:r>
        <w:rPr>
          <w:spacing w:val="7"/>
        </w:rPr>
        <w:t>区税制改革，完善现代税收制度，要持续培植</w:t>
      </w:r>
      <w:r>
        <w:rPr>
          <w:spacing w:val="7"/>
        </w:rPr>
        <w:t>税源，加强征管，健全地方税体系，深化税收</w:t>
      </w:r>
      <w:r>
        <w:rPr>
          <w:spacing w:val="7"/>
        </w:rPr>
        <w:t>征管制度改革；健全完善各级金融机构，构建</w:t>
      </w:r>
      <w:r>
        <w:rPr>
          <w:spacing w:val="7"/>
        </w:rPr>
        <w:t>金融有效支持实体经济的体制机制，增强金融</w:t>
      </w:r>
      <w:r>
        <w:rPr>
          <w:spacing w:val="6"/>
        </w:rPr>
        <w:t>普惠性。</w:t>
      </w:r>
    </w:p>
    <w:p>
      <w:pPr>
        <w:pStyle w:val="BodyText"/>
        <w:ind w:left="2" w:right="78" w:firstLine="421"/>
        <w:spacing w:before="5" w:line="286" w:lineRule="auto"/>
        <w:outlineLvl w:val="0"/>
        <w:rPr/>
      </w:pPr>
      <w:r>
        <w:rPr>
          <w:spacing w:val="8"/>
        </w:rPr>
        <w:t>推进价格机制改革。着力推进医疗服务、</w:t>
      </w:r>
      <w:r>
        <w:rPr>
          <w:spacing w:val="7"/>
        </w:rPr>
        <w:t>教育、农业用水、供暖等重点领域价格改革，</w:t>
      </w:r>
    </w:p>
    <w:p>
      <w:pPr>
        <w:pStyle w:val="BodyText"/>
        <w:ind w:right="101" w:firstLine="1"/>
        <w:spacing w:before="135" w:line="351" w:lineRule="auto"/>
        <w:jc w:val="both"/>
        <w:rPr/>
      </w:pPr>
      <w:r>
        <w:rPr>
          <w:spacing w:val="7"/>
        </w:rPr>
        <w:t>完善农产品价格形成机制，加快资源性产品价</w:t>
      </w:r>
      <w:r>
        <w:rPr>
          <w:spacing w:val="7"/>
        </w:rPr>
        <w:t>格市场化改革，放开竞争性环节价格，充分发</w:t>
      </w:r>
      <w:r>
        <w:rPr>
          <w:spacing w:val="18"/>
        </w:rPr>
        <w:t>挥市场决定价格作用。加强市场价格监测预</w:t>
      </w:r>
      <w:r>
        <w:rPr>
          <w:spacing w:val="7"/>
        </w:rPr>
        <w:t>警，加强价格监管，规范价格秩序，切实保护</w:t>
      </w:r>
      <w:r>
        <w:rPr>
          <w:spacing w:val="8"/>
        </w:rPr>
        <w:t>消费者合法权益。</w:t>
      </w:r>
    </w:p>
    <w:p>
      <w:pPr>
        <w:spacing w:line="315" w:lineRule="auto"/>
        <w:rPr>
          <w:rFonts w:ascii="Arial"/>
          <w:sz w:val="21"/>
        </w:rPr>
      </w:pPr>
      <w:r/>
    </w:p>
    <w:p>
      <w:pPr>
        <w:pStyle w:val="BodyText"/>
        <w:ind w:left="815"/>
        <w:spacing w:before="65" w:line="221" w:lineRule="auto"/>
        <w:outlineLvl w:val="0"/>
        <w:rPr/>
      </w:pPr>
      <w:r>
        <w:rPr>
          <w:b/>
          <w:bCs/>
          <w:spacing w:val="7"/>
        </w:rPr>
        <w:t>第四节</w:t>
      </w:r>
      <w:r>
        <w:rPr>
          <w:spacing w:val="7"/>
        </w:rPr>
        <w:t xml:space="preserve">  </w:t>
      </w:r>
      <w:r>
        <w:rPr>
          <w:b/>
          <w:bCs/>
          <w:spacing w:val="7"/>
        </w:rPr>
        <w:t>深化对外开放合作</w:t>
      </w:r>
    </w:p>
    <w:p>
      <w:pPr>
        <w:spacing w:line="453" w:lineRule="auto"/>
        <w:rPr>
          <w:rFonts w:ascii="Arial"/>
          <w:sz w:val="21"/>
        </w:rPr>
      </w:pPr>
      <w:r/>
    </w:p>
    <w:p>
      <w:pPr>
        <w:pStyle w:val="BodyText"/>
        <w:ind w:right="101" w:firstLine="421"/>
        <w:spacing w:before="66" w:line="286" w:lineRule="auto"/>
        <w:outlineLvl w:val="0"/>
        <w:rPr/>
      </w:pPr>
      <w:r>
        <w:rPr>
          <w:spacing w:val="6"/>
        </w:rPr>
        <w:t>坚持对外开放和对内合作相结合，畅通对</w:t>
      </w:r>
      <w:r>
        <w:rPr>
          <w:spacing w:val="7"/>
        </w:rPr>
        <w:t>外开放通道，强化区域间产业链互补、供应链</w:t>
      </w:r>
    </w:p>
    <w:p>
      <w:pPr>
        <w:pStyle w:val="BodyText"/>
        <w:ind w:left="4" w:right="101" w:hanging="4"/>
        <w:spacing w:before="138" w:line="352" w:lineRule="auto"/>
        <w:rPr/>
      </w:pPr>
      <w:r>
        <w:rPr>
          <w:spacing w:val="7"/>
        </w:rPr>
        <w:t>互促，创新开放型经济新机制，借势借力推动</w:t>
      </w:r>
      <w:r>
        <w:rPr>
          <w:spacing w:val="7"/>
        </w:rPr>
        <w:t>高水平开放合作。</w:t>
      </w:r>
    </w:p>
    <w:p>
      <w:pPr>
        <w:pStyle w:val="BodyText"/>
        <w:ind w:left="1" w:right="101" w:firstLine="431"/>
        <w:spacing w:before="1" w:line="285" w:lineRule="auto"/>
        <w:outlineLvl w:val="0"/>
        <w:rPr/>
      </w:pPr>
      <w:r>
        <w:rPr>
          <w:spacing w:val="6"/>
        </w:rPr>
        <w:t>畅通全方位对外开放通道。加快推进宝中</w:t>
      </w:r>
      <w:r>
        <w:rPr>
          <w:spacing w:val="7"/>
        </w:rPr>
        <w:t>铁路扩能改造，积极争取定西经固原至平凉至</w:t>
      </w:r>
    </w:p>
    <w:p>
      <w:pPr>
        <w:pStyle w:val="BodyText"/>
        <w:ind w:right="101" w:firstLine="3"/>
        <w:spacing w:before="141" w:line="296" w:lineRule="auto"/>
        <w:jc w:val="both"/>
        <w:rPr/>
      </w:pPr>
      <w:r>
        <w:rPr>
          <w:spacing w:val="7"/>
        </w:rPr>
        <w:t>庆阳铁路建设，配合自治区及毗邻省市积极做</w:t>
      </w:r>
      <w:r>
        <w:rPr>
          <w:spacing w:val="18"/>
        </w:rPr>
        <w:t>好银渝高铁客运专线固原段建设前期推进工</w:t>
      </w:r>
      <w:r>
        <w:rPr>
          <w:spacing w:val="7"/>
        </w:rPr>
        <w:t>作，努力将固原融入国家高速铁路网中，推动</w:t>
      </w:r>
    </w:p>
    <w:p>
      <w:pPr>
        <w:spacing w:line="296" w:lineRule="auto"/>
        <w:sectPr>
          <w:type w:val="continuous"/>
          <w:pgSz w:w="11906" w:h="16839"/>
          <w:pgMar w:top="1793" w:right="1489" w:bottom="1673" w:left="1565" w:header="1428" w:footer="1277" w:gutter="0"/>
          <w:cols w:equalWidth="0" w:num="2">
            <w:col w:w="4504" w:space="100"/>
            <w:col w:w="4249" w:space="0"/>
          </w:cols>
        </w:sectPr>
        <w:rPr/>
      </w:pPr>
    </w:p>
    <w:p>
      <w:pPr>
        <w:spacing w:before="25"/>
        <w:rPr/>
      </w:pPr>
      <w:r>
        <w:drawing>
          <wp:anchor distT="0" distB="0" distL="0" distR="0" simplePos="0" relativeHeight="251842560"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534" name="IM 534"/>
            <wp:cNvGraphicFramePr/>
            <a:graphic>
              <a:graphicData uri="http://schemas.openxmlformats.org/drawingml/2006/picture">
                <pic:pic>
                  <pic:nvPicPr>
                    <pic:cNvPr id="534" name="IM 534"/>
                    <pic:cNvPicPr/>
                  </pic:nvPicPr>
                  <pic:blipFill>
                    <a:blip r:embed="rId269"/>
                    <a:stretch>
                      <a:fillRect/>
                    </a:stretch>
                  </pic:blipFill>
                  <pic:spPr>
                    <a:xfrm rot="0">
                      <a:off x="0" y="0"/>
                      <a:ext cx="5579745" cy="7619"/>
                    </a:xfrm>
                    <a:prstGeom prst="rect">
                      <a:avLst/>
                    </a:prstGeom>
                  </pic:spPr>
                </pic:pic>
              </a:graphicData>
            </a:graphic>
          </wp:anchor>
        </w:drawing>
      </w:r>
      <w:r/>
    </w:p>
    <w:p>
      <w:pPr>
        <w:sectPr>
          <w:headerReference w:type="default" r:id="rId167"/>
          <w:footerReference w:type="default" r:id="rId268"/>
          <w:pgSz w:w="11906" w:h="16839"/>
          <w:pgMar w:top="1793" w:right="1509" w:bottom="1570" w:left="1579" w:header="1428" w:footer="1172" w:gutter="0"/>
          <w:cols w:equalWidth="0" w:num="1">
            <w:col w:w="8817" w:space="0"/>
          </w:cols>
        </w:sectPr>
        <w:rPr/>
      </w:pPr>
    </w:p>
    <w:p>
      <w:pPr>
        <w:pStyle w:val="BodyText"/>
        <w:ind w:left="13" w:right="247" w:firstLine="21"/>
        <w:spacing w:before="52" w:line="349" w:lineRule="auto"/>
        <w:jc w:val="both"/>
        <w:rPr/>
      </w:pPr>
      <w:r>
        <w:rPr>
          <w:spacing w:val="6"/>
        </w:rPr>
        <w:t>固原物流园区、经济开发区深度对接西安中欧</w:t>
      </w:r>
      <w:r>
        <w:rPr>
          <w:spacing w:val="7"/>
        </w:rPr>
        <w:t>班列枢纽城市、中卫中欧班列节点、兰州国际</w:t>
      </w:r>
      <w:r>
        <w:rPr>
          <w:spacing w:val="7"/>
        </w:rPr>
        <w:t>陆（空）港等，实现与国际市场有机衔接。规</w:t>
      </w:r>
      <w:r>
        <w:rPr>
          <w:spacing w:val="7"/>
        </w:rPr>
        <w:t>划建设六盘山机场空港经济区，增加面向东部</w:t>
      </w:r>
      <w:r>
        <w:rPr>
          <w:spacing w:val="11"/>
        </w:rPr>
        <w:t>沿海地区航线，新建和改扩建市域高速公路，</w:t>
      </w:r>
      <w:r>
        <w:rPr>
          <w:spacing w:val="4"/>
        </w:rPr>
        <w:t>加强与周边市县（</w:t>
      </w:r>
      <w:r>
        <w:rPr>
          <w:spacing w:val="-36"/>
        </w:rPr>
        <w:t xml:space="preserve"> </w:t>
      </w:r>
      <w:r>
        <w:rPr>
          <w:spacing w:val="4"/>
        </w:rPr>
        <w:t>区）的互联互通，加强国内</w:t>
      </w:r>
      <w:r>
        <w:rPr>
          <w:spacing w:val="1"/>
        </w:rPr>
        <w:t>国际贸易往来，为引进外商投资、出入境旅游、</w:t>
      </w:r>
      <w:r>
        <w:rPr>
          <w:spacing w:val="8"/>
        </w:rPr>
        <w:t>商务交流提供便利。</w:t>
      </w:r>
    </w:p>
    <w:p>
      <w:pPr>
        <w:pStyle w:val="BodyText"/>
        <w:ind w:left="439"/>
        <w:spacing w:before="15" w:line="221" w:lineRule="auto"/>
        <w:rPr/>
      </w:pPr>
      <w:r>
        <w:rPr>
          <w:spacing w:val="18"/>
        </w:rPr>
        <w:t>打造高水平对外开放平台。突破地域局</w:t>
      </w:r>
    </w:p>
    <w:p>
      <w:pPr>
        <w:pStyle w:val="BodyText"/>
        <w:ind w:left="28"/>
        <w:spacing w:before="138" w:line="224" w:lineRule="auto"/>
        <w:outlineLvl w:val="0"/>
        <w:rPr/>
      </w:pPr>
      <w:r>
        <w:rPr>
          <w:spacing w:val="6"/>
        </w:rPr>
        <w:t>限，积极搭建闽宁协作产业园，加强闽宁衔接</w:t>
      </w:r>
    </w:p>
    <w:p>
      <w:pPr>
        <w:pStyle w:val="BodyText"/>
        <w:ind w:left="12" w:right="251" w:firstLine="5"/>
        <w:spacing w:before="149" w:line="350" w:lineRule="auto"/>
        <w:jc w:val="right"/>
        <w:rPr/>
      </w:pPr>
      <w:r>
        <w:rPr>
          <w:spacing w:val="17"/>
        </w:rPr>
        <w:t>沟通交流，进一步扩大合作交流的广度与深</w:t>
      </w:r>
      <w:r>
        <w:rPr>
          <w:spacing w:val="7"/>
        </w:rPr>
        <w:t>度，借势借力推动高水平开放合作。紧盯“一</w:t>
      </w:r>
      <w:r>
        <w:rPr>
          <w:spacing w:val="7"/>
        </w:rPr>
        <w:t>带一路”倡议，对标宁夏内陆开放型经济试验</w:t>
      </w:r>
      <w:r>
        <w:rPr>
          <w:spacing w:val="7"/>
        </w:rPr>
        <w:t>区建设，以发展口岸经济、破除外向型经济制</w:t>
      </w:r>
      <w:r>
        <w:rPr>
          <w:spacing w:val="9"/>
        </w:rPr>
        <w:t>约瓶颈为目标，积极申报设立保税物流园区，</w:t>
      </w:r>
      <w:r>
        <w:rPr>
          <w:spacing w:val="8"/>
        </w:rPr>
        <w:t>完善保税物流、加工、产品研发、交易展示、</w:t>
      </w:r>
      <w:r>
        <w:rPr>
          <w:spacing w:val="9"/>
        </w:rPr>
        <w:t>国际中转等服务功能，打造外向型物流基地，</w:t>
      </w:r>
      <w:r>
        <w:rPr>
          <w:spacing w:val="18"/>
        </w:rPr>
        <w:t>带动外向型经济发展。利用中国冷凉蔬菜之</w:t>
      </w:r>
      <w:r>
        <w:rPr>
          <w:spacing w:val="7"/>
        </w:rPr>
        <w:t>乡、马铃薯种薯之乡、六盘山黄牛之乡等“国</w:t>
      </w:r>
      <w:r>
        <w:rPr>
          <w:spacing w:val="1"/>
        </w:rPr>
        <w:t>字号”品牌，强化争政策、项目、资金的意识，</w:t>
      </w:r>
      <w:r>
        <w:rPr>
          <w:spacing w:val="7"/>
        </w:rPr>
        <w:t>积极吸引和举办重大会议、论坛和经贸洽谈活</w:t>
      </w:r>
      <w:r>
        <w:rPr>
          <w:spacing w:val="7"/>
        </w:rPr>
        <w:t>动，打造、壮大粤港澳蔬菜基地、苗木供应基</w:t>
      </w:r>
      <w:r>
        <w:rPr>
          <w:spacing w:val="7"/>
        </w:rPr>
        <w:t>地、旅游外宣基地等高水平开放平台，不断扩</w:t>
      </w:r>
      <w:r>
        <w:rPr>
          <w:spacing w:val="7"/>
        </w:rPr>
        <w:t>大固原的影响力。建立国际贸易口岸，形成与</w:t>
      </w:r>
      <w:r>
        <w:rPr>
          <w:spacing w:val="7"/>
        </w:rPr>
        <w:t>银川、西安、兰州、霍尔果斯、喀什等口岸高</w:t>
      </w:r>
      <w:r>
        <w:rPr>
          <w:spacing w:val="-8"/>
        </w:rPr>
        <w:t>度融合的国际化口岸服务体系，实现通关便</w:t>
      </w:r>
      <w:r>
        <w:rPr>
          <w:spacing w:val="-9"/>
        </w:rPr>
        <w:t>利化。</w:t>
      </w:r>
      <w:r>
        <w:rPr>
          <w:spacing w:val="6"/>
        </w:rPr>
        <w:t>加强对外经贸合作。面向高值化农业、生</w:t>
      </w:r>
    </w:p>
    <w:p>
      <w:pPr>
        <w:pStyle w:val="BodyText"/>
        <w:ind w:left="14"/>
        <w:spacing w:before="3" w:line="223" w:lineRule="auto"/>
        <w:outlineLvl w:val="0"/>
        <w:rPr/>
      </w:pPr>
      <w:r>
        <w:rPr>
          <w:spacing w:val="7"/>
        </w:rPr>
        <w:t>态保护、资源型产业领域，引进国内外行业投</w:t>
      </w:r>
    </w:p>
    <w:p>
      <w:pPr>
        <w:pStyle w:val="BodyText"/>
        <w:ind w:left="13" w:right="304" w:firstLine="4"/>
        <w:spacing w:before="136" w:line="324" w:lineRule="auto"/>
        <w:jc w:val="both"/>
        <w:rPr/>
      </w:pPr>
      <w:r>
        <w:rPr>
          <w:spacing w:val="7"/>
        </w:rPr>
        <w:t>资企业、外贸企业，推动肉牛、中药材、有机</w:t>
      </w:r>
      <w:r>
        <w:rPr>
          <w:spacing w:val="7"/>
        </w:rPr>
        <w:t>冷凉蔬菜、盐化工等加工、销售、推广，提升</w:t>
      </w:r>
      <w:r>
        <w:rPr>
          <w:spacing w:val="8"/>
        </w:rPr>
        <w:t>特色优质产品的国际竞争力和出口创汇水平。</w:t>
      </w:r>
      <w:r>
        <w:rPr>
          <w:spacing w:val="7"/>
        </w:rPr>
        <w:t>充分利用信息化手段积极参与中阿博览会、广</w:t>
      </w:r>
      <w:r>
        <w:rPr>
          <w:spacing w:val="7"/>
        </w:rPr>
        <w:t>交会、西洽会等国际经贸活动，充分发挥陕甘</w:t>
      </w:r>
      <w:r>
        <w:rPr>
          <w:spacing w:val="8"/>
        </w:rPr>
        <w:t>宁蒙青五省联席会议等节会作用，加强牛肉、</w:t>
      </w:r>
    </w:p>
    <w:p>
      <w:pPr>
        <w:spacing w:line="14" w:lineRule="auto"/>
        <w:rPr>
          <w:rFonts w:ascii="Arial"/>
          <w:sz w:val="2"/>
        </w:rPr>
      </w:pPr>
      <w:r>
        <w:rPr>
          <w:rFonts w:ascii="Arial" w:hAnsi="Arial" w:eastAsia="Arial" w:cs="Arial"/>
          <w:sz w:val="2"/>
          <w:szCs w:val="2"/>
        </w:rPr>
        <w:br w:type="column"/>
      </w:r>
    </w:p>
    <w:p>
      <w:pPr>
        <w:pStyle w:val="BodyText"/>
        <w:ind w:left="3" w:right="80" w:firstLine="21"/>
        <w:spacing w:before="46" w:line="352" w:lineRule="auto"/>
        <w:jc w:val="both"/>
        <w:rPr/>
      </w:pPr>
      <w:r>
        <w:rPr>
          <w:spacing w:val="6"/>
        </w:rPr>
        <w:t>中药、高档纺织等产品的国内推介和国际贸易</w:t>
      </w:r>
      <w:r>
        <w:rPr>
          <w:spacing w:val="7"/>
        </w:rPr>
        <w:t>往来，常态化举办登山节、花儿节，借势借力</w:t>
      </w:r>
      <w:r>
        <w:rPr>
          <w:spacing w:val="9"/>
        </w:rPr>
        <w:t>提升本地企业和产品的国际知名度。</w:t>
      </w:r>
    </w:p>
    <w:p>
      <w:pPr>
        <w:pStyle w:val="BodyText"/>
        <w:ind w:left="4" w:right="80" w:firstLine="417"/>
        <w:spacing w:before="1" w:line="287" w:lineRule="auto"/>
        <w:outlineLvl w:val="0"/>
        <w:rPr/>
      </w:pPr>
      <w:r>
        <w:rPr>
          <w:spacing w:val="7"/>
        </w:rPr>
        <w:t>创新开放型经济新机制。在闽宁合作的基</w:t>
      </w:r>
      <w:r>
        <w:rPr>
          <w:spacing w:val="7"/>
        </w:rPr>
        <w:t>础上，实施园区结对，探索建立飞地园区、无</w:t>
      </w:r>
    </w:p>
    <w:p>
      <w:pPr>
        <w:pStyle w:val="BodyText"/>
        <w:ind w:left="2"/>
        <w:spacing w:before="137" w:line="351" w:lineRule="auto"/>
        <w:jc w:val="both"/>
        <w:rPr/>
      </w:pPr>
      <w:r>
        <w:rPr>
          <w:spacing w:val="7"/>
        </w:rPr>
        <w:t>水港、跨区域合作园区和共享共建园区，积极</w:t>
      </w:r>
      <w:r>
        <w:rPr>
          <w:spacing w:val="7"/>
        </w:rPr>
        <w:t>承接东部地区产业转移和科技成果转化，实现</w:t>
      </w:r>
      <w:r>
        <w:rPr>
          <w:spacing w:val="1"/>
        </w:rPr>
        <w:t>共赢发展。创新区域合作组织保障、规划衔接、</w:t>
      </w:r>
      <w:r>
        <w:rPr>
          <w:spacing w:val="10"/>
        </w:rPr>
        <w:t>利益协调、激励约束、资金分担、信息共享、</w:t>
      </w:r>
      <w:r>
        <w:rPr>
          <w:spacing w:val="7"/>
        </w:rPr>
        <w:t>政策协调、区域合作、产业衔接、园区共建等</w:t>
      </w:r>
      <w:r>
        <w:rPr>
          <w:spacing w:val="7"/>
        </w:rPr>
        <w:t>机制。围绕产业数字化、数字产业化，推动互</w:t>
      </w:r>
      <w:r>
        <w:rPr>
          <w:spacing w:val="9"/>
        </w:rPr>
        <w:t>联网、大数据、人工智能同各产业深度融合。</w:t>
      </w:r>
    </w:p>
    <w:p>
      <w:pPr>
        <w:spacing w:line="311" w:lineRule="auto"/>
        <w:rPr>
          <w:rFonts w:ascii="Arial"/>
          <w:sz w:val="21"/>
        </w:rPr>
      </w:pPr>
      <w:r/>
    </w:p>
    <w:p>
      <w:pPr>
        <w:pStyle w:val="BodyText"/>
        <w:ind w:left="817"/>
        <w:spacing w:before="65" w:line="221" w:lineRule="auto"/>
        <w:outlineLvl w:val="0"/>
        <w:rPr/>
      </w:pPr>
      <w:r>
        <w:rPr>
          <w:b/>
          <w:bCs/>
          <w:spacing w:val="7"/>
        </w:rPr>
        <w:t>第五节</w:t>
      </w:r>
      <w:r>
        <w:rPr>
          <w:spacing w:val="7"/>
        </w:rPr>
        <w:t xml:space="preserve">  </w:t>
      </w:r>
      <w:r>
        <w:rPr>
          <w:b/>
          <w:bCs/>
          <w:spacing w:val="7"/>
        </w:rPr>
        <w:t>持续优化营商环境</w:t>
      </w:r>
    </w:p>
    <w:p>
      <w:pPr>
        <w:spacing w:line="451" w:lineRule="auto"/>
        <w:rPr>
          <w:rFonts w:ascii="Arial"/>
          <w:sz w:val="21"/>
        </w:rPr>
      </w:pPr>
      <w:r/>
    </w:p>
    <w:p>
      <w:pPr>
        <w:pStyle w:val="BodyText"/>
        <w:ind w:left="7" w:right="80" w:firstLine="417"/>
        <w:spacing w:before="66" w:line="287" w:lineRule="auto"/>
        <w:outlineLvl w:val="0"/>
        <w:rPr/>
      </w:pPr>
      <w:r>
        <w:rPr>
          <w:spacing w:val="6"/>
        </w:rPr>
        <w:t>深化“放管服”改革，全面实行政府权责</w:t>
      </w:r>
      <w:r>
        <w:rPr>
          <w:spacing w:val="7"/>
        </w:rPr>
        <w:t>清单制度，加快社会信用体系建设，加强事中</w:t>
      </w:r>
    </w:p>
    <w:p>
      <w:pPr>
        <w:pStyle w:val="BodyText"/>
        <w:ind w:left="3"/>
        <w:spacing w:before="137" w:line="224" w:lineRule="auto"/>
        <w:rPr/>
      </w:pPr>
      <w:r>
        <w:rPr>
          <w:spacing w:val="9"/>
        </w:rPr>
        <w:t>事后监管，着力构建亲清政商关系。</w:t>
      </w:r>
    </w:p>
    <w:p>
      <w:pPr>
        <w:pStyle w:val="BodyText"/>
        <w:ind w:left="18" w:right="80" w:firstLine="405"/>
        <w:spacing w:before="138" w:line="287" w:lineRule="auto"/>
        <w:outlineLvl w:val="0"/>
        <w:rPr/>
      </w:pPr>
      <w:r>
        <w:rPr>
          <w:spacing w:val="6"/>
        </w:rPr>
        <w:t>加快转变政府职能。对标对表中央、自治</w:t>
      </w:r>
      <w:r>
        <w:rPr>
          <w:spacing w:val="6"/>
        </w:rPr>
        <w:t>区的安排部署，深化简政放权、放管结合，优</w:t>
      </w:r>
    </w:p>
    <w:p>
      <w:pPr>
        <w:pStyle w:val="BodyText"/>
        <w:ind w:right="60" w:firstLine="3"/>
        <w:spacing w:before="140" w:line="339" w:lineRule="auto"/>
        <w:jc w:val="both"/>
        <w:rPr/>
      </w:pPr>
      <w:r>
        <w:rPr>
          <w:spacing w:val="7"/>
        </w:rPr>
        <w:t>化服务改革，建设职责明确、依法行政的政府</w:t>
      </w:r>
      <w:r>
        <w:rPr>
          <w:spacing w:val="7"/>
        </w:rPr>
        <w:t>治理体系；创新行政方式，提高行政效能，建</w:t>
      </w:r>
      <w:r>
        <w:rPr>
          <w:spacing w:val="7"/>
        </w:rPr>
        <w:t>设服务型政府。深化“放管服”改革，全面实</w:t>
      </w:r>
      <w:r>
        <w:rPr>
          <w:spacing w:val="7"/>
        </w:rPr>
        <w:t>行政府权责清单制度。实施涉企经营许可事项</w:t>
      </w:r>
      <w:r>
        <w:rPr>
          <w:spacing w:val="7"/>
        </w:rPr>
        <w:t>清单管理，加强事中事后监管，对新产业新业</w:t>
      </w:r>
      <w:r>
        <w:rPr>
          <w:spacing w:val="7"/>
        </w:rPr>
        <w:t>态实行包容审慎监管。健全重大政策事前评估</w:t>
      </w:r>
      <w:r>
        <w:rPr>
          <w:spacing w:val="8"/>
        </w:rPr>
        <w:t>和事后评价制度，畅通参与政策制定的渠道，</w:t>
      </w:r>
      <w:r>
        <w:rPr>
          <w:spacing w:val="7"/>
        </w:rPr>
        <w:t>提高决策科学化、民主化、法治化水平。推进</w:t>
      </w:r>
      <w:r>
        <w:rPr>
          <w:spacing w:val="8"/>
        </w:rPr>
        <w:t>“</w:t>
      </w:r>
      <w:r>
        <w:rPr>
          <w:spacing w:val="-62"/>
        </w:rPr>
        <w:t xml:space="preserve"> </w:t>
      </w:r>
      <w:r>
        <w:rPr>
          <w:spacing w:val="8"/>
        </w:rPr>
        <w:t>163”政务服务模式市、县一体化</w:t>
      </w:r>
      <w:r>
        <w:rPr>
          <w:spacing w:val="-59"/>
        </w:rPr>
        <w:t xml:space="preserve"> </w:t>
      </w:r>
      <w:r>
        <w:rPr>
          <w:spacing w:val="8"/>
        </w:rPr>
        <w:t>，推动政</w:t>
      </w:r>
      <w:r>
        <w:rPr>
          <w:spacing w:val="7"/>
        </w:rPr>
        <w:t>务服务标准化、规范化、便利化，打造政务服</w:t>
      </w:r>
      <w:r>
        <w:rPr>
          <w:spacing w:val="11"/>
        </w:rPr>
        <w:t>务“简易办”高地。推广“互联网+监管”</w:t>
      </w:r>
      <w:r>
        <w:rPr>
          <w:spacing w:val="-53"/>
        </w:rPr>
        <w:t xml:space="preserve"> </w:t>
      </w:r>
      <w:r>
        <w:rPr>
          <w:spacing w:val="11"/>
        </w:rPr>
        <w:t>，</w:t>
      </w:r>
      <w:r>
        <w:rPr>
          <w:spacing w:val="7"/>
        </w:rPr>
        <w:t>健全强有力的行政执行系统，持续推进营商环</w:t>
      </w:r>
      <w:r>
        <w:rPr>
          <w:spacing w:val="15"/>
        </w:rPr>
        <w:t>境专项整治</w:t>
      </w:r>
      <w:r>
        <w:rPr>
          <w:spacing w:val="-38"/>
        </w:rPr>
        <w:t xml:space="preserve"> </w:t>
      </w:r>
      <w:r>
        <w:rPr>
          <w:spacing w:val="15"/>
        </w:rPr>
        <w:t>，打破部门分割式的监督监管模</w:t>
      </w:r>
      <w:r>
        <w:rPr>
          <w:spacing w:val="8"/>
        </w:rPr>
        <w:t>式，完善企业简易注销机制和强制退出机制。</w:t>
      </w:r>
    </w:p>
    <w:p>
      <w:pPr>
        <w:spacing w:line="339" w:lineRule="auto"/>
        <w:sectPr>
          <w:type w:val="continuous"/>
          <w:pgSz w:w="11906" w:h="16839"/>
          <w:pgMar w:top="1793" w:right="1509" w:bottom="1570" w:left="1579" w:header="1428" w:footer="1172" w:gutter="0"/>
          <w:cols w:equalWidth="0" w:num="2">
            <w:col w:w="4487" w:space="100"/>
            <w:col w:w="4230" w:space="0"/>
          </w:cols>
        </w:sectPr>
        <w:rPr/>
      </w:pPr>
    </w:p>
    <w:p>
      <w:pPr>
        <w:spacing w:before="34"/>
        <w:rPr/>
      </w:pPr>
      <w:r/>
    </w:p>
    <w:p>
      <w:pPr>
        <w:sectPr>
          <w:headerReference w:type="default" r:id="rId199"/>
          <w:footerReference w:type="default" r:id="rId270"/>
          <w:pgSz w:w="11906" w:h="16839"/>
          <w:pgMar w:top="1793" w:right="1489" w:bottom="1673" w:left="1526" w:header="1428" w:footer="1277" w:gutter="0"/>
          <w:cols w:equalWidth="0" w:num="1">
            <w:col w:w="8891" w:space="0"/>
          </w:cols>
        </w:sectPr>
        <w:rPr/>
      </w:pPr>
    </w:p>
    <w:p>
      <w:pPr>
        <w:pStyle w:val="BodyText"/>
        <w:ind w:left="65" w:right="306" w:firstLine="2"/>
        <w:spacing w:before="46" w:line="350" w:lineRule="auto"/>
        <w:jc w:val="both"/>
        <w:rPr/>
      </w:pPr>
      <w:r>
        <w:rPr>
          <w:spacing w:val="8"/>
        </w:rPr>
        <w:t>加大简政放权力度，缩减市场准入负面清单，</w:t>
      </w:r>
      <w:r>
        <w:rPr>
          <w:spacing w:val="7"/>
        </w:rPr>
        <w:t>让市场主体自由进入更多领域，大力压减行政</w:t>
      </w:r>
      <w:r>
        <w:rPr>
          <w:spacing w:val="7"/>
        </w:rPr>
        <w:t>许可事项，清理简并资质资格许可事项，降低</w:t>
      </w:r>
      <w:r>
        <w:rPr>
          <w:spacing w:val="8"/>
        </w:rPr>
        <w:t>市场准入门槛。围绕工程建设、教育、医疗、</w:t>
      </w:r>
      <w:r>
        <w:rPr>
          <w:spacing w:val="7"/>
        </w:rPr>
        <w:t>体育等领域，集中清理有关部门和地方在市场</w:t>
      </w:r>
      <w:r>
        <w:rPr>
          <w:spacing w:val="7"/>
        </w:rPr>
        <w:t>准入方面对企业资质、资金、股比、人员、场</w:t>
      </w:r>
      <w:r>
        <w:rPr>
          <w:spacing w:val="7"/>
        </w:rPr>
        <w:t>所等设置的不合理条件，列出台账并逐项明确</w:t>
      </w:r>
      <w:r>
        <w:rPr>
          <w:spacing w:val="9"/>
        </w:rPr>
        <w:t>解决措施、责任主体和完成时限。</w:t>
      </w:r>
    </w:p>
    <w:p>
      <w:pPr>
        <w:pStyle w:val="BodyText"/>
        <w:ind w:left="488"/>
        <w:spacing w:line="277" w:lineRule="exact"/>
        <w:rPr/>
      </w:pPr>
      <w:r>
        <w:rPr>
          <w:spacing w:val="6"/>
          <w:position w:val="1"/>
        </w:rPr>
        <w:t>构建亲清政商关系。全面贯彻落实《优化</w:t>
      </w:r>
    </w:p>
    <w:p>
      <w:pPr>
        <w:pStyle w:val="BodyText"/>
        <w:ind w:left="75"/>
        <w:spacing w:before="101" w:line="278" w:lineRule="exact"/>
        <w:outlineLvl w:val="0"/>
        <w:rPr/>
      </w:pPr>
      <w:r>
        <w:rPr>
          <w:spacing w:val="6"/>
          <w:position w:val="1"/>
        </w:rPr>
        <w:t>营商环境条例》，大力提升政务服务效率，全</w:t>
      </w:r>
    </w:p>
    <w:p>
      <w:pPr>
        <w:pStyle w:val="BodyText"/>
        <w:ind w:left="63" w:right="181" w:firstLine="10"/>
        <w:spacing w:before="104" w:line="351" w:lineRule="auto"/>
        <w:jc w:val="both"/>
        <w:rPr/>
      </w:pPr>
      <w:r>
        <w:rPr>
          <w:spacing w:val="17"/>
        </w:rPr>
        <w:t>面落实领导干部担任重点企业联络员等五项</w:t>
      </w:r>
      <w:r>
        <w:rPr>
          <w:spacing w:val="7"/>
        </w:rPr>
        <w:t>制度，加快“一件事一次办”改革和市场主体</w:t>
      </w:r>
      <w:r>
        <w:rPr>
          <w:spacing w:val="7"/>
        </w:rPr>
        <w:t>登记“网上办、掌上办”，深入推进“证照分</w:t>
      </w:r>
      <w:r>
        <w:rPr>
          <w:spacing w:val="14"/>
        </w:rPr>
        <w:t>离”“多证合一”“市域通办”“跨省通办”</w:t>
      </w:r>
      <w:r>
        <w:rPr>
          <w:spacing w:val="7"/>
        </w:rPr>
        <w:t>改革，打造全市政务服务“一张网”，进一步</w:t>
      </w:r>
      <w:r>
        <w:rPr>
          <w:spacing w:val="7"/>
        </w:rPr>
        <w:t>优化营商环境，激发市场主体活力。优化民营</w:t>
      </w:r>
      <w:r>
        <w:rPr>
          <w:spacing w:val="7"/>
        </w:rPr>
        <w:t>经济发展环境，破除制约民营企业发展的各种</w:t>
      </w:r>
      <w:r>
        <w:rPr>
          <w:spacing w:val="7"/>
        </w:rPr>
        <w:t>壁垒。着力在招商引资、政务服务、降低企业</w:t>
      </w:r>
      <w:r>
        <w:rPr>
          <w:spacing w:val="7"/>
        </w:rPr>
        <w:t>成本、金融服务、财税政策、市场监管、普惠</w:t>
      </w:r>
      <w:r>
        <w:rPr>
          <w:spacing w:val="18"/>
        </w:rPr>
        <w:t>创新和大数据信息化支撑等九个方面实现革</w:t>
      </w:r>
      <w:r>
        <w:rPr>
          <w:spacing w:val="9"/>
        </w:rPr>
        <w:t>命性突破，激发市场主体活力。</w:t>
      </w:r>
    </w:p>
    <w:p>
      <w:pPr>
        <w:spacing w:line="14" w:lineRule="auto"/>
        <w:rPr>
          <w:rFonts w:ascii="Arial"/>
          <w:sz w:val="2"/>
        </w:rPr>
      </w:pPr>
      <w:r>
        <w:rPr>
          <w:rFonts w:ascii="Arial" w:hAnsi="Arial" w:eastAsia="Arial" w:cs="Arial"/>
          <w:sz w:val="2"/>
          <w:szCs w:val="2"/>
        </w:rPr>
        <w:br w:type="column"/>
      </w:r>
    </w:p>
    <w:p>
      <w:pPr>
        <w:pStyle w:val="BodyText"/>
        <w:ind w:right="101" w:firstLine="421"/>
        <w:spacing w:before="39" w:line="288" w:lineRule="auto"/>
        <w:outlineLvl w:val="0"/>
        <w:rPr/>
      </w:pPr>
      <w:r>
        <w:rPr>
          <w:spacing w:val="6"/>
        </w:rPr>
        <w:t>完善社会信用体系。按照依法依规、改革</w:t>
      </w:r>
      <w:r>
        <w:rPr>
          <w:spacing w:val="7"/>
        </w:rPr>
        <w:t>创新、协同共治的原则，建立健全信用承诺制</w:t>
      </w:r>
    </w:p>
    <w:p>
      <w:pPr>
        <w:pStyle w:val="BodyText"/>
        <w:ind w:right="20" w:firstLine="1"/>
        <w:spacing w:before="137" w:line="351" w:lineRule="auto"/>
        <w:jc w:val="both"/>
        <w:rPr/>
      </w:pPr>
      <w:r>
        <w:rPr>
          <w:spacing w:val="7"/>
        </w:rPr>
        <w:t>度，探索开展经营者准入前诚信教育，积极拓</w:t>
      </w:r>
      <w:r>
        <w:rPr>
          <w:spacing w:val="15"/>
        </w:rPr>
        <w:t>展信用报告应用</w:t>
      </w:r>
      <w:r>
        <w:rPr>
          <w:spacing w:val="-39"/>
        </w:rPr>
        <w:t xml:space="preserve"> </w:t>
      </w:r>
      <w:r>
        <w:rPr>
          <w:spacing w:val="15"/>
        </w:rPr>
        <w:t>，切实创新事前环节信用监</w:t>
      </w:r>
      <w:r>
        <w:rPr>
          <w:spacing w:val="7"/>
        </w:rPr>
        <w:t>管；全面建立市场主体信用记录，建立健全信</w:t>
      </w:r>
      <w:r>
        <w:rPr>
          <w:spacing w:val="7"/>
        </w:rPr>
        <w:t>用信息自愿注册机制，深入开展公共信用综合</w:t>
      </w:r>
      <w:r>
        <w:rPr>
          <w:spacing w:val="7"/>
        </w:rPr>
        <w:t>评价，大力推进信用分级分类监管，切实加强</w:t>
      </w:r>
      <w:r>
        <w:rPr>
          <w:spacing w:val="7"/>
        </w:rPr>
        <w:t>事中环节信用监管；健全失信联合惩戒对象认</w:t>
      </w:r>
      <w:r>
        <w:rPr>
          <w:spacing w:val="7"/>
        </w:rPr>
        <w:t>定机制，督促失信市场主体限期整改，深入开</w:t>
      </w:r>
      <w:r>
        <w:rPr>
          <w:spacing w:val="7"/>
        </w:rPr>
        <w:t>展失信联合惩戒，坚决依法依规实施市场和行</w:t>
      </w:r>
      <w:r>
        <w:rPr>
          <w:spacing w:val="7"/>
        </w:rPr>
        <w:t>业禁入措施，依法追究违法失信责任，健全完</w:t>
      </w:r>
      <w:r>
        <w:rPr>
          <w:spacing w:val="15"/>
        </w:rPr>
        <w:t>善信用修复机制</w:t>
      </w:r>
      <w:r>
        <w:rPr>
          <w:spacing w:val="-39"/>
        </w:rPr>
        <w:t xml:space="preserve"> </w:t>
      </w:r>
      <w:r>
        <w:rPr>
          <w:spacing w:val="15"/>
        </w:rPr>
        <w:t>，切实完善事后环节信用监</w:t>
      </w:r>
      <w:r>
        <w:rPr>
          <w:spacing w:val="1"/>
        </w:rPr>
        <w:t>管。全面推进政务诚信、商务诚信、社会诚信、</w:t>
      </w:r>
      <w:r>
        <w:rPr>
          <w:spacing w:val="11"/>
        </w:rPr>
        <w:t>司法公信建设。加快推进信用信息系统建设，</w:t>
      </w:r>
      <w:r>
        <w:rPr>
          <w:spacing w:val="7"/>
        </w:rPr>
        <w:t>逐步推进政务信用信息的交换与共享，实现守</w:t>
      </w:r>
      <w:r>
        <w:rPr>
          <w:spacing w:val="7"/>
        </w:rPr>
        <w:t>信者处处受益、失信者寸步难行。普及诚信教</w:t>
      </w:r>
      <w:r>
        <w:rPr>
          <w:spacing w:val="7"/>
        </w:rPr>
        <w:t>育，将诚信教育贯穿公民道德建设和精神文明</w:t>
      </w:r>
      <w:r>
        <w:rPr>
          <w:spacing w:val="7"/>
        </w:rPr>
        <w:t>创建全过程。发挥信用在创新监管机制、提高</w:t>
      </w:r>
      <w:r>
        <w:rPr>
          <w:spacing w:val="7"/>
        </w:rPr>
        <w:t>监管能力和水平方面的基础性作用，激发市场</w:t>
      </w:r>
      <w:r>
        <w:rPr>
          <w:spacing w:val="8"/>
        </w:rPr>
        <w:t>主体活力，推动高质量发展。</w:t>
      </w:r>
    </w:p>
    <w:p>
      <w:pPr>
        <w:spacing w:line="351" w:lineRule="auto"/>
        <w:sectPr>
          <w:type w:val="continuous"/>
          <w:pgSz w:w="11906" w:h="16839"/>
          <w:pgMar w:top="1793" w:right="1489" w:bottom="1673" w:left="1526" w:header="1428" w:footer="1277" w:gutter="0"/>
          <w:cols w:equalWidth="0" w:num="2">
            <w:col w:w="4542" w:space="100"/>
            <w:col w:w="4249" w:space="0"/>
          </w:cols>
        </w:sectPr>
        <w:rPr/>
      </w:pPr>
    </w:p>
    <w:p>
      <w:pPr>
        <w:ind w:left="2930"/>
        <w:spacing w:before="230" w:line="198" w:lineRule="auto"/>
        <w:rPr>
          <w:rFonts w:ascii="Microsoft YaHei" w:hAnsi="Microsoft YaHei" w:eastAsia="Microsoft YaHei" w:cs="Microsoft YaHei"/>
          <w:sz w:val="20"/>
          <w:szCs w:val="20"/>
        </w:rPr>
      </w:pPr>
      <w:r>
        <w:drawing>
          <wp:anchor distT="0" distB="0" distL="0" distR="0" simplePos="0" relativeHeight="251844608" behindDoc="0" locked="0" layoutInCell="1" allowOverlap="1">
            <wp:simplePos x="0" y="0"/>
            <wp:positionH relativeFrom="column">
              <wp:posOffset>39242</wp:posOffset>
            </wp:positionH>
            <wp:positionV relativeFrom="paragraph">
              <wp:posOffset>-5244695</wp:posOffset>
            </wp:positionV>
            <wp:extent cx="5579745" cy="7619"/>
            <wp:effectExtent l="0" t="0" r="0" b="0"/>
            <wp:wrapNone/>
            <wp:docPr id="538" name="IM 538"/>
            <wp:cNvGraphicFramePr/>
            <a:graphic>
              <a:graphicData uri="http://schemas.openxmlformats.org/drawingml/2006/picture">
                <pic:pic>
                  <pic:nvPicPr>
                    <pic:cNvPr id="538" name="IM 538"/>
                    <pic:cNvPicPr/>
                  </pic:nvPicPr>
                  <pic:blipFill>
                    <a:blip r:embed="rId27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专栏 18</w:t>
      </w:r>
      <w:r>
        <w:rPr>
          <w:rFonts w:ascii="Microsoft YaHei" w:hAnsi="Microsoft YaHei" w:eastAsia="Microsoft YaHei" w:cs="Microsoft YaHei"/>
          <w:sz w:val="20"/>
          <w:szCs w:val="20"/>
          <w:spacing w:val="18"/>
        </w:rPr>
        <w:t xml:space="preserve">   </w:t>
      </w:r>
      <w:r>
        <w:rPr>
          <w:rFonts w:ascii="Microsoft YaHei" w:hAnsi="Microsoft YaHei" w:eastAsia="Microsoft YaHei" w:cs="Microsoft YaHei"/>
          <w:sz w:val="20"/>
          <w:szCs w:val="20"/>
          <w:spacing w:val="5"/>
        </w:rPr>
        <w:t>营商环境重点项目工程</w:t>
      </w:r>
    </w:p>
    <w:tbl>
      <w:tblPr>
        <w:tblStyle w:val="TableNormal"/>
        <w:tblW w:w="8848" w:type="dxa"/>
        <w:tblInd w:w="2" w:type="dxa"/>
        <w:tblLayout w:type="fixed"/>
        <w:tblBorders>
          <w:left w:val="single" w:color="000000" w:sz="2" w:space="0"/>
          <w:bottom w:val="single" w:color="000000" w:sz="2" w:space="0"/>
          <w:right w:val="single" w:color="000000" w:sz="2" w:space="0"/>
          <w:top w:val="single" w:color="000000" w:sz="2" w:space="0"/>
        </w:tblBorders>
      </w:tblPr>
      <w:tblGrid>
        <w:gridCol w:w="8848"/>
      </w:tblGrid>
      <w:tr>
        <w:trPr>
          <w:trHeight w:val="4459" w:hRule="atLeast"/>
        </w:trPr>
        <w:tc>
          <w:tcPr>
            <w:tcW w:w="8848" w:type="dxa"/>
            <w:vAlign w:val="top"/>
          </w:tcPr>
          <w:p>
            <w:pPr>
              <w:pStyle w:val="TableText"/>
              <w:ind w:left="110" w:right="102" w:firstLine="436"/>
              <w:spacing w:before="255" w:line="288" w:lineRule="auto"/>
              <w:rPr/>
            </w:pPr>
            <w:r>
              <w:rPr>
                <w:b/>
                <w:bCs/>
                <w:spacing w:val="-1"/>
              </w:rPr>
              <w:t>1.开展“</w:t>
            </w:r>
            <w:r>
              <w:rPr>
                <w:spacing w:val="-70"/>
              </w:rPr>
              <w:t xml:space="preserve"> </w:t>
            </w:r>
            <w:r>
              <w:rPr>
                <w:b/>
                <w:bCs/>
                <w:spacing w:val="-1"/>
              </w:rPr>
              <w:t>1+1+X”行动：“</w:t>
            </w:r>
            <w:r>
              <w:rPr>
                <w:spacing w:val="-71"/>
              </w:rPr>
              <w:t xml:space="preserve"> </w:t>
            </w:r>
            <w:r>
              <w:rPr>
                <w:spacing w:val="-1"/>
              </w:rPr>
              <w:t>1”指一网通办，完善“互联网+政务”支</w:t>
            </w:r>
            <w:r>
              <w:rPr>
                <w:spacing w:val="-2"/>
              </w:rPr>
              <w:t>撑平台，建设全市政务服务数据共享</w:t>
            </w:r>
            <w:r>
              <w:rPr/>
              <w:t>平台，增加共享应用政务数据数量，及时更新发布“一网通办”事项目录清单</w:t>
            </w:r>
            <w:r>
              <w:rPr>
                <w:spacing w:val="-1"/>
              </w:rPr>
              <w:t>，打造“城市服务大脑”，实现</w:t>
            </w:r>
          </w:p>
          <w:p>
            <w:pPr>
              <w:pStyle w:val="TableText"/>
              <w:ind w:left="111" w:right="54" w:firstLine="1"/>
              <w:spacing w:before="137" w:line="335" w:lineRule="auto"/>
              <w:rPr/>
            </w:pPr>
            <w:r>
              <w:rPr/>
              <w:t>24</w:t>
            </w:r>
            <w:r>
              <w:rPr>
                <w:spacing w:val="-23"/>
              </w:rPr>
              <w:t xml:space="preserve"> </w:t>
            </w:r>
            <w:r>
              <w:rPr/>
              <w:t>小时不打烊政务服务。“</w:t>
            </w:r>
            <w:r>
              <w:rPr>
                <w:spacing w:val="-68"/>
              </w:rPr>
              <w:t xml:space="preserve"> </w:t>
            </w:r>
            <w:r>
              <w:rPr/>
              <w:t>1”指优化开办企业、办理施工许可、获得电力、获得用水用气等</w:t>
            </w:r>
            <w:r>
              <w:rPr>
                <w:spacing w:val="25"/>
              </w:rPr>
              <w:t xml:space="preserve"> </w:t>
            </w:r>
            <w:r>
              <w:rPr/>
              <w:t>18</w:t>
            </w:r>
            <w:r>
              <w:rPr>
                <w:spacing w:val="-42"/>
              </w:rPr>
              <w:t xml:space="preserve"> </w:t>
            </w:r>
            <w:r>
              <w:rPr/>
              <w:t>个营商环境</w:t>
            </w:r>
            <w:r>
              <w:rPr>
                <w:spacing w:val="2"/>
              </w:rPr>
              <w:t>核心指标，提升固原市在国家营商环境评价中的排名。“</w:t>
            </w:r>
            <w:r>
              <w:rPr>
                <w:spacing w:val="1"/>
              </w:rPr>
              <w:t>X”指围绕加强、保护和激发市场主体活力提供一揽</w:t>
            </w:r>
            <w:r>
              <w:rPr/>
              <w:t>子的制度供给。聘请第三方评估机构，定期对标营商环境评价核心指标</w:t>
            </w:r>
            <w:r>
              <w:rPr>
                <w:spacing w:val="-1"/>
              </w:rPr>
              <w:t>，开展全市营商环境综合评价，抓好政</w:t>
            </w:r>
            <w:r>
              <w:rPr>
                <w:spacing w:val="-3"/>
              </w:rPr>
              <w:t>务服务、商事制度、工程建设审批制度、执法司法体制等重点领域改革。进一步完善政务服务“好差评”制度，</w:t>
            </w:r>
            <w:r>
              <w:rPr/>
              <w:t>建立服务评价、实时上报、差评回访、整改反馈全流程闭环工作机制，</w:t>
            </w:r>
            <w:r>
              <w:rPr>
                <w:spacing w:val="-1"/>
              </w:rPr>
              <w:t>实现“好差评”渠道全覆盖、信息全关</w:t>
            </w:r>
            <w:r>
              <w:rPr>
                <w:spacing w:val="-1"/>
              </w:rPr>
              <w:t>联、数据全汇聚、结果全公开。</w:t>
            </w:r>
          </w:p>
          <w:p>
            <w:pPr>
              <w:pStyle w:val="TableText"/>
              <w:ind w:left="110" w:right="54" w:firstLine="422"/>
              <w:spacing w:before="141" w:line="323" w:lineRule="auto"/>
              <w:rPr/>
            </w:pPr>
            <w:r>
              <w:rPr>
                <w:b/>
                <w:bCs/>
                <w:spacing w:val="-2"/>
              </w:rPr>
              <w:t>2.固原市信用信息共享平台升级项目：</w:t>
            </w:r>
            <w:r>
              <w:rPr>
                <w:spacing w:val="-2"/>
              </w:rPr>
              <w:t>在现有信用信息共享平台基础上，引进第三方</w:t>
            </w:r>
            <w:r>
              <w:rPr>
                <w:spacing w:val="-3"/>
              </w:rPr>
              <w:t>技术运营服务，编制</w:t>
            </w:r>
            <w:r>
              <w:rPr/>
              <w:t>信用信息共享目录，完善法人、自然人、其他社会组织三类信用信息数据</w:t>
            </w:r>
            <w:r>
              <w:rPr>
                <w:spacing w:val="-1"/>
              </w:rPr>
              <w:t>库，实现平台在多部门间信用信息的</w:t>
            </w:r>
            <w:r>
              <w:rPr>
                <w:spacing w:val="-1"/>
              </w:rPr>
              <w:t>自动共享交换、自动联合奖惩等功能，开展市场主体综合信用评价，拓展信用监管和信易+惠民便企</w:t>
            </w:r>
            <w:r>
              <w:rPr>
                <w:spacing w:val="-2"/>
              </w:rPr>
              <w:t>应用服务，</w:t>
            </w:r>
            <w:r>
              <w:rPr/>
              <w:t>搭建“信易贷”子系统，为市场主体提供信用融</w:t>
            </w:r>
            <w:r>
              <w:rPr>
                <w:spacing w:val="-1"/>
              </w:rPr>
              <w:t>资服务。</w:t>
            </w:r>
          </w:p>
        </w:tc>
      </w:tr>
    </w:tbl>
    <w:p>
      <w:pPr>
        <w:spacing w:line="14" w:lineRule="auto"/>
        <w:rPr>
          <w:rFonts w:ascii="Arial"/>
          <w:sz w:val="2"/>
        </w:rPr>
      </w:pPr>
      <w:r/>
    </w:p>
    <w:p>
      <w:pPr>
        <w:spacing w:line="14" w:lineRule="auto"/>
        <w:sectPr>
          <w:type w:val="continuous"/>
          <w:pgSz w:w="11906" w:h="16839"/>
          <w:pgMar w:top="1793" w:right="1489" w:bottom="1673" w:left="1526" w:header="1428" w:footer="1277" w:gutter="0"/>
          <w:cols w:equalWidth="0" w:num="1">
            <w:col w:w="8891" w:space="0"/>
          </w:cols>
        </w:sectPr>
        <w:rPr>
          <w:rFonts w:ascii="Arial" w:hAnsi="Arial" w:eastAsia="Arial" w:cs="Arial"/>
          <w:sz w:val="2"/>
          <w:szCs w:val="2"/>
        </w:rPr>
      </w:pPr>
    </w:p>
    <w:p>
      <w:pPr>
        <w:spacing w:before="54"/>
        <w:rPr/>
      </w:pPr>
      <w:r>
        <w:drawing>
          <wp:anchor distT="0" distB="0" distL="0" distR="0" simplePos="0" relativeHeight="251846656"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542" name="IM 542"/>
            <wp:cNvGraphicFramePr/>
            <a:graphic>
              <a:graphicData uri="http://schemas.openxmlformats.org/drawingml/2006/picture">
                <pic:pic>
                  <pic:nvPicPr>
                    <pic:cNvPr id="542" name="IM 542"/>
                    <pic:cNvPicPr/>
                  </pic:nvPicPr>
                  <pic:blipFill>
                    <a:blip r:embed="rId273"/>
                    <a:stretch>
                      <a:fillRect/>
                    </a:stretch>
                  </pic:blipFill>
                  <pic:spPr>
                    <a:xfrm rot="0">
                      <a:off x="0" y="0"/>
                      <a:ext cx="5579745" cy="7619"/>
                    </a:xfrm>
                    <a:prstGeom prst="rect">
                      <a:avLst/>
                    </a:prstGeom>
                  </pic:spPr>
                </pic:pic>
              </a:graphicData>
            </a:graphic>
          </wp:anchor>
        </w:drawing>
      </w:r>
      <w:r/>
    </w:p>
    <w:p>
      <w:pPr>
        <w:sectPr>
          <w:headerReference w:type="default" r:id="rId239"/>
          <w:footerReference w:type="default" r:id="rId272"/>
          <w:pgSz w:w="11906" w:h="16839"/>
          <w:pgMar w:top="1793" w:right="1509" w:bottom="1570" w:left="1579" w:header="1428" w:footer="1172" w:gutter="0"/>
          <w:cols w:equalWidth="0" w:num="1">
            <w:col w:w="8817" w:space="0"/>
          </w:cols>
        </w:sectPr>
        <w:rPr/>
      </w:pPr>
    </w:p>
    <w:p>
      <w:pPr>
        <w:ind w:left="415"/>
        <w:spacing w:before="41" w:line="182"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第十一章</w:t>
      </w:r>
      <w:r>
        <w:rPr>
          <w:rFonts w:ascii="Microsoft YaHei" w:hAnsi="Microsoft YaHei" w:eastAsia="Microsoft YaHei" w:cs="Microsoft YaHei"/>
          <w:sz w:val="20"/>
          <w:szCs w:val="20"/>
          <w:spacing w:val="16"/>
        </w:rPr>
        <w:t xml:space="preserve">   </w:t>
      </w:r>
      <w:r>
        <w:rPr>
          <w:rFonts w:ascii="Microsoft YaHei" w:hAnsi="Microsoft YaHei" w:eastAsia="Microsoft YaHei" w:cs="Microsoft YaHei"/>
          <w:sz w:val="20"/>
          <w:szCs w:val="20"/>
          <w:spacing w:val="8"/>
        </w:rPr>
        <w:t>补齐民生和社会事业短板</w:t>
      </w:r>
    </w:p>
    <w:p>
      <w:pPr>
        <w:ind w:left="1252"/>
        <w:spacing w:before="143" w:line="180"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提升人民生活品质</w:t>
      </w:r>
    </w:p>
    <w:p>
      <w:pPr>
        <w:spacing w:line="469" w:lineRule="auto"/>
        <w:rPr>
          <w:rFonts w:ascii="Arial"/>
          <w:sz w:val="21"/>
        </w:rPr>
      </w:pPr>
      <w:r/>
    </w:p>
    <w:p>
      <w:pPr>
        <w:pStyle w:val="BodyText"/>
        <w:ind w:left="434"/>
        <w:spacing w:before="65" w:line="222" w:lineRule="auto"/>
        <w:rPr/>
      </w:pPr>
      <w:r>
        <w:rPr>
          <w:spacing w:val="6"/>
        </w:rPr>
        <w:t>坚持以人民为中心的发展思想，大力实施</w:t>
      </w:r>
    </w:p>
    <w:p>
      <w:pPr>
        <w:pStyle w:val="BodyText"/>
        <w:ind w:left="32"/>
        <w:spacing w:before="160" w:line="222" w:lineRule="auto"/>
        <w:outlineLvl w:val="0"/>
        <w:rPr/>
      </w:pPr>
      <w:r>
        <w:rPr>
          <w:spacing w:val="6"/>
        </w:rPr>
        <w:t>民生五大项目，突出抓好民生五大计划，着力</w:t>
      </w:r>
    </w:p>
    <w:p>
      <w:pPr>
        <w:pStyle w:val="BodyText"/>
        <w:ind w:left="28" w:right="329" w:hanging="14"/>
        <w:spacing w:before="159" w:line="392" w:lineRule="auto"/>
        <w:rPr/>
      </w:pPr>
      <w:r>
        <w:rPr>
          <w:spacing w:val="7"/>
        </w:rPr>
        <w:t>补短板、强弱项、提质量，不断提升人民生活</w:t>
      </w:r>
      <w:r>
        <w:rPr>
          <w:spacing w:val="8"/>
        </w:rPr>
        <w:t>品质，不断满足人民对美生活的向往。</w:t>
      </w:r>
    </w:p>
    <w:p>
      <w:pPr>
        <w:spacing w:line="281" w:lineRule="auto"/>
        <w:rPr>
          <w:rFonts w:ascii="Arial"/>
          <w:sz w:val="21"/>
        </w:rPr>
      </w:pPr>
      <w:r/>
    </w:p>
    <w:p>
      <w:pPr>
        <w:pStyle w:val="BodyText"/>
        <w:ind w:left="722"/>
        <w:spacing w:before="66" w:line="220" w:lineRule="auto"/>
        <w:outlineLvl w:val="0"/>
        <w:rPr/>
      </w:pPr>
      <w:r>
        <w:rPr>
          <w:b/>
          <w:bCs/>
          <w:spacing w:val="7"/>
        </w:rPr>
        <w:t>第一节</w:t>
      </w:r>
      <w:r>
        <w:rPr>
          <w:spacing w:val="7"/>
        </w:rPr>
        <w:t xml:space="preserve">  </w:t>
      </w:r>
      <w:r>
        <w:rPr>
          <w:b/>
          <w:bCs/>
          <w:spacing w:val="7"/>
        </w:rPr>
        <w:t>多渠道促进就业创业</w:t>
      </w:r>
    </w:p>
    <w:p>
      <w:pPr>
        <w:spacing w:line="248" w:lineRule="auto"/>
        <w:rPr>
          <w:rFonts w:ascii="Arial"/>
          <w:sz w:val="21"/>
        </w:rPr>
      </w:pPr>
      <w:r/>
    </w:p>
    <w:p>
      <w:pPr>
        <w:spacing w:line="248" w:lineRule="auto"/>
        <w:rPr>
          <w:rFonts w:ascii="Arial"/>
          <w:sz w:val="21"/>
        </w:rPr>
      </w:pPr>
      <w:r/>
    </w:p>
    <w:p>
      <w:pPr>
        <w:pStyle w:val="BodyText"/>
        <w:ind w:left="434"/>
        <w:spacing w:before="65" w:line="222" w:lineRule="auto"/>
        <w:rPr/>
      </w:pPr>
      <w:r>
        <w:rPr>
          <w:spacing w:val="6"/>
        </w:rPr>
        <w:t>把稳就业摆在更加突出位置，全面落实国</w:t>
      </w:r>
    </w:p>
    <w:p>
      <w:pPr>
        <w:pStyle w:val="BodyText"/>
        <w:ind w:left="16"/>
        <w:spacing w:before="158" w:line="222" w:lineRule="auto"/>
        <w:outlineLvl w:val="0"/>
        <w:rPr/>
      </w:pPr>
      <w:r>
        <w:rPr>
          <w:spacing w:val="7"/>
        </w:rPr>
        <w:t>家及自治区就业优先政策，健全有利于更加充</w:t>
      </w:r>
    </w:p>
    <w:p>
      <w:pPr>
        <w:pStyle w:val="BodyText"/>
        <w:ind w:left="21" w:right="329" w:hanging="7"/>
        <w:spacing w:before="160" w:line="369" w:lineRule="auto"/>
        <w:jc w:val="both"/>
        <w:rPr/>
      </w:pPr>
      <w:r>
        <w:rPr>
          <w:spacing w:val="7"/>
        </w:rPr>
        <w:t>分更高质量就业促进机制，坚持创造更多就业</w:t>
      </w:r>
      <w:r>
        <w:rPr>
          <w:spacing w:val="6"/>
        </w:rPr>
        <w:t>岗位和稳定现有就业岗位并重，确保就业形势</w:t>
      </w:r>
      <w:r>
        <w:rPr>
          <w:spacing w:val="5"/>
        </w:rPr>
        <w:t>总体稳定。</w:t>
      </w:r>
    </w:p>
    <w:p>
      <w:pPr>
        <w:pStyle w:val="BodyText"/>
        <w:ind w:left="433"/>
        <w:spacing w:line="221" w:lineRule="auto"/>
        <w:rPr/>
      </w:pPr>
      <w:r>
        <w:rPr>
          <w:spacing w:val="6"/>
        </w:rPr>
        <w:t>着力扩大就业岗位。坚持经济发展就业导</w:t>
      </w:r>
    </w:p>
    <w:p>
      <w:pPr>
        <w:pStyle w:val="BodyText"/>
        <w:ind w:left="34"/>
        <w:spacing w:before="162" w:line="222" w:lineRule="auto"/>
        <w:outlineLvl w:val="0"/>
        <w:rPr/>
      </w:pPr>
      <w:r>
        <w:rPr>
          <w:spacing w:val="6"/>
        </w:rPr>
        <w:t>向，实施城乡居民产业就业收入双增计划。扩</w:t>
      </w:r>
    </w:p>
    <w:p>
      <w:pPr>
        <w:pStyle w:val="BodyText"/>
        <w:ind w:left="11" w:right="306" w:firstLine="6"/>
        <w:spacing w:before="161" w:line="357" w:lineRule="auto"/>
        <w:jc w:val="both"/>
        <w:rPr/>
      </w:pPr>
      <w:r>
        <w:rPr>
          <w:spacing w:val="7"/>
        </w:rPr>
        <w:t>大就业容量、提高就业质量。把就业当作最大</w:t>
      </w:r>
      <w:r>
        <w:rPr>
          <w:spacing w:val="7"/>
        </w:rPr>
        <w:t>的民生，把支持灵活就业作为稳就业和保居民</w:t>
      </w:r>
      <w:r>
        <w:rPr>
          <w:spacing w:val="7"/>
        </w:rPr>
        <w:t>就业的重要举措，清理取消对灵活就业的不合</w:t>
      </w:r>
      <w:r>
        <w:rPr>
          <w:spacing w:val="7"/>
        </w:rPr>
        <w:t>理限制，实施更加积极的就业政策，创造更多</w:t>
      </w:r>
      <w:r>
        <w:rPr>
          <w:spacing w:val="7"/>
        </w:rPr>
        <w:t>就业岗位，着力解决结构性就业矛盾。积极拓</w:t>
      </w:r>
      <w:r>
        <w:rPr>
          <w:spacing w:val="7"/>
        </w:rPr>
        <w:t>展就业新空间，支持劳动密集型产业、中小微</w:t>
      </w:r>
      <w:r>
        <w:rPr>
          <w:spacing w:val="7"/>
        </w:rPr>
        <w:t>企业和个体工商户发展，鼓励灵活就业、弹性</w:t>
      </w:r>
      <w:r>
        <w:rPr>
          <w:spacing w:val="7"/>
        </w:rPr>
        <w:t>就业，培育形成吸纳就业的“蓄水池”。完善</w:t>
      </w:r>
      <w:r>
        <w:rPr>
          <w:spacing w:val="7"/>
        </w:rPr>
        <w:t>针对高校毕业生、农村转移劳动力、就业困难</w:t>
      </w:r>
      <w:r>
        <w:rPr>
          <w:spacing w:val="7"/>
        </w:rPr>
        <w:t>人员、退役军人等重点群体的就业促进政策措</w:t>
      </w:r>
      <w:r>
        <w:rPr>
          <w:spacing w:val="7"/>
        </w:rPr>
        <w:t>施和机制，统筹帮扶残疾人、零就业家庭成员</w:t>
      </w:r>
      <w:r>
        <w:rPr>
          <w:spacing w:val="7"/>
        </w:rPr>
        <w:t>等困难人员就业，推动多渠道多形式就业。认</w:t>
      </w:r>
      <w:r>
        <w:rPr>
          <w:spacing w:val="8"/>
        </w:rPr>
        <w:t>真落实创业担保贷款、社保降费、援企稳岗、</w:t>
      </w:r>
      <w:r>
        <w:rPr>
          <w:spacing w:val="8"/>
        </w:rPr>
        <w:t>就业援助等帮扶政策，扩大公益性岗位安置。</w:t>
      </w:r>
      <w:r>
        <w:rPr>
          <w:spacing w:val="7"/>
        </w:rPr>
        <w:t>持续加大“离土”群众转移就业工作力度，积</w:t>
      </w:r>
    </w:p>
    <w:p>
      <w:pPr>
        <w:spacing w:line="14" w:lineRule="auto"/>
        <w:rPr>
          <w:rFonts w:ascii="Arial"/>
          <w:sz w:val="2"/>
        </w:rPr>
      </w:pPr>
      <w:r>
        <w:rPr>
          <w:rFonts w:ascii="Arial" w:hAnsi="Arial" w:eastAsia="Arial" w:cs="Arial"/>
          <w:sz w:val="2"/>
          <w:szCs w:val="2"/>
        </w:rPr>
        <w:br w:type="column"/>
      </w:r>
    </w:p>
    <w:p>
      <w:pPr>
        <w:pStyle w:val="BodyText"/>
        <w:spacing w:before="38" w:line="219" w:lineRule="auto"/>
        <w:rPr/>
      </w:pPr>
      <w:r>
        <w:rPr>
          <w:spacing w:val="9"/>
        </w:rPr>
        <w:t>极促进农村低收入劳动力向非农产业转移。</w:t>
      </w:r>
    </w:p>
    <w:p>
      <w:pPr>
        <w:pStyle w:val="BodyText"/>
        <w:ind w:left="16" w:firstLine="406"/>
        <w:spacing w:before="164" w:line="295" w:lineRule="auto"/>
        <w:outlineLvl w:val="0"/>
        <w:rPr/>
      </w:pPr>
      <w:r>
        <w:rPr>
          <w:spacing w:val="6"/>
        </w:rPr>
        <w:t>持续推动创业带动就业。大力发展众创空</w:t>
      </w:r>
      <w:r>
        <w:rPr>
          <w:spacing w:val="5"/>
        </w:rPr>
        <w:t>间，创建国家和自治区级 “双创”示范基地、</w:t>
      </w:r>
    </w:p>
    <w:p>
      <w:pPr>
        <w:pStyle w:val="BodyText"/>
        <w:ind w:firstLine="1"/>
        <w:spacing w:before="162" w:line="369" w:lineRule="auto"/>
        <w:jc w:val="both"/>
        <w:rPr/>
      </w:pPr>
      <w:r>
        <w:rPr>
          <w:spacing w:val="10"/>
        </w:rPr>
        <w:t>企业“双创”平台、科技孵化器和众创空间、</w:t>
      </w:r>
      <w:r>
        <w:rPr>
          <w:spacing w:val="7"/>
        </w:rPr>
        <w:t>创业孵化基地。落实创业补贴、税费减免、创</w:t>
      </w:r>
      <w:r>
        <w:rPr>
          <w:spacing w:val="7"/>
        </w:rPr>
        <w:t>业担保贷款、社会保险补贴等政策，鼓励青年</w:t>
      </w:r>
      <w:r>
        <w:rPr>
          <w:spacing w:val="7"/>
        </w:rPr>
        <w:t>科技人才、中高等院校毕业生、退役军人、新</w:t>
      </w:r>
      <w:r>
        <w:rPr>
          <w:spacing w:val="7"/>
        </w:rPr>
        <w:t>型农业经营主体、各类返乡能人、进城务工人</w:t>
      </w:r>
      <w:r>
        <w:rPr>
          <w:spacing w:val="1"/>
        </w:rPr>
        <w:t>员、失业人员返乡创业，创办投资小、见效快、</w:t>
      </w:r>
      <w:r>
        <w:rPr>
          <w:spacing w:val="7"/>
        </w:rPr>
        <w:t>易转型、风险小的小规模经济实体，积极推动</w:t>
      </w:r>
      <w:r>
        <w:rPr>
          <w:spacing w:val="7"/>
        </w:rPr>
        <w:t>网络零售、线上教育培训、互联网医疗等新型</w:t>
      </w:r>
      <w:r>
        <w:rPr>
          <w:spacing w:val="7"/>
        </w:rPr>
        <w:t>就业业态发展。鼓励企事业单位和社会机构承</w:t>
      </w:r>
      <w:r>
        <w:rPr>
          <w:spacing w:val="7"/>
        </w:rPr>
        <w:t>办具有影响力的创业沙龙、论坛、大赛等创新</w:t>
      </w:r>
      <w:r>
        <w:rPr>
          <w:spacing w:val="6"/>
        </w:rPr>
        <w:t>创业活动。到</w:t>
      </w:r>
      <w:r>
        <w:rPr>
          <w:spacing w:val="-27"/>
        </w:rPr>
        <w:t xml:space="preserve"> </w:t>
      </w:r>
      <w:r>
        <w:rPr>
          <w:spacing w:val="6"/>
        </w:rPr>
        <w:t>2025</w:t>
      </w:r>
      <w:r>
        <w:rPr>
          <w:spacing w:val="-34"/>
        </w:rPr>
        <w:t xml:space="preserve"> </w:t>
      </w:r>
      <w:r>
        <w:rPr>
          <w:spacing w:val="6"/>
        </w:rPr>
        <w:t>年</w:t>
      </w:r>
      <w:r>
        <w:rPr>
          <w:spacing w:val="-58"/>
        </w:rPr>
        <w:t xml:space="preserve"> </w:t>
      </w:r>
      <w:r>
        <w:rPr>
          <w:spacing w:val="6"/>
        </w:rPr>
        <w:t>，培养“大众创业</w:t>
      </w:r>
      <w:r>
        <w:rPr>
          <w:spacing w:val="-59"/>
        </w:rPr>
        <w:t xml:space="preserve"> </w:t>
      </w:r>
      <w:r>
        <w:rPr>
          <w:spacing w:val="6"/>
        </w:rPr>
        <w:t>，万</w:t>
      </w:r>
      <w:r>
        <w:rPr>
          <w:spacing w:val="7"/>
        </w:rPr>
        <w:t>众创新”“双创”人才</w:t>
      </w:r>
      <w:r>
        <w:rPr>
          <w:spacing w:val="-41"/>
        </w:rPr>
        <w:t xml:space="preserve"> </w:t>
      </w:r>
      <w:r>
        <w:rPr>
          <w:spacing w:val="7"/>
        </w:rPr>
        <w:t>5000</w:t>
      </w:r>
      <w:r>
        <w:rPr>
          <w:spacing w:val="-39"/>
        </w:rPr>
        <w:t xml:space="preserve"> </w:t>
      </w:r>
      <w:r>
        <w:rPr>
          <w:spacing w:val="7"/>
        </w:rPr>
        <w:t>名以上。</w:t>
      </w:r>
    </w:p>
    <w:p>
      <w:pPr>
        <w:pStyle w:val="BodyText"/>
        <w:ind w:right="80" w:firstLine="424"/>
        <w:spacing w:before="1" w:line="295" w:lineRule="auto"/>
        <w:outlineLvl w:val="0"/>
        <w:rPr/>
      </w:pPr>
      <w:r>
        <w:rPr>
          <w:spacing w:val="18"/>
        </w:rPr>
        <w:t>实施职业技能提升行动。坚持以稳定就</w:t>
      </w:r>
      <w:r>
        <w:rPr>
          <w:spacing w:val="7"/>
        </w:rPr>
        <w:t>业、创业带动就业为导向，建成双创实训基地</w:t>
      </w:r>
    </w:p>
    <w:p>
      <w:pPr>
        <w:pStyle w:val="BodyText"/>
        <w:ind w:firstLine="1"/>
        <w:spacing w:before="161" w:line="357" w:lineRule="auto"/>
        <w:jc w:val="right"/>
        <w:rPr/>
      </w:pPr>
      <w:r>
        <w:rPr>
          <w:spacing w:val="7"/>
        </w:rPr>
        <w:t>建设项目，结合个人学历及文化程度情况，建</w:t>
      </w:r>
      <w:r>
        <w:rPr>
          <w:spacing w:val="7"/>
        </w:rPr>
        <w:t>立健全终身职业技能培训制度，大力开展脱贫</w:t>
      </w:r>
      <w:r>
        <w:rPr>
          <w:spacing w:val="7"/>
        </w:rPr>
        <w:t>家庭子女、未升学中学毕业生、失业人员、农</w:t>
      </w:r>
      <w:r>
        <w:rPr>
          <w:spacing w:val="7"/>
        </w:rPr>
        <w:t>民工、自主就业退役军人、就业困难人员、残</w:t>
      </w:r>
      <w:r>
        <w:rPr>
          <w:spacing w:val="7"/>
        </w:rPr>
        <w:t>疾人等群体免费接受职业技能培训，努力提升</w:t>
      </w:r>
      <w:r>
        <w:rPr>
          <w:spacing w:val="6"/>
        </w:rPr>
        <w:t>劳动者技能素质。整合优质资源，做实“</w:t>
      </w:r>
      <w:r>
        <w:rPr>
          <w:spacing w:val="-74"/>
        </w:rPr>
        <w:t xml:space="preserve"> </w:t>
      </w:r>
      <w:r>
        <w:rPr>
          <w:spacing w:val="6"/>
        </w:rPr>
        <w:t>岗位</w:t>
      </w:r>
      <w:r>
        <w:rPr>
          <w:spacing w:val="7"/>
        </w:rPr>
        <w:t>供给”和“就业需求”两个清单，精准设置培</w:t>
      </w:r>
      <w:r>
        <w:rPr>
          <w:spacing w:val="7"/>
        </w:rPr>
        <w:t>训项目，更多组织开展养老、托幼、家政、餐</w:t>
      </w:r>
      <w:r>
        <w:rPr>
          <w:spacing w:val="7"/>
        </w:rPr>
        <w:t>饮、维修、建筑及市政工程施工、美容美发等</w:t>
      </w:r>
      <w:r>
        <w:rPr>
          <w:spacing w:val="7"/>
        </w:rPr>
        <w:t>技能培训，创新培训形式和培训内容，不断提</w:t>
      </w:r>
      <w:r>
        <w:rPr>
          <w:spacing w:val="7"/>
        </w:rPr>
        <w:t>高职业技能培训的针对性。大力开展企业职工</w:t>
      </w:r>
      <w:r>
        <w:rPr>
          <w:spacing w:val="15"/>
        </w:rPr>
        <w:t>技能提升和转岗专业培训</w:t>
      </w:r>
      <w:r>
        <w:rPr>
          <w:spacing w:val="-39"/>
        </w:rPr>
        <w:t xml:space="preserve"> </w:t>
      </w:r>
      <w:r>
        <w:rPr>
          <w:spacing w:val="15"/>
        </w:rPr>
        <w:t>，突出抓好岗位培</w:t>
      </w:r>
      <w:r>
        <w:rPr>
          <w:spacing w:val="7"/>
        </w:rPr>
        <w:t>训、中小微企业职工培训、安全技能培训和困</w:t>
      </w:r>
      <w:r>
        <w:rPr>
          <w:spacing w:val="-8"/>
        </w:rPr>
        <w:t>难企业转岗培训，全面提升劳动者职业技能水平。</w:t>
      </w:r>
      <w:r>
        <w:rPr>
          <w:spacing w:val="6"/>
        </w:rPr>
        <w:t>完善就业创业服务体系。完善城乡均等公</w:t>
      </w:r>
    </w:p>
    <w:p>
      <w:pPr>
        <w:spacing w:line="357" w:lineRule="auto"/>
        <w:sectPr>
          <w:type w:val="continuous"/>
          <w:pgSz w:w="11906" w:h="16839"/>
          <w:pgMar w:top="1793" w:right="1509" w:bottom="1570" w:left="1579" w:header="1428" w:footer="1172" w:gutter="0"/>
          <w:cols w:equalWidth="0" w:num="2">
            <w:col w:w="4489" w:space="100"/>
            <w:col w:w="4228" w:space="0"/>
          </w:cols>
        </w:sectPr>
        <w:rPr/>
      </w:pPr>
    </w:p>
    <w:p>
      <w:pPr>
        <w:spacing w:before="51"/>
        <w:rPr/>
      </w:pPr>
      <w:r/>
    </w:p>
    <w:p>
      <w:pPr>
        <w:sectPr>
          <w:headerReference w:type="default" r:id="rId199"/>
          <w:footerReference w:type="default" r:id="rId274"/>
          <w:pgSz w:w="11906" w:h="16839"/>
          <w:pgMar w:top="1793" w:right="1489" w:bottom="1673" w:left="1526" w:header="1428" w:footer="1277" w:gutter="0"/>
          <w:cols w:equalWidth="0" w:num="1">
            <w:col w:w="8891" w:space="0"/>
          </w:cols>
        </w:sectPr>
        <w:rPr/>
      </w:pPr>
    </w:p>
    <w:p>
      <w:pPr>
        <w:pStyle w:val="BodyText"/>
        <w:ind w:left="65" w:right="306"/>
        <w:spacing w:before="37" w:line="369" w:lineRule="auto"/>
        <w:jc w:val="both"/>
        <w:rPr/>
      </w:pPr>
      <w:r>
        <w:rPr>
          <w:spacing w:val="7"/>
        </w:rPr>
        <w:t>共就业创业服务体系，建立健全平等开放、竞</w:t>
      </w:r>
      <w:r>
        <w:rPr>
          <w:spacing w:val="6"/>
        </w:rPr>
        <w:t>争有序的人力资源市场，加强市、县（</w:t>
      </w:r>
      <w:r>
        <w:rPr>
          <w:spacing w:val="-51"/>
        </w:rPr>
        <w:t xml:space="preserve"> </w:t>
      </w:r>
      <w:r>
        <w:rPr>
          <w:spacing w:val="6"/>
        </w:rPr>
        <w:t>区）、</w:t>
      </w:r>
      <w:r>
        <w:rPr>
          <w:spacing w:val="7"/>
        </w:rPr>
        <w:t>乡镇公共就业服务能力建设，推进公共就业服</w:t>
      </w:r>
      <w:r>
        <w:rPr>
          <w:spacing w:val="4"/>
        </w:rPr>
        <w:t>务资源下沉，有条件的县（</w:t>
      </w:r>
      <w:r>
        <w:rPr>
          <w:spacing w:val="-34"/>
        </w:rPr>
        <w:t xml:space="preserve"> </w:t>
      </w:r>
      <w:r>
        <w:rPr>
          <w:spacing w:val="4"/>
        </w:rPr>
        <w:t>区）可将社区综合</w:t>
      </w:r>
      <w:r>
        <w:rPr>
          <w:spacing w:val="7"/>
        </w:rPr>
        <w:t>服务设施闲置空间、非必要办公空间改建为经</w:t>
      </w:r>
      <w:r>
        <w:rPr>
          <w:spacing w:val="7"/>
        </w:rPr>
        <w:t>营场地，优先向就业非常困难人员提供。加快</w:t>
      </w:r>
      <w:r>
        <w:rPr>
          <w:spacing w:val="12"/>
        </w:rPr>
        <w:t>推进“互联网+”公共就业服务，建立健全农</w:t>
      </w:r>
      <w:r>
        <w:rPr>
          <w:spacing w:val="7"/>
        </w:rPr>
        <w:t>村劳动力转移就业实名制数据库，完善就业创</w:t>
      </w:r>
      <w:r>
        <w:rPr>
          <w:spacing w:val="7"/>
        </w:rPr>
        <w:t>业工作台账，提升精准化服务水平。建立覆盖</w:t>
      </w:r>
      <w:r>
        <w:rPr>
          <w:spacing w:val="7"/>
        </w:rPr>
        <w:t>城乡的就业失业登记制度，完善失业风险预警</w:t>
      </w:r>
      <w:r>
        <w:rPr>
          <w:spacing w:val="9"/>
        </w:rPr>
        <w:t>机制，建立企业稳岗扶持政策体系。</w:t>
      </w:r>
    </w:p>
    <w:p>
      <w:pPr>
        <w:pStyle w:val="BodyText"/>
        <w:ind w:left="487"/>
        <w:spacing w:before="7" w:line="220" w:lineRule="auto"/>
        <w:rPr/>
      </w:pPr>
      <w:r>
        <w:rPr>
          <w:spacing w:val="6"/>
        </w:rPr>
        <w:t>不断提高城乡居民收入水平。健全科学的</w:t>
      </w:r>
    </w:p>
    <w:p>
      <w:pPr>
        <w:pStyle w:val="BodyText"/>
        <w:ind w:left="67"/>
        <w:spacing w:before="162" w:line="221" w:lineRule="auto"/>
        <w:outlineLvl w:val="0"/>
        <w:rPr/>
      </w:pPr>
      <w:r>
        <w:rPr>
          <w:spacing w:val="7"/>
        </w:rPr>
        <w:t>城乡居民收入增长和经济增长同步、劳动报酬</w:t>
      </w:r>
    </w:p>
    <w:p>
      <w:pPr>
        <w:pStyle w:val="BodyText"/>
        <w:ind w:left="66" w:right="322" w:firstLine="3"/>
        <w:spacing w:before="159" w:line="370" w:lineRule="auto"/>
        <w:jc w:val="both"/>
        <w:rPr/>
      </w:pPr>
      <w:r>
        <w:rPr>
          <w:spacing w:val="7"/>
        </w:rPr>
        <w:t>提高和劳动生产率提高同步机制，提高劳动报</w:t>
      </w:r>
      <w:r>
        <w:rPr>
          <w:spacing w:val="7"/>
        </w:rPr>
        <w:t>酬在初次分配中的比重，着力提高低收入群体</w:t>
      </w:r>
      <w:r>
        <w:rPr>
          <w:spacing w:val="7"/>
        </w:rPr>
        <w:t>收入，扩大中等收入群体。完善工资性收入，</w:t>
      </w:r>
    </w:p>
    <w:p>
      <w:pPr>
        <w:spacing w:line="14" w:lineRule="auto"/>
        <w:rPr>
          <w:rFonts w:ascii="Arial"/>
          <w:sz w:val="2"/>
        </w:rPr>
      </w:pPr>
      <w:r>
        <w:rPr>
          <w:rFonts w:ascii="Arial" w:hAnsi="Arial" w:eastAsia="Arial" w:cs="Arial"/>
          <w:sz w:val="2"/>
          <w:szCs w:val="2"/>
        </w:rPr>
        <w:br w:type="column"/>
      </w:r>
    </w:p>
    <w:p>
      <w:pPr>
        <w:pStyle w:val="BodyText"/>
        <w:ind w:right="98"/>
        <w:spacing w:before="42" w:line="371" w:lineRule="auto"/>
        <w:jc w:val="both"/>
        <w:rPr/>
      </w:pPr>
      <w:r>
        <w:rPr>
          <w:spacing w:val="7"/>
        </w:rPr>
        <w:t>健全工资支付保障机制、欠薪追缴制度和劳动</w:t>
      </w:r>
      <w:r>
        <w:rPr>
          <w:spacing w:val="7"/>
        </w:rPr>
        <w:t>争议调解制度，建立行业平均工资信息发布制</w:t>
      </w:r>
      <w:r>
        <w:rPr>
          <w:spacing w:val="7"/>
        </w:rPr>
        <w:t>度，切实保障进城务工人员劳动报酬权；根据</w:t>
      </w:r>
      <w:r>
        <w:rPr>
          <w:spacing w:val="7"/>
        </w:rPr>
        <w:t>国家及自治区统一部署，进一步完善事业单位</w:t>
      </w:r>
      <w:r>
        <w:rPr>
          <w:spacing w:val="7"/>
        </w:rPr>
        <w:t>工作人员工资收入分配制度，加大对基层一线</w:t>
      </w:r>
      <w:r>
        <w:rPr>
          <w:spacing w:val="7"/>
        </w:rPr>
        <w:t>工作人员工资倾斜力度。推进产业增收，牢牢</w:t>
      </w:r>
      <w:r>
        <w:rPr>
          <w:spacing w:val="7"/>
        </w:rPr>
        <w:t>把握城乡产业发展要素，围绕肉牛、纺织及服</w:t>
      </w:r>
      <w:r>
        <w:rPr>
          <w:spacing w:val="7"/>
        </w:rPr>
        <w:t>装加工、生态经济、文化旅游等重点产业，实</w:t>
      </w:r>
      <w:r>
        <w:rPr>
          <w:spacing w:val="7"/>
        </w:rPr>
        <w:t>施“龙头企业＋合作社（社区经济组织、市民</w:t>
      </w:r>
      <w:r>
        <w:rPr>
          <w:spacing w:val="9"/>
        </w:rPr>
        <w:t>经济组织</w:t>
      </w:r>
      <w:r>
        <w:rPr>
          <w:spacing w:val="-7"/>
        </w:rPr>
        <w:t>）＋</w:t>
      </w:r>
      <w:r>
        <w:rPr>
          <w:spacing w:val="9"/>
        </w:rPr>
        <w:t>农户（市民）”增收计划，创新</w:t>
      </w:r>
      <w:r>
        <w:rPr>
          <w:spacing w:val="7"/>
        </w:rPr>
        <w:t>利益联结机制，实现城乡居民增收。提高经营</w:t>
      </w:r>
      <w:r>
        <w:rPr>
          <w:spacing w:val="7"/>
        </w:rPr>
        <w:t>性收入，鼓励民间投资和创业致富，拓宽经营</w:t>
      </w:r>
      <w:r>
        <w:rPr>
          <w:spacing w:val="7"/>
        </w:rPr>
        <w:t>性收入来源。建立个人收入和财产登记信息系</w:t>
      </w:r>
      <w:r>
        <w:rPr>
          <w:spacing w:val="7"/>
        </w:rPr>
        <w:t>统，完善现代支付和收入监测体系，提升居民</w:t>
      </w:r>
      <w:r>
        <w:rPr>
          <w:spacing w:val="8"/>
        </w:rPr>
        <w:t>收入信息监测水平。到</w:t>
      </w:r>
      <w:r>
        <w:rPr>
          <w:spacing w:val="-27"/>
        </w:rPr>
        <w:t xml:space="preserve"> </w:t>
      </w:r>
      <w:r>
        <w:rPr>
          <w:spacing w:val="8"/>
        </w:rPr>
        <w:t>2025</w:t>
      </w:r>
      <w:r>
        <w:rPr>
          <w:spacing w:val="-37"/>
        </w:rPr>
        <w:t xml:space="preserve"> </w:t>
      </w:r>
      <w:r>
        <w:rPr>
          <w:spacing w:val="8"/>
        </w:rPr>
        <w:t>年</w:t>
      </w:r>
      <w:r>
        <w:rPr>
          <w:spacing w:val="-58"/>
        </w:rPr>
        <w:t xml:space="preserve"> </w:t>
      </w:r>
      <w:r>
        <w:rPr>
          <w:spacing w:val="8"/>
        </w:rPr>
        <w:t>，城乡居民收</w:t>
      </w:r>
      <w:r>
        <w:rPr>
          <w:spacing w:val="6"/>
        </w:rPr>
        <w:t>入达到</w:t>
      </w:r>
      <w:r>
        <w:rPr>
          <w:spacing w:val="-37"/>
        </w:rPr>
        <w:t xml:space="preserve"> </w:t>
      </w:r>
      <w:r>
        <w:rPr>
          <w:spacing w:val="6"/>
        </w:rPr>
        <w:t>31500</w:t>
      </w:r>
      <w:r>
        <w:rPr>
          <w:spacing w:val="-43"/>
        </w:rPr>
        <w:t xml:space="preserve"> </w:t>
      </w:r>
      <w:r>
        <w:rPr>
          <w:spacing w:val="6"/>
        </w:rPr>
        <w:t>元，年均增长</w:t>
      </w:r>
      <w:r>
        <w:rPr>
          <w:spacing w:val="-37"/>
        </w:rPr>
        <w:t xml:space="preserve"> </w:t>
      </w:r>
      <w:r>
        <w:rPr>
          <w:spacing w:val="6"/>
        </w:rPr>
        <w:t>8.6%。</w:t>
      </w:r>
    </w:p>
    <w:p>
      <w:pPr>
        <w:spacing w:line="371" w:lineRule="auto"/>
        <w:sectPr>
          <w:type w:val="continuous"/>
          <w:pgSz w:w="11906" w:h="16839"/>
          <w:pgMar w:top="1793" w:right="1489" w:bottom="1673" w:left="1526" w:header="1428" w:footer="1277" w:gutter="0"/>
          <w:cols w:equalWidth="0" w:num="2">
            <w:col w:w="4542" w:space="100"/>
            <w:col w:w="4249" w:space="0"/>
          </w:cols>
        </w:sectPr>
        <w:rPr/>
      </w:pPr>
    </w:p>
    <w:p>
      <w:pPr>
        <w:ind w:left="2407"/>
        <w:spacing w:before="183" w:line="197" w:lineRule="auto"/>
        <w:rPr>
          <w:rFonts w:ascii="Microsoft YaHei" w:hAnsi="Microsoft YaHei" w:eastAsia="Microsoft YaHei" w:cs="Microsoft YaHei"/>
          <w:sz w:val="20"/>
          <w:szCs w:val="20"/>
        </w:rPr>
      </w:pPr>
      <w:r>
        <w:drawing>
          <wp:anchor distT="0" distB="0" distL="0" distR="0" simplePos="0" relativeHeight="251848704" behindDoc="0" locked="0" layoutInCell="1" allowOverlap="1">
            <wp:simplePos x="0" y="0"/>
            <wp:positionH relativeFrom="column">
              <wp:posOffset>39242</wp:posOffset>
            </wp:positionH>
            <wp:positionV relativeFrom="paragraph">
              <wp:posOffset>-4271471</wp:posOffset>
            </wp:positionV>
            <wp:extent cx="5579745" cy="7619"/>
            <wp:effectExtent l="0" t="0" r="0" b="0"/>
            <wp:wrapNone/>
            <wp:docPr id="546" name="IM 546"/>
            <wp:cNvGraphicFramePr/>
            <a:graphic>
              <a:graphicData uri="http://schemas.openxmlformats.org/drawingml/2006/picture">
                <pic:pic>
                  <pic:nvPicPr>
                    <pic:cNvPr id="546" name="IM 546"/>
                    <pic:cNvPicPr/>
                  </pic:nvPicPr>
                  <pic:blipFill>
                    <a:blip r:embed="rId275"/>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专栏 19    多渠道促进就业创业重点项目工程</w:t>
      </w:r>
    </w:p>
    <w:tbl>
      <w:tblPr>
        <w:tblStyle w:val="TableNormal"/>
        <w:tblW w:w="8848" w:type="dxa"/>
        <w:tblInd w:w="2" w:type="dxa"/>
        <w:tblLayout w:type="fixed"/>
        <w:tblBorders>
          <w:left w:val="single" w:color="000000" w:sz="2" w:space="0"/>
          <w:bottom w:val="single" w:color="000000" w:sz="2" w:space="0"/>
          <w:right w:val="single" w:color="000000" w:sz="2" w:space="0"/>
          <w:top w:val="single" w:color="000000" w:sz="2" w:space="0"/>
        </w:tblBorders>
      </w:tblPr>
      <w:tblGrid>
        <w:gridCol w:w="8848"/>
      </w:tblGrid>
      <w:tr>
        <w:trPr>
          <w:trHeight w:val="3249" w:hRule="atLeast"/>
        </w:trPr>
        <w:tc>
          <w:tcPr>
            <w:tcW w:w="8848" w:type="dxa"/>
            <w:vAlign w:val="top"/>
          </w:tcPr>
          <w:p>
            <w:pPr>
              <w:pStyle w:val="TableText"/>
              <w:ind w:left="110" w:right="97" w:firstLine="377"/>
              <w:spacing w:before="122" w:line="334" w:lineRule="auto"/>
              <w:rPr/>
            </w:pPr>
            <w:r>
              <w:rPr>
                <w:b/>
                <w:bCs/>
                <w:spacing w:val="-2"/>
              </w:rPr>
              <w:t>1.双创实训基地建设</w:t>
            </w:r>
            <w:r>
              <w:rPr>
                <w:sz w:val="8"/>
                <w:szCs w:val="8"/>
                <w:b/>
                <w:bCs/>
                <w:spacing w:val="-2"/>
                <w:position w:val="9"/>
              </w:rPr>
              <w:t>@</w:t>
            </w:r>
            <w:r>
              <w:rPr>
                <w:b/>
                <w:bCs/>
                <w:spacing w:val="-2"/>
              </w:rPr>
              <w:t>：</w:t>
            </w:r>
            <w:r>
              <w:rPr>
                <w:spacing w:val="-2"/>
              </w:rPr>
              <w:t>建设公共实训基地用房总面积8500平方米，主要用于实际操作场地、教研室、耗材</w:t>
            </w:r>
            <w:r>
              <w:rPr>
                <w:spacing w:val="2"/>
              </w:rPr>
              <w:t>仓库、信息化中心、多功能厅、学员宿舍、食堂、业务管</w:t>
            </w:r>
            <w:r>
              <w:rPr>
                <w:spacing w:val="1"/>
              </w:rPr>
              <w:t>理用房，配套消防设施设备，同时能容纳600人进行</w:t>
            </w:r>
            <w:r>
              <w:rPr>
                <w:spacing w:val="-1"/>
              </w:rPr>
              <w:t>实训，年培训和鉴定8000人次。</w:t>
            </w:r>
          </w:p>
          <w:p>
            <w:pPr>
              <w:pStyle w:val="TableText"/>
              <w:ind w:left="110" w:right="99" w:firstLine="362"/>
              <w:spacing w:before="118" w:line="294" w:lineRule="auto"/>
              <w:rPr/>
            </w:pPr>
            <w:r>
              <w:rPr>
                <w:b/>
                <w:bCs/>
                <w:spacing w:val="-1"/>
              </w:rPr>
              <w:t>2.职业技能提升行动：</w:t>
            </w:r>
            <w:r>
              <w:rPr>
                <w:spacing w:val="-1"/>
              </w:rPr>
              <w:t>大规模开展企业职工、就业重点群体、贫困劳动力、退役军人、新型农民、灵活就</w:t>
            </w:r>
            <w:r>
              <w:rPr/>
              <w:t>业人员、家政服务人员就业技能培训、岗位技能提升培训和创业培训，提高各类劳动者职业技</w:t>
            </w:r>
            <w:r>
              <w:rPr>
                <w:spacing w:val="-1"/>
              </w:rPr>
              <w:t>能水平。</w:t>
            </w:r>
          </w:p>
          <w:p>
            <w:pPr>
              <w:pStyle w:val="TableText"/>
              <w:ind w:left="110" w:right="99" w:firstLine="364"/>
              <w:spacing w:before="148" w:line="292" w:lineRule="auto"/>
              <w:rPr/>
            </w:pPr>
            <w:r>
              <w:rPr>
                <w:b/>
                <w:bCs/>
                <w:spacing w:val="-1"/>
              </w:rPr>
              <w:t>3.高校毕业生就业促进计划：</w:t>
            </w:r>
            <w:r>
              <w:rPr>
                <w:spacing w:val="-1"/>
              </w:rPr>
              <w:t>实施高校毕业生就业创业促进计划和基层服务计划，鼓励吸引大学生在市域</w:t>
            </w:r>
            <w:r>
              <w:rPr>
                <w:spacing w:val="-1"/>
              </w:rPr>
              <w:t>创新创业就业。</w:t>
            </w:r>
          </w:p>
          <w:p>
            <w:pPr>
              <w:pStyle w:val="TableText"/>
              <w:ind w:left="114" w:right="99" w:firstLine="355"/>
              <w:spacing w:before="148" w:line="294" w:lineRule="auto"/>
              <w:rPr/>
            </w:pPr>
            <w:r>
              <w:rPr>
                <w:b/>
                <w:bCs/>
                <w:spacing w:val="-1"/>
              </w:rPr>
              <w:t>4.创业带动就业行动：</w:t>
            </w:r>
            <w:r>
              <w:rPr>
                <w:spacing w:val="-1"/>
              </w:rPr>
              <w:t>加快创业孵化示范基地等创业创新载体建设，落实创业担保贷款、创业培训和创业</w:t>
            </w:r>
            <w:r>
              <w:rPr/>
              <w:t>服务等政策措施，鼓励更多劳动者参与创业，扩大创</w:t>
            </w:r>
            <w:r>
              <w:rPr>
                <w:spacing w:val="-1"/>
              </w:rPr>
              <w:t>业带动就业效应。</w:t>
            </w:r>
          </w:p>
        </w:tc>
      </w:tr>
    </w:tbl>
    <w:p>
      <w:pPr>
        <w:spacing w:line="116" w:lineRule="exact"/>
        <w:rPr>
          <w:rFonts w:ascii="Arial"/>
          <w:sz w:val="10"/>
        </w:rPr>
      </w:pPr>
      <w:r/>
    </w:p>
    <w:p>
      <w:pPr>
        <w:spacing w:line="116" w:lineRule="exact"/>
        <w:sectPr>
          <w:type w:val="continuous"/>
          <w:pgSz w:w="11906" w:h="16839"/>
          <w:pgMar w:top="1793" w:right="1489" w:bottom="1673" w:left="1526" w:header="1428" w:footer="1277" w:gutter="0"/>
          <w:cols w:equalWidth="0" w:num="1">
            <w:col w:w="8891" w:space="0"/>
          </w:cols>
        </w:sectPr>
        <w:rPr>
          <w:rFonts w:ascii="Arial" w:hAnsi="Arial" w:eastAsia="Arial" w:cs="Arial"/>
          <w:sz w:val="10"/>
          <w:szCs w:val="10"/>
        </w:rPr>
      </w:pPr>
    </w:p>
    <w:p>
      <w:pPr>
        <w:ind w:left="433"/>
        <w:spacing w:before="42" w:line="211" w:lineRule="auto"/>
        <w:outlineLvl w:val="0"/>
        <w:rPr>
          <w:rFonts w:ascii="KaiTi" w:hAnsi="KaiTi" w:eastAsia="KaiTi" w:cs="KaiTi"/>
          <w:sz w:val="18"/>
          <w:szCs w:val="18"/>
        </w:rPr>
      </w:pPr>
      <w:r>
        <w:rPr>
          <w:rFonts w:ascii="Microsoft YaHei" w:hAnsi="Microsoft YaHei" w:eastAsia="Microsoft YaHei" w:cs="Microsoft YaHei"/>
          <w:sz w:val="18"/>
          <w:szCs w:val="18"/>
          <w:spacing w:val="-1"/>
        </w:rPr>
        <w:t>注</w:t>
      </w:r>
      <w:r>
        <w:rPr>
          <w:rFonts w:ascii="Microsoft YaHei" w:hAnsi="Microsoft YaHei" w:eastAsia="Microsoft YaHei" w:cs="Microsoft YaHei"/>
          <w:sz w:val="18"/>
          <w:szCs w:val="18"/>
          <w:spacing w:val="-13"/>
        </w:rPr>
        <w:t xml:space="preserve"> </w:t>
      </w:r>
      <w:r>
        <w:rPr>
          <w:rFonts w:ascii="Microsoft YaHei" w:hAnsi="Microsoft YaHei" w:eastAsia="Microsoft YaHei" w:cs="Microsoft YaHei"/>
          <w:sz w:val="18"/>
          <w:szCs w:val="18"/>
          <w:spacing w:val="-1"/>
        </w:rPr>
        <w:t>：</w:t>
      </w:r>
      <w:r>
        <w:rPr>
          <w:rFonts w:ascii="KaiTi" w:hAnsi="KaiTi" w:eastAsia="KaiTi" w:cs="KaiTi"/>
          <w:sz w:val="18"/>
          <w:szCs w:val="18"/>
          <w:spacing w:val="-1"/>
        </w:rPr>
        <w:t>项目名称右上角标“@”的为民生五大项</w:t>
      </w:r>
      <w:r>
        <w:rPr>
          <w:rFonts w:ascii="KaiTi" w:hAnsi="KaiTi" w:eastAsia="KaiTi" w:cs="KaiTi"/>
          <w:sz w:val="18"/>
          <w:szCs w:val="18"/>
          <w:spacing w:val="-47"/>
        </w:rPr>
        <w:t xml:space="preserve"> </w:t>
      </w:r>
      <w:r>
        <w:rPr>
          <w:rFonts w:ascii="KaiTi" w:hAnsi="KaiTi" w:eastAsia="KaiTi" w:cs="KaiTi"/>
          <w:sz w:val="18"/>
          <w:szCs w:val="18"/>
          <w:spacing w:val="-1"/>
        </w:rPr>
        <w:t>目。</w:t>
      </w:r>
    </w:p>
    <w:p>
      <w:pPr>
        <w:spacing w:line="442" w:lineRule="auto"/>
        <w:rPr>
          <w:rFonts w:ascii="Arial"/>
          <w:sz w:val="21"/>
        </w:rPr>
      </w:pPr>
      <w:r/>
    </w:p>
    <w:p>
      <w:pPr>
        <w:pStyle w:val="BodyText"/>
        <w:ind w:left="775"/>
        <w:spacing w:before="66" w:line="222" w:lineRule="auto"/>
        <w:outlineLvl w:val="0"/>
        <w:rPr/>
      </w:pPr>
      <w:r>
        <w:rPr>
          <w:b/>
          <w:bCs/>
          <w:spacing w:val="7"/>
        </w:rPr>
        <w:t>第二节</w:t>
      </w:r>
      <w:r>
        <w:rPr>
          <w:spacing w:val="7"/>
        </w:rPr>
        <w:t xml:space="preserve">  </w:t>
      </w:r>
      <w:r>
        <w:rPr>
          <w:b/>
          <w:bCs/>
          <w:spacing w:val="7"/>
        </w:rPr>
        <w:t>建设高质量教育体系</w:t>
      </w:r>
    </w:p>
    <w:p>
      <w:pPr>
        <w:spacing w:line="247" w:lineRule="auto"/>
        <w:rPr>
          <w:rFonts w:ascii="Arial"/>
          <w:sz w:val="21"/>
        </w:rPr>
      </w:pPr>
      <w:r/>
    </w:p>
    <w:p>
      <w:pPr>
        <w:spacing w:line="248" w:lineRule="auto"/>
        <w:rPr>
          <w:rFonts w:ascii="Arial"/>
          <w:sz w:val="21"/>
        </w:rPr>
      </w:pPr>
      <w:r/>
    </w:p>
    <w:p>
      <w:pPr>
        <w:pStyle w:val="BodyText"/>
        <w:ind w:left="487"/>
        <w:spacing w:before="66" w:line="222" w:lineRule="auto"/>
        <w:rPr/>
      </w:pPr>
      <w:r>
        <w:rPr>
          <w:spacing w:val="6"/>
        </w:rPr>
        <w:t>全面贯彻党的教育方针，落实立德树人根</w:t>
      </w:r>
    </w:p>
    <w:p>
      <w:pPr>
        <w:pStyle w:val="BodyText"/>
        <w:ind w:left="65"/>
        <w:spacing w:before="156" w:line="223" w:lineRule="auto"/>
        <w:outlineLvl w:val="0"/>
        <w:rPr/>
      </w:pPr>
      <w:r>
        <w:rPr>
          <w:spacing w:val="7"/>
        </w:rPr>
        <w:t>本任务，加强师德师风建设，实施教师教育质</w:t>
      </w:r>
    </w:p>
    <w:p>
      <w:pPr>
        <w:pStyle w:val="BodyText"/>
        <w:ind w:left="66"/>
        <w:spacing w:before="161" w:line="187" w:lineRule="auto"/>
        <w:rPr/>
      </w:pPr>
      <w:r>
        <w:rPr>
          <w:spacing w:val="7"/>
        </w:rPr>
        <w:t>量双升计划，继续实施“名师名校名校长”培</w:t>
      </w:r>
    </w:p>
    <w:p>
      <w:pPr>
        <w:spacing w:line="14" w:lineRule="auto"/>
        <w:rPr>
          <w:rFonts w:ascii="Arial"/>
          <w:sz w:val="2"/>
        </w:rPr>
      </w:pPr>
      <w:r>
        <w:rPr>
          <w:rFonts w:ascii="Arial" w:hAnsi="Arial" w:eastAsia="Arial" w:cs="Arial"/>
          <w:sz w:val="2"/>
          <w:szCs w:val="2"/>
        </w:rPr>
        <w:br w:type="column"/>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pStyle w:val="BodyText"/>
        <w:ind w:left="3"/>
        <w:spacing w:before="65" w:line="222" w:lineRule="auto"/>
        <w:rPr/>
      </w:pPr>
      <w:r>
        <w:rPr>
          <w:spacing w:val="9"/>
        </w:rPr>
        <w:t>育工程，促进各级各类教育高质量发展。</w:t>
      </w:r>
    </w:p>
    <w:p>
      <w:pPr>
        <w:pStyle w:val="BodyText"/>
        <w:ind w:left="423"/>
        <w:spacing w:before="145" w:line="219" w:lineRule="auto"/>
        <w:rPr/>
      </w:pPr>
      <w:r>
        <w:rPr>
          <w:spacing w:val="6"/>
        </w:rPr>
        <w:t>推进基础教育提质扩容。推进学前教育普</w:t>
      </w:r>
    </w:p>
    <w:p>
      <w:pPr>
        <w:pStyle w:val="BodyText"/>
        <w:spacing w:before="139" w:line="277" w:lineRule="exact"/>
        <w:outlineLvl w:val="0"/>
        <w:rPr/>
      </w:pPr>
      <w:r>
        <w:rPr>
          <w:spacing w:val="6"/>
          <w:position w:val="1"/>
        </w:rPr>
        <w:t>及普惠发展，改造提升乡村幼儿园</w:t>
      </w:r>
      <w:r>
        <w:rPr>
          <w:spacing w:val="-36"/>
          <w:position w:val="1"/>
        </w:rPr>
        <w:t xml:space="preserve"> </w:t>
      </w:r>
      <w:r>
        <w:rPr>
          <w:spacing w:val="6"/>
          <w:position w:val="1"/>
        </w:rPr>
        <w:t>310</w:t>
      </w:r>
      <w:r>
        <w:rPr>
          <w:spacing w:val="-42"/>
          <w:position w:val="1"/>
        </w:rPr>
        <w:t xml:space="preserve"> </w:t>
      </w:r>
      <w:r>
        <w:rPr>
          <w:spacing w:val="6"/>
          <w:position w:val="1"/>
        </w:rPr>
        <w:t>所，新</w:t>
      </w:r>
    </w:p>
    <w:p>
      <w:pPr>
        <w:pStyle w:val="BodyText"/>
        <w:ind w:left="16" w:right="98" w:hanging="16"/>
        <w:spacing w:before="102" w:line="306" w:lineRule="auto"/>
        <w:rPr/>
      </w:pPr>
      <w:r>
        <w:rPr>
          <w:spacing w:val="9"/>
        </w:rPr>
        <w:t>增城镇公办幼儿园</w:t>
      </w:r>
      <w:r>
        <w:rPr>
          <w:spacing w:val="-35"/>
        </w:rPr>
        <w:t xml:space="preserve"> </w:t>
      </w:r>
      <w:r>
        <w:rPr>
          <w:spacing w:val="9"/>
        </w:rPr>
        <w:t>27</w:t>
      </w:r>
      <w:r>
        <w:rPr>
          <w:spacing w:val="-39"/>
        </w:rPr>
        <w:t xml:space="preserve"> </w:t>
      </w:r>
      <w:r>
        <w:rPr>
          <w:spacing w:val="9"/>
        </w:rPr>
        <w:t>所</w:t>
      </w:r>
      <w:r>
        <w:rPr>
          <w:spacing w:val="-59"/>
        </w:rPr>
        <w:t xml:space="preserve"> </w:t>
      </w:r>
      <w:r>
        <w:rPr>
          <w:spacing w:val="9"/>
        </w:rPr>
        <w:t>，实施政府购买公办</w:t>
      </w:r>
      <w:r>
        <w:rPr>
          <w:spacing w:val="6"/>
        </w:rPr>
        <w:t>园教师服务岗位行动计划，补齐公办幼儿园教</w:t>
      </w:r>
    </w:p>
    <w:p>
      <w:pPr>
        <w:spacing w:line="306" w:lineRule="auto"/>
        <w:sectPr>
          <w:type w:val="continuous"/>
          <w:pgSz w:w="11906" w:h="16839"/>
          <w:pgMar w:top="1793" w:right="1489" w:bottom="1673" w:left="1526" w:header="1428" w:footer="1277" w:gutter="0"/>
          <w:cols w:equalWidth="0" w:num="2">
            <w:col w:w="4542" w:space="100"/>
            <w:col w:w="4249" w:space="0"/>
          </w:cols>
        </w:sectPr>
        <w:rPr/>
      </w:pPr>
    </w:p>
    <w:p>
      <w:pPr>
        <w:spacing w:before="36"/>
        <w:rPr/>
      </w:pPr>
      <w:r>
        <w:drawing>
          <wp:anchor distT="0" distB="0" distL="0" distR="0" simplePos="0" relativeHeight="251850752"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552" name="IM 552"/>
            <wp:cNvGraphicFramePr/>
            <a:graphic>
              <a:graphicData uri="http://schemas.openxmlformats.org/drawingml/2006/picture">
                <pic:pic>
                  <pic:nvPicPr>
                    <pic:cNvPr id="552" name="IM 552"/>
                    <pic:cNvPicPr/>
                  </pic:nvPicPr>
                  <pic:blipFill>
                    <a:blip r:embed="rId278"/>
                    <a:stretch>
                      <a:fillRect/>
                    </a:stretch>
                  </pic:blipFill>
                  <pic:spPr>
                    <a:xfrm rot="0">
                      <a:off x="0" y="0"/>
                      <a:ext cx="5579745" cy="7619"/>
                    </a:xfrm>
                    <a:prstGeom prst="rect">
                      <a:avLst/>
                    </a:prstGeom>
                  </pic:spPr>
                </pic:pic>
              </a:graphicData>
            </a:graphic>
          </wp:anchor>
        </w:drawing>
      </w:r>
      <w:r/>
    </w:p>
    <w:p>
      <w:pPr>
        <w:sectPr>
          <w:headerReference w:type="default" r:id="rId276"/>
          <w:footerReference w:type="default" r:id="rId277"/>
          <w:pgSz w:w="11906" w:h="16839"/>
          <w:pgMar w:top="1793" w:right="1526" w:bottom="1570" w:left="1579" w:header="1428" w:footer="1172" w:gutter="0"/>
          <w:cols w:equalWidth="0" w:num="1">
            <w:col w:w="8801" w:space="0"/>
          </w:cols>
        </w:sectPr>
        <w:rPr/>
      </w:pPr>
    </w:p>
    <w:p>
      <w:pPr>
        <w:pStyle w:val="BodyText"/>
        <w:ind w:left="10" w:right="322" w:firstLine="5"/>
        <w:spacing w:before="31" w:line="351" w:lineRule="auto"/>
        <w:jc w:val="both"/>
        <w:rPr/>
      </w:pPr>
      <w:r>
        <w:rPr>
          <w:spacing w:val="7"/>
        </w:rPr>
        <w:t>师短板，提高学前教育质量。推进义务教育优</w:t>
      </w:r>
      <w:r>
        <w:rPr>
          <w:spacing w:val="8"/>
        </w:rPr>
        <w:t>质均衡发展，新增城镇中小学</w:t>
      </w:r>
      <w:r>
        <w:rPr>
          <w:spacing w:val="-13"/>
        </w:rPr>
        <w:t xml:space="preserve"> </w:t>
      </w:r>
      <w:r>
        <w:rPr>
          <w:spacing w:val="8"/>
        </w:rPr>
        <w:t>15</w:t>
      </w:r>
      <w:r>
        <w:rPr>
          <w:spacing w:val="-39"/>
        </w:rPr>
        <w:t xml:space="preserve"> </w:t>
      </w:r>
      <w:r>
        <w:rPr>
          <w:spacing w:val="8"/>
        </w:rPr>
        <w:t>所</w:t>
      </w:r>
      <w:r>
        <w:rPr>
          <w:spacing w:val="-59"/>
        </w:rPr>
        <w:t xml:space="preserve"> </w:t>
      </w:r>
      <w:r>
        <w:rPr>
          <w:spacing w:val="8"/>
        </w:rPr>
        <w:t>，有序扩</w:t>
      </w:r>
      <w:r>
        <w:rPr>
          <w:spacing w:val="7"/>
        </w:rPr>
        <w:t>大城镇学位供给，按优质均衡标准化解“大校</w:t>
      </w:r>
      <w:r>
        <w:rPr>
          <w:spacing w:val="7"/>
        </w:rPr>
        <w:t>额”；办好乡村小规模学校和寄宿制学校，均</w:t>
      </w:r>
      <w:r>
        <w:rPr>
          <w:spacing w:val="7"/>
        </w:rPr>
        <w:t>衡配置城乡教育资源，推进标准化建设，提升</w:t>
      </w:r>
      <w:r>
        <w:rPr>
          <w:spacing w:val="7"/>
        </w:rPr>
        <w:t>办学条件，均衡师资力量配置，推进集团化办</w:t>
      </w:r>
      <w:r>
        <w:rPr>
          <w:spacing w:val="7"/>
        </w:rPr>
        <w:t>学模式，促进优质教育资源共建共享。推动高</w:t>
      </w:r>
      <w:r>
        <w:rPr>
          <w:spacing w:val="7"/>
        </w:rPr>
        <w:t>中阶段学校多样化发展，巩固高中阶段教育普</w:t>
      </w:r>
      <w:r>
        <w:rPr>
          <w:spacing w:val="15"/>
        </w:rPr>
        <w:t>及成果</w:t>
      </w:r>
      <w:r>
        <w:rPr>
          <w:spacing w:val="-39"/>
        </w:rPr>
        <w:t xml:space="preserve"> </w:t>
      </w:r>
      <w:r>
        <w:rPr>
          <w:spacing w:val="15"/>
        </w:rPr>
        <w:t>，探索普通高中设立职业教育选修课</w:t>
      </w:r>
      <w:r>
        <w:rPr>
          <w:spacing w:val="7"/>
        </w:rPr>
        <w:t>程，推进普职融通。完善特殊教育保障机制，</w:t>
      </w:r>
      <w:r>
        <w:rPr>
          <w:spacing w:val="7"/>
        </w:rPr>
        <w:t>推进特殊教育向学前和高中阶段延伸，开展市</w:t>
      </w:r>
      <w:r>
        <w:rPr>
          <w:spacing w:val="7"/>
        </w:rPr>
        <w:t>特教学校开办残疾儿童学前班、市县特教学校</w:t>
      </w:r>
      <w:r>
        <w:rPr>
          <w:spacing w:val="7"/>
        </w:rPr>
        <w:t>建设残疾人职业技能培训中心试点工作。支持</w:t>
      </w:r>
      <w:r>
        <w:rPr>
          <w:spacing w:val="7"/>
        </w:rPr>
        <w:t>和规范民办教育发展，有序推进民办教育分类</w:t>
      </w:r>
      <w:r>
        <w:rPr>
          <w:spacing w:val="7"/>
        </w:rPr>
        <w:t>管理改革，规范校外培训机构，构建民办教育</w:t>
      </w:r>
      <w:r>
        <w:rPr>
          <w:spacing w:val="7"/>
        </w:rPr>
        <w:t>分类办学体系、扶持体系和监管体系。加强教</w:t>
      </w:r>
      <w:r>
        <w:rPr>
          <w:spacing w:val="-3"/>
        </w:rPr>
        <w:t>师队伍建设，提升教书育人能力素质；实施“名</w:t>
      </w:r>
      <w:r>
        <w:rPr>
          <w:spacing w:val="7"/>
        </w:rPr>
        <w:t>师名校名校长”培育工程，探索构建分层分类</w:t>
      </w:r>
      <w:r>
        <w:rPr>
          <w:spacing w:val="7"/>
        </w:rPr>
        <w:t>的校长培养目标体系，加大教师培养力度和人</w:t>
      </w:r>
      <w:r>
        <w:rPr>
          <w:spacing w:val="7"/>
        </w:rPr>
        <w:t>才引进力度，有序推进城乡义务教育学校校长</w:t>
      </w:r>
      <w:r>
        <w:rPr>
          <w:spacing w:val="7"/>
        </w:rPr>
        <w:t>教师交流制度。深化教育领域综合改革，稳妥</w:t>
      </w:r>
      <w:r>
        <w:rPr>
          <w:spacing w:val="7"/>
        </w:rPr>
        <w:t>推进高考综合改革和教育评价制度改革，深化</w:t>
      </w:r>
      <w:r>
        <w:rPr>
          <w:spacing w:val="7"/>
        </w:rPr>
        <w:t>学校思政课程改革创新，健全学校家庭社会协</w:t>
      </w:r>
      <w:r>
        <w:rPr>
          <w:spacing w:val="7"/>
        </w:rPr>
        <w:t>同育人机制。</w:t>
      </w:r>
    </w:p>
    <w:p>
      <w:pPr>
        <w:pStyle w:val="BodyText"/>
        <w:ind w:left="435"/>
        <w:spacing w:before="5" w:line="219" w:lineRule="auto"/>
        <w:rPr/>
      </w:pPr>
      <w:r>
        <w:rPr>
          <w:spacing w:val="6"/>
        </w:rPr>
        <w:t>推进职业教育扩面升级。深化职业教育普</w:t>
      </w:r>
    </w:p>
    <w:p>
      <w:pPr>
        <w:pStyle w:val="BodyText"/>
        <w:ind w:left="17"/>
        <w:spacing w:before="143" w:line="221" w:lineRule="auto"/>
        <w:outlineLvl w:val="0"/>
        <w:rPr/>
      </w:pPr>
      <w:r>
        <w:rPr>
          <w:spacing w:val="7"/>
        </w:rPr>
        <w:t>职融通、产教融合、校企合作。完善职业教育</w:t>
      </w:r>
    </w:p>
    <w:p>
      <w:pPr>
        <w:pStyle w:val="BodyText"/>
        <w:ind w:left="12" w:right="121"/>
        <w:spacing w:before="142" w:line="330" w:lineRule="auto"/>
        <w:rPr/>
      </w:pPr>
      <w:r>
        <w:rPr>
          <w:spacing w:val="7"/>
        </w:rPr>
        <w:t>体系，争取固原市职业技术学校升格为高职院</w:t>
      </w:r>
      <w:r>
        <w:rPr>
          <w:spacing w:val="1"/>
        </w:rPr>
        <w:t xml:space="preserve"> </w:t>
      </w:r>
      <w:r>
        <w:rPr>
          <w:spacing w:val="5"/>
        </w:rPr>
        <w:t>校（</w:t>
      </w:r>
      <w:r>
        <w:rPr>
          <w:spacing w:val="-43"/>
        </w:rPr>
        <w:t xml:space="preserve"> </w:t>
      </w:r>
      <w:r>
        <w:rPr>
          <w:spacing w:val="5"/>
        </w:rPr>
        <w:t>固原市六盘山高等职业技术学院</w:t>
      </w:r>
      <w:r>
        <w:rPr>
          <w:spacing w:val="-1"/>
        </w:rPr>
        <w:t>），</w:t>
      </w:r>
      <w:r>
        <w:rPr>
          <w:spacing w:val="5"/>
        </w:rPr>
        <w:t>在此</w:t>
      </w:r>
      <w:r>
        <w:rPr/>
        <w:t xml:space="preserve"> </w:t>
      </w:r>
      <w:r>
        <w:rPr>
          <w:spacing w:val="7"/>
        </w:rPr>
        <w:t>基础上，支持新建原州区职业中学。支持建设</w:t>
      </w:r>
      <w:r>
        <w:rPr>
          <w:spacing w:val="1"/>
        </w:rPr>
        <w:t xml:space="preserve"> </w:t>
      </w:r>
      <w:r>
        <w:rPr>
          <w:spacing w:val="7"/>
        </w:rPr>
        <w:t>宁夏飞毛腿高级技师学院、西吉县第二职业学</w:t>
      </w:r>
      <w:r>
        <w:rPr>
          <w:spacing w:val="1"/>
        </w:rPr>
        <w:t xml:space="preserve"> </w:t>
      </w:r>
      <w:r>
        <w:rPr>
          <w:spacing w:val="5"/>
        </w:rPr>
        <w:t>校。建立“五县（</w:t>
      </w:r>
      <w:r>
        <w:rPr>
          <w:spacing w:val="-50"/>
        </w:rPr>
        <w:t xml:space="preserve"> </w:t>
      </w:r>
      <w:r>
        <w:rPr>
          <w:spacing w:val="5"/>
        </w:rPr>
        <w:t>区）办中职、市本级办高</w:t>
      </w:r>
      <w:r>
        <w:rPr>
          <w:spacing w:val="4"/>
        </w:rPr>
        <w:t>职”</w:t>
      </w:r>
      <w:r>
        <w:rPr>
          <w:spacing w:val="7"/>
        </w:rPr>
        <w:t>的职业教育高质量体系，培养多层次技能型实</w:t>
      </w:r>
      <w:r>
        <w:rPr>
          <w:spacing w:val="1"/>
        </w:rPr>
        <w:t xml:space="preserve"> </w:t>
      </w:r>
      <w:r>
        <w:rPr>
          <w:spacing w:val="7"/>
        </w:rPr>
        <w:t>用人才。建立健全职业教育专业设置对接产业</w:t>
      </w:r>
      <w:r>
        <w:rPr>
          <w:spacing w:val="1"/>
        </w:rPr>
        <w:t xml:space="preserve"> </w:t>
      </w:r>
      <w:r>
        <w:rPr>
          <w:spacing w:val="7"/>
        </w:rPr>
        <w:t>需求的动态调整机制，围绕服务特色农业、纺</w:t>
      </w:r>
    </w:p>
    <w:p>
      <w:pPr>
        <w:spacing w:line="14" w:lineRule="auto"/>
        <w:rPr>
          <w:rFonts w:ascii="Arial"/>
          <w:sz w:val="2"/>
        </w:rPr>
      </w:pPr>
      <w:r>
        <w:rPr>
          <w:rFonts w:ascii="Arial" w:hAnsi="Arial" w:eastAsia="Arial" w:cs="Arial"/>
          <w:sz w:val="2"/>
          <w:szCs w:val="2"/>
        </w:rPr>
        <w:br w:type="column"/>
      </w:r>
    </w:p>
    <w:p>
      <w:pPr>
        <w:pStyle w:val="BodyText"/>
        <w:ind w:firstLine="2"/>
        <w:spacing w:before="39" w:line="349" w:lineRule="auto"/>
        <w:jc w:val="both"/>
        <w:rPr/>
      </w:pPr>
      <w:r>
        <w:rPr/>
        <w:t>织服装、文化旅游、生态经济等我市重点产业，</w:t>
      </w:r>
      <w:r>
        <w:rPr>
          <w:spacing w:val="7"/>
        </w:rPr>
        <w:t>科学设置职业教育专业，推动职业教育与我市</w:t>
      </w:r>
      <w:r>
        <w:rPr>
          <w:spacing w:val="7"/>
        </w:rPr>
        <w:t>产业发展有效衔接。市、县两级为所属职业学</w:t>
      </w:r>
      <w:r>
        <w:rPr>
          <w:spacing w:val="6"/>
        </w:rPr>
        <w:t>校建成</w:t>
      </w:r>
      <w:r>
        <w:rPr>
          <w:spacing w:val="-35"/>
        </w:rPr>
        <w:t xml:space="preserve"> </w:t>
      </w:r>
      <w:r>
        <w:rPr>
          <w:spacing w:val="6"/>
        </w:rPr>
        <w:t>2-3</w:t>
      </w:r>
      <w:r>
        <w:rPr>
          <w:spacing w:val="-43"/>
        </w:rPr>
        <w:t xml:space="preserve"> </w:t>
      </w:r>
      <w:r>
        <w:rPr>
          <w:spacing w:val="6"/>
        </w:rPr>
        <w:t>个优势特色实训基地，深化职业学</w:t>
      </w:r>
      <w:r>
        <w:rPr>
          <w:spacing w:val="5"/>
        </w:rPr>
        <w:t>校办学机制和教育教学改革，扩大“</w:t>
      </w:r>
      <w:r>
        <w:rPr>
          <w:spacing w:val="-54"/>
        </w:rPr>
        <w:t xml:space="preserve"> </w:t>
      </w:r>
      <w:r>
        <w:rPr>
          <w:spacing w:val="5"/>
        </w:rPr>
        <w:t>中高职贯</w:t>
      </w:r>
      <w:r>
        <w:rPr>
          <w:spacing w:val="7"/>
        </w:rPr>
        <w:t>通”培养规模，促进中高职一体化办学。实施</w:t>
      </w:r>
      <w:r>
        <w:rPr>
          <w:spacing w:val="10"/>
        </w:rPr>
        <w:t>“学历证书+若干职业技能等级证书”（简称</w:t>
      </w:r>
      <w:r>
        <w:rPr/>
        <w:t xml:space="preserve"> </w:t>
      </w:r>
      <w:r>
        <w:rPr>
          <w:spacing w:val="9"/>
        </w:rPr>
        <w:t>1+X</w:t>
      </w:r>
      <w:r>
        <w:rPr>
          <w:spacing w:val="-41"/>
        </w:rPr>
        <w:t xml:space="preserve"> </w:t>
      </w:r>
      <w:r>
        <w:rPr>
          <w:spacing w:val="9"/>
        </w:rPr>
        <w:t>证书）制度。进一步健全职业教育“双师</w:t>
      </w:r>
      <w:r>
        <w:rPr>
          <w:spacing w:val="7"/>
        </w:rPr>
        <w:t>型”教师成长机制，提升高素质技能型人才培</w:t>
      </w:r>
      <w:r>
        <w:rPr>
          <w:spacing w:val="6"/>
        </w:rPr>
        <w:t>养能力。</w:t>
      </w:r>
    </w:p>
    <w:p>
      <w:pPr>
        <w:pStyle w:val="BodyText"/>
        <w:ind w:left="5" w:right="64" w:firstLine="418"/>
        <w:spacing w:before="21" w:line="286" w:lineRule="auto"/>
        <w:outlineLvl w:val="0"/>
        <w:rPr/>
      </w:pPr>
      <w:r>
        <w:rPr>
          <w:spacing w:val="6"/>
        </w:rPr>
        <w:t>推进高等教育开放合作办学。支持宁夏师</w:t>
      </w:r>
      <w:r>
        <w:rPr>
          <w:spacing w:val="7"/>
        </w:rPr>
        <w:t>范学院升格为宁夏师范大学，争取建设宁夏师</w:t>
      </w:r>
    </w:p>
    <w:p>
      <w:pPr>
        <w:pStyle w:val="BodyText"/>
        <w:ind w:right="41" w:firstLine="4"/>
        <w:spacing w:before="138" w:line="350" w:lineRule="auto"/>
        <w:jc w:val="both"/>
        <w:rPr/>
      </w:pPr>
      <w:r>
        <w:rPr>
          <w:spacing w:val="8"/>
        </w:rPr>
        <w:t>范学院附属中学，创建“一级专业学科学位、</w:t>
      </w:r>
      <w:r>
        <w:rPr>
          <w:spacing w:val="8"/>
        </w:rPr>
        <w:t>硕士博士研究生教育试点”</w:t>
      </w:r>
      <w:r>
        <w:rPr>
          <w:spacing w:val="-53"/>
        </w:rPr>
        <w:t xml:space="preserve"> </w:t>
      </w:r>
      <w:r>
        <w:rPr>
          <w:spacing w:val="8"/>
        </w:rPr>
        <w:t>，设立</w:t>
      </w:r>
      <w:r>
        <w:rPr>
          <w:spacing w:val="-19"/>
        </w:rPr>
        <w:t xml:space="preserve"> </w:t>
      </w:r>
      <w:r>
        <w:rPr>
          <w:spacing w:val="8"/>
        </w:rPr>
        <w:t>10</w:t>
      </w:r>
      <w:r>
        <w:rPr>
          <w:spacing w:val="-41"/>
        </w:rPr>
        <w:t xml:space="preserve"> </w:t>
      </w:r>
      <w:r>
        <w:rPr>
          <w:spacing w:val="8"/>
        </w:rPr>
        <w:t>个满足</w:t>
      </w:r>
      <w:r>
        <w:rPr>
          <w:spacing w:val="7"/>
        </w:rPr>
        <w:t>固原产业发展需要的重点学科、特色专业。力</w:t>
      </w:r>
      <w:r>
        <w:rPr>
          <w:spacing w:val="7"/>
        </w:rPr>
        <w:t>争在“十四五”期间招引全国特别是西北地区</w:t>
      </w:r>
      <w:r>
        <w:rPr>
          <w:spacing w:val="7"/>
        </w:rPr>
        <w:t>高校到固原建设分校分院或研究院。深化“十</w:t>
      </w:r>
      <w:r>
        <w:rPr>
          <w:spacing w:val="7"/>
        </w:rPr>
        <w:t>百千”名师培养工程，通过选派骨干教师到高</w:t>
      </w:r>
      <w:r>
        <w:rPr>
          <w:spacing w:val="18"/>
        </w:rPr>
        <w:t>校和发达地区的培训机构委托培养、访学研</w:t>
      </w:r>
      <w:r>
        <w:rPr>
          <w:spacing w:val="7"/>
        </w:rPr>
        <w:t>修、论坛交流等提升教育教学理念和专业技术</w:t>
      </w:r>
      <w:r>
        <w:rPr>
          <w:spacing w:val="4"/>
        </w:rPr>
        <w:t>水准。</w:t>
      </w:r>
    </w:p>
    <w:p>
      <w:pPr>
        <w:pStyle w:val="BodyText"/>
        <w:ind w:left="20" w:right="61" w:firstLine="403"/>
        <w:spacing w:before="4" w:line="288" w:lineRule="auto"/>
        <w:outlineLvl w:val="0"/>
        <w:rPr/>
      </w:pPr>
      <w:r>
        <w:rPr>
          <w:spacing w:val="12"/>
        </w:rPr>
        <w:t>推进“互联网+教育”建设应用。开展联</w:t>
      </w:r>
      <w:r>
        <w:rPr>
          <w:spacing w:val="6"/>
        </w:rPr>
        <w:t>网攻坚行动，促进教育系统网络宽带提速、全</w:t>
      </w:r>
    </w:p>
    <w:p>
      <w:pPr>
        <w:pStyle w:val="BodyText"/>
        <w:ind w:right="57" w:firstLine="2"/>
        <w:spacing w:before="138" w:line="336" w:lineRule="auto"/>
        <w:jc w:val="both"/>
        <w:rPr/>
      </w:pPr>
      <w:r>
        <w:rPr>
          <w:spacing w:val="-3"/>
        </w:rPr>
        <w:t>市中小学（园）信息化教学设备升级改造、“互</w:t>
      </w:r>
      <w:r>
        <w:rPr>
          <w:spacing w:val="2"/>
        </w:rPr>
        <w:t>联网+教育”达标县（区）创建。用好宁夏“教</w:t>
      </w:r>
      <w:r>
        <w:rPr>
          <w:spacing w:val="7"/>
        </w:rPr>
        <w:t>育云”、固原市幼儿教育公共服务等平台，开</w:t>
      </w:r>
      <w:r>
        <w:rPr>
          <w:spacing w:val="11"/>
        </w:rPr>
        <w:t>展“三个课堂”建设，推进“N+1+N”在线课</w:t>
      </w:r>
      <w:r>
        <w:rPr>
          <w:spacing w:val="7"/>
        </w:rPr>
        <w:t>堂全覆盖，推动优质学校与薄弱学校线上结对</w:t>
      </w:r>
      <w:r>
        <w:rPr>
          <w:spacing w:val="7"/>
        </w:rPr>
        <w:t>共建，实现优质资源共享，帮助薄弱学校开齐</w:t>
      </w:r>
      <w:r>
        <w:rPr>
          <w:spacing w:val="7"/>
        </w:rPr>
        <w:t>开足开好国家规定课程，促进教育公平和优质</w:t>
      </w:r>
      <w:r>
        <w:rPr>
          <w:spacing w:val="7"/>
        </w:rPr>
        <w:t>均衡发展。建设固原市中小学教师信息技术能</w:t>
      </w:r>
      <w:r>
        <w:rPr>
          <w:spacing w:val="10"/>
        </w:rPr>
        <w:t>力提升工程</w:t>
      </w:r>
      <w:r>
        <w:rPr>
          <w:spacing w:val="-53"/>
        </w:rPr>
        <w:t xml:space="preserve"> </w:t>
      </w:r>
      <w:r>
        <w:rPr>
          <w:spacing w:val="10"/>
        </w:rPr>
        <w:t>，实施“互联网+教育”创新应用</w:t>
      </w:r>
      <w:r>
        <w:rPr>
          <w:spacing w:val="12"/>
        </w:rPr>
        <w:t>项目，开展市级骨干教师、“互联网+创新素</w:t>
      </w:r>
      <w:r>
        <w:rPr>
          <w:spacing w:val="7"/>
        </w:rPr>
        <w:t>养教育”教学、“六盘名师”培养培训，以人</w:t>
      </w:r>
    </w:p>
    <w:p>
      <w:pPr>
        <w:spacing w:line="336" w:lineRule="auto"/>
        <w:sectPr>
          <w:type w:val="continuous"/>
          <w:pgSz w:w="11906" w:h="16839"/>
          <w:pgMar w:top="1793" w:right="1526" w:bottom="1570" w:left="1579" w:header="1428" w:footer="1172" w:gutter="0"/>
          <w:cols w:equalWidth="0" w:num="2">
            <w:col w:w="4489" w:space="100"/>
            <w:col w:w="4212" w:space="0"/>
          </w:cols>
        </w:sectPr>
        <w:rPr/>
      </w:pPr>
    </w:p>
    <w:p>
      <w:pPr>
        <w:spacing w:before="25"/>
        <w:rPr/>
      </w:pPr>
      <w:r/>
    </w:p>
    <w:p>
      <w:pPr>
        <w:sectPr>
          <w:headerReference w:type="default" r:id="rId199"/>
          <w:footerReference w:type="default" r:id="rId279"/>
          <w:pgSz w:w="11906" w:h="16839"/>
          <w:pgMar w:top="1793" w:right="1489" w:bottom="1673" w:left="1526" w:header="1428" w:footer="1277" w:gutter="0"/>
          <w:cols w:equalWidth="0" w:num="1">
            <w:col w:w="8891" w:space="0"/>
          </w:cols>
        </w:sectPr>
        <w:rPr/>
      </w:pPr>
    </w:p>
    <w:p>
      <w:pPr>
        <w:pStyle w:val="BodyText"/>
        <w:ind w:left="63" w:right="327" w:firstLine="3"/>
        <w:spacing w:before="50" w:line="348" w:lineRule="auto"/>
        <w:jc w:val="both"/>
        <w:rPr/>
      </w:pPr>
      <w:r>
        <w:rPr>
          <w:spacing w:val="18"/>
        </w:rPr>
        <w:t>工智能助推教育教学模式变革和教师队伍建</w:t>
      </w:r>
      <w:r>
        <w:rPr>
          <w:spacing w:val="6"/>
        </w:rPr>
        <w:t>设。到</w:t>
      </w:r>
      <w:r>
        <w:rPr>
          <w:spacing w:val="-41"/>
        </w:rPr>
        <w:t xml:space="preserve"> </w:t>
      </w:r>
      <w:r>
        <w:rPr>
          <w:spacing w:val="6"/>
        </w:rPr>
        <w:t>2025</w:t>
      </w:r>
      <w:r>
        <w:rPr>
          <w:spacing w:val="-39"/>
        </w:rPr>
        <w:t xml:space="preserve"> </w:t>
      </w:r>
      <w:r>
        <w:rPr>
          <w:spacing w:val="6"/>
        </w:rPr>
        <w:t>年，“互联网+教育”在教育</w:t>
      </w:r>
      <w:r>
        <w:rPr>
          <w:spacing w:val="5"/>
        </w:rPr>
        <w:t>资源</w:t>
      </w:r>
      <w:r>
        <w:rPr>
          <w:spacing w:val="12"/>
        </w:rPr>
        <w:t>共享、创新素养教育、互联网+人工智能、校</w:t>
      </w:r>
      <w:r>
        <w:rPr>
          <w:spacing w:val="10"/>
        </w:rPr>
        <w:t>园治理等方面深度融合应用</w:t>
      </w:r>
      <w:r>
        <w:rPr>
          <w:spacing w:val="-51"/>
        </w:rPr>
        <w:t xml:space="preserve"> </w:t>
      </w:r>
      <w:r>
        <w:rPr>
          <w:spacing w:val="10"/>
        </w:rPr>
        <w:t>，创建“互联网+</w:t>
      </w:r>
    </w:p>
    <w:p>
      <w:pPr>
        <w:spacing w:line="46" w:lineRule="exact"/>
        <w:rPr/>
      </w:pPr>
      <w:r/>
    </w:p>
    <w:p>
      <w:pPr>
        <w:spacing w:line="14" w:lineRule="auto"/>
        <w:rPr>
          <w:rFonts w:ascii="Arial"/>
          <w:sz w:val="2"/>
        </w:rPr>
      </w:pPr>
      <w:r>
        <w:rPr>
          <w:rFonts w:ascii="Arial" w:hAnsi="Arial" w:eastAsia="Arial" w:cs="Arial"/>
          <w:sz w:val="2"/>
          <w:szCs w:val="2"/>
        </w:rPr>
        <w:br w:type="column"/>
      </w:r>
    </w:p>
    <w:p>
      <w:pPr>
        <w:pStyle w:val="BodyText"/>
        <w:ind w:right="98" w:firstLine="1"/>
        <w:spacing w:before="47" w:line="355" w:lineRule="auto"/>
        <w:jc w:val="both"/>
        <w:rPr/>
      </w:pPr>
      <w:r>
        <w:rPr>
          <w:spacing w:val="8"/>
        </w:rPr>
        <w:t>教育”应用示范校（</w:t>
      </w:r>
      <w:r>
        <w:rPr>
          <w:spacing w:val="-43"/>
        </w:rPr>
        <w:t xml:space="preserve"> </w:t>
      </w:r>
      <w:r>
        <w:rPr>
          <w:spacing w:val="8"/>
        </w:rPr>
        <w:t>园）20</w:t>
      </w:r>
      <w:r>
        <w:rPr>
          <w:spacing w:val="-40"/>
        </w:rPr>
        <w:t xml:space="preserve"> </w:t>
      </w:r>
      <w:r>
        <w:rPr>
          <w:spacing w:val="8"/>
        </w:rPr>
        <w:t>所、智慧校园</w:t>
      </w:r>
      <w:r>
        <w:rPr>
          <w:spacing w:val="-39"/>
        </w:rPr>
        <w:t xml:space="preserve"> </w:t>
      </w:r>
      <w:r>
        <w:rPr>
          <w:spacing w:val="8"/>
        </w:rPr>
        <w:t>20</w:t>
      </w:r>
      <w:r>
        <w:rPr>
          <w:spacing w:val="10"/>
        </w:rPr>
        <w:t>所</w:t>
      </w:r>
      <w:r>
        <w:rPr>
          <w:spacing w:val="-53"/>
        </w:rPr>
        <w:t xml:space="preserve"> </w:t>
      </w:r>
      <w:r>
        <w:rPr>
          <w:spacing w:val="10"/>
        </w:rPr>
        <w:t>，培养命名“互联网+教育”应用市级骨干</w:t>
      </w:r>
      <w:r>
        <w:rPr>
          <w:spacing w:val="7"/>
        </w:rPr>
        <w:t>教师</w:t>
      </w:r>
      <w:r>
        <w:rPr>
          <w:spacing w:val="-4"/>
        </w:rPr>
        <w:t xml:space="preserve"> </w:t>
      </w:r>
      <w:r>
        <w:rPr>
          <w:spacing w:val="7"/>
        </w:rPr>
        <w:t>100</w:t>
      </w:r>
      <w:r>
        <w:rPr>
          <w:spacing w:val="-37"/>
        </w:rPr>
        <w:t xml:space="preserve"> </w:t>
      </w:r>
      <w:r>
        <w:rPr>
          <w:spacing w:val="7"/>
        </w:rPr>
        <w:t>名</w:t>
      </w:r>
      <w:r>
        <w:rPr>
          <w:spacing w:val="-59"/>
        </w:rPr>
        <w:t xml:space="preserve"> </w:t>
      </w:r>
      <w:r>
        <w:rPr>
          <w:spacing w:val="7"/>
        </w:rPr>
        <w:t>，“互联网+创新素养教育”教学</w:t>
      </w:r>
      <w:r>
        <w:rPr>
          <w:spacing w:val="6"/>
        </w:rPr>
        <w:t>“六盘名师”50</w:t>
      </w:r>
      <w:r>
        <w:rPr>
          <w:spacing w:val="-37"/>
        </w:rPr>
        <w:t xml:space="preserve"> </w:t>
      </w:r>
      <w:r>
        <w:rPr>
          <w:spacing w:val="6"/>
        </w:rPr>
        <w:t>名。</w:t>
      </w:r>
    </w:p>
    <w:p>
      <w:pPr>
        <w:spacing w:line="355" w:lineRule="auto"/>
        <w:sectPr>
          <w:type w:val="continuous"/>
          <w:pgSz w:w="11906" w:h="16839"/>
          <w:pgMar w:top="1793" w:right="1489" w:bottom="1673" w:left="1526" w:header="1428" w:footer="1277" w:gutter="0"/>
          <w:cols w:equalWidth="0" w:num="2">
            <w:col w:w="4543" w:space="100"/>
            <w:col w:w="4248" w:space="0"/>
          </w:cols>
        </w:sectPr>
        <w:rPr/>
      </w:pPr>
    </w:p>
    <w:p>
      <w:pPr>
        <w:ind w:left="2407"/>
        <w:spacing w:before="197" w:line="199" w:lineRule="auto"/>
        <w:rPr>
          <w:rFonts w:ascii="Microsoft YaHei" w:hAnsi="Microsoft YaHei" w:eastAsia="Microsoft YaHei" w:cs="Microsoft YaHei"/>
          <w:sz w:val="20"/>
          <w:szCs w:val="20"/>
        </w:rPr>
      </w:pPr>
      <w:r>
        <w:drawing>
          <wp:anchor distT="0" distB="0" distL="0" distR="0" simplePos="0" relativeHeight="251852800" behindDoc="0" locked="0" layoutInCell="1" allowOverlap="1">
            <wp:simplePos x="0" y="0"/>
            <wp:positionH relativeFrom="column">
              <wp:posOffset>39242</wp:posOffset>
            </wp:positionH>
            <wp:positionV relativeFrom="paragraph">
              <wp:posOffset>-1163353</wp:posOffset>
            </wp:positionV>
            <wp:extent cx="5579745" cy="7619"/>
            <wp:effectExtent l="0" t="0" r="0" b="0"/>
            <wp:wrapNone/>
            <wp:docPr id="556" name="IM 556"/>
            <wp:cNvGraphicFramePr/>
            <a:graphic>
              <a:graphicData uri="http://schemas.openxmlformats.org/drawingml/2006/picture">
                <pic:pic>
                  <pic:nvPicPr>
                    <pic:cNvPr id="556" name="IM 556"/>
                    <pic:cNvPicPr/>
                  </pic:nvPicPr>
                  <pic:blipFill>
                    <a:blip r:embed="rId280"/>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10"/>
        </w:rPr>
        <w:t>专栏20   建设高质量教育体系重点项目工程</w:t>
      </w:r>
    </w:p>
    <w:tbl>
      <w:tblPr>
        <w:tblStyle w:val="TableNormal"/>
        <w:tblW w:w="8848" w:type="dxa"/>
        <w:tblInd w:w="2" w:type="dxa"/>
        <w:tblLayout w:type="fixed"/>
        <w:tblBorders>
          <w:left w:val="single" w:color="000000" w:sz="2" w:space="0"/>
          <w:bottom w:val="single" w:color="000000" w:sz="2" w:space="0"/>
          <w:right w:val="single" w:color="000000" w:sz="2" w:space="0"/>
          <w:top w:val="single" w:color="000000" w:sz="2" w:space="0"/>
        </w:tblBorders>
      </w:tblPr>
      <w:tblGrid>
        <w:gridCol w:w="8848"/>
      </w:tblGrid>
      <w:tr>
        <w:trPr>
          <w:trHeight w:val="4769" w:hRule="atLeast"/>
        </w:trPr>
        <w:tc>
          <w:tcPr>
            <w:tcW w:w="8848" w:type="dxa"/>
            <w:vAlign w:val="top"/>
          </w:tcPr>
          <w:p>
            <w:pPr>
              <w:pStyle w:val="TableText"/>
              <w:ind w:left="112" w:right="97" w:firstLine="429"/>
              <w:spacing w:before="108" w:line="319" w:lineRule="auto"/>
              <w:rPr/>
            </w:pPr>
            <w:r>
              <w:rPr>
                <w:b/>
                <w:bCs/>
                <w:spacing w:val="-1"/>
              </w:rPr>
              <w:t>1.“互联网+教育”创新应用项目</w:t>
            </w:r>
            <w:r>
              <w:rPr>
                <w:sz w:val="8"/>
                <w:szCs w:val="8"/>
                <w:b/>
                <w:bCs/>
                <w:spacing w:val="-1"/>
                <w:position w:val="9"/>
              </w:rPr>
              <w:t>@</w:t>
            </w:r>
            <w:r>
              <w:rPr>
                <w:b/>
                <w:bCs/>
                <w:spacing w:val="-1"/>
              </w:rPr>
              <w:t>：</w:t>
            </w:r>
            <w:r>
              <w:rPr>
                <w:spacing w:val="-1"/>
              </w:rPr>
              <w:t>升级改造固原市教育考试系统、校园</w:t>
            </w:r>
            <w:r>
              <w:rPr>
                <w:spacing w:val="-2"/>
              </w:rPr>
              <w:t>网和视频监控系统，建设在线互</w:t>
            </w:r>
            <w:r>
              <w:rPr>
                <w:spacing w:val="2"/>
              </w:rPr>
              <w:t>动课堂330间，创客教室和</w:t>
            </w:r>
            <w:r>
              <w:rPr/>
              <w:t>VR</w:t>
            </w:r>
            <w:r>
              <w:rPr>
                <w:spacing w:val="2"/>
              </w:rPr>
              <w:t>（</w:t>
            </w:r>
            <w:r>
              <w:rPr/>
              <w:t>AR</w:t>
            </w:r>
            <w:r>
              <w:rPr>
                <w:spacing w:val="2"/>
              </w:rPr>
              <w:t>）教室各180间，实现全市各级各</w:t>
            </w:r>
            <w:r>
              <w:rPr>
                <w:spacing w:val="1"/>
              </w:rPr>
              <w:t>类学校在线课堂全覆盖，更新“互联网+教</w:t>
            </w:r>
            <w:r>
              <w:rPr/>
              <w:t>育”应用终端计算机15000台，教育信息化应用能</w:t>
            </w:r>
            <w:r>
              <w:rPr>
                <w:spacing w:val="-1"/>
              </w:rPr>
              <w:t>力提升培训教师15000名。</w:t>
            </w:r>
          </w:p>
          <w:p>
            <w:pPr>
              <w:pStyle w:val="TableText"/>
              <w:ind w:left="112" w:right="97" w:firstLine="415"/>
              <w:spacing w:before="100" w:line="298" w:lineRule="auto"/>
              <w:rPr/>
            </w:pPr>
            <w:r>
              <w:rPr>
                <w:b/>
                <w:bCs/>
              </w:rPr>
              <w:t>2.学前教育普及普惠发展工程</w:t>
            </w:r>
            <w:r>
              <w:rPr/>
              <w:t>：改造提升全市乡村幼儿园310所。完善功能，提高质量，包括改造提升保</w:t>
            </w:r>
            <w:r>
              <w:rPr/>
              <w:t>育教育功能室、配套设施设备，新建城镇幼儿园27所。实施政府购买学</w:t>
            </w:r>
            <w:r>
              <w:rPr>
                <w:spacing w:val="-1"/>
              </w:rPr>
              <w:t>前保育教育服务等。</w:t>
            </w:r>
          </w:p>
          <w:p>
            <w:pPr>
              <w:pStyle w:val="TableText"/>
              <w:ind w:left="111" w:right="97" w:firstLine="421"/>
              <w:spacing w:before="98" w:line="298" w:lineRule="auto"/>
              <w:rPr/>
            </w:pPr>
            <w:r>
              <w:rPr>
                <w:b/>
                <w:bCs/>
              </w:rPr>
              <w:t>3.义务教育优质均衡发展工程</w:t>
            </w:r>
            <w:r>
              <w:rPr/>
              <w:t>：改造提升全市347所乡村小学，完善功能，提高质量，包括</w:t>
            </w:r>
            <w:r>
              <w:rPr>
                <w:spacing w:val="-1"/>
              </w:rPr>
              <w:t>疫情防控平台</w:t>
            </w:r>
            <w:r>
              <w:rPr/>
              <w:t>建设、校园文化建设、校园绿化美化、功能室建设、改扩建校舍等。新建城</w:t>
            </w:r>
            <w:r>
              <w:rPr>
                <w:spacing w:val="-1"/>
              </w:rPr>
              <w:t>镇学校15所。</w:t>
            </w:r>
          </w:p>
          <w:p>
            <w:pPr>
              <w:pStyle w:val="TableText"/>
              <w:ind w:left="113" w:right="42" w:firstLine="414"/>
              <w:spacing w:before="99" w:line="282" w:lineRule="auto"/>
              <w:rPr/>
            </w:pPr>
            <w:r>
              <w:rPr>
                <w:b/>
                <w:bCs/>
                <w:spacing w:val="-4"/>
              </w:rPr>
              <w:t>4.普通高中优质特色发展工程</w:t>
            </w:r>
            <w:r>
              <w:rPr>
                <w:spacing w:val="-4"/>
              </w:rPr>
              <w:t>：改善全市13所普通高中办学条</w:t>
            </w:r>
            <w:r>
              <w:rPr>
                <w:spacing w:val="-5"/>
              </w:rPr>
              <w:t>件，新建宁夏师范学院附属中学、西吉一中，</w:t>
            </w:r>
            <w:r>
              <w:rPr>
                <w:spacing w:val="-1"/>
              </w:rPr>
              <w:t>扩建固原二中等。</w:t>
            </w:r>
          </w:p>
          <w:p>
            <w:pPr>
              <w:pStyle w:val="TableText"/>
              <w:ind w:left="113" w:right="95" w:firstLine="417"/>
              <w:spacing w:before="131" w:line="314" w:lineRule="auto"/>
              <w:rPr/>
            </w:pPr>
            <w:r>
              <w:rPr>
                <w:b/>
                <w:bCs/>
                <w:spacing w:val="-2"/>
              </w:rPr>
              <w:t>5.职业教育产教融合工程</w:t>
            </w:r>
            <w:r>
              <w:rPr>
                <w:spacing w:val="-2"/>
              </w:rPr>
              <w:t>：新建全市5所职业学校实训基地10-15个，迁建泾源县职中，扩建西吉县职业中</w:t>
            </w:r>
            <w:r>
              <w:rPr>
                <w:spacing w:val="-1"/>
              </w:rPr>
              <w:t>学，新建原州区职业中学、西吉第二职业中学，争取固原市职业技术学校</w:t>
            </w:r>
            <w:r>
              <w:rPr>
                <w:spacing w:val="-2"/>
              </w:rPr>
              <w:t>升级为高职学院（</w:t>
            </w:r>
            <w:r>
              <w:rPr>
                <w:spacing w:val="-45"/>
              </w:rPr>
              <w:t xml:space="preserve"> </w:t>
            </w:r>
            <w:r>
              <w:rPr>
                <w:spacing w:val="-2"/>
              </w:rPr>
              <w:t>固原市六盘山高等</w:t>
            </w:r>
            <w:r>
              <w:rPr>
                <w:spacing w:val="-11"/>
              </w:rPr>
              <w:t>职业技术学院）。</w:t>
            </w:r>
          </w:p>
          <w:p>
            <w:pPr>
              <w:pStyle w:val="TableText"/>
              <w:ind w:left="112" w:right="99" w:firstLine="419"/>
              <w:spacing w:before="100" w:line="284" w:lineRule="auto"/>
              <w:rPr/>
            </w:pPr>
            <w:r>
              <w:rPr>
                <w:b/>
                <w:bCs/>
                <w:spacing w:val="-2"/>
              </w:rPr>
              <w:t>6.高等教育提质发展项目：</w:t>
            </w:r>
            <w:r>
              <w:rPr>
                <w:spacing w:val="-2"/>
              </w:rPr>
              <w:t>支持宁夏师范学院升格为宁夏师范大学，创建“一级专业学科学位硕士研究生</w:t>
            </w:r>
            <w:r>
              <w:rPr>
                <w:spacing w:val="-2"/>
              </w:rPr>
              <w:t>教育试点”，建设宁夏师范学院师范生综合素养与创新能力教学实践基地</w:t>
            </w:r>
            <w:r>
              <w:rPr>
                <w:spacing w:val="-3"/>
              </w:rPr>
              <w:t>、教学科研实验实训楼。</w:t>
            </w:r>
          </w:p>
        </w:tc>
      </w:tr>
    </w:tbl>
    <w:p>
      <w:pPr>
        <w:spacing w:line="116" w:lineRule="exact"/>
        <w:rPr>
          <w:rFonts w:ascii="Arial"/>
          <w:sz w:val="10"/>
        </w:rPr>
      </w:pPr>
      <w:r/>
    </w:p>
    <w:p>
      <w:pPr>
        <w:spacing w:line="116" w:lineRule="exact"/>
        <w:sectPr>
          <w:type w:val="continuous"/>
          <w:pgSz w:w="11906" w:h="16839"/>
          <w:pgMar w:top="1793" w:right="1489" w:bottom="1673" w:left="1526" w:header="1428" w:footer="1277" w:gutter="0"/>
          <w:cols w:equalWidth="0" w:num="1">
            <w:col w:w="8891" w:space="0"/>
          </w:cols>
        </w:sectPr>
        <w:rPr>
          <w:rFonts w:ascii="Arial" w:hAnsi="Arial" w:eastAsia="Arial" w:cs="Arial"/>
          <w:sz w:val="10"/>
          <w:szCs w:val="10"/>
        </w:rPr>
      </w:pPr>
    </w:p>
    <w:p>
      <w:pPr>
        <w:ind w:left="433"/>
        <w:spacing w:before="42" w:line="211" w:lineRule="auto"/>
        <w:outlineLvl w:val="0"/>
        <w:rPr>
          <w:rFonts w:ascii="KaiTi" w:hAnsi="KaiTi" w:eastAsia="KaiTi" w:cs="KaiTi"/>
          <w:sz w:val="18"/>
          <w:szCs w:val="18"/>
        </w:rPr>
      </w:pPr>
      <w:r>
        <w:rPr>
          <w:rFonts w:ascii="Microsoft YaHei" w:hAnsi="Microsoft YaHei" w:eastAsia="Microsoft YaHei" w:cs="Microsoft YaHei"/>
          <w:sz w:val="18"/>
          <w:szCs w:val="18"/>
          <w:spacing w:val="-1"/>
        </w:rPr>
        <w:t>注</w:t>
      </w:r>
      <w:r>
        <w:rPr>
          <w:rFonts w:ascii="Microsoft YaHei" w:hAnsi="Microsoft YaHei" w:eastAsia="Microsoft YaHei" w:cs="Microsoft YaHei"/>
          <w:sz w:val="18"/>
          <w:szCs w:val="18"/>
          <w:spacing w:val="-13"/>
        </w:rPr>
        <w:t xml:space="preserve"> </w:t>
      </w:r>
      <w:r>
        <w:rPr>
          <w:rFonts w:ascii="Microsoft YaHei" w:hAnsi="Microsoft YaHei" w:eastAsia="Microsoft YaHei" w:cs="Microsoft YaHei"/>
          <w:sz w:val="18"/>
          <w:szCs w:val="18"/>
          <w:spacing w:val="-1"/>
        </w:rPr>
        <w:t>：</w:t>
      </w:r>
      <w:r>
        <w:rPr>
          <w:rFonts w:ascii="KaiTi" w:hAnsi="KaiTi" w:eastAsia="KaiTi" w:cs="KaiTi"/>
          <w:sz w:val="18"/>
          <w:szCs w:val="18"/>
          <w:spacing w:val="-1"/>
        </w:rPr>
        <w:t>项目名称右上角标“@”的为民生五大项</w:t>
      </w:r>
      <w:r>
        <w:rPr>
          <w:rFonts w:ascii="KaiTi" w:hAnsi="KaiTi" w:eastAsia="KaiTi" w:cs="KaiTi"/>
          <w:sz w:val="18"/>
          <w:szCs w:val="18"/>
          <w:spacing w:val="-47"/>
        </w:rPr>
        <w:t xml:space="preserve"> </w:t>
      </w:r>
      <w:r>
        <w:rPr>
          <w:rFonts w:ascii="KaiTi" w:hAnsi="KaiTi" w:eastAsia="KaiTi" w:cs="KaiTi"/>
          <w:sz w:val="18"/>
          <w:szCs w:val="18"/>
          <w:spacing w:val="-1"/>
        </w:rPr>
        <w:t>目。</w:t>
      </w:r>
    </w:p>
    <w:p>
      <w:pPr>
        <w:spacing w:line="443" w:lineRule="auto"/>
        <w:rPr>
          <w:rFonts w:ascii="Arial"/>
          <w:sz w:val="21"/>
        </w:rPr>
      </w:pPr>
      <w:r/>
    </w:p>
    <w:p>
      <w:pPr>
        <w:pStyle w:val="BodyText"/>
        <w:ind w:left="669"/>
        <w:spacing w:before="65" w:line="223" w:lineRule="auto"/>
        <w:outlineLvl w:val="0"/>
        <w:rPr/>
      </w:pPr>
      <w:r>
        <w:rPr>
          <w:b/>
          <w:bCs/>
          <w:spacing w:val="7"/>
        </w:rPr>
        <w:t>第三节</w:t>
      </w:r>
      <w:r>
        <w:rPr>
          <w:spacing w:val="7"/>
        </w:rPr>
        <w:t xml:space="preserve">  </w:t>
      </w:r>
      <w:r>
        <w:rPr>
          <w:b/>
          <w:bCs/>
          <w:spacing w:val="7"/>
        </w:rPr>
        <w:t>全面推进健康固原建设</w:t>
      </w:r>
    </w:p>
    <w:p>
      <w:pPr>
        <w:spacing w:line="245" w:lineRule="auto"/>
        <w:rPr>
          <w:rFonts w:ascii="Arial"/>
          <w:sz w:val="21"/>
        </w:rPr>
      </w:pPr>
      <w:r/>
    </w:p>
    <w:p>
      <w:pPr>
        <w:spacing w:line="246" w:lineRule="auto"/>
        <w:rPr>
          <w:rFonts w:ascii="Arial"/>
          <w:sz w:val="21"/>
        </w:rPr>
      </w:pPr>
      <w:r/>
    </w:p>
    <w:p>
      <w:pPr>
        <w:pStyle w:val="BodyText"/>
        <w:ind w:left="487"/>
        <w:spacing w:before="66" w:line="223" w:lineRule="auto"/>
        <w:rPr/>
      </w:pPr>
      <w:r>
        <w:rPr>
          <w:spacing w:val="19"/>
        </w:rPr>
        <w:t>坚持把保障人民健康放在优先发展的战</w:t>
      </w:r>
    </w:p>
    <w:p>
      <w:pPr>
        <w:pStyle w:val="BodyText"/>
        <w:ind w:left="77"/>
        <w:spacing w:before="157" w:line="223" w:lineRule="auto"/>
        <w:outlineLvl w:val="0"/>
        <w:rPr/>
      </w:pPr>
      <w:r>
        <w:rPr>
          <w:spacing w:val="6"/>
        </w:rPr>
        <w:t>略位置，大力开展全民健康水平提升行动，加</w:t>
      </w:r>
    </w:p>
    <w:p>
      <w:pPr>
        <w:pStyle w:val="BodyText"/>
        <w:ind w:left="67" w:right="315" w:firstLine="1"/>
        <w:spacing w:before="158" w:line="369" w:lineRule="auto"/>
        <w:rPr/>
      </w:pPr>
      <w:r>
        <w:rPr>
          <w:spacing w:val="7"/>
        </w:rPr>
        <w:t>强公共医疗卫生体系、保障能力和队伍建设，</w:t>
      </w:r>
      <w:r>
        <w:rPr>
          <w:spacing w:val="9"/>
        </w:rPr>
        <w:t>全方位全周期维护和保障人民健康。</w:t>
      </w:r>
    </w:p>
    <w:p>
      <w:pPr>
        <w:pStyle w:val="BodyText"/>
        <w:ind w:left="66" w:right="322" w:firstLine="419"/>
        <w:spacing w:before="2" w:line="296" w:lineRule="auto"/>
        <w:outlineLvl w:val="0"/>
        <w:rPr/>
      </w:pPr>
      <w:r>
        <w:rPr>
          <w:spacing w:val="7"/>
        </w:rPr>
        <w:t>健全公共卫生服务体系。建立稳定的公共</w:t>
      </w:r>
      <w:r>
        <w:rPr>
          <w:spacing w:val="7"/>
        </w:rPr>
        <w:t>卫生投入机制，加大公共卫生建设力度，加快</w:t>
      </w:r>
    </w:p>
    <w:p>
      <w:pPr>
        <w:pStyle w:val="BodyText"/>
        <w:ind w:left="66" w:right="322"/>
        <w:spacing w:before="158" w:line="333" w:lineRule="auto"/>
        <w:jc w:val="both"/>
        <w:rPr/>
      </w:pPr>
      <w:r>
        <w:rPr>
          <w:spacing w:val="7"/>
        </w:rPr>
        <w:t>优质资源扩容和区域均衡布局，建立重大传染</w:t>
      </w:r>
      <w:r>
        <w:rPr>
          <w:spacing w:val="7"/>
        </w:rPr>
        <w:t>病疫情和突发公共卫生事件监测系统，完善突</w:t>
      </w:r>
      <w:r>
        <w:rPr>
          <w:spacing w:val="7"/>
        </w:rPr>
        <w:t>发公共卫生事件应对预案体系，健全突发公共</w:t>
      </w:r>
      <w:r>
        <w:rPr>
          <w:spacing w:val="7"/>
        </w:rPr>
        <w:t>卫生应急响应、传染病防控救治、疾病预防控</w:t>
      </w:r>
      <w:r>
        <w:rPr>
          <w:spacing w:val="7"/>
        </w:rPr>
        <w:t>制等体制机制，增强监测预警、风险评估和应</w:t>
      </w:r>
    </w:p>
    <w:p>
      <w:pPr>
        <w:spacing w:line="14" w:lineRule="auto"/>
        <w:rPr>
          <w:rFonts w:ascii="Arial"/>
          <w:sz w:val="2"/>
        </w:rPr>
      </w:pPr>
      <w:r>
        <w:rPr>
          <w:rFonts w:ascii="Arial" w:hAnsi="Arial" w:eastAsia="Arial" w:cs="Arial"/>
          <w:sz w:val="2"/>
          <w:szCs w:val="2"/>
        </w:rPr>
        <w:br w:type="column"/>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pStyle w:val="BodyText"/>
        <w:ind w:right="19" w:firstLine="12"/>
        <w:spacing w:before="65" w:line="368" w:lineRule="auto"/>
        <w:jc w:val="both"/>
        <w:rPr/>
      </w:pPr>
      <w:r>
        <w:rPr>
          <w:spacing w:val="7"/>
        </w:rPr>
        <w:t>急反应能力。加强农村、社区等基层防控能力</w:t>
      </w:r>
      <w:r>
        <w:rPr>
          <w:spacing w:val="5"/>
        </w:rPr>
        <w:t>建设，建立市、县（</w:t>
      </w:r>
      <w:r>
        <w:rPr>
          <w:spacing w:val="-45"/>
        </w:rPr>
        <w:t xml:space="preserve"> </w:t>
      </w:r>
      <w:r>
        <w:rPr>
          <w:spacing w:val="5"/>
        </w:rPr>
        <w:t>区）、乡镇（街道）和村</w:t>
      </w:r>
      <w:r>
        <w:rPr>
          <w:spacing w:val="-10"/>
        </w:rPr>
        <w:t>（社区）四级疾病预防控制体系及市、县（</w:t>
      </w:r>
      <w:r>
        <w:rPr>
          <w:spacing w:val="-47"/>
        </w:rPr>
        <w:t xml:space="preserve"> </w:t>
      </w:r>
      <w:r>
        <w:rPr>
          <w:spacing w:val="-10"/>
        </w:rPr>
        <w:t>区）、</w:t>
      </w:r>
      <w:r>
        <w:rPr>
          <w:spacing w:val="7"/>
        </w:rPr>
        <w:t>乡镇（街道）三级卫生监督体系。建立健全分</w:t>
      </w:r>
      <w:r>
        <w:rPr>
          <w:spacing w:val="7"/>
        </w:rPr>
        <w:t>级、分层、分流的救治机制，提升市县级医院</w:t>
      </w:r>
      <w:r>
        <w:rPr>
          <w:spacing w:val="7"/>
        </w:rPr>
        <w:t>传染病检测和救治能力、县级疾控中心流行病</w:t>
      </w:r>
      <w:r>
        <w:rPr>
          <w:spacing w:val="14"/>
        </w:rPr>
        <w:t>学调查、检验检测、应急处置能力。到</w:t>
      </w:r>
      <w:r>
        <w:rPr>
          <w:spacing w:val="-37"/>
        </w:rPr>
        <w:t xml:space="preserve"> </w:t>
      </w:r>
      <w:r>
        <w:rPr>
          <w:spacing w:val="14"/>
        </w:rPr>
        <w:t>20</w:t>
      </w:r>
      <w:r>
        <w:rPr>
          <w:spacing w:val="13"/>
        </w:rPr>
        <w:t>25</w:t>
      </w:r>
      <w:r>
        <w:rPr>
          <w:spacing w:val="-5"/>
        </w:rPr>
        <w:t>年，公共卫生机构预防医学专业人员占</w:t>
      </w:r>
      <w:r>
        <w:rPr>
          <w:spacing w:val="-51"/>
        </w:rPr>
        <w:t xml:space="preserve"> </w:t>
      </w:r>
      <w:r>
        <w:rPr>
          <w:spacing w:val="-5"/>
        </w:rPr>
        <w:t>90%以上。</w:t>
      </w:r>
    </w:p>
    <w:p>
      <w:pPr>
        <w:pStyle w:val="BodyText"/>
        <w:ind w:left="10" w:right="101" w:firstLine="420"/>
        <w:spacing w:line="286" w:lineRule="auto"/>
        <w:outlineLvl w:val="0"/>
        <w:rPr/>
      </w:pPr>
      <w:r>
        <w:rPr>
          <w:spacing w:val="6"/>
        </w:rPr>
        <w:t>提升医疗卫生服务水平。坚持基本医疗卫</w:t>
      </w:r>
      <w:r>
        <w:rPr>
          <w:spacing w:val="7"/>
        </w:rPr>
        <w:t>生事业公益性，整合利用现有资源，实施医疗</w:t>
      </w:r>
    </w:p>
    <w:p>
      <w:pPr>
        <w:pStyle w:val="BodyText"/>
        <w:ind w:left="10" w:right="101" w:firstLine="11"/>
        <w:spacing w:before="141" w:line="325" w:lineRule="auto"/>
        <w:jc w:val="both"/>
        <w:rPr/>
      </w:pPr>
      <w:r>
        <w:rPr>
          <w:spacing w:val="6"/>
        </w:rPr>
        <w:t>医生水平双提计划，促进市县两级医院扩容提</w:t>
      </w:r>
      <w:r>
        <w:rPr>
          <w:spacing w:val="7"/>
        </w:rPr>
        <w:t>质。加大公立医院改扩建力度，建设固原市人</w:t>
      </w:r>
      <w:r>
        <w:rPr>
          <w:spacing w:val="18"/>
        </w:rPr>
        <w:t>民医院省级区域医疗中心及三甲医院创建项</w:t>
      </w:r>
    </w:p>
    <w:p>
      <w:pPr>
        <w:spacing w:line="325" w:lineRule="auto"/>
        <w:sectPr>
          <w:type w:val="continuous"/>
          <w:pgSz w:w="11906" w:h="16839"/>
          <w:pgMar w:top="1793" w:right="1489" w:bottom="1673" w:left="1526" w:header="1428" w:footer="1277" w:gutter="0"/>
          <w:cols w:equalWidth="0" w:num="2">
            <w:col w:w="4535" w:space="100"/>
            <w:col w:w="4256" w:space="0"/>
          </w:cols>
        </w:sectPr>
        <w:rPr/>
      </w:pPr>
    </w:p>
    <w:p>
      <w:pPr>
        <w:spacing w:before="27"/>
        <w:rPr/>
      </w:pPr>
      <w:r/>
    </w:p>
    <w:p>
      <w:pPr>
        <w:sectPr>
          <w:headerReference w:type="default" r:id="rId281"/>
          <w:footerReference w:type="default" r:id="rId282"/>
          <w:pgSz w:w="11906" w:h="16839"/>
          <w:pgMar w:top="1793" w:right="1530" w:bottom="1570" w:left="1553" w:header="1428" w:footer="1172" w:gutter="0"/>
          <w:cols w:equalWidth="0" w:num="1">
            <w:col w:w="8822" w:space="0"/>
          </w:cols>
        </w:sectPr>
        <w:rPr/>
      </w:pPr>
    </w:p>
    <w:p>
      <w:pPr>
        <w:pStyle w:val="BodyText"/>
        <w:ind w:left="36" w:right="123" w:firstLine="43"/>
        <w:spacing w:before="57" w:line="353" w:lineRule="auto"/>
        <w:rPr/>
      </w:pPr>
      <w:r>
        <w:rPr>
          <w:spacing w:val="5"/>
        </w:rPr>
        <w:t>目，实施妇幼保健院妇女儿童健康服务、疾病</w:t>
      </w:r>
      <w:r>
        <w:rPr>
          <w:spacing w:val="1"/>
        </w:rPr>
        <w:t xml:space="preserve"> </w:t>
      </w:r>
      <w:r>
        <w:rPr>
          <w:spacing w:val="7"/>
        </w:rPr>
        <w:t>预防控制中心实验室能力提升等工程，改善县</w:t>
      </w:r>
      <w:r>
        <w:rPr>
          <w:spacing w:val="2"/>
        </w:rPr>
        <w:t xml:space="preserve"> </w:t>
      </w:r>
      <w:r>
        <w:rPr>
          <w:spacing w:val="7"/>
        </w:rPr>
        <w:t>级医院、社区卫生服务中心和乡镇卫生院基础</w:t>
      </w:r>
      <w:r>
        <w:rPr>
          <w:spacing w:val="2"/>
        </w:rPr>
        <w:t xml:space="preserve"> </w:t>
      </w:r>
      <w:r>
        <w:rPr>
          <w:spacing w:val="7"/>
        </w:rPr>
        <w:t>设施和医疗装备条件。加强中医医疗服务体系</w:t>
      </w:r>
      <w:r>
        <w:rPr>
          <w:spacing w:val="2"/>
        </w:rPr>
        <w:t xml:space="preserve"> </w:t>
      </w:r>
      <w:r>
        <w:rPr>
          <w:spacing w:val="7"/>
        </w:rPr>
        <w:t>建设，支持市中医院牵头建设县乡村紧密型中</w:t>
      </w:r>
      <w:r>
        <w:rPr>
          <w:spacing w:val="2"/>
        </w:rPr>
        <w:t xml:space="preserve"> </w:t>
      </w:r>
      <w:r>
        <w:rPr>
          <w:spacing w:val="7"/>
        </w:rPr>
        <w:t>医药服务共同体，加强中医药传承与创新人才</w:t>
      </w:r>
      <w:r>
        <w:rPr>
          <w:spacing w:val="2"/>
        </w:rPr>
        <w:t xml:space="preserve"> </w:t>
      </w:r>
      <w:r>
        <w:rPr>
          <w:spacing w:val="8"/>
        </w:rPr>
        <w:t>培养。推进“互联网+医疗健康”示范区建设，</w:t>
      </w:r>
      <w:r>
        <w:rPr>
          <w:spacing w:val="7"/>
        </w:rPr>
        <w:t>构建全域健康信息平台，实现全域医疗健康信</w:t>
      </w:r>
      <w:r>
        <w:rPr>
          <w:spacing w:val="2"/>
        </w:rPr>
        <w:t xml:space="preserve"> </w:t>
      </w:r>
      <w:r>
        <w:rPr>
          <w:spacing w:val="7"/>
        </w:rPr>
        <w:t>息互联互通，全面推行远程诊疗服务。实施人</w:t>
      </w:r>
      <w:r>
        <w:rPr>
          <w:spacing w:val="2"/>
        </w:rPr>
        <w:t xml:space="preserve"> </w:t>
      </w:r>
      <w:r>
        <w:rPr>
          <w:spacing w:val="7"/>
        </w:rPr>
        <w:t>才强医行动，深化专科联盟、自我造血与柔性</w:t>
      </w:r>
      <w:r>
        <w:rPr>
          <w:spacing w:val="2"/>
        </w:rPr>
        <w:t xml:space="preserve"> </w:t>
      </w:r>
      <w:r>
        <w:rPr>
          <w:spacing w:val="7"/>
        </w:rPr>
        <w:t>引才并重、技术合作等方式培养高层次医疗人</w:t>
      </w:r>
      <w:r>
        <w:rPr>
          <w:spacing w:val="2"/>
        </w:rPr>
        <w:t xml:space="preserve"> </w:t>
      </w:r>
      <w:r>
        <w:rPr>
          <w:spacing w:val="7"/>
        </w:rPr>
        <w:t>才。加强传染病、慢性病、地方病等重大疾病</w:t>
      </w:r>
      <w:r>
        <w:rPr>
          <w:spacing w:val="2"/>
        </w:rPr>
        <w:t xml:space="preserve"> </w:t>
      </w:r>
      <w:r>
        <w:rPr>
          <w:spacing w:val="10"/>
        </w:rPr>
        <w:t>综合防治和职业病危害防治，提高预防接种、</w:t>
      </w:r>
      <w:r>
        <w:rPr>
          <w:spacing w:val="18"/>
        </w:rPr>
        <w:t>生殖健康、妇幼保健等公共卫生辅助服务水</w:t>
      </w:r>
      <w:r>
        <w:rPr>
          <w:spacing w:val="1"/>
        </w:rPr>
        <w:t xml:space="preserve"> </w:t>
      </w:r>
      <w:r>
        <w:rPr>
          <w:spacing w:val="7"/>
        </w:rPr>
        <w:t>平。深入开展全民健康素养促进行动，创新健</w:t>
      </w:r>
      <w:r>
        <w:rPr>
          <w:spacing w:val="2"/>
        </w:rPr>
        <w:t xml:space="preserve"> </w:t>
      </w:r>
      <w:r>
        <w:rPr>
          <w:spacing w:val="7"/>
        </w:rPr>
        <w:t>康教育方式，加强健康教育能力建设。加强城</w:t>
      </w:r>
      <w:r>
        <w:rPr>
          <w:spacing w:val="2"/>
        </w:rPr>
        <w:t xml:space="preserve"> </w:t>
      </w:r>
      <w:r>
        <w:rPr>
          <w:spacing w:val="7"/>
        </w:rPr>
        <w:t>乡爱国卫生工作，持续推进卫生县城、卫生乡</w:t>
      </w:r>
      <w:r>
        <w:rPr>
          <w:spacing w:val="2"/>
        </w:rPr>
        <w:t xml:space="preserve"> </w:t>
      </w:r>
      <w:r>
        <w:rPr>
          <w:spacing w:val="7"/>
        </w:rPr>
        <w:t>镇创建。深化家庭医生签约服务，探索开展个</w:t>
      </w:r>
      <w:r>
        <w:rPr>
          <w:spacing w:val="2"/>
        </w:rPr>
        <w:t xml:space="preserve"> </w:t>
      </w:r>
      <w:r>
        <w:rPr>
          <w:spacing w:val="7"/>
        </w:rPr>
        <w:t>性化服务，力争家庭医生全覆盖率。“十四五”</w:t>
      </w:r>
      <w:r>
        <w:rPr>
          <w:spacing w:val="8"/>
        </w:rPr>
        <w:t>末，每千人医疗机构床位超过</w:t>
      </w:r>
      <w:r>
        <w:rPr>
          <w:spacing w:val="-41"/>
        </w:rPr>
        <w:t xml:space="preserve"> </w:t>
      </w:r>
      <w:r>
        <w:rPr>
          <w:spacing w:val="8"/>
        </w:rPr>
        <w:t>6</w:t>
      </w:r>
      <w:r>
        <w:rPr>
          <w:spacing w:val="-38"/>
        </w:rPr>
        <w:t xml:space="preserve"> </w:t>
      </w:r>
      <w:r>
        <w:rPr>
          <w:spacing w:val="8"/>
        </w:rPr>
        <w:t>张以上。</w:t>
      </w:r>
    </w:p>
    <w:p>
      <w:pPr>
        <w:spacing w:line="146" w:lineRule="exact"/>
        <w:rPr/>
      </w:pPr>
      <w:r/>
    </w:p>
    <w:p>
      <w:pPr>
        <w:spacing w:line="14" w:lineRule="auto"/>
        <w:rPr>
          <w:rFonts w:ascii="Arial"/>
          <w:sz w:val="2"/>
        </w:rPr>
      </w:pPr>
      <w:r>
        <w:rPr>
          <w:rFonts w:ascii="Arial" w:hAnsi="Arial" w:eastAsia="Arial" w:cs="Arial"/>
          <w:sz w:val="2"/>
          <w:szCs w:val="2"/>
        </w:rPr>
        <w:br w:type="column"/>
      </w:r>
    </w:p>
    <w:p>
      <w:pPr>
        <w:pStyle w:val="BodyText"/>
        <w:ind w:left="2" w:right="59" w:firstLine="420"/>
        <w:spacing w:before="38" w:line="283" w:lineRule="auto"/>
        <w:outlineLvl w:val="0"/>
        <w:rPr/>
      </w:pPr>
      <w:r>
        <w:rPr>
          <w:spacing w:val="6"/>
        </w:rPr>
        <w:t>深化医药卫生体制改革。统筹推进医疗医</w:t>
      </w:r>
      <w:r>
        <w:rPr>
          <w:spacing w:val="7"/>
        </w:rPr>
        <w:t>药医保协调联动，加快医疗资源优化配置，健</w:t>
      </w:r>
    </w:p>
    <w:p>
      <w:pPr>
        <w:pStyle w:val="BodyText"/>
        <w:ind w:right="8" w:firstLine="2"/>
        <w:spacing w:before="134" w:line="341" w:lineRule="auto"/>
        <w:jc w:val="both"/>
        <w:rPr/>
      </w:pPr>
      <w:r>
        <w:rPr>
          <w:spacing w:val="7"/>
        </w:rPr>
        <w:t>全城乡医疗卫生计生服务网络，引导群众基层</w:t>
      </w:r>
      <w:r>
        <w:rPr>
          <w:spacing w:val="7"/>
        </w:rPr>
        <w:t>首诊、双向转诊。推动医疗资源纵向整合、重</w:t>
      </w:r>
      <w:r>
        <w:rPr>
          <w:spacing w:val="7"/>
        </w:rPr>
        <w:t>心下移，支持医疗集团、医疗联合体建设。完</w:t>
      </w:r>
      <w:r>
        <w:rPr>
          <w:spacing w:val="7"/>
        </w:rPr>
        <w:t>善提升公立医院综合改革，坚持公益属性，建</w:t>
      </w:r>
      <w:r>
        <w:rPr>
          <w:spacing w:val="7"/>
        </w:rPr>
        <w:t>立符合医疗行业特点，与技能、岗位相匹配的</w:t>
      </w:r>
      <w:r>
        <w:rPr>
          <w:spacing w:val="7"/>
        </w:rPr>
        <w:t>薪酬制度。加快建立现代医院管理制度，实现</w:t>
      </w:r>
      <w:r>
        <w:rPr>
          <w:spacing w:val="9"/>
        </w:rPr>
        <w:t>公立医院管办分开。加快理顺医疗服务价格，</w:t>
      </w:r>
      <w:r>
        <w:rPr>
          <w:spacing w:val="7"/>
        </w:rPr>
        <w:t>建立科学合理的公立医院补偿机制，提升公立</w:t>
      </w:r>
      <w:r>
        <w:rPr>
          <w:spacing w:val="8"/>
        </w:rPr>
        <w:t>医院管理能力。到</w:t>
      </w:r>
      <w:r>
        <w:rPr>
          <w:spacing w:val="-27"/>
        </w:rPr>
        <w:t xml:space="preserve"> </w:t>
      </w:r>
      <w:r>
        <w:rPr>
          <w:spacing w:val="8"/>
        </w:rPr>
        <w:t>2025</w:t>
      </w:r>
      <w:r>
        <w:rPr>
          <w:spacing w:val="-34"/>
        </w:rPr>
        <w:t xml:space="preserve"> </w:t>
      </w:r>
      <w:r>
        <w:rPr>
          <w:spacing w:val="8"/>
        </w:rPr>
        <w:t>年</w:t>
      </w:r>
      <w:r>
        <w:rPr>
          <w:spacing w:val="-59"/>
        </w:rPr>
        <w:t xml:space="preserve"> </w:t>
      </w:r>
      <w:r>
        <w:rPr>
          <w:spacing w:val="8"/>
        </w:rPr>
        <w:t>，实现基层就诊率</w:t>
      </w:r>
      <w:r>
        <w:rPr>
          <w:spacing w:val="15"/>
        </w:rPr>
        <w:t>达到</w:t>
      </w:r>
      <w:r>
        <w:rPr>
          <w:spacing w:val="-33"/>
        </w:rPr>
        <w:t xml:space="preserve"> </w:t>
      </w:r>
      <w:r>
        <w:rPr>
          <w:spacing w:val="15"/>
        </w:rPr>
        <w:t>65%以上，县域内就诊率达到90%以上。</w:t>
      </w:r>
    </w:p>
    <w:p>
      <w:pPr>
        <w:pStyle w:val="BodyText"/>
        <w:ind w:left="22" w:right="52" w:firstLine="399"/>
        <w:spacing w:line="282" w:lineRule="auto"/>
        <w:outlineLvl w:val="0"/>
        <w:rPr/>
      </w:pPr>
      <w:r>
        <w:rPr>
          <w:spacing w:val="6"/>
        </w:rPr>
        <w:t>全面发展生态康养。发挥固原气候资源和</w:t>
      </w:r>
      <w:r>
        <w:rPr>
          <w:spacing w:val="6"/>
        </w:rPr>
        <w:t>中医药优势，加快推进与特色旅游深度融合，</w:t>
      </w:r>
    </w:p>
    <w:p>
      <w:pPr>
        <w:pStyle w:val="BodyText"/>
        <w:ind w:right="59" w:firstLine="3"/>
        <w:spacing w:before="123" w:line="346" w:lineRule="auto"/>
        <w:jc w:val="both"/>
        <w:rPr/>
      </w:pPr>
      <w:r>
        <w:rPr>
          <w:spacing w:val="7"/>
        </w:rPr>
        <w:t>发展健康养老服务、中医药医疗保健服务，支</w:t>
      </w:r>
      <w:r>
        <w:rPr>
          <w:spacing w:val="7"/>
        </w:rPr>
        <w:t>持发展健康体检咨询、健康理疗等多样化康养</w:t>
      </w:r>
      <w:r>
        <w:rPr>
          <w:spacing w:val="7"/>
        </w:rPr>
        <w:t>服务，积极建设自治区级康养产业特色化发展</w:t>
      </w:r>
      <w:r>
        <w:rPr>
          <w:spacing w:val="7"/>
        </w:rPr>
        <w:t>示范区。鼓励各类资本投资医疗健康领域，发</w:t>
      </w:r>
      <w:r>
        <w:rPr>
          <w:spacing w:val="7"/>
        </w:rPr>
        <w:t>展一批有影响、有规模和有品牌特色的社会康</w:t>
      </w:r>
      <w:r>
        <w:rPr>
          <w:spacing w:val="7"/>
        </w:rPr>
        <w:t>养机构，支持研发中医药健康服务产品，打造</w:t>
      </w:r>
      <w:r>
        <w:rPr>
          <w:spacing w:val="8"/>
        </w:rPr>
        <w:t>固原中医康养服务品牌。</w:t>
      </w:r>
    </w:p>
    <w:p>
      <w:pPr>
        <w:spacing w:line="346" w:lineRule="auto"/>
        <w:sectPr>
          <w:type w:val="continuous"/>
          <w:pgSz w:w="11906" w:h="16839"/>
          <w:pgMar w:top="1793" w:right="1530" w:bottom="1570" w:left="1553" w:header="1428" w:footer="1172" w:gutter="0"/>
          <w:cols w:equalWidth="0" w:num="2">
            <w:col w:w="4515" w:space="100"/>
            <w:col w:w="4207" w:space="0"/>
          </w:cols>
        </w:sectPr>
        <w:rPr/>
      </w:pPr>
    </w:p>
    <w:p>
      <w:pPr>
        <w:ind w:left="2483"/>
        <w:spacing w:before="173" w:line="187" w:lineRule="auto"/>
        <w:outlineLvl w:val="0"/>
        <w:rPr>
          <w:rFonts w:ascii="Microsoft YaHei" w:hAnsi="Microsoft YaHei" w:eastAsia="Microsoft YaHei" w:cs="Microsoft YaHei"/>
          <w:sz w:val="20"/>
          <w:szCs w:val="20"/>
        </w:rPr>
      </w:pPr>
      <w:r>
        <w:drawing>
          <wp:anchor distT="0" distB="0" distL="0" distR="0" simplePos="0" relativeHeight="251854848" behindDoc="0" locked="0" layoutInCell="1" allowOverlap="1">
            <wp:simplePos x="0" y="0"/>
            <wp:positionH relativeFrom="column">
              <wp:posOffset>22098</wp:posOffset>
            </wp:positionH>
            <wp:positionV relativeFrom="paragraph">
              <wp:posOffset>-5131636</wp:posOffset>
            </wp:positionV>
            <wp:extent cx="5579745" cy="7619"/>
            <wp:effectExtent l="0" t="0" r="0" b="0"/>
            <wp:wrapNone/>
            <wp:docPr id="562" name="IM 562"/>
            <wp:cNvGraphicFramePr/>
            <a:graphic>
              <a:graphicData uri="http://schemas.openxmlformats.org/drawingml/2006/picture">
                <pic:pic>
                  <pic:nvPicPr>
                    <pic:cNvPr id="562" name="IM 562"/>
                    <pic:cNvPicPr/>
                  </pic:nvPicPr>
                  <pic:blipFill>
                    <a:blip r:embed="rId283"/>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8"/>
        </w:rPr>
        <w:t>专栏 21   全面推进健康固原建设重点项</w:t>
      </w:r>
      <w:r>
        <w:rPr>
          <w:rFonts w:ascii="Microsoft YaHei" w:hAnsi="Microsoft YaHei" w:eastAsia="Microsoft YaHei" w:cs="Microsoft YaHei"/>
          <w:sz w:val="20"/>
          <w:szCs w:val="20"/>
          <w:spacing w:val="7"/>
        </w:rPr>
        <w:t>目工程</w:t>
      </w:r>
    </w:p>
    <w:tbl>
      <w:tblPr>
        <w:tblStyle w:val="TableNormal"/>
        <w:tblW w:w="8793" w:type="dxa"/>
        <w:tblInd w:w="2" w:type="dxa"/>
        <w:tblLayout w:type="fixed"/>
        <w:tblBorders>
          <w:left w:val="single" w:color="000000" w:sz="2" w:space="0"/>
          <w:bottom w:val="single" w:color="000000" w:sz="2" w:space="0"/>
          <w:right w:val="single" w:color="000000" w:sz="2" w:space="0"/>
          <w:top w:val="single" w:color="000000" w:sz="2" w:space="0"/>
        </w:tblBorders>
      </w:tblPr>
      <w:tblGrid>
        <w:gridCol w:w="8793"/>
      </w:tblGrid>
      <w:tr>
        <w:trPr>
          <w:trHeight w:val="4429" w:hRule="atLeast"/>
        </w:trPr>
        <w:tc>
          <w:tcPr>
            <w:tcW w:w="8793" w:type="dxa"/>
            <w:vAlign w:val="top"/>
          </w:tcPr>
          <w:p>
            <w:pPr>
              <w:pStyle w:val="TableText"/>
              <w:ind w:left="109" w:right="95" w:firstLine="391"/>
              <w:spacing w:before="109" w:line="329" w:lineRule="auto"/>
              <w:rPr/>
            </w:pPr>
            <w:r>
              <w:rPr>
                <w:b/>
                <w:bCs/>
              </w:rPr>
              <w:t>1.市人民医院省级区域医疗中心项目</w:t>
            </w:r>
            <w:r>
              <w:rPr>
                <w:sz w:val="8"/>
                <w:szCs w:val="8"/>
                <w:b/>
                <w:bCs/>
                <w:position w:val="9"/>
              </w:rPr>
              <w:t>@</w:t>
            </w:r>
            <w:r>
              <w:rPr>
                <w:sz w:val="8"/>
                <w:szCs w:val="8"/>
                <w:position w:val="9"/>
              </w:rPr>
              <w:t xml:space="preserve"> </w:t>
            </w:r>
            <w:r>
              <w:rPr>
                <w:b/>
                <w:bCs/>
              </w:rPr>
              <w:t>：</w:t>
            </w:r>
            <w:r>
              <w:rPr/>
              <w:t>围绕</w:t>
            </w:r>
            <w:r>
              <w:rPr>
                <w:spacing w:val="-1"/>
              </w:rPr>
              <w:t>“五大中心”、传染病区建设，配置必需大型医疗设备，推</w:t>
            </w:r>
            <w:r>
              <w:rPr>
                <w:spacing w:val="-1"/>
              </w:rPr>
              <w:t>动急危重救治、重大疫情救治、放射医学及其他临床医学</w:t>
            </w:r>
            <w:r>
              <w:rPr>
                <w:spacing w:val="-2"/>
              </w:rPr>
              <w:t>的发展，普惠全市及周边广大患者。对现有的信息系</w:t>
            </w:r>
            <w:r>
              <w:rPr>
                <w:spacing w:val="1"/>
              </w:rPr>
              <w:t>统闭环管理部分进行升级完善，力争电子病</w:t>
            </w:r>
            <w:r>
              <w:rPr/>
              <w:t>历应用水平达到5级，智慧医院分级评估达到三级要求，实施远程</w:t>
            </w:r>
            <w:r>
              <w:rPr>
                <w:spacing w:val="2"/>
              </w:rPr>
              <w:t>医疗协作、多学科会诊和5G远程会诊等远程诊断中心建设；对医院现有的数据平台进行完善升级，建设临床</w:t>
            </w:r>
            <w:r>
              <w:rPr>
                <w:spacing w:val="1"/>
              </w:rPr>
              <w:t>数据中心和运营决策中心，物联网建设高值</w:t>
            </w:r>
            <w:r>
              <w:rPr/>
              <w:t>耗材追溯和固定资产的管理，扩展“互联网+医疗健康”前端各类</w:t>
            </w:r>
            <w:r>
              <w:rPr>
                <w:spacing w:val="-1"/>
              </w:rPr>
              <w:t>新业务，建成固原市医疗卫生健康信息平台。</w:t>
            </w:r>
          </w:p>
          <w:p>
            <w:pPr>
              <w:pStyle w:val="TableText"/>
              <w:ind w:left="112" w:right="98" w:firstLine="373"/>
              <w:spacing w:before="128" w:line="283" w:lineRule="auto"/>
              <w:rPr/>
            </w:pPr>
            <w:r>
              <w:rPr>
                <w:b/>
                <w:bCs/>
                <w:spacing w:val="-2"/>
              </w:rPr>
              <w:t>2.公共卫生防控救治能力提升项目：</w:t>
            </w:r>
            <w:r>
              <w:rPr>
                <w:spacing w:val="-2"/>
              </w:rPr>
              <w:t>建设固原市疾病预防控制中心实</w:t>
            </w:r>
            <w:r>
              <w:rPr>
                <w:spacing w:val="-3"/>
              </w:rPr>
              <w:t>验室改扩建及能力提升、县级疾控中</w:t>
            </w:r>
            <w:r>
              <w:rPr>
                <w:spacing w:val="-1"/>
              </w:rPr>
              <w:t>心和固原市公共卫生应急物资储备库项目。</w:t>
            </w:r>
          </w:p>
          <w:p>
            <w:pPr>
              <w:pStyle w:val="TableText"/>
              <w:ind w:left="111" w:right="50" w:firstLine="378"/>
              <w:spacing w:before="127" w:line="315" w:lineRule="auto"/>
              <w:rPr/>
            </w:pPr>
            <w:r>
              <w:rPr>
                <w:b/>
                <w:bCs/>
                <w:spacing w:val="-2"/>
              </w:rPr>
              <w:t>3.医疗卫生服务能力提升项目：</w:t>
            </w:r>
            <w:r>
              <w:rPr>
                <w:spacing w:val="-2"/>
              </w:rPr>
              <w:t>建设固原市人民医院省级区域医疗中</w:t>
            </w:r>
            <w:r>
              <w:rPr>
                <w:spacing w:val="-3"/>
              </w:rPr>
              <w:t>心、妇幼保健院妇女儿童健康服务能</w:t>
            </w:r>
            <w:r>
              <w:rPr>
                <w:spacing w:val="-2"/>
              </w:rPr>
              <w:t>力提升、县级医疗卫生服务能力提升项目、乡镇卫生院和村卫生室基础设施条件。建设5所社区</w:t>
            </w:r>
            <w:r>
              <w:rPr>
                <w:spacing w:val="-3"/>
              </w:rPr>
              <w:t>卫生服务中心，</w:t>
            </w:r>
            <w:r>
              <w:rPr>
                <w:spacing w:val="1"/>
              </w:rPr>
              <w:t>为已建成的26所社区卫生服务机构配置心电图、彩超、</w:t>
            </w:r>
            <w:r>
              <w:rPr/>
              <w:t>DR</w:t>
            </w:r>
            <w:r>
              <w:rPr>
                <w:spacing w:val="1"/>
              </w:rPr>
              <w:t>、全自动生化仪等设备。</w:t>
            </w:r>
          </w:p>
          <w:p>
            <w:pPr>
              <w:pStyle w:val="TableText"/>
              <w:ind w:left="111" w:right="98" w:firstLine="420"/>
              <w:spacing w:before="84" w:line="291" w:lineRule="auto"/>
              <w:rPr/>
            </w:pPr>
            <w:r>
              <w:rPr>
                <w:b/>
                <w:bCs/>
              </w:rPr>
              <w:t>4.六盘山生态康养城项目</w:t>
            </w:r>
            <w:r>
              <w:rPr>
                <w:sz w:val="8"/>
                <w:szCs w:val="8"/>
                <w:b/>
                <w:bCs/>
                <w:position w:val="9"/>
              </w:rPr>
              <w:t>@</w:t>
            </w:r>
            <w:r>
              <w:rPr>
                <w:b/>
                <w:bCs/>
              </w:rPr>
              <w:t>：</w:t>
            </w:r>
            <w:r>
              <w:rPr/>
              <w:t>建设含康养、体检、月</w:t>
            </w:r>
            <w:r>
              <w:rPr>
                <w:spacing w:val="-1"/>
              </w:rPr>
              <w:t>子中心、综合服务等康养中心总建筑面积</w:t>
            </w:r>
            <w:r>
              <w:rPr>
                <w:spacing w:val="-39"/>
              </w:rPr>
              <w:t xml:space="preserve"> </w:t>
            </w:r>
            <w:r>
              <w:rPr>
                <w:spacing w:val="-1"/>
              </w:rPr>
              <w:t>5.4</w:t>
            </w:r>
            <w:r>
              <w:rPr>
                <w:spacing w:val="-36"/>
              </w:rPr>
              <w:t xml:space="preserve"> </w:t>
            </w:r>
            <w:r>
              <w:rPr>
                <w:spacing w:val="-1"/>
              </w:rPr>
              <w:t>万平方</w:t>
            </w:r>
            <w:r>
              <w:rPr>
                <w:spacing w:val="-1"/>
              </w:rPr>
              <w:t>米，并配套设施设备。</w:t>
            </w:r>
          </w:p>
        </w:tc>
      </w:tr>
    </w:tbl>
    <w:p>
      <w:pPr>
        <w:ind w:left="406"/>
        <w:spacing w:before="47" w:line="164" w:lineRule="auto"/>
        <w:outlineLvl w:val="0"/>
        <w:rPr>
          <w:rFonts w:ascii="KaiTi" w:hAnsi="KaiTi" w:eastAsia="KaiTi" w:cs="KaiTi"/>
          <w:sz w:val="18"/>
          <w:szCs w:val="18"/>
        </w:rPr>
      </w:pPr>
      <w:r>
        <w:rPr>
          <w:rFonts w:ascii="Microsoft YaHei" w:hAnsi="Microsoft YaHei" w:eastAsia="Microsoft YaHei" w:cs="Microsoft YaHei"/>
          <w:sz w:val="18"/>
          <w:szCs w:val="18"/>
          <w:spacing w:val="-1"/>
        </w:rPr>
        <w:t>注</w:t>
      </w:r>
      <w:r>
        <w:rPr>
          <w:rFonts w:ascii="Microsoft YaHei" w:hAnsi="Microsoft YaHei" w:eastAsia="Microsoft YaHei" w:cs="Microsoft YaHei"/>
          <w:sz w:val="18"/>
          <w:szCs w:val="18"/>
          <w:spacing w:val="-13"/>
        </w:rPr>
        <w:t xml:space="preserve"> </w:t>
      </w:r>
      <w:r>
        <w:rPr>
          <w:rFonts w:ascii="Microsoft YaHei" w:hAnsi="Microsoft YaHei" w:eastAsia="Microsoft YaHei" w:cs="Microsoft YaHei"/>
          <w:sz w:val="18"/>
          <w:szCs w:val="18"/>
          <w:spacing w:val="-1"/>
        </w:rPr>
        <w:t>：</w:t>
      </w:r>
      <w:r>
        <w:rPr>
          <w:rFonts w:ascii="KaiTi" w:hAnsi="KaiTi" w:eastAsia="KaiTi" w:cs="KaiTi"/>
          <w:sz w:val="18"/>
          <w:szCs w:val="18"/>
          <w:spacing w:val="-1"/>
        </w:rPr>
        <w:t>项目名称右上角标“@”的为民生五大项</w:t>
      </w:r>
      <w:r>
        <w:rPr>
          <w:rFonts w:ascii="KaiTi" w:hAnsi="KaiTi" w:eastAsia="KaiTi" w:cs="KaiTi"/>
          <w:sz w:val="18"/>
          <w:szCs w:val="18"/>
          <w:spacing w:val="-47"/>
        </w:rPr>
        <w:t xml:space="preserve"> </w:t>
      </w:r>
      <w:r>
        <w:rPr>
          <w:rFonts w:ascii="KaiTi" w:hAnsi="KaiTi" w:eastAsia="KaiTi" w:cs="KaiTi"/>
          <w:sz w:val="18"/>
          <w:szCs w:val="18"/>
          <w:spacing w:val="-1"/>
        </w:rPr>
        <w:t>目。</w:t>
      </w:r>
    </w:p>
    <w:p>
      <w:pPr>
        <w:spacing w:line="164" w:lineRule="auto"/>
        <w:sectPr>
          <w:type w:val="continuous"/>
          <w:pgSz w:w="11906" w:h="16839"/>
          <w:pgMar w:top="1793" w:right="1530" w:bottom="1570" w:left="1553" w:header="1428" w:footer="1172" w:gutter="0"/>
          <w:cols w:equalWidth="0" w:num="1">
            <w:col w:w="8822" w:space="0"/>
          </w:cols>
        </w:sectPr>
        <w:rPr>
          <w:rFonts w:ascii="KaiTi" w:hAnsi="KaiTi" w:eastAsia="KaiTi" w:cs="KaiTi"/>
          <w:sz w:val="18"/>
          <w:szCs w:val="18"/>
        </w:rPr>
      </w:pPr>
    </w:p>
    <w:p>
      <w:pPr>
        <w:spacing w:before="34"/>
        <w:rPr/>
      </w:pPr>
      <w:r>
        <w:drawing>
          <wp:anchor distT="0" distB="0" distL="0" distR="0" simplePos="0" relativeHeight="251856896"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566" name="IM 566"/>
            <wp:cNvGraphicFramePr/>
            <a:graphic>
              <a:graphicData uri="http://schemas.openxmlformats.org/drawingml/2006/picture">
                <pic:pic>
                  <pic:nvPicPr>
                    <pic:cNvPr id="566" name="IM 566"/>
                    <pic:cNvPicPr/>
                  </pic:nvPicPr>
                  <pic:blipFill>
                    <a:blip r:embed="rId285"/>
                    <a:stretch>
                      <a:fillRect/>
                    </a:stretch>
                  </pic:blipFill>
                  <pic:spPr>
                    <a:xfrm rot="0">
                      <a:off x="0" y="0"/>
                      <a:ext cx="5579745" cy="7619"/>
                    </a:xfrm>
                    <a:prstGeom prst="rect">
                      <a:avLst/>
                    </a:prstGeom>
                  </pic:spPr>
                </pic:pic>
              </a:graphicData>
            </a:graphic>
          </wp:anchor>
        </w:drawing>
      </w:r>
      <w:r/>
    </w:p>
    <w:p>
      <w:pPr>
        <w:sectPr>
          <w:headerReference w:type="default" r:id="rId188"/>
          <w:footerReference w:type="default" r:id="rId284"/>
          <w:pgSz w:w="11906" w:h="16839"/>
          <w:pgMar w:top="1793" w:right="1489" w:bottom="1673" w:left="1565" w:header="1428" w:footer="1277" w:gutter="0"/>
          <w:cols w:equalWidth="0" w:num="1">
            <w:col w:w="8852" w:space="0"/>
          </w:cols>
        </w:sectPr>
        <w:rPr/>
      </w:pPr>
    </w:p>
    <w:p>
      <w:pPr>
        <w:pStyle w:val="BodyText"/>
        <w:ind w:left="525"/>
        <w:spacing w:before="57" w:line="222" w:lineRule="auto"/>
        <w:outlineLvl w:val="0"/>
        <w:rPr/>
      </w:pPr>
      <w:r>
        <w:rPr>
          <w:b/>
          <w:bCs/>
          <w:spacing w:val="8"/>
        </w:rPr>
        <w:t>第四节</w:t>
      </w:r>
      <w:r>
        <w:rPr>
          <w:spacing w:val="8"/>
        </w:rPr>
        <w:t xml:space="preserve">  </w:t>
      </w:r>
      <w:r>
        <w:rPr>
          <w:b/>
          <w:bCs/>
          <w:spacing w:val="8"/>
        </w:rPr>
        <w:t>健全多层次社会保障体系</w:t>
      </w:r>
    </w:p>
    <w:p>
      <w:pPr>
        <w:spacing w:line="242" w:lineRule="auto"/>
        <w:rPr>
          <w:rFonts w:ascii="Arial"/>
          <w:sz w:val="21"/>
        </w:rPr>
      </w:pPr>
      <w:r/>
    </w:p>
    <w:p>
      <w:pPr>
        <w:spacing w:line="242" w:lineRule="auto"/>
        <w:rPr>
          <w:rFonts w:ascii="Arial"/>
          <w:sz w:val="21"/>
        </w:rPr>
      </w:pPr>
      <w:r/>
    </w:p>
    <w:p>
      <w:pPr>
        <w:pStyle w:val="BodyText"/>
        <w:ind w:left="448"/>
        <w:spacing w:before="65" w:line="223" w:lineRule="auto"/>
        <w:rPr/>
      </w:pPr>
      <w:r>
        <w:rPr>
          <w:spacing w:val="6"/>
        </w:rPr>
        <w:t>坚持兜底线、织密网、建机制，建立健全</w:t>
      </w:r>
    </w:p>
    <w:p>
      <w:pPr>
        <w:pStyle w:val="BodyText"/>
        <w:ind w:left="27"/>
        <w:spacing w:before="147" w:line="222" w:lineRule="auto"/>
        <w:outlineLvl w:val="0"/>
        <w:rPr/>
      </w:pPr>
      <w:r>
        <w:rPr>
          <w:spacing w:val="7"/>
        </w:rPr>
        <w:t>覆盖全民、统筹城乡、公平统一、可持续的社</w:t>
      </w:r>
    </w:p>
    <w:p>
      <w:pPr>
        <w:pStyle w:val="BodyText"/>
        <w:ind w:left="25"/>
        <w:spacing w:before="149" w:line="222" w:lineRule="auto"/>
        <w:rPr/>
      </w:pPr>
      <w:r>
        <w:rPr>
          <w:spacing w:val="7"/>
        </w:rPr>
        <w:t>会保障体系。</w:t>
      </w:r>
    </w:p>
    <w:p>
      <w:pPr>
        <w:pStyle w:val="BodyText"/>
        <w:ind w:left="447"/>
        <w:spacing w:before="149" w:line="221" w:lineRule="auto"/>
        <w:rPr/>
      </w:pPr>
      <w:r>
        <w:rPr>
          <w:spacing w:val="7"/>
        </w:rPr>
        <w:t>稳步提高社会保险待遇水平。深入推进全</w:t>
      </w:r>
    </w:p>
    <w:p>
      <w:pPr>
        <w:pStyle w:val="BodyText"/>
        <w:ind w:left="46"/>
        <w:spacing w:before="153" w:line="223" w:lineRule="auto"/>
        <w:outlineLvl w:val="0"/>
        <w:rPr/>
      </w:pPr>
      <w:r>
        <w:rPr>
          <w:spacing w:val="8"/>
        </w:rPr>
        <w:t>民参保，将非公经济组织从业人员、农民工、</w:t>
      </w:r>
    </w:p>
    <w:p>
      <w:pPr>
        <w:pStyle w:val="BodyText"/>
        <w:ind w:left="26" w:right="250"/>
        <w:spacing w:before="147" w:line="360" w:lineRule="auto"/>
        <w:jc w:val="both"/>
        <w:rPr/>
      </w:pPr>
      <w:r>
        <w:rPr>
          <w:spacing w:val="11"/>
        </w:rPr>
        <w:t>灵活就业人员、外来务工人员作为扩面重点，</w:t>
      </w:r>
      <w:r>
        <w:rPr>
          <w:spacing w:val="7"/>
        </w:rPr>
        <w:t>引导和鼓励各类人员及早参保、长期参保和连</w:t>
      </w:r>
      <w:r>
        <w:rPr>
          <w:spacing w:val="1"/>
        </w:rPr>
        <w:t>续参保，提高参保缴费率，力争做到应保尽保。</w:t>
      </w:r>
      <w:r>
        <w:rPr>
          <w:spacing w:val="7"/>
        </w:rPr>
        <w:t>完善基本医疗保险、失业保险、工伤保险统筹</w:t>
      </w:r>
      <w:r>
        <w:rPr>
          <w:spacing w:val="1"/>
        </w:rPr>
        <w:t>机制。完善医疗保障政策，扩大异地就医范围，</w:t>
      </w:r>
      <w:r>
        <w:rPr>
          <w:spacing w:val="7"/>
        </w:rPr>
        <w:t>健全重大疾病医疗保险和救助制度，稳步建立</w:t>
      </w:r>
      <w:r>
        <w:rPr>
          <w:spacing w:val="11"/>
        </w:rPr>
        <w:t>长期护理保险制度，积极发展商业健康保险，</w:t>
      </w:r>
      <w:r>
        <w:rPr>
          <w:spacing w:val="7"/>
        </w:rPr>
        <w:t>提高医疗保障水平。发展多层次、多支柱养老</w:t>
      </w:r>
      <w:r>
        <w:rPr>
          <w:spacing w:val="7"/>
        </w:rPr>
        <w:t>保险体系，健全企业年金、职业年金和商业养</w:t>
      </w:r>
      <w:r>
        <w:rPr>
          <w:spacing w:val="7"/>
        </w:rPr>
        <w:t>老保险等政策。建立完善城乡居民基础养老金</w:t>
      </w:r>
      <w:r>
        <w:rPr>
          <w:spacing w:val="7"/>
        </w:rPr>
        <w:t>正常调整机制，稳步提高城乡居民养老保险待</w:t>
      </w:r>
      <w:r>
        <w:rPr>
          <w:spacing w:val="8"/>
        </w:rPr>
        <w:t>遇水平。到</w:t>
      </w:r>
      <w:r>
        <w:rPr>
          <w:spacing w:val="-27"/>
        </w:rPr>
        <w:t xml:space="preserve"> </w:t>
      </w:r>
      <w:r>
        <w:rPr>
          <w:spacing w:val="8"/>
        </w:rPr>
        <w:t>2025</w:t>
      </w:r>
      <w:r>
        <w:rPr>
          <w:spacing w:val="-37"/>
        </w:rPr>
        <w:t xml:space="preserve"> </w:t>
      </w:r>
      <w:r>
        <w:rPr>
          <w:spacing w:val="8"/>
        </w:rPr>
        <w:t>年</w:t>
      </w:r>
      <w:r>
        <w:rPr>
          <w:spacing w:val="-58"/>
        </w:rPr>
        <w:t xml:space="preserve"> </w:t>
      </w:r>
      <w:r>
        <w:rPr>
          <w:spacing w:val="8"/>
        </w:rPr>
        <w:t>，全市基本养老保险和基</w:t>
      </w:r>
      <w:r>
        <w:rPr>
          <w:spacing w:val="15"/>
        </w:rPr>
        <w:t>本医疗保险参保率分别达到97%和98.5%。</w:t>
      </w:r>
    </w:p>
    <w:p>
      <w:pPr>
        <w:pStyle w:val="BodyText"/>
        <w:ind w:left="32" w:right="327" w:firstLine="415"/>
        <w:spacing w:before="1" w:line="291" w:lineRule="auto"/>
        <w:outlineLvl w:val="0"/>
        <w:rPr/>
      </w:pPr>
      <w:r>
        <w:rPr>
          <w:spacing w:val="6"/>
        </w:rPr>
        <w:t>完善现代社会救助体系。实施方便居民生</w:t>
      </w:r>
      <w:r>
        <w:rPr>
          <w:spacing w:val="7"/>
        </w:rPr>
        <w:t>活出行双优计划，完善以最低生活保障、特困</w:t>
      </w:r>
    </w:p>
    <w:p>
      <w:pPr>
        <w:pStyle w:val="BodyText"/>
        <w:ind w:left="26" w:right="304"/>
        <w:spacing w:before="144" w:line="348" w:lineRule="auto"/>
        <w:jc w:val="both"/>
        <w:rPr/>
      </w:pPr>
      <w:r>
        <w:rPr>
          <w:spacing w:val="7"/>
        </w:rPr>
        <w:t>人员供养为基本底线，以临时救助、残疾人两</w:t>
      </w:r>
      <w:r>
        <w:rPr>
          <w:spacing w:val="8"/>
        </w:rPr>
        <w:t>项补贴、高龄补贴、孤儿补贴为补充，教育、</w:t>
      </w:r>
      <w:r>
        <w:rPr>
          <w:spacing w:val="7"/>
        </w:rPr>
        <w:t>医疗、住房、就业、受灾人员等专项救助相配</w:t>
      </w:r>
      <w:r>
        <w:rPr>
          <w:spacing w:val="8"/>
        </w:rPr>
        <w:t>套，社会力量充分参与的现代社会救助体系。</w:t>
      </w:r>
      <w:r>
        <w:rPr>
          <w:spacing w:val="8"/>
        </w:rPr>
        <w:t>全面落实低保审批权限下放乡镇（街道</w:t>
      </w:r>
      <w:r>
        <w:rPr>
          <w:spacing w:val="1"/>
        </w:rPr>
        <w:t>），</w:t>
      </w:r>
      <w:r>
        <w:rPr>
          <w:spacing w:val="8"/>
        </w:rPr>
        <w:t>合</w:t>
      </w:r>
      <w:r>
        <w:rPr>
          <w:spacing w:val="7"/>
        </w:rPr>
        <w:t>理确定低保标准，并按照物价上涨情况动态调</w:t>
      </w:r>
      <w:r>
        <w:rPr>
          <w:spacing w:val="7"/>
        </w:rPr>
        <w:t>整。创新社会救助机制和方法，引进社会力量</w:t>
      </w:r>
      <w:r>
        <w:rPr>
          <w:spacing w:val="8"/>
        </w:rPr>
        <w:t>参与社会救助，搭建社会救助信息工作平台，</w:t>
      </w:r>
      <w:r>
        <w:rPr>
          <w:spacing w:val="7"/>
        </w:rPr>
        <w:t>实现帮困主体、社会救助资源以及困难对象三</w:t>
      </w:r>
      <w:r>
        <w:rPr>
          <w:spacing w:val="18"/>
        </w:rPr>
        <w:t>方信息互通共享。改造提升特困人员供养设</w:t>
      </w:r>
      <w:r>
        <w:rPr>
          <w:spacing w:val="7"/>
        </w:rPr>
        <w:t>施，逐步提高护理型床位占比，确保生活不能</w:t>
      </w:r>
    </w:p>
    <w:p>
      <w:pPr>
        <w:spacing w:line="14" w:lineRule="auto"/>
        <w:rPr>
          <w:rFonts w:ascii="Arial"/>
          <w:sz w:val="2"/>
        </w:rPr>
      </w:pPr>
      <w:r>
        <w:rPr>
          <w:rFonts w:ascii="Arial" w:hAnsi="Arial" w:eastAsia="Arial" w:cs="Arial"/>
          <w:sz w:val="2"/>
          <w:szCs w:val="2"/>
        </w:rPr>
        <w:br w:type="column"/>
      </w:r>
    </w:p>
    <w:p>
      <w:pPr>
        <w:pStyle w:val="BodyText"/>
        <w:ind w:left="43"/>
        <w:spacing w:before="46" w:line="277" w:lineRule="exact"/>
        <w:rPr/>
      </w:pPr>
      <w:r>
        <w:rPr>
          <w:spacing w:val="12"/>
          <w:position w:val="1"/>
        </w:rPr>
        <w:t>自理人员集中供养率不低于50%。</w:t>
      </w:r>
    </w:p>
    <w:p>
      <w:pPr>
        <w:pStyle w:val="BodyText"/>
        <w:ind w:left="425"/>
        <w:spacing w:before="106" w:line="221" w:lineRule="auto"/>
        <w:rPr/>
      </w:pPr>
      <w:r>
        <w:rPr>
          <w:spacing w:val="6"/>
        </w:rPr>
        <w:t>积极开展应对人口老龄化行动。建设以居</w:t>
      </w:r>
    </w:p>
    <w:p>
      <w:pPr>
        <w:pStyle w:val="BodyText"/>
        <w:ind w:left="6"/>
        <w:spacing w:before="141" w:line="220" w:lineRule="auto"/>
        <w:outlineLvl w:val="0"/>
        <w:rPr/>
      </w:pPr>
      <w:r>
        <w:rPr>
          <w:spacing w:val="7"/>
        </w:rPr>
        <w:t>家为基础、社区为依托、机构为补充的多层次</w:t>
      </w:r>
    </w:p>
    <w:p>
      <w:pPr>
        <w:pStyle w:val="BodyText"/>
        <w:ind w:left="1" w:right="98" w:firstLine="1"/>
        <w:spacing w:before="136" w:line="351" w:lineRule="auto"/>
        <w:rPr/>
      </w:pPr>
      <w:r>
        <w:rPr>
          <w:spacing w:val="7"/>
        </w:rPr>
        <w:t>养老服务体系，优化社区养老服务设施的规划</w:t>
      </w:r>
      <w:r>
        <w:rPr>
          <w:spacing w:val="7"/>
        </w:rPr>
        <w:t>建设布局，保障社区养老服务场地供给，加强</w:t>
      </w:r>
      <w:r>
        <w:rPr>
          <w:spacing w:val="7"/>
        </w:rPr>
        <w:t>居家养老服务设施建设和改造提升，做好社区</w:t>
      </w:r>
      <w:r>
        <w:rPr>
          <w:spacing w:val="7"/>
        </w:rPr>
        <w:t>养老服务设施与社区卫生、文化、体育等公共</w:t>
      </w:r>
      <w:r>
        <w:rPr>
          <w:spacing w:val="7"/>
        </w:rPr>
        <w:t>服务设施相衔接，扩容社区照料服务项目。发</w:t>
      </w:r>
      <w:r>
        <w:rPr>
          <w:spacing w:val="7"/>
        </w:rPr>
        <w:t>挥公办养老机构示范和托底作用，重点为“五</w:t>
      </w:r>
      <w:r>
        <w:rPr>
          <w:spacing w:val="7"/>
        </w:rPr>
        <w:t>保”、低收入、经济困难的失能半失能老人提</w:t>
      </w:r>
      <w:r>
        <w:rPr>
          <w:spacing w:val="7"/>
        </w:rPr>
        <w:t>供无偿或低收费的供养服务。鼓励社会力量提</w:t>
      </w:r>
      <w:r>
        <w:rPr>
          <w:spacing w:val="7"/>
        </w:rPr>
        <w:t>供养老服务，培育品牌化、连锁化、专业化养</w:t>
      </w:r>
      <w:r>
        <w:rPr>
          <w:spacing w:val="7"/>
        </w:rPr>
        <w:t>老服务机构，建设六盘山生态康养城。推进居</w:t>
      </w:r>
      <w:r>
        <w:rPr>
          <w:spacing w:val="9"/>
        </w:rPr>
        <w:t>家养老信息化建设</w:t>
      </w:r>
      <w:r>
        <w:rPr>
          <w:spacing w:val="-55"/>
        </w:rPr>
        <w:t xml:space="preserve"> </w:t>
      </w:r>
      <w:r>
        <w:rPr>
          <w:spacing w:val="9"/>
        </w:rPr>
        <w:t>，为全市</w:t>
      </w:r>
      <w:r>
        <w:rPr>
          <w:spacing w:val="-40"/>
        </w:rPr>
        <w:t xml:space="preserve"> </w:t>
      </w:r>
      <w:r>
        <w:rPr>
          <w:spacing w:val="9"/>
        </w:rPr>
        <w:t>70</w:t>
      </w:r>
      <w:r>
        <w:rPr>
          <w:spacing w:val="-37"/>
        </w:rPr>
        <w:t xml:space="preserve"> </w:t>
      </w:r>
      <w:r>
        <w:rPr>
          <w:spacing w:val="9"/>
        </w:rPr>
        <w:t>岁以上独居、</w:t>
      </w:r>
      <w:r>
        <w:rPr>
          <w:spacing w:val="8"/>
        </w:rPr>
        <w:t>空巢老人提供应急救援服务。到</w:t>
      </w:r>
      <w:r>
        <w:rPr>
          <w:spacing w:val="-27"/>
        </w:rPr>
        <w:t xml:space="preserve"> </w:t>
      </w:r>
      <w:r>
        <w:rPr>
          <w:spacing w:val="8"/>
        </w:rPr>
        <w:t>2025</w:t>
      </w:r>
      <w:r>
        <w:rPr>
          <w:spacing w:val="-34"/>
        </w:rPr>
        <w:t xml:space="preserve"> </w:t>
      </w:r>
      <w:r>
        <w:rPr>
          <w:spacing w:val="8"/>
        </w:rPr>
        <w:t>年</w:t>
      </w:r>
      <w:r>
        <w:rPr>
          <w:spacing w:val="-59"/>
        </w:rPr>
        <w:t xml:space="preserve"> </w:t>
      </w:r>
      <w:r>
        <w:rPr>
          <w:spacing w:val="8"/>
        </w:rPr>
        <w:t>，基</w:t>
      </w:r>
      <w:r>
        <w:rPr>
          <w:spacing w:val="4"/>
        </w:rPr>
        <w:t>本建成市县（</w:t>
      </w:r>
      <w:r>
        <w:rPr>
          <w:spacing w:val="-34"/>
        </w:rPr>
        <w:t xml:space="preserve"> </w:t>
      </w:r>
      <w:r>
        <w:rPr>
          <w:spacing w:val="4"/>
        </w:rPr>
        <w:t>区）社会化养老护理院，社区日</w:t>
      </w:r>
      <w:r>
        <w:rPr>
          <w:spacing w:val="11"/>
        </w:rPr>
        <w:t>间照料机构覆盖率达到60%，实现每千名老年</w:t>
      </w:r>
      <w:r>
        <w:rPr>
          <w:spacing w:val="6"/>
        </w:rPr>
        <w:t>人口拥有养老床位</w:t>
      </w:r>
      <w:r>
        <w:rPr>
          <w:spacing w:val="-32"/>
        </w:rPr>
        <w:t xml:space="preserve"> </w:t>
      </w:r>
      <w:r>
        <w:rPr>
          <w:spacing w:val="6"/>
        </w:rPr>
        <w:t>35</w:t>
      </w:r>
      <w:r>
        <w:rPr>
          <w:spacing w:val="-35"/>
        </w:rPr>
        <w:t xml:space="preserve"> </w:t>
      </w:r>
      <w:r>
        <w:rPr>
          <w:spacing w:val="6"/>
        </w:rPr>
        <w:t>张以上。</w:t>
      </w:r>
    </w:p>
    <w:p>
      <w:pPr>
        <w:pStyle w:val="BodyText"/>
        <w:ind w:left="10" w:right="101" w:firstLine="411"/>
        <w:spacing w:before="1" w:line="287" w:lineRule="auto"/>
        <w:outlineLvl w:val="0"/>
        <w:rPr/>
      </w:pPr>
      <w:r>
        <w:rPr>
          <w:spacing w:val="7"/>
        </w:rPr>
        <w:t>保障特定人群基本权益。建立健全均等化</w:t>
      </w:r>
      <w:r>
        <w:rPr>
          <w:spacing w:val="6"/>
        </w:rPr>
        <w:t>和专业化的现代化社会福利保护制度。依法保</w:t>
      </w:r>
    </w:p>
    <w:p>
      <w:pPr>
        <w:pStyle w:val="BodyText"/>
        <w:ind w:right="20" w:firstLine="16"/>
        <w:spacing w:before="138" w:line="339" w:lineRule="auto"/>
        <w:jc w:val="both"/>
        <w:rPr/>
      </w:pPr>
      <w:r>
        <w:rPr>
          <w:spacing w:val="6"/>
        </w:rPr>
        <w:t>障退役军人合法权益，严格落实退役金、抚恤</w:t>
      </w:r>
      <w:r>
        <w:rPr>
          <w:spacing w:val="7"/>
        </w:rPr>
        <w:t>金、优待金、退休费动态调整政策，推动基本</w:t>
      </w:r>
      <w:r>
        <w:rPr>
          <w:spacing w:val="7"/>
        </w:rPr>
        <w:t>优待目录清单落地生效，积极做好退役军人安</w:t>
      </w:r>
      <w:r>
        <w:rPr>
          <w:spacing w:val="1"/>
        </w:rPr>
        <w:t>置。切实保障妇女平等获得就业、就学、婚姻、</w:t>
      </w:r>
      <w:r>
        <w:rPr>
          <w:spacing w:val="7"/>
        </w:rPr>
        <w:t>财产、参与社会事务等权利和机会，进一步加</w:t>
      </w:r>
      <w:r>
        <w:rPr>
          <w:spacing w:val="7"/>
        </w:rPr>
        <w:t>大困境妇女、贫困母亲关爱帮扶救助力度。强</w:t>
      </w:r>
      <w:r>
        <w:rPr>
          <w:spacing w:val="7"/>
        </w:rPr>
        <w:t>化对未成年人权益的依法保障，加强孤儿、困</w:t>
      </w:r>
      <w:r>
        <w:rPr>
          <w:spacing w:val="7"/>
        </w:rPr>
        <w:t>境儿童和农村留守儿童关爱保护工作，加强对</w:t>
      </w:r>
      <w:r>
        <w:rPr>
          <w:spacing w:val="7"/>
        </w:rPr>
        <w:t>农村留守儿童监护人的监督和指导，扎实推进</w:t>
      </w:r>
      <w:r>
        <w:rPr>
          <w:spacing w:val="7"/>
        </w:rPr>
        <w:t>“护童成长”—儿童关爱服务体系建设试点项</w:t>
      </w:r>
      <w:r>
        <w:rPr>
          <w:spacing w:val="1"/>
        </w:rPr>
        <w:t>目，进一步加大关爱服务力度。扎实做好党史、</w:t>
      </w:r>
      <w:r>
        <w:rPr>
          <w:spacing w:val="7"/>
        </w:rPr>
        <w:t>双拥、统计调查、供销、防震减灾、气象、地</w:t>
      </w:r>
      <w:r>
        <w:rPr>
          <w:spacing w:val="7"/>
        </w:rPr>
        <w:t>方志、工青妇及国防动员各专业办公室等重点</w:t>
      </w:r>
      <w:r>
        <w:rPr>
          <w:spacing w:val="5"/>
        </w:rPr>
        <w:t>工作。</w:t>
      </w:r>
    </w:p>
    <w:p>
      <w:pPr>
        <w:spacing w:line="339" w:lineRule="auto"/>
        <w:sectPr>
          <w:type w:val="continuous"/>
          <w:pgSz w:w="11906" w:h="16839"/>
          <w:pgMar w:top="1793" w:right="1489" w:bottom="1673" w:left="1565" w:header="1428" w:footer="1277" w:gutter="0"/>
          <w:cols w:equalWidth="0" w:num="2">
            <w:col w:w="4502" w:space="100"/>
            <w:col w:w="4251" w:space="0"/>
          </w:cols>
        </w:sectPr>
        <w:rPr/>
      </w:pPr>
    </w:p>
    <w:p>
      <w:pPr>
        <w:ind w:left="3350"/>
        <w:spacing w:before="231" w:line="197" w:lineRule="auto"/>
        <w:rPr>
          <w:rFonts w:ascii="Microsoft YaHei" w:hAnsi="Microsoft YaHei" w:eastAsia="Microsoft YaHei" w:cs="Microsoft YaHei"/>
          <w:sz w:val="20"/>
          <w:szCs w:val="20"/>
        </w:rPr>
      </w:pPr>
      <w:r>
        <w:drawing>
          <wp:anchor distT="0" distB="0" distL="0" distR="0" simplePos="0" relativeHeight="251858944" behindDoc="0" locked="0" layoutInCell="1" allowOverlap="1">
            <wp:simplePos x="0" y="0"/>
            <wp:positionH relativeFrom="column">
              <wp:posOffset>39242</wp:posOffset>
            </wp:positionH>
            <wp:positionV relativeFrom="paragraph">
              <wp:posOffset>25786</wp:posOffset>
            </wp:positionV>
            <wp:extent cx="5579745" cy="7619"/>
            <wp:effectExtent l="0" t="0" r="0" b="0"/>
            <wp:wrapNone/>
            <wp:docPr id="570" name="IM 570"/>
            <wp:cNvGraphicFramePr/>
            <a:graphic>
              <a:graphicData uri="http://schemas.openxmlformats.org/drawingml/2006/picture">
                <pic:pic>
                  <pic:nvPicPr>
                    <pic:cNvPr id="570" name="IM 570"/>
                    <pic:cNvPicPr/>
                  </pic:nvPicPr>
                  <pic:blipFill>
                    <a:blip r:embed="rId287"/>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专栏 22</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4"/>
        </w:rPr>
        <w:t>五大民生计划</w:t>
      </w:r>
    </w:p>
    <w:tbl>
      <w:tblPr>
        <w:tblStyle w:val="TableNormal"/>
        <w:tblW w:w="8848" w:type="dxa"/>
        <w:tblInd w:w="2" w:type="dxa"/>
        <w:tblLayout w:type="fixed"/>
        <w:tblBorders>
          <w:left w:val="single" w:color="000000" w:sz="2" w:space="0"/>
          <w:bottom w:val="single" w:color="000000" w:sz="2" w:space="0"/>
          <w:right w:val="single" w:color="000000" w:sz="2" w:space="0"/>
          <w:top w:val="single" w:color="000000" w:sz="2" w:space="0"/>
        </w:tblBorders>
      </w:tblPr>
      <w:tblGrid>
        <w:gridCol w:w="8848"/>
      </w:tblGrid>
      <w:tr>
        <w:trPr>
          <w:trHeight w:val="7209" w:hRule="atLeast"/>
        </w:trPr>
        <w:tc>
          <w:tcPr>
            <w:tcW w:w="8848" w:type="dxa"/>
            <w:vAlign w:val="top"/>
          </w:tcPr>
          <w:p>
            <w:pPr>
              <w:pStyle w:val="TableText"/>
              <w:ind w:left="6" w:right="54" w:firstLine="377"/>
              <w:spacing w:before="89" w:line="285" w:lineRule="auto"/>
              <w:rPr/>
            </w:pPr>
            <w:r>
              <w:rPr>
                <w:b/>
                <w:bCs/>
                <w:spacing w:val="-2"/>
              </w:rPr>
              <w:t>1.脱贫户移民户双富计划：</w:t>
            </w:r>
            <w:r>
              <w:rPr>
                <w:spacing w:val="-2"/>
              </w:rPr>
              <w:t>针对脱贫户，深入推进产业扶贫提质增效、基础设施和基本公共服务强基促稳、</w:t>
            </w:r>
            <w:r>
              <w:rPr>
                <w:spacing w:val="-2"/>
              </w:rPr>
              <w:t>社会扶贫深化拓展、“两个带头人”深化提升、志智双扶巩固提升“五大”工程。针对移民户，实施生态移民产</w:t>
            </w:r>
            <w:r>
              <w:rPr>
                <w:spacing w:val="-1"/>
              </w:rPr>
              <w:t>业、劳务移民技能培训稳岗就业、移民区基础设施提升、实施无劳动能力移民户社会保障、实施移民社会融入，</w:t>
            </w:r>
            <w:r>
              <w:rPr>
                <w:spacing w:val="-1"/>
              </w:rPr>
              <w:t>确保移民户稳得住、有就业、逐步能致富。</w:t>
            </w:r>
          </w:p>
          <w:p>
            <w:pPr>
              <w:pStyle w:val="TableText"/>
              <w:ind w:left="112" w:right="97" w:firstLine="423"/>
              <w:spacing w:before="88" w:line="278" w:lineRule="auto"/>
              <w:rPr/>
            </w:pPr>
            <w:r>
              <w:rPr>
                <w:b/>
                <w:bCs/>
                <w:spacing w:val="-2"/>
              </w:rPr>
              <w:t>2.城乡居民产业就业收入双增计划：</w:t>
            </w:r>
            <w:r>
              <w:rPr>
                <w:spacing w:val="-2"/>
              </w:rPr>
              <w:t>全面落实各项促进就业的政策措施，拓宽产业增</w:t>
            </w:r>
            <w:r>
              <w:rPr>
                <w:spacing w:val="-3"/>
              </w:rPr>
              <w:t>收渠道，推动产业升</w:t>
            </w:r>
            <w:r>
              <w:rPr/>
              <w:t>级带动就业，加大技能人才培养力度，扩大创业担保贷款规模，鼓励支持返</w:t>
            </w:r>
            <w:r>
              <w:rPr>
                <w:spacing w:val="-1"/>
              </w:rPr>
              <w:t>乡创业。多渠道开发就业岗位，增</w:t>
            </w:r>
            <w:r>
              <w:rPr/>
              <w:t>加就业机会。深化农村产权制度改革，全面落实各项强农惠农政策，健全农村社</w:t>
            </w:r>
            <w:r>
              <w:rPr>
                <w:spacing w:val="-1"/>
              </w:rPr>
              <w:t>会保障体系。</w:t>
            </w:r>
          </w:p>
          <w:p>
            <w:pPr>
              <w:pStyle w:val="TableText"/>
              <w:ind w:left="108" w:right="13" w:firstLine="429"/>
              <w:spacing w:before="91" w:line="296" w:lineRule="auto"/>
              <w:rPr/>
            </w:pPr>
            <w:r>
              <w:rPr>
                <w:b/>
                <w:bCs/>
              </w:rPr>
              <w:t>3.教师教学教育质量双升计划</w:t>
            </w:r>
            <w:r>
              <w:rPr/>
              <w:t>：实施基础保障工程，新建幼儿园5所，义务教育学校</w:t>
            </w:r>
            <w:r>
              <w:rPr>
                <w:spacing w:val="-1"/>
              </w:rPr>
              <w:t>6所，普通高中学校2</w:t>
            </w:r>
            <w:r>
              <w:rPr>
                <w:spacing w:val="-1"/>
              </w:rPr>
              <w:t>所。实施“名师名校名校长”培育工程，持续开展100名“名师”、</w:t>
            </w:r>
            <w:r>
              <w:rPr>
                <w:spacing w:val="-2"/>
              </w:rPr>
              <w:t>50所“名校”、30名“名校长”培育工作，</w:t>
            </w:r>
            <w:r>
              <w:rPr/>
              <w:t>举办“名师名校名校长论坛”，聘请国内知名专家进校蹲点指导、会诊课堂。建</w:t>
            </w:r>
            <w:r>
              <w:rPr>
                <w:spacing w:val="-1"/>
              </w:rPr>
              <w:t>立新一批名师工作室15个。推</w:t>
            </w:r>
            <w:r>
              <w:rPr/>
              <w:t>进学前教育普及普惠，落实政府购买公办园教师服务岗位500个，建立名园长工作室，带</w:t>
            </w:r>
            <w:r>
              <w:rPr>
                <w:spacing w:val="-1"/>
              </w:rPr>
              <w:t>培名园长（骨干教师）</w:t>
            </w:r>
            <w:r>
              <w:rPr/>
              <w:t xml:space="preserve"> </w:t>
            </w:r>
            <w:r>
              <w:rPr/>
              <w:t>20-30名，争取创建自治区示范园3所。推进义务教育优质均衡发展，制定义务教育优质均</w:t>
            </w:r>
            <w:r>
              <w:rPr>
                <w:spacing w:val="-1"/>
              </w:rPr>
              <w:t>衡创建时间表，推进</w:t>
            </w:r>
            <w:r>
              <w:rPr/>
              <w:t>义务教育集团化办学，推进“N+1+N”网络精准扶智行动，建设在线互动课堂330间，扩大优质</w:t>
            </w:r>
            <w:r>
              <w:rPr>
                <w:spacing w:val="-1"/>
              </w:rPr>
              <w:t>资源覆盖面。推</w:t>
            </w:r>
            <w:r>
              <w:rPr>
                <w:spacing w:val="2"/>
              </w:rPr>
              <w:t>进高中阶段多样特色发展，将优质普通高中招生名额的60%</w:t>
            </w:r>
            <w:r>
              <w:rPr>
                <w:spacing w:val="1"/>
              </w:rPr>
              <w:t>分配到区域内初中并适当向农村学校倾斜。健全产</w:t>
            </w:r>
            <w:r>
              <w:rPr/>
              <w:t>教融合、校企合作机制，围绕服务重点产业，科学设置职业教育专</w:t>
            </w:r>
            <w:r>
              <w:rPr>
                <w:spacing w:val="-1"/>
              </w:rPr>
              <w:t>业。</w:t>
            </w:r>
          </w:p>
          <w:p>
            <w:pPr>
              <w:pStyle w:val="TableText"/>
              <w:ind w:left="108" w:right="99" w:firstLine="423"/>
              <w:spacing w:before="85" w:line="296" w:lineRule="auto"/>
              <w:rPr/>
            </w:pPr>
            <w:r>
              <w:rPr>
                <w:b/>
                <w:bCs/>
                <w:spacing w:val="-2"/>
              </w:rPr>
              <w:t>4.医疗医生水平双提计划：</w:t>
            </w:r>
            <w:r>
              <w:rPr>
                <w:spacing w:val="-2"/>
              </w:rPr>
              <w:t>提速区域医疗中心建设和医院等级提升工作，固原市人民医院创成三甲综合医</w:t>
            </w:r>
            <w:r>
              <w:rPr/>
              <w:t>院，原州区人民医院和西吉县人民医院创成三乙综合医院。全面提升医疗服务</w:t>
            </w:r>
            <w:r>
              <w:rPr>
                <w:spacing w:val="-1"/>
              </w:rPr>
              <w:t>能力，加强专科建设，拓展新业</w:t>
            </w:r>
            <w:r>
              <w:rPr>
                <w:spacing w:val="2"/>
              </w:rPr>
              <w:t>务新技术，规范社会办医院管理与质量提升。推进“互联网+护</w:t>
            </w:r>
            <w:r>
              <w:rPr>
                <w:spacing w:val="1"/>
              </w:rPr>
              <w:t>理服务”试点工作，建立健全检查检验结果互</w:t>
            </w:r>
            <w:r>
              <w:rPr/>
              <w:t>认制度。开展继续医学教育，市本级卫生健康人才专项资金投入比上年增长5%</w:t>
            </w:r>
            <w:r>
              <w:rPr>
                <w:spacing w:val="-1"/>
              </w:rPr>
              <w:t>，每个二级以上医疗机构至少要</w:t>
            </w:r>
            <w:r>
              <w:rPr>
                <w:spacing w:val="-1"/>
              </w:rPr>
              <w:t>与1家区内外三甲医院建立深度合作关系。</w:t>
            </w:r>
          </w:p>
          <w:p>
            <w:pPr>
              <w:pStyle w:val="TableText"/>
              <w:ind w:left="112" w:right="97" w:firstLine="423"/>
              <w:spacing w:before="60" w:line="284" w:lineRule="auto"/>
              <w:rPr/>
            </w:pPr>
            <w:r>
              <w:rPr>
                <w:b/>
                <w:bCs/>
              </w:rPr>
              <w:t>5.方便居民生活出行双优计划：</w:t>
            </w:r>
            <w:r>
              <w:rPr/>
              <w:t>加快构筑县城1小时通勤、区内城市群2小时覆盖、</w:t>
            </w:r>
            <w:r>
              <w:rPr>
                <w:spacing w:val="-1"/>
              </w:rPr>
              <w:t>周边节点城市间3小时</w:t>
            </w:r>
            <w:r>
              <w:rPr>
                <w:spacing w:val="-4"/>
              </w:rPr>
              <w:t>通达的“123交通出行圈”，织密织牢交通运输便捷的快速网、完善的干线网、广泛的基础网、绿色的出行网“4</w:t>
            </w:r>
            <w:r>
              <w:rPr/>
              <w:t>张网”。积极发展旅客联程运输，构建一体化的城乡客运网络，</w:t>
            </w:r>
            <w:r>
              <w:rPr>
                <w:spacing w:val="-1"/>
              </w:rPr>
              <w:t>加快推进公交优先发展，实现中心城区公共交</w:t>
            </w:r>
            <w:r>
              <w:rPr>
                <w:spacing w:val="3"/>
              </w:rPr>
              <w:t>通机动化出行分担率达到50%。</w:t>
            </w:r>
          </w:p>
        </w:tc>
      </w:tr>
    </w:tbl>
    <w:p>
      <w:pPr>
        <w:rPr>
          <w:rFonts w:ascii="Arial"/>
          <w:sz w:val="21"/>
        </w:rPr>
      </w:pPr>
      <w:r/>
    </w:p>
    <w:p>
      <w:pPr>
        <w:spacing w:line="233" w:lineRule="exact"/>
        <w:rPr/>
      </w:pPr>
      <w:r/>
    </w:p>
    <w:p>
      <w:pPr>
        <w:spacing w:line="233" w:lineRule="exact"/>
        <w:sectPr>
          <w:headerReference w:type="default" r:id="rId185"/>
          <w:footerReference w:type="default" r:id="rId286"/>
          <w:pgSz w:w="11906" w:h="16839"/>
          <w:pgMar w:top="1793" w:right="1526" w:bottom="1570" w:left="1526" w:header="1428" w:footer="1172" w:gutter="0"/>
          <w:cols w:equalWidth="0" w:num="1">
            <w:col w:w="8854" w:space="0"/>
          </w:cols>
        </w:sectPr>
        <w:rPr/>
      </w:pPr>
    </w:p>
    <w:p>
      <w:pPr>
        <w:ind w:left="730"/>
        <w:spacing w:before="40" w:line="182"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第十二章</w:t>
      </w:r>
      <w:r>
        <w:rPr>
          <w:rFonts w:ascii="Microsoft YaHei" w:hAnsi="Microsoft YaHei" w:eastAsia="Microsoft YaHei" w:cs="Microsoft YaHei"/>
          <w:sz w:val="20"/>
          <w:szCs w:val="20"/>
          <w:spacing w:val="59"/>
          <w:w w:val="101"/>
        </w:rPr>
        <w:t xml:space="preserve"> </w:t>
      </w:r>
      <w:r>
        <w:rPr>
          <w:rFonts w:ascii="Microsoft YaHei" w:hAnsi="Microsoft YaHei" w:eastAsia="Microsoft YaHei" w:cs="Microsoft YaHei"/>
          <w:sz w:val="20"/>
          <w:szCs w:val="20"/>
          <w:spacing w:val="8"/>
        </w:rPr>
        <w:t>科学统筹发展和安全</w:t>
      </w:r>
    </w:p>
    <w:p>
      <w:pPr>
        <w:ind w:left="989"/>
        <w:spacing w:before="98" w:line="185"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建设更高水平的平安固原</w:t>
      </w:r>
    </w:p>
    <w:p>
      <w:pPr>
        <w:spacing w:line="338" w:lineRule="auto"/>
        <w:rPr>
          <w:rFonts w:ascii="Arial"/>
          <w:sz w:val="21"/>
        </w:rPr>
      </w:pPr>
      <w:r/>
    </w:p>
    <w:p>
      <w:pPr>
        <w:pStyle w:val="BodyText"/>
        <w:ind w:left="78" w:right="330" w:firstLine="408"/>
        <w:spacing w:before="66" w:line="287" w:lineRule="auto"/>
        <w:outlineLvl w:val="0"/>
        <w:rPr/>
      </w:pPr>
      <w:r>
        <w:rPr>
          <w:spacing w:val="6"/>
        </w:rPr>
        <w:t>坚持总体国家安全观，全面落实国家安全</w:t>
      </w:r>
      <w:r>
        <w:rPr>
          <w:spacing w:val="6"/>
        </w:rPr>
        <w:t>战略，始终把安全发展贯穿经济社会发展各领</w:t>
      </w:r>
    </w:p>
    <w:p>
      <w:pPr>
        <w:pStyle w:val="BodyText"/>
        <w:ind w:left="67" w:right="330"/>
        <w:spacing w:before="141" w:line="350" w:lineRule="auto"/>
        <w:jc w:val="both"/>
        <w:rPr/>
      </w:pPr>
      <w:r>
        <w:rPr>
          <w:spacing w:val="7"/>
        </w:rPr>
        <w:t>域和全过程，有效防范和化解各类风险，有序</w:t>
      </w:r>
      <w:r>
        <w:rPr>
          <w:spacing w:val="7"/>
        </w:rPr>
        <w:t>推进平安、法治固原建设，强化基层治理，加</w:t>
      </w:r>
      <w:r>
        <w:rPr>
          <w:spacing w:val="7"/>
        </w:rPr>
        <w:t>强民族团结，全力推进市域社会治理体系和治</w:t>
      </w:r>
      <w:r>
        <w:rPr>
          <w:spacing w:val="7"/>
        </w:rPr>
        <w:t>理能力现代化。</w:t>
      </w:r>
    </w:p>
    <w:p>
      <w:pPr>
        <w:pStyle w:val="BodyText"/>
        <w:ind w:left="461"/>
        <w:spacing w:before="284" w:line="222" w:lineRule="auto"/>
        <w:outlineLvl w:val="0"/>
        <w:rPr/>
      </w:pPr>
      <w:r>
        <w:rPr>
          <w:b/>
          <w:bCs/>
          <w:spacing w:val="7"/>
        </w:rPr>
        <w:t>第一节</w:t>
      </w:r>
      <w:r>
        <w:rPr>
          <w:spacing w:val="7"/>
        </w:rPr>
        <w:t xml:space="preserve">  </w:t>
      </w:r>
      <w:r>
        <w:rPr>
          <w:b/>
          <w:bCs/>
          <w:spacing w:val="7"/>
        </w:rPr>
        <w:t>巩固民族团结进步创建成果</w:t>
      </w:r>
    </w:p>
    <w:p>
      <w:pPr>
        <w:spacing w:line="370" w:lineRule="auto"/>
        <w:rPr>
          <w:rFonts w:ascii="Arial"/>
          <w:sz w:val="21"/>
        </w:rPr>
      </w:pPr>
      <w:r/>
    </w:p>
    <w:p>
      <w:pPr>
        <w:pStyle w:val="BodyText"/>
        <w:ind w:left="69" w:right="249" w:firstLine="419"/>
        <w:spacing w:before="66" w:line="269" w:lineRule="auto"/>
        <w:outlineLvl w:val="0"/>
        <w:rPr/>
      </w:pPr>
      <w:r>
        <w:rPr/>
        <w:t>深化马克思主义祖国观、民族观、宗教观、</w:t>
      </w:r>
      <w:r>
        <w:rPr>
          <w:spacing w:val="7"/>
        </w:rPr>
        <w:t>文化观、历史观宣传教育，全面贯彻落实党的</w:t>
      </w:r>
    </w:p>
    <w:p>
      <w:pPr>
        <w:spacing w:line="14" w:lineRule="auto"/>
        <w:rPr>
          <w:rFonts w:ascii="Arial"/>
          <w:sz w:val="2"/>
        </w:rPr>
      </w:pPr>
      <w:r>
        <w:rPr>
          <w:rFonts w:ascii="Arial" w:hAnsi="Arial" w:eastAsia="Arial" w:cs="Arial"/>
          <w:sz w:val="2"/>
          <w:szCs w:val="2"/>
        </w:rPr>
        <w:br w:type="column"/>
      </w:r>
    </w:p>
    <w:p>
      <w:pPr>
        <w:pStyle w:val="BodyText"/>
        <w:ind w:right="41" w:firstLine="19"/>
        <w:spacing w:before="48" w:line="344" w:lineRule="auto"/>
        <w:jc w:val="both"/>
        <w:rPr/>
      </w:pPr>
      <w:r>
        <w:rPr>
          <w:spacing w:val="6"/>
        </w:rPr>
        <w:t>民族政策，高举民族大团结旗帜，让“三个离</w:t>
      </w:r>
      <w:r>
        <w:rPr>
          <w:spacing w:val="8"/>
        </w:rPr>
        <w:t>不开”“五个认同”思想融入各族群众血脉，</w:t>
      </w:r>
      <w:r>
        <w:rPr>
          <w:spacing w:val="7"/>
        </w:rPr>
        <w:t>坚持和完善民族区域自治制度，继承和发扬民</w:t>
      </w:r>
      <w:r>
        <w:rPr>
          <w:spacing w:val="8"/>
        </w:rPr>
        <w:t>族团结光荣传统，守好促进民族团结生命线。</w:t>
      </w:r>
      <w:r>
        <w:rPr>
          <w:spacing w:val="7"/>
        </w:rPr>
        <w:t>铸牢中华民族共同体意识，构建各民族共有精</w:t>
      </w:r>
      <w:r>
        <w:rPr>
          <w:spacing w:val="8"/>
        </w:rPr>
        <w:t>神家园。培养政治上靠得住、宗教上有造诣、</w:t>
      </w:r>
      <w:r>
        <w:rPr>
          <w:spacing w:val="7"/>
        </w:rPr>
        <w:t>品德上能服众、关键时起作用的宗教界代表人</w:t>
      </w:r>
      <w:r>
        <w:rPr>
          <w:spacing w:val="7"/>
        </w:rPr>
        <w:t>士。依法保障各民族合法权益，严密防范、坚</w:t>
      </w:r>
      <w:r>
        <w:rPr>
          <w:spacing w:val="18"/>
        </w:rPr>
        <w:t>决打击各种渗透颠覆破坏行动、暴力恐怖活</w:t>
      </w:r>
      <w:r>
        <w:rPr>
          <w:spacing w:val="7"/>
        </w:rPr>
        <w:t>动、民族分裂活动。坚持抓好民族团结进步创</w:t>
      </w:r>
      <w:r>
        <w:rPr>
          <w:spacing w:val="7"/>
        </w:rPr>
        <w:t>建，广泛开展民族团结进步宣传教育，深入开</w:t>
      </w:r>
      <w:r>
        <w:rPr>
          <w:spacing w:val="6"/>
        </w:rPr>
        <w:t>展“</w:t>
      </w:r>
      <w:r>
        <w:rPr>
          <w:spacing w:val="-73"/>
        </w:rPr>
        <w:t xml:space="preserve"> </w:t>
      </w:r>
      <w:r>
        <w:rPr>
          <w:spacing w:val="6"/>
        </w:rPr>
        <w:t>民族团结月”“社区邻里节”活动，建立</w:t>
      </w:r>
      <w:r>
        <w:rPr>
          <w:spacing w:val="7"/>
        </w:rPr>
        <w:t>健全各民族交往交流交融社会机制，构建互嵌</w:t>
      </w:r>
    </w:p>
    <w:p>
      <w:pPr>
        <w:spacing w:line="344" w:lineRule="auto"/>
        <w:sectPr>
          <w:type w:val="continuous"/>
          <w:pgSz w:w="11906" w:h="16839"/>
          <w:pgMar w:top="1793" w:right="1526" w:bottom="1570" w:left="1526" w:header="1428" w:footer="1172" w:gutter="0"/>
          <w:cols w:equalWidth="0" w:num="2">
            <w:col w:w="4543" w:space="100"/>
            <w:col w:w="4211" w:space="0"/>
          </w:cols>
        </w:sectPr>
        <w:rPr/>
      </w:pPr>
    </w:p>
    <w:p>
      <w:pPr>
        <w:spacing w:before="35"/>
        <w:rPr/>
      </w:pPr>
      <w:r>
        <w:drawing>
          <wp:anchor distT="0" distB="0" distL="0" distR="0" simplePos="0" relativeHeight="251860992"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574" name="IM 574"/>
            <wp:cNvGraphicFramePr/>
            <a:graphic>
              <a:graphicData uri="http://schemas.openxmlformats.org/drawingml/2006/picture">
                <pic:pic>
                  <pic:nvPicPr>
                    <pic:cNvPr id="574" name="IM 574"/>
                    <pic:cNvPicPr/>
                  </pic:nvPicPr>
                  <pic:blipFill>
                    <a:blip r:embed="rId289"/>
                    <a:stretch>
                      <a:fillRect/>
                    </a:stretch>
                  </pic:blipFill>
                  <pic:spPr>
                    <a:xfrm rot="0">
                      <a:off x="0" y="0"/>
                      <a:ext cx="5579745" cy="7619"/>
                    </a:xfrm>
                    <a:prstGeom prst="rect">
                      <a:avLst/>
                    </a:prstGeom>
                  </pic:spPr>
                </pic:pic>
              </a:graphicData>
            </a:graphic>
          </wp:anchor>
        </w:drawing>
      </w:r>
      <w:r/>
    </w:p>
    <w:p>
      <w:pPr>
        <w:sectPr>
          <w:headerReference w:type="default" r:id="rId188"/>
          <w:footerReference w:type="default" r:id="rId288"/>
          <w:pgSz w:w="11906" w:h="16839"/>
          <w:pgMar w:top="1793" w:right="1489" w:bottom="1673" w:left="1565" w:header="1428" w:footer="1277" w:gutter="0"/>
          <w:cols w:equalWidth="0" w:num="1">
            <w:col w:w="8852" w:space="0"/>
          </w:cols>
        </w:sectPr>
        <w:rPr/>
      </w:pPr>
    </w:p>
    <w:p>
      <w:pPr>
        <w:pStyle w:val="BodyText"/>
        <w:ind w:left="34" w:right="305" w:hanging="6"/>
        <w:spacing w:before="41" w:line="351" w:lineRule="auto"/>
        <w:jc w:val="both"/>
        <w:rPr/>
      </w:pPr>
      <w:r>
        <w:rPr>
          <w:spacing w:val="8"/>
        </w:rPr>
        <w:t>式社会结构，巩固和发展平等、团结、互助、</w:t>
      </w:r>
      <w:r>
        <w:rPr>
          <w:spacing w:val="6"/>
        </w:rPr>
        <w:t>和谐的社会主义民族关系。巩固提升全国民族</w:t>
      </w:r>
      <w:r>
        <w:rPr>
          <w:spacing w:val="6"/>
        </w:rPr>
        <w:t>团结进步示范市成果，西吉县、隆德县创成全</w:t>
      </w:r>
      <w:r>
        <w:rPr>
          <w:spacing w:val="7"/>
        </w:rPr>
        <w:t>国民族团结进步示范县。</w:t>
      </w:r>
    </w:p>
    <w:p>
      <w:pPr>
        <w:pStyle w:val="BodyText"/>
        <w:ind w:left="842"/>
        <w:spacing w:before="300" w:line="220" w:lineRule="auto"/>
        <w:outlineLvl w:val="0"/>
        <w:rPr/>
      </w:pPr>
      <w:r>
        <w:rPr>
          <w:b/>
          <w:bCs/>
          <w:spacing w:val="7"/>
        </w:rPr>
        <w:t>第二节</w:t>
      </w:r>
      <w:r>
        <w:rPr>
          <w:spacing w:val="7"/>
        </w:rPr>
        <w:t xml:space="preserve">  </w:t>
      </w:r>
      <w:r>
        <w:rPr>
          <w:b/>
          <w:bCs/>
          <w:spacing w:val="7"/>
        </w:rPr>
        <w:t>依法管理宗教事务</w:t>
      </w:r>
    </w:p>
    <w:p>
      <w:pPr>
        <w:spacing w:line="374" w:lineRule="auto"/>
        <w:rPr>
          <w:rFonts w:ascii="Arial"/>
          <w:sz w:val="21"/>
        </w:rPr>
      </w:pPr>
      <w:r/>
    </w:p>
    <w:p>
      <w:pPr>
        <w:pStyle w:val="BodyText"/>
        <w:ind w:left="448"/>
        <w:spacing w:before="65" w:line="221" w:lineRule="auto"/>
        <w:rPr/>
      </w:pPr>
      <w:r>
        <w:rPr>
          <w:spacing w:val="6"/>
        </w:rPr>
        <w:t>全面贯彻党的宗教工作基本方针，牢牢掌</w:t>
      </w:r>
    </w:p>
    <w:p>
      <w:pPr>
        <w:pStyle w:val="BodyText"/>
        <w:ind w:left="27"/>
        <w:spacing w:before="139" w:line="222" w:lineRule="auto"/>
        <w:outlineLvl w:val="0"/>
        <w:rPr/>
      </w:pPr>
      <w:r>
        <w:rPr>
          <w:spacing w:val="7"/>
        </w:rPr>
        <w:t>握宗教工作主动权，实现宗教治理由被动向主</w:t>
      </w:r>
    </w:p>
    <w:p>
      <w:pPr>
        <w:pStyle w:val="BodyText"/>
        <w:ind w:left="30" w:right="328"/>
        <w:spacing w:before="142" w:line="350" w:lineRule="auto"/>
        <w:rPr/>
      </w:pPr>
      <w:r>
        <w:rPr>
          <w:spacing w:val="7"/>
        </w:rPr>
        <w:t>动转变、由治标向治本转变、由管住向管好转</w:t>
      </w:r>
      <w:r>
        <w:rPr>
          <w:spacing w:val="8"/>
        </w:rPr>
        <w:t>变，守好维护政治安全生命线。</w:t>
      </w:r>
    </w:p>
    <w:p>
      <w:pPr>
        <w:pStyle w:val="BodyText"/>
        <w:ind w:left="448"/>
        <w:spacing w:line="219" w:lineRule="auto"/>
        <w:rPr/>
      </w:pPr>
      <w:r>
        <w:rPr>
          <w:spacing w:val="6"/>
        </w:rPr>
        <w:t>坚持我国宗教中国化方向。纵深推进“五</w:t>
      </w:r>
    </w:p>
    <w:p>
      <w:pPr>
        <w:pStyle w:val="BodyText"/>
        <w:ind w:left="27"/>
        <w:spacing w:before="145" w:line="220" w:lineRule="auto"/>
        <w:outlineLvl w:val="0"/>
        <w:rPr/>
      </w:pPr>
      <w:r>
        <w:rPr>
          <w:spacing w:val="7"/>
        </w:rPr>
        <w:t>进”宗教活动场所，积极引导宗教与社会主义</w:t>
      </w:r>
    </w:p>
    <w:p>
      <w:pPr>
        <w:pStyle w:val="BodyText"/>
        <w:ind w:left="27" w:right="328"/>
        <w:spacing w:before="142" w:line="350" w:lineRule="auto"/>
        <w:jc w:val="both"/>
        <w:rPr/>
      </w:pPr>
      <w:r>
        <w:rPr>
          <w:spacing w:val="7"/>
        </w:rPr>
        <w:t>社会相适应，在政治上自觉认同、在文化上自</w:t>
      </w:r>
      <w:r>
        <w:rPr>
          <w:spacing w:val="7"/>
        </w:rPr>
        <w:t>觉融合、在社会上自觉适应。支持宗教深入挖</w:t>
      </w:r>
      <w:r>
        <w:rPr>
          <w:spacing w:val="7"/>
        </w:rPr>
        <w:t>掘教义教规中有利于社会和谐、时代进步、健</w:t>
      </w:r>
      <w:r>
        <w:rPr>
          <w:spacing w:val="7"/>
        </w:rPr>
        <w:t>康文明的内容，对教规教义做出符合当代中国</w:t>
      </w:r>
      <w:r>
        <w:rPr>
          <w:spacing w:val="18"/>
        </w:rPr>
        <w:t>发展进步要求、符合中国优秀传统文化的阐</w:t>
      </w:r>
      <w:r>
        <w:rPr>
          <w:spacing w:val="7"/>
        </w:rPr>
        <w:t>释，主动适应社会制度、适应社会道德、适应</w:t>
      </w:r>
      <w:r>
        <w:rPr>
          <w:spacing w:val="6"/>
        </w:rPr>
        <w:t>社会文化。</w:t>
      </w:r>
    </w:p>
    <w:p>
      <w:pPr>
        <w:pStyle w:val="BodyText"/>
        <w:ind w:left="448"/>
        <w:spacing w:before="10" w:line="222" w:lineRule="auto"/>
        <w:rPr/>
      </w:pPr>
      <w:r>
        <w:rPr>
          <w:spacing w:val="1"/>
        </w:rPr>
        <w:t>完善宗教依法治理体系。健全完善市、县、</w:t>
      </w:r>
    </w:p>
    <w:p>
      <w:pPr>
        <w:pStyle w:val="BodyText"/>
        <w:ind w:left="36"/>
        <w:spacing w:before="150" w:line="222" w:lineRule="auto"/>
        <w:outlineLvl w:val="0"/>
        <w:rPr/>
      </w:pPr>
      <w:r>
        <w:rPr>
          <w:spacing w:val="1"/>
        </w:rPr>
        <w:t>乡、村四级宗教工作网络，落实宗教工作责任，</w:t>
      </w:r>
    </w:p>
    <w:p>
      <w:pPr>
        <w:pStyle w:val="BodyText"/>
        <w:ind w:left="27" w:right="328"/>
        <w:spacing w:before="150" w:line="360" w:lineRule="auto"/>
        <w:jc w:val="both"/>
        <w:rPr/>
      </w:pPr>
      <w:r>
        <w:rPr>
          <w:spacing w:val="7"/>
        </w:rPr>
        <w:t>坚决抵制、制止利用宗教插手干预社会公共事</w:t>
      </w:r>
      <w:r>
        <w:rPr>
          <w:spacing w:val="7"/>
        </w:rPr>
        <w:t>务，巩固宗教领域突出问题整治成果，严密防</w:t>
      </w:r>
      <w:r>
        <w:rPr>
          <w:spacing w:val="7"/>
        </w:rPr>
        <w:t>范境外宗教渗透活动，依法防范、处置利用宗</w:t>
      </w:r>
      <w:r>
        <w:rPr>
          <w:spacing w:val="8"/>
        </w:rPr>
        <w:t>教从事的违法犯罪活动。</w:t>
      </w:r>
    </w:p>
    <w:p>
      <w:pPr>
        <w:pStyle w:val="BodyText"/>
        <w:ind w:left="448"/>
        <w:spacing w:line="220" w:lineRule="auto"/>
        <w:rPr/>
      </w:pPr>
      <w:r>
        <w:rPr>
          <w:spacing w:val="6"/>
        </w:rPr>
        <w:t>加强宗教事务依法管理。把维护宗教领域</w:t>
      </w:r>
    </w:p>
    <w:p>
      <w:pPr>
        <w:pStyle w:val="BodyText"/>
        <w:ind w:left="35"/>
        <w:spacing w:before="151" w:line="223" w:lineRule="auto"/>
        <w:outlineLvl w:val="0"/>
        <w:rPr/>
      </w:pPr>
      <w:r>
        <w:rPr>
          <w:spacing w:val="6"/>
        </w:rPr>
        <w:t>和谐稳定作为政治安全的重点来抓，严格依法</w:t>
      </w:r>
    </w:p>
    <w:p>
      <w:pPr>
        <w:pStyle w:val="BodyText"/>
        <w:ind w:left="27" w:right="328" w:firstLine="3"/>
        <w:spacing w:before="150" w:line="331" w:lineRule="auto"/>
        <w:jc w:val="both"/>
        <w:rPr/>
      </w:pPr>
      <w:r>
        <w:rPr>
          <w:spacing w:val="15"/>
        </w:rPr>
        <w:t>管理宗教事务</w:t>
      </w:r>
      <w:r>
        <w:rPr>
          <w:spacing w:val="-43"/>
        </w:rPr>
        <w:t xml:space="preserve"> </w:t>
      </w:r>
      <w:r>
        <w:rPr>
          <w:spacing w:val="15"/>
        </w:rPr>
        <w:t>，切实提高宗教工作法治化水</w:t>
      </w:r>
      <w:r>
        <w:rPr>
          <w:spacing w:val="7"/>
        </w:rPr>
        <w:t>平，依法加强宗教场所规范化建设、宗教活动</w:t>
      </w:r>
      <w:r>
        <w:rPr>
          <w:spacing w:val="7"/>
        </w:rPr>
        <w:t>规范化开展、教职人员规范化选聘，依法加强</w:t>
      </w:r>
      <w:r>
        <w:rPr>
          <w:spacing w:val="7"/>
        </w:rPr>
        <w:t>管理网络，防范和抵御宗教极端思想渗透，依</w:t>
      </w:r>
      <w:r>
        <w:rPr>
          <w:spacing w:val="18"/>
        </w:rPr>
        <w:t>法依规保障宗教信仰自由。打牢共同思想基</w:t>
      </w:r>
      <w:r>
        <w:rPr>
          <w:spacing w:val="9"/>
        </w:rPr>
        <w:t>础，发挥宗教积极作用，确保宗教和顺。</w:t>
      </w:r>
    </w:p>
    <w:p>
      <w:pPr>
        <w:spacing w:line="14" w:lineRule="auto"/>
        <w:rPr>
          <w:rFonts w:ascii="Arial"/>
          <w:sz w:val="2"/>
        </w:rPr>
      </w:pPr>
      <w:r>
        <w:rPr>
          <w:rFonts w:ascii="Arial" w:hAnsi="Arial" w:eastAsia="Arial" w:cs="Arial"/>
          <w:sz w:val="2"/>
          <w:szCs w:val="2"/>
        </w:rPr>
        <w:br w:type="column"/>
      </w:r>
    </w:p>
    <w:p>
      <w:pPr>
        <w:pStyle w:val="BodyText"/>
        <w:ind w:left="816"/>
        <w:spacing w:before="39" w:line="222" w:lineRule="auto"/>
        <w:outlineLvl w:val="0"/>
        <w:rPr/>
      </w:pPr>
      <w:r>
        <w:rPr>
          <w:b/>
          <w:bCs/>
          <w:spacing w:val="7"/>
        </w:rPr>
        <w:t>第三节</w:t>
      </w:r>
      <w:r>
        <w:rPr>
          <w:spacing w:val="7"/>
        </w:rPr>
        <w:t xml:space="preserve">  </w:t>
      </w:r>
      <w:r>
        <w:rPr>
          <w:b/>
          <w:bCs/>
          <w:spacing w:val="7"/>
        </w:rPr>
        <w:t>保障地方经济安全</w:t>
      </w:r>
    </w:p>
    <w:p>
      <w:pPr>
        <w:spacing w:line="375" w:lineRule="auto"/>
        <w:rPr>
          <w:rFonts w:ascii="Arial"/>
          <w:sz w:val="21"/>
        </w:rPr>
      </w:pPr>
      <w:r/>
    </w:p>
    <w:p>
      <w:pPr>
        <w:pStyle w:val="BodyText"/>
        <w:ind w:left="423"/>
        <w:spacing w:before="65" w:line="220" w:lineRule="auto"/>
        <w:rPr/>
      </w:pPr>
      <w:r>
        <w:rPr>
          <w:spacing w:val="6"/>
        </w:rPr>
        <w:t>加强经济安全风险预警、防控机制和能力</w:t>
      </w:r>
    </w:p>
    <w:p>
      <w:pPr>
        <w:pStyle w:val="BodyText"/>
        <w:ind w:left="2"/>
        <w:spacing w:before="139" w:line="223" w:lineRule="auto"/>
        <w:outlineLvl w:val="0"/>
        <w:rPr/>
      </w:pPr>
      <w:r>
        <w:rPr>
          <w:spacing w:val="2"/>
        </w:rPr>
        <w:t>建设，强化政府债务管控，提高信息安全保障，</w:t>
      </w:r>
    </w:p>
    <w:p>
      <w:pPr>
        <w:pStyle w:val="BodyText"/>
        <w:ind w:left="3"/>
        <w:spacing w:before="138" w:line="222" w:lineRule="auto"/>
        <w:rPr/>
      </w:pPr>
      <w:r>
        <w:rPr>
          <w:spacing w:val="8"/>
        </w:rPr>
        <w:t>确保地方经济安全。</w:t>
      </w:r>
    </w:p>
    <w:p>
      <w:pPr>
        <w:pStyle w:val="BodyText"/>
        <w:ind w:right="101" w:firstLine="423"/>
        <w:spacing w:before="141" w:line="286" w:lineRule="auto"/>
        <w:outlineLvl w:val="0"/>
        <w:rPr/>
      </w:pPr>
      <w:r>
        <w:rPr>
          <w:spacing w:val="6"/>
        </w:rPr>
        <w:t>夯实经济安全基础。统筹推进市域经济社</w:t>
      </w:r>
      <w:r>
        <w:rPr>
          <w:spacing w:val="7"/>
        </w:rPr>
        <w:t>会发展，积极做好企业生产经营工作，推动区</w:t>
      </w:r>
    </w:p>
    <w:p>
      <w:pPr>
        <w:pStyle w:val="BodyText"/>
        <w:ind w:left="1" w:right="20" w:firstLine="1"/>
        <w:spacing w:before="134" w:line="351" w:lineRule="auto"/>
        <w:jc w:val="both"/>
        <w:rPr/>
      </w:pPr>
      <w:r>
        <w:rPr>
          <w:spacing w:val="7"/>
        </w:rPr>
        <w:t>域生态保护、高质量发展和高水平经济安全良</w:t>
      </w:r>
      <w:r>
        <w:rPr>
          <w:spacing w:val="7"/>
        </w:rPr>
        <w:t>性互动。稳妥做好僵尸企业处理，扎实做好下</w:t>
      </w:r>
      <w:r>
        <w:rPr>
          <w:spacing w:val="7"/>
        </w:rPr>
        <w:t>岗失业人员、高校毕业生、农民工、退役军人</w:t>
      </w:r>
      <w:r>
        <w:rPr>
          <w:spacing w:val="15"/>
        </w:rPr>
        <w:t>等重点群体就业工作</w:t>
      </w:r>
      <w:r>
        <w:rPr>
          <w:spacing w:val="-40"/>
        </w:rPr>
        <w:t xml:space="preserve"> </w:t>
      </w:r>
      <w:r>
        <w:rPr>
          <w:spacing w:val="15"/>
        </w:rPr>
        <w:t>，加强经济安全风险预</w:t>
      </w:r>
      <w:r>
        <w:rPr>
          <w:spacing w:val="1"/>
        </w:rPr>
        <w:t>警、防控机制和能力建设，严厉打击非法集资、</w:t>
      </w:r>
      <w:r>
        <w:rPr>
          <w:spacing w:val="7"/>
        </w:rPr>
        <w:t>非法放贷、暴力催收等经济领域犯罪行为，推</w:t>
      </w:r>
      <w:r>
        <w:rPr>
          <w:spacing w:val="18"/>
        </w:rPr>
        <w:t>动解决涉众型经济犯罪受损群众合法合理诉</w:t>
      </w:r>
      <w:r>
        <w:rPr>
          <w:spacing w:val="7"/>
        </w:rPr>
        <w:t>求。持续维护电力、油气、煤炭、水、暖、通</w:t>
      </w:r>
      <w:r>
        <w:rPr>
          <w:spacing w:val="9"/>
        </w:rPr>
        <w:t>信及交通等重大民生和重要基础设施安全。</w:t>
      </w:r>
    </w:p>
    <w:p>
      <w:pPr>
        <w:pStyle w:val="BodyText"/>
        <w:ind w:left="7" w:right="101" w:firstLine="429"/>
        <w:spacing w:before="2" w:line="287" w:lineRule="auto"/>
        <w:outlineLvl w:val="0"/>
        <w:rPr/>
      </w:pPr>
      <w:r>
        <w:rPr>
          <w:spacing w:val="6"/>
        </w:rPr>
        <w:t>防范化解重大风险。建立健全经济社会重</w:t>
      </w:r>
      <w:r>
        <w:rPr>
          <w:spacing w:val="7"/>
        </w:rPr>
        <w:t>大风险研判、防控协同、防范化解机制，加强</w:t>
      </w:r>
    </w:p>
    <w:p>
      <w:pPr>
        <w:pStyle w:val="BodyText"/>
        <w:ind w:left="1" w:right="101" w:firstLine="2"/>
        <w:spacing w:before="135" w:line="351" w:lineRule="auto"/>
        <w:jc w:val="both"/>
        <w:rPr/>
      </w:pPr>
      <w:r>
        <w:rPr>
          <w:spacing w:val="7"/>
        </w:rPr>
        <w:t>重点领域安全风险排查、管控，全面提升防范</w:t>
      </w:r>
      <w:r>
        <w:rPr>
          <w:spacing w:val="7"/>
        </w:rPr>
        <w:t>化解安全风险能力。严格落实上级金融主管及</w:t>
      </w:r>
      <w:r>
        <w:rPr>
          <w:spacing w:val="7"/>
        </w:rPr>
        <w:t>监管部门防范化解金融风险政策措施，规范金</w:t>
      </w:r>
      <w:r>
        <w:rPr>
          <w:spacing w:val="7"/>
        </w:rPr>
        <w:t>融机构经营，建立健全区域金融风险预警监管</w:t>
      </w:r>
      <w:r>
        <w:rPr>
          <w:spacing w:val="15"/>
        </w:rPr>
        <w:t>机制</w:t>
      </w:r>
      <w:r>
        <w:rPr>
          <w:spacing w:val="-40"/>
        </w:rPr>
        <w:t xml:space="preserve"> </w:t>
      </w:r>
      <w:r>
        <w:rPr>
          <w:spacing w:val="15"/>
        </w:rPr>
        <w:t>，完善金融资产风险分类评价与管理制</w:t>
      </w:r>
      <w:r>
        <w:rPr>
          <w:spacing w:val="7"/>
        </w:rPr>
        <w:t>度，严厉打击各类金融违法犯罪行为和逃避银</w:t>
      </w:r>
      <w:r>
        <w:rPr>
          <w:spacing w:val="7"/>
        </w:rPr>
        <w:t>行债务行为，推进重点企业债务风险处置，规</w:t>
      </w:r>
      <w:r>
        <w:rPr>
          <w:spacing w:val="7"/>
        </w:rPr>
        <w:t>范金融市场经营，坚决守住不发生区域性系统</w:t>
      </w:r>
      <w:r>
        <w:rPr>
          <w:spacing w:val="7"/>
        </w:rPr>
        <w:t>性金融风险的底线。严格落实地方政府债务限</w:t>
      </w:r>
      <w:r>
        <w:rPr>
          <w:spacing w:val="7"/>
        </w:rPr>
        <w:t>额管理，坚决遏制隐形债务增量，严禁违法违</w:t>
      </w:r>
      <w:r>
        <w:rPr>
          <w:spacing w:val="7"/>
        </w:rPr>
        <w:t>规融资担保行为和变相举债，稳妥化解债务存</w:t>
      </w:r>
      <w:r>
        <w:rPr>
          <w:spacing w:val="7"/>
        </w:rPr>
        <w:t>量，依法完善政府举债融资机制，严格建设项</w:t>
      </w:r>
      <w:r>
        <w:rPr>
          <w:spacing w:val="7"/>
        </w:rPr>
        <w:t>目资金管理，清理规范融资平台，切实加强债</w:t>
      </w:r>
      <w:r>
        <w:rPr>
          <w:spacing w:val="9"/>
        </w:rPr>
        <w:t>务管控，坚决防范化解政府债务风险。</w:t>
      </w:r>
    </w:p>
    <w:p>
      <w:pPr>
        <w:pStyle w:val="BodyText"/>
        <w:ind w:left="3" w:right="101" w:firstLine="420"/>
        <w:spacing w:line="286" w:lineRule="auto"/>
        <w:outlineLvl w:val="0"/>
        <w:rPr/>
      </w:pPr>
      <w:r>
        <w:rPr>
          <w:spacing w:val="6"/>
        </w:rPr>
        <w:t>完善信息安全保障体系。开展关键行业和</w:t>
      </w:r>
      <w:r>
        <w:rPr>
          <w:spacing w:val="7"/>
        </w:rPr>
        <w:t>领域信息安全测试与评估，加强关键信息设施</w:t>
      </w:r>
    </w:p>
    <w:p>
      <w:pPr>
        <w:spacing w:line="286" w:lineRule="auto"/>
        <w:sectPr>
          <w:type w:val="continuous"/>
          <w:pgSz w:w="11906" w:h="16839"/>
          <w:pgMar w:top="1793" w:right="1489" w:bottom="1673" w:left="1565" w:header="1428" w:footer="1277" w:gutter="0"/>
          <w:cols w:equalWidth="0" w:num="2">
            <w:col w:w="4503" w:space="100"/>
            <w:col w:w="4250" w:space="0"/>
          </w:cols>
        </w:sectPr>
        <w:rPr/>
      </w:pPr>
    </w:p>
    <w:p>
      <w:pPr>
        <w:spacing w:before="35"/>
        <w:rPr/>
      </w:pPr>
      <w:r>
        <w:drawing>
          <wp:anchor distT="0" distB="0" distL="0" distR="0" simplePos="0" relativeHeight="251863040"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580" name="IM 580"/>
            <wp:cNvGraphicFramePr/>
            <a:graphic>
              <a:graphicData uri="http://schemas.openxmlformats.org/drawingml/2006/picture">
                <pic:pic>
                  <pic:nvPicPr>
                    <pic:cNvPr id="580" name="IM 580"/>
                    <pic:cNvPicPr/>
                  </pic:nvPicPr>
                  <pic:blipFill>
                    <a:blip r:embed="rId292"/>
                    <a:stretch>
                      <a:fillRect/>
                    </a:stretch>
                  </pic:blipFill>
                  <pic:spPr>
                    <a:xfrm rot="0">
                      <a:off x="0" y="0"/>
                      <a:ext cx="5579745" cy="7619"/>
                    </a:xfrm>
                    <a:prstGeom prst="rect">
                      <a:avLst/>
                    </a:prstGeom>
                  </pic:spPr>
                </pic:pic>
              </a:graphicData>
            </a:graphic>
          </wp:anchor>
        </w:drawing>
      </w:r>
      <w:r/>
    </w:p>
    <w:p>
      <w:pPr>
        <w:sectPr>
          <w:headerReference w:type="default" r:id="rId290"/>
          <w:footerReference w:type="default" r:id="rId291"/>
          <w:pgSz w:w="11906" w:h="16839"/>
          <w:pgMar w:top="1793" w:right="1478" w:bottom="1570" w:left="1579" w:header="1428" w:footer="1172" w:gutter="0"/>
          <w:cols w:equalWidth="0" w:num="1">
            <w:col w:w="8849" w:space="0"/>
          </w:cols>
        </w:sectPr>
        <w:rPr/>
      </w:pPr>
    </w:p>
    <w:p>
      <w:pPr>
        <w:pStyle w:val="BodyText"/>
        <w:ind w:left="12" w:right="248" w:firstLine="1"/>
        <w:spacing w:before="38" w:line="351" w:lineRule="auto"/>
        <w:jc w:val="both"/>
        <w:rPr/>
      </w:pPr>
      <w:r>
        <w:rPr>
          <w:spacing w:val="7"/>
        </w:rPr>
        <w:t>安全保护，加强政务、商业、个人信息保护和</w:t>
      </w:r>
      <w:r>
        <w:rPr>
          <w:spacing w:val="7"/>
        </w:rPr>
        <w:t>数据安全管理，建设面向政府、企业、个人的</w:t>
      </w:r>
      <w:r>
        <w:rPr>
          <w:spacing w:val="7"/>
        </w:rPr>
        <w:t>信息安全专业服务平台，推进信息安全资源共</w:t>
      </w:r>
      <w:r>
        <w:rPr>
          <w:spacing w:val="7"/>
        </w:rPr>
        <w:t>享，提高信息安全保障能力。加强重要敏感时</w:t>
      </w:r>
      <w:r>
        <w:rPr>
          <w:spacing w:val="7"/>
        </w:rPr>
        <w:t>间节点和重大活动期间网络安全保障工作，进</w:t>
      </w:r>
      <w:r>
        <w:rPr>
          <w:spacing w:val="7"/>
        </w:rPr>
        <w:t>一步完善网络安全联动和应急机制，提高事件</w:t>
      </w:r>
      <w:r>
        <w:rPr>
          <w:spacing w:val="7"/>
        </w:rPr>
        <w:t>分析和处置能力。落实“谁执法谁普法”普法</w:t>
      </w:r>
      <w:r>
        <w:rPr>
          <w:spacing w:val="7"/>
        </w:rPr>
        <w:t>责任制，加大网络安全和网络法律法规宣传教</w:t>
      </w:r>
      <w:r>
        <w:rPr>
          <w:spacing w:val="7"/>
        </w:rPr>
        <w:t>育力度，普及网络安全知识，提升全民守法用</w:t>
      </w:r>
      <w:r>
        <w:rPr>
          <w:spacing w:val="18"/>
        </w:rPr>
        <w:t>网意识和网络安全意识。加强互联网内容监</w:t>
      </w:r>
      <w:r>
        <w:rPr>
          <w:spacing w:val="7"/>
        </w:rPr>
        <w:t>管，常态化开展“清朗、净网”专项行动，营</w:t>
      </w:r>
      <w:r>
        <w:rPr>
          <w:spacing w:val="7"/>
        </w:rPr>
        <w:t>造清朗网络空间。加快信息技术产品安全可靠</w:t>
      </w:r>
      <w:r>
        <w:rPr>
          <w:spacing w:val="7"/>
        </w:rPr>
        <w:t>替代，进一步推进需替代系统的适配改造，落</w:t>
      </w:r>
      <w:r>
        <w:rPr>
          <w:spacing w:val="-8"/>
        </w:rPr>
        <w:t>实好“四个一批”措施，增强网络安全防范能力。</w:t>
      </w:r>
    </w:p>
    <w:p>
      <w:pPr>
        <w:pStyle w:val="BodyText"/>
        <w:ind w:left="827"/>
        <w:spacing w:before="298" w:line="223" w:lineRule="auto"/>
        <w:outlineLvl w:val="0"/>
        <w:rPr/>
      </w:pPr>
      <w:r>
        <w:rPr>
          <w:b/>
          <w:bCs/>
          <w:spacing w:val="7"/>
        </w:rPr>
        <w:t>第四节</w:t>
      </w:r>
      <w:r>
        <w:rPr>
          <w:spacing w:val="7"/>
        </w:rPr>
        <w:t xml:space="preserve">  </w:t>
      </w:r>
      <w:r>
        <w:rPr>
          <w:b/>
          <w:bCs/>
          <w:spacing w:val="7"/>
        </w:rPr>
        <w:t>筑牢公共安全体系</w:t>
      </w:r>
    </w:p>
    <w:p>
      <w:pPr>
        <w:spacing w:line="373" w:lineRule="auto"/>
        <w:rPr>
          <w:rFonts w:ascii="Arial"/>
          <w:sz w:val="21"/>
        </w:rPr>
      </w:pPr>
      <w:r/>
    </w:p>
    <w:p>
      <w:pPr>
        <w:pStyle w:val="BodyText"/>
        <w:ind w:left="13" w:right="328" w:firstLine="418"/>
        <w:spacing w:before="65" w:line="287" w:lineRule="auto"/>
        <w:outlineLvl w:val="0"/>
        <w:rPr/>
      </w:pPr>
      <w:r>
        <w:rPr>
          <w:spacing w:val="7"/>
        </w:rPr>
        <w:t>严格落实安全生产责任制，健全完善防灾</w:t>
      </w:r>
      <w:r>
        <w:rPr>
          <w:spacing w:val="7"/>
        </w:rPr>
        <w:t>减灾救灾体系，加快建设标准化应急场所，建</w:t>
      </w:r>
    </w:p>
    <w:p>
      <w:pPr>
        <w:pStyle w:val="BodyText"/>
        <w:ind w:left="11" w:right="328" w:firstLine="1"/>
        <w:spacing w:before="135" w:line="332" w:lineRule="auto"/>
        <w:rPr/>
      </w:pPr>
      <w:r>
        <w:rPr>
          <w:spacing w:val="7"/>
        </w:rPr>
        <w:t>立食品原产地可溯制度和质量标识制度，提升</w:t>
      </w:r>
      <w:r>
        <w:rPr>
          <w:spacing w:val="8"/>
        </w:rPr>
        <w:t>公共安全保障能力。</w:t>
      </w:r>
    </w:p>
    <w:p>
      <w:pPr>
        <w:pStyle w:val="BodyText"/>
        <w:ind w:left="436"/>
        <w:spacing w:before="43" w:line="223" w:lineRule="auto"/>
        <w:rPr/>
      </w:pPr>
      <w:r>
        <w:rPr>
          <w:spacing w:val="6"/>
        </w:rPr>
        <w:t>提高安全生产监管水平。严格落实安全生</w:t>
      </w:r>
    </w:p>
    <w:p>
      <w:pPr>
        <w:pStyle w:val="BodyText"/>
        <w:ind w:left="14"/>
        <w:spacing w:before="138" w:line="223" w:lineRule="auto"/>
        <w:outlineLvl w:val="0"/>
        <w:rPr/>
      </w:pPr>
      <w:r>
        <w:rPr>
          <w:spacing w:val="2"/>
        </w:rPr>
        <w:t>产责任制，牢固树立红线意识，坚持问题导</w:t>
      </w:r>
      <w:r>
        <w:rPr>
          <w:spacing w:val="1"/>
        </w:rPr>
        <w:t>向、</w:t>
      </w:r>
    </w:p>
    <w:p>
      <w:pPr>
        <w:pStyle w:val="BodyText"/>
        <w:ind w:left="14" w:right="326" w:firstLine="39"/>
        <w:spacing w:before="135" w:line="340" w:lineRule="auto"/>
        <w:jc w:val="both"/>
        <w:rPr/>
      </w:pPr>
      <w:r>
        <w:rPr>
          <w:spacing w:val="5"/>
        </w:rPr>
        <w:t>目标导向和结果导向，纵深推进安全生产专项</w:t>
      </w:r>
      <w:r>
        <w:rPr>
          <w:spacing w:val="7"/>
        </w:rPr>
        <w:t>整治三年行动，深化安全生产管理创新，遏制</w:t>
      </w:r>
      <w:r>
        <w:rPr>
          <w:spacing w:val="18"/>
        </w:rPr>
        <w:t>重特大安全事故发生。健全安全生产责任体</w:t>
      </w:r>
      <w:r>
        <w:rPr>
          <w:spacing w:val="7"/>
        </w:rPr>
        <w:t>系，强化各级党委、政府责任，全面落实企业</w:t>
      </w:r>
      <w:r>
        <w:rPr>
          <w:spacing w:val="2"/>
        </w:rPr>
        <w:t>主体、部门监管和属地管理责任,完善监管工作</w:t>
      </w:r>
      <w:r>
        <w:rPr>
          <w:spacing w:val="7"/>
        </w:rPr>
        <w:t>机制，建立企业安全生产诚信承诺制度、安全</w:t>
      </w:r>
      <w:r>
        <w:rPr>
          <w:spacing w:val="7"/>
        </w:rPr>
        <w:t>生产不良信用记录和“黑名单”制度。加强安</w:t>
      </w:r>
      <w:r>
        <w:rPr>
          <w:spacing w:val="7"/>
        </w:rPr>
        <w:t>全生产源头管控，持续开展隐患排查和彻底整</w:t>
      </w:r>
      <w:r>
        <w:rPr>
          <w:spacing w:val="7"/>
        </w:rPr>
        <w:t>治，不断推进安全生产标准化建设。强化安全</w:t>
      </w:r>
      <w:r>
        <w:rPr>
          <w:spacing w:val="7"/>
        </w:rPr>
        <w:t>生产监管执法，尤其要强化对危险化学品、煤</w:t>
      </w:r>
      <w:r>
        <w:rPr>
          <w:spacing w:val="7"/>
        </w:rPr>
        <w:t>矿、非煤矿山、消防、道路运输、油气长输管</w:t>
      </w:r>
      <w:r>
        <w:rPr>
          <w:spacing w:val="8"/>
        </w:rPr>
        <w:t>道、气瓶安全等</w:t>
      </w:r>
      <w:r>
        <w:rPr>
          <w:spacing w:val="-26"/>
        </w:rPr>
        <w:t xml:space="preserve"> </w:t>
      </w:r>
      <w:r>
        <w:rPr>
          <w:spacing w:val="8"/>
        </w:rPr>
        <w:t>9</w:t>
      </w:r>
      <w:r>
        <w:rPr>
          <w:spacing w:val="-45"/>
        </w:rPr>
        <w:t xml:space="preserve"> </w:t>
      </w:r>
      <w:r>
        <w:rPr>
          <w:spacing w:val="8"/>
        </w:rPr>
        <w:t>个国家规定专项、8</w:t>
      </w:r>
      <w:r>
        <w:rPr>
          <w:spacing w:val="-43"/>
        </w:rPr>
        <w:t xml:space="preserve"> </w:t>
      </w:r>
      <w:r>
        <w:rPr>
          <w:spacing w:val="8"/>
        </w:rPr>
        <w:t>个区市</w:t>
      </w:r>
    </w:p>
    <w:p>
      <w:pPr>
        <w:spacing w:line="14" w:lineRule="auto"/>
        <w:rPr>
          <w:rFonts w:ascii="Arial"/>
          <w:sz w:val="2"/>
        </w:rPr>
      </w:pPr>
      <w:r>
        <w:rPr>
          <w:rFonts w:ascii="Arial" w:hAnsi="Arial" w:eastAsia="Arial" w:cs="Arial"/>
          <w:sz w:val="2"/>
          <w:szCs w:val="2"/>
        </w:rPr>
        <w:br w:type="column"/>
      </w:r>
    </w:p>
    <w:p>
      <w:pPr>
        <w:pStyle w:val="BodyText"/>
        <w:ind w:right="31"/>
        <w:spacing w:before="38" w:line="351" w:lineRule="auto"/>
        <w:jc w:val="both"/>
        <w:rPr/>
      </w:pPr>
      <w:r>
        <w:rPr>
          <w:spacing w:val="7"/>
        </w:rPr>
        <w:t>增加专项的监管执法，确保有关要求部署和各</w:t>
      </w:r>
      <w:r>
        <w:rPr>
          <w:spacing w:val="1"/>
        </w:rPr>
        <w:t>项措施落到实处。以安全生产大体检、大执法、</w:t>
      </w:r>
      <w:r>
        <w:rPr>
          <w:spacing w:val="7"/>
        </w:rPr>
        <w:t>大宣传等活动为载体，推动各类生产经营单位</w:t>
      </w:r>
      <w:r>
        <w:rPr>
          <w:spacing w:val="7"/>
        </w:rPr>
        <w:t>严格落实安全生产主体责任，严防各类安全生</w:t>
      </w:r>
      <w:r>
        <w:rPr>
          <w:spacing w:val="7"/>
        </w:rPr>
        <w:t>产事故发生。</w:t>
      </w:r>
    </w:p>
    <w:p>
      <w:pPr>
        <w:pStyle w:val="BodyText"/>
        <w:ind w:left="3" w:right="112" w:firstLine="420"/>
        <w:spacing w:before="1" w:line="286" w:lineRule="auto"/>
        <w:outlineLvl w:val="0"/>
        <w:rPr/>
      </w:pPr>
      <w:r>
        <w:rPr>
          <w:spacing w:val="6"/>
        </w:rPr>
        <w:t>加强社会治安防控体系建设。深化技防监</w:t>
      </w:r>
      <w:r>
        <w:rPr>
          <w:spacing w:val="7"/>
        </w:rPr>
        <w:t>控设施建设，加强老旧小区技防改造和村级技</w:t>
      </w:r>
    </w:p>
    <w:p>
      <w:pPr>
        <w:pStyle w:val="BodyText"/>
        <w:ind w:left="1" w:right="31" w:firstLine="15"/>
        <w:spacing w:before="138" w:line="351" w:lineRule="auto"/>
        <w:jc w:val="both"/>
        <w:rPr/>
      </w:pPr>
      <w:r>
        <w:rPr>
          <w:spacing w:val="6"/>
        </w:rPr>
        <w:t>防设施建设，整合社会视频监控资源，构建城</w:t>
      </w:r>
      <w:r>
        <w:rPr>
          <w:spacing w:val="7"/>
        </w:rPr>
        <w:t>乡一体化监控网络，打造立体化、智能化社会</w:t>
      </w:r>
      <w:r>
        <w:rPr>
          <w:spacing w:val="7"/>
        </w:rPr>
        <w:t>治安防控体系。建立健全常态化、动态化巡逻</w:t>
      </w:r>
      <w:r>
        <w:rPr>
          <w:spacing w:val="7"/>
        </w:rPr>
        <w:t>防控机制，加强专兼职群防群治队伍建设，最</w:t>
      </w:r>
      <w:r>
        <w:rPr>
          <w:spacing w:val="10"/>
        </w:rPr>
        <w:t>大限度防范、震慑、打击各类违法犯罪活动。</w:t>
      </w:r>
      <w:r>
        <w:rPr>
          <w:spacing w:val="7"/>
        </w:rPr>
        <w:t>建立制度化、常规化的涉枪涉爆违法犯罪打击</w:t>
      </w:r>
      <w:r>
        <w:rPr>
          <w:spacing w:val="7"/>
        </w:rPr>
        <w:t>整治机制。严格依法开展网络社会安全管理工</w:t>
      </w:r>
      <w:r>
        <w:rPr>
          <w:spacing w:val="7"/>
        </w:rPr>
        <w:t>作，实行网络身份管理制度，推行互联网属地</w:t>
      </w:r>
      <w:r>
        <w:rPr>
          <w:spacing w:val="7"/>
        </w:rPr>
        <w:t>化管理，构建安全、文明、健康的网络社会秩</w:t>
      </w:r>
      <w:r>
        <w:rPr>
          <w:spacing w:val="-8"/>
        </w:rPr>
        <w:t>序。强化居民治安防范教育，加强反暴反恐工作。</w:t>
      </w:r>
    </w:p>
    <w:p>
      <w:pPr>
        <w:pStyle w:val="BodyText"/>
        <w:ind w:right="112" w:firstLine="422"/>
        <w:spacing w:line="289" w:lineRule="auto"/>
        <w:outlineLvl w:val="0"/>
        <w:rPr/>
      </w:pPr>
      <w:r>
        <w:rPr>
          <w:spacing w:val="6"/>
        </w:rPr>
        <w:t>全面提升应急保障能力。加快建立健全统</w:t>
      </w:r>
      <w:r>
        <w:rPr>
          <w:spacing w:val="7"/>
        </w:rPr>
        <w:t>筹协调、资源共享，关口前移、反应灵敏，社</w:t>
      </w:r>
    </w:p>
    <w:p>
      <w:pPr>
        <w:pStyle w:val="BodyText"/>
        <w:ind w:left="1" w:hanging="1"/>
        <w:spacing w:before="143" w:line="354" w:lineRule="auto"/>
        <w:jc w:val="both"/>
        <w:rPr/>
      </w:pPr>
      <w:r>
        <w:rPr>
          <w:spacing w:val="2"/>
        </w:rPr>
        <w:t>会协同、保障有力的防灾应急体系。加强气象、</w:t>
      </w:r>
      <w:r>
        <w:rPr>
          <w:spacing w:val="7"/>
        </w:rPr>
        <w:t>防洪、防涝及抗震防灾减灾等设施建设。合理</w:t>
      </w:r>
      <w:r>
        <w:rPr>
          <w:spacing w:val="7"/>
        </w:rPr>
        <w:t>规划布局和建设应急水源、应急避难场所，充</w:t>
      </w:r>
      <w:r>
        <w:rPr>
          <w:spacing w:val="7"/>
        </w:rPr>
        <w:t>分发挥人防指挥、警报、工程、疏散等资源的</w:t>
      </w:r>
      <w:r>
        <w:rPr>
          <w:spacing w:val="7"/>
        </w:rPr>
        <w:t>应急避难作用。完善监测预警网络，建立风险</w:t>
      </w:r>
      <w:r>
        <w:rPr>
          <w:spacing w:val="7"/>
        </w:rPr>
        <w:t>数据库，构建突发事件综合预防系统。加快应</w:t>
      </w:r>
      <w:r>
        <w:rPr>
          <w:spacing w:val="7"/>
        </w:rPr>
        <w:t>急指挥系统建设，实现全市“应急管理指挥一</w:t>
      </w:r>
      <w:r>
        <w:rPr>
          <w:spacing w:val="7"/>
        </w:rPr>
        <w:t>张图”，统一调度监测预警、信息沟通、技术</w:t>
      </w:r>
      <w:r>
        <w:rPr>
          <w:spacing w:val="-9"/>
        </w:rPr>
        <w:t>支持、应急物资和队伍等资源，推进市、县（</w:t>
      </w:r>
      <w:r>
        <w:rPr>
          <w:spacing w:val="-45"/>
        </w:rPr>
        <w:t xml:space="preserve"> </w:t>
      </w:r>
      <w:r>
        <w:rPr>
          <w:spacing w:val="-9"/>
        </w:rPr>
        <w:t>区）</w:t>
      </w:r>
      <w:r>
        <w:rPr>
          <w:spacing w:val="7"/>
        </w:rPr>
        <w:t>应急指挥平台互联互通，深入开展应急教育宣</w:t>
      </w:r>
      <w:r>
        <w:rPr>
          <w:spacing w:val="7"/>
        </w:rPr>
        <w:t>传。充分发挥社会力量和市场化手段作用，加</w:t>
      </w:r>
      <w:r>
        <w:rPr>
          <w:spacing w:val="7"/>
        </w:rPr>
        <w:t>强受灾群众救助安置和现场恢复能力建设，提</w:t>
      </w:r>
      <w:r>
        <w:rPr>
          <w:spacing w:val="7"/>
        </w:rPr>
        <w:t>高重大灾害恢复重建工作水平。加强高发、易</w:t>
      </w:r>
      <w:r>
        <w:rPr>
          <w:spacing w:val="7"/>
        </w:rPr>
        <w:t>发突发事件规律性预警监测，为高效处置提供</w:t>
      </w:r>
      <w:r>
        <w:rPr>
          <w:spacing w:val="6"/>
        </w:rPr>
        <w:t>技术支撑。</w:t>
      </w:r>
    </w:p>
    <w:p>
      <w:pPr>
        <w:spacing w:line="354" w:lineRule="auto"/>
        <w:sectPr>
          <w:type w:val="continuous"/>
          <w:pgSz w:w="11906" w:h="16839"/>
          <w:pgMar w:top="1793" w:right="1478" w:bottom="1570" w:left="1579" w:header="1428" w:footer="1172" w:gutter="0"/>
          <w:cols w:equalWidth="0" w:num="2">
            <w:col w:w="4488" w:space="100"/>
            <w:col w:w="4261" w:space="0"/>
          </w:cols>
        </w:sectPr>
        <w:rPr/>
      </w:pPr>
    </w:p>
    <w:p>
      <w:pPr>
        <w:spacing w:before="25"/>
        <w:rPr/>
      </w:pPr>
      <w:r>
        <w:drawing>
          <wp:anchor distT="0" distB="0" distL="0" distR="0" simplePos="0" relativeHeight="251865088"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584" name="IM 584"/>
            <wp:cNvGraphicFramePr/>
            <a:graphic>
              <a:graphicData uri="http://schemas.openxmlformats.org/drawingml/2006/picture">
                <pic:pic>
                  <pic:nvPicPr>
                    <pic:cNvPr id="584" name="IM 584"/>
                    <pic:cNvPicPr/>
                  </pic:nvPicPr>
                  <pic:blipFill>
                    <a:blip r:embed="rId294"/>
                    <a:stretch>
                      <a:fillRect/>
                    </a:stretch>
                  </pic:blipFill>
                  <pic:spPr>
                    <a:xfrm rot="0">
                      <a:off x="0" y="0"/>
                      <a:ext cx="5579745" cy="7619"/>
                    </a:xfrm>
                    <a:prstGeom prst="rect">
                      <a:avLst/>
                    </a:prstGeom>
                  </pic:spPr>
                </pic:pic>
              </a:graphicData>
            </a:graphic>
          </wp:anchor>
        </w:drawing>
      </w:r>
      <w:r/>
    </w:p>
    <w:p>
      <w:pPr>
        <w:sectPr>
          <w:headerReference w:type="default" r:id="rId188"/>
          <w:footerReference w:type="default" r:id="rId293"/>
          <w:pgSz w:w="11906" w:h="16839"/>
          <w:pgMar w:top="1793" w:right="1489" w:bottom="1673" w:left="1565" w:header="1428" w:footer="1277" w:gutter="0"/>
          <w:cols w:equalWidth="0" w:num="1">
            <w:col w:w="8852" w:space="0"/>
          </w:cols>
        </w:sectPr>
        <w:rPr/>
      </w:pPr>
    </w:p>
    <w:p>
      <w:pPr>
        <w:pStyle w:val="BodyText"/>
        <w:ind w:left="449"/>
        <w:spacing w:before="47" w:line="278" w:lineRule="exact"/>
        <w:rPr/>
      </w:pPr>
      <w:r>
        <w:rPr>
          <w:spacing w:val="6"/>
          <w:position w:val="1"/>
        </w:rPr>
        <w:t>持续强化食品药品安全监管。加强食品监</w:t>
      </w:r>
    </w:p>
    <w:p>
      <w:pPr>
        <w:pStyle w:val="BodyText"/>
        <w:ind w:left="30"/>
        <w:spacing w:before="106" w:line="223" w:lineRule="auto"/>
        <w:outlineLvl w:val="0"/>
        <w:rPr/>
      </w:pPr>
      <w:r>
        <w:rPr>
          <w:spacing w:val="7"/>
        </w:rPr>
        <w:t>管机构和执法队伍建设，切实提高业务水平和</w:t>
      </w:r>
    </w:p>
    <w:p>
      <w:pPr>
        <w:pStyle w:val="BodyText"/>
        <w:ind w:left="24" w:right="247" w:firstLine="2"/>
        <w:spacing w:before="133" w:line="352" w:lineRule="auto"/>
        <w:jc w:val="both"/>
        <w:rPr/>
      </w:pPr>
      <w:r>
        <w:rPr>
          <w:spacing w:val="6"/>
        </w:rPr>
        <w:t>监管能力。实施“互联网+监管”信息化建设，</w:t>
      </w:r>
      <w:r>
        <w:rPr>
          <w:spacing w:val="7"/>
        </w:rPr>
        <w:t>建立生产源头、冷链配送和安全追溯体系，积</w:t>
      </w:r>
      <w:r>
        <w:rPr>
          <w:spacing w:val="18"/>
        </w:rPr>
        <w:t>极创建国家食品安全示范城市。强化源头监</w:t>
      </w:r>
      <w:r>
        <w:rPr>
          <w:spacing w:val="10"/>
        </w:rPr>
        <w:t>管、动态监管和风险控制，推进食品全品种、</w:t>
      </w:r>
      <w:r>
        <w:rPr>
          <w:spacing w:val="1"/>
        </w:rPr>
        <w:t>全过程追溯与监管，落实管理规范。加大药品、</w:t>
      </w:r>
      <w:r>
        <w:rPr>
          <w:spacing w:val="7"/>
        </w:rPr>
        <w:t>保健品、化妆品监管力度，强化监督检测，及</w:t>
      </w:r>
      <w:r>
        <w:rPr>
          <w:spacing w:val="3"/>
        </w:rPr>
        <w:t>时消除安全隐患。依托</w:t>
      </w:r>
      <w:r>
        <w:rPr>
          <w:spacing w:val="-41"/>
        </w:rPr>
        <w:t xml:space="preserve"> </w:t>
      </w:r>
      <w:r>
        <w:rPr>
          <w:spacing w:val="3"/>
        </w:rPr>
        <w:t>12345等举报投诉平台，</w:t>
      </w:r>
      <w:r>
        <w:rPr>
          <w:spacing w:val="10"/>
        </w:rPr>
        <w:t>鼓励广大消费者、新闻媒体、社会各界监督、</w:t>
      </w:r>
      <w:r>
        <w:rPr>
          <w:spacing w:val="7"/>
        </w:rPr>
        <w:t>举报投诉食品药品违法违规行为，实现食品药</w:t>
      </w:r>
      <w:r>
        <w:rPr>
          <w:spacing w:val="8"/>
        </w:rPr>
        <w:t>品安全社会共治。</w:t>
      </w:r>
    </w:p>
    <w:p>
      <w:pPr>
        <w:spacing w:line="306" w:lineRule="auto"/>
        <w:rPr>
          <w:rFonts w:ascii="Arial"/>
          <w:sz w:val="21"/>
        </w:rPr>
      </w:pPr>
      <w:r/>
    </w:p>
    <w:p>
      <w:pPr>
        <w:pStyle w:val="BodyText"/>
        <w:ind w:left="525"/>
        <w:spacing w:before="65" w:line="220" w:lineRule="auto"/>
        <w:outlineLvl w:val="0"/>
        <w:rPr/>
      </w:pPr>
      <w:r>
        <w:rPr>
          <w:b/>
          <w:bCs/>
          <w:spacing w:val="8"/>
        </w:rPr>
        <w:t>第五节</w:t>
      </w:r>
      <w:r>
        <w:rPr>
          <w:spacing w:val="8"/>
        </w:rPr>
        <w:t xml:space="preserve">  </w:t>
      </w:r>
      <w:r>
        <w:rPr>
          <w:b/>
          <w:bCs/>
          <w:spacing w:val="8"/>
        </w:rPr>
        <w:t>推进市域社会治理现代化</w:t>
      </w:r>
    </w:p>
    <w:p>
      <w:pPr>
        <w:spacing w:line="449" w:lineRule="auto"/>
        <w:rPr>
          <w:rFonts w:ascii="Arial"/>
          <w:sz w:val="21"/>
        </w:rPr>
      </w:pPr>
      <w:r/>
    </w:p>
    <w:p>
      <w:pPr>
        <w:pStyle w:val="BodyText"/>
        <w:ind w:left="26" w:right="304" w:firstLine="438"/>
        <w:spacing w:before="66" w:line="288" w:lineRule="auto"/>
        <w:outlineLvl w:val="0"/>
        <w:rPr/>
      </w:pPr>
      <w:r>
        <w:rPr>
          <w:spacing w:val="7"/>
        </w:rPr>
        <w:t>以加强党的领导为统领，构建系统完备、</w:t>
      </w:r>
      <w:r>
        <w:rPr>
          <w:spacing w:val="7"/>
        </w:rPr>
        <w:t>科学规范、运行有效的基层治理新格局，促进</w:t>
      </w:r>
    </w:p>
    <w:p>
      <w:pPr>
        <w:pStyle w:val="BodyText"/>
        <w:ind w:left="29" w:right="304" w:hanging="2"/>
        <w:spacing w:before="136" w:line="351" w:lineRule="auto"/>
        <w:jc w:val="both"/>
        <w:rPr/>
      </w:pPr>
      <w:r>
        <w:rPr>
          <w:spacing w:val="8"/>
        </w:rPr>
        <w:t>基层治理体系更加严密、责任体系更加清晰、</w:t>
      </w:r>
      <w:r>
        <w:rPr>
          <w:spacing w:val="7"/>
        </w:rPr>
        <w:t>服务体系更加高效、保障体系更加有力，建成</w:t>
      </w:r>
      <w:r>
        <w:rPr>
          <w:spacing w:val="8"/>
        </w:rPr>
        <w:t>市域社会治理现代化试点达标城市。</w:t>
      </w:r>
    </w:p>
    <w:p>
      <w:pPr>
        <w:pStyle w:val="BodyText"/>
        <w:ind w:left="448"/>
        <w:spacing w:line="224" w:lineRule="auto"/>
        <w:rPr/>
      </w:pPr>
      <w:r>
        <w:rPr>
          <w:spacing w:val="6"/>
        </w:rPr>
        <w:t>全面加强党的建设。全面贯彻落实新时代</w:t>
      </w:r>
    </w:p>
    <w:p>
      <w:pPr>
        <w:pStyle w:val="BodyText"/>
        <w:ind w:left="28"/>
        <w:spacing w:before="137" w:line="223" w:lineRule="auto"/>
        <w:outlineLvl w:val="0"/>
        <w:rPr/>
      </w:pPr>
      <w:r>
        <w:rPr>
          <w:spacing w:val="7"/>
        </w:rPr>
        <w:t>党的建设总要求，实施干部政治能力、专业能</w:t>
      </w:r>
    </w:p>
    <w:p>
      <w:pPr>
        <w:pStyle w:val="BodyText"/>
        <w:ind w:left="26" w:right="244" w:firstLine="1"/>
        <w:spacing w:before="141" w:line="337" w:lineRule="auto"/>
        <w:jc w:val="both"/>
        <w:rPr/>
      </w:pPr>
      <w:r>
        <w:rPr>
          <w:spacing w:val="7"/>
        </w:rPr>
        <w:t>力提升“两大工程”，全面落实素质培养、知</w:t>
      </w:r>
      <w:r>
        <w:rPr>
          <w:spacing w:val="7"/>
        </w:rPr>
        <w:t>事识人、选拔任用、从严管理、正向激励“五</w:t>
      </w:r>
      <w:r>
        <w:rPr>
          <w:spacing w:val="7"/>
        </w:rPr>
        <w:t>大体系”，抓好领导班子和干部队伍建设。实</w:t>
      </w:r>
      <w:r>
        <w:rPr>
          <w:spacing w:val="15"/>
        </w:rPr>
        <w:t>施市县党校建设工程</w:t>
      </w:r>
      <w:r>
        <w:rPr>
          <w:spacing w:val="-39"/>
        </w:rPr>
        <w:t xml:space="preserve"> </w:t>
      </w:r>
      <w:r>
        <w:rPr>
          <w:spacing w:val="15"/>
        </w:rPr>
        <w:t>，加大党员干部培训力</w:t>
      </w:r>
      <w:r>
        <w:rPr>
          <w:spacing w:val="-3"/>
        </w:rPr>
        <w:t>度。完善深化农村党建“三大三强”行动和“两</w:t>
      </w:r>
      <w:r>
        <w:rPr>
          <w:spacing w:val="1"/>
        </w:rPr>
        <w:t>个带头人”工程、机关党建“三强九严”工程、</w:t>
      </w:r>
      <w:r>
        <w:rPr>
          <w:spacing w:val="6"/>
        </w:rPr>
        <w:t>城市基层党建“</w:t>
      </w:r>
      <w:r>
        <w:rPr>
          <w:spacing w:val="-74"/>
        </w:rPr>
        <w:t xml:space="preserve"> </w:t>
      </w:r>
      <w:r>
        <w:rPr>
          <w:spacing w:val="6"/>
        </w:rPr>
        <w:t>四联四化”机制，推动基层党</w:t>
      </w:r>
      <w:r>
        <w:rPr>
          <w:spacing w:val="7"/>
        </w:rPr>
        <w:t>组织建设全面进步。持之以恒正风肃纪，深入</w:t>
      </w:r>
      <w:r>
        <w:rPr>
          <w:spacing w:val="7"/>
        </w:rPr>
        <w:t>贯彻落实中央八项规定及其实施细则、区市有</w:t>
      </w:r>
      <w:r>
        <w:rPr>
          <w:spacing w:val="7"/>
        </w:rPr>
        <w:t>关精神，持续开展腐败问题和侵害群众利益问</w:t>
      </w:r>
      <w:r>
        <w:rPr>
          <w:spacing w:val="11"/>
        </w:rPr>
        <w:t>题专项治理，完善警示教育常态化长效机制，</w:t>
      </w:r>
      <w:r>
        <w:rPr>
          <w:spacing w:val="8"/>
        </w:rPr>
        <w:t>营造风清气正的发展环境。</w:t>
      </w:r>
    </w:p>
    <w:p>
      <w:pPr>
        <w:spacing w:line="14" w:lineRule="auto"/>
        <w:rPr>
          <w:rFonts w:ascii="Arial"/>
          <w:sz w:val="2"/>
        </w:rPr>
      </w:pPr>
      <w:r>
        <w:rPr>
          <w:rFonts w:ascii="Arial" w:hAnsi="Arial" w:eastAsia="Arial" w:cs="Arial"/>
          <w:sz w:val="2"/>
          <w:szCs w:val="2"/>
        </w:rPr>
        <w:br w:type="column"/>
      </w:r>
    </w:p>
    <w:p>
      <w:pPr>
        <w:pStyle w:val="BodyText"/>
        <w:ind w:left="423"/>
        <w:spacing w:before="48" w:line="223" w:lineRule="auto"/>
        <w:rPr/>
      </w:pPr>
      <w:r>
        <w:rPr>
          <w:spacing w:val="19"/>
        </w:rPr>
        <w:t>完善基层治理体系。坚持和发展新时代</w:t>
      </w:r>
    </w:p>
    <w:p>
      <w:pPr>
        <w:pStyle w:val="BodyText"/>
        <w:ind w:left="3"/>
        <w:spacing w:before="140" w:line="224" w:lineRule="auto"/>
        <w:outlineLvl w:val="0"/>
        <w:rPr/>
      </w:pPr>
      <w:r>
        <w:rPr>
          <w:spacing w:val="7"/>
        </w:rPr>
        <w:t>“枫桥经验”，完善基层治理组织，构建党建</w:t>
      </w:r>
    </w:p>
    <w:p>
      <w:pPr>
        <w:pStyle w:val="BodyText"/>
        <w:ind w:right="78" w:firstLine="10"/>
        <w:spacing w:before="133" w:line="351" w:lineRule="auto"/>
        <w:jc w:val="both"/>
        <w:rPr/>
      </w:pPr>
      <w:r>
        <w:rPr>
          <w:spacing w:val="6"/>
        </w:rPr>
        <w:t>引领、政府主导、居民自治、社会协同的治理</w:t>
      </w:r>
      <w:r>
        <w:rPr>
          <w:spacing w:val="7"/>
        </w:rPr>
        <w:t>体系。推进乡村社区信息化建设，加强乡村社</w:t>
      </w:r>
      <w:r>
        <w:rPr>
          <w:spacing w:val="7"/>
        </w:rPr>
        <w:t>区综合服务站建设，为群众提供便利。深化乡</w:t>
      </w:r>
      <w:r>
        <w:rPr>
          <w:spacing w:val="8"/>
        </w:rPr>
        <w:t>村社区管理体制改革，完善网格化管理服务，</w:t>
      </w:r>
      <w:r>
        <w:rPr>
          <w:spacing w:val="7"/>
        </w:rPr>
        <w:t>进一步推进社会治理重心下移。以乡村社区为</w:t>
      </w:r>
      <w:r>
        <w:rPr>
          <w:spacing w:val="7"/>
        </w:rPr>
        <w:t>平台、社会组织为载体、社会工作专业人才为</w:t>
      </w:r>
      <w:r>
        <w:rPr>
          <w:spacing w:val="7"/>
        </w:rPr>
        <w:t>支撑，深化“政社互动”。推进基层民主，健</w:t>
      </w:r>
      <w:r>
        <w:rPr>
          <w:spacing w:val="8"/>
        </w:rPr>
        <w:t>全城乡社区民主选举、民主决策、民主管理、</w:t>
      </w:r>
      <w:r>
        <w:rPr>
          <w:spacing w:val="7"/>
        </w:rPr>
        <w:t>民主监督制度，引导居民依法有序参与基层社</w:t>
      </w:r>
      <w:r>
        <w:rPr>
          <w:spacing w:val="7"/>
        </w:rPr>
        <w:t>会治理。因地制宜，扎实推进乡村、社区、宗</w:t>
      </w:r>
      <w:r>
        <w:rPr>
          <w:spacing w:val="7"/>
        </w:rPr>
        <w:t>教、校园、企业、社团治理，加快平安固原建</w:t>
      </w:r>
      <w:r>
        <w:rPr>
          <w:spacing w:val="8"/>
        </w:rPr>
        <w:t>设。到</w:t>
      </w:r>
      <w:r>
        <w:rPr>
          <w:spacing w:val="-26"/>
        </w:rPr>
        <w:t xml:space="preserve"> </w:t>
      </w:r>
      <w:r>
        <w:rPr>
          <w:spacing w:val="8"/>
        </w:rPr>
        <w:t>2025</w:t>
      </w:r>
      <w:r>
        <w:rPr>
          <w:spacing w:val="-34"/>
        </w:rPr>
        <w:t xml:space="preserve"> </w:t>
      </w:r>
      <w:r>
        <w:rPr>
          <w:spacing w:val="8"/>
        </w:rPr>
        <w:t>年</w:t>
      </w:r>
      <w:r>
        <w:rPr>
          <w:spacing w:val="-58"/>
        </w:rPr>
        <w:t xml:space="preserve"> </w:t>
      </w:r>
      <w:r>
        <w:rPr>
          <w:spacing w:val="8"/>
        </w:rPr>
        <w:t>，争取创建国家级乡村治理示</w:t>
      </w:r>
      <w:r>
        <w:rPr>
          <w:spacing w:val="4"/>
        </w:rPr>
        <w:t>范村镇</w:t>
      </w:r>
      <w:r>
        <w:rPr>
          <w:spacing w:val="-35"/>
        </w:rPr>
        <w:t xml:space="preserve"> </w:t>
      </w:r>
      <w:r>
        <w:rPr>
          <w:spacing w:val="4"/>
        </w:rPr>
        <w:t>3</w:t>
      </w:r>
      <w:r>
        <w:rPr>
          <w:spacing w:val="-45"/>
        </w:rPr>
        <w:t xml:space="preserve"> </w:t>
      </w:r>
      <w:r>
        <w:rPr>
          <w:spacing w:val="4"/>
        </w:rPr>
        <w:t>个。</w:t>
      </w:r>
    </w:p>
    <w:p>
      <w:pPr>
        <w:pStyle w:val="BodyText"/>
        <w:ind w:left="3" w:right="101" w:firstLine="422"/>
        <w:spacing w:line="287" w:lineRule="auto"/>
        <w:outlineLvl w:val="0"/>
        <w:rPr/>
      </w:pPr>
      <w:r>
        <w:rPr>
          <w:spacing w:val="6"/>
        </w:rPr>
        <w:t>提升依法行政效能。优化行政决策、行政</w:t>
      </w:r>
      <w:r>
        <w:rPr>
          <w:spacing w:val="7"/>
        </w:rPr>
        <w:t>执行、行政管理、行政监督机制，提高行政效</w:t>
      </w:r>
    </w:p>
    <w:p>
      <w:pPr>
        <w:pStyle w:val="BodyText"/>
        <w:ind w:left="1" w:right="101" w:firstLine="6"/>
        <w:spacing w:before="142" w:line="350" w:lineRule="auto"/>
        <w:jc w:val="both"/>
        <w:rPr/>
      </w:pPr>
      <w:r>
        <w:rPr>
          <w:spacing w:val="7"/>
        </w:rPr>
        <w:t>能，打造法治政府。加强规范性文件制定和监</w:t>
      </w:r>
      <w:r>
        <w:rPr>
          <w:spacing w:val="7"/>
        </w:rPr>
        <w:t>督管理，建立政府规章和规范性文件清理长效</w:t>
      </w:r>
      <w:r>
        <w:rPr>
          <w:spacing w:val="7"/>
        </w:rPr>
        <w:t>机制。完善行政执法体制机制，推动执法重心</w:t>
      </w:r>
      <w:r>
        <w:rPr>
          <w:spacing w:val="7"/>
        </w:rPr>
        <w:t>下移和执法事项属地化管理，推进跨部门综合</w:t>
      </w:r>
      <w:r>
        <w:rPr>
          <w:spacing w:val="7"/>
        </w:rPr>
        <w:t>执法试点，推行行政执行“三项制度”。引进</w:t>
      </w:r>
      <w:r>
        <w:rPr>
          <w:spacing w:val="7"/>
        </w:rPr>
        <w:t>第三方法律咨询服务，实现政府法律顾问制度</w:t>
      </w:r>
      <w:r>
        <w:rPr>
          <w:spacing w:val="7"/>
        </w:rPr>
        <w:t>全覆盖。建立健全常态化责任追究机制，落实</w:t>
      </w:r>
      <w:r>
        <w:rPr>
          <w:spacing w:val="7"/>
        </w:rPr>
        <w:t>行政执法经费财政保障制度，充分发挥监察和</w:t>
      </w:r>
      <w:r>
        <w:rPr>
          <w:spacing w:val="9"/>
        </w:rPr>
        <w:t>审计促进依法行政作用，实现监督全覆盖。</w:t>
      </w:r>
    </w:p>
    <w:p>
      <w:pPr>
        <w:pStyle w:val="BodyText"/>
        <w:ind w:left="12" w:right="20" w:firstLine="414"/>
        <w:spacing w:before="2" w:line="302" w:lineRule="auto"/>
        <w:outlineLvl w:val="0"/>
        <w:rPr/>
      </w:pPr>
      <w:r>
        <w:rPr>
          <w:spacing w:val="-13"/>
        </w:rPr>
        <w:t>提高法律服务水平。健全完善市、县（</w:t>
      </w:r>
      <w:r>
        <w:rPr>
          <w:spacing w:val="-38"/>
        </w:rPr>
        <w:t xml:space="preserve"> </w:t>
      </w:r>
      <w:r>
        <w:rPr>
          <w:spacing w:val="-13"/>
        </w:rPr>
        <w:t>区）、</w:t>
      </w:r>
      <w:r>
        <w:rPr/>
        <w:t>乡（镇）、村（社区）四级公共法律服务机构，</w:t>
      </w:r>
    </w:p>
    <w:p>
      <w:pPr>
        <w:pStyle w:val="BodyText"/>
        <w:ind w:left="2" w:right="101"/>
        <w:spacing w:before="110" w:line="323" w:lineRule="auto"/>
        <w:jc w:val="both"/>
        <w:rPr/>
      </w:pPr>
      <w:r>
        <w:rPr>
          <w:spacing w:val="7"/>
        </w:rPr>
        <w:t>建立半公益性法律服务平台和集法律咨询、法</w:t>
      </w:r>
      <w:r>
        <w:rPr>
          <w:spacing w:val="7"/>
        </w:rPr>
        <w:t>律知识普及、群众情绪疏导、群众维权指导功</w:t>
      </w:r>
      <w:r>
        <w:rPr>
          <w:spacing w:val="7"/>
        </w:rPr>
        <w:t>能于一体的综合法律服务互联网平台，提升法</w:t>
      </w:r>
      <w:r>
        <w:rPr>
          <w:spacing w:val="7"/>
        </w:rPr>
        <w:t>律服务品质。进一步丰富法律咨询、法律文书</w:t>
      </w:r>
      <w:r>
        <w:rPr>
          <w:spacing w:val="7"/>
        </w:rPr>
        <w:t>代写、合同文本审查等公共法律服务产品，最</w:t>
      </w:r>
      <w:r>
        <w:rPr>
          <w:spacing w:val="7"/>
        </w:rPr>
        <w:t>大限度地满足人民群众的法律服务需求。积极</w:t>
      </w:r>
    </w:p>
    <w:p>
      <w:pPr>
        <w:spacing w:line="323" w:lineRule="auto"/>
        <w:sectPr>
          <w:type w:val="continuous"/>
          <w:pgSz w:w="11906" w:h="16839"/>
          <w:pgMar w:top="1793" w:right="1489" w:bottom="1673" w:left="1565" w:header="1428" w:footer="1277" w:gutter="0"/>
          <w:cols w:equalWidth="0" w:num="2">
            <w:col w:w="4502" w:space="100"/>
            <w:col w:w="4251" w:space="0"/>
          </w:cols>
        </w:sectPr>
        <w:rPr/>
      </w:pPr>
    </w:p>
    <w:p>
      <w:pPr>
        <w:spacing w:before="34"/>
        <w:rPr/>
      </w:pPr>
      <w:r/>
    </w:p>
    <w:p>
      <w:pPr>
        <w:sectPr>
          <w:headerReference w:type="default" r:id="rId191"/>
          <w:footerReference w:type="default" r:id="rId295"/>
          <w:pgSz w:w="11906" w:h="16839"/>
          <w:pgMar w:top="1793" w:right="1509" w:bottom="1570" w:left="1526" w:header="1428" w:footer="1172" w:gutter="0"/>
          <w:cols w:equalWidth="0" w:num="1">
            <w:col w:w="8870" w:space="0"/>
          </w:cols>
        </w:sectPr>
        <w:rPr/>
      </w:pPr>
    </w:p>
    <w:p>
      <w:pPr>
        <w:pStyle w:val="BodyText"/>
        <w:ind w:left="65" w:right="326" w:firstLine="4"/>
        <w:spacing w:before="44" w:line="350" w:lineRule="auto"/>
        <w:rPr/>
      </w:pPr>
      <w:r>
        <w:rPr>
          <w:spacing w:val="7"/>
        </w:rPr>
        <w:t>开展法律援助活动，推进律师事务所、基层法</w:t>
      </w:r>
      <w:r>
        <w:rPr>
          <w:spacing w:val="7"/>
        </w:rPr>
        <w:t>律服务所等机构与村（社区）“一对一”“一</w:t>
      </w:r>
      <w:r>
        <w:rPr>
          <w:spacing w:val="7"/>
        </w:rPr>
        <w:t>对多”结对，及时解决困难群众法律诉求。深</w:t>
      </w:r>
      <w:r>
        <w:rPr>
          <w:spacing w:val="8"/>
        </w:rPr>
        <w:t>入开展“八五”普法，扎实推进《中华人民</w:t>
      </w:r>
    </w:p>
    <w:p>
      <w:pPr>
        <w:pStyle w:val="BodyText"/>
        <w:ind w:left="67" w:right="515" w:firstLine="2"/>
        <w:spacing w:before="1" w:line="328" w:lineRule="auto"/>
        <w:rPr/>
      </w:pPr>
      <w:r>
        <w:rPr>
          <w:spacing w:val="7"/>
        </w:rPr>
        <w:t>共和国民法典》宣传教育各项工作。强化全</w:t>
      </w:r>
      <w:r>
        <w:rPr>
          <w:spacing w:val="8"/>
        </w:rPr>
        <w:t>民法治宣传教育，增强全社会学法遵法守法</w:t>
      </w:r>
      <w:r>
        <w:rPr>
          <w:spacing w:val="6"/>
        </w:rPr>
        <w:t>用法意识。</w:t>
      </w:r>
    </w:p>
    <w:p>
      <w:pPr>
        <w:ind w:left="836"/>
        <w:spacing w:line="181"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第十三章</w:t>
      </w:r>
      <w:r>
        <w:rPr>
          <w:rFonts w:ascii="Microsoft YaHei" w:hAnsi="Microsoft YaHei" w:eastAsia="Microsoft YaHei" w:cs="Microsoft YaHei"/>
          <w:sz w:val="20"/>
          <w:szCs w:val="20"/>
          <w:spacing w:val="3"/>
        </w:rPr>
        <w:t xml:space="preserve">  </w:t>
      </w:r>
      <w:r>
        <w:rPr>
          <w:rFonts w:ascii="Microsoft YaHei" w:hAnsi="Microsoft YaHei" w:eastAsia="Microsoft YaHei" w:cs="Microsoft YaHei"/>
          <w:sz w:val="20"/>
          <w:szCs w:val="20"/>
          <w:spacing w:val="7"/>
        </w:rPr>
        <w:t>强化保障狠抓落实</w:t>
      </w:r>
    </w:p>
    <w:p>
      <w:pPr>
        <w:ind w:left="1093"/>
        <w:spacing w:before="121" w:line="178"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确保规划目标顺利完成</w:t>
      </w:r>
    </w:p>
    <w:p>
      <w:pPr>
        <w:spacing w:line="351" w:lineRule="auto"/>
        <w:rPr>
          <w:rFonts w:ascii="Arial"/>
          <w:sz w:val="21"/>
        </w:rPr>
      </w:pPr>
      <w:r/>
    </w:p>
    <w:p>
      <w:pPr>
        <w:pStyle w:val="BodyText"/>
        <w:ind w:left="486"/>
        <w:spacing w:before="65" w:line="223" w:lineRule="auto"/>
        <w:rPr/>
      </w:pPr>
      <w:r>
        <w:rPr>
          <w:spacing w:val="6"/>
        </w:rPr>
        <w:t>建立健全规划实施的长效保障机制，更好</w:t>
      </w:r>
    </w:p>
    <w:p>
      <w:pPr>
        <w:pStyle w:val="BodyText"/>
        <w:ind w:left="68"/>
        <w:spacing w:before="139" w:line="222" w:lineRule="auto"/>
        <w:outlineLvl w:val="0"/>
        <w:rPr/>
      </w:pPr>
      <w:r>
        <w:rPr>
          <w:spacing w:val="9"/>
        </w:rPr>
        <w:t>发挥规划战略导向作用，提高政府履职能力，</w:t>
      </w:r>
    </w:p>
    <w:p>
      <w:pPr>
        <w:pStyle w:val="BodyText"/>
        <w:ind w:left="69" w:right="326"/>
        <w:spacing w:before="142" w:line="351" w:lineRule="auto"/>
        <w:jc w:val="both"/>
        <w:rPr/>
      </w:pPr>
      <w:r>
        <w:rPr>
          <w:spacing w:val="18"/>
        </w:rPr>
        <w:t>动员和引导全社会力量共同推进规划的顺利</w:t>
      </w:r>
      <w:r>
        <w:rPr>
          <w:spacing w:val="6"/>
        </w:rPr>
        <w:t>实施，确保“十四五”规划及二</w:t>
      </w:r>
      <w:r>
        <w:rPr>
          <w:spacing w:val="-38"/>
        </w:rPr>
        <w:t xml:space="preserve"> </w:t>
      </w:r>
      <w:r>
        <w:rPr>
          <w:spacing w:val="6"/>
        </w:rPr>
        <w:t>O</w:t>
      </w:r>
      <w:r>
        <w:rPr>
          <w:spacing w:val="-39"/>
        </w:rPr>
        <w:t xml:space="preserve"> </w:t>
      </w:r>
      <w:r>
        <w:rPr>
          <w:spacing w:val="6"/>
        </w:rPr>
        <w:t>三五年远景</w:t>
      </w:r>
      <w:r>
        <w:rPr>
          <w:spacing w:val="7"/>
        </w:rPr>
        <w:t>目标任务如期完成。</w:t>
      </w:r>
    </w:p>
    <w:p>
      <w:pPr>
        <w:pStyle w:val="BodyText"/>
        <w:ind w:left="881"/>
        <w:spacing w:before="234" w:line="220" w:lineRule="auto"/>
        <w:outlineLvl w:val="0"/>
        <w:rPr/>
      </w:pPr>
      <w:r>
        <w:rPr>
          <w:b/>
          <w:bCs/>
          <w:spacing w:val="7"/>
        </w:rPr>
        <w:t>第一节</w:t>
      </w:r>
      <w:r>
        <w:rPr>
          <w:spacing w:val="7"/>
        </w:rPr>
        <w:t xml:space="preserve">  </w:t>
      </w:r>
      <w:r>
        <w:rPr>
          <w:b/>
          <w:bCs/>
          <w:spacing w:val="7"/>
        </w:rPr>
        <w:t>完善规划实施机制</w:t>
      </w:r>
    </w:p>
    <w:p>
      <w:pPr>
        <w:spacing w:line="359" w:lineRule="auto"/>
        <w:rPr>
          <w:rFonts w:ascii="Arial"/>
          <w:sz w:val="21"/>
        </w:rPr>
      </w:pPr>
      <w:r/>
    </w:p>
    <w:p>
      <w:pPr>
        <w:pStyle w:val="BodyText"/>
        <w:ind w:left="485"/>
        <w:spacing w:before="65" w:line="220" w:lineRule="auto"/>
        <w:rPr/>
      </w:pPr>
      <w:r>
        <w:rPr>
          <w:spacing w:val="6"/>
        </w:rPr>
        <w:t>按照市委、市政府对经济社会发展的安排</w:t>
      </w:r>
    </w:p>
    <w:p>
      <w:pPr>
        <w:pStyle w:val="BodyText"/>
        <w:ind w:left="66"/>
        <w:spacing w:before="140" w:line="223" w:lineRule="auto"/>
        <w:outlineLvl w:val="0"/>
        <w:rPr/>
      </w:pPr>
      <w:r>
        <w:rPr>
          <w:spacing w:val="7"/>
        </w:rPr>
        <w:t>部署，强化对全局性、战略性目标任务的统筹</w:t>
      </w:r>
    </w:p>
    <w:p>
      <w:pPr>
        <w:pStyle w:val="BodyText"/>
        <w:ind w:left="66"/>
        <w:spacing w:before="139" w:line="223" w:lineRule="auto"/>
        <w:rPr/>
      </w:pPr>
      <w:r>
        <w:rPr>
          <w:spacing w:val="9"/>
        </w:rPr>
        <w:t>协调，将规划确定的主要预期目标、重点任务</w:t>
      </w:r>
    </w:p>
    <w:p>
      <w:pPr>
        <w:spacing w:line="143" w:lineRule="exact"/>
        <w:rPr/>
      </w:pPr>
      <w:r/>
    </w:p>
    <w:p>
      <w:pPr>
        <w:spacing w:line="14" w:lineRule="auto"/>
        <w:rPr>
          <w:rFonts w:ascii="Arial"/>
          <w:sz w:val="2"/>
        </w:rPr>
      </w:pPr>
      <w:r>
        <w:rPr>
          <w:rFonts w:ascii="Arial" w:hAnsi="Arial" w:eastAsia="Arial" w:cs="Arial"/>
          <w:sz w:val="2"/>
          <w:szCs w:val="2"/>
        </w:rPr>
        <w:br w:type="column"/>
      </w:r>
    </w:p>
    <w:p>
      <w:pPr>
        <w:pStyle w:val="BodyText"/>
        <w:ind w:left="2" w:right="80" w:firstLine="1"/>
        <w:spacing w:before="37" w:line="352" w:lineRule="auto"/>
        <w:jc w:val="both"/>
        <w:rPr/>
      </w:pPr>
      <w:r>
        <w:rPr>
          <w:spacing w:val="7"/>
        </w:rPr>
        <w:t>重大项目分解到年度工作计划，建立健全工作</w:t>
      </w:r>
      <w:r>
        <w:rPr>
          <w:spacing w:val="7"/>
        </w:rPr>
        <w:t>推进机制、责任落实机制，制定规划实施年度</w:t>
      </w:r>
      <w:r>
        <w:rPr>
          <w:spacing w:val="7"/>
        </w:rPr>
        <w:t>工作推进方案，明确实施主体、责任单位和推</w:t>
      </w:r>
      <w:r>
        <w:rPr>
          <w:spacing w:val="7"/>
        </w:rPr>
        <w:t>进措施，确保各项工作任务落地落实。全力推</w:t>
      </w:r>
      <w:r>
        <w:rPr>
          <w:spacing w:val="8"/>
        </w:rPr>
        <w:t>动规划纲要阶段性目标任务完成。</w:t>
      </w:r>
    </w:p>
    <w:p>
      <w:pPr>
        <w:pStyle w:val="BodyText"/>
        <w:ind w:left="816"/>
        <w:spacing w:before="233" w:line="220" w:lineRule="auto"/>
        <w:outlineLvl w:val="0"/>
        <w:rPr/>
      </w:pPr>
      <w:r>
        <w:rPr>
          <w:b/>
          <w:bCs/>
          <w:spacing w:val="7"/>
        </w:rPr>
        <w:t>第二节</w:t>
      </w:r>
      <w:r>
        <w:rPr>
          <w:spacing w:val="7"/>
        </w:rPr>
        <w:t xml:space="preserve">  </w:t>
      </w:r>
      <w:r>
        <w:rPr>
          <w:b/>
          <w:bCs/>
          <w:spacing w:val="7"/>
        </w:rPr>
        <w:t>强化项目政策支撑</w:t>
      </w:r>
    </w:p>
    <w:p>
      <w:pPr>
        <w:spacing w:line="358" w:lineRule="auto"/>
        <w:rPr>
          <w:rFonts w:ascii="Arial"/>
          <w:sz w:val="21"/>
        </w:rPr>
      </w:pPr>
      <w:r/>
    </w:p>
    <w:p>
      <w:pPr>
        <w:pStyle w:val="BodyText"/>
        <w:ind w:left="3" w:right="57" w:firstLine="422"/>
        <w:spacing w:before="65" w:line="285" w:lineRule="auto"/>
        <w:outlineLvl w:val="0"/>
        <w:rPr/>
      </w:pPr>
      <w:r>
        <w:rPr>
          <w:spacing w:val="6"/>
        </w:rPr>
        <w:t>高质量编制完成产业发展、重大基础设施</w:t>
      </w:r>
      <w:r>
        <w:rPr>
          <w:spacing w:val="8"/>
        </w:rPr>
        <w:t>发展、乡村振兴、社会事业发展、文化发展、</w:t>
      </w:r>
    </w:p>
    <w:p>
      <w:pPr>
        <w:pStyle w:val="BodyText"/>
        <w:ind w:firstLine="3"/>
        <w:spacing w:before="138" w:line="351" w:lineRule="auto"/>
        <w:jc w:val="both"/>
        <w:rPr/>
      </w:pPr>
      <w:r>
        <w:rPr>
          <w:spacing w:val="10"/>
        </w:rPr>
        <w:t>环境保护等</w:t>
      </w:r>
      <w:r>
        <w:rPr>
          <w:spacing w:val="-15"/>
        </w:rPr>
        <w:t xml:space="preserve"> </w:t>
      </w:r>
      <w:r>
        <w:rPr>
          <w:spacing w:val="10"/>
        </w:rPr>
        <w:t>12</w:t>
      </w:r>
      <w:r>
        <w:rPr>
          <w:spacing w:val="-40"/>
        </w:rPr>
        <w:t xml:space="preserve"> </w:t>
      </w:r>
      <w:r>
        <w:rPr>
          <w:spacing w:val="10"/>
        </w:rPr>
        <w:t>个专项规划，明确各领域的发</w:t>
      </w:r>
      <w:r>
        <w:rPr>
          <w:spacing w:val="7"/>
        </w:rPr>
        <w:t>展目标、重点任务和政策措施，形成对规划纲</w:t>
      </w:r>
      <w:r>
        <w:rPr>
          <w:spacing w:val="7"/>
        </w:rPr>
        <w:t>要实施的有力支撑。将重点项目落地作为推动</w:t>
      </w:r>
      <w:r>
        <w:rPr>
          <w:spacing w:val="15"/>
        </w:rPr>
        <w:t>规划纲要实施的主要抓手</w:t>
      </w:r>
      <w:r>
        <w:rPr>
          <w:spacing w:val="-39"/>
        </w:rPr>
        <w:t xml:space="preserve"> </w:t>
      </w:r>
      <w:r>
        <w:rPr>
          <w:spacing w:val="15"/>
        </w:rPr>
        <w:t>，建立多元投入机</w:t>
      </w:r>
      <w:r>
        <w:rPr>
          <w:spacing w:val="7"/>
        </w:rPr>
        <w:t>制，引导社会资本参与重大工程建设，动态调</w:t>
      </w:r>
      <w:r>
        <w:rPr>
          <w:spacing w:val="1"/>
        </w:rPr>
        <w:t>整充实完善重大建设项目库，形成“谋划一批、</w:t>
      </w:r>
      <w:r>
        <w:rPr>
          <w:spacing w:val="8"/>
        </w:rPr>
        <w:t>储备一批、开工一批、投运一批“</w:t>
      </w:r>
      <w:r>
        <w:rPr>
          <w:spacing w:val="-50"/>
        </w:rPr>
        <w:t xml:space="preserve"> </w:t>
      </w:r>
      <w:r>
        <w:rPr>
          <w:spacing w:val="8"/>
        </w:rPr>
        <w:t>良好机制。</w:t>
      </w:r>
      <w:r>
        <w:rPr>
          <w:spacing w:val="7"/>
        </w:rPr>
        <w:t>加强政策研究梳理，认真落实产业、财税、金</w:t>
      </w:r>
      <w:r>
        <w:rPr>
          <w:spacing w:val="7"/>
        </w:rPr>
        <w:t>融、土地、环保、投资等相关政策措施，推动</w:t>
      </w:r>
      <w:r>
        <w:rPr>
          <w:spacing w:val="8"/>
        </w:rPr>
        <w:t>规划纲要顺利实施。</w:t>
      </w:r>
    </w:p>
    <w:p>
      <w:pPr>
        <w:spacing w:line="351" w:lineRule="auto"/>
        <w:sectPr>
          <w:type w:val="continuous"/>
          <w:pgSz w:w="11906" w:h="16839"/>
          <w:pgMar w:top="1793" w:right="1509" w:bottom="1570" w:left="1526" w:header="1428" w:footer="1172" w:gutter="0"/>
          <w:cols w:equalWidth="0" w:num="2">
            <w:col w:w="4542" w:space="100"/>
            <w:col w:w="4229" w:space="0"/>
          </w:cols>
        </w:sectPr>
        <w:rPr/>
      </w:pPr>
    </w:p>
    <w:p>
      <w:pPr>
        <w:pStyle w:val="BodyText"/>
        <w:ind w:left="85"/>
        <w:spacing w:before="137" w:line="88" w:lineRule="exact"/>
        <w:rPr/>
      </w:pPr>
      <w:r>
        <w:drawing>
          <wp:anchor distT="0" distB="0" distL="0" distR="0" simplePos="0" relativeHeight="251867136" behindDoc="0" locked="0" layoutInCell="1" allowOverlap="1">
            <wp:simplePos x="0" y="0"/>
            <wp:positionH relativeFrom="column">
              <wp:posOffset>39242</wp:posOffset>
            </wp:positionH>
            <wp:positionV relativeFrom="paragraph">
              <wp:posOffset>-4993492</wp:posOffset>
            </wp:positionV>
            <wp:extent cx="5579745" cy="7619"/>
            <wp:effectExtent l="0" t="0" r="0" b="0"/>
            <wp:wrapNone/>
            <wp:docPr id="588" name="IM 588"/>
            <wp:cNvGraphicFramePr/>
            <a:graphic>
              <a:graphicData uri="http://schemas.openxmlformats.org/drawingml/2006/picture">
                <pic:pic>
                  <pic:nvPicPr>
                    <pic:cNvPr id="588" name="IM 588"/>
                    <pic:cNvPicPr/>
                  </pic:nvPicPr>
                  <pic:blipFill>
                    <a:blip r:embed="rId296"/>
                    <a:stretch>
                      <a:fillRect/>
                    </a:stretch>
                  </pic:blipFill>
                  <pic:spPr>
                    <a:xfrm rot="0">
                      <a:off x="0" y="0"/>
                      <a:ext cx="5579745" cy="7619"/>
                    </a:xfrm>
                    <a:prstGeom prst="rect">
                      <a:avLst/>
                    </a:prstGeom>
                  </pic:spPr>
                </pic:pic>
              </a:graphicData>
            </a:graphic>
          </wp:anchor>
        </w:drawing>
      </w:r>
      <w:r>
        <w:rPr>
          <w:position w:val="1"/>
        </w:rPr>
        <w:t>、</w:t>
      </w:r>
    </w:p>
    <w:p>
      <w:pPr>
        <w:ind w:left="3247"/>
        <w:spacing w:before="1" w:line="21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专栏23</w:t>
      </w:r>
      <w:r>
        <w:rPr>
          <w:rFonts w:ascii="Microsoft YaHei" w:hAnsi="Microsoft YaHei" w:eastAsia="Microsoft YaHei" w:cs="Microsoft YaHei"/>
          <w:sz w:val="20"/>
          <w:szCs w:val="20"/>
          <w:spacing w:val="19"/>
          <w:w w:val="101"/>
        </w:rPr>
        <w:t xml:space="preserve">   </w:t>
      </w:r>
      <w:r>
        <w:rPr>
          <w:rFonts w:ascii="Microsoft YaHei" w:hAnsi="Microsoft YaHei" w:eastAsia="Microsoft YaHei" w:cs="Microsoft YaHei"/>
          <w:sz w:val="20"/>
          <w:szCs w:val="20"/>
          <w:spacing w:val="9"/>
        </w:rPr>
        <w:t>十二个专项规划</w:t>
      </w:r>
    </w:p>
    <w:p>
      <w:pPr>
        <w:spacing w:line="18" w:lineRule="exact"/>
        <w:rPr/>
      </w:pPr>
      <w:r/>
    </w:p>
    <w:tbl>
      <w:tblPr>
        <w:tblStyle w:val="TableNormal"/>
        <w:tblW w:w="8848" w:type="dxa"/>
        <w:tblInd w:w="2" w:type="dxa"/>
        <w:tblLayout w:type="fixed"/>
        <w:tblBorders>
          <w:left w:val="single" w:color="000000" w:sz="2" w:space="0"/>
          <w:bottom w:val="single" w:color="000000" w:sz="2" w:space="0"/>
          <w:right w:val="single" w:color="000000" w:sz="2" w:space="0"/>
          <w:top w:val="single" w:color="000000" w:sz="2" w:space="0"/>
        </w:tblBorders>
      </w:tblPr>
      <w:tblGrid>
        <w:gridCol w:w="8848"/>
      </w:tblGrid>
      <w:tr>
        <w:trPr>
          <w:trHeight w:val="2049" w:hRule="atLeast"/>
        </w:trPr>
        <w:tc>
          <w:tcPr>
            <w:tcW w:w="8848" w:type="dxa"/>
            <w:vAlign w:val="top"/>
          </w:tcPr>
          <w:p>
            <w:pPr>
              <w:pStyle w:val="TableText"/>
              <w:ind w:left="535" w:right="1511" w:firstLine="11"/>
              <w:spacing w:before="120" w:line="299" w:lineRule="auto"/>
              <w:rPr/>
            </w:pPr>
            <w:r>
              <w:rPr>
                <w:spacing w:val="-5"/>
              </w:rPr>
              <w:t>1.特色农业发展规划；</w:t>
            </w:r>
            <w:r>
              <w:rPr>
                <w:spacing w:val="3"/>
              </w:rPr>
              <w:t xml:space="preserve">                          </w:t>
            </w:r>
            <w:r>
              <w:rPr>
                <w:spacing w:val="-5"/>
              </w:rPr>
              <w:t>2.现化纺织和服装加</w:t>
            </w:r>
            <w:r>
              <w:rPr>
                <w:spacing w:val="-6"/>
              </w:rPr>
              <w:t>工发展规划；</w:t>
            </w:r>
            <w:r>
              <w:rPr>
                <w:spacing w:val="5"/>
              </w:rPr>
              <w:t xml:space="preserve"> </w:t>
            </w:r>
            <w:r>
              <w:rPr>
                <w:spacing w:val="-2"/>
              </w:rPr>
              <w:t>3.生态经济发展规划；                           4.文化和旅游发展规</w:t>
            </w:r>
            <w:r>
              <w:rPr>
                <w:spacing w:val="-3"/>
              </w:rPr>
              <w:t>划；</w:t>
            </w:r>
          </w:p>
          <w:p>
            <w:pPr>
              <w:pStyle w:val="TableText"/>
              <w:ind w:left="531" w:right="2231" w:firstLine="1"/>
              <w:spacing w:before="99" w:line="317" w:lineRule="auto"/>
              <w:rPr/>
            </w:pPr>
            <w:r>
              <w:rPr>
                <w:spacing w:val="-6"/>
              </w:rPr>
              <w:t>5.现代服务业发展规划；</w:t>
            </w:r>
            <w:r>
              <w:rPr>
                <w:spacing w:val="4"/>
              </w:rPr>
              <w:t xml:space="preserve">                        </w:t>
            </w:r>
            <w:r>
              <w:rPr>
                <w:spacing w:val="-6"/>
              </w:rPr>
              <w:t>6.中药材产业发展规划；</w:t>
            </w:r>
            <w:r>
              <w:rPr>
                <w:spacing w:val="4"/>
              </w:rPr>
              <w:t xml:space="preserve"> </w:t>
            </w:r>
            <w:r>
              <w:rPr>
                <w:spacing w:val="-1"/>
              </w:rPr>
              <w:t>7.重大基础设施发展规划；              </w:t>
            </w:r>
            <w:r>
              <w:rPr>
                <w:spacing w:val="-2"/>
              </w:rPr>
              <w:t xml:space="preserve">         8.社会事业发展规划；</w:t>
            </w:r>
            <w:r>
              <w:rPr/>
              <w:t xml:space="preserve"> </w:t>
            </w:r>
            <w:r>
              <w:rPr>
                <w:spacing w:val="-1"/>
              </w:rPr>
              <w:t>9.新型城镇化发展规划；                  </w:t>
            </w:r>
            <w:r>
              <w:rPr>
                <w:spacing w:val="-2"/>
              </w:rPr>
              <w:t xml:space="preserve">       10.乡村振兴发展规划；</w:t>
            </w:r>
            <w:r>
              <w:rPr/>
              <w:t xml:space="preserve"> </w:t>
            </w:r>
            <w:r>
              <w:rPr>
                <w:spacing w:val="-3"/>
              </w:rPr>
              <w:t>11.黄河流域固原市生态保护和高质量发展规划；    12.环境保护专项规划。</w:t>
            </w:r>
          </w:p>
        </w:tc>
      </w:tr>
    </w:tbl>
    <w:p>
      <w:pPr>
        <w:spacing w:line="105" w:lineRule="exact"/>
        <w:rPr>
          <w:rFonts w:ascii="Arial"/>
          <w:sz w:val="9"/>
        </w:rPr>
      </w:pPr>
      <w:r/>
    </w:p>
    <w:p>
      <w:pPr>
        <w:spacing w:line="105" w:lineRule="exact"/>
        <w:sectPr>
          <w:type w:val="continuous"/>
          <w:pgSz w:w="11906" w:h="16839"/>
          <w:pgMar w:top="1793" w:right="1509" w:bottom="1570" w:left="1526" w:header="1428" w:footer="1172" w:gutter="0"/>
          <w:cols w:equalWidth="0" w:num="1">
            <w:col w:w="8870" w:space="0"/>
          </w:cols>
        </w:sectPr>
        <w:rPr>
          <w:rFonts w:ascii="Arial" w:hAnsi="Arial" w:eastAsia="Arial" w:cs="Arial"/>
          <w:sz w:val="9"/>
          <w:szCs w:val="9"/>
        </w:rPr>
      </w:pPr>
    </w:p>
    <w:p>
      <w:pPr>
        <w:spacing w:line="274" w:lineRule="auto"/>
        <w:rPr>
          <w:rFonts w:ascii="Arial"/>
          <w:sz w:val="21"/>
        </w:rPr>
      </w:pPr>
      <w:r/>
    </w:p>
    <w:p>
      <w:pPr>
        <w:pStyle w:val="BodyText"/>
        <w:ind w:left="881"/>
        <w:spacing w:before="65" w:line="220" w:lineRule="auto"/>
        <w:outlineLvl w:val="0"/>
        <w:rPr/>
      </w:pPr>
      <w:r>
        <w:rPr>
          <w:b/>
          <w:bCs/>
          <w:spacing w:val="7"/>
        </w:rPr>
        <w:t>第三节</w:t>
      </w:r>
      <w:r>
        <w:rPr>
          <w:spacing w:val="7"/>
        </w:rPr>
        <w:t xml:space="preserve">  </w:t>
      </w:r>
      <w:r>
        <w:rPr>
          <w:b/>
          <w:bCs/>
          <w:spacing w:val="7"/>
        </w:rPr>
        <w:t>加强规划实施监督</w:t>
      </w:r>
    </w:p>
    <w:p>
      <w:pPr>
        <w:spacing w:line="391" w:lineRule="auto"/>
        <w:rPr>
          <w:rFonts w:ascii="Arial"/>
          <w:sz w:val="21"/>
        </w:rPr>
      </w:pPr>
      <w:r/>
    </w:p>
    <w:p>
      <w:pPr>
        <w:pStyle w:val="BodyText"/>
        <w:ind w:left="66" w:right="328" w:firstLine="420"/>
        <w:spacing w:before="65" w:line="296" w:lineRule="auto"/>
        <w:outlineLvl w:val="0"/>
        <w:rPr/>
      </w:pPr>
      <w:r>
        <w:rPr>
          <w:spacing w:val="6"/>
        </w:rPr>
        <w:t>建立健全规划实施监测评估机制，推动规</w:t>
      </w:r>
      <w:r>
        <w:rPr>
          <w:spacing w:val="7"/>
        </w:rPr>
        <w:t>划年度监测、中期和末期评估工作，依法适时</w:t>
      </w:r>
    </w:p>
    <w:p>
      <w:pPr>
        <w:pStyle w:val="BodyText"/>
        <w:ind w:left="65" w:right="321" w:firstLine="2"/>
        <w:spacing w:before="161" w:line="368" w:lineRule="auto"/>
        <w:rPr/>
      </w:pPr>
      <w:r>
        <w:rPr>
          <w:spacing w:val="7"/>
        </w:rPr>
        <w:t>调整修订规划内容。完善规划实施监督机制，</w:t>
      </w:r>
      <w:r>
        <w:rPr>
          <w:spacing w:val="7"/>
        </w:rPr>
        <w:t>及时发布规划实施进展情况。强化人大监督作</w:t>
      </w:r>
    </w:p>
    <w:p>
      <w:pPr>
        <w:spacing w:line="14" w:lineRule="auto"/>
        <w:rPr>
          <w:rFonts w:ascii="Arial"/>
          <w:sz w:val="2"/>
        </w:rPr>
      </w:pPr>
      <w:r>
        <w:rPr>
          <w:rFonts w:ascii="Arial" w:hAnsi="Arial" w:eastAsia="Arial" w:cs="Arial"/>
          <w:sz w:val="2"/>
          <w:szCs w:val="2"/>
        </w:rPr>
        <w:br w:type="column"/>
      </w:r>
    </w:p>
    <w:p>
      <w:pPr>
        <w:pStyle w:val="BodyText"/>
        <w:ind w:firstLine="3"/>
        <w:spacing w:before="38" w:line="343" w:lineRule="auto"/>
        <w:jc w:val="both"/>
        <w:rPr/>
      </w:pPr>
      <w:r>
        <w:rPr>
          <w:spacing w:val="7"/>
        </w:rPr>
        <w:t>用，依法向固原市人大常委会报告规划实施情</w:t>
      </w:r>
      <w:r>
        <w:rPr>
          <w:spacing w:val="7"/>
        </w:rPr>
        <w:t>况。更好发挥市政协及各民主党派、工商联和</w:t>
      </w:r>
      <w:r>
        <w:rPr>
          <w:spacing w:val="10"/>
        </w:rPr>
        <w:t>无党派人士对规划纲要实施的民主监督作用。</w:t>
      </w:r>
      <w:r>
        <w:rPr>
          <w:spacing w:val="1"/>
        </w:rPr>
        <w:t>畅通公众监督渠道，充分发挥行业协会、商会、</w:t>
      </w:r>
      <w:r>
        <w:rPr>
          <w:spacing w:val="18"/>
        </w:rPr>
        <w:t>学会等社会力量专业化监督作用和新闻媒体</w:t>
      </w:r>
      <w:r>
        <w:rPr>
          <w:spacing w:val="7"/>
        </w:rPr>
        <w:t>舆论监督作用，形成全社会关心规划、自觉参</w:t>
      </w:r>
      <w:r>
        <w:rPr>
          <w:spacing w:val="9"/>
        </w:rPr>
        <w:t>与和监督规划实施的良好氛围。</w:t>
      </w:r>
    </w:p>
    <w:p>
      <w:pPr>
        <w:spacing w:line="343" w:lineRule="auto"/>
        <w:sectPr>
          <w:type w:val="continuous"/>
          <w:pgSz w:w="11906" w:h="16839"/>
          <w:pgMar w:top="1793" w:right="1509" w:bottom="1570" w:left="1526" w:header="1428" w:footer="1172" w:gutter="0"/>
          <w:cols w:equalWidth="0" w:num="2">
            <w:col w:w="4542" w:space="100"/>
            <w:col w:w="4229" w:space="0"/>
          </w:cols>
        </w:sectPr>
        <w:rPr/>
      </w:pPr>
    </w:p>
    <w:p>
      <w:pPr>
        <w:spacing w:line="253" w:lineRule="auto"/>
        <w:rPr>
          <w:rFonts w:ascii="Arial"/>
          <w:sz w:val="21"/>
        </w:rPr>
      </w:pPr>
      <w:r>
        <w:drawing>
          <wp:anchor distT="0" distB="0" distL="0" distR="0" simplePos="0" relativeHeight="251869184" behindDoc="0" locked="0" layoutInCell="1" allowOverlap="1">
            <wp:simplePos x="0" y="0"/>
            <wp:positionH relativeFrom="column">
              <wp:posOffset>14605</wp:posOffset>
            </wp:positionH>
            <wp:positionV relativeFrom="paragraph">
              <wp:posOffset>25400</wp:posOffset>
            </wp:positionV>
            <wp:extent cx="5579745" cy="7619"/>
            <wp:effectExtent l="0" t="0" r="0" b="0"/>
            <wp:wrapNone/>
            <wp:docPr id="594" name="IM 594"/>
            <wp:cNvGraphicFramePr/>
            <a:graphic>
              <a:graphicData uri="http://schemas.openxmlformats.org/drawingml/2006/picture">
                <pic:pic>
                  <pic:nvPicPr>
                    <pic:cNvPr id="594" name="IM 594"/>
                    <pic:cNvPicPr/>
                  </pic:nvPicPr>
                  <pic:blipFill>
                    <a:blip r:embed="rId299"/>
                    <a:stretch>
                      <a:fillRect/>
                    </a:stretch>
                  </pic:blipFill>
                  <pic:spPr>
                    <a:xfrm rot="0">
                      <a:off x="0" y="0"/>
                      <a:ext cx="5579745" cy="7619"/>
                    </a:xfrm>
                    <a:prstGeom prst="rect">
                      <a:avLst/>
                    </a:prstGeom>
                  </pic:spPr>
                </pic:pic>
              </a:graphicData>
            </a:graphic>
          </wp:anchor>
        </w:drawing>
      </w: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BodyText"/>
        <w:ind w:left="447"/>
        <w:spacing w:before="140" w:line="578" w:lineRule="exact"/>
        <w:rPr>
          <w:sz w:val="43"/>
          <w:szCs w:val="43"/>
        </w:rPr>
      </w:pPr>
      <w:r>
        <w:rPr>
          <w:sz w:val="43"/>
          <w:szCs w:val="43"/>
          <w:b/>
          <w:bCs/>
          <w:spacing w:val="4"/>
          <w:position w:val="2"/>
        </w:rPr>
        <w:t>中共固原市委办公室</w:t>
      </w:r>
      <w:r>
        <w:rPr>
          <w:sz w:val="43"/>
          <w:szCs w:val="43"/>
          <w:spacing w:val="4"/>
          <w:position w:val="2"/>
        </w:rPr>
        <w:t xml:space="preserve">  </w:t>
      </w:r>
      <w:r>
        <w:rPr>
          <w:sz w:val="43"/>
          <w:szCs w:val="43"/>
          <w:b/>
          <w:bCs/>
          <w:spacing w:val="4"/>
          <w:position w:val="2"/>
        </w:rPr>
        <w:t>市人民政府办公室</w:t>
      </w:r>
    </w:p>
    <w:p>
      <w:pPr>
        <w:pStyle w:val="BodyText"/>
        <w:ind w:left="29"/>
        <w:spacing w:line="580" w:lineRule="exact"/>
        <w:rPr>
          <w:sz w:val="43"/>
          <w:szCs w:val="43"/>
        </w:rPr>
      </w:pPr>
      <w:r>
        <w:rPr>
          <w:sz w:val="43"/>
          <w:szCs w:val="43"/>
          <w:b/>
          <w:bCs/>
          <w:spacing w:val="1"/>
          <w:position w:val="2"/>
        </w:rPr>
        <w:t>关于印发《固原市推进基层整合审批服务执法</w:t>
      </w:r>
    </w:p>
    <w:p>
      <w:pPr>
        <w:pStyle w:val="BodyText"/>
        <w:ind w:left="1986"/>
        <w:spacing w:line="605" w:lineRule="exact"/>
        <w:rPr>
          <w:sz w:val="43"/>
          <w:szCs w:val="43"/>
        </w:rPr>
      </w:pPr>
      <w:r>
        <w:rPr>
          <w:sz w:val="43"/>
          <w:szCs w:val="43"/>
          <w:b/>
          <w:bCs/>
          <w:spacing w:val="3"/>
          <w:position w:val="3"/>
        </w:rPr>
        <w:t>力量的实施方案》的通知</w:t>
      </w:r>
    </w:p>
    <w:p>
      <w:pPr>
        <w:spacing w:line="250" w:lineRule="auto"/>
        <w:rPr>
          <w:rFonts w:ascii="Arial"/>
          <w:sz w:val="21"/>
        </w:rPr>
      </w:pPr>
      <w:r/>
    </w:p>
    <w:p>
      <w:pPr>
        <w:pStyle w:val="BodyText"/>
        <w:ind w:left="6946"/>
        <w:spacing w:before="65" w:line="278" w:lineRule="exact"/>
        <w:rPr/>
      </w:pPr>
      <w:r>
        <w:rPr>
          <w:spacing w:val="4"/>
          <w:position w:val="1"/>
        </w:rPr>
        <w:t>固党办〔2021〕1</w:t>
      </w:r>
      <w:r>
        <w:rPr>
          <w:spacing w:val="-39"/>
          <w:position w:val="1"/>
        </w:rPr>
        <w:t xml:space="preserve"> </w:t>
      </w:r>
      <w:r>
        <w:rPr>
          <w:spacing w:val="4"/>
          <w:position w:val="1"/>
        </w:rPr>
        <w:t>号</w:t>
      </w:r>
    </w:p>
    <w:p>
      <w:pPr>
        <w:spacing w:line="346" w:lineRule="auto"/>
        <w:rPr>
          <w:rFonts w:ascii="Arial"/>
          <w:sz w:val="21"/>
        </w:rPr>
      </w:pPr>
      <w:r/>
    </w:p>
    <w:p>
      <w:pPr>
        <w:pStyle w:val="BodyText"/>
        <w:spacing w:before="65" w:line="277" w:lineRule="exact"/>
        <w:outlineLvl w:val="0"/>
        <w:jc w:val="right"/>
        <w:rPr/>
      </w:pPr>
      <w:r>
        <w:rPr>
          <w:spacing w:val="5"/>
          <w:position w:val="1"/>
        </w:rPr>
        <w:t>各县（区）党委和人民政府，市委各部委办（局</w:t>
      </w:r>
      <w:r>
        <w:rPr>
          <w:spacing w:val="-8"/>
          <w:position w:val="1"/>
        </w:rPr>
        <w:t>），</w:t>
      </w:r>
      <w:r>
        <w:rPr>
          <w:spacing w:val="5"/>
          <w:position w:val="1"/>
        </w:rPr>
        <w:t>市直各局委办，各人民团体、直属事业单位，</w:t>
      </w:r>
    </w:p>
    <w:p>
      <w:pPr>
        <w:pStyle w:val="BodyText"/>
        <w:ind w:left="49"/>
        <w:spacing w:before="124" w:line="279" w:lineRule="exact"/>
        <w:rPr/>
      </w:pPr>
      <w:r>
        <w:rPr>
          <w:spacing w:val="7"/>
          <w:position w:val="1"/>
        </w:rPr>
        <w:t>中央、区属驻固各单位，各国有企业:</w:t>
      </w:r>
    </w:p>
    <w:p>
      <w:pPr>
        <w:pStyle w:val="BodyText"/>
        <w:ind w:left="35" w:right="309" w:firstLine="395"/>
        <w:spacing w:before="119" w:line="352" w:lineRule="auto"/>
        <w:rPr/>
      </w:pPr>
      <w:r>
        <w:rPr>
          <w:spacing w:val="8"/>
        </w:rPr>
        <w:t>《固原市推进基层整合审批服务执法力量的实施方案》已经市委市政府研究同意，</w:t>
      </w:r>
      <w:r>
        <w:rPr>
          <w:spacing w:val="7"/>
        </w:rPr>
        <w:t>现印发</w:t>
      </w:r>
      <w:r>
        <w:rPr>
          <w:spacing w:val="8"/>
        </w:rPr>
        <w:t>给你们，请结合实际认真抓好贯彻落实。</w:t>
      </w:r>
    </w:p>
    <w:p>
      <w:pPr>
        <w:spacing w:line="375" w:lineRule="auto"/>
        <w:rPr>
          <w:rFonts w:ascii="Arial"/>
          <w:sz w:val="21"/>
        </w:rPr>
      </w:pPr>
      <w:r/>
    </w:p>
    <w:p>
      <w:pPr>
        <w:pStyle w:val="BodyText"/>
        <w:ind w:left="6709"/>
        <w:spacing w:before="66" w:line="219" w:lineRule="auto"/>
        <w:outlineLvl w:val="0"/>
        <w:rPr/>
      </w:pPr>
      <w:r>
        <w:rPr>
          <w:spacing w:val="24"/>
        </w:rPr>
        <w:t>中共固原市委办公室</w:t>
      </w:r>
    </w:p>
    <w:p>
      <w:pPr>
        <w:pStyle w:val="BodyText"/>
        <w:ind w:left="6677"/>
        <w:spacing w:before="163" w:line="218" w:lineRule="auto"/>
        <w:outlineLvl w:val="0"/>
        <w:rPr/>
      </w:pPr>
      <w:r>
        <w:rPr>
          <w:spacing w:val="7"/>
        </w:rPr>
        <w:t>固原市人民政府办公室</w:t>
      </w:r>
    </w:p>
    <w:p>
      <w:pPr>
        <w:pStyle w:val="BodyText"/>
        <w:ind w:left="7013"/>
        <w:spacing w:before="160" w:line="277" w:lineRule="exact"/>
        <w:outlineLvl w:val="0"/>
        <w:rPr/>
      </w:pPr>
      <w:r>
        <w:rPr>
          <w:spacing w:val="-1"/>
          <w:position w:val="1"/>
        </w:rPr>
        <w:t>2021</w:t>
      </w:r>
      <w:r>
        <w:rPr>
          <w:spacing w:val="-37"/>
          <w:position w:val="1"/>
        </w:rPr>
        <w:t xml:space="preserve"> </w:t>
      </w:r>
      <w:r>
        <w:rPr>
          <w:spacing w:val="-1"/>
          <w:position w:val="1"/>
        </w:rPr>
        <w:t>年</w:t>
      </w:r>
      <w:r>
        <w:rPr>
          <w:spacing w:val="-24"/>
          <w:position w:val="1"/>
        </w:rPr>
        <w:t xml:space="preserve"> </w:t>
      </w:r>
      <w:r>
        <w:rPr>
          <w:spacing w:val="-1"/>
          <w:position w:val="1"/>
        </w:rPr>
        <w:t>1</w:t>
      </w:r>
      <w:r>
        <w:rPr>
          <w:spacing w:val="-41"/>
          <w:position w:val="1"/>
        </w:rPr>
        <w:t xml:space="preserve"> </w:t>
      </w:r>
      <w:r>
        <w:rPr>
          <w:spacing w:val="-1"/>
          <w:position w:val="1"/>
        </w:rPr>
        <w:t>月</w:t>
      </w:r>
      <w:r>
        <w:rPr>
          <w:spacing w:val="-38"/>
          <w:position w:val="1"/>
        </w:rPr>
        <w:t xml:space="preserve"> </w:t>
      </w:r>
      <w:r>
        <w:rPr>
          <w:spacing w:val="-1"/>
          <w:position w:val="1"/>
        </w:rPr>
        <w:t>5 日</w:t>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pStyle w:val="BodyText"/>
        <w:ind w:left="1557"/>
        <w:spacing w:before="141" w:line="581" w:lineRule="exact"/>
        <w:outlineLvl w:val="0"/>
        <w:rPr>
          <w:sz w:val="43"/>
          <w:szCs w:val="43"/>
        </w:rPr>
      </w:pPr>
      <w:r>
        <w:rPr>
          <w:sz w:val="43"/>
          <w:szCs w:val="43"/>
          <w:b/>
          <w:bCs/>
          <w:spacing w:val="3"/>
          <w:position w:val="2"/>
        </w:rPr>
        <w:t>固原市推进基层整合审批服务</w:t>
      </w:r>
    </w:p>
    <w:p>
      <w:pPr>
        <w:pStyle w:val="BodyText"/>
        <w:ind w:left="2414"/>
        <w:spacing w:line="605" w:lineRule="exact"/>
        <w:rPr>
          <w:sz w:val="43"/>
          <w:szCs w:val="43"/>
        </w:rPr>
      </w:pPr>
      <w:r>
        <w:rPr>
          <w:sz w:val="43"/>
          <w:szCs w:val="43"/>
          <w:b/>
          <w:bCs/>
          <w:spacing w:val="4"/>
          <w:position w:val="3"/>
        </w:rPr>
        <w:t>执法力量的实施方案</w:t>
      </w:r>
    </w:p>
    <w:p>
      <w:pPr>
        <w:spacing w:before="146"/>
        <w:rPr/>
      </w:pPr>
      <w:r/>
    </w:p>
    <w:p>
      <w:pPr>
        <w:sectPr>
          <w:headerReference w:type="default" r:id="rId297"/>
          <w:footerReference w:type="default" r:id="rId298"/>
          <w:pgSz w:w="11906" w:h="16839"/>
          <w:pgMar w:top="1793" w:right="1489" w:bottom="1673" w:left="1565" w:header="1428" w:footer="1277" w:gutter="0"/>
          <w:cols w:equalWidth="0" w:num="1">
            <w:col w:w="8852" w:space="0"/>
          </w:cols>
        </w:sectPr>
        <w:rPr/>
      </w:pPr>
    </w:p>
    <w:p>
      <w:pPr>
        <w:pStyle w:val="BodyText"/>
        <w:ind w:left="447"/>
        <w:spacing w:before="47" w:line="222" w:lineRule="auto"/>
        <w:rPr/>
      </w:pPr>
      <w:r>
        <w:rPr>
          <w:spacing w:val="19"/>
        </w:rPr>
        <w:t>按照党中央和自治区党委关于构建简约</w:t>
      </w:r>
    </w:p>
    <w:p>
      <w:pPr>
        <w:pStyle w:val="BodyText"/>
        <w:ind w:left="31"/>
        <w:spacing w:before="139" w:line="224" w:lineRule="auto"/>
        <w:outlineLvl w:val="0"/>
        <w:rPr/>
      </w:pPr>
      <w:r>
        <w:rPr>
          <w:spacing w:val="7"/>
        </w:rPr>
        <w:t>高效基层管理体制的部署要求，为认真贯彻落</w:t>
      </w:r>
    </w:p>
    <w:p>
      <w:pPr>
        <w:pStyle w:val="BodyText"/>
        <w:ind w:left="19" w:right="269" w:firstLine="11"/>
        <w:spacing w:before="136" w:line="347" w:lineRule="auto"/>
        <w:jc w:val="both"/>
        <w:rPr/>
      </w:pPr>
      <w:r>
        <w:rPr>
          <w:spacing w:val="7"/>
        </w:rPr>
        <w:t>实自治区党委办公厅、人民政府办公厅《关于</w:t>
      </w:r>
      <w:r>
        <w:rPr>
          <w:spacing w:val="10"/>
        </w:rPr>
        <w:t>推进基层整合审批服务执法力量的实施方案》</w:t>
      </w:r>
      <w:r>
        <w:rPr>
          <w:spacing w:val="13"/>
        </w:rPr>
        <w:t xml:space="preserve"> </w:t>
      </w:r>
      <w:r>
        <w:rPr>
          <w:spacing w:val="4"/>
        </w:rPr>
        <w:t>（宁党办〔2020〕86</w:t>
      </w:r>
      <w:r>
        <w:rPr>
          <w:spacing w:val="-37"/>
        </w:rPr>
        <w:t xml:space="preserve"> </w:t>
      </w:r>
      <w:r>
        <w:rPr>
          <w:spacing w:val="4"/>
        </w:rPr>
        <w:t>号）精神，进一步夯实基</w:t>
      </w:r>
      <w:r>
        <w:rPr>
          <w:spacing w:val="7"/>
        </w:rPr>
        <w:t>层治理体系和治理能力基础，现就结合乡镇和</w:t>
      </w:r>
      <w:r>
        <w:rPr>
          <w:spacing w:val="7"/>
        </w:rPr>
        <w:t>街道改革推进基层整合审批服务执法力量，制</w:t>
      </w:r>
      <w:r>
        <w:rPr>
          <w:spacing w:val="9"/>
        </w:rPr>
        <w:t>定如下实施方案。</w:t>
      </w:r>
    </w:p>
    <w:p>
      <w:pPr>
        <w:ind w:left="456"/>
        <w:spacing w:before="33" w:line="180"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一、总体要求</w:t>
      </w:r>
    </w:p>
    <w:p>
      <w:pPr>
        <w:pStyle w:val="BodyText"/>
        <w:ind w:left="448"/>
        <w:spacing w:before="108" w:line="186" w:lineRule="auto"/>
        <w:outlineLvl w:val="0"/>
        <w:rPr/>
      </w:pPr>
      <w:r>
        <w:rPr>
          <w:spacing w:val="19"/>
        </w:rPr>
        <w:t>坚持以习近平新时代中国特色社会主义</w:t>
      </w:r>
    </w:p>
    <w:p>
      <w:pPr>
        <w:spacing w:line="14" w:lineRule="auto"/>
        <w:rPr>
          <w:rFonts w:ascii="Arial"/>
          <w:sz w:val="2"/>
        </w:rPr>
      </w:pPr>
      <w:r>
        <w:rPr>
          <w:rFonts w:ascii="Arial" w:hAnsi="Arial" w:eastAsia="Arial" w:cs="Arial"/>
          <w:sz w:val="2"/>
          <w:szCs w:val="2"/>
        </w:rPr>
        <w:br w:type="column"/>
      </w:r>
    </w:p>
    <w:p>
      <w:pPr>
        <w:pStyle w:val="BodyText"/>
        <w:ind w:right="94" w:firstLine="3"/>
        <w:spacing w:before="41" w:line="334" w:lineRule="auto"/>
        <w:jc w:val="both"/>
        <w:rPr/>
      </w:pPr>
      <w:r>
        <w:rPr>
          <w:spacing w:val="7"/>
        </w:rPr>
        <w:t>思想为指导，全面贯彻落实党的十九大和十九</w:t>
      </w:r>
      <w:r>
        <w:rPr>
          <w:spacing w:val="7"/>
        </w:rPr>
        <w:t>届二中、三中、四中、五中全会精神，认真贯</w:t>
      </w:r>
      <w:r>
        <w:rPr>
          <w:spacing w:val="7"/>
        </w:rPr>
        <w:t>彻落实自治区党委十二届十次、十一次、十二</w:t>
      </w:r>
      <w:r>
        <w:rPr>
          <w:spacing w:val="7"/>
        </w:rPr>
        <w:t>次和市委四届七次、八次、九次全会精神，增</w:t>
      </w:r>
      <w:r>
        <w:rPr>
          <w:spacing w:val="3"/>
        </w:rPr>
        <w:t>强</w:t>
      </w:r>
      <w:r>
        <w:rPr>
          <w:rFonts w:ascii="Times New Roman" w:hAnsi="Times New Roman" w:eastAsia="Times New Roman" w:cs="Times New Roman"/>
          <w:spacing w:val="3"/>
        </w:rPr>
        <w:t>“</w:t>
      </w:r>
      <w:r>
        <w:rPr>
          <w:rFonts w:ascii="Times New Roman" w:hAnsi="Times New Roman" w:eastAsia="Times New Roman" w:cs="Times New Roman"/>
          <w:spacing w:val="-16"/>
        </w:rPr>
        <w:t xml:space="preserve"> </w:t>
      </w:r>
      <w:r>
        <w:rPr>
          <w:spacing w:val="3"/>
        </w:rPr>
        <w:t>四个意识</w:t>
      </w:r>
      <w:r>
        <w:rPr>
          <w:rFonts w:ascii="Times New Roman" w:hAnsi="Times New Roman" w:eastAsia="Times New Roman" w:cs="Times New Roman"/>
          <w:spacing w:val="3"/>
        </w:rPr>
        <w:t>”</w:t>
      </w:r>
      <w:r>
        <w:rPr>
          <w:spacing w:val="3"/>
        </w:rPr>
        <w:t>、坚定</w:t>
      </w:r>
      <w:r>
        <w:rPr>
          <w:rFonts w:ascii="Times New Roman" w:hAnsi="Times New Roman" w:eastAsia="Times New Roman" w:cs="Times New Roman"/>
          <w:spacing w:val="3"/>
        </w:rPr>
        <w:t>“</w:t>
      </w:r>
      <w:r>
        <w:rPr>
          <w:spacing w:val="3"/>
        </w:rPr>
        <w:t>四个自信</w:t>
      </w:r>
      <w:r>
        <w:rPr>
          <w:rFonts w:ascii="Times New Roman" w:hAnsi="Times New Roman" w:eastAsia="Times New Roman" w:cs="Times New Roman"/>
          <w:spacing w:val="3"/>
        </w:rPr>
        <w:t>”</w:t>
      </w:r>
      <w:r>
        <w:rPr>
          <w:spacing w:val="3"/>
        </w:rPr>
        <w:t>、做到</w:t>
      </w:r>
      <w:r>
        <w:rPr>
          <w:rFonts w:ascii="Times New Roman" w:hAnsi="Times New Roman" w:eastAsia="Times New Roman" w:cs="Times New Roman"/>
          <w:spacing w:val="3"/>
        </w:rPr>
        <w:t>“</w:t>
      </w:r>
      <w:r>
        <w:rPr>
          <w:spacing w:val="3"/>
        </w:rPr>
        <w:t>两个维</w:t>
      </w:r>
      <w:r>
        <w:rPr>
          <w:spacing w:val="8"/>
        </w:rPr>
        <w:t>护</w:t>
      </w:r>
      <w:r>
        <w:rPr>
          <w:rFonts w:ascii="Times New Roman" w:hAnsi="Times New Roman" w:eastAsia="Times New Roman" w:cs="Times New Roman"/>
          <w:spacing w:val="8"/>
        </w:rPr>
        <w:t>”</w:t>
      </w:r>
      <w:r>
        <w:rPr>
          <w:rFonts w:ascii="Times New Roman" w:hAnsi="Times New Roman" w:eastAsia="Times New Roman" w:cs="Times New Roman"/>
          <w:spacing w:val="5"/>
        </w:rPr>
        <w:t xml:space="preserve"> </w:t>
      </w:r>
      <w:r>
        <w:rPr>
          <w:spacing w:val="8"/>
        </w:rPr>
        <w:t>，以坚持和加强党的全面领导为统领</w:t>
      </w:r>
      <w:r>
        <w:rPr>
          <w:spacing w:val="-59"/>
        </w:rPr>
        <w:t xml:space="preserve"> </w:t>
      </w:r>
      <w:r>
        <w:rPr>
          <w:spacing w:val="8"/>
        </w:rPr>
        <w:t>，以</w:t>
      </w:r>
      <w:r>
        <w:rPr>
          <w:spacing w:val="18"/>
        </w:rPr>
        <w:t>完善基层治理体系、提高基层治理能力为导</w:t>
      </w:r>
      <w:r>
        <w:rPr>
          <w:spacing w:val="7"/>
        </w:rPr>
        <w:t>向，以推动机构职能优化协同高效为着力点，</w:t>
      </w:r>
      <w:r>
        <w:rPr>
          <w:spacing w:val="7"/>
        </w:rPr>
        <w:t>适应乡镇和街道工作特点及便民服务需要，加</w:t>
      </w:r>
      <w:r>
        <w:rPr>
          <w:spacing w:val="7"/>
        </w:rPr>
        <w:t>强党的基层组织建设，改革机构设置，优化职</w:t>
      </w:r>
    </w:p>
    <w:p>
      <w:pPr>
        <w:spacing w:line="334" w:lineRule="auto"/>
        <w:sectPr>
          <w:type w:val="continuous"/>
          <w:pgSz w:w="11906" w:h="16839"/>
          <w:pgMar w:top="1793" w:right="1489" w:bottom="1673" w:left="1565" w:header="1428" w:footer="1277" w:gutter="0"/>
          <w:cols w:equalWidth="0" w:num="2">
            <w:col w:w="4504" w:space="100"/>
            <w:col w:w="4248" w:space="0"/>
          </w:cols>
        </w:sectPr>
        <w:rPr/>
      </w:pPr>
    </w:p>
    <w:p>
      <w:pPr>
        <w:spacing w:before="18"/>
        <w:rPr/>
      </w:pPr>
      <w:r>
        <w:drawing>
          <wp:anchor distT="0" distB="0" distL="0" distR="0" simplePos="0" relativeHeight="251871232"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600" name="IM 600"/>
            <wp:cNvGraphicFramePr/>
            <a:graphic>
              <a:graphicData uri="http://schemas.openxmlformats.org/drawingml/2006/picture">
                <pic:pic>
                  <pic:nvPicPr>
                    <pic:cNvPr id="600" name="IM 600"/>
                    <pic:cNvPicPr/>
                  </pic:nvPicPr>
                  <pic:blipFill>
                    <a:blip r:embed="rId302"/>
                    <a:stretch>
                      <a:fillRect/>
                    </a:stretch>
                  </pic:blipFill>
                  <pic:spPr>
                    <a:xfrm rot="0">
                      <a:off x="0" y="0"/>
                      <a:ext cx="5579745" cy="7619"/>
                    </a:xfrm>
                    <a:prstGeom prst="rect">
                      <a:avLst/>
                    </a:prstGeom>
                  </pic:spPr>
                </pic:pic>
              </a:graphicData>
            </a:graphic>
          </wp:anchor>
        </w:drawing>
      </w:r>
      <w:r/>
    </w:p>
    <w:p>
      <w:pPr>
        <w:sectPr>
          <w:headerReference w:type="default" r:id="rId300"/>
          <w:footerReference w:type="default" r:id="rId301"/>
          <w:pgSz w:w="11906" w:h="16839"/>
          <w:pgMar w:top="1793" w:right="1393" w:bottom="1570" w:left="1579" w:header="1428" w:footer="1172" w:gutter="0"/>
          <w:cols w:equalWidth="0" w:num="1">
            <w:col w:w="8933" w:space="0"/>
          </w:cols>
        </w:sectPr>
        <w:rPr/>
      </w:pPr>
    </w:p>
    <w:p>
      <w:pPr>
        <w:pStyle w:val="BodyText"/>
        <w:ind w:left="11" w:right="265" w:firstLine="6"/>
        <w:spacing w:before="49" w:line="342" w:lineRule="auto"/>
        <w:jc w:val="both"/>
        <w:rPr/>
      </w:pPr>
      <w:r>
        <w:rPr>
          <w:spacing w:val="7"/>
        </w:rPr>
        <w:t>能配置，理顺职责关系，使基层各类机构、组</w:t>
      </w:r>
      <w:r>
        <w:rPr>
          <w:spacing w:val="7"/>
        </w:rPr>
        <w:t>织在服务保障群众需求上有更大作为。坚持赋</w:t>
      </w:r>
      <w:r>
        <w:rPr>
          <w:spacing w:val="7"/>
        </w:rPr>
        <w:t>能与减负相结合，整合基层审批、服务、执法</w:t>
      </w:r>
      <w:r>
        <w:rPr/>
        <w:t>等方面的力量，推动治理重心下移、资源下沉，</w:t>
      </w:r>
      <w:r>
        <w:rPr>
          <w:spacing w:val="7"/>
        </w:rPr>
        <w:t>全面提升基层治理能力和公共服务水平，切实</w:t>
      </w:r>
      <w:r>
        <w:rPr>
          <w:spacing w:val="7"/>
        </w:rPr>
        <w:t>增强人民群众的获得感、幸福感、安全感，为</w:t>
      </w:r>
      <w:r>
        <w:rPr>
          <w:spacing w:val="18"/>
        </w:rPr>
        <w:t>奋力描绘好建设先行区继续建设美丽新宁夏</w:t>
      </w:r>
      <w:r>
        <w:rPr>
          <w:spacing w:val="8"/>
        </w:rPr>
        <w:t>的固原画卷提供体制机制保障。</w:t>
      </w:r>
    </w:p>
    <w:p>
      <w:pPr>
        <w:ind w:left="441"/>
        <w:spacing w:before="4" w:line="179"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二、主要任务</w:t>
      </w:r>
    </w:p>
    <w:p>
      <w:pPr>
        <w:ind w:left="424"/>
        <w:spacing w:before="102" w:line="242" w:lineRule="auto"/>
        <w:outlineLvl w:val="0"/>
        <w:rPr>
          <w:rFonts w:ascii="KaiTi" w:hAnsi="KaiTi" w:eastAsia="KaiTi" w:cs="KaiTi"/>
          <w:sz w:val="20"/>
          <w:szCs w:val="20"/>
        </w:rPr>
      </w:pPr>
      <w:r>
        <w:rPr>
          <w:rFonts w:ascii="KaiTi" w:hAnsi="KaiTi" w:eastAsia="KaiTi" w:cs="KaiTi"/>
          <w:sz w:val="20"/>
          <w:szCs w:val="20"/>
          <w:b/>
          <w:bCs/>
          <w:spacing w:val="5"/>
        </w:rPr>
        <w:t>（</w:t>
      </w:r>
      <w:r>
        <w:rPr>
          <w:rFonts w:ascii="KaiTi" w:hAnsi="KaiTi" w:eastAsia="KaiTi" w:cs="KaiTi"/>
          <w:sz w:val="20"/>
          <w:szCs w:val="20"/>
          <w:spacing w:val="-39"/>
        </w:rPr>
        <w:t xml:space="preserve"> </w:t>
      </w:r>
      <w:r>
        <w:rPr>
          <w:rFonts w:ascii="KaiTi" w:hAnsi="KaiTi" w:eastAsia="KaiTi" w:cs="KaiTi"/>
          <w:sz w:val="20"/>
          <w:szCs w:val="20"/>
          <w:b/>
          <w:bCs/>
          <w:spacing w:val="5"/>
        </w:rPr>
        <w:t>一）构建简约精干的基层组织架构</w:t>
      </w:r>
    </w:p>
    <w:p>
      <w:pPr>
        <w:pStyle w:val="BodyText"/>
        <w:ind w:left="22" w:right="327" w:firstLine="429"/>
        <w:spacing w:before="109" w:line="299" w:lineRule="auto"/>
        <w:outlineLvl w:val="0"/>
        <w:rPr/>
      </w:pPr>
      <w:r>
        <w:rPr>
          <w:spacing w:val="5"/>
        </w:rPr>
        <w:t>1.统筹优化乡镇（街道）机构设置。强化</w:t>
      </w:r>
      <w:r>
        <w:rPr>
          <w:spacing w:val="6"/>
        </w:rPr>
        <w:t>乡镇和街道党（工）委领导作用，综合设置乡</w:t>
      </w:r>
    </w:p>
    <w:p>
      <w:pPr>
        <w:pStyle w:val="BodyText"/>
        <w:ind w:left="11" w:right="246"/>
        <w:spacing w:before="102" w:line="341" w:lineRule="auto"/>
        <w:jc w:val="both"/>
        <w:rPr/>
      </w:pPr>
      <w:r>
        <w:rPr>
          <w:spacing w:val="7"/>
        </w:rPr>
        <w:t>镇和街道党政机构和事业单位，严格机构限额</w:t>
      </w:r>
      <w:r>
        <w:rPr>
          <w:spacing w:val="9"/>
        </w:rPr>
        <w:t>管理。乡镇党政机构和事业单位一般设</w:t>
      </w:r>
      <w:r>
        <w:rPr>
          <w:spacing w:val="-23"/>
        </w:rPr>
        <w:t xml:space="preserve"> </w:t>
      </w:r>
      <w:r>
        <w:rPr>
          <w:spacing w:val="9"/>
        </w:rPr>
        <w:t>9</w:t>
      </w:r>
      <w:r>
        <w:rPr>
          <w:spacing w:val="-45"/>
        </w:rPr>
        <w:t xml:space="preserve"> </w:t>
      </w:r>
      <w:r>
        <w:rPr>
          <w:spacing w:val="9"/>
        </w:rPr>
        <w:t>个。</w:t>
      </w:r>
      <w:r>
        <w:rPr/>
        <w:t>其中：党政机构</w:t>
      </w:r>
      <w:r>
        <w:rPr>
          <w:spacing w:val="-26"/>
        </w:rPr>
        <w:t xml:space="preserve"> </w:t>
      </w:r>
      <w:r>
        <w:rPr/>
        <w:t>5</w:t>
      </w:r>
      <w:r>
        <w:rPr>
          <w:spacing w:val="-45"/>
        </w:rPr>
        <w:t xml:space="preserve"> </w:t>
      </w:r>
      <w:r>
        <w:rPr/>
        <w:t>个，名称统一为综合办公室、</w:t>
      </w:r>
      <w:r>
        <w:rPr>
          <w:spacing w:val="7"/>
        </w:rPr>
        <w:t>党建工作办公室、经济发展办公室、社会事务</w:t>
      </w:r>
      <w:r>
        <w:rPr>
          <w:spacing w:val="7"/>
        </w:rPr>
        <w:t>管理办公室、综合执法办公室（应急管理办公</w:t>
      </w:r>
      <w:r>
        <w:rPr>
          <w:spacing w:val="8"/>
        </w:rPr>
        <w:t>室</w:t>
      </w:r>
      <w:r>
        <w:rPr>
          <w:spacing w:val="-3"/>
        </w:rPr>
        <w:t>）；</w:t>
      </w:r>
      <w:r>
        <w:rPr>
          <w:spacing w:val="8"/>
        </w:rPr>
        <w:t>事业单位</w:t>
      </w:r>
      <w:r>
        <w:rPr>
          <w:spacing w:val="-45"/>
        </w:rPr>
        <w:t xml:space="preserve"> </w:t>
      </w:r>
      <w:r>
        <w:rPr>
          <w:spacing w:val="8"/>
        </w:rPr>
        <w:t>4</w:t>
      </w:r>
      <w:r>
        <w:rPr>
          <w:spacing w:val="-45"/>
        </w:rPr>
        <w:t xml:space="preserve"> </w:t>
      </w:r>
      <w:r>
        <w:rPr>
          <w:spacing w:val="8"/>
        </w:rPr>
        <w:t>个，名称统一为民生服务中</w:t>
      </w:r>
      <w:r>
        <w:rPr>
          <w:spacing w:val="10"/>
        </w:rPr>
        <w:t>心（退役军人服务站）、农业综合服务中心、</w:t>
      </w:r>
      <w:r>
        <w:rPr>
          <w:spacing w:val="7"/>
        </w:rPr>
        <w:t>综治中心、财经服务中心。街道党政机构和事</w:t>
      </w:r>
      <w:r>
        <w:rPr>
          <w:spacing w:val="5"/>
        </w:rPr>
        <w:t>业单位一般设</w:t>
      </w:r>
      <w:r>
        <w:rPr>
          <w:spacing w:val="-37"/>
        </w:rPr>
        <w:t xml:space="preserve"> </w:t>
      </w:r>
      <w:r>
        <w:rPr>
          <w:spacing w:val="5"/>
        </w:rPr>
        <w:t>7</w:t>
      </w:r>
      <w:r>
        <w:rPr>
          <w:spacing w:val="-45"/>
        </w:rPr>
        <w:t xml:space="preserve"> </w:t>
      </w:r>
      <w:r>
        <w:rPr>
          <w:spacing w:val="5"/>
        </w:rPr>
        <w:t>个，涉农街道可增加</w:t>
      </w:r>
      <w:r>
        <w:rPr>
          <w:spacing w:val="-25"/>
        </w:rPr>
        <w:t xml:space="preserve"> </w:t>
      </w:r>
      <w:r>
        <w:rPr>
          <w:spacing w:val="5"/>
        </w:rPr>
        <w:t>1</w:t>
      </w:r>
      <w:r>
        <w:rPr>
          <w:spacing w:val="-45"/>
        </w:rPr>
        <w:t xml:space="preserve"> </w:t>
      </w:r>
      <w:r>
        <w:rPr>
          <w:spacing w:val="5"/>
        </w:rPr>
        <w:t>个。其</w:t>
      </w:r>
      <w:r>
        <w:rPr>
          <w:spacing w:val="8"/>
        </w:rPr>
        <w:t>中</w:t>
      </w:r>
      <w:r>
        <w:rPr>
          <w:spacing w:val="-60"/>
        </w:rPr>
        <w:t xml:space="preserve"> </w:t>
      </w:r>
      <w:r>
        <w:rPr>
          <w:spacing w:val="8"/>
        </w:rPr>
        <w:t>：党政机构</w:t>
      </w:r>
      <w:r>
        <w:rPr>
          <w:spacing w:val="-45"/>
        </w:rPr>
        <w:t xml:space="preserve"> </w:t>
      </w:r>
      <w:r>
        <w:rPr>
          <w:spacing w:val="8"/>
        </w:rPr>
        <w:t>4</w:t>
      </w:r>
      <w:r>
        <w:rPr>
          <w:spacing w:val="-45"/>
        </w:rPr>
        <w:t xml:space="preserve"> </w:t>
      </w:r>
      <w:r>
        <w:rPr>
          <w:spacing w:val="8"/>
        </w:rPr>
        <w:t>个，名称统一为综合办公室、</w:t>
      </w:r>
      <w:r>
        <w:rPr>
          <w:spacing w:val="7"/>
        </w:rPr>
        <w:t>党建工作办公室、社会事务管理办公室、综合</w:t>
      </w:r>
      <w:r>
        <w:rPr>
          <w:spacing w:val="8"/>
        </w:rPr>
        <w:t>执法办公室（应急管理办公室</w:t>
      </w:r>
      <w:r>
        <w:rPr>
          <w:spacing w:val="-6"/>
        </w:rPr>
        <w:t>）</w:t>
      </w:r>
      <w:r>
        <w:rPr>
          <w:spacing w:val="-52"/>
        </w:rPr>
        <w:t xml:space="preserve"> </w:t>
      </w:r>
      <w:r>
        <w:rPr>
          <w:spacing w:val="-6"/>
        </w:rPr>
        <w:t>；</w:t>
      </w:r>
      <w:r>
        <w:rPr>
          <w:spacing w:val="8"/>
        </w:rPr>
        <w:t>事业单位</w:t>
      </w:r>
      <w:r>
        <w:rPr>
          <w:spacing w:val="-39"/>
        </w:rPr>
        <w:t xml:space="preserve"> </w:t>
      </w:r>
      <w:r>
        <w:rPr>
          <w:spacing w:val="8"/>
        </w:rPr>
        <w:t>3</w:t>
      </w:r>
      <w:r>
        <w:rPr>
          <w:spacing w:val="7"/>
        </w:rPr>
        <w:t>个，名称统一为民生服务中心（退役军人服务</w:t>
      </w:r>
      <w:r>
        <w:rPr>
          <w:spacing w:val="7"/>
        </w:rPr>
        <w:t>站）、公用事业服务中心、综治中心。全面清</w:t>
      </w:r>
      <w:r>
        <w:rPr>
          <w:spacing w:val="7"/>
        </w:rPr>
        <w:t>理各类自设机构，严格规范挂牌机构，除党中</w:t>
      </w:r>
      <w:r>
        <w:rPr>
          <w:spacing w:val="7"/>
        </w:rPr>
        <w:t>央和自治区党委明确要求外，上级职能部门不</w:t>
      </w:r>
      <w:r>
        <w:rPr>
          <w:spacing w:val="11"/>
        </w:rPr>
        <w:t>得要求乡镇和街道对口设立机构或加挂牌子，</w:t>
      </w:r>
      <w:r>
        <w:rPr>
          <w:spacing w:val="9"/>
        </w:rPr>
        <w:t>不得要求在村（社区）设立机构或加挂牌子。</w:t>
      </w:r>
    </w:p>
    <w:p>
      <w:pPr>
        <w:pStyle w:val="BodyText"/>
        <w:ind w:left="4"/>
        <w:spacing w:line="277" w:lineRule="exact"/>
        <w:rPr/>
      </w:pPr>
      <w:r>
        <w:rPr>
          <w:spacing w:val="10"/>
          <w:position w:val="1"/>
        </w:rPr>
        <w:t>（市委组织部、编办牵头，各县〔区〕落实）</w:t>
      </w:r>
    </w:p>
    <w:p>
      <w:pPr>
        <w:pStyle w:val="BodyText"/>
        <w:ind w:left="30" w:right="327" w:firstLine="404"/>
        <w:spacing w:before="93" w:line="283" w:lineRule="auto"/>
        <w:outlineLvl w:val="0"/>
        <w:rPr/>
      </w:pPr>
      <w:r>
        <w:rPr>
          <w:spacing w:val="6"/>
        </w:rPr>
        <w:t>2.调整规范派驻站所管理体制。除党中央</w:t>
      </w:r>
      <w:r>
        <w:rPr>
          <w:spacing w:val="6"/>
        </w:rPr>
        <w:t>明确要求实行派驻体制的机构外，县级部门派</w:t>
      </w:r>
    </w:p>
    <w:p>
      <w:pPr>
        <w:pStyle w:val="BodyText"/>
        <w:ind w:left="11" w:right="309"/>
        <w:spacing w:before="127" w:line="282" w:lineRule="auto"/>
        <w:rPr/>
      </w:pPr>
      <w:r>
        <w:rPr>
          <w:spacing w:val="8"/>
        </w:rPr>
        <w:t>驻乡镇（街道）的机构原则上实行属地管理。</w:t>
      </w:r>
      <w:r>
        <w:rPr>
          <w:spacing w:val="7"/>
        </w:rPr>
        <w:t>将国土资源所和农业技术推广机构（农业服务</w:t>
      </w:r>
    </w:p>
    <w:p>
      <w:pPr>
        <w:spacing w:line="14" w:lineRule="auto"/>
        <w:rPr>
          <w:rFonts w:ascii="Arial"/>
          <w:sz w:val="2"/>
        </w:rPr>
      </w:pPr>
      <w:r>
        <w:rPr>
          <w:rFonts w:ascii="Arial" w:hAnsi="Arial" w:eastAsia="Arial" w:cs="Arial"/>
          <w:sz w:val="2"/>
          <w:szCs w:val="2"/>
        </w:rPr>
        <w:br w:type="column"/>
      </w:r>
    </w:p>
    <w:p>
      <w:pPr>
        <w:pStyle w:val="BodyText"/>
        <w:ind w:right="190" w:firstLine="21"/>
        <w:spacing w:before="43" w:line="342" w:lineRule="auto"/>
        <w:jc w:val="both"/>
        <w:rPr/>
      </w:pPr>
      <w:r>
        <w:rPr>
          <w:spacing w:val="6"/>
        </w:rPr>
        <w:t>中心、水利工作站、林业工作站等）及其人员</w:t>
      </w:r>
      <w:r>
        <w:rPr>
          <w:spacing w:val="7"/>
        </w:rPr>
        <w:t>编制下放，整合并入乡镇和街道相关机构，实</w:t>
      </w:r>
      <w:r>
        <w:rPr>
          <w:spacing w:val="7"/>
        </w:rPr>
        <w:t>行以乡镇管理为主、上级业务部门进行业务指</w:t>
      </w:r>
      <w:r>
        <w:rPr>
          <w:spacing w:val="18"/>
        </w:rPr>
        <w:t>导的管理体制。畜牧兽医站继续实行现行体</w:t>
      </w:r>
      <w:r>
        <w:rPr>
          <w:spacing w:val="7"/>
        </w:rPr>
        <w:t>制。（市委编办、人力资源社会保障局牵头，</w:t>
      </w:r>
      <w:r>
        <w:rPr>
          <w:spacing w:val="9"/>
        </w:rPr>
        <w:t>各县〔区〕落实）</w:t>
      </w:r>
    </w:p>
    <w:p>
      <w:pPr>
        <w:ind w:left="413"/>
        <w:outlineLvl w:val="0"/>
        <w:rPr>
          <w:rFonts w:ascii="KaiTi" w:hAnsi="KaiTi" w:eastAsia="KaiTi" w:cs="KaiTi"/>
          <w:sz w:val="20"/>
          <w:szCs w:val="20"/>
        </w:rPr>
      </w:pPr>
      <w:r>
        <w:rPr>
          <w:rFonts w:ascii="KaiTi" w:hAnsi="KaiTi" w:eastAsia="KaiTi" w:cs="KaiTi"/>
          <w:sz w:val="20"/>
          <w:szCs w:val="20"/>
          <w:b/>
          <w:bCs/>
        </w:rPr>
        <w:t>（</w:t>
      </w:r>
      <w:r>
        <w:rPr>
          <w:rFonts w:ascii="KaiTi" w:hAnsi="KaiTi" w:eastAsia="KaiTi" w:cs="KaiTi"/>
          <w:sz w:val="20"/>
          <w:szCs w:val="20"/>
          <w:spacing w:val="-45"/>
        </w:rPr>
        <w:t xml:space="preserve"> </w:t>
      </w:r>
      <w:r>
        <w:rPr>
          <w:rFonts w:ascii="KaiTi" w:hAnsi="KaiTi" w:eastAsia="KaiTi" w:cs="KaiTi"/>
          <w:sz w:val="20"/>
          <w:szCs w:val="20"/>
          <w:b/>
          <w:bCs/>
        </w:rPr>
        <w:t>二</w:t>
      </w:r>
      <w:r>
        <w:rPr>
          <w:rFonts w:ascii="KaiTi" w:hAnsi="KaiTi" w:eastAsia="KaiTi" w:cs="KaiTi"/>
          <w:sz w:val="20"/>
          <w:szCs w:val="20"/>
          <w:spacing w:val="-41"/>
        </w:rPr>
        <w:t xml:space="preserve"> </w:t>
      </w:r>
      <w:r>
        <w:rPr>
          <w:rFonts w:ascii="KaiTi" w:hAnsi="KaiTi" w:eastAsia="KaiTi" w:cs="KaiTi"/>
          <w:sz w:val="20"/>
          <w:szCs w:val="20"/>
          <w:b/>
          <w:bCs/>
        </w:rPr>
        <w:t>）完善基层审批服务体系</w:t>
      </w:r>
    </w:p>
    <w:p>
      <w:pPr>
        <w:pStyle w:val="BodyText"/>
        <w:ind w:left="3" w:right="190" w:firstLine="423"/>
        <w:spacing w:before="108" w:line="284" w:lineRule="auto"/>
        <w:outlineLvl w:val="0"/>
        <w:rPr/>
      </w:pPr>
      <w:r>
        <w:rPr>
          <w:spacing w:val="6"/>
        </w:rPr>
        <w:t>3.加强综合便民服务机构和平台建设。在</w:t>
      </w:r>
      <w:r>
        <w:rPr>
          <w:spacing w:val="7"/>
        </w:rPr>
        <w:t>整合基层行政审批和公共服务职责的基础上，</w:t>
      </w:r>
    </w:p>
    <w:p>
      <w:pPr>
        <w:pStyle w:val="BodyText"/>
        <w:ind w:right="116"/>
        <w:spacing w:before="131" w:line="341" w:lineRule="auto"/>
        <w:jc w:val="both"/>
        <w:rPr/>
      </w:pPr>
      <w:r>
        <w:rPr>
          <w:spacing w:val="18"/>
        </w:rPr>
        <w:t>将具体面向企业群众办事服务的岗位集中到</w:t>
      </w:r>
      <w:r>
        <w:rPr>
          <w:spacing w:val="1"/>
        </w:rPr>
        <w:t>民生服务大厅办公，推进基层市场监管、税务、</w:t>
      </w:r>
      <w:r>
        <w:rPr>
          <w:spacing w:val="15"/>
        </w:rPr>
        <w:t>公安等相关服务事项进驻大厅办理。以</w:t>
      </w:r>
      <w:r>
        <w:rPr>
          <w:rFonts w:ascii="Times New Roman" w:hAnsi="Times New Roman" w:eastAsia="Times New Roman" w:cs="Times New Roman"/>
          <w:spacing w:val="15"/>
        </w:rPr>
        <w:t>“</w:t>
      </w:r>
      <w:r>
        <w:rPr>
          <w:rFonts w:ascii="Times New Roman" w:hAnsi="Times New Roman" w:eastAsia="Times New Roman" w:cs="Times New Roman"/>
          <w:spacing w:val="-8"/>
        </w:rPr>
        <w:t xml:space="preserve"> </w:t>
      </w:r>
      <w:r>
        <w:rPr>
          <w:spacing w:val="15"/>
        </w:rPr>
        <w:t>163</w:t>
      </w:r>
      <w:r>
        <w:rPr>
          <w:spacing w:val="12"/>
        </w:rPr>
        <w:t>政务服务模式全市一体化</w:t>
      </w:r>
      <w:r>
        <w:rPr>
          <w:rFonts w:ascii="Times New Roman" w:hAnsi="Times New Roman" w:eastAsia="Times New Roman" w:cs="Times New Roman"/>
          <w:spacing w:val="12"/>
        </w:rPr>
        <w:t>”</w:t>
      </w:r>
      <w:r>
        <w:rPr>
          <w:spacing w:val="12"/>
        </w:rPr>
        <w:t>推广工作为契机</w:t>
      </w:r>
      <w:r>
        <w:rPr>
          <w:spacing w:val="-55"/>
        </w:rPr>
        <w:t xml:space="preserve"> </w:t>
      </w:r>
      <w:r>
        <w:rPr>
          <w:spacing w:val="12"/>
        </w:rPr>
        <w:t>，</w:t>
      </w:r>
      <w:r>
        <w:rPr>
          <w:spacing w:val="8"/>
        </w:rPr>
        <w:t>整合设置</w:t>
      </w:r>
      <w:r>
        <w:rPr>
          <w:rFonts w:ascii="Times New Roman" w:hAnsi="Times New Roman" w:eastAsia="Times New Roman" w:cs="Times New Roman"/>
          <w:spacing w:val="8"/>
        </w:rPr>
        <w:t>“</w:t>
      </w:r>
      <w:r>
        <w:rPr>
          <w:spacing w:val="8"/>
        </w:rPr>
        <w:t>综合窗口</w:t>
      </w:r>
      <w:r>
        <w:rPr>
          <w:rFonts w:ascii="Times New Roman" w:hAnsi="Times New Roman" w:eastAsia="Times New Roman" w:cs="Times New Roman"/>
          <w:spacing w:val="8"/>
        </w:rPr>
        <w:t>”</w:t>
      </w:r>
      <w:r>
        <w:rPr>
          <w:spacing w:val="8"/>
        </w:rPr>
        <w:t>，推行一窗受理、集成服</w:t>
      </w:r>
      <w:r>
        <w:rPr>
          <w:spacing w:val="8"/>
        </w:rPr>
        <w:t>务。依托宁夏政务服务网</w:t>
      </w:r>
      <w:r>
        <w:rPr>
          <w:rFonts w:ascii="Times New Roman" w:hAnsi="Times New Roman" w:eastAsia="Times New Roman" w:cs="Times New Roman"/>
          <w:spacing w:val="8"/>
        </w:rPr>
        <w:t>“</w:t>
      </w:r>
      <w:r>
        <w:rPr>
          <w:spacing w:val="8"/>
        </w:rPr>
        <w:t>一张网</w:t>
      </w:r>
      <w:r>
        <w:rPr>
          <w:rFonts w:ascii="Times New Roman" w:hAnsi="Times New Roman" w:eastAsia="Times New Roman" w:cs="Times New Roman"/>
          <w:spacing w:val="8"/>
        </w:rPr>
        <w:t>”</w:t>
      </w:r>
      <w:r>
        <w:rPr>
          <w:spacing w:val="8"/>
        </w:rPr>
        <w:t>，推动与民</w:t>
      </w:r>
      <w:r>
        <w:rPr>
          <w:spacing w:val="7"/>
        </w:rPr>
        <w:t>政、就业、卫生健康、社保、医保、残联等行</w:t>
      </w:r>
      <w:r>
        <w:rPr>
          <w:spacing w:val="9"/>
        </w:rPr>
        <w:t>业系统的互联互通</w:t>
      </w:r>
      <w:r>
        <w:rPr>
          <w:spacing w:val="-52"/>
        </w:rPr>
        <w:t xml:space="preserve"> </w:t>
      </w:r>
      <w:r>
        <w:rPr>
          <w:spacing w:val="9"/>
        </w:rPr>
        <w:t>，实现</w:t>
      </w:r>
      <w:r>
        <w:rPr>
          <w:rFonts w:ascii="Times New Roman" w:hAnsi="Times New Roman" w:eastAsia="Times New Roman" w:cs="Times New Roman"/>
          <w:spacing w:val="9"/>
        </w:rPr>
        <w:t>“</w:t>
      </w:r>
      <w:r>
        <w:rPr>
          <w:spacing w:val="9"/>
        </w:rPr>
        <w:t>一网通办</w:t>
      </w:r>
      <w:r>
        <w:rPr>
          <w:rFonts w:ascii="Times New Roman" w:hAnsi="Times New Roman" w:eastAsia="Times New Roman" w:cs="Times New Roman"/>
          <w:spacing w:val="9"/>
        </w:rPr>
        <w:t>”</w:t>
      </w:r>
      <w:r>
        <w:rPr>
          <w:rFonts w:ascii="Times New Roman" w:hAnsi="Times New Roman" w:eastAsia="Times New Roman" w:cs="Times New Roman"/>
          <w:spacing w:val="-8"/>
        </w:rPr>
        <w:t xml:space="preserve"> </w:t>
      </w:r>
      <w:r>
        <w:rPr>
          <w:spacing w:val="9"/>
        </w:rPr>
        <w:t>，让</w:t>
      </w:r>
      <w:r>
        <w:rPr>
          <w:rFonts w:ascii="Times New Roman" w:hAnsi="Times New Roman" w:eastAsia="Times New Roman" w:cs="Times New Roman"/>
          <w:spacing w:val="9"/>
        </w:rPr>
        <w:t>“</w:t>
      </w:r>
      <w:r>
        <w:rPr>
          <w:spacing w:val="9"/>
        </w:rPr>
        <w:t>数</w:t>
      </w:r>
      <w:r>
        <w:rPr>
          <w:spacing w:val="10"/>
        </w:rPr>
        <w:t>据多跑路、群众少跑腿</w:t>
      </w:r>
      <w:r>
        <w:rPr>
          <w:rFonts w:ascii="Times New Roman" w:hAnsi="Times New Roman" w:eastAsia="Times New Roman" w:cs="Times New Roman"/>
          <w:spacing w:val="10"/>
        </w:rPr>
        <w:t>”</w:t>
      </w:r>
      <w:r>
        <w:rPr>
          <w:rFonts w:ascii="Times New Roman" w:hAnsi="Times New Roman" w:eastAsia="Times New Roman" w:cs="Times New Roman"/>
          <w:spacing w:val="-7"/>
        </w:rPr>
        <w:t xml:space="preserve"> </w:t>
      </w:r>
      <w:r>
        <w:rPr>
          <w:spacing w:val="10"/>
        </w:rPr>
        <w:t>。（市审批局牵头</w:t>
      </w:r>
      <w:r>
        <w:rPr>
          <w:spacing w:val="-58"/>
        </w:rPr>
        <w:t xml:space="preserve"> </w:t>
      </w:r>
      <w:r>
        <w:rPr>
          <w:spacing w:val="10"/>
        </w:rPr>
        <w:t>，</w:t>
      </w:r>
      <w:r>
        <w:rPr>
          <w:spacing w:val="7"/>
        </w:rPr>
        <w:t>公安局、民政局、人力资源社会保障局、卫生</w:t>
      </w:r>
      <w:r>
        <w:rPr>
          <w:spacing w:val="7"/>
        </w:rPr>
        <w:t>健康委、市场监管局、医保局、残联、税务局</w:t>
      </w:r>
      <w:r>
        <w:rPr>
          <w:spacing w:val="9"/>
        </w:rPr>
        <w:t>等相关部门，各县〔区〕落实）</w:t>
      </w:r>
    </w:p>
    <w:p>
      <w:pPr>
        <w:pStyle w:val="BodyText"/>
        <w:ind w:right="194" w:firstLine="419"/>
        <w:spacing w:before="1" w:line="299" w:lineRule="auto"/>
        <w:outlineLvl w:val="0"/>
        <w:rPr/>
      </w:pPr>
      <w:r>
        <w:rPr>
          <w:spacing w:val="6"/>
        </w:rPr>
        <w:t>4.推进审批服务标准化建设。紧扣城乡基</w:t>
      </w:r>
      <w:r>
        <w:rPr>
          <w:spacing w:val="7"/>
        </w:rPr>
        <w:t>层治理，聚焦基层党的建设、乡村振兴、新型</w:t>
      </w:r>
    </w:p>
    <w:p>
      <w:pPr>
        <w:pStyle w:val="BodyText"/>
        <w:ind w:right="89" w:firstLine="2"/>
        <w:spacing w:before="97" w:line="341" w:lineRule="auto"/>
        <w:jc w:val="both"/>
        <w:rPr/>
      </w:pPr>
      <w:r>
        <w:rPr>
          <w:spacing w:val="7"/>
        </w:rPr>
        <w:t>城镇化等重点工作以及就业和社会保障、医疗</w:t>
      </w:r>
      <w:r>
        <w:rPr>
          <w:spacing w:val="7"/>
        </w:rPr>
        <w:t>保障、不动产登记、社会救助、户籍管理、乡</w:t>
      </w:r>
      <w:r>
        <w:rPr>
          <w:spacing w:val="7"/>
        </w:rPr>
        <w:t>村建设、危（</w:t>
      </w:r>
      <w:r>
        <w:rPr>
          <w:spacing w:val="-32"/>
        </w:rPr>
        <w:t xml:space="preserve"> </w:t>
      </w:r>
      <w:r>
        <w:rPr>
          <w:spacing w:val="7"/>
        </w:rPr>
        <w:t>旧）房改造、古村（屋）修缮、</w:t>
      </w:r>
      <w:r>
        <w:rPr>
          <w:spacing w:val="7"/>
        </w:rPr>
        <w:t>改水改厕等群众关心关注的重点事项，制定并</w:t>
      </w:r>
      <w:r>
        <w:rPr>
          <w:spacing w:val="10"/>
        </w:rPr>
        <w:t>公布基层</w:t>
      </w:r>
      <w:r>
        <w:rPr>
          <w:rFonts w:ascii="Times New Roman" w:hAnsi="Times New Roman" w:eastAsia="Times New Roman" w:cs="Times New Roman"/>
          <w:spacing w:val="10"/>
        </w:rPr>
        <w:t>“</w:t>
      </w:r>
      <w:r>
        <w:rPr>
          <w:spacing w:val="10"/>
        </w:rPr>
        <w:t>马上办、网上办、就近办、一次办</w:t>
      </w:r>
      <w:r>
        <w:rPr>
          <w:rFonts w:ascii="Times New Roman" w:hAnsi="Times New Roman" w:eastAsia="Times New Roman" w:cs="Times New Roman"/>
          <w:spacing w:val="10"/>
        </w:rPr>
        <w:t>”</w:t>
      </w:r>
      <w:r>
        <w:rPr>
          <w:spacing w:val="10"/>
        </w:rPr>
        <w:t>审批服务事项目录</w:t>
      </w:r>
      <w:r>
        <w:rPr>
          <w:spacing w:val="-43"/>
        </w:rPr>
        <w:t xml:space="preserve"> </w:t>
      </w:r>
      <w:r>
        <w:rPr>
          <w:spacing w:val="10"/>
        </w:rPr>
        <w:t>，以为企业和群众办好</w:t>
      </w:r>
      <w:r>
        <w:rPr>
          <w:rFonts w:ascii="Times New Roman" w:hAnsi="Times New Roman" w:eastAsia="Times New Roman" w:cs="Times New Roman"/>
          <w:spacing w:val="10"/>
        </w:rPr>
        <w:t>“</w:t>
      </w:r>
      <w:r>
        <w:rPr>
          <w:spacing w:val="10"/>
        </w:rPr>
        <w:t>一</w:t>
      </w:r>
      <w:r>
        <w:rPr>
          <w:spacing w:val="10"/>
        </w:rPr>
        <w:t>件事</w:t>
      </w:r>
      <w:r>
        <w:rPr>
          <w:rFonts w:ascii="Times New Roman" w:hAnsi="Times New Roman" w:eastAsia="Times New Roman" w:cs="Times New Roman"/>
          <w:spacing w:val="10"/>
        </w:rPr>
        <w:t>”</w:t>
      </w:r>
      <w:r>
        <w:rPr>
          <w:spacing w:val="10"/>
        </w:rPr>
        <w:t>为标准</w:t>
      </w:r>
      <w:r>
        <w:rPr>
          <w:spacing w:val="-43"/>
        </w:rPr>
        <w:t xml:space="preserve"> </w:t>
      </w:r>
      <w:r>
        <w:rPr>
          <w:spacing w:val="10"/>
        </w:rPr>
        <w:t>，建立和完善适应基层实际的办</w:t>
      </w:r>
      <w:r>
        <w:rPr>
          <w:spacing w:val="15"/>
        </w:rPr>
        <w:t>事指南和工作规程</w:t>
      </w:r>
      <w:r>
        <w:rPr>
          <w:spacing w:val="-39"/>
        </w:rPr>
        <w:t xml:space="preserve"> </w:t>
      </w:r>
      <w:r>
        <w:rPr>
          <w:spacing w:val="15"/>
        </w:rPr>
        <w:t>，进一步提升审批服务效</w:t>
      </w:r>
      <w:r>
        <w:rPr>
          <w:spacing w:val="-7"/>
        </w:rPr>
        <w:t>能。（市审批局牵头，市直相关部门，各县〔区〕</w:t>
      </w:r>
      <w:r>
        <w:rPr>
          <w:spacing w:val="10"/>
        </w:rPr>
        <w:t>落实）</w:t>
      </w:r>
    </w:p>
    <w:p>
      <w:pPr>
        <w:pStyle w:val="BodyText"/>
        <w:ind w:right="84" w:firstLine="423"/>
        <w:spacing w:before="1" w:line="282" w:lineRule="auto"/>
        <w:outlineLvl w:val="0"/>
        <w:rPr/>
      </w:pPr>
      <w:r>
        <w:rPr>
          <w:spacing w:val="1"/>
        </w:rPr>
        <w:t>5.完善村级代办服务机制。加强村（社区）</w:t>
      </w:r>
      <w:r>
        <w:rPr>
          <w:spacing w:val="7"/>
        </w:rPr>
        <w:t>综合服务站点建设，推动基本公共服务事项进</w:t>
      </w:r>
    </w:p>
    <w:p>
      <w:pPr>
        <w:spacing w:line="282" w:lineRule="auto"/>
        <w:sectPr>
          <w:type w:val="continuous"/>
          <w:pgSz w:w="11906" w:h="16839"/>
          <w:pgMar w:top="1793" w:right="1393" w:bottom="1570" w:left="1579" w:header="1428" w:footer="1172" w:gutter="0"/>
          <w:cols w:equalWidth="0" w:num="2">
            <w:col w:w="4489" w:space="100"/>
            <w:col w:w="4345" w:space="0"/>
          </w:cols>
        </w:sectPr>
        <w:rPr/>
      </w:pPr>
    </w:p>
    <w:p>
      <w:pPr>
        <w:spacing w:before="18"/>
        <w:rPr/>
      </w:pPr>
      <w:r>
        <w:drawing>
          <wp:anchor distT="0" distB="0" distL="0" distR="0" simplePos="0" relativeHeight="251873280"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604" name="IM 604"/>
            <wp:cNvGraphicFramePr/>
            <a:graphic>
              <a:graphicData uri="http://schemas.openxmlformats.org/drawingml/2006/picture">
                <pic:pic>
                  <pic:nvPicPr>
                    <pic:cNvPr id="604" name="IM 604"/>
                    <pic:cNvPicPr/>
                  </pic:nvPicPr>
                  <pic:blipFill>
                    <a:blip r:embed="rId304"/>
                    <a:stretch>
                      <a:fillRect/>
                    </a:stretch>
                  </pic:blipFill>
                  <pic:spPr>
                    <a:xfrm rot="0">
                      <a:off x="0" y="0"/>
                      <a:ext cx="5579745" cy="7619"/>
                    </a:xfrm>
                    <a:prstGeom prst="rect">
                      <a:avLst/>
                    </a:prstGeom>
                  </pic:spPr>
                </pic:pic>
              </a:graphicData>
            </a:graphic>
          </wp:anchor>
        </w:drawing>
      </w:r>
      <w:r/>
    </w:p>
    <w:p>
      <w:pPr>
        <w:sectPr>
          <w:headerReference w:type="default" r:id="rId297"/>
          <w:footerReference w:type="default" r:id="rId303"/>
          <w:pgSz w:w="11906" w:h="16839"/>
          <w:pgMar w:top="1793" w:right="1489" w:bottom="1673" w:left="1565" w:header="1428" w:footer="1277" w:gutter="0"/>
          <w:cols w:equalWidth="0" w:num="1">
            <w:col w:w="8852" w:space="0"/>
          </w:cols>
        </w:sectPr>
        <w:rPr/>
      </w:pPr>
    </w:p>
    <w:p>
      <w:pPr>
        <w:pStyle w:val="BodyText"/>
        <w:ind w:left="26" w:right="299"/>
        <w:spacing w:before="52" w:line="341" w:lineRule="auto"/>
        <w:jc w:val="both"/>
        <w:rPr/>
      </w:pPr>
      <w:r>
        <w:rPr>
          <w:spacing w:val="7"/>
        </w:rPr>
        <w:t>驻村（社区）办理，推进村级便民服务点和网</w:t>
      </w:r>
      <w:r>
        <w:rPr>
          <w:spacing w:val="7"/>
        </w:rPr>
        <w:t>上服务站点全覆盖。制定加强基层便民服务队</w:t>
      </w:r>
      <w:r>
        <w:rPr>
          <w:spacing w:val="7"/>
        </w:rPr>
        <w:t>伍建设的政策措施，提升村级代办服务能力和</w:t>
      </w:r>
      <w:r>
        <w:rPr>
          <w:spacing w:val="8"/>
        </w:rPr>
        <w:t>专业化水平。积极开展代缴代办等便民服务，</w:t>
      </w:r>
      <w:r>
        <w:rPr>
          <w:spacing w:val="8"/>
        </w:rPr>
        <w:t>逐步扩大公共服务事项网上受理、网上办理、</w:t>
      </w:r>
      <w:r>
        <w:rPr>
          <w:spacing w:val="7"/>
        </w:rPr>
        <w:t>网上反馈范围，努力实现简单事项不出村（社</w:t>
      </w:r>
      <w:r>
        <w:rPr>
          <w:spacing w:val="7"/>
        </w:rPr>
        <w:t>区）、复杂事项可代办。（市审批局牵头，民</w:t>
      </w:r>
      <w:r>
        <w:rPr>
          <w:spacing w:val="7"/>
        </w:rPr>
        <w:t>政局、财政局、人力资源社会保障局等相关部</w:t>
      </w:r>
      <w:r>
        <w:rPr>
          <w:spacing w:val="8"/>
        </w:rPr>
        <w:t>门，各县〔区〕落实)</w:t>
      </w:r>
    </w:p>
    <w:p>
      <w:pPr>
        <w:ind w:left="439"/>
        <w:spacing w:before="1" w:line="239" w:lineRule="auto"/>
        <w:outlineLvl w:val="0"/>
        <w:rPr>
          <w:rFonts w:ascii="KaiTi" w:hAnsi="KaiTi" w:eastAsia="KaiTi" w:cs="KaiTi"/>
          <w:sz w:val="20"/>
          <w:szCs w:val="20"/>
        </w:rPr>
      </w:pPr>
      <w:r>
        <w:rPr>
          <w:rFonts w:ascii="KaiTi" w:hAnsi="KaiTi" w:eastAsia="KaiTi" w:cs="KaiTi"/>
          <w:sz w:val="20"/>
          <w:szCs w:val="20"/>
          <w:b/>
          <w:bCs/>
          <w:spacing w:val="5"/>
        </w:rPr>
        <w:t>（</w:t>
      </w:r>
      <w:r>
        <w:rPr>
          <w:rFonts w:ascii="KaiTi" w:hAnsi="KaiTi" w:eastAsia="KaiTi" w:cs="KaiTi"/>
          <w:sz w:val="20"/>
          <w:szCs w:val="20"/>
          <w:spacing w:val="-37"/>
        </w:rPr>
        <w:t xml:space="preserve"> </w:t>
      </w:r>
      <w:r>
        <w:rPr>
          <w:rFonts w:ascii="KaiTi" w:hAnsi="KaiTi" w:eastAsia="KaiTi" w:cs="KaiTi"/>
          <w:sz w:val="20"/>
          <w:szCs w:val="20"/>
          <w:b/>
          <w:bCs/>
          <w:spacing w:val="5"/>
        </w:rPr>
        <w:t>三）积极推进基层综合行政执法改革</w:t>
      </w:r>
    </w:p>
    <w:p>
      <w:pPr>
        <w:pStyle w:val="BodyText"/>
        <w:ind w:left="27" w:right="320" w:firstLine="423"/>
        <w:spacing w:before="113" w:line="282" w:lineRule="auto"/>
        <w:outlineLvl w:val="0"/>
        <w:rPr/>
      </w:pPr>
      <w:r>
        <w:rPr>
          <w:spacing w:val="6"/>
        </w:rPr>
        <w:t>6.组建综合行政执法机构。与各领域综合</w:t>
      </w:r>
      <w:r>
        <w:rPr>
          <w:spacing w:val="18"/>
        </w:rPr>
        <w:t>行政执法体制改革及市辖区综合执法改革试</w:t>
      </w:r>
    </w:p>
    <w:p>
      <w:pPr>
        <w:pStyle w:val="BodyText"/>
        <w:ind w:left="24" w:right="299" w:firstLine="6"/>
        <w:spacing w:before="133" w:line="341" w:lineRule="auto"/>
        <w:jc w:val="both"/>
        <w:rPr/>
      </w:pPr>
      <w:r>
        <w:rPr>
          <w:spacing w:val="7"/>
        </w:rPr>
        <w:t>点相衔接，推进行政执法权限和力量向基层延</w:t>
      </w:r>
      <w:r>
        <w:rPr>
          <w:spacing w:val="7"/>
        </w:rPr>
        <w:t>伸和下沉。整合现有站所、分局执法力量和资</w:t>
      </w:r>
      <w:r>
        <w:rPr>
          <w:spacing w:val="7"/>
        </w:rPr>
        <w:t>源，组建综合执法办公室，按照有关法律规定</w:t>
      </w:r>
      <w:r>
        <w:rPr>
          <w:spacing w:val="7"/>
        </w:rPr>
        <w:t>相对集中行使行政处罚权，以乡镇和街道名义</w:t>
      </w:r>
      <w:r>
        <w:rPr>
          <w:spacing w:val="7"/>
        </w:rPr>
        <w:t>开展执法工作，并接受县级有关主管部门的业</w:t>
      </w:r>
      <w:r>
        <w:rPr>
          <w:spacing w:val="15"/>
        </w:rPr>
        <w:t>务指导和监督</w:t>
      </w:r>
      <w:r>
        <w:rPr>
          <w:spacing w:val="-37"/>
        </w:rPr>
        <w:t xml:space="preserve"> </w:t>
      </w:r>
      <w:r>
        <w:rPr>
          <w:spacing w:val="15"/>
        </w:rPr>
        <w:t>，逐步实现基层一支队伍管执</w:t>
      </w:r>
      <w:r>
        <w:rPr>
          <w:spacing w:val="6"/>
        </w:rPr>
        <w:t>法。（市委编办、司法局牵头，</w:t>
      </w:r>
      <w:r>
        <w:rPr>
          <w:spacing w:val="-49"/>
        </w:rPr>
        <w:t xml:space="preserve"> </w:t>
      </w:r>
      <w:r>
        <w:rPr>
          <w:spacing w:val="6"/>
        </w:rPr>
        <w:t>自然资源局、</w:t>
      </w:r>
      <w:r>
        <w:rPr>
          <w:spacing w:val="8"/>
        </w:rPr>
        <w:t>生态环境局、住房城乡建设局、交通运输局、</w:t>
      </w:r>
      <w:r>
        <w:rPr>
          <w:spacing w:val="15"/>
        </w:rPr>
        <w:t>农业农村局、市场监管局等相关部门</w:t>
      </w:r>
      <w:r>
        <w:rPr>
          <w:spacing w:val="-37"/>
        </w:rPr>
        <w:t xml:space="preserve"> </w:t>
      </w:r>
      <w:r>
        <w:rPr>
          <w:spacing w:val="15"/>
        </w:rPr>
        <w:t>，各县</w:t>
      </w:r>
      <w:r>
        <w:rPr>
          <w:spacing w:val="10"/>
        </w:rPr>
        <w:t>〔区〕落实）</w:t>
      </w:r>
    </w:p>
    <w:p>
      <w:pPr>
        <w:pStyle w:val="BodyText"/>
        <w:ind w:left="29" w:right="320" w:firstLine="418"/>
        <w:spacing w:before="1" w:line="283" w:lineRule="auto"/>
        <w:outlineLvl w:val="0"/>
        <w:rPr/>
      </w:pPr>
      <w:r>
        <w:rPr>
          <w:spacing w:val="6"/>
        </w:rPr>
        <w:t>7.完善指挥协调机制。强化乡镇和街道的</w:t>
      </w:r>
      <w:r>
        <w:rPr>
          <w:spacing w:val="7"/>
        </w:rPr>
        <w:t>统一指挥和统筹协调职责，赋予乡镇和街道党</w:t>
      </w:r>
    </w:p>
    <w:p>
      <w:pPr>
        <w:pStyle w:val="BodyText"/>
        <w:ind w:left="28" w:right="322" w:hanging="9"/>
        <w:spacing w:before="128" w:line="341" w:lineRule="auto"/>
        <w:jc w:val="both"/>
        <w:rPr/>
      </w:pPr>
      <w:r>
        <w:rPr>
          <w:spacing w:val="7"/>
        </w:rPr>
        <w:t>（工）委对派驻机构的统一指挥权、干部管理</w:t>
      </w:r>
      <w:r>
        <w:rPr>
          <w:spacing w:val="7"/>
        </w:rPr>
        <w:t>考核权、主要负责人任免建议权等。乡镇和街</w:t>
      </w:r>
      <w:r>
        <w:rPr>
          <w:spacing w:val="18"/>
        </w:rPr>
        <w:t>道综合执法办公室负责统筹协调派驻执法机</w:t>
      </w:r>
      <w:r>
        <w:rPr>
          <w:spacing w:val="7"/>
        </w:rPr>
        <w:t>构和辖区执法力量，开展联合执法。建立乡镇</w:t>
      </w:r>
      <w:r>
        <w:rPr>
          <w:spacing w:val="7"/>
        </w:rPr>
        <w:t>和街道行政执法事项清单。建立健全与县级部</w:t>
      </w:r>
      <w:r>
        <w:rPr>
          <w:spacing w:val="7"/>
        </w:rPr>
        <w:t>门行政执法案件移送机制及协调机制。（市司</w:t>
      </w:r>
      <w:r>
        <w:rPr>
          <w:spacing w:val="9"/>
        </w:rPr>
        <w:t>法局、市委编办牵头，各县〔区〕落实）</w:t>
      </w:r>
    </w:p>
    <w:p>
      <w:pPr>
        <w:pStyle w:val="BodyText"/>
        <w:ind w:left="35" w:right="320" w:firstLine="416"/>
        <w:spacing w:before="1" w:line="282" w:lineRule="auto"/>
        <w:outlineLvl w:val="0"/>
        <w:rPr/>
      </w:pPr>
      <w:r>
        <w:rPr>
          <w:spacing w:val="6"/>
        </w:rPr>
        <w:t>8.提升行政执法能力和水平。加强对乡镇</w:t>
      </w:r>
      <w:r>
        <w:rPr>
          <w:spacing w:val="6"/>
        </w:rPr>
        <w:t>和街道综合行政执法机构、执法人员的业务指</w:t>
      </w:r>
    </w:p>
    <w:p>
      <w:pPr>
        <w:pStyle w:val="BodyText"/>
        <w:ind w:left="26" w:right="322" w:firstLine="3"/>
        <w:spacing w:before="132" w:line="265" w:lineRule="auto"/>
        <w:rPr/>
      </w:pPr>
      <w:r>
        <w:rPr>
          <w:spacing w:val="7"/>
        </w:rPr>
        <w:t>导和培训，规范执法检查、受立案、调查、审</w:t>
      </w:r>
      <w:r>
        <w:rPr>
          <w:spacing w:val="7"/>
        </w:rPr>
        <w:t>查、决定等程序和行为，建立执法全过程记录</w:t>
      </w:r>
    </w:p>
    <w:p>
      <w:pPr>
        <w:spacing w:line="14" w:lineRule="auto"/>
        <w:rPr>
          <w:rFonts w:ascii="Arial"/>
          <w:sz w:val="2"/>
        </w:rPr>
      </w:pPr>
      <w:r>
        <w:rPr>
          <w:rFonts w:ascii="Arial" w:hAnsi="Arial" w:eastAsia="Arial" w:cs="Arial"/>
          <w:sz w:val="2"/>
          <w:szCs w:val="2"/>
        </w:rPr>
        <w:br w:type="column"/>
      </w:r>
    </w:p>
    <w:p>
      <w:pPr>
        <w:pStyle w:val="BodyText"/>
        <w:ind w:left="6" w:right="101" w:firstLine="2"/>
        <w:spacing w:before="53" w:line="341" w:lineRule="auto"/>
        <w:jc w:val="both"/>
        <w:rPr/>
      </w:pPr>
      <w:r>
        <w:rPr>
          <w:spacing w:val="7"/>
        </w:rPr>
        <w:t>制度，实现全程留痕、可追溯、可追责。全面</w:t>
      </w:r>
      <w:r>
        <w:rPr>
          <w:spacing w:val="7"/>
        </w:rPr>
        <w:t>推行行政执法公示制度，做到依据公开、决策</w:t>
      </w:r>
      <w:r>
        <w:rPr>
          <w:spacing w:val="7"/>
        </w:rPr>
        <w:t>公开、执行公开、结果公开、过程公开。全面</w:t>
      </w:r>
      <w:r>
        <w:rPr>
          <w:spacing w:val="7"/>
        </w:rPr>
        <w:t>推行重大行政执法决定法制审核制度，作出重</w:t>
      </w:r>
      <w:r>
        <w:rPr>
          <w:spacing w:val="7"/>
        </w:rPr>
        <w:t>大执法决定前要进行法制审核，未经法制审核</w:t>
      </w:r>
      <w:r>
        <w:rPr>
          <w:spacing w:val="7"/>
        </w:rPr>
        <w:t>或审核未通过的，不得作出行政执法决定，确</w:t>
      </w:r>
      <w:r>
        <w:rPr>
          <w:spacing w:val="7"/>
        </w:rPr>
        <w:t>保重大执法决定合法适当。严格确定行政执法</w:t>
      </w:r>
      <w:r>
        <w:rPr>
          <w:spacing w:val="7"/>
        </w:rPr>
        <w:t>责任和责任追究机制，加强执法监督，坚决惩</w:t>
      </w:r>
      <w:r>
        <w:rPr>
          <w:spacing w:val="7"/>
        </w:rPr>
        <w:t>治执法腐败现象，确保权力不被滥用。（市司</w:t>
      </w:r>
      <w:r>
        <w:rPr>
          <w:spacing w:val="7"/>
        </w:rPr>
        <w:t>法局牵头，自然资源局、生态环境局、住房城</w:t>
      </w:r>
      <w:r>
        <w:rPr>
          <w:spacing w:val="7"/>
        </w:rPr>
        <w:t>乡建设局、交通运输局、农业农村局、市场监</w:t>
      </w:r>
      <w:r>
        <w:rPr>
          <w:spacing w:val="9"/>
        </w:rPr>
        <w:t>管局等相关部门，各县〔区〕落实）</w:t>
      </w:r>
    </w:p>
    <w:p>
      <w:pPr>
        <w:ind w:left="420"/>
        <w:outlineLvl w:val="0"/>
        <w:rPr>
          <w:rFonts w:ascii="KaiTi" w:hAnsi="KaiTi" w:eastAsia="KaiTi" w:cs="KaiTi"/>
          <w:sz w:val="20"/>
          <w:szCs w:val="20"/>
        </w:rPr>
      </w:pPr>
      <w:r>
        <w:rPr>
          <w:rFonts w:ascii="KaiTi" w:hAnsi="KaiTi" w:eastAsia="KaiTi" w:cs="KaiTi"/>
          <w:sz w:val="20"/>
          <w:szCs w:val="20"/>
          <w:b/>
          <w:bCs/>
          <w:spacing w:val="5"/>
        </w:rPr>
        <w:t>（</w:t>
      </w:r>
      <w:r>
        <w:rPr>
          <w:rFonts w:ascii="KaiTi" w:hAnsi="KaiTi" w:eastAsia="KaiTi" w:cs="KaiTi"/>
          <w:sz w:val="20"/>
          <w:szCs w:val="20"/>
          <w:spacing w:val="-39"/>
        </w:rPr>
        <w:t xml:space="preserve"> </w:t>
      </w:r>
      <w:r>
        <w:rPr>
          <w:rFonts w:ascii="KaiTi" w:hAnsi="KaiTi" w:eastAsia="KaiTi" w:cs="KaiTi"/>
          <w:sz w:val="20"/>
          <w:szCs w:val="20"/>
          <w:b/>
          <w:bCs/>
          <w:spacing w:val="5"/>
        </w:rPr>
        <w:t>四）整合基层网格管理和指挥平台</w:t>
      </w:r>
    </w:p>
    <w:p>
      <w:pPr>
        <w:pStyle w:val="BodyText"/>
        <w:ind w:left="10" w:right="101" w:firstLine="419"/>
        <w:spacing w:before="109" w:line="283" w:lineRule="auto"/>
        <w:outlineLvl w:val="0"/>
        <w:rPr/>
      </w:pPr>
      <w:r>
        <w:rPr>
          <w:spacing w:val="6"/>
        </w:rPr>
        <w:t>9.实现</w:t>
      </w:r>
      <w:r>
        <w:rPr>
          <w:rFonts w:ascii="Times New Roman" w:hAnsi="Times New Roman" w:eastAsia="Times New Roman" w:cs="Times New Roman"/>
          <w:spacing w:val="6"/>
        </w:rPr>
        <w:t>“</w:t>
      </w:r>
      <w:r>
        <w:rPr>
          <w:spacing w:val="6"/>
        </w:rPr>
        <w:t>多网合一</w:t>
      </w:r>
      <w:r>
        <w:rPr>
          <w:rFonts w:ascii="Times New Roman" w:hAnsi="Times New Roman" w:eastAsia="Times New Roman" w:cs="Times New Roman"/>
          <w:spacing w:val="6"/>
        </w:rPr>
        <w:t>”</w:t>
      </w:r>
      <w:r>
        <w:rPr>
          <w:rFonts w:ascii="Times New Roman" w:hAnsi="Times New Roman" w:eastAsia="Times New Roman" w:cs="Times New Roman"/>
          <w:spacing w:val="-25"/>
        </w:rPr>
        <w:t xml:space="preserve"> </w:t>
      </w:r>
      <w:r>
        <w:rPr>
          <w:spacing w:val="6"/>
        </w:rPr>
        <w:t>。将上级部门在基层设</w:t>
      </w:r>
      <w:r>
        <w:rPr>
          <w:spacing w:val="15"/>
        </w:rPr>
        <w:t>置的多个网格整合为一个综合网格</w:t>
      </w:r>
      <w:r>
        <w:rPr>
          <w:spacing w:val="-43"/>
        </w:rPr>
        <w:t xml:space="preserve"> </w:t>
      </w:r>
      <w:r>
        <w:rPr>
          <w:spacing w:val="15"/>
        </w:rPr>
        <w:t>，依托村</w:t>
      </w:r>
    </w:p>
    <w:p>
      <w:pPr>
        <w:pStyle w:val="BodyText"/>
        <w:ind w:left="6" w:right="34" w:hanging="7"/>
        <w:spacing w:before="120" w:line="342" w:lineRule="auto"/>
        <w:jc w:val="both"/>
        <w:rPr/>
      </w:pPr>
      <w:r>
        <w:rPr>
          <w:spacing w:val="7"/>
        </w:rPr>
        <w:t>（社区）合理划分基本网格单元，统筹网格内</w:t>
      </w:r>
      <w:r>
        <w:rPr>
          <w:spacing w:val="10"/>
        </w:rPr>
        <w:t>党的建设、社会保障、综合治理、应急管理、</w:t>
      </w:r>
      <w:r>
        <w:rPr>
          <w:spacing w:val="7"/>
        </w:rPr>
        <w:t>社会救助等工作。强化党建引领，将党支部或</w:t>
      </w:r>
      <w:r>
        <w:rPr>
          <w:spacing w:val="7"/>
        </w:rPr>
        <w:t>党小组建在网格上，以网格为基本单元，设立</w:t>
      </w:r>
      <w:r>
        <w:rPr>
          <w:spacing w:val="7"/>
        </w:rPr>
        <w:t>党员示范岗、党员先锋岗、党员责任区等，选</w:t>
      </w:r>
      <w:r>
        <w:rPr>
          <w:spacing w:val="7"/>
        </w:rPr>
        <w:t>优配强支部书记或党小组组长。合理确定网格</w:t>
      </w:r>
      <w:r>
        <w:rPr>
          <w:spacing w:val="7"/>
        </w:rPr>
        <w:t>监管任务和事项，科学配置网格员力量，实行</w:t>
      </w:r>
      <w:r>
        <w:rPr>
          <w:spacing w:val="7"/>
        </w:rPr>
        <w:t>定人、定岗、定责。推进网格化服务管理标准</w:t>
      </w:r>
      <w:r>
        <w:rPr>
          <w:spacing w:val="7"/>
        </w:rPr>
        <w:t>化建设，提高网格管理规范化精细化水平。加</w:t>
      </w:r>
      <w:r>
        <w:rPr>
          <w:spacing w:val="7"/>
        </w:rPr>
        <w:t>强网格资源配置，把公共服务、社会服务、市</w:t>
      </w:r>
      <w:r>
        <w:rPr>
          <w:spacing w:val="7"/>
        </w:rPr>
        <w:t>场服务、志愿服务下沉到网格，精准投送到千</w:t>
      </w:r>
      <w:r>
        <w:rPr/>
        <w:t>家万户。（市委政法委、民政局、组织部牵头，</w:t>
      </w:r>
      <w:r>
        <w:rPr>
          <w:spacing w:val="18"/>
        </w:rPr>
        <w:t>人力资源社会保障局、应急管理局等相关部</w:t>
      </w:r>
      <w:r>
        <w:rPr>
          <w:spacing w:val="9"/>
        </w:rPr>
        <w:t>门，各县〔区〕落实）</w:t>
      </w:r>
    </w:p>
    <w:p>
      <w:pPr>
        <w:pStyle w:val="BodyText"/>
        <w:ind w:left="15" w:right="98" w:firstLine="431"/>
        <w:spacing w:before="1" w:line="283" w:lineRule="auto"/>
        <w:outlineLvl w:val="0"/>
        <w:rPr/>
      </w:pPr>
      <w:r>
        <w:rPr/>
        <w:t>10.加快平台建设。建设一体化的信息系统</w:t>
      </w:r>
      <w:r>
        <w:rPr>
          <w:spacing w:val="6"/>
        </w:rPr>
        <w:t>和综合指挥平台，先易后难、分步实施，整合</w:t>
      </w:r>
    </w:p>
    <w:p>
      <w:pPr>
        <w:pStyle w:val="BodyText"/>
        <w:ind w:left="7" w:right="78" w:firstLine="3"/>
        <w:spacing w:before="126" w:line="304" w:lineRule="auto"/>
        <w:jc w:val="both"/>
        <w:rPr/>
      </w:pPr>
      <w:r>
        <w:rPr>
          <w:spacing w:val="8"/>
        </w:rPr>
        <w:t>现有设在乡镇和街道的党的建设、综合治理、</w:t>
      </w:r>
      <w:r>
        <w:rPr>
          <w:spacing w:val="8"/>
        </w:rPr>
        <w:t>社区治理、数字城管等各系统指挥信息资源。</w:t>
      </w:r>
      <w:r>
        <w:rPr>
          <w:spacing w:val="7"/>
        </w:rPr>
        <w:t>强化信息共享和技术支撑，上级相关部门的视</w:t>
      </w:r>
      <w:r>
        <w:rPr>
          <w:spacing w:val="7"/>
        </w:rPr>
        <w:t>频监控等要尽可能接入基层综合指挥平台，实</w:t>
      </w:r>
    </w:p>
    <w:p>
      <w:pPr>
        <w:spacing w:line="304" w:lineRule="auto"/>
        <w:sectPr>
          <w:type w:val="continuous"/>
          <w:pgSz w:w="11906" w:h="16839"/>
          <w:pgMar w:top="1793" w:right="1489" w:bottom="1673" w:left="1565" w:header="1428" w:footer="1277" w:gutter="0"/>
          <w:cols w:equalWidth="0" w:num="2">
            <w:col w:w="4497" w:space="100"/>
            <w:col w:w="4256" w:space="0"/>
          </w:cols>
        </w:sectPr>
        <w:rPr/>
      </w:pPr>
    </w:p>
    <w:p>
      <w:pPr>
        <w:spacing w:before="18"/>
        <w:rPr/>
      </w:pPr>
      <w:r>
        <w:drawing>
          <wp:anchor distT="0" distB="0" distL="0" distR="0" simplePos="0" relativeHeight="251875328"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608" name="IM 608"/>
            <wp:cNvGraphicFramePr/>
            <a:graphic>
              <a:graphicData uri="http://schemas.openxmlformats.org/drawingml/2006/picture">
                <pic:pic>
                  <pic:nvPicPr>
                    <pic:cNvPr id="608" name="IM 608"/>
                    <pic:cNvPicPr/>
                  </pic:nvPicPr>
                  <pic:blipFill>
                    <a:blip r:embed="rId306"/>
                    <a:stretch>
                      <a:fillRect/>
                    </a:stretch>
                  </pic:blipFill>
                  <pic:spPr>
                    <a:xfrm rot="0">
                      <a:off x="0" y="0"/>
                      <a:ext cx="5579745" cy="7619"/>
                    </a:xfrm>
                    <a:prstGeom prst="rect">
                      <a:avLst/>
                    </a:prstGeom>
                  </pic:spPr>
                </pic:pic>
              </a:graphicData>
            </a:graphic>
          </wp:anchor>
        </w:drawing>
      </w:r>
      <w:r/>
    </w:p>
    <w:p>
      <w:pPr>
        <w:sectPr>
          <w:headerReference w:type="default" r:id="rId300"/>
          <w:footerReference w:type="default" r:id="rId305"/>
          <w:pgSz w:w="11906" w:h="16839"/>
          <w:pgMar w:top="1793" w:right="1393" w:bottom="1570" w:left="1579" w:header="1428" w:footer="1172" w:gutter="0"/>
          <w:cols w:equalWidth="0" w:num="1">
            <w:col w:w="8933" w:space="0"/>
          </w:cols>
        </w:sectPr>
        <w:rPr/>
      </w:pPr>
    </w:p>
    <w:p>
      <w:pPr>
        <w:pStyle w:val="BodyText"/>
        <w:ind w:left="12" w:right="218" w:firstLine="3"/>
        <w:spacing w:before="51" w:line="341" w:lineRule="auto"/>
        <w:rPr/>
      </w:pPr>
      <w:r>
        <w:rPr/>
        <w:t>现互联互通、信息共享、实时监控、综合监测。</w:t>
      </w:r>
      <w:r>
        <w:rPr>
          <w:spacing w:val="7"/>
        </w:rPr>
        <w:t>建立健全发现问题、流转交办、协调联动、研</w:t>
      </w:r>
      <w:r>
        <w:rPr>
          <w:spacing w:val="7"/>
        </w:rPr>
        <w:t>判预警、督查考核等综合指挥工作机制，实现</w:t>
      </w:r>
      <w:r>
        <w:rPr>
          <w:spacing w:val="7"/>
        </w:rPr>
        <w:t>基层管理跨部门、跨层级协同运转。（市委政</w:t>
      </w:r>
      <w:r>
        <w:rPr>
          <w:spacing w:val="7"/>
        </w:rPr>
        <w:t>法委牵头，组织部、网信办、政府办、发展改</w:t>
      </w:r>
      <w:r>
        <w:rPr>
          <w:spacing w:val="7"/>
        </w:rPr>
        <w:t>革委、工业和信息化局、公安局、民政局、住</w:t>
      </w:r>
      <w:r>
        <w:rPr>
          <w:spacing w:val="2"/>
        </w:rPr>
        <w:t>房城乡建设局等相关部门，中级人民法院、检察</w:t>
      </w:r>
      <w:r>
        <w:rPr>
          <w:spacing w:val="9"/>
        </w:rPr>
        <w:t>院，各县〔区〕落实）</w:t>
      </w:r>
    </w:p>
    <w:p>
      <w:pPr>
        <w:ind w:left="424"/>
        <w:outlineLvl w:val="0"/>
        <w:rPr>
          <w:rFonts w:ascii="KaiTi" w:hAnsi="KaiTi" w:eastAsia="KaiTi" w:cs="KaiTi"/>
          <w:sz w:val="20"/>
          <w:szCs w:val="20"/>
        </w:rPr>
      </w:pPr>
      <w:r>
        <w:rPr>
          <w:rFonts w:ascii="KaiTi" w:hAnsi="KaiTi" w:eastAsia="KaiTi" w:cs="KaiTi"/>
          <w:sz w:val="20"/>
          <w:szCs w:val="20"/>
          <w:b/>
          <w:bCs/>
          <w:spacing w:val="8"/>
        </w:rPr>
        <w:t>（五）大力推动资源服务管理下沉</w:t>
      </w:r>
    </w:p>
    <w:p>
      <w:pPr>
        <w:pStyle w:val="BodyText"/>
        <w:ind w:left="13" w:right="320" w:firstLine="438"/>
        <w:spacing w:before="109" w:line="285" w:lineRule="auto"/>
        <w:outlineLvl w:val="0"/>
        <w:rPr/>
      </w:pPr>
      <w:r>
        <w:rPr/>
        <w:t>11.建立赋权清单目录。按照依法下放、宜</w:t>
      </w:r>
      <w:r>
        <w:rPr>
          <w:spacing w:val="7"/>
        </w:rPr>
        <w:t>放则放原则，将点多面广、基层管理迫切需要</w:t>
      </w:r>
    </w:p>
    <w:p>
      <w:pPr>
        <w:pStyle w:val="BodyText"/>
        <w:ind w:left="11" w:right="315"/>
        <w:spacing w:before="127" w:line="341" w:lineRule="auto"/>
        <w:jc w:val="both"/>
        <w:rPr/>
      </w:pPr>
      <w:r>
        <w:rPr>
          <w:spacing w:val="18"/>
        </w:rPr>
        <w:t>且能有效承接的审批服务执法等权限赋予乡</w:t>
      </w:r>
      <w:r>
        <w:rPr>
          <w:spacing w:val="7"/>
        </w:rPr>
        <w:t>镇和街道。按照自治区政府统一制定的赋权清</w:t>
      </w:r>
      <w:r>
        <w:rPr>
          <w:spacing w:val="7"/>
        </w:rPr>
        <w:t>单目录，依法明确乡镇和街道执法主体地位，</w:t>
      </w:r>
      <w:r>
        <w:rPr>
          <w:spacing w:val="7"/>
        </w:rPr>
        <w:t>统一和规范赋权事项，成熟一批，赋予一批，</w:t>
      </w:r>
      <w:r>
        <w:rPr>
          <w:spacing w:val="7"/>
        </w:rPr>
        <w:t>确保放得下、接得住、管得好、有监督。法律</w:t>
      </w:r>
      <w:r>
        <w:rPr>
          <w:spacing w:val="18"/>
        </w:rPr>
        <w:t>规定的县级政府及其部门的管理权限需要赋</w:t>
      </w:r>
      <w:r>
        <w:rPr>
          <w:spacing w:val="-3"/>
        </w:rPr>
        <w:t>予乡镇和街道的，按法定程序和要求办理。（市</w:t>
      </w:r>
      <w:r>
        <w:rPr>
          <w:spacing w:val="7"/>
        </w:rPr>
        <w:t>政府办公室牵头，人大常委会法工委、司法局</w:t>
      </w:r>
      <w:r>
        <w:rPr>
          <w:spacing w:val="9"/>
        </w:rPr>
        <w:t>等相关部门，各县〔区〕落实）</w:t>
      </w:r>
    </w:p>
    <w:p>
      <w:pPr>
        <w:pStyle w:val="BodyText"/>
        <w:ind w:left="18" w:right="320" w:firstLine="433"/>
        <w:spacing w:before="2" w:line="283" w:lineRule="auto"/>
        <w:outlineLvl w:val="0"/>
        <w:rPr/>
      </w:pPr>
      <w:r>
        <w:rPr/>
        <w:t>12.建立务实高效用编用人制度。推进编制</w:t>
      </w:r>
      <w:r>
        <w:rPr>
          <w:spacing w:val="7"/>
        </w:rPr>
        <w:t>资源向乡镇和街道倾斜，鼓励从上往下跨层级</w:t>
      </w:r>
    </w:p>
    <w:p>
      <w:pPr>
        <w:pStyle w:val="BodyText"/>
        <w:ind w:left="11" w:right="315" w:firstLine="2"/>
        <w:spacing w:before="134" w:line="339" w:lineRule="auto"/>
        <w:jc w:val="both"/>
        <w:rPr/>
      </w:pPr>
      <w:r>
        <w:rPr>
          <w:spacing w:val="7"/>
        </w:rPr>
        <w:t>调剂使用行政和事业编制，充实加强基层一线</w:t>
      </w:r>
      <w:r>
        <w:rPr>
          <w:spacing w:val="4"/>
        </w:rPr>
        <w:t>工作力量。县（</w:t>
      </w:r>
      <w:r>
        <w:rPr>
          <w:spacing w:val="-34"/>
        </w:rPr>
        <w:t xml:space="preserve"> </w:t>
      </w:r>
      <w:r>
        <w:rPr>
          <w:spacing w:val="4"/>
        </w:rPr>
        <w:t>区）可根据工作需要，在乡镇</w:t>
      </w:r>
      <w:r>
        <w:rPr>
          <w:spacing w:val="7"/>
        </w:rPr>
        <w:t>和街道之间统筹调剂使用各类编制资源，实行</w:t>
      </w:r>
      <w:r>
        <w:rPr>
          <w:spacing w:val="7"/>
        </w:rPr>
        <w:t>动态管理。建立用编用人计划优先保障空编乡</w:t>
      </w:r>
      <w:r>
        <w:rPr>
          <w:spacing w:val="7"/>
        </w:rPr>
        <w:t>镇和街道机制，根据基层需要及时补充人员，</w:t>
      </w:r>
      <w:r>
        <w:rPr>
          <w:spacing w:val="7"/>
        </w:rPr>
        <w:t>提高编制资源使用效益。整合条线辅助人员，</w:t>
      </w:r>
      <w:r>
        <w:rPr>
          <w:spacing w:val="7"/>
        </w:rPr>
        <w:t>按照属地化管理原则，由乡镇和街道统筹指挥</w:t>
      </w:r>
      <w:r>
        <w:rPr>
          <w:spacing w:val="18"/>
        </w:rPr>
        <w:t>调配。赋予乡镇和街道更加灵活的用人自主</w:t>
      </w:r>
      <w:r>
        <w:rPr>
          <w:spacing w:val="7"/>
        </w:rPr>
        <w:t>权，在编制与人员一一对应关系的基础上，可</w:t>
      </w:r>
      <w:r>
        <w:rPr>
          <w:spacing w:val="7"/>
        </w:rPr>
        <w:t>根据工作需要和人尽其才的原则，统筹使用行</w:t>
      </w:r>
      <w:r>
        <w:rPr>
          <w:spacing w:val="7"/>
        </w:rPr>
        <w:t>政事业人员，事业单位主要负责人可按副科级</w:t>
      </w:r>
      <w:r>
        <w:rPr>
          <w:spacing w:val="7"/>
        </w:rPr>
        <w:t>配备。（市委组织部、编办、人力资源社会保</w:t>
      </w:r>
      <w:r>
        <w:rPr>
          <w:spacing w:val="10"/>
        </w:rPr>
        <w:t>障局牵头，各县〔区〕落实）</w:t>
      </w:r>
    </w:p>
    <w:p>
      <w:pPr>
        <w:spacing w:line="14" w:lineRule="auto"/>
        <w:rPr>
          <w:rFonts w:ascii="Arial"/>
          <w:sz w:val="2"/>
        </w:rPr>
      </w:pPr>
      <w:r>
        <w:rPr>
          <w:rFonts w:ascii="Arial" w:hAnsi="Arial" w:eastAsia="Arial" w:cs="Arial"/>
          <w:sz w:val="2"/>
          <w:szCs w:val="2"/>
        </w:rPr>
        <w:br w:type="column"/>
      </w:r>
    </w:p>
    <w:p>
      <w:pPr>
        <w:pStyle w:val="BodyText"/>
        <w:ind w:left="12" w:right="194" w:firstLine="434"/>
        <w:spacing w:before="47" w:line="298" w:lineRule="auto"/>
        <w:outlineLvl w:val="0"/>
        <w:rPr/>
      </w:pPr>
      <w:r>
        <w:rPr/>
        <w:t>13.强化事权保障。投放基层的公共服务资</w:t>
      </w:r>
      <w:r>
        <w:rPr>
          <w:spacing w:val="7"/>
        </w:rPr>
        <w:t>源，应当以乡镇、街道、村（社区）党组织为</w:t>
      </w:r>
    </w:p>
    <w:p>
      <w:pPr>
        <w:pStyle w:val="BodyText"/>
        <w:ind w:left="7" w:right="116" w:firstLine="8"/>
        <w:spacing w:before="96" w:line="341" w:lineRule="auto"/>
        <w:jc w:val="both"/>
        <w:rPr/>
      </w:pPr>
      <w:r>
        <w:rPr>
          <w:spacing w:val="6"/>
        </w:rPr>
        <w:t>主渠道落实。坚持重心下移、力量下沉、保障</w:t>
      </w:r>
      <w:r>
        <w:rPr>
          <w:spacing w:val="7"/>
        </w:rPr>
        <w:t>下倾，加强下放给乡镇和街道事权的人才、技</w:t>
      </w:r>
      <w:r>
        <w:rPr>
          <w:spacing w:val="7"/>
        </w:rPr>
        <w:t>术、资金、网络端口等方面的保障，做到权随</w:t>
      </w:r>
      <w:r>
        <w:rPr>
          <w:spacing w:val="7"/>
        </w:rPr>
        <w:t>事转、人随事转、钱随事转，使基层有人有物</w:t>
      </w:r>
      <w:r>
        <w:rPr>
          <w:spacing w:val="1"/>
        </w:rPr>
        <w:t>有权，保证基层事情基层办、基层权力给基层、</w:t>
      </w:r>
      <w:r>
        <w:rPr>
          <w:spacing w:val="10"/>
        </w:rPr>
        <w:t>基层事情有人办。（各县〔区〕落实）</w:t>
      </w:r>
    </w:p>
    <w:p>
      <w:pPr>
        <w:pStyle w:val="BodyText"/>
        <w:ind w:left="7" w:right="194" w:firstLine="439"/>
        <w:spacing w:before="1" w:line="283" w:lineRule="auto"/>
        <w:outlineLvl w:val="0"/>
        <w:rPr/>
      </w:pPr>
      <w:r>
        <w:rPr/>
        <w:t>14.完善激励保障机制。全面落实乡镇工作</w:t>
      </w:r>
      <w:r>
        <w:rPr>
          <w:spacing w:val="7"/>
        </w:rPr>
        <w:t>人员各项待遇政策，并向条件艰苦的偏远乡镇</w:t>
      </w:r>
    </w:p>
    <w:p>
      <w:pPr>
        <w:pStyle w:val="BodyText"/>
        <w:ind w:right="176" w:firstLine="15"/>
        <w:spacing w:before="130" w:line="341" w:lineRule="auto"/>
        <w:jc w:val="both"/>
        <w:rPr/>
      </w:pPr>
      <w:r>
        <w:rPr>
          <w:spacing w:val="6"/>
        </w:rPr>
        <w:t>和长期在乡镇工作的人员倾斜。乡镇年度考核</w:t>
      </w:r>
      <w:r>
        <w:rPr>
          <w:spacing w:val="12"/>
        </w:rPr>
        <w:t>优秀比例提高到20%，工作成绩突出的可提高</w:t>
      </w:r>
      <w:r>
        <w:rPr>
          <w:spacing w:val="16"/>
        </w:rPr>
        <w:t>到</w:t>
      </w:r>
      <w:r>
        <w:rPr>
          <w:spacing w:val="-37"/>
        </w:rPr>
        <w:t xml:space="preserve"> </w:t>
      </w:r>
      <w:r>
        <w:rPr>
          <w:spacing w:val="16"/>
        </w:rPr>
        <w:t>25%-35%。落实乡镇工作补贴政策</w:t>
      </w:r>
      <w:r>
        <w:rPr>
          <w:spacing w:val="-59"/>
        </w:rPr>
        <w:t xml:space="preserve"> </w:t>
      </w:r>
      <w:r>
        <w:rPr>
          <w:spacing w:val="16"/>
        </w:rPr>
        <w:t>，确保</w:t>
      </w:r>
      <w:r>
        <w:rPr>
          <w:spacing w:val="18"/>
        </w:rPr>
        <w:t>乡镇机关事业单位工作人员收入高于县直机</w:t>
      </w:r>
      <w:r>
        <w:rPr>
          <w:spacing w:val="12"/>
        </w:rPr>
        <w:t>关事业单位同职级人员20%，进一步调动基层</w:t>
      </w:r>
      <w:r>
        <w:rPr>
          <w:spacing w:val="8"/>
        </w:rPr>
        <w:t>干部队伍积极性，激励担当作为、干事创业。</w:t>
      </w:r>
      <w:r>
        <w:rPr>
          <w:spacing w:val="13"/>
        </w:rPr>
        <w:t xml:space="preserve"> </w:t>
      </w:r>
      <w:r>
        <w:rPr>
          <w:spacing w:val="7"/>
        </w:rPr>
        <w:t>（市委组织部、人力资源社会保障局、财政局</w:t>
      </w:r>
      <w:r>
        <w:rPr>
          <w:spacing w:val="10"/>
        </w:rPr>
        <w:t>牵头，各县〔区〕落实）</w:t>
      </w:r>
    </w:p>
    <w:p>
      <w:pPr>
        <w:ind w:left="420"/>
        <w:spacing w:line="241" w:lineRule="auto"/>
        <w:outlineLvl w:val="0"/>
        <w:rPr>
          <w:rFonts w:ascii="KaiTi" w:hAnsi="KaiTi" w:eastAsia="KaiTi" w:cs="KaiTi"/>
          <w:sz w:val="20"/>
          <w:szCs w:val="20"/>
        </w:rPr>
      </w:pPr>
      <w:r>
        <w:rPr>
          <w:rFonts w:ascii="KaiTi" w:hAnsi="KaiTi" w:eastAsia="KaiTi" w:cs="KaiTi"/>
          <w:sz w:val="20"/>
          <w:szCs w:val="20"/>
          <w:b/>
          <w:bCs/>
          <w:spacing w:val="5"/>
        </w:rPr>
        <w:t>（</w:t>
      </w:r>
      <w:r>
        <w:rPr>
          <w:rFonts w:ascii="KaiTi" w:hAnsi="KaiTi" w:eastAsia="KaiTi" w:cs="KaiTi"/>
          <w:sz w:val="20"/>
          <w:szCs w:val="20"/>
          <w:spacing w:val="-37"/>
        </w:rPr>
        <w:t xml:space="preserve"> </w:t>
      </w:r>
      <w:r>
        <w:rPr>
          <w:rFonts w:ascii="KaiTi" w:hAnsi="KaiTi" w:eastAsia="KaiTi" w:cs="KaiTi"/>
          <w:sz w:val="20"/>
          <w:szCs w:val="20"/>
          <w:b/>
          <w:bCs/>
          <w:spacing w:val="5"/>
        </w:rPr>
        <w:t>六）优化上级机关对基层的领导方式</w:t>
      </w:r>
    </w:p>
    <w:p>
      <w:pPr>
        <w:pStyle w:val="BodyText"/>
        <w:ind w:left="9" w:right="151" w:firstLine="437"/>
        <w:spacing w:before="107" w:line="284" w:lineRule="auto"/>
        <w:outlineLvl w:val="0"/>
        <w:rPr/>
      </w:pPr>
      <w:r>
        <w:rPr>
          <w:spacing w:val="4"/>
        </w:rPr>
        <w:t>15.规范</w:t>
      </w:r>
      <w:r>
        <w:rPr>
          <w:rFonts w:ascii="Times New Roman" w:hAnsi="Times New Roman" w:eastAsia="Times New Roman" w:cs="Times New Roman"/>
          <w:spacing w:val="4"/>
        </w:rPr>
        <w:t>“</w:t>
      </w:r>
      <w:r>
        <w:rPr>
          <w:spacing w:val="4"/>
        </w:rPr>
        <w:t>属地管理</w:t>
      </w:r>
      <w:r>
        <w:rPr>
          <w:rFonts w:ascii="Times New Roman" w:hAnsi="Times New Roman" w:eastAsia="Times New Roman" w:cs="Times New Roman"/>
          <w:spacing w:val="4"/>
        </w:rPr>
        <w:t>”</w:t>
      </w:r>
      <w:r>
        <w:rPr>
          <w:spacing w:val="4"/>
        </w:rPr>
        <w:t>。建立县乡</w:t>
      </w:r>
      <w:r>
        <w:rPr>
          <w:rFonts w:ascii="Times New Roman" w:hAnsi="Times New Roman" w:eastAsia="Times New Roman" w:cs="Times New Roman"/>
          <w:spacing w:val="4"/>
        </w:rPr>
        <w:t>“</w:t>
      </w:r>
      <w:r>
        <w:rPr>
          <w:spacing w:val="4"/>
        </w:rPr>
        <w:t>属地管理</w:t>
      </w:r>
      <w:r>
        <w:rPr>
          <w:rFonts w:ascii="Times New Roman" w:hAnsi="Times New Roman" w:eastAsia="Times New Roman" w:cs="Times New Roman"/>
          <w:spacing w:val="4"/>
        </w:rPr>
        <w:t>”</w:t>
      </w:r>
      <w:r>
        <w:rPr>
          <w:spacing w:val="7"/>
        </w:rPr>
        <w:t>事项主体责任和配合责任清单制度，在自然资</w:t>
      </w:r>
    </w:p>
    <w:p>
      <w:pPr>
        <w:pStyle w:val="BodyText"/>
        <w:ind w:left="7" w:right="132" w:firstLine="4"/>
        <w:spacing w:before="130" w:line="343" w:lineRule="auto"/>
        <w:jc w:val="both"/>
        <w:rPr/>
      </w:pPr>
      <w:r>
        <w:rPr>
          <w:spacing w:val="7"/>
        </w:rPr>
        <w:t>源、生态环境、城乡建设、应急管理、市场监</w:t>
      </w:r>
      <w:r>
        <w:rPr/>
        <w:t>管、综合执法等方面，合理划分县乡权责边界，</w:t>
      </w:r>
      <w:r>
        <w:rPr>
          <w:spacing w:val="7"/>
        </w:rPr>
        <w:t>健全县乡联动机制。探索建立乡镇和街道职责</w:t>
      </w:r>
      <w:r>
        <w:rPr>
          <w:spacing w:val="7"/>
        </w:rPr>
        <w:t>准入制度，县级职能部门将职责范围内的行政</w:t>
      </w:r>
      <w:r>
        <w:rPr>
          <w:spacing w:val="7"/>
        </w:rPr>
        <w:t>事务委托或交由乡镇和街道承担的，需按规定</w:t>
      </w:r>
      <w:r>
        <w:rPr>
          <w:spacing w:val="7"/>
        </w:rPr>
        <w:t>审核报批并充分听取基层意见。（市委编办牵</w:t>
      </w:r>
      <w:r>
        <w:rPr>
          <w:spacing w:val="9"/>
        </w:rPr>
        <w:t>头，各县〔区〕落实）</w:t>
      </w:r>
    </w:p>
    <w:p>
      <w:pPr>
        <w:pStyle w:val="BodyText"/>
        <w:ind w:left="15" w:right="194" w:firstLine="431"/>
        <w:spacing w:before="2" w:line="292" w:lineRule="auto"/>
        <w:outlineLvl w:val="0"/>
        <w:rPr/>
      </w:pPr>
      <w:r>
        <w:rPr/>
        <w:t>16.推进基层减负增效。组织对上级与乡镇</w:t>
      </w:r>
      <w:r>
        <w:rPr>
          <w:spacing w:val="18"/>
        </w:rPr>
        <w:t>和街道签订的各类</w:t>
      </w:r>
      <w:r>
        <w:rPr>
          <w:rFonts w:ascii="Times New Roman" w:hAnsi="Times New Roman" w:eastAsia="Times New Roman" w:cs="Times New Roman"/>
          <w:spacing w:val="18"/>
        </w:rPr>
        <w:t>“</w:t>
      </w:r>
      <w:r>
        <w:rPr>
          <w:spacing w:val="18"/>
        </w:rPr>
        <w:t>责任状</w:t>
      </w:r>
      <w:r>
        <w:rPr>
          <w:rFonts w:ascii="Times New Roman" w:hAnsi="Times New Roman" w:eastAsia="Times New Roman" w:cs="Times New Roman"/>
          <w:spacing w:val="18"/>
        </w:rPr>
        <w:t>”</w:t>
      </w:r>
      <w:r>
        <w:rPr>
          <w:spacing w:val="18"/>
        </w:rPr>
        <w:t>和考核评比等事</w:t>
      </w:r>
    </w:p>
    <w:p>
      <w:pPr>
        <w:pStyle w:val="BodyText"/>
        <w:ind w:left="6" w:right="196" w:firstLine="1"/>
        <w:spacing w:before="152" w:line="325" w:lineRule="auto"/>
        <w:jc w:val="both"/>
        <w:rPr/>
      </w:pPr>
      <w:r>
        <w:rPr>
          <w:spacing w:val="7"/>
        </w:rPr>
        <w:t>项进行全面清理，统一规范针对乡镇和街道的</w:t>
      </w:r>
      <w:r>
        <w:rPr>
          <w:spacing w:val="7"/>
        </w:rPr>
        <w:t>评比达标、示范创建等活动，切实减轻基层负</w:t>
      </w:r>
      <w:r>
        <w:rPr>
          <w:spacing w:val="7"/>
        </w:rPr>
        <w:t>担。除中央和自治区党委明确要求外，各部门</w:t>
      </w:r>
      <w:r>
        <w:rPr>
          <w:spacing w:val="23"/>
        </w:rPr>
        <w:t>不得以任何形式对乡镇和街道设置</w:t>
      </w:r>
      <w:r>
        <w:rPr>
          <w:rFonts w:ascii="Times New Roman" w:hAnsi="Times New Roman" w:eastAsia="Times New Roman" w:cs="Times New Roman"/>
          <w:spacing w:val="23"/>
        </w:rPr>
        <w:t>“</w:t>
      </w:r>
      <w:r>
        <w:rPr>
          <w:rFonts w:ascii="Times New Roman" w:hAnsi="Times New Roman" w:eastAsia="Times New Roman" w:cs="Times New Roman"/>
          <w:spacing w:val="-30"/>
        </w:rPr>
        <w:t xml:space="preserve"> </w:t>
      </w:r>
      <w:r>
        <w:rPr>
          <w:spacing w:val="23"/>
        </w:rPr>
        <w:t>一票否</w:t>
      </w:r>
      <w:r>
        <w:rPr>
          <w:spacing w:val="9"/>
        </w:rPr>
        <w:t>决</w:t>
      </w:r>
      <w:r>
        <w:rPr>
          <w:rFonts w:ascii="Times New Roman" w:hAnsi="Times New Roman" w:eastAsia="Times New Roman" w:cs="Times New Roman"/>
          <w:spacing w:val="9"/>
        </w:rPr>
        <w:t>”</w:t>
      </w:r>
      <w:r>
        <w:rPr>
          <w:spacing w:val="9"/>
        </w:rPr>
        <w:t>事项</w:t>
      </w:r>
      <w:r>
        <w:rPr>
          <w:spacing w:val="-38"/>
        </w:rPr>
        <w:t xml:space="preserve"> </w:t>
      </w:r>
      <w:r>
        <w:rPr>
          <w:spacing w:val="9"/>
        </w:rPr>
        <w:t>，不得以签订</w:t>
      </w:r>
      <w:r>
        <w:rPr>
          <w:rFonts w:ascii="Times New Roman" w:hAnsi="Times New Roman" w:eastAsia="Times New Roman" w:cs="Times New Roman"/>
          <w:spacing w:val="9"/>
        </w:rPr>
        <w:t>“</w:t>
      </w:r>
      <w:r>
        <w:rPr>
          <w:spacing w:val="9"/>
        </w:rPr>
        <w:t>责任状</w:t>
      </w:r>
      <w:r>
        <w:rPr>
          <w:rFonts w:ascii="Times New Roman" w:hAnsi="Times New Roman" w:eastAsia="Times New Roman" w:cs="Times New Roman"/>
          <w:spacing w:val="9"/>
        </w:rPr>
        <w:t>”</w:t>
      </w:r>
      <w:r>
        <w:rPr>
          <w:rFonts w:ascii="Times New Roman" w:hAnsi="Times New Roman" w:eastAsia="Times New Roman" w:cs="Times New Roman"/>
          <w:spacing w:val="-22"/>
        </w:rPr>
        <w:t xml:space="preserve"> </w:t>
      </w:r>
      <w:r>
        <w:rPr>
          <w:spacing w:val="9"/>
        </w:rPr>
        <w:t>、分解下达指</w:t>
      </w:r>
    </w:p>
    <w:p>
      <w:pPr>
        <w:spacing w:line="325" w:lineRule="auto"/>
        <w:sectPr>
          <w:type w:val="continuous"/>
          <w:pgSz w:w="11906" w:h="16839"/>
          <w:pgMar w:top="1793" w:right="1393" w:bottom="1570" w:left="1579" w:header="1428" w:footer="1172" w:gutter="0"/>
          <w:cols w:equalWidth="0" w:num="2">
            <w:col w:w="4482" w:space="100"/>
            <w:col w:w="4352" w:space="0"/>
          </w:cols>
        </w:sectPr>
        <w:rPr/>
      </w:pPr>
    </w:p>
    <w:p>
      <w:pPr>
        <w:spacing w:before="46"/>
        <w:rPr/>
      </w:pPr>
      <w:r>
        <w:drawing>
          <wp:anchor distT="0" distB="0" distL="0" distR="0" simplePos="0" relativeHeight="251877376"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612" name="IM 612"/>
            <wp:cNvGraphicFramePr/>
            <a:graphic>
              <a:graphicData uri="http://schemas.openxmlformats.org/drawingml/2006/picture">
                <pic:pic>
                  <pic:nvPicPr>
                    <pic:cNvPr id="612" name="IM 612"/>
                    <pic:cNvPicPr/>
                  </pic:nvPicPr>
                  <pic:blipFill>
                    <a:blip r:embed="rId308"/>
                    <a:stretch>
                      <a:fillRect/>
                    </a:stretch>
                  </pic:blipFill>
                  <pic:spPr>
                    <a:xfrm rot="0">
                      <a:off x="0" y="0"/>
                      <a:ext cx="5579745" cy="7619"/>
                    </a:xfrm>
                    <a:prstGeom prst="rect">
                      <a:avLst/>
                    </a:prstGeom>
                  </pic:spPr>
                </pic:pic>
              </a:graphicData>
            </a:graphic>
          </wp:anchor>
        </w:drawing>
      </w:r>
      <w:r/>
    </w:p>
    <w:p>
      <w:pPr>
        <w:sectPr>
          <w:headerReference w:type="default" r:id="rId297"/>
          <w:footerReference w:type="default" r:id="rId307"/>
          <w:pgSz w:w="11906" w:h="16839"/>
          <w:pgMar w:top="1793" w:right="1489" w:bottom="1673" w:left="1565" w:header="1428" w:footer="1277" w:gutter="0"/>
          <w:cols w:equalWidth="0" w:num="1">
            <w:col w:w="8852" w:space="0"/>
          </w:cols>
        </w:sectPr>
        <w:rPr/>
      </w:pPr>
    </w:p>
    <w:p>
      <w:pPr>
        <w:pStyle w:val="BodyText"/>
        <w:ind w:left="27" w:right="224"/>
        <w:spacing w:before="40" w:line="360" w:lineRule="auto"/>
        <w:rPr/>
      </w:pPr>
      <w:r>
        <w:rPr>
          <w:spacing w:val="7"/>
        </w:rPr>
        <w:t>标、考核验收等方式，将工作责任转嫁乡镇和</w:t>
      </w:r>
      <w:r>
        <w:rPr>
          <w:spacing w:val="7"/>
        </w:rPr>
        <w:t>街道承担。对不符合基层实际和发展需要的法</w:t>
      </w:r>
      <w:r>
        <w:rPr>
          <w:spacing w:val="7"/>
        </w:rPr>
        <w:t>规及政策规定要及时清理、修订、完善，为基</w:t>
      </w:r>
      <w:r>
        <w:rPr>
          <w:spacing w:val="7"/>
        </w:rPr>
        <w:t>层改革创新提供制度支持。（市委组织部、市</w:t>
      </w:r>
      <w:r>
        <w:rPr>
          <w:spacing w:val="2"/>
        </w:rPr>
        <w:t>委办公室、市政府办公室、人力资源社会保障局</w:t>
      </w:r>
      <w:r>
        <w:rPr>
          <w:spacing w:val="6"/>
        </w:rPr>
        <w:t xml:space="preserve"> </w:t>
      </w:r>
      <w:r>
        <w:rPr>
          <w:spacing w:val="9"/>
        </w:rPr>
        <w:t>、司法局、民政局牵头，各县〔区〕落实）</w:t>
      </w:r>
    </w:p>
    <w:p>
      <w:pPr>
        <w:pStyle w:val="BodyText"/>
        <w:ind w:left="459"/>
        <w:spacing w:before="1" w:line="185" w:lineRule="auto"/>
        <w:rPr/>
      </w:pPr>
      <w:r>
        <w:rPr>
          <w:rFonts w:ascii="Microsoft YaHei" w:hAnsi="Microsoft YaHei" w:eastAsia="Microsoft YaHei" w:cs="Microsoft YaHei"/>
          <w:spacing w:val="6"/>
        </w:rPr>
        <w:t>三、改革步骤。</w:t>
      </w:r>
      <w:r>
        <w:rPr>
          <w:spacing w:val="6"/>
        </w:rPr>
        <w:t>固原市推进基层整合审批</w:t>
      </w:r>
    </w:p>
    <w:p>
      <w:pPr>
        <w:pStyle w:val="BodyText"/>
        <w:ind w:left="31"/>
        <w:spacing w:before="119" w:line="277" w:lineRule="exact"/>
        <w:outlineLvl w:val="0"/>
        <w:rPr/>
      </w:pPr>
      <w:r>
        <w:rPr>
          <w:spacing w:val="5"/>
          <w:position w:val="1"/>
        </w:rPr>
        <w:t>服务执法力量工作从</w:t>
      </w:r>
      <w:r>
        <w:rPr>
          <w:spacing w:val="-33"/>
          <w:position w:val="1"/>
        </w:rPr>
        <w:t xml:space="preserve"> </w:t>
      </w:r>
      <w:r>
        <w:rPr>
          <w:spacing w:val="5"/>
          <w:position w:val="1"/>
        </w:rPr>
        <w:t>2020</w:t>
      </w:r>
      <w:r>
        <w:rPr>
          <w:spacing w:val="-39"/>
          <w:position w:val="1"/>
        </w:rPr>
        <w:t xml:space="preserve"> </w:t>
      </w:r>
      <w:r>
        <w:rPr>
          <w:spacing w:val="5"/>
          <w:position w:val="1"/>
        </w:rPr>
        <w:t>年</w:t>
      </w:r>
      <w:r>
        <w:rPr>
          <w:spacing w:val="-22"/>
          <w:position w:val="1"/>
        </w:rPr>
        <w:t xml:space="preserve"> </w:t>
      </w:r>
      <w:r>
        <w:rPr>
          <w:spacing w:val="5"/>
          <w:position w:val="1"/>
        </w:rPr>
        <w:t>12</w:t>
      </w:r>
      <w:r>
        <w:rPr>
          <w:spacing w:val="-41"/>
          <w:position w:val="1"/>
        </w:rPr>
        <w:t xml:space="preserve"> </w:t>
      </w:r>
      <w:r>
        <w:rPr>
          <w:spacing w:val="5"/>
          <w:position w:val="1"/>
        </w:rPr>
        <w:t>月下旬开始，</w:t>
      </w:r>
    </w:p>
    <w:p>
      <w:pPr>
        <w:pStyle w:val="BodyText"/>
        <w:ind w:left="29"/>
        <w:spacing w:before="113" w:line="278" w:lineRule="exact"/>
        <w:rPr/>
      </w:pPr>
      <w:r>
        <w:rPr>
          <w:spacing w:val="9"/>
          <w:position w:val="1"/>
        </w:rPr>
        <w:t>2021年</w:t>
      </w:r>
      <w:r>
        <w:rPr>
          <w:spacing w:val="-30"/>
          <w:position w:val="1"/>
        </w:rPr>
        <w:t xml:space="preserve"> </w:t>
      </w:r>
      <w:r>
        <w:rPr>
          <w:spacing w:val="9"/>
          <w:position w:val="1"/>
        </w:rPr>
        <w:t>6</w:t>
      </w:r>
      <w:r>
        <w:rPr>
          <w:spacing w:val="-38"/>
          <w:position w:val="1"/>
        </w:rPr>
        <w:t xml:space="preserve"> </w:t>
      </w:r>
      <w:r>
        <w:rPr>
          <w:spacing w:val="9"/>
          <w:position w:val="1"/>
        </w:rPr>
        <w:t>月底前全面完成。分三个阶段进行。</w:t>
      </w:r>
    </w:p>
    <w:p>
      <w:pPr>
        <w:ind w:left="439"/>
        <w:spacing w:before="110" w:line="241" w:lineRule="auto"/>
        <w:outlineLvl w:val="0"/>
        <w:rPr>
          <w:rFonts w:ascii="KaiTi" w:hAnsi="KaiTi" w:eastAsia="KaiTi" w:cs="KaiTi"/>
          <w:sz w:val="20"/>
          <w:szCs w:val="20"/>
        </w:rPr>
      </w:pPr>
      <w:r>
        <w:rPr>
          <w:rFonts w:ascii="KaiTi" w:hAnsi="KaiTi" w:eastAsia="KaiTi" w:cs="KaiTi"/>
          <w:sz w:val="20"/>
          <w:szCs w:val="20"/>
          <w:b/>
          <w:bCs/>
          <w:spacing w:val="1"/>
        </w:rPr>
        <w:t>（</w:t>
      </w:r>
      <w:r>
        <w:rPr>
          <w:rFonts w:ascii="KaiTi" w:hAnsi="KaiTi" w:eastAsia="KaiTi" w:cs="KaiTi"/>
          <w:sz w:val="20"/>
          <w:szCs w:val="20"/>
          <w:spacing w:val="-40"/>
        </w:rPr>
        <w:t xml:space="preserve"> </w:t>
      </w:r>
      <w:r>
        <w:rPr>
          <w:rFonts w:ascii="KaiTi" w:hAnsi="KaiTi" w:eastAsia="KaiTi" w:cs="KaiTi"/>
          <w:sz w:val="20"/>
          <w:szCs w:val="20"/>
          <w:b/>
          <w:bCs/>
          <w:spacing w:val="1"/>
        </w:rPr>
        <w:t>一）安排部署阶段（2020</w:t>
      </w:r>
      <w:r>
        <w:rPr>
          <w:rFonts w:ascii="KaiTi" w:hAnsi="KaiTi" w:eastAsia="KaiTi" w:cs="KaiTi"/>
          <w:sz w:val="20"/>
          <w:szCs w:val="20"/>
          <w:spacing w:val="-45"/>
        </w:rPr>
        <w:t xml:space="preserve"> </w:t>
      </w:r>
      <w:r>
        <w:rPr>
          <w:rFonts w:ascii="KaiTi" w:hAnsi="KaiTi" w:eastAsia="KaiTi" w:cs="KaiTi"/>
          <w:sz w:val="20"/>
          <w:szCs w:val="20"/>
          <w:b/>
          <w:bCs/>
          <w:spacing w:val="1"/>
        </w:rPr>
        <w:t>年</w:t>
      </w:r>
      <w:r>
        <w:rPr>
          <w:rFonts w:ascii="KaiTi" w:hAnsi="KaiTi" w:eastAsia="KaiTi" w:cs="KaiTi"/>
          <w:sz w:val="20"/>
          <w:szCs w:val="20"/>
          <w:spacing w:val="-27"/>
        </w:rPr>
        <w:t xml:space="preserve"> </w:t>
      </w:r>
      <w:r>
        <w:rPr>
          <w:rFonts w:ascii="KaiTi" w:hAnsi="KaiTi" w:eastAsia="KaiTi" w:cs="KaiTi"/>
          <w:sz w:val="20"/>
          <w:szCs w:val="20"/>
          <w:b/>
          <w:bCs/>
          <w:spacing w:val="1"/>
        </w:rPr>
        <w:t>12</w:t>
      </w:r>
      <w:r>
        <w:rPr>
          <w:rFonts w:ascii="KaiTi" w:hAnsi="KaiTi" w:eastAsia="KaiTi" w:cs="KaiTi"/>
          <w:sz w:val="20"/>
          <w:szCs w:val="20"/>
          <w:spacing w:val="-20"/>
        </w:rPr>
        <w:t xml:space="preserve"> </w:t>
      </w:r>
      <w:r>
        <w:rPr>
          <w:rFonts w:ascii="KaiTi" w:hAnsi="KaiTi" w:eastAsia="KaiTi" w:cs="KaiTi"/>
          <w:sz w:val="20"/>
          <w:szCs w:val="20"/>
          <w:b/>
          <w:bCs/>
          <w:spacing w:val="1"/>
        </w:rPr>
        <w:t>月底）</w:t>
      </w:r>
    </w:p>
    <w:p>
      <w:pPr>
        <w:pStyle w:val="BodyText"/>
        <w:ind w:left="448"/>
        <w:spacing w:before="134" w:line="223" w:lineRule="auto"/>
        <w:rPr/>
      </w:pPr>
      <w:r>
        <w:rPr>
          <w:spacing w:val="19"/>
        </w:rPr>
        <w:t>贯彻落实全区推进基层整合审批服务执</w:t>
      </w:r>
    </w:p>
    <w:p>
      <w:pPr>
        <w:pStyle w:val="BodyText"/>
        <w:ind w:left="28"/>
        <w:spacing w:before="148" w:line="222" w:lineRule="auto"/>
        <w:outlineLvl w:val="0"/>
        <w:rPr/>
      </w:pPr>
      <w:r>
        <w:rPr>
          <w:spacing w:val="7"/>
        </w:rPr>
        <w:t>法力量改革现场会议精神，及时调整固原市推</w:t>
      </w:r>
    </w:p>
    <w:p>
      <w:pPr>
        <w:pStyle w:val="BodyText"/>
        <w:ind w:left="27" w:right="263"/>
        <w:spacing w:before="152" w:line="356" w:lineRule="auto"/>
        <w:jc w:val="both"/>
        <w:rPr/>
      </w:pPr>
      <w:r>
        <w:rPr>
          <w:spacing w:val="18"/>
        </w:rPr>
        <w:t>进基层整合审批服务执法力量改革领导小组</w:t>
      </w:r>
      <w:r>
        <w:rPr>
          <w:spacing w:val="4"/>
        </w:rPr>
        <w:t>成员（</w:t>
      </w:r>
      <w:r>
        <w:rPr>
          <w:spacing w:val="-36"/>
        </w:rPr>
        <w:t xml:space="preserve"> </w:t>
      </w:r>
      <w:r>
        <w:rPr>
          <w:spacing w:val="4"/>
        </w:rPr>
        <w:t>以下简称市领导小组）。研究制定《固</w:t>
      </w:r>
      <w:r>
        <w:rPr>
          <w:spacing w:val="18"/>
        </w:rPr>
        <w:t>原市推进基层整合审批服务执法力量的实施</w:t>
      </w:r>
      <w:r>
        <w:rPr>
          <w:spacing w:val="7"/>
        </w:rPr>
        <w:t>方案》，细化分解工作任务，明确市直牵头部</w:t>
      </w:r>
      <w:r>
        <w:rPr/>
        <w:t>门、责任单位以及改革的主要任务、预期目标，</w:t>
      </w:r>
      <w:r>
        <w:rPr>
          <w:spacing w:val="9"/>
        </w:rPr>
        <w:t>全面部署我市推进改革的各项工作。</w:t>
      </w:r>
    </w:p>
    <w:p>
      <w:pPr>
        <w:ind w:left="439"/>
        <w:spacing w:before="20" w:line="241" w:lineRule="auto"/>
        <w:outlineLvl w:val="0"/>
        <w:rPr>
          <w:rFonts w:ascii="KaiTi" w:hAnsi="KaiTi" w:eastAsia="KaiTi" w:cs="KaiTi"/>
          <w:sz w:val="20"/>
          <w:szCs w:val="20"/>
        </w:rPr>
      </w:pPr>
      <w:r>
        <w:rPr>
          <w:rFonts w:ascii="KaiTi" w:hAnsi="KaiTi" w:eastAsia="KaiTi" w:cs="KaiTi"/>
          <w:sz w:val="20"/>
          <w:szCs w:val="20"/>
          <w:b/>
          <w:bCs/>
          <w:spacing w:val="1"/>
        </w:rPr>
        <w:t>（</w:t>
      </w:r>
      <w:r>
        <w:rPr>
          <w:rFonts w:ascii="KaiTi" w:hAnsi="KaiTi" w:eastAsia="KaiTi" w:cs="KaiTi"/>
          <w:sz w:val="20"/>
          <w:szCs w:val="20"/>
          <w:spacing w:val="-34"/>
        </w:rPr>
        <w:t xml:space="preserve"> </w:t>
      </w:r>
      <w:r>
        <w:rPr>
          <w:rFonts w:ascii="KaiTi" w:hAnsi="KaiTi" w:eastAsia="KaiTi" w:cs="KaiTi"/>
          <w:sz w:val="20"/>
          <w:szCs w:val="20"/>
          <w:b/>
          <w:bCs/>
          <w:spacing w:val="1"/>
        </w:rPr>
        <w:t>二）方案审批阶段（2021</w:t>
      </w:r>
      <w:r>
        <w:rPr>
          <w:rFonts w:ascii="KaiTi" w:hAnsi="KaiTi" w:eastAsia="KaiTi" w:cs="KaiTi"/>
          <w:sz w:val="20"/>
          <w:szCs w:val="20"/>
          <w:spacing w:val="-45"/>
        </w:rPr>
        <w:t xml:space="preserve"> </w:t>
      </w:r>
      <w:r>
        <w:rPr>
          <w:rFonts w:ascii="KaiTi" w:hAnsi="KaiTi" w:eastAsia="KaiTi" w:cs="KaiTi"/>
          <w:sz w:val="20"/>
          <w:szCs w:val="20"/>
          <w:b/>
          <w:bCs/>
          <w:spacing w:val="1"/>
        </w:rPr>
        <w:t>年</w:t>
      </w:r>
      <w:r>
        <w:rPr>
          <w:rFonts w:ascii="KaiTi" w:hAnsi="KaiTi" w:eastAsia="KaiTi" w:cs="KaiTi"/>
          <w:sz w:val="20"/>
          <w:szCs w:val="20"/>
          <w:spacing w:val="-27"/>
        </w:rPr>
        <w:t xml:space="preserve"> </w:t>
      </w:r>
      <w:r>
        <w:rPr>
          <w:rFonts w:ascii="KaiTi" w:hAnsi="KaiTi" w:eastAsia="KaiTi" w:cs="KaiTi"/>
          <w:sz w:val="20"/>
          <w:szCs w:val="20"/>
          <w:b/>
          <w:bCs/>
          <w:spacing w:val="1"/>
        </w:rPr>
        <w:t>1</w:t>
      </w:r>
      <w:r>
        <w:rPr>
          <w:rFonts w:ascii="KaiTi" w:hAnsi="KaiTi" w:eastAsia="KaiTi" w:cs="KaiTi"/>
          <w:sz w:val="20"/>
          <w:szCs w:val="20"/>
          <w:spacing w:val="-20"/>
        </w:rPr>
        <w:t xml:space="preserve"> </w:t>
      </w:r>
      <w:r>
        <w:rPr>
          <w:rFonts w:ascii="KaiTi" w:hAnsi="KaiTi" w:eastAsia="KaiTi" w:cs="KaiTi"/>
          <w:sz w:val="20"/>
          <w:szCs w:val="20"/>
          <w:b/>
          <w:bCs/>
          <w:spacing w:val="1"/>
        </w:rPr>
        <w:t>月底前）</w:t>
      </w:r>
    </w:p>
    <w:p>
      <w:pPr>
        <w:pStyle w:val="BodyText"/>
        <w:ind w:left="27" w:right="327" w:firstLine="420"/>
        <w:spacing w:before="132" w:line="292" w:lineRule="auto"/>
        <w:outlineLvl w:val="0"/>
        <w:rPr/>
      </w:pPr>
      <w:r>
        <w:rPr>
          <w:spacing w:val="6"/>
        </w:rPr>
        <w:t>各县（区）要结合实际，进一步细化工作</w:t>
      </w:r>
      <w:r>
        <w:rPr>
          <w:spacing w:val="7"/>
        </w:rPr>
        <w:t>措施和时间节点，研究制定工作细化方案，与</w:t>
      </w:r>
    </w:p>
    <w:p>
      <w:pPr>
        <w:pStyle w:val="BodyText"/>
        <w:ind w:left="28" w:right="327"/>
        <w:spacing w:before="148" w:line="360" w:lineRule="auto"/>
        <w:rPr/>
      </w:pPr>
      <w:r>
        <w:rPr>
          <w:spacing w:val="7"/>
        </w:rPr>
        <w:t>市领导小组办公室沟通形成一致意见后，报市</w:t>
      </w:r>
      <w:r>
        <w:rPr>
          <w:spacing w:val="7"/>
        </w:rPr>
        <w:t>领导小组审议，提交市委市政府批准印发，</w:t>
      </w:r>
    </w:p>
    <w:p>
      <w:pPr>
        <w:pStyle w:val="BodyText"/>
        <w:ind w:left="26"/>
        <w:spacing w:line="221" w:lineRule="auto"/>
        <w:rPr/>
      </w:pPr>
      <w:r>
        <w:rPr>
          <w:spacing w:val="9"/>
        </w:rPr>
        <w:t>并报自治区领导小组办公室备案。</w:t>
      </w:r>
    </w:p>
    <w:p>
      <w:pPr>
        <w:ind w:left="439"/>
        <w:spacing w:before="148" w:line="263" w:lineRule="exact"/>
        <w:outlineLvl w:val="0"/>
        <w:rPr>
          <w:rFonts w:ascii="KaiTi" w:hAnsi="KaiTi" w:eastAsia="KaiTi" w:cs="KaiTi"/>
          <w:sz w:val="20"/>
          <w:szCs w:val="20"/>
        </w:rPr>
      </w:pPr>
      <w:r>
        <w:rPr>
          <w:rFonts w:ascii="KaiTi" w:hAnsi="KaiTi" w:eastAsia="KaiTi" w:cs="KaiTi"/>
          <w:sz w:val="20"/>
          <w:szCs w:val="20"/>
          <w:b/>
          <w:bCs/>
          <w:position w:val="1"/>
        </w:rPr>
        <w:t>（</w:t>
      </w:r>
      <w:r>
        <w:rPr>
          <w:rFonts w:ascii="KaiTi" w:hAnsi="KaiTi" w:eastAsia="KaiTi" w:cs="KaiTi"/>
          <w:sz w:val="20"/>
          <w:szCs w:val="20"/>
          <w:spacing w:val="-44"/>
          <w:position w:val="1"/>
        </w:rPr>
        <w:t xml:space="preserve"> </w:t>
      </w:r>
      <w:r>
        <w:rPr>
          <w:rFonts w:ascii="KaiTi" w:hAnsi="KaiTi" w:eastAsia="KaiTi" w:cs="KaiTi"/>
          <w:sz w:val="20"/>
          <w:szCs w:val="20"/>
          <w:b/>
          <w:bCs/>
          <w:position w:val="1"/>
        </w:rPr>
        <w:t>三）督促落实阶段（</w:t>
      </w:r>
      <w:r>
        <w:rPr>
          <w:rFonts w:ascii="KaiTi" w:hAnsi="KaiTi" w:eastAsia="KaiTi" w:cs="KaiTi"/>
          <w:sz w:val="20"/>
          <w:szCs w:val="20"/>
          <w:spacing w:val="-59"/>
          <w:position w:val="1"/>
        </w:rPr>
        <w:t xml:space="preserve"> </w:t>
      </w:r>
      <w:r>
        <w:rPr>
          <w:rFonts w:ascii="KaiTi" w:hAnsi="KaiTi" w:eastAsia="KaiTi" w:cs="KaiTi"/>
          <w:sz w:val="20"/>
          <w:szCs w:val="20"/>
          <w:b/>
          <w:bCs/>
          <w:position w:val="1"/>
        </w:rPr>
        <w:t>2021</w:t>
      </w:r>
      <w:r>
        <w:rPr>
          <w:rFonts w:ascii="KaiTi" w:hAnsi="KaiTi" w:eastAsia="KaiTi" w:cs="KaiTi"/>
          <w:sz w:val="20"/>
          <w:szCs w:val="20"/>
          <w:spacing w:val="-43"/>
          <w:position w:val="1"/>
        </w:rPr>
        <w:t xml:space="preserve"> </w:t>
      </w:r>
      <w:r>
        <w:rPr>
          <w:rFonts w:ascii="KaiTi" w:hAnsi="KaiTi" w:eastAsia="KaiTi" w:cs="KaiTi"/>
          <w:sz w:val="20"/>
          <w:szCs w:val="20"/>
          <w:b/>
          <w:bCs/>
          <w:position w:val="1"/>
        </w:rPr>
        <w:t>年</w:t>
      </w:r>
      <w:r>
        <w:rPr>
          <w:rFonts w:ascii="KaiTi" w:hAnsi="KaiTi" w:eastAsia="KaiTi" w:cs="KaiTi"/>
          <w:sz w:val="20"/>
          <w:szCs w:val="20"/>
          <w:spacing w:val="-36"/>
          <w:position w:val="1"/>
        </w:rPr>
        <w:t xml:space="preserve"> </w:t>
      </w:r>
      <w:r>
        <w:rPr>
          <w:rFonts w:ascii="KaiTi" w:hAnsi="KaiTi" w:eastAsia="KaiTi" w:cs="KaiTi"/>
          <w:sz w:val="20"/>
          <w:szCs w:val="20"/>
          <w:b/>
          <w:bCs/>
          <w:position w:val="1"/>
        </w:rPr>
        <w:t>6</w:t>
      </w:r>
      <w:r>
        <w:rPr>
          <w:rFonts w:ascii="KaiTi" w:hAnsi="KaiTi" w:eastAsia="KaiTi" w:cs="KaiTi"/>
          <w:sz w:val="20"/>
          <w:szCs w:val="20"/>
          <w:spacing w:val="-22"/>
          <w:position w:val="1"/>
        </w:rPr>
        <w:t xml:space="preserve"> </w:t>
      </w:r>
      <w:r>
        <w:rPr>
          <w:rFonts w:ascii="KaiTi" w:hAnsi="KaiTi" w:eastAsia="KaiTi" w:cs="KaiTi"/>
          <w:sz w:val="20"/>
          <w:szCs w:val="20"/>
          <w:b/>
          <w:bCs/>
          <w:position w:val="1"/>
        </w:rPr>
        <w:t>月底前）</w:t>
      </w:r>
    </w:p>
    <w:p>
      <w:pPr>
        <w:pStyle w:val="BodyText"/>
        <w:ind w:left="449"/>
        <w:spacing w:before="129" w:line="222" w:lineRule="auto"/>
        <w:rPr/>
      </w:pPr>
      <w:r>
        <w:rPr>
          <w:spacing w:val="6"/>
        </w:rPr>
        <w:t>根据区、市党委、政府的安排部署，市直</w:t>
      </w:r>
    </w:p>
    <w:p>
      <w:pPr>
        <w:pStyle w:val="BodyText"/>
        <w:ind w:left="27"/>
        <w:spacing w:before="147" w:line="278" w:lineRule="exact"/>
        <w:outlineLvl w:val="0"/>
        <w:rPr/>
      </w:pPr>
      <w:r>
        <w:rPr>
          <w:spacing w:val="7"/>
          <w:position w:val="1"/>
        </w:rPr>
        <w:t>部门（单位）要按照各自重点任务，制定推进</w:t>
      </w:r>
    </w:p>
    <w:p>
      <w:pPr>
        <w:pStyle w:val="BodyText"/>
        <w:ind w:left="26" w:right="275"/>
        <w:spacing w:before="112" w:line="337" w:lineRule="auto"/>
        <w:rPr/>
      </w:pPr>
      <w:r>
        <w:rPr>
          <w:spacing w:val="9"/>
        </w:rPr>
        <w:t>计划，进一步细化工作措施，强化责任落实，</w:t>
      </w:r>
      <w:r>
        <w:rPr>
          <w:spacing w:val="7"/>
        </w:rPr>
        <w:t>切实加强对改革工作的督促指导。各县（</w:t>
      </w:r>
      <w:r>
        <w:rPr>
          <w:spacing w:val="-42"/>
        </w:rPr>
        <w:t xml:space="preserve"> </w:t>
      </w:r>
      <w:r>
        <w:rPr>
          <w:spacing w:val="7"/>
        </w:rPr>
        <w:t>区）</w:t>
      </w:r>
      <w:r>
        <w:rPr>
          <w:spacing w:val="7"/>
        </w:rPr>
        <w:t>要组建工作专班，加强组织领导，压茬推进各</w:t>
      </w:r>
      <w:r>
        <w:rPr>
          <w:spacing w:val="9"/>
        </w:rPr>
        <w:t>环节工作，确保各项改革任务落地落实落细。</w:t>
      </w:r>
      <w:r>
        <w:rPr>
          <w:spacing w:val="18"/>
        </w:rPr>
        <w:t xml:space="preserve"> </w:t>
      </w:r>
      <w:r>
        <w:rPr>
          <w:spacing w:val="15"/>
        </w:rPr>
        <w:t>2021年</w:t>
      </w:r>
      <w:r>
        <w:rPr>
          <w:spacing w:val="-34"/>
        </w:rPr>
        <w:t xml:space="preserve"> </w:t>
      </w:r>
      <w:r>
        <w:rPr>
          <w:spacing w:val="15"/>
        </w:rPr>
        <w:t>4</w:t>
      </w:r>
      <w:r>
        <w:rPr>
          <w:spacing w:val="-33"/>
        </w:rPr>
        <w:t xml:space="preserve"> </w:t>
      </w:r>
      <w:r>
        <w:rPr>
          <w:spacing w:val="15"/>
        </w:rPr>
        <w:t>月底前完成统筹优化乡镇和街道机</w:t>
      </w:r>
      <w:r>
        <w:rPr>
          <w:spacing w:val="5"/>
        </w:rPr>
        <w:t>构设置的相关工作，2021年</w:t>
      </w:r>
      <w:r>
        <w:rPr>
          <w:spacing w:val="-22"/>
        </w:rPr>
        <w:t xml:space="preserve"> </w:t>
      </w:r>
      <w:r>
        <w:rPr>
          <w:spacing w:val="5"/>
        </w:rPr>
        <w:t>6</w:t>
      </w:r>
      <w:r>
        <w:rPr>
          <w:spacing w:val="-40"/>
        </w:rPr>
        <w:t xml:space="preserve"> </w:t>
      </w:r>
      <w:r>
        <w:rPr>
          <w:spacing w:val="5"/>
        </w:rPr>
        <w:t>月底前全面完成</w:t>
      </w:r>
    </w:p>
    <w:p>
      <w:pPr>
        <w:spacing w:line="14" w:lineRule="auto"/>
        <w:rPr>
          <w:rFonts w:ascii="Arial"/>
          <w:sz w:val="2"/>
        </w:rPr>
      </w:pPr>
      <w:r>
        <w:rPr>
          <w:rFonts w:ascii="Arial" w:hAnsi="Arial" w:eastAsia="Arial" w:cs="Arial"/>
          <w:sz w:val="2"/>
          <w:szCs w:val="2"/>
        </w:rPr>
        <w:br w:type="column"/>
      </w:r>
    </w:p>
    <w:p>
      <w:pPr>
        <w:pStyle w:val="BodyText"/>
        <w:ind w:left="2" w:right="101" w:firstLine="3"/>
        <w:spacing w:before="38" w:line="360" w:lineRule="auto"/>
        <w:jc w:val="both"/>
        <w:rPr/>
      </w:pPr>
      <w:r>
        <w:rPr>
          <w:spacing w:val="7"/>
        </w:rPr>
        <w:t>改革任务。对改革推进过程中存在的困难和问</w:t>
      </w:r>
      <w:r>
        <w:rPr>
          <w:spacing w:val="7"/>
        </w:rPr>
        <w:t>题要及时上报市领导小组办公室，经请示自治</w:t>
      </w:r>
      <w:r>
        <w:rPr>
          <w:spacing w:val="7"/>
        </w:rPr>
        <w:t>区后统一答复。</w:t>
      </w:r>
    </w:p>
    <w:p>
      <w:pPr>
        <w:ind w:left="443"/>
        <w:spacing w:before="8" w:line="179"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四、组织领导</w:t>
      </w:r>
    </w:p>
    <w:p>
      <w:pPr>
        <w:pStyle w:val="BodyText"/>
        <w:ind w:left="18" w:right="94" w:firstLine="395"/>
        <w:spacing w:before="121" w:line="291" w:lineRule="auto"/>
        <w:outlineLvl w:val="0"/>
        <w:rPr/>
      </w:pPr>
      <w:r>
        <w:rPr>
          <w:rFonts w:ascii="KaiTi" w:hAnsi="KaiTi" w:eastAsia="KaiTi" w:cs="KaiTi"/>
          <w:b/>
          <w:bCs/>
          <w:spacing w:val="4"/>
        </w:rPr>
        <w:t>（</w:t>
      </w:r>
      <w:r>
        <w:rPr>
          <w:rFonts w:ascii="KaiTi" w:hAnsi="KaiTi" w:eastAsia="KaiTi" w:cs="KaiTi"/>
          <w:spacing w:val="-52"/>
        </w:rPr>
        <w:t xml:space="preserve"> </w:t>
      </w:r>
      <w:r>
        <w:rPr>
          <w:rFonts w:ascii="KaiTi" w:hAnsi="KaiTi" w:eastAsia="KaiTi" w:cs="KaiTi"/>
          <w:b/>
          <w:bCs/>
          <w:spacing w:val="4"/>
        </w:rPr>
        <w:t>一）加强组织领导。</w:t>
      </w:r>
      <w:r>
        <w:rPr>
          <w:spacing w:val="4"/>
        </w:rPr>
        <w:t>认真贯彻落实自治</w:t>
      </w:r>
      <w:r>
        <w:rPr>
          <w:spacing w:val="6"/>
        </w:rPr>
        <w:t>区党委常委、固原市委书记张柱同志关于“彭</w:t>
      </w:r>
    </w:p>
    <w:p>
      <w:pPr>
        <w:pStyle w:val="BodyText"/>
        <w:ind w:left="1" w:right="78" w:firstLine="21"/>
        <w:spacing w:before="153" w:line="359" w:lineRule="auto"/>
        <w:jc w:val="both"/>
        <w:rPr/>
      </w:pPr>
      <w:r>
        <w:rPr>
          <w:spacing w:val="7"/>
        </w:rPr>
        <w:t>阳县作为试点县，这项工作有创新、有突破，</w:t>
      </w:r>
      <w:r>
        <w:rPr>
          <w:spacing w:val="4"/>
        </w:rPr>
        <w:t>以党办通报印发，供各县（</w:t>
      </w:r>
      <w:r>
        <w:rPr>
          <w:spacing w:val="-34"/>
        </w:rPr>
        <w:t xml:space="preserve"> </w:t>
      </w:r>
      <w:r>
        <w:rPr>
          <w:spacing w:val="4"/>
        </w:rPr>
        <w:t>区）和相关部门学</w:t>
      </w:r>
      <w:r>
        <w:rPr>
          <w:spacing w:val="7"/>
        </w:rPr>
        <w:t>习借鉴”的批示精神，市领导小组及其办公室</w:t>
      </w:r>
      <w:r>
        <w:rPr>
          <w:spacing w:val="7"/>
        </w:rPr>
        <w:t>要靠前指挥，加强改革工作的综合协调和督促</w:t>
      </w:r>
      <w:r>
        <w:rPr>
          <w:spacing w:val="4"/>
        </w:rPr>
        <w:t>检查。各县（</w:t>
      </w:r>
      <w:r>
        <w:rPr>
          <w:spacing w:val="-34"/>
        </w:rPr>
        <w:t xml:space="preserve"> </w:t>
      </w:r>
      <w:r>
        <w:rPr>
          <w:spacing w:val="4"/>
        </w:rPr>
        <w:t>区）要切实履行主体责任，全面</w:t>
      </w:r>
      <w:r>
        <w:rPr>
          <w:spacing w:val="8"/>
        </w:rPr>
        <w:t>贯彻</w:t>
      </w:r>
      <w:r>
        <w:rPr>
          <w:rFonts w:ascii="Times New Roman" w:hAnsi="Times New Roman" w:eastAsia="Times New Roman" w:cs="Times New Roman"/>
          <w:spacing w:val="8"/>
        </w:rPr>
        <w:t>“</w:t>
      </w:r>
      <w:r>
        <w:rPr>
          <w:spacing w:val="8"/>
        </w:rPr>
        <w:t>先立后破、不立不破</w:t>
      </w:r>
      <w:r>
        <w:rPr>
          <w:rFonts w:ascii="Times New Roman" w:hAnsi="Times New Roman" w:eastAsia="Times New Roman" w:cs="Times New Roman"/>
          <w:spacing w:val="8"/>
        </w:rPr>
        <w:t>”</w:t>
      </w:r>
      <w:r>
        <w:rPr>
          <w:spacing w:val="8"/>
        </w:rPr>
        <w:t>原则，结合实际细</w:t>
      </w:r>
      <w:r>
        <w:rPr>
          <w:spacing w:val="8"/>
        </w:rPr>
        <w:t>化工作措施，不断完善服务基层、服务群众、</w:t>
      </w:r>
      <w:r>
        <w:rPr>
          <w:spacing w:val="7"/>
        </w:rPr>
        <w:t>服务民生的体制机制，围绕改革难点、工作重</w:t>
      </w:r>
      <w:r>
        <w:rPr>
          <w:spacing w:val="7"/>
        </w:rPr>
        <w:t>点切实抓好落实。市直各有关部门（单位）要</w:t>
      </w:r>
      <w:r>
        <w:rPr>
          <w:spacing w:val="8"/>
        </w:rPr>
        <w:t>加强指导，做好与基层党的建设、乡村振兴、</w:t>
      </w:r>
      <w:r>
        <w:rPr>
          <w:spacing w:val="18"/>
        </w:rPr>
        <w:t>新型城镇化等重点工作和相关改革的配套衔</w:t>
      </w:r>
      <w:r>
        <w:rPr>
          <w:spacing w:val="7"/>
        </w:rPr>
        <w:t>接，强化市县联动，形成工作合力，增强改革</w:t>
      </w:r>
      <w:r>
        <w:rPr>
          <w:spacing w:val="7"/>
        </w:rPr>
        <w:t>整体效应。</w:t>
      </w:r>
    </w:p>
    <w:p>
      <w:pPr>
        <w:pStyle w:val="BodyText"/>
        <w:ind w:left="3" w:right="15" w:firstLine="411"/>
        <w:spacing w:before="9" w:line="292" w:lineRule="auto"/>
        <w:outlineLvl w:val="0"/>
        <w:rPr/>
      </w:pPr>
      <w:r>
        <w:rPr>
          <w:rFonts w:ascii="KaiTi" w:hAnsi="KaiTi" w:eastAsia="KaiTi" w:cs="KaiTi"/>
          <w:b/>
          <w:bCs/>
          <w:spacing w:val="-3"/>
        </w:rPr>
        <w:t>（</w:t>
      </w:r>
      <w:r>
        <w:rPr>
          <w:rFonts w:ascii="KaiTi" w:hAnsi="KaiTi" w:eastAsia="KaiTi" w:cs="KaiTi"/>
          <w:spacing w:val="-46"/>
        </w:rPr>
        <w:t xml:space="preserve"> </w:t>
      </w:r>
      <w:r>
        <w:rPr>
          <w:rFonts w:ascii="KaiTi" w:hAnsi="KaiTi" w:eastAsia="KaiTi" w:cs="KaiTi"/>
          <w:b/>
          <w:bCs/>
          <w:spacing w:val="-3"/>
        </w:rPr>
        <w:t>二）严明纪律规矩。</w:t>
      </w:r>
      <w:r>
        <w:rPr>
          <w:spacing w:val="-3"/>
        </w:rPr>
        <w:t>严格执行政治纪律、</w:t>
      </w:r>
      <w:r>
        <w:rPr>
          <w:spacing w:val="7"/>
        </w:rPr>
        <w:t>组织纪律、机构编制纪律、干部人事纪律。要</w:t>
      </w:r>
    </w:p>
    <w:p>
      <w:pPr>
        <w:pStyle w:val="BodyText"/>
        <w:ind w:right="101" w:firstLine="3"/>
        <w:spacing w:before="154" w:line="359" w:lineRule="auto"/>
        <w:jc w:val="both"/>
        <w:rPr/>
      </w:pPr>
      <w:r>
        <w:rPr>
          <w:spacing w:val="7"/>
        </w:rPr>
        <w:t>坚持把思想政治工作贯穿改革全过程，确保思</w:t>
      </w:r>
      <w:r>
        <w:rPr>
          <w:spacing w:val="7"/>
        </w:rPr>
        <w:t>想不乱、工作不断、队伍不散、干劲不减。上</w:t>
      </w:r>
      <w:r>
        <w:rPr>
          <w:spacing w:val="7"/>
        </w:rPr>
        <w:t>级部门要积极支持基层改革创新，严禁对机构</w:t>
      </w:r>
      <w:r>
        <w:rPr>
          <w:spacing w:val="7"/>
        </w:rPr>
        <w:t>编制事项进行干预，不得要求乡镇和街道对口</w:t>
      </w:r>
      <w:r>
        <w:rPr>
          <w:spacing w:val="7"/>
        </w:rPr>
        <w:t>设立机构，不得要求在村（社区）设立机构和</w:t>
      </w:r>
      <w:r>
        <w:rPr>
          <w:spacing w:val="7"/>
        </w:rPr>
        <w:t>加挂牌子。市领导小组及其办公室适时对各项</w:t>
      </w:r>
      <w:r>
        <w:rPr>
          <w:spacing w:val="9"/>
        </w:rPr>
        <w:t>改革任务的落实情况进行督促检查。</w:t>
      </w:r>
    </w:p>
    <w:p>
      <w:pPr>
        <w:pStyle w:val="BodyText"/>
        <w:ind w:left="1" w:right="91" w:firstLine="413"/>
        <w:spacing w:before="4" w:line="332" w:lineRule="auto"/>
        <w:jc w:val="both"/>
        <w:rPr/>
      </w:pPr>
      <w:r>
        <w:rPr>
          <w:rFonts w:ascii="KaiTi" w:hAnsi="KaiTi" w:eastAsia="KaiTi" w:cs="KaiTi"/>
          <w:b/>
          <w:bCs/>
          <w:spacing w:val="1"/>
        </w:rPr>
        <w:t>（</w:t>
      </w:r>
      <w:r>
        <w:rPr>
          <w:rFonts w:ascii="KaiTi" w:hAnsi="KaiTi" w:eastAsia="KaiTi" w:cs="KaiTi"/>
          <w:spacing w:val="-47"/>
        </w:rPr>
        <w:t xml:space="preserve"> </w:t>
      </w:r>
      <w:r>
        <w:rPr>
          <w:rFonts w:ascii="KaiTi" w:hAnsi="KaiTi" w:eastAsia="KaiTi" w:cs="KaiTi"/>
          <w:b/>
          <w:bCs/>
          <w:spacing w:val="1"/>
        </w:rPr>
        <w:t>三）加强舆论宣传。</w:t>
      </w:r>
      <w:r>
        <w:rPr>
          <w:spacing w:val="1"/>
        </w:rPr>
        <w:t>各县（</w:t>
      </w:r>
      <w:r>
        <w:rPr>
          <w:spacing w:val="-50"/>
        </w:rPr>
        <w:t xml:space="preserve"> </w:t>
      </w:r>
      <w:r>
        <w:rPr>
          <w:spacing w:val="1"/>
        </w:rPr>
        <w:t>区）和市直</w:t>
      </w:r>
      <w:r>
        <w:rPr>
          <w:spacing w:val="7"/>
        </w:rPr>
        <w:t>各部门（单位）要充分利用各种媒体，加强舆</w:t>
      </w:r>
      <w:r>
        <w:rPr>
          <w:spacing w:val="7"/>
        </w:rPr>
        <w:t>论宣传，回应社会关注，注重典型引路，营造</w:t>
      </w:r>
      <w:r>
        <w:rPr>
          <w:spacing w:val="7"/>
        </w:rPr>
        <w:t>良好改革氛围，形成深化改革的强大动力，确</w:t>
      </w:r>
      <w:r>
        <w:rPr>
          <w:spacing w:val="9"/>
        </w:rPr>
        <w:t>保平稳有序推进改革，顺利完成各项任务。</w:t>
      </w:r>
    </w:p>
    <w:p>
      <w:pPr>
        <w:spacing w:line="332" w:lineRule="auto"/>
        <w:sectPr>
          <w:type w:val="continuous"/>
          <w:pgSz w:w="11906" w:h="16839"/>
          <w:pgMar w:top="1793" w:right="1489" w:bottom="1673" w:left="1565" w:header="1428" w:footer="1277" w:gutter="0"/>
          <w:cols w:equalWidth="0" w:num="2">
            <w:col w:w="4502" w:space="100"/>
            <w:col w:w="4251" w:space="0"/>
          </w:cols>
        </w:sectPr>
        <w:rPr/>
      </w:pPr>
    </w:p>
    <w:p>
      <w:pPr>
        <w:spacing w:line="249" w:lineRule="auto"/>
        <w:rPr>
          <w:rFonts w:ascii="Arial"/>
          <w:sz w:val="21"/>
        </w:rPr>
      </w:pPr>
      <w:r>
        <w:drawing>
          <wp:anchor distT="0" distB="0" distL="0" distR="0" simplePos="0" relativeHeight="251879424" behindDoc="0" locked="0" layoutInCell="1" allowOverlap="1">
            <wp:simplePos x="0" y="0"/>
            <wp:positionH relativeFrom="column">
              <wp:posOffset>5393</wp:posOffset>
            </wp:positionH>
            <wp:positionV relativeFrom="paragraph">
              <wp:posOffset>24951</wp:posOffset>
            </wp:positionV>
            <wp:extent cx="5579745" cy="7620"/>
            <wp:effectExtent l="0" t="0" r="0" b="0"/>
            <wp:wrapNone/>
            <wp:docPr id="618" name="IM 618"/>
            <wp:cNvGraphicFramePr/>
            <a:graphic>
              <a:graphicData uri="http://schemas.openxmlformats.org/drawingml/2006/picture">
                <pic:pic>
                  <pic:nvPicPr>
                    <pic:cNvPr id="618" name="IM 618"/>
                    <pic:cNvPicPr/>
                  </pic:nvPicPr>
                  <pic:blipFill>
                    <a:blip r:embed="rId311"/>
                    <a:stretch>
                      <a:fillRect/>
                    </a:stretch>
                  </pic:blipFill>
                  <pic:spPr>
                    <a:xfrm rot="0">
                      <a:off x="0" y="0"/>
                      <a:ext cx="5579745" cy="7620"/>
                    </a:xfrm>
                    <a:prstGeom prst="rect">
                      <a:avLst/>
                    </a:prstGeom>
                  </pic:spPr>
                </pic:pic>
              </a:graphicData>
            </a:graphic>
          </wp:anchor>
        </w:drawing>
      </w: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BodyText"/>
        <w:ind w:left="638" w:right="770" w:hanging="205"/>
        <w:spacing w:before="140" w:line="249" w:lineRule="auto"/>
        <w:rPr>
          <w:sz w:val="43"/>
          <w:szCs w:val="43"/>
        </w:rPr>
      </w:pPr>
      <w:r>
        <w:rPr>
          <w:sz w:val="43"/>
          <w:szCs w:val="43"/>
          <w:b/>
          <w:bCs/>
          <w:spacing w:val="4"/>
        </w:rPr>
        <w:t>中共固原市委办公室</w:t>
      </w:r>
      <w:r>
        <w:rPr>
          <w:sz w:val="43"/>
          <w:szCs w:val="43"/>
          <w:spacing w:val="4"/>
        </w:rPr>
        <w:t xml:space="preserve">  </w:t>
      </w:r>
      <w:r>
        <w:rPr>
          <w:sz w:val="43"/>
          <w:szCs w:val="43"/>
          <w:b/>
          <w:bCs/>
          <w:spacing w:val="4"/>
        </w:rPr>
        <w:t>市人民政府办公室</w:t>
      </w:r>
      <w:r>
        <w:rPr>
          <w:sz w:val="43"/>
          <w:szCs w:val="43"/>
          <w:b/>
          <w:bCs/>
          <w:spacing w:val="5"/>
        </w:rPr>
        <w:t>关于印发《固原市原州区推进基层整合</w:t>
      </w:r>
    </w:p>
    <w:p>
      <w:pPr>
        <w:pStyle w:val="BodyText"/>
        <w:ind w:left="1305"/>
        <w:spacing w:line="580" w:lineRule="exact"/>
        <w:outlineLvl w:val="0"/>
        <w:rPr>
          <w:sz w:val="43"/>
          <w:szCs w:val="43"/>
        </w:rPr>
      </w:pPr>
      <w:r>
        <w:rPr>
          <w:sz w:val="43"/>
          <w:szCs w:val="43"/>
          <w:b/>
          <w:bCs/>
          <w:spacing w:val="6"/>
          <w:position w:val="2"/>
        </w:rPr>
        <w:t>审批服务执法力量的实施方案》</w:t>
      </w:r>
    </w:p>
    <w:p>
      <w:pPr>
        <w:pStyle w:val="BodyText"/>
        <w:ind w:left="2181"/>
        <w:spacing w:line="605" w:lineRule="exact"/>
        <w:rPr>
          <w:sz w:val="43"/>
          <w:szCs w:val="43"/>
        </w:rPr>
      </w:pPr>
      <w:r>
        <w:rPr>
          <w:sz w:val="43"/>
          <w:szCs w:val="43"/>
          <w:b/>
          <w:bCs/>
          <w:spacing w:val="14"/>
          <w:position w:val="3"/>
        </w:rPr>
        <w:t>等</w:t>
      </w:r>
      <w:r>
        <w:rPr>
          <w:sz w:val="43"/>
          <w:szCs w:val="43"/>
          <w:spacing w:val="-93"/>
          <w:position w:val="3"/>
        </w:rPr>
        <w:t xml:space="preserve"> </w:t>
      </w:r>
      <w:r>
        <w:rPr>
          <w:rFonts w:ascii="Times New Roman" w:hAnsi="Times New Roman" w:eastAsia="Times New Roman" w:cs="Times New Roman"/>
          <w:sz w:val="43"/>
          <w:szCs w:val="43"/>
          <w:spacing w:val="14"/>
          <w:position w:val="3"/>
        </w:rPr>
        <w:t>4</w:t>
      </w:r>
      <w:r>
        <w:rPr>
          <w:sz w:val="43"/>
          <w:szCs w:val="43"/>
          <w:b/>
          <w:bCs/>
          <w:spacing w:val="14"/>
          <w:position w:val="3"/>
        </w:rPr>
        <w:t>个实施方案的通知</w:t>
      </w:r>
    </w:p>
    <w:p>
      <w:pPr>
        <w:pStyle w:val="BodyText"/>
        <w:ind w:left="6932"/>
        <w:spacing w:before="288" w:line="278" w:lineRule="exact"/>
        <w:outlineLvl w:val="0"/>
        <w:rPr/>
      </w:pPr>
      <w:r>
        <w:rPr>
          <w:spacing w:val="4"/>
          <w:position w:val="1"/>
        </w:rPr>
        <w:t>固党办〔2021〕3</w:t>
      </w:r>
      <w:r>
        <w:rPr>
          <w:spacing w:val="-39"/>
          <w:position w:val="1"/>
        </w:rPr>
        <w:t xml:space="preserve"> </w:t>
      </w:r>
      <w:r>
        <w:rPr>
          <w:spacing w:val="4"/>
          <w:position w:val="1"/>
        </w:rPr>
        <w:t>号</w:t>
      </w:r>
    </w:p>
    <w:p>
      <w:pPr>
        <w:spacing w:line="312" w:lineRule="auto"/>
        <w:rPr>
          <w:rFonts w:ascii="Arial"/>
          <w:sz w:val="21"/>
        </w:rPr>
      </w:pPr>
      <w:r/>
    </w:p>
    <w:p>
      <w:pPr>
        <w:pStyle w:val="BodyText"/>
        <w:ind w:left="14"/>
        <w:spacing w:before="66" w:line="277" w:lineRule="exact"/>
        <w:outlineLvl w:val="0"/>
        <w:rPr/>
      </w:pPr>
      <w:r>
        <w:rPr>
          <w:spacing w:val="7"/>
          <w:position w:val="1"/>
        </w:rPr>
        <w:t>原州、西吉、隆德、泾源县（</w:t>
      </w:r>
      <w:r>
        <w:rPr>
          <w:spacing w:val="-50"/>
          <w:position w:val="1"/>
        </w:rPr>
        <w:t xml:space="preserve"> </w:t>
      </w:r>
      <w:r>
        <w:rPr>
          <w:spacing w:val="7"/>
          <w:position w:val="1"/>
        </w:rPr>
        <w:t>区）党委和人民政府：</w:t>
      </w:r>
    </w:p>
    <w:p>
      <w:pPr>
        <w:pStyle w:val="BodyText"/>
        <w:ind w:left="10" w:right="362" w:firstLine="405"/>
        <w:spacing w:before="142" w:line="388" w:lineRule="auto"/>
        <w:jc w:val="both"/>
        <w:rPr/>
      </w:pPr>
      <w:r>
        <w:rPr>
          <w:spacing w:val="8"/>
        </w:rPr>
        <w:t>《固原市原州区推进基层整合审批服务执法力量的实施方案》《西吉县推进基层整合审</w:t>
      </w:r>
      <w:r>
        <w:rPr>
          <w:spacing w:val="7"/>
        </w:rPr>
        <w:t>批服</w:t>
      </w:r>
      <w:r>
        <w:rPr>
          <w:spacing w:val="8"/>
        </w:rPr>
        <w:t>务执法力量的实施方案》《隆德县推进基层整合审批服务执法力量的实施方案</w:t>
      </w:r>
      <w:r>
        <w:rPr>
          <w:spacing w:val="7"/>
        </w:rPr>
        <w:t>》《泾源县推进基</w:t>
      </w:r>
      <w:r>
        <w:rPr>
          <w:spacing w:val="13"/>
        </w:rPr>
        <w:t>层整合审批服务执法力量的实施方案》已经市推进基层整合审批服务执法力量</w:t>
      </w:r>
      <w:r>
        <w:rPr>
          <w:spacing w:val="12"/>
        </w:rPr>
        <w:t>改革领导小组审</w:t>
      </w:r>
      <w:r>
        <w:rPr>
          <w:spacing w:val="9"/>
        </w:rPr>
        <w:t>议，报市委和市人民政府同意，现予印发，请认真组织实施。</w:t>
      </w:r>
    </w:p>
    <w:p>
      <w:pPr>
        <w:spacing w:line="321" w:lineRule="auto"/>
        <w:rPr>
          <w:rFonts w:ascii="Arial"/>
          <w:sz w:val="21"/>
        </w:rPr>
      </w:pPr>
      <w:r/>
    </w:p>
    <w:p>
      <w:pPr>
        <w:pStyle w:val="BodyText"/>
        <w:ind w:left="6634"/>
        <w:spacing w:before="66" w:line="219" w:lineRule="auto"/>
        <w:outlineLvl w:val="0"/>
        <w:rPr/>
      </w:pPr>
      <w:r>
        <w:rPr>
          <w:spacing w:val="33"/>
        </w:rPr>
        <w:t>中共固原市委办公室</w:t>
      </w:r>
    </w:p>
    <w:p>
      <w:pPr>
        <w:pStyle w:val="BodyText"/>
        <w:ind w:left="6663"/>
        <w:spacing w:before="163" w:line="218" w:lineRule="auto"/>
        <w:outlineLvl w:val="0"/>
        <w:rPr/>
      </w:pPr>
      <w:r>
        <w:rPr>
          <w:spacing w:val="7"/>
        </w:rPr>
        <w:t>固原市人民政府办公室</w:t>
      </w:r>
    </w:p>
    <w:p>
      <w:pPr>
        <w:pStyle w:val="BodyText"/>
        <w:ind w:left="6943"/>
        <w:spacing w:before="157" w:line="278" w:lineRule="exact"/>
        <w:outlineLvl w:val="0"/>
        <w:rPr/>
      </w:pPr>
      <w:r>
        <w:rPr>
          <w:spacing w:val="1"/>
          <w:position w:val="1"/>
        </w:rPr>
        <w:t>2021</w:t>
      </w:r>
      <w:r>
        <w:rPr>
          <w:spacing w:val="-33"/>
          <w:position w:val="1"/>
        </w:rPr>
        <w:t xml:space="preserve"> </w:t>
      </w:r>
      <w:r>
        <w:rPr>
          <w:spacing w:val="1"/>
          <w:position w:val="1"/>
        </w:rPr>
        <w:t>年</w:t>
      </w:r>
      <w:r>
        <w:rPr>
          <w:spacing w:val="-42"/>
          <w:position w:val="1"/>
        </w:rPr>
        <w:t xml:space="preserve"> </w:t>
      </w:r>
      <w:r>
        <w:rPr>
          <w:spacing w:val="1"/>
          <w:position w:val="1"/>
        </w:rPr>
        <w:t>2</w:t>
      </w:r>
      <w:r>
        <w:rPr>
          <w:spacing w:val="-40"/>
          <w:position w:val="1"/>
        </w:rPr>
        <w:t xml:space="preserve"> </w:t>
      </w:r>
      <w:r>
        <w:rPr>
          <w:spacing w:val="1"/>
          <w:position w:val="1"/>
        </w:rPr>
        <w:t>月</w:t>
      </w:r>
      <w:r>
        <w:rPr>
          <w:spacing w:val="-45"/>
          <w:position w:val="1"/>
        </w:rPr>
        <w:t xml:space="preserve"> </w:t>
      </w:r>
      <w:r>
        <w:rPr>
          <w:spacing w:val="1"/>
          <w:position w:val="1"/>
        </w:rPr>
        <w:t>4 日</w:t>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BodyText"/>
        <w:ind w:left="883"/>
        <w:spacing w:before="141" w:line="580" w:lineRule="exact"/>
        <w:rPr>
          <w:sz w:val="43"/>
          <w:szCs w:val="43"/>
        </w:rPr>
      </w:pPr>
      <w:r>
        <w:rPr>
          <w:sz w:val="43"/>
          <w:szCs w:val="43"/>
          <w:b/>
          <w:bCs/>
          <w:spacing w:val="3"/>
          <w:position w:val="2"/>
        </w:rPr>
        <w:t>固原市原州区推进基层整合审批服务</w:t>
      </w:r>
    </w:p>
    <w:p>
      <w:pPr>
        <w:pStyle w:val="BodyText"/>
        <w:ind w:left="2399"/>
        <w:spacing w:line="606" w:lineRule="exact"/>
        <w:rPr>
          <w:sz w:val="43"/>
          <w:szCs w:val="43"/>
        </w:rPr>
      </w:pPr>
      <w:r>
        <w:rPr>
          <w:sz w:val="43"/>
          <w:szCs w:val="43"/>
          <w:b/>
          <w:bCs/>
          <w:spacing w:val="4"/>
          <w:position w:val="3"/>
        </w:rPr>
        <w:t>执法力量的实施方案</w:t>
      </w:r>
    </w:p>
    <w:p>
      <w:pPr>
        <w:spacing w:before="46"/>
        <w:rPr/>
      </w:pPr>
      <w:r/>
    </w:p>
    <w:p>
      <w:pPr>
        <w:spacing w:before="45"/>
        <w:rPr/>
      </w:pPr>
      <w:r/>
    </w:p>
    <w:p>
      <w:pPr>
        <w:sectPr>
          <w:headerReference w:type="default" r:id="rId309"/>
          <w:footerReference w:type="default" r:id="rId310"/>
          <w:pgSz w:w="11906" w:h="16839"/>
          <w:pgMar w:top="1766" w:right="1223" w:bottom="1570" w:left="1579" w:header="1428" w:footer="1172" w:gutter="0"/>
          <w:cols w:equalWidth="0" w:num="1">
            <w:col w:w="9104" w:space="0"/>
          </w:cols>
        </w:sectPr>
        <w:rPr/>
      </w:pPr>
    </w:p>
    <w:p>
      <w:pPr>
        <w:pStyle w:val="BodyText"/>
        <w:ind w:left="11" w:right="324" w:firstLine="423"/>
        <w:spacing w:before="41" w:line="332" w:lineRule="auto"/>
        <w:jc w:val="both"/>
        <w:rPr/>
      </w:pPr>
      <w:r>
        <w:rPr>
          <w:spacing w:val="19"/>
        </w:rPr>
        <w:t>根据党中央关于构建简约高效基层管理</w:t>
      </w:r>
      <w:r>
        <w:rPr>
          <w:spacing w:val="7"/>
        </w:rPr>
        <w:t>体制的部署要求，为认真贯彻落实中共中央办</w:t>
      </w:r>
      <w:r>
        <w:rPr>
          <w:spacing w:val="7"/>
        </w:rPr>
        <w:t>公厅、国务院办公厅《关于推进基层整合审批</w:t>
      </w:r>
      <w:r>
        <w:rPr>
          <w:spacing w:val="6"/>
        </w:rPr>
        <w:t>服务执法力量的实施意见》(中办发〔2019〕5</w:t>
      </w:r>
      <w:r>
        <w:rPr>
          <w:spacing w:val="2"/>
        </w:rPr>
        <w:t>号)、自治区党委办公厅、人民政府办公厅《印</w:t>
      </w:r>
      <w:r>
        <w:rPr>
          <w:spacing w:val="12"/>
        </w:rPr>
        <w:t>发&lt;关于推进基层整合审批服务执法力量的实</w:t>
      </w:r>
      <w:r>
        <w:rPr>
          <w:spacing w:val="7"/>
        </w:rPr>
        <w:t>施方案&gt;的通知》(宁党办〔2020〕86</w:t>
      </w:r>
      <w:r>
        <w:rPr>
          <w:spacing w:val="-17"/>
        </w:rPr>
        <w:t xml:space="preserve"> </w:t>
      </w:r>
      <w:r>
        <w:rPr>
          <w:spacing w:val="7"/>
        </w:rPr>
        <w:t>号)和固</w:t>
      </w:r>
    </w:p>
    <w:p>
      <w:pPr>
        <w:spacing w:line="14" w:lineRule="auto"/>
        <w:rPr>
          <w:rFonts w:ascii="Arial"/>
          <w:sz w:val="2"/>
        </w:rPr>
      </w:pPr>
      <w:r>
        <w:rPr>
          <w:rFonts w:ascii="Arial" w:hAnsi="Arial" w:eastAsia="Arial" w:cs="Arial"/>
          <w:sz w:val="2"/>
          <w:szCs w:val="2"/>
        </w:rPr>
        <w:br w:type="column"/>
      </w:r>
    </w:p>
    <w:p>
      <w:pPr>
        <w:pStyle w:val="BodyText"/>
        <w:ind w:left="2"/>
        <w:spacing w:before="41" w:line="222" w:lineRule="auto"/>
        <w:rPr/>
      </w:pPr>
      <w:r>
        <w:rPr>
          <w:spacing w:val="12"/>
        </w:rPr>
        <w:t>原市委办公室、市人民政府办公室《印发&lt;</w:t>
      </w:r>
    </w:p>
    <w:p>
      <w:pPr>
        <w:pStyle w:val="BodyText"/>
        <w:ind w:right="362" w:firstLine="22"/>
        <w:spacing w:before="140" w:line="349" w:lineRule="auto"/>
        <w:rPr/>
      </w:pPr>
      <w:r>
        <w:rPr>
          <w:spacing w:val="16"/>
        </w:rPr>
        <w:t>固原市推进基层整合审批服务执法力量的实</w:t>
      </w:r>
      <w:r>
        <w:rPr>
          <w:spacing w:val="5"/>
        </w:rPr>
        <w:t xml:space="preserve"> </w:t>
      </w:r>
      <w:r>
        <w:rPr>
          <w:position w:val="-1"/>
        </w:rPr>
        <w:drawing>
          <wp:inline distT="0" distB="0" distL="0" distR="0">
            <wp:extent cx="133891" cy="126344"/>
            <wp:effectExtent l="0" t="0" r="0" b="0"/>
            <wp:docPr id="620" name="IM 620"/>
            <wp:cNvGraphicFramePr/>
            <a:graphic>
              <a:graphicData uri="http://schemas.openxmlformats.org/drawingml/2006/picture">
                <pic:pic>
                  <pic:nvPicPr>
                    <pic:cNvPr id="620" name="IM 620"/>
                    <pic:cNvPicPr/>
                  </pic:nvPicPr>
                  <pic:blipFill>
                    <a:blip r:embed="rId312"/>
                    <a:stretch>
                      <a:fillRect/>
                    </a:stretch>
                  </pic:blipFill>
                  <pic:spPr>
                    <a:xfrm rot="0">
                      <a:off x="0" y="0"/>
                      <a:ext cx="133891" cy="126344"/>
                    </a:xfrm>
                    <a:prstGeom prst="rect">
                      <a:avLst/>
                    </a:prstGeom>
                  </pic:spPr>
                </pic:pic>
              </a:graphicData>
            </a:graphic>
          </wp:inline>
        </w:drawing>
      </w:r>
      <w:r>
        <w:rPr/>
        <w:drawing>
          <wp:inline distT="0" distB="0" distL="0" distR="0">
            <wp:extent cx="135909" cy="124752"/>
            <wp:effectExtent l="0" t="0" r="0" b="0"/>
            <wp:docPr id="622" name="IM 622"/>
            <wp:cNvGraphicFramePr/>
            <a:graphic>
              <a:graphicData uri="http://schemas.openxmlformats.org/drawingml/2006/picture">
                <pic:pic>
                  <pic:nvPicPr>
                    <pic:cNvPr id="622" name="IM 622"/>
                    <pic:cNvPicPr/>
                  </pic:nvPicPr>
                  <pic:blipFill>
                    <a:blip r:embed="rId313"/>
                    <a:stretch>
                      <a:fillRect/>
                    </a:stretch>
                  </pic:blipFill>
                  <pic:spPr>
                    <a:xfrm rot="0">
                      <a:off x="0" y="0"/>
                      <a:ext cx="135909" cy="124752"/>
                    </a:xfrm>
                    <a:prstGeom prst="rect">
                      <a:avLst/>
                    </a:prstGeom>
                  </pic:spPr>
                </pic:pic>
              </a:graphicData>
            </a:graphic>
          </wp:inline>
        </w:drawing>
      </w:r>
      <w:r>
        <w:rPr>
          <w:spacing w:val="-2"/>
        </w:rPr>
        <w:t>的通知》(固党办〔2021〕1</w:t>
      </w:r>
      <w:r>
        <w:rPr>
          <w:spacing w:val="-30"/>
        </w:rPr>
        <w:t xml:space="preserve"> </w:t>
      </w:r>
      <w:r>
        <w:rPr>
          <w:spacing w:val="-2"/>
        </w:rPr>
        <w:t>号)精神，进一</w:t>
      </w:r>
      <w:r>
        <w:rPr>
          <w:spacing w:val="7"/>
        </w:rPr>
        <w:t>步夯实基层治理体系和治理能力基础，现就结</w:t>
      </w:r>
      <w:r>
        <w:rPr>
          <w:spacing w:val="18"/>
        </w:rPr>
        <w:t>合乡镇和街道改革推进基层整合审批服务执</w:t>
      </w:r>
      <w:r>
        <w:rPr>
          <w:spacing w:val="8"/>
        </w:rPr>
        <w:t>法力量，制定如下实施方案。</w:t>
      </w:r>
    </w:p>
    <w:p>
      <w:pPr>
        <w:ind w:left="430"/>
        <w:spacing w:before="14" w:line="16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一、总体要求</w:t>
      </w:r>
    </w:p>
    <w:p>
      <w:pPr>
        <w:spacing w:line="162" w:lineRule="auto"/>
        <w:sectPr>
          <w:type w:val="continuous"/>
          <w:pgSz w:w="11906" w:h="16839"/>
          <w:pgMar w:top="1766" w:right="1223" w:bottom="1570" w:left="1579" w:header="1428" w:footer="1172" w:gutter="0"/>
          <w:cols w:equalWidth="0" w:num="2">
            <w:col w:w="4489" w:space="100"/>
            <w:col w:w="4515" w:space="0"/>
          </w:cols>
        </w:sectPr>
        <w:rPr>
          <w:rFonts w:ascii="Microsoft YaHei" w:hAnsi="Microsoft YaHei" w:eastAsia="Microsoft YaHei" w:cs="Microsoft YaHei"/>
          <w:sz w:val="20"/>
          <w:szCs w:val="20"/>
        </w:rPr>
      </w:pPr>
    </w:p>
    <w:p>
      <w:pPr>
        <w:spacing w:before="25"/>
        <w:rPr/>
      </w:pPr>
      <w:r>
        <w:drawing>
          <wp:anchor distT="0" distB="0" distL="0" distR="0" simplePos="0" relativeHeight="251881472"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628" name="IM 628"/>
            <wp:cNvGraphicFramePr/>
            <a:graphic>
              <a:graphicData uri="http://schemas.openxmlformats.org/drawingml/2006/picture">
                <pic:pic>
                  <pic:nvPicPr>
                    <pic:cNvPr id="628" name="IM 628"/>
                    <pic:cNvPicPr/>
                  </pic:nvPicPr>
                  <pic:blipFill>
                    <a:blip r:embed="rId316"/>
                    <a:stretch>
                      <a:fillRect/>
                    </a:stretch>
                  </pic:blipFill>
                  <pic:spPr>
                    <a:xfrm rot="0">
                      <a:off x="0" y="0"/>
                      <a:ext cx="5579745" cy="7619"/>
                    </a:xfrm>
                    <a:prstGeom prst="rect">
                      <a:avLst/>
                    </a:prstGeom>
                  </pic:spPr>
                </pic:pic>
              </a:graphicData>
            </a:graphic>
          </wp:anchor>
        </w:drawing>
      </w:r>
      <w:r/>
    </w:p>
    <w:p>
      <w:pPr>
        <w:sectPr>
          <w:headerReference w:type="default" r:id="rId314"/>
          <w:footerReference w:type="default" r:id="rId315"/>
          <w:pgSz w:w="11906" w:h="16839"/>
          <w:pgMar w:top="1793" w:right="1385" w:bottom="1673" w:left="1565" w:header="1428" w:footer="1277" w:gutter="0"/>
          <w:cols w:equalWidth="0" w:num="1">
            <w:col w:w="8956" w:space="0"/>
          </w:cols>
        </w:sectPr>
        <w:rPr/>
      </w:pPr>
    </w:p>
    <w:p>
      <w:pPr>
        <w:pStyle w:val="BodyText"/>
        <w:ind w:left="25" w:right="265" w:firstLine="423"/>
        <w:spacing w:before="50" w:line="351" w:lineRule="auto"/>
        <w:jc w:val="both"/>
        <w:rPr/>
      </w:pPr>
      <w:r>
        <w:rPr>
          <w:spacing w:val="19"/>
        </w:rPr>
        <w:t>坚持以习近平新时代中国特色社会主义</w:t>
      </w:r>
      <w:r>
        <w:rPr>
          <w:spacing w:val="7"/>
        </w:rPr>
        <w:t>思想为指导，全面贯彻党的十九大和十九届二</w:t>
      </w:r>
      <w:r>
        <w:rPr>
          <w:spacing w:val="7"/>
        </w:rPr>
        <w:t>中、三中、四中、五中全会精神，认真贯彻落</w:t>
      </w:r>
      <w:r>
        <w:rPr>
          <w:spacing w:val="7"/>
        </w:rPr>
        <w:t>实自治区党委十二届十次、十一次、十二次全</w:t>
      </w:r>
      <w:r>
        <w:rPr>
          <w:spacing w:val="7"/>
        </w:rPr>
        <w:t>会和市委四届七次、八次、九次全会以及区委</w:t>
      </w:r>
      <w:r>
        <w:rPr>
          <w:spacing w:val="5"/>
        </w:rPr>
        <w:t>三届五次、六次、七次全会精神，增强“</w:t>
      </w:r>
      <w:r>
        <w:rPr>
          <w:spacing w:val="-53"/>
        </w:rPr>
        <w:t xml:space="preserve"> </w:t>
      </w:r>
      <w:r>
        <w:rPr>
          <w:spacing w:val="5"/>
        </w:rPr>
        <w:t>四个</w:t>
      </w:r>
      <w:r>
        <w:rPr>
          <w:spacing w:val="-10"/>
        </w:rPr>
        <w:t>意识”、坚定“</w:t>
      </w:r>
      <w:r>
        <w:rPr>
          <w:spacing w:val="-69"/>
        </w:rPr>
        <w:t xml:space="preserve"> </w:t>
      </w:r>
      <w:r>
        <w:rPr>
          <w:spacing w:val="-10"/>
        </w:rPr>
        <w:t>四个自信”、做到“两个维护”，</w:t>
      </w:r>
      <w:r>
        <w:rPr>
          <w:spacing w:val="7"/>
        </w:rPr>
        <w:t>以坚持和加强党的全面领导为统领，以完善基</w:t>
      </w:r>
      <w:r>
        <w:rPr>
          <w:spacing w:val="7"/>
        </w:rPr>
        <w:t>层治理体系、提高基层治理能力为导向，以推</w:t>
      </w:r>
      <w:r>
        <w:rPr>
          <w:spacing w:val="7"/>
        </w:rPr>
        <w:t>动机构职能优化协同高效为着力点，适应乡镇</w:t>
      </w:r>
      <w:r>
        <w:rPr>
          <w:spacing w:val="7"/>
        </w:rPr>
        <w:t>和街道工作特点及便民服务需要，加强党的基</w:t>
      </w:r>
      <w:r>
        <w:rPr>
          <w:spacing w:val="10"/>
        </w:rPr>
        <w:t>层组织建设，改革机构设置，优化职能配置，</w:t>
      </w:r>
      <w:r>
        <w:rPr>
          <w:spacing w:val="7"/>
        </w:rPr>
        <w:t>理顺职责关系，使基层各类机构、组织在服务</w:t>
      </w:r>
      <w:r>
        <w:rPr>
          <w:spacing w:val="7"/>
        </w:rPr>
        <w:t>保障群众需求上有更大作为。坚持赋能与减负</w:t>
      </w:r>
      <w:r>
        <w:rPr>
          <w:spacing w:val="7"/>
        </w:rPr>
        <w:t>相结合，整合基层审批、服务、执法等方面的</w:t>
      </w:r>
      <w:r>
        <w:rPr>
          <w:spacing w:val="7"/>
        </w:rPr>
        <w:t>力量，推动治理重心下移、资源下沉，全面提</w:t>
      </w:r>
      <w:r>
        <w:rPr>
          <w:spacing w:val="7"/>
        </w:rPr>
        <w:t>升基层治理能力和公共服务水平，切实增强人</w:t>
      </w:r>
      <w:r>
        <w:rPr>
          <w:spacing w:val="7"/>
        </w:rPr>
        <w:t>民群众的获得感、幸福感、安全感，为奋力书</w:t>
      </w:r>
      <w:r>
        <w:rPr>
          <w:spacing w:val="18"/>
        </w:rPr>
        <w:t>写建设先行区和美丽新宁夏的原州篇章提供</w:t>
      </w:r>
      <w:r>
        <w:rPr>
          <w:spacing w:val="8"/>
        </w:rPr>
        <w:t>体制机制保障。</w:t>
      </w:r>
    </w:p>
    <w:p>
      <w:pPr>
        <w:ind w:left="456"/>
        <w:spacing w:before="1"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二、主要任务</w:t>
      </w:r>
    </w:p>
    <w:p>
      <w:pPr>
        <w:ind w:left="439"/>
        <w:spacing w:before="114" w:line="242" w:lineRule="auto"/>
        <w:rPr>
          <w:rFonts w:ascii="KaiTi" w:hAnsi="KaiTi" w:eastAsia="KaiTi" w:cs="KaiTi"/>
          <w:sz w:val="20"/>
          <w:szCs w:val="20"/>
        </w:rPr>
      </w:pPr>
      <w:r>
        <w:rPr>
          <w:rFonts w:ascii="KaiTi" w:hAnsi="KaiTi" w:eastAsia="KaiTi" w:cs="KaiTi"/>
          <w:sz w:val="20"/>
          <w:szCs w:val="20"/>
          <w:b/>
          <w:bCs/>
          <w:spacing w:val="5"/>
        </w:rPr>
        <w:t>（</w:t>
      </w:r>
      <w:r>
        <w:rPr>
          <w:rFonts w:ascii="KaiTi" w:hAnsi="KaiTi" w:eastAsia="KaiTi" w:cs="KaiTi"/>
          <w:sz w:val="20"/>
          <w:szCs w:val="20"/>
          <w:spacing w:val="-39"/>
        </w:rPr>
        <w:t xml:space="preserve"> </w:t>
      </w:r>
      <w:r>
        <w:rPr>
          <w:rFonts w:ascii="KaiTi" w:hAnsi="KaiTi" w:eastAsia="KaiTi" w:cs="KaiTi"/>
          <w:sz w:val="20"/>
          <w:szCs w:val="20"/>
          <w:b/>
          <w:bCs/>
          <w:spacing w:val="5"/>
        </w:rPr>
        <w:t>一）构建简约精干的基层组织构架</w:t>
      </w:r>
    </w:p>
    <w:p>
      <w:pPr>
        <w:pStyle w:val="BodyText"/>
        <w:ind w:left="26" w:right="248" w:firstLine="440"/>
        <w:spacing w:before="119" w:line="351" w:lineRule="auto"/>
        <w:jc w:val="both"/>
        <w:rPr/>
      </w:pPr>
      <w:r>
        <w:rPr>
          <w:spacing w:val="5"/>
        </w:rPr>
        <w:t>1.统筹优化乡镇（街道）机构设置。强化</w:t>
      </w:r>
      <w:r>
        <w:rPr>
          <w:spacing w:val="7"/>
        </w:rPr>
        <w:t>乡镇和街道党（工）委领导作用，建立健全乡</w:t>
      </w:r>
      <w:r>
        <w:rPr>
          <w:spacing w:val="7"/>
        </w:rPr>
        <w:t>镇和街道机构“一对多”“多对一”的制度机</w:t>
      </w:r>
      <w:r>
        <w:rPr>
          <w:spacing w:val="7"/>
        </w:rPr>
        <w:t>制，理顺与区直部门的工作对接、请示汇报和</w:t>
      </w:r>
      <w:r>
        <w:rPr>
          <w:spacing w:val="7"/>
        </w:rPr>
        <w:t>沟通衔接关系。按照综合化、扁平化的改革方</w:t>
      </w:r>
      <w:r>
        <w:rPr>
          <w:spacing w:val="7"/>
        </w:rPr>
        <w:t>向，统筹机构编制资源，综合设置乡镇和街道</w:t>
      </w:r>
      <w:r>
        <w:rPr>
          <w:spacing w:val="7"/>
        </w:rPr>
        <w:t>党政机构和事业单位，严格机构限额管理。乡</w:t>
      </w:r>
      <w:r>
        <w:rPr>
          <w:spacing w:val="6"/>
        </w:rPr>
        <w:t>镇党政机构和事业单位设</w:t>
      </w:r>
      <w:r>
        <w:rPr>
          <w:spacing w:val="-29"/>
        </w:rPr>
        <w:t xml:space="preserve"> </w:t>
      </w:r>
      <w:r>
        <w:rPr>
          <w:spacing w:val="6"/>
        </w:rPr>
        <w:t>9</w:t>
      </w:r>
      <w:r>
        <w:rPr>
          <w:spacing w:val="-43"/>
        </w:rPr>
        <w:t xml:space="preserve"> </w:t>
      </w:r>
      <w:r>
        <w:rPr>
          <w:spacing w:val="6"/>
        </w:rPr>
        <w:t>个。其中：党政机</w:t>
      </w:r>
      <w:r>
        <w:rPr>
          <w:spacing w:val="6"/>
        </w:rPr>
        <w:t>构</w:t>
      </w:r>
      <w:r>
        <w:rPr>
          <w:spacing w:val="-27"/>
        </w:rPr>
        <w:t xml:space="preserve"> </w:t>
      </w:r>
      <w:r>
        <w:rPr>
          <w:spacing w:val="6"/>
        </w:rPr>
        <w:t>5</w:t>
      </w:r>
      <w:r>
        <w:rPr>
          <w:spacing w:val="-45"/>
        </w:rPr>
        <w:t xml:space="preserve"> </w:t>
      </w:r>
      <w:r>
        <w:rPr>
          <w:spacing w:val="6"/>
        </w:rPr>
        <w:t>个，名称统一为综合办公室、党建工作办</w:t>
      </w:r>
      <w:r>
        <w:rPr>
          <w:spacing w:val="1"/>
        </w:rPr>
        <w:t>公室、经济发展办公室、社会事务管理办公室、</w:t>
      </w:r>
      <w:r>
        <w:rPr>
          <w:spacing w:val="7"/>
        </w:rPr>
        <w:t>综合执法办公室（应急管理办公室）。事业单</w:t>
      </w:r>
      <w:r>
        <w:rPr>
          <w:spacing w:val="6"/>
        </w:rPr>
        <w:t>位</w:t>
      </w:r>
      <w:r>
        <w:rPr>
          <w:spacing w:val="-27"/>
        </w:rPr>
        <w:t xml:space="preserve"> </w:t>
      </w:r>
      <w:r>
        <w:rPr>
          <w:spacing w:val="6"/>
        </w:rPr>
        <w:t>4</w:t>
      </w:r>
      <w:r>
        <w:rPr>
          <w:spacing w:val="-45"/>
        </w:rPr>
        <w:t xml:space="preserve"> </w:t>
      </w:r>
      <w:r>
        <w:rPr>
          <w:spacing w:val="6"/>
        </w:rPr>
        <w:t>个，名称统一为民生服务中心（退役军人</w:t>
      </w:r>
    </w:p>
    <w:p>
      <w:pPr>
        <w:spacing w:line="14" w:lineRule="auto"/>
        <w:rPr>
          <w:rFonts w:ascii="Arial"/>
          <w:sz w:val="2"/>
        </w:rPr>
      </w:pPr>
      <w:r>
        <w:rPr>
          <w:rFonts w:ascii="Arial" w:hAnsi="Arial" w:eastAsia="Arial" w:cs="Arial"/>
          <w:sz w:val="2"/>
          <w:szCs w:val="2"/>
        </w:rPr>
        <w:br w:type="column"/>
      </w:r>
    </w:p>
    <w:p>
      <w:pPr>
        <w:pStyle w:val="BodyText"/>
        <w:ind w:right="122" w:firstLine="4"/>
        <w:spacing w:before="50" w:line="349" w:lineRule="auto"/>
        <w:jc w:val="both"/>
        <w:rPr/>
      </w:pPr>
      <w:r>
        <w:rPr>
          <w:spacing w:val="7"/>
        </w:rPr>
        <w:t>服务站）、农业综合服务中心、综治中心、财</w:t>
      </w:r>
      <w:r>
        <w:rPr>
          <w:spacing w:val="6"/>
        </w:rPr>
        <w:t>经服务中心。街道党政机构和事业单位设7个。</w:t>
      </w:r>
      <w:r>
        <w:rPr>
          <w:spacing w:val="1"/>
        </w:rPr>
        <w:t>其中：党政机构</w:t>
      </w:r>
      <w:r>
        <w:rPr>
          <w:spacing w:val="-45"/>
        </w:rPr>
        <w:t xml:space="preserve"> </w:t>
      </w:r>
      <w:r>
        <w:rPr>
          <w:spacing w:val="1"/>
        </w:rPr>
        <w:t>4</w:t>
      </w:r>
      <w:r>
        <w:rPr>
          <w:spacing w:val="-45"/>
        </w:rPr>
        <w:t xml:space="preserve"> </w:t>
      </w:r>
      <w:r>
        <w:rPr>
          <w:spacing w:val="1"/>
        </w:rPr>
        <w:t>个，名称统一为综合办公</w:t>
      </w:r>
      <w:r>
        <w:rPr/>
        <w:t>室、</w:t>
      </w:r>
      <w:r>
        <w:rPr>
          <w:spacing w:val="7"/>
        </w:rPr>
        <w:t>党建工作办公室、社会事务管理办公室、综合</w:t>
      </w:r>
      <w:r>
        <w:rPr>
          <w:spacing w:val="9"/>
        </w:rPr>
        <w:t>执法办公室（应急管理办公室）。事业单位</w:t>
      </w:r>
      <w:r>
        <w:rPr>
          <w:spacing w:val="-39"/>
        </w:rPr>
        <w:t xml:space="preserve"> </w:t>
      </w:r>
      <w:r>
        <w:rPr>
          <w:spacing w:val="9"/>
        </w:rPr>
        <w:t>3</w:t>
      </w:r>
      <w:r>
        <w:rPr>
          <w:spacing w:val="7"/>
        </w:rPr>
        <w:t>个，名称统一为民生服务中心（退役军人服务</w:t>
      </w:r>
      <w:r>
        <w:rPr>
          <w:spacing w:val="-8"/>
        </w:rPr>
        <w:t>站）、公用事业服务中心（农业综合服务中心）、</w:t>
      </w:r>
      <w:r>
        <w:rPr>
          <w:spacing w:val="7"/>
        </w:rPr>
        <w:t>综治中心。乡镇和街道可根据工作需要在党政</w:t>
      </w:r>
      <w:r>
        <w:rPr>
          <w:spacing w:val="7"/>
        </w:rPr>
        <w:t>机构和事业单位上加挂牌子，按程序报批。全</w:t>
      </w:r>
      <w:r>
        <w:rPr>
          <w:spacing w:val="7"/>
        </w:rPr>
        <w:t>面清理各类自设机构，严格规范挂牌机构，除</w:t>
      </w:r>
      <w:r>
        <w:rPr>
          <w:spacing w:val="7"/>
        </w:rPr>
        <w:t>党中央和自治区党委明确要求外，上级职能部</w:t>
      </w:r>
      <w:r>
        <w:rPr>
          <w:spacing w:val="18"/>
        </w:rPr>
        <w:t>门不得要求乡镇和街道对口设立机构或加挂</w:t>
      </w:r>
      <w:r>
        <w:rPr>
          <w:spacing w:val="7"/>
        </w:rPr>
        <w:t>牌子，不得要求在村（社区）设立机构或加挂</w:t>
      </w:r>
      <w:r>
        <w:rPr>
          <w:spacing w:val="5"/>
        </w:rPr>
        <w:t>牌子。</w:t>
      </w:r>
    </w:p>
    <w:p>
      <w:pPr>
        <w:pStyle w:val="BodyText"/>
        <w:ind w:right="185" w:firstLine="423"/>
        <w:spacing w:before="28" w:line="349" w:lineRule="auto"/>
        <w:jc w:val="both"/>
        <w:rPr/>
      </w:pPr>
      <w:r>
        <w:rPr>
          <w:spacing w:val="6"/>
        </w:rPr>
        <w:t>2.调整规范派驻站所管理体制。除党中央</w:t>
      </w:r>
      <w:r>
        <w:rPr>
          <w:spacing w:val="7"/>
        </w:rPr>
        <w:t>明确要求实行派驻体制的机构外，区直部门派</w:t>
      </w:r>
      <w:r>
        <w:rPr>
          <w:spacing w:val="8"/>
        </w:rPr>
        <w:t>驻乡镇（街道）的机构原则上实行属地管理。</w:t>
      </w:r>
      <w:r>
        <w:rPr>
          <w:spacing w:val="18"/>
        </w:rPr>
        <w:t>将区自然资源局部分国土执法职责和农业技</w:t>
      </w:r>
      <w:r>
        <w:rPr>
          <w:spacing w:val="7"/>
        </w:rPr>
        <w:t>术推广机构（农业服务中心、水利工作站、林</w:t>
      </w:r>
      <w:r>
        <w:rPr>
          <w:spacing w:val="7"/>
        </w:rPr>
        <w:t>业工作站）及其人员编制下放，整合并入乡镇</w:t>
      </w:r>
      <w:r>
        <w:rPr>
          <w:spacing w:val="7"/>
        </w:rPr>
        <w:t>和街道新组建的相关机构，实行以乡镇管理为</w:t>
      </w:r>
      <w:r>
        <w:rPr>
          <w:spacing w:val="8"/>
        </w:rPr>
        <w:t>主、上级业务部门进行业务指导的管理体制。</w:t>
      </w:r>
      <w:r>
        <w:rPr>
          <w:spacing w:val="7"/>
        </w:rPr>
        <w:t>畜牧兽医站继续实行现行体制，与农业综合服</w:t>
      </w:r>
      <w:r>
        <w:rPr>
          <w:spacing w:val="8"/>
        </w:rPr>
        <w:t>务中心合署办公。</w:t>
      </w:r>
    </w:p>
    <w:p>
      <w:pPr>
        <w:ind w:left="413"/>
        <w:spacing w:before="12" w:line="241" w:lineRule="auto"/>
        <w:rPr>
          <w:rFonts w:ascii="KaiTi" w:hAnsi="KaiTi" w:eastAsia="KaiTi" w:cs="KaiTi"/>
          <w:sz w:val="20"/>
          <w:szCs w:val="20"/>
        </w:rPr>
      </w:pPr>
      <w:r>
        <w:rPr>
          <w:rFonts w:ascii="KaiTi" w:hAnsi="KaiTi" w:eastAsia="KaiTi" w:cs="KaiTi"/>
          <w:sz w:val="20"/>
          <w:szCs w:val="20"/>
          <w:b/>
          <w:bCs/>
        </w:rPr>
        <w:t>（</w:t>
      </w:r>
      <w:r>
        <w:rPr>
          <w:rFonts w:ascii="KaiTi" w:hAnsi="KaiTi" w:eastAsia="KaiTi" w:cs="KaiTi"/>
          <w:sz w:val="20"/>
          <w:szCs w:val="20"/>
          <w:spacing w:val="-45"/>
        </w:rPr>
        <w:t xml:space="preserve"> </w:t>
      </w:r>
      <w:r>
        <w:rPr>
          <w:rFonts w:ascii="KaiTi" w:hAnsi="KaiTi" w:eastAsia="KaiTi" w:cs="KaiTi"/>
          <w:sz w:val="20"/>
          <w:szCs w:val="20"/>
          <w:b/>
          <w:bCs/>
        </w:rPr>
        <w:t>二</w:t>
      </w:r>
      <w:r>
        <w:rPr>
          <w:rFonts w:ascii="KaiTi" w:hAnsi="KaiTi" w:eastAsia="KaiTi" w:cs="KaiTi"/>
          <w:sz w:val="20"/>
          <w:szCs w:val="20"/>
          <w:spacing w:val="-41"/>
        </w:rPr>
        <w:t xml:space="preserve"> </w:t>
      </w:r>
      <w:r>
        <w:rPr>
          <w:rFonts w:ascii="KaiTi" w:hAnsi="KaiTi" w:eastAsia="KaiTi" w:cs="KaiTi"/>
          <w:sz w:val="20"/>
          <w:szCs w:val="20"/>
          <w:b/>
          <w:bCs/>
        </w:rPr>
        <w:t>）完善基层审批服务体系</w:t>
      </w:r>
    </w:p>
    <w:p>
      <w:pPr>
        <w:pStyle w:val="BodyText"/>
        <w:ind w:left="3" w:right="198" w:firstLine="423"/>
        <w:spacing w:before="135" w:line="352" w:lineRule="auto"/>
        <w:rPr/>
      </w:pPr>
      <w:r>
        <w:rPr>
          <w:spacing w:val="6"/>
        </w:rPr>
        <w:t>3.加强综合便民服务机构和平台建设。在</w:t>
      </w:r>
      <w:r>
        <w:rPr>
          <w:spacing w:val="7"/>
        </w:rPr>
        <w:t>整合基层行政审批和公共服务职责的基础上，</w:t>
      </w:r>
    </w:p>
    <w:p>
      <w:pPr>
        <w:pStyle w:val="BodyText"/>
        <w:spacing w:before="38" w:line="344" w:lineRule="auto"/>
        <w:rPr/>
      </w:pPr>
      <w:r>
        <w:rPr>
          <w:spacing w:val="18"/>
        </w:rPr>
        <w:t>将具体面向企业群众办事服务的岗位集中到</w:t>
      </w:r>
      <w:r>
        <w:rPr>
          <w:spacing w:val="1"/>
        </w:rPr>
        <w:t xml:space="preserve"> </w:t>
      </w:r>
      <w:r>
        <w:rPr>
          <w:spacing w:val="3"/>
        </w:rPr>
        <w:t>民生服务大厅办公，推进基层市场监管、税务、</w:t>
      </w:r>
      <w:r>
        <w:rPr>
          <w:spacing w:val="7"/>
        </w:rPr>
        <w:t>公安、司法等相关服务事项进驻大厅办理。在</w:t>
      </w:r>
      <w:r>
        <w:rPr>
          <w:spacing w:val="2"/>
        </w:rPr>
        <w:t xml:space="preserve"> </w:t>
      </w:r>
      <w:r>
        <w:rPr>
          <w:spacing w:val="7"/>
        </w:rPr>
        <w:t>推行“</w:t>
      </w:r>
      <w:r>
        <w:rPr>
          <w:spacing w:val="-61"/>
        </w:rPr>
        <w:t xml:space="preserve"> </w:t>
      </w:r>
      <w:r>
        <w:rPr>
          <w:spacing w:val="7"/>
        </w:rPr>
        <w:t>163</w:t>
      </w:r>
      <w:r>
        <w:rPr>
          <w:spacing w:val="-40"/>
        </w:rPr>
        <w:t xml:space="preserve"> </w:t>
      </w:r>
      <w:r>
        <w:rPr>
          <w:spacing w:val="7"/>
        </w:rPr>
        <w:t>政务服务模式市县一体化”工作的</w:t>
      </w:r>
      <w:r>
        <w:rPr/>
        <w:t xml:space="preserve"> </w:t>
      </w:r>
      <w:r>
        <w:rPr>
          <w:spacing w:val="5"/>
        </w:rPr>
        <w:t>基础上</w:t>
      </w:r>
      <w:r>
        <w:rPr>
          <w:spacing w:val="-54"/>
        </w:rPr>
        <w:t xml:space="preserve"> </w:t>
      </w:r>
      <w:r>
        <w:rPr>
          <w:spacing w:val="5"/>
        </w:rPr>
        <w:t>，整合设置“综合窗口”，推行一窗受</w:t>
      </w:r>
      <w:r>
        <w:rPr>
          <w:spacing w:val="7"/>
        </w:rPr>
        <w:t>理、集成服务。依托宁夏政务服务网“一张网”</w:t>
      </w:r>
      <w:r>
        <w:rPr>
          <w:spacing w:val="9"/>
        </w:rPr>
        <w:t>功能，整合民政、就业、卫健、社保、医保、</w:t>
      </w:r>
    </w:p>
    <w:p>
      <w:pPr>
        <w:spacing w:line="344" w:lineRule="auto"/>
        <w:sectPr>
          <w:type w:val="continuous"/>
          <w:pgSz w:w="11906" w:h="16839"/>
          <w:pgMar w:top="1793" w:right="1385" w:bottom="1673" w:left="1565" w:header="1428" w:footer="1277" w:gutter="0"/>
          <w:cols w:equalWidth="0" w:num="2">
            <w:col w:w="4504" w:space="100"/>
            <w:col w:w="4353" w:space="0"/>
          </w:cols>
        </w:sectPr>
        <w:rPr/>
      </w:pPr>
    </w:p>
    <w:p>
      <w:pPr>
        <w:spacing w:before="37"/>
        <w:rPr/>
      </w:pPr>
      <w:r>
        <w:drawing>
          <wp:anchor distT="0" distB="0" distL="0" distR="0" simplePos="0" relativeHeight="25188352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634" name="IM 634"/>
            <wp:cNvGraphicFramePr/>
            <a:graphic>
              <a:graphicData uri="http://schemas.openxmlformats.org/drawingml/2006/picture">
                <pic:pic>
                  <pic:nvPicPr>
                    <pic:cNvPr id="634" name="IM 634"/>
                    <pic:cNvPicPr/>
                  </pic:nvPicPr>
                  <pic:blipFill>
                    <a:blip r:embed="rId319"/>
                    <a:stretch>
                      <a:fillRect/>
                    </a:stretch>
                  </pic:blipFill>
                  <pic:spPr>
                    <a:xfrm rot="0">
                      <a:off x="0" y="0"/>
                      <a:ext cx="5579745" cy="7620"/>
                    </a:xfrm>
                    <a:prstGeom prst="rect">
                      <a:avLst/>
                    </a:prstGeom>
                  </pic:spPr>
                </pic:pic>
              </a:graphicData>
            </a:graphic>
          </wp:anchor>
        </w:drawing>
      </w:r>
      <w:r/>
    </w:p>
    <w:p>
      <w:pPr>
        <w:sectPr>
          <w:headerReference w:type="default" r:id="rId317"/>
          <w:footerReference w:type="default" r:id="rId318"/>
          <w:pgSz w:w="11906" w:h="16839"/>
          <w:pgMar w:top="1766" w:right="1509" w:bottom="1570" w:left="1579" w:header="1428" w:footer="1172" w:gutter="0"/>
          <w:cols w:equalWidth="0" w:num="1">
            <w:col w:w="8817" w:space="0"/>
          </w:cols>
        </w:sectPr>
        <w:rPr/>
      </w:pPr>
    </w:p>
    <w:p>
      <w:pPr>
        <w:pStyle w:val="BodyText"/>
        <w:ind w:left="16" w:right="322" w:hanging="3"/>
        <w:spacing w:before="40" w:line="369" w:lineRule="auto"/>
        <w:rPr/>
      </w:pPr>
      <w:r>
        <w:rPr>
          <w:spacing w:val="7"/>
        </w:rPr>
        <w:t>残联等行业信息系统相关功能，实现“一网通</w:t>
      </w:r>
      <w:r>
        <w:rPr>
          <w:spacing w:val="3"/>
        </w:rPr>
        <w:t>办”，让“数据多跑路、群众少跑腿”。</w:t>
      </w:r>
    </w:p>
    <w:p>
      <w:pPr>
        <w:pStyle w:val="BodyText"/>
        <w:ind w:left="11" w:right="210" w:firstLine="420"/>
        <w:spacing w:before="3" w:line="357" w:lineRule="auto"/>
        <w:rPr/>
      </w:pPr>
      <w:r>
        <w:rPr>
          <w:spacing w:val="6"/>
        </w:rPr>
        <w:t>4.推进审批服务标准化建设。制定《原州</w:t>
      </w:r>
      <w:r>
        <w:rPr>
          <w:spacing w:val="8"/>
        </w:rPr>
        <w:t>区推进基层审批服务便民化改革实施方案》，</w:t>
      </w:r>
      <w:r>
        <w:rPr>
          <w:spacing w:val="7"/>
        </w:rPr>
        <w:t>紧扣城乡基层治理，聚焦基层党的建设、乡村</w:t>
      </w:r>
      <w:r>
        <w:rPr>
          <w:spacing w:val="7"/>
        </w:rPr>
        <w:t>振兴、新型城镇化等重点工作以及就业和社会</w:t>
      </w:r>
      <w:r>
        <w:rPr>
          <w:spacing w:val="7"/>
        </w:rPr>
        <w:t>保障、医疗保障、不动产登记、社会救助、户</w:t>
      </w:r>
      <w:r>
        <w:rPr>
          <w:spacing w:val="-9"/>
        </w:rPr>
        <w:t>籍管理、乡村建设、危（</w:t>
      </w:r>
      <w:r>
        <w:rPr>
          <w:spacing w:val="-44"/>
        </w:rPr>
        <w:t xml:space="preserve"> </w:t>
      </w:r>
      <w:r>
        <w:rPr>
          <w:spacing w:val="-9"/>
        </w:rPr>
        <w:t>旧）房改造、古村（屋）</w:t>
      </w:r>
      <w:r>
        <w:rPr>
          <w:spacing w:val="11"/>
        </w:rPr>
        <w:t>修缮、改水改厕等群众关心关注的重点事项，</w:t>
      </w:r>
      <w:r>
        <w:rPr>
          <w:spacing w:val="7"/>
        </w:rPr>
        <w:t>根据自治区指导目录，制定并公布乡镇和街道</w:t>
      </w:r>
      <w:r>
        <w:rPr>
          <w:spacing w:val="7"/>
        </w:rPr>
        <w:t>基层“马上办、网上办、就近办、一次办”审</w:t>
      </w:r>
      <w:r>
        <w:rPr>
          <w:spacing w:val="7"/>
        </w:rPr>
        <w:t>批服务事项目录，以为企业和群众办好“一件</w:t>
      </w:r>
      <w:r>
        <w:rPr>
          <w:spacing w:val="7"/>
        </w:rPr>
        <w:t>事”为标准，建立和完善适应基层实际的办事</w:t>
      </w:r>
      <w:r>
        <w:rPr>
          <w:spacing w:val="9"/>
        </w:rPr>
        <w:t>指南和工作规程，进一步提升审批服务效能。</w:t>
      </w:r>
    </w:p>
    <w:p>
      <w:pPr>
        <w:pStyle w:val="BodyText"/>
        <w:ind w:left="11" w:right="210" w:firstLine="423"/>
        <w:spacing w:before="154" w:line="358" w:lineRule="auto"/>
        <w:rPr/>
      </w:pPr>
      <w:r>
        <w:rPr>
          <w:spacing w:val="1"/>
        </w:rPr>
        <w:t>5.完善村级代办服务机制。加强村（社区）</w:t>
      </w:r>
      <w:r>
        <w:rPr>
          <w:spacing w:val="7"/>
        </w:rPr>
        <w:t>综合服务站点建设，推动基本公共服务事项进</w:t>
      </w:r>
      <w:r>
        <w:rPr>
          <w:spacing w:val="7"/>
        </w:rPr>
        <w:t>驻村（社区）办理，推进村级便民服务点和网</w:t>
      </w:r>
      <w:r>
        <w:rPr>
          <w:spacing w:val="7"/>
        </w:rPr>
        <w:t>上服务站点全覆盖。制定《原州区加强基层便</w:t>
      </w:r>
      <w:r>
        <w:rPr>
          <w:spacing w:val="2"/>
        </w:rPr>
        <w:t>民服务队伍建设管理办法》，完善村级（社区）</w:t>
      </w:r>
      <w:r>
        <w:rPr>
          <w:spacing w:val="7"/>
        </w:rPr>
        <w:t>代办服务机制，提升村级（社区）代办服务能</w:t>
      </w:r>
      <w:r>
        <w:rPr>
          <w:spacing w:val="7"/>
        </w:rPr>
        <w:t>力和专业化水平。积极开展代缴代办代理等便</w:t>
      </w:r>
      <w:r>
        <w:rPr>
          <w:spacing w:val="7"/>
        </w:rPr>
        <w:t>民服务，逐步扩大公共服务事项网上受理、网</w:t>
      </w:r>
      <w:r>
        <w:rPr>
          <w:spacing w:val="7"/>
        </w:rPr>
        <w:t>上办理、网上反馈范围，努力实现简单事项不</w:t>
      </w:r>
      <w:r>
        <w:rPr>
          <w:spacing w:val="1"/>
        </w:rPr>
        <w:t>出村（社区）、复杂事项可代办。</w:t>
      </w:r>
    </w:p>
    <w:p>
      <w:pPr>
        <w:ind w:left="424"/>
        <w:spacing w:before="121"/>
        <w:rPr>
          <w:rFonts w:ascii="KaiTi" w:hAnsi="KaiTi" w:eastAsia="KaiTi" w:cs="KaiTi"/>
          <w:sz w:val="20"/>
          <w:szCs w:val="20"/>
        </w:rPr>
      </w:pPr>
      <w:r>
        <w:rPr>
          <w:rFonts w:ascii="KaiTi" w:hAnsi="KaiTi" w:eastAsia="KaiTi" w:cs="KaiTi"/>
          <w:sz w:val="20"/>
          <w:szCs w:val="20"/>
          <w:b/>
          <w:bCs/>
          <w:spacing w:val="5"/>
        </w:rPr>
        <w:t>（</w:t>
      </w:r>
      <w:r>
        <w:rPr>
          <w:rFonts w:ascii="KaiTi" w:hAnsi="KaiTi" w:eastAsia="KaiTi" w:cs="KaiTi"/>
          <w:sz w:val="20"/>
          <w:szCs w:val="20"/>
          <w:spacing w:val="-37"/>
        </w:rPr>
        <w:t xml:space="preserve"> </w:t>
      </w:r>
      <w:r>
        <w:rPr>
          <w:rFonts w:ascii="KaiTi" w:hAnsi="KaiTi" w:eastAsia="KaiTi" w:cs="KaiTi"/>
          <w:sz w:val="20"/>
          <w:szCs w:val="20"/>
          <w:b/>
          <w:bCs/>
          <w:spacing w:val="5"/>
        </w:rPr>
        <w:t>三）积极推进基层综合行政执法改革</w:t>
      </w:r>
    </w:p>
    <w:p>
      <w:pPr>
        <w:pStyle w:val="BodyText"/>
        <w:ind w:left="12" w:right="320" w:firstLine="423"/>
        <w:spacing w:before="139" w:line="344" w:lineRule="auto"/>
        <w:jc w:val="both"/>
        <w:rPr/>
      </w:pPr>
      <w:r>
        <w:rPr>
          <w:spacing w:val="6"/>
        </w:rPr>
        <w:t>6.组建综合行政执法机构。制定《原州区</w:t>
      </w:r>
      <w:r>
        <w:rPr>
          <w:spacing w:val="7"/>
        </w:rPr>
        <w:t>乡镇和街道综合行政执法改革实施意见》，与</w:t>
      </w:r>
      <w:r>
        <w:rPr>
          <w:spacing w:val="18"/>
        </w:rPr>
        <w:t>各领域综合行政执法体制改革及市辖区综合</w:t>
      </w:r>
      <w:r>
        <w:rPr>
          <w:spacing w:val="7"/>
        </w:rPr>
        <w:t>执法改革试点相衔接，统筹设计行政区域内综</w:t>
      </w:r>
      <w:r>
        <w:rPr>
          <w:spacing w:val="7"/>
        </w:rPr>
        <w:t>合行政执法模式，推进行政执法权限和力量向</w:t>
      </w:r>
      <w:r>
        <w:rPr>
          <w:spacing w:val="7"/>
        </w:rPr>
        <w:t>基层延伸和下沉。整合现有站所、队执法力量</w:t>
      </w:r>
      <w:r>
        <w:rPr>
          <w:spacing w:val="7"/>
        </w:rPr>
        <w:t>和资源，组建综合执法办公室，按照有关法律</w:t>
      </w:r>
    </w:p>
    <w:p>
      <w:pPr>
        <w:spacing w:line="14" w:lineRule="auto"/>
        <w:rPr>
          <w:rFonts w:ascii="Arial"/>
          <w:sz w:val="2"/>
        </w:rPr>
      </w:pPr>
      <w:r>
        <w:rPr>
          <w:rFonts w:ascii="Arial" w:hAnsi="Arial" w:eastAsia="Arial" w:cs="Arial"/>
          <w:sz w:val="2"/>
          <w:szCs w:val="2"/>
        </w:rPr>
        <w:br w:type="column"/>
      </w:r>
    </w:p>
    <w:p>
      <w:pPr>
        <w:pStyle w:val="BodyText"/>
        <w:ind w:left="9" w:right="2"/>
        <w:spacing w:before="40" w:line="368" w:lineRule="auto"/>
        <w:jc w:val="both"/>
        <w:rPr/>
      </w:pPr>
      <w:r>
        <w:rPr>
          <w:spacing w:val="7"/>
        </w:rPr>
        <w:t>规定相对集中行使行政处罚权，以乡镇和街道</w:t>
      </w:r>
      <w:r>
        <w:rPr>
          <w:spacing w:val="7"/>
        </w:rPr>
        <w:t>名义开展执法工作，并接受区直有关主管部门</w:t>
      </w:r>
      <w:r>
        <w:rPr>
          <w:spacing w:val="1"/>
        </w:rPr>
        <w:t>的业务指导和监督，逐步实现一支队伍管执法。</w:t>
      </w:r>
    </w:p>
    <w:p>
      <w:pPr>
        <w:pStyle w:val="BodyText"/>
        <w:ind w:firstLine="428"/>
        <w:spacing w:before="3" w:line="358" w:lineRule="auto"/>
        <w:rPr/>
      </w:pPr>
      <w:r>
        <w:rPr>
          <w:spacing w:val="6"/>
        </w:rPr>
        <w:t>7.完善指挥协调机制。强化乡镇和街道的</w:t>
      </w:r>
      <w:r>
        <w:rPr>
          <w:spacing w:val="7"/>
        </w:rPr>
        <w:t>统一指挥和统筹协调职责，赋予乡镇和街道党</w:t>
      </w:r>
      <w:r>
        <w:rPr>
          <w:spacing w:val="7"/>
        </w:rPr>
        <w:t>（工）委对派驻机构的统一指挥权、干部管理</w:t>
      </w:r>
      <w:r>
        <w:rPr>
          <w:spacing w:val="7"/>
        </w:rPr>
        <w:t>考核权、主要负责人任免建议权等。乡镇和街</w:t>
      </w:r>
      <w:r>
        <w:rPr>
          <w:spacing w:val="18"/>
        </w:rPr>
        <w:t>道综合执法办公室负责统筹协调派驻执法机</w:t>
      </w:r>
      <w:r>
        <w:rPr>
          <w:spacing w:val="7"/>
        </w:rPr>
        <w:t>构和辖区执法力量，开展联合执法。综合执法</w:t>
      </w:r>
      <w:r>
        <w:rPr>
          <w:spacing w:val="7"/>
        </w:rPr>
        <w:t>局向乡镇（街道）派驻执法队伍，负责人可兼</w:t>
      </w:r>
      <w:r>
        <w:rPr>
          <w:spacing w:val="7"/>
        </w:rPr>
        <w:t>任乡镇（街道）综合执法办公室主任。制定乡</w:t>
      </w:r>
      <w:r>
        <w:rPr>
          <w:spacing w:val="7"/>
        </w:rPr>
        <w:t>镇和街道行政执法事项清单，明确执法事项的</w:t>
      </w:r>
      <w:r>
        <w:rPr>
          <w:spacing w:val="7"/>
        </w:rPr>
        <w:t>范围、内容。建立健全与区直部门行政执法案</w:t>
      </w:r>
      <w:r>
        <w:rPr>
          <w:spacing w:val="7"/>
        </w:rPr>
        <w:t>件移送机制及协调机制，对超出权限的执法事</w:t>
      </w:r>
      <w:r>
        <w:rPr>
          <w:spacing w:val="1"/>
        </w:rPr>
        <w:t>项，乡镇和街道承担日常巡查、接受投诉举报、</w:t>
      </w:r>
      <w:r>
        <w:rPr>
          <w:spacing w:val="9"/>
        </w:rPr>
        <w:t>协助调查取证等工作，并及时通报区直部门。</w:t>
      </w:r>
    </w:p>
    <w:p>
      <w:pPr>
        <w:pStyle w:val="BodyText"/>
        <w:ind w:left="6" w:right="78" w:firstLine="425"/>
        <w:spacing w:before="158" w:line="358" w:lineRule="auto"/>
        <w:rPr/>
      </w:pPr>
      <w:r>
        <w:rPr>
          <w:spacing w:val="6"/>
        </w:rPr>
        <w:t>8.提升行政执法能力和水平。加强对乡镇</w:t>
      </w:r>
      <w:r>
        <w:rPr>
          <w:spacing w:val="7"/>
        </w:rPr>
        <w:t>和街道综合行政执法机构、执法人员的业务指</w:t>
      </w:r>
      <w:r>
        <w:rPr>
          <w:spacing w:val="7"/>
        </w:rPr>
        <w:t>导和培训，规范执法检查、受立案、调查、审</w:t>
      </w:r>
      <w:r>
        <w:rPr>
          <w:spacing w:val="7"/>
        </w:rPr>
        <w:t>查、决定等程序和行为，建立执法全过程记录</w:t>
      </w:r>
      <w:r>
        <w:rPr>
          <w:spacing w:val="7"/>
        </w:rPr>
        <w:t>制度，实现全程留痕、可追溯、可追责。全面</w:t>
      </w:r>
      <w:r>
        <w:rPr>
          <w:spacing w:val="7"/>
        </w:rPr>
        <w:t>推行行政执法公示制度，做到依据公开、决策</w:t>
      </w:r>
      <w:r>
        <w:rPr>
          <w:spacing w:val="7"/>
        </w:rPr>
        <w:t>公开、执行公开、结果公开、过程公开。全面</w:t>
      </w:r>
      <w:r>
        <w:rPr>
          <w:spacing w:val="7"/>
        </w:rPr>
        <w:t>推行重大行政执法决定法制审核制度，做出重</w:t>
      </w:r>
      <w:r>
        <w:rPr>
          <w:spacing w:val="7"/>
        </w:rPr>
        <w:t>大执法决定前要进行法制审核，未经法制审核</w:t>
      </w:r>
      <w:r>
        <w:rPr>
          <w:spacing w:val="7"/>
        </w:rPr>
        <w:t>或审核未通过的，不得作出行政执法决定，确</w:t>
      </w:r>
      <w:r>
        <w:rPr>
          <w:spacing w:val="7"/>
        </w:rPr>
        <w:t>保重大执法决定合法适当。严格确定行政执法</w:t>
      </w:r>
      <w:r>
        <w:rPr>
          <w:spacing w:val="7"/>
        </w:rPr>
        <w:t>责任和责任追究机制，加强执法监督，坚决惩</w:t>
      </w:r>
      <w:r>
        <w:rPr>
          <w:spacing w:val="9"/>
        </w:rPr>
        <w:t>治执法腐败现象，确保权力不被滥用。</w:t>
      </w:r>
    </w:p>
    <w:p>
      <w:pPr>
        <w:ind w:left="420"/>
        <w:spacing w:before="155" w:line="241" w:lineRule="auto"/>
        <w:rPr>
          <w:rFonts w:ascii="KaiTi" w:hAnsi="KaiTi" w:eastAsia="KaiTi" w:cs="KaiTi"/>
          <w:sz w:val="20"/>
          <w:szCs w:val="20"/>
        </w:rPr>
      </w:pPr>
      <w:r>
        <w:rPr>
          <w:rFonts w:ascii="KaiTi" w:hAnsi="KaiTi" w:eastAsia="KaiTi" w:cs="KaiTi"/>
          <w:sz w:val="20"/>
          <w:szCs w:val="20"/>
          <w:b/>
          <w:bCs/>
          <w:spacing w:val="5"/>
        </w:rPr>
        <w:t>（</w:t>
      </w:r>
      <w:r>
        <w:rPr>
          <w:rFonts w:ascii="KaiTi" w:hAnsi="KaiTi" w:eastAsia="KaiTi" w:cs="KaiTi"/>
          <w:sz w:val="20"/>
          <w:szCs w:val="20"/>
          <w:spacing w:val="-39"/>
        </w:rPr>
        <w:t xml:space="preserve"> </w:t>
      </w:r>
      <w:r>
        <w:rPr>
          <w:rFonts w:ascii="KaiTi" w:hAnsi="KaiTi" w:eastAsia="KaiTi" w:cs="KaiTi"/>
          <w:sz w:val="20"/>
          <w:szCs w:val="20"/>
          <w:b/>
          <w:bCs/>
          <w:spacing w:val="5"/>
        </w:rPr>
        <w:t>四）整合基层网格管理和指挥平台</w:t>
      </w:r>
    </w:p>
    <w:p>
      <w:pPr>
        <w:pStyle w:val="BodyText"/>
        <w:ind w:left="5" w:right="80" w:firstLine="424"/>
        <w:spacing w:before="137" w:line="281" w:lineRule="auto"/>
        <w:rPr/>
      </w:pPr>
      <w:r>
        <w:rPr>
          <w:spacing w:val="6"/>
        </w:rPr>
        <w:t>9.实现“多网合一”。将上级部门在基层</w:t>
      </w:r>
      <w:r>
        <w:rPr>
          <w:spacing w:val="7"/>
        </w:rPr>
        <w:t>设置的多个网格整合为一个综合网格，依托村</w:t>
      </w:r>
    </w:p>
    <w:p>
      <w:pPr>
        <w:spacing w:line="281" w:lineRule="auto"/>
        <w:sectPr>
          <w:type w:val="continuous"/>
          <w:pgSz w:w="11906" w:h="16839"/>
          <w:pgMar w:top="1766" w:right="1509" w:bottom="1570" w:left="1579" w:header="1428" w:footer="1172" w:gutter="0"/>
          <w:cols w:equalWidth="0" w:num="2">
            <w:col w:w="4482" w:space="100"/>
            <w:col w:w="4235" w:space="0"/>
          </w:cols>
        </w:sectPr>
        <w:rPr/>
      </w:pPr>
    </w:p>
    <w:p>
      <w:pPr>
        <w:spacing w:before="42"/>
        <w:rPr/>
      </w:pPr>
      <w:r>
        <w:drawing>
          <wp:anchor distT="0" distB="0" distL="0" distR="0" simplePos="0" relativeHeight="251885568"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638" name="IM 638"/>
            <wp:cNvGraphicFramePr/>
            <a:graphic>
              <a:graphicData uri="http://schemas.openxmlformats.org/drawingml/2006/picture">
                <pic:pic>
                  <pic:nvPicPr>
                    <pic:cNvPr id="638" name="IM 638"/>
                    <pic:cNvPicPr/>
                  </pic:nvPicPr>
                  <pic:blipFill>
                    <a:blip r:embed="rId321"/>
                    <a:stretch>
                      <a:fillRect/>
                    </a:stretch>
                  </pic:blipFill>
                  <pic:spPr>
                    <a:xfrm rot="0">
                      <a:off x="0" y="0"/>
                      <a:ext cx="5579745" cy="7619"/>
                    </a:xfrm>
                    <a:prstGeom prst="rect">
                      <a:avLst/>
                    </a:prstGeom>
                  </pic:spPr>
                </pic:pic>
              </a:graphicData>
            </a:graphic>
          </wp:anchor>
        </w:drawing>
      </w:r>
      <w:r/>
    </w:p>
    <w:p>
      <w:pPr>
        <w:sectPr>
          <w:headerReference w:type="default" r:id="rId297"/>
          <w:footerReference w:type="default" r:id="rId320"/>
          <w:pgSz w:w="11906" w:h="16839"/>
          <w:pgMar w:top="1793" w:right="1489" w:bottom="1673" w:left="1565" w:header="1428" w:footer="1277" w:gutter="0"/>
          <w:cols w:equalWidth="0" w:num="1">
            <w:col w:w="8852" w:space="0"/>
          </w:cols>
        </w:sectPr>
        <w:rPr/>
      </w:pPr>
    </w:p>
    <w:p>
      <w:pPr>
        <w:pStyle w:val="BodyText"/>
        <w:ind w:left="26" w:right="306" w:hanging="7"/>
        <w:spacing w:before="50" w:line="369" w:lineRule="auto"/>
        <w:jc w:val="both"/>
        <w:rPr/>
      </w:pPr>
      <w:r>
        <w:rPr>
          <w:spacing w:val="7"/>
        </w:rPr>
        <w:t>（社区）合理划分基本网格单元，统筹网格内</w:t>
      </w:r>
      <w:r>
        <w:rPr>
          <w:spacing w:val="8"/>
        </w:rPr>
        <w:t>党的建设、社会保障、综合治理、应急管理、</w:t>
      </w:r>
      <w:r>
        <w:rPr>
          <w:spacing w:val="7"/>
        </w:rPr>
        <w:t>社会救助等工作。强化党建引领，将党支部或</w:t>
      </w:r>
      <w:r>
        <w:rPr>
          <w:spacing w:val="7"/>
        </w:rPr>
        <w:t>党小组建在网格上，以网格为基本单元，设立</w:t>
      </w:r>
      <w:r>
        <w:rPr>
          <w:spacing w:val="7"/>
        </w:rPr>
        <w:t>党员示范岗、党员先锋岗、党员责任区等，选</w:t>
      </w:r>
      <w:r>
        <w:rPr>
          <w:spacing w:val="7"/>
        </w:rPr>
        <w:t>优配强党支部书记或党小组组长。合理确定网</w:t>
      </w:r>
      <w:r>
        <w:rPr>
          <w:spacing w:val="8"/>
        </w:rPr>
        <w:t>格监管任务和事项，将网格内的人、地、物、</w:t>
      </w:r>
      <w:r>
        <w:rPr>
          <w:spacing w:val="7"/>
        </w:rPr>
        <w:t>事、组织等基础信息和社情民意、全程代办服</w:t>
      </w:r>
      <w:r>
        <w:rPr>
          <w:spacing w:val="15"/>
        </w:rPr>
        <w:t>务等事项</w:t>
      </w:r>
      <w:r>
        <w:rPr>
          <w:spacing w:val="-40"/>
        </w:rPr>
        <w:t xml:space="preserve"> </w:t>
      </w:r>
      <w:r>
        <w:rPr>
          <w:spacing w:val="15"/>
        </w:rPr>
        <w:t>，全部纳入网格化服务管理工作范</w:t>
      </w:r>
      <w:r>
        <w:rPr>
          <w:spacing w:val="8"/>
        </w:rPr>
        <w:t>围，科学配置网格员力量，实行定人、定岗、</w:t>
      </w:r>
      <w:r>
        <w:rPr>
          <w:spacing w:val="7"/>
        </w:rPr>
        <w:t>定责。推进网格化服务管理标准化建设，提高</w:t>
      </w:r>
      <w:r>
        <w:rPr>
          <w:spacing w:val="7"/>
        </w:rPr>
        <w:t>网格管理规范化精细化水平。加强网格资源配</w:t>
      </w:r>
      <w:r>
        <w:rPr>
          <w:spacing w:val="7"/>
        </w:rPr>
        <w:t>置，把公共服务、社会服务、市场服务、志愿</w:t>
      </w:r>
      <w:r>
        <w:rPr>
          <w:spacing w:val="9"/>
        </w:rPr>
        <w:t>服务下沉到网格，精准投送到千家万户。</w:t>
      </w:r>
    </w:p>
    <w:p>
      <w:pPr>
        <w:pStyle w:val="BodyText"/>
        <w:ind w:left="27" w:right="252" w:firstLine="439"/>
        <w:spacing w:before="3" w:line="369" w:lineRule="auto"/>
        <w:jc w:val="both"/>
        <w:rPr/>
      </w:pPr>
      <w:r>
        <w:rPr/>
        <w:t>10.加快平台建设。建立一体化的信息系统</w:t>
      </w:r>
      <w:r>
        <w:rPr>
          <w:spacing w:val="7"/>
        </w:rPr>
        <w:t>和综合指挥平台，先易后难、分步实施，整合</w:t>
      </w:r>
      <w:r>
        <w:rPr>
          <w:spacing w:val="10"/>
        </w:rPr>
        <w:t>现有设在乡镇和街道的党的建设、综合治理、</w:t>
      </w:r>
      <w:r>
        <w:rPr>
          <w:spacing w:val="10"/>
        </w:rPr>
        <w:t>社区治理、数字城管等各系统指挥信息资源。</w:t>
      </w:r>
      <w:r>
        <w:rPr>
          <w:spacing w:val="7"/>
        </w:rPr>
        <w:t>强化信息共享和技术支撑，上级相关部门的视</w:t>
      </w:r>
      <w:r>
        <w:rPr>
          <w:spacing w:val="7"/>
        </w:rPr>
        <w:t>频监控等要尽可能接入基层综合指挥平台，实</w:t>
      </w:r>
      <w:r>
        <w:rPr>
          <w:spacing w:val="1"/>
        </w:rPr>
        <w:t>现互联互通、信息共享、实时监控、综合监测。</w:t>
      </w:r>
      <w:r>
        <w:rPr>
          <w:spacing w:val="7"/>
        </w:rPr>
        <w:t>建立健全发现问题、流转交办、协调联动、研</w:t>
      </w:r>
      <w:r>
        <w:rPr>
          <w:spacing w:val="7"/>
        </w:rPr>
        <w:t>判预警、督查考核等综合指挥工作机制，实现</w:t>
      </w:r>
      <w:r>
        <w:rPr>
          <w:spacing w:val="9"/>
        </w:rPr>
        <w:t>基层管理跨部门、跨层级协同运转。</w:t>
      </w:r>
    </w:p>
    <w:p>
      <w:pPr>
        <w:ind w:left="439"/>
        <w:rPr>
          <w:rFonts w:ascii="KaiTi" w:hAnsi="KaiTi" w:eastAsia="KaiTi" w:cs="KaiTi"/>
          <w:sz w:val="20"/>
          <w:szCs w:val="20"/>
        </w:rPr>
      </w:pPr>
      <w:r>
        <w:rPr>
          <w:rFonts w:ascii="KaiTi" w:hAnsi="KaiTi" w:eastAsia="KaiTi" w:cs="KaiTi"/>
          <w:sz w:val="20"/>
          <w:szCs w:val="20"/>
          <w:b/>
          <w:bCs/>
          <w:spacing w:val="8"/>
        </w:rPr>
        <w:t>（五）大力推动资源服务管理下沉</w:t>
      </w:r>
    </w:p>
    <w:p>
      <w:pPr>
        <w:pStyle w:val="BodyText"/>
        <w:ind w:left="26" w:right="265" w:firstLine="440"/>
        <w:spacing w:before="141" w:line="348" w:lineRule="auto"/>
        <w:jc w:val="both"/>
        <w:rPr/>
      </w:pPr>
      <w:r>
        <w:rPr/>
        <w:t>11.建立赋权清单目录。按照依法下放、宜</w:t>
      </w:r>
      <w:r>
        <w:rPr>
          <w:spacing w:val="7"/>
        </w:rPr>
        <w:t>放则放原则，将点多面广、基层管理迫切需要</w:t>
      </w:r>
      <w:r>
        <w:rPr>
          <w:spacing w:val="18"/>
        </w:rPr>
        <w:t>且能有效承接的审批服务执法等权限赋予乡</w:t>
      </w:r>
      <w:r>
        <w:rPr>
          <w:spacing w:val="7"/>
        </w:rPr>
        <w:t>镇和街道。按照自治区政府统一制定的赋权清</w:t>
      </w:r>
      <w:r>
        <w:rPr>
          <w:spacing w:val="7"/>
        </w:rPr>
        <w:t>单，依法明确乡镇和街道执法主体地位，按照</w:t>
      </w:r>
      <w:r>
        <w:rPr/>
        <w:t>“一个乡镇（街道）、一个赋权清单”的要求，</w:t>
      </w:r>
      <w:r>
        <w:rPr>
          <w:spacing w:val="7"/>
        </w:rPr>
        <w:t>依法编制各乡镇（街道）赋权清单，统一和规</w:t>
      </w:r>
    </w:p>
    <w:p>
      <w:pPr>
        <w:spacing w:line="14" w:lineRule="auto"/>
        <w:rPr>
          <w:rFonts w:ascii="Arial"/>
          <w:sz w:val="2"/>
        </w:rPr>
      </w:pPr>
      <w:r>
        <w:rPr>
          <w:rFonts w:ascii="Arial" w:hAnsi="Arial" w:eastAsia="Arial" w:cs="Arial"/>
          <w:sz w:val="2"/>
          <w:szCs w:val="2"/>
        </w:rPr>
        <w:br w:type="column"/>
      </w:r>
    </w:p>
    <w:p>
      <w:pPr>
        <w:pStyle w:val="BodyText"/>
        <w:ind w:right="101" w:firstLine="4"/>
        <w:spacing w:before="48" w:line="369" w:lineRule="auto"/>
        <w:jc w:val="both"/>
        <w:rPr/>
      </w:pPr>
      <w:r>
        <w:rPr>
          <w:spacing w:val="7"/>
        </w:rPr>
        <w:t>范赋权事项，成熟一批，赋予一批，确保放得</w:t>
      </w:r>
      <w:r>
        <w:rPr>
          <w:spacing w:val="7"/>
        </w:rPr>
        <w:t>下、接得住、管得好、有监督。法律规定的县</w:t>
      </w:r>
      <w:r>
        <w:rPr>
          <w:spacing w:val="18"/>
        </w:rPr>
        <w:t>级政府及其部门的管理权限需要赋予乡镇和</w:t>
      </w:r>
      <w:r>
        <w:rPr>
          <w:spacing w:val="8"/>
        </w:rPr>
        <w:t>街道的，按法定程序和要求办理。</w:t>
      </w:r>
    </w:p>
    <w:p>
      <w:pPr>
        <w:pStyle w:val="BodyText"/>
        <w:ind w:right="96" w:firstLine="440"/>
        <w:spacing w:before="19" w:line="361" w:lineRule="auto"/>
        <w:rPr/>
      </w:pPr>
      <w:r>
        <w:rPr/>
        <w:t>12.建立务实高效用编用人制度。推进编制</w:t>
      </w:r>
      <w:r>
        <w:rPr>
          <w:spacing w:val="7"/>
        </w:rPr>
        <w:t>资源向乡镇和街道倾斜，采取减区补乡和减上</w:t>
      </w:r>
      <w:r>
        <w:rPr>
          <w:spacing w:val="7"/>
        </w:rPr>
        <w:t>补下调剂使用行政和事业编制，充实加强基层</w:t>
      </w:r>
      <w:r>
        <w:rPr>
          <w:spacing w:val="7"/>
        </w:rPr>
        <w:t>一线工作力量，乡镇人员编制增幅平均不低于</w:t>
      </w:r>
      <w:r>
        <w:rPr>
          <w:spacing w:val="12"/>
        </w:rPr>
        <w:t>25%，街道人员编制增幅平均不低于</w:t>
      </w:r>
      <w:r>
        <w:rPr>
          <w:spacing w:val="-13"/>
        </w:rPr>
        <w:t xml:space="preserve"> </w:t>
      </w:r>
      <w:r>
        <w:rPr>
          <w:spacing w:val="12"/>
        </w:rPr>
        <w:t>15%。乡</w:t>
      </w:r>
      <w:r>
        <w:rPr>
          <w:spacing w:val="7"/>
        </w:rPr>
        <w:t>镇和街道编制实行总额管理，乡镇核定行政编</w:t>
      </w:r>
      <w:r>
        <w:rPr>
          <w:spacing w:val="9"/>
        </w:rPr>
        <w:t>制和事业编制平均不少于</w:t>
      </w:r>
      <w:r>
        <w:rPr>
          <w:spacing w:val="-38"/>
        </w:rPr>
        <w:t xml:space="preserve"> </w:t>
      </w:r>
      <w:r>
        <w:rPr>
          <w:spacing w:val="9"/>
        </w:rPr>
        <w:t>55</w:t>
      </w:r>
      <w:r>
        <w:rPr>
          <w:spacing w:val="-38"/>
        </w:rPr>
        <w:t xml:space="preserve"> </w:t>
      </w:r>
      <w:r>
        <w:rPr>
          <w:spacing w:val="9"/>
        </w:rPr>
        <w:t>名</w:t>
      </w:r>
      <w:r>
        <w:rPr>
          <w:spacing w:val="-58"/>
        </w:rPr>
        <w:t xml:space="preserve"> </w:t>
      </w:r>
      <w:r>
        <w:rPr>
          <w:spacing w:val="9"/>
        </w:rPr>
        <w:t>，街道核定行</w:t>
      </w:r>
      <w:r>
        <w:rPr>
          <w:spacing w:val="11"/>
        </w:rPr>
        <w:t>政编制和事业编制平均不少于</w:t>
      </w:r>
      <w:r>
        <w:rPr>
          <w:spacing w:val="-35"/>
        </w:rPr>
        <w:t xml:space="preserve"> </w:t>
      </w:r>
      <w:r>
        <w:rPr>
          <w:spacing w:val="11"/>
        </w:rPr>
        <w:t>28</w:t>
      </w:r>
      <w:r>
        <w:rPr>
          <w:spacing w:val="-37"/>
        </w:rPr>
        <w:t xml:space="preserve"> </w:t>
      </w:r>
      <w:r>
        <w:rPr>
          <w:spacing w:val="11"/>
        </w:rPr>
        <w:t>名。区委编</w:t>
      </w:r>
      <w:r>
        <w:rPr>
          <w:spacing w:val="7"/>
        </w:rPr>
        <w:t>委可根据工作需要，在乡镇和街道之间统筹调</w:t>
      </w:r>
      <w:r>
        <w:rPr>
          <w:spacing w:val="7"/>
        </w:rPr>
        <w:t>剂使用各类编制资源，实行动态管理，上级部</w:t>
      </w:r>
      <w:r>
        <w:rPr>
          <w:spacing w:val="7"/>
        </w:rPr>
        <w:t>门不得挤占挪用乡镇和街道编制。建立用编用</w:t>
      </w:r>
      <w:r>
        <w:rPr>
          <w:spacing w:val="7"/>
        </w:rPr>
        <w:t>人计划优先保障空编乡镇和街道机制，根据基</w:t>
      </w:r>
      <w:r>
        <w:rPr>
          <w:spacing w:val="15"/>
        </w:rPr>
        <w:t>层需要及时补充人员</w:t>
      </w:r>
      <w:r>
        <w:rPr>
          <w:spacing w:val="-39"/>
        </w:rPr>
        <w:t xml:space="preserve"> </w:t>
      </w:r>
      <w:r>
        <w:rPr>
          <w:spacing w:val="15"/>
        </w:rPr>
        <w:t>，提高编制资源使用效</w:t>
      </w:r>
      <w:r>
        <w:rPr>
          <w:spacing w:val="7"/>
        </w:rPr>
        <w:t>益。制定《原州区乡镇和街道条线辅助人员管</w:t>
      </w:r>
      <w:r>
        <w:rPr>
          <w:spacing w:val="7"/>
        </w:rPr>
        <w:t>理办法》，整合条线辅助人员，按照属地化管</w:t>
      </w:r>
      <w:r>
        <w:rPr>
          <w:spacing w:val="7"/>
        </w:rPr>
        <w:t>理原则，由乡镇和街道统筹指挥调配。赋予乡</w:t>
      </w:r>
      <w:r>
        <w:rPr>
          <w:spacing w:val="7"/>
        </w:rPr>
        <w:t>镇和街道更加灵活的用人自主权，在编制与人</w:t>
      </w:r>
      <w:r>
        <w:rPr>
          <w:spacing w:val="7"/>
        </w:rPr>
        <w:t>员一一对应关系的基础上，可根据工作需要和</w:t>
      </w:r>
      <w:r>
        <w:rPr>
          <w:spacing w:val="7"/>
        </w:rPr>
        <w:t>人尽其才的原则，统筹使用行政事业人员，事</w:t>
      </w:r>
      <w:r>
        <w:rPr>
          <w:spacing w:val="9"/>
        </w:rPr>
        <w:t>业单位主要负责人可按副科级配备。</w:t>
      </w:r>
    </w:p>
    <w:p>
      <w:pPr>
        <w:pStyle w:val="BodyText"/>
        <w:ind w:right="36" w:firstLine="440"/>
        <w:spacing w:before="157" w:line="351" w:lineRule="auto"/>
        <w:rPr/>
      </w:pPr>
      <w:r>
        <w:rPr/>
        <w:t>13.强化事权保障。投放基层的公共服务资</w:t>
      </w:r>
      <w:r>
        <w:rPr>
          <w:spacing w:val="7"/>
        </w:rPr>
        <w:t>源，以乡镇和街道、村（社区）党组织为主渠</w:t>
      </w:r>
      <w:r>
        <w:rPr/>
        <w:t>道落实。坚持重心下移、力量下沉、保障下倾，</w:t>
      </w:r>
      <w:r>
        <w:rPr>
          <w:spacing w:val="7"/>
        </w:rPr>
        <w:t>加强下放给乡镇和街道事权的人才、技术、资</w:t>
      </w:r>
      <w:r>
        <w:rPr>
          <w:spacing w:val="10"/>
        </w:rPr>
        <w:t>金、网络端口等方面的保障，做到权随事转、</w:t>
      </w:r>
      <w:r>
        <w:rPr>
          <w:spacing w:val="10"/>
        </w:rPr>
        <w:t>人随事转、钱随事转，使基层有人有物有权，</w:t>
      </w:r>
      <w:r>
        <w:rPr>
          <w:spacing w:val="7"/>
        </w:rPr>
        <w:t>保证基层事情基层办、基层权力给基层、基层</w:t>
      </w:r>
      <w:r>
        <w:rPr>
          <w:spacing w:val="7"/>
        </w:rPr>
        <w:t>事情有人办。</w:t>
      </w:r>
    </w:p>
    <w:p>
      <w:pPr>
        <w:spacing w:line="351" w:lineRule="auto"/>
        <w:sectPr>
          <w:type w:val="continuous"/>
          <w:pgSz w:w="11906" w:h="16839"/>
          <w:pgMar w:top="1793" w:right="1489" w:bottom="1673" w:left="1565" w:header="1428" w:footer="1277" w:gutter="0"/>
          <w:cols w:equalWidth="0" w:num="2">
            <w:col w:w="4504" w:space="100"/>
            <w:col w:w="4249" w:space="0"/>
          </w:cols>
        </w:sectPr>
        <w:rPr/>
      </w:pPr>
    </w:p>
    <w:p>
      <w:pPr>
        <w:spacing w:before="27"/>
        <w:rPr/>
      </w:pPr>
      <w:r>
        <w:drawing>
          <wp:anchor distT="0" distB="0" distL="0" distR="0" simplePos="0" relativeHeight="251887616"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644" name="IM 644"/>
            <wp:cNvGraphicFramePr/>
            <a:graphic>
              <a:graphicData uri="http://schemas.openxmlformats.org/drawingml/2006/picture">
                <pic:pic>
                  <pic:nvPicPr>
                    <pic:cNvPr id="644" name="IM 644"/>
                    <pic:cNvPicPr/>
                  </pic:nvPicPr>
                  <pic:blipFill>
                    <a:blip r:embed="rId324"/>
                    <a:stretch>
                      <a:fillRect/>
                    </a:stretch>
                  </pic:blipFill>
                  <pic:spPr>
                    <a:xfrm rot="0">
                      <a:off x="0" y="0"/>
                      <a:ext cx="5579745" cy="7620"/>
                    </a:xfrm>
                    <a:prstGeom prst="rect">
                      <a:avLst/>
                    </a:prstGeom>
                  </pic:spPr>
                </pic:pic>
              </a:graphicData>
            </a:graphic>
          </wp:anchor>
        </w:drawing>
      </w:r>
      <w:r/>
    </w:p>
    <w:p>
      <w:pPr>
        <w:sectPr>
          <w:headerReference w:type="default" r:id="rId322"/>
          <w:footerReference w:type="default" r:id="rId323"/>
          <w:pgSz w:w="11906" w:h="16839"/>
          <w:pgMar w:top="1766" w:right="1385" w:bottom="1570" w:left="1576" w:header="1428" w:footer="1172" w:gutter="0"/>
          <w:cols w:equalWidth="0" w:num="1">
            <w:col w:w="8945" w:space="0"/>
          </w:cols>
        </w:sectPr>
        <w:rPr/>
      </w:pPr>
    </w:p>
    <w:p>
      <w:pPr>
        <w:pStyle w:val="BodyText"/>
        <w:ind w:left="15" w:right="306" w:firstLine="439"/>
        <w:spacing w:before="49" w:line="367" w:lineRule="auto"/>
        <w:jc w:val="both"/>
        <w:rPr/>
      </w:pPr>
      <w:r>
        <w:rPr/>
        <w:t>14.完善激励保障机制。全面落实乡镇和街</w:t>
      </w:r>
      <w:r>
        <w:rPr>
          <w:spacing w:val="7"/>
        </w:rPr>
        <w:t>道工作人员各项待遇政策，并向条件艰苦的偏</w:t>
      </w:r>
      <w:r>
        <w:rPr>
          <w:spacing w:val="7"/>
        </w:rPr>
        <w:t>远乡镇和长期在乡镇工作的人员倾斜。乡镇和</w:t>
      </w:r>
      <w:r>
        <w:rPr>
          <w:spacing w:val="11"/>
        </w:rPr>
        <w:t>街道年度考核优秀比例提高到20%，工作成绩</w:t>
      </w:r>
      <w:r>
        <w:rPr>
          <w:spacing w:val="15"/>
        </w:rPr>
        <w:t>突出的可提高到25%—35%。落实乡镇工作补</w:t>
      </w:r>
      <w:r>
        <w:rPr>
          <w:spacing w:val="7"/>
        </w:rPr>
        <w:t>贴政策，确保乡镇机关事业单位工作人员收入</w:t>
      </w:r>
      <w:r>
        <w:rPr>
          <w:spacing w:val="11"/>
        </w:rPr>
        <w:t>高于区直机关事业单位同职级人员20%，进一</w:t>
      </w:r>
      <w:r>
        <w:rPr>
          <w:spacing w:val="8"/>
        </w:rPr>
        <w:t>步调动基层干部队伍积极性，激励担当作为、</w:t>
      </w:r>
      <w:r>
        <w:rPr>
          <w:spacing w:val="6"/>
        </w:rPr>
        <w:t>干事创业。</w:t>
      </w:r>
    </w:p>
    <w:p>
      <w:pPr>
        <w:ind w:left="428"/>
        <w:spacing w:before="20" w:line="241" w:lineRule="auto"/>
        <w:rPr>
          <w:rFonts w:ascii="KaiTi" w:hAnsi="KaiTi" w:eastAsia="KaiTi" w:cs="KaiTi"/>
          <w:sz w:val="20"/>
          <w:szCs w:val="20"/>
        </w:rPr>
      </w:pPr>
      <w:r>
        <w:rPr>
          <w:rFonts w:ascii="KaiTi" w:hAnsi="KaiTi" w:eastAsia="KaiTi" w:cs="KaiTi"/>
          <w:sz w:val="20"/>
          <w:szCs w:val="20"/>
          <w:b/>
          <w:bCs/>
          <w:spacing w:val="5"/>
        </w:rPr>
        <w:t>（</w:t>
      </w:r>
      <w:r>
        <w:rPr>
          <w:rFonts w:ascii="KaiTi" w:hAnsi="KaiTi" w:eastAsia="KaiTi" w:cs="KaiTi"/>
          <w:sz w:val="20"/>
          <w:szCs w:val="20"/>
          <w:spacing w:val="-37"/>
        </w:rPr>
        <w:t xml:space="preserve"> </w:t>
      </w:r>
      <w:r>
        <w:rPr>
          <w:rFonts w:ascii="KaiTi" w:hAnsi="KaiTi" w:eastAsia="KaiTi" w:cs="KaiTi"/>
          <w:sz w:val="20"/>
          <w:szCs w:val="20"/>
          <w:b/>
          <w:bCs/>
          <w:spacing w:val="5"/>
        </w:rPr>
        <w:t>六）优化上级机关对基层的领导方式</w:t>
      </w:r>
    </w:p>
    <w:p>
      <w:pPr>
        <w:pStyle w:val="BodyText"/>
        <w:ind w:right="265" w:firstLine="455"/>
        <w:spacing w:before="142" w:line="354" w:lineRule="auto"/>
        <w:rPr/>
      </w:pPr>
      <w:r>
        <w:rPr/>
        <w:t>15.规范“属地管理”。建立区乡“属地管</w:t>
      </w:r>
      <w:r>
        <w:rPr>
          <w:spacing w:val="8"/>
        </w:rPr>
        <w:t>理”事项主体责任和配合责任清单制度，根据</w:t>
      </w:r>
      <w:r>
        <w:rPr>
          <w:spacing w:val="8"/>
        </w:rPr>
        <w:t>《固原市县乡“属地管理”事项主体责任和配</w:t>
      </w:r>
      <w:r>
        <w:rPr>
          <w:spacing w:val="8"/>
        </w:rPr>
        <w:t>合责任清单》，在自然资源、生态环境、城乡</w:t>
      </w:r>
      <w:r>
        <w:rPr>
          <w:spacing w:val="1"/>
        </w:rPr>
        <w:t>建设、应急管理、市场监管、综合执法等方面，</w:t>
      </w:r>
      <w:r>
        <w:rPr>
          <w:spacing w:val="11"/>
        </w:rPr>
        <w:t>合理划分区乡权责边界，健全区乡联动机制。</w:t>
      </w:r>
      <w:r>
        <w:rPr>
          <w:spacing w:val="8"/>
        </w:rPr>
        <w:t>探索建立乡镇和街道职责准入制度，区直职能</w:t>
      </w:r>
      <w:r>
        <w:rPr>
          <w:spacing w:val="19"/>
        </w:rPr>
        <w:t>部门将职责范围内的行政事务委托或交由乡</w:t>
      </w:r>
      <w:r>
        <w:rPr>
          <w:spacing w:val="8"/>
        </w:rPr>
        <w:t>镇和街道承担的，需按规定审核报批并充分听</w:t>
      </w:r>
      <w:r>
        <w:rPr>
          <w:spacing w:val="10"/>
        </w:rPr>
        <w:t>取基层意见。</w:t>
      </w:r>
    </w:p>
    <w:p>
      <w:pPr>
        <w:pStyle w:val="BodyText"/>
        <w:ind w:left="8" w:right="306" w:firstLine="447"/>
        <w:spacing w:before="161" w:line="356" w:lineRule="auto"/>
        <w:rPr/>
      </w:pPr>
      <w:r>
        <w:rPr/>
        <w:t>16.推进基层减负增效。组织对上级与乡镇</w:t>
      </w:r>
      <w:r>
        <w:rPr>
          <w:spacing w:val="7"/>
        </w:rPr>
        <w:t>和街道签订的各类“责任状”和考核评比等事</w:t>
      </w:r>
      <w:r>
        <w:rPr>
          <w:spacing w:val="7"/>
        </w:rPr>
        <w:t>项进行全面清理，统一规范针对乡镇和街道的</w:t>
      </w:r>
      <w:r>
        <w:rPr>
          <w:spacing w:val="7"/>
        </w:rPr>
        <w:t>评比达标、示范创建等活动，切实减轻基层负</w:t>
      </w:r>
      <w:r>
        <w:rPr>
          <w:spacing w:val="7"/>
        </w:rPr>
        <w:t>担。除中央和自治区党委明确要求外，各部门</w:t>
      </w:r>
      <w:r>
        <w:rPr>
          <w:spacing w:val="18"/>
        </w:rPr>
        <w:t>（单位）不得以任何形式对乡镇和街道设置</w:t>
      </w:r>
      <w:r>
        <w:rPr>
          <w:spacing w:val="8"/>
        </w:rPr>
        <w:t>“一票否决”事项，不得以签订“责任状”、</w:t>
      </w:r>
      <w:r>
        <w:rPr>
          <w:spacing w:val="7"/>
        </w:rPr>
        <w:t>分解下达指标、考核验收等方式，将工作责任</w:t>
      </w:r>
      <w:r>
        <w:rPr>
          <w:spacing w:val="7"/>
        </w:rPr>
        <w:t>转嫁乡镇和街道承担。对不符合基层实际和发</w:t>
      </w:r>
      <w:r>
        <w:rPr>
          <w:spacing w:val="8"/>
        </w:rPr>
        <w:t>展需要的政策规定要及时清理、修订、完善，</w:t>
      </w:r>
      <w:r>
        <w:rPr>
          <w:spacing w:val="9"/>
        </w:rPr>
        <w:t>为基层改革创新提供制度支持。</w:t>
      </w:r>
    </w:p>
    <w:p>
      <w:pPr>
        <w:ind w:left="448"/>
        <w:spacing w:before="167" w:line="196"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position w:val="-1"/>
        </w:rPr>
        <w:t>三、组织实施</w:t>
      </w:r>
    </w:p>
    <w:p>
      <w:pPr>
        <w:spacing w:line="14" w:lineRule="auto"/>
        <w:rPr>
          <w:rFonts w:ascii="Arial"/>
          <w:sz w:val="2"/>
        </w:rPr>
      </w:pPr>
      <w:r>
        <w:rPr>
          <w:rFonts w:ascii="Arial" w:hAnsi="Arial" w:eastAsia="Arial" w:cs="Arial"/>
          <w:sz w:val="2"/>
          <w:szCs w:val="2"/>
        </w:rPr>
        <w:br w:type="column"/>
      </w:r>
    </w:p>
    <w:p>
      <w:pPr>
        <w:pStyle w:val="BodyText"/>
        <w:ind w:firstLine="412"/>
        <w:spacing w:before="49" w:line="357" w:lineRule="auto"/>
        <w:rPr/>
      </w:pPr>
      <w:r>
        <w:rPr>
          <w:rFonts w:ascii="KaiTi" w:hAnsi="KaiTi" w:eastAsia="KaiTi" w:cs="KaiTi"/>
          <w:b/>
          <w:bCs/>
          <w:spacing w:val="4"/>
        </w:rPr>
        <w:t>（一）加强组织领导。</w:t>
      </w:r>
      <w:r>
        <w:rPr>
          <w:spacing w:val="4"/>
        </w:rPr>
        <w:t>各级党委（党组）、</w:t>
      </w:r>
      <w:r>
        <w:rPr>
          <w:spacing w:val="7"/>
        </w:rPr>
        <w:t>政府要切实履行主体责任，践行以人民为中心</w:t>
      </w:r>
      <w:r>
        <w:rPr>
          <w:spacing w:val="1"/>
        </w:rPr>
        <w:t xml:space="preserve"> </w:t>
      </w:r>
      <w:r>
        <w:rPr>
          <w:spacing w:val="7"/>
        </w:rPr>
        <w:t>的发展思路，全面贯彻“先立后破、不立不破”</w:t>
      </w:r>
      <w:r>
        <w:rPr>
          <w:spacing w:val="7"/>
        </w:rPr>
        <w:t>原则，把推进基层整合审批服务执法力量改革</w:t>
      </w:r>
      <w:r>
        <w:rPr>
          <w:spacing w:val="1"/>
        </w:rPr>
        <w:t xml:space="preserve"> </w:t>
      </w:r>
      <w:r>
        <w:rPr>
          <w:spacing w:val="7"/>
        </w:rPr>
        <w:t>纳入重要议事日程。成立原州区推进基层整合</w:t>
      </w:r>
      <w:r>
        <w:rPr>
          <w:spacing w:val="1"/>
        </w:rPr>
        <w:t xml:space="preserve"> </w:t>
      </w:r>
      <w:r>
        <w:rPr>
          <w:spacing w:val="7"/>
        </w:rPr>
        <w:t>审批服务执法力量改革工作领导小组，具体负</w:t>
      </w:r>
      <w:r>
        <w:rPr>
          <w:spacing w:val="17"/>
        </w:rPr>
        <w:t>责改革的组织实施工作。建立健全工作协调</w:t>
      </w:r>
      <w:r>
        <w:rPr>
          <w:spacing w:val="5"/>
        </w:rPr>
        <w:t xml:space="preserve"> </w:t>
      </w:r>
      <w:r>
        <w:rPr>
          <w:spacing w:val="15"/>
        </w:rPr>
        <w:t>和督促机制</w:t>
      </w:r>
      <w:r>
        <w:rPr>
          <w:spacing w:val="-43"/>
        </w:rPr>
        <w:t xml:space="preserve"> </w:t>
      </w:r>
      <w:r>
        <w:rPr>
          <w:spacing w:val="15"/>
        </w:rPr>
        <w:t>，及时了解和掌握改革工作进展</w:t>
      </w:r>
      <w:r>
        <w:rPr>
          <w:spacing w:val="15"/>
        </w:rPr>
        <w:t>情况</w:t>
      </w:r>
      <w:r>
        <w:rPr>
          <w:spacing w:val="-43"/>
        </w:rPr>
        <w:t xml:space="preserve"> </w:t>
      </w:r>
      <w:r>
        <w:rPr>
          <w:spacing w:val="15"/>
        </w:rPr>
        <w:t>，研究解决改革过程中出现的困难和问</w:t>
      </w:r>
      <w:r>
        <w:rPr>
          <w:spacing w:val="15"/>
        </w:rPr>
        <w:t>题</w:t>
      </w:r>
      <w:r>
        <w:rPr>
          <w:spacing w:val="-43"/>
        </w:rPr>
        <w:t xml:space="preserve"> </w:t>
      </w:r>
      <w:r>
        <w:rPr>
          <w:spacing w:val="15"/>
        </w:rPr>
        <w:t>，督促区直部门和各乡镇、街道按进度推</w:t>
      </w:r>
      <w:r>
        <w:rPr>
          <w:spacing w:val="15"/>
        </w:rPr>
        <w:t>进各项改革任务落实</w:t>
      </w:r>
      <w:r>
        <w:rPr>
          <w:spacing w:val="-43"/>
        </w:rPr>
        <w:t xml:space="preserve"> </w:t>
      </w:r>
      <w:r>
        <w:rPr>
          <w:spacing w:val="15"/>
        </w:rPr>
        <w:t>，确保按时高质量完成</w:t>
      </w:r>
      <w:r>
        <w:rPr/>
        <w:t xml:space="preserve"> </w:t>
      </w:r>
      <w:r>
        <w:rPr>
          <w:spacing w:val="9"/>
        </w:rPr>
        <w:t>改革工作。</w:t>
      </w:r>
    </w:p>
    <w:p>
      <w:pPr>
        <w:pStyle w:val="BodyText"/>
        <w:ind w:right="165" w:firstLine="412"/>
        <w:spacing w:before="156" w:line="353" w:lineRule="auto"/>
        <w:rPr/>
      </w:pPr>
      <w:r>
        <w:rPr>
          <w:rFonts w:ascii="KaiTi" w:hAnsi="KaiTi" w:eastAsia="KaiTi" w:cs="KaiTi"/>
          <w:b/>
          <w:bCs/>
          <w:spacing w:val="5"/>
        </w:rPr>
        <w:t>（</w:t>
      </w:r>
      <w:r>
        <w:rPr>
          <w:rFonts w:ascii="KaiTi" w:hAnsi="KaiTi" w:eastAsia="KaiTi" w:cs="KaiTi"/>
          <w:spacing w:val="-38"/>
        </w:rPr>
        <w:t xml:space="preserve"> </w:t>
      </w:r>
      <w:r>
        <w:rPr>
          <w:rFonts w:ascii="KaiTi" w:hAnsi="KaiTi" w:eastAsia="KaiTi" w:cs="KaiTi"/>
          <w:b/>
          <w:bCs/>
          <w:spacing w:val="5"/>
        </w:rPr>
        <w:t>二）稳妥有序推进。</w:t>
      </w:r>
      <w:r>
        <w:rPr>
          <w:spacing w:val="5"/>
        </w:rPr>
        <w:t>有组织、有步骤、</w:t>
      </w:r>
      <w:r>
        <w:rPr>
          <w:spacing w:val="7"/>
        </w:rPr>
        <w:t>有纪律的推进改革，把思想政治工作贯穿改革</w:t>
      </w:r>
      <w:r>
        <w:rPr>
          <w:spacing w:val="7"/>
        </w:rPr>
        <w:t>全过程，把握好改革发展稳定关系，确保思想</w:t>
      </w:r>
      <w:r>
        <w:rPr>
          <w:spacing w:val="7"/>
        </w:rPr>
        <w:t>不乱、工作不断、队伍不散、干劲不减，保证</w:t>
      </w:r>
      <w:r>
        <w:rPr>
          <w:spacing w:val="6"/>
        </w:rPr>
        <w:t>改革期间各项工作连续稳定。2021年</w:t>
      </w:r>
      <w:r>
        <w:rPr>
          <w:spacing w:val="-42"/>
        </w:rPr>
        <w:t xml:space="preserve"> </w:t>
      </w:r>
      <w:r>
        <w:rPr>
          <w:spacing w:val="6"/>
        </w:rPr>
        <w:t>4</w:t>
      </w:r>
      <w:r>
        <w:rPr>
          <w:spacing w:val="-41"/>
        </w:rPr>
        <w:t xml:space="preserve"> </w:t>
      </w:r>
      <w:r>
        <w:rPr>
          <w:spacing w:val="6"/>
        </w:rPr>
        <w:t>月</w:t>
      </w:r>
      <w:r>
        <w:rPr>
          <w:spacing w:val="5"/>
        </w:rPr>
        <w:t>底前</w:t>
      </w:r>
      <w:r>
        <w:rPr>
          <w:spacing w:val="18"/>
        </w:rPr>
        <w:t>完成统筹优化乡镇和街道机构设置的相关工</w:t>
      </w:r>
      <w:r>
        <w:rPr>
          <w:spacing w:val="9"/>
        </w:rPr>
        <w:t>作，2021年</w:t>
      </w:r>
      <w:r>
        <w:rPr>
          <w:spacing w:val="-32"/>
        </w:rPr>
        <w:t xml:space="preserve"> </w:t>
      </w:r>
      <w:r>
        <w:rPr>
          <w:spacing w:val="9"/>
        </w:rPr>
        <w:t>6</w:t>
      </w:r>
      <w:r>
        <w:rPr>
          <w:spacing w:val="-38"/>
        </w:rPr>
        <w:t xml:space="preserve"> </w:t>
      </w:r>
      <w:r>
        <w:rPr>
          <w:spacing w:val="9"/>
        </w:rPr>
        <w:t>月底前全面完成改革。</w:t>
      </w:r>
    </w:p>
    <w:p>
      <w:pPr>
        <w:pStyle w:val="BodyText"/>
        <w:ind w:right="141" w:firstLine="413"/>
        <w:spacing w:before="125" w:line="348" w:lineRule="auto"/>
        <w:rPr/>
      </w:pPr>
      <w:r>
        <w:rPr>
          <w:rFonts w:ascii="KaiTi" w:hAnsi="KaiTi" w:eastAsia="KaiTi" w:cs="KaiTi"/>
          <w:b/>
          <w:bCs/>
          <w:spacing w:val="3"/>
        </w:rPr>
        <w:t>（</w:t>
      </w:r>
      <w:r>
        <w:rPr>
          <w:rFonts w:ascii="KaiTi" w:hAnsi="KaiTi" w:eastAsia="KaiTi" w:cs="KaiTi"/>
          <w:spacing w:val="-35"/>
        </w:rPr>
        <w:t xml:space="preserve"> </w:t>
      </w:r>
      <w:r>
        <w:rPr>
          <w:rFonts w:ascii="KaiTi" w:hAnsi="KaiTi" w:eastAsia="KaiTi" w:cs="KaiTi"/>
          <w:b/>
          <w:bCs/>
          <w:spacing w:val="3"/>
        </w:rPr>
        <w:t>三）严肃改革纪律。</w:t>
      </w:r>
      <w:r>
        <w:rPr>
          <w:spacing w:val="3"/>
        </w:rPr>
        <w:t>严格执行各项政治</w:t>
      </w:r>
      <w:r>
        <w:rPr>
          <w:spacing w:val="7"/>
        </w:rPr>
        <w:t>纪律、组织纪律、机构编制纪律、干部人事纪</w:t>
      </w:r>
      <w:r>
        <w:rPr/>
        <w:t>律、财经纪律、保密纪律、坚决做到令行禁止，</w:t>
      </w:r>
      <w:r>
        <w:rPr>
          <w:spacing w:val="7"/>
        </w:rPr>
        <w:t>严肃查处改革过程中的违规违纪问题。涉改单</w:t>
      </w:r>
      <w:r>
        <w:rPr>
          <w:spacing w:val="7"/>
        </w:rPr>
        <w:t>位要服从大局，确保机构、职责、队伍等按要</w:t>
      </w:r>
      <w:r>
        <w:rPr>
          <w:spacing w:val="10"/>
        </w:rPr>
        <w:t>求、按时限及时调整到位，不允许迟滞拖延、</w:t>
      </w:r>
      <w:r>
        <w:rPr>
          <w:spacing w:val="9"/>
        </w:rPr>
        <w:t>不允许搞变通、不允许突击提拔和调整干部。</w:t>
      </w:r>
    </w:p>
    <w:p>
      <w:pPr>
        <w:pStyle w:val="BodyText"/>
        <w:ind w:right="198" w:firstLine="412"/>
        <w:spacing w:before="161" w:line="333" w:lineRule="auto"/>
        <w:rPr/>
      </w:pPr>
      <w:r>
        <w:rPr>
          <w:rFonts w:ascii="KaiTi" w:hAnsi="KaiTi" w:eastAsia="KaiTi" w:cs="KaiTi"/>
          <w:b/>
          <w:bCs/>
          <w:spacing w:val="3"/>
        </w:rPr>
        <w:t>（</w:t>
      </w:r>
      <w:r>
        <w:rPr>
          <w:rFonts w:ascii="KaiTi" w:hAnsi="KaiTi" w:eastAsia="KaiTi" w:cs="KaiTi"/>
          <w:spacing w:val="-35"/>
        </w:rPr>
        <w:t xml:space="preserve"> </w:t>
      </w:r>
      <w:r>
        <w:rPr>
          <w:rFonts w:ascii="KaiTi" w:hAnsi="KaiTi" w:eastAsia="KaiTi" w:cs="KaiTi"/>
          <w:b/>
          <w:bCs/>
          <w:spacing w:val="3"/>
        </w:rPr>
        <w:t>四）加强舆论宣传。</w:t>
      </w:r>
      <w:r>
        <w:rPr>
          <w:spacing w:val="3"/>
        </w:rPr>
        <w:t>注重典型引路，引</w:t>
      </w:r>
      <w:r>
        <w:rPr>
          <w:spacing w:val="7"/>
        </w:rPr>
        <w:t>导基层党员干部群众理解、支持和参与改革，</w:t>
      </w:r>
      <w:r>
        <w:rPr>
          <w:spacing w:val="15"/>
        </w:rPr>
        <w:t>打消干部职工的顾虑</w:t>
      </w:r>
      <w:r>
        <w:rPr>
          <w:spacing w:val="-40"/>
        </w:rPr>
        <w:t xml:space="preserve"> </w:t>
      </w:r>
      <w:r>
        <w:rPr>
          <w:spacing w:val="15"/>
        </w:rPr>
        <w:t>，激发基层干事创业热</w:t>
      </w:r>
      <w:r>
        <w:rPr>
          <w:spacing w:val="8"/>
        </w:rPr>
        <w:t>情，营造良好改革氛围。</w:t>
      </w:r>
    </w:p>
    <w:p>
      <w:pPr>
        <w:pStyle w:val="BodyText"/>
        <w:ind w:left="1" w:right="205" w:firstLine="432"/>
        <w:spacing w:before="153" w:line="280" w:lineRule="auto"/>
        <w:rPr/>
      </w:pPr>
      <w:r>
        <w:rPr>
          <w:spacing w:val="6"/>
        </w:rPr>
        <w:t>附件：原州区推进基层整合审批服务执法</w:t>
      </w:r>
      <w:r>
        <w:rPr>
          <w:spacing w:val="9"/>
        </w:rPr>
        <w:t>力量工作任务清单</w:t>
      </w:r>
    </w:p>
    <w:p>
      <w:pPr>
        <w:spacing w:line="280" w:lineRule="auto"/>
        <w:sectPr>
          <w:type w:val="continuous"/>
          <w:pgSz w:w="11906" w:h="16839"/>
          <w:pgMar w:top="1766" w:right="1385" w:bottom="1570" w:left="1576" w:header="1428" w:footer="1172" w:gutter="0"/>
          <w:cols w:equalWidth="0" w:num="2">
            <w:col w:w="4492" w:space="100"/>
            <w:col w:w="4353" w:space="0"/>
          </w:cols>
        </w:sectPr>
        <w:rPr/>
      </w:pPr>
    </w:p>
    <w:p>
      <w:pPr>
        <w:pStyle w:val="BodyText"/>
        <w:ind w:left="1897"/>
        <w:spacing w:before="192" w:line="220" w:lineRule="auto"/>
        <w:rPr>
          <w:sz w:val="43"/>
          <w:szCs w:val="43"/>
        </w:rPr>
      </w:pPr>
      <w:r>
        <w:drawing>
          <wp:anchor distT="0" distB="0" distL="0" distR="0" simplePos="0" relativeHeight="251889664"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648" name="IM 648"/>
            <wp:cNvGraphicFramePr/>
            <a:graphic>
              <a:graphicData uri="http://schemas.openxmlformats.org/drawingml/2006/picture">
                <pic:pic>
                  <pic:nvPicPr>
                    <pic:cNvPr id="648" name="IM 648"/>
                    <pic:cNvPicPr/>
                  </pic:nvPicPr>
                  <pic:blipFill>
                    <a:blip r:embed="rId326"/>
                    <a:stretch>
                      <a:fillRect/>
                    </a:stretch>
                  </pic:blipFill>
                  <pic:spPr>
                    <a:xfrm rot="0">
                      <a:off x="0" y="0"/>
                      <a:ext cx="8712200" cy="7620"/>
                    </a:xfrm>
                    <a:prstGeom prst="rect">
                      <a:avLst/>
                    </a:prstGeom>
                  </pic:spPr>
                </pic:pic>
              </a:graphicData>
            </a:graphic>
          </wp:anchor>
        </w:drawing>
      </w:r>
      <w:r>
        <w:drawing>
          <wp:anchor distT="0" distB="0" distL="0" distR="0" simplePos="0" relativeHeight="251890688" behindDoc="0" locked="0" layoutInCell="1" allowOverlap="1">
            <wp:simplePos x="0" y="0"/>
            <wp:positionH relativeFrom="column">
              <wp:posOffset>58801</wp:posOffset>
            </wp:positionH>
            <wp:positionV relativeFrom="paragraph">
              <wp:posOffset>5358868</wp:posOffset>
            </wp:positionV>
            <wp:extent cx="8712200" cy="7620"/>
            <wp:effectExtent l="0" t="0" r="0" b="0"/>
            <wp:wrapNone/>
            <wp:docPr id="650" name="IM 650"/>
            <wp:cNvGraphicFramePr/>
            <a:graphic>
              <a:graphicData uri="http://schemas.openxmlformats.org/drawingml/2006/picture">
                <pic:pic>
                  <pic:nvPicPr>
                    <pic:cNvPr id="650" name="IM 650"/>
                    <pic:cNvPicPr/>
                  </pic:nvPicPr>
                  <pic:blipFill>
                    <a:blip r:embed="rId327"/>
                    <a:stretch>
                      <a:fillRect/>
                    </a:stretch>
                  </pic:blipFill>
                  <pic:spPr>
                    <a:xfrm rot="0">
                      <a:off x="0" y="0"/>
                      <a:ext cx="8712200" cy="7620"/>
                    </a:xfrm>
                    <a:prstGeom prst="rect">
                      <a:avLst/>
                    </a:prstGeom>
                  </pic:spPr>
                </pic:pic>
              </a:graphicData>
            </a:graphic>
          </wp:anchor>
        </w:drawing>
      </w:r>
      <w:r>
        <w:rPr>
          <w:sz w:val="43"/>
          <w:szCs w:val="43"/>
          <w:b/>
          <w:bCs/>
          <w:spacing w:val="5"/>
        </w:rPr>
        <w:t>原州区推进基层整合审批服务执法力量工作任务</w:t>
      </w:r>
      <w:r>
        <w:rPr>
          <w:sz w:val="43"/>
          <w:szCs w:val="43"/>
          <w:b/>
          <w:bCs/>
          <w:spacing w:val="4"/>
        </w:rPr>
        <w:t>清单</w:t>
      </w:r>
    </w:p>
    <w:tbl>
      <w:tblPr>
        <w:tblStyle w:val="TableNormal"/>
        <w:tblW w:w="13887"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439"/>
        <w:gridCol w:w="5355"/>
        <w:gridCol w:w="3035"/>
        <w:gridCol w:w="833"/>
        <w:gridCol w:w="1132"/>
        <w:gridCol w:w="1509"/>
      </w:tblGrid>
      <w:tr>
        <w:trPr>
          <w:trHeight w:val="538" w:hRule="atLeast"/>
        </w:trPr>
        <w:tc>
          <w:tcPr>
            <w:tcW w:w="584" w:type="dxa"/>
            <w:vAlign w:val="top"/>
            <w:tcBorders>
              <w:left w:val="single" w:color="000000" w:sz="6" w:space="0"/>
              <w:top w:val="single" w:color="000000" w:sz="6" w:space="0"/>
            </w:tcBorders>
          </w:tcPr>
          <w:p>
            <w:pPr>
              <w:pStyle w:val="TableText"/>
              <w:ind w:left="105"/>
              <w:spacing w:before="155" w:line="214" w:lineRule="auto"/>
              <w:rPr/>
            </w:pPr>
            <w:r>
              <w:rPr>
                <w:b/>
                <w:bCs/>
                <w:spacing w:val="-4"/>
              </w:rPr>
              <w:t>序号</w:t>
            </w:r>
          </w:p>
        </w:tc>
        <w:tc>
          <w:tcPr>
            <w:tcW w:w="1439" w:type="dxa"/>
            <w:vAlign w:val="top"/>
            <w:tcBorders>
              <w:top w:val="single" w:color="000000" w:sz="6" w:space="0"/>
            </w:tcBorders>
          </w:tcPr>
          <w:p>
            <w:pPr>
              <w:pStyle w:val="TableText"/>
              <w:ind w:left="358"/>
              <w:spacing w:before="155" w:line="213" w:lineRule="auto"/>
              <w:rPr/>
            </w:pPr>
            <w:r>
              <w:rPr>
                <w:b/>
                <w:bCs/>
                <w:spacing w:val="-4"/>
              </w:rPr>
              <w:t>主要任务</w:t>
            </w:r>
          </w:p>
        </w:tc>
        <w:tc>
          <w:tcPr>
            <w:tcW w:w="5355" w:type="dxa"/>
            <w:vAlign w:val="top"/>
            <w:tcBorders>
              <w:top w:val="single" w:color="000000" w:sz="6" w:space="0"/>
            </w:tcBorders>
          </w:tcPr>
          <w:p>
            <w:pPr>
              <w:pStyle w:val="TableText"/>
              <w:ind w:left="2315"/>
              <w:spacing w:before="157" w:line="211" w:lineRule="auto"/>
              <w:rPr/>
            </w:pPr>
            <w:r>
              <w:rPr>
                <w:b/>
                <w:bCs/>
                <w:spacing w:val="-3"/>
              </w:rPr>
              <w:t>推进措施</w:t>
            </w:r>
          </w:p>
        </w:tc>
        <w:tc>
          <w:tcPr>
            <w:tcW w:w="3035" w:type="dxa"/>
            <w:vAlign w:val="top"/>
            <w:tcBorders>
              <w:top w:val="single" w:color="000000" w:sz="6" w:space="0"/>
            </w:tcBorders>
          </w:tcPr>
          <w:p>
            <w:pPr>
              <w:pStyle w:val="TableText"/>
              <w:ind w:left="1161"/>
              <w:spacing w:before="157" w:line="211" w:lineRule="auto"/>
              <w:rPr/>
            </w:pPr>
            <w:r>
              <w:rPr>
                <w:b/>
                <w:bCs/>
                <w:spacing w:val="-4"/>
              </w:rPr>
              <w:t>预期目标</w:t>
            </w:r>
          </w:p>
        </w:tc>
        <w:tc>
          <w:tcPr>
            <w:tcW w:w="833" w:type="dxa"/>
            <w:vAlign w:val="top"/>
            <w:tcBorders>
              <w:top w:val="single" w:color="000000" w:sz="6" w:space="0"/>
            </w:tcBorders>
          </w:tcPr>
          <w:p>
            <w:pPr>
              <w:pStyle w:val="TableText"/>
              <w:ind w:left="62"/>
              <w:spacing w:before="155" w:line="213" w:lineRule="auto"/>
              <w:rPr/>
            </w:pPr>
            <w:r>
              <w:rPr>
                <w:b/>
                <w:bCs/>
                <w:spacing w:val="-3"/>
              </w:rPr>
              <w:t>责任领导</w:t>
            </w:r>
          </w:p>
        </w:tc>
        <w:tc>
          <w:tcPr>
            <w:tcW w:w="1132" w:type="dxa"/>
            <w:vAlign w:val="top"/>
            <w:tcBorders>
              <w:top w:val="single" w:color="000000" w:sz="6" w:space="0"/>
            </w:tcBorders>
          </w:tcPr>
          <w:p>
            <w:pPr>
              <w:pStyle w:val="TableText"/>
              <w:ind w:left="210"/>
              <w:spacing w:before="156" w:line="212" w:lineRule="auto"/>
              <w:rPr/>
            </w:pPr>
            <w:r>
              <w:rPr>
                <w:b/>
                <w:bCs/>
                <w:spacing w:val="-3"/>
              </w:rPr>
              <w:t>牵头单位</w:t>
            </w:r>
          </w:p>
        </w:tc>
        <w:tc>
          <w:tcPr>
            <w:tcW w:w="1509" w:type="dxa"/>
            <w:vAlign w:val="top"/>
            <w:tcBorders>
              <w:right w:val="single" w:color="000000" w:sz="6" w:space="0"/>
              <w:top w:val="single" w:color="000000" w:sz="6" w:space="0"/>
            </w:tcBorders>
          </w:tcPr>
          <w:p>
            <w:pPr>
              <w:pStyle w:val="TableText"/>
              <w:ind w:left="396"/>
              <w:spacing w:before="155" w:line="214" w:lineRule="auto"/>
              <w:rPr/>
            </w:pPr>
            <w:r>
              <w:rPr>
                <w:b/>
                <w:bCs/>
                <w:spacing w:val="-3"/>
              </w:rPr>
              <w:t>实施单位</w:t>
            </w:r>
          </w:p>
        </w:tc>
      </w:tr>
      <w:tr>
        <w:trPr>
          <w:trHeight w:val="2197" w:hRule="atLeast"/>
        </w:trPr>
        <w:tc>
          <w:tcPr>
            <w:tcW w:w="584" w:type="dxa"/>
            <w:vAlign w:val="top"/>
            <w:tcBorders>
              <w:left w:val="single" w:color="000000" w:sz="6" w:space="0"/>
            </w:tcBorders>
          </w:tcPr>
          <w:p>
            <w:pPr>
              <w:spacing w:line="306" w:lineRule="auto"/>
              <w:rPr>
                <w:rFonts w:ascii="Arial"/>
                <w:sz w:val="21"/>
              </w:rPr>
            </w:pPr>
            <w:r/>
          </w:p>
          <w:p>
            <w:pPr>
              <w:spacing w:line="307" w:lineRule="auto"/>
              <w:rPr>
                <w:rFonts w:ascii="Arial"/>
                <w:sz w:val="21"/>
              </w:rPr>
            </w:pPr>
            <w:r/>
          </w:p>
          <w:p>
            <w:pPr>
              <w:spacing w:line="307" w:lineRule="auto"/>
              <w:rPr>
                <w:rFonts w:ascii="Arial"/>
                <w:sz w:val="21"/>
              </w:rPr>
            </w:pPr>
            <w:r/>
          </w:p>
          <w:p>
            <w:pPr>
              <w:pStyle w:val="TableText"/>
              <w:ind w:left="257"/>
              <w:spacing w:before="58" w:line="262" w:lineRule="exact"/>
              <w:rPr/>
            </w:pPr>
            <w:r>
              <w:rPr>
                <w:position w:val="1"/>
              </w:rPr>
              <w:t>1</w:t>
            </w:r>
          </w:p>
        </w:tc>
        <w:tc>
          <w:tcPr>
            <w:tcW w:w="1439" w:type="dxa"/>
            <w:vAlign w:val="top"/>
          </w:tcPr>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pStyle w:val="TableText"/>
              <w:ind w:left="172"/>
              <w:spacing w:before="59" w:line="211" w:lineRule="auto"/>
              <w:rPr/>
            </w:pPr>
            <w:r>
              <w:rPr>
                <w:spacing w:val="-1"/>
              </w:rPr>
              <w:t>统筹优化乡镇</w:t>
            </w:r>
          </w:p>
          <w:p>
            <w:pPr>
              <w:pStyle w:val="TableText"/>
              <w:ind w:left="9"/>
              <w:spacing w:before="29" w:line="240" w:lineRule="exact"/>
              <w:rPr/>
            </w:pPr>
            <w:r>
              <w:rPr>
                <w:spacing w:val="-6"/>
                <w:position w:val="1"/>
              </w:rPr>
              <w:t>（街道）机构设置</w:t>
            </w:r>
          </w:p>
        </w:tc>
        <w:tc>
          <w:tcPr>
            <w:tcW w:w="5355" w:type="dxa"/>
            <w:vAlign w:val="top"/>
          </w:tcPr>
          <w:p>
            <w:pPr>
              <w:pStyle w:val="TableText"/>
              <w:ind w:left="17" w:right="16" w:firstLine="14"/>
              <w:spacing w:before="1" w:line="219" w:lineRule="auto"/>
              <w:rPr/>
            </w:pPr>
            <w:r>
              <w:rPr>
                <w:spacing w:val="-6"/>
              </w:rPr>
              <w:t>1.1</w:t>
            </w:r>
            <w:r>
              <w:rPr>
                <w:spacing w:val="-39"/>
              </w:rPr>
              <w:t xml:space="preserve"> </w:t>
            </w:r>
            <w:r>
              <w:rPr>
                <w:spacing w:val="-6"/>
              </w:rPr>
              <w:t>月</w:t>
            </w:r>
            <w:r>
              <w:rPr>
                <w:spacing w:val="-39"/>
              </w:rPr>
              <w:t xml:space="preserve"> </w:t>
            </w:r>
            <w:r>
              <w:rPr>
                <w:spacing w:val="-6"/>
              </w:rPr>
              <w:t>21 日前，制定《原州区推进基层整合审批</w:t>
            </w:r>
            <w:r>
              <w:rPr>
                <w:spacing w:val="-7"/>
              </w:rPr>
              <w:t>服务执法力量实施方</w:t>
            </w:r>
            <w:r>
              <w:rPr>
                <w:spacing w:val="-1"/>
              </w:rPr>
              <w:t>案》，按规程提交区委常委会研究、报市委市政府审批。</w:t>
            </w:r>
          </w:p>
          <w:p>
            <w:pPr>
              <w:pStyle w:val="TableText"/>
              <w:ind w:left="17" w:right="16"/>
              <w:spacing w:before="5" w:line="221" w:lineRule="auto"/>
              <w:rPr/>
            </w:pPr>
            <w:r>
              <w:rPr>
                <w:spacing w:val="-6"/>
              </w:rPr>
              <w:t>2.2</w:t>
            </w:r>
            <w:r>
              <w:rPr>
                <w:spacing w:val="-39"/>
              </w:rPr>
              <w:t xml:space="preserve"> </w:t>
            </w:r>
            <w:r>
              <w:rPr>
                <w:spacing w:val="-6"/>
              </w:rPr>
              <w:t>月</w:t>
            </w:r>
            <w:r>
              <w:rPr>
                <w:spacing w:val="-24"/>
              </w:rPr>
              <w:t xml:space="preserve"> </w:t>
            </w:r>
            <w:r>
              <w:rPr>
                <w:spacing w:val="-6"/>
              </w:rPr>
              <w:t>10 日前，召开全区推进基层整合审批服务</w:t>
            </w:r>
            <w:r>
              <w:rPr>
                <w:spacing w:val="-7"/>
              </w:rPr>
              <w:t>执法力量改革工作动</w:t>
            </w:r>
            <w:r>
              <w:rPr>
                <w:spacing w:val="-1"/>
              </w:rPr>
              <w:t>员会，安排部署改革任务。</w:t>
            </w:r>
          </w:p>
          <w:p>
            <w:pPr>
              <w:pStyle w:val="TableText"/>
              <w:ind w:left="34" w:right="16" w:hanging="14"/>
              <w:spacing w:before="9" w:line="225" w:lineRule="auto"/>
              <w:rPr/>
            </w:pPr>
            <w:r>
              <w:rPr>
                <w:spacing w:val="-6"/>
              </w:rPr>
              <w:t>3.3</w:t>
            </w:r>
            <w:r>
              <w:rPr>
                <w:spacing w:val="-38"/>
              </w:rPr>
              <w:t xml:space="preserve"> </w:t>
            </w:r>
            <w:r>
              <w:rPr>
                <w:spacing w:val="-6"/>
              </w:rPr>
              <w:t>月</w:t>
            </w:r>
            <w:r>
              <w:rPr>
                <w:spacing w:val="-25"/>
              </w:rPr>
              <w:t xml:space="preserve"> </w:t>
            </w:r>
            <w:r>
              <w:rPr>
                <w:spacing w:val="-6"/>
              </w:rPr>
              <w:t>10 日前，印发《关于推进基层整合</w:t>
            </w:r>
            <w:r>
              <w:rPr>
                <w:spacing w:val="-7"/>
              </w:rPr>
              <w:t>审批服务执法力量改革工作</w:t>
            </w:r>
            <w:r>
              <w:rPr>
                <w:spacing w:val="-1"/>
              </w:rPr>
              <w:t>中职能调整、机构设置和人员编制等有关事项的通知》。</w:t>
            </w:r>
          </w:p>
          <w:p>
            <w:pPr>
              <w:pStyle w:val="TableText"/>
              <w:ind w:left="18" w:hanging="3"/>
              <w:spacing w:before="1" w:line="220" w:lineRule="auto"/>
              <w:rPr/>
            </w:pPr>
            <w:r>
              <w:rPr>
                <w:spacing w:val="-9"/>
              </w:rPr>
              <w:t>4.2</w:t>
            </w:r>
            <w:r>
              <w:rPr>
                <w:spacing w:val="-36"/>
              </w:rPr>
              <w:t xml:space="preserve"> </w:t>
            </w:r>
            <w:r>
              <w:rPr>
                <w:spacing w:val="-9"/>
              </w:rPr>
              <w:t>月25 日前，各乡镇（街道）上报乡镇（街道）机构改革具体方案，</w:t>
            </w:r>
            <w:r>
              <w:rPr>
                <w:spacing w:val="-2"/>
              </w:rPr>
              <w:t>经区改革领导小组审批后组织实施。</w:t>
            </w:r>
          </w:p>
          <w:p>
            <w:pPr>
              <w:pStyle w:val="TableText"/>
              <w:ind w:left="20" w:right="16" w:hanging="2"/>
              <w:spacing w:before="12" w:line="219" w:lineRule="auto"/>
              <w:rPr/>
            </w:pPr>
            <w:r>
              <w:rPr>
                <w:spacing w:val="-6"/>
              </w:rPr>
              <w:t>5.3</w:t>
            </w:r>
            <w:r>
              <w:rPr>
                <w:spacing w:val="-38"/>
              </w:rPr>
              <w:t xml:space="preserve"> </w:t>
            </w:r>
            <w:r>
              <w:rPr>
                <w:spacing w:val="-6"/>
              </w:rPr>
              <w:t>月</w:t>
            </w:r>
            <w:r>
              <w:rPr>
                <w:spacing w:val="-25"/>
              </w:rPr>
              <w:t xml:space="preserve"> </w:t>
            </w:r>
            <w:r>
              <w:rPr>
                <w:spacing w:val="-6"/>
              </w:rPr>
              <w:t>10 日前，制定并印发各乡镇和街道职能</w:t>
            </w:r>
            <w:r>
              <w:rPr>
                <w:spacing w:val="-7"/>
              </w:rPr>
              <w:t>配置、机构设置和人员</w:t>
            </w:r>
            <w:r>
              <w:rPr>
                <w:spacing w:val="-2"/>
              </w:rPr>
              <w:t>编制规定方案。</w:t>
            </w:r>
          </w:p>
        </w:tc>
        <w:tc>
          <w:tcPr>
            <w:tcW w:w="3035" w:type="dxa"/>
            <w:vAlign w:val="top"/>
          </w:tcPr>
          <w:p>
            <w:pPr>
              <w:pStyle w:val="TableText"/>
              <w:ind w:left="23" w:right="15" w:firstLine="16"/>
              <w:spacing w:before="103" w:line="223" w:lineRule="auto"/>
              <w:rPr/>
            </w:pPr>
            <w:r>
              <w:rPr>
                <w:spacing w:val="-5"/>
              </w:rPr>
              <w:t>1.通过思想动员、精心部署安排、加强</w:t>
            </w:r>
            <w:r>
              <w:rPr>
                <w:spacing w:val="-5"/>
              </w:rPr>
              <w:t>组织领导，确保推进基层整合审批服务</w:t>
            </w:r>
            <w:r>
              <w:rPr>
                <w:spacing w:val="-1"/>
              </w:rPr>
              <w:t>执法力量工作有序开展。</w:t>
            </w:r>
          </w:p>
          <w:p>
            <w:pPr>
              <w:pStyle w:val="TableText"/>
              <w:ind w:left="23" w:right="12" w:firstLine="1"/>
              <w:spacing w:before="7" w:line="223" w:lineRule="auto"/>
              <w:rPr/>
            </w:pPr>
            <w:r>
              <w:rPr>
                <w:spacing w:val="6"/>
              </w:rPr>
              <w:t>2.适应乡镇和街道工作特点及便民服</w:t>
            </w:r>
            <w:r>
              <w:rPr>
                <w:spacing w:val="-5"/>
              </w:rPr>
              <w:t>务需要，强化乡镇和街道党（工）委领</w:t>
            </w:r>
            <w:r>
              <w:rPr>
                <w:spacing w:val="-5"/>
              </w:rPr>
              <w:t>导作用，构建更好服务群众、简约高效</w:t>
            </w:r>
            <w:r>
              <w:rPr>
                <w:spacing w:val="-1"/>
              </w:rPr>
              <w:t>的基层组织构架。</w:t>
            </w:r>
          </w:p>
          <w:p>
            <w:pPr>
              <w:pStyle w:val="TableText"/>
              <w:ind w:left="23" w:right="27" w:firstLine="3"/>
              <w:spacing w:before="11" w:line="221" w:lineRule="auto"/>
              <w:rPr/>
            </w:pPr>
            <w:r>
              <w:rPr>
                <w:spacing w:val="-6"/>
              </w:rPr>
              <w:t>3.乡镇街道统一组建党建工作办公室，</w:t>
            </w:r>
            <w:r>
              <w:rPr>
                <w:spacing w:val="-1"/>
              </w:rPr>
              <w:t>加强基层党建工作。</w:t>
            </w:r>
          </w:p>
        </w:tc>
        <w:tc>
          <w:tcPr>
            <w:tcW w:w="833" w:type="dxa"/>
            <w:vAlign w:val="top"/>
          </w:tcPr>
          <w:p>
            <w:pPr>
              <w:spacing w:line="308" w:lineRule="auto"/>
              <w:rPr>
                <w:rFonts w:ascii="Arial"/>
                <w:sz w:val="21"/>
              </w:rPr>
            </w:pPr>
            <w:r/>
          </w:p>
          <w:p>
            <w:pPr>
              <w:spacing w:line="308" w:lineRule="auto"/>
              <w:rPr>
                <w:rFonts w:ascii="Arial"/>
                <w:sz w:val="21"/>
              </w:rPr>
            </w:pPr>
            <w:r/>
          </w:p>
          <w:p>
            <w:pPr>
              <w:spacing w:line="308" w:lineRule="auto"/>
              <w:rPr>
                <w:rFonts w:ascii="Arial"/>
                <w:sz w:val="21"/>
              </w:rPr>
            </w:pPr>
            <w:r/>
          </w:p>
          <w:p>
            <w:pPr>
              <w:pStyle w:val="TableText"/>
              <w:ind w:left="148"/>
              <w:spacing w:before="59" w:line="211" w:lineRule="auto"/>
              <w:rPr/>
            </w:pPr>
            <w:r>
              <w:rPr>
                <w:spacing w:val="-1"/>
              </w:rPr>
              <w:t>李育龙</w:t>
            </w:r>
          </w:p>
        </w:tc>
        <w:tc>
          <w:tcPr>
            <w:tcW w:w="1132" w:type="dxa"/>
            <w:vAlign w:val="top"/>
          </w:tcPr>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393" w:right="39" w:hanging="351"/>
              <w:spacing w:before="58" w:line="229" w:lineRule="auto"/>
              <w:rPr/>
            </w:pPr>
            <w:r>
              <w:rPr>
                <w:spacing w:val="-7"/>
              </w:rPr>
              <w:t>区委组织部、</w:t>
            </w:r>
            <w:r>
              <w:rPr>
                <w:spacing w:val="-5"/>
              </w:rPr>
              <w:t>编办</w:t>
            </w:r>
          </w:p>
        </w:tc>
        <w:tc>
          <w:tcPr>
            <w:tcW w:w="1509" w:type="dxa"/>
            <w:vAlign w:val="top"/>
            <w:tcBorders>
              <w:right w:val="single" w:color="000000" w:sz="6" w:space="0"/>
            </w:tcBorders>
          </w:tcPr>
          <w:p>
            <w:pPr>
              <w:spacing w:line="306" w:lineRule="auto"/>
              <w:rPr>
                <w:rFonts w:ascii="Arial"/>
                <w:sz w:val="21"/>
              </w:rPr>
            </w:pPr>
            <w:r/>
          </w:p>
          <w:p>
            <w:pPr>
              <w:spacing w:line="307" w:lineRule="auto"/>
              <w:rPr>
                <w:rFonts w:ascii="Arial"/>
                <w:sz w:val="21"/>
              </w:rPr>
            </w:pPr>
            <w:r/>
          </w:p>
          <w:p>
            <w:pPr>
              <w:spacing w:line="307" w:lineRule="auto"/>
              <w:rPr>
                <w:rFonts w:ascii="Arial"/>
                <w:sz w:val="21"/>
              </w:rPr>
            </w:pPr>
            <w:r/>
          </w:p>
          <w:p>
            <w:pPr>
              <w:pStyle w:val="TableText"/>
              <w:ind w:left="125"/>
              <w:spacing w:before="58" w:line="241" w:lineRule="exact"/>
              <w:rPr/>
            </w:pPr>
            <w:r>
              <w:rPr>
                <w:spacing w:val="-1"/>
                <w:position w:val="1"/>
              </w:rPr>
              <w:t>各乡镇（街道）</w:t>
            </w:r>
          </w:p>
        </w:tc>
      </w:tr>
      <w:tr>
        <w:trPr>
          <w:trHeight w:val="1539" w:hRule="atLeast"/>
        </w:trPr>
        <w:tc>
          <w:tcPr>
            <w:tcW w:w="584" w:type="dxa"/>
            <w:vAlign w:val="top"/>
            <w:tcBorders>
              <w:left w:val="single" w:color="000000" w:sz="6" w:space="0"/>
            </w:tcBorders>
          </w:tcPr>
          <w:p>
            <w:pPr>
              <w:spacing w:line="299" w:lineRule="auto"/>
              <w:rPr>
                <w:rFonts w:ascii="Arial"/>
                <w:sz w:val="21"/>
              </w:rPr>
            </w:pPr>
            <w:r/>
          </w:p>
          <w:p>
            <w:pPr>
              <w:spacing w:line="300" w:lineRule="auto"/>
              <w:rPr>
                <w:rFonts w:ascii="Arial"/>
                <w:sz w:val="21"/>
              </w:rPr>
            </w:pPr>
            <w:r/>
          </w:p>
          <w:p>
            <w:pPr>
              <w:pStyle w:val="TableText"/>
              <w:ind w:left="243"/>
              <w:spacing w:before="58" w:line="262" w:lineRule="exact"/>
              <w:rPr/>
            </w:pPr>
            <w:r>
              <w:rPr>
                <w:position w:val="1"/>
              </w:rPr>
              <w:t>2</w:t>
            </w:r>
          </w:p>
        </w:tc>
        <w:tc>
          <w:tcPr>
            <w:tcW w:w="1439" w:type="dxa"/>
            <w:vAlign w:val="top"/>
          </w:tcPr>
          <w:p>
            <w:pPr>
              <w:spacing w:line="242" w:lineRule="auto"/>
              <w:rPr>
                <w:rFonts w:ascii="Arial"/>
                <w:sz w:val="21"/>
              </w:rPr>
            </w:pPr>
            <w:r/>
          </w:p>
          <w:p>
            <w:pPr>
              <w:spacing w:line="243" w:lineRule="auto"/>
              <w:rPr>
                <w:rFonts w:ascii="Arial"/>
                <w:sz w:val="21"/>
              </w:rPr>
            </w:pPr>
            <w:r/>
          </w:p>
          <w:p>
            <w:pPr>
              <w:pStyle w:val="TableText"/>
              <w:ind w:left="263"/>
              <w:spacing w:before="58" w:line="211" w:lineRule="auto"/>
              <w:rPr/>
            </w:pPr>
            <w:r>
              <w:rPr>
                <w:spacing w:val="-1"/>
              </w:rPr>
              <w:t>调整规范派</w:t>
            </w:r>
          </w:p>
          <w:p>
            <w:pPr>
              <w:pStyle w:val="TableText"/>
              <w:ind w:left="81"/>
              <w:spacing w:before="30" w:line="214" w:lineRule="auto"/>
              <w:rPr/>
            </w:pPr>
            <w:r>
              <w:rPr>
                <w:spacing w:val="-1"/>
              </w:rPr>
              <w:t>驻站所管理体制</w:t>
            </w:r>
          </w:p>
        </w:tc>
        <w:tc>
          <w:tcPr>
            <w:tcW w:w="5355" w:type="dxa"/>
            <w:vAlign w:val="top"/>
          </w:tcPr>
          <w:p>
            <w:pPr>
              <w:pStyle w:val="TableText"/>
              <w:ind w:left="17" w:right="16" w:firstLine="15"/>
              <w:spacing w:before="2" w:line="221" w:lineRule="auto"/>
              <w:rPr/>
            </w:pPr>
            <w:r>
              <w:rPr>
                <w:spacing w:val="-7"/>
              </w:rPr>
              <w:t>1.3</w:t>
            </w:r>
            <w:r>
              <w:rPr>
                <w:spacing w:val="-29"/>
              </w:rPr>
              <w:t xml:space="preserve"> </w:t>
            </w:r>
            <w:r>
              <w:rPr>
                <w:spacing w:val="-7"/>
              </w:rPr>
              <w:t>月</w:t>
            </w:r>
            <w:r>
              <w:rPr>
                <w:spacing w:val="-25"/>
              </w:rPr>
              <w:t xml:space="preserve"> </w:t>
            </w:r>
            <w:r>
              <w:rPr>
                <w:spacing w:val="-7"/>
              </w:rPr>
              <w:t>10 日前，研究乡镇和街道站所人员转隶事项，划转涉改单位编</w:t>
            </w:r>
            <w:r>
              <w:rPr>
                <w:spacing w:val="-1"/>
              </w:rPr>
              <w:t>制和人员人事工资关系。</w:t>
            </w:r>
          </w:p>
          <w:p>
            <w:pPr>
              <w:pStyle w:val="TableText"/>
              <w:ind w:left="17" w:right="16"/>
              <w:spacing w:before="9" w:line="219" w:lineRule="auto"/>
              <w:rPr/>
            </w:pPr>
            <w:r>
              <w:rPr>
                <w:spacing w:val="-5"/>
              </w:rPr>
              <w:t>2.3</w:t>
            </w:r>
            <w:r>
              <w:rPr>
                <w:spacing w:val="-38"/>
              </w:rPr>
              <w:t xml:space="preserve"> </w:t>
            </w:r>
            <w:r>
              <w:rPr>
                <w:spacing w:val="-5"/>
              </w:rPr>
              <w:t>月20 日前，乡镇完成“五办四中心”挂牌，街道完成“</w:t>
            </w:r>
            <w:r>
              <w:rPr>
                <w:spacing w:val="-67"/>
              </w:rPr>
              <w:t xml:space="preserve"> </w:t>
            </w:r>
            <w:r>
              <w:rPr>
                <w:spacing w:val="-5"/>
              </w:rPr>
              <w:t>四办三中</w:t>
            </w:r>
            <w:r>
              <w:rPr>
                <w:spacing w:val="-2"/>
              </w:rPr>
              <w:t>心”挂牌。</w:t>
            </w:r>
          </w:p>
          <w:p>
            <w:pPr>
              <w:pStyle w:val="TableText"/>
              <w:ind w:left="17" w:firstLine="3"/>
              <w:spacing w:before="13" w:line="222" w:lineRule="auto"/>
              <w:rPr/>
            </w:pPr>
            <w:r>
              <w:rPr>
                <w:spacing w:val="-6"/>
              </w:rPr>
              <w:t>3.3</w:t>
            </w:r>
            <w:r>
              <w:rPr>
                <w:spacing w:val="-27"/>
              </w:rPr>
              <w:t xml:space="preserve"> </w:t>
            </w:r>
            <w:r>
              <w:rPr>
                <w:spacing w:val="-6"/>
              </w:rPr>
              <w:t>月20 日前，理顺乡镇站所管理体制，整合下放到乡镇的机构和人</w:t>
            </w:r>
            <w:r>
              <w:rPr>
                <w:spacing w:val="-3"/>
              </w:rPr>
              <w:t>员，实行以乡镇管理为主、上级业务部门进行业务指导的管理体制。</w:t>
            </w:r>
          </w:p>
          <w:p>
            <w:pPr>
              <w:pStyle w:val="TableText"/>
              <w:ind w:left="15"/>
              <w:spacing w:before="5" w:line="213" w:lineRule="auto"/>
              <w:rPr/>
            </w:pPr>
            <w:r>
              <w:rPr>
                <w:spacing w:val="-2"/>
              </w:rPr>
              <w:t>4.畜牧兽医站继续实行现行体制，和农业综合服务中心合署办公。</w:t>
            </w:r>
          </w:p>
        </w:tc>
        <w:tc>
          <w:tcPr>
            <w:tcW w:w="3035" w:type="dxa"/>
            <w:vAlign w:val="top"/>
          </w:tcPr>
          <w:p>
            <w:pPr>
              <w:pStyle w:val="TableText"/>
              <w:ind w:left="22" w:right="15" w:firstLine="16"/>
              <w:spacing w:line="224" w:lineRule="auto"/>
              <w:rPr/>
            </w:pPr>
            <w:r>
              <w:rPr>
                <w:spacing w:val="-8"/>
              </w:rPr>
              <w:t>1.</w:t>
            </w:r>
            <w:r>
              <w:rPr>
                <w:spacing w:val="-37"/>
              </w:rPr>
              <w:t xml:space="preserve"> </w:t>
            </w:r>
            <w:r>
              <w:rPr>
                <w:spacing w:val="-8"/>
              </w:rPr>
              <w:t>自然资源、水务、农业农村等部门派</w:t>
            </w:r>
            <w:r>
              <w:rPr>
                <w:spacing w:val="-5"/>
              </w:rPr>
              <w:t>驻乡镇站所的编制及人、财、物移交到</w:t>
            </w:r>
            <w:r>
              <w:rPr>
                <w:spacing w:val="-1"/>
              </w:rPr>
              <w:t>位，实现权责一致，压实属地责任。</w:t>
            </w:r>
          </w:p>
          <w:p>
            <w:pPr>
              <w:pStyle w:val="TableText"/>
              <w:ind w:left="24"/>
              <w:spacing w:before="6" w:line="226" w:lineRule="auto"/>
              <w:rPr/>
            </w:pPr>
            <w:r>
              <w:rPr>
                <w:spacing w:val="-15"/>
              </w:rPr>
              <w:t>2.农业技术推广服务机构实现综合设置。</w:t>
            </w:r>
          </w:p>
          <w:p>
            <w:pPr>
              <w:pStyle w:val="TableText"/>
              <w:ind w:left="25" w:right="15" w:firstLine="2"/>
              <w:spacing w:line="221" w:lineRule="auto"/>
              <w:rPr/>
            </w:pPr>
            <w:r>
              <w:rPr>
                <w:spacing w:val="-5"/>
              </w:rPr>
              <w:t>3.通过调整理顺管理体制，推动治理重</w:t>
            </w:r>
            <w:r>
              <w:rPr>
                <w:spacing w:val="-5"/>
              </w:rPr>
              <w:t>心下移、资源下沉，全面提升基层治理</w:t>
            </w:r>
            <w:r>
              <w:rPr>
                <w:spacing w:val="-1"/>
              </w:rPr>
              <w:t>能力和公共服务水平。</w:t>
            </w:r>
          </w:p>
        </w:tc>
        <w:tc>
          <w:tcPr>
            <w:tcW w:w="833" w:type="dxa"/>
            <w:vAlign w:val="top"/>
          </w:tcPr>
          <w:p>
            <w:pPr>
              <w:spacing w:line="301" w:lineRule="auto"/>
              <w:rPr>
                <w:rFonts w:ascii="Arial"/>
                <w:sz w:val="21"/>
              </w:rPr>
            </w:pPr>
            <w:r/>
          </w:p>
          <w:p>
            <w:pPr>
              <w:spacing w:line="302" w:lineRule="auto"/>
              <w:rPr>
                <w:rFonts w:ascii="Arial"/>
                <w:sz w:val="21"/>
              </w:rPr>
            </w:pPr>
            <w:r/>
          </w:p>
          <w:p>
            <w:pPr>
              <w:pStyle w:val="TableText"/>
              <w:ind w:left="148"/>
              <w:spacing w:before="59" w:line="211" w:lineRule="auto"/>
              <w:rPr/>
            </w:pPr>
            <w:r>
              <w:rPr>
                <w:spacing w:val="-1"/>
              </w:rPr>
              <w:t>李育龙</w:t>
            </w:r>
          </w:p>
        </w:tc>
        <w:tc>
          <w:tcPr>
            <w:tcW w:w="1132" w:type="dxa"/>
            <w:vAlign w:val="top"/>
          </w:tcPr>
          <w:p>
            <w:pPr>
              <w:spacing w:line="302" w:lineRule="auto"/>
              <w:rPr>
                <w:rFonts w:ascii="Arial"/>
                <w:sz w:val="21"/>
              </w:rPr>
            </w:pPr>
            <w:r/>
          </w:p>
          <w:p>
            <w:pPr>
              <w:spacing w:line="302" w:lineRule="auto"/>
              <w:rPr>
                <w:rFonts w:ascii="Arial"/>
                <w:sz w:val="21"/>
              </w:rPr>
            </w:pPr>
            <w:r/>
          </w:p>
          <w:p>
            <w:pPr>
              <w:pStyle w:val="TableText"/>
              <w:ind w:left="222"/>
              <w:spacing w:before="59" w:line="208" w:lineRule="auto"/>
              <w:rPr/>
            </w:pPr>
            <w:r>
              <w:rPr>
                <w:spacing w:val="-5"/>
              </w:rPr>
              <w:t>区委编办</w:t>
            </w:r>
          </w:p>
        </w:tc>
        <w:tc>
          <w:tcPr>
            <w:tcW w:w="1509" w:type="dxa"/>
            <w:vAlign w:val="top"/>
            <w:tcBorders>
              <w:right w:val="single" w:color="000000" w:sz="6" w:space="0"/>
            </w:tcBorders>
          </w:tcPr>
          <w:p>
            <w:pPr>
              <w:pStyle w:val="TableText"/>
              <w:ind w:left="24" w:firstLine="15"/>
              <w:spacing w:before="226" w:line="232" w:lineRule="auto"/>
              <w:jc w:val="both"/>
              <w:rPr/>
            </w:pPr>
            <w:r>
              <w:rPr>
                <w:spacing w:val="-10"/>
              </w:rPr>
              <w:t>区人力资源和社会</w:t>
            </w:r>
            <w:r>
              <w:rPr>
                <w:spacing w:val="-8"/>
              </w:rPr>
              <w:t>保障局、自然资源</w:t>
            </w:r>
            <w:r>
              <w:rPr>
                <w:spacing w:val="-8"/>
              </w:rPr>
              <w:t>局、水务局、农业</w:t>
            </w:r>
            <w:r>
              <w:rPr>
                <w:spacing w:val="17"/>
              </w:rPr>
              <w:t>农村局等相关部</w:t>
            </w:r>
            <w:r>
              <w:rPr>
                <w:spacing w:val="-17"/>
              </w:rPr>
              <w:t>门，各乡镇（街道）</w:t>
            </w:r>
          </w:p>
        </w:tc>
      </w:tr>
      <w:tr>
        <w:trPr>
          <w:trHeight w:val="3243" w:hRule="atLeast"/>
        </w:trPr>
        <w:tc>
          <w:tcPr>
            <w:tcW w:w="584" w:type="dxa"/>
            <w:vAlign w:val="top"/>
            <w:tcBorders>
              <w:left w:val="single" w:color="000000" w:sz="6" w:space="0"/>
              <w:bottom w:val="single" w:color="000000" w:sz="6"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245"/>
              <w:spacing w:before="59" w:line="260" w:lineRule="exact"/>
              <w:rPr/>
            </w:pPr>
            <w:r>
              <w:rPr>
                <w:position w:val="2"/>
              </w:rPr>
              <w:t>3</w:t>
            </w:r>
          </w:p>
        </w:tc>
        <w:tc>
          <w:tcPr>
            <w:tcW w:w="1439" w:type="dxa"/>
            <w:vAlign w:val="top"/>
            <w:tcBorders>
              <w:bottom w:val="single" w:color="000000" w:sz="6" w:space="0"/>
            </w:tcBorders>
          </w:tcPr>
          <w:p>
            <w:pPr>
              <w:spacing w:line="296" w:lineRule="auto"/>
              <w:rPr>
                <w:rFonts w:ascii="Arial"/>
                <w:sz w:val="21"/>
              </w:rPr>
            </w:pPr>
            <w:r/>
          </w:p>
          <w:p>
            <w:pPr>
              <w:spacing w:line="296" w:lineRule="auto"/>
              <w:rPr>
                <w:rFonts w:ascii="Arial"/>
                <w:sz w:val="21"/>
              </w:rPr>
            </w:pPr>
            <w:r/>
          </w:p>
          <w:p>
            <w:pPr>
              <w:spacing w:line="296" w:lineRule="auto"/>
              <w:rPr>
                <w:rFonts w:ascii="Arial"/>
                <w:sz w:val="21"/>
              </w:rPr>
            </w:pPr>
            <w:r/>
          </w:p>
          <w:p>
            <w:pPr>
              <w:spacing w:line="297" w:lineRule="auto"/>
              <w:rPr>
                <w:rFonts w:ascii="Arial"/>
                <w:sz w:val="21"/>
              </w:rPr>
            </w:pPr>
            <w:r/>
          </w:p>
          <w:p>
            <w:pPr>
              <w:pStyle w:val="TableText"/>
              <w:ind w:left="265" w:right="181" w:hanging="93"/>
              <w:spacing w:before="58" w:line="279" w:lineRule="auto"/>
              <w:rPr/>
            </w:pPr>
            <w:r>
              <w:rPr>
                <w:spacing w:val="-1"/>
              </w:rPr>
              <w:t>加强综合便民</w:t>
            </w:r>
            <w:r>
              <w:rPr>
                <w:spacing w:val="-2"/>
              </w:rPr>
              <w:t>服务机构和</w:t>
            </w:r>
            <w:r>
              <w:rPr>
                <w:spacing w:val="20"/>
              </w:rPr>
              <w:t>平台建设</w:t>
            </w:r>
          </w:p>
        </w:tc>
        <w:tc>
          <w:tcPr>
            <w:tcW w:w="5355" w:type="dxa"/>
            <w:vAlign w:val="top"/>
            <w:tcBorders>
              <w:bottom w:val="single" w:color="000000" w:sz="6" w:space="0"/>
            </w:tcBorders>
          </w:tcPr>
          <w:p>
            <w:pPr>
              <w:pStyle w:val="TableText"/>
              <w:ind w:left="15" w:right="16" w:firstLine="17"/>
              <w:spacing w:before="4" w:line="220" w:lineRule="auto"/>
              <w:rPr/>
            </w:pPr>
            <w:r>
              <w:rPr>
                <w:spacing w:val="-5"/>
              </w:rPr>
              <w:t>1.2</w:t>
            </w:r>
            <w:r>
              <w:rPr>
                <w:spacing w:val="-30"/>
              </w:rPr>
              <w:t xml:space="preserve"> </w:t>
            </w:r>
            <w:r>
              <w:rPr>
                <w:spacing w:val="-5"/>
              </w:rPr>
              <w:t>月28 日前，完成对各乡镇街道民生服务中心、村（社区）便民服</w:t>
            </w:r>
            <w:r>
              <w:rPr>
                <w:spacing w:val="-3"/>
              </w:rPr>
              <w:t>务中心建设及运行情况调研工作，摸清各乡镇街道政务服务人员及设</w:t>
            </w:r>
            <w:r>
              <w:rPr>
                <w:spacing w:val="-1"/>
              </w:rPr>
              <w:t>施配备、事项进驻、网上办件情况。</w:t>
            </w:r>
          </w:p>
          <w:p>
            <w:pPr>
              <w:pStyle w:val="TableText"/>
              <w:ind w:left="16" w:right="16" w:firstLine="1"/>
              <w:spacing w:before="4" w:line="219" w:lineRule="auto"/>
              <w:rPr/>
            </w:pPr>
            <w:r>
              <w:rPr>
                <w:spacing w:val="-6"/>
              </w:rPr>
              <w:t>2.3</w:t>
            </w:r>
            <w:r>
              <w:rPr>
                <w:spacing w:val="-39"/>
              </w:rPr>
              <w:t xml:space="preserve"> </w:t>
            </w:r>
            <w:r>
              <w:rPr>
                <w:spacing w:val="-6"/>
              </w:rPr>
              <w:t>月</w:t>
            </w:r>
            <w:r>
              <w:rPr>
                <w:spacing w:val="-24"/>
              </w:rPr>
              <w:t xml:space="preserve"> </w:t>
            </w:r>
            <w:r>
              <w:rPr>
                <w:spacing w:val="-6"/>
              </w:rPr>
              <w:t>10 日前，完成下沉乡镇街道民生服务中心</w:t>
            </w:r>
            <w:r>
              <w:rPr>
                <w:spacing w:val="-7"/>
              </w:rPr>
              <w:t>、村（社区）便民服</w:t>
            </w:r>
            <w:r>
              <w:rPr>
                <w:spacing w:val="-1"/>
              </w:rPr>
              <w:t>务中心网上办理便民服务事项清单梳理工作。</w:t>
            </w:r>
          </w:p>
          <w:p>
            <w:pPr>
              <w:pStyle w:val="TableText"/>
              <w:ind w:left="16" w:firstLine="4"/>
              <w:spacing w:before="5" w:line="220" w:lineRule="auto"/>
              <w:rPr/>
            </w:pPr>
            <w:r>
              <w:rPr>
                <w:spacing w:val="-10"/>
              </w:rPr>
              <w:t>3.3</w:t>
            </w:r>
            <w:r>
              <w:rPr>
                <w:spacing w:val="-39"/>
              </w:rPr>
              <w:t xml:space="preserve"> </w:t>
            </w:r>
            <w:r>
              <w:rPr>
                <w:spacing w:val="-10"/>
              </w:rPr>
              <w:t>月31 日前，整合基层行政审批和公共服务职责，各乡镇街道负责推</w:t>
            </w:r>
            <w:r>
              <w:rPr>
                <w:spacing w:val="-9"/>
              </w:rPr>
              <w:t>进民政、就业、卫健、社保、医保、残联、不动产登记、</w:t>
            </w:r>
            <w:r>
              <w:rPr>
                <w:spacing w:val="-10"/>
              </w:rPr>
              <w:t>乡村建设等行</w:t>
            </w:r>
            <w:r>
              <w:rPr>
                <w:spacing w:val="-9"/>
              </w:rPr>
              <w:t>政审批、公共服务事项进驻民生服务中心集中办理；逐步</w:t>
            </w:r>
            <w:r>
              <w:rPr>
                <w:spacing w:val="-10"/>
              </w:rPr>
              <w:t>推进公安、市</w:t>
            </w:r>
            <w:r>
              <w:rPr>
                <w:spacing w:val="-8"/>
              </w:rPr>
              <w:t>场监管、税务、退役军人等相关服务事项进驻乡镇民生服务</w:t>
            </w:r>
            <w:r>
              <w:rPr>
                <w:spacing w:val="-9"/>
              </w:rPr>
              <w:t>中心办理。</w:t>
            </w:r>
          </w:p>
          <w:p>
            <w:pPr>
              <w:pStyle w:val="TableText"/>
              <w:ind w:left="15" w:right="16"/>
              <w:spacing w:before="5" w:line="220" w:lineRule="auto"/>
              <w:rPr/>
            </w:pPr>
            <w:r>
              <w:rPr>
                <w:spacing w:val="-4"/>
              </w:rPr>
              <w:t>4.3</w:t>
            </w:r>
            <w:r>
              <w:rPr>
                <w:spacing w:val="-39"/>
              </w:rPr>
              <w:t xml:space="preserve"> </w:t>
            </w:r>
            <w:r>
              <w:rPr>
                <w:spacing w:val="-4"/>
              </w:rPr>
              <w:t>月31 日前，加强乡镇街道民生服务中心规范化、</w:t>
            </w:r>
            <w:r>
              <w:rPr>
                <w:spacing w:val="-5"/>
              </w:rPr>
              <w:t>标准化建设，整</w:t>
            </w:r>
            <w:r>
              <w:rPr/>
              <w:t>合设置“综合窗口”，在全区推行一窗无差</w:t>
            </w:r>
            <w:r>
              <w:rPr>
                <w:spacing w:val="-1"/>
              </w:rPr>
              <w:t>别受理。</w:t>
            </w:r>
          </w:p>
          <w:p>
            <w:pPr>
              <w:pStyle w:val="TableText"/>
              <w:ind w:left="18"/>
              <w:spacing w:before="5" w:line="218" w:lineRule="auto"/>
              <w:rPr/>
            </w:pPr>
            <w:r>
              <w:rPr>
                <w:spacing w:val="-9"/>
              </w:rPr>
              <w:t>5.3</w:t>
            </w:r>
            <w:r>
              <w:rPr>
                <w:spacing w:val="-32"/>
              </w:rPr>
              <w:t xml:space="preserve"> </w:t>
            </w:r>
            <w:r>
              <w:rPr>
                <w:spacing w:val="-9"/>
              </w:rPr>
              <w:t>月31 日前，依托自治区建设宁夏政务服务综合平台工程，大幅提</w:t>
            </w:r>
            <w:r>
              <w:rPr>
                <w:spacing w:val="-3"/>
              </w:rPr>
              <w:t>升“宁夏政务服务网”的功能和应用水平，提高基层网上“不见面”</w:t>
            </w:r>
            <w:r>
              <w:rPr>
                <w:spacing w:val="-4"/>
              </w:rPr>
              <w:t>办件量，稳步推进“我的宁夏”政务</w:t>
            </w:r>
            <w:r>
              <w:rPr>
                <w:spacing w:val="-33"/>
              </w:rPr>
              <w:t xml:space="preserve"> </w:t>
            </w:r>
            <w:r>
              <w:rPr>
                <w:spacing w:val="-4"/>
              </w:rPr>
              <w:t>APP</w:t>
            </w:r>
            <w:r>
              <w:rPr>
                <w:spacing w:val="-44"/>
              </w:rPr>
              <w:t xml:space="preserve"> </w:t>
            </w:r>
            <w:r>
              <w:rPr>
                <w:spacing w:val="-4"/>
              </w:rPr>
              <w:t>扩能提效，实现“掌上代</w:t>
            </w:r>
            <w:r>
              <w:rPr/>
              <w:t xml:space="preserve"> </w:t>
            </w:r>
            <w:r>
              <w:rPr>
                <w:spacing w:val="-6"/>
              </w:rPr>
              <w:t>办”服务。</w:t>
            </w:r>
          </w:p>
        </w:tc>
        <w:tc>
          <w:tcPr>
            <w:tcW w:w="3035" w:type="dxa"/>
            <w:vAlign w:val="top"/>
            <w:tcBorders>
              <w:bottom w:val="single" w:color="000000" w:sz="6" w:space="0"/>
            </w:tcBorders>
          </w:tcPr>
          <w:p>
            <w:pPr>
              <w:spacing w:line="467" w:lineRule="auto"/>
              <w:rPr>
                <w:rFonts w:ascii="Arial"/>
                <w:sz w:val="21"/>
              </w:rPr>
            </w:pPr>
            <w:r/>
          </w:p>
          <w:p>
            <w:pPr>
              <w:pStyle w:val="TableText"/>
              <w:ind w:left="22" w:firstLine="16"/>
              <w:spacing w:before="58" w:line="223" w:lineRule="auto"/>
              <w:rPr/>
            </w:pPr>
            <w:r>
              <w:rPr>
                <w:spacing w:val="-14"/>
              </w:rPr>
              <w:t>1.通过整合设置乡镇街道“综合窗口”，</w:t>
            </w:r>
            <w:r>
              <w:rPr>
                <w:spacing w:val="-7"/>
              </w:rPr>
              <w:t>推行一窗受理、集成服务，基本实现各</w:t>
            </w:r>
            <w:r>
              <w:rPr>
                <w:spacing w:val="-3"/>
              </w:rPr>
              <w:t>乡镇街道民生服务中心面向企业和群</w:t>
            </w:r>
            <w:r>
              <w:rPr>
                <w:spacing w:val="-1"/>
              </w:rPr>
              <w:t>众办理的事项“应进必进”。</w:t>
            </w:r>
          </w:p>
          <w:p>
            <w:pPr>
              <w:pStyle w:val="TableText"/>
              <w:ind w:left="24"/>
              <w:spacing w:before="11" w:line="223" w:lineRule="auto"/>
              <w:rPr/>
            </w:pPr>
            <w:r>
              <w:rPr>
                <w:spacing w:val="-4"/>
              </w:rPr>
              <w:t>2.完善宁夏政务服务网网上办事大厅，</w:t>
            </w:r>
            <w:r>
              <w:rPr>
                <w:spacing w:val="-4"/>
              </w:rPr>
              <w:t>提升宁夏政务服务网“一张网”功能，</w:t>
            </w:r>
            <w:r>
              <w:rPr>
                <w:spacing w:val="-16"/>
              </w:rPr>
              <w:t>实现政务服务事项“一网通办”，让“数</w:t>
            </w:r>
            <w:r>
              <w:rPr/>
              <w:t>据多跑路、让群众少跑腿”。</w:t>
            </w:r>
          </w:p>
          <w:p>
            <w:pPr>
              <w:pStyle w:val="TableText"/>
              <w:ind w:left="23" w:right="15" w:firstLine="4"/>
              <w:spacing w:before="8" w:line="222" w:lineRule="auto"/>
              <w:rPr/>
            </w:pPr>
            <w:r>
              <w:rPr>
                <w:spacing w:val="-5"/>
              </w:rPr>
              <w:t>3.提升村级（社区）代办服务能力，努</w:t>
            </w:r>
            <w:r>
              <w:rPr>
                <w:spacing w:val="-5"/>
              </w:rPr>
              <w:t>力实现简单事项不出村、复杂事项可代</w:t>
            </w:r>
            <w:r>
              <w:rPr>
                <w:spacing w:val="-2"/>
              </w:rPr>
              <w:t>办。</w:t>
            </w:r>
          </w:p>
        </w:tc>
        <w:tc>
          <w:tcPr>
            <w:tcW w:w="833" w:type="dxa"/>
            <w:vAlign w:val="top"/>
            <w:tcBorders>
              <w:bottom w:val="single" w:color="000000" w:sz="6" w:space="0"/>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172"/>
              <w:spacing w:before="58" w:line="208" w:lineRule="auto"/>
              <w:rPr/>
            </w:pPr>
            <w:r>
              <w:rPr>
                <w:spacing w:val="-10"/>
              </w:rPr>
              <w:t>田玉铭</w:t>
            </w:r>
          </w:p>
        </w:tc>
        <w:tc>
          <w:tcPr>
            <w:tcW w:w="1132" w:type="dxa"/>
            <w:vAlign w:val="top"/>
            <w:tcBorders>
              <w:bottom w:val="single" w:color="000000" w:sz="6" w:space="0"/>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301" w:right="105" w:hanging="168"/>
              <w:spacing w:before="59" w:line="230" w:lineRule="auto"/>
              <w:rPr/>
            </w:pPr>
            <w:r>
              <w:rPr>
                <w:spacing w:val="-4"/>
              </w:rPr>
              <w:t>区审批服务</w:t>
            </w:r>
            <w:r>
              <w:rPr>
                <w:spacing w:val="-2"/>
              </w:rPr>
              <w:t>管理局</w:t>
            </w:r>
          </w:p>
        </w:tc>
        <w:tc>
          <w:tcPr>
            <w:tcW w:w="1509" w:type="dxa"/>
            <w:vAlign w:val="top"/>
            <w:tcBorders>
              <w:bottom w:val="single" w:color="000000" w:sz="6" w:space="0"/>
              <w:right w:val="single" w:color="000000" w:sz="6" w:space="0"/>
            </w:tcBorders>
          </w:tcPr>
          <w:p>
            <w:pPr>
              <w:pStyle w:val="TableText"/>
              <w:ind w:left="47"/>
              <w:spacing w:before="92" w:line="212" w:lineRule="auto"/>
              <w:rPr/>
            </w:pPr>
            <w:r>
              <w:rPr>
                <w:spacing w:val="-3"/>
              </w:rPr>
              <w:t>区民政局、人力资</w:t>
            </w:r>
          </w:p>
          <w:p>
            <w:pPr>
              <w:pStyle w:val="TableText"/>
              <w:ind w:left="37"/>
              <w:spacing w:before="10" w:line="213" w:lineRule="auto"/>
              <w:rPr/>
            </w:pPr>
            <w:r>
              <w:rPr>
                <w:spacing w:val="-1"/>
              </w:rPr>
              <w:t>源和社会保障局、</w:t>
            </w:r>
          </w:p>
          <w:p>
            <w:pPr>
              <w:pStyle w:val="TableText"/>
              <w:ind w:left="44"/>
              <w:spacing w:before="13" w:line="213" w:lineRule="auto"/>
              <w:rPr/>
            </w:pPr>
            <w:r>
              <w:rPr>
                <w:spacing w:val="-2"/>
              </w:rPr>
              <w:t>司法局、自然资源</w:t>
            </w:r>
          </w:p>
          <w:p>
            <w:pPr>
              <w:pStyle w:val="TableText"/>
              <w:ind w:left="34"/>
              <w:spacing w:before="12" w:line="213" w:lineRule="auto"/>
              <w:rPr/>
            </w:pPr>
            <w:r>
              <w:rPr>
                <w:spacing w:val="-1"/>
              </w:rPr>
              <w:t>局、住房城乡建设</w:t>
            </w:r>
          </w:p>
          <w:p>
            <w:pPr>
              <w:pStyle w:val="TableText"/>
              <w:spacing w:before="13" w:line="210" w:lineRule="auto"/>
              <w:jc w:val="right"/>
              <w:rPr/>
            </w:pPr>
            <w:r>
              <w:rPr>
                <w:spacing w:val="-18"/>
              </w:rPr>
              <w:t>和交通局、水务局、</w:t>
            </w:r>
          </w:p>
          <w:p>
            <w:pPr>
              <w:pStyle w:val="TableText"/>
              <w:ind w:left="31"/>
              <w:spacing w:before="17" w:line="209" w:lineRule="auto"/>
              <w:rPr/>
            </w:pPr>
            <w:r>
              <w:rPr>
                <w:spacing w:val="-1"/>
              </w:rPr>
              <w:t>农业农村局、卫生</w:t>
            </w:r>
          </w:p>
          <w:p>
            <w:pPr>
              <w:pStyle w:val="TableText"/>
              <w:ind w:left="33"/>
              <w:spacing w:before="14" w:line="214" w:lineRule="auto"/>
              <w:rPr/>
            </w:pPr>
            <w:r>
              <w:rPr>
                <w:spacing w:val="-1"/>
              </w:rPr>
              <w:t>健康局、退役军人</w:t>
            </w:r>
          </w:p>
          <w:p>
            <w:pPr>
              <w:pStyle w:val="TableText"/>
              <w:ind w:left="34"/>
              <w:spacing w:before="10" w:line="214" w:lineRule="auto"/>
              <w:rPr/>
            </w:pPr>
            <w:r>
              <w:rPr>
                <w:spacing w:val="-1"/>
              </w:rPr>
              <w:t>事务局、医疗保障</w:t>
            </w:r>
          </w:p>
          <w:p>
            <w:pPr>
              <w:pStyle w:val="TableText"/>
              <w:ind w:left="34"/>
              <w:spacing w:before="14" w:line="213" w:lineRule="auto"/>
              <w:rPr/>
            </w:pPr>
            <w:r>
              <w:rPr>
                <w:spacing w:val="-1"/>
              </w:rPr>
              <w:t>局，市市场监管局</w:t>
            </w:r>
          </w:p>
          <w:p>
            <w:pPr>
              <w:pStyle w:val="TableText"/>
              <w:ind w:left="34"/>
              <w:spacing w:before="13" w:line="211" w:lineRule="auto"/>
              <w:rPr/>
            </w:pPr>
            <w:r>
              <w:rPr>
                <w:spacing w:val="-1"/>
              </w:rPr>
              <w:t>原州分局、市公安</w:t>
            </w:r>
          </w:p>
          <w:p>
            <w:pPr>
              <w:pStyle w:val="TableText"/>
              <w:spacing w:before="14" w:line="211" w:lineRule="auto"/>
              <w:jc w:val="right"/>
              <w:rPr/>
            </w:pPr>
            <w:r>
              <w:rPr>
                <w:spacing w:val="-17"/>
              </w:rPr>
              <w:t>局原州分局，残联、</w:t>
            </w:r>
          </w:p>
          <w:p>
            <w:pPr>
              <w:pStyle w:val="TableText"/>
              <w:ind w:left="33"/>
              <w:spacing w:before="12" w:line="215" w:lineRule="auto"/>
              <w:rPr/>
            </w:pPr>
            <w:r>
              <w:rPr>
                <w:spacing w:val="-1"/>
              </w:rPr>
              <w:t>妇联，税务局等相</w:t>
            </w:r>
          </w:p>
          <w:p>
            <w:pPr>
              <w:pStyle w:val="TableText"/>
              <w:ind w:left="25"/>
              <w:spacing w:before="9" w:line="224" w:lineRule="auto"/>
              <w:rPr/>
            </w:pPr>
            <w:r>
              <w:rPr>
                <w:spacing w:val="-19"/>
              </w:rPr>
              <w:t>关部门，各乡镇（街</w:t>
            </w:r>
          </w:p>
          <w:p>
            <w:pPr>
              <w:pStyle w:val="TableText"/>
              <w:ind w:left="574"/>
              <w:spacing w:line="247" w:lineRule="exact"/>
              <w:rPr/>
            </w:pPr>
            <w:r>
              <w:rPr>
                <w:spacing w:val="-1"/>
                <w:position w:val="1"/>
              </w:rPr>
              <w:t>道）</w:t>
            </w:r>
          </w:p>
        </w:tc>
      </w:tr>
    </w:tbl>
    <w:p>
      <w:pPr>
        <w:ind w:left="140"/>
        <w:spacing w:before="249" w:line="21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156//2021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p>
      <w:pPr>
        <w:spacing w:line="212" w:lineRule="auto"/>
        <w:sectPr>
          <w:headerReference w:type="default" r:id="rId325"/>
          <w:footerReference w:type="default" r:id="rId58"/>
          <w:pgSz w:w="16839" w:h="11906"/>
          <w:pgMar w:top="1792" w:right="1463" w:bottom="400" w:left="1472" w:header="1428" w:footer="0" w:gutter="0"/>
        </w:sectPr>
        <w:rPr>
          <w:rFonts w:ascii="Microsoft YaHei" w:hAnsi="Microsoft YaHei" w:eastAsia="Microsoft YaHei" w:cs="Microsoft YaHei"/>
          <w:sz w:val="20"/>
          <w:szCs w:val="20"/>
        </w:rPr>
      </w:pPr>
    </w:p>
    <w:p>
      <w:pPr>
        <w:spacing w:line="177" w:lineRule="exact"/>
        <w:rPr/>
      </w:pPr>
      <w:r>
        <w:drawing>
          <wp:anchor distT="0" distB="0" distL="0" distR="0" simplePos="0" relativeHeight="251891712" behindDoc="0" locked="0" layoutInCell="0" allowOverlap="1">
            <wp:simplePos x="0" y="0"/>
            <wp:positionH relativeFrom="page">
              <wp:posOffset>1008380</wp:posOffset>
            </wp:positionH>
            <wp:positionV relativeFrom="page">
              <wp:posOffset>1147445</wp:posOffset>
            </wp:positionV>
            <wp:extent cx="8712200" cy="7620"/>
            <wp:effectExtent l="0" t="0" r="0" b="0"/>
            <wp:wrapNone/>
            <wp:docPr id="656" name="IM 656"/>
            <wp:cNvGraphicFramePr/>
            <a:graphic>
              <a:graphicData uri="http://schemas.openxmlformats.org/drawingml/2006/picture">
                <pic:pic>
                  <pic:nvPicPr>
                    <pic:cNvPr id="656" name="IM 656"/>
                    <pic:cNvPicPr/>
                  </pic:nvPicPr>
                  <pic:blipFill>
                    <a:blip r:embed="rId330"/>
                    <a:stretch>
                      <a:fillRect/>
                    </a:stretch>
                  </pic:blipFill>
                  <pic:spPr>
                    <a:xfrm rot="0">
                      <a:off x="0" y="0"/>
                      <a:ext cx="8712200" cy="7620"/>
                    </a:xfrm>
                    <a:prstGeom prst="rect">
                      <a:avLst/>
                    </a:prstGeom>
                  </pic:spPr>
                </pic:pic>
              </a:graphicData>
            </a:graphic>
          </wp:anchor>
        </w:drawing>
      </w:r>
      <w:r/>
    </w:p>
    <w:tbl>
      <w:tblPr>
        <w:tblStyle w:val="TableNormal"/>
        <w:tblW w:w="13887"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84"/>
        <w:gridCol w:w="1439"/>
        <w:gridCol w:w="5355"/>
        <w:gridCol w:w="3035"/>
        <w:gridCol w:w="833"/>
        <w:gridCol w:w="1132"/>
        <w:gridCol w:w="1509"/>
      </w:tblGrid>
      <w:tr>
        <w:trPr>
          <w:trHeight w:val="539" w:hRule="atLeast"/>
        </w:trPr>
        <w:tc>
          <w:tcPr>
            <w:tcW w:w="584" w:type="dxa"/>
            <w:vAlign w:val="top"/>
            <w:tcBorders>
              <w:left w:val="single" w:color="000000" w:sz="6" w:space="0"/>
              <w:top w:val="single" w:color="000000" w:sz="6" w:space="0"/>
            </w:tcBorders>
          </w:tcPr>
          <w:p>
            <w:pPr>
              <w:pStyle w:val="TableText"/>
              <w:ind w:left="105"/>
              <w:spacing w:before="168" w:line="214" w:lineRule="auto"/>
              <w:rPr/>
            </w:pPr>
            <w:r>
              <w:rPr>
                <w:b/>
                <w:bCs/>
                <w:spacing w:val="-4"/>
              </w:rPr>
              <w:t>序号</w:t>
            </w:r>
          </w:p>
        </w:tc>
        <w:tc>
          <w:tcPr>
            <w:tcW w:w="1439" w:type="dxa"/>
            <w:vAlign w:val="top"/>
            <w:tcBorders>
              <w:top w:val="single" w:color="000000" w:sz="6" w:space="0"/>
            </w:tcBorders>
          </w:tcPr>
          <w:p>
            <w:pPr>
              <w:pStyle w:val="TableText"/>
              <w:ind w:left="358"/>
              <w:spacing w:before="168" w:line="213" w:lineRule="auto"/>
              <w:rPr/>
            </w:pPr>
            <w:r>
              <w:rPr>
                <w:b/>
                <w:bCs/>
                <w:spacing w:val="-4"/>
              </w:rPr>
              <w:t>主要任务</w:t>
            </w:r>
          </w:p>
        </w:tc>
        <w:tc>
          <w:tcPr>
            <w:tcW w:w="5355" w:type="dxa"/>
            <w:vAlign w:val="top"/>
            <w:tcBorders>
              <w:top w:val="single" w:color="000000" w:sz="6" w:space="0"/>
            </w:tcBorders>
          </w:tcPr>
          <w:p>
            <w:pPr>
              <w:pStyle w:val="TableText"/>
              <w:ind w:left="2315"/>
              <w:spacing w:before="170" w:line="211" w:lineRule="auto"/>
              <w:rPr/>
            </w:pPr>
            <w:r>
              <w:rPr>
                <w:b/>
                <w:bCs/>
                <w:spacing w:val="-3"/>
              </w:rPr>
              <w:t>推进措施</w:t>
            </w:r>
          </w:p>
        </w:tc>
        <w:tc>
          <w:tcPr>
            <w:tcW w:w="3035" w:type="dxa"/>
            <w:vAlign w:val="top"/>
            <w:tcBorders>
              <w:top w:val="single" w:color="000000" w:sz="6" w:space="0"/>
            </w:tcBorders>
          </w:tcPr>
          <w:p>
            <w:pPr>
              <w:pStyle w:val="TableText"/>
              <w:ind w:left="1161"/>
              <w:spacing w:before="170" w:line="211" w:lineRule="auto"/>
              <w:rPr/>
            </w:pPr>
            <w:r>
              <w:rPr>
                <w:b/>
                <w:bCs/>
                <w:spacing w:val="-4"/>
              </w:rPr>
              <w:t>预期目标</w:t>
            </w:r>
          </w:p>
        </w:tc>
        <w:tc>
          <w:tcPr>
            <w:tcW w:w="833" w:type="dxa"/>
            <w:vAlign w:val="top"/>
            <w:tcBorders>
              <w:top w:val="single" w:color="000000" w:sz="6" w:space="0"/>
            </w:tcBorders>
          </w:tcPr>
          <w:p>
            <w:pPr>
              <w:pStyle w:val="TableText"/>
              <w:ind w:left="62"/>
              <w:spacing w:before="168" w:line="213" w:lineRule="auto"/>
              <w:rPr/>
            </w:pPr>
            <w:r>
              <w:rPr>
                <w:b/>
                <w:bCs/>
                <w:spacing w:val="-3"/>
              </w:rPr>
              <w:t>责任领导</w:t>
            </w:r>
          </w:p>
        </w:tc>
        <w:tc>
          <w:tcPr>
            <w:tcW w:w="1132" w:type="dxa"/>
            <w:vAlign w:val="top"/>
            <w:tcBorders>
              <w:top w:val="single" w:color="000000" w:sz="6" w:space="0"/>
            </w:tcBorders>
          </w:tcPr>
          <w:p>
            <w:pPr>
              <w:pStyle w:val="TableText"/>
              <w:ind w:left="210"/>
              <w:spacing w:before="169" w:line="212" w:lineRule="auto"/>
              <w:rPr/>
            </w:pPr>
            <w:r>
              <w:rPr>
                <w:b/>
                <w:bCs/>
                <w:spacing w:val="-3"/>
              </w:rPr>
              <w:t>牵头单位</w:t>
            </w:r>
          </w:p>
        </w:tc>
        <w:tc>
          <w:tcPr>
            <w:tcW w:w="1509" w:type="dxa"/>
            <w:vAlign w:val="top"/>
            <w:tcBorders>
              <w:right w:val="single" w:color="000000" w:sz="6" w:space="0"/>
              <w:top w:val="single" w:color="000000" w:sz="6" w:space="0"/>
            </w:tcBorders>
          </w:tcPr>
          <w:p>
            <w:pPr>
              <w:pStyle w:val="TableText"/>
              <w:ind w:left="396"/>
              <w:spacing w:before="168" w:line="214" w:lineRule="auto"/>
              <w:rPr/>
            </w:pPr>
            <w:r>
              <w:rPr>
                <w:b/>
                <w:bCs/>
                <w:spacing w:val="-3"/>
              </w:rPr>
              <w:t>实施单位</w:t>
            </w:r>
          </w:p>
        </w:tc>
      </w:tr>
      <w:tr>
        <w:trPr>
          <w:trHeight w:val="1442" w:hRule="atLeast"/>
        </w:trPr>
        <w:tc>
          <w:tcPr>
            <w:tcW w:w="584" w:type="dxa"/>
            <w:vAlign w:val="top"/>
            <w:tcBorders>
              <w:left w:val="single" w:color="000000" w:sz="6" w:space="0"/>
            </w:tcBorders>
          </w:tcPr>
          <w:p>
            <w:pPr>
              <w:spacing w:line="276" w:lineRule="auto"/>
              <w:rPr>
                <w:rFonts w:ascii="Arial"/>
                <w:sz w:val="21"/>
              </w:rPr>
            </w:pPr>
            <w:r/>
          </w:p>
          <w:p>
            <w:pPr>
              <w:spacing w:line="277" w:lineRule="auto"/>
              <w:rPr>
                <w:rFonts w:ascii="Arial"/>
                <w:sz w:val="21"/>
              </w:rPr>
            </w:pPr>
            <w:r/>
          </w:p>
          <w:p>
            <w:pPr>
              <w:pStyle w:val="TableText"/>
              <w:ind w:left="240"/>
              <w:spacing w:before="58" w:line="262" w:lineRule="exact"/>
              <w:rPr/>
            </w:pPr>
            <w:r>
              <w:rPr>
                <w:position w:val="1"/>
              </w:rPr>
              <w:t>4</w:t>
            </w:r>
          </w:p>
        </w:tc>
        <w:tc>
          <w:tcPr>
            <w:tcW w:w="1439" w:type="dxa"/>
            <w:vAlign w:val="top"/>
          </w:tcPr>
          <w:p>
            <w:pPr>
              <w:spacing w:line="424" w:lineRule="auto"/>
              <w:rPr>
                <w:rFonts w:ascii="Arial"/>
                <w:sz w:val="21"/>
              </w:rPr>
            </w:pPr>
            <w:r/>
          </w:p>
          <w:p>
            <w:pPr>
              <w:pStyle w:val="TableText"/>
              <w:ind w:left="261" w:right="181" w:hanging="88"/>
              <w:spacing w:before="58" w:line="277" w:lineRule="auto"/>
              <w:rPr/>
            </w:pPr>
            <w:r>
              <w:rPr>
                <w:spacing w:val="-1"/>
              </w:rPr>
              <w:t>推进审批服务</w:t>
            </w:r>
            <w:r>
              <w:rPr>
                <w:spacing w:val="-1"/>
              </w:rPr>
              <w:t>标准化建设</w:t>
            </w:r>
          </w:p>
        </w:tc>
        <w:tc>
          <w:tcPr>
            <w:tcW w:w="5355" w:type="dxa"/>
            <w:vAlign w:val="top"/>
          </w:tcPr>
          <w:p>
            <w:pPr>
              <w:pStyle w:val="TableText"/>
              <w:ind w:left="16" w:right="16" w:firstLine="16"/>
              <w:spacing w:before="17" w:line="246" w:lineRule="auto"/>
              <w:rPr/>
            </w:pPr>
            <w:r>
              <w:rPr>
                <w:spacing w:val="-5"/>
              </w:rPr>
              <w:t>1.3</w:t>
            </w:r>
            <w:r>
              <w:rPr>
                <w:spacing w:val="-30"/>
              </w:rPr>
              <w:t xml:space="preserve"> </w:t>
            </w:r>
            <w:r>
              <w:rPr>
                <w:spacing w:val="-5"/>
              </w:rPr>
              <w:t>月20 日前，制定印发《原州区推进基层审批服务便民化改革实施</w:t>
            </w:r>
            <w:r>
              <w:rPr>
                <w:spacing w:val="-1"/>
              </w:rPr>
              <w:t>方案》。</w:t>
            </w:r>
          </w:p>
          <w:p>
            <w:pPr>
              <w:pStyle w:val="TableText"/>
              <w:ind w:left="17"/>
              <w:spacing w:before="1" w:line="231" w:lineRule="auto"/>
              <w:rPr/>
            </w:pPr>
            <w:r>
              <w:rPr>
                <w:spacing w:val="-14"/>
              </w:rPr>
              <w:t>2.3</w:t>
            </w:r>
            <w:r>
              <w:rPr>
                <w:spacing w:val="-34"/>
              </w:rPr>
              <w:t xml:space="preserve"> </w:t>
            </w:r>
            <w:r>
              <w:rPr>
                <w:spacing w:val="-14"/>
              </w:rPr>
              <w:t>月31 日前，制定并公布《原州区乡镇（街道）政务服务事项清单》，</w:t>
            </w:r>
            <w:r>
              <w:rPr>
                <w:spacing w:val="-2"/>
              </w:rPr>
              <w:t>完成乡镇街道事项网上信息录入。</w:t>
            </w:r>
          </w:p>
          <w:p>
            <w:pPr>
              <w:pStyle w:val="TableText"/>
              <w:ind w:left="17" w:right="16" w:firstLine="3"/>
              <w:spacing w:before="27" w:line="232" w:lineRule="auto"/>
              <w:rPr/>
            </w:pPr>
            <w:r>
              <w:rPr>
                <w:spacing w:val="-4"/>
              </w:rPr>
              <w:t>3.3</w:t>
            </w:r>
            <w:r>
              <w:rPr>
                <w:spacing w:val="-38"/>
              </w:rPr>
              <w:t xml:space="preserve"> </w:t>
            </w:r>
            <w:r>
              <w:rPr>
                <w:spacing w:val="-4"/>
              </w:rPr>
              <w:t>月31 日前，建立和完善适应基层实</w:t>
            </w:r>
            <w:r>
              <w:rPr>
                <w:spacing w:val="-5"/>
              </w:rPr>
              <w:t>际的办事指南和工作规程，进</w:t>
            </w:r>
            <w:r>
              <w:rPr>
                <w:spacing w:val="-1"/>
              </w:rPr>
              <w:t>一步优化审批流程，简化审批手续。</w:t>
            </w:r>
          </w:p>
        </w:tc>
        <w:tc>
          <w:tcPr>
            <w:tcW w:w="3035" w:type="dxa"/>
            <w:vAlign w:val="top"/>
            <w:vMerge w:val="restart"/>
            <w:tcBorders>
              <w:bottom w:val="nil"/>
            </w:tcBorders>
          </w:tcPr>
          <w:p>
            <w:pPr>
              <w:spacing w:line="301" w:lineRule="auto"/>
              <w:rPr>
                <w:rFonts w:ascii="Arial"/>
                <w:sz w:val="21"/>
              </w:rPr>
            </w:pPr>
            <w:r/>
          </w:p>
          <w:p>
            <w:pPr>
              <w:spacing w:line="302" w:lineRule="auto"/>
              <w:rPr>
                <w:rFonts w:ascii="Arial"/>
                <w:sz w:val="21"/>
              </w:rPr>
            </w:pPr>
            <w:r/>
          </w:p>
          <w:p>
            <w:pPr>
              <w:pStyle w:val="TableText"/>
              <w:ind w:left="22" w:firstLine="16"/>
              <w:spacing w:before="58" w:line="223" w:lineRule="auto"/>
              <w:rPr/>
            </w:pPr>
            <w:r>
              <w:rPr>
                <w:spacing w:val="-14"/>
              </w:rPr>
              <w:t>1.通过整合设置乡镇街道“综合窗口”，</w:t>
            </w:r>
            <w:r>
              <w:rPr>
                <w:spacing w:val="-7"/>
              </w:rPr>
              <w:t>推行一窗受理、集成服务，基本实现各</w:t>
            </w:r>
            <w:r>
              <w:rPr>
                <w:spacing w:val="-3"/>
              </w:rPr>
              <w:t>乡镇街道民生服务中心面向企业和群</w:t>
            </w:r>
            <w:r>
              <w:rPr>
                <w:spacing w:val="-1"/>
              </w:rPr>
              <w:t>众办理的事项“应进必进”。</w:t>
            </w:r>
          </w:p>
          <w:p>
            <w:pPr>
              <w:pStyle w:val="TableText"/>
              <w:ind w:left="24"/>
              <w:spacing w:before="11" w:line="223" w:lineRule="auto"/>
              <w:rPr/>
            </w:pPr>
            <w:r>
              <w:rPr>
                <w:spacing w:val="-4"/>
              </w:rPr>
              <w:t>2.完善宁夏政务服务网网上办事大厅，</w:t>
            </w:r>
            <w:r>
              <w:rPr>
                <w:spacing w:val="-4"/>
              </w:rPr>
              <w:t>提升宁夏政务服务网“一张网”功能，</w:t>
            </w:r>
            <w:r>
              <w:rPr>
                <w:spacing w:val="-16"/>
              </w:rPr>
              <w:t>实现政务服务事项“一网通办”，让“数</w:t>
            </w:r>
            <w:r>
              <w:rPr/>
              <w:t>据多跑路、让群众少跑腿”。</w:t>
            </w:r>
          </w:p>
          <w:p>
            <w:pPr>
              <w:pStyle w:val="TableText"/>
              <w:ind w:left="23" w:firstLine="4"/>
              <w:spacing w:before="10" w:line="220" w:lineRule="auto"/>
              <w:rPr/>
            </w:pPr>
            <w:r>
              <w:rPr>
                <w:spacing w:val="-8"/>
              </w:rPr>
              <w:t>3.提升村级（社区）代办服务能力，努</w:t>
            </w:r>
            <w:r>
              <w:rPr>
                <w:spacing w:val="-19"/>
                <w:w w:val="98"/>
              </w:rPr>
              <w:t>力实现简单事项不出村、复杂事项可代办。</w:t>
            </w:r>
          </w:p>
        </w:tc>
        <w:tc>
          <w:tcPr>
            <w:tcW w:w="833"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72"/>
              <w:spacing w:before="59" w:line="208" w:lineRule="auto"/>
              <w:rPr/>
            </w:pPr>
            <w:r>
              <w:rPr>
                <w:spacing w:val="-10"/>
              </w:rPr>
              <w:t>田玉铭</w:t>
            </w:r>
          </w:p>
        </w:tc>
        <w:tc>
          <w:tcPr>
            <w:tcW w:w="1132"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301" w:right="105" w:hanging="168"/>
              <w:spacing w:before="58" w:line="227" w:lineRule="auto"/>
              <w:rPr/>
            </w:pPr>
            <w:r>
              <w:rPr>
                <w:spacing w:val="-4"/>
              </w:rPr>
              <w:t>区审批服务</w:t>
            </w:r>
            <w:r>
              <w:rPr>
                <w:spacing w:val="-2"/>
              </w:rPr>
              <w:t>管理局</w:t>
            </w:r>
          </w:p>
        </w:tc>
        <w:tc>
          <w:tcPr>
            <w:tcW w:w="1509" w:type="dxa"/>
            <w:vAlign w:val="top"/>
            <w:vMerge w:val="restart"/>
            <w:tcBorders>
              <w:right w:val="single" w:color="000000" w:sz="6" w:space="0"/>
              <w:bottom w:val="nil"/>
            </w:tcBorders>
          </w:tcPr>
          <w:p>
            <w:pPr>
              <w:pStyle w:val="TableText"/>
              <w:ind w:left="47"/>
              <w:spacing w:before="9" w:line="212" w:lineRule="auto"/>
              <w:rPr/>
            </w:pPr>
            <w:r>
              <w:rPr>
                <w:spacing w:val="-3"/>
              </w:rPr>
              <w:t>区民政局、人力资</w:t>
            </w:r>
          </w:p>
          <w:p>
            <w:pPr>
              <w:pStyle w:val="TableText"/>
              <w:ind w:left="37"/>
              <w:spacing w:before="13" w:line="213" w:lineRule="auto"/>
              <w:rPr/>
            </w:pPr>
            <w:r>
              <w:rPr>
                <w:spacing w:val="-1"/>
              </w:rPr>
              <w:t>源和社会保障局、</w:t>
            </w:r>
          </w:p>
          <w:p>
            <w:pPr>
              <w:pStyle w:val="TableText"/>
              <w:ind w:left="44"/>
              <w:spacing w:before="13" w:line="213" w:lineRule="auto"/>
              <w:rPr/>
            </w:pPr>
            <w:r>
              <w:rPr>
                <w:spacing w:val="-2"/>
              </w:rPr>
              <w:t>司法局、自然资源</w:t>
            </w:r>
          </w:p>
          <w:p>
            <w:pPr>
              <w:pStyle w:val="TableText"/>
              <w:ind w:left="34"/>
              <w:spacing w:before="9" w:line="213" w:lineRule="auto"/>
              <w:rPr/>
            </w:pPr>
            <w:r>
              <w:rPr>
                <w:spacing w:val="-1"/>
              </w:rPr>
              <w:t>局、住房城乡建设</w:t>
            </w:r>
          </w:p>
          <w:p>
            <w:pPr>
              <w:pStyle w:val="TableText"/>
              <w:spacing w:before="16" w:line="210" w:lineRule="auto"/>
              <w:jc w:val="right"/>
              <w:rPr/>
            </w:pPr>
            <w:r>
              <w:rPr>
                <w:spacing w:val="-18"/>
              </w:rPr>
              <w:t>和交通局、水务局、</w:t>
            </w:r>
          </w:p>
          <w:p>
            <w:pPr>
              <w:pStyle w:val="TableText"/>
              <w:ind w:left="31"/>
              <w:spacing w:before="16" w:line="209" w:lineRule="auto"/>
              <w:rPr/>
            </w:pPr>
            <w:r>
              <w:rPr>
                <w:spacing w:val="-1"/>
              </w:rPr>
              <w:t>农业农村局、卫生</w:t>
            </w:r>
          </w:p>
          <w:p>
            <w:pPr>
              <w:pStyle w:val="TableText"/>
              <w:ind w:left="33"/>
              <w:spacing w:before="11" w:line="214" w:lineRule="auto"/>
              <w:rPr/>
            </w:pPr>
            <w:r>
              <w:rPr>
                <w:spacing w:val="-1"/>
              </w:rPr>
              <w:t>健康局、退役军人</w:t>
            </w:r>
          </w:p>
          <w:p>
            <w:pPr>
              <w:pStyle w:val="TableText"/>
              <w:ind w:left="34"/>
              <w:spacing w:before="12" w:line="214" w:lineRule="auto"/>
              <w:rPr/>
            </w:pPr>
            <w:r>
              <w:rPr>
                <w:spacing w:val="-1"/>
              </w:rPr>
              <w:t>事务局、医疗保障</w:t>
            </w:r>
          </w:p>
          <w:p>
            <w:pPr>
              <w:pStyle w:val="TableText"/>
              <w:ind w:left="34"/>
              <w:spacing w:before="15" w:line="213" w:lineRule="auto"/>
              <w:rPr/>
            </w:pPr>
            <w:r>
              <w:rPr>
                <w:spacing w:val="-1"/>
              </w:rPr>
              <w:t>局，市市场监管局</w:t>
            </w:r>
          </w:p>
          <w:p>
            <w:pPr>
              <w:pStyle w:val="TableText"/>
              <w:ind w:left="34"/>
              <w:spacing w:before="10" w:line="211" w:lineRule="auto"/>
              <w:rPr/>
            </w:pPr>
            <w:r>
              <w:rPr>
                <w:spacing w:val="-1"/>
              </w:rPr>
              <w:t>原州分局、市公安</w:t>
            </w:r>
          </w:p>
          <w:p>
            <w:pPr>
              <w:pStyle w:val="TableText"/>
              <w:spacing w:before="17" w:line="211" w:lineRule="auto"/>
              <w:jc w:val="right"/>
              <w:rPr/>
            </w:pPr>
            <w:r>
              <w:rPr>
                <w:spacing w:val="-17"/>
              </w:rPr>
              <w:t>局原州分局，残联、</w:t>
            </w:r>
          </w:p>
          <w:p>
            <w:pPr>
              <w:pStyle w:val="TableText"/>
              <w:ind w:left="33"/>
              <w:spacing w:before="12" w:line="215" w:lineRule="auto"/>
              <w:rPr/>
            </w:pPr>
            <w:r>
              <w:rPr>
                <w:spacing w:val="-1"/>
              </w:rPr>
              <w:t>妇联，税务局等相</w:t>
            </w:r>
          </w:p>
          <w:p>
            <w:pPr>
              <w:pStyle w:val="TableText"/>
              <w:ind w:left="25"/>
              <w:spacing w:before="6" w:line="226" w:lineRule="auto"/>
              <w:rPr/>
            </w:pPr>
            <w:r>
              <w:rPr>
                <w:spacing w:val="-19"/>
              </w:rPr>
              <w:t>关部门，各乡镇（街</w:t>
            </w:r>
          </w:p>
          <w:p>
            <w:pPr>
              <w:pStyle w:val="TableText"/>
              <w:ind w:left="574"/>
              <w:spacing w:line="247" w:lineRule="exact"/>
              <w:rPr/>
            </w:pPr>
            <w:r>
              <w:rPr>
                <w:spacing w:val="-1"/>
                <w:position w:val="1"/>
              </w:rPr>
              <w:t>道）</w:t>
            </w:r>
          </w:p>
        </w:tc>
      </w:tr>
      <w:tr>
        <w:trPr>
          <w:trHeight w:val="1793" w:hRule="atLeast"/>
        </w:trPr>
        <w:tc>
          <w:tcPr>
            <w:tcW w:w="584" w:type="dxa"/>
            <w:vAlign w:val="top"/>
            <w:tcBorders>
              <w:left w:val="single" w:color="000000" w:sz="6" w:space="0"/>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243"/>
              <w:spacing w:before="58" w:line="260" w:lineRule="exact"/>
              <w:rPr/>
            </w:pPr>
            <w:r>
              <w:rPr>
                <w:position w:val="2"/>
              </w:rPr>
              <w:t>5</w:t>
            </w:r>
          </w:p>
        </w:tc>
        <w:tc>
          <w:tcPr>
            <w:tcW w:w="1439" w:type="dxa"/>
            <w:vAlign w:val="top"/>
          </w:tcPr>
          <w:p>
            <w:pPr>
              <w:spacing w:line="301" w:lineRule="auto"/>
              <w:rPr>
                <w:rFonts w:ascii="Arial"/>
                <w:sz w:val="21"/>
              </w:rPr>
            </w:pPr>
            <w:r/>
          </w:p>
          <w:p>
            <w:pPr>
              <w:spacing w:line="301" w:lineRule="auto"/>
              <w:rPr>
                <w:rFonts w:ascii="Arial"/>
                <w:sz w:val="21"/>
              </w:rPr>
            </w:pPr>
            <w:r/>
          </w:p>
          <w:p>
            <w:pPr>
              <w:pStyle w:val="TableText"/>
              <w:ind w:left="354" w:right="181" w:hanging="182"/>
              <w:spacing w:before="59" w:line="275" w:lineRule="auto"/>
              <w:rPr/>
            </w:pPr>
            <w:r>
              <w:rPr>
                <w:spacing w:val="-1"/>
              </w:rPr>
              <w:t>完善村级代办</w:t>
            </w:r>
            <w:r>
              <w:rPr>
                <w:spacing w:val="-2"/>
              </w:rPr>
              <w:t>服务机制</w:t>
            </w:r>
          </w:p>
        </w:tc>
        <w:tc>
          <w:tcPr>
            <w:tcW w:w="5355" w:type="dxa"/>
            <w:vAlign w:val="top"/>
          </w:tcPr>
          <w:p>
            <w:pPr>
              <w:pStyle w:val="TableText"/>
              <w:ind w:left="18" w:right="16" w:firstLine="14"/>
              <w:spacing w:before="194" w:line="237" w:lineRule="auto"/>
              <w:rPr/>
            </w:pPr>
            <w:r>
              <w:rPr>
                <w:spacing w:val="-7"/>
              </w:rPr>
              <w:t>1.4</w:t>
            </w:r>
            <w:r>
              <w:rPr>
                <w:spacing w:val="-29"/>
              </w:rPr>
              <w:t xml:space="preserve"> </w:t>
            </w:r>
            <w:r>
              <w:rPr>
                <w:spacing w:val="-7"/>
              </w:rPr>
              <w:t>月</w:t>
            </w:r>
            <w:r>
              <w:rPr>
                <w:spacing w:val="-25"/>
              </w:rPr>
              <w:t xml:space="preserve"> </w:t>
            </w:r>
            <w:r>
              <w:rPr>
                <w:spacing w:val="-7"/>
              </w:rPr>
              <w:t>10 日前，完善村级代办服务机制，加强村（社区）综合服务站</w:t>
            </w:r>
            <w:r>
              <w:rPr>
                <w:spacing w:val="-3"/>
              </w:rPr>
              <w:t>点建设，推动基本公共服务事项进驻村（社区）办理，推进村级便民</w:t>
            </w:r>
            <w:r>
              <w:rPr>
                <w:spacing w:val="-1"/>
              </w:rPr>
              <w:t>服务点和网上服务站点全覆盖。</w:t>
            </w:r>
          </w:p>
          <w:p>
            <w:pPr>
              <w:pStyle w:val="TableText"/>
              <w:spacing w:before="26" w:line="240" w:lineRule="exact"/>
              <w:jc w:val="right"/>
              <w:rPr/>
            </w:pPr>
            <w:r>
              <w:rPr>
                <w:spacing w:val="-18"/>
                <w:position w:val="1"/>
              </w:rPr>
              <w:t>2.4</w:t>
            </w:r>
            <w:r>
              <w:rPr>
                <w:spacing w:val="-39"/>
                <w:position w:val="1"/>
              </w:rPr>
              <w:t xml:space="preserve"> </w:t>
            </w:r>
            <w:r>
              <w:rPr>
                <w:spacing w:val="-18"/>
                <w:position w:val="1"/>
              </w:rPr>
              <w:t>月10 日前，制定印发《原州区加</w:t>
            </w:r>
            <w:r>
              <w:rPr>
                <w:spacing w:val="-19"/>
                <w:position w:val="1"/>
              </w:rPr>
              <w:t>强基层便民服务队伍建设管理办法》。</w:t>
            </w:r>
          </w:p>
          <w:p>
            <w:pPr>
              <w:pStyle w:val="TableText"/>
              <w:ind w:left="16" w:right="16" w:firstLine="4"/>
              <w:spacing w:before="1" w:line="230" w:lineRule="auto"/>
              <w:rPr/>
            </w:pPr>
            <w:r>
              <w:rPr>
                <w:spacing w:val="-6"/>
              </w:rPr>
              <w:t>3.4</w:t>
            </w:r>
            <w:r>
              <w:rPr>
                <w:spacing w:val="-38"/>
              </w:rPr>
              <w:t xml:space="preserve"> </w:t>
            </w:r>
            <w:r>
              <w:rPr>
                <w:spacing w:val="-6"/>
              </w:rPr>
              <w:t>月</w:t>
            </w:r>
            <w:r>
              <w:rPr>
                <w:spacing w:val="-25"/>
              </w:rPr>
              <w:t xml:space="preserve"> </w:t>
            </w:r>
            <w:r>
              <w:rPr>
                <w:spacing w:val="-6"/>
              </w:rPr>
              <w:t>10 日前，积极开展代缴代办代理等</w:t>
            </w:r>
            <w:r>
              <w:rPr>
                <w:spacing w:val="-7"/>
              </w:rPr>
              <w:t>便民服务，逐步扩大公共服</w:t>
            </w:r>
            <w:r>
              <w:rPr>
                <w:spacing w:val="-1"/>
              </w:rPr>
              <w:t>务事项网上受理、网上办理、网上反馈范围。</w:t>
            </w:r>
          </w:p>
        </w:tc>
        <w:tc>
          <w:tcPr>
            <w:tcW w:w="3035" w:type="dxa"/>
            <w:vAlign w:val="top"/>
            <w:vMerge w:val="continue"/>
            <w:tcBorders>
              <w:top w:val="nil"/>
            </w:tcBorders>
          </w:tcPr>
          <w:p>
            <w:pPr>
              <w:rPr>
                <w:rFonts w:ascii="Arial"/>
                <w:sz w:val="21"/>
              </w:rPr>
            </w:pPr>
            <w:r/>
          </w:p>
        </w:tc>
        <w:tc>
          <w:tcPr>
            <w:tcW w:w="833" w:type="dxa"/>
            <w:vAlign w:val="top"/>
            <w:vMerge w:val="continue"/>
            <w:tcBorders>
              <w:top w:val="nil"/>
            </w:tcBorders>
          </w:tcPr>
          <w:p>
            <w:pPr>
              <w:rPr>
                <w:rFonts w:ascii="Arial"/>
                <w:sz w:val="21"/>
              </w:rPr>
            </w:pPr>
            <w:r/>
          </w:p>
        </w:tc>
        <w:tc>
          <w:tcPr>
            <w:tcW w:w="1132" w:type="dxa"/>
            <w:vAlign w:val="top"/>
            <w:vMerge w:val="continue"/>
            <w:tcBorders>
              <w:top w:val="nil"/>
            </w:tcBorders>
          </w:tcPr>
          <w:p>
            <w:pPr>
              <w:rPr>
                <w:rFonts w:ascii="Arial"/>
                <w:sz w:val="21"/>
              </w:rPr>
            </w:pPr>
            <w:r/>
          </w:p>
        </w:tc>
        <w:tc>
          <w:tcPr>
            <w:tcW w:w="1509" w:type="dxa"/>
            <w:vAlign w:val="top"/>
            <w:vMerge w:val="continue"/>
            <w:tcBorders>
              <w:right w:val="single" w:color="000000" w:sz="6" w:space="0"/>
              <w:top w:val="nil"/>
            </w:tcBorders>
          </w:tcPr>
          <w:p>
            <w:pPr>
              <w:rPr>
                <w:rFonts w:ascii="Arial"/>
                <w:sz w:val="21"/>
              </w:rPr>
            </w:pPr>
            <w:r/>
          </w:p>
        </w:tc>
      </w:tr>
      <w:tr>
        <w:trPr>
          <w:trHeight w:val="1081" w:hRule="atLeast"/>
        </w:trPr>
        <w:tc>
          <w:tcPr>
            <w:tcW w:w="584" w:type="dxa"/>
            <w:vAlign w:val="top"/>
            <w:vMerge w:val="restart"/>
            <w:tcBorders>
              <w:left w:val="single" w:color="000000" w:sz="6" w:space="0"/>
              <w:bottom w:val="nil"/>
            </w:tcBorders>
          </w:tcPr>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pStyle w:val="TableText"/>
              <w:ind w:left="243"/>
              <w:spacing w:before="58" w:line="260" w:lineRule="exact"/>
              <w:rPr/>
            </w:pPr>
            <w:r>
              <w:rPr>
                <w:position w:val="2"/>
              </w:rPr>
              <w:t>6</w:t>
            </w:r>
          </w:p>
        </w:tc>
        <w:tc>
          <w:tcPr>
            <w:tcW w:w="1439" w:type="dxa"/>
            <w:vAlign w:val="top"/>
            <w:vMerge w:val="restart"/>
            <w:tcBorders>
              <w:bottom w:val="nil"/>
            </w:tcBorders>
          </w:tcPr>
          <w:p>
            <w:pPr>
              <w:rPr>
                <w:rFonts w:ascii="Arial"/>
                <w:sz w:val="21"/>
              </w:rPr>
            </w:pPr>
            <w:r/>
          </w:p>
          <w:p>
            <w:pPr>
              <w:rPr>
                <w:rFonts w:ascii="Arial"/>
                <w:sz w:val="21"/>
              </w:rPr>
            </w:pPr>
            <w:r/>
          </w:p>
          <w:p>
            <w:pPr>
              <w:rPr>
                <w:rFonts w:ascii="Arial"/>
                <w:sz w:val="21"/>
              </w:rPr>
            </w:pPr>
            <w:r/>
          </w:p>
          <w:p>
            <w:pPr>
              <w:pStyle w:val="TableText"/>
              <w:ind w:left="262" w:right="269"/>
              <w:spacing w:before="58" w:line="279" w:lineRule="auto"/>
              <w:rPr/>
            </w:pPr>
            <w:r>
              <w:rPr>
                <w:spacing w:val="-1"/>
              </w:rPr>
              <w:t>组建综合行</w:t>
            </w:r>
            <w:r>
              <w:rPr>
                <w:spacing w:val="-1"/>
              </w:rPr>
              <w:t>政执法机构</w:t>
            </w:r>
          </w:p>
        </w:tc>
        <w:tc>
          <w:tcPr>
            <w:tcW w:w="5355" w:type="dxa"/>
            <w:vAlign w:val="top"/>
          </w:tcPr>
          <w:p>
            <w:pPr>
              <w:pStyle w:val="TableText"/>
              <w:ind w:left="15" w:firstLine="5"/>
              <w:spacing w:before="83" w:line="243" w:lineRule="auto"/>
              <w:jc w:val="both"/>
              <w:rPr/>
            </w:pPr>
            <w:r>
              <w:rPr>
                <w:spacing w:val="-2"/>
              </w:rPr>
              <w:t>3</w:t>
            </w:r>
            <w:r>
              <w:rPr>
                <w:spacing w:val="-27"/>
              </w:rPr>
              <w:t xml:space="preserve"> </w:t>
            </w:r>
            <w:r>
              <w:rPr>
                <w:spacing w:val="-2"/>
              </w:rPr>
              <w:t>月</w:t>
            </w:r>
            <w:r>
              <w:rPr>
                <w:spacing w:val="-40"/>
              </w:rPr>
              <w:t xml:space="preserve"> </w:t>
            </w:r>
            <w:r>
              <w:rPr>
                <w:spacing w:val="-2"/>
              </w:rPr>
              <w:t>20 日前，学习借鉴银川市、吴忠市、中宁县、西夏区开展跨领</w:t>
            </w:r>
            <w:r>
              <w:rPr>
                <w:spacing w:val="-4"/>
              </w:rPr>
              <w:t>域跨部门综合执法改革试点经验做法，统筹设计行政区域内乡</w:t>
            </w:r>
            <w:r>
              <w:rPr>
                <w:spacing w:val="-5"/>
              </w:rPr>
              <w:t>镇街道</w:t>
            </w:r>
            <w:r>
              <w:rPr>
                <w:spacing w:val="-8"/>
              </w:rPr>
              <w:t>综合行政执法模式，制定《原州区乡镇街道综合行政执法实施</w:t>
            </w:r>
            <w:r>
              <w:rPr>
                <w:spacing w:val="-9"/>
              </w:rPr>
              <w:t>意见》，</w:t>
            </w:r>
            <w:r>
              <w:rPr>
                <w:spacing w:val="-1"/>
              </w:rPr>
              <w:t>指导乡镇和街道按照有关法律规定相对集中</w:t>
            </w:r>
            <w:r>
              <w:rPr>
                <w:spacing w:val="-2"/>
              </w:rPr>
              <w:t>行使行政处罚权。</w:t>
            </w:r>
          </w:p>
        </w:tc>
        <w:tc>
          <w:tcPr>
            <w:tcW w:w="3035" w:type="dxa"/>
            <w:vAlign w:val="top"/>
            <w:vMerge w:val="restart"/>
            <w:tcBorders>
              <w:bottom w:val="nil"/>
            </w:tcBorders>
          </w:tcPr>
          <w:p>
            <w:pPr>
              <w:spacing w:line="257" w:lineRule="auto"/>
              <w:rPr>
                <w:rFonts w:ascii="Arial"/>
                <w:sz w:val="21"/>
              </w:rPr>
            </w:pPr>
            <w:r/>
          </w:p>
          <w:p>
            <w:pPr>
              <w:pStyle w:val="TableText"/>
              <w:ind w:left="27" w:right="15" w:firstLine="11"/>
              <w:spacing w:before="58" w:line="231" w:lineRule="auto"/>
              <w:rPr/>
            </w:pPr>
            <w:r>
              <w:rPr>
                <w:spacing w:val="-5"/>
              </w:rPr>
              <w:t>1.推动执法关口前移，执法力量和执法</w:t>
            </w:r>
            <w:r>
              <w:rPr>
                <w:spacing w:val="-2"/>
              </w:rPr>
              <w:t>资源下沉。</w:t>
            </w:r>
          </w:p>
          <w:p>
            <w:pPr>
              <w:pStyle w:val="TableText"/>
              <w:ind w:left="21" w:right="12" w:firstLine="2"/>
              <w:spacing w:before="30" w:line="235" w:lineRule="auto"/>
              <w:rPr/>
            </w:pPr>
            <w:r>
              <w:rPr>
                <w:spacing w:val="-5"/>
              </w:rPr>
              <w:t>2.在基层实行综合执法，着力构建“统</w:t>
            </w:r>
            <w:r>
              <w:rPr>
                <w:spacing w:val="-5"/>
              </w:rPr>
              <w:t>筹城乡、专综结合、全域覆盖”的综合</w:t>
            </w:r>
            <w:r>
              <w:rPr>
                <w:spacing w:val="-1"/>
              </w:rPr>
              <w:t>行政执法机制。</w:t>
            </w:r>
          </w:p>
          <w:p>
            <w:pPr>
              <w:pStyle w:val="TableText"/>
              <w:ind w:left="27"/>
              <w:spacing w:before="31" w:line="240" w:lineRule="exact"/>
              <w:rPr/>
            </w:pPr>
            <w:r>
              <w:rPr>
                <w:spacing w:val="-4"/>
                <w:position w:val="1"/>
              </w:rPr>
              <w:t>3.逐步在基层实现一支队伍管执法。</w:t>
            </w:r>
          </w:p>
        </w:tc>
        <w:tc>
          <w:tcPr>
            <w:tcW w:w="833" w:type="dxa"/>
            <w:vAlign w:val="top"/>
          </w:tcPr>
          <w:p>
            <w:pPr>
              <w:spacing w:line="385" w:lineRule="auto"/>
              <w:rPr>
                <w:rFonts w:ascii="Arial"/>
                <w:sz w:val="21"/>
              </w:rPr>
            </w:pPr>
            <w:r/>
          </w:p>
          <w:p>
            <w:pPr>
              <w:pStyle w:val="TableText"/>
              <w:ind w:left="148"/>
              <w:spacing w:before="58" w:line="211" w:lineRule="auto"/>
              <w:rPr/>
            </w:pPr>
            <w:r>
              <w:rPr>
                <w:spacing w:val="-2"/>
              </w:rPr>
              <w:t>杨天峰</w:t>
            </w:r>
          </w:p>
        </w:tc>
        <w:tc>
          <w:tcPr>
            <w:tcW w:w="1132" w:type="dxa"/>
            <w:vAlign w:val="top"/>
          </w:tcPr>
          <w:p>
            <w:pPr>
              <w:spacing w:line="266" w:lineRule="auto"/>
              <w:rPr>
                <w:rFonts w:ascii="Arial"/>
                <w:sz w:val="21"/>
              </w:rPr>
            </w:pPr>
            <w:r/>
          </w:p>
          <w:p>
            <w:pPr>
              <w:pStyle w:val="TableText"/>
              <w:ind w:left="222" w:right="53" w:hanging="180"/>
              <w:spacing w:before="59" w:line="249" w:lineRule="auto"/>
              <w:rPr/>
            </w:pPr>
            <w:r>
              <w:rPr>
                <w:spacing w:val="-9"/>
              </w:rPr>
              <w:t>区委政法委，</w:t>
            </w:r>
            <w:r>
              <w:rPr>
                <w:spacing w:val="-5"/>
              </w:rPr>
              <w:t>区司法局</w:t>
            </w:r>
          </w:p>
        </w:tc>
        <w:tc>
          <w:tcPr>
            <w:tcW w:w="1509" w:type="dxa"/>
            <w:vAlign w:val="top"/>
            <w:vMerge w:val="restart"/>
            <w:tcBorders>
              <w:right w:val="single" w:color="000000" w:sz="6" w:space="0"/>
              <w:bottom w:val="nil"/>
            </w:tcBorders>
          </w:tcPr>
          <w:p>
            <w:pPr>
              <w:pStyle w:val="TableText"/>
              <w:ind w:left="25" w:right="33" w:firstLine="35"/>
              <w:spacing w:before="38" w:line="226" w:lineRule="auto"/>
              <w:jc w:val="both"/>
              <w:rPr/>
            </w:pPr>
            <w:r>
              <w:rPr>
                <w:spacing w:val="-5"/>
              </w:rPr>
              <w:t>自然资源局、综合</w:t>
            </w:r>
            <w:r>
              <w:rPr>
                <w:spacing w:val="-1"/>
              </w:rPr>
              <w:t>执法局、住房城乡</w:t>
            </w:r>
            <w:r>
              <w:rPr>
                <w:spacing w:val="-1"/>
              </w:rPr>
              <w:t>建设和交通局、农</w:t>
            </w:r>
            <w:r>
              <w:rPr>
                <w:spacing w:val="-1"/>
              </w:rPr>
              <w:t>业农村局、应急管</w:t>
            </w:r>
            <w:r>
              <w:rPr>
                <w:spacing w:val="-1"/>
              </w:rPr>
              <w:t>理局，市市场监管</w:t>
            </w:r>
            <w:r>
              <w:rPr>
                <w:spacing w:val="-1"/>
              </w:rPr>
              <w:t>局原州分局、市生</w:t>
            </w:r>
            <w:r>
              <w:rPr>
                <w:spacing w:val="-1"/>
              </w:rPr>
              <w:t>态环境局原州分局</w:t>
            </w:r>
            <w:r>
              <w:rPr>
                <w:spacing w:val="-1"/>
              </w:rPr>
              <w:t>等相关部门，各乡</w:t>
            </w:r>
            <w:r>
              <w:rPr>
                <w:spacing w:val="1"/>
              </w:rPr>
              <w:t>镇（街道）</w:t>
            </w:r>
          </w:p>
        </w:tc>
      </w:tr>
      <w:tr>
        <w:trPr>
          <w:trHeight w:val="941" w:hRule="atLeast"/>
        </w:trPr>
        <w:tc>
          <w:tcPr>
            <w:tcW w:w="584" w:type="dxa"/>
            <w:vAlign w:val="top"/>
            <w:vMerge w:val="continue"/>
            <w:tcBorders>
              <w:left w:val="single" w:color="000000" w:sz="6" w:space="0"/>
              <w:top w:val="nil"/>
            </w:tcBorders>
          </w:tcPr>
          <w:p>
            <w:pPr>
              <w:rPr>
                <w:rFonts w:ascii="Arial"/>
                <w:sz w:val="21"/>
              </w:rPr>
            </w:pPr>
            <w:r/>
          </w:p>
        </w:tc>
        <w:tc>
          <w:tcPr>
            <w:tcW w:w="1439" w:type="dxa"/>
            <w:vAlign w:val="top"/>
            <w:vMerge w:val="continue"/>
            <w:tcBorders>
              <w:top w:val="nil"/>
            </w:tcBorders>
          </w:tcPr>
          <w:p>
            <w:pPr>
              <w:rPr>
                <w:rFonts w:ascii="Arial"/>
                <w:sz w:val="21"/>
              </w:rPr>
            </w:pPr>
            <w:r/>
          </w:p>
        </w:tc>
        <w:tc>
          <w:tcPr>
            <w:tcW w:w="5355" w:type="dxa"/>
            <w:vAlign w:val="top"/>
          </w:tcPr>
          <w:p>
            <w:pPr>
              <w:pStyle w:val="TableText"/>
              <w:ind w:left="15" w:right="16" w:firstLine="4"/>
              <w:spacing w:before="132" w:line="246" w:lineRule="auto"/>
              <w:jc w:val="both"/>
              <w:rPr/>
            </w:pPr>
            <w:r>
              <w:rPr>
                <w:spacing w:val="-1"/>
              </w:rPr>
              <w:t>3</w:t>
            </w:r>
            <w:r>
              <w:rPr>
                <w:spacing w:val="-23"/>
              </w:rPr>
              <w:t xml:space="preserve"> </w:t>
            </w:r>
            <w:r>
              <w:rPr>
                <w:spacing w:val="-1"/>
              </w:rPr>
              <w:t>月</w:t>
            </w:r>
            <w:r>
              <w:rPr>
                <w:spacing w:val="-39"/>
              </w:rPr>
              <w:t xml:space="preserve"> </w:t>
            </w:r>
            <w:r>
              <w:rPr>
                <w:spacing w:val="-1"/>
              </w:rPr>
              <w:t>20 日前，整合现有站所、队执法力量和资源，组建乡镇街道综</w:t>
            </w:r>
            <w:r>
              <w:rPr>
                <w:spacing w:val="-3"/>
              </w:rPr>
              <w:t>合执法办公室，与各领域综合行政执法体制改革及市辖区综合执法改</w:t>
            </w:r>
            <w:r>
              <w:rPr/>
              <w:t>革试点相衔接，推进行政执法权限和力量向基层延伸</w:t>
            </w:r>
            <w:r>
              <w:rPr>
                <w:spacing w:val="-1"/>
              </w:rPr>
              <w:t>和下沉。</w:t>
            </w:r>
          </w:p>
        </w:tc>
        <w:tc>
          <w:tcPr>
            <w:tcW w:w="3035" w:type="dxa"/>
            <w:vAlign w:val="top"/>
            <w:vMerge w:val="continue"/>
            <w:tcBorders>
              <w:top w:val="nil"/>
            </w:tcBorders>
          </w:tcPr>
          <w:p>
            <w:pPr>
              <w:rPr>
                <w:rFonts w:ascii="Arial"/>
                <w:sz w:val="21"/>
              </w:rPr>
            </w:pPr>
            <w:r/>
          </w:p>
        </w:tc>
        <w:tc>
          <w:tcPr>
            <w:tcW w:w="833" w:type="dxa"/>
            <w:vAlign w:val="top"/>
          </w:tcPr>
          <w:p>
            <w:pPr>
              <w:spacing w:line="317" w:lineRule="auto"/>
              <w:rPr>
                <w:rFonts w:ascii="Arial"/>
                <w:sz w:val="21"/>
              </w:rPr>
            </w:pPr>
            <w:r/>
          </w:p>
          <w:p>
            <w:pPr>
              <w:pStyle w:val="TableText"/>
              <w:ind w:left="148"/>
              <w:spacing w:before="58" w:line="211" w:lineRule="auto"/>
              <w:rPr/>
            </w:pPr>
            <w:r>
              <w:rPr>
                <w:spacing w:val="-1"/>
              </w:rPr>
              <w:t>李育龙</w:t>
            </w:r>
          </w:p>
        </w:tc>
        <w:tc>
          <w:tcPr>
            <w:tcW w:w="1132" w:type="dxa"/>
            <w:vAlign w:val="top"/>
          </w:tcPr>
          <w:p>
            <w:pPr>
              <w:spacing w:line="317" w:lineRule="auto"/>
              <w:rPr>
                <w:rFonts w:ascii="Arial"/>
                <w:sz w:val="21"/>
              </w:rPr>
            </w:pPr>
            <w:r/>
          </w:p>
          <w:p>
            <w:pPr>
              <w:pStyle w:val="TableText"/>
              <w:ind w:left="222"/>
              <w:spacing w:before="59" w:line="208" w:lineRule="auto"/>
              <w:rPr/>
            </w:pPr>
            <w:r>
              <w:rPr>
                <w:spacing w:val="-5"/>
              </w:rPr>
              <w:t>区委编办</w:t>
            </w:r>
          </w:p>
        </w:tc>
        <w:tc>
          <w:tcPr>
            <w:tcW w:w="1509" w:type="dxa"/>
            <w:vAlign w:val="top"/>
            <w:vMerge w:val="continue"/>
            <w:tcBorders>
              <w:right w:val="single" w:color="000000" w:sz="6" w:space="0"/>
              <w:top w:val="nil"/>
            </w:tcBorders>
          </w:tcPr>
          <w:p>
            <w:pPr>
              <w:rPr>
                <w:rFonts w:ascii="Arial"/>
                <w:sz w:val="21"/>
              </w:rPr>
            </w:pPr>
            <w:r/>
          </w:p>
        </w:tc>
      </w:tr>
      <w:tr>
        <w:trPr>
          <w:trHeight w:val="2361" w:hRule="atLeast"/>
        </w:trPr>
        <w:tc>
          <w:tcPr>
            <w:tcW w:w="584" w:type="dxa"/>
            <w:vAlign w:val="top"/>
            <w:tcBorders>
              <w:left w:val="single" w:color="000000" w:sz="6" w:space="0"/>
              <w:bottom w:val="single" w:color="000000" w:sz="6" w:space="0"/>
            </w:tcBorders>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241"/>
              <w:spacing w:before="59" w:line="260" w:lineRule="exact"/>
              <w:rPr/>
            </w:pPr>
            <w:r>
              <w:rPr>
                <w:position w:val="2"/>
              </w:rPr>
              <w:t>7</w:t>
            </w:r>
          </w:p>
        </w:tc>
        <w:tc>
          <w:tcPr>
            <w:tcW w:w="1439" w:type="dxa"/>
            <w:vAlign w:val="top"/>
            <w:tcBorders>
              <w:bottom w:val="single" w:color="000000" w:sz="6" w:space="0"/>
            </w:tcBorders>
          </w:tcPr>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pStyle w:val="TableText"/>
              <w:ind w:left="351" w:right="361"/>
              <w:spacing w:before="58" w:line="278" w:lineRule="auto"/>
              <w:rPr/>
            </w:pPr>
            <w:r>
              <w:rPr>
                <w:spacing w:val="-2"/>
              </w:rPr>
              <w:t>完善指挥</w:t>
            </w:r>
            <w:r>
              <w:rPr>
                <w:spacing w:val="-1"/>
              </w:rPr>
              <w:t>协调机制</w:t>
            </w:r>
          </w:p>
        </w:tc>
        <w:tc>
          <w:tcPr>
            <w:tcW w:w="5355" w:type="dxa"/>
            <w:vAlign w:val="top"/>
            <w:tcBorders>
              <w:bottom w:val="single" w:color="000000" w:sz="6" w:space="0"/>
            </w:tcBorders>
          </w:tcPr>
          <w:p>
            <w:pPr>
              <w:pStyle w:val="TableText"/>
              <w:ind w:left="15" w:right="16" w:firstLine="16"/>
              <w:spacing w:before="120" w:line="246" w:lineRule="auto"/>
              <w:rPr/>
            </w:pPr>
            <w:r>
              <w:rPr>
                <w:spacing w:val="-5"/>
              </w:rPr>
              <w:t>1.3</w:t>
            </w:r>
            <w:r>
              <w:rPr>
                <w:spacing w:val="-30"/>
              </w:rPr>
              <w:t xml:space="preserve"> </w:t>
            </w:r>
            <w:r>
              <w:rPr>
                <w:spacing w:val="-5"/>
              </w:rPr>
              <w:t>月31 日前，强化乡镇街道的统一指挥和统筹协调职责，司法局负</w:t>
            </w:r>
            <w:r>
              <w:rPr>
                <w:spacing w:val="-3"/>
              </w:rPr>
              <w:t>责研究制定派驻机构纳入乡镇街道统一指挥协调工作机制的意见。综</w:t>
            </w:r>
            <w:r>
              <w:rPr>
                <w:spacing w:val="-1"/>
              </w:rPr>
              <w:t>合执法局向乡镇（街道）派驻执法队伍。</w:t>
            </w:r>
          </w:p>
          <w:p>
            <w:pPr>
              <w:pStyle w:val="TableText"/>
              <w:ind w:left="17" w:right="16"/>
              <w:spacing w:before="1" w:line="230" w:lineRule="auto"/>
              <w:rPr/>
            </w:pPr>
            <w:r>
              <w:rPr>
                <w:spacing w:val="-4"/>
              </w:rPr>
              <w:t>2.3</w:t>
            </w:r>
            <w:r>
              <w:rPr>
                <w:spacing w:val="-38"/>
              </w:rPr>
              <w:t xml:space="preserve"> </w:t>
            </w:r>
            <w:r>
              <w:rPr>
                <w:spacing w:val="-4"/>
              </w:rPr>
              <w:t>月31 日前，司法局负责制定《乡镇街道综</w:t>
            </w:r>
            <w:r>
              <w:rPr>
                <w:spacing w:val="-5"/>
              </w:rPr>
              <w:t>合执法事项清单》，明</w:t>
            </w:r>
            <w:r>
              <w:rPr>
                <w:spacing w:val="-1"/>
              </w:rPr>
              <w:t>确执法事项的范围、内容。</w:t>
            </w:r>
          </w:p>
          <w:p>
            <w:pPr>
              <w:pStyle w:val="TableText"/>
              <w:ind w:left="19" w:right="16"/>
              <w:spacing w:before="30" w:line="246" w:lineRule="auto"/>
              <w:rPr/>
            </w:pPr>
            <w:r>
              <w:rPr>
                <w:spacing w:val="-4"/>
              </w:rPr>
              <w:t>3.3</w:t>
            </w:r>
            <w:r>
              <w:rPr>
                <w:spacing w:val="-38"/>
              </w:rPr>
              <w:t xml:space="preserve"> </w:t>
            </w:r>
            <w:r>
              <w:rPr>
                <w:spacing w:val="-4"/>
              </w:rPr>
              <w:t>月31 日前，编办和司法局分别负责</w:t>
            </w:r>
            <w:r>
              <w:rPr>
                <w:spacing w:val="-5"/>
              </w:rPr>
              <w:t>组织编制《乡镇（街道）权责</w:t>
            </w:r>
            <w:r>
              <w:rPr>
                <w:spacing w:val="-1"/>
              </w:rPr>
              <w:t>清单》，进一步厘清区乡权责边界，压实责任。</w:t>
            </w:r>
          </w:p>
          <w:p>
            <w:pPr>
              <w:pStyle w:val="TableText"/>
              <w:ind w:left="16" w:hanging="1"/>
              <w:spacing w:before="1" w:line="231" w:lineRule="auto"/>
              <w:rPr/>
            </w:pPr>
            <w:r>
              <w:rPr>
                <w:spacing w:val="-6"/>
              </w:rPr>
              <w:t>4.4</w:t>
            </w:r>
            <w:r>
              <w:rPr>
                <w:spacing w:val="-22"/>
              </w:rPr>
              <w:t xml:space="preserve"> </w:t>
            </w:r>
            <w:r>
              <w:rPr>
                <w:spacing w:val="-6"/>
              </w:rPr>
              <w:t>月20 日前，司法局负责建立健全乡镇街道与区直部门行政执法案</w:t>
            </w:r>
            <w:r>
              <w:rPr>
                <w:spacing w:val="-3"/>
              </w:rPr>
              <w:t>件移送机制及协调机制，按照各自行政执法权限有序开展执法活动。</w:t>
            </w:r>
          </w:p>
        </w:tc>
        <w:tc>
          <w:tcPr>
            <w:tcW w:w="3035" w:type="dxa"/>
            <w:vAlign w:val="top"/>
            <w:tcBorders>
              <w:bottom w:val="single" w:color="000000" w:sz="6" w:space="0"/>
            </w:tcBorders>
          </w:tcPr>
          <w:p>
            <w:pPr>
              <w:pStyle w:val="TableText"/>
              <w:ind w:left="24" w:right="15" w:firstLine="14"/>
              <w:spacing w:before="119" w:line="231" w:lineRule="auto"/>
              <w:rPr/>
            </w:pPr>
            <w:r>
              <w:rPr>
                <w:spacing w:val="-5"/>
              </w:rPr>
              <w:t>1.严格落实属地管理原则，规范派驻机</w:t>
            </w:r>
            <w:r>
              <w:rPr>
                <w:spacing w:val="-2"/>
              </w:rPr>
              <w:t>构设置。</w:t>
            </w:r>
          </w:p>
          <w:p>
            <w:pPr>
              <w:pStyle w:val="TableText"/>
              <w:ind w:left="23" w:right="15" w:firstLine="1"/>
              <w:spacing w:before="31" w:line="238" w:lineRule="auto"/>
              <w:rPr/>
            </w:pPr>
            <w:r>
              <w:rPr>
                <w:spacing w:val="-4"/>
              </w:rPr>
              <w:t>2.乡镇街道与行政执法部门按照各自</w:t>
            </w:r>
            <w:r>
              <w:rPr>
                <w:spacing w:val="-5"/>
              </w:rPr>
              <w:t>职责，做到及时查处行政违法案件，形</w:t>
            </w:r>
            <w:r>
              <w:rPr>
                <w:spacing w:val="-5"/>
              </w:rPr>
              <w:t>成权责明晰、协调配合、高效运转的行</w:t>
            </w:r>
            <w:r>
              <w:rPr>
                <w:spacing w:val="-1"/>
              </w:rPr>
              <w:t>政执法机制。</w:t>
            </w:r>
          </w:p>
          <w:p>
            <w:pPr>
              <w:pStyle w:val="TableText"/>
              <w:ind w:left="27" w:right="15"/>
              <w:spacing w:before="31" w:line="236" w:lineRule="auto"/>
              <w:rPr/>
            </w:pPr>
            <w:r>
              <w:rPr>
                <w:spacing w:val="-5"/>
              </w:rPr>
              <w:t>3.赋予乡镇街道党（工）委对派驻机构</w:t>
            </w:r>
            <w:r>
              <w:rPr>
                <w:spacing w:val="-5"/>
              </w:rPr>
              <w:t>的统一指挥权、干部管理考核权、主要</w:t>
            </w:r>
            <w:r>
              <w:rPr>
                <w:spacing w:val="-1"/>
              </w:rPr>
              <w:t>负责人任免建议权等。</w:t>
            </w:r>
          </w:p>
        </w:tc>
        <w:tc>
          <w:tcPr>
            <w:tcW w:w="833" w:type="dxa"/>
            <w:vAlign w:val="top"/>
            <w:tcBorders>
              <w:bottom w:val="single" w:color="000000" w:sz="6" w:space="0"/>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148"/>
              <w:spacing w:before="58" w:line="211" w:lineRule="auto"/>
              <w:rPr/>
            </w:pPr>
            <w:r>
              <w:rPr>
                <w:spacing w:val="-2"/>
              </w:rPr>
              <w:t>杨天峰</w:t>
            </w:r>
          </w:p>
        </w:tc>
        <w:tc>
          <w:tcPr>
            <w:tcW w:w="1132" w:type="dxa"/>
            <w:vAlign w:val="top"/>
            <w:tcBorders>
              <w:bottom w:val="single" w:color="000000" w:sz="6" w:space="0"/>
            </w:tcBorders>
          </w:tcPr>
          <w:p>
            <w:pPr>
              <w:spacing w:line="300" w:lineRule="auto"/>
              <w:rPr>
                <w:rFonts w:ascii="Arial"/>
                <w:sz w:val="21"/>
              </w:rPr>
            </w:pPr>
            <w:r/>
          </w:p>
          <w:p>
            <w:pPr>
              <w:spacing w:line="300" w:lineRule="auto"/>
              <w:rPr>
                <w:rFonts w:ascii="Arial"/>
                <w:sz w:val="21"/>
              </w:rPr>
            </w:pPr>
            <w:r/>
          </w:p>
          <w:p>
            <w:pPr>
              <w:spacing w:line="301" w:lineRule="auto"/>
              <w:rPr>
                <w:rFonts w:ascii="Arial"/>
                <w:sz w:val="21"/>
              </w:rPr>
            </w:pPr>
            <w:r/>
          </w:p>
          <w:p>
            <w:pPr>
              <w:pStyle w:val="TableText"/>
              <w:ind w:left="221" w:right="142" w:hanging="88"/>
              <w:spacing w:before="59" w:line="249" w:lineRule="auto"/>
              <w:rPr/>
            </w:pPr>
            <w:r>
              <w:rPr>
                <w:spacing w:val="-11"/>
              </w:rPr>
              <w:t>区委编办，</w:t>
            </w:r>
            <w:r>
              <w:rPr>
                <w:spacing w:val="-5"/>
              </w:rPr>
              <w:t>区司法局</w:t>
            </w:r>
          </w:p>
        </w:tc>
        <w:tc>
          <w:tcPr>
            <w:tcW w:w="1509" w:type="dxa"/>
            <w:vAlign w:val="top"/>
            <w:tcBorders>
              <w:bottom w:val="single" w:color="000000" w:sz="6" w:space="0"/>
              <w:right w:val="single" w:color="000000" w:sz="6" w:space="0"/>
            </w:tcBorders>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27"/>
              <w:spacing w:before="59" w:line="240" w:lineRule="exact"/>
              <w:rPr/>
            </w:pPr>
            <w:r>
              <w:rPr>
                <w:spacing w:val="-1"/>
                <w:position w:val="1"/>
              </w:rPr>
              <w:t>各乡镇（街道）</w:t>
            </w:r>
          </w:p>
        </w:tc>
      </w:tr>
    </w:tbl>
    <w:p>
      <w:pPr>
        <w:spacing w:line="143" w:lineRule="exact"/>
        <w:rPr>
          <w:rFonts w:ascii="Arial"/>
          <w:sz w:val="12"/>
        </w:rPr>
      </w:pPr>
      <w:r/>
    </w:p>
    <w:p>
      <w:pPr>
        <w:spacing w:line="143" w:lineRule="exact"/>
        <w:sectPr>
          <w:headerReference w:type="default" r:id="rId328"/>
          <w:footerReference w:type="default" r:id="rId329"/>
          <w:pgSz w:w="16839" w:h="11906"/>
          <w:pgMar w:top="1767" w:right="1463" w:bottom="1570" w:left="1472" w:header="1428" w:footer="1172" w:gutter="0"/>
        </w:sectPr>
        <w:rPr>
          <w:rFonts w:ascii="Arial" w:hAnsi="Arial" w:eastAsia="Arial" w:cs="Arial"/>
          <w:sz w:val="12"/>
          <w:szCs w:val="12"/>
        </w:rPr>
      </w:pPr>
    </w:p>
    <w:p>
      <w:pPr>
        <w:spacing w:line="192" w:lineRule="exact"/>
        <w:rPr/>
      </w:pPr>
      <w:r>
        <w:drawing>
          <wp:anchor distT="0" distB="0" distL="0" distR="0" simplePos="0" relativeHeight="251893760"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662" name="IM 662"/>
            <wp:cNvGraphicFramePr/>
            <a:graphic>
              <a:graphicData uri="http://schemas.openxmlformats.org/drawingml/2006/picture">
                <pic:pic>
                  <pic:nvPicPr>
                    <pic:cNvPr id="662" name="IM 662"/>
                    <pic:cNvPicPr/>
                  </pic:nvPicPr>
                  <pic:blipFill>
                    <a:blip r:embed="rId333"/>
                    <a:stretch>
                      <a:fillRect/>
                    </a:stretch>
                  </pic:blipFill>
                  <pic:spPr>
                    <a:xfrm rot="0">
                      <a:off x="0" y="0"/>
                      <a:ext cx="8712200" cy="7620"/>
                    </a:xfrm>
                    <a:prstGeom prst="rect">
                      <a:avLst/>
                    </a:prstGeom>
                  </pic:spPr>
                </pic:pic>
              </a:graphicData>
            </a:graphic>
          </wp:anchor>
        </w:drawing>
      </w: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3"/>
        <w:gridCol w:w="1439"/>
        <w:gridCol w:w="5355"/>
        <w:gridCol w:w="3035"/>
        <w:gridCol w:w="833"/>
        <w:gridCol w:w="1132"/>
        <w:gridCol w:w="1509"/>
      </w:tblGrid>
      <w:tr>
        <w:trPr>
          <w:trHeight w:val="539" w:hRule="atLeast"/>
        </w:trPr>
        <w:tc>
          <w:tcPr>
            <w:tcW w:w="593" w:type="dxa"/>
            <w:vAlign w:val="top"/>
            <w:tcBorders>
              <w:left w:val="single" w:color="000000" w:sz="6" w:space="0"/>
              <w:top w:val="single" w:color="000000" w:sz="6" w:space="0"/>
            </w:tcBorders>
          </w:tcPr>
          <w:p>
            <w:pPr>
              <w:pStyle w:val="TableText"/>
              <w:ind w:left="114"/>
              <w:spacing w:before="169" w:line="214" w:lineRule="auto"/>
              <w:rPr/>
            </w:pPr>
            <w:r>
              <w:rPr>
                <w:b/>
                <w:bCs/>
                <w:spacing w:val="-4"/>
              </w:rPr>
              <w:t>序号</w:t>
            </w:r>
          </w:p>
        </w:tc>
        <w:tc>
          <w:tcPr>
            <w:tcW w:w="1439" w:type="dxa"/>
            <w:vAlign w:val="top"/>
            <w:tcBorders>
              <w:top w:val="single" w:color="000000" w:sz="6" w:space="0"/>
            </w:tcBorders>
          </w:tcPr>
          <w:p>
            <w:pPr>
              <w:pStyle w:val="TableText"/>
              <w:ind w:left="358"/>
              <w:spacing w:before="169" w:line="213" w:lineRule="auto"/>
              <w:rPr/>
            </w:pPr>
            <w:r>
              <w:rPr>
                <w:b/>
                <w:bCs/>
                <w:spacing w:val="-4"/>
              </w:rPr>
              <w:t>主要任务</w:t>
            </w:r>
          </w:p>
        </w:tc>
        <w:tc>
          <w:tcPr>
            <w:tcW w:w="5355" w:type="dxa"/>
            <w:vAlign w:val="top"/>
            <w:tcBorders>
              <w:top w:val="single" w:color="000000" w:sz="6" w:space="0"/>
            </w:tcBorders>
          </w:tcPr>
          <w:p>
            <w:pPr>
              <w:pStyle w:val="TableText"/>
              <w:ind w:left="2315"/>
              <w:spacing w:before="171" w:line="211" w:lineRule="auto"/>
              <w:rPr/>
            </w:pPr>
            <w:r>
              <w:rPr>
                <w:b/>
                <w:bCs/>
                <w:spacing w:val="-3"/>
              </w:rPr>
              <w:t>推进措施</w:t>
            </w:r>
          </w:p>
        </w:tc>
        <w:tc>
          <w:tcPr>
            <w:tcW w:w="3035" w:type="dxa"/>
            <w:vAlign w:val="top"/>
            <w:tcBorders>
              <w:top w:val="single" w:color="000000" w:sz="6" w:space="0"/>
            </w:tcBorders>
          </w:tcPr>
          <w:p>
            <w:pPr>
              <w:pStyle w:val="TableText"/>
              <w:ind w:left="1161"/>
              <w:spacing w:before="170" w:line="211" w:lineRule="auto"/>
              <w:rPr/>
            </w:pPr>
            <w:r>
              <w:rPr>
                <w:b/>
                <w:bCs/>
                <w:spacing w:val="-4"/>
              </w:rPr>
              <w:t>预期目标</w:t>
            </w:r>
          </w:p>
        </w:tc>
        <w:tc>
          <w:tcPr>
            <w:tcW w:w="833" w:type="dxa"/>
            <w:vAlign w:val="top"/>
            <w:tcBorders>
              <w:top w:val="single" w:color="000000" w:sz="6" w:space="0"/>
            </w:tcBorders>
          </w:tcPr>
          <w:p>
            <w:pPr>
              <w:pStyle w:val="TableText"/>
              <w:ind w:left="62"/>
              <w:spacing w:before="169" w:line="213" w:lineRule="auto"/>
              <w:rPr/>
            </w:pPr>
            <w:r>
              <w:rPr>
                <w:b/>
                <w:bCs/>
                <w:spacing w:val="-3"/>
              </w:rPr>
              <w:t>责任领导</w:t>
            </w:r>
          </w:p>
        </w:tc>
        <w:tc>
          <w:tcPr>
            <w:tcW w:w="1132" w:type="dxa"/>
            <w:vAlign w:val="top"/>
            <w:tcBorders>
              <w:top w:val="single" w:color="000000" w:sz="6" w:space="0"/>
            </w:tcBorders>
          </w:tcPr>
          <w:p>
            <w:pPr>
              <w:pStyle w:val="TableText"/>
              <w:ind w:left="210"/>
              <w:spacing w:before="170" w:line="212" w:lineRule="auto"/>
              <w:rPr/>
            </w:pPr>
            <w:r>
              <w:rPr>
                <w:b/>
                <w:bCs/>
                <w:spacing w:val="-3"/>
              </w:rPr>
              <w:t>牵头单位</w:t>
            </w:r>
          </w:p>
        </w:tc>
        <w:tc>
          <w:tcPr>
            <w:tcW w:w="1509" w:type="dxa"/>
            <w:vAlign w:val="top"/>
            <w:tcBorders>
              <w:right w:val="single" w:color="000000" w:sz="6" w:space="0"/>
              <w:top w:val="single" w:color="000000" w:sz="6" w:space="0"/>
            </w:tcBorders>
          </w:tcPr>
          <w:p>
            <w:pPr>
              <w:pStyle w:val="TableText"/>
              <w:ind w:left="396"/>
              <w:spacing w:before="169" w:line="214" w:lineRule="auto"/>
              <w:rPr/>
            </w:pPr>
            <w:r>
              <w:rPr>
                <w:b/>
                <w:bCs/>
                <w:spacing w:val="-3"/>
              </w:rPr>
              <w:t>实施单位</w:t>
            </w:r>
          </w:p>
        </w:tc>
      </w:tr>
      <w:tr>
        <w:trPr>
          <w:trHeight w:val="1805" w:hRule="atLeast"/>
        </w:trPr>
        <w:tc>
          <w:tcPr>
            <w:tcW w:w="593" w:type="dxa"/>
            <w:vAlign w:val="top"/>
            <w:tcBorders>
              <w:left w:val="single" w:color="000000" w:sz="6" w:space="0"/>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254"/>
              <w:spacing w:before="58" w:line="261" w:lineRule="exact"/>
              <w:rPr/>
            </w:pPr>
            <w:r>
              <w:rPr>
                <w:position w:val="2"/>
              </w:rPr>
              <w:t>8</w:t>
            </w:r>
          </w:p>
        </w:tc>
        <w:tc>
          <w:tcPr>
            <w:tcW w:w="1439" w:type="dxa"/>
            <w:vAlign w:val="top"/>
          </w:tcPr>
          <w:p>
            <w:pPr>
              <w:spacing w:line="302" w:lineRule="auto"/>
              <w:rPr>
                <w:rFonts w:ascii="Arial"/>
                <w:sz w:val="21"/>
              </w:rPr>
            </w:pPr>
            <w:r/>
          </w:p>
          <w:p>
            <w:pPr>
              <w:spacing w:line="302" w:lineRule="auto"/>
              <w:rPr>
                <w:rFonts w:ascii="Arial"/>
                <w:sz w:val="21"/>
              </w:rPr>
            </w:pPr>
            <w:r/>
          </w:p>
          <w:p>
            <w:pPr>
              <w:pStyle w:val="TableText"/>
              <w:ind w:left="351" w:right="89" w:hanging="266"/>
              <w:spacing w:before="59" w:line="279" w:lineRule="auto"/>
              <w:rPr/>
            </w:pPr>
            <w:r>
              <w:rPr>
                <w:spacing w:val="-1"/>
              </w:rPr>
              <w:t>提升行政执法能</w:t>
            </w:r>
            <w:r>
              <w:rPr>
                <w:spacing w:val="-1"/>
              </w:rPr>
              <w:t>力和水平</w:t>
            </w:r>
          </w:p>
        </w:tc>
        <w:tc>
          <w:tcPr>
            <w:tcW w:w="5355" w:type="dxa"/>
            <w:vAlign w:val="top"/>
          </w:tcPr>
          <w:p>
            <w:pPr>
              <w:spacing w:line="258" w:lineRule="auto"/>
              <w:rPr>
                <w:rFonts w:ascii="Arial"/>
                <w:sz w:val="21"/>
              </w:rPr>
            </w:pPr>
            <w:r/>
          </w:p>
          <w:p>
            <w:pPr>
              <w:pStyle w:val="TableText"/>
              <w:ind w:left="17" w:firstLine="15"/>
              <w:spacing w:before="59" w:line="231" w:lineRule="auto"/>
              <w:rPr/>
            </w:pPr>
            <w:r>
              <w:rPr>
                <w:spacing w:val="-6"/>
              </w:rPr>
              <w:t>1.4</w:t>
            </w:r>
            <w:r>
              <w:rPr>
                <w:spacing w:val="-39"/>
              </w:rPr>
              <w:t xml:space="preserve"> </w:t>
            </w:r>
            <w:r>
              <w:rPr>
                <w:spacing w:val="-6"/>
              </w:rPr>
              <w:t>月</w:t>
            </w:r>
            <w:r>
              <w:rPr>
                <w:spacing w:val="-25"/>
              </w:rPr>
              <w:t xml:space="preserve"> </w:t>
            </w:r>
            <w:r>
              <w:rPr>
                <w:spacing w:val="-6"/>
              </w:rPr>
              <w:t>10 日前，组织对乡镇街道综合行政执法人员的</w:t>
            </w:r>
            <w:r>
              <w:rPr>
                <w:spacing w:val="-7"/>
              </w:rPr>
              <w:t>业务指导培训，</w:t>
            </w:r>
            <w:r>
              <w:rPr>
                <w:spacing w:val="-1"/>
              </w:rPr>
              <w:t>规范执法检查、受立案、调查、审查、决定等程序</w:t>
            </w:r>
            <w:r>
              <w:rPr>
                <w:spacing w:val="-2"/>
              </w:rPr>
              <w:t>和行为。</w:t>
            </w:r>
          </w:p>
          <w:p>
            <w:pPr>
              <w:pStyle w:val="TableText"/>
              <w:ind w:left="16" w:right="13" w:firstLine="1"/>
              <w:spacing w:before="29" w:line="232" w:lineRule="auto"/>
              <w:rPr/>
            </w:pPr>
            <w:r>
              <w:rPr>
                <w:spacing w:val="-4"/>
              </w:rPr>
              <w:t>2.4</w:t>
            </w:r>
            <w:r>
              <w:rPr>
                <w:spacing w:val="-36"/>
              </w:rPr>
              <w:t xml:space="preserve"> </w:t>
            </w:r>
            <w:r>
              <w:rPr>
                <w:spacing w:val="-4"/>
              </w:rPr>
              <w:t>月20 日前，严格落实权责清单、自由裁量</w:t>
            </w:r>
            <w:r>
              <w:rPr>
                <w:spacing w:val="-5"/>
              </w:rPr>
              <w:t>基准、执法责任制等制</w:t>
            </w:r>
            <w:r>
              <w:rPr>
                <w:spacing w:val="-1"/>
              </w:rPr>
              <w:t>度，全面推行行政执法三项制度。</w:t>
            </w:r>
          </w:p>
          <w:p>
            <w:pPr>
              <w:pStyle w:val="TableText"/>
              <w:ind w:left="20"/>
              <w:spacing w:before="27" w:line="241" w:lineRule="exact"/>
              <w:rPr/>
            </w:pPr>
            <w:r>
              <w:rPr>
                <w:spacing w:val="-2"/>
                <w:position w:val="1"/>
              </w:rPr>
              <w:t>3.4</w:t>
            </w:r>
            <w:r>
              <w:rPr>
                <w:spacing w:val="-39"/>
                <w:position w:val="1"/>
              </w:rPr>
              <w:t xml:space="preserve"> </w:t>
            </w:r>
            <w:r>
              <w:rPr>
                <w:spacing w:val="-2"/>
                <w:position w:val="1"/>
              </w:rPr>
              <w:t>月30 日前，组织做好行政执法信</w:t>
            </w:r>
            <w:r>
              <w:rPr>
                <w:spacing w:val="-3"/>
                <w:position w:val="1"/>
              </w:rPr>
              <w:t>息化平台推广应用。</w:t>
            </w:r>
          </w:p>
        </w:tc>
        <w:tc>
          <w:tcPr>
            <w:tcW w:w="3035" w:type="dxa"/>
            <w:vAlign w:val="top"/>
          </w:tcPr>
          <w:p>
            <w:pPr>
              <w:pStyle w:val="TableText"/>
              <w:ind w:left="22" w:right="15"/>
              <w:spacing w:before="204" w:line="246" w:lineRule="auto"/>
              <w:jc w:val="both"/>
              <w:rPr/>
            </w:pPr>
            <w:r>
              <w:rPr>
                <w:spacing w:val="-5"/>
              </w:rPr>
              <w:t>行政执法三项制度全面推行，做到执法</w:t>
            </w:r>
            <w:r>
              <w:rPr>
                <w:spacing w:val="-5"/>
              </w:rPr>
              <w:t>行为过程信息全程记载、执法全过程可</w:t>
            </w:r>
            <w:r>
              <w:rPr>
                <w:spacing w:val="-5"/>
              </w:rPr>
              <w:t>追溯管理、重大执法决定法制审核全覆</w:t>
            </w:r>
            <w:r>
              <w:rPr>
                <w:spacing w:val="-5"/>
              </w:rPr>
              <w:t>盖，实现执法信息公开透明、执法全过</w:t>
            </w:r>
            <w:r>
              <w:rPr>
                <w:spacing w:val="-5"/>
              </w:rPr>
              <w:t>程留痕、执法决定合法有效，行政执法</w:t>
            </w:r>
            <w:r>
              <w:rPr>
                <w:spacing w:val="-1"/>
              </w:rPr>
              <w:t>能力和水平整体大幅提升。</w:t>
            </w:r>
          </w:p>
        </w:tc>
        <w:tc>
          <w:tcPr>
            <w:tcW w:w="833" w:type="dxa"/>
            <w:vAlign w:val="top"/>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pStyle w:val="TableText"/>
              <w:ind w:left="148"/>
              <w:spacing w:before="59" w:line="211" w:lineRule="auto"/>
              <w:rPr/>
            </w:pPr>
            <w:r>
              <w:rPr>
                <w:spacing w:val="-2"/>
              </w:rPr>
              <w:t>杨天峰</w:t>
            </w:r>
          </w:p>
        </w:tc>
        <w:tc>
          <w:tcPr>
            <w:tcW w:w="1132"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222"/>
              <w:spacing w:before="59" w:line="204" w:lineRule="auto"/>
              <w:rPr/>
            </w:pPr>
            <w:r>
              <w:rPr>
                <w:spacing w:val="-5"/>
              </w:rPr>
              <w:t>区司法局</w:t>
            </w:r>
          </w:p>
        </w:tc>
        <w:tc>
          <w:tcPr>
            <w:tcW w:w="1509" w:type="dxa"/>
            <w:vAlign w:val="top"/>
            <w:tcBorders>
              <w:right w:val="single" w:color="000000" w:sz="6" w:space="0"/>
            </w:tcBorders>
          </w:tcPr>
          <w:p>
            <w:pPr>
              <w:pStyle w:val="TableText"/>
              <w:ind w:left="24" w:right="33" w:firstLine="16"/>
              <w:spacing w:before="30" w:line="226" w:lineRule="auto"/>
              <w:rPr/>
            </w:pPr>
            <w:r>
              <w:rPr>
                <w:spacing w:val="-3"/>
              </w:rPr>
              <w:t>区自然资源局、综</w:t>
            </w:r>
            <w:r>
              <w:rPr>
                <w:spacing w:val="-1"/>
              </w:rPr>
              <w:t>合执法局、住房城</w:t>
            </w:r>
            <w:r>
              <w:rPr>
                <w:spacing w:val="-1"/>
              </w:rPr>
              <w:t>乡建设和交通局、</w:t>
            </w:r>
            <w:r>
              <w:rPr>
                <w:spacing w:val="-1"/>
              </w:rPr>
              <w:t>农业农村局，市生</w:t>
            </w:r>
            <w:r>
              <w:rPr>
                <w:spacing w:val="-1"/>
              </w:rPr>
              <w:t>态环境局原州分</w:t>
            </w:r>
          </w:p>
          <w:p>
            <w:pPr>
              <w:pStyle w:val="TableText"/>
              <w:ind w:left="27"/>
              <w:spacing w:before="2" w:line="226" w:lineRule="auto"/>
              <w:rPr/>
            </w:pPr>
            <w:r>
              <w:rPr>
                <w:spacing w:val="-10"/>
              </w:rPr>
              <w:t>局、市市场监管局</w:t>
            </w:r>
            <w:r>
              <w:rPr>
                <w:spacing w:val="-13"/>
              </w:rPr>
              <w:t>原州分局等相关部</w:t>
            </w:r>
            <w:r>
              <w:rPr>
                <w:spacing w:val="-17"/>
              </w:rPr>
              <w:t>门，各乡镇（街道）</w:t>
            </w:r>
          </w:p>
        </w:tc>
      </w:tr>
      <w:tr>
        <w:trPr>
          <w:trHeight w:val="5638" w:hRule="atLeast"/>
        </w:trPr>
        <w:tc>
          <w:tcPr>
            <w:tcW w:w="593" w:type="dxa"/>
            <w:vAlign w:val="top"/>
            <w:tcBorders>
              <w:left w:val="single" w:color="000000" w:sz="6" w:space="0"/>
              <w:bottom w:val="single" w:color="000000" w:sz="6" w:space="0"/>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pStyle w:val="TableText"/>
              <w:ind w:left="247"/>
              <w:spacing w:before="58" w:line="261" w:lineRule="exact"/>
              <w:rPr/>
            </w:pPr>
            <w:r>
              <w:rPr>
                <w:position w:val="2"/>
              </w:rPr>
              <w:t>9</w:t>
            </w:r>
          </w:p>
        </w:tc>
        <w:tc>
          <w:tcPr>
            <w:tcW w:w="1439" w:type="dxa"/>
            <w:vAlign w:val="top"/>
            <w:tcBorders>
              <w:bottom w:val="single" w:color="000000" w:sz="6" w:space="0"/>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pStyle w:val="TableText"/>
              <w:ind w:left="441" w:right="269" w:hanging="176"/>
              <w:spacing w:before="58" w:line="281" w:lineRule="auto"/>
              <w:rPr/>
            </w:pPr>
            <w:r>
              <w:rPr>
                <w:spacing w:val="-2"/>
              </w:rPr>
              <w:t>实现“多网</w:t>
            </w:r>
            <w:r>
              <w:rPr>
                <w:spacing w:val="29"/>
              </w:rPr>
              <w:t>合一”</w:t>
            </w:r>
          </w:p>
        </w:tc>
        <w:tc>
          <w:tcPr>
            <w:tcW w:w="5355" w:type="dxa"/>
            <w:vAlign w:val="top"/>
            <w:tcBorders>
              <w:bottom w:val="single" w:color="000000" w:sz="6" w:space="0"/>
            </w:tcBorders>
          </w:tcPr>
          <w:p>
            <w:pPr>
              <w:pStyle w:val="TableText"/>
              <w:ind w:left="15" w:right="16" w:firstLine="17"/>
              <w:spacing w:before="116" w:line="254" w:lineRule="auto"/>
              <w:rPr/>
            </w:pPr>
            <w:r>
              <w:rPr>
                <w:spacing w:val="-5"/>
              </w:rPr>
              <w:t>1.3</w:t>
            </w:r>
            <w:r>
              <w:rPr>
                <w:spacing w:val="-30"/>
              </w:rPr>
              <w:t xml:space="preserve"> </w:t>
            </w:r>
            <w:r>
              <w:rPr>
                <w:spacing w:val="-5"/>
              </w:rPr>
              <w:t>月25 日前，制定具体实施方案，将上级部门在基层设置的多个网</w:t>
            </w:r>
            <w:r>
              <w:rPr>
                <w:spacing w:val="-3"/>
              </w:rPr>
              <w:t>格整合为一个综合网格，依托村（社区）合理划分基本网格单元，统</w:t>
            </w:r>
            <w:r>
              <w:rPr>
                <w:spacing w:val="-3"/>
              </w:rPr>
              <w:t>筹网格内党的建设、社会保障、综合治理、应急管理、社会救助等工</w:t>
            </w:r>
            <w:r>
              <w:rPr>
                <w:spacing w:val="-2"/>
              </w:rPr>
              <w:t>作。</w:t>
            </w:r>
          </w:p>
          <w:p>
            <w:pPr>
              <w:pStyle w:val="TableText"/>
              <w:ind w:left="17"/>
              <w:spacing w:before="50" w:line="242" w:lineRule="auto"/>
              <w:rPr/>
            </w:pPr>
            <w:r>
              <w:rPr>
                <w:spacing w:val="-9"/>
              </w:rPr>
              <w:t>2.3</w:t>
            </w:r>
            <w:r>
              <w:rPr>
                <w:spacing w:val="-38"/>
              </w:rPr>
              <w:t xml:space="preserve"> </w:t>
            </w:r>
            <w:r>
              <w:rPr>
                <w:spacing w:val="-9"/>
              </w:rPr>
              <w:t>月25 日前，结合村“两委换届”科学划分网格，配强配齐网格员，</w:t>
            </w:r>
            <w:r>
              <w:rPr>
                <w:spacing w:val="-2"/>
              </w:rPr>
              <w:t>落实网格员待遇。</w:t>
            </w:r>
          </w:p>
          <w:p>
            <w:pPr>
              <w:pStyle w:val="TableText"/>
              <w:ind w:left="15" w:firstLine="5"/>
              <w:spacing w:before="48" w:line="258" w:lineRule="auto"/>
              <w:rPr/>
            </w:pPr>
            <w:r>
              <w:rPr>
                <w:spacing w:val="-4"/>
              </w:rPr>
              <w:t>3.3</w:t>
            </w:r>
            <w:r>
              <w:rPr>
                <w:spacing w:val="-35"/>
              </w:rPr>
              <w:t xml:space="preserve"> </w:t>
            </w:r>
            <w:r>
              <w:rPr>
                <w:spacing w:val="-4"/>
              </w:rPr>
              <w:t>月31 日前，建立健全相关制度，合理确定网格监管任务和事项，</w:t>
            </w:r>
            <w:r>
              <w:rPr>
                <w:spacing w:val="-5"/>
              </w:rPr>
              <w:t>将网格内的人、地、物、事、组织等基础信息和社情民意、全程代办</w:t>
            </w:r>
            <w:r>
              <w:rPr>
                <w:spacing w:val="-3"/>
              </w:rPr>
              <w:t>服务等事项，全部纳入网格化服务管理工作范围。实行定人、定岗、</w:t>
            </w:r>
            <w:r>
              <w:rPr>
                <w:spacing w:val="-8"/>
              </w:rPr>
              <w:t>定责。建立健全网格民情民意调查摸排、快速反馈、分析研判</w:t>
            </w:r>
            <w:r>
              <w:rPr>
                <w:spacing w:val="-9"/>
              </w:rPr>
              <w:t>等制度，</w:t>
            </w:r>
            <w:r>
              <w:rPr>
                <w:spacing w:val="-5"/>
              </w:rPr>
              <w:t>推动需求在网格征集、资源在网格整合、问题在网格解决，提高基层</w:t>
            </w:r>
            <w:r>
              <w:rPr>
                <w:spacing w:val="-2"/>
              </w:rPr>
              <w:t>治理精准化水平。</w:t>
            </w:r>
          </w:p>
          <w:p>
            <w:pPr>
              <w:pStyle w:val="TableText"/>
              <w:ind w:left="16" w:right="16" w:hanging="1"/>
              <w:spacing w:before="48" w:line="250" w:lineRule="auto"/>
              <w:rPr/>
            </w:pPr>
            <w:r>
              <w:rPr>
                <w:spacing w:val="-4"/>
              </w:rPr>
              <w:t>4.3</w:t>
            </w:r>
            <w:r>
              <w:rPr>
                <w:spacing w:val="-39"/>
              </w:rPr>
              <w:t xml:space="preserve"> </w:t>
            </w:r>
            <w:r>
              <w:rPr>
                <w:spacing w:val="-4"/>
              </w:rPr>
              <w:t>月31 日前，强化党建引领，将党支部或党小组建</w:t>
            </w:r>
            <w:r>
              <w:rPr>
                <w:spacing w:val="-5"/>
              </w:rPr>
              <w:t>在网格上，以网</w:t>
            </w:r>
            <w:r>
              <w:rPr>
                <w:spacing w:val="-3"/>
              </w:rPr>
              <w:t>格为基本单元，设立党员示范岗、党员先锋岗、党员责任区等，选优</w:t>
            </w:r>
            <w:r>
              <w:rPr>
                <w:spacing w:val="-1"/>
              </w:rPr>
              <w:t>配强党支部书记或党小组组长。</w:t>
            </w:r>
          </w:p>
          <w:p>
            <w:pPr>
              <w:pStyle w:val="TableText"/>
              <w:ind w:left="18" w:right="16"/>
              <w:spacing w:before="48" w:line="258" w:lineRule="auto"/>
              <w:rPr/>
            </w:pPr>
            <w:r>
              <w:rPr>
                <w:spacing w:val="-6"/>
              </w:rPr>
              <w:t>5.4</w:t>
            </w:r>
            <w:r>
              <w:rPr>
                <w:spacing w:val="-38"/>
              </w:rPr>
              <w:t xml:space="preserve"> </w:t>
            </w:r>
            <w:r>
              <w:rPr>
                <w:spacing w:val="-6"/>
              </w:rPr>
              <w:t>月</w:t>
            </w:r>
            <w:r>
              <w:rPr>
                <w:spacing w:val="-25"/>
              </w:rPr>
              <w:t xml:space="preserve"> </w:t>
            </w:r>
            <w:r>
              <w:rPr>
                <w:spacing w:val="-6"/>
              </w:rPr>
              <w:t>10 日前，制定完善村（社区）党支部、</w:t>
            </w:r>
            <w:r>
              <w:rPr>
                <w:spacing w:val="-7"/>
              </w:rPr>
              <w:t>党小组及网格员管理考</w:t>
            </w:r>
            <w:r>
              <w:rPr>
                <w:spacing w:val="-1"/>
              </w:rPr>
              <w:t>核奖励办法（细则）和工作人员薪酬福利奖励政策。</w:t>
            </w:r>
          </w:p>
          <w:p>
            <w:pPr>
              <w:pStyle w:val="TableText"/>
              <w:ind w:left="17" w:firstLine="1"/>
              <w:spacing w:before="19" w:line="254" w:lineRule="auto"/>
              <w:rPr/>
            </w:pPr>
            <w:r>
              <w:rPr>
                <w:spacing w:val="-6"/>
              </w:rPr>
              <w:t>6.4</w:t>
            </w:r>
            <w:r>
              <w:rPr>
                <w:spacing w:val="-28"/>
              </w:rPr>
              <w:t xml:space="preserve"> </w:t>
            </w:r>
            <w:r>
              <w:rPr>
                <w:spacing w:val="-6"/>
              </w:rPr>
              <w:t>月30 日前，创新管理机制，打造样板模式，以点带面，推进网格</w:t>
            </w:r>
            <w:r>
              <w:rPr>
                <w:spacing w:val="-5"/>
              </w:rPr>
              <w:t>化服务管理标准化建设，细化工作流程，推进城乡统筹，提高网格管</w:t>
            </w:r>
            <w:r>
              <w:rPr>
                <w:spacing w:val="-3"/>
              </w:rPr>
              <w:t>理规范化精细化水平，加强网格资源配置，把公共服务、社会服务、</w:t>
            </w:r>
            <w:r>
              <w:rPr>
                <w:spacing w:val="-2"/>
              </w:rPr>
              <w:t>市场服务、志愿服务下沉到网格，精准投送到千家万户。</w:t>
            </w:r>
          </w:p>
        </w:tc>
        <w:tc>
          <w:tcPr>
            <w:tcW w:w="3035" w:type="dxa"/>
            <w:vAlign w:val="top"/>
            <w:tcBorders>
              <w:bottom w:val="single" w:color="000000" w:sz="6" w:space="0"/>
            </w:tcBorders>
          </w:tcPr>
          <w:p>
            <w:pPr>
              <w:spacing w:line="353" w:lineRule="auto"/>
              <w:rPr>
                <w:rFonts w:ascii="Arial"/>
                <w:sz w:val="21"/>
              </w:rPr>
            </w:pPr>
            <w:r/>
          </w:p>
          <w:p>
            <w:pPr>
              <w:spacing w:line="353" w:lineRule="auto"/>
              <w:rPr>
                <w:rFonts w:ascii="Arial"/>
                <w:sz w:val="21"/>
              </w:rPr>
            </w:pPr>
            <w:r/>
          </w:p>
          <w:p>
            <w:pPr>
              <w:pStyle w:val="TableText"/>
              <w:ind w:left="22" w:right="12" w:firstLine="16"/>
              <w:spacing w:before="58" w:line="259" w:lineRule="auto"/>
              <w:rPr/>
            </w:pPr>
            <w:r>
              <w:rPr>
                <w:spacing w:val="-5"/>
              </w:rPr>
              <w:t>1.整合设置基层综合网络，建立以乡镇</w:t>
            </w:r>
            <w:r>
              <w:rPr>
                <w:spacing w:val="-5"/>
              </w:rPr>
              <w:t>街道为主体、以网格为基本单元、以村</w:t>
            </w:r>
            <w:r>
              <w:rPr>
                <w:spacing w:val="-4"/>
              </w:rPr>
              <w:t>(社区)为统领的基层精细化管理体系，</w:t>
            </w:r>
            <w:r>
              <w:rPr>
                <w:spacing w:val="-5"/>
              </w:rPr>
              <w:t>实现从“行政末端”向“治理中枢”的</w:t>
            </w:r>
            <w:r>
              <w:rPr>
                <w:spacing w:val="-14"/>
              </w:rPr>
              <w:t>转变，村(社区)实现从“抓事务”到“抓</w:t>
            </w:r>
            <w:r>
              <w:rPr>
                <w:spacing w:val="-5"/>
              </w:rPr>
              <w:t>服务”的转型。完成年度平安建设考核</w:t>
            </w:r>
            <w:r>
              <w:rPr>
                <w:spacing w:val="-1"/>
              </w:rPr>
              <w:t>考评工作。</w:t>
            </w:r>
          </w:p>
          <w:p>
            <w:pPr>
              <w:pStyle w:val="TableText"/>
              <w:ind w:left="22" w:right="12" w:firstLine="1"/>
              <w:spacing w:before="48" w:line="257" w:lineRule="auto"/>
              <w:rPr/>
            </w:pPr>
            <w:r>
              <w:rPr>
                <w:spacing w:val="-5"/>
              </w:rPr>
              <w:t>2.推动实现“两网合一”，将党建服务</w:t>
            </w:r>
            <w:r>
              <w:rPr>
                <w:spacing w:val="-5"/>
              </w:rPr>
              <w:t>点设在网格，实现党的组织和工作全覆</w:t>
            </w:r>
            <w:r>
              <w:rPr>
                <w:spacing w:val="-5"/>
              </w:rPr>
              <w:t>盖。推进单位党建、行业党建、区域党</w:t>
            </w:r>
            <w:r>
              <w:rPr>
                <w:spacing w:val="-5"/>
              </w:rPr>
              <w:t>建互联互动，不断提高基层治理现代化</w:t>
            </w:r>
            <w:r>
              <w:rPr>
                <w:spacing w:val="-1"/>
              </w:rPr>
              <w:t>水平。</w:t>
            </w:r>
          </w:p>
          <w:p>
            <w:pPr>
              <w:pStyle w:val="TableText"/>
              <w:ind w:left="23" w:right="15" w:firstLine="4"/>
              <w:spacing w:before="46" w:line="254" w:lineRule="auto"/>
              <w:rPr/>
            </w:pPr>
            <w:r>
              <w:rPr>
                <w:spacing w:val="-5"/>
              </w:rPr>
              <w:t>3.进一步提升村（社区）网格化管理服</w:t>
            </w:r>
            <w:r>
              <w:rPr>
                <w:spacing w:val="-5"/>
              </w:rPr>
              <w:t>务规范化精细化水平，网格划分更加科</w:t>
            </w:r>
            <w:r>
              <w:rPr>
                <w:spacing w:val="-5"/>
              </w:rPr>
              <w:t>学合理、网格员队伍能力素质得到进一</w:t>
            </w:r>
            <w:r>
              <w:rPr>
                <w:spacing w:val="-1"/>
              </w:rPr>
              <w:t>步提升。</w:t>
            </w:r>
          </w:p>
        </w:tc>
        <w:tc>
          <w:tcPr>
            <w:tcW w:w="833" w:type="dxa"/>
            <w:vAlign w:val="top"/>
            <w:tcBorders>
              <w:bottom w:val="single" w:color="000000" w:sz="6" w:space="0"/>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48"/>
              <w:spacing w:before="59" w:line="211" w:lineRule="auto"/>
              <w:rPr/>
            </w:pPr>
            <w:r>
              <w:rPr>
                <w:spacing w:val="-1"/>
              </w:rPr>
              <w:t>刘世贤</w:t>
            </w:r>
          </w:p>
        </w:tc>
        <w:tc>
          <w:tcPr>
            <w:tcW w:w="1132" w:type="dxa"/>
            <w:vAlign w:val="top"/>
            <w:tcBorders>
              <w:bottom w:val="single" w:color="000000" w:sz="6" w:space="0"/>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pStyle w:val="TableText"/>
              <w:ind w:left="209" w:right="39" w:hanging="167"/>
              <w:spacing w:before="59" w:line="276" w:lineRule="auto"/>
              <w:rPr/>
            </w:pPr>
            <w:r>
              <w:rPr>
                <w:spacing w:val="-7"/>
              </w:rPr>
              <w:t>区委组织部、</w:t>
            </w:r>
            <w:r>
              <w:rPr>
                <w:spacing w:val="-2"/>
              </w:rPr>
              <w:t>政法委，</w:t>
            </w:r>
          </w:p>
          <w:p>
            <w:pPr>
              <w:pStyle w:val="TableText"/>
              <w:ind w:left="222"/>
              <w:spacing w:line="210" w:lineRule="auto"/>
              <w:rPr/>
            </w:pPr>
            <w:r>
              <w:rPr>
                <w:spacing w:val="-5"/>
              </w:rPr>
              <w:t>区民政局</w:t>
            </w:r>
          </w:p>
        </w:tc>
        <w:tc>
          <w:tcPr>
            <w:tcW w:w="1509" w:type="dxa"/>
            <w:vAlign w:val="top"/>
            <w:tcBorders>
              <w:bottom w:val="single" w:color="000000" w:sz="6" w:space="0"/>
              <w:right w:val="single" w:color="000000" w:sz="6" w:space="0"/>
            </w:tcBorders>
          </w:tcPr>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25" w:right="33" w:firstLine="14"/>
              <w:spacing w:before="58" w:line="282" w:lineRule="auto"/>
              <w:rPr/>
            </w:pPr>
            <w:r>
              <w:rPr>
                <w:spacing w:val="-3"/>
              </w:rPr>
              <w:t>区人力资源和社会</w:t>
            </w:r>
            <w:r>
              <w:rPr>
                <w:spacing w:val="-1"/>
              </w:rPr>
              <w:t>保障局、财政局、</w:t>
            </w:r>
            <w:r>
              <w:rPr>
                <w:spacing w:val="-1"/>
              </w:rPr>
              <w:t>应急管理局等相关</w:t>
            </w:r>
            <w:r>
              <w:rPr>
                <w:spacing w:val="-1"/>
              </w:rPr>
              <w:t>部门，各乡镇（街</w:t>
            </w:r>
            <w:r>
              <w:rPr>
                <w:spacing w:val="2"/>
              </w:rPr>
              <w:t>道）</w:t>
            </w:r>
          </w:p>
        </w:tc>
      </w:tr>
    </w:tbl>
    <w:p>
      <w:pPr>
        <w:spacing w:line="205" w:lineRule="exact"/>
        <w:rPr>
          <w:rFonts w:ascii="Arial"/>
          <w:sz w:val="17"/>
        </w:rPr>
      </w:pPr>
      <w:r/>
    </w:p>
    <w:p>
      <w:pPr>
        <w:spacing w:line="205" w:lineRule="exact"/>
        <w:sectPr>
          <w:headerReference w:type="default" r:id="rId331"/>
          <w:footerReference w:type="default" r:id="rId332"/>
          <w:pgSz w:w="16839" w:h="11906"/>
          <w:pgMar w:top="1792" w:right="1463" w:bottom="1672" w:left="1463" w:header="1428" w:footer="1277" w:gutter="0"/>
        </w:sectPr>
        <w:rPr>
          <w:rFonts w:ascii="Arial" w:hAnsi="Arial" w:eastAsia="Arial" w:cs="Arial"/>
          <w:sz w:val="17"/>
          <w:szCs w:val="17"/>
        </w:rPr>
      </w:pPr>
    </w:p>
    <w:p>
      <w:pPr>
        <w:spacing w:line="177" w:lineRule="exact"/>
        <w:rPr/>
      </w:pPr>
      <w:r>
        <w:drawing>
          <wp:anchor distT="0" distB="0" distL="0" distR="0" simplePos="0" relativeHeight="251895808" behindDoc="0" locked="0" layoutInCell="0" allowOverlap="1">
            <wp:simplePos x="0" y="0"/>
            <wp:positionH relativeFrom="page">
              <wp:posOffset>1008380</wp:posOffset>
            </wp:positionH>
            <wp:positionV relativeFrom="page">
              <wp:posOffset>1147445</wp:posOffset>
            </wp:positionV>
            <wp:extent cx="8712200" cy="7620"/>
            <wp:effectExtent l="0" t="0" r="0" b="0"/>
            <wp:wrapNone/>
            <wp:docPr id="668" name="IM 668"/>
            <wp:cNvGraphicFramePr/>
            <a:graphic>
              <a:graphicData uri="http://schemas.openxmlformats.org/drawingml/2006/picture">
                <pic:pic>
                  <pic:nvPicPr>
                    <pic:cNvPr id="668" name="IM 668"/>
                    <pic:cNvPicPr/>
                  </pic:nvPicPr>
                  <pic:blipFill>
                    <a:blip r:embed="rId336"/>
                    <a:stretch>
                      <a:fillRect/>
                    </a:stretch>
                  </pic:blipFill>
                  <pic:spPr>
                    <a:xfrm rot="0">
                      <a:off x="0" y="0"/>
                      <a:ext cx="8712200" cy="7620"/>
                    </a:xfrm>
                    <a:prstGeom prst="rect">
                      <a:avLst/>
                    </a:prstGeom>
                  </pic:spPr>
                </pic:pic>
              </a:graphicData>
            </a:graphic>
          </wp:anchor>
        </w:drawing>
      </w: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3"/>
        <w:gridCol w:w="1439"/>
        <w:gridCol w:w="5355"/>
        <w:gridCol w:w="3035"/>
        <w:gridCol w:w="833"/>
        <w:gridCol w:w="1132"/>
        <w:gridCol w:w="1509"/>
      </w:tblGrid>
      <w:tr>
        <w:trPr>
          <w:trHeight w:val="539" w:hRule="atLeast"/>
        </w:trPr>
        <w:tc>
          <w:tcPr>
            <w:tcW w:w="593" w:type="dxa"/>
            <w:vAlign w:val="top"/>
            <w:tcBorders>
              <w:left w:val="single" w:color="000000" w:sz="6" w:space="0"/>
              <w:top w:val="single" w:color="000000" w:sz="6" w:space="0"/>
            </w:tcBorders>
          </w:tcPr>
          <w:p>
            <w:pPr>
              <w:pStyle w:val="TableText"/>
              <w:ind w:left="114"/>
              <w:spacing w:before="168" w:line="214" w:lineRule="auto"/>
              <w:rPr/>
            </w:pPr>
            <w:r>
              <w:rPr>
                <w:b/>
                <w:bCs/>
                <w:spacing w:val="-4"/>
              </w:rPr>
              <w:t>序号</w:t>
            </w:r>
          </w:p>
        </w:tc>
        <w:tc>
          <w:tcPr>
            <w:tcW w:w="1439" w:type="dxa"/>
            <w:vAlign w:val="top"/>
            <w:tcBorders>
              <w:top w:val="single" w:color="000000" w:sz="6" w:space="0"/>
            </w:tcBorders>
          </w:tcPr>
          <w:p>
            <w:pPr>
              <w:pStyle w:val="TableText"/>
              <w:ind w:left="358"/>
              <w:spacing w:before="168" w:line="213" w:lineRule="auto"/>
              <w:rPr/>
            </w:pPr>
            <w:r>
              <w:rPr>
                <w:b/>
                <w:bCs/>
                <w:spacing w:val="-4"/>
              </w:rPr>
              <w:t>主要任务</w:t>
            </w:r>
          </w:p>
        </w:tc>
        <w:tc>
          <w:tcPr>
            <w:tcW w:w="5355" w:type="dxa"/>
            <w:vAlign w:val="top"/>
            <w:tcBorders>
              <w:top w:val="single" w:color="000000" w:sz="6" w:space="0"/>
            </w:tcBorders>
          </w:tcPr>
          <w:p>
            <w:pPr>
              <w:pStyle w:val="TableText"/>
              <w:ind w:left="2315"/>
              <w:spacing w:before="170" w:line="211" w:lineRule="auto"/>
              <w:rPr/>
            </w:pPr>
            <w:r>
              <w:rPr>
                <w:b/>
                <w:bCs/>
                <w:spacing w:val="-3"/>
              </w:rPr>
              <w:t>推进措施</w:t>
            </w:r>
          </w:p>
        </w:tc>
        <w:tc>
          <w:tcPr>
            <w:tcW w:w="3035" w:type="dxa"/>
            <w:vAlign w:val="top"/>
            <w:tcBorders>
              <w:top w:val="single" w:color="000000" w:sz="6" w:space="0"/>
            </w:tcBorders>
          </w:tcPr>
          <w:p>
            <w:pPr>
              <w:pStyle w:val="TableText"/>
              <w:ind w:left="1161"/>
              <w:spacing w:before="170" w:line="211" w:lineRule="auto"/>
              <w:rPr/>
            </w:pPr>
            <w:r>
              <w:rPr>
                <w:b/>
                <w:bCs/>
                <w:spacing w:val="-4"/>
              </w:rPr>
              <w:t>预期目标</w:t>
            </w:r>
          </w:p>
        </w:tc>
        <w:tc>
          <w:tcPr>
            <w:tcW w:w="833" w:type="dxa"/>
            <w:vAlign w:val="top"/>
            <w:tcBorders>
              <w:top w:val="single" w:color="000000" w:sz="6" w:space="0"/>
            </w:tcBorders>
          </w:tcPr>
          <w:p>
            <w:pPr>
              <w:pStyle w:val="TableText"/>
              <w:ind w:left="62"/>
              <w:spacing w:before="168" w:line="213" w:lineRule="auto"/>
              <w:rPr/>
            </w:pPr>
            <w:r>
              <w:rPr>
                <w:b/>
                <w:bCs/>
                <w:spacing w:val="-3"/>
              </w:rPr>
              <w:t>责任领导</w:t>
            </w:r>
          </w:p>
        </w:tc>
        <w:tc>
          <w:tcPr>
            <w:tcW w:w="1132" w:type="dxa"/>
            <w:vAlign w:val="top"/>
            <w:tcBorders>
              <w:top w:val="single" w:color="000000" w:sz="6" w:space="0"/>
            </w:tcBorders>
          </w:tcPr>
          <w:p>
            <w:pPr>
              <w:pStyle w:val="TableText"/>
              <w:ind w:left="210"/>
              <w:spacing w:before="169" w:line="212" w:lineRule="auto"/>
              <w:rPr/>
            </w:pPr>
            <w:r>
              <w:rPr>
                <w:b/>
                <w:bCs/>
                <w:spacing w:val="-3"/>
              </w:rPr>
              <w:t>牵头单位</w:t>
            </w:r>
          </w:p>
        </w:tc>
        <w:tc>
          <w:tcPr>
            <w:tcW w:w="1509" w:type="dxa"/>
            <w:vAlign w:val="top"/>
            <w:tcBorders>
              <w:right w:val="single" w:color="000000" w:sz="6" w:space="0"/>
              <w:top w:val="single" w:color="000000" w:sz="6" w:space="0"/>
            </w:tcBorders>
          </w:tcPr>
          <w:p>
            <w:pPr>
              <w:pStyle w:val="TableText"/>
              <w:ind w:left="396"/>
              <w:spacing w:before="168" w:line="214" w:lineRule="auto"/>
              <w:rPr/>
            </w:pPr>
            <w:r>
              <w:rPr>
                <w:b/>
                <w:bCs/>
                <w:spacing w:val="-3"/>
              </w:rPr>
              <w:t>实施单位</w:t>
            </w:r>
          </w:p>
        </w:tc>
      </w:tr>
      <w:tr>
        <w:trPr>
          <w:trHeight w:val="4164" w:hRule="atLeast"/>
        </w:trPr>
        <w:tc>
          <w:tcPr>
            <w:tcW w:w="593" w:type="dxa"/>
            <w:vAlign w:val="top"/>
            <w:tcBorders>
              <w:left w:val="single" w:color="000000" w:sz="6" w:space="0"/>
            </w:tcBorders>
          </w:tcPr>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216"/>
              <w:spacing w:before="58" w:line="261" w:lineRule="exact"/>
              <w:rPr/>
            </w:pPr>
            <w:r>
              <w:rPr>
                <w:spacing w:val="-11"/>
                <w:position w:val="1"/>
              </w:rPr>
              <w:t>10</w:t>
            </w:r>
          </w:p>
        </w:tc>
        <w:tc>
          <w:tcPr>
            <w:tcW w:w="1439" w:type="dxa"/>
            <w:vAlign w:val="top"/>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TableText"/>
              <w:ind w:left="172"/>
              <w:spacing w:before="58" w:line="215" w:lineRule="auto"/>
              <w:rPr/>
            </w:pPr>
            <w:r>
              <w:rPr>
                <w:spacing w:val="-1"/>
              </w:rPr>
              <w:t>加快平台建设</w:t>
            </w:r>
          </w:p>
        </w:tc>
        <w:tc>
          <w:tcPr>
            <w:tcW w:w="5355" w:type="dxa"/>
            <w:vAlign w:val="top"/>
          </w:tcPr>
          <w:p>
            <w:pPr>
              <w:pStyle w:val="TableText"/>
              <w:ind w:left="16" w:firstLine="15"/>
              <w:spacing w:before="289" w:line="257" w:lineRule="auto"/>
              <w:rPr/>
            </w:pPr>
            <w:r>
              <w:rPr>
                <w:spacing w:val="-8"/>
              </w:rPr>
              <w:t>1.4</w:t>
            </w:r>
            <w:r>
              <w:rPr>
                <w:spacing w:val="-39"/>
              </w:rPr>
              <w:t xml:space="preserve"> </w:t>
            </w:r>
            <w:r>
              <w:rPr>
                <w:spacing w:val="-8"/>
              </w:rPr>
              <w:t>月</w:t>
            </w:r>
            <w:r>
              <w:rPr>
                <w:spacing w:val="-25"/>
              </w:rPr>
              <w:t xml:space="preserve"> </w:t>
            </w:r>
            <w:r>
              <w:rPr>
                <w:spacing w:val="-8"/>
              </w:rPr>
              <w:t>10 日前，对接上级部门，按照要求整合信息，收</w:t>
            </w:r>
            <w:r>
              <w:rPr>
                <w:spacing w:val="-9"/>
              </w:rPr>
              <w:t>集、录入人口</w:t>
            </w:r>
            <w:r>
              <w:rPr>
                <w:spacing w:val="-8"/>
              </w:rPr>
              <w:t>等数据。整合现有设在乡镇和街道的党的建设、综合治理、</w:t>
            </w:r>
            <w:r>
              <w:rPr>
                <w:spacing w:val="-9"/>
              </w:rPr>
              <w:t>社区治理、</w:t>
            </w:r>
            <w:r>
              <w:rPr>
                <w:spacing w:val="-5"/>
              </w:rPr>
              <w:t>数字城管等各系统指挥信息资源，强化信息共享和技术支撑，将上级</w:t>
            </w:r>
            <w:r>
              <w:rPr>
                <w:spacing w:val="-5"/>
              </w:rPr>
              <w:t>相关部门的视频监控等接入基层综合指挥平台，建立一体化的信息系</w:t>
            </w:r>
            <w:r>
              <w:rPr>
                <w:spacing w:val="-2"/>
              </w:rPr>
              <w:t>统和综合指挥平台。</w:t>
            </w:r>
          </w:p>
          <w:p>
            <w:pPr>
              <w:pStyle w:val="TableText"/>
              <w:ind w:left="15" w:firstLine="1"/>
              <w:spacing w:before="49" w:line="254" w:lineRule="auto"/>
              <w:rPr/>
            </w:pPr>
            <w:r>
              <w:rPr>
                <w:spacing w:val="-4"/>
              </w:rPr>
              <w:t>2.4</w:t>
            </w:r>
            <w:r>
              <w:rPr>
                <w:spacing w:val="-32"/>
              </w:rPr>
              <w:t xml:space="preserve"> </w:t>
            </w:r>
            <w:r>
              <w:rPr>
                <w:spacing w:val="-4"/>
              </w:rPr>
              <w:t>月20 日前，发挥科技支撑作用，完善立体化、法治化、专业化、</w:t>
            </w:r>
            <w:r>
              <w:rPr>
                <w:spacing w:val="-3"/>
              </w:rPr>
              <w:t>智能化社会治安防控体系，加快“雪亮工程”建设，继续整合公安、</w:t>
            </w:r>
            <w:r>
              <w:rPr>
                <w:spacing w:val="-5"/>
              </w:rPr>
              <w:t>城管等部门视频资源，构建全区统一共享应用体系，实现视频图像按</w:t>
            </w:r>
            <w:r>
              <w:rPr>
                <w:spacing w:val="-2"/>
              </w:rPr>
              <w:t>需联通，推动视频资源联网共享应用，推进综治信息化平台建设。</w:t>
            </w:r>
          </w:p>
          <w:p>
            <w:pPr>
              <w:pStyle w:val="TableText"/>
              <w:ind w:left="16" w:firstLine="4"/>
              <w:spacing w:before="46" w:line="250" w:lineRule="auto"/>
              <w:rPr/>
            </w:pPr>
            <w:r>
              <w:rPr>
                <w:spacing w:val="-4"/>
              </w:rPr>
              <w:t>3.4</w:t>
            </w:r>
            <w:r>
              <w:rPr>
                <w:spacing w:val="-35"/>
              </w:rPr>
              <w:t xml:space="preserve"> </w:t>
            </w:r>
            <w:r>
              <w:rPr>
                <w:spacing w:val="-4"/>
              </w:rPr>
              <w:t>月30 日前，加强关键技术应用，建立健全发现问题、流转交办、</w:t>
            </w:r>
            <w:r>
              <w:rPr>
                <w:spacing w:val="-5"/>
              </w:rPr>
              <w:t>协调联动、研判预警、督察考核等综合指挥工作机制，形成系统集成</w:t>
            </w:r>
            <w:r>
              <w:rPr>
                <w:spacing w:val="-2"/>
              </w:rPr>
              <w:t>高效运行的指挥体系。</w:t>
            </w:r>
          </w:p>
          <w:p>
            <w:pPr>
              <w:pStyle w:val="TableText"/>
              <w:ind w:left="19" w:right="16" w:hanging="4"/>
              <w:spacing w:before="49" w:line="243" w:lineRule="auto"/>
              <w:rPr/>
            </w:pPr>
            <w:r>
              <w:rPr>
                <w:spacing w:val="-4"/>
              </w:rPr>
              <w:t>4.5</w:t>
            </w:r>
            <w:r>
              <w:rPr>
                <w:spacing w:val="-39"/>
              </w:rPr>
              <w:t xml:space="preserve"> </w:t>
            </w:r>
            <w:r>
              <w:rPr>
                <w:spacing w:val="-4"/>
              </w:rPr>
              <w:t>月30 日前，配合自治区统筹推进政法智能化建设</w:t>
            </w:r>
            <w:r>
              <w:rPr>
                <w:spacing w:val="-5"/>
              </w:rPr>
              <w:t>和跨部门大数据</w:t>
            </w:r>
            <w:r>
              <w:rPr/>
              <w:t>办案平台建设，打造一体化网上办案“高速公路”。</w:t>
            </w:r>
          </w:p>
        </w:tc>
        <w:tc>
          <w:tcPr>
            <w:tcW w:w="3035" w:type="dxa"/>
            <w:vAlign w:val="top"/>
          </w:tcPr>
          <w:p>
            <w:pPr>
              <w:spacing w:line="243" w:lineRule="auto"/>
              <w:rPr>
                <w:rFonts w:ascii="Arial"/>
                <w:sz w:val="21"/>
              </w:rPr>
            </w:pPr>
            <w:r/>
          </w:p>
          <w:p>
            <w:pPr>
              <w:spacing w:line="244" w:lineRule="auto"/>
              <w:rPr>
                <w:rFonts w:ascii="Arial"/>
                <w:sz w:val="21"/>
              </w:rPr>
            </w:pPr>
            <w:r/>
          </w:p>
          <w:p>
            <w:pPr>
              <w:pStyle w:val="TableText"/>
              <w:ind w:left="23" w:firstLine="15"/>
              <w:spacing w:before="59" w:line="250" w:lineRule="auto"/>
              <w:rPr/>
            </w:pPr>
            <w:r>
              <w:rPr>
                <w:spacing w:val="3"/>
              </w:rPr>
              <w:t>1.上级相关部门的视频监控等尽可能</w:t>
            </w:r>
            <w:r>
              <w:rPr>
                <w:spacing w:val="2"/>
              </w:rPr>
              <w:t>接入基层综合指挥平台</w:t>
            </w:r>
            <w:r>
              <w:rPr>
                <w:spacing w:val="-44"/>
              </w:rPr>
              <w:t xml:space="preserve"> </w:t>
            </w:r>
            <w:r>
              <w:rPr>
                <w:spacing w:val="2"/>
              </w:rPr>
              <w:t>，实现互联互</w:t>
            </w:r>
            <w:r>
              <w:rPr>
                <w:spacing w:val="-4"/>
              </w:rPr>
              <w:t>通、信息共享、实时监控、综合监测。</w:t>
            </w:r>
          </w:p>
          <w:p>
            <w:pPr>
              <w:pStyle w:val="TableText"/>
              <w:ind w:left="20" w:firstLine="3"/>
              <w:spacing w:before="49" w:line="254" w:lineRule="auto"/>
              <w:rPr/>
            </w:pPr>
            <w:r>
              <w:rPr>
                <w:spacing w:val="-4"/>
              </w:rPr>
              <w:t>2.通过建立健全发现问题、流转交办、</w:t>
            </w:r>
            <w:r>
              <w:rPr>
                <w:spacing w:val="-7"/>
              </w:rPr>
              <w:t>协调联动、研判预警、督查考核等综合</w:t>
            </w:r>
            <w:r>
              <w:rPr>
                <w:spacing w:val="-4"/>
              </w:rPr>
              <w:t>指挥工作机制，实现基层管理跨部门、</w:t>
            </w:r>
            <w:r>
              <w:rPr>
                <w:spacing w:val="-2"/>
              </w:rPr>
              <w:t>跨层级协同运转。</w:t>
            </w:r>
          </w:p>
          <w:p>
            <w:pPr>
              <w:pStyle w:val="TableText"/>
              <w:ind w:left="22" w:right="12" w:firstLine="4"/>
              <w:spacing w:before="48" w:line="243" w:lineRule="auto"/>
              <w:rPr/>
            </w:pPr>
            <w:r>
              <w:rPr>
                <w:spacing w:val="6"/>
              </w:rPr>
              <w:t>3.初步实现政法部门公共数据汇集融</w:t>
            </w:r>
            <w:r>
              <w:rPr>
                <w:spacing w:val="-2"/>
              </w:rPr>
              <w:t>合。</w:t>
            </w:r>
          </w:p>
          <w:p>
            <w:pPr>
              <w:pStyle w:val="TableText"/>
              <w:ind w:left="22" w:right="10" w:hanging="1"/>
              <w:spacing w:before="47" w:line="249" w:lineRule="auto"/>
              <w:rPr/>
            </w:pPr>
            <w:r>
              <w:rPr>
                <w:spacing w:val="-13"/>
              </w:rPr>
              <w:t>4.依托“雪亮工程”建成，初步实现“全</w:t>
            </w:r>
            <w:r>
              <w:rPr>
                <w:spacing w:val="-5"/>
              </w:rPr>
              <w:t>域覆盖、全网共享、全时可用、全程可</w:t>
            </w:r>
            <w:r>
              <w:rPr>
                <w:spacing w:val="-6"/>
              </w:rPr>
              <w:t>控”</w:t>
            </w:r>
            <w:r>
              <w:rPr>
                <w:spacing w:val="-66"/>
              </w:rPr>
              <w:t xml:space="preserve"> </w:t>
            </w:r>
            <w:r>
              <w:rPr>
                <w:spacing w:val="-6"/>
              </w:rPr>
              <w:t>目标。</w:t>
            </w:r>
          </w:p>
        </w:tc>
        <w:tc>
          <w:tcPr>
            <w:tcW w:w="833" w:type="dxa"/>
            <w:vAlign w:val="top"/>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148"/>
              <w:spacing w:before="59" w:line="211" w:lineRule="auto"/>
              <w:rPr/>
            </w:pPr>
            <w:r>
              <w:rPr>
                <w:spacing w:val="-2"/>
              </w:rPr>
              <w:t>杨天峰</w:t>
            </w:r>
          </w:p>
        </w:tc>
        <w:tc>
          <w:tcPr>
            <w:tcW w:w="1132" w:type="dxa"/>
            <w:vAlign w:val="top"/>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133"/>
              <w:spacing w:before="59" w:line="211" w:lineRule="auto"/>
              <w:rPr/>
            </w:pPr>
            <w:r>
              <w:rPr>
                <w:spacing w:val="-4"/>
              </w:rPr>
              <w:t>区委政法委</w:t>
            </w:r>
          </w:p>
        </w:tc>
        <w:tc>
          <w:tcPr>
            <w:tcW w:w="1509" w:type="dxa"/>
            <w:vAlign w:val="top"/>
            <w:tcBorders>
              <w:right w:val="single" w:color="000000" w:sz="6" w:space="0"/>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pStyle w:val="TableText"/>
              <w:ind w:left="25" w:right="18" w:firstLine="14"/>
              <w:spacing w:before="58" w:line="271" w:lineRule="auto"/>
              <w:rPr/>
            </w:pPr>
            <w:r>
              <w:rPr>
                <w:spacing w:val="-3"/>
              </w:rPr>
              <w:t>区委组织部、网信</w:t>
            </w:r>
            <w:r>
              <w:rPr>
                <w:spacing w:val="-1"/>
              </w:rPr>
              <w:t>办，区政府办、发</w:t>
            </w:r>
            <w:r>
              <w:rPr>
                <w:spacing w:val="-1"/>
              </w:rPr>
              <w:t>展和改革局、工业</w:t>
            </w:r>
            <w:r>
              <w:rPr>
                <w:spacing w:val="1"/>
              </w:rPr>
              <w:t>信息化和商务局、</w:t>
            </w:r>
            <w:r>
              <w:rPr>
                <w:spacing w:val="-1"/>
              </w:rPr>
              <w:t>民政局、住房城乡</w:t>
            </w:r>
            <w:r>
              <w:rPr>
                <w:spacing w:val="-1"/>
              </w:rPr>
              <w:t>建设和交通局、法</w:t>
            </w:r>
            <w:r>
              <w:rPr>
                <w:spacing w:val="-1"/>
              </w:rPr>
              <w:t>院、检察院，市公</w:t>
            </w:r>
            <w:r>
              <w:rPr>
                <w:spacing w:val="-1"/>
              </w:rPr>
              <w:t>安局原州分局等相</w:t>
            </w:r>
            <w:r>
              <w:rPr>
                <w:spacing w:val="-19"/>
              </w:rPr>
              <w:t>关部门，各乡镇（街</w:t>
            </w:r>
            <w:r>
              <w:rPr>
                <w:spacing w:val="2"/>
              </w:rPr>
              <w:t>道）</w:t>
            </w:r>
          </w:p>
        </w:tc>
      </w:tr>
      <w:tr>
        <w:trPr>
          <w:trHeight w:val="3421" w:hRule="atLeast"/>
        </w:trPr>
        <w:tc>
          <w:tcPr>
            <w:tcW w:w="593" w:type="dxa"/>
            <w:vAlign w:val="top"/>
            <w:tcBorders>
              <w:left w:val="single" w:color="000000" w:sz="6" w:space="0"/>
              <w:bottom w:val="single" w:color="000000" w:sz="6" w:space="0"/>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216"/>
              <w:spacing w:before="59" w:line="261" w:lineRule="exact"/>
              <w:rPr/>
            </w:pPr>
            <w:r>
              <w:rPr>
                <w:spacing w:val="-11"/>
                <w:position w:val="1"/>
              </w:rPr>
              <w:t>11</w:t>
            </w:r>
          </w:p>
        </w:tc>
        <w:tc>
          <w:tcPr>
            <w:tcW w:w="1439" w:type="dxa"/>
            <w:vAlign w:val="top"/>
            <w:tcBorders>
              <w:bottom w:val="single" w:color="000000" w:sz="6" w:space="0"/>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pStyle w:val="TableText"/>
              <w:ind w:left="51"/>
              <w:spacing w:before="59" w:line="215" w:lineRule="auto"/>
              <w:rPr/>
            </w:pPr>
            <w:r>
              <w:rPr>
                <w:spacing w:val="-12"/>
              </w:rPr>
              <w:t>建立赋权清单目录</w:t>
            </w:r>
          </w:p>
        </w:tc>
        <w:tc>
          <w:tcPr>
            <w:tcW w:w="5355" w:type="dxa"/>
            <w:vAlign w:val="top"/>
            <w:tcBorders>
              <w:bottom w:val="single" w:color="000000" w:sz="6" w:space="0"/>
            </w:tcBorders>
          </w:tcPr>
          <w:p>
            <w:pPr>
              <w:spacing w:line="319" w:lineRule="auto"/>
              <w:rPr>
                <w:rFonts w:ascii="Arial"/>
                <w:sz w:val="21"/>
              </w:rPr>
            </w:pPr>
            <w:r/>
          </w:p>
          <w:p>
            <w:pPr>
              <w:spacing w:line="319" w:lineRule="auto"/>
              <w:rPr>
                <w:rFonts w:ascii="Arial"/>
                <w:sz w:val="21"/>
              </w:rPr>
            </w:pPr>
            <w:r/>
          </w:p>
          <w:p>
            <w:pPr>
              <w:pStyle w:val="TableText"/>
              <w:ind w:left="18" w:right="13" w:firstLine="14"/>
              <w:spacing w:before="59" w:line="254" w:lineRule="auto"/>
              <w:rPr/>
            </w:pPr>
            <w:r>
              <w:rPr>
                <w:spacing w:val="-6"/>
              </w:rPr>
              <w:t>1.3</w:t>
            </w:r>
            <w:r>
              <w:rPr>
                <w:spacing w:val="-36"/>
              </w:rPr>
              <w:t xml:space="preserve"> </w:t>
            </w:r>
            <w:r>
              <w:rPr>
                <w:spacing w:val="-6"/>
              </w:rPr>
              <w:t>月</w:t>
            </w:r>
            <w:r>
              <w:rPr>
                <w:spacing w:val="-42"/>
              </w:rPr>
              <w:t xml:space="preserve"> </w:t>
            </w:r>
            <w:r>
              <w:rPr>
                <w:spacing w:val="-6"/>
              </w:rPr>
              <w:t>20 日前，根据自治区有关要求，将量大面广、</w:t>
            </w:r>
            <w:r>
              <w:rPr>
                <w:spacing w:val="-7"/>
              </w:rPr>
              <w:t>乡镇和街道管理</w:t>
            </w:r>
            <w:r>
              <w:rPr>
                <w:spacing w:val="-3"/>
              </w:rPr>
              <w:t>迫切需要且能有效承接的审批服务执法等权限赋予乡镇和街道，扩大</w:t>
            </w:r>
            <w:r>
              <w:rPr>
                <w:spacing w:val="-3"/>
              </w:rPr>
              <w:t>乡镇和街道在城镇管理、安全生产、市场监管、社会治安、民生保障</w:t>
            </w:r>
            <w:r>
              <w:rPr/>
              <w:t>等方面的行政审批、行政处罚及相关行政强制</w:t>
            </w:r>
            <w:r>
              <w:rPr>
                <w:spacing w:val="-1"/>
              </w:rPr>
              <w:t>和行政检查权。</w:t>
            </w:r>
          </w:p>
          <w:p>
            <w:pPr>
              <w:pStyle w:val="TableText"/>
              <w:ind w:left="15" w:firstLine="2"/>
              <w:spacing w:before="48" w:line="262" w:lineRule="auto"/>
              <w:rPr/>
            </w:pPr>
            <w:r>
              <w:rPr>
                <w:spacing w:val="-7"/>
              </w:rPr>
              <w:t>2.3</w:t>
            </w:r>
            <w:r>
              <w:rPr>
                <w:spacing w:val="-29"/>
              </w:rPr>
              <w:t xml:space="preserve"> </w:t>
            </w:r>
            <w:r>
              <w:rPr>
                <w:spacing w:val="-7"/>
              </w:rPr>
              <w:t>月</w:t>
            </w:r>
            <w:r>
              <w:rPr>
                <w:spacing w:val="-39"/>
              </w:rPr>
              <w:t xml:space="preserve"> </w:t>
            </w:r>
            <w:r>
              <w:rPr>
                <w:spacing w:val="-7"/>
              </w:rPr>
              <w:t>31 日前，按照自治区政府统一制定的赋权清单，按照“一个乡</w:t>
            </w:r>
            <w:r>
              <w:rPr>
                <w:spacing w:val="-4"/>
              </w:rPr>
              <w:t>镇（街道）、一个赋权清单”的要求，依法编制各《乡镇（街道）赋</w:t>
            </w:r>
            <w:r>
              <w:rPr>
                <w:spacing w:val="-3"/>
              </w:rPr>
              <w:t>权清单》，明确乡镇和街道的执法主体地位，统一和规范赋权事项，</w:t>
            </w:r>
            <w:r>
              <w:rPr>
                <w:spacing w:val="-2"/>
              </w:rPr>
              <w:t>成熟一批，赋予一批。</w:t>
            </w:r>
          </w:p>
        </w:tc>
        <w:tc>
          <w:tcPr>
            <w:tcW w:w="3035" w:type="dxa"/>
            <w:vAlign w:val="top"/>
            <w:tcBorders>
              <w:bottom w:val="single" w:color="000000" w:sz="6" w:space="0"/>
            </w:tcBorders>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pStyle w:val="TableText"/>
              <w:ind w:left="22" w:firstLine="2"/>
              <w:spacing w:before="58" w:line="267" w:lineRule="auto"/>
              <w:rPr/>
            </w:pPr>
            <w:r>
              <w:rPr>
                <w:spacing w:val="-7"/>
              </w:rPr>
              <w:t>推动审批服务执法权限下放，规范赋权</w:t>
            </w:r>
            <w:r>
              <w:rPr>
                <w:spacing w:val="-4"/>
              </w:rPr>
              <w:t>行为，确保基层有权办事、依法办事。</w:t>
            </w:r>
          </w:p>
        </w:tc>
        <w:tc>
          <w:tcPr>
            <w:tcW w:w="833" w:type="dxa"/>
            <w:vAlign w:val="top"/>
            <w:tcBorders>
              <w:bottom w:val="single" w:color="000000" w:sz="6" w:space="0"/>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pStyle w:val="TableText"/>
              <w:ind w:left="172"/>
              <w:spacing w:before="58" w:line="208" w:lineRule="auto"/>
              <w:rPr/>
            </w:pPr>
            <w:r>
              <w:rPr>
                <w:spacing w:val="-10"/>
              </w:rPr>
              <w:t>田玉铭</w:t>
            </w:r>
          </w:p>
        </w:tc>
        <w:tc>
          <w:tcPr>
            <w:tcW w:w="1132" w:type="dxa"/>
            <w:vAlign w:val="top"/>
            <w:tcBorders>
              <w:bottom w:val="single" w:color="000000" w:sz="6" w:space="0"/>
            </w:tcBorders>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pStyle w:val="TableText"/>
              <w:ind w:left="301" w:right="105" w:hanging="168"/>
              <w:spacing w:before="59" w:line="269" w:lineRule="auto"/>
              <w:rPr/>
            </w:pPr>
            <w:r>
              <w:rPr>
                <w:spacing w:val="-4"/>
              </w:rPr>
              <w:t>区审批服务</w:t>
            </w:r>
            <w:r>
              <w:rPr>
                <w:spacing w:val="-2"/>
              </w:rPr>
              <w:t>管理局</w:t>
            </w:r>
          </w:p>
        </w:tc>
        <w:tc>
          <w:tcPr>
            <w:tcW w:w="1509" w:type="dxa"/>
            <w:vAlign w:val="top"/>
            <w:tcBorders>
              <w:bottom w:val="single" w:color="000000" w:sz="6" w:space="0"/>
              <w:right w:val="single" w:color="000000" w:sz="6" w:space="0"/>
            </w:tcBorders>
          </w:tcPr>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spacing w:line="290" w:lineRule="auto"/>
              <w:rPr>
                <w:rFonts w:ascii="Arial"/>
                <w:sz w:val="21"/>
              </w:rPr>
            </w:pPr>
            <w:r/>
          </w:p>
          <w:p>
            <w:pPr>
              <w:pStyle w:val="TableText"/>
              <w:ind w:left="25" w:right="18"/>
              <w:spacing w:before="58" w:line="273" w:lineRule="auto"/>
              <w:jc w:val="both"/>
              <w:rPr/>
            </w:pPr>
            <w:r>
              <w:rPr>
                <w:spacing w:val="-1"/>
              </w:rPr>
              <w:t>人大法工委、区政</w:t>
            </w:r>
            <w:r>
              <w:rPr>
                <w:spacing w:val="-1"/>
              </w:rPr>
              <w:t>府办、司法局等相</w:t>
            </w:r>
            <w:r>
              <w:rPr>
                <w:spacing w:val="-19"/>
              </w:rPr>
              <w:t>关部门，各乡镇（街</w:t>
            </w:r>
            <w:r>
              <w:rPr>
                <w:spacing w:val="2"/>
              </w:rPr>
              <w:t>道）</w:t>
            </w:r>
          </w:p>
        </w:tc>
      </w:tr>
    </w:tbl>
    <w:p>
      <w:pPr>
        <w:spacing w:line="206" w:lineRule="exact"/>
        <w:rPr>
          <w:rFonts w:ascii="Arial"/>
          <w:sz w:val="17"/>
        </w:rPr>
      </w:pPr>
      <w:r/>
    </w:p>
    <w:p>
      <w:pPr>
        <w:spacing w:line="206" w:lineRule="exact"/>
        <w:sectPr>
          <w:headerReference w:type="default" r:id="rId334"/>
          <w:footerReference w:type="default" r:id="rId335"/>
          <w:pgSz w:w="16839" w:h="11906"/>
          <w:pgMar w:top="1767" w:right="1463" w:bottom="1570" w:left="1463" w:header="1428" w:footer="1172" w:gutter="0"/>
        </w:sectPr>
        <w:rPr>
          <w:rFonts w:ascii="Arial" w:hAnsi="Arial" w:eastAsia="Arial" w:cs="Arial"/>
          <w:sz w:val="17"/>
          <w:szCs w:val="17"/>
        </w:rPr>
      </w:pPr>
    </w:p>
    <w:p>
      <w:pPr>
        <w:spacing w:line="192" w:lineRule="exact"/>
        <w:rPr/>
      </w:pPr>
      <w:r>
        <w:drawing>
          <wp:anchor distT="0" distB="0" distL="0" distR="0" simplePos="0" relativeHeight="251897856"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672" name="IM 672"/>
            <wp:cNvGraphicFramePr/>
            <a:graphic>
              <a:graphicData uri="http://schemas.openxmlformats.org/drawingml/2006/picture">
                <pic:pic>
                  <pic:nvPicPr>
                    <pic:cNvPr id="672" name="IM 672"/>
                    <pic:cNvPicPr/>
                  </pic:nvPicPr>
                  <pic:blipFill>
                    <a:blip r:embed="rId338"/>
                    <a:stretch>
                      <a:fillRect/>
                    </a:stretch>
                  </pic:blipFill>
                  <pic:spPr>
                    <a:xfrm rot="0">
                      <a:off x="0" y="0"/>
                      <a:ext cx="8712200" cy="7620"/>
                    </a:xfrm>
                    <a:prstGeom prst="rect">
                      <a:avLst/>
                    </a:prstGeom>
                  </pic:spPr>
                </pic:pic>
              </a:graphicData>
            </a:graphic>
          </wp:anchor>
        </w:drawing>
      </w: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3"/>
        <w:gridCol w:w="1439"/>
        <w:gridCol w:w="5355"/>
        <w:gridCol w:w="3035"/>
        <w:gridCol w:w="833"/>
        <w:gridCol w:w="1132"/>
        <w:gridCol w:w="1509"/>
      </w:tblGrid>
      <w:tr>
        <w:trPr>
          <w:trHeight w:val="539" w:hRule="atLeast"/>
        </w:trPr>
        <w:tc>
          <w:tcPr>
            <w:tcW w:w="593" w:type="dxa"/>
            <w:vAlign w:val="top"/>
            <w:tcBorders>
              <w:left w:val="single" w:color="000000" w:sz="6" w:space="0"/>
              <w:top w:val="single" w:color="000000" w:sz="6" w:space="0"/>
            </w:tcBorders>
          </w:tcPr>
          <w:p>
            <w:pPr>
              <w:pStyle w:val="TableText"/>
              <w:ind w:left="114"/>
              <w:spacing w:before="169" w:line="214" w:lineRule="auto"/>
              <w:rPr/>
            </w:pPr>
            <w:r>
              <w:rPr>
                <w:b/>
                <w:bCs/>
                <w:spacing w:val="-4"/>
              </w:rPr>
              <w:t>序号</w:t>
            </w:r>
          </w:p>
        </w:tc>
        <w:tc>
          <w:tcPr>
            <w:tcW w:w="1439" w:type="dxa"/>
            <w:vAlign w:val="top"/>
            <w:tcBorders>
              <w:top w:val="single" w:color="000000" w:sz="6" w:space="0"/>
            </w:tcBorders>
          </w:tcPr>
          <w:p>
            <w:pPr>
              <w:pStyle w:val="TableText"/>
              <w:ind w:left="358"/>
              <w:spacing w:before="169" w:line="213" w:lineRule="auto"/>
              <w:rPr/>
            </w:pPr>
            <w:r>
              <w:rPr>
                <w:b/>
                <w:bCs/>
                <w:spacing w:val="-4"/>
              </w:rPr>
              <w:t>主要任务</w:t>
            </w:r>
          </w:p>
        </w:tc>
        <w:tc>
          <w:tcPr>
            <w:tcW w:w="5355" w:type="dxa"/>
            <w:vAlign w:val="top"/>
            <w:tcBorders>
              <w:top w:val="single" w:color="000000" w:sz="6" w:space="0"/>
            </w:tcBorders>
          </w:tcPr>
          <w:p>
            <w:pPr>
              <w:pStyle w:val="TableText"/>
              <w:ind w:left="2315"/>
              <w:spacing w:before="171" w:line="211" w:lineRule="auto"/>
              <w:rPr/>
            </w:pPr>
            <w:r>
              <w:rPr>
                <w:b/>
                <w:bCs/>
                <w:spacing w:val="-3"/>
              </w:rPr>
              <w:t>推进措施</w:t>
            </w:r>
          </w:p>
        </w:tc>
        <w:tc>
          <w:tcPr>
            <w:tcW w:w="3035" w:type="dxa"/>
            <w:vAlign w:val="top"/>
            <w:tcBorders>
              <w:top w:val="single" w:color="000000" w:sz="6" w:space="0"/>
            </w:tcBorders>
          </w:tcPr>
          <w:p>
            <w:pPr>
              <w:pStyle w:val="TableText"/>
              <w:ind w:left="1161"/>
              <w:spacing w:before="170" w:line="211" w:lineRule="auto"/>
              <w:rPr/>
            </w:pPr>
            <w:r>
              <w:rPr>
                <w:b/>
                <w:bCs/>
                <w:spacing w:val="-4"/>
              </w:rPr>
              <w:t>预期目标</w:t>
            </w:r>
          </w:p>
        </w:tc>
        <w:tc>
          <w:tcPr>
            <w:tcW w:w="833" w:type="dxa"/>
            <w:vAlign w:val="top"/>
            <w:tcBorders>
              <w:top w:val="single" w:color="000000" w:sz="6" w:space="0"/>
            </w:tcBorders>
          </w:tcPr>
          <w:p>
            <w:pPr>
              <w:pStyle w:val="TableText"/>
              <w:ind w:left="62"/>
              <w:spacing w:before="169" w:line="213" w:lineRule="auto"/>
              <w:rPr/>
            </w:pPr>
            <w:r>
              <w:rPr>
                <w:b/>
                <w:bCs/>
                <w:spacing w:val="-3"/>
              </w:rPr>
              <w:t>责任领导</w:t>
            </w:r>
          </w:p>
        </w:tc>
        <w:tc>
          <w:tcPr>
            <w:tcW w:w="1132" w:type="dxa"/>
            <w:vAlign w:val="top"/>
            <w:tcBorders>
              <w:top w:val="single" w:color="000000" w:sz="6" w:space="0"/>
            </w:tcBorders>
          </w:tcPr>
          <w:p>
            <w:pPr>
              <w:pStyle w:val="TableText"/>
              <w:ind w:left="210"/>
              <w:spacing w:before="170" w:line="212" w:lineRule="auto"/>
              <w:rPr/>
            </w:pPr>
            <w:r>
              <w:rPr>
                <w:b/>
                <w:bCs/>
                <w:spacing w:val="-3"/>
              </w:rPr>
              <w:t>牵头单位</w:t>
            </w:r>
          </w:p>
        </w:tc>
        <w:tc>
          <w:tcPr>
            <w:tcW w:w="1509" w:type="dxa"/>
            <w:vAlign w:val="top"/>
            <w:tcBorders>
              <w:right w:val="single" w:color="000000" w:sz="6" w:space="0"/>
              <w:top w:val="single" w:color="000000" w:sz="6" w:space="0"/>
            </w:tcBorders>
          </w:tcPr>
          <w:p>
            <w:pPr>
              <w:pStyle w:val="TableText"/>
              <w:ind w:left="396"/>
              <w:spacing w:before="169" w:line="214" w:lineRule="auto"/>
              <w:rPr/>
            </w:pPr>
            <w:r>
              <w:rPr>
                <w:b/>
                <w:bCs/>
                <w:spacing w:val="-3"/>
              </w:rPr>
              <w:t>实施单位</w:t>
            </w:r>
          </w:p>
        </w:tc>
      </w:tr>
      <w:tr>
        <w:trPr>
          <w:trHeight w:val="4301" w:hRule="atLeast"/>
        </w:trPr>
        <w:tc>
          <w:tcPr>
            <w:tcW w:w="593" w:type="dxa"/>
            <w:vAlign w:val="top"/>
            <w:tcBorders>
              <w:left w:val="single" w:color="000000" w:sz="6"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pStyle w:val="TableText"/>
              <w:ind w:left="216"/>
              <w:spacing w:before="59" w:line="262" w:lineRule="exact"/>
              <w:rPr/>
            </w:pPr>
            <w:r>
              <w:rPr>
                <w:spacing w:val="-11"/>
                <w:position w:val="1"/>
              </w:rPr>
              <w:t>12</w:t>
            </w:r>
          </w:p>
        </w:tc>
        <w:tc>
          <w:tcPr>
            <w:tcW w:w="1439"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266" w:right="89" w:hanging="184"/>
              <w:spacing w:before="59" w:line="277" w:lineRule="auto"/>
              <w:rPr/>
            </w:pPr>
            <w:r>
              <w:rPr>
                <w:spacing w:val="-1"/>
              </w:rPr>
              <w:t>建立务实高效用</w:t>
            </w:r>
            <w:r>
              <w:rPr>
                <w:spacing w:val="-2"/>
              </w:rPr>
              <w:t>编用人制度</w:t>
            </w:r>
          </w:p>
        </w:tc>
        <w:tc>
          <w:tcPr>
            <w:tcW w:w="5355" w:type="dxa"/>
            <w:vAlign w:val="top"/>
          </w:tcPr>
          <w:p>
            <w:pPr>
              <w:spacing w:line="342" w:lineRule="auto"/>
              <w:rPr>
                <w:rFonts w:ascii="Arial"/>
                <w:sz w:val="21"/>
              </w:rPr>
            </w:pPr>
            <w:r/>
          </w:p>
          <w:p>
            <w:pPr>
              <w:spacing w:line="342" w:lineRule="auto"/>
              <w:rPr>
                <w:rFonts w:ascii="Arial"/>
                <w:sz w:val="21"/>
              </w:rPr>
            </w:pPr>
            <w:r/>
          </w:p>
          <w:p>
            <w:pPr>
              <w:pStyle w:val="TableText"/>
              <w:ind w:left="15" w:right="16" w:firstLine="16"/>
              <w:spacing w:before="59" w:line="260" w:lineRule="auto"/>
              <w:rPr/>
            </w:pPr>
            <w:r>
              <w:rPr>
                <w:spacing w:val="-5"/>
              </w:rPr>
              <w:t>1.2</w:t>
            </w:r>
            <w:r>
              <w:rPr>
                <w:spacing w:val="-30"/>
              </w:rPr>
              <w:t xml:space="preserve"> </w:t>
            </w:r>
            <w:r>
              <w:rPr>
                <w:spacing w:val="-5"/>
              </w:rPr>
              <w:t>月28 日前，推进编制资源向乡镇街道倾斜，采取减区补乡和减上</w:t>
            </w:r>
            <w:r>
              <w:rPr>
                <w:spacing w:val="-3"/>
              </w:rPr>
              <w:t>补下的办法，充实加强基层一线工作力量。乡镇人员编制增幅平均不</w:t>
            </w:r>
            <w:r>
              <w:rPr>
                <w:spacing w:val="6"/>
              </w:rPr>
              <w:t>低于25%，街道人员编制增幅平均不低于</w:t>
            </w:r>
            <w:r>
              <w:rPr>
                <w:spacing w:val="-24"/>
              </w:rPr>
              <w:t xml:space="preserve"> </w:t>
            </w:r>
            <w:r>
              <w:rPr>
                <w:spacing w:val="6"/>
              </w:rPr>
              <w:t>1</w:t>
            </w:r>
            <w:r>
              <w:rPr>
                <w:spacing w:val="5"/>
              </w:rPr>
              <w:t>5%。</w:t>
            </w:r>
          </w:p>
          <w:p>
            <w:pPr>
              <w:pStyle w:val="TableText"/>
              <w:ind w:left="17" w:right="16"/>
              <w:spacing w:before="19"/>
              <w:rPr/>
            </w:pPr>
            <w:r>
              <w:rPr>
                <w:spacing w:val="-6"/>
              </w:rPr>
              <w:t>2.3</w:t>
            </w:r>
            <w:r>
              <w:rPr>
                <w:spacing w:val="-39"/>
              </w:rPr>
              <w:t xml:space="preserve"> </w:t>
            </w:r>
            <w:r>
              <w:rPr>
                <w:spacing w:val="-6"/>
              </w:rPr>
              <w:t>月</w:t>
            </w:r>
            <w:r>
              <w:rPr>
                <w:spacing w:val="-24"/>
              </w:rPr>
              <w:t xml:space="preserve"> </w:t>
            </w:r>
            <w:r>
              <w:rPr>
                <w:spacing w:val="-6"/>
              </w:rPr>
              <w:t>10 日前，乡镇街道上报新组建党政机构和</w:t>
            </w:r>
            <w:r>
              <w:rPr>
                <w:spacing w:val="-7"/>
              </w:rPr>
              <w:t>事业单位人员定岗情</w:t>
            </w:r>
            <w:r>
              <w:rPr>
                <w:spacing w:val="-3"/>
              </w:rPr>
              <w:t>况。</w:t>
            </w:r>
          </w:p>
          <w:p>
            <w:pPr>
              <w:pStyle w:val="TableText"/>
              <w:ind w:left="19" w:right="16" w:firstLine="1"/>
              <w:spacing w:before="54" w:line="241" w:lineRule="auto"/>
              <w:rPr/>
            </w:pPr>
            <w:r>
              <w:rPr>
                <w:spacing w:val="-1"/>
              </w:rPr>
              <w:t>3.3</w:t>
            </w:r>
            <w:r>
              <w:rPr>
                <w:spacing w:val="-24"/>
              </w:rPr>
              <w:t xml:space="preserve"> </w:t>
            </w:r>
            <w:r>
              <w:rPr>
                <w:spacing w:val="-1"/>
              </w:rPr>
              <w:t>月</w:t>
            </w:r>
            <w:r>
              <w:rPr>
                <w:spacing w:val="-37"/>
              </w:rPr>
              <w:t xml:space="preserve"> </w:t>
            </w:r>
            <w:r>
              <w:rPr>
                <w:spacing w:val="-1"/>
              </w:rPr>
              <w:t>20 日前，负责乡镇街道新组建党政机构和事业单位负责人调</w:t>
            </w:r>
            <w:r>
              <w:rPr>
                <w:spacing w:val="-1"/>
              </w:rPr>
              <w:t>配，事业单位负责人可按副科级配备。</w:t>
            </w:r>
          </w:p>
          <w:p>
            <w:pPr>
              <w:pStyle w:val="TableText"/>
              <w:ind w:left="17" w:hanging="2"/>
              <w:spacing w:before="49" w:line="242" w:lineRule="auto"/>
              <w:rPr/>
            </w:pPr>
            <w:r>
              <w:rPr>
                <w:spacing w:val="-9"/>
              </w:rPr>
              <w:t>4.3</w:t>
            </w:r>
            <w:r>
              <w:rPr>
                <w:spacing w:val="-36"/>
              </w:rPr>
              <w:t xml:space="preserve"> </w:t>
            </w:r>
            <w:r>
              <w:rPr>
                <w:spacing w:val="-9"/>
              </w:rPr>
              <w:t>月31 日前，人社局负责制定《乡镇街道条线辅助人员管理办法》，</w:t>
            </w:r>
            <w:r>
              <w:rPr>
                <w:spacing w:val="-3"/>
              </w:rPr>
              <w:t>整合条线辅助人员，按照属地管理原则，由乡镇街道统筹指挥调配。</w:t>
            </w:r>
          </w:p>
          <w:p>
            <w:pPr>
              <w:pStyle w:val="TableText"/>
              <w:ind w:left="15" w:right="16" w:firstLine="3"/>
              <w:spacing w:before="46" w:line="242" w:lineRule="auto"/>
              <w:rPr/>
            </w:pPr>
            <w:r>
              <w:rPr>
                <w:spacing w:val="-6"/>
              </w:rPr>
              <w:t>5.4</w:t>
            </w:r>
            <w:r>
              <w:rPr>
                <w:spacing w:val="-38"/>
              </w:rPr>
              <w:t xml:space="preserve"> </w:t>
            </w:r>
            <w:r>
              <w:rPr>
                <w:spacing w:val="-6"/>
              </w:rPr>
              <w:t>月</w:t>
            </w:r>
            <w:r>
              <w:rPr>
                <w:spacing w:val="-25"/>
              </w:rPr>
              <w:t xml:space="preserve"> </w:t>
            </w:r>
            <w:r>
              <w:rPr>
                <w:spacing w:val="-6"/>
              </w:rPr>
              <w:t>10 日前，区委编办规范乡镇街道编制总</w:t>
            </w:r>
            <w:r>
              <w:rPr>
                <w:spacing w:val="-7"/>
              </w:rPr>
              <w:t>额管理、动态管理机制</w:t>
            </w:r>
            <w:r>
              <w:rPr>
                <w:spacing w:val="-1"/>
              </w:rPr>
              <w:t>及用编用人优先保障空编乡镇街道机制。</w:t>
            </w:r>
          </w:p>
        </w:tc>
        <w:tc>
          <w:tcPr>
            <w:tcW w:w="3035" w:type="dxa"/>
            <w:vAlign w:val="top"/>
          </w:tcPr>
          <w:p>
            <w:pPr>
              <w:spacing w:line="314" w:lineRule="auto"/>
              <w:rPr>
                <w:rFonts w:ascii="Arial"/>
                <w:sz w:val="21"/>
              </w:rPr>
            </w:pPr>
            <w:r/>
          </w:p>
          <w:p>
            <w:pPr>
              <w:spacing w:line="315" w:lineRule="auto"/>
              <w:rPr>
                <w:rFonts w:ascii="Arial"/>
                <w:sz w:val="21"/>
              </w:rPr>
            </w:pPr>
            <w:r/>
          </w:p>
          <w:p>
            <w:pPr>
              <w:spacing w:line="315" w:lineRule="auto"/>
              <w:rPr>
                <w:rFonts w:ascii="Arial"/>
                <w:sz w:val="21"/>
              </w:rPr>
            </w:pPr>
            <w:r/>
          </w:p>
          <w:p>
            <w:pPr>
              <w:pStyle w:val="TableText"/>
              <w:ind w:left="23" w:right="12" w:firstLine="16"/>
              <w:spacing w:before="59" w:line="254" w:lineRule="auto"/>
              <w:rPr/>
            </w:pPr>
            <w:r>
              <w:rPr>
                <w:spacing w:val="-5"/>
              </w:rPr>
              <w:t>1.统筹使用乡镇和街道人员编制，优化</w:t>
            </w:r>
            <w:r>
              <w:rPr>
                <w:spacing w:val="4"/>
              </w:rPr>
              <w:t>资源配置</w:t>
            </w:r>
            <w:r>
              <w:rPr>
                <w:spacing w:val="-46"/>
              </w:rPr>
              <w:t xml:space="preserve"> </w:t>
            </w:r>
            <w:r>
              <w:rPr>
                <w:spacing w:val="4"/>
              </w:rPr>
              <w:t>，充实加强基层一线工作力</w:t>
            </w:r>
            <w:r>
              <w:rPr>
                <w:spacing w:val="-5"/>
              </w:rPr>
              <w:t>量，建立符合基层工作特点的人员编制</w:t>
            </w:r>
            <w:r>
              <w:rPr>
                <w:spacing w:val="-1"/>
              </w:rPr>
              <w:t>资源配置模式。</w:t>
            </w:r>
          </w:p>
          <w:p>
            <w:pPr>
              <w:pStyle w:val="TableText"/>
              <w:ind w:left="16" w:right="12" w:firstLine="7"/>
              <w:spacing w:before="49" w:line="260" w:lineRule="auto"/>
              <w:rPr/>
            </w:pPr>
            <w:r>
              <w:rPr>
                <w:spacing w:val="-5"/>
              </w:rPr>
              <w:t>2.有序推进各类人才向乡镇（街道）流</w:t>
            </w:r>
            <w:r>
              <w:rPr>
                <w:spacing w:val="-4"/>
              </w:rPr>
              <w:t>动，切实加强基层工作力量，赋予乡镇</w:t>
            </w:r>
            <w:r>
              <w:rPr/>
              <w:t>（街道）更加灵活的用人自主权。</w:t>
            </w:r>
          </w:p>
          <w:p>
            <w:pPr>
              <w:pStyle w:val="TableText"/>
              <w:ind w:left="23" w:right="15" w:firstLine="4"/>
              <w:spacing w:before="19" w:line="241" w:lineRule="auto"/>
              <w:rPr/>
            </w:pPr>
            <w:r>
              <w:rPr>
                <w:spacing w:val="-5"/>
              </w:rPr>
              <w:t>3.整合条线辅助人员，提高人员使用效</w:t>
            </w:r>
            <w:r>
              <w:rPr>
                <w:spacing w:val="-2"/>
              </w:rPr>
              <w:t>率。</w:t>
            </w:r>
          </w:p>
        </w:tc>
        <w:tc>
          <w:tcPr>
            <w:tcW w:w="833" w:type="dxa"/>
            <w:vAlign w:val="top"/>
          </w:tcPr>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48"/>
              <w:spacing w:before="58" w:line="211" w:lineRule="auto"/>
              <w:rPr/>
            </w:pPr>
            <w:r>
              <w:rPr>
                <w:spacing w:val="-1"/>
              </w:rPr>
              <w:t>李育龙</w:t>
            </w:r>
          </w:p>
        </w:tc>
        <w:tc>
          <w:tcPr>
            <w:tcW w:w="1132"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42"/>
              <w:spacing w:before="59" w:line="210" w:lineRule="auto"/>
              <w:rPr/>
            </w:pPr>
            <w:r>
              <w:rPr>
                <w:spacing w:val="-3"/>
              </w:rPr>
              <w:t>区委组织部、</w:t>
            </w:r>
          </w:p>
          <w:p>
            <w:pPr>
              <w:pStyle w:val="TableText"/>
              <w:ind w:left="33"/>
              <w:spacing w:before="61" w:line="213" w:lineRule="auto"/>
              <w:rPr/>
            </w:pPr>
            <w:r>
              <w:rPr>
                <w:spacing w:val="-2"/>
              </w:rPr>
              <w:t>编办，区人力</w:t>
            </w:r>
          </w:p>
          <w:p>
            <w:pPr>
              <w:pStyle w:val="TableText"/>
              <w:ind w:left="32"/>
              <w:spacing w:before="59" w:line="212" w:lineRule="auto"/>
              <w:rPr/>
            </w:pPr>
            <w:r>
              <w:rPr>
                <w:spacing w:val="-2"/>
              </w:rPr>
              <w:t>资源和社会保</w:t>
            </w:r>
          </w:p>
          <w:p>
            <w:pPr>
              <w:pStyle w:val="TableText"/>
              <w:ind w:left="399"/>
              <w:spacing w:before="61" w:line="214" w:lineRule="auto"/>
              <w:rPr/>
            </w:pPr>
            <w:r>
              <w:rPr>
                <w:spacing w:val="-8"/>
              </w:rPr>
              <w:t>障局</w:t>
            </w:r>
          </w:p>
        </w:tc>
        <w:tc>
          <w:tcPr>
            <w:tcW w:w="1509" w:type="dxa"/>
            <w:vAlign w:val="top"/>
            <w:tcBorders>
              <w:right w:val="single" w:color="000000" w:sz="6" w:space="0"/>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20" w:right="33" w:firstLine="19"/>
              <w:spacing w:before="58" w:line="285" w:lineRule="auto"/>
              <w:jc w:val="both"/>
              <w:rPr/>
            </w:pPr>
            <w:r>
              <w:rPr>
                <w:spacing w:val="-3"/>
              </w:rPr>
              <w:t>区财政局、自然资</w:t>
            </w:r>
            <w:r>
              <w:rPr/>
              <w:t>源局、水务局、农</w:t>
            </w:r>
            <w:r>
              <w:rPr/>
              <w:t>业农村局，各乡镇</w:t>
            </w:r>
            <w:r>
              <w:rPr>
                <w:spacing w:val="2"/>
              </w:rPr>
              <w:t>（街道）</w:t>
            </w:r>
          </w:p>
        </w:tc>
      </w:tr>
      <w:tr>
        <w:trPr>
          <w:trHeight w:val="3117" w:hRule="atLeast"/>
        </w:trPr>
        <w:tc>
          <w:tcPr>
            <w:tcW w:w="593" w:type="dxa"/>
            <w:vAlign w:val="top"/>
            <w:tcBorders>
              <w:left w:val="single" w:color="000000" w:sz="6" w:space="0"/>
              <w:bottom w:val="single" w:color="000000" w:sz="6" w:space="0"/>
            </w:tcBorders>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pStyle w:val="TableText"/>
              <w:ind w:left="216"/>
              <w:spacing w:before="59" w:line="260" w:lineRule="exact"/>
              <w:rPr/>
            </w:pPr>
            <w:r>
              <w:rPr>
                <w:spacing w:val="-11"/>
                <w:position w:val="1"/>
              </w:rPr>
              <w:t>13</w:t>
            </w:r>
          </w:p>
        </w:tc>
        <w:tc>
          <w:tcPr>
            <w:tcW w:w="1439" w:type="dxa"/>
            <w:vAlign w:val="top"/>
            <w:tcBorders>
              <w:bottom w:val="single" w:color="000000" w:sz="6" w:space="0"/>
            </w:tcBorders>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173"/>
              <w:spacing w:before="59" w:line="214" w:lineRule="auto"/>
              <w:rPr/>
            </w:pPr>
            <w:r>
              <w:rPr>
                <w:spacing w:val="-1"/>
              </w:rPr>
              <w:t>强化事权保障</w:t>
            </w:r>
          </w:p>
        </w:tc>
        <w:tc>
          <w:tcPr>
            <w:tcW w:w="5355" w:type="dxa"/>
            <w:vAlign w:val="top"/>
            <w:tcBorders>
              <w:bottom w:val="single" w:color="000000" w:sz="6" w:space="0"/>
            </w:tcBorders>
          </w:tcPr>
          <w:p>
            <w:pPr>
              <w:spacing w:line="307" w:lineRule="auto"/>
              <w:rPr>
                <w:rFonts w:ascii="Arial"/>
                <w:sz w:val="21"/>
              </w:rPr>
            </w:pPr>
            <w:r/>
          </w:p>
          <w:p>
            <w:pPr>
              <w:spacing w:line="308" w:lineRule="auto"/>
              <w:rPr>
                <w:rFonts w:ascii="Arial"/>
                <w:sz w:val="21"/>
              </w:rPr>
            </w:pPr>
            <w:r/>
          </w:p>
          <w:p>
            <w:pPr>
              <w:pStyle w:val="TableText"/>
              <w:ind w:left="32"/>
              <w:spacing w:before="58" w:line="240" w:lineRule="exact"/>
              <w:rPr/>
            </w:pPr>
            <w:r>
              <w:rPr>
                <w:spacing w:val="-5"/>
                <w:position w:val="1"/>
              </w:rPr>
              <w:t>1.3</w:t>
            </w:r>
            <w:r>
              <w:rPr>
                <w:spacing w:val="-21"/>
                <w:position w:val="1"/>
              </w:rPr>
              <w:t xml:space="preserve"> </w:t>
            </w:r>
            <w:r>
              <w:rPr>
                <w:spacing w:val="-5"/>
                <w:position w:val="1"/>
              </w:rPr>
              <w:t>月</w:t>
            </w:r>
            <w:r>
              <w:rPr>
                <w:spacing w:val="-25"/>
                <w:position w:val="1"/>
              </w:rPr>
              <w:t xml:space="preserve"> </w:t>
            </w:r>
            <w:r>
              <w:rPr>
                <w:spacing w:val="-5"/>
                <w:position w:val="1"/>
              </w:rPr>
              <w:t>15 日前，筹备采购乡镇街道办公设施及综合执法设备设施。</w:t>
            </w:r>
          </w:p>
          <w:p>
            <w:pPr>
              <w:pStyle w:val="TableText"/>
              <w:ind w:left="17" w:right="16"/>
              <w:spacing w:before="21" w:line="242" w:lineRule="auto"/>
              <w:rPr/>
            </w:pPr>
            <w:r>
              <w:rPr>
                <w:spacing w:val="-6"/>
              </w:rPr>
              <w:t>2.4</w:t>
            </w:r>
            <w:r>
              <w:rPr>
                <w:spacing w:val="-39"/>
              </w:rPr>
              <w:t xml:space="preserve"> </w:t>
            </w:r>
            <w:r>
              <w:rPr>
                <w:spacing w:val="-6"/>
              </w:rPr>
              <w:t>月</w:t>
            </w:r>
            <w:r>
              <w:rPr>
                <w:spacing w:val="-24"/>
              </w:rPr>
              <w:t xml:space="preserve"> </w:t>
            </w:r>
            <w:r>
              <w:rPr>
                <w:spacing w:val="-6"/>
              </w:rPr>
              <w:t>15 日前，建立对乡镇街道资金保障机制，</w:t>
            </w:r>
            <w:r>
              <w:rPr>
                <w:spacing w:val="-7"/>
              </w:rPr>
              <w:t>坚持重心下移、力量</w:t>
            </w:r>
            <w:r>
              <w:rPr>
                <w:spacing w:val="-1"/>
              </w:rPr>
              <w:t>下沉、保障下倾，调动基层发展的积极性。</w:t>
            </w:r>
          </w:p>
          <w:p>
            <w:pPr>
              <w:pStyle w:val="TableText"/>
              <w:ind w:left="17" w:firstLine="3"/>
              <w:spacing w:before="46" w:line="254" w:lineRule="auto"/>
              <w:rPr/>
            </w:pPr>
            <w:r>
              <w:rPr>
                <w:spacing w:val="-9"/>
              </w:rPr>
              <w:t>3.4</w:t>
            </w:r>
            <w:r>
              <w:rPr>
                <w:spacing w:val="-39"/>
              </w:rPr>
              <w:t xml:space="preserve"> </w:t>
            </w:r>
            <w:r>
              <w:rPr>
                <w:spacing w:val="-9"/>
              </w:rPr>
              <w:t>月20 日前，改革涉及的机构人员调整后，相关部门按照人随编</w:t>
            </w:r>
            <w:r>
              <w:rPr>
                <w:spacing w:val="-10"/>
              </w:rPr>
              <w:t>走、</w:t>
            </w:r>
            <w:r>
              <w:rPr>
                <w:spacing w:val="-5"/>
              </w:rPr>
              <w:t>钱随事走的原则，对人员工资、项目支出进行预算调剂，确保相关职</w:t>
            </w:r>
            <w:r>
              <w:rPr>
                <w:spacing w:val="-5"/>
              </w:rPr>
              <w:t>责继续落实到位。同时，要厘清财产、资产和债务明细，及时清查交</w:t>
            </w:r>
            <w:r>
              <w:rPr>
                <w:spacing w:val="-3"/>
              </w:rPr>
              <w:t>接、划转。</w:t>
            </w:r>
          </w:p>
        </w:tc>
        <w:tc>
          <w:tcPr>
            <w:tcW w:w="3035" w:type="dxa"/>
            <w:vAlign w:val="top"/>
            <w:tcBorders>
              <w:bottom w:val="single" w:color="000000" w:sz="6" w:space="0"/>
            </w:tcBorders>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2" w:firstLine="1"/>
              <w:spacing w:before="58" w:line="267" w:lineRule="auto"/>
              <w:jc w:val="both"/>
              <w:rPr/>
            </w:pPr>
            <w:r>
              <w:rPr>
                <w:spacing w:val="-7"/>
              </w:rPr>
              <w:t>加强下放给乡镇和街道事权的人才、技</w:t>
            </w:r>
            <w:r>
              <w:rPr>
                <w:spacing w:val="-7"/>
              </w:rPr>
              <w:t>术、资金、网络端口等方面的保障，调</w:t>
            </w:r>
            <w:r>
              <w:rPr>
                <w:spacing w:val="-4"/>
              </w:rPr>
              <w:t>动基层发展的积极性，做到权随事转、</w:t>
            </w:r>
            <w:r>
              <w:rPr>
                <w:spacing w:val="-7"/>
              </w:rPr>
              <w:t>人随事转、钱随事转，使基层有人有物</w:t>
            </w:r>
            <w:r>
              <w:rPr>
                <w:spacing w:val="-7"/>
              </w:rPr>
              <w:t>有权，保证基层事情基层办、基层权力</w:t>
            </w:r>
            <w:r>
              <w:rPr>
                <w:spacing w:val="-2"/>
              </w:rPr>
              <w:t>给基层、基层事情有人办。</w:t>
            </w:r>
          </w:p>
        </w:tc>
        <w:tc>
          <w:tcPr>
            <w:tcW w:w="833" w:type="dxa"/>
            <w:vAlign w:val="top"/>
            <w:tcBorders>
              <w:bottom w:val="single" w:color="000000" w:sz="6" w:space="0"/>
            </w:tcBorders>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148"/>
              <w:spacing w:before="58" w:line="210" w:lineRule="auto"/>
              <w:rPr/>
            </w:pPr>
            <w:r>
              <w:rPr>
                <w:spacing w:val="-2"/>
              </w:rPr>
              <w:t>米</w:t>
            </w:r>
            <w:r>
              <w:rPr>
                <w:spacing w:val="2"/>
              </w:rPr>
              <w:t xml:space="preserve">  </w:t>
            </w:r>
            <w:r>
              <w:rPr>
                <w:spacing w:val="-2"/>
              </w:rPr>
              <w:t>广</w:t>
            </w:r>
          </w:p>
        </w:tc>
        <w:tc>
          <w:tcPr>
            <w:tcW w:w="1132" w:type="dxa"/>
            <w:vAlign w:val="top"/>
            <w:tcBorders>
              <w:bottom w:val="single" w:color="000000" w:sz="6" w:space="0"/>
            </w:tcBorders>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222"/>
              <w:spacing w:before="58" w:line="211" w:lineRule="auto"/>
              <w:rPr/>
            </w:pPr>
            <w:r>
              <w:rPr>
                <w:spacing w:val="-5"/>
              </w:rPr>
              <w:t>区财政局</w:t>
            </w:r>
          </w:p>
        </w:tc>
        <w:tc>
          <w:tcPr>
            <w:tcW w:w="1509" w:type="dxa"/>
            <w:vAlign w:val="top"/>
            <w:tcBorders>
              <w:bottom w:val="single" w:color="000000" w:sz="6" w:space="0"/>
              <w:right w:val="single" w:color="000000" w:sz="6" w:space="0"/>
            </w:tcBorders>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pStyle w:val="TableText"/>
              <w:ind w:left="27"/>
              <w:spacing w:before="59" w:line="240" w:lineRule="exact"/>
              <w:rPr/>
            </w:pPr>
            <w:r>
              <w:rPr>
                <w:spacing w:val="-1"/>
                <w:position w:val="1"/>
              </w:rPr>
              <w:t>各乡镇（街道）</w:t>
            </w:r>
          </w:p>
        </w:tc>
      </w:tr>
    </w:tbl>
    <w:p>
      <w:pPr>
        <w:spacing w:line="230" w:lineRule="exact"/>
        <w:rPr>
          <w:rFonts w:ascii="Arial"/>
          <w:sz w:val="20"/>
        </w:rPr>
      </w:pPr>
      <w:r/>
    </w:p>
    <w:p>
      <w:pPr>
        <w:spacing w:line="230" w:lineRule="exact"/>
        <w:sectPr>
          <w:headerReference w:type="default" r:id="rId331"/>
          <w:footerReference w:type="default" r:id="rId337"/>
          <w:pgSz w:w="16839" w:h="11906"/>
          <w:pgMar w:top="1792" w:right="1463" w:bottom="1672" w:left="1463" w:header="1428" w:footer="1277" w:gutter="0"/>
        </w:sectPr>
        <w:rPr>
          <w:rFonts w:ascii="Arial" w:hAnsi="Arial" w:eastAsia="Arial" w:cs="Arial"/>
          <w:sz w:val="20"/>
          <w:szCs w:val="20"/>
        </w:rPr>
      </w:pPr>
    </w:p>
    <w:p>
      <w:pPr>
        <w:spacing w:line="177" w:lineRule="exact"/>
        <w:rPr/>
      </w:pPr>
      <w:r>
        <w:drawing>
          <wp:anchor distT="0" distB="0" distL="0" distR="0" simplePos="0" relativeHeight="251899904" behindDoc="0" locked="0" layoutInCell="0" allowOverlap="1">
            <wp:simplePos x="0" y="0"/>
            <wp:positionH relativeFrom="page">
              <wp:posOffset>1008380</wp:posOffset>
            </wp:positionH>
            <wp:positionV relativeFrom="page">
              <wp:posOffset>1147445</wp:posOffset>
            </wp:positionV>
            <wp:extent cx="8712200" cy="7620"/>
            <wp:effectExtent l="0" t="0" r="0" b="0"/>
            <wp:wrapNone/>
            <wp:docPr id="678" name="IM 678"/>
            <wp:cNvGraphicFramePr/>
            <a:graphic>
              <a:graphicData uri="http://schemas.openxmlformats.org/drawingml/2006/picture">
                <pic:pic>
                  <pic:nvPicPr>
                    <pic:cNvPr id="678" name="IM 678"/>
                    <pic:cNvPicPr/>
                  </pic:nvPicPr>
                  <pic:blipFill>
                    <a:blip r:embed="rId341"/>
                    <a:stretch>
                      <a:fillRect/>
                    </a:stretch>
                  </pic:blipFill>
                  <pic:spPr>
                    <a:xfrm rot="0">
                      <a:off x="0" y="0"/>
                      <a:ext cx="8712200" cy="7620"/>
                    </a:xfrm>
                    <a:prstGeom prst="rect">
                      <a:avLst/>
                    </a:prstGeom>
                  </pic:spPr>
                </pic:pic>
              </a:graphicData>
            </a:graphic>
          </wp:anchor>
        </w:drawing>
      </w: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93"/>
        <w:gridCol w:w="1439"/>
        <w:gridCol w:w="5355"/>
        <w:gridCol w:w="3035"/>
        <w:gridCol w:w="833"/>
        <w:gridCol w:w="1132"/>
        <w:gridCol w:w="1509"/>
      </w:tblGrid>
      <w:tr>
        <w:trPr>
          <w:trHeight w:val="539" w:hRule="atLeast"/>
        </w:trPr>
        <w:tc>
          <w:tcPr>
            <w:tcW w:w="593" w:type="dxa"/>
            <w:vAlign w:val="top"/>
            <w:tcBorders>
              <w:left w:val="single" w:color="000000" w:sz="6" w:space="0"/>
              <w:top w:val="single" w:color="000000" w:sz="6" w:space="0"/>
            </w:tcBorders>
          </w:tcPr>
          <w:p>
            <w:pPr>
              <w:pStyle w:val="TableText"/>
              <w:ind w:left="114"/>
              <w:spacing w:before="168" w:line="214" w:lineRule="auto"/>
              <w:rPr/>
            </w:pPr>
            <w:r>
              <w:rPr>
                <w:b/>
                <w:bCs/>
                <w:spacing w:val="-4"/>
              </w:rPr>
              <w:t>序号</w:t>
            </w:r>
          </w:p>
        </w:tc>
        <w:tc>
          <w:tcPr>
            <w:tcW w:w="1439" w:type="dxa"/>
            <w:vAlign w:val="top"/>
            <w:tcBorders>
              <w:top w:val="single" w:color="000000" w:sz="6" w:space="0"/>
            </w:tcBorders>
          </w:tcPr>
          <w:p>
            <w:pPr>
              <w:pStyle w:val="TableText"/>
              <w:ind w:left="358"/>
              <w:spacing w:before="168" w:line="213" w:lineRule="auto"/>
              <w:rPr/>
            </w:pPr>
            <w:r>
              <w:rPr>
                <w:b/>
                <w:bCs/>
                <w:spacing w:val="-4"/>
              </w:rPr>
              <w:t>主要任务</w:t>
            </w:r>
          </w:p>
        </w:tc>
        <w:tc>
          <w:tcPr>
            <w:tcW w:w="5355" w:type="dxa"/>
            <w:vAlign w:val="top"/>
            <w:tcBorders>
              <w:top w:val="single" w:color="000000" w:sz="6" w:space="0"/>
            </w:tcBorders>
          </w:tcPr>
          <w:p>
            <w:pPr>
              <w:pStyle w:val="TableText"/>
              <w:ind w:left="2315"/>
              <w:spacing w:before="170" w:line="211" w:lineRule="auto"/>
              <w:rPr/>
            </w:pPr>
            <w:r>
              <w:rPr>
                <w:b/>
                <w:bCs/>
                <w:spacing w:val="-3"/>
              </w:rPr>
              <w:t>推进措施</w:t>
            </w:r>
          </w:p>
        </w:tc>
        <w:tc>
          <w:tcPr>
            <w:tcW w:w="3035" w:type="dxa"/>
            <w:vAlign w:val="top"/>
            <w:tcBorders>
              <w:top w:val="single" w:color="000000" w:sz="6" w:space="0"/>
            </w:tcBorders>
          </w:tcPr>
          <w:p>
            <w:pPr>
              <w:pStyle w:val="TableText"/>
              <w:ind w:left="1161"/>
              <w:spacing w:before="170" w:line="211" w:lineRule="auto"/>
              <w:rPr/>
            </w:pPr>
            <w:r>
              <w:rPr>
                <w:b/>
                <w:bCs/>
                <w:spacing w:val="-4"/>
              </w:rPr>
              <w:t>预期目标</w:t>
            </w:r>
          </w:p>
        </w:tc>
        <w:tc>
          <w:tcPr>
            <w:tcW w:w="833" w:type="dxa"/>
            <w:vAlign w:val="top"/>
            <w:tcBorders>
              <w:top w:val="single" w:color="000000" w:sz="6" w:space="0"/>
            </w:tcBorders>
          </w:tcPr>
          <w:p>
            <w:pPr>
              <w:pStyle w:val="TableText"/>
              <w:ind w:left="62"/>
              <w:spacing w:before="168" w:line="213" w:lineRule="auto"/>
              <w:rPr/>
            </w:pPr>
            <w:r>
              <w:rPr>
                <w:b/>
                <w:bCs/>
                <w:spacing w:val="-3"/>
              </w:rPr>
              <w:t>责任领导</w:t>
            </w:r>
          </w:p>
        </w:tc>
        <w:tc>
          <w:tcPr>
            <w:tcW w:w="1132" w:type="dxa"/>
            <w:vAlign w:val="top"/>
            <w:tcBorders>
              <w:top w:val="single" w:color="000000" w:sz="6" w:space="0"/>
            </w:tcBorders>
          </w:tcPr>
          <w:p>
            <w:pPr>
              <w:pStyle w:val="TableText"/>
              <w:ind w:left="210"/>
              <w:spacing w:before="169" w:line="212" w:lineRule="auto"/>
              <w:rPr/>
            </w:pPr>
            <w:r>
              <w:rPr>
                <w:b/>
                <w:bCs/>
                <w:spacing w:val="-3"/>
              </w:rPr>
              <w:t>牵头单位</w:t>
            </w:r>
          </w:p>
        </w:tc>
        <w:tc>
          <w:tcPr>
            <w:tcW w:w="1509" w:type="dxa"/>
            <w:vAlign w:val="top"/>
            <w:tcBorders>
              <w:right w:val="single" w:color="000000" w:sz="6" w:space="0"/>
              <w:top w:val="single" w:color="000000" w:sz="6" w:space="0"/>
            </w:tcBorders>
          </w:tcPr>
          <w:p>
            <w:pPr>
              <w:pStyle w:val="TableText"/>
              <w:ind w:left="396"/>
              <w:spacing w:before="168" w:line="214" w:lineRule="auto"/>
              <w:rPr/>
            </w:pPr>
            <w:r>
              <w:rPr>
                <w:b/>
                <w:bCs/>
                <w:spacing w:val="-3"/>
              </w:rPr>
              <w:t>实施单位</w:t>
            </w:r>
          </w:p>
        </w:tc>
      </w:tr>
      <w:tr>
        <w:trPr>
          <w:trHeight w:val="1932" w:hRule="atLeast"/>
        </w:trPr>
        <w:tc>
          <w:tcPr>
            <w:tcW w:w="593" w:type="dxa"/>
            <w:vAlign w:val="top"/>
            <w:tcBorders>
              <w:left w:val="single" w:color="000000" w:sz="6" w:space="0"/>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216"/>
              <w:spacing w:before="59" w:line="262" w:lineRule="exact"/>
              <w:rPr/>
            </w:pPr>
            <w:r>
              <w:rPr>
                <w:spacing w:val="-11"/>
                <w:position w:val="1"/>
              </w:rPr>
              <w:t>14</w:t>
            </w:r>
          </w:p>
        </w:tc>
        <w:tc>
          <w:tcPr>
            <w:tcW w:w="1439" w:type="dxa"/>
            <w:vAlign w:val="top"/>
          </w:tcPr>
          <w:p>
            <w:pPr>
              <w:spacing w:line="333" w:lineRule="auto"/>
              <w:rPr>
                <w:rFonts w:ascii="Arial"/>
                <w:sz w:val="21"/>
              </w:rPr>
            </w:pPr>
            <w:r/>
          </w:p>
          <w:p>
            <w:pPr>
              <w:spacing w:line="334" w:lineRule="auto"/>
              <w:rPr>
                <w:rFonts w:ascii="Arial"/>
                <w:sz w:val="21"/>
              </w:rPr>
            </w:pPr>
            <w:r/>
          </w:p>
          <w:p>
            <w:pPr>
              <w:pStyle w:val="TableText"/>
              <w:ind w:left="350" w:right="361" w:firstLine="1"/>
              <w:spacing w:before="58" w:line="277" w:lineRule="auto"/>
              <w:rPr/>
            </w:pPr>
            <w:r>
              <w:rPr>
                <w:spacing w:val="-2"/>
              </w:rPr>
              <w:t>完善激励</w:t>
            </w:r>
            <w:r>
              <w:rPr>
                <w:spacing w:val="-1"/>
              </w:rPr>
              <w:t>保障机制</w:t>
            </w:r>
          </w:p>
        </w:tc>
        <w:tc>
          <w:tcPr>
            <w:tcW w:w="5355" w:type="dxa"/>
            <w:vAlign w:val="top"/>
          </w:tcPr>
          <w:p>
            <w:pPr>
              <w:spacing w:line="320" w:lineRule="auto"/>
              <w:rPr>
                <w:rFonts w:ascii="Arial"/>
                <w:sz w:val="21"/>
              </w:rPr>
            </w:pPr>
            <w:r/>
          </w:p>
          <w:p>
            <w:pPr>
              <w:pStyle w:val="TableText"/>
              <w:ind w:left="16" w:right="11" w:hanging="1"/>
              <w:spacing w:before="59" w:line="251" w:lineRule="auto"/>
              <w:jc w:val="both"/>
              <w:rPr/>
            </w:pPr>
            <w:r>
              <w:rPr>
                <w:spacing w:val="1"/>
              </w:rPr>
              <w:t>4</w:t>
            </w:r>
            <w:r>
              <w:rPr>
                <w:spacing w:val="-29"/>
              </w:rPr>
              <w:t xml:space="preserve"> </w:t>
            </w:r>
            <w:r>
              <w:rPr>
                <w:spacing w:val="1"/>
              </w:rPr>
              <w:t>月30 日前，全面落实乡镇工作人员各项待遇政策，并向条件艰苦</w:t>
            </w:r>
            <w:r>
              <w:rPr>
                <w:spacing w:val="-3"/>
              </w:rPr>
              <w:t>的偏远乡镇和长期在乡镇工作的人员倾斜。乡镇年度考核优秀比例提</w:t>
            </w:r>
            <w:r>
              <w:rPr>
                <w:spacing w:val="6"/>
              </w:rPr>
              <w:t>高到20%，工作成绩突出的可提高到25%</w:t>
            </w:r>
            <w:r>
              <w:rPr>
                <w:spacing w:val="5"/>
              </w:rPr>
              <w:t>—35%。落实乡镇工作补贴</w:t>
            </w:r>
            <w:r>
              <w:rPr>
                <w:spacing w:val="-3"/>
              </w:rPr>
              <w:t>政策，确保乡镇机关事业单位工作人员收入高于区直机关事业单位同</w:t>
            </w:r>
            <w:r>
              <w:rPr>
                <w:spacing w:val="6"/>
              </w:rPr>
              <w:t>职级人员</w:t>
            </w:r>
            <w:r>
              <w:rPr>
                <w:spacing w:val="-40"/>
              </w:rPr>
              <w:t xml:space="preserve"> </w:t>
            </w:r>
            <w:r>
              <w:rPr>
                <w:spacing w:val="6"/>
              </w:rPr>
              <w:t>20%。</w:t>
            </w:r>
          </w:p>
        </w:tc>
        <w:tc>
          <w:tcPr>
            <w:tcW w:w="3035" w:type="dxa"/>
            <w:vAlign w:val="top"/>
          </w:tcPr>
          <w:p>
            <w:pPr>
              <w:spacing w:line="341" w:lineRule="auto"/>
              <w:rPr>
                <w:rFonts w:ascii="Arial"/>
                <w:sz w:val="21"/>
              </w:rPr>
            </w:pPr>
            <w:r/>
          </w:p>
          <w:p>
            <w:pPr>
              <w:spacing w:line="341" w:lineRule="auto"/>
              <w:rPr>
                <w:rFonts w:ascii="Arial"/>
                <w:sz w:val="21"/>
              </w:rPr>
            </w:pPr>
            <w:r/>
          </w:p>
          <w:p>
            <w:pPr>
              <w:pStyle w:val="TableText"/>
              <w:ind w:left="24" w:right="15" w:hanging="1"/>
              <w:spacing w:before="58" w:line="248" w:lineRule="auto"/>
              <w:rPr/>
            </w:pPr>
            <w:r>
              <w:rPr>
                <w:spacing w:val="-5"/>
              </w:rPr>
              <w:t>进一步调动基层干部队伍积极性，激励</w:t>
            </w:r>
            <w:r>
              <w:rPr>
                <w:spacing w:val="-1"/>
              </w:rPr>
              <w:t>担当作为、干事创业。</w:t>
            </w:r>
          </w:p>
        </w:tc>
        <w:tc>
          <w:tcPr>
            <w:tcW w:w="833" w:type="dxa"/>
            <w:vAlign w:val="top"/>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148"/>
              <w:spacing w:before="59" w:line="210" w:lineRule="auto"/>
              <w:rPr/>
            </w:pPr>
            <w:r>
              <w:rPr>
                <w:spacing w:val="-2"/>
              </w:rPr>
              <w:t>米</w:t>
            </w:r>
            <w:r>
              <w:rPr>
                <w:spacing w:val="2"/>
              </w:rPr>
              <w:t xml:space="preserve">  </w:t>
            </w:r>
            <w:r>
              <w:rPr>
                <w:spacing w:val="-2"/>
              </w:rPr>
              <w:t>广</w:t>
            </w:r>
          </w:p>
        </w:tc>
        <w:tc>
          <w:tcPr>
            <w:tcW w:w="1132" w:type="dxa"/>
            <w:vAlign w:val="top"/>
          </w:tcPr>
          <w:p>
            <w:pPr>
              <w:spacing w:line="405" w:lineRule="auto"/>
              <w:rPr>
                <w:rFonts w:ascii="Arial"/>
                <w:sz w:val="21"/>
              </w:rPr>
            </w:pPr>
            <w:r/>
          </w:p>
          <w:p>
            <w:pPr>
              <w:pStyle w:val="TableText"/>
              <w:ind w:left="42"/>
              <w:spacing w:before="58" w:line="206" w:lineRule="auto"/>
              <w:rPr/>
            </w:pPr>
            <w:r>
              <w:rPr>
                <w:spacing w:val="-3"/>
              </w:rPr>
              <w:t>区委办公室、</w:t>
            </w:r>
          </w:p>
          <w:p>
            <w:pPr>
              <w:pStyle w:val="TableText"/>
              <w:ind w:left="28"/>
              <w:spacing w:before="63" w:line="213" w:lineRule="auto"/>
              <w:rPr/>
            </w:pPr>
            <w:r>
              <w:rPr>
                <w:spacing w:val="-1"/>
              </w:rPr>
              <w:t>组织部，区人</w:t>
            </w:r>
          </w:p>
          <w:p>
            <w:pPr>
              <w:pStyle w:val="TableText"/>
              <w:ind w:left="28"/>
              <w:spacing w:before="61" w:line="212" w:lineRule="auto"/>
              <w:rPr/>
            </w:pPr>
            <w:r>
              <w:rPr>
                <w:spacing w:val="-1"/>
              </w:rPr>
              <w:t>力资源和社会</w:t>
            </w:r>
          </w:p>
          <w:p>
            <w:pPr>
              <w:pStyle w:val="TableText"/>
              <w:ind w:left="298"/>
              <w:spacing w:before="59" w:line="214" w:lineRule="auto"/>
              <w:rPr/>
            </w:pPr>
            <w:r>
              <w:rPr>
                <w:spacing w:val="-1"/>
              </w:rPr>
              <w:t>保障局</w:t>
            </w:r>
          </w:p>
        </w:tc>
        <w:tc>
          <w:tcPr>
            <w:tcW w:w="1509" w:type="dxa"/>
            <w:vAlign w:val="top"/>
            <w:tcBorders>
              <w:right w:val="single" w:color="000000" w:sz="6" w:space="0"/>
            </w:tcBorders>
          </w:tcPr>
          <w:p>
            <w:pPr>
              <w:spacing w:line="333" w:lineRule="auto"/>
              <w:rPr>
                <w:rFonts w:ascii="Arial"/>
                <w:sz w:val="21"/>
              </w:rPr>
            </w:pPr>
            <w:r/>
          </w:p>
          <w:p>
            <w:pPr>
              <w:spacing w:line="333" w:lineRule="auto"/>
              <w:rPr>
                <w:rFonts w:ascii="Arial"/>
                <w:sz w:val="21"/>
              </w:rPr>
            </w:pPr>
            <w:r/>
          </w:p>
          <w:p>
            <w:pPr>
              <w:pStyle w:val="TableText"/>
              <w:ind w:left="47"/>
              <w:spacing w:before="59" w:line="214" w:lineRule="auto"/>
              <w:rPr/>
            </w:pPr>
            <w:r>
              <w:rPr>
                <w:spacing w:val="-3"/>
              </w:rPr>
              <w:t>区财政局，各乡镇</w:t>
            </w:r>
          </w:p>
          <w:p>
            <w:pPr>
              <w:pStyle w:val="TableText"/>
              <w:ind w:left="387"/>
              <w:spacing w:before="56" w:line="241" w:lineRule="exact"/>
              <w:rPr/>
            </w:pPr>
            <w:r>
              <w:rPr>
                <w:spacing w:val="1"/>
                <w:position w:val="1"/>
              </w:rPr>
              <w:t>（街道）</w:t>
            </w:r>
          </w:p>
        </w:tc>
      </w:tr>
      <w:tr>
        <w:trPr>
          <w:trHeight w:val="1797" w:hRule="atLeast"/>
        </w:trPr>
        <w:tc>
          <w:tcPr>
            <w:tcW w:w="593" w:type="dxa"/>
            <w:vAlign w:val="top"/>
            <w:tcBorders>
              <w:left w:val="single" w:color="000000" w:sz="6" w:space="0"/>
            </w:tcBorders>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216"/>
              <w:spacing w:before="58" w:line="260" w:lineRule="exact"/>
              <w:rPr/>
            </w:pPr>
            <w:r>
              <w:rPr>
                <w:spacing w:val="-11"/>
                <w:position w:val="1"/>
              </w:rPr>
              <w:t>15</w:t>
            </w:r>
          </w:p>
        </w:tc>
        <w:tc>
          <w:tcPr>
            <w:tcW w:w="1439" w:type="dxa"/>
            <w:vAlign w:val="top"/>
          </w:tcPr>
          <w:p>
            <w:pPr>
              <w:spacing w:line="302" w:lineRule="auto"/>
              <w:rPr>
                <w:rFonts w:ascii="Arial"/>
                <w:sz w:val="21"/>
              </w:rPr>
            </w:pPr>
            <w:r/>
          </w:p>
          <w:p>
            <w:pPr>
              <w:spacing w:line="303" w:lineRule="auto"/>
              <w:rPr>
                <w:rFonts w:ascii="Arial"/>
                <w:sz w:val="21"/>
              </w:rPr>
            </w:pPr>
            <w:r/>
          </w:p>
          <w:p>
            <w:pPr>
              <w:pStyle w:val="TableText"/>
              <w:ind w:left="444" w:right="269" w:hanging="181"/>
              <w:spacing w:before="59" w:line="279" w:lineRule="auto"/>
              <w:rPr/>
            </w:pPr>
            <w:r>
              <w:rPr>
                <w:spacing w:val="-1"/>
              </w:rPr>
              <w:t>规范“属地</w:t>
            </w:r>
            <w:r>
              <w:rPr>
                <w:spacing w:val="28"/>
              </w:rPr>
              <w:t>管理”</w:t>
            </w:r>
          </w:p>
        </w:tc>
        <w:tc>
          <w:tcPr>
            <w:tcW w:w="5355" w:type="dxa"/>
            <w:vAlign w:val="top"/>
          </w:tcPr>
          <w:p>
            <w:pPr>
              <w:spacing w:line="257" w:lineRule="auto"/>
              <w:rPr>
                <w:rFonts w:ascii="Arial"/>
                <w:sz w:val="21"/>
              </w:rPr>
            </w:pPr>
            <w:r/>
          </w:p>
          <w:p>
            <w:pPr>
              <w:pStyle w:val="TableText"/>
              <w:ind w:left="17" w:right="16" w:firstLine="15"/>
              <w:spacing w:before="58" w:line="246" w:lineRule="auto"/>
              <w:rPr/>
            </w:pPr>
            <w:r>
              <w:rPr>
                <w:spacing w:val="-5"/>
              </w:rPr>
              <w:t>1.3</w:t>
            </w:r>
            <w:r>
              <w:rPr>
                <w:spacing w:val="-30"/>
              </w:rPr>
              <w:t xml:space="preserve"> </w:t>
            </w:r>
            <w:r>
              <w:rPr>
                <w:spacing w:val="-5"/>
              </w:rPr>
              <w:t>月31 日前，研究制定《区乡“属地管理”事项主体责任和配合责</w:t>
            </w:r>
            <w:r>
              <w:rPr/>
              <w:t>任清单》，合理划分区乡权责边界，健全区</w:t>
            </w:r>
            <w:r>
              <w:rPr>
                <w:spacing w:val="-1"/>
              </w:rPr>
              <w:t>乡联动机制。</w:t>
            </w:r>
          </w:p>
          <w:p>
            <w:pPr>
              <w:pStyle w:val="TableText"/>
              <w:ind w:left="18" w:right="16" w:hanging="1"/>
              <w:spacing w:before="2" w:line="234" w:lineRule="auto"/>
              <w:rPr/>
            </w:pPr>
            <w:r>
              <w:rPr>
                <w:spacing w:val="-4"/>
              </w:rPr>
              <w:t>2.4</w:t>
            </w:r>
            <w:r>
              <w:rPr>
                <w:spacing w:val="-38"/>
              </w:rPr>
              <w:t xml:space="preserve"> </w:t>
            </w:r>
            <w:r>
              <w:rPr>
                <w:spacing w:val="-4"/>
              </w:rPr>
              <w:t>月30 日前，探索建立乡镇街道职责准入制</w:t>
            </w:r>
            <w:r>
              <w:rPr>
                <w:spacing w:val="-5"/>
              </w:rPr>
              <w:t>度，区直职能部门将职</w:t>
            </w:r>
            <w:r>
              <w:rPr>
                <w:spacing w:val="-3"/>
              </w:rPr>
              <w:t>责范围内的行政事务委托或交由乡镇街道承担的，需审核报批并</w:t>
            </w:r>
            <w:r>
              <w:rPr>
                <w:spacing w:val="-4"/>
              </w:rPr>
              <w:t>充分</w:t>
            </w:r>
            <w:r>
              <w:rPr>
                <w:spacing w:val="-1"/>
              </w:rPr>
              <w:t>听取基层意见。</w:t>
            </w:r>
          </w:p>
        </w:tc>
        <w:tc>
          <w:tcPr>
            <w:tcW w:w="3035" w:type="dxa"/>
            <w:vAlign w:val="top"/>
          </w:tcPr>
          <w:p>
            <w:pPr>
              <w:spacing w:line="256" w:lineRule="auto"/>
              <w:rPr>
                <w:rFonts w:ascii="Arial"/>
                <w:sz w:val="21"/>
              </w:rPr>
            </w:pPr>
            <w:r/>
          </w:p>
          <w:p>
            <w:pPr>
              <w:pStyle w:val="TableText"/>
              <w:ind w:left="21" w:right="15" w:firstLine="17"/>
              <w:spacing w:before="58" w:line="237" w:lineRule="auto"/>
              <w:rPr/>
            </w:pPr>
            <w:r>
              <w:rPr>
                <w:spacing w:val="-5"/>
              </w:rPr>
              <w:t>1.通过建立区乡“属地管理”事项主体</w:t>
            </w:r>
            <w:r>
              <w:rPr>
                <w:spacing w:val="-5"/>
              </w:rPr>
              <w:t>责任和配合责任清单，进一步理顺区乡</w:t>
            </w:r>
            <w:r>
              <w:rPr>
                <w:spacing w:val="-1"/>
              </w:rPr>
              <w:t>关系，压实责任。</w:t>
            </w:r>
          </w:p>
          <w:p>
            <w:pPr>
              <w:pStyle w:val="TableText"/>
              <w:ind w:left="23" w:right="12"/>
              <w:spacing w:before="26" w:line="231" w:lineRule="auto"/>
              <w:rPr/>
            </w:pPr>
            <w:r>
              <w:rPr>
                <w:spacing w:val="3"/>
              </w:rPr>
              <w:t>2.通过严格控制下放事项</w:t>
            </w:r>
            <w:r>
              <w:rPr>
                <w:spacing w:val="-35"/>
              </w:rPr>
              <w:t xml:space="preserve"> </w:t>
            </w:r>
            <w:r>
              <w:rPr>
                <w:spacing w:val="3"/>
              </w:rPr>
              <w:t>，确保放得</w:t>
            </w:r>
            <w:r>
              <w:rPr>
                <w:spacing w:val="-1"/>
              </w:rPr>
              <w:t>下、接得住、管得好。</w:t>
            </w:r>
          </w:p>
        </w:tc>
        <w:tc>
          <w:tcPr>
            <w:tcW w:w="833"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48"/>
              <w:spacing w:before="59" w:line="211" w:lineRule="auto"/>
              <w:rPr/>
            </w:pPr>
            <w:r>
              <w:rPr>
                <w:spacing w:val="-1"/>
              </w:rPr>
              <w:t>李育龙</w:t>
            </w:r>
          </w:p>
        </w:tc>
        <w:tc>
          <w:tcPr>
            <w:tcW w:w="1132" w:type="dxa"/>
            <w:vAlign w:val="top"/>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pStyle w:val="TableText"/>
              <w:ind w:left="222"/>
              <w:spacing w:before="58" w:line="208" w:lineRule="auto"/>
              <w:rPr/>
            </w:pPr>
            <w:r>
              <w:rPr>
                <w:spacing w:val="-5"/>
              </w:rPr>
              <w:t>区委编办</w:t>
            </w:r>
          </w:p>
        </w:tc>
        <w:tc>
          <w:tcPr>
            <w:tcW w:w="1509" w:type="dxa"/>
            <w:vAlign w:val="top"/>
            <w:tcBorders>
              <w:right w:val="single" w:color="000000" w:sz="6" w:space="0"/>
            </w:tcBorders>
          </w:tcPr>
          <w:p>
            <w:pPr>
              <w:spacing w:line="302" w:lineRule="auto"/>
              <w:rPr>
                <w:rFonts w:ascii="Arial"/>
                <w:sz w:val="21"/>
              </w:rPr>
            </w:pPr>
            <w:r/>
          </w:p>
          <w:p>
            <w:pPr>
              <w:spacing w:line="303" w:lineRule="auto"/>
              <w:rPr>
                <w:rFonts w:ascii="Arial"/>
                <w:sz w:val="21"/>
              </w:rPr>
            </w:pPr>
            <w:r/>
          </w:p>
          <w:p>
            <w:pPr>
              <w:pStyle w:val="TableText"/>
              <w:ind w:left="20" w:right="33" w:firstLine="19"/>
              <w:spacing w:before="58" w:line="290" w:lineRule="auto"/>
              <w:rPr/>
            </w:pPr>
            <w:r>
              <w:rPr>
                <w:spacing w:val="-3"/>
              </w:rPr>
              <w:t>区司法局，各乡镇</w:t>
            </w:r>
            <w:r>
              <w:rPr>
                <w:spacing w:val="2"/>
              </w:rPr>
              <w:t>（街道）</w:t>
            </w:r>
          </w:p>
        </w:tc>
      </w:tr>
      <w:tr>
        <w:trPr>
          <w:trHeight w:val="3883" w:hRule="atLeast"/>
        </w:trPr>
        <w:tc>
          <w:tcPr>
            <w:tcW w:w="593" w:type="dxa"/>
            <w:vAlign w:val="top"/>
            <w:tcBorders>
              <w:left w:val="single" w:color="000000" w:sz="6" w:space="0"/>
              <w:bottom w:val="single" w:color="000000" w:sz="6" w:space="0"/>
            </w:tcBorders>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216"/>
              <w:spacing w:before="58" w:line="261" w:lineRule="exact"/>
              <w:rPr/>
            </w:pPr>
            <w:r>
              <w:rPr>
                <w:spacing w:val="-11"/>
                <w:position w:val="1"/>
              </w:rPr>
              <w:t>16</w:t>
            </w:r>
          </w:p>
        </w:tc>
        <w:tc>
          <w:tcPr>
            <w:tcW w:w="1439" w:type="dxa"/>
            <w:vAlign w:val="top"/>
            <w:tcBorders>
              <w:bottom w:val="single" w:color="000000" w:sz="6" w:space="0"/>
            </w:tcBorders>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622" w:right="89" w:hanging="538"/>
              <w:spacing w:before="59" w:line="278" w:lineRule="auto"/>
              <w:rPr/>
            </w:pPr>
            <w:r>
              <w:rPr>
                <w:spacing w:val="-1"/>
              </w:rPr>
              <w:t>推进基层减负增</w:t>
            </w:r>
            <w:r>
              <w:rPr/>
              <w:t>效</w:t>
            </w:r>
          </w:p>
        </w:tc>
        <w:tc>
          <w:tcPr>
            <w:tcW w:w="5355" w:type="dxa"/>
            <w:vAlign w:val="top"/>
            <w:tcBorders>
              <w:bottom w:val="single" w:color="000000" w:sz="6" w:space="0"/>
            </w:tcBorders>
          </w:tcPr>
          <w:p>
            <w:pPr>
              <w:spacing w:line="287" w:lineRule="auto"/>
              <w:rPr>
                <w:rFonts w:ascii="Arial"/>
                <w:sz w:val="21"/>
              </w:rPr>
            </w:pPr>
            <w:r/>
          </w:p>
          <w:p>
            <w:pPr>
              <w:spacing w:line="288" w:lineRule="auto"/>
              <w:rPr>
                <w:rFonts w:ascii="Arial"/>
                <w:sz w:val="21"/>
              </w:rPr>
            </w:pPr>
            <w:r/>
          </w:p>
          <w:p>
            <w:pPr>
              <w:pStyle w:val="TableText"/>
              <w:ind w:left="17" w:right="28" w:firstLine="15"/>
              <w:spacing w:before="59" w:line="231" w:lineRule="auto"/>
              <w:rPr/>
            </w:pPr>
            <w:r>
              <w:rPr>
                <w:spacing w:val="-3"/>
              </w:rPr>
              <w:t>1.3</w:t>
            </w:r>
            <w:r>
              <w:rPr>
                <w:spacing w:val="-38"/>
              </w:rPr>
              <w:t xml:space="preserve"> </w:t>
            </w:r>
            <w:r>
              <w:rPr>
                <w:spacing w:val="-3"/>
              </w:rPr>
              <w:t>月</w:t>
            </w:r>
            <w:r>
              <w:rPr>
                <w:spacing w:val="-25"/>
              </w:rPr>
              <w:t xml:space="preserve"> </w:t>
            </w:r>
            <w:r>
              <w:rPr>
                <w:spacing w:val="-3"/>
              </w:rPr>
              <w:t>15 日前，完善2021</w:t>
            </w:r>
            <w:r>
              <w:rPr>
                <w:spacing w:val="-37"/>
              </w:rPr>
              <w:t xml:space="preserve"> </w:t>
            </w:r>
            <w:r>
              <w:rPr>
                <w:spacing w:val="-3"/>
              </w:rPr>
              <w:t>年督查检查考核工作计划和效</w:t>
            </w:r>
            <w:r>
              <w:rPr>
                <w:spacing w:val="-4"/>
              </w:rPr>
              <w:t>能目标管理</w:t>
            </w:r>
            <w:r>
              <w:rPr>
                <w:spacing w:val="-1"/>
              </w:rPr>
              <w:t>考核方案。</w:t>
            </w:r>
          </w:p>
          <w:p>
            <w:pPr>
              <w:pStyle w:val="TableText"/>
              <w:ind w:left="17"/>
              <w:spacing w:before="30" w:line="231" w:lineRule="auto"/>
              <w:rPr/>
            </w:pPr>
            <w:r>
              <w:rPr>
                <w:spacing w:val="-6"/>
              </w:rPr>
              <w:t>2.3</w:t>
            </w:r>
            <w:r>
              <w:rPr>
                <w:spacing w:val="-29"/>
              </w:rPr>
              <w:t xml:space="preserve"> </w:t>
            </w:r>
            <w:r>
              <w:rPr>
                <w:spacing w:val="-6"/>
              </w:rPr>
              <w:t>月20 日前，开展专项清理规范，组织力量对上级与乡镇和街道签</w:t>
            </w:r>
            <w:r>
              <w:rPr>
                <w:spacing w:val="-8"/>
              </w:rPr>
              <w:t>订的“一票否决”、各类“责任状”和考核评比等事项进</w:t>
            </w:r>
            <w:r>
              <w:rPr>
                <w:spacing w:val="-9"/>
              </w:rPr>
              <w:t>行全面清理。</w:t>
            </w:r>
          </w:p>
          <w:p>
            <w:pPr>
              <w:pStyle w:val="TableText"/>
              <w:ind w:left="17" w:right="16" w:firstLine="3"/>
              <w:spacing w:before="29" w:line="236" w:lineRule="auto"/>
              <w:rPr/>
            </w:pPr>
            <w:r>
              <w:rPr>
                <w:spacing w:val="-5"/>
              </w:rPr>
              <w:t>3.3</w:t>
            </w:r>
            <w:r>
              <w:rPr>
                <w:spacing w:val="-21"/>
              </w:rPr>
              <w:t xml:space="preserve"> </w:t>
            </w:r>
            <w:r>
              <w:rPr>
                <w:spacing w:val="-5"/>
              </w:rPr>
              <w:t>月31 日前，及时清理、修订、完善不符合基层实际和发展需要的</w:t>
            </w:r>
            <w:r>
              <w:rPr>
                <w:spacing w:val="-3"/>
              </w:rPr>
              <w:t>政策规定，统一规范针对乡镇街道的评比达标、示范创建等活动，切</w:t>
            </w:r>
            <w:r>
              <w:rPr>
                <w:spacing w:val="-1"/>
              </w:rPr>
              <w:t>实减轻基层负担。</w:t>
            </w:r>
          </w:p>
          <w:p>
            <w:pPr>
              <w:pStyle w:val="TableText"/>
              <w:ind w:left="15" w:right="16"/>
              <w:spacing w:before="30" w:line="238" w:lineRule="auto"/>
              <w:rPr/>
            </w:pPr>
            <w:r>
              <w:rPr>
                <w:spacing w:val="-3"/>
              </w:rPr>
              <w:t>4.严格落实中央、自治区党委、固原市委为基层减负部署要求，认真</w:t>
            </w:r>
            <w:r>
              <w:rPr>
                <w:spacing w:val="-3"/>
              </w:rPr>
              <w:t>抓好为基层减负政策措施的落实，持续推进乡镇街道、村（社区）减</w:t>
            </w:r>
            <w:r>
              <w:rPr>
                <w:spacing w:val="-4"/>
              </w:rPr>
              <w:t>负增效，制定“减负增效”定期“</w:t>
            </w:r>
            <w:r>
              <w:rPr>
                <w:spacing w:val="-58"/>
              </w:rPr>
              <w:t xml:space="preserve"> </w:t>
            </w:r>
            <w:r>
              <w:rPr>
                <w:spacing w:val="-4"/>
              </w:rPr>
              <w:t>回头看”和通报长效机制，做好基</w:t>
            </w:r>
            <w:r>
              <w:rPr>
                <w:spacing w:val="-1"/>
              </w:rPr>
              <w:t>层减负方面举报受理。</w:t>
            </w:r>
          </w:p>
        </w:tc>
        <w:tc>
          <w:tcPr>
            <w:tcW w:w="3035" w:type="dxa"/>
            <w:vAlign w:val="top"/>
            <w:tcBorders>
              <w:bottom w:val="single" w:color="000000" w:sz="6" w:space="0"/>
            </w:tcBorders>
          </w:tcPr>
          <w:p>
            <w:pPr>
              <w:spacing w:line="457" w:lineRule="auto"/>
              <w:rPr>
                <w:rFonts w:ascii="Arial"/>
                <w:sz w:val="21"/>
              </w:rPr>
            </w:pPr>
            <w:r/>
          </w:p>
          <w:p>
            <w:pPr>
              <w:pStyle w:val="TableText"/>
              <w:ind w:left="23" w:right="12" w:firstLine="16"/>
              <w:spacing w:before="58" w:line="236" w:lineRule="auto"/>
              <w:rPr/>
            </w:pPr>
            <w:r>
              <w:rPr>
                <w:spacing w:val="-5"/>
              </w:rPr>
              <w:t>1.通过对“一票否决”和签订责任状事</w:t>
            </w:r>
            <w:r>
              <w:rPr>
                <w:spacing w:val="4"/>
              </w:rPr>
              <w:t>项的专项清理规范</w:t>
            </w:r>
            <w:r>
              <w:rPr>
                <w:spacing w:val="-46"/>
              </w:rPr>
              <w:t xml:space="preserve"> </w:t>
            </w:r>
            <w:r>
              <w:rPr>
                <w:spacing w:val="4"/>
              </w:rPr>
              <w:t>，切实减轻基层负</w:t>
            </w:r>
            <w:r>
              <w:rPr>
                <w:spacing w:val="-2"/>
              </w:rPr>
              <w:t>担。</w:t>
            </w:r>
          </w:p>
          <w:p>
            <w:pPr>
              <w:pStyle w:val="TableText"/>
              <w:ind w:left="22" w:right="12" w:firstLine="1"/>
              <w:spacing w:before="29" w:line="236" w:lineRule="auto"/>
              <w:rPr/>
            </w:pPr>
            <w:r>
              <w:rPr>
                <w:spacing w:val="6"/>
              </w:rPr>
              <w:t>2.通过对不符合基层实际和发展需要</w:t>
            </w:r>
            <w:r>
              <w:rPr>
                <w:spacing w:val="-5"/>
              </w:rPr>
              <w:t>的政策规定的清理、修订、完善，为基</w:t>
            </w:r>
            <w:r>
              <w:rPr>
                <w:spacing w:val="-1"/>
              </w:rPr>
              <w:t>层改革提供制度支持。</w:t>
            </w:r>
          </w:p>
          <w:p>
            <w:pPr>
              <w:pStyle w:val="TableText"/>
              <w:ind w:left="23" w:right="15" w:firstLine="3"/>
              <w:spacing w:before="31" w:line="235" w:lineRule="auto"/>
              <w:rPr/>
            </w:pPr>
            <w:r>
              <w:rPr>
                <w:spacing w:val="-5"/>
              </w:rPr>
              <w:t>3.进一步压减督查检查考核项目，精简</w:t>
            </w:r>
            <w:r>
              <w:rPr>
                <w:spacing w:val="-5"/>
              </w:rPr>
              <w:t>考核指标，提升督检实效，减轻基层迎</w:t>
            </w:r>
            <w:r>
              <w:rPr>
                <w:spacing w:val="-1"/>
              </w:rPr>
              <w:t>检迎考压力。</w:t>
            </w:r>
          </w:p>
          <w:p>
            <w:pPr>
              <w:pStyle w:val="TableText"/>
              <w:ind w:left="21" w:right="15"/>
              <w:spacing w:before="31" w:line="236" w:lineRule="auto"/>
              <w:rPr/>
            </w:pPr>
            <w:r>
              <w:rPr>
                <w:spacing w:val="-4"/>
              </w:rPr>
              <w:t>4.坚持减负与增效相结合，切实激发内</w:t>
            </w:r>
            <w:r>
              <w:rPr>
                <w:spacing w:val="-5"/>
              </w:rPr>
              <w:t>动力、增添新活力、催生高效率，有效</w:t>
            </w:r>
            <w:r>
              <w:rPr>
                <w:spacing w:val="-1"/>
              </w:rPr>
              <w:t>增强基层减负的获得感。</w:t>
            </w:r>
          </w:p>
        </w:tc>
        <w:tc>
          <w:tcPr>
            <w:tcW w:w="833" w:type="dxa"/>
            <w:vAlign w:val="top"/>
            <w:tcBorders>
              <w:bottom w:val="single" w:color="000000" w:sz="6" w:space="0"/>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48"/>
              <w:spacing w:before="58" w:line="210" w:lineRule="auto"/>
              <w:rPr/>
            </w:pPr>
            <w:r>
              <w:rPr>
                <w:spacing w:val="-2"/>
              </w:rPr>
              <w:t>米</w:t>
            </w:r>
            <w:r>
              <w:rPr>
                <w:spacing w:val="2"/>
              </w:rPr>
              <w:t xml:space="preserve">  </w:t>
            </w:r>
            <w:r>
              <w:rPr>
                <w:spacing w:val="-2"/>
              </w:rPr>
              <w:t>广</w:t>
            </w:r>
          </w:p>
        </w:tc>
        <w:tc>
          <w:tcPr>
            <w:tcW w:w="1132" w:type="dxa"/>
            <w:vAlign w:val="top"/>
            <w:tcBorders>
              <w:bottom w:val="single" w:color="000000" w:sz="6" w:space="0"/>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42"/>
              <w:spacing w:before="58" w:line="206" w:lineRule="auto"/>
              <w:rPr/>
            </w:pPr>
            <w:r>
              <w:rPr>
                <w:spacing w:val="-3"/>
              </w:rPr>
              <w:t>区委办公室、</w:t>
            </w:r>
          </w:p>
          <w:p>
            <w:pPr>
              <w:pStyle w:val="TableText"/>
              <w:ind w:left="28"/>
              <w:spacing w:before="65" w:line="213" w:lineRule="auto"/>
              <w:rPr/>
            </w:pPr>
            <w:r>
              <w:rPr>
                <w:spacing w:val="-1"/>
              </w:rPr>
              <w:t>组织部，区政</w:t>
            </w:r>
          </w:p>
          <w:p>
            <w:pPr>
              <w:pStyle w:val="TableText"/>
              <w:ind w:left="387"/>
              <w:spacing w:before="60" w:line="210" w:lineRule="auto"/>
              <w:rPr/>
            </w:pPr>
            <w:r>
              <w:rPr>
                <w:spacing w:val="-2"/>
              </w:rPr>
              <w:t>府办</w:t>
            </w:r>
          </w:p>
        </w:tc>
        <w:tc>
          <w:tcPr>
            <w:tcW w:w="1509" w:type="dxa"/>
            <w:vAlign w:val="top"/>
            <w:tcBorders>
              <w:bottom w:val="single" w:color="000000" w:sz="6" w:space="0"/>
              <w:right w:val="single" w:color="000000" w:sz="6" w:space="0"/>
            </w:tcBorders>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25" w:right="33" w:firstLine="14"/>
              <w:spacing w:before="59" w:line="275" w:lineRule="auto"/>
              <w:rPr/>
            </w:pPr>
            <w:r>
              <w:rPr>
                <w:spacing w:val="-3"/>
              </w:rPr>
              <w:t>区人力资源和社会</w:t>
            </w:r>
            <w:r>
              <w:rPr>
                <w:spacing w:val="-1"/>
              </w:rPr>
              <w:t>保障局、司法局、</w:t>
            </w:r>
            <w:r>
              <w:rPr>
                <w:spacing w:val="-1"/>
              </w:rPr>
              <w:t>民政局等相关部</w:t>
            </w:r>
          </w:p>
          <w:p>
            <w:pPr>
              <w:pStyle w:val="TableText"/>
              <w:spacing w:line="240" w:lineRule="exact"/>
              <w:jc w:val="right"/>
              <w:rPr/>
            </w:pPr>
            <w:r>
              <w:rPr>
                <w:spacing w:val="-19"/>
                <w:position w:val="1"/>
              </w:rPr>
              <w:t>门，各乡镇（街道）</w:t>
            </w:r>
          </w:p>
        </w:tc>
      </w:tr>
    </w:tbl>
    <w:p>
      <w:pPr>
        <w:spacing w:line="169" w:lineRule="exact"/>
        <w:rPr>
          <w:rFonts w:ascii="Arial"/>
          <w:sz w:val="14"/>
        </w:rPr>
      </w:pPr>
      <w:r/>
    </w:p>
    <w:p>
      <w:pPr>
        <w:spacing w:line="169" w:lineRule="exact"/>
        <w:sectPr>
          <w:headerReference w:type="default" r:id="rId339"/>
          <w:footerReference w:type="default" r:id="rId340"/>
          <w:pgSz w:w="16839" w:h="11906"/>
          <w:pgMar w:top="1767" w:right="1463" w:bottom="1570" w:left="1463" w:header="1428" w:footer="1172" w:gutter="0"/>
        </w:sectPr>
        <w:rPr>
          <w:rFonts w:ascii="Arial" w:hAnsi="Arial" w:eastAsia="Arial" w:cs="Arial"/>
          <w:sz w:val="14"/>
          <w:szCs w:val="14"/>
        </w:rPr>
      </w:pPr>
    </w:p>
    <w:p>
      <w:pPr>
        <w:spacing w:line="327" w:lineRule="auto"/>
        <w:rPr>
          <w:rFonts w:ascii="Arial"/>
          <w:sz w:val="21"/>
        </w:rPr>
      </w:pPr>
      <w:r>
        <w:drawing>
          <wp:anchor distT="0" distB="0" distL="0" distR="0" simplePos="0" relativeHeight="251901952" behindDoc="0" locked="0" layoutInCell="1" allowOverlap="1">
            <wp:simplePos x="0" y="0"/>
            <wp:positionH relativeFrom="column">
              <wp:posOffset>14605</wp:posOffset>
            </wp:positionH>
            <wp:positionV relativeFrom="paragraph">
              <wp:posOffset>24296</wp:posOffset>
            </wp:positionV>
            <wp:extent cx="5579745" cy="7619"/>
            <wp:effectExtent l="0" t="0" r="0" b="0"/>
            <wp:wrapNone/>
            <wp:docPr id="684" name="IM 684"/>
            <wp:cNvGraphicFramePr/>
            <a:graphic>
              <a:graphicData uri="http://schemas.openxmlformats.org/drawingml/2006/picture">
                <pic:pic>
                  <pic:nvPicPr>
                    <pic:cNvPr id="684" name="IM 684"/>
                    <pic:cNvPicPr/>
                  </pic:nvPicPr>
                  <pic:blipFill>
                    <a:blip r:embed="rId344"/>
                    <a:stretch>
                      <a:fillRect/>
                    </a:stretch>
                  </pic:blipFill>
                  <pic:spPr>
                    <a:xfrm rot="0">
                      <a:off x="0" y="0"/>
                      <a:ext cx="5579745" cy="7619"/>
                    </a:xfrm>
                    <a:prstGeom prst="rect">
                      <a:avLst/>
                    </a:prstGeom>
                  </pic:spPr>
                </pic:pic>
              </a:graphicData>
            </a:graphic>
          </wp:anchor>
        </w:drawing>
      </w:r>
      <w:r/>
    </w:p>
    <w:p>
      <w:pPr>
        <w:spacing w:line="328" w:lineRule="auto"/>
        <w:rPr>
          <w:rFonts w:ascii="Arial"/>
          <w:sz w:val="21"/>
        </w:rPr>
      </w:pPr>
      <w:r/>
    </w:p>
    <w:p>
      <w:pPr>
        <w:pStyle w:val="BodyText"/>
        <w:ind w:left="2514" w:right="1689" w:hanging="825"/>
        <w:spacing w:before="139" w:line="251" w:lineRule="auto"/>
        <w:rPr>
          <w:sz w:val="43"/>
          <w:szCs w:val="43"/>
        </w:rPr>
      </w:pPr>
      <w:r>
        <w:rPr>
          <w:sz w:val="43"/>
          <w:szCs w:val="43"/>
          <w:b/>
          <w:bCs/>
          <w:spacing w:val="-17"/>
        </w:rPr>
        <w:t>西吉县推进基层整合审批服务</w:t>
      </w:r>
      <w:r>
        <w:rPr>
          <w:sz w:val="43"/>
          <w:szCs w:val="43"/>
          <w:b/>
          <w:bCs/>
          <w:spacing w:val="-14"/>
        </w:rPr>
        <w:t>执法力量的实施方案</w:t>
      </w:r>
    </w:p>
    <w:p>
      <w:pPr>
        <w:spacing w:before="52"/>
        <w:rPr/>
      </w:pPr>
      <w:r/>
    </w:p>
    <w:p>
      <w:pPr>
        <w:spacing w:before="52"/>
        <w:rPr/>
      </w:pPr>
      <w:r/>
    </w:p>
    <w:p>
      <w:pPr>
        <w:sectPr>
          <w:headerReference w:type="default" r:id="rId342"/>
          <w:footerReference w:type="default" r:id="rId343"/>
          <w:pgSz w:w="11906" w:h="16839"/>
          <w:pgMar w:top="1793" w:right="1526" w:bottom="1673" w:left="1565" w:header="1428" w:footer="1277" w:gutter="0"/>
          <w:cols w:equalWidth="0" w:num="1">
            <w:col w:w="8815" w:space="0"/>
          </w:cols>
        </w:sectPr>
        <w:rPr/>
      </w:pPr>
    </w:p>
    <w:p>
      <w:pPr>
        <w:pStyle w:val="BodyText"/>
        <w:ind w:left="26" w:right="323" w:firstLine="423"/>
        <w:spacing w:before="41" w:line="393" w:lineRule="auto"/>
        <w:rPr/>
      </w:pPr>
      <w:r>
        <w:rPr>
          <w:spacing w:val="19"/>
        </w:rPr>
        <w:t>根据党中央关于构建简约高效基层管理</w:t>
      </w:r>
      <w:r>
        <w:rPr>
          <w:spacing w:val="7"/>
        </w:rPr>
        <w:t>体制的部署要求，为认真贯彻落实中共中央办</w:t>
      </w:r>
      <w:r>
        <w:rPr>
          <w:spacing w:val="7"/>
        </w:rPr>
        <w:t>公厅、国务院办公厅《关于推进基层整合审批</w:t>
      </w:r>
      <w:r>
        <w:rPr>
          <w:spacing w:val="6"/>
        </w:rPr>
        <w:t>服务执法力量的实施意见》(中办发〔2019〕5</w:t>
      </w:r>
      <w:r>
        <w:rPr>
          <w:spacing w:val="2"/>
        </w:rPr>
        <w:t>号)和自治区党委办公厅、人民政府办公厅《印</w:t>
      </w:r>
      <w:r>
        <w:rPr>
          <w:spacing w:val="12"/>
        </w:rPr>
        <w:t>发&lt;关于推进基层整合审批服务执法力量的实</w:t>
      </w:r>
      <w:r>
        <w:rPr>
          <w:spacing w:val="7"/>
        </w:rPr>
        <w:t>施方案&gt;的通知》(宁党办〔2020〕86</w:t>
      </w:r>
      <w:r>
        <w:rPr>
          <w:spacing w:val="-17"/>
        </w:rPr>
        <w:t xml:space="preserve"> </w:t>
      </w:r>
      <w:r>
        <w:rPr>
          <w:spacing w:val="7"/>
        </w:rPr>
        <w:t>号)、固</w:t>
      </w:r>
      <w:r>
        <w:rPr>
          <w:spacing w:val="12"/>
        </w:rPr>
        <w:t>原市委办公室、市人民政府办公室《印发&lt;</w:t>
      </w:r>
    </w:p>
    <w:p>
      <w:pPr>
        <w:pStyle w:val="BodyText"/>
        <w:ind w:left="26" w:right="321" w:firstLine="22"/>
        <w:spacing w:before="37" w:line="393" w:lineRule="auto"/>
        <w:rPr/>
      </w:pPr>
      <w:r>
        <w:rPr>
          <w:spacing w:val="16"/>
        </w:rPr>
        <w:t>固原市推进基层整合审批服务执法力量的实</w:t>
      </w:r>
      <w:r>
        <w:rPr>
          <w:spacing w:val="5"/>
        </w:rPr>
        <w:t xml:space="preserve"> </w:t>
      </w:r>
      <w:r>
        <w:rPr>
          <w:position w:val="-1"/>
        </w:rPr>
        <w:drawing>
          <wp:inline distT="0" distB="0" distL="0" distR="0">
            <wp:extent cx="133891" cy="126421"/>
            <wp:effectExtent l="0" t="0" r="0" b="0"/>
            <wp:docPr id="686" name="IM 686"/>
            <wp:cNvGraphicFramePr/>
            <a:graphic>
              <a:graphicData uri="http://schemas.openxmlformats.org/drawingml/2006/picture">
                <pic:pic>
                  <pic:nvPicPr>
                    <pic:cNvPr id="686" name="IM 686"/>
                    <pic:cNvPicPr/>
                  </pic:nvPicPr>
                  <pic:blipFill>
                    <a:blip r:embed="rId345"/>
                    <a:stretch>
                      <a:fillRect/>
                    </a:stretch>
                  </pic:blipFill>
                  <pic:spPr>
                    <a:xfrm rot="0">
                      <a:off x="0" y="0"/>
                      <a:ext cx="133891" cy="126421"/>
                    </a:xfrm>
                    <a:prstGeom prst="rect">
                      <a:avLst/>
                    </a:prstGeom>
                  </pic:spPr>
                </pic:pic>
              </a:graphicData>
            </a:graphic>
          </wp:inline>
        </w:drawing>
      </w:r>
      <w:r>
        <w:rPr>
          <w:position w:val="-1"/>
        </w:rPr>
        <w:drawing>
          <wp:inline distT="0" distB="0" distL="0" distR="0">
            <wp:extent cx="135909" cy="124752"/>
            <wp:effectExtent l="0" t="0" r="0" b="0"/>
            <wp:docPr id="688" name="IM 688"/>
            <wp:cNvGraphicFramePr/>
            <a:graphic>
              <a:graphicData uri="http://schemas.openxmlformats.org/drawingml/2006/picture">
                <pic:pic>
                  <pic:nvPicPr>
                    <pic:cNvPr id="688" name="IM 688"/>
                    <pic:cNvPicPr/>
                  </pic:nvPicPr>
                  <pic:blipFill>
                    <a:blip r:embed="rId346"/>
                    <a:stretch>
                      <a:fillRect/>
                    </a:stretch>
                  </pic:blipFill>
                  <pic:spPr>
                    <a:xfrm rot="0">
                      <a:off x="0" y="0"/>
                      <a:ext cx="135909" cy="124752"/>
                    </a:xfrm>
                    <a:prstGeom prst="rect">
                      <a:avLst/>
                    </a:prstGeom>
                  </pic:spPr>
                </pic:pic>
              </a:graphicData>
            </a:graphic>
          </wp:inline>
        </w:drawing>
      </w:r>
      <w:r>
        <w:rPr>
          <w:spacing w:val="-2"/>
        </w:rPr>
        <w:t>的通知》(固党办〔2021〕1</w:t>
      </w:r>
      <w:r>
        <w:rPr>
          <w:spacing w:val="-30"/>
        </w:rPr>
        <w:t xml:space="preserve"> </w:t>
      </w:r>
      <w:r>
        <w:rPr>
          <w:spacing w:val="-2"/>
        </w:rPr>
        <w:t>号)精神，进一</w:t>
      </w:r>
      <w:r>
        <w:rPr>
          <w:spacing w:val="7"/>
        </w:rPr>
        <w:t>步夯实基层治理体系和治理能力基础，现就结</w:t>
      </w:r>
      <w:r>
        <w:rPr>
          <w:spacing w:val="7"/>
        </w:rPr>
        <w:t>合乡镇改革推进基层整合审批服务执法力量，</w:t>
      </w:r>
      <w:r>
        <w:rPr>
          <w:spacing w:val="8"/>
        </w:rPr>
        <w:t>制定如下实施方案。</w:t>
      </w:r>
    </w:p>
    <w:p>
      <w:pPr>
        <w:ind w:left="456"/>
        <w:spacing w:before="25"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一、总体要求</w:t>
      </w:r>
    </w:p>
    <w:p>
      <w:pPr>
        <w:pStyle w:val="BodyText"/>
        <w:ind w:left="25" w:right="264" w:firstLine="423"/>
        <w:spacing w:before="166" w:line="378" w:lineRule="auto"/>
        <w:jc w:val="both"/>
        <w:rPr/>
      </w:pPr>
      <w:r>
        <w:rPr>
          <w:spacing w:val="19"/>
        </w:rPr>
        <w:t>坚持以习近平新时代中国特色社会主义</w:t>
      </w:r>
      <w:r>
        <w:rPr>
          <w:spacing w:val="7"/>
        </w:rPr>
        <w:t>思想为指导，全面贯彻党的十九大和十九届二</w:t>
      </w:r>
      <w:r>
        <w:rPr>
          <w:spacing w:val="7"/>
        </w:rPr>
        <w:t>中、三中、四中、五中全会精神，认真贯彻落</w:t>
      </w:r>
      <w:r>
        <w:rPr>
          <w:spacing w:val="7"/>
        </w:rPr>
        <w:t>实自治区党委十二届十次、十一次、十二次全</w:t>
      </w:r>
      <w:r>
        <w:rPr>
          <w:spacing w:val="7"/>
        </w:rPr>
        <w:t>会和市委四届七次、八次、九次全会以及县委</w:t>
      </w:r>
      <w:r>
        <w:rPr>
          <w:spacing w:val="6"/>
        </w:rPr>
        <w:t>十四届六次、七次、八次全会精神，增强“</w:t>
      </w:r>
      <w:r>
        <w:rPr>
          <w:spacing w:val="-73"/>
        </w:rPr>
        <w:t xml:space="preserve"> </w:t>
      </w:r>
      <w:r>
        <w:rPr>
          <w:spacing w:val="6"/>
        </w:rPr>
        <w:t>四</w:t>
      </w:r>
      <w:r>
        <w:rPr>
          <w:spacing w:val="-17"/>
        </w:rPr>
        <w:t>个意识”、坚定“四个自信”、做到“两个维护”，</w:t>
      </w:r>
      <w:r>
        <w:rPr>
          <w:spacing w:val="7"/>
        </w:rPr>
        <w:t>以坚持和加强党的全面领导为统领，以完善基</w:t>
      </w:r>
      <w:r>
        <w:rPr>
          <w:spacing w:val="7"/>
        </w:rPr>
        <w:t>层治理体系、提高基层治理能力为导向，以推</w:t>
      </w:r>
      <w:r>
        <w:rPr>
          <w:spacing w:val="7"/>
        </w:rPr>
        <w:t>动机构职能优化协同高效为着力点，适应乡镇</w:t>
      </w:r>
      <w:r>
        <w:rPr>
          <w:spacing w:val="7"/>
        </w:rPr>
        <w:t>工作特点及便民服务需要，加强党的基层组织</w:t>
      </w:r>
    </w:p>
    <w:p>
      <w:pPr>
        <w:spacing w:line="14" w:lineRule="auto"/>
        <w:rPr>
          <w:rFonts w:ascii="Arial"/>
          <w:sz w:val="2"/>
        </w:rPr>
      </w:pPr>
      <w:r>
        <w:rPr>
          <w:rFonts w:ascii="Arial" w:hAnsi="Arial" w:eastAsia="Arial" w:cs="Arial"/>
          <w:sz w:val="2"/>
          <w:szCs w:val="2"/>
        </w:rPr>
        <w:br w:type="column"/>
      </w:r>
    </w:p>
    <w:p>
      <w:pPr>
        <w:pStyle w:val="BodyText"/>
        <w:ind w:left="1"/>
        <w:spacing w:before="44" w:line="397" w:lineRule="auto"/>
        <w:jc w:val="both"/>
        <w:rPr/>
      </w:pPr>
      <w:r>
        <w:rPr>
          <w:spacing w:val="7"/>
        </w:rPr>
        <w:t>建设，改革机构设置，优化职能配置，理顺职</w:t>
      </w:r>
      <w:r>
        <w:rPr>
          <w:spacing w:val="7"/>
        </w:rPr>
        <w:t>责关系，使基层各类机构、组织在服务保障群</w:t>
      </w:r>
      <w:r>
        <w:rPr>
          <w:spacing w:val="18"/>
        </w:rPr>
        <w:t>众需求上有更大作为。坚持赋能与减负相结</w:t>
      </w:r>
      <w:r>
        <w:rPr/>
        <w:t>合，整合基层审批、服务、执法等方面的力量，</w:t>
      </w:r>
      <w:r>
        <w:rPr>
          <w:spacing w:val="7"/>
        </w:rPr>
        <w:t>推动治理重心下移、资源下沉，全面提升基层</w:t>
      </w:r>
      <w:r>
        <w:rPr>
          <w:spacing w:val="7"/>
        </w:rPr>
        <w:t>治理能力和公共服务水平，切实增强人民群众</w:t>
      </w:r>
      <w:r>
        <w:rPr>
          <w:spacing w:val="7"/>
        </w:rPr>
        <w:t>的获得感、幸福感、安全感，为奋力谱写建设</w:t>
      </w:r>
      <w:r>
        <w:rPr>
          <w:spacing w:val="18"/>
        </w:rPr>
        <w:t>先行区和美丽新宁夏的西吉篇章提供体制机</w:t>
      </w:r>
      <w:r>
        <w:rPr>
          <w:spacing w:val="6"/>
        </w:rPr>
        <w:t>制保障。</w:t>
      </w:r>
    </w:p>
    <w:p>
      <w:pPr>
        <w:ind w:left="430"/>
        <w:spacing w:before="2"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二、主要任务</w:t>
      </w:r>
    </w:p>
    <w:p>
      <w:pPr>
        <w:ind w:left="413"/>
        <w:spacing w:before="165" w:line="242" w:lineRule="auto"/>
        <w:rPr>
          <w:rFonts w:ascii="KaiTi" w:hAnsi="KaiTi" w:eastAsia="KaiTi" w:cs="KaiTi"/>
          <w:sz w:val="20"/>
          <w:szCs w:val="20"/>
        </w:rPr>
      </w:pPr>
      <w:r>
        <w:rPr>
          <w:rFonts w:ascii="KaiTi" w:hAnsi="KaiTi" w:eastAsia="KaiTi" w:cs="KaiTi"/>
          <w:sz w:val="20"/>
          <w:szCs w:val="20"/>
          <w:b/>
          <w:bCs/>
          <w:spacing w:val="5"/>
        </w:rPr>
        <w:t>（</w:t>
      </w:r>
      <w:r>
        <w:rPr>
          <w:rFonts w:ascii="KaiTi" w:hAnsi="KaiTi" w:eastAsia="KaiTi" w:cs="KaiTi"/>
          <w:sz w:val="20"/>
          <w:szCs w:val="20"/>
          <w:spacing w:val="-39"/>
        </w:rPr>
        <w:t xml:space="preserve"> </w:t>
      </w:r>
      <w:r>
        <w:rPr>
          <w:rFonts w:ascii="KaiTi" w:hAnsi="KaiTi" w:eastAsia="KaiTi" w:cs="KaiTi"/>
          <w:sz w:val="20"/>
          <w:szCs w:val="20"/>
          <w:b/>
          <w:bCs/>
          <w:spacing w:val="5"/>
        </w:rPr>
        <w:t>一）构建简约精干的基层组织构架</w:t>
      </w:r>
    </w:p>
    <w:p>
      <w:pPr>
        <w:pStyle w:val="BodyText"/>
        <w:ind w:right="41" w:firstLine="441"/>
        <w:spacing w:before="171" w:line="382" w:lineRule="auto"/>
        <w:jc w:val="both"/>
        <w:rPr/>
      </w:pPr>
      <w:r>
        <w:rPr>
          <w:spacing w:val="5"/>
        </w:rPr>
        <w:t>1.统筹优化乡镇机构设置。强化乡镇党委</w:t>
      </w:r>
      <w:r>
        <w:rPr>
          <w:spacing w:val="5"/>
        </w:rPr>
        <w:t>领导作用</w:t>
      </w:r>
      <w:r>
        <w:rPr>
          <w:spacing w:val="-53"/>
        </w:rPr>
        <w:t xml:space="preserve"> </w:t>
      </w:r>
      <w:r>
        <w:rPr>
          <w:spacing w:val="5"/>
        </w:rPr>
        <w:t>，建立健全乡镇机构“一对多”“多</w:t>
      </w:r>
      <w:r>
        <w:rPr>
          <w:spacing w:val="7"/>
        </w:rPr>
        <w:t>对一”的制度机制，理顺与县直部门的工作对</w:t>
      </w:r>
      <w:r>
        <w:rPr>
          <w:spacing w:val="8"/>
        </w:rPr>
        <w:t>接、请示汇报和沟通衔接关系。按照综合化、</w:t>
      </w:r>
      <w:r>
        <w:rPr>
          <w:spacing w:val="8"/>
        </w:rPr>
        <w:t>扁平化的改革方向，进一步整合审批、服务、</w:t>
      </w:r>
      <w:r>
        <w:rPr>
          <w:spacing w:val="15"/>
        </w:rPr>
        <w:t>执法等方面的力量和职能</w:t>
      </w:r>
      <w:r>
        <w:rPr>
          <w:spacing w:val="-39"/>
        </w:rPr>
        <w:t xml:space="preserve"> </w:t>
      </w:r>
      <w:r>
        <w:rPr>
          <w:spacing w:val="15"/>
        </w:rPr>
        <w:t>，统筹机构编制资</w:t>
      </w:r>
      <w:r>
        <w:rPr>
          <w:spacing w:val="7"/>
        </w:rPr>
        <w:t>源，综合设置乡镇党政机构和事业单位，严格</w:t>
      </w:r>
      <w:r>
        <w:rPr>
          <w:spacing w:val="12"/>
        </w:rPr>
        <w:t>机构限额管理。乡镇党政机构和事业单位设9</w:t>
      </w:r>
      <w:r>
        <w:rPr>
          <w:spacing w:val="6"/>
        </w:rPr>
        <w:t>个，其中：党政机构</w:t>
      </w:r>
      <w:r>
        <w:rPr>
          <w:spacing w:val="-26"/>
        </w:rPr>
        <w:t xml:space="preserve"> </w:t>
      </w:r>
      <w:r>
        <w:rPr>
          <w:spacing w:val="6"/>
        </w:rPr>
        <w:t>5</w:t>
      </w:r>
      <w:r>
        <w:rPr>
          <w:spacing w:val="-45"/>
        </w:rPr>
        <w:t xml:space="preserve"> </w:t>
      </w:r>
      <w:r>
        <w:rPr>
          <w:spacing w:val="6"/>
        </w:rPr>
        <w:t>个，名称统一为综合办</w:t>
      </w:r>
      <w:r>
        <w:rPr>
          <w:spacing w:val="7"/>
        </w:rPr>
        <w:t>公室、党建工作办公室、经济发展办公室、社</w:t>
      </w:r>
      <w:r>
        <w:rPr>
          <w:spacing w:val="7"/>
        </w:rPr>
        <w:t>会事务管理办公室、综合执法办公室（应急管</w:t>
      </w:r>
      <w:r>
        <w:rPr>
          <w:spacing w:val="8"/>
        </w:rPr>
        <w:t>理办公室</w:t>
      </w:r>
      <w:r>
        <w:rPr>
          <w:spacing w:val="-27"/>
        </w:rPr>
        <w:t>）；</w:t>
      </w:r>
      <w:r>
        <w:rPr>
          <w:spacing w:val="8"/>
        </w:rPr>
        <w:t>事业单位设</w:t>
      </w:r>
      <w:r>
        <w:rPr>
          <w:spacing w:val="-42"/>
        </w:rPr>
        <w:t xml:space="preserve"> </w:t>
      </w:r>
      <w:r>
        <w:rPr>
          <w:spacing w:val="8"/>
        </w:rPr>
        <w:t>4</w:t>
      </w:r>
      <w:r>
        <w:rPr>
          <w:spacing w:val="-40"/>
        </w:rPr>
        <w:t xml:space="preserve"> </w:t>
      </w:r>
      <w:r>
        <w:rPr>
          <w:spacing w:val="8"/>
        </w:rPr>
        <w:t>个</w:t>
      </w:r>
      <w:r>
        <w:rPr>
          <w:spacing w:val="-59"/>
        </w:rPr>
        <w:t xml:space="preserve"> </w:t>
      </w:r>
      <w:r>
        <w:rPr>
          <w:spacing w:val="8"/>
        </w:rPr>
        <w:t>，名称统一为民</w:t>
      </w:r>
      <w:r>
        <w:rPr>
          <w:spacing w:val="7"/>
        </w:rPr>
        <w:t>生服务中心(退役军人服务站)、农业综合服务</w:t>
      </w:r>
      <w:r>
        <w:rPr>
          <w:spacing w:val="7"/>
        </w:rPr>
        <w:t>中心、综治中心、财经服务中心。乡镇可根据</w:t>
      </w:r>
    </w:p>
    <w:p>
      <w:pPr>
        <w:spacing w:line="382" w:lineRule="auto"/>
        <w:sectPr>
          <w:type w:val="continuous"/>
          <w:pgSz w:w="11906" w:h="16839"/>
          <w:pgMar w:top="1793" w:right="1526" w:bottom="1673" w:left="1565" w:header="1428" w:footer="1277" w:gutter="0"/>
          <w:cols w:equalWidth="0" w:num="2">
            <w:col w:w="4503" w:space="100"/>
            <w:col w:w="4213" w:space="0"/>
          </w:cols>
        </w:sectPr>
        <w:rPr/>
      </w:pPr>
    </w:p>
    <w:p>
      <w:pPr>
        <w:spacing w:before="58"/>
        <w:rPr/>
      </w:pPr>
      <w:r>
        <w:drawing>
          <wp:anchor distT="0" distB="0" distL="0" distR="0" simplePos="0" relativeHeight="25190400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694" name="IM 694"/>
            <wp:cNvGraphicFramePr/>
            <a:graphic>
              <a:graphicData uri="http://schemas.openxmlformats.org/drawingml/2006/picture">
                <pic:pic>
                  <pic:nvPicPr>
                    <pic:cNvPr id="694" name="IM 694"/>
                    <pic:cNvPicPr/>
                  </pic:nvPicPr>
                  <pic:blipFill>
                    <a:blip r:embed="rId349"/>
                    <a:stretch>
                      <a:fillRect/>
                    </a:stretch>
                  </pic:blipFill>
                  <pic:spPr>
                    <a:xfrm rot="0">
                      <a:off x="0" y="0"/>
                      <a:ext cx="5579745" cy="7620"/>
                    </a:xfrm>
                    <a:prstGeom prst="rect">
                      <a:avLst/>
                    </a:prstGeom>
                  </pic:spPr>
                </pic:pic>
              </a:graphicData>
            </a:graphic>
          </wp:anchor>
        </w:drawing>
      </w:r>
      <w:r/>
    </w:p>
    <w:p>
      <w:pPr>
        <w:sectPr>
          <w:headerReference w:type="default" r:id="rId347"/>
          <w:footerReference w:type="default" r:id="rId348"/>
          <w:pgSz w:w="11906" w:h="16839"/>
          <w:pgMar w:top="1766" w:right="1442" w:bottom="1570" w:left="1579" w:header="1428" w:footer="1172" w:gutter="0"/>
          <w:cols w:equalWidth="0" w:num="1">
            <w:col w:w="8884" w:space="0"/>
          </w:cols>
        </w:sectPr>
        <w:rPr/>
      </w:pPr>
    </w:p>
    <w:p>
      <w:pPr>
        <w:pStyle w:val="BodyText"/>
        <w:ind w:left="12" w:right="322" w:firstLine="1"/>
        <w:spacing w:before="46" w:line="397" w:lineRule="auto"/>
        <w:jc w:val="both"/>
        <w:rPr/>
      </w:pPr>
      <w:r>
        <w:rPr>
          <w:spacing w:val="7"/>
        </w:rPr>
        <w:t>工作需要在党政机构和事业单位上加挂牌子，</w:t>
      </w:r>
      <w:r>
        <w:rPr>
          <w:spacing w:val="7"/>
        </w:rPr>
        <w:t>按程序报批。全面清理各类自设机构，严格规</w:t>
      </w:r>
      <w:r>
        <w:rPr>
          <w:spacing w:val="7"/>
        </w:rPr>
        <w:t>范挂牌机构，除党中央和自治区明确要求外，</w:t>
      </w:r>
      <w:r>
        <w:rPr>
          <w:spacing w:val="18"/>
        </w:rPr>
        <w:t>上级职能部门不能要求乡镇对口设立机构或</w:t>
      </w:r>
      <w:r>
        <w:rPr>
          <w:spacing w:val="7"/>
        </w:rPr>
        <w:t>加挂牌子，不得要求在村（社区）设立机构或</w:t>
      </w:r>
    </w:p>
    <w:p>
      <w:pPr>
        <w:pStyle w:val="BodyText"/>
        <w:ind w:left="14"/>
        <w:spacing w:line="217" w:lineRule="auto"/>
        <w:rPr/>
      </w:pPr>
      <w:r>
        <w:rPr>
          <w:spacing w:val="6"/>
        </w:rPr>
        <w:t>加挂牌子。</w:t>
      </w:r>
    </w:p>
    <w:p>
      <w:pPr>
        <w:pStyle w:val="BodyText"/>
        <w:ind w:left="12" w:right="322" w:firstLine="422"/>
        <w:spacing w:before="185" w:line="397" w:lineRule="auto"/>
        <w:jc w:val="both"/>
        <w:rPr/>
      </w:pPr>
      <w:r>
        <w:rPr>
          <w:spacing w:val="6"/>
        </w:rPr>
        <w:t>2.调整规范派驻站所管理体制。除党中央</w:t>
      </w:r>
      <w:r>
        <w:rPr>
          <w:spacing w:val="7"/>
        </w:rPr>
        <w:t>明确要求实行派驻体制的机构外，县级部门派</w:t>
      </w:r>
      <w:r>
        <w:rPr>
          <w:spacing w:val="7"/>
        </w:rPr>
        <w:t>驻乡镇的机构原则上实行属地管理。将国土资</w:t>
      </w:r>
      <w:r>
        <w:rPr>
          <w:spacing w:val="7"/>
        </w:rPr>
        <w:t>源所、农牧服务中心（不含畜牧兽医）、水利</w:t>
      </w:r>
      <w:r>
        <w:rPr>
          <w:spacing w:val="18"/>
        </w:rPr>
        <w:t>工作站、林业工作站的职责及其人员编制下</w:t>
      </w:r>
      <w:r>
        <w:rPr>
          <w:spacing w:val="7"/>
        </w:rPr>
        <w:t>放，整合并入各乡镇新组建的相关机构，实行</w:t>
      </w:r>
      <w:r>
        <w:rPr>
          <w:spacing w:val="7"/>
        </w:rPr>
        <w:t>以乡镇管理为主、上级业务部门进行业务指导</w:t>
      </w:r>
      <w:r>
        <w:rPr>
          <w:spacing w:val="7"/>
        </w:rPr>
        <w:t>的管理体制。畜牧兽医站继续实行现行体制，</w:t>
      </w:r>
      <w:r>
        <w:rPr>
          <w:spacing w:val="8"/>
        </w:rPr>
        <w:t>与农业综合服务中心合署办公。</w:t>
      </w:r>
    </w:p>
    <w:p>
      <w:pPr>
        <w:ind w:left="424"/>
        <w:spacing w:before="2" w:line="241" w:lineRule="auto"/>
        <w:rPr>
          <w:rFonts w:ascii="KaiTi" w:hAnsi="KaiTi" w:eastAsia="KaiTi" w:cs="KaiTi"/>
          <w:sz w:val="20"/>
          <w:szCs w:val="20"/>
        </w:rPr>
      </w:pPr>
      <w:r>
        <w:rPr>
          <w:rFonts w:ascii="KaiTi" w:hAnsi="KaiTi" w:eastAsia="KaiTi" w:cs="KaiTi"/>
          <w:sz w:val="20"/>
          <w:szCs w:val="20"/>
          <w:b/>
          <w:bCs/>
        </w:rPr>
        <w:t>（</w:t>
      </w:r>
      <w:r>
        <w:rPr>
          <w:rFonts w:ascii="KaiTi" w:hAnsi="KaiTi" w:eastAsia="KaiTi" w:cs="KaiTi"/>
          <w:sz w:val="20"/>
          <w:szCs w:val="20"/>
          <w:spacing w:val="-45"/>
        </w:rPr>
        <w:t xml:space="preserve"> </w:t>
      </w:r>
      <w:r>
        <w:rPr>
          <w:rFonts w:ascii="KaiTi" w:hAnsi="KaiTi" w:eastAsia="KaiTi" w:cs="KaiTi"/>
          <w:sz w:val="20"/>
          <w:szCs w:val="20"/>
          <w:b/>
          <w:bCs/>
        </w:rPr>
        <w:t>二</w:t>
      </w:r>
      <w:r>
        <w:rPr>
          <w:rFonts w:ascii="KaiTi" w:hAnsi="KaiTi" w:eastAsia="KaiTi" w:cs="KaiTi"/>
          <w:sz w:val="20"/>
          <w:szCs w:val="20"/>
          <w:spacing w:val="-41"/>
        </w:rPr>
        <w:t xml:space="preserve"> </w:t>
      </w:r>
      <w:r>
        <w:rPr>
          <w:rFonts w:ascii="KaiTi" w:hAnsi="KaiTi" w:eastAsia="KaiTi" w:cs="KaiTi"/>
          <w:sz w:val="20"/>
          <w:szCs w:val="20"/>
          <w:b/>
          <w:bCs/>
        </w:rPr>
        <w:t>）完善基层审批服务体系</w:t>
      </w:r>
    </w:p>
    <w:p>
      <w:pPr>
        <w:pStyle w:val="BodyText"/>
        <w:ind w:left="14" w:right="322" w:firstLine="423"/>
        <w:spacing w:before="168" w:line="377" w:lineRule="auto"/>
        <w:rPr/>
      </w:pPr>
      <w:r>
        <w:rPr>
          <w:spacing w:val="6"/>
        </w:rPr>
        <w:t>3.加强综合便民服务机构和平台建设。在</w:t>
      </w:r>
      <w:r>
        <w:rPr>
          <w:spacing w:val="7"/>
        </w:rPr>
        <w:t>整合基层行政审批和公共服务职责的基础上，</w:t>
      </w:r>
    </w:p>
    <w:p>
      <w:pPr>
        <w:pStyle w:val="BodyText"/>
        <w:ind w:left="21" w:right="306" w:hanging="10"/>
        <w:spacing w:before="47" w:line="398" w:lineRule="auto"/>
        <w:rPr/>
      </w:pPr>
      <w:r>
        <w:rPr>
          <w:spacing w:val="18"/>
        </w:rPr>
        <w:t>将具体面向企业群众办事服务的岗位集中到</w:t>
      </w:r>
      <w:r>
        <w:rPr>
          <w:spacing w:val="7"/>
        </w:rPr>
        <w:t>乡镇民生服务大厅办公，推进基层市场监管、</w:t>
      </w:r>
    </w:p>
    <w:p>
      <w:pPr>
        <w:pStyle w:val="BodyText"/>
        <w:ind w:left="11" w:right="123"/>
        <w:spacing w:before="9" w:line="375" w:lineRule="auto"/>
        <w:rPr/>
      </w:pPr>
      <w:r>
        <w:rPr>
          <w:spacing w:val="7"/>
        </w:rPr>
        <w:t>税务、公安等相关服务事项进驻大厅办理。在</w:t>
      </w:r>
      <w:r>
        <w:rPr>
          <w:spacing w:val="2"/>
        </w:rPr>
        <w:t xml:space="preserve"> </w:t>
      </w:r>
      <w:r>
        <w:rPr>
          <w:spacing w:val="7"/>
        </w:rPr>
        <w:t>推行“</w:t>
      </w:r>
      <w:r>
        <w:rPr>
          <w:spacing w:val="-62"/>
        </w:rPr>
        <w:t xml:space="preserve"> </w:t>
      </w:r>
      <w:r>
        <w:rPr>
          <w:spacing w:val="7"/>
        </w:rPr>
        <w:t>163</w:t>
      </w:r>
      <w:r>
        <w:rPr>
          <w:spacing w:val="-40"/>
        </w:rPr>
        <w:t xml:space="preserve"> </w:t>
      </w:r>
      <w:r>
        <w:rPr>
          <w:spacing w:val="7"/>
        </w:rPr>
        <w:t>政务服务模式市县一体化”工作的</w:t>
      </w:r>
      <w:r>
        <w:rPr/>
        <w:t xml:space="preserve"> </w:t>
      </w:r>
      <w:r>
        <w:rPr>
          <w:spacing w:val="5"/>
        </w:rPr>
        <w:t>基础上</w:t>
      </w:r>
      <w:r>
        <w:rPr>
          <w:spacing w:val="-55"/>
        </w:rPr>
        <w:t xml:space="preserve"> </w:t>
      </w:r>
      <w:r>
        <w:rPr>
          <w:spacing w:val="5"/>
        </w:rPr>
        <w:t>，整合设置“综合窗口”，推行一窗受</w:t>
      </w:r>
      <w:r>
        <w:rPr/>
        <w:t xml:space="preserve"> </w:t>
      </w:r>
      <w:r>
        <w:rPr>
          <w:spacing w:val="7"/>
        </w:rPr>
        <w:t>理、集成服务。依托宁夏政务服务网“一张网”</w:t>
      </w:r>
      <w:r>
        <w:rPr>
          <w:spacing w:val="10"/>
        </w:rPr>
        <w:t>功能，整合民政、就业、卫健、社保、医保、</w:t>
      </w:r>
      <w:r>
        <w:rPr>
          <w:spacing w:val="7"/>
        </w:rPr>
        <w:t>残联等行业信息系统相关功能，实现“一网通</w:t>
      </w:r>
      <w:r>
        <w:rPr>
          <w:spacing w:val="1"/>
        </w:rPr>
        <w:t xml:space="preserve"> </w:t>
      </w:r>
      <w:r>
        <w:rPr>
          <w:spacing w:val="-3"/>
        </w:rPr>
        <w:t>办”，让“数据多跑路、让群众少跑腿”。加强</w:t>
      </w:r>
      <w:r>
        <w:rPr>
          <w:spacing w:val="2"/>
        </w:rPr>
        <w:t xml:space="preserve"> </w:t>
      </w:r>
      <w:r>
        <w:rPr>
          <w:spacing w:val="7"/>
        </w:rPr>
        <w:t>创新，进一步优化县乡村一体化政务服务智能</w:t>
      </w:r>
      <w:r>
        <w:rPr>
          <w:spacing w:val="1"/>
        </w:rPr>
        <w:t xml:space="preserve"> </w:t>
      </w:r>
      <w:r>
        <w:rPr>
          <w:spacing w:val="7"/>
        </w:rPr>
        <w:t>化模式，完善远程培训、业务指导、视频会议</w:t>
      </w:r>
      <w:r>
        <w:rPr>
          <w:spacing w:val="1"/>
        </w:rPr>
        <w:t xml:space="preserve"> </w:t>
      </w:r>
      <w:r>
        <w:rPr>
          <w:spacing w:val="9"/>
        </w:rPr>
        <w:t>工作机制，不断提升基层便民服务效率。</w:t>
      </w:r>
    </w:p>
    <w:p>
      <w:pPr>
        <w:spacing w:line="14" w:lineRule="auto"/>
        <w:rPr>
          <w:rFonts w:ascii="Arial"/>
          <w:sz w:val="2"/>
        </w:rPr>
      </w:pPr>
      <w:r>
        <w:rPr>
          <w:rFonts w:ascii="Arial" w:hAnsi="Arial" w:eastAsia="Arial" w:cs="Arial"/>
          <w:sz w:val="2"/>
          <w:szCs w:val="2"/>
        </w:rPr>
        <w:br w:type="column"/>
      </w:r>
    </w:p>
    <w:p>
      <w:pPr>
        <w:pStyle w:val="BodyText"/>
        <w:ind w:firstLine="420"/>
        <w:spacing w:before="35" w:line="383" w:lineRule="auto"/>
        <w:rPr/>
      </w:pPr>
      <w:r>
        <w:rPr>
          <w:spacing w:val="6"/>
        </w:rPr>
        <w:t>4.推进审批服务标准化建设。制定《西吉</w:t>
      </w:r>
      <w:r>
        <w:rPr>
          <w:spacing w:val="8"/>
        </w:rPr>
        <w:t>县推进基层审批服务便民化改革实施方案》，</w:t>
      </w:r>
      <w:r>
        <w:rPr>
          <w:spacing w:val="7"/>
        </w:rPr>
        <w:t>紧扣城乡基层治理，聚焦基层党的建设、乡村</w:t>
      </w:r>
      <w:r>
        <w:rPr>
          <w:spacing w:val="7"/>
        </w:rPr>
        <w:t>振兴、新型城镇化等重点工作以及就业和社会</w:t>
      </w:r>
      <w:r>
        <w:rPr>
          <w:spacing w:val="7"/>
        </w:rPr>
        <w:t>保障、医疗保障、不动产登记、社会救助、户</w:t>
      </w:r>
      <w:r>
        <w:rPr>
          <w:spacing w:val="6"/>
        </w:rPr>
        <w:t>籍管理、乡村建设、危(旧)房改造、古村(屋)</w:t>
      </w:r>
      <w:r>
        <w:rPr>
          <w:spacing w:val="11"/>
        </w:rPr>
        <w:t>修缮、改水改厕等群众关心关注的重点事项，</w:t>
      </w:r>
      <w:r>
        <w:rPr>
          <w:spacing w:val="15"/>
        </w:rPr>
        <w:t>根据自治区指导目录</w:t>
      </w:r>
      <w:r>
        <w:rPr>
          <w:spacing w:val="-39"/>
        </w:rPr>
        <w:t xml:space="preserve"> </w:t>
      </w:r>
      <w:r>
        <w:rPr>
          <w:spacing w:val="15"/>
        </w:rPr>
        <w:t>，制定并公布乡镇基层</w:t>
      </w:r>
      <w:r>
        <w:rPr>
          <w:spacing w:val="7"/>
        </w:rPr>
        <w:t>“马上办、网上办、就近办、一次办”审批服</w:t>
      </w:r>
      <w:r>
        <w:rPr>
          <w:spacing w:val="14"/>
        </w:rPr>
        <w:t>务事项目录，以为企业和群众办好“一件事”</w:t>
      </w:r>
      <w:r>
        <w:rPr>
          <w:spacing w:val="7"/>
        </w:rPr>
        <w:t>为标准，建立和完善适应基层实际的办事指南</w:t>
      </w:r>
      <w:r>
        <w:rPr>
          <w:spacing w:val="9"/>
        </w:rPr>
        <w:t>和工作规程，进一步提升审批服务效能。</w:t>
      </w:r>
    </w:p>
    <w:p>
      <w:pPr>
        <w:pStyle w:val="BodyText"/>
        <w:ind w:right="35" w:firstLine="423"/>
        <w:spacing w:before="180" w:line="380" w:lineRule="auto"/>
        <w:rPr/>
      </w:pPr>
      <w:r>
        <w:rPr>
          <w:spacing w:val="1"/>
        </w:rPr>
        <w:t>5.完善村级代办服务机制。加强村（社区）</w:t>
      </w:r>
      <w:r>
        <w:rPr>
          <w:spacing w:val="7"/>
        </w:rPr>
        <w:t>综合服务站点建设，推动基本公共服务事项进</w:t>
      </w:r>
      <w:r>
        <w:rPr>
          <w:spacing w:val="7"/>
        </w:rPr>
        <w:t>驻村（社区）办理，推进村级便民服务点和网</w:t>
      </w:r>
      <w:r>
        <w:rPr>
          <w:spacing w:val="7"/>
        </w:rPr>
        <w:t>上服务站点全覆盖。制定《西吉县加强基层便</w:t>
      </w:r>
      <w:r>
        <w:rPr>
          <w:spacing w:val="7"/>
        </w:rPr>
        <w:t>民服务队伍建设管理办法》，完善村级代办服</w:t>
      </w:r>
      <w:r>
        <w:rPr>
          <w:spacing w:val="15"/>
        </w:rPr>
        <w:t>务机制</w:t>
      </w:r>
      <w:r>
        <w:rPr>
          <w:spacing w:val="-39"/>
        </w:rPr>
        <w:t xml:space="preserve"> </w:t>
      </w:r>
      <w:r>
        <w:rPr>
          <w:spacing w:val="15"/>
        </w:rPr>
        <w:t>，提升村级代办服务能力和专业化水</w:t>
      </w:r>
      <w:r>
        <w:rPr>
          <w:spacing w:val="7"/>
        </w:rPr>
        <w:t>平。积极开展代缴代办代理等便民服务，逐步</w:t>
      </w:r>
      <w:r>
        <w:rPr>
          <w:spacing w:val="7"/>
        </w:rPr>
        <w:t>扩大公共服务事项网上受理、网上办理、网上</w:t>
      </w:r>
      <w:r>
        <w:rPr>
          <w:spacing w:val="1"/>
        </w:rPr>
        <w:t>反馈范围，努力实现简单事项不出村（社区）、</w:t>
      </w:r>
      <w:r>
        <w:rPr>
          <w:spacing w:val="8"/>
        </w:rPr>
        <w:t>复杂事项可代办。</w:t>
      </w:r>
    </w:p>
    <w:p>
      <w:pPr>
        <w:ind w:left="413"/>
        <w:spacing w:before="188"/>
        <w:rPr>
          <w:rFonts w:ascii="KaiTi" w:hAnsi="KaiTi" w:eastAsia="KaiTi" w:cs="KaiTi"/>
          <w:sz w:val="20"/>
          <w:szCs w:val="20"/>
        </w:rPr>
      </w:pPr>
      <w:r>
        <w:rPr>
          <w:rFonts w:ascii="KaiTi" w:hAnsi="KaiTi" w:eastAsia="KaiTi" w:cs="KaiTi"/>
          <w:sz w:val="20"/>
          <w:szCs w:val="20"/>
          <w:b/>
          <w:bCs/>
          <w:spacing w:val="5"/>
        </w:rPr>
        <w:t>（</w:t>
      </w:r>
      <w:r>
        <w:rPr>
          <w:rFonts w:ascii="KaiTi" w:hAnsi="KaiTi" w:eastAsia="KaiTi" w:cs="KaiTi"/>
          <w:sz w:val="20"/>
          <w:szCs w:val="20"/>
          <w:spacing w:val="-37"/>
        </w:rPr>
        <w:t xml:space="preserve"> </w:t>
      </w:r>
      <w:r>
        <w:rPr>
          <w:rFonts w:ascii="KaiTi" w:hAnsi="KaiTi" w:eastAsia="KaiTi" w:cs="KaiTi"/>
          <w:sz w:val="20"/>
          <w:szCs w:val="20"/>
          <w:b/>
          <w:bCs/>
          <w:spacing w:val="5"/>
        </w:rPr>
        <w:t>三）积极推进基层综合行政执法改革</w:t>
      </w:r>
    </w:p>
    <w:p>
      <w:pPr>
        <w:pStyle w:val="BodyText"/>
        <w:ind w:right="145" w:firstLine="423"/>
        <w:spacing w:before="166" w:line="368" w:lineRule="auto"/>
        <w:jc w:val="both"/>
        <w:rPr/>
      </w:pPr>
      <w:r>
        <w:rPr>
          <w:spacing w:val="6"/>
        </w:rPr>
        <w:t>6.组建综合行政执法机构。制定《西吉县</w:t>
      </w:r>
      <w:r>
        <w:rPr>
          <w:spacing w:val="7"/>
        </w:rPr>
        <w:t>乡镇综合行政执法实施意见》，与各领域综合</w:t>
      </w:r>
      <w:r>
        <w:rPr>
          <w:spacing w:val="7"/>
        </w:rPr>
        <w:t>行政执法体制改革相衔接，统筹设计行政区域</w:t>
      </w:r>
      <w:r>
        <w:rPr>
          <w:spacing w:val="7"/>
        </w:rPr>
        <w:t>内综合行政执法模式，推进行政执法权限和力</w:t>
      </w:r>
      <w:r>
        <w:rPr>
          <w:spacing w:val="7"/>
        </w:rPr>
        <w:t>量向基层延伸和下沉。整合现有站所、队执法</w:t>
      </w:r>
      <w:r>
        <w:rPr>
          <w:spacing w:val="7"/>
        </w:rPr>
        <w:t>力量和资源，组建综合执法办公室，按照有关</w:t>
      </w:r>
      <w:r>
        <w:rPr>
          <w:spacing w:val="7"/>
        </w:rPr>
        <w:t>法律规定相对集中行使行政处罚权，以乡镇名</w:t>
      </w:r>
    </w:p>
    <w:p>
      <w:pPr>
        <w:spacing w:line="368" w:lineRule="auto"/>
        <w:sectPr>
          <w:type w:val="continuous"/>
          <w:pgSz w:w="11906" w:h="16839"/>
          <w:pgMar w:top="1766" w:right="1442" w:bottom="1570" w:left="1579" w:header="1428" w:footer="1172" w:gutter="0"/>
          <w:cols w:equalWidth="0" w:num="2">
            <w:col w:w="4489" w:space="100"/>
            <w:col w:w="4296" w:space="0"/>
          </w:cols>
        </w:sectPr>
        <w:rPr/>
      </w:pPr>
    </w:p>
    <w:p>
      <w:pPr>
        <w:spacing w:before="75"/>
        <w:rPr/>
      </w:pPr>
      <w:r>
        <w:drawing>
          <wp:anchor distT="0" distB="0" distL="0" distR="0" simplePos="0" relativeHeight="251906048"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700" name="IM 700"/>
            <wp:cNvGraphicFramePr/>
            <a:graphic>
              <a:graphicData uri="http://schemas.openxmlformats.org/drawingml/2006/picture">
                <pic:pic>
                  <pic:nvPicPr>
                    <pic:cNvPr id="700" name="IM 700"/>
                    <pic:cNvPicPr/>
                  </pic:nvPicPr>
                  <pic:blipFill>
                    <a:blip r:embed="rId352"/>
                    <a:stretch>
                      <a:fillRect/>
                    </a:stretch>
                  </pic:blipFill>
                  <pic:spPr>
                    <a:xfrm rot="0">
                      <a:off x="0" y="0"/>
                      <a:ext cx="5579745" cy="7619"/>
                    </a:xfrm>
                    <a:prstGeom prst="rect">
                      <a:avLst/>
                    </a:prstGeom>
                  </pic:spPr>
                </pic:pic>
              </a:graphicData>
            </a:graphic>
          </wp:anchor>
        </w:drawing>
      </w:r>
      <w:r/>
    </w:p>
    <w:p>
      <w:pPr>
        <w:sectPr>
          <w:headerReference w:type="default" r:id="rId350"/>
          <w:footerReference w:type="default" r:id="rId351"/>
          <w:pgSz w:w="11906" w:h="16839"/>
          <w:pgMar w:top="1793" w:right="1530" w:bottom="1673" w:left="1565" w:header="1428" w:footer="1277" w:gutter="0"/>
          <w:cols w:equalWidth="0" w:num="1">
            <w:col w:w="8810" w:space="0"/>
          </w:cols>
        </w:sectPr>
        <w:rPr/>
      </w:pPr>
    </w:p>
    <w:p>
      <w:pPr>
        <w:pStyle w:val="BodyText"/>
        <w:ind w:left="26" w:right="248" w:firstLine="3"/>
        <w:spacing w:before="44" w:line="394" w:lineRule="auto"/>
        <w:rPr/>
      </w:pPr>
      <w:r>
        <w:rPr>
          <w:spacing w:val="7"/>
        </w:rPr>
        <w:t>义开展执法工作，并接受县级有关主管部门的</w:t>
      </w:r>
      <w:r>
        <w:rPr>
          <w:spacing w:val="-8"/>
        </w:rPr>
        <w:t>业务指导和监督，逐步实现基层一支队伍管执法。</w:t>
      </w:r>
    </w:p>
    <w:p>
      <w:pPr>
        <w:pStyle w:val="BodyText"/>
        <w:ind w:left="27" w:right="306" w:firstLine="420"/>
        <w:spacing w:before="10" w:line="379" w:lineRule="auto"/>
        <w:rPr/>
      </w:pPr>
      <w:r>
        <w:rPr>
          <w:spacing w:val="6"/>
        </w:rPr>
        <w:t>7.完善指挥协调机制。强化乡镇的统一指</w:t>
      </w:r>
      <w:r>
        <w:rPr>
          <w:spacing w:val="7"/>
        </w:rPr>
        <w:t>挥和统筹协调职责，赋予乡镇党委对派驻机构</w:t>
      </w:r>
      <w:r>
        <w:rPr>
          <w:spacing w:val="7"/>
        </w:rPr>
        <w:t>的统一指挥权、干部管理考核权、主要负责人</w:t>
      </w:r>
      <w:r>
        <w:rPr>
          <w:spacing w:val="7"/>
        </w:rPr>
        <w:t>任免建议权等。乡镇综合执法办公室负责统筹</w:t>
      </w:r>
      <w:r>
        <w:rPr>
          <w:spacing w:val="15"/>
        </w:rPr>
        <w:t>协调派驻机构和辖区执法力量</w:t>
      </w:r>
      <w:r>
        <w:rPr>
          <w:spacing w:val="-41"/>
        </w:rPr>
        <w:t xml:space="preserve"> </w:t>
      </w:r>
      <w:r>
        <w:rPr>
          <w:spacing w:val="15"/>
        </w:rPr>
        <w:t>，开展联合执</w:t>
      </w:r>
      <w:r>
        <w:rPr>
          <w:spacing w:val="7"/>
        </w:rPr>
        <w:t>法。制定乡镇综合执法事项清单，明确执法事</w:t>
      </w:r>
      <w:r>
        <w:rPr>
          <w:spacing w:val="7"/>
        </w:rPr>
        <w:t>项的范围、内容。建立健全与县级部门行政执</w:t>
      </w:r>
      <w:r>
        <w:rPr>
          <w:spacing w:val="7"/>
        </w:rPr>
        <w:t>法案件移送机制及协调机制，对超出权限的执</w:t>
      </w:r>
      <w:r>
        <w:rPr>
          <w:spacing w:val="8"/>
        </w:rPr>
        <w:t>法事项，乡镇承担日常巡查、接受投诉举报、</w:t>
      </w:r>
      <w:r>
        <w:rPr>
          <w:spacing w:val="8"/>
        </w:rPr>
        <w:t>协助调查取证等工作，并及时通报县级部门。</w:t>
      </w:r>
    </w:p>
    <w:p>
      <w:pPr>
        <w:pStyle w:val="BodyText"/>
        <w:ind w:left="26" w:right="306" w:firstLine="425"/>
        <w:spacing w:before="181" w:line="384" w:lineRule="auto"/>
        <w:rPr/>
      </w:pPr>
      <w:r>
        <w:rPr>
          <w:spacing w:val="6"/>
        </w:rPr>
        <w:t>8.提升行政执法能力和水平。加强对乡镇</w:t>
      </w:r>
      <w:r>
        <w:rPr>
          <w:spacing w:val="7"/>
        </w:rPr>
        <w:t>综合行政执法机构、执法人员的业务指导和培</w:t>
      </w:r>
      <w:r>
        <w:rPr>
          <w:spacing w:val="7"/>
        </w:rPr>
        <w:t>训，规范执法检查、受立案、调查、审查、决</w:t>
      </w:r>
      <w:r>
        <w:rPr>
          <w:spacing w:val="8"/>
        </w:rPr>
        <w:t>定等程序和行为，建立执法全过程记录制度，</w:t>
      </w:r>
      <w:r>
        <w:rPr>
          <w:spacing w:val="7"/>
        </w:rPr>
        <w:t>实现全程留痕、可追溯、可追责。全面推行行</w:t>
      </w:r>
      <w:r>
        <w:rPr>
          <w:spacing w:val="8"/>
        </w:rPr>
        <w:t>政执法公示制度，做到依据公开、决策公开、</w:t>
      </w:r>
      <w:r>
        <w:rPr>
          <w:spacing w:val="7"/>
        </w:rPr>
        <w:t>执行公开、结果公开、过程公开。全面推行重</w:t>
      </w:r>
      <w:r>
        <w:rPr>
          <w:spacing w:val="7"/>
        </w:rPr>
        <w:t>大行政执法决定法制审核制度，作出重大执法</w:t>
      </w:r>
      <w:r>
        <w:rPr>
          <w:spacing w:val="7"/>
        </w:rPr>
        <w:t>决定前要进行法制审核，未经法制审核或审核</w:t>
      </w:r>
      <w:r>
        <w:rPr>
          <w:spacing w:val="7"/>
        </w:rPr>
        <w:t>未通过的，不得作出行政执法决定，确保重大</w:t>
      </w:r>
      <w:r>
        <w:rPr>
          <w:spacing w:val="7"/>
        </w:rPr>
        <w:t>执法决定合法适当。严格确定行政执法责任和</w:t>
      </w:r>
      <w:r>
        <w:rPr>
          <w:spacing w:val="7"/>
        </w:rPr>
        <w:t>责任追究机制，加强执法监督，坚决惩治执法</w:t>
      </w:r>
      <w:r>
        <w:rPr>
          <w:spacing w:val="9"/>
        </w:rPr>
        <w:t>腐败现象，确保权力不被滥用。</w:t>
      </w:r>
    </w:p>
    <w:p>
      <w:pPr>
        <w:ind w:left="439"/>
        <w:spacing w:before="184" w:line="241" w:lineRule="auto"/>
        <w:rPr>
          <w:rFonts w:ascii="KaiTi" w:hAnsi="KaiTi" w:eastAsia="KaiTi" w:cs="KaiTi"/>
          <w:sz w:val="20"/>
          <w:szCs w:val="20"/>
        </w:rPr>
      </w:pPr>
      <w:r>
        <w:rPr>
          <w:rFonts w:ascii="KaiTi" w:hAnsi="KaiTi" w:eastAsia="KaiTi" w:cs="KaiTi"/>
          <w:sz w:val="20"/>
          <w:szCs w:val="20"/>
          <w:b/>
          <w:bCs/>
          <w:spacing w:val="5"/>
        </w:rPr>
        <w:t>（</w:t>
      </w:r>
      <w:r>
        <w:rPr>
          <w:rFonts w:ascii="KaiTi" w:hAnsi="KaiTi" w:eastAsia="KaiTi" w:cs="KaiTi"/>
          <w:sz w:val="20"/>
          <w:szCs w:val="20"/>
          <w:spacing w:val="-39"/>
        </w:rPr>
        <w:t xml:space="preserve"> </w:t>
      </w:r>
      <w:r>
        <w:rPr>
          <w:rFonts w:ascii="KaiTi" w:hAnsi="KaiTi" w:eastAsia="KaiTi" w:cs="KaiTi"/>
          <w:sz w:val="20"/>
          <w:szCs w:val="20"/>
          <w:b/>
          <w:bCs/>
          <w:spacing w:val="5"/>
        </w:rPr>
        <w:t>四）整合基层网格管理和指挥平台</w:t>
      </w:r>
    </w:p>
    <w:p>
      <w:pPr>
        <w:pStyle w:val="BodyText"/>
        <w:ind w:left="19" w:right="306" w:firstLine="430"/>
        <w:spacing w:before="169" w:line="362" w:lineRule="auto"/>
        <w:jc w:val="both"/>
        <w:rPr/>
      </w:pPr>
      <w:r>
        <w:rPr>
          <w:spacing w:val="-4"/>
        </w:rPr>
        <w:t>9.实现“多网合一”。将上级部门在基层设</w:t>
      </w:r>
      <w:r>
        <w:rPr>
          <w:spacing w:val="16"/>
        </w:rPr>
        <w:t>置的多个网格整合为一个综合网格</w:t>
      </w:r>
      <w:r>
        <w:rPr>
          <w:spacing w:val="-51"/>
        </w:rPr>
        <w:t xml:space="preserve"> </w:t>
      </w:r>
      <w:r>
        <w:rPr>
          <w:spacing w:val="16"/>
        </w:rPr>
        <w:t>，依托村</w:t>
      </w:r>
      <w:r>
        <w:rPr>
          <w:spacing w:val="7"/>
        </w:rPr>
        <w:t>（社区）合理划分基本网格单元，统筹网格内</w:t>
      </w:r>
      <w:r>
        <w:rPr>
          <w:spacing w:val="8"/>
        </w:rPr>
        <w:t>党的建设、社会保障、综合治理、应急管理、</w:t>
      </w:r>
    </w:p>
    <w:p>
      <w:pPr>
        <w:spacing w:line="14" w:lineRule="auto"/>
        <w:rPr>
          <w:rFonts w:ascii="Arial"/>
          <w:sz w:val="2"/>
        </w:rPr>
      </w:pPr>
      <w:r>
        <w:rPr>
          <w:rFonts w:ascii="Arial" w:hAnsi="Arial" w:eastAsia="Arial" w:cs="Arial"/>
          <w:sz w:val="2"/>
          <w:szCs w:val="2"/>
        </w:rPr>
        <w:br w:type="column"/>
      </w:r>
    </w:p>
    <w:p>
      <w:pPr>
        <w:pStyle w:val="BodyText"/>
        <w:ind w:right="36"/>
        <w:spacing w:before="36" w:line="397" w:lineRule="auto"/>
        <w:jc w:val="both"/>
        <w:rPr/>
      </w:pPr>
      <w:r>
        <w:rPr>
          <w:spacing w:val="7"/>
        </w:rPr>
        <w:t>社会救助等工作。强化党建引领，将党支部或</w:t>
      </w:r>
      <w:r>
        <w:rPr>
          <w:spacing w:val="7"/>
        </w:rPr>
        <w:t>党小组建在网格上，以网格为基本单元，设立</w:t>
      </w:r>
      <w:r>
        <w:rPr>
          <w:spacing w:val="7"/>
        </w:rPr>
        <w:t>党员示范岗、党员先锋岗、党员责任区等，选</w:t>
      </w:r>
      <w:r>
        <w:rPr>
          <w:spacing w:val="7"/>
        </w:rPr>
        <w:t>优配强党支部书记或党小组组长。合理确定网</w:t>
      </w:r>
      <w:r>
        <w:rPr>
          <w:spacing w:val="8"/>
        </w:rPr>
        <w:t>格监管任务和事项，将网格内的人、地、物、</w:t>
      </w:r>
      <w:r>
        <w:rPr>
          <w:spacing w:val="7"/>
        </w:rPr>
        <w:t>事、组织等基础信息和社情民意、全程代办服</w:t>
      </w:r>
      <w:r>
        <w:rPr>
          <w:spacing w:val="15"/>
        </w:rPr>
        <w:t>务等事项</w:t>
      </w:r>
      <w:r>
        <w:rPr>
          <w:spacing w:val="-40"/>
        </w:rPr>
        <w:t xml:space="preserve"> </w:t>
      </w:r>
      <w:r>
        <w:rPr>
          <w:spacing w:val="15"/>
        </w:rPr>
        <w:t>，全部纳入网格化服务管理工作范</w:t>
      </w:r>
      <w:r>
        <w:rPr>
          <w:spacing w:val="8"/>
        </w:rPr>
        <w:t>围，科学配置网格员力量，实行定人、定岗、</w:t>
      </w:r>
      <w:r>
        <w:rPr>
          <w:spacing w:val="7"/>
        </w:rPr>
        <w:t>定责。推进网格化服务管理标准化建设，提高</w:t>
      </w:r>
      <w:r>
        <w:rPr>
          <w:spacing w:val="7"/>
        </w:rPr>
        <w:t>网格管理规范化精细化水平。加强网格资源配</w:t>
      </w:r>
      <w:r>
        <w:rPr>
          <w:spacing w:val="7"/>
        </w:rPr>
        <w:t>置，把公共服务、社会服务、市场服务、志愿</w:t>
      </w:r>
      <w:r>
        <w:rPr>
          <w:spacing w:val="9"/>
        </w:rPr>
        <w:t>服务下沉到网格，精准投送到千家万户。</w:t>
      </w:r>
    </w:p>
    <w:p>
      <w:pPr>
        <w:pStyle w:val="BodyText"/>
        <w:ind w:right="57" w:firstLine="439"/>
        <w:spacing w:before="10" w:line="396" w:lineRule="auto"/>
        <w:jc w:val="both"/>
        <w:rPr/>
      </w:pPr>
      <w:r>
        <w:rPr/>
        <w:t>10.加快平台建设。建设一体化的信息系统</w:t>
      </w:r>
      <w:r>
        <w:rPr>
          <w:spacing w:val="7"/>
        </w:rPr>
        <w:t>和综合指挥平台，先易后难、分步实施，整合</w:t>
      </w:r>
      <w:r>
        <w:rPr>
          <w:spacing w:val="7"/>
        </w:rPr>
        <w:t>现有设在乡镇的党的建设、综合治理、社区治</w:t>
      </w:r>
      <w:r>
        <w:rPr>
          <w:spacing w:val="7"/>
        </w:rPr>
        <w:t>理、数字城管等各系统指挥信息资源。强化信</w:t>
      </w:r>
      <w:r>
        <w:rPr>
          <w:spacing w:val="7"/>
        </w:rPr>
        <w:t>息共享和技术支撑，上级相关部门的视频监控</w:t>
      </w:r>
      <w:r>
        <w:rPr>
          <w:spacing w:val="7"/>
        </w:rPr>
        <w:t>等要尽可能接入基层综合指挥平台，实现互联</w:t>
      </w:r>
      <w:r>
        <w:rPr>
          <w:spacing w:val="7"/>
        </w:rPr>
        <w:t>互通、信息共享、实时监控、综合监测。建立</w:t>
      </w:r>
      <w:r>
        <w:rPr>
          <w:spacing w:val="7"/>
        </w:rPr>
        <w:t>健全发现问题、流转交办、协调联动、研判预</w:t>
      </w:r>
      <w:r>
        <w:rPr>
          <w:spacing w:val="7"/>
        </w:rPr>
        <w:t>警、督查考核等综合指挥工作机制，实现基层</w:t>
      </w:r>
      <w:r>
        <w:rPr>
          <w:spacing w:val="8"/>
        </w:rPr>
        <w:t>管理跨部门、跨层级协同运转。</w:t>
      </w:r>
    </w:p>
    <w:p>
      <w:pPr>
        <w:ind w:left="413"/>
        <w:rPr>
          <w:rFonts w:ascii="KaiTi" w:hAnsi="KaiTi" w:eastAsia="KaiTi" w:cs="KaiTi"/>
          <w:sz w:val="20"/>
          <w:szCs w:val="20"/>
        </w:rPr>
      </w:pPr>
      <w:r>
        <w:rPr>
          <w:rFonts w:ascii="KaiTi" w:hAnsi="KaiTi" w:eastAsia="KaiTi" w:cs="KaiTi"/>
          <w:sz w:val="20"/>
          <w:szCs w:val="20"/>
          <w:b/>
          <w:bCs/>
          <w:spacing w:val="8"/>
        </w:rPr>
        <w:t>（五）大力推动资源服务管理下沉</w:t>
      </w:r>
    </w:p>
    <w:p>
      <w:pPr>
        <w:pStyle w:val="BodyText"/>
        <w:ind w:right="36" w:firstLine="440"/>
        <w:spacing w:before="168" w:line="377" w:lineRule="auto"/>
        <w:jc w:val="both"/>
        <w:rPr/>
      </w:pPr>
      <w:r>
        <w:rPr/>
        <w:t>11.建立赋权清单目录。按照依法下放、宜</w:t>
      </w:r>
      <w:r>
        <w:rPr>
          <w:spacing w:val="7"/>
        </w:rPr>
        <w:t>放则放原则，将点多面广、基层管理迫切需要</w:t>
      </w:r>
      <w:r>
        <w:rPr>
          <w:spacing w:val="18"/>
        </w:rPr>
        <w:t>且能有效承接的审批服务执法等权限赋予乡</w:t>
      </w:r>
      <w:r>
        <w:rPr>
          <w:spacing w:val="7"/>
        </w:rPr>
        <w:t>镇。按照自治区政府统一制定的赋权清单，依</w:t>
      </w:r>
      <w:r>
        <w:rPr>
          <w:spacing w:val="8"/>
        </w:rPr>
        <w:t>法明确乡镇执法主体地位，按照“一个乡镇、</w:t>
      </w:r>
      <w:r>
        <w:rPr>
          <w:spacing w:val="7"/>
        </w:rPr>
        <w:t>一个赋权清单”的要求，依法编制各乡镇赋权</w:t>
      </w:r>
      <w:r>
        <w:rPr>
          <w:spacing w:val="7"/>
        </w:rPr>
        <w:t>清单，统一和规范赋权事项，成熟一批，赋予</w:t>
      </w:r>
    </w:p>
    <w:p>
      <w:pPr>
        <w:spacing w:line="377" w:lineRule="auto"/>
        <w:sectPr>
          <w:type w:val="continuous"/>
          <w:pgSz w:w="11906" w:h="16839"/>
          <w:pgMar w:top="1793" w:right="1530" w:bottom="1673" w:left="1565" w:header="1428" w:footer="1277" w:gutter="0"/>
          <w:cols w:equalWidth="0" w:num="2">
            <w:col w:w="4504" w:space="100"/>
            <w:col w:w="4207" w:space="0"/>
          </w:cols>
        </w:sectPr>
        <w:rPr/>
      </w:pPr>
    </w:p>
    <w:p>
      <w:pPr>
        <w:spacing w:before="56"/>
        <w:rPr/>
      </w:pPr>
      <w:r>
        <w:drawing>
          <wp:anchor distT="0" distB="0" distL="0" distR="0" simplePos="0" relativeHeight="251908096"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706" name="IM 706"/>
            <wp:cNvGraphicFramePr/>
            <a:graphic>
              <a:graphicData uri="http://schemas.openxmlformats.org/drawingml/2006/picture">
                <pic:pic>
                  <pic:nvPicPr>
                    <pic:cNvPr id="706" name="IM 706"/>
                    <pic:cNvPicPr/>
                  </pic:nvPicPr>
                  <pic:blipFill>
                    <a:blip r:embed="rId355"/>
                    <a:stretch>
                      <a:fillRect/>
                    </a:stretch>
                  </pic:blipFill>
                  <pic:spPr>
                    <a:xfrm rot="0">
                      <a:off x="0" y="0"/>
                      <a:ext cx="5579745" cy="7620"/>
                    </a:xfrm>
                    <a:prstGeom prst="rect">
                      <a:avLst/>
                    </a:prstGeom>
                  </pic:spPr>
                </pic:pic>
              </a:graphicData>
            </a:graphic>
          </wp:anchor>
        </w:drawing>
      </w:r>
      <w:r/>
    </w:p>
    <w:p>
      <w:pPr>
        <w:sectPr>
          <w:headerReference w:type="default" r:id="rId353"/>
          <w:footerReference w:type="default" r:id="rId354"/>
          <w:pgSz w:w="11906" w:h="16839"/>
          <w:pgMar w:top="1766" w:right="1497" w:bottom="1570" w:left="1579" w:header="1428" w:footer="1172" w:gutter="0"/>
          <w:cols w:equalWidth="0" w:num="1">
            <w:col w:w="8830" w:space="0"/>
          </w:cols>
        </w:sectPr>
        <w:rPr/>
      </w:pPr>
    </w:p>
    <w:p>
      <w:pPr>
        <w:pStyle w:val="BodyText"/>
        <w:ind w:left="11" w:right="234" w:firstLine="2"/>
        <w:spacing w:before="52" w:line="401" w:lineRule="auto"/>
        <w:jc w:val="both"/>
        <w:rPr/>
      </w:pPr>
      <w:r>
        <w:rPr>
          <w:spacing w:val="1"/>
        </w:rPr>
        <w:t>一批，确保放得下、接得住、管得好、有监督。</w:t>
      </w:r>
      <w:r>
        <w:rPr>
          <w:spacing w:val="18"/>
        </w:rPr>
        <w:t>法律规定的县级政府及其部门的管理权限需</w:t>
      </w:r>
      <w:r>
        <w:rPr>
          <w:spacing w:val="9"/>
        </w:rPr>
        <w:t>要赋予乡镇的，按法定程序和要求办理。</w:t>
      </w:r>
    </w:p>
    <w:p>
      <w:pPr>
        <w:pStyle w:val="BodyText"/>
        <w:ind w:left="11" w:right="277" w:firstLine="440"/>
        <w:spacing w:before="18" w:line="391" w:lineRule="auto"/>
        <w:rPr/>
      </w:pPr>
      <w:r>
        <w:rPr/>
        <w:t>12.建立务实高效用编用人制度。推进编制</w:t>
      </w:r>
      <w:r>
        <w:rPr>
          <w:spacing w:val="7"/>
        </w:rPr>
        <w:t>资源向乡镇倾斜，采取减县补乡和减上补下调</w:t>
      </w:r>
      <w:r>
        <w:rPr>
          <w:spacing w:val="7"/>
        </w:rPr>
        <w:t>剂使用行政和事业编制，充实加强基层一线工</w:t>
      </w:r>
      <w:r>
        <w:rPr>
          <w:spacing w:val="13"/>
        </w:rPr>
        <w:t>作力量，乡镇人员编制增幅平均不低于28%。</w:t>
      </w:r>
      <w:r>
        <w:rPr>
          <w:spacing w:val="12"/>
        </w:rPr>
        <w:t>乡镇编制实行总额管理,乡镇核定行政编制和</w:t>
      </w:r>
      <w:r>
        <w:rPr>
          <w:spacing w:val="11"/>
        </w:rPr>
        <w:t>事业编制平均不少于</w:t>
      </w:r>
      <w:r>
        <w:rPr>
          <w:spacing w:val="-37"/>
        </w:rPr>
        <w:t xml:space="preserve"> </w:t>
      </w:r>
      <w:r>
        <w:rPr>
          <w:spacing w:val="11"/>
        </w:rPr>
        <w:t>45</w:t>
      </w:r>
      <w:r>
        <w:rPr>
          <w:spacing w:val="-37"/>
        </w:rPr>
        <w:t xml:space="preserve"> </w:t>
      </w:r>
      <w:r>
        <w:rPr>
          <w:spacing w:val="11"/>
        </w:rPr>
        <w:t>名。县委编委可根据</w:t>
      </w:r>
      <w:r>
        <w:rPr>
          <w:spacing w:val="7"/>
        </w:rPr>
        <w:t>工作需要，在乡镇之间统筹调剂使用各类编制</w:t>
      </w:r>
      <w:r>
        <w:rPr>
          <w:spacing w:val="7"/>
        </w:rPr>
        <w:t>资源，实行动态管理，上级部门不得挤占挪用</w:t>
      </w:r>
      <w:r>
        <w:rPr>
          <w:spacing w:val="7"/>
        </w:rPr>
        <w:t>乡镇编制。建立用编用人计划优先保障空编乡</w:t>
      </w:r>
      <w:r>
        <w:rPr>
          <w:spacing w:val="7"/>
        </w:rPr>
        <w:t>镇机制，根据基层需要及时补充人员，提高编</w:t>
      </w:r>
      <w:r>
        <w:rPr>
          <w:spacing w:val="7"/>
        </w:rPr>
        <w:t>制资源使用效益。制定《西吉县乡镇条线辅助</w:t>
      </w:r>
      <w:r>
        <w:rPr>
          <w:spacing w:val="5"/>
        </w:rPr>
        <w:t>人员管理办法》，整合条线辅助人员</w:t>
      </w:r>
      <w:r>
        <w:rPr>
          <w:spacing w:val="-54"/>
        </w:rPr>
        <w:t xml:space="preserve"> </w:t>
      </w:r>
      <w:r>
        <w:rPr>
          <w:spacing w:val="5"/>
        </w:rPr>
        <w:t>，按照属</w:t>
      </w:r>
      <w:r>
        <w:rPr>
          <w:spacing w:val="7"/>
        </w:rPr>
        <w:t>地化管理原则，由乡镇统筹指挥调配。赋予乡</w:t>
      </w:r>
      <w:r>
        <w:rPr>
          <w:spacing w:val="7"/>
        </w:rPr>
        <w:t>镇更加灵活的用人自主权，在编制与人员一一</w:t>
      </w:r>
      <w:r>
        <w:rPr>
          <w:spacing w:val="7"/>
        </w:rPr>
        <w:t>对应关系的基础上，可根据工作需要和人尽其</w:t>
      </w:r>
      <w:r>
        <w:rPr>
          <w:spacing w:val="7"/>
        </w:rPr>
        <w:t>才的原则，统筹使用行政事业人员，事业单位</w:t>
      </w:r>
      <w:r>
        <w:rPr>
          <w:spacing w:val="8"/>
        </w:rPr>
        <w:t>主要负责人可按副科级配备。</w:t>
      </w:r>
    </w:p>
    <w:p>
      <w:pPr>
        <w:pStyle w:val="BodyText"/>
        <w:ind w:left="12" w:right="234" w:firstLine="439"/>
        <w:spacing w:before="192" w:line="377" w:lineRule="auto"/>
        <w:rPr/>
      </w:pPr>
      <w:r>
        <w:rPr/>
        <w:t>13.强化事权保障。投放基层的公共服务资</w:t>
      </w:r>
      <w:r>
        <w:rPr>
          <w:spacing w:val="1"/>
        </w:rPr>
        <w:t>源，以乡镇、村（社区）党组织为主渠道落实。</w:t>
      </w:r>
      <w:r>
        <w:rPr>
          <w:spacing w:val="7"/>
        </w:rPr>
        <w:t>坚持重心下移、力量下沉、保障下倾，加强下</w:t>
      </w:r>
      <w:r>
        <w:rPr>
          <w:spacing w:val="7"/>
        </w:rPr>
        <w:t>放给乡镇事权的人才、技术、资金、网络端口</w:t>
      </w:r>
      <w:r>
        <w:rPr>
          <w:spacing w:val="7"/>
        </w:rPr>
        <w:t>等方面的保障，做到权随事转、人随事转、钱</w:t>
      </w:r>
      <w:r>
        <w:rPr>
          <w:spacing w:val="7"/>
        </w:rPr>
        <w:t>随事转，使基层有人有物有权，保证基层事情</w:t>
      </w:r>
      <w:r>
        <w:rPr>
          <w:spacing w:val="9"/>
        </w:rPr>
        <w:t>基层办、基层权力给基层、基层事情有人办。</w:t>
      </w:r>
    </w:p>
    <w:p>
      <w:pPr>
        <w:pStyle w:val="BodyText"/>
        <w:ind w:left="12" w:right="312" w:firstLine="439"/>
        <w:spacing w:before="194" w:line="331" w:lineRule="auto"/>
        <w:rPr/>
      </w:pPr>
      <w:r>
        <w:rPr/>
        <w:t>14.完善激励保障机制。全面落实乡镇工作</w:t>
      </w:r>
      <w:r>
        <w:rPr>
          <w:spacing w:val="7"/>
        </w:rPr>
        <w:t>人员各项待遇政策，并向条件艰苦的偏远乡镇</w:t>
      </w:r>
      <w:r>
        <w:rPr>
          <w:spacing w:val="7"/>
        </w:rPr>
        <w:t>和长期在乡镇工作的人员倾斜。乡镇年度考核</w:t>
      </w:r>
    </w:p>
    <w:p>
      <w:pPr>
        <w:spacing w:line="14" w:lineRule="auto"/>
        <w:rPr>
          <w:rFonts w:ascii="Arial"/>
          <w:sz w:val="2"/>
        </w:rPr>
      </w:pPr>
      <w:r>
        <w:rPr>
          <w:rFonts w:ascii="Arial" w:hAnsi="Arial" w:eastAsia="Arial" w:cs="Arial"/>
          <w:sz w:val="2"/>
          <w:szCs w:val="2"/>
        </w:rPr>
        <w:br w:type="column"/>
      </w:r>
    </w:p>
    <w:p>
      <w:pPr>
        <w:pStyle w:val="BodyText"/>
        <w:ind w:left="15" w:right="73" w:firstLine="1"/>
        <w:spacing w:before="48" w:line="396" w:lineRule="auto"/>
        <w:jc w:val="both"/>
        <w:rPr/>
      </w:pPr>
      <w:r>
        <w:rPr>
          <w:spacing w:val="11"/>
        </w:rPr>
        <w:t>优秀比例提高到20%，工作成绩突出的可提高</w:t>
      </w:r>
      <w:r>
        <w:rPr>
          <w:spacing w:val="13"/>
        </w:rPr>
        <w:t>到</w:t>
      </w:r>
      <w:r>
        <w:rPr>
          <w:spacing w:val="-35"/>
        </w:rPr>
        <w:t xml:space="preserve"> </w:t>
      </w:r>
      <w:r>
        <w:rPr>
          <w:spacing w:val="13"/>
        </w:rPr>
        <w:t>25%—35%。落实乡镇工作补贴政策，确保</w:t>
      </w:r>
      <w:r>
        <w:rPr>
          <w:spacing w:val="18"/>
        </w:rPr>
        <w:t>乡镇机关事业单位工作人员收入高于县直机</w:t>
      </w:r>
      <w:r>
        <w:rPr>
          <w:spacing w:val="11"/>
        </w:rPr>
        <w:t>关事业单位同职级人员20%，进一步调动基层</w:t>
      </w:r>
      <w:r>
        <w:rPr>
          <w:spacing w:val="8"/>
        </w:rPr>
        <w:t>干部队伍积极性，激励担当作为、干事创业。</w:t>
      </w:r>
    </w:p>
    <w:p>
      <w:pPr>
        <w:ind w:left="428"/>
        <w:spacing w:before="32" w:line="241" w:lineRule="auto"/>
        <w:rPr>
          <w:rFonts w:ascii="KaiTi" w:hAnsi="KaiTi" w:eastAsia="KaiTi" w:cs="KaiTi"/>
          <w:sz w:val="20"/>
          <w:szCs w:val="20"/>
        </w:rPr>
      </w:pPr>
      <w:r>
        <w:rPr>
          <w:rFonts w:ascii="KaiTi" w:hAnsi="KaiTi" w:eastAsia="KaiTi" w:cs="KaiTi"/>
          <w:sz w:val="20"/>
          <w:szCs w:val="20"/>
          <w:b/>
          <w:bCs/>
          <w:spacing w:val="5"/>
        </w:rPr>
        <w:t>（</w:t>
      </w:r>
      <w:r>
        <w:rPr>
          <w:rFonts w:ascii="KaiTi" w:hAnsi="KaiTi" w:eastAsia="KaiTi" w:cs="KaiTi"/>
          <w:sz w:val="20"/>
          <w:szCs w:val="20"/>
          <w:spacing w:val="-37"/>
        </w:rPr>
        <w:t xml:space="preserve"> </w:t>
      </w:r>
      <w:r>
        <w:rPr>
          <w:rFonts w:ascii="KaiTi" w:hAnsi="KaiTi" w:eastAsia="KaiTi" w:cs="KaiTi"/>
          <w:sz w:val="20"/>
          <w:szCs w:val="20"/>
          <w:b/>
          <w:bCs/>
          <w:spacing w:val="5"/>
        </w:rPr>
        <w:t>六）优化上级机关对基层的领导方式</w:t>
      </w:r>
    </w:p>
    <w:p>
      <w:pPr>
        <w:pStyle w:val="BodyText"/>
        <w:ind w:right="29" w:firstLine="455"/>
        <w:spacing w:before="173" w:line="383" w:lineRule="auto"/>
        <w:rPr/>
      </w:pPr>
      <w:r>
        <w:rPr/>
        <w:t>15.规范“属地管理”。建立县乡“属地管</w:t>
      </w:r>
      <w:r>
        <w:rPr>
          <w:spacing w:val="8"/>
        </w:rPr>
        <w:t>理”事项主体责任和配合责任清单制度，根据</w:t>
      </w:r>
      <w:r>
        <w:rPr>
          <w:spacing w:val="8"/>
        </w:rPr>
        <w:t>《固原市县乡“属地管理”事项主体责任和配</w:t>
      </w:r>
      <w:r>
        <w:rPr>
          <w:spacing w:val="8"/>
        </w:rPr>
        <w:t>合责任清单》，在自然资源、生态环境、城乡</w:t>
      </w:r>
      <w:r>
        <w:rPr>
          <w:spacing w:val="1"/>
        </w:rPr>
        <w:t>建设、应急管理、市场监管、综合执法等方面，</w:t>
      </w:r>
      <w:r>
        <w:rPr>
          <w:spacing w:val="11"/>
        </w:rPr>
        <w:t>合理划分县乡权责边界，健全县乡联动机制。</w:t>
      </w:r>
      <w:r>
        <w:rPr>
          <w:spacing w:val="8"/>
        </w:rPr>
        <w:t>探索建立乡镇职责准入制度，县级职能部门将</w:t>
      </w:r>
      <w:r>
        <w:rPr>
          <w:spacing w:val="19"/>
        </w:rPr>
        <w:t>职责范围内的行政事务委托或交由乡镇承担</w:t>
      </w:r>
      <w:r>
        <w:rPr>
          <w:spacing w:val="10"/>
        </w:rPr>
        <w:t>的，需按规定审核报批并充分听取基层意见。</w:t>
      </w:r>
    </w:p>
    <w:p>
      <w:pPr>
        <w:pStyle w:val="BodyText"/>
        <w:ind w:left="15" w:right="84" w:firstLine="439"/>
        <w:spacing w:before="189" w:line="385" w:lineRule="auto"/>
        <w:rPr/>
      </w:pPr>
      <w:r>
        <w:rPr/>
        <w:t>16.推进基层减负增效。组织对上级与乡镇</w:t>
      </w:r>
      <w:r>
        <w:rPr>
          <w:spacing w:val="7"/>
        </w:rPr>
        <w:t>签订的各类“责任状”和考核评比等事项进行</w:t>
      </w:r>
      <w:r>
        <w:rPr>
          <w:spacing w:val="7"/>
        </w:rPr>
        <w:t>全面清理，统一规范对乡镇的评比达标、示范</w:t>
      </w:r>
      <w:r>
        <w:rPr>
          <w:spacing w:val="7"/>
        </w:rPr>
        <w:t>创建等活动，切实减轻基层负担。除中央和自</w:t>
      </w:r>
      <w:r>
        <w:rPr>
          <w:spacing w:val="7"/>
        </w:rPr>
        <w:t>治区党委明确要求外，各部门（单位）不得以</w:t>
      </w:r>
      <w:r>
        <w:rPr>
          <w:spacing w:val="7"/>
        </w:rPr>
        <w:t>任何形式对乡镇设置“一票否决”事项，不得</w:t>
      </w:r>
      <w:r>
        <w:rPr>
          <w:spacing w:val="7"/>
        </w:rPr>
        <w:t>以签订“责任状”、分解下达指标、考核验收</w:t>
      </w:r>
      <w:r>
        <w:rPr>
          <w:spacing w:val="7"/>
        </w:rPr>
        <w:t>等方式，将工作责任转嫁乡镇承担。对不符合</w:t>
      </w:r>
      <w:r>
        <w:rPr>
          <w:spacing w:val="7"/>
        </w:rPr>
        <w:t>基层实际和发展需要的政策规定要及时清理、</w:t>
      </w:r>
      <w:r>
        <w:rPr>
          <w:spacing w:val="-3"/>
        </w:rPr>
        <w:t>修订、完善，为基层改革创新提供制度支持。</w:t>
      </w:r>
    </w:p>
    <w:p>
      <w:pPr>
        <w:ind w:left="448"/>
        <w:spacing w:before="201"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三、组织实施</w:t>
      </w:r>
    </w:p>
    <w:p>
      <w:pPr>
        <w:pStyle w:val="BodyText"/>
        <w:ind w:left="15" w:right="53" w:firstLine="413"/>
        <w:spacing w:before="170" w:line="349" w:lineRule="auto"/>
        <w:jc w:val="both"/>
        <w:rPr/>
      </w:pPr>
      <w:r>
        <w:rPr>
          <w:rFonts w:ascii="KaiTi" w:hAnsi="KaiTi" w:eastAsia="KaiTi" w:cs="KaiTi"/>
          <w:b/>
          <w:bCs/>
          <w:spacing w:val="5"/>
        </w:rPr>
        <w:t>（</w:t>
      </w:r>
      <w:r>
        <w:rPr>
          <w:rFonts w:ascii="KaiTi" w:hAnsi="KaiTi" w:eastAsia="KaiTi" w:cs="KaiTi"/>
          <w:spacing w:val="-38"/>
        </w:rPr>
        <w:t xml:space="preserve"> </w:t>
      </w:r>
      <w:r>
        <w:rPr>
          <w:rFonts w:ascii="KaiTi" w:hAnsi="KaiTi" w:eastAsia="KaiTi" w:cs="KaiTi"/>
          <w:b/>
          <w:bCs/>
          <w:spacing w:val="5"/>
        </w:rPr>
        <w:t>一）加强组织领导。</w:t>
      </w:r>
      <w:r>
        <w:rPr>
          <w:spacing w:val="5"/>
        </w:rPr>
        <w:t>认真贯彻落实区、</w:t>
      </w:r>
      <w:r>
        <w:rPr>
          <w:spacing w:val="7"/>
        </w:rPr>
        <w:t>市领导批示指示精神，切实履行主体责任，把</w:t>
      </w:r>
      <w:r>
        <w:rPr>
          <w:spacing w:val="18"/>
        </w:rPr>
        <w:t>推进基层整合审批服务执法力量改革纳入重</w:t>
      </w:r>
      <w:r>
        <w:rPr>
          <w:spacing w:val="7"/>
        </w:rPr>
        <w:t>要议事日程。调整西吉县推进基层整合审批服</w:t>
      </w:r>
    </w:p>
    <w:p>
      <w:pPr>
        <w:spacing w:line="349" w:lineRule="auto"/>
        <w:sectPr>
          <w:type w:val="continuous"/>
          <w:pgSz w:w="11906" w:h="16839"/>
          <w:pgMar w:top="1766" w:right="1497" w:bottom="1570" w:left="1579" w:header="1428" w:footer="1172" w:gutter="0"/>
          <w:cols w:equalWidth="0" w:num="2">
            <w:col w:w="4474" w:space="100"/>
            <w:col w:w="4256" w:space="0"/>
          </w:cols>
        </w:sectPr>
        <w:rPr/>
      </w:pPr>
    </w:p>
    <w:p>
      <w:pPr>
        <w:spacing w:before="75"/>
        <w:rPr/>
      </w:pPr>
      <w:r>
        <w:drawing>
          <wp:anchor distT="0" distB="0" distL="0" distR="0" simplePos="0" relativeHeight="251910144"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712" name="IM 712"/>
            <wp:cNvGraphicFramePr/>
            <a:graphic>
              <a:graphicData uri="http://schemas.openxmlformats.org/drawingml/2006/picture">
                <pic:pic>
                  <pic:nvPicPr>
                    <pic:cNvPr id="712" name="IM 712"/>
                    <pic:cNvPicPr/>
                  </pic:nvPicPr>
                  <pic:blipFill>
                    <a:blip r:embed="rId358"/>
                    <a:stretch>
                      <a:fillRect/>
                    </a:stretch>
                  </pic:blipFill>
                  <pic:spPr>
                    <a:xfrm rot="0">
                      <a:off x="0" y="0"/>
                      <a:ext cx="5579745" cy="7619"/>
                    </a:xfrm>
                    <a:prstGeom prst="rect">
                      <a:avLst/>
                    </a:prstGeom>
                  </pic:spPr>
                </pic:pic>
              </a:graphicData>
            </a:graphic>
          </wp:anchor>
        </w:drawing>
      </w:r>
      <w:r/>
    </w:p>
    <w:p>
      <w:pPr>
        <w:sectPr>
          <w:headerReference w:type="default" r:id="rId356"/>
          <w:footerReference w:type="default" r:id="rId357"/>
          <w:pgSz w:w="11906" w:h="16839"/>
          <w:pgMar w:top="1793" w:right="1517" w:bottom="1673" w:left="1565" w:header="1428" w:footer="1277" w:gutter="0"/>
          <w:cols w:equalWidth="0" w:num="1">
            <w:col w:w="8824" w:space="0"/>
          </w:cols>
        </w:sectPr>
        <w:rPr/>
      </w:pPr>
    </w:p>
    <w:p>
      <w:pPr>
        <w:pStyle w:val="BodyText"/>
        <w:ind w:left="26" w:right="252" w:firstLine="1"/>
        <w:spacing w:before="44" w:line="402" w:lineRule="auto"/>
        <w:jc w:val="both"/>
        <w:rPr/>
      </w:pPr>
      <w:r>
        <w:rPr>
          <w:spacing w:val="15"/>
        </w:rPr>
        <w:t>务执法力量改革工作领导小组</w:t>
      </w:r>
      <w:r>
        <w:rPr>
          <w:spacing w:val="-41"/>
        </w:rPr>
        <w:t xml:space="preserve"> </w:t>
      </w:r>
      <w:r>
        <w:rPr>
          <w:spacing w:val="15"/>
        </w:rPr>
        <w:t>，组建工作专</w:t>
      </w:r>
      <w:r>
        <w:rPr>
          <w:spacing w:val="11"/>
        </w:rPr>
        <w:t>班，具体负责改革的组织实施协调指导工作，</w:t>
      </w:r>
      <w:r>
        <w:rPr>
          <w:spacing w:val="7"/>
        </w:rPr>
        <w:t>研究解决改革过程中出现的困难和问题，督促</w:t>
      </w:r>
      <w:r>
        <w:rPr>
          <w:spacing w:val="18"/>
        </w:rPr>
        <w:t>县直部门和乡镇按进度推进各项改革任务落</w:t>
      </w:r>
      <w:r>
        <w:rPr>
          <w:spacing w:val="7"/>
        </w:rPr>
        <w:t>实，确保按时高质量完成改革工作。各乡镇党</w:t>
      </w:r>
      <w:r>
        <w:rPr>
          <w:spacing w:val="7"/>
        </w:rPr>
        <w:t>委、政府要践行以人民为中心的发展思想，结</w:t>
      </w:r>
      <w:r>
        <w:rPr>
          <w:spacing w:val="7"/>
        </w:rPr>
        <w:t>合实际细化政策措施，不断完善服务基层、服</w:t>
      </w:r>
      <w:r>
        <w:rPr>
          <w:spacing w:val="1"/>
        </w:rPr>
        <w:t>务群众、服务民生的体制机制，切实抓好落实。</w:t>
      </w:r>
      <w:r>
        <w:rPr>
          <w:spacing w:val="7"/>
        </w:rPr>
        <w:t>县直各相关部门要加强政策指导，做好与基层</w:t>
      </w:r>
      <w:r>
        <w:rPr>
          <w:spacing w:val="7"/>
        </w:rPr>
        <w:t>党的建设、乡村振兴、新型城镇化等重点工作</w:t>
      </w:r>
      <w:r>
        <w:rPr>
          <w:spacing w:val="7"/>
        </w:rPr>
        <w:t>和相关改革的配套衔接，强化县乡联动，形成</w:t>
      </w:r>
      <w:r>
        <w:rPr>
          <w:spacing w:val="9"/>
        </w:rPr>
        <w:t>工作合力，增强改革整体效应。</w:t>
      </w:r>
    </w:p>
    <w:p>
      <w:pPr>
        <w:pStyle w:val="BodyText"/>
        <w:ind w:left="26" w:right="244" w:firstLine="413"/>
        <w:spacing w:before="9" w:line="385" w:lineRule="auto"/>
        <w:jc w:val="both"/>
        <w:rPr/>
      </w:pPr>
      <w:r>
        <w:rPr>
          <w:rFonts w:ascii="KaiTi" w:hAnsi="KaiTi" w:eastAsia="KaiTi" w:cs="KaiTi"/>
          <w:b/>
          <w:bCs/>
          <w:spacing w:val="-3"/>
        </w:rPr>
        <w:t>（</w:t>
      </w:r>
      <w:r>
        <w:rPr>
          <w:rFonts w:ascii="KaiTi" w:hAnsi="KaiTi" w:eastAsia="KaiTi" w:cs="KaiTi"/>
          <w:spacing w:val="-46"/>
        </w:rPr>
        <w:t xml:space="preserve"> </w:t>
      </w:r>
      <w:r>
        <w:rPr>
          <w:rFonts w:ascii="KaiTi" w:hAnsi="KaiTi" w:eastAsia="KaiTi" w:cs="KaiTi"/>
          <w:b/>
          <w:bCs/>
          <w:spacing w:val="-3"/>
        </w:rPr>
        <w:t>二）坚持有序推进。</w:t>
      </w:r>
      <w:r>
        <w:rPr>
          <w:spacing w:val="-3"/>
        </w:rPr>
        <w:t>全面贯彻先立后破、</w:t>
      </w:r>
      <w:r>
        <w:rPr>
          <w:spacing w:val="7"/>
        </w:rPr>
        <w:t>不立不破原则，有组织、有步骤、有纪律推进</w:t>
      </w:r>
      <w:r>
        <w:rPr>
          <w:spacing w:val="7"/>
        </w:rPr>
        <w:t>改革。要把思想政治工作贯穿改革全过程，把</w:t>
      </w:r>
      <w:r>
        <w:rPr>
          <w:spacing w:val="7"/>
        </w:rPr>
        <w:t>握好改革发展稳定关系，确保思想不乱、工作</w:t>
      </w:r>
      <w:r>
        <w:rPr>
          <w:spacing w:val="7"/>
        </w:rPr>
        <w:t>不断、队伍不散、干劲不减，保证改革期间各</w:t>
      </w:r>
      <w:r>
        <w:rPr>
          <w:spacing w:val="2"/>
        </w:rPr>
        <w:t>项工作连续稳定。2021</w:t>
      </w:r>
      <w:r>
        <w:rPr>
          <w:spacing w:val="-29"/>
        </w:rPr>
        <w:t xml:space="preserve"> </w:t>
      </w:r>
      <w:r>
        <w:rPr>
          <w:spacing w:val="2"/>
        </w:rPr>
        <w:t>年</w:t>
      </w:r>
      <w:r>
        <w:rPr>
          <w:spacing w:val="-24"/>
        </w:rPr>
        <w:t xml:space="preserve"> </w:t>
      </w:r>
      <w:r>
        <w:rPr>
          <w:spacing w:val="2"/>
        </w:rPr>
        <w:t>1</w:t>
      </w:r>
      <w:r>
        <w:rPr>
          <w:spacing w:val="-40"/>
        </w:rPr>
        <w:t xml:space="preserve"> </w:t>
      </w:r>
      <w:r>
        <w:rPr>
          <w:spacing w:val="2"/>
        </w:rPr>
        <w:t>月中旬，组织开展</w:t>
      </w:r>
      <w:r>
        <w:rPr>
          <w:spacing w:val="10"/>
        </w:rPr>
        <w:t>改革工作调研，对涉改部门和乡镇机构职能、</w:t>
      </w:r>
      <w:r>
        <w:rPr>
          <w:spacing w:val="7"/>
        </w:rPr>
        <w:t>编制人员、办公场地等方面进行摸底调研；组</w:t>
      </w:r>
      <w:r>
        <w:rPr>
          <w:spacing w:val="7"/>
        </w:rPr>
        <w:t>织相关部门和乡镇领导赴中宁县、彭阳县实地</w:t>
      </w:r>
      <w:r>
        <w:rPr>
          <w:spacing w:val="9"/>
        </w:rPr>
        <w:t>观摩学习。1</w:t>
      </w:r>
      <w:r>
        <w:rPr>
          <w:spacing w:val="-34"/>
        </w:rPr>
        <w:t xml:space="preserve"> </w:t>
      </w:r>
      <w:r>
        <w:rPr>
          <w:spacing w:val="9"/>
        </w:rPr>
        <w:t>月下旬，按规程报审改革实施方</w:t>
      </w:r>
      <w:r>
        <w:rPr>
          <w:spacing w:val="9"/>
        </w:rPr>
        <w:t>案。2</w:t>
      </w:r>
      <w:r>
        <w:rPr>
          <w:spacing w:val="-34"/>
        </w:rPr>
        <w:t xml:space="preserve"> </w:t>
      </w:r>
      <w:r>
        <w:rPr>
          <w:spacing w:val="9"/>
        </w:rPr>
        <w:t>月上旬，召开改革工作部署动员会，完</w:t>
      </w:r>
      <w:r>
        <w:rPr>
          <w:spacing w:val="11"/>
        </w:rPr>
        <w:t>成机构架构搭建，划转涉改单位编制及人员，</w:t>
      </w:r>
      <w:r>
        <w:rPr>
          <w:spacing w:val="18"/>
        </w:rPr>
        <w:t>各乡镇按照架构制定上报本乡镇机构改革方</w:t>
      </w:r>
      <w:r>
        <w:rPr>
          <w:spacing w:val="15"/>
        </w:rPr>
        <w:t>案</w:t>
      </w:r>
      <w:r>
        <w:rPr>
          <w:spacing w:val="-39"/>
        </w:rPr>
        <w:t xml:space="preserve"> </w:t>
      </w:r>
      <w:r>
        <w:rPr>
          <w:spacing w:val="15"/>
        </w:rPr>
        <w:t>，经县改革工作领导小组办公室审定及县</w:t>
      </w:r>
      <w:r>
        <w:rPr>
          <w:spacing w:val="9"/>
        </w:rPr>
        <w:t>委、政府审批后组织实施。2</w:t>
      </w:r>
      <w:r>
        <w:rPr>
          <w:spacing w:val="-34"/>
        </w:rPr>
        <w:t xml:space="preserve"> </w:t>
      </w:r>
      <w:r>
        <w:rPr>
          <w:spacing w:val="9"/>
        </w:rPr>
        <w:t>月下旬，各乡镇</w:t>
      </w:r>
      <w:r>
        <w:rPr>
          <w:spacing w:val="7"/>
        </w:rPr>
        <w:t>完成“五办四中心”挂牌，采购办公设施及执</w:t>
      </w:r>
      <w:r>
        <w:rPr>
          <w:spacing w:val="-6"/>
        </w:rPr>
        <w:t>法设备设施。3</w:t>
      </w:r>
      <w:r>
        <w:rPr>
          <w:spacing w:val="-37"/>
        </w:rPr>
        <w:t xml:space="preserve"> </w:t>
      </w:r>
      <w:r>
        <w:rPr>
          <w:spacing w:val="-6"/>
        </w:rPr>
        <w:t>月上旬，制定公布“五项清单”，</w:t>
      </w:r>
      <w:r>
        <w:rPr>
          <w:spacing w:val="15"/>
        </w:rPr>
        <w:t>搭建统一指挥平台</w:t>
      </w:r>
      <w:r>
        <w:rPr>
          <w:spacing w:val="-39"/>
        </w:rPr>
        <w:t xml:space="preserve"> </w:t>
      </w:r>
      <w:r>
        <w:rPr>
          <w:spacing w:val="15"/>
        </w:rPr>
        <w:t>，组织县直部门包抓乡镇</w:t>
      </w:r>
    </w:p>
    <w:p>
      <w:pPr>
        <w:spacing w:line="14" w:lineRule="auto"/>
        <w:rPr>
          <w:rFonts w:ascii="Arial"/>
          <w:sz w:val="2"/>
        </w:rPr>
      </w:pPr>
      <w:r>
        <w:rPr>
          <w:rFonts w:ascii="Arial" w:hAnsi="Arial" w:eastAsia="Arial" w:cs="Arial"/>
          <w:sz w:val="2"/>
          <w:szCs w:val="2"/>
        </w:rPr>
        <w:br w:type="column"/>
      </w:r>
    </w:p>
    <w:p>
      <w:pPr>
        <w:pStyle w:val="BodyText"/>
        <w:ind w:firstLine="1"/>
        <w:spacing w:before="39" w:line="394" w:lineRule="auto"/>
        <w:jc w:val="both"/>
        <w:rPr/>
      </w:pPr>
      <w:r>
        <w:rPr>
          <w:spacing w:val="7"/>
        </w:rPr>
        <w:t>“五办四中心”建设，指导制定工作职责、工</w:t>
      </w:r>
      <w:r>
        <w:rPr>
          <w:spacing w:val="9"/>
        </w:rPr>
        <w:t>作流程、工作制度等。4</w:t>
      </w:r>
      <w:r>
        <w:rPr>
          <w:spacing w:val="-34"/>
        </w:rPr>
        <w:t xml:space="preserve"> </w:t>
      </w:r>
      <w:r>
        <w:rPr>
          <w:spacing w:val="9"/>
        </w:rPr>
        <w:t>月上旬，按照整合工</w:t>
      </w:r>
      <w:r>
        <w:rPr>
          <w:spacing w:val="15"/>
        </w:rPr>
        <w:t>作方案全面落实改革任务</w:t>
      </w:r>
      <w:r>
        <w:rPr>
          <w:spacing w:val="-39"/>
        </w:rPr>
        <w:t xml:space="preserve"> </w:t>
      </w:r>
      <w:r>
        <w:rPr>
          <w:spacing w:val="15"/>
        </w:rPr>
        <w:t>，民生服务中心运</w:t>
      </w:r>
      <w:r>
        <w:rPr>
          <w:spacing w:val="15"/>
        </w:rPr>
        <w:t>行</w:t>
      </w:r>
      <w:r>
        <w:rPr>
          <w:spacing w:val="-39"/>
        </w:rPr>
        <w:t xml:space="preserve"> </w:t>
      </w:r>
      <w:r>
        <w:rPr>
          <w:spacing w:val="15"/>
        </w:rPr>
        <w:t>，综合执法办公室以乡镇名义开展执法工</w:t>
      </w:r>
      <w:r>
        <w:rPr>
          <w:spacing w:val="9"/>
        </w:rPr>
        <w:t>作。6</w:t>
      </w:r>
      <w:r>
        <w:rPr>
          <w:spacing w:val="-34"/>
        </w:rPr>
        <w:t xml:space="preserve"> </w:t>
      </w:r>
      <w:r>
        <w:rPr>
          <w:spacing w:val="9"/>
        </w:rPr>
        <w:t>月上旬，统一指挥平台搭建完成，实现</w:t>
      </w:r>
      <w:r>
        <w:rPr>
          <w:spacing w:val="2"/>
        </w:rPr>
        <w:t>“多网合一”。6</w:t>
      </w:r>
      <w:r>
        <w:rPr>
          <w:spacing w:val="-24"/>
        </w:rPr>
        <w:t xml:space="preserve"> </w:t>
      </w:r>
      <w:r>
        <w:rPr>
          <w:spacing w:val="2"/>
        </w:rPr>
        <w:t>月中旬，完成总结评估工作。</w:t>
      </w:r>
      <w:r>
        <w:rPr>
          <w:spacing w:val="7"/>
        </w:rPr>
        <w:t>按照自治区、市、县、乡镇四级联动改革的要</w:t>
      </w:r>
      <w:r>
        <w:rPr/>
        <w:t>求，形成工作合力，对改革中遇到的重大问题，</w:t>
      </w:r>
      <w:r>
        <w:rPr>
          <w:spacing w:val="8"/>
        </w:rPr>
        <w:t>及时向上级报告。</w:t>
      </w:r>
    </w:p>
    <w:p>
      <w:pPr>
        <w:pStyle w:val="BodyText"/>
        <w:ind w:right="65" w:firstLine="413"/>
        <w:spacing w:before="30" w:line="382" w:lineRule="auto"/>
        <w:rPr/>
      </w:pPr>
      <w:r>
        <w:rPr>
          <w:rFonts w:ascii="KaiTi" w:hAnsi="KaiTi" w:eastAsia="KaiTi" w:cs="KaiTi"/>
          <w:b/>
          <w:bCs/>
          <w:spacing w:val="3"/>
        </w:rPr>
        <w:t>（</w:t>
      </w:r>
      <w:r>
        <w:rPr>
          <w:rFonts w:ascii="KaiTi" w:hAnsi="KaiTi" w:eastAsia="KaiTi" w:cs="KaiTi"/>
          <w:spacing w:val="-35"/>
        </w:rPr>
        <w:t xml:space="preserve"> </w:t>
      </w:r>
      <w:r>
        <w:rPr>
          <w:rFonts w:ascii="KaiTi" w:hAnsi="KaiTi" w:eastAsia="KaiTi" w:cs="KaiTi"/>
          <w:b/>
          <w:bCs/>
          <w:spacing w:val="3"/>
        </w:rPr>
        <w:t>三）严明纪律规矩。</w:t>
      </w:r>
      <w:r>
        <w:rPr>
          <w:spacing w:val="3"/>
        </w:rPr>
        <w:t>严格执行机构改革</w:t>
      </w:r>
      <w:r>
        <w:rPr>
          <w:spacing w:val="7"/>
        </w:rPr>
        <w:t>政治纪律、组织纪律、机构编制纪律、干部人</w:t>
      </w:r>
      <w:r>
        <w:rPr>
          <w:spacing w:val="7"/>
        </w:rPr>
        <w:t>事纪律、财经纪律、保密纪律，坚决做到令行</w:t>
      </w:r>
      <w:r>
        <w:rPr>
          <w:spacing w:val="7"/>
        </w:rPr>
        <w:t>禁止。县直部门要积极支持基层改革创新，严</w:t>
      </w:r>
      <w:r>
        <w:rPr>
          <w:spacing w:val="7"/>
        </w:rPr>
        <w:t>禁对机构编制事项进行干预。涉改单位要服从</w:t>
      </w:r>
      <w:r>
        <w:rPr>
          <w:spacing w:val="7"/>
        </w:rPr>
        <w:t>大局，确保机构、职责、队伍等按要求、按时</w:t>
      </w:r>
      <w:r>
        <w:rPr>
          <w:spacing w:val="7"/>
        </w:rPr>
        <w:t>限及时调整到位，不允许迟滞拖延、不允许搞</w:t>
      </w:r>
      <w:r>
        <w:rPr>
          <w:spacing w:val="7"/>
        </w:rPr>
        <w:t>变通、不允许突击提拔和调整干部。县推进基</w:t>
      </w:r>
      <w:r>
        <w:rPr>
          <w:spacing w:val="18"/>
        </w:rPr>
        <w:t>层整合审批服务执法力量改革领导小组及其</w:t>
      </w:r>
      <w:r>
        <w:rPr>
          <w:spacing w:val="18"/>
        </w:rPr>
        <w:t>办公室适时对各项改革任务的落实情况进行</w:t>
      </w:r>
      <w:r>
        <w:rPr>
          <w:spacing w:val="7"/>
        </w:rPr>
        <w:t>督促检查，县纪委监委要严肃查处改革过程中</w:t>
      </w:r>
      <w:r>
        <w:rPr>
          <w:spacing w:val="8"/>
        </w:rPr>
        <w:t>的违规违纪问题。</w:t>
      </w:r>
    </w:p>
    <w:p>
      <w:pPr>
        <w:pStyle w:val="BodyText"/>
        <w:ind w:right="65" w:firstLine="412"/>
        <w:spacing w:before="184" w:line="373" w:lineRule="auto"/>
        <w:rPr/>
      </w:pPr>
      <w:r>
        <w:rPr>
          <w:rFonts w:ascii="KaiTi" w:hAnsi="KaiTi" w:eastAsia="KaiTi" w:cs="KaiTi"/>
          <w:b/>
          <w:bCs/>
          <w:spacing w:val="3"/>
        </w:rPr>
        <w:t>（</w:t>
      </w:r>
      <w:r>
        <w:rPr>
          <w:rFonts w:ascii="KaiTi" w:hAnsi="KaiTi" w:eastAsia="KaiTi" w:cs="KaiTi"/>
          <w:spacing w:val="-35"/>
        </w:rPr>
        <w:t xml:space="preserve"> </w:t>
      </w:r>
      <w:r>
        <w:rPr>
          <w:rFonts w:ascii="KaiTi" w:hAnsi="KaiTi" w:eastAsia="KaiTi" w:cs="KaiTi"/>
          <w:b/>
          <w:bCs/>
          <w:spacing w:val="3"/>
        </w:rPr>
        <w:t>四）加强舆论宣传。</w:t>
      </w:r>
      <w:r>
        <w:rPr>
          <w:spacing w:val="3"/>
        </w:rPr>
        <w:t>各乡镇和县直各部</w:t>
      </w:r>
      <w:r>
        <w:rPr>
          <w:spacing w:val="7"/>
        </w:rPr>
        <w:t>门（单位）要充分利用各种媒体，加强舆论宣</w:t>
      </w:r>
      <w:r>
        <w:rPr>
          <w:spacing w:val="7"/>
        </w:rPr>
        <w:t>传，注重典型引路，打消干部职工的顾虑，引</w:t>
      </w:r>
      <w:r>
        <w:rPr>
          <w:spacing w:val="7"/>
        </w:rPr>
        <w:t>导基层党员干部群众理解、支持和参与改革，</w:t>
      </w:r>
      <w:r>
        <w:rPr>
          <w:spacing w:val="7"/>
        </w:rPr>
        <w:t>激发基层干事创业热情，营造良好改革氛围，</w:t>
      </w:r>
      <w:r>
        <w:rPr>
          <w:spacing w:val="7"/>
        </w:rPr>
        <w:t>形成深化改革的强大动力，确保平稳有序推进</w:t>
      </w:r>
      <w:r>
        <w:rPr>
          <w:spacing w:val="8"/>
        </w:rPr>
        <w:t>改革，顺利完成各项任务。</w:t>
      </w:r>
    </w:p>
    <w:p>
      <w:pPr>
        <w:pStyle w:val="BodyText"/>
        <w:ind w:left="1" w:right="72" w:firstLine="432"/>
        <w:spacing w:before="187" w:line="327" w:lineRule="auto"/>
        <w:rPr/>
      </w:pPr>
      <w:r>
        <w:rPr>
          <w:spacing w:val="6"/>
        </w:rPr>
        <w:t>附件：西吉县推进基层整合审批服务执法</w:t>
      </w:r>
      <w:r>
        <w:rPr>
          <w:spacing w:val="9"/>
        </w:rPr>
        <w:t>力量工作任务清单</w:t>
      </w:r>
    </w:p>
    <w:p>
      <w:pPr>
        <w:spacing w:line="327" w:lineRule="auto"/>
        <w:sectPr>
          <w:type w:val="continuous"/>
          <w:pgSz w:w="11906" w:h="16839"/>
          <w:pgMar w:top="1793" w:right="1517" w:bottom="1673" w:left="1565" w:header="1428" w:footer="1277" w:gutter="0"/>
          <w:cols w:equalWidth="0" w:num="2">
            <w:col w:w="4504" w:space="100"/>
            <w:col w:w="4220" w:space="0"/>
          </w:cols>
        </w:sectPr>
        <w:rPr/>
      </w:pPr>
    </w:p>
    <w:p>
      <w:pPr>
        <w:pStyle w:val="BodyText"/>
        <w:ind w:left="1910"/>
        <w:spacing w:before="178" w:line="606" w:lineRule="exact"/>
        <w:rPr>
          <w:sz w:val="43"/>
          <w:szCs w:val="43"/>
        </w:rPr>
      </w:pPr>
      <w:r>
        <w:drawing>
          <wp:anchor distT="0" distB="0" distL="0" distR="0" simplePos="0" relativeHeight="251912192" behindDoc="0" locked="0" layoutInCell="0" allowOverlap="1">
            <wp:simplePos x="0" y="0"/>
            <wp:positionH relativeFrom="page">
              <wp:posOffset>1008380</wp:posOffset>
            </wp:positionH>
            <wp:positionV relativeFrom="page">
              <wp:posOffset>1147445</wp:posOffset>
            </wp:positionV>
            <wp:extent cx="8712200" cy="7620"/>
            <wp:effectExtent l="0" t="0" r="0" b="0"/>
            <wp:wrapNone/>
            <wp:docPr id="718" name="IM 718"/>
            <wp:cNvGraphicFramePr/>
            <a:graphic>
              <a:graphicData uri="http://schemas.openxmlformats.org/drawingml/2006/picture">
                <pic:pic>
                  <pic:nvPicPr>
                    <pic:cNvPr id="718" name="IM 718"/>
                    <pic:cNvPicPr/>
                  </pic:nvPicPr>
                  <pic:blipFill>
                    <a:blip r:embed="rId361"/>
                    <a:stretch>
                      <a:fillRect/>
                    </a:stretch>
                  </pic:blipFill>
                  <pic:spPr>
                    <a:xfrm rot="0">
                      <a:off x="0" y="0"/>
                      <a:ext cx="8712200" cy="7620"/>
                    </a:xfrm>
                    <a:prstGeom prst="rect">
                      <a:avLst/>
                    </a:prstGeom>
                  </pic:spPr>
                </pic:pic>
              </a:graphicData>
            </a:graphic>
          </wp:anchor>
        </w:drawing>
      </w:r>
      <w:r>
        <w:rPr>
          <w:sz w:val="43"/>
          <w:szCs w:val="43"/>
          <w:b/>
          <w:bCs/>
          <w:spacing w:val="4"/>
          <w:position w:val="3"/>
        </w:rPr>
        <w:t>西吉县推进基层整合审批服务执法力量工作任务清单</w:t>
      </w:r>
    </w:p>
    <w:p>
      <w:pPr>
        <w:spacing w:before="12"/>
        <w:rPr/>
      </w:pPr>
      <w:r/>
    </w:p>
    <w:tbl>
      <w:tblPr>
        <w:tblStyle w:val="TableNormal"/>
        <w:tblW w:w="1389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48"/>
        <w:gridCol w:w="1390"/>
        <w:gridCol w:w="5046"/>
        <w:gridCol w:w="2712"/>
        <w:gridCol w:w="1264"/>
        <w:gridCol w:w="1410"/>
        <w:gridCol w:w="1326"/>
      </w:tblGrid>
      <w:tr>
        <w:trPr>
          <w:trHeight w:val="531" w:hRule="atLeast"/>
        </w:trPr>
        <w:tc>
          <w:tcPr>
            <w:tcW w:w="748" w:type="dxa"/>
            <w:vAlign w:val="top"/>
          </w:tcPr>
          <w:p>
            <w:pPr>
              <w:pStyle w:val="TableText"/>
              <w:ind w:left="194"/>
              <w:spacing w:before="164" w:line="214" w:lineRule="auto"/>
              <w:rPr/>
            </w:pPr>
            <w:r>
              <w:rPr>
                <w:b/>
                <w:bCs/>
                <w:spacing w:val="-4"/>
              </w:rPr>
              <w:t>序号</w:t>
            </w:r>
          </w:p>
        </w:tc>
        <w:tc>
          <w:tcPr>
            <w:tcW w:w="1390" w:type="dxa"/>
            <w:vAlign w:val="top"/>
          </w:tcPr>
          <w:p>
            <w:pPr>
              <w:pStyle w:val="TableText"/>
              <w:ind w:left="340"/>
              <w:spacing w:before="165" w:line="213" w:lineRule="auto"/>
              <w:rPr/>
            </w:pPr>
            <w:r>
              <w:rPr>
                <w:b/>
                <w:bCs/>
                <w:spacing w:val="-4"/>
              </w:rPr>
              <w:t>主要任务</w:t>
            </w:r>
          </w:p>
        </w:tc>
        <w:tc>
          <w:tcPr>
            <w:tcW w:w="5046" w:type="dxa"/>
            <w:vAlign w:val="top"/>
          </w:tcPr>
          <w:p>
            <w:pPr>
              <w:pStyle w:val="TableText"/>
              <w:ind w:left="2166"/>
              <w:spacing w:before="167" w:line="211" w:lineRule="auto"/>
              <w:rPr/>
            </w:pPr>
            <w:r>
              <w:rPr>
                <w:b/>
                <w:bCs/>
                <w:spacing w:val="-3"/>
              </w:rPr>
              <w:t>推进措施</w:t>
            </w:r>
          </w:p>
        </w:tc>
        <w:tc>
          <w:tcPr>
            <w:tcW w:w="2712" w:type="dxa"/>
            <w:vAlign w:val="top"/>
          </w:tcPr>
          <w:p>
            <w:pPr>
              <w:pStyle w:val="TableText"/>
              <w:ind w:left="1000"/>
              <w:spacing w:before="166" w:line="211" w:lineRule="auto"/>
              <w:rPr/>
            </w:pPr>
            <w:r>
              <w:rPr>
                <w:b/>
                <w:bCs/>
                <w:spacing w:val="-4"/>
              </w:rPr>
              <w:t>预期目标</w:t>
            </w:r>
          </w:p>
        </w:tc>
        <w:tc>
          <w:tcPr>
            <w:tcW w:w="1264" w:type="dxa"/>
            <w:vAlign w:val="top"/>
          </w:tcPr>
          <w:p>
            <w:pPr>
              <w:pStyle w:val="TableText"/>
              <w:ind w:left="277"/>
              <w:spacing w:before="165" w:line="213" w:lineRule="auto"/>
              <w:rPr/>
            </w:pPr>
            <w:r>
              <w:rPr>
                <w:b/>
                <w:bCs/>
                <w:spacing w:val="-3"/>
              </w:rPr>
              <w:t>责任领导</w:t>
            </w:r>
          </w:p>
        </w:tc>
        <w:tc>
          <w:tcPr>
            <w:tcW w:w="1410" w:type="dxa"/>
            <w:vAlign w:val="top"/>
          </w:tcPr>
          <w:p>
            <w:pPr>
              <w:pStyle w:val="TableText"/>
              <w:ind w:left="349"/>
              <w:spacing w:before="165" w:line="212" w:lineRule="auto"/>
              <w:rPr/>
            </w:pPr>
            <w:r>
              <w:rPr>
                <w:b/>
                <w:bCs/>
                <w:spacing w:val="-3"/>
              </w:rPr>
              <w:t>牵头单位</w:t>
            </w:r>
          </w:p>
        </w:tc>
        <w:tc>
          <w:tcPr>
            <w:tcW w:w="1326" w:type="dxa"/>
            <w:vAlign w:val="top"/>
          </w:tcPr>
          <w:p>
            <w:pPr>
              <w:pStyle w:val="TableText"/>
              <w:ind w:left="307"/>
              <w:spacing w:before="164" w:line="214" w:lineRule="auto"/>
              <w:rPr/>
            </w:pPr>
            <w:r>
              <w:rPr>
                <w:b/>
                <w:bCs/>
                <w:spacing w:val="-3"/>
              </w:rPr>
              <w:t>实施单位</w:t>
            </w:r>
          </w:p>
        </w:tc>
      </w:tr>
      <w:tr>
        <w:trPr>
          <w:trHeight w:val="3497" w:hRule="atLeast"/>
        </w:trPr>
        <w:tc>
          <w:tcPr>
            <w:tcW w:w="748"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346"/>
              <w:spacing w:before="58" w:line="262" w:lineRule="exact"/>
              <w:rPr/>
            </w:pPr>
            <w:r>
              <w:rPr>
                <w:position w:val="1"/>
              </w:rPr>
              <w:t>1</w:t>
            </w:r>
          </w:p>
        </w:tc>
        <w:tc>
          <w:tcPr>
            <w:tcW w:w="1390" w:type="dxa"/>
            <w:vAlign w:val="top"/>
          </w:tcPr>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334" w:right="155" w:hanging="180"/>
              <w:spacing w:before="59" w:line="278" w:lineRule="auto"/>
              <w:rPr/>
            </w:pPr>
            <w:r>
              <w:rPr>
                <w:spacing w:val="-1"/>
              </w:rPr>
              <w:t>统筹优化乡镇</w:t>
            </w:r>
            <w:r>
              <w:rPr>
                <w:spacing w:val="-2"/>
              </w:rPr>
              <w:t>机构设置</w:t>
            </w:r>
          </w:p>
        </w:tc>
        <w:tc>
          <w:tcPr>
            <w:tcW w:w="5046" w:type="dxa"/>
            <w:vAlign w:val="top"/>
          </w:tcPr>
          <w:p>
            <w:pPr>
              <w:spacing w:line="312" w:lineRule="auto"/>
              <w:rPr>
                <w:rFonts w:ascii="Arial"/>
                <w:sz w:val="21"/>
              </w:rPr>
            </w:pPr>
            <w:r/>
          </w:p>
          <w:p>
            <w:pPr>
              <w:spacing w:line="312" w:lineRule="auto"/>
              <w:rPr>
                <w:rFonts w:ascii="Arial"/>
                <w:sz w:val="21"/>
              </w:rPr>
            </w:pPr>
            <w:r/>
          </w:p>
          <w:p>
            <w:pPr>
              <w:pStyle w:val="TableText"/>
              <w:ind w:left="106" w:right="105" w:firstLine="17"/>
              <w:spacing w:before="59" w:line="237" w:lineRule="auto"/>
              <w:rPr/>
            </w:pPr>
            <w:r>
              <w:rPr>
                <w:spacing w:val="-5"/>
              </w:rPr>
              <w:t>1</w:t>
            </w:r>
            <w:r>
              <w:rPr>
                <w:spacing w:val="-39"/>
              </w:rPr>
              <w:t xml:space="preserve"> </w:t>
            </w:r>
            <w:r>
              <w:rPr>
                <w:spacing w:val="-5"/>
              </w:rPr>
              <w:t>月</w:t>
            </w:r>
            <w:r>
              <w:rPr>
                <w:spacing w:val="-42"/>
              </w:rPr>
              <w:t xml:space="preserve"> </w:t>
            </w:r>
            <w:r>
              <w:rPr>
                <w:spacing w:val="-5"/>
              </w:rPr>
              <w:t>25 日前，制定《西吉县推进基层整合审批服务执</w:t>
            </w:r>
            <w:r>
              <w:rPr>
                <w:spacing w:val="-6"/>
              </w:rPr>
              <w:t>法力量实</w:t>
            </w:r>
            <w:r>
              <w:rPr>
                <w:spacing w:val="-4"/>
              </w:rPr>
              <w:t>施方案》，按规程提交县委常委会研究、报市委市政府</w:t>
            </w:r>
            <w:r>
              <w:rPr>
                <w:spacing w:val="-5"/>
              </w:rPr>
              <w:t>审批。</w:t>
            </w:r>
          </w:p>
          <w:p>
            <w:pPr>
              <w:pStyle w:val="TableText"/>
              <w:ind w:left="106" w:right="105" w:firstLine="1"/>
              <w:spacing w:before="16" w:line="238" w:lineRule="auto"/>
              <w:rPr/>
            </w:pPr>
            <w:r>
              <w:rPr>
                <w:spacing w:val="-5"/>
              </w:rPr>
              <w:t>2</w:t>
            </w:r>
            <w:r>
              <w:rPr>
                <w:spacing w:val="-39"/>
              </w:rPr>
              <w:t xml:space="preserve"> </w:t>
            </w:r>
            <w:r>
              <w:rPr>
                <w:spacing w:val="-5"/>
              </w:rPr>
              <w:t>月</w:t>
            </w:r>
            <w:r>
              <w:rPr>
                <w:spacing w:val="-27"/>
              </w:rPr>
              <w:t xml:space="preserve"> </w:t>
            </w:r>
            <w:r>
              <w:rPr>
                <w:spacing w:val="-5"/>
              </w:rPr>
              <w:t>10 日前，召开全县推进基层整合审批服务执法力</w:t>
            </w:r>
            <w:r>
              <w:rPr>
                <w:spacing w:val="-6"/>
              </w:rPr>
              <w:t>量改革工</w:t>
            </w:r>
            <w:r>
              <w:rPr>
                <w:spacing w:val="-1"/>
              </w:rPr>
              <w:t>作动员会，安排部署改革任务。</w:t>
            </w:r>
          </w:p>
          <w:p>
            <w:pPr>
              <w:pStyle w:val="TableText"/>
              <w:ind w:left="108" w:right="103"/>
              <w:spacing w:before="18"/>
              <w:rPr/>
            </w:pPr>
            <w:r>
              <w:rPr>
                <w:spacing w:val="-5"/>
              </w:rPr>
              <w:t>2</w:t>
            </w:r>
            <w:r>
              <w:rPr>
                <w:spacing w:val="-39"/>
              </w:rPr>
              <w:t xml:space="preserve"> </w:t>
            </w:r>
            <w:r>
              <w:rPr>
                <w:spacing w:val="-5"/>
              </w:rPr>
              <w:t>月</w:t>
            </w:r>
            <w:r>
              <w:rPr>
                <w:spacing w:val="-27"/>
              </w:rPr>
              <w:t xml:space="preserve"> </w:t>
            </w:r>
            <w:r>
              <w:rPr>
                <w:spacing w:val="-5"/>
              </w:rPr>
              <w:t>10 日前，印发《关于推进基层整合审批服务执法力量</w:t>
            </w:r>
            <w:r>
              <w:rPr>
                <w:spacing w:val="-6"/>
              </w:rPr>
              <w:t>改革</w:t>
            </w:r>
            <w:r>
              <w:rPr>
                <w:spacing w:val="-3"/>
              </w:rPr>
              <w:t>工作中职能调整、机构设置和人员编制等有关事项的通知》。</w:t>
            </w:r>
            <w:r>
              <w:rPr/>
              <w:t xml:space="preserve"> </w:t>
            </w:r>
            <w:r>
              <w:rPr>
                <w:spacing w:val="-5"/>
              </w:rPr>
              <w:t>2</w:t>
            </w:r>
            <w:r>
              <w:rPr>
                <w:spacing w:val="-39"/>
              </w:rPr>
              <w:t xml:space="preserve"> </w:t>
            </w:r>
            <w:r>
              <w:rPr>
                <w:spacing w:val="-5"/>
              </w:rPr>
              <w:t>月</w:t>
            </w:r>
            <w:r>
              <w:rPr>
                <w:spacing w:val="-28"/>
              </w:rPr>
              <w:t xml:space="preserve"> </w:t>
            </w:r>
            <w:r>
              <w:rPr>
                <w:spacing w:val="-5"/>
              </w:rPr>
              <w:t>10 日前，各乡镇上报乡镇机构改革具体方案，经县改革领</w:t>
            </w:r>
            <w:r>
              <w:rPr>
                <w:spacing w:val="-1"/>
              </w:rPr>
              <w:t>导小组审批后组织实施。</w:t>
            </w:r>
          </w:p>
          <w:p>
            <w:pPr>
              <w:pStyle w:val="TableText"/>
              <w:ind w:left="108" w:right="103"/>
              <w:spacing w:before="21" w:line="238" w:lineRule="auto"/>
              <w:rPr/>
            </w:pPr>
            <w:r>
              <w:rPr>
                <w:spacing w:val="-3"/>
              </w:rPr>
              <w:t>2</w:t>
            </w:r>
            <w:r>
              <w:rPr>
                <w:spacing w:val="-36"/>
              </w:rPr>
              <w:t xml:space="preserve"> </w:t>
            </w:r>
            <w:r>
              <w:rPr>
                <w:spacing w:val="-3"/>
              </w:rPr>
              <w:t>月28 日前，制定并印发各乡镇职能配置、机构设置和人员编</w:t>
            </w:r>
            <w:r>
              <w:rPr>
                <w:spacing w:val="-1"/>
              </w:rPr>
              <w:t>制规定方案。</w:t>
            </w:r>
          </w:p>
        </w:tc>
        <w:tc>
          <w:tcPr>
            <w:tcW w:w="2712" w:type="dxa"/>
            <w:vAlign w:val="top"/>
          </w:tcPr>
          <w:p>
            <w:pPr>
              <w:spacing w:line="251" w:lineRule="auto"/>
              <w:rPr>
                <w:rFonts w:ascii="Arial"/>
                <w:sz w:val="21"/>
              </w:rPr>
            </w:pPr>
            <w:r/>
          </w:p>
          <w:p>
            <w:pPr>
              <w:spacing w:line="252" w:lineRule="auto"/>
              <w:rPr>
                <w:rFonts w:ascii="Arial"/>
                <w:sz w:val="21"/>
              </w:rPr>
            </w:pPr>
            <w:r/>
          </w:p>
          <w:p>
            <w:pPr>
              <w:pStyle w:val="TableText"/>
              <w:ind w:left="108" w:right="103" w:firstLine="16"/>
              <w:spacing w:before="59" w:line="239" w:lineRule="auto"/>
              <w:rPr/>
            </w:pPr>
            <w:r>
              <w:rPr>
                <w:spacing w:val="3"/>
              </w:rPr>
              <w:t>1、通过思想动员、精心部署安</w:t>
            </w:r>
            <w:r>
              <w:rPr>
                <w:spacing w:val="-2"/>
              </w:rPr>
              <w:t>排、加强组织领导，确保推进基</w:t>
            </w:r>
            <w:r>
              <w:rPr>
                <w:spacing w:val="11"/>
              </w:rPr>
              <w:t>层整合审批服务执法力量工作</w:t>
            </w:r>
            <w:r>
              <w:rPr>
                <w:spacing w:val="-1"/>
              </w:rPr>
              <w:t>有序开展。</w:t>
            </w:r>
          </w:p>
          <w:p>
            <w:pPr>
              <w:pStyle w:val="TableText"/>
              <w:ind w:left="108" w:right="103" w:firstLine="1"/>
              <w:spacing w:before="30" w:line="238" w:lineRule="auto"/>
              <w:rPr/>
            </w:pPr>
            <w:r>
              <w:rPr>
                <w:spacing w:val="4"/>
              </w:rPr>
              <w:t>2、适应乡镇工作特点及便民服</w:t>
            </w:r>
            <w:r>
              <w:rPr>
                <w:spacing w:val="8"/>
              </w:rPr>
              <w:t>务需要</w:t>
            </w:r>
            <w:r>
              <w:rPr>
                <w:spacing w:val="-43"/>
              </w:rPr>
              <w:t xml:space="preserve"> </w:t>
            </w:r>
            <w:r>
              <w:rPr>
                <w:spacing w:val="8"/>
              </w:rPr>
              <w:t>，强化乡镇党委领导作</w:t>
            </w:r>
            <w:r>
              <w:rPr>
                <w:spacing w:val="-2"/>
              </w:rPr>
              <w:t>用，构建更好服务群众、简约高</w:t>
            </w:r>
            <w:r>
              <w:rPr>
                <w:spacing w:val="-1"/>
              </w:rPr>
              <w:t>效的基层组织构架。</w:t>
            </w:r>
          </w:p>
          <w:p>
            <w:pPr>
              <w:pStyle w:val="TableText"/>
              <w:ind w:left="112" w:right="105"/>
              <w:spacing w:before="30" w:line="232" w:lineRule="auto"/>
              <w:rPr/>
            </w:pPr>
            <w:r>
              <w:rPr>
                <w:spacing w:val="4"/>
              </w:rPr>
              <w:t>3、乡镇统一组建党建工作办公</w:t>
            </w:r>
            <w:r>
              <w:rPr>
                <w:spacing w:val="-1"/>
              </w:rPr>
              <w:t>室，加强基层党建工作。</w:t>
            </w:r>
          </w:p>
        </w:tc>
        <w:tc>
          <w:tcPr>
            <w:tcW w:w="1264"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366"/>
              <w:spacing w:before="59" w:line="212" w:lineRule="auto"/>
              <w:rPr/>
            </w:pPr>
            <w:r>
              <w:rPr>
                <w:spacing w:val="-3"/>
              </w:rPr>
              <w:t>高耀明</w:t>
            </w:r>
          </w:p>
        </w:tc>
        <w:tc>
          <w:tcPr>
            <w:tcW w:w="1410"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439" w:right="161" w:hanging="271"/>
              <w:spacing w:before="59" w:line="278" w:lineRule="auto"/>
              <w:rPr/>
            </w:pPr>
            <w:r>
              <w:rPr>
                <w:spacing w:val="-1"/>
              </w:rPr>
              <w:t>县委组织部县</w:t>
            </w:r>
            <w:r>
              <w:rPr>
                <w:spacing w:val="-2"/>
              </w:rPr>
              <w:t>委编办</w:t>
            </w:r>
          </w:p>
        </w:tc>
        <w:tc>
          <w:tcPr>
            <w:tcW w:w="1326" w:type="dxa"/>
            <w:vAlign w:val="top"/>
          </w:tcPr>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393"/>
              <w:spacing w:before="58" w:line="211" w:lineRule="auto"/>
              <w:rPr/>
            </w:pPr>
            <w:r>
              <w:rPr>
                <w:spacing w:val="-2"/>
              </w:rPr>
              <w:t>各乡镇</w:t>
            </w:r>
          </w:p>
        </w:tc>
      </w:tr>
      <w:tr>
        <w:trPr>
          <w:trHeight w:val="3174" w:hRule="atLeast"/>
        </w:trPr>
        <w:tc>
          <w:tcPr>
            <w:tcW w:w="748"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331"/>
              <w:spacing w:before="59" w:line="262" w:lineRule="exact"/>
              <w:rPr/>
            </w:pPr>
            <w:r>
              <w:rPr>
                <w:position w:val="1"/>
              </w:rPr>
              <w:t>2</w:t>
            </w:r>
          </w:p>
        </w:tc>
        <w:tc>
          <w:tcPr>
            <w:tcW w:w="1390" w:type="dxa"/>
            <w:vAlign w:val="top"/>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335" w:right="155" w:hanging="181"/>
              <w:spacing w:before="58" w:line="278" w:lineRule="auto"/>
              <w:rPr/>
            </w:pPr>
            <w:r>
              <w:rPr>
                <w:spacing w:val="-1"/>
              </w:rPr>
              <w:t>调整乡镇站所</w:t>
            </w:r>
            <w:r>
              <w:rPr>
                <w:spacing w:val="-2"/>
              </w:rPr>
              <w:t>管理体制</w:t>
            </w:r>
          </w:p>
        </w:tc>
        <w:tc>
          <w:tcPr>
            <w:tcW w:w="5046" w:type="dxa"/>
            <w:vAlign w:val="top"/>
          </w:tcPr>
          <w:p>
            <w:pPr>
              <w:spacing w:line="291" w:lineRule="auto"/>
              <w:rPr>
                <w:rFonts w:ascii="Arial"/>
                <w:sz w:val="21"/>
              </w:rPr>
            </w:pPr>
            <w:r/>
          </w:p>
          <w:p>
            <w:pPr>
              <w:spacing w:line="292" w:lineRule="auto"/>
              <w:rPr>
                <w:rFonts w:ascii="Arial"/>
                <w:sz w:val="21"/>
              </w:rPr>
            </w:pPr>
            <w:r/>
          </w:p>
          <w:p>
            <w:pPr>
              <w:pStyle w:val="TableText"/>
              <w:ind w:left="112" w:right="125" w:firstLine="11"/>
              <w:spacing w:before="58" w:line="231" w:lineRule="auto"/>
              <w:rPr/>
            </w:pPr>
            <w:r>
              <w:rPr>
                <w:spacing w:val="-3"/>
              </w:rPr>
              <w:t>1、2</w:t>
            </w:r>
            <w:r>
              <w:rPr>
                <w:spacing w:val="-38"/>
              </w:rPr>
              <w:t xml:space="preserve"> </w:t>
            </w:r>
            <w:r>
              <w:rPr>
                <w:spacing w:val="-3"/>
              </w:rPr>
              <w:t>月</w:t>
            </w:r>
            <w:r>
              <w:rPr>
                <w:spacing w:val="-25"/>
              </w:rPr>
              <w:t xml:space="preserve"> </w:t>
            </w:r>
            <w:r>
              <w:rPr>
                <w:spacing w:val="-3"/>
              </w:rPr>
              <w:t>10 日前，研究乡镇站所人员转隶</w:t>
            </w:r>
            <w:r>
              <w:rPr>
                <w:spacing w:val="-4"/>
              </w:rPr>
              <w:t>事项，划转涉改单位</w:t>
            </w:r>
            <w:r>
              <w:rPr>
                <w:spacing w:val="-1"/>
              </w:rPr>
              <w:t>编制和人员人事工资关系。</w:t>
            </w:r>
          </w:p>
          <w:p>
            <w:pPr>
              <w:pStyle w:val="TableText"/>
              <w:ind w:left="108"/>
              <w:spacing w:before="29" w:line="240" w:lineRule="exact"/>
              <w:rPr/>
            </w:pPr>
            <w:r>
              <w:rPr>
                <w:spacing w:val="-1"/>
                <w:position w:val="1"/>
              </w:rPr>
              <w:t>2、2</w:t>
            </w:r>
            <w:r>
              <w:rPr>
                <w:spacing w:val="-29"/>
                <w:position w:val="1"/>
              </w:rPr>
              <w:t xml:space="preserve"> </w:t>
            </w:r>
            <w:r>
              <w:rPr>
                <w:spacing w:val="-1"/>
                <w:position w:val="1"/>
              </w:rPr>
              <w:t>月28 日前，各乡镇完成“五办四中心”挂牌。</w:t>
            </w:r>
          </w:p>
          <w:p>
            <w:pPr>
              <w:pStyle w:val="TableText"/>
              <w:ind w:left="108" w:right="105" w:firstLine="2"/>
              <w:spacing w:before="2" w:line="235" w:lineRule="auto"/>
              <w:rPr/>
            </w:pPr>
            <w:r>
              <w:rPr>
                <w:spacing w:val="-3"/>
              </w:rPr>
              <w:t>3、3</w:t>
            </w:r>
            <w:r>
              <w:rPr>
                <w:spacing w:val="-35"/>
              </w:rPr>
              <w:t xml:space="preserve"> </w:t>
            </w:r>
            <w:r>
              <w:rPr>
                <w:spacing w:val="-3"/>
              </w:rPr>
              <w:t>月</w:t>
            </w:r>
            <w:r>
              <w:rPr>
                <w:spacing w:val="-25"/>
              </w:rPr>
              <w:t xml:space="preserve"> </w:t>
            </w:r>
            <w:r>
              <w:rPr>
                <w:spacing w:val="-3"/>
              </w:rPr>
              <w:t>10 日前，理顺乡镇站所管理体制，整合下放到乡镇的</w:t>
            </w:r>
            <w:r>
              <w:rPr>
                <w:spacing w:val="-1"/>
              </w:rPr>
              <w:t>机构和人员，实行以乡镇管理为主、上级业</w:t>
            </w:r>
            <w:r>
              <w:rPr>
                <w:spacing w:val="-2"/>
              </w:rPr>
              <w:t>务部门进行业务指</w:t>
            </w:r>
            <w:r>
              <w:rPr>
                <w:spacing w:val="-1"/>
              </w:rPr>
              <w:t>导的管理体制。</w:t>
            </w:r>
          </w:p>
          <w:p>
            <w:pPr>
              <w:pStyle w:val="TableText"/>
              <w:ind w:left="106" w:right="125"/>
              <w:spacing w:before="29" w:line="232" w:lineRule="auto"/>
              <w:rPr/>
            </w:pPr>
            <w:r>
              <w:rPr>
                <w:spacing w:val="-1"/>
              </w:rPr>
              <w:t>4、3</w:t>
            </w:r>
            <w:r>
              <w:rPr>
                <w:spacing w:val="-23"/>
              </w:rPr>
              <w:t xml:space="preserve"> </w:t>
            </w:r>
            <w:r>
              <w:rPr>
                <w:spacing w:val="-1"/>
              </w:rPr>
              <w:t>月20 日前，制定乡镇畜牧兽医站职能配置、机构设置和</w:t>
            </w:r>
            <w:r>
              <w:rPr/>
              <w:t>人员编制规定方案，继续实行农业农村部门派驻管</w:t>
            </w:r>
            <w:r>
              <w:rPr>
                <w:spacing w:val="-1"/>
              </w:rPr>
              <w:t>理体制。</w:t>
            </w:r>
          </w:p>
        </w:tc>
        <w:tc>
          <w:tcPr>
            <w:tcW w:w="2712" w:type="dxa"/>
            <w:vAlign w:val="top"/>
          </w:tcPr>
          <w:p>
            <w:pPr>
              <w:spacing w:line="345" w:lineRule="auto"/>
              <w:rPr>
                <w:rFonts w:ascii="Arial"/>
                <w:sz w:val="21"/>
              </w:rPr>
            </w:pPr>
            <w:r/>
          </w:p>
          <w:p>
            <w:pPr>
              <w:pStyle w:val="TableText"/>
              <w:ind w:left="108" w:right="103" w:firstLine="16"/>
              <w:spacing w:before="58" w:line="239" w:lineRule="auto"/>
              <w:rPr/>
            </w:pPr>
            <w:r>
              <w:rPr>
                <w:spacing w:val="3"/>
              </w:rPr>
              <w:t>1、自然资源、水务、农业农村</w:t>
            </w:r>
            <w:r>
              <w:rPr>
                <w:spacing w:val="11"/>
              </w:rPr>
              <w:t>等部门派驻乡镇站所的编制及</w:t>
            </w:r>
            <w:r>
              <w:rPr>
                <w:spacing w:val="-2"/>
              </w:rPr>
              <w:t>人、财、物移交到位，实现权责</w:t>
            </w:r>
            <w:r>
              <w:rPr>
                <w:spacing w:val="-1"/>
              </w:rPr>
              <w:t>一致，压实属地责任。</w:t>
            </w:r>
          </w:p>
          <w:p>
            <w:pPr>
              <w:pStyle w:val="TableText"/>
              <w:ind w:left="107" w:right="105" w:firstLine="2"/>
              <w:spacing w:before="26" w:line="232" w:lineRule="auto"/>
              <w:rPr/>
            </w:pPr>
            <w:r>
              <w:rPr>
                <w:spacing w:val="4"/>
              </w:rPr>
              <w:t>2、农业技术推广服务机构实现</w:t>
            </w:r>
            <w:r>
              <w:rPr>
                <w:spacing w:val="-1"/>
              </w:rPr>
              <w:t>综合设置。</w:t>
            </w:r>
          </w:p>
          <w:p>
            <w:pPr>
              <w:pStyle w:val="TableText"/>
              <w:ind w:left="108" w:right="103" w:firstLine="4"/>
              <w:spacing w:before="27" w:line="239" w:lineRule="auto"/>
              <w:rPr/>
            </w:pPr>
            <w:r>
              <w:rPr>
                <w:spacing w:val="1"/>
              </w:rPr>
              <w:t>3、通过调整理顺管理体制</w:t>
            </w:r>
            <w:r>
              <w:rPr>
                <w:spacing w:val="-47"/>
              </w:rPr>
              <w:t xml:space="preserve"> </w:t>
            </w:r>
            <w:r>
              <w:rPr>
                <w:spacing w:val="1"/>
              </w:rPr>
              <w:t>，推</w:t>
            </w:r>
            <w:r>
              <w:rPr>
                <w:spacing w:val="-2"/>
              </w:rPr>
              <w:t>动治理重心下移、资源下沉，全</w:t>
            </w:r>
            <w:r>
              <w:rPr>
                <w:spacing w:val="11"/>
              </w:rPr>
              <w:t>面提升基层治理能力和公共服</w:t>
            </w:r>
            <w:r>
              <w:rPr>
                <w:spacing w:val="-1"/>
              </w:rPr>
              <w:t>务水平。</w:t>
            </w:r>
          </w:p>
        </w:tc>
        <w:tc>
          <w:tcPr>
            <w:tcW w:w="1264" w:type="dxa"/>
            <w:vAlign w:val="top"/>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pStyle w:val="TableText"/>
              <w:ind w:left="366"/>
              <w:spacing w:before="58" w:line="212" w:lineRule="auto"/>
              <w:rPr/>
            </w:pPr>
            <w:r>
              <w:rPr>
                <w:spacing w:val="-3"/>
              </w:rPr>
              <w:t>高耀明</w:t>
            </w:r>
          </w:p>
        </w:tc>
        <w:tc>
          <w:tcPr>
            <w:tcW w:w="1410" w:type="dxa"/>
            <w:vAlign w:val="top"/>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pStyle w:val="TableText"/>
              <w:ind w:left="348"/>
              <w:spacing w:before="58" w:line="208" w:lineRule="auto"/>
              <w:rPr/>
            </w:pPr>
            <w:r>
              <w:rPr>
                <w:spacing w:val="-2"/>
              </w:rPr>
              <w:t>县委编办</w:t>
            </w:r>
          </w:p>
        </w:tc>
        <w:tc>
          <w:tcPr>
            <w:tcW w:w="1326" w:type="dxa"/>
            <w:vAlign w:val="top"/>
          </w:tcPr>
          <w:p>
            <w:pPr>
              <w:spacing w:line="308" w:lineRule="auto"/>
              <w:rPr>
                <w:rFonts w:ascii="Arial"/>
                <w:sz w:val="21"/>
              </w:rPr>
            </w:pPr>
            <w:r/>
          </w:p>
          <w:p>
            <w:pPr>
              <w:spacing w:line="309" w:lineRule="auto"/>
              <w:rPr>
                <w:rFonts w:ascii="Arial"/>
                <w:sz w:val="21"/>
              </w:rPr>
            </w:pPr>
            <w:r/>
          </w:p>
          <w:p>
            <w:pPr>
              <w:pStyle w:val="TableText"/>
              <w:ind w:left="215"/>
              <w:spacing w:before="59" w:line="212" w:lineRule="auto"/>
              <w:rPr/>
            </w:pPr>
            <w:r>
              <w:rPr>
                <w:spacing w:val="-1"/>
              </w:rPr>
              <w:t>县人力资源</w:t>
            </w:r>
          </w:p>
          <w:p>
            <w:pPr>
              <w:pStyle w:val="TableText"/>
              <w:ind w:left="124"/>
              <w:spacing w:before="61" w:line="213" w:lineRule="auto"/>
              <w:rPr/>
            </w:pPr>
            <w:r>
              <w:rPr>
                <w:spacing w:val="-1"/>
              </w:rPr>
              <w:t>社会保障局自</w:t>
            </w:r>
          </w:p>
          <w:p>
            <w:pPr>
              <w:pStyle w:val="TableText"/>
              <w:ind w:left="306"/>
              <w:spacing w:before="61" w:line="214" w:lineRule="auto"/>
              <w:rPr/>
            </w:pPr>
            <w:r>
              <w:rPr>
                <w:spacing w:val="-2"/>
              </w:rPr>
              <w:t>然资源局</w:t>
            </w:r>
          </w:p>
          <w:p>
            <w:pPr>
              <w:pStyle w:val="TableText"/>
              <w:ind w:left="393"/>
              <w:spacing w:before="61" w:line="210" w:lineRule="auto"/>
              <w:rPr/>
            </w:pPr>
            <w:r>
              <w:rPr>
                <w:spacing w:val="-1"/>
              </w:rPr>
              <w:t>水务局</w:t>
            </w:r>
          </w:p>
          <w:p>
            <w:pPr>
              <w:pStyle w:val="TableText"/>
              <w:ind w:left="122"/>
              <w:spacing w:before="62" w:line="212" w:lineRule="auto"/>
              <w:rPr/>
            </w:pPr>
            <w:r>
              <w:rPr>
                <w:spacing w:val="-1"/>
              </w:rPr>
              <w:t>农业农村局等</w:t>
            </w:r>
          </w:p>
          <w:p>
            <w:pPr>
              <w:pStyle w:val="TableText"/>
              <w:ind w:left="393" w:right="299" w:hanging="88"/>
              <w:spacing w:before="64" w:line="278" w:lineRule="auto"/>
              <w:rPr/>
            </w:pPr>
            <w:r>
              <w:rPr>
                <w:spacing w:val="-2"/>
              </w:rPr>
              <w:t>相关部门</w:t>
            </w:r>
            <w:r>
              <w:rPr>
                <w:spacing w:val="-2"/>
              </w:rPr>
              <w:t>各乡镇</w:t>
            </w:r>
          </w:p>
        </w:tc>
      </w:tr>
    </w:tbl>
    <w:p>
      <w:pPr>
        <w:rPr>
          <w:rFonts w:ascii="Arial"/>
          <w:sz w:val="21"/>
        </w:rPr>
      </w:pPr>
      <w:r/>
    </w:p>
    <w:p>
      <w:pPr>
        <w:sectPr>
          <w:headerReference w:type="default" r:id="rId359"/>
          <w:footerReference w:type="default" r:id="rId360"/>
          <w:pgSz w:w="16839" w:h="11906"/>
          <w:pgMar w:top="1767" w:right="1468" w:bottom="1570" w:left="1468" w:header="1428" w:footer="1172" w:gutter="0"/>
        </w:sectPr>
        <w:rPr>
          <w:rFonts w:ascii="Arial" w:hAnsi="Arial" w:eastAsia="Arial" w:cs="Arial"/>
          <w:sz w:val="21"/>
          <w:szCs w:val="21"/>
        </w:rPr>
      </w:pPr>
    </w:p>
    <w:p>
      <w:pPr>
        <w:spacing w:before="226"/>
        <w:rPr/>
      </w:pPr>
      <w:r>
        <w:drawing>
          <wp:anchor distT="0" distB="0" distL="0" distR="0" simplePos="0" relativeHeight="251914240"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724" name="IM 724"/>
            <wp:cNvGraphicFramePr/>
            <a:graphic>
              <a:graphicData uri="http://schemas.openxmlformats.org/drawingml/2006/picture">
                <pic:pic>
                  <pic:nvPicPr>
                    <pic:cNvPr id="724" name="IM 724"/>
                    <pic:cNvPicPr/>
                  </pic:nvPicPr>
                  <pic:blipFill>
                    <a:blip r:embed="rId364"/>
                    <a:stretch>
                      <a:fillRect/>
                    </a:stretch>
                  </pic:blipFill>
                  <pic:spPr>
                    <a:xfrm rot="0">
                      <a:off x="0" y="0"/>
                      <a:ext cx="8712200" cy="7620"/>
                    </a:xfrm>
                    <a:prstGeom prst="rect">
                      <a:avLst/>
                    </a:prstGeom>
                  </pic:spPr>
                </pic:pic>
              </a:graphicData>
            </a:graphic>
          </wp:anchor>
        </w:drawing>
      </w:r>
      <w:r/>
    </w:p>
    <w:tbl>
      <w:tblPr>
        <w:tblStyle w:val="TableNormal"/>
        <w:tblW w:w="1389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88"/>
        <w:gridCol w:w="1384"/>
        <w:gridCol w:w="5654"/>
        <w:gridCol w:w="2827"/>
        <w:gridCol w:w="988"/>
        <w:gridCol w:w="1027"/>
        <w:gridCol w:w="1227"/>
      </w:tblGrid>
      <w:tr>
        <w:trPr>
          <w:trHeight w:val="520" w:hRule="atLeast"/>
        </w:trPr>
        <w:tc>
          <w:tcPr>
            <w:tcW w:w="788" w:type="dxa"/>
            <w:vAlign w:val="top"/>
          </w:tcPr>
          <w:p>
            <w:pPr>
              <w:pStyle w:val="TableText"/>
              <w:ind w:left="215"/>
              <w:spacing w:before="160" w:line="214" w:lineRule="auto"/>
              <w:rPr/>
            </w:pPr>
            <w:r>
              <w:rPr>
                <w:b/>
                <w:bCs/>
                <w:spacing w:val="-4"/>
              </w:rPr>
              <w:t>序号</w:t>
            </w:r>
          </w:p>
        </w:tc>
        <w:tc>
          <w:tcPr>
            <w:tcW w:w="1384" w:type="dxa"/>
            <w:vAlign w:val="top"/>
          </w:tcPr>
          <w:p>
            <w:pPr>
              <w:pStyle w:val="TableText"/>
              <w:ind w:left="339"/>
              <w:spacing w:before="160" w:line="213" w:lineRule="auto"/>
              <w:rPr/>
            </w:pPr>
            <w:r>
              <w:rPr>
                <w:b/>
                <w:bCs/>
                <w:spacing w:val="-4"/>
              </w:rPr>
              <w:t>主要任务</w:t>
            </w:r>
          </w:p>
        </w:tc>
        <w:tc>
          <w:tcPr>
            <w:tcW w:w="5654" w:type="dxa"/>
            <w:vAlign w:val="top"/>
          </w:tcPr>
          <w:p>
            <w:pPr>
              <w:pStyle w:val="TableText"/>
              <w:ind w:left="2470"/>
              <w:spacing w:before="162" w:line="211" w:lineRule="auto"/>
              <w:rPr/>
            </w:pPr>
            <w:r>
              <w:rPr>
                <w:b/>
                <w:bCs/>
                <w:spacing w:val="-3"/>
              </w:rPr>
              <w:t>推进措施</w:t>
            </w:r>
          </w:p>
        </w:tc>
        <w:tc>
          <w:tcPr>
            <w:tcW w:w="2827" w:type="dxa"/>
            <w:vAlign w:val="top"/>
          </w:tcPr>
          <w:p>
            <w:pPr>
              <w:pStyle w:val="TableText"/>
              <w:ind w:left="1059"/>
              <w:spacing w:before="161" w:line="211" w:lineRule="auto"/>
              <w:rPr/>
            </w:pPr>
            <w:r>
              <w:rPr>
                <w:b/>
                <w:bCs/>
                <w:spacing w:val="-4"/>
              </w:rPr>
              <w:t>预期目标</w:t>
            </w:r>
          </w:p>
        </w:tc>
        <w:tc>
          <w:tcPr>
            <w:tcW w:w="988" w:type="dxa"/>
            <w:vAlign w:val="top"/>
          </w:tcPr>
          <w:p>
            <w:pPr>
              <w:pStyle w:val="TableText"/>
              <w:ind w:left="139"/>
              <w:spacing w:before="160" w:line="213" w:lineRule="auto"/>
              <w:rPr/>
            </w:pPr>
            <w:r>
              <w:rPr>
                <w:b/>
                <w:bCs/>
                <w:spacing w:val="-3"/>
              </w:rPr>
              <w:t>责任领导</w:t>
            </w:r>
          </w:p>
        </w:tc>
        <w:tc>
          <w:tcPr>
            <w:tcW w:w="1027" w:type="dxa"/>
            <w:vAlign w:val="top"/>
          </w:tcPr>
          <w:p>
            <w:pPr>
              <w:pStyle w:val="TableText"/>
              <w:ind w:left="158"/>
              <w:spacing w:before="160" w:line="212" w:lineRule="auto"/>
              <w:rPr/>
            </w:pPr>
            <w:r>
              <w:rPr>
                <w:b/>
                <w:bCs/>
                <w:spacing w:val="-3"/>
              </w:rPr>
              <w:t>牵头单位</w:t>
            </w:r>
          </w:p>
        </w:tc>
        <w:tc>
          <w:tcPr>
            <w:tcW w:w="1227" w:type="dxa"/>
            <w:vAlign w:val="top"/>
          </w:tcPr>
          <w:p>
            <w:pPr>
              <w:pStyle w:val="TableText"/>
              <w:ind w:left="258"/>
              <w:spacing w:before="160" w:line="214" w:lineRule="auto"/>
              <w:rPr/>
            </w:pPr>
            <w:r>
              <w:rPr>
                <w:b/>
                <w:bCs/>
                <w:spacing w:val="-3"/>
              </w:rPr>
              <w:t>实施单位</w:t>
            </w:r>
          </w:p>
        </w:tc>
      </w:tr>
      <w:tr>
        <w:trPr>
          <w:trHeight w:val="3900" w:hRule="atLeast"/>
        </w:trPr>
        <w:tc>
          <w:tcPr>
            <w:tcW w:w="788"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353"/>
              <w:spacing w:before="59" w:line="260" w:lineRule="exact"/>
              <w:rPr/>
            </w:pPr>
            <w:r>
              <w:rPr>
                <w:position w:val="2"/>
              </w:rPr>
              <w:t>3</w:t>
            </w:r>
          </w:p>
        </w:tc>
        <w:tc>
          <w:tcPr>
            <w:tcW w:w="1384"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52"/>
              <w:spacing w:before="58" w:line="213" w:lineRule="auto"/>
              <w:rPr/>
            </w:pPr>
            <w:r>
              <w:rPr>
                <w:spacing w:val="-1"/>
              </w:rPr>
              <w:t>加强综合便民</w:t>
            </w:r>
          </w:p>
          <w:p>
            <w:pPr>
              <w:pStyle w:val="TableText"/>
              <w:ind w:left="243"/>
              <w:spacing w:before="60" w:line="208" w:lineRule="auto"/>
              <w:rPr/>
            </w:pPr>
            <w:r>
              <w:rPr>
                <w:spacing w:val="-2"/>
              </w:rPr>
              <w:t>服务机构和</w:t>
            </w:r>
          </w:p>
          <w:p>
            <w:pPr>
              <w:pStyle w:val="TableText"/>
              <w:ind w:left="331"/>
              <w:spacing w:before="62" w:line="216" w:lineRule="auto"/>
              <w:rPr/>
            </w:pPr>
            <w:r>
              <w:rPr>
                <w:spacing w:val="-1"/>
              </w:rPr>
              <w:t>平台建设</w:t>
            </w:r>
          </w:p>
        </w:tc>
        <w:tc>
          <w:tcPr>
            <w:tcW w:w="5654" w:type="dxa"/>
            <w:vAlign w:val="top"/>
          </w:tcPr>
          <w:p>
            <w:pPr>
              <w:pStyle w:val="TableText"/>
              <w:ind w:left="107" w:right="104" w:firstLine="1"/>
              <w:spacing w:before="46" w:line="245" w:lineRule="auto"/>
              <w:rPr/>
            </w:pPr>
            <w:r>
              <w:rPr>
                <w:spacing w:val="-3"/>
              </w:rPr>
              <w:t>2</w:t>
            </w:r>
            <w:r>
              <w:rPr>
                <w:spacing w:val="-25"/>
              </w:rPr>
              <w:t xml:space="preserve"> </w:t>
            </w:r>
            <w:r>
              <w:rPr>
                <w:spacing w:val="-3"/>
              </w:rPr>
              <w:t>月</w:t>
            </w:r>
            <w:r>
              <w:rPr>
                <w:spacing w:val="-25"/>
              </w:rPr>
              <w:t xml:space="preserve"> </w:t>
            </w:r>
            <w:r>
              <w:rPr>
                <w:spacing w:val="-3"/>
              </w:rPr>
              <w:t>10 日前，完成对各乡镇民生服务中心、村（社区）便民服务中心</w:t>
            </w:r>
            <w:r>
              <w:rPr/>
              <w:t>建设及运行情况调研工作，摸清各乡镇政务服务人员及设</w:t>
            </w:r>
            <w:r>
              <w:rPr>
                <w:spacing w:val="-1"/>
              </w:rPr>
              <w:t>施配备、事</w:t>
            </w:r>
            <w:r>
              <w:rPr>
                <w:spacing w:val="-1"/>
              </w:rPr>
              <w:t>项进驻、网上办件情况。</w:t>
            </w:r>
          </w:p>
          <w:p>
            <w:pPr>
              <w:pStyle w:val="TableText"/>
              <w:ind w:left="122" w:right="104" w:hanging="14"/>
              <w:spacing w:before="4" w:line="237" w:lineRule="auto"/>
              <w:rPr/>
            </w:pPr>
            <w:r>
              <w:rPr>
                <w:spacing w:val="-1"/>
              </w:rPr>
              <w:t>2</w:t>
            </w:r>
            <w:r>
              <w:rPr>
                <w:spacing w:val="-24"/>
              </w:rPr>
              <w:t xml:space="preserve"> </w:t>
            </w:r>
            <w:r>
              <w:rPr>
                <w:spacing w:val="-1"/>
              </w:rPr>
              <w:t>月28 日前，完成下沉乡镇民生服务中心、村（社区）便民服务中心</w:t>
            </w:r>
            <w:r>
              <w:rPr>
                <w:spacing w:val="-2"/>
              </w:rPr>
              <w:t>网上办理便民服务事项清单梳理工作。</w:t>
            </w:r>
          </w:p>
          <w:p>
            <w:pPr>
              <w:pStyle w:val="TableText"/>
              <w:ind w:left="107" w:right="35" w:firstLine="3"/>
              <w:spacing w:before="17" w:line="246" w:lineRule="auto"/>
              <w:rPr/>
            </w:pPr>
            <w:r>
              <w:rPr>
                <w:spacing w:val="-3"/>
              </w:rPr>
              <w:t>3</w:t>
            </w:r>
            <w:r>
              <w:rPr>
                <w:spacing w:val="-28"/>
              </w:rPr>
              <w:t xml:space="preserve"> </w:t>
            </w:r>
            <w:r>
              <w:rPr>
                <w:spacing w:val="-3"/>
              </w:rPr>
              <w:t>月</w:t>
            </w:r>
            <w:r>
              <w:rPr>
                <w:spacing w:val="-24"/>
              </w:rPr>
              <w:t xml:space="preserve"> </w:t>
            </w:r>
            <w:r>
              <w:rPr>
                <w:spacing w:val="-3"/>
              </w:rPr>
              <w:t>10 日前，整合基层行政审批和公共服务职责，各乡镇负责推进民</w:t>
            </w:r>
            <w:r>
              <w:rPr>
                <w:spacing w:val="1"/>
              </w:rPr>
              <w:t>政、就业、卫健、社保、医保、残联、不动产登记、乡村建设等行政</w:t>
            </w:r>
            <w:r>
              <w:rPr>
                <w:spacing w:val="-3"/>
              </w:rPr>
              <w:t>审批、公共服务事项进驻乡镇民生服务中心集中办理；逐步推进公安、</w:t>
            </w:r>
            <w:r>
              <w:rPr>
                <w:spacing w:val="1"/>
              </w:rPr>
              <w:t>市场监管、税务、退役军人等相关服务事项进驻乡镇民生服务中心办</w:t>
            </w:r>
            <w:r>
              <w:rPr>
                <w:spacing w:val="-3"/>
              </w:rPr>
              <w:t>理。</w:t>
            </w:r>
          </w:p>
          <w:p>
            <w:pPr>
              <w:pStyle w:val="TableText"/>
              <w:ind w:left="107" w:right="7" w:firstLine="3"/>
              <w:spacing w:before="3" w:line="245" w:lineRule="auto"/>
              <w:rPr/>
            </w:pPr>
            <w:r>
              <w:rPr>
                <w:spacing w:val="-1"/>
              </w:rPr>
              <w:t>3</w:t>
            </w:r>
            <w:r>
              <w:rPr>
                <w:spacing w:val="-26"/>
              </w:rPr>
              <w:t xml:space="preserve"> </w:t>
            </w:r>
            <w:r>
              <w:rPr>
                <w:spacing w:val="-1"/>
              </w:rPr>
              <w:t>月20 日前，加强乡镇民生服务中心规范化、标准化建设，整合设置</w:t>
            </w:r>
            <w:r>
              <w:rPr>
                <w:spacing w:val="-5"/>
              </w:rPr>
              <w:t>“ 综 合</w:t>
            </w:r>
            <w:r>
              <w:rPr>
                <w:spacing w:val="25"/>
              </w:rPr>
              <w:t xml:space="preserve"> </w:t>
            </w:r>
            <w:r>
              <w:rPr>
                <w:spacing w:val="-5"/>
              </w:rPr>
              <w:t>窗</w:t>
            </w:r>
            <w:r>
              <w:rPr>
                <w:spacing w:val="39"/>
              </w:rPr>
              <w:t xml:space="preserve"> </w:t>
            </w:r>
            <w:r>
              <w:rPr>
                <w:spacing w:val="-5"/>
              </w:rPr>
              <w:t>口</w:t>
            </w:r>
            <w:r>
              <w:rPr>
                <w:spacing w:val="23"/>
              </w:rPr>
              <w:t xml:space="preserve"> </w:t>
            </w:r>
            <w:r>
              <w:rPr>
                <w:spacing w:val="-5"/>
              </w:rPr>
              <w:t>”</w:t>
            </w:r>
            <w:r>
              <w:rPr>
                <w:spacing w:val="23"/>
              </w:rPr>
              <w:t xml:space="preserve"> </w:t>
            </w:r>
            <w:r>
              <w:rPr>
                <w:spacing w:val="-5"/>
              </w:rPr>
              <w:t>， 在</w:t>
            </w:r>
            <w:r>
              <w:rPr>
                <w:spacing w:val="12"/>
              </w:rPr>
              <w:t xml:space="preserve"> </w:t>
            </w:r>
            <w:r>
              <w:rPr>
                <w:spacing w:val="-5"/>
              </w:rPr>
              <w:t>全</w:t>
            </w:r>
            <w:r>
              <w:rPr>
                <w:spacing w:val="11"/>
              </w:rPr>
              <w:t xml:space="preserve"> </w:t>
            </w:r>
            <w:r>
              <w:rPr>
                <w:spacing w:val="-5"/>
              </w:rPr>
              <w:t>县</w:t>
            </w:r>
            <w:r>
              <w:rPr>
                <w:spacing w:val="12"/>
              </w:rPr>
              <w:t xml:space="preserve"> </w:t>
            </w:r>
            <w:r>
              <w:rPr>
                <w:spacing w:val="-5"/>
              </w:rPr>
              <w:t>推</w:t>
            </w:r>
            <w:r>
              <w:rPr>
                <w:spacing w:val="11"/>
              </w:rPr>
              <w:t xml:space="preserve"> </w:t>
            </w:r>
            <w:r>
              <w:rPr>
                <w:spacing w:val="-5"/>
              </w:rPr>
              <w:t>行</w:t>
            </w:r>
            <w:r>
              <w:rPr>
                <w:spacing w:val="10"/>
              </w:rPr>
              <w:t xml:space="preserve"> </w:t>
            </w:r>
            <w:r>
              <w:rPr>
                <w:spacing w:val="-5"/>
              </w:rPr>
              <w:t>一</w:t>
            </w:r>
            <w:r>
              <w:rPr>
                <w:spacing w:val="15"/>
              </w:rPr>
              <w:t xml:space="preserve"> </w:t>
            </w:r>
            <w:r>
              <w:rPr>
                <w:spacing w:val="-5"/>
              </w:rPr>
              <w:t>窗</w:t>
            </w:r>
            <w:r>
              <w:rPr>
                <w:spacing w:val="10"/>
              </w:rPr>
              <w:t xml:space="preserve"> </w:t>
            </w:r>
            <w:r>
              <w:rPr>
                <w:spacing w:val="-5"/>
              </w:rPr>
              <w:t>无</w:t>
            </w:r>
            <w:r>
              <w:rPr>
                <w:spacing w:val="10"/>
              </w:rPr>
              <w:t xml:space="preserve"> </w:t>
            </w:r>
            <w:r>
              <w:rPr>
                <w:spacing w:val="-5"/>
              </w:rPr>
              <w:t>差</w:t>
            </w:r>
            <w:r>
              <w:rPr>
                <w:spacing w:val="10"/>
              </w:rPr>
              <w:t xml:space="preserve"> </w:t>
            </w:r>
            <w:r>
              <w:rPr>
                <w:spacing w:val="-5"/>
              </w:rPr>
              <w:t>别</w:t>
            </w:r>
            <w:r>
              <w:rPr>
                <w:spacing w:val="10"/>
              </w:rPr>
              <w:t xml:space="preserve"> </w:t>
            </w:r>
            <w:r>
              <w:rPr>
                <w:spacing w:val="-5"/>
              </w:rPr>
              <w:t>受</w:t>
            </w:r>
            <w:r>
              <w:rPr>
                <w:spacing w:val="11"/>
              </w:rPr>
              <w:t xml:space="preserve"> </w:t>
            </w:r>
            <w:r>
              <w:rPr>
                <w:spacing w:val="-5"/>
              </w:rPr>
              <w:t>理</w:t>
            </w:r>
            <w:r>
              <w:rPr>
                <w:spacing w:val="29"/>
              </w:rPr>
              <w:t xml:space="preserve"> </w:t>
            </w:r>
            <w:r>
              <w:rPr>
                <w:spacing w:val="-5"/>
              </w:rPr>
              <w:t>。</w:t>
            </w:r>
            <w:r>
              <w:rPr/>
              <w:t xml:space="preserve"> </w:t>
            </w:r>
            <w:r>
              <w:rPr>
                <w:spacing w:val="-1"/>
              </w:rPr>
              <w:t>3</w:t>
            </w:r>
            <w:r>
              <w:rPr>
                <w:spacing w:val="-23"/>
              </w:rPr>
              <w:t xml:space="preserve"> </w:t>
            </w:r>
            <w:r>
              <w:rPr>
                <w:spacing w:val="-1"/>
              </w:rPr>
              <w:t>月31 日前，依托自治区建设宁夏政务服务综合平台工程，大幅提升</w:t>
            </w:r>
            <w:r>
              <w:rPr>
                <w:spacing w:val="1"/>
              </w:rPr>
              <w:t>“宁夏政务服务网”的功能和应用水平，提高基层网上“不见面”办</w:t>
            </w:r>
            <w:r>
              <w:rPr>
                <w:spacing w:val="4"/>
              </w:rPr>
              <w:t>件量，稳步推进“我的宁夏”政务</w:t>
            </w:r>
            <w:r>
              <w:rPr>
                <w:spacing w:val="-30"/>
              </w:rPr>
              <w:t xml:space="preserve"> </w:t>
            </w:r>
            <w:r>
              <w:rPr/>
              <w:t>APP</w:t>
            </w:r>
            <w:r>
              <w:rPr>
                <w:spacing w:val="-40"/>
              </w:rPr>
              <w:t xml:space="preserve"> </w:t>
            </w:r>
            <w:r>
              <w:rPr>
                <w:spacing w:val="4"/>
              </w:rPr>
              <w:t>扩能提效，实现“掌上代办”</w:t>
            </w:r>
            <w:r>
              <w:rPr>
                <w:spacing w:val="-2"/>
              </w:rPr>
              <w:t>服务。</w:t>
            </w:r>
          </w:p>
        </w:tc>
        <w:tc>
          <w:tcPr>
            <w:tcW w:w="2827"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12" w:right="40" w:firstLine="14"/>
              <w:spacing w:before="58" w:line="254" w:lineRule="auto"/>
              <w:rPr/>
            </w:pPr>
            <w:r>
              <w:rPr>
                <w:spacing w:val="-14"/>
              </w:rPr>
              <w:t>1.通过整合设置乡镇“综合窗口”，</w:t>
            </w:r>
            <w:r>
              <w:rPr>
                <w:spacing w:val="-7"/>
              </w:rPr>
              <w:t>推行一窗受理、集成服务，基本实</w:t>
            </w:r>
            <w:r>
              <w:rPr>
                <w:spacing w:val="6"/>
              </w:rPr>
              <w:t>现各乡镇民生服务中心面向企业</w:t>
            </w:r>
            <w:r>
              <w:rPr>
                <w:spacing w:val="-3"/>
              </w:rPr>
              <w:t>和群众办理的事项“应进必进”。</w:t>
            </w:r>
          </w:p>
          <w:p>
            <w:pPr>
              <w:pStyle w:val="TableText"/>
              <w:ind w:left="109" w:right="101" w:firstLine="1"/>
              <w:spacing w:before="51" w:line="256" w:lineRule="auto"/>
              <w:rPr/>
            </w:pPr>
            <w:r>
              <w:rPr>
                <w:spacing w:val="5"/>
              </w:rPr>
              <w:t>2.完善宁夏政务服务网网上办事</w:t>
            </w:r>
            <w:r>
              <w:rPr>
                <w:spacing w:val="-7"/>
              </w:rPr>
              <w:t>大厅，提升宁夏政务服务网“一张</w:t>
            </w:r>
            <w:r>
              <w:rPr>
                <w:spacing w:val="-6"/>
              </w:rPr>
              <w:t>网”功能，实现政务服务事项“一</w:t>
            </w:r>
            <w:r>
              <w:rPr>
                <w:spacing w:val="-7"/>
              </w:rPr>
              <w:t>网通办”，让“数据多跑路、让群</w:t>
            </w:r>
            <w:r>
              <w:rPr>
                <w:spacing w:val="3"/>
              </w:rPr>
              <w:t>众少跑腿”。</w:t>
            </w:r>
          </w:p>
          <w:p>
            <w:pPr>
              <w:pStyle w:val="TableText"/>
              <w:ind w:left="112" w:right="104" w:firstLine="1"/>
              <w:spacing w:before="52" w:line="248" w:lineRule="auto"/>
              <w:rPr/>
            </w:pPr>
            <w:r>
              <w:rPr>
                <w:spacing w:val="-7"/>
              </w:rPr>
              <w:t>3.提升村级代办服务能力，努力实</w:t>
            </w:r>
            <w:r>
              <w:rPr>
                <w:spacing w:val="-7"/>
              </w:rPr>
              <w:t>现简单事项不出村、复杂事项可代</w:t>
            </w:r>
            <w:r>
              <w:rPr>
                <w:spacing w:val="-4"/>
              </w:rPr>
              <w:t>办。</w:t>
            </w:r>
          </w:p>
        </w:tc>
        <w:tc>
          <w:tcPr>
            <w:tcW w:w="988"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227"/>
              <w:spacing w:before="59" w:line="209" w:lineRule="auto"/>
              <w:rPr/>
            </w:pPr>
            <w:r>
              <w:rPr>
                <w:spacing w:val="-1"/>
              </w:rPr>
              <w:t>李晓东</w:t>
            </w:r>
          </w:p>
        </w:tc>
        <w:tc>
          <w:tcPr>
            <w:tcW w:w="1027"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58"/>
              <w:spacing w:before="58" w:line="210" w:lineRule="auto"/>
              <w:rPr/>
            </w:pPr>
            <w:r>
              <w:rPr>
                <w:spacing w:val="-2"/>
              </w:rPr>
              <w:t>县审批局</w:t>
            </w:r>
          </w:p>
        </w:tc>
        <w:tc>
          <w:tcPr>
            <w:tcW w:w="1227" w:type="dxa"/>
            <w:vAlign w:val="top"/>
            <w:vMerge w:val="restart"/>
            <w:tcBorders>
              <w:bottom w:val="nil"/>
            </w:tcBorders>
          </w:tcPr>
          <w:p>
            <w:pPr>
              <w:spacing w:line="296" w:lineRule="auto"/>
              <w:rPr>
                <w:rFonts w:ascii="Arial"/>
                <w:sz w:val="21"/>
              </w:rPr>
            </w:pPr>
            <w:r/>
          </w:p>
          <w:p>
            <w:pPr>
              <w:spacing w:line="296" w:lineRule="auto"/>
              <w:rPr>
                <w:rFonts w:ascii="Arial"/>
                <w:sz w:val="21"/>
              </w:rPr>
            </w:pPr>
            <w:r/>
          </w:p>
          <w:p>
            <w:pPr>
              <w:spacing w:line="296" w:lineRule="auto"/>
              <w:rPr>
                <w:rFonts w:ascii="Arial"/>
                <w:sz w:val="21"/>
              </w:rPr>
            </w:pPr>
            <w:r/>
          </w:p>
          <w:p>
            <w:pPr>
              <w:spacing w:line="297" w:lineRule="auto"/>
              <w:rPr>
                <w:rFonts w:ascii="Arial"/>
                <w:sz w:val="21"/>
              </w:rPr>
            </w:pPr>
            <w:r/>
          </w:p>
          <w:p>
            <w:pPr>
              <w:pStyle w:val="TableText"/>
              <w:ind w:left="359" w:right="250" w:hanging="103"/>
              <w:spacing w:before="59" w:line="274" w:lineRule="auto"/>
              <w:rPr/>
            </w:pPr>
            <w:r>
              <w:rPr>
                <w:spacing w:val="-2"/>
              </w:rPr>
              <w:t>县公安局</w:t>
            </w:r>
            <w:r>
              <w:rPr>
                <w:spacing w:val="-7"/>
              </w:rPr>
              <w:t>民政局</w:t>
            </w:r>
          </w:p>
          <w:p>
            <w:pPr>
              <w:pStyle w:val="TableText"/>
              <w:ind w:left="254"/>
              <w:spacing w:line="212" w:lineRule="auto"/>
              <w:rPr/>
            </w:pPr>
            <w:r>
              <w:rPr>
                <w:spacing w:val="-1"/>
              </w:rPr>
              <w:t>人力资源</w:t>
            </w:r>
          </w:p>
          <w:p>
            <w:pPr>
              <w:pStyle w:val="TableText"/>
              <w:ind w:left="163"/>
              <w:spacing w:before="58" w:line="213" w:lineRule="auto"/>
              <w:rPr/>
            </w:pPr>
            <w:r>
              <w:rPr>
                <w:spacing w:val="-1"/>
              </w:rPr>
              <w:t>社会保障局</w:t>
            </w:r>
          </w:p>
          <w:p>
            <w:pPr>
              <w:pStyle w:val="TableText"/>
              <w:ind w:left="353"/>
              <w:spacing w:before="67" w:line="204" w:lineRule="auto"/>
              <w:rPr/>
            </w:pPr>
            <w:r>
              <w:rPr>
                <w:spacing w:val="-5"/>
              </w:rPr>
              <w:t>司法局</w:t>
            </w:r>
          </w:p>
          <w:p>
            <w:pPr>
              <w:pStyle w:val="TableText"/>
              <w:ind w:left="342" w:right="161" w:hanging="144"/>
              <w:spacing w:before="63" w:line="277" w:lineRule="auto"/>
              <w:rPr/>
            </w:pPr>
            <w:r>
              <w:rPr>
                <w:spacing w:val="-8"/>
              </w:rPr>
              <w:t>自然资源局</w:t>
            </w:r>
            <w:r>
              <w:rPr>
                <w:spacing w:val="-1"/>
              </w:rPr>
              <w:t>住建局</w:t>
            </w:r>
          </w:p>
          <w:p>
            <w:pPr>
              <w:pStyle w:val="TableText"/>
              <w:ind w:left="343"/>
              <w:spacing w:line="209" w:lineRule="auto"/>
              <w:rPr/>
            </w:pPr>
            <w:r>
              <w:rPr>
                <w:spacing w:val="-1"/>
              </w:rPr>
              <w:t>水务局</w:t>
            </w:r>
          </w:p>
          <w:p>
            <w:pPr>
              <w:pStyle w:val="TableText"/>
              <w:ind w:left="161"/>
              <w:spacing w:before="65" w:line="209" w:lineRule="auto"/>
              <w:rPr/>
            </w:pPr>
            <w:r>
              <w:rPr>
                <w:spacing w:val="-1"/>
              </w:rPr>
              <w:t>农业农村局</w:t>
            </w:r>
          </w:p>
          <w:p>
            <w:pPr>
              <w:pStyle w:val="TableText"/>
              <w:ind w:left="164"/>
              <w:spacing w:before="62" w:line="215" w:lineRule="auto"/>
              <w:rPr/>
            </w:pPr>
            <w:r>
              <w:rPr>
                <w:spacing w:val="-1"/>
              </w:rPr>
              <w:t>卫生健康局</w:t>
            </w:r>
          </w:p>
          <w:p>
            <w:pPr>
              <w:pStyle w:val="TableText"/>
              <w:ind w:left="164"/>
              <w:spacing w:before="65" w:line="206" w:lineRule="auto"/>
              <w:rPr/>
            </w:pPr>
            <w:r>
              <w:rPr>
                <w:spacing w:val="-1"/>
              </w:rPr>
              <w:t>退役军人局</w:t>
            </w:r>
          </w:p>
          <w:p>
            <w:pPr>
              <w:pStyle w:val="TableText"/>
              <w:ind w:left="354" w:right="161" w:hanging="189"/>
              <w:spacing w:before="65" w:line="275" w:lineRule="auto"/>
              <w:rPr/>
            </w:pPr>
            <w:r>
              <w:rPr>
                <w:spacing w:val="-1"/>
              </w:rPr>
              <w:t>市场监管局</w:t>
            </w:r>
            <w:r>
              <w:rPr>
                <w:spacing w:val="-5"/>
              </w:rPr>
              <w:t>医保局</w:t>
            </w:r>
          </w:p>
          <w:p>
            <w:pPr>
              <w:pStyle w:val="TableText"/>
              <w:ind w:left="435"/>
              <w:spacing w:line="209" w:lineRule="auto"/>
              <w:rPr/>
            </w:pPr>
            <w:r>
              <w:rPr>
                <w:spacing w:val="-2"/>
              </w:rPr>
              <w:t>残联</w:t>
            </w:r>
          </w:p>
          <w:p>
            <w:pPr>
              <w:pStyle w:val="TableText"/>
              <w:ind w:left="342" w:right="341" w:firstLine="91"/>
              <w:spacing w:before="63" w:line="275" w:lineRule="auto"/>
              <w:rPr/>
            </w:pPr>
            <w:r>
              <w:rPr>
                <w:spacing w:val="-2"/>
              </w:rPr>
              <w:t>妇联</w:t>
            </w:r>
            <w:r>
              <w:rPr>
                <w:spacing w:val="-1"/>
              </w:rPr>
              <w:t>税务局</w:t>
            </w:r>
          </w:p>
          <w:p>
            <w:pPr>
              <w:pStyle w:val="TableText"/>
              <w:ind w:left="344" w:right="161" w:hanging="178"/>
              <w:spacing w:before="2" w:line="277" w:lineRule="auto"/>
              <w:rPr/>
            </w:pPr>
            <w:r>
              <w:rPr>
                <w:spacing w:val="-2"/>
              </w:rPr>
              <w:t>等相关部门</w:t>
            </w:r>
            <w:r>
              <w:rPr>
                <w:spacing w:val="-2"/>
              </w:rPr>
              <w:t>各乡镇</w:t>
            </w:r>
          </w:p>
        </w:tc>
      </w:tr>
      <w:tr>
        <w:trPr>
          <w:trHeight w:val="1678" w:hRule="atLeast"/>
        </w:trPr>
        <w:tc>
          <w:tcPr>
            <w:tcW w:w="788" w:type="dxa"/>
            <w:vAlign w:val="top"/>
          </w:tcPr>
          <w:p>
            <w:pPr>
              <w:spacing w:line="336" w:lineRule="auto"/>
              <w:rPr>
                <w:rFonts w:ascii="Arial"/>
                <w:sz w:val="21"/>
              </w:rPr>
            </w:pPr>
            <w:r/>
          </w:p>
          <w:p>
            <w:pPr>
              <w:spacing w:line="337" w:lineRule="auto"/>
              <w:rPr>
                <w:rFonts w:ascii="Arial"/>
                <w:sz w:val="21"/>
              </w:rPr>
            </w:pPr>
            <w:r/>
          </w:p>
          <w:p>
            <w:pPr>
              <w:pStyle w:val="TableText"/>
              <w:ind w:left="348"/>
              <w:spacing w:before="58" w:line="262" w:lineRule="exact"/>
              <w:rPr/>
            </w:pPr>
            <w:r>
              <w:rPr>
                <w:position w:val="1"/>
              </w:rPr>
              <w:t>4</w:t>
            </w:r>
          </w:p>
        </w:tc>
        <w:tc>
          <w:tcPr>
            <w:tcW w:w="1384" w:type="dxa"/>
            <w:vAlign w:val="top"/>
          </w:tcPr>
          <w:p>
            <w:pPr>
              <w:spacing w:line="272" w:lineRule="auto"/>
              <w:rPr>
                <w:rFonts w:ascii="Arial"/>
                <w:sz w:val="21"/>
              </w:rPr>
            </w:pPr>
            <w:r/>
          </w:p>
          <w:p>
            <w:pPr>
              <w:spacing w:line="272" w:lineRule="auto"/>
              <w:rPr>
                <w:rFonts w:ascii="Arial"/>
                <w:sz w:val="21"/>
              </w:rPr>
            </w:pPr>
            <w:r/>
          </w:p>
          <w:p>
            <w:pPr>
              <w:pStyle w:val="TableText"/>
              <w:ind w:left="240" w:right="150" w:hanging="86"/>
              <w:spacing w:before="59" w:line="277" w:lineRule="auto"/>
              <w:rPr/>
            </w:pPr>
            <w:r>
              <w:rPr>
                <w:spacing w:val="-1"/>
              </w:rPr>
              <w:t>推进审批服务</w:t>
            </w:r>
            <w:r>
              <w:rPr>
                <w:spacing w:val="-1"/>
              </w:rPr>
              <w:t>标准化建设</w:t>
            </w:r>
          </w:p>
        </w:tc>
        <w:tc>
          <w:tcPr>
            <w:tcW w:w="5654" w:type="dxa"/>
            <w:vAlign w:val="top"/>
          </w:tcPr>
          <w:p>
            <w:pPr>
              <w:pStyle w:val="TableText"/>
              <w:ind w:left="108" w:right="104"/>
              <w:spacing w:before="138" w:line="246" w:lineRule="auto"/>
              <w:rPr/>
            </w:pPr>
            <w:r>
              <w:rPr>
                <w:spacing w:val="-1"/>
              </w:rPr>
              <w:t>2</w:t>
            </w:r>
            <w:r>
              <w:rPr>
                <w:spacing w:val="-24"/>
              </w:rPr>
              <w:t xml:space="preserve"> </w:t>
            </w:r>
            <w:r>
              <w:rPr>
                <w:spacing w:val="-1"/>
              </w:rPr>
              <w:t>月20 日前，制定印发《西吉县推进基层审批服务便民化改革实施方</w:t>
            </w:r>
            <w:r>
              <w:rPr>
                <w:spacing w:val="-2"/>
              </w:rPr>
              <w:t>案》。</w:t>
            </w:r>
          </w:p>
          <w:p>
            <w:pPr>
              <w:pStyle w:val="TableText"/>
              <w:ind w:left="105" w:right="104" w:firstLine="5"/>
              <w:spacing w:line="237" w:lineRule="auto"/>
              <w:rPr/>
            </w:pPr>
            <w:r>
              <w:rPr>
                <w:spacing w:val="-3"/>
              </w:rPr>
              <w:t>3</w:t>
            </w:r>
            <w:r>
              <w:rPr>
                <w:spacing w:val="-28"/>
              </w:rPr>
              <w:t xml:space="preserve"> </w:t>
            </w:r>
            <w:r>
              <w:rPr>
                <w:spacing w:val="-3"/>
              </w:rPr>
              <w:t>月</w:t>
            </w:r>
            <w:r>
              <w:rPr>
                <w:spacing w:val="-24"/>
              </w:rPr>
              <w:t xml:space="preserve"> </w:t>
            </w:r>
            <w:r>
              <w:rPr>
                <w:spacing w:val="-3"/>
              </w:rPr>
              <w:t>10 日前，制定并公布《西吉县乡镇政务服务事项清单》，完成乡</w:t>
            </w:r>
            <w:r>
              <w:rPr>
                <w:spacing w:val="-1"/>
              </w:rPr>
              <w:t>镇事项网上信息录入，</w:t>
            </w:r>
          </w:p>
          <w:p>
            <w:pPr>
              <w:pStyle w:val="TableText"/>
              <w:ind w:left="110" w:right="104"/>
              <w:spacing w:before="17" w:line="238" w:lineRule="auto"/>
              <w:rPr/>
            </w:pPr>
            <w:r>
              <w:rPr>
                <w:spacing w:val="-3"/>
              </w:rPr>
              <w:t>3</w:t>
            </w:r>
            <w:r>
              <w:rPr>
                <w:spacing w:val="-28"/>
              </w:rPr>
              <w:t xml:space="preserve"> </w:t>
            </w:r>
            <w:r>
              <w:rPr>
                <w:spacing w:val="-3"/>
              </w:rPr>
              <w:t>月</w:t>
            </w:r>
            <w:r>
              <w:rPr>
                <w:spacing w:val="-24"/>
              </w:rPr>
              <w:t xml:space="preserve"> </w:t>
            </w:r>
            <w:r>
              <w:rPr>
                <w:spacing w:val="-3"/>
              </w:rPr>
              <w:t>10 日前，建立和完善适应基层实际的办事指南和工作规程，进一</w:t>
            </w:r>
            <w:r>
              <w:rPr>
                <w:spacing w:val="-1"/>
              </w:rPr>
              <w:t>步优化审批流程，简化审批手续。</w:t>
            </w:r>
          </w:p>
        </w:tc>
        <w:tc>
          <w:tcPr>
            <w:tcW w:w="2827" w:type="dxa"/>
            <w:vAlign w:val="top"/>
            <w:vMerge w:val="continue"/>
            <w:tcBorders>
              <w:top w:val="nil"/>
              <w:bottom w:val="nil"/>
            </w:tcBorders>
          </w:tcPr>
          <w:p>
            <w:pPr>
              <w:rPr>
                <w:rFonts w:ascii="Arial"/>
                <w:sz w:val="21"/>
              </w:rPr>
            </w:pPr>
            <w:r/>
          </w:p>
        </w:tc>
        <w:tc>
          <w:tcPr>
            <w:tcW w:w="988" w:type="dxa"/>
            <w:vAlign w:val="top"/>
            <w:vMerge w:val="continue"/>
            <w:tcBorders>
              <w:top w:val="nil"/>
              <w:bottom w:val="nil"/>
            </w:tcBorders>
          </w:tcPr>
          <w:p>
            <w:pPr>
              <w:rPr>
                <w:rFonts w:ascii="Arial"/>
                <w:sz w:val="21"/>
              </w:rPr>
            </w:pPr>
            <w:r/>
          </w:p>
        </w:tc>
        <w:tc>
          <w:tcPr>
            <w:tcW w:w="1027" w:type="dxa"/>
            <w:vAlign w:val="top"/>
            <w:vMerge w:val="continue"/>
            <w:tcBorders>
              <w:top w:val="nil"/>
              <w:bottom w:val="nil"/>
            </w:tcBorders>
          </w:tcPr>
          <w:p>
            <w:pPr>
              <w:rPr>
                <w:rFonts w:ascii="Arial"/>
                <w:sz w:val="21"/>
              </w:rPr>
            </w:pPr>
            <w:r/>
          </w:p>
        </w:tc>
        <w:tc>
          <w:tcPr>
            <w:tcW w:w="1227" w:type="dxa"/>
            <w:vAlign w:val="top"/>
            <w:vMerge w:val="continue"/>
            <w:tcBorders>
              <w:top w:val="nil"/>
              <w:bottom w:val="nil"/>
            </w:tcBorders>
          </w:tcPr>
          <w:p>
            <w:pPr>
              <w:rPr>
                <w:rFonts w:ascii="Arial"/>
                <w:sz w:val="21"/>
              </w:rPr>
            </w:pPr>
            <w:r/>
          </w:p>
        </w:tc>
      </w:tr>
      <w:tr>
        <w:trPr>
          <w:trHeight w:val="1677" w:hRule="atLeast"/>
        </w:trPr>
        <w:tc>
          <w:tcPr>
            <w:tcW w:w="788" w:type="dxa"/>
            <w:vAlign w:val="top"/>
          </w:tcPr>
          <w:p>
            <w:pPr>
              <w:spacing w:line="336" w:lineRule="auto"/>
              <w:rPr>
                <w:rFonts w:ascii="Arial"/>
                <w:sz w:val="21"/>
              </w:rPr>
            </w:pPr>
            <w:r/>
          </w:p>
          <w:p>
            <w:pPr>
              <w:spacing w:line="336" w:lineRule="auto"/>
              <w:rPr>
                <w:rFonts w:ascii="Arial"/>
                <w:sz w:val="21"/>
              </w:rPr>
            </w:pPr>
            <w:r/>
          </w:p>
          <w:p>
            <w:pPr>
              <w:pStyle w:val="TableText"/>
              <w:ind w:left="351"/>
              <w:spacing w:before="59" w:line="260" w:lineRule="exact"/>
              <w:rPr/>
            </w:pPr>
            <w:r>
              <w:rPr>
                <w:position w:val="2"/>
              </w:rPr>
              <w:t>5</w:t>
            </w:r>
          </w:p>
        </w:tc>
        <w:tc>
          <w:tcPr>
            <w:tcW w:w="1384" w:type="dxa"/>
            <w:vAlign w:val="top"/>
          </w:tcPr>
          <w:p>
            <w:pPr>
              <w:spacing w:line="271" w:lineRule="auto"/>
              <w:rPr>
                <w:rFonts w:ascii="Arial"/>
                <w:sz w:val="21"/>
              </w:rPr>
            </w:pPr>
            <w:r/>
          </w:p>
          <w:p>
            <w:pPr>
              <w:spacing w:line="271" w:lineRule="auto"/>
              <w:rPr>
                <w:rFonts w:ascii="Arial"/>
                <w:sz w:val="21"/>
              </w:rPr>
            </w:pPr>
            <w:r/>
          </w:p>
          <w:p>
            <w:pPr>
              <w:pStyle w:val="TableText"/>
              <w:ind w:left="334" w:right="150" w:hanging="182"/>
              <w:spacing w:before="58" w:line="278" w:lineRule="auto"/>
              <w:rPr/>
            </w:pPr>
            <w:r>
              <w:rPr>
                <w:spacing w:val="-1"/>
              </w:rPr>
              <w:t>完善村级代办</w:t>
            </w:r>
            <w:r>
              <w:rPr>
                <w:spacing w:val="-2"/>
              </w:rPr>
              <w:t>服务机制</w:t>
            </w:r>
          </w:p>
        </w:tc>
        <w:tc>
          <w:tcPr>
            <w:tcW w:w="5654" w:type="dxa"/>
            <w:vAlign w:val="top"/>
          </w:tcPr>
          <w:p>
            <w:pPr>
              <w:pStyle w:val="TableText"/>
              <w:ind w:left="107" w:right="104" w:firstLine="4"/>
              <w:spacing w:before="136" w:line="239" w:lineRule="auto"/>
              <w:jc w:val="both"/>
              <w:rPr/>
            </w:pPr>
            <w:r>
              <w:rPr>
                <w:spacing w:val="-1"/>
              </w:rPr>
              <w:t>3</w:t>
            </w:r>
            <w:r>
              <w:rPr>
                <w:spacing w:val="-26"/>
              </w:rPr>
              <w:t xml:space="preserve"> </w:t>
            </w:r>
            <w:r>
              <w:rPr>
                <w:spacing w:val="-1"/>
              </w:rPr>
              <w:t>月20 日前，完善村级代办服务机制，加强村（社区）综合服务站点</w:t>
            </w:r>
            <w:r>
              <w:rPr/>
              <w:t>建设，推动基本公共服务事项进驻村（社区）办理，推进</w:t>
            </w:r>
            <w:r>
              <w:rPr>
                <w:spacing w:val="-1"/>
              </w:rPr>
              <w:t>村级便民服</w:t>
            </w:r>
            <w:r>
              <w:rPr>
                <w:spacing w:val="-1"/>
              </w:rPr>
              <w:t>务点和网上服务站点全覆盖。</w:t>
            </w:r>
          </w:p>
          <w:p>
            <w:pPr>
              <w:pStyle w:val="TableText"/>
              <w:ind w:left="107" w:right="38" w:firstLine="3"/>
              <w:spacing w:before="19" w:line="239" w:lineRule="auto"/>
              <w:jc w:val="both"/>
              <w:rPr/>
            </w:pPr>
            <w:r>
              <w:rPr>
                <w:spacing w:val="-9"/>
              </w:rPr>
              <w:t>3</w:t>
            </w:r>
            <w:r>
              <w:rPr>
                <w:spacing w:val="-39"/>
              </w:rPr>
              <w:t xml:space="preserve"> </w:t>
            </w:r>
            <w:r>
              <w:rPr>
                <w:spacing w:val="-9"/>
              </w:rPr>
              <w:t>月20 日前，制定印发《西吉县加强基层便民服务队伍</w:t>
            </w:r>
            <w:r>
              <w:rPr>
                <w:spacing w:val="-10"/>
              </w:rPr>
              <w:t>建设管理办法》。</w:t>
            </w:r>
            <w:r>
              <w:rPr/>
              <w:t xml:space="preserve"> </w:t>
            </w:r>
            <w:r>
              <w:rPr>
                <w:spacing w:val="-1"/>
              </w:rPr>
              <w:t>3</w:t>
            </w:r>
            <w:r>
              <w:rPr>
                <w:spacing w:val="-23"/>
              </w:rPr>
              <w:t xml:space="preserve"> </w:t>
            </w:r>
            <w:r>
              <w:rPr>
                <w:spacing w:val="-1"/>
              </w:rPr>
              <w:t>月31 日前，积极开展代缴代办代理等便民服务，逐步扩大公共服务</w:t>
            </w:r>
            <w:r>
              <w:rPr>
                <w:spacing w:val="-1"/>
              </w:rPr>
              <w:t>事项网上受理、网上办理、网上反馈范围。</w:t>
            </w:r>
          </w:p>
        </w:tc>
        <w:tc>
          <w:tcPr>
            <w:tcW w:w="2827" w:type="dxa"/>
            <w:vAlign w:val="top"/>
            <w:vMerge w:val="continue"/>
            <w:tcBorders>
              <w:top w:val="nil"/>
            </w:tcBorders>
          </w:tcPr>
          <w:p>
            <w:pPr>
              <w:rPr>
                <w:rFonts w:ascii="Arial"/>
                <w:sz w:val="21"/>
              </w:rPr>
            </w:pPr>
            <w:r/>
          </w:p>
        </w:tc>
        <w:tc>
          <w:tcPr>
            <w:tcW w:w="988" w:type="dxa"/>
            <w:vAlign w:val="top"/>
            <w:vMerge w:val="continue"/>
            <w:tcBorders>
              <w:top w:val="nil"/>
            </w:tcBorders>
          </w:tcPr>
          <w:p>
            <w:pPr>
              <w:rPr>
                <w:rFonts w:ascii="Arial"/>
                <w:sz w:val="21"/>
              </w:rPr>
            </w:pPr>
            <w:r/>
          </w:p>
        </w:tc>
        <w:tc>
          <w:tcPr>
            <w:tcW w:w="1027" w:type="dxa"/>
            <w:vAlign w:val="top"/>
            <w:vMerge w:val="continue"/>
            <w:tcBorders>
              <w:top w:val="nil"/>
            </w:tcBorders>
          </w:tcPr>
          <w:p>
            <w:pPr>
              <w:rPr>
                <w:rFonts w:ascii="Arial"/>
                <w:sz w:val="21"/>
              </w:rPr>
            </w:pPr>
            <w:r/>
          </w:p>
        </w:tc>
        <w:tc>
          <w:tcPr>
            <w:tcW w:w="1227" w:type="dxa"/>
            <w:vAlign w:val="top"/>
            <w:vMerge w:val="continue"/>
            <w:tcBorders>
              <w:top w:val="nil"/>
            </w:tcBorders>
          </w:tcPr>
          <w:p>
            <w:pPr>
              <w:rPr>
                <w:rFonts w:ascii="Arial"/>
                <w:sz w:val="21"/>
              </w:rPr>
            </w:pPr>
            <w:r/>
          </w:p>
        </w:tc>
      </w:tr>
    </w:tbl>
    <w:p>
      <w:pPr>
        <w:spacing w:line="161" w:lineRule="exact"/>
        <w:rPr>
          <w:rFonts w:ascii="Arial"/>
          <w:sz w:val="14"/>
        </w:rPr>
      </w:pPr>
      <w:r/>
    </w:p>
    <w:p>
      <w:pPr>
        <w:spacing w:line="161" w:lineRule="exact"/>
        <w:sectPr>
          <w:headerReference w:type="default" r:id="rId362"/>
          <w:footerReference w:type="default" r:id="rId363"/>
          <w:pgSz w:w="16839" w:h="11906"/>
          <w:pgMar w:top="1792" w:right="1474" w:bottom="1672" w:left="1463" w:header="1428" w:footer="1277" w:gutter="0"/>
        </w:sectPr>
        <w:rPr>
          <w:rFonts w:ascii="Arial" w:hAnsi="Arial" w:eastAsia="Arial" w:cs="Arial"/>
          <w:sz w:val="14"/>
          <w:szCs w:val="14"/>
        </w:rPr>
      </w:pPr>
    </w:p>
    <w:p>
      <w:pPr>
        <w:spacing w:line="177" w:lineRule="exact"/>
        <w:rPr/>
      </w:pPr>
      <w:r>
        <w:drawing>
          <wp:anchor distT="0" distB="0" distL="0" distR="0" simplePos="0" relativeHeight="251916288" behindDoc="0" locked="0" layoutInCell="0" allowOverlap="1">
            <wp:simplePos x="0" y="0"/>
            <wp:positionH relativeFrom="page">
              <wp:posOffset>1008380</wp:posOffset>
            </wp:positionH>
            <wp:positionV relativeFrom="page">
              <wp:posOffset>1147445</wp:posOffset>
            </wp:positionV>
            <wp:extent cx="8712200" cy="7620"/>
            <wp:effectExtent l="0" t="0" r="0" b="0"/>
            <wp:wrapNone/>
            <wp:docPr id="730" name="IM 730"/>
            <wp:cNvGraphicFramePr/>
            <a:graphic>
              <a:graphicData uri="http://schemas.openxmlformats.org/drawingml/2006/picture">
                <pic:pic>
                  <pic:nvPicPr>
                    <pic:cNvPr id="730" name="IM 730"/>
                    <pic:cNvPicPr/>
                  </pic:nvPicPr>
                  <pic:blipFill>
                    <a:blip r:embed="rId367"/>
                    <a:stretch>
                      <a:fillRect/>
                    </a:stretch>
                  </pic:blipFill>
                  <pic:spPr>
                    <a:xfrm rot="0">
                      <a:off x="0" y="0"/>
                      <a:ext cx="8712200" cy="7620"/>
                    </a:xfrm>
                    <a:prstGeom prst="rect">
                      <a:avLst/>
                    </a:prstGeom>
                  </pic:spPr>
                </pic:pic>
              </a:graphicData>
            </a:graphic>
          </wp:anchor>
        </w:drawing>
      </w:r>
      <w:r/>
    </w:p>
    <w:tbl>
      <w:tblPr>
        <w:tblStyle w:val="TableNormal"/>
        <w:tblW w:w="1389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88"/>
        <w:gridCol w:w="1384"/>
        <w:gridCol w:w="5654"/>
        <w:gridCol w:w="2827"/>
        <w:gridCol w:w="988"/>
        <w:gridCol w:w="1027"/>
        <w:gridCol w:w="1227"/>
      </w:tblGrid>
      <w:tr>
        <w:trPr>
          <w:trHeight w:val="521" w:hRule="atLeast"/>
        </w:trPr>
        <w:tc>
          <w:tcPr>
            <w:tcW w:w="788" w:type="dxa"/>
            <w:vAlign w:val="top"/>
          </w:tcPr>
          <w:p>
            <w:pPr>
              <w:pStyle w:val="TableText"/>
              <w:ind w:left="215"/>
              <w:spacing w:before="159" w:line="214" w:lineRule="auto"/>
              <w:rPr/>
            </w:pPr>
            <w:r>
              <w:rPr>
                <w:b/>
                <w:bCs/>
                <w:spacing w:val="-4"/>
              </w:rPr>
              <w:t>序号</w:t>
            </w:r>
          </w:p>
        </w:tc>
        <w:tc>
          <w:tcPr>
            <w:tcW w:w="1384" w:type="dxa"/>
            <w:vAlign w:val="top"/>
          </w:tcPr>
          <w:p>
            <w:pPr>
              <w:pStyle w:val="TableText"/>
              <w:ind w:left="339"/>
              <w:spacing w:before="159" w:line="213" w:lineRule="auto"/>
              <w:rPr/>
            </w:pPr>
            <w:r>
              <w:rPr>
                <w:b/>
                <w:bCs/>
                <w:spacing w:val="-4"/>
              </w:rPr>
              <w:t>主要任务</w:t>
            </w:r>
          </w:p>
        </w:tc>
        <w:tc>
          <w:tcPr>
            <w:tcW w:w="5654" w:type="dxa"/>
            <w:vAlign w:val="top"/>
          </w:tcPr>
          <w:p>
            <w:pPr>
              <w:pStyle w:val="TableText"/>
              <w:ind w:left="2470"/>
              <w:spacing w:before="161" w:line="211" w:lineRule="auto"/>
              <w:rPr/>
            </w:pPr>
            <w:r>
              <w:rPr>
                <w:b/>
                <w:bCs/>
                <w:spacing w:val="-3"/>
              </w:rPr>
              <w:t>推进措施</w:t>
            </w:r>
          </w:p>
        </w:tc>
        <w:tc>
          <w:tcPr>
            <w:tcW w:w="2827" w:type="dxa"/>
            <w:vAlign w:val="top"/>
          </w:tcPr>
          <w:p>
            <w:pPr>
              <w:pStyle w:val="TableText"/>
              <w:ind w:left="1059"/>
              <w:spacing w:before="160" w:line="211" w:lineRule="auto"/>
              <w:rPr/>
            </w:pPr>
            <w:r>
              <w:rPr>
                <w:b/>
                <w:bCs/>
                <w:spacing w:val="-4"/>
              </w:rPr>
              <w:t>预期目标</w:t>
            </w:r>
          </w:p>
        </w:tc>
        <w:tc>
          <w:tcPr>
            <w:tcW w:w="988" w:type="dxa"/>
            <w:vAlign w:val="top"/>
          </w:tcPr>
          <w:p>
            <w:pPr>
              <w:pStyle w:val="TableText"/>
              <w:ind w:left="139"/>
              <w:spacing w:before="159" w:line="213" w:lineRule="auto"/>
              <w:rPr/>
            </w:pPr>
            <w:r>
              <w:rPr>
                <w:b/>
                <w:bCs/>
                <w:spacing w:val="-3"/>
              </w:rPr>
              <w:t>责任领导</w:t>
            </w:r>
          </w:p>
        </w:tc>
        <w:tc>
          <w:tcPr>
            <w:tcW w:w="1027" w:type="dxa"/>
            <w:vAlign w:val="top"/>
          </w:tcPr>
          <w:p>
            <w:pPr>
              <w:pStyle w:val="TableText"/>
              <w:ind w:left="158"/>
              <w:spacing w:before="160" w:line="212" w:lineRule="auto"/>
              <w:rPr/>
            </w:pPr>
            <w:r>
              <w:rPr>
                <w:b/>
                <w:bCs/>
                <w:spacing w:val="-3"/>
              </w:rPr>
              <w:t>牵头单位</w:t>
            </w:r>
          </w:p>
        </w:tc>
        <w:tc>
          <w:tcPr>
            <w:tcW w:w="1227" w:type="dxa"/>
            <w:vAlign w:val="top"/>
          </w:tcPr>
          <w:p>
            <w:pPr>
              <w:pStyle w:val="TableText"/>
              <w:ind w:left="258"/>
              <w:spacing w:before="159" w:line="214" w:lineRule="auto"/>
              <w:rPr/>
            </w:pPr>
            <w:r>
              <w:rPr>
                <w:b/>
                <w:bCs/>
                <w:spacing w:val="-3"/>
              </w:rPr>
              <w:t>实施单位</w:t>
            </w:r>
          </w:p>
        </w:tc>
      </w:tr>
      <w:tr>
        <w:trPr>
          <w:trHeight w:val="1396" w:hRule="atLeast"/>
        </w:trPr>
        <w:tc>
          <w:tcPr>
            <w:tcW w:w="788"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pStyle w:val="TableText"/>
              <w:ind w:left="351"/>
              <w:spacing w:before="59" w:line="260" w:lineRule="exact"/>
              <w:rPr/>
            </w:pPr>
            <w:r>
              <w:rPr>
                <w:position w:val="2"/>
              </w:rPr>
              <w:t>6</w:t>
            </w:r>
          </w:p>
        </w:tc>
        <w:tc>
          <w:tcPr>
            <w:tcW w:w="1384" w:type="dxa"/>
            <w:vAlign w:val="top"/>
            <w:vMerge w:val="restart"/>
            <w:tcBorders>
              <w:bottom w:val="nil"/>
            </w:tcBorders>
          </w:tcPr>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pStyle w:val="TableText"/>
              <w:ind w:left="332" w:right="150" w:hanging="180"/>
              <w:spacing w:before="59" w:line="278" w:lineRule="auto"/>
              <w:rPr/>
            </w:pPr>
            <w:r>
              <w:rPr>
                <w:spacing w:val="-1"/>
              </w:rPr>
              <w:t>组建综合行政</w:t>
            </w:r>
            <w:r>
              <w:rPr>
                <w:spacing w:val="-2"/>
              </w:rPr>
              <w:t>执法机构</w:t>
            </w:r>
          </w:p>
        </w:tc>
        <w:tc>
          <w:tcPr>
            <w:tcW w:w="5654" w:type="dxa"/>
            <w:vAlign w:val="top"/>
          </w:tcPr>
          <w:p>
            <w:pPr>
              <w:pStyle w:val="TableText"/>
              <w:ind w:left="106" w:right="104" w:firstLine="4"/>
              <w:spacing w:before="234" w:line="243" w:lineRule="auto"/>
              <w:jc w:val="both"/>
              <w:rPr/>
            </w:pPr>
            <w:r>
              <w:rPr>
                <w:spacing w:val="-3"/>
              </w:rPr>
              <w:t>3</w:t>
            </w:r>
            <w:r>
              <w:rPr>
                <w:spacing w:val="-28"/>
              </w:rPr>
              <w:t xml:space="preserve"> </w:t>
            </w:r>
            <w:r>
              <w:rPr>
                <w:spacing w:val="-3"/>
              </w:rPr>
              <w:t>月</w:t>
            </w:r>
            <w:r>
              <w:rPr>
                <w:spacing w:val="-24"/>
              </w:rPr>
              <w:t xml:space="preserve"> </w:t>
            </w:r>
            <w:r>
              <w:rPr>
                <w:spacing w:val="-3"/>
              </w:rPr>
              <w:t>10 日前，学习借鉴银川市、吴忠市、中宁县开展跨领域跨部门综</w:t>
            </w:r>
            <w:r>
              <w:rPr>
                <w:spacing w:val="1"/>
              </w:rPr>
              <w:t>合执法改革试点经验做法，统筹设计行政区域内乡镇综合行政执法模</w:t>
            </w:r>
            <w:r>
              <w:rPr>
                <w:spacing w:val="-5"/>
              </w:rPr>
              <w:t>式，制定《西吉县乡镇综合行政执法实施意见》，指导乡镇按照有关法</w:t>
            </w:r>
            <w:r>
              <w:rPr>
                <w:spacing w:val="-1"/>
              </w:rPr>
              <w:t>律规定相对集中行使行政处罚权。</w:t>
            </w:r>
          </w:p>
        </w:tc>
        <w:tc>
          <w:tcPr>
            <w:tcW w:w="2827" w:type="dxa"/>
            <w:vAlign w:val="top"/>
            <w:vMerge w:val="restart"/>
            <w:tcBorders>
              <w:bottom w:val="nil"/>
            </w:tcBorders>
          </w:tcPr>
          <w:p>
            <w:pPr>
              <w:spacing w:line="301" w:lineRule="auto"/>
              <w:rPr>
                <w:rFonts w:ascii="Arial"/>
                <w:sz w:val="21"/>
              </w:rPr>
            </w:pPr>
            <w:r/>
          </w:p>
          <w:p>
            <w:pPr>
              <w:pStyle w:val="TableText"/>
              <w:ind w:left="110" w:right="104" w:firstLine="15"/>
              <w:spacing w:before="59" w:line="231" w:lineRule="auto"/>
              <w:rPr/>
            </w:pPr>
            <w:r>
              <w:rPr>
                <w:spacing w:val="-7"/>
              </w:rPr>
              <w:t>1.推动执法关口前移，执法力量和</w:t>
            </w:r>
            <w:r>
              <w:rPr>
                <w:spacing w:val="-1"/>
              </w:rPr>
              <w:t>执法资源下沉。</w:t>
            </w:r>
          </w:p>
          <w:p>
            <w:pPr>
              <w:pStyle w:val="TableText"/>
              <w:ind w:left="111"/>
              <w:spacing w:before="29" w:line="236" w:lineRule="auto"/>
              <w:rPr/>
            </w:pPr>
            <w:r>
              <w:rPr>
                <w:spacing w:val="-11"/>
              </w:rPr>
              <w:t>2.在基层实行综合执法，着力构建</w:t>
            </w:r>
            <w:r>
              <w:rPr>
                <w:spacing w:val="4"/>
              </w:rPr>
              <w:t xml:space="preserve"> </w:t>
            </w:r>
            <w:r>
              <w:rPr>
                <w:spacing w:val="-11"/>
              </w:rPr>
              <w:t>“统筹城乡、专综结合、全域覆盖”</w:t>
            </w:r>
            <w:r>
              <w:rPr>
                <w:spacing w:val="-5"/>
              </w:rPr>
              <w:t>的综合行政执法机制。</w:t>
            </w:r>
          </w:p>
          <w:p>
            <w:pPr>
              <w:pStyle w:val="TableText"/>
              <w:ind w:left="110" w:right="104" w:firstLine="3"/>
              <w:spacing w:before="29" w:line="232" w:lineRule="auto"/>
              <w:rPr/>
            </w:pPr>
            <w:r>
              <w:rPr>
                <w:spacing w:val="5"/>
              </w:rPr>
              <w:t>3.逐步在基层实现一支队伍管执</w:t>
            </w:r>
            <w:r>
              <w:rPr>
                <w:spacing w:val="-3"/>
              </w:rPr>
              <w:t>法。</w:t>
            </w:r>
          </w:p>
        </w:tc>
        <w:tc>
          <w:tcPr>
            <w:tcW w:w="988" w:type="dxa"/>
            <w:vAlign w:val="top"/>
          </w:tcPr>
          <w:p>
            <w:pPr>
              <w:spacing w:line="266" w:lineRule="auto"/>
              <w:rPr>
                <w:rFonts w:ascii="Arial"/>
                <w:sz w:val="21"/>
              </w:rPr>
            </w:pPr>
            <w:r/>
          </w:p>
          <w:p>
            <w:pPr>
              <w:spacing w:line="266" w:lineRule="auto"/>
              <w:rPr>
                <w:rFonts w:ascii="Arial"/>
                <w:sz w:val="21"/>
              </w:rPr>
            </w:pPr>
            <w:r/>
          </w:p>
          <w:p>
            <w:pPr>
              <w:pStyle w:val="TableText"/>
              <w:ind w:left="228"/>
              <w:spacing w:before="59" w:line="214" w:lineRule="auto"/>
              <w:rPr/>
            </w:pPr>
            <w:r>
              <w:rPr>
                <w:spacing w:val="-2"/>
              </w:rPr>
              <w:t>杨建仁</w:t>
            </w:r>
          </w:p>
        </w:tc>
        <w:tc>
          <w:tcPr>
            <w:tcW w:w="1027" w:type="dxa"/>
            <w:vAlign w:val="top"/>
          </w:tcPr>
          <w:p>
            <w:pPr>
              <w:spacing w:line="416" w:lineRule="auto"/>
              <w:rPr>
                <w:rFonts w:ascii="Arial"/>
                <w:sz w:val="21"/>
              </w:rPr>
            </w:pPr>
            <w:r/>
          </w:p>
          <w:p>
            <w:pPr>
              <w:pStyle w:val="TableText"/>
              <w:ind w:left="145" w:right="69" w:hanging="88"/>
              <w:spacing w:before="59" w:line="251" w:lineRule="auto"/>
              <w:rPr/>
            </w:pPr>
            <w:r>
              <w:rPr>
                <w:spacing w:val="-1"/>
              </w:rPr>
              <w:t>县委政法委</w:t>
            </w:r>
            <w:r>
              <w:rPr>
                <w:spacing w:val="-2"/>
              </w:rPr>
              <w:t>县司法局</w:t>
            </w:r>
          </w:p>
        </w:tc>
        <w:tc>
          <w:tcPr>
            <w:tcW w:w="1227" w:type="dxa"/>
            <w:vAlign w:val="top"/>
            <w:vMerge w:val="restart"/>
            <w:tcBorders>
              <w:bottom w:val="nil"/>
            </w:tcBorders>
          </w:tcPr>
          <w:p>
            <w:pPr>
              <w:pStyle w:val="TableText"/>
              <w:ind w:left="193"/>
              <w:spacing w:before="96" w:line="213" w:lineRule="auto"/>
              <w:rPr/>
            </w:pPr>
            <w:r>
              <w:rPr>
                <w:spacing w:val="-8"/>
              </w:rPr>
              <w:t>自然资源局</w:t>
            </w:r>
          </w:p>
          <w:p>
            <w:pPr>
              <w:pStyle w:val="TableText"/>
              <w:ind w:left="158"/>
              <w:spacing w:before="11" w:line="213" w:lineRule="auto"/>
              <w:rPr/>
            </w:pPr>
            <w:r>
              <w:rPr>
                <w:spacing w:val="-1"/>
              </w:rPr>
              <w:t>住房建设局</w:t>
            </w:r>
          </w:p>
          <w:p>
            <w:pPr>
              <w:pStyle w:val="TableText"/>
              <w:ind w:left="159"/>
              <w:spacing w:before="13" w:line="210" w:lineRule="auto"/>
              <w:rPr/>
            </w:pPr>
            <w:r>
              <w:rPr>
                <w:spacing w:val="-1"/>
              </w:rPr>
              <w:t>交通运输局</w:t>
            </w:r>
          </w:p>
          <w:p>
            <w:pPr>
              <w:pStyle w:val="TableText"/>
              <w:ind w:left="156"/>
              <w:spacing w:before="16" w:line="209" w:lineRule="auto"/>
              <w:rPr/>
            </w:pPr>
            <w:r>
              <w:rPr>
                <w:spacing w:val="-1"/>
              </w:rPr>
              <w:t>农业农村局</w:t>
            </w:r>
          </w:p>
          <w:p>
            <w:pPr>
              <w:pStyle w:val="TableText"/>
              <w:ind w:left="160"/>
              <w:spacing w:before="17" w:line="210" w:lineRule="auto"/>
              <w:rPr/>
            </w:pPr>
            <w:r>
              <w:rPr>
                <w:spacing w:val="-1"/>
              </w:rPr>
              <w:t>市场监管局</w:t>
            </w:r>
          </w:p>
          <w:p>
            <w:pPr>
              <w:pStyle w:val="TableText"/>
              <w:ind w:left="158"/>
              <w:spacing w:before="13" w:line="210" w:lineRule="auto"/>
              <w:rPr/>
            </w:pPr>
            <w:r>
              <w:rPr>
                <w:spacing w:val="-1"/>
              </w:rPr>
              <w:t>应急管理局</w:t>
            </w:r>
          </w:p>
          <w:p>
            <w:pPr>
              <w:pStyle w:val="TableText"/>
              <w:ind w:left="160"/>
              <w:spacing w:before="17" w:line="210" w:lineRule="auto"/>
              <w:rPr/>
            </w:pPr>
            <w:r>
              <w:rPr>
                <w:spacing w:val="-1"/>
              </w:rPr>
              <w:t>市生态环境</w:t>
            </w:r>
          </w:p>
          <w:p>
            <w:pPr>
              <w:pStyle w:val="TableText"/>
              <w:ind w:left="159"/>
              <w:spacing w:before="15" w:line="213" w:lineRule="auto"/>
              <w:rPr/>
            </w:pPr>
            <w:r>
              <w:rPr>
                <w:spacing w:val="-1"/>
              </w:rPr>
              <w:t>局西吉分局</w:t>
            </w:r>
          </w:p>
          <w:p>
            <w:pPr>
              <w:pStyle w:val="TableText"/>
              <w:ind w:left="339" w:right="166" w:hanging="178"/>
              <w:spacing w:before="10" w:line="229" w:lineRule="auto"/>
              <w:rPr/>
            </w:pPr>
            <w:r>
              <w:rPr>
                <w:spacing w:val="-2"/>
              </w:rPr>
              <w:t>等相关部门</w:t>
            </w:r>
            <w:r>
              <w:rPr>
                <w:spacing w:val="-2"/>
              </w:rPr>
              <w:t>各乡镇</w:t>
            </w:r>
          </w:p>
        </w:tc>
      </w:tr>
      <w:tr>
        <w:trPr>
          <w:trHeight w:val="975" w:hRule="atLeast"/>
        </w:trPr>
        <w:tc>
          <w:tcPr>
            <w:tcW w:w="788" w:type="dxa"/>
            <w:vAlign w:val="top"/>
            <w:vMerge w:val="continue"/>
            <w:tcBorders>
              <w:top w:val="nil"/>
            </w:tcBorders>
          </w:tcPr>
          <w:p>
            <w:pPr>
              <w:rPr>
                <w:rFonts w:ascii="Arial"/>
                <w:sz w:val="21"/>
              </w:rPr>
            </w:pPr>
            <w:r/>
          </w:p>
        </w:tc>
        <w:tc>
          <w:tcPr>
            <w:tcW w:w="1384" w:type="dxa"/>
            <w:vAlign w:val="top"/>
            <w:vMerge w:val="continue"/>
            <w:tcBorders>
              <w:top w:val="nil"/>
            </w:tcBorders>
          </w:tcPr>
          <w:p>
            <w:pPr>
              <w:rPr>
                <w:rFonts w:ascii="Arial"/>
                <w:sz w:val="21"/>
              </w:rPr>
            </w:pPr>
            <w:r/>
          </w:p>
        </w:tc>
        <w:tc>
          <w:tcPr>
            <w:tcW w:w="5654" w:type="dxa"/>
            <w:vAlign w:val="top"/>
          </w:tcPr>
          <w:p>
            <w:pPr>
              <w:pStyle w:val="TableText"/>
              <w:ind w:left="110" w:right="104" w:firstLine="1"/>
              <w:spacing w:before="144" w:line="245" w:lineRule="auto"/>
              <w:jc w:val="both"/>
              <w:rPr/>
            </w:pPr>
            <w:r>
              <w:rPr>
                <w:spacing w:val="-1"/>
              </w:rPr>
              <w:t>3</w:t>
            </w:r>
            <w:r>
              <w:rPr>
                <w:spacing w:val="-26"/>
              </w:rPr>
              <w:t xml:space="preserve"> </w:t>
            </w:r>
            <w:r>
              <w:rPr>
                <w:spacing w:val="-1"/>
              </w:rPr>
              <w:t>月20 日前，整合现有站所、队执法力量和资源，组建乡镇综合执法</w:t>
            </w:r>
            <w:r>
              <w:rPr>
                <w:spacing w:val="1"/>
              </w:rPr>
              <w:t>办公室，与各领域综合行政执法体制改革相衔接，推进行政执法权限</w:t>
            </w:r>
            <w:r>
              <w:rPr>
                <w:spacing w:val="-1"/>
              </w:rPr>
              <w:t>和力量向基层延伸和下沉。</w:t>
            </w:r>
          </w:p>
        </w:tc>
        <w:tc>
          <w:tcPr>
            <w:tcW w:w="2827" w:type="dxa"/>
            <w:vAlign w:val="top"/>
            <w:vMerge w:val="continue"/>
            <w:tcBorders>
              <w:top w:val="nil"/>
            </w:tcBorders>
          </w:tcPr>
          <w:p>
            <w:pPr>
              <w:rPr>
                <w:rFonts w:ascii="Arial"/>
                <w:sz w:val="21"/>
              </w:rPr>
            </w:pPr>
            <w:r/>
          </w:p>
        </w:tc>
        <w:tc>
          <w:tcPr>
            <w:tcW w:w="988" w:type="dxa"/>
            <w:vAlign w:val="top"/>
          </w:tcPr>
          <w:p>
            <w:pPr>
              <w:spacing w:line="327" w:lineRule="auto"/>
              <w:rPr>
                <w:rFonts w:ascii="Arial"/>
                <w:sz w:val="21"/>
              </w:rPr>
            </w:pPr>
            <w:r/>
          </w:p>
          <w:p>
            <w:pPr>
              <w:pStyle w:val="TableText"/>
              <w:ind w:left="231"/>
              <w:spacing w:before="59" w:line="212" w:lineRule="auto"/>
              <w:rPr/>
            </w:pPr>
            <w:r>
              <w:rPr>
                <w:spacing w:val="-3"/>
              </w:rPr>
              <w:t>高耀明</w:t>
            </w:r>
          </w:p>
        </w:tc>
        <w:tc>
          <w:tcPr>
            <w:tcW w:w="1027" w:type="dxa"/>
            <w:vAlign w:val="top"/>
          </w:tcPr>
          <w:p>
            <w:pPr>
              <w:spacing w:line="329" w:lineRule="auto"/>
              <w:rPr>
                <w:rFonts w:ascii="Arial"/>
                <w:sz w:val="21"/>
              </w:rPr>
            </w:pPr>
            <w:r/>
          </w:p>
          <w:p>
            <w:pPr>
              <w:pStyle w:val="TableText"/>
              <w:ind w:left="158"/>
              <w:spacing w:before="58" w:line="208" w:lineRule="auto"/>
              <w:rPr/>
            </w:pPr>
            <w:r>
              <w:rPr>
                <w:spacing w:val="-2"/>
              </w:rPr>
              <w:t>县委编办</w:t>
            </w:r>
          </w:p>
        </w:tc>
        <w:tc>
          <w:tcPr>
            <w:tcW w:w="1227" w:type="dxa"/>
            <w:vAlign w:val="top"/>
            <w:vMerge w:val="continue"/>
            <w:tcBorders>
              <w:top w:val="nil"/>
            </w:tcBorders>
          </w:tcPr>
          <w:p>
            <w:pPr>
              <w:rPr>
                <w:rFonts w:ascii="Arial"/>
                <w:sz w:val="21"/>
              </w:rPr>
            </w:pPr>
            <w:r/>
          </w:p>
        </w:tc>
      </w:tr>
      <w:tr>
        <w:trPr>
          <w:trHeight w:val="3057" w:hRule="atLeast"/>
        </w:trPr>
        <w:tc>
          <w:tcPr>
            <w:tcW w:w="788" w:type="dxa"/>
            <w:vAlign w:val="top"/>
          </w:tcPr>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349"/>
              <w:spacing w:before="59" w:line="260" w:lineRule="exact"/>
              <w:rPr/>
            </w:pPr>
            <w:r>
              <w:rPr>
                <w:position w:val="2"/>
              </w:rPr>
              <w:t>7</w:t>
            </w:r>
          </w:p>
        </w:tc>
        <w:tc>
          <w:tcPr>
            <w:tcW w:w="1384" w:type="dxa"/>
            <w:vAlign w:val="top"/>
          </w:tcPr>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512" w:right="150" w:hanging="360"/>
              <w:spacing w:before="58" w:line="278" w:lineRule="auto"/>
              <w:rPr/>
            </w:pPr>
            <w:r>
              <w:rPr>
                <w:spacing w:val="-1"/>
              </w:rPr>
              <w:t>完善指挥协调</w:t>
            </w:r>
            <w:r>
              <w:rPr>
                <w:spacing w:val="-3"/>
              </w:rPr>
              <w:t>机制</w:t>
            </w:r>
          </w:p>
        </w:tc>
        <w:tc>
          <w:tcPr>
            <w:tcW w:w="5654" w:type="dxa"/>
            <w:vAlign w:val="top"/>
          </w:tcPr>
          <w:p>
            <w:pPr>
              <w:spacing w:line="262" w:lineRule="auto"/>
              <w:rPr>
                <w:rFonts w:ascii="Arial"/>
                <w:sz w:val="21"/>
              </w:rPr>
            </w:pPr>
            <w:r/>
          </w:p>
          <w:p>
            <w:pPr>
              <w:spacing w:line="262" w:lineRule="auto"/>
              <w:rPr>
                <w:rFonts w:ascii="Arial"/>
                <w:sz w:val="21"/>
              </w:rPr>
            </w:pPr>
            <w:r/>
          </w:p>
          <w:p>
            <w:pPr>
              <w:pStyle w:val="TableText"/>
              <w:ind w:left="107" w:right="104"/>
              <w:spacing w:before="58" w:line="237" w:lineRule="auto"/>
              <w:rPr/>
            </w:pPr>
            <w:r>
              <w:rPr>
                <w:spacing w:val="-1"/>
              </w:rPr>
              <w:t>2</w:t>
            </w:r>
            <w:r>
              <w:rPr>
                <w:spacing w:val="-24"/>
              </w:rPr>
              <w:t xml:space="preserve"> </w:t>
            </w:r>
            <w:r>
              <w:rPr>
                <w:spacing w:val="-1"/>
              </w:rPr>
              <w:t>月28 日前，强化乡镇的统一指挥和统筹协调职责，司法局负责研究</w:t>
            </w:r>
            <w:r>
              <w:rPr>
                <w:spacing w:val="-1"/>
              </w:rPr>
              <w:t>制定派驻机构纳入乡镇统一指挥协调工作机制的意见。</w:t>
            </w:r>
          </w:p>
          <w:p>
            <w:pPr>
              <w:pStyle w:val="TableText"/>
              <w:ind w:left="107" w:right="104" w:firstLine="3"/>
              <w:spacing w:before="18" w:line="237" w:lineRule="auto"/>
              <w:rPr/>
            </w:pPr>
            <w:r>
              <w:rPr>
                <w:spacing w:val="-3"/>
              </w:rPr>
              <w:t>3</w:t>
            </w:r>
            <w:r>
              <w:rPr>
                <w:spacing w:val="-28"/>
              </w:rPr>
              <w:t xml:space="preserve"> </w:t>
            </w:r>
            <w:r>
              <w:rPr>
                <w:spacing w:val="-3"/>
              </w:rPr>
              <w:t>月</w:t>
            </w:r>
            <w:r>
              <w:rPr>
                <w:spacing w:val="-24"/>
              </w:rPr>
              <w:t xml:space="preserve"> </w:t>
            </w:r>
            <w:r>
              <w:rPr>
                <w:spacing w:val="-3"/>
              </w:rPr>
              <w:t>10 日前，司法局负责制定《乡镇综合执法事项清单》，明确执法</w:t>
            </w:r>
            <w:r>
              <w:rPr>
                <w:spacing w:val="-1"/>
              </w:rPr>
              <w:t>事项的范围、内容。</w:t>
            </w:r>
          </w:p>
          <w:p>
            <w:pPr>
              <w:pStyle w:val="TableText"/>
              <w:ind w:left="107" w:right="104" w:firstLine="3"/>
              <w:spacing w:before="17" w:line="238" w:lineRule="auto"/>
              <w:rPr/>
            </w:pPr>
            <w:r>
              <w:rPr>
                <w:spacing w:val="-3"/>
              </w:rPr>
              <w:t>3</w:t>
            </w:r>
            <w:r>
              <w:rPr>
                <w:spacing w:val="-28"/>
              </w:rPr>
              <w:t xml:space="preserve"> </w:t>
            </w:r>
            <w:r>
              <w:rPr>
                <w:spacing w:val="-3"/>
              </w:rPr>
              <w:t>月</w:t>
            </w:r>
            <w:r>
              <w:rPr>
                <w:spacing w:val="-24"/>
              </w:rPr>
              <w:t xml:space="preserve"> </w:t>
            </w:r>
            <w:r>
              <w:rPr>
                <w:spacing w:val="-3"/>
              </w:rPr>
              <w:t>10 日前，编办和司法局分别负责组织编制《乡镇权责清单》，进</w:t>
            </w:r>
            <w:r>
              <w:rPr>
                <w:spacing w:val="-1"/>
              </w:rPr>
              <w:t>一步厘清县乡权责边界，压实责任。</w:t>
            </w:r>
          </w:p>
          <w:p>
            <w:pPr>
              <w:pStyle w:val="TableText"/>
              <w:ind w:left="107" w:right="104" w:hanging="2"/>
              <w:spacing w:before="15" w:line="238" w:lineRule="auto"/>
              <w:rPr/>
            </w:pPr>
            <w:r>
              <w:rPr>
                <w:spacing w:val="-3"/>
              </w:rPr>
              <w:t>4</w:t>
            </w:r>
            <w:r>
              <w:rPr>
                <w:spacing w:val="-22"/>
              </w:rPr>
              <w:t xml:space="preserve"> </w:t>
            </w:r>
            <w:r>
              <w:rPr>
                <w:spacing w:val="-3"/>
              </w:rPr>
              <w:t>月</w:t>
            </w:r>
            <w:r>
              <w:rPr>
                <w:spacing w:val="-25"/>
              </w:rPr>
              <w:t xml:space="preserve"> </w:t>
            </w:r>
            <w:r>
              <w:rPr>
                <w:spacing w:val="-3"/>
              </w:rPr>
              <w:t>10 日前，司法局负责建立健全乡镇与县级部门行政执法案件移送</w:t>
            </w:r>
            <w:r>
              <w:rPr/>
              <w:t>机制及协调机制，按照各自行政执法权限有序开</w:t>
            </w:r>
            <w:r>
              <w:rPr>
                <w:spacing w:val="-1"/>
              </w:rPr>
              <w:t>展执法活动。</w:t>
            </w:r>
          </w:p>
        </w:tc>
        <w:tc>
          <w:tcPr>
            <w:tcW w:w="2827" w:type="dxa"/>
            <w:vAlign w:val="top"/>
          </w:tcPr>
          <w:p>
            <w:pPr>
              <w:spacing w:line="404" w:lineRule="auto"/>
              <w:rPr>
                <w:rFonts w:ascii="Arial"/>
                <w:sz w:val="21"/>
              </w:rPr>
            </w:pPr>
            <w:r/>
          </w:p>
          <w:p>
            <w:pPr>
              <w:pStyle w:val="TableText"/>
              <w:ind w:left="109" w:right="104" w:firstLine="16"/>
              <w:spacing w:before="58" w:line="230" w:lineRule="auto"/>
              <w:rPr/>
            </w:pPr>
            <w:r>
              <w:rPr>
                <w:spacing w:val="-7"/>
              </w:rPr>
              <w:t>1.严格落实属地管理原则，规范派</w:t>
            </w:r>
            <w:r>
              <w:rPr>
                <w:spacing w:val="-1"/>
              </w:rPr>
              <w:t>驻机构设置。</w:t>
            </w:r>
          </w:p>
          <w:p>
            <w:pPr>
              <w:pStyle w:val="TableText"/>
              <w:ind w:left="110" w:right="104" w:firstLine="1"/>
              <w:spacing w:before="32" w:line="238" w:lineRule="auto"/>
              <w:rPr/>
            </w:pPr>
            <w:r>
              <w:rPr>
                <w:spacing w:val="-4"/>
              </w:rPr>
              <w:t>2.乡镇与行政执法部门按照各自</w:t>
            </w:r>
            <w:r>
              <w:rPr>
                <w:spacing w:val="-1"/>
              </w:rPr>
              <w:t>职责，做到及时查处行政违法案</w:t>
            </w:r>
            <w:r>
              <w:rPr>
                <w:spacing w:val="-7"/>
              </w:rPr>
              <w:t>件，形成权责明晰、协调配合、高</w:t>
            </w:r>
            <w:r>
              <w:rPr>
                <w:spacing w:val="-1"/>
              </w:rPr>
              <w:t>效运转的行政执法机制。</w:t>
            </w:r>
          </w:p>
          <w:p>
            <w:pPr>
              <w:pStyle w:val="TableText"/>
              <w:ind w:left="110" w:right="104" w:firstLine="3"/>
              <w:spacing w:before="31" w:line="236" w:lineRule="auto"/>
              <w:rPr/>
            </w:pPr>
            <w:r>
              <w:rPr>
                <w:spacing w:val="-4"/>
              </w:rPr>
              <w:t>3.赋予乡镇党委对派驻机构的统</w:t>
            </w:r>
            <w:r>
              <w:rPr>
                <w:spacing w:val="-7"/>
              </w:rPr>
              <w:t>一指挥权、干部管理考核权、主要</w:t>
            </w:r>
            <w:r>
              <w:rPr>
                <w:spacing w:val="-1"/>
              </w:rPr>
              <w:t>负责人任免建议权等。</w:t>
            </w:r>
          </w:p>
        </w:tc>
        <w:tc>
          <w:tcPr>
            <w:tcW w:w="988" w:type="dxa"/>
            <w:vAlign w:val="top"/>
          </w:tcPr>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pStyle w:val="TableText"/>
              <w:ind w:left="228" w:right="218" w:firstLine="3"/>
              <w:spacing w:before="58" w:line="263" w:lineRule="auto"/>
              <w:rPr/>
            </w:pPr>
            <w:r>
              <w:rPr>
                <w:spacing w:val="-3"/>
              </w:rPr>
              <w:t>高耀明</w:t>
            </w:r>
            <w:r>
              <w:rPr>
                <w:spacing w:val="-2"/>
              </w:rPr>
              <w:t>杨建仁</w:t>
            </w:r>
          </w:p>
        </w:tc>
        <w:tc>
          <w:tcPr>
            <w:tcW w:w="1027"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58" w:right="148"/>
              <w:spacing w:before="58" w:line="251" w:lineRule="auto"/>
              <w:rPr/>
            </w:pPr>
            <w:r>
              <w:rPr>
                <w:spacing w:val="-2"/>
              </w:rPr>
              <w:t>县委编办</w:t>
            </w:r>
            <w:r>
              <w:rPr>
                <w:spacing w:val="-2"/>
              </w:rPr>
              <w:t>县司法局</w:t>
            </w:r>
          </w:p>
        </w:tc>
        <w:tc>
          <w:tcPr>
            <w:tcW w:w="1227" w:type="dxa"/>
            <w:vAlign w:val="top"/>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339"/>
              <w:spacing w:before="58" w:line="211" w:lineRule="auto"/>
              <w:rPr/>
            </w:pPr>
            <w:r>
              <w:rPr>
                <w:spacing w:val="-2"/>
              </w:rPr>
              <w:t>各乡镇</w:t>
            </w:r>
          </w:p>
        </w:tc>
      </w:tr>
      <w:tr>
        <w:trPr>
          <w:trHeight w:val="2183" w:hRule="atLeast"/>
        </w:trPr>
        <w:tc>
          <w:tcPr>
            <w:tcW w:w="788" w:type="dxa"/>
            <w:vAlign w:val="top"/>
          </w:tcPr>
          <w:p>
            <w:pPr>
              <w:spacing w:line="308" w:lineRule="auto"/>
              <w:rPr>
                <w:rFonts w:ascii="Arial"/>
                <w:sz w:val="21"/>
              </w:rPr>
            </w:pPr>
            <w:r/>
          </w:p>
          <w:p>
            <w:pPr>
              <w:spacing w:line="308" w:lineRule="auto"/>
              <w:rPr>
                <w:rFonts w:ascii="Arial"/>
                <w:sz w:val="21"/>
              </w:rPr>
            </w:pPr>
            <w:r/>
          </w:p>
          <w:p>
            <w:pPr>
              <w:spacing w:line="308" w:lineRule="auto"/>
              <w:rPr>
                <w:rFonts w:ascii="Arial"/>
                <w:sz w:val="21"/>
              </w:rPr>
            </w:pPr>
            <w:r/>
          </w:p>
          <w:p>
            <w:pPr>
              <w:pStyle w:val="TableText"/>
              <w:ind w:left="353"/>
              <w:spacing w:before="59" w:line="260" w:lineRule="exact"/>
              <w:rPr/>
            </w:pPr>
            <w:r>
              <w:rPr>
                <w:position w:val="2"/>
              </w:rPr>
              <w:t>8</w:t>
            </w:r>
          </w:p>
        </w:tc>
        <w:tc>
          <w:tcPr>
            <w:tcW w:w="1384" w:type="dxa"/>
            <w:vAlign w:val="top"/>
          </w:tcPr>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pStyle w:val="TableText"/>
              <w:ind w:left="244" w:right="150" w:hanging="90"/>
              <w:spacing w:before="59" w:line="279" w:lineRule="auto"/>
              <w:rPr/>
            </w:pPr>
            <w:r>
              <w:rPr>
                <w:spacing w:val="-2"/>
              </w:rPr>
              <w:t>提升行政执法</w:t>
            </w:r>
            <w:r>
              <w:rPr>
                <w:spacing w:val="-2"/>
              </w:rPr>
              <w:t>能力和水平</w:t>
            </w:r>
          </w:p>
        </w:tc>
        <w:tc>
          <w:tcPr>
            <w:tcW w:w="5654" w:type="dxa"/>
            <w:vAlign w:val="top"/>
          </w:tcPr>
          <w:p>
            <w:pPr>
              <w:spacing w:line="448" w:lineRule="auto"/>
              <w:rPr>
                <w:rFonts w:ascii="Arial"/>
                <w:sz w:val="21"/>
              </w:rPr>
            </w:pPr>
            <w:r/>
          </w:p>
          <w:p>
            <w:pPr>
              <w:pStyle w:val="TableText"/>
              <w:ind w:left="107" w:right="104" w:firstLine="3"/>
              <w:spacing w:before="59" w:line="237" w:lineRule="auto"/>
              <w:rPr/>
            </w:pPr>
            <w:r>
              <w:rPr>
                <w:spacing w:val="-1"/>
              </w:rPr>
              <w:t>3</w:t>
            </w:r>
            <w:r>
              <w:rPr>
                <w:spacing w:val="-26"/>
              </w:rPr>
              <w:t xml:space="preserve"> </w:t>
            </w:r>
            <w:r>
              <w:rPr>
                <w:spacing w:val="-1"/>
              </w:rPr>
              <w:t>月31 日前，组织对乡镇综合行政执法人员的业务指导培训，规范执</w:t>
            </w:r>
            <w:r>
              <w:rPr>
                <w:spacing w:val="-1"/>
              </w:rPr>
              <w:t>法检查、受立案、调查、审查、决定等程序和行为。</w:t>
            </w:r>
          </w:p>
          <w:p>
            <w:pPr>
              <w:pStyle w:val="TableText"/>
              <w:ind w:left="106" w:right="49" w:hanging="1"/>
              <w:spacing w:before="17" w:line="238" w:lineRule="auto"/>
              <w:rPr/>
            </w:pPr>
            <w:r>
              <w:rPr>
                <w:spacing w:val="-6"/>
              </w:rPr>
              <w:t>4</w:t>
            </w:r>
            <w:r>
              <w:rPr>
                <w:spacing w:val="-39"/>
              </w:rPr>
              <w:t xml:space="preserve"> </w:t>
            </w:r>
            <w:r>
              <w:rPr>
                <w:spacing w:val="-6"/>
              </w:rPr>
              <w:t>月</w:t>
            </w:r>
            <w:r>
              <w:rPr>
                <w:spacing w:val="-24"/>
              </w:rPr>
              <w:t xml:space="preserve"> </w:t>
            </w:r>
            <w:r>
              <w:rPr>
                <w:spacing w:val="-6"/>
              </w:rPr>
              <w:t>10 日前，严格落实权责清单、自由裁量基准、执法</w:t>
            </w:r>
            <w:r>
              <w:rPr>
                <w:spacing w:val="-7"/>
              </w:rPr>
              <w:t>责任制等制度，</w:t>
            </w:r>
            <w:r>
              <w:rPr>
                <w:spacing w:val="-1"/>
              </w:rPr>
              <w:t>全面推行行政执法三项制度。</w:t>
            </w:r>
          </w:p>
          <w:p>
            <w:pPr>
              <w:pStyle w:val="TableText"/>
              <w:ind w:left="105"/>
              <w:spacing w:before="15" w:line="241" w:lineRule="exact"/>
              <w:rPr/>
            </w:pPr>
            <w:r>
              <w:rPr>
                <w:spacing w:val="-1"/>
                <w:position w:val="1"/>
              </w:rPr>
              <w:t>4</w:t>
            </w:r>
            <w:r>
              <w:rPr>
                <w:spacing w:val="-24"/>
                <w:position w:val="1"/>
              </w:rPr>
              <w:t xml:space="preserve"> </w:t>
            </w:r>
            <w:r>
              <w:rPr>
                <w:spacing w:val="-1"/>
                <w:position w:val="1"/>
              </w:rPr>
              <w:t>月30 日前，组织做好行政执法信息化平台推广应用。</w:t>
            </w:r>
          </w:p>
        </w:tc>
        <w:tc>
          <w:tcPr>
            <w:tcW w:w="2827" w:type="dxa"/>
            <w:vAlign w:val="top"/>
          </w:tcPr>
          <w:p>
            <w:pPr>
              <w:pStyle w:val="TableText"/>
              <w:ind w:left="109" w:right="104"/>
              <w:spacing w:before="275" w:line="246" w:lineRule="auto"/>
              <w:jc w:val="both"/>
              <w:rPr/>
            </w:pPr>
            <w:r>
              <w:rPr>
                <w:spacing w:val="-7"/>
              </w:rPr>
              <w:t>行政执法三项制度全面推行，做到</w:t>
            </w:r>
            <w:r>
              <w:rPr>
                <w:spacing w:val="-7"/>
              </w:rPr>
              <w:t>执法行为过程信息全程记载、执法</w:t>
            </w:r>
            <w:r>
              <w:rPr>
                <w:spacing w:val="-7"/>
              </w:rPr>
              <w:t>全过程可追溯管理、重大执法决定</w:t>
            </w:r>
            <w:r>
              <w:rPr>
                <w:spacing w:val="-7"/>
              </w:rPr>
              <w:t>法制审核全覆盖，实现执法信息公</w:t>
            </w:r>
            <w:r>
              <w:rPr>
                <w:spacing w:val="-7"/>
              </w:rPr>
              <w:t>开透明、执法全过程留痕、执法决</w:t>
            </w:r>
            <w:r>
              <w:rPr>
                <w:spacing w:val="-7"/>
              </w:rPr>
              <w:t>定合法有效，行政执法能力和水平</w:t>
            </w:r>
            <w:r>
              <w:rPr>
                <w:spacing w:val="-1"/>
              </w:rPr>
              <w:t>整体大幅提升。</w:t>
            </w:r>
          </w:p>
        </w:tc>
        <w:tc>
          <w:tcPr>
            <w:tcW w:w="988" w:type="dxa"/>
            <w:vAlign w:val="top"/>
          </w:tcPr>
          <w:p>
            <w:pPr>
              <w:spacing w:line="308" w:lineRule="auto"/>
              <w:rPr>
                <w:rFonts w:ascii="Arial"/>
                <w:sz w:val="21"/>
              </w:rPr>
            </w:pPr>
            <w:r/>
          </w:p>
          <w:p>
            <w:pPr>
              <w:spacing w:line="309" w:lineRule="auto"/>
              <w:rPr>
                <w:rFonts w:ascii="Arial"/>
                <w:sz w:val="21"/>
              </w:rPr>
            </w:pPr>
            <w:r/>
          </w:p>
          <w:p>
            <w:pPr>
              <w:spacing w:line="309" w:lineRule="auto"/>
              <w:rPr>
                <w:rFonts w:ascii="Arial"/>
                <w:sz w:val="21"/>
              </w:rPr>
            </w:pPr>
            <w:r/>
          </w:p>
          <w:p>
            <w:pPr>
              <w:pStyle w:val="TableText"/>
              <w:ind w:left="228"/>
              <w:spacing w:before="58" w:line="214" w:lineRule="auto"/>
              <w:rPr/>
            </w:pPr>
            <w:r>
              <w:rPr>
                <w:spacing w:val="-2"/>
              </w:rPr>
              <w:t>杨建仁</w:t>
            </w:r>
          </w:p>
        </w:tc>
        <w:tc>
          <w:tcPr>
            <w:tcW w:w="1027" w:type="dxa"/>
            <w:vAlign w:val="top"/>
          </w:tcPr>
          <w:p>
            <w:pPr>
              <w:spacing w:line="311" w:lineRule="auto"/>
              <w:rPr>
                <w:rFonts w:ascii="Arial"/>
                <w:sz w:val="21"/>
              </w:rPr>
            </w:pPr>
            <w:r/>
          </w:p>
          <w:p>
            <w:pPr>
              <w:spacing w:line="311" w:lineRule="auto"/>
              <w:rPr>
                <w:rFonts w:ascii="Arial"/>
                <w:sz w:val="21"/>
              </w:rPr>
            </w:pPr>
            <w:r/>
          </w:p>
          <w:p>
            <w:pPr>
              <w:spacing w:line="312" w:lineRule="auto"/>
              <w:rPr>
                <w:rFonts w:ascii="Arial"/>
                <w:sz w:val="21"/>
              </w:rPr>
            </w:pPr>
            <w:r/>
          </w:p>
          <w:p>
            <w:pPr>
              <w:pStyle w:val="TableText"/>
              <w:ind w:left="158"/>
              <w:spacing w:before="58" w:line="204" w:lineRule="auto"/>
              <w:rPr/>
            </w:pPr>
            <w:r>
              <w:rPr>
                <w:spacing w:val="-2"/>
              </w:rPr>
              <w:t>县司法局</w:t>
            </w:r>
          </w:p>
        </w:tc>
        <w:tc>
          <w:tcPr>
            <w:tcW w:w="1227" w:type="dxa"/>
            <w:vAlign w:val="top"/>
          </w:tcPr>
          <w:p>
            <w:pPr>
              <w:pStyle w:val="TableText"/>
              <w:ind w:left="193"/>
              <w:spacing w:before="113" w:line="213" w:lineRule="auto"/>
              <w:rPr/>
            </w:pPr>
            <w:r>
              <w:rPr>
                <w:spacing w:val="-8"/>
              </w:rPr>
              <w:t>自然资源局</w:t>
            </w:r>
          </w:p>
          <w:p>
            <w:pPr>
              <w:pStyle w:val="TableText"/>
              <w:ind w:left="158"/>
              <w:spacing w:before="9" w:line="213" w:lineRule="auto"/>
              <w:rPr/>
            </w:pPr>
            <w:r>
              <w:rPr>
                <w:spacing w:val="-1"/>
              </w:rPr>
              <w:t>住房建设局</w:t>
            </w:r>
          </w:p>
          <w:p>
            <w:pPr>
              <w:pStyle w:val="TableText"/>
              <w:ind w:left="159"/>
              <w:spacing w:before="16" w:line="210" w:lineRule="auto"/>
              <w:rPr/>
            </w:pPr>
            <w:r>
              <w:rPr>
                <w:spacing w:val="-1"/>
              </w:rPr>
              <w:t>交通运输局</w:t>
            </w:r>
          </w:p>
          <w:p>
            <w:pPr>
              <w:pStyle w:val="TableText"/>
              <w:ind w:left="156"/>
              <w:spacing w:before="16" w:line="209" w:lineRule="auto"/>
              <w:rPr/>
            </w:pPr>
            <w:r>
              <w:rPr>
                <w:spacing w:val="-1"/>
              </w:rPr>
              <w:t>农业农村局</w:t>
            </w:r>
          </w:p>
          <w:p>
            <w:pPr>
              <w:pStyle w:val="TableText"/>
              <w:ind w:left="160"/>
              <w:spacing w:before="14" w:line="210" w:lineRule="auto"/>
              <w:rPr/>
            </w:pPr>
            <w:r>
              <w:rPr>
                <w:spacing w:val="-1"/>
              </w:rPr>
              <w:t>市场监管局</w:t>
            </w:r>
          </w:p>
          <w:p>
            <w:pPr>
              <w:pStyle w:val="TableText"/>
              <w:ind w:left="160"/>
              <w:spacing w:before="16" w:line="210" w:lineRule="auto"/>
              <w:rPr/>
            </w:pPr>
            <w:r>
              <w:rPr>
                <w:spacing w:val="-1"/>
              </w:rPr>
              <w:t>市生态环境</w:t>
            </w:r>
          </w:p>
          <w:p>
            <w:pPr>
              <w:pStyle w:val="TableText"/>
              <w:ind w:left="159"/>
              <w:spacing w:before="15" w:line="213" w:lineRule="auto"/>
              <w:rPr/>
            </w:pPr>
            <w:r>
              <w:rPr>
                <w:spacing w:val="-1"/>
              </w:rPr>
              <w:t>局西吉分局</w:t>
            </w:r>
          </w:p>
          <w:p>
            <w:pPr>
              <w:pStyle w:val="TableText"/>
              <w:ind w:left="339" w:right="166" w:hanging="178"/>
              <w:spacing w:before="10" w:line="229" w:lineRule="auto"/>
              <w:rPr/>
            </w:pPr>
            <w:r>
              <w:rPr>
                <w:spacing w:val="-2"/>
              </w:rPr>
              <w:t>等相关部门</w:t>
            </w:r>
            <w:r>
              <w:rPr>
                <w:spacing w:val="-2"/>
              </w:rPr>
              <w:t>各乡镇</w:t>
            </w:r>
          </w:p>
        </w:tc>
      </w:tr>
    </w:tbl>
    <w:p>
      <w:pPr>
        <w:spacing w:line="218" w:lineRule="exact"/>
        <w:rPr>
          <w:rFonts w:ascii="Arial"/>
          <w:sz w:val="18"/>
        </w:rPr>
      </w:pPr>
      <w:r/>
    </w:p>
    <w:p>
      <w:pPr>
        <w:spacing w:line="218" w:lineRule="exact"/>
        <w:sectPr>
          <w:headerReference w:type="default" r:id="rId365"/>
          <w:footerReference w:type="default" r:id="rId366"/>
          <w:pgSz w:w="16839" w:h="11906"/>
          <w:pgMar w:top="1767" w:right="1474" w:bottom="1570" w:left="1463" w:header="1428" w:footer="1172" w:gutter="0"/>
        </w:sectPr>
        <w:rPr>
          <w:rFonts w:ascii="Arial" w:hAnsi="Arial" w:eastAsia="Arial" w:cs="Arial"/>
          <w:sz w:val="18"/>
          <w:szCs w:val="18"/>
        </w:rPr>
      </w:pPr>
    </w:p>
    <w:p>
      <w:pPr>
        <w:spacing w:line="192" w:lineRule="exact"/>
        <w:rPr/>
      </w:pPr>
      <w:r>
        <w:drawing>
          <wp:anchor distT="0" distB="0" distL="0" distR="0" simplePos="0" relativeHeight="251918336"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736" name="IM 736"/>
            <wp:cNvGraphicFramePr/>
            <a:graphic>
              <a:graphicData uri="http://schemas.openxmlformats.org/drawingml/2006/picture">
                <pic:pic>
                  <pic:nvPicPr>
                    <pic:cNvPr id="736" name="IM 736"/>
                    <pic:cNvPicPr/>
                  </pic:nvPicPr>
                  <pic:blipFill>
                    <a:blip r:embed="rId370"/>
                    <a:stretch>
                      <a:fillRect/>
                    </a:stretch>
                  </pic:blipFill>
                  <pic:spPr>
                    <a:xfrm rot="0">
                      <a:off x="0" y="0"/>
                      <a:ext cx="8712200" cy="7620"/>
                    </a:xfrm>
                    <a:prstGeom prst="rect">
                      <a:avLst/>
                    </a:prstGeom>
                  </pic:spPr>
                </pic:pic>
              </a:graphicData>
            </a:graphic>
          </wp:anchor>
        </w:drawing>
      </w:r>
      <w:r/>
    </w:p>
    <w:tbl>
      <w:tblPr>
        <w:tblStyle w:val="TableNormal"/>
        <w:tblW w:w="1390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88"/>
        <w:gridCol w:w="1384"/>
        <w:gridCol w:w="5654"/>
        <w:gridCol w:w="2827"/>
        <w:gridCol w:w="988"/>
        <w:gridCol w:w="1027"/>
        <w:gridCol w:w="1239"/>
      </w:tblGrid>
      <w:tr>
        <w:trPr>
          <w:trHeight w:val="520" w:hRule="atLeast"/>
        </w:trPr>
        <w:tc>
          <w:tcPr>
            <w:tcW w:w="788" w:type="dxa"/>
            <w:vAlign w:val="top"/>
          </w:tcPr>
          <w:p>
            <w:pPr>
              <w:pStyle w:val="TableText"/>
              <w:ind w:left="215"/>
              <w:spacing w:before="160" w:line="214" w:lineRule="auto"/>
              <w:rPr/>
            </w:pPr>
            <w:r>
              <w:rPr>
                <w:b/>
                <w:bCs/>
                <w:spacing w:val="-4"/>
              </w:rPr>
              <w:t>序号</w:t>
            </w:r>
          </w:p>
        </w:tc>
        <w:tc>
          <w:tcPr>
            <w:tcW w:w="1384" w:type="dxa"/>
            <w:vAlign w:val="top"/>
          </w:tcPr>
          <w:p>
            <w:pPr>
              <w:pStyle w:val="TableText"/>
              <w:ind w:left="339"/>
              <w:spacing w:before="160" w:line="213" w:lineRule="auto"/>
              <w:rPr/>
            </w:pPr>
            <w:r>
              <w:rPr>
                <w:b/>
                <w:bCs/>
                <w:spacing w:val="-4"/>
              </w:rPr>
              <w:t>主要任务</w:t>
            </w:r>
          </w:p>
        </w:tc>
        <w:tc>
          <w:tcPr>
            <w:tcW w:w="5654" w:type="dxa"/>
            <w:vAlign w:val="top"/>
          </w:tcPr>
          <w:p>
            <w:pPr>
              <w:pStyle w:val="TableText"/>
              <w:ind w:left="2470"/>
              <w:spacing w:before="162" w:line="211" w:lineRule="auto"/>
              <w:rPr/>
            </w:pPr>
            <w:r>
              <w:rPr>
                <w:b/>
                <w:bCs/>
                <w:spacing w:val="-3"/>
              </w:rPr>
              <w:t>推进措施</w:t>
            </w:r>
          </w:p>
        </w:tc>
        <w:tc>
          <w:tcPr>
            <w:tcW w:w="2827" w:type="dxa"/>
            <w:vAlign w:val="top"/>
          </w:tcPr>
          <w:p>
            <w:pPr>
              <w:pStyle w:val="TableText"/>
              <w:ind w:left="1059"/>
              <w:spacing w:before="161" w:line="211" w:lineRule="auto"/>
              <w:rPr/>
            </w:pPr>
            <w:r>
              <w:rPr>
                <w:b/>
                <w:bCs/>
                <w:spacing w:val="-4"/>
              </w:rPr>
              <w:t>预期目标</w:t>
            </w:r>
          </w:p>
        </w:tc>
        <w:tc>
          <w:tcPr>
            <w:tcW w:w="988" w:type="dxa"/>
            <w:vAlign w:val="top"/>
          </w:tcPr>
          <w:p>
            <w:pPr>
              <w:pStyle w:val="TableText"/>
              <w:ind w:left="139"/>
              <w:spacing w:before="160" w:line="213" w:lineRule="auto"/>
              <w:rPr/>
            </w:pPr>
            <w:r>
              <w:rPr>
                <w:b/>
                <w:bCs/>
                <w:spacing w:val="-3"/>
              </w:rPr>
              <w:t>责任领导</w:t>
            </w:r>
          </w:p>
        </w:tc>
        <w:tc>
          <w:tcPr>
            <w:tcW w:w="1027" w:type="dxa"/>
            <w:vAlign w:val="top"/>
          </w:tcPr>
          <w:p>
            <w:pPr>
              <w:pStyle w:val="TableText"/>
              <w:ind w:left="158"/>
              <w:spacing w:before="160" w:line="212" w:lineRule="auto"/>
              <w:rPr/>
            </w:pPr>
            <w:r>
              <w:rPr>
                <w:b/>
                <w:bCs/>
                <w:spacing w:val="-3"/>
              </w:rPr>
              <w:t>牵头单位</w:t>
            </w:r>
          </w:p>
        </w:tc>
        <w:tc>
          <w:tcPr>
            <w:tcW w:w="1239" w:type="dxa"/>
            <w:vAlign w:val="top"/>
          </w:tcPr>
          <w:p>
            <w:pPr>
              <w:pStyle w:val="TableText"/>
              <w:ind w:left="258"/>
              <w:spacing w:before="160" w:line="214" w:lineRule="auto"/>
              <w:rPr/>
            </w:pPr>
            <w:r>
              <w:rPr>
                <w:b/>
                <w:bCs/>
                <w:spacing w:val="-3"/>
              </w:rPr>
              <w:t>实施单位</w:t>
            </w:r>
          </w:p>
        </w:tc>
      </w:tr>
      <w:tr>
        <w:trPr>
          <w:trHeight w:val="5349" w:hRule="atLeast"/>
        </w:trPr>
        <w:tc>
          <w:tcPr>
            <w:tcW w:w="788" w:type="dxa"/>
            <w:vAlign w:val="top"/>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351"/>
              <w:spacing w:before="58" w:line="261" w:lineRule="exact"/>
              <w:rPr/>
            </w:pPr>
            <w:r>
              <w:rPr>
                <w:position w:val="2"/>
              </w:rPr>
              <w:t>9</w:t>
            </w:r>
          </w:p>
        </w:tc>
        <w:tc>
          <w:tcPr>
            <w:tcW w:w="1384" w:type="dxa"/>
            <w:vAlign w:val="top"/>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419" w:right="241" w:hanging="176"/>
              <w:spacing w:before="59" w:line="281" w:lineRule="auto"/>
              <w:rPr/>
            </w:pPr>
            <w:r>
              <w:rPr>
                <w:spacing w:val="-2"/>
              </w:rPr>
              <w:t>实现“多网</w:t>
            </w:r>
            <w:r>
              <w:rPr>
                <w:spacing w:val="29"/>
              </w:rPr>
              <w:t>合一”</w:t>
            </w:r>
          </w:p>
        </w:tc>
        <w:tc>
          <w:tcPr>
            <w:tcW w:w="5654" w:type="dxa"/>
            <w:vAlign w:val="top"/>
          </w:tcPr>
          <w:p>
            <w:pPr>
              <w:pStyle w:val="TableText"/>
              <w:ind w:left="108" w:right="38" w:firstLine="2"/>
              <w:spacing w:before="104" w:line="263" w:lineRule="auto"/>
              <w:rPr/>
            </w:pPr>
            <w:r>
              <w:rPr>
                <w:spacing w:val="-1"/>
              </w:rPr>
              <w:t>3</w:t>
            </w:r>
            <w:r>
              <w:rPr>
                <w:spacing w:val="-26"/>
              </w:rPr>
              <w:t xml:space="preserve"> </w:t>
            </w:r>
            <w:r>
              <w:rPr>
                <w:spacing w:val="-1"/>
              </w:rPr>
              <w:t>月20 日前，制定具体实施方案，将上级部门在基层设置的多个网格</w:t>
            </w:r>
            <w:r>
              <w:rPr>
                <w:spacing w:val="1"/>
              </w:rPr>
              <w:t>整合为一个综合网格，依托村（社区）合理划分基本网格单元，统筹</w:t>
            </w:r>
            <w:r>
              <w:rPr>
                <w:spacing w:val="-3"/>
              </w:rPr>
              <w:t>网格内党的建设、社会保障、综合治理、应急管理、社会救助等工作。</w:t>
            </w:r>
            <w:r>
              <w:rPr>
                <w:spacing w:val="13"/>
              </w:rPr>
              <w:t xml:space="preserve"> </w:t>
            </w:r>
            <w:r>
              <w:rPr/>
              <w:t>3</w:t>
            </w:r>
            <w:r>
              <w:rPr>
                <w:spacing w:val="-22"/>
              </w:rPr>
              <w:t xml:space="preserve"> </w:t>
            </w:r>
            <w:r>
              <w:rPr/>
              <w:t>月31 日前，结合村“两委换届”科学划分网格，配强配齐网格员，</w:t>
            </w:r>
            <w:r>
              <w:rPr>
                <w:spacing w:val="-1"/>
              </w:rPr>
              <w:t>落实网格员待遇。</w:t>
            </w:r>
          </w:p>
          <w:p>
            <w:pPr>
              <w:pStyle w:val="TableText"/>
              <w:ind w:left="106" w:right="104" w:hanging="1"/>
              <w:spacing w:before="12" w:line="267" w:lineRule="auto"/>
              <w:rPr/>
            </w:pPr>
            <w:r>
              <w:rPr>
                <w:spacing w:val="-3"/>
              </w:rPr>
              <w:t>4</w:t>
            </w:r>
            <w:r>
              <w:rPr>
                <w:spacing w:val="-22"/>
              </w:rPr>
              <w:t xml:space="preserve"> </w:t>
            </w:r>
            <w:r>
              <w:rPr>
                <w:spacing w:val="-3"/>
              </w:rPr>
              <w:t>月</w:t>
            </w:r>
            <w:r>
              <w:rPr>
                <w:spacing w:val="-25"/>
              </w:rPr>
              <w:t xml:space="preserve"> </w:t>
            </w:r>
            <w:r>
              <w:rPr>
                <w:spacing w:val="-3"/>
              </w:rPr>
              <w:t>10 日前，建立健全相关制度，合理确定网格监管任务和事项，将</w:t>
            </w:r>
            <w:r>
              <w:rPr>
                <w:spacing w:val="1"/>
              </w:rPr>
              <w:t>网格内的人、地、物、事、组织等基础信息和社情民意、全程代办服</w:t>
            </w:r>
            <w:r>
              <w:rPr>
                <w:spacing w:val="1"/>
              </w:rPr>
              <w:t>务等事项，全部纳入网格化服务管理工作范围。实行定人、定岗、定</w:t>
            </w:r>
            <w:r>
              <w:rPr>
                <w:spacing w:val="1"/>
              </w:rPr>
              <w:t>责。建立健全网格民情民意调查摸排、快速反馈、分析研判等制度，</w:t>
            </w:r>
            <w:r>
              <w:rPr>
                <w:spacing w:val="1"/>
              </w:rPr>
              <w:t>推动需求在网格征集、资源在网格整合、问题在网格解决，提高基层</w:t>
            </w:r>
            <w:r>
              <w:rPr>
                <w:spacing w:val="-1"/>
              </w:rPr>
              <w:t>治理精准化水平。</w:t>
            </w:r>
          </w:p>
          <w:p>
            <w:pPr>
              <w:pStyle w:val="TableText"/>
              <w:ind w:left="108" w:right="104" w:hanging="3"/>
              <w:spacing w:before="1" w:line="265" w:lineRule="auto"/>
              <w:rPr/>
            </w:pPr>
            <w:r>
              <w:rPr>
                <w:spacing w:val="-3"/>
              </w:rPr>
              <w:t>4</w:t>
            </w:r>
            <w:r>
              <w:rPr>
                <w:spacing w:val="-22"/>
              </w:rPr>
              <w:t xml:space="preserve"> </w:t>
            </w:r>
            <w:r>
              <w:rPr>
                <w:spacing w:val="-3"/>
              </w:rPr>
              <w:t>月</w:t>
            </w:r>
            <w:r>
              <w:rPr>
                <w:spacing w:val="-25"/>
              </w:rPr>
              <w:t xml:space="preserve"> </w:t>
            </w:r>
            <w:r>
              <w:rPr>
                <w:spacing w:val="-3"/>
              </w:rPr>
              <w:t>10 日前，强化党建引领，将党支部或党小组建在网格上，以网格</w:t>
            </w:r>
            <w:r>
              <w:rPr>
                <w:spacing w:val="1"/>
              </w:rPr>
              <w:t>为基本单元，设立党员示范岗、党员先锋岗、党员责任区等，选优配</w:t>
            </w:r>
            <w:r>
              <w:rPr>
                <w:spacing w:val="-1"/>
              </w:rPr>
              <w:t>强党支部书记或党小组组长。</w:t>
            </w:r>
          </w:p>
          <w:p>
            <w:pPr>
              <w:pStyle w:val="TableText"/>
              <w:ind w:left="109" w:right="104" w:hanging="4"/>
              <w:spacing w:before="3" w:line="267" w:lineRule="auto"/>
              <w:rPr/>
            </w:pPr>
            <w:r>
              <w:rPr>
                <w:spacing w:val="-1"/>
              </w:rPr>
              <w:t>4</w:t>
            </w:r>
            <w:r>
              <w:rPr>
                <w:spacing w:val="-21"/>
              </w:rPr>
              <w:t xml:space="preserve"> </w:t>
            </w:r>
            <w:r>
              <w:rPr>
                <w:spacing w:val="-1"/>
              </w:rPr>
              <w:t>月20 日前，制定完善村（社区）党支部、党小组及网格员管理考核</w:t>
            </w:r>
            <w:r>
              <w:rPr>
                <w:spacing w:val="-1"/>
              </w:rPr>
              <w:t>奖励办法（细则）和工作人员薪酬福利奖励政策。</w:t>
            </w:r>
          </w:p>
          <w:p>
            <w:pPr>
              <w:pStyle w:val="TableText"/>
              <w:ind w:left="106" w:right="104" w:hanging="1"/>
              <w:spacing w:line="267" w:lineRule="auto"/>
              <w:rPr/>
            </w:pPr>
            <w:r>
              <w:rPr>
                <w:spacing w:val="-1"/>
              </w:rPr>
              <w:t>4</w:t>
            </w:r>
            <w:r>
              <w:rPr>
                <w:spacing w:val="-21"/>
              </w:rPr>
              <w:t xml:space="preserve"> </w:t>
            </w:r>
            <w:r>
              <w:rPr>
                <w:spacing w:val="-1"/>
              </w:rPr>
              <w:t>月30 日前，创新管理机制，打造样板模式，以点带面，推进网格化</w:t>
            </w:r>
            <w:r>
              <w:rPr/>
              <w:t>服务管理标准化建设，细化工作流程，推进城乡统筹，</w:t>
            </w:r>
            <w:r>
              <w:rPr>
                <w:spacing w:val="-1"/>
              </w:rPr>
              <w:t>提高网格管理</w:t>
            </w:r>
            <w:r>
              <w:rPr/>
              <w:t>规范化精细化水平，加强网格资源配置，把公共服务、</w:t>
            </w:r>
            <w:r>
              <w:rPr>
                <w:spacing w:val="-1"/>
              </w:rPr>
              <w:t>社会服务、市</w:t>
            </w:r>
            <w:r>
              <w:rPr>
                <w:spacing w:val="-1"/>
              </w:rPr>
              <w:t>场服务、志愿服务下沉到网格，精准投送到千家万户。</w:t>
            </w:r>
          </w:p>
        </w:tc>
        <w:tc>
          <w:tcPr>
            <w:tcW w:w="2827" w:type="dxa"/>
            <w:vAlign w:val="top"/>
          </w:tcPr>
          <w:p>
            <w:pPr>
              <w:spacing w:line="302" w:lineRule="auto"/>
              <w:rPr>
                <w:rFonts w:ascii="Arial"/>
                <w:sz w:val="21"/>
              </w:rPr>
            </w:pPr>
            <w:r/>
          </w:p>
          <w:p>
            <w:pPr>
              <w:pStyle w:val="TableText"/>
              <w:ind w:left="175" w:firstLine="16"/>
              <w:spacing w:before="59" w:line="268" w:lineRule="auto"/>
              <w:rPr/>
            </w:pPr>
            <w:r>
              <w:rPr>
                <w:spacing w:val="-5"/>
              </w:rPr>
              <w:t>1.整合设置基层综合网络，建立</w:t>
            </w:r>
            <w:r>
              <w:rPr>
                <w:spacing w:val="3"/>
              </w:rPr>
              <w:t xml:space="preserve"> </w:t>
            </w:r>
            <w:r>
              <w:rPr>
                <w:spacing w:val="-4"/>
              </w:rPr>
              <w:t>以乡镇为主体、以网格为基本单</w:t>
            </w:r>
            <w:r>
              <w:rPr>
                <w:spacing w:val="3"/>
              </w:rPr>
              <w:t xml:space="preserve"> </w:t>
            </w:r>
            <w:r>
              <w:rPr>
                <w:spacing w:val="-15"/>
              </w:rPr>
              <w:t>元、以村(社区)为统领的基层精细</w:t>
            </w:r>
            <w:r>
              <w:rPr>
                <w:spacing w:val="4"/>
              </w:rPr>
              <w:t xml:space="preserve"> </w:t>
            </w:r>
            <w:r>
              <w:rPr>
                <w:spacing w:val="-4"/>
              </w:rPr>
              <w:t>化管理体系，实现从“行政末端”</w:t>
            </w:r>
            <w:r>
              <w:rPr>
                <w:spacing w:val="-15"/>
              </w:rPr>
              <w:t>向“治理中枢”的转变，村(社区)</w:t>
            </w:r>
            <w:r>
              <w:rPr>
                <w:spacing w:val="4"/>
              </w:rPr>
              <w:t xml:space="preserve"> </w:t>
            </w:r>
            <w:r>
              <w:rPr>
                <w:spacing w:val="3"/>
              </w:rPr>
              <w:t>实现从“抓事务”到“抓服务”</w:t>
            </w:r>
            <w:r>
              <w:rPr>
                <w:spacing w:val="-4"/>
              </w:rPr>
              <w:t>的转型。完成年度平安建设考核</w:t>
            </w:r>
            <w:r>
              <w:rPr>
                <w:spacing w:val="3"/>
              </w:rPr>
              <w:t xml:space="preserve"> </w:t>
            </w:r>
            <w:r>
              <w:rPr>
                <w:spacing w:val="-5"/>
              </w:rPr>
              <w:t>考评工作。</w:t>
            </w:r>
          </w:p>
          <w:p>
            <w:pPr>
              <w:pStyle w:val="TableText"/>
              <w:ind w:left="176" w:right="104" w:firstLine="1"/>
              <w:spacing w:before="55" w:line="264" w:lineRule="auto"/>
              <w:rPr/>
            </w:pPr>
            <w:r>
              <w:rPr>
                <w:spacing w:val="-11"/>
              </w:rPr>
              <w:t>2.推动实现“两网合一”，将党建</w:t>
            </w:r>
            <w:r>
              <w:rPr>
                <w:spacing w:val="1"/>
              </w:rPr>
              <w:t>服务点设在网格，实现党的组织</w:t>
            </w:r>
            <w:r>
              <w:rPr>
                <w:spacing w:val="1"/>
              </w:rPr>
              <w:t>和工作全覆盖。推进单位党建、</w:t>
            </w:r>
            <w:r>
              <w:rPr>
                <w:spacing w:val="1"/>
              </w:rPr>
              <w:t>行业党建、区域党建互联互动，</w:t>
            </w:r>
            <w:r>
              <w:rPr>
                <w:spacing w:val="-1"/>
              </w:rPr>
              <w:t>不断提高基层治理现代化水平。</w:t>
            </w:r>
          </w:p>
          <w:p>
            <w:pPr>
              <w:pStyle w:val="TableText"/>
              <w:ind w:left="175" w:right="104" w:firstLine="5"/>
              <w:spacing w:before="57" w:line="261" w:lineRule="auto"/>
              <w:rPr/>
            </w:pPr>
            <w:r>
              <w:rPr>
                <w:spacing w:val="1"/>
              </w:rPr>
              <w:t>3.进一步提升村（社区）网格化</w:t>
            </w:r>
            <w:r>
              <w:rPr>
                <w:spacing w:val="1"/>
              </w:rPr>
              <w:t>管理服务规范化精细化水平，网</w:t>
            </w:r>
            <w:r>
              <w:rPr>
                <w:spacing w:val="1"/>
              </w:rPr>
              <w:t>格划分更加科学合理、网格员队</w:t>
            </w:r>
            <w:r>
              <w:rPr>
                <w:spacing w:val="-1"/>
              </w:rPr>
              <w:t>伍能力素质得到进一步提升。</w:t>
            </w:r>
          </w:p>
        </w:tc>
        <w:tc>
          <w:tcPr>
            <w:tcW w:w="988"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pStyle w:val="TableText"/>
              <w:ind w:left="227" w:right="218" w:firstLine="4"/>
              <w:spacing w:before="58" w:line="280" w:lineRule="auto"/>
              <w:rPr/>
            </w:pPr>
            <w:r>
              <w:rPr>
                <w:spacing w:val="-3"/>
              </w:rPr>
              <w:t>高耀明</w:t>
            </w:r>
            <w:r>
              <w:rPr>
                <w:spacing w:val="-1"/>
              </w:rPr>
              <w:t>李喜生</w:t>
            </w:r>
          </w:p>
        </w:tc>
        <w:tc>
          <w:tcPr>
            <w:tcW w:w="1027"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71"/>
              <w:spacing w:before="59" w:line="210" w:lineRule="auto"/>
              <w:rPr/>
            </w:pPr>
            <w:r>
              <w:rPr>
                <w:spacing w:val="-1"/>
              </w:rPr>
              <w:t>县委组织部</w:t>
            </w:r>
          </w:p>
          <w:p>
            <w:pPr>
              <w:pStyle w:val="TableText"/>
              <w:ind w:left="157" w:right="55" w:hanging="86"/>
              <w:spacing w:before="62" w:line="279" w:lineRule="auto"/>
              <w:rPr/>
            </w:pPr>
            <w:r>
              <w:rPr>
                <w:spacing w:val="-1"/>
              </w:rPr>
              <w:t>县委政法委</w:t>
            </w:r>
            <w:r>
              <w:rPr>
                <w:spacing w:val="-2"/>
              </w:rPr>
              <w:t>县民政局</w:t>
            </w:r>
          </w:p>
        </w:tc>
        <w:tc>
          <w:tcPr>
            <w:tcW w:w="1239" w:type="dxa"/>
            <w:vAlign w:val="top"/>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165"/>
              <w:spacing w:before="58" w:line="212" w:lineRule="auto"/>
              <w:rPr/>
            </w:pPr>
            <w:r>
              <w:rPr>
                <w:spacing w:val="-1"/>
              </w:rPr>
              <w:t>县人力资源</w:t>
            </w:r>
          </w:p>
          <w:p>
            <w:pPr>
              <w:pStyle w:val="TableText"/>
              <w:ind w:left="163"/>
              <w:spacing w:before="58" w:line="213" w:lineRule="auto"/>
              <w:rPr/>
            </w:pPr>
            <w:r>
              <w:rPr>
                <w:spacing w:val="-1"/>
              </w:rPr>
              <w:t>社会保障局</w:t>
            </w:r>
          </w:p>
          <w:p>
            <w:pPr>
              <w:pStyle w:val="TableText"/>
              <w:ind w:left="345"/>
              <w:spacing w:before="63" w:line="211" w:lineRule="auto"/>
              <w:rPr/>
            </w:pPr>
            <w:r>
              <w:rPr>
                <w:spacing w:val="-2"/>
              </w:rPr>
              <w:t>财政局</w:t>
            </w:r>
          </w:p>
          <w:p>
            <w:pPr>
              <w:pStyle w:val="TableText"/>
              <w:ind w:left="163"/>
              <w:spacing w:before="63" w:line="210" w:lineRule="auto"/>
              <w:rPr/>
            </w:pPr>
            <w:r>
              <w:rPr>
                <w:spacing w:val="-1"/>
              </w:rPr>
              <w:t>应急管理局</w:t>
            </w:r>
          </w:p>
          <w:p>
            <w:pPr>
              <w:pStyle w:val="TableText"/>
              <w:ind w:left="166"/>
              <w:spacing w:before="62" w:line="213" w:lineRule="auto"/>
              <w:rPr/>
            </w:pPr>
            <w:r>
              <w:rPr>
                <w:spacing w:val="-2"/>
              </w:rPr>
              <w:t>等相关部门</w:t>
            </w:r>
          </w:p>
          <w:p>
            <w:pPr>
              <w:pStyle w:val="TableText"/>
              <w:ind w:left="344"/>
              <w:spacing w:before="61" w:line="211" w:lineRule="auto"/>
              <w:rPr/>
            </w:pPr>
            <w:r>
              <w:rPr>
                <w:spacing w:val="-2"/>
              </w:rPr>
              <w:t>各乡镇</w:t>
            </w:r>
          </w:p>
        </w:tc>
      </w:tr>
      <w:tr>
        <w:trPr>
          <w:trHeight w:val="2166" w:hRule="atLeast"/>
        </w:trPr>
        <w:tc>
          <w:tcPr>
            <w:tcW w:w="788" w:type="dxa"/>
            <w:vAlign w:val="top"/>
          </w:tcPr>
          <w:p>
            <w:pPr>
              <w:spacing w:line="305" w:lineRule="auto"/>
              <w:rPr>
                <w:rFonts w:ascii="Arial"/>
                <w:sz w:val="21"/>
              </w:rPr>
            </w:pPr>
            <w:r/>
          </w:p>
          <w:p>
            <w:pPr>
              <w:spacing w:line="306" w:lineRule="auto"/>
              <w:rPr>
                <w:rFonts w:ascii="Arial"/>
                <w:sz w:val="21"/>
              </w:rPr>
            </w:pPr>
            <w:r/>
          </w:p>
          <w:p>
            <w:pPr>
              <w:spacing w:line="306" w:lineRule="auto"/>
              <w:rPr>
                <w:rFonts w:ascii="Arial"/>
                <w:sz w:val="21"/>
              </w:rPr>
            </w:pPr>
            <w:r/>
          </w:p>
          <w:p>
            <w:pPr>
              <w:pStyle w:val="TableText"/>
              <w:ind w:left="322"/>
              <w:spacing w:before="58" w:line="261" w:lineRule="exact"/>
              <w:rPr/>
            </w:pPr>
            <w:r>
              <w:rPr>
                <w:spacing w:val="-11"/>
                <w:position w:val="1"/>
              </w:rPr>
              <w:t>10</w:t>
            </w:r>
          </w:p>
        </w:tc>
        <w:tc>
          <w:tcPr>
            <w:tcW w:w="1384" w:type="dxa"/>
            <w:vAlign w:val="top"/>
          </w:tcPr>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511" w:right="330" w:hanging="179"/>
              <w:spacing w:before="59" w:line="267" w:lineRule="auto"/>
              <w:rPr/>
            </w:pPr>
            <w:r>
              <w:rPr>
                <w:spacing w:val="-2"/>
              </w:rPr>
              <w:t>加快平台</w:t>
            </w:r>
            <w:r>
              <w:rPr>
                <w:spacing w:val="-2"/>
              </w:rPr>
              <w:t>建设</w:t>
            </w:r>
          </w:p>
        </w:tc>
        <w:tc>
          <w:tcPr>
            <w:tcW w:w="5654" w:type="dxa"/>
            <w:vAlign w:val="top"/>
          </w:tcPr>
          <w:p>
            <w:pPr>
              <w:pStyle w:val="TableText"/>
              <w:ind w:left="105" w:right="104"/>
              <w:spacing w:before="71" w:line="267" w:lineRule="auto"/>
              <w:jc w:val="both"/>
              <w:rPr/>
            </w:pPr>
            <w:r>
              <w:rPr>
                <w:spacing w:val="-3"/>
              </w:rPr>
              <w:t>4</w:t>
            </w:r>
            <w:r>
              <w:rPr>
                <w:spacing w:val="-22"/>
              </w:rPr>
              <w:t xml:space="preserve"> </w:t>
            </w:r>
            <w:r>
              <w:rPr>
                <w:spacing w:val="-3"/>
              </w:rPr>
              <w:t>月</w:t>
            </w:r>
            <w:r>
              <w:rPr>
                <w:spacing w:val="-25"/>
              </w:rPr>
              <w:t xml:space="preserve"> </w:t>
            </w:r>
            <w:r>
              <w:rPr>
                <w:spacing w:val="-3"/>
              </w:rPr>
              <w:t>10 日前，对接上级部门，按照要求整合信息，收集、录入人口等</w:t>
            </w:r>
            <w:r>
              <w:rPr/>
              <w:t>数据。整合现有设在乡镇的党的建设、综合治理、社区治理</w:t>
            </w:r>
            <w:r>
              <w:rPr>
                <w:spacing w:val="-1"/>
              </w:rPr>
              <w:t>、数字城</w:t>
            </w:r>
            <w:r>
              <w:rPr/>
              <w:t>管等各系统指挥信息资源，强化信息共享和技术支撑，将上</w:t>
            </w:r>
            <w:r>
              <w:rPr>
                <w:spacing w:val="-1"/>
              </w:rPr>
              <w:t>级相关部</w:t>
            </w:r>
            <w:r>
              <w:rPr/>
              <w:t>门的视频监控等接入基层综合指挥平台，建立一体化的信息</w:t>
            </w:r>
            <w:r>
              <w:rPr>
                <w:spacing w:val="-1"/>
              </w:rPr>
              <w:t>系统和综</w:t>
            </w:r>
            <w:r>
              <w:rPr>
                <w:spacing w:val="-1"/>
              </w:rPr>
              <w:t>合指挥平台。</w:t>
            </w:r>
          </w:p>
          <w:p>
            <w:pPr>
              <w:pStyle w:val="TableText"/>
              <w:ind w:left="108" w:right="104" w:hanging="3"/>
              <w:spacing w:line="264" w:lineRule="auto"/>
              <w:jc w:val="both"/>
              <w:rPr/>
            </w:pPr>
            <w:r>
              <w:rPr>
                <w:spacing w:val="-1"/>
              </w:rPr>
              <w:t>4</w:t>
            </w:r>
            <w:r>
              <w:rPr>
                <w:spacing w:val="-21"/>
              </w:rPr>
              <w:t xml:space="preserve"> </w:t>
            </w:r>
            <w:r>
              <w:rPr>
                <w:spacing w:val="-1"/>
              </w:rPr>
              <w:t>月20 日前，发挥科技支撑作用，完善立体化、法治化、专业化、智</w:t>
            </w:r>
            <w:r>
              <w:rPr/>
              <w:t>能化社会治安防控体系，加快“雪亮工程”建设，继</w:t>
            </w:r>
            <w:r>
              <w:rPr>
                <w:spacing w:val="-1"/>
              </w:rPr>
              <w:t>续整合公安、城</w:t>
            </w:r>
            <w:r>
              <w:rPr/>
              <w:t>管等部门视频资源，构建全县统一共享应用体系，实</w:t>
            </w:r>
            <w:r>
              <w:rPr>
                <w:spacing w:val="-1"/>
              </w:rPr>
              <w:t>现视频图像按需</w:t>
            </w:r>
          </w:p>
        </w:tc>
        <w:tc>
          <w:tcPr>
            <w:tcW w:w="2827" w:type="dxa"/>
            <w:vAlign w:val="top"/>
          </w:tcPr>
          <w:p>
            <w:pPr>
              <w:pStyle w:val="TableText"/>
              <w:ind w:left="108" w:right="38" w:firstLine="17"/>
              <w:spacing w:before="21" w:line="239" w:lineRule="auto"/>
              <w:rPr/>
            </w:pPr>
            <w:r>
              <w:rPr>
                <w:spacing w:val="4"/>
              </w:rPr>
              <w:t>1.上级相关部门的视频监控等尽</w:t>
            </w:r>
            <w:r>
              <w:rPr>
                <w:spacing w:val="-7"/>
              </w:rPr>
              <w:t>可能接入基层综合指挥平台，实现</w:t>
            </w:r>
            <w:r>
              <w:rPr>
                <w:spacing w:val="-2"/>
              </w:rPr>
              <w:t>互联互通、信息共享、实时监控、</w:t>
            </w:r>
            <w:r>
              <w:rPr>
                <w:spacing w:val="-1"/>
              </w:rPr>
              <w:t>综合监测。</w:t>
            </w:r>
          </w:p>
          <w:p>
            <w:pPr>
              <w:pStyle w:val="TableText"/>
              <w:ind w:left="111" w:right="101"/>
              <w:spacing w:before="26" w:line="239" w:lineRule="auto"/>
              <w:rPr/>
            </w:pPr>
            <w:r>
              <w:rPr>
                <w:spacing w:val="-6"/>
              </w:rPr>
              <w:t>2.通过建立健全发现问题、流转交</w:t>
            </w:r>
            <w:r>
              <w:rPr>
                <w:spacing w:val="-7"/>
              </w:rPr>
              <w:t>办、协调联动、研判预警、督查考</w:t>
            </w:r>
            <w:r>
              <w:rPr>
                <w:spacing w:val="-7"/>
              </w:rPr>
              <w:t>核等综合指挥工作机制，实现基层</w:t>
            </w:r>
            <w:r>
              <w:rPr>
                <w:spacing w:val="-1"/>
              </w:rPr>
              <w:t>管理跨部门、跨层级协同运转。</w:t>
            </w:r>
          </w:p>
          <w:p>
            <w:pPr>
              <w:pStyle w:val="TableText"/>
              <w:ind w:left="114"/>
              <w:spacing w:before="29" w:line="220" w:lineRule="auto"/>
              <w:rPr/>
            </w:pPr>
            <w:r>
              <w:rPr>
                <w:spacing w:val="5"/>
              </w:rPr>
              <w:t>3.初步实现政法部门公共数据汇</w:t>
            </w:r>
          </w:p>
        </w:tc>
        <w:tc>
          <w:tcPr>
            <w:tcW w:w="988" w:type="dxa"/>
            <w:vAlign w:val="top"/>
          </w:tcPr>
          <w:p>
            <w:pPr>
              <w:spacing w:line="306" w:lineRule="auto"/>
              <w:rPr>
                <w:rFonts w:ascii="Arial"/>
                <w:sz w:val="21"/>
              </w:rPr>
            </w:pPr>
            <w:r/>
          </w:p>
          <w:p>
            <w:pPr>
              <w:spacing w:line="307" w:lineRule="auto"/>
              <w:rPr>
                <w:rFonts w:ascii="Arial"/>
                <w:sz w:val="21"/>
              </w:rPr>
            </w:pPr>
            <w:r/>
          </w:p>
          <w:p>
            <w:pPr>
              <w:spacing w:line="307" w:lineRule="auto"/>
              <w:rPr>
                <w:rFonts w:ascii="Arial"/>
                <w:sz w:val="21"/>
              </w:rPr>
            </w:pPr>
            <w:r/>
          </w:p>
          <w:p>
            <w:pPr>
              <w:pStyle w:val="TableText"/>
              <w:ind w:left="226"/>
              <w:spacing w:before="59" w:line="212" w:lineRule="auto"/>
              <w:rPr/>
            </w:pPr>
            <w:r>
              <w:rPr>
                <w:spacing w:val="-1"/>
              </w:rPr>
              <w:t>潘存国</w:t>
            </w:r>
          </w:p>
        </w:tc>
        <w:tc>
          <w:tcPr>
            <w:tcW w:w="1027"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336" w:right="240" w:hanging="90"/>
              <w:spacing w:before="59" w:line="270" w:lineRule="auto"/>
              <w:rPr/>
            </w:pPr>
            <w:r>
              <w:rPr>
                <w:spacing w:val="-2"/>
              </w:rPr>
              <w:t>县委政</w:t>
            </w:r>
            <w:r>
              <w:rPr>
                <w:spacing w:val="-3"/>
              </w:rPr>
              <w:t>法委</w:t>
            </w:r>
          </w:p>
        </w:tc>
        <w:tc>
          <w:tcPr>
            <w:tcW w:w="1239" w:type="dxa"/>
            <w:vAlign w:val="top"/>
          </w:tcPr>
          <w:p>
            <w:pPr>
              <w:pStyle w:val="TableText"/>
              <w:ind w:left="366" w:right="166" w:hanging="194"/>
              <w:spacing w:before="76" w:line="267" w:lineRule="auto"/>
              <w:rPr/>
            </w:pPr>
            <w:r>
              <w:rPr>
                <w:spacing w:val="-1"/>
              </w:rPr>
              <w:t>县委组织部</w:t>
            </w:r>
            <w:r>
              <w:rPr>
                <w:spacing w:val="-7"/>
              </w:rPr>
              <w:t>网信办</w:t>
            </w:r>
          </w:p>
          <w:p>
            <w:pPr>
              <w:pStyle w:val="TableText"/>
              <w:ind w:left="261"/>
              <w:spacing w:line="209" w:lineRule="auto"/>
              <w:rPr/>
            </w:pPr>
            <w:r>
              <w:rPr>
                <w:spacing w:val="-2"/>
              </w:rPr>
              <w:t>县政府办</w:t>
            </w:r>
          </w:p>
          <w:p>
            <w:pPr>
              <w:pStyle w:val="TableText"/>
              <w:ind w:left="172"/>
              <w:spacing w:before="55" w:line="210" w:lineRule="auto"/>
              <w:rPr/>
            </w:pPr>
            <w:r>
              <w:rPr>
                <w:spacing w:val="-1"/>
              </w:rPr>
              <w:t>发展改革局</w:t>
            </w:r>
          </w:p>
          <w:p>
            <w:pPr>
              <w:pStyle w:val="TableText"/>
              <w:ind w:left="261"/>
              <w:spacing w:before="52" w:line="213" w:lineRule="auto"/>
              <w:rPr/>
            </w:pPr>
            <w:r>
              <w:rPr>
                <w:spacing w:val="-2"/>
              </w:rPr>
              <w:t>商务工业</w:t>
            </w:r>
          </w:p>
          <w:p>
            <w:pPr>
              <w:pStyle w:val="TableText"/>
              <w:ind w:left="349" w:right="257" w:hanging="89"/>
              <w:spacing w:before="53" w:line="267" w:lineRule="auto"/>
              <w:rPr/>
            </w:pPr>
            <w:r>
              <w:rPr>
                <w:spacing w:val="-1"/>
              </w:rPr>
              <w:t>信息化局</w:t>
            </w:r>
            <w:r>
              <w:rPr>
                <w:spacing w:val="-1"/>
              </w:rPr>
              <w:t>公安局</w:t>
            </w:r>
          </w:p>
          <w:p>
            <w:pPr>
              <w:pStyle w:val="TableText"/>
              <w:ind w:left="367"/>
              <w:spacing w:before="1" w:line="210" w:lineRule="auto"/>
              <w:rPr/>
            </w:pPr>
            <w:r>
              <w:rPr>
                <w:spacing w:val="-7"/>
              </w:rPr>
              <w:t>民政局</w:t>
            </w:r>
          </w:p>
        </w:tc>
      </w:tr>
    </w:tbl>
    <w:p>
      <w:pPr>
        <w:spacing w:line="182" w:lineRule="exact"/>
        <w:rPr>
          <w:rFonts w:ascii="Arial"/>
          <w:sz w:val="15"/>
        </w:rPr>
      </w:pPr>
      <w:r/>
    </w:p>
    <w:p>
      <w:pPr>
        <w:spacing w:line="182" w:lineRule="exact"/>
        <w:sectPr>
          <w:headerReference w:type="default" r:id="rId368"/>
          <w:footerReference w:type="default" r:id="rId369"/>
          <w:pgSz w:w="16839" w:h="11906"/>
          <w:pgMar w:top="1792" w:right="1462" w:bottom="1672" w:left="1463" w:header="1428" w:footer="1277" w:gutter="0"/>
        </w:sectPr>
        <w:rPr>
          <w:rFonts w:ascii="Arial" w:hAnsi="Arial" w:eastAsia="Arial" w:cs="Arial"/>
          <w:sz w:val="15"/>
          <w:szCs w:val="15"/>
        </w:rPr>
      </w:pPr>
    </w:p>
    <w:p>
      <w:pPr>
        <w:spacing w:line="177" w:lineRule="exact"/>
        <w:rPr/>
      </w:pPr>
      <w:r>
        <w:drawing>
          <wp:anchor distT="0" distB="0" distL="0" distR="0" simplePos="0" relativeHeight="251920384" behindDoc="0" locked="0" layoutInCell="0" allowOverlap="1">
            <wp:simplePos x="0" y="0"/>
            <wp:positionH relativeFrom="page">
              <wp:posOffset>1008380</wp:posOffset>
            </wp:positionH>
            <wp:positionV relativeFrom="page">
              <wp:posOffset>1147445</wp:posOffset>
            </wp:positionV>
            <wp:extent cx="8712200" cy="7620"/>
            <wp:effectExtent l="0" t="0" r="0" b="0"/>
            <wp:wrapNone/>
            <wp:docPr id="742" name="IM 742"/>
            <wp:cNvGraphicFramePr/>
            <a:graphic>
              <a:graphicData uri="http://schemas.openxmlformats.org/drawingml/2006/picture">
                <pic:pic>
                  <pic:nvPicPr>
                    <pic:cNvPr id="742" name="IM 742"/>
                    <pic:cNvPicPr/>
                  </pic:nvPicPr>
                  <pic:blipFill>
                    <a:blip r:embed="rId373"/>
                    <a:stretch>
                      <a:fillRect/>
                    </a:stretch>
                  </pic:blipFill>
                  <pic:spPr>
                    <a:xfrm rot="0">
                      <a:off x="0" y="0"/>
                      <a:ext cx="8712200" cy="7620"/>
                    </a:xfrm>
                    <a:prstGeom prst="rect">
                      <a:avLst/>
                    </a:prstGeom>
                  </pic:spPr>
                </pic:pic>
              </a:graphicData>
            </a:graphic>
          </wp:anchor>
        </w:drawing>
      </w:r>
      <w:r/>
    </w:p>
    <w:tbl>
      <w:tblPr>
        <w:tblStyle w:val="TableNormal"/>
        <w:tblW w:w="1390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88"/>
        <w:gridCol w:w="1384"/>
        <w:gridCol w:w="5654"/>
        <w:gridCol w:w="2827"/>
        <w:gridCol w:w="988"/>
        <w:gridCol w:w="1027"/>
        <w:gridCol w:w="1239"/>
      </w:tblGrid>
      <w:tr>
        <w:trPr>
          <w:trHeight w:val="520" w:hRule="atLeast"/>
        </w:trPr>
        <w:tc>
          <w:tcPr>
            <w:tcW w:w="788" w:type="dxa"/>
            <w:vAlign w:val="top"/>
          </w:tcPr>
          <w:p>
            <w:pPr>
              <w:pStyle w:val="TableText"/>
              <w:ind w:left="215"/>
              <w:spacing w:before="159" w:line="214" w:lineRule="auto"/>
              <w:rPr/>
            </w:pPr>
            <w:r>
              <w:rPr>
                <w:b/>
                <w:bCs/>
                <w:spacing w:val="-4"/>
              </w:rPr>
              <w:t>序号</w:t>
            </w:r>
          </w:p>
        </w:tc>
        <w:tc>
          <w:tcPr>
            <w:tcW w:w="1384" w:type="dxa"/>
            <w:vAlign w:val="top"/>
          </w:tcPr>
          <w:p>
            <w:pPr>
              <w:pStyle w:val="TableText"/>
              <w:ind w:left="339"/>
              <w:spacing w:before="159" w:line="213" w:lineRule="auto"/>
              <w:rPr/>
            </w:pPr>
            <w:r>
              <w:rPr>
                <w:b/>
                <w:bCs/>
                <w:spacing w:val="-4"/>
              </w:rPr>
              <w:t>主要任务</w:t>
            </w:r>
          </w:p>
        </w:tc>
        <w:tc>
          <w:tcPr>
            <w:tcW w:w="5654" w:type="dxa"/>
            <w:vAlign w:val="top"/>
          </w:tcPr>
          <w:p>
            <w:pPr>
              <w:pStyle w:val="TableText"/>
              <w:ind w:left="2470"/>
              <w:spacing w:before="161" w:line="211" w:lineRule="auto"/>
              <w:rPr/>
            </w:pPr>
            <w:r>
              <w:rPr>
                <w:b/>
                <w:bCs/>
                <w:spacing w:val="-3"/>
              </w:rPr>
              <w:t>推进措施</w:t>
            </w:r>
          </w:p>
        </w:tc>
        <w:tc>
          <w:tcPr>
            <w:tcW w:w="2827" w:type="dxa"/>
            <w:vAlign w:val="top"/>
          </w:tcPr>
          <w:p>
            <w:pPr>
              <w:pStyle w:val="TableText"/>
              <w:ind w:left="1059"/>
              <w:spacing w:before="160" w:line="211" w:lineRule="auto"/>
              <w:rPr/>
            </w:pPr>
            <w:r>
              <w:rPr>
                <w:b/>
                <w:bCs/>
                <w:spacing w:val="-4"/>
              </w:rPr>
              <w:t>预期目标</w:t>
            </w:r>
          </w:p>
        </w:tc>
        <w:tc>
          <w:tcPr>
            <w:tcW w:w="988" w:type="dxa"/>
            <w:vAlign w:val="top"/>
          </w:tcPr>
          <w:p>
            <w:pPr>
              <w:pStyle w:val="TableText"/>
              <w:ind w:left="139"/>
              <w:spacing w:before="159" w:line="213" w:lineRule="auto"/>
              <w:rPr/>
            </w:pPr>
            <w:r>
              <w:rPr>
                <w:b/>
                <w:bCs/>
                <w:spacing w:val="-3"/>
              </w:rPr>
              <w:t>责任领导</w:t>
            </w:r>
          </w:p>
        </w:tc>
        <w:tc>
          <w:tcPr>
            <w:tcW w:w="1027" w:type="dxa"/>
            <w:vAlign w:val="top"/>
          </w:tcPr>
          <w:p>
            <w:pPr>
              <w:pStyle w:val="TableText"/>
              <w:ind w:left="158"/>
              <w:spacing w:before="160" w:line="212" w:lineRule="auto"/>
              <w:rPr/>
            </w:pPr>
            <w:r>
              <w:rPr>
                <w:b/>
                <w:bCs/>
                <w:spacing w:val="-3"/>
              </w:rPr>
              <w:t>牵头单位</w:t>
            </w:r>
          </w:p>
        </w:tc>
        <w:tc>
          <w:tcPr>
            <w:tcW w:w="1239" w:type="dxa"/>
            <w:vAlign w:val="top"/>
          </w:tcPr>
          <w:p>
            <w:pPr>
              <w:pStyle w:val="TableText"/>
              <w:ind w:left="258"/>
              <w:spacing w:before="159" w:line="214" w:lineRule="auto"/>
              <w:rPr/>
            </w:pPr>
            <w:r>
              <w:rPr>
                <w:b/>
                <w:bCs/>
                <w:spacing w:val="-3"/>
              </w:rPr>
              <w:t>实施单位</w:t>
            </w:r>
          </w:p>
        </w:tc>
      </w:tr>
      <w:tr>
        <w:trPr>
          <w:trHeight w:val="232" w:hRule="atLeast"/>
        </w:trPr>
        <w:tc>
          <w:tcPr>
            <w:tcW w:w="788" w:type="dxa"/>
            <w:vAlign w:val="top"/>
            <w:vMerge w:val="restart"/>
            <w:tcBorders>
              <w:bottom w:val="nil"/>
            </w:tcBorders>
          </w:tcPr>
          <w:p>
            <w:pPr>
              <w:rPr>
                <w:rFonts w:ascii="Arial"/>
                <w:sz w:val="21"/>
              </w:rPr>
            </w:pPr>
            <w:r/>
          </w:p>
        </w:tc>
        <w:tc>
          <w:tcPr>
            <w:tcW w:w="1384" w:type="dxa"/>
            <w:vAlign w:val="top"/>
            <w:vMerge w:val="restart"/>
            <w:tcBorders>
              <w:bottom w:val="nil"/>
            </w:tcBorders>
          </w:tcPr>
          <w:p>
            <w:pPr>
              <w:rPr>
                <w:rFonts w:ascii="Arial"/>
                <w:sz w:val="21"/>
              </w:rPr>
            </w:pPr>
            <w:r/>
          </w:p>
        </w:tc>
        <w:tc>
          <w:tcPr>
            <w:tcW w:w="5654" w:type="dxa"/>
            <w:vAlign w:val="top"/>
            <w:tcBorders>
              <w:bottom w:val="nil"/>
            </w:tcBorders>
          </w:tcPr>
          <w:p>
            <w:pPr>
              <w:pStyle w:val="TableText"/>
              <w:ind w:left="107"/>
              <w:spacing w:before="28" w:line="198" w:lineRule="auto"/>
              <w:rPr/>
            </w:pPr>
            <w:r>
              <w:rPr/>
              <w:t>联通，推动视频资源联网共享应用，推进综治信息化</w:t>
            </w:r>
            <w:r>
              <w:rPr>
                <w:spacing w:val="-1"/>
              </w:rPr>
              <w:t>平台建设。</w:t>
            </w:r>
          </w:p>
        </w:tc>
        <w:tc>
          <w:tcPr>
            <w:tcW w:w="2827" w:type="dxa"/>
            <w:vAlign w:val="top"/>
            <w:tcBorders>
              <w:bottom w:val="nil"/>
            </w:tcBorders>
          </w:tcPr>
          <w:p>
            <w:pPr>
              <w:pStyle w:val="TableText"/>
              <w:ind w:left="109"/>
              <w:spacing w:before="21" w:line="206" w:lineRule="auto"/>
              <w:rPr/>
            </w:pPr>
            <w:r>
              <w:rPr>
                <w:spacing w:val="-1"/>
              </w:rPr>
              <w:t>集融合。</w:t>
            </w:r>
          </w:p>
        </w:tc>
        <w:tc>
          <w:tcPr>
            <w:tcW w:w="988" w:type="dxa"/>
            <w:vAlign w:val="top"/>
            <w:tcBorders>
              <w:bottom w:val="nil"/>
            </w:tcBorders>
          </w:tcPr>
          <w:p>
            <w:pPr>
              <w:spacing w:line="222" w:lineRule="exact"/>
              <w:rPr>
                <w:rFonts w:ascii="Arial"/>
                <w:sz w:val="19"/>
              </w:rPr>
            </w:pPr>
            <w:r/>
          </w:p>
        </w:tc>
        <w:tc>
          <w:tcPr>
            <w:tcW w:w="1027" w:type="dxa"/>
            <w:vAlign w:val="top"/>
            <w:tcBorders>
              <w:bottom w:val="nil"/>
            </w:tcBorders>
          </w:tcPr>
          <w:p>
            <w:pPr>
              <w:spacing w:line="222" w:lineRule="exact"/>
              <w:rPr>
                <w:rFonts w:ascii="Arial"/>
                <w:sz w:val="19"/>
              </w:rPr>
            </w:pPr>
            <w:r/>
          </w:p>
        </w:tc>
        <w:tc>
          <w:tcPr>
            <w:tcW w:w="1239" w:type="dxa"/>
            <w:vAlign w:val="top"/>
            <w:tcBorders>
              <w:bottom w:val="nil"/>
            </w:tcBorders>
          </w:tcPr>
          <w:p>
            <w:pPr>
              <w:pStyle w:val="TableText"/>
              <w:ind w:left="259"/>
              <w:spacing w:before="31" w:line="195" w:lineRule="auto"/>
              <w:rPr/>
            </w:pPr>
            <w:r>
              <w:rPr>
                <w:spacing w:val="-1"/>
              </w:rPr>
              <w:t>住房城乡</w:t>
            </w:r>
          </w:p>
        </w:tc>
      </w:tr>
      <w:tr>
        <w:trPr>
          <w:trHeight w:val="251" w:hRule="atLeast"/>
        </w:trPr>
        <w:tc>
          <w:tcPr>
            <w:tcW w:w="788" w:type="dxa"/>
            <w:vAlign w:val="top"/>
            <w:vMerge w:val="continue"/>
            <w:tcBorders>
              <w:top w:val="nil"/>
              <w:bottom w:val="nil"/>
            </w:tcBorders>
          </w:tcPr>
          <w:p>
            <w:pPr>
              <w:rPr>
                <w:rFonts w:ascii="Arial"/>
                <w:sz w:val="21"/>
              </w:rPr>
            </w:pPr>
            <w:r/>
          </w:p>
        </w:tc>
        <w:tc>
          <w:tcPr>
            <w:tcW w:w="1384" w:type="dxa"/>
            <w:vAlign w:val="top"/>
            <w:vMerge w:val="continue"/>
            <w:tcBorders>
              <w:top w:val="nil"/>
              <w:bottom w:val="nil"/>
            </w:tcBorders>
          </w:tcPr>
          <w:p>
            <w:pPr>
              <w:rPr>
                <w:rFonts w:ascii="Arial"/>
                <w:sz w:val="21"/>
              </w:rPr>
            </w:pPr>
            <w:r/>
          </w:p>
        </w:tc>
        <w:tc>
          <w:tcPr>
            <w:tcW w:w="5654" w:type="dxa"/>
            <w:vAlign w:val="top"/>
            <w:tcBorders>
              <w:bottom w:val="nil"/>
              <w:top w:val="nil"/>
            </w:tcBorders>
          </w:tcPr>
          <w:p>
            <w:pPr>
              <w:pStyle w:val="TableText"/>
              <w:ind w:left="105"/>
              <w:spacing w:before="56" w:line="189" w:lineRule="auto"/>
              <w:rPr/>
            </w:pPr>
            <w:r>
              <w:rPr/>
              <w:t>4</w:t>
            </w:r>
            <w:r>
              <w:rPr>
                <w:spacing w:val="-38"/>
              </w:rPr>
              <w:t xml:space="preserve"> </w:t>
            </w:r>
            <w:r>
              <w:rPr/>
              <w:t>月30 日前，加强关键技术应用，建立健全</w:t>
            </w:r>
            <w:r>
              <w:rPr>
                <w:spacing w:val="-1"/>
              </w:rPr>
              <w:t>发现问题、流转交办、协</w:t>
            </w:r>
          </w:p>
        </w:tc>
        <w:tc>
          <w:tcPr>
            <w:tcW w:w="2827" w:type="dxa"/>
            <w:vAlign w:val="top"/>
            <w:tcBorders>
              <w:bottom w:val="nil"/>
              <w:top w:val="nil"/>
            </w:tcBorders>
          </w:tcPr>
          <w:p>
            <w:pPr>
              <w:pStyle w:val="TableText"/>
              <w:ind w:left="108"/>
              <w:spacing w:before="25" w:line="221" w:lineRule="auto"/>
              <w:rPr/>
            </w:pPr>
            <w:r>
              <w:rPr>
                <w:spacing w:val="-6"/>
              </w:rPr>
              <w:t>4.依托“雪亮工程”建成，初步实</w:t>
            </w:r>
          </w:p>
        </w:tc>
        <w:tc>
          <w:tcPr>
            <w:tcW w:w="988" w:type="dxa"/>
            <w:vAlign w:val="top"/>
            <w:tcBorders>
              <w:bottom w:val="nil"/>
              <w:top w:val="nil"/>
            </w:tcBorders>
          </w:tcPr>
          <w:p>
            <w:pPr>
              <w:spacing w:line="240" w:lineRule="exact"/>
              <w:rPr>
                <w:rFonts w:ascii="Arial"/>
                <w:sz w:val="20"/>
              </w:rPr>
            </w:pPr>
            <w:r/>
          </w:p>
        </w:tc>
        <w:tc>
          <w:tcPr>
            <w:tcW w:w="1027" w:type="dxa"/>
            <w:vAlign w:val="top"/>
            <w:tcBorders>
              <w:bottom w:val="nil"/>
              <w:top w:val="nil"/>
            </w:tcBorders>
          </w:tcPr>
          <w:p>
            <w:pPr>
              <w:spacing w:line="240" w:lineRule="exact"/>
              <w:rPr>
                <w:rFonts w:ascii="Arial"/>
                <w:sz w:val="20"/>
              </w:rPr>
            </w:pPr>
            <w:r/>
          </w:p>
        </w:tc>
        <w:tc>
          <w:tcPr>
            <w:tcW w:w="1239" w:type="dxa"/>
            <w:vAlign w:val="top"/>
            <w:tcBorders>
              <w:bottom w:val="nil"/>
              <w:top w:val="nil"/>
            </w:tcBorders>
          </w:tcPr>
          <w:p>
            <w:pPr>
              <w:pStyle w:val="TableText"/>
              <w:ind w:left="351"/>
              <w:spacing w:before="58" w:line="187" w:lineRule="auto"/>
              <w:rPr/>
            </w:pPr>
            <w:r>
              <w:rPr>
                <w:spacing w:val="-2"/>
              </w:rPr>
              <w:t>建设局</w:t>
            </w:r>
          </w:p>
        </w:tc>
      </w:tr>
      <w:tr>
        <w:trPr>
          <w:trHeight w:val="251" w:hRule="atLeast"/>
        </w:trPr>
        <w:tc>
          <w:tcPr>
            <w:tcW w:w="788" w:type="dxa"/>
            <w:vAlign w:val="top"/>
            <w:vMerge w:val="continue"/>
            <w:tcBorders>
              <w:top w:val="nil"/>
              <w:bottom w:val="nil"/>
            </w:tcBorders>
          </w:tcPr>
          <w:p>
            <w:pPr>
              <w:rPr>
                <w:rFonts w:ascii="Arial"/>
                <w:sz w:val="21"/>
              </w:rPr>
            </w:pPr>
            <w:r/>
          </w:p>
        </w:tc>
        <w:tc>
          <w:tcPr>
            <w:tcW w:w="1384" w:type="dxa"/>
            <w:vAlign w:val="top"/>
            <w:vMerge w:val="continue"/>
            <w:tcBorders>
              <w:top w:val="nil"/>
              <w:bottom w:val="nil"/>
            </w:tcBorders>
          </w:tcPr>
          <w:p>
            <w:pPr>
              <w:rPr>
                <w:rFonts w:ascii="Arial"/>
                <w:sz w:val="21"/>
              </w:rPr>
            </w:pPr>
            <w:r/>
          </w:p>
        </w:tc>
        <w:tc>
          <w:tcPr>
            <w:tcW w:w="5654" w:type="dxa"/>
            <w:vAlign w:val="top"/>
            <w:tcBorders>
              <w:bottom w:val="nil"/>
              <w:top w:val="nil"/>
            </w:tcBorders>
          </w:tcPr>
          <w:p>
            <w:pPr>
              <w:pStyle w:val="TableText"/>
              <w:ind w:left="107"/>
              <w:spacing w:before="68" w:line="177" w:lineRule="auto"/>
              <w:rPr/>
            </w:pPr>
            <w:r>
              <w:rPr/>
              <w:t>调联动、研判预警、督察考核等综合指挥工作机制，形</w:t>
            </w:r>
            <w:r>
              <w:rPr>
                <w:spacing w:val="-1"/>
              </w:rPr>
              <w:t>成系统集成高</w:t>
            </w:r>
          </w:p>
        </w:tc>
        <w:tc>
          <w:tcPr>
            <w:tcW w:w="2827" w:type="dxa"/>
            <w:vAlign w:val="top"/>
            <w:tcBorders>
              <w:bottom w:val="nil"/>
              <w:top w:val="nil"/>
            </w:tcBorders>
          </w:tcPr>
          <w:p>
            <w:pPr>
              <w:pStyle w:val="TableText"/>
              <w:ind w:left="112"/>
              <w:spacing w:before="17" w:line="213" w:lineRule="auto"/>
              <w:rPr/>
            </w:pPr>
            <w:r>
              <w:rPr>
                <w:spacing w:val="-7"/>
              </w:rPr>
              <w:t>现“全域覆盖、全网共享、全时可</w:t>
            </w:r>
          </w:p>
        </w:tc>
        <w:tc>
          <w:tcPr>
            <w:tcW w:w="988" w:type="dxa"/>
            <w:vAlign w:val="top"/>
            <w:tcBorders>
              <w:bottom w:val="nil"/>
              <w:top w:val="nil"/>
            </w:tcBorders>
          </w:tcPr>
          <w:p>
            <w:pPr>
              <w:spacing w:line="240" w:lineRule="exact"/>
              <w:rPr>
                <w:rFonts w:ascii="Arial"/>
                <w:sz w:val="20"/>
              </w:rPr>
            </w:pPr>
            <w:r/>
          </w:p>
        </w:tc>
        <w:tc>
          <w:tcPr>
            <w:tcW w:w="1027" w:type="dxa"/>
            <w:vAlign w:val="top"/>
            <w:tcBorders>
              <w:bottom w:val="nil"/>
              <w:top w:val="nil"/>
            </w:tcBorders>
          </w:tcPr>
          <w:p>
            <w:pPr>
              <w:spacing w:line="240" w:lineRule="exact"/>
              <w:rPr>
                <w:rFonts w:ascii="Arial"/>
                <w:sz w:val="20"/>
              </w:rPr>
            </w:pPr>
            <w:r/>
          </w:p>
        </w:tc>
        <w:tc>
          <w:tcPr>
            <w:tcW w:w="1239" w:type="dxa"/>
            <w:vAlign w:val="top"/>
            <w:tcBorders>
              <w:bottom w:val="nil"/>
              <w:top w:val="nil"/>
            </w:tcBorders>
          </w:tcPr>
          <w:p>
            <w:pPr>
              <w:pStyle w:val="TableText"/>
              <w:ind w:left="173"/>
              <w:spacing w:before="68" w:line="177" w:lineRule="auto"/>
              <w:rPr/>
            </w:pPr>
            <w:r>
              <w:rPr>
                <w:spacing w:val="-2"/>
              </w:rPr>
              <w:t>等相关部门</w:t>
            </w:r>
          </w:p>
        </w:tc>
      </w:tr>
      <w:tr>
        <w:trPr>
          <w:trHeight w:val="292" w:hRule="atLeast"/>
        </w:trPr>
        <w:tc>
          <w:tcPr>
            <w:tcW w:w="788" w:type="dxa"/>
            <w:vAlign w:val="top"/>
            <w:vMerge w:val="continue"/>
            <w:tcBorders>
              <w:top w:val="nil"/>
              <w:bottom w:val="nil"/>
            </w:tcBorders>
          </w:tcPr>
          <w:p>
            <w:pPr>
              <w:rPr>
                <w:rFonts w:ascii="Arial"/>
                <w:sz w:val="21"/>
              </w:rPr>
            </w:pPr>
            <w:r/>
          </w:p>
        </w:tc>
        <w:tc>
          <w:tcPr>
            <w:tcW w:w="1384" w:type="dxa"/>
            <w:vAlign w:val="top"/>
            <w:vMerge w:val="continue"/>
            <w:tcBorders>
              <w:top w:val="nil"/>
              <w:bottom w:val="nil"/>
            </w:tcBorders>
          </w:tcPr>
          <w:p>
            <w:pPr>
              <w:rPr>
                <w:rFonts w:ascii="Arial"/>
                <w:sz w:val="21"/>
              </w:rPr>
            </w:pPr>
            <w:r/>
          </w:p>
        </w:tc>
        <w:tc>
          <w:tcPr>
            <w:tcW w:w="5654" w:type="dxa"/>
            <w:vAlign w:val="top"/>
            <w:tcBorders>
              <w:bottom w:val="nil"/>
              <w:top w:val="nil"/>
            </w:tcBorders>
          </w:tcPr>
          <w:p>
            <w:pPr>
              <w:pStyle w:val="TableText"/>
              <w:ind w:left="107"/>
              <w:spacing w:before="75" w:line="212" w:lineRule="auto"/>
              <w:rPr/>
            </w:pPr>
            <w:r>
              <w:rPr>
                <w:spacing w:val="-1"/>
              </w:rPr>
              <w:t>效运行的指挥体系。</w:t>
            </w:r>
          </w:p>
        </w:tc>
        <w:tc>
          <w:tcPr>
            <w:tcW w:w="2827" w:type="dxa"/>
            <w:vAlign w:val="top"/>
            <w:tcBorders>
              <w:bottom w:val="nil"/>
              <w:top w:val="nil"/>
            </w:tcBorders>
          </w:tcPr>
          <w:p>
            <w:pPr>
              <w:pStyle w:val="TableText"/>
              <w:ind w:left="110"/>
              <w:spacing w:before="8" w:line="211" w:lineRule="auto"/>
              <w:rPr/>
            </w:pPr>
            <w:r>
              <w:rPr>
                <w:spacing w:val="-3"/>
              </w:rPr>
              <w:t>用、全程可控”</w:t>
            </w:r>
            <w:r>
              <w:rPr>
                <w:spacing w:val="-66"/>
              </w:rPr>
              <w:t xml:space="preserve"> </w:t>
            </w:r>
            <w:r>
              <w:rPr>
                <w:spacing w:val="-3"/>
              </w:rPr>
              <w:t>目标。</w:t>
            </w:r>
          </w:p>
        </w:tc>
        <w:tc>
          <w:tcPr>
            <w:tcW w:w="988" w:type="dxa"/>
            <w:vAlign w:val="top"/>
            <w:tcBorders>
              <w:bottom w:val="nil"/>
              <w:top w:val="nil"/>
            </w:tcBorders>
          </w:tcPr>
          <w:p>
            <w:pPr>
              <w:rPr>
                <w:rFonts w:ascii="Arial"/>
                <w:sz w:val="21"/>
              </w:rPr>
            </w:pPr>
            <w:r/>
          </w:p>
        </w:tc>
        <w:tc>
          <w:tcPr>
            <w:tcW w:w="1027" w:type="dxa"/>
            <w:vAlign w:val="top"/>
            <w:tcBorders>
              <w:bottom w:val="nil"/>
              <w:top w:val="nil"/>
            </w:tcBorders>
          </w:tcPr>
          <w:p>
            <w:pPr>
              <w:rPr>
                <w:rFonts w:ascii="Arial"/>
                <w:sz w:val="21"/>
              </w:rPr>
            </w:pPr>
            <w:r/>
          </w:p>
        </w:tc>
        <w:tc>
          <w:tcPr>
            <w:tcW w:w="1239" w:type="dxa"/>
            <w:vAlign w:val="top"/>
            <w:tcBorders>
              <w:bottom w:val="nil"/>
              <w:top w:val="nil"/>
            </w:tcBorders>
          </w:tcPr>
          <w:p>
            <w:pPr>
              <w:pStyle w:val="TableText"/>
              <w:ind w:left="440"/>
              <w:spacing w:before="78" w:line="209" w:lineRule="auto"/>
              <w:rPr/>
            </w:pPr>
            <w:r>
              <w:rPr>
                <w:spacing w:val="-3"/>
              </w:rPr>
              <w:t>法院</w:t>
            </w:r>
          </w:p>
        </w:tc>
      </w:tr>
      <w:tr>
        <w:trPr>
          <w:trHeight w:val="261" w:hRule="atLeast"/>
        </w:trPr>
        <w:tc>
          <w:tcPr>
            <w:tcW w:w="788" w:type="dxa"/>
            <w:vAlign w:val="top"/>
            <w:vMerge w:val="continue"/>
            <w:tcBorders>
              <w:top w:val="nil"/>
              <w:bottom w:val="nil"/>
            </w:tcBorders>
          </w:tcPr>
          <w:p>
            <w:pPr>
              <w:rPr>
                <w:rFonts w:ascii="Arial"/>
                <w:sz w:val="21"/>
              </w:rPr>
            </w:pPr>
            <w:r/>
          </w:p>
        </w:tc>
        <w:tc>
          <w:tcPr>
            <w:tcW w:w="1384" w:type="dxa"/>
            <w:vAlign w:val="top"/>
            <w:vMerge w:val="continue"/>
            <w:tcBorders>
              <w:top w:val="nil"/>
              <w:bottom w:val="nil"/>
            </w:tcBorders>
          </w:tcPr>
          <w:p>
            <w:pPr>
              <w:rPr>
                <w:rFonts w:ascii="Arial"/>
                <w:sz w:val="21"/>
              </w:rPr>
            </w:pPr>
            <w:r/>
          </w:p>
        </w:tc>
        <w:tc>
          <w:tcPr>
            <w:tcW w:w="5654" w:type="dxa"/>
            <w:vAlign w:val="top"/>
            <w:tcBorders>
              <w:bottom w:val="nil"/>
              <w:top w:val="nil"/>
            </w:tcBorders>
          </w:tcPr>
          <w:p>
            <w:pPr>
              <w:pStyle w:val="TableText"/>
              <w:ind w:left="109"/>
              <w:spacing w:before="43" w:line="213" w:lineRule="auto"/>
              <w:rPr/>
            </w:pPr>
            <w:r>
              <w:rPr>
                <w:spacing w:val="-1"/>
              </w:rPr>
              <w:t>5</w:t>
            </w:r>
            <w:r>
              <w:rPr>
                <w:spacing w:val="-24"/>
              </w:rPr>
              <w:t xml:space="preserve"> </w:t>
            </w:r>
            <w:r>
              <w:rPr>
                <w:spacing w:val="-1"/>
              </w:rPr>
              <w:t>月20 日前，配合自治区统筹推进政法智能化建设和跨部门大数据办</w:t>
            </w:r>
          </w:p>
        </w:tc>
        <w:tc>
          <w:tcPr>
            <w:tcW w:w="2827" w:type="dxa"/>
            <w:vAlign w:val="top"/>
            <w:tcBorders>
              <w:bottom w:val="nil"/>
              <w:top w:val="nil"/>
            </w:tcBorders>
          </w:tcPr>
          <w:p>
            <w:pPr>
              <w:rPr>
                <w:rFonts w:ascii="Arial"/>
                <w:sz w:val="21"/>
              </w:rPr>
            </w:pPr>
            <w:r/>
          </w:p>
        </w:tc>
        <w:tc>
          <w:tcPr>
            <w:tcW w:w="988" w:type="dxa"/>
            <w:vAlign w:val="top"/>
            <w:tcBorders>
              <w:bottom w:val="nil"/>
              <w:top w:val="nil"/>
            </w:tcBorders>
          </w:tcPr>
          <w:p>
            <w:pPr>
              <w:rPr>
                <w:rFonts w:ascii="Arial"/>
                <w:sz w:val="21"/>
              </w:rPr>
            </w:pPr>
            <w:r/>
          </w:p>
        </w:tc>
        <w:tc>
          <w:tcPr>
            <w:tcW w:w="1027" w:type="dxa"/>
            <w:vAlign w:val="top"/>
            <w:tcBorders>
              <w:bottom w:val="nil"/>
              <w:top w:val="nil"/>
            </w:tcBorders>
          </w:tcPr>
          <w:p>
            <w:pPr>
              <w:rPr>
                <w:rFonts w:ascii="Arial"/>
                <w:sz w:val="21"/>
              </w:rPr>
            </w:pPr>
            <w:r/>
          </w:p>
        </w:tc>
        <w:tc>
          <w:tcPr>
            <w:tcW w:w="1239" w:type="dxa"/>
            <w:vAlign w:val="top"/>
            <w:tcBorders>
              <w:bottom w:val="nil"/>
              <w:top w:val="nil"/>
            </w:tcBorders>
          </w:tcPr>
          <w:p>
            <w:pPr>
              <w:pStyle w:val="TableText"/>
              <w:ind w:left="352"/>
              <w:spacing w:before="47" w:line="209" w:lineRule="auto"/>
              <w:rPr/>
            </w:pPr>
            <w:r>
              <w:rPr>
                <w:spacing w:val="-2"/>
              </w:rPr>
              <w:t>检察院</w:t>
            </w:r>
          </w:p>
        </w:tc>
      </w:tr>
      <w:tr>
        <w:trPr>
          <w:trHeight w:val="277" w:hRule="atLeast"/>
        </w:trPr>
        <w:tc>
          <w:tcPr>
            <w:tcW w:w="788" w:type="dxa"/>
            <w:vAlign w:val="top"/>
            <w:vMerge w:val="continue"/>
            <w:tcBorders>
              <w:top w:val="nil"/>
            </w:tcBorders>
          </w:tcPr>
          <w:p>
            <w:pPr>
              <w:rPr>
                <w:rFonts w:ascii="Arial"/>
                <w:sz w:val="21"/>
              </w:rPr>
            </w:pPr>
            <w:r/>
          </w:p>
        </w:tc>
        <w:tc>
          <w:tcPr>
            <w:tcW w:w="1384" w:type="dxa"/>
            <w:vAlign w:val="top"/>
            <w:vMerge w:val="continue"/>
            <w:tcBorders>
              <w:top w:val="nil"/>
            </w:tcBorders>
          </w:tcPr>
          <w:p>
            <w:pPr>
              <w:rPr>
                <w:rFonts w:ascii="Arial"/>
                <w:sz w:val="21"/>
              </w:rPr>
            </w:pPr>
            <w:r/>
          </w:p>
        </w:tc>
        <w:tc>
          <w:tcPr>
            <w:tcW w:w="5654" w:type="dxa"/>
            <w:vAlign w:val="top"/>
            <w:tcBorders>
              <w:top w:val="nil"/>
            </w:tcBorders>
          </w:tcPr>
          <w:p>
            <w:pPr>
              <w:pStyle w:val="TableText"/>
              <w:ind w:left="108"/>
              <w:spacing w:before="43" w:line="216" w:lineRule="auto"/>
              <w:rPr/>
            </w:pPr>
            <w:r>
              <w:rPr/>
              <w:t>案平台建设，打造一体化网上办案“高速公路”。</w:t>
            </w:r>
          </w:p>
        </w:tc>
        <w:tc>
          <w:tcPr>
            <w:tcW w:w="2827" w:type="dxa"/>
            <w:vAlign w:val="top"/>
            <w:tcBorders>
              <w:top w:val="nil"/>
            </w:tcBorders>
          </w:tcPr>
          <w:p>
            <w:pPr>
              <w:rPr>
                <w:rFonts w:ascii="Arial"/>
                <w:sz w:val="21"/>
              </w:rPr>
            </w:pPr>
            <w:r/>
          </w:p>
        </w:tc>
        <w:tc>
          <w:tcPr>
            <w:tcW w:w="988" w:type="dxa"/>
            <w:vAlign w:val="top"/>
            <w:tcBorders>
              <w:top w:val="nil"/>
            </w:tcBorders>
          </w:tcPr>
          <w:p>
            <w:pPr>
              <w:rPr>
                <w:rFonts w:ascii="Arial"/>
                <w:sz w:val="21"/>
              </w:rPr>
            </w:pPr>
            <w:r/>
          </w:p>
        </w:tc>
        <w:tc>
          <w:tcPr>
            <w:tcW w:w="1027" w:type="dxa"/>
            <w:vAlign w:val="top"/>
            <w:tcBorders>
              <w:top w:val="nil"/>
            </w:tcBorders>
          </w:tcPr>
          <w:p>
            <w:pPr>
              <w:rPr>
                <w:rFonts w:ascii="Arial"/>
                <w:sz w:val="21"/>
              </w:rPr>
            </w:pPr>
            <w:r/>
          </w:p>
        </w:tc>
        <w:tc>
          <w:tcPr>
            <w:tcW w:w="1239" w:type="dxa"/>
            <w:vAlign w:val="top"/>
            <w:tcBorders>
              <w:top w:val="nil"/>
            </w:tcBorders>
          </w:tcPr>
          <w:p>
            <w:pPr>
              <w:pStyle w:val="TableText"/>
              <w:ind w:left="351"/>
              <w:spacing w:before="45" w:line="211" w:lineRule="auto"/>
              <w:rPr/>
            </w:pPr>
            <w:r>
              <w:rPr>
                <w:spacing w:val="-2"/>
              </w:rPr>
              <w:t>各乡镇</w:t>
            </w:r>
          </w:p>
        </w:tc>
      </w:tr>
      <w:tr>
        <w:trPr>
          <w:trHeight w:val="2875" w:hRule="atLeast"/>
        </w:trPr>
        <w:tc>
          <w:tcPr>
            <w:tcW w:w="788" w:type="dxa"/>
            <w:vAlign w:val="top"/>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322"/>
              <w:spacing w:before="59" w:line="262" w:lineRule="exact"/>
              <w:rPr/>
            </w:pPr>
            <w:r>
              <w:rPr>
                <w:spacing w:val="-11"/>
                <w:position w:val="1"/>
              </w:rPr>
              <w:t>11</w:t>
            </w:r>
          </w:p>
        </w:tc>
        <w:tc>
          <w:tcPr>
            <w:tcW w:w="1384" w:type="dxa"/>
            <w:vAlign w:val="top"/>
          </w:tcPr>
          <w:p>
            <w:pPr>
              <w:spacing w:line="285"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pStyle w:val="TableText"/>
              <w:ind w:left="335" w:right="330" w:hanging="3"/>
              <w:spacing w:before="58" w:line="271" w:lineRule="auto"/>
              <w:rPr/>
            </w:pPr>
            <w:r>
              <w:rPr>
                <w:spacing w:val="-1"/>
              </w:rPr>
              <w:t>建立赋权</w:t>
            </w:r>
            <w:r>
              <w:rPr>
                <w:spacing w:val="-2"/>
              </w:rPr>
              <w:t>清单目录</w:t>
            </w:r>
          </w:p>
        </w:tc>
        <w:tc>
          <w:tcPr>
            <w:tcW w:w="5654" w:type="dxa"/>
            <w:vAlign w:val="top"/>
          </w:tcPr>
          <w:p>
            <w:pPr>
              <w:spacing w:line="248" w:lineRule="auto"/>
              <w:rPr>
                <w:rFonts w:ascii="Arial"/>
                <w:sz w:val="21"/>
              </w:rPr>
            </w:pPr>
            <w:r/>
          </w:p>
          <w:p>
            <w:pPr>
              <w:spacing w:line="248" w:lineRule="auto"/>
              <w:rPr>
                <w:rFonts w:ascii="Arial"/>
                <w:sz w:val="21"/>
              </w:rPr>
            </w:pPr>
            <w:r/>
          </w:p>
          <w:p>
            <w:pPr>
              <w:pStyle w:val="TableText"/>
              <w:ind w:left="106" w:right="35" w:firstLine="4"/>
              <w:spacing w:before="58" w:line="266" w:lineRule="auto"/>
              <w:jc w:val="both"/>
              <w:rPr/>
            </w:pPr>
            <w:r>
              <w:rPr>
                <w:spacing w:val="-3"/>
              </w:rPr>
              <w:t>3</w:t>
            </w:r>
            <w:r>
              <w:rPr>
                <w:spacing w:val="-28"/>
              </w:rPr>
              <w:t xml:space="preserve"> </w:t>
            </w:r>
            <w:r>
              <w:rPr>
                <w:spacing w:val="-3"/>
              </w:rPr>
              <w:t>月</w:t>
            </w:r>
            <w:r>
              <w:rPr>
                <w:spacing w:val="-24"/>
              </w:rPr>
              <w:t xml:space="preserve"> </w:t>
            </w:r>
            <w:r>
              <w:rPr>
                <w:spacing w:val="-3"/>
              </w:rPr>
              <w:t>10 日前，根据自治区有关要求，将量大面广、乡镇管理迫切需要</w:t>
            </w:r>
            <w:r>
              <w:rPr>
                <w:spacing w:val="-3"/>
              </w:rPr>
              <w:t>且能有效承接的审批服务执法等权限赋予乡镇，扩大乡镇在城镇管理、</w:t>
            </w:r>
            <w:r>
              <w:rPr>
                <w:spacing w:val="1"/>
              </w:rPr>
              <w:t>安全生产、市场监管、社会治安、民生保障等方面的行政审批、行政</w:t>
            </w:r>
            <w:r>
              <w:rPr>
                <w:spacing w:val="-1"/>
              </w:rPr>
              <w:t>处罚及相关行政强制和行政检查权。</w:t>
            </w:r>
          </w:p>
          <w:p>
            <w:pPr>
              <w:pStyle w:val="TableText"/>
              <w:ind w:left="107" w:right="35" w:firstLine="3"/>
              <w:spacing w:before="2" w:line="266" w:lineRule="auto"/>
              <w:jc w:val="both"/>
              <w:rPr/>
            </w:pPr>
            <w:r>
              <w:rPr>
                <w:spacing w:val="-6"/>
              </w:rPr>
              <w:t>3</w:t>
            </w:r>
            <w:r>
              <w:rPr>
                <w:spacing w:val="-37"/>
              </w:rPr>
              <w:t xml:space="preserve"> </w:t>
            </w:r>
            <w:r>
              <w:rPr>
                <w:spacing w:val="-6"/>
              </w:rPr>
              <w:t>月</w:t>
            </w:r>
            <w:r>
              <w:rPr>
                <w:spacing w:val="-25"/>
              </w:rPr>
              <w:t xml:space="preserve"> </w:t>
            </w:r>
            <w:r>
              <w:rPr>
                <w:spacing w:val="-6"/>
              </w:rPr>
              <w:t>10 日前，按照自治区政府统一制定的赋权清单，按照“一个乡镇、</w:t>
            </w:r>
            <w:r>
              <w:rPr>
                <w:spacing w:val="-4"/>
              </w:rPr>
              <w:t>一个赋权清单”的要求，依法编制各《乡镇赋权清单</w:t>
            </w:r>
            <w:r>
              <w:rPr>
                <w:spacing w:val="-5"/>
              </w:rPr>
              <w:t>》，明确乡镇的执</w:t>
            </w:r>
            <w:r>
              <w:rPr>
                <w:spacing w:val="-12"/>
              </w:rPr>
              <w:t>法主体地位，统一和规范赋权事项，成熟一批，赋予一</w:t>
            </w:r>
            <w:r>
              <w:rPr>
                <w:spacing w:val="-13"/>
              </w:rPr>
              <w:t>批。</w:t>
            </w:r>
          </w:p>
        </w:tc>
        <w:tc>
          <w:tcPr>
            <w:tcW w:w="2827" w:type="dxa"/>
            <w:vAlign w:val="top"/>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10" w:right="104" w:firstLine="1"/>
              <w:spacing w:before="58" w:line="267" w:lineRule="auto"/>
              <w:jc w:val="both"/>
              <w:rPr/>
            </w:pPr>
            <w:r>
              <w:rPr>
                <w:spacing w:val="-7"/>
              </w:rPr>
              <w:t>推动审批服务执法权限下放，规范</w:t>
            </w:r>
            <w:r>
              <w:rPr>
                <w:spacing w:val="-7"/>
              </w:rPr>
              <w:t>赋权行为，确保基层有权办事、依</w:t>
            </w:r>
            <w:r>
              <w:rPr>
                <w:spacing w:val="-2"/>
              </w:rPr>
              <w:t>法办事。</w:t>
            </w:r>
          </w:p>
        </w:tc>
        <w:tc>
          <w:tcPr>
            <w:tcW w:w="988" w:type="dxa"/>
            <w:vAlign w:val="top"/>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232"/>
              <w:spacing w:before="59" w:line="211" w:lineRule="auto"/>
              <w:rPr/>
            </w:pPr>
            <w:r>
              <w:rPr>
                <w:spacing w:val="-3"/>
              </w:rPr>
              <w:t>张永强</w:t>
            </w:r>
          </w:p>
        </w:tc>
        <w:tc>
          <w:tcPr>
            <w:tcW w:w="1027" w:type="dxa"/>
            <w:vAlign w:val="top"/>
          </w:tcPr>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158"/>
              <w:spacing w:before="59" w:line="210" w:lineRule="auto"/>
              <w:rPr/>
            </w:pPr>
            <w:r>
              <w:rPr>
                <w:spacing w:val="-2"/>
              </w:rPr>
              <w:t>县政府办</w:t>
            </w:r>
          </w:p>
        </w:tc>
        <w:tc>
          <w:tcPr>
            <w:tcW w:w="1239" w:type="dxa"/>
            <w:vAlign w:val="top"/>
          </w:tcPr>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pStyle w:val="TableText"/>
              <w:ind w:left="360" w:right="166" w:hanging="190"/>
              <w:spacing w:before="58" w:line="266" w:lineRule="auto"/>
              <w:rPr/>
            </w:pPr>
            <w:r>
              <w:rPr>
                <w:spacing w:val="-1"/>
              </w:rPr>
              <w:t>人大法工委</w:t>
            </w:r>
            <w:r>
              <w:rPr>
                <w:spacing w:val="-5"/>
              </w:rPr>
              <w:t>司法局</w:t>
            </w:r>
          </w:p>
          <w:p>
            <w:pPr>
              <w:pStyle w:val="TableText"/>
              <w:ind w:left="351" w:right="166" w:hanging="178"/>
              <w:spacing w:line="268" w:lineRule="auto"/>
              <w:rPr/>
            </w:pPr>
            <w:r>
              <w:rPr>
                <w:spacing w:val="-2"/>
              </w:rPr>
              <w:t>等相关部门</w:t>
            </w:r>
            <w:r>
              <w:rPr>
                <w:spacing w:val="-2"/>
              </w:rPr>
              <w:t>各乡镇</w:t>
            </w:r>
          </w:p>
        </w:tc>
      </w:tr>
      <w:tr>
        <w:trPr>
          <w:trHeight w:val="3255" w:hRule="atLeast"/>
        </w:trPr>
        <w:tc>
          <w:tcPr>
            <w:tcW w:w="788"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322"/>
              <w:spacing w:before="58" w:line="262" w:lineRule="exact"/>
              <w:rPr/>
            </w:pPr>
            <w:r>
              <w:rPr>
                <w:spacing w:val="-11"/>
                <w:position w:val="1"/>
              </w:rPr>
              <w:t>12</w:t>
            </w:r>
          </w:p>
        </w:tc>
        <w:tc>
          <w:tcPr>
            <w:tcW w:w="1384" w:type="dxa"/>
            <w:vAlign w:val="top"/>
          </w:tcPr>
          <w:p>
            <w:pPr>
              <w:spacing w:line="298" w:lineRule="auto"/>
              <w:rPr>
                <w:rFonts w:ascii="Arial"/>
                <w:sz w:val="21"/>
              </w:rPr>
            </w:pPr>
            <w:r/>
          </w:p>
          <w:p>
            <w:pPr>
              <w:spacing w:line="298" w:lineRule="auto"/>
              <w:rPr>
                <w:rFonts w:ascii="Arial"/>
                <w:sz w:val="21"/>
              </w:rPr>
            </w:pPr>
            <w:r/>
          </w:p>
          <w:p>
            <w:pPr>
              <w:spacing w:line="298" w:lineRule="auto"/>
              <w:rPr>
                <w:rFonts w:ascii="Arial"/>
                <w:sz w:val="21"/>
              </w:rPr>
            </w:pPr>
            <w:r/>
          </w:p>
          <w:p>
            <w:pPr>
              <w:spacing w:line="299" w:lineRule="auto"/>
              <w:rPr>
                <w:rFonts w:ascii="Arial"/>
                <w:sz w:val="21"/>
              </w:rPr>
            </w:pPr>
            <w:r/>
          </w:p>
          <w:p>
            <w:pPr>
              <w:pStyle w:val="TableText"/>
              <w:ind w:left="335" w:right="330" w:hanging="3"/>
              <w:spacing w:before="58" w:line="277" w:lineRule="auto"/>
              <w:rPr/>
            </w:pPr>
            <w:r>
              <w:rPr>
                <w:spacing w:val="-1"/>
              </w:rPr>
              <w:t>建立务实</w:t>
            </w:r>
            <w:r>
              <w:rPr>
                <w:spacing w:val="-2"/>
              </w:rPr>
              <w:t>高效用编</w:t>
            </w:r>
          </w:p>
          <w:p>
            <w:pPr>
              <w:pStyle w:val="TableText"/>
              <w:ind w:left="332"/>
              <w:spacing w:line="210" w:lineRule="auto"/>
              <w:rPr/>
            </w:pPr>
            <w:r>
              <w:rPr>
                <w:spacing w:val="-2"/>
              </w:rPr>
              <w:t>用人制度</w:t>
            </w:r>
          </w:p>
        </w:tc>
        <w:tc>
          <w:tcPr>
            <w:tcW w:w="5654" w:type="dxa"/>
            <w:vAlign w:val="top"/>
          </w:tcPr>
          <w:p>
            <w:pPr>
              <w:spacing w:line="293" w:lineRule="auto"/>
              <w:rPr>
                <w:rFonts w:ascii="Arial"/>
                <w:sz w:val="21"/>
              </w:rPr>
            </w:pPr>
            <w:r/>
          </w:p>
          <w:p>
            <w:pPr>
              <w:pStyle w:val="TableText"/>
              <w:ind w:left="108" w:right="104"/>
              <w:spacing w:before="58" w:line="267" w:lineRule="auto"/>
              <w:jc w:val="both"/>
              <w:rPr/>
            </w:pPr>
            <w:r>
              <w:rPr>
                <w:spacing w:val="-3"/>
              </w:rPr>
              <w:t>2</w:t>
            </w:r>
            <w:r>
              <w:rPr>
                <w:spacing w:val="-25"/>
              </w:rPr>
              <w:t xml:space="preserve"> </w:t>
            </w:r>
            <w:r>
              <w:rPr>
                <w:spacing w:val="-3"/>
              </w:rPr>
              <w:t>月</w:t>
            </w:r>
            <w:r>
              <w:rPr>
                <w:spacing w:val="-25"/>
              </w:rPr>
              <w:t xml:space="preserve"> </w:t>
            </w:r>
            <w:r>
              <w:rPr>
                <w:spacing w:val="-3"/>
              </w:rPr>
              <w:t>10 日前，推进编制资源向乡镇倾斜，采取减县补乡和减上补下的</w:t>
            </w:r>
            <w:r>
              <w:rPr>
                <w:spacing w:val="6"/>
              </w:rPr>
              <w:t>办法</w:t>
            </w:r>
            <w:r>
              <w:rPr>
                <w:spacing w:val="-49"/>
              </w:rPr>
              <w:t xml:space="preserve"> </w:t>
            </w:r>
            <w:r>
              <w:rPr>
                <w:spacing w:val="6"/>
              </w:rPr>
              <w:t>，充实加强基层一线工作力量。乡镇人员编制增幅平均不低于</w:t>
            </w:r>
            <w:r>
              <w:rPr>
                <w:spacing w:val="13"/>
              </w:rPr>
              <w:t>28%。</w:t>
            </w:r>
          </w:p>
          <w:p>
            <w:pPr>
              <w:pStyle w:val="TableText"/>
              <w:ind w:left="108"/>
              <w:spacing w:line="239" w:lineRule="exact"/>
              <w:rPr/>
            </w:pPr>
            <w:r>
              <w:rPr>
                <w:spacing w:val="-3"/>
                <w:position w:val="1"/>
              </w:rPr>
              <w:t>2</w:t>
            </w:r>
            <w:r>
              <w:rPr>
                <w:spacing w:val="-25"/>
                <w:position w:val="1"/>
              </w:rPr>
              <w:t xml:space="preserve"> </w:t>
            </w:r>
            <w:r>
              <w:rPr>
                <w:spacing w:val="-3"/>
                <w:position w:val="1"/>
              </w:rPr>
              <w:t>月</w:t>
            </w:r>
            <w:r>
              <w:rPr>
                <w:spacing w:val="-25"/>
                <w:position w:val="1"/>
              </w:rPr>
              <w:t xml:space="preserve"> </w:t>
            </w:r>
            <w:r>
              <w:rPr>
                <w:spacing w:val="-3"/>
                <w:position w:val="1"/>
              </w:rPr>
              <w:t>10 日前，乡镇上报新组建党政机构和事业单位人员定岗情况。</w:t>
            </w:r>
          </w:p>
          <w:p>
            <w:pPr>
              <w:pStyle w:val="TableText"/>
              <w:ind w:left="106" w:right="104" w:firstLine="4"/>
              <w:spacing w:before="21" w:line="255" w:lineRule="auto"/>
              <w:rPr/>
            </w:pPr>
            <w:r>
              <w:rPr>
                <w:spacing w:val="-3"/>
              </w:rPr>
              <w:t>3</w:t>
            </w:r>
            <w:r>
              <w:rPr>
                <w:spacing w:val="-28"/>
              </w:rPr>
              <w:t xml:space="preserve"> </w:t>
            </w:r>
            <w:r>
              <w:rPr>
                <w:spacing w:val="-3"/>
              </w:rPr>
              <w:t>月</w:t>
            </w:r>
            <w:r>
              <w:rPr>
                <w:spacing w:val="-24"/>
              </w:rPr>
              <w:t xml:space="preserve"> </w:t>
            </w:r>
            <w:r>
              <w:rPr>
                <w:spacing w:val="-3"/>
              </w:rPr>
              <w:t>10 日前，负责乡镇新组建党政机构和事业单位负责人调配，事业</w:t>
            </w:r>
            <w:r>
              <w:rPr>
                <w:spacing w:val="-1"/>
              </w:rPr>
              <w:t>单位负责人可按副科级配备。</w:t>
            </w:r>
          </w:p>
          <w:p>
            <w:pPr>
              <w:pStyle w:val="TableText"/>
              <w:ind w:left="107" w:right="102" w:firstLine="3"/>
              <w:spacing w:before="21" w:line="258" w:lineRule="auto"/>
              <w:rPr/>
            </w:pPr>
            <w:r>
              <w:rPr>
                <w:spacing w:val="-4"/>
              </w:rPr>
              <w:t>3</w:t>
            </w:r>
            <w:r>
              <w:rPr>
                <w:spacing w:val="-20"/>
              </w:rPr>
              <w:t xml:space="preserve"> </w:t>
            </w:r>
            <w:r>
              <w:rPr>
                <w:spacing w:val="-4"/>
              </w:rPr>
              <w:t>月</w:t>
            </w:r>
            <w:r>
              <w:rPr>
                <w:spacing w:val="-35"/>
              </w:rPr>
              <w:t xml:space="preserve"> </w:t>
            </w:r>
            <w:r>
              <w:rPr>
                <w:spacing w:val="-4"/>
              </w:rPr>
              <w:t>31 日前</w:t>
            </w:r>
            <w:r>
              <w:rPr>
                <w:spacing w:val="-53"/>
              </w:rPr>
              <w:t xml:space="preserve"> </w:t>
            </w:r>
            <w:r>
              <w:rPr>
                <w:spacing w:val="-4"/>
              </w:rPr>
              <w:t>，人社局负责制定《乡镇条线辅助人员管理办法》，整合</w:t>
            </w:r>
            <w:r>
              <w:rPr/>
              <w:t>条线辅助人员，按照属地化管理原则，由乡镇统</w:t>
            </w:r>
            <w:r>
              <w:rPr>
                <w:spacing w:val="-1"/>
              </w:rPr>
              <w:t>筹指挥调配。</w:t>
            </w:r>
          </w:p>
          <w:p>
            <w:pPr>
              <w:pStyle w:val="TableText"/>
              <w:ind w:left="106" w:right="104" w:hanging="1"/>
              <w:spacing w:before="17" w:line="255" w:lineRule="auto"/>
              <w:rPr/>
            </w:pPr>
            <w:r>
              <w:rPr>
                <w:spacing w:val="-3"/>
              </w:rPr>
              <w:t>4</w:t>
            </w:r>
            <w:r>
              <w:rPr>
                <w:spacing w:val="-22"/>
              </w:rPr>
              <w:t xml:space="preserve"> </w:t>
            </w:r>
            <w:r>
              <w:rPr>
                <w:spacing w:val="-3"/>
              </w:rPr>
              <w:t>月</w:t>
            </w:r>
            <w:r>
              <w:rPr>
                <w:spacing w:val="-25"/>
              </w:rPr>
              <w:t xml:space="preserve"> </w:t>
            </w:r>
            <w:r>
              <w:rPr>
                <w:spacing w:val="-3"/>
              </w:rPr>
              <w:t>10 日前，编办规范乡镇编制总额管理、动态管理机制及用编用人</w:t>
            </w:r>
            <w:r>
              <w:rPr>
                <w:spacing w:val="-1"/>
              </w:rPr>
              <w:t>优先保障空编乡镇机制。</w:t>
            </w:r>
          </w:p>
        </w:tc>
        <w:tc>
          <w:tcPr>
            <w:tcW w:w="2827" w:type="dxa"/>
            <w:vAlign w:val="top"/>
          </w:tcPr>
          <w:p>
            <w:pPr>
              <w:spacing w:line="424" w:lineRule="auto"/>
              <w:rPr>
                <w:rFonts w:ascii="Arial"/>
                <w:sz w:val="21"/>
              </w:rPr>
            </w:pPr>
            <w:r/>
          </w:p>
          <w:p>
            <w:pPr>
              <w:pStyle w:val="TableText"/>
              <w:ind w:left="110" w:right="104" w:firstLine="16"/>
              <w:spacing w:before="59" w:line="254" w:lineRule="auto"/>
              <w:rPr/>
            </w:pPr>
            <w:r>
              <w:rPr>
                <w:spacing w:val="-7"/>
              </w:rPr>
              <w:t>1.统筹使用乡镇人员编制，优化资</w:t>
            </w:r>
            <w:r>
              <w:rPr>
                <w:spacing w:val="-7"/>
              </w:rPr>
              <w:t>源配置，充实加强基层一线工作力</w:t>
            </w:r>
            <w:r>
              <w:rPr>
                <w:spacing w:val="-7"/>
              </w:rPr>
              <w:t>量，建立符合基层工作特点的人员</w:t>
            </w:r>
            <w:r>
              <w:rPr>
                <w:spacing w:val="-1"/>
              </w:rPr>
              <w:t>编制资源配置模式。</w:t>
            </w:r>
          </w:p>
          <w:p>
            <w:pPr>
              <w:pStyle w:val="TableText"/>
              <w:ind w:left="108" w:right="97" w:firstLine="2"/>
              <w:spacing w:before="48" w:line="250" w:lineRule="auto"/>
              <w:rPr/>
            </w:pPr>
            <w:r>
              <w:rPr>
                <w:spacing w:val="-6"/>
              </w:rPr>
              <w:t>2.有序推进各类人才向乡镇流动，</w:t>
            </w:r>
            <w:r>
              <w:rPr>
                <w:spacing w:val="-7"/>
              </w:rPr>
              <w:t>切实加强基层工作力量，赋予乡镇</w:t>
            </w:r>
            <w:r>
              <w:rPr>
                <w:spacing w:val="-1"/>
              </w:rPr>
              <w:t>更加灵活的用人自主权。</w:t>
            </w:r>
          </w:p>
          <w:p>
            <w:pPr>
              <w:pStyle w:val="TableText"/>
              <w:ind w:left="110" w:right="104" w:firstLine="3"/>
              <w:spacing w:before="50" w:line="241" w:lineRule="auto"/>
              <w:rPr/>
            </w:pPr>
            <w:r>
              <w:rPr>
                <w:spacing w:val="-7"/>
              </w:rPr>
              <w:t>3.整合条线辅助人员，提高人员使</w:t>
            </w:r>
            <w:r>
              <w:rPr>
                <w:spacing w:val="-2"/>
              </w:rPr>
              <w:t>用效率。</w:t>
            </w:r>
          </w:p>
        </w:tc>
        <w:tc>
          <w:tcPr>
            <w:tcW w:w="988"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231"/>
              <w:spacing w:before="59" w:line="212" w:lineRule="auto"/>
              <w:rPr/>
            </w:pPr>
            <w:r>
              <w:rPr>
                <w:spacing w:val="-3"/>
              </w:rPr>
              <w:t>高耀明</w:t>
            </w:r>
          </w:p>
        </w:tc>
        <w:tc>
          <w:tcPr>
            <w:tcW w:w="1027" w:type="dxa"/>
            <w:vAlign w:val="top"/>
          </w:tcPr>
          <w:p>
            <w:pPr>
              <w:spacing w:line="309" w:lineRule="auto"/>
              <w:rPr>
                <w:rFonts w:ascii="Arial"/>
                <w:sz w:val="21"/>
              </w:rPr>
            </w:pPr>
            <w:r/>
          </w:p>
          <w:p>
            <w:pPr>
              <w:spacing w:line="310" w:lineRule="auto"/>
              <w:rPr>
                <w:rFonts w:ascii="Arial"/>
                <w:sz w:val="21"/>
              </w:rPr>
            </w:pPr>
            <w:r/>
          </w:p>
          <w:p>
            <w:pPr>
              <w:spacing w:line="310" w:lineRule="auto"/>
              <w:rPr>
                <w:rFonts w:ascii="Arial"/>
                <w:sz w:val="21"/>
              </w:rPr>
            </w:pPr>
            <w:r/>
          </w:p>
          <w:p>
            <w:pPr>
              <w:pStyle w:val="TableText"/>
              <w:ind w:left="106" w:right="108" w:hanging="88"/>
              <w:spacing w:before="58" w:line="275" w:lineRule="auto"/>
              <w:rPr/>
            </w:pPr>
            <w:r>
              <w:rPr>
                <w:spacing w:val="-1"/>
              </w:rPr>
              <w:t>县委组织部</w:t>
            </w:r>
            <w:r>
              <w:rPr>
                <w:spacing w:val="-2"/>
              </w:rPr>
              <w:t>县委编办</w:t>
            </w:r>
            <w:r>
              <w:rPr>
                <w:spacing w:val="11"/>
              </w:rPr>
              <w:t>县人力资</w:t>
            </w:r>
            <w:r>
              <w:rPr>
                <w:spacing w:val="11"/>
              </w:rPr>
              <w:t>源社会保</w:t>
            </w:r>
          </w:p>
          <w:p>
            <w:pPr>
              <w:pStyle w:val="TableText"/>
              <w:ind w:left="347"/>
              <w:spacing w:line="213" w:lineRule="auto"/>
              <w:rPr/>
            </w:pPr>
            <w:r>
              <w:rPr>
                <w:spacing w:val="-8"/>
              </w:rPr>
              <w:t>障局</w:t>
            </w:r>
          </w:p>
        </w:tc>
        <w:tc>
          <w:tcPr>
            <w:tcW w:w="1239" w:type="dxa"/>
            <w:vAlign w:val="top"/>
          </w:tcPr>
          <w:p>
            <w:pPr>
              <w:spacing w:line="309" w:lineRule="auto"/>
              <w:rPr>
                <w:rFonts w:ascii="Arial"/>
                <w:sz w:val="21"/>
              </w:rPr>
            </w:pPr>
            <w:r/>
          </w:p>
          <w:p>
            <w:pPr>
              <w:spacing w:line="309" w:lineRule="auto"/>
              <w:rPr>
                <w:rFonts w:ascii="Arial"/>
                <w:sz w:val="21"/>
              </w:rPr>
            </w:pPr>
            <w:r/>
          </w:p>
          <w:p>
            <w:pPr>
              <w:spacing w:line="310" w:lineRule="auto"/>
              <w:rPr>
                <w:rFonts w:ascii="Arial"/>
                <w:sz w:val="21"/>
              </w:rPr>
            </w:pPr>
            <w:r/>
          </w:p>
          <w:p>
            <w:pPr>
              <w:pStyle w:val="TableText"/>
              <w:ind w:left="261"/>
              <w:spacing w:before="58" w:line="211" w:lineRule="auto"/>
              <w:rPr/>
            </w:pPr>
            <w:r>
              <w:rPr>
                <w:spacing w:val="-2"/>
              </w:rPr>
              <w:t>县财政局</w:t>
            </w:r>
          </w:p>
          <w:p>
            <w:pPr>
              <w:pStyle w:val="TableText"/>
              <w:ind w:left="205"/>
              <w:spacing w:before="61" w:line="213" w:lineRule="auto"/>
              <w:rPr/>
            </w:pPr>
            <w:r>
              <w:rPr>
                <w:spacing w:val="-8"/>
              </w:rPr>
              <w:t>自然资源局</w:t>
            </w:r>
          </w:p>
          <w:p>
            <w:pPr>
              <w:pStyle w:val="TableText"/>
              <w:ind w:left="350"/>
              <w:spacing w:before="62" w:line="210" w:lineRule="auto"/>
              <w:rPr/>
            </w:pPr>
            <w:r>
              <w:rPr>
                <w:spacing w:val="-1"/>
              </w:rPr>
              <w:t>水务局</w:t>
            </w:r>
          </w:p>
          <w:p>
            <w:pPr>
              <w:pStyle w:val="TableText"/>
              <w:ind w:left="439" w:right="166" w:hanging="271"/>
              <w:spacing w:before="64" w:line="278" w:lineRule="auto"/>
              <w:rPr/>
            </w:pPr>
            <w:r>
              <w:rPr>
                <w:spacing w:val="-1"/>
              </w:rPr>
              <w:t>农业农村局</w:t>
            </w:r>
            <w:r>
              <w:rPr>
                <w:spacing w:val="-2"/>
              </w:rPr>
              <w:t>各乡镇</w:t>
            </w:r>
          </w:p>
        </w:tc>
      </w:tr>
    </w:tbl>
    <w:p>
      <w:pPr>
        <w:spacing w:line="141" w:lineRule="exact"/>
        <w:rPr>
          <w:rFonts w:ascii="Arial"/>
          <w:sz w:val="12"/>
        </w:rPr>
      </w:pPr>
      <w:r/>
    </w:p>
    <w:p>
      <w:pPr>
        <w:spacing w:line="141" w:lineRule="exact"/>
        <w:sectPr>
          <w:headerReference w:type="default" r:id="rId371"/>
          <w:footerReference w:type="default" r:id="rId372"/>
          <w:pgSz w:w="16839" w:h="11906"/>
          <w:pgMar w:top="1767" w:right="1462" w:bottom="1570" w:left="1463" w:header="1428" w:footer="1172" w:gutter="0"/>
        </w:sectPr>
        <w:rPr>
          <w:rFonts w:ascii="Arial" w:hAnsi="Arial" w:eastAsia="Arial" w:cs="Arial"/>
          <w:sz w:val="12"/>
          <w:szCs w:val="12"/>
        </w:rPr>
      </w:pPr>
    </w:p>
    <w:p>
      <w:pPr>
        <w:spacing w:line="192" w:lineRule="exact"/>
        <w:rPr/>
      </w:pPr>
      <w:r>
        <w:drawing>
          <wp:anchor distT="0" distB="0" distL="0" distR="0" simplePos="0" relativeHeight="251922432"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746" name="IM 746"/>
            <wp:cNvGraphicFramePr/>
            <a:graphic>
              <a:graphicData uri="http://schemas.openxmlformats.org/drawingml/2006/picture">
                <pic:pic>
                  <pic:nvPicPr>
                    <pic:cNvPr id="746" name="IM 746"/>
                    <pic:cNvPicPr/>
                  </pic:nvPicPr>
                  <pic:blipFill>
                    <a:blip r:embed="rId375"/>
                    <a:stretch>
                      <a:fillRect/>
                    </a:stretch>
                  </pic:blipFill>
                  <pic:spPr>
                    <a:xfrm rot="0">
                      <a:off x="0" y="0"/>
                      <a:ext cx="8712200" cy="7620"/>
                    </a:xfrm>
                    <a:prstGeom prst="rect">
                      <a:avLst/>
                    </a:prstGeom>
                  </pic:spPr>
                </pic:pic>
              </a:graphicData>
            </a:graphic>
          </wp:anchor>
        </w:drawing>
      </w:r>
      <w:r/>
    </w:p>
    <w:tbl>
      <w:tblPr>
        <w:tblStyle w:val="TableNormal"/>
        <w:tblW w:w="1390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88"/>
        <w:gridCol w:w="1384"/>
        <w:gridCol w:w="5654"/>
        <w:gridCol w:w="2827"/>
        <w:gridCol w:w="988"/>
        <w:gridCol w:w="1027"/>
        <w:gridCol w:w="1239"/>
      </w:tblGrid>
      <w:tr>
        <w:trPr>
          <w:trHeight w:val="520" w:hRule="atLeast"/>
        </w:trPr>
        <w:tc>
          <w:tcPr>
            <w:tcW w:w="788" w:type="dxa"/>
            <w:vAlign w:val="top"/>
          </w:tcPr>
          <w:p>
            <w:pPr>
              <w:pStyle w:val="TableText"/>
              <w:ind w:left="215"/>
              <w:spacing w:before="160" w:line="214" w:lineRule="auto"/>
              <w:rPr/>
            </w:pPr>
            <w:r>
              <w:rPr>
                <w:b/>
                <w:bCs/>
                <w:spacing w:val="-4"/>
              </w:rPr>
              <w:t>序号</w:t>
            </w:r>
          </w:p>
        </w:tc>
        <w:tc>
          <w:tcPr>
            <w:tcW w:w="1384" w:type="dxa"/>
            <w:vAlign w:val="top"/>
          </w:tcPr>
          <w:p>
            <w:pPr>
              <w:pStyle w:val="TableText"/>
              <w:ind w:left="339"/>
              <w:spacing w:before="160" w:line="213" w:lineRule="auto"/>
              <w:rPr/>
            </w:pPr>
            <w:r>
              <w:rPr>
                <w:b/>
                <w:bCs/>
                <w:spacing w:val="-4"/>
              </w:rPr>
              <w:t>主要任务</w:t>
            </w:r>
          </w:p>
        </w:tc>
        <w:tc>
          <w:tcPr>
            <w:tcW w:w="5654" w:type="dxa"/>
            <w:vAlign w:val="top"/>
          </w:tcPr>
          <w:p>
            <w:pPr>
              <w:pStyle w:val="TableText"/>
              <w:ind w:left="2470"/>
              <w:spacing w:before="162" w:line="211" w:lineRule="auto"/>
              <w:rPr/>
            </w:pPr>
            <w:r>
              <w:rPr>
                <w:b/>
                <w:bCs/>
                <w:spacing w:val="-3"/>
              </w:rPr>
              <w:t>推进措施</w:t>
            </w:r>
          </w:p>
        </w:tc>
        <w:tc>
          <w:tcPr>
            <w:tcW w:w="2827" w:type="dxa"/>
            <w:vAlign w:val="top"/>
          </w:tcPr>
          <w:p>
            <w:pPr>
              <w:pStyle w:val="TableText"/>
              <w:ind w:left="1059"/>
              <w:spacing w:before="161" w:line="211" w:lineRule="auto"/>
              <w:rPr/>
            </w:pPr>
            <w:r>
              <w:rPr>
                <w:b/>
                <w:bCs/>
                <w:spacing w:val="-4"/>
              </w:rPr>
              <w:t>预期目标</w:t>
            </w:r>
          </w:p>
        </w:tc>
        <w:tc>
          <w:tcPr>
            <w:tcW w:w="988" w:type="dxa"/>
            <w:vAlign w:val="top"/>
          </w:tcPr>
          <w:p>
            <w:pPr>
              <w:pStyle w:val="TableText"/>
              <w:ind w:left="139"/>
              <w:spacing w:before="160" w:line="213" w:lineRule="auto"/>
              <w:rPr/>
            </w:pPr>
            <w:r>
              <w:rPr>
                <w:b/>
                <w:bCs/>
                <w:spacing w:val="-3"/>
              </w:rPr>
              <w:t>责任领导</w:t>
            </w:r>
          </w:p>
        </w:tc>
        <w:tc>
          <w:tcPr>
            <w:tcW w:w="1027" w:type="dxa"/>
            <w:vAlign w:val="top"/>
          </w:tcPr>
          <w:p>
            <w:pPr>
              <w:pStyle w:val="TableText"/>
              <w:ind w:left="158"/>
              <w:spacing w:before="160" w:line="212" w:lineRule="auto"/>
              <w:rPr/>
            </w:pPr>
            <w:r>
              <w:rPr>
                <w:b/>
                <w:bCs/>
                <w:spacing w:val="-3"/>
              </w:rPr>
              <w:t>牵头单位</w:t>
            </w:r>
          </w:p>
        </w:tc>
        <w:tc>
          <w:tcPr>
            <w:tcW w:w="1239" w:type="dxa"/>
            <w:vAlign w:val="top"/>
          </w:tcPr>
          <w:p>
            <w:pPr>
              <w:pStyle w:val="TableText"/>
              <w:ind w:left="258"/>
              <w:spacing w:before="160" w:line="214" w:lineRule="auto"/>
              <w:rPr/>
            </w:pPr>
            <w:r>
              <w:rPr>
                <w:b/>
                <w:bCs/>
                <w:spacing w:val="-3"/>
              </w:rPr>
              <w:t>实施单位</w:t>
            </w:r>
          </w:p>
        </w:tc>
      </w:tr>
      <w:tr>
        <w:trPr>
          <w:trHeight w:val="1824" w:hRule="atLeast"/>
        </w:trPr>
        <w:tc>
          <w:tcPr>
            <w:tcW w:w="788" w:type="dxa"/>
            <w:vAlign w:val="top"/>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pStyle w:val="TableText"/>
              <w:ind w:left="322"/>
              <w:spacing w:before="58" w:line="261" w:lineRule="exact"/>
              <w:rPr/>
            </w:pPr>
            <w:r>
              <w:rPr>
                <w:spacing w:val="-11"/>
                <w:position w:val="1"/>
              </w:rPr>
              <w:t>13</w:t>
            </w:r>
          </w:p>
        </w:tc>
        <w:tc>
          <w:tcPr>
            <w:tcW w:w="1384" w:type="dxa"/>
            <w:vAlign w:val="top"/>
          </w:tcPr>
          <w:p>
            <w:pPr>
              <w:spacing w:line="307" w:lineRule="auto"/>
              <w:rPr>
                <w:rFonts w:ascii="Arial"/>
                <w:sz w:val="21"/>
              </w:rPr>
            </w:pPr>
            <w:r/>
          </w:p>
          <w:p>
            <w:pPr>
              <w:spacing w:line="307" w:lineRule="auto"/>
              <w:rPr>
                <w:rFonts w:ascii="Arial"/>
                <w:sz w:val="21"/>
              </w:rPr>
            </w:pPr>
            <w:r/>
          </w:p>
          <w:p>
            <w:pPr>
              <w:pStyle w:val="TableText"/>
              <w:ind w:left="510" w:right="330" w:hanging="176"/>
              <w:spacing w:before="59" w:line="279" w:lineRule="auto"/>
              <w:rPr/>
            </w:pPr>
            <w:r>
              <w:rPr>
                <w:spacing w:val="-2"/>
              </w:rPr>
              <w:t>强化事权</w:t>
            </w:r>
            <w:r>
              <w:rPr>
                <w:spacing w:val="-2"/>
              </w:rPr>
              <w:t>保障</w:t>
            </w:r>
          </w:p>
        </w:tc>
        <w:tc>
          <w:tcPr>
            <w:tcW w:w="5654" w:type="dxa"/>
            <w:vAlign w:val="top"/>
          </w:tcPr>
          <w:p>
            <w:pPr>
              <w:pStyle w:val="TableText"/>
              <w:ind w:left="108"/>
              <w:spacing w:before="28" w:line="240" w:lineRule="exact"/>
              <w:rPr/>
            </w:pPr>
            <w:r>
              <w:rPr>
                <w:spacing w:val="-1"/>
                <w:position w:val="1"/>
              </w:rPr>
              <w:t>2</w:t>
            </w:r>
            <w:r>
              <w:rPr>
                <w:spacing w:val="-25"/>
                <w:position w:val="1"/>
              </w:rPr>
              <w:t xml:space="preserve"> </w:t>
            </w:r>
            <w:r>
              <w:rPr>
                <w:spacing w:val="-1"/>
                <w:position w:val="1"/>
              </w:rPr>
              <w:t>月28 日前，筹备采购乡镇办公设施及综合执法设备设施。</w:t>
            </w:r>
          </w:p>
          <w:p>
            <w:pPr>
              <w:pStyle w:val="TableText"/>
              <w:ind w:left="105" w:right="124" w:firstLine="5"/>
              <w:spacing w:before="19" w:line="258" w:lineRule="auto"/>
              <w:rPr/>
            </w:pPr>
            <w:r>
              <w:rPr>
                <w:spacing w:val="-3"/>
              </w:rPr>
              <w:t>3</w:t>
            </w:r>
            <w:r>
              <w:rPr>
                <w:spacing w:val="-39"/>
              </w:rPr>
              <w:t xml:space="preserve"> </w:t>
            </w:r>
            <w:r>
              <w:rPr>
                <w:spacing w:val="-3"/>
              </w:rPr>
              <w:t>月</w:t>
            </w:r>
            <w:r>
              <w:rPr>
                <w:spacing w:val="-25"/>
              </w:rPr>
              <w:t xml:space="preserve"> </w:t>
            </w:r>
            <w:r>
              <w:rPr>
                <w:spacing w:val="-3"/>
              </w:rPr>
              <w:t>10 日前，建立对乡镇资金保障机制，坚持重</w:t>
            </w:r>
            <w:r>
              <w:rPr>
                <w:spacing w:val="-4"/>
              </w:rPr>
              <w:t>心下移、力量下沉、</w:t>
            </w:r>
            <w:r>
              <w:rPr>
                <w:spacing w:val="-1"/>
              </w:rPr>
              <w:t>保障下倾，调动基层发展的积极性。</w:t>
            </w:r>
          </w:p>
          <w:p>
            <w:pPr>
              <w:pStyle w:val="TableText"/>
              <w:ind w:left="107" w:right="124" w:firstLine="3"/>
              <w:spacing w:before="17" w:line="258" w:lineRule="auto"/>
              <w:rPr/>
            </w:pPr>
            <w:r>
              <w:rPr>
                <w:spacing w:val="-1"/>
              </w:rPr>
              <w:t>3</w:t>
            </w:r>
            <w:r>
              <w:rPr>
                <w:spacing w:val="-39"/>
              </w:rPr>
              <w:t xml:space="preserve"> </w:t>
            </w:r>
            <w:r>
              <w:rPr>
                <w:spacing w:val="-1"/>
              </w:rPr>
              <w:t>月20 日前，改革涉及的机构人员调整后，相关部</w:t>
            </w:r>
            <w:r>
              <w:rPr>
                <w:spacing w:val="-2"/>
              </w:rPr>
              <w:t>门按照人随编走、</w:t>
            </w:r>
            <w:r>
              <w:rPr/>
              <w:t>钱随事走的原则，对人员工资、项目支出进行预算调剂</w:t>
            </w:r>
            <w:r>
              <w:rPr>
                <w:spacing w:val="-1"/>
              </w:rPr>
              <w:t>，确保相关职</w:t>
            </w:r>
            <w:r>
              <w:rPr/>
              <w:t>责继续落实到位。同时，要厘清财产、资产和债务明细</w:t>
            </w:r>
            <w:r>
              <w:rPr>
                <w:spacing w:val="-1"/>
              </w:rPr>
              <w:t>，及时清查交</w:t>
            </w:r>
            <w:r>
              <w:rPr>
                <w:spacing w:val="-1"/>
              </w:rPr>
              <w:t>接、划转。</w:t>
            </w:r>
          </w:p>
        </w:tc>
        <w:tc>
          <w:tcPr>
            <w:tcW w:w="2827" w:type="dxa"/>
            <w:vAlign w:val="top"/>
          </w:tcPr>
          <w:p>
            <w:pPr>
              <w:pStyle w:val="TableText"/>
              <w:ind w:left="109" w:right="49" w:firstLine="1"/>
              <w:spacing w:before="32" w:line="261" w:lineRule="auto"/>
              <w:jc w:val="both"/>
              <w:rPr/>
            </w:pPr>
            <w:r>
              <w:rPr>
                <w:spacing w:val="6"/>
              </w:rPr>
              <w:t>加强下放给乡镇事权的人才、技</w:t>
            </w:r>
            <w:r>
              <w:rPr>
                <w:spacing w:val="-14"/>
              </w:rPr>
              <w:t>术、资金、网络端口等方面的保障，</w:t>
            </w:r>
            <w:r>
              <w:rPr>
                <w:spacing w:val="-7"/>
              </w:rPr>
              <w:t>调动基层发展的积极性，做到权随</w:t>
            </w:r>
            <w:r>
              <w:rPr>
                <w:spacing w:val="-6"/>
              </w:rPr>
              <w:t>事转、人随事转、钱随事转，使基</w:t>
            </w:r>
            <w:r>
              <w:rPr>
                <w:spacing w:val="-7"/>
              </w:rPr>
              <w:t>层有人有物有权，保证基层事情基</w:t>
            </w:r>
            <w:r>
              <w:rPr>
                <w:spacing w:val="-7"/>
              </w:rPr>
              <w:t>层办、基层权力给基层、基层事情</w:t>
            </w:r>
            <w:r>
              <w:rPr>
                <w:spacing w:val="-1"/>
              </w:rPr>
              <w:t>有人办。</w:t>
            </w:r>
          </w:p>
        </w:tc>
        <w:tc>
          <w:tcPr>
            <w:tcW w:w="988"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32"/>
              <w:spacing w:before="58" w:line="211" w:lineRule="auto"/>
              <w:rPr/>
            </w:pPr>
            <w:r>
              <w:rPr>
                <w:spacing w:val="-3"/>
              </w:rPr>
              <w:t>张永强</w:t>
            </w:r>
          </w:p>
        </w:tc>
        <w:tc>
          <w:tcPr>
            <w:tcW w:w="1027" w:type="dxa"/>
            <w:vAlign w:val="top"/>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58"/>
              <w:spacing w:before="59" w:line="211" w:lineRule="auto"/>
              <w:rPr/>
            </w:pPr>
            <w:r>
              <w:rPr>
                <w:spacing w:val="-2"/>
              </w:rPr>
              <w:t>县财政局</w:t>
            </w:r>
          </w:p>
        </w:tc>
        <w:tc>
          <w:tcPr>
            <w:tcW w:w="1239" w:type="dxa"/>
            <w:vAlign w:val="top"/>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pStyle w:val="TableText"/>
              <w:ind w:left="351"/>
              <w:spacing w:before="59" w:line="211" w:lineRule="auto"/>
              <w:rPr/>
            </w:pPr>
            <w:r>
              <w:rPr>
                <w:spacing w:val="-2"/>
              </w:rPr>
              <w:t>各乡镇</w:t>
            </w:r>
          </w:p>
        </w:tc>
      </w:tr>
      <w:tr>
        <w:trPr>
          <w:trHeight w:val="1437" w:hRule="atLeast"/>
        </w:trPr>
        <w:tc>
          <w:tcPr>
            <w:tcW w:w="788" w:type="dxa"/>
            <w:vAlign w:val="top"/>
          </w:tcPr>
          <w:p>
            <w:pPr>
              <w:spacing w:line="277" w:lineRule="auto"/>
              <w:rPr>
                <w:rFonts w:ascii="Arial"/>
                <w:sz w:val="21"/>
              </w:rPr>
            </w:pPr>
            <w:r/>
          </w:p>
          <w:p>
            <w:pPr>
              <w:spacing w:line="277" w:lineRule="auto"/>
              <w:rPr>
                <w:rFonts w:ascii="Arial"/>
                <w:sz w:val="21"/>
              </w:rPr>
            </w:pPr>
            <w:r/>
          </w:p>
          <w:p>
            <w:pPr>
              <w:pStyle w:val="TableText"/>
              <w:ind w:left="322"/>
              <w:spacing w:before="58" w:line="262" w:lineRule="exact"/>
              <w:rPr/>
            </w:pPr>
            <w:r>
              <w:rPr>
                <w:spacing w:val="-11"/>
                <w:position w:val="1"/>
              </w:rPr>
              <w:t>14</w:t>
            </w:r>
          </w:p>
        </w:tc>
        <w:tc>
          <w:tcPr>
            <w:tcW w:w="1384" w:type="dxa"/>
            <w:vAlign w:val="top"/>
          </w:tcPr>
          <w:p>
            <w:pPr>
              <w:spacing w:line="424" w:lineRule="auto"/>
              <w:rPr>
                <w:rFonts w:ascii="Arial"/>
                <w:sz w:val="21"/>
              </w:rPr>
            </w:pPr>
            <w:r/>
          </w:p>
          <w:p>
            <w:pPr>
              <w:pStyle w:val="TableText"/>
              <w:ind w:left="330" w:right="330" w:firstLine="1"/>
              <w:spacing w:before="58" w:line="275" w:lineRule="auto"/>
              <w:rPr/>
            </w:pPr>
            <w:r>
              <w:rPr>
                <w:spacing w:val="-2"/>
              </w:rPr>
              <w:t>完善激励</w:t>
            </w:r>
            <w:r>
              <w:rPr>
                <w:spacing w:val="-1"/>
              </w:rPr>
              <w:t>保障机制</w:t>
            </w:r>
          </w:p>
        </w:tc>
        <w:tc>
          <w:tcPr>
            <w:tcW w:w="5654" w:type="dxa"/>
            <w:vAlign w:val="top"/>
          </w:tcPr>
          <w:p>
            <w:pPr>
              <w:pStyle w:val="TableText"/>
              <w:ind w:left="105" w:right="99" w:firstLine="5"/>
              <w:spacing w:before="135" w:line="251" w:lineRule="auto"/>
              <w:jc w:val="both"/>
              <w:rPr/>
            </w:pPr>
            <w:r>
              <w:rPr>
                <w:spacing w:val="-1"/>
              </w:rPr>
              <w:t>3</w:t>
            </w:r>
            <w:r>
              <w:rPr>
                <w:spacing w:val="-26"/>
              </w:rPr>
              <w:t xml:space="preserve"> </w:t>
            </w:r>
            <w:r>
              <w:rPr>
                <w:spacing w:val="-1"/>
              </w:rPr>
              <w:t>月31 日前，全面落实乡镇工作人员各项待遇政策，并向条件艰苦的</w:t>
            </w:r>
            <w:r>
              <w:rPr>
                <w:spacing w:val="1"/>
              </w:rPr>
              <w:t>偏远乡镇和长期在乡镇工作的人员倾斜。乡镇年度考核优秀比例提高</w:t>
            </w:r>
            <w:r>
              <w:rPr>
                <w:spacing w:val="8"/>
              </w:rPr>
              <w:t>到</w:t>
            </w:r>
            <w:r>
              <w:rPr>
                <w:spacing w:val="-37"/>
              </w:rPr>
              <w:t xml:space="preserve"> </w:t>
            </w:r>
            <w:r>
              <w:rPr>
                <w:spacing w:val="8"/>
              </w:rPr>
              <w:t>20%，工作成绩突出的可提高到25%—35%。落实乡镇</w:t>
            </w:r>
            <w:r>
              <w:rPr>
                <w:spacing w:val="7"/>
              </w:rPr>
              <w:t>工作补贴政</w:t>
            </w:r>
            <w:r>
              <w:rPr>
                <w:spacing w:val="1"/>
              </w:rPr>
              <w:t>策，确保乡镇机关事业单位人员收入高于县直机关事业单位同职级人</w:t>
            </w:r>
            <w:r>
              <w:rPr>
                <w:spacing w:val="10"/>
              </w:rPr>
              <w:t>员</w:t>
            </w:r>
            <w:r>
              <w:rPr>
                <w:spacing w:val="-40"/>
              </w:rPr>
              <w:t xml:space="preserve"> </w:t>
            </w:r>
            <w:r>
              <w:rPr>
                <w:spacing w:val="10"/>
              </w:rPr>
              <w:t>20%。</w:t>
            </w:r>
          </w:p>
        </w:tc>
        <w:tc>
          <w:tcPr>
            <w:tcW w:w="2827" w:type="dxa"/>
            <w:vAlign w:val="top"/>
          </w:tcPr>
          <w:p>
            <w:pPr>
              <w:spacing w:line="437" w:lineRule="auto"/>
              <w:rPr>
                <w:rFonts w:ascii="Arial"/>
                <w:sz w:val="21"/>
              </w:rPr>
            </w:pPr>
            <w:r/>
          </w:p>
          <w:p>
            <w:pPr>
              <w:pStyle w:val="TableText"/>
              <w:ind w:left="110" w:right="52"/>
              <w:spacing w:before="59" w:line="248" w:lineRule="auto"/>
              <w:rPr/>
            </w:pPr>
            <w:r>
              <w:rPr>
                <w:spacing w:val="-3"/>
              </w:rPr>
              <w:t>进一步调动基层干部队伍积极性，</w:t>
            </w:r>
            <w:r>
              <w:rPr>
                <w:spacing w:val="-1"/>
              </w:rPr>
              <w:t>激励担当作为、干事创业。</w:t>
            </w:r>
          </w:p>
        </w:tc>
        <w:tc>
          <w:tcPr>
            <w:tcW w:w="988" w:type="dxa"/>
            <w:vAlign w:val="top"/>
          </w:tcPr>
          <w:p>
            <w:pPr>
              <w:spacing w:line="278" w:lineRule="auto"/>
              <w:rPr>
                <w:rFonts w:ascii="Arial"/>
                <w:sz w:val="21"/>
              </w:rPr>
            </w:pPr>
            <w:r/>
          </w:p>
          <w:p>
            <w:pPr>
              <w:spacing w:line="279" w:lineRule="auto"/>
              <w:rPr>
                <w:rFonts w:ascii="Arial"/>
                <w:sz w:val="21"/>
              </w:rPr>
            </w:pPr>
            <w:r/>
          </w:p>
          <w:p>
            <w:pPr>
              <w:pStyle w:val="TableText"/>
              <w:ind w:left="231"/>
              <w:spacing w:before="59" w:line="212" w:lineRule="auto"/>
              <w:rPr/>
            </w:pPr>
            <w:r>
              <w:rPr>
                <w:spacing w:val="-3"/>
              </w:rPr>
              <w:t>高耀明</w:t>
            </w:r>
          </w:p>
        </w:tc>
        <w:tc>
          <w:tcPr>
            <w:tcW w:w="1027" w:type="dxa"/>
            <w:vAlign w:val="top"/>
          </w:tcPr>
          <w:p>
            <w:pPr>
              <w:pStyle w:val="TableText"/>
              <w:ind w:left="158"/>
              <w:spacing w:before="219" w:line="207" w:lineRule="auto"/>
              <w:rPr/>
            </w:pPr>
            <w:r>
              <w:rPr>
                <w:spacing w:val="-2"/>
              </w:rPr>
              <w:t>县委组织</w:t>
            </w:r>
          </w:p>
          <w:p>
            <w:pPr>
              <w:pStyle w:val="TableText"/>
              <w:ind w:left="156"/>
              <w:spacing w:before="64" w:line="210" w:lineRule="auto"/>
              <w:rPr/>
            </w:pPr>
            <w:r>
              <w:rPr>
                <w:spacing w:val="-1"/>
              </w:rPr>
              <w:t>部县人力</w:t>
            </w:r>
          </w:p>
          <w:p>
            <w:pPr>
              <w:pStyle w:val="TableText"/>
              <w:ind w:left="243" w:right="148" w:hanging="83"/>
              <w:spacing w:before="62" w:line="276" w:lineRule="auto"/>
              <w:rPr/>
            </w:pPr>
            <w:r>
              <w:rPr>
                <w:spacing w:val="-2"/>
              </w:rPr>
              <w:t>资源社会</w:t>
            </w:r>
            <w:r>
              <w:rPr>
                <w:spacing w:val="-1"/>
              </w:rPr>
              <w:t>保障局</w:t>
            </w:r>
          </w:p>
        </w:tc>
        <w:tc>
          <w:tcPr>
            <w:tcW w:w="1239" w:type="dxa"/>
            <w:vAlign w:val="top"/>
          </w:tcPr>
          <w:p>
            <w:pPr>
              <w:spacing w:line="425" w:lineRule="auto"/>
              <w:rPr>
                <w:rFonts w:ascii="Arial"/>
                <w:sz w:val="21"/>
              </w:rPr>
            </w:pPr>
            <w:r/>
          </w:p>
          <w:p>
            <w:pPr>
              <w:pStyle w:val="TableText"/>
              <w:ind w:left="350" w:right="257" w:hanging="89"/>
              <w:spacing w:before="59" w:line="276" w:lineRule="auto"/>
              <w:rPr/>
            </w:pPr>
            <w:r>
              <w:rPr>
                <w:spacing w:val="-2"/>
              </w:rPr>
              <w:t>县财政局</w:t>
            </w:r>
            <w:r>
              <w:rPr>
                <w:spacing w:val="-2"/>
              </w:rPr>
              <w:t>各乡镇</w:t>
            </w:r>
          </w:p>
        </w:tc>
      </w:tr>
      <w:tr>
        <w:trPr>
          <w:trHeight w:val="1381" w:hRule="atLeast"/>
        </w:trPr>
        <w:tc>
          <w:tcPr>
            <w:tcW w:w="788" w:type="dxa"/>
            <w:vAlign w:val="top"/>
          </w:tcPr>
          <w:p>
            <w:pPr>
              <w:spacing w:line="262" w:lineRule="auto"/>
              <w:rPr>
                <w:rFonts w:ascii="Arial"/>
                <w:sz w:val="21"/>
              </w:rPr>
            </w:pPr>
            <w:r/>
          </w:p>
          <w:p>
            <w:pPr>
              <w:spacing w:line="263" w:lineRule="auto"/>
              <w:rPr>
                <w:rFonts w:ascii="Arial"/>
                <w:sz w:val="21"/>
              </w:rPr>
            </w:pPr>
            <w:r/>
          </w:p>
          <w:p>
            <w:pPr>
              <w:pStyle w:val="TableText"/>
              <w:ind w:left="322"/>
              <w:spacing w:before="59" w:line="260" w:lineRule="exact"/>
              <w:rPr/>
            </w:pPr>
            <w:r>
              <w:rPr>
                <w:spacing w:val="-11"/>
                <w:position w:val="1"/>
              </w:rPr>
              <w:t>15</w:t>
            </w:r>
          </w:p>
        </w:tc>
        <w:tc>
          <w:tcPr>
            <w:tcW w:w="1384" w:type="dxa"/>
            <w:vAlign w:val="top"/>
          </w:tcPr>
          <w:p>
            <w:pPr>
              <w:spacing w:line="397" w:lineRule="auto"/>
              <w:rPr>
                <w:rFonts w:ascii="Arial"/>
                <w:sz w:val="21"/>
              </w:rPr>
            </w:pPr>
            <w:r/>
          </w:p>
          <w:p>
            <w:pPr>
              <w:pStyle w:val="TableText"/>
              <w:ind w:left="422" w:right="241" w:hanging="181"/>
              <w:spacing w:before="58" w:line="279" w:lineRule="auto"/>
              <w:rPr/>
            </w:pPr>
            <w:r>
              <w:rPr>
                <w:spacing w:val="-1"/>
              </w:rPr>
              <w:t>规范“属地</w:t>
            </w:r>
            <w:r>
              <w:rPr>
                <w:spacing w:val="28"/>
              </w:rPr>
              <w:t>管理”</w:t>
            </w:r>
          </w:p>
        </w:tc>
        <w:tc>
          <w:tcPr>
            <w:tcW w:w="5654" w:type="dxa"/>
            <w:vAlign w:val="top"/>
          </w:tcPr>
          <w:p>
            <w:pPr>
              <w:pStyle w:val="TableText"/>
              <w:ind w:left="110" w:right="104"/>
              <w:spacing w:before="107" w:line="246" w:lineRule="auto"/>
              <w:rPr/>
            </w:pPr>
            <w:r>
              <w:rPr>
                <w:spacing w:val="-1"/>
              </w:rPr>
              <w:t>3</w:t>
            </w:r>
            <w:r>
              <w:rPr>
                <w:spacing w:val="-26"/>
              </w:rPr>
              <w:t xml:space="preserve"> </w:t>
            </w:r>
            <w:r>
              <w:rPr>
                <w:spacing w:val="-1"/>
              </w:rPr>
              <w:t>月31 日前，研究制定《县乡“属地管理”事项主体责任和配合责任</w:t>
            </w:r>
            <w:r>
              <w:rPr>
                <w:spacing w:val="-1"/>
              </w:rPr>
              <w:t>清单》，合理划分县乡权责边界，健全县乡联动机制。</w:t>
            </w:r>
          </w:p>
          <w:p>
            <w:pPr>
              <w:pStyle w:val="TableText"/>
              <w:ind w:left="106" w:right="104" w:hanging="1"/>
              <w:spacing w:before="2" w:line="244" w:lineRule="auto"/>
              <w:rPr/>
            </w:pPr>
            <w:r>
              <w:rPr>
                <w:spacing w:val="-3"/>
              </w:rPr>
              <w:t>4</w:t>
            </w:r>
            <w:r>
              <w:rPr>
                <w:spacing w:val="-22"/>
              </w:rPr>
              <w:t xml:space="preserve"> </w:t>
            </w:r>
            <w:r>
              <w:rPr>
                <w:spacing w:val="-3"/>
              </w:rPr>
              <w:t>月</w:t>
            </w:r>
            <w:r>
              <w:rPr>
                <w:spacing w:val="-25"/>
              </w:rPr>
              <w:t xml:space="preserve"> </w:t>
            </w:r>
            <w:r>
              <w:rPr>
                <w:spacing w:val="-3"/>
              </w:rPr>
              <w:t>10 日前，探索建立乡镇职责准入制度，县级职能部门将职责范围</w:t>
            </w:r>
            <w:r>
              <w:rPr/>
              <w:t>内的行政事务委托或交由乡镇承担的，需审核报批并充分</w:t>
            </w:r>
            <w:r>
              <w:rPr>
                <w:spacing w:val="-1"/>
              </w:rPr>
              <w:t>听取基层意</w:t>
            </w:r>
            <w:r>
              <w:rPr>
                <w:spacing w:val="-2"/>
              </w:rPr>
              <w:t>见。</w:t>
            </w:r>
          </w:p>
        </w:tc>
        <w:tc>
          <w:tcPr>
            <w:tcW w:w="2827" w:type="dxa"/>
            <w:vAlign w:val="top"/>
          </w:tcPr>
          <w:p>
            <w:pPr>
              <w:pStyle w:val="TableText"/>
              <w:ind w:left="111" w:right="104" w:firstLine="14"/>
              <w:spacing w:before="106" w:line="237" w:lineRule="auto"/>
              <w:rPr/>
            </w:pPr>
            <w:r>
              <w:rPr>
                <w:spacing w:val="-7"/>
              </w:rPr>
              <w:t>1.通过建立县乡“属地管理”事项</w:t>
            </w:r>
            <w:r>
              <w:rPr>
                <w:spacing w:val="-7"/>
              </w:rPr>
              <w:t>主体责任和配合责任清单，进一步</w:t>
            </w:r>
            <w:r>
              <w:rPr>
                <w:spacing w:val="-1"/>
              </w:rPr>
              <w:t>理顺县乡关系，压实责任。</w:t>
            </w:r>
          </w:p>
          <w:p>
            <w:pPr>
              <w:pStyle w:val="TableText"/>
              <w:ind w:left="110" w:right="104" w:firstLine="1"/>
              <w:spacing w:before="26" w:line="231" w:lineRule="auto"/>
              <w:rPr/>
            </w:pPr>
            <w:r>
              <w:rPr>
                <w:spacing w:val="-6"/>
              </w:rPr>
              <w:t>2.通过严格控制下放事项，确保放</w:t>
            </w:r>
            <w:r>
              <w:rPr>
                <w:spacing w:val="-1"/>
              </w:rPr>
              <w:t>得下、接得住、管得好。</w:t>
            </w:r>
          </w:p>
        </w:tc>
        <w:tc>
          <w:tcPr>
            <w:tcW w:w="988" w:type="dxa"/>
            <w:vAlign w:val="top"/>
          </w:tcPr>
          <w:p>
            <w:pPr>
              <w:spacing w:line="264" w:lineRule="auto"/>
              <w:rPr>
                <w:rFonts w:ascii="Arial"/>
                <w:sz w:val="21"/>
              </w:rPr>
            </w:pPr>
            <w:r/>
          </w:p>
          <w:p>
            <w:pPr>
              <w:spacing w:line="265" w:lineRule="auto"/>
              <w:rPr>
                <w:rFonts w:ascii="Arial"/>
                <w:sz w:val="21"/>
              </w:rPr>
            </w:pPr>
            <w:r/>
          </w:p>
          <w:p>
            <w:pPr>
              <w:pStyle w:val="TableText"/>
              <w:ind w:left="231"/>
              <w:spacing w:before="58" w:line="212" w:lineRule="auto"/>
              <w:rPr/>
            </w:pPr>
            <w:r>
              <w:rPr>
                <w:spacing w:val="-3"/>
              </w:rPr>
              <w:t>高耀明</w:t>
            </w:r>
          </w:p>
        </w:tc>
        <w:tc>
          <w:tcPr>
            <w:tcW w:w="1027" w:type="dxa"/>
            <w:vAlign w:val="top"/>
          </w:tcPr>
          <w:p>
            <w:pPr>
              <w:spacing w:line="265" w:lineRule="auto"/>
              <w:rPr>
                <w:rFonts w:ascii="Arial"/>
                <w:sz w:val="21"/>
              </w:rPr>
            </w:pPr>
            <w:r/>
          </w:p>
          <w:p>
            <w:pPr>
              <w:spacing w:line="266" w:lineRule="auto"/>
              <w:rPr>
                <w:rFonts w:ascii="Arial"/>
                <w:sz w:val="21"/>
              </w:rPr>
            </w:pPr>
            <w:r/>
          </w:p>
          <w:p>
            <w:pPr>
              <w:pStyle w:val="TableText"/>
              <w:ind w:left="158"/>
              <w:spacing w:before="58" w:line="208" w:lineRule="auto"/>
              <w:rPr/>
            </w:pPr>
            <w:r>
              <w:rPr>
                <w:spacing w:val="-2"/>
              </w:rPr>
              <w:t>县委编办</w:t>
            </w:r>
          </w:p>
        </w:tc>
        <w:tc>
          <w:tcPr>
            <w:tcW w:w="1239" w:type="dxa"/>
            <w:vAlign w:val="top"/>
          </w:tcPr>
          <w:p>
            <w:pPr>
              <w:spacing w:line="402" w:lineRule="auto"/>
              <w:rPr>
                <w:rFonts w:ascii="Arial"/>
                <w:sz w:val="21"/>
              </w:rPr>
            </w:pPr>
            <w:r/>
          </w:p>
          <w:p>
            <w:pPr>
              <w:pStyle w:val="TableText"/>
              <w:ind w:left="350" w:right="257" w:hanging="89"/>
              <w:spacing w:before="58" w:line="278" w:lineRule="auto"/>
              <w:rPr/>
            </w:pPr>
            <w:r>
              <w:rPr>
                <w:spacing w:val="-2"/>
              </w:rPr>
              <w:t>县司法局</w:t>
            </w:r>
            <w:r>
              <w:rPr>
                <w:spacing w:val="-2"/>
              </w:rPr>
              <w:t>各乡镇</w:t>
            </w:r>
          </w:p>
        </w:tc>
      </w:tr>
      <w:tr>
        <w:trPr>
          <w:trHeight w:val="2888" w:hRule="atLeast"/>
        </w:trPr>
        <w:tc>
          <w:tcPr>
            <w:tcW w:w="788" w:type="dxa"/>
            <w:vAlign w:val="top"/>
          </w:tcPr>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322"/>
              <w:spacing w:before="59" w:line="260" w:lineRule="exact"/>
              <w:rPr/>
            </w:pPr>
            <w:r>
              <w:rPr>
                <w:spacing w:val="-11"/>
                <w:position w:val="1"/>
              </w:rPr>
              <w:t>16</w:t>
            </w:r>
          </w:p>
        </w:tc>
        <w:tc>
          <w:tcPr>
            <w:tcW w:w="1384" w:type="dxa"/>
            <w:vAlign w:val="top"/>
          </w:tcPr>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spacing w:line="287" w:lineRule="auto"/>
              <w:rPr>
                <w:rFonts w:ascii="Arial"/>
                <w:sz w:val="21"/>
              </w:rPr>
            </w:pPr>
            <w:r/>
          </w:p>
          <w:p>
            <w:pPr>
              <w:pStyle w:val="TableText"/>
              <w:ind w:left="332" w:right="330" w:firstLine="1"/>
              <w:spacing w:before="58" w:line="278" w:lineRule="auto"/>
              <w:rPr/>
            </w:pPr>
            <w:r>
              <w:rPr>
                <w:spacing w:val="-2"/>
              </w:rPr>
              <w:t>推进基层</w:t>
            </w:r>
            <w:r>
              <w:rPr>
                <w:spacing w:val="-1"/>
              </w:rPr>
              <w:t>减负增效</w:t>
            </w:r>
          </w:p>
        </w:tc>
        <w:tc>
          <w:tcPr>
            <w:tcW w:w="5654" w:type="dxa"/>
            <w:vAlign w:val="top"/>
          </w:tcPr>
          <w:p>
            <w:pPr>
              <w:pStyle w:val="TableText"/>
              <w:ind w:left="107" w:right="104" w:firstLine="4"/>
              <w:spacing w:before="141" w:line="238" w:lineRule="auto"/>
              <w:rPr/>
            </w:pPr>
            <w:r>
              <w:rPr>
                <w:spacing w:val="-3"/>
              </w:rPr>
              <w:t>3</w:t>
            </w:r>
            <w:r>
              <w:rPr>
                <w:spacing w:val="-22"/>
              </w:rPr>
              <w:t xml:space="preserve"> </w:t>
            </w:r>
            <w:r>
              <w:rPr>
                <w:spacing w:val="-3"/>
              </w:rPr>
              <w:t>月</w:t>
            </w:r>
            <w:r>
              <w:rPr>
                <w:spacing w:val="-24"/>
              </w:rPr>
              <w:t xml:space="preserve"> </w:t>
            </w:r>
            <w:r>
              <w:rPr>
                <w:spacing w:val="-3"/>
              </w:rPr>
              <w:t>10 日前，完善2021年督查检查考核工作计划和效能目标管理考核</w:t>
            </w:r>
            <w:r>
              <w:rPr>
                <w:spacing w:val="-2"/>
              </w:rPr>
              <w:t>方案。</w:t>
            </w:r>
          </w:p>
          <w:p>
            <w:pPr>
              <w:pStyle w:val="TableText"/>
              <w:ind w:left="108" w:right="104" w:firstLine="2"/>
              <w:spacing w:before="17" w:line="237" w:lineRule="auto"/>
              <w:rPr/>
            </w:pPr>
            <w:r>
              <w:rPr>
                <w:spacing w:val="-1"/>
              </w:rPr>
              <w:t>3</w:t>
            </w:r>
            <w:r>
              <w:rPr>
                <w:spacing w:val="-26"/>
              </w:rPr>
              <w:t xml:space="preserve"> </w:t>
            </w:r>
            <w:r>
              <w:rPr>
                <w:spacing w:val="-1"/>
              </w:rPr>
              <w:t>月20 日前，开展专项清理规范，组织力量对上级与乡镇签订的“一</w:t>
            </w:r>
            <w:r>
              <w:rPr/>
              <w:t>票否决”、各类“责任状”和考核评比等事项进</w:t>
            </w:r>
            <w:r>
              <w:rPr>
                <w:spacing w:val="-1"/>
              </w:rPr>
              <w:t>行全面清理。</w:t>
            </w:r>
          </w:p>
          <w:p>
            <w:pPr>
              <w:pStyle w:val="TableText"/>
              <w:ind w:left="106" w:right="104" w:firstLine="4"/>
              <w:spacing w:before="16" w:line="245" w:lineRule="auto"/>
              <w:rPr/>
            </w:pPr>
            <w:r>
              <w:rPr>
                <w:spacing w:val="-1"/>
              </w:rPr>
              <w:t>3</w:t>
            </w:r>
            <w:r>
              <w:rPr>
                <w:spacing w:val="-26"/>
              </w:rPr>
              <w:t xml:space="preserve"> </w:t>
            </w:r>
            <w:r>
              <w:rPr>
                <w:spacing w:val="-1"/>
              </w:rPr>
              <w:t>月31 日前，及时清理、修订、完善不符合基层实际和发展需要的政</w:t>
            </w:r>
            <w:r>
              <w:rPr/>
              <w:t>策规定，统一规范针对乡镇的评比达标、示范创建等活动，</w:t>
            </w:r>
            <w:r>
              <w:rPr>
                <w:spacing w:val="-1"/>
              </w:rPr>
              <w:t>切实减轻</w:t>
            </w:r>
            <w:r>
              <w:rPr>
                <w:spacing w:val="-1"/>
              </w:rPr>
              <w:t>基层负担。</w:t>
            </w:r>
          </w:p>
          <w:p>
            <w:pPr>
              <w:pStyle w:val="TableText"/>
              <w:ind w:left="105" w:right="49"/>
              <w:spacing w:before="5" w:line="244" w:lineRule="auto"/>
              <w:rPr/>
            </w:pPr>
            <w:r>
              <w:rPr/>
              <w:t>严格落实中央、自治区党委、固原市委为基层减负部署要求</w:t>
            </w:r>
            <w:r>
              <w:rPr>
                <w:spacing w:val="-1"/>
              </w:rPr>
              <w:t>，认真抓</w:t>
            </w:r>
            <w:r>
              <w:rPr>
                <w:spacing w:val="-3"/>
              </w:rPr>
              <w:t>好为基层减负政策措施的落实，持续推进乡镇、村（社区）减负增效，</w:t>
            </w:r>
            <w:r>
              <w:rPr>
                <w:spacing w:val="-1"/>
              </w:rPr>
              <w:t>制定“减负增效”定期“</w:t>
            </w:r>
            <w:r>
              <w:rPr>
                <w:spacing w:val="-64"/>
              </w:rPr>
              <w:t xml:space="preserve"> </w:t>
            </w:r>
            <w:r>
              <w:rPr>
                <w:spacing w:val="-1"/>
              </w:rPr>
              <w:t>回头看”和通报长效机制，做好基层减负方</w:t>
            </w:r>
            <w:r>
              <w:rPr>
                <w:spacing w:val="-1"/>
              </w:rPr>
              <w:t>面举报受理。</w:t>
            </w:r>
          </w:p>
        </w:tc>
        <w:tc>
          <w:tcPr>
            <w:tcW w:w="2827" w:type="dxa"/>
            <w:vAlign w:val="top"/>
          </w:tcPr>
          <w:p>
            <w:pPr>
              <w:pStyle w:val="TableText"/>
              <w:ind w:left="109" w:right="104" w:firstLine="16"/>
              <w:spacing w:before="22" w:line="236" w:lineRule="auto"/>
              <w:rPr/>
            </w:pPr>
            <w:r>
              <w:rPr>
                <w:spacing w:val="-7"/>
              </w:rPr>
              <w:t>1.通过对“一票否决”和签订责任</w:t>
            </w:r>
            <w:r>
              <w:rPr>
                <w:spacing w:val="-7"/>
              </w:rPr>
              <w:t>状事项专项清理规范，切实减轻基</w:t>
            </w:r>
            <w:r>
              <w:rPr>
                <w:spacing w:val="-1"/>
              </w:rPr>
              <w:t>层负担。</w:t>
            </w:r>
          </w:p>
          <w:p>
            <w:pPr>
              <w:pStyle w:val="TableText"/>
              <w:ind w:left="108" w:right="49" w:firstLine="2"/>
              <w:spacing w:before="29" w:line="236" w:lineRule="auto"/>
              <w:rPr/>
            </w:pPr>
            <w:r>
              <w:rPr>
                <w:spacing w:val="5"/>
              </w:rPr>
              <w:t>2.通过对不符基层实际和发展需</w:t>
            </w:r>
            <w:r>
              <w:rPr>
                <w:spacing w:val="-14"/>
              </w:rPr>
              <w:t>要的政策规定的清理、修订、完善，</w:t>
            </w:r>
            <w:r>
              <w:rPr>
                <w:spacing w:val="-1"/>
              </w:rPr>
              <w:t>为基层改革提供制度支持。</w:t>
            </w:r>
          </w:p>
          <w:p>
            <w:pPr>
              <w:pStyle w:val="TableText"/>
              <w:ind w:left="109" w:right="104" w:firstLine="4"/>
              <w:spacing w:before="31" w:line="235" w:lineRule="auto"/>
              <w:rPr/>
            </w:pPr>
            <w:r>
              <w:rPr>
                <w:spacing w:val="5"/>
              </w:rPr>
              <w:t>3.进一步压减督查检查考核项目</w:t>
            </w:r>
            <w:r>
              <w:rPr>
                <w:spacing w:val="-7"/>
              </w:rPr>
              <w:t>和考核指标，提升督检实效，减轻</w:t>
            </w:r>
            <w:r>
              <w:rPr>
                <w:spacing w:val="-1"/>
              </w:rPr>
              <w:t>基层迎检迎考压力。</w:t>
            </w:r>
          </w:p>
          <w:p>
            <w:pPr>
              <w:pStyle w:val="TableText"/>
              <w:ind w:left="109" w:right="104" w:hanging="1"/>
              <w:spacing w:before="30" w:line="237" w:lineRule="auto"/>
              <w:rPr/>
            </w:pPr>
            <w:r>
              <w:rPr>
                <w:spacing w:val="-6"/>
              </w:rPr>
              <w:t>4.坚持减负与增效相结合，切实激</w:t>
            </w:r>
            <w:r>
              <w:rPr>
                <w:spacing w:val="-7"/>
              </w:rPr>
              <w:t>发内动力、增添新活力、催生高效</w:t>
            </w:r>
            <w:r>
              <w:rPr>
                <w:spacing w:val="-1"/>
              </w:rPr>
              <w:t>率，增强基层减负的获得感。</w:t>
            </w:r>
          </w:p>
        </w:tc>
        <w:tc>
          <w:tcPr>
            <w:tcW w:w="988"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231"/>
              <w:spacing w:before="58" w:line="212" w:lineRule="auto"/>
              <w:rPr/>
            </w:pPr>
            <w:r>
              <w:rPr>
                <w:spacing w:val="-3"/>
              </w:rPr>
              <w:t>高耀明</w:t>
            </w:r>
          </w:p>
        </w:tc>
        <w:tc>
          <w:tcPr>
            <w:tcW w:w="1027"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58" w:right="148" w:firstLine="88"/>
              <w:spacing w:before="59" w:line="273" w:lineRule="auto"/>
              <w:rPr/>
            </w:pPr>
            <w:r>
              <w:rPr>
                <w:spacing w:val="-2"/>
              </w:rPr>
              <w:t>县委办</w:t>
            </w:r>
            <w:r>
              <w:rPr>
                <w:spacing w:val="-2"/>
              </w:rPr>
              <w:t>县政府办</w:t>
            </w:r>
          </w:p>
          <w:p>
            <w:pPr>
              <w:pStyle w:val="TableText"/>
              <w:ind w:left="42"/>
              <w:spacing w:line="209" w:lineRule="auto"/>
              <w:rPr/>
            </w:pPr>
            <w:r>
              <w:rPr>
                <w:spacing w:val="-1"/>
              </w:rPr>
              <w:t>县委组织部</w:t>
            </w:r>
          </w:p>
        </w:tc>
        <w:tc>
          <w:tcPr>
            <w:tcW w:w="1239" w:type="dxa"/>
            <w:vAlign w:val="top"/>
          </w:tcPr>
          <w:p>
            <w:pPr>
              <w:spacing w:line="305" w:lineRule="auto"/>
              <w:rPr>
                <w:rFonts w:ascii="Arial"/>
                <w:sz w:val="21"/>
              </w:rPr>
            </w:pPr>
            <w:r/>
          </w:p>
          <w:p>
            <w:pPr>
              <w:spacing w:line="306" w:lineRule="auto"/>
              <w:rPr>
                <w:rFonts w:ascii="Arial"/>
                <w:sz w:val="21"/>
              </w:rPr>
            </w:pPr>
            <w:r/>
          </w:p>
          <w:p>
            <w:pPr>
              <w:pStyle w:val="TableText"/>
              <w:ind w:left="172"/>
              <w:spacing w:before="59" w:line="212" w:lineRule="auto"/>
              <w:rPr/>
            </w:pPr>
            <w:r>
              <w:rPr>
                <w:spacing w:val="-1"/>
              </w:rPr>
              <w:t>县人力资源</w:t>
            </w:r>
          </w:p>
          <w:p>
            <w:pPr>
              <w:pStyle w:val="TableText"/>
              <w:ind w:left="170"/>
              <w:spacing w:before="58" w:line="213" w:lineRule="auto"/>
              <w:rPr/>
            </w:pPr>
            <w:r>
              <w:rPr>
                <w:spacing w:val="-1"/>
              </w:rPr>
              <w:t>社会保障局</w:t>
            </w:r>
          </w:p>
          <w:p>
            <w:pPr>
              <w:pStyle w:val="TableText"/>
              <w:ind w:left="361"/>
              <w:spacing w:before="67" w:line="204" w:lineRule="auto"/>
              <w:rPr/>
            </w:pPr>
            <w:r>
              <w:rPr>
                <w:spacing w:val="-5"/>
              </w:rPr>
              <w:t>司法局</w:t>
            </w:r>
          </w:p>
          <w:p>
            <w:pPr>
              <w:pStyle w:val="TableText"/>
              <w:ind w:left="367"/>
              <w:spacing w:before="65" w:line="211" w:lineRule="auto"/>
              <w:rPr/>
            </w:pPr>
            <w:r>
              <w:rPr>
                <w:spacing w:val="-7"/>
              </w:rPr>
              <w:t>民政局</w:t>
            </w:r>
          </w:p>
          <w:p>
            <w:pPr>
              <w:pStyle w:val="TableText"/>
              <w:ind w:left="173"/>
              <w:spacing w:before="61" w:line="213" w:lineRule="auto"/>
              <w:rPr/>
            </w:pPr>
            <w:r>
              <w:rPr>
                <w:spacing w:val="-2"/>
              </w:rPr>
              <w:t>等相关部门</w:t>
            </w:r>
          </w:p>
          <w:p>
            <w:pPr>
              <w:pStyle w:val="TableText"/>
              <w:ind w:left="351"/>
              <w:spacing w:before="62" w:line="211" w:lineRule="auto"/>
              <w:rPr/>
            </w:pPr>
            <w:r>
              <w:rPr>
                <w:spacing w:val="-2"/>
              </w:rPr>
              <w:t>各乡镇</w:t>
            </w:r>
          </w:p>
        </w:tc>
      </w:tr>
    </w:tbl>
    <w:p>
      <w:pPr>
        <w:spacing w:line="157" w:lineRule="exact"/>
        <w:rPr>
          <w:rFonts w:ascii="Arial"/>
          <w:sz w:val="13"/>
        </w:rPr>
      </w:pPr>
      <w:r/>
    </w:p>
    <w:p>
      <w:pPr>
        <w:spacing w:line="157" w:lineRule="exact"/>
        <w:sectPr>
          <w:headerReference w:type="default" r:id="rId368"/>
          <w:footerReference w:type="default" r:id="rId374"/>
          <w:pgSz w:w="16839" w:h="11906"/>
          <w:pgMar w:top="1792" w:right="1462" w:bottom="1672" w:left="1463" w:header="1428" w:footer="1277" w:gutter="0"/>
        </w:sectPr>
        <w:rPr>
          <w:rFonts w:ascii="Arial" w:hAnsi="Arial" w:eastAsia="Arial" w:cs="Arial"/>
          <w:sz w:val="13"/>
          <w:szCs w:val="13"/>
        </w:rPr>
      </w:pPr>
    </w:p>
    <w:p>
      <w:pPr>
        <w:spacing w:line="322" w:lineRule="auto"/>
        <w:rPr>
          <w:rFonts w:ascii="Arial"/>
          <w:sz w:val="21"/>
        </w:rPr>
      </w:pPr>
      <w:r>
        <w:drawing>
          <wp:anchor distT="0" distB="0" distL="0" distR="0" simplePos="0" relativeHeight="251924480" behindDoc="0" locked="0" layoutInCell="1" allowOverlap="1">
            <wp:simplePos x="0" y="0"/>
            <wp:positionH relativeFrom="column">
              <wp:posOffset>5393</wp:posOffset>
            </wp:positionH>
            <wp:positionV relativeFrom="paragraph">
              <wp:posOffset>25717</wp:posOffset>
            </wp:positionV>
            <wp:extent cx="5579745" cy="7620"/>
            <wp:effectExtent l="0" t="0" r="0" b="0"/>
            <wp:wrapNone/>
            <wp:docPr id="752" name="IM 752"/>
            <wp:cNvGraphicFramePr/>
            <a:graphic>
              <a:graphicData uri="http://schemas.openxmlformats.org/drawingml/2006/picture">
                <pic:pic>
                  <pic:nvPicPr>
                    <pic:cNvPr id="752" name="IM 752"/>
                    <pic:cNvPicPr/>
                  </pic:nvPicPr>
                  <pic:blipFill>
                    <a:blip r:embed="rId378"/>
                    <a:stretch>
                      <a:fillRect/>
                    </a:stretch>
                  </pic:blipFill>
                  <pic:spPr>
                    <a:xfrm rot="0">
                      <a:off x="0" y="0"/>
                      <a:ext cx="5579745" cy="7620"/>
                    </a:xfrm>
                    <a:prstGeom prst="rect">
                      <a:avLst/>
                    </a:prstGeom>
                  </pic:spPr>
                </pic:pic>
              </a:graphicData>
            </a:graphic>
          </wp:anchor>
        </w:drawing>
      </w:r>
      <w:r/>
    </w:p>
    <w:p>
      <w:pPr>
        <w:spacing w:line="323" w:lineRule="auto"/>
        <w:rPr>
          <w:rFonts w:ascii="Arial"/>
          <w:sz w:val="21"/>
        </w:rPr>
      </w:pPr>
      <w:r/>
    </w:p>
    <w:p>
      <w:pPr>
        <w:pStyle w:val="BodyText"/>
        <w:ind w:left="2398" w:right="1583" w:hanging="871"/>
        <w:spacing w:before="139" w:line="250" w:lineRule="auto"/>
        <w:rPr>
          <w:sz w:val="43"/>
          <w:szCs w:val="43"/>
        </w:rPr>
      </w:pPr>
      <w:r>
        <w:rPr>
          <w:sz w:val="43"/>
          <w:szCs w:val="43"/>
          <w:b/>
          <w:bCs/>
          <w:spacing w:val="4"/>
        </w:rPr>
        <w:t>隆德县推进基层整合审批服务</w:t>
      </w:r>
      <w:r>
        <w:rPr>
          <w:sz w:val="43"/>
          <w:szCs w:val="43"/>
          <w:b/>
          <w:bCs/>
          <w:spacing w:val="4"/>
        </w:rPr>
        <w:t>执法力量的实施方案</w:t>
      </w:r>
    </w:p>
    <w:p>
      <w:pPr>
        <w:spacing w:before="42"/>
        <w:rPr/>
      </w:pPr>
      <w:r/>
    </w:p>
    <w:p>
      <w:pPr>
        <w:spacing w:before="41"/>
        <w:rPr/>
      </w:pPr>
      <w:r/>
    </w:p>
    <w:p>
      <w:pPr>
        <w:sectPr>
          <w:headerReference w:type="default" r:id="rId376"/>
          <w:footerReference w:type="default" r:id="rId377"/>
          <w:pgSz w:w="11906" w:h="16839"/>
          <w:pgMar w:top="1766" w:right="1509" w:bottom="1570" w:left="1579" w:header="1428" w:footer="1172" w:gutter="0"/>
          <w:cols w:equalWidth="0" w:num="1">
            <w:col w:w="8817" w:space="0"/>
          </w:cols>
        </w:sectPr>
        <w:rPr/>
      </w:pPr>
    </w:p>
    <w:p>
      <w:pPr>
        <w:pStyle w:val="BodyText"/>
        <w:ind w:left="11" w:right="323" w:firstLine="423"/>
        <w:spacing w:before="36" w:line="366" w:lineRule="auto"/>
        <w:rPr/>
      </w:pPr>
      <w:r>
        <w:rPr>
          <w:spacing w:val="19"/>
        </w:rPr>
        <w:t>根据党中央关于构建简约高效基层管理</w:t>
      </w:r>
      <w:r>
        <w:rPr>
          <w:spacing w:val="7"/>
        </w:rPr>
        <w:t>体制的部署要求，为认真贯彻落实中共中央办</w:t>
      </w:r>
      <w:r>
        <w:rPr>
          <w:spacing w:val="7"/>
        </w:rPr>
        <w:t>公厅、国务院办公厅《关于推进基层整合审批</w:t>
      </w:r>
      <w:r>
        <w:rPr>
          <w:spacing w:val="6"/>
        </w:rPr>
        <w:t>服务执法力量的实施意见》(中办发〔2019〕5</w:t>
      </w:r>
      <w:r>
        <w:rPr>
          <w:spacing w:val="2"/>
        </w:rPr>
        <w:t>号)、自治区党委办公厅、人民政府办公厅《印</w:t>
      </w:r>
      <w:r>
        <w:rPr>
          <w:spacing w:val="12"/>
        </w:rPr>
        <w:t>发&lt;关于推进基层整合审批服务执法力量的实</w:t>
      </w:r>
      <w:r>
        <w:rPr>
          <w:spacing w:val="7"/>
        </w:rPr>
        <w:t>施方案&gt;的通知》(宁党办〔2020〕86</w:t>
      </w:r>
      <w:r>
        <w:rPr>
          <w:spacing w:val="-17"/>
        </w:rPr>
        <w:t xml:space="preserve"> </w:t>
      </w:r>
      <w:r>
        <w:rPr>
          <w:spacing w:val="7"/>
        </w:rPr>
        <w:t>号)和固</w:t>
      </w:r>
      <w:r>
        <w:rPr>
          <w:spacing w:val="12"/>
        </w:rPr>
        <w:t>原市委办公室、市人民政府办公室《印发&lt;</w:t>
      </w:r>
    </w:p>
    <w:p>
      <w:pPr>
        <w:pStyle w:val="BodyText"/>
        <w:ind w:left="11" w:right="321" w:firstLine="22"/>
        <w:spacing w:before="34" w:line="366" w:lineRule="auto"/>
        <w:rPr/>
      </w:pPr>
      <w:r>
        <w:rPr>
          <w:spacing w:val="16"/>
        </w:rPr>
        <w:t>固原市推进基层整合审批服务执法力量的实</w:t>
      </w:r>
      <w:r>
        <w:rPr>
          <w:spacing w:val="5"/>
        </w:rPr>
        <w:t xml:space="preserve"> </w:t>
      </w:r>
      <w:r>
        <w:rPr>
          <w:position w:val="-1"/>
        </w:rPr>
        <w:drawing>
          <wp:inline distT="0" distB="0" distL="0" distR="0">
            <wp:extent cx="133891" cy="126345"/>
            <wp:effectExtent l="0" t="0" r="0" b="0"/>
            <wp:docPr id="754" name="IM 754"/>
            <wp:cNvGraphicFramePr/>
            <a:graphic>
              <a:graphicData uri="http://schemas.openxmlformats.org/drawingml/2006/picture">
                <pic:pic>
                  <pic:nvPicPr>
                    <pic:cNvPr id="754" name="IM 754"/>
                    <pic:cNvPicPr/>
                  </pic:nvPicPr>
                  <pic:blipFill>
                    <a:blip r:embed="rId379"/>
                    <a:stretch>
                      <a:fillRect/>
                    </a:stretch>
                  </pic:blipFill>
                  <pic:spPr>
                    <a:xfrm rot="0">
                      <a:off x="0" y="0"/>
                      <a:ext cx="133891" cy="126345"/>
                    </a:xfrm>
                    <a:prstGeom prst="rect">
                      <a:avLst/>
                    </a:prstGeom>
                  </pic:spPr>
                </pic:pic>
              </a:graphicData>
            </a:graphic>
          </wp:inline>
        </w:drawing>
      </w:r>
      <w:r>
        <w:rPr>
          <w:position w:val="-1"/>
        </w:rPr>
        <w:drawing>
          <wp:inline distT="0" distB="0" distL="0" distR="0">
            <wp:extent cx="135909" cy="124752"/>
            <wp:effectExtent l="0" t="0" r="0" b="0"/>
            <wp:docPr id="756" name="IM 756"/>
            <wp:cNvGraphicFramePr/>
            <a:graphic>
              <a:graphicData uri="http://schemas.openxmlformats.org/drawingml/2006/picture">
                <pic:pic>
                  <pic:nvPicPr>
                    <pic:cNvPr id="756" name="IM 756"/>
                    <pic:cNvPicPr/>
                  </pic:nvPicPr>
                  <pic:blipFill>
                    <a:blip r:embed="rId380"/>
                    <a:stretch>
                      <a:fillRect/>
                    </a:stretch>
                  </pic:blipFill>
                  <pic:spPr>
                    <a:xfrm rot="0">
                      <a:off x="0" y="0"/>
                      <a:ext cx="135909" cy="124752"/>
                    </a:xfrm>
                    <a:prstGeom prst="rect">
                      <a:avLst/>
                    </a:prstGeom>
                  </pic:spPr>
                </pic:pic>
              </a:graphicData>
            </a:graphic>
          </wp:inline>
        </w:drawing>
      </w:r>
      <w:r>
        <w:rPr>
          <w:spacing w:val="-2"/>
        </w:rPr>
        <w:t>的通知》(固党办〔2021〕1</w:t>
      </w:r>
      <w:r>
        <w:rPr>
          <w:spacing w:val="-30"/>
        </w:rPr>
        <w:t xml:space="preserve"> </w:t>
      </w:r>
      <w:r>
        <w:rPr>
          <w:spacing w:val="-2"/>
        </w:rPr>
        <w:t>号)精神，进一</w:t>
      </w:r>
      <w:r>
        <w:rPr>
          <w:spacing w:val="7"/>
        </w:rPr>
        <w:t>步夯实基层治理体系和治理能力基础，现就结</w:t>
      </w:r>
      <w:r>
        <w:rPr>
          <w:spacing w:val="7"/>
        </w:rPr>
        <w:t>合乡镇改革推进基层整合审批服务执法力量，</w:t>
      </w:r>
      <w:r>
        <w:rPr>
          <w:spacing w:val="8"/>
        </w:rPr>
        <w:t>制定如下实施方案。</w:t>
      </w:r>
    </w:p>
    <w:p>
      <w:pPr>
        <w:ind w:left="442"/>
        <w:spacing w:before="22"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一、总体要求</w:t>
      </w:r>
    </w:p>
    <w:p>
      <w:pPr>
        <w:pStyle w:val="BodyText"/>
        <w:ind w:left="10" w:right="321" w:firstLine="423"/>
        <w:spacing w:before="138" w:line="357" w:lineRule="auto"/>
        <w:jc w:val="both"/>
        <w:rPr/>
      </w:pPr>
      <w:r>
        <w:rPr>
          <w:spacing w:val="19"/>
        </w:rPr>
        <w:t>坚持以习近平新时代中国特色社会主义</w:t>
      </w:r>
      <w:r>
        <w:rPr>
          <w:spacing w:val="7"/>
        </w:rPr>
        <w:t>思想为指导，全面贯彻党的十九大和十九届二</w:t>
      </w:r>
      <w:r>
        <w:rPr>
          <w:spacing w:val="7"/>
        </w:rPr>
        <w:t>中、三中、四中、五中全会精神，认真贯彻落</w:t>
      </w:r>
      <w:r>
        <w:rPr>
          <w:spacing w:val="7"/>
        </w:rPr>
        <w:t>实自治区党委十二届十次、十一次、十二次全</w:t>
      </w:r>
      <w:r>
        <w:rPr>
          <w:spacing w:val="7"/>
        </w:rPr>
        <w:t>会和市委四届七次、八次、九次全会以及县委</w:t>
      </w:r>
      <w:r>
        <w:rPr>
          <w:spacing w:val="3"/>
        </w:rPr>
        <w:t>十四届九次全会精神</w:t>
      </w:r>
      <w:r>
        <w:rPr>
          <w:spacing w:val="-42"/>
        </w:rPr>
        <w:t xml:space="preserve"> </w:t>
      </w:r>
      <w:r>
        <w:rPr>
          <w:spacing w:val="3"/>
        </w:rPr>
        <w:t>，增强“</w:t>
      </w:r>
      <w:r>
        <w:rPr>
          <w:spacing w:val="-71"/>
        </w:rPr>
        <w:t xml:space="preserve"> </w:t>
      </w:r>
      <w:r>
        <w:rPr>
          <w:spacing w:val="3"/>
        </w:rPr>
        <w:t>四个意识”、坚</w:t>
      </w:r>
      <w:r>
        <w:rPr>
          <w:spacing w:val="-4"/>
        </w:rPr>
        <w:t>定“</w:t>
      </w:r>
      <w:r>
        <w:rPr>
          <w:spacing w:val="-69"/>
        </w:rPr>
        <w:t xml:space="preserve"> </w:t>
      </w:r>
      <w:r>
        <w:rPr>
          <w:spacing w:val="-4"/>
        </w:rPr>
        <w:t>四个自信”、做到“两个维护”，以坚持和</w:t>
      </w:r>
      <w:r>
        <w:rPr>
          <w:spacing w:val="7"/>
        </w:rPr>
        <w:t>加强党的全面领导为统领，以完善基层治理体</w:t>
      </w:r>
      <w:r>
        <w:rPr>
          <w:spacing w:val="7"/>
        </w:rPr>
        <w:t>系、提高基层治理能力为导向，以推动机构职</w:t>
      </w:r>
      <w:r>
        <w:rPr>
          <w:spacing w:val="7"/>
        </w:rPr>
        <w:t>能优化协同高效为着力点，适应乡镇工作特点</w:t>
      </w:r>
      <w:r>
        <w:rPr>
          <w:spacing w:val="7"/>
        </w:rPr>
        <w:t>及便民服务需要，加强党的基层组织建设，改</w:t>
      </w:r>
      <w:r>
        <w:rPr>
          <w:spacing w:val="7"/>
        </w:rPr>
        <w:t>革机构设置，优化职能配置，理顺职责关系，</w:t>
      </w:r>
      <w:r>
        <w:rPr>
          <w:spacing w:val="7"/>
        </w:rPr>
        <w:t>使基层各类机构、组织在服务保障群众需求上</w:t>
      </w:r>
    </w:p>
    <w:p>
      <w:pPr>
        <w:spacing w:line="14" w:lineRule="auto"/>
        <w:rPr>
          <w:rFonts w:ascii="Arial"/>
          <w:sz w:val="2"/>
        </w:rPr>
      </w:pPr>
      <w:r>
        <w:rPr>
          <w:rFonts w:ascii="Arial" w:hAnsi="Arial" w:eastAsia="Arial" w:cs="Arial"/>
          <w:sz w:val="2"/>
          <w:szCs w:val="2"/>
        </w:rPr>
        <w:br w:type="column"/>
      </w:r>
    </w:p>
    <w:p>
      <w:pPr>
        <w:pStyle w:val="BodyText"/>
        <w:ind w:left="1" w:right="80" w:firstLine="1"/>
        <w:spacing w:before="43" w:line="369" w:lineRule="auto"/>
        <w:jc w:val="both"/>
        <w:rPr/>
      </w:pPr>
      <w:r>
        <w:rPr>
          <w:spacing w:val="7"/>
        </w:rPr>
        <w:t>有更大作为。坚持赋能与减负相结合，整合基</w:t>
      </w:r>
      <w:r>
        <w:rPr>
          <w:spacing w:val="7"/>
        </w:rPr>
        <w:t>层审批、服务、执法等方面的力量，推动治理</w:t>
      </w:r>
      <w:r>
        <w:rPr>
          <w:spacing w:val="7"/>
        </w:rPr>
        <w:t>重心下移、资源下沉，全面提升基层治理能力</w:t>
      </w:r>
      <w:r>
        <w:rPr>
          <w:spacing w:val="15"/>
        </w:rPr>
        <w:t>和公共服务水平</w:t>
      </w:r>
      <w:r>
        <w:rPr>
          <w:spacing w:val="-39"/>
        </w:rPr>
        <w:t xml:space="preserve"> </w:t>
      </w:r>
      <w:r>
        <w:rPr>
          <w:spacing w:val="15"/>
        </w:rPr>
        <w:t>，切实增强人民群众的获得</w:t>
      </w:r>
      <w:r>
        <w:rPr>
          <w:spacing w:val="7"/>
        </w:rPr>
        <w:t>感、幸福感、安全感，为奋力谱写黄河流域生</w:t>
      </w:r>
      <w:r>
        <w:rPr>
          <w:spacing w:val="7"/>
        </w:rPr>
        <w:t>态保护和高质量发展先行区，建设隆德新篇章</w:t>
      </w:r>
      <w:r>
        <w:rPr>
          <w:spacing w:val="8"/>
        </w:rPr>
        <w:t>提供体制机制保障。</w:t>
      </w:r>
    </w:p>
    <w:p>
      <w:pPr>
        <w:ind w:left="431"/>
        <w:spacing w:before="4"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二、主要任务</w:t>
      </w:r>
    </w:p>
    <w:p>
      <w:pPr>
        <w:ind w:left="414"/>
        <w:spacing w:before="134" w:line="242" w:lineRule="auto"/>
        <w:rPr>
          <w:rFonts w:ascii="KaiTi" w:hAnsi="KaiTi" w:eastAsia="KaiTi" w:cs="KaiTi"/>
          <w:sz w:val="20"/>
          <w:szCs w:val="20"/>
        </w:rPr>
      </w:pPr>
      <w:r>
        <w:rPr>
          <w:rFonts w:ascii="KaiTi" w:hAnsi="KaiTi" w:eastAsia="KaiTi" w:cs="KaiTi"/>
          <w:sz w:val="20"/>
          <w:szCs w:val="20"/>
          <w:b/>
          <w:bCs/>
          <w:spacing w:val="5"/>
        </w:rPr>
        <w:t>（</w:t>
      </w:r>
      <w:r>
        <w:rPr>
          <w:rFonts w:ascii="KaiTi" w:hAnsi="KaiTi" w:eastAsia="KaiTi" w:cs="KaiTi"/>
          <w:sz w:val="20"/>
          <w:szCs w:val="20"/>
          <w:spacing w:val="-39"/>
        </w:rPr>
        <w:t xml:space="preserve"> </w:t>
      </w:r>
      <w:r>
        <w:rPr>
          <w:rFonts w:ascii="KaiTi" w:hAnsi="KaiTi" w:eastAsia="KaiTi" w:cs="KaiTi"/>
          <w:sz w:val="20"/>
          <w:szCs w:val="20"/>
          <w:b/>
          <w:bCs/>
          <w:spacing w:val="5"/>
        </w:rPr>
        <w:t>一）构建简约精干的基层组织构架</w:t>
      </w:r>
    </w:p>
    <w:p>
      <w:pPr>
        <w:pStyle w:val="BodyText"/>
        <w:ind w:firstLine="441"/>
        <w:spacing w:before="131" w:line="361" w:lineRule="auto"/>
        <w:rPr/>
      </w:pPr>
      <w:r>
        <w:rPr>
          <w:spacing w:val="5"/>
        </w:rPr>
        <w:t>1.统筹优化乡镇机构设置。强化乡镇党委</w:t>
      </w:r>
      <w:r>
        <w:rPr>
          <w:spacing w:val="5"/>
        </w:rPr>
        <w:t>领导作用</w:t>
      </w:r>
      <w:r>
        <w:rPr>
          <w:spacing w:val="-53"/>
        </w:rPr>
        <w:t xml:space="preserve"> </w:t>
      </w:r>
      <w:r>
        <w:rPr>
          <w:spacing w:val="5"/>
        </w:rPr>
        <w:t>，建立健全乡镇机构“一对多”“多</w:t>
      </w:r>
      <w:r>
        <w:rPr>
          <w:spacing w:val="7"/>
        </w:rPr>
        <w:t>对一”的制度机制，理顺与县级部门的工作对</w:t>
      </w:r>
      <w:r>
        <w:rPr>
          <w:spacing w:val="10"/>
        </w:rPr>
        <w:t>接、请示汇报和沟通衔接关系。按照综合化、</w:t>
      </w:r>
      <w:r>
        <w:rPr>
          <w:spacing w:val="7"/>
        </w:rPr>
        <w:t>扁平化的改革方向，统筹机构编制资源，综合</w:t>
      </w:r>
      <w:r>
        <w:rPr>
          <w:spacing w:val="7"/>
        </w:rPr>
        <w:t>设置乡镇党政机构和事业单位，严格机构限额</w:t>
      </w:r>
      <w:r>
        <w:rPr/>
        <w:t>管理。乡镇党政机构和事业单位设</w:t>
      </w:r>
      <w:r>
        <w:rPr>
          <w:spacing w:val="-27"/>
        </w:rPr>
        <w:t xml:space="preserve"> </w:t>
      </w:r>
      <w:r>
        <w:rPr/>
        <w:t>9</w:t>
      </w:r>
      <w:r>
        <w:rPr>
          <w:spacing w:val="-45"/>
        </w:rPr>
        <w:t xml:space="preserve"> </w:t>
      </w:r>
      <w:r>
        <w:rPr/>
        <w:t>个，其中：</w:t>
      </w:r>
      <w:r>
        <w:rPr>
          <w:spacing w:val="6"/>
        </w:rPr>
        <w:t>党政机构</w:t>
      </w:r>
      <w:r>
        <w:rPr>
          <w:spacing w:val="-27"/>
        </w:rPr>
        <w:t xml:space="preserve"> </w:t>
      </w:r>
      <w:r>
        <w:rPr>
          <w:spacing w:val="6"/>
        </w:rPr>
        <w:t>5</w:t>
      </w:r>
      <w:r>
        <w:rPr>
          <w:spacing w:val="-43"/>
        </w:rPr>
        <w:t xml:space="preserve"> </w:t>
      </w:r>
      <w:r>
        <w:rPr>
          <w:spacing w:val="6"/>
        </w:rPr>
        <w:t>个，名称统一为综合办公室、党建</w:t>
      </w:r>
      <w:r>
        <w:rPr>
          <w:spacing w:val="7"/>
        </w:rPr>
        <w:t>工作办公室、经济发展办公室、社会事务管理</w:t>
      </w:r>
      <w:r>
        <w:rPr>
          <w:spacing w:val="7"/>
        </w:rPr>
        <w:t>办公室、综合执法办公室（应急管理办公室</w:t>
      </w:r>
      <w:r>
        <w:rPr>
          <w:spacing w:val="-53"/>
        </w:rPr>
        <w:t>）；</w:t>
      </w:r>
      <w:r>
        <w:rPr>
          <w:spacing w:val="2"/>
        </w:rPr>
        <w:t>事业单位</w:t>
      </w:r>
      <w:r>
        <w:rPr>
          <w:spacing w:val="-47"/>
        </w:rPr>
        <w:t xml:space="preserve"> </w:t>
      </w:r>
      <w:r>
        <w:rPr>
          <w:spacing w:val="2"/>
        </w:rPr>
        <w:t>4</w:t>
      </w:r>
      <w:r>
        <w:rPr>
          <w:spacing w:val="-43"/>
        </w:rPr>
        <w:t xml:space="preserve"> </w:t>
      </w:r>
      <w:r>
        <w:rPr>
          <w:spacing w:val="2"/>
        </w:rPr>
        <w:t>个，名称统一为民生服务中心(</w:t>
      </w:r>
      <w:r>
        <w:rPr>
          <w:spacing w:val="1"/>
        </w:rPr>
        <w:t>退役</w:t>
      </w:r>
      <w:r>
        <w:rPr>
          <w:spacing w:val="6"/>
        </w:rPr>
        <w:t>军人服务站)、农业综合服务中心、综治中心、</w:t>
      </w:r>
      <w:r>
        <w:rPr>
          <w:spacing w:val="7"/>
        </w:rPr>
        <w:t>财经服务中心。全面清理各类自设机构，严格</w:t>
      </w:r>
      <w:r>
        <w:rPr>
          <w:spacing w:val="7"/>
        </w:rPr>
        <w:t>规范挂牌机构，除党中央和自治区党委明确要</w:t>
      </w:r>
      <w:r>
        <w:rPr>
          <w:spacing w:val="7"/>
        </w:rPr>
        <w:t>求外，上级职能部门不能要求乡镇对口设立机</w:t>
      </w:r>
      <w:r>
        <w:rPr>
          <w:spacing w:val="7"/>
        </w:rPr>
        <w:t>构或加挂牌子，不得要求在村（社区）设立机</w:t>
      </w:r>
      <w:r>
        <w:rPr>
          <w:spacing w:val="8"/>
        </w:rPr>
        <w:t>构或加挂牌子。</w:t>
      </w:r>
    </w:p>
    <w:p>
      <w:pPr>
        <w:pStyle w:val="BodyText"/>
        <w:ind w:left="424"/>
        <w:spacing w:before="152" w:line="221" w:lineRule="auto"/>
        <w:rPr/>
      </w:pPr>
      <w:r>
        <w:rPr>
          <w:spacing w:val="6"/>
        </w:rPr>
        <w:t>2.调整规范派驻站所管理体制。除党中央</w:t>
      </w:r>
    </w:p>
    <w:p>
      <w:pPr>
        <w:spacing w:line="221" w:lineRule="auto"/>
        <w:sectPr>
          <w:type w:val="continuous"/>
          <w:pgSz w:w="11906" w:h="16839"/>
          <w:pgMar w:top="1766" w:right="1509" w:bottom="1570" w:left="1579" w:header="1428" w:footer="1172" w:gutter="0"/>
          <w:cols w:equalWidth="0" w:num="2">
            <w:col w:w="4487" w:space="100"/>
            <w:col w:w="4230" w:space="0"/>
          </w:cols>
        </w:sectPr>
        <w:rPr/>
      </w:pPr>
    </w:p>
    <w:p>
      <w:pPr>
        <w:spacing w:before="34"/>
        <w:rPr/>
      </w:pPr>
      <w:r>
        <w:drawing>
          <wp:anchor distT="0" distB="0" distL="0" distR="0" simplePos="0" relativeHeight="251926528"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760" name="IM 760"/>
            <wp:cNvGraphicFramePr/>
            <a:graphic>
              <a:graphicData uri="http://schemas.openxmlformats.org/drawingml/2006/picture">
                <pic:pic>
                  <pic:nvPicPr>
                    <pic:cNvPr id="760" name="IM 760"/>
                    <pic:cNvPicPr/>
                  </pic:nvPicPr>
                  <pic:blipFill>
                    <a:blip r:embed="rId382"/>
                    <a:stretch>
                      <a:fillRect/>
                    </a:stretch>
                  </pic:blipFill>
                  <pic:spPr>
                    <a:xfrm rot="0">
                      <a:off x="0" y="0"/>
                      <a:ext cx="5579745" cy="7619"/>
                    </a:xfrm>
                    <a:prstGeom prst="rect">
                      <a:avLst/>
                    </a:prstGeom>
                  </pic:spPr>
                </pic:pic>
              </a:graphicData>
            </a:graphic>
          </wp:anchor>
        </w:drawing>
      </w:r>
      <w:r/>
    </w:p>
    <w:p>
      <w:pPr>
        <w:sectPr>
          <w:headerReference w:type="default" r:id="rId297"/>
          <w:footerReference w:type="default" r:id="rId381"/>
          <w:pgSz w:w="11906" w:h="16839"/>
          <w:pgMar w:top="1793" w:right="1489" w:bottom="1673" w:left="1565" w:header="1428" w:footer="1277" w:gutter="0"/>
          <w:cols w:equalWidth="0" w:num="1">
            <w:col w:w="8852" w:space="0"/>
          </w:cols>
        </w:sectPr>
        <w:rPr/>
      </w:pPr>
    </w:p>
    <w:p>
      <w:pPr>
        <w:pStyle w:val="BodyText"/>
        <w:ind w:left="26" w:right="302" w:firstLine="18"/>
        <w:spacing w:before="49" w:line="358" w:lineRule="auto"/>
        <w:jc w:val="both"/>
        <w:rPr/>
      </w:pPr>
      <w:r>
        <w:rPr>
          <w:spacing w:val="6"/>
        </w:rPr>
        <w:t>明确要求实行派驻体制的机构外，县级部门派</w:t>
      </w:r>
      <w:r>
        <w:rPr>
          <w:spacing w:val="7"/>
        </w:rPr>
        <w:t>驻乡镇的机构原则上实行属地管理。将自然资</w:t>
      </w:r>
      <w:r>
        <w:rPr>
          <w:spacing w:val="7"/>
        </w:rPr>
        <w:t>源所和农业技术推广机构（水利工作站，农业</w:t>
      </w:r>
      <w:r>
        <w:rPr>
          <w:spacing w:val="7"/>
        </w:rPr>
        <w:t>科技服务中心）及其人员编制下放，整合并入</w:t>
      </w:r>
      <w:r>
        <w:rPr>
          <w:spacing w:val="15"/>
        </w:rPr>
        <w:t>乡镇新组建的相关机构</w:t>
      </w:r>
      <w:r>
        <w:rPr>
          <w:spacing w:val="-39"/>
        </w:rPr>
        <w:t xml:space="preserve"> </w:t>
      </w:r>
      <w:r>
        <w:rPr>
          <w:spacing w:val="15"/>
        </w:rPr>
        <w:t>，实行以乡镇管理为</w:t>
      </w:r>
      <w:r>
        <w:rPr>
          <w:spacing w:val="8"/>
        </w:rPr>
        <w:t>主、上级业务部门进行业务指导的管理体制。</w:t>
      </w:r>
      <w:r>
        <w:rPr>
          <w:spacing w:val="9"/>
        </w:rPr>
        <w:t>畜牧兽医站继续实行现行体制。</w:t>
      </w:r>
    </w:p>
    <w:p>
      <w:pPr>
        <w:ind w:left="439"/>
        <w:spacing w:before="12" w:line="241" w:lineRule="auto"/>
        <w:rPr>
          <w:rFonts w:ascii="KaiTi" w:hAnsi="KaiTi" w:eastAsia="KaiTi" w:cs="KaiTi"/>
          <w:sz w:val="20"/>
          <w:szCs w:val="20"/>
        </w:rPr>
      </w:pPr>
      <w:r>
        <w:rPr>
          <w:rFonts w:ascii="KaiTi" w:hAnsi="KaiTi" w:eastAsia="KaiTi" w:cs="KaiTi"/>
          <w:sz w:val="20"/>
          <w:szCs w:val="20"/>
          <w:b/>
          <w:bCs/>
        </w:rPr>
        <w:t>（</w:t>
      </w:r>
      <w:r>
        <w:rPr>
          <w:rFonts w:ascii="KaiTi" w:hAnsi="KaiTi" w:eastAsia="KaiTi" w:cs="KaiTi"/>
          <w:sz w:val="20"/>
          <w:szCs w:val="20"/>
          <w:spacing w:val="-45"/>
        </w:rPr>
        <w:t xml:space="preserve"> </w:t>
      </w:r>
      <w:r>
        <w:rPr>
          <w:rFonts w:ascii="KaiTi" w:hAnsi="KaiTi" w:eastAsia="KaiTi" w:cs="KaiTi"/>
          <w:sz w:val="20"/>
          <w:szCs w:val="20"/>
          <w:b/>
          <w:bCs/>
        </w:rPr>
        <w:t>二</w:t>
      </w:r>
      <w:r>
        <w:rPr>
          <w:rFonts w:ascii="KaiTi" w:hAnsi="KaiTi" w:eastAsia="KaiTi" w:cs="KaiTi"/>
          <w:sz w:val="20"/>
          <w:szCs w:val="20"/>
          <w:spacing w:val="-41"/>
        </w:rPr>
        <w:t xml:space="preserve"> </w:t>
      </w:r>
      <w:r>
        <w:rPr>
          <w:rFonts w:ascii="KaiTi" w:hAnsi="KaiTi" w:eastAsia="KaiTi" w:cs="KaiTi"/>
          <w:sz w:val="20"/>
          <w:szCs w:val="20"/>
          <w:b/>
          <w:bCs/>
        </w:rPr>
        <w:t>）完善基层审批服务体系</w:t>
      </w:r>
    </w:p>
    <w:p>
      <w:pPr>
        <w:pStyle w:val="BodyText"/>
        <w:ind w:left="26" w:right="241" w:firstLine="426"/>
        <w:spacing w:before="128" w:line="348" w:lineRule="auto"/>
        <w:rPr/>
      </w:pPr>
      <w:r>
        <w:rPr>
          <w:spacing w:val="6"/>
        </w:rPr>
        <w:t>3.加强综合便民服务机构和平台建设。在</w:t>
      </w:r>
      <w:r>
        <w:rPr>
          <w:spacing w:val="11"/>
        </w:rPr>
        <w:t>整合基层行政审批和公共服务职责的基础上，</w:t>
      </w:r>
      <w:r>
        <w:rPr>
          <w:spacing w:val="18"/>
        </w:rPr>
        <w:t>将具体面向企业群众办事服务的岗位集中到</w:t>
      </w:r>
      <w:r>
        <w:rPr>
          <w:spacing w:val="1"/>
        </w:rPr>
        <w:t>民生服务大厅办公，推进基层市场监管、税务、</w:t>
      </w:r>
      <w:r>
        <w:rPr>
          <w:spacing w:val="18"/>
        </w:rPr>
        <w:t>公安等相关服务事项进驻大厅办理。在推行</w:t>
      </w:r>
      <w:r>
        <w:rPr>
          <w:spacing w:val="8"/>
        </w:rPr>
        <w:t>“</w:t>
      </w:r>
      <w:r>
        <w:rPr>
          <w:spacing w:val="-77"/>
        </w:rPr>
        <w:t xml:space="preserve"> </w:t>
      </w:r>
      <w:r>
        <w:rPr>
          <w:spacing w:val="8"/>
        </w:rPr>
        <w:t>163</w:t>
      </w:r>
      <w:r>
        <w:rPr>
          <w:spacing w:val="-41"/>
        </w:rPr>
        <w:t xml:space="preserve"> </w:t>
      </w:r>
      <w:r>
        <w:rPr>
          <w:spacing w:val="8"/>
        </w:rPr>
        <w:t>政务服务模式市县一体化”工作的</w:t>
      </w:r>
      <w:r>
        <w:rPr>
          <w:spacing w:val="7"/>
        </w:rPr>
        <w:t>基础</w:t>
      </w:r>
      <w:r>
        <w:rPr>
          <w:spacing w:val="5"/>
        </w:rPr>
        <w:t>上</w:t>
      </w:r>
      <w:r>
        <w:rPr>
          <w:spacing w:val="-41"/>
        </w:rPr>
        <w:t xml:space="preserve"> </w:t>
      </w:r>
      <w:r>
        <w:rPr>
          <w:spacing w:val="5"/>
        </w:rPr>
        <w:t>，整合设置“综合窗口”，推行一窗受理、</w:t>
      </w:r>
      <w:r>
        <w:rPr>
          <w:spacing w:val="7"/>
        </w:rPr>
        <w:t>集成服务。依托宁夏政务服务网“一张网”功</w:t>
      </w:r>
      <w:r>
        <w:rPr>
          <w:spacing w:val="7"/>
        </w:rPr>
        <w:t>能，整合民政、就业、卫健、社保、医保、残</w:t>
      </w:r>
      <w:r>
        <w:rPr>
          <w:spacing w:val="15"/>
        </w:rPr>
        <w:t>联等行业信息系统相关功能</w:t>
      </w:r>
      <w:r>
        <w:rPr>
          <w:spacing w:val="-39"/>
        </w:rPr>
        <w:t xml:space="preserve"> </w:t>
      </w:r>
      <w:r>
        <w:rPr>
          <w:spacing w:val="15"/>
        </w:rPr>
        <w:t>，实现“一网通</w:t>
      </w:r>
      <w:r>
        <w:rPr>
          <w:spacing w:val="3"/>
        </w:rPr>
        <w:t>办”，让“数据多跑路、群众少跑腿”。</w:t>
      </w:r>
    </w:p>
    <w:p>
      <w:pPr>
        <w:pStyle w:val="BodyText"/>
        <w:ind w:left="26" w:right="174" w:firstLine="420"/>
        <w:spacing w:before="143" w:line="349" w:lineRule="auto"/>
        <w:rPr/>
      </w:pPr>
      <w:r>
        <w:rPr>
          <w:spacing w:val="6"/>
        </w:rPr>
        <w:t>4.推进审批服务标准化建设。制定《隆德</w:t>
      </w:r>
      <w:r>
        <w:rPr>
          <w:spacing w:val="8"/>
        </w:rPr>
        <w:t>县推进基层审批服务便民化改革实施方案》，</w:t>
      </w:r>
      <w:r>
        <w:rPr>
          <w:spacing w:val="7"/>
        </w:rPr>
        <w:t>紧扣城乡基层治理，聚焦基层党的建设、乡村</w:t>
      </w:r>
      <w:r>
        <w:rPr>
          <w:spacing w:val="7"/>
        </w:rPr>
        <w:t>振兴、新型城镇化等重点工作以及就业和社会</w:t>
      </w:r>
      <w:r>
        <w:rPr>
          <w:spacing w:val="7"/>
        </w:rPr>
        <w:t>保障、医疗保障、不动产登记、社会救助、户</w:t>
      </w:r>
      <w:r>
        <w:rPr>
          <w:spacing w:val="6"/>
        </w:rPr>
        <w:t>籍管理、乡村建设、危(旧)房改造、古村(屋)</w:t>
      </w:r>
      <w:r>
        <w:rPr>
          <w:spacing w:val="11"/>
        </w:rPr>
        <w:t>修缮、改水改厕等群众关心关注的重点事项，</w:t>
      </w:r>
      <w:r>
        <w:rPr>
          <w:spacing w:val="15"/>
        </w:rPr>
        <w:t>根据自治区指导目录</w:t>
      </w:r>
      <w:r>
        <w:rPr>
          <w:spacing w:val="-39"/>
        </w:rPr>
        <w:t xml:space="preserve"> </w:t>
      </w:r>
      <w:r>
        <w:rPr>
          <w:spacing w:val="15"/>
        </w:rPr>
        <w:t>，制定并公布乡镇基层</w:t>
      </w:r>
      <w:r>
        <w:rPr>
          <w:spacing w:val="7"/>
        </w:rPr>
        <w:t>“马上办、网上办、就近办、一次办”审批服</w:t>
      </w:r>
      <w:r>
        <w:rPr>
          <w:spacing w:val="14"/>
        </w:rPr>
        <w:t>务事项目录，以为企业和群众办好“一件事”</w:t>
      </w:r>
      <w:r>
        <w:rPr>
          <w:spacing w:val="7"/>
        </w:rPr>
        <w:t>为标准，建立和完善适应基层实际的办事指南</w:t>
      </w:r>
      <w:r>
        <w:rPr>
          <w:spacing w:val="9"/>
        </w:rPr>
        <w:t>和工作规程，进一步提升审批服务效能。</w:t>
      </w:r>
    </w:p>
    <w:p>
      <w:pPr>
        <w:pStyle w:val="BodyText"/>
        <w:ind w:left="26" w:right="210" w:firstLine="423"/>
        <w:spacing w:before="142" w:line="288" w:lineRule="auto"/>
        <w:rPr/>
      </w:pPr>
      <w:r>
        <w:rPr>
          <w:spacing w:val="1"/>
        </w:rPr>
        <w:t>5.完善村级代办服务机制。加强村（社区）</w:t>
      </w:r>
      <w:r>
        <w:rPr>
          <w:spacing w:val="7"/>
        </w:rPr>
        <w:t>综合服务站点建设，推动基本公共服务事项进</w:t>
      </w:r>
    </w:p>
    <w:p>
      <w:pPr>
        <w:spacing w:line="14" w:lineRule="auto"/>
        <w:rPr>
          <w:rFonts w:ascii="Arial"/>
          <w:sz w:val="2"/>
        </w:rPr>
      </w:pPr>
      <w:r>
        <w:rPr>
          <w:rFonts w:ascii="Arial" w:hAnsi="Arial" w:eastAsia="Arial" w:cs="Arial"/>
          <w:sz w:val="2"/>
          <w:szCs w:val="2"/>
        </w:rPr>
        <w:br w:type="column"/>
      </w:r>
    </w:p>
    <w:p>
      <w:pPr>
        <w:pStyle w:val="BodyText"/>
        <w:ind w:right="98" w:firstLine="7"/>
        <w:spacing w:before="46" w:line="360" w:lineRule="auto"/>
        <w:jc w:val="both"/>
        <w:rPr/>
      </w:pPr>
      <w:r>
        <w:rPr>
          <w:spacing w:val="7"/>
        </w:rPr>
        <w:t>驻村（社区）办理，推进村（社区）民生服务</w:t>
      </w:r>
      <w:r>
        <w:rPr>
          <w:spacing w:val="7"/>
        </w:rPr>
        <w:t>代办点和网上服务点全覆盖。制定《隆德县加</w:t>
      </w:r>
      <w:r>
        <w:rPr>
          <w:spacing w:val="7"/>
        </w:rPr>
        <w:t>强基层便民服务队伍建设管理办法》，完善村</w:t>
      </w:r>
      <w:r>
        <w:rPr>
          <w:spacing w:val="7"/>
        </w:rPr>
        <w:t>级代办服务机制，提升村级代办服务能力和专</w:t>
      </w:r>
      <w:r>
        <w:rPr>
          <w:spacing w:val="18"/>
        </w:rPr>
        <w:t>业化水平。积极开展代缴代办代理等便民服</w:t>
      </w:r>
      <w:r>
        <w:rPr>
          <w:spacing w:val="7"/>
        </w:rPr>
        <w:t>务，逐步扩大公共服务事项网上受理、网上办</w:t>
      </w:r>
      <w:r>
        <w:rPr>
          <w:spacing w:val="7"/>
        </w:rPr>
        <w:t>理、网上反馈范围，努力实现简单事项不出村</w:t>
      </w:r>
      <w:r>
        <w:rPr>
          <w:spacing w:val="1"/>
        </w:rPr>
        <w:t>（社区）、复杂事项可代办。</w:t>
      </w:r>
    </w:p>
    <w:p>
      <w:pPr>
        <w:ind w:left="420"/>
        <w:spacing w:before="1" w:line="239" w:lineRule="auto"/>
        <w:rPr>
          <w:rFonts w:ascii="KaiTi" w:hAnsi="KaiTi" w:eastAsia="KaiTi" w:cs="KaiTi"/>
          <w:sz w:val="20"/>
          <w:szCs w:val="20"/>
        </w:rPr>
      </w:pPr>
      <w:r>
        <w:rPr>
          <w:rFonts w:ascii="KaiTi" w:hAnsi="KaiTi" w:eastAsia="KaiTi" w:cs="KaiTi"/>
          <w:sz w:val="20"/>
          <w:szCs w:val="20"/>
          <w:b/>
          <w:bCs/>
          <w:spacing w:val="5"/>
        </w:rPr>
        <w:t>（</w:t>
      </w:r>
      <w:r>
        <w:rPr>
          <w:rFonts w:ascii="KaiTi" w:hAnsi="KaiTi" w:eastAsia="KaiTi" w:cs="KaiTi"/>
          <w:sz w:val="20"/>
          <w:szCs w:val="20"/>
          <w:spacing w:val="-37"/>
        </w:rPr>
        <w:t xml:space="preserve"> </w:t>
      </w:r>
      <w:r>
        <w:rPr>
          <w:rFonts w:ascii="KaiTi" w:hAnsi="KaiTi" w:eastAsia="KaiTi" w:cs="KaiTi"/>
          <w:sz w:val="20"/>
          <w:szCs w:val="20"/>
          <w:b/>
          <w:bCs/>
          <w:spacing w:val="5"/>
        </w:rPr>
        <w:t>三）积极推进基层综合行政执法改革</w:t>
      </w:r>
    </w:p>
    <w:p>
      <w:pPr>
        <w:pStyle w:val="BodyText"/>
        <w:ind w:left="7" w:right="81" w:firstLine="423"/>
        <w:spacing w:before="130" w:line="345" w:lineRule="auto"/>
        <w:rPr/>
      </w:pPr>
      <w:r>
        <w:rPr>
          <w:spacing w:val="6"/>
        </w:rPr>
        <w:t>6.组建综合行政执法机构。制定《隆德县</w:t>
      </w:r>
      <w:r>
        <w:rPr>
          <w:spacing w:val="7"/>
        </w:rPr>
        <w:t>乡镇综合行政执法实施意见》，与各领域综合</w:t>
      </w:r>
      <w:r>
        <w:rPr>
          <w:spacing w:val="7"/>
        </w:rPr>
        <w:t>行政执法体制改革相衔接，统筹设计行政区域</w:t>
      </w:r>
      <w:r>
        <w:rPr>
          <w:spacing w:val="7"/>
        </w:rPr>
        <w:t>内综合行政执法模式，推进行政执法权限和力</w:t>
      </w:r>
      <w:r>
        <w:rPr>
          <w:spacing w:val="7"/>
        </w:rPr>
        <w:t>量向基层延伸和下沉。整合现有站所执法力量</w:t>
      </w:r>
      <w:r>
        <w:rPr>
          <w:spacing w:val="7"/>
        </w:rPr>
        <w:t>和资源，组建综合执法办公室，按照有关法律</w:t>
      </w:r>
      <w:r>
        <w:rPr>
          <w:spacing w:val="7"/>
        </w:rPr>
        <w:t>规定相对集中行使行政处罚权，以乡镇名义开</w:t>
      </w:r>
      <w:r>
        <w:rPr>
          <w:spacing w:val="7"/>
        </w:rPr>
        <w:t>展执法工作，并接受县级有关主管部门的业务</w:t>
      </w:r>
      <w:r>
        <w:rPr>
          <w:spacing w:val="8"/>
        </w:rPr>
        <w:t>指导和监督，逐步实现基层一支队伍管执法。</w:t>
      </w:r>
    </w:p>
    <w:p>
      <w:pPr>
        <w:pStyle w:val="BodyText"/>
        <w:ind w:left="8" w:right="78" w:firstLine="420"/>
        <w:spacing w:before="151" w:line="346" w:lineRule="auto"/>
        <w:rPr/>
      </w:pPr>
      <w:r>
        <w:rPr>
          <w:spacing w:val="6"/>
        </w:rPr>
        <w:t>7.完善指挥协调机制。强化乡镇统一指挥</w:t>
      </w:r>
      <w:r>
        <w:rPr>
          <w:spacing w:val="7"/>
        </w:rPr>
        <w:t>和统筹协调职责，赋予乡镇党委对派驻机构的</w:t>
      </w:r>
      <w:r>
        <w:rPr>
          <w:spacing w:val="7"/>
        </w:rPr>
        <w:t>统一指挥权、干部管理考核权、主要负责人任</w:t>
      </w:r>
      <w:r>
        <w:rPr>
          <w:spacing w:val="7"/>
        </w:rPr>
        <w:t>免建议权等。乡镇综合执法办公室负责统筹协</w:t>
      </w:r>
      <w:r>
        <w:rPr>
          <w:spacing w:val="7"/>
        </w:rPr>
        <w:t>调派驻执法机构和辖区执法力量，开展联合执</w:t>
      </w:r>
      <w:r>
        <w:rPr>
          <w:spacing w:val="7"/>
        </w:rPr>
        <w:t>法。制定乡镇行政执法事项清单，明确执法事</w:t>
      </w:r>
      <w:r>
        <w:rPr>
          <w:spacing w:val="7"/>
        </w:rPr>
        <w:t>项的范围、内容。建立健全与县级部门行政执</w:t>
      </w:r>
      <w:r>
        <w:rPr>
          <w:spacing w:val="7"/>
        </w:rPr>
        <w:t>法案件移送机制及协调机制，对超出权限的执</w:t>
      </w:r>
      <w:r>
        <w:rPr>
          <w:spacing w:val="8"/>
        </w:rPr>
        <w:t>法事项，乡镇承担日常巡查、接受投诉举报、</w:t>
      </w:r>
      <w:r>
        <w:rPr>
          <w:spacing w:val="8"/>
        </w:rPr>
        <w:t>协助调查取证等工作，并及时通报县级部门。</w:t>
      </w:r>
    </w:p>
    <w:p>
      <w:pPr>
        <w:pStyle w:val="BodyText"/>
        <w:ind w:left="6" w:right="94" w:firstLine="425"/>
        <w:spacing w:before="150" w:line="330" w:lineRule="auto"/>
        <w:rPr/>
      </w:pPr>
      <w:r>
        <w:rPr>
          <w:spacing w:val="6"/>
        </w:rPr>
        <w:t>8.提升行政执法能力和水平。加强对乡镇</w:t>
      </w:r>
      <w:r>
        <w:rPr>
          <w:spacing w:val="7"/>
        </w:rPr>
        <w:t>综合行政执法机构、执法人员的业务指导和培</w:t>
      </w:r>
      <w:r>
        <w:rPr>
          <w:spacing w:val="7"/>
        </w:rPr>
        <w:t>训，规范执法检查、受立案、调查、审查、决</w:t>
      </w:r>
      <w:r>
        <w:rPr>
          <w:spacing w:val="7"/>
        </w:rPr>
        <w:t>定等程序和行为，建立执法全过程记录制度，</w:t>
      </w:r>
      <w:r>
        <w:rPr>
          <w:spacing w:val="7"/>
        </w:rPr>
        <w:t>实现全程留痕、可追溯、可追责。全面推行行</w:t>
      </w:r>
    </w:p>
    <w:p>
      <w:pPr>
        <w:spacing w:line="330" w:lineRule="auto"/>
        <w:sectPr>
          <w:type w:val="continuous"/>
          <w:pgSz w:w="11906" w:h="16839"/>
          <w:pgMar w:top="1793" w:right="1489" w:bottom="1673" w:left="1565" w:header="1428" w:footer="1277" w:gutter="0"/>
          <w:cols w:equalWidth="0" w:num="2">
            <w:col w:w="4497" w:space="100"/>
            <w:col w:w="4256" w:space="0"/>
          </w:cols>
        </w:sectPr>
        <w:rPr/>
      </w:pPr>
    </w:p>
    <w:p>
      <w:pPr>
        <w:spacing w:before="34"/>
        <w:rPr/>
      </w:pPr>
      <w:r>
        <w:drawing>
          <wp:anchor distT="0" distB="0" distL="0" distR="0" simplePos="0" relativeHeight="251928576"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766" name="IM 766"/>
            <wp:cNvGraphicFramePr/>
            <a:graphic>
              <a:graphicData uri="http://schemas.openxmlformats.org/drawingml/2006/picture">
                <pic:pic>
                  <pic:nvPicPr>
                    <pic:cNvPr id="766" name="IM 766"/>
                    <pic:cNvPicPr/>
                  </pic:nvPicPr>
                  <pic:blipFill>
                    <a:blip r:embed="rId385"/>
                    <a:stretch>
                      <a:fillRect/>
                    </a:stretch>
                  </pic:blipFill>
                  <pic:spPr>
                    <a:xfrm rot="0">
                      <a:off x="0" y="0"/>
                      <a:ext cx="5579745" cy="7620"/>
                    </a:xfrm>
                    <a:prstGeom prst="rect">
                      <a:avLst/>
                    </a:prstGeom>
                  </pic:spPr>
                </pic:pic>
              </a:graphicData>
            </a:graphic>
          </wp:anchor>
        </w:drawing>
      </w:r>
      <w:r/>
    </w:p>
    <w:p>
      <w:pPr>
        <w:sectPr>
          <w:headerReference w:type="default" r:id="rId383"/>
          <w:footerReference w:type="default" r:id="rId384"/>
          <w:pgSz w:w="11906" w:h="16839"/>
          <w:pgMar w:top="1766" w:right="1509" w:bottom="1570" w:left="1579" w:header="1428" w:footer="1172" w:gutter="0"/>
          <w:cols w:equalWidth="0" w:num="1">
            <w:col w:w="8817" w:space="0"/>
          </w:cols>
        </w:sectPr>
        <w:rPr/>
      </w:pPr>
    </w:p>
    <w:p>
      <w:pPr>
        <w:pStyle w:val="BodyText"/>
        <w:ind w:left="11" w:right="305" w:firstLine="2"/>
        <w:spacing w:before="43" w:line="365" w:lineRule="auto"/>
        <w:jc w:val="both"/>
        <w:rPr/>
      </w:pPr>
      <w:r>
        <w:rPr>
          <w:spacing w:val="8"/>
        </w:rPr>
        <w:t>政执法公示制度，做到依据公开、决策公开、</w:t>
      </w:r>
      <w:r>
        <w:rPr>
          <w:spacing w:val="7"/>
        </w:rPr>
        <w:t>执行公开、结果公开、过程公开。全面推行重</w:t>
      </w:r>
      <w:r>
        <w:rPr>
          <w:spacing w:val="7"/>
        </w:rPr>
        <w:t>大行政执法决定法制审核制度，作出重大执法</w:t>
      </w:r>
      <w:r>
        <w:rPr>
          <w:spacing w:val="7"/>
        </w:rPr>
        <w:t>决定前要进行法制审核，未经法制审核或审核</w:t>
      </w:r>
      <w:r>
        <w:rPr>
          <w:spacing w:val="7"/>
        </w:rPr>
        <w:t>未通过的，不得作出行政执法决定，确保重大</w:t>
      </w:r>
      <w:r>
        <w:rPr>
          <w:spacing w:val="7"/>
        </w:rPr>
        <w:t>执法决定合法适当。严格确定行政执法责任和</w:t>
      </w:r>
      <w:r>
        <w:rPr>
          <w:spacing w:val="7"/>
        </w:rPr>
        <w:t>责任追究机制，加强执法监督，坚决惩治执法</w:t>
      </w:r>
      <w:r>
        <w:rPr>
          <w:spacing w:val="9"/>
        </w:rPr>
        <w:t>腐败现象，确保权力不被滥用。</w:t>
      </w:r>
    </w:p>
    <w:p>
      <w:pPr>
        <w:ind w:left="424"/>
        <w:rPr>
          <w:rFonts w:ascii="KaiTi" w:hAnsi="KaiTi" w:eastAsia="KaiTi" w:cs="KaiTi"/>
          <w:sz w:val="20"/>
          <w:szCs w:val="20"/>
        </w:rPr>
      </w:pPr>
      <w:r>
        <w:rPr>
          <w:rFonts w:ascii="KaiTi" w:hAnsi="KaiTi" w:eastAsia="KaiTi" w:cs="KaiTi"/>
          <w:sz w:val="20"/>
          <w:szCs w:val="20"/>
          <w:b/>
          <w:bCs/>
          <w:spacing w:val="5"/>
        </w:rPr>
        <w:t>（</w:t>
      </w:r>
      <w:r>
        <w:rPr>
          <w:rFonts w:ascii="KaiTi" w:hAnsi="KaiTi" w:eastAsia="KaiTi" w:cs="KaiTi"/>
          <w:sz w:val="20"/>
          <w:szCs w:val="20"/>
          <w:spacing w:val="-39"/>
        </w:rPr>
        <w:t xml:space="preserve"> </w:t>
      </w:r>
      <w:r>
        <w:rPr>
          <w:rFonts w:ascii="KaiTi" w:hAnsi="KaiTi" w:eastAsia="KaiTi" w:cs="KaiTi"/>
          <w:sz w:val="20"/>
          <w:szCs w:val="20"/>
          <w:b/>
          <w:bCs/>
          <w:spacing w:val="5"/>
        </w:rPr>
        <w:t>四）整合基层网格管理和指挥平台</w:t>
      </w:r>
    </w:p>
    <w:p>
      <w:pPr>
        <w:pStyle w:val="BodyText"/>
        <w:ind w:left="4" w:right="245" w:firstLine="430"/>
        <w:spacing w:before="130" w:line="358" w:lineRule="auto"/>
        <w:rPr/>
      </w:pPr>
      <w:r>
        <w:rPr>
          <w:spacing w:val="-4"/>
        </w:rPr>
        <w:t>9.实现“多网合一”。将上级部门在基层设</w:t>
      </w:r>
      <w:r>
        <w:rPr>
          <w:spacing w:val="16"/>
        </w:rPr>
        <w:t>置的多个网格整合为一个综合网格</w:t>
      </w:r>
      <w:r>
        <w:rPr>
          <w:spacing w:val="-51"/>
        </w:rPr>
        <w:t xml:space="preserve"> </w:t>
      </w:r>
      <w:r>
        <w:rPr>
          <w:spacing w:val="16"/>
        </w:rPr>
        <w:t>，依托村</w:t>
      </w:r>
      <w:r>
        <w:rPr>
          <w:spacing w:val="7"/>
        </w:rPr>
        <w:t>（社区）合理划分基本网格单元，统筹网格内</w:t>
      </w:r>
      <w:r>
        <w:rPr>
          <w:spacing w:val="10"/>
        </w:rPr>
        <w:t>党的建设、社会保障、综合治理、应急管理、</w:t>
      </w:r>
      <w:r>
        <w:rPr>
          <w:spacing w:val="16"/>
        </w:rPr>
        <w:t>社会救助等工作。强化党建引领</w:t>
      </w:r>
      <w:r>
        <w:rPr>
          <w:spacing w:val="-51"/>
        </w:rPr>
        <w:t xml:space="preserve"> </w:t>
      </w:r>
      <w:r>
        <w:rPr>
          <w:spacing w:val="16"/>
        </w:rPr>
        <w:t>，扎实推进</w:t>
      </w:r>
      <w:r>
        <w:rPr>
          <w:spacing w:val="9"/>
        </w:rPr>
        <w:t>“6322”工程，着力构建“</w:t>
      </w:r>
      <w:r>
        <w:rPr>
          <w:spacing w:val="-72"/>
        </w:rPr>
        <w:t xml:space="preserve"> </w:t>
      </w:r>
      <w:r>
        <w:rPr>
          <w:spacing w:val="9"/>
        </w:rPr>
        <w:t>四联四化”机制，</w:t>
      </w:r>
      <w:r>
        <w:rPr>
          <w:spacing w:val="10"/>
        </w:rPr>
        <w:t>加强村（社区）党支部标准化、规范化建设。</w:t>
      </w:r>
      <w:r>
        <w:rPr>
          <w:spacing w:val="7"/>
        </w:rPr>
        <w:t>将党支部或党小组建在网格上，以网格为基本</w:t>
      </w:r>
      <w:r>
        <w:rPr>
          <w:spacing w:val="7"/>
        </w:rPr>
        <w:t>单元，设立党员示范岗、党员先锋岗、党员责</w:t>
      </w:r>
      <w:r>
        <w:rPr>
          <w:spacing w:val="10"/>
        </w:rPr>
        <w:t>任区等，选优配强党支部书记或党小组组长。</w:t>
      </w:r>
      <w:r>
        <w:rPr>
          <w:spacing w:val="16"/>
        </w:rPr>
        <w:t>合理确定网格监管任务和事项</w:t>
      </w:r>
      <w:r>
        <w:rPr>
          <w:spacing w:val="-51"/>
        </w:rPr>
        <w:t xml:space="preserve"> </w:t>
      </w:r>
      <w:r>
        <w:rPr>
          <w:spacing w:val="16"/>
        </w:rPr>
        <w:t>，将网格内的</w:t>
      </w:r>
      <w:r>
        <w:rPr>
          <w:spacing w:val="1"/>
        </w:rPr>
        <w:t>人、地、物、事、组织等基础信息和社情民意、</w:t>
      </w:r>
      <w:r>
        <w:rPr>
          <w:spacing w:val="7"/>
        </w:rPr>
        <w:t>全程代办服务等事项，全部纳入网格化服务管</w:t>
      </w:r>
      <w:r>
        <w:rPr>
          <w:spacing w:val="1"/>
        </w:rPr>
        <w:t>理工作范围，科学配置网格员力量，实行定人、</w:t>
      </w:r>
      <w:r>
        <w:rPr>
          <w:spacing w:val="1"/>
        </w:rPr>
        <w:t>定岗、定责。推进网格化服务管理标准化建设，</w:t>
      </w:r>
      <w:r>
        <w:rPr>
          <w:spacing w:val="7"/>
        </w:rPr>
        <w:t>提高网格管理规范化精细化水平。加强网格资</w:t>
      </w:r>
      <w:r>
        <w:rPr>
          <w:spacing w:val="10"/>
        </w:rPr>
        <w:t>源配置，把公共服务、社会服务、市场服务、</w:t>
      </w:r>
      <w:r>
        <w:rPr>
          <w:spacing w:val="9"/>
        </w:rPr>
        <w:t>志愿服务下沉到网格，精准投送到千家万户。</w:t>
      </w:r>
    </w:p>
    <w:p>
      <w:pPr>
        <w:pStyle w:val="BodyText"/>
        <w:ind w:left="12" w:right="248" w:firstLine="439"/>
        <w:spacing w:before="148" w:line="342" w:lineRule="auto"/>
        <w:rPr/>
      </w:pPr>
      <w:r>
        <w:rPr/>
        <w:t>10.加快平台建设。建设一体化的信息系统</w:t>
      </w:r>
      <w:r>
        <w:rPr>
          <w:spacing w:val="7"/>
        </w:rPr>
        <w:t>和综合指挥平台，先易后难、分步实施，整合</w:t>
      </w:r>
      <w:r>
        <w:rPr>
          <w:spacing w:val="1"/>
        </w:rPr>
        <w:t>现有设在乡镇党的建设、综合治理、社区治理、</w:t>
      </w:r>
      <w:r>
        <w:rPr>
          <w:spacing w:val="7"/>
        </w:rPr>
        <w:t>数字城管等各系统指挥信息资源。强化信息共</w:t>
      </w:r>
      <w:r>
        <w:rPr>
          <w:spacing w:val="7"/>
        </w:rPr>
        <w:t>享和技术支撑，上级相关部门的视频监控等要</w:t>
      </w:r>
      <w:r>
        <w:rPr>
          <w:spacing w:val="15"/>
        </w:rPr>
        <w:t>尽可能接入基层综合指挥平台</w:t>
      </w:r>
      <w:r>
        <w:rPr>
          <w:spacing w:val="-40"/>
        </w:rPr>
        <w:t xml:space="preserve"> </w:t>
      </w:r>
      <w:r>
        <w:rPr>
          <w:spacing w:val="15"/>
        </w:rPr>
        <w:t>，实现互联互</w:t>
      </w:r>
    </w:p>
    <w:p>
      <w:pPr>
        <w:spacing w:line="14" w:lineRule="auto"/>
        <w:rPr>
          <w:rFonts w:ascii="Arial"/>
          <w:sz w:val="2"/>
        </w:rPr>
      </w:pPr>
      <w:r>
        <w:rPr>
          <w:rFonts w:ascii="Arial" w:hAnsi="Arial" w:eastAsia="Arial" w:cs="Arial"/>
          <w:sz w:val="2"/>
          <w:szCs w:val="2"/>
        </w:rPr>
        <w:br w:type="column"/>
      </w:r>
    </w:p>
    <w:p>
      <w:pPr>
        <w:pStyle w:val="BodyText"/>
        <w:ind w:firstLine="3"/>
        <w:spacing w:before="39" w:line="365" w:lineRule="auto"/>
        <w:jc w:val="both"/>
        <w:rPr/>
      </w:pPr>
      <w:r>
        <w:rPr>
          <w:spacing w:val="7"/>
        </w:rPr>
        <w:t>通、信息共享、实时监控、综合监测。建立健</w:t>
      </w:r>
      <w:r>
        <w:rPr>
          <w:spacing w:val="1"/>
        </w:rPr>
        <w:t>全发现问题、流转交办、协调联动、研判预警、</w:t>
      </w:r>
      <w:r>
        <w:rPr>
          <w:spacing w:val="7"/>
        </w:rPr>
        <w:t>督查考核等综合指挥工作机制，实现基层管理</w:t>
      </w:r>
      <w:r>
        <w:rPr>
          <w:spacing w:val="8"/>
        </w:rPr>
        <w:t>跨部门、跨层级协同运转。</w:t>
      </w:r>
    </w:p>
    <w:p>
      <w:pPr>
        <w:ind w:left="413"/>
        <w:rPr>
          <w:rFonts w:ascii="KaiTi" w:hAnsi="KaiTi" w:eastAsia="KaiTi" w:cs="KaiTi"/>
          <w:sz w:val="20"/>
          <w:szCs w:val="20"/>
        </w:rPr>
      </w:pPr>
      <w:r>
        <w:rPr>
          <w:rFonts w:ascii="KaiTi" w:hAnsi="KaiTi" w:eastAsia="KaiTi" w:cs="KaiTi"/>
          <w:sz w:val="20"/>
          <w:szCs w:val="20"/>
          <w:b/>
          <w:bCs/>
          <w:spacing w:val="8"/>
        </w:rPr>
        <w:t>（五）大力推动资源服务管理下沉</w:t>
      </w:r>
    </w:p>
    <w:p>
      <w:pPr>
        <w:pStyle w:val="BodyText"/>
        <w:ind w:firstLine="440"/>
        <w:spacing w:before="130" w:line="352" w:lineRule="auto"/>
        <w:rPr/>
      </w:pPr>
      <w:r>
        <w:rPr/>
        <w:t>11.建立赋权清单目录。按照依法下放、宜</w:t>
      </w:r>
      <w:r>
        <w:rPr>
          <w:spacing w:val="7"/>
        </w:rPr>
        <w:t>放则放原则，将点多面广、基层管理迫切需要</w:t>
      </w:r>
      <w:r>
        <w:rPr>
          <w:spacing w:val="18"/>
        </w:rPr>
        <w:t>且能有效承接的审批服务执法等权限赋予乡</w:t>
      </w:r>
      <w:r>
        <w:rPr>
          <w:spacing w:val="7"/>
        </w:rPr>
        <w:t>镇。按照自治区政府统一制定的赋权清单，依</w:t>
      </w:r>
      <w:r>
        <w:rPr>
          <w:spacing w:val="10"/>
        </w:rPr>
        <w:t>法明确乡镇执法主体地位，按照“一个乡镇、</w:t>
      </w:r>
      <w:r>
        <w:rPr>
          <w:spacing w:val="7"/>
        </w:rPr>
        <w:t>一个赋权清单”的要求，依法编制各乡镇赋权</w:t>
      </w:r>
      <w:r>
        <w:rPr>
          <w:spacing w:val="7"/>
        </w:rPr>
        <w:t>清单，统一和规范赋权事项，成熟一批，赋予</w:t>
      </w:r>
      <w:r>
        <w:rPr>
          <w:spacing w:val="1"/>
        </w:rPr>
        <w:t>一批，确保放得下、接得住、管得好、有监督。</w:t>
      </w:r>
      <w:r>
        <w:rPr>
          <w:spacing w:val="18"/>
        </w:rPr>
        <w:t>法律规定的县级政府及其部门的管理权限需</w:t>
      </w:r>
      <w:r>
        <w:rPr>
          <w:spacing w:val="9"/>
        </w:rPr>
        <w:t>要赋予乡镇的，按法定程序和要求办理。</w:t>
      </w:r>
    </w:p>
    <w:p>
      <w:pPr>
        <w:pStyle w:val="BodyText"/>
        <w:ind w:right="57" w:firstLine="440"/>
        <w:spacing w:before="146" w:line="357" w:lineRule="auto"/>
        <w:rPr/>
      </w:pPr>
      <w:r>
        <w:rPr/>
        <w:t>12.建立务实高效用编用人制度。推进编制</w:t>
      </w:r>
      <w:r>
        <w:rPr>
          <w:spacing w:val="7"/>
        </w:rPr>
        <w:t>资源向乡镇倾斜，采取减县补乡和减上补下调</w:t>
      </w:r>
      <w:r>
        <w:rPr>
          <w:spacing w:val="7"/>
        </w:rPr>
        <w:t>剂使用行政和事业编制，充实加强基层一线工</w:t>
      </w:r>
      <w:r>
        <w:rPr>
          <w:spacing w:val="12"/>
        </w:rPr>
        <w:t>作力量，乡镇人员编制增幅平均不低于20%，</w:t>
      </w:r>
      <w:r>
        <w:rPr>
          <w:spacing w:val="12"/>
        </w:rPr>
        <w:t>乡镇编制实行总额管理,乡镇核定行政编制和</w:t>
      </w:r>
      <w:r>
        <w:rPr>
          <w:spacing w:val="8"/>
        </w:rPr>
        <w:t>事业编制平均不少于</w:t>
      </w:r>
      <w:r>
        <w:rPr>
          <w:spacing w:val="-18"/>
        </w:rPr>
        <w:t xml:space="preserve"> </w:t>
      </w:r>
      <w:r>
        <w:rPr>
          <w:spacing w:val="8"/>
        </w:rPr>
        <w:t>36</w:t>
      </w:r>
      <w:r>
        <w:rPr>
          <w:spacing w:val="-38"/>
        </w:rPr>
        <w:t xml:space="preserve"> </w:t>
      </w:r>
      <w:r>
        <w:rPr>
          <w:spacing w:val="8"/>
        </w:rPr>
        <w:t>名</w:t>
      </w:r>
      <w:r>
        <w:rPr>
          <w:spacing w:val="-58"/>
        </w:rPr>
        <w:t xml:space="preserve"> </w:t>
      </w:r>
      <w:r>
        <w:rPr>
          <w:spacing w:val="8"/>
        </w:rPr>
        <w:t>，县委编委可根据</w:t>
      </w:r>
      <w:r>
        <w:rPr>
          <w:spacing w:val="7"/>
        </w:rPr>
        <w:t>工作需要，在乡镇之间统筹调剂使用各类编制</w:t>
      </w:r>
      <w:r>
        <w:rPr>
          <w:spacing w:val="7"/>
        </w:rPr>
        <w:t>资源，实行动态管理，上级部门不得挤占挪用</w:t>
      </w:r>
      <w:r>
        <w:rPr>
          <w:spacing w:val="7"/>
        </w:rPr>
        <w:t>乡镇编制。建立用编用人计划优先保障空编乡</w:t>
      </w:r>
      <w:r>
        <w:rPr>
          <w:spacing w:val="7"/>
        </w:rPr>
        <w:t>镇机制，根据基层需要及时补充人员，提高编</w:t>
      </w:r>
      <w:r>
        <w:rPr>
          <w:spacing w:val="7"/>
        </w:rPr>
        <w:t>制资源使用效益。整合条线辅助人员，按照属</w:t>
      </w:r>
      <w:r>
        <w:rPr>
          <w:spacing w:val="7"/>
        </w:rPr>
        <w:t>地化管理原则，由乡镇统筹指挥调配。赋予乡</w:t>
      </w:r>
      <w:r>
        <w:rPr>
          <w:spacing w:val="7"/>
        </w:rPr>
        <w:t>镇更加灵活的用人自主权，在编制与人员一一</w:t>
      </w:r>
      <w:r>
        <w:rPr>
          <w:spacing w:val="7"/>
        </w:rPr>
        <w:t>对应关系的基础上，可根据工作需要和人尽其</w:t>
      </w:r>
      <w:r>
        <w:rPr>
          <w:spacing w:val="7"/>
        </w:rPr>
        <w:t>才的原则，统筹使用行政事业人员，事业单位</w:t>
      </w:r>
      <w:r>
        <w:rPr>
          <w:spacing w:val="8"/>
        </w:rPr>
        <w:t>主要负责人可按副科级配备。</w:t>
      </w:r>
    </w:p>
    <w:p>
      <w:pPr>
        <w:pStyle w:val="BodyText"/>
        <w:ind w:left="6" w:right="60" w:firstLine="434"/>
        <w:spacing w:before="152" w:line="294" w:lineRule="auto"/>
        <w:rPr/>
      </w:pPr>
      <w:r>
        <w:rPr/>
        <w:t>13.强化事权保障。投放基层的公共服务资</w:t>
      </w:r>
      <w:r>
        <w:rPr>
          <w:spacing w:val="8"/>
        </w:rPr>
        <w:t>源，以乡镇村（社区）党组织为主渠道落实。</w:t>
      </w:r>
    </w:p>
    <w:p>
      <w:pPr>
        <w:spacing w:line="294" w:lineRule="auto"/>
        <w:sectPr>
          <w:type w:val="continuous"/>
          <w:pgSz w:w="11906" w:h="16839"/>
          <w:pgMar w:top="1766" w:right="1509" w:bottom="1570" w:left="1579" w:header="1428" w:footer="1172" w:gutter="0"/>
          <w:cols w:equalWidth="0" w:num="2">
            <w:col w:w="4488" w:space="100"/>
            <w:col w:w="4229" w:space="0"/>
          </w:cols>
        </w:sectPr>
        <w:rPr/>
      </w:pPr>
    </w:p>
    <w:p>
      <w:pPr>
        <w:spacing w:before="47"/>
        <w:rPr/>
      </w:pPr>
      <w:r>
        <w:drawing>
          <wp:anchor distT="0" distB="0" distL="0" distR="0" simplePos="0" relativeHeight="251930624"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770" name="IM 770"/>
            <wp:cNvGraphicFramePr/>
            <a:graphic>
              <a:graphicData uri="http://schemas.openxmlformats.org/drawingml/2006/picture">
                <pic:pic>
                  <pic:nvPicPr>
                    <pic:cNvPr id="770" name="IM 770"/>
                    <pic:cNvPicPr/>
                  </pic:nvPicPr>
                  <pic:blipFill>
                    <a:blip r:embed="rId387"/>
                    <a:stretch>
                      <a:fillRect/>
                    </a:stretch>
                  </pic:blipFill>
                  <pic:spPr>
                    <a:xfrm rot="0">
                      <a:off x="0" y="0"/>
                      <a:ext cx="5579745" cy="7619"/>
                    </a:xfrm>
                    <a:prstGeom prst="rect">
                      <a:avLst/>
                    </a:prstGeom>
                  </pic:spPr>
                </pic:pic>
              </a:graphicData>
            </a:graphic>
          </wp:anchor>
        </w:drawing>
      </w:r>
      <w:r/>
    </w:p>
    <w:p>
      <w:pPr>
        <w:sectPr>
          <w:headerReference w:type="default" r:id="rId297"/>
          <w:footerReference w:type="default" r:id="rId386"/>
          <w:pgSz w:w="11906" w:h="16839"/>
          <w:pgMar w:top="1793" w:right="1489" w:bottom="1673" w:left="1565" w:header="1428" w:footer="1277" w:gutter="0"/>
          <w:cols w:equalWidth="0" w:num="1">
            <w:col w:w="8852" w:space="0"/>
          </w:cols>
        </w:sectPr>
        <w:rPr/>
      </w:pPr>
    </w:p>
    <w:p>
      <w:pPr>
        <w:pStyle w:val="BodyText"/>
        <w:ind w:left="27" w:right="309" w:firstLine="1"/>
        <w:spacing w:before="38" w:line="365" w:lineRule="auto"/>
        <w:jc w:val="both"/>
        <w:rPr/>
      </w:pPr>
      <w:r>
        <w:rPr>
          <w:spacing w:val="7"/>
        </w:rPr>
        <w:t>坚持重心下移、力量下沉、保障下倾，加强下</w:t>
      </w:r>
      <w:r>
        <w:rPr>
          <w:spacing w:val="7"/>
        </w:rPr>
        <w:t>放给乡镇事权的人才、技术、资金、网络端口</w:t>
      </w:r>
      <w:r>
        <w:rPr>
          <w:spacing w:val="7"/>
        </w:rPr>
        <w:t>等方面的保障，做到权随事转、人随事转、钱</w:t>
      </w:r>
      <w:r>
        <w:rPr>
          <w:spacing w:val="7"/>
        </w:rPr>
        <w:t>随事转，使基层有人有物有权，保证基层事情</w:t>
      </w:r>
      <w:r>
        <w:rPr>
          <w:spacing w:val="8"/>
        </w:rPr>
        <w:t>基层办、基层权力给基层、基层事情有人办。</w:t>
      </w:r>
    </w:p>
    <w:p>
      <w:pPr>
        <w:pStyle w:val="BodyText"/>
        <w:ind w:left="26" w:right="309" w:firstLine="440"/>
        <w:spacing w:before="5" w:line="357" w:lineRule="auto"/>
        <w:jc w:val="both"/>
        <w:rPr/>
      </w:pPr>
      <w:r>
        <w:rPr/>
        <w:t>14.完善激励保障机制。全面落实乡镇工作</w:t>
      </w:r>
      <w:r>
        <w:rPr>
          <w:spacing w:val="7"/>
        </w:rPr>
        <w:t>人员各项待遇政策，并向条件艰苦的偏远乡镇</w:t>
      </w:r>
      <w:r>
        <w:rPr>
          <w:spacing w:val="7"/>
        </w:rPr>
        <w:t>和长期在乡镇工作的人员倾斜。乡镇年度考核</w:t>
      </w:r>
      <w:r>
        <w:rPr>
          <w:spacing w:val="11"/>
        </w:rPr>
        <w:t>优秀比例提高到20%，工作成绩突出的可提高</w:t>
      </w:r>
      <w:r>
        <w:rPr>
          <w:spacing w:val="13"/>
        </w:rPr>
        <w:t>到</w:t>
      </w:r>
      <w:r>
        <w:rPr>
          <w:spacing w:val="-35"/>
        </w:rPr>
        <w:t xml:space="preserve"> </w:t>
      </w:r>
      <w:r>
        <w:rPr>
          <w:spacing w:val="13"/>
        </w:rPr>
        <w:t>25%—35%。落实乡镇工作补贴政策，确保</w:t>
      </w:r>
      <w:r>
        <w:rPr>
          <w:spacing w:val="18"/>
        </w:rPr>
        <w:t>乡镇机关事业单位工作人员收入高于县直机</w:t>
      </w:r>
      <w:r>
        <w:rPr>
          <w:spacing w:val="11"/>
        </w:rPr>
        <w:t>关事业单位同职级人员20%，进一步调动基层</w:t>
      </w:r>
      <w:r>
        <w:rPr>
          <w:spacing w:val="8"/>
        </w:rPr>
        <w:t>干部队伍积极性，激励担当作为、干事创业。</w:t>
      </w:r>
    </w:p>
    <w:p>
      <w:pPr>
        <w:ind w:left="439"/>
        <w:spacing w:before="21" w:line="241" w:lineRule="auto"/>
        <w:rPr>
          <w:rFonts w:ascii="KaiTi" w:hAnsi="KaiTi" w:eastAsia="KaiTi" w:cs="KaiTi"/>
          <w:sz w:val="20"/>
          <w:szCs w:val="20"/>
        </w:rPr>
      </w:pPr>
      <w:r>
        <w:rPr>
          <w:rFonts w:ascii="KaiTi" w:hAnsi="KaiTi" w:eastAsia="KaiTi" w:cs="KaiTi"/>
          <w:sz w:val="20"/>
          <w:szCs w:val="20"/>
          <w:b/>
          <w:bCs/>
          <w:spacing w:val="5"/>
        </w:rPr>
        <w:t>（</w:t>
      </w:r>
      <w:r>
        <w:rPr>
          <w:rFonts w:ascii="KaiTi" w:hAnsi="KaiTi" w:eastAsia="KaiTi" w:cs="KaiTi"/>
          <w:sz w:val="20"/>
          <w:szCs w:val="20"/>
          <w:spacing w:val="-37"/>
        </w:rPr>
        <w:t xml:space="preserve"> </w:t>
      </w:r>
      <w:r>
        <w:rPr>
          <w:rFonts w:ascii="KaiTi" w:hAnsi="KaiTi" w:eastAsia="KaiTi" w:cs="KaiTi"/>
          <w:sz w:val="20"/>
          <w:szCs w:val="20"/>
          <w:b/>
          <w:bCs/>
          <w:spacing w:val="5"/>
        </w:rPr>
        <w:t>六）优化上级机关对基层的领导方式</w:t>
      </w:r>
    </w:p>
    <w:p>
      <w:pPr>
        <w:pStyle w:val="BodyText"/>
        <w:ind w:left="11" w:right="265" w:firstLine="455"/>
        <w:spacing w:before="128" w:line="345" w:lineRule="auto"/>
        <w:rPr/>
      </w:pPr>
      <w:r>
        <w:rPr/>
        <w:t>15.规范“属地管理”。建立县乡“属地管</w:t>
      </w:r>
      <w:r>
        <w:rPr>
          <w:spacing w:val="8"/>
        </w:rPr>
        <w:t>理”事项主体责任和配合责任清单制度，根据</w:t>
      </w:r>
      <w:r>
        <w:rPr>
          <w:spacing w:val="8"/>
        </w:rPr>
        <w:t>《固原市县乡“属地管理”事项主体责任和配</w:t>
      </w:r>
      <w:r>
        <w:rPr>
          <w:spacing w:val="8"/>
        </w:rPr>
        <w:t>合责任清单》，在自然资源、生态环境、城乡</w:t>
      </w:r>
      <w:r>
        <w:rPr>
          <w:spacing w:val="1"/>
        </w:rPr>
        <w:t>建设、应急管理、市场监管、综合执法等方面，</w:t>
      </w:r>
      <w:r>
        <w:rPr>
          <w:spacing w:val="11"/>
        </w:rPr>
        <w:t>合理划分县乡权责边界，健全县乡联动机制。</w:t>
      </w:r>
      <w:r>
        <w:rPr>
          <w:spacing w:val="8"/>
        </w:rPr>
        <w:t>探索建立乡镇职责准入制度，县级职能部门将</w:t>
      </w:r>
      <w:r>
        <w:rPr>
          <w:spacing w:val="19"/>
        </w:rPr>
        <w:t>职责范围内的行政事务委托或交由乡镇承担</w:t>
      </w:r>
      <w:r>
        <w:rPr>
          <w:spacing w:val="10"/>
        </w:rPr>
        <w:t>的，需按规定审核报批并充分听取基层意见。</w:t>
      </w:r>
    </w:p>
    <w:p>
      <w:pPr>
        <w:pStyle w:val="BodyText"/>
        <w:ind w:left="27" w:right="327" w:firstLine="439"/>
        <w:spacing w:before="146" w:line="343" w:lineRule="auto"/>
        <w:rPr/>
      </w:pPr>
      <w:r>
        <w:rPr/>
        <w:t>16.推进基层减负增效。组织对上级与乡镇</w:t>
      </w:r>
      <w:r>
        <w:rPr>
          <w:spacing w:val="7"/>
        </w:rPr>
        <w:t>签订的各类“责任状”和考核评比等事项进行</w:t>
      </w:r>
      <w:r>
        <w:rPr>
          <w:spacing w:val="7"/>
        </w:rPr>
        <w:t>全面清理，统一规范对乡镇的评比达标、示范</w:t>
      </w:r>
      <w:r>
        <w:rPr>
          <w:spacing w:val="7"/>
        </w:rPr>
        <w:t>创建等活动，切实减轻基层负担。除中央和自</w:t>
      </w:r>
      <w:r>
        <w:rPr>
          <w:spacing w:val="7"/>
        </w:rPr>
        <w:t>治区党委明确要求外，各部门（单位）不得以</w:t>
      </w:r>
      <w:r>
        <w:rPr>
          <w:spacing w:val="7"/>
        </w:rPr>
        <w:t>任何形式对乡镇设置“一票否决”事项，不得</w:t>
      </w:r>
      <w:r>
        <w:rPr>
          <w:spacing w:val="7"/>
        </w:rPr>
        <w:t>以签订“责任状”、分解下达指标、考核验收</w:t>
      </w:r>
      <w:r>
        <w:rPr>
          <w:spacing w:val="7"/>
        </w:rPr>
        <w:t>等方式，将工作责任转嫁乡镇承担。对不符合</w:t>
      </w:r>
      <w:r>
        <w:rPr>
          <w:spacing w:val="7"/>
        </w:rPr>
        <w:t>基层实际和发展需要政策规定要及时清理、修</w:t>
      </w:r>
      <w:r>
        <w:rPr>
          <w:spacing w:val="9"/>
        </w:rPr>
        <w:t>订、完善，为基层改革创新提供制度支持。</w:t>
      </w:r>
    </w:p>
    <w:p>
      <w:pPr>
        <w:spacing w:line="14" w:lineRule="auto"/>
        <w:rPr>
          <w:rFonts w:ascii="Arial"/>
          <w:sz w:val="2"/>
        </w:rPr>
      </w:pPr>
      <w:r>
        <w:rPr>
          <w:rFonts w:ascii="Arial" w:hAnsi="Arial" w:eastAsia="Arial" w:cs="Arial"/>
          <w:sz w:val="2"/>
          <w:szCs w:val="2"/>
        </w:rPr>
        <w:br w:type="column"/>
      </w:r>
    </w:p>
    <w:p>
      <w:pPr>
        <w:ind w:left="432"/>
        <w:spacing w:before="42"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三、组织实施</w:t>
      </w:r>
    </w:p>
    <w:p>
      <w:pPr>
        <w:pStyle w:val="BodyText"/>
        <w:ind w:right="94" w:firstLine="413"/>
        <w:spacing w:before="125" w:line="345" w:lineRule="auto"/>
        <w:rPr/>
      </w:pPr>
      <w:r>
        <w:rPr>
          <w:rFonts w:ascii="KaiTi" w:hAnsi="KaiTi" w:eastAsia="KaiTi" w:cs="KaiTi"/>
          <w:b/>
          <w:bCs/>
          <w:spacing w:val="4"/>
        </w:rPr>
        <w:t>（</w:t>
      </w:r>
      <w:r>
        <w:rPr>
          <w:rFonts w:ascii="KaiTi" w:hAnsi="KaiTi" w:eastAsia="KaiTi" w:cs="KaiTi"/>
          <w:spacing w:val="-52"/>
        </w:rPr>
        <w:t xml:space="preserve"> </w:t>
      </w:r>
      <w:r>
        <w:rPr>
          <w:rFonts w:ascii="KaiTi" w:hAnsi="KaiTi" w:eastAsia="KaiTi" w:cs="KaiTi"/>
          <w:b/>
          <w:bCs/>
          <w:spacing w:val="4"/>
        </w:rPr>
        <w:t>一）加强组织领导。</w:t>
      </w:r>
      <w:r>
        <w:rPr>
          <w:spacing w:val="4"/>
        </w:rPr>
        <w:t>要切实履行主体责</w:t>
      </w:r>
      <w:r>
        <w:rPr>
          <w:spacing w:val="7"/>
        </w:rPr>
        <w:t>任，把推进基层整合审批服务执法力量改革纳</w:t>
      </w:r>
      <w:r>
        <w:rPr>
          <w:spacing w:val="7"/>
        </w:rPr>
        <w:t>入重要议事日程。成立隆德县推进基层整合审</w:t>
      </w:r>
      <w:r>
        <w:rPr>
          <w:spacing w:val="7"/>
        </w:rPr>
        <w:t>批服务执法力量改革工作领导小组，具体负责</w:t>
      </w:r>
      <w:r>
        <w:rPr>
          <w:spacing w:val="7"/>
        </w:rPr>
        <w:t>改革的组织实施工作。建立健全工作协调和督</w:t>
      </w:r>
      <w:r>
        <w:rPr>
          <w:spacing w:val="7"/>
        </w:rPr>
        <w:t>促机制，及时了解和掌握改革工作进展情况，</w:t>
      </w:r>
      <w:r>
        <w:rPr>
          <w:spacing w:val="7"/>
        </w:rPr>
        <w:t>研究解决改革过程中出现的困难和问题，督促</w:t>
      </w:r>
      <w:r>
        <w:rPr>
          <w:spacing w:val="18"/>
        </w:rPr>
        <w:t>县直部门和各乡镇按进度推进各项改革任务</w:t>
      </w:r>
      <w:r>
        <w:rPr>
          <w:spacing w:val="9"/>
        </w:rPr>
        <w:t>落实，确保按时高质量完成改革工作。</w:t>
      </w:r>
    </w:p>
    <w:p>
      <w:pPr>
        <w:pStyle w:val="BodyText"/>
        <w:ind w:right="33" w:firstLine="413"/>
        <w:spacing w:before="143" w:line="343" w:lineRule="auto"/>
        <w:rPr/>
      </w:pPr>
      <w:r>
        <w:rPr>
          <w:rFonts w:ascii="KaiTi" w:hAnsi="KaiTi" w:eastAsia="KaiTi" w:cs="KaiTi"/>
          <w:b/>
          <w:bCs/>
          <w:spacing w:val="4"/>
        </w:rPr>
        <w:t>（</w:t>
      </w:r>
      <w:r>
        <w:rPr>
          <w:rFonts w:ascii="KaiTi" w:hAnsi="KaiTi" w:eastAsia="KaiTi" w:cs="KaiTi"/>
          <w:spacing w:val="-53"/>
        </w:rPr>
        <w:t xml:space="preserve"> </w:t>
      </w:r>
      <w:r>
        <w:rPr>
          <w:rFonts w:ascii="KaiTi" w:hAnsi="KaiTi" w:eastAsia="KaiTi" w:cs="KaiTi"/>
          <w:b/>
          <w:bCs/>
          <w:spacing w:val="4"/>
        </w:rPr>
        <w:t>二）坚持有序推进。</w:t>
      </w:r>
      <w:r>
        <w:rPr>
          <w:spacing w:val="4"/>
        </w:rPr>
        <w:t>研究制定《隆德县</w:t>
      </w:r>
      <w:r>
        <w:rPr>
          <w:spacing w:val="8"/>
        </w:rPr>
        <w:t>推进基层整合审批服务执法力量实施方案》，</w:t>
      </w:r>
      <w:r>
        <w:rPr>
          <w:spacing w:val="7"/>
        </w:rPr>
        <w:t>细化分解工作任务，明确县直牵头部门、责任</w:t>
      </w:r>
      <w:r>
        <w:rPr>
          <w:spacing w:val="15"/>
        </w:rPr>
        <w:t>单位以及改革的主要任务、预期目标</w:t>
      </w:r>
      <w:r>
        <w:rPr>
          <w:spacing w:val="-39"/>
        </w:rPr>
        <w:t xml:space="preserve"> </w:t>
      </w:r>
      <w:r>
        <w:rPr>
          <w:spacing w:val="15"/>
        </w:rPr>
        <w:t>，确保</w:t>
      </w:r>
      <w:r>
        <w:rPr>
          <w:spacing w:val="15"/>
        </w:rPr>
        <w:t>2021年</w:t>
      </w:r>
      <w:r>
        <w:rPr>
          <w:spacing w:val="-34"/>
        </w:rPr>
        <w:t xml:space="preserve"> </w:t>
      </w:r>
      <w:r>
        <w:rPr>
          <w:spacing w:val="15"/>
        </w:rPr>
        <w:t>4</w:t>
      </w:r>
      <w:r>
        <w:rPr>
          <w:spacing w:val="-33"/>
        </w:rPr>
        <w:t xml:space="preserve"> </w:t>
      </w:r>
      <w:r>
        <w:rPr>
          <w:spacing w:val="15"/>
        </w:rPr>
        <w:t>月底前完成统筹优化乡镇设置的相</w:t>
      </w:r>
      <w:r>
        <w:rPr>
          <w:spacing w:val="8"/>
        </w:rPr>
        <w:t>关工作，2021年</w:t>
      </w:r>
      <w:r>
        <w:rPr>
          <w:spacing w:val="-24"/>
        </w:rPr>
        <w:t xml:space="preserve"> </w:t>
      </w:r>
      <w:r>
        <w:rPr>
          <w:spacing w:val="8"/>
        </w:rPr>
        <w:t>6</w:t>
      </w:r>
      <w:r>
        <w:rPr>
          <w:spacing w:val="-38"/>
        </w:rPr>
        <w:t xml:space="preserve"> </w:t>
      </w:r>
      <w:r>
        <w:rPr>
          <w:spacing w:val="8"/>
        </w:rPr>
        <w:t>月底前全面完成改革任务。</w:t>
      </w:r>
    </w:p>
    <w:p>
      <w:pPr>
        <w:pStyle w:val="BodyText"/>
        <w:ind w:right="20" w:firstLine="413"/>
        <w:spacing w:before="118" w:line="346" w:lineRule="auto"/>
        <w:rPr/>
      </w:pPr>
      <w:r>
        <w:rPr>
          <w:rFonts w:ascii="KaiTi" w:hAnsi="KaiTi" w:eastAsia="KaiTi" w:cs="KaiTi"/>
          <w:b/>
          <w:bCs/>
          <w:spacing w:val="3"/>
        </w:rPr>
        <w:t>（</w:t>
      </w:r>
      <w:r>
        <w:rPr>
          <w:rFonts w:ascii="KaiTi" w:hAnsi="KaiTi" w:eastAsia="KaiTi" w:cs="KaiTi"/>
          <w:spacing w:val="-35"/>
        </w:rPr>
        <w:t xml:space="preserve"> </w:t>
      </w:r>
      <w:r>
        <w:rPr>
          <w:rFonts w:ascii="KaiTi" w:hAnsi="KaiTi" w:eastAsia="KaiTi" w:cs="KaiTi"/>
          <w:b/>
          <w:bCs/>
          <w:spacing w:val="3"/>
        </w:rPr>
        <w:t>三）严明纪律规矩。</w:t>
      </w:r>
      <w:r>
        <w:rPr>
          <w:spacing w:val="3"/>
        </w:rPr>
        <w:t>坚持把纪律挺在前</w:t>
      </w:r>
      <w:r>
        <w:rPr>
          <w:spacing w:val="10"/>
        </w:rPr>
        <w:t>面，严格执行机构改革政治纪律、组织纪律、</w:t>
      </w:r>
      <w:r>
        <w:rPr>
          <w:spacing w:val="7"/>
        </w:rPr>
        <w:t>机构编制纪律、干部人事纪律。要坚持把思想</w:t>
      </w:r>
      <w:r>
        <w:rPr>
          <w:spacing w:val="7"/>
        </w:rPr>
        <w:t>政治工作贯穿改革全过程，把握好改革发展稳</w:t>
      </w:r>
      <w:r>
        <w:rPr>
          <w:spacing w:val="1"/>
        </w:rPr>
        <w:t>定大局，确保思想不乱、工作不断、队伍不散、</w:t>
      </w:r>
      <w:r>
        <w:rPr>
          <w:spacing w:val="7"/>
        </w:rPr>
        <w:t>干劲不减。各相关部门要积极支持基层改革创</w:t>
      </w:r>
      <w:r>
        <w:rPr>
          <w:spacing w:val="7"/>
        </w:rPr>
        <w:t>新，严禁对机构编制事项进行干预，不得要求</w:t>
      </w:r>
      <w:r>
        <w:rPr>
          <w:spacing w:val="7"/>
        </w:rPr>
        <w:t>乡镇对口设立机构，不得要求在村（社区）设</w:t>
      </w:r>
      <w:r>
        <w:rPr>
          <w:spacing w:val="7"/>
        </w:rPr>
        <w:t>立机构和加挂牌子。县领导小组及其办公室适</w:t>
      </w:r>
      <w:r>
        <w:rPr>
          <w:spacing w:val="9"/>
        </w:rPr>
        <w:t>时对各项改革任务的落实情况进行督促检查。</w:t>
      </w:r>
    </w:p>
    <w:p>
      <w:pPr>
        <w:pStyle w:val="BodyText"/>
        <w:ind w:right="94" w:firstLine="413"/>
        <w:spacing w:before="148" w:line="333" w:lineRule="auto"/>
        <w:rPr/>
      </w:pPr>
      <w:r>
        <w:rPr>
          <w:rFonts w:ascii="KaiTi" w:hAnsi="KaiTi" w:eastAsia="KaiTi" w:cs="KaiTi"/>
          <w:b/>
          <w:bCs/>
          <w:spacing w:val="3"/>
        </w:rPr>
        <w:t>（</w:t>
      </w:r>
      <w:r>
        <w:rPr>
          <w:rFonts w:ascii="KaiTi" w:hAnsi="KaiTi" w:eastAsia="KaiTi" w:cs="KaiTi"/>
          <w:spacing w:val="-35"/>
        </w:rPr>
        <w:t xml:space="preserve"> </w:t>
      </w:r>
      <w:r>
        <w:rPr>
          <w:rFonts w:ascii="KaiTi" w:hAnsi="KaiTi" w:eastAsia="KaiTi" w:cs="KaiTi"/>
          <w:b/>
          <w:bCs/>
          <w:spacing w:val="3"/>
        </w:rPr>
        <w:t>四）加强舆论宣传。</w:t>
      </w:r>
      <w:r>
        <w:rPr>
          <w:spacing w:val="3"/>
        </w:rPr>
        <w:t>各乡镇、各部门要</w:t>
      </w:r>
      <w:r>
        <w:rPr>
          <w:spacing w:val="7"/>
        </w:rPr>
        <w:t>充分利用各种媒体，加强舆论宣传，回应社会</w:t>
      </w:r>
      <w:r>
        <w:rPr>
          <w:spacing w:val="7"/>
        </w:rPr>
        <w:t>关注，注重典型引导，营造良好改革氛围，形</w:t>
      </w:r>
      <w:r>
        <w:rPr>
          <w:spacing w:val="7"/>
        </w:rPr>
        <w:t>成深化改革的强大动力，确保平稳有序推进改</w:t>
      </w:r>
      <w:r>
        <w:rPr>
          <w:spacing w:val="8"/>
        </w:rPr>
        <w:t>革，顺利完成各项任务。</w:t>
      </w:r>
    </w:p>
    <w:p>
      <w:pPr>
        <w:pStyle w:val="BodyText"/>
        <w:ind w:left="1" w:right="101" w:firstLine="432"/>
        <w:spacing w:before="145" w:line="289" w:lineRule="auto"/>
        <w:rPr/>
      </w:pPr>
      <w:r>
        <w:rPr>
          <w:spacing w:val="6"/>
        </w:rPr>
        <w:t>附件：隆德县推进基层整合审批服务执法</w:t>
      </w:r>
      <w:r>
        <w:rPr>
          <w:spacing w:val="9"/>
        </w:rPr>
        <w:t>力量工作任务清单</w:t>
      </w:r>
    </w:p>
    <w:p>
      <w:pPr>
        <w:spacing w:line="289" w:lineRule="auto"/>
        <w:sectPr>
          <w:type w:val="continuous"/>
          <w:pgSz w:w="11906" w:h="16839"/>
          <w:pgMar w:top="1793" w:right="1489" w:bottom="1673" w:left="1565" w:header="1428" w:footer="1277" w:gutter="0"/>
          <w:cols w:equalWidth="0" w:num="2">
            <w:col w:w="4504" w:space="100"/>
            <w:col w:w="4249" w:space="0"/>
          </w:cols>
        </w:sectPr>
        <w:rPr/>
      </w:pPr>
    </w:p>
    <w:p>
      <w:pPr>
        <w:pStyle w:val="BodyText"/>
        <w:ind w:left="1846"/>
        <w:spacing w:before="178" w:line="220" w:lineRule="auto"/>
        <w:rPr>
          <w:sz w:val="43"/>
          <w:szCs w:val="43"/>
        </w:rPr>
      </w:pPr>
      <w:r>
        <w:drawing>
          <wp:anchor distT="0" distB="0" distL="0" distR="0" simplePos="0" relativeHeight="251932672" behindDoc="0" locked="0" layoutInCell="0" allowOverlap="1">
            <wp:simplePos x="0" y="0"/>
            <wp:positionH relativeFrom="page">
              <wp:posOffset>1008380</wp:posOffset>
            </wp:positionH>
            <wp:positionV relativeFrom="page">
              <wp:posOffset>1147445</wp:posOffset>
            </wp:positionV>
            <wp:extent cx="8712200" cy="7620"/>
            <wp:effectExtent l="0" t="0" r="0" b="0"/>
            <wp:wrapNone/>
            <wp:docPr id="774" name="IM 774"/>
            <wp:cNvGraphicFramePr/>
            <a:graphic>
              <a:graphicData uri="http://schemas.openxmlformats.org/drawingml/2006/picture">
                <pic:pic>
                  <pic:nvPicPr>
                    <pic:cNvPr id="774" name="IM 774"/>
                    <pic:cNvPicPr/>
                  </pic:nvPicPr>
                  <pic:blipFill>
                    <a:blip r:embed="rId389"/>
                    <a:stretch>
                      <a:fillRect/>
                    </a:stretch>
                  </pic:blipFill>
                  <pic:spPr>
                    <a:xfrm rot="0">
                      <a:off x="0" y="0"/>
                      <a:ext cx="8712200" cy="7620"/>
                    </a:xfrm>
                    <a:prstGeom prst="rect">
                      <a:avLst/>
                    </a:prstGeom>
                  </pic:spPr>
                </pic:pic>
              </a:graphicData>
            </a:graphic>
          </wp:anchor>
        </w:drawing>
      </w:r>
      <w:r>
        <w:drawing>
          <wp:anchor distT="0" distB="0" distL="0" distR="0" simplePos="0" relativeHeight="251933696" behindDoc="0" locked="0" layoutInCell="1" allowOverlap="1">
            <wp:simplePos x="0" y="0"/>
            <wp:positionH relativeFrom="column">
              <wp:posOffset>38480</wp:posOffset>
            </wp:positionH>
            <wp:positionV relativeFrom="paragraph">
              <wp:posOffset>5441031</wp:posOffset>
            </wp:positionV>
            <wp:extent cx="8712200" cy="7619"/>
            <wp:effectExtent l="0" t="0" r="0" b="0"/>
            <wp:wrapNone/>
            <wp:docPr id="776" name="IM 776"/>
            <wp:cNvGraphicFramePr/>
            <a:graphic>
              <a:graphicData uri="http://schemas.openxmlformats.org/drawingml/2006/picture">
                <pic:pic>
                  <pic:nvPicPr>
                    <pic:cNvPr id="776" name="IM 776"/>
                    <pic:cNvPicPr/>
                  </pic:nvPicPr>
                  <pic:blipFill>
                    <a:blip r:embed="rId390"/>
                    <a:stretch>
                      <a:fillRect/>
                    </a:stretch>
                  </pic:blipFill>
                  <pic:spPr>
                    <a:xfrm rot="0">
                      <a:off x="0" y="0"/>
                      <a:ext cx="8712200" cy="7619"/>
                    </a:xfrm>
                    <a:prstGeom prst="rect">
                      <a:avLst/>
                    </a:prstGeom>
                  </pic:spPr>
                </pic:pic>
              </a:graphicData>
            </a:graphic>
          </wp:anchor>
        </w:drawing>
      </w:r>
      <w:r>
        <w:rPr>
          <w:sz w:val="43"/>
          <w:szCs w:val="43"/>
          <w:b/>
          <w:bCs/>
          <w:spacing w:val="4"/>
        </w:rPr>
        <w:t>隆德县推进基层整合审批服务执法力量工作任务清单</w:t>
      </w:r>
    </w:p>
    <w:tbl>
      <w:tblPr>
        <w:tblStyle w:val="TableNormal"/>
        <w:tblW w:w="13767"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34"/>
        <w:gridCol w:w="1128"/>
        <w:gridCol w:w="4229"/>
        <w:gridCol w:w="3242"/>
        <w:gridCol w:w="1204"/>
        <w:gridCol w:w="1204"/>
        <w:gridCol w:w="1056"/>
        <w:gridCol w:w="1170"/>
      </w:tblGrid>
      <w:tr>
        <w:trPr>
          <w:trHeight w:val="739" w:hRule="atLeast"/>
        </w:trPr>
        <w:tc>
          <w:tcPr>
            <w:tcW w:w="534" w:type="dxa"/>
            <w:vAlign w:val="top"/>
            <w:tcBorders>
              <w:left w:val="single" w:color="000000" w:sz="6" w:space="0"/>
              <w:top w:val="single" w:color="000000" w:sz="6" w:space="0"/>
            </w:tcBorders>
          </w:tcPr>
          <w:p>
            <w:pPr>
              <w:pStyle w:val="TableText"/>
              <w:ind w:left="81"/>
              <w:spacing w:before="289" w:line="214" w:lineRule="auto"/>
              <w:rPr/>
            </w:pPr>
            <w:r>
              <w:rPr>
                <w:b/>
                <w:bCs/>
                <w:spacing w:val="-4"/>
              </w:rPr>
              <w:t>序号</w:t>
            </w:r>
          </w:p>
        </w:tc>
        <w:tc>
          <w:tcPr>
            <w:tcW w:w="1128" w:type="dxa"/>
            <w:vAlign w:val="top"/>
            <w:tcBorders>
              <w:top w:val="single" w:color="000000" w:sz="6" w:space="0"/>
            </w:tcBorders>
          </w:tcPr>
          <w:p>
            <w:pPr>
              <w:pStyle w:val="TableText"/>
              <w:ind w:left="202"/>
              <w:spacing w:before="289" w:line="213" w:lineRule="auto"/>
              <w:rPr/>
            </w:pPr>
            <w:r>
              <w:rPr>
                <w:b/>
                <w:bCs/>
                <w:spacing w:val="-4"/>
              </w:rPr>
              <w:t>主要任务</w:t>
            </w:r>
          </w:p>
        </w:tc>
        <w:tc>
          <w:tcPr>
            <w:tcW w:w="4229" w:type="dxa"/>
            <w:vAlign w:val="top"/>
            <w:tcBorders>
              <w:top w:val="single" w:color="000000" w:sz="6" w:space="0"/>
            </w:tcBorders>
          </w:tcPr>
          <w:p>
            <w:pPr>
              <w:pStyle w:val="TableText"/>
              <w:ind w:left="1752"/>
              <w:spacing w:before="291" w:line="211" w:lineRule="auto"/>
              <w:rPr/>
            </w:pPr>
            <w:r>
              <w:rPr>
                <w:b/>
                <w:bCs/>
                <w:spacing w:val="-3"/>
              </w:rPr>
              <w:t>推进措施</w:t>
            </w:r>
          </w:p>
        </w:tc>
        <w:tc>
          <w:tcPr>
            <w:tcW w:w="3242" w:type="dxa"/>
            <w:vAlign w:val="top"/>
            <w:tcBorders>
              <w:top w:val="single" w:color="000000" w:sz="6" w:space="0"/>
            </w:tcBorders>
          </w:tcPr>
          <w:p>
            <w:pPr>
              <w:pStyle w:val="TableText"/>
              <w:ind w:left="1264"/>
              <w:spacing w:before="291" w:line="211" w:lineRule="auto"/>
              <w:rPr/>
            </w:pPr>
            <w:r>
              <w:rPr>
                <w:b/>
                <w:bCs/>
                <w:spacing w:val="-4"/>
              </w:rPr>
              <w:t>预期目标</w:t>
            </w:r>
          </w:p>
        </w:tc>
        <w:tc>
          <w:tcPr>
            <w:tcW w:w="1204" w:type="dxa"/>
            <w:vAlign w:val="top"/>
            <w:tcBorders>
              <w:top w:val="single" w:color="000000" w:sz="6" w:space="0"/>
            </w:tcBorders>
          </w:tcPr>
          <w:p>
            <w:pPr>
              <w:pStyle w:val="TableText"/>
              <w:ind w:left="246"/>
              <w:spacing w:before="289" w:line="213" w:lineRule="auto"/>
              <w:rPr/>
            </w:pPr>
            <w:r>
              <w:rPr>
                <w:b/>
                <w:bCs/>
                <w:spacing w:val="-3"/>
              </w:rPr>
              <w:t>责任领导</w:t>
            </w:r>
          </w:p>
        </w:tc>
        <w:tc>
          <w:tcPr>
            <w:tcW w:w="1204" w:type="dxa"/>
            <w:vAlign w:val="top"/>
            <w:tcBorders>
              <w:top w:val="single" w:color="000000" w:sz="6" w:space="0"/>
            </w:tcBorders>
          </w:tcPr>
          <w:p>
            <w:pPr>
              <w:pStyle w:val="TableText"/>
              <w:ind w:left="246"/>
              <w:spacing w:before="290" w:line="212" w:lineRule="auto"/>
              <w:rPr/>
            </w:pPr>
            <w:r>
              <w:rPr>
                <w:b/>
                <w:bCs/>
                <w:spacing w:val="-3"/>
              </w:rPr>
              <w:t>牵头单位</w:t>
            </w:r>
          </w:p>
        </w:tc>
        <w:tc>
          <w:tcPr>
            <w:tcW w:w="1056" w:type="dxa"/>
            <w:vAlign w:val="top"/>
            <w:tcBorders>
              <w:top w:val="single" w:color="000000" w:sz="6" w:space="0"/>
            </w:tcBorders>
          </w:tcPr>
          <w:p>
            <w:pPr>
              <w:pStyle w:val="TableText"/>
              <w:ind w:left="173"/>
              <w:spacing w:before="289" w:line="214" w:lineRule="auto"/>
              <w:rPr/>
            </w:pPr>
            <w:r>
              <w:rPr>
                <w:b/>
                <w:bCs/>
                <w:spacing w:val="-3"/>
              </w:rPr>
              <w:t>实施单位</w:t>
            </w:r>
          </w:p>
        </w:tc>
        <w:tc>
          <w:tcPr>
            <w:tcW w:w="1170" w:type="dxa"/>
            <w:vAlign w:val="top"/>
            <w:tcBorders>
              <w:right w:val="single" w:color="000000" w:sz="6" w:space="0"/>
              <w:top w:val="single" w:color="000000" w:sz="6" w:space="0"/>
            </w:tcBorders>
          </w:tcPr>
          <w:p>
            <w:pPr>
              <w:pStyle w:val="TableText"/>
              <w:ind w:left="226"/>
              <w:spacing w:before="291" w:line="211" w:lineRule="auto"/>
              <w:rPr/>
            </w:pPr>
            <w:r>
              <w:rPr>
                <w:b/>
                <w:bCs/>
                <w:spacing w:val="-3"/>
              </w:rPr>
              <w:t>完成时限</w:t>
            </w:r>
          </w:p>
        </w:tc>
      </w:tr>
      <w:tr>
        <w:trPr>
          <w:trHeight w:val="3597" w:hRule="atLeast"/>
        </w:trPr>
        <w:tc>
          <w:tcPr>
            <w:tcW w:w="534" w:type="dxa"/>
            <w:vAlign w:val="top"/>
            <w:tcBorders>
              <w:left w:val="single" w:color="000000" w:sz="6" w:space="0"/>
            </w:tcBorders>
          </w:tcPr>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231"/>
              <w:spacing w:before="59" w:line="261" w:lineRule="exact"/>
              <w:rPr/>
            </w:pPr>
            <w:r>
              <w:rPr>
                <w:position w:val="1"/>
              </w:rPr>
              <w:t>1</w:t>
            </w:r>
          </w:p>
        </w:tc>
        <w:tc>
          <w:tcPr>
            <w:tcW w:w="1128" w:type="dxa"/>
            <w:vAlign w:val="top"/>
          </w:tcPr>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96" w:right="26" w:hanging="180"/>
              <w:spacing w:before="58" w:line="287" w:lineRule="auto"/>
              <w:rPr/>
            </w:pPr>
            <w:r>
              <w:rPr>
                <w:spacing w:val="-1"/>
              </w:rPr>
              <w:t>统筹优化乡镇</w:t>
            </w:r>
            <w:r>
              <w:rPr>
                <w:spacing w:val="-2"/>
              </w:rPr>
              <w:t>机构设置</w:t>
            </w:r>
          </w:p>
        </w:tc>
        <w:tc>
          <w:tcPr>
            <w:tcW w:w="4229" w:type="dxa"/>
            <w:vAlign w:val="top"/>
          </w:tcPr>
          <w:p>
            <w:pPr>
              <w:spacing w:line="276" w:lineRule="auto"/>
              <w:rPr>
                <w:rFonts w:ascii="Arial"/>
                <w:sz w:val="21"/>
              </w:rPr>
            </w:pPr>
            <w:r/>
          </w:p>
          <w:p>
            <w:pPr>
              <w:pStyle w:val="TableText"/>
              <w:ind w:left="11" w:right="12" w:firstLine="14"/>
              <w:spacing w:before="58" w:line="277" w:lineRule="auto"/>
              <w:rPr/>
            </w:pPr>
            <w:r>
              <w:rPr>
                <w:spacing w:val="-6"/>
              </w:rPr>
              <w:t>1.制定《隆德县推进基层整合审批服务执法力量实施方</w:t>
            </w:r>
            <w:r>
              <w:rPr>
                <w:spacing w:val="-1"/>
              </w:rPr>
              <w:t>案》，按规程提交县委常委会研究、报市委审批。</w:t>
            </w:r>
          </w:p>
          <w:p>
            <w:pPr>
              <w:pStyle w:val="TableText"/>
              <w:ind w:left="11" w:right="120"/>
              <w:spacing w:before="60" w:line="262" w:lineRule="auto"/>
              <w:rPr/>
            </w:pPr>
            <w:r>
              <w:rPr>
                <w:spacing w:val="-3"/>
              </w:rPr>
              <w:t>2.召开隆德县推进基层整合审批服务执法力量工作动</w:t>
            </w:r>
            <w:r>
              <w:rPr>
                <w:spacing w:val="-1"/>
              </w:rPr>
              <w:t>员会，安排部署改革任务。</w:t>
            </w:r>
          </w:p>
          <w:p>
            <w:pPr>
              <w:pStyle w:val="TableText"/>
              <w:ind w:left="14" w:right="12"/>
              <w:spacing w:before="88" w:line="277" w:lineRule="auto"/>
              <w:rPr/>
            </w:pPr>
            <w:r>
              <w:rPr>
                <w:spacing w:val="-5"/>
              </w:rPr>
              <w:t>3.印发《关于推进基层整合审批服务执法力量</w:t>
            </w:r>
            <w:r>
              <w:rPr>
                <w:spacing w:val="-6"/>
              </w:rPr>
              <w:t>工作中职</w:t>
            </w:r>
            <w:r>
              <w:rPr>
                <w:spacing w:val="-1"/>
              </w:rPr>
              <w:t>能调整、机构设置和人员编制等有关事项的通知》。</w:t>
            </w:r>
          </w:p>
          <w:p>
            <w:pPr>
              <w:pStyle w:val="TableText"/>
              <w:ind w:left="10" w:right="12" w:hanging="1"/>
              <w:spacing w:before="60" w:line="261" w:lineRule="auto"/>
              <w:rPr/>
            </w:pPr>
            <w:r>
              <w:rPr>
                <w:spacing w:val="-5"/>
              </w:rPr>
              <w:t>4.各乡镇上报乡镇机构改革具体方案，经县改革领导小</w:t>
            </w:r>
            <w:r>
              <w:rPr>
                <w:spacing w:val="-1"/>
              </w:rPr>
              <w:t>组审批后组织实施。</w:t>
            </w:r>
          </w:p>
          <w:p>
            <w:pPr>
              <w:pStyle w:val="TableText"/>
              <w:ind w:left="9" w:right="12" w:firstLine="2"/>
              <w:spacing w:before="90" w:line="262" w:lineRule="auto"/>
              <w:rPr/>
            </w:pPr>
            <w:r>
              <w:rPr>
                <w:spacing w:val="-5"/>
              </w:rPr>
              <w:t>5.制定并印发各乡镇职能配置、机构设置和人员编</w:t>
            </w:r>
            <w:r>
              <w:rPr>
                <w:spacing w:val="-6"/>
              </w:rPr>
              <w:t>制规</w:t>
            </w:r>
            <w:r>
              <w:rPr>
                <w:spacing w:val="-1"/>
              </w:rPr>
              <w:t>定方案。</w:t>
            </w:r>
          </w:p>
        </w:tc>
        <w:tc>
          <w:tcPr>
            <w:tcW w:w="3242" w:type="dxa"/>
            <w:vAlign w:val="top"/>
          </w:tcPr>
          <w:p>
            <w:pPr>
              <w:spacing w:line="287" w:lineRule="auto"/>
              <w:rPr>
                <w:rFonts w:ascii="Arial"/>
                <w:sz w:val="21"/>
              </w:rPr>
            </w:pPr>
            <w:r/>
          </w:p>
          <w:p>
            <w:pPr>
              <w:spacing w:line="287" w:lineRule="auto"/>
              <w:rPr>
                <w:rFonts w:ascii="Arial"/>
                <w:sz w:val="21"/>
              </w:rPr>
            </w:pPr>
            <w:r/>
          </w:p>
          <w:p>
            <w:pPr>
              <w:pStyle w:val="TableText"/>
              <w:ind w:left="15" w:right="9" w:firstLine="16"/>
              <w:spacing w:before="59" w:line="277" w:lineRule="auto"/>
              <w:rPr/>
            </w:pPr>
            <w:r>
              <w:rPr>
                <w:spacing w:val="-3"/>
              </w:rPr>
              <w:t>1.通过思想动员、精心部署安排、加强组</w:t>
            </w:r>
            <w:r>
              <w:rPr>
                <w:spacing w:val="-2"/>
              </w:rPr>
              <w:t>织领导，确保推进基层整合审批服务执法</w:t>
            </w:r>
            <w:r>
              <w:rPr>
                <w:spacing w:val="-1"/>
              </w:rPr>
              <w:t>力量工作有序开展。</w:t>
            </w:r>
          </w:p>
          <w:p>
            <w:pPr>
              <w:pStyle w:val="TableText"/>
              <w:ind w:left="14" w:right="9" w:firstLine="1"/>
              <w:spacing w:before="89" w:line="277" w:lineRule="auto"/>
              <w:rPr/>
            </w:pPr>
            <w:r>
              <w:rPr>
                <w:spacing w:val="-2"/>
              </w:rPr>
              <w:t>2.适应乡镇工作特点及便民服务需要，强</w:t>
            </w:r>
            <w:r>
              <w:rPr>
                <w:spacing w:val="6"/>
              </w:rPr>
              <w:t>化乡镇党委领导作用</w:t>
            </w:r>
            <w:r>
              <w:rPr>
                <w:spacing w:val="-45"/>
              </w:rPr>
              <w:t xml:space="preserve"> </w:t>
            </w:r>
            <w:r>
              <w:rPr>
                <w:spacing w:val="6"/>
              </w:rPr>
              <w:t>，构建更好服务群</w:t>
            </w:r>
            <w:r>
              <w:rPr>
                <w:spacing w:val="-1"/>
              </w:rPr>
              <w:t>众、简约高效的基层组织构架。</w:t>
            </w:r>
          </w:p>
          <w:p>
            <w:pPr>
              <w:pStyle w:val="TableText"/>
              <w:ind w:left="14" w:right="9" w:firstLine="4"/>
              <w:spacing w:before="89" w:line="262" w:lineRule="auto"/>
              <w:rPr/>
            </w:pPr>
            <w:r>
              <w:rPr>
                <w:spacing w:val="-2"/>
              </w:rPr>
              <w:t>3.乡镇统一组建党建工作办公室，加强基</w:t>
            </w:r>
            <w:r>
              <w:rPr>
                <w:spacing w:val="-1"/>
              </w:rPr>
              <w:t>层党建工作。</w:t>
            </w:r>
          </w:p>
        </w:tc>
        <w:tc>
          <w:tcPr>
            <w:tcW w:w="1204" w:type="dxa"/>
            <w:vAlign w:val="top"/>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334"/>
              <w:spacing w:before="59" w:line="210" w:lineRule="auto"/>
              <w:rPr/>
            </w:pPr>
            <w:r>
              <w:rPr>
                <w:spacing w:val="-2"/>
              </w:rPr>
              <w:t>徐</w:t>
            </w:r>
            <w:r>
              <w:rPr>
                <w:spacing w:val="3"/>
              </w:rPr>
              <w:t xml:space="preserve">  </w:t>
            </w:r>
            <w:r>
              <w:rPr>
                <w:spacing w:val="-2"/>
              </w:rPr>
              <w:t>虎</w:t>
            </w:r>
          </w:p>
        </w:tc>
        <w:tc>
          <w:tcPr>
            <w:tcW w:w="1204"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245" w:right="75" w:hanging="180"/>
              <w:spacing w:before="58" w:line="288" w:lineRule="auto"/>
              <w:rPr/>
            </w:pPr>
            <w:r>
              <w:rPr>
                <w:spacing w:val="-5"/>
              </w:rPr>
              <w:t>县委组织部、</w:t>
            </w:r>
            <w:r>
              <w:rPr>
                <w:spacing w:val="-2"/>
              </w:rPr>
              <w:t>县委编办</w:t>
            </w:r>
          </w:p>
        </w:tc>
        <w:tc>
          <w:tcPr>
            <w:tcW w:w="1056" w:type="dxa"/>
            <w:vAlign w:val="top"/>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261"/>
              <w:spacing w:before="58" w:line="211" w:lineRule="auto"/>
              <w:rPr/>
            </w:pPr>
            <w:r>
              <w:rPr>
                <w:spacing w:val="-2"/>
              </w:rPr>
              <w:t>各乡镇</w:t>
            </w:r>
          </w:p>
        </w:tc>
        <w:tc>
          <w:tcPr>
            <w:tcW w:w="1170" w:type="dxa"/>
            <w:vAlign w:val="top"/>
            <w:tcBorders>
              <w:right w:val="single" w:color="000000" w:sz="6" w:space="0"/>
            </w:tcBorders>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248" w:right="102" w:hanging="28"/>
              <w:spacing w:before="58" w:line="288" w:lineRule="auto"/>
              <w:rPr/>
            </w:pPr>
            <w:r>
              <w:rPr>
                <w:spacing w:val="-6"/>
              </w:rPr>
              <w:t>1</w:t>
            </w:r>
            <w:r>
              <w:rPr>
                <w:spacing w:val="-37"/>
              </w:rPr>
              <w:t xml:space="preserve"> </w:t>
            </w:r>
            <w:r>
              <w:rPr>
                <w:spacing w:val="-6"/>
              </w:rPr>
              <w:t>月上旬—</w:t>
            </w:r>
            <w:r>
              <w:rPr/>
              <w:t xml:space="preserve"> </w:t>
            </w:r>
            <w:r>
              <w:rPr>
                <w:spacing w:val="-3"/>
              </w:rPr>
              <w:t>2</w:t>
            </w:r>
            <w:r>
              <w:rPr>
                <w:spacing w:val="-39"/>
              </w:rPr>
              <w:t xml:space="preserve"> </w:t>
            </w:r>
            <w:r>
              <w:rPr>
                <w:spacing w:val="-3"/>
              </w:rPr>
              <w:t>月中旬</w:t>
            </w:r>
          </w:p>
        </w:tc>
      </w:tr>
      <w:tr>
        <w:trPr>
          <w:trHeight w:val="3317" w:hRule="atLeast"/>
        </w:trPr>
        <w:tc>
          <w:tcPr>
            <w:tcW w:w="534" w:type="dxa"/>
            <w:vAlign w:val="top"/>
            <w:tcBorders>
              <w:left w:val="single" w:color="000000" w:sz="6" w:space="0"/>
              <w:bottom w:val="single" w:color="000000" w:sz="6" w:space="0"/>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216"/>
              <w:spacing w:before="59" w:line="261" w:lineRule="exact"/>
              <w:rPr/>
            </w:pPr>
            <w:r>
              <w:rPr>
                <w:position w:val="1"/>
              </w:rPr>
              <w:t>2</w:t>
            </w:r>
          </w:p>
        </w:tc>
        <w:tc>
          <w:tcPr>
            <w:tcW w:w="1128" w:type="dxa"/>
            <w:vAlign w:val="top"/>
            <w:tcBorders>
              <w:bottom w:val="single" w:color="000000" w:sz="6" w:space="0"/>
            </w:tcBorders>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196" w:right="26" w:hanging="181"/>
              <w:spacing w:before="58" w:line="288" w:lineRule="auto"/>
              <w:rPr/>
            </w:pPr>
            <w:r>
              <w:rPr>
                <w:spacing w:val="-1"/>
              </w:rPr>
              <w:t>调整乡镇站所</w:t>
            </w:r>
            <w:r>
              <w:rPr>
                <w:spacing w:val="-2"/>
              </w:rPr>
              <w:t>管理体制</w:t>
            </w:r>
          </w:p>
        </w:tc>
        <w:tc>
          <w:tcPr>
            <w:tcW w:w="4229" w:type="dxa"/>
            <w:vAlign w:val="top"/>
            <w:tcBorders>
              <w:bottom w:val="single" w:color="000000" w:sz="6" w:space="0"/>
            </w:tcBorders>
          </w:tcPr>
          <w:p>
            <w:pPr>
              <w:spacing w:line="297" w:lineRule="auto"/>
              <w:rPr>
                <w:rFonts w:ascii="Arial"/>
                <w:sz w:val="21"/>
              </w:rPr>
            </w:pPr>
            <w:r/>
          </w:p>
          <w:p>
            <w:pPr>
              <w:spacing w:line="297" w:lineRule="auto"/>
              <w:rPr>
                <w:rFonts w:ascii="Arial"/>
                <w:sz w:val="21"/>
              </w:rPr>
            </w:pPr>
            <w:r/>
          </w:p>
          <w:p>
            <w:pPr>
              <w:pStyle w:val="TableText"/>
              <w:ind w:left="11" w:right="12" w:firstLine="15"/>
              <w:spacing w:before="58" w:line="262" w:lineRule="auto"/>
              <w:rPr/>
            </w:pPr>
            <w:r>
              <w:rPr>
                <w:spacing w:val="-6"/>
              </w:rPr>
              <w:t>1.研究乡镇站所人员转隶事项，划转涉改单位编制和人</w:t>
            </w:r>
            <w:r>
              <w:rPr>
                <w:spacing w:val="-1"/>
              </w:rPr>
              <w:t>员人事工资关系。</w:t>
            </w:r>
          </w:p>
          <w:p>
            <w:pPr>
              <w:pStyle w:val="TableText"/>
              <w:ind w:left="11"/>
              <w:spacing w:before="89" w:line="240" w:lineRule="exact"/>
              <w:rPr/>
            </w:pPr>
            <w:r>
              <w:rPr>
                <w:spacing w:val="-4"/>
                <w:position w:val="1"/>
              </w:rPr>
              <w:t>2.各乡镇完成“五办四中心”挂牌。</w:t>
            </w:r>
          </w:p>
          <w:p>
            <w:pPr>
              <w:pStyle w:val="TableText"/>
              <w:ind w:left="11" w:right="12" w:firstLine="3"/>
              <w:spacing w:before="59" w:line="277" w:lineRule="auto"/>
              <w:rPr/>
            </w:pPr>
            <w:r>
              <w:rPr>
                <w:spacing w:val="-5"/>
              </w:rPr>
              <w:t>3.理顺乡镇站所管理体制，整合下放到乡镇的</w:t>
            </w:r>
            <w:r>
              <w:rPr>
                <w:spacing w:val="-6"/>
              </w:rPr>
              <w:t>机构和人</w:t>
            </w:r>
            <w:r>
              <w:rPr>
                <w:spacing w:val="-1"/>
              </w:rPr>
              <w:t>员，实行以乡镇管理为主、上级业务部门进行业务指</w:t>
            </w:r>
            <w:r>
              <w:rPr>
                <w:spacing w:val="-1"/>
              </w:rPr>
              <w:t>导的管理体制。</w:t>
            </w:r>
          </w:p>
          <w:p>
            <w:pPr>
              <w:pStyle w:val="TableText"/>
              <w:ind w:left="9"/>
              <w:spacing w:before="89" w:line="241" w:lineRule="exact"/>
              <w:rPr/>
            </w:pPr>
            <w:r>
              <w:rPr>
                <w:spacing w:val="-4"/>
                <w:position w:val="1"/>
              </w:rPr>
              <w:t>4.畜牧兽医站继续实行现行体制。</w:t>
            </w:r>
          </w:p>
        </w:tc>
        <w:tc>
          <w:tcPr>
            <w:tcW w:w="3242" w:type="dxa"/>
            <w:vAlign w:val="top"/>
            <w:tcBorders>
              <w:bottom w:val="single" w:color="000000" w:sz="6" w:space="0"/>
            </w:tcBorders>
          </w:tcPr>
          <w:p>
            <w:pPr>
              <w:spacing w:line="296" w:lineRule="auto"/>
              <w:rPr>
                <w:rFonts w:ascii="Arial"/>
                <w:sz w:val="21"/>
              </w:rPr>
            </w:pPr>
            <w:r/>
          </w:p>
          <w:p>
            <w:pPr>
              <w:spacing w:line="297" w:lineRule="auto"/>
              <w:rPr>
                <w:rFonts w:ascii="Arial"/>
                <w:sz w:val="21"/>
              </w:rPr>
            </w:pPr>
            <w:r/>
          </w:p>
          <w:p>
            <w:pPr>
              <w:pStyle w:val="TableText"/>
              <w:ind w:left="17" w:right="9" w:firstLine="13"/>
              <w:spacing w:before="58" w:line="278" w:lineRule="auto"/>
              <w:rPr/>
            </w:pPr>
            <w:r>
              <w:rPr>
                <w:spacing w:val="-5"/>
              </w:rPr>
              <w:t>1.</w:t>
            </w:r>
            <w:r>
              <w:rPr>
                <w:spacing w:val="-45"/>
              </w:rPr>
              <w:t xml:space="preserve"> </w:t>
            </w:r>
            <w:r>
              <w:rPr>
                <w:spacing w:val="-5"/>
              </w:rPr>
              <w:t>自然资源、水务、农业农村等部门派驻</w:t>
            </w:r>
            <w:r>
              <w:rPr>
                <w:spacing w:val="-2"/>
              </w:rPr>
              <w:t>乡镇站所的编制及人、财、物移交到位，</w:t>
            </w:r>
            <w:r>
              <w:rPr>
                <w:spacing w:val="-1"/>
              </w:rPr>
              <w:t>实现权责一致，压实属地责任。</w:t>
            </w:r>
          </w:p>
          <w:p>
            <w:pPr>
              <w:pStyle w:val="TableText"/>
              <w:ind w:left="16"/>
              <w:spacing w:before="87" w:line="240" w:lineRule="exact"/>
              <w:rPr/>
            </w:pPr>
            <w:r>
              <w:rPr>
                <w:spacing w:val="-3"/>
                <w:position w:val="1"/>
              </w:rPr>
              <w:t>2.农业技术推广服务机构实现综合设置。</w:t>
            </w:r>
          </w:p>
          <w:p>
            <w:pPr>
              <w:pStyle w:val="TableText"/>
              <w:ind w:left="15" w:right="9" w:firstLine="3"/>
              <w:spacing w:before="60" w:line="277" w:lineRule="auto"/>
              <w:rPr/>
            </w:pPr>
            <w:r>
              <w:rPr>
                <w:spacing w:val="-2"/>
              </w:rPr>
              <w:t>3.通过调整理顺管理体制，推动治理重心</w:t>
            </w:r>
            <w:r>
              <w:rPr>
                <w:spacing w:val="-2"/>
              </w:rPr>
              <w:t>下移、资源下沉，全面提升基层治理能力</w:t>
            </w:r>
            <w:r>
              <w:rPr>
                <w:spacing w:val="-1"/>
              </w:rPr>
              <w:t>和公共服务水平。</w:t>
            </w:r>
          </w:p>
        </w:tc>
        <w:tc>
          <w:tcPr>
            <w:tcW w:w="1204" w:type="dxa"/>
            <w:vAlign w:val="top"/>
            <w:tcBorders>
              <w:bottom w:val="single" w:color="000000" w:sz="6" w:space="0"/>
            </w:tcBorders>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334"/>
              <w:spacing w:before="59" w:line="210" w:lineRule="auto"/>
              <w:rPr/>
            </w:pPr>
            <w:r>
              <w:rPr>
                <w:spacing w:val="-2"/>
              </w:rPr>
              <w:t>徐</w:t>
            </w:r>
            <w:r>
              <w:rPr>
                <w:spacing w:val="3"/>
              </w:rPr>
              <w:t xml:space="preserve">  </w:t>
            </w:r>
            <w:r>
              <w:rPr>
                <w:spacing w:val="-2"/>
              </w:rPr>
              <w:t>虎</w:t>
            </w:r>
          </w:p>
        </w:tc>
        <w:tc>
          <w:tcPr>
            <w:tcW w:w="1204" w:type="dxa"/>
            <w:vAlign w:val="top"/>
            <w:tcBorders>
              <w:bottom w:val="single" w:color="000000" w:sz="6" w:space="0"/>
            </w:tcBorders>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245"/>
              <w:spacing w:before="59" w:line="208" w:lineRule="auto"/>
              <w:rPr/>
            </w:pPr>
            <w:r>
              <w:rPr>
                <w:spacing w:val="-2"/>
              </w:rPr>
              <w:t>县委编办</w:t>
            </w:r>
          </w:p>
        </w:tc>
        <w:tc>
          <w:tcPr>
            <w:tcW w:w="1056" w:type="dxa"/>
            <w:vAlign w:val="top"/>
            <w:tcBorders>
              <w:bottom w:val="single" w:color="000000" w:sz="6" w:space="0"/>
            </w:tcBorders>
          </w:tcPr>
          <w:p>
            <w:pPr>
              <w:spacing w:line="312" w:lineRule="auto"/>
              <w:rPr>
                <w:rFonts w:ascii="Arial"/>
                <w:sz w:val="21"/>
              </w:rPr>
            </w:pPr>
            <w:r/>
          </w:p>
          <w:p>
            <w:pPr>
              <w:spacing w:line="312" w:lineRule="auto"/>
              <w:rPr>
                <w:rFonts w:ascii="Arial"/>
                <w:sz w:val="21"/>
              </w:rPr>
            </w:pPr>
            <w:r/>
          </w:p>
          <w:p>
            <w:pPr>
              <w:spacing w:line="313" w:lineRule="auto"/>
              <w:rPr>
                <w:rFonts w:ascii="Arial"/>
                <w:sz w:val="21"/>
              </w:rPr>
            </w:pPr>
            <w:r/>
          </w:p>
          <w:p>
            <w:pPr>
              <w:pStyle w:val="TableText"/>
              <w:ind w:left="171"/>
              <w:spacing w:before="58" w:line="211" w:lineRule="auto"/>
              <w:rPr/>
            </w:pPr>
            <w:r>
              <w:rPr>
                <w:spacing w:val="-2"/>
              </w:rPr>
              <w:t>财政局、</w:t>
            </w:r>
          </w:p>
          <w:p>
            <w:pPr>
              <w:pStyle w:val="TableText"/>
              <w:ind w:left="169"/>
              <w:spacing w:before="76" w:line="204" w:lineRule="auto"/>
              <w:rPr/>
            </w:pPr>
            <w:r>
              <w:rPr>
                <w:spacing w:val="-1"/>
              </w:rPr>
              <w:t>人社局、</w:t>
            </w:r>
          </w:p>
          <w:p>
            <w:pPr>
              <w:pStyle w:val="TableText"/>
              <w:spacing w:before="77" w:line="213" w:lineRule="auto"/>
              <w:jc w:val="right"/>
              <w:rPr/>
            </w:pPr>
            <w:r>
              <w:rPr>
                <w:spacing w:val="-15"/>
              </w:rPr>
              <w:t>自然资源局、</w:t>
            </w:r>
          </w:p>
          <w:p>
            <w:pPr>
              <w:pStyle w:val="TableText"/>
              <w:spacing w:before="74" w:line="212" w:lineRule="auto"/>
              <w:jc w:val="right"/>
              <w:rPr/>
            </w:pPr>
            <w:r>
              <w:rPr>
                <w:spacing w:val="-9"/>
              </w:rPr>
              <w:t>农业农村局，</w:t>
            </w:r>
          </w:p>
          <w:p>
            <w:pPr>
              <w:pStyle w:val="TableText"/>
              <w:ind w:left="261"/>
              <w:spacing w:before="71" w:line="210" w:lineRule="auto"/>
              <w:rPr/>
            </w:pPr>
            <w:r>
              <w:rPr>
                <w:spacing w:val="-1"/>
              </w:rPr>
              <w:t>水务局</w:t>
            </w:r>
          </w:p>
        </w:tc>
        <w:tc>
          <w:tcPr>
            <w:tcW w:w="1170" w:type="dxa"/>
            <w:vAlign w:val="top"/>
            <w:tcBorders>
              <w:bottom w:val="single" w:color="000000" w:sz="6" w:space="0"/>
              <w:right w:val="single" w:color="000000" w:sz="6" w:space="0"/>
            </w:tcBorders>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251" w:right="102" w:hanging="46"/>
              <w:spacing w:before="58" w:line="288" w:lineRule="auto"/>
              <w:rPr/>
            </w:pPr>
            <w:r>
              <w:rPr>
                <w:spacing w:val="-3"/>
              </w:rPr>
              <w:t>2</w:t>
            </w:r>
            <w:r>
              <w:rPr>
                <w:spacing w:val="-37"/>
              </w:rPr>
              <w:t xml:space="preserve"> </w:t>
            </w:r>
            <w:r>
              <w:rPr>
                <w:spacing w:val="-3"/>
              </w:rPr>
              <w:t>月下旬—</w:t>
            </w:r>
            <w:r>
              <w:rPr/>
              <w:t xml:space="preserve"> </w:t>
            </w:r>
            <w:r>
              <w:rPr>
                <w:spacing w:val="-4"/>
              </w:rPr>
              <w:t>3</w:t>
            </w:r>
            <w:r>
              <w:rPr>
                <w:spacing w:val="-39"/>
              </w:rPr>
              <w:t xml:space="preserve"> </w:t>
            </w:r>
            <w:r>
              <w:rPr>
                <w:spacing w:val="-4"/>
              </w:rPr>
              <w:t>月中旬</w:t>
            </w:r>
          </w:p>
        </w:tc>
      </w:tr>
    </w:tbl>
    <w:p>
      <w:pPr>
        <w:ind w:left="11140"/>
        <w:spacing w:before="269" w:line="21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期//177</w:t>
      </w:r>
    </w:p>
    <w:p>
      <w:pPr>
        <w:spacing w:line="212" w:lineRule="auto"/>
        <w:sectPr>
          <w:headerReference w:type="default" r:id="rId388"/>
          <w:footerReference w:type="default" r:id="rId58"/>
          <w:pgSz w:w="16839" w:h="11906"/>
          <w:pgMar w:top="1767" w:right="1511" w:bottom="400" w:left="1527" w:header="1428" w:footer="0" w:gutter="0"/>
        </w:sectPr>
        <w:rPr>
          <w:rFonts w:ascii="Microsoft YaHei" w:hAnsi="Microsoft YaHei" w:eastAsia="Microsoft YaHei" w:cs="Microsoft YaHei"/>
          <w:sz w:val="20"/>
          <w:szCs w:val="20"/>
        </w:rPr>
      </w:pPr>
    </w:p>
    <w:p>
      <w:pPr>
        <w:spacing w:line="192" w:lineRule="exact"/>
        <w:rPr/>
      </w:pPr>
      <w:r>
        <w:drawing>
          <wp:anchor distT="0" distB="0" distL="0" distR="0" simplePos="0" relativeHeight="251934720"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782" name="IM 782"/>
            <wp:cNvGraphicFramePr/>
            <a:graphic>
              <a:graphicData uri="http://schemas.openxmlformats.org/drawingml/2006/picture">
                <pic:pic>
                  <pic:nvPicPr>
                    <pic:cNvPr id="782" name="IM 782"/>
                    <pic:cNvPicPr/>
                  </pic:nvPicPr>
                  <pic:blipFill>
                    <a:blip r:embed="rId393"/>
                    <a:stretch>
                      <a:fillRect/>
                    </a:stretch>
                  </pic:blipFill>
                  <pic:spPr>
                    <a:xfrm rot="0">
                      <a:off x="0" y="0"/>
                      <a:ext cx="8712200" cy="7620"/>
                    </a:xfrm>
                    <a:prstGeom prst="rect">
                      <a:avLst/>
                    </a:prstGeom>
                  </pic:spPr>
                </pic:pic>
              </a:graphicData>
            </a:graphic>
          </wp:anchor>
        </w:drawing>
      </w:r>
      <w:r/>
    </w:p>
    <w:tbl>
      <w:tblPr>
        <w:tblStyle w:val="TableNormal"/>
        <w:tblW w:w="13767"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34"/>
        <w:gridCol w:w="1128"/>
        <w:gridCol w:w="4229"/>
        <w:gridCol w:w="3242"/>
        <w:gridCol w:w="1204"/>
        <w:gridCol w:w="1204"/>
        <w:gridCol w:w="1056"/>
        <w:gridCol w:w="1170"/>
      </w:tblGrid>
      <w:tr>
        <w:trPr>
          <w:trHeight w:val="741" w:hRule="atLeast"/>
        </w:trPr>
        <w:tc>
          <w:tcPr>
            <w:tcW w:w="534" w:type="dxa"/>
            <w:vAlign w:val="top"/>
            <w:tcBorders>
              <w:left w:val="single" w:color="000000" w:sz="6" w:space="0"/>
              <w:top w:val="single" w:color="000000" w:sz="6" w:space="0"/>
            </w:tcBorders>
          </w:tcPr>
          <w:p>
            <w:pPr>
              <w:spacing w:line="241" w:lineRule="auto"/>
              <w:rPr>
                <w:rFonts w:ascii="Arial"/>
                <w:sz w:val="21"/>
              </w:rPr>
            </w:pPr>
            <w:r/>
          </w:p>
          <w:p>
            <w:pPr>
              <w:pStyle w:val="TableText"/>
              <w:ind w:left="81"/>
              <w:spacing w:before="58" w:line="214" w:lineRule="auto"/>
              <w:rPr/>
            </w:pPr>
            <w:r>
              <w:rPr>
                <w:b/>
                <w:bCs/>
                <w:spacing w:val="-4"/>
              </w:rPr>
              <w:t>序号</w:t>
            </w:r>
          </w:p>
        </w:tc>
        <w:tc>
          <w:tcPr>
            <w:tcW w:w="1128" w:type="dxa"/>
            <w:vAlign w:val="top"/>
            <w:tcBorders>
              <w:top w:val="single" w:color="000000" w:sz="6" w:space="0"/>
            </w:tcBorders>
          </w:tcPr>
          <w:p>
            <w:pPr>
              <w:spacing w:line="241" w:lineRule="auto"/>
              <w:rPr>
                <w:rFonts w:ascii="Arial"/>
                <w:sz w:val="21"/>
              </w:rPr>
            </w:pPr>
            <w:r/>
          </w:p>
          <w:p>
            <w:pPr>
              <w:pStyle w:val="TableText"/>
              <w:ind w:left="202"/>
              <w:spacing w:before="59" w:line="213" w:lineRule="auto"/>
              <w:rPr/>
            </w:pPr>
            <w:r>
              <w:rPr>
                <w:b/>
                <w:bCs/>
                <w:spacing w:val="-4"/>
              </w:rPr>
              <w:t>主要任务</w:t>
            </w:r>
          </w:p>
        </w:tc>
        <w:tc>
          <w:tcPr>
            <w:tcW w:w="4229" w:type="dxa"/>
            <w:vAlign w:val="top"/>
            <w:tcBorders>
              <w:top w:val="single" w:color="000000" w:sz="6" w:space="0"/>
            </w:tcBorders>
          </w:tcPr>
          <w:p>
            <w:pPr>
              <w:spacing w:line="243" w:lineRule="auto"/>
              <w:rPr>
                <w:rFonts w:ascii="Arial"/>
                <w:sz w:val="21"/>
              </w:rPr>
            </w:pPr>
            <w:r/>
          </w:p>
          <w:p>
            <w:pPr>
              <w:pStyle w:val="TableText"/>
              <w:ind w:left="1752"/>
              <w:spacing w:before="59" w:line="211" w:lineRule="auto"/>
              <w:rPr/>
            </w:pPr>
            <w:r>
              <w:rPr>
                <w:b/>
                <w:bCs/>
                <w:spacing w:val="-3"/>
              </w:rPr>
              <w:t>推进措施</w:t>
            </w:r>
          </w:p>
        </w:tc>
        <w:tc>
          <w:tcPr>
            <w:tcW w:w="3242" w:type="dxa"/>
            <w:vAlign w:val="top"/>
            <w:tcBorders>
              <w:top w:val="single" w:color="000000" w:sz="6" w:space="0"/>
            </w:tcBorders>
          </w:tcPr>
          <w:p>
            <w:pPr>
              <w:spacing w:line="242" w:lineRule="auto"/>
              <w:rPr>
                <w:rFonts w:ascii="Arial"/>
                <w:sz w:val="21"/>
              </w:rPr>
            </w:pPr>
            <w:r/>
          </w:p>
          <w:p>
            <w:pPr>
              <w:pStyle w:val="TableText"/>
              <w:ind w:left="1264"/>
              <w:spacing w:before="59" w:line="211" w:lineRule="auto"/>
              <w:rPr/>
            </w:pPr>
            <w:r>
              <w:rPr>
                <w:b/>
                <w:bCs/>
                <w:spacing w:val="-4"/>
              </w:rPr>
              <w:t>预期目标</w:t>
            </w:r>
          </w:p>
        </w:tc>
        <w:tc>
          <w:tcPr>
            <w:tcW w:w="1204" w:type="dxa"/>
            <w:vAlign w:val="top"/>
            <w:tcBorders>
              <w:top w:val="single" w:color="000000" w:sz="6" w:space="0"/>
            </w:tcBorders>
          </w:tcPr>
          <w:p>
            <w:pPr>
              <w:spacing w:line="241" w:lineRule="auto"/>
              <w:rPr>
                <w:rFonts w:ascii="Arial"/>
                <w:sz w:val="21"/>
              </w:rPr>
            </w:pPr>
            <w:r/>
          </w:p>
          <w:p>
            <w:pPr>
              <w:pStyle w:val="TableText"/>
              <w:ind w:left="246"/>
              <w:spacing w:before="59" w:line="213" w:lineRule="auto"/>
              <w:rPr/>
            </w:pPr>
            <w:r>
              <w:rPr>
                <w:b/>
                <w:bCs/>
                <w:spacing w:val="-3"/>
              </w:rPr>
              <w:t>责任领导</w:t>
            </w:r>
          </w:p>
        </w:tc>
        <w:tc>
          <w:tcPr>
            <w:tcW w:w="1204" w:type="dxa"/>
            <w:vAlign w:val="top"/>
            <w:tcBorders>
              <w:top w:val="single" w:color="000000" w:sz="6" w:space="0"/>
            </w:tcBorders>
          </w:tcPr>
          <w:p>
            <w:pPr>
              <w:spacing w:line="242" w:lineRule="auto"/>
              <w:rPr>
                <w:rFonts w:ascii="Arial"/>
                <w:sz w:val="21"/>
              </w:rPr>
            </w:pPr>
            <w:r/>
          </w:p>
          <w:p>
            <w:pPr>
              <w:pStyle w:val="TableText"/>
              <w:ind w:left="246"/>
              <w:spacing w:before="58" w:line="212" w:lineRule="auto"/>
              <w:rPr/>
            </w:pPr>
            <w:r>
              <w:rPr>
                <w:b/>
                <w:bCs/>
                <w:spacing w:val="-3"/>
              </w:rPr>
              <w:t>牵头单位</w:t>
            </w:r>
          </w:p>
        </w:tc>
        <w:tc>
          <w:tcPr>
            <w:tcW w:w="1056" w:type="dxa"/>
            <w:vAlign w:val="top"/>
            <w:tcBorders>
              <w:top w:val="single" w:color="000000" w:sz="6" w:space="0"/>
            </w:tcBorders>
          </w:tcPr>
          <w:p>
            <w:pPr>
              <w:spacing w:line="241" w:lineRule="auto"/>
              <w:rPr>
                <w:rFonts w:ascii="Arial"/>
                <w:sz w:val="21"/>
              </w:rPr>
            </w:pPr>
            <w:r/>
          </w:p>
          <w:p>
            <w:pPr>
              <w:pStyle w:val="TableText"/>
              <w:ind w:left="173"/>
              <w:spacing w:before="58" w:line="214" w:lineRule="auto"/>
              <w:rPr/>
            </w:pPr>
            <w:r>
              <w:rPr>
                <w:b/>
                <w:bCs/>
                <w:spacing w:val="-3"/>
              </w:rPr>
              <w:t>实施单位</w:t>
            </w:r>
          </w:p>
        </w:tc>
        <w:tc>
          <w:tcPr>
            <w:tcW w:w="1170" w:type="dxa"/>
            <w:vAlign w:val="top"/>
            <w:tcBorders>
              <w:right w:val="single" w:color="000000" w:sz="6" w:space="0"/>
              <w:top w:val="single" w:color="000000" w:sz="6" w:space="0"/>
            </w:tcBorders>
          </w:tcPr>
          <w:p>
            <w:pPr>
              <w:spacing w:line="242" w:lineRule="auto"/>
              <w:rPr>
                <w:rFonts w:ascii="Arial"/>
                <w:sz w:val="21"/>
              </w:rPr>
            </w:pPr>
            <w:r/>
          </w:p>
          <w:p>
            <w:pPr>
              <w:pStyle w:val="TableText"/>
              <w:ind w:left="226"/>
              <w:spacing w:before="59" w:line="211" w:lineRule="auto"/>
              <w:rPr/>
            </w:pPr>
            <w:r>
              <w:rPr>
                <w:b/>
                <w:bCs/>
                <w:spacing w:val="-3"/>
              </w:rPr>
              <w:t>完成时限</w:t>
            </w:r>
          </w:p>
        </w:tc>
      </w:tr>
      <w:tr>
        <w:trPr>
          <w:trHeight w:val="5155" w:hRule="atLeast"/>
        </w:trPr>
        <w:tc>
          <w:tcPr>
            <w:tcW w:w="534" w:type="dxa"/>
            <w:vAlign w:val="top"/>
            <w:tcBorders>
              <w:left w:val="single" w:color="000000" w:sz="6" w:space="0"/>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pStyle w:val="TableText"/>
              <w:ind w:left="219"/>
              <w:spacing w:before="58" w:line="261" w:lineRule="exact"/>
              <w:rPr/>
            </w:pPr>
            <w:r>
              <w:rPr>
                <w:position w:val="2"/>
              </w:rPr>
              <w:t>3</w:t>
            </w:r>
          </w:p>
        </w:tc>
        <w:tc>
          <w:tcPr>
            <w:tcW w:w="1128"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197" w:right="26" w:hanging="182"/>
              <w:spacing w:before="58" w:line="289" w:lineRule="auto"/>
              <w:rPr/>
            </w:pPr>
            <w:r>
              <w:rPr>
                <w:spacing w:val="-1"/>
              </w:rPr>
              <w:t>完善基层审批</w:t>
            </w:r>
            <w:r>
              <w:rPr>
                <w:spacing w:val="-2"/>
              </w:rPr>
              <w:t>服务体系</w:t>
            </w:r>
          </w:p>
        </w:tc>
        <w:tc>
          <w:tcPr>
            <w:tcW w:w="4229" w:type="dxa"/>
            <w:vAlign w:val="top"/>
          </w:tcPr>
          <w:p>
            <w:pPr>
              <w:spacing w:line="315" w:lineRule="auto"/>
              <w:rPr>
                <w:rFonts w:ascii="Arial"/>
                <w:sz w:val="21"/>
              </w:rPr>
            </w:pPr>
            <w:r/>
          </w:p>
          <w:p>
            <w:pPr>
              <w:pStyle w:val="TableText"/>
              <w:ind w:left="11" w:right="12" w:firstLine="15"/>
              <w:spacing w:before="58" w:line="264" w:lineRule="auto"/>
              <w:rPr/>
            </w:pPr>
            <w:r>
              <w:rPr>
                <w:spacing w:val="-6"/>
              </w:rPr>
              <w:t>1.完成对各乡镇民生服务中心、村（社区）便民服务中</w:t>
            </w:r>
            <w:r>
              <w:rPr>
                <w:spacing w:val="-1"/>
              </w:rPr>
              <w:t>心建设及运行情况调研工作，摸清各乡镇政务服务人</w:t>
            </w:r>
            <w:r>
              <w:rPr>
                <w:spacing w:val="-1"/>
              </w:rPr>
              <w:t>员及设施配备、事项进驻、网上办件情况。</w:t>
            </w:r>
          </w:p>
          <w:p>
            <w:pPr>
              <w:pStyle w:val="TableText"/>
              <w:ind w:left="11" w:right="12"/>
              <w:spacing w:before="67" w:line="252" w:lineRule="auto"/>
              <w:rPr/>
            </w:pPr>
            <w:r>
              <w:rPr>
                <w:spacing w:val="-5"/>
              </w:rPr>
              <w:t>2.完成下沉乡镇民生服务中心、村（社区）便民服务中</w:t>
            </w:r>
            <w:r>
              <w:rPr>
                <w:spacing w:val="-1"/>
              </w:rPr>
              <w:t>心网上办理便民服务事项清单梳理工作。</w:t>
            </w:r>
          </w:p>
          <w:p>
            <w:pPr>
              <w:pStyle w:val="TableText"/>
              <w:ind w:left="10" w:firstLine="4"/>
              <w:spacing w:before="71" w:line="270" w:lineRule="auto"/>
              <w:rPr/>
            </w:pPr>
            <w:r>
              <w:rPr>
                <w:spacing w:val="-8"/>
              </w:rPr>
              <w:t>3.整合基层行政审批和公共服务职责，各乡镇负责推进</w:t>
            </w:r>
            <w:r>
              <w:rPr>
                <w:spacing w:val="-5"/>
              </w:rPr>
              <w:t>民政、就业、卫健、社保、医保、残联、不动产登记、</w:t>
            </w:r>
            <w:r>
              <w:rPr>
                <w:spacing w:val="-3"/>
              </w:rPr>
              <w:t>乡村建设等行政审批、公共服务事项进驻乡镇民生服</w:t>
            </w:r>
            <w:r>
              <w:rPr>
                <w:spacing w:val="-3"/>
              </w:rPr>
              <w:t>务中心集中办理；逐步推进公安、市场监管、税务、</w:t>
            </w:r>
          </w:p>
          <w:p>
            <w:pPr>
              <w:pStyle w:val="TableText"/>
              <w:ind w:left="10"/>
              <w:spacing w:before="67" w:line="212" w:lineRule="auto"/>
              <w:rPr/>
            </w:pPr>
            <w:r>
              <w:rPr>
                <w:spacing w:val="-7"/>
              </w:rPr>
              <w:t>退役军人等相关服务事项进驻乡镇民生服务中心办理。</w:t>
            </w:r>
          </w:p>
          <w:p>
            <w:pPr>
              <w:pStyle w:val="TableText"/>
              <w:ind w:left="12" w:right="12" w:hanging="3"/>
              <w:spacing w:before="71" w:line="253" w:lineRule="auto"/>
              <w:rPr/>
            </w:pPr>
            <w:r>
              <w:rPr>
                <w:spacing w:val="-5"/>
              </w:rPr>
              <w:t>4.加强乡镇民生服务中心规范化、标准化建设，整合设</w:t>
            </w:r>
            <w:r>
              <w:rPr>
                <w:spacing w:val="-5"/>
              </w:rPr>
              <w:t>置“综合窗口”，在全县推行一窗无差别受理。</w:t>
            </w:r>
          </w:p>
          <w:p>
            <w:pPr>
              <w:pStyle w:val="TableText"/>
              <w:ind w:left="11" w:right="12" w:firstLine="1"/>
              <w:spacing w:before="65" w:line="270" w:lineRule="auto"/>
              <w:rPr/>
            </w:pPr>
            <w:r>
              <w:rPr>
                <w:spacing w:val="-5"/>
              </w:rPr>
              <w:t>5.依托自治区建设宁夏政务服务综合平台工程，大</w:t>
            </w:r>
            <w:r>
              <w:rPr>
                <w:spacing w:val="-6"/>
              </w:rPr>
              <w:t>幅提</w:t>
            </w:r>
            <w:r>
              <w:rPr>
                <w:spacing w:val="-1"/>
              </w:rPr>
              <w:t>升“宁夏政务服务网”的功能和应用水平，提高基层</w:t>
            </w:r>
            <w:r>
              <w:rPr>
                <w:spacing w:val="-1"/>
              </w:rPr>
              <w:t>网上“不见面”办件量，稳步推进“我的宁夏”政务</w:t>
            </w:r>
            <w:r>
              <w:rPr/>
              <w:t>APP</w:t>
            </w:r>
            <w:r>
              <w:rPr>
                <w:spacing w:val="-35"/>
              </w:rPr>
              <w:t xml:space="preserve"> </w:t>
            </w:r>
            <w:r>
              <w:rPr>
                <w:spacing w:val="2"/>
              </w:rPr>
              <w:t>扩能提效，实现“掌上代办”服务。</w:t>
            </w:r>
          </w:p>
        </w:tc>
        <w:tc>
          <w:tcPr>
            <w:tcW w:w="3242"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5" w:right="9" w:firstLine="16"/>
              <w:spacing w:before="58" w:line="261" w:lineRule="auto"/>
              <w:rPr/>
            </w:pPr>
            <w:r>
              <w:rPr>
                <w:spacing w:val="-12"/>
              </w:rPr>
              <w:t>1.通过整合设置乡镇“综合窗口”，推行一</w:t>
            </w:r>
            <w:r>
              <w:rPr>
                <w:spacing w:val="-2"/>
              </w:rPr>
              <w:t>窗受理、集成服务，基本实现各乡镇民生</w:t>
            </w:r>
            <w:r>
              <w:rPr>
                <w:spacing w:val="-2"/>
              </w:rPr>
              <w:t>服务中心面向企业和群众办理的事项“应</w:t>
            </w:r>
            <w:r>
              <w:rPr>
                <w:spacing w:val="-1"/>
              </w:rPr>
              <w:t>进必进”。</w:t>
            </w:r>
          </w:p>
          <w:p>
            <w:pPr>
              <w:pStyle w:val="TableText"/>
              <w:ind w:left="15" w:right="6" w:firstLine="1"/>
              <w:spacing w:before="55" w:line="261" w:lineRule="auto"/>
              <w:rPr/>
            </w:pPr>
            <w:r>
              <w:rPr>
                <w:spacing w:val="-2"/>
              </w:rPr>
              <w:t>2.完善宁夏政务服务网网上办事大厅，提</w:t>
            </w:r>
            <w:r>
              <w:rPr>
                <w:spacing w:val="-2"/>
              </w:rPr>
              <w:t>升宁夏政务服务网“一张网”功能，实现</w:t>
            </w:r>
            <w:r>
              <w:rPr>
                <w:spacing w:val="-2"/>
              </w:rPr>
              <w:t>政务服务事项“一网通办”，让“数据多</w:t>
            </w:r>
            <w:r>
              <w:rPr>
                <w:spacing w:val="-1"/>
              </w:rPr>
              <w:t>跑路、让群众少跑腿”。</w:t>
            </w:r>
          </w:p>
          <w:p>
            <w:pPr>
              <w:pStyle w:val="TableText"/>
              <w:ind w:left="15" w:right="9" w:firstLine="3"/>
              <w:spacing w:before="56" w:line="246" w:lineRule="auto"/>
              <w:rPr/>
            </w:pPr>
            <w:r>
              <w:rPr>
                <w:spacing w:val="-2"/>
              </w:rPr>
              <w:t>3.提升村级代办服务能力，努力实现简单</w:t>
            </w:r>
            <w:r>
              <w:rPr>
                <w:spacing w:val="-1"/>
              </w:rPr>
              <w:t>事项不出村、复杂事项可代办。</w:t>
            </w:r>
          </w:p>
        </w:tc>
        <w:tc>
          <w:tcPr>
            <w:tcW w:w="1204"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333"/>
              <w:spacing w:before="59" w:line="210" w:lineRule="auto"/>
              <w:rPr/>
            </w:pPr>
            <w:r>
              <w:rPr>
                <w:spacing w:val="-1"/>
              </w:rPr>
              <w:t>柳春梅</w:t>
            </w:r>
          </w:p>
        </w:tc>
        <w:tc>
          <w:tcPr>
            <w:tcW w:w="1204"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245"/>
              <w:spacing w:before="59" w:line="210" w:lineRule="auto"/>
              <w:rPr/>
            </w:pPr>
            <w:r>
              <w:rPr>
                <w:spacing w:val="-2"/>
              </w:rPr>
              <w:t>县审批局</w:t>
            </w:r>
          </w:p>
        </w:tc>
        <w:tc>
          <w:tcPr>
            <w:tcW w:w="1056" w:type="dxa"/>
            <w:vAlign w:val="top"/>
            <w:vMerge w:val="restart"/>
            <w:tcBorders>
              <w:bottom w:val="nil"/>
            </w:tcBorders>
          </w:tcPr>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169"/>
              <w:spacing w:before="59" w:line="208" w:lineRule="auto"/>
              <w:rPr/>
            </w:pPr>
            <w:r>
              <w:rPr>
                <w:spacing w:val="-1"/>
              </w:rPr>
              <w:t>公安局、</w:t>
            </w:r>
          </w:p>
          <w:p>
            <w:pPr>
              <w:pStyle w:val="TableText"/>
              <w:ind w:left="186"/>
              <w:spacing w:before="73" w:line="211" w:lineRule="auto"/>
              <w:rPr/>
            </w:pPr>
            <w:r>
              <w:rPr>
                <w:spacing w:val="-5"/>
              </w:rPr>
              <w:t>民政局、</w:t>
            </w:r>
          </w:p>
          <w:p>
            <w:pPr>
              <w:pStyle w:val="TableText"/>
              <w:ind w:left="169"/>
              <w:spacing w:before="78" w:line="204" w:lineRule="auto"/>
              <w:rPr/>
            </w:pPr>
            <w:r>
              <w:rPr>
                <w:spacing w:val="-1"/>
              </w:rPr>
              <w:t>人社局、</w:t>
            </w:r>
          </w:p>
          <w:p>
            <w:pPr>
              <w:pStyle w:val="TableText"/>
              <w:ind w:left="180"/>
              <w:spacing w:before="83" w:line="204" w:lineRule="auto"/>
              <w:rPr/>
            </w:pPr>
            <w:r>
              <w:rPr>
                <w:spacing w:val="-4"/>
              </w:rPr>
              <w:t>司法局、</w:t>
            </w:r>
          </w:p>
          <w:p>
            <w:pPr>
              <w:pStyle w:val="TableText"/>
              <w:spacing w:before="73" w:line="213" w:lineRule="auto"/>
              <w:jc w:val="right"/>
              <w:rPr/>
            </w:pPr>
            <w:r>
              <w:rPr>
                <w:spacing w:val="-15"/>
              </w:rPr>
              <w:t>自然资源局、</w:t>
            </w:r>
          </w:p>
          <w:p>
            <w:pPr>
              <w:pStyle w:val="TableText"/>
              <w:ind w:left="169"/>
              <w:spacing w:before="71" w:line="214" w:lineRule="auto"/>
              <w:rPr/>
            </w:pPr>
            <w:r>
              <w:rPr>
                <w:spacing w:val="-1"/>
              </w:rPr>
              <w:t>住建局、</w:t>
            </w:r>
          </w:p>
          <w:p>
            <w:pPr>
              <w:pStyle w:val="TableText"/>
              <w:ind w:left="169"/>
              <w:spacing w:before="75" w:line="210" w:lineRule="auto"/>
              <w:rPr/>
            </w:pPr>
            <w:r>
              <w:rPr>
                <w:spacing w:val="-1"/>
              </w:rPr>
              <w:t>水务局、</w:t>
            </w:r>
          </w:p>
          <w:p>
            <w:pPr>
              <w:pStyle w:val="TableText"/>
              <w:spacing w:before="74" w:line="209" w:lineRule="auto"/>
              <w:jc w:val="right"/>
              <w:rPr/>
            </w:pPr>
            <w:r>
              <w:rPr>
                <w:spacing w:val="-9"/>
              </w:rPr>
              <w:t>农业农村局、</w:t>
            </w:r>
          </w:p>
          <w:p>
            <w:pPr>
              <w:pStyle w:val="TableText"/>
              <w:ind w:left="170"/>
              <w:spacing w:before="79" w:line="208" w:lineRule="auto"/>
              <w:rPr/>
            </w:pPr>
            <w:r>
              <w:rPr>
                <w:spacing w:val="-1"/>
              </w:rPr>
              <w:t>卫健局、</w:t>
            </w:r>
          </w:p>
          <w:p>
            <w:pPr>
              <w:pStyle w:val="TableText"/>
              <w:ind w:left="81"/>
              <w:spacing w:before="75" w:line="210" w:lineRule="auto"/>
              <w:rPr/>
            </w:pPr>
            <w:r>
              <w:rPr>
                <w:spacing w:val="-1"/>
              </w:rPr>
              <w:t>退役军人事</w:t>
            </w:r>
          </w:p>
          <w:p>
            <w:pPr>
              <w:pStyle w:val="TableText"/>
              <w:ind w:left="261"/>
              <w:spacing w:before="76" w:line="207" w:lineRule="auto"/>
              <w:rPr/>
            </w:pPr>
            <w:r>
              <w:rPr>
                <w:spacing w:val="-2"/>
              </w:rPr>
              <w:t>务局、</w:t>
            </w:r>
          </w:p>
          <w:p>
            <w:pPr>
              <w:pStyle w:val="TableText"/>
              <w:ind w:left="171"/>
              <w:spacing w:before="78" w:line="210" w:lineRule="auto"/>
              <w:rPr/>
            </w:pPr>
            <w:r>
              <w:rPr>
                <w:spacing w:val="-2"/>
              </w:rPr>
              <w:t>市监局、</w:t>
            </w:r>
          </w:p>
          <w:p>
            <w:pPr>
              <w:pStyle w:val="TableText"/>
              <w:ind w:left="261" w:right="181" w:hanging="80"/>
              <w:spacing w:before="75" w:line="287" w:lineRule="auto"/>
              <w:rPr/>
            </w:pPr>
            <w:r>
              <w:rPr>
                <w:spacing w:val="-10"/>
              </w:rPr>
              <w:t>医保局、</w:t>
            </w:r>
            <w:r>
              <w:rPr>
                <w:spacing w:val="-2"/>
              </w:rPr>
              <w:t>残联、</w:t>
            </w:r>
          </w:p>
          <w:p>
            <w:pPr>
              <w:pStyle w:val="TableText"/>
              <w:ind w:left="261"/>
              <w:spacing w:line="212" w:lineRule="auto"/>
              <w:rPr/>
            </w:pPr>
            <w:r>
              <w:rPr>
                <w:spacing w:val="-1"/>
              </w:rPr>
              <w:t>妇联、</w:t>
            </w:r>
          </w:p>
          <w:p>
            <w:pPr>
              <w:pStyle w:val="TableText"/>
              <w:ind w:left="80"/>
              <w:spacing w:before="73" w:line="213" w:lineRule="auto"/>
              <w:rPr/>
            </w:pPr>
            <w:r>
              <w:rPr>
                <w:spacing w:val="-1"/>
              </w:rPr>
              <w:t>税务局等相</w:t>
            </w:r>
          </w:p>
          <w:p>
            <w:pPr>
              <w:pStyle w:val="TableText"/>
              <w:ind w:left="169"/>
              <w:spacing w:before="72" w:line="213" w:lineRule="auto"/>
              <w:rPr/>
            </w:pPr>
            <w:r>
              <w:rPr>
                <w:spacing w:val="-1"/>
              </w:rPr>
              <w:t>关部门，</w:t>
            </w:r>
          </w:p>
          <w:p>
            <w:pPr>
              <w:pStyle w:val="TableText"/>
              <w:ind w:left="261"/>
              <w:spacing w:before="72" w:line="211" w:lineRule="auto"/>
              <w:rPr/>
            </w:pPr>
            <w:r>
              <w:rPr>
                <w:spacing w:val="-2"/>
              </w:rPr>
              <w:t>各乡镇</w:t>
            </w:r>
          </w:p>
        </w:tc>
        <w:tc>
          <w:tcPr>
            <w:tcW w:w="1170" w:type="dxa"/>
            <w:vAlign w:val="top"/>
            <w:tcBorders>
              <w:right w:val="single" w:color="000000" w:sz="6" w:space="0"/>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249" w:right="102" w:hanging="41"/>
              <w:spacing w:before="58" w:line="288" w:lineRule="auto"/>
              <w:rPr/>
            </w:pPr>
            <w:r>
              <w:rPr>
                <w:spacing w:val="-3"/>
              </w:rPr>
              <w:t>3</w:t>
            </w:r>
            <w:r>
              <w:rPr>
                <w:spacing w:val="-39"/>
              </w:rPr>
              <w:t xml:space="preserve"> </w:t>
            </w:r>
            <w:r>
              <w:rPr>
                <w:spacing w:val="-3"/>
              </w:rPr>
              <w:t>月下旬—</w:t>
            </w:r>
            <w:r>
              <w:rPr/>
              <w:t xml:space="preserve"> </w:t>
            </w:r>
            <w:r>
              <w:rPr>
                <w:spacing w:val="-4"/>
              </w:rPr>
              <w:t>5</w:t>
            </w:r>
            <w:r>
              <w:rPr>
                <w:spacing w:val="-37"/>
              </w:rPr>
              <w:t xml:space="preserve"> </w:t>
            </w:r>
            <w:r>
              <w:rPr>
                <w:spacing w:val="-4"/>
              </w:rPr>
              <w:t>月中旬</w:t>
            </w:r>
          </w:p>
        </w:tc>
      </w:tr>
      <w:tr>
        <w:trPr>
          <w:trHeight w:val="2150" w:hRule="atLeast"/>
        </w:trPr>
        <w:tc>
          <w:tcPr>
            <w:tcW w:w="534" w:type="dxa"/>
            <w:vAlign w:val="top"/>
            <w:tcBorders>
              <w:left w:val="single" w:color="000000" w:sz="6" w:space="0"/>
              <w:bottom w:val="single" w:color="000000" w:sz="6" w:space="0"/>
            </w:tcBorders>
          </w:tcPr>
          <w:p>
            <w:pPr>
              <w:spacing w:line="303" w:lineRule="auto"/>
              <w:rPr>
                <w:rFonts w:ascii="Arial"/>
                <w:sz w:val="21"/>
              </w:rPr>
            </w:pPr>
            <w:r/>
          </w:p>
          <w:p>
            <w:pPr>
              <w:spacing w:line="304" w:lineRule="auto"/>
              <w:rPr>
                <w:rFonts w:ascii="Arial"/>
                <w:sz w:val="21"/>
              </w:rPr>
            </w:pPr>
            <w:r/>
          </w:p>
          <w:p>
            <w:pPr>
              <w:spacing w:line="304" w:lineRule="auto"/>
              <w:rPr>
                <w:rFonts w:ascii="Arial"/>
                <w:sz w:val="21"/>
              </w:rPr>
            </w:pPr>
            <w:r/>
          </w:p>
          <w:p>
            <w:pPr>
              <w:pStyle w:val="TableText"/>
              <w:ind w:left="214"/>
              <w:spacing w:before="58" w:line="262" w:lineRule="exact"/>
              <w:rPr/>
            </w:pPr>
            <w:r>
              <w:rPr>
                <w:position w:val="1"/>
              </w:rPr>
              <w:t>4</w:t>
            </w:r>
          </w:p>
        </w:tc>
        <w:tc>
          <w:tcPr>
            <w:tcW w:w="1128" w:type="dxa"/>
            <w:vAlign w:val="top"/>
            <w:tcBorders>
              <w:bottom w:val="single" w:color="000000" w:sz="6" w:space="0"/>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05" w:right="26" w:hanging="88"/>
              <w:spacing w:before="58" w:line="287" w:lineRule="auto"/>
              <w:rPr/>
            </w:pPr>
            <w:r>
              <w:rPr>
                <w:spacing w:val="-1"/>
              </w:rPr>
              <w:t>推进审批服务</w:t>
            </w:r>
            <w:r>
              <w:rPr>
                <w:spacing w:val="-1"/>
              </w:rPr>
              <w:t>标准化建设</w:t>
            </w:r>
          </w:p>
        </w:tc>
        <w:tc>
          <w:tcPr>
            <w:tcW w:w="4229" w:type="dxa"/>
            <w:vAlign w:val="top"/>
            <w:tcBorders>
              <w:bottom w:val="single" w:color="000000" w:sz="6" w:space="0"/>
            </w:tcBorders>
          </w:tcPr>
          <w:p>
            <w:pPr>
              <w:spacing w:line="315" w:lineRule="auto"/>
              <w:rPr>
                <w:rFonts w:ascii="Arial"/>
                <w:sz w:val="21"/>
              </w:rPr>
            </w:pPr>
            <w:r/>
          </w:p>
          <w:p>
            <w:pPr>
              <w:pStyle w:val="TableText"/>
              <w:ind w:left="10" w:right="12" w:firstLine="16"/>
              <w:spacing w:before="58" w:line="246" w:lineRule="auto"/>
              <w:rPr/>
            </w:pPr>
            <w:r>
              <w:rPr>
                <w:spacing w:val="-6"/>
              </w:rPr>
              <w:t>1.制定印发《隆德县推进基层审批服务便民化改革实施</w:t>
            </w:r>
            <w:r>
              <w:rPr>
                <w:spacing w:val="-1"/>
              </w:rPr>
              <w:t>方案》。</w:t>
            </w:r>
          </w:p>
          <w:p>
            <w:pPr>
              <w:pStyle w:val="TableText"/>
              <w:ind w:left="17" w:right="12" w:hanging="6"/>
              <w:spacing w:line="232" w:lineRule="auto"/>
              <w:rPr/>
            </w:pPr>
            <w:r>
              <w:rPr>
                <w:spacing w:val="-5"/>
              </w:rPr>
              <w:t>2.制定并公布《隆德县乡镇政务服务事项清单》，完成</w:t>
            </w:r>
            <w:r>
              <w:rPr>
                <w:spacing w:val="-2"/>
              </w:rPr>
              <w:t>乡镇事项网上信息录入，</w:t>
            </w:r>
          </w:p>
          <w:p>
            <w:pPr>
              <w:pStyle w:val="TableText"/>
              <w:ind w:left="11" w:right="12" w:firstLine="3"/>
              <w:spacing w:before="26" w:line="232" w:lineRule="auto"/>
              <w:rPr/>
            </w:pPr>
            <w:r>
              <w:rPr>
                <w:spacing w:val="-5"/>
              </w:rPr>
              <w:t>3.建立和完善适应基层实际的办事指南和工作</w:t>
            </w:r>
            <w:r>
              <w:rPr>
                <w:spacing w:val="-6"/>
              </w:rPr>
              <w:t>规程，进</w:t>
            </w:r>
            <w:r>
              <w:rPr>
                <w:spacing w:val="-1"/>
              </w:rPr>
              <w:t>一步优化审批流程，简化审批手续。</w:t>
            </w:r>
          </w:p>
        </w:tc>
        <w:tc>
          <w:tcPr>
            <w:tcW w:w="3242" w:type="dxa"/>
            <w:vAlign w:val="top"/>
            <w:vMerge w:val="continue"/>
            <w:tcBorders>
              <w:bottom w:val="single" w:color="000000" w:sz="6" w:space="0"/>
              <w:top w:val="nil"/>
            </w:tcBorders>
          </w:tcPr>
          <w:p>
            <w:pPr>
              <w:rPr>
                <w:rFonts w:ascii="Arial"/>
                <w:sz w:val="21"/>
              </w:rPr>
            </w:pPr>
            <w:r/>
          </w:p>
        </w:tc>
        <w:tc>
          <w:tcPr>
            <w:tcW w:w="1204" w:type="dxa"/>
            <w:vAlign w:val="top"/>
            <w:vMerge w:val="continue"/>
            <w:tcBorders>
              <w:bottom w:val="single" w:color="000000" w:sz="6" w:space="0"/>
              <w:top w:val="nil"/>
            </w:tcBorders>
          </w:tcPr>
          <w:p>
            <w:pPr>
              <w:rPr>
                <w:rFonts w:ascii="Arial"/>
                <w:sz w:val="21"/>
              </w:rPr>
            </w:pPr>
            <w:r/>
          </w:p>
        </w:tc>
        <w:tc>
          <w:tcPr>
            <w:tcW w:w="1204" w:type="dxa"/>
            <w:vAlign w:val="top"/>
            <w:vMerge w:val="continue"/>
            <w:tcBorders>
              <w:bottom w:val="single" w:color="000000" w:sz="6" w:space="0"/>
              <w:top w:val="nil"/>
            </w:tcBorders>
          </w:tcPr>
          <w:p>
            <w:pPr>
              <w:rPr>
                <w:rFonts w:ascii="Arial"/>
                <w:sz w:val="21"/>
              </w:rPr>
            </w:pPr>
            <w:r/>
          </w:p>
        </w:tc>
        <w:tc>
          <w:tcPr>
            <w:tcW w:w="1056" w:type="dxa"/>
            <w:vAlign w:val="top"/>
            <w:vMerge w:val="continue"/>
            <w:tcBorders>
              <w:bottom w:val="single" w:color="000000" w:sz="6" w:space="0"/>
              <w:top w:val="nil"/>
            </w:tcBorders>
          </w:tcPr>
          <w:p>
            <w:pPr>
              <w:rPr>
                <w:rFonts w:ascii="Arial"/>
                <w:sz w:val="21"/>
              </w:rPr>
            </w:pPr>
            <w:r/>
          </w:p>
        </w:tc>
        <w:tc>
          <w:tcPr>
            <w:tcW w:w="1170" w:type="dxa"/>
            <w:vAlign w:val="top"/>
            <w:tcBorders>
              <w:bottom w:val="single" w:color="000000" w:sz="6" w:space="0"/>
              <w:right w:val="single" w:color="000000" w:sz="6" w:space="0"/>
            </w:tcBorders>
          </w:tcPr>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251" w:right="102" w:hanging="46"/>
              <w:spacing w:before="58" w:line="285" w:lineRule="auto"/>
              <w:rPr/>
            </w:pPr>
            <w:r>
              <w:rPr>
                <w:spacing w:val="-3"/>
              </w:rPr>
              <w:t>2</w:t>
            </w:r>
            <w:r>
              <w:rPr>
                <w:spacing w:val="-37"/>
              </w:rPr>
              <w:t xml:space="preserve"> </w:t>
            </w:r>
            <w:r>
              <w:rPr>
                <w:spacing w:val="-3"/>
              </w:rPr>
              <w:t>月上旬—</w:t>
            </w:r>
            <w:r>
              <w:rPr/>
              <w:t xml:space="preserve"> </w:t>
            </w:r>
            <w:r>
              <w:rPr>
                <w:spacing w:val="-4"/>
              </w:rPr>
              <w:t>3</w:t>
            </w:r>
            <w:r>
              <w:rPr>
                <w:spacing w:val="-39"/>
              </w:rPr>
              <w:t xml:space="preserve"> </w:t>
            </w:r>
            <w:r>
              <w:rPr>
                <w:spacing w:val="-4"/>
              </w:rPr>
              <w:t>月中旬</w:t>
            </w:r>
          </w:p>
        </w:tc>
      </w:tr>
    </w:tbl>
    <w:p>
      <w:pPr>
        <w:spacing w:line="141" w:lineRule="exact"/>
        <w:rPr>
          <w:rFonts w:ascii="Arial"/>
          <w:sz w:val="12"/>
        </w:rPr>
      </w:pPr>
      <w:r/>
    </w:p>
    <w:p>
      <w:pPr>
        <w:spacing w:line="141" w:lineRule="exact"/>
        <w:sectPr>
          <w:headerReference w:type="default" r:id="rId391"/>
          <w:footerReference w:type="default" r:id="rId392"/>
          <w:pgSz w:w="16839" w:h="11906"/>
          <w:pgMar w:top="1792" w:right="1486" w:bottom="1672" w:left="1527" w:header="1428" w:footer="1277" w:gutter="0"/>
        </w:sectPr>
        <w:rPr>
          <w:rFonts w:ascii="Arial" w:hAnsi="Arial" w:eastAsia="Arial" w:cs="Arial"/>
          <w:sz w:val="12"/>
          <w:szCs w:val="12"/>
        </w:rPr>
      </w:pPr>
    </w:p>
    <w:p>
      <w:pPr>
        <w:spacing w:line="177" w:lineRule="exact"/>
        <w:rPr/>
      </w:pPr>
      <w:r>
        <w:drawing>
          <wp:anchor distT="0" distB="0" distL="0" distR="0" simplePos="0" relativeHeight="251936768" behindDoc="0" locked="0" layoutInCell="0" allowOverlap="1">
            <wp:simplePos x="0" y="0"/>
            <wp:positionH relativeFrom="page">
              <wp:posOffset>1008380</wp:posOffset>
            </wp:positionH>
            <wp:positionV relativeFrom="page">
              <wp:posOffset>1147445</wp:posOffset>
            </wp:positionV>
            <wp:extent cx="8712200" cy="7620"/>
            <wp:effectExtent l="0" t="0" r="0" b="0"/>
            <wp:wrapNone/>
            <wp:docPr id="788" name="IM 788"/>
            <wp:cNvGraphicFramePr/>
            <a:graphic>
              <a:graphicData uri="http://schemas.openxmlformats.org/drawingml/2006/picture">
                <pic:pic>
                  <pic:nvPicPr>
                    <pic:cNvPr id="788" name="IM 788"/>
                    <pic:cNvPicPr/>
                  </pic:nvPicPr>
                  <pic:blipFill>
                    <a:blip r:embed="rId396"/>
                    <a:stretch>
                      <a:fillRect/>
                    </a:stretch>
                  </pic:blipFill>
                  <pic:spPr>
                    <a:xfrm rot="0">
                      <a:off x="0" y="0"/>
                      <a:ext cx="8712200" cy="7620"/>
                    </a:xfrm>
                    <a:prstGeom prst="rect">
                      <a:avLst/>
                    </a:prstGeom>
                  </pic:spPr>
                </pic:pic>
              </a:graphicData>
            </a:graphic>
          </wp:anchor>
        </w:drawing>
      </w:r>
      <w:r/>
    </w:p>
    <w:tbl>
      <w:tblPr>
        <w:tblStyle w:val="TableNormal"/>
        <w:tblW w:w="13767"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34"/>
        <w:gridCol w:w="1128"/>
        <w:gridCol w:w="4229"/>
        <w:gridCol w:w="3242"/>
        <w:gridCol w:w="1204"/>
        <w:gridCol w:w="1204"/>
        <w:gridCol w:w="1056"/>
        <w:gridCol w:w="1170"/>
      </w:tblGrid>
      <w:tr>
        <w:trPr>
          <w:trHeight w:val="741" w:hRule="atLeast"/>
        </w:trPr>
        <w:tc>
          <w:tcPr>
            <w:tcW w:w="534" w:type="dxa"/>
            <w:vAlign w:val="top"/>
            <w:tcBorders>
              <w:left w:val="single" w:color="000000" w:sz="6" w:space="0"/>
              <w:top w:val="single" w:color="000000" w:sz="6" w:space="0"/>
            </w:tcBorders>
          </w:tcPr>
          <w:p>
            <w:pPr>
              <w:spacing w:line="243" w:lineRule="auto"/>
              <w:rPr>
                <w:rFonts w:ascii="Arial"/>
                <w:sz w:val="21"/>
              </w:rPr>
            </w:pPr>
            <w:r/>
          </w:p>
          <w:p>
            <w:pPr>
              <w:pStyle w:val="TableText"/>
              <w:ind w:left="81"/>
              <w:spacing w:before="58" w:line="214" w:lineRule="auto"/>
              <w:rPr/>
            </w:pPr>
            <w:r>
              <w:rPr>
                <w:b/>
                <w:bCs/>
                <w:spacing w:val="-4"/>
              </w:rPr>
              <w:t>序号</w:t>
            </w:r>
          </w:p>
        </w:tc>
        <w:tc>
          <w:tcPr>
            <w:tcW w:w="1128" w:type="dxa"/>
            <w:vAlign w:val="top"/>
            <w:tcBorders>
              <w:top w:val="single" w:color="000000" w:sz="6" w:space="0"/>
            </w:tcBorders>
          </w:tcPr>
          <w:p>
            <w:pPr>
              <w:spacing w:line="243" w:lineRule="auto"/>
              <w:rPr>
                <w:rFonts w:ascii="Arial"/>
                <w:sz w:val="21"/>
              </w:rPr>
            </w:pPr>
            <w:r/>
          </w:p>
          <w:p>
            <w:pPr>
              <w:pStyle w:val="TableText"/>
              <w:ind w:left="202"/>
              <w:spacing w:before="58" w:line="213" w:lineRule="auto"/>
              <w:rPr/>
            </w:pPr>
            <w:r>
              <w:rPr>
                <w:b/>
                <w:bCs/>
                <w:spacing w:val="-4"/>
              </w:rPr>
              <w:t>主要任务</w:t>
            </w:r>
          </w:p>
        </w:tc>
        <w:tc>
          <w:tcPr>
            <w:tcW w:w="4229" w:type="dxa"/>
            <w:vAlign w:val="top"/>
            <w:tcBorders>
              <w:top w:val="single" w:color="000000" w:sz="6" w:space="0"/>
            </w:tcBorders>
          </w:tcPr>
          <w:p>
            <w:pPr>
              <w:spacing w:line="245" w:lineRule="auto"/>
              <w:rPr>
                <w:rFonts w:ascii="Arial"/>
                <w:sz w:val="21"/>
              </w:rPr>
            </w:pPr>
            <w:r/>
          </w:p>
          <w:p>
            <w:pPr>
              <w:pStyle w:val="TableText"/>
              <w:ind w:left="1752"/>
              <w:spacing w:before="58" w:line="211" w:lineRule="auto"/>
              <w:rPr/>
            </w:pPr>
            <w:r>
              <w:rPr>
                <w:b/>
                <w:bCs/>
                <w:spacing w:val="-3"/>
              </w:rPr>
              <w:t>推进措施</w:t>
            </w:r>
          </w:p>
        </w:tc>
        <w:tc>
          <w:tcPr>
            <w:tcW w:w="3242" w:type="dxa"/>
            <w:vAlign w:val="top"/>
            <w:tcBorders>
              <w:top w:val="single" w:color="000000" w:sz="6" w:space="0"/>
            </w:tcBorders>
          </w:tcPr>
          <w:p>
            <w:pPr>
              <w:spacing w:line="244" w:lineRule="auto"/>
              <w:rPr>
                <w:rFonts w:ascii="Arial"/>
                <w:sz w:val="21"/>
              </w:rPr>
            </w:pPr>
            <w:r/>
          </w:p>
          <w:p>
            <w:pPr>
              <w:pStyle w:val="TableText"/>
              <w:ind w:left="1264"/>
              <w:spacing w:before="59" w:line="211" w:lineRule="auto"/>
              <w:rPr/>
            </w:pPr>
            <w:r>
              <w:rPr>
                <w:b/>
                <w:bCs/>
                <w:spacing w:val="-4"/>
              </w:rPr>
              <w:t>预期目标</w:t>
            </w:r>
          </w:p>
        </w:tc>
        <w:tc>
          <w:tcPr>
            <w:tcW w:w="1204" w:type="dxa"/>
            <w:vAlign w:val="top"/>
            <w:tcBorders>
              <w:top w:val="single" w:color="000000" w:sz="6" w:space="0"/>
            </w:tcBorders>
          </w:tcPr>
          <w:p>
            <w:pPr>
              <w:spacing w:line="243" w:lineRule="auto"/>
              <w:rPr>
                <w:rFonts w:ascii="Arial"/>
                <w:sz w:val="21"/>
              </w:rPr>
            </w:pPr>
            <w:r/>
          </w:p>
          <w:p>
            <w:pPr>
              <w:pStyle w:val="TableText"/>
              <w:ind w:left="246"/>
              <w:spacing w:before="58" w:line="213" w:lineRule="auto"/>
              <w:rPr/>
            </w:pPr>
            <w:r>
              <w:rPr>
                <w:b/>
                <w:bCs/>
                <w:spacing w:val="-3"/>
              </w:rPr>
              <w:t>责任领导</w:t>
            </w:r>
          </w:p>
        </w:tc>
        <w:tc>
          <w:tcPr>
            <w:tcW w:w="1204" w:type="dxa"/>
            <w:vAlign w:val="top"/>
            <w:tcBorders>
              <w:top w:val="single" w:color="000000" w:sz="6" w:space="0"/>
            </w:tcBorders>
          </w:tcPr>
          <w:p>
            <w:pPr>
              <w:spacing w:line="243" w:lineRule="auto"/>
              <w:rPr>
                <w:rFonts w:ascii="Arial"/>
                <w:sz w:val="21"/>
              </w:rPr>
            </w:pPr>
            <w:r/>
          </w:p>
          <w:p>
            <w:pPr>
              <w:pStyle w:val="TableText"/>
              <w:ind w:left="246"/>
              <w:spacing w:before="59" w:line="212" w:lineRule="auto"/>
              <w:rPr/>
            </w:pPr>
            <w:r>
              <w:rPr>
                <w:b/>
                <w:bCs/>
                <w:spacing w:val="-3"/>
              </w:rPr>
              <w:t>牵头单位</w:t>
            </w:r>
          </w:p>
        </w:tc>
        <w:tc>
          <w:tcPr>
            <w:tcW w:w="1056" w:type="dxa"/>
            <w:vAlign w:val="top"/>
            <w:tcBorders>
              <w:top w:val="single" w:color="000000" w:sz="6" w:space="0"/>
            </w:tcBorders>
          </w:tcPr>
          <w:p>
            <w:pPr>
              <w:spacing w:line="243" w:lineRule="auto"/>
              <w:rPr>
                <w:rFonts w:ascii="Arial"/>
                <w:sz w:val="21"/>
              </w:rPr>
            </w:pPr>
            <w:r/>
          </w:p>
          <w:p>
            <w:pPr>
              <w:pStyle w:val="TableText"/>
              <w:ind w:left="173"/>
              <w:spacing w:before="58" w:line="214" w:lineRule="auto"/>
              <w:rPr/>
            </w:pPr>
            <w:r>
              <w:rPr>
                <w:b/>
                <w:bCs/>
                <w:spacing w:val="-3"/>
              </w:rPr>
              <w:t>实施单位</w:t>
            </w:r>
          </w:p>
        </w:tc>
        <w:tc>
          <w:tcPr>
            <w:tcW w:w="1170" w:type="dxa"/>
            <w:vAlign w:val="top"/>
            <w:tcBorders>
              <w:right w:val="single" w:color="000000" w:sz="6" w:space="0"/>
              <w:top w:val="single" w:color="000000" w:sz="6" w:space="0"/>
            </w:tcBorders>
          </w:tcPr>
          <w:p>
            <w:pPr>
              <w:spacing w:line="244" w:lineRule="auto"/>
              <w:rPr>
                <w:rFonts w:ascii="Arial"/>
                <w:sz w:val="21"/>
              </w:rPr>
            </w:pPr>
            <w:r/>
          </w:p>
          <w:p>
            <w:pPr>
              <w:pStyle w:val="TableText"/>
              <w:ind w:left="226"/>
              <w:spacing w:before="59" w:line="211" w:lineRule="auto"/>
              <w:rPr/>
            </w:pPr>
            <w:r>
              <w:rPr>
                <w:b/>
                <w:bCs/>
                <w:spacing w:val="-3"/>
              </w:rPr>
              <w:t>完成时限</w:t>
            </w:r>
          </w:p>
        </w:tc>
      </w:tr>
      <w:tr>
        <w:trPr>
          <w:trHeight w:val="2714" w:hRule="atLeast"/>
        </w:trPr>
        <w:tc>
          <w:tcPr>
            <w:tcW w:w="534" w:type="dxa"/>
            <w:vAlign w:val="top"/>
            <w:tcBorders>
              <w:left w:val="single" w:color="000000" w:sz="6" w:space="0"/>
            </w:tcBorders>
          </w:tcPr>
          <w:p>
            <w:pPr>
              <w:spacing w:line="296" w:lineRule="auto"/>
              <w:rPr>
                <w:rFonts w:ascii="Arial"/>
                <w:sz w:val="21"/>
              </w:rPr>
            </w:pPr>
            <w:r/>
          </w:p>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pStyle w:val="TableText"/>
              <w:ind w:left="217"/>
              <w:spacing w:before="58" w:line="261" w:lineRule="exact"/>
              <w:rPr/>
            </w:pPr>
            <w:r>
              <w:rPr>
                <w:position w:val="2"/>
              </w:rPr>
              <w:t>5</w:t>
            </w:r>
          </w:p>
        </w:tc>
        <w:tc>
          <w:tcPr>
            <w:tcW w:w="1128"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97" w:right="26" w:hanging="182"/>
              <w:spacing w:before="58" w:line="290" w:lineRule="auto"/>
              <w:rPr/>
            </w:pPr>
            <w:r>
              <w:rPr>
                <w:spacing w:val="-1"/>
              </w:rPr>
              <w:t>完善村级代办</w:t>
            </w:r>
            <w:r>
              <w:rPr>
                <w:spacing w:val="-2"/>
              </w:rPr>
              <w:t>服务机制</w:t>
            </w:r>
          </w:p>
        </w:tc>
        <w:tc>
          <w:tcPr>
            <w:tcW w:w="4229" w:type="dxa"/>
            <w:vAlign w:val="top"/>
          </w:tcPr>
          <w:p>
            <w:pPr>
              <w:spacing w:line="351" w:lineRule="auto"/>
              <w:rPr>
                <w:rFonts w:ascii="Arial"/>
                <w:sz w:val="21"/>
              </w:rPr>
            </w:pPr>
            <w:r/>
          </w:p>
          <w:p>
            <w:pPr>
              <w:pStyle w:val="TableText"/>
              <w:ind w:left="12" w:firstLine="13"/>
              <w:spacing w:before="58" w:line="265" w:lineRule="auto"/>
              <w:rPr/>
            </w:pPr>
            <w:r>
              <w:rPr>
                <w:spacing w:val="-7"/>
              </w:rPr>
              <w:t>1.完善村级代办服务机制，加强村（社区</w:t>
            </w:r>
            <w:r>
              <w:rPr>
                <w:spacing w:val="-8"/>
              </w:rPr>
              <w:t>）综合服务站</w:t>
            </w:r>
            <w:r>
              <w:rPr>
                <w:spacing w:val="-5"/>
              </w:rPr>
              <w:t>点建设，推动基本公共服务事项进驻村（社区）办理，</w:t>
            </w:r>
            <w:r>
              <w:rPr>
                <w:spacing w:val="-2"/>
              </w:rPr>
              <w:t>推进村级便民服务点和网上服务站点全覆盖。</w:t>
            </w:r>
          </w:p>
          <w:p>
            <w:pPr>
              <w:pStyle w:val="TableText"/>
              <w:ind w:left="11" w:right="12"/>
              <w:spacing w:before="66" w:line="270" w:lineRule="auto"/>
              <w:rPr/>
            </w:pPr>
            <w:r>
              <w:rPr>
                <w:spacing w:val="-5"/>
              </w:rPr>
              <w:t>2.制定印发《隆德县加强基层便民服务队伍建设管理办</w:t>
            </w:r>
            <w:r>
              <w:rPr>
                <w:spacing w:val="-27"/>
              </w:rPr>
              <w:t>法》。</w:t>
            </w:r>
          </w:p>
          <w:p>
            <w:pPr>
              <w:pStyle w:val="TableText"/>
              <w:ind w:left="10" w:right="12" w:firstLine="4"/>
              <w:spacing w:before="34" w:line="250" w:lineRule="auto"/>
              <w:rPr/>
            </w:pPr>
            <w:r>
              <w:rPr>
                <w:spacing w:val="-5"/>
              </w:rPr>
              <w:t>3.积极开展代缴代办代理等便民服务，逐步扩</w:t>
            </w:r>
            <w:r>
              <w:rPr>
                <w:spacing w:val="-6"/>
              </w:rPr>
              <w:t>大公共服</w:t>
            </w:r>
            <w:r>
              <w:rPr>
                <w:spacing w:val="-1"/>
              </w:rPr>
              <w:t>务事项网上受理、网上办理、网上反馈范围。</w:t>
            </w:r>
          </w:p>
        </w:tc>
        <w:tc>
          <w:tcPr>
            <w:tcW w:w="3242" w:type="dxa"/>
            <w:vAlign w:val="top"/>
          </w:tcPr>
          <w:p>
            <w:pPr>
              <w:rPr>
                <w:rFonts w:ascii="Arial"/>
                <w:sz w:val="21"/>
              </w:rPr>
            </w:pPr>
            <w:r/>
          </w:p>
        </w:tc>
        <w:tc>
          <w:tcPr>
            <w:tcW w:w="1204" w:type="dxa"/>
            <w:vAlign w:val="top"/>
          </w:tcPr>
          <w:p>
            <w:pPr>
              <w:rPr>
                <w:rFonts w:ascii="Arial"/>
                <w:sz w:val="21"/>
              </w:rPr>
            </w:pPr>
            <w:r/>
          </w:p>
        </w:tc>
        <w:tc>
          <w:tcPr>
            <w:tcW w:w="1204" w:type="dxa"/>
            <w:vAlign w:val="top"/>
          </w:tcPr>
          <w:p>
            <w:pPr>
              <w:rPr>
                <w:rFonts w:ascii="Arial"/>
                <w:sz w:val="21"/>
              </w:rPr>
            </w:pPr>
            <w:r/>
          </w:p>
        </w:tc>
        <w:tc>
          <w:tcPr>
            <w:tcW w:w="1056" w:type="dxa"/>
            <w:vAlign w:val="top"/>
          </w:tcPr>
          <w:p>
            <w:pPr>
              <w:rPr>
                <w:rFonts w:ascii="Arial"/>
                <w:sz w:val="21"/>
              </w:rPr>
            </w:pPr>
            <w:r/>
          </w:p>
        </w:tc>
        <w:tc>
          <w:tcPr>
            <w:tcW w:w="1170" w:type="dxa"/>
            <w:vAlign w:val="top"/>
            <w:tcBorders>
              <w:right w:val="single" w:color="000000" w:sz="6" w:space="0"/>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49" w:right="102" w:hanging="41"/>
              <w:spacing w:before="59" w:line="288" w:lineRule="auto"/>
              <w:rPr/>
            </w:pPr>
            <w:r>
              <w:rPr>
                <w:spacing w:val="-3"/>
              </w:rPr>
              <w:t>3</w:t>
            </w:r>
            <w:r>
              <w:rPr>
                <w:spacing w:val="-39"/>
              </w:rPr>
              <w:t xml:space="preserve"> </w:t>
            </w:r>
            <w:r>
              <w:rPr>
                <w:spacing w:val="-3"/>
              </w:rPr>
              <w:t>月下旬—</w:t>
            </w:r>
            <w:r>
              <w:rPr/>
              <w:t xml:space="preserve"> </w:t>
            </w:r>
            <w:r>
              <w:rPr>
                <w:spacing w:val="-4"/>
              </w:rPr>
              <w:t>5</w:t>
            </w:r>
            <w:r>
              <w:rPr>
                <w:spacing w:val="-37"/>
              </w:rPr>
              <w:t xml:space="preserve"> </w:t>
            </w:r>
            <w:r>
              <w:rPr>
                <w:spacing w:val="-4"/>
              </w:rPr>
              <w:t>月中旬</w:t>
            </w:r>
          </w:p>
        </w:tc>
      </w:tr>
      <w:tr>
        <w:trPr>
          <w:trHeight w:val="2239" w:hRule="atLeast"/>
        </w:trPr>
        <w:tc>
          <w:tcPr>
            <w:tcW w:w="534" w:type="dxa"/>
            <w:vAlign w:val="top"/>
            <w:vMerge w:val="restart"/>
            <w:tcBorders>
              <w:left w:val="single" w:color="000000" w:sz="6" w:space="0"/>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217"/>
              <w:spacing w:before="59" w:line="260" w:lineRule="exact"/>
              <w:rPr/>
            </w:pPr>
            <w:r>
              <w:rPr>
                <w:position w:val="2"/>
              </w:rPr>
              <w:t>6</w:t>
            </w:r>
          </w:p>
        </w:tc>
        <w:tc>
          <w:tcPr>
            <w:tcW w:w="1128"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195" w:right="26" w:hanging="180"/>
              <w:spacing w:before="58" w:line="291" w:lineRule="auto"/>
              <w:rPr/>
            </w:pPr>
            <w:r>
              <w:rPr>
                <w:spacing w:val="-1"/>
              </w:rPr>
              <w:t>组建综合行政</w:t>
            </w:r>
            <w:r>
              <w:rPr>
                <w:spacing w:val="-2"/>
              </w:rPr>
              <w:t>执法机构</w:t>
            </w:r>
          </w:p>
        </w:tc>
        <w:tc>
          <w:tcPr>
            <w:tcW w:w="4229" w:type="dxa"/>
            <w:vAlign w:val="top"/>
          </w:tcPr>
          <w:p>
            <w:pPr>
              <w:spacing w:line="403" w:lineRule="auto"/>
              <w:rPr>
                <w:rFonts w:ascii="Arial"/>
                <w:sz w:val="21"/>
              </w:rPr>
            </w:pPr>
            <w:r/>
          </w:p>
          <w:p>
            <w:pPr>
              <w:pStyle w:val="TableText"/>
              <w:ind w:left="9" w:right="12" w:firstLine="3"/>
              <w:spacing w:before="58" w:line="283" w:lineRule="auto"/>
              <w:jc w:val="both"/>
              <w:rPr/>
            </w:pPr>
            <w:r>
              <w:rPr>
                <w:spacing w:val="2"/>
              </w:rPr>
              <w:t>学习借鉴银川市、吴忠市、中宁县开展跨领域跨部门</w:t>
            </w:r>
            <w:r>
              <w:rPr>
                <w:spacing w:val="1"/>
              </w:rPr>
              <w:t>综合执法改革试点经验做法</w:t>
            </w:r>
            <w:r>
              <w:rPr>
                <w:spacing w:val="-54"/>
              </w:rPr>
              <w:t xml:space="preserve"> </w:t>
            </w:r>
            <w:r>
              <w:rPr>
                <w:spacing w:val="1"/>
              </w:rPr>
              <w:t>，统筹设计行政区</w:t>
            </w:r>
            <w:r>
              <w:rPr/>
              <w:t>域内乡</w:t>
            </w:r>
            <w:r>
              <w:rPr>
                <w:spacing w:val="2"/>
              </w:rPr>
              <w:t>镇综合行政执法模式，制定《隆德县乡镇综合行政执</w:t>
            </w:r>
            <w:r>
              <w:rPr>
                <w:spacing w:val="-5"/>
              </w:rPr>
              <w:t>法实施意见》，指导乡镇按照有关法律规定相</w:t>
            </w:r>
            <w:r>
              <w:rPr>
                <w:spacing w:val="-6"/>
              </w:rPr>
              <w:t>对集中行</w:t>
            </w:r>
            <w:r>
              <w:rPr>
                <w:spacing w:val="-1"/>
              </w:rPr>
              <w:t>使行政处罚权。</w:t>
            </w:r>
          </w:p>
        </w:tc>
        <w:tc>
          <w:tcPr>
            <w:tcW w:w="3242" w:type="dxa"/>
            <w:vAlign w:val="top"/>
            <w:vMerge w:val="restart"/>
            <w:tcBorders>
              <w:bottom w:val="nil"/>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8" w:right="28" w:firstLine="12"/>
              <w:spacing w:before="59" w:line="248" w:lineRule="auto"/>
              <w:rPr/>
            </w:pPr>
            <w:r>
              <w:rPr>
                <w:spacing w:val="-4"/>
              </w:rPr>
              <w:t>1.推动执法关口前移，执法力量和执法资</w:t>
            </w:r>
            <w:r>
              <w:rPr>
                <w:spacing w:val="-2"/>
              </w:rPr>
              <w:t>源下沉。</w:t>
            </w:r>
          </w:p>
          <w:p>
            <w:pPr>
              <w:pStyle w:val="TableText"/>
              <w:ind w:left="15" w:right="9"/>
              <w:spacing w:before="74" w:line="263" w:lineRule="auto"/>
              <w:rPr/>
            </w:pPr>
            <w:r>
              <w:rPr>
                <w:spacing w:val="-3"/>
              </w:rPr>
              <w:t>2.在基层实行综合执法，着力构建“统筹</w:t>
            </w:r>
            <w:r>
              <w:rPr>
                <w:spacing w:val="-2"/>
              </w:rPr>
              <w:t>城乡、专综结合、全域覆盖”的综合行政</w:t>
            </w:r>
            <w:r>
              <w:rPr>
                <w:spacing w:val="-1"/>
              </w:rPr>
              <w:t>执法机制。</w:t>
            </w:r>
          </w:p>
          <w:p>
            <w:pPr>
              <w:pStyle w:val="TableText"/>
              <w:ind w:left="19"/>
              <w:spacing w:before="71" w:line="241" w:lineRule="exact"/>
              <w:rPr/>
            </w:pPr>
            <w:r>
              <w:rPr>
                <w:spacing w:val="-4"/>
                <w:position w:val="1"/>
              </w:rPr>
              <w:t>3.逐步在基层实现一支队伍管执法。</w:t>
            </w:r>
          </w:p>
        </w:tc>
        <w:tc>
          <w:tcPr>
            <w:tcW w:w="1204"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pStyle w:val="TableText"/>
              <w:ind w:left="335"/>
              <w:spacing w:before="59" w:line="212" w:lineRule="auto"/>
              <w:rPr/>
            </w:pPr>
            <w:r>
              <w:rPr>
                <w:spacing w:val="-2"/>
              </w:rPr>
              <w:t>石永忠</w:t>
            </w:r>
          </w:p>
        </w:tc>
        <w:tc>
          <w:tcPr>
            <w:tcW w:w="1204"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pStyle w:val="TableText"/>
              <w:ind w:left="245"/>
              <w:spacing w:before="58" w:line="204" w:lineRule="auto"/>
              <w:rPr/>
            </w:pPr>
            <w:r>
              <w:rPr>
                <w:spacing w:val="-2"/>
              </w:rPr>
              <w:t>县司法局</w:t>
            </w:r>
          </w:p>
        </w:tc>
        <w:tc>
          <w:tcPr>
            <w:tcW w:w="1056" w:type="dxa"/>
            <w:vAlign w:val="top"/>
            <w:vMerge w:val="restart"/>
            <w:tcBorders>
              <w:bottom w:val="nil"/>
            </w:tcBorders>
          </w:tcPr>
          <w:p>
            <w:pPr>
              <w:spacing w:line="310" w:lineRule="auto"/>
              <w:rPr>
                <w:rFonts w:ascii="Arial"/>
                <w:sz w:val="21"/>
              </w:rPr>
            </w:pPr>
            <w:r/>
          </w:p>
          <w:p>
            <w:pPr>
              <w:spacing w:line="310" w:lineRule="auto"/>
              <w:rPr>
                <w:rFonts w:ascii="Arial"/>
                <w:sz w:val="21"/>
              </w:rPr>
            </w:pPr>
            <w:r/>
          </w:p>
          <w:p>
            <w:pPr>
              <w:spacing w:line="310" w:lineRule="auto"/>
              <w:rPr>
                <w:rFonts w:ascii="Arial"/>
                <w:sz w:val="21"/>
              </w:rPr>
            </w:pPr>
            <w:r/>
          </w:p>
          <w:p>
            <w:pPr>
              <w:pStyle w:val="TableText"/>
              <w:spacing w:before="59" w:line="213" w:lineRule="auto"/>
              <w:jc w:val="right"/>
              <w:rPr/>
            </w:pPr>
            <w:r>
              <w:rPr>
                <w:spacing w:val="-15"/>
              </w:rPr>
              <w:t>自然资源局、</w:t>
            </w:r>
          </w:p>
          <w:p>
            <w:pPr>
              <w:pStyle w:val="TableText"/>
              <w:ind w:left="100"/>
              <w:spacing w:before="74" w:line="210" w:lineRule="auto"/>
              <w:rPr/>
            </w:pPr>
            <w:r>
              <w:rPr>
                <w:spacing w:val="-5"/>
              </w:rPr>
              <w:t>固原市生态</w:t>
            </w:r>
          </w:p>
          <w:p>
            <w:pPr>
              <w:pStyle w:val="TableText"/>
              <w:ind w:left="83"/>
              <w:spacing w:before="74" w:line="212" w:lineRule="auto"/>
              <w:rPr/>
            </w:pPr>
            <w:r>
              <w:rPr>
                <w:spacing w:val="-1"/>
              </w:rPr>
              <w:t>环境局隆德</w:t>
            </w:r>
          </w:p>
          <w:p>
            <w:pPr>
              <w:pStyle w:val="TableText"/>
              <w:ind w:left="262"/>
              <w:spacing w:before="74" w:line="211" w:lineRule="auto"/>
              <w:rPr/>
            </w:pPr>
            <w:r>
              <w:rPr>
                <w:spacing w:val="-2"/>
              </w:rPr>
              <w:t>分局、</w:t>
            </w:r>
          </w:p>
          <w:p>
            <w:pPr>
              <w:pStyle w:val="TableText"/>
              <w:ind w:left="169"/>
              <w:spacing w:before="70" w:line="214" w:lineRule="auto"/>
              <w:rPr/>
            </w:pPr>
            <w:r>
              <w:rPr>
                <w:spacing w:val="-1"/>
              </w:rPr>
              <w:t>住建局、</w:t>
            </w:r>
          </w:p>
          <w:p>
            <w:pPr>
              <w:pStyle w:val="TableText"/>
              <w:ind w:left="170"/>
              <w:spacing w:before="77" w:line="208" w:lineRule="auto"/>
              <w:rPr/>
            </w:pPr>
            <w:r>
              <w:rPr>
                <w:spacing w:val="-1"/>
              </w:rPr>
              <w:t>交通局、</w:t>
            </w:r>
          </w:p>
          <w:p>
            <w:pPr>
              <w:pStyle w:val="TableText"/>
              <w:spacing w:before="74" w:line="209" w:lineRule="auto"/>
              <w:jc w:val="right"/>
              <w:rPr/>
            </w:pPr>
            <w:r>
              <w:rPr>
                <w:spacing w:val="-9"/>
              </w:rPr>
              <w:t>农业农村局、</w:t>
            </w:r>
          </w:p>
          <w:p>
            <w:pPr>
              <w:pStyle w:val="TableText"/>
              <w:ind w:left="83"/>
              <w:spacing w:before="75" w:line="213" w:lineRule="auto"/>
              <w:rPr/>
            </w:pPr>
            <w:r>
              <w:rPr>
                <w:spacing w:val="-1"/>
              </w:rPr>
              <w:t>市监局等相</w:t>
            </w:r>
          </w:p>
          <w:p>
            <w:pPr>
              <w:pStyle w:val="TableText"/>
              <w:ind w:left="169"/>
              <w:spacing w:before="75" w:line="213" w:lineRule="auto"/>
              <w:rPr/>
            </w:pPr>
            <w:r>
              <w:rPr>
                <w:spacing w:val="-1"/>
              </w:rPr>
              <w:t>关部门，</w:t>
            </w:r>
          </w:p>
          <w:p>
            <w:pPr>
              <w:pStyle w:val="TableText"/>
              <w:ind w:left="261"/>
              <w:spacing w:before="70" w:line="211" w:lineRule="auto"/>
              <w:rPr/>
            </w:pPr>
            <w:r>
              <w:rPr>
                <w:spacing w:val="-2"/>
              </w:rPr>
              <w:t>各乡镇</w:t>
            </w:r>
          </w:p>
        </w:tc>
        <w:tc>
          <w:tcPr>
            <w:tcW w:w="1170" w:type="dxa"/>
            <w:vAlign w:val="top"/>
            <w:tcBorders>
              <w:right w:val="single" w:color="000000" w:sz="6" w:space="0"/>
            </w:tcBorders>
          </w:tcPr>
          <w:p>
            <w:pPr>
              <w:spacing w:line="318" w:lineRule="auto"/>
              <w:rPr>
                <w:rFonts w:ascii="Arial"/>
                <w:sz w:val="21"/>
              </w:rPr>
            </w:pPr>
            <w:r/>
          </w:p>
          <w:p>
            <w:pPr>
              <w:spacing w:line="318" w:lineRule="auto"/>
              <w:rPr>
                <w:rFonts w:ascii="Arial"/>
                <w:sz w:val="21"/>
              </w:rPr>
            </w:pPr>
            <w:r/>
          </w:p>
          <w:p>
            <w:pPr>
              <w:spacing w:line="319" w:lineRule="auto"/>
              <w:rPr>
                <w:rFonts w:ascii="Arial"/>
                <w:sz w:val="21"/>
              </w:rPr>
            </w:pPr>
            <w:r/>
          </w:p>
          <w:p>
            <w:pPr>
              <w:pStyle w:val="TableText"/>
              <w:ind w:left="251"/>
              <w:spacing w:before="59" w:line="241" w:lineRule="exact"/>
              <w:rPr/>
            </w:pPr>
            <w:r>
              <w:rPr>
                <w:spacing w:val="-4"/>
                <w:position w:val="1"/>
              </w:rPr>
              <w:t>3</w:t>
            </w:r>
            <w:r>
              <w:rPr>
                <w:spacing w:val="-39"/>
                <w:position w:val="1"/>
              </w:rPr>
              <w:t xml:space="preserve"> </w:t>
            </w:r>
            <w:r>
              <w:rPr>
                <w:spacing w:val="-4"/>
                <w:position w:val="1"/>
              </w:rPr>
              <w:t>月下旬</w:t>
            </w:r>
          </w:p>
        </w:tc>
      </w:tr>
      <w:tr>
        <w:trPr>
          <w:trHeight w:val="2460" w:hRule="atLeast"/>
        </w:trPr>
        <w:tc>
          <w:tcPr>
            <w:tcW w:w="534" w:type="dxa"/>
            <w:vAlign w:val="top"/>
            <w:vMerge w:val="continue"/>
            <w:tcBorders>
              <w:left w:val="single" w:color="000000" w:sz="6" w:space="0"/>
              <w:bottom w:val="single" w:color="000000" w:sz="6" w:space="0"/>
              <w:top w:val="nil"/>
            </w:tcBorders>
          </w:tcPr>
          <w:p>
            <w:pPr>
              <w:rPr>
                <w:rFonts w:ascii="Arial"/>
                <w:sz w:val="21"/>
              </w:rPr>
            </w:pPr>
            <w:r/>
          </w:p>
        </w:tc>
        <w:tc>
          <w:tcPr>
            <w:tcW w:w="1128" w:type="dxa"/>
            <w:vAlign w:val="top"/>
            <w:vMerge w:val="continue"/>
            <w:tcBorders>
              <w:bottom w:val="single" w:color="000000" w:sz="6" w:space="0"/>
              <w:top w:val="nil"/>
            </w:tcBorders>
          </w:tcPr>
          <w:p>
            <w:pPr>
              <w:rPr>
                <w:rFonts w:ascii="Arial"/>
                <w:sz w:val="21"/>
              </w:rPr>
            </w:pPr>
            <w:r/>
          </w:p>
        </w:tc>
        <w:tc>
          <w:tcPr>
            <w:tcW w:w="4229" w:type="dxa"/>
            <w:vAlign w:val="top"/>
            <w:tcBorders>
              <w:bottom w:val="single" w:color="000000" w:sz="6" w:space="0"/>
            </w:tcBorders>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pStyle w:val="TableText"/>
              <w:ind w:left="11" w:right="12"/>
              <w:spacing w:before="59" w:line="289" w:lineRule="auto"/>
              <w:jc w:val="both"/>
              <w:rPr/>
            </w:pPr>
            <w:r>
              <w:rPr>
                <w:spacing w:val="2"/>
              </w:rPr>
              <w:t>整合现有站所、队执法力量和资源，组建乡镇综合执</w:t>
            </w:r>
            <w:r>
              <w:rPr/>
              <w:t>法办公室</w:t>
            </w:r>
            <w:r>
              <w:rPr>
                <w:spacing w:val="-36"/>
              </w:rPr>
              <w:t xml:space="preserve"> </w:t>
            </w:r>
            <w:r>
              <w:rPr/>
              <w:t>，与各领域综合行政执法体制改革相衔接，</w:t>
            </w:r>
            <w:r>
              <w:rPr>
                <w:spacing w:val="-1"/>
              </w:rPr>
              <w:t>推进行政执法权限和力量向基层延伸和下沉。</w:t>
            </w:r>
          </w:p>
        </w:tc>
        <w:tc>
          <w:tcPr>
            <w:tcW w:w="3242" w:type="dxa"/>
            <w:vAlign w:val="top"/>
            <w:vMerge w:val="continue"/>
            <w:tcBorders>
              <w:bottom w:val="single" w:color="000000" w:sz="6" w:space="0"/>
              <w:top w:val="nil"/>
            </w:tcBorders>
          </w:tcPr>
          <w:p>
            <w:pPr>
              <w:rPr>
                <w:rFonts w:ascii="Arial"/>
                <w:sz w:val="21"/>
              </w:rPr>
            </w:pPr>
            <w:r/>
          </w:p>
        </w:tc>
        <w:tc>
          <w:tcPr>
            <w:tcW w:w="1204" w:type="dxa"/>
            <w:vAlign w:val="top"/>
            <w:tcBorders>
              <w:bottom w:val="single" w:color="000000" w:sz="6" w:space="0"/>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pStyle w:val="TableText"/>
              <w:ind w:left="334"/>
              <w:spacing w:before="58" w:line="210" w:lineRule="auto"/>
              <w:rPr/>
            </w:pPr>
            <w:r>
              <w:rPr>
                <w:spacing w:val="-2"/>
              </w:rPr>
              <w:t>徐</w:t>
            </w:r>
            <w:r>
              <w:rPr>
                <w:spacing w:val="3"/>
              </w:rPr>
              <w:t xml:space="preserve">  </w:t>
            </w:r>
            <w:r>
              <w:rPr>
                <w:spacing w:val="-2"/>
              </w:rPr>
              <w:t>虎</w:t>
            </w:r>
          </w:p>
        </w:tc>
        <w:tc>
          <w:tcPr>
            <w:tcW w:w="1204" w:type="dxa"/>
            <w:vAlign w:val="top"/>
            <w:tcBorders>
              <w:bottom w:val="single" w:color="000000" w:sz="6" w:space="0"/>
            </w:tcBorders>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245"/>
              <w:spacing w:before="59" w:line="208" w:lineRule="auto"/>
              <w:rPr/>
            </w:pPr>
            <w:r>
              <w:rPr>
                <w:spacing w:val="-2"/>
              </w:rPr>
              <w:t>县委编办</w:t>
            </w:r>
          </w:p>
        </w:tc>
        <w:tc>
          <w:tcPr>
            <w:tcW w:w="1056" w:type="dxa"/>
            <w:vAlign w:val="top"/>
            <w:vMerge w:val="continue"/>
            <w:tcBorders>
              <w:bottom w:val="single" w:color="000000" w:sz="6" w:space="0"/>
              <w:top w:val="nil"/>
            </w:tcBorders>
          </w:tcPr>
          <w:p>
            <w:pPr>
              <w:rPr>
                <w:rFonts w:ascii="Arial"/>
                <w:sz w:val="21"/>
              </w:rPr>
            </w:pPr>
            <w:r/>
          </w:p>
        </w:tc>
        <w:tc>
          <w:tcPr>
            <w:tcW w:w="1170" w:type="dxa"/>
            <w:vAlign w:val="top"/>
            <w:tcBorders>
              <w:bottom w:val="single" w:color="000000" w:sz="6" w:space="0"/>
              <w:right w:val="single" w:color="000000" w:sz="6" w:space="0"/>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pStyle w:val="TableText"/>
              <w:ind w:left="249"/>
              <w:spacing w:before="58" w:line="241" w:lineRule="exact"/>
              <w:rPr/>
            </w:pPr>
            <w:r>
              <w:rPr>
                <w:spacing w:val="-4"/>
                <w:position w:val="1"/>
              </w:rPr>
              <w:t>5</w:t>
            </w:r>
            <w:r>
              <w:rPr>
                <w:spacing w:val="-37"/>
                <w:position w:val="1"/>
              </w:rPr>
              <w:t xml:space="preserve"> </w:t>
            </w:r>
            <w:r>
              <w:rPr>
                <w:spacing w:val="-4"/>
                <w:position w:val="1"/>
              </w:rPr>
              <w:t>月中旬</w:t>
            </w:r>
          </w:p>
        </w:tc>
      </w:tr>
    </w:tbl>
    <w:p>
      <w:pPr>
        <w:spacing w:line="166" w:lineRule="exact"/>
        <w:rPr>
          <w:rFonts w:ascii="Arial"/>
          <w:sz w:val="14"/>
        </w:rPr>
      </w:pPr>
      <w:r/>
    </w:p>
    <w:p>
      <w:pPr>
        <w:spacing w:line="166" w:lineRule="exact"/>
        <w:sectPr>
          <w:headerReference w:type="default" r:id="rId394"/>
          <w:footerReference w:type="default" r:id="rId395"/>
          <w:pgSz w:w="16839" w:h="11906"/>
          <w:pgMar w:top="1767" w:right="1528" w:bottom="1570" w:left="1527" w:header="1428" w:footer="1172" w:gutter="0"/>
        </w:sectPr>
        <w:rPr>
          <w:rFonts w:ascii="Arial" w:hAnsi="Arial" w:eastAsia="Arial" w:cs="Arial"/>
          <w:sz w:val="14"/>
          <w:szCs w:val="14"/>
        </w:rPr>
      </w:pPr>
    </w:p>
    <w:p>
      <w:pPr>
        <w:spacing w:line="192" w:lineRule="exact"/>
        <w:rPr/>
      </w:pPr>
      <w:r>
        <w:drawing>
          <wp:anchor distT="0" distB="0" distL="0" distR="0" simplePos="0" relativeHeight="251938816"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792" name="IM 792"/>
            <wp:cNvGraphicFramePr/>
            <a:graphic>
              <a:graphicData uri="http://schemas.openxmlformats.org/drawingml/2006/picture">
                <pic:pic>
                  <pic:nvPicPr>
                    <pic:cNvPr id="792" name="IM 792"/>
                    <pic:cNvPicPr/>
                  </pic:nvPicPr>
                  <pic:blipFill>
                    <a:blip r:embed="rId398"/>
                    <a:stretch>
                      <a:fillRect/>
                    </a:stretch>
                  </pic:blipFill>
                  <pic:spPr>
                    <a:xfrm rot="0">
                      <a:off x="0" y="0"/>
                      <a:ext cx="8712200" cy="7620"/>
                    </a:xfrm>
                    <a:prstGeom prst="rect">
                      <a:avLst/>
                    </a:prstGeom>
                  </pic:spPr>
                </pic:pic>
              </a:graphicData>
            </a:graphic>
          </wp:anchor>
        </w:drawing>
      </w:r>
      <w:r/>
    </w:p>
    <w:tbl>
      <w:tblPr>
        <w:tblStyle w:val="TableNormal"/>
        <w:tblW w:w="13767"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34"/>
        <w:gridCol w:w="1128"/>
        <w:gridCol w:w="4229"/>
        <w:gridCol w:w="3242"/>
        <w:gridCol w:w="1204"/>
        <w:gridCol w:w="1204"/>
        <w:gridCol w:w="1056"/>
        <w:gridCol w:w="1170"/>
      </w:tblGrid>
      <w:tr>
        <w:trPr>
          <w:trHeight w:val="741" w:hRule="atLeast"/>
        </w:trPr>
        <w:tc>
          <w:tcPr>
            <w:tcW w:w="534" w:type="dxa"/>
            <w:vAlign w:val="top"/>
            <w:tcBorders>
              <w:left w:val="single" w:color="000000" w:sz="6" w:space="0"/>
              <w:top w:val="single" w:color="000000" w:sz="6" w:space="0"/>
            </w:tcBorders>
          </w:tcPr>
          <w:p>
            <w:pPr>
              <w:spacing w:line="241" w:lineRule="auto"/>
              <w:rPr>
                <w:rFonts w:ascii="Arial"/>
                <w:sz w:val="21"/>
              </w:rPr>
            </w:pPr>
            <w:r/>
          </w:p>
          <w:p>
            <w:pPr>
              <w:pStyle w:val="TableText"/>
              <w:ind w:left="81"/>
              <w:spacing w:before="58" w:line="214" w:lineRule="auto"/>
              <w:rPr/>
            </w:pPr>
            <w:r>
              <w:rPr>
                <w:b/>
                <w:bCs/>
                <w:spacing w:val="-4"/>
              </w:rPr>
              <w:t>序号</w:t>
            </w:r>
          </w:p>
        </w:tc>
        <w:tc>
          <w:tcPr>
            <w:tcW w:w="1128" w:type="dxa"/>
            <w:vAlign w:val="top"/>
            <w:tcBorders>
              <w:top w:val="single" w:color="000000" w:sz="6" w:space="0"/>
            </w:tcBorders>
          </w:tcPr>
          <w:p>
            <w:pPr>
              <w:spacing w:line="241" w:lineRule="auto"/>
              <w:rPr>
                <w:rFonts w:ascii="Arial"/>
                <w:sz w:val="21"/>
              </w:rPr>
            </w:pPr>
            <w:r/>
          </w:p>
          <w:p>
            <w:pPr>
              <w:pStyle w:val="TableText"/>
              <w:ind w:left="202"/>
              <w:spacing w:before="59" w:line="213" w:lineRule="auto"/>
              <w:rPr/>
            </w:pPr>
            <w:r>
              <w:rPr>
                <w:b/>
                <w:bCs/>
                <w:spacing w:val="-4"/>
              </w:rPr>
              <w:t>主要任务</w:t>
            </w:r>
          </w:p>
        </w:tc>
        <w:tc>
          <w:tcPr>
            <w:tcW w:w="4229" w:type="dxa"/>
            <w:vAlign w:val="top"/>
            <w:tcBorders>
              <w:top w:val="single" w:color="000000" w:sz="6" w:space="0"/>
            </w:tcBorders>
          </w:tcPr>
          <w:p>
            <w:pPr>
              <w:spacing w:line="243" w:lineRule="auto"/>
              <w:rPr>
                <w:rFonts w:ascii="Arial"/>
                <w:sz w:val="21"/>
              </w:rPr>
            </w:pPr>
            <w:r/>
          </w:p>
          <w:p>
            <w:pPr>
              <w:pStyle w:val="TableText"/>
              <w:ind w:left="1752"/>
              <w:spacing w:before="59" w:line="211" w:lineRule="auto"/>
              <w:rPr/>
            </w:pPr>
            <w:r>
              <w:rPr>
                <w:b/>
                <w:bCs/>
                <w:spacing w:val="-3"/>
              </w:rPr>
              <w:t>推进措施</w:t>
            </w:r>
          </w:p>
        </w:tc>
        <w:tc>
          <w:tcPr>
            <w:tcW w:w="3242" w:type="dxa"/>
            <w:vAlign w:val="top"/>
            <w:tcBorders>
              <w:top w:val="single" w:color="000000" w:sz="6" w:space="0"/>
            </w:tcBorders>
          </w:tcPr>
          <w:p>
            <w:pPr>
              <w:spacing w:line="242" w:lineRule="auto"/>
              <w:rPr>
                <w:rFonts w:ascii="Arial"/>
                <w:sz w:val="21"/>
              </w:rPr>
            </w:pPr>
            <w:r/>
          </w:p>
          <w:p>
            <w:pPr>
              <w:pStyle w:val="TableText"/>
              <w:ind w:left="1264"/>
              <w:spacing w:before="59" w:line="211" w:lineRule="auto"/>
              <w:rPr/>
            </w:pPr>
            <w:r>
              <w:rPr>
                <w:b/>
                <w:bCs/>
                <w:spacing w:val="-4"/>
              </w:rPr>
              <w:t>预期目标</w:t>
            </w:r>
          </w:p>
        </w:tc>
        <w:tc>
          <w:tcPr>
            <w:tcW w:w="1204" w:type="dxa"/>
            <w:vAlign w:val="top"/>
            <w:tcBorders>
              <w:top w:val="single" w:color="000000" w:sz="6" w:space="0"/>
            </w:tcBorders>
          </w:tcPr>
          <w:p>
            <w:pPr>
              <w:spacing w:line="241" w:lineRule="auto"/>
              <w:rPr>
                <w:rFonts w:ascii="Arial"/>
                <w:sz w:val="21"/>
              </w:rPr>
            </w:pPr>
            <w:r/>
          </w:p>
          <w:p>
            <w:pPr>
              <w:pStyle w:val="TableText"/>
              <w:ind w:left="246"/>
              <w:spacing w:before="59" w:line="213" w:lineRule="auto"/>
              <w:rPr/>
            </w:pPr>
            <w:r>
              <w:rPr>
                <w:b/>
                <w:bCs/>
                <w:spacing w:val="-3"/>
              </w:rPr>
              <w:t>责任领导</w:t>
            </w:r>
          </w:p>
        </w:tc>
        <w:tc>
          <w:tcPr>
            <w:tcW w:w="1204" w:type="dxa"/>
            <w:vAlign w:val="top"/>
            <w:tcBorders>
              <w:top w:val="single" w:color="000000" w:sz="6" w:space="0"/>
            </w:tcBorders>
          </w:tcPr>
          <w:p>
            <w:pPr>
              <w:spacing w:line="242" w:lineRule="auto"/>
              <w:rPr>
                <w:rFonts w:ascii="Arial"/>
                <w:sz w:val="21"/>
              </w:rPr>
            </w:pPr>
            <w:r/>
          </w:p>
          <w:p>
            <w:pPr>
              <w:pStyle w:val="TableText"/>
              <w:ind w:left="246"/>
              <w:spacing w:before="58" w:line="212" w:lineRule="auto"/>
              <w:rPr/>
            </w:pPr>
            <w:r>
              <w:rPr>
                <w:b/>
                <w:bCs/>
                <w:spacing w:val="-3"/>
              </w:rPr>
              <w:t>牵头单位</w:t>
            </w:r>
          </w:p>
        </w:tc>
        <w:tc>
          <w:tcPr>
            <w:tcW w:w="1056" w:type="dxa"/>
            <w:vAlign w:val="top"/>
            <w:tcBorders>
              <w:top w:val="single" w:color="000000" w:sz="6" w:space="0"/>
            </w:tcBorders>
          </w:tcPr>
          <w:p>
            <w:pPr>
              <w:spacing w:line="241" w:lineRule="auto"/>
              <w:rPr>
                <w:rFonts w:ascii="Arial"/>
                <w:sz w:val="21"/>
              </w:rPr>
            </w:pPr>
            <w:r/>
          </w:p>
          <w:p>
            <w:pPr>
              <w:pStyle w:val="TableText"/>
              <w:ind w:left="173"/>
              <w:spacing w:before="58" w:line="214" w:lineRule="auto"/>
              <w:rPr/>
            </w:pPr>
            <w:r>
              <w:rPr>
                <w:b/>
                <w:bCs/>
                <w:spacing w:val="-3"/>
              </w:rPr>
              <w:t>实施单位</w:t>
            </w:r>
          </w:p>
        </w:tc>
        <w:tc>
          <w:tcPr>
            <w:tcW w:w="1170" w:type="dxa"/>
            <w:vAlign w:val="top"/>
            <w:tcBorders>
              <w:right w:val="single" w:color="000000" w:sz="6" w:space="0"/>
              <w:top w:val="single" w:color="000000" w:sz="6" w:space="0"/>
            </w:tcBorders>
          </w:tcPr>
          <w:p>
            <w:pPr>
              <w:spacing w:line="242" w:lineRule="auto"/>
              <w:rPr>
                <w:rFonts w:ascii="Arial"/>
                <w:sz w:val="21"/>
              </w:rPr>
            </w:pPr>
            <w:r/>
          </w:p>
          <w:p>
            <w:pPr>
              <w:pStyle w:val="TableText"/>
              <w:ind w:left="226"/>
              <w:spacing w:before="59" w:line="211" w:lineRule="auto"/>
              <w:rPr/>
            </w:pPr>
            <w:r>
              <w:rPr>
                <w:b/>
                <w:bCs/>
                <w:spacing w:val="-3"/>
              </w:rPr>
              <w:t>完成时限</w:t>
            </w:r>
          </w:p>
        </w:tc>
      </w:tr>
      <w:tr>
        <w:trPr>
          <w:trHeight w:val="3523" w:hRule="atLeast"/>
        </w:trPr>
        <w:tc>
          <w:tcPr>
            <w:tcW w:w="534" w:type="dxa"/>
            <w:vAlign w:val="top"/>
            <w:tcBorders>
              <w:left w:val="single" w:color="000000" w:sz="6" w:space="0"/>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pStyle w:val="TableText"/>
              <w:ind w:left="215"/>
              <w:spacing w:before="58" w:line="261" w:lineRule="exact"/>
              <w:rPr/>
            </w:pPr>
            <w:r>
              <w:rPr>
                <w:position w:val="2"/>
              </w:rPr>
              <w:t>7</w:t>
            </w:r>
          </w:p>
        </w:tc>
        <w:tc>
          <w:tcPr>
            <w:tcW w:w="1128"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95" w:right="206"/>
              <w:spacing w:before="58" w:line="290" w:lineRule="auto"/>
              <w:rPr/>
            </w:pPr>
            <w:r>
              <w:rPr>
                <w:spacing w:val="-2"/>
              </w:rPr>
              <w:t>完善指挥</w:t>
            </w:r>
            <w:r>
              <w:rPr>
                <w:spacing w:val="-1"/>
              </w:rPr>
              <w:t>协调机制</w:t>
            </w:r>
          </w:p>
        </w:tc>
        <w:tc>
          <w:tcPr>
            <w:tcW w:w="4229" w:type="dxa"/>
            <w:vAlign w:val="top"/>
          </w:tcPr>
          <w:p>
            <w:pPr>
              <w:spacing w:line="338" w:lineRule="auto"/>
              <w:rPr>
                <w:rFonts w:ascii="Arial"/>
                <w:sz w:val="21"/>
              </w:rPr>
            </w:pPr>
            <w:r/>
          </w:p>
          <w:p>
            <w:pPr>
              <w:pStyle w:val="TableText"/>
              <w:ind w:left="9" w:right="12" w:firstLine="16"/>
              <w:spacing w:before="59" w:line="261" w:lineRule="auto"/>
              <w:rPr/>
            </w:pPr>
            <w:r>
              <w:rPr>
                <w:spacing w:val="-6"/>
              </w:rPr>
              <w:t>1.强化乡镇的统一指挥和统筹协调职责，司法局负责研</w:t>
            </w:r>
            <w:r>
              <w:rPr/>
              <w:t>究制定派驻机构纳入乡镇统一指挥协调工作</w:t>
            </w:r>
            <w:r>
              <w:rPr>
                <w:spacing w:val="-1"/>
              </w:rPr>
              <w:t>机制的意</w:t>
            </w:r>
            <w:r>
              <w:rPr>
                <w:spacing w:val="-2"/>
              </w:rPr>
              <w:t>见。</w:t>
            </w:r>
          </w:p>
          <w:p>
            <w:pPr>
              <w:pStyle w:val="TableText"/>
              <w:ind w:left="11" w:right="12"/>
              <w:spacing w:before="77" w:line="250" w:lineRule="auto"/>
              <w:rPr/>
            </w:pPr>
            <w:r>
              <w:rPr>
                <w:spacing w:val="-5"/>
              </w:rPr>
              <w:t>2.司法局负责制定《乡镇综合执法事项清单》，明确执</w:t>
            </w:r>
            <w:r>
              <w:rPr>
                <w:spacing w:val="-1"/>
              </w:rPr>
              <w:t>法事项的范围、内容。</w:t>
            </w:r>
          </w:p>
          <w:p>
            <w:pPr>
              <w:pStyle w:val="TableText"/>
              <w:ind w:left="10" w:firstLine="4"/>
              <w:spacing w:before="71" w:line="253" w:lineRule="auto"/>
              <w:rPr/>
            </w:pPr>
            <w:r>
              <w:rPr>
                <w:spacing w:val="-5"/>
              </w:rPr>
              <w:t>3.编办和司法局分别负责组织编制《乡镇权责清单》，</w:t>
            </w:r>
            <w:r>
              <w:rPr>
                <w:spacing w:val="-2"/>
              </w:rPr>
              <w:t>进一步厘清县乡权责边界，压实责任。</w:t>
            </w:r>
          </w:p>
          <w:p>
            <w:pPr>
              <w:pStyle w:val="TableText"/>
              <w:ind w:left="10" w:right="72" w:hanging="1"/>
              <w:spacing w:before="64" w:line="264" w:lineRule="auto"/>
              <w:rPr/>
            </w:pPr>
            <w:r>
              <w:rPr>
                <w:spacing w:val="-2"/>
              </w:rPr>
              <w:t>4.司法局负责建立健全乡镇与县级部门行政</w:t>
            </w:r>
            <w:r>
              <w:rPr>
                <w:spacing w:val="-3"/>
              </w:rPr>
              <w:t>执法案件</w:t>
            </w:r>
            <w:r>
              <w:rPr>
                <w:spacing w:val="-1"/>
              </w:rPr>
              <w:t>移送机制及协调机制，按照各自行政执法权限有序开</w:t>
            </w:r>
            <w:r>
              <w:rPr>
                <w:spacing w:val="-1"/>
              </w:rPr>
              <w:t>展执法活动。</w:t>
            </w:r>
          </w:p>
        </w:tc>
        <w:tc>
          <w:tcPr>
            <w:tcW w:w="3242" w:type="dxa"/>
            <w:vAlign w:val="top"/>
          </w:tcPr>
          <w:p>
            <w:pPr>
              <w:spacing w:line="308" w:lineRule="auto"/>
              <w:rPr>
                <w:rFonts w:ascii="Arial"/>
                <w:sz w:val="21"/>
              </w:rPr>
            </w:pPr>
            <w:r/>
          </w:p>
          <w:p>
            <w:pPr>
              <w:spacing w:line="308" w:lineRule="auto"/>
              <w:rPr>
                <w:rFonts w:ascii="Arial"/>
                <w:sz w:val="21"/>
              </w:rPr>
            </w:pPr>
            <w:r/>
          </w:p>
          <w:p>
            <w:pPr>
              <w:pStyle w:val="TableText"/>
              <w:ind w:left="12" w:right="28" w:firstLine="18"/>
              <w:spacing w:before="58" w:line="250" w:lineRule="auto"/>
              <w:rPr/>
            </w:pPr>
            <w:r>
              <w:rPr>
                <w:spacing w:val="-4"/>
              </w:rPr>
              <w:t>1.严格落实属地管理原则，规范派驻机构</w:t>
            </w:r>
            <w:r>
              <w:rPr>
                <w:spacing w:val="-1"/>
              </w:rPr>
              <w:t>设置。</w:t>
            </w:r>
          </w:p>
          <w:p>
            <w:pPr>
              <w:pStyle w:val="TableText"/>
              <w:ind w:left="19" w:hanging="3"/>
              <w:spacing w:before="73" w:line="263" w:lineRule="auto"/>
              <w:rPr/>
            </w:pPr>
            <w:r>
              <w:rPr>
                <w:spacing w:val="-6"/>
              </w:rPr>
              <w:t>2.乡镇与行政执法部门按照各自职责，做</w:t>
            </w:r>
            <w:r>
              <w:rPr>
                <w:spacing w:val="-4"/>
              </w:rPr>
              <w:t>到及时查处行政违法案件，形成权责明</w:t>
            </w:r>
            <w:r>
              <w:rPr>
                <w:spacing w:val="1"/>
              </w:rPr>
              <w:t xml:space="preserve"> </w:t>
            </w:r>
            <w:r>
              <w:rPr>
                <w:spacing w:val="-11"/>
              </w:rPr>
              <w:t>晰、协调配合、高效运转的行政执法机制。</w:t>
            </w:r>
          </w:p>
          <w:p>
            <w:pPr>
              <w:pStyle w:val="TableText"/>
              <w:ind w:left="19"/>
              <w:spacing w:before="70" w:line="240" w:lineRule="exact"/>
              <w:rPr/>
            </w:pPr>
            <w:r>
              <w:rPr>
                <w:spacing w:val="-4"/>
                <w:position w:val="1"/>
              </w:rPr>
              <w:t>3.赋予乡镇党委对派驻机构的统一指挥</w:t>
            </w:r>
          </w:p>
          <w:p>
            <w:pPr>
              <w:pStyle w:val="TableText"/>
              <w:ind w:left="12" w:right="9" w:firstLine="1"/>
              <w:spacing w:before="40" w:line="251" w:lineRule="auto"/>
              <w:rPr/>
            </w:pPr>
            <w:r>
              <w:rPr>
                <w:spacing w:val="-2"/>
              </w:rPr>
              <w:t>权、干部管理考核权、主要负责人任免建</w:t>
            </w:r>
            <w:r>
              <w:rPr>
                <w:spacing w:val="-1"/>
              </w:rPr>
              <w:t>议权等。</w:t>
            </w:r>
          </w:p>
        </w:tc>
        <w:tc>
          <w:tcPr>
            <w:tcW w:w="1204" w:type="dxa"/>
            <w:vAlign w:val="top"/>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437" w:right="219"/>
              <w:spacing w:before="58" w:line="412" w:lineRule="auto"/>
              <w:rPr/>
            </w:pPr>
            <w:r>
              <w:rPr>
                <w:spacing w:val="-6"/>
              </w:rPr>
              <w:t>徐</w:t>
            </w:r>
            <w:r>
              <w:rPr>
                <w:spacing w:val="3"/>
              </w:rPr>
              <w:t xml:space="preserve">  </w:t>
            </w:r>
            <w:r>
              <w:rPr>
                <w:spacing w:val="-6"/>
              </w:rPr>
              <w:t>虎</w:t>
            </w:r>
            <w:r>
              <w:rPr>
                <w:spacing w:val="-2"/>
              </w:rPr>
              <w:t>石永忠</w:t>
            </w:r>
          </w:p>
        </w:tc>
        <w:tc>
          <w:tcPr>
            <w:tcW w:w="1204"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244" w:right="121" w:hanging="45"/>
              <w:spacing w:before="59" w:line="293" w:lineRule="auto"/>
              <w:rPr/>
            </w:pPr>
            <w:r>
              <w:rPr>
                <w:spacing w:val="-6"/>
              </w:rPr>
              <w:t>县委编办、</w:t>
            </w:r>
            <w:r>
              <w:rPr>
                <w:spacing w:val="-2"/>
              </w:rPr>
              <w:t>县司法局</w:t>
            </w:r>
          </w:p>
        </w:tc>
        <w:tc>
          <w:tcPr>
            <w:tcW w:w="1056" w:type="dxa"/>
            <w:vAlign w:val="top"/>
          </w:tcPr>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261"/>
              <w:spacing w:before="59" w:line="211" w:lineRule="auto"/>
              <w:rPr/>
            </w:pPr>
            <w:r>
              <w:rPr>
                <w:spacing w:val="-2"/>
              </w:rPr>
              <w:t>各乡镇</w:t>
            </w:r>
          </w:p>
        </w:tc>
        <w:tc>
          <w:tcPr>
            <w:tcW w:w="1170" w:type="dxa"/>
            <w:vAlign w:val="top"/>
            <w:tcBorders>
              <w:right w:val="single" w:color="000000" w:sz="6" w:space="0"/>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pStyle w:val="TableText"/>
              <w:ind w:left="246"/>
              <w:spacing w:before="58" w:line="241" w:lineRule="exact"/>
              <w:rPr/>
            </w:pPr>
            <w:r>
              <w:rPr>
                <w:spacing w:val="-3"/>
                <w:position w:val="1"/>
              </w:rPr>
              <w:t>4</w:t>
            </w:r>
            <w:r>
              <w:rPr>
                <w:spacing w:val="-37"/>
                <w:position w:val="1"/>
              </w:rPr>
              <w:t xml:space="preserve"> </w:t>
            </w:r>
            <w:r>
              <w:rPr>
                <w:spacing w:val="-3"/>
                <w:position w:val="1"/>
              </w:rPr>
              <w:t>月下旬</w:t>
            </w:r>
          </w:p>
        </w:tc>
      </w:tr>
      <w:tr>
        <w:trPr>
          <w:trHeight w:val="3783" w:hRule="atLeast"/>
        </w:trPr>
        <w:tc>
          <w:tcPr>
            <w:tcW w:w="534" w:type="dxa"/>
            <w:vAlign w:val="top"/>
            <w:tcBorders>
              <w:left w:val="single" w:color="000000" w:sz="6" w:space="0"/>
              <w:bottom w:val="single" w:color="000000" w:sz="6" w:space="0"/>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219"/>
              <w:spacing w:before="58" w:line="261" w:lineRule="exact"/>
              <w:rPr/>
            </w:pPr>
            <w:r>
              <w:rPr>
                <w:position w:val="2"/>
              </w:rPr>
              <w:t>8</w:t>
            </w:r>
          </w:p>
        </w:tc>
        <w:tc>
          <w:tcPr>
            <w:tcW w:w="1128" w:type="dxa"/>
            <w:vAlign w:val="top"/>
            <w:tcBorders>
              <w:bottom w:val="single" w:color="000000" w:sz="6" w:space="0"/>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pStyle w:val="TableText"/>
              <w:ind w:left="109" w:right="26" w:hanging="92"/>
              <w:spacing w:before="59" w:line="292" w:lineRule="auto"/>
              <w:rPr/>
            </w:pPr>
            <w:r>
              <w:rPr>
                <w:spacing w:val="-2"/>
              </w:rPr>
              <w:t>提升行政执法</w:t>
            </w:r>
            <w:r>
              <w:rPr>
                <w:spacing w:val="-2"/>
              </w:rPr>
              <w:t>能力和水平</w:t>
            </w:r>
          </w:p>
        </w:tc>
        <w:tc>
          <w:tcPr>
            <w:tcW w:w="4229" w:type="dxa"/>
            <w:vAlign w:val="top"/>
            <w:tcBorders>
              <w:bottom w:val="single" w:color="000000" w:sz="6" w:space="0"/>
            </w:tcBorders>
          </w:tcPr>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pStyle w:val="TableText"/>
              <w:ind w:left="11" w:firstLine="15"/>
              <w:spacing w:before="58" w:line="252" w:lineRule="auto"/>
              <w:rPr/>
            </w:pPr>
            <w:r>
              <w:rPr>
                <w:spacing w:val="-8"/>
              </w:rPr>
              <w:t>1.组织对乡镇综合行政执法人员的业务指导培训，规范</w:t>
            </w:r>
            <w:r>
              <w:rPr>
                <w:spacing w:val="-5"/>
              </w:rPr>
              <w:t>执法检查、受立案、调查、审查、决定等程序和行为。</w:t>
            </w:r>
          </w:p>
          <w:p>
            <w:pPr>
              <w:pStyle w:val="TableText"/>
              <w:ind w:left="10" w:right="12" w:firstLine="1"/>
              <w:spacing w:before="69" w:line="252" w:lineRule="auto"/>
              <w:rPr/>
            </w:pPr>
            <w:r>
              <w:rPr>
                <w:spacing w:val="-5"/>
              </w:rPr>
              <w:t>2.严格落实权责清单、自由裁量基准、执法责任制等制</w:t>
            </w:r>
            <w:r>
              <w:rPr>
                <w:spacing w:val="-1"/>
              </w:rPr>
              <w:t>度，全面推行行政执法三项制度。</w:t>
            </w:r>
          </w:p>
          <w:p>
            <w:pPr>
              <w:pStyle w:val="TableText"/>
              <w:ind w:left="14"/>
              <w:spacing w:before="68" w:line="241" w:lineRule="exact"/>
              <w:rPr/>
            </w:pPr>
            <w:r>
              <w:rPr>
                <w:spacing w:val="-3"/>
                <w:position w:val="1"/>
              </w:rPr>
              <w:t>3.组织做好行政执法信息化平台推广应用。</w:t>
            </w:r>
          </w:p>
        </w:tc>
        <w:tc>
          <w:tcPr>
            <w:tcW w:w="3242" w:type="dxa"/>
            <w:vAlign w:val="top"/>
            <w:tcBorders>
              <w:bottom w:val="single" w:color="000000" w:sz="6" w:space="0"/>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pStyle w:val="TableText"/>
              <w:ind w:left="15" w:right="3" w:hanging="1"/>
              <w:spacing w:before="58" w:line="287" w:lineRule="auto"/>
              <w:jc w:val="both"/>
              <w:rPr/>
            </w:pPr>
            <w:r>
              <w:rPr>
                <w:spacing w:val="-2"/>
              </w:rPr>
              <w:t>行政执法三项制度全面推行，做到执法行</w:t>
            </w:r>
            <w:r>
              <w:rPr>
                <w:spacing w:val="-2"/>
              </w:rPr>
              <w:t>为过程信息全程记载、执法全过程可追溯</w:t>
            </w:r>
            <w:r>
              <w:rPr>
                <w:spacing w:val="-2"/>
              </w:rPr>
              <w:t>管理、重大执法决定法制审核全覆盖，实</w:t>
            </w:r>
            <w:r>
              <w:rPr>
                <w:spacing w:val="-2"/>
              </w:rPr>
              <w:t>现执法信息公开透明、执法全过程留痕、</w:t>
            </w:r>
            <w:r>
              <w:rPr>
                <w:spacing w:val="-2"/>
              </w:rPr>
              <w:t>执法决定合法有效，行政执法能力和水平</w:t>
            </w:r>
            <w:r>
              <w:rPr>
                <w:spacing w:val="-1"/>
              </w:rPr>
              <w:t>整体大幅提升。</w:t>
            </w:r>
          </w:p>
        </w:tc>
        <w:tc>
          <w:tcPr>
            <w:tcW w:w="1204" w:type="dxa"/>
            <w:vAlign w:val="top"/>
            <w:tcBorders>
              <w:bottom w:val="single" w:color="000000" w:sz="6" w:space="0"/>
            </w:tcBorders>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335"/>
              <w:spacing w:before="58" w:line="212" w:lineRule="auto"/>
              <w:rPr/>
            </w:pPr>
            <w:r>
              <w:rPr>
                <w:spacing w:val="-2"/>
              </w:rPr>
              <w:t>石永忠</w:t>
            </w:r>
          </w:p>
        </w:tc>
        <w:tc>
          <w:tcPr>
            <w:tcW w:w="1204" w:type="dxa"/>
            <w:vAlign w:val="top"/>
            <w:tcBorders>
              <w:bottom w:val="single" w:color="000000" w:sz="6"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245"/>
              <w:spacing w:before="58" w:line="204" w:lineRule="auto"/>
              <w:rPr/>
            </w:pPr>
            <w:r>
              <w:rPr>
                <w:spacing w:val="-2"/>
              </w:rPr>
              <w:t>县司法局</w:t>
            </w:r>
          </w:p>
        </w:tc>
        <w:tc>
          <w:tcPr>
            <w:tcW w:w="1056" w:type="dxa"/>
            <w:vAlign w:val="top"/>
            <w:tcBorders>
              <w:bottom w:val="single" w:color="000000" w:sz="6" w:space="0"/>
            </w:tcBorders>
          </w:tcPr>
          <w:p>
            <w:pPr>
              <w:spacing w:line="334" w:lineRule="auto"/>
              <w:rPr>
                <w:rFonts w:ascii="Arial"/>
                <w:sz w:val="21"/>
              </w:rPr>
            </w:pPr>
            <w:r/>
          </w:p>
          <w:p>
            <w:pPr>
              <w:pStyle w:val="TableText"/>
              <w:ind w:left="172"/>
              <w:spacing w:before="58" w:line="211" w:lineRule="auto"/>
              <w:rPr/>
            </w:pPr>
            <w:r>
              <w:rPr>
                <w:spacing w:val="-2"/>
              </w:rPr>
              <w:t>文广局、</w:t>
            </w:r>
          </w:p>
          <w:p>
            <w:pPr>
              <w:pStyle w:val="TableText"/>
              <w:ind w:left="97" w:hanging="44"/>
              <w:spacing w:before="72" w:line="287" w:lineRule="auto"/>
              <w:rPr/>
            </w:pPr>
            <w:r>
              <w:rPr>
                <w:spacing w:val="-15"/>
              </w:rPr>
              <w:t>自然资源局、</w:t>
            </w:r>
            <w:r>
              <w:rPr>
                <w:spacing w:val="-9"/>
              </w:rPr>
              <w:t>固原市生态</w:t>
            </w:r>
          </w:p>
          <w:p>
            <w:pPr>
              <w:pStyle w:val="TableText"/>
              <w:ind w:left="262" w:right="67" w:hanging="179"/>
              <w:spacing w:line="287" w:lineRule="auto"/>
              <w:rPr/>
            </w:pPr>
            <w:r>
              <w:rPr>
                <w:spacing w:val="-1"/>
              </w:rPr>
              <w:t>环境局隆德</w:t>
            </w:r>
            <w:r>
              <w:rPr>
                <w:spacing w:val="-2"/>
              </w:rPr>
              <w:t>分局、</w:t>
            </w:r>
          </w:p>
          <w:p>
            <w:pPr>
              <w:pStyle w:val="TableText"/>
              <w:ind w:left="169"/>
              <w:spacing w:line="213" w:lineRule="auto"/>
              <w:rPr/>
            </w:pPr>
            <w:r>
              <w:rPr>
                <w:spacing w:val="-1"/>
              </w:rPr>
              <w:t>住建局、</w:t>
            </w:r>
          </w:p>
          <w:p>
            <w:pPr>
              <w:pStyle w:val="TableText"/>
              <w:ind w:left="170"/>
              <w:spacing w:before="75" w:line="208" w:lineRule="auto"/>
              <w:rPr/>
            </w:pPr>
            <w:r>
              <w:rPr>
                <w:spacing w:val="-1"/>
              </w:rPr>
              <w:t>交通局、</w:t>
            </w:r>
          </w:p>
          <w:p>
            <w:pPr>
              <w:pStyle w:val="TableText"/>
              <w:ind w:left="78"/>
              <w:spacing w:before="76" w:line="209" w:lineRule="auto"/>
              <w:rPr/>
            </w:pPr>
            <w:r>
              <w:rPr>
                <w:spacing w:val="-1"/>
              </w:rPr>
              <w:t>农业农村局</w:t>
            </w:r>
          </w:p>
          <w:p>
            <w:pPr>
              <w:pStyle w:val="TableText"/>
              <w:ind w:left="83"/>
              <w:spacing w:before="76" w:line="213" w:lineRule="auto"/>
              <w:rPr/>
            </w:pPr>
            <w:r>
              <w:rPr>
                <w:spacing w:val="-1"/>
              </w:rPr>
              <w:t>市监局等相</w:t>
            </w:r>
          </w:p>
          <w:p>
            <w:pPr>
              <w:pStyle w:val="TableText"/>
              <w:ind w:left="169"/>
              <w:spacing w:before="72" w:line="213" w:lineRule="auto"/>
              <w:rPr/>
            </w:pPr>
            <w:r>
              <w:rPr>
                <w:spacing w:val="-1"/>
              </w:rPr>
              <w:t>关部门，</w:t>
            </w:r>
          </w:p>
          <w:p>
            <w:pPr>
              <w:pStyle w:val="TableText"/>
              <w:ind w:left="261"/>
              <w:spacing w:before="72" w:line="211" w:lineRule="auto"/>
              <w:rPr/>
            </w:pPr>
            <w:r>
              <w:rPr>
                <w:spacing w:val="-2"/>
              </w:rPr>
              <w:t>各乡镇</w:t>
            </w:r>
          </w:p>
        </w:tc>
        <w:tc>
          <w:tcPr>
            <w:tcW w:w="1170" w:type="dxa"/>
            <w:vAlign w:val="top"/>
            <w:tcBorders>
              <w:bottom w:val="single" w:color="000000" w:sz="6" w:space="0"/>
              <w:right w:val="single" w:color="000000" w:sz="6" w:space="0"/>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249"/>
              <w:spacing w:before="58" w:line="241" w:lineRule="exact"/>
              <w:rPr/>
            </w:pPr>
            <w:r>
              <w:rPr>
                <w:spacing w:val="-4"/>
                <w:position w:val="1"/>
              </w:rPr>
              <w:t>6</w:t>
            </w:r>
            <w:r>
              <w:rPr>
                <w:spacing w:val="-37"/>
                <w:position w:val="1"/>
              </w:rPr>
              <w:t xml:space="preserve"> </w:t>
            </w:r>
            <w:r>
              <w:rPr>
                <w:spacing w:val="-4"/>
                <w:position w:val="1"/>
              </w:rPr>
              <w:t>月中旬</w:t>
            </w:r>
          </w:p>
        </w:tc>
      </w:tr>
    </w:tbl>
    <w:p>
      <w:pPr>
        <w:spacing w:line="140" w:lineRule="exact"/>
        <w:rPr>
          <w:rFonts w:ascii="Arial"/>
          <w:sz w:val="12"/>
        </w:rPr>
      </w:pPr>
      <w:r/>
    </w:p>
    <w:p>
      <w:pPr>
        <w:spacing w:line="140" w:lineRule="exact"/>
        <w:sectPr>
          <w:headerReference w:type="default" r:id="rId391"/>
          <w:footerReference w:type="default" r:id="rId397"/>
          <w:pgSz w:w="16839" w:h="11906"/>
          <w:pgMar w:top="1792" w:right="1486" w:bottom="1672" w:left="1527" w:header="1428" w:footer="1277" w:gutter="0"/>
        </w:sectPr>
        <w:rPr>
          <w:rFonts w:ascii="Arial" w:hAnsi="Arial" w:eastAsia="Arial" w:cs="Arial"/>
          <w:sz w:val="12"/>
          <w:szCs w:val="12"/>
        </w:rPr>
      </w:pPr>
    </w:p>
    <w:p>
      <w:pPr>
        <w:spacing w:line="177" w:lineRule="exact"/>
        <w:rPr/>
      </w:pPr>
      <w:r>
        <w:drawing>
          <wp:anchor distT="0" distB="0" distL="0" distR="0" simplePos="0" relativeHeight="251940864" behindDoc="0" locked="0" layoutInCell="0" allowOverlap="1">
            <wp:simplePos x="0" y="0"/>
            <wp:positionH relativeFrom="page">
              <wp:posOffset>1008380</wp:posOffset>
            </wp:positionH>
            <wp:positionV relativeFrom="page">
              <wp:posOffset>1147445</wp:posOffset>
            </wp:positionV>
            <wp:extent cx="8712200" cy="7620"/>
            <wp:effectExtent l="0" t="0" r="0" b="0"/>
            <wp:wrapNone/>
            <wp:docPr id="796" name="IM 796"/>
            <wp:cNvGraphicFramePr/>
            <a:graphic>
              <a:graphicData uri="http://schemas.openxmlformats.org/drawingml/2006/picture">
                <pic:pic>
                  <pic:nvPicPr>
                    <pic:cNvPr id="796" name="IM 796"/>
                    <pic:cNvPicPr/>
                  </pic:nvPicPr>
                  <pic:blipFill>
                    <a:blip r:embed="rId400"/>
                    <a:stretch>
                      <a:fillRect/>
                    </a:stretch>
                  </pic:blipFill>
                  <pic:spPr>
                    <a:xfrm rot="0">
                      <a:off x="0" y="0"/>
                      <a:ext cx="8712200" cy="7620"/>
                    </a:xfrm>
                    <a:prstGeom prst="rect">
                      <a:avLst/>
                    </a:prstGeom>
                  </pic:spPr>
                </pic:pic>
              </a:graphicData>
            </a:graphic>
          </wp:anchor>
        </w:drawing>
      </w:r>
      <w:r/>
    </w:p>
    <w:tbl>
      <w:tblPr>
        <w:tblStyle w:val="TableNormal"/>
        <w:tblW w:w="13767"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34"/>
        <w:gridCol w:w="1128"/>
        <w:gridCol w:w="4229"/>
        <w:gridCol w:w="3242"/>
        <w:gridCol w:w="1204"/>
        <w:gridCol w:w="1204"/>
        <w:gridCol w:w="1056"/>
        <w:gridCol w:w="1170"/>
      </w:tblGrid>
      <w:tr>
        <w:trPr>
          <w:trHeight w:val="741" w:hRule="atLeast"/>
        </w:trPr>
        <w:tc>
          <w:tcPr>
            <w:tcW w:w="534" w:type="dxa"/>
            <w:vAlign w:val="top"/>
            <w:tcBorders>
              <w:left w:val="single" w:color="000000" w:sz="6" w:space="0"/>
              <w:top w:val="single" w:color="000000" w:sz="6" w:space="0"/>
            </w:tcBorders>
          </w:tcPr>
          <w:p>
            <w:pPr>
              <w:spacing w:line="243" w:lineRule="auto"/>
              <w:rPr>
                <w:rFonts w:ascii="Arial"/>
                <w:sz w:val="21"/>
              </w:rPr>
            </w:pPr>
            <w:r/>
          </w:p>
          <w:p>
            <w:pPr>
              <w:pStyle w:val="TableText"/>
              <w:ind w:left="81"/>
              <w:spacing w:before="58" w:line="214" w:lineRule="auto"/>
              <w:rPr/>
            </w:pPr>
            <w:r>
              <w:rPr>
                <w:b/>
                <w:bCs/>
                <w:spacing w:val="-4"/>
              </w:rPr>
              <w:t>序号</w:t>
            </w:r>
          </w:p>
        </w:tc>
        <w:tc>
          <w:tcPr>
            <w:tcW w:w="1128" w:type="dxa"/>
            <w:vAlign w:val="top"/>
            <w:tcBorders>
              <w:top w:val="single" w:color="000000" w:sz="6" w:space="0"/>
            </w:tcBorders>
          </w:tcPr>
          <w:p>
            <w:pPr>
              <w:spacing w:line="243" w:lineRule="auto"/>
              <w:rPr>
                <w:rFonts w:ascii="Arial"/>
                <w:sz w:val="21"/>
              </w:rPr>
            </w:pPr>
            <w:r/>
          </w:p>
          <w:p>
            <w:pPr>
              <w:pStyle w:val="TableText"/>
              <w:ind w:left="202"/>
              <w:spacing w:before="58" w:line="213" w:lineRule="auto"/>
              <w:rPr/>
            </w:pPr>
            <w:r>
              <w:rPr>
                <w:b/>
                <w:bCs/>
                <w:spacing w:val="-4"/>
              </w:rPr>
              <w:t>主要任务</w:t>
            </w:r>
          </w:p>
        </w:tc>
        <w:tc>
          <w:tcPr>
            <w:tcW w:w="4229" w:type="dxa"/>
            <w:vAlign w:val="top"/>
            <w:tcBorders>
              <w:top w:val="single" w:color="000000" w:sz="6" w:space="0"/>
            </w:tcBorders>
          </w:tcPr>
          <w:p>
            <w:pPr>
              <w:spacing w:line="245" w:lineRule="auto"/>
              <w:rPr>
                <w:rFonts w:ascii="Arial"/>
                <w:sz w:val="21"/>
              </w:rPr>
            </w:pPr>
            <w:r/>
          </w:p>
          <w:p>
            <w:pPr>
              <w:pStyle w:val="TableText"/>
              <w:ind w:left="1752"/>
              <w:spacing w:before="58" w:line="211" w:lineRule="auto"/>
              <w:rPr/>
            </w:pPr>
            <w:r>
              <w:rPr>
                <w:b/>
                <w:bCs/>
                <w:spacing w:val="-3"/>
              </w:rPr>
              <w:t>推进措施</w:t>
            </w:r>
          </w:p>
        </w:tc>
        <w:tc>
          <w:tcPr>
            <w:tcW w:w="3242" w:type="dxa"/>
            <w:vAlign w:val="top"/>
            <w:tcBorders>
              <w:top w:val="single" w:color="000000" w:sz="6" w:space="0"/>
            </w:tcBorders>
          </w:tcPr>
          <w:p>
            <w:pPr>
              <w:spacing w:line="244" w:lineRule="auto"/>
              <w:rPr>
                <w:rFonts w:ascii="Arial"/>
                <w:sz w:val="21"/>
              </w:rPr>
            </w:pPr>
            <w:r/>
          </w:p>
          <w:p>
            <w:pPr>
              <w:pStyle w:val="TableText"/>
              <w:ind w:left="1264"/>
              <w:spacing w:before="59" w:line="211" w:lineRule="auto"/>
              <w:rPr/>
            </w:pPr>
            <w:r>
              <w:rPr>
                <w:b/>
                <w:bCs/>
                <w:spacing w:val="-4"/>
              </w:rPr>
              <w:t>预期目标</w:t>
            </w:r>
          </w:p>
        </w:tc>
        <w:tc>
          <w:tcPr>
            <w:tcW w:w="1204" w:type="dxa"/>
            <w:vAlign w:val="top"/>
            <w:tcBorders>
              <w:top w:val="single" w:color="000000" w:sz="6" w:space="0"/>
            </w:tcBorders>
          </w:tcPr>
          <w:p>
            <w:pPr>
              <w:spacing w:line="243" w:lineRule="auto"/>
              <w:rPr>
                <w:rFonts w:ascii="Arial"/>
                <w:sz w:val="21"/>
              </w:rPr>
            </w:pPr>
            <w:r/>
          </w:p>
          <w:p>
            <w:pPr>
              <w:pStyle w:val="TableText"/>
              <w:ind w:left="246"/>
              <w:spacing w:before="58" w:line="213" w:lineRule="auto"/>
              <w:rPr/>
            </w:pPr>
            <w:r>
              <w:rPr>
                <w:b/>
                <w:bCs/>
                <w:spacing w:val="-3"/>
              </w:rPr>
              <w:t>责任领导</w:t>
            </w:r>
          </w:p>
        </w:tc>
        <w:tc>
          <w:tcPr>
            <w:tcW w:w="1204" w:type="dxa"/>
            <w:vAlign w:val="top"/>
            <w:tcBorders>
              <w:top w:val="single" w:color="000000" w:sz="6" w:space="0"/>
            </w:tcBorders>
          </w:tcPr>
          <w:p>
            <w:pPr>
              <w:spacing w:line="243" w:lineRule="auto"/>
              <w:rPr>
                <w:rFonts w:ascii="Arial"/>
                <w:sz w:val="21"/>
              </w:rPr>
            </w:pPr>
            <w:r/>
          </w:p>
          <w:p>
            <w:pPr>
              <w:pStyle w:val="TableText"/>
              <w:ind w:left="246"/>
              <w:spacing w:before="59" w:line="212" w:lineRule="auto"/>
              <w:rPr/>
            </w:pPr>
            <w:r>
              <w:rPr>
                <w:b/>
                <w:bCs/>
                <w:spacing w:val="-3"/>
              </w:rPr>
              <w:t>牵头单位</w:t>
            </w:r>
          </w:p>
        </w:tc>
        <w:tc>
          <w:tcPr>
            <w:tcW w:w="1056" w:type="dxa"/>
            <w:vAlign w:val="top"/>
            <w:tcBorders>
              <w:top w:val="single" w:color="000000" w:sz="6" w:space="0"/>
            </w:tcBorders>
          </w:tcPr>
          <w:p>
            <w:pPr>
              <w:spacing w:line="243" w:lineRule="auto"/>
              <w:rPr>
                <w:rFonts w:ascii="Arial"/>
                <w:sz w:val="21"/>
              </w:rPr>
            </w:pPr>
            <w:r/>
          </w:p>
          <w:p>
            <w:pPr>
              <w:pStyle w:val="TableText"/>
              <w:ind w:left="173"/>
              <w:spacing w:before="58" w:line="214" w:lineRule="auto"/>
              <w:rPr/>
            </w:pPr>
            <w:r>
              <w:rPr>
                <w:b/>
                <w:bCs/>
                <w:spacing w:val="-3"/>
              </w:rPr>
              <w:t>实施单位</w:t>
            </w:r>
          </w:p>
        </w:tc>
        <w:tc>
          <w:tcPr>
            <w:tcW w:w="1170" w:type="dxa"/>
            <w:vAlign w:val="top"/>
            <w:tcBorders>
              <w:right w:val="single" w:color="000000" w:sz="6" w:space="0"/>
              <w:top w:val="single" w:color="000000" w:sz="6" w:space="0"/>
            </w:tcBorders>
          </w:tcPr>
          <w:p>
            <w:pPr>
              <w:spacing w:line="244" w:lineRule="auto"/>
              <w:rPr>
                <w:rFonts w:ascii="Arial"/>
                <w:sz w:val="21"/>
              </w:rPr>
            </w:pPr>
            <w:r/>
          </w:p>
          <w:p>
            <w:pPr>
              <w:pStyle w:val="TableText"/>
              <w:ind w:left="226"/>
              <w:spacing w:before="59" w:line="211" w:lineRule="auto"/>
              <w:rPr/>
            </w:pPr>
            <w:r>
              <w:rPr>
                <w:b/>
                <w:bCs/>
                <w:spacing w:val="-3"/>
              </w:rPr>
              <w:t>完成时限</w:t>
            </w:r>
          </w:p>
        </w:tc>
      </w:tr>
      <w:tr>
        <w:trPr>
          <w:trHeight w:val="7425" w:hRule="atLeast"/>
        </w:trPr>
        <w:tc>
          <w:tcPr>
            <w:tcW w:w="534" w:type="dxa"/>
            <w:vAlign w:val="top"/>
            <w:tcBorders>
              <w:left w:val="single" w:color="000000" w:sz="6" w:space="0"/>
              <w:bottom w:val="single" w:color="000000" w:sz="6" w:space="0"/>
            </w:tcBorders>
          </w:tcPr>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216"/>
              <w:spacing w:before="58" w:line="261" w:lineRule="exact"/>
              <w:rPr/>
            </w:pPr>
            <w:r>
              <w:rPr>
                <w:position w:val="2"/>
              </w:rPr>
              <w:t>9</w:t>
            </w:r>
          </w:p>
        </w:tc>
        <w:tc>
          <w:tcPr>
            <w:tcW w:w="1128" w:type="dxa"/>
            <w:vAlign w:val="top"/>
            <w:tcBorders>
              <w:bottom w:val="single" w:color="000000" w:sz="6" w:space="0"/>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285" w:right="115" w:hanging="176"/>
              <w:spacing w:before="58" w:line="293" w:lineRule="auto"/>
              <w:rPr/>
            </w:pPr>
            <w:r>
              <w:rPr>
                <w:spacing w:val="-2"/>
              </w:rPr>
              <w:t>实现“多网</w:t>
            </w:r>
            <w:r>
              <w:rPr>
                <w:spacing w:val="29"/>
              </w:rPr>
              <w:t>合一”</w:t>
            </w:r>
          </w:p>
        </w:tc>
        <w:tc>
          <w:tcPr>
            <w:tcW w:w="4229" w:type="dxa"/>
            <w:vAlign w:val="top"/>
            <w:tcBorders>
              <w:bottom w:val="single" w:color="000000" w:sz="6" w:space="0"/>
            </w:tcBorders>
          </w:tcPr>
          <w:p>
            <w:pPr>
              <w:spacing w:line="468" w:lineRule="auto"/>
              <w:rPr>
                <w:rFonts w:ascii="Arial"/>
                <w:sz w:val="21"/>
              </w:rPr>
            </w:pPr>
            <w:r/>
          </w:p>
          <w:p>
            <w:pPr>
              <w:pStyle w:val="TableText"/>
              <w:ind w:left="9" w:right="12" w:firstLine="16"/>
              <w:spacing w:before="58" w:line="269" w:lineRule="auto"/>
              <w:rPr/>
            </w:pPr>
            <w:r>
              <w:rPr>
                <w:spacing w:val="-6"/>
              </w:rPr>
              <w:t>1.制定具体实施方案，将上级部门在基层设置的多个网</w:t>
            </w:r>
            <w:r>
              <w:rPr/>
              <w:t>格整合为一个综合网格，依托村（社区）合</w:t>
            </w:r>
            <w:r>
              <w:rPr>
                <w:spacing w:val="-1"/>
              </w:rPr>
              <w:t>理划分基</w:t>
            </w:r>
            <w:r>
              <w:rPr/>
              <w:t>本网格单元，统筹网格内党的建设、社会保</w:t>
            </w:r>
            <w:r>
              <w:rPr>
                <w:spacing w:val="-1"/>
              </w:rPr>
              <w:t>障、综合</w:t>
            </w:r>
            <w:r>
              <w:rPr>
                <w:spacing w:val="-1"/>
              </w:rPr>
              <w:t>治理、应急管理、社会救助等工作。</w:t>
            </w:r>
          </w:p>
          <w:p>
            <w:pPr>
              <w:pStyle w:val="TableText"/>
              <w:ind w:left="11"/>
              <w:spacing w:before="69" w:line="252" w:lineRule="auto"/>
              <w:rPr/>
            </w:pPr>
            <w:r>
              <w:rPr>
                <w:spacing w:val="-12"/>
              </w:rPr>
              <w:t>2.结合村“两委换届”科学划分网格，配强配齐网格员，</w:t>
            </w:r>
            <w:r>
              <w:rPr>
                <w:spacing w:val="-3"/>
              </w:rPr>
              <w:t>落实网格员待遇。</w:t>
            </w:r>
          </w:p>
          <w:p>
            <w:pPr>
              <w:pStyle w:val="TableText"/>
              <w:ind w:left="9" w:firstLine="5"/>
              <w:spacing w:before="69" w:line="277" w:lineRule="auto"/>
              <w:rPr/>
            </w:pPr>
            <w:r>
              <w:rPr>
                <w:spacing w:val="-5"/>
              </w:rPr>
              <w:t>3.建立健全相关制度，合理确定网格监管任务和事项，</w:t>
            </w:r>
            <w:r>
              <w:rPr>
                <w:spacing w:val="-1"/>
              </w:rPr>
              <w:t>将网格内的人、地、物、事、组织等基础信息</w:t>
            </w:r>
            <w:r>
              <w:rPr>
                <w:spacing w:val="-2"/>
              </w:rPr>
              <w:t>和社情</w:t>
            </w:r>
            <w:r>
              <w:rPr>
                <w:spacing w:val="-1"/>
              </w:rPr>
              <w:t>民意、全程代办服务等事项，全部纳入网格化</w:t>
            </w:r>
            <w:r>
              <w:rPr>
                <w:spacing w:val="-2"/>
              </w:rPr>
              <w:t>服务管</w:t>
            </w:r>
            <w:r>
              <w:rPr>
                <w:spacing w:val="-1"/>
              </w:rPr>
              <w:t>理工作范围。实行定人、定岗、定责。建立健</w:t>
            </w:r>
            <w:r>
              <w:rPr>
                <w:spacing w:val="-2"/>
              </w:rPr>
              <w:t>全网格</w:t>
            </w:r>
            <w:r>
              <w:rPr>
                <w:spacing w:val="-1"/>
              </w:rPr>
              <w:t>民情民意调查摸排、快速反馈、分析研判等制</w:t>
            </w:r>
            <w:r>
              <w:rPr>
                <w:spacing w:val="-2"/>
              </w:rPr>
              <w:t>度，推</w:t>
            </w:r>
            <w:r>
              <w:rPr>
                <w:spacing w:val="-1"/>
              </w:rPr>
              <w:t>动需求在网格征集、资源在网格整合、问题在</w:t>
            </w:r>
            <w:r>
              <w:rPr>
                <w:spacing w:val="-2"/>
              </w:rPr>
              <w:t>网格解</w:t>
            </w:r>
            <w:r>
              <w:rPr>
                <w:spacing w:val="-2"/>
              </w:rPr>
              <w:t>决，提高基层治理精准化水平。</w:t>
            </w:r>
          </w:p>
          <w:p>
            <w:pPr>
              <w:pStyle w:val="TableText"/>
              <w:ind w:left="10" w:right="12" w:hanging="1"/>
              <w:spacing w:before="67" w:line="264" w:lineRule="auto"/>
              <w:rPr/>
            </w:pPr>
            <w:r>
              <w:rPr>
                <w:spacing w:val="-5"/>
              </w:rPr>
              <w:t>4.强化党建引领，将党支部或党小组建在网格上，以网</w:t>
            </w:r>
            <w:r>
              <w:rPr>
                <w:spacing w:val="-1"/>
              </w:rPr>
              <w:t>格为基本单元，设立党员示范岗、党员先锋岗、党员</w:t>
            </w:r>
            <w:r>
              <w:rPr>
                <w:spacing w:val="-1"/>
              </w:rPr>
              <w:t>责任区等，选优配强党支部书记或党小组组长。</w:t>
            </w:r>
          </w:p>
          <w:p>
            <w:pPr>
              <w:pStyle w:val="TableText"/>
              <w:ind w:left="12" w:right="12"/>
              <w:spacing w:before="70" w:line="266" w:lineRule="auto"/>
              <w:rPr/>
            </w:pPr>
            <w:r>
              <w:rPr>
                <w:spacing w:val="-5"/>
              </w:rPr>
              <w:t>5.制定完善村（社区）党支部、党小组及网格员管</w:t>
            </w:r>
            <w:r>
              <w:rPr>
                <w:spacing w:val="-6"/>
              </w:rPr>
              <w:t>理考</w:t>
            </w:r>
            <w:r>
              <w:rPr>
                <w:spacing w:val="-1"/>
              </w:rPr>
              <w:t>核奖励办法（细则）和工作人员薪酬福利奖励政策。</w:t>
            </w:r>
          </w:p>
          <w:p>
            <w:pPr>
              <w:pStyle w:val="TableText"/>
              <w:ind w:left="9" w:right="12" w:firstLine="3"/>
              <w:spacing w:before="42" w:line="273" w:lineRule="auto"/>
              <w:rPr/>
            </w:pPr>
            <w:r>
              <w:rPr>
                <w:spacing w:val="-5"/>
              </w:rPr>
              <w:t>6.创新管理机制，打造样板模式，以点带面，推进</w:t>
            </w:r>
            <w:r>
              <w:rPr>
                <w:spacing w:val="-6"/>
              </w:rPr>
              <w:t>网格</w:t>
            </w:r>
            <w:r>
              <w:rPr/>
              <w:t>化服务管理标准化建设，细化工作流程，推</w:t>
            </w:r>
            <w:r>
              <w:rPr>
                <w:spacing w:val="-1"/>
              </w:rPr>
              <w:t>进城乡统</w:t>
            </w:r>
            <w:r>
              <w:rPr/>
              <w:t>筹，提高网格管理规范化精细化水平，加强</w:t>
            </w:r>
            <w:r>
              <w:rPr>
                <w:spacing w:val="-1"/>
              </w:rPr>
              <w:t>网格资源</w:t>
            </w:r>
            <w:r>
              <w:rPr/>
              <w:t>配置，把公共服务、社会服务、市场服务、</w:t>
            </w:r>
            <w:r>
              <w:rPr>
                <w:spacing w:val="-1"/>
              </w:rPr>
              <w:t>志愿服务</w:t>
            </w:r>
            <w:r>
              <w:rPr>
                <w:spacing w:val="-1"/>
              </w:rPr>
              <w:t>下沉到网格，精准投送到千家万户。</w:t>
            </w:r>
          </w:p>
        </w:tc>
        <w:tc>
          <w:tcPr>
            <w:tcW w:w="3242" w:type="dxa"/>
            <w:vAlign w:val="top"/>
            <w:tcBorders>
              <w:bottom w:val="single" w:color="000000" w:sz="6" w:space="0"/>
            </w:tcBorders>
          </w:tcPr>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5" w:right="5" w:firstLine="15"/>
              <w:spacing w:before="59" w:line="275" w:lineRule="auto"/>
              <w:rPr/>
            </w:pPr>
            <w:r>
              <w:rPr>
                <w:spacing w:val="-4"/>
              </w:rPr>
              <w:t>1.整合设置基层综合网络，建立以乡镇为</w:t>
            </w:r>
            <w:r>
              <w:rPr>
                <w:spacing w:val="-5"/>
              </w:rPr>
              <w:t>主体、以网格为基本单元、以村(社区)为</w:t>
            </w:r>
            <w:r>
              <w:rPr>
                <w:spacing w:val="-2"/>
              </w:rPr>
              <w:t>统领的基层精细化管理体系，实现从“行</w:t>
            </w:r>
            <w:r>
              <w:rPr>
                <w:spacing w:val="-11"/>
              </w:rPr>
              <w:t>政末端”向“治理中枢”的转变，村(社区)</w:t>
            </w:r>
            <w:r>
              <w:rPr>
                <w:spacing w:val="-2"/>
              </w:rPr>
              <w:t>实现从“抓事务”到“抓服务”的转型。</w:t>
            </w:r>
            <w:r>
              <w:rPr>
                <w:spacing w:val="-1"/>
              </w:rPr>
              <w:t>完成年度平安建设考核考评工作。</w:t>
            </w:r>
          </w:p>
          <w:p>
            <w:pPr>
              <w:pStyle w:val="TableText"/>
              <w:ind w:left="15" w:right="9" w:firstLine="1"/>
              <w:spacing w:before="69" w:line="270" w:lineRule="auto"/>
              <w:rPr/>
            </w:pPr>
            <w:r>
              <w:rPr>
                <w:spacing w:val="-11"/>
              </w:rPr>
              <w:t>2.推动实现“多网合一”，将党建服务点设</w:t>
            </w:r>
            <w:r>
              <w:rPr>
                <w:spacing w:val="-2"/>
              </w:rPr>
              <w:t>在网格，实现党的组织和工作全覆盖。推</w:t>
            </w:r>
            <w:r>
              <w:rPr>
                <w:spacing w:val="-2"/>
              </w:rPr>
              <w:t>进单位党建、行业党建、区域党建互联互</w:t>
            </w:r>
            <w:r>
              <w:rPr>
                <w:spacing w:val="-1"/>
              </w:rPr>
              <w:t>动，不断提高基层治理现代化水平。</w:t>
            </w:r>
          </w:p>
          <w:p>
            <w:pPr>
              <w:pStyle w:val="TableText"/>
              <w:ind w:left="15" w:right="9" w:firstLine="3"/>
              <w:spacing w:before="68" w:line="269" w:lineRule="auto"/>
              <w:rPr/>
            </w:pPr>
            <w:r>
              <w:rPr>
                <w:spacing w:val="-3"/>
              </w:rPr>
              <w:t>3.进一步提升村（社区）网格化管理服务</w:t>
            </w:r>
            <w:r>
              <w:rPr>
                <w:spacing w:val="-2"/>
              </w:rPr>
              <w:t>规范化精细化水平，网格划分更加科学合</w:t>
            </w:r>
            <w:r>
              <w:rPr>
                <w:spacing w:val="-1"/>
              </w:rPr>
              <w:t>理、网格员队伍能力素质得到进一步提</w:t>
            </w:r>
            <w:r>
              <w:rPr>
                <w:spacing w:val="-3"/>
              </w:rPr>
              <w:t>升。</w:t>
            </w:r>
          </w:p>
        </w:tc>
        <w:tc>
          <w:tcPr>
            <w:tcW w:w="1204" w:type="dxa"/>
            <w:vAlign w:val="top"/>
            <w:tcBorders>
              <w:bottom w:val="single" w:color="000000" w:sz="6" w:space="0"/>
            </w:tcBorders>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333" w:right="322" w:firstLine="7"/>
              <w:spacing w:before="59" w:line="287" w:lineRule="auto"/>
              <w:jc w:val="both"/>
              <w:rPr/>
            </w:pPr>
            <w:r>
              <w:rPr>
                <w:spacing w:val="-4"/>
              </w:rPr>
              <w:t>马金平</w:t>
            </w:r>
            <w:r>
              <w:rPr>
                <w:spacing w:val="-5"/>
              </w:rPr>
              <w:t>徐</w:t>
            </w:r>
            <w:r>
              <w:rPr>
                <w:spacing w:val="3"/>
              </w:rPr>
              <w:t xml:space="preserve">  </w:t>
            </w:r>
            <w:r>
              <w:rPr>
                <w:spacing w:val="-5"/>
              </w:rPr>
              <w:t>虎</w:t>
            </w:r>
            <w:r>
              <w:rPr>
                <w:spacing w:val="-1"/>
              </w:rPr>
              <w:t>陈国栋</w:t>
            </w:r>
            <w:r>
              <w:rPr>
                <w:spacing w:val="-1"/>
              </w:rPr>
              <w:t>柳春梅</w:t>
            </w:r>
          </w:p>
        </w:tc>
        <w:tc>
          <w:tcPr>
            <w:tcW w:w="1204" w:type="dxa"/>
            <w:vAlign w:val="top"/>
            <w:tcBorders>
              <w:bottom w:val="single" w:color="000000" w:sz="6" w:space="0"/>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65"/>
              <w:spacing w:before="59" w:line="210" w:lineRule="auto"/>
              <w:rPr/>
            </w:pPr>
            <w:r>
              <w:rPr>
                <w:spacing w:val="-1"/>
              </w:rPr>
              <w:t>县委组织部、</w:t>
            </w:r>
          </w:p>
          <w:p>
            <w:pPr>
              <w:pStyle w:val="TableText"/>
              <w:ind w:left="65"/>
              <w:spacing w:before="75" w:line="211" w:lineRule="auto"/>
              <w:rPr/>
            </w:pPr>
            <w:r>
              <w:rPr>
                <w:spacing w:val="-1"/>
              </w:rPr>
              <w:t>县委政法委、</w:t>
            </w:r>
          </w:p>
          <w:p>
            <w:pPr>
              <w:pStyle w:val="TableText"/>
              <w:ind w:left="244" w:right="164" w:hanging="88"/>
              <w:spacing w:before="75" w:line="289" w:lineRule="auto"/>
              <w:rPr/>
            </w:pPr>
            <w:r>
              <w:rPr>
                <w:spacing w:val="-6"/>
              </w:rPr>
              <w:t>县民政局、</w:t>
            </w:r>
            <w:r>
              <w:rPr>
                <w:spacing w:val="-2"/>
              </w:rPr>
              <w:t>县审批局</w:t>
            </w:r>
          </w:p>
        </w:tc>
        <w:tc>
          <w:tcPr>
            <w:tcW w:w="1056" w:type="dxa"/>
            <w:vAlign w:val="top"/>
            <w:tcBorders>
              <w:bottom w:val="single" w:color="000000" w:sz="6" w:space="0"/>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69"/>
              <w:spacing w:before="58" w:line="204" w:lineRule="auto"/>
              <w:rPr/>
            </w:pPr>
            <w:r>
              <w:rPr>
                <w:spacing w:val="-1"/>
              </w:rPr>
              <w:t>人社局、</w:t>
            </w:r>
          </w:p>
          <w:p>
            <w:pPr>
              <w:pStyle w:val="TableText"/>
              <w:ind w:left="171"/>
              <w:spacing w:before="78" w:line="211" w:lineRule="auto"/>
              <w:rPr/>
            </w:pPr>
            <w:r>
              <w:rPr>
                <w:spacing w:val="-2"/>
              </w:rPr>
              <w:t>财政局、</w:t>
            </w:r>
          </w:p>
          <w:p>
            <w:pPr>
              <w:pStyle w:val="TableText"/>
              <w:spacing w:before="72" w:line="210" w:lineRule="auto"/>
              <w:jc w:val="right"/>
              <w:rPr/>
            </w:pPr>
            <w:r>
              <w:rPr>
                <w:spacing w:val="-9"/>
              </w:rPr>
              <w:t>应急管理局、</w:t>
            </w:r>
          </w:p>
          <w:p>
            <w:pPr>
              <w:pStyle w:val="TableText"/>
              <w:spacing w:before="74" w:line="215" w:lineRule="auto"/>
              <w:jc w:val="right"/>
              <w:rPr/>
            </w:pPr>
            <w:r>
              <w:rPr>
                <w:spacing w:val="-10"/>
              </w:rPr>
              <w:t>等相关部门，</w:t>
            </w:r>
          </w:p>
          <w:p>
            <w:pPr>
              <w:pStyle w:val="TableText"/>
              <w:ind w:left="261"/>
              <w:spacing w:before="72" w:line="211" w:lineRule="auto"/>
              <w:rPr/>
            </w:pPr>
            <w:r>
              <w:rPr>
                <w:spacing w:val="-2"/>
              </w:rPr>
              <w:t>各乡镇</w:t>
            </w:r>
          </w:p>
        </w:tc>
        <w:tc>
          <w:tcPr>
            <w:tcW w:w="1170" w:type="dxa"/>
            <w:vAlign w:val="top"/>
            <w:tcBorders>
              <w:bottom w:val="single" w:color="000000" w:sz="6" w:space="0"/>
              <w:right w:val="single" w:color="000000" w:sz="6" w:space="0"/>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248" w:right="102" w:hanging="43"/>
              <w:spacing w:before="59" w:line="280" w:lineRule="auto"/>
              <w:rPr/>
            </w:pPr>
            <w:r>
              <w:rPr>
                <w:spacing w:val="-3"/>
              </w:rPr>
              <w:t>2</w:t>
            </w:r>
            <w:r>
              <w:rPr>
                <w:spacing w:val="-37"/>
              </w:rPr>
              <w:t xml:space="preserve"> </w:t>
            </w:r>
            <w:r>
              <w:rPr>
                <w:spacing w:val="-3"/>
              </w:rPr>
              <w:t>月中旬—</w:t>
            </w:r>
            <w:r>
              <w:rPr/>
              <w:t xml:space="preserve"> </w:t>
            </w:r>
            <w:r>
              <w:rPr>
                <w:spacing w:val="-4"/>
              </w:rPr>
              <w:t>5</w:t>
            </w:r>
            <w:r>
              <w:rPr>
                <w:spacing w:val="-37"/>
              </w:rPr>
              <w:t xml:space="preserve"> </w:t>
            </w:r>
            <w:r>
              <w:rPr>
                <w:spacing w:val="-4"/>
              </w:rPr>
              <w:t>月中旬</w:t>
            </w:r>
          </w:p>
        </w:tc>
      </w:tr>
    </w:tbl>
    <w:p>
      <w:pPr>
        <w:spacing w:line="174" w:lineRule="exact"/>
        <w:rPr>
          <w:rFonts w:ascii="Arial"/>
          <w:sz w:val="15"/>
        </w:rPr>
      </w:pPr>
      <w:r/>
    </w:p>
    <w:p>
      <w:pPr>
        <w:spacing w:line="174" w:lineRule="exact"/>
        <w:sectPr>
          <w:headerReference w:type="default" r:id="rId394"/>
          <w:footerReference w:type="default" r:id="rId399"/>
          <w:pgSz w:w="16839" w:h="11906"/>
          <w:pgMar w:top="1767" w:right="1528" w:bottom="1570" w:left="1527" w:header="1428" w:footer="1172" w:gutter="0"/>
        </w:sectPr>
        <w:rPr>
          <w:rFonts w:ascii="Arial" w:hAnsi="Arial" w:eastAsia="Arial" w:cs="Arial"/>
          <w:sz w:val="15"/>
          <w:szCs w:val="15"/>
        </w:rPr>
      </w:pPr>
    </w:p>
    <w:p>
      <w:pPr>
        <w:spacing w:line="192" w:lineRule="exact"/>
        <w:rPr/>
      </w:pPr>
      <w:r>
        <w:drawing>
          <wp:anchor distT="0" distB="0" distL="0" distR="0" simplePos="0" relativeHeight="251942912"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800" name="IM 800"/>
            <wp:cNvGraphicFramePr/>
            <a:graphic>
              <a:graphicData uri="http://schemas.openxmlformats.org/drawingml/2006/picture">
                <pic:pic>
                  <pic:nvPicPr>
                    <pic:cNvPr id="800" name="IM 800"/>
                    <pic:cNvPicPr/>
                  </pic:nvPicPr>
                  <pic:blipFill>
                    <a:blip r:embed="rId402"/>
                    <a:stretch>
                      <a:fillRect/>
                    </a:stretch>
                  </pic:blipFill>
                  <pic:spPr>
                    <a:xfrm rot="0">
                      <a:off x="0" y="0"/>
                      <a:ext cx="8712200" cy="7620"/>
                    </a:xfrm>
                    <a:prstGeom prst="rect">
                      <a:avLst/>
                    </a:prstGeom>
                  </pic:spPr>
                </pic:pic>
              </a:graphicData>
            </a:graphic>
          </wp:anchor>
        </w:drawing>
      </w:r>
      <w:r/>
    </w:p>
    <w:tbl>
      <w:tblPr>
        <w:tblStyle w:val="TableNormal"/>
        <w:tblW w:w="13767"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34"/>
        <w:gridCol w:w="1128"/>
        <w:gridCol w:w="4229"/>
        <w:gridCol w:w="3242"/>
        <w:gridCol w:w="1204"/>
        <w:gridCol w:w="1204"/>
        <w:gridCol w:w="1056"/>
        <w:gridCol w:w="1170"/>
      </w:tblGrid>
      <w:tr>
        <w:trPr>
          <w:trHeight w:val="741" w:hRule="atLeast"/>
        </w:trPr>
        <w:tc>
          <w:tcPr>
            <w:tcW w:w="534" w:type="dxa"/>
            <w:vAlign w:val="top"/>
            <w:tcBorders>
              <w:left w:val="single" w:color="000000" w:sz="6" w:space="0"/>
              <w:top w:val="single" w:color="000000" w:sz="6" w:space="0"/>
            </w:tcBorders>
          </w:tcPr>
          <w:p>
            <w:pPr>
              <w:spacing w:line="241" w:lineRule="auto"/>
              <w:rPr>
                <w:rFonts w:ascii="Arial"/>
                <w:sz w:val="21"/>
              </w:rPr>
            </w:pPr>
            <w:r/>
          </w:p>
          <w:p>
            <w:pPr>
              <w:pStyle w:val="TableText"/>
              <w:ind w:left="81"/>
              <w:spacing w:before="58" w:line="214" w:lineRule="auto"/>
              <w:rPr/>
            </w:pPr>
            <w:r>
              <w:rPr>
                <w:b/>
                <w:bCs/>
                <w:spacing w:val="-4"/>
              </w:rPr>
              <w:t>序号</w:t>
            </w:r>
          </w:p>
        </w:tc>
        <w:tc>
          <w:tcPr>
            <w:tcW w:w="1128" w:type="dxa"/>
            <w:vAlign w:val="top"/>
            <w:tcBorders>
              <w:top w:val="single" w:color="000000" w:sz="6" w:space="0"/>
            </w:tcBorders>
          </w:tcPr>
          <w:p>
            <w:pPr>
              <w:spacing w:line="241" w:lineRule="auto"/>
              <w:rPr>
                <w:rFonts w:ascii="Arial"/>
                <w:sz w:val="21"/>
              </w:rPr>
            </w:pPr>
            <w:r/>
          </w:p>
          <w:p>
            <w:pPr>
              <w:pStyle w:val="TableText"/>
              <w:ind w:left="202"/>
              <w:spacing w:before="59" w:line="213" w:lineRule="auto"/>
              <w:rPr/>
            </w:pPr>
            <w:r>
              <w:rPr>
                <w:b/>
                <w:bCs/>
                <w:spacing w:val="-4"/>
              </w:rPr>
              <w:t>主要任务</w:t>
            </w:r>
          </w:p>
        </w:tc>
        <w:tc>
          <w:tcPr>
            <w:tcW w:w="4229" w:type="dxa"/>
            <w:vAlign w:val="top"/>
            <w:tcBorders>
              <w:top w:val="single" w:color="000000" w:sz="6" w:space="0"/>
            </w:tcBorders>
          </w:tcPr>
          <w:p>
            <w:pPr>
              <w:spacing w:line="243" w:lineRule="auto"/>
              <w:rPr>
                <w:rFonts w:ascii="Arial"/>
                <w:sz w:val="21"/>
              </w:rPr>
            </w:pPr>
            <w:r/>
          </w:p>
          <w:p>
            <w:pPr>
              <w:pStyle w:val="TableText"/>
              <w:ind w:left="1752"/>
              <w:spacing w:before="59" w:line="211" w:lineRule="auto"/>
              <w:rPr/>
            </w:pPr>
            <w:r>
              <w:rPr>
                <w:b/>
                <w:bCs/>
                <w:spacing w:val="-3"/>
              </w:rPr>
              <w:t>推进措施</w:t>
            </w:r>
          </w:p>
        </w:tc>
        <w:tc>
          <w:tcPr>
            <w:tcW w:w="3242" w:type="dxa"/>
            <w:vAlign w:val="top"/>
            <w:tcBorders>
              <w:top w:val="single" w:color="000000" w:sz="6" w:space="0"/>
            </w:tcBorders>
          </w:tcPr>
          <w:p>
            <w:pPr>
              <w:spacing w:line="242" w:lineRule="auto"/>
              <w:rPr>
                <w:rFonts w:ascii="Arial"/>
                <w:sz w:val="21"/>
              </w:rPr>
            </w:pPr>
            <w:r/>
          </w:p>
          <w:p>
            <w:pPr>
              <w:pStyle w:val="TableText"/>
              <w:ind w:left="1264"/>
              <w:spacing w:before="59" w:line="211" w:lineRule="auto"/>
              <w:rPr/>
            </w:pPr>
            <w:r>
              <w:rPr>
                <w:b/>
                <w:bCs/>
                <w:spacing w:val="-4"/>
              </w:rPr>
              <w:t>预期目标</w:t>
            </w:r>
          </w:p>
        </w:tc>
        <w:tc>
          <w:tcPr>
            <w:tcW w:w="1204" w:type="dxa"/>
            <w:vAlign w:val="top"/>
            <w:tcBorders>
              <w:top w:val="single" w:color="000000" w:sz="6" w:space="0"/>
            </w:tcBorders>
          </w:tcPr>
          <w:p>
            <w:pPr>
              <w:spacing w:line="241" w:lineRule="auto"/>
              <w:rPr>
                <w:rFonts w:ascii="Arial"/>
                <w:sz w:val="21"/>
              </w:rPr>
            </w:pPr>
            <w:r/>
          </w:p>
          <w:p>
            <w:pPr>
              <w:pStyle w:val="TableText"/>
              <w:ind w:left="246"/>
              <w:spacing w:before="59" w:line="213" w:lineRule="auto"/>
              <w:rPr/>
            </w:pPr>
            <w:r>
              <w:rPr>
                <w:b/>
                <w:bCs/>
                <w:spacing w:val="-3"/>
              </w:rPr>
              <w:t>责任领导</w:t>
            </w:r>
          </w:p>
        </w:tc>
        <w:tc>
          <w:tcPr>
            <w:tcW w:w="1204" w:type="dxa"/>
            <w:vAlign w:val="top"/>
            <w:tcBorders>
              <w:top w:val="single" w:color="000000" w:sz="6" w:space="0"/>
            </w:tcBorders>
          </w:tcPr>
          <w:p>
            <w:pPr>
              <w:spacing w:line="242" w:lineRule="auto"/>
              <w:rPr>
                <w:rFonts w:ascii="Arial"/>
                <w:sz w:val="21"/>
              </w:rPr>
            </w:pPr>
            <w:r/>
          </w:p>
          <w:p>
            <w:pPr>
              <w:pStyle w:val="TableText"/>
              <w:ind w:left="246"/>
              <w:spacing w:before="58" w:line="212" w:lineRule="auto"/>
              <w:rPr/>
            </w:pPr>
            <w:r>
              <w:rPr>
                <w:b/>
                <w:bCs/>
                <w:spacing w:val="-3"/>
              </w:rPr>
              <w:t>牵头单位</w:t>
            </w:r>
          </w:p>
        </w:tc>
        <w:tc>
          <w:tcPr>
            <w:tcW w:w="1056" w:type="dxa"/>
            <w:vAlign w:val="top"/>
            <w:tcBorders>
              <w:top w:val="single" w:color="000000" w:sz="6" w:space="0"/>
            </w:tcBorders>
          </w:tcPr>
          <w:p>
            <w:pPr>
              <w:spacing w:line="241" w:lineRule="auto"/>
              <w:rPr>
                <w:rFonts w:ascii="Arial"/>
                <w:sz w:val="21"/>
              </w:rPr>
            </w:pPr>
            <w:r/>
          </w:p>
          <w:p>
            <w:pPr>
              <w:pStyle w:val="TableText"/>
              <w:ind w:left="173"/>
              <w:spacing w:before="58" w:line="214" w:lineRule="auto"/>
              <w:rPr/>
            </w:pPr>
            <w:r>
              <w:rPr>
                <w:b/>
                <w:bCs/>
                <w:spacing w:val="-3"/>
              </w:rPr>
              <w:t>实施单位</w:t>
            </w:r>
          </w:p>
        </w:tc>
        <w:tc>
          <w:tcPr>
            <w:tcW w:w="1170" w:type="dxa"/>
            <w:vAlign w:val="top"/>
            <w:tcBorders>
              <w:right w:val="single" w:color="000000" w:sz="6" w:space="0"/>
              <w:top w:val="single" w:color="000000" w:sz="6" w:space="0"/>
            </w:tcBorders>
          </w:tcPr>
          <w:p>
            <w:pPr>
              <w:spacing w:line="242" w:lineRule="auto"/>
              <w:rPr>
                <w:rFonts w:ascii="Arial"/>
                <w:sz w:val="21"/>
              </w:rPr>
            </w:pPr>
            <w:r/>
          </w:p>
          <w:p>
            <w:pPr>
              <w:pStyle w:val="TableText"/>
              <w:ind w:left="226"/>
              <w:spacing w:before="59" w:line="211" w:lineRule="auto"/>
              <w:rPr/>
            </w:pPr>
            <w:r>
              <w:rPr>
                <w:b/>
                <w:bCs/>
                <w:spacing w:val="-3"/>
              </w:rPr>
              <w:t>完成时限</w:t>
            </w:r>
          </w:p>
        </w:tc>
      </w:tr>
      <w:tr>
        <w:trPr>
          <w:trHeight w:val="4597" w:hRule="atLeast"/>
        </w:trPr>
        <w:tc>
          <w:tcPr>
            <w:tcW w:w="534" w:type="dxa"/>
            <w:vAlign w:val="top"/>
            <w:tcBorders>
              <w:left w:val="single" w:color="000000" w:sz="6" w:space="0"/>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186"/>
              <w:spacing w:before="58" w:line="261" w:lineRule="exact"/>
              <w:rPr/>
            </w:pPr>
            <w:r>
              <w:rPr>
                <w:spacing w:val="-11"/>
                <w:position w:val="1"/>
              </w:rPr>
              <w:t>10</w:t>
            </w:r>
          </w:p>
        </w:tc>
        <w:tc>
          <w:tcPr>
            <w:tcW w:w="1128" w:type="dxa"/>
            <w:vAlign w:val="top"/>
          </w:tcPr>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8"/>
              <w:spacing w:before="58" w:line="215" w:lineRule="auto"/>
              <w:rPr/>
            </w:pPr>
            <w:r>
              <w:rPr>
                <w:spacing w:val="-1"/>
              </w:rPr>
              <w:t>加快平台建设</w:t>
            </w:r>
          </w:p>
        </w:tc>
        <w:tc>
          <w:tcPr>
            <w:tcW w:w="4229" w:type="dxa"/>
            <w:vAlign w:val="top"/>
          </w:tcPr>
          <w:p>
            <w:pPr>
              <w:pStyle w:val="TableText"/>
              <w:ind w:left="12" w:right="12" w:firstLine="14"/>
              <w:spacing w:before="96" w:line="251" w:lineRule="auto"/>
              <w:rPr/>
            </w:pPr>
            <w:r>
              <w:rPr>
                <w:spacing w:val="-6"/>
              </w:rPr>
              <w:t>1.对接上级部门，按照要求整合信息，收集、录入人口</w:t>
            </w:r>
            <w:r>
              <w:rPr>
                <w:spacing w:val="-1"/>
              </w:rPr>
              <w:t>等数据。整合现有设在乡镇的党的建设、综合治理、</w:t>
            </w:r>
          </w:p>
          <w:p>
            <w:pPr>
              <w:pStyle w:val="TableText"/>
              <w:ind w:left="9" w:right="72"/>
              <w:spacing w:before="72" w:line="269" w:lineRule="auto"/>
              <w:rPr/>
            </w:pPr>
            <w:r>
              <w:rPr/>
              <w:t>社区治理、数字城管等各系统指挥信息资源</w:t>
            </w:r>
            <w:r>
              <w:rPr>
                <w:spacing w:val="-1"/>
              </w:rPr>
              <w:t>，强化信</w:t>
            </w:r>
            <w:r>
              <w:rPr>
                <w:spacing w:val="-1"/>
              </w:rPr>
              <w:t>息共享和技术支撑，将上级相关部门的视频监控等接</w:t>
            </w:r>
            <w:r>
              <w:rPr>
                <w:spacing w:val="-1"/>
              </w:rPr>
              <w:t>入基层综合指挥平台，建立一体化的信息系统和综合</w:t>
            </w:r>
            <w:r>
              <w:rPr>
                <w:spacing w:val="-1"/>
              </w:rPr>
              <w:t>指挥平台。</w:t>
            </w:r>
          </w:p>
          <w:p>
            <w:pPr>
              <w:pStyle w:val="TableText"/>
              <w:ind w:left="9" w:firstLine="1"/>
              <w:spacing w:before="69" w:line="273" w:lineRule="auto"/>
              <w:rPr/>
            </w:pPr>
            <w:r>
              <w:rPr>
                <w:spacing w:val="-5"/>
              </w:rPr>
              <w:t>2.发挥科技支撑作用，完善立体化、法治化、专业化、</w:t>
            </w:r>
            <w:r>
              <w:rPr>
                <w:spacing w:val="-1"/>
              </w:rPr>
              <w:t>智能化社会治安防控体系，加快“雪亮工程”建设，</w:t>
            </w:r>
            <w:r>
              <w:rPr>
                <w:spacing w:val="-2"/>
              </w:rPr>
              <w:t>继续整合公安、城管等部门视频资源，构建全县统一</w:t>
            </w:r>
            <w:r>
              <w:rPr>
                <w:spacing w:val="-2"/>
              </w:rPr>
              <w:t>共享应用体系，实现视频图像按需联通，推动视频资</w:t>
            </w:r>
            <w:r>
              <w:rPr>
                <w:spacing w:val="-2"/>
              </w:rPr>
              <w:t>源联网共享应用，推进综治信息化平台建设。</w:t>
            </w:r>
          </w:p>
          <w:p>
            <w:pPr>
              <w:pStyle w:val="TableText"/>
              <w:ind w:left="9" w:firstLine="4"/>
              <w:spacing w:before="68" w:line="263" w:lineRule="auto"/>
              <w:rPr/>
            </w:pPr>
            <w:r>
              <w:rPr>
                <w:spacing w:val="-5"/>
              </w:rPr>
              <w:t>3.加强关键技术应用，建立健全发现问题、流转交办、</w:t>
            </w:r>
            <w:r>
              <w:rPr>
                <w:spacing w:val="-5"/>
              </w:rPr>
              <w:t>协调联动、研判预警、督察考核等综合指挥工作机制，</w:t>
            </w:r>
            <w:r>
              <w:rPr>
                <w:spacing w:val="-2"/>
              </w:rPr>
              <w:t>形成系统集成高效运行的指挥体系。</w:t>
            </w:r>
          </w:p>
          <w:p>
            <w:pPr>
              <w:pStyle w:val="TableText"/>
              <w:ind w:left="11" w:right="8" w:hanging="2"/>
              <w:spacing w:before="70" w:line="253" w:lineRule="auto"/>
              <w:rPr/>
            </w:pPr>
            <w:r>
              <w:rPr>
                <w:spacing w:val="-2"/>
              </w:rPr>
              <w:t>4.配合自治区统筹推进政法智能化建设和跨</w:t>
            </w:r>
            <w:r>
              <w:rPr>
                <w:spacing w:val="-3"/>
              </w:rPr>
              <w:t>部门大数</w:t>
            </w:r>
            <w:r>
              <w:rPr>
                <w:spacing w:val="-5"/>
              </w:rPr>
              <w:t>据办案平台建设，打造一体化网上办案“高速公</w:t>
            </w:r>
            <w:r>
              <w:rPr>
                <w:spacing w:val="-6"/>
              </w:rPr>
              <w:t>路”。</w:t>
            </w:r>
          </w:p>
        </w:tc>
        <w:tc>
          <w:tcPr>
            <w:tcW w:w="3242"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4" w:right="9" w:firstLine="16"/>
              <w:spacing w:before="59" w:line="264" w:lineRule="auto"/>
              <w:rPr/>
            </w:pPr>
            <w:r>
              <w:rPr>
                <w:spacing w:val="-4"/>
              </w:rPr>
              <w:t>1.上级相关部门的视频监控等尽可能接入</w:t>
            </w:r>
            <w:r>
              <w:rPr>
                <w:spacing w:val="-2"/>
              </w:rPr>
              <w:t>基层综合指挥平台，实现互联互通、信息</w:t>
            </w:r>
            <w:r>
              <w:rPr>
                <w:spacing w:val="-1"/>
              </w:rPr>
              <w:t>共享、实时监控、综合监测。</w:t>
            </w:r>
          </w:p>
          <w:p>
            <w:pPr>
              <w:pStyle w:val="TableText"/>
              <w:ind w:left="15" w:right="9" w:firstLine="1"/>
              <w:spacing w:before="68" w:line="269" w:lineRule="auto"/>
              <w:rPr/>
            </w:pPr>
            <w:r>
              <w:rPr>
                <w:spacing w:val="-3"/>
              </w:rPr>
              <w:t>2.通过建立健全发现问题、流转交办、协</w:t>
            </w:r>
            <w:r>
              <w:rPr>
                <w:spacing w:val="-2"/>
              </w:rPr>
              <w:t>调联动、研判预警、督查考核等综合指挥</w:t>
            </w:r>
            <w:r>
              <w:rPr>
                <w:spacing w:val="-2"/>
              </w:rPr>
              <w:t>工作机制，实现基层管理跨部门、跨层级</w:t>
            </w:r>
            <w:r>
              <w:rPr>
                <w:spacing w:val="-1"/>
              </w:rPr>
              <w:t>协同运转。</w:t>
            </w:r>
          </w:p>
          <w:p>
            <w:pPr>
              <w:pStyle w:val="TableText"/>
              <w:ind w:left="19"/>
              <w:spacing w:before="70" w:line="241" w:lineRule="exact"/>
              <w:rPr/>
            </w:pPr>
            <w:r>
              <w:rPr>
                <w:spacing w:val="-3"/>
                <w:position w:val="1"/>
              </w:rPr>
              <w:t>3.初步实现政法部门公共数据汇集融合。</w:t>
            </w:r>
          </w:p>
          <w:p>
            <w:pPr>
              <w:pStyle w:val="TableText"/>
              <w:ind w:left="14" w:hanging="1"/>
              <w:spacing w:before="40" w:line="263" w:lineRule="auto"/>
              <w:rPr/>
            </w:pPr>
            <w:r>
              <w:rPr>
                <w:spacing w:val="-11"/>
              </w:rPr>
              <w:t>4.依托“雪亮工程”建成，初步实现“全</w:t>
            </w:r>
            <w:r>
              <w:rPr/>
              <w:t xml:space="preserve"> </w:t>
            </w:r>
            <w:r>
              <w:rPr>
                <w:spacing w:val="-11"/>
              </w:rPr>
              <w:t>域覆盖、全网共享、全时可用、全程可控”</w:t>
            </w:r>
            <w:r>
              <w:rPr>
                <w:spacing w:val="-8"/>
              </w:rPr>
              <w:t>目标。</w:t>
            </w:r>
          </w:p>
        </w:tc>
        <w:tc>
          <w:tcPr>
            <w:tcW w:w="1204" w:type="dxa"/>
            <w:vAlign w:val="top"/>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340"/>
              <w:spacing w:before="58" w:line="209" w:lineRule="auto"/>
              <w:rPr/>
            </w:pPr>
            <w:r>
              <w:rPr>
                <w:spacing w:val="-4"/>
              </w:rPr>
              <w:t>马金平</w:t>
            </w:r>
          </w:p>
        </w:tc>
        <w:tc>
          <w:tcPr>
            <w:tcW w:w="1204" w:type="dxa"/>
            <w:vAlign w:val="top"/>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pStyle w:val="TableText"/>
              <w:ind w:left="156"/>
              <w:spacing w:before="59" w:line="211" w:lineRule="auto"/>
              <w:rPr/>
            </w:pPr>
            <w:r>
              <w:rPr>
                <w:spacing w:val="-1"/>
              </w:rPr>
              <w:t>县委政法委</w:t>
            </w:r>
          </w:p>
        </w:tc>
        <w:tc>
          <w:tcPr>
            <w:tcW w:w="1056" w:type="dxa"/>
            <w:vAlign w:val="top"/>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70"/>
              <w:spacing w:before="58" w:line="210" w:lineRule="auto"/>
              <w:rPr/>
            </w:pPr>
            <w:r>
              <w:rPr>
                <w:spacing w:val="-1"/>
              </w:rPr>
              <w:t>组织部、</w:t>
            </w:r>
          </w:p>
          <w:p>
            <w:pPr>
              <w:pStyle w:val="TableText"/>
              <w:ind w:left="186"/>
              <w:spacing w:before="73" w:line="215" w:lineRule="auto"/>
              <w:rPr/>
            </w:pPr>
            <w:r>
              <w:rPr>
                <w:spacing w:val="-5"/>
              </w:rPr>
              <w:t>网信办、</w:t>
            </w:r>
          </w:p>
          <w:p>
            <w:pPr>
              <w:pStyle w:val="TableText"/>
              <w:ind w:left="171"/>
              <w:spacing w:before="73" w:line="210" w:lineRule="auto"/>
              <w:rPr/>
            </w:pPr>
            <w:r>
              <w:rPr>
                <w:spacing w:val="-2"/>
              </w:rPr>
              <w:t>政府办、</w:t>
            </w:r>
          </w:p>
          <w:p>
            <w:pPr>
              <w:pStyle w:val="TableText"/>
              <w:ind w:left="171"/>
              <w:spacing w:before="76" w:line="206" w:lineRule="auto"/>
              <w:rPr/>
            </w:pPr>
            <w:r>
              <w:rPr>
                <w:spacing w:val="-2"/>
              </w:rPr>
              <w:t>发改局、</w:t>
            </w:r>
          </w:p>
          <w:p>
            <w:pPr>
              <w:pStyle w:val="TableText"/>
              <w:ind w:left="169"/>
              <w:spacing w:before="79" w:line="208" w:lineRule="auto"/>
              <w:rPr/>
            </w:pPr>
            <w:r>
              <w:rPr>
                <w:spacing w:val="-1"/>
              </w:rPr>
              <w:t>公安局、</w:t>
            </w:r>
          </w:p>
          <w:p>
            <w:pPr>
              <w:pStyle w:val="TableText"/>
              <w:ind w:left="186"/>
              <w:spacing w:before="76" w:line="211" w:lineRule="auto"/>
              <w:rPr/>
            </w:pPr>
            <w:r>
              <w:rPr>
                <w:spacing w:val="-5"/>
              </w:rPr>
              <w:t>民政局、</w:t>
            </w:r>
          </w:p>
          <w:p>
            <w:pPr>
              <w:pStyle w:val="TableText"/>
              <w:ind w:left="81"/>
              <w:spacing w:before="69" w:line="215" w:lineRule="auto"/>
              <w:rPr/>
            </w:pPr>
            <w:r>
              <w:rPr>
                <w:spacing w:val="-1"/>
              </w:rPr>
              <w:t>住建局等相</w:t>
            </w:r>
          </w:p>
          <w:p>
            <w:pPr>
              <w:pStyle w:val="TableText"/>
              <w:ind w:left="169"/>
              <w:spacing w:before="75" w:line="213" w:lineRule="auto"/>
              <w:rPr/>
            </w:pPr>
            <w:r>
              <w:rPr>
                <w:spacing w:val="-1"/>
              </w:rPr>
              <w:t>关部门，</w:t>
            </w:r>
          </w:p>
          <w:p>
            <w:pPr>
              <w:pStyle w:val="TableText"/>
              <w:ind w:left="262"/>
              <w:spacing w:before="73" w:line="211" w:lineRule="auto"/>
              <w:rPr/>
            </w:pPr>
            <w:r>
              <w:rPr>
                <w:spacing w:val="-2"/>
              </w:rPr>
              <w:t>法院、</w:t>
            </w:r>
          </w:p>
          <w:p>
            <w:pPr>
              <w:pStyle w:val="TableText"/>
              <w:ind w:left="260" w:right="195" w:hanging="89"/>
              <w:spacing w:before="72" w:line="289" w:lineRule="auto"/>
              <w:rPr/>
            </w:pPr>
            <w:r>
              <w:rPr>
                <w:spacing w:val="-11"/>
              </w:rPr>
              <w:t>检察院，</w:t>
            </w:r>
            <w:r>
              <w:rPr>
                <w:spacing w:val="-2"/>
              </w:rPr>
              <w:t>各乡镇</w:t>
            </w:r>
          </w:p>
        </w:tc>
        <w:tc>
          <w:tcPr>
            <w:tcW w:w="1170" w:type="dxa"/>
            <w:vAlign w:val="top"/>
            <w:tcBorders>
              <w:right w:val="single" w:color="000000" w:sz="6" w:space="0"/>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248" w:right="102" w:hanging="46"/>
              <w:spacing w:before="58" w:line="288" w:lineRule="auto"/>
              <w:rPr/>
            </w:pPr>
            <w:r>
              <w:rPr>
                <w:spacing w:val="-2"/>
              </w:rPr>
              <w:t>4</w:t>
            </w:r>
            <w:r>
              <w:rPr>
                <w:spacing w:val="-39"/>
              </w:rPr>
              <w:t xml:space="preserve"> </w:t>
            </w:r>
            <w:r>
              <w:rPr>
                <w:spacing w:val="-2"/>
              </w:rPr>
              <w:t>月上旬—</w:t>
            </w:r>
            <w:r>
              <w:rPr/>
              <w:t xml:space="preserve"> </w:t>
            </w:r>
            <w:r>
              <w:rPr>
                <w:spacing w:val="-4"/>
              </w:rPr>
              <w:t>5</w:t>
            </w:r>
            <w:r>
              <w:rPr>
                <w:spacing w:val="-37"/>
              </w:rPr>
              <w:t xml:space="preserve"> </w:t>
            </w:r>
            <w:r>
              <w:rPr>
                <w:spacing w:val="-4"/>
              </w:rPr>
              <w:t>月中旬</w:t>
            </w:r>
          </w:p>
        </w:tc>
      </w:tr>
      <w:tr>
        <w:trPr>
          <w:trHeight w:val="2653" w:hRule="atLeast"/>
        </w:trPr>
        <w:tc>
          <w:tcPr>
            <w:tcW w:w="534" w:type="dxa"/>
            <w:vAlign w:val="top"/>
            <w:tcBorders>
              <w:left w:val="single" w:color="000000" w:sz="6" w:space="0"/>
              <w:bottom w:val="single" w:color="000000" w:sz="6" w:space="0"/>
            </w:tcBorders>
          </w:tcPr>
          <w:p>
            <w:pPr>
              <w:spacing w:line="290" w:lineRule="auto"/>
              <w:rPr>
                <w:rFonts w:ascii="Arial"/>
                <w:sz w:val="21"/>
              </w:rPr>
            </w:pPr>
            <w:r/>
          </w:p>
          <w:p>
            <w:pPr>
              <w:spacing w:line="290" w:lineRule="auto"/>
              <w:rPr>
                <w:rFonts w:ascii="Arial"/>
                <w:sz w:val="21"/>
              </w:rPr>
            </w:pPr>
            <w:r/>
          </w:p>
          <w:p>
            <w:pPr>
              <w:spacing w:line="290" w:lineRule="auto"/>
              <w:rPr>
                <w:rFonts w:ascii="Arial"/>
                <w:sz w:val="21"/>
              </w:rPr>
            </w:pPr>
            <w:r/>
          </w:p>
          <w:p>
            <w:pPr>
              <w:spacing w:line="290" w:lineRule="auto"/>
              <w:rPr>
                <w:rFonts w:ascii="Arial"/>
                <w:sz w:val="21"/>
              </w:rPr>
            </w:pPr>
            <w:r/>
          </w:p>
          <w:p>
            <w:pPr>
              <w:pStyle w:val="TableText"/>
              <w:ind w:left="186"/>
              <w:spacing w:before="58" w:line="262" w:lineRule="exact"/>
              <w:rPr/>
            </w:pPr>
            <w:r>
              <w:rPr>
                <w:spacing w:val="-11"/>
                <w:position w:val="1"/>
              </w:rPr>
              <w:t>11</w:t>
            </w:r>
          </w:p>
        </w:tc>
        <w:tc>
          <w:tcPr>
            <w:tcW w:w="1128" w:type="dxa"/>
            <w:vAlign w:val="top"/>
            <w:tcBorders>
              <w:bottom w:val="single" w:color="000000" w:sz="6" w:space="0"/>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198" w:right="206" w:hanging="3"/>
              <w:spacing w:before="59" w:line="293" w:lineRule="auto"/>
              <w:rPr/>
            </w:pPr>
            <w:r>
              <w:rPr>
                <w:spacing w:val="-1"/>
              </w:rPr>
              <w:t>建立赋权</w:t>
            </w:r>
            <w:r>
              <w:rPr>
                <w:spacing w:val="-2"/>
              </w:rPr>
              <w:t>清单目录</w:t>
            </w:r>
          </w:p>
        </w:tc>
        <w:tc>
          <w:tcPr>
            <w:tcW w:w="4229" w:type="dxa"/>
            <w:vAlign w:val="top"/>
            <w:tcBorders>
              <w:bottom w:val="single" w:color="000000" w:sz="6" w:space="0"/>
            </w:tcBorders>
          </w:tcPr>
          <w:p>
            <w:pPr>
              <w:pStyle w:val="TableText"/>
              <w:ind w:left="9" w:firstLine="17"/>
              <w:spacing w:before="78" w:line="273" w:lineRule="auto"/>
              <w:rPr/>
            </w:pPr>
            <w:r>
              <w:rPr>
                <w:spacing w:val="-8"/>
              </w:rPr>
              <w:t>1.根据自治区有关要求，将量大面广、乡镇管理迫切需</w:t>
            </w:r>
            <w:r>
              <w:rPr>
                <w:spacing w:val="-3"/>
              </w:rPr>
              <w:t>要且能有效承接的审批服务执法等权限赋予乡镇，扩</w:t>
            </w:r>
            <w:r>
              <w:rPr>
                <w:spacing w:val="-5"/>
              </w:rPr>
              <w:t>大乡镇在城镇管理、安全生产、市场监管、社会治安、</w:t>
            </w:r>
            <w:r>
              <w:rPr>
                <w:spacing w:val="-3"/>
              </w:rPr>
              <w:t>民生保障等方面的行政审批、行政处罚及相关行政强</w:t>
            </w:r>
            <w:r>
              <w:rPr>
                <w:spacing w:val="-3"/>
              </w:rPr>
              <w:t>制和行政检查权。</w:t>
            </w:r>
          </w:p>
          <w:p>
            <w:pPr>
              <w:pStyle w:val="TableText"/>
              <w:ind w:left="9" w:right="12" w:firstLine="2"/>
              <w:spacing w:before="69" w:line="277" w:lineRule="auto"/>
              <w:rPr/>
            </w:pPr>
            <w:r>
              <w:rPr>
                <w:spacing w:val="-5"/>
              </w:rPr>
              <w:t>2.按照自治区政府统一制定的赋权清单，按照“一个乡</w:t>
            </w:r>
            <w:r>
              <w:rPr/>
              <w:t>镇、一个赋权清单”的要求，依法编制各《</w:t>
            </w:r>
            <w:r>
              <w:rPr>
                <w:spacing w:val="-1"/>
              </w:rPr>
              <w:t>乡镇赋权</w:t>
            </w:r>
            <w:r>
              <w:rPr>
                <w:spacing w:val="-5"/>
              </w:rPr>
              <w:t>清单》，明确乡镇的执法主体地位，统一和规</w:t>
            </w:r>
            <w:r>
              <w:rPr>
                <w:spacing w:val="-6"/>
              </w:rPr>
              <w:t>范赋权事</w:t>
            </w:r>
            <w:r>
              <w:rPr>
                <w:spacing w:val="-1"/>
              </w:rPr>
              <w:t>项，成熟一批，赋予一批。</w:t>
            </w:r>
          </w:p>
        </w:tc>
        <w:tc>
          <w:tcPr>
            <w:tcW w:w="3242" w:type="dxa"/>
            <w:vAlign w:val="top"/>
            <w:tcBorders>
              <w:bottom w:val="single" w:color="000000" w:sz="6" w:space="0"/>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pStyle w:val="TableText"/>
              <w:ind w:left="19" w:right="9" w:hanging="2"/>
              <w:spacing w:before="59" w:line="290" w:lineRule="auto"/>
              <w:rPr/>
            </w:pPr>
            <w:r>
              <w:rPr>
                <w:spacing w:val="-2"/>
              </w:rPr>
              <w:t>推动审批服务执法权限下放，规范赋权行</w:t>
            </w:r>
            <w:r>
              <w:rPr>
                <w:spacing w:val="-1"/>
              </w:rPr>
              <w:t>为，确保基层有权办事、依法办事。</w:t>
            </w:r>
          </w:p>
        </w:tc>
        <w:tc>
          <w:tcPr>
            <w:tcW w:w="1204" w:type="dxa"/>
            <w:vAlign w:val="top"/>
            <w:tcBorders>
              <w:bottom w:val="single" w:color="000000" w:sz="6" w:space="0"/>
            </w:tcBorders>
          </w:tcPr>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spacing w:line="292" w:lineRule="auto"/>
              <w:rPr>
                <w:rFonts w:ascii="Arial"/>
                <w:sz w:val="21"/>
              </w:rPr>
            </w:pPr>
            <w:r/>
          </w:p>
          <w:p>
            <w:pPr>
              <w:pStyle w:val="TableText"/>
              <w:ind w:left="333"/>
              <w:spacing w:before="58" w:line="210" w:lineRule="auto"/>
              <w:rPr/>
            </w:pPr>
            <w:r>
              <w:rPr>
                <w:spacing w:val="-1"/>
              </w:rPr>
              <w:t>柳春梅</w:t>
            </w:r>
          </w:p>
        </w:tc>
        <w:tc>
          <w:tcPr>
            <w:tcW w:w="1204" w:type="dxa"/>
            <w:vAlign w:val="top"/>
            <w:tcBorders>
              <w:bottom w:val="single" w:color="000000" w:sz="6" w:space="0"/>
            </w:tcBorders>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244" w:right="164" w:hanging="88"/>
              <w:spacing w:before="58" w:line="323" w:lineRule="auto"/>
              <w:rPr/>
            </w:pPr>
            <w:r>
              <w:rPr>
                <w:spacing w:val="-6"/>
              </w:rPr>
              <w:t>县政府办、</w:t>
            </w:r>
            <w:r>
              <w:rPr>
                <w:spacing w:val="-2"/>
              </w:rPr>
              <w:t>县审批局</w:t>
            </w:r>
          </w:p>
        </w:tc>
        <w:tc>
          <w:tcPr>
            <w:tcW w:w="1056" w:type="dxa"/>
            <w:vAlign w:val="top"/>
            <w:tcBorders>
              <w:bottom w:val="single" w:color="000000" w:sz="6" w:space="0"/>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pStyle w:val="TableText"/>
              <w:ind w:left="83"/>
              <w:spacing w:before="58" w:line="210" w:lineRule="auto"/>
              <w:rPr/>
            </w:pPr>
            <w:r>
              <w:rPr>
                <w:spacing w:val="-1"/>
              </w:rPr>
              <w:t>县人大法工</w:t>
            </w:r>
          </w:p>
          <w:p>
            <w:pPr>
              <w:pStyle w:val="TableText"/>
              <w:ind w:left="21"/>
              <w:spacing w:before="73" w:line="213" w:lineRule="auto"/>
              <w:rPr/>
            </w:pPr>
            <w:r>
              <w:rPr>
                <w:spacing w:val="-11"/>
              </w:rPr>
              <w:t>委、司法局等</w:t>
            </w:r>
          </w:p>
          <w:p>
            <w:pPr>
              <w:pStyle w:val="TableText"/>
              <w:ind w:left="82"/>
              <w:spacing w:before="74" w:line="213" w:lineRule="auto"/>
              <w:rPr/>
            </w:pPr>
            <w:r>
              <w:rPr>
                <w:spacing w:val="-1"/>
              </w:rPr>
              <w:t>相关部门，</w:t>
            </w:r>
          </w:p>
          <w:p>
            <w:pPr>
              <w:pStyle w:val="TableText"/>
              <w:ind w:left="261"/>
              <w:spacing w:before="70" w:line="211" w:lineRule="auto"/>
              <w:rPr/>
            </w:pPr>
            <w:r>
              <w:rPr>
                <w:spacing w:val="-2"/>
              </w:rPr>
              <w:t>各乡镇</w:t>
            </w:r>
          </w:p>
        </w:tc>
        <w:tc>
          <w:tcPr>
            <w:tcW w:w="1170" w:type="dxa"/>
            <w:vAlign w:val="top"/>
            <w:tcBorders>
              <w:bottom w:val="single" w:color="000000" w:sz="6" w:space="0"/>
              <w:right w:val="single" w:color="000000" w:sz="6" w:space="0"/>
            </w:tcBorders>
          </w:tcPr>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246"/>
              <w:spacing w:before="58" w:line="241" w:lineRule="exact"/>
              <w:rPr/>
            </w:pPr>
            <w:r>
              <w:rPr>
                <w:spacing w:val="-3"/>
                <w:position w:val="1"/>
              </w:rPr>
              <w:t>4</w:t>
            </w:r>
            <w:r>
              <w:rPr>
                <w:spacing w:val="-37"/>
                <w:position w:val="1"/>
              </w:rPr>
              <w:t xml:space="preserve"> </w:t>
            </w:r>
            <w:r>
              <w:rPr>
                <w:spacing w:val="-3"/>
                <w:position w:val="1"/>
              </w:rPr>
              <w:t>月上旬</w:t>
            </w:r>
          </w:p>
        </w:tc>
      </w:tr>
    </w:tbl>
    <w:p>
      <w:pPr>
        <w:spacing w:line="196" w:lineRule="exact"/>
        <w:rPr>
          <w:rFonts w:ascii="Arial"/>
          <w:sz w:val="17"/>
        </w:rPr>
      </w:pPr>
      <w:r/>
    </w:p>
    <w:p>
      <w:pPr>
        <w:spacing w:line="196" w:lineRule="exact"/>
        <w:sectPr>
          <w:headerReference w:type="default" r:id="rId391"/>
          <w:footerReference w:type="default" r:id="rId401"/>
          <w:pgSz w:w="16839" w:h="11906"/>
          <w:pgMar w:top="1792" w:right="1486" w:bottom="1672" w:left="1527" w:header="1428" w:footer="1277" w:gutter="0"/>
        </w:sectPr>
        <w:rPr>
          <w:rFonts w:ascii="Arial" w:hAnsi="Arial" w:eastAsia="Arial" w:cs="Arial"/>
          <w:sz w:val="17"/>
          <w:szCs w:val="17"/>
        </w:rPr>
      </w:pPr>
    </w:p>
    <w:p>
      <w:pPr>
        <w:spacing w:line="177" w:lineRule="exact"/>
        <w:rPr/>
      </w:pPr>
      <w:r>
        <w:drawing>
          <wp:anchor distT="0" distB="0" distL="0" distR="0" simplePos="0" relativeHeight="251944960" behindDoc="0" locked="0" layoutInCell="0" allowOverlap="1">
            <wp:simplePos x="0" y="0"/>
            <wp:positionH relativeFrom="page">
              <wp:posOffset>1008380</wp:posOffset>
            </wp:positionH>
            <wp:positionV relativeFrom="page">
              <wp:posOffset>1147445</wp:posOffset>
            </wp:positionV>
            <wp:extent cx="8712200" cy="7620"/>
            <wp:effectExtent l="0" t="0" r="0" b="0"/>
            <wp:wrapNone/>
            <wp:docPr id="804" name="IM 804"/>
            <wp:cNvGraphicFramePr/>
            <a:graphic>
              <a:graphicData uri="http://schemas.openxmlformats.org/drawingml/2006/picture">
                <pic:pic>
                  <pic:nvPicPr>
                    <pic:cNvPr id="804" name="IM 804"/>
                    <pic:cNvPicPr/>
                  </pic:nvPicPr>
                  <pic:blipFill>
                    <a:blip r:embed="rId404"/>
                    <a:stretch>
                      <a:fillRect/>
                    </a:stretch>
                  </pic:blipFill>
                  <pic:spPr>
                    <a:xfrm rot="0">
                      <a:off x="0" y="0"/>
                      <a:ext cx="8712200" cy="7620"/>
                    </a:xfrm>
                    <a:prstGeom prst="rect">
                      <a:avLst/>
                    </a:prstGeom>
                  </pic:spPr>
                </pic:pic>
              </a:graphicData>
            </a:graphic>
          </wp:anchor>
        </w:drawing>
      </w:r>
      <w:r/>
    </w:p>
    <w:tbl>
      <w:tblPr>
        <w:tblStyle w:val="TableNormal"/>
        <w:tblW w:w="13767"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34"/>
        <w:gridCol w:w="1128"/>
        <w:gridCol w:w="4229"/>
        <w:gridCol w:w="3242"/>
        <w:gridCol w:w="1204"/>
        <w:gridCol w:w="1204"/>
        <w:gridCol w:w="1056"/>
        <w:gridCol w:w="1170"/>
      </w:tblGrid>
      <w:tr>
        <w:trPr>
          <w:trHeight w:val="741" w:hRule="atLeast"/>
        </w:trPr>
        <w:tc>
          <w:tcPr>
            <w:tcW w:w="534" w:type="dxa"/>
            <w:vAlign w:val="top"/>
            <w:tcBorders>
              <w:left w:val="single" w:color="000000" w:sz="6" w:space="0"/>
              <w:top w:val="single" w:color="000000" w:sz="6" w:space="0"/>
            </w:tcBorders>
          </w:tcPr>
          <w:p>
            <w:pPr>
              <w:spacing w:line="243" w:lineRule="auto"/>
              <w:rPr>
                <w:rFonts w:ascii="Arial"/>
                <w:sz w:val="21"/>
              </w:rPr>
            </w:pPr>
            <w:r/>
          </w:p>
          <w:p>
            <w:pPr>
              <w:pStyle w:val="TableText"/>
              <w:ind w:left="81"/>
              <w:spacing w:before="58" w:line="214" w:lineRule="auto"/>
              <w:rPr/>
            </w:pPr>
            <w:r>
              <w:rPr>
                <w:b/>
                <w:bCs/>
                <w:spacing w:val="-4"/>
              </w:rPr>
              <w:t>序号</w:t>
            </w:r>
          </w:p>
        </w:tc>
        <w:tc>
          <w:tcPr>
            <w:tcW w:w="1128" w:type="dxa"/>
            <w:vAlign w:val="top"/>
            <w:tcBorders>
              <w:top w:val="single" w:color="000000" w:sz="6" w:space="0"/>
            </w:tcBorders>
          </w:tcPr>
          <w:p>
            <w:pPr>
              <w:spacing w:line="243" w:lineRule="auto"/>
              <w:rPr>
                <w:rFonts w:ascii="Arial"/>
                <w:sz w:val="21"/>
              </w:rPr>
            </w:pPr>
            <w:r/>
          </w:p>
          <w:p>
            <w:pPr>
              <w:pStyle w:val="TableText"/>
              <w:ind w:left="202"/>
              <w:spacing w:before="58" w:line="213" w:lineRule="auto"/>
              <w:rPr/>
            </w:pPr>
            <w:r>
              <w:rPr>
                <w:b/>
                <w:bCs/>
                <w:spacing w:val="-4"/>
              </w:rPr>
              <w:t>主要任务</w:t>
            </w:r>
          </w:p>
        </w:tc>
        <w:tc>
          <w:tcPr>
            <w:tcW w:w="4229" w:type="dxa"/>
            <w:vAlign w:val="top"/>
            <w:tcBorders>
              <w:top w:val="single" w:color="000000" w:sz="6" w:space="0"/>
            </w:tcBorders>
          </w:tcPr>
          <w:p>
            <w:pPr>
              <w:spacing w:line="245" w:lineRule="auto"/>
              <w:rPr>
                <w:rFonts w:ascii="Arial"/>
                <w:sz w:val="21"/>
              </w:rPr>
            </w:pPr>
            <w:r/>
          </w:p>
          <w:p>
            <w:pPr>
              <w:pStyle w:val="TableText"/>
              <w:ind w:left="1752"/>
              <w:spacing w:before="58" w:line="211" w:lineRule="auto"/>
              <w:rPr/>
            </w:pPr>
            <w:r>
              <w:rPr>
                <w:b/>
                <w:bCs/>
                <w:spacing w:val="-3"/>
              </w:rPr>
              <w:t>推进措施</w:t>
            </w:r>
          </w:p>
        </w:tc>
        <w:tc>
          <w:tcPr>
            <w:tcW w:w="3242" w:type="dxa"/>
            <w:vAlign w:val="top"/>
            <w:tcBorders>
              <w:top w:val="single" w:color="000000" w:sz="6" w:space="0"/>
            </w:tcBorders>
          </w:tcPr>
          <w:p>
            <w:pPr>
              <w:spacing w:line="244" w:lineRule="auto"/>
              <w:rPr>
                <w:rFonts w:ascii="Arial"/>
                <w:sz w:val="21"/>
              </w:rPr>
            </w:pPr>
            <w:r/>
          </w:p>
          <w:p>
            <w:pPr>
              <w:pStyle w:val="TableText"/>
              <w:ind w:left="1264"/>
              <w:spacing w:before="59" w:line="211" w:lineRule="auto"/>
              <w:rPr/>
            </w:pPr>
            <w:r>
              <w:rPr>
                <w:b/>
                <w:bCs/>
                <w:spacing w:val="-4"/>
              </w:rPr>
              <w:t>预期目标</w:t>
            </w:r>
          </w:p>
        </w:tc>
        <w:tc>
          <w:tcPr>
            <w:tcW w:w="1204" w:type="dxa"/>
            <w:vAlign w:val="top"/>
            <w:tcBorders>
              <w:top w:val="single" w:color="000000" w:sz="6" w:space="0"/>
            </w:tcBorders>
          </w:tcPr>
          <w:p>
            <w:pPr>
              <w:spacing w:line="243" w:lineRule="auto"/>
              <w:rPr>
                <w:rFonts w:ascii="Arial"/>
                <w:sz w:val="21"/>
              </w:rPr>
            </w:pPr>
            <w:r/>
          </w:p>
          <w:p>
            <w:pPr>
              <w:pStyle w:val="TableText"/>
              <w:ind w:left="246"/>
              <w:spacing w:before="58" w:line="213" w:lineRule="auto"/>
              <w:rPr/>
            </w:pPr>
            <w:r>
              <w:rPr>
                <w:b/>
                <w:bCs/>
                <w:spacing w:val="-3"/>
              </w:rPr>
              <w:t>责任领导</w:t>
            </w:r>
          </w:p>
        </w:tc>
        <w:tc>
          <w:tcPr>
            <w:tcW w:w="1204" w:type="dxa"/>
            <w:vAlign w:val="top"/>
            <w:tcBorders>
              <w:top w:val="single" w:color="000000" w:sz="6" w:space="0"/>
            </w:tcBorders>
          </w:tcPr>
          <w:p>
            <w:pPr>
              <w:spacing w:line="243" w:lineRule="auto"/>
              <w:rPr>
                <w:rFonts w:ascii="Arial"/>
                <w:sz w:val="21"/>
              </w:rPr>
            </w:pPr>
            <w:r/>
          </w:p>
          <w:p>
            <w:pPr>
              <w:pStyle w:val="TableText"/>
              <w:ind w:left="246"/>
              <w:spacing w:before="59" w:line="212" w:lineRule="auto"/>
              <w:rPr/>
            </w:pPr>
            <w:r>
              <w:rPr>
                <w:b/>
                <w:bCs/>
                <w:spacing w:val="-3"/>
              </w:rPr>
              <w:t>牵头单位</w:t>
            </w:r>
          </w:p>
        </w:tc>
        <w:tc>
          <w:tcPr>
            <w:tcW w:w="1056" w:type="dxa"/>
            <w:vAlign w:val="top"/>
            <w:tcBorders>
              <w:top w:val="single" w:color="000000" w:sz="6" w:space="0"/>
            </w:tcBorders>
          </w:tcPr>
          <w:p>
            <w:pPr>
              <w:spacing w:line="243" w:lineRule="auto"/>
              <w:rPr>
                <w:rFonts w:ascii="Arial"/>
                <w:sz w:val="21"/>
              </w:rPr>
            </w:pPr>
            <w:r/>
          </w:p>
          <w:p>
            <w:pPr>
              <w:pStyle w:val="TableText"/>
              <w:ind w:left="173"/>
              <w:spacing w:before="58" w:line="214" w:lineRule="auto"/>
              <w:rPr/>
            </w:pPr>
            <w:r>
              <w:rPr>
                <w:b/>
                <w:bCs/>
                <w:spacing w:val="-3"/>
              </w:rPr>
              <w:t>实施单位</w:t>
            </w:r>
          </w:p>
        </w:tc>
        <w:tc>
          <w:tcPr>
            <w:tcW w:w="1170" w:type="dxa"/>
            <w:vAlign w:val="top"/>
            <w:tcBorders>
              <w:right w:val="single" w:color="000000" w:sz="6" w:space="0"/>
              <w:top w:val="single" w:color="000000" w:sz="6" w:space="0"/>
            </w:tcBorders>
          </w:tcPr>
          <w:p>
            <w:pPr>
              <w:spacing w:line="244" w:lineRule="auto"/>
              <w:rPr>
                <w:rFonts w:ascii="Arial"/>
                <w:sz w:val="21"/>
              </w:rPr>
            </w:pPr>
            <w:r/>
          </w:p>
          <w:p>
            <w:pPr>
              <w:pStyle w:val="TableText"/>
              <w:ind w:left="226"/>
              <w:spacing w:before="59" w:line="211" w:lineRule="auto"/>
              <w:rPr/>
            </w:pPr>
            <w:r>
              <w:rPr>
                <w:b/>
                <w:bCs/>
                <w:spacing w:val="-3"/>
              </w:rPr>
              <w:t>完成时限</w:t>
            </w:r>
          </w:p>
        </w:tc>
      </w:tr>
      <w:tr>
        <w:trPr>
          <w:trHeight w:val="3127" w:hRule="atLeast"/>
        </w:trPr>
        <w:tc>
          <w:tcPr>
            <w:tcW w:w="534" w:type="dxa"/>
            <w:vAlign w:val="top"/>
            <w:tcBorders>
              <w:left w:val="single" w:color="000000" w:sz="6" w:space="0"/>
            </w:tcBorders>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186"/>
              <w:spacing w:before="58" w:line="262" w:lineRule="exact"/>
              <w:rPr/>
            </w:pPr>
            <w:r>
              <w:rPr>
                <w:spacing w:val="-11"/>
                <w:position w:val="1"/>
              </w:rPr>
              <w:t>12</w:t>
            </w:r>
          </w:p>
        </w:tc>
        <w:tc>
          <w:tcPr>
            <w:tcW w:w="1128"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pStyle w:val="TableText"/>
              <w:ind w:left="15" w:right="26"/>
              <w:spacing w:before="59" w:line="291" w:lineRule="auto"/>
              <w:rPr/>
            </w:pPr>
            <w:r>
              <w:rPr>
                <w:spacing w:val="-1"/>
              </w:rPr>
              <w:t>建立务实高效</w:t>
            </w:r>
            <w:r>
              <w:rPr>
                <w:spacing w:val="-1"/>
              </w:rPr>
              <w:t>用编用人制度</w:t>
            </w:r>
          </w:p>
        </w:tc>
        <w:tc>
          <w:tcPr>
            <w:tcW w:w="4229" w:type="dxa"/>
            <w:vAlign w:val="top"/>
          </w:tcPr>
          <w:p>
            <w:pPr>
              <w:pStyle w:val="TableText"/>
              <w:ind w:left="9" w:right="12" w:firstLine="16"/>
              <w:spacing w:before="198" w:line="274" w:lineRule="auto"/>
              <w:rPr/>
            </w:pPr>
            <w:r>
              <w:rPr>
                <w:spacing w:val="-6"/>
              </w:rPr>
              <w:t>1.推进编制资源向乡镇倾斜，采取减县补乡和减上补下</w:t>
            </w:r>
            <w:r>
              <w:rPr>
                <w:spacing w:val="2"/>
              </w:rPr>
              <w:t>的办法，充实加强基层一线工作力量。乡镇人员编制</w:t>
            </w:r>
            <w:r>
              <w:rPr>
                <w:spacing w:val="8"/>
              </w:rPr>
              <w:t>增幅平均不低于20%。</w:t>
            </w:r>
          </w:p>
          <w:p>
            <w:pPr>
              <w:pStyle w:val="TableText"/>
              <w:spacing w:before="39" w:line="240" w:lineRule="exact"/>
              <w:jc w:val="right"/>
              <w:rPr/>
            </w:pPr>
            <w:r>
              <w:rPr>
                <w:spacing w:val="-5"/>
                <w:position w:val="1"/>
              </w:rPr>
              <w:t>2.乡镇上报新组建党政机构和事业单位人员定岗情况。</w:t>
            </w:r>
          </w:p>
          <w:p>
            <w:pPr>
              <w:pStyle w:val="TableText"/>
              <w:ind w:left="9" w:right="12" w:firstLine="5"/>
              <w:spacing w:before="40" w:line="252" w:lineRule="auto"/>
              <w:rPr/>
            </w:pPr>
            <w:r>
              <w:rPr>
                <w:spacing w:val="-5"/>
              </w:rPr>
              <w:t>3.负责乡镇新组建党政机构和事业单位负责人</w:t>
            </w:r>
            <w:r>
              <w:rPr>
                <w:spacing w:val="-6"/>
              </w:rPr>
              <w:t>调配，事</w:t>
            </w:r>
            <w:r>
              <w:rPr>
                <w:spacing w:val="-1"/>
              </w:rPr>
              <w:t>业单位负责人可按副科级配备。</w:t>
            </w:r>
          </w:p>
          <w:p>
            <w:pPr>
              <w:pStyle w:val="TableText"/>
              <w:ind w:left="9" w:right="12"/>
              <w:spacing w:before="67" w:line="252" w:lineRule="auto"/>
              <w:rPr/>
            </w:pPr>
            <w:r>
              <w:rPr>
                <w:spacing w:val="-5"/>
              </w:rPr>
              <w:t>4.整合条线辅助人员，按照属地化管理原则，由乡镇统</w:t>
            </w:r>
            <w:r>
              <w:rPr>
                <w:spacing w:val="-1"/>
              </w:rPr>
              <w:t>筹指挥调配。</w:t>
            </w:r>
          </w:p>
          <w:p>
            <w:pPr>
              <w:pStyle w:val="TableText"/>
              <w:ind w:left="9" w:right="12" w:firstLine="2"/>
              <w:spacing w:before="70" w:line="251" w:lineRule="auto"/>
              <w:rPr/>
            </w:pPr>
            <w:r>
              <w:rPr>
                <w:spacing w:val="-5"/>
              </w:rPr>
              <w:t>5.编办规范乡镇编制总额管理、动态管理机制及用</w:t>
            </w:r>
            <w:r>
              <w:rPr>
                <w:spacing w:val="-6"/>
              </w:rPr>
              <w:t>编用</w:t>
            </w:r>
            <w:r>
              <w:rPr>
                <w:spacing w:val="-1"/>
              </w:rPr>
              <w:t>人优先保障空编乡镇机制。</w:t>
            </w:r>
          </w:p>
        </w:tc>
        <w:tc>
          <w:tcPr>
            <w:tcW w:w="3242" w:type="dxa"/>
            <w:vAlign w:val="top"/>
          </w:tcPr>
          <w:p>
            <w:pPr>
              <w:spacing w:line="278" w:lineRule="auto"/>
              <w:rPr>
                <w:rFonts w:ascii="Arial"/>
                <w:sz w:val="21"/>
              </w:rPr>
            </w:pPr>
            <w:r/>
          </w:p>
          <w:p>
            <w:pPr>
              <w:spacing w:line="279" w:lineRule="auto"/>
              <w:rPr>
                <w:rFonts w:ascii="Arial"/>
                <w:sz w:val="21"/>
              </w:rPr>
            </w:pPr>
            <w:r/>
          </w:p>
          <w:p>
            <w:pPr>
              <w:pStyle w:val="TableText"/>
              <w:ind w:left="14" w:firstLine="16"/>
              <w:spacing w:before="58" w:line="265" w:lineRule="auto"/>
              <w:rPr/>
            </w:pPr>
            <w:r>
              <w:rPr>
                <w:spacing w:val="-11"/>
              </w:rPr>
              <w:t>1.统筹使用乡镇人员编制，优化资源配置，</w:t>
            </w:r>
            <w:r>
              <w:rPr>
                <w:spacing w:val="-5"/>
              </w:rPr>
              <w:t>充实加强基层一线工作力量，建立符合基</w:t>
            </w:r>
            <w:r>
              <w:rPr>
                <w:spacing w:val="-3"/>
              </w:rPr>
              <w:t>层工作特点的人员编制资源配置模式。</w:t>
            </w:r>
          </w:p>
          <w:p>
            <w:pPr>
              <w:pStyle w:val="TableText"/>
              <w:ind w:left="14" w:right="9" w:firstLine="1"/>
              <w:spacing w:before="66" w:line="263" w:lineRule="auto"/>
              <w:rPr/>
            </w:pPr>
            <w:r>
              <w:rPr>
                <w:spacing w:val="-2"/>
              </w:rPr>
              <w:t>2.有序推进各类人才向乡镇流动，切实加</w:t>
            </w:r>
            <w:r>
              <w:rPr>
                <w:spacing w:val="-2"/>
              </w:rPr>
              <w:t>强基层工作力量，赋予乡镇更加灵活的用</w:t>
            </w:r>
            <w:r>
              <w:rPr>
                <w:spacing w:val="-1"/>
              </w:rPr>
              <w:t>人自主权。</w:t>
            </w:r>
          </w:p>
          <w:p>
            <w:pPr>
              <w:pStyle w:val="TableText"/>
              <w:spacing w:before="69" w:line="241" w:lineRule="exact"/>
              <w:jc w:val="right"/>
              <w:rPr/>
            </w:pPr>
            <w:r>
              <w:rPr>
                <w:spacing w:val="-11"/>
                <w:position w:val="1"/>
              </w:rPr>
              <w:t>3.整合条线辅助人员，提高人员使用效率。</w:t>
            </w:r>
          </w:p>
        </w:tc>
        <w:tc>
          <w:tcPr>
            <w:tcW w:w="1204"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334" w:right="322" w:hanging="2"/>
              <w:spacing w:before="58" w:line="290" w:lineRule="auto"/>
              <w:rPr/>
            </w:pPr>
            <w:r>
              <w:rPr>
                <w:spacing w:val="-1"/>
              </w:rPr>
              <w:t>谢国玉</w:t>
            </w:r>
            <w:r>
              <w:rPr>
                <w:spacing w:val="-6"/>
              </w:rPr>
              <w:t>徐</w:t>
            </w:r>
            <w:r>
              <w:rPr>
                <w:spacing w:val="3"/>
              </w:rPr>
              <w:t xml:space="preserve">  </w:t>
            </w:r>
            <w:r>
              <w:rPr>
                <w:spacing w:val="-6"/>
              </w:rPr>
              <w:t>虎</w:t>
            </w:r>
          </w:p>
        </w:tc>
        <w:tc>
          <w:tcPr>
            <w:tcW w:w="1204" w:type="dxa"/>
            <w:vAlign w:val="top"/>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pStyle w:val="TableText"/>
              <w:ind w:left="65"/>
              <w:spacing w:before="58" w:line="210" w:lineRule="auto"/>
              <w:rPr/>
            </w:pPr>
            <w:r>
              <w:rPr>
                <w:spacing w:val="-1"/>
              </w:rPr>
              <w:t>县委组织部、</w:t>
            </w:r>
          </w:p>
          <w:p>
            <w:pPr>
              <w:pStyle w:val="TableText"/>
              <w:ind w:left="244" w:right="164" w:hanging="88"/>
              <w:spacing w:before="74" w:line="291" w:lineRule="auto"/>
              <w:rPr/>
            </w:pPr>
            <w:r>
              <w:rPr>
                <w:spacing w:val="-6"/>
              </w:rPr>
              <w:t>县委编办、</w:t>
            </w:r>
            <w:r>
              <w:rPr>
                <w:spacing w:val="-2"/>
              </w:rPr>
              <w:t>县人社局</w:t>
            </w:r>
          </w:p>
        </w:tc>
        <w:tc>
          <w:tcPr>
            <w:tcW w:w="1056" w:type="dxa"/>
            <w:vAlign w:val="top"/>
          </w:tcPr>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pStyle w:val="TableText"/>
              <w:ind w:left="171"/>
              <w:spacing w:before="58" w:line="211" w:lineRule="auto"/>
              <w:rPr/>
            </w:pPr>
            <w:r>
              <w:rPr>
                <w:spacing w:val="-2"/>
              </w:rPr>
              <w:t>财政局、</w:t>
            </w:r>
          </w:p>
          <w:p>
            <w:pPr>
              <w:pStyle w:val="TableText"/>
              <w:spacing w:before="73" w:line="213" w:lineRule="auto"/>
              <w:jc w:val="right"/>
              <w:rPr/>
            </w:pPr>
            <w:r>
              <w:rPr>
                <w:spacing w:val="-15"/>
              </w:rPr>
              <w:t>自然资源局、</w:t>
            </w:r>
          </w:p>
          <w:p>
            <w:pPr>
              <w:pStyle w:val="TableText"/>
              <w:ind w:left="169"/>
              <w:spacing w:before="72" w:line="210" w:lineRule="auto"/>
              <w:rPr/>
            </w:pPr>
            <w:r>
              <w:rPr>
                <w:spacing w:val="-1"/>
              </w:rPr>
              <w:t>水务局、</w:t>
            </w:r>
          </w:p>
          <w:p>
            <w:pPr>
              <w:pStyle w:val="TableText"/>
              <w:spacing w:before="76" w:line="212" w:lineRule="auto"/>
              <w:jc w:val="right"/>
              <w:rPr/>
            </w:pPr>
            <w:r>
              <w:rPr>
                <w:spacing w:val="-9"/>
              </w:rPr>
              <w:t>农业农村局，</w:t>
            </w:r>
          </w:p>
          <w:p>
            <w:pPr>
              <w:pStyle w:val="TableText"/>
              <w:ind w:left="261"/>
              <w:spacing w:before="72" w:line="211" w:lineRule="auto"/>
              <w:rPr/>
            </w:pPr>
            <w:r>
              <w:rPr>
                <w:spacing w:val="-2"/>
              </w:rPr>
              <w:t>各乡镇</w:t>
            </w:r>
          </w:p>
        </w:tc>
        <w:tc>
          <w:tcPr>
            <w:tcW w:w="1170" w:type="dxa"/>
            <w:vAlign w:val="top"/>
            <w:tcBorders>
              <w:right w:val="single" w:color="000000" w:sz="6" w:space="0"/>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248"/>
              <w:spacing w:before="59" w:line="240" w:lineRule="exact"/>
              <w:rPr/>
            </w:pPr>
            <w:r>
              <w:rPr>
                <w:spacing w:val="-3"/>
                <w:position w:val="1"/>
              </w:rPr>
              <w:t>2</w:t>
            </w:r>
            <w:r>
              <w:rPr>
                <w:spacing w:val="-39"/>
                <w:position w:val="1"/>
              </w:rPr>
              <w:t xml:space="preserve"> </w:t>
            </w:r>
            <w:r>
              <w:rPr>
                <w:spacing w:val="-3"/>
                <w:position w:val="1"/>
              </w:rPr>
              <w:t>月中旬</w:t>
            </w:r>
          </w:p>
        </w:tc>
      </w:tr>
      <w:tr>
        <w:trPr>
          <w:trHeight w:val="2322" w:hRule="atLeast"/>
        </w:trPr>
        <w:tc>
          <w:tcPr>
            <w:tcW w:w="534" w:type="dxa"/>
            <w:vAlign w:val="top"/>
            <w:tcBorders>
              <w:left w:val="single" w:color="000000" w:sz="6" w:space="0"/>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86"/>
              <w:spacing w:before="59" w:line="260" w:lineRule="exact"/>
              <w:rPr/>
            </w:pPr>
            <w:r>
              <w:rPr>
                <w:spacing w:val="-11"/>
                <w:position w:val="1"/>
              </w:rPr>
              <w:t>13</w:t>
            </w:r>
          </w:p>
        </w:tc>
        <w:tc>
          <w:tcPr>
            <w:tcW w:w="1128" w:type="dxa"/>
            <w:vAlign w:val="top"/>
          </w:tcPr>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pStyle w:val="TableText"/>
              <w:ind w:left="285" w:right="295" w:firstLine="2"/>
              <w:spacing w:before="59" w:line="291" w:lineRule="auto"/>
              <w:rPr/>
            </w:pPr>
            <w:r>
              <w:rPr>
                <w:spacing w:val="-2"/>
              </w:rPr>
              <w:t>强化事</w:t>
            </w:r>
            <w:r>
              <w:rPr>
                <w:spacing w:val="-1"/>
              </w:rPr>
              <w:t>权保障</w:t>
            </w:r>
          </w:p>
        </w:tc>
        <w:tc>
          <w:tcPr>
            <w:tcW w:w="4229" w:type="dxa"/>
            <w:vAlign w:val="top"/>
          </w:tcPr>
          <w:p>
            <w:pPr>
              <w:pStyle w:val="TableText"/>
              <w:ind w:left="26"/>
              <w:spacing w:before="223" w:line="240" w:lineRule="exact"/>
              <w:rPr/>
            </w:pPr>
            <w:r>
              <w:rPr>
                <w:spacing w:val="-3"/>
                <w:position w:val="1"/>
              </w:rPr>
              <w:t>1.筹备采购乡镇办公设施及综合执法设备</w:t>
            </w:r>
            <w:r>
              <w:rPr>
                <w:spacing w:val="-4"/>
                <w:position w:val="1"/>
              </w:rPr>
              <w:t>设施。</w:t>
            </w:r>
          </w:p>
          <w:p>
            <w:pPr>
              <w:pStyle w:val="TableText"/>
              <w:ind w:left="9" w:firstLine="2"/>
              <w:spacing w:before="38" w:line="253" w:lineRule="auto"/>
              <w:rPr/>
            </w:pPr>
            <w:r>
              <w:rPr>
                <w:spacing w:val="-12"/>
              </w:rPr>
              <w:t>2.建立对乡镇资金保障机制，坚持重心下移、力量下沉、</w:t>
            </w:r>
            <w:r>
              <w:rPr>
                <w:spacing w:val="-3"/>
              </w:rPr>
              <w:t>保障下倾，调动基层发展的积极性。</w:t>
            </w:r>
          </w:p>
          <w:p>
            <w:pPr>
              <w:pStyle w:val="TableText"/>
              <w:ind w:left="9" w:right="72" w:firstLine="5"/>
              <w:spacing w:before="67" w:line="270" w:lineRule="auto"/>
              <w:rPr/>
            </w:pPr>
            <w:r>
              <w:rPr>
                <w:spacing w:val="-3"/>
              </w:rPr>
              <w:t>3.改革涉及的机构人员调整后，相关部门按照人随编</w:t>
            </w:r>
            <w:r>
              <w:rPr/>
              <w:t>走、钱随事走的原则，对人员工资、项目支</w:t>
            </w:r>
            <w:r>
              <w:rPr>
                <w:spacing w:val="-1"/>
              </w:rPr>
              <w:t>出进行预</w:t>
            </w:r>
            <w:r>
              <w:rPr/>
              <w:t>算调剂，确保相关职责继续落实到位。同时</w:t>
            </w:r>
            <w:r>
              <w:rPr>
                <w:spacing w:val="-1"/>
              </w:rPr>
              <w:t>，要厘清</w:t>
            </w:r>
            <w:r>
              <w:rPr>
                <w:spacing w:val="-1"/>
              </w:rPr>
              <w:t>财产、资产和债务明细，及时清查交接、划转。</w:t>
            </w:r>
          </w:p>
        </w:tc>
        <w:tc>
          <w:tcPr>
            <w:tcW w:w="3242" w:type="dxa"/>
            <w:vAlign w:val="top"/>
          </w:tcPr>
          <w:p>
            <w:pPr>
              <w:spacing w:line="305" w:lineRule="auto"/>
              <w:rPr>
                <w:rFonts w:ascii="Arial"/>
                <w:sz w:val="21"/>
              </w:rPr>
            </w:pPr>
            <w:r/>
          </w:p>
          <w:p>
            <w:pPr>
              <w:pStyle w:val="TableText"/>
              <w:ind w:left="14" w:firstLine="1"/>
              <w:spacing w:before="58" w:line="287" w:lineRule="auto"/>
              <w:jc w:val="both"/>
              <w:rPr/>
            </w:pPr>
            <w:r>
              <w:rPr>
                <w:spacing w:val="-11"/>
              </w:rPr>
              <w:t>加强下放给乡镇事权的人才、技术、资金、</w:t>
            </w:r>
            <w:r>
              <w:rPr>
                <w:spacing w:val="-5"/>
              </w:rPr>
              <w:t>网络端口等方面的保障，调动基层发展的</w:t>
            </w:r>
            <w:r>
              <w:rPr>
                <w:spacing w:val="-5"/>
              </w:rPr>
              <w:t>积极性，做到权随事转、人随事转、钱随</w:t>
            </w:r>
            <w:r>
              <w:rPr>
                <w:spacing w:val="-5"/>
              </w:rPr>
              <w:t>事转，使基层有人有物有权，保证基层事</w:t>
            </w:r>
            <w:r>
              <w:rPr>
                <w:spacing w:val="-5"/>
              </w:rPr>
              <w:t>情基层办、基层权力给基层、基层事情有</w:t>
            </w:r>
            <w:r>
              <w:rPr>
                <w:spacing w:val="-4"/>
              </w:rPr>
              <w:t>人办。</w:t>
            </w:r>
          </w:p>
        </w:tc>
        <w:tc>
          <w:tcPr>
            <w:tcW w:w="1204"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333"/>
              <w:spacing w:before="59" w:line="207" w:lineRule="auto"/>
              <w:rPr/>
            </w:pPr>
            <w:r>
              <w:rPr>
                <w:spacing w:val="-2"/>
              </w:rPr>
              <w:t>祁</w:t>
            </w:r>
            <w:r>
              <w:rPr>
                <w:spacing w:val="4"/>
              </w:rPr>
              <w:t xml:space="preserve">  </w:t>
            </w:r>
            <w:r>
              <w:rPr>
                <w:spacing w:val="-2"/>
              </w:rPr>
              <w:t>忠</w:t>
            </w:r>
          </w:p>
        </w:tc>
        <w:tc>
          <w:tcPr>
            <w:tcW w:w="1204" w:type="dxa"/>
            <w:vAlign w:val="top"/>
          </w:tcPr>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245"/>
              <w:spacing w:before="58" w:line="211" w:lineRule="auto"/>
              <w:rPr/>
            </w:pPr>
            <w:r>
              <w:rPr>
                <w:spacing w:val="-2"/>
              </w:rPr>
              <w:t>县财政局</w:t>
            </w:r>
          </w:p>
        </w:tc>
        <w:tc>
          <w:tcPr>
            <w:tcW w:w="1056" w:type="dxa"/>
            <w:vAlign w:val="top"/>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261"/>
              <w:spacing w:before="58" w:line="211" w:lineRule="auto"/>
              <w:rPr/>
            </w:pPr>
            <w:r>
              <w:rPr>
                <w:spacing w:val="-2"/>
              </w:rPr>
              <w:t>各乡镇</w:t>
            </w:r>
          </w:p>
        </w:tc>
        <w:tc>
          <w:tcPr>
            <w:tcW w:w="1170" w:type="dxa"/>
            <w:vAlign w:val="top"/>
            <w:tcBorders>
              <w:right w:val="single" w:color="000000" w:sz="6" w:space="0"/>
            </w:tcBorders>
          </w:tcPr>
          <w:p>
            <w:pPr>
              <w:spacing w:line="285" w:lineRule="auto"/>
              <w:rPr>
                <w:rFonts w:ascii="Arial"/>
                <w:sz w:val="21"/>
              </w:rPr>
            </w:pPr>
            <w:r/>
          </w:p>
          <w:p>
            <w:pPr>
              <w:spacing w:line="286" w:lineRule="auto"/>
              <w:rPr>
                <w:rFonts w:ascii="Arial"/>
                <w:sz w:val="21"/>
              </w:rPr>
            </w:pPr>
            <w:r/>
          </w:p>
          <w:p>
            <w:pPr>
              <w:spacing w:line="286" w:lineRule="auto"/>
              <w:rPr>
                <w:rFonts w:ascii="Arial"/>
                <w:sz w:val="21"/>
              </w:rPr>
            </w:pPr>
            <w:r/>
          </w:p>
          <w:p>
            <w:pPr>
              <w:pStyle w:val="TableText"/>
              <w:ind w:left="248" w:right="102" w:hanging="43"/>
              <w:spacing w:before="58" w:line="288" w:lineRule="auto"/>
              <w:rPr/>
            </w:pPr>
            <w:r>
              <w:rPr>
                <w:spacing w:val="-3"/>
              </w:rPr>
              <w:t>2</w:t>
            </w:r>
            <w:r>
              <w:rPr>
                <w:spacing w:val="-37"/>
              </w:rPr>
              <w:t xml:space="preserve"> </w:t>
            </w:r>
            <w:r>
              <w:rPr>
                <w:spacing w:val="-3"/>
              </w:rPr>
              <w:t>月中旬—</w:t>
            </w:r>
            <w:r>
              <w:rPr/>
              <w:t xml:space="preserve"> </w:t>
            </w:r>
            <w:r>
              <w:rPr>
                <w:spacing w:val="-4"/>
              </w:rPr>
              <w:t>5</w:t>
            </w:r>
            <w:r>
              <w:rPr>
                <w:spacing w:val="-37"/>
              </w:rPr>
              <w:t xml:space="preserve"> </w:t>
            </w:r>
            <w:r>
              <w:rPr>
                <w:spacing w:val="-4"/>
              </w:rPr>
              <w:t>月中旬</w:t>
            </w:r>
          </w:p>
        </w:tc>
      </w:tr>
      <w:tr>
        <w:trPr>
          <w:trHeight w:val="1928" w:hRule="atLeast"/>
        </w:trPr>
        <w:tc>
          <w:tcPr>
            <w:tcW w:w="534" w:type="dxa"/>
            <w:vAlign w:val="top"/>
            <w:tcBorders>
              <w:left w:val="single" w:color="000000" w:sz="6" w:space="0"/>
              <w:bottom w:val="single" w:color="000000" w:sz="6" w:space="0"/>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186"/>
              <w:spacing w:before="58" w:line="262" w:lineRule="exact"/>
              <w:rPr/>
            </w:pPr>
            <w:r>
              <w:rPr>
                <w:spacing w:val="-11"/>
                <w:position w:val="1"/>
              </w:rPr>
              <w:t>14</w:t>
            </w:r>
          </w:p>
        </w:tc>
        <w:tc>
          <w:tcPr>
            <w:tcW w:w="1128" w:type="dxa"/>
            <w:vAlign w:val="top"/>
            <w:tcBorders>
              <w:bottom w:val="single" w:color="000000" w:sz="6" w:space="0"/>
            </w:tcBorders>
          </w:tcPr>
          <w:p>
            <w:pPr>
              <w:spacing w:line="333" w:lineRule="auto"/>
              <w:rPr>
                <w:rFonts w:ascii="Arial"/>
                <w:sz w:val="21"/>
              </w:rPr>
            </w:pPr>
            <w:r/>
          </w:p>
          <w:p>
            <w:pPr>
              <w:spacing w:line="334" w:lineRule="auto"/>
              <w:rPr>
                <w:rFonts w:ascii="Arial"/>
                <w:sz w:val="21"/>
              </w:rPr>
            </w:pPr>
            <w:r/>
          </w:p>
          <w:p>
            <w:pPr>
              <w:pStyle w:val="TableText"/>
              <w:ind w:left="193" w:right="206" w:firstLine="1"/>
              <w:spacing w:before="58" w:line="287" w:lineRule="auto"/>
              <w:rPr/>
            </w:pPr>
            <w:r>
              <w:rPr>
                <w:spacing w:val="-2"/>
              </w:rPr>
              <w:t>完善激励</w:t>
            </w:r>
            <w:r>
              <w:rPr>
                <w:spacing w:val="-1"/>
              </w:rPr>
              <w:t>保障机制</w:t>
            </w:r>
          </w:p>
        </w:tc>
        <w:tc>
          <w:tcPr>
            <w:tcW w:w="4229" w:type="dxa"/>
            <w:vAlign w:val="top"/>
            <w:tcBorders>
              <w:bottom w:val="single" w:color="000000" w:sz="6" w:space="0"/>
            </w:tcBorders>
          </w:tcPr>
          <w:p>
            <w:pPr>
              <w:pStyle w:val="TableText"/>
              <w:ind w:left="9" w:right="12" w:firstLine="1"/>
              <w:spacing w:before="168" w:line="291" w:lineRule="auto"/>
              <w:jc w:val="both"/>
              <w:rPr/>
            </w:pPr>
            <w:r>
              <w:rPr>
                <w:spacing w:val="2"/>
              </w:rPr>
              <w:t>全面落实乡镇工作人员各项待遇政策，并向条件艰苦</w:t>
            </w:r>
            <w:r>
              <w:rPr>
                <w:spacing w:val="2"/>
              </w:rPr>
              <w:t>的偏远乡镇和长期在乡镇工作的人员倾斜。乡镇年度</w:t>
            </w:r>
            <w:r>
              <w:rPr>
                <w:spacing w:val="6"/>
              </w:rPr>
              <w:t>考核优秀比例提高到20%，工作成绩突出的可提高到</w:t>
            </w:r>
            <w:r>
              <w:rPr>
                <w:spacing w:val="2"/>
              </w:rPr>
              <w:t>25%—35%。落实乡镇工作补贴政策，确保乡镇机关事</w:t>
            </w:r>
            <w:r>
              <w:rPr>
                <w:spacing w:val="2"/>
              </w:rPr>
              <w:t>业单位工作人员收入高于县直机关事业单位同职级人</w:t>
            </w:r>
            <w:r>
              <w:rPr>
                <w:spacing w:val="10"/>
              </w:rPr>
              <w:t>员</w:t>
            </w:r>
            <w:r>
              <w:rPr>
                <w:spacing w:val="-42"/>
              </w:rPr>
              <w:t xml:space="preserve"> </w:t>
            </w:r>
            <w:r>
              <w:rPr>
                <w:spacing w:val="10"/>
              </w:rPr>
              <w:t>20%。</w:t>
            </w:r>
          </w:p>
        </w:tc>
        <w:tc>
          <w:tcPr>
            <w:tcW w:w="3242" w:type="dxa"/>
            <w:vAlign w:val="top"/>
            <w:tcBorders>
              <w:bottom w:val="single" w:color="000000" w:sz="6" w:space="0"/>
            </w:tcBorders>
          </w:tcPr>
          <w:p>
            <w:pPr>
              <w:spacing w:line="332" w:lineRule="auto"/>
              <w:rPr>
                <w:rFonts w:ascii="Arial"/>
                <w:sz w:val="21"/>
              </w:rPr>
            </w:pPr>
            <w:r/>
          </w:p>
          <w:p>
            <w:pPr>
              <w:spacing w:line="333" w:lineRule="auto"/>
              <w:rPr>
                <w:rFonts w:ascii="Arial"/>
                <w:sz w:val="21"/>
              </w:rPr>
            </w:pPr>
            <w:r/>
          </w:p>
          <w:p>
            <w:pPr>
              <w:pStyle w:val="TableText"/>
              <w:ind w:left="28" w:right="9" w:hanging="13"/>
              <w:spacing w:before="59" w:line="287" w:lineRule="auto"/>
              <w:rPr/>
            </w:pPr>
            <w:r>
              <w:rPr>
                <w:spacing w:val="-2"/>
              </w:rPr>
              <w:t>进一步调动基层干部队伍积极性，激励担</w:t>
            </w:r>
            <w:r>
              <w:rPr>
                <w:spacing w:val="-2"/>
              </w:rPr>
              <w:t>当作为、干事创业。</w:t>
            </w:r>
          </w:p>
        </w:tc>
        <w:tc>
          <w:tcPr>
            <w:tcW w:w="1204" w:type="dxa"/>
            <w:vAlign w:val="top"/>
            <w:tcBorders>
              <w:bottom w:val="single" w:color="000000" w:sz="6" w:space="0"/>
            </w:tcBorders>
          </w:tcPr>
          <w:p>
            <w:pPr>
              <w:spacing w:line="263" w:lineRule="auto"/>
              <w:rPr>
                <w:rFonts w:ascii="Arial"/>
                <w:sz w:val="21"/>
              </w:rPr>
            </w:pPr>
            <w:r/>
          </w:p>
          <w:p>
            <w:pPr>
              <w:spacing w:line="263" w:lineRule="auto"/>
              <w:rPr>
                <w:rFonts w:ascii="Arial"/>
                <w:sz w:val="21"/>
              </w:rPr>
            </w:pPr>
            <w:r/>
          </w:p>
          <w:p>
            <w:pPr>
              <w:pStyle w:val="TableText"/>
              <w:ind w:left="334" w:right="322" w:hanging="2"/>
              <w:spacing w:before="59" w:line="289" w:lineRule="auto"/>
              <w:rPr/>
            </w:pPr>
            <w:r>
              <w:rPr>
                <w:spacing w:val="-1"/>
              </w:rPr>
              <w:t>谢国玉</w:t>
            </w:r>
            <w:r>
              <w:rPr>
                <w:spacing w:val="-6"/>
              </w:rPr>
              <w:t>徐</w:t>
            </w:r>
            <w:r>
              <w:rPr>
                <w:spacing w:val="3"/>
              </w:rPr>
              <w:t xml:space="preserve">  </w:t>
            </w:r>
            <w:r>
              <w:rPr>
                <w:spacing w:val="-6"/>
              </w:rPr>
              <w:t>虎</w:t>
            </w:r>
          </w:p>
          <w:p>
            <w:pPr>
              <w:pStyle w:val="TableText"/>
              <w:ind w:left="333"/>
              <w:spacing w:line="206" w:lineRule="auto"/>
              <w:rPr/>
            </w:pPr>
            <w:r>
              <w:rPr>
                <w:spacing w:val="-2"/>
              </w:rPr>
              <w:t>祁</w:t>
            </w:r>
            <w:r>
              <w:rPr>
                <w:spacing w:val="4"/>
              </w:rPr>
              <w:t xml:space="preserve">  </w:t>
            </w:r>
            <w:r>
              <w:rPr>
                <w:spacing w:val="-2"/>
              </w:rPr>
              <w:t>忠</w:t>
            </w:r>
          </w:p>
        </w:tc>
        <w:tc>
          <w:tcPr>
            <w:tcW w:w="1204" w:type="dxa"/>
            <w:vAlign w:val="top"/>
            <w:tcBorders>
              <w:bottom w:val="single" w:color="000000" w:sz="6" w:space="0"/>
            </w:tcBorders>
          </w:tcPr>
          <w:p>
            <w:pPr>
              <w:spacing w:line="264" w:lineRule="auto"/>
              <w:rPr>
                <w:rFonts w:ascii="Arial"/>
                <w:sz w:val="21"/>
              </w:rPr>
            </w:pPr>
            <w:r/>
          </w:p>
          <w:p>
            <w:pPr>
              <w:spacing w:line="265" w:lineRule="auto"/>
              <w:rPr>
                <w:rFonts w:ascii="Arial"/>
                <w:sz w:val="21"/>
              </w:rPr>
            </w:pPr>
            <w:r/>
          </w:p>
          <w:p>
            <w:pPr>
              <w:pStyle w:val="TableText"/>
              <w:ind w:left="245"/>
              <w:spacing w:before="59" w:line="206" w:lineRule="auto"/>
              <w:rPr/>
            </w:pPr>
            <w:r>
              <w:rPr>
                <w:spacing w:val="-2"/>
              </w:rPr>
              <w:t>县委办、</w:t>
            </w:r>
          </w:p>
          <w:p>
            <w:pPr>
              <w:pStyle w:val="TableText"/>
              <w:ind w:left="65"/>
              <w:spacing w:before="77" w:line="210" w:lineRule="auto"/>
              <w:rPr/>
            </w:pPr>
            <w:r>
              <w:rPr>
                <w:spacing w:val="-1"/>
              </w:rPr>
              <w:t>县委组织部、</w:t>
            </w:r>
          </w:p>
          <w:p>
            <w:pPr>
              <w:pStyle w:val="TableText"/>
              <w:ind w:left="199"/>
              <w:spacing w:before="79" w:line="204" w:lineRule="auto"/>
              <w:rPr/>
            </w:pPr>
            <w:r>
              <w:rPr>
                <w:spacing w:val="-2"/>
              </w:rPr>
              <w:t>县人社局</w:t>
            </w:r>
          </w:p>
        </w:tc>
        <w:tc>
          <w:tcPr>
            <w:tcW w:w="1056" w:type="dxa"/>
            <w:vAlign w:val="top"/>
            <w:tcBorders>
              <w:bottom w:val="single" w:color="000000" w:sz="6" w:space="0"/>
            </w:tcBorders>
          </w:tcPr>
          <w:p>
            <w:pPr>
              <w:spacing w:line="334" w:lineRule="auto"/>
              <w:rPr>
                <w:rFonts w:ascii="Arial"/>
                <w:sz w:val="21"/>
              </w:rPr>
            </w:pPr>
            <w:r/>
          </w:p>
          <w:p>
            <w:pPr>
              <w:spacing w:line="334" w:lineRule="auto"/>
              <w:rPr>
                <w:rFonts w:ascii="Arial"/>
                <w:sz w:val="21"/>
              </w:rPr>
            </w:pPr>
            <w:r/>
          </w:p>
          <w:p>
            <w:pPr>
              <w:pStyle w:val="TableText"/>
              <w:ind w:left="199" w:right="149" w:firstLine="18"/>
              <w:spacing w:before="58" w:line="286" w:lineRule="auto"/>
              <w:rPr/>
            </w:pPr>
            <w:r>
              <w:rPr>
                <w:spacing w:val="-11"/>
              </w:rPr>
              <w:t>财政局，</w:t>
            </w:r>
            <w:r>
              <w:rPr>
                <w:spacing w:val="-2"/>
              </w:rPr>
              <w:t>各乡镇</w:t>
            </w:r>
          </w:p>
        </w:tc>
        <w:tc>
          <w:tcPr>
            <w:tcW w:w="1170" w:type="dxa"/>
            <w:vAlign w:val="top"/>
            <w:tcBorders>
              <w:bottom w:val="single" w:color="000000" w:sz="6" w:space="0"/>
              <w:right w:val="single" w:color="000000" w:sz="6" w:space="0"/>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248"/>
              <w:spacing w:before="58" w:line="241" w:lineRule="exact"/>
              <w:rPr/>
            </w:pPr>
            <w:r>
              <w:rPr>
                <w:spacing w:val="-3"/>
                <w:position w:val="1"/>
              </w:rPr>
              <w:t>2</w:t>
            </w:r>
            <w:r>
              <w:rPr>
                <w:spacing w:val="-39"/>
                <w:position w:val="1"/>
              </w:rPr>
              <w:t xml:space="preserve"> </w:t>
            </w:r>
            <w:r>
              <w:rPr>
                <w:spacing w:val="-3"/>
                <w:position w:val="1"/>
              </w:rPr>
              <w:t>月上旬</w:t>
            </w:r>
          </w:p>
        </w:tc>
      </w:tr>
    </w:tbl>
    <w:p>
      <w:pPr>
        <w:spacing w:line="202" w:lineRule="exact"/>
        <w:rPr>
          <w:rFonts w:ascii="Arial"/>
          <w:sz w:val="17"/>
        </w:rPr>
      </w:pPr>
      <w:r/>
    </w:p>
    <w:p>
      <w:pPr>
        <w:spacing w:line="202" w:lineRule="exact"/>
        <w:sectPr>
          <w:headerReference w:type="default" r:id="rId394"/>
          <w:footerReference w:type="default" r:id="rId403"/>
          <w:pgSz w:w="16839" w:h="11906"/>
          <w:pgMar w:top="1767" w:right="1528" w:bottom="1570" w:left="1527" w:header="1428" w:footer="1172" w:gutter="0"/>
        </w:sectPr>
        <w:rPr>
          <w:rFonts w:ascii="Arial" w:hAnsi="Arial" w:eastAsia="Arial" w:cs="Arial"/>
          <w:sz w:val="17"/>
          <w:szCs w:val="17"/>
        </w:rPr>
      </w:pPr>
    </w:p>
    <w:p>
      <w:pPr>
        <w:spacing w:line="192" w:lineRule="exact"/>
        <w:rPr/>
      </w:pPr>
      <w:r>
        <w:drawing>
          <wp:anchor distT="0" distB="0" distL="0" distR="0" simplePos="0" relativeHeight="251947008"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808" name="IM 808"/>
            <wp:cNvGraphicFramePr/>
            <a:graphic>
              <a:graphicData uri="http://schemas.openxmlformats.org/drawingml/2006/picture">
                <pic:pic>
                  <pic:nvPicPr>
                    <pic:cNvPr id="808" name="IM 808"/>
                    <pic:cNvPicPr/>
                  </pic:nvPicPr>
                  <pic:blipFill>
                    <a:blip r:embed="rId406"/>
                    <a:stretch>
                      <a:fillRect/>
                    </a:stretch>
                  </pic:blipFill>
                  <pic:spPr>
                    <a:xfrm rot="0">
                      <a:off x="0" y="0"/>
                      <a:ext cx="8712200" cy="7620"/>
                    </a:xfrm>
                    <a:prstGeom prst="rect">
                      <a:avLst/>
                    </a:prstGeom>
                  </pic:spPr>
                </pic:pic>
              </a:graphicData>
            </a:graphic>
          </wp:anchor>
        </w:drawing>
      </w:r>
      <w:r/>
    </w:p>
    <w:tbl>
      <w:tblPr>
        <w:tblStyle w:val="TableNormal"/>
        <w:tblW w:w="13767"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34"/>
        <w:gridCol w:w="1128"/>
        <w:gridCol w:w="4229"/>
        <w:gridCol w:w="3242"/>
        <w:gridCol w:w="1204"/>
        <w:gridCol w:w="1204"/>
        <w:gridCol w:w="1056"/>
        <w:gridCol w:w="1170"/>
      </w:tblGrid>
      <w:tr>
        <w:trPr>
          <w:trHeight w:val="741" w:hRule="atLeast"/>
        </w:trPr>
        <w:tc>
          <w:tcPr>
            <w:tcW w:w="534" w:type="dxa"/>
            <w:vAlign w:val="top"/>
            <w:tcBorders>
              <w:left w:val="single" w:color="000000" w:sz="6" w:space="0"/>
              <w:top w:val="single" w:color="000000" w:sz="6" w:space="0"/>
            </w:tcBorders>
          </w:tcPr>
          <w:p>
            <w:pPr>
              <w:spacing w:line="241" w:lineRule="auto"/>
              <w:rPr>
                <w:rFonts w:ascii="Arial"/>
                <w:sz w:val="21"/>
              </w:rPr>
            </w:pPr>
            <w:r/>
          </w:p>
          <w:p>
            <w:pPr>
              <w:pStyle w:val="TableText"/>
              <w:ind w:left="81"/>
              <w:spacing w:before="58" w:line="214" w:lineRule="auto"/>
              <w:rPr/>
            </w:pPr>
            <w:r>
              <w:rPr>
                <w:b/>
                <w:bCs/>
                <w:spacing w:val="-4"/>
              </w:rPr>
              <w:t>序号</w:t>
            </w:r>
          </w:p>
        </w:tc>
        <w:tc>
          <w:tcPr>
            <w:tcW w:w="1128" w:type="dxa"/>
            <w:vAlign w:val="top"/>
            <w:tcBorders>
              <w:top w:val="single" w:color="000000" w:sz="6" w:space="0"/>
            </w:tcBorders>
          </w:tcPr>
          <w:p>
            <w:pPr>
              <w:spacing w:line="241" w:lineRule="auto"/>
              <w:rPr>
                <w:rFonts w:ascii="Arial"/>
                <w:sz w:val="21"/>
              </w:rPr>
            </w:pPr>
            <w:r/>
          </w:p>
          <w:p>
            <w:pPr>
              <w:pStyle w:val="TableText"/>
              <w:ind w:left="202"/>
              <w:spacing w:before="59" w:line="213" w:lineRule="auto"/>
              <w:rPr/>
            </w:pPr>
            <w:r>
              <w:rPr>
                <w:b/>
                <w:bCs/>
                <w:spacing w:val="-4"/>
              </w:rPr>
              <w:t>主要任务</w:t>
            </w:r>
          </w:p>
        </w:tc>
        <w:tc>
          <w:tcPr>
            <w:tcW w:w="4229" w:type="dxa"/>
            <w:vAlign w:val="top"/>
            <w:tcBorders>
              <w:top w:val="single" w:color="000000" w:sz="6" w:space="0"/>
            </w:tcBorders>
          </w:tcPr>
          <w:p>
            <w:pPr>
              <w:spacing w:line="243" w:lineRule="auto"/>
              <w:rPr>
                <w:rFonts w:ascii="Arial"/>
                <w:sz w:val="21"/>
              </w:rPr>
            </w:pPr>
            <w:r/>
          </w:p>
          <w:p>
            <w:pPr>
              <w:pStyle w:val="TableText"/>
              <w:ind w:left="1752"/>
              <w:spacing w:before="59" w:line="211" w:lineRule="auto"/>
              <w:rPr/>
            </w:pPr>
            <w:r>
              <w:rPr>
                <w:b/>
                <w:bCs/>
                <w:spacing w:val="-3"/>
              </w:rPr>
              <w:t>推进措施</w:t>
            </w:r>
          </w:p>
        </w:tc>
        <w:tc>
          <w:tcPr>
            <w:tcW w:w="3242" w:type="dxa"/>
            <w:vAlign w:val="top"/>
            <w:tcBorders>
              <w:top w:val="single" w:color="000000" w:sz="6" w:space="0"/>
            </w:tcBorders>
          </w:tcPr>
          <w:p>
            <w:pPr>
              <w:spacing w:line="242" w:lineRule="auto"/>
              <w:rPr>
                <w:rFonts w:ascii="Arial"/>
                <w:sz w:val="21"/>
              </w:rPr>
            </w:pPr>
            <w:r/>
          </w:p>
          <w:p>
            <w:pPr>
              <w:pStyle w:val="TableText"/>
              <w:ind w:left="1264"/>
              <w:spacing w:before="59" w:line="211" w:lineRule="auto"/>
              <w:rPr/>
            </w:pPr>
            <w:r>
              <w:rPr>
                <w:b/>
                <w:bCs/>
                <w:spacing w:val="-4"/>
              </w:rPr>
              <w:t>预期目标</w:t>
            </w:r>
          </w:p>
        </w:tc>
        <w:tc>
          <w:tcPr>
            <w:tcW w:w="1204" w:type="dxa"/>
            <w:vAlign w:val="top"/>
            <w:tcBorders>
              <w:top w:val="single" w:color="000000" w:sz="6" w:space="0"/>
            </w:tcBorders>
          </w:tcPr>
          <w:p>
            <w:pPr>
              <w:spacing w:line="241" w:lineRule="auto"/>
              <w:rPr>
                <w:rFonts w:ascii="Arial"/>
                <w:sz w:val="21"/>
              </w:rPr>
            </w:pPr>
            <w:r/>
          </w:p>
          <w:p>
            <w:pPr>
              <w:pStyle w:val="TableText"/>
              <w:ind w:left="246"/>
              <w:spacing w:before="59" w:line="213" w:lineRule="auto"/>
              <w:rPr/>
            </w:pPr>
            <w:r>
              <w:rPr>
                <w:b/>
                <w:bCs/>
                <w:spacing w:val="-3"/>
              </w:rPr>
              <w:t>责任领导</w:t>
            </w:r>
          </w:p>
        </w:tc>
        <w:tc>
          <w:tcPr>
            <w:tcW w:w="1204" w:type="dxa"/>
            <w:vAlign w:val="top"/>
            <w:tcBorders>
              <w:top w:val="single" w:color="000000" w:sz="6" w:space="0"/>
            </w:tcBorders>
          </w:tcPr>
          <w:p>
            <w:pPr>
              <w:spacing w:line="242" w:lineRule="auto"/>
              <w:rPr>
                <w:rFonts w:ascii="Arial"/>
                <w:sz w:val="21"/>
              </w:rPr>
            </w:pPr>
            <w:r/>
          </w:p>
          <w:p>
            <w:pPr>
              <w:pStyle w:val="TableText"/>
              <w:ind w:left="246"/>
              <w:spacing w:before="58" w:line="212" w:lineRule="auto"/>
              <w:rPr/>
            </w:pPr>
            <w:r>
              <w:rPr>
                <w:b/>
                <w:bCs/>
                <w:spacing w:val="-3"/>
              </w:rPr>
              <w:t>牵头单位</w:t>
            </w:r>
          </w:p>
        </w:tc>
        <w:tc>
          <w:tcPr>
            <w:tcW w:w="1056" w:type="dxa"/>
            <w:vAlign w:val="top"/>
            <w:tcBorders>
              <w:top w:val="single" w:color="000000" w:sz="6" w:space="0"/>
            </w:tcBorders>
          </w:tcPr>
          <w:p>
            <w:pPr>
              <w:spacing w:line="241" w:lineRule="auto"/>
              <w:rPr>
                <w:rFonts w:ascii="Arial"/>
                <w:sz w:val="21"/>
              </w:rPr>
            </w:pPr>
            <w:r/>
          </w:p>
          <w:p>
            <w:pPr>
              <w:pStyle w:val="TableText"/>
              <w:ind w:left="173"/>
              <w:spacing w:before="58" w:line="214" w:lineRule="auto"/>
              <w:rPr/>
            </w:pPr>
            <w:r>
              <w:rPr>
                <w:b/>
                <w:bCs/>
                <w:spacing w:val="-3"/>
              </w:rPr>
              <w:t>实施单位</w:t>
            </w:r>
          </w:p>
        </w:tc>
        <w:tc>
          <w:tcPr>
            <w:tcW w:w="1170" w:type="dxa"/>
            <w:vAlign w:val="top"/>
            <w:tcBorders>
              <w:right w:val="single" w:color="000000" w:sz="6" w:space="0"/>
              <w:top w:val="single" w:color="000000" w:sz="6" w:space="0"/>
            </w:tcBorders>
          </w:tcPr>
          <w:p>
            <w:pPr>
              <w:spacing w:line="242" w:lineRule="auto"/>
              <w:rPr>
                <w:rFonts w:ascii="Arial"/>
                <w:sz w:val="21"/>
              </w:rPr>
            </w:pPr>
            <w:r/>
          </w:p>
          <w:p>
            <w:pPr>
              <w:pStyle w:val="TableText"/>
              <w:ind w:left="226"/>
              <w:spacing w:before="59" w:line="211" w:lineRule="auto"/>
              <w:rPr/>
            </w:pPr>
            <w:r>
              <w:rPr>
                <w:b/>
                <w:bCs/>
                <w:spacing w:val="-3"/>
              </w:rPr>
              <w:t>完成时限</w:t>
            </w:r>
          </w:p>
        </w:tc>
      </w:tr>
      <w:tr>
        <w:trPr>
          <w:trHeight w:val="3035" w:hRule="atLeast"/>
        </w:trPr>
        <w:tc>
          <w:tcPr>
            <w:tcW w:w="534" w:type="dxa"/>
            <w:vAlign w:val="top"/>
            <w:tcBorders>
              <w:left w:val="single" w:color="000000" w:sz="6" w:space="0"/>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186"/>
              <w:spacing w:before="59" w:line="260" w:lineRule="exact"/>
              <w:rPr/>
            </w:pPr>
            <w:r>
              <w:rPr>
                <w:spacing w:val="-11"/>
                <w:position w:val="1"/>
              </w:rPr>
              <w:t>15</w:t>
            </w:r>
          </w:p>
        </w:tc>
        <w:tc>
          <w:tcPr>
            <w:tcW w:w="1128" w:type="dxa"/>
            <w:vAlign w:val="top"/>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288" w:right="115" w:hanging="181"/>
              <w:spacing w:before="58" w:line="289" w:lineRule="auto"/>
              <w:rPr/>
            </w:pPr>
            <w:r>
              <w:rPr>
                <w:spacing w:val="-1"/>
              </w:rPr>
              <w:t>规范“属地</w:t>
            </w:r>
            <w:r>
              <w:rPr>
                <w:spacing w:val="28"/>
              </w:rPr>
              <w:t>管理”</w:t>
            </w:r>
          </w:p>
        </w:tc>
        <w:tc>
          <w:tcPr>
            <w:tcW w:w="4229" w:type="dxa"/>
            <w:vAlign w:val="top"/>
          </w:tcPr>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1" w:right="1" w:firstLine="15"/>
              <w:spacing w:before="59" w:line="266" w:lineRule="auto"/>
              <w:rPr/>
            </w:pPr>
            <w:r>
              <w:rPr>
                <w:spacing w:val="-6"/>
              </w:rPr>
              <w:t>1.研究制定《县乡“属地管理”事项主体责任和配合责</w:t>
            </w:r>
            <w:r>
              <w:rPr>
                <w:spacing w:val="-12"/>
              </w:rPr>
              <w:t>任清单》，合理划分县乡权责边界，健全县乡联动机制。</w:t>
            </w:r>
          </w:p>
          <w:p>
            <w:pPr>
              <w:pStyle w:val="TableText"/>
              <w:ind w:left="9" w:right="12" w:firstLine="2"/>
              <w:spacing w:before="41" w:line="263" w:lineRule="auto"/>
              <w:rPr/>
            </w:pPr>
            <w:r>
              <w:rPr>
                <w:spacing w:val="-5"/>
              </w:rPr>
              <w:t>2.探索建立乡镇职责准入制度，县级职能部门将职责范</w:t>
            </w:r>
            <w:r>
              <w:rPr/>
              <w:t>围内的行政事务委托或交由乡镇承担的，需</w:t>
            </w:r>
            <w:r>
              <w:rPr>
                <w:spacing w:val="-1"/>
              </w:rPr>
              <w:t>审核报批</w:t>
            </w:r>
            <w:r>
              <w:rPr>
                <w:spacing w:val="-1"/>
              </w:rPr>
              <w:t>并充分听取基层意见。</w:t>
            </w:r>
          </w:p>
        </w:tc>
        <w:tc>
          <w:tcPr>
            <w:tcW w:w="3242" w:type="dxa"/>
            <w:vAlign w:val="top"/>
          </w:tcPr>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5" w:right="28" w:firstLine="15"/>
              <w:spacing w:before="58" w:line="264" w:lineRule="auto"/>
              <w:rPr/>
            </w:pPr>
            <w:r>
              <w:rPr>
                <w:spacing w:val="-4"/>
              </w:rPr>
              <w:t>1.通过建立县乡“属地管理”事项主体责</w:t>
            </w:r>
            <w:r>
              <w:rPr>
                <w:spacing w:val="-1"/>
              </w:rPr>
              <w:t>任和配合责任清单，进一步理顺县乡关</w:t>
            </w:r>
            <w:r>
              <w:rPr>
                <w:spacing w:val="-1"/>
              </w:rPr>
              <w:t>系，压实责任。</w:t>
            </w:r>
          </w:p>
          <w:p>
            <w:pPr>
              <w:pStyle w:val="TableText"/>
              <w:ind w:left="16" w:right="51"/>
              <w:spacing w:before="68" w:line="250" w:lineRule="auto"/>
              <w:rPr/>
            </w:pPr>
            <w:r>
              <w:rPr>
                <w:spacing w:val="-4"/>
              </w:rPr>
              <w:t>2.通过严格控制下放事项，确保放得下、</w:t>
            </w:r>
            <w:r>
              <w:rPr>
                <w:spacing w:val="-1"/>
              </w:rPr>
              <w:t>接得住、管得好。</w:t>
            </w:r>
          </w:p>
        </w:tc>
        <w:tc>
          <w:tcPr>
            <w:tcW w:w="1204" w:type="dxa"/>
            <w:vAlign w:val="top"/>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pStyle w:val="TableText"/>
              <w:ind w:left="334"/>
              <w:spacing w:before="59" w:line="210" w:lineRule="auto"/>
              <w:rPr/>
            </w:pPr>
            <w:r>
              <w:rPr>
                <w:spacing w:val="-2"/>
              </w:rPr>
              <w:t>徐</w:t>
            </w:r>
            <w:r>
              <w:rPr>
                <w:spacing w:val="3"/>
              </w:rPr>
              <w:t xml:space="preserve">  </w:t>
            </w:r>
            <w:r>
              <w:rPr>
                <w:spacing w:val="-2"/>
              </w:rPr>
              <w:t>虎</w:t>
            </w:r>
          </w:p>
        </w:tc>
        <w:tc>
          <w:tcPr>
            <w:tcW w:w="1204" w:type="dxa"/>
            <w:vAlign w:val="top"/>
          </w:tcPr>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245"/>
              <w:spacing w:before="58" w:line="208" w:lineRule="auto"/>
              <w:rPr/>
            </w:pPr>
            <w:r>
              <w:rPr>
                <w:spacing w:val="-2"/>
              </w:rPr>
              <w:t>县委编办</w:t>
            </w:r>
          </w:p>
        </w:tc>
        <w:tc>
          <w:tcPr>
            <w:tcW w:w="1056" w:type="dxa"/>
            <w:vAlign w:val="top"/>
          </w:tcPr>
          <w:p>
            <w:pPr>
              <w:rPr>
                <w:rFonts w:ascii="Arial"/>
                <w:sz w:val="21"/>
              </w:rPr>
            </w:pPr>
            <w:r/>
          </w:p>
          <w:p>
            <w:pPr>
              <w:pStyle w:val="TableText"/>
              <w:ind w:left="16" w:firstLine="2"/>
              <w:spacing w:before="58" w:line="288" w:lineRule="auto"/>
              <w:jc w:val="both"/>
              <w:rPr/>
            </w:pPr>
            <w:r>
              <w:rPr>
                <w:spacing w:val="-15"/>
              </w:rPr>
              <w:t>各乡镇、司法</w:t>
            </w:r>
            <w:r>
              <w:rPr>
                <w:spacing w:val="-14"/>
              </w:rPr>
              <w:t>局、自然资源</w:t>
            </w:r>
            <w:r>
              <w:rPr>
                <w:spacing w:val="-14"/>
              </w:rPr>
              <w:t>局、固原市生</w:t>
            </w:r>
            <w:r>
              <w:rPr>
                <w:spacing w:val="19"/>
              </w:rPr>
              <w:t>态环境局隆</w:t>
            </w:r>
            <w:r>
              <w:rPr>
                <w:spacing w:val="-14"/>
              </w:rPr>
              <w:t>德分局、住建</w:t>
            </w:r>
            <w:r>
              <w:rPr>
                <w:spacing w:val="-14"/>
              </w:rPr>
              <w:t>局、应急管理</w:t>
            </w:r>
            <w:r>
              <w:rPr>
                <w:spacing w:val="-9"/>
              </w:rPr>
              <w:t>局、市监局、</w:t>
            </w:r>
            <w:r>
              <w:rPr>
                <w:spacing w:val="-14"/>
              </w:rPr>
              <w:t>交通局、农业</w:t>
            </w:r>
            <w:r>
              <w:rPr>
                <w:spacing w:val="-17"/>
                <w:w w:val="88"/>
              </w:rPr>
              <w:t>农村局，文广局</w:t>
            </w:r>
          </w:p>
        </w:tc>
        <w:tc>
          <w:tcPr>
            <w:tcW w:w="1170" w:type="dxa"/>
            <w:vAlign w:val="top"/>
            <w:tcBorders>
              <w:right w:val="single" w:color="000000" w:sz="6" w:space="0"/>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246"/>
              <w:spacing w:before="59" w:line="241" w:lineRule="exact"/>
              <w:rPr/>
            </w:pPr>
            <w:r>
              <w:rPr>
                <w:spacing w:val="-3"/>
                <w:position w:val="1"/>
              </w:rPr>
              <w:t>4</w:t>
            </w:r>
            <w:r>
              <w:rPr>
                <w:spacing w:val="-37"/>
                <w:position w:val="1"/>
              </w:rPr>
              <w:t xml:space="preserve"> </w:t>
            </w:r>
            <w:r>
              <w:rPr>
                <w:spacing w:val="-3"/>
                <w:position w:val="1"/>
              </w:rPr>
              <w:t>月上旬</w:t>
            </w:r>
          </w:p>
        </w:tc>
      </w:tr>
      <w:tr>
        <w:trPr>
          <w:trHeight w:val="4217" w:hRule="atLeast"/>
        </w:trPr>
        <w:tc>
          <w:tcPr>
            <w:tcW w:w="534" w:type="dxa"/>
            <w:vAlign w:val="top"/>
            <w:tcBorders>
              <w:left w:val="single" w:color="000000" w:sz="6" w:space="0"/>
              <w:bottom w:val="single" w:color="000000" w:sz="6" w:space="0"/>
            </w:tcBorders>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86"/>
              <w:spacing w:before="58" w:line="261" w:lineRule="exact"/>
              <w:rPr/>
            </w:pPr>
            <w:r>
              <w:rPr>
                <w:spacing w:val="-11"/>
                <w:position w:val="1"/>
              </w:rPr>
              <w:t>16</w:t>
            </w:r>
          </w:p>
        </w:tc>
        <w:tc>
          <w:tcPr>
            <w:tcW w:w="1128" w:type="dxa"/>
            <w:vAlign w:val="top"/>
            <w:tcBorders>
              <w:bottom w:val="single" w:color="000000" w:sz="6" w:space="0"/>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195" w:right="206" w:firstLine="1"/>
              <w:spacing w:before="59" w:line="290" w:lineRule="auto"/>
              <w:rPr/>
            </w:pPr>
            <w:r>
              <w:rPr>
                <w:spacing w:val="-2"/>
              </w:rPr>
              <w:t>推进基层</w:t>
            </w:r>
            <w:r>
              <w:rPr>
                <w:spacing w:val="-1"/>
              </w:rPr>
              <w:t>减负增效</w:t>
            </w:r>
          </w:p>
        </w:tc>
        <w:tc>
          <w:tcPr>
            <w:tcW w:w="4229" w:type="dxa"/>
            <w:vAlign w:val="top"/>
            <w:tcBorders>
              <w:bottom w:val="single" w:color="000000" w:sz="6" w:space="0"/>
            </w:tcBorders>
          </w:tcPr>
          <w:p>
            <w:pPr>
              <w:spacing w:line="266" w:lineRule="auto"/>
              <w:rPr>
                <w:rFonts w:ascii="Arial"/>
                <w:sz w:val="21"/>
              </w:rPr>
            </w:pPr>
            <w:r/>
          </w:p>
          <w:p>
            <w:pPr>
              <w:pStyle w:val="TableText"/>
              <w:ind w:left="11" w:right="33" w:firstLine="15"/>
              <w:spacing w:before="58" w:line="251" w:lineRule="auto"/>
              <w:rPr/>
            </w:pPr>
            <w:r>
              <w:rPr/>
              <w:t>1.完善2021年督查检查考核工作计划和效能目标管理</w:t>
            </w:r>
            <w:r>
              <w:rPr>
                <w:spacing w:val="-1"/>
              </w:rPr>
              <w:t>考核方案。</w:t>
            </w:r>
          </w:p>
          <w:p>
            <w:pPr>
              <w:pStyle w:val="TableText"/>
              <w:ind w:left="9" w:right="72" w:firstLine="1"/>
              <w:spacing w:before="72" w:line="263" w:lineRule="auto"/>
              <w:rPr/>
            </w:pPr>
            <w:r>
              <w:rPr>
                <w:spacing w:val="-3"/>
              </w:rPr>
              <w:t>2.开展专项清理规范，组织力量对上级与乡镇签订的</w:t>
            </w:r>
            <w:r>
              <w:rPr/>
              <w:t>“一票否决”、各类“责任状”和考核评比</w:t>
            </w:r>
            <w:r>
              <w:rPr>
                <w:spacing w:val="-1"/>
              </w:rPr>
              <w:t>等事项进</w:t>
            </w:r>
            <w:r>
              <w:rPr>
                <w:spacing w:val="-1"/>
              </w:rPr>
              <w:t>行全面清理。</w:t>
            </w:r>
          </w:p>
          <w:p>
            <w:pPr>
              <w:pStyle w:val="TableText"/>
              <w:ind w:left="11" w:right="12" w:firstLine="3"/>
              <w:spacing w:before="69" w:line="264" w:lineRule="auto"/>
              <w:rPr/>
            </w:pPr>
            <w:r>
              <w:rPr>
                <w:spacing w:val="-5"/>
              </w:rPr>
              <w:t>3.及时清理、修订、完善不符合基层实际和发</w:t>
            </w:r>
            <w:r>
              <w:rPr>
                <w:spacing w:val="-6"/>
              </w:rPr>
              <w:t>展需要的</w:t>
            </w:r>
            <w:r>
              <w:rPr>
                <w:spacing w:val="-1"/>
              </w:rPr>
              <w:t>政策规定，统一规范针对乡镇的评比达标、示范创建</w:t>
            </w:r>
            <w:r>
              <w:rPr>
                <w:spacing w:val="-1"/>
              </w:rPr>
              <w:t>等活动，切实减轻基层负担。</w:t>
            </w:r>
          </w:p>
          <w:p>
            <w:pPr>
              <w:pStyle w:val="TableText"/>
              <w:ind w:left="7" w:firstLine="1"/>
              <w:spacing w:before="69" w:line="272" w:lineRule="auto"/>
              <w:rPr/>
            </w:pPr>
            <w:r>
              <w:rPr>
                <w:spacing w:val="-6"/>
              </w:rPr>
              <w:t>4.严格落实中央、自治区党委、固原市委为基层减负部</w:t>
            </w:r>
            <w:r>
              <w:rPr>
                <w:spacing w:val="-1"/>
              </w:rPr>
              <w:t>署要求，认真抓好为基层减负政策措施的落实，持续</w:t>
            </w:r>
            <w:r>
              <w:rPr>
                <w:spacing w:val="3"/>
              </w:rPr>
              <w:t>推进乡镇、村（社区）减负增效，制定“减负增效”</w:t>
            </w:r>
            <w:r>
              <w:rPr>
                <w:spacing w:val="-2"/>
              </w:rPr>
              <w:t>定期“</w:t>
            </w:r>
            <w:r>
              <w:rPr>
                <w:spacing w:val="-59"/>
              </w:rPr>
              <w:t xml:space="preserve"> </w:t>
            </w:r>
            <w:r>
              <w:rPr>
                <w:spacing w:val="-2"/>
              </w:rPr>
              <w:t>回头看”和通报长效机制，做好基层减负方面</w:t>
            </w:r>
            <w:r>
              <w:rPr>
                <w:spacing w:val="-1"/>
              </w:rPr>
              <w:t>举报受理。</w:t>
            </w:r>
          </w:p>
        </w:tc>
        <w:tc>
          <w:tcPr>
            <w:tcW w:w="3242" w:type="dxa"/>
            <w:vAlign w:val="top"/>
            <w:tcBorders>
              <w:bottom w:val="single" w:color="000000" w:sz="6" w:space="0"/>
            </w:tcBorders>
          </w:tcPr>
          <w:p>
            <w:pPr>
              <w:spacing w:line="272" w:lineRule="auto"/>
              <w:rPr>
                <w:rFonts w:ascii="Arial"/>
                <w:sz w:val="21"/>
              </w:rPr>
            </w:pPr>
            <w:r/>
          </w:p>
          <w:p>
            <w:pPr>
              <w:spacing w:line="272" w:lineRule="auto"/>
              <w:rPr>
                <w:rFonts w:ascii="Arial"/>
                <w:sz w:val="21"/>
              </w:rPr>
            </w:pPr>
            <w:r/>
          </w:p>
          <w:p>
            <w:pPr>
              <w:pStyle w:val="TableText"/>
              <w:ind w:left="29" w:right="9" w:firstLine="1"/>
              <w:spacing w:before="58" w:line="253" w:lineRule="auto"/>
              <w:rPr/>
            </w:pPr>
            <w:r>
              <w:rPr>
                <w:spacing w:val="-3"/>
              </w:rPr>
              <w:t>1.通过对“一票否决”和签订责任状事项</w:t>
            </w:r>
            <w:r>
              <w:rPr>
                <w:spacing w:val="-2"/>
              </w:rPr>
              <w:t>的专项清理规范，切实减轻基层负担。</w:t>
            </w:r>
          </w:p>
          <w:p>
            <w:pPr>
              <w:pStyle w:val="TableText"/>
              <w:ind w:left="14" w:right="6" w:firstLine="1"/>
              <w:spacing w:before="65" w:line="264" w:lineRule="auto"/>
              <w:rPr/>
            </w:pPr>
            <w:r>
              <w:rPr>
                <w:spacing w:val="-2"/>
              </w:rPr>
              <w:t>2.通过对不符合基层实际和发展需要的法</w:t>
            </w:r>
            <w:r>
              <w:rPr>
                <w:spacing w:val="-2"/>
              </w:rPr>
              <w:t>规及政策规定的清理、修订、完善，为基</w:t>
            </w:r>
            <w:r>
              <w:rPr>
                <w:spacing w:val="-1"/>
              </w:rPr>
              <w:t>层改革提供制度支持。</w:t>
            </w:r>
          </w:p>
          <w:p>
            <w:pPr>
              <w:pStyle w:val="TableText"/>
              <w:ind w:left="15" w:right="9" w:firstLine="3"/>
              <w:spacing w:before="69" w:line="263" w:lineRule="auto"/>
              <w:rPr/>
            </w:pPr>
            <w:r>
              <w:rPr>
                <w:spacing w:val="-2"/>
              </w:rPr>
              <w:t>3.进一步压减督查检查考核项目，精简考</w:t>
            </w:r>
            <w:r>
              <w:rPr>
                <w:spacing w:val="-2"/>
              </w:rPr>
              <w:t>核指标，提升督检实效，减轻基层迎检迎</w:t>
            </w:r>
            <w:r>
              <w:rPr>
                <w:spacing w:val="-2"/>
              </w:rPr>
              <w:t>考压力。</w:t>
            </w:r>
          </w:p>
          <w:p>
            <w:pPr>
              <w:pStyle w:val="TableText"/>
              <w:ind w:left="13" w:right="6"/>
              <w:spacing w:before="69" w:line="264" w:lineRule="auto"/>
              <w:rPr/>
            </w:pPr>
            <w:r>
              <w:rPr>
                <w:spacing w:val="-2"/>
              </w:rPr>
              <w:t>4.坚持减负与增效相结合，切实激发内动</w:t>
            </w:r>
            <w:r>
              <w:rPr>
                <w:spacing w:val="-2"/>
              </w:rPr>
              <w:t>力、增添新活力、催生高效率，有效增强</w:t>
            </w:r>
            <w:r>
              <w:rPr>
                <w:spacing w:val="-1"/>
              </w:rPr>
              <w:t>基层减负的获得感。</w:t>
            </w:r>
          </w:p>
        </w:tc>
        <w:tc>
          <w:tcPr>
            <w:tcW w:w="1204" w:type="dxa"/>
            <w:vAlign w:val="top"/>
            <w:tcBorders>
              <w:bottom w:val="single" w:color="000000" w:sz="6" w:space="0"/>
            </w:tcBorders>
          </w:tcPr>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334" w:right="322" w:hanging="2"/>
              <w:spacing w:before="59" w:line="288" w:lineRule="auto"/>
              <w:rPr/>
            </w:pPr>
            <w:r>
              <w:rPr>
                <w:spacing w:val="-1"/>
              </w:rPr>
              <w:t>谢国玉</w:t>
            </w:r>
            <w:r>
              <w:rPr>
                <w:spacing w:val="-6"/>
              </w:rPr>
              <w:t>徐</w:t>
            </w:r>
            <w:r>
              <w:rPr>
                <w:spacing w:val="3"/>
              </w:rPr>
              <w:t xml:space="preserve">  </w:t>
            </w:r>
            <w:r>
              <w:rPr>
                <w:spacing w:val="-6"/>
              </w:rPr>
              <w:t>虎</w:t>
            </w:r>
          </w:p>
          <w:p>
            <w:pPr>
              <w:pStyle w:val="TableText"/>
              <w:ind w:left="344" w:right="322" w:hanging="9"/>
              <w:spacing w:line="288" w:lineRule="auto"/>
              <w:rPr/>
            </w:pPr>
            <w:r>
              <w:rPr>
                <w:spacing w:val="-2"/>
              </w:rPr>
              <w:t>石永忠</w:t>
            </w:r>
            <w:r>
              <w:rPr>
                <w:spacing w:val="-5"/>
              </w:rPr>
              <w:t>陈国栋</w:t>
            </w:r>
          </w:p>
        </w:tc>
        <w:tc>
          <w:tcPr>
            <w:tcW w:w="1204" w:type="dxa"/>
            <w:vAlign w:val="top"/>
            <w:tcBorders>
              <w:bottom w:val="single" w:color="000000" w:sz="6" w:space="0"/>
            </w:tcBorders>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245"/>
              <w:spacing w:before="59" w:line="206" w:lineRule="auto"/>
              <w:rPr/>
            </w:pPr>
            <w:r>
              <w:rPr>
                <w:spacing w:val="-2"/>
              </w:rPr>
              <w:t>县委办、</w:t>
            </w:r>
          </w:p>
          <w:p>
            <w:pPr>
              <w:pStyle w:val="TableText"/>
              <w:ind w:left="65"/>
              <w:spacing w:before="77" w:line="210" w:lineRule="auto"/>
              <w:rPr/>
            </w:pPr>
            <w:r>
              <w:rPr>
                <w:spacing w:val="-1"/>
              </w:rPr>
              <w:t>县委组织部、</w:t>
            </w:r>
          </w:p>
          <w:p>
            <w:pPr>
              <w:pStyle w:val="TableText"/>
              <w:ind w:left="245"/>
              <w:spacing w:before="75" w:line="210" w:lineRule="auto"/>
              <w:rPr/>
            </w:pPr>
            <w:r>
              <w:rPr>
                <w:spacing w:val="-2"/>
              </w:rPr>
              <w:t>县政府办</w:t>
            </w:r>
          </w:p>
        </w:tc>
        <w:tc>
          <w:tcPr>
            <w:tcW w:w="1056" w:type="dxa"/>
            <w:vAlign w:val="top"/>
            <w:tcBorders>
              <w:bottom w:val="single" w:color="000000" w:sz="6" w:space="0"/>
            </w:tcBorders>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pStyle w:val="TableText"/>
              <w:ind w:left="169"/>
              <w:spacing w:before="58" w:line="204" w:lineRule="auto"/>
              <w:rPr/>
            </w:pPr>
            <w:r>
              <w:rPr>
                <w:spacing w:val="-1"/>
              </w:rPr>
              <w:t>人社局、</w:t>
            </w:r>
          </w:p>
          <w:p>
            <w:pPr>
              <w:pStyle w:val="TableText"/>
              <w:ind w:left="180"/>
              <w:spacing w:before="83" w:line="204" w:lineRule="auto"/>
              <w:rPr/>
            </w:pPr>
            <w:r>
              <w:rPr>
                <w:spacing w:val="-4"/>
              </w:rPr>
              <w:t>司法局、</w:t>
            </w:r>
          </w:p>
          <w:p>
            <w:pPr>
              <w:pStyle w:val="TableText"/>
              <w:ind w:left="97"/>
              <w:spacing w:before="73" w:line="213" w:lineRule="auto"/>
              <w:rPr/>
            </w:pPr>
            <w:r>
              <w:rPr>
                <w:spacing w:val="-4"/>
              </w:rPr>
              <w:t>民政局等相</w:t>
            </w:r>
          </w:p>
          <w:p>
            <w:pPr>
              <w:pStyle w:val="TableText"/>
              <w:ind w:left="169"/>
              <w:spacing w:before="74" w:line="213" w:lineRule="auto"/>
              <w:rPr/>
            </w:pPr>
            <w:r>
              <w:rPr>
                <w:spacing w:val="-1"/>
              </w:rPr>
              <w:t>关部门，</w:t>
            </w:r>
          </w:p>
          <w:p>
            <w:pPr>
              <w:pStyle w:val="TableText"/>
              <w:ind w:left="261"/>
              <w:spacing w:before="72" w:line="211" w:lineRule="auto"/>
              <w:rPr/>
            </w:pPr>
            <w:r>
              <w:rPr>
                <w:spacing w:val="-2"/>
              </w:rPr>
              <w:t>各乡镇</w:t>
            </w:r>
          </w:p>
        </w:tc>
        <w:tc>
          <w:tcPr>
            <w:tcW w:w="1170" w:type="dxa"/>
            <w:vAlign w:val="top"/>
            <w:tcBorders>
              <w:bottom w:val="single" w:color="000000" w:sz="6" w:space="0"/>
              <w:right w:val="single" w:color="000000" w:sz="6" w:space="0"/>
            </w:tcBorders>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249"/>
              <w:spacing w:before="59" w:line="240" w:lineRule="exact"/>
              <w:rPr/>
            </w:pPr>
            <w:r>
              <w:rPr>
                <w:spacing w:val="-4"/>
                <w:position w:val="1"/>
              </w:rPr>
              <w:t>5</w:t>
            </w:r>
            <w:r>
              <w:rPr>
                <w:spacing w:val="-37"/>
                <w:position w:val="1"/>
              </w:rPr>
              <w:t xml:space="preserve"> </w:t>
            </w:r>
            <w:r>
              <w:rPr>
                <w:spacing w:val="-4"/>
                <w:position w:val="1"/>
              </w:rPr>
              <w:t>月中旬</w:t>
            </w:r>
          </w:p>
          <w:p>
            <w:pPr>
              <w:pStyle w:val="TableText"/>
              <w:ind w:left="491"/>
              <w:spacing w:before="126" w:line="124" w:lineRule="exact"/>
              <w:rPr/>
            </w:pPr>
            <w:r>
              <w:rPr>
                <w:position w:val="-3"/>
              </w:rPr>
              <w:t>—</w:t>
            </w:r>
          </w:p>
          <w:p>
            <w:pPr>
              <w:pStyle w:val="TableText"/>
              <w:ind w:left="429"/>
              <w:spacing w:before="68" w:line="240" w:lineRule="exact"/>
              <w:rPr/>
            </w:pPr>
            <w:r>
              <w:rPr>
                <w:spacing w:val="-5"/>
                <w:position w:val="1"/>
              </w:rPr>
              <w:t>6</w:t>
            </w:r>
            <w:r>
              <w:rPr>
                <w:spacing w:val="-38"/>
                <w:position w:val="1"/>
              </w:rPr>
              <w:t xml:space="preserve"> </w:t>
            </w:r>
            <w:r>
              <w:rPr>
                <w:spacing w:val="-5"/>
                <w:position w:val="1"/>
              </w:rPr>
              <w:t>月初</w:t>
            </w:r>
          </w:p>
        </w:tc>
      </w:tr>
    </w:tbl>
    <w:p>
      <w:pPr>
        <w:spacing w:line="194" w:lineRule="exact"/>
        <w:rPr>
          <w:rFonts w:ascii="Arial"/>
          <w:sz w:val="16"/>
        </w:rPr>
      </w:pPr>
      <w:r/>
    </w:p>
    <w:p>
      <w:pPr>
        <w:spacing w:line="194" w:lineRule="exact"/>
        <w:sectPr>
          <w:headerReference w:type="default" r:id="rId391"/>
          <w:footerReference w:type="default" r:id="rId405"/>
          <w:pgSz w:w="16839" w:h="11906"/>
          <w:pgMar w:top="1792" w:right="1486" w:bottom="1672" w:left="1527" w:header="1428" w:footer="1277" w:gutter="0"/>
        </w:sectPr>
        <w:rPr>
          <w:rFonts w:ascii="Arial" w:hAnsi="Arial" w:eastAsia="Arial" w:cs="Arial"/>
          <w:sz w:val="16"/>
          <w:szCs w:val="16"/>
        </w:rPr>
      </w:pPr>
    </w:p>
    <w:p>
      <w:pPr>
        <w:spacing w:line="322" w:lineRule="auto"/>
        <w:rPr>
          <w:rFonts w:ascii="Arial"/>
          <w:sz w:val="21"/>
        </w:rPr>
      </w:pPr>
      <w:r>
        <w:drawing>
          <wp:anchor distT="0" distB="0" distL="0" distR="0" simplePos="0" relativeHeight="251949056" behindDoc="0" locked="0" layoutInCell="1" allowOverlap="1">
            <wp:simplePos x="0" y="0"/>
            <wp:positionH relativeFrom="column">
              <wp:posOffset>5393</wp:posOffset>
            </wp:positionH>
            <wp:positionV relativeFrom="paragraph">
              <wp:posOffset>25717</wp:posOffset>
            </wp:positionV>
            <wp:extent cx="5579745" cy="7620"/>
            <wp:effectExtent l="0" t="0" r="0" b="0"/>
            <wp:wrapNone/>
            <wp:docPr id="814" name="IM 814"/>
            <wp:cNvGraphicFramePr/>
            <a:graphic>
              <a:graphicData uri="http://schemas.openxmlformats.org/drawingml/2006/picture">
                <pic:pic>
                  <pic:nvPicPr>
                    <pic:cNvPr id="814" name="IM 814"/>
                    <pic:cNvPicPr/>
                  </pic:nvPicPr>
                  <pic:blipFill>
                    <a:blip r:embed="rId409"/>
                    <a:stretch>
                      <a:fillRect/>
                    </a:stretch>
                  </pic:blipFill>
                  <pic:spPr>
                    <a:xfrm rot="0">
                      <a:off x="0" y="0"/>
                      <a:ext cx="5579745" cy="7620"/>
                    </a:xfrm>
                    <a:prstGeom prst="rect">
                      <a:avLst/>
                    </a:prstGeom>
                  </pic:spPr>
                </pic:pic>
              </a:graphicData>
            </a:graphic>
          </wp:anchor>
        </w:drawing>
      </w:r>
      <w:r/>
    </w:p>
    <w:p>
      <w:pPr>
        <w:spacing w:line="323" w:lineRule="auto"/>
        <w:rPr>
          <w:rFonts w:ascii="Arial"/>
          <w:sz w:val="21"/>
        </w:rPr>
      </w:pPr>
      <w:r/>
    </w:p>
    <w:p>
      <w:pPr>
        <w:pStyle w:val="BodyText"/>
        <w:ind w:left="2398" w:right="1569" w:hanging="883"/>
        <w:spacing w:before="139" w:line="250" w:lineRule="auto"/>
        <w:rPr>
          <w:sz w:val="43"/>
          <w:szCs w:val="43"/>
        </w:rPr>
      </w:pPr>
      <w:r>
        <w:rPr>
          <w:sz w:val="43"/>
          <w:szCs w:val="43"/>
          <w:b/>
          <w:bCs/>
          <w:spacing w:val="5"/>
        </w:rPr>
        <w:t>泾源县推进基层整合审批服务</w:t>
      </w:r>
      <w:r>
        <w:rPr>
          <w:sz w:val="43"/>
          <w:szCs w:val="43"/>
          <w:b/>
          <w:bCs/>
          <w:spacing w:val="4"/>
        </w:rPr>
        <w:t>执法力量的实施方案</w:t>
      </w:r>
    </w:p>
    <w:p>
      <w:pPr>
        <w:spacing w:before="42"/>
        <w:rPr/>
      </w:pPr>
      <w:r/>
    </w:p>
    <w:p>
      <w:pPr>
        <w:spacing w:before="41"/>
        <w:rPr/>
      </w:pPr>
      <w:r/>
    </w:p>
    <w:p>
      <w:pPr>
        <w:sectPr>
          <w:headerReference w:type="default" r:id="rId407"/>
          <w:footerReference w:type="default" r:id="rId408"/>
          <w:pgSz w:w="11906" w:h="16839"/>
          <w:pgMar w:top="1766" w:right="1523" w:bottom="1570" w:left="1579" w:header="1428" w:footer="1172" w:gutter="0"/>
          <w:cols w:equalWidth="0" w:num="1">
            <w:col w:w="8803" w:space="0"/>
          </w:cols>
        </w:sectPr>
        <w:rPr/>
      </w:pPr>
    </w:p>
    <w:p>
      <w:pPr>
        <w:pStyle w:val="BodyText"/>
        <w:ind w:left="11" w:right="323" w:firstLine="423"/>
        <w:spacing w:before="47" w:line="367" w:lineRule="auto"/>
        <w:jc w:val="both"/>
        <w:rPr/>
      </w:pPr>
      <w:r>
        <w:rPr>
          <w:spacing w:val="19"/>
        </w:rPr>
        <w:t>根据党中央关于构建简约高效基层管理</w:t>
      </w:r>
      <w:r>
        <w:rPr>
          <w:spacing w:val="7"/>
        </w:rPr>
        <w:t>体制的部署要求，为认真贯彻落实中共中央办</w:t>
      </w:r>
      <w:r>
        <w:rPr>
          <w:spacing w:val="7"/>
        </w:rPr>
        <w:t>公厅、国务院办公厅《关于推进基层整合审批</w:t>
      </w:r>
      <w:r>
        <w:rPr>
          <w:spacing w:val="6"/>
        </w:rPr>
        <w:t>服务执法力量的实施意见》(中办发〔2019〕5</w:t>
      </w:r>
      <w:r>
        <w:rPr>
          <w:spacing w:val="2"/>
        </w:rPr>
        <w:t>号)、自治区党委办公厅、人民政府办公厅《印</w:t>
      </w:r>
      <w:r>
        <w:rPr>
          <w:spacing w:val="12"/>
        </w:rPr>
        <w:t>发&lt;关于推进基层整合审批服务执法力量的实</w:t>
      </w:r>
      <w:r>
        <w:rPr>
          <w:spacing w:val="7"/>
        </w:rPr>
        <w:t>施方案&gt;的通知》(宁党办〔2020〕86</w:t>
      </w:r>
      <w:r>
        <w:rPr>
          <w:spacing w:val="-17"/>
        </w:rPr>
        <w:t xml:space="preserve"> </w:t>
      </w:r>
      <w:r>
        <w:rPr>
          <w:spacing w:val="7"/>
        </w:rPr>
        <w:t>号)和固</w:t>
      </w:r>
      <w:r>
        <w:rPr>
          <w:spacing w:val="12"/>
        </w:rPr>
        <w:t>原市委办公室市人民政府办公室《印发&lt;固原</w:t>
      </w:r>
      <w:r>
        <w:rPr>
          <w:spacing w:val="18"/>
        </w:rPr>
        <w:t>市推进基层整合审批服务执法力量的实施方</w:t>
      </w:r>
      <w:r>
        <w:rPr>
          <w:spacing w:val="4"/>
        </w:rPr>
        <w:t>案&gt;的通知》(固党办〔2021〕1</w:t>
      </w:r>
      <w:r>
        <w:rPr>
          <w:spacing w:val="-42"/>
        </w:rPr>
        <w:t xml:space="preserve"> </w:t>
      </w:r>
      <w:r>
        <w:rPr>
          <w:spacing w:val="4"/>
        </w:rPr>
        <w:t>号)精神</w:t>
      </w:r>
      <w:r>
        <w:rPr>
          <w:spacing w:val="3"/>
        </w:rPr>
        <w:t>，进一</w:t>
      </w:r>
      <w:r>
        <w:rPr>
          <w:spacing w:val="7"/>
        </w:rPr>
        <w:t>步夯实基层治理体系和治理能力基础，现就乡</w:t>
      </w:r>
      <w:r>
        <w:rPr>
          <w:spacing w:val="7"/>
        </w:rPr>
        <w:t>镇改革推进基层整合审批服务执法力量，制定</w:t>
      </w:r>
      <w:r>
        <w:rPr>
          <w:spacing w:val="7"/>
        </w:rPr>
        <w:t>如下实施方案。</w:t>
      </w:r>
    </w:p>
    <w:p>
      <w:pPr>
        <w:ind w:left="545"/>
        <w:spacing w:before="31"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一、总体要求</w:t>
      </w:r>
    </w:p>
    <w:p>
      <w:pPr>
        <w:pStyle w:val="BodyText"/>
        <w:ind w:left="10" w:right="321" w:firstLine="423"/>
        <w:spacing w:before="131" w:line="358" w:lineRule="auto"/>
        <w:jc w:val="both"/>
        <w:rPr/>
      </w:pPr>
      <w:r>
        <w:rPr>
          <w:spacing w:val="19"/>
        </w:rPr>
        <w:t>坚持以习近平新时代中国特色社会主义</w:t>
      </w:r>
      <w:r>
        <w:rPr>
          <w:spacing w:val="7"/>
        </w:rPr>
        <w:t>思想为指导，全面贯彻党的十九大和十九届二</w:t>
      </w:r>
      <w:r>
        <w:rPr>
          <w:spacing w:val="7"/>
        </w:rPr>
        <w:t>中、三中、四中、五中全会精神，认真贯彻落</w:t>
      </w:r>
      <w:r>
        <w:rPr>
          <w:spacing w:val="7"/>
        </w:rPr>
        <w:t>实自治区党委十二届十次、十一次、十二次全</w:t>
      </w:r>
      <w:r>
        <w:rPr>
          <w:spacing w:val="7"/>
        </w:rPr>
        <w:t>会和市委四届七次、八次、九次全会以及县委</w:t>
      </w:r>
      <w:r>
        <w:rPr>
          <w:spacing w:val="3"/>
        </w:rPr>
        <w:t>十四届八次全会精神</w:t>
      </w:r>
      <w:r>
        <w:rPr>
          <w:spacing w:val="-42"/>
        </w:rPr>
        <w:t xml:space="preserve"> </w:t>
      </w:r>
      <w:r>
        <w:rPr>
          <w:spacing w:val="3"/>
        </w:rPr>
        <w:t>，增强“</w:t>
      </w:r>
      <w:r>
        <w:rPr>
          <w:spacing w:val="-71"/>
        </w:rPr>
        <w:t xml:space="preserve"> </w:t>
      </w:r>
      <w:r>
        <w:rPr>
          <w:spacing w:val="3"/>
        </w:rPr>
        <w:t>四个意识”、坚</w:t>
      </w:r>
      <w:r>
        <w:rPr>
          <w:spacing w:val="-4"/>
        </w:rPr>
        <w:t>定“</w:t>
      </w:r>
      <w:r>
        <w:rPr>
          <w:spacing w:val="-69"/>
        </w:rPr>
        <w:t xml:space="preserve"> </w:t>
      </w:r>
      <w:r>
        <w:rPr>
          <w:spacing w:val="-4"/>
        </w:rPr>
        <w:t>四个自信”、做到“两个维护”，以坚持和</w:t>
      </w:r>
      <w:r>
        <w:rPr>
          <w:spacing w:val="7"/>
        </w:rPr>
        <w:t>加强党的全面领导为统领，以完善基层治理体</w:t>
      </w:r>
      <w:r>
        <w:rPr>
          <w:spacing w:val="7"/>
        </w:rPr>
        <w:t>系、提高基层治理能力为导向，以推动机构职</w:t>
      </w:r>
      <w:r>
        <w:rPr>
          <w:spacing w:val="7"/>
        </w:rPr>
        <w:t>能优化协同高效为着力点，适应乡镇工作特点</w:t>
      </w:r>
      <w:r>
        <w:rPr>
          <w:spacing w:val="7"/>
        </w:rPr>
        <w:t>及便民服务需要，加强党的基层组织建设，改</w:t>
      </w:r>
      <w:r>
        <w:rPr>
          <w:spacing w:val="7"/>
        </w:rPr>
        <w:t>革机构设置，优化职能配置，理顺职责关系，</w:t>
      </w:r>
      <w:r>
        <w:rPr>
          <w:spacing w:val="7"/>
        </w:rPr>
        <w:t>使基层各类机构、组织在服务保障群众需求上</w:t>
      </w:r>
    </w:p>
    <w:p>
      <w:pPr>
        <w:spacing w:line="14" w:lineRule="auto"/>
        <w:rPr>
          <w:rFonts w:ascii="Arial"/>
          <w:sz w:val="2"/>
        </w:rPr>
      </w:pPr>
      <w:r>
        <w:rPr>
          <w:rFonts w:ascii="Arial" w:hAnsi="Arial" w:eastAsia="Arial" w:cs="Arial"/>
          <w:sz w:val="2"/>
          <w:szCs w:val="2"/>
        </w:rPr>
        <w:br w:type="column"/>
      </w:r>
    </w:p>
    <w:p>
      <w:pPr>
        <w:pStyle w:val="BodyText"/>
        <w:ind w:left="1" w:right="66" w:firstLine="1"/>
        <w:spacing w:before="44" w:line="369" w:lineRule="auto"/>
        <w:jc w:val="both"/>
        <w:rPr/>
      </w:pPr>
      <w:r>
        <w:rPr>
          <w:spacing w:val="7"/>
        </w:rPr>
        <w:t>有更大作为。坚持赋能与减负相结合，整合基</w:t>
      </w:r>
      <w:r>
        <w:rPr>
          <w:spacing w:val="7"/>
        </w:rPr>
        <w:t>层审批、服务、执法等方面的力量，推动治理</w:t>
      </w:r>
      <w:r>
        <w:rPr>
          <w:spacing w:val="7"/>
        </w:rPr>
        <w:t>重心下移、资源下沉，全面提升基层治理能力</w:t>
      </w:r>
      <w:r>
        <w:rPr>
          <w:spacing w:val="15"/>
        </w:rPr>
        <w:t>和公共服务水平</w:t>
      </w:r>
      <w:r>
        <w:rPr>
          <w:spacing w:val="-39"/>
        </w:rPr>
        <w:t xml:space="preserve"> </w:t>
      </w:r>
      <w:r>
        <w:rPr>
          <w:spacing w:val="15"/>
        </w:rPr>
        <w:t>，切实增强人民群众的获得</w:t>
      </w:r>
      <w:r>
        <w:rPr>
          <w:spacing w:val="7"/>
        </w:rPr>
        <w:t>感、幸福感、安全感，为奋力描绘好建设先行</w:t>
      </w:r>
      <w:r>
        <w:rPr>
          <w:spacing w:val="7"/>
        </w:rPr>
        <w:t>区、继续建设美丽新宁夏的现代化泾源画卷提</w:t>
      </w:r>
      <w:r>
        <w:rPr>
          <w:spacing w:val="8"/>
        </w:rPr>
        <w:t>供体制机制保障。</w:t>
      </w:r>
    </w:p>
    <w:p>
      <w:pPr>
        <w:ind w:left="431"/>
        <w:spacing w:before="3"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二、主要任务</w:t>
      </w:r>
    </w:p>
    <w:p>
      <w:pPr>
        <w:ind w:left="414"/>
        <w:spacing w:before="134" w:line="242" w:lineRule="auto"/>
        <w:rPr>
          <w:rFonts w:ascii="KaiTi" w:hAnsi="KaiTi" w:eastAsia="KaiTi" w:cs="KaiTi"/>
          <w:sz w:val="20"/>
          <w:szCs w:val="20"/>
        </w:rPr>
      </w:pPr>
      <w:r>
        <w:rPr>
          <w:rFonts w:ascii="KaiTi" w:hAnsi="KaiTi" w:eastAsia="KaiTi" w:cs="KaiTi"/>
          <w:sz w:val="20"/>
          <w:szCs w:val="20"/>
          <w:b/>
          <w:bCs/>
          <w:spacing w:val="5"/>
        </w:rPr>
        <w:t>（</w:t>
      </w:r>
      <w:r>
        <w:rPr>
          <w:rFonts w:ascii="KaiTi" w:hAnsi="KaiTi" w:eastAsia="KaiTi" w:cs="KaiTi"/>
          <w:sz w:val="20"/>
          <w:szCs w:val="20"/>
          <w:spacing w:val="-39"/>
        </w:rPr>
        <w:t xml:space="preserve"> </w:t>
      </w:r>
      <w:r>
        <w:rPr>
          <w:rFonts w:ascii="KaiTi" w:hAnsi="KaiTi" w:eastAsia="KaiTi" w:cs="KaiTi"/>
          <w:sz w:val="20"/>
          <w:szCs w:val="20"/>
          <w:b/>
          <w:bCs/>
          <w:spacing w:val="5"/>
        </w:rPr>
        <w:t>一）构建简约精干的基层组织构架</w:t>
      </w:r>
    </w:p>
    <w:p>
      <w:pPr>
        <w:pStyle w:val="BodyText"/>
        <w:ind w:firstLine="441"/>
        <w:spacing w:before="138" w:line="361" w:lineRule="auto"/>
        <w:jc w:val="both"/>
        <w:rPr/>
      </w:pPr>
      <w:r>
        <w:rPr>
          <w:spacing w:val="5"/>
        </w:rPr>
        <w:t>1.统筹优化乡镇机构设置。强化乡镇党委</w:t>
      </w:r>
      <w:r>
        <w:rPr>
          <w:spacing w:val="5"/>
        </w:rPr>
        <w:t>领导作用</w:t>
      </w:r>
      <w:r>
        <w:rPr>
          <w:spacing w:val="-53"/>
        </w:rPr>
        <w:t xml:space="preserve"> </w:t>
      </w:r>
      <w:r>
        <w:rPr>
          <w:spacing w:val="5"/>
        </w:rPr>
        <w:t>，建立健全乡镇机构“一对多”“多</w:t>
      </w:r>
      <w:r>
        <w:rPr>
          <w:spacing w:val="7"/>
        </w:rPr>
        <w:t>对一”的制度机制，理顺与县级部门的工作对</w:t>
      </w:r>
      <w:r>
        <w:rPr>
          <w:spacing w:val="10"/>
        </w:rPr>
        <w:t>接、请示汇报和沟通衔接关系。按照综合化、</w:t>
      </w:r>
      <w:r>
        <w:rPr>
          <w:spacing w:val="7"/>
        </w:rPr>
        <w:t>扁平化的改革方向，统筹机构编制资源，综合</w:t>
      </w:r>
      <w:r>
        <w:rPr>
          <w:spacing w:val="7"/>
        </w:rPr>
        <w:t>设置乡镇党政机构和事业单位，严格机构限额</w:t>
      </w:r>
      <w:r>
        <w:rPr/>
        <w:t>管理。乡镇设党政机构和事业单位</w:t>
      </w:r>
      <w:r>
        <w:rPr>
          <w:spacing w:val="-41"/>
        </w:rPr>
        <w:t xml:space="preserve"> </w:t>
      </w:r>
      <w:r>
        <w:rPr/>
        <w:t>9</w:t>
      </w:r>
      <w:r>
        <w:rPr>
          <w:spacing w:val="-45"/>
        </w:rPr>
        <w:t xml:space="preserve"> </w:t>
      </w:r>
      <w:r>
        <w:rPr/>
        <w:t>个。其中：</w:t>
      </w:r>
      <w:r>
        <w:rPr>
          <w:spacing w:val="6"/>
        </w:rPr>
        <w:t>党政机构</w:t>
      </w:r>
      <w:r>
        <w:rPr>
          <w:spacing w:val="-27"/>
        </w:rPr>
        <w:t xml:space="preserve"> </w:t>
      </w:r>
      <w:r>
        <w:rPr>
          <w:spacing w:val="6"/>
        </w:rPr>
        <w:t>5</w:t>
      </w:r>
      <w:r>
        <w:rPr>
          <w:spacing w:val="-43"/>
        </w:rPr>
        <w:t xml:space="preserve"> </w:t>
      </w:r>
      <w:r>
        <w:rPr>
          <w:spacing w:val="6"/>
        </w:rPr>
        <w:t>个，名称统一为综合办公室、党建</w:t>
      </w:r>
      <w:r>
        <w:rPr>
          <w:spacing w:val="7"/>
        </w:rPr>
        <w:t>工作办公室、经济发展办公室、社会事务管理</w:t>
      </w:r>
      <w:r>
        <w:rPr>
          <w:spacing w:val="7"/>
        </w:rPr>
        <w:t>办公室、综合执法办公室（应急管理办公室</w:t>
      </w:r>
      <w:r>
        <w:rPr>
          <w:spacing w:val="-52"/>
          <w:w w:val="96"/>
        </w:rPr>
        <w:t>）；</w:t>
      </w:r>
      <w:r>
        <w:rPr>
          <w:spacing w:val="7"/>
        </w:rPr>
        <w:t>事业单位</w:t>
      </w:r>
      <w:r>
        <w:rPr>
          <w:spacing w:val="-47"/>
        </w:rPr>
        <w:t xml:space="preserve"> </w:t>
      </w:r>
      <w:r>
        <w:rPr>
          <w:spacing w:val="7"/>
        </w:rPr>
        <w:t>4</w:t>
      </w:r>
      <w:r>
        <w:rPr>
          <w:spacing w:val="-43"/>
        </w:rPr>
        <w:t xml:space="preserve"> </w:t>
      </w:r>
      <w:r>
        <w:rPr>
          <w:spacing w:val="7"/>
        </w:rPr>
        <w:t>个，名称统一为民生服务中心（退</w:t>
      </w:r>
      <w:r>
        <w:rPr>
          <w:spacing w:val="7"/>
        </w:rPr>
        <w:t>役军人服务站）、农业综合服务中心、综治中</w:t>
      </w:r>
      <w:r>
        <w:rPr>
          <w:spacing w:val="7"/>
        </w:rPr>
        <w:t>心、财经服务中心。乡镇可根据工作需要在党</w:t>
      </w:r>
      <w:r>
        <w:rPr>
          <w:spacing w:val="10"/>
        </w:rPr>
        <w:t>政机构和事业单位上加挂牌子，按程序报批。</w:t>
      </w:r>
      <w:r>
        <w:rPr>
          <w:spacing w:val="10"/>
        </w:rPr>
        <w:t>全面清理各类自设机构，严格规范挂牌机构，</w:t>
      </w:r>
      <w:r>
        <w:rPr>
          <w:spacing w:val="7"/>
        </w:rPr>
        <w:t>除党中央和自治区党委明确要求外，上级职能</w:t>
      </w:r>
      <w:r>
        <w:rPr>
          <w:spacing w:val="10"/>
        </w:rPr>
        <w:t>部门不能要求乡镇对口设立机构或加挂牌子，</w:t>
      </w:r>
      <w:r>
        <w:rPr>
          <w:spacing w:val="9"/>
        </w:rPr>
        <w:t>不得要求在村（社区）设立机构或加挂牌子。</w:t>
      </w:r>
    </w:p>
    <w:p>
      <w:pPr>
        <w:spacing w:line="361" w:lineRule="auto"/>
        <w:sectPr>
          <w:type w:val="continuous"/>
          <w:pgSz w:w="11906" w:h="16839"/>
          <w:pgMar w:top="1766" w:right="1523" w:bottom="1570" w:left="1579" w:header="1428" w:footer="1172" w:gutter="0"/>
          <w:cols w:equalWidth="0" w:num="2">
            <w:col w:w="4487" w:space="100"/>
            <w:col w:w="4216" w:space="0"/>
          </w:cols>
        </w:sectPr>
        <w:rPr/>
      </w:pPr>
    </w:p>
    <w:p>
      <w:pPr>
        <w:spacing w:before="42"/>
        <w:rPr/>
      </w:pPr>
      <w:r>
        <w:drawing>
          <wp:anchor distT="0" distB="0" distL="0" distR="0" simplePos="0" relativeHeight="251951104"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820" name="IM 820"/>
            <wp:cNvGraphicFramePr/>
            <a:graphic>
              <a:graphicData uri="http://schemas.openxmlformats.org/drawingml/2006/picture">
                <pic:pic>
                  <pic:nvPicPr>
                    <pic:cNvPr id="820" name="IM 820"/>
                    <pic:cNvPicPr/>
                  </pic:nvPicPr>
                  <pic:blipFill>
                    <a:blip r:embed="rId412"/>
                    <a:stretch>
                      <a:fillRect/>
                    </a:stretch>
                  </pic:blipFill>
                  <pic:spPr>
                    <a:xfrm rot="0">
                      <a:off x="0" y="0"/>
                      <a:ext cx="5579745" cy="7619"/>
                    </a:xfrm>
                    <a:prstGeom prst="rect">
                      <a:avLst/>
                    </a:prstGeom>
                  </pic:spPr>
                </pic:pic>
              </a:graphicData>
            </a:graphic>
          </wp:anchor>
        </w:drawing>
      </w:r>
      <w:r/>
    </w:p>
    <w:p>
      <w:pPr>
        <w:sectPr>
          <w:headerReference w:type="default" r:id="rId410"/>
          <w:footerReference w:type="default" r:id="rId411"/>
          <w:pgSz w:w="11906" w:h="16839"/>
          <w:pgMar w:top="1793" w:right="1489" w:bottom="1673" w:left="1565" w:header="1428" w:footer="1277" w:gutter="0"/>
          <w:cols w:equalWidth="0" w:num="1">
            <w:col w:w="8852" w:space="0"/>
          </w:cols>
        </w:sectPr>
        <w:rPr/>
      </w:pPr>
    </w:p>
    <w:p>
      <w:pPr>
        <w:pStyle w:val="BodyText"/>
        <w:ind w:left="26" w:right="327" w:firstLine="423"/>
        <w:spacing w:before="50" w:line="367" w:lineRule="auto"/>
        <w:jc w:val="both"/>
        <w:rPr/>
      </w:pPr>
      <w:r>
        <w:rPr>
          <w:spacing w:val="6"/>
        </w:rPr>
        <w:t>2.调整规范乡镇派驻站所管理体制。除党</w:t>
      </w:r>
      <w:r>
        <w:rPr>
          <w:spacing w:val="7"/>
        </w:rPr>
        <w:t>中央明确要求实行派驻体制的机构外，县直部</w:t>
      </w:r>
      <w:r>
        <w:rPr>
          <w:spacing w:val="7"/>
        </w:rPr>
        <w:t>门派驻乡镇的机构原则上实行属地管理。将国</w:t>
      </w:r>
      <w:r>
        <w:rPr>
          <w:spacing w:val="7"/>
        </w:rPr>
        <w:t>土资源所和农业技术推广机构（农业技术推广</w:t>
      </w:r>
      <w:r>
        <w:rPr>
          <w:spacing w:val="7"/>
        </w:rPr>
        <w:t>服务中心、水利工作站、林业工作站）及其人</w:t>
      </w:r>
      <w:r>
        <w:rPr>
          <w:spacing w:val="5"/>
        </w:rPr>
        <w:t>员编制下放(事业编制</w:t>
      </w:r>
      <w:r>
        <w:rPr>
          <w:spacing w:val="-38"/>
        </w:rPr>
        <w:t xml:space="preserve"> </w:t>
      </w:r>
      <w:r>
        <w:rPr>
          <w:spacing w:val="5"/>
        </w:rPr>
        <w:t>90</w:t>
      </w:r>
      <w:r>
        <w:rPr>
          <w:spacing w:val="-40"/>
        </w:rPr>
        <w:t xml:space="preserve"> </w:t>
      </w:r>
      <w:r>
        <w:rPr>
          <w:spacing w:val="5"/>
        </w:rPr>
        <w:t>名</w:t>
      </w:r>
      <w:r>
        <w:rPr>
          <w:spacing w:val="-41"/>
          <w:w w:val="77"/>
        </w:rPr>
        <w:t>），</w:t>
      </w:r>
      <w:r>
        <w:rPr>
          <w:spacing w:val="5"/>
        </w:rPr>
        <w:t>整合并入乡镇新</w:t>
      </w:r>
      <w:r>
        <w:rPr>
          <w:spacing w:val="7"/>
        </w:rPr>
        <w:t>组建的相关机构，实行以乡镇管理为主、上级</w:t>
      </w:r>
      <w:r>
        <w:rPr>
          <w:spacing w:val="7"/>
        </w:rPr>
        <w:t>业务部门进行业务指导的管理体制。畜牧兽医</w:t>
      </w:r>
      <w:r>
        <w:rPr>
          <w:spacing w:val="7"/>
        </w:rPr>
        <w:t>站继续实行现行体制，与农业综合服务中心合</w:t>
      </w:r>
      <w:r>
        <w:rPr>
          <w:spacing w:val="6"/>
        </w:rPr>
        <w:t>署办公。</w:t>
      </w:r>
    </w:p>
    <w:p>
      <w:pPr>
        <w:ind w:left="439"/>
        <w:spacing w:before="22" w:line="241" w:lineRule="auto"/>
        <w:rPr>
          <w:rFonts w:ascii="KaiTi" w:hAnsi="KaiTi" w:eastAsia="KaiTi" w:cs="KaiTi"/>
          <w:sz w:val="20"/>
          <w:szCs w:val="20"/>
        </w:rPr>
      </w:pPr>
      <w:r>
        <w:rPr>
          <w:rFonts w:ascii="KaiTi" w:hAnsi="KaiTi" w:eastAsia="KaiTi" w:cs="KaiTi"/>
          <w:sz w:val="20"/>
          <w:szCs w:val="20"/>
          <w:b/>
          <w:bCs/>
        </w:rPr>
        <w:t>（</w:t>
      </w:r>
      <w:r>
        <w:rPr>
          <w:rFonts w:ascii="KaiTi" w:hAnsi="KaiTi" w:eastAsia="KaiTi" w:cs="KaiTi"/>
          <w:sz w:val="20"/>
          <w:szCs w:val="20"/>
          <w:spacing w:val="-45"/>
        </w:rPr>
        <w:t xml:space="preserve"> </w:t>
      </w:r>
      <w:r>
        <w:rPr>
          <w:rFonts w:ascii="KaiTi" w:hAnsi="KaiTi" w:eastAsia="KaiTi" w:cs="KaiTi"/>
          <w:sz w:val="20"/>
          <w:szCs w:val="20"/>
          <w:b/>
          <w:bCs/>
        </w:rPr>
        <w:t>二</w:t>
      </w:r>
      <w:r>
        <w:rPr>
          <w:rFonts w:ascii="KaiTi" w:hAnsi="KaiTi" w:eastAsia="KaiTi" w:cs="KaiTi"/>
          <w:sz w:val="20"/>
          <w:szCs w:val="20"/>
          <w:spacing w:val="-41"/>
        </w:rPr>
        <w:t xml:space="preserve"> </w:t>
      </w:r>
      <w:r>
        <w:rPr>
          <w:rFonts w:ascii="KaiTi" w:hAnsi="KaiTi" w:eastAsia="KaiTi" w:cs="KaiTi"/>
          <w:sz w:val="20"/>
          <w:szCs w:val="20"/>
          <w:b/>
          <w:bCs/>
        </w:rPr>
        <w:t>）完善基层审批服务体系</w:t>
      </w:r>
    </w:p>
    <w:p>
      <w:pPr>
        <w:pStyle w:val="BodyText"/>
        <w:ind w:left="26" w:right="306" w:firstLine="426"/>
        <w:spacing w:before="140" w:line="358" w:lineRule="auto"/>
        <w:rPr/>
      </w:pPr>
      <w:r>
        <w:rPr>
          <w:spacing w:val="6"/>
        </w:rPr>
        <w:t>3.加强综合便民服务机构和平台建设。加</w:t>
      </w:r>
      <w:r>
        <w:rPr>
          <w:spacing w:val="7"/>
        </w:rPr>
        <w:t>强乡镇民生服务中心规范化建设，制定《泾源</w:t>
      </w:r>
      <w:r>
        <w:rPr>
          <w:spacing w:val="8"/>
        </w:rPr>
        <w:t>县完善基层审批服务规范化建设实施方案》，</w:t>
      </w:r>
      <w:r>
        <w:rPr>
          <w:spacing w:val="18"/>
        </w:rPr>
        <w:t>在整合基层行政审批和公共服务职责的基础</w:t>
      </w:r>
      <w:r>
        <w:rPr>
          <w:spacing w:val="7"/>
        </w:rPr>
        <w:t>上，将具体面向企业群众服务的岗位集中到民</w:t>
      </w:r>
      <w:r>
        <w:rPr>
          <w:spacing w:val="8"/>
        </w:rPr>
        <w:t>生服务大厅办公，推进基层市场管理、税务、</w:t>
      </w:r>
      <w:r>
        <w:rPr>
          <w:spacing w:val="18"/>
        </w:rPr>
        <w:t>公安等相关服务事项进驻大厅办理。在推行</w:t>
      </w:r>
      <w:r>
        <w:rPr>
          <w:spacing w:val="8"/>
        </w:rPr>
        <w:t>“</w:t>
      </w:r>
      <w:r>
        <w:rPr>
          <w:spacing w:val="-77"/>
        </w:rPr>
        <w:t xml:space="preserve"> </w:t>
      </w:r>
      <w:r>
        <w:rPr>
          <w:spacing w:val="8"/>
        </w:rPr>
        <w:t>163</w:t>
      </w:r>
      <w:r>
        <w:rPr>
          <w:spacing w:val="-41"/>
        </w:rPr>
        <w:t xml:space="preserve"> </w:t>
      </w:r>
      <w:r>
        <w:rPr>
          <w:spacing w:val="8"/>
        </w:rPr>
        <w:t>政务服务模式市县一体化”工作的</w:t>
      </w:r>
      <w:r>
        <w:rPr>
          <w:spacing w:val="7"/>
        </w:rPr>
        <w:t>基础</w:t>
      </w:r>
      <w:r>
        <w:rPr>
          <w:spacing w:val="5"/>
        </w:rPr>
        <w:t>上</w:t>
      </w:r>
      <w:r>
        <w:rPr>
          <w:spacing w:val="-41"/>
        </w:rPr>
        <w:t xml:space="preserve"> </w:t>
      </w:r>
      <w:r>
        <w:rPr>
          <w:spacing w:val="5"/>
        </w:rPr>
        <w:t>，整合设置“综合窗口”，推行一窗受理、</w:t>
      </w:r>
      <w:r>
        <w:rPr>
          <w:spacing w:val="7"/>
        </w:rPr>
        <w:t>集成服务。依托宁夏政务服务网“一张网”功</w:t>
      </w:r>
      <w:r>
        <w:rPr>
          <w:spacing w:val="7"/>
        </w:rPr>
        <w:t>能，整合民政、就业、卫健、社保、医保、残</w:t>
      </w:r>
      <w:r>
        <w:rPr>
          <w:spacing w:val="15"/>
        </w:rPr>
        <w:t>联等行业信息系统相关功能</w:t>
      </w:r>
      <w:r>
        <w:rPr>
          <w:spacing w:val="-39"/>
        </w:rPr>
        <w:t xml:space="preserve"> </w:t>
      </w:r>
      <w:r>
        <w:rPr>
          <w:spacing w:val="15"/>
        </w:rPr>
        <w:t>，实现“一网通</w:t>
      </w:r>
      <w:r>
        <w:rPr>
          <w:spacing w:val="3"/>
        </w:rPr>
        <w:t>办”，让“数据多跑路、群众少跑腿”。</w:t>
      </w:r>
    </w:p>
    <w:p>
      <w:pPr>
        <w:pStyle w:val="BodyText"/>
        <w:ind w:left="25" w:right="306" w:firstLine="420"/>
        <w:spacing w:before="152" w:line="352" w:lineRule="auto"/>
        <w:rPr/>
      </w:pPr>
      <w:r>
        <w:rPr>
          <w:spacing w:val="6"/>
        </w:rPr>
        <w:t>4.推进审批服务标准化建设。紧扣城乡基</w:t>
      </w:r>
      <w:r>
        <w:rPr>
          <w:spacing w:val="7"/>
        </w:rPr>
        <w:t>层治理，聚焦基层党的建设、乡村振兴、新型</w:t>
      </w:r>
      <w:r>
        <w:rPr>
          <w:spacing w:val="7"/>
        </w:rPr>
        <w:t>城镇化等重点工作以及就业和社会保障、医疗</w:t>
      </w:r>
      <w:r>
        <w:rPr>
          <w:spacing w:val="7"/>
        </w:rPr>
        <w:t>保障、不动产登记、社会救助、户籍管理、乡</w:t>
      </w:r>
      <w:r>
        <w:rPr>
          <w:spacing w:val="-3"/>
        </w:rPr>
        <w:t>村建设、危(旧)房改造、古村(屋)修缮、改水改</w:t>
      </w:r>
      <w:r>
        <w:rPr>
          <w:spacing w:val="12"/>
        </w:rPr>
        <w:t>厕等群众关心关注的重点事项,根据自治区指</w:t>
      </w:r>
      <w:r>
        <w:rPr>
          <w:spacing w:val="8"/>
        </w:rPr>
        <w:t>导目录，制定并公布基层“马上办、网上办、</w:t>
      </w:r>
      <w:r>
        <w:rPr>
          <w:spacing w:val="2"/>
        </w:rPr>
        <w:t>就近办、一次办”审批服务事项目录,以为企业</w:t>
      </w:r>
    </w:p>
    <w:p>
      <w:pPr>
        <w:spacing w:line="14" w:lineRule="auto"/>
        <w:rPr>
          <w:rFonts w:ascii="Arial"/>
          <w:sz w:val="2"/>
        </w:rPr>
      </w:pPr>
      <w:r>
        <w:rPr>
          <w:rFonts w:ascii="Arial" w:hAnsi="Arial" w:eastAsia="Arial" w:cs="Arial"/>
          <w:sz w:val="2"/>
          <w:szCs w:val="2"/>
        </w:rPr>
        <w:br w:type="column"/>
      </w:r>
    </w:p>
    <w:p>
      <w:pPr>
        <w:pStyle w:val="BodyText"/>
        <w:ind w:right="98" w:firstLine="8"/>
        <w:spacing w:before="47" w:line="367" w:lineRule="auto"/>
        <w:jc w:val="both"/>
        <w:rPr/>
      </w:pPr>
      <w:r>
        <w:rPr>
          <w:spacing w:val="1"/>
        </w:rPr>
        <w:t>和群众办好“一件事”为标准,建立和完善适应</w:t>
      </w:r>
      <w:r>
        <w:rPr>
          <w:spacing w:val="12"/>
        </w:rPr>
        <w:t>基层实际的办事指南和工作规程,进一步提升</w:t>
      </w:r>
      <w:r>
        <w:rPr>
          <w:spacing w:val="7"/>
        </w:rPr>
        <w:t>审批服务效能。</w:t>
      </w:r>
    </w:p>
    <w:p>
      <w:pPr>
        <w:pStyle w:val="BodyText"/>
        <w:ind w:right="20" w:firstLine="423"/>
        <w:spacing w:before="2" w:line="369" w:lineRule="auto"/>
        <w:jc w:val="both"/>
        <w:rPr/>
      </w:pPr>
      <w:r>
        <w:rPr>
          <w:spacing w:val="-4"/>
        </w:rPr>
        <w:t>5.完善村级代办服务机制。进一步推进“家</w:t>
      </w:r>
      <w:r>
        <w:rPr>
          <w:spacing w:val="7"/>
        </w:rPr>
        <w:t>门口”综合服务站建设，完善村级代办服务机</w:t>
      </w:r>
      <w:r>
        <w:rPr>
          <w:spacing w:val="1"/>
        </w:rPr>
        <w:t>制，整合与群众密切相关的党群、政务、农业、</w:t>
      </w:r>
      <w:r>
        <w:rPr>
          <w:spacing w:val="11"/>
        </w:rPr>
        <w:t>文化、健康、法律、社区、生活等服务功能，</w:t>
      </w:r>
      <w:r>
        <w:rPr>
          <w:spacing w:val="18"/>
        </w:rPr>
        <w:t>集中受理办理直接关系人民群众的公共服务</w:t>
      </w:r>
      <w:r>
        <w:rPr>
          <w:spacing w:val="7"/>
        </w:rPr>
        <w:t>事项，逐步扩大公共服务事项网上受理、网上</w:t>
      </w:r>
      <w:r>
        <w:rPr>
          <w:spacing w:val="7"/>
        </w:rPr>
        <w:t>办理、网上反馈范围，努力实现简单事项不出</w:t>
      </w:r>
      <w:r>
        <w:rPr>
          <w:spacing w:val="7"/>
        </w:rPr>
        <w:t>村（社区）、复杂事项可代办。制定《泾源县</w:t>
      </w:r>
      <w:r>
        <w:rPr>
          <w:spacing w:val="7"/>
        </w:rPr>
        <w:t>加强基层便民服务队伍建设管理办法》，提升</w:t>
      </w:r>
      <w:r>
        <w:rPr>
          <w:spacing w:val="8"/>
        </w:rPr>
        <w:t>村级代办服务能力和专业化水平。</w:t>
      </w:r>
    </w:p>
    <w:p>
      <w:pPr>
        <w:ind w:left="413"/>
        <w:spacing w:before="7"/>
        <w:rPr>
          <w:rFonts w:ascii="KaiTi" w:hAnsi="KaiTi" w:eastAsia="KaiTi" w:cs="KaiTi"/>
          <w:sz w:val="20"/>
          <w:szCs w:val="20"/>
        </w:rPr>
      </w:pPr>
      <w:r>
        <w:rPr>
          <w:rFonts w:ascii="KaiTi" w:hAnsi="KaiTi" w:eastAsia="KaiTi" w:cs="KaiTi"/>
          <w:sz w:val="20"/>
          <w:szCs w:val="20"/>
          <w:b/>
          <w:bCs/>
          <w:spacing w:val="5"/>
        </w:rPr>
        <w:t>（</w:t>
      </w:r>
      <w:r>
        <w:rPr>
          <w:rFonts w:ascii="KaiTi" w:hAnsi="KaiTi" w:eastAsia="KaiTi" w:cs="KaiTi"/>
          <w:sz w:val="20"/>
          <w:szCs w:val="20"/>
          <w:spacing w:val="-37"/>
        </w:rPr>
        <w:t xml:space="preserve"> </w:t>
      </w:r>
      <w:r>
        <w:rPr>
          <w:rFonts w:ascii="KaiTi" w:hAnsi="KaiTi" w:eastAsia="KaiTi" w:cs="KaiTi"/>
          <w:sz w:val="20"/>
          <w:szCs w:val="20"/>
          <w:b/>
          <w:bCs/>
          <w:spacing w:val="5"/>
        </w:rPr>
        <w:t>三）积极推进基层综合行政执法改革</w:t>
      </w:r>
    </w:p>
    <w:p>
      <w:pPr>
        <w:pStyle w:val="BodyText"/>
        <w:ind w:right="79" w:firstLine="424"/>
        <w:spacing w:before="143" w:line="353" w:lineRule="auto"/>
        <w:rPr/>
      </w:pPr>
      <w:r>
        <w:rPr>
          <w:spacing w:val="6"/>
        </w:rPr>
        <w:t>6.组建综合行政执法机构。制定《泾源县</w:t>
      </w:r>
      <w:r>
        <w:rPr>
          <w:spacing w:val="7"/>
        </w:rPr>
        <w:t>乡镇综合行政执法改革实施意见》，与各领域</w:t>
      </w:r>
      <w:r>
        <w:rPr>
          <w:spacing w:val="7"/>
        </w:rPr>
        <w:t>综合行政执法体制改革相衔接，统筹设计行政</w:t>
      </w:r>
      <w:r>
        <w:rPr>
          <w:spacing w:val="7"/>
        </w:rPr>
        <w:t>区域内综合行政执法模式，推进行政执法权限</w:t>
      </w:r>
      <w:r>
        <w:rPr>
          <w:spacing w:val="7"/>
        </w:rPr>
        <w:t>和力量向基层延伸和下沉。整合现有站所、队</w:t>
      </w:r>
      <w:r>
        <w:rPr>
          <w:spacing w:val="7"/>
        </w:rPr>
        <w:t>执法力量和资源，组建综合执法办公室，按照</w:t>
      </w:r>
      <w:r>
        <w:rPr>
          <w:spacing w:val="-2"/>
        </w:rPr>
        <w:t>有关法律规定相对集中行使行政处罚权，以乡镇</w:t>
      </w:r>
      <w:r>
        <w:rPr>
          <w:spacing w:val="-2"/>
        </w:rPr>
        <w:t>名义开展执法工作，并接受县级有关主管部门的</w:t>
      </w:r>
      <w:r>
        <w:rPr>
          <w:spacing w:val="-1"/>
        </w:rPr>
        <w:t>业务指导和监督，逐步实现一支队伍管执法。</w:t>
      </w:r>
    </w:p>
    <w:p>
      <w:pPr>
        <w:pStyle w:val="BodyText"/>
        <w:ind w:right="99" w:firstLine="420"/>
        <w:spacing w:before="137" w:line="335" w:lineRule="auto"/>
        <w:rPr/>
      </w:pPr>
      <w:r>
        <w:rPr>
          <w:spacing w:val="6"/>
        </w:rPr>
        <w:t>7.完善指挥协调机制。强化乡镇的统一指</w:t>
      </w:r>
      <w:r>
        <w:rPr>
          <w:spacing w:val="7"/>
        </w:rPr>
        <w:t>挥和统筹协调职责，赋予乡镇党委对派驻机构</w:t>
      </w:r>
      <w:r>
        <w:rPr>
          <w:spacing w:val="7"/>
        </w:rPr>
        <w:t>的统一指挥权、干部管理考核权、主要负责人</w:t>
      </w:r>
      <w:r>
        <w:rPr>
          <w:spacing w:val="7"/>
        </w:rPr>
        <w:t>任免建议权等。乡镇综合执法办公室负责统筹</w:t>
      </w:r>
      <w:r>
        <w:rPr>
          <w:spacing w:val="7"/>
        </w:rPr>
        <w:t>协调派驻执法机构和辖区执法力量，开展联合</w:t>
      </w:r>
      <w:r>
        <w:rPr>
          <w:spacing w:val="7"/>
        </w:rPr>
        <w:t>执法。制定乡镇行政执法事项清单，明确执法</w:t>
      </w:r>
      <w:r>
        <w:rPr>
          <w:spacing w:val="7"/>
        </w:rPr>
        <w:t>事项的范围、内容。建立健全乡镇与县直部门</w:t>
      </w:r>
      <w:r>
        <w:rPr>
          <w:spacing w:val="7"/>
        </w:rPr>
        <w:t>行政执法案件移送机制及协调机制，对超出权</w:t>
      </w:r>
      <w:r>
        <w:rPr>
          <w:spacing w:val="7"/>
        </w:rPr>
        <w:t>限的执法事项，乡镇和街道承担日常巡查、接</w:t>
      </w:r>
      <w:r>
        <w:rPr>
          <w:spacing w:val="7"/>
        </w:rPr>
        <w:t>受投诉举报、协助调查取证等工作，并及时通</w:t>
      </w:r>
    </w:p>
    <w:p>
      <w:pPr>
        <w:spacing w:line="335" w:lineRule="auto"/>
        <w:sectPr>
          <w:type w:val="continuous"/>
          <w:pgSz w:w="11906" w:h="16839"/>
          <w:pgMar w:top="1793" w:right="1489" w:bottom="1673" w:left="1565" w:header="1428" w:footer="1277" w:gutter="0"/>
          <w:cols w:equalWidth="0" w:num="2">
            <w:col w:w="4504" w:space="100"/>
            <w:col w:w="4249" w:space="0"/>
          </w:cols>
        </w:sectPr>
        <w:rPr/>
      </w:pPr>
    </w:p>
    <w:p>
      <w:pPr>
        <w:spacing w:before="23"/>
        <w:rPr/>
      </w:pPr>
      <w:r>
        <w:drawing>
          <wp:anchor distT="0" distB="0" distL="0" distR="0" simplePos="0" relativeHeight="251953152"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826" name="IM 826"/>
            <wp:cNvGraphicFramePr/>
            <a:graphic>
              <a:graphicData uri="http://schemas.openxmlformats.org/drawingml/2006/picture">
                <pic:pic>
                  <pic:nvPicPr>
                    <pic:cNvPr id="826" name="IM 826"/>
                    <pic:cNvPicPr/>
                  </pic:nvPicPr>
                  <pic:blipFill>
                    <a:blip r:embed="rId415"/>
                    <a:stretch>
                      <a:fillRect/>
                    </a:stretch>
                  </pic:blipFill>
                  <pic:spPr>
                    <a:xfrm rot="0">
                      <a:off x="0" y="0"/>
                      <a:ext cx="5579745" cy="7620"/>
                    </a:xfrm>
                    <a:prstGeom prst="rect">
                      <a:avLst/>
                    </a:prstGeom>
                  </pic:spPr>
                </pic:pic>
              </a:graphicData>
            </a:graphic>
          </wp:anchor>
        </w:drawing>
      </w:r>
      <w:r/>
    </w:p>
    <w:p>
      <w:pPr>
        <w:sectPr>
          <w:headerReference w:type="default" r:id="rId413"/>
          <w:footerReference w:type="default" r:id="rId414"/>
          <w:pgSz w:w="11906" w:h="16839"/>
          <w:pgMar w:top="1766" w:right="1526" w:bottom="1570" w:left="1579" w:header="1428" w:footer="1172" w:gutter="0"/>
          <w:cols w:equalWidth="0" w:num="1">
            <w:col w:w="8801" w:space="0"/>
          </w:cols>
        </w:sectPr>
        <w:rPr/>
      </w:pPr>
    </w:p>
    <w:p>
      <w:pPr>
        <w:pStyle w:val="BodyText"/>
        <w:ind w:left="14"/>
        <w:spacing w:before="43" w:line="218" w:lineRule="auto"/>
        <w:rPr/>
      </w:pPr>
      <w:r>
        <w:rPr>
          <w:spacing w:val="7"/>
        </w:rPr>
        <w:t>报县级部门。</w:t>
      </w:r>
    </w:p>
    <w:p>
      <w:pPr>
        <w:pStyle w:val="BodyText"/>
        <w:ind w:left="11" w:right="306" w:firstLine="425"/>
        <w:spacing w:before="133" w:line="351" w:lineRule="auto"/>
        <w:jc w:val="both"/>
        <w:rPr/>
      </w:pPr>
      <w:r>
        <w:rPr>
          <w:spacing w:val="6"/>
        </w:rPr>
        <w:t>8.提升行政执法能力和水平。加强对乡镇</w:t>
      </w:r>
      <w:r>
        <w:rPr>
          <w:spacing w:val="7"/>
        </w:rPr>
        <w:t>综合行政执法机构、执法人员的业务指导和培</w:t>
      </w:r>
      <w:r>
        <w:rPr>
          <w:spacing w:val="7"/>
        </w:rPr>
        <w:t>训，规范执法检查、受立案、调查、审查、决</w:t>
      </w:r>
      <w:r>
        <w:rPr>
          <w:spacing w:val="8"/>
        </w:rPr>
        <w:t>定等程序和行为，建立执法全过程记录制度，</w:t>
      </w:r>
      <w:r>
        <w:rPr>
          <w:spacing w:val="7"/>
        </w:rPr>
        <w:t>实现全程留痕、可追溯、可追责。全面推行行</w:t>
      </w:r>
      <w:r>
        <w:rPr>
          <w:spacing w:val="8"/>
        </w:rPr>
        <w:t>政执法公示制度，做到依据公开、决策公开、</w:t>
      </w:r>
      <w:r>
        <w:rPr>
          <w:spacing w:val="7"/>
        </w:rPr>
        <w:t>执行公开、过程公开、结果公开。全面推行重</w:t>
      </w:r>
      <w:r>
        <w:rPr>
          <w:spacing w:val="7"/>
        </w:rPr>
        <w:t>大行政执法决定法制审核制度，作出重大执法</w:t>
      </w:r>
      <w:r>
        <w:rPr>
          <w:spacing w:val="7"/>
        </w:rPr>
        <w:t>决定前要进行法制审核，未经法制审核或审核</w:t>
      </w:r>
      <w:r>
        <w:rPr>
          <w:spacing w:val="7"/>
        </w:rPr>
        <w:t>未通过的，不得作出行政执法决定，确保重大</w:t>
      </w:r>
      <w:r>
        <w:rPr>
          <w:spacing w:val="7"/>
        </w:rPr>
        <w:t>执法决定合法适当。严格确定行政执法责任和</w:t>
      </w:r>
      <w:r>
        <w:rPr>
          <w:spacing w:val="7"/>
        </w:rPr>
        <w:t>责任追究机制，加强执法监督，坚决惩治执法</w:t>
      </w:r>
      <w:r>
        <w:rPr>
          <w:spacing w:val="9"/>
        </w:rPr>
        <w:t>腐败现象，确保权力不被滥用。</w:t>
      </w:r>
    </w:p>
    <w:p>
      <w:pPr>
        <w:ind w:left="424"/>
        <w:rPr>
          <w:rFonts w:ascii="KaiTi" w:hAnsi="KaiTi" w:eastAsia="KaiTi" w:cs="KaiTi"/>
          <w:sz w:val="20"/>
          <w:szCs w:val="20"/>
        </w:rPr>
      </w:pPr>
      <w:r>
        <w:rPr>
          <w:rFonts w:ascii="KaiTi" w:hAnsi="KaiTi" w:eastAsia="KaiTi" w:cs="KaiTi"/>
          <w:sz w:val="20"/>
          <w:szCs w:val="20"/>
          <w:b/>
          <w:bCs/>
          <w:spacing w:val="5"/>
        </w:rPr>
        <w:t>（</w:t>
      </w:r>
      <w:r>
        <w:rPr>
          <w:rFonts w:ascii="KaiTi" w:hAnsi="KaiTi" w:eastAsia="KaiTi" w:cs="KaiTi"/>
          <w:sz w:val="20"/>
          <w:szCs w:val="20"/>
          <w:spacing w:val="-39"/>
        </w:rPr>
        <w:t xml:space="preserve"> </w:t>
      </w:r>
      <w:r>
        <w:rPr>
          <w:rFonts w:ascii="KaiTi" w:hAnsi="KaiTi" w:eastAsia="KaiTi" w:cs="KaiTi"/>
          <w:sz w:val="20"/>
          <w:szCs w:val="20"/>
          <w:b/>
          <w:bCs/>
          <w:spacing w:val="5"/>
        </w:rPr>
        <w:t>四）整合基层网格管理和指挥平台</w:t>
      </w:r>
    </w:p>
    <w:p>
      <w:pPr>
        <w:pStyle w:val="BodyText"/>
        <w:ind w:left="4" w:right="246" w:firstLine="430"/>
        <w:spacing w:before="119" w:line="343" w:lineRule="auto"/>
        <w:rPr/>
      </w:pPr>
      <w:r>
        <w:rPr>
          <w:spacing w:val="-4"/>
        </w:rPr>
        <w:t>9.实现“多网合一”。将上级部门在基层设</w:t>
      </w:r>
      <w:r>
        <w:rPr>
          <w:spacing w:val="16"/>
        </w:rPr>
        <w:t>置的多个网格整合为一个综合网格</w:t>
      </w:r>
      <w:r>
        <w:rPr>
          <w:spacing w:val="-51"/>
        </w:rPr>
        <w:t xml:space="preserve"> </w:t>
      </w:r>
      <w:r>
        <w:rPr>
          <w:spacing w:val="16"/>
        </w:rPr>
        <w:t>，依托村</w:t>
      </w:r>
      <w:r>
        <w:rPr>
          <w:spacing w:val="7"/>
        </w:rPr>
        <w:t>（社区）合理划分基本网格单元，统筹网格内</w:t>
      </w:r>
      <w:r>
        <w:rPr>
          <w:spacing w:val="10"/>
        </w:rPr>
        <w:t>党的建设、社会保障、综合治理、应急管理、</w:t>
      </w:r>
      <w:r>
        <w:rPr>
          <w:spacing w:val="7"/>
        </w:rPr>
        <w:t>社会救助等工作。强化党建引领，将党支部或</w:t>
      </w:r>
      <w:r>
        <w:rPr>
          <w:spacing w:val="7"/>
        </w:rPr>
        <w:t>党小组建在网格上，以网格为基本单元，设立</w:t>
      </w:r>
      <w:r>
        <w:rPr>
          <w:spacing w:val="7"/>
        </w:rPr>
        <w:t>党员示范岗、党员先锋岗、党员责任区等，选</w:t>
      </w:r>
      <w:r>
        <w:rPr>
          <w:spacing w:val="7"/>
        </w:rPr>
        <w:t>优配强支部书记或党小组组长。合理确定网格</w:t>
      </w:r>
      <w:r>
        <w:rPr>
          <w:spacing w:val="1"/>
        </w:rPr>
        <w:t>监管任务和事项，将网格内的人、地、物、事、</w:t>
      </w:r>
      <w:r>
        <w:rPr>
          <w:spacing w:val="7"/>
        </w:rPr>
        <w:t>组织等基础信息和社情民意、全程代办服务等</w:t>
      </w:r>
      <w:r>
        <w:rPr>
          <w:spacing w:val="7"/>
        </w:rPr>
        <w:t>事项，全部纳入网格化服务管理工作范围，科</w:t>
      </w:r>
      <w:r>
        <w:rPr>
          <w:spacing w:val="10"/>
        </w:rPr>
        <w:t>学配置网格员力量，实行定人、定岗、定责。</w:t>
      </w:r>
      <w:r>
        <w:rPr>
          <w:spacing w:val="7"/>
        </w:rPr>
        <w:t>推进网格化服务管理标准化建设，提高网格管</w:t>
      </w:r>
      <w:r>
        <w:rPr>
          <w:spacing w:val="7"/>
        </w:rPr>
        <w:t>理规范化精细化水平。加强网格资源配置，把</w:t>
      </w:r>
      <w:r>
        <w:rPr>
          <w:spacing w:val="7"/>
        </w:rPr>
        <w:t>公共服务、社会服务、市场服务、志愿服务下</w:t>
      </w:r>
      <w:r>
        <w:rPr>
          <w:spacing w:val="9"/>
        </w:rPr>
        <w:t>沉到网格，精准投送到千家万户。</w:t>
      </w:r>
    </w:p>
    <w:p>
      <w:pPr>
        <w:pStyle w:val="BodyText"/>
        <w:ind w:left="16" w:right="327" w:firstLine="435"/>
        <w:spacing w:before="134" w:line="298" w:lineRule="auto"/>
        <w:rPr/>
      </w:pPr>
      <w:r>
        <w:rPr/>
        <w:t>10.加快平台建设。建设一体化的信息系统</w:t>
      </w:r>
      <w:r>
        <w:rPr>
          <w:spacing w:val="7"/>
        </w:rPr>
        <w:t>和综合指挥平台，先易后难、分步实施，整合</w:t>
      </w:r>
      <w:r>
        <w:rPr>
          <w:spacing w:val="7"/>
        </w:rPr>
        <w:t>现有设在乡镇的党的建设、综合治理、社区治</w:t>
      </w:r>
    </w:p>
    <w:p>
      <w:pPr>
        <w:spacing w:line="14" w:lineRule="auto"/>
        <w:rPr>
          <w:rFonts w:ascii="Arial"/>
          <w:sz w:val="2"/>
        </w:rPr>
      </w:pPr>
      <w:r>
        <w:rPr>
          <w:rFonts w:ascii="Arial" w:hAnsi="Arial" w:eastAsia="Arial" w:cs="Arial"/>
          <w:sz w:val="2"/>
          <w:szCs w:val="2"/>
        </w:rPr>
        <w:br w:type="column"/>
      </w:r>
    </w:p>
    <w:p>
      <w:pPr>
        <w:pStyle w:val="BodyText"/>
        <w:ind w:right="64" w:firstLine="2"/>
        <w:spacing w:before="41" w:line="350" w:lineRule="auto"/>
        <w:jc w:val="both"/>
        <w:rPr/>
      </w:pPr>
      <w:r>
        <w:rPr>
          <w:spacing w:val="7"/>
        </w:rPr>
        <w:t>理、数字城管等各系统指挥信息资源。强化信</w:t>
      </w:r>
      <w:r>
        <w:rPr>
          <w:spacing w:val="7"/>
        </w:rPr>
        <w:t>息共享和技术支撑，上级相关部门的视频监控</w:t>
      </w:r>
      <w:r>
        <w:rPr>
          <w:spacing w:val="7"/>
        </w:rPr>
        <w:t>等要尽可能接入基层综合指挥平台，实现互联</w:t>
      </w:r>
      <w:r>
        <w:rPr>
          <w:spacing w:val="7"/>
        </w:rPr>
        <w:t>互通、信息共享、实时监控、综合监测。建立</w:t>
      </w:r>
      <w:r>
        <w:rPr>
          <w:spacing w:val="7"/>
        </w:rPr>
        <w:t>健全发现问题、流转交办、协调联动、研判预</w:t>
      </w:r>
      <w:r>
        <w:rPr>
          <w:spacing w:val="7"/>
        </w:rPr>
        <w:t>警、督查考核等综合指挥工作机制，实现基层</w:t>
      </w:r>
      <w:r>
        <w:rPr>
          <w:spacing w:val="8"/>
        </w:rPr>
        <w:t>管理跨部门、跨层级协同运转。</w:t>
      </w:r>
    </w:p>
    <w:p>
      <w:pPr>
        <w:ind w:left="413"/>
        <w:rPr>
          <w:rFonts w:ascii="KaiTi" w:hAnsi="KaiTi" w:eastAsia="KaiTi" w:cs="KaiTi"/>
          <w:sz w:val="20"/>
          <w:szCs w:val="20"/>
        </w:rPr>
      </w:pPr>
      <w:r>
        <w:rPr>
          <w:rFonts w:ascii="KaiTi" w:hAnsi="KaiTi" w:eastAsia="KaiTi" w:cs="KaiTi"/>
          <w:sz w:val="20"/>
          <w:szCs w:val="20"/>
          <w:b/>
          <w:bCs/>
          <w:spacing w:val="8"/>
        </w:rPr>
        <w:t>（五）大力推动资源服务管理下沉</w:t>
      </w:r>
    </w:p>
    <w:p>
      <w:pPr>
        <w:pStyle w:val="BodyText"/>
        <w:ind w:firstLine="440"/>
        <w:spacing w:before="121" w:line="338" w:lineRule="auto"/>
        <w:rPr/>
      </w:pPr>
      <w:r>
        <w:rPr>
          <w:spacing w:val="11"/>
        </w:rPr>
        <w:t>11.严格落实赋权清单目录。按照依法下</w:t>
      </w:r>
      <w:r>
        <w:rPr>
          <w:spacing w:val="7"/>
        </w:rPr>
        <w:t>放、宜放则放原则，将点多面广、乡镇管理迫</w:t>
      </w:r>
      <w:r>
        <w:rPr>
          <w:spacing w:val="18"/>
        </w:rPr>
        <w:t>切需要且能有效承接的审批服务执法等权限</w:t>
      </w:r>
      <w:r>
        <w:rPr>
          <w:spacing w:val="7"/>
        </w:rPr>
        <w:t>赋予乡镇。按照自治区政府统一制定的赋权清</w:t>
      </w:r>
      <w:r>
        <w:rPr>
          <w:spacing w:val="7"/>
        </w:rPr>
        <w:t>单，依法明确乡镇执法主体地位，按照“一个</w:t>
      </w:r>
      <w:r>
        <w:rPr>
          <w:spacing w:val="7"/>
        </w:rPr>
        <w:t>乡镇、一个赋权清单”的要求，依法编制各乡</w:t>
      </w:r>
      <w:r>
        <w:rPr/>
        <w:t>镇赋权清单，统一和规范赋权事项，成熟一批，</w:t>
      </w:r>
      <w:r>
        <w:rPr>
          <w:spacing w:val="7"/>
        </w:rPr>
        <w:t>赋予一批，确保放得下、接得住、管得好、有</w:t>
      </w:r>
      <w:r>
        <w:rPr>
          <w:spacing w:val="7"/>
        </w:rPr>
        <w:t>监督。法律规定的县政府及其部门的管理权限</w:t>
      </w:r>
      <w:r>
        <w:rPr>
          <w:spacing w:val="9"/>
        </w:rPr>
        <w:t>需要赋予乡镇的，按法定程序和要求办理。</w:t>
      </w:r>
    </w:p>
    <w:p>
      <w:pPr>
        <w:pStyle w:val="BodyText"/>
        <w:ind w:right="61" w:firstLine="440"/>
        <w:spacing w:before="133" w:line="341" w:lineRule="auto"/>
        <w:rPr/>
      </w:pPr>
      <w:r>
        <w:rPr/>
        <w:t>12.建立务实高效用编用人制度。推进编制</w:t>
      </w:r>
      <w:r>
        <w:rPr>
          <w:spacing w:val="7"/>
        </w:rPr>
        <w:t>资源向乡镇倾斜，采取减县补乡和减上补下调</w:t>
      </w:r>
      <w:r>
        <w:rPr>
          <w:spacing w:val="7"/>
        </w:rPr>
        <w:t>剂使用行政和事业编制，充实加强基层一线工</w:t>
      </w:r>
      <w:r>
        <w:rPr>
          <w:spacing w:val="9"/>
        </w:rPr>
        <w:t>作力量，乡镇编制增幅平均不低于</w:t>
      </w:r>
      <w:r>
        <w:rPr>
          <w:spacing w:val="-39"/>
        </w:rPr>
        <w:t xml:space="preserve"> </w:t>
      </w:r>
      <w:r>
        <w:rPr>
          <w:spacing w:val="9"/>
        </w:rPr>
        <w:t>20%。</w:t>
      </w:r>
      <w:r>
        <w:rPr>
          <w:spacing w:val="8"/>
        </w:rPr>
        <w:t>乡镇</w:t>
      </w:r>
      <w:r>
        <w:rPr>
          <w:spacing w:val="7"/>
        </w:rPr>
        <w:t>编制实行总额管理，乡镇核定行政编制和事业</w:t>
      </w:r>
      <w:r>
        <w:rPr>
          <w:spacing w:val="8"/>
        </w:rPr>
        <w:t>编制平均不少于</w:t>
      </w:r>
      <w:r>
        <w:rPr>
          <w:spacing w:val="-18"/>
        </w:rPr>
        <w:t xml:space="preserve"> </w:t>
      </w:r>
      <w:r>
        <w:rPr>
          <w:spacing w:val="8"/>
        </w:rPr>
        <w:t>30</w:t>
      </w:r>
      <w:r>
        <w:rPr>
          <w:spacing w:val="-35"/>
        </w:rPr>
        <w:t xml:space="preserve"> </w:t>
      </w:r>
      <w:r>
        <w:rPr>
          <w:spacing w:val="8"/>
        </w:rPr>
        <w:t>名</w:t>
      </w:r>
      <w:r>
        <w:rPr>
          <w:spacing w:val="-59"/>
        </w:rPr>
        <w:t xml:space="preserve"> </w:t>
      </w:r>
      <w:r>
        <w:rPr>
          <w:spacing w:val="8"/>
        </w:rPr>
        <w:t>，县委编委可根据工作</w:t>
      </w:r>
      <w:r>
        <w:rPr>
          <w:spacing w:val="15"/>
        </w:rPr>
        <w:t>需要</w:t>
      </w:r>
      <w:r>
        <w:rPr>
          <w:spacing w:val="-39"/>
        </w:rPr>
        <w:t xml:space="preserve"> </w:t>
      </w:r>
      <w:r>
        <w:rPr>
          <w:spacing w:val="15"/>
        </w:rPr>
        <w:t>，在乡镇之间统筹调剂使用各类编制资</w:t>
      </w:r>
      <w:r>
        <w:rPr>
          <w:spacing w:val="7"/>
        </w:rPr>
        <w:t>源，实行动态管理，上级部门不得挤占挪用乡</w:t>
      </w:r>
      <w:r>
        <w:rPr>
          <w:spacing w:val="7"/>
        </w:rPr>
        <w:t>镇编制。建立用编用人计划优先保障空编乡镇</w:t>
      </w:r>
      <w:r>
        <w:rPr>
          <w:spacing w:val="7"/>
        </w:rPr>
        <w:t>机制，根据基层需要及时补充人员，提高编制</w:t>
      </w:r>
      <w:r>
        <w:rPr>
          <w:spacing w:val="7"/>
        </w:rPr>
        <w:t>资源使用效益。制定《泾源县乡镇条线辅助人</w:t>
      </w:r>
      <w:r>
        <w:rPr>
          <w:spacing w:val="5"/>
        </w:rPr>
        <w:t>员管理办法》，整合条线辅助人员</w:t>
      </w:r>
      <w:r>
        <w:rPr>
          <w:spacing w:val="-54"/>
        </w:rPr>
        <w:t xml:space="preserve"> </w:t>
      </w:r>
      <w:r>
        <w:rPr>
          <w:spacing w:val="5"/>
        </w:rPr>
        <w:t>，按照属地</w:t>
      </w:r>
      <w:r>
        <w:rPr>
          <w:spacing w:val="7"/>
        </w:rPr>
        <w:t>化管理原则，由乡镇统筹指挥调配。赋予乡镇</w:t>
      </w:r>
      <w:r>
        <w:rPr>
          <w:spacing w:val="7"/>
        </w:rPr>
        <w:t>更加灵活的用人自主权，在编制与人员一一对</w:t>
      </w:r>
      <w:r>
        <w:rPr>
          <w:spacing w:val="7"/>
        </w:rPr>
        <w:t>应关系的基础上，根据工作需要和人尽其才的</w:t>
      </w:r>
      <w:r>
        <w:rPr>
          <w:spacing w:val="7"/>
        </w:rPr>
        <w:t>原则，统筹使用行政事业人员，事业单位主要</w:t>
      </w:r>
    </w:p>
    <w:p>
      <w:pPr>
        <w:spacing w:line="341" w:lineRule="auto"/>
        <w:sectPr>
          <w:type w:val="continuous"/>
          <w:pgSz w:w="11906" w:h="16839"/>
          <w:pgMar w:top="1766" w:right="1526" w:bottom="1570" w:left="1579" w:header="1428" w:footer="1172" w:gutter="0"/>
          <w:cols w:equalWidth="0" w:num="2">
            <w:col w:w="4489" w:space="100"/>
            <w:col w:w="4212" w:space="0"/>
          </w:cols>
        </w:sectPr>
        <w:rPr/>
      </w:pPr>
    </w:p>
    <w:p>
      <w:pPr>
        <w:spacing w:before="36"/>
        <w:rPr/>
      </w:pPr>
      <w:r>
        <w:drawing>
          <wp:anchor distT="0" distB="0" distL="0" distR="0" simplePos="0" relativeHeight="251955200"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830" name="IM 830"/>
            <wp:cNvGraphicFramePr/>
            <a:graphic>
              <a:graphicData uri="http://schemas.openxmlformats.org/drawingml/2006/picture">
                <pic:pic>
                  <pic:nvPicPr>
                    <pic:cNvPr id="830" name="IM 830"/>
                    <pic:cNvPicPr/>
                  </pic:nvPicPr>
                  <pic:blipFill>
                    <a:blip r:embed="rId417"/>
                    <a:stretch>
                      <a:fillRect/>
                    </a:stretch>
                  </pic:blipFill>
                  <pic:spPr>
                    <a:xfrm rot="0">
                      <a:off x="0" y="0"/>
                      <a:ext cx="5579745" cy="7619"/>
                    </a:xfrm>
                    <a:prstGeom prst="rect">
                      <a:avLst/>
                    </a:prstGeom>
                  </pic:spPr>
                </pic:pic>
              </a:graphicData>
            </a:graphic>
          </wp:anchor>
        </w:drawing>
      </w:r>
      <w:r/>
    </w:p>
    <w:p>
      <w:pPr>
        <w:sectPr>
          <w:headerReference w:type="default" r:id="rId410"/>
          <w:footerReference w:type="default" r:id="rId416"/>
          <w:pgSz w:w="11906" w:h="16839"/>
          <w:pgMar w:top="1793" w:right="1489" w:bottom="1673" w:left="1565" w:header="1428" w:footer="1277" w:gutter="0"/>
          <w:cols w:equalWidth="0" w:num="1">
            <w:col w:w="8852" w:space="0"/>
          </w:cols>
        </w:sectPr>
        <w:rPr/>
      </w:pPr>
    </w:p>
    <w:p>
      <w:pPr>
        <w:pStyle w:val="BodyText"/>
        <w:ind w:left="32"/>
        <w:spacing w:before="41" w:line="220" w:lineRule="auto"/>
        <w:rPr/>
      </w:pPr>
      <w:r>
        <w:rPr>
          <w:spacing w:val="8"/>
        </w:rPr>
        <w:t>负责人可按副科级配备。</w:t>
      </w:r>
    </w:p>
    <w:p>
      <w:pPr>
        <w:pStyle w:val="BodyText"/>
        <w:ind w:left="27" w:right="249" w:firstLine="439"/>
        <w:spacing w:before="137" w:line="333" w:lineRule="auto"/>
        <w:rPr/>
      </w:pPr>
      <w:r>
        <w:rPr/>
        <w:t>13.强化事权保障。投放基层的公共服务资</w:t>
      </w:r>
      <w:r>
        <w:rPr>
          <w:spacing w:val="1"/>
        </w:rPr>
        <w:t>源，以乡镇、村（社区）党组织为主渠道落实。</w:t>
      </w:r>
      <w:r>
        <w:rPr>
          <w:spacing w:val="7"/>
        </w:rPr>
        <w:t>坚持重心下移、力量下沉、保障下倾，加强下</w:t>
      </w:r>
      <w:r>
        <w:rPr>
          <w:spacing w:val="7"/>
        </w:rPr>
        <w:t>放给乡镇事权的人才、技术、资金、网络端口</w:t>
      </w:r>
      <w:r>
        <w:rPr>
          <w:spacing w:val="7"/>
        </w:rPr>
        <w:t>等方面的保障，做到权随事转、人随事转、钱</w:t>
      </w:r>
      <w:r>
        <w:rPr>
          <w:spacing w:val="7"/>
        </w:rPr>
        <w:t>随事转，使基层有人有物有权，保证基层事情</w:t>
      </w:r>
      <w:r>
        <w:rPr>
          <w:spacing w:val="9"/>
        </w:rPr>
        <w:t>基层办、基层权力给基层、基层事情有人办。</w:t>
      </w:r>
    </w:p>
    <w:p>
      <w:pPr>
        <w:pStyle w:val="BodyText"/>
        <w:ind w:left="27" w:right="305" w:firstLine="439"/>
        <w:spacing w:before="131" w:line="337" w:lineRule="auto"/>
        <w:rPr/>
      </w:pPr>
      <w:r>
        <w:rPr/>
        <w:t>14.完善激励保障机制。全面落实乡镇工作</w:t>
      </w:r>
      <w:r>
        <w:rPr>
          <w:spacing w:val="7"/>
        </w:rPr>
        <w:t>人员各项待遇政策，并向条件艰苦的偏远乡镇</w:t>
      </w:r>
      <w:r>
        <w:rPr>
          <w:spacing w:val="7"/>
        </w:rPr>
        <w:t>和长期在乡镇工作的人员倾斜。乡镇年度考核</w:t>
      </w:r>
      <w:r>
        <w:rPr>
          <w:spacing w:val="11"/>
        </w:rPr>
        <w:t>优秀比例提高到20%, 工作成绩突出的可按年</w:t>
      </w:r>
      <w:r>
        <w:rPr>
          <w:spacing w:val="7"/>
        </w:rPr>
        <w:t>度考核相关要求的最高标准执行。落实乡镇工</w:t>
      </w:r>
      <w:r>
        <w:rPr>
          <w:spacing w:val="7"/>
        </w:rPr>
        <w:t>作补贴政策，确保乡镇机关事业单位工作人员</w:t>
      </w:r>
      <w:r>
        <w:rPr>
          <w:spacing w:val="12"/>
        </w:rPr>
        <w:t>收入高于县直机关事业单位同职级人员20%，</w:t>
      </w:r>
      <w:r>
        <w:rPr>
          <w:spacing w:val="7"/>
        </w:rPr>
        <w:t>进一步调动基层干部队伍积极性，激励担当作</w:t>
      </w:r>
      <w:r>
        <w:rPr>
          <w:spacing w:val="7"/>
        </w:rPr>
        <w:t>为、干事创业。</w:t>
      </w:r>
    </w:p>
    <w:p>
      <w:pPr>
        <w:ind w:left="439"/>
        <w:spacing w:before="138" w:line="241" w:lineRule="auto"/>
        <w:rPr>
          <w:rFonts w:ascii="KaiTi" w:hAnsi="KaiTi" w:eastAsia="KaiTi" w:cs="KaiTi"/>
          <w:sz w:val="20"/>
          <w:szCs w:val="20"/>
        </w:rPr>
      </w:pPr>
      <w:r>
        <w:rPr>
          <w:rFonts w:ascii="KaiTi" w:hAnsi="KaiTi" w:eastAsia="KaiTi" w:cs="KaiTi"/>
          <w:sz w:val="20"/>
          <w:szCs w:val="20"/>
          <w:b/>
          <w:bCs/>
          <w:spacing w:val="5"/>
        </w:rPr>
        <w:t>（</w:t>
      </w:r>
      <w:r>
        <w:rPr>
          <w:rFonts w:ascii="KaiTi" w:hAnsi="KaiTi" w:eastAsia="KaiTi" w:cs="KaiTi"/>
          <w:sz w:val="20"/>
          <w:szCs w:val="20"/>
          <w:spacing w:val="-37"/>
        </w:rPr>
        <w:t xml:space="preserve"> </w:t>
      </w:r>
      <w:r>
        <w:rPr>
          <w:rFonts w:ascii="KaiTi" w:hAnsi="KaiTi" w:eastAsia="KaiTi" w:cs="KaiTi"/>
          <w:sz w:val="20"/>
          <w:szCs w:val="20"/>
          <w:b/>
          <w:bCs/>
          <w:spacing w:val="5"/>
        </w:rPr>
        <w:t>六）优化上级机关对基层的领导方式</w:t>
      </w:r>
    </w:p>
    <w:p>
      <w:pPr>
        <w:pStyle w:val="BodyText"/>
        <w:ind w:left="11" w:right="265" w:firstLine="455"/>
        <w:spacing w:before="117" w:line="337" w:lineRule="auto"/>
        <w:rPr/>
      </w:pPr>
      <w:r>
        <w:rPr/>
        <w:t>15.规范“属地管理”。建立县乡“属地管</w:t>
      </w:r>
      <w:r>
        <w:rPr>
          <w:spacing w:val="8"/>
        </w:rPr>
        <w:t>理”事项主体责任和配合责任清单制度，根据</w:t>
      </w:r>
      <w:r>
        <w:rPr>
          <w:spacing w:val="8"/>
        </w:rPr>
        <w:t>《固原市县乡“属地管理”事项主体责任和配</w:t>
      </w:r>
      <w:r>
        <w:rPr>
          <w:spacing w:val="8"/>
        </w:rPr>
        <w:t>合责任清单》，在自然资源、生态环境、城乡</w:t>
      </w:r>
      <w:r>
        <w:rPr>
          <w:spacing w:val="1"/>
        </w:rPr>
        <w:t>建设、应急管理、市场监管、综合执法等方面，</w:t>
      </w:r>
      <w:r>
        <w:rPr>
          <w:spacing w:val="11"/>
        </w:rPr>
        <w:t>合理划分县乡权责边界，健全县乡联动机制。</w:t>
      </w:r>
      <w:r>
        <w:rPr>
          <w:spacing w:val="8"/>
        </w:rPr>
        <w:t>探索建立乡镇职责准入制度，县级职能部门将</w:t>
      </w:r>
      <w:r>
        <w:rPr>
          <w:spacing w:val="19"/>
        </w:rPr>
        <w:t>职责范围内的行政事务委托或交由乡镇承担</w:t>
      </w:r>
      <w:r>
        <w:rPr>
          <w:spacing w:val="10"/>
        </w:rPr>
        <w:t>的，需按规定审核报批并充分听取基层意见。</w:t>
      </w:r>
    </w:p>
    <w:p>
      <w:pPr>
        <w:pStyle w:val="BodyText"/>
        <w:ind w:left="27" w:right="327" w:firstLine="439"/>
        <w:spacing w:before="133" w:line="328" w:lineRule="auto"/>
        <w:rPr/>
      </w:pPr>
      <w:r>
        <w:rPr/>
        <w:t>16.推进基层减负增效。组织对上级与乡镇</w:t>
      </w:r>
      <w:r>
        <w:rPr>
          <w:spacing w:val="7"/>
        </w:rPr>
        <w:t>签订的各类“责任状”和考核评比等事项进行</w:t>
      </w:r>
      <w:r>
        <w:rPr>
          <w:spacing w:val="7"/>
        </w:rPr>
        <w:t>全面清理，统一规范对乡镇的评比达标、示范</w:t>
      </w:r>
      <w:r>
        <w:rPr>
          <w:spacing w:val="7"/>
        </w:rPr>
        <w:t>创建等活动，切实减轻基层负担。除中央和自</w:t>
      </w:r>
      <w:r>
        <w:rPr>
          <w:spacing w:val="7"/>
        </w:rPr>
        <w:t>治区党委明确要求外，各部门（单位）不得以</w:t>
      </w:r>
      <w:r>
        <w:rPr>
          <w:spacing w:val="7"/>
        </w:rPr>
        <w:t>任何形式对乡镇设置“一票否决”事项，不得</w:t>
      </w:r>
      <w:r>
        <w:rPr>
          <w:spacing w:val="7"/>
        </w:rPr>
        <w:t>以签订“责任状”、分解下达指标、考核验收</w:t>
      </w:r>
    </w:p>
    <w:p>
      <w:pPr>
        <w:spacing w:line="14" w:lineRule="auto"/>
        <w:rPr>
          <w:rFonts w:ascii="Arial"/>
          <w:sz w:val="2"/>
        </w:rPr>
      </w:pPr>
      <w:r>
        <w:rPr>
          <w:rFonts w:ascii="Arial" w:hAnsi="Arial" w:eastAsia="Arial" w:cs="Arial"/>
          <w:sz w:val="2"/>
          <w:szCs w:val="2"/>
        </w:rPr>
        <w:br w:type="column"/>
      </w:r>
    </w:p>
    <w:p>
      <w:pPr>
        <w:pStyle w:val="BodyText"/>
        <w:ind w:right="101" w:firstLine="3"/>
        <w:spacing w:before="41" w:line="351" w:lineRule="auto"/>
        <w:jc w:val="both"/>
        <w:rPr/>
      </w:pPr>
      <w:r>
        <w:rPr>
          <w:spacing w:val="7"/>
        </w:rPr>
        <w:t>等方式，将工作责任转嫁乡镇承担。对不符合</w:t>
      </w:r>
      <w:r>
        <w:rPr>
          <w:spacing w:val="18"/>
        </w:rPr>
        <w:t>基层实际和发展需要的政策规定及制度办法</w:t>
      </w:r>
      <w:r>
        <w:rPr>
          <w:spacing w:val="7"/>
        </w:rPr>
        <w:t>要及时清理、修订、完善，为基层改革创新提</w:t>
      </w:r>
      <w:r>
        <w:rPr>
          <w:spacing w:val="7"/>
        </w:rPr>
        <w:t>供制度支持。</w:t>
      </w:r>
    </w:p>
    <w:p>
      <w:pPr>
        <w:ind w:left="432"/>
        <w:spacing w:before="5"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三、组织领导</w:t>
      </w:r>
    </w:p>
    <w:p>
      <w:pPr>
        <w:pStyle w:val="BodyText"/>
        <w:ind w:right="78" w:firstLine="413"/>
        <w:spacing w:before="117" w:line="340" w:lineRule="auto"/>
        <w:rPr/>
      </w:pPr>
      <w:r>
        <w:rPr>
          <w:rFonts w:ascii="KaiTi" w:hAnsi="KaiTi" w:eastAsia="KaiTi" w:cs="KaiTi"/>
          <w:b/>
          <w:bCs/>
          <w:spacing w:val="4"/>
        </w:rPr>
        <w:t>（</w:t>
      </w:r>
      <w:r>
        <w:rPr>
          <w:rFonts w:ascii="KaiTi" w:hAnsi="KaiTi" w:eastAsia="KaiTi" w:cs="KaiTi"/>
          <w:spacing w:val="-52"/>
        </w:rPr>
        <w:t xml:space="preserve"> </w:t>
      </w:r>
      <w:r>
        <w:rPr>
          <w:rFonts w:ascii="KaiTi" w:hAnsi="KaiTi" w:eastAsia="KaiTi" w:cs="KaiTi"/>
          <w:b/>
          <w:bCs/>
          <w:spacing w:val="4"/>
        </w:rPr>
        <w:t>一）加强组织领导。</w:t>
      </w:r>
      <w:r>
        <w:rPr>
          <w:spacing w:val="4"/>
        </w:rPr>
        <w:t>认真贯彻落实自治</w:t>
      </w:r>
      <w:r>
        <w:rPr>
          <w:spacing w:val="7"/>
        </w:rPr>
        <w:t>区党委常委、固原市委书记张柱同志关于“彭</w:t>
      </w:r>
      <w:r>
        <w:rPr>
          <w:spacing w:val="8"/>
        </w:rPr>
        <w:t>阳县作为试点县，这项工作有创新、有突破，</w:t>
      </w:r>
      <w:r>
        <w:rPr>
          <w:spacing w:val="7"/>
        </w:rPr>
        <w:t>以党办通报印发，供各县(区)和相关部门学习</w:t>
      </w:r>
      <w:r>
        <w:rPr>
          <w:spacing w:val="7"/>
        </w:rPr>
        <w:t>借鉴”的批示精神，县领导小组及其办公室要</w:t>
      </w:r>
      <w:r>
        <w:rPr>
          <w:spacing w:val="7"/>
        </w:rPr>
        <w:t>靠前指挥，加强改革工作的综合协调和督促检</w:t>
      </w:r>
      <w:r>
        <w:rPr>
          <w:spacing w:val="-3"/>
        </w:rPr>
        <w:t>查。各乡（镇）、县直各有关部门(单位)要切实</w:t>
      </w:r>
      <w:r>
        <w:rPr>
          <w:spacing w:val="7"/>
        </w:rPr>
        <w:t>履行主体责任，围绕改革难点、工作重点切实</w:t>
      </w:r>
      <w:r>
        <w:rPr>
          <w:spacing w:val="8"/>
        </w:rPr>
        <w:t>抓好落实，做好与基层党的建设、乡村振兴、</w:t>
      </w:r>
      <w:r>
        <w:rPr>
          <w:spacing w:val="18"/>
        </w:rPr>
        <w:t>新型城镇化等重点工作和相关改革的配套衔</w:t>
      </w:r>
      <w:r>
        <w:rPr>
          <w:spacing w:val="7"/>
        </w:rPr>
        <w:t>接，强化县乡联动，形成工作合力，增强改革</w:t>
      </w:r>
      <w:r>
        <w:rPr>
          <w:spacing w:val="7"/>
        </w:rPr>
        <w:t>整体效应。</w:t>
      </w:r>
    </w:p>
    <w:p>
      <w:pPr>
        <w:pStyle w:val="BodyText"/>
        <w:ind w:left="1" w:right="15" w:firstLine="411"/>
        <w:spacing w:before="135" w:line="337" w:lineRule="auto"/>
        <w:rPr/>
      </w:pPr>
      <w:r>
        <w:rPr>
          <w:rFonts w:ascii="KaiTi" w:hAnsi="KaiTi" w:eastAsia="KaiTi" w:cs="KaiTi"/>
          <w:b/>
          <w:bCs/>
          <w:spacing w:val="-3"/>
        </w:rPr>
        <w:t>（</w:t>
      </w:r>
      <w:r>
        <w:rPr>
          <w:rFonts w:ascii="KaiTi" w:hAnsi="KaiTi" w:eastAsia="KaiTi" w:cs="KaiTi"/>
          <w:spacing w:val="-46"/>
        </w:rPr>
        <w:t xml:space="preserve"> </w:t>
      </w:r>
      <w:r>
        <w:rPr>
          <w:rFonts w:ascii="KaiTi" w:hAnsi="KaiTi" w:eastAsia="KaiTi" w:cs="KaiTi"/>
          <w:b/>
          <w:bCs/>
          <w:spacing w:val="-3"/>
        </w:rPr>
        <w:t>二）严明纪律规矩。</w:t>
      </w:r>
      <w:r>
        <w:rPr>
          <w:spacing w:val="-3"/>
        </w:rPr>
        <w:t>严格执行政治纪律、</w:t>
      </w:r>
      <w:r>
        <w:rPr>
          <w:spacing w:val="7"/>
        </w:rPr>
        <w:t>组织纪律、机构编制纪律、干部人事纪律。要</w:t>
      </w:r>
      <w:r>
        <w:rPr>
          <w:spacing w:val="7"/>
        </w:rPr>
        <w:t>坚持把思想政治工作贯穿改革全过程，确保思</w:t>
      </w:r>
      <w:r>
        <w:rPr>
          <w:spacing w:val="7"/>
        </w:rPr>
        <w:t>想不乱、工作不断、队伍不散、干劲不减。上</w:t>
      </w:r>
      <w:r>
        <w:rPr>
          <w:spacing w:val="7"/>
        </w:rPr>
        <w:t>级部门要积极支持基层改革创新，严禁对机构</w:t>
      </w:r>
      <w:r>
        <w:rPr>
          <w:spacing w:val="7"/>
        </w:rPr>
        <w:t>编制事项进行干预，不得要求乡镇对口设立机</w:t>
      </w:r>
      <w:r>
        <w:rPr>
          <w:spacing w:val="1"/>
        </w:rPr>
        <w:t>构，不得要求在村(社区)设立机构和加挂牌子。</w:t>
      </w:r>
      <w:r>
        <w:rPr>
          <w:spacing w:val="18"/>
        </w:rPr>
        <w:t>县领导小组及其办公室适时对各项改革任务</w:t>
      </w:r>
      <w:r>
        <w:rPr>
          <w:spacing w:val="8"/>
        </w:rPr>
        <w:t>的落实情况进行督促检查。</w:t>
      </w:r>
    </w:p>
    <w:p>
      <w:pPr>
        <w:pStyle w:val="BodyText"/>
        <w:ind w:right="91" w:firstLine="413"/>
        <w:spacing w:before="133" w:line="326" w:lineRule="auto"/>
        <w:rPr/>
      </w:pPr>
      <w:r>
        <w:rPr>
          <w:rFonts w:ascii="KaiTi" w:hAnsi="KaiTi" w:eastAsia="KaiTi" w:cs="KaiTi"/>
          <w:b/>
          <w:bCs/>
          <w:spacing w:val="4"/>
        </w:rPr>
        <w:t>（</w:t>
      </w:r>
      <w:r>
        <w:rPr>
          <w:rFonts w:ascii="KaiTi" w:hAnsi="KaiTi" w:eastAsia="KaiTi" w:cs="KaiTi"/>
          <w:spacing w:val="-51"/>
        </w:rPr>
        <w:t xml:space="preserve"> </w:t>
      </w:r>
      <w:r>
        <w:rPr>
          <w:rFonts w:ascii="KaiTi" w:hAnsi="KaiTi" w:eastAsia="KaiTi" w:cs="KaiTi"/>
          <w:b/>
          <w:bCs/>
          <w:spacing w:val="4"/>
        </w:rPr>
        <w:t>三）加强舆论宣传。</w:t>
      </w:r>
      <w:r>
        <w:rPr>
          <w:spacing w:val="4"/>
        </w:rPr>
        <w:t>各乡（镇）和县直</w:t>
      </w:r>
      <w:r>
        <w:rPr>
          <w:spacing w:val="7"/>
        </w:rPr>
        <w:t>各部门(单位)要充分利用各种媒体，加强舆论</w:t>
      </w:r>
      <w:r>
        <w:rPr>
          <w:spacing w:val="7"/>
        </w:rPr>
        <w:t>宣传，回应社会关注，注重典型引路，营造良</w:t>
      </w:r>
      <w:r>
        <w:rPr>
          <w:spacing w:val="7"/>
        </w:rPr>
        <w:t>好改革氛围，形成深化改革的强大动力，确保</w:t>
      </w:r>
      <w:r>
        <w:rPr>
          <w:spacing w:val="9"/>
        </w:rPr>
        <w:t>平稳有序推进改革，顺利完成各项任务。</w:t>
      </w:r>
    </w:p>
    <w:p>
      <w:pPr>
        <w:spacing w:line="447" w:lineRule="auto"/>
        <w:rPr>
          <w:rFonts w:ascii="Arial"/>
          <w:sz w:val="21"/>
        </w:rPr>
      </w:pPr>
      <w:r/>
    </w:p>
    <w:p>
      <w:pPr>
        <w:pStyle w:val="BodyText"/>
        <w:ind w:left="1" w:right="101" w:firstLine="432"/>
        <w:spacing w:before="65" w:line="270" w:lineRule="auto"/>
        <w:rPr/>
      </w:pPr>
      <w:r>
        <w:rPr>
          <w:spacing w:val="6"/>
        </w:rPr>
        <w:t>附件：泾源县推进基层整合审批服务执法</w:t>
      </w:r>
      <w:r>
        <w:rPr>
          <w:spacing w:val="9"/>
        </w:rPr>
        <w:t>力量工作任务清单</w:t>
      </w:r>
    </w:p>
    <w:p>
      <w:pPr>
        <w:spacing w:line="270" w:lineRule="auto"/>
        <w:sectPr>
          <w:type w:val="continuous"/>
          <w:pgSz w:w="11906" w:h="16839"/>
          <w:pgMar w:top="1793" w:right="1489" w:bottom="1673" w:left="1565" w:header="1428" w:footer="1277" w:gutter="0"/>
          <w:cols w:equalWidth="0" w:num="2">
            <w:col w:w="4504" w:space="100"/>
            <w:col w:w="4249" w:space="0"/>
          </w:cols>
        </w:sectPr>
        <w:rPr/>
      </w:pPr>
    </w:p>
    <w:p>
      <w:pPr>
        <w:pStyle w:val="BodyText"/>
        <w:ind w:left="1895"/>
        <w:spacing w:before="178" w:line="220" w:lineRule="auto"/>
        <w:rPr>
          <w:sz w:val="43"/>
          <w:szCs w:val="43"/>
        </w:rPr>
      </w:pPr>
      <w:r>
        <w:drawing>
          <wp:anchor distT="0" distB="0" distL="0" distR="0" simplePos="0" relativeHeight="251957248" behindDoc="0" locked="0" layoutInCell="0" allowOverlap="1">
            <wp:simplePos x="0" y="0"/>
            <wp:positionH relativeFrom="page">
              <wp:posOffset>1008380</wp:posOffset>
            </wp:positionH>
            <wp:positionV relativeFrom="page">
              <wp:posOffset>1147445</wp:posOffset>
            </wp:positionV>
            <wp:extent cx="8712200" cy="7620"/>
            <wp:effectExtent l="0" t="0" r="0" b="0"/>
            <wp:wrapNone/>
            <wp:docPr id="836" name="IM 836"/>
            <wp:cNvGraphicFramePr/>
            <a:graphic>
              <a:graphicData uri="http://schemas.openxmlformats.org/drawingml/2006/picture">
                <pic:pic>
                  <pic:nvPicPr>
                    <pic:cNvPr id="836" name="IM 836"/>
                    <pic:cNvPicPr/>
                  </pic:nvPicPr>
                  <pic:blipFill>
                    <a:blip r:embed="rId420"/>
                    <a:stretch>
                      <a:fillRect/>
                    </a:stretch>
                  </pic:blipFill>
                  <pic:spPr>
                    <a:xfrm rot="0">
                      <a:off x="0" y="0"/>
                      <a:ext cx="8712200" cy="7620"/>
                    </a:xfrm>
                    <a:prstGeom prst="rect">
                      <a:avLst/>
                    </a:prstGeom>
                  </pic:spPr>
                </pic:pic>
              </a:graphicData>
            </a:graphic>
          </wp:anchor>
        </w:drawing>
      </w:r>
      <w:r>
        <w:rPr>
          <w:sz w:val="43"/>
          <w:szCs w:val="43"/>
          <w:b/>
          <w:bCs/>
          <w:spacing w:val="5"/>
        </w:rPr>
        <w:t>泾源县推进基层整合审批服务执法力量工作任务清单</w:t>
      </w:r>
    </w:p>
    <w:tbl>
      <w:tblPr>
        <w:tblStyle w:val="TableNormal"/>
        <w:tblW w:w="13876"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6"/>
        <w:gridCol w:w="1147"/>
        <w:gridCol w:w="5665"/>
        <w:gridCol w:w="3050"/>
        <w:gridCol w:w="979"/>
        <w:gridCol w:w="1096"/>
        <w:gridCol w:w="1383"/>
      </w:tblGrid>
      <w:tr>
        <w:trPr>
          <w:trHeight w:val="582" w:hRule="atLeast"/>
        </w:trPr>
        <w:tc>
          <w:tcPr>
            <w:tcW w:w="556" w:type="dxa"/>
            <w:vAlign w:val="top"/>
          </w:tcPr>
          <w:p>
            <w:pPr>
              <w:pStyle w:val="TableText"/>
              <w:ind w:left="117"/>
              <w:spacing w:before="177" w:line="214" w:lineRule="auto"/>
              <w:rPr/>
            </w:pPr>
            <w:r>
              <w:rPr>
                <w:b/>
                <w:bCs/>
                <w:spacing w:val="-4"/>
              </w:rPr>
              <w:t>序号</w:t>
            </w:r>
          </w:p>
        </w:tc>
        <w:tc>
          <w:tcPr>
            <w:tcW w:w="1147" w:type="dxa"/>
            <w:vAlign w:val="top"/>
          </w:tcPr>
          <w:p>
            <w:pPr>
              <w:pStyle w:val="TableText"/>
              <w:ind w:left="239"/>
              <w:spacing w:before="177" w:line="213" w:lineRule="auto"/>
              <w:rPr/>
            </w:pPr>
            <w:r>
              <w:rPr>
                <w:b/>
                <w:bCs/>
                <w:spacing w:val="-10"/>
              </w:rPr>
              <w:t>主要任务</w:t>
            </w:r>
          </w:p>
        </w:tc>
        <w:tc>
          <w:tcPr>
            <w:tcW w:w="5665" w:type="dxa"/>
            <w:vAlign w:val="top"/>
          </w:tcPr>
          <w:p>
            <w:pPr>
              <w:pStyle w:val="TableText"/>
              <w:ind w:left="2495"/>
              <w:spacing w:before="179" w:line="211" w:lineRule="auto"/>
              <w:rPr/>
            </w:pPr>
            <w:r>
              <w:rPr>
                <w:b/>
                <w:bCs/>
                <w:spacing w:val="-9"/>
              </w:rPr>
              <w:t>推进措施</w:t>
            </w:r>
          </w:p>
        </w:tc>
        <w:tc>
          <w:tcPr>
            <w:tcW w:w="3050" w:type="dxa"/>
            <w:vAlign w:val="top"/>
          </w:tcPr>
          <w:p>
            <w:pPr>
              <w:pStyle w:val="TableText"/>
              <w:ind w:left="1192"/>
              <w:spacing w:before="178" w:line="211" w:lineRule="auto"/>
              <w:rPr/>
            </w:pPr>
            <w:r>
              <w:rPr>
                <w:b/>
                <w:bCs/>
                <w:spacing w:val="-10"/>
              </w:rPr>
              <w:t>预期目标</w:t>
            </w:r>
          </w:p>
        </w:tc>
        <w:tc>
          <w:tcPr>
            <w:tcW w:w="979" w:type="dxa"/>
            <w:vAlign w:val="top"/>
          </w:tcPr>
          <w:p>
            <w:pPr>
              <w:pStyle w:val="TableText"/>
              <w:ind w:left="177"/>
              <w:spacing w:before="177" w:line="213" w:lineRule="auto"/>
              <w:rPr/>
            </w:pPr>
            <w:r>
              <w:rPr>
                <w:b/>
                <w:bCs/>
                <w:spacing w:val="-15"/>
              </w:rPr>
              <w:t>责任领导</w:t>
            </w:r>
          </w:p>
        </w:tc>
        <w:tc>
          <w:tcPr>
            <w:tcW w:w="1096" w:type="dxa"/>
            <w:vAlign w:val="top"/>
          </w:tcPr>
          <w:p>
            <w:pPr>
              <w:pStyle w:val="TableText"/>
              <w:ind w:left="236"/>
              <w:spacing w:before="177" w:line="212" w:lineRule="auto"/>
              <w:rPr/>
            </w:pPr>
            <w:r>
              <w:rPr>
                <w:b/>
                <w:bCs/>
                <w:spacing w:val="-15"/>
              </w:rPr>
              <w:t>牵头单位</w:t>
            </w:r>
          </w:p>
        </w:tc>
        <w:tc>
          <w:tcPr>
            <w:tcW w:w="1383" w:type="dxa"/>
            <w:vAlign w:val="top"/>
          </w:tcPr>
          <w:p>
            <w:pPr>
              <w:pStyle w:val="TableText"/>
              <w:ind w:left="358"/>
              <w:spacing w:before="177" w:line="214" w:lineRule="auto"/>
              <w:rPr/>
            </w:pPr>
            <w:r>
              <w:rPr>
                <w:b/>
                <w:bCs/>
                <w:spacing w:val="-9"/>
              </w:rPr>
              <w:t>实施单位</w:t>
            </w:r>
          </w:p>
        </w:tc>
      </w:tr>
      <w:tr>
        <w:trPr>
          <w:trHeight w:val="2199" w:hRule="atLeast"/>
        </w:trPr>
        <w:tc>
          <w:tcPr>
            <w:tcW w:w="556" w:type="dxa"/>
            <w:vAlign w:val="top"/>
          </w:tcPr>
          <w:p>
            <w:pPr>
              <w:spacing w:line="306" w:lineRule="auto"/>
              <w:rPr>
                <w:rFonts w:ascii="Arial"/>
                <w:sz w:val="21"/>
              </w:rPr>
            </w:pPr>
            <w:r/>
          </w:p>
          <w:p>
            <w:pPr>
              <w:spacing w:line="306" w:lineRule="auto"/>
              <w:rPr>
                <w:rFonts w:ascii="Arial"/>
                <w:sz w:val="21"/>
              </w:rPr>
            </w:pPr>
            <w:r/>
          </w:p>
          <w:p>
            <w:pPr>
              <w:spacing w:line="307" w:lineRule="auto"/>
              <w:rPr>
                <w:rFonts w:ascii="Arial"/>
                <w:sz w:val="21"/>
              </w:rPr>
            </w:pPr>
            <w:r/>
          </w:p>
          <w:p>
            <w:pPr>
              <w:pStyle w:val="TableText"/>
              <w:ind w:left="247"/>
              <w:spacing w:before="58" w:line="262" w:lineRule="exact"/>
              <w:rPr/>
            </w:pPr>
            <w:r>
              <w:rPr>
                <w:position w:val="1"/>
              </w:rPr>
              <w:t>1</w:t>
            </w:r>
          </w:p>
        </w:tc>
        <w:tc>
          <w:tcPr>
            <w:tcW w:w="1147"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15" w:right="123" w:firstLine="2"/>
              <w:spacing w:before="58" w:line="278" w:lineRule="auto"/>
              <w:rPr/>
            </w:pPr>
            <w:r>
              <w:rPr>
                <w:spacing w:val="-1"/>
              </w:rPr>
              <w:t>统筹优化乡</w:t>
            </w:r>
            <w:r>
              <w:rPr>
                <w:spacing w:val="-1"/>
              </w:rPr>
              <w:t>镇机构设置</w:t>
            </w:r>
          </w:p>
        </w:tc>
        <w:tc>
          <w:tcPr>
            <w:tcW w:w="5665" w:type="dxa"/>
            <w:vAlign w:val="top"/>
          </w:tcPr>
          <w:p>
            <w:pPr>
              <w:pStyle w:val="TableText"/>
              <w:ind w:left="102" w:right="50" w:firstLine="1"/>
              <w:spacing w:line="224" w:lineRule="auto"/>
              <w:rPr/>
            </w:pPr>
            <w:r>
              <w:rPr>
                <w:spacing w:val="-11"/>
              </w:rPr>
              <w:t>2</w:t>
            </w:r>
            <w:r>
              <w:rPr>
                <w:spacing w:val="-38"/>
              </w:rPr>
              <w:t xml:space="preserve"> </w:t>
            </w:r>
            <w:r>
              <w:rPr>
                <w:spacing w:val="-11"/>
              </w:rPr>
              <w:t>月</w:t>
            </w:r>
            <w:r>
              <w:rPr>
                <w:spacing w:val="-27"/>
              </w:rPr>
              <w:t xml:space="preserve"> </w:t>
            </w:r>
            <w:r>
              <w:rPr>
                <w:spacing w:val="-11"/>
              </w:rPr>
              <w:t>10 日前，制定《泾源县推进基层整合审批服务执法力量实施方案</w:t>
            </w:r>
            <w:r>
              <w:rPr>
                <w:spacing w:val="-12"/>
              </w:rPr>
              <w:t>》，</w:t>
            </w:r>
            <w:r>
              <w:rPr>
                <w:spacing w:val="-1"/>
              </w:rPr>
              <w:t>按规程提交县委常委会研究、报市委市政府审批。</w:t>
            </w:r>
          </w:p>
          <w:p>
            <w:pPr>
              <w:pStyle w:val="TableText"/>
              <w:ind w:left="103" w:right="102"/>
              <w:spacing w:before="1" w:line="224" w:lineRule="auto"/>
              <w:rPr/>
            </w:pPr>
            <w:r>
              <w:rPr>
                <w:spacing w:val="-3"/>
              </w:rPr>
              <w:t>2</w:t>
            </w:r>
            <w:r>
              <w:rPr>
                <w:spacing w:val="-39"/>
              </w:rPr>
              <w:t xml:space="preserve"> </w:t>
            </w:r>
            <w:r>
              <w:rPr>
                <w:spacing w:val="-3"/>
              </w:rPr>
              <w:t>月中旬前，组织召开全县推进基层整合审批服务执法力量改革工</w:t>
            </w:r>
            <w:r>
              <w:rPr>
                <w:spacing w:val="-4"/>
              </w:rPr>
              <w:t>作动</w:t>
            </w:r>
            <w:r>
              <w:rPr>
                <w:spacing w:val="-1"/>
              </w:rPr>
              <w:t>员会，安排部署改革任务。</w:t>
            </w:r>
          </w:p>
          <w:p>
            <w:pPr>
              <w:pStyle w:val="TableText"/>
              <w:ind w:left="106" w:right="114" w:hanging="2"/>
              <w:spacing w:line="225" w:lineRule="auto"/>
              <w:rPr/>
            </w:pPr>
            <w:r>
              <w:rPr>
                <w:spacing w:val="-1"/>
              </w:rPr>
              <w:t>2</w:t>
            </w:r>
            <w:r>
              <w:rPr>
                <w:spacing w:val="-24"/>
              </w:rPr>
              <w:t xml:space="preserve"> </w:t>
            </w:r>
            <w:r>
              <w:rPr>
                <w:spacing w:val="-1"/>
              </w:rPr>
              <w:t>月25 日前，印发《关于推进基层整合审批服务执法力量改革工作中</w:t>
            </w:r>
            <w:r>
              <w:rPr>
                <w:spacing w:val="-1"/>
              </w:rPr>
              <w:t>职能调整、机构设置和人员编制等有关事项的通知》。</w:t>
            </w:r>
          </w:p>
          <w:p>
            <w:pPr>
              <w:pStyle w:val="TableText"/>
              <w:ind w:left="102" w:right="102" w:firstLine="4"/>
              <w:spacing w:before="1" w:line="220" w:lineRule="auto"/>
              <w:rPr/>
            </w:pPr>
            <w:r>
              <w:rPr>
                <w:spacing w:val="-3"/>
              </w:rPr>
              <w:t>3</w:t>
            </w:r>
            <w:r>
              <w:rPr>
                <w:spacing w:val="-38"/>
              </w:rPr>
              <w:t xml:space="preserve"> </w:t>
            </w:r>
            <w:r>
              <w:rPr>
                <w:spacing w:val="-3"/>
              </w:rPr>
              <w:t>月5 日前，各乡镇上报乡镇机构改革具体方案，经县改革领导小</w:t>
            </w:r>
            <w:r>
              <w:rPr>
                <w:spacing w:val="-4"/>
              </w:rPr>
              <w:t>组审</w:t>
            </w:r>
            <w:r>
              <w:rPr>
                <w:spacing w:val="-1"/>
              </w:rPr>
              <w:t>批后组织实施。</w:t>
            </w:r>
          </w:p>
          <w:p>
            <w:pPr>
              <w:pStyle w:val="TableText"/>
              <w:ind w:left="102" w:right="114" w:firstLine="4"/>
              <w:spacing w:before="8" w:line="221" w:lineRule="auto"/>
              <w:rPr/>
            </w:pPr>
            <w:r>
              <w:rPr>
                <w:spacing w:val="-3"/>
              </w:rPr>
              <w:t>3</w:t>
            </w:r>
            <w:r>
              <w:rPr>
                <w:spacing w:val="-25"/>
              </w:rPr>
              <w:t xml:space="preserve"> </w:t>
            </w:r>
            <w:r>
              <w:rPr>
                <w:spacing w:val="-3"/>
              </w:rPr>
              <w:t>月</w:t>
            </w:r>
            <w:r>
              <w:rPr>
                <w:spacing w:val="-27"/>
              </w:rPr>
              <w:t xml:space="preserve"> </w:t>
            </w:r>
            <w:r>
              <w:rPr>
                <w:spacing w:val="-3"/>
              </w:rPr>
              <w:t>10 日前，制定并印发各乡镇和职能配置、机构设置和人员编制规</w:t>
            </w:r>
            <w:r>
              <w:rPr>
                <w:spacing w:val="-1"/>
              </w:rPr>
              <w:t>定方案。</w:t>
            </w:r>
          </w:p>
        </w:tc>
        <w:tc>
          <w:tcPr>
            <w:tcW w:w="3050" w:type="dxa"/>
            <w:vAlign w:val="top"/>
          </w:tcPr>
          <w:p>
            <w:pPr>
              <w:pStyle w:val="TableText"/>
              <w:ind w:left="108" w:right="99" w:firstLine="14"/>
              <w:spacing w:before="105" w:line="222" w:lineRule="auto"/>
              <w:rPr/>
            </w:pPr>
            <w:r>
              <w:rPr>
                <w:spacing w:val="-4"/>
              </w:rPr>
              <w:t>1.通过思想动员、精心部署安排、加</w:t>
            </w:r>
            <w:r>
              <w:rPr>
                <w:spacing w:val="-4"/>
              </w:rPr>
              <w:t>强组织领导，确保推进基层整合审批</w:t>
            </w:r>
            <w:r>
              <w:rPr>
                <w:spacing w:val="-1"/>
              </w:rPr>
              <w:t>服务执法力量工作有序开展。</w:t>
            </w:r>
          </w:p>
          <w:p>
            <w:pPr>
              <w:pStyle w:val="TableText"/>
              <w:ind w:left="105" w:right="47" w:firstLine="2"/>
              <w:spacing w:before="11" w:line="223" w:lineRule="auto"/>
              <w:rPr/>
            </w:pPr>
            <w:r>
              <w:rPr>
                <w:spacing w:val="-3"/>
              </w:rPr>
              <w:t>2.适应乡镇和工作特点及便民服务需</w:t>
            </w:r>
            <w:r>
              <w:rPr>
                <w:spacing w:val="-11"/>
              </w:rPr>
              <w:t>要，强化乡镇和党（工）委领导作用，</w:t>
            </w:r>
            <w:r>
              <w:rPr>
                <w:spacing w:val="-3"/>
              </w:rPr>
              <w:t>构建更好服务群众、简约高效的基层</w:t>
            </w:r>
            <w:r>
              <w:rPr>
                <w:spacing w:val="-1"/>
              </w:rPr>
              <w:t>组织构架。</w:t>
            </w:r>
          </w:p>
          <w:p>
            <w:pPr>
              <w:pStyle w:val="TableText"/>
              <w:ind w:left="108" w:right="102" w:firstLine="2"/>
              <w:spacing w:before="10" w:line="220" w:lineRule="auto"/>
              <w:rPr/>
            </w:pPr>
            <w:r>
              <w:rPr>
                <w:spacing w:val="-4"/>
              </w:rPr>
              <w:t>3.乡镇统一组建党建工作办公室，加</w:t>
            </w:r>
            <w:r>
              <w:rPr>
                <w:spacing w:val="-1"/>
              </w:rPr>
              <w:t>强基层党建工作。</w:t>
            </w:r>
          </w:p>
        </w:tc>
        <w:tc>
          <w:tcPr>
            <w:tcW w:w="979" w:type="dxa"/>
            <w:vAlign w:val="top"/>
          </w:tcPr>
          <w:p>
            <w:pPr>
              <w:spacing w:line="308" w:lineRule="auto"/>
              <w:rPr>
                <w:rFonts w:ascii="Arial"/>
                <w:sz w:val="21"/>
              </w:rPr>
            </w:pPr>
            <w:r/>
          </w:p>
          <w:p>
            <w:pPr>
              <w:spacing w:line="308" w:lineRule="auto"/>
              <w:rPr>
                <w:rFonts w:ascii="Arial"/>
                <w:sz w:val="21"/>
              </w:rPr>
            </w:pPr>
            <w:r/>
          </w:p>
          <w:p>
            <w:pPr>
              <w:spacing w:line="309" w:lineRule="auto"/>
              <w:rPr>
                <w:rFonts w:ascii="Arial"/>
                <w:sz w:val="21"/>
              </w:rPr>
            </w:pPr>
            <w:r/>
          </w:p>
          <w:p>
            <w:pPr>
              <w:pStyle w:val="TableText"/>
              <w:ind w:left="223"/>
              <w:spacing w:before="58" w:line="209" w:lineRule="auto"/>
              <w:rPr/>
            </w:pPr>
            <w:r>
              <w:rPr>
                <w:spacing w:val="-3"/>
              </w:rPr>
              <w:t>王淑玲</w:t>
            </w:r>
          </w:p>
        </w:tc>
        <w:tc>
          <w:tcPr>
            <w:tcW w:w="1096"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89" w:right="180" w:firstLine="1"/>
              <w:spacing w:before="59" w:line="279" w:lineRule="auto"/>
              <w:rPr/>
            </w:pPr>
            <w:r>
              <w:rPr>
                <w:spacing w:val="-2"/>
              </w:rPr>
              <w:t>县委组织</w:t>
            </w:r>
            <w:r>
              <w:rPr>
                <w:spacing w:val="-1"/>
              </w:rPr>
              <w:t>部、编办</w:t>
            </w:r>
          </w:p>
        </w:tc>
        <w:tc>
          <w:tcPr>
            <w:tcW w:w="1383" w:type="dxa"/>
            <w:vAlign w:val="top"/>
          </w:tcPr>
          <w:p>
            <w:pPr>
              <w:spacing w:line="307" w:lineRule="auto"/>
              <w:rPr>
                <w:rFonts w:ascii="Arial"/>
                <w:sz w:val="21"/>
              </w:rPr>
            </w:pPr>
            <w:r/>
          </w:p>
          <w:p>
            <w:pPr>
              <w:spacing w:line="308" w:lineRule="auto"/>
              <w:rPr>
                <w:rFonts w:ascii="Arial"/>
                <w:sz w:val="21"/>
              </w:rPr>
            </w:pPr>
            <w:r/>
          </w:p>
          <w:p>
            <w:pPr>
              <w:spacing w:line="308" w:lineRule="auto"/>
              <w:rPr>
                <w:rFonts w:ascii="Arial"/>
                <w:sz w:val="21"/>
              </w:rPr>
            </w:pPr>
            <w:r/>
          </w:p>
          <w:p>
            <w:pPr>
              <w:pStyle w:val="TableText"/>
              <w:ind w:left="420"/>
              <w:spacing w:before="58" w:line="211" w:lineRule="auto"/>
              <w:rPr/>
            </w:pPr>
            <w:r>
              <w:rPr>
                <w:spacing w:val="-2"/>
              </w:rPr>
              <w:t>各乡镇</w:t>
            </w:r>
          </w:p>
        </w:tc>
      </w:tr>
      <w:tr>
        <w:trPr>
          <w:trHeight w:val="1540" w:hRule="atLeast"/>
        </w:trPr>
        <w:tc>
          <w:tcPr>
            <w:tcW w:w="556" w:type="dxa"/>
            <w:vAlign w:val="top"/>
          </w:tcPr>
          <w:p>
            <w:pPr>
              <w:spacing w:line="299" w:lineRule="auto"/>
              <w:rPr>
                <w:rFonts w:ascii="Arial"/>
                <w:sz w:val="21"/>
              </w:rPr>
            </w:pPr>
            <w:r/>
          </w:p>
          <w:p>
            <w:pPr>
              <w:spacing w:line="299" w:lineRule="auto"/>
              <w:rPr>
                <w:rFonts w:ascii="Arial"/>
                <w:sz w:val="21"/>
              </w:rPr>
            </w:pPr>
            <w:r/>
          </w:p>
          <w:p>
            <w:pPr>
              <w:pStyle w:val="TableText"/>
              <w:ind w:left="233"/>
              <w:spacing w:before="59" w:line="262" w:lineRule="exact"/>
              <w:rPr/>
            </w:pPr>
            <w:r>
              <w:rPr>
                <w:position w:val="1"/>
              </w:rPr>
              <w:t>2</w:t>
            </w:r>
          </w:p>
        </w:tc>
        <w:tc>
          <w:tcPr>
            <w:tcW w:w="1147" w:type="dxa"/>
            <w:vAlign w:val="top"/>
          </w:tcPr>
          <w:p>
            <w:pPr>
              <w:spacing w:line="471" w:lineRule="auto"/>
              <w:rPr>
                <w:rFonts w:ascii="Arial"/>
                <w:sz w:val="21"/>
              </w:rPr>
            </w:pPr>
            <w:r/>
          </w:p>
          <w:p>
            <w:pPr>
              <w:pStyle w:val="TableText"/>
              <w:ind w:left="116" w:right="123" w:firstLine="1"/>
              <w:spacing w:before="58" w:line="275" w:lineRule="auto"/>
              <w:rPr/>
            </w:pPr>
            <w:r>
              <w:rPr>
                <w:spacing w:val="-1"/>
              </w:rPr>
              <w:t>调整乡镇站</w:t>
            </w:r>
            <w:r>
              <w:rPr>
                <w:spacing w:val="-1"/>
              </w:rPr>
              <w:t>所管理体制</w:t>
            </w:r>
          </w:p>
        </w:tc>
        <w:tc>
          <w:tcPr>
            <w:tcW w:w="5665" w:type="dxa"/>
            <w:vAlign w:val="top"/>
          </w:tcPr>
          <w:p>
            <w:pPr>
              <w:pStyle w:val="TableText"/>
              <w:ind w:left="103" w:right="114" w:firstLine="3"/>
              <w:spacing w:before="111" w:line="220" w:lineRule="auto"/>
              <w:rPr/>
            </w:pPr>
            <w:r>
              <w:rPr>
                <w:spacing w:val="-3"/>
              </w:rPr>
              <w:t>3</w:t>
            </w:r>
            <w:r>
              <w:rPr>
                <w:spacing w:val="-25"/>
              </w:rPr>
              <w:t xml:space="preserve"> </w:t>
            </w:r>
            <w:r>
              <w:rPr>
                <w:spacing w:val="-3"/>
              </w:rPr>
              <w:t>月</w:t>
            </w:r>
            <w:r>
              <w:rPr>
                <w:spacing w:val="-27"/>
              </w:rPr>
              <w:t xml:space="preserve"> </w:t>
            </w:r>
            <w:r>
              <w:rPr>
                <w:spacing w:val="-3"/>
              </w:rPr>
              <w:t>15 日前，研究乡镇和站所人员转隶事项，划转涉改单位编制和人</w:t>
            </w:r>
            <w:r>
              <w:rPr>
                <w:spacing w:val="-1"/>
              </w:rPr>
              <w:t>员人事工资关系。</w:t>
            </w:r>
          </w:p>
          <w:p>
            <w:pPr>
              <w:pStyle w:val="TableText"/>
              <w:ind w:left="107"/>
              <w:spacing w:before="10" w:line="226" w:lineRule="auto"/>
              <w:rPr/>
            </w:pPr>
            <w:r>
              <w:rPr>
                <w:spacing w:val="-1"/>
              </w:rPr>
              <w:t>3</w:t>
            </w:r>
            <w:r>
              <w:rPr>
                <w:spacing w:val="-35"/>
              </w:rPr>
              <w:t xml:space="preserve"> </w:t>
            </w:r>
            <w:r>
              <w:rPr>
                <w:spacing w:val="-1"/>
              </w:rPr>
              <w:t>月20 日前，各乡镇完成“五办四中心”挂牌。</w:t>
            </w:r>
          </w:p>
          <w:p>
            <w:pPr>
              <w:pStyle w:val="TableText"/>
              <w:ind w:left="105" w:right="50" w:firstLine="1"/>
              <w:spacing w:before="1" w:line="219" w:lineRule="auto"/>
              <w:rPr/>
            </w:pPr>
            <w:r>
              <w:rPr>
                <w:spacing w:val="-4"/>
              </w:rPr>
              <w:t>3</w:t>
            </w:r>
            <w:r>
              <w:rPr>
                <w:spacing w:val="-38"/>
              </w:rPr>
              <w:t xml:space="preserve"> </w:t>
            </w:r>
            <w:r>
              <w:rPr>
                <w:spacing w:val="-4"/>
              </w:rPr>
              <w:t>月31 日前，理顺乡镇站所管理体制，整合下放到乡镇的机构</w:t>
            </w:r>
            <w:r>
              <w:rPr>
                <w:spacing w:val="-5"/>
              </w:rPr>
              <w:t>和人员，</w:t>
            </w:r>
            <w:r>
              <w:rPr/>
              <w:t>实行以乡镇管理为主、上级业务部门进行业务</w:t>
            </w:r>
            <w:r>
              <w:rPr>
                <w:spacing w:val="-1"/>
              </w:rPr>
              <w:t>指导的管理体制。</w:t>
            </w:r>
          </w:p>
          <w:p>
            <w:pPr>
              <w:pStyle w:val="TableText"/>
              <w:ind w:left="105"/>
              <w:spacing w:before="11" w:line="215" w:lineRule="auto"/>
              <w:rPr/>
            </w:pPr>
            <w:r>
              <w:rPr>
                <w:spacing w:val="-1"/>
              </w:rPr>
              <w:t>畜牧兽医站继续实行现行体制。</w:t>
            </w:r>
          </w:p>
        </w:tc>
        <w:tc>
          <w:tcPr>
            <w:tcW w:w="3050" w:type="dxa"/>
            <w:vAlign w:val="top"/>
          </w:tcPr>
          <w:p>
            <w:pPr>
              <w:pStyle w:val="TableText"/>
              <w:ind w:left="106" w:right="32" w:firstLine="16"/>
              <w:spacing w:line="223" w:lineRule="auto"/>
              <w:rPr/>
            </w:pPr>
            <w:r>
              <w:rPr>
                <w:spacing w:val="-7"/>
              </w:rPr>
              <w:t>1.</w:t>
            </w:r>
            <w:r>
              <w:rPr>
                <w:spacing w:val="-38"/>
              </w:rPr>
              <w:t xml:space="preserve"> </w:t>
            </w:r>
            <w:r>
              <w:rPr>
                <w:spacing w:val="-7"/>
              </w:rPr>
              <w:t>自然资源、水务、农业农村等部门</w:t>
            </w:r>
            <w:r>
              <w:rPr>
                <w:spacing w:val="-3"/>
              </w:rPr>
              <w:t>派驻乡镇站所的编制及人、财、物移</w:t>
            </w:r>
            <w:r>
              <w:rPr>
                <w:spacing w:val="-19"/>
              </w:rPr>
              <w:t>交到位，实现权责一致，压实属地责任。</w:t>
            </w:r>
          </w:p>
          <w:p>
            <w:pPr>
              <w:pStyle w:val="TableText"/>
              <w:ind w:left="108"/>
              <w:spacing w:before="8" w:line="226" w:lineRule="auto"/>
              <w:rPr/>
            </w:pPr>
            <w:r>
              <w:rPr>
                <w:spacing w:val="-16"/>
                <w:w w:val="97"/>
              </w:rPr>
              <w:t>2.农业技术推广服务机构实现综合设置。</w:t>
            </w:r>
          </w:p>
          <w:p>
            <w:pPr>
              <w:pStyle w:val="TableText"/>
              <w:ind w:left="108" w:right="99" w:firstLine="2"/>
              <w:spacing w:before="1" w:line="221" w:lineRule="auto"/>
              <w:rPr/>
            </w:pPr>
            <w:r>
              <w:rPr>
                <w:spacing w:val="-4"/>
              </w:rPr>
              <w:t>3.通过调整理顺管理体制，推动治理</w:t>
            </w:r>
            <w:r>
              <w:rPr>
                <w:spacing w:val="-4"/>
              </w:rPr>
              <w:t>重心下移、资源下沉，全面提升基层</w:t>
            </w:r>
            <w:r>
              <w:rPr>
                <w:spacing w:val="-1"/>
              </w:rPr>
              <w:t>治理能力和公共服务水平。</w:t>
            </w:r>
          </w:p>
        </w:tc>
        <w:tc>
          <w:tcPr>
            <w:tcW w:w="979" w:type="dxa"/>
            <w:vAlign w:val="top"/>
          </w:tcPr>
          <w:p>
            <w:pPr>
              <w:spacing w:line="302" w:lineRule="auto"/>
              <w:rPr>
                <w:rFonts w:ascii="Arial"/>
                <w:sz w:val="21"/>
              </w:rPr>
            </w:pPr>
            <w:r/>
          </w:p>
          <w:p>
            <w:pPr>
              <w:spacing w:line="302" w:lineRule="auto"/>
              <w:rPr>
                <w:rFonts w:ascii="Arial"/>
                <w:sz w:val="21"/>
              </w:rPr>
            </w:pPr>
            <w:r/>
          </w:p>
          <w:p>
            <w:pPr>
              <w:pStyle w:val="TableText"/>
              <w:ind w:left="223"/>
              <w:spacing w:before="59" w:line="209" w:lineRule="auto"/>
              <w:rPr/>
            </w:pPr>
            <w:r>
              <w:rPr>
                <w:spacing w:val="-3"/>
              </w:rPr>
              <w:t>王淑玲</w:t>
            </w:r>
          </w:p>
        </w:tc>
        <w:tc>
          <w:tcPr>
            <w:tcW w:w="1096" w:type="dxa"/>
            <w:vAlign w:val="top"/>
          </w:tcPr>
          <w:p>
            <w:pPr>
              <w:pStyle w:val="TableText"/>
              <w:ind w:left="111" w:right="98"/>
              <w:spacing w:before="203" w:line="276" w:lineRule="auto"/>
              <w:rPr/>
            </w:pPr>
            <w:r>
              <w:rPr>
                <w:spacing w:val="-5"/>
              </w:rPr>
              <w:t>县委编办、</w:t>
            </w:r>
            <w:r>
              <w:rPr>
                <w:spacing w:val="-5"/>
              </w:rPr>
              <w:t>县</w:t>
            </w:r>
            <w:r>
              <w:rPr>
                <w:spacing w:val="-35"/>
              </w:rPr>
              <w:t xml:space="preserve"> </w:t>
            </w:r>
            <w:r>
              <w:rPr>
                <w:spacing w:val="-5"/>
              </w:rPr>
              <w:t>人</w:t>
            </w:r>
            <w:r>
              <w:rPr>
                <w:spacing w:val="-31"/>
              </w:rPr>
              <w:t xml:space="preserve"> </w:t>
            </w:r>
            <w:r>
              <w:rPr>
                <w:spacing w:val="-5"/>
              </w:rPr>
              <w:t>力</w:t>
            </w:r>
            <w:r>
              <w:rPr>
                <w:spacing w:val="-30"/>
              </w:rPr>
              <w:t xml:space="preserve"> </w:t>
            </w:r>
            <w:r>
              <w:rPr>
                <w:spacing w:val="-5"/>
              </w:rPr>
              <w:t>资</w:t>
            </w:r>
            <w:r>
              <w:rPr>
                <w:spacing w:val="-3"/>
              </w:rPr>
              <w:t>源</w:t>
            </w:r>
            <w:r>
              <w:rPr>
                <w:spacing w:val="-35"/>
              </w:rPr>
              <w:t xml:space="preserve"> </w:t>
            </w:r>
            <w:r>
              <w:rPr>
                <w:spacing w:val="-3"/>
              </w:rPr>
              <w:t>社</w:t>
            </w:r>
            <w:r>
              <w:rPr>
                <w:spacing w:val="-34"/>
              </w:rPr>
              <w:t xml:space="preserve"> </w:t>
            </w:r>
            <w:r>
              <w:rPr>
                <w:spacing w:val="-3"/>
              </w:rPr>
              <w:t>会</w:t>
            </w:r>
            <w:r>
              <w:rPr>
                <w:spacing w:val="-35"/>
              </w:rPr>
              <w:t xml:space="preserve"> </w:t>
            </w:r>
            <w:r>
              <w:rPr>
                <w:spacing w:val="-3"/>
              </w:rPr>
              <w:t>保</w:t>
            </w:r>
            <w:r>
              <w:rPr>
                <w:spacing w:val="-3"/>
              </w:rPr>
              <w:t>障局</w:t>
            </w:r>
          </w:p>
        </w:tc>
        <w:tc>
          <w:tcPr>
            <w:tcW w:w="1383" w:type="dxa"/>
            <w:vAlign w:val="top"/>
          </w:tcPr>
          <w:p>
            <w:pPr>
              <w:pStyle w:val="TableText"/>
              <w:ind w:left="107" w:right="104" w:firstLine="37"/>
              <w:spacing w:before="261" w:line="277" w:lineRule="auto"/>
              <w:rPr/>
            </w:pPr>
            <w:r>
              <w:rPr>
                <w:spacing w:val="1"/>
              </w:rPr>
              <w:t>自然资源局</w:t>
            </w:r>
            <w:r>
              <w:rPr>
                <w:spacing w:val="-54"/>
              </w:rPr>
              <w:t xml:space="preserve"> </w:t>
            </w:r>
            <w:r>
              <w:rPr>
                <w:spacing w:val="1"/>
              </w:rPr>
              <w:t>、</w:t>
            </w:r>
            <w:r>
              <w:rPr>
                <w:spacing w:val="7"/>
              </w:rPr>
              <w:t>水务局</w:t>
            </w:r>
            <w:r>
              <w:rPr>
                <w:spacing w:val="-53"/>
              </w:rPr>
              <w:t xml:space="preserve"> </w:t>
            </w:r>
            <w:r>
              <w:rPr>
                <w:spacing w:val="7"/>
              </w:rPr>
              <w:t>、农业</w:t>
            </w:r>
            <w:r>
              <w:rPr>
                <w:spacing w:val="13"/>
              </w:rPr>
              <w:t>农村局等相关</w:t>
            </w:r>
            <w:r>
              <w:rPr>
                <w:spacing w:val="-1"/>
              </w:rPr>
              <w:t>部门，各乡镇</w:t>
            </w:r>
          </w:p>
        </w:tc>
      </w:tr>
      <w:tr>
        <w:trPr>
          <w:trHeight w:val="3300" w:hRule="atLeast"/>
        </w:trPr>
        <w:tc>
          <w:tcPr>
            <w:tcW w:w="556"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pStyle w:val="TableText"/>
              <w:ind w:left="235"/>
              <w:spacing w:before="58" w:line="260" w:lineRule="exact"/>
              <w:rPr/>
            </w:pPr>
            <w:r>
              <w:rPr>
                <w:position w:val="2"/>
              </w:rPr>
              <w:t>3</w:t>
            </w:r>
          </w:p>
        </w:tc>
        <w:tc>
          <w:tcPr>
            <w:tcW w:w="1147"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22" w:right="123" w:hanging="5"/>
              <w:spacing w:before="58" w:line="279" w:lineRule="auto"/>
              <w:jc w:val="both"/>
              <w:rPr/>
            </w:pPr>
            <w:r>
              <w:rPr>
                <w:spacing w:val="-1"/>
              </w:rPr>
              <w:t>加强综合便</w:t>
            </w:r>
            <w:r>
              <w:rPr>
                <w:spacing w:val="-2"/>
              </w:rPr>
              <w:t>民服务机构</w:t>
            </w:r>
            <w:r>
              <w:rPr>
                <w:spacing w:val="-2"/>
              </w:rPr>
              <w:t>和平台建设</w:t>
            </w:r>
          </w:p>
        </w:tc>
        <w:tc>
          <w:tcPr>
            <w:tcW w:w="5665" w:type="dxa"/>
            <w:vAlign w:val="top"/>
          </w:tcPr>
          <w:p>
            <w:pPr>
              <w:pStyle w:val="TableText"/>
              <w:ind w:left="103" w:right="114" w:firstLine="1"/>
              <w:spacing w:before="7" w:line="224" w:lineRule="auto"/>
              <w:rPr/>
            </w:pPr>
            <w:r>
              <w:rPr>
                <w:spacing w:val="-1"/>
              </w:rPr>
              <w:t>2</w:t>
            </w:r>
            <w:r>
              <w:rPr>
                <w:spacing w:val="-24"/>
              </w:rPr>
              <w:t xml:space="preserve"> </w:t>
            </w:r>
            <w:r>
              <w:rPr>
                <w:spacing w:val="-1"/>
              </w:rPr>
              <w:t>月25 日前，完成对各乡镇民生服务中心、村（社区）便民服务中心</w:t>
            </w:r>
            <w:r>
              <w:rPr/>
              <w:t>建设及运行情况调研工作，摸清各乡镇政务服务人员及设</w:t>
            </w:r>
            <w:r>
              <w:rPr>
                <w:spacing w:val="-1"/>
              </w:rPr>
              <w:t>施配备、事</w:t>
            </w:r>
            <w:r>
              <w:rPr>
                <w:spacing w:val="-1"/>
              </w:rPr>
              <w:t>项进驻、网上办件情况。</w:t>
            </w:r>
          </w:p>
          <w:p>
            <w:pPr>
              <w:pStyle w:val="TableText"/>
              <w:ind w:left="118" w:right="114" w:hanging="11"/>
              <w:spacing w:before="4" w:line="221" w:lineRule="auto"/>
              <w:rPr/>
            </w:pPr>
            <w:r>
              <w:rPr>
                <w:spacing w:val="-1"/>
              </w:rPr>
              <w:t>3</w:t>
            </w:r>
            <w:r>
              <w:rPr>
                <w:spacing w:val="-26"/>
              </w:rPr>
              <w:t xml:space="preserve"> </w:t>
            </w:r>
            <w:r>
              <w:rPr>
                <w:spacing w:val="-1"/>
              </w:rPr>
              <w:t>月20 日前，完成下沉乡镇民生服务中心、村（社区）便民服务中心</w:t>
            </w:r>
            <w:r>
              <w:rPr>
                <w:spacing w:val="-2"/>
              </w:rPr>
              <w:t>网上办理便民服务事项清单梳理工作。</w:t>
            </w:r>
          </w:p>
          <w:p>
            <w:pPr>
              <w:pStyle w:val="TableText"/>
              <w:ind w:left="101" w:right="34" w:firstLine="5"/>
              <w:spacing w:before="6" w:line="226" w:lineRule="auto"/>
              <w:rPr/>
            </w:pPr>
            <w:r>
              <w:rPr>
                <w:spacing w:val="-9"/>
              </w:rPr>
              <w:t>3</w:t>
            </w:r>
            <w:r>
              <w:rPr>
                <w:spacing w:val="-32"/>
              </w:rPr>
              <w:t xml:space="preserve"> </w:t>
            </w:r>
            <w:r>
              <w:rPr>
                <w:spacing w:val="-9"/>
              </w:rPr>
              <w:t>月31 日前，整合基层行政审批和公共服务职责，各乡镇负责推进民政、</w:t>
            </w:r>
            <w:r>
              <w:rPr>
                <w:spacing w:val="-3"/>
              </w:rPr>
              <w:t>就业、卫健、社保、医保、残联、不动产登记</w:t>
            </w:r>
            <w:r>
              <w:rPr>
                <w:spacing w:val="-4"/>
              </w:rPr>
              <w:t>、乡村建设等行政审批、</w:t>
            </w:r>
            <w:r>
              <w:rPr>
                <w:spacing w:val="-4"/>
              </w:rPr>
              <w:t>公共服务事项进驻乡镇民生服务中心集中办理；逐步推进公安、市</w:t>
            </w:r>
            <w:r>
              <w:rPr>
                <w:spacing w:val="-5"/>
              </w:rPr>
              <w:t>场监</w:t>
            </w:r>
            <w:r>
              <w:rPr>
                <w:spacing w:val="-4"/>
              </w:rPr>
              <w:t>管、税务、退役军人等相关服务事项进驻乡镇民生服务中心办理。</w:t>
            </w:r>
          </w:p>
          <w:p>
            <w:pPr>
              <w:pStyle w:val="TableText"/>
              <w:ind w:left="103" w:right="114" w:hanging="2"/>
              <w:spacing w:before="1" w:line="222" w:lineRule="auto"/>
              <w:rPr/>
            </w:pPr>
            <w:r>
              <w:rPr>
                <w:spacing w:val="-1"/>
              </w:rPr>
              <w:t>4</w:t>
            </w:r>
            <w:r>
              <w:rPr>
                <w:spacing w:val="-21"/>
              </w:rPr>
              <w:t xml:space="preserve"> </w:t>
            </w:r>
            <w:r>
              <w:rPr>
                <w:spacing w:val="-1"/>
              </w:rPr>
              <w:t>月20 日前，加强乡镇民生服务中心规范化、标准化建设，整合设置</w:t>
            </w:r>
            <w:r>
              <w:rPr>
                <w:spacing w:val="-1"/>
              </w:rPr>
              <w:t>“综合窗口”，在全县推行一窗无差别受理。</w:t>
            </w:r>
          </w:p>
          <w:p>
            <w:pPr>
              <w:pStyle w:val="TableText"/>
              <w:ind w:left="102" w:right="22" w:hanging="1"/>
              <w:spacing w:before="4" w:line="222" w:lineRule="auto"/>
              <w:rPr/>
            </w:pPr>
            <w:r>
              <w:rPr>
                <w:spacing w:val="-1"/>
              </w:rPr>
              <w:t>4</w:t>
            </w:r>
            <w:r>
              <w:rPr>
                <w:spacing w:val="-21"/>
              </w:rPr>
              <w:t xml:space="preserve"> </w:t>
            </w:r>
            <w:r>
              <w:rPr>
                <w:spacing w:val="-1"/>
              </w:rPr>
              <w:t>月30 日前，依托自治区建设宁夏政务服务综合平台工程，大幅提升</w:t>
            </w:r>
            <w:r>
              <w:rPr/>
              <w:t>“宁夏政务服务网”的功能和应用水平，提高基层网上</w:t>
            </w:r>
            <w:r>
              <w:rPr>
                <w:spacing w:val="-1"/>
              </w:rPr>
              <w:t>“不见面”办</w:t>
            </w:r>
            <w:r>
              <w:rPr>
                <w:spacing w:val="4"/>
              </w:rPr>
              <w:t>件量，稳步推进“我的宁夏”政务</w:t>
            </w:r>
            <w:r>
              <w:rPr>
                <w:spacing w:val="-35"/>
              </w:rPr>
              <w:t xml:space="preserve"> </w:t>
            </w:r>
            <w:r>
              <w:rPr/>
              <w:t>APP</w:t>
            </w:r>
            <w:r>
              <w:rPr>
                <w:spacing w:val="-40"/>
              </w:rPr>
              <w:t xml:space="preserve"> </w:t>
            </w:r>
            <w:r>
              <w:rPr>
                <w:spacing w:val="4"/>
              </w:rPr>
              <w:t>扩能提效，实现“掌上代办”</w:t>
            </w:r>
            <w:r>
              <w:rPr>
                <w:spacing w:val="-2"/>
              </w:rPr>
              <w:t>服务。</w:t>
            </w:r>
          </w:p>
        </w:tc>
        <w:tc>
          <w:tcPr>
            <w:tcW w:w="3050" w:type="dxa"/>
            <w:vAlign w:val="top"/>
          </w:tcPr>
          <w:p>
            <w:pPr>
              <w:spacing w:line="247" w:lineRule="auto"/>
              <w:rPr>
                <w:rFonts w:ascii="Arial"/>
                <w:sz w:val="21"/>
              </w:rPr>
            </w:pPr>
            <w:r/>
          </w:p>
          <w:p>
            <w:pPr>
              <w:spacing w:line="247" w:lineRule="auto"/>
              <w:rPr>
                <w:rFonts w:ascii="Arial"/>
                <w:sz w:val="21"/>
              </w:rPr>
            </w:pPr>
            <w:r/>
          </w:p>
          <w:p>
            <w:pPr>
              <w:pStyle w:val="TableText"/>
              <w:ind w:left="106" w:right="99" w:firstLine="16"/>
              <w:spacing w:before="58" w:line="223" w:lineRule="auto"/>
              <w:rPr/>
            </w:pPr>
            <w:r>
              <w:rPr>
                <w:spacing w:val="-14"/>
              </w:rPr>
              <w:t>1.通过整合设置乡镇“综合窗口”，推</w:t>
            </w:r>
            <w:r>
              <w:rPr>
                <w:spacing w:val="-3"/>
              </w:rPr>
              <w:t>行一窗受理、集成服务，基本实现各</w:t>
            </w:r>
            <w:r>
              <w:rPr>
                <w:spacing w:val="-1"/>
              </w:rPr>
              <w:t>乡镇民生服务中心面向企业和群众</w:t>
            </w:r>
            <w:r>
              <w:rPr>
                <w:spacing w:val="1"/>
              </w:rPr>
              <w:t>办理的事项“应进必进”。</w:t>
            </w:r>
          </w:p>
          <w:p>
            <w:pPr>
              <w:pStyle w:val="TableText"/>
              <w:ind w:left="108"/>
              <w:spacing w:before="11" w:line="229" w:lineRule="auto"/>
              <w:rPr/>
            </w:pPr>
            <w:r>
              <w:rPr>
                <w:spacing w:val="-4"/>
              </w:rPr>
              <w:t>2.完善宁夏政务服务网网上办事大</w:t>
            </w:r>
          </w:p>
          <w:p>
            <w:pPr>
              <w:pStyle w:val="TableText"/>
              <w:ind w:left="105"/>
              <w:spacing w:line="221" w:lineRule="auto"/>
              <w:rPr/>
            </w:pPr>
            <w:r>
              <w:rPr>
                <w:spacing w:val="3"/>
              </w:rPr>
              <w:t>厅，提升宁夏政务服务网“一张网”</w:t>
            </w:r>
            <w:r>
              <w:rPr>
                <w:spacing w:val="-18"/>
              </w:rPr>
              <w:t>功能，实现政务服务事项“一网通办”，</w:t>
            </w:r>
            <w:r>
              <w:rPr>
                <w:spacing w:val="-8"/>
              </w:rPr>
              <w:t>让“数据多跑路、让群众少跑腿”。</w:t>
            </w:r>
          </w:p>
          <w:p>
            <w:pPr>
              <w:pStyle w:val="TableText"/>
              <w:ind w:left="110" w:right="81"/>
              <w:spacing w:before="8" w:line="221" w:lineRule="auto"/>
              <w:rPr/>
            </w:pPr>
            <w:r>
              <w:rPr>
                <w:spacing w:val="-4"/>
              </w:rPr>
              <w:t>3.提升村级代办服务能力，努力实现</w:t>
            </w:r>
            <w:r>
              <w:rPr>
                <w:spacing w:val="-3"/>
              </w:rPr>
              <w:t>简单事项不出村、复杂事项可代办。</w:t>
            </w:r>
          </w:p>
        </w:tc>
        <w:tc>
          <w:tcPr>
            <w:tcW w:w="979"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226"/>
              <w:spacing w:before="59" w:line="211" w:lineRule="auto"/>
              <w:rPr/>
            </w:pPr>
            <w:r>
              <w:rPr>
                <w:spacing w:val="-4"/>
              </w:rPr>
              <w:t>马义杰</w:t>
            </w:r>
          </w:p>
        </w:tc>
        <w:tc>
          <w:tcPr>
            <w:tcW w:w="1096" w:type="dxa"/>
            <w:vAlign w:val="top"/>
          </w:tcPr>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282" w:right="269" w:hanging="1"/>
              <w:spacing w:before="58" w:line="279" w:lineRule="auto"/>
              <w:rPr/>
            </w:pPr>
            <w:r>
              <w:rPr>
                <w:spacing w:val="-2"/>
              </w:rPr>
              <w:t>县审批</w:t>
            </w:r>
            <w:r>
              <w:rPr>
                <w:spacing w:val="-3"/>
              </w:rPr>
              <w:t>服务局</w:t>
            </w:r>
          </w:p>
        </w:tc>
        <w:tc>
          <w:tcPr>
            <w:tcW w:w="1383" w:type="dxa"/>
            <w:vAlign w:val="top"/>
          </w:tcPr>
          <w:p>
            <w:pPr>
              <w:pStyle w:val="TableText"/>
              <w:ind w:left="150" w:right="145"/>
              <w:spacing w:before="75" w:line="275" w:lineRule="auto"/>
              <w:rPr/>
            </w:pPr>
            <w:r>
              <w:rPr>
                <w:spacing w:val="-1"/>
              </w:rPr>
              <w:t>公安局、民政</w:t>
            </w:r>
            <w:r>
              <w:rPr>
                <w:spacing w:val="-1"/>
              </w:rPr>
              <w:t>局、人力资源</w:t>
            </w:r>
            <w:r>
              <w:rPr>
                <w:spacing w:val="-1"/>
              </w:rPr>
              <w:t>社会保障局、</w:t>
            </w:r>
            <w:r>
              <w:rPr>
                <w:spacing w:val="-1"/>
              </w:rPr>
              <w:t>司法局、自然</w:t>
            </w:r>
            <w:r>
              <w:rPr>
                <w:spacing w:val="-1"/>
              </w:rPr>
              <w:t>资源局、住建</w:t>
            </w:r>
            <w:r>
              <w:rPr>
                <w:spacing w:val="-1"/>
              </w:rPr>
              <w:t>局、水务局、</w:t>
            </w:r>
          </w:p>
          <w:p>
            <w:pPr>
              <w:pStyle w:val="TableText"/>
              <w:ind w:left="150" w:right="145" w:hanging="2"/>
              <w:spacing w:before="2" w:line="275" w:lineRule="auto"/>
              <w:rPr/>
            </w:pPr>
            <w:r>
              <w:rPr>
                <w:spacing w:val="-1"/>
              </w:rPr>
              <w:t>农业农村局、</w:t>
            </w:r>
            <w:r>
              <w:rPr>
                <w:spacing w:val="-1"/>
              </w:rPr>
              <w:t>卫健局、退役</w:t>
            </w:r>
            <w:r>
              <w:rPr>
                <w:spacing w:val="-1"/>
              </w:rPr>
              <w:t>军人事务局、</w:t>
            </w:r>
          </w:p>
          <w:p>
            <w:pPr>
              <w:pStyle w:val="TableText"/>
              <w:ind w:left="121" w:right="38" w:firstLine="30"/>
              <w:spacing w:before="1" w:line="273" w:lineRule="auto"/>
              <w:rPr/>
            </w:pPr>
            <w:r>
              <w:rPr>
                <w:spacing w:val="2"/>
              </w:rPr>
              <w:t>市场监管局、</w:t>
            </w:r>
            <w:r>
              <w:rPr>
                <w:spacing w:val="-7"/>
              </w:rPr>
              <w:t>医保局、残联、</w:t>
            </w:r>
            <w:r>
              <w:rPr>
                <w:spacing w:val="4"/>
              </w:rPr>
              <w:t>妇联、税务局</w:t>
            </w:r>
          </w:p>
        </w:tc>
      </w:tr>
    </w:tbl>
    <w:p>
      <w:pPr>
        <w:spacing w:line="196" w:lineRule="exact"/>
        <w:rPr>
          <w:rFonts w:ascii="Arial"/>
          <w:sz w:val="17"/>
        </w:rPr>
      </w:pPr>
      <w:r/>
    </w:p>
    <w:p>
      <w:pPr>
        <w:spacing w:line="196" w:lineRule="exact"/>
        <w:sectPr>
          <w:headerReference w:type="default" r:id="rId418"/>
          <w:footerReference w:type="default" r:id="rId419"/>
          <w:pgSz w:w="16839" w:h="11906"/>
          <w:pgMar w:top="1767" w:right="1485" w:bottom="1570" w:left="1465" w:header="1417" w:footer="1172" w:gutter="0"/>
        </w:sectPr>
        <w:rPr>
          <w:rFonts w:ascii="Arial" w:hAnsi="Arial" w:eastAsia="Arial" w:cs="Arial"/>
          <w:sz w:val="17"/>
          <w:szCs w:val="17"/>
        </w:rPr>
      </w:pPr>
    </w:p>
    <w:p>
      <w:pPr>
        <w:spacing w:line="192" w:lineRule="exact"/>
        <w:rPr/>
      </w:pPr>
      <w:r>
        <w:drawing>
          <wp:anchor distT="0" distB="0" distL="0" distR="0" simplePos="0" relativeHeight="251959296"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842" name="IM 842"/>
            <wp:cNvGraphicFramePr/>
            <a:graphic>
              <a:graphicData uri="http://schemas.openxmlformats.org/drawingml/2006/picture">
                <pic:pic>
                  <pic:nvPicPr>
                    <pic:cNvPr id="842" name="IM 842"/>
                    <pic:cNvPicPr/>
                  </pic:nvPicPr>
                  <pic:blipFill>
                    <a:blip r:embed="rId423"/>
                    <a:stretch>
                      <a:fillRect/>
                    </a:stretch>
                  </pic:blipFill>
                  <pic:spPr>
                    <a:xfrm rot="0">
                      <a:off x="0" y="0"/>
                      <a:ext cx="8712200" cy="7620"/>
                    </a:xfrm>
                    <a:prstGeom prst="rect">
                      <a:avLst/>
                    </a:prstGeom>
                  </pic:spPr>
                </pic:pic>
              </a:graphicData>
            </a:graphic>
          </wp:anchor>
        </w:drawing>
      </w:r>
      <w:r/>
    </w:p>
    <w:tbl>
      <w:tblPr>
        <w:tblStyle w:val="TableNormal"/>
        <w:tblW w:w="13876"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6"/>
        <w:gridCol w:w="1147"/>
        <w:gridCol w:w="5665"/>
        <w:gridCol w:w="3050"/>
        <w:gridCol w:w="979"/>
        <w:gridCol w:w="1096"/>
        <w:gridCol w:w="1383"/>
      </w:tblGrid>
      <w:tr>
        <w:trPr>
          <w:trHeight w:val="583" w:hRule="atLeast"/>
        </w:trPr>
        <w:tc>
          <w:tcPr>
            <w:tcW w:w="556" w:type="dxa"/>
            <w:vAlign w:val="top"/>
          </w:tcPr>
          <w:p>
            <w:pPr>
              <w:pStyle w:val="TableText"/>
              <w:ind w:left="117"/>
              <w:spacing w:before="191" w:line="214" w:lineRule="auto"/>
              <w:rPr/>
            </w:pPr>
            <w:r>
              <w:rPr>
                <w:b/>
                <w:bCs/>
                <w:spacing w:val="-4"/>
              </w:rPr>
              <w:t>序号</w:t>
            </w:r>
          </w:p>
        </w:tc>
        <w:tc>
          <w:tcPr>
            <w:tcW w:w="1147" w:type="dxa"/>
            <w:vAlign w:val="top"/>
          </w:tcPr>
          <w:p>
            <w:pPr>
              <w:pStyle w:val="TableText"/>
              <w:ind w:left="239"/>
              <w:spacing w:before="191" w:line="213" w:lineRule="auto"/>
              <w:rPr/>
            </w:pPr>
            <w:r>
              <w:rPr>
                <w:b/>
                <w:bCs/>
                <w:spacing w:val="-10"/>
              </w:rPr>
              <w:t>主要任务</w:t>
            </w:r>
          </w:p>
        </w:tc>
        <w:tc>
          <w:tcPr>
            <w:tcW w:w="5665" w:type="dxa"/>
            <w:vAlign w:val="top"/>
          </w:tcPr>
          <w:p>
            <w:pPr>
              <w:pStyle w:val="TableText"/>
              <w:ind w:left="2495"/>
              <w:spacing w:before="193" w:line="211" w:lineRule="auto"/>
              <w:rPr/>
            </w:pPr>
            <w:r>
              <w:rPr>
                <w:b/>
                <w:bCs/>
                <w:spacing w:val="-9"/>
              </w:rPr>
              <w:t>推进措施</w:t>
            </w:r>
          </w:p>
        </w:tc>
        <w:tc>
          <w:tcPr>
            <w:tcW w:w="3050" w:type="dxa"/>
            <w:vAlign w:val="top"/>
          </w:tcPr>
          <w:p>
            <w:pPr>
              <w:pStyle w:val="TableText"/>
              <w:ind w:left="1192"/>
              <w:spacing w:before="192" w:line="211" w:lineRule="auto"/>
              <w:rPr/>
            </w:pPr>
            <w:r>
              <w:rPr>
                <w:b/>
                <w:bCs/>
                <w:spacing w:val="-10"/>
              </w:rPr>
              <w:t>预期目标</w:t>
            </w:r>
          </w:p>
        </w:tc>
        <w:tc>
          <w:tcPr>
            <w:tcW w:w="979" w:type="dxa"/>
            <w:vAlign w:val="top"/>
          </w:tcPr>
          <w:p>
            <w:pPr>
              <w:pStyle w:val="TableText"/>
              <w:ind w:left="177"/>
              <w:spacing w:before="191" w:line="213" w:lineRule="auto"/>
              <w:rPr/>
            </w:pPr>
            <w:r>
              <w:rPr>
                <w:b/>
                <w:bCs/>
                <w:spacing w:val="-15"/>
              </w:rPr>
              <w:t>责任领导</w:t>
            </w:r>
          </w:p>
        </w:tc>
        <w:tc>
          <w:tcPr>
            <w:tcW w:w="1096" w:type="dxa"/>
            <w:vAlign w:val="top"/>
          </w:tcPr>
          <w:p>
            <w:pPr>
              <w:pStyle w:val="TableText"/>
              <w:ind w:left="236"/>
              <w:spacing w:before="191" w:line="212" w:lineRule="auto"/>
              <w:rPr/>
            </w:pPr>
            <w:r>
              <w:rPr>
                <w:b/>
                <w:bCs/>
                <w:spacing w:val="-15"/>
              </w:rPr>
              <w:t>牵头单位</w:t>
            </w:r>
          </w:p>
        </w:tc>
        <w:tc>
          <w:tcPr>
            <w:tcW w:w="1383" w:type="dxa"/>
            <w:vAlign w:val="top"/>
          </w:tcPr>
          <w:p>
            <w:pPr>
              <w:pStyle w:val="TableText"/>
              <w:ind w:left="358"/>
              <w:spacing w:before="191" w:line="214" w:lineRule="auto"/>
              <w:rPr/>
            </w:pPr>
            <w:r>
              <w:rPr>
                <w:b/>
                <w:bCs/>
                <w:spacing w:val="-9"/>
              </w:rPr>
              <w:t>实施单位</w:t>
            </w:r>
          </w:p>
        </w:tc>
      </w:tr>
      <w:tr>
        <w:trPr>
          <w:trHeight w:val="1104" w:hRule="atLeast"/>
        </w:trPr>
        <w:tc>
          <w:tcPr>
            <w:tcW w:w="556" w:type="dxa"/>
            <w:vAlign w:val="top"/>
          </w:tcPr>
          <w:p>
            <w:pPr>
              <w:spacing w:line="383" w:lineRule="auto"/>
              <w:rPr>
                <w:rFonts w:ascii="Arial"/>
                <w:sz w:val="21"/>
              </w:rPr>
            </w:pPr>
            <w:r/>
          </w:p>
          <w:p>
            <w:pPr>
              <w:pStyle w:val="TableText"/>
              <w:ind w:left="230"/>
              <w:spacing w:before="59" w:line="262" w:lineRule="exact"/>
              <w:rPr/>
            </w:pPr>
            <w:r>
              <w:rPr>
                <w:position w:val="1"/>
              </w:rPr>
              <w:t>4</w:t>
            </w:r>
          </w:p>
        </w:tc>
        <w:tc>
          <w:tcPr>
            <w:tcW w:w="1147" w:type="dxa"/>
            <w:vAlign w:val="top"/>
          </w:tcPr>
          <w:p>
            <w:pPr>
              <w:pStyle w:val="TableText"/>
              <w:ind w:left="210"/>
              <w:spacing w:before="183" w:line="211" w:lineRule="auto"/>
              <w:rPr/>
            </w:pPr>
            <w:r>
              <w:rPr>
                <w:spacing w:val="-2"/>
              </w:rPr>
              <w:t>推进审批</w:t>
            </w:r>
          </w:p>
          <w:p>
            <w:pPr>
              <w:pStyle w:val="TableText"/>
              <w:ind w:left="120"/>
              <w:spacing w:before="60" w:line="210" w:lineRule="auto"/>
              <w:rPr/>
            </w:pPr>
            <w:r>
              <w:rPr>
                <w:spacing w:val="-2"/>
              </w:rPr>
              <w:t>服务标准化</w:t>
            </w:r>
          </w:p>
          <w:p>
            <w:pPr>
              <w:pStyle w:val="TableText"/>
              <w:ind w:left="388"/>
              <w:spacing w:before="61" w:line="213" w:lineRule="auto"/>
              <w:rPr/>
            </w:pPr>
            <w:r>
              <w:rPr>
                <w:spacing w:val="-2"/>
              </w:rPr>
              <w:t>建设</w:t>
            </w:r>
          </w:p>
        </w:tc>
        <w:tc>
          <w:tcPr>
            <w:tcW w:w="5665" w:type="dxa"/>
            <w:vAlign w:val="top"/>
          </w:tcPr>
          <w:p>
            <w:pPr>
              <w:pStyle w:val="TableText"/>
              <w:ind w:left="101" w:right="114" w:firstLine="5"/>
              <w:spacing w:before="87" w:line="237" w:lineRule="auto"/>
              <w:rPr/>
            </w:pPr>
            <w:r>
              <w:rPr>
                <w:spacing w:val="-1"/>
              </w:rPr>
              <w:t>3</w:t>
            </w:r>
            <w:r>
              <w:rPr>
                <w:spacing w:val="-26"/>
              </w:rPr>
              <w:t xml:space="preserve"> </w:t>
            </w:r>
            <w:r>
              <w:rPr>
                <w:spacing w:val="-1"/>
              </w:rPr>
              <w:t>月31 日前，制定并公布《泾源县乡镇政务服务事项清单》，完成乡</w:t>
            </w:r>
            <w:r>
              <w:rPr>
                <w:spacing w:val="-1"/>
              </w:rPr>
              <w:t>镇事项网上信息录入。</w:t>
            </w:r>
          </w:p>
          <w:p>
            <w:pPr>
              <w:pStyle w:val="TableText"/>
              <w:ind w:left="105" w:right="114" w:hanging="4"/>
              <w:spacing w:before="18" w:line="238" w:lineRule="auto"/>
              <w:rPr/>
            </w:pPr>
            <w:r>
              <w:rPr>
                <w:spacing w:val="-2"/>
              </w:rPr>
              <w:t>4</w:t>
            </w:r>
            <w:r>
              <w:rPr>
                <w:spacing w:val="-39"/>
              </w:rPr>
              <w:t xml:space="preserve"> </w:t>
            </w:r>
            <w:r>
              <w:rPr>
                <w:spacing w:val="-2"/>
              </w:rPr>
              <w:t>月</w:t>
            </w:r>
            <w:r>
              <w:rPr>
                <w:spacing w:val="-27"/>
              </w:rPr>
              <w:t xml:space="preserve"> </w:t>
            </w:r>
            <w:r>
              <w:rPr>
                <w:spacing w:val="-2"/>
              </w:rPr>
              <w:t>15 日前，建立和完善适应基层实际</w:t>
            </w:r>
            <w:r>
              <w:rPr>
                <w:spacing w:val="-3"/>
              </w:rPr>
              <w:t>的办事指南和工作规程，进一</w:t>
            </w:r>
            <w:r>
              <w:rPr>
                <w:spacing w:val="-1"/>
              </w:rPr>
              <w:t>步优化审批流程，简化审批手续。</w:t>
            </w:r>
          </w:p>
        </w:tc>
        <w:tc>
          <w:tcPr>
            <w:tcW w:w="3050" w:type="dxa"/>
            <w:vAlign w:val="top"/>
            <w:vMerge w:val="restart"/>
            <w:tcBorders>
              <w:bottom w:val="nil"/>
            </w:tcBorders>
          </w:tcPr>
          <w:p>
            <w:pPr>
              <w:rPr>
                <w:rFonts w:ascii="Arial"/>
                <w:sz w:val="21"/>
              </w:rPr>
            </w:pPr>
            <w:r/>
          </w:p>
        </w:tc>
        <w:tc>
          <w:tcPr>
            <w:tcW w:w="979" w:type="dxa"/>
            <w:vAlign w:val="top"/>
            <w:vMerge w:val="restart"/>
            <w:tcBorders>
              <w:bottom w:val="nil"/>
            </w:tcBorders>
          </w:tcPr>
          <w:p>
            <w:pPr>
              <w:rPr>
                <w:rFonts w:ascii="Arial"/>
                <w:sz w:val="21"/>
              </w:rPr>
            </w:pPr>
            <w:r/>
          </w:p>
        </w:tc>
        <w:tc>
          <w:tcPr>
            <w:tcW w:w="1096" w:type="dxa"/>
            <w:vAlign w:val="top"/>
            <w:vMerge w:val="restart"/>
            <w:tcBorders>
              <w:bottom w:val="nil"/>
            </w:tcBorders>
          </w:tcPr>
          <w:p>
            <w:pPr>
              <w:rPr>
                <w:rFonts w:ascii="Arial"/>
                <w:sz w:val="21"/>
              </w:rPr>
            </w:pPr>
            <w:r/>
          </w:p>
        </w:tc>
        <w:tc>
          <w:tcPr>
            <w:tcW w:w="1383" w:type="dxa"/>
            <w:vAlign w:val="top"/>
            <w:vMerge w:val="restart"/>
            <w:tcBorders>
              <w:bottom w:val="nil"/>
            </w:tcBorders>
          </w:tcPr>
          <w:p>
            <w:pPr>
              <w:pStyle w:val="TableText"/>
              <w:ind w:left="419" w:right="181" w:hanging="266"/>
              <w:spacing w:before="33" w:line="277" w:lineRule="auto"/>
              <w:rPr/>
            </w:pPr>
            <w:r>
              <w:rPr>
                <w:spacing w:val="-8"/>
              </w:rPr>
              <w:t>等相关部门，</w:t>
            </w:r>
            <w:r>
              <w:rPr>
                <w:spacing w:val="-2"/>
              </w:rPr>
              <w:t>各乡镇</w:t>
            </w:r>
          </w:p>
        </w:tc>
      </w:tr>
      <w:tr>
        <w:trPr>
          <w:trHeight w:val="1528" w:hRule="atLeast"/>
        </w:trPr>
        <w:tc>
          <w:tcPr>
            <w:tcW w:w="556" w:type="dxa"/>
            <w:vAlign w:val="top"/>
          </w:tcPr>
          <w:p>
            <w:pPr>
              <w:spacing w:line="299" w:lineRule="auto"/>
              <w:rPr>
                <w:rFonts w:ascii="Arial"/>
                <w:sz w:val="21"/>
              </w:rPr>
            </w:pPr>
            <w:r/>
          </w:p>
          <w:p>
            <w:pPr>
              <w:spacing w:line="299" w:lineRule="auto"/>
              <w:rPr>
                <w:rFonts w:ascii="Arial"/>
                <w:sz w:val="21"/>
              </w:rPr>
            </w:pPr>
            <w:r/>
          </w:p>
          <w:p>
            <w:pPr>
              <w:pStyle w:val="TableText"/>
              <w:ind w:left="233"/>
              <w:spacing w:before="58" w:line="261" w:lineRule="exact"/>
              <w:rPr/>
            </w:pPr>
            <w:r>
              <w:rPr>
                <w:position w:val="2"/>
              </w:rPr>
              <w:t>5</w:t>
            </w:r>
          </w:p>
        </w:tc>
        <w:tc>
          <w:tcPr>
            <w:tcW w:w="1147" w:type="dxa"/>
            <w:vAlign w:val="top"/>
          </w:tcPr>
          <w:p>
            <w:pPr>
              <w:spacing w:line="465" w:lineRule="auto"/>
              <w:rPr>
                <w:rFonts w:ascii="Arial"/>
                <w:sz w:val="21"/>
              </w:rPr>
            </w:pPr>
            <w:r/>
          </w:p>
          <w:p>
            <w:pPr>
              <w:pStyle w:val="TableText"/>
              <w:ind w:left="119" w:right="123" w:hanging="2"/>
              <w:spacing w:before="58" w:line="278" w:lineRule="auto"/>
              <w:rPr/>
            </w:pPr>
            <w:r>
              <w:rPr>
                <w:spacing w:val="-1"/>
              </w:rPr>
              <w:t>完善村级代</w:t>
            </w:r>
            <w:r>
              <w:rPr>
                <w:spacing w:val="-2"/>
              </w:rPr>
              <w:t>办服务机制</w:t>
            </w:r>
          </w:p>
        </w:tc>
        <w:tc>
          <w:tcPr>
            <w:tcW w:w="5665" w:type="dxa"/>
            <w:vAlign w:val="top"/>
          </w:tcPr>
          <w:p>
            <w:pPr>
              <w:pStyle w:val="TableText"/>
              <w:ind w:left="101" w:right="102"/>
              <w:spacing w:before="61" w:line="239" w:lineRule="auto"/>
              <w:jc w:val="both"/>
              <w:rPr/>
            </w:pPr>
            <w:r>
              <w:rPr>
                <w:spacing w:val="-7"/>
              </w:rPr>
              <w:t>4</w:t>
            </w:r>
            <w:r>
              <w:rPr>
                <w:spacing w:val="-39"/>
              </w:rPr>
              <w:t xml:space="preserve"> </w:t>
            </w:r>
            <w:r>
              <w:rPr>
                <w:spacing w:val="-7"/>
              </w:rPr>
              <w:t>月</w:t>
            </w:r>
            <w:r>
              <w:rPr>
                <w:spacing w:val="-27"/>
              </w:rPr>
              <w:t xml:space="preserve"> </w:t>
            </w:r>
            <w:r>
              <w:rPr>
                <w:spacing w:val="-7"/>
              </w:rPr>
              <w:t>10 日前，完善村级代办服务机制，</w:t>
            </w:r>
            <w:r>
              <w:rPr>
                <w:spacing w:val="-8"/>
              </w:rPr>
              <w:t>加强村（社区）“家门口”综合</w:t>
            </w:r>
            <w:r>
              <w:rPr/>
              <w:t>服务站建设，推动基本公共服务事项进驻村（社区）办理，</w:t>
            </w:r>
            <w:r>
              <w:rPr>
                <w:spacing w:val="-1"/>
              </w:rPr>
              <w:t>推进村级</w:t>
            </w:r>
            <w:r>
              <w:rPr>
                <w:spacing w:val="-1"/>
              </w:rPr>
              <w:t>便民服务点和网上服务站点全覆盖。</w:t>
            </w:r>
          </w:p>
          <w:p>
            <w:pPr>
              <w:pStyle w:val="TableText"/>
              <w:ind w:left="101" w:right="39"/>
              <w:spacing w:before="19" w:line="239" w:lineRule="auto"/>
              <w:jc w:val="both"/>
              <w:rPr/>
            </w:pPr>
            <w:r>
              <w:rPr>
                <w:spacing w:val="-9"/>
              </w:rPr>
              <w:t>4</w:t>
            </w:r>
            <w:r>
              <w:rPr>
                <w:spacing w:val="-31"/>
              </w:rPr>
              <w:t xml:space="preserve"> </w:t>
            </w:r>
            <w:r>
              <w:rPr>
                <w:spacing w:val="-9"/>
              </w:rPr>
              <w:t>月20 日前，制定印发《泾源县加强基层便民服务队伍建设管理办法》。</w:t>
            </w:r>
            <w:r>
              <w:rPr/>
              <w:t xml:space="preserve"> </w:t>
            </w:r>
            <w:r>
              <w:rPr>
                <w:spacing w:val="-1"/>
              </w:rPr>
              <w:t>4</w:t>
            </w:r>
            <w:r>
              <w:rPr>
                <w:spacing w:val="-21"/>
              </w:rPr>
              <w:t xml:space="preserve"> </w:t>
            </w:r>
            <w:r>
              <w:rPr>
                <w:spacing w:val="-1"/>
              </w:rPr>
              <w:t>月30 日前，积极开展代缴代办代理等便民服务，逐步扩大公共服务</w:t>
            </w:r>
            <w:r>
              <w:rPr>
                <w:spacing w:val="-1"/>
              </w:rPr>
              <w:t>事项网上受理、网上办理、网上反馈范围。</w:t>
            </w:r>
          </w:p>
        </w:tc>
        <w:tc>
          <w:tcPr>
            <w:tcW w:w="3050" w:type="dxa"/>
            <w:vAlign w:val="top"/>
            <w:vMerge w:val="continue"/>
            <w:tcBorders>
              <w:top w:val="nil"/>
            </w:tcBorders>
          </w:tcPr>
          <w:p>
            <w:pPr>
              <w:rPr>
                <w:rFonts w:ascii="Arial"/>
                <w:sz w:val="21"/>
              </w:rPr>
            </w:pPr>
            <w:r/>
          </w:p>
        </w:tc>
        <w:tc>
          <w:tcPr>
            <w:tcW w:w="979" w:type="dxa"/>
            <w:vAlign w:val="top"/>
            <w:vMerge w:val="continue"/>
            <w:tcBorders>
              <w:top w:val="nil"/>
            </w:tcBorders>
          </w:tcPr>
          <w:p>
            <w:pPr>
              <w:rPr>
                <w:rFonts w:ascii="Arial"/>
                <w:sz w:val="21"/>
              </w:rPr>
            </w:pPr>
            <w:r/>
          </w:p>
        </w:tc>
        <w:tc>
          <w:tcPr>
            <w:tcW w:w="1096" w:type="dxa"/>
            <w:vAlign w:val="top"/>
            <w:vMerge w:val="continue"/>
            <w:tcBorders>
              <w:top w:val="nil"/>
            </w:tcBorders>
          </w:tcPr>
          <w:p>
            <w:pPr>
              <w:rPr>
                <w:rFonts w:ascii="Arial"/>
                <w:sz w:val="21"/>
              </w:rPr>
            </w:pPr>
            <w:r/>
          </w:p>
        </w:tc>
        <w:tc>
          <w:tcPr>
            <w:tcW w:w="1383" w:type="dxa"/>
            <w:vAlign w:val="top"/>
            <w:vMerge w:val="continue"/>
            <w:tcBorders>
              <w:top w:val="nil"/>
            </w:tcBorders>
          </w:tcPr>
          <w:p>
            <w:pPr>
              <w:rPr>
                <w:rFonts w:ascii="Arial"/>
                <w:sz w:val="21"/>
              </w:rPr>
            </w:pPr>
            <w:r/>
          </w:p>
        </w:tc>
      </w:tr>
      <w:tr>
        <w:trPr>
          <w:trHeight w:val="1096" w:hRule="atLeast"/>
        </w:trPr>
        <w:tc>
          <w:tcPr>
            <w:tcW w:w="55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233"/>
              <w:spacing w:before="59" w:line="260" w:lineRule="exact"/>
              <w:rPr/>
            </w:pPr>
            <w:r>
              <w:rPr>
                <w:position w:val="2"/>
              </w:rPr>
              <w:t>6</w:t>
            </w:r>
          </w:p>
        </w:tc>
        <w:tc>
          <w:tcPr>
            <w:tcW w:w="1147" w:type="dxa"/>
            <w:vAlign w:val="top"/>
            <w:vMerge w:val="restart"/>
            <w:tcBorders>
              <w:bottom w:val="nil"/>
            </w:tcBorders>
          </w:tcPr>
          <w:p>
            <w:pPr>
              <w:spacing w:line="304" w:lineRule="auto"/>
              <w:rPr>
                <w:rFonts w:ascii="Arial"/>
                <w:sz w:val="21"/>
              </w:rPr>
            </w:pPr>
            <w:r/>
          </w:p>
          <w:p>
            <w:pPr>
              <w:spacing w:line="304" w:lineRule="auto"/>
              <w:rPr>
                <w:rFonts w:ascii="Arial"/>
                <w:sz w:val="21"/>
              </w:rPr>
            </w:pPr>
            <w:r/>
          </w:p>
          <w:p>
            <w:pPr>
              <w:spacing w:line="305" w:lineRule="auto"/>
              <w:rPr>
                <w:rFonts w:ascii="Arial"/>
                <w:sz w:val="21"/>
              </w:rPr>
            </w:pPr>
            <w:r/>
          </w:p>
          <w:p>
            <w:pPr>
              <w:pStyle w:val="TableText"/>
              <w:ind w:left="117" w:right="123"/>
              <w:spacing w:before="58" w:line="276" w:lineRule="auto"/>
              <w:rPr/>
            </w:pPr>
            <w:r>
              <w:rPr>
                <w:spacing w:val="-1"/>
              </w:rPr>
              <w:t>组建综合行</w:t>
            </w:r>
            <w:r>
              <w:rPr>
                <w:spacing w:val="-1"/>
              </w:rPr>
              <w:t>政执法机构</w:t>
            </w:r>
          </w:p>
        </w:tc>
        <w:tc>
          <w:tcPr>
            <w:tcW w:w="5665" w:type="dxa"/>
            <w:vAlign w:val="top"/>
          </w:tcPr>
          <w:p>
            <w:pPr>
              <w:pStyle w:val="TableText"/>
              <w:ind w:left="102" w:right="102" w:firstLine="1"/>
              <w:spacing w:before="86" w:line="243" w:lineRule="auto"/>
              <w:jc w:val="both"/>
              <w:rPr/>
            </w:pPr>
            <w:r>
              <w:rPr/>
              <w:t>2</w:t>
            </w:r>
            <w:r>
              <w:rPr>
                <w:spacing w:val="-39"/>
              </w:rPr>
              <w:t xml:space="preserve"> </w:t>
            </w:r>
            <w:r>
              <w:rPr/>
              <w:t>月28 日前，学习借鉴银川市、吴忠市、中宁县开展跨领</w:t>
            </w:r>
            <w:r>
              <w:rPr>
                <w:spacing w:val="-1"/>
              </w:rPr>
              <w:t>域跨部门综</w:t>
            </w:r>
            <w:r>
              <w:rPr>
                <w:spacing w:val="1"/>
              </w:rPr>
              <w:t>合执法改革试点经验做法，统筹设计行政区域内乡镇综合行政执法模</w:t>
            </w:r>
            <w:r>
              <w:rPr>
                <w:spacing w:val="-4"/>
              </w:rPr>
              <w:t>式，制定《泾源县乡镇综合行政执法实施意见》，指</w:t>
            </w:r>
            <w:r>
              <w:rPr>
                <w:spacing w:val="-5"/>
              </w:rPr>
              <w:t>导乡镇按照有关法</w:t>
            </w:r>
            <w:r>
              <w:rPr>
                <w:spacing w:val="-1"/>
              </w:rPr>
              <w:t>律规定相对集中行使行政处罚权。</w:t>
            </w:r>
          </w:p>
        </w:tc>
        <w:tc>
          <w:tcPr>
            <w:tcW w:w="3050" w:type="dxa"/>
            <w:vAlign w:val="top"/>
            <w:vMerge w:val="restart"/>
            <w:tcBorders>
              <w:bottom w:val="nil"/>
            </w:tcBorders>
          </w:tcPr>
          <w:p>
            <w:pPr>
              <w:spacing w:line="448" w:lineRule="auto"/>
              <w:rPr>
                <w:rFonts w:ascii="Arial"/>
                <w:sz w:val="21"/>
              </w:rPr>
            </w:pPr>
            <w:r/>
          </w:p>
          <w:p>
            <w:pPr>
              <w:pStyle w:val="TableText"/>
              <w:ind w:left="107" w:right="102" w:firstLine="15"/>
              <w:spacing w:before="59" w:line="231" w:lineRule="auto"/>
              <w:rPr/>
            </w:pPr>
            <w:r>
              <w:rPr>
                <w:spacing w:val="-4"/>
              </w:rPr>
              <w:t>1.推动执法关口前移，执法力量和执</w:t>
            </w:r>
            <w:r>
              <w:rPr>
                <w:spacing w:val="-1"/>
              </w:rPr>
              <w:t>法资源下沉。</w:t>
            </w:r>
          </w:p>
          <w:p>
            <w:pPr>
              <w:pStyle w:val="TableText"/>
              <w:ind w:left="105" w:right="99" w:firstLine="2"/>
              <w:spacing w:before="29" w:line="236" w:lineRule="auto"/>
              <w:rPr/>
            </w:pPr>
            <w:r>
              <w:rPr>
                <w:spacing w:val="-13"/>
              </w:rPr>
              <w:t>2.在基层实行综合执法，着力构建“统</w:t>
            </w:r>
            <w:r>
              <w:rPr>
                <w:spacing w:val="-3"/>
              </w:rPr>
              <w:t>筹城乡、专综结合、全域覆盖”的综</w:t>
            </w:r>
            <w:r>
              <w:rPr>
                <w:spacing w:val="-1"/>
              </w:rPr>
              <w:t>合行政执法机制。</w:t>
            </w:r>
          </w:p>
          <w:p>
            <w:pPr>
              <w:pStyle w:val="TableText"/>
              <w:ind w:left="111"/>
              <w:spacing w:before="29" w:line="241" w:lineRule="exact"/>
              <w:rPr/>
            </w:pPr>
            <w:r>
              <w:rPr>
                <w:spacing w:val="-4"/>
                <w:position w:val="1"/>
              </w:rPr>
              <w:t>3.逐步在基层实现一支队伍管执法。</w:t>
            </w:r>
          </w:p>
        </w:tc>
        <w:tc>
          <w:tcPr>
            <w:tcW w:w="979" w:type="dxa"/>
            <w:vAlign w:val="top"/>
          </w:tcPr>
          <w:p>
            <w:pPr>
              <w:spacing w:line="388" w:lineRule="auto"/>
              <w:rPr>
                <w:rFonts w:ascii="Arial"/>
                <w:sz w:val="21"/>
              </w:rPr>
            </w:pPr>
            <w:r/>
          </w:p>
          <w:p>
            <w:pPr>
              <w:pStyle w:val="TableText"/>
              <w:ind w:left="218"/>
              <w:spacing w:before="58" w:line="211" w:lineRule="auto"/>
              <w:rPr/>
            </w:pPr>
            <w:r>
              <w:rPr>
                <w:spacing w:val="-1"/>
              </w:rPr>
              <w:t>贾国炜</w:t>
            </w:r>
          </w:p>
        </w:tc>
        <w:tc>
          <w:tcPr>
            <w:tcW w:w="1096" w:type="dxa"/>
            <w:vAlign w:val="top"/>
          </w:tcPr>
          <w:p>
            <w:pPr>
              <w:spacing w:line="393" w:lineRule="auto"/>
              <w:rPr>
                <w:rFonts w:ascii="Arial"/>
                <w:sz w:val="21"/>
              </w:rPr>
            </w:pPr>
            <w:r/>
          </w:p>
          <w:p>
            <w:pPr>
              <w:pStyle w:val="TableText"/>
              <w:ind w:left="190"/>
              <w:spacing w:before="58" w:line="204" w:lineRule="auto"/>
              <w:rPr/>
            </w:pPr>
            <w:r>
              <w:rPr>
                <w:spacing w:val="-2"/>
              </w:rPr>
              <w:t>县司法局</w:t>
            </w:r>
          </w:p>
        </w:tc>
        <w:tc>
          <w:tcPr>
            <w:tcW w:w="1383" w:type="dxa"/>
            <w:vAlign w:val="top"/>
            <w:vMerge w:val="restart"/>
            <w:tcBorders>
              <w:bottom w:val="nil"/>
            </w:tcBorders>
          </w:tcPr>
          <w:p>
            <w:pPr>
              <w:pStyle w:val="TableText"/>
              <w:ind w:left="112"/>
              <w:spacing w:before="14" w:line="211" w:lineRule="auto"/>
              <w:rPr/>
            </w:pPr>
            <w:r>
              <w:rPr>
                <w:spacing w:val="-1"/>
              </w:rPr>
              <w:t>县委政法委、</w:t>
            </w:r>
          </w:p>
          <w:p>
            <w:pPr>
              <w:pStyle w:val="TableText"/>
              <w:ind w:left="112" w:right="185" w:firstLine="33"/>
              <w:spacing w:before="12" w:line="226" w:lineRule="auto"/>
              <w:rPr/>
            </w:pPr>
            <w:r>
              <w:rPr>
                <w:spacing w:val="-7"/>
              </w:rPr>
              <w:t>自然资源局、</w:t>
            </w:r>
            <w:r>
              <w:rPr>
                <w:spacing w:val="-1"/>
              </w:rPr>
              <w:t>市生态环境局</w:t>
            </w:r>
            <w:r>
              <w:rPr>
                <w:spacing w:val="-1"/>
              </w:rPr>
              <w:t>泾源分局、住</w:t>
            </w:r>
            <w:r>
              <w:rPr>
                <w:spacing w:val="-1"/>
              </w:rPr>
              <w:t>房城乡建设</w:t>
            </w:r>
          </w:p>
          <w:p>
            <w:pPr>
              <w:pStyle w:val="TableText"/>
              <w:ind w:left="111" w:right="185"/>
              <w:spacing w:before="1" w:line="225" w:lineRule="auto"/>
              <w:rPr/>
            </w:pPr>
            <w:r>
              <w:rPr>
                <w:spacing w:val="-1"/>
              </w:rPr>
              <w:t>局、交通运输</w:t>
            </w:r>
            <w:r>
              <w:rPr>
                <w:spacing w:val="-1"/>
              </w:rPr>
              <w:t>局、农业农村</w:t>
            </w:r>
            <w:r>
              <w:rPr>
                <w:spacing w:val="-1"/>
              </w:rPr>
              <w:t>局、市场监管</w:t>
            </w:r>
            <w:r>
              <w:rPr>
                <w:spacing w:val="-1"/>
              </w:rPr>
              <w:t>局、应急管理</w:t>
            </w:r>
            <w:r>
              <w:rPr>
                <w:spacing w:val="-1"/>
              </w:rPr>
              <w:t>局等相关部</w:t>
            </w:r>
          </w:p>
          <w:p>
            <w:pPr>
              <w:pStyle w:val="TableText"/>
              <w:ind w:left="127"/>
              <w:spacing w:line="204" w:lineRule="auto"/>
              <w:rPr/>
            </w:pPr>
            <w:r>
              <w:rPr>
                <w:spacing w:val="-5"/>
              </w:rPr>
              <w:t>门，各乡镇</w:t>
            </w:r>
          </w:p>
        </w:tc>
      </w:tr>
      <w:tr>
        <w:trPr>
          <w:trHeight w:val="1316" w:hRule="atLeast"/>
        </w:trPr>
        <w:tc>
          <w:tcPr>
            <w:tcW w:w="556" w:type="dxa"/>
            <w:vAlign w:val="top"/>
            <w:vMerge w:val="continue"/>
            <w:tcBorders>
              <w:top w:val="nil"/>
            </w:tcBorders>
          </w:tcPr>
          <w:p>
            <w:pPr>
              <w:rPr>
                <w:rFonts w:ascii="Arial"/>
                <w:sz w:val="21"/>
              </w:rPr>
            </w:pPr>
            <w:r/>
          </w:p>
        </w:tc>
        <w:tc>
          <w:tcPr>
            <w:tcW w:w="1147" w:type="dxa"/>
            <w:vAlign w:val="top"/>
            <w:vMerge w:val="continue"/>
            <w:tcBorders>
              <w:top w:val="nil"/>
            </w:tcBorders>
          </w:tcPr>
          <w:p>
            <w:pPr>
              <w:rPr>
                <w:rFonts w:ascii="Arial"/>
                <w:sz w:val="21"/>
              </w:rPr>
            </w:pPr>
            <w:r/>
          </w:p>
        </w:tc>
        <w:tc>
          <w:tcPr>
            <w:tcW w:w="5665" w:type="dxa"/>
            <w:vAlign w:val="top"/>
          </w:tcPr>
          <w:p>
            <w:pPr>
              <w:spacing w:line="255" w:lineRule="auto"/>
              <w:rPr>
                <w:rFonts w:ascii="Arial"/>
                <w:sz w:val="21"/>
              </w:rPr>
            </w:pPr>
            <w:r/>
          </w:p>
          <w:p>
            <w:pPr>
              <w:pStyle w:val="TableText"/>
              <w:ind w:left="105" w:right="102" w:hanging="4"/>
              <w:spacing w:before="58" w:line="245" w:lineRule="auto"/>
              <w:jc w:val="both"/>
              <w:rPr/>
            </w:pPr>
            <w:r>
              <w:rPr>
                <w:spacing w:val="-2"/>
              </w:rPr>
              <w:t>4</w:t>
            </w:r>
            <w:r>
              <w:rPr>
                <w:spacing w:val="-38"/>
              </w:rPr>
              <w:t xml:space="preserve"> </w:t>
            </w:r>
            <w:r>
              <w:rPr>
                <w:spacing w:val="-2"/>
              </w:rPr>
              <w:t>月</w:t>
            </w:r>
            <w:r>
              <w:rPr>
                <w:spacing w:val="-25"/>
              </w:rPr>
              <w:t xml:space="preserve"> </w:t>
            </w:r>
            <w:r>
              <w:rPr>
                <w:spacing w:val="-2"/>
              </w:rPr>
              <w:t>10 日前，整合现有站所、队执法力量和资源，组建乡镇</w:t>
            </w:r>
            <w:r>
              <w:rPr>
                <w:spacing w:val="-3"/>
              </w:rPr>
              <w:t>综合执法</w:t>
            </w:r>
            <w:r>
              <w:rPr>
                <w:spacing w:val="1"/>
              </w:rPr>
              <w:t>办公室，与各领域综合行政执法体制改革相衔接，推进行政执法权限</w:t>
            </w:r>
            <w:r>
              <w:rPr>
                <w:spacing w:val="-1"/>
              </w:rPr>
              <w:t>和力量向基层延伸和下沉。</w:t>
            </w:r>
          </w:p>
        </w:tc>
        <w:tc>
          <w:tcPr>
            <w:tcW w:w="3050" w:type="dxa"/>
            <w:vAlign w:val="top"/>
            <w:vMerge w:val="continue"/>
            <w:tcBorders>
              <w:top w:val="nil"/>
            </w:tcBorders>
          </w:tcPr>
          <w:p>
            <w:pPr>
              <w:rPr>
                <w:rFonts w:ascii="Arial"/>
                <w:sz w:val="21"/>
              </w:rPr>
            </w:pPr>
            <w:r/>
          </w:p>
        </w:tc>
        <w:tc>
          <w:tcPr>
            <w:tcW w:w="979" w:type="dxa"/>
            <w:vAlign w:val="top"/>
          </w:tcPr>
          <w:p>
            <w:pPr>
              <w:spacing w:line="249" w:lineRule="auto"/>
              <w:rPr>
                <w:rFonts w:ascii="Arial"/>
                <w:sz w:val="21"/>
              </w:rPr>
            </w:pPr>
            <w:r/>
          </w:p>
          <w:p>
            <w:pPr>
              <w:spacing w:line="250" w:lineRule="auto"/>
              <w:rPr>
                <w:rFonts w:ascii="Arial"/>
                <w:sz w:val="21"/>
              </w:rPr>
            </w:pPr>
            <w:r/>
          </w:p>
          <w:p>
            <w:pPr>
              <w:pStyle w:val="TableText"/>
              <w:ind w:left="223"/>
              <w:spacing w:before="59" w:line="209" w:lineRule="auto"/>
              <w:rPr/>
            </w:pPr>
            <w:r>
              <w:rPr>
                <w:spacing w:val="-3"/>
              </w:rPr>
              <w:t>王淑玲</w:t>
            </w:r>
          </w:p>
        </w:tc>
        <w:tc>
          <w:tcPr>
            <w:tcW w:w="1096" w:type="dxa"/>
            <w:vAlign w:val="top"/>
          </w:tcPr>
          <w:p>
            <w:pPr>
              <w:spacing w:line="249" w:lineRule="auto"/>
              <w:rPr>
                <w:rFonts w:ascii="Arial"/>
                <w:sz w:val="21"/>
              </w:rPr>
            </w:pPr>
            <w:r/>
          </w:p>
          <w:p>
            <w:pPr>
              <w:spacing w:line="250" w:lineRule="auto"/>
              <w:rPr>
                <w:rFonts w:ascii="Arial"/>
                <w:sz w:val="21"/>
              </w:rPr>
            </w:pPr>
            <w:r/>
          </w:p>
          <w:p>
            <w:pPr>
              <w:pStyle w:val="TableText"/>
              <w:ind w:left="190"/>
              <w:spacing w:before="58" w:line="208" w:lineRule="auto"/>
              <w:rPr/>
            </w:pPr>
            <w:r>
              <w:rPr>
                <w:spacing w:val="-2"/>
              </w:rPr>
              <w:t>县委编办</w:t>
            </w:r>
          </w:p>
        </w:tc>
        <w:tc>
          <w:tcPr>
            <w:tcW w:w="1383" w:type="dxa"/>
            <w:vAlign w:val="top"/>
            <w:vMerge w:val="continue"/>
            <w:tcBorders>
              <w:top w:val="nil"/>
            </w:tcBorders>
          </w:tcPr>
          <w:p>
            <w:pPr>
              <w:rPr>
                <w:rFonts w:ascii="Arial"/>
                <w:sz w:val="21"/>
              </w:rPr>
            </w:pPr>
            <w:r/>
          </w:p>
        </w:tc>
      </w:tr>
      <w:tr>
        <w:trPr>
          <w:trHeight w:val="2300" w:hRule="atLeast"/>
        </w:trPr>
        <w:tc>
          <w:tcPr>
            <w:tcW w:w="556"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231"/>
              <w:spacing w:before="58" w:line="261" w:lineRule="exact"/>
              <w:rPr/>
            </w:pPr>
            <w:r>
              <w:rPr>
                <w:position w:val="2"/>
              </w:rPr>
              <w:t>7</w:t>
            </w:r>
          </w:p>
        </w:tc>
        <w:tc>
          <w:tcPr>
            <w:tcW w:w="1147" w:type="dxa"/>
            <w:vAlign w:val="top"/>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297" w:right="123" w:hanging="180"/>
              <w:spacing w:before="58" w:line="275" w:lineRule="auto"/>
              <w:rPr/>
            </w:pPr>
            <w:r>
              <w:rPr>
                <w:spacing w:val="-1"/>
              </w:rPr>
              <w:t>完善指挥协</w:t>
            </w:r>
            <w:r>
              <w:rPr>
                <w:spacing w:val="-2"/>
              </w:rPr>
              <w:t>调机制</w:t>
            </w:r>
          </w:p>
        </w:tc>
        <w:tc>
          <w:tcPr>
            <w:tcW w:w="5665" w:type="dxa"/>
            <w:vAlign w:val="top"/>
          </w:tcPr>
          <w:p>
            <w:pPr>
              <w:pStyle w:val="TableText"/>
              <w:ind w:left="103" w:right="114" w:firstLine="3"/>
              <w:spacing w:before="209" w:line="237" w:lineRule="auto"/>
              <w:rPr/>
            </w:pPr>
            <w:r>
              <w:rPr>
                <w:spacing w:val="-3"/>
              </w:rPr>
              <w:t>3</w:t>
            </w:r>
            <w:r>
              <w:rPr>
                <w:spacing w:val="-25"/>
              </w:rPr>
              <w:t xml:space="preserve"> </w:t>
            </w:r>
            <w:r>
              <w:rPr>
                <w:spacing w:val="-3"/>
              </w:rPr>
              <w:t>月</w:t>
            </w:r>
            <w:r>
              <w:rPr>
                <w:spacing w:val="-27"/>
              </w:rPr>
              <w:t xml:space="preserve"> </w:t>
            </w:r>
            <w:r>
              <w:rPr>
                <w:spacing w:val="-3"/>
              </w:rPr>
              <w:t>10 日前，强化乡镇的统一指挥和统筹协调职责，司法局负责研究</w:t>
            </w:r>
            <w:r>
              <w:rPr>
                <w:spacing w:val="-1"/>
              </w:rPr>
              <w:t>制定派驻机构纳入乡镇统一指挥协调工作机制的意见。</w:t>
            </w:r>
          </w:p>
          <w:p>
            <w:pPr>
              <w:pStyle w:val="TableText"/>
              <w:ind w:left="103" w:right="114" w:firstLine="3"/>
              <w:spacing w:before="18" w:line="237" w:lineRule="auto"/>
              <w:rPr/>
            </w:pPr>
            <w:r>
              <w:rPr>
                <w:spacing w:val="-1"/>
              </w:rPr>
              <w:t>3</w:t>
            </w:r>
            <w:r>
              <w:rPr>
                <w:spacing w:val="-26"/>
              </w:rPr>
              <w:t xml:space="preserve"> </w:t>
            </w:r>
            <w:r>
              <w:rPr>
                <w:spacing w:val="-1"/>
              </w:rPr>
              <w:t>月20 日前，司法局负责制定《乡镇综合执法事项清单》，明确执法</w:t>
            </w:r>
            <w:r>
              <w:rPr>
                <w:spacing w:val="-1"/>
              </w:rPr>
              <w:t>事项的范围、内容。</w:t>
            </w:r>
          </w:p>
          <w:p>
            <w:pPr>
              <w:pStyle w:val="TableText"/>
              <w:ind w:left="103" w:right="114" w:firstLine="3"/>
              <w:spacing w:before="17" w:line="238" w:lineRule="auto"/>
              <w:rPr/>
            </w:pPr>
            <w:r>
              <w:rPr>
                <w:spacing w:val="-1"/>
              </w:rPr>
              <w:t>3</w:t>
            </w:r>
            <w:r>
              <w:rPr>
                <w:spacing w:val="-26"/>
              </w:rPr>
              <w:t xml:space="preserve"> </w:t>
            </w:r>
            <w:r>
              <w:rPr>
                <w:spacing w:val="-1"/>
              </w:rPr>
              <w:t>月25 日前，编办和司法局分别负责组织编制《乡镇权责清单》，进</w:t>
            </w:r>
            <w:r>
              <w:rPr>
                <w:spacing w:val="-1"/>
              </w:rPr>
              <w:t>一步厘清县乡权责边界，压实责任。</w:t>
            </w:r>
          </w:p>
          <w:p>
            <w:pPr>
              <w:pStyle w:val="TableText"/>
              <w:ind w:left="103" w:right="114" w:hanging="2"/>
              <w:spacing w:before="15" w:line="238" w:lineRule="auto"/>
              <w:rPr/>
            </w:pPr>
            <w:r>
              <w:rPr>
                <w:spacing w:val="-2"/>
              </w:rPr>
              <w:t>4</w:t>
            </w:r>
            <w:r>
              <w:rPr>
                <w:spacing w:val="-39"/>
              </w:rPr>
              <w:t xml:space="preserve"> </w:t>
            </w:r>
            <w:r>
              <w:rPr>
                <w:spacing w:val="-2"/>
              </w:rPr>
              <w:t>月</w:t>
            </w:r>
            <w:r>
              <w:rPr>
                <w:spacing w:val="-27"/>
              </w:rPr>
              <w:t xml:space="preserve"> </w:t>
            </w:r>
            <w:r>
              <w:rPr>
                <w:spacing w:val="-2"/>
              </w:rPr>
              <w:t>10 日前，司法局负责建立健全乡镇</w:t>
            </w:r>
            <w:r>
              <w:rPr>
                <w:spacing w:val="-3"/>
              </w:rPr>
              <w:t>与县级部门行政执法案件移送</w:t>
            </w:r>
            <w:r>
              <w:rPr/>
              <w:t>机制及协调机制，按照各自行政执法权限有序开</w:t>
            </w:r>
            <w:r>
              <w:rPr>
                <w:spacing w:val="-1"/>
              </w:rPr>
              <w:t>展执法活动。</w:t>
            </w:r>
          </w:p>
        </w:tc>
        <w:tc>
          <w:tcPr>
            <w:tcW w:w="3050" w:type="dxa"/>
            <w:vAlign w:val="top"/>
          </w:tcPr>
          <w:p>
            <w:pPr>
              <w:pStyle w:val="TableText"/>
              <w:ind w:left="108" w:right="102" w:firstLine="14"/>
              <w:spacing w:before="88" w:line="230" w:lineRule="auto"/>
              <w:rPr/>
            </w:pPr>
            <w:r>
              <w:rPr>
                <w:spacing w:val="-4"/>
              </w:rPr>
              <w:t>1.严格落实属地管理原则，规范派驻</w:t>
            </w:r>
            <w:r>
              <w:rPr>
                <w:spacing w:val="-1"/>
              </w:rPr>
              <w:t>机构设置。</w:t>
            </w:r>
          </w:p>
          <w:p>
            <w:pPr>
              <w:pStyle w:val="TableText"/>
              <w:ind w:left="106" w:right="99" w:firstLine="1"/>
              <w:spacing w:before="32" w:line="238" w:lineRule="auto"/>
              <w:rPr/>
            </w:pPr>
            <w:r>
              <w:rPr>
                <w:spacing w:val="-4"/>
              </w:rPr>
              <w:t>2.乡镇与行政执法部门按照各自职</w:t>
            </w:r>
            <w:r>
              <w:rPr>
                <w:spacing w:val="3"/>
              </w:rPr>
              <w:t xml:space="preserve"> </w:t>
            </w:r>
            <w:r>
              <w:rPr>
                <w:spacing w:val="-3"/>
              </w:rPr>
              <w:t>责，做到及时查处行政违法案件，形</w:t>
            </w:r>
            <w:r>
              <w:rPr>
                <w:spacing w:val="-3"/>
              </w:rPr>
              <w:t>成权责明晰、协调配合、高效运转的</w:t>
            </w:r>
            <w:r>
              <w:rPr>
                <w:spacing w:val="-1"/>
              </w:rPr>
              <w:t>行政执法机制。</w:t>
            </w:r>
          </w:p>
          <w:p>
            <w:pPr>
              <w:pStyle w:val="TableText"/>
              <w:ind w:left="108" w:right="99" w:firstLine="2"/>
              <w:spacing w:before="31" w:line="236" w:lineRule="auto"/>
              <w:rPr/>
            </w:pPr>
            <w:r>
              <w:rPr>
                <w:spacing w:val="-4"/>
              </w:rPr>
              <w:t>3.赋予乡镇党（工）委对派驻机构的</w:t>
            </w:r>
            <w:r>
              <w:rPr>
                <w:spacing w:val="-4"/>
              </w:rPr>
              <w:t>统一指挥权、干部管理考核权、主要</w:t>
            </w:r>
            <w:r>
              <w:rPr>
                <w:spacing w:val="-1"/>
              </w:rPr>
              <w:t>负责人任免建议权等。</w:t>
            </w:r>
          </w:p>
        </w:tc>
        <w:tc>
          <w:tcPr>
            <w:tcW w:w="979"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218"/>
              <w:spacing w:before="59" w:line="211" w:lineRule="auto"/>
              <w:rPr/>
            </w:pPr>
            <w:r>
              <w:rPr>
                <w:spacing w:val="-1"/>
              </w:rPr>
              <w:t>贾国炜</w:t>
            </w:r>
          </w:p>
        </w:tc>
        <w:tc>
          <w:tcPr>
            <w:tcW w:w="1096"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pStyle w:val="TableText"/>
              <w:ind w:left="190"/>
              <w:spacing w:before="59" w:line="204" w:lineRule="auto"/>
              <w:rPr/>
            </w:pPr>
            <w:r>
              <w:rPr>
                <w:spacing w:val="-2"/>
              </w:rPr>
              <w:t>县司法局</w:t>
            </w:r>
          </w:p>
        </w:tc>
        <w:tc>
          <w:tcPr>
            <w:tcW w:w="1383"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10"/>
              <w:spacing w:before="58" w:line="211" w:lineRule="auto"/>
              <w:rPr/>
            </w:pPr>
            <w:r>
              <w:rPr>
                <w:spacing w:val="-2"/>
              </w:rPr>
              <w:t>各乡镇</w:t>
            </w:r>
          </w:p>
        </w:tc>
      </w:tr>
    </w:tbl>
    <w:p>
      <w:pPr>
        <w:spacing w:line="240" w:lineRule="exact"/>
        <w:rPr>
          <w:rFonts w:ascii="Arial"/>
          <w:sz w:val="20"/>
        </w:rPr>
      </w:pPr>
      <w:r/>
    </w:p>
    <w:p>
      <w:pPr>
        <w:spacing w:line="240" w:lineRule="exact"/>
        <w:sectPr>
          <w:headerReference w:type="default" r:id="rId421"/>
          <w:footerReference w:type="default" r:id="rId422"/>
          <w:pgSz w:w="16839" w:h="11906"/>
          <w:pgMar w:top="1792" w:right="1485" w:bottom="1672" w:left="1465" w:header="1428" w:footer="1277" w:gutter="0"/>
        </w:sectPr>
        <w:rPr>
          <w:rFonts w:ascii="Arial" w:hAnsi="Arial" w:eastAsia="Arial" w:cs="Arial"/>
          <w:sz w:val="20"/>
          <w:szCs w:val="20"/>
        </w:rPr>
      </w:pPr>
    </w:p>
    <w:p>
      <w:pPr>
        <w:spacing w:line="177" w:lineRule="exact"/>
        <w:rPr/>
      </w:pPr>
      <w:r>
        <w:drawing>
          <wp:anchor distT="0" distB="0" distL="0" distR="0" simplePos="0" relativeHeight="251961344" behindDoc="0" locked="0" layoutInCell="0" allowOverlap="1">
            <wp:simplePos x="0" y="0"/>
            <wp:positionH relativeFrom="page">
              <wp:posOffset>1008380</wp:posOffset>
            </wp:positionH>
            <wp:positionV relativeFrom="page">
              <wp:posOffset>1147445</wp:posOffset>
            </wp:positionV>
            <wp:extent cx="8712200" cy="7620"/>
            <wp:effectExtent l="0" t="0" r="0" b="0"/>
            <wp:wrapNone/>
            <wp:docPr id="848" name="IM 848"/>
            <wp:cNvGraphicFramePr/>
            <a:graphic>
              <a:graphicData uri="http://schemas.openxmlformats.org/drawingml/2006/picture">
                <pic:pic>
                  <pic:nvPicPr>
                    <pic:cNvPr id="848" name="IM 848"/>
                    <pic:cNvPicPr/>
                  </pic:nvPicPr>
                  <pic:blipFill>
                    <a:blip r:embed="rId426"/>
                    <a:stretch>
                      <a:fillRect/>
                    </a:stretch>
                  </pic:blipFill>
                  <pic:spPr>
                    <a:xfrm rot="0">
                      <a:off x="0" y="0"/>
                      <a:ext cx="8712200" cy="7620"/>
                    </a:xfrm>
                    <a:prstGeom prst="rect">
                      <a:avLst/>
                    </a:prstGeom>
                  </pic:spPr>
                </pic:pic>
              </a:graphicData>
            </a:graphic>
          </wp:anchor>
        </w:drawing>
      </w:r>
      <w:r/>
    </w:p>
    <w:tbl>
      <w:tblPr>
        <w:tblStyle w:val="TableNormal"/>
        <w:tblW w:w="13896"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6"/>
        <w:gridCol w:w="1147"/>
        <w:gridCol w:w="5665"/>
        <w:gridCol w:w="3050"/>
        <w:gridCol w:w="979"/>
        <w:gridCol w:w="1096"/>
        <w:gridCol w:w="1403"/>
      </w:tblGrid>
      <w:tr>
        <w:trPr>
          <w:trHeight w:val="583" w:hRule="atLeast"/>
        </w:trPr>
        <w:tc>
          <w:tcPr>
            <w:tcW w:w="556" w:type="dxa"/>
            <w:vAlign w:val="top"/>
          </w:tcPr>
          <w:p>
            <w:pPr>
              <w:pStyle w:val="TableText"/>
              <w:ind w:left="117"/>
              <w:spacing w:before="190" w:line="214" w:lineRule="auto"/>
              <w:rPr/>
            </w:pPr>
            <w:r>
              <w:rPr>
                <w:b/>
                <w:bCs/>
                <w:spacing w:val="-4"/>
              </w:rPr>
              <w:t>序号</w:t>
            </w:r>
          </w:p>
        </w:tc>
        <w:tc>
          <w:tcPr>
            <w:tcW w:w="1147" w:type="dxa"/>
            <w:vAlign w:val="top"/>
          </w:tcPr>
          <w:p>
            <w:pPr>
              <w:pStyle w:val="TableText"/>
              <w:ind w:left="239"/>
              <w:spacing w:before="190" w:line="213" w:lineRule="auto"/>
              <w:rPr/>
            </w:pPr>
            <w:r>
              <w:rPr>
                <w:b/>
                <w:bCs/>
                <w:spacing w:val="-10"/>
              </w:rPr>
              <w:t>主要任务</w:t>
            </w:r>
          </w:p>
        </w:tc>
        <w:tc>
          <w:tcPr>
            <w:tcW w:w="5665" w:type="dxa"/>
            <w:vAlign w:val="top"/>
          </w:tcPr>
          <w:p>
            <w:pPr>
              <w:pStyle w:val="TableText"/>
              <w:ind w:left="2495"/>
              <w:spacing w:before="192" w:line="211" w:lineRule="auto"/>
              <w:rPr/>
            </w:pPr>
            <w:r>
              <w:rPr>
                <w:b/>
                <w:bCs/>
                <w:spacing w:val="-9"/>
              </w:rPr>
              <w:t>推进措施</w:t>
            </w:r>
          </w:p>
        </w:tc>
        <w:tc>
          <w:tcPr>
            <w:tcW w:w="3050" w:type="dxa"/>
            <w:vAlign w:val="top"/>
          </w:tcPr>
          <w:p>
            <w:pPr>
              <w:pStyle w:val="TableText"/>
              <w:ind w:left="1192"/>
              <w:spacing w:before="191" w:line="211" w:lineRule="auto"/>
              <w:rPr/>
            </w:pPr>
            <w:r>
              <w:rPr>
                <w:b/>
                <w:bCs/>
                <w:spacing w:val="-10"/>
              </w:rPr>
              <w:t>预期目标</w:t>
            </w:r>
          </w:p>
        </w:tc>
        <w:tc>
          <w:tcPr>
            <w:tcW w:w="979" w:type="dxa"/>
            <w:vAlign w:val="top"/>
          </w:tcPr>
          <w:p>
            <w:pPr>
              <w:pStyle w:val="TableText"/>
              <w:ind w:left="177"/>
              <w:spacing w:before="190" w:line="213" w:lineRule="auto"/>
              <w:rPr/>
            </w:pPr>
            <w:r>
              <w:rPr>
                <w:b/>
                <w:bCs/>
                <w:spacing w:val="-15"/>
              </w:rPr>
              <w:t>责任领导</w:t>
            </w:r>
          </w:p>
        </w:tc>
        <w:tc>
          <w:tcPr>
            <w:tcW w:w="1096" w:type="dxa"/>
            <w:vAlign w:val="top"/>
          </w:tcPr>
          <w:p>
            <w:pPr>
              <w:pStyle w:val="TableText"/>
              <w:ind w:left="236"/>
              <w:spacing w:before="191" w:line="212" w:lineRule="auto"/>
              <w:rPr/>
            </w:pPr>
            <w:r>
              <w:rPr>
                <w:b/>
                <w:bCs/>
                <w:spacing w:val="-15"/>
              </w:rPr>
              <w:t>牵头单位</w:t>
            </w:r>
          </w:p>
        </w:tc>
        <w:tc>
          <w:tcPr>
            <w:tcW w:w="1403" w:type="dxa"/>
            <w:vAlign w:val="top"/>
          </w:tcPr>
          <w:p>
            <w:pPr>
              <w:pStyle w:val="TableText"/>
              <w:ind w:left="358"/>
              <w:spacing w:before="190" w:line="214" w:lineRule="auto"/>
              <w:rPr/>
            </w:pPr>
            <w:r>
              <w:rPr>
                <w:b/>
                <w:bCs/>
                <w:spacing w:val="-9"/>
              </w:rPr>
              <w:t>实施单位</w:t>
            </w:r>
          </w:p>
        </w:tc>
      </w:tr>
      <w:tr>
        <w:trPr>
          <w:trHeight w:val="1983" w:hRule="atLeast"/>
        </w:trPr>
        <w:tc>
          <w:tcPr>
            <w:tcW w:w="556" w:type="dxa"/>
            <w:vAlign w:val="top"/>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235"/>
              <w:spacing w:before="58" w:line="260" w:lineRule="exact"/>
              <w:rPr/>
            </w:pPr>
            <w:r>
              <w:rPr>
                <w:position w:val="2"/>
              </w:rPr>
              <w:t>8</w:t>
            </w:r>
          </w:p>
        </w:tc>
        <w:tc>
          <w:tcPr>
            <w:tcW w:w="1147" w:type="dxa"/>
            <w:vAlign w:val="top"/>
          </w:tcPr>
          <w:p>
            <w:pPr>
              <w:spacing w:line="279" w:lineRule="auto"/>
              <w:rPr>
                <w:rFonts w:ascii="Arial"/>
                <w:sz w:val="21"/>
              </w:rPr>
            </w:pPr>
            <w:r/>
          </w:p>
          <w:p>
            <w:pPr>
              <w:spacing w:line="280" w:lineRule="auto"/>
              <w:rPr>
                <w:rFonts w:ascii="Arial"/>
                <w:sz w:val="21"/>
              </w:rPr>
            </w:pPr>
            <w:r/>
          </w:p>
          <w:p>
            <w:pPr>
              <w:pStyle w:val="TableText"/>
              <w:ind w:left="211"/>
              <w:spacing w:before="59" w:line="210" w:lineRule="auto"/>
              <w:rPr/>
            </w:pPr>
            <w:r>
              <w:rPr>
                <w:spacing w:val="-2"/>
              </w:rPr>
              <w:t>提升行政</w:t>
            </w:r>
          </w:p>
          <w:p>
            <w:pPr>
              <w:pStyle w:val="TableText"/>
              <w:ind w:left="209"/>
              <w:spacing w:before="64" w:line="210" w:lineRule="auto"/>
              <w:rPr/>
            </w:pPr>
            <w:r>
              <w:rPr>
                <w:spacing w:val="-2"/>
              </w:rPr>
              <w:t>执法能力</w:t>
            </w:r>
          </w:p>
          <w:p>
            <w:pPr>
              <w:pStyle w:val="TableText"/>
              <w:ind w:left="303"/>
              <w:spacing w:before="64" w:line="211" w:lineRule="auto"/>
              <w:rPr/>
            </w:pPr>
            <w:r>
              <w:rPr>
                <w:spacing w:val="-4"/>
              </w:rPr>
              <w:t>和水平</w:t>
            </w:r>
          </w:p>
        </w:tc>
        <w:tc>
          <w:tcPr>
            <w:tcW w:w="5665" w:type="dxa"/>
            <w:vAlign w:val="top"/>
          </w:tcPr>
          <w:p>
            <w:pPr>
              <w:spacing w:line="345" w:lineRule="auto"/>
              <w:rPr>
                <w:rFonts w:ascii="Arial"/>
                <w:sz w:val="21"/>
              </w:rPr>
            </w:pPr>
            <w:r/>
          </w:p>
          <w:p>
            <w:pPr>
              <w:pStyle w:val="TableText"/>
              <w:ind w:left="102" w:right="102" w:hanging="1"/>
              <w:spacing w:before="59" w:line="237" w:lineRule="auto"/>
              <w:rPr/>
            </w:pPr>
            <w:r>
              <w:rPr>
                <w:spacing w:val="-2"/>
              </w:rPr>
              <w:t>4</w:t>
            </w:r>
            <w:r>
              <w:rPr>
                <w:spacing w:val="-38"/>
              </w:rPr>
              <w:t xml:space="preserve"> </w:t>
            </w:r>
            <w:r>
              <w:rPr>
                <w:spacing w:val="-2"/>
              </w:rPr>
              <w:t>月</w:t>
            </w:r>
            <w:r>
              <w:rPr>
                <w:spacing w:val="-25"/>
              </w:rPr>
              <w:t xml:space="preserve"> </w:t>
            </w:r>
            <w:r>
              <w:rPr>
                <w:spacing w:val="-2"/>
              </w:rPr>
              <w:t>15 日前，组织对乡镇综合行政执法人员的业务指导培训</w:t>
            </w:r>
            <w:r>
              <w:rPr>
                <w:spacing w:val="-3"/>
              </w:rPr>
              <w:t>，规范执</w:t>
            </w:r>
            <w:r>
              <w:rPr>
                <w:spacing w:val="-1"/>
              </w:rPr>
              <w:t>法检查、受立案、调查、审查、决定等程序和行为。</w:t>
            </w:r>
          </w:p>
          <w:p>
            <w:pPr>
              <w:pStyle w:val="TableText"/>
              <w:ind w:left="102" w:right="48" w:hanging="1"/>
              <w:spacing w:before="17" w:line="238" w:lineRule="auto"/>
              <w:rPr/>
            </w:pPr>
            <w:r>
              <w:rPr>
                <w:spacing w:val="-4"/>
              </w:rPr>
              <w:t>4</w:t>
            </w:r>
            <w:r>
              <w:rPr>
                <w:spacing w:val="-34"/>
              </w:rPr>
              <w:t xml:space="preserve"> </w:t>
            </w:r>
            <w:r>
              <w:rPr>
                <w:spacing w:val="-4"/>
              </w:rPr>
              <w:t>月20 日前，严格落实权责清单、自由裁量基准、执法责任制等制度，</w:t>
            </w:r>
            <w:r>
              <w:rPr>
                <w:spacing w:val="-1"/>
              </w:rPr>
              <w:t>全面推行行政执法三项制度。</w:t>
            </w:r>
          </w:p>
          <w:p>
            <w:pPr>
              <w:pStyle w:val="TableText"/>
              <w:ind w:left="101"/>
              <w:spacing w:before="15" w:line="241" w:lineRule="exact"/>
              <w:rPr/>
            </w:pPr>
            <w:r>
              <w:rPr>
                <w:spacing w:val="-1"/>
                <w:position w:val="1"/>
              </w:rPr>
              <w:t>4</w:t>
            </w:r>
            <w:r>
              <w:rPr>
                <w:spacing w:val="-27"/>
                <w:position w:val="1"/>
              </w:rPr>
              <w:t xml:space="preserve"> </w:t>
            </w:r>
            <w:r>
              <w:rPr>
                <w:spacing w:val="-1"/>
                <w:position w:val="1"/>
              </w:rPr>
              <w:t>月30 日前，组织做好行政执法信息化平台推广应用。</w:t>
            </w:r>
          </w:p>
        </w:tc>
        <w:tc>
          <w:tcPr>
            <w:tcW w:w="3050" w:type="dxa"/>
            <w:vAlign w:val="top"/>
          </w:tcPr>
          <w:p>
            <w:pPr>
              <w:pStyle w:val="TableText"/>
              <w:ind w:left="106" w:right="104"/>
              <w:spacing w:before="171" w:line="246" w:lineRule="auto"/>
              <w:jc w:val="both"/>
              <w:rPr/>
            </w:pPr>
            <w:r>
              <w:rPr>
                <w:spacing w:val="5"/>
              </w:rPr>
              <w:t>行政执法三项制度全面推行</w:t>
            </w:r>
            <w:r>
              <w:rPr>
                <w:spacing w:val="-37"/>
              </w:rPr>
              <w:t xml:space="preserve"> </w:t>
            </w:r>
            <w:r>
              <w:rPr>
                <w:spacing w:val="5"/>
              </w:rPr>
              <w:t>，做到</w:t>
            </w:r>
            <w:r>
              <w:rPr>
                <w:spacing w:val="8"/>
              </w:rPr>
              <w:t>执法行为过程信息全程记载、执法</w:t>
            </w:r>
            <w:r>
              <w:rPr>
                <w:spacing w:val="8"/>
              </w:rPr>
              <w:t>全过程可追溯管理、重大执法决定</w:t>
            </w:r>
            <w:r>
              <w:rPr>
                <w:spacing w:val="6"/>
              </w:rPr>
              <w:t>法制审核全覆盖</w:t>
            </w:r>
            <w:r>
              <w:rPr>
                <w:spacing w:val="-52"/>
              </w:rPr>
              <w:t xml:space="preserve"> </w:t>
            </w:r>
            <w:r>
              <w:rPr>
                <w:spacing w:val="6"/>
              </w:rPr>
              <w:t>，实现执法信息公</w:t>
            </w:r>
            <w:r>
              <w:rPr>
                <w:spacing w:val="8"/>
              </w:rPr>
              <w:t>开透明、执法全过程留痕、执法决</w:t>
            </w:r>
            <w:r>
              <w:rPr>
                <w:spacing w:val="5"/>
              </w:rPr>
              <w:t>定合法有效</w:t>
            </w:r>
            <w:r>
              <w:rPr>
                <w:spacing w:val="-37"/>
              </w:rPr>
              <w:t xml:space="preserve"> </w:t>
            </w:r>
            <w:r>
              <w:rPr>
                <w:spacing w:val="5"/>
              </w:rPr>
              <w:t>，行政执法能力和水平</w:t>
            </w:r>
            <w:r>
              <w:rPr>
                <w:spacing w:val="2"/>
              </w:rPr>
              <w:t>整体大幅提升。</w:t>
            </w:r>
          </w:p>
        </w:tc>
        <w:tc>
          <w:tcPr>
            <w:tcW w:w="979" w:type="dxa"/>
            <w:vAlign w:val="top"/>
          </w:tcPr>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pStyle w:val="TableText"/>
              <w:ind w:left="218"/>
              <w:spacing w:before="59" w:line="211" w:lineRule="auto"/>
              <w:rPr/>
            </w:pPr>
            <w:r>
              <w:rPr>
                <w:spacing w:val="-1"/>
              </w:rPr>
              <w:t>贾国炜</w:t>
            </w:r>
          </w:p>
        </w:tc>
        <w:tc>
          <w:tcPr>
            <w:tcW w:w="1096" w:type="dxa"/>
            <w:vAlign w:val="top"/>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190"/>
              <w:spacing w:before="58" w:line="204" w:lineRule="auto"/>
              <w:rPr/>
            </w:pPr>
            <w:r>
              <w:rPr>
                <w:spacing w:val="-2"/>
              </w:rPr>
              <w:t>县司法局</w:t>
            </w:r>
          </w:p>
        </w:tc>
        <w:tc>
          <w:tcPr>
            <w:tcW w:w="1403" w:type="dxa"/>
            <w:vAlign w:val="top"/>
          </w:tcPr>
          <w:p>
            <w:pPr>
              <w:pStyle w:val="TableText"/>
              <w:ind w:left="112" w:right="205" w:firstLine="33"/>
              <w:spacing w:before="9" w:line="226" w:lineRule="auto"/>
              <w:rPr/>
            </w:pPr>
            <w:r>
              <w:rPr>
                <w:spacing w:val="-7"/>
              </w:rPr>
              <w:t>自然资源局、</w:t>
            </w:r>
            <w:r>
              <w:rPr>
                <w:spacing w:val="-1"/>
              </w:rPr>
              <w:t>市生态环境局</w:t>
            </w:r>
            <w:r>
              <w:rPr>
                <w:spacing w:val="-1"/>
              </w:rPr>
              <w:t>泾源分局、住</w:t>
            </w:r>
            <w:r>
              <w:rPr>
                <w:spacing w:val="-1"/>
              </w:rPr>
              <w:t>房城乡建设</w:t>
            </w:r>
          </w:p>
          <w:p>
            <w:pPr>
              <w:pStyle w:val="TableText"/>
              <w:ind w:left="111" w:right="205"/>
              <w:spacing w:before="2" w:line="225" w:lineRule="auto"/>
              <w:rPr/>
            </w:pPr>
            <w:r>
              <w:rPr>
                <w:spacing w:val="-1"/>
              </w:rPr>
              <w:t>局、交通运输</w:t>
            </w:r>
            <w:r>
              <w:rPr>
                <w:spacing w:val="-1"/>
              </w:rPr>
              <w:t>局、农业农村</w:t>
            </w:r>
            <w:r>
              <w:rPr>
                <w:spacing w:val="-1"/>
              </w:rPr>
              <w:t>局、市场监管</w:t>
            </w:r>
            <w:r>
              <w:rPr>
                <w:spacing w:val="-1"/>
              </w:rPr>
              <w:t>局等相关部</w:t>
            </w:r>
          </w:p>
          <w:p>
            <w:pPr>
              <w:pStyle w:val="TableText"/>
              <w:ind w:left="127"/>
              <w:spacing w:line="207" w:lineRule="auto"/>
              <w:rPr/>
            </w:pPr>
            <w:r>
              <w:rPr>
                <w:spacing w:val="-5"/>
              </w:rPr>
              <w:t>门，各乡镇</w:t>
            </w:r>
          </w:p>
        </w:tc>
      </w:tr>
      <w:tr>
        <w:trPr>
          <w:trHeight w:val="5483" w:hRule="atLeast"/>
        </w:trPr>
        <w:tc>
          <w:tcPr>
            <w:tcW w:w="556"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233"/>
              <w:spacing w:before="58" w:line="261" w:lineRule="exact"/>
              <w:rPr/>
            </w:pPr>
            <w:r>
              <w:rPr>
                <w:position w:val="2"/>
              </w:rPr>
              <w:t>9</w:t>
            </w:r>
          </w:p>
        </w:tc>
        <w:tc>
          <w:tcPr>
            <w:tcW w:w="1147"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296" w:right="123" w:hanging="176"/>
              <w:spacing w:before="59" w:line="278" w:lineRule="auto"/>
              <w:rPr/>
            </w:pPr>
            <w:r>
              <w:rPr>
                <w:spacing w:val="-2"/>
              </w:rPr>
              <w:t>实现“多网</w:t>
            </w:r>
            <w:r>
              <w:rPr>
                <w:spacing w:val="29"/>
              </w:rPr>
              <w:t>合一”</w:t>
            </w:r>
          </w:p>
        </w:tc>
        <w:tc>
          <w:tcPr>
            <w:tcW w:w="5665" w:type="dxa"/>
            <w:vAlign w:val="top"/>
          </w:tcPr>
          <w:p>
            <w:pPr>
              <w:pStyle w:val="TableText"/>
              <w:ind w:left="101" w:right="39" w:firstLine="5"/>
              <w:spacing w:before="171" w:line="263" w:lineRule="auto"/>
              <w:rPr/>
            </w:pPr>
            <w:r>
              <w:rPr>
                <w:spacing w:val="-3"/>
              </w:rPr>
              <w:t>3</w:t>
            </w:r>
            <w:r>
              <w:rPr>
                <w:spacing w:val="-25"/>
              </w:rPr>
              <w:t xml:space="preserve"> </w:t>
            </w:r>
            <w:r>
              <w:rPr>
                <w:spacing w:val="-3"/>
              </w:rPr>
              <w:t>月</w:t>
            </w:r>
            <w:r>
              <w:rPr>
                <w:spacing w:val="-27"/>
              </w:rPr>
              <w:t xml:space="preserve"> </w:t>
            </w:r>
            <w:r>
              <w:rPr>
                <w:spacing w:val="-3"/>
              </w:rPr>
              <w:t>10 日前，制定具体实施方案，将上级部门在基层设置的多个网格</w:t>
            </w:r>
            <w:r>
              <w:rPr/>
              <w:t>整合为一个综合网格，依托村（社区）合理划分基本网格单</w:t>
            </w:r>
            <w:r>
              <w:rPr>
                <w:spacing w:val="-1"/>
              </w:rPr>
              <w:t>元，统筹</w:t>
            </w:r>
            <w:r>
              <w:rPr>
                <w:spacing w:val="-2"/>
              </w:rPr>
              <w:t>网格内党的建设、社会保障、综合治理、应急管理、社会救</w:t>
            </w:r>
            <w:r>
              <w:rPr>
                <w:spacing w:val="-3"/>
              </w:rPr>
              <w:t>助等工作。</w:t>
            </w:r>
            <w:r>
              <w:rPr/>
              <w:t xml:space="preserve"> </w:t>
            </w:r>
            <w:r>
              <w:rPr/>
              <w:t>4</w:t>
            </w:r>
            <w:r>
              <w:rPr>
                <w:spacing w:val="-21"/>
              </w:rPr>
              <w:t xml:space="preserve"> </w:t>
            </w:r>
            <w:r>
              <w:rPr/>
              <w:t>月20 日前，结合村“两委换届”科学划分网格，配强配齐网格员，</w:t>
            </w:r>
            <w:r>
              <w:rPr>
                <w:spacing w:val="-1"/>
              </w:rPr>
              <w:t>落实网格员待遇。</w:t>
            </w:r>
          </w:p>
          <w:p>
            <w:pPr>
              <w:pStyle w:val="TableText"/>
              <w:ind w:left="102" w:right="114" w:hanging="1"/>
              <w:spacing w:before="15" w:line="267" w:lineRule="auto"/>
              <w:rPr/>
            </w:pPr>
            <w:r>
              <w:rPr>
                <w:spacing w:val="-1"/>
              </w:rPr>
              <w:t>4</w:t>
            </w:r>
            <w:r>
              <w:rPr>
                <w:spacing w:val="-21"/>
              </w:rPr>
              <w:t xml:space="preserve"> </w:t>
            </w:r>
            <w:r>
              <w:rPr>
                <w:spacing w:val="-1"/>
              </w:rPr>
              <w:t>月30 日前，建立健全相关制度，合理确定网格监管任务和事项，将</w:t>
            </w:r>
            <w:r>
              <w:rPr/>
              <w:t>网格内的人、地、物、事、组织等基础信息和社情民意、</w:t>
            </w:r>
            <w:r>
              <w:rPr>
                <w:spacing w:val="-1"/>
              </w:rPr>
              <w:t>全程代办服</w:t>
            </w:r>
            <w:r>
              <w:rPr/>
              <w:t>务等事项，全部纳入网格化服务管理工作范围。实行定人</w:t>
            </w:r>
            <w:r>
              <w:rPr>
                <w:spacing w:val="-1"/>
              </w:rPr>
              <w:t>、定岗、定</w:t>
            </w:r>
            <w:r>
              <w:rPr/>
              <w:t>责。建立健全网格民情民意调查摸排、快速反馈、分析研</w:t>
            </w:r>
            <w:r>
              <w:rPr>
                <w:spacing w:val="-1"/>
              </w:rPr>
              <w:t>判等制度，</w:t>
            </w:r>
          </w:p>
          <w:p>
            <w:pPr>
              <w:pStyle w:val="TableText"/>
              <w:ind w:left="105" w:right="155"/>
              <w:spacing w:before="3" w:line="264" w:lineRule="auto"/>
              <w:rPr/>
            </w:pPr>
            <w:r>
              <w:rPr/>
              <w:t>推动需求在网格征集、资源在网格整合、问题在网格</w:t>
            </w:r>
            <w:r>
              <w:rPr>
                <w:spacing w:val="-1"/>
              </w:rPr>
              <w:t>解决，提高基层</w:t>
            </w:r>
            <w:r>
              <w:rPr>
                <w:spacing w:val="-1"/>
              </w:rPr>
              <w:t>治理精准化水平。</w:t>
            </w:r>
          </w:p>
          <w:p>
            <w:pPr>
              <w:pStyle w:val="TableText"/>
              <w:ind w:left="104" w:right="114" w:hanging="3"/>
              <w:spacing w:before="1" w:line="265" w:lineRule="auto"/>
              <w:rPr/>
            </w:pPr>
            <w:r>
              <w:rPr>
                <w:spacing w:val="-1"/>
              </w:rPr>
              <w:t>4</w:t>
            </w:r>
            <w:r>
              <w:rPr>
                <w:spacing w:val="-21"/>
              </w:rPr>
              <w:t xml:space="preserve"> </w:t>
            </w:r>
            <w:r>
              <w:rPr>
                <w:spacing w:val="-1"/>
              </w:rPr>
              <w:t>月30 日前，强化党建引领，将党支部或党小组建在网格上，以网格</w:t>
            </w:r>
            <w:r>
              <w:rPr/>
              <w:t>为基本单元，设立党员示范岗、党员先锋岗、党员责</w:t>
            </w:r>
            <w:r>
              <w:rPr>
                <w:spacing w:val="-1"/>
              </w:rPr>
              <w:t>任区等，选优配</w:t>
            </w:r>
            <w:r>
              <w:rPr>
                <w:spacing w:val="-1"/>
              </w:rPr>
              <w:t>强党支部书记或党小组组长。</w:t>
            </w:r>
          </w:p>
          <w:p>
            <w:pPr>
              <w:pStyle w:val="TableText"/>
              <w:ind w:left="106" w:right="114" w:hanging="1"/>
              <w:spacing w:before="3" w:line="267" w:lineRule="auto"/>
              <w:rPr/>
            </w:pPr>
            <w:r>
              <w:rPr>
                <w:spacing w:val="-3"/>
              </w:rPr>
              <w:t>5</w:t>
            </w:r>
            <w:r>
              <w:rPr>
                <w:spacing w:val="-23"/>
              </w:rPr>
              <w:t xml:space="preserve"> </w:t>
            </w:r>
            <w:r>
              <w:rPr>
                <w:spacing w:val="-3"/>
              </w:rPr>
              <w:t>月</w:t>
            </w:r>
            <w:r>
              <w:rPr>
                <w:spacing w:val="-27"/>
              </w:rPr>
              <w:t xml:space="preserve"> </w:t>
            </w:r>
            <w:r>
              <w:rPr>
                <w:spacing w:val="-3"/>
              </w:rPr>
              <w:t>10 日前，制定完善村（社区）党支部、党小组及网格员管理考核</w:t>
            </w:r>
            <w:r>
              <w:rPr>
                <w:spacing w:val="-1"/>
              </w:rPr>
              <w:t>奖励办法（细则）和工作人员薪酬福利奖励政策。</w:t>
            </w:r>
          </w:p>
          <w:p>
            <w:pPr>
              <w:pStyle w:val="TableText"/>
              <w:ind w:left="103" w:right="114" w:firstLine="1"/>
              <w:spacing w:line="267" w:lineRule="auto"/>
              <w:rPr/>
            </w:pPr>
            <w:r>
              <w:rPr>
                <w:spacing w:val="-1"/>
              </w:rPr>
              <w:t>5</w:t>
            </w:r>
            <w:r>
              <w:rPr>
                <w:spacing w:val="-24"/>
              </w:rPr>
              <w:t xml:space="preserve"> </w:t>
            </w:r>
            <w:r>
              <w:rPr>
                <w:spacing w:val="-1"/>
              </w:rPr>
              <w:t>月20 日前，创新管理机制，打造样板模式，以点带面，推进网格化</w:t>
            </w:r>
            <w:r>
              <w:rPr/>
              <w:t>服务管理标准化建设，细化工作流程，推进城乡统筹，</w:t>
            </w:r>
            <w:r>
              <w:rPr>
                <w:spacing w:val="-1"/>
              </w:rPr>
              <w:t>提高网格管理</w:t>
            </w:r>
            <w:r>
              <w:rPr/>
              <w:t>规范化精细化水平，加强网格资源配置，把公共服务、</w:t>
            </w:r>
            <w:r>
              <w:rPr>
                <w:spacing w:val="-1"/>
              </w:rPr>
              <w:t>社会服务、市</w:t>
            </w:r>
            <w:r>
              <w:rPr>
                <w:spacing w:val="-1"/>
              </w:rPr>
              <w:t>场服务、志愿服务下沉到网格，精准投送到千家万户。</w:t>
            </w:r>
          </w:p>
        </w:tc>
        <w:tc>
          <w:tcPr>
            <w:tcW w:w="3050" w:type="dxa"/>
            <w:vAlign w:val="top"/>
          </w:tcPr>
          <w:p>
            <w:pPr>
              <w:spacing w:line="314" w:lineRule="auto"/>
              <w:rPr>
                <w:rFonts w:ascii="Arial"/>
                <w:sz w:val="21"/>
              </w:rPr>
            </w:pPr>
            <w:r/>
          </w:p>
          <w:p>
            <w:pPr>
              <w:spacing w:line="314" w:lineRule="auto"/>
              <w:rPr>
                <w:rFonts w:ascii="Arial"/>
                <w:sz w:val="21"/>
              </w:rPr>
            </w:pPr>
            <w:r/>
          </w:p>
          <w:p>
            <w:pPr>
              <w:pStyle w:val="TableText"/>
              <w:ind w:left="105" w:right="99" w:firstLine="17"/>
              <w:spacing w:before="59" w:line="259" w:lineRule="auto"/>
              <w:rPr/>
            </w:pPr>
            <w:r>
              <w:rPr>
                <w:spacing w:val="-4"/>
              </w:rPr>
              <w:t>1.整合设置基层综合网络，建立以乡</w:t>
            </w:r>
            <w:r>
              <w:rPr>
                <w:spacing w:val="-3"/>
              </w:rPr>
              <w:t>镇为主体、以网格为基本单元、以村</w:t>
            </w:r>
            <w:r>
              <w:rPr>
                <w:spacing w:val="8"/>
              </w:rPr>
              <w:t>(社区)为统领的基层精细化管理体</w:t>
            </w:r>
            <w:r>
              <w:rPr>
                <w:spacing w:val="-3"/>
              </w:rPr>
              <w:t>系，实现从“行政末端”向“治理中</w:t>
            </w:r>
            <w:r>
              <w:rPr>
                <w:spacing w:val="-3"/>
              </w:rPr>
              <w:t>枢”的转变，村(社区)实现从“抓事</w:t>
            </w:r>
            <w:r>
              <w:rPr>
                <w:spacing w:val="-3"/>
              </w:rPr>
              <w:t>务”到“抓服务”的转型。完成年度</w:t>
            </w:r>
            <w:r>
              <w:rPr>
                <w:spacing w:val="-1"/>
              </w:rPr>
              <w:t>平安建设考核考评工作。</w:t>
            </w:r>
          </w:p>
          <w:p>
            <w:pPr>
              <w:pStyle w:val="TableText"/>
              <w:ind w:left="106" w:right="79" w:firstLine="1"/>
              <w:spacing w:before="52" w:line="256" w:lineRule="auto"/>
              <w:rPr/>
            </w:pPr>
            <w:r>
              <w:rPr>
                <w:spacing w:val="-3"/>
              </w:rPr>
              <w:t>2.推动实现“两网合一”，将党建服</w:t>
            </w:r>
            <w:r>
              <w:rPr>
                <w:spacing w:val="-3"/>
              </w:rPr>
              <w:t>务点设在网格，实现党的组织和工作</w:t>
            </w:r>
            <w:r>
              <w:rPr>
                <w:spacing w:val="-2"/>
              </w:rPr>
              <w:t>全覆盖。推进单位党建、行业党建、</w:t>
            </w:r>
            <w:r>
              <w:rPr>
                <w:spacing w:val="-3"/>
              </w:rPr>
              <w:t>区域党建互联互动，不断提高基层治</w:t>
            </w:r>
            <w:r>
              <w:rPr>
                <w:spacing w:val="-1"/>
              </w:rPr>
              <w:t>理现代化水平。</w:t>
            </w:r>
          </w:p>
          <w:p>
            <w:pPr>
              <w:pStyle w:val="TableText"/>
              <w:ind w:left="107" w:right="99" w:firstLine="3"/>
              <w:spacing w:before="46" w:line="254" w:lineRule="auto"/>
              <w:rPr/>
            </w:pPr>
            <w:r>
              <w:rPr>
                <w:spacing w:val="-4"/>
              </w:rPr>
              <w:t>3.进一步提升村（社区）网格化管理</w:t>
            </w:r>
            <w:r>
              <w:rPr>
                <w:spacing w:val="-3"/>
              </w:rPr>
              <w:t>服务规范化精细化水平，网格划分更</w:t>
            </w:r>
            <w:r>
              <w:rPr>
                <w:spacing w:val="-3"/>
              </w:rPr>
              <w:t>加科学合理、网格员队伍能力素质得</w:t>
            </w:r>
            <w:r>
              <w:rPr>
                <w:spacing w:val="-1"/>
              </w:rPr>
              <w:t>到进一步提升。</w:t>
            </w:r>
          </w:p>
        </w:tc>
        <w:tc>
          <w:tcPr>
            <w:tcW w:w="979"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220"/>
              <w:spacing w:before="59" w:line="211" w:lineRule="auto"/>
              <w:rPr/>
            </w:pPr>
            <w:r>
              <w:rPr>
                <w:spacing w:val="-2"/>
              </w:rPr>
              <w:t>杨继宏</w:t>
            </w:r>
          </w:p>
        </w:tc>
        <w:tc>
          <w:tcPr>
            <w:tcW w:w="1096"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90"/>
              <w:spacing w:before="59" w:line="211" w:lineRule="auto"/>
              <w:rPr/>
            </w:pPr>
            <w:r>
              <w:rPr>
                <w:spacing w:val="-2"/>
              </w:rPr>
              <w:t>县民政局</w:t>
            </w:r>
          </w:p>
        </w:tc>
        <w:tc>
          <w:tcPr>
            <w:tcW w:w="1403" w:type="dxa"/>
            <w:vAlign w:val="top"/>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110" w:right="62" w:firstLine="1"/>
              <w:spacing w:before="58" w:line="276" w:lineRule="auto"/>
              <w:jc w:val="both"/>
              <w:rPr/>
            </w:pPr>
            <w:r>
              <w:rPr>
                <w:spacing w:val="-13"/>
              </w:rPr>
              <w:t>县委组织部、政</w:t>
            </w:r>
            <w:r>
              <w:rPr>
                <w:spacing w:val="-12"/>
              </w:rPr>
              <w:t>法委、人力资源</w:t>
            </w:r>
            <w:r>
              <w:rPr>
                <w:spacing w:val="-12"/>
              </w:rPr>
              <w:t>社会保障局、财</w:t>
            </w:r>
            <w:r>
              <w:rPr>
                <w:spacing w:val="-12"/>
              </w:rPr>
              <w:t>政局、应急管理</w:t>
            </w:r>
            <w:r>
              <w:rPr>
                <w:spacing w:val="-6"/>
              </w:rPr>
              <w:t>局等相关部门，</w:t>
            </w:r>
            <w:r>
              <w:rPr>
                <w:spacing w:val="-1"/>
              </w:rPr>
              <w:t>各乡镇</w:t>
            </w:r>
          </w:p>
        </w:tc>
      </w:tr>
    </w:tbl>
    <w:p>
      <w:pPr>
        <w:rPr>
          <w:rFonts w:ascii="Arial"/>
          <w:sz w:val="21"/>
        </w:rPr>
      </w:pPr>
      <w:r/>
    </w:p>
    <w:p>
      <w:pPr>
        <w:sectPr>
          <w:headerReference w:type="default" r:id="rId424"/>
          <w:footerReference w:type="default" r:id="rId425"/>
          <w:pgSz w:w="16839" w:h="11906"/>
          <w:pgMar w:top="1767" w:right="1465" w:bottom="1570" w:left="1465" w:header="1428" w:footer="1172" w:gutter="0"/>
        </w:sectPr>
        <w:rPr>
          <w:rFonts w:ascii="Arial" w:hAnsi="Arial" w:eastAsia="Arial" w:cs="Arial"/>
          <w:sz w:val="21"/>
          <w:szCs w:val="21"/>
        </w:rPr>
      </w:pPr>
    </w:p>
    <w:p>
      <w:pPr>
        <w:spacing w:line="192" w:lineRule="exact"/>
        <w:rPr/>
      </w:pPr>
      <w:r>
        <w:drawing>
          <wp:anchor distT="0" distB="0" distL="0" distR="0" simplePos="0" relativeHeight="251963392"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854" name="IM 854"/>
            <wp:cNvGraphicFramePr/>
            <a:graphic>
              <a:graphicData uri="http://schemas.openxmlformats.org/drawingml/2006/picture">
                <pic:pic>
                  <pic:nvPicPr>
                    <pic:cNvPr id="854" name="IM 854"/>
                    <pic:cNvPicPr/>
                  </pic:nvPicPr>
                  <pic:blipFill>
                    <a:blip r:embed="rId429"/>
                    <a:stretch>
                      <a:fillRect/>
                    </a:stretch>
                  </pic:blipFill>
                  <pic:spPr>
                    <a:xfrm rot="0">
                      <a:off x="0" y="0"/>
                      <a:ext cx="8712200" cy="7620"/>
                    </a:xfrm>
                    <a:prstGeom prst="rect">
                      <a:avLst/>
                    </a:prstGeom>
                  </pic:spPr>
                </pic:pic>
              </a:graphicData>
            </a:graphic>
          </wp:anchor>
        </w:drawing>
      </w:r>
      <w:r/>
    </w:p>
    <w:tbl>
      <w:tblPr>
        <w:tblStyle w:val="TableNormal"/>
        <w:tblW w:w="13896"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6"/>
        <w:gridCol w:w="1147"/>
        <w:gridCol w:w="5665"/>
        <w:gridCol w:w="3050"/>
        <w:gridCol w:w="979"/>
        <w:gridCol w:w="1096"/>
        <w:gridCol w:w="1403"/>
      </w:tblGrid>
      <w:tr>
        <w:trPr>
          <w:trHeight w:val="583" w:hRule="atLeast"/>
        </w:trPr>
        <w:tc>
          <w:tcPr>
            <w:tcW w:w="556" w:type="dxa"/>
            <w:vAlign w:val="top"/>
          </w:tcPr>
          <w:p>
            <w:pPr>
              <w:pStyle w:val="TableText"/>
              <w:ind w:left="117"/>
              <w:spacing w:before="191" w:line="214" w:lineRule="auto"/>
              <w:rPr/>
            </w:pPr>
            <w:r>
              <w:rPr>
                <w:b/>
                <w:bCs/>
                <w:spacing w:val="-4"/>
              </w:rPr>
              <w:t>序号</w:t>
            </w:r>
          </w:p>
        </w:tc>
        <w:tc>
          <w:tcPr>
            <w:tcW w:w="1147" w:type="dxa"/>
            <w:vAlign w:val="top"/>
          </w:tcPr>
          <w:p>
            <w:pPr>
              <w:pStyle w:val="TableText"/>
              <w:ind w:left="239"/>
              <w:spacing w:before="191" w:line="213" w:lineRule="auto"/>
              <w:rPr/>
            </w:pPr>
            <w:r>
              <w:rPr>
                <w:b/>
                <w:bCs/>
                <w:spacing w:val="-10"/>
              </w:rPr>
              <w:t>主要任务</w:t>
            </w:r>
          </w:p>
        </w:tc>
        <w:tc>
          <w:tcPr>
            <w:tcW w:w="5665" w:type="dxa"/>
            <w:vAlign w:val="top"/>
          </w:tcPr>
          <w:p>
            <w:pPr>
              <w:pStyle w:val="TableText"/>
              <w:ind w:left="2495"/>
              <w:spacing w:before="193" w:line="211" w:lineRule="auto"/>
              <w:rPr/>
            </w:pPr>
            <w:r>
              <w:rPr>
                <w:b/>
                <w:bCs/>
                <w:spacing w:val="-9"/>
              </w:rPr>
              <w:t>推进措施</w:t>
            </w:r>
          </w:p>
        </w:tc>
        <w:tc>
          <w:tcPr>
            <w:tcW w:w="3050" w:type="dxa"/>
            <w:vAlign w:val="top"/>
          </w:tcPr>
          <w:p>
            <w:pPr>
              <w:pStyle w:val="TableText"/>
              <w:ind w:left="1192"/>
              <w:spacing w:before="192" w:line="211" w:lineRule="auto"/>
              <w:rPr/>
            </w:pPr>
            <w:r>
              <w:rPr>
                <w:b/>
                <w:bCs/>
                <w:spacing w:val="-10"/>
              </w:rPr>
              <w:t>预期目标</w:t>
            </w:r>
          </w:p>
        </w:tc>
        <w:tc>
          <w:tcPr>
            <w:tcW w:w="979" w:type="dxa"/>
            <w:vAlign w:val="top"/>
          </w:tcPr>
          <w:p>
            <w:pPr>
              <w:pStyle w:val="TableText"/>
              <w:ind w:left="177"/>
              <w:spacing w:before="191" w:line="213" w:lineRule="auto"/>
              <w:rPr/>
            </w:pPr>
            <w:r>
              <w:rPr>
                <w:b/>
                <w:bCs/>
                <w:spacing w:val="-15"/>
              </w:rPr>
              <w:t>责任领导</w:t>
            </w:r>
          </w:p>
        </w:tc>
        <w:tc>
          <w:tcPr>
            <w:tcW w:w="1096" w:type="dxa"/>
            <w:vAlign w:val="top"/>
          </w:tcPr>
          <w:p>
            <w:pPr>
              <w:pStyle w:val="TableText"/>
              <w:ind w:left="236"/>
              <w:spacing w:before="191" w:line="212" w:lineRule="auto"/>
              <w:rPr/>
            </w:pPr>
            <w:r>
              <w:rPr>
                <w:b/>
                <w:bCs/>
                <w:spacing w:val="-15"/>
              </w:rPr>
              <w:t>牵头单位</w:t>
            </w:r>
          </w:p>
        </w:tc>
        <w:tc>
          <w:tcPr>
            <w:tcW w:w="1403" w:type="dxa"/>
            <w:vAlign w:val="top"/>
          </w:tcPr>
          <w:p>
            <w:pPr>
              <w:pStyle w:val="TableText"/>
              <w:ind w:left="358"/>
              <w:spacing w:before="191" w:line="214" w:lineRule="auto"/>
              <w:rPr/>
            </w:pPr>
            <w:r>
              <w:rPr>
                <w:b/>
                <w:bCs/>
                <w:spacing w:val="-9"/>
              </w:rPr>
              <w:t>实施单位</w:t>
            </w:r>
          </w:p>
        </w:tc>
      </w:tr>
      <w:tr>
        <w:trPr>
          <w:trHeight w:val="3361" w:hRule="atLeast"/>
        </w:trPr>
        <w:tc>
          <w:tcPr>
            <w:tcW w:w="556"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202"/>
              <w:spacing w:before="59" w:line="260" w:lineRule="exact"/>
              <w:rPr/>
            </w:pPr>
            <w:r>
              <w:rPr>
                <w:spacing w:val="-11"/>
                <w:position w:val="1"/>
              </w:rPr>
              <w:t>10</w:t>
            </w:r>
          </w:p>
        </w:tc>
        <w:tc>
          <w:tcPr>
            <w:tcW w:w="1147" w:type="dxa"/>
            <w:vAlign w:val="top"/>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310" w:right="303" w:hanging="13"/>
              <w:spacing w:before="59" w:line="269" w:lineRule="auto"/>
              <w:rPr/>
            </w:pPr>
            <w:r>
              <w:rPr>
                <w:spacing w:val="-2"/>
              </w:rPr>
              <w:t>加快平</w:t>
            </w:r>
            <w:r>
              <w:rPr>
                <w:spacing w:val="-6"/>
              </w:rPr>
              <w:t>台建设</w:t>
            </w:r>
          </w:p>
        </w:tc>
        <w:tc>
          <w:tcPr>
            <w:tcW w:w="5665" w:type="dxa"/>
            <w:vAlign w:val="top"/>
          </w:tcPr>
          <w:p>
            <w:pPr>
              <w:pStyle w:val="TableText"/>
              <w:ind w:left="102" w:right="114" w:firstLine="4"/>
              <w:spacing w:before="18" w:line="246" w:lineRule="auto"/>
              <w:jc w:val="both"/>
              <w:rPr/>
            </w:pPr>
            <w:r>
              <w:rPr>
                <w:spacing w:val="-3"/>
              </w:rPr>
              <w:t>3</w:t>
            </w:r>
            <w:r>
              <w:rPr>
                <w:spacing w:val="-25"/>
              </w:rPr>
              <w:t xml:space="preserve"> </w:t>
            </w:r>
            <w:r>
              <w:rPr>
                <w:spacing w:val="-3"/>
              </w:rPr>
              <w:t>月</w:t>
            </w:r>
            <w:r>
              <w:rPr>
                <w:spacing w:val="-27"/>
              </w:rPr>
              <w:t xml:space="preserve"> </w:t>
            </w:r>
            <w:r>
              <w:rPr>
                <w:spacing w:val="-3"/>
              </w:rPr>
              <w:t>10 日前，对接上级部门，按照要求整合信息，收集、录入人口等</w:t>
            </w:r>
            <w:r>
              <w:rPr/>
              <w:t>数据。整合现有设在乡镇的党的建设、综合治理、社区治理</w:t>
            </w:r>
            <w:r>
              <w:rPr>
                <w:spacing w:val="-1"/>
              </w:rPr>
              <w:t>、数字城</w:t>
            </w:r>
            <w:r>
              <w:rPr/>
              <w:t>管等各系统指挥信息资源，强化信息共享和技术支撑，将上</w:t>
            </w:r>
            <w:r>
              <w:rPr>
                <w:spacing w:val="-1"/>
              </w:rPr>
              <w:t>级相关部</w:t>
            </w:r>
            <w:r>
              <w:rPr/>
              <w:t>门的视频监控等接入基层综合指挥平台，建立一体化的信息</w:t>
            </w:r>
            <w:r>
              <w:rPr>
                <w:spacing w:val="-1"/>
              </w:rPr>
              <w:t>系统和综</w:t>
            </w:r>
            <w:r>
              <w:rPr>
                <w:spacing w:val="-1"/>
              </w:rPr>
              <w:t>合指挥平台。</w:t>
            </w:r>
          </w:p>
          <w:p>
            <w:pPr>
              <w:pStyle w:val="TableText"/>
              <w:ind w:left="102" w:right="114" w:hanging="1"/>
              <w:spacing w:line="246" w:lineRule="auto"/>
              <w:jc w:val="both"/>
              <w:rPr/>
            </w:pPr>
            <w:r>
              <w:rPr>
                <w:spacing w:val="-1"/>
              </w:rPr>
              <w:t>4</w:t>
            </w:r>
            <w:r>
              <w:rPr>
                <w:spacing w:val="-21"/>
              </w:rPr>
              <w:t xml:space="preserve"> </w:t>
            </w:r>
            <w:r>
              <w:rPr>
                <w:spacing w:val="-1"/>
              </w:rPr>
              <w:t>月20 日前，发挥科技支撑作用，完善立体化、法治化、专业化、智</w:t>
            </w:r>
            <w:r>
              <w:rPr/>
              <w:t>能化社会治安防控体系，加快“雪亮工程”建设，继续整</w:t>
            </w:r>
            <w:r>
              <w:rPr>
                <w:spacing w:val="-1"/>
              </w:rPr>
              <w:t>合公安、城</w:t>
            </w:r>
            <w:r>
              <w:rPr/>
              <w:t>管等部门视频资源，构建全县统一共享应用体系，实现视</w:t>
            </w:r>
            <w:r>
              <w:rPr>
                <w:spacing w:val="-1"/>
              </w:rPr>
              <w:t>频图像按需</w:t>
            </w:r>
            <w:r>
              <w:rPr/>
              <w:t>联通，推动视频资源联网共享应用，推进综治信息化</w:t>
            </w:r>
            <w:r>
              <w:rPr>
                <w:spacing w:val="-1"/>
              </w:rPr>
              <w:t>平台建设。</w:t>
            </w:r>
          </w:p>
          <w:p>
            <w:pPr>
              <w:pStyle w:val="TableText"/>
              <w:ind w:left="103" w:right="114" w:firstLine="1"/>
              <w:spacing w:before="2" w:line="244" w:lineRule="auto"/>
              <w:jc w:val="both"/>
              <w:rPr/>
            </w:pPr>
            <w:r>
              <w:rPr>
                <w:spacing w:val="-3"/>
              </w:rPr>
              <w:t>5</w:t>
            </w:r>
            <w:r>
              <w:rPr>
                <w:spacing w:val="-23"/>
              </w:rPr>
              <w:t xml:space="preserve"> </w:t>
            </w:r>
            <w:r>
              <w:rPr>
                <w:spacing w:val="-3"/>
              </w:rPr>
              <w:t>月</w:t>
            </w:r>
            <w:r>
              <w:rPr>
                <w:spacing w:val="-27"/>
              </w:rPr>
              <w:t xml:space="preserve"> </w:t>
            </w:r>
            <w:r>
              <w:rPr>
                <w:spacing w:val="-3"/>
              </w:rPr>
              <w:t>10 日前，加强关键技术应用，建立健全发现问题、流转交办、协</w:t>
            </w:r>
            <w:r>
              <w:rPr/>
              <w:t>调联动、研判预警、督察考核等综合指挥工作机制，形成</w:t>
            </w:r>
            <w:r>
              <w:rPr>
                <w:spacing w:val="-1"/>
              </w:rPr>
              <w:t>系统集成高</w:t>
            </w:r>
            <w:r>
              <w:rPr>
                <w:spacing w:val="-1"/>
              </w:rPr>
              <w:t>效运行的指挥体系。</w:t>
            </w:r>
          </w:p>
          <w:p>
            <w:pPr>
              <w:pStyle w:val="TableText"/>
              <w:ind w:left="104" w:right="114"/>
              <w:spacing w:before="4" w:line="232" w:lineRule="auto"/>
              <w:jc w:val="both"/>
              <w:rPr/>
            </w:pPr>
            <w:r>
              <w:rPr>
                <w:spacing w:val="-1"/>
              </w:rPr>
              <w:t>5</w:t>
            </w:r>
            <w:r>
              <w:rPr>
                <w:spacing w:val="-24"/>
              </w:rPr>
              <w:t xml:space="preserve"> </w:t>
            </w:r>
            <w:r>
              <w:rPr>
                <w:spacing w:val="-1"/>
              </w:rPr>
              <w:t>月31 日前，配合自治区统筹推进政法智能化建设和跨部门大数据办</w:t>
            </w:r>
            <w:r>
              <w:rPr/>
              <w:t>案平台建设，打造一体化网上办案“高速公路”。</w:t>
            </w:r>
          </w:p>
        </w:tc>
        <w:tc>
          <w:tcPr>
            <w:tcW w:w="3050" w:type="dxa"/>
            <w:vAlign w:val="top"/>
          </w:tcPr>
          <w:p>
            <w:pPr>
              <w:pStyle w:val="TableText"/>
              <w:ind w:left="107" w:right="36" w:firstLine="15"/>
              <w:spacing w:before="278" w:line="250" w:lineRule="auto"/>
              <w:rPr/>
            </w:pPr>
            <w:r>
              <w:rPr>
                <w:spacing w:val="-4"/>
              </w:rPr>
              <w:t>1.上级相关部门的视频监控等尽可能</w:t>
            </w:r>
            <w:r>
              <w:rPr>
                <w:spacing w:val="-3"/>
              </w:rPr>
              <w:t>接入基层综合指挥平台，实现互联互</w:t>
            </w:r>
            <w:r>
              <w:rPr>
                <w:spacing w:val="-10"/>
              </w:rPr>
              <w:t>通、信息共享、实时监控、综合监测。</w:t>
            </w:r>
          </w:p>
          <w:p>
            <w:pPr>
              <w:pStyle w:val="TableText"/>
              <w:ind w:left="106" w:right="33" w:firstLine="1"/>
              <w:spacing w:before="47" w:line="254" w:lineRule="auto"/>
              <w:rPr/>
            </w:pPr>
            <w:r>
              <w:rPr>
                <w:spacing w:val="-9"/>
              </w:rPr>
              <w:t>2.通过建立健全发现问题、流转交办、</w:t>
            </w:r>
            <w:r>
              <w:rPr>
                <w:spacing w:val="-3"/>
              </w:rPr>
              <w:t>协调联动、研判预警、督查考核等综</w:t>
            </w:r>
            <w:r>
              <w:rPr>
                <w:spacing w:val="-3"/>
              </w:rPr>
              <w:t>合指挥工作机制，实现基层管理跨部</w:t>
            </w:r>
            <w:r>
              <w:rPr>
                <w:spacing w:val="-1"/>
              </w:rPr>
              <w:t>门、跨层级协同运转。</w:t>
            </w:r>
          </w:p>
          <w:p>
            <w:pPr>
              <w:pStyle w:val="TableText"/>
              <w:ind w:left="111"/>
              <w:spacing w:before="48" w:line="241" w:lineRule="exact"/>
              <w:rPr/>
            </w:pPr>
            <w:r>
              <w:rPr>
                <w:spacing w:val="-18"/>
                <w:w w:val="98"/>
                <w:position w:val="1"/>
              </w:rPr>
              <w:t>3.初步实现政法部门公共数据汇集融合。</w:t>
            </w:r>
          </w:p>
          <w:p>
            <w:pPr>
              <w:pStyle w:val="TableText"/>
              <w:ind w:left="106" w:right="79" w:hanging="1"/>
              <w:spacing w:before="21" w:line="249" w:lineRule="auto"/>
              <w:rPr/>
            </w:pPr>
            <w:r>
              <w:rPr>
                <w:spacing w:val="-3"/>
              </w:rPr>
              <w:t>4.依托“雪亮工程”建成，初步实现</w:t>
            </w:r>
            <w:r>
              <w:rPr>
                <w:spacing w:val="-2"/>
              </w:rPr>
              <w:t>“全域覆盖、全网共享、全时可用、</w:t>
            </w:r>
            <w:r>
              <w:rPr>
                <w:spacing w:val="-4"/>
              </w:rPr>
              <w:t>全程可控”</w:t>
            </w:r>
            <w:r>
              <w:rPr>
                <w:spacing w:val="-64"/>
              </w:rPr>
              <w:t xml:space="preserve"> </w:t>
            </w:r>
            <w:r>
              <w:rPr>
                <w:spacing w:val="-4"/>
              </w:rPr>
              <w:t>目标。</w:t>
            </w:r>
          </w:p>
        </w:tc>
        <w:tc>
          <w:tcPr>
            <w:tcW w:w="979"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TableText"/>
              <w:ind w:left="219" w:right="212" w:firstLine="4"/>
              <w:spacing w:before="59" w:line="275" w:lineRule="auto"/>
              <w:rPr/>
            </w:pPr>
            <w:r>
              <w:rPr>
                <w:spacing w:val="-3"/>
              </w:rPr>
              <w:t>高继飞</w:t>
            </w:r>
            <w:r>
              <w:rPr>
                <w:spacing w:val="-9"/>
              </w:rPr>
              <w:t>李</w:t>
            </w:r>
            <w:r>
              <w:rPr>
                <w:spacing w:val="7"/>
              </w:rPr>
              <w:t xml:space="preserve">  </w:t>
            </w:r>
            <w:r>
              <w:rPr>
                <w:spacing w:val="-9"/>
              </w:rPr>
              <w:t>刚</w:t>
            </w:r>
          </w:p>
        </w:tc>
        <w:tc>
          <w:tcPr>
            <w:tcW w:w="1096" w:type="dxa"/>
            <w:vAlign w:val="top"/>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139" w:right="102" w:hanging="28"/>
              <w:spacing w:before="58" w:line="272" w:lineRule="auto"/>
              <w:rPr/>
            </w:pPr>
            <w:r>
              <w:rPr>
                <w:spacing w:val="-6"/>
              </w:rPr>
              <w:t>县政府办、</w:t>
            </w:r>
            <w:r>
              <w:rPr>
                <w:spacing w:val="-14"/>
              </w:rPr>
              <w:t>县委政法委</w:t>
            </w:r>
          </w:p>
        </w:tc>
        <w:tc>
          <w:tcPr>
            <w:tcW w:w="1403" w:type="dxa"/>
            <w:vAlign w:val="top"/>
          </w:tcPr>
          <w:p>
            <w:pPr>
              <w:spacing w:line="302" w:lineRule="auto"/>
              <w:rPr>
                <w:rFonts w:ascii="Arial"/>
                <w:sz w:val="21"/>
              </w:rPr>
            </w:pPr>
            <w:r/>
          </w:p>
          <w:p>
            <w:pPr>
              <w:spacing w:line="303" w:lineRule="auto"/>
              <w:rPr>
                <w:rFonts w:ascii="Arial"/>
                <w:sz w:val="21"/>
              </w:rPr>
            </w:pPr>
            <w:r/>
          </w:p>
          <w:p>
            <w:pPr>
              <w:pStyle w:val="TableText"/>
              <w:ind w:left="110" w:right="105" w:firstLine="1"/>
              <w:spacing w:before="59" w:line="268" w:lineRule="auto"/>
              <w:rPr/>
            </w:pPr>
            <w:r>
              <w:rPr>
                <w:spacing w:val="-13"/>
              </w:rPr>
              <w:t>县委组织部、网</w:t>
            </w:r>
            <w:r>
              <w:rPr>
                <w:spacing w:val="-12"/>
              </w:rPr>
              <w:t>信办、发展改革</w:t>
            </w:r>
            <w:r>
              <w:rPr>
                <w:spacing w:val="-12"/>
              </w:rPr>
              <w:t>局、工业信息化</w:t>
            </w:r>
            <w:r>
              <w:rPr>
                <w:spacing w:val="-12"/>
              </w:rPr>
              <w:t>局、公安局、民</w:t>
            </w:r>
            <w:r>
              <w:rPr>
                <w:spacing w:val="-12"/>
              </w:rPr>
              <w:t>政局、住房城乡</w:t>
            </w:r>
            <w:r>
              <w:rPr>
                <w:spacing w:val="-1"/>
              </w:rPr>
              <w:t>建设局等相关</w:t>
            </w:r>
            <w:r>
              <w:rPr>
                <w:spacing w:val="-12"/>
              </w:rPr>
              <w:t>部门，法院、检</w:t>
            </w:r>
            <w:r>
              <w:rPr>
                <w:spacing w:val="-1"/>
              </w:rPr>
              <w:t>察院，各乡镇</w:t>
            </w:r>
          </w:p>
        </w:tc>
      </w:tr>
      <w:tr>
        <w:trPr>
          <w:trHeight w:val="1753" w:hRule="atLeast"/>
        </w:trPr>
        <w:tc>
          <w:tcPr>
            <w:tcW w:w="556" w:type="dxa"/>
            <w:vAlign w:val="top"/>
          </w:tcPr>
          <w:p>
            <w:pPr>
              <w:spacing w:line="355" w:lineRule="auto"/>
              <w:rPr>
                <w:rFonts w:ascii="Arial"/>
                <w:sz w:val="21"/>
              </w:rPr>
            </w:pPr>
            <w:r/>
          </w:p>
          <w:p>
            <w:pPr>
              <w:spacing w:line="356" w:lineRule="auto"/>
              <w:rPr>
                <w:rFonts w:ascii="Arial"/>
                <w:sz w:val="21"/>
              </w:rPr>
            </w:pPr>
            <w:r/>
          </w:p>
          <w:p>
            <w:pPr>
              <w:pStyle w:val="TableText"/>
              <w:ind w:left="202"/>
              <w:spacing w:before="59" w:line="262" w:lineRule="exact"/>
              <w:rPr/>
            </w:pPr>
            <w:r>
              <w:rPr>
                <w:spacing w:val="-11"/>
                <w:position w:val="1"/>
              </w:rPr>
              <w:t>11</w:t>
            </w:r>
          </w:p>
        </w:tc>
        <w:tc>
          <w:tcPr>
            <w:tcW w:w="1147" w:type="dxa"/>
            <w:vAlign w:val="top"/>
          </w:tcPr>
          <w:p>
            <w:pPr>
              <w:spacing w:line="292" w:lineRule="auto"/>
              <w:rPr>
                <w:rFonts w:ascii="Arial"/>
                <w:sz w:val="21"/>
              </w:rPr>
            </w:pPr>
            <w:r/>
          </w:p>
          <w:p>
            <w:pPr>
              <w:spacing w:line="292" w:lineRule="auto"/>
              <w:rPr>
                <w:rFonts w:ascii="Arial"/>
                <w:sz w:val="21"/>
              </w:rPr>
            </w:pPr>
            <w:r/>
          </w:p>
          <w:p>
            <w:pPr>
              <w:pStyle w:val="TableText"/>
              <w:ind w:left="211" w:right="212" w:hanging="3"/>
              <w:spacing w:before="58" w:line="274" w:lineRule="auto"/>
              <w:rPr/>
            </w:pPr>
            <w:r>
              <w:rPr>
                <w:spacing w:val="-1"/>
              </w:rPr>
              <w:t>建立赋权</w:t>
            </w:r>
            <w:r>
              <w:rPr>
                <w:spacing w:val="-2"/>
              </w:rPr>
              <w:t>清单目录</w:t>
            </w:r>
          </w:p>
        </w:tc>
        <w:tc>
          <w:tcPr>
            <w:tcW w:w="5665" w:type="dxa"/>
            <w:vAlign w:val="top"/>
          </w:tcPr>
          <w:p>
            <w:pPr>
              <w:pStyle w:val="TableText"/>
              <w:ind w:left="101" w:right="36"/>
              <w:spacing w:before="26" w:line="256" w:lineRule="auto"/>
              <w:jc w:val="both"/>
              <w:rPr/>
            </w:pPr>
            <w:r>
              <w:rPr>
                <w:spacing w:val="-2"/>
              </w:rPr>
              <w:t>4</w:t>
            </w:r>
            <w:r>
              <w:rPr>
                <w:spacing w:val="-38"/>
              </w:rPr>
              <w:t xml:space="preserve"> </w:t>
            </w:r>
            <w:r>
              <w:rPr>
                <w:spacing w:val="-2"/>
              </w:rPr>
              <w:t>月</w:t>
            </w:r>
            <w:r>
              <w:rPr>
                <w:spacing w:val="-25"/>
              </w:rPr>
              <w:t xml:space="preserve"> </w:t>
            </w:r>
            <w:r>
              <w:rPr>
                <w:spacing w:val="-2"/>
              </w:rPr>
              <w:t>10 日前，根据自治区有关要求，将量大面广、乡镇管理</w:t>
            </w:r>
            <w:r>
              <w:rPr>
                <w:spacing w:val="-3"/>
              </w:rPr>
              <w:t>迫切需要</w:t>
            </w:r>
            <w:r>
              <w:rPr>
                <w:spacing w:val="-2"/>
              </w:rPr>
              <w:t>且能有效承接的审批服务执法等权限赋予乡镇，扩大乡镇在城镇</w:t>
            </w:r>
            <w:r>
              <w:rPr>
                <w:spacing w:val="-3"/>
              </w:rPr>
              <w:t>管理、</w:t>
            </w:r>
            <w:r>
              <w:rPr>
                <w:spacing w:val="1"/>
              </w:rPr>
              <w:t>安全生产、市场监管、社会治安、民生保障等方面的行政审批、行政</w:t>
            </w:r>
            <w:r>
              <w:rPr>
                <w:spacing w:val="-1"/>
              </w:rPr>
              <w:t>处罚及相关行政强制和行政检查权。</w:t>
            </w:r>
          </w:p>
          <w:p>
            <w:pPr>
              <w:pStyle w:val="TableText"/>
              <w:ind w:left="102" w:right="34" w:hanging="1"/>
              <w:spacing w:line="245" w:lineRule="auto"/>
              <w:jc w:val="both"/>
              <w:rPr/>
            </w:pPr>
            <w:r>
              <w:rPr>
                <w:spacing w:val="-4"/>
              </w:rPr>
              <w:t>4</w:t>
            </w:r>
            <w:r>
              <w:rPr>
                <w:spacing w:val="-20"/>
              </w:rPr>
              <w:t xml:space="preserve"> </w:t>
            </w:r>
            <w:r>
              <w:rPr>
                <w:spacing w:val="-4"/>
              </w:rPr>
              <w:t>月30 日前，按照自治区政府统一制定的赋权清单，按照“一个乡镇、</w:t>
            </w:r>
            <w:r>
              <w:rPr/>
              <w:t>一个赋权清单”的要求，依法编制各《乡镇赋权清单》</w:t>
            </w:r>
            <w:r>
              <w:rPr>
                <w:spacing w:val="-43"/>
              </w:rPr>
              <w:t xml:space="preserve"> </w:t>
            </w:r>
            <w:r>
              <w:rPr/>
              <w:t>，明确乡镇的</w:t>
            </w:r>
            <w:r>
              <w:rPr/>
              <w:t>执法主体地位，统一和规范赋权事项，成熟一批</w:t>
            </w:r>
            <w:r>
              <w:rPr>
                <w:spacing w:val="-1"/>
              </w:rPr>
              <w:t>，赋予一批。</w:t>
            </w:r>
          </w:p>
        </w:tc>
        <w:tc>
          <w:tcPr>
            <w:tcW w:w="3050" w:type="dxa"/>
            <w:vAlign w:val="top"/>
          </w:tcPr>
          <w:p>
            <w:pPr>
              <w:spacing w:line="293" w:lineRule="auto"/>
              <w:rPr>
                <w:rFonts w:ascii="Arial"/>
                <w:sz w:val="21"/>
              </w:rPr>
            </w:pPr>
            <w:r/>
          </w:p>
          <w:p>
            <w:pPr>
              <w:spacing w:line="294" w:lineRule="auto"/>
              <w:rPr>
                <w:rFonts w:ascii="Arial"/>
                <w:sz w:val="21"/>
              </w:rPr>
            </w:pPr>
            <w:r/>
          </w:p>
          <w:p>
            <w:pPr>
              <w:pStyle w:val="TableText"/>
              <w:ind w:left="106" w:right="30" w:firstLine="2"/>
              <w:spacing w:before="58" w:line="270" w:lineRule="auto"/>
              <w:rPr/>
            </w:pPr>
            <w:r>
              <w:rPr>
                <w:spacing w:val="-4"/>
              </w:rPr>
              <w:t>推动审批服务执法权限下放，规范赋</w:t>
            </w:r>
            <w:r>
              <w:rPr>
                <w:spacing w:val="-19"/>
              </w:rPr>
              <w:t>权行为，确保基层有权办事、依法办事。</w:t>
            </w:r>
          </w:p>
        </w:tc>
        <w:tc>
          <w:tcPr>
            <w:tcW w:w="979" w:type="dxa"/>
            <w:vAlign w:val="top"/>
          </w:tcPr>
          <w:p>
            <w:pPr>
              <w:spacing w:line="358" w:lineRule="auto"/>
              <w:rPr>
                <w:rFonts w:ascii="Arial"/>
                <w:sz w:val="21"/>
              </w:rPr>
            </w:pPr>
            <w:r/>
          </w:p>
          <w:p>
            <w:pPr>
              <w:spacing w:line="359" w:lineRule="auto"/>
              <w:rPr>
                <w:rFonts w:ascii="Arial"/>
                <w:sz w:val="21"/>
              </w:rPr>
            </w:pPr>
            <w:r/>
          </w:p>
          <w:p>
            <w:pPr>
              <w:pStyle w:val="TableText"/>
              <w:ind w:left="226"/>
              <w:spacing w:before="59" w:line="211" w:lineRule="auto"/>
              <w:rPr/>
            </w:pPr>
            <w:r>
              <w:rPr>
                <w:spacing w:val="-4"/>
              </w:rPr>
              <w:t>马义杰</w:t>
            </w:r>
          </w:p>
        </w:tc>
        <w:tc>
          <w:tcPr>
            <w:tcW w:w="1096" w:type="dxa"/>
            <w:vAlign w:val="top"/>
          </w:tcPr>
          <w:p>
            <w:pPr>
              <w:spacing w:line="458" w:lineRule="auto"/>
              <w:rPr>
                <w:rFonts w:ascii="Arial"/>
                <w:sz w:val="21"/>
              </w:rPr>
            </w:pPr>
            <w:r/>
          </w:p>
          <w:p>
            <w:pPr>
              <w:pStyle w:val="TableText"/>
              <w:ind w:left="111"/>
              <w:spacing w:before="58" w:line="210" w:lineRule="auto"/>
              <w:rPr/>
            </w:pPr>
            <w:r>
              <w:rPr>
                <w:spacing w:val="-1"/>
              </w:rPr>
              <w:t>县政府办、</w:t>
            </w:r>
          </w:p>
          <w:p>
            <w:pPr>
              <w:pStyle w:val="TableText"/>
              <w:ind w:left="194"/>
              <w:spacing w:before="55" w:line="209" w:lineRule="auto"/>
              <w:rPr/>
            </w:pPr>
            <w:r>
              <w:rPr>
                <w:spacing w:val="-3"/>
              </w:rPr>
              <w:t>审批服务</w:t>
            </w:r>
          </w:p>
          <w:p>
            <w:pPr>
              <w:pStyle w:val="TableText"/>
              <w:ind w:left="282"/>
              <w:spacing w:before="57" w:line="210" w:lineRule="auto"/>
              <w:rPr/>
            </w:pPr>
            <w:r>
              <w:rPr>
                <w:spacing w:val="-2"/>
              </w:rPr>
              <w:t>管理局</w:t>
            </w:r>
          </w:p>
        </w:tc>
        <w:tc>
          <w:tcPr>
            <w:tcW w:w="1403" w:type="dxa"/>
            <w:vAlign w:val="top"/>
          </w:tcPr>
          <w:p>
            <w:pPr>
              <w:spacing w:line="459" w:lineRule="auto"/>
              <w:rPr>
                <w:rFonts w:ascii="Arial"/>
                <w:sz w:val="21"/>
              </w:rPr>
            </w:pPr>
            <w:r/>
          </w:p>
          <w:p>
            <w:pPr>
              <w:pStyle w:val="TableText"/>
              <w:ind w:left="110" w:right="48" w:firstLine="1"/>
              <w:spacing w:before="59" w:line="269" w:lineRule="auto"/>
              <w:jc w:val="both"/>
              <w:rPr/>
            </w:pPr>
            <w:r>
              <w:rPr>
                <w:spacing w:val="-4"/>
              </w:rPr>
              <w:t>县人大法工委、</w:t>
            </w:r>
            <w:r>
              <w:rPr>
                <w:spacing w:val="-1"/>
              </w:rPr>
              <w:t>司法局等相关</w:t>
            </w:r>
            <w:r>
              <w:rPr>
                <w:spacing w:val="-1"/>
              </w:rPr>
              <w:t>部门，各乡镇</w:t>
            </w:r>
          </w:p>
        </w:tc>
      </w:tr>
      <w:tr>
        <w:trPr>
          <w:trHeight w:val="2347" w:hRule="atLeast"/>
        </w:trPr>
        <w:tc>
          <w:tcPr>
            <w:tcW w:w="556" w:type="dxa"/>
            <w:vAlign w:val="top"/>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202"/>
              <w:spacing w:before="58" w:line="262" w:lineRule="exact"/>
              <w:rPr/>
            </w:pPr>
            <w:r>
              <w:rPr>
                <w:spacing w:val="-11"/>
                <w:position w:val="1"/>
              </w:rPr>
              <w:t>12</w:t>
            </w:r>
          </w:p>
        </w:tc>
        <w:tc>
          <w:tcPr>
            <w:tcW w:w="1147" w:type="dxa"/>
            <w:vAlign w:val="top"/>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211" w:right="212" w:hanging="3"/>
              <w:spacing w:before="58" w:line="276" w:lineRule="auto"/>
              <w:rPr/>
            </w:pPr>
            <w:r>
              <w:rPr>
                <w:spacing w:val="-1"/>
              </w:rPr>
              <w:t>建立务实</w:t>
            </w:r>
            <w:r>
              <w:rPr>
                <w:spacing w:val="-2"/>
              </w:rPr>
              <w:t>高效用编</w:t>
            </w:r>
          </w:p>
          <w:p>
            <w:pPr>
              <w:pStyle w:val="TableText"/>
              <w:ind w:left="209"/>
              <w:spacing w:line="210" w:lineRule="auto"/>
              <w:rPr/>
            </w:pPr>
            <w:r>
              <w:rPr>
                <w:spacing w:val="-2"/>
              </w:rPr>
              <w:t>用人制度</w:t>
            </w:r>
          </w:p>
        </w:tc>
        <w:tc>
          <w:tcPr>
            <w:tcW w:w="5665" w:type="dxa"/>
            <w:vAlign w:val="top"/>
          </w:tcPr>
          <w:p>
            <w:pPr>
              <w:pStyle w:val="TableText"/>
              <w:ind w:left="103" w:right="39" w:firstLine="3"/>
              <w:spacing w:before="71" w:line="256" w:lineRule="auto"/>
              <w:rPr/>
            </w:pPr>
            <w:r>
              <w:rPr>
                <w:spacing w:val="-5"/>
              </w:rPr>
              <w:t>3</w:t>
            </w:r>
            <w:r>
              <w:rPr>
                <w:spacing w:val="-48"/>
              </w:rPr>
              <w:t xml:space="preserve"> </w:t>
            </w:r>
            <w:r>
              <w:rPr>
                <w:spacing w:val="-5"/>
              </w:rPr>
              <w:t>月10 日前，推进编制资源向乡镇倾斜，</w:t>
            </w:r>
            <w:r>
              <w:rPr>
                <w:spacing w:val="-6"/>
              </w:rPr>
              <w:t>采取减县补乡和减上补下的办</w:t>
            </w:r>
            <w:r>
              <w:rPr>
                <w:spacing w:val="1"/>
              </w:rPr>
              <w:t>法，充实加强基层一线工作力量。乡镇人员编制</w:t>
            </w:r>
            <w:r>
              <w:rPr/>
              <w:t>增幅平均不低于20%。 </w:t>
            </w:r>
            <w:r>
              <w:rPr>
                <w:spacing w:val="-3"/>
              </w:rPr>
              <w:t>3</w:t>
            </w:r>
            <w:r>
              <w:rPr>
                <w:spacing w:val="-25"/>
              </w:rPr>
              <w:t xml:space="preserve"> </w:t>
            </w:r>
            <w:r>
              <w:rPr>
                <w:spacing w:val="-3"/>
              </w:rPr>
              <w:t>月</w:t>
            </w:r>
            <w:r>
              <w:rPr>
                <w:spacing w:val="-27"/>
              </w:rPr>
              <w:t xml:space="preserve"> </w:t>
            </w:r>
            <w:r>
              <w:rPr>
                <w:spacing w:val="-3"/>
              </w:rPr>
              <w:t>15 日前，乡镇上报新组建党政机构和事业单位人员定岗情况。</w:t>
            </w:r>
          </w:p>
          <w:p>
            <w:pPr>
              <w:pStyle w:val="TableText"/>
              <w:ind w:left="102" w:right="102" w:firstLine="4"/>
              <w:spacing w:before="3" w:line="246" w:lineRule="auto"/>
              <w:rPr/>
            </w:pPr>
            <w:r>
              <w:rPr/>
              <w:t>3</w:t>
            </w:r>
            <w:r>
              <w:rPr>
                <w:spacing w:val="-38"/>
              </w:rPr>
              <w:t xml:space="preserve"> </w:t>
            </w:r>
            <w:r>
              <w:rPr/>
              <w:t>月31 日前，负责乡镇新组建党政机构和事业单位</w:t>
            </w:r>
            <w:r>
              <w:rPr>
                <w:spacing w:val="-1"/>
              </w:rPr>
              <w:t>负责人调配，事业</w:t>
            </w:r>
            <w:r>
              <w:rPr>
                <w:spacing w:val="-1"/>
              </w:rPr>
              <w:t>单位负责人可按副科级配备。</w:t>
            </w:r>
          </w:p>
          <w:p>
            <w:pPr>
              <w:pStyle w:val="TableText"/>
              <w:ind w:left="102" w:right="102" w:hanging="1"/>
              <w:spacing w:before="18" w:line="248" w:lineRule="auto"/>
              <w:rPr/>
            </w:pPr>
            <w:r>
              <w:rPr>
                <w:spacing w:val="-7"/>
              </w:rPr>
              <w:t>4</w:t>
            </w:r>
            <w:r>
              <w:rPr>
                <w:spacing w:val="-39"/>
              </w:rPr>
              <w:t xml:space="preserve"> </w:t>
            </w:r>
            <w:r>
              <w:rPr>
                <w:spacing w:val="-7"/>
              </w:rPr>
              <w:t>月</w:t>
            </w:r>
            <w:r>
              <w:rPr>
                <w:spacing w:val="-27"/>
              </w:rPr>
              <w:t xml:space="preserve"> </w:t>
            </w:r>
            <w:r>
              <w:rPr>
                <w:spacing w:val="-7"/>
              </w:rPr>
              <w:t>10 日前，人社局负责制定《乡镇条</w:t>
            </w:r>
            <w:r>
              <w:rPr>
                <w:spacing w:val="-8"/>
              </w:rPr>
              <w:t>线辅助人员管理办法》，整合条</w:t>
            </w:r>
            <w:r>
              <w:rPr/>
              <w:t>线辅助人员，按照属地化管理原则，由乡镇统</w:t>
            </w:r>
            <w:r>
              <w:rPr>
                <w:spacing w:val="-1"/>
              </w:rPr>
              <w:t>筹指挥调配。</w:t>
            </w:r>
          </w:p>
          <w:p>
            <w:pPr>
              <w:pStyle w:val="TableText"/>
              <w:ind w:left="102" w:right="102" w:hanging="1"/>
              <w:spacing w:before="15" w:line="246" w:lineRule="auto"/>
              <w:rPr/>
            </w:pPr>
            <w:r>
              <w:rPr>
                <w:spacing w:val="-2"/>
              </w:rPr>
              <w:t>4</w:t>
            </w:r>
            <w:r>
              <w:rPr>
                <w:spacing w:val="-38"/>
              </w:rPr>
              <w:t xml:space="preserve"> </w:t>
            </w:r>
            <w:r>
              <w:rPr>
                <w:spacing w:val="-2"/>
              </w:rPr>
              <w:t>月</w:t>
            </w:r>
            <w:r>
              <w:rPr>
                <w:spacing w:val="-25"/>
              </w:rPr>
              <w:t xml:space="preserve"> </w:t>
            </w:r>
            <w:r>
              <w:rPr>
                <w:spacing w:val="-2"/>
              </w:rPr>
              <w:t>15 日前，编办规范乡镇编制总额管理、动态管理机制及</w:t>
            </w:r>
            <w:r>
              <w:rPr>
                <w:spacing w:val="-3"/>
              </w:rPr>
              <w:t>用编用人</w:t>
            </w:r>
            <w:r>
              <w:rPr>
                <w:spacing w:val="-1"/>
              </w:rPr>
              <w:t>优先保障空编乡镇机制。</w:t>
            </w:r>
          </w:p>
        </w:tc>
        <w:tc>
          <w:tcPr>
            <w:tcW w:w="3050" w:type="dxa"/>
            <w:vAlign w:val="top"/>
          </w:tcPr>
          <w:p>
            <w:pPr>
              <w:pStyle w:val="TableText"/>
              <w:ind w:left="106" w:right="93" w:firstLine="16"/>
              <w:spacing w:before="31" w:line="254" w:lineRule="auto"/>
              <w:rPr/>
            </w:pPr>
            <w:r>
              <w:rPr>
                <w:spacing w:val="-4"/>
              </w:rPr>
              <w:t>1.统筹使用乡镇人员编制，优化资源</w:t>
            </w:r>
            <w:r>
              <w:rPr>
                <w:spacing w:val="-3"/>
              </w:rPr>
              <w:t>配置，充实加强基层一线工作力量，</w:t>
            </w:r>
            <w:r>
              <w:rPr>
                <w:spacing w:val="8"/>
              </w:rPr>
              <w:t>建立符合基层工作特点的人员编制</w:t>
            </w:r>
            <w:r>
              <w:rPr>
                <w:spacing w:val="-1"/>
              </w:rPr>
              <w:t>资源配置模式。</w:t>
            </w:r>
          </w:p>
          <w:p>
            <w:pPr>
              <w:pStyle w:val="TableText"/>
              <w:ind w:left="106" w:right="99" w:firstLine="1"/>
              <w:spacing w:before="50" w:line="249" w:lineRule="auto"/>
              <w:rPr/>
            </w:pPr>
            <w:r>
              <w:rPr>
                <w:spacing w:val="-3"/>
              </w:rPr>
              <w:t>2.有序推进各类人才向乡镇流动，切</w:t>
            </w:r>
            <w:r>
              <w:rPr>
                <w:spacing w:val="-3"/>
              </w:rPr>
              <w:t>实加强基层工作力量，赋予乡镇更加</w:t>
            </w:r>
            <w:r>
              <w:rPr>
                <w:spacing w:val="-1"/>
              </w:rPr>
              <w:t>灵活的用人自主权。</w:t>
            </w:r>
          </w:p>
          <w:p>
            <w:pPr>
              <w:pStyle w:val="TableText"/>
              <w:ind w:left="106" w:right="102" w:firstLine="4"/>
              <w:spacing w:before="53" w:line="241" w:lineRule="auto"/>
              <w:rPr/>
            </w:pPr>
            <w:r>
              <w:rPr>
                <w:spacing w:val="-4"/>
              </w:rPr>
              <w:t>3.整合条线辅助人员，提高人员使用</w:t>
            </w:r>
            <w:r>
              <w:rPr>
                <w:spacing w:val="-2"/>
              </w:rPr>
              <w:t>效率。</w:t>
            </w:r>
          </w:p>
        </w:tc>
        <w:tc>
          <w:tcPr>
            <w:tcW w:w="979" w:type="dxa"/>
            <w:vAlign w:val="top"/>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223"/>
              <w:spacing w:before="59" w:line="209" w:lineRule="auto"/>
              <w:rPr/>
            </w:pPr>
            <w:r>
              <w:rPr>
                <w:spacing w:val="-3"/>
              </w:rPr>
              <w:t>王淑玲</w:t>
            </w:r>
          </w:p>
        </w:tc>
        <w:tc>
          <w:tcPr>
            <w:tcW w:w="1096" w:type="dxa"/>
            <w:vAlign w:val="top"/>
          </w:tcPr>
          <w:p>
            <w:pPr>
              <w:rPr>
                <w:rFonts w:ascii="Arial"/>
                <w:sz w:val="21"/>
              </w:rPr>
            </w:pPr>
            <w:r/>
          </w:p>
          <w:p>
            <w:pPr>
              <w:rPr>
                <w:rFonts w:ascii="Arial"/>
                <w:sz w:val="21"/>
              </w:rPr>
            </w:pPr>
            <w:r/>
          </w:p>
          <w:p>
            <w:pPr>
              <w:pStyle w:val="TableText"/>
              <w:ind w:left="109" w:right="102" w:firstLine="1"/>
              <w:spacing w:before="58" w:line="276" w:lineRule="auto"/>
              <w:jc w:val="both"/>
              <w:rPr/>
            </w:pPr>
            <w:r>
              <w:rPr>
                <w:spacing w:val="-2"/>
              </w:rPr>
              <w:t>县委组织</w:t>
            </w:r>
            <w:r>
              <w:rPr>
                <w:spacing w:val="-6"/>
              </w:rPr>
              <w:t>部、编办、</w:t>
            </w:r>
            <w:r>
              <w:rPr>
                <w:spacing w:val="-1"/>
              </w:rPr>
              <w:t>县人力资</w:t>
            </w:r>
            <w:r>
              <w:rPr>
                <w:spacing w:val="-1"/>
              </w:rPr>
              <w:t>源社会保</w:t>
            </w:r>
            <w:r>
              <w:rPr>
                <w:spacing w:val="-2"/>
              </w:rPr>
              <w:t>障局</w:t>
            </w:r>
          </w:p>
        </w:tc>
        <w:tc>
          <w:tcPr>
            <w:tcW w:w="1403" w:type="dxa"/>
            <w:vAlign w:val="top"/>
          </w:tcPr>
          <w:p>
            <w:pPr>
              <w:spacing w:line="303" w:lineRule="auto"/>
              <w:rPr>
                <w:rFonts w:ascii="Arial"/>
                <w:sz w:val="21"/>
              </w:rPr>
            </w:pPr>
            <w:r/>
          </w:p>
          <w:p>
            <w:pPr>
              <w:spacing w:line="304" w:lineRule="auto"/>
              <w:rPr>
                <w:rFonts w:ascii="Arial"/>
                <w:sz w:val="21"/>
              </w:rPr>
            </w:pPr>
            <w:r/>
          </w:p>
          <w:p>
            <w:pPr>
              <w:pStyle w:val="TableText"/>
              <w:ind w:left="107" w:right="48" w:firstLine="4"/>
              <w:spacing w:before="59" w:line="277" w:lineRule="auto"/>
              <w:jc w:val="both"/>
              <w:rPr/>
            </w:pPr>
            <w:r>
              <w:rPr>
                <w:spacing w:val="-13"/>
              </w:rPr>
              <w:t>财政局、自然资</w:t>
            </w:r>
            <w:r>
              <w:rPr>
                <w:spacing w:val="-4"/>
              </w:rPr>
              <w:t>源局、水务局、</w:t>
            </w:r>
            <w:r>
              <w:rPr>
                <w:spacing w:val="-12"/>
              </w:rPr>
              <w:t>农业农村局，各</w:t>
            </w:r>
            <w:r>
              <w:rPr>
                <w:spacing w:val="-1"/>
              </w:rPr>
              <w:t>乡镇</w:t>
            </w:r>
          </w:p>
        </w:tc>
      </w:tr>
    </w:tbl>
    <w:p>
      <w:pPr>
        <w:spacing w:line="143" w:lineRule="exact"/>
        <w:rPr>
          <w:rFonts w:ascii="Arial"/>
          <w:sz w:val="12"/>
        </w:rPr>
      </w:pPr>
      <w:r/>
    </w:p>
    <w:p>
      <w:pPr>
        <w:spacing w:line="143" w:lineRule="exact"/>
        <w:sectPr>
          <w:headerReference w:type="default" r:id="rId427"/>
          <w:footerReference w:type="default" r:id="rId428"/>
          <w:pgSz w:w="16839" w:h="11906"/>
          <w:pgMar w:top="1792" w:right="1465" w:bottom="1672" w:left="1465" w:header="1428" w:footer="1277" w:gutter="0"/>
        </w:sectPr>
        <w:rPr>
          <w:rFonts w:ascii="Arial" w:hAnsi="Arial" w:eastAsia="Arial" w:cs="Arial"/>
          <w:sz w:val="12"/>
          <w:szCs w:val="12"/>
        </w:rPr>
      </w:pPr>
    </w:p>
    <w:p>
      <w:pPr>
        <w:spacing w:line="177" w:lineRule="exact"/>
        <w:rPr/>
      </w:pPr>
      <w:r>
        <w:drawing>
          <wp:anchor distT="0" distB="0" distL="0" distR="0" simplePos="0" relativeHeight="251965440" behindDoc="0" locked="0" layoutInCell="0" allowOverlap="1">
            <wp:simplePos x="0" y="0"/>
            <wp:positionH relativeFrom="page">
              <wp:posOffset>1008380</wp:posOffset>
            </wp:positionH>
            <wp:positionV relativeFrom="page">
              <wp:posOffset>1147445</wp:posOffset>
            </wp:positionV>
            <wp:extent cx="8712200" cy="7620"/>
            <wp:effectExtent l="0" t="0" r="0" b="0"/>
            <wp:wrapNone/>
            <wp:docPr id="860" name="IM 860"/>
            <wp:cNvGraphicFramePr/>
            <a:graphic>
              <a:graphicData uri="http://schemas.openxmlformats.org/drawingml/2006/picture">
                <pic:pic>
                  <pic:nvPicPr>
                    <pic:cNvPr id="860" name="IM 860"/>
                    <pic:cNvPicPr/>
                  </pic:nvPicPr>
                  <pic:blipFill>
                    <a:blip r:embed="rId432"/>
                    <a:stretch>
                      <a:fillRect/>
                    </a:stretch>
                  </pic:blipFill>
                  <pic:spPr>
                    <a:xfrm rot="0">
                      <a:off x="0" y="0"/>
                      <a:ext cx="8712200" cy="7620"/>
                    </a:xfrm>
                    <a:prstGeom prst="rect">
                      <a:avLst/>
                    </a:prstGeom>
                  </pic:spPr>
                </pic:pic>
              </a:graphicData>
            </a:graphic>
          </wp:anchor>
        </w:drawing>
      </w:r>
      <w:r/>
    </w:p>
    <w:tbl>
      <w:tblPr>
        <w:tblStyle w:val="TableNormal"/>
        <w:tblW w:w="13896"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56"/>
        <w:gridCol w:w="1147"/>
        <w:gridCol w:w="5665"/>
        <w:gridCol w:w="3050"/>
        <w:gridCol w:w="979"/>
        <w:gridCol w:w="1096"/>
        <w:gridCol w:w="1403"/>
      </w:tblGrid>
      <w:tr>
        <w:trPr>
          <w:trHeight w:val="583" w:hRule="atLeast"/>
        </w:trPr>
        <w:tc>
          <w:tcPr>
            <w:tcW w:w="556" w:type="dxa"/>
            <w:vAlign w:val="top"/>
          </w:tcPr>
          <w:p>
            <w:pPr>
              <w:pStyle w:val="TableText"/>
              <w:ind w:left="117"/>
              <w:spacing w:before="190" w:line="214" w:lineRule="auto"/>
              <w:rPr/>
            </w:pPr>
            <w:r>
              <w:rPr>
                <w:b/>
                <w:bCs/>
                <w:spacing w:val="-4"/>
              </w:rPr>
              <w:t>序号</w:t>
            </w:r>
          </w:p>
        </w:tc>
        <w:tc>
          <w:tcPr>
            <w:tcW w:w="1147" w:type="dxa"/>
            <w:vAlign w:val="top"/>
          </w:tcPr>
          <w:p>
            <w:pPr>
              <w:pStyle w:val="TableText"/>
              <w:ind w:left="239"/>
              <w:spacing w:before="190" w:line="213" w:lineRule="auto"/>
              <w:rPr/>
            </w:pPr>
            <w:r>
              <w:rPr>
                <w:b/>
                <w:bCs/>
                <w:spacing w:val="-10"/>
              </w:rPr>
              <w:t>主要任务</w:t>
            </w:r>
          </w:p>
        </w:tc>
        <w:tc>
          <w:tcPr>
            <w:tcW w:w="5665" w:type="dxa"/>
            <w:vAlign w:val="top"/>
          </w:tcPr>
          <w:p>
            <w:pPr>
              <w:pStyle w:val="TableText"/>
              <w:ind w:left="2495"/>
              <w:spacing w:before="192" w:line="211" w:lineRule="auto"/>
              <w:rPr/>
            </w:pPr>
            <w:r>
              <w:rPr>
                <w:b/>
                <w:bCs/>
                <w:spacing w:val="-9"/>
              </w:rPr>
              <w:t>推进措施</w:t>
            </w:r>
          </w:p>
        </w:tc>
        <w:tc>
          <w:tcPr>
            <w:tcW w:w="3050" w:type="dxa"/>
            <w:vAlign w:val="top"/>
          </w:tcPr>
          <w:p>
            <w:pPr>
              <w:pStyle w:val="TableText"/>
              <w:ind w:left="1192"/>
              <w:spacing w:before="191" w:line="211" w:lineRule="auto"/>
              <w:rPr/>
            </w:pPr>
            <w:r>
              <w:rPr>
                <w:b/>
                <w:bCs/>
                <w:spacing w:val="-10"/>
              </w:rPr>
              <w:t>预期目标</w:t>
            </w:r>
          </w:p>
        </w:tc>
        <w:tc>
          <w:tcPr>
            <w:tcW w:w="979" w:type="dxa"/>
            <w:vAlign w:val="top"/>
          </w:tcPr>
          <w:p>
            <w:pPr>
              <w:pStyle w:val="TableText"/>
              <w:ind w:left="177"/>
              <w:spacing w:before="190" w:line="213" w:lineRule="auto"/>
              <w:rPr/>
            </w:pPr>
            <w:r>
              <w:rPr>
                <w:b/>
                <w:bCs/>
                <w:spacing w:val="-15"/>
              </w:rPr>
              <w:t>责任领导</w:t>
            </w:r>
          </w:p>
        </w:tc>
        <w:tc>
          <w:tcPr>
            <w:tcW w:w="1096" w:type="dxa"/>
            <w:vAlign w:val="top"/>
          </w:tcPr>
          <w:p>
            <w:pPr>
              <w:pStyle w:val="TableText"/>
              <w:ind w:left="236"/>
              <w:spacing w:before="191" w:line="212" w:lineRule="auto"/>
              <w:rPr/>
            </w:pPr>
            <w:r>
              <w:rPr>
                <w:b/>
                <w:bCs/>
                <w:spacing w:val="-15"/>
              </w:rPr>
              <w:t>牵头单位</w:t>
            </w:r>
          </w:p>
        </w:tc>
        <w:tc>
          <w:tcPr>
            <w:tcW w:w="1403" w:type="dxa"/>
            <w:vAlign w:val="top"/>
          </w:tcPr>
          <w:p>
            <w:pPr>
              <w:pStyle w:val="TableText"/>
              <w:ind w:left="358"/>
              <w:spacing w:before="190" w:line="214" w:lineRule="auto"/>
              <w:rPr/>
            </w:pPr>
            <w:r>
              <w:rPr>
                <w:b/>
                <w:bCs/>
                <w:spacing w:val="-9"/>
              </w:rPr>
              <w:t>实施单位</w:t>
            </w:r>
          </w:p>
        </w:tc>
      </w:tr>
      <w:tr>
        <w:trPr>
          <w:trHeight w:val="1893" w:hRule="atLeast"/>
        </w:trPr>
        <w:tc>
          <w:tcPr>
            <w:tcW w:w="556" w:type="dxa"/>
            <w:vAlign w:val="top"/>
          </w:tcPr>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202"/>
              <w:spacing w:before="59" w:line="260" w:lineRule="exact"/>
              <w:rPr/>
            </w:pPr>
            <w:r>
              <w:rPr>
                <w:spacing w:val="-11"/>
                <w:position w:val="1"/>
              </w:rPr>
              <w:t>13</w:t>
            </w:r>
          </w:p>
        </w:tc>
        <w:tc>
          <w:tcPr>
            <w:tcW w:w="1147" w:type="dxa"/>
            <w:vAlign w:val="top"/>
          </w:tcPr>
          <w:p>
            <w:pPr>
              <w:spacing w:line="324" w:lineRule="auto"/>
              <w:rPr>
                <w:rFonts w:ascii="Arial"/>
                <w:sz w:val="21"/>
              </w:rPr>
            </w:pPr>
            <w:r/>
          </w:p>
          <w:p>
            <w:pPr>
              <w:spacing w:line="324" w:lineRule="auto"/>
              <w:rPr>
                <w:rFonts w:ascii="Arial"/>
                <w:sz w:val="21"/>
              </w:rPr>
            </w:pPr>
            <w:r/>
          </w:p>
          <w:p>
            <w:pPr>
              <w:pStyle w:val="TableText"/>
              <w:ind w:left="296" w:right="303" w:firstLine="2"/>
              <w:spacing w:before="58" w:line="278" w:lineRule="auto"/>
              <w:rPr/>
            </w:pPr>
            <w:r>
              <w:rPr>
                <w:spacing w:val="-2"/>
              </w:rPr>
              <w:t>强化事</w:t>
            </w:r>
            <w:r>
              <w:rPr>
                <w:spacing w:val="-1"/>
              </w:rPr>
              <w:t>权保障</w:t>
            </w:r>
          </w:p>
        </w:tc>
        <w:tc>
          <w:tcPr>
            <w:tcW w:w="5665" w:type="dxa"/>
            <w:vAlign w:val="top"/>
          </w:tcPr>
          <w:p>
            <w:pPr>
              <w:pStyle w:val="TableText"/>
              <w:ind w:left="101"/>
              <w:spacing w:before="62" w:line="240" w:lineRule="exact"/>
              <w:rPr/>
            </w:pPr>
            <w:r>
              <w:rPr>
                <w:spacing w:val="-1"/>
                <w:position w:val="1"/>
              </w:rPr>
              <w:t>4</w:t>
            </w:r>
            <w:r>
              <w:rPr>
                <w:spacing w:val="-25"/>
                <w:position w:val="1"/>
              </w:rPr>
              <w:t xml:space="preserve"> </w:t>
            </w:r>
            <w:r>
              <w:rPr>
                <w:spacing w:val="-1"/>
                <w:position w:val="1"/>
              </w:rPr>
              <w:t>月30 日前，筹备采购乡镇办公设施及综合执法设备设施。</w:t>
            </w:r>
          </w:p>
          <w:p>
            <w:pPr>
              <w:pStyle w:val="TableText"/>
              <w:ind w:left="101" w:right="137" w:firstLine="3"/>
              <w:spacing w:before="18" w:line="256" w:lineRule="auto"/>
              <w:rPr/>
            </w:pPr>
            <w:r>
              <w:rPr>
                <w:spacing w:val="-3"/>
              </w:rPr>
              <w:t>5</w:t>
            </w:r>
            <w:r>
              <w:rPr>
                <w:spacing w:val="-39"/>
              </w:rPr>
              <w:t xml:space="preserve"> </w:t>
            </w:r>
            <w:r>
              <w:rPr>
                <w:spacing w:val="-3"/>
              </w:rPr>
              <w:t>月</w:t>
            </w:r>
            <w:r>
              <w:rPr>
                <w:spacing w:val="-27"/>
              </w:rPr>
              <w:t xml:space="preserve"> </w:t>
            </w:r>
            <w:r>
              <w:rPr>
                <w:spacing w:val="-3"/>
              </w:rPr>
              <w:t>10 日前，建立对乡镇资金保障机制，坚持重心下</w:t>
            </w:r>
            <w:r>
              <w:rPr>
                <w:spacing w:val="-4"/>
              </w:rPr>
              <w:t>移、力量下沉、</w:t>
            </w:r>
            <w:r>
              <w:rPr>
                <w:spacing w:val="-1"/>
              </w:rPr>
              <w:t>保障下倾，调动基层发展的积极性。</w:t>
            </w:r>
          </w:p>
          <w:p>
            <w:pPr>
              <w:pStyle w:val="TableText"/>
              <w:ind w:left="103" w:right="137" w:firstLine="1"/>
              <w:spacing w:before="21" w:line="267" w:lineRule="auto"/>
              <w:rPr/>
            </w:pPr>
            <w:r>
              <w:rPr>
                <w:spacing w:val="-1"/>
              </w:rPr>
              <w:t>5</w:t>
            </w:r>
            <w:r>
              <w:rPr>
                <w:spacing w:val="-39"/>
              </w:rPr>
              <w:t xml:space="preserve"> </w:t>
            </w:r>
            <w:r>
              <w:rPr>
                <w:spacing w:val="-1"/>
              </w:rPr>
              <w:t>月20 日前，改革涉及的机构人员调整后，相关部</w:t>
            </w:r>
            <w:r>
              <w:rPr>
                <w:spacing w:val="-2"/>
              </w:rPr>
              <w:t>门按照人随编走、</w:t>
            </w:r>
            <w:r>
              <w:rPr/>
              <w:t>钱随事走的原则，对人员工资、项目支出进行预算调剂</w:t>
            </w:r>
            <w:r>
              <w:rPr>
                <w:spacing w:val="-1"/>
              </w:rPr>
              <w:t>，确保相关职</w:t>
            </w:r>
            <w:r>
              <w:rPr/>
              <w:t>责继续落实到位。同时，要厘清财产、资产和债务明细</w:t>
            </w:r>
            <w:r>
              <w:rPr>
                <w:spacing w:val="-1"/>
              </w:rPr>
              <w:t>，及时清查交</w:t>
            </w:r>
            <w:r>
              <w:rPr>
                <w:spacing w:val="-1"/>
              </w:rPr>
              <w:t>接、划转。</w:t>
            </w:r>
          </w:p>
        </w:tc>
        <w:tc>
          <w:tcPr>
            <w:tcW w:w="3050" w:type="dxa"/>
            <w:vAlign w:val="top"/>
          </w:tcPr>
          <w:p>
            <w:pPr>
              <w:pStyle w:val="TableText"/>
              <w:ind w:left="106" w:right="79" w:firstLine="1"/>
              <w:spacing w:before="194" w:line="267" w:lineRule="auto"/>
              <w:jc w:val="both"/>
              <w:rPr/>
            </w:pPr>
            <w:r>
              <w:rPr>
                <w:spacing w:val="8"/>
              </w:rPr>
              <w:t>加强下放给乡镇和事权的人才、技</w:t>
            </w:r>
            <w:r>
              <w:rPr>
                <w:spacing w:val="-2"/>
              </w:rPr>
              <w:t>术、资金、网络端口等方面的保障，</w:t>
            </w:r>
            <w:r>
              <w:rPr>
                <w:spacing w:val="-3"/>
              </w:rPr>
              <w:t>调动基层发展的积极性，做到权随事</w:t>
            </w:r>
            <w:r>
              <w:rPr>
                <w:spacing w:val="-3"/>
              </w:rPr>
              <w:t>转、人随事转、钱随事转，使基层有</w:t>
            </w:r>
            <w:r>
              <w:rPr>
                <w:spacing w:val="-2"/>
              </w:rPr>
              <w:t>人有物有权，保证基层事情基层办、</w:t>
            </w:r>
            <w:r>
              <w:rPr>
                <w:spacing w:val="-2"/>
              </w:rPr>
              <w:t>基层权力给基层、基层事情有人办。</w:t>
            </w:r>
          </w:p>
        </w:tc>
        <w:tc>
          <w:tcPr>
            <w:tcW w:w="979" w:type="dxa"/>
            <w:vAlign w:val="top"/>
          </w:tcPr>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310"/>
              <w:spacing w:before="58" w:line="210" w:lineRule="auto"/>
              <w:rPr/>
            </w:pPr>
            <w:r>
              <w:rPr>
                <w:spacing w:val="-2"/>
              </w:rPr>
              <w:t>李刚</w:t>
            </w:r>
          </w:p>
        </w:tc>
        <w:tc>
          <w:tcPr>
            <w:tcW w:w="1096" w:type="dxa"/>
            <w:vAlign w:val="top"/>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pStyle w:val="TableText"/>
              <w:ind w:left="190"/>
              <w:spacing w:before="58" w:line="211" w:lineRule="auto"/>
              <w:rPr/>
            </w:pPr>
            <w:r>
              <w:rPr>
                <w:spacing w:val="-2"/>
              </w:rPr>
              <w:t>县财政局</w:t>
            </w:r>
          </w:p>
        </w:tc>
        <w:tc>
          <w:tcPr>
            <w:tcW w:w="1403"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429"/>
              <w:spacing w:before="59" w:line="211" w:lineRule="auto"/>
              <w:rPr/>
            </w:pPr>
            <w:r>
              <w:rPr>
                <w:spacing w:val="-2"/>
              </w:rPr>
              <w:t>各乡镇</w:t>
            </w:r>
          </w:p>
        </w:tc>
      </w:tr>
      <w:tr>
        <w:trPr>
          <w:trHeight w:val="1319" w:hRule="atLeast"/>
        </w:trPr>
        <w:tc>
          <w:tcPr>
            <w:tcW w:w="556" w:type="dxa"/>
            <w:vAlign w:val="top"/>
          </w:tcPr>
          <w:p>
            <w:pPr>
              <w:spacing w:line="246" w:lineRule="auto"/>
              <w:rPr>
                <w:rFonts w:ascii="Arial"/>
                <w:sz w:val="21"/>
              </w:rPr>
            </w:pPr>
            <w:r/>
          </w:p>
          <w:p>
            <w:pPr>
              <w:spacing w:line="247" w:lineRule="auto"/>
              <w:rPr>
                <w:rFonts w:ascii="Arial"/>
                <w:sz w:val="21"/>
              </w:rPr>
            </w:pPr>
            <w:r/>
          </w:p>
          <w:p>
            <w:pPr>
              <w:pStyle w:val="TableText"/>
              <w:ind w:left="202"/>
              <w:spacing w:before="58" w:line="262" w:lineRule="exact"/>
              <w:rPr/>
            </w:pPr>
            <w:r>
              <w:rPr>
                <w:spacing w:val="-11"/>
                <w:position w:val="1"/>
              </w:rPr>
              <w:t>14</w:t>
            </w:r>
          </w:p>
        </w:tc>
        <w:tc>
          <w:tcPr>
            <w:tcW w:w="1147" w:type="dxa"/>
            <w:vAlign w:val="top"/>
          </w:tcPr>
          <w:p>
            <w:pPr>
              <w:spacing w:line="365" w:lineRule="auto"/>
              <w:rPr>
                <w:rFonts w:ascii="Arial"/>
                <w:sz w:val="21"/>
              </w:rPr>
            </w:pPr>
            <w:r/>
          </w:p>
          <w:p>
            <w:pPr>
              <w:pStyle w:val="TableText"/>
              <w:ind w:left="207" w:right="212" w:firstLine="1"/>
              <w:spacing w:before="59" w:line="275" w:lineRule="auto"/>
              <w:rPr/>
            </w:pPr>
            <w:r>
              <w:rPr>
                <w:spacing w:val="-2"/>
              </w:rPr>
              <w:t>完善激励</w:t>
            </w:r>
            <w:r>
              <w:rPr>
                <w:spacing w:val="-1"/>
              </w:rPr>
              <w:t>保障机制</w:t>
            </w:r>
          </w:p>
        </w:tc>
        <w:tc>
          <w:tcPr>
            <w:tcW w:w="5665" w:type="dxa"/>
            <w:vAlign w:val="top"/>
          </w:tcPr>
          <w:p>
            <w:pPr>
              <w:pStyle w:val="TableText"/>
              <w:ind w:left="101" w:right="100"/>
              <w:spacing w:before="78" w:line="250" w:lineRule="auto"/>
              <w:jc w:val="both"/>
              <w:rPr/>
            </w:pPr>
            <w:r>
              <w:rPr/>
              <w:t>4</w:t>
            </w:r>
            <w:r>
              <w:rPr>
                <w:spacing w:val="-38"/>
              </w:rPr>
              <w:t xml:space="preserve"> </w:t>
            </w:r>
            <w:r>
              <w:rPr/>
              <w:t>月30 日前，全面落实乡镇工作人员各项待遇政策，并向条件艰苦的</w:t>
            </w:r>
            <w:r>
              <w:rPr>
                <w:spacing w:val="2"/>
              </w:rPr>
              <w:t>偏远乡镇和长期在乡镇工作的人员倾斜。乡</w:t>
            </w:r>
            <w:r>
              <w:rPr>
                <w:spacing w:val="1"/>
              </w:rPr>
              <w:t>镇年度考核优秀比例提高</w:t>
            </w:r>
            <w:r>
              <w:rPr>
                <w:spacing w:val="3"/>
              </w:rPr>
              <w:t>到</w:t>
            </w:r>
            <w:r>
              <w:rPr>
                <w:spacing w:val="-40"/>
              </w:rPr>
              <w:t xml:space="preserve"> </w:t>
            </w:r>
            <w:r>
              <w:rPr>
                <w:spacing w:val="3"/>
              </w:rPr>
              <w:t>20%，工作成绩突出的可按年度考核相关要求的最高标准</w:t>
            </w:r>
            <w:r>
              <w:rPr>
                <w:spacing w:val="2"/>
              </w:rPr>
              <w:t>执行。落</w:t>
            </w:r>
            <w:r>
              <w:rPr>
                <w:spacing w:val="2"/>
              </w:rPr>
              <w:t>实乡镇工作补贴政策，确保乡镇机关事业单</w:t>
            </w:r>
            <w:r>
              <w:rPr>
                <w:spacing w:val="1"/>
              </w:rPr>
              <w:t>位工作人员收入高于县直</w:t>
            </w:r>
            <w:r>
              <w:rPr>
                <w:spacing w:val="6"/>
              </w:rPr>
              <w:t>机关事业单位同职级人员20%。</w:t>
            </w:r>
          </w:p>
        </w:tc>
        <w:tc>
          <w:tcPr>
            <w:tcW w:w="3050" w:type="dxa"/>
            <w:vAlign w:val="top"/>
          </w:tcPr>
          <w:p>
            <w:pPr>
              <w:spacing w:line="379" w:lineRule="auto"/>
              <w:rPr>
                <w:rFonts w:ascii="Arial"/>
                <w:sz w:val="21"/>
              </w:rPr>
            </w:pPr>
            <w:r/>
          </w:p>
          <w:p>
            <w:pPr>
              <w:pStyle w:val="TableText"/>
              <w:ind w:left="105" w:right="99" w:firstLine="1"/>
              <w:spacing w:before="58" w:line="248" w:lineRule="auto"/>
              <w:rPr/>
            </w:pPr>
            <w:r>
              <w:rPr>
                <w:spacing w:val="-3"/>
              </w:rPr>
              <w:t>进一步调动基层干部队伍积极性，激</w:t>
            </w:r>
            <w:r>
              <w:rPr>
                <w:spacing w:val="-1"/>
              </w:rPr>
              <w:t>励担当作为、干事创业。</w:t>
            </w:r>
          </w:p>
        </w:tc>
        <w:tc>
          <w:tcPr>
            <w:tcW w:w="979" w:type="dxa"/>
            <w:vAlign w:val="top"/>
          </w:tcPr>
          <w:p>
            <w:pPr>
              <w:spacing w:line="249" w:lineRule="auto"/>
              <w:rPr>
                <w:rFonts w:ascii="Arial"/>
                <w:sz w:val="21"/>
              </w:rPr>
            </w:pPr>
            <w:r/>
          </w:p>
          <w:p>
            <w:pPr>
              <w:spacing w:line="249" w:lineRule="auto"/>
              <w:rPr>
                <w:rFonts w:ascii="Arial"/>
                <w:sz w:val="21"/>
              </w:rPr>
            </w:pPr>
            <w:r/>
          </w:p>
          <w:p>
            <w:pPr>
              <w:pStyle w:val="TableText"/>
              <w:ind w:left="223"/>
              <w:spacing w:before="59" w:line="209" w:lineRule="auto"/>
              <w:rPr/>
            </w:pPr>
            <w:r>
              <w:rPr>
                <w:spacing w:val="-3"/>
              </w:rPr>
              <w:t>王淑玲</w:t>
            </w:r>
          </w:p>
        </w:tc>
        <w:tc>
          <w:tcPr>
            <w:tcW w:w="1096" w:type="dxa"/>
            <w:vAlign w:val="top"/>
          </w:tcPr>
          <w:p>
            <w:pPr>
              <w:pStyle w:val="TableText"/>
              <w:ind w:left="190"/>
              <w:spacing w:before="158" w:line="207" w:lineRule="auto"/>
              <w:rPr/>
            </w:pPr>
            <w:r>
              <w:rPr>
                <w:spacing w:val="-2"/>
              </w:rPr>
              <w:t>县委组织</w:t>
            </w:r>
          </w:p>
          <w:p>
            <w:pPr>
              <w:pStyle w:val="TableText"/>
              <w:ind w:left="109"/>
              <w:spacing w:before="63" w:line="212" w:lineRule="auto"/>
              <w:rPr/>
            </w:pPr>
            <w:r>
              <w:rPr>
                <w:spacing w:val="-5"/>
              </w:rPr>
              <w:t>部、人力资</w:t>
            </w:r>
          </w:p>
          <w:p>
            <w:pPr>
              <w:pStyle w:val="TableText"/>
              <w:ind w:left="192"/>
              <w:spacing w:before="62" w:line="211" w:lineRule="auto"/>
              <w:rPr/>
            </w:pPr>
            <w:r>
              <w:rPr>
                <w:spacing w:val="-2"/>
              </w:rPr>
              <w:t>源社会保</w:t>
            </w:r>
          </w:p>
          <w:p>
            <w:pPr>
              <w:pStyle w:val="TableText"/>
              <w:ind w:left="380"/>
              <w:spacing w:before="61" w:line="214" w:lineRule="auto"/>
              <w:rPr/>
            </w:pPr>
            <w:r>
              <w:rPr>
                <w:spacing w:val="-8"/>
              </w:rPr>
              <w:t>障局</w:t>
            </w:r>
          </w:p>
        </w:tc>
        <w:tc>
          <w:tcPr>
            <w:tcW w:w="1403" w:type="dxa"/>
            <w:vAlign w:val="top"/>
          </w:tcPr>
          <w:p>
            <w:pPr>
              <w:spacing w:line="366" w:lineRule="auto"/>
              <w:rPr>
                <w:rFonts w:ascii="Arial"/>
                <w:sz w:val="21"/>
              </w:rPr>
            </w:pPr>
            <w:r/>
          </w:p>
          <w:p>
            <w:pPr>
              <w:pStyle w:val="TableText"/>
              <w:ind w:left="429" w:right="283" w:hanging="178"/>
              <w:spacing w:before="59" w:line="274" w:lineRule="auto"/>
              <w:rPr/>
            </w:pPr>
            <w:r>
              <w:rPr>
                <w:spacing w:val="-9"/>
              </w:rPr>
              <w:t>县财政局，</w:t>
            </w:r>
            <w:r>
              <w:rPr>
                <w:spacing w:val="-2"/>
              </w:rPr>
              <w:t>各乡镇</w:t>
            </w:r>
          </w:p>
        </w:tc>
      </w:tr>
      <w:tr>
        <w:trPr>
          <w:trHeight w:val="1332" w:hRule="atLeast"/>
        </w:trPr>
        <w:tc>
          <w:tcPr>
            <w:tcW w:w="556" w:type="dxa"/>
            <w:vAlign w:val="top"/>
          </w:tcPr>
          <w:p>
            <w:pPr>
              <w:spacing w:line="251" w:lineRule="auto"/>
              <w:rPr>
                <w:rFonts w:ascii="Arial"/>
                <w:sz w:val="21"/>
              </w:rPr>
            </w:pPr>
            <w:r/>
          </w:p>
          <w:p>
            <w:pPr>
              <w:spacing w:line="252" w:lineRule="auto"/>
              <w:rPr>
                <w:rFonts w:ascii="Arial"/>
                <w:sz w:val="21"/>
              </w:rPr>
            </w:pPr>
            <w:r/>
          </w:p>
          <w:p>
            <w:pPr>
              <w:pStyle w:val="TableText"/>
              <w:ind w:left="202"/>
              <w:spacing w:before="58" w:line="261" w:lineRule="exact"/>
              <w:rPr/>
            </w:pPr>
            <w:r>
              <w:rPr>
                <w:spacing w:val="-11"/>
                <w:position w:val="1"/>
              </w:rPr>
              <w:t>15</w:t>
            </w:r>
          </w:p>
        </w:tc>
        <w:tc>
          <w:tcPr>
            <w:tcW w:w="1147" w:type="dxa"/>
            <w:vAlign w:val="top"/>
          </w:tcPr>
          <w:p>
            <w:pPr>
              <w:spacing w:line="375" w:lineRule="auto"/>
              <w:rPr>
                <w:rFonts w:ascii="Arial"/>
                <w:sz w:val="21"/>
              </w:rPr>
            </w:pPr>
            <w:r/>
          </w:p>
          <w:p>
            <w:pPr>
              <w:pStyle w:val="TableText"/>
              <w:ind w:left="298" w:right="123" w:hanging="181"/>
              <w:spacing w:before="59" w:line="276" w:lineRule="auto"/>
              <w:rPr/>
            </w:pPr>
            <w:r>
              <w:rPr>
                <w:spacing w:val="-1"/>
              </w:rPr>
              <w:t>规范“属地</w:t>
            </w:r>
            <w:r>
              <w:rPr>
                <w:spacing w:val="28"/>
              </w:rPr>
              <w:t>管理”</w:t>
            </w:r>
          </w:p>
        </w:tc>
        <w:tc>
          <w:tcPr>
            <w:tcW w:w="5665" w:type="dxa"/>
            <w:vAlign w:val="top"/>
          </w:tcPr>
          <w:p>
            <w:pPr>
              <w:pStyle w:val="TableText"/>
              <w:ind w:left="105" w:right="114" w:hanging="4"/>
              <w:spacing w:before="205" w:line="246" w:lineRule="auto"/>
              <w:rPr/>
            </w:pPr>
            <w:r>
              <w:rPr>
                <w:spacing w:val="-1"/>
              </w:rPr>
              <w:t>4</w:t>
            </w:r>
            <w:r>
              <w:rPr>
                <w:spacing w:val="-21"/>
              </w:rPr>
              <w:t xml:space="preserve"> </w:t>
            </w:r>
            <w:r>
              <w:rPr>
                <w:spacing w:val="-1"/>
              </w:rPr>
              <w:t>月20 日前，研究制定《县乡“属地管理”事项主体责任和配合责任</w:t>
            </w:r>
            <w:r>
              <w:rPr>
                <w:spacing w:val="-1"/>
              </w:rPr>
              <w:t>清单》，合理划分县乡权责边界，健全县乡联动机制。</w:t>
            </w:r>
          </w:p>
          <w:p>
            <w:pPr>
              <w:pStyle w:val="TableText"/>
              <w:ind w:left="120" w:right="114" w:hanging="19"/>
              <w:spacing w:line="238" w:lineRule="auto"/>
              <w:rPr/>
            </w:pPr>
            <w:r>
              <w:rPr>
                <w:spacing w:val="-1"/>
              </w:rPr>
              <w:t>4</w:t>
            </w:r>
            <w:r>
              <w:rPr>
                <w:spacing w:val="-21"/>
              </w:rPr>
              <w:t xml:space="preserve"> </w:t>
            </w:r>
            <w:r>
              <w:rPr>
                <w:spacing w:val="-1"/>
              </w:rPr>
              <w:t>月30 日前，探索建立乡镇职责准入制度，县级职能部门将职责范围</w:t>
            </w:r>
            <w:r>
              <w:rPr>
                <w:spacing w:val="-14"/>
              </w:rPr>
              <w:t>内的行政事务委托或交由乡镇承担的，需审核报批并充分听取基</w:t>
            </w:r>
            <w:r>
              <w:rPr>
                <w:spacing w:val="-15"/>
              </w:rPr>
              <w:t>层意见。</w:t>
            </w:r>
          </w:p>
        </w:tc>
        <w:tc>
          <w:tcPr>
            <w:tcW w:w="3050" w:type="dxa"/>
            <w:vAlign w:val="top"/>
          </w:tcPr>
          <w:p>
            <w:pPr>
              <w:pStyle w:val="TableText"/>
              <w:ind w:left="106" w:right="99" w:firstLine="16"/>
              <w:spacing w:before="84" w:line="237" w:lineRule="auto"/>
              <w:rPr/>
            </w:pPr>
            <w:r>
              <w:rPr>
                <w:spacing w:val="-4"/>
              </w:rPr>
              <w:t>1.通过建立县乡“属地管理”事项主</w:t>
            </w:r>
            <w:r>
              <w:rPr>
                <w:spacing w:val="-3"/>
              </w:rPr>
              <w:t>体责任和配合责任清单，进一步理顺</w:t>
            </w:r>
            <w:r>
              <w:rPr>
                <w:spacing w:val="-1"/>
              </w:rPr>
              <w:t>县乡关系，压实责任。</w:t>
            </w:r>
          </w:p>
          <w:p>
            <w:pPr>
              <w:pStyle w:val="TableText"/>
              <w:ind w:left="107" w:right="102"/>
              <w:spacing w:before="26" w:line="231" w:lineRule="auto"/>
              <w:rPr/>
            </w:pPr>
            <w:r>
              <w:rPr>
                <w:spacing w:val="-3"/>
              </w:rPr>
              <w:t>2.通过严格控制下放事项，确保放得</w:t>
            </w:r>
            <w:r>
              <w:rPr>
                <w:spacing w:val="-1"/>
              </w:rPr>
              <w:t>下、接得住、管得好。</w:t>
            </w:r>
          </w:p>
        </w:tc>
        <w:tc>
          <w:tcPr>
            <w:tcW w:w="979" w:type="dxa"/>
            <w:vAlign w:val="top"/>
          </w:tcPr>
          <w:p>
            <w:pPr>
              <w:spacing w:line="253" w:lineRule="auto"/>
              <w:rPr>
                <w:rFonts w:ascii="Arial"/>
                <w:sz w:val="21"/>
              </w:rPr>
            </w:pPr>
            <w:r/>
          </w:p>
          <w:p>
            <w:pPr>
              <w:spacing w:line="254" w:lineRule="auto"/>
              <w:rPr>
                <w:rFonts w:ascii="Arial"/>
                <w:sz w:val="21"/>
              </w:rPr>
            </w:pPr>
            <w:r/>
          </w:p>
          <w:p>
            <w:pPr>
              <w:pStyle w:val="TableText"/>
              <w:ind w:left="218"/>
              <w:spacing w:before="59" w:line="211" w:lineRule="auto"/>
              <w:rPr/>
            </w:pPr>
            <w:r>
              <w:rPr>
                <w:spacing w:val="-1"/>
              </w:rPr>
              <w:t>贾国炜</w:t>
            </w:r>
          </w:p>
        </w:tc>
        <w:tc>
          <w:tcPr>
            <w:tcW w:w="1096" w:type="dxa"/>
            <w:vAlign w:val="top"/>
          </w:tcPr>
          <w:p>
            <w:pPr>
              <w:spacing w:line="256" w:lineRule="auto"/>
              <w:rPr>
                <w:rFonts w:ascii="Arial"/>
                <w:sz w:val="21"/>
              </w:rPr>
            </w:pPr>
            <w:r/>
          </w:p>
          <w:p>
            <w:pPr>
              <w:spacing w:line="256" w:lineRule="auto"/>
              <w:rPr>
                <w:rFonts w:ascii="Arial"/>
                <w:sz w:val="21"/>
              </w:rPr>
            </w:pPr>
            <w:r/>
          </w:p>
          <w:p>
            <w:pPr>
              <w:pStyle w:val="TableText"/>
              <w:ind w:left="190"/>
              <w:spacing w:before="59" w:line="204" w:lineRule="auto"/>
              <w:rPr/>
            </w:pPr>
            <w:r>
              <w:rPr>
                <w:spacing w:val="-2"/>
              </w:rPr>
              <w:t>县司法局</w:t>
            </w:r>
          </w:p>
        </w:tc>
        <w:tc>
          <w:tcPr>
            <w:tcW w:w="1403" w:type="dxa"/>
            <w:vAlign w:val="top"/>
          </w:tcPr>
          <w:p>
            <w:pPr>
              <w:spacing w:line="373" w:lineRule="auto"/>
              <w:rPr>
                <w:rFonts w:ascii="Arial"/>
                <w:sz w:val="21"/>
              </w:rPr>
            </w:pPr>
            <w:r/>
          </w:p>
          <w:p>
            <w:pPr>
              <w:pStyle w:val="TableText"/>
              <w:ind w:left="429" w:right="269" w:hanging="178"/>
              <w:spacing w:before="59" w:line="277" w:lineRule="auto"/>
              <w:rPr/>
            </w:pPr>
            <w:r>
              <w:rPr>
                <w:spacing w:val="-6"/>
              </w:rPr>
              <w:t>县委编办、</w:t>
            </w:r>
            <w:r>
              <w:rPr>
                <w:spacing w:val="-2"/>
              </w:rPr>
              <w:t>各乡镇</w:t>
            </w:r>
          </w:p>
        </w:tc>
      </w:tr>
      <w:tr>
        <w:trPr>
          <w:trHeight w:val="3043" w:hRule="atLeast"/>
        </w:trPr>
        <w:tc>
          <w:tcPr>
            <w:tcW w:w="556" w:type="dxa"/>
            <w:vAlign w:val="top"/>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202"/>
              <w:spacing w:before="58" w:line="260" w:lineRule="exact"/>
              <w:rPr/>
            </w:pPr>
            <w:r>
              <w:rPr>
                <w:spacing w:val="-11"/>
                <w:position w:val="1"/>
              </w:rPr>
              <w:t>16</w:t>
            </w:r>
          </w:p>
        </w:tc>
        <w:tc>
          <w:tcPr>
            <w:tcW w:w="1147" w:type="dxa"/>
            <w:vAlign w:val="top"/>
          </w:tcPr>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208" w:right="212" w:firstLine="1"/>
              <w:spacing w:before="59" w:line="278" w:lineRule="auto"/>
              <w:rPr/>
            </w:pPr>
            <w:r>
              <w:rPr>
                <w:spacing w:val="-2"/>
              </w:rPr>
              <w:t>推进基层</w:t>
            </w:r>
            <w:r>
              <w:rPr>
                <w:spacing w:val="-1"/>
              </w:rPr>
              <w:t>减负增效</w:t>
            </w:r>
          </w:p>
        </w:tc>
        <w:tc>
          <w:tcPr>
            <w:tcW w:w="5665" w:type="dxa"/>
            <w:vAlign w:val="top"/>
          </w:tcPr>
          <w:p>
            <w:pPr>
              <w:pStyle w:val="TableText"/>
              <w:ind w:left="103" w:right="102" w:firstLine="4"/>
              <w:spacing w:before="218" w:line="238" w:lineRule="auto"/>
              <w:rPr/>
            </w:pPr>
            <w:r>
              <w:rPr>
                <w:spacing w:val="-4"/>
              </w:rPr>
              <w:t>3</w:t>
            </w:r>
            <w:r>
              <w:rPr>
                <w:spacing w:val="-26"/>
              </w:rPr>
              <w:t xml:space="preserve"> </w:t>
            </w:r>
            <w:r>
              <w:rPr>
                <w:spacing w:val="-4"/>
              </w:rPr>
              <w:t>月</w:t>
            </w:r>
            <w:r>
              <w:rPr>
                <w:spacing w:val="-28"/>
              </w:rPr>
              <w:t xml:space="preserve"> </w:t>
            </w:r>
            <w:r>
              <w:rPr>
                <w:spacing w:val="-4"/>
              </w:rPr>
              <w:t>10 日前，完善2021</w:t>
            </w:r>
            <w:r>
              <w:rPr>
                <w:spacing w:val="-36"/>
              </w:rPr>
              <w:t xml:space="preserve"> </w:t>
            </w:r>
            <w:r>
              <w:rPr>
                <w:spacing w:val="-4"/>
              </w:rPr>
              <w:t>年督查检查考核工作计划和效能目标管理考核</w:t>
            </w:r>
            <w:r>
              <w:rPr>
                <w:spacing w:val="-2"/>
              </w:rPr>
              <w:t>方案。</w:t>
            </w:r>
          </w:p>
          <w:p>
            <w:pPr>
              <w:pStyle w:val="TableText"/>
              <w:ind w:left="104" w:right="114" w:firstLine="2"/>
              <w:spacing w:before="17" w:line="237" w:lineRule="auto"/>
              <w:rPr/>
            </w:pPr>
            <w:r>
              <w:rPr>
                <w:spacing w:val="-1"/>
              </w:rPr>
              <w:t>3</w:t>
            </w:r>
            <w:r>
              <w:rPr>
                <w:spacing w:val="-26"/>
              </w:rPr>
              <w:t xml:space="preserve"> </w:t>
            </w:r>
            <w:r>
              <w:rPr>
                <w:spacing w:val="-1"/>
              </w:rPr>
              <w:t>月20 日前，开展专项清理规范，组织力量对上级与乡镇签订的“一</w:t>
            </w:r>
            <w:r>
              <w:rPr/>
              <w:t>票否决”、各类“责任状”和考核评比等事项进</w:t>
            </w:r>
            <w:r>
              <w:rPr>
                <w:spacing w:val="-1"/>
              </w:rPr>
              <w:t>行全面清理。</w:t>
            </w:r>
          </w:p>
          <w:p>
            <w:pPr>
              <w:pStyle w:val="TableText"/>
              <w:ind w:left="102" w:right="114" w:firstLine="4"/>
              <w:spacing w:before="16" w:line="245" w:lineRule="auto"/>
              <w:rPr/>
            </w:pPr>
            <w:r>
              <w:rPr>
                <w:spacing w:val="-1"/>
              </w:rPr>
              <w:t>3</w:t>
            </w:r>
            <w:r>
              <w:rPr>
                <w:spacing w:val="-26"/>
              </w:rPr>
              <w:t xml:space="preserve"> </w:t>
            </w:r>
            <w:r>
              <w:rPr>
                <w:spacing w:val="-1"/>
              </w:rPr>
              <w:t>月31 日前，及时清理、修订、完善不符合基层实际和发展需要的政</w:t>
            </w:r>
            <w:r>
              <w:rPr/>
              <w:t>策规定，统一规范针对乡镇的评比达标、示范创建等活动，</w:t>
            </w:r>
            <w:r>
              <w:rPr>
                <w:spacing w:val="-1"/>
              </w:rPr>
              <w:t>切实减轻</w:t>
            </w:r>
            <w:r>
              <w:rPr>
                <w:spacing w:val="-1"/>
              </w:rPr>
              <w:t>基层负担。</w:t>
            </w:r>
          </w:p>
          <w:p>
            <w:pPr>
              <w:pStyle w:val="TableText"/>
              <w:ind w:left="101" w:right="114"/>
              <w:spacing w:before="4"/>
              <w:rPr/>
            </w:pPr>
            <w:r>
              <w:rPr>
                <w:spacing w:val="-1"/>
              </w:rPr>
              <w:t>4</w:t>
            </w:r>
            <w:r>
              <w:rPr>
                <w:spacing w:val="-21"/>
              </w:rPr>
              <w:t xml:space="preserve"> </w:t>
            </w:r>
            <w:r>
              <w:rPr>
                <w:spacing w:val="-1"/>
              </w:rPr>
              <w:t>月30 日前，严格落实中央、自治区党委、固原市委为基层减负部署</w:t>
            </w:r>
            <w:r>
              <w:rPr/>
              <w:t>要求，认真抓好为基层减负政策措施的落实，持续推进乡镇</w:t>
            </w:r>
            <w:r>
              <w:rPr>
                <w:spacing w:val="-1"/>
              </w:rPr>
              <w:t>、村（社</w:t>
            </w:r>
            <w:r>
              <w:rPr/>
              <w:t>区）减负增效，制定“减负增效”定期“</w:t>
            </w:r>
            <w:r>
              <w:rPr>
                <w:spacing w:val="-62"/>
              </w:rPr>
              <w:t xml:space="preserve"> </w:t>
            </w:r>
            <w:r>
              <w:rPr/>
              <w:t>回头看”和通报长效机制，</w:t>
            </w:r>
            <w:r>
              <w:rPr>
                <w:spacing w:val="-1"/>
              </w:rPr>
              <w:t>做好基层减负方面举报受理。</w:t>
            </w:r>
          </w:p>
        </w:tc>
        <w:tc>
          <w:tcPr>
            <w:tcW w:w="3050" w:type="dxa"/>
            <w:vAlign w:val="top"/>
          </w:tcPr>
          <w:p>
            <w:pPr>
              <w:pStyle w:val="TableText"/>
              <w:ind w:left="107" w:right="99" w:firstLine="15"/>
              <w:spacing w:before="98" w:line="236" w:lineRule="auto"/>
              <w:rPr/>
            </w:pPr>
            <w:r>
              <w:rPr>
                <w:spacing w:val="-4"/>
              </w:rPr>
              <w:t>1.通过对“一票否决”和签订责任状</w:t>
            </w:r>
            <w:r>
              <w:rPr>
                <w:spacing w:val="-3"/>
              </w:rPr>
              <w:t>事项的专项清理规范，切实减轻基层</w:t>
            </w:r>
            <w:r>
              <w:rPr>
                <w:spacing w:val="-2"/>
              </w:rPr>
              <w:t>负担。</w:t>
            </w:r>
          </w:p>
          <w:p>
            <w:pPr>
              <w:pStyle w:val="TableText"/>
              <w:ind w:left="107" w:right="99"/>
              <w:spacing w:before="31" w:line="236" w:lineRule="auto"/>
              <w:rPr/>
            </w:pPr>
            <w:r>
              <w:rPr>
                <w:spacing w:val="-3"/>
              </w:rPr>
              <w:t>2.通过对不符合基层实际和发展需要</w:t>
            </w:r>
            <w:r>
              <w:rPr>
                <w:spacing w:val="-3"/>
              </w:rPr>
              <w:t>的法规及政策规定的清理、修订、完</w:t>
            </w:r>
            <w:r>
              <w:rPr>
                <w:spacing w:val="-1"/>
              </w:rPr>
              <w:t>善，为基层改革提供制度支持。</w:t>
            </w:r>
          </w:p>
          <w:p>
            <w:pPr>
              <w:pStyle w:val="TableText"/>
              <w:ind w:left="106" w:right="99" w:firstLine="4"/>
              <w:spacing w:before="29" w:line="235" w:lineRule="auto"/>
              <w:rPr/>
            </w:pPr>
            <w:r>
              <w:rPr>
                <w:spacing w:val="-4"/>
              </w:rPr>
              <w:t>3.进一步压减督查检查考核项目，精</w:t>
            </w:r>
            <w:r>
              <w:rPr>
                <w:spacing w:val="-3"/>
              </w:rPr>
              <w:t>简考核指标，提升督检实效，减轻基</w:t>
            </w:r>
            <w:r>
              <w:rPr>
                <w:spacing w:val="-1"/>
              </w:rPr>
              <w:t>层迎检迎考压力。</w:t>
            </w:r>
          </w:p>
          <w:p>
            <w:pPr>
              <w:pStyle w:val="TableText"/>
              <w:ind w:left="106" w:right="93" w:hanging="1"/>
              <w:spacing w:before="31" w:line="236" w:lineRule="auto"/>
              <w:rPr/>
            </w:pPr>
            <w:r>
              <w:rPr>
                <w:spacing w:val="-3"/>
              </w:rPr>
              <w:t>4.坚持减负与增效相结合，切实激发</w:t>
            </w:r>
            <w:r>
              <w:rPr>
                <w:spacing w:val="-3"/>
              </w:rPr>
              <w:t>内动力、增添新活力、催生高效率，</w:t>
            </w:r>
            <w:r>
              <w:rPr>
                <w:spacing w:val="-1"/>
              </w:rPr>
              <w:t>有效增强基层减负的获得感。</w:t>
            </w:r>
          </w:p>
        </w:tc>
        <w:tc>
          <w:tcPr>
            <w:tcW w:w="979" w:type="dxa"/>
            <w:vAlign w:val="top"/>
          </w:tcPr>
          <w:p>
            <w:pPr>
              <w:spacing w:line="290" w:lineRule="auto"/>
              <w:rPr>
                <w:rFonts w:ascii="Arial"/>
                <w:sz w:val="21"/>
              </w:rPr>
            </w:pPr>
            <w:r/>
          </w:p>
          <w:p>
            <w:pPr>
              <w:spacing w:line="290" w:lineRule="auto"/>
              <w:rPr>
                <w:rFonts w:ascii="Arial"/>
                <w:sz w:val="21"/>
              </w:rPr>
            </w:pPr>
            <w:r/>
          </w:p>
          <w:p>
            <w:pPr>
              <w:spacing w:line="291" w:lineRule="auto"/>
              <w:rPr>
                <w:rFonts w:ascii="Arial"/>
                <w:sz w:val="21"/>
              </w:rPr>
            </w:pPr>
            <w:r/>
          </w:p>
          <w:p>
            <w:pPr>
              <w:spacing w:line="291" w:lineRule="auto"/>
              <w:rPr>
                <w:rFonts w:ascii="Arial"/>
                <w:sz w:val="21"/>
              </w:rPr>
            </w:pPr>
            <w:r/>
          </w:p>
          <w:p>
            <w:pPr>
              <w:pStyle w:val="TableText"/>
              <w:ind w:left="219" w:right="212" w:firstLine="4"/>
              <w:spacing w:before="59" w:line="279" w:lineRule="auto"/>
              <w:rPr/>
            </w:pPr>
            <w:r>
              <w:rPr>
                <w:spacing w:val="-3"/>
              </w:rPr>
              <w:t>高继飞</w:t>
            </w:r>
            <w:r>
              <w:rPr>
                <w:spacing w:val="-9"/>
              </w:rPr>
              <w:t>李</w:t>
            </w:r>
            <w:r>
              <w:rPr>
                <w:spacing w:val="7"/>
              </w:rPr>
              <w:t xml:space="preserve">  </w:t>
            </w:r>
            <w:r>
              <w:rPr>
                <w:spacing w:val="-9"/>
              </w:rPr>
              <w:t>刚</w:t>
            </w:r>
          </w:p>
        </w:tc>
        <w:tc>
          <w:tcPr>
            <w:tcW w:w="1096" w:type="dxa"/>
            <w:vAlign w:val="top"/>
          </w:tcPr>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368" w:right="98" w:hanging="257"/>
              <w:spacing w:before="59" w:line="278" w:lineRule="auto"/>
              <w:rPr/>
            </w:pPr>
            <w:r>
              <w:rPr>
                <w:spacing w:val="-5"/>
              </w:rPr>
              <w:t>县委办、政</w:t>
            </w:r>
            <w:r>
              <w:rPr>
                <w:spacing w:val="-2"/>
              </w:rPr>
              <w:t>府办</w:t>
            </w:r>
          </w:p>
        </w:tc>
        <w:tc>
          <w:tcPr>
            <w:tcW w:w="1403" w:type="dxa"/>
            <w:vAlign w:val="top"/>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121" w:right="48" w:hanging="9"/>
              <w:spacing w:before="59" w:line="277" w:lineRule="auto"/>
              <w:jc w:val="both"/>
              <w:rPr/>
            </w:pPr>
            <w:r>
              <w:rPr>
                <w:spacing w:val="-13"/>
              </w:rPr>
              <w:t>县委组织部、人</w:t>
            </w:r>
            <w:r>
              <w:rPr>
                <w:spacing w:val="5"/>
              </w:rPr>
              <w:t>力资源社会保</w:t>
            </w:r>
            <w:r>
              <w:rPr>
                <w:spacing w:val="-6"/>
              </w:rPr>
              <w:t>障局、司法局、</w:t>
            </w:r>
            <w:r>
              <w:rPr>
                <w:spacing w:val="5"/>
              </w:rPr>
              <w:t>民政局等相关</w:t>
            </w:r>
            <w:r>
              <w:rPr>
                <w:spacing w:val="5"/>
              </w:rPr>
              <w:t>部门，各乡镇</w:t>
            </w:r>
          </w:p>
        </w:tc>
      </w:tr>
    </w:tbl>
    <w:p>
      <w:pPr>
        <w:spacing w:line="150" w:lineRule="exact"/>
        <w:rPr>
          <w:rFonts w:ascii="Arial"/>
          <w:sz w:val="13"/>
        </w:rPr>
      </w:pPr>
      <w:r/>
    </w:p>
    <w:p>
      <w:pPr>
        <w:spacing w:line="150" w:lineRule="exact"/>
        <w:sectPr>
          <w:headerReference w:type="default" r:id="rId430"/>
          <w:footerReference w:type="default" r:id="rId431"/>
          <w:pgSz w:w="16839" w:h="11906"/>
          <w:pgMar w:top="1767" w:right="1465" w:bottom="1570" w:left="1465" w:header="1415" w:footer="1172" w:gutter="0"/>
        </w:sectPr>
        <w:rPr>
          <w:rFonts w:ascii="Arial" w:hAnsi="Arial" w:eastAsia="Arial" w:cs="Arial"/>
          <w:sz w:val="13"/>
          <w:szCs w:val="13"/>
        </w:rPr>
      </w:pPr>
    </w:p>
    <w:p>
      <w:pPr>
        <w:spacing w:line="346" w:lineRule="auto"/>
        <w:rPr>
          <w:rFonts w:ascii="Arial"/>
          <w:sz w:val="21"/>
        </w:rPr>
      </w:pPr>
      <w:r/>
    </w:p>
    <w:p>
      <w:pPr>
        <w:spacing w:line="346" w:lineRule="auto"/>
        <w:rPr>
          <w:rFonts w:ascii="Arial"/>
          <w:sz w:val="21"/>
        </w:rPr>
      </w:pPr>
      <w:r/>
    </w:p>
    <w:p>
      <w:pPr>
        <w:pStyle w:val="BodyText"/>
        <w:ind w:left="558"/>
        <w:spacing w:before="140" w:line="242" w:lineRule="auto"/>
        <w:rPr>
          <w:sz w:val="43"/>
          <w:szCs w:val="43"/>
        </w:rPr>
      </w:pPr>
      <w:r>
        <w:rPr>
          <w:sz w:val="43"/>
          <w:szCs w:val="43"/>
          <w:b/>
          <w:bCs/>
          <w:spacing w:val="4"/>
        </w:rPr>
        <w:t>中共固原市委办公室</w:t>
      </w:r>
      <w:r>
        <w:rPr>
          <w:sz w:val="43"/>
          <w:szCs w:val="43"/>
          <w:spacing w:val="4"/>
        </w:rPr>
        <w:t xml:space="preserve"> </w:t>
      </w:r>
      <w:r>
        <w:rPr>
          <w:sz w:val="43"/>
          <w:szCs w:val="43"/>
          <w:b/>
          <w:bCs/>
          <w:spacing w:val="4"/>
        </w:rPr>
        <w:t>市人民政府办公室</w:t>
      </w:r>
    </w:p>
    <w:p>
      <w:pPr>
        <w:ind w:left="1313"/>
        <w:spacing w:before="2" w:line="182"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9"/>
        </w:rPr>
        <w:t>关于印发《固原市防灾减灾救灾</w:t>
      </w:r>
    </w:p>
    <w:p>
      <w:pPr>
        <w:ind w:left="2637"/>
        <w:spacing w:before="2" w:line="215"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8"/>
        </w:rPr>
        <w:t>责任规定》的通知</w:t>
      </w:r>
    </w:p>
    <w:p>
      <w:pPr>
        <w:pStyle w:val="BodyText"/>
        <w:ind w:left="6946"/>
        <w:spacing w:before="226" w:line="277" w:lineRule="exact"/>
        <w:rPr/>
      </w:pPr>
      <w:r>
        <w:rPr>
          <w:spacing w:val="4"/>
          <w:position w:val="1"/>
        </w:rPr>
        <w:t>固党办〔2021〕6</w:t>
      </w:r>
      <w:r>
        <w:rPr>
          <w:spacing w:val="-39"/>
          <w:position w:val="1"/>
        </w:rPr>
        <w:t xml:space="preserve"> </w:t>
      </w:r>
      <w:r>
        <w:rPr>
          <w:spacing w:val="4"/>
          <w:position w:val="1"/>
        </w:rPr>
        <w:t>号</w:t>
      </w:r>
    </w:p>
    <w:p>
      <w:pPr>
        <w:spacing w:line="286" w:lineRule="auto"/>
        <w:rPr>
          <w:rFonts w:ascii="Arial"/>
          <w:sz w:val="21"/>
        </w:rPr>
      </w:pPr>
      <w:r/>
    </w:p>
    <w:p>
      <w:pPr>
        <w:pStyle w:val="BodyText"/>
        <w:ind w:left="27"/>
        <w:spacing w:before="65" w:line="277" w:lineRule="exact"/>
        <w:outlineLvl w:val="0"/>
        <w:rPr/>
      </w:pPr>
      <w:r>
        <w:rPr>
          <w:spacing w:val="6"/>
          <w:position w:val="1"/>
        </w:rPr>
        <w:t>各县（区）党委和人民政府，市委各部委办（局</w:t>
      </w:r>
      <w:r>
        <w:rPr>
          <w:spacing w:val="-12"/>
          <w:position w:val="1"/>
        </w:rPr>
        <w:t>），</w:t>
      </w:r>
      <w:r>
        <w:rPr>
          <w:spacing w:val="6"/>
          <w:position w:val="1"/>
        </w:rPr>
        <w:t>市直各局委办，各人民团体、直属事业单位，</w:t>
      </w:r>
    </w:p>
    <w:p>
      <w:pPr>
        <w:pStyle w:val="BodyText"/>
        <w:ind w:left="49"/>
        <w:spacing w:before="114" w:line="278" w:lineRule="exact"/>
        <w:rPr/>
      </w:pPr>
      <w:r>
        <w:rPr>
          <w:spacing w:val="8"/>
          <w:position w:val="1"/>
        </w:rPr>
        <w:t>中央、区属驻固各单位，市属各国有企业:</w:t>
      </w:r>
    </w:p>
    <w:p>
      <w:pPr>
        <w:pStyle w:val="BodyText"/>
        <w:spacing w:before="111" w:line="277" w:lineRule="exact"/>
        <w:outlineLvl w:val="0"/>
        <w:jc w:val="right"/>
        <w:rPr/>
      </w:pPr>
      <w:r>
        <w:rPr>
          <w:spacing w:val="10"/>
          <w:position w:val="1"/>
        </w:rPr>
        <w:t>《固原市防灾减灾救灾责任规定》已经市委和市政府</w:t>
      </w:r>
      <w:r>
        <w:rPr>
          <w:spacing w:val="9"/>
          <w:position w:val="1"/>
        </w:rPr>
        <w:t>同意，现印发给你们，请认真贯彻执行。</w:t>
      </w:r>
    </w:p>
    <w:p>
      <w:pPr>
        <w:spacing w:line="440" w:lineRule="auto"/>
        <w:rPr>
          <w:rFonts w:ascii="Arial"/>
          <w:sz w:val="21"/>
        </w:rPr>
      </w:pPr>
      <w:r/>
    </w:p>
    <w:p>
      <w:pPr>
        <w:pStyle w:val="BodyText"/>
        <w:ind w:left="6653"/>
        <w:spacing w:before="66" w:line="219" w:lineRule="auto"/>
        <w:outlineLvl w:val="0"/>
        <w:rPr/>
      </w:pPr>
      <w:r>
        <w:rPr>
          <w:spacing w:val="30"/>
        </w:rPr>
        <w:t>中共固原市委办公室</w:t>
      </w:r>
    </w:p>
    <w:p>
      <w:pPr>
        <w:pStyle w:val="BodyText"/>
        <w:ind w:left="6677"/>
        <w:spacing w:before="153" w:line="218" w:lineRule="auto"/>
        <w:outlineLvl w:val="0"/>
        <w:rPr/>
      </w:pPr>
      <w:r>
        <w:rPr>
          <w:spacing w:val="7"/>
        </w:rPr>
        <w:t>固原市人民政府办公室</w:t>
      </w:r>
    </w:p>
    <w:p>
      <w:pPr>
        <w:pStyle w:val="BodyText"/>
        <w:ind w:left="6893"/>
        <w:spacing w:before="148" w:line="278" w:lineRule="exact"/>
        <w:outlineLvl w:val="0"/>
        <w:rPr/>
      </w:pPr>
      <w:r>
        <w:rPr>
          <w:spacing w:val="1"/>
          <w:position w:val="1"/>
        </w:rPr>
        <w:t>2021</w:t>
      </w:r>
      <w:r>
        <w:rPr>
          <w:spacing w:val="-37"/>
          <w:position w:val="1"/>
        </w:rPr>
        <w:t xml:space="preserve"> </w:t>
      </w:r>
      <w:r>
        <w:rPr>
          <w:spacing w:val="1"/>
          <w:position w:val="1"/>
        </w:rPr>
        <w:t>年</w:t>
      </w:r>
      <w:r>
        <w:rPr>
          <w:spacing w:val="-41"/>
          <w:position w:val="1"/>
        </w:rPr>
        <w:t xml:space="preserve"> </w:t>
      </w:r>
      <w:r>
        <w:rPr>
          <w:spacing w:val="1"/>
          <w:position w:val="1"/>
        </w:rPr>
        <w:t>2</w:t>
      </w:r>
      <w:r>
        <w:rPr>
          <w:spacing w:val="-41"/>
          <w:position w:val="1"/>
        </w:rPr>
        <w:t xml:space="preserve"> </w:t>
      </w:r>
      <w:r>
        <w:rPr>
          <w:spacing w:val="1"/>
          <w:position w:val="1"/>
        </w:rPr>
        <w:t>月</w:t>
      </w:r>
      <w:r>
        <w:rPr>
          <w:spacing w:val="-39"/>
          <w:position w:val="1"/>
        </w:rPr>
        <w:t xml:space="preserve"> </w:t>
      </w:r>
      <w:r>
        <w:rPr>
          <w:spacing w:val="1"/>
          <w:position w:val="1"/>
        </w:rPr>
        <w:t>23 日</w:t>
      </w:r>
    </w:p>
    <w:p>
      <w:pPr>
        <w:spacing w:line="346" w:lineRule="auto"/>
        <w:rPr>
          <w:rFonts w:ascii="Arial"/>
          <w:sz w:val="21"/>
        </w:rPr>
      </w:pPr>
      <w:r/>
    </w:p>
    <w:p>
      <w:pPr>
        <w:spacing w:line="346" w:lineRule="auto"/>
        <w:rPr>
          <w:rFonts w:ascii="Arial"/>
          <w:sz w:val="21"/>
        </w:rPr>
      </w:pPr>
      <w:r/>
    </w:p>
    <w:p>
      <w:pPr>
        <w:ind w:left="1557"/>
        <w:spacing w:before="185" w:line="216"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7"/>
        </w:rPr>
        <w:t>固原市防灾减灾救灾责任规定</w:t>
      </w:r>
    </w:p>
    <w:p>
      <w:pPr>
        <w:spacing w:before="43"/>
        <w:rPr/>
      </w:pPr>
      <w:r/>
    </w:p>
    <w:p>
      <w:pPr>
        <w:sectPr>
          <w:headerReference w:type="default" r:id="rId433"/>
          <w:footerReference w:type="default" r:id="rId58"/>
          <w:pgSz w:w="11906" w:h="16839"/>
          <w:pgMar w:top="1793" w:right="1316" w:bottom="400" w:left="1565" w:header="1428" w:footer="0" w:gutter="0"/>
          <w:cols w:equalWidth="0" w:num="1">
            <w:col w:w="9025" w:space="0"/>
          </w:cols>
        </w:sectPr>
        <w:rPr/>
      </w:pPr>
    </w:p>
    <w:p>
      <w:pPr>
        <w:ind w:left="1373"/>
        <w:spacing w:before="46" w:line="18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第一章</w:t>
      </w:r>
      <w:r>
        <w:rPr>
          <w:rFonts w:ascii="Microsoft YaHei" w:hAnsi="Microsoft YaHei" w:eastAsia="Microsoft YaHei" w:cs="Microsoft YaHei"/>
          <w:sz w:val="20"/>
          <w:szCs w:val="20"/>
          <w:spacing w:val="17"/>
        </w:rPr>
        <w:t xml:space="preserve">   </w:t>
      </w:r>
      <w:r>
        <w:rPr>
          <w:rFonts w:ascii="Microsoft YaHei" w:hAnsi="Microsoft YaHei" w:eastAsia="Microsoft YaHei" w:cs="Microsoft YaHei"/>
          <w:sz w:val="20"/>
          <w:szCs w:val="20"/>
          <w:spacing w:val="2"/>
        </w:rPr>
        <w:t>总</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2"/>
        </w:rPr>
        <w:t>则</w:t>
      </w:r>
    </w:p>
    <w:p>
      <w:pPr>
        <w:spacing w:line="407" w:lineRule="auto"/>
        <w:rPr>
          <w:rFonts w:ascii="Arial"/>
          <w:sz w:val="21"/>
        </w:rPr>
      </w:pPr>
      <w:r/>
    </w:p>
    <w:p>
      <w:pPr>
        <w:pStyle w:val="BodyText"/>
        <w:ind w:left="26" w:right="249" w:firstLine="428"/>
        <w:spacing w:before="86" w:line="325" w:lineRule="auto"/>
        <w:rPr/>
      </w:pPr>
      <w:r>
        <w:rPr>
          <w:rFonts w:ascii="Microsoft YaHei" w:hAnsi="Microsoft YaHei" w:eastAsia="Microsoft YaHei" w:cs="Microsoft YaHei"/>
          <w:spacing w:val="10"/>
        </w:rPr>
        <w:t>第一条</w:t>
      </w:r>
      <w:r>
        <w:rPr>
          <w:rFonts w:ascii="Microsoft YaHei" w:hAnsi="Microsoft YaHei" w:eastAsia="Microsoft YaHei" w:cs="Microsoft YaHei"/>
          <w:spacing w:val="15"/>
        </w:rPr>
        <w:t xml:space="preserve">   </w:t>
      </w:r>
      <w:r>
        <w:rPr>
          <w:spacing w:val="10"/>
        </w:rPr>
        <w:t>为明确防灾减灾救灾职责边界，</w:t>
      </w:r>
      <w:r>
        <w:rPr>
          <w:spacing w:val="-12"/>
        </w:rPr>
        <w:t>理清“防”与“救”、“统”与“分”、“平”与</w:t>
      </w:r>
      <w:r>
        <w:rPr>
          <w:spacing w:val="1"/>
        </w:rPr>
        <w:t>“战”的关系，推动形成统一指挥、快速反应、</w:t>
      </w:r>
      <w:r>
        <w:rPr>
          <w:spacing w:val="7"/>
        </w:rPr>
        <w:t>高效联动、无缝衔接、合力应对的防灾减灾救</w:t>
      </w:r>
      <w:r>
        <w:rPr>
          <w:spacing w:val="7"/>
        </w:rPr>
        <w:t>灾工作格局，全面强化各级党委和政府及其有</w:t>
      </w:r>
      <w:r>
        <w:rPr>
          <w:spacing w:val="7"/>
        </w:rPr>
        <w:t>关部门（单位）的防灾减灾救灾主体责任，根</w:t>
      </w:r>
      <w:r>
        <w:rPr>
          <w:spacing w:val="7"/>
        </w:rPr>
        <w:t>据《中华人民共和国突发事件应对法》《宁夏</w:t>
      </w:r>
      <w:r>
        <w:rPr>
          <w:spacing w:val="7"/>
        </w:rPr>
        <w:t>回族自治区防灾减灾救灾责任规定》等法律法</w:t>
      </w:r>
      <w:r>
        <w:rPr>
          <w:spacing w:val="9"/>
        </w:rPr>
        <w:t>规的规定，结合我市实际，制定本规定。</w:t>
      </w:r>
    </w:p>
    <w:p>
      <w:pPr>
        <w:pStyle w:val="BodyText"/>
        <w:ind w:left="28" w:right="277" w:firstLine="425"/>
        <w:spacing w:before="135" w:line="279" w:lineRule="auto"/>
        <w:rPr/>
      </w:pPr>
      <w:r>
        <w:drawing>
          <wp:anchor distT="0" distB="0" distL="0" distR="0" simplePos="0" relativeHeight="251967488" behindDoc="0" locked="0" layoutInCell="1" allowOverlap="1">
            <wp:simplePos x="0" y="0"/>
            <wp:positionH relativeFrom="column">
              <wp:posOffset>0</wp:posOffset>
            </wp:positionH>
            <wp:positionV relativeFrom="paragraph">
              <wp:posOffset>862709</wp:posOffset>
            </wp:positionV>
            <wp:extent cx="5579744" cy="9525"/>
            <wp:effectExtent l="0" t="0" r="0" b="0"/>
            <wp:wrapNone/>
            <wp:docPr id="864" name="IM 864"/>
            <wp:cNvGraphicFramePr/>
            <a:graphic>
              <a:graphicData uri="http://schemas.openxmlformats.org/drawingml/2006/picture">
                <pic:pic>
                  <pic:nvPicPr>
                    <pic:cNvPr id="864" name="IM 864"/>
                    <pic:cNvPicPr/>
                  </pic:nvPicPr>
                  <pic:blipFill>
                    <a:blip r:embed="rId434"/>
                    <a:stretch>
                      <a:fillRect/>
                    </a:stretch>
                  </pic:blipFill>
                  <pic:spPr>
                    <a:xfrm rot="0">
                      <a:off x="0" y="0"/>
                      <a:ext cx="5579744" cy="9525"/>
                    </a:xfrm>
                    <a:prstGeom prst="rect">
                      <a:avLst/>
                    </a:prstGeom>
                  </pic:spPr>
                </pic:pic>
              </a:graphicData>
            </a:graphic>
          </wp:anchor>
        </w:drawing>
      </w:r>
      <w:r>
        <w:rPr>
          <w:rFonts w:ascii="Microsoft YaHei" w:hAnsi="Microsoft YaHei" w:eastAsia="Microsoft YaHei" w:cs="Microsoft YaHei"/>
          <w:spacing w:val="7"/>
        </w:rPr>
        <w:t>第二条   </w:t>
      </w:r>
      <w:r>
        <w:rPr>
          <w:spacing w:val="7"/>
        </w:rPr>
        <w:t>本规定适用于固原市、县（</w:t>
      </w:r>
      <w:r>
        <w:rPr>
          <w:spacing w:val="-47"/>
        </w:rPr>
        <w:t xml:space="preserve"> </w:t>
      </w:r>
      <w:r>
        <w:rPr>
          <w:spacing w:val="7"/>
        </w:rPr>
        <w:t>区）</w:t>
      </w:r>
      <w:r>
        <w:rPr>
          <w:spacing w:val="7"/>
        </w:rPr>
        <w:t>党委和政府及领导班子成员，负有防灾减灾救</w:t>
      </w:r>
      <w:r>
        <w:rPr>
          <w:spacing w:val="7"/>
        </w:rPr>
        <w:t>灾职责任务的党委工作机关、政府工作部门和</w:t>
      </w:r>
    </w:p>
    <w:p>
      <w:pPr>
        <w:spacing w:line="14" w:lineRule="auto"/>
        <w:rPr>
          <w:rFonts w:ascii="Arial"/>
          <w:sz w:val="2"/>
        </w:rPr>
      </w:pPr>
      <w:r>
        <w:rPr>
          <w:rFonts w:ascii="Arial" w:hAnsi="Arial" w:eastAsia="Arial" w:cs="Arial"/>
          <w:sz w:val="2"/>
          <w:szCs w:val="2"/>
        </w:rPr>
        <w:br w:type="column"/>
      </w:r>
    </w:p>
    <w:p>
      <w:pPr>
        <w:pStyle w:val="BodyText"/>
        <w:ind w:left="1"/>
        <w:spacing w:before="39" w:line="219" w:lineRule="auto"/>
        <w:rPr/>
      </w:pPr>
      <w:r>
        <w:rPr>
          <w:spacing w:val="8"/>
        </w:rPr>
        <w:t>相关机构及领导干部和工作人员。</w:t>
      </w:r>
    </w:p>
    <w:p>
      <w:pPr>
        <w:pStyle w:val="BodyText"/>
        <w:ind w:right="274" w:firstLine="427"/>
        <w:spacing w:before="137" w:line="324" w:lineRule="auto"/>
        <w:jc w:val="both"/>
        <w:rPr/>
      </w:pPr>
      <w:r>
        <w:rPr>
          <w:rFonts w:ascii="Microsoft YaHei" w:hAnsi="Microsoft YaHei" w:eastAsia="Microsoft YaHei" w:cs="Microsoft YaHei"/>
          <w:spacing w:val="3"/>
        </w:rPr>
        <w:t>第三条</w:t>
      </w:r>
      <w:r>
        <w:rPr>
          <w:rFonts w:ascii="Microsoft YaHei" w:hAnsi="Microsoft YaHei" w:eastAsia="Microsoft YaHei" w:cs="Microsoft YaHei"/>
          <w:spacing w:val="13"/>
        </w:rPr>
        <w:t xml:space="preserve">   </w:t>
      </w:r>
      <w:r>
        <w:rPr>
          <w:spacing w:val="3"/>
        </w:rPr>
        <w:t>市、县（</w:t>
      </w:r>
      <w:r>
        <w:rPr>
          <w:spacing w:val="-50"/>
        </w:rPr>
        <w:t xml:space="preserve"> </w:t>
      </w:r>
      <w:r>
        <w:rPr>
          <w:spacing w:val="3"/>
        </w:rPr>
        <w:t>区）党委和政府对本地</w:t>
      </w:r>
      <w:r>
        <w:rPr>
          <w:spacing w:val="7"/>
        </w:rPr>
        <w:t>区防灾减灾救灾工作承担主体责任，党委和政</w:t>
      </w:r>
      <w:r>
        <w:rPr>
          <w:spacing w:val="7"/>
        </w:rPr>
        <w:t>府主要领导成员承担主要责任，其他有关领导</w:t>
      </w:r>
      <w:r>
        <w:rPr>
          <w:spacing w:val="8"/>
        </w:rPr>
        <w:t>成员在职责范围内承担相应责任。</w:t>
      </w:r>
    </w:p>
    <w:p>
      <w:pPr>
        <w:pStyle w:val="BodyText"/>
        <w:ind w:left="1" w:right="274" w:firstLine="420"/>
        <w:spacing w:before="7" w:line="350" w:lineRule="auto"/>
        <w:jc w:val="both"/>
        <w:rPr/>
      </w:pPr>
      <w:r>
        <w:rPr>
          <w:spacing w:val="4"/>
        </w:rPr>
        <w:t>市、县（</w:t>
      </w:r>
      <w:r>
        <w:rPr>
          <w:spacing w:val="-49"/>
        </w:rPr>
        <w:t xml:space="preserve"> </w:t>
      </w:r>
      <w:r>
        <w:rPr>
          <w:spacing w:val="4"/>
        </w:rPr>
        <w:t>区）负有防灾减灾救灾职责任务</w:t>
      </w:r>
      <w:r>
        <w:rPr>
          <w:spacing w:val="7"/>
        </w:rPr>
        <w:t>的党委工作机关、政府工作部门和相关机构及</w:t>
      </w:r>
      <w:r>
        <w:rPr>
          <w:spacing w:val="18"/>
        </w:rPr>
        <w:t>领导干部和工作人员按照职责分别承担相应</w:t>
      </w:r>
      <w:r>
        <w:rPr>
          <w:spacing w:val="4"/>
        </w:rPr>
        <w:t>责任。</w:t>
      </w:r>
    </w:p>
    <w:p>
      <w:pPr>
        <w:pStyle w:val="BodyText"/>
        <w:ind w:left="1" w:right="274" w:firstLine="425"/>
        <w:spacing w:before="3" w:line="336" w:lineRule="auto"/>
        <w:jc w:val="both"/>
        <w:rPr/>
      </w:pPr>
      <w:r>
        <w:rPr>
          <w:rFonts w:ascii="Microsoft YaHei" w:hAnsi="Microsoft YaHei" w:eastAsia="Microsoft YaHei" w:cs="Microsoft YaHei"/>
          <w:spacing w:val="5"/>
        </w:rPr>
        <w:t>第四条</w:t>
      </w:r>
      <w:r>
        <w:rPr>
          <w:rFonts w:ascii="Microsoft YaHei" w:hAnsi="Microsoft YaHei" w:eastAsia="Microsoft YaHei" w:cs="Microsoft YaHei"/>
          <w:spacing w:val="18"/>
        </w:rPr>
        <w:t xml:space="preserve">   </w:t>
      </w:r>
      <w:r>
        <w:rPr>
          <w:spacing w:val="5"/>
        </w:rPr>
        <w:t>防灾减灾救灾坚持分级负责、属</w:t>
      </w:r>
      <w:r>
        <w:rPr>
          <w:spacing w:val="4"/>
        </w:rPr>
        <w:t>地管理为主原则。市、县（</w:t>
      </w:r>
      <w:r>
        <w:rPr>
          <w:spacing w:val="-37"/>
        </w:rPr>
        <w:t xml:space="preserve"> </w:t>
      </w:r>
      <w:r>
        <w:rPr>
          <w:spacing w:val="4"/>
        </w:rPr>
        <w:t>区）党委和政府统</w:t>
      </w:r>
      <w:r>
        <w:rPr>
          <w:spacing w:val="7"/>
        </w:rPr>
        <w:t>一领导本地区防灾减灾救灾工作，各级应急管</w:t>
      </w:r>
      <w:r>
        <w:rPr>
          <w:spacing w:val="18"/>
        </w:rPr>
        <w:t>理指挥部负责防灾减灾救灾工作的统筹指导</w:t>
      </w:r>
      <w:r>
        <w:rPr>
          <w:spacing w:val="7"/>
        </w:rPr>
        <w:t>和综合协调。各有关部门（单位）按照“谁主</w:t>
      </w:r>
    </w:p>
    <w:p>
      <w:pPr>
        <w:spacing w:line="336" w:lineRule="auto"/>
        <w:sectPr>
          <w:type w:val="continuous"/>
          <w:pgSz w:w="11906" w:h="16839"/>
          <w:pgMar w:top="1793" w:right="1316" w:bottom="400" w:left="1565" w:header="1428" w:footer="0" w:gutter="0"/>
          <w:cols w:equalWidth="0" w:num="2">
            <w:col w:w="4504" w:space="100"/>
            <w:col w:w="4421" w:space="0"/>
          </w:cols>
        </w:sectPr>
        <w:rPr/>
      </w:pPr>
    </w:p>
    <w:p>
      <w:pPr>
        <w:ind w:left="48"/>
        <w:spacing w:before="140" w:line="167" w:lineRule="auto"/>
        <w:rPr>
          <w:rFonts w:ascii="Microsoft YaHei" w:hAnsi="Microsoft YaHei" w:eastAsia="Microsoft YaHei" w:cs="Microsoft YaHei"/>
          <w:sz w:val="20"/>
          <w:szCs w:val="20"/>
        </w:rPr>
      </w:pPr>
      <w:r>
        <w:drawing>
          <wp:anchor distT="0" distB="0" distL="0" distR="0" simplePos="0" relativeHeight="251968512" behindDoc="0" locked="0" layoutInCell="1" allowOverlap="1">
            <wp:simplePos x="0" y="0"/>
            <wp:positionH relativeFrom="column">
              <wp:posOffset>14605</wp:posOffset>
            </wp:positionH>
            <wp:positionV relativeFrom="paragraph">
              <wp:posOffset>-8435634</wp:posOffset>
            </wp:positionV>
            <wp:extent cx="5579745" cy="7619"/>
            <wp:effectExtent l="0" t="0" r="0" b="0"/>
            <wp:wrapNone/>
            <wp:docPr id="866" name="IM 866"/>
            <wp:cNvGraphicFramePr/>
            <a:graphic>
              <a:graphicData uri="http://schemas.openxmlformats.org/drawingml/2006/picture">
                <pic:pic>
                  <pic:nvPicPr>
                    <pic:cNvPr id="866" name="IM 866"/>
                    <pic:cNvPicPr/>
                  </pic:nvPicPr>
                  <pic:blipFill>
                    <a:blip r:embed="rId435"/>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6"/>
        </w:rPr>
        <w:t>194//2021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p>
      <w:pPr>
        <w:spacing w:line="167" w:lineRule="auto"/>
        <w:sectPr>
          <w:type w:val="continuous"/>
          <w:pgSz w:w="11906" w:h="16839"/>
          <w:pgMar w:top="1793" w:right="1316" w:bottom="400" w:left="1565" w:header="1428" w:footer="0" w:gutter="0"/>
          <w:cols w:equalWidth="0" w:num="1">
            <w:col w:w="9025" w:space="0"/>
          </w:cols>
        </w:sectPr>
        <w:rPr>
          <w:rFonts w:ascii="Microsoft YaHei" w:hAnsi="Microsoft YaHei" w:eastAsia="Microsoft YaHei" w:cs="Microsoft YaHei"/>
          <w:sz w:val="20"/>
          <w:szCs w:val="20"/>
        </w:rPr>
      </w:pPr>
    </w:p>
    <w:p>
      <w:pPr>
        <w:spacing w:before="24"/>
        <w:rPr/>
      </w:pPr>
      <w:r>
        <w:drawing>
          <wp:anchor distT="0" distB="0" distL="0" distR="0" simplePos="0" relativeHeight="251969536"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872" name="IM 872"/>
            <wp:cNvGraphicFramePr/>
            <a:graphic>
              <a:graphicData uri="http://schemas.openxmlformats.org/drawingml/2006/picture">
                <pic:pic>
                  <pic:nvPicPr>
                    <pic:cNvPr id="872" name="IM 872"/>
                    <pic:cNvPicPr/>
                  </pic:nvPicPr>
                  <pic:blipFill>
                    <a:blip r:embed="rId438"/>
                    <a:stretch>
                      <a:fillRect/>
                    </a:stretch>
                  </pic:blipFill>
                  <pic:spPr>
                    <a:xfrm rot="0">
                      <a:off x="0" y="0"/>
                      <a:ext cx="5579745" cy="7620"/>
                    </a:xfrm>
                    <a:prstGeom prst="rect">
                      <a:avLst/>
                    </a:prstGeom>
                  </pic:spPr>
                </pic:pic>
              </a:graphicData>
            </a:graphic>
          </wp:anchor>
        </w:drawing>
      </w:r>
      <w:r/>
    </w:p>
    <w:p>
      <w:pPr>
        <w:sectPr>
          <w:headerReference w:type="default" r:id="rId436"/>
          <w:footerReference w:type="default" r:id="rId437"/>
          <w:pgSz w:w="11906" w:h="16839"/>
          <w:pgMar w:top="1766" w:right="1509" w:bottom="1570" w:left="1579" w:header="1428" w:footer="1172" w:gutter="0"/>
          <w:cols w:equalWidth="0" w:num="1">
            <w:col w:w="8817" w:space="0"/>
          </w:cols>
        </w:sectPr>
        <w:rPr/>
      </w:pPr>
    </w:p>
    <w:p>
      <w:pPr>
        <w:pStyle w:val="BodyText"/>
        <w:ind w:left="15"/>
        <w:spacing w:before="40" w:line="221" w:lineRule="auto"/>
        <w:rPr/>
      </w:pPr>
      <w:r>
        <w:rPr>
          <w:spacing w:val="9"/>
        </w:rPr>
        <w:t>管、谁负责”的原则各司其职、各负其责。</w:t>
      </w:r>
    </w:p>
    <w:p>
      <w:pPr>
        <w:pStyle w:val="BodyText"/>
        <w:ind w:left="13" w:right="329" w:firstLine="426"/>
        <w:spacing w:before="135" w:line="330" w:lineRule="auto"/>
        <w:jc w:val="both"/>
        <w:rPr/>
      </w:pPr>
      <w:r>
        <w:rPr>
          <w:rFonts w:ascii="Microsoft YaHei" w:hAnsi="Microsoft YaHei" w:eastAsia="Microsoft YaHei" w:cs="Microsoft YaHei"/>
          <w:spacing w:val="11"/>
        </w:rPr>
        <w:t>第五条</w:t>
      </w:r>
      <w:r>
        <w:rPr>
          <w:rFonts w:ascii="Microsoft YaHei" w:hAnsi="Microsoft YaHei" w:eastAsia="Microsoft YaHei" w:cs="Microsoft YaHei"/>
          <w:spacing w:val="15"/>
        </w:rPr>
        <w:t xml:space="preserve">   </w:t>
      </w:r>
      <w:r>
        <w:rPr>
          <w:spacing w:val="11"/>
        </w:rPr>
        <w:t>发生灾害事件（故</w:t>
      </w:r>
      <w:r>
        <w:rPr>
          <w:spacing w:val="-35"/>
        </w:rPr>
        <w:t>），</w:t>
      </w:r>
      <w:r>
        <w:rPr>
          <w:spacing w:val="11"/>
        </w:rPr>
        <w:t>所在地的</w:t>
      </w:r>
      <w:r>
        <w:rPr>
          <w:spacing w:val="12"/>
        </w:rPr>
        <w:t>党委和政府及其有关部门（单位</w:t>
      </w:r>
      <w:r>
        <w:rPr>
          <w:spacing w:val="-36"/>
        </w:rPr>
        <w:t>），</w:t>
      </w:r>
      <w:r>
        <w:rPr>
          <w:spacing w:val="12"/>
        </w:rPr>
        <w:t>应当按照</w:t>
      </w:r>
      <w:r>
        <w:rPr>
          <w:spacing w:val="7"/>
        </w:rPr>
        <w:t>有关规定及时查明事件（故）发生的原因和经</w:t>
      </w:r>
      <w:r>
        <w:rPr>
          <w:spacing w:val="7"/>
        </w:rPr>
        <w:t>过，制定整改措施。需要进行责任追究的，依</w:t>
      </w:r>
      <w:r>
        <w:rPr>
          <w:spacing w:val="18"/>
        </w:rPr>
        <w:t>照本规定及时启动责任追究程序或者向有关</w:t>
      </w:r>
      <w:r>
        <w:rPr>
          <w:spacing w:val="8"/>
        </w:rPr>
        <w:t>机关提出责任追究意见。</w:t>
      </w:r>
    </w:p>
    <w:p>
      <w:pPr>
        <w:spacing w:line="321" w:lineRule="auto"/>
        <w:rPr>
          <w:rFonts w:ascii="Arial"/>
          <w:sz w:val="21"/>
        </w:rPr>
      </w:pPr>
      <w:r/>
    </w:p>
    <w:p>
      <w:pPr>
        <w:ind w:left="730"/>
        <w:spacing w:before="86" w:line="18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第二章</w:t>
      </w:r>
      <w:r>
        <w:rPr>
          <w:rFonts w:ascii="Microsoft YaHei" w:hAnsi="Microsoft YaHei" w:eastAsia="Microsoft YaHei" w:cs="Microsoft YaHei"/>
          <w:sz w:val="20"/>
          <w:szCs w:val="20"/>
          <w:spacing w:val="14"/>
        </w:rPr>
        <w:t xml:space="preserve">   </w:t>
      </w:r>
      <w:r>
        <w:rPr>
          <w:rFonts w:ascii="Microsoft YaHei" w:hAnsi="Microsoft YaHei" w:eastAsia="Microsoft YaHei" w:cs="Microsoft YaHei"/>
          <w:sz w:val="20"/>
          <w:szCs w:val="20"/>
          <w:spacing w:val="8"/>
        </w:rPr>
        <w:t>各级党委和政府责任</w:t>
      </w:r>
    </w:p>
    <w:p>
      <w:pPr>
        <w:spacing w:line="403" w:lineRule="auto"/>
        <w:rPr>
          <w:rFonts w:ascii="Arial"/>
          <w:sz w:val="21"/>
        </w:rPr>
      </w:pPr>
      <w:r/>
    </w:p>
    <w:p>
      <w:pPr>
        <w:pStyle w:val="BodyText"/>
        <w:ind w:left="16" w:right="329" w:firstLine="423"/>
        <w:spacing w:before="86" w:line="301" w:lineRule="auto"/>
        <w:rPr/>
      </w:pPr>
      <w:r>
        <w:rPr>
          <w:rFonts w:ascii="Microsoft YaHei" w:hAnsi="Microsoft YaHei" w:eastAsia="Microsoft YaHei" w:cs="Microsoft YaHei"/>
          <w:spacing w:val="3"/>
        </w:rPr>
        <w:t>第六条</w:t>
      </w:r>
      <w:r>
        <w:rPr>
          <w:rFonts w:ascii="Microsoft YaHei" w:hAnsi="Microsoft YaHei" w:eastAsia="Microsoft YaHei" w:cs="Microsoft YaHei"/>
          <w:spacing w:val="13"/>
        </w:rPr>
        <w:t xml:space="preserve">   </w:t>
      </w:r>
      <w:r>
        <w:rPr>
          <w:spacing w:val="3"/>
        </w:rPr>
        <w:t>市、县（</w:t>
      </w:r>
      <w:r>
        <w:rPr>
          <w:spacing w:val="-50"/>
        </w:rPr>
        <w:t xml:space="preserve"> </w:t>
      </w:r>
      <w:r>
        <w:rPr>
          <w:spacing w:val="3"/>
        </w:rPr>
        <w:t>区）党委防灾减灾救灾</w:t>
      </w:r>
      <w:r>
        <w:rPr>
          <w:spacing w:val="3"/>
        </w:rPr>
        <w:t>责任：</w:t>
      </w:r>
    </w:p>
    <w:p>
      <w:pPr>
        <w:pStyle w:val="BodyText"/>
        <w:ind w:left="11" w:right="329" w:firstLine="413"/>
        <w:spacing w:before="8" w:line="330" w:lineRule="auto"/>
        <w:rPr/>
      </w:pPr>
      <w:r>
        <w:rPr>
          <w:spacing w:val="7"/>
        </w:rPr>
        <w:t>（一）贯彻落实防灾减灾救灾法律法规以</w:t>
      </w:r>
      <w:r>
        <w:rPr>
          <w:spacing w:val="18"/>
        </w:rPr>
        <w:t>及党中央关于加强防灾减灾救灾工作的方针</w:t>
      </w:r>
      <w:r>
        <w:rPr>
          <w:spacing w:val="7"/>
        </w:rPr>
        <w:t>政策、自治区党委和市委的部署要求，在统揽</w:t>
      </w:r>
      <w:r>
        <w:rPr>
          <w:spacing w:val="18"/>
        </w:rPr>
        <w:t>本地区经济社会发展全局中同步推进防灾减</w:t>
      </w:r>
      <w:r>
        <w:rPr>
          <w:spacing w:val="7"/>
        </w:rPr>
        <w:t>灾救灾工作，定期研究解决防灾减灾救灾重大</w:t>
      </w:r>
      <w:r>
        <w:rPr>
          <w:spacing w:val="5"/>
        </w:rPr>
        <w:t>问题；</w:t>
      </w:r>
    </w:p>
    <w:p>
      <w:pPr>
        <w:pStyle w:val="BodyText"/>
        <w:ind w:left="12" w:right="329" w:firstLine="412"/>
        <w:spacing w:before="132" w:line="289" w:lineRule="auto"/>
        <w:rPr/>
      </w:pPr>
      <w:r>
        <w:rPr>
          <w:spacing w:val="7"/>
        </w:rPr>
        <w:t>（二）加强防灾减灾救灾工作部门特别是</w:t>
      </w:r>
      <w:r>
        <w:rPr>
          <w:spacing w:val="9"/>
        </w:rPr>
        <w:t>应急管理部门领导班子和队伍建设；</w:t>
      </w:r>
    </w:p>
    <w:p>
      <w:pPr>
        <w:pStyle w:val="BodyText"/>
        <w:ind w:left="13" w:right="329" w:firstLine="411"/>
        <w:spacing w:before="132" w:line="310" w:lineRule="auto"/>
        <w:rPr/>
      </w:pPr>
      <w:r>
        <w:rPr>
          <w:spacing w:val="7"/>
        </w:rPr>
        <w:t>（三）推动纪检监察、宣传、机构编制等</w:t>
      </w:r>
      <w:r>
        <w:rPr>
          <w:spacing w:val="7"/>
        </w:rPr>
        <w:t>部门支持保障防灾减灾救灾工作，严格防灾减</w:t>
      </w:r>
      <w:r>
        <w:rPr>
          <w:spacing w:val="9"/>
        </w:rPr>
        <w:t>灾救灾履职绩效考核和失职责任追究；</w:t>
      </w:r>
    </w:p>
    <w:p>
      <w:pPr>
        <w:pStyle w:val="BodyText"/>
        <w:ind w:left="12" w:right="248" w:firstLine="412"/>
        <w:spacing w:before="133" w:line="319" w:lineRule="auto"/>
        <w:rPr/>
      </w:pPr>
      <w:r>
        <w:rPr>
          <w:spacing w:val="4"/>
        </w:rPr>
        <w:t>（</w:t>
      </w:r>
      <w:r>
        <w:rPr>
          <w:spacing w:val="-39"/>
        </w:rPr>
        <w:t xml:space="preserve"> </w:t>
      </w:r>
      <w:r>
        <w:rPr>
          <w:spacing w:val="4"/>
        </w:rPr>
        <w:t>四）支持人大发挥对防灾减灾救灾工作</w:t>
      </w:r>
      <w:r>
        <w:rPr>
          <w:spacing w:val="7"/>
        </w:rPr>
        <w:t>的监督促进作用、政协对防灾减灾救灾工作的</w:t>
      </w:r>
      <w:r>
        <w:rPr>
          <w:spacing w:val="1"/>
        </w:rPr>
        <w:t>民主监督作用，动员社会各界积极参与、支持、</w:t>
      </w:r>
      <w:r>
        <w:rPr>
          <w:spacing w:val="8"/>
        </w:rPr>
        <w:t>监督防灾减灾救灾工作。</w:t>
      </w:r>
    </w:p>
    <w:p>
      <w:pPr>
        <w:pStyle w:val="BodyText"/>
        <w:ind w:left="16" w:right="329" w:firstLine="423"/>
        <w:spacing w:before="139" w:line="301" w:lineRule="auto"/>
        <w:rPr/>
      </w:pPr>
      <w:r>
        <w:rPr>
          <w:rFonts w:ascii="Microsoft YaHei" w:hAnsi="Microsoft YaHei" w:eastAsia="Microsoft YaHei" w:cs="Microsoft YaHei"/>
          <w:spacing w:val="3"/>
        </w:rPr>
        <w:t>第七条</w:t>
      </w:r>
      <w:r>
        <w:rPr>
          <w:rFonts w:ascii="Microsoft YaHei" w:hAnsi="Microsoft YaHei" w:eastAsia="Microsoft YaHei" w:cs="Microsoft YaHei"/>
          <w:spacing w:val="13"/>
        </w:rPr>
        <w:t xml:space="preserve">   </w:t>
      </w:r>
      <w:r>
        <w:rPr>
          <w:spacing w:val="3"/>
        </w:rPr>
        <w:t>市、县（</w:t>
      </w:r>
      <w:r>
        <w:rPr>
          <w:spacing w:val="-50"/>
        </w:rPr>
        <w:t xml:space="preserve"> </w:t>
      </w:r>
      <w:r>
        <w:rPr>
          <w:spacing w:val="3"/>
        </w:rPr>
        <w:t>区）政府防灾减灾救灾</w:t>
      </w:r>
      <w:r>
        <w:rPr>
          <w:spacing w:val="3"/>
        </w:rPr>
        <w:t>责任：</w:t>
      </w:r>
    </w:p>
    <w:p>
      <w:pPr>
        <w:pStyle w:val="BodyText"/>
        <w:ind w:left="13" w:right="277" w:firstLine="411"/>
        <w:spacing w:before="2" w:line="320" w:lineRule="auto"/>
        <w:rPr/>
      </w:pPr>
      <w:r>
        <w:rPr>
          <w:spacing w:val="7"/>
        </w:rPr>
        <w:t>（一）把防灾减灾救灾纳入市、县（</w:t>
      </w:r>
      <w:r>
        <w:rPr>
          <w:spacing w:val="-41"/>
        </w:rPr>
        <w:t xml:space="preserve"> </w:t>
      </w:r>
      <w:r>
        <w:rPr>
          <w:spacing w:val="7"/>
        </w:rPr>
        <w:t>区）</w:t>
      </w:r>
      <w:r>
        <w:rPr>
          <w:spacing w:val="7"/>
        </w:rPr>
        <w:t>国民经济和社会发展总体规划，制定实施防灾</w:t>
      </w:r>
      <w:r>
        <w:rPr>
          <w:spacing w:val="7"/>
        </w:rPr>
        <w:t>减灾救灾专项规划，健全防灾减灾救灾投入保</w:t>
      </w:r>
      <w:r>
        <w:rPr>
          <w:spacing w:val="6"/>
        </w:rPr>
        <w:t>障机制；</w:t>
      </w:r>
    </w:p>
    <w:p>
      <w:pPr>
        <w:pStyle w:val="BodyText"/>
        <w:ind w:left="424"/>
        <w:spacing w:before="135" w:line="221" w:lineRule="auto"/>
        <w:rPr/>
      </w:pPr>
      <w:r>
        <w:rPr>
          <w:spacing w:val="9"/>
        </w:rPr>
        <w:t>（二）及时研究部署防灾减灾救灾工作，</w:t>
      </w:r>
    </w:p>
    <w:p>
      <w:pPr>
        <w:spacing w:line="14" w:lineRule="auto"/>
        <w:rPr>
          <w:rFonts w:ascii="Arial"/>
          <w:sz w:val="2"/>
        </w:rPr>
      </w:pPr>
      <w:r>
        <w:rPr>
          <w:rFonts w:ascii="Arial" w:hAnsi="Arial" w:eastAsia="Arial" w:cs="Arial"/>
          <w:sz w:val="2"/>
          <w:szCs w:val="2"/>
        </w:rPr>
        <w:br w:type="column"/>
      </w:r>
    </w:p>
    <w:p>
      <w:pPr>
        <w:pStyle w:val="BodyText"/>
        <w:ind w:left="1" w:right="80" w:hanging="1"/>
        <w:spacing w:before="39" w:line="348" w:lineRule="auto"/>
        <w:rPr/>
      </w:pPr>
      <w:r>
        <w:rPr>
          <w:spacing w:val="7"/>
        </w:rPr>
        <w:t>解决防灾减灾救灾工作中存在的突出问题，严</w:t>
      </w:r>
      <w:r>
        <w:rPr>
          <w:spacing w:val="8"/>
        </w:rPr>
        <w:t>格落实属地管理责任；</w:t>
      </w:r>
    </w:p>
    <w:p>
      <w:pPr>
        <w:pStyle w:val="BodyText"/>
        <w:ind w:firstLine="413"/>
        <w:spacing w:before="3" w:line="330" w:lineRule="auto"/>
        <w:rPr/>
      </w:pPr>
      <w:r>
        <w:rPr>
          <w:spacing w:val="7"/>
        </w:rPr>
        <w:t>（三）建立健全统一的防灾减灾救灾领导</w:t>
      </w:r>
      <w:r>
        <w:rPr>
          <w:spacing w:val="7"/>
        </w:rPr>
        <w:t>机构，充实和加强各级应急管理指挥部及其办</w:t>
      </w:r>
      <w:r>
        <w:rPr>
          <w:spacing w:val="11"/>
        </w:rPr>
        <w:t>公室工作力量，统筹防灾减灾救灾各项工作，</w:t>
      </w:r>
      <w:r>
        <w:rPr>
          <w:spacing w:val="1"/>
        </w:rPr>
        <w:t>在灾害预警、灾情管理、应急指挥、紧急救援、</w:t>
      </w:r>
      <w:r>
        <w:rPr>
          <w:spacing w:val="18"/>
        </w:rPr>
        <w:t>灾后恢复重建等方面实行统一指挥、统一调</w:t>
      </w:r>
      <w:r>
        <w:rPr>
          <w:spacing w:val="7"/>
        </w:rPr>
        <w:t>度、统一管理；</w:t>
      </w:r>
    </w:p>
    <w:p>
      <w:pPr>
        <w:pStyle w:val="BodyText"/>
        <w:ind w:left="2" w:right="57" w:firstLine="410"/>
        <w:spacing w:before="133" w:line="333" w:lineRule="auto"/>
        <w:rPr/>
      </w:pPr>
      <w:r>
        <w:rPr>
          <w:spacing w:val="4"/>
        </w:rPr>
        <w:t>（</w:t>
      </w:r>
      <w:r>
        <w:rPr>
          <w:spacing w:val="-39"/>
        </w:rPr>
        <w:t xml:space="preserve"> </w:t>
      </w:r>
      <w:r>
        <w:rPr>
          <w:spacing w:val="4"/>
        </w:rPr>
        <w:t>四）提高自然灾害防治能力，组织实施</w:t>
      </w:r>
      <w:r>
        <w:rPr>
          <w:spacing w:val="7"/>
        </w:rPr>
        <w:t>自然灾害风险调查和重点隐患排查、重点生态</w:t>
      </w:r>
      <w:r>
        <w:rPr>
          <w:spacing w:val="8"/>
        </w:rPr>
        <w:t>功能区生态修复、地震易发区房屋设施加固、</w:t>
      </w:r>
      <w:r>
        <w:rPr>
          <w:spacing w:val="7"/>
        </w:rPr>
        <w:t>防汛抗旱水利提升、地质灾害综合治理和避险</w:t>
      </w:r>
      <w:r>
        <w:rPr>
          <w:spacing w:val="7"/>
        </w:rPr>
        <w:t>移民搬迁、应急救援中心建设、自然灾害监测</w:t>
      </w:r>
      <w:r>
        <w:rPr>
          <w:spacing w:val="7"/>
        </w:rPr>
        <w:t>预警信息化、自然灾害防治技术装备现代化等</w:t>
      </w:r>
      <w:r>
        <w:rPr>
          <w:spacing w:val="8"/>
        </w:rPr>
        <w:t>自然灾害防治能力建设工程；</w:t>
      </w:r>
    </w:p>
    <w:p>
      <w:pPr>
        <w:pStyle w:val="BodyText"/>
        <w:ind w:right="73" w:firstLine="412"/>
        <w:spacing w:before="135" w:line="326" w:lineRule="auto"/>
        <w:rPr/>
      </w:pPr>
      <w:r>
        <w:rPr>
          <w:spacing w:val="7"/>
        </w:rPr>
        <w:t>（五）组织有关主管部门对本行政区域内</w:t>
      </w:r>
      <w:r>
        <w:rPr>
          <w:spacing w:val="7"/>
        </w:rPr>
        <w:t>容易引发自然灾害及次生、衍生灾害事故的危</w:t>
      </w:r>
      <w:r>
        <w:rPr>
          <w:spacing w:val="7"/>
        </w:rPr>
        <w:t>险源、危险区域进行调查、登记和风险评估，</w:t>
      </w:r>
      <w:r>
        <w:rPr>
          <w:spacing w:val="7"/>
        </w:rPr>
        <w:t>定期进行检查、监控，并责令有关单位采取安</w:t>
      </w:r>
      <w:r>
        <w:rPr>
          <w:spacing w:val="7"/>
        </w:rPr>
        <w:t>全防范措施；</w:t>
      </w:r>
    </w:p>
    <w:p>
      <w:pPr>
        <w:pStyle w:val="BodyText"/>
        <w:ind w:right="73" w:firstLine="413"/>
        <w:spacing w:before="132" w:line="310" w:lineRule="auto"/>
        <w:rPr/>
      </w:pPr>
      <w:r>
        <w:rPr>
          <w:spacing w:val="7"/>
        </w:rPr>
        <w:t>（六）建立防灾减灾救灾督查考核制度，</w:t>
      </w:r>
      <w:r>
        <w:rPr>
          <w:spacing w:val="7"/>
        </w:rPr>
        <w:t>督促本级政府有关部门（单位）和下级政府加</w:t>
      </w:r>
      <w:r>
        <w:rPr>
          <w:spacing w:val="8"/>
        </w:rPr>
        <w:t>强防灾减灾救灾工作；</w:t>
      </w:r>
    </w:p>
    <w:p>
      <w:pPr>
        <w:pStyle w:val="BodyText"/>
        <w:ind w:right="80" w:firstLine="412"/>
        <w:spacing w:before="134" w:line="326" w:lineRule="auto"/>
        <w:rPr/>
      </w:pPr>
      <w:r>
        <w:rPr>
          <w:spacing w:val="7"/>
        </w:rPr>
        <w:t>（七）建立健全灾害事件（故）应急救援</w:t>
      </w:r>
      <w:r>
        <w:rPr>
          <w:spacing w:val="7"/>
        </w:rPr>
        <w:t>体系，组织有关主管部门制定自然灾害专项应</w:t>
      </w:r>
      <w:r>
        <w:rPr>
          <w:spacing w:val="7"/>
        </w:rPr>
        <w:t>急救援预案，并按照预案要求组织开展演练和</w:t>
      </w:r>
      <w:r>
        <w:rPr>
          <w:spacing w:val="7"/>
        </w:rPr>
        <w:t>应急救援，依法依规开展灾害事件（故）调查</w:t>
      </w:r>
      <w:r>
        <w:rPr>
          <w:spacing w:val="8"/>
        </w:rPr>
        <w:t>处理，督促落实问题整改；</w:t>
      </w:r>
    </w:p>
    <w:p>
      <w:pPr>
        <w:pStyle w:val="BodyText"/>
        <w:ind w:left="18" w:right="80" w:firstLine="394"/>
        <w:spacing w:before="133" w:line="289" w:lineRule="auto"/>
        <w:rPr/>
      </w:pPr>
      <w:r>
        <w:rPr>
          <w:spacing w:val="7"/>
        </w:rPr>
        <w:t>（八）加强应急救援队伍建设，储备必要</w:t>
      </w:r>
      <w:r>
        <w:rPr>
          <w:spacing w:val="6"/>
        </w:rPr>
        <w:t>的应急救灾物资装备；</w:t>
      </w:r>
    </w:p>
    <w:p>
      <w:pPr>
        <w:pStyle w:val="BodyText"/>
        <w:ind w:left="413"/>
        <w:spacing w:before="134" w:line="278" w:lineRule="exact"/>
        <w:rPr/>
      </w:pPr>
      <w:r>
        <w:rPr>
          <w:spacing w:val="9"/>
          <w:position w:val="1"/>
        </w:rPr>
        <w:t>（九）法律法规等规定的其他职责。</w:t>
      </w:r>
    </w:p>
    <w:p>
      <w:pPr>
        <w:pStyle w:val="BodyText"/>
        <w:ind w:left="428"/>
        <w:spacing w:before="102" w:line="213" w:lineRule="auto"/>
        <w:rPr/>
      </w:pPr>
      <w:r>
        <w:rPr>
          <w:rFonts w:ascii="Microsoft YaHei" w:hAnsi="Microsoft YaHei" w:eastAsia="Microsoft YaHei" w:cs="Microsoft YaHei"/>
          <w:spacing w:val="8"/>
        </w:rPr>
        <w:t>第八条</w:t>
      </w:r>
      <w:r>
        <w:rPr>
          <w:rFonts w:ascii="Microsoft YaHei" w:hAnsi="Microsoft YaHei" w:eastAsia="Microsoft YaHei" w:cs="Microsoft YaHei"/>
          <w:spacing w:val="13"/>
        </w:rPr>
        <w:t xml:space="preserve">   </w:t>
      </w:r>
      <w:r>
        <w:rPr>
          <w:spacing w:val="8"/>
        </w:rPr>
        <w:t>各级应急管理指挥部职责：</w:t>
      </w:r>
    </w:p>
    <w:p>
      <w:pPr>
        <w:pStyle w:val="BodyText"/>
        <w:ind w:right="80" w:firstLine="412"/>
        <w:spacing w:before="74" w:line="287" w:lineRule="auto"/>
        <w:rPr/>
      </w:pPr>
      <w:r>
        <w:rPr>
          <w:spacing w:val="7"/>
        </w:rPr>
        <w:t>（一）贯彻落实党中央、国务院和自治区</w:t>
      </w:r>
      <w:r>
        <w:rPr>
          <w:spacing w:val="7"/>
        </w:rPr>
        <w:t>应急管理指挥部及同级党委、政府防灾减灾救</w:t>
      </w:r>
    </w:p>
    <w:p>
      <w:pPr>
        <w:spacing w:line="287" w:lineRule="auto"/>
        <w:sectPr>
          <w:type w:val="continuous"/>
          <w:pgSz w:w="11906" w:h="16839"/>
          <w:pgMar w:top="1766" w:right="1509" w:bottom="1570" w:left="1579" w:header="1428" w:footer="1172" w:gutter="0"/>
          <w:cols w:equalWidth="0" w:num="2">
            <w:col w:w="4489" w:space="100"/>
            <w:col w:w="4228" w:space="0"/>
          </w:cols>
        </w:sectPr>
        <w:rPr/>
      </w:pPr>
    </w:p>
    <w:p>
      <w:pPr>
        <w:spacing w:before="19"/>
        <w:rPr/>
      </w:pPr>
      <w:r>
        <w:drawing>
          <wp:anchor distT="0" distB="0" distL="0" distR="0" simplePos="0" relativeHeight="251971584"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878" name="IM 878"/>
            <wp:cNvGraphicFramePr/>
            <a:graphic>
              <a:graphicData uri="http://schemas.openxmlformats.org/drawingml/2006/picture">
                <pic:pic>
                  <pic:nvPicPr>
                    <pic:cNvPr id="878" name="IM 878"/>
                    <pic:cNvPicPr/>
                  </pic:nvPicPr>
                  <pic:blipFill>
                    <a:blip r:embed="rId441"/>
                    <a:stretch>
                      <a:fillRect/>
                    </a:stretch>
                  </pic:blipFill>
                  <pic:spPr>
                    <a:xfrm rot="0">
                      <a:off x="0" y="0"/>
                      <a:ext cx="5579745" cy="7619"/>
                    </a:xfrm>
                    <a:prstGeom prst="rect">
                      <a:avLst/>
                    </a:prstGeom>
                  </pic:spPr>
                </pic:pic>
              </a:graphicData>
            </a:graphic>
          </wp:anchor>
        </w:drawing>
      </w:r>
      <w:r/>
    </w:p>
    <w:p>
      <w:pPr>
        <w:sectPr>
          <w:headerReference w:type="default" r:id="rId439"/>
          <w:footerReference w:type="default" r:id="rId440"/>
          <w:pgSz w:w="11906" w:h="16839"/>
          <w:pgMar w:top="1793" w:right="1526" w:bottom="1673" w:left="1565" w:header="1428" w:footer="1277" w:gutter="0"/>
          <w:cols w:equalWidth="0" w:num="1">
            <w:col w:w="8815" w:space="0"/>
          </w:cols>
        </w:sectPr>
        <w:rPr/>
      </w:pPr>
    </w:p>
    <w:p>
      <w:pPr>
        <w:pStyle w:val="BodyText"/>
        <w:ind w:left="28"/>
        <w:spacing w:before="58" w:line="224" w:lineRule="auto"/>
        <w:rPr/>
      </w:pPr>
      <w:r>
        <w:rPr>
          <w:spacing w:val="8"/>
        </w:rPr>
        <w:t>灾工作重大决策部署；</w:t>
      </w:r>
    </w:p>
    <w:p>
      <w:pPr>
        <w:pStyle w:val="BodyText"/>
        <w:ind w:left="28" w:right="323" w:firstLine="410"/>
        <w:spacing w:before="134" w:line="320" w:lineRule="auto"/>
        <w:rPr/>
      </w:pPr>
      <w:r>
        <w:rPr>
          <w:spacing w:val="7"/>
        </w:rPr>
        <w:t>（二）研究提出本地区年度防灾减灾救灾</w:t>
      </w:r>
      <w:r>
        <w:rPr>
          <w:spacing w:val="7"/>
        </w:rPr>
        <w:t>管理目标任务，定期召开全体会议，研究并协</w:t>
      </w:r>
      <w:r>
        <w:rPr>
          <w:spacing w:val="7"/>
        </w:rPr>
        <w:t>调解决防灾减灾救灾工作中存在的重大问题，</w:t>
      </w:r>
      <w:r>
        <w:rPr>
          <w:spacing w:val="8"/>
        </w:rPr>
        <w:t>安排部署防灾减灾救灾工作；</w:t>
      </w:r>
    </w:p>
    <w:p>
      <w:pPr>
        <w:pStyle w:val="BodyText"/>
        <w:ind w:left="27" w:right="330" w:firstLine="411"/>
        <w:spacing w:before="149" w:line="322" w:lineRule="auto"/>
        <w:rPr/>
      </w:pPr>
      <w:r>
        <w:rPr>
          <w:spacing w:val="7"/>
        </w:rPr>
        <w:t>（三）统筹指导和综合协调防灾减灾救灾</w:t>
      </w:r>
      <w:r>
        <w:rPr>
          <w:spacing w:val="7"/>
        </w:rPr>
        <w:t>活动，协调驻固部队和消防救援队伍等救援力</w:t>
      </w:r>
      <w:r>
        <w:rPr>
          <w:spacing w:val="8"/>
        </w:rPr>
        <w:t>量参与应急处置工作；</w:t>
      </w:r>
    </w:p>
    <w:p>
      <w:pPr>
        <w:pStyle w:val="BodyText"/>
        <w:ind w:left="439"/>
        <w:spacing w:before="153" w:line="277" w:lineRule="exact"/>
        <w:rPr/>
      </w:pPr>
      <w:r>
        <w:rPr>
          <w:spacing w:val="6"/>
          <w:position w:val="1"/>
        </w:rPr>
        <w:t>（</w:t>
      </w:r>
      <w:r>
        <w:rPr>
          <w:spacing w:val="-44"/>
          <w:position w:val="1"/>
        </w:rPr>
        <w:t xml:space="preserve"> </w:t>
      </w:r>
      <w:r>
        <w:rPr>
          <w:spacing w:val="6"/>
          <w:position w:val="1"/>
        </w:rPr>
        <w:t>四）推进防灾减灾救灾交流合作。</w:t>
      </w:r>
    </w:p>
    <w:p>
      <w:pPr>
        <w:pStyle w:val="BodyText"/>
        <w:ind w:left="447"/>
        <w:spacing w:before="121" w:line="278" w:lineRule="exact"/>
        <w:rPr/>
      </w:pPr>
      <w:r>
        <w:rPr>
          <w:spacing w:val="9"/>
          <w:position w:val="1"/>
        </w:rPr>
        <w:t>各级应急管理指挥部办公室主要职责：</w:t>
      </w:r>
    </w:p>
    <w:p>
      <w:pPr>
        <w:pStyle w:val="BodyText"/>
        <w:ind w:left="26" w:right="330" w:firstLine="413"/>
        <w:spacing w:before="120" w:line="331" w:lineRule="auto"/>
        <w:rPr/>
      </w:pPr>
      <w:r>
        <w:rPr>
          <w:spacing w:val="13"/>
        </w:rPr>
        <w:t>（</w:t>
      </w:r>
      <w:r>
        <w:rPr>
          <w:spacing w:val="-55"/>
        </w:rPr>
        <w:t xml:space="preserve"> </w:t>
      </w:r>
      <w:r>
        <w:rPr>
          <w:spacing w:val="13"/>
        </w:rPr>
        <w:t>一</w:t>
      </w:r>
      <w:r>
        <w:rPr>
          <w:spacing w:val="-33"/>
        </w:rPr>
        <w:t xml:space="preserve"> </w:t>
      </w:r>
      <w:r>
        <w:rPr>
          <w:spacing w:val="13"/>
        </w:rPr>
        <w:t>）负责督促落实本级指挥部决策部</w:t>
      </w:r>
      <w:r>
        <w:rPr>
          <w:spacing w:val="7"/>
        </w:rPr>
        <w:t>署，承担本级应急管理指挥部日常工作，提出</w:t>
      </w:r>
      <w:r>
        <w:rPr>
          <w:spacing w:val="18"/>
        </w:rPr>
        <w:t>需要由本级应急管理指挥部研究解决的问题</w:t>
      </w:r>
      <w:r>
        <w:rPr>
          <w:spacing w:val="7"/>
        </w:rPr>
        <w:t>及相关建议；</w:t>
      </w:r>
    </w:p>
    <w:p>
      <w:pPr>
        <w:pStyle w:val="BodyText"/>
        <w:ind w:left="27" w:right="330" w:firstLine="411"/>
        <w:spacing w:before="148" w:line="297" w:lineRule="auto"/>
        <w:rPr/>
      </w:pPr>
      <w:r>
        <w:rPr>
          <w:spacing w:val="7"/>
        </w:rPr>
        <w:t>（二）指导协调、监督检查、评估考核各</w:t>
      </w:r>
      <w:r>
        <w:rPr>
          <w:spacing w:val="8"/>
        </w:rPr>
        <w:t>成员单位防灾减灾救灾工作；</w:t>
      </w:r>
    </w:p>
    <w:p>
      <w:pPr>
        <w:pStyle w:val="BodyText"/>
        <w:ind w:left="27" w:right="330" w:firstLine="411"/>
        <w:spacing w:before="148" w:line="298" w:lineRule="auto"/>
        <w:rPr/>
      </w:pPr>
      <w:r>
        <w:rPr>
          <w:spacing w:val="7"/>
        </w:rPr>
        <w:t>（三）协调解决防灾减灾救灾工作中的具</w:t>
      </w:r>
      <w:r>
        <w:rPr>
          <w:spacing w:val="6"/>
        </w:rPr>
        <w:t>体问题；</w:t>
      </w:r>
    </w:p>
    <w:p>
      <w:pPr>
        <w:pStyle w:val="BodyText"/>
        <w:ind w:left="27" w:right="330" w:firstLine="411"/>
        <w:spacing w:before="146" w:line="297" w:lineRule="auto"/>
        <w:rPr/>
      </w:pPr>
      <w:r>
        <w:rPr>
          <w:spacing w:val="11"/>
        </w:rPr>
        <w:t>（</w:t>
      </w:r>
      <w:r>
        <w:rPr>
          <w:spacing w:val="-21"/>
        </w:rPr>
        <w:t xml:space="preserve"> </w:t>
      </w:r>
      <w:r>
        <w:rPr>
          <w:spacing w:val="11"/>
        </w:rPr>
        <w:t>四</w:t>
      </w:r>
      <w:r>
        <w:rPr>
          <w:spacing w:val="-33"/>
        </w:rPr>
        <w:t xml:space="preserve"> </w:t>
      </w:r>
      <w:r>
        <w:rPr>
          <w:spacing w:val="11"/>
        </w:rPr>
        <w:t>）负责本级应急管理指挥部会议筹</w:t>
      </w:r>
      <w:r>
        <w:rPr>
          <w:spacing w:val="8"/>
        </w:rPr>
        <w:t>备、组织和会务工作；</w:t>
      </w:r>
    </w:p>
    <w:p>
      <w:pPr>
        <w:pStyle w:val="BodyText"/>
        <w:ind w:left="27" w:right="330" w:firstLine="411"/>
        <w:spacing w:before="149" w:line="295" w:lineRule="auto"/>
        <w:rPr/>
      </w:pPr>
      <w:r>
        <w:rPr>
          <w:spacing w:val="7"/>
        </w:rPr>
        <w:t>（五）完成本级应急管理指挥部交办的其</w:t>
      </w:r>
      <w:r>
        <w:rPr>
          <w:spacing w:val="6"/>
        </w:rPr>
        <w:t>他工作。</w:t>
      </w:r>
    </w:p>
    <w:p>
      <w:pPr>
        <w:pStyle w:val="BodyText"/>
        <w:ind w:left="19" w:right="330" w:firstLine="435"/>
        <w:spacing w:before="150" w:line="335" w:lineRule="auto"/>
        <w:rPr/>
      </w:pPr>
      <w:r>
        <w:rPr>
          <w:rFonts w:ascii="Microsoft YaHei" w:hAnsi="Microsoft YaHei" w:eastAsia="Microsoft YaHei" w:cs="Microsoft YaHei"/>
          <w:spacing w:val="2"/>
        </w:rPr>
        <w:t>第九条</w:t>
      </w:r>
      <w:r>
        <w:rPr>
          <w:rFonts w:ascii="Microsoft YaHei" w:hAnsi="Microsoft YaHei" w:eastAsia="Microsoft YaHei" w:cs="Microsoft YaHei"/>
          <w:spacing w:val="19"/>
          <w:w w:val="101"/>
        </w:rPr>
        <w:t xml:space="preserve">   </w:t>
      </w:r>
      <w:r>
        <w:rPr>
          <w:spacing w:val="2"/>
        </w:rPr>
        <w:t>乡镇（街道）在县（</w:t>
      </w:r>
      <w:r>
        <w:rPr>
          <w:spacing w:val="-53"/>
        </w:rPr>
        <w:t xml:space="preserve"> </w:t>
      </w:r>
      <w:r>
        <w:rPr>
          <w:spacing w:val="2"/>
        </w:rPr>
        <w:t>区）党委和</w:t>
      </w:r>
      <w:r>
        <w:rPr>
          <w:spacing w:val="7"/>
        </w:rPr>
        <w:t>政府领导下开展防灾减灾救灾工作，重点做好</w:t>
      </w:r>
      <w:r>
        <w:rPr>
          <w:spacing w:val="7"/>
        </w:rPr>
        <w:t>灾害风险评估、隐患排查、预防、应急知识宣</w:t>
      </w:r>
      <w:r>
        <w:rPr>
          <w:spacing w:val="7"/>
        </w:rPr>
        <w:t>传普及、应急演练及信息报送等基础工作。村</w:t>
      </w:r>
      <w:r>
        <w:rPr>
          <w:spacing w:val="7"/>
        </w:rPr>
        <w:t>（居）民委员会应当根据所在地人民政府的要</w:t>
      </w:r>
      <w:r>
        <w:rPr>
          <w:spacing w:val="7"/>
        </w:rPr>
        <w:t>求，结合各自的实际情况，组织开展有关防灾</w:t>
      </w:r>
      <w:r>
        <w:rPr>
          <w:spacing w:val="18"/>
        </w:rPr>
        <w:t>减灾救灾知识的宣传普及活动和必要的应急</w:t>
      </w:r>
      <w:r>
        <w:rPr>
          <w:spacing w:val="9"/>
        </w:rPr>
        <w:t>演练，做好防灾减灾救灾工作。</w:t>
      </w:r>
    </w:p>
    <w:p>
      <w:pPr>
        <w:pStyle w:val="BodyText"/>
        <w:ind w:left="28" w:right="310" w:firstLine="425"/>
        <w:spacing w:before="154" w:line="277" w:lineRule="auto"/>
        <w:rPr/>
      </w:pPr>
      <w:r>
        <w:rPr>
          <w:rFonts w:ascii="Microsoft YaHei" w:hAnsi="Microsoft YaHei" w:eastAsia="Microsoft YaHei" w:cs="Microsoft YaHei"/>
          <w:spacing w:val="5"/>
        </w:rPr>
        <w:t>第十条</w:t>
      </w:r>
      <w:r>
        <w:rPr>
          <w:rFonts w:ascii="Microsoft YaHei" w:hAnsi="Microsoft YaHei" w:eastAsia="Microsoft YaHei" w:cs="Microsoft YaHei"/>
          <w:spacing w:val="18"/>
        </w:rPr>
        <w:t xml:space="preserve">   </w:t>
      </w:r>
      <w:r>
        <w:rPr>
          <w:spacing w:val="5"/>
        </w:rPr>
        <w:t>开发区、工业园区等各类园区党</w:t>
      </w:r>
      <w:r>
        <w:rPr>
          <w:spacing w:val="7"/>
        </w:rPr>
        <w:t>工委、管委会负责管理区域内的防灾减灾救灾</w:t>
      </w:r>
      <w:r>
        <w:rPr>
          <w:spacing w:val="8"/>
        </w:rPr>
        <w:t>工作，按照有关规定履行防灾减灾救灾职责。</w:t>
      </w:r>
    </w:p>
    <w:p>
      <w:pPr>
        <w:spacing w:line="14" w:lineRule="auto"/>
        <w:rPr>
          <w:rFonts w:ascii="Arial"/>
          <w:sz w:val="2"/>
        </w:rPr>
      </w:pPr>
      <w:r>
        <w:rPr>
          <w:rFonts w:ascii="Arial" w:hAnsi="Arial" w:eastAsia="Arial" w:cs="Arial"/>
          <w:sz w:val="2"/>
          <w:szCs w:val="2"/>
        </w:rPr>
        <w:br w:type="column"/>
      </w:r>
    </w:p>
    <w:p>
      <w:pPr>
        <w:ind w:left="612"/>
        <w:spacing w:before="47" w:line="21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第三章</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1"/>
        </w:rPr>
        <w:t>有关部门（ 单位 ）责任</w:t>
      </w:r>
    </w:p>
    <w:p>
      <w:pPr>
        <w:spacing w:line="378" w:lineRule="auto"/>
        <w:rPr>
          <w:rFonts w:ascii="Arial"/>
          <w:sz w:val="21"/>
        </w:rPr>
      </w:pPr>
      <w:r/>
    </w:p>
    <w:p>
      <w:pPr>
        <w:pStyle w:val="BodyText"/>
        <w:ind w:left="1" w:right="64" w:firstLine="425"/>
        <w:spacing w:before="86" w:line="301" w:lineRule="auto"/>
        <w:rPr/>
      </w:pPr>
      <w:r>
        <w:rPr>
          <w:rFonts w:ascii="Microsoft YaHei" w:hAnsi="Microsoft YaHei" w:eastAsia="Microsoft YaHei" w:cs="Microsoft YaHei"/>
          <w:spacing w:val="17"/>
        </w:rPr>
        <w:t>第十一条</w:t>
      </w:r>
      <w:r>
        <w:rPr>
          <w:rFonts w:ascii="Microsoft YaHei" w:hAnsi="Microsoft YaHei" w:eastAsia="Microsoft YaHei" w:cs="Microsoft YaHei"/>
          <w:spacing w:val="22"/>
          <w:w w:val="101"/>
        </w:rPr>
        <w:t xml:space="preserve">   </w:t>
      </w:r>
      <w:r>
        <w:rPr>
          <w:spacing w:val="17"/>
        </w:rPr>
        <w:t>党委工作机关防灾减灾救灾</w:t>
      </w:r>
      <w:r>
        <w:rPr>
          <w:spacing w:val="6"/>
        </w:rPr>
        <w:t>工作责任：</w:t>
      </w:r>
    </w:p>
    <w:p>
      <w:pPr>
        <w:pStyle w:val="BodyText"/>
        <w:ind w:left="412"/>
        <w:spacing w:line="276" w:lineRule="exact"/>
        <w:rPr/>
      </w:pPr>
      <w:r>
        <w:rPr>
          <w:spacing w:val="10"/>
          <w:position w:val="1"/>
        </w:rPr>
        <w:t>（一）纪检监察机关</w:t>
      </w:r>
    </w:p>
    <w:p>
      <w:pPr>
        <w:pStyle w:val="BodyText"/>
        <w:ind w:right="62" w:firstLine="439"/>
        <w:spacing w:before="101" w:line="290" w:lineRule="auto"/>
        <w:rPr/>
      </w:pPr>
      <w:r>
        <w:rPr>
          <w:spacing w:val="5"/>
        </w:rPr>
        <w:t>1.负责监督查处防灾减灾救灾领域腐败和</w:t>
      </w:r>
      <w:r>
        <w:rPr>
          <w:spacing w:val="6"/>
        </w:rPr>
        <w:t>作风问题；</w:t>
      </w:r>
    </w:p>
    <w:p>
      <w:pPr>
        <w:pStyle w:val="BodyText"/>
        <w:ind w:left="1" w:right="62" w:firstLine="420"/>
        <w:spacing w:before="134" w:line="288" w:lineRule="auto"/>
        <w:rPr/>
      </w:pPr>
      <w:r>
        <w:rPr>
          <w:spacing w:val="6"/>
        </w:rPr>
        <w:t>2.按照管理权限，对需要追究党纪政纪责</w:t>
      </w:r>
      <w:r>
        <w:rPr>
          <w:spacing w:val="8"/>
        </w:rPr>
        <w:t>任的有关责任人，按照有关规定办理。</w:t>
      </w:r>
    </w:p>
    <w:p>
      <w:pPr>
        <w:pStyle w:val="BodyText"/>
        <w:ind w:left="412"/>
        <w:spacing w:before="134" w:line="277" w:lineRule="exact"/>
        <w:rPr/>
      </w:pPr>
      <w:r>
        <w:rPr>
          <w:spacing w:val="10"/>
          <w:position w:val="1"/>
        </w:rPr>
        <w:t>（二）宣传部门</w:t>
      </w:r>
    </w:p>
    <w:p>
      <w:pPr>
        <w:pStyle w:val="BodyText"/>
        <w:ind w:left="4" w:right="62" w:firstLine="434"/>
        <w:spacing w:before="104" w:line="290" w:lineRule="auto"/>
        <w:rPr/>
      </w:pPr>
      <w:r>
        <w:rPr>
          <w:spacing w:val="5"/>
        </w:rPr>
        <w:t>1.组织编制固原市突发事件新闻发布应急</w:t>
      </w:r>
      <w:r>
        <w:rPr>
          <w:spacing w:val="3"/>
        </w:rPr>
        <w:t>预案；</w:t>
      </w:r>
    </w:p>
    <w:p>
      <w:pPr>
        <w:pStyle w:val="BodyText"/>
        <w:ind w:left="3" w:right="41" w:firstLine="418"/>
        <w:spacing w:before="132" w:line="310" w:lineRule="auto"/>
        <w:rPr/>
      </w:pPr>
      <w:r>
        <w:rPr>
          <w:spacing w:val="6"/>
        </w:rPr>
        <w:t>2.关注防灾减灾救灾工作动态，指导本地</w:t>
      </w:r>
      <w:r>
        <w:rPr>
          <w:spacing w:val="8"/>
        </w:rPr>
        <w:t>区新闻单位广泛开展防灾减灾救灾新闻宣传、</w:t>
      </w:r>
      <w:r>
        <w:rPr>
          <w:spacing w:val="8"/>
        </w:rPr>
        <w:t>知识普及和公益动员；</w:t>
      </w:r>
    </w:p>
    <w:p>
      <w:pPr>
        <w:pStyle w:val="BodyText"/>
        <w:ind w:firstLine="425"/>
        <w:spacing w:before="132" w:line="310" w:lineRule="auto"/>
        <w:rPr/>
      </w:pPr>
      <w:r>
        <w:rPr>
          <w:spacing w:val="-1"/>
        </w:rPr>
        <w:t>3.指导、协调自然灾害重大广播电视活动，</w:t>
      </w:r>
      <w:r>
        <w:rPr>
          <w:spacing w:val="7"/>
        </w:rPr>
        <w:t>推动应急广播系统建设，配合发布自然灾害预</w:t>
      </w:r>
      <w:r>
        <w:rPr>
          <w:spacing w:val="9"/>
        </w:rPr>
        <w:t>警信息、灾情动态和救灾工作进展信息；</w:t>
      </w:r>
    </w:p>
    <w:p>
      <w:pPr>
        <w:pStyle w:val="BodyText"/>
        <w:ind w:left="2" w:right="62" w:firstLine="416"/>
        <w:spacing w:before="133" w:line="320" w:lineRule="auto"/>
        <w:rPr/>
      </w:pPr>
      <w:r>
        <w:rPr>
          <w:spacing w:val="6"/>
        </w:rPr>
        <w:t>4.视情启动较大及以上或有社会影响的灾</w:t>
      </w:r>
      <w:r>
        <w:rPr>
          <w:spacing w:val="7"/>
        </w:rPr>
        <w:t>害社会舆情应对机制，加强舆情管控，及时准</w:t>
      </w:r>
      <w:r>
        <w:rPr>
          <w:spacing w:val="7"/>
        </w:rPr>
        <w:t>确、公开透明、规范有序、科学适度地发布灾</w:t>
      </w:r>
      <w:r>
        <w:rPr>
          <w:spacing w:val="7"/>
        </w:rPr>
        <w:t>害应急处置信息；</w:t>
      </w:r>
    </w:p>
    <w:p>
      <w:pPr>
        <w:pStyle w:val="BodyText"/>
        <w:ind w:right="62" w:firstLine="423"/>
        <w:spacing w:before="135" w:line="320" w:lineRule="auto"/>
        <w:rPr/>
      </w:pPr>
      <w:r>
        <w:rPr>
          <w:spacing w:val="6"/>
        </w:rPr>
        <w:t>5.指导、协调有关单位、地方依据有关规</w:t>
      </w:r>
      <w:r>
        <w:rPr>
          <w:spacing w:val="7"/>
        </w:rPr>
        <w:t>定召开新闻发布会，及时公开权威信息，有效</w:t>
      </w:r>
      <w:r>
        <w:rPr>
          <w:spacing w:val="7"/>
        </w:rPr>
        <w:t>回应社会关切。必要时设立临时新闻中心，第</w:t>
      </w:r>
      <w:r>
        <w:rPr>
          <w:spacing w:val="-3"/>
        </w:rPr>
        <w:t>一时间发出官方权威声音，保证正确舆论导向；</w:t>
      </w:r>
    </w:p>
    <w:p>
      <w:pPr>
        <w:pStyle w:val="BodyText"/>
        <w:ind w:left="2" w:firstLine="420"/>
        <w:spacing w:before="131" w:line="287" w:lineRule="auto"/>
        <w:rPr/>
      </w:pPr>
      <w:r>
        <w:rPr>
          <w:spacing w:val="-1"/>
        </w:rPr>
        <w:t>6.管理、协调灾害现场媒体采访报道活动，</w:t>
      </w:r>
      <w:r>
        <w:rPr>
          <w:spacing w:val="8"/>
        </w:rPr>
        <w:t>统筹涉灾报道口径和规范。</w:t>
      </w:r>
    </w:p>
    <w:p>
      <w:pPr>
        <w:pStyle w:val="BodyText"/>
        <w:ind w:left="412"/>
        <w:spacing w:before="139" w:line="277" w:lineRule="exact"/>
        <w:rPr/>
      </w:pPr>
      <w:r>
        <w:rPr>
          <w:spacing w:val="10"/>
          <w:position w:val="1"/>
        </w:rPr>
        <w:t>（三）机构编制管理部门</w:t>
      </w:r>
    </w:p>
    <w:p>
      <w:pPr>
        <w:pStyle w:val="BodyText"/>
        <w:ind w:right="64" w:firstLine="419"/>
        <w:spacing w:before="105" w:line="350" w:lineRule="auto"/>
        <w:rPr/>
      </w:pPr>
      <w:r>
        <w:rPr>
          <w:spacing w:val="19"/>
        </w:rPr>
        <w:t>按程序和权限研究审核防灾减灾救灾部</w:t>
      </w:r>
      <w:r>
        <w:rPr>
          <w:spacing w:val="7"/>
        </w:rPr>
        <w:t>门提出的职能配置和调整意见，科学配备防灾</w:t>
      </w:r>
      <w:r>
        <w:rPr>
          <w:spacing w:val="8"/>
        </w:rPr>
        <w:t>减灾救灾部门人员编制。</w:t>
      </w:r>
    </w:p>
    <w:p>
      <w:pPr>
        <w:pStyle w:val="BodyText"/>
        <w:ind w:left="412"/>
        <w:spacing w:line="278" w:lineRule="exact"/>
        <w:rPr/>
      </w:pPr>
      <w:r>
        <w:rPr>
          <w:spacing w:val="-6"/>
          <w:position w:val="1"/>
        </w:rPr>
        <w:t>（</w:t>
      </w:r>
      <w:r>
        <w:rPr>
          <w:spacing w:val="-45"/>
          <w:position w:val="1"/>
        </w:rPr>
        <w:t xml:space="preserve"> </w:t>
      </w:r>
      <w:r>
        <w:rPr>
          <w:spacing w:val="-6"/>
          <w:position w:val="1"/>
        </w:rPr>
        <w:t>四</w:t>
      </w:r>
      <w:r>
        <w:rPr>
          <w:spacing w:val="-41"/>
          <w:position w:val="1"/>
        </w:rPr>
        <w:t xml:space="preserve"> </w:t>
      </w:r>
      <w:r>
        <w:rPr>
          <w:spacing w:val="-6"/>
          <w:position w:val="1"/>
        </w:rPr>
        <w:t>）网信部门</w:t>
      </w:r>
    </w:p>
    <w:p>
      <w:pPr>
        <w:pStyle w:val="BodyText"/>
        <w:ind w:right="22"/>
        <w:spacing w:before="101" w:line="278" w:lineRule="exact"/>
        <w:jc w:val="right"/>
        <w:rPr/>
      </w:pPr>
      <w:r>
        <w:rPr>
          <w:spacing w:val="-12"/>
          <w:position w:val="1"/>
        </w:rPr>
        <w:t>1.负责组织编制固原市互联网安全应急预案；</w:t>
      </w:r>
    </w:p>
    <w:p>
      <w:pPr>
        <w:spacing w:line="278" w:lineRule="exact"/>
        <w:sectPr>
          <w:type w:val="continuous"/>
          <w:pgSz w:w="11906" w:h="16839"/>
          <w:pgMar w:top="1793" w:right="1526" w:bottom="1673" w:left="1565" w:header="1428" w:footer="1277" w:gutter="0"/>
          <w:cols w:equalWidth="0" w:num="2">
            <w:col w:w="4504" w:space="100"/>
            <w:col w:w="4211" w:space="0"/>
          </w:cols>
        </w:sectPr>
        <w:rPr/>
      </w:pPr>
    </w:p>
    <w:p>
      <w:pPr>
        <w:spacing w:before="32"/>
        <w:rPr/>
      </w:pPr>
      <w:r>
        <w:drawing>
          <wp:anchor distT="0" distB="0" distL="0" distR="0" simplePos="0" relativeHeight="251973632"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884" name="IM 884"/>
            <wp:cNvGraphicFramePr/>
            <a:graphic>
              <a:graphicData uri="http://schemas.openxmlformats.org/drawingml/2006/picture">
                <pic:pic>
                  <pic:nvPicPr>
                    <pic:cNvPr id="884" name="IM 884"/>
                    <pic:cNvPicPr/>
                  </pic:nvPicPr>
                  <pic:blipFill>
                    <a:blip r:embed="rId444"/>
                    <a:stretch>
                      <a:fillRect/>
                    </a:stretch>
                  </pic:blipFill>
                  <pic:spPr>
                    <a:xfrm rot="0">
                      <a:off x="0" y="0"/>
                      <a:ext cx="5579745" cy="7620"/>
                    </a:xfrm>
                    <a:prstGeom prst="rect">
                      <a:avLst/>
                    </a:prstGeom>
                  </pic:spPr>
                </pic:pic>
              </a:graphicData>
            </a:graphic>
          </wp:anchor>
        </w:drawing>
      </w:r>
      <w:r/>
    </w:p>
    <w:p>
      <w:pPr>
        <w:sectPr>
          <w:headerReference w:type="default" r:id="rId442"/>
          <w:footerReference w:type="default" r:id="rId443"/>
          <w:pgSz w:w="11906" w:h="16839"/>
          <w:pgMar w:top="1766" w:right="1530" w:bottom="1570" w:left="1579" w:header="1419" w:footer="1172" w:gutter="0"/>
          <w:cols w:equalWidth="0" w:num="1">
            <w:col w:w="8796" w:space="0"/>
          </w:cols>
        </w:sectPr>
        <w:rPr/>
      </w:pPr>
    </w:p>
    <w:p>
      <w:pPr>
        <w:pStyle w:val="BodyText"/>
        <w:ind w:left="10" w:right="254" w:firstLine="424"/>
        <w:spacing w:before="48" w:line="300" w:lineRule="auto"/>
        <w:rPr/>
      </w:pPr>
      <w:r>
        <w:rPr>
          <w:spacing w:val="6"/>
        </w:rPr>
        <w:t>2.密切监管防灾减灾救灾网络舆情，建立</w:t>
      </w:r>
      <w:r>
        <w:rPr>
          <w:spacing w:val="-9"/>
        </w:rPr>
        <w:t>舆情通报制度，发现敏感信息及时通报相关部门；</w:t>
      </w:r>
    </w:p>
    <w:p>
      <w:pPr>
        <w:pStyle w:val="BodyText"/>
        <w:ind w:left="30" w:right="324" w:firstLine="407"/>
        <w:spacing w:before="155" w:line="301" w:lineRule="auto"/>
        <w:rPr/>
      </w:pPr>
      <w:r>
        <w:rPr>
          <w:spacing w:val="6"/>
        </w:rPr>
        <w:t>3.协调有关部门严控非官方灾害预警信息</w:t>
      </w:r>
      <w:r>
        <w:rPr>
          <w:spacing w:val="7"/>
        </w:rPr>
        <w:t>的网络传播，防止误导和炒作；</w:t>
      </w:r>
    </w:p>
    <w:p>
      <w:pPr>
        <w:pStyle w:val="BodyText"/>
        <w:ind w:left="15" w:right="327" w:firstLine="416"/>
        <w:spacing w:before="155" w:line="300" w:lineRule="auto"/>
        <w:rPr/>
      </w:pPr>
      <w:r>
        <w:rPr>
          <w:spacing w:val="18"/>
        </w:rPr>
        <w:t>4.依法整治网络谣言和清理网上非法信</w:t>
      </w:r>
      <w:r>
        <w:rPr>
          <w:spacing w:val="8"/>
        </w:rPr>
        <w:t>息，净化网络空间环境。</w:t>
      </w:r>
    </w:p>
    <w:p>
      <w:pPr>
        <w:pStyle w:val="BodyText"/>
        <w:ind w:left="14" w:right="327" w:firstLine="425"/>
        <w:spacing w:before="164" w:line="319" w:lineRule="auto"/>
        <w:rPr/>
      </w:pPr>
      <w:r>
        <w:rPr>
          <w:rFonts w:ascii="Microsoft YaHei" w:hAnsi="Microsoft YaHei" w:eastAsia="Microsoft YaHei" w:cs="Microsoft YaHei"/>
          <w:spacing w:val="17"/>
        </w:rPr>
        <w:t>第十二条</w:t>
      </w:r>
      <w:r>
        <w:rPr>
          <w:rFonts w:ascii="Microsoft YaHei" w:hAnsi="Microsoft YaHei" w:eastAsia="Microsoft YaHei" w:cs="Microsoft YaHei"/>
          <w:spacing w:val="22"/>
          <w:w w:val="101"/>
        </w:rPr>
        <w:t xml:space="preserve">   </w:t>
      </w:r>
      <w:r>
        <w:rPr>
          <w:spacing w:val="17"/>
        </w:rPr>
        <w:t>政府工作部门防灾减灾救灾</w:t>
      </w:r>
      <w:r>
        <w:rPr>
          <w:spacing w:val="6"/>
        </w:rPr>
        <w:t>工作责任：</w:t>
      </w:r>
    </w:p>
    <w:p>
      <w:pPr>
        <w:pStyle w:val="BodyText"/>
        <w:ind w:left="424"/>
        <w:spacing w:line="278" w:lineRule="exact"/>
        <w:rPr/>
      </w:pPr>
      <w:r>
        <w:rPr>
          <w:spacing w:val="10"/>
          <w:position w:val="1"/>
        </w:rPr>
        <w:t>（一）应急管理部门</w:t>
      </w:r>
    </w:p>
    <w:p>
      <w:pPr>
        <w:pStyle w:val="BodyText"/>
        <w:ind w:left="12" w:right="255" w:firstLine="439"/>
        <w:spacing w:before="126" w:line="334" w:lineRule="auto"/>
        <w:rPr/>
      </w:pPr>
      <w:r>
        <w:rPr>
          <w:spacing w:val="5"/>
        </w:rPr>
        <w:t>1.承担本级应急管理指挥部办公室日常工</w:t>
      </w:r>
      <w:r>
        <w:rPr>
          <w:spacing w:val="7"/>
        </w:rPr>
        <w:t>作，协助本级党委和政府有关负责同志组织处</w:t>
      </w:r>
      <w:r>
        <w:rPr>
          <w:spacing w:val="-3"/>
        </w:rPr>
        <w:t>置灾害事件（故</w:t>
      </w:r>
      <w:r>
        <w:rPr>
          <w:spacing w:val="-49"/>
          <w:w w:val="93"/>
        </w:rPr>
        <w:t>），</w:t>
      </w:r>
      <w:r>
        <w:rPr>
          <w:spacing w:val="-3"/>
        </w:rPr>
        <w:t>统筹综合防灾减灾救灾工作；</w:t>
      </w:r>
    </w:p>
    <w:p>
      <w:pPr>
        <w:pStyle w:val="BodyText"/>
        <w:ind w:left="12" w:right="324" w:firstLine="422"/>
        <w:spacing w:before="129" w:line="352" w:lineRule="auto"/>
        <w:rPr/>
      </w:pPr>
      <w:r>
        <w:rPr>
          <w:spacing w:val="6"/>
        </w:rPr>
        <w:t>2.负责组织编制综合防灾减灾救灾应急预</w:t>
      </w:r>
      <w:r>
        <w:rPr>
          <w:spacing w:val="18"/>
        </w:rPr>
        <w:t>案和指导相关部门编制自然灾害类等专项预</w:t>
      </w:r>
      <w:r>
        <w:rPr>
          <w:spacing w:val="7"/>
        </w:rPr>
        <w:t>案，综合协调应急预案衔接工作。组织编制综</w:t>
      </w:r>
      <w:r>
        <w:rPr>
          <w:spacing w:val="7"/>
        </w:rPr>
        <w:t>合防灾减灾规划，指导协调相关部门做好森林</w:t>
      </w:r>
      <w:r>
        <w:rPr>
          <w:spacing w:val="7"/>
        </w:rPr>
        <w:t>和草原火灾、水旱灾害、地震和地质灾害等防</w:t>
      </w:r>
      <w:r>
        <w:rPr>
          <w:spacing w:val="7"/>
        </w:rPr>
        <w:t>治工作。会同有关部门建立统一的应急管理信</w:t>
      </w:r>
      <w:r>
        <w:rPr>
          <w:spacing w:val="9"/>
        </w:rPr>
        <w:t>息平台，建立监测预警和灾情报告制度；</w:t>
      </w:r>
    </w:p>
    <w:p>
      <w:pPr>
        <w:pStyle w:val="BodyText"/>
        <w:ind w:left="13" w:right="324" w:firstLine="424"/>
        <w:spacing w:before="157" w:line="325" w:lineRule="auto"/>
        <w:rPr/>
      </w:pPr>
      <w:r>
        <w:rPr>
          <w:spacing w:val="6"/>
        </w:rPr>
        <w:t>3.依法依规收集、统计、报告灾情及救援</w:t>
      </w:r>
      <w:r>
        <w:rPr>
          <w:spacing w:val="7"/>
        </w:rPr>
        <w:t>救灾工作信息并统一发布，并向民政等部门通</w:t>
      </w:r>
      <w:r>
        <w:rPr>
          <w:spacing w:val="7"/>
        </w:rPr>
        <w:t>报灾情信息；</w:t>
      </w:r>
    </w:p>
    <w:p>
      <w:pPr>
        <w:pStyle w:val="BodyText"/>
        <w:ind w:left="431"/>
        <w:spacing w:before="156" w:line="276" w:lineRule="exact"/>
        <w:rPr/>
      </w:pPr>
      <w:r>
        <w:rPr>
          <w:spacing w:val="-13"/>
          <w:position w:val="1"/>
        </w:rPr>
        <w:t>4.组织开展自然灾害类突发事件的调查评估；</w:t>
      </w:r>
    </w:p>
    <w:p>
      <w:pPr>
        <w:pStyle w:val="BodyText"/>
        <w:ind w:left="15" w:right="324" w:firstLine="420"/>
        <w:spacing w:before="127" w:line="325" w:lineRule="auto"/>
        <w:rPr/>
      </w:pPr>
      <w:r>
        <w:rPr>
          <w:spacing w:val="6"/>
        </w:rPr>
        <w:t>5.统一协调指挥各行业、各领域抢险救援</w:t>
      </w:r>
      <w:r>
        <w:rPr>
          <w:spacing w:val="7"/>
        </w:rPr>
        <w:t>队伍、专家队伍等参与应急抢险救援工作，指</w:t>
      </w:r>
      <w:r>
        <w:rPr>
          <w:spacing w:val="8"/>
        </w:rPr>
        <w:t>导协调转移安置受灾群众；</w:t>
      </w:r>
    </w:p>
    <w:p>
      <w:pPr>
        <w:pStyle w:val="BodyText"/>
        <w:ind w:left="20" w:right="317" w:firstLine="414"/>
        <w:spacing w:before="157" w:line="301" w:lineRule="auto"/>
        <w:rPr/>
      </w:pPr>
      <w:r>
        <w:rPr>
          <w:spacing w:val="6"/>
        </w:rPr>
        <w:t>6.统一协调调动各类抢险救援、救助装备</w:t>
      </w:r>
      <w:r>
        <w:rPr>
          <w:spacing w:val="7"/>
        </w:rPr>
        <w:t>和物资，协调快速下拨抢险救援和救助资金；</w:t>
      </w:r>
    </w:p>
    <w:p>
      <w:pPr>
        <w:pStyle w:val="BodyText"/>
        <w:ind w:left="14" w:right="324" w:firstLine="419"/>
        <w:spacing w:before="156" w:line="300" w:lineRule="auto"/>
        <w:rPr/>
      </w:pPr>
      <w:r>
        <w:rPr>
          <w:spacing w:val="6"/>
        </w:rPr>
        <w:t>7.开展防灾减灾救灾法律法规和常识宣传</w:t>
      </w:r>
      <w:r>
        <w:rPr>
          <w:spacing w:val="9"/>
        </w:rPr>
        <w:t>教育，提高全民防灾减灾意识和自救能力；</w:t>
      </w:r>
    </w:p>
    <w:p>
      <w:pPr>
        <w:pStyle w:val="BodyText"/>
        <w:ind w:left="14" w:right="324" w:firstLine="423"/>
        <w:spacing w:before="158" w:line="282" w:lineRule="auto"/>
        <w:rPr/>
      </w:pPr>
      <w:r>
        <w:rPr>
          <w:spacing w:val="6"/>
        </w:rPr>
        <w:t>8.组织并实施创建综合防灾减灾示范社区</w:t>
      </w:r>
      <w:r>
        <w:rPr>
          <w:spacing w:val="4"/>
        </w:rPr>
        <w:t>工作。</w:t>
      </w:r>
    </w:p>
    <w:p>
      <w:pPr>
        <w:spacing w:line="14" w:lineRule="auto"/>
        <w:rPr>
          <w:rFonts w:ascii="Arial"/>
          <w:sz w:val="2"/>
        </w:rPr>
      </w:pPr>
      <w:r>
        <w:rPr>
          <w:rFonts w:ascii="Arial" w:hAnsi="Arial" w:eastAsia="Arial" w:cs="Arial"/>
          <w:sz w:val="2"/>
          <w:szCs w:val="2"/>
        </w:rPr>
        <w:br w:type="column"/>
      </w:r>
    </w:p>
    <w:p>
      <w:pPr>
        <w:pStyle w:val="BodyText"/>
        <w:ind w:left="415"/>
        <w:spacing w:before="46" w:line="278" w:lineRule="exact"/>
        <w:rPr/>
      </w:pPr>
      <w:r>
        <w:rPr>
          <w:spacing w:val="10"/>
          <w:position w:val="1"/>
        </w:rPr>
        <w:t>（二）发展改革部门（能源管理部门）</w:t>
      </w:r>
    </w:p>
    <w:p>
      <w:pPr>
        <w:pStyle w:val="BodyText"/>
        <w:ind w:left="4" w:right="57" w:firstLine="438"/>
        <w:spacing w:before="125" w:line="349" w:lineRule="auto"/>
        <w:rPr/>
      </w:pPr>
      <w:r>
        <w:rPr>
          <w:spacing w:val="5"/>
        </w:rPr>
        <w:t>1.负责将综合防灾减灾救灾工作纳入国民</w:t>
      </w:r>
      <w:r>
        <w:rPr>
          <w:spacing w:val="7"/>
        </w:rPr>
        <w:t>经济和社会发展中长期规划和年度计划，编制</w:t>
      </w:r>
      <w:r>
        <w:rPr>
          <w:spacing w:val="7"/>
        </w:rPr>
        <w:t>相关应急预案，组织、指导相关部门编制灾害</w:t>
      </w:r>
      <w:r>
        <w:rPr>
          <w:spacing w:val="7"/>
        </w:rPr>
        <w:t>防治体系建设专项计划；指导防灾减灾工程申</w:t>
      </w:r>
      <w:r>
        <w:rPr>
          <w:spacing w:val="7"/>
        </w:rPr>
        <w:t>报单位项目申报工作，及时受理并按规定权限</w:t>
      </w:r>
      <w:r>
        <w:rPr>
          <w:spacing w:val="8"/>
        </w:rPr>
        <w:t>做好审批、核准、审核工作；</w:t>
      </w:r>
    </w:p>
    <w:p>
      <w:pPr>
        <w:pStyle w:val="BodyText"/>
        <w:ind w:left="5" w:right="57" w:firstLine="420"/>
        <w:spacing w:before="156" w:line="300" w:lineRule="auto"/>
        <w:rPr/>
      </w:pPr>
      <w:r>
        <w:rPr>
          <w:spacing w:val="6"/>
        </w:rPr>
        <w:t>2.指导做好防灾减灾救灾工程项目调度和</w:t>
      </w:r>
      <w:r>
        <w:rPr>
          <w:spacing w:val="8"/>
        </w:rPr>
        <w:t>统筹管理，监督指导项目建设；</w:t>
      </w:r>
    </w:p>
    <w:p>
      <w:pPr>
        <w:pStyle w:val="BodyText"/>
        <w:ind w:left="3" w:right="57" w:firstLine="425"/>
        <w:spacing w:before="159" w:line="324" w:lineRule="auto"/>
        <w:rPr/>
      </w:pPr>
      <w:r>
        <w:rPr>
          <w:spacing w:val="6"/>
        </w:rPr>
        <w:t>3.紧急安排调度石油、电力、煤炭等重要</w:t>
      </w:r>
      <w:r>
        <w:rPr>
          <w:spacing w:val="7"/>
        </w:rPr>
        <w:t>物资，协调动用国家物资储备，满足应急救援</w:t>
      </w:r>
      <w:r>
        <w:rPr>
          <w:spacing w:val="4"/>
        </w:rPr>
        <w:t>需要；</w:t>
      </w:r>
    </w:p>
    <w:p>
      <w:pPr>
        <w:pStyle w:val="BodyText"/>
        <w:ind w:left="5" w:right="57" w:firstLine="416"/>
        <w:spacing w:before="156" w:line="337" w:lineRule="auto"/>
        <w:rPr/>
      </w:pPr>
      <w:r>
        <w:rPr>
          <w:spacing w:val="6"/>
        </w:rPr>
        <w:t>4.指导督促油气长输管道企业做好隐患排</w:t>
      </w:r>
      <w:r>
        <w:rPr>
          <w:spacing w:val="7"/>
        </w:rPr>
        <w:t>险和管道沿线地质灾害监测和防范，切实维护</w:t>
      </w:r>
      <w:r>
        <w:rPr>
          <w:spacing w:val="7"/>
        </w:rPr>
        <w:t>管道设施安全。发生事故灾害后，配合应急管</w:t>
      </w:r>
      <w:r>
        <w:rPr>
          <w:spacing w:val="8"/>
        </w:rPr>
        <w:t>理部门开展先期处置工作；</w:t>
      </w:r>
    </w:p>
    <w:p>
      <w:pPr>
        <w:pStyle w:val="BodyText"/>
        <w:ind w:right="57" w:firstLine="426"/>
        <w:spacing w:before="156" w:line="300" w:lineRule="auto"/>
        <w:rPr/>
      </w:pPr>
      <w:r>
        <w:rPr>
          <w:spacing w:val="6"/>
        </w:rPr>
        <w:t>5.按职责权限会同相关部门编制自然灾害</w:t>
      </w:r>
      <w:r>
        <w:rPr>
          <w:spacing w:val="9"/>
        </w:rPr>
        <w:t>恢复重建规划并指导组织实施；</w:t>
      </w:r>
    </w:p>
    <w:p>
      <w:pPr>
        <w:pStyle w:val="BodyText"/>
        <w:ind w:left="2" w:right="57" w:firstLine="423"/>
        <w:spacing w:before="158" w:line="300" w:lineRule="auto"/>
        <w:rPr/>
      </w:pPr>
      <w:r>
        <w:rPr>
          <w:spacing w:val="6"/>
        </w:rPr>
        <w:t>6.组织实施价格监测预警，会同有关部门</w:t>
      </w:r>
      <w:r>
        <w:rPr>
          <w:spacing w:val="8"/>
        </w:rPr>
        <w:t>保障灾后市场供应；</w:t>
      </w:r>
    </w:p>
    <w:p>
      <w:pPr>
        <w:pStyle w:val="BodyText"/>
        <w:ind w:left="424"/>
        <w:spacing w:before="157" w:line="278" w:lineRule="exact"/>
        <w:rPr/>
      </w:pPr>
      <w:r>
        <w:rPr>
          <w:spacing w:val="-13"/>
          <w:position w:val="1"/>
        </w:rPr>
        <w:t>7.协调铁路部门解决好应急救援相关工作。</w:t>
      </w:r>
    </w:p>
    <w:p>
      <w:pPr>
        <w:pStyle w:val="BodyText"/>
        <w:ind w:left="415"/>
        <w:spacing w:before="127" w:line="278" w:lineRule="exact"/>
        <w:rPr/>
      </w:pPr>
      <w:r>
        <w:rPr>
          <w:spacing w:val="10"/>
          <w:position w:val="1"/>
        </w:rPr>
        <w:t>（三）教育体育部门</w:t>
      </w:r>
    </w:p>
    <w:p>
      <w:pPr>
        <w:pStyle w:val="BodyText"/>
        <w:ind w:left="3" w:right="57" w:firstLine="439"/>
        <w:spacing w:before="126" w:line="337" w:lineRule="auto"/>
        <w:rPr/>
      </w:pPr>
      <w:r>
        <w:rPr>
          <w:spacing w:val="5"/>
        </w:rPr>
        <w:t>1.负责组织编修固原市教育系统突发事件</w:t>
      </w:r>
      <w:r>
        <w:rPr>
          <w:spacing w:val="7"/>
        </w:rPr>
        <w:t>应急预案。将防灾减灾救灾知识纳入全市各类</w:t>
      </w:r>
      <w:r>
        <w:rPr>
          <w:spacing w:val="5"/>
        </w:rPr>
        <w:t>学校安全教育，每学期至少组织</w:t>
      </w:r>
      <w:r>
        <w:rPr>
          <w:spacing w:val="-14"/>
        </w:rPr>
        <w:t xml:space="preserve"> </w:t>
      </w:r>
      <w:r>
        <w:rPr>
          <w:spacing w:val="5"/>
        </w:rPr>
        <w:t>1</w:t>
      </w:r>
      <w:r>
        <w:rPr>
          <w:spacing w:val="-39"/>
        </w:rPr>
        <w:t xml:space="preserve"> </w:t>
      </w:r>
      <w:r>
        <w:rPr>
          <w:spacing w:val="5"/>
        </w:rPr>
        <w:t>次紧急疏散</w:t>
      </w:r>
      <w:r>
        <w:rPr>
          <w:spacing w:val="9"/>
        </w:rPr>
        <w:t>避险演练，推动防灾减灾知识进校园；</w:t>
      </w:r>
    </w:p>
    <w:p>
      <w:pPr>
        <w:pStyle w:val="BodyText"/>
        <w:ind w:left="8" w:right="98" w:firstLine="416"/>
        <w:spacing w:before="155" w:line="301" w:lineRule="auto"/>
        <w:rPr/>
      </w:pPr>
      <w:r>
        <w:rPr>
          <w:spacing w:val="4"/>
        </w:rPr>
        <w:t>2.鼓励引导高等院校开设防灾减灾课程，</w:t>
      </w:r>
      <w:r>
        <w:rPr>
          <w:spacing w:val="8"/>
        </w:rPr>
        <w:t>大力培养防灾减灾专业人才；</w:t>
      </w:r>
    </w:p>
    <w:p>
      <w:pPr>
        <w:pStyle w:val="BodyText"/>
        <w:ind w:left="4" w:right="57" w:firstLine="424"/>
        <w:spacing w:before="157" w:line="300" w:lineRule="auto"/>
        <w:rPr/>
      </w:pPr>
      <w:r>
        <w:rPr>
          <w:spacing w:val="6"/>
        </w:rPr>
        <w:t>3.指导协调受灾地区及时提供教学保障条</w:t>
      </w:r>
      <w:r>
        <w:rPr>
          <w:spacing w:val="8"/>
        </w:rPr>
        <w:t>件，尽快恢复教学秩序；</w:t>
      </w:r>
    </w:p>
    <w:p>
      <w:pPr>
        <w:pStyle w:val="BodyText"/>
        <w:ind w:left="6" w:right="59" w:firstLine="416"/>
        <w:spacing w:before="157" w:line="282" w:lineRule="auto"/>
        <w:rPr/>
      </w:pPr>
      <w:r>
        <w:rPr>
          <w:spacing w:val="18"/>
        </w:rPr>
        <w:t>4.提供受灾地区学校校舍及配套设施信</w:t>
      </w:r>
      <w:r>
        <w:rPr>
          <w:spacing w:val="15"/>
        </w:rPr>
        <w:t>息</w:t>
      </w:r>
      <w:r>
        <w:rPr>
          <w:spacing w:val="-43"/>
        </w:rPr>
        <w:t xml:space="preserve"> </w:t>
      </w:r>
      <w:r>
        <w:rPr>
          <w:spacing w:val="15"/>
        </w:rPr>
        <w:t>，协调学校在不影响正常教学秩序的情况</w:t>
      </w:r>
    </w:p>
    <w:p>
      <w:pPr>
        <w:spacing w:line="282" w:lineRule="auto"/>
        <w:sectPr>
          <w:type w:val="continuous"/>
          <w:pgSz w:w="11906" w:h="16839"/>
          <w:pgMar w:top="1766" w:right="1530" w:bottom="1570" w:left="1579" w:header="1419" w:footer="1172" w:gutter="0"/>
          <w:cols w:equalWidth="0" w:num="2">
            <w:col w:w="4487" w:space="100"/>
            <w:col w:w="4210" w:space="0"/>
          </w:cols>
        </w:sectPr>
        <w:rPr/>
      </w:pPr>
    </w:p>
    <w:p>
      <w:pPr>
        <w:spacing w:before="44"/>
        <w:rPr/>
      </w:pPr>
      <w:r>
        <w:drawing>
          <wp:anchor distT="0" distB="0" distL="0" distR="0" simplePos="0" relativeHeight="251975680"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890" name="IM 890"/>
            <wp:cNvGraphicFramePr/>
            <a:graphic>
              <a:graphicData uri="http://schemas.openxmlformats.org/drawingml/2006/picture">
                <pic:pic>
                  <pic:nvPicPr>
                    <pic:cNvPr id="890" name="IM 890"/>
                    <pic:cNvPicPr/>
                  </pic:nvPicPr>
                  <pic:blipFill>
                    <a:blip r:embed="rId447"/>
                    <a:stretch>
                      <a:fillRect/>
                    </a:stretch>
                  </pic:blipFill>
                  <pic:spPr>
                    <a:xfrm rot="0">
                      <a:off x="0" y="0"/>
                      <a:ext cx="5579745" cy="7619"/>
                    </a:xfrm>
                    <a:prstGeom prst="rect">
                      <a:avLst/>
                    </a:prstGeom>
                  </pic:spPr>
                </pic:pic>
              </a:graphicData>
            </a:graphic>
          </wp:anchor>
        </w:drawing>
      </w:r>
      <w:r/>
    </w:p>
    <w:p>
      <w:pPr>
        <w:sectPr>
          <w:headerReference w:type="default" r:id="rId445"/>
          <w:footerReference w:type="default" r:id="rId446"/>
          <w:pgSz w:w="11906" w:h="16839"/>
          <w:pgMar w:top="1793" w:right="1518" w:bottom="1673" w:left="1565" w:header="1428" w:footer="1277" w:gutter="0"/>
          <w:cols w:equalWidth="0" w:num="1">
            <w:col w:w="8823" w:space="0"/>
          </w:cols>
        </w:sectPr>
        <w:rPr/>
      </w:pPr>
    </w:p>
    <w:p>
      <w:pPr>
        <w:pStyle w:val="BodyText"/>
        <w:ind w:left="28"/>
        <w:spacing w:before="51" w:line="225" w:lineRule="auto"/>
        <w:rPr/>
      </w:pPr>
      <w:r>
        <w:rPr>
          <w:spacing w:val="9"/>
        </w:rPr>
        <w:t>下，将校舍和配套设施用于受灾人员安置；</w:t>
      </w:r>
    </w:p>
    <w:p>
      <w:pPr>
        <w:pStyle w:val="BodyText"/>
        <w:ind w:left="28" w:right="328" w:firstLine="421"/>
        <w:spacing w:before="158" w:line="301" w:lineRule="auto"/>
        <w:rPr/>
      </w:pPr>
      <w:r>
        <w:rPr>
          <w:spacing w:val="6"/>
        </w:rPr>
        <w:t>5.配合灾区恢复重建因灾损毁校舍，确保</w:t>
      </w:r>
      <w:r>
        <w:rPr>
          <w:spacing w:val="4"/>
        </w:rPr>
        <w:t>安全；</w:t>
      </w:r>
    </w:p>
    <w:p>
      <w:pPr>
        <w:pStyle w:val="BodyText"/>
        <w:ind w:left="28" w:right="328" w:firstLine="421"/>
        <w:spacing w:before="153" w:line="302" w:lineRule="auto"/>
        <w:rPr/>
      </w:pPr>
      <w:r>
        <w:rPr>
          <w:spacing w:val="-4"/>
        </w:rPr>
        <w:t>6.负责体育场馆（所）、设施防灾减灾救灾</w:t>
      </w:r>
      <w:r>
        <w:rPr>
          <w:spacing w:val="4"/>
        </w:rPr>
        <w:t>工作；</w:t>
      </w:r>
    </w:p>
    <w:p>
      <w:pPr>
        <w:pStyle w:val="BodyText"/>
        <w:ind w:left="45" w:right="328" w:firstLine="402"/>
        <w:spacing w:before="155" w:line="300" w:lineRule="auto"/>
        <w:rPr/>
      </w:pPr>
      <w:r>
        <w:rPr>
          <w:spacing w:val="6"/>
        </w:rPr>
        <w:t>7.会同有关主管部门做好体育赛事和活动</w:t>
      </w:r>
      <w:r>
        <w:rPr>
          <w:spacing w:val="5"/>
        </w:rPr>
        <w:t>的应急管理工作；</w:t>
      </w:r>
    </w:p>
    <w:p>
      <w:pPr>
        <w:pStyle w:val="BodyText"/>
        <w:ind w:left="451"/>
        <w:spacing w:before="158" w:line="277" w:lineRule="exact"/>
        <w:rPr/>
      </w:pPr>
      <w:r>
        <w:rPr>
          <w:spacing w:val="4"/>
          <w:position w:val="1"/>
        </w:rPr>
        <w:t>8.根据需要提供应急避难场所服务。</w:t>
      </w:r>
    </w:p>
    <w:p>
      <w:pPr>
        <w:pStyle w:val="BodyText"/>
        <w:ind w:left="439"/>
        <w:spacing w:before="127" w:line="277" w:lineRule="exact"/>
        <w:rPr/>
      </w:pPr>
      <w:r>
        <w:rPr>
          <w:spacing w:val="2"/>
          <w:position w:val="1"/>
        </w:rPr>
        <w:t>（</w:t>
      </w:r>
      <w:r>
        <w:rPr>
          <w:spacing w:val="-42"/>
          <w:position w:val="1"/>
        </w:rPr>
        <w:t xml:space="preserve"> </w:t>
      </w:r>
      <w:r>
        <w:rPr>
          <w:spacing w:val="2"/>
          <w:position w:val="1"/>
        </w:rPr>
        <w:t>四）科技部门</w:t>
      </w:r>
    </w:p>
    <w:p>
      <w:pPr>
        <w:pStyle w:val="BodyText"/>
        <w:ind w:left="29" w:right="328" w:firstLine="437"/>
        <w:spacing w:before="126" w:line="301" w:lineRule="auto"/>
        <w:rPr/>
      </w:pPr>
      <w:r>
        <w:rPr>
          <w:spacing w:val="5"/>
        </w:rPr>
        <w:t>1.负责将防灾减灾救灾科技进步纳入科技</w:t>
      </w:r>
      <w:r>
        <w:rPr>
          <w:spacing w:val="8"/>
        </w:rPr>
        <w:t>发展规划和财政科技计划并组织实施；</w:t>
      </w:r>
    </w:p>
    <w:p>
      <w:pPr>
        <w:pStyle w:val="BodyText"/>
        <w:ind w:left="26" w:right="300" w:firstLine="423"/>
        <w:spacing w:before="158" w:line="323" w:lineRule="auto"/>
        <w:rPr/>
      </w:pPr>
      <w:r>
        <w:rPr>
          <w:spacing w:val="6"/>
        </w:rPr>
        <w:t>2.鼓励企事业单位开展防灾减灾救灾领域</w:t>
      </w:r>
      <w:r>
        <w:rPr>
          <w:spacing w:val="7"/>
        </w:rPr>
        <w:t>科学技术研究及新技术、新装备引进，加强对</w:t>
      </w:r>
      <w:r>
        <w:rPr>
          <w:spacing w:val="-2"/>
        </w:rPr>
        <w:t>重大防灾减灾救灾技术等科技课题的立项支持。</w:t>
      </w:r>
    </w:p>
    <w:p>
      <w:pPr>
        <w:pStyle w:val="BodyText"/>
        <w:ind w:left="439"/>
        <w:spacing w:before="161" w:line="277" w:lineRule="exact"/>
        <w:rPr/>
      </w:pPr>
      <w:r>
        <w:rPr>
          <w:spacing w:val="10"/>
          <w:position w:val="1"/>
        </w:rPr>
        <w:t>（五）工业和信息化部门</w:t>
      </w:r>
    </w:p>
    <w:p>
      <w:pPr>
        <w:pStyle w:val="BodyText"/>
        <w:ind w:left="27" w:right="258" w:firstLine="439"/>
        <w:spacing w:before="126" w:line="334" w:lineRule="auto"/>
        <w:rPr/>
      </w:pPr>
      <w:r>
        <w:rPr>
          <w:spacing w:val="5"/>
        </w:rPr>
        <w:t>1.做好医药储备管理工作，确保发生灾情</w:t>
      </w:r>
      <w:r>
        <w:rPr>
          <w:spacing w:val="18"/>
        </w:rPr>
        <w:t>和突发事件时药品、医疗器械的及时有效供</w:t>
      </w:r>
      <w:r>
        <w:rPr>
          <w:spacing w:val="-9"/>
        </w:rPr>
        <w:t>应。对突发事件进行工业产品准备、生产和供给；</w:t>
      </w:r>
    </w:p>
    <w:p>
      <w:pPr>
        <w:pStyle w:val="BodyText"/>
        <w:ind w:left="27" w:right="328" w:firstLine="422"/>
        <w:spacing w:before="127" w:line="334" w:lineRule="auto"/>
        <w:rPr/>
      </w:pPr>
      <w:r>
        <w:rPr>
          <w:spacing w:val="6"/>
        </w:rPr>
        <w:t>2.组织开展新产品新技术鉴定，引导企业</w:t>
      </w:r>
      <w:r>
        <w:rPr>
          <w:spacing w:val="7"/>
        </w:rPr>
        <w:t>应用推广经过鉴定的高科技、高性能的防灾减</w:t>
      </w:r>
      <w:r>
        <w:rPr>
          <w:spacing w:val="7"/>
        </w:rPr>
        <w:t>灾救灾产品；</w:t>
      </w:r>
    </w:p>
    <w:p>
      <w:pPr>
        <w:pStyle w:val="BodyText"/>
        <w:ind w:left="26" w:right="328" w:firstLine="426"/>
        <w:spacing w:before="126" w:line="325" w:lineRule="auto"/>
        <w:rPr/>
      </w:pPr>
      <w:r>
        <w:rPr>
          <w:spacing w:val="6"/>
        </w:rPr>
        <w:t>3.负责指导灾区工业企业抢险救灾、停工</w:t>
      </w:r>
      <w:r>
        <w:rPr>
          <w:spacing w:val="7"/>
        </w:rPr>
        <w:t>停产、因灾毁损厂房等灾后恢复重建、复工复</w:t>
      </w:r>
      <w:r>
        <w:rPr>
          <w:spacing w:val="7"/>
        </w:rPr>
        <w:t>产等工作；</w:t>
      </w:r>
    </w:p>
    <w:p>
      <w:pPr>
        <w:pStyle w:val="BodyText"/>
        <w:ind w:left="27" w:right="328" w:firstLine="419"/>
        <w:spacing w:before="156" w:line="325" w:lineRule="auto"/>
        <w:rPr/>
      </w:pPr>
      <w:r>
        <w:rPr>
          <w:spacing w:val="6"/>
        </w:rPr>
        <w:t>4.建立应急通信保障工作机制，及时启动</w:t>
      </w:r>
      <w:r>
        <w:rPr>
          <w:spacing w:val="7"/>
        </w:rPr>
        <w:t>应急通信保障应急预案，提供应急救援通信保</w:t>
      </w:r>
      <w:r>
        <w:rPr>
          <w:spacing w:val="6"/>
        </w:rPr>
        <w:t>障服务；</w:t>
      </w:r>
    </w:p>
    <w:p>
      <w:pPr>
        <w:pStyle w:val="BodyText"/>
        <w:ind w:left="26" w:right="369" w:firstLine="423"/>
        <w:spacing w:before="156" w:line="301" w:lineRule="auto"/>
        <w:rPr/>
      </w:pPr>
      <w:r>
        <w:rPr>
          <w:spacing w:val="4"/>
        </w:rPr>
        <w:t>5.组织指导通信企业抢修损毁通信设施，</w:t>
      </w:r>
      <w:r>
        <w:rPr>
          <w:spacing w:val="8"/>
        </w:rPr>
        <w:t>及时恢复灾区通信；</w:t>
      </w:r>
    </w:p>
    <w:p>
      <w:pPr>
        <w:pStyle w:val="BodyText"/>
        <w:ind w:left="450"/>
        <w:spacing w:before="156" w:line="277" w:lineRule="exact"/>
        <w:rPr/>
      </w:pPr>
      <w:r>
        <w:rPr>
          <w:spacing w:val="5"/>
          <w:position w:val="1"/>
        </w:rPr>
        <w:t>6.做好防灾减灾救灾公益短信发布工作；</w:t>
      </w:r>
    </w:p>
    <w:p>
      <w:pPr>
        <w:pStyle w:val="BodyText"/>
        <w:ind w:left="32" w:right="328" w:firstLine="415"/>
        <w:spacing w:before="126" w:line="298" w:lineRule="auto"/>
        <w:rPr/>
      </w:pPr>
      <w:r>
        <w:rPr>
          <w:spacing w:val="6"/>
        </w:rPr>
        <w:t>7.运用大数据技术，提升应急预警信息发</w:t>
      </w:r>
      <w:r>
        <w:rPr>
          <w:spacing w:val="4"/>
        </w:rPr>
        <w:t>布能力。</w:t>
      </w:r>
    </w:p>
    <w:p>
      <w:pPr>
        <w:spacing w:line="14" w:lineRule="auto"/>
        <w:rPr>
          <w:rFonts w:ascii="Arial"/>
          <w:sz w:val="2"/>
        </w:rPr>
      </w:pPr>
      <w:r>
        <w:rPr>
          <w:rFonts w:ascii="Arial" w:hAnsi="Arial" w:eastAsia="Arial" w:cs="Arial"/>
          <w:sz w:val="2"/>
          <w:szCs w:val="2"/>
        </w:rPr>
        <w:br w:type="column"/>
      </w:r>
    </w:p>
    <w:p>
      <w:pPr>
        <w:pStyle w:val="BodyText"/>
        <w:ind w:left="412"/>
        <w:spacing w:before="46" w:line="278" w:lineRule="exact"/>
        <w:rPr/>
      </w:pPr>
      <w:r>
        <w:rPr>
          <w:spacing w:val="10"/>
          <w:position w:val="1"/>
        </w:rPr>
        <w:t>（六）公安部门</w:t>
      </w:r>
    </w:p>
    <w:p>
      <w:pPr>
        <w:pStyle w:val="BodyText"/>
        <w:ind w:left="4" w:right="51" w:firstLine="434"/>
        <w:spacing w:before="129" w:line="324" w:lineRule="auto"/>
        <w:rPr/>
      </w:pPr>
      <w:r>
        <w:rPr>
          <w:spacing w:val="5"/>
        </w:rPr>
        <w:t>1.负责组织编修固原市道路交通事故应急</w:t>
      </w:r>
      <w:r>
        <w:rPr>
          <w:spacing w:val="-2"/>
        </w:rPr>
        <w:t>预案、固原市恶劣天气道路交通安全等专项应急</w:t>
      </w:r>
      <w:r>
        <w:rPr>
          <w:spacing w:val="-11"/>
        </w:rPr>
        <w:t>预案，组织开展应急演练；</w:t>
      </w:r>
    </w:p>
    <w:p>
      <w:pPr>
        <w:pStyle w:val="BodyText"/>
        <w:ind w:right="70" w:firstLine="421"/>
        <w:spacing w:before="156" w:line="337" w:lineRule="auto"/>
        <w:rPr/>
      </w:pPr>
      <w:r>
        <w:rPr>
          <w:spacing w:val="6"/>
        </w:rPr>
        <w:t>2.组织指导警力调配，警戒灾区人员转移</w:t>
      </w:r>
      <w:r>
        <w:rPr>
          <w:spacing w:val="7"/>
        </w:rPr>
        <w:t>的空心村庄、集中安置点、医疗救助点等重点</w:t>
      </w:r>
      <w:r>
        <w:rPr>
          <w:spacing w:val="7"/>
        </w:rPr>
        <w:t>部位、重要场所，防止人为干扰破坏、群众财</w:t>
      </w:r>
      <w:r>
        <w:rPr>
          <w:spacing w:val="9"/>
        </w:rPr>
        <w:t>物丢失和转移群众回流，维护治安秩序；</w:t>
      </w:r>
    </w:p>
    <w:p>
      <w:pPr>
        <w:pStyle w:val="BodyText"/>
        <w:ind w:left="17" w:firstLine="408"/>
        <w:spacing w:before="156" w:line="300" w:lineRule="auto"/>
        <w:rPr/>
      </w:pPr>
      <w:r>
        <w:rPr>
          <w:spacing w:val="6"/>
        </w:rPr>
        <w:t>3.协调指导派出警力疏导灾区及通往灾区</w:t>
      </w:r>
      <w:r>
        <w:rPr>
          <w:spacing w:val="-9"/>
        </w:rPr>
        <w:t>的交通，保障应急救援人员及物资运输车辆畅</w:t>
      </w:r>
      <w:r>
        <w:rPr>
          <w:spacing w:val="-10"/>
        </w:rPr>
        <w:t>通；</w:t>
      </w:r>
    </w:p>
    <w:p>
      <w:pPr>
        <w:pStyle w:val="BodyText"/>
        <w:ind w:left="1" w:right="70" w:firstLine="417"/>
        <w:spacing w:before="159" w:line="300" w:lineRule="auto"/>
        <w:rPr/>
      </w:pPr>
      <w:r>
        <w:rPr>
          <w:spacing w:val="6"/>
        </w:rPr>
        <w:t>4.组织调派警力紧急疏散转移群众，解救</w:t>
      </w:r>
      <w:r>
        <w:rPr>
          <w:spacing w:val="8"/>
        </w:rPr>
        <w:t>被困人员，保障受灾人员安全；</w:t>
      </w:r>
    </w:p>
    <w:p>
      <w:pPr>
        <w:pStyle w:val="BodyText"/>
        <w:ind w:right="70" w:firstLine="422"/>
        <w:spacing w:before="156" w:line="301" w:lineRule="auto"/>
        <w:rPr/>
      </w:pPr>
      <w:r>
        <w:rPr>
          <w:spacing w:val="6"/>
        </w:rPr>
        <w:t>5.协调调用警用装备参与执行灾情勘查研</w:t>
      </w:r>
      <w:r>
        <w:rPr>
          <w:spacing w:val="9"/>
        </w:rPr>
        <w:t>判、投送救灾物资和解救被困人员等任务；</w:t>
      </w:r>
    </w:p>
    <w:p>
      <w:pPr>
        <w:pStyle w:val="BodyText"/>
        <w:ind w:right="70" w:firstLine="422"/>
        <w:spacing w:before="156" w:line="325" w:lineRule="auto"/>
        <w:rPr/>
      </w:pPr>
      <w:r>
        <w:rPr>
          <w:spacing w:val="6"/>
        </w:rPr>
        <w:t>6.协助有关部门统计伤亡人员、鉴定死者</w:t>
      </w:r>
      <w:r>
        <w:rPr>
          <w:spacing w:val="7"/>
        </w:rPr>
        <w:t>身份、查明死因，配合有关部门做好遇难人员</w:t>
      </w:r>
      <w:r>
        <w:rPr>
          <w:spacing w:val="8"/>
        </w:rPr>
        <w:t>遗体保存和妥善处理等相关工作；</w:t>
      </w:r>
    </w:p>
    <w:p>
      <w:pPr>
        <w:pStyle w:val="BodyText"/>
        <w:ind w:right="70" w:firstLine="420"/>
        <w:spacing w:before="156" w:line="300" w:lineRule="auto"/>
        <w:rPr/>
      </w:pPr>
      <w:r>
        <w:rPr>
          <w:spacing w:val="6"/>
        </w:rPr>
        <w:t>7.依法监督管理境外非政府组织参与防灾</w:t>
      </w:r>
      <w:r>
        <w:rPr>
          <w:spacing w:val="8"/>
        </w:rPr>
        <w:t>减灾救灾公益活动；</w:t>
      </w:r>
    </w:p>
    <w:p>
      <w:pPr>
        <w:pStyle w:val="BodyText"/>
        <w:ind w:right="70" w:firstLine="424"/>
        <w:spacing w:before="159" w:line="324" w:lineRule="auto"/>
        <w:rPr/>
      </w:pPr>
      <w:r>
        <w:rPr>
          <w:spacing w:val="6"/>
        </w:rPr>
        <w:t>8.依法查处传播防灾减灾救灾谣言、非法</w:t>
      </w:r>
      <w:r>
        <w:rPr>
          <w:spacing w:val="18"/>
        </w:rPr>
        <w:t>社会组织参与防灾减灾救灾等违法犯罪行为</w:t>
      </w:r>
      <w:r>
        <w:rPr>
          <w:spacing w:val="6"/>
        </w:rPr>
        <w:t>和案件；</w:t>
      </w:r>
    </w:p>
    <w:p>
      <w:pPr>
        <w:pStyle w:val="BodyText"/>
        <w:ind w:left="3" w:right="111" w:firstLine="418"/>
        <w:spacing w:before="158" w:line="298" w:lineRule="auto"/>
        <w:rPr/>
      </w:pPr>
      <w:r>
        <w:rPr>
          <w:spacing w:val="4"/>
        </w:rPr>
        <w:t>9.履行森林和草原防灭火相关工作职责，</w:t>
      </w:r>
      <w:r>
        <w:rPr>
          <w:spacing w:val="8"/>
        </w:rPr>
        <w:t>办理森林和草原火灾案件。</w:t>
      </w:r>
    </w:p>
    <w:p>
      <w:pPr>
        <w:pStyle w:val="BodyText"/>
        <w:ind w:left="412"/>
        <w:spacing w:before="161" w:line="278" w:lineRule="exact"/>
        <w:rPr/>
      </w:pPr>
      <w:r>
        <w:rPr>
          <w:spacing w:val="10"/>
          <w:position w:val="1"/>
        </w:rPr>
        <w:t>（七）民政部门</w:t>
      </w:r>
    </w:p>
    <w:p>
      <w:pPr>
        <w:pStyle w:val="BodyText"/>
        <w:ind w:left="5" w:right="70" w:firstLine="433"/>
        <w:spacing w:before="127" w:line="301" w:lineRule="auto"/>
        <w:rPr/>
      </w:pPr>
      <w:r>
        <w:rPr>
          <w:spacing w:val="5"/>
        </w:rPr>
        <w:t>1.指导慈善组织依法开展救灾募捐和救助</w:t>
      </w:r>
      <w:r>
        <w:rPr>
          <w:spacing w:val="2"/>
        </w:rPr>
        <w:t>活动；</w:t>
      </w:r>
    </w:p>
    <w:p>
      <w:pPr>
        <w:pStyle w:val="BodyText"/>
        <w:ind w:right="70" w:firstLine="422"/>
        <w:spacing w:before="155" w:line="301" w:lineRule="auto"/>
        <w:rPr/>
      </w:pPr>
      <w:r>
        <w:rPr>
          <w:spacing w:val="6"/>
        </w:rPr>
        <w:t>2.组织社会组织参与境内防灾减灾救灾工</w:t>
      </w:r>
      <w:r>
        <w:rPr>
          <w:spacing w:val="9"/>
        </w:rPr>
        <w:t>作，协助公安机关打击非法社会组织；</w:t>
      </w:r>
    </w:p>
    <w:p>
      <w:pPr>
        <w:pStyle w:val="BodyText"/>
        <w:ind w:left="6" w:right="70" w:firstLine="419"/>
        <w:spacing w:before="157" w:line="300" w:lineRule="auto"/>
        <w:rPr/>
      </w:pPr>
      <w:r>
        <w:rPr>
          <w:spacing w:val="6"/>
        </w:rPr>
        <w:t>3.组织指导社工队伍和志愿者理性有序参</w:t>
      </w:r>
      <w:r>
        <w:rPr>
          <w:spacing w:val="7"/>
        </w:rPr>
        <w:t>与防灾减灾救灾工作；</w:t>
      </w:r>
    </w:p>
    <w:p>
      <w:pPr>
        <w:pStyle w:val="BodyText"/>
        <w:ind w:left="419"/>
        <w:spacing w:before="159" w:line="221" w:lineRule="auto"/>
        <w:rPr/>
      </w:pPr>
      <w:r>
        <w:rPr>
          <w:spacing w:val="6"/>
        </w:rPr>
        <w:t>4.协调指导受灾地区做好因灾遇难人员遗</w:t>
      </w:r>
    </w:p>
    <w:p>
      <w:pPr>
        <w:spacing w:line="221" w:lineRule="auto"/>
        <w:sectPr>
          <w:type w:val="continuous"/>
          <w:pgSz w:w="11906" w:h="16839"/>
          <w:pgMar w:top="1793" w:right="1518" w:bottom="1673" w:left="1565" w:header="1428" w:footer="1277" w:gutter="0"/>
          <w:cols w:equalWidth="0" w:num="2">
            <w:col w:w="4504" w:space="100"/>
            <w:col w:w="4220" w:space="0"/>
          </w:cols>
        </w:sectPr>
        <w:rPr/>
      </w:pPr>
    </w:p>
    <w:p>
      <w:pPr>
        <w:spacing w:before="40"/>
        <w:rPr/>
      </w:pPr>
      <w:r>
        <w:drawing>
          <wp:anchor distT="0" distB="0" distL="0" distR="0" simplePos="0" relativeHeight="251977728"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896" name="IM 896"/>
            <wp:cNvGraphicFramePr/>
            <a:graphic>
              <a:graphicData uri="http://schemas.openxmlformats.org/drawingml/2006/picture">
                <pic:pic>
                  <pic:nvPicPr>
                    <pic:cNvPr id="896" name="IM 896"/>
                    <pic:cNvPicPr/>
                  </pic:nvPicPr>
                  <pic:blipFill>
                    <a:blip r:embed="rId450"/>
                    <a:stretch>
                      <a:fillRect/>
                    </a:stretch>
                  </pic:blipFill>
                  <pic:spPr>
                    <a:xfrm rot="0">
                      <a:off x="0" y="0"/>
                      <a:ext cx="5579745" cy="7620"/>
                    </a:xfrm>
                    <a:prstGeom prst="rect">
                      <a:avLst/>
                    </a:prstGeom>
                  </pic:spPr>
                </pic:pic>
              </a:graphicData>
            </a:graphic>
          </wp:anchor>
        </w:drawing>
      </w:r>
      <w:r/>
    </w:p>
    <w:p>
      <w:pPr>
        <w:sectPr>
          <w:headerReference w:type="default" r:id="rId448"/>
          <w:footerReference w:type="default" r:id="rId449"/>
          <w:pgSz w:w="11906" w:h="16839"/>
          <w:pgMar w:top="1766" w:right="1530" w:bottom="1570" w:left="1579" w:header="1428" w:footer="1172" w:gutter="0"/>
          <w:cols w:equalWidth="0" w:num="1">
            <w:col w:w="8796" w:space="0"/>
          </w:cols>
        </w:sectPr>
        <w:rPr/>
      </w:pPr>
    </w:p>
    <w:p>
      <w:pPr>
        <w:pStyle w:val="BodyText"/>
        <w:ind w:left="13"/>
        <w:spacing w:before="42" w:line="226" w:lineRule="auto"/>
        <w:rPr/>
      </w:pPr>
      <w:r>
        <w:rPr>
          <w:spacing w:val="8"/>
        </w:rPr>
        <w:t>体的保存、转运和处置工作；</w:t>
      </w:r>
    </w:p>
    <w:p>
      <w:pPr>
        <w:pStyle w:val="BodyText"/>
        <w:ind w:left="25" w:right="327" w:firstLine="410"/>
        <w:spacing w:before="153" w:line="298" w:lineRule="auto"/>
        <w:rPr/>
      </w:pPr>
      <w:r>
        <w:rPr>
          <w:spacing w:val="6"/>
        </w:rPr>
        <w:t>5.按照“先行救助”有关政策规定，实施</w:t>
      </w:r>
      <w:r>
        <w:rPr>
          <w:spacing w:val="4"/>
        </w:rPr>
        <w:t>临时救助；</w:t>
      </w:r>
    </w:p>
    <w:p>
      <w:pPr>
        <w:pStyle w:val="BodyText"/>
        <w:ind w:left="14" w:right="325" w:firstLine="421"/>
        <w:spacing w:before="152" w:line="321" w:lineRule="auto"/>
        <w:rPr/>
      </w:pPr>
      <w:r>
        <w:rPr>
          <w:spacing w:val="6"/>
        </w:rPr>
        <w:t>6.负责公墓、坟场及殡仪馆范围内林木和</w:t>
      </w:r>
      <w:r>
        <w:rPr>
          <w:spacing w:val="11"/>
        </w:rPr>
        <w:t>草地及周边</w:t>
      </w:r>
      <w:r>
        <w:rPr>
          <w:spacing w:val="-36"/>
        </w:rPr>
        <w:t xml:space="preserve"> </w:t>
      </w:r>
      <w:r>
        <w:rPr>
          <w:spacing w:val="11"/>
        </w:rPr>
        <w:t>30</w:t>
      </w:r>
      <w:r>
        <w:rPr>
          <w:spacing w:val="-38"/>
        </w:rPr>
        <w:t xml:space="preserve"> </w:t>
      </w:r>
      <w:r>
        <w:rPr>
          <w:spacing w:val="11"/>
        </w:rPr>
        <w:t>米隔离带森林和草原火灾防治</w:t>
      </w:r>
      <w:r>
        <w:rPr>
          <w:spacing w:val="4"/>
        </w:rPr>
        <w:t>工作。</w:t>
      </w:r>
    </w:p>
    <w:p>
      <w:pPr>
        <w:pStyle w:val="BodyText"/>
        <w:ind w:left="424"/>
        <w:spacing w:before="157" w:line="278" w:lineRule="exact"/>
        <w:rPr/>
      </w:pPr>
      <w:r>
        <w:rPr>
          <w:spacing w:val="10"/>
          <w:position w:val="1"/>
        </w:rPr>
        <w:t>（八）司法行政部门</w:t>
      </w:r>
    </w:p>
    <w:p>
      <w:pPr>
        <w:pStyle w:val="BodyText"/>
        <w:ind w:left="14" w:right="327" w:firstLine="424"/>
        <w:spacing w:before="131" w:line="375" w:lineRule="auto"/>
        <w:rPr/>
      </w:pPr>
      <w:r>
        <w:rPr>
          <w:spacing w:val="18"/>
        </w:rPr>
        <w:t>负责司法行政系统相关场所防灾减灾救</w:t>
      </w:r>
      <w:r>
        <w:rPr>
          <w:spacing w:val="6"/>
        </w:rPr>
        <w:t>灾工作。</w:t>
      </w:r>
    </w:p>
    <w:p>
      <w:pPr>
        <w:pStyle w:val="BodyText"/>
        <w:ind w:left="424"/>
        <w:spacing w:line="278" w:lineRule="exact"/>
        <w:rPr/>
      </w:pPr>
      <w:r>
        <w:rPr>
          <w:spacing w:val="10"/>
          <w:position w:val="1"/>
        </w:rPr>
        <w:t>（九）财政部门</w:t>
      </w:r>
    </w:p>
    <w:p>
      <w:pPr>
        <w:pStyle w:val="BodyText"/>
        <w:ind w:left="14" w:right="325" w:firstLine="437"/>
        <w:spacing w:before="128" w:line="340" w:lineRule="auto"/>
        <w:rPr/>
      </w:pPr>
      <w:r>
        <w:rPr>
          <w:spacing w:val="5"/>
        </w:rPr>
        <w:t>1.按照事权与财政支出责任划分要求，将</w:t>
      </w:r>
      <w:r>
        <w:rPr>
          <w:spacing w:val="18"/>
        </w:rPr>
        <w:t>涉及灾害防治及应急管理的资金纳入同级财</w:t>
      </w:r>
      <w:r>
        <w:rPr>
          <w:spacing w:val="7"/>
        </w:rPr>
        <w:t>政预算予以保障；根据灾害发展情况，及时追</w:t>
      </w:r>
      <w:r>
        <w:rPr>
          <w:spacing w:val="7"/>
        </w:rPr>
        <w:t>加救灾资金；</w:t>
      </w:r>
    </w:p>
    <w:p>
      <w:pPr>
        <w:pStyle w:val="BodyText"/>
        <w:ind w:left="17" w:right="325" w:firstLine="417"/>
        <w:spacing w:before="160" w:line="300" w:lineRule="auto"/>
        <w:rPr/>
      </w:pPr>
      <w:r>
        <w:rPr>
          <w:spacing w:val="6"/>
        </w:rPr>
        <w:t>2.会同业务主管部门加强对灾害防治和应</w:t>
      </w:r>
      <w:r>
        <w:rPr>
          <w:spacing w:val="8"/>
        </w:rPr>
        <w:t>急管理资金的使用监督和评价。</w:t>
      </w:r>
    </w:p>
    <w:p>
      <w:pPr>
        <w:pStyle w:val="BodyText"/>
        <w:ind w:left="424"/>
        <w:spacing w:before="167" w:line="277" w:lineRule="exact"/>
        <w:rPr/>
      </w:pPr>
      <w:r>
        <w:rPr>
          <w:spacing w:val="10"/>
          <w:position w:val="1"/>
        </w:rPr>
        <w:t>（十）人力资源社会保障部门</w:t>
      </w:r>
    </w:p>
    <w:p>
      <w:pPr>
        <w:pStyle w:val="BodyText"/>
        <w:ind w:left="30" w:right="325" w:firstLine="421"/>
        <w:spacing w:before="130" w:line="303" w:lineRule="auto"/>
        <w:rPr/>
      </w:pPr>
      <w:r>
        <w:rPr>
          <w:spacing w:val="5"/>
        </w:rPr>
        <w:t>1.负责本地区防灾减灾救灾专业技术人才</w:t>
      </w:r>
      <w:r>
        <w:rPr>
          <w:spacing w:val="3"/>
        </w:rPr>
        <w:t>队伍建设；</w:t>
      </w:r>
    </w:p>
    <w:p>
      <w:pPr>
        <w:pStyle w:val="BodyText"/>
        <w:ind w:left="16" w:right="325" w:firstLine="418"/>
        <w:spacing w:before="159" w:line="303" w:lineRule="auto"/>
        <w:rPr/>
      </w:pPr>
      <w:r>
        <w:rPr>
          <w:spacing w:val="6"/>
        </w:rPr>
        <w:t>2.对受灾地区符合条件的失业人员及时落</w:t>
      </w:r>
      <w:r>
        <w:rPr>
          <w:spacing w:val="7"/>
        </w:rPr>
        <w:t>实失业保险待遇；</w:t>
      </w:r>
    </w:p>
    <w:p>
      <w:pPr>
        <w:pStyle w:val="BodyText"/>
        <w:ind w:left="15" w:right="307" w:firstLine="422"/>
        <w:spacing w:before="160" w:line="300" w:lineRule="auto"/>
        <w:rPr/>
      </w:pPr>
      <w:r>
        <w:rPr>
          <w:spacing w:val="6"/>
        </w:rPr>
        <w:t>3.按照国家有关部委统一部署和自治区党</w:t>
      </w:r>
      <w:r>
        <w:rPr>
          <w:spacing w:val="8"/>
        </w:rPr>
        <w:t>委、政府的决定做好抢险救灾表彰奖励工作。</w:t>
      </w:r>
    </w:p>
    <w:p>
      <w:pPr>
        <w:pStyle w:val="BodyText"/>
        <w:ind w:left="424"/>
        <w:spacing w:before="167" w:line="277" w:lineRule="exact"/>
        <w:rPr/>
      </w:pPr>
      <w:r>
        <w:rPr>
          <w:spacing w:val="4"/>
          <w:position w:val="1"/>
        </w:rPr>
        <w:t>（十一）</w:t>
      </w:r>
      <w:r>
        <w:rPr>
          <w:spacing w:val="-39"/>
          <w:position w:val="1"/>
        </w:rPr>
        <w:t xml:space="preserve"> </w:t>
      </w:r>
      <w:r>
        <w:rPr>
          <w:spacing w:val="4"/>
          <w:position w:val="1"/>
        </w:rPr>
        <w:t>自然资源部门</w:t>
      </w:r>
    </w:p>
    <w:p>
      <w:pPr>
        <w:pStyle w:val="BodyText"/>
        <w:ind w:left="452"/>
        <w:spacing w:before="131" w:line="277" w:lineRule="exact"/>
        <w:rPr/>
      </w:pPr>
      <w:r>
        <w:rPr>
          <w:spacing w:val="-9"/>
          <w:position w:val="1"/>
        </w:rPr>
        <w:t>1.负责地质灾害、森林和草原火灾防治工作；</w:t>
      </w:r>
    </w:p>
    <w:p>
      <w:pPr>
        <w:pStyle w:val="BodyText"/>
        <w:ind w:left="14" w:right="325" w:firstLine="420"/>
        <w:spacing w:before="130" w:line="303" w:lineRule="auto"/>
        <w:rPr/>
      </w:pPr>
      <w:r>
        <w:rPr>
          <w:spacing w:val="6"/>
        </w:rPr>
        <w:t>2.组织编制地质灾害防治规划、森林和草</w:t>
      </w:r>
      <w:r>
        <w:rPr>
          <w:spacing w:val="8"/>
        </w:rPr>
        <w:t>原火灾防治规划并指导实施；</w:t>
      </w:r>
    </w:p>
    <w:p>
      <w:pPr>
        <w:pStyle w:val="BodyText"/>
        <w:ind w:left="17" w:right="325" w:firstLine="420"/>
        <w:spacing w:before="159" w:line="303" w:lineRule="auto"/>
        <w:rPr/>
      </w:pPr>
      <w:r>
        <w:rPr>
          <w:spacing w:val="6"/>
        </w:rPr>
        <w:t>3.负责编制地质灾害、森林和草原火灾应</w:t>
      </w:r>
      <w:r>
        <w:rPr>
          <w:spacing w:val="7"/>
        </w:rPr>
        <w:t>急预案并实施；</w:t>
      </w:r>
    </w:p>
    <w:p>
      <w:pPr>
        <w:pStyle w:val="BodyText"/>
        <w:ind w:left="11" w:right="318" w:firstLine="420"/>
        <w:spacing w:before="160" w:line="303" w:lineRule="auto"/>
        <w:rPr/>
      </w:pPr>
      <w:r>
        <w:rPr>
          <w:spacing w:val="18"/>
        </w:rPr>
        <w:t>4.组织开展地质灾害风险调查和隐患排</w:t>
      </w:r>
      <w:r>
        <w:rPr>
          <w:spacing w:val="7"/>
        </w:rPr>
        <w:t>查，及时修订地质灾害风险区划并推动实施；</w:t>
      </w:r>
    </w:p>
    <w:p>
      <w:pPr>
        <w:pStyle w:val="BodyText"/>
        <w:ind w:left="435"/>
        <w:spacing w:before="160"/>
        <w:rPr/>
      </w:pPr>
      <w:r>
        <w:rPr>
          <w:spacing w:val="6"/>
        </w:rPr>
        <w:t>5.负责地质灾害预防和治理，及时共享、</w:t>
      </w:r>
    </w:p>
    <w:p>
      <w:pPr>
        <w:spacing w:line="14" w:lineRule="auto"/>
        <w:rPr>
          <w:rFonts w:ascii="Arial"/>
          <w:sz w:val="2"/>
        </w:rPr>
      </w:pPr>
      <w:r>
        <w:rPr>
          <w:rFonts w:ascii="Arial" w:hAnsi="Arial" w:eastAsia="Arial" w:cs="Arial"/>
          <w:sz w:val="2"/>
          <w:szCs w:val="2"/>
        </w:rPr>
        <w:br w:type="column"/>
      </w:r>
    </w:p>
    <w:p>
      <w:pPr>
        <w:pStyle w:val="BodyText"/>
        <w:ind w:left="3" w:right="59" w:hanging="3"/>
        <w:spacing w:before="43" w:line="375" w:lineRule="auto"/>
        <w:rPr/>
      </w:pPr>
      <w:r>
        <w:rPr>
          <w:spacing w:val="7"/>
        </w:rPr>
        <w:t>会商研判和发布预警信息；指导开展地质灾害</w:t>
      </w:r>
      <w:r>
        <w:rPr>
          <w:spacing w:val="7"/>
        </w:rPr>
        <w:t>工程治理工作；</w:t>
      </w:r>
    </w:p>
    <w:p>
      <w:pPr>
        <w:pStyle w:val="BodyText"/>
        <w:ind w:left="2" w:right="57" w:firstLine="423"/>
        <w:spacing w:line="327" w:lineRule="auto"/>
        <w:rPr/>
      </w:pPr>
      <w:r>
        <w:rPr>
          <w:spacing w:val="6"/>
        </w:rPr>
        <w:t>6.派出地质专家参与地质灾害应急救援工</w:t>
      </w:r>
      <w:r>
        <w:rPr>
          <w:spacing w:val="7"/>
        </w:rPr>
        <w:t>作，组织开展应急调查和应急监测，确定地质</w:t>
      </w:r>
      <w:r>
        <w:rPr>
          <w:spacing w:val="8"/>
        </w:rPr>
        <w:t>灾害发生原因和等级；</w:t>
      </w:r>
    </w:p>
    <w:p>
      <w:pPr>
        <w:pStyle w:val="BodyText"/>
        <w:ind w:right="59" w:firstLine="422"/>
        <w:spacing w:before="162" w:line="327" w:lineRule="auto"/>
        <w:rPr/>
      </w:pPr>
      <w:r>
        <w:rPr>
          <w:spacing w:val="18"/>
        </w:rPr>
        <w:t>7.组织对灾害点现状稳定性开展监测评</w:t>
      </w:r>
      <w:r>
        <w:rPr>
          <w:spacing w:val="7"/>
        </w:rPr>
        <w:t>估，提出防范次生灾害、应急防治措施和人员</w:t>
      </w:r>
      <w:r>
        <w:rPr>
          <w:spacing w:val="8"/>
        </w:rPr>
        <w:t>转移安置建议；</w:t>
      </w:r>
    </w:p>
    <w:p>
      <w:pPr>
        <w:pStyle w:val="BodyText"/>
        <w:ind w:left="1" w:right="57" w:firstLine="425"/>
        <w:spacing w:before="158" w:line="340" w:lineRule="auto"/>
        <w:rPr/>
      </w:pPr>
      <w:r>
        <w:rPr>
          <w:spacing w:val="6"/>
        </w:rPr>
        <w:t>8.履行森林和草原防灭火工作行业管理责</w:t>
      </w:r>
      <w:r>
        <w:rPr>
          <w:spacing w:val="7"/>
        </w:rPr>
        <w:t>任，承担森林和草原防火监督管理工作和火灾</w:t>
      </w:r>
      <w:r>
        <w:rPr>
          <w:spacing w:val="7"/>
        </w:rPr>
        <w:t>防治，指导开展防火巡护、火源管理、防火设</w:t>
      </w:r>
      <w:r>
        <w:rPr>
          <w:spacing w:val="7"/>
        </w:rPr>
        <w:t>施建设等工作；</w:t>
      </w:r>
    </w:p>
    <w:p>
      <w:pPr>
        <w:pStyle w:val="BodyText"/>
        <w:ind w:left="4" w:right="59" w:firstLine="420"/>
        <w:spacing w:before="161" w:line="302" w:lineRule="auto"/>
        <w:rPr/>
      </w:pPr>
      <w:r>
        <w:rPr>
          <w:spacing w:val="17"/>
        </w:rPr>
        <w:t>9.组织指导国有林场林区和草原宣传教</w:t>
      </w:r>
      <w:r>
        <w:rPr>
          <w:spacing w:val="8"/>
        </w:rPr>
        <w:t>育、预警监测、督促检查等工作；</w:t>
      </w:r>
    </w:p>
    <w:p>
      <w:pPr>
        <w:pStyle w:val="BodyText"/>
        <w:ind w:left="1" w:right="57" w:firstLine="440"/>
        <w:spacing w:before="162" w:line="327" w:lineRule="auto"/>
        <w:rPr/>
      </w:pPr>
      <w:r>
        <w:rPr>
          <w:spacing w:val="11"/>
        </w:rPr>
        <w:t>10.组织指导国有林场林区和草原扑火专</w:t>
      </w:r>
      <w:r>
        <w:rPr>
          <w:spacing w:val="7"/>
        </w:rPr>
        <w:t>业队伍和半专业队伍建设，服从统一调度，参</w:t>
      </w:r>
      <w:r>
        <w:rPr>
          <w:spacing w:val="8"/>
        </w:rPr>
        <w:t>与防火扑火行动；</w:t>
      </w:r>
    </w:p>
    <w:p>
      <w:pPr>
        <w:pStyle w:val="BodyText"/>
        <w:ind w:left="4" w:right="57" w:firstLine="437"/>
        <w:spacing w:before="161" w:line="327" w:lineRule="auto"/>
        <w:rPr/>
      </w:pPr>
      <w:r>
        <w:rPr>
          <w:spacing w:val="11"/>
        </w:rPr>
        <w:t>11.指导下级林业和草原行业部门及林业</w:t>
      </w:r>
      <w:r>
        <w:rPr>
          <w:spacing w:val="7"/>
        </w:rPr>
        <w:t>生产经营单位建立联防机制，第一时间处置初</w:t>
      </w:r>
      <w:r>
        <w:rPr>
          <w:spacing w:val="8"/>
        </w:rPr>
        <w:t>发火情，力争灭早、灭小；</w:t>
      </w:r>
    </w:p>
    <w:p>
      <w:pPr>
        <w:pStyle w:val="BodyText"/>
        <w:ind w:right="57" w:firstLine="441"/>
        <w:spacing w:before="162" w:line="327" w:lineRule="auto"/>
        <w:rPr/>
      </w:pPr>
      <w:r>
        <w:rPr>
          <w:spacing w:val="11"/>
        </w:rPr>
        <w:t>12.指导下级林业和草原行业部门建立森</w:t>
      </w:r>
      <w:r>
        <w:rPr>
          <w:spacing w:val="7"/>
        </w:rPr>
        <w:t>林和草原火情、火灾分级响应机制，实现应急</w:t>
      </w:r>
      <w:r>
        <w:rPr>
          <w:spacing w:val="8"/>
        </w:rPr>
        <w:t>处置有效衔接；</w:t>
      </w:r>
    </w:p>
    <w:p>
      <w:pPr>
        <w:pStyle w:val="BodyText"/>
        <w:ind w:left="1" w:right="57" w:firstLine="440"/>
        <w:spacing w:before="160" w:line="302" w:lineRule="auto"/>
        <w:rPr/>
      </w:pPr>
      <w:r>
        <w:rPr>
          <w:spacing w:val="11"/>
        </w:rPr>
        <w:t>13.组织防灭火科研项目论证、申请和实</w:t>
      </w:r>
      <w:r>
        <w:rPr>
          <w:spacing w:val="9"/>
        </w:rPr>
        <w:t>施，开展防灭火技术研究、推广和应用；</w:t>
      </w:r>
    </w:p>
    <w:p>
      <w:pPr>
        <w:pStyle w:val="BodyText"/>
        <w:spacing w:before="161" w:line="277" w:lineRule="exact"/>
        <w:jc w:val="right"/>
        <w:rPr/>
      </w:pPr>
      <w:r>
        <w:rPr>
          <w:spacing w:val="3"/>
          <w:position w:val="1"/>
        </w:rPr>
        <w:t>14.组织沙尘暴灾害预测预报和应急处置；</w:t>
      </w:r>
    </w:p>
    <w:p>
      <w:pPr>
        <w:pStyle w:val="BodyText"/>
        <w:ind w:left="3" w:right="57" w:firstLine="438"/>
        <w:spacing w:before="131" w:line="326" w:lineRule="auto"/>
        <w:rPr/>
      </w:pPr>
      <w:r>
        <w:rPr/>
        <w:t>15.建立专业救援队伍和专家库，组织专业</w:t>
      </w:r>
      <w:r>
        <w:rPr>
          <w:spacing w:val="7"/>
        </w:rPr>
        <w:t>技术力量实施有效的应急治理工程，及时消除</w:t>
      </w:r>
      <w:r>
        <w:rPr>
          <w:spacing w:val="4"/>
        </w:rPr>
        <w:t>险情。</w:t>
      </w:r>
    </w:p>
    <w:p>
      <w:pPr>
        <w:pStyle w:val="BodyText"/>
        <w:ind w:left="414"/>
        <w:spacing w:before="165" w:line="278" w:lineRule="exact"/>
        <w:rPr/>
      </w:pPr>
      <w:r>
        <w:rPr>
          <w:spacing w:val="10"/>
          <w:position w:val="1"/>
        </w:rPr>
        <w:t>（十二）生态环境部门</w:t>
      </w:r>
    </w:p>
    <w:p>
      <w:pPr>
        <w:pStyle w:val="BodyText"/>
        <w:ind w:left="2" w:right="57" w:firstLine="439"/>
        <w:spacing w:before="130" w:line="284" w:lineRule="auto"/>
        <w:rPr/>
      </w:pPr>
      <w:r>
        <w:rPr>
          <w:spacing w:val="5"/>
        </w:rPr>
        <w:t>1.负责组织指导因自然灾害引发的突发环</w:t>
      </w:r>
      <w:r>
        <w:rPr>
          <w:spacing w:val="7"/>
        </w:rPr>
        <w:t>境事件的应急监测，分析研判事故现场污染状</w:t>
      </w:r>
    </w:p>
    <w:p>
      <w:pPr>
        <w:spacing w:line="284" w:lineRule="auto"/>
        <w:sectPr>
          <w:type w:val="continuous"/>
          <w:pgSz w:w="11906" w:h="16839"/>
          <w:pgMar w:top="1766" w:right="1530" w:bottom="1570" w:left="1579" w:header="1428" w:footer="1172" w:gutter="0"/>
          <w:cols w:equalWidth="0" w:num="2">
            <w:col w:w="4487" w:space="100"/>
            <w:col w:w="4209" w:space="0"/>
          </w:cols>
        </w:sectPr>
        <w:rPr/>
      </w:pPr>
    </w:p>
    <w:p>
      <w:pPr>
        <w:spacing w:before="49"/>
        <w:rPr/>
      </w:pPr>
      <w:r>
        <w:drawing>
          <wp:anchor distT="0" distB="0" distL="0" distR="0" simplePos="0" relativeHeight="251979776"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902" name="IM 902"/>
            <wp:cNvGraphicFramePr/>
            <a:graphic>
              <a:graphicData uri="http://schemas.openxmlformats.org/drawingml/2006/picture">
                <pic:pic>
                  <pic:nvPicPr>
                    <pic:cNvPr id="902" name="IM 902"/>
                    <pic:cNvPicPr/>
                  </pic:nvPicPr>
                  <pic:blipFill>
                    <a:blip r:embed="rId453"/>
                    <a:stretch>
                      <a:fillRect/>
                    </a:stretch>
                  </pic:blipFill>
                  <pic:spPr>
                    <a:xfrm rot="0">
                      <a:off x="0" y="0"/>
                      <a:ext cx="5579745" cy="7619"/>
                    </a:xfrm>
                    <a:prstGeom prst="rect">
                      <a:avLst/>
                    </a:prstGeom>
                  </pic:spPr>
                </pic:pic>
              </a:graphicData>
            </a:graphic>
          </wp:anchor>
        </w:drawing>
      </w:r>
      <w:r/>
    </w:p>
    <w:p>
      <w:pPr>
        <w:sectPr>
          <w:headerReference w:type="default" r:id="rId451"/>
          <w:footerReference w:type="default" r:id="rId452"/>
          <w:pgSz w:w="11906" w:h="16839"/>
          <w:pgMar w:top="1793" w:right="1523" w:bottom="1673" w:left="1565" w:header="1428" w:footer="1277" w:gutter="0"/>
          <w:cols w:equalWidth="0" w:num="1">
            <w:col w:w="8818" w:space="0"/>
          </w:cols>
        </w:sectPr>
        <w:rPr/>
      </w:pPr>
    </w:p>
    <w:p>
      <w:pPr>
        <w:pStyle w:val="BodyText"/>
        <w:ind w:left="28"/>
        <w:spacing w:before="52" w:line="222" w:lineRule="auto"/>
        <w:rPr/>
      </w:pPr>
      <w:r>
        <w:rPr>
          <w:spacing w:val="7"/>
        </w:rPr>
        <w:t>况及趋势变化；</w:t>
      </w:r>
    </w:p>
    <w:p>
      <w:pPr>
        <w:pStyle w:val="BodyText"/>
        <w:ind w:left="449"/>
        <w:spacing w:before="155" w:line="277" w:lineRule="exact"/>
        <w:rPr/>
      </w:pPr>
      <w:r>
        <w:rPr>
          <w:spacing w:val="5"/>
          <w:position w:val="1"/>
        </w:rPr>
        <w:t>2.指导做好农村面源污染防治工作；</w:t>
      </w:r>
    </w:p>
    <w:p>
      <w:pPr>
        <w:pStyle w:val="BodyText"/>
        <w:ind w:left="29" w:right="327" w:firstLine="423"/>
        <w:spacing w:before="123" w:line="296" w:lineRule="auto"/>
        <w:rPr/>
      </w:pPr>
      <w:r>
        <w:rPr>
          <w:spacing w:val="6"/>
        </w:rPr>
        <w:t>3.修订完善环境应急预案，参与处置因自</w:t>
      </w:r>
      <w:r>
        <w:rPr>
          <w:spacing w:val="8"/>
        </w:rPr>
        <w:t>然灾害引发的突发环境事件。</w:t>
      </w:r>
    </w:p>
    <w:p>
      <w:pPr>
        <w:pStyle w:val="BodyText"/>
        <w:ind w:left="439"/>
        <w:spacing w:before="158" w:line="278" w:lineRule="exact"/>
        <w:rPr/>
      </w:pPr>
      <w:r>
        <w:rPr>
          <w:spacing w:val="10"/>
          <w:position w:val="1"/>
        </w:rPr>
        <w:t>（十三）住房城乡建设部门</w:t>
      </w:r>
    </w:p>
    <w:p>
      <w:pPr>
        <w:pStyle w:val="BodyText"/>
        <w:ind w:left="31" w:right="327" w:firstLine="434"/>
        <w:spacing w:before="123" w:line="298" w:lineRule="auto"/>
        <w:rPr/>
      </w:pPr>
      <w:r>
        <w:rPr>
          <w:spacing w:val="5"/>
        </w:rPr>
        <w:t>1.组织编制城乡建设防灾减灾规划和应急</w:t>
      </w:r>
      <w:r>
        <w:rPr>
          <w:spacing w:val="7"/>
        </w:rPr>
        <w:t>预案，并监督实施；</w:t>
      </w:r>
    </w:p>
    <w:p>
      <w:pPr>
        <w:pStyle w:val="BodyText"/>
        <w:ind w:left="28" w:right="327" w:firstLine="420"/>
        <w:spacing w:before="152" w:line="336" w:lineRule="auto"/>
        <w:rPr/>
      </w:pPr>
      <w:r>
        <w:rPr>
          <w:spacing w:val="6"/>
        </w:rPr>
        <w:t>2.制定公共应急避难场所建设、管理和维</w:t>
      </w:r>
      <w:r>
        <w:rPr>
          <w:spacing w:val="7"/>
        </w:rPr>
        <w:t>护技术标准及规范，加快推动本地区应急避难</w:t>
      </w:r>
      <w:r>
        <w:rPr>
          <w:spacing w:val="7"/>
        </w:rPr>
        <w:t>场所建设，及时公开避难场所信息，提供应急</w:t>
      </w:r>
      <w:r>
        <w:rPr>
          <w:spacing w:val="7"/>
        </w:rPr>
        <w:t>避险场所服务；</w:t>
      </w:r>
    </w:p>
    <w:p>
      <w:pPr>
        <w:pStyle w:val="BodyText"/>
        <w:ind w:left="27" w:right="327" w:firstLine="425"/>
        <w:spacing w:before="156" w:line="347" w:lineRule="auto"/>
        <w:rPr/>
      </w:pPr>
      <w:r>
        <w:rPr>
          <w:spacing w:val="6"/>
        </w:rPr>
        <w:t>3.会同有关部门加快推进农村贫困群众危</w:t>
      </w:r>
      <w:r>
        <w:rPr>
          <w:spacing w:val="7"/>
        </w:rPr>
        <w:t>窑危房改造、农村高烈度设防地区内群众唯一</w:t>
      </w:r>
      <w:r>
        <w:rPr>
          <w:spacing w:val="7"/>
        </w:rPr>
        <w:t>住房不能满足当地抗震设防目标安全、校舍安</w:t>
      </w:r>
      <w:r>
        <w:rPr>
          <w:spacing w:val="15"/>
        </w:rPr>
        <w:t>全等工程建设</w:t>
      </w:r>
      <w:r>
        <w:rPr>
          <w:spacing w:val="-40"/>
        </w:rPr>
        <w:t xml:space="preserve"> </w:t>
      </w:r>
      <w:r>
        <w:rPr>
          <w:spacing w:val="15"/>
        </w:rPr>
        <w:t>，重点提升灾害高风险区域学</w:t>
      </w:r>
      <w:r>
        <w:rPr>
          <w:spacing w:val="7"/>
        </w:rPr>
        <w:t>校、医院、居民住房、基础设施及文物保护单</w:t>
      </w:r>
      <w:r>
        <w:rPr>
          <w:spacing w:val="8"/>
        </w:rPr>
        <w:t>位的设防水平和承灾能力；</w:t>
      </w:r>
    </w:p>
    <w:p>
      <w:pPr>
        <w:pStyle w:val="BodyText"/>
        <w:ind w:left="27" w:right="327" w:firstLine="418"/>
        <w:spacing w:before="152" w:line="335" w:lineRule="auto"/>
        <w:rPr/>
      </w:pPr>
      <w:r>
        <w:rPr>
          <w:spacing w:val="6"/>
        </w:rPr>
        <w:t>4.建立专业应急救援队伍和专家库，组织</w:t>
      </w:r>
      <w:r>
        <w:rPr>
          <w:spacing w:val="7"/>
        </w:rPr>
        <w:t>专业技术力量实施有效的应急治理工程，及时</w:t>
      </w:r>
      <w:r>
        <w:rPr>
          <w:spacing w:val="7"/>
        </w:rPr>
        <w:t>消除险情。会同有关部门组织开展城市内涝排</w:t>
      </w:r>
      <w:r>
        <w:rPr>
          <w:spacing w:val="9"/>
        </w:rPr>
        <w:t>涝、人员紧急转移、安置救助等工作。</w:t>
      </w:r>
    </w:p>
    <w:p>
      <w:pPr>
        <w:pStyle w:val="BodyText"/>
        <w:ind w:left="439"/>
        <w:spacing w:before="158" w:line="278" w:lineRule="exact"/>
        <w:rPr/>
      </w:pPr>
      <w:r>
        <w:rPr>
          <w:spacing w:val="10"/>
          <w:position w:val="1"/>
        </w:rPr>
        <w:t>（十四）交通运输部门</w:t>
      </w:r>
    </w:p>
    <w:p>
      <w:pPr>
        <w:pStyle w:val="BodyText"/>
        <w:ind w:left="28" w:right="256" w:firstLine="438"/>
        <w:spacing w:before="124" w:line="324" w:lineRule="auto"/>
        <w:rPr/>
      </w:pPr>
      <w:r>
        <w:rPr>
          <w:spacing w:val="5"/>
        </w:rPr>
        <w:t>1.加强应急物流体系建设，完善公路、铁</w:t>
      </w:r>
      <w:r>
        <w:rPr>
          <w:spacing w:val="7"/>
        </w:rPr>
        <w:t>路和空中应急运力储备与调运机制，随时调派</w:t>
      </w:r>
      <w:r>
        <w:rPr>
          <w:spacing w:val="-9"/>
        </w:rPr>
        <w:t>运力和救援力量，满足紧急情况下应急运输需要；</w:t>
      </w:r>
    </w:p>
    <w:p>
      <w:pPr>
        <w:pStyle w:val="BodyText"/>
        <w:ind w:left="27" w:right="327" w:firstLine="422"/>
        <w:spacing w:before="154" w:line="323" w:lineRule="auto"/>
        <w:rPr/>
      </w:pPr>
      <w:r>
        <w:rPr>
          <w:spacing w:val="6"/>
        </w:rPr>
        <w:t>2.实时共享交通路网动态信息，迅速抢修</w:t>
      </w:r>
      <w:r>
        <w:rPr>
          <w:spacing w:val="7"/>
        </w:rPr>
        <w:t>损毁公路、铁路和空中交通运输基础设施，提</w:t>
      </w:r>
      <w:r>
        <w:rPr>
          <w:spacing w:val="9"/>
        </w:rPr>
        <w:t>供运输路线图，保障应急运输畅通；</w:t>
      </w:r>
    </w:p>
    <w:p>
      <w:pPr>
        <w:pStyle w:val="BodyText"/>
        <w:ind w:left="27" w:right="327" w:firstLine="425"/>
        <w:spacing w:before="157" w:line="329" w:lineRule="auto"/>
        <w:rPr/>
      </w:pPr>
      <w:r>
        <w:rPr>
          <w:spacing w:val="-4"/>
        </w:rPr>
        <w:t>3.开设公路应急救援“绿色通道”，优先放</w:t>
      </w:r>
      <w:r>
        <w:rPr>
          <w:spacing w:val="7"/>
        </w:rPr>
        <w:t>行应急运输车辆并免收通行费，指导服务区优</w:t>
      </w:r>
      <w:r>
        <w:rPr>
          <w:spacing w:val="7"/>
        </w:rPr>
        <w:t>先为应急运输车辆提供加油、加水、餐饮、住</w:t>
      </w:r>
      <w:r>
        <w:rPr>
          <w:spacing w:val="9"/>
        </w:rPr>
        <w:t>宿、车辆维修等公路通行保障服务；</w:t>
      </w:r>
    </w:p>
    <w:p>
      <w:pPr>
        <w:spacing w:line="14" w:lineRule="auto"/>
        <w:rPr>
          <w:rFonts w:ascii="Arial"/>
          <w:sz w:val="2"/>
        </w:rPr>
      </w:pPr>
      <w:r>
        <w:rPr>
          <w:rFonts w:ascii="Arial" w:hAnsi="Arial" w:eastAsia="Arial" w:cs="Arial"/>
          <w:sz w:val="2"/>
          <w:szCs w:val="2"/>
        </w:rPr>
        <w:br w:type="column"/>
      </w:r>
    </w:p>
    <w:p>
      <w:pPr>
        <w:pStyle w:val="BodyText"/>
        <w:ind w:left="17" w:right="64" w:firstLine="402"/>
        <w:spacing w:before="39" w:line="300" w:lineRule="auto"/>
        <w:rPr/>
      </w:pPr>
      <w:r>
        <w:rPr>
          <w:spacing w:val="6"/>
        </w:rPr>
        <w:t>4.按照国家和自治区统一要求，做好跨地</w:t>
      </w:r>
      <w:r>
        <w:rPr>
          <w:spacing w:val="8"/>
        </w:rPr>
        <w:t>区参与抢险救灾行动服务保障工作；</w:t>
      </w:r>
    </w:p>
    <w:p>
      <w:pPr>
        <w:pStyle w:val="BodyText"/>
        <w:ind w:left="1" w:right="64" w:firstLine="422"/>
        <w:spacing w:before="153" w:line="322" w:lineRule="auto"/>
        <w:rPr/>
      </w:pPr>
      <w:r>
        <w:rPr>
          <w:spacing w:val="6"/>
        </w:rPr>
        <w:t>5.建立专业应急救援队伍和专家库，组织</w:t>
      </w:r>
      <w:r>
        <w:rPr>
          <w:spacing w:val="7"/>
        </w:rPr>
        <w:t>专业技术力量实施有效的应急治理工程，及时</w:t>
      </w:r>
      <w:r>
        <w:rPr>
          <w:spacing w:val="6"/>
        </w:rPr>
        <w:t>消除险情。</w:t>
      </w:r>
    </w:p>
    <w:p>
      <w:pPr>
        <w:pStyle w:val="BodyText"/>
        <w:ind w:left="413"/>
        <w:spacing w:before="160" w:line="278" w:lineRule="exact"/>
        <w:rPr/>
      </w:pPr>
      <w:r>
        <w:rPr>
          <w:spacing w:val="10"/>
          <w:position w:val="1"/>
        </w:rPr>
        <w:t>（十五）水务部门</w:t>
      </w:r>
    </w:p>
    <w:p>
      <w:pPr>
        <w:pStyle w:val="BodyText"/>
        <w:ind w:left="440"/>
        <w:spacing w:before="123" w:line="278" w:lineRule="exact"/>
        <w:rPr/>
      </w:pPr>
      <w:r>
        <w:rPr>
          <w:spacing w:val="2"/>
          <w:position w:val="1"/>
        </w:rPr>
        <w:t>1.负责水旱灾害防治工作；</w:t>
      </w:r>
    </w:p>
    <w:p>
      <w:pPr>
        <w:pStyle w:val="BodyText"/>
        <w:ind w:left="1" w:right="64" w:firstLine="421"/>
        <w:spacing w:before="124" w:line="324" w:lineRule="auto"/>
        <w:rPr/>
      </w:pPr>
      <w:r>
        <w:rPr>
          <w:spacing w:val="6"/>
        </w:rPr>
        <w:t>2.负责落实综合防灾减灾救灾规划有关要</w:t>
      </w:r>
      <w:r>
        <w:rPr>
          <w:spacing w:val="7"/>
        </w:rPr>
        <w:t>求，编制洪水干旱灾害防治规划和防护标准并</w:t>
      </w:r>
      <w:r>
        <w:rPr>
          <w:spacing w:val="6"/>
        </w:rPr>
        <w:t>指导实施；</w:t>
      </w:r>
    </w:p>
    <w:p>
      <w:pPr>
        <w:pStyle w:val="BodyText"/>
        <w:ind w:right="64" w:firstLine="425"/>
        <w:spacing w:before="151" w:line="336" w:lineRule="auto"/>
        <w:rPr/>
      </w:pPr>
      <w:r>
        <w:rPr>
          <w:spacing w:val="6"/>
        </w:rPr>
        <w:t>3.组织开展日常水情旱情监测，在重要天</w:t>
      </w:r>
      <w:r>
        <w:rPr>
          <w:spacing w:val="18"/>
        </w:rPr>
        <w:t>气过程和河流发生超警戒洪水时加密河流水</w:t>
      </w:r>
      <w:r>
        <w:rPr>
          <w:spacing w:val="7"/>
        </w:rPr>
        <w:t>情监测频次，做好洪水调度预报，及时发布监</w:t>
      </w:r>
      <w:r>
        <w:rPr>
          <w:spacing w:val="7"/>
        </w:rPr>
        <w:t>测预警信息；</w:t>
      </w:r>
    </w:p>
    <w:p>
      <w:pPr>
        <w:pStyle w:val="BodyText"/>
        <w:ind w:right="43" w:firstLine="419"/>
        <w:spacing w:before="152" w:line="336" w:lineRule="auto"/>
        <w:rPr/>
      </w:pPr>
      <w:r>
        <w:rPr>
          <w:spacing w:val="6"/>
        </w:rPr>
        <w:t>4.将水情监测预报系统接入本级应急指挥</w:t>
      </w:r>
      <w:r>
        <w:rPr>
          <w:spacing w:val="8"/>
        </w:rPr>
        <w:t>平台，组织旱情、水情会商，实时共享雨情、</w:t>
      </w:r>
      <w:r>
        <w:rPr>
          <w:spacing w:val="7"/>
        </w:rPr>
        <w:t>水情和旱情信息，及时共享工情、险情和灾情</w:t>
      </w:r>
      <w:r>
        <w:rPr>
          <w:spacing w:val="7"/>
        </w:rPr>
        <w:t>等重要信息；</w:t>
      </w:r>
    </w:p>
    <w:p>
      <w:pPr>
        <w:pStyle w:val="BodyText"/>
        <w:ind w:right="43" w:firstLine="423"/>
        <w:spacing w:before="155" w:line="323" w:lineRule="auto"/>
        <w:rPr/>
      </w:pPr>
      <w:r>
        <w:rPr>
          <w:spacing w:val="6"/>
        </w:rPr>
        <w:t>5.组织实施重要河流湖泊和重要水工程防</w:t>
      </w:r>
      <w:r>
        <w:rPr>
          <w:spacing w:val="8"/>
        </w:rPr>
        <w:t>洪抗旱调度以及应急水量调度，组织、协调、</w:t>
      </w:r>
      <w:r>
        <w:rPr>
          <w:spacing w:val="9"/>
        </w:rPr>
        <w:t>监督、指导本地区水工程安全度汛；</w:t>
      </w:r>
    </w:p>
    <w:p>
      <w:pPr>
        <w:pStyle w:val="BodyText"/>
        <w:ind w:left="2" w:right="64" w:firstLine="421"/>
        <w:spacing w:before="155" w:line="324" w:lineRule="auto"/>
        <w:rPr/>
      </w:pPr>
      <w:r>
        <w:rPr>
          <w:spacing w:val="6"/>
        </w:rPr>
        <w:t>6.提出重要水库超标准洪水和重大突发事</w:t>
      </w:r>
      <w:r>
        <w:rPr>
          <w:spacing w:val="7"/>
        </w:rPr>
        <w:t>件、蓄滞洪区启用、有关堤防需要弃守或破堤</w:t>
      </w:r>
      <w:r>
        <w:rPr>
          <w:spacing w:val="7"/>
        </w:rPr>
        <w:t>泄洪工作方案；</w:t>
      </w:r>
    </w:p>
    <w:p>
      <w:pPr>
        <w:pStyle w:val="BodyText"/>
        <w:ind w:right="64" w:firstLine="421"/>
        <w:spacing w:before="151" w:line="343" w:lineRule="auto"/>
        <w:rPr/>
      </w:pPr>
      <w:r>
        <w:rPr>
          <w:spacing w:val="6"/>
        </w:rPr>
        <w:t>7.建立专业应急救援队伍和专家库，加强</w:t>
      </w:r>
      <w:r>
        <w:rPr>
          <w:spacing w:val="7"/>
        </w:rPr>
        <w:t>救援物资装备库管理，及时派出防汛抗旱专家</w:t>
      </w:r>
      <w:r>
        <w:rPr>
          <w:spacing w:val="7"/>
        </w:rPr>
        <w:t>参与防汛抗洪抗旱应急抢险工作，对洪水可能</w:t>
      </w:r>
      <w:r>
        <w:rPr>
          <w:spacing w:val="7"/>
        </w:rPr>
        <w:t>造成的威胁提出防御措施，提出防洪工程加固</w:t>
      </w:r>
      <w:r>
        <w:rPr>
          <w:spacing w:val="9"/>
        </w:rPr>
        <w:t>措施和重大险情抢险方案并指导实施；</w:t>
      </w:r>
    </w:p>
    <w:p>
      <w:pPr>
        <w:pStyle w:val="BodyText"/>
        <w:spacing w:before="155" w:line="276" w:lineRule="exact"/>
        <w:jc w:val="right"/>
        <w:rPr/>
      </w:pPr>
      <w:r>
        <w:rPr>
          <w:spacing w:val="-1"/>
          <w:position w:val="1"/>
        </w:rPr>
        <w:t>8.配合做好干旱、洪涝灾情统计评估工作；</w:t>
      </w:r>
    </w:p>
    <w:p>
      <w:pPr>
        <w:pStyle w:val="BodyText"/>
        <w:ind w:left="3" w:right="66" w:firstLine="419"/>
        <w:spacing w:before="129" w:line="283" w:lineRule="auto"/>
        <w:rPr/>
      </w:pPr>
      <w:r>
        <w:rPr>
          <w:spacing w:val="17"/>
        </w:rPr>
        <w:t>9.会同有关部门发挥专业优势和行业优</w:t>
      </w:r>
      <w:r>
        <w:rPr>
          <w:spacing w:val="7"/>
        </w:rPr>
        <w:t>势，做好部门之间、区域之间、军地之间、条</w:t>
      </w:r>
    </w:p>
    <w:p>
      <w:pPr>
        <w:spacing w:line="283" w:lineRule="auto"/>
        <w:sectPr>
          <w:type w:val="continuous"/>
          <w:pgSz w:w="11906" w:h="16839"/>
          <w:pgMar w:top="1793" w:right="1523" w:bottom="1673" w:left="1565" w:header="1428" w:footer="1277" w:gutter="0"/>
          <w:cols w:equalWidth="0" w:num="2">
            <w:col w:w="4504" w:space="100"/>
            <w:col w:w="4215" w:space="0"/>
          </w:cols>
        </w:sectPr>
        <w:rPr/>
      </w:pPr>
    </w:p>
    <w:p>
      <w:pPr>
        <w:spacing w:before="39"/>
        <w:rPr/>
      </w:pPr>
      <w:r>
        <w:drawing>
          <wp:anchor distT="0" distB="0" distL="0" distR="0" simplePos="0" relativeHeight="251981824"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908" name="IM 908"/>
            <wp:cNvGraphicFramePr/>
            <a:graphic>
              <a:graphicData uri="http://schemas.openxmlformats.org/drawingml/2006/picture">
                <pic:pic>
                  <pic:nvPicPr>
                    <pic:cNvPr id="908" name="IM 908"/>
                    <pic:cNvPicPr/>
                  </pic:nvPicPr>
                  <pic:blipFill>
                    <a:blip r:embed="rId456"/>
                    <a:stretch>
                      <a:fillRect/>
                    </a:stretch>
                  </pic:blipFill>
                  <pic:spPr>
                    <a:xfrm rot="0">
                      <a:off x="0" y="0"/>
                      <a:ext cx="5579745" cy="7620"/>
                    </a:xfrm>
                    <a:prstGeom prst="rect">
                      <a:avLst/>
                    </a:prstGeom>
                  </pic:spPr>
                </pic:pic>
              </a:graphicData>
            </a:graphic>
          </wp:anchor>
        </w:drawing>
      </w:r>
      <w:r/>
    </w:p>
    <w:p>
      <w:pPr>
        <w:sectPr>
          <w:headerReference w:type="default" r:id="rId454"/>
          <w:footerReference w:type="default" r:id="rId455"/>
          <w:pgSz w:w="11906" w:h="16839"/>
          <w:pgMar w:top="1766" w:right="1530" w:bottom="1570" w:left="1579" w:header="1428" w:footer="1172" w:gutter="0"/>
          <w:cols w:equalWidth="0" w:num="1">
            <w:col w:w="8796" w:space="0"/>
          </w:cols>
        </w:sectPr>
        <w:rPr/>
      </w:pPr>
    </w:p>
    <w:p>
      <w:pPr>
        <w:pStyle w:val="BodyText"/>
        <w:ind w:left="12"/>
        <w:spacing w:before="44" w:line="223" w:lineRule="auto"/>
        <w:rPr/>
      </w:pPr>
      <w:r>
        <w:rPr>
          <w:spacing w:val="-5"/>
        </w:rPr>
        <w:t>块之间沟通协调，积极配合做好防汛抗旱工作。</w:t>
      </w:r>
    </w:p>
    <w:p>
      <w:pPr>
        <w:pStyle w:val="BodyText"/>
        <w:ind w:left="424"/>
        <w:spacing w:before="160" w:line="277" w:lineRule="exact"/>
        <w:rPr/>
      </w:pPr>
      <w:r>
        <w:rPr>
          <w:spacing w:val="10"/>
          <w:position w:val="1"/>
        </w:rPr>
        <w:t>（十六）农业农村部门</w:t>
      </w:r>
    </w:p>
    <w:p>
      <w:pPr>
        <w:pStyle w:val="BodyText"/>
        <w:ind w:left="12" w:right="328" w:firstLine="439"/>
        <w:spacing w:before="127" w:line="327" w:lineRule="auto"/>
        <w:rPr/>
      </w:pPr>
      <w:r>
        <w:rPr>
          <w:spacing w:val="5"/>
        </w:rPr>
        <w:t>1.组织开展农作物重大病虫害监测预警工</w:t>
      </w:r>
      <w:r>
        <w:rPr>
          <w:spacing w:val="7"/>
        </w:rPr>
        <w:t>作，实时共享，及时发布预警信息，并组织开</w:t>
      </w:r>
      <w:r>
        <w:rPr>
          <w:spacing w:val="8"/>
        </w:rPr>
        <w:t>展防控应对工作；</w:t>
      </w:r>
    </w:p>
    <w:p>
      <w:pPr>
        <w:pStyle w:val="BodyText"/>
        <w:ind w:left="13" w:right="328" w:firstLine="421"/>
        <w:spacing w:before="157" w:line="301" w:lineRule="auto"/>
        <w:rPr/>
      </w:pPr>
      <w:r>
        <w:rPr>
          <w:spacing w:val="6"/>
        </w:rPr>
        <w:t>2.及时调拨本级救灾备荒种子，指导农民</w:t>
      </w:r>
      <w:r>
        <w:rPr>
          <w:spacing w:val="9"/>
        </w:rPr>
        <w:t>采取抢种补种等灾后生产恢复措施；</w:t>
      </w:r>
    </w:p>
    <w:p>
      <w:pPr>
        <w:pStyle w:val="BodyText"/>
        <w:ind w:left="16" w:right="328" w:firstLine="421"/>
        <w:spacing w:before="159" w:line="301" w:lineRule="auto"/>
        <w:rPr/>
      </w:pPr>
      <w:r>
        <w:rPr>
          <w:spacing w:val="6"/>
        </w:rPr>
        <w:t>3.组织开展农业防灾减灾救灾技术推广和</w:t>
      </w:r>
      <w:r>
        <w:rPr>
          <w:spacing w:val="6"/>
        </w:rPr>
        <w:t>知识宣传；</w:t>
      </w:r>
    </w:p>
    <w:p>
      <w:pPr>
        <w:pStyle w:val="BodyText"/>
        <w:ind w:left="11" w:right="369" w:firstLine="420"/>
        <w:spacing w:before="159" w:line="302" w:lineRule="auto"/>
        <w:rPr/>
      </w:pPr>
      <w:r>
        <w:rPr>
          <w:spacing w:val="4"/>
        </w:rPr>
        <w:t>4.开展农作物灾情统计工作，及时共享，</w:t>
      </w:r>
      <w:r>
        <w:rPr>
          <w:spacing w:val="7"/>
        </w:rPr>
        <w:t>参与灾情会商；</w:t>
      </w:r>
    </w:p>
    <w:p>
      <w:pPr>
        <w:pStyle w:val="BodyText"/>
        <w:ind w:left="10" w:right="328" w:firstLine="425"/>
        <w:spacing w:before="159" w:line="338" w:lineRule="auto"/>
        <w:rPr/>
      </w:pPr>
      <w:r>
        <w:rPr>
          <w:spacing w:val="6"/>
        </w:rPr>
        <w:t>5.组织指导林区、草原周边乡村做好灾后</w:t>
      </w:r>
      <w:r>
        <w:rPr>
          <w:spacing w:val="7"/>
        </w:rPr>
        <w:t>农田剩余物田间清理工作，做好农村秸秆、枯</w:t>
      </w:r>
      <w:r>
        <w:rPr>
          <w:spacing w:val="7"/>
        </w:rPr>
        <w:t>草及树叶等焚烧的监管；配合做好森林和草原</w:t>
      </w:r>
      <w:r>
        <w:rPr>
          <w:spacing w:val="8"/>
        </w:rPr>
        <w:t>防灭火有关工作；</w:t>
      </w:r>
    </w:p>
    <w:p>
      <w:pPr>
        <w:pStyle w:val="BodyText"/>
        <w:ind w:left="16" w:right="328" w:firstLine="419"/>
        <w:spacing w:before="159" w:line="301" w:lineRule="auto"/>
        <w:rPr/>
      </w:pPr>
      <w:r>
        <w:rPr>
          <w:spacing w:val="6"/>
        </w:rPr>
        <w:t>6.建立专业应急救援队伍、专家库和救援</w:t>
      </w:r>
      <w:r>
        <w:rPr>
          <w:spacing w:val="8"/>
        </w:rPr>
        <w:t>物资装备库，及时有效应对灾害。</w:t>
      </w:r>
    </w:p>
    <w:p>
      <w:pPr>
        <w:pStyle w:val="BodyText"/>
        <w:ind w:left="424"/>
        <w:spacing w:before="160" w:line="278" w:lineRule="exact"/>
        <w:rPr/>
      </w:pPr>
      <w:r>
        <w:rPr>
          <w:spacing w:val="10"/>
          <w:position w:val="1"/>
        </w:rPr>
        <w:t>（十七）商务投资部门</w:t>
      </w:r>
    </w:p>
    <w:p>
      <w:pPr>
        <w:pStyle w:val="BodyText"/>
        <w:ind w:left="11" w:right="328" w:firstLine="440"/>
        <w:spacing w:before="127" w:line="338" w:lineRule="auto"/>
        <w:rPr/>
      </w:pPr>
      <w:r>
        <w:rPr>
          <w:spacing w:val="5"/>
        </w:rPr>
        <w:t>1.依据灾害预警预报，指导有关地区和部</w:t>
      </w:r>
      <w:r>
        <w:rPr>
          <w:spacing w:val="7"/>
        </w:rPr>
        <w:t>门提前组织充足的耐储蔬菜、肉品等货源，做</w:t>
      </w:r>
      <w:r>
        <w:rPr>
          <w:spacing w:val="7"/>
        </w:rPr>
        <w:t>好生活必需品产销对接，确保生活必需品市场</w:t>
      </w:r>
      <w:r>
        <w:rPr>
          <w:spacing w:val="5"/>
        </w:rPr>
        <w:t>供应；</w:t>
      </w:r>
    </w:p>
    <w:p>
      <w:pPr>
        <w:pStyle w:val="BodyText"/>
        <w:ind w:left="12" w:right="328" w:firstLine="422"/>
        <w:spacing w:before="161" w:line="326" w:lineRule="auto"/>
        <w:rPr/>
      </w:pPr>
      <w:r>
        <w:rPr>
          <w:spacing w:val="6"/>
        </w:rPr>
        <w:t>2.按照应急救援需要，指导有关地区和部</w:t>
      </w:r>
      <w:r>
        <w:rPr>
          <w:spacing w:val="7"/>
        </w:rPr>
        <w:t>门适时投放储备商品，满足灾区群众基本生活</w:t>
      </w:r>
      <w:r>
        <w:rPr>
          <w:spacing w:val="4"/>
        </w:rPr>
        <w:t>需要；</w:t>
      </w:r>
    </w:p>
    <w:p>
      <w:pPr>
        <w:pStyle w:val="BodyText"/>
        <w:ind w:left="12" w:right="328" w:firstLine="425"/>
        <w:spacing w:before="158" w:line="337" w:lineRule="auto"/>
        <w:rPr/>
      </w:pPr>
      <w:r>
        <w:rPr>
          <w:spacing w:val="6"/>
        </w:rPr>
        <w:t>3.根据救灾需要，启动生活必需品市场监</w:t>
      </w:r>
      <w:r>
        <w:rPr>
          <w:spacing w:val="7"/>
        </w:rPr>
        <w:t>测日报制度，加强生活必需品市场监测，准确</w:t>
      </w:r>
      <w:r>
        <w:rPr>
          <w:spacing w:val="7"/>
        </w:rPr>
        <w:t>掌握市场供求和价格变化情况，及时采取保供</w:t>
      </w:r>
      <w:r>
        <w:rPr>
          <w:spacing w:val="8"/>
        </w:rPr>
        <w:t>应、平抑价格的应对措施。</w:t>
      </w:r>
    </w:p>
    <w:p>
      <w:pPr>
        <w:pStyle w:val="BodyText"/>
        <w:ind w:left="424"/>
        <w:spacing w:before="164" w:line="277" w:lineRule="exact"/>
        <w:rPr/>
      </w:pPr>
      <w:r>
        <w:rPr>
          <w:spacing w:val="10"/>
          <w:position w:val="1"/>
        </w:rPr>
        <w:t>（十八）文化旅游广播电视部门</w:t>
      </w:r>
    </w:p>
    <w:p>
      <w:pPr>
        <w:pStyle w:val="BodyText"/>
        <w:ind w:left="28" w:right="258" w:firstLine="423"/>
        <w:spacing w:before="128" w:line="298" w:lineRule="auto"/>
        <w:rPr/>
      </w:pPr>
      <w:r>
        <w:rPr>
          <w:spacing w:val="5"/>
        </w:rPr>
        <w:t>1.负责文物保护单位、文化场馆、旅游景</w:t>
      </w:r>
      <w:r>
        <w:rPr>
          <w:spacing w:val="-9"/>
        </w:rPr>
        <w:t>区、景点防灾减灾救灾工作，保护重点文物安</w:t>
      </w:r>
      <w:r>
        <w:rPr>
          <w:spacing w:val="-10"/>
        </w:rPr>
        <w:t>全；</w:t>
      </w:r>
    </w:p>
    <w:p>
      <w:pPr>
        <w:spacing w:line="14" w:lineRule="auto"/>
        <w:rPr>
          <w:rFonts w:ascii="Arial"/>
          <w:sz w:val="2"/>
        </w:rPr>
      </w:pPr>
      <w:r>
        <w:rPr>
          <w:rFonts w:ascii="Arial" w:hAnsi="Arial" w:eastAsia="Arial" w:cs="Arial"/>
          <w:sz w:val="2"/>
          <w:szCs w:val="2"/>
        </w:rPr>
        <w:br w:type="column"/>
      </w:r>
    </w:p>
    <w:p>
      <w:pPr>
        <w:pStyle w:val="BodyText"/>
        <w:ind w:left="1" w:right="57" w:firstLine="420"/>
        <w:spacing w:before="38" w:line="326" w:lineRule="auto"/>
        <w:rPr/>
      </w:pPr>
      <w:r>
        <w:rPr>
          <w:spacing w:val="6"/>
        </w:rPr>
        <w:t>2.会同相关部门做好文化和旅游行业自然</w:t>
      </w:r>
      <w:r>
        <w:rPr>
          <w:spacing w:val="7"/>
        </w:rPr>
        <w:t>灾害风险隐患的排查工作，提升防范化解和应</w:t>
      </w:r>
      <w:r>
        <w:rPr>
          <w:spacing w:val="7"/>
        </w:rPr>
        <w:t>急处置水平；</w:t>
      </w:r>
    </w:p>
    <w:p>
      <w:pPr>
        <w:pStyle w:val="BodyText"/>
        <w:ind w:left="425"/>
        <w:spacing w:before="158" w:line="277" w:lineRule="exact"/>
        <w:rPr/>
      </w:pPr>
      <w:r>
        <w:rPr>
          <w:spacing w:val="5"/>
          <w:position w:val="1"/>
        </w:rPr>
        <w:t>3.监督指导旅游景点应急避难场所建设；</w:t>
      </w:r>
    </w:p>
    <w:p>
      <w:pPr>
        <w:pStyle w:val="BodyText"/>
        <w:ind w:left="2" w:right="57" w:firstLine="416"/>
        <w:spacing w:before="131" w:line="301" w:lineRule="auto"/>
        <w:rPr/>
      </w:pPr>
      <w:r>
        <w:rPr>
          <w:spacing w:val="6"/>
        </w:rPr>
        <w:t>4.负责组织开展防灾减灾救灾宣传和新闻</w:t>
      </w:r>
      <w:r>
        <w:rPr>
          <w:spacing w:val="6"/>
        </w:rPr>
        <w:t>报道工作；</w:t>
      </w:r>
    </w:p>
    <w:p>
      <w:pPr>
        <w:pStyle w:val="BodyText"/>
        <w:ind w:right="57" w:firstLine="422"/>
        <w:spacing w:before="158" w:line="299" w:lineRule="auto"/>
        <w:rPr/>
      </w:pPr>
      <w:r>
        <w:rPr>
          <w:spacing w:val="6"/>
        </w:rPr>
        <w:t>5.负责本地区应急广播管理和灾区广播电</w:t>
      </w:r>
      <w:r>
        <w:rPr>
          <w:spacing w:val="8"/>
        </w:rPr>
        <w:t>视系统设施恢复。</w:t>
      </w:r>
    </w:p>
    <w:p>
      <w:pPr>
        <w:pStyle w:val="BodyText"/>
        <w:ind w:left="412"/>
        <w:spacing w:before="163" w:line="278" w:lineRule="exact"/>
        <w:rPr/>
      </w:pPr>
      <w:r>
        <w:rPr>
          <w:spacing w:val="10"/>
          <w:position w:val="1"/>
        </w:rPr>
        <w:t>（十九）卫生健康部门</w:t>
      </w:r>
    </w:p>
    <w:p>
      <w:pPr>
        <w:pStyle w:val="BodyText"/>
        <w:ind w:right="57" w:firstLine="438"/>
        <w:spacing w:before="127" w:line="327" w:lineRule="auto"/>
        <w:rPr/>
      </w:pPr>
      <w:r>
        <w:rPr>
          <w:spacing w:val="5"/>
        </w:rPr>
        <w:t>1.加强全市医疗卫生应急能力建设，组织</w:t>
      </w:r>
      <w:r>
        <w:rPr>
          <w:spacing w:val="18"/>
        </w:rPr>
        <w:t>各医疗卫生单位开展突发事件卫生应急专业</w:t>
      </w:r>
      <w:r>
        <w:rPr>
          <w:spacing w:val="8"/>
        </w:rPr>
        <w:t>队伍培训和演练；</w:t>
      </w:r>
    </w:p>
    <w:p>
      <w:pPr>
        <w:pStyle w:val="BodyText"/>
        <w:ind w:right="57" w:firstLine="422"/>
        <w:spacing w:before="156" w:line="326" w:lineRule="auto"/>
        <w:rPr/>
      </w:pPr>
      <w:r>
        <w:rPr>
          <w:spacing w:val="6"/>
        </w:rPr>
        <w:t>2.统筹调度医疗卫生资源，及时组织卫生</w:t>
      </w:r>
      <w:r>
        <w:rPr>
          <w:spacing w:val="18"/>
        </w:rPr>
        <w:t>应急专业队伍赴灾区开展医疗救援、卫生防</w:t>
      </w:r>
      <w:r>
        <w:rPr>
          <w:spacing w:val="9"/>
        </w:rPr>
        <w:t>疫、疾病防控和心理援助等卫生应急工作；</w:t>
      </w:r>
    </w:p>
    <w:p>
      <w:pPr>
        <w:pStyle w:val="BodyText"/>
        <w:ind w:left="13" w:right="57" w:firstLine="411"/>
        <w:spacing w:before="157" w:line="303" w:lineRule="auto"/>
        <w:rPr/>
      </w:pPr>
      <w:r>
        <w:rPr>
          <w:spacing w:val="-4"/>
        </w:rPr>
        <w:t>3.开辟“绿色通道”，及时转运伤员，组织</w:t>
      </w:r>
      <w:r>
        <w:rPr>
          <w:spacing w:val="8"/>
        </w:rPr>
        <w:t>医疗专家，全力做好受灾伤员救治工作；</w:t>
      </w:r>
    </w:p>
    <w:p>
      <w:pPr>
        <w:pStyle w:val="BodyText"/>
        <w:ind w:left="3" w:right="35" w:firstLine="416"/>
        <w:spacing w:before="159" w:line="301" w:lineRule="auto"/>
        <w:rPr/>
      </w:pPr>
      <w:r>
        <w:rPr>
          <w:spacing w:val="-12"/>
        </w:rPr>
        <w:t>4.做好卫生应急信息报送工作，协助统计人员</w:t>
      </w:r>
      <w:r>
        <w:rPr>
          <w:spacing w:val="-7"/>
        </w:rPr>
        <w:t>伤亡情况；</w:t>
      </w:r>
    </w:p>
    <w:p>
      <w:pPr>
        <w:pStyle w:val="BodyText"/>
        <w:ind w:right="57" w:firstLine="423"/>
        <w:spacing w:before="159" w:line="300" w:lineRule="auto"/>
        <w:rPr/>
      </w:pPr>
      <w:r>
        <w:rPr>
          <w:spacing w:val="6"/>
        </w:rPr>
        <w:t>5.建立专业救援队伍、专家库和应急物资</w:t>
      </w:r>
      <w:r>
        <w:rPr>
          <w:spacing w:val="8"/>
        </w:rPr>
        <w:t>装备库，及时有效应对灾害。</w:t>
      </w:r>
    </w:p>
    <w:p>
      <w:pPr>
        <w:pStyle w:val="BodyText"/>
        <w:ind w:left="412"/>
        <w:spacing w:before="161" w:line="277" w:lineRule="exact"/>
        <w:rPr/>
      </w:pPr>
      <w:r>
        <w:rPr>
          <w:spacing w:val="10"/>
          <w:position w:val="1"/>
        </w:rPr>
        <w:t>（二十）退役军人事务局</w:t>
      </w:r>
    </w:p>
    <w:p>
      <w:pPr>
        <w:pStyle w:val="BodyText"/>
        <w:ind w:left="1" w:right="59" w:firstLine="418"/>
        <w:spacing w:before="134" w:line="373" w:lineRule="auto"/>
        <w:rPr/>
      </w:pPr>
      <w:r>
        <w:rPr>
          <w:spacing w:val="7"/>
        </w:rPr>
        <w:t>按照管理权限、组织退役军人参与防灾减</w:t>
      </w:r>
      <w:r>
        <w:rPr>
          <w:spacing w:val="7"/>
        </w:rPr>
        <w:t>灾救灾工作。</w:t>
      </w:r>
    </w:p>
    <w:p>
      <w:pPr>
        <w:pStyle w:val="BodyText"/>
        <w:ind w:left="412"/>
        <w:spacing w:line="277" w:lineRule="exact"/>
        <w:rPr/>
      </w:pPr>
      <w:r>
        <w:rPr>
          <w:spacing w:val="10"/>
          <w:position w:val="1"/>
        </w:rPr>
        <w:t>（二十一）外事部门</w:t>
      </w:r>
    </w:p>
    <w:p>
      <w:pPr>
        <w:pStyle w:val="BodyText"/>
        <w:ind w:left="1" w:right="57" w:firstLine="437"/>
        <w:spacing w:before="129" w:line="301" w:lineRule="auto"/>
        <w:rPr/>
      </w:pPr>
      <w:r>
        <w:rPr>
          <w:spacing w:val="5"/>
        </w:rPr>
        <w:t>1.负责重大灾害发生时国际救援和海外捐</w:t>
      </w:r>
      <w:r>
        <w:rPr>
          <w:spacing w:val="8"/>
        </w:rPr>
        <w:t>赠接收的协调工作；</w:t>
      </w:r>
    </w:p>
    <w:p>
      <w:pPr>
        <w:pStyle w:val="BodyText"/>
        <w:ind w:left="1" w:right="57" w:firstLine="420"/>
        <w:spacing w:before="158" w:line="303" w:lineRule="auto"/>
        <w:rPr/>
      </w:pPr>
      <w:r>
        <w:rPr>
          <w:spacing w:val="6"/>
        </w:rPr>
        <w:t>2.负责固原境内外国机构和人员救助的协</w:t>
      </w:r>
      <w:r>
        <w:rPr>
          <w:spacing w:val="6"/>
        </w:rPr>
        <w:t>调工作；</w:t>
      </w:r>
    </w:p>
    <w:p>
      <w:pPr>
        <w:pStyle w:val="BodyText"/>
        <w:ind w:left="2" w:right="56" w:firstLine="406"/>
        <w:spacing w:before="158" w:line="299" w:lineRule="auto"/>
        <w:rPr/>
      </w:pPr>
      <w:r>
        <w:rPr>
          <w:spacing w:val="7"/>
        </w:rPr>
        <w:t>3.协助外宣办做好外国媒体采访报道的管</w:t>
      </w:r>
      <w:r>
        <w:rPr>
          <w:spacing w:val="-1"/>
        </w:rPr>
        <w:t>理与服务工作。</w:t>
      </w:r>
    </w:p>
    <w:p>
      <w:pPr>
        <w:pStyle w:val="BodyText"/>
        <w:ind w:left="412"/>
        <w:spacing w:before="163" w:line="221" w:lineRule="auto"/>
        <w:rPr/>
      </w:pPr>
      <w:r>
        <w:rPr>
          <w:spacing w:val="10"/>
        </w:rPr>
        <w:t>（二十二）审计部门</w:t>
      </w:r>
    </w:p>
    <w:p>
      <w:pPr>
        <w:spacing w:line="221" w:lineRule="auto"/>
        <w:sectPr>
          <w:type w:val="continuous"/>
          <w:pgSz w:w="11906" w:h="16839"/>
          <w:pgMar w:top="1766" w:right="1530" w:bottom="1570" w:left="1579" w:header="1428" w:footer="1172" w:gutter="0"/>
          <w:cols w:equalWidth="0" w:num="2">
            <w:col w:w="4490" w:space="100"/>
            <w:col w:w="4207" w:space="0"/>
          </w:cols>
        </w:sectPr>
        <w:rPr/>
      </w:pPr>
    </w:p>
    <w:p>
      <w:pPr>
        <w:spacing w:before="49"/>
        <w:rPr/>
      </w:pPr>
      <w:r>
        <w:drawing>
          <wp:anchor distT="0" distB="0" distL="0" distR="0" simplePos="0" relativeHeight="251983872"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914" name="IM 914"/>
            <wp:cNvGraphicFramePr/>
            <a:graphic>
              <a:graphicData uri="http://schemas.openxmlformats.org/drawingml/2006/picture">
                <pic:pic>
                  <pic:nvPicPr>
                    <pic:cNvPr id="914" name="IM 914"/>
                    <pic:cNvPicPr/>
                  </pic:nvPicPr>
                  <pic:blipFill>
                    <a:blip r:embed="rId459"/>
                    <a:stretch>
                      <a:fillRect/>
                    </a:stretch>
                  </pic:blipFill>
                  <pic:spPr>
                    <a:xfrm rot="0">
                      <a:off x="0" y="0"/>
                      <a:ext cx="5579745" cy="7619"/>
                    </a:xfrm>
                    <a:prstGeom prst="rect">
                      <a:avLst/>
                    </a:prstGeom>
                  </pic:spPr>
                </pic:pic>
              </a:graphicData>
            </a:graphic>
          </wp:anchor>
        </w:drawing>
      </w:r>
      <w:r/>
    </w:p>
    <w:p>
      <w:pPr>
        <w:sectPr>
          <w:headerReference w:type="default" r:id="rId457"/>
          <w:footerReference w:type="default" r:id="rId458"/>
          <w:pgSz w:w="11906" w:h="16839"/>
          <w:pgMar w:top="1793" w:right="1509" w:bottom="1673" w:left="1565" w:header="1428" w:footer="1277" w:gutter="0"/>
          <w:cols w:equalWidth="0" w:num="1">
            <w:col w:w="8832" w:space="0"/>
          </w:cols>
        </w:sectPr>
        <w:rPr/>
      </w:pPr>
    </w:p>
    <w:p>
      <w:pPr>
        <w:pStyle w:val="BodyText"/>
        <w:ind w:left="30" w:right="326" w:firstLine="436"/>
        <w:spacing w:before="41" w:line="299" w:lineRule="auto"/>
        <w:rPr/>
      </w:pPr>
      <w:r>
        <w:rPr>
          <w:spacing w:val="5"/>
        </w:rPr>
        <w:t>1.加强对防灾减灾救灾政策法规和重大决</w:t>
      </w:r>
      <w:r>
        <w:rPr>
          <w:spacing w:val="8"/>
        </w:rPr>
        <w:t>策部署落实情况的审计监督；</w:t>
      </w:r>
    </w:p>
    <w:p>
      <w:pPr>
        <w:pStyle w:val="BodyText"/>
        <w:ind w:left="35" w:right="326" w:firstLine="414"/>
        <w:spacing w:before="151" w:line="297" w:lineRule="auto"/>
        <w:rPr/>
      </w:pPr>
      <w:r>
        <w:rPr>
          <w:spacing w:val="6"/>
        </w:rPr>
        <w:t>2.负责对各级、各部门自然灾害救助款物</w:t>
      </w:r>
      <w:r>
        <w:rPr>
          <w:spacing w:val="8"/>
        </w:rPr>
        <w:t>和捐赠款物的管理使用情况进行审计监督。</w:t>
      </w:r>
    </w:p>
    <w:p>
      <w:pPr>
        <w:pStyle w:val="BodyText"/>
        <w:ind w:left="439"/>
        <w:spacing w:before="157" w:line="278" w:lineRule="exact"/>
        <w:rPr/>
      </w:pPr>
      <w:r>
        <w:rPr>
          <w:spacing w:val="10"/>
          <w:position w:val="1"/>
        </w:rPr>
        <w:t>（二十三）审批部门</w:t>
      </w:r>
    </w:p>
    <w:p>
      <w:pPr>
        <w:pStyle w:val="BodyText"/>
        <w:ind w:left="29" w:right="305" w:firstLine="420"/>
        <w:spacing w:before="124" w:line="368" w:lineRule="auto"/>
        <w:jc w:val="both"/>
        <w:rPr/>
      </w:pPr>
      <w:r>
        <w:rPr>
          <w:spacing w:val="19"/>
        </w:rPr>
        <w:t>指导防灾减灾救灾工程申报单位项目申</w:t>
      </w:r>
      <w:r>
        <w:rPr>
          <w:spacing w:val="8"/>
        </w:rPr>
        <w:t>报工作，及时受理，并按规定权限做好审批、</w:t>
      </w:r>
      <w:r>
        <w:rPr>
          <w:spacing w:val="7"/>
        </w:rPr>
        <w:t>核准、审核工作。</w:t>
      </w:r>
    </w:p>
    <w:p>
      <w:pPr>
        <w:pStyle w:val="BodyText"/>
        <w:ind w:left="439"/>
        <w:spacing w:line="277" w:lineRule="exact"/>
        <w:rPr/>
      </w:pPr>
      <w:r>
        <w:rPr>
          <w:spacing w:val="10"/>
          <w:position w:val="1"/>
        </w:rPr>
        <w:t>（二十四）市场监管部门</w:t>
      </w:r>
    </w:p>
    <w:p>
      <w:pPr>
        <w:pStyle w:val="BodyText"/>
        <w:ind w:left="29" w:right="326" w:firstLine="437"/>
        <w:spacing w:before="124" w:line="313" w:lineRule="auto"/>
        <w:rPr/>
      </w:pPr>
      <w:r>
        <w:rPr>
          <w:spacing w:val="5"/>
        </w:rPr>
        <w:t>1.负责和承担相关部门委托对救灾物资及</w:t>
      </w:r>
      <w:r>
        <w:rPr>
          <w:spacing w:val="9"/>
        </w:rPr>
        <w:t>捐赠物资的产品质量进行监督检查和抽查；</w:t>
      </w:r>
    </w:p>
    <w:p>
      <w:pPr>
        <w:pStyle w:val="BodyText"/>
        <w:ind w:left="27" w:right="326" w:firstLine="421"/>
        <w:spacing w:before="121" w:line="313" w:lineRule="auto"/>
        <w:rPr/>
      </w:pPr>
      <w:r>
        <w:rPr>
          <w:spacing w:val="6"/>
        </w:rPr>
        <w:t>2.负责药品、医疗的监督管理，协助有关</w:t>
      </w:r>
      <w:r>
        <w:rPr>
          <w:spacing w:val="8"/>
        </w:rPr>
        <w:t>部门组织救灾药品和医疗器械；</w:t>
      </w:r>
    </w:p>
    <w:p>
      <w:pPr>
        <w:pStyle w:val="BodyText"/>
        <w:ind w:left="27" w:right="328" w:firstLine="425"/>
        <w:spacing w:before="123" w:line="334" w:lineRule="auto"/>
        <w:rPr/>
      </w:pPr>
      <w:r>
        <w:rPr>
          <w:spacing w:val="17"/>
        </w:rPr>
        <w:t>3.负责特种设备安全预防和隐患排查工</w:t>
      </w:r>
      <w:r>
        <w:rPr>
          <w:spacing w:val="7"/>
        </w:rPr>
        <w:t>作。发生事故灾害后，协助现场应急救援指挥</w:t>
      </w:r>
      <w:r>
        <w:rPr>
          <w:spacing w:val="7"/>
        </w:rPr>
        <w:t>部做好应急救援处置工作，协调自治区提供技</w:t>
      </w:r>
      <w:r>
        <w:rPr>
          <w:spacing w:val="6"/>
        </w:rPr>
        <w:t>术支撑；</w:t>
      </w:r>
    </w:p>
    <w:p>
      <w:pPr>
        <w:pStyle w:val="BodyText"/>
        <w:ind w:left="25" w:right="326" w:firstLine="420"/>
        <w:spacing w:before="152" w:line="334" w:lineRule="auto"/>
        <w:rPr/>
      </w:pPr>
      <w:r>
        <w:rPr>
          <w:spacing w:val="6"/>
        </w:rPr>
        <w:t>4.根据事故特种设备种类、介质和事故主</w:t>
      </w:r>
      <w:r>
        <w:rPr>
          <w:spacing w:val="15"/>
        </w:rPr>
        <w:t>要表现形式等情况</w:t>
      </w:r>
      <w:r>
        <w:rPr>
          <w:spacing w:val="-39"/>
        </w:rPr>
        <w:t xml:space="preserve"> </w:t>
      </w:r>
      <w:r>
        <w:rPr>
          <w:spacing w:val="15"/>
        </w:rPr>
        <w:t>，提出应急处置措施或建</w:t>
      </w:r>
      <w:r>
        <w:rPr>
          <w:spacing w:val="7"/>
        </w:rPr>
        <w:t>议；针对可能引发的次生、衍生灾害，提出防</w:t>
      </w:r>
      <w:r>
        <w:rPr>
          <w:spacing w:val="8"/>
        </w:rPr>
        <w:t>范措施和建议；</w:t>
      </w:r>
    </w:p>
    <w:p>
      <w:pPr>
        <w:pStyle w:val="BodyText"/>
        <w:ind w:left="27" w:right="326" w:firstLine="422"/>
        <w:spacing w:before="153" w:line="296" w:lineRule="auto"/>
        <w:rPr/>
      </w:pPr>
      <w:r>
        <w:rPr>
          <w:spacing w:val="6"/>
        </w:rPr>
        <w:t>5.负责灾区救灾物资和群众生活必需品价</w:t>
      </w:r>
      <w:r>
        <w:rPr>
          <w:spacing w:val="7"/>
        </w:rPr>
        <w:t>格监督检查。</w:t>
      </w:r>
    </w:p>
    <w:p>
      <w:pPr>
        <w:pStyle w:val="BodyText"/>
        <w:ind w:left="439"/>
        <w:spacing w:before="157" w:line="278" w:lineRule="exact"/>
        <w:rPr/>
      </w:pPr>
      <w:r>
        <w:rPr>
          <w:spacing w:val="10"/>
          <w:position w:val="1"/>
        </w:rPr>
        <w:t>（二十五）国资监管部门</w:t>
      </w:r>
    </w:p>
    <w:p>
      <w:pPr>
        <w:pStyle w:val="BodyText"/>
        <w:ind w:left="28" w:right="328" w:firstLine="418"/>
        <w:spacing w:before="127" w:line="368" w:lineRule="auto"/>
        <w:rPr/>
      </w:pPr>
      <w:r>
        <w:rPr>
          <w:spacing w:val="7"/>
        </w:rPr>
        <w:t>按照管理权限，督促监管企业开展防灾减</w:t>
      </w:r>
      <w:r>
        <w:rPr>
          <w:spacing w:val="7"/>
        </w:rPr>
        <w:t>灾救灾；指导和协调监管企业的安全生产、应</w:t>
      </w:r>
      <w:r>
        <w:rPr>
          <w:spacing w:val="8"/>
        </w:rPr>
        <w:t>急管理工作；协调相关救灾捐赠工作。</w:t>
      </w:r>
    </w:p>
    <w:p>
      <w:pPr>
        <w:pStyle w:val="BodyText"/>
        <w:ind w:left="439"/>
        <w:spacing w:line="278" w:lineRule="exact"/>
        <w:rPr/>
      </w:pPr>
      <w:r>
        <w:rPr>
          <w:spacing w:val="10"/>
          <w:position w:val="1"/>
        </w:rPr>
        <w:t>（二十六）城市管理部门</w:t>
      </w:r>
    </w:p>
    <w:p>
      <w:pPr>
        <w:pStyle w:val="BodyText"/>
        <w:ind w:left="466"/>
        <w:spacing w:before="123" w:line="278" w:lineRule="exact"/>
        <w:rPr/>
      </w:pPr>
      <w:r>
        <w:rPr>
          <w:spacing w:val="3"/>
          <w:position w:val="1"/>
        </w:rPr>
        <w:t>1.承担地下管线的监督管理工作；</w:t>
      </w:r>
    </w:p>
    <w:p>
      <w:pPr>
        <w:pStyle w:val="BodyText"/>
        <w:ind w:left="31" w:right="326" w:firstLine="417"/>
        <w:spacing w:before="121" w:line="297" w:lineRule="auto"/>
        <w:rPr/>
      </w:pPr>
      <w:r>
        <w:rPr>
          <w:spacing w:val="6"/>
        </w:rPr>
        <w:t>2.负责城市洪涝灾害防治、宣传和应急演</w:t>
      </w:r>
      <w:r>
        <w:rPr>
          <w:spacing w:val="5"/>
        </w:rPr>
        <w:t>练工作。</w:t>
      </w:r>
    </w:p>
    <w:p>
      <w:pPr>
        <w:pStyle w:val="BodyText"/>
        <w:ind w:left="439"/>
        <w:spacing w:before="158" w:line="221" w:lineRule="auto"/>
        <w:rPr/>
      </w:pPr>
      <w:r>
        <w:rPr>
          <w:spacing w:val="10"/>
        </w:rPr>
        <w:t>（二十七）人防部门</w:t>
      </w:r>
    </w:p>
    <w:p>
      <w:pPr>
        <w:spacing w:line="14" w:lineRule="auto"/>
        <w:rPr>
          <w:rFonts w:ascii="Arial"/>
          <w:sz w:val="2"/>
        </w:rPr>
      </w:pPr>
      <w:r>
        <w:rPr>
          <w:rFonts w:ascii="Arial" w:hAnsi="Arial" w:eastAsia="Arial" w:cs="Arial"/>
          <w:sz w:val="2"/>
          <w:szCs w:val="2"/>
        </w:rPr>
        <w:br w:type="column"/>
      </w:r>
    </w:p>
    <w:p>
      <w:pPr>
        <w:pStyle w:val="BodyText"/>
        <w:ind w:right="80" w:firstLine="422"/>
        <w:spacing w:before="40" w:line="369" w:lineRule="auto"/>
        <w:jc w:val="both"/>
        <w:rPr/>
      </w:pPr>
      <w:r>
        <w:rPr>
          <w:spacing w:val="6"/>
        </w:rPr>
        <w:t>利用人防指挥通信系统、人防工程、疏散</w:t>
      </w:r>
      <w:r>
        <w:rPr>
          <w:spacing w:val="7"/>
        </w:rPr>
        <w:t>基地等战备资源，为政府组织抢险救灾提供必</w:t>
      </w:r>
      <w:r>
        <w:rPr>
          <w:spacing w:val="8"/>
        </w:rPr>
        <w:t>要的服务和支援保障。</w:t>
      </w:r>
    </w:p>
    <w:p>
      <w:pPr>
        <w:pStyle w:val="BodyText"/>
        <w:ind w:left="413"/>
        <w:spacing w:line="277" w:lineRule="exact"/>
        <w:rPr/>
      </w:pPr>
      <w:r>
        <w:rPr>
          <w:spacing w:val="10"/>
          <w:position w:val="1"/>
        </w:rPr>
        <w:t>（二十八）医保部门</w:t>
      </w:r>
    </w:p>
    <w:p>
      <w:pPr>
        <w:pStyle w:val="BodyText"/>
        <w:ind w:right="80" w:firstLine="426"/>
        <w:spacing w:before="127" w:line="367" w:lineRule="auto"/>
        <w:rPr/>
      </w:pPr>
      <w:r>
        <w:rPr>
          <w:spacing w:val="6"/>
        </w:rPr>
        <w:t>负责受灾地区医疗服务价格管理、大病医</w:t>
      </w:r>
      <w:r>
        <w:rPr>
          <w:spacing w:val="9"/>
        </w:rPr>
        <w:t>疗救助、医疗保障综合协调等工作。</w:t>
      </w:r>
    </w:p>
    <w:p>
      <w:pPr>
        <w:pStyle w:val="BodyText"/>
        <w:ind w:left="413"/>
        <w:spacing w:line="276" w:lineRule="exact"/>
        <w:rPr/>
      </w:pPr>
      <w:r>
        <w:rPr>
          <w:spacing w:val="10"/>
          <w:position w:val="1"/>
        </w:rPr>
        <w:t>（二十九）粮食储备部门</w:t>
      </w:r>
    </w:p>
    <w:p>
      <w:pPr>
        <w:pStyle w:val="BodyText"/>
        <w:ind w:left="2" w:right="103" w:firstLine="438"/>
        <w:spacing w:before="124" w:line="312" w:lineRule="auto"/>
        <w:rPr/>
      </w:pPr>
      <w:r>
        <w:rPr>
          <w:spacing w:val="4"/>
        </w:rPr>
        <w:t>1.负责组织和协调应急储备粮和瓶装水、</w:t>
      </w:r>
      <w:r>
        <w:rPr>
          <w:spacing w:val="9"/>
        </w:rPr>
        <w:t>方便食品等生活必需品储备的调运工作；</w:t>
      </w:r>
    </w:p>
    <w:p>
      <w:pPr>
        <w:pStyle w:val="BodyText"/>
        <w:ind w:left="3" w:firstLine="420"/>
        <w:spacing w:before="122" w:line="334" w:lineRule="auto"/>
        <w:rPr/>
      </w:pPr>
      <w:r>
        <w:rPr>
          <w:spacing w:val="6"/>
        </w:rPr>
        <w:t>2.根据本级救灾物资储备规划、品种目录</w:t>
      </w:r>
      <w:r>
        <w:rPr>
          <w:spacing w:val="1"/>
        </w:rPr>
        <w:t>和标准、年度购置计划，负责救灾物资的收储、</w:t>
      </w:r>
      <w:r>
        <w:rPr>
          <w:spacing w:val="7"/>
        </w:rPr>
        <w:t>轮换和日常管理，根据本级应急管理部门的动</w:t>
      </w:r>
      <w:r>
        <w:rPr>
          <w:spacing w:val="8"/>
        </w:rPr>
        <w:t>用指令按程序组织调出；</w:t>
      </w:r>
    </w:p>
    <w:p>
      <w:pPr>
        <w:pStyle w:val="BodyText"/>
        <w:ind w:left="2" w:right="78" w:firstLine="424"/>
        <w:spacing w:before="153" w:line="341" w:lineRule="auto"/>
        <w:rPr/>
      </w:pPr>
      <w:r>
        <w:rPr>
          <w:spacing w:val="6"/>
        </w:rPr>
        <w:t>3.共享国家战略储备物资和应急储备物资</w:t>
      </w:r>
      <w:r>
        <w:rPr>
          <w:spacing w:val="7"/>
        </w:rPr>
        <w:t>信息，完善应急调拨运输工作机制，及时组织</w:t>
      </w:r>
      <w:r>
        <w:rPr>
          <w:spacing w:val="7"/>
        </w:rPr>
        <w:t>调运，保障本地区自然灾害类、安全生产类等</w:t>
      </w:r>
      <w:r>
        <w:rPr>
          <w:spacing w:val="15"/>
        </w:rPr>
        <w:t>突发事件急需物资</w:t>
      </w:r>
      <w:r>
        <w:rPr>
          <w:spacing w:val="-41"/>
        </w:rPr>
        <w:t xml:space="preserve"> </w:t>
      </w:r>
      <w:r>
        <w:rPr>
          <w:spacing w:val="15"/>
        </w:rPr>
        <w:t>；按照应急管理指挥部安</w:t>
      </w:r>
      <w:r>
        <w:rPr>
          <w:spacing w:val="8"/>
        </w:rPr>
        <w:t>排，协调专业物资装备代储工作；</w:t>
      </w:r>
    </w:p>
    <w:p>
      <w:pPr>
        <w:pStyle w:val="BodyText"/>
        <w:ind w:left="2" w:right="56" w:firstLine="418"/>
        <w:spacing w:before="153" w:line="297" w:lineRule="auto"/>
        <w:rPr/>
      </w:pPr>
      <w:r>
        <w:rPr>
          <w:spacing w:val="-12"/>
        </w:rPr>
        <w:t>4.建立专业调运队伍，配备专业装备，及时有</w:t>
      </w:r>
      <w:r>
        <w:rPr>
          <w:spacing w:val="-8"/>
        </w:rPr>
        <w:t>效应对灾害。</w:t>
      </w:r>
    </w:p>
    <w:p>
      <w:pPr>
        <w:pStyle w:val="BodyText"/>
        <w:ind w:left="3" w:right="80" w:firstLine="425"/>
        <w:spacing w:before="161" w:line="317" w:lineRule="auto"/>
        <w:rPr/>
      </w:pPr>
      <w:r>
        <w:rPr>
          <w:rFonts w:ascii="Microsoft YaHei" w:hAnsi="Microsoft YaHei" w:eastAsia="Microsoft YaHei" w:cs="Microsoft YaHei"/>
          <w:spacing w:val="6"/>
        </w:rPr>
        <w:t>第十三条</w:t>
      </w:r>
      <w:r>
        <w:rPr>
          <w:rFonts w:ascii="Microsoft YaHei" w:hAnsi="Microsoft YaHei" w:eastAsia="Microsoft YaHei" w:cs="Microsoft YaHei"/>
          <w:spacing w:val="13"/>
        </w:rPr>
        <w:t xml:space="preserve">   </w:t>
      </w:r>
      <w:r>
        <w:rPr>
          <w:spacing w:val="6"/>
        </w:rPr>
        <w:t>市属，中央、区属驻固单位和</w:t>
      </w:r>
      <w:r>
        <w:rPr>
          <w:spacing w:val="9"/>
        </w:rPr>
        <w:t>军队等有关机构防灾减灾救灾工作责任：</w:t>
      </w:r>
    </w:p>
    <w:p>
      <w:pPr>
        <w:pStyle w:val="BodyText"/>
        <w:ind w:left="413"/>
        <w:spacing w:line="278" w:lineRule="exact"/>
        <w:rPr/>
      </w:pPr>
      <w:r>
        <w:rPr>
          <w:spacing w:val="10"/>
          <w:position w:val="1"/>
        </w:rPr>
        <w:t>（一）气象部门</w:t>
      </w:r>
    </w:p>
    <w:p>
      <w:pPr>
        <w:pStyle w:val="BodyText"/>
        <w:ind w:left="1" w:right="80" w:firstLine="439"/>
        <w:spacing w:before="121" w:line="298" w:lineRule="auto"/>
        <w:rPr/>
      </w:pPr>
      <w:r>
        <w:rPr>
          <w:spacing w:val="17"/>
        </w:rPr>
        <w:t>1.负责气象灾害监测预警和信息发布工</w:t>
      </w:r>
      <w:r>
        <w:rPr>
          <w:spacing w:val="8"/>
        </w:rPr>
        <w:t>作；向相关部门报告预警信息；</w:t>
      </w:r>
    </w:p>
    <w:p>
      <w:pPr>
        <w:pStyle w:val="BodyText"/>
        <w:ind w:left="6" w:right="78" w:firstLine="417"/>
        <w:spacing w:before="156" w:line="298" w:lineRule="auto"/>
        <w:rPr/>
      </w:pPr>
      <w:r>
        <w:rPr>
          <w:spacing w:val="6"/>
        </w:rPr>
        <w:t>2.共享气象卫星图像数据、气象监测预报</w:t>
      </w:r>
      <w:r>
        <w:rPr>
          <w:spacing w:val="8"/>
        </w:rPr>
        <w:t>预警和服务信息、气象灾害风险等信息；</w:t>
      </w:r>
    </w:p>
    <w:p>
      <w:pPr>
        <w:pStyle w:val="BodyText"/>
        <w:ind w:right="61" w:firstLine="427"/>
        <w:spacing w:before="152" w:line="322" w:lineRule="auto"/>
        <w:rPr/>
      </w:pPr>
      <w:r>
        <w:rPr>
          <w:spacing w:val="7"/>
        </w:rPr>
        <w:t>3.组织对较大及以上灾害性天气跨地区、</w:t>
      </w:r>
      <w:r>
        <w:rPr>
          <w:spacing w:val="7"/>
        </w:rPr>
        <w:t>跨部门的联合监测、预报工作，提出气象灾害</w:t>
      </w:r>
      <w:r>
        <w:rPr>
          <w:spacing w:val="-2"/>
        </w:rPr>
        <w:t>防御措施，为组织防御气象灾害提供决策依据；</w:t>
      </w:r>
    </w:p>
    <w:p>
      <w:pPr>
        <w:pStyle w:val="BodyText"/>
        <w:ind w:left="1" w:right="78" w:firstLine="419"/>
        <w:spacing w:before="147" w:line="292" w:lineRule="auto"/>
        <w:rPr/>
      </w:pPr>
      <w:r>
        <w:rPr>
          <w:spacing w:val="6"/>
        </w:rPr>
        <w:t>4.负责重大活动、较大及以上灾害事故的</w:t>
      </w:r>
      <w:r>
        <w:rPr>
          <w:spacing w:val="7"/>
        </w:rPr>
        <w:t>气象保障工作。为较大及以上灾害事故应急处</w:t>
      </w:r>
    </w:p>
    <w:p>
      <w:pPr>
        <w:spacing w:line="292" w:lineRule="auto"/>
        <w:sectPr>
          <w:type w:val="continuous"/>
          <w:pgSz w:w="11906" w:h="16839"/>
          <w:pgMar w:top="1793" w:right="1509" w:bottom="1673" w:left="1565" w:header="1428" w:footer="1277" w:gutter="0"/>
          <w:cols w:equalWidth="0" w:num="2">
            <w:col w:w="4503" w:space="100"/>
            <w:col w:w="4229" w:space="0"/>
          </w:cols>
        </w:sectPr>
        <w:rPr/>
      </w:pPr>
    </w:p>
    <w:p>
      <w:pPr>
        <w:spacing w:before="31"/>
        <w:rPr/>
      </w:pPr>
      <w:r>
        <w:drawing>
          <wp:anchor distT="0" distB="0" distL="0" distR="0" simplePos="0" relativeHeight="25198592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920" name="IM 920"/>
            <wp:cNvGraphicFramePr/>
            <a:graphic>
              <a:graphicData uri="http://schemas.openxmlformats.org/drawingml/2006/picture">
                <pic:pic>
                  <pic:nvPicPr>
                    <pic:cNvPr id="920" name="IM 920"/>
                    <pic:cNvPicPr/>
                  </pic:nvPicPr>
                  <pic:blipFill>
                    <a:blip r:embed="rId462"/>
                    <a:stretch>
                      <a:fillRect/>
                    </a:stretch>
                  </pic:blipFill>
                  <pic:spPr>
                    <a:xfrm rot="0">
                      <a:off x="0" y="0"/>
                      <a:ext cx="5579745" cy="7620"/>
                    </a:xfrm>
                    <a:prstGeom prst="rect">
                      <a:avLst/>
                    </a:prstGeom>
                  </pic:spPr>
                </pic:pic>
              </a:graphicData>
            </a:graphic>
          </wp:anchor>
        </w:drawing>
      </w:r>
      <w:r/>
    </w:p>
    <w:p>
      <w:pPr>
        <w:sectPr>
          <w:headerReference w:type="default" r:id="rId460"/>
          <w:footerReference w:type="default" r:id="rId461"/>
          <w:pgSz w:w="11906" w:h="16839"/>
          <w:pgMar w:top="1766" w:right="1526" w:bottom="1570" w:left="1579" w:header="1418" w:footer="1172" w:gutter="0"/>
          <w:cols w:equalWidth="0" w:num="1">
            <w:col w:w="8801" w:space="0"/>
          </w:cols>
        </w:sectPr>
        <w:rPr/>
      </w:pPr>
    </w:p>
    <w:p>
      <w:pPr>
        <w:pStyle w:val="BodyText"/>
        <w:ind w:left="16" w:right="330" w:hanging="1"/>
        <w:spacing w:before="41" w:line="358" w:lineRule="auto"/>
        <w:rPr/>
      </w:pPr>
      <w:r>
        <w:rPr>
          <w:spacing w:val="7"/>
        </w:rPr>
        <w:t>置提供应急气象服务，必要时派专人进驻市应</w:t>
      </w:r>
      <w:r>
        <w:rPr>
          <w:spacing w:val="8"/>
        </w:rPr>
        <w:t>急指挥部或灾害现场开展气象保障服务；</w:t>
      </w:r>
    </w:p>
    <w:p>
      <w:pPr>
        <w:pStyle w:val="BodyText"/>
        <w:ind w:left="18" w:right="328" w:firstLine="417"/>
        <w:spacing w:line="293" w:lineRule="auto"/>
        <w:rPr/>
      </w:pPr>
      <w:r>
        <w:rPr>
          <w:spacing w:val="6"/>
        </w:rPr>
        <w:t>5.及时与上级有关部门沟通协调，发生灾</w:t>
      </w:r>
      <w:r>
        <w:rPr>
          <w:spacing w:val="8"/>
        </w:rPr>
        <w:t>害时提供灾区遥感影像图；</w:t>
      </w:r>
    </w:p>
    <w:p>
      <w:pPr>
        <w:pStyle w:val="BodyText"/>
        <w:ind w:left="13" w:right="328" w:firstLine="422"/>
        <w:spacing w:before="144" w:line="316" w:lineRule="auto"/>
        <w:rPr/>
      </w:pPr>
      <w:r>
        <w:rPr>
          <w:spacing w:val="6"/>
        </w:rPr>
        <w:t>6.在本级政府的领导和协调下，及时开展</w:t>
      </w:r>
      <w:r>
        <w:rPr>
          <w:spacing w:val="7"/>
        </w:rPr>
        <w:t>森林和草原防火灭火、重大干旱灾害和人工影</w:t>
      </w:r>
      <w:r>
        <w:rPr>
          <w:spacing w:val="8"/>
        </w:rPr>
        <w:t>响天气服务工作；</w:t>
      </w:r>
    </w:p>
    <w:p>
      <w:pPr>
        <w:pStyle w:val="BodyText"/>
        <w:ind w:left="12" w:right="266" w:firstLine="420"/>
        <w:spacing w:before="143" w:line="327" w:lineRule="auto"/>
        <w:rPr/>
      </w:pPr>
      <w:r>
        <w:rPr>
          <w:spacing w:val="-1"/>
        </w:rPr>
        <w:t>7.负责雷电监测预警、雷电灾害调查鉴定，</w:t>
      </w:r>
      <w:r>
        <w:rPr>
          <w:spacing w:val="7"/>
        </w:rPr>
        <w:t>易燃易爆场所雷电防护装置安全监管；易燃易</w:t>
      </w:r>
      <w:r>
        <w:rPr>
          <w:spacing w:val="18"/>
        </w:rPr>
        <w:t>爆场所等特殊领域的雷电防护装置设计审核</w:t>
      </w:r>
      <w:r>
        <w:rPr>
          <w:spacing w:val="7"/>
        </w:rPr>
        <w:t>和竣工验收；</w:t>
      </w:r>
    </w:p>
    <w:p>
      <w:pPr>
        <w:pStyle w:val="BodyText"/>
        <w:ind w:left="14" w:right="328" w:firstLine="423"/>
        <w:spacing w:before="145" w:line="295" w:lineRule="auto"/>
        <w:rPr/>
      </w:pPr>
      <w:r>
        <w:rPr>
          <w:spacing w:val="6"/>
        </w:rPr>
        <w:t>8.建立气象服务专家库，及时有效应对气</w:t>
      </w:r>
      <w:r>
        <w:rPr>
          <w:spacing w:val="6"/>
        </w:rPr>
        <w:t>象灾害。</w:t>
      </w:r>
    </w:p>
    <w:p>
      <w:pPr>
        <w:pStyle w:val="BodyText"/>
        <w:ind w:left="424"/>
        <w:spacing w:before="154" w:line="277" w:lineRule="exact"/>
        <w:rPr/>
      </w:pPr>
      <w:r>
        <w:rPr>
          <w:spacing w:val="10"/>
          <w:position w:val="1"/>
        </w:rPr>
        <w:t>（二）地震部门</w:t>
      </w:r>
    </w:p>
    <w:p>
      <w:pPr>
        <w:pStyle w:val="BodyText"/>
        <w:ind w:left="12" w:right="328" w:firstLine="439"/>
        <w:spacing w:before="118" w:line="297" w:lineRule="auto"/>
        <w:rPr/>
      </w:pPr>
      <w:r>
        <w:rPr>
          <w:spacing w:val="5"/>
        </w:rPr>
        <w:t>1.承担本级抗震救灾指挥部办公室日常工</w:t>
      </w:r>
      <w:r>
        <w:rPr>
          <w:spacing w:val="9"/>
        </w:rPr>
        <w:t>作，指导和协调本地区日常防震减灾工作；</w:t>
      </w:r>
    </w:p>
    <w:p>
      <w:pPr>
        <w:pStyle w:val="BodyText"/>
        <w:ind w:left="13" w:right="328" w:firstLine="421"/>
        <w:spacing w:before="149" w:line="297" w:lineRule="auto"/>
        <w:rPr/>
      </w:pPr>
      <w:r>
        <w:rPr>
          <w:spacing w:val="6"/>
        </w:rPr>
        <w:t>2.开展震情监视跟踪工作，实时共享震情</w:t>
      </w:r>
      <w:r>
        <w:rPr>
          <w:spacing w:val="4"/>
        </w:rPr>
        <w:t>信息；</w:t>
      </w:r>
    </w:p>
    <w:p>
      <w:pPr>
        <w:pStyle w:val="BodyText"/>
        <w:ind w:left="12" w:right="330" w:firstLine="425"/>
        <w:spacing w:before="150" w:line="331" w:lineRule="auto"/>
        <w:rPr/>
      </w:pPr>
      <w:r>
        <w:rPr>
          <w:spacing w:val="17"/>
        </w:rPr>
        <w:t>3.依托自治区建立专业救援队伍和专家</w:t>
      </w:r>
      <w:r>
        <w:rPr>
          <w:spacing w:val="7"/>
        </w:rPr>
        <w:t>库，及时派出专家组参与地震应急抢险救援工</w:t>
      </w:r>
      <w:r>
        <w:rPr>
          <w:spacing w:val="7"/>
        </w:rPr>
        <w:t>作，开展地震现场流动监测、异常核实、烈度</w:t>
      </w:r>
      <w:r>
        <w:rPr>
          <w:spacing w:val="9"/>
        </w:rPr>
        <w:t>调查、余震趋势研判，提出震情研判意见；</w:t>
      </w:r>
    </w:p>
    <w:p>
      <w:pPr>
        <w:pStyle w:val="BodyText"/>
        <w:ind w:left="11" w:right="328" w:firstLine="420"/>
        <w:spacing w:before="149" w:line="294" w:lineRule="auto"/>
        <w:rPr/>
      </w:pPr>
      <w:r>
        <w:rPr>
          <w:spacing w:val="6"/>
        </w:rPr>
        <w:t>4.协助开展地震灾情收集和地震灾害调查</w:t>
      </w:r>
      <w:r>
        <w:rPr>
          <w:spacing w:val="7"/>
        </w:rPr>
        <w:t>评估工作。</w:t>
      </w:r>
    </w:p>
    <w:p>
      <w:pPr>
        <w:pStyle w:val="BodyText"/>
        <w:ind w:left="424"/>
        <w:spacing w:before="154" w:line="277" w:lineRule="exact"/>
        <w:rPr/>
      </w:pPr>
      <w:r>
        <w:rPr>
          <w:spacing w:val="10"/>
          <w:position w:val="1"/>
        </w:rPr>
        <w:t>（三）固原军分区、武警固原支队</w:t>
      </w:r>
    </w:p>
    <w:p>
      <w:pPr>
        <w:pStyle w:val="BodyText"/>
        <w:ind w:left="14" w:right="328" w:firstLine="437"/>
        <w:spacing w:before="119" w:line="320" w:lineRule="auto"/>
        <w:rPr/>
      </w:pPr>
      <w:r>
        <w:rPr>
          <w:spacing w:val="5"/>
        </w:rPr>
        <w:t>1.将固原市基干民兵、武警固原支队纳入</w:t>
      </w:r>
      <w:r>
        <w:rPr>
          <w:spacing w:val="7"/>
        </w:rPr>
        <w:t>全市救援力量体系。协调军队、武警和民兵组</w:t>
      </w:r>
      <w:r>
        <w:rPr>
          <w:spacing w:val="9"/>
        </w:rPr>
        <w:t>织参加自然灾害的应急救援和处置工作；</w:t>
      </w:r>
    </w:p>
    <w:p>
      <w:pPr>
        <w:pStyle w:val="BodyText"/>
        <w:ind w:left="434"/>
        <w:spacing w:before="148" w:line="278" w:lineRule="exact"/>
        <w:rPr/>
      </w:pPr>
      <w:r>
        <w:rPr>
          <w:spacing w:val="5"/>
          <w:position w:val="1"/>
        </w:rPr>
        <w:t>2.负责受灾人员的解救、转移和疏散；</w:t>
      </w:r>
    </w:p>
    <w:p>
      <w:pPr>
        <w:pStyle w:val="BodyText"/>
        <w:ind w:left="438"/>
        <w:spacing w:before="118" w:line="278" w:lineRule="exact"/>
        <w:rPr/>
      </w:pPr>
      <w:r>
        <w:rPr>
          <w:spacing w:val="4"/>
          <w:position w:val="1"/>
        </w:rPr>
        <w:t>3.抢救、运送重要救灾应急物资；</w:t>
      </w:r>
    </w:p>
    <w:p>
      <w:pPr>
        <w:pStyle w:val="BodyText"/>
        <w:ind w:left="14" w:right="330" w:firstLine="417"/>
        <w:spacing w:before="119" w:line="295" w:lineRule="auto"/>
        <w:rPr/>
      </w:pPr>
      <w:r>
        <w:rPr>
          <w:spacing w:val="18"/>
        </w:rPr>
        <w:t>4.参与处置因灾害事故引发的群体性事</w:t>
      </w:r>
      <w:r>
        <w:rPr>
          <w:spacing w:val="8"/>
        </w:rPr>
        <w:t>件，维护灾区社会稳定。</w:t>
      </w:r>
    </w:p>
    <w:p>
      <w:pPr>
        <w:pStyle w:val="BodyText"/>
        <w:ind w:left="424"/>
        <w:spacing w:before="152" w:line="277" w:lineRule="exact"/>
        <w:rPr/>
      </w:pPr>
      <w:r>
        <w:rPr>
          <w:spacing w:val="4"/>
          <w:position w:val="1"/>
        </w:rPr>
        <w:t>（</w:t>
      </w:r>
      <w:r>
        <w:rPr>
          <w:spacing w:val="-44"/>
          <w:position w:val="1"/>
        </w:rPr>
        <w:t xml:space="preserve"> </w:t>
      </w:r>
      <w:r>
        <w:rPr>
          <w:spacing w:val="4"/>
          <w:position w:val="1"/>
        </w:rPr>
        <w:t>四）消防救援部门</w:t>
      </w:r>
    </w:p>
    <w:p>
      <w:pPr>
        <w:spacing w:line="14" w:lineRule="auto"/>
        <w:rPr>
          <w:rFonts w:ascii="Arial"/>
          <w:sz w:val="2"/>
        </w:rPr>
      </w:pPr>
      <w:r>
        <w:rPr>
          <w:rFonts w:ascii="Arial" w:hAnsi="Arial" w:eastAsia="Arial" w:cs="Arial"/>
          <w:sz w:val="2"/>
          <w:szCs w:val="2"/>
        </w:rPr>
        <w:br w:type="column"/>
      </w:r>
    </w:p>
    <w:p>
      <w:pPr>
        <w:pStyle w:val="BodyText"/>
        <w:ind w:left="1" w:right="62" w:firstLine="437"/>
        <w:spacing w:before="40" w:line="320" w:lineRule="auto"/>
        <w:rPr/>
      </w:pPr>
      <w:r>
        <w:rPr>
          <w:spacing w:val="5"/>
        </w:rPr>
        <w:t>1.承担城乡综合性消防救援工作，负责指</w:t>
      </w:r>
      <w:r>
        <w:rPr>
          <w:spacing w:val="7"/>
        </w:rPr>
        <w:t>挥调度相关灾害事故救援行动、重要会议及大</w:t>
      </w:r>
      <w:r>
        <w:rPr>
          <w:spacing w:val="8"/>
        </w:rPr>
        <w:t>型活动消防安全保卫工作；</w:t>
      </w:r>
    </w:p>
    <w:p>
      <w:pPr>
        <w:pStyle w:val="BodyText"/>
        <w:ind w:right="62" w:firstLine="421"/>
        <w:spacing w:before="148" w:line="331" w:lineRule="auto"/>
        <w:rPr/>
      </w:pPr>
      <w:r>
        <w:rPr>
          <w:spacing w:val="6"/>
        </w:rPr>
        <w:t>2.承担火灾预防、消防监督执法、火灾扑</w:t>
      </w:r>
      <w:r>
        <w:rPr>
          <w:spacing w:val="7"/>
        </w:rPr>
        <w:t>救以及火灾事故调查处理相关工作，依法行使</w:t>
      </w:r>
      <w:r>
        <w:rPr>
          <w:spacing w:val="7"/>
        </w:rPr>
        <w:t>消防安全综合监管职能，推动行业部门落实消</w:t>
      </w:r>
      <w:r>
        <w:rPr>
          <w:spacing w:val="7"/>
        </w:rPr>
        <w:t>防安全责任制；</w:t>
      </w:r>
    </w:p>
    <w:p>
      <w:pPr>
        <w:pStyle w:val="BodyText"/>
        <w:ind w:right="62" w:firstLine="425"/>
        <w:spacing w:before="148" w:line="320" w:lineRule="auto"/>
        <w:rPr/>
      </w:pPr>
      <w:r>
        <w:rPr>
          <w:spacing w:val="6"/>
        </w:rPr>
        <w:t>3.参与拟订消防专项规划，参与起草地方</w:t>
      </w:r>
      <w:r>
        <w:rPr>
          <w:spacing w:val="7"/>
        </w:rPr>
        <w:t>性消防法规、规章草案和火灾事故应急预案并</w:t>
      </w:r>
      <w:r>
        <w:rPr>
          <w:spacing w:val="6"/>
        </w:rPr>
        <w:t>监督实施；</w:t>
      </w:r>
    </w:p>
    <w:p>
      <w:pPr>
        <w:pStyle w:val="BodyText"/>
        <w:ind w:left="7" w:right="62" w:firstLine="411"/>
        <w:spacing w:before="148" w:line="297" w:lineRule="auto"/>
        <w:rPr/>
      </w:pPr>
      <w:r>
        <w:rPr>
          <w:spacing w:val="6"/>
        </w:rPr>
        <w:t>4.负责消防安全宣传教育，组织指导社会</w:t>
      </w:r>
      <w:r>
        <w:rPr>
          <w:spacing w:val="6"/>
        </w:rPr>
        <w:t>消防力量建设；</w:t>
      </w:r>
    </w:p>
    <w:p>
      <w:pPr>
        <w:pStyle w:val="BodyText"/>
        <w:ind w:right="62" w:firstLine="422"/>
        <w:spacing w:before="147" w:line="319" w:lineRule="auto"/>
        <w:rPr/>
      </w:pPr>
      <w:r>
        <w:rPr>
          <w:spacing w:val="6"/>
        </w:rPr>
        <w:t>5.负责消防应急救援专业队伍规划、建设</w:t>
      </w:r>
      <w:r>
        <w:rPr>
          <w:spacing w:val="7"/>
        </w:rPr>
        <w:t>与调度指挥，参与组织协调动员各类社会救援</w:t>
      </w:r>
      <w:r>
        <w:rPr>
          <w:spacing w:val="8"/>
        </w:rPr>
        <w:t>力量参加救援任务。</w:t>
      </w:r>
    </w:p>
    <w:p>
      <w:pPr>
        <w:pStyle w:val="BodyText"/>
        <w:ind w:left="1" w:right="64" w:firstLine="410"/>
        <w:spacing w:before="153" w:line="348" w:lineRule="auto"/>
        <w:rPr/>
      </w:pPr>
      <w:r>
        <w:rPr>
          <w:spacing w:val="7"/>
        </w:rPr>
        <w:t>（五）西部机场集团宁夏机场有限公司固</w:t>
      </w:r>
      <w:r>
        <w:rPr>
          <w:spacing w:val="8"/>
        </w:rPr>
        <w:t>原分公司</w:t>
      </w:r>
    </w:p>
    <w:p>
      <w:pPr>
        <w:pStyle w:val="BodyText"/>
        <w:ind w:left="2" w:right="62" w:firstLine="437"/>
        <w:spacing w:before="37" w:line="297" w:lineRule="auto"/>
        <w:rPr/>
      </w:pPr>
      <w:r>
        <w:rPr>
          <w:spacing w:val="5"/>
        </w:rPr>
        <w:t>1.组织编修机场生产安全事故相关应急预</w:t>
      </w:r>
      <w:r>
        <w:rPr>
          <w:spacing w:val="8"/>
        </w:rPr>
        <w:t>案，并组织开展应急演练；</w:t>
      </w:r>
    </w:p>
    <w:p>
      <w:pPr>
        <w:pStyle w:val="BodyText"/>
        <w:ind w:left="2" w:right="62" w:firstLine="420"/>
        <w:spacing w:before="148" w:line="297" w:lineRule="auto"/>
        <w:rPr/>
      </w:pPr>
      <w:r>
        <w:rPr>
          <w:spacing w:val="6"/>
        </w:rPr>
        <w:t>2.协助做好应急救灾人员购票、安检、登</w:t>
      </w:r>
      <w:r>
        <w:rPr>
          <w:spacing w:val="8"/>
        </w:rPr>
        <w:t>机和临时休息场所等相关事宜；</w:t>
      </w:r>
    </w:p>
    <w:p>
      <w:pPr>
        <w:pStyle w:val="BodyText"/>
        <w:ind w:left="2" w:firstLine="423"/>
        <w:spacing w:before="149" w:line="297" w:lineRule="auto"/>
        <w:rPr/>
      </w:pPr>
      <w:r>
        <w:rPr>
          <w:spacing w:val="-1"/>
        </w:rPr>
        <w:t>3.协助做好救灾物资进出场、装载等工作，</w:t>
      </w:r>
      <w:r>
        <w:rPr>
          <w:spacing w:val="8"/>
        </w:rPr>
        <w:t>确保救灾物资快速运输；</w:t>
      </w:r>
    </w:p>
    <w:p>
      <w:pPr>
        <w:pStyle w:val="BodyText"/>
        <w:ind w:right="61" w:firstLine="418"/>
        <w:spacing w:before="148" w:line="295" w:lineRule="auto"/>
        <w:rPr/>
      </w:pPr>
      <w:r>
        <w:rPr>
          <w:spacing w:val="-4"/>
        </w:rPr>
        <w:t>4.开通“绿色通道”，优先保障、优先放行</w:t>
      </w:r>
      <w:r>
        <w:rPr>
          <w:spacing w:val="8"/>
        </w:rPr>
        <w:t>救援物资和人员的航空应急运输。</w:t>
      </w:r>
    </w:p>
    <w:p>
      <w:pPr>
        <w:pStyle w:val="BodyText"/>
        <w:ind w:left="6" w:right="64" w:firstLine="405"/>
        <w:spacing w:before="154" w:line="346" w:lineRule="auto"/>
        <w:rPr/>
      </w:pPr>
      <w:r>
        <w:rPr>
          <w:spacing w:val="7"/>
        </w:rPr>
        <w:t>（六）中国铁路兰州局集团有限公司固原</w:t>
      </w:r>
      <w:r>
        <w:rPr>
          <w:spacing w:val="6"/>
        </w:rPr>
        <w:t>车务段</w:t>
      </w:r>
    </w:p>
    <w:p>
      <w:pPr>
        <w:pStyle w:val="BodyText"/>
        <w:ind w:left="4" w:right="62" w:firstLine="434"/>
        <w:spacing w:before="42" w:line="320" w:lineRule="auto"/>
        <w:rPr/>
      </w:pPr>
      <w:r>
        <w:rPr>
          <w:spacing w:val="5"/>
        </w:rPr>
        <w:t>1.协助做好应急救灾人员购票、进站、上</w:t>
      </w:r>
      <w:r>
        <w:rPr>
          <w:spacing w:val="7"/>
        </w:rPr>
        <w:t>车等相关事宜，紧急情况下协助办理进站“绿</w:t>
      </w:r>
      <w:r>
        <w:rPr>
          <w:spacing w:val="3"/>
        </w:rPr>
        <w:t>色通道”，优先安排应急救灾人员乘坐；</w:t>
      </w:r>
    </w:p>
    <w:p>
      <w:pPr>
        <w:pStyle w:val="BodyText"/>
        <w:ind w:left="1" w:right="62" w:firstLine="420"/>
        <w:spacing w:before="149" w:line="308" w:lineRule="auto"/>
        <w:rPr/>
      </w:pPr>
      <w:r>
        <w:rPr>
          <w:spacing w:val="6"/>
        </w:rPr>
        <w:t>2.发生重大、特别重大突发事件，应急救</w:t>
      </w:r>
      <w:r>
        <w:rPr>
          <w:spacing w:val="15"/>
        </w:rPr>
        <w:t>灾人员较多</w:t>
      </w:r>
      <w:r>
        <w:rPr>
          <w:spacing w:val="-42"/>
        </w:rPr>
        <w:t xml:space="preserve"> </w:t>
      </w:r>
      <w:r>
        <w:rPr>
          <w:spacing w:val="15"/>
        </w:rPr>
        <w:t>，列车难以满足乘车需求的情况</w:t>
      </w:r>
      <w:r>
        <w:rPr>
          <w:spacing w:val="8"/>
        </w:rPr>
        <w:t>下，协调解决救灾人员乘车问题；</w:t>
      </w:r>
    </w:p>
    <w:p>
      <w:pPr>
        <w:spacing w:line="308" w:lineRule="auto"/>
        <w:sectPr>
          <w:type w:val="continuous"/>
          <w:pgSz w:w="11906" w:h="16839"/>
          <w:pgMar w:top="1766" w:right="1526" w:bottom="1570" w:left="1579" w:header="1418" w:footer="1172" w:gutter="0"/>
          <w:cols w:equalWidth="0" w:num="2">
            <w:col w:w="4490" w:space="100"/>
            <w:col w:w="4211" w:space="0"/>
          </w:cols>
        </w:sectPr>
        <w:rPr/>
      </w:pPr>
    </w:p>
    <w:p>
      <w:pPr>
        <w:spacing w:before="25"/>
        <w:rPr/>
      </w:pPr>
      <w:r>
        <w:drawing>
          <wp:anchor distT="0" distB="0" distL="0" distR="0" simplePos="0" relativeHeight="251987968"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926" name="IM 926"/>
            <wp:cNvGraphicFramePr/>
            <a:graphic>
              <a:graphicData uri="http://schemas.openxmlformats.org/drawingml/2006/picture">
                <pic:pic>
                  <pic:nvPicPr>
                    <pic:cNvPr id="926" name="IM 926"/>
                    <pic:cNvPicPr/>
                  </pic:nvPicPr>
                  <pic:blipFill>
                    <a:blip r:embed="rId465"/>
                    <a:stretch>
                      <a:fillRect/>
                    </a:stretch>
                  </pic:blipFill>
                  <pic:spPr>
                    <a:xfrm rot="0">
                      <a:off x="0" y="0"/>
                      <a:ext cx="5579745" cy="7619"/>
                    </a:xfrm>
                    <a:prstGeom prst="rect">
                      <a:avLst/>
                    </a:prstGeom>
                  </pic:spPr>
                </pic:pic>
              </a:graphicData>
            </a:graphic>
          </wp:anchor>
        </w:drawing>
      </w:r>
      <w:r/>
    </w:p>
    <w:p>
      <w:pPr>
        <w:sectPr>
          <w:headerReference w:type="default" r:id="rId463"/>
          <w:footerReference w:type="default" r:id="rId464"/>
          <w:pgSz w:w="11906" w:h="16839"/>
          <w:pgMar w:top="1793" w:right="1514" w:bottom="1673" w:left="1565" w:header="1428" w:footer="1277" w:gutter="0"/>
          <w:cols w:equalWidth="0" w:num="1">
            <w:col w:w="8827" w:space="0"/>
          </w:cols>
        </w:sectPr>
        <w:rPr/>
      </w:pPr>
    </w:p>
    <w:p>
      <w:pPr>
        <w:pStyle w:val="BodyText"/>
        <w:ind w:left="28" w:right="281" w:firstLine="424"/>
        <w:spacing w:before="46" w:line="345" w:lineRule="auto"/>
        <w:jc w:val="both"/>
        <w:rPr/>
      </w:pPr>
      <w:r>
        <w:rPr>
          <w:spacing w:val="3"/>
        </w:rPr>
        <w:t>3.根据应急救灾物资请车数量和运输清单,</w:t>
      </w:r>
      <w:r>
        <w:rPr>
          <w:spacing w:val="12"/>
        </w:rPr>
        <w:t>调配应急救灾物资运输所需车辆,并组织装车</w:t>
      </w:r>
      <w:r>
        <w:rPr>
          <w:spacing w:val="4"/>
        </w:rPr>
        <w:t>发运。</w:t>
      </w:r>
    </w:p>
    <w:p>
      <w:pPr>
        <w:pStyle w:val="BodyText"/>
        <w:ind w:left="49" w:right="327" w:firstLine="390"/>
        <w:spacing w:before="20" w:line="309" w:lineRule="auto"/>
        <w:rPr/>
      </w:pPr>
      <w:r>
        <w:rPr>
          <w:spacing w:val="7"/>
        </w:rPr>
        <w:t>（七）中国石油天然气股份有限公司宁夏</w:t>
      </w:r>
      <w:r>
        <w:rPr>
          <w:spacing w:val="6"/>
        </w:rPr>
        <w:t>固原销售分公司、中国石化销售有限公司宁夏</w:t>
      </w:r>
      <w:r>
        <w:rPr>
          <w:spacing w:val="6"/>
        </w:rPr>
        <w:t>固原石油分公司</w:t>
      </w:r>
    </w:p>
    <w:p>
      <w:pPr>
        <w:pStyle w:val="BodyText"/>
        <w:ind w:left="30" w:right="247" w:firstLine="436"/>
        <w:spacing w:before="134" w:line="291" w:lineRule="auto"/>
        <w:rPr/>
      </w:pPr>
      <w:r>
        <w:rPr>
          <w:spacing w:val="-1"/>
        </w:rPr>
        <w:t>1.根据灾情发生发展动态，储备充足的汽、</w:t>
      </w:r>
      <w:r>
        <w:rPr>
          <w:spacing w:val="7"/>
        </w:rPr>
        <w:t>柴油和燃气；</w:t>
      </w:r>
    </w:p>
    <w:p>
      <w:pPr>
        <w:pStyle w:val="BodyText"/>
        <w:ind w:left="29" w:right="325" w:firstLine="420"/>
        <w:spacing w:before="130" w:line="289" w:lineRule="auto"/>
        <w:rPr/>
      </w:pPr>
      <w:r>
        <w:rPr>
          <w:spacing w:val="6"/>
        </w:rPr>
        <w:t>2.优先保障应急抢险救援车辆、大型抢险</w:t>
      </w:r>
      <w:r>
        <w:rPr>
          <w:spacing w:val="8"/>
        </w:rPr>
        <w:t>机械和民用航空器等装备的油料供应；</w:t>
      </w:r>
    </w:p>
    <w:p>
      <w:pPr>
        <w:pStyle w:val="BodyText"/>
        <w:ind w:left="26" w:right="366" w:firstLine="426"/>
        <w:spacing w:before="135" w:line="287" w:lineRule="auto"/>
        <w:rPr/>
      </w:pPr>
      <w:r>
        <w:rPr>
          <w:spacing w:val="4"/>
        </w:rPr>
        <w:t>3.建立专业救援队伍和救援物资储备库，</w:t>
      </w:r>
      <w:r>
        <w:rPr>
          <w:spacing w:val="8"/>
        </w:rPr>
        <w:t>及时有效应对灾情。</w:t>
      </w:r>
    </w:p>
    <w:p>
      <w:pPr>
        <w:pStyle w:val="BodyText"/>
        <w:ind w:left="439"/>
        <w:spacing w:before="137" w:line="277" w:lineRule="exact"/>
        <w:rPr/>
      </w:pPr>
      <w:r>
        <w:rPr>
          <w:spacing w:val="10"/>
          <w:position w:val="1"/>
        </w:rPr>
        <w:t>（八）国家电网固原供电公司</w:t>
      </w:r>
    </w:p>
    <w:p>
      <w:pPr>
        <w:pStyle w:val="BodyText"/>
        <w:ind w:left="27" w:right="304" w:firstLine="439"/>
        <w:spacing w:before="104" w:line="289" w:lineRule="auto"/>
        <w:rPr/>
      </w:pPr>
      <w:r>
        <w:rPr>
          <w:spacing w:val="-13"/>
        </w:rPr>
        <w:t>1.及时调派发电车、发电机等设备保障应急救</w:t>
      </w:r>
      <w:r>
        <w:rPr>
          <w:spacing w:val="-8"/>
        </w:rPr>
        <w:t>援电力供应；</w:t>
      </w:r>
    </w:p>
    <w:p>
      <w:pPr>
        <w:pStyle w:val="BodyText"/>
        <w:ind w:left="38" w:right="325" w:firstLine="411"/>
        <w:spacing w:before="133" w:line="291" w:lineRule="auto"/>
        <w:rPr/>
      </w:pPr>
      <w:r>
        <w:rPr>
          <w:spacing w:val="6"/>
        </w:rPr>
        <w:t>2.紧急采取应急措施，保障灾区急需的临</w:t>
      </w:r>
      <w:r>
        <w:rPr>
          <w:spacing w:val="3"/>
        </w:rPr>
        <w:t>时用电；</w:t>
      </w:r>
    </w:p>
    <w:p>
      <w:pPr>
        <w:pStyle w:val="BodyText"/>
        <w:ind w:left="26" w:right="328" w:firstLine="426"/>
        <w:spacing w:before="130" w:line="289" w:lineRule="auto"/>
        <w:rPr/>
      </w:pPr>
      <w:r>
        <w:rPr>
          <w:spacing w:val="17"/>
        </w:rPr>
        <w:t>3.迅速派出抢修队伍抢修受损的供电设</w:t>
      </w:r>
      <w:r>
        <w:rPr>
          <w:spacing w:val="8"/>
        </w:rPr>
        <w:t>施，尽快恢复灾区电力供应；</w:t>
      </w:r>
    </w:p>
    <w:p>
      <w:pPr>
        <w:pStyle w:val="BodyText"/>
        <w:ind w:left="26" w:right="366" w:firstLine="420"/>
        <w:spacing w:before="134" w:line="287" w:lineRule="auto"/>
        <w:rPr/>
      </w:pPr>
      <w:r>
        <w:rPr>
          <w:spacing w:val="4"/>
        </w:rPr>
        <w:t>4.建立专业救援队伍和救援物资储备库，</w:t>
      </w:r>
      <w:r>
        <w:rPr>
          <w:spacing w:val="8"/>
        </w:rPr>
        <w:t>及时有效应对灾情。</w:t>
      </w:r>
    </w:p>
    <w:p>
      <w:pPr>
        <w:pStyle w:val="BodyText"/>
        <w:ind w:left="28" w:right="327" w:firstLine="410"/>
        <w:spacing w:before="139" w:line="347" w:lineRule="auto"/>
        <w:jc w:val="both"/>
        <w:rPr/>
      </w:pPr>
      <w:r>
        <w:rPr>
          <w:spacing w:val="7"/>
        </w:rPr>
        <w:t>（九）中国移动固原分公司、中国联通固</w:t>
      </w:r>
      <w:r>
        <w:rPr>
          <w:spacing w:val="7"/>
        </w:rPr>
        <w:t>原分公司、中国电信固原分公司、中国铁塔固</w:t>
      </w:r>
      <w:r>
        <w:rPr>
          <w:spacing w:val="8"/>
        </w:rPr>
        <w:t>原分公司</w:t>
      </w:r>
    </w:p>
    <w:p>
      <w:pPr>
        <w:pStyle w:val="BodyText"/>
        <w:ind w:left="27" w:right="255" w:firstLine="439"/>
        <w:spacing w:before="10" w:line="290" w:lineRule="auto"/>
        <w:rPr/>
      </w:pPr>
      <w:r>
        <w:rPr>
          <w:spacing w:val="5"/>
        </w:rPr>
        <w:t>1.建立应急通信保障工作机制，及时启动</w:t>
      </w:r>
      <w:r>
        <w:rPr>
          <w:spacing w:val="-9"/>
        </w:rPr>
        <w:t>应急通信保障预案，提供应急救援通信保障服务；</w:t>
      </w:r>
    </w:p>
    <w:p>
      <w:pPr>
        <w:pStyle w:val="BodyText"/>
        <w:ind w:left="28" w:right="327" w:firstLine="420"/>
        <w:spacing w:before="134" w:line="310" w:lineRule="auto"/>
        <w:rPr/>
      </w:pPr>
      <w:r>
        <w:rPr>
          <w:spacing w:val="17"/>
        </w:rPr>
        <w:t>2.及时掌握灾区通信基站分布和受损情</w:t>
      </w:r>
      <w:r>
        <w:rPr>
          <w:spacing w:val="7"/>
        </w:rPr>
        <w:t>况，组织抢修损毁通信设施，确保灾区通信快</w:t>
      </w:r>
      <w:r>
        <w:rPr>
          <w:spacing w:val="6"/>
        </w:rPr>
        <w:t>速恢复；</w:t>
      </w:r>
    </w:p>
    <w:p>
      <w:pPr>
        <w:pStyle w:val="BodyText"/>
        <w:ind w:left="452"/>
        <w:spacing w:before="131" w:line="278" w:lineRule="exact"/>
        <w:rPr/>
      </w:pPr>
      <w:r>
        <w:rPr>
          <w:spacing w:val="5"/>
          <w:position w:val="1"/>
        </w:rPr>
        <w:t>3.做好防灾减灾救灾公益短信发送工作；</w:t>
      </w:r>
    </w:p>
    <w:p>
      <w:pPr>
        <w:pStyle w:val="BodyText"/>
        <w:ind w:left="32" w:right="325" w:firstLine="413"/>
        <w:spacing w:before="102" w:line="290" w:lineRule="auto"/>
        <w:rPr/>
      </w:pPr>
      <w:r>
        <w:rPr>
          <w:spacing w:val="6"/>
        </w:rPr>
        <w:t>4.运用大数据技术，提升应急预警信息发</w:t>
      </w:r>
      <w:r>
        <w:rPr>
          <w:spacing w:val="4"/>
        </w:rPr>
        <w:t>布能力；</w:t>
      </w:r>
    </w:p>
    <w:p>
      <w:pPr>
        <w:pStyle w:val="BodyText"/>
        <w:ind w:left="26" w:right="327" w:firstLine="423"/>
        <w:spacing w:before="132" w:line="286" w:lineRule="auto"/>
        <w:rPr/>
      </w:pPr>
      <w:r>
        <w:rPr>
          <w:spacing w:val="6"/>
        </w:rPr>
        <w:t>5.建立专业救援队伍和救援物资储备库，</w:t>
      </w:r>
      <w:r>
        <w:rPr>
          <w:spacing w:val="18"/>
        </w:rPr>
        <w:t>及时派出应急通信队伍和应急通信车辆赶赴</w:t>
      </w:r>
    </w:p>
    <w:p>
      <w:pPr>
        <w:spacing w:line="14" w:lineRule="auto"/>
        <w:rPr>
          <w:rFonts w:ascii="Arial"/>
          <w:sz w:val="2"/>
        </w:rPr>
      </w:pPr>
      <w:r>
        <w:rPr>
          <w:rFonts w:ascii="Arial" w:hAnsi="Arial" w:eastAsia="Arial" w:cs="Arial"/>
          <w:sz w:val="2"/>
          <w:szCs w:val="2"/>
        </w:rPr>
        <w:br w:type="column"/>
      </w:r>
    </w:p>
    <w:p>
      <w:pPr>
        <w:pStyle w:val="BodyText"/>
        <w:ind w:left="3"/>
        <w:spacing w:before="49" w:line="226" w:lineRule="auto"/>
        <w:rPr/>
      </w:pPr>
      <w:r>
        <w:rPr>
          <w:spacing w:val="8"/>
        </w:rPr>
        <w:t>灾区，保障应急通信畅通；</w:t>
      </w:r>
    </w:p>
    <w:p>
      <w:pPr>
        <w:pStyle w:val="BodyText"/>
        <w:ind w:left="4" w:right="74" w:firstLine="420"/>
        <w:spacing w:before="133" w:line="289" w:lineRule="auto"/>
        <w:rPr/>
      </w:pPr>
      <w:r>
        <w:rPr>
          <w:spacing w:val="6"/>
        </w:rPr>
        <w:t>6.快速恢复灾区受损铁塔，同时派发应急</w:t>
      </w:r>
      <w:r>
        <w:rPr>
          <w:spacing w:val="8"/>
        </w:rPr>
        <w:t>发电车，确保通信基站设备供电正常；</w:t>
      </w:r>
    </w:p>
    <w:p>
      <w:pPr>
        <w:pStyle w:val="BodyText"/>
        <w:ind w:left="3" w:right="74" w:firstLine="420"/>
        <w:spacing w:before="133" w:line="290" w:lineRule="auto"/>
        <w:rPr/>
      </w:pPr>
      <w:r>
        <w:rPr>
          <w:spacing w:val="6"/>
        </w:rPr>
        <w:t>7.开通免费报平安电话和寻亲热线，帮助</w:t>
      </w:r>
      <w:r>
        <w:rPr>
          <w:spacing w:val="8"/>
        </w:rPr>
        <w:t>受灾人员与亲友联系；</w:t>
      </w:r>
    </w:p>
    <w:p>
      <w:pPr>
        <w:pStyle w:val="BodyText"/>
        <w:ind w:left="4" w:firstLine="422"/>
        <w:spacing w:before="130" w:line="309" w:lineRule="auto"/>
        <w:rPr/>
      </w:pPr>
      <w:r>
        <w:rPr>
          <w:spacing w:val="6"/>
        </w:rPr>
        <w:t>8.发生地震、泥石流、洪水等灾害致使灾</w:t>
      </w:r>
      <w:r>
        <w:rPr>
          <w:spacing w:val="-9"/>
        </w:rPr>
        <w:t>区传输光缆受损严重时，快速建立卫星传输通道，</w:t>
      </w:r>
      <w:r>
        <w:rPr>
          <w:spacing w:val="-10"/>
        </w:rPr>
        <w:t>确保灾区与外部通话畅通。</w:t>
      </w:r>
    </w:p>
    <w:p>
      <w:pPr>
        <w:pStyle w:val="BodyText"/>
        <w:ind w:left="414"/>
        <w:spacing w:before="137" w:line="277" w:lineRule="exact"/>
        <w:rPr/>
      </w:pPr>
      <w:r>
        <w:rPr>
          <w:spacing w:val="10"/>
          <w:position w:val="1"/>
        </w:rPr>
        <w:t>（十）六盘山林业局</w:t>
      </w:r>
    </w:p>
    <w:p>
      <w:pPr>
        <w:pStyle w:val="BodyText"/>
        <w:ind w:left="3" w:right="74" w:firstLine="437"/>
        <w:spacing w:before="103" w:line="310" w:lineRule="auto"/>
        <w:rPr/>
      </w:pPr>
      <w:r>
        <w:rPr>
          <w:spacing w:val="5"/>
        </w:rPr>
        <w:t>1.负责六盘山自然保护区范围内森林和草</w:t>
      </w:r>
      <w:r>
        <w:rPr>
          <w:spacing w:val="7"/>
        </w:rPr>
        <w:t>原火灾防治工作，做好本系统、本单位防灾减</w:t>
      </w:r>
      <w:r>
        <w:rPr>
          <w:spacing w:val="7"/>
        </w:rPr>
        <w:t>灾救灾工作；</w:t>
      </w:r>
    </w:p>
    <w:p>
      <w:pPr>
        <w:pStyle w:val="BodyText"/>
        <w:ind w:right="74" w:firstLine="424"/>
        <w:spacing w:before="131" w:line="319" w:lineRule="auto"/>
        <w:rPr/>
      </w:pPr>
      <w:r>
        <w:rPr>
          <w:spacing w:val="6"/>
        </w:rPr>
        <w:t>2.协助地方政府做好森林和草原防灭火相</w:t>
      </w:r>
      <w:r>
        <w:rPr>
          <w:spacing w:val="7"/>
        </w:rPr>
        <w:t>关工作，指导农场和林（草）场做好区域内森</w:t>
      </w:r>
      <w:r>
        <w:rPr>
          <w:spacing w:val="7"/>
        </w:rPr>
        <w:t>林和草原防灭火工作，组织落实森林和草原防</w:t>
      </w:r>
      <w:r>
        <w:rPr>
          <w:spacing w:val="8"/>
        </w:rPr>
        <w:t>灭火相关工作。</w:t>
      </w:r>
    </w:p>
    <w:p>
      <w:pPr>
        <w:pStyle w:val="BodyText"/>
        <w:ind w:left="3" w:right="76" w:firstLine="410"/>
        <w:spacing w:before="140" w:line="332" w:lineRule="auto"/>
        <w:rPr/>
      </w:pPr>
      <w:r>
        <w:rPr>
          <w:spacing w:val="7"/>
        </w:rPr>
        <w:t>（十一）宁夏无线电管理委员会办公室固</w:t>
      </w:r>
      <w:r>
        <w:rPr>
          <w:spacing w:val="8"/>
        </w:rPr>
        <w:t>原市管理处</w:t>
      </w:r>
    </w:p>
    <w:p>
      <w:pPr>
        <w:pStyle w:val="BodyText"/>
        <w:ind w:left="2" w:right="76" w:firstLine="524"/>
        <w:spacing w:before="41" w:line="350" w:lineRule="auto"/>
        <w:jc w:val="both"/>
        <w:rPr/>
      </w:pPr>
      <w:r>
        <w:rPr>
          <w:spacing w:val="10"/>
        </w:rPr>
        <w:t>协调解决无线电频率需求</w:t>
      </w:r>
      <w:r>
        <w:rPr>
          <w:spacing w:val="-49"/>
        </w:rPr>
        <w:t xml:space="preserve"> </w:t>
      </w:r>
      <w:r>
        <w:rPr>
          <w:spacing w:val="10"/>
        </w:rPr>
        <w:t>，及时处置无</w:t>
      </w:r>
      <w:r>
        <w:rPr>
          <w:spacing w:val="7"/>
        </w:rPr>
        <w:t>线电干扰，确保在重大自然灾害抢险救灾活动</w:t>
      </w:r>
      <w:r>
        <w:rPr>
          <w:spacing w:val="8"/>
        </w:rPr>
        <w:t>使用无线电频率安全。</w:t>
      </w:r>
    </w:p>
    <w:p>
      <w:pPr>
        <w:pStyle w:val="BodyText"/>
        <w:ind w:left="414"/>
        <w:spacing w:line="277" w:lineRule="exact"/>
        <w:rPr/>
      </w:pPr>
      <w:r>
        <w:rPr>
          <w:spacing w:val="10"/>
          <w:position w:val="1"/>
        </w:rPr>
        <w:t>（十二）共青团组织</w:t>
      </w:r>
    </w:p>
    <w:p>
      <w:pPr>
        <w:pStyle w:val="BodyText"/>
        <w:ind w:left="8" w:right="76" w:firstLine="419"/>
        <w:spacing w:before="107" w:line="349" w:lineRule="auto"/>
        <w:rPr/>
      </w:pPr>
      <w:r>
        <w:rPr>
          <w:spacing w:val="18"/>
        </w:rPr>
        <w:t>负责支持引导志愿者等社会力量有序参</w:t>
      </w:r>
      <w:r>
        <w:rPr>
          <w:spacing w:val="8"/>
        </w:rPr>
        <w:t>与抢险救灾和灾后恢复重建等工作。</w:t>
      </w:r>
    </w:p>
    <w:p>
      <w:pPr>
        <w:pStyle w:val="BodyText"/>
        <w:ind w:left="414"/>
        <w:spacing w:line="278" w:lineRule="exact"/>
        <w:rPr/>
      </w:pPr>
      <w:r>
        <w:rPr>
          <w:spacing w:val="10"/>
          <w:position w:val="1"/>
        </w:rPr>
        <w:t>（十三）红十字系统</w:t>
      </w:r>
    </w:p>
    <w:p>
      <w:pPr>
        <w:pStyle w:val="BodyText"/>
        <w:ind w:left="3" w:right="74" w:firstLine="438"/>
        <w:spacing w:before="104" w:line="289" w:lineRule="auto"/>
        <w:rPr/>
      </w:pPr>
      <w:r>
        <w:rPr>
          <w:spacing w:val="5"/>
        </w:rPr>
        <w:t>1.制定应急预案，立足当地实际组建应急</w:t>
      </w:r>
      <w:r>
        <w:rPr>
          <w:spacing w:val="6"/>
        </w:rPr>
        <w:t>救援队伍；</w:t>
      </w:r>
    </w:p>
    <w:p>
      <w:pPr>
        <w:pStyle w:val="BodyText"/>
        <w:spacing w:before="132" w:line="278" w:lineRule="exact"/>
        <w:jc w:val="right"/>
        <w:rPr/>
      </w:pPr>
      <w:r>
        <w:rPr>
          <w:spacing w:val="-10"/>
          <w:position w:val="1"/>
        </w:rPr>
        <w:t>2.储备救灾物资，建设和管理备灾救灾设施；</w:t>
      </w:r>
    </w:p>
    <w:p>
      <w:pPr>
        <w:pStyle w:val="BodyText"/>
        <w:ind w:left="2" w:right="74" w:firstLine="425"/>
        <w:spacing w:before="103" w:line="289" w:lineRule="auto"/>
        <w:rPr/>
      </w:pPr>
      <w:r>
        <w:rPr>
          <w:spacing w:val="6"/>
        </w:rPr>
        <w:t>3.开展群众性应急救护、防灾避险和卫生</w:t>
      </w:r>
      <w:r>
        <w:rPr>
          <w:spacing w:val="8"/>
        </w:rPr>
        <w:t>健康知识的宣传、普及与培训；</w:t>
      </w:r>
    </w:p>
    <w:p>
      <w:pPr>
        <w:pStyle w:val="BodyText"/>
        <w:ind w:left="3" w:right="76" w:firstLine="417"/>
        <w:spacing w:before="133" w:line="310" w:lineRule="auto"/>
        <w:rPr/>
      </w:pPr>
      <w:r>
        <w:rPr>
          <w:spacing w:val="6"/>
        </w:rPr>
        <w:t>4.在自然灾害、事故灾难等突发事件中，</w:t>
      </w:r>
      <w:r>
        <w:rPr>
          <w:spacing w:val="7"/>
        </w:rPr>
        <w:t>调集应急救援队伍、筹集救援物资、发动红十</w:t>
      </w:r>
      <w:r>
        <w:rPr>
          <w:spacing w:val="8"/>
        </w:rPr>
        <w:t>字志愿者，开展应急救护和救助工作；</w:t>
      </w:r>
    </w:p>
    <w:p>
      <w:pPr>
        <w:pStyle w:val="BodyText"/>
        <w:ind w:left="425"/>
        <w:spacing w:before="133" w:line="221" w:lineRule="auto"/>
        <w:rPr/>
      </w:pPr>
      <w:r>
        <w:rPr>
          <w:spacing w:val="2"/>
        </w:rPr>
        <w:t>5.依法开展募捐活动；</w:t>
      </w:r>
    </w:p>
    <w:p>
      <w:pPr>
        <w:spacing w:line="221" w:lineRule="auto"/>
        <w:sectPr>
          <w:type w:val="continuous"/>
          <w:pgSz w:w="11906" w:h="16839"/>
          <w:pgMar w:top="1793" w:right="1514" w:bottom="1673" w:left="1565" w:header="1428" w:footer="1277" w:gutter="0"/>
          <w:cols w:equalWidth="0" w:num="2">
            <w:col w:w="4502" w:space="100"/>
            <w:col w:w="4226" w:space="0"/>
          </w:cols>
        </w:sectPr>
        <w:rPr/>
      </w:pPr>
    </w:p>
    <w:p>
      <w:pPr>
        <w:spacing w:before="20"/>
        <w:rPr/>
      </w:pPr>
      <w:r>
        <w:drawing>
          <wp:anchor distT="0" distB="0" distL="0" distR="0" simplePos="0" relativeHeight="251990016"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932" name="IM 932"/>
            <wp:cNvGraphicFramePr/>
            <a:graphic>
              <a:graphicData uri="http://schemas.openxmlformats.org/drawingml/2006/picture">
                <pic:pic>
                  <pic:nvPicPr>
                    <pic:cNvPr id="932" name="IM 932"/>
                    <pic:cNvPicPr/>
                  </pic:nvPicPr>
                  <pic:blipFill>
                    <a:blip r:embed="rId468"/>
                    <a:stretch>
                      <a:fillRect/>
                    </a:stretch>
                  </pic:blipFill>
                  <pic:spPr>
                    <a:xfrm rot="0">
                      <a:off x="0" y="0"/>
                      <a:ext cx="5579745" cy="7620"/>
                    </a:xfrm>
                    <a:prstGeom prst="rect">
                      <a:avLst/>
                    </a:prstGeom>
                  </pic:spPr>
                </pic:pic>
              </a:graphicData>
            </a:graphic>
          </wp:anchor>
        </w:drawing>
      </w:r>
      <w:r/>
    </w:p>
    <w:p>
      <w:pPr>
        <w:sectPr>
          <w:headerReference w:type="default" r:id="rId466"/>
          <w:footerReference w:type="default" r:id="rId467"/>
          <w:pgSz w:w="11906" w:h="16839"/>
          <w:pgMar w:top="1766" w:right="1493" w:bottom="1570" w:left="1579" w:header="1428" w:footer="1172" w:gutter="0"/>
          <w:cols w:equalWidth="0" w:num="1">
            <w:col w:w="8833" w:space="0"/>
          </w:cols>
        </w:sectPr>
        <w:rPr/>
      </w:pPr>
    </w:p>
    <w:p>
      <w:pPr>
        <w:pStyle w:val="BodyText"/>
        <w:ind w:left="12" w:right="321" w:firstLine="423"/>
        <w:spacing w:before="39" w:line="320" w:lineRule="auto"/>
        <w:rPr/>
      </w:pPr>
      <w:r>
        <w:rPr>
          <w:spacing w:val="6"/>
        </w:rPr>
        <w:t>6.确有必要时，在本级辖区内发出呼吁或</w:t>
      </w:r>
      <w:r>
        <w:rPr>
          <w:spacing w:val="7"/>
        </w:rPr>
        <w:t>者通过中国红十字会总会向国内外发出呼吁，</w:t>
      </w:r>
      <w:r>
        <w:rPr>
          <w:spacing w:val="7"/>
        </w:rPr>
        <w:t>依法接受国内外组织和个人的捐赠款物，及时</w:t>
      </w:r>
      <w:r>
        <w:rPr>
          <w:spacing w:val="9"/>
        </w:rPr>
        <w:t>向灾区群众和受难者提供紧急人道援助；</w:t>
      </w:r>
    </w:p>
    <w:p>
      <w:pPr>
        <w:pStyle w:val="BodyText"/>
        <w:ind w:left="15" w:right="325" w:firstLine="417"/>
        <w:spacing w:before="132" w:line="289" w:lineRule="auto"/>
        <w:rPr/>
      </w:pPr>
      <w:r>
        <w:rPr>
          <w:spacing w:val="6"/>
        </w:rPr>
        <w:t>7.开展帮助寻找失散亲人、重建家庭联系</w:t>
      </w:r>
      <w:r>
        <w:rPr>
          <w:spacing w:val="8"/>
        </w:rPr>
        <w:t>等其他人道服务工作；</w:t>
      </w:r>
    </w:p>
    <w:p>
      <w:pPr>
        <w:pStyle w:val="BodyText"/>
        <w:ind w:left="437"/>
        <w:spacing w:before="135" w:line="278" w:lineRule="exact"/>
        <w:rPr/>
      </w:pPr>
      <w:r>
        <w:rPr>
          <w:spacing w:val="2"/>
          <w:position w:val="1"/>
        </w:rPr>
        <w:t>8.参与灾后恢复重建。</w:t>
      </w:r>
    </w:p>
    <w:p>
      <w:pPr>
        <w:pStyle w:val="BodyText"/>
        <w:ind w:left="424"/>
        <w:spacing w:before="101" w:line="278" w:lineRule="exact"/>
        <w:rPr/>
      </w:pPr>
      <w:r>
        <w:rPr>
          <w:spacing w:val="10"/>
          <w:position w:val="1"/>
        </w:rPr>
        <w:t>（十四）宁夏六盘山水务公司</w:t>
      </w:r>
    </w:p>
    <w:p>
      <w:pPr>
        <w:pStyle w:val="BodyText"/>
        <w:ind w:left="14" w:right="325" w:firstLine="437"/>
        <w:spacing w:before="100" w:line="311" w:lineRule="auto"/>
        <w:rPr/>
      </w:pPr>
      <w:r>
        <w:rPr>
          <w:spacing w:val="5"/>
        </w:rPr>
        <w:t>1.组织编修固原市城区供水系统重特大生</w:t>
      </w:r>
      <w:r>
        <w:rPr>
          <w:spacing w:val="7"/>
        </w:rPr>
        <w:t>产安全事故、自然灾害事故应急预案，并组织</w:t>
      </w:r>
      <w:r>
        <w:rPr>
          <w:spacing w:val="7"/>
        </w:rPr>
        <w:t>开展应急演练；</w:t>
      </w:r>
    </w:p>
    <w:p>
      <w:pPr>
        <w:pStyle w:val="BodyText"/>
        <w:ind w:left="12" w:right="325" w:firstLine="422"/>
        <w:spacing w:before="129" w:line="290" w:lineRule="auto"/>
        <w:rPr/>
      </w:pPr>
      <w:r>
        <w:rPr>
          <w:spacing w:val="6"/>
        </w:rPr>
        <w:t>2.负责城区供水干管和配水管网的日常运</w:t>
      </w:r>
      <w:r>
        <w:rPr>
          <w:spacing w:val="8"/>
        </w:rPr>
        <w:t>行和爆管的紧急抢修工作；</w:t>
      </w:r>
    </w:p>
    <w:p>
      <w:pPr>
        <w:pStyle w:val="BodyText"/>
        <w:ind w:left="12" w:right="325" w:firstLine="425"/>
        <w:spacing w:before="135" w:line="319" w:lineRule="auto"/>
        <w:rPr/>
      </w:pPr>
      <w:r>
        <w:rPr>
          <w:spacing w:val="6"/>
        </w:rPr>
        <w:t>3.负责突发重特大环境污染及其他突发灾</w:t>
      </w:r>
      <w:r>
        <w:rPr>
          <w:spacing w:val="7"/>
        </w:rPr>
        <w:t>情时的城区供水水质监测工作，协同水务、住</w:t>
      </w:r>
      <w:r>
        <w:rPr>
          <w:spacing w:val="18"/>
        </w:rPr>
        <w:t>建等部门做好灾情期间城乡居民生活用水保</w:t>
      </w:r>
      <w:r>
        <w:rPr>
          <w:spacing w:val="6"/>
        </w:rPr>
        <w:t>障工作。</w:t>
      </w:r>
    </w:p>
    <w:p>
      <w:pPr>
        <w:pStyle w:val="BodyText"/>
        <w:ind w:left="11" w:right="247" w:firstLine="413"/>
        <w:spacing w:before="137" w:line="350" w:lineRule="auto"/>
        <w:jc w:val="both"/>
        <w:rPr/>
      </w:pPr>
      <w:r>
        <w:rPr>
          <w:spacing w:val="7"/>
        </w:rPr>
        <w:t>（十五）未明确防灾减灾救灾工作职责的</w:t>
      </w:r>
      <w:r>
        <w:rPr>
          <w:spacing w:val="12"/>
        </w:rPr>
        <w:t>部门（单位</w:t>
      </w:r>
      <w:r>
        <w:rPr>
          <w:spacing w:val="-35"/>
        </w:rPr>
        <w:t>），</w:t>
      </w:r>
      <w:r>
        <w:rPr>
          <w:spacing w:val="12"/>
        </w:rPr>
        <w:t>按本部门（单位）工作职责做</w:t>
      </w:r>
      <w:r>
        <w:rPr>
          <w:spacing w:val="-8"/>
        </w:rPr>
        <w:t>好防灾减灾和灾害事件（故）应急处置相关工作。</w:t>
      </w:r>
    </w:p>
    <w:p>
      <w:pPr>
        <w:pStyle w:val="BodyText"/>
        <w:ind w:left="12" w:right="327" w:firstLine="419"/>
        <w:spacing w:before="2" w:line="351" w:lineRule="auto"/>
        <w:jc w:val="both"/>
        <w:rPr/>
      </w:pPr>
      <w:r>
        <w:rPr>
          <w:spacing w:val="12"/>
        </w:rPr>
        <w:t>第十四条 有关部门（单位）主要负责人</w:t>
      </w:r>
      <w:r>
        <w:rPr>
          <w:spacing w:val="7"/>
        </w:rPr>
        <w:t>应当组织实施防灾减灾救灾的法律法规、规章</w:t>
      </w:r>
      <w:r>
        <w:rPr>
          <w:spacing w:val="15"/>
        </w:rPr>
        <w:t>和政策措施</w:t>
      </w:r>
      <w:r>
        <w:rPr>
          <w:spacing w:val="-40"/>
        </w:rPr>
        <w:t xml:space="preserve"> </w:t>
      </w:r>
      <w:r>
        <w:rPr>
          <w:spacing w:val="15"/>
        </w:rPr>
        <w:t>，定期研究部署防灾减灾救灾工</w:t>
      </w:r>
      <w:r>
        <w:rPr>
          <w:spacing w:val="7"/>
        </w:rPr>
        <w:t>作，协调解决本行业、本系统防灾减灾救灾工</w:t>
      </w:r>
      <w:r>
        <w:rPr>
          <w:spacing w:val="8"/>
        </w:rPr>
        <w:t>作中存在的重大问题。</w:t>
      </w:r>
    </w:p>
    <w:p>
      <w:pPr>
        <w:pStyle w:val="BodyText"/>
        <w:ind w:left="12" w:right="304" w:firstLine="420"/>
        <w:spacing w:before="11" w:line="352" w:lineRule="auto"/>
        <w:jc w:val="both"/>
        <w:rPr/>
      </w:pPr>
      <w:r>
        <w:rPr>
          <w:spacing w:val="6"/>
        </w:rPr>
        <w:t>有关部门（单位）分管防灾减灾救灾的负</w:t>
      </w:r>
      <w:r>
        <w:rPr>
          <w:spacing w:val="8"/>
        </w:rPr>
        <w:t>责人应当协助主要负责人，综合协调本行业、</w:t>
      </w:r>
      <w:r>
        <w:rPr>
          <w:spacing w:val="7"/>
        </w:rPr>
        <w:t>本系统的防灾减灾救灾工作，制定并组织实施</w:t>
      </w:r>
      <w:r>
        <w:rPr>
          <w:spacing w:val="7"/>
        </w:rPr>
        <w:t>防灾减灾救灾工作目标和计划，对本行业、本</w:t>
      </w:r>
      <w:r>
        <w:rPr>
          <w:spacing w:val="8"/>
        </w:rPr>
        <w:t>系统容易引发自然灾害和事故灾难的危险源、</w:t>
      </w:r>
      <w:r>
        <w:rPr>
          <w:spacing w:val="7"/>
        </w:rPr>
        <w:t>危险区域进行调查、登记、风险评估，定期进</w:t>
      </w:r>
      <w:r>
        <w:rPr>
          <w:spacing w:val="7"/>
        </w:rPr>
        <w:t>行检查、监控，并责令有关单位采取安全防范</w:t>
      </w:r>
      <w:r>
        <w:rPr>
          <w:spacing w:val="7"/>
        </w:rPr>
        <w:t>措施；班子其他成员应当定期研究部署分管领</w:t>
      </w:r>
      <w:r>
        <w:rPr>
          <w:spacing w:val="7"/>
        </w:rPr>
        <w:t>域的防灾减灾救灾工作，负责分管领域内的防</w:t>
      </w:r>
    </w:p>
    <w:p>
      <w:pPr>
        <w:spacing w:line="14" w:lineRule="auto"/>
        <w:rPr>
          <w:rFonts w:ascii="Arial"/>
          <w:sz w:val="2"/>
        </w:rPr>
      </w:pPr>
      <w:r>
        <w:rPr>
          <w:rFonts w:ascii="Arial" w:hAnsi="Arial" w:eastAsia="Arial" w:cs="Arial"/>
          <w:sz w:val="2"/>
          <w:szCs w:val="2"/>
        </w:rPr>
        <w:br w:type="column"/>
      </w:r>
    </w:p>
    <w:p>
      <w:pPr>
        <w:pStyle w:val="BodyText"/>
        <w:ind w:left="3"/>
        <w:spacing w:before="58" w:line="219" w:lineRule="auto"/>
        <w:rPr/>
      </w:pPr>
      <w:r>
        <w:rPr>
          <w:spacing w:val="8"/>
        </w:rPr>
        <w:t>灾减灾救灾工作。</w:t>
      </w:r>
    </w:p>
    <w:p>
      <w:pPr>
        <w:spacing w:line="441" w:lineRule="auto"/>
        <w:rPr>
          <w:rFonts w:ascii="Arial"/>
          <w:sz w:val="21"/>
        </w:rPr>
      </w:pPr>
      <w:r/>
    </w:p>
    <w:p>
      <w:pPr>
        <w:ind w:left="1245"/>
        <w:spacing w:before="86" w:line="18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第四章</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6"/>
        </w:rPr>
        <w:t>责任追究</w:t>
      </w:r>
    </w:p>
    <w:p>
      <w:pPr>
        <w:spacing w:line="407" w:lineRule="auto"/>
        <w:rPr>
          <w:rFonts w:ascii="Arial"/>
          <w:sz w:val="21"/>
        </w:rPr>
      </w:pPr>
      <w:r/>
    </w:p>
    <w:p>
      <w:pPr>
        <w:pStyle w:val="BodyText"/>
        <w:ind w:left="3" w:right="96" w:firstLine="426"/>
        <w:spacing w:before="86" w:line="301" w:lineRule="auto"/>
        <w:rPr/>
      </w:pPr>
      <w:r>
        <w:rPr>
          <w:rFonts w:ascii="Microsoft YaHei" w:hAnsi="Microsoft YaHei" w:eastAsia="Microsoft YaHei" w:cs="Microsoft YaHei"/>
          <w:spacing w:val="17"/>
        </w:rPr>
        <w:t>第十五条</w:t>
      </w:r>
      <w:r>
        <w:rPr>
          <w:rFonts w:ascii="Microsoft YaHei" w:hAnsi="Microsoft YaHei" w:eastAsia="Microsoft YaHei" w:cs="Microsoft YaHei"/>
          <w:spacing w:val="22"/>
          <w:w w:val="101"/>
        </w:rPr>
        <w:t xml:space="preserve">   </w:t>
      </w:r>
      <w:r>
        <w:rPr>
          <w:spacing w:val="17"/>
        </w:rPr>
        <w:t>在防灾减灾救灾预防准备中</w:t>
      </w:r>
      <w:r>
        <w:rPr>
          <w:spacing w:val="9"/>
        </w:rPr>
        <w:t>有下列情形之一的，应当追究责任：</w:t>
      </w:r>
    </w:p>
    <w:p>
      <w:pPr>
        <w:pStyle w:val="BodyText"/>
        <w:ind w:left="1" w:right="29" w:firstLine="413"/>
        <w:spacing w:before="4" w:line="319" w:lineRule="auto"/>
        <w:rPr/>
      </w:pPr>
      <w:r>
        <w:rPr>
          <w:spacing w:val="7"/>
        </w:rPr>
        <w:t>（一）未制定、修订相应的防灾减灾救灾</w:t>
      </w:r>
      <w:r>
        <w:rPr>
          <w:spacing w:val="7"/>
        </w:rPr>
        <w:t>应急预案，或者未按照防灾减灾救灾应急预案</w:t>
      </w:r>
      <w:r>
        <w:rPr>
          <w:spacing w:val="18"/>
        </w:rPr>
        <w:t>要求健全完善相应的组织指挥体系、责任体</w:t>
      </w:r>
      <w:r>
        <w:rPr/>
        <w:t>系、预防与预警机制、应急响应和处置机制的；</w:t>
      </w:r>
    </w:p>
    <w:p>
      <w:pPr>
        <w:pStyle w:val="BodyText"/>
        <w:ind w:left="2" w:right="96" w:firstLine="412"/>
        <w:spacing w:before="131" w:line="311" w:lineRule="auto"/>
        <w:rPr/>
      </w:pPr>
      <w:r>
        <w:rPr>
          <w:spacing w:val="7"/>
        </w:rPr>
        <w:t>（二）未在城乡规划和建设中合理确定应</w:t>
      </w:r>
      <w:r>
        <w:rPr>
          <w:spacing w:val="7"/>
        </w:rPr>
        <w:t>急避难场所、统筹安排防灾减灾救灾所必需的</w:t>
      </w:r>
      <w:r>
        <w:rPr>
          <w:spacing w:val="8"/>
        </w:rPr>
        <w:t>基础设施和设备的；</w:t>
      </w:r>
    </w:p>
    <w:p>
      <w:pPr>
        <w:pStyle w:val="BodyText"/>
        <w:ind w:left="2" w:right="73" w:firstLine="412"/>
        <w:spacing w:before="131" w:line="290" w:lineRule="auto"/>
        <w:rPr/>
      </w:pPr>
      <w:r>
        <w:rPr>
          <w:spacing w:val="8"/>
        </w:rPr>
        <w:t>（三）未按规定建立健全应急救援队伍、</w:t>
      </w:r>
      <w:r>
        <w:rPr>
          <w:spacing w:val="8"/>
        </w:rPr>
        <w:t>应急物资储备管理调用制度的；</w:t>
      </w:r>
    </w:p>
    <w:p>
      <w:pPr>
        <w:pStyle w:val="BodyText"/>
        <w:ind w:left="2" w:right="16" w:firstLine="412"/>
        <w:spacing w:before="129" w:line="331" w:lineRule="auto"/>
        <w:rPr/>
      </w:pPr>
      <w:r>
        <w:rPr>
          <w:spacing w:val="4"/>
        </w:rPr>
        <w:t>（</w:t>
      </w:r>
      <w:r>
        <w:rPr>
          <w:spacing w:val="-39"/>
        </w:rPr>
        <w:t xml:space="preserve"> </w:t>
      </w:r>
      <w:r>
        <w:rPr>
          <w:spacing w:val="4"/>
        </w:rPr>
        <w:t>四）未对易发灾害的山体、重点河流河</w:t>
      </w:r>
      <w:r>
        <w:rPr>
          <w:spacing w:val="7"/>
        </w:rPr>
        <w:t>段堤坝、病险水库、排洪沟道、危险路段桥梁</w:t>
      </w:r>
      <w:r>
        <w:rPr>
          <w:spacing w:val="1"/>
        </w:rPr>
        <w:t>隧道、排土（渣）场（含电厂灰渣库）和供水、</w:t>
      </w:r>
      <w:r>
        <w:rPr>
          <w:spacing w:val="7"/>
        </w:rPr>
        <w:t>供气、供暖、供电生命线工程等危险源、危险</w:t>
      </w:r>
      <w:r>
        <w:rPr>
          <w:spacing w:val="7"/>
        </w:rPr>
        <w:t>区域进行调查登记、风险评估、检查监控，采</w:t>
      </w:r>
      <w:r>
        <w:rPr>
          <w:spacing w:val="8"/>
        </w:rPr>
        <w:t>取安全防范措施、及时整治的；</w:t>
      </w:r>
    </w:p>
    <w:p>
      <w:pPr>
        <w:pStyle w:val="BodyText"/>
        <w:ind w:left="4" w:right="96" w:firstLine="409"/>
        <w:spacing w:before="131" w:line="290" w:lineRule="auto"/>
        <w:rPr/>
      </w:pPr>
      <w:r>
        <w:rPr>
          <w:spacing w:val="7"/>
        </w:rPr>
        <w:t>（五）未按要求建立防灾减灾救灾信息系</w:t>
      </w:r>
      <w:r>
        <w:rPr>
          <w:spacing w:val="4"/>
        </w:rPr>
        <w:t>统的；</w:t>
      </w:r>
    </w:p>
    <w:p>
      <w:pPr>
        <w:pStyle w:val="BodyText"/>
        <w:ind w:right="96" w:firstLine="414"/>
        <w:spacing w:before="133" w:line="289" w:lineRule="auto"/>
        <w:rPr/>
      </w:pPr>
      <w:r>
        <w:rPr>
          <w:spacing w:val="7"/>
        </w:rPr>
        <w:t>（六）未按要求做好报警装置和应急救援</w:t>
      </w:r>
      <w:r>
        <w:rPr>
          <w:spacing w:val="9"/>
        </w:rPr>
        <w:t>设备、设施的日常维护、检测工作的；</w:t>
      </w:r>
    </w:p>
    <w:p>
      <w:pPr>
        <w:pStyle w:val="BodyText"/>
        <w:ind w:left="6" w:right="96" w:firstLine="408"/>
        <w:spacing w:before="149" w:line="320" w:lineRule="auto"/>
        <w:rPr/>
      </w:pPr>
      <w:r>
        <w:rPr>
          <w:spacing w:val="7"/>
        </w:rPr>
        <w:t>（七）未按要求组织有关部门和人员做好</w:t>
      </w:r>
      <w:r>
        <w:rPr>
          <w:spacing w:val="7"/>
        </w:rPr>
        <w:t>防灾减灾救灾宣传教育、应急演练、专业人员</w:t>
      </w:r>
      <w:r>
        <w:rPr>
          <w:spacing w:val="5"/>
        </w:rPr>
        <w:t>培训的。</w:t>
      </w:r>
    </w:p>
    <w:p>
      <w:pPr>
        <w:pStyle w:val="BodyText"/>
        <w:ind w:left="3" w:right="96" w:firstLine="426"/>
        <w:spacing w:before="165" w:line="316" w:lineRule="auto"/>
        <w:rPr/>
      </w:pPr>
      <w:r>
        <w:rPr>
          <w:rFonts w:ascii="Microsoft YaHei" w:hAnsi="Microsoft YaHei" w:eastAsia="Microsoft YaHei" w:cs="Microsoft YaHei"/>
          <w:spacing w:val="17"/>
        </w:rPr>
        <w:t>第十六条</w:t>
      </w:r>
      <w:r>
        <w:rPr>
          <w:rFonts w:ascii="Microsoft YaHei" w:hAnsi="Microsoft YaHei" w:eastAsia="Microsoft YaHei" w:cs="Microsoft YaHei"/>
          <w:spacing w:val="22"/>
          <w:w w:val="101"/>
        </w:rPr>
        <w:t xml:space="preserve">   </w:t>
      </w:r>
      <w:r>
        <w:rPr>
          <w:spacing w:val="17"/>
        </w:rPr>
        <w:t>在防灾减灾救灾监测预警中</w:t>
      </w:r>
      <w:r>
        <w:rPr>
          <w:spacing w:val="9"/>
        </w:rPr>
        <w:t>有下列情形之一的，应当追究责任：</w:t>
      </w:r>
    </w:p>
    <w:p>
      <w:pPr>
        <w:pStyle w:val="BodyText"/>
        <w:ind w:left="3" w:right="72" w:firstLine="410"/>
        <w:spacing w:line="299" w:lineRule="auto"/>
        <w:rPr/>
      </w:pPr>
      <w:r>
        <w:rPr>
          <w:spacing w:val="-13"/>
        </w:rPr>
        <w:t>（一）未汇集储存、分析会商、传输通报有关</w:t>
      </w:r>
      <w:r>
        <w:rPr>
          <w:spacing w:val="-8"/>
        </w:rPr>
        <w:t>灾害信息的；</w:t>
      </w:r>
    </w:p>
    <w:p>
      <w:pPr>
        <w:pStyle w:val="BodyText"/>
        <w:ind w:left="3" w:right="96" w:firstLine="411"/>
        <w:spacing w:before="153" w:line="281" w:lineRule="auto"/>
        <w:rPr/>
      </w:pPr>
      <w:r>
        <w:rPr>
          <w:spacing w:val="7"/>
        </w:rPr>
        <w:t>（二）迟报、瞒报、虚报、漏报有关灾害</w:t>
      </w:r>
      <w:r>
        <w:rPr>
          <w:spacing w:val="9"/>
        </w:rPr>
        <w:t>信息，或者通报、报送、公布虚假信息的；</w:t>
      </w:r>
    </w:p>
    <w:p>
      <w:pPr>
        <w:spacing w:line="281" w:lineRule="auto"/>
        <w:sectPr>
          <w:type w:val="continuous"/>
          <w:pgSz w:w="11906" w:h="16839"/>
          <w:pgMar w:top="1766" w:right="1493" w:bottom="1570" w:left="1579" w:header="1428" w:footer="1172" w:gutter="0"/>
          <w:cols w:equalWidth="0" w:num="2">
            <w:col w:w="4487" w:space="100"/>
            <w:col w:w="4246" w:space="0"/>
          </w:cols>
        </w:sectPr>
        <w:rPr/>
      </w:pPr>
    </w:p>
    <w:p>
      <w:pPr>
        <w:spacing w:before="56"/>
        <w:rPr/>
      </w:pPr>
      <w:r>
        <w:drawing>
          <wp:anchor distT="0" distB="0" distL="0" distR="0" simplePos="0" relativeHeight="251992064" behindDoc="0" locked="0" layoutInCell="0" allowOverlap="1">
            <wp:simplePos x="0" y="0"/>
            <wp:positionH relativeFrom="page">
              <wp:posOffset>1008380</wp:posOffset>
            </wp:positionH>
            <wp:positionV relativeFrom="page">
              <wp:posOffset>1163955</wp:posOffset>
            </wp:positionV>
            <wp:extent cx="5579745" cy="7619"/>
            <wp:effectExtent l="0" t="0" r="0" b="0"/>
            <wp:wrapNone/>
            <wp:docPr id="938" name="IM 938"/>
            <wp:cNvGraphicFramePr/>
            <a:graphic>
              <a:graphicData uri="http://schemas.openxmlformats.org/drawingml/2006/picture">
                <pic:pic>
                  <pic:nvPicPr>
                    <pic:cNvPr id="938" name="IM 938"/>
                    <pic:cNvPicPr/>
                  </pic:nvPicPr>
                  <pic:blipFill>
                    <a:blip r:embed="rId471"/>
                    <a:stretch>
                      <a:fillRect/>
                    </a:stretch>
                  </pic:blipFill>
                  <pic:spPr>
                    <a:xfrm rot="0">
                      <a:off x="0" y="0"/>
                      <a:ext cx="5579745" cy="7619"/>
                    </a:xfrm>
                    <a:prstGeom prst="rect">
                      <a:avLst/>
                    </a:prstGeom>
                  </pic:spPr>
                </pic:pic>
              </a:graphicData>
            </a:graphic>
          </wp:anchor>
        </w:drawing>
      </w:r>
      <w:r/>
    </w:p>
    <w:p>
      <w:pPr>
        <w:sectPr>
          <w:headerReference w:type="default" r:id="rId469"/>
          <w:footerReference w:type="default" r:id="rId470"/>
          <w:pgSz w:w="11906" w:h="16839"/>
          <w:pgMar w:top="1793" w:right="1520" w:bottom="1673" w:left="1565" w:header="1428" w:footer="1277" w:gutter="0"/>
          <w:cols w:equalWidth="0" w:num="1">
            <w:col w:w="8821" w:space="0"/>
          </w:cols>
        </w:sectPr>
        <w:rPr/>
      </w:pPr>
    </w:p>
    <w:p>
      <w:pPr>
        <w:pStyle w:val="BodyText"/>
        <w:ind w:left="26" w:right="330" w:firstLine="413"/>
        <w:spacing w:before="39" w:line="329" w:lineRule="auto"/>
        <w:rPr/>
      </w:pPr>
      <w:r>
        <w:rPr>
          <w:spacing w:val="16"/>
        </w:rPr>
        <w:t>（</w:t>
      </w:r>
      <w:r>
        <w:rPr>
          <w:spacing w:val="-39"/>
        </w:rPr>
        <w:t xml:space="preserve"> </w:t>
      </w:r>
      <w:r>
        <w:rPr>
          <w:spacing w:val="16"/>
        </w:rPr>
        <w:t>三）对目前技术条件下可以预警的灾</w:t>
      </w:r>
      <w:r>
        <w:rPr>
          <w:spacing w:val="7"/>
        </w:rPr>
        <w:t>害，未及时发布警报、采取预警措施、协同有</w:t>
      </w:r>
      <w:r>
        <w:rPr>
          <w:spacing w:val="8"/>
        </w:rPr>
        <w:t>关部门迅速反应的；</w:t>
      </w:r>
    </w:p>
    <w:p>
      <w:pPr>
        <w:pStyle w:val="BodyText"/>
        <w:ind w:left="26" w:right="330" w:firstLine="413"/>
        <w:spacing w:before="162" w:line="301" w:lineRule="auto"/>
        <w:rPr/>
      </w:pPr>
      <w:r>
        <w:rPr>
          <w:spacing w:val="4"/>
        </w:rPr>
        <w:t>（</w:t>
      </w:r>
      <w:r>
        <w:rPr>
          <w:spacing w:val="-39"/>
        </w:rPr>
        <w:t xml:space="preserve"> </w:t>
      </w:r>
      <w:r>
        <w:rPr>
          <w:spacing w:val="4"/>
        </w:rPr>
        <w:t>四）未根据事态发展及时调整预警级别</w:t>
      </w:r>
      <w:r>
        <w:rPr>
          <w:spacing w:val="8"/>
        </w:rPr>
        <w:t>并重新发布和报告的。</w:t>
      </w:r>
    </w:p>
    <w:p>
      <w:pPr>
        <w:pStyle w:val="BodyText"/>
        <w:ind w:left="27" w:right="330" w:firstLine="426"/>
        <w:spacing w:before="171" w:line="325" w:lineRule="auto"/>
        <w:rPr/>
      </w:pPr>
      <w:r>
        <w:rPr>
          <w:rFonts w:ascii="Microsoft YaHei" w:hAnsi="Microsoft YaHei" w:eastAsia="Microsoft YaHei" w:cs="Microsoft YaHei"/>
          <w:spacing w:val="17"/>
        </w:rPr>
        <w:t>第十七条</w:t>
      </w:r>
      <w:r>
        <w:rPr>
          <w:rFonts w:ascii="Microsoft YaHei" w:hAnsi="Microsoft YaHei" w:eastAsia="Microsoft YaHei" w:cs="Microsoft YaHei"/>
          <w:spacing w:val="22"/>
          <w:w w:val="101"/>
        </w:rPr>
        <w:t xml:space="preserve">   </w:t>
      </w:r>
      <w:r>
        <w:rPr>
          <w:spacing w:val="17"/>
        </w:rPr>
        <w:t>在防灾减灾救灾应急响应中</w:t>
      </w:r>
      <w:r>
        <w:rPr>
          <w:spacing w:val="9"/>
        </w:rPr>
        <w:t>有下列情形之一的，应当追究责任：</w:t>
      </w:r>
    </w:p>
    <w:p>
      <w:pPr>
        <w:pStyle w:val="BodyText"/>
        <w:ind w:left="27" w:right="330" w:firstLine="412"/>
        <w:spacing w:before="2" w:line="328" w:lineRule="auto"/>
        <w:rPr/>
      </w:pPr>
      <w:r>
        <w:rPr>
          <w:spacing w:val="7"/>
        </w:rPr>
        <w:t>（一）未适时启动有关应急预案和应急响</w:t>
      </w:r>
      <w:r>
        <w:rPr>
          <w:spacing w:val="7"/>
        </w:rPr>
        <w:t>应，及时实施相应的动态监测、情况核查、信</w:t>
      </w:r>
      <w:r>
        <w:rPr>
          <w:spacing w:val="9"/>
        </w:rPr>
        <w:t>息通报、协调联动和控制保护措施的；</w:t>
      </w:r>
    </w:p>
    <w:p>
      <w:pPr>
        <w:pStyle w:val="BodyText"/>
        <w:ind w:left="30" w:right="307" w:firstLine="409"/>
        <w:spacing w:before="164" w:line="339" w:lineRule="auto"/>
        <w:rPr/>
      </w:pPr>
      <w:r>
        <w:rPr>
          <w:spacing w:val="7"/>
        </w:rPr>
        <w:t>（二）不服从同级党委和政府或应急管理</w:t>
      </w:r>
      <w:r>
        <w:rPr>
          <w:spacing w:val="7"/>
        </w:rPr>
        <w:t>指挥部（含指挥部办公室，下同）及其有关部</w:t>
      </w:r>
      <w:r>
        <w:rPr>
          <w:spacing w:val="8"/>
        </w:rPr>
        <w:t>门对防灾减灾救灾应急响应工作的统一领导、</w:t>
      </w:r>
      <w:r>
        <w:rPr>
          <w:spacing w:val="7"/>
        </w:rPr>
        <w:t>指挥和协调的。</w:t>
      </w:r>
    </w:p>
    <w:p>
      <w:pPr>
        <w:pStyle w:val="BodyText"/>
        <w:ind w:left="30" w:right="330" w:firstLine="424"/>
        <w:spacing w:before="166" w:line="316" w:lineRule="auto"/>
        <w:rPr/>
      </w:pPr>
      <w:r>
        <w:rPr>
          <w:rFonts w:ascii="Microsoft YaHei" w:hAnsi="Microsoft YaHei" w:eastAsia="Microsoft YaHei" w:cs="Microsoft YaHei"/>
          <w:spacing w:val="17"/>
        </w:rPr>
        <w:t>第十八条</w:t>
      </w:r>
      <w:r>
        <w:rPr>
          <w:rFonts w:ascii="Microsoft YaHei" w:hAnsi="Microsoft YaHei" w:eastAsia="Microsoft YaHei" w:cs="Microsoft YaHei"/>
          <w:spacing w:val="22"/>
          <w:w w:val="101"/>
        </w:rPr>
        <w:t xml:space="preserve">   </w:t>
      </w:r>
      <w:r>
        <w:rPr>
          <w:spacing w:val="17"/>
        </w:rPr>
        <w:t>在防灾减灾救灾应急救援处</w:t>
      </w:r>
      <w:r>
        <w:rPr>
          <w:spacing w:val="9"/>
        </w:rPr>
        <w:t>置中有下列情形之一的，应当追究责任：</w:t>
      </w:r>
    </w:p>
    <w:p>
      <w:pPr>
        <w:pStyle w:val="BodyText"/>
        <w:ind w:left="28" w:right="330" w:firstLine="410"/>
        <w:spacing w:line="322" w:lineRule="auto"/>
        <w:rPr/>
      </w:pPr>
      <w:r>
        <w:rPr>
          <w:spacing w:val="7"/>
        </w:rPr>
        <w:t>（一）未及时组织开展应急救援工作，采</w:t>
      </w:r>
      <w:r>
        <w:rPr>
          <w:spacing w:val="7"/>
        </w:rPr>
        <w:t>取必要的应急处置和防范措施，或者因主观原</w:t>
      </w:r>
      <w:r>
        <w:rPr>
          <w:spacing w:val="9"/>
        </w:rPr>
        <w:t>因处置不当，导致发生次生、衍生灾害的；</w:t>
      </w:r>
    </w:p>
    <w:p>
      <w:pPr>
        <w:pStyle w:val="BodyText"/>
        <w:ind w:left="27" w:right="330" w:firstLine="411"/>
        <w:spacing w:before="154" w:line="322" w:lineRule="auto"/>
        <w:rPr/>
      </w:pPr>
      <w:r>
        <w:rPr>
          <w:spacing w:val="7"/>
        </w:rPr>
        <w:t>（二）未及时组织开展生活救助、生产自</w:t>
      </w:r>
      <w:r>
        <w:rPr>
          <w:spacing w:val="7"/>
        </w:rPr>
        <w:t>救、恢复重建等善后工作，造成严重后果或者</w:t>
      </w:r>
      <w:r>
        <w:rPr>
          <w:spacing w:val="7"/>
        </w:rPr>
        <w:t>恶劣影响的；</w:t>
      </w:r>
    </w:p>
    <w:p>
      <w:pPr>
        <w:pStyle w:val="BodyText"/>
        <w:ind w:left="27" w:right="307" w:firstLine="411"/>
        <w:spacing w:before="155" w:line="334" w:lineRule="auto"/>
        <w:rPr/>
      </w:pPr>
      <w:r>
        <w:rPr>
          <w:spacing w:val="8"/>
        </w:rPr>
        <w:t>（三）因处置明显失当，或者擅离职守、</w:t>
      </w:r>
      <w:r>
        <w:rPr>
          <w:spacing w:val="7"/>
        </w:rPr>
        <w:t>逃避责任，导致发生原本可以避免的重大人员</w:t>
      </w:r>
      <w:r>
        <w:rPr>
          <w:spacing w:val="7"/>
        </w:rPr>
        <w:t>伤亡和财产损失，或者加重人员伤亡和财产损</w:t>
      </w:r>
      <w:r>
        <w:rPr>
          <w:spacing w:val="4"/>
        </w:rPr>
        <w:t>失的；</w:t>
      </w:r>
    </w:p>
    <w:p>
      <w:pPr>
        <w:pStyle w:val="BodyText"/>
        <w:ind w:left="27" w:right="330" w:firstLine="412"/>
        <w:spacing w:before="155" w:line="300" w:lineRule="auto"/>
        <w:rPr/>
      </w:pPr>
      <w:r>
        <w:rPr>
          <w:spacing w:val="4"/>
        </w:rPr>
        <w:t>（</w:t>
      </w:r>
      <w:r>
        <w:rPr>
          <w:spacing w:val="-39"/>
        </w:rPr>
        <w:t xml:space="preserve"> </w:t>
      </w:r>
      <w:r>
        <w:rPr>
          <w:spacing w:val="4"/>
        </w:rPr>
        <w:t>四）不落实整改措施或者弄虚作假、消</w:t>
      </w:r>
      <w:r>
        <w:rPr>
          <w:spacing w:val="9"/>
        </w:rPr>
        <w:t>极应付，造成严重后果或者恶劣影响的；</w:t>
      </w:r>
    </w:p>
    <w:p>
      <w:pPr>
        <w:pStyle w:val="BodyText"/>
        <w:ind w:left="27" w:right="266" w:firstLine="411"/>
        <w:spacing w:before="159" w:line="300" w:lineRule="auto"/>
        <w:rPr/>
      </w:pPr>
      <w:r>
        <w:rPr>
          <w:spacing w:val="-1"/>
        </w:rPr>
        <w:t>（五）未及时拨付、发放救灾资金、物资，</w:t>
      </w:r>
      <w:r>
        <w:rPr>
          <w:spacing w:val="8"/>
        </w:rPr>
        <w:t>造成严重后果或者恶劣影响的；</w:t>
      </w:r>
    </w:p>
    <w:p>
      <w:pPr>
        <w:pStyle w:val="BodyText"/>
        <w:ind w:left="30" w:right="330" w:firstLine="409"/>
        <w:spacing w:before="161" w:line="292" w:lineRule="auto"/>
        <w:rPr/>
      </w:pPr>
      <w:r>
        <w:rPr>
          <w:spacing w:val="7"/>
        </w:rPr>
        <w:t>（六）截留、挤占、挪用、私分或者变相</w:t>
      </w:r>
      <w:r>
        <w:rPr>
          <w:spacing w:val="7"/>
        </w:rPr>
        <w:t>私分应急救援资金、物资，或者对应急救援资</w:t>
      </w:r>
    </w:p>
    <w:p>
      <w:pPr>
        <w:spacing w:line="14" w:lineRule="auto"/>
        <w:rPr>
          <w:rFonts w:ascii="Arial"/>
          <w:sz w:val="2"/>
        </w:rPr>
      </w:pPr>
      <w:r>
        <w:rPr>
          <w:rFonts w:ascii="Arial" w:hAnsi="Arial" w:eastAsia="Arial" w:cs="Arial"/>
          <w:sz w:val="2"/>
          <w:szCs w:val="2"/>
        </w:rPr>
        <w:br w:type="column"/>
      </w:r>
    </w:p>
    <w:p>
      <w:pPr>
        <w:pStyle w:val="BodyText"/>
        <w:ind w:left="2" w:right="70" w:hanging="2"/>
        <w:spacing w:before="43" w:line="378" w:lineRule="auto"/>
        <w:rPr/>
      </w:pPr>
      <w:r>
        <w:rPr>
          <w:spacing w:val="7"/>
        </w:rPr>
        <w:t>金、物资管理不善，造成严重毁损浪费或者恶</w:t>
      </w:r>
      <w:r>
        <w:rPr>
          <w:spacing w:val="6"/>
        </w:rPr>
        <w:t>劣影响的。</w:t>
      </w:r>
    </w:p>
    <w:p>
      <w:pPr>
        <w:pStyle w:val="BodyText"/>
        <w:ind w:right="50" w:firstLine="426"/>
        <w:spacing w:before="1" w:line="295" w:lineRule="auto"/>
        <w:rPr/>
      </w:pPr>
      <w:r>
        <w:rPr>
          <w:rFonts w:ascii="Microsoft YaHei" w:hAnsi="Microsoft YaHei" w:eastAsia="Microsoft YaHei" w:cs="Microsoft YaHei"/>
          <w:spacing w:val="7"/>
        </w:rPr>
        <w:t>第十九条   </w:t>
      </w:r>
      <w:r>
        <w:rPr>
          <w:spacing w:val="7"/>
        </w:rPr>
        <w:t>其他不履行、不及时履行或者</w:t>
      </w:r>
      <w:r>
        <w:rPr>
          <w:spacing w:val="7"/>
        </w:rPr>
        <w:t>不正确履行职责，影响防灾减灾救灾工作、造</w:t>
      </w:r>
      <w:r>
        <w:rPr>
          <w:spacing w:val="8"/>
        </w:rPr>
        <w:t>成重大损失或者恶劣影响的，应当追究责任。</w:t>
      </w:r>
    </w:p>
    <w:p>
      <w:pPr>
        <w:pStyle w:val="BodyText"/>
        <w:ind w:right="70" w:firstLine="426"/>
        <w:spacing w:before="167" w:line="314" w:lineRule="auto"/>
        <w:rPr/>
      </w:pPr>
      <w:r>
        <w:rPr>
          <w:rFonts w:ascii="Microsoft YaHei" w:hAnsi="Microsoft YaHei" w:eastAsia="Microsoft YaHei" w:cs="Microsoft YaHei"/>
          <w:spacing w:val="17"/>
        </w:rPr>
        <w:t>第二十条</w:t>
      </w:r>
      <w:r>
        <w:rPr>
          <w:rFonts w:ascii="Microsoft YaHei" w:hAnsi="Microsoft YaHei" w:eastAsia="Microsoft YaHei" w:cs="Microsoft YaHei"/>
          <w:spacing w:val="22"/>
          <w:w w:val="101"/>
        </w:rPr>
        <w:t xml:space="preserve">   </w:t>
      </w:r>
      <w:r>
        <w:rPr>
          <w:spacing w:val="17"/>
        </w:rPr>
        <w:t>各级党委和政府及其有关部</w:t>
      </w:r>
      <w:r>
        <w:rPr>
          <w:spacing w:val="7"/>
        </w:rPr>
        <w:t>门违反本规定，不履行、不及时履行或者不正</w:t>
      </w:r>
      <w:r>
        <w:rPr>
          <w:spacing w:val="7"/>
        </w:rPr>
        <w:t>确履行职责的，由其上级党委和政府及其有关</w:t>
      </w:r>
      <w:r>
        <w:rPr>
          <w:spacing w:val="9"/>
        </w:rPr>
        <w:t>部门或者纪检监察机关依纪依法处理。</w:t>
      </w:r>
    </w:p>
    <w:p>
      <w:pPr>
        <w:pStyle w:val="BodyText"/>
        <w:ind w:right="2" w:firstLine="427"/>
        <w:spacing w:before="172" w:line="272" w:lineRule="auto"/>
        <w:rPr/>
      </w:pPr>
      <w:r>
        <w:rPr>
          <w:rFonts w:ascii="Microsoft YaHei" w:hAnsi="Microsoft YaHei" w:eastAsia="Microsoft YaHei" w:cs="Microsoft YaHei"/>
          <w:spacing w:val="6"/>
        </w:rPr>
        <w:t>第二十一条</w:t>
      </w:r>
      <w:r>
        <w:rPr>
          <w:rFonts w:ascii="Microsoft YaHei" w:hAnsi="Microsoft YaHei" w:eastAsia="Microsoft YaHei" w:cs="Microsoft YaHei"/>
          <w:spacing w:val="13"/>
        </w:rPr>
        <w:t xml:space="preserve">   </w:t>
      </w:r>
      <w:r>
        <w:rPr>
          <w:spacing w:val="6"/>
        </w:rPr>
        <w:t>在防灾减灾救灾中，有下列</w:t>
      </w:r>
      <w:r>
        <w:rPr>
          <w:spacing w:val="-9"/>
        </w:rPr>
        <w:t>情节之一的，可以从轻、减轻或者免予追究责任：</w:t>
      </w:r>
    </w:p>
    <w:p>
      <w:pPr>
        <w:pStyle w:val="BodyText"/>
        <w:ind w:left="1" w:right="61" w:firstLine="410"/>
        <w:spacing w:before="130" w:line="304" w:lineRule="auto"/>
        <w:rPr/>
      </w:pPr>
      <w:r>
        <w:rPr>
          <w:spacing w:val="7"/>
        </w:rPr>
        <w:t>（一）积极履行职责，但因客观条件的变</w:t>
      </w:r>
      <w:r>
        <w:rPr>
          <w:spacing w:val="7"/>
        </w:rPr>
        <w:t>化和情况紧迫，难以准确判断而处置失当的；</w:t>
      </w:r>
    </w:p>
    <w:p>
      <w:pPr>
        <w:pStyle w:val="BodyText"/>
        <w:ind w:right="63" w:firstLine="411"/>
        <w:spacing w:before="165" w:line="329" w:lineRule="auto"/>
        <w:rPr/>
      </w:pPr>
      <w:r>
        <w:rPr>
          <w:spacing w:val="7"/>
        </w:rPr>
        <w:t>（二）处置失当后，能够主动采取措施，</w:t>
      </w:r>
      <w:r>
        <w:rPr>
          <w:spacing w:val="7"/>
        </w:rPr>
        <w:t>有效减少人员伤亡或者财产损失，挽回社会影</w:t>
      </w:r>
      <w:r>
        <w:rPr>
          <w:spacing w:val="4"/>
        </w:rPr>
        <w:t>响的；</w:t>
      </w:r>
    </w:p>
    <w:p>
      <w:pPr>
        <w:pStyle w:val="BodyText"/>
        <w:ind w:left="3" w:right="70" w:firstLine="409"/>
        <w:spacing w:before="161" w:line="300" w:lineRule="auto"/>
        <w:rPr/>
      </w:pPr>
      <w:r>
        <w:rPr>
          <w:spacing w:val="7"/>
        </w:rPr>
        <w:t>（三）积极配合调查，主动承担责任，整</w:t>
      </w:r>
      <w:r>
        <w:rPr>
          <w:spacing w:val="7"/>
        </w:rPr>
        <w:t>改取得明显成效的。</w:t>
      </w:r>
    </w:p>
    <w:p>
      <w:pPr>
        <w:spacing w:line="463" w:lineRule="auto"/>
        <w:rPr>
          <w:rFonts w:ascii="Arial"/>
          <w:sz w:val="21"/>
        </w:rPr>
      </w:pPr>
      <w:r/>
    </w:p>
    <w:p>
      <w:pPr>
        <w:ind w:left="1346"/>
        <w:spacing w:before="86" w:line="18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第五章</w:t>
      </w:r>
      <w:r>
        <w:rPr>
          <w:rFonts w:ascii="Microsoft YaHei" w:hAnsi="Microsoft YaHei" w:eastAsia="Microsoft YaHei" w:cs="Microsoft YaHei"/>
          <w:sz w:val="20"/>
          <w:szCs w:val="20"/>
          <w:spacing w:val="18"/>
          <w:w w:val="101"/>
        </w:rPr>
        <w:t xml:space="preserve">   </w:t>
      </w:r>
      <w:r>
        <w:rPr>
          <w:rFonts w:ascii="Microsoft YaHei" w:hAnsi="Microsoft YaHei" w:eastAsia="Microsoft YaHei" w:cs="Microsoft YaHei"/>
          <w:sz w:val="20"/>
          <w:szCs w:val="20"/>
          <w:spacing w:val="1"/>
        </w:rPr>
        <w:t>附</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1"/>
        </w:rPr>
        <w:t>则</w:t>
      </w:r>
    </w:p>
    <w:p>
      <w:pPr>
        <w:spacing w:line="435" w:lineRule="auto"/>
        <w:rPr>
          <w:rFonts w:ascii="Arial"/>
          <w:sz w:val="21"/>
        </w:rPr>
      </w:pPr>
      <w:r/>
    </w:p>
    <w:p>
      <w:pPr>
        <w:pStyle w:val="BodyText"/>
        <w:ind w:right="47" w:firstLine="426"/>
        <w:spacing w:before="86" w:line="292" w:lineRule="auto"/>
        <w:rPr/>
      </w:pPr>
      <w:r>
        <w:rPr>
          <w:rFonts w:ascii="Microsoft YaHei" w:hAnsi="Microsoft YaHei" w:eastAsia="Microsoft YaHei" w:cs="Microsoft YaHei"/>
          <w:spacing w:val="6"/>
        </w:rPr>
        <w:t>第二十二条</w:t>
      </w:r>
      <w:r>
        <w:rPr>
          <w:rFonts w:ascii="Microsoft YaHei" w:hAnsi="Microsoft YaHei" w:eastAsia="Microsoft YaHei" w:cs="Microsoft YaHei"/>
          <w:spacing w:val="20"/>
        </w:rPr>
        <w:t xml:space="preserve">   </w:t>
      </w:r>
      <w:r>
        <w:rPr>
          <w:spacing w:val="6"/>
        </w:rPr>
        <w:t>乡镇（街道）党委和政府、</w:t>
      </w:r>
      <w:r>
        <w:rPr>
          <w:spacing w:val="7"/>
        </w:rPr>
        <w:t>村（居）委会、工业园区及其工作人员防灾减</w:t>
      </w:r>
      <w:r>
        <w:rPr>
          <w:spacing w:val="9"/>
        </w:rPr>
        <w:t>灾救灾责任追究，参照本规定执行。</w:t>
      </w:r>
    </w:p>
    <w:p>
      <w:pPr>
        <w:pStyle w:val="BodyText"/>
        <w:ind w:right="70" w:firstLine="426"/>
        <w:spacing w:before="166" w:line="256" w:lineRule="auto"/>
        <w:rPr/>
      </w:pPr>
      <w:r>
        <w:rPr>
          <w:rFonts w:ascii="Microsoft YaHei" w:hAnsi="Microsoft YaHei" w:eastAsia="Microsoft YaHei" w:cs="Microsoft YaHei"/>
          <w:spacing w:val="17"/>
        </w:rPr>
        <w:t>第二十三条</w:t>
      </w:r>
      <w:r>
        <w:rPr>
          <w:rFonts w:ascii="Microsoft YaHei" w:hAnsi="Microsoft YaHei" w:eastAsia="Microsoft YaHei" w:cs="Microsoft YaHei"/>
          <w:spacing w:val="22"/>
          <w:w w:val="101"/>
        </w:rPr>
        <w:t xml:space="preserve">   </w:t>
      </w:r>
      <w:r>
        <w:rPr>
          <w:spacing w:val="17"/>
        </w:rPr>
        <w:t>法律法规和规章等对防灾</w:t>
      </w:r>
      <w:r>
        <w:rPr>
          <w:spacing w:val="9"/>
        </w:rPr>
        <w:t>减灾救灾职责另有规定的，从其规定。</w:t>
      </w:r>
    </w:p>
    <w:p>
      <w:pPr>
        <w:pStyle w:val="BodyText"/>
        <w:ind w:firstLine="434"/>
        <w:spacing w:before="163" w:line="373" w:lineRule="auto"/>
        <w:rPr/>
      </w:pPr>
      <w:r>
        <w:rPr>
          <w:spacing w:val="18"/>
        </w:rPr>
        <w:t>防灾减灾救灾职责因国家防灾减灾救灾</w:t>
      </w:r>
      <w:r>
        <w:rPr/>
        <w:t>体制改革进行调整的，按照调整后的职责确定。</w:t>
      </w:r>
    </w:p>
    <w:p>
      <w:pPr>
        <w:pStyle w:val="BodyText"/>
        <w:ind w:right="70" w:firstLine="426"/>
        <w:spacing w:before="2" w:line="291" w:lineRule="auto"/>
        <w:rPr/>
      </w:pPr>
      <w:r>
        <w:rPr>
          <w:rFonts w:ascii="Microsoft YaHei" w:hAnsi="Microsoft YaHei" w:eastAsia="Microsoft YaHei" w:cs="Microsoft YaHei"/>
          <w:spacing w:val="17"/>
        </w:rPr>
        <w:t>第二十四条</w:t>
      </w:r>
      <w:r>
        <w:rPr>
          <w:rFonts w:ascii="Microsoft YaHei" w:hAnsi="Microsoft YaHei" w:eastAsia="Microsoft YaHei" w:cs="Microsoft YaHei"/>
          <w:spacing w:val="22"/>
          <w:w w:val="101"/>
        </w:rPr>
        <w:t xml:space="preserve">   </w:t>
      </w:r>
      <w:r>
        <w:rPr>
          <w:spacing w:val="17"/>
        </w:rPr>
        <w:t>各级党委和政府对其工作</w:t>
      </w:r>
      <w:r>
        <w:rPr>
          <w:spacing w:val="7"/>
        </w:rPr>
        <w:t>部门防灾减灾救灾职责另有分工的，按照有关</w:t>
      </w:r>
      <w:r>
        <w:rPr>
          <w:spacing w:val="7"/>
        </w:rPr>
        <w:t>职责分工确定。</w:t>
      </w:r>
    </w:p>
    <w:p>
      <w:pPr>
        <w:pStyle w:val="BodyText"/>
        <w:ind w:left="427"/>
        <w:spacing w:before="165" w:line="198" w:lineRule="exact"/>
        <w:rPr/>
      </w:pPr>
      <w:r>
        <w:rPr>
          <w:rFonts w:ascii="Microsoft YaHei" w:hAnsi="Microsoft YaHei" w:eastAsia="Microsoft YaHei" w:cs="Microsoft YaHei"/>
          <w:spacing w:val="9"/>
          <w:position w:val="-1"/>
        </w:rPr>
        <w:t>第二十五条   </w:t>
      </w:r>
      <w:r>
        <w:rPr>
          <w:spacing w:val="9"/>
          <w:position w:val="-1"/>
        </w:rPr>
        <w:t>本规定自印发之日起施行。</w:t>
      </w:r>
    </w:p>
    <w:p>
      <w:pPr>
        <w:spacing w:line="198" w:lineRule="exact"/>
        <w:sectPr>
          <w:type w:val="continuous"/>
          <w:pgSz w:w="11906" w:h="16839"/>
          <w:pgMar w:top="1793" w:right="1520" w:bottom="1673" w:left="1565" w:header="1428" w:footer="1277" w:gutter="0"/>
          <w:cols w:equalWidth="0" w:num="2">
            <w:col w:w="4504" w:space="100"/>
            <w:col w:w="4217" w:space="0"/>
          </w:cols>
        </w:sectPr>
        <w:rPr/>
      </w:pPr>
    </w:p>
    <w:p>
      <w:pPr>
        <w:spacing w:line="285" w:lineRule="auto"/>
        <w:rPr>
          <w:rFonts w:ascii="Arial"/>
          <w:sz w:val="21"/>
        </w:rPr>
      </w:pPr>
      <w:r>
        <w:drawing>
          <wp:anchor distT="0" distB="0" distL="0" distR="0" simplePos="0" relativeHeight="251994112" behindDoc="0" locked="0" layoutInCell="1" allowOverlap="1">
            <wp:simplePos x="0" y="0"/>
            <wp:positionH relativeFrom="column">
              <wp:posOffset>5393</wp:posOffset>
            </wp:positionH>
            <wp:positionV relativeFrom="paragraph">
              <wp:posOffset>25519</wp:posOffset>
            </wp:positionV>
            <wp:extent cx="5579745" cy="7620"/>
            <wp:effectExtent l="0" t="0" r="0" b="0"/>
            <wp:wrapNone/>
            <wp:docPr id="944" name="IM 944"/>
            <wp:cNvGraphicFramePr/>
            <a:graphic>
              <a:graphicData uri="http://schemas.openxmlformats.org/drawingml/2006/picture">
                <pic:pic>
                  <pic:nvPicPr>
                    <pic:cNvPr id="944" name="IM 944"/>
                    <pic:cNvPicPr/>
                  </pic:nvPicPr>
                  <pic:blipFill>
                    <a:blip r:embed="rId474"/>
                    <a:stretch>
                      <a:fillRect/>
                    </a:stretch>
                  </pic:blipFill>
                  <pic:spPr>
                    <a:xfrm rot="0">
                      <a:off x="0" y="0"/>
                      <a:ext cx="5579745" cy="7620"/>
                    </a:xfrm>
                    <a:prstGeom prst="rect">
                      <a:avLst/>
                    </a:prstGeom>
                  </pic:spPr>
                </pic:pic>
              </a:graphicData>
            </a:graphic>
          </wp:anchor>
        </w:drawing>
      </w:r>
      <w:r/>
    </w:p>
    <w:p>
      <w:pPr>
        <w:spacing w:line="285" w:lineRule="auto"/>
        <w:rPr>
          <w:rFonts w:ascii="Arial"/>
          <w:sz w:val="21"/>
        </w:rPr>
      </w:pPr>
      <w:r/>
    </w:p>
    <w:p>
      <w:pPr>
        <w:spacing w:line="286" w:lineRule="auto"/>
        <w:rPr>
          <w:rFonts w:ascii="Arial"/>
          <w:sz w:val="21"/>
        </w:rPr>
      </w:pPr>
      <w:r/>
    </w:p>
    <w:p>
      <w:pPr>
        <w:pStyle w:val="BodyText"/>
        <w:ind w:left="2181"/>
        <w:spacing w:before="140" w:line="205" w:lineRule="auto"/>
        <w:outlineLvl w:val="0"/>
        <w:rPr>
          <w:sz w:val="43"/>
          <w:szCs w:val="43"/>
        </w:rPr>
      </w:pPr>
      <w:r>
        <w:rPr>
          <w:sz w:val="43"/>
          <w:szCs w:val="43"/>
          <w:b/>
          <w:bCs/>
          <w:spacing w:val="2"/>
        </w:rPr>
        <w:t>固原市人民政府办公室</w:t>
      </w:r>
    </w:p>
    <w:p>
      <w:pPr>
        <w:pStyle w:val="BodyText"/>
        <w:ind w:left="1279"/>
        <w:spacing w:before="1" w:line="219" w:lineRule="auto"/>
        <w:outlineLvl w:val="0"/>
        <w:rPr>
          <w:sz w:val="43"/>
          <w:szCs w:val="43"/>
        </w:rPr>
      </w:pPr>
      <w:r>
        <w:rPr>
          <w:sz w:val="43"/>
          <w:szCs w:val="43"/>
          <w:b/>
          <w:bCs/>
          <w:spacing w:val="4"/>
        </w:rPr>
        <w:t>关于承接落实国务院取消和下放</w:t>
      </w:r>
    </w:p>
    <w:p>
      <w:pPr>
        <w:pStyle w:val="BodyText"/>
        <w:ind w:left="2383"/>
        <w:spacing w:line="594" w:lineRule="exact"/>
        <w:outlineLvl w:val="0"/>
        <w:rPr>
          <w:sz w:val="43"/>
          <w:szCs w:val="43"/>
        </w:rPr>
      </w:pPr>
      <w:r>
        <w:rPr>
          <w:sz w:val="43"/>
          <w:szCs w:val="43"/>
          <w:b/>
          <w:bCs/>
          <w:spacing w:val="4"/>
          <w:position w:val="2"/>
        </w:rPr>
        <w:t>行政许可事项的通知</w:t>
      </w:r>
    </w:p>
    <w:p>
      <w:pPr>
        <w:spacing w:line="265" w:lineRule="auto"/>
        <w:rPr>
          <w:rFonts w:ascii="Arial"/>
          <w:sz w:val="21"/>
        </w:rPr>
      </w:pPr>
      <w:r/>
    </w:p>
    <w:p>
      <w:pPr>
        <w:pStyle w:val="BodyText"/>
        <w:ind w:left="6716"/>
        <w:spacing w:before="65" w:line="278" w:lineRule="exact"/>
        <w:rPr/>
      </w:pPr>
      <w:r>
        <w:rPr>
          <w:spacing w:val="1"/>
          <w:position w:val="1"/>
        </w:rPr>
        <w:t>固政办发〔</w:t>
      </w:r>
      <w:r>
        <w:rPr>
          <w:rFonts w:ascii="Times New Roman" w:hAnsi="Times New Roman" w:eastAsia="Times New Roman" w:cs="Times New Roman"/>
          <w:spacing w:val="1"/>
          <w:position w:val="1"/>
        </w:rPr>
        <w:t>2021 </w:t>
      </w:r>
      <w:r>
        <w:rPr>
          <w:spacing w:val="1"/>
          <w:position w:val="1"/>
        </w:rPr>
        <w:t>〕</w:t>
      </w:r>
      <w:r>
        <w:rPr>
          <w:rFonts w:ascii="Times New Roman" w:hAnsi="Times New Roman" w:eastAsia="Times New Roman" w:cs="Times New Roman"/>
          <w:spacing w:val="1"/>
          <w:position w:val="1"/>
        </w:rPr>
        <w:t>1 </w:t>
      </w:r>
      <w:r>
        <w:rPr>
          <w:spacing w:val="1"/>
          <w:position w:val="1"/>
        </w:rPr>
        <w:t>号</w:t>
      </w:r>
    </w:p>
    <w:p>
      <w:pPr>
        <w:spacing w:before="100"/>
        <w:rPr/>
      </w:pPr>
      <w:r/>
    </w:p>
    <w:p>
      <w:pPr>
        <w:sectPr>
          <w:headerReference w:type="default" r:id="rId472"/>
          <w:footerReference w:type="default" r:id="rId473"/>
          <w:pgSz w:w="11906" w:h="16839"/>
          <w:pgMar w:top="1766" w:right="1526" w:bottom="1570" w:left="1579" w:header="1428" w:footer="1172" w:gutter="0"/>
          <w:cols w:equalWidth="0" w:num="1">
            <w:col w:w="8801" w:space="0"/>
          </w:cols>
        </w:sectPr>
        <w:rPr/>
      </w:pPr>
    </w:p>
    <w:p>
      <w:pPr>
        <w:pStyle w:val="BodyText"/>
        <w:ind w:left="14" w:right="329" w:hanging="1"/>
        <w:spacing w:before="47" w:line="332" w:lineRule="auto"/>
        <w:rPr/>
      </w:pPr>
      <w:r>
        <w:rPr>
          <w:spacing w:val="4"/>
        </w:rPr>
        <w:t>各县（</w:t>
      </w:r>
      <w:r>
        <w:rPr>
          <w:spacing w:val="-36"/>
        </w:rPr>
        <w:t xml:space="preserve"> </w:t>
      </w:r>
      <w:r>
        <w:rPr>
          <w:spacing w:val="4"/>
        </w:rPr>
        <w:t>区）人民政府，市政府各部门、派出机</w:t>
      </w:r>
      <w:r>
        <w:rPr>
          <w:spacing w:val="7"/>
        </w:rPr>
        <w:t>构、事业单位：</w:t>
      </w:r>
    </w:p>
    <w:p>
      <w:pPr>
        <w:pStyle w:val="BodyText"/>
        <w:ind w:left="9" w:right="327" w:firstLine="425"/>
        <w:spacing w:before="2" w:line="333" w:lineRule="auto"/>
        <w:jc w:val="both"/>
        <w:rPr/>
      </w:pPr>
      <w:r>
        <w:rPr>
          <w:spacing w:val="6"/>
        </w:rPr>
        <w:t>根据《国务院关于取消和下放一批行政许</w:t>
      </w:r>
      <w:r>
        <w:rPr>
          <w:spacing w:val="-3"/>
        </w:rPr>
        <w:t>可事项的决定》（</w:t>
      </w:r>
      <w:r>
        <w:rPr>
          <w:spacing w:val="-22"/>
        </w:rPr>
        <w:t xml:space="preserve"> </w:t>
      </w:r>
      <w:r>
        <w:rPr>
          <w:spacing w:val="-3"/>
        </w:rPr>
        <w:t>国发〔</w:t>
      </w:r>
      <w:r>
        <w:rPr>
          <w:rFonts w:ascii="Times New Roman" w:hAnsi="Times New Roman" w:eastAsia="Times New Roman" w:cs="Times New Roman"/>
          <w:spacing w:val="-3"/>
        </w:rPr>
        <w:t>202O</w:t>
      </w:r>
      <w:r>
        <w:rPr>
          <w:spacing w:val="-3"/>
        </w:rPr>
        <w:t>〕</w:t>
      </w:r>
      <w:r>
        <w:rPr>
          <w:rFonts w:ascii="Times New Roman" w:hAnsi="Times New Roman" w:eastAsia="Times New Roman" w:cs="Times New Roman"/>
          <w:spacing w:val="-3"/>
        </w:rPr>
        <w:t>13</w:t>
      </w:r>
      <w:r>
        <w:rPr>
          <w:spacing w:val="-3"/>
        </w:rPr>
        <w:t>号）和《 自</w:t>
      </w:r>
      <w:r>
        <w:rPr>
          <w:spacing w:val="18"/>
        </w:rPr>
        <w:t>治区人民政府办公厅关于承接落实国务院取</w:t>
      </w:r>
      <w:r>
        <w:rPr>
          <w:spacing w:val="15"/>
        </w:rPr>
        <w:t>消和下放行政许可事项的通知》（</w:t>
      </w:r>
      <w:r>
        <w:rPr>
          <w:spacing w:val="-37"/>
        </w:rPr>
        <w:t xml:space="preserve"> </w:t>
      </w:r>
      <w:r>
        <w:rPr>
          <w:spacing w:val="15"/>
        </w:rPr>
        <w:t>宁政办发</w:t>
      </w:r>
      <w:r>
        <w:rPr>
          <w:spacing w:val="2"/>
        </w:rPr>
        <w:t>〔</w:t>
      </w:r>
      <w:r>
        <w:rPr>
          <w:rFonts w:ascii="Times New Roman" w:hAnsi="Times New Roman" w:eastAsia="Times New Roman" w:cs="Times New Roman"/>
          <w:spacing w:val="2"/>
        </w:rPr>
        <w:t>2021</w:t>
      </w:r>
      <w:r>
        <w:rPr>
          <w:spacing w:val="2"/>
        </w:rPr>
        <w:t>〕</w:t>
      </w:r>
      <w:r>
        <w:rPr>
          <w:rFonts w:ascii="Times New Roman" w:hAnsi="Times New Roman" w:eastAsia="Times New Roman" w:cs="Times New Roman"/>
          <w:spacing w:val="2"/>
        </w:rPr>
        <w:t>4</w:t>
      </w:r>
      <w:r>
        <w:rPr>
          <w:spacing w:val="2"/>
        </w:rPr>
        <w:t>号）文件精神，我市对应国务院取消</w:t>
      </w:r>
      <w:r>
        <w:rPr>
          <w:spacing w:val="10"/>
        </w:rPr>
        <w:t>中央指定地方实施的行政许可事项</w:t>
      </w:r>
      <w:r>
        <w:rPr>
          <w:rFonts w:ascii="Times New Roman" w:hAnsi="Times New Roman" w:eastAsia="Times New Roman" w:cs="Times New Roman"/>
          <w:spacing w:val="10"/>
        </w:rPr>
        <w:t>8</w:t>
      </w:r>
      <w:r>
        <w:rPr>
          <w:spacing w:val="10"/>
        </w:rPr>
        <w:t>项</w:t>
      </w:r>
      <w:r>
        <w:rPr>
          <w:spacing w:val="-52"/>
        </w:rPr>
        <w:t xml:space="preserve"> </w:t>
      </w:r>
      <w:r>
        <w:rPr>
          <w:spacing w:val="10"/>
        </w:rPr>
        <w:t>，对应</w:t>
      </w:r>
      <w:r>
        <w:rPr>
          <w:spacing w:val="18"/>
        </w:rPr>
        <w:t>承接国务院决定下放审批层级的行政许可事</w:t>
      </w:r>
      <w:r>
        <w:rPr>
          <w:spacing w:val="22"/>
        </w:rPr>
        <w:t>项</w:t>
      </w:r>
      <w:r>
        <w:rPr>
          <w:rFonts w:ascii="Times New Roman" w:hAnsi="Times New Roman" w:eastAsia="Times New Roman" w:cs="Times New Roman"/>
          <w:spacing w:val="22"/>
        </w:rPr>
        <w:t>3</w:t>
      </w:r>
      <w:r>
        <w:rPr>
          <w:spacing w:val="22"/>
        </w:rPr>
        <w:t>项。为切实做好承接落实工作，经市人</w:t>
      </w:r>
      <w:r>
        <w:rPr>
          <w:spacing w:val="27"/>
        </w:rPr>
        <w:t>民政府同意</w:t>
      </w:r>
      <w:r>
        <w:rPr>
          <w:spacing w:val="-37"/>
        </w:rPr>
        <w:t xml:space="preserve"> </w:t>
      </w:r>
      <w:r>
        <w:rPr>
          <w:spacing w:val="27"/>
        </w:rPr>
        <w:t>，现就有关事宜通知如下：</w:t>
      </w:r>
    </w:p>
    <w:p>
      <w:pPr>
        <w:ind w:left="442"/>
        <w:spacing w:line="18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一、做好取消下放事项的流程再造工作</w:t>
      </w:r>
    </w:p>
    <w:p>
      <w:pPr>
        <w:pStyle w:val="BodyText"/>
        <w:ind w:left="11" w:right="322" w:firstLine="421"/>
        <w:spacing w:before="93" w:line="332" w:lineRule="auto"/>
        <w:rPr/>
      </w:pPr>
      <w:r>
        <w:rPr>
          <w:spacing w:val="6"/>
        </w:rPr>
        <w:t>各县（区）各有关部门要全力做好国务院</w:t>
      </w:r>
      <w:r>
        <w:rPr>
          <w:spacing w:val="7"/>
        </w:rPr>
        <w:t>取消和下放行政许可事项落实工作，对取消的</w:t>
      </w:r>
      <w:r>
        <w:rPr>
          <w:spacing w:val="7"/>
        </w:rPr>
        <w:t>许可事项，要分级细化监管措施，明确监管主</w:t>
      </w:r>
      <w:r>
        <w:rPr>
          <w:spacing w:val="7"/>
        </w:rPr>
        <w:t>体，落实监管责任；对审批改为备案的事项，</w:t>
      </w:r>
      <w:r>
        <w:rPr>
          <w:spacing w:val="7"/>
        </w:rPr>
        <w:t>要完善备案制度，简化备案要素，防止以备案</w:t>
      </w:r>
      <w:r>
        <w:rPr>
          <w:spacing w:val="7"/>
        </w:rPr>
        <w:t>之名行审批之实；对下放的许可事项，要优化</w:t>
      </w:r>
      <w:r>
        <w:rPr>
          <w:spacing w:val="11"/>
        </w:rPr>
        <w:t>审批流程</w:t>
      </w:r>
      <w:r>
        <w:rPr>
          <w:spacing w:val="-49"/>
        </w:rPr>
        <w:t xml:space="preserve"> </w:t>
      </w:r>
      <w:r>
        <w:rPr>
          <w:spacing w:val="11"/>
        </w:rPr>
        <w:t>，精简申报材料</w:t>
      </w:r>
      <w:r>
        <w:rPr>
          <w:spacing w:val="-54"/>
        </w:rPr>
        <w:t xml:space="preserve"> </w:t>
      </w:r>
      <w:r>
        <w:rPr>
          <w:spacing w:val="11"/>
        </w:rPr>
        <w:t>，压缩审批时限</w:t>
      </w:r>
      <w:r>
        <w:rPr>
          <w:spacing w:val="-53"/>
        </w:rPr>
        <w:t xml:space="preserve"> </w:t>
      </w:r>
      <w:r>
        <w:rPr>
          <w:spacing w:val="11"/>
        </w:rPr>
        <w:t>，</w:t>
      </w:r>
      <w:r>
        <w:rPr>
          <w:spacing w:val="15"/>
        </w:rPr>
        <w:t>提高审批效率和服务水平</w:t>
      </w:r>
      <w:r>
        <w:rPr>
          <w:spacing w:val="-42"/>
        </w:rPr>
        <w:t xml:space="preserve"> </w:t>
      </w:r>
      <w:r>
        <w:rPr>
          <w:spacing w:val="15"/>
        </w:rPr>
        <w:t>，便利企业和群众</w:t>
      </w:r>
      <w:r>
        <w:rPr>
          <w:spacing w:val="6"/>
        </w:rPr>
        <w:t>办事。</w:t>
      </w:r>
    </w:p>
    <w:p>
      <w:pPr>
        <w:ind w:left="441"/>
        <w:spacing w:before="10" w:line="18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二、做好取消下放事项的事中事后监管工作</w:t>
      </w:r>
    </w:p>
    <w:p>
      <w:pPr>
        <w:pStyle w:val="BodyText"/>
        <w:ind w:left="11" w:right="248" w:firstLine="421"/>
        <w:spacing w:before="119" w:line="333" w:lineRule="auto"/>
        <w:rPr/>
      </w:pPr>
      <w:r>
        <w:rPr>
          <w:spacing w:val="6"/>
        </w:rPr>
        <w:t>各县（区）各有关部门要建立完善相关事</w:t>
      </w:r>
      <w:r>
        <w:rPr>
          <w:spacing w:val="2"/>
        </w:rPr>
        <w:t>项监管措施，采取</w:t>
      </w:r>
      <w:r>
        <w:rPr>
          <w:rFonts w:ascii="Times New Roman" w:hAnsi="Times New Roman" w:eastAsia="Times New Roman" w:cs="Times New Roman"/>
          <w:spacing w:val="2"/>
        </w:rPr>
        <w:t>“</w:t>
      </w:r>
      <w:r>
        <w:rPr>
          <w:spacing w:val="2"/>
        </w:rPr>
        <w:t>双随机、一公开</w:t>
      </w:r>
      <w:r>
        <w:rPr>
          <w:rFonts w:ascii="Times New Roman" w:hAnsi="Times New Roman" w:eastAsia="Times New Roman" w:cs="Times New Roman"/>
          <w:spacing w:val="2"/>
        </w:rPr>
        <w:t>”</w:t>
      </w:r>
      <w:r>
        <w:rPr>
          <w:spacing w:val="2"/>
        </w:rPr>
        <w:t>联合监管、</w:t>
      </w:r>
      <w:r>
        <w:rPr>
          <w:spacing w:val="2"/>
        </w:rPr>
        <w:t>重点监管、信用监管、</w:t>
      </w:r>
      <w:r>
        <w:rPr>
          <w:rFonts w:ascii="Times New Roman" w:hAnsi="Times New Roman" w:eastAsia="Times New Roman" w:cs="Times New Roman"/>
          <w:spacing w:val="2"/>
        </w:rPr>
        <w:t>“</w:t>
      </w:r>
      <w:r>
        <w:rPr>
          <w:spacing w:val="2"/>
        </w:rPr>
        <w:t>互联网＋监管</w:t>
      </w:r>
      <w:r>
        <w:rPr>
          <w:rFonts w:ascii="Times New Roman" w:hAnsi="Times New Roman" w:eastAsia="Times New Roman" w:cs="Times New Roman"/>
          <w:spacing w:val="2"/>
        </w:rPr>
        <w:t>”</w:t>
      </w:r>
      <w:r>
        <w:rPr>
          <w:spacing w:val="2"/>
        </w:rPr>
        <w:t>等方式，</w:t>
      </w:r>
      <w:r>
        <w:rPr>
          <w:spacing w:val="7"/>
        </w:rPr>
        <w:t>加强和创新事中事后监管，确保接得住、管得</w:t>
      </w:r>
      <w:r>
        <w:rPr>
          <w:spacing w:val="7"/>
        </w:rPr>
        <w:t>好。要积极做好与自治区厅局的工作衔接，及</w:t>
      </w:r>
    </w:p>
    <w:p>
      <w:pPr>
        <w:spacing w:line="14" w:lineRule="auto"/>
        <w:rPr>
          <w:rFonts w:ascii="Arial"/>
          <w:sz w:val="2"/>
        </w:rPr>
      </w:pPr>
      <w:r>
        <w:rPr>
          <w:rFonts w:ascii="Arial" w:hAnsi="Arial" w:eastAsia="Arial" w:cs="Arial"/>
          <w:sz w:val="2"/>
          <w:szCs w:val="2"/>
        </w:rPr>
        <w:br w:type="column"/>
      </w:r>
    </w:p>
    <w:p>
      <w:pPr>
        <w:pStyle w:val="BodyText"/>
        <w:ind w:left="20" w:right="57" w:hanging="8"/>
        <w:spacing w:before="75" w:line="360" w:lineRule="auto"/>
        <w:rPr/>
      </w:pPr>
      <w:r>
        <w:rPr>
          <w:spacing w:val="7"/>
        </w:rPr>
        <w:t>时编制完善并向社会公布事中事后监管细则，</w:t>
      </w:r>
      <w:r>
        <w:rPr>
          <w:spacing w:val="7"/>
        </w:rPr>
        <w:t>同时加强宣传解读和督促落实。</w:t>
      </w:r>
    </w:p>
    <w:p>
      <w:pPr>
        <w:ind w:left="432"/>
        <w:spacing w:before="2" w:line="18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三、做好取消下放事项的清单调整工作</w:t>
      </w:r>
    </w:p>
    <w:p>
      <w:pPr>
        <w:pStyle w:val="BodyText"/>
        <w:ind w:right="57" w:firstLine="421"/>
        <w:spacing w:before="123" w:line="360" w:lineRule="auto"/>
        <w:rPr/>
      </w:pPr>
      <w:r>
        <w:rPr>
          <w:spacing w:val="6"/>
        </w:rPr>
        <w:t>各县（区）各有关部门要桉照自治区政务</w:t>
      </w:r>
      <w:r>
        <w:rPr>
          <w:spacing w:val="7"/>
        </w:rPr>
        <w:t>服务事项实施清单编制工作要求，对各层级涉</w:t>
      </w:r>
      <w:r>
        <w:rPr>
          <w:spacing w:val="7"/>
        </w:rPr>
        <w:t>及取消和下放的行政许可事项及时进行调整，</w:t>
      </w:r>
      <w:r>
        <w:rPr>
          <w:spacing w:val="7"/>
        </w:rPr>
        <w:t>同步更新宁夏政务服务平台数据信息，推动线</w:t>
      </w:r>
      <w:r>
        <w:rPr>
          <w:spacing w:val="7"/>
        </w:rPr>
        <w:t>上线下深度融合、同标准办理。对涉及各级权</w:t>
      </w:r>
      <w:r>
        <w:rPr>
          <w:spacing w:val="7"/>
        </w:rPr>
        <w:t>责清单、政务服务事项清单调整的，要按照相</w:t>
      </w:r>
      <w:r>
        <w:rPr>
          <w:spacing w:val="8"/>
        </w:rPr>
        <w:t>关规定及时进行调整。</w:t>
      </w:r>
    </w:p>
    <w:p>
      <w:pPr>
        <w:ind w:left="441"/>
        <w:spacing w:before="6" w:line="18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四、做好取消下放事项的跟踪督查工作</w:t>
      </w:r>
    </w:p>
    <w:p>
      <w:pPr>
        <w:pStyle w:val="BodyText"/>
        <w:ind w:firstLine="421"/>
        <w:spacing w:before="122" w:line="361" w:lineRule="auto"/>
        <w:rPr/>
      </w:pPr>
      <w:r>
        <w:rPr>
          <w:spacing w:val="-1"/>
        </w:rPr>
        <w:t>各县（区）各部门要进一步提高政治站位，</w:t>
      </w:r>
      <w:r>
        <w:rPr>
          <w:spacing w:val="7"/>
        </w:rPr>
        <w:t>强化组织领导，细化改革配套措施，加强业务</w:t>
      </w:r>
      <w:r>
        <w:rPr>
          <w:spacing w:val="7"/>
        </w:rPr>
        <w:t>指导和培训，注重上下衔接、协同联动，高质</w:t>
      </w:r>
      <w:r>
        <w:rPr>
          <w:spacing w:val="7"/>
        </w:rPr>
        <w:t>量推动工作落实。市人民政府办公室将会同相</w:t>
      </w:r>
      <w:r>
        <w:rPr>
          <w:spacing w:val="7"/>
        </w:rPr>
        <w:t>关部门适时开展跟踪督查和调研指导，确保国</w:t>
      </w:r>
      <w:r>
        <w:rPr>
          <w:spacing w:val="8"/>
        </w:rPr>
        <w:t>务院决定落地见效。</w:t>
      </w:r>
    </w:p>
    <w:p>
      <w:pPr>
        <w:spacing w:line="264" w:lineRule="auto"/>
        <w:rPr>
          <w:rFonts w:ascii="Arial"/>
          <w:sz w:val="21"/>
        </w:rPr>
      </w:pPr>
      <w:r/>
    </w:p>
    <w:p>
      <w:pPr>
        <w:pStyle w:val="BodyText"/>
        <w:ind w:left="4" w:right="62" w:firstLine="429"/>
        <w:spacing w:before="66" w:line="294" w:lineRule="auto"/>
        <w:outlineLvl w:val="1"/>
        <w:rPr/>
      </w:pPr>
      <w:r>
        <w:rPr>
          <w:spacing w:val="1"/>
        </w:rPr>
        <w:t>附件：</w:t>
      </w:r>
      <w:r>
        <w:rPr>
          <w:rFonts w:ascii="Times New Roman" w:hAnsi="Times New Roman" w:eastAsia="Times New Roman" w:cs="Times New Roman"/>
          <w:spacing w:val="1"/>
        </w:rPr>
        <w:t>1.</w:t>
      </w:r>
      <w:r>
        <w:rPr>
          <w:rFonts w:ascii="Times New Roman" w:hAnsi="Times New Roman" w:eastAsia="Times New Roman" w:cs="Times New Roman"/>
          <w:spacing w:val="22"/>
        </w:rPr>
        <w:t xml:space="preserve">  </w:t>
      </w:r>
      <w:r>
        <w:rPr>
          <w:spacing w:val="1"/>
        </w:rPr>
        <w:t>国务院决定取消的中央指定地方</w:t>
      </w:r>
      <w:r>
        <w:rPr>
          <w:spacing w:val="9"/>
        </w:rPr>
        <w:t>实施的行政许可事项目录（共</w:t>
      </w:r>
      <w:r>
        <w:rPr>
          <w:rFonts w:ascii="Times New Roman" w:hAnsi="Times New Roman" w:eastAsia="Times New Roman" w:cs="Times New Roman"/>
          <w:spacing w:val="9"/>
        </w:rPr>
        <w:t>8</w:t>
      </w:r>
      <w:r>
        <w:rPr>
          <w:spacing w:val="9"/>
        </w:rPr>
        <w:t>项）</w:t>
      </w:r>
    </w:p>
    <w:p>
      <w:pPr>
        <w:pStyle w:val="BodyText"/>
        <w:ind w:left="2" w:right="64" w:firstLine="419"/>
        <w:spacing w:before="87" w:line="353" w:lineRule="auto"/>
        <w:rPr/>
      </w:pPr>
      <w:r>
        <w:rPr>
          <w:rFonts w:ascii="Times New Roman" w:hAnsi="Times New Roman" w:eastAsia="Times New Roman" w:cs="Times New Roman"/>
          <w:spacing w:val="13"/>
        </w:rPr>
        <w:t>2.</w:t>
      </w:r>
      <w:r>
        <w:rPr>
          <w:rFonts w:ascii="Times New Roman" w:hAnsi="Times New Roman" w:eastAsia="Times New Roman" w:cs="Times New Roman"/>
          <w:spacing w:val="20"/>
        </w:rPr>
        <w:t xml:space="preserve">  </w:t>
      </w:r>
      <w:r>
        <w:rPr>
          <w:spacing w:val="13"/>
        </w:rPr>
        <w:t>国务院决定下放审批层级的行政许可</w:t>
      </w:r>
      <w:r>
        <w:rPr>
          <w:spacing w:val="7"/>
        </w:rPr>
        <w:t>事项目录（共</w:t>
      </w:r>
      <w:r>
        <w:rPr>
          <w:spacing w:val="-35"/>
        </w:rPr>
        <w:t xml:space="preserve"> </w:t>
      </w:r>
      <w:r>
        <w:rPr>
          <w:rFonts w:ascii="Times New Roman" w:hAnsi="Times New Roman" w:eastAsia="Times New Roman" w:cs="Times New Roman"/>
          <w:spacing w:val="7"/>
        </w:rPr>
        <w:t>3 </w:t>
      </w:r>
      <w:r>
        <w:rPr>
          <w:spacing w:val="7"/>
        </w:rPr>
        <w:t>项）</w:t>
      </w:r>
    </w:p>
    <w:p>
      <w:pPr>
        <w:spacing w:line="248" w:lineRule="auto"/>
        <w:rPr>
          <w:rFonts w:ascii="Arial"/>
          <w:sz w:val="21"/>
        </w:rPr>
      </w:pPr>
      <w:r/>
    </w:p>
    <w:p>
      <w:pPr>
        <w:pStyle w:val="BodyText"/>
        <w:ind w:left="1990"/>
        <w:spacing w:before="65" w:line="218" w:lineRule="auto"/>
        <w:rPr/>
      </w:pPr>
      <w:r>
        <w:rPr>
          <w:spacing w:val="7"/>
        </w:rPr>
        <w:t>固原市人民政府办公室</w:t>
      </w:r>
    </w:p>
    <w:p>
      <w:pPr>
        <w:pStyle w:val="BodyText"/>
        <w:ind w:left="2286"/>
        <w:spacing w:before="125" w:line="218" w:lineRule="auto"/>
        <w:rPr/>
      </w:pPr>
      <w:r>
        <w:rPr>
          <w:rFonts w:ascii="Times New Roman" w:hAnsi="Times New Roman" w:eastAsia="Times New Roman" w:cs="Times New Roman"/>
          <w:spacing w:val="1"/>
        </w:rPr>
        <w:t>2021 </w:t>
      </w:r>
      <w:r>
        <w:rPr>
          <w:spacing w:val="1"/>
        </w:rPr>
        <w:t>年</w:t>
      </w:r>
      <w:r>
        <w:rPr>
          <w:spacing w:val="-20"/>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11"/>
        </w:rPr>
        <w:t xml:space="preserve"> </w:t>
      </w:r>
      <w:r>
        <w:rPr>
          <w:spacing w:val="1"/>
        </w:rPr>
        <w:t>月</w:t>
      </w:r>
      <w:r>
        <w:rPr>
          <w:spacing w:val="-43"/>
        </w:rPr>
        <w:t xml:space="preserve"> </w:t>
      </w:r>
      <w:r>
        <w:rPr>
          <w:rFonts w:ascii="Times New Roman" w:hAnsi="Times New Roman" w:eastAsia="Times New Roman" w:cs="Times New Roman"/>
          <w:spacing w:val="1"/>
        </w:rPr>
        <w:t>26  </w:t>
      </w:r>
      <w:r>
        <w:rPr>
          <w:spacing w:val="1"/>
        </w:rPr>
        <w:t>日</w:t>
      </w:r>
    </w:p>
    <w:p>
      <w:pPr>
        <w:pStyle w:val="BodyText"/>
        <w:ind w:left="413"/>
        <w:spacing w:before="119" w:line="221" w:lineRule="auto"/>
        <w:rPr/>
      </w:pPr>
      <w:r>
        <w:rPr>
          <w:spacing w:val="10"/>
        </w:rPr>
        <w:t>（此件公开发布）</w:t>
      </w:r>
    </w:p>
    <w:p>
      <w:pPr>
        <w:spacing w:line="221" w:lineRule="auto"/>
        <w:sectPr>
          <w:type w:val="continuous"/>
          <w:pgSz w:w="11906" w:h="16839"/>
          <w:pgMar w:top="1766" w:right="1526" w:bottom="1570" w:left="1579" w:header="1428" w:footer="1172" w:gutter="0"/>
          <w:cols w:equalWidth="0" w:num="2">
            <w:col w:w="4489" w:space="100"/>
            <w:col w:w="4212" w:space="0"/>
          </w:cols>
        </w:sectPr>
        <w:rPr/>
      </w:pPr>
    </w:p>
    <w:p>
      <w:pPr>
        <w:ind w:left="83"/>
        <w:spacing w:before="324" w:line="189" w:lineRule="auto"/>
        <w:rPr>
          <w:rFonts w:ascii="Microsoft YaHei" w:hAnsi="Microsoft YaHei" w:eastAsia="Microsoft YaHei" w:cs="Microsoft YaHei"/>
          <w:sz w:val="20"/>
          <w:szCs w:val="20"/>
        </w:rPr>
      </w:pPr>
      <w:r>
        <w:drawing>
          <wp:anchor distT="0" distB="0" distL="0" distR="0" simplePos="0" relativeHeight="251996160"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948" name="IM 948"/>
            <wp:cNvGraphicFramePr/>
            <a:graphic>
              <a:graphicData uri="http://schemas.openxmlformats.org/drawingml/2006/picture">
                <pic:pic>
                  <pic:nvPicPr>
                    <pic:cNvPr id="948" name="IM 948"/>
                    <pic:cNvPicPr/>
                  </pic:nvPicPr>
                  <pic:blipFill>
                    <a:blip r:embed="rId476"/>
                    <a:stretch>
                      <a:fillRect/>
                    </a:stretch>
                  </pic:blipFill>
                  <pic:spPr>
                    <a:xfrm rot="0">
                      <a:off x="0" y="0"/>
                      <a:ext cx="8712200" cy="7620"/>
                    </a:xfrm>
                    <a:prstGeom prst="rect">
                      <a:avLst/>
                    </a:prstGeom>
                  </pic:spPr>
                </pic:pic>
              </a:graphicData>
            </a:graphic>
          </wp:anchor>
        </w:drawing>
      </w:r>
      <w:r>
        <w:rPr>
          <w:rFonts w:ascii="Microsoft YaHei" w:hAnsi="Microsoft YaHei" w:eastAsia="Microsoft YaHei" w:cs="Microsoft YaHei"/>
          <w:sz w:val="20"/>
          <w:szCs w:val="20"/>
          <w:spacing w:val="5"/>
        </w:rPr>
        <w:t>附件</w:t>
      </w:r>
      <w:r>
        <w:rPr>
          <w:rFonts w:ascii="Microsoft YaHei" w:hAnsi="Microsoft YaHei" w:eastAsia="Microsoft YaHei" w:cs="Microsoft YaHei"/>
          <w:sz w:val="20"/>
          <w:szCs w:val="20"/>
          <w:spacing w:val="15"/>
          <w:w w:val="101"/>
        </w:rPr>
        <w:t xml:space="preserve"> </w:t>
      </w:r>
      <w:r>
        <w:rPr>
          <w:rFonts w:ascii="Microsoft YaHei" w:hAnsi="Microsoft YaHei" w:eastAsia="Microsoft YaHei" w:cs="Microsoft YaHei"/>
          <w:sz w:val="20"/>
          <w:szCs w:val="20"/>
          <w:spacing w:val="5"/>
        </w:rPr>
        <w:t>1</w:t>
      </w:r>
    </w:p>
    <w:p>
      <w:pPr>
        <w:pStyle w:val="BodyText"/>
        <w:ind w:left="1218"/>
        <w:spacing w:line="605" w:lineRule="exact"/>
        <w:outlineLvl w:val="0"/>
        <w:rPr>
          <w:sz w:val="43"/>
          <w:szCs w:val="43"/>
        </w:rPr>
      </w:pPr>
      <w:r>
        <w:rPr>
          <w:sz w:val="43"/>
          <w:szCs w:val="43"/>
          <w:b/>
          <w:bCs/>
          <w:spacing w:val="21"/>
          <w:position w:val="3"/>
        </w:rPr>
        <w:t>国务院决定取消的中央指定地方实施的行政许可事项目录</w:t>
      </w:r>
    </w:p>
    <w:p>
      <w:pPr>
        <w:pStyle w:val="BodyText"/>
        <w:ind w:left="6364"/>
        <w:spacing w:before="31"/>
        <w:rPr/>
      </w:pPr>
      <w:r>
        <w:drawing>
          <wp:anchor distT="0" distB="0" distL="0" distR="0" simplePos="0" relativeHeight="251997184" behindDoc="0" locked="0" layoutInCell="1" allowOverlap="1">
            <wp:simplePos x="0" y="0"/>
            <wp:positionH relativeFrom="column">
              <wp:posOffset>23875</wp:posOffset>
            </wp:positionH>
            <wp:positionV relativeFrom="paragraph">
              <wp:posOffset>4597526</wp:posOffset>
            </wp:positionV>
            <wp:extent cx="8712200" cy="7620"/>
            <wp:effectExtent l="0" t="0" r="0" b="0"/>
            <wp:wrapNone/>
            <wp:docPr id="950" name="IM 950"/>
            <wp:cNvGraphicFramePr/>
            <a:graphic>
              <a:graphicData uri="http://schemas.openxmlformats.org/drawingml/2006/picture">
                <pic:pic>
                  <pic:nvPicPr>
                    <pic:cNvPr id="950" name="IM 950"/>
                    <pic:cNvPicPr/>
                  </pic:nvPicPr>
                  <pic:blipFill>
                    <a:blip r:embed="rId477"/>
                    <a:stretch>
                      <a:fillRect/>
                    </a:stretch>
                  </pic:blipFill>
                  <pic:spPr>
                    <a:xfrm rot="0">
                      <a:off x="0" y="0"/>
                      <a:ext cx="8712200" cy="7620"/>
                    </a:xfrm>
                    <a:prstGeom prst="rect">
                      <a:avLst/>
                    </a:prstGeom>
                  </pic:spPr>
                </pic:pic>
              </a:graphicData>
            </a:graphic>
          </wp:anchor>
        </w:drawing>
      </w:r>
      <w:r>
        <w:rPr>
          <w:spacing w:val="7"/>
        </w:rPr>
        <w:t>（共</w:t>
      </w:r>
      <w:r>
        <w:rPr>
          <w:spacing w:val="-40"/>
        </w:rPr>
        <w:t xml:space="preserve"> </w:t>
      </w:r>
      <w:r>
        <w:rPr>
          <w:spacing w:val="7"/>
        </w:rPr>
        <w:t>8</w:t>
      </w:r>
      <w:r>
        <w:rPr>
          <w:spacing w:val="-41"/>
        </w:rPr>
        <w:t xml:space="preserve"> </w:t>
      </w:r>
      <w:r>
        <w:rPr>
          <w:spacing w:val="7"/>
        </w:rPr>
        <w:t>项）</w:t>
      </w:r>
    </w:p>
    <w:tbl>
      <w:tblPr>
        <w:tblStyle w:val="TableNormal"/>
        <w:tblW w:w="13774"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44"/>
        <w:gridCol w:w="2432"/>
        <w:gridCol w:w="1049"/>
        <w:gridCol w:w="1761"/>
        <w:gridCol w:w="7888"/>
      </w:tblGrid>
      <w:tr>
        <w:trPr>
          <w:trHeight w:val="445" w:hRule="atLeast"/>
        </w:trPr>
        <w:tc>
          <w:tcPr>
            <w:tcW w:w="644" w:type="dxa"/>
            <w:vAlign w:val="top"/>
            <w:tcBorders>
              <w:left w:val="single" w:color="000000" w:sz="6" w:space="0"/>
              <w:top w:val="single" w:color="000000" w:sz="6" w:space="0"/>
            </w:tcBorders>
          </w:tcPr>
          <w:p>
            <w:pPr>
              <w:pStyle w:val="TableText"/>
              <w:ind w:left="136"/>
              <w:spacing w:before="153" w:line="214" w:lineRule="auto"/>
              <w:rPr/>
            </w:pPr>
            <w:r>
              <w:rPr>
                <w:b/>
                <w:bCs/>
                <w:spacing w:val="-4"/>
              </w:rPr>
              <w:t>序号</w:t>
            </w:r>
          </w:p>
        </w:tc>
        <w:tc>
          <w:tcPr>
            <w:tcW w:w="2432" w:type="dxa"/>
            <w:vAlign w:val="top"/>
            <w:tcBorders>
              <w:top w:val="single" w:color="000000" w:sz="6" w:space="0"/>
            </w:tcBorders>
          </w:tcPr>
          <w:p>
            <w:pPr>
              <w:pStyle w:val="TableText"/>
              <w:ind w:left="849"/>
              <w:spacing w:before="154" w:line="211" w:lineRule="auto"/>
              <w:rPr/>
            </w:pPr>
            <w:r>
              <w:rPr>
                <w:b/>
                <w:bCs/>
                <w:spacing w:val="-3"/>
              </w:rPr>
              <w:t>事项名称</w:t>
            </w:r>
          </w:p>
        </w:tc>
        <w:tc>
          <w:tcPr>
            <w:tcW w:w="1049" w:type="dxa"/>
            <w:vAlign w:val="top"/>
            <w:tcBorders>
              <w:top w:val="single" w:color="000000" w:sz="6" w:space="0"/>
            </w:tcBorders>
          </w:tcPr>
          <w:p>
            <w:pPr>
              <w:pStyle w:val="TableText"/>
              <w:ind w:left="163"/>
              <w:spacing w:before="155" w:line="210" w:lineRule="auto"/>
              <w:rPr/>
            </w:pPr>
            <w:r>
              <w:rPr>
                <w:b/>
                <w:bCs/>
                <w:spacing w:val="-4"/>
              </w:rPr>
              <w:t>审批部门</w:t>
            </w:r>
          </w:p>
        </w:tc>
        <w:tc>
          <w:tcPr>
            <w:tcW w:w="1761" w:type="dxa"/>
            <w:vAlign w:val="top"/>
            <w:tcBorders>
              <w:top w:val="single" w:color="000000" w:sz="6" w:space="0"/>
            </w:tcBorders>
          </w:tcPr>
          <w:p>
            <w:pPr>
              <w:pStyle w:val="TableText"/>
              <w:ind w:left="513"/>
              <w:spacing w:before="153" w:line="212" w:lineRule="auto"/>
              <w:rPr/>
            </w:pPr>
            <w:r>
              <w:rPr>
                <w:b/>
                <w:bCs/>
                <w:spacing w:val="-2"/>
              </w:rPr>
              <w:t>设定依据</w:t>
            </w:r>
          </w:p>
        </w:tc>
        <w:tc>
          <w:tcPr>
            <w:tcW w:w="7888" w:type="dxa"/>
            <w:vAlign w:val="top"/>
            <w:tcBorders>
              <w:right w:val="single" w:color="000000" w:sz="6" w:space="0"/>
              <w:top w:val="single" w:color="000000" w:sz="6" w:space="0"/>
            </w:tcBorders>
          </w:tcPr>
          <w:p>
            <w:pPr>
              <w:pStyle w:val="TableText"/>
              <w:ind w:left="3037"/>
              <w:spacing w:before="154" w:line="211" w:lineRule="auto"/>
              <w:rPr/>
            </w:pPr>
            <w:r>
              <w:rPr>
                <w:b/>
                <w:bCs/>
                <w:spacing w:val="-2"/>
              </w:rPr>
              <w:t>加强事中事后监管措施</w:t>
            </w:r>
          </w:p>
        </w:tc>
      </w:tr>
      <w:tr>
        <w:trPr>
          <w:trHeight w:val="1684" w:hRule="atLeast"/>
        </w:trPr>
        <w:tc>
          <w:tcPr>
            <w:tcW w:w="644" w:type="dxa"/>
            <w:vAlign w:val="top"/>
            <w:tcBorders>
              <w:left w:val="single" w:color="000000" w:sz="6" w:space="0"/>
            </w:tcBorders>
          </w:tcPr>
          <w:p>
            <w:pPr>
              <w:spacing w:line="353" w:lineRule="auto"/>
              <w:rPr>
                <w:rFonts w:ascii="Arial"/>
                <w:sz w:val="21"/>
              </w:rPr>
            </w:pPr>
            <w:r/>
          </w:p>
          <w:p>
            <w:pPr>
              <w:spacing w:line="354" w:lineRule="auto"/>
              <w:rPr>
                <w:rFonts w:ascii="Arial"/>
                <w:sz w:val="21"/>
              </w:rPr>
            </w:pPr>
            <w:r/>
          </w:p>
          <w:p>
            <w:pPr>
              <w:pStyle w:val="TableText"/>
              <w:ind w:left="289"/>
              <w:spacing w:before="59" w:line="262" w:lineRule="exact"/>
              <w:rPr/>
            </w:pPr>
            <w:r>
              <w:rPr>
                <w:position w:val="1"/>
              </w:rPr>
              <w:t>1</w:t>
            </w:r>
          </w:p>
        </w:tc>
        <w:tc>
          <w:tcPr>
            <w:tcW w:w="2432" w:type="dxa"/>
            <w:vAlign w:val="top"/>
          </w:tcPr>
          <w:p>
            <w:pPr>
              <w:spacing w:line="356" w:lineRule="auto"/>
              <w:rPr>
                <w:rFonts w:ascii="Arial"/>
                <w:sz w:val="21"/>
              </w:rPr>
            </w:pPr>
            <w:r/>
          </w:p>
          <w:p>
            <w:pPr>
              <w:spacing w:line="356" w:lineRule="auto"/>
              <w:rPr>
                <w:rFonts w:ascii="Arial"/>
                <w:sz w:val="21"/>
              </w:rPr>
            </w:pPr>
            <w:r/>
          </w:p>
          <w:p>
            <w:pPr>
              <w:pStyle w:val="TableText"/>
              <w:spacing w:before="58" w:line="211" w:lineRule="auto"/>
              <w:rPr/>
            </w:pPr>
            <w:r>
              <w:rPr>
                <w:spacing w:val="-1"/>
              </w:rPr>
              <w:t>典当业特种行业许可证核发</w:t>
            </w:r>
          </w:p>
        </w:tc>
        <w:tc>
          <w:tcPr>
            <w:tcW w:w="1049" w:type="dxa"/>
            <w:vAlign w:val="top"/>
          </w:tcPr>
          <w:p>
            <w:pPr>
              <w:spacing w:line="287" w:lineRule="auto"/>
              <w:rPr>
                <w:rFonts w:ascii="Arial"/>
                <w:sz w:val="21"/>
              </w:rPr>
            </w:pPr>
            <w:r/>
          </w:p>
          <w:p>
            <w:pPr>
              <w:spacing w:line="287" w:lineRule="auto"/>
              <w:rPr>
                <w:rFonts w:ascii="Arial"/>
                <w:sz w:val="21"/>
              </w:rPr>
            </w:pPr>
            <w:r/>
          </w:p>
          <w:p>
            <w:pPr>
              <w:pStyle w:val="TableText"/>
              <w:ind w:left="70" w:right="72" w:firstLine="1"/>
              <w:spacing w:before="59" w:line="292" w:lineRule="auto"/>
              <w:rPr/>
            </w:pPr>
            <w:r>
              <w:rPr>
                <w:spacing w:val="-1"/>
              </w:rPr>
              <w:t>县级以上地</w:t>
            </w:r>
            <w:r>
              <w:rPr>
                <w:spacing w:val="-1"/>
              </w:rPr>
              <w:t>方公安机关</w:t>
            </w:r>
          </w:p>
        </w:tc>
        <w:tc>
          <w:tcPr>
            <w:tcW w:w="1761" w:type="dxa"/>
            <w:vAlign w:val="top"/>
          </w:tcPr>
          <w:p>
            <w:pPr>
              <w:spacing w:line="429" w:lineRule="auto"/>
              <w:rPr>
                <w:rFonts w:ascii="Arial"/>
                <w:sz w:val="21"/>
              </w:rPr>
            </w:pPr>
            <w:r/>
          </w:p>
          <w:p>
            <w:pPr>
              <w:pStyle w:val="TableText"/>
              <w:ind w:left="12" w:right="2" w:hanging="12"/>
              <w:spacing w:before="59" w:line="296" w:lineRule="auto"/>
              <w:jc w:val="both"/>
              <w:rPr/>
            </w:pPr>
            <w:r>
              <w:rPr>
                <w:spacing w:val="6"/>
              </w:rPr>
              <w:t>《</w:t>
            </w:r>
            <w:r>
              <w:rPr>
                <w:spacing w:val="-17"/>
              </w:rPr>
              <w:t xml:space="preserve"> </w:t>
            </w:r>
            <w:r>
              <w:rPr>
                <w:spacing w:val="6"/>
              </w:rPr>
              <w:t>国务院对确需保留</w:t>
            </w:r>
            <w:r>
              <w:rPr>
                <w:spacing w:val="12"/>
              </w:rPr>
              <w:t>的行政审批项目设定</w:t>
            </w:r>
            <w:r>
              <w:rPr/>
              <w:t>行政许可的决定》</w:t>
            </w:r>
          </w:p>
        </w:tc>
        <w:tc>
          <w:tcPr>
            <w:tcW w:w="7888" w:type="dxa"/>
            <w:vAlign w:val="top"/>
            <w:tcBorders>
              <w:right w:val="single" w:color="000000" w:sz="6" w:space="0"/>
            </w:tcBorders>
          </w:tcPr>
          <w:p>
            <w:pPr>
              <w:pStyle w:val="TableText"/>
              <w:ind w:left="6"/>
              <w:spacing w:before="113" w:line="240" w:lineRule="exact"/>
              <w:rPr/>
            </w:pPr>
            <w:r>
              <w:rPr>
                <w:position w:val="1"/>
              </w:rPr>
              <w:t>取消许可后，公安机关和有关部门要通过以下措</w:t>
            </w:r>
            <w:r>
              <w:rPr>
                <w:spacing w:val="-1"/>
                <w:position w:val="1"/>
              </w:rPr>
              <w:t>施加强监管：</w:t>
            </w:r>
          </w:p>
          <w:p>
            <w:pPr>
              <w:pStyle w:val="TableText"/>
              <w:ind w:left="6" w:firstLine="14"/>
              <w:spacing w:before="20" w:line="250" w:lineRule="auto"/>
              <w:rPr/>
            </w:pPr>
            <w:r>
              <w:rPr>
                <w:spacing w:val="4"/>
              </w:rPr>
              <w:t>1.省级地方金融监管部</w:t>
            </w:r>
            <w:r>
              <w:rPr>
                <w:spacing w:val="-46"/>
              </w:rPr>
              <w:t xml:space="preserve"> </w:t>
            </w:r>
            <w:r>
              <w:rPr>
                <w:spacing w:val="4"/>
              </w:rPr>
              <w:t>门应当将办理“</w:t>
            </w:r>
            <w:r>
              <w:rPr>
                <w:spacing w:val="-68"/>
              </w:rPr>
              <w:t xml:space="preserve"> </w:t>
            </w:r>
            <w:r>
              <w:rPr>
                <w:spacing w:val="4"/>
              </w:rPr>
              <w:t>设立典</w:t>
            </w:r>
            <w:r>
              <w:rPr>
                <w:spacing w:val="-49"/>
              </w:rPr>
              <w:t xml:space="preserve"> </w:t>
            </w:r>
            <w:r>
              <w:rPr>
                <w:spacing w:val="4"/>
              </w:rPr>
              <w:t>当行及分支机构</w:t>
            </w:r>
            <w:r>
              <w:rPr>
                <w:spacing w:val="3"/>
              </w:rPr>
              <w:t>审批</w:t>
            </w:r>
            <w:r>
              <w:rPr>
                <w:spacing w:val="-54"/>
              </w:rPr>
              <w:t xml:space="preserve"> </w:t>
            </w:r>
            <w:r>
              <w:rPr>
                <w:spacing w:val="3"/>
              </w:rPr>
              <w:t>”（</w:t>
            </w:r>
            <w:r>
              <w:rPr>
                <w:spacing w:val="-43"/>
              </w:rPr>
              <w:t xml:space="preserve"> </w:t>
            </w:r>
            <w:r>
              <w:rPr>
                <w:spacing w:val="3"/>
              </w:rPr>
              <w:t>含设立</w:t>
            </w:r>
            <w:r>
              <w:rPr>
                <w:spacing w:val="-49"/>
              </w:rPr>
              <w:t xml:space="preserve"> </w:t>
            </w:r>
            <w:r>
              <w:rPr>
                <w:spacing w:val="3"/>
              </w:rPr>
              <w:t>、变更</w:t>
            </w:r>
            <w:r>
              <w:rPr>
                <w:spacing w:val="-47"/>
              </w:rPr>
              <w:t xml:space="preserve"> </w:t>
            </w:r>
            <w:r>
              <w:rPr>
                <w:spacing w:val="3"/>
              </w:rPr>
              <w:t>、注销</w:t>
            </w:r>
            <w:r>
              <w:rPr>
                <w:spacing w:val="-46"/>
              </w:rPr>
              <w:t xml:space="preserve"> </w:t>
            </w:r>
            <w:r>
              <w:rPr>
                <w:spacing w:val="3"/>
              </w:rPr>
              <w:t>）</w:t>
            </w:r>
            <w:r>
              <w:rPr>
                <w:spacing w:val="13"/>
              </w:rPr>
              <w:t>的信息在作出审批决定后</w:t>
            </w:r>
            <w:r>
              <w:rPr>
                <w:spacing w:val="-13"/>
              </w:rPr>
              <w:t xml:space="preserve"> </w:t>
            </w:r>
            <w:r>
              <w:rPr>
                <w:spacing w:val="13"/>
              </w:rPr>
              <w:t>5</w:t>
            </w:r>
            <w:r>
              <w:rPr>
                <w:spacing w:val="-29"/>
              </w:rPr>
              <w:t xml:space="preserve"> </w:t>
            </w:r>
            <w:r>
              <w:rPr>
                <w:spacing w:val="13"/>
              </w:rPr>
              <w:t>个工作</w:t>
            </w:r>
            <w:r>
              <w:rPr>
                <w:spacing w:val="-24"/>
              </w:rPr>
              <w:t xml:space="preserve"> </w:t>
            </w:r>
            <w:r>
              <w:rPr>
                <w:spacing w:val="13"/>
              </w:rPr>
              <w:t>日</w:t>
            </w:r>
            <w:r>
              <w:rPr>
                <w:spacing w:val="-46"/>
              </w:rPr>
              <w:t xml:space="preserve"> </w:t>
            </w:r>
            <w:r>
              <w:rPr>
                <w:spacing w:val="13"/>
              </w:rPr>
              <w:t>内推送至省级公</w:t>
            </w:r>
            <w:r>
              <w:rPr>
                <w:spacing w:val="12"/>
              </w:rPr>
              <w:t>安机关</w:t>
            </w:r>
            <w:r>
              <w:rPr>
                <w:spacing w:val="-35"/>
              </w:rPr>
              <w:t xml:space="preserve"> </w:t>
            </w:r>
            <w:r>
              <w:rPr>
                <w:spacing w:val="12"/>
              </w:rPr>
              <w:t>，公安机关据此将典</w:t>
            </w:r>
            <w:r>
              <w:rPr>
                <w:spacing w:val="-50"/>
              </w:rPr>
              <w:t xml:space="preserve"> </w:t>
            </w:r>
            <w:r>
              <w:rPr>
                <w:spacing w:val="12"/>
              </w:rPr>
              <w:t>当行及分</w:t>
            </w:r>
            <w:r>
              <w:rPr>
                <w:spacing w:val="14"/>
              </w:rPr>
              <w:t>支机构纳入监管范围</w:t>
            </w:r>
            <w:r>
              <w:rPr>
                <w:spacing w:val="-35"/>
              </w:rPr>
              <w:t xml:space="preserve"> </w:t>
            </w:r>
            <w:r>
              <w:rPr>
                <w:spacing w:val="14"/>
              </w:rPr>
              <w:t>，依法实施监管。</w:t>
            </w:r>
          </w:p>
          <w:p>
            <w:pPr>
              <w:pStyle w:val="TableText"/>
              <w:ind w:left="6" w:right="8"/>
              <w:spacing w:before="50"/>
              <w:rPr/>
            </w:pPr>
            <w:r>
              <w:rPr>
                <w:spacing w:val="-1"/>
              </w:rPr>
              <w:t>2.通过“双随机、一公开”监管等方式，加强对典当行的治安</w:t>
            </w:r>
            <w:r>
              <w:rPr>
                <w:spacing w:val="-2"/>
              </w:rPr>
              <w:t>管理，及时化解风险隐患，发现违法犯</w:t>
            </w:r>
            <w:r>
              <w:rPr>
                <w:spacing w:val="-1"/>
              </w:rPr>
              <w:t>罪活动要依法查处。</w:t>
            </w:r>
          </w:p>
        </w:tc>
      </w:tr>
      <w:tr>
        <w:trPr>
          <w:trHeight w:val="1302" w:hRule="atLeast"/>
        </w:trPr>
        <w:tc>
          <w:tcPr>
            <w:tcW w:w="644" w:type="dxa"/>
            <w:vAlign w:val="top"/>
            <w:tcBorders>
              <w:left w:val="single" w:color="000000" w:sz="6" w:space="0"/>
            </w:tcBorders>
          </w:tcPr>
          <w:p>
            <w:pPr>
              <w:spacing w:line="259" w:lineRule="auto"/>
              <w:rPr>
                <w:rFonts w:ascii="Arial"/>
                <w:sz w:val="21"/>
              </w:rPr>
            </w:pPr>
            <w:r/>
          </w:p>
          <w:p>
            <w:pPr>
              <w:spacing w:line="260" w:lineRule="auto"/>
              <w:rPr>
                <w:rFonts w:ascii="Arial"/>
                <w:sz w:val="21"/>
              </w:rPr>
            </w:pPr>
            <w:r/>
          </w:p>
          <w:p>
            <w:pPr>
              <w:pStyle w:val="TableText"/>
              <w:ind w:left="274"/>
              <w:spacing w:before="59" w:line="262" w:lineRule="exact"/>
              <w:rPr/>
            </w:pPr>
            <w:r>
              <w:rPr>
                <w:position w:val="1"/>
              </w:rPr>
              <w:t>2</w:t>
            </w:r>
          </w:p>
        </w:tc>
        <w:tc>
          <w:tcPr>
            <w:tcW w:w="2432" w:type="dxa"/>
            <w:vAlign w:val="top"/>
          </w:tcPr>
          <w:p>
            <w:pPr>
              <w:spacing w:line="261" w:lineRule="auto"/>
              <w:rPr>
                <w:rFonts w:ascii="Arial"/>
                <w:sz w:val="21"/>
              </w:rPr>
            </w:pPr>
            <w:r/>
          </w:p>
          <w:p>
            <w:pPr>
              <w:spacing w:line="262" w:lineRule="auto"/>
              <w:rPr>
                <w:rFonts w:ascii="Arial"/>
                <w:sz w:val="21"/>
              </w:rPr>
            </w:pPr>
            <w:r/>
          </w:p>
          <w:p>
            <w:pPr>
              <w:pStyle w:val="TableText"/>
              <w:ind w:left="6"/>
              <w:spacing w:before="59" w:line="211" w:lineRule="auto"/>
              <w:rPr/>
            </w:pPr>
            <w:r>
              <w:rPr>
                <w:spacing w:val="-2"/>
              </w:rPr>
              <w:t>乡村兽医登记许可</w:t>
            </w:r>
          </w:p>
        </w:tc>
        <w:tc>
          <w:tcPr>
            <w:tcW w:w="1049" w:type="dxa"/>
            <w:vAlign w:val="top"/>
          </w:tcPr>
          <w:p>
            <w:pPr>
              <w:spacing w:line="387" w:lineRule="auto"/>
              <w:rPr>
                <w:rFonts w:ascii="Arial"/>
                <w:sz w:val="21"/>
              </w:rPr>
            </w:pPr>
            <w:r/>
          </w:p>
          <w:p>
            <w:pPr>
              <w:pStyle w:val="TableText"/>
              <w:ind w:left="55" w:right="48" w:firstLine="15"/>
              <w:spacing w:before="58" w:line="305" w:lineRule="auto"/>
              <w:rPr/>
            </w:pPr>
            <w:r>
              <w:rPr>
                <w:spacing w:val="-1"/>
              </w:rPr>
              <w:t>县级农业农</w:t>
            </w:r>
            <w:r>
              <w:rPr>
                <w:spacing w:val="-20"/>
                <w:w w:val="99"/>
              </w:rPr>
              <w:t>村(兽医)部门</w:t>
            </w:r>
          </w:p>
        </w:tc>
        <w:tc>
          <w:tcPr>
            <w:tcW w:w="1761" w:type="dxa"/>
            <w:vAlign w:val="top"/>
          </w:tcPr>
          <w:p>
            <w:pPr>
              <w:pStyle w:val="TableText"/>
              <w:ind w:left="15" w:right="2" w:hanging="15"/>
              <w:spacing w:before="161" w:line="288" w:lineRule="auto"/>
              <w:rPr/>
            </w:pPr>
            <w:r>
              <w:rPr>
                <w:spacing w:val="6"/>
              </w:rPr>
              <w:t>《</w:t>
            </w:r>
            <w:r>
              <w:rPr>
                <w:spacing w:val="-17"/>
              </w:rPr>
              <w:t xml:space="preserve"> </w:t>
            </w:r>
            <w:r>
              <w:rPr>
                <w:spacing w:val="6"/>
              </w:rPr>
              <w:t>中华人民共和国动</w:t>
            </w:r>
            <w:r>
              <w:rPr/>
              <w:t>物防疫法》</w:t>
            </w:r>
          </w:p>
          <w:p>
            <w:pPr>
              <w:pStyle w:val="TableText"/>
              <w:ind w:left="6" w:hanging="6"/>
              <w:spacing w:before="1" w:line="284" w:lineRule="auto"/>
              <w:rPr/>
            </w:pPr>
            <w:r>
              <w:rPr>
                <w:spacing w:val="-5"/>
              </w:rPr>
              <w:t>《乡村兽医管理办法》</w:t>
            </w:r>
            <w:r>
              <w:rPr/>
              <w:t xml:space="preserve"> </w:t>
            </w:r>
            <w:r>
              <w:rPr>
                <w:spacing w:val="-15"/>
              </w:rPr>
              <w:t>（原农业部令第</w:t>
            </w:r>
            <w:r>
              <w:rPr>
                <w:spacing w:val="-39"/>
              </w:rPr>
              <w:t xml:space="preserve"> </w:t>
            </w:r>
            <w:r>
              <w:rPr>
                <w:spacing w:val="-15"/>
              </w:rPr>
              <w:t>17号）</w:t>
            </w:r>
          </w:p>
        </w:tc>
        <w:tc>
          <w:tcPr>
            <w:tcW w:w="7888" w:type="dxa"/>
            <w:vAlign w:val="top"/>
            <w:tcBorders>
              <w:right w:val="single" w:color="000000" w:sz="6" w:space="0"/>
            </w:tcBorders>
          </w:tcPr>
          <w:p>
            <w:pPr>
              <w:pStyle w:val="TableText"/>
              <w:ind w:left="6"/>
              <w:spacing w:before="55" w:line="240" w:lineRule="exact"/>
              <w:rPr/>
            </w:pPr>
            <w:r>
              <w:rPr>
                <w:position w:val="1"/>
              </w:rPr>
              <w:t>取消许可，改为备案。农业农村（兽医）部门要通过以下措</w:t>
            </w:r>
            <w:r>
              <w:rPr>
                <w:spacing w:val="-1"/>
                <w:position w:val="1"/>
              </w:rPr>
              <w:t>施加强监管：</w:t>
            </w:r>
          </w:p>
          <w:p>
            <w:pPr>
              <w:pStyle w:val="TableText"/>
              <w:ind w:left="9" w:right="11" w:firstLine="12"/>
              <w:spacing w:before="22" w:line="241" w:lineRule="auto"/>
              <w:rPr/>
            </w:pPr>
            <w:r>
              <w:rPr>
                <w:spacing w:val="-2"/>
              </w:rPr>
              <w:t>1.建立健全乡村兽医服务人员备案制度，对不按要求备案的要依法设定并追究法律责任。要向社会公</w:t>
            </w:r>
            <w:r>
              <w:rPr>
                <w:spacing w:val="-1"/>
              </w:rPr>
              <w:t>开备案情况，方便查询、就医，并发挥社会监督作用。</w:t>
            </w:r>
          </w:p>
          <w:p>
            <w:pPr>
              <w:pStyle w:val="TableText"/>
              <w:ind w:left="6"/>
              <w:spacing w:before="47" w:line="240" w:lineRule="exact"/>
              <w:rPr/>
            </w:pPr>
            <w:r>
              <w:rPr>
                <w:spacing w:val="-14"/>
                <w:position w:val="1"/>
              </w:rPr>
              <w:t>2.开展“双随机、一公开”监管，畅通投诉举报渠道，发现违法违规行为要依法查处并向</w:t>
            </w:r>
            <w:r>
              <w:rPr>
                <w:spacing w:val="-15"/>
                <w:position w:val="1"/>
              </w:rPr>
              <w:t>社会公开结果。</w:t>
            </w:r>
          </w:p>
          <w:p>
            <w:pPr>
              <w:pStyle w:val="TableText"/>
              <w:ind w:left="9"/>
              <w:spacing w:before="21" w:line="200" w:lineRule="auto"/>
              <w:rPr/>
            </w:pPr>
            <w:r>
              <w:rPr>
                <w:spacing w:val="-2"/>
              </w:rPr>
              <w:t>3.依法实施信用监管，如实记录违法失信行为，实施差异化监管等措施。</w:t>
            </w:r>
          </w:p>
        </w:tc>
      </w:tr>
      <w:tr>
        <w:trPr>
          <w:trHeight w:val="1252" w:hRule="atLeast"/>
        </w:trPr>
        <w:tc>
          <w:tcPr>
            <w:tcW w:w="644" w:type="dxa"/>
            <w:vAlign w:val="top"/>
            <w:tcBorders>
              <w:left w:val="single" w:color="000000" w:sz="6" w:space="0"/>
            </w:tcBorders>
          </w:tcPr>
          <w:p>
            <w:pPr>
              <w:spacing w:line="249" w:lineRule="auto"/>
              <w:rPr>
                <w:rFonts w:ascii="Arial"/>
                <w:sz w:val="21"/>
              </w:rPr>
            </w:pPr>
            <w:r/>
          </w:p>
          <w:p>
            <w:pPr>
              <w:spacing w:line="250" w:lineRule="auto"/>
              <w:rPr>
                <w:rFonts w:ascii="Arial"/>
                <w:sz w:val="21"/>
              </w:rPr>
            </w:pPr>
            <w:r/>
          </w:p>
          <w:p>
            <w:pPr>
              <w:pStyle w:val="TableText"/>
              <w:ind w:left="277"/>
              <w:spacing w:before="58" w:line="260" w:lineRule="exact"/>
              <w:rPr/>
            </w:pPr>
            <w:r>
              <w:rPr>
                <w:position w:val="2"/>
              </w:rPr>
              <w:t>3</w:t>
            </w:r>
          </w:p>
        </w:tc>
        <w:tc>
          <w:tcPr>
            <w:tcW w:w="2432" w:type="dxa"/>
            <w:vAlign w:val="top"/>
          </w:tcPr>
          <w:p>
            <w:pPr>
              <w:pStyle w:val="TableText"/>
              <w:ind w:right="5" w:firstLine="1"/>
              <w:spacing w:before="282" w:line="289" w:lineRule="auto"/>
              <w:jc w:val="both"/>
              <w:rPr/>
            </w:pPr>
            <w:r>
              <w:rPr>
                <w:spacing w:val="5"/>
              </w:rPr>
              <w:t>兴建可能导致重点保护野生动</w:t>
            </w:r>
            <w:r>
              <w:rPr>
                <w:spacing w:val="5"/>
              </w:rPr>
              <w:t>植物生存环境污染和破坏的海</w:t>
            </w:r>
            <w:r>
              <w:rPr>
                <w:spacing w:val="-1"/>
              </w:rPr>
              <w:t>岸工程建设项目审批</w:t>
            </w:r>
          </w:p>
        </w:tc>
        <w:tc>
          <w:tcPr>
            <w:tcW w:w="1049" w:type="dxa"/>
            <w:vAlign w:val="top"/>
          </w:tcPr>
          <w:p>
            <w:pPr>
              <w:pStyle w:val="TableText"/>
              <w:ind w:left="115" w:right="72" w:hanging="48"/>
              <w:spacing w:before="285" w:line="302" w:lineRule="auto"/>
              <w:jc w:val="both"/>
              <w:rPr/>
            </w:pPr>
            <w:r>
              <w:rPr>
                <w:spacing w:val="-1"/>
              </w:rPr>
              <w:t>设区的市级</w:t>
            </w:r>
            <w:r>
              <w:rPr>
                <w:spacing w:val="9"/>
              </w:rPr>
              <w:t>农业农村</w:t>
            </w:r>
            <w:r>
              <w:rPr>
                <w:spacing w:val="1"/>
              </w:rPr>
              <w:t xml:space="preserve"> </w:t>
            </w:r>
            <w:r>
              <w:rPr>
                <w:spacing w:val="-16"/>
              </w:rPr>
              <w:t>(渔业)部门</w:t>
            </w:r>
          </w:p>
        </w:tc>
        <w:tc>
          <w:tcPr>
            <w:tcW w:w="1761" w:type="dxa"/>
            <w:vAlign w:val="top"/>
          </w:tcPr>
          <w:p>
            <w:pPr>
              <w:pStyle w:val="TableText"/>
              <w:ind w:left="13" w:right="2" w:hanging="14"/>
              <w:spacing w:before="142" w:line="282" w:lineRule="auto"/>
              <w:jc w:val="both"/>
              <w:rPr/>
            </w:pPr>
            <w:r>
              <w:rPr>
                <w:spacing w:val="6"/>
              </w:rPr>
              <w:t>《</w:t>
            </w:r>
            <w:r>
              <w:rPr>
                <w:spacing w:val="-17"/>
              </w:rPr>
              <w:t xml:space="preserve"> </w:t>
            </w:r>
            <w:r>
              <w:rPr>
                <w:spacing w:val="6"/>
              </w:rPr>
              <w:t>中华人民共和国防</w:t>
            </w:r>
            <w:r>
              <w:rPr>
                <w:spacing w:val="6"/>
              </w:rPr>
              <w:t>治海岸工程建设项</w:t>
            </w:r>
            <w:r>
              <w:rPr>
                <w:spacing w:val="-31"/>
              </w:rPr>
              <w:t xml:space="preserve"> </w:t>
            </w:r>
            <w:r>
              <w:rPr>
                <w:spacing w:val="6"/>
              </w:rPr>
              <w:t>目</w:t>
            </w:r>
            <w:r>
              <w:rPr>
                <w:spacing w:val="12"/>
              </w:rPr>
              <w:t>污染损害海洋环境管</w:t>
            </w:r>
            <w:r>
              <w:rPr>
                <w:spacing w:val="1"/>
              </w:rPr>
              <w:t>理条例》</w:t>
            </w:r>
          </w:p>
        </w:tc>
        <w:tc>
          <w:tcPr>
            <w:tcW w:w="7888" w:type="dxa"/>
            <w:vAlign w:val="top"/>
            <w:tcBorders>
              <w:right w:val="single" w:color="000000" w:sz="6" w:space="0"/>
            </w:tcBorders>
          </w:tcPr>
          <w:p>
            <w:pPr>
              <w:pStyle w:val="TableText"/>
              <w:ind w:left="6"/>
              <w:spacing w:before="51" w:line="240" w:lineRule="exact"/>
              <w:rPr/>
            </w:pPr>
            <w:r>
              <w:rPr>
                <w:spacing w:val="-20"/>
                <w:position w:val="1"/>
              </w:rPr>
              <w:t>取消许可后，农业农村（渔业）部门和有关部门要通过以下措</w:t>
            </w:r>
            <w:r>
              <w:rPr>
                <w:spacing w:val="-21"/>
                <w:position w:val="1"/>
              </w:rPr>
              <w:t>施加强监管：</w:t>
            </w:r>
          </w:p>
          <w:p>
            <w:pPr>
              <w:pStyle w:val="TableText"/>
              <w:ind w:left="4" w:right="11" w:firstLine="16"/>
              <w:spacing w:before="9" w:line="243" w:lineRule="auto"/>
              <w:rPr/>
            </w:pPr>
            <w:r>
              <w:rPr>
                <w:spacing w:val="-2"/>
              </w:rPr>
              <w:t>1.对可能导致重点保护野生动植物生存环境污染和破坏的海岸工程建设项目，生态环境部门在审批环</w:t>
            </w:r>
            <w:r>
              <w:rPr>
                <w:spacing w:val="-1"/>
              </w:rPr>
              <w:t>境影响评价文件时应征求农业农村（渔业）部门意见，科学</w:t>
            </w:r>
            <w:r>
              <w:rPr>
                <w:spacing w:val="-2"/>
              </w:rPr>
              <w:t>分析建设项目对重点保护野生动植物生存</w:t>
            </w:r>
            <w:r>
              <w:rPr>
                <w:spacing w:val="-1"/>
              </w:rPr>
              <w:t>环境的影响并提出相应保护要求。</w:t>
            </w:r>
          </w:p>
          <w:p>
            <w:pPr>
              <w:pStyle w:val="TableText"/>
              <w:ind w:left="6"/>
              <w:spacing w:before="41" w:line="194" w:lineRule="auto"/>
              <w:rPr/>
            </w:pPr>
            <w:r>
              <w:rPr>
                <w:spacing w:val="-1"/>
              </w:rPr>
              <w:t>2.加强对建设项目环境保护措施落实情况的监管，发现违法违规行为要依法查处</w:t>
            </w:r>
            <w:r>
              <w:rPr>
                <w:spacing w:val="-2"/>
              </w:rPr>
              <w:t>并向社会公开结果。</w:t>
            </w:r>
          </w:p>
        </w:tc>
      </w:tr>
      <w:tr>
        <w:trPr>
          <w:trHeight w:val="2011" w:hRule="atLeast"/>
        </w:trPr>
        <w:tc>
          <w:tcPr>
            <w:tcW w:w="644" w:type="dxa"/>
            <w:vAlign w:val="top"/>
            <w:tcBorders>
              <w:left w:val="single" w:color="000000" w:sz="6" w:space="0"/>
              <w:bottom w:val="single" w:color="000000" w:sz="6" w:space="0"/>
            </w:tcBorders>
          </w:tcPr>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pStyle w:val="TableText"/>
              <w:ind w:left="271"/>
              <w:spacing w:before="59" w:line="262" w:lineRule="exact"/>
              <w:rPr/>
            </w:pPr>
            <w:r>
              <w:rPr>
                <w:position w:val="1"/>
              </w:rPr>
              <w:t>4</w:t>
            </w:r>
          </w:p>
        </w:tc>
        <w:tc>
          <w:tcPr>
            <w:tcW w:w="2432" w:type="dxa"/>
            <w:vAlign w:val="top"/>
            <w:tcBorders>
              <w:bottom w:val="single" w:color="000000" w:sz="6" w:space="0"/>
            </w:tcBorders>
          </w:tcPr>
          <w:p>
            <w:pPr>
              <w:pStyle w:val="TableText"/>
              <w:ind w:right="5"/>
              <w:spacing w:before="241" w:line="292" w:lineRule="auto"/>
              <w:rPr/>
            </w:pPr>
            <w:r>
              <w:rPr>
                <w:spacing w:val="2"/>
              </w:rPr>
              <w:t>部分医疗机构（</w:t>
            </w:r>
            <w:r>
              <w:rPr>
                <w:spacing w:val="-41"/>
              </w:rPr>
              <w:t xml:space="preserve"> </w:t>
            </w:r>
            <w:r>
              <w:rPr>
                <w:spacing w:val="2"/>
              </w:rPr>
              <w:t>除三级医院、</w:t>
            </w:r>
            <w:r>
              <w:rPr>
                <w:spacing w:val="5"/>
              </w:rPr>
              <w:t>三级妇幼保健院、急救中心、</w:t>
            </w:r>
            <w:r>
              <w:rPr>
                <w:spacing w:val="5"/>
              </w:rPr>
              <w:t>急救站、临床检验中心、中外</w:t>
            </w:r>
            <w:r>
              <w:rPr>
                <w:spacing w:val="5"/>
              </w:rPr>
              <w:t>合资合作医疗机构、港澳台独</w:t>
            </w:r>
            <w:r>
              <w:rPr>
                <w:spacing w:val="-8"/>
              </w:rPr>
              <w:t>资医疗机构外）《设置医疗机构</w:t>
            </w:r>
            <w:r>
              <w:rPr>
                <w:spacing w:val="-1"/>
              </w:rPr>
              <w:t>批准书》核发</w:t>
            </w:r>
          </w:p>
        </w:tc>
        <w:tc>
          <w:tcPr>
            <w:tcW w:w="1049" w:type="dxa"/>
            <w:vAlign w:val="top"/>
            <w:tcBorders>
              <w:bottom w:val="single" w:color="000000" w:sz="6" w:space="0"/>
            </w:tcBorders>
          </w:tcPr>
          <w:p>
            <w:pPr>
              <w:spacing w:line="302" w:lineRule="auto"/>
              <w:rPr>
                <w:rFonts w:ascii="Arial"/>
                <w:sz w:val="21"/>
              </w:rPr>
            </w:pPr>
            <w:r/>
          </w:p>
          <w:p>
            <w:pPr>
              <w:spacing w:line="303" w:lineRule="auto"/>
              <w:rPr>
                <w:rFonts w:ascii="Arial"/>
                <w:sz w:val="21"/>
              </w:rPr>
            </w:pPr>
            <w:r/>
          </w:p>
          <w:p>
            <w:pPr>
              <w:pStyle w:val="TableText"/>
              <w:ind w:left="159" w:right="163"/>
              <w:spacing w:before="58" w:line="284" w:lineRule="auto"/>
              <w:rPr/>
            </w:pPr>
            <w:r>
              <w:rPr>
                <w:spacing w:val="-2"/>
              </w:rPr>
              <w:t>县级以上</w:t>
            </w:r>
            <w:r>
              <w:rPr>
                <w:spacing w:val="-2"/>
              </w:rPr>
              <w:t>地方卫生</w:t>
            </w:r>
          </w:p>
          <w:p>
            <w:pPr>
              <w:pStyle w:val="TableText"/>
              <w:ind w:left="158"/>
              <w:spacing w:line="214" w:lineRule="auto"/>
              <w:rPr/>
            </w:pPr>
            <w:r>
              <w:rPr>
                <w:spacing w:val="-1"/>
              </w:rPr>
              <w:t>健康部门</w:t>
            </w:r>
          </w:p>
        </w:tc>
        <w:tc>
          <w:tcPr>
            <w:tcW w:w="1761" w:type="dxa"/>
            <w:vAlign w:val="top"/>
            <w:tcBorders>
              <w:bottom w:val="single" w:color="000000" w:sz="6" w:space="0"/>
            </w:tcBorders>
          </w:tcPr>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pStyle w:val="TableText"/>
              <w:spacing w:before="59" w:line="240" w:lineRule="exact"/>
              <w:jc w:val="right"/>
              <w:rPr/>
            </w:pPr>
            <w:r>
              <w:rPr>
                <w:spacing w:val="-5"/>
                <w:position w:val="1"/>
              </w:rPr>
              <w:t>《医疗机构管理条例》</w:t>
            </w:r>
          </w:p>
        </w:tc>
        <w:tc>
          <w:tcPr>
            <w:tcW w:w="7888" w:type="dxa"/>
            <w:vAlign w:val="top"/>
            <w:tcBorders>
              <w:bottom w:val="single" w:color="000000" w:sz="6" w:space="0"/>
              <w:right w:val="single" w:color="000000" w:sz="6" w:space="0"/>
            </w:tcBorders>
          </w:tcPr>
          <w:p>
            <w:pPr>
              <w:pStyle w:val="TableText"/>
              <w:ind w:left="6"/>
              <w:spacing w:before="54" w:line="241" w:lineRule="exact"/>
              <w:rPr/>
            </w:pPr>
            <w:r>
              <w:rPr>
                <w:spacing w:val="-1"/>
                <w:position w:val="1"/>
              </w:rPr>
              <w:t>取消许可后，卫生健康部门要通过以下措施加强监管：</w:t>
            </w:r>
          </w:p>
          <w:p>
            <w:pPr>
              <w:pStyle w:val="TableText"/>
              <w:ind w:left="9" w:firstLine="12"/>
              <w:spacing w:before="9" w:line="235" w:lineRule="auto"/>
              <w:rPr/>
            </w:pPr>
            <w:r>
              <w:rPr>
                <w:spacing w:val="-18"/>
                <w:w w:val="97"/>
              </w:rPr>
              <w:t>1.完善医疗机构</w:t>
            </w:r>
            <w:r>
              <w:rPr>
                <w:spacing w:val="-17"/>
                <w:w w:val="97"/>
              </w:rPr>
              <w:t>设置规划方式，对社会办医疗机构实行指导性规划。加强对社会资本投资</w:t>
            </w:r>
            <w:r>
              <w:rPr>
                <w:spacing w:val="-18"/>
                <w:w w:val="97"/>
              </w:rPr>
              <w:t>医疗机构的服务，同时</w:t>
            </w:r>
            <w:r>
              <w:rPr>
                <w:spacing w:val="-10"/>
                <w:w w:val="97"/>
              </w:rPr>
              <w:t>注</w:t>
            </w:r>
            <w:r>
              <w:rPr>
                <w:spacing w:val="-20"/>
              </w:rPr>
              <w:t>意防止以服务之名行审批之实。</w:t>
            </w:r>
          </w:p>
          <w:p>
            <w:pPr>
              <w:pStyle w:val="TableText"/>
              <w:ind w:left="6"/>
              <w:spacing w:before="40" w:line="240" w:lineRule="exact"/>
              <w:rPr/>
            </w:pPr>
            <w:r>
              <w:rPr>
                <w:spacing w:val="-5"/>
                <w:position w:val="1"/>
              </w:rPr>
              <w:t>2.严格实施“医疗机构执业登记”，并将审批结果向社会公开。</w:t>
            </w:r>
          </w:p>
          <w:p>
            <w:pPr>
              <w:pStyle w:val="TableText"/>
              <w:ind w:left="4" w:right="11" w:firstLine="5"/>
              <w:spacing w:before="13" w:line="242" w:lineRule="auto"/>
              <w:rPr/>
            </w:pPr>
            <w:r>
              <w:rPr>
                <w:spacing w:val="-1"/>
              </w:rPr>
              <w:t>3.开展“双随机、一公开”监管、重点监管等，畅</w:t>
            </w:r>
            <w:r>
              <w:rPr>
                <w:spacing w:val="-2"/>
              </w:rPr>
              <w:t>通投诉举报渠道，依法处理医患纠纷和医疗事故，</w:t>
            </w:r>
            <w:r>
              <w:rPr>
                <w:spacing w:val="-1"/>
              </w:rPr>
              <w:t>加大对医疗机构的监督检查力度，发现违法违规行为要依法查处并</w:t>
            </w:r>
            <w:r>
              <w:rPr>
                <w:spacing w:val="-2"/>
              </w:rPr>
              <w:t>向社会公开结果。4.依法实施信用</w:t>
            </w:r>
            <w:r>
              <w:rPr>
                <w:spacing w:val="-1"/>
              </w:rPr>
              <w:t>监管，如实记录违法失信行为，实施差异化监管措施，对严重</w:t>
            </w:r>
            <w:r>
              <w:rPr>
                <w:spacing w:val="-2"/>
              </w:rPr>
              <w:t>违法的医疗机构及其从业人员实行行业</w:t>
            </w:r>
            <w:r>
              <w:rPr>
                <w:spacing w:val="-1"/>
              </w:rPr>
              <w:t>禁入。</w:t>
            </w:r>
          </w:p>
        </w:tc>
      </w:tr>
    </w:tbl>
    <w:p>
      <w:pPr>
        <w:ind w:left="72"/>
        <w:spacing w:before="275" w:line="21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208//2021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p>
      <w:pPr>
        <w:spacing w:line="212" w:lineRule="auto"/>
        <w:sectPr>
          <w:headerReference w:type="default" r:id="rId475"/>
          <w:footerReference w:type="default" r:id="rId58"/>
          <w:pgSz w:w="16839" w:h="11906"/>
          <w:pgMar w:top="1792" w:right="1521" w:bottom="400" w:left="1527" w:header="1428" w:footer="0" w:gutter="0"/>
        </w:sectPr>
        <w:rPr>
          <w:rFonts w:ascii="Microsoft YaHei" w:hAnsi="Microsoft YaHei" w:eastAsia="Microsoft YaHei" w:cs="Microsoft YaHei"/>
          <w:sz w:val="20"/>
          <w:szCs w:val="20"/>
        </w:rPr>
      </w:pPr>
    </w:p>
    <w:p>
      <w:pPr>
        <w:spacing w:line="177" w:lineRule="exact"/>
        <w:rPr/>
      </w:pPr>
      <w:r>
        <w:drawing>
          <wp:anchor distT="0" distB="0" distL="0" distR="0" simplePos="0" relativeHeight="251998208" behindDoc="0" locked="0" layoutInCell="0" allowOverlap="1">
            <wp:simplePos x="0" y="0"/>
            <wp:positionH relativeFrom="page">
              <wp:posOffset>1008380</wp:posOffset>
            </wp:positionH>
            <wp:positionV relativeFrom="page">
              <wp:posOffset>1147445</wp:posOffset>
            </wp:positionV>
            <wp:extent cx="8712200" cy="7620"/>
            <wp:effectExtent l="0" t="0" r="0" b="0"/>
            <wp:wrapNone/>
            <wp:docPr id="956" name="IM 956"/>
            <wp:cNvGraphicFramePr/>
            <a:graphic>
              <a:graphicData uri="http://schemas.openxmlformats.org/drawingml/2006/picture">
                <pic:pic>
                  <pic:nvPicPr>
                    <pic:cNvPr id="956" name="IM 956"/>
                    <pic:cNvPicPr/>
                  </pic:nvPicPr>
                  <pic:blipFill>
                    <a:blip r:embed="rId480"/>
                    <a:stretch>
                      <a:fillRect/>
                    </a:stretch>
                  </pic:blipFill>
                  <pic:spPr>
                    <a:xfrm rot="0">
                      <a:off x="0" y="0"/>
                      <a:ext cx="8712200" cy="7620"/>
                    </a:xfrm>
                    <a:prstGeom prst="rect">
                      <a:avLst/>
                    </a:prstGeom>
                  </pic:spPr>
                </pic:pic>
              </a:graphicData>
            </a:graphic>
          </wp:anchor>
        </w:drawing>
      </w:r>
      <w:r/>
    </w:p>
    <w:tbl>
      <w:tblPr>
        <w:tblStyle w:val="TableNormal"/>
        <w:tblW w:w="13768"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44"/>
        <w:gridCol w:w="2432"/>
        <w:gridCol w:w="1049"/>
        <w:gridCol w:w="1761"/>
        <w:gridCol w:w="7882"/>
      </w:tblGrid>
      <w:tr>
        <w:trPr>
          <w:trHeight w:val="445" w:hRule="atLeast"/>
        </w:trPr>
        <w:tc>
          <w:tcPr>
            <w:tcW w:w="644" w:type="dxa"/>
            <w:vAlign w:val="top"/>
            <w:tcBorders>
              <w:left w:val="single" w:color="000000" w:sz="6" w:space="0"/>
              <w:top w:val="single" w:color="000000" w:sz="6" w:space="0"/>
            </w:tcBorders>
          </w:tcPr>
          <w:p>
            <w:pPr>
              <w:pStyle w:val="TableText"/>
              <w:ind w:left="136"/>
              <w:spacing w:before="154" w:line="214" w:lineRule="auto"/>
              <w:rPr/>
            </w:pPr>
            <w:r>
              <w:rPr>
                <w:b/>
                <w:bCs/>
                <w:spacing w:val="-4"/>
              </w:rPr>
              <w:t>序号</w:t>
            </w:r>
          </w:p>
        </w:tc>
        <w:tc>
          <w:tcPr>
            <w:tcW w:w="2432" w:type="dxa"/>
            <w:vAlign w:val="top"/>
            <w:tcBorders>
              <w:top w:val="single" w:color="000000" w:sz="6" w:space="0"/>
            </w:tcBorders>
          </w:tcPr>
          <w:p>
            <w:pPr>
              <w:pStyle w:val="TableText"/>
              <w:ind w:left="849"/>
              <w:spacing w:before="155" w:line="211" w:lineRule="auto"/>
              <w:rPr/>
            </w:pPr>
            <w:r>
              <w:rPr>
                <w:b/>
                <w:bCs/>
                <w:spacing w:val="-3"/>
              </w:rPr>
              <w:t>事项名称</w:t>
            </w:r>
          </w:p>
        </w:tc>
        <w:tc>
          <w:tcPr>
            <w:tcW w:w="1049" w:type="dxa"/>
            <w:vAlign w:val="top"/>
            <w:tcBorders>
              <w:top w:val="single" w:color="000000" w:sz="6" w:space="0"/>
            </w:tcBorders>
          </w:tcPr>
          <w:p>
            <w:pPr>
              <w:pStyle w:val="TableText"/>
              <w:ind w:left="163"/>
              <w:spacing w:before="156" w:line="210" w:lineRule="auto"/>
              <w:rPr/>
            </w:pPr>
            <w:r>
              <w:rPr>
                <w:b/>
                <w:bCs/>
                <w:spacing w:val="-4"/>
              </w:rPr>
              <w:t>审批部门</w:t>
            </w:r>
          </w:p>
        </w:tc>
        <w:tc>
          <w:tcPr>
            <w:tcW w:w="1761" w:type="dxa"/>
            <w:vAlign w:val="top"/>
            <w:tcBorders>
              <w:top w:val="single" w:color="000000" w:sz="6" w:space="0"/>
            </w:tcBorders>
          </w:tcPr>
          <w:p>
            <w:pPr>
              <w:pStyle w:val="TableText"/>
              <w:ind w:left="513"/>
              <w:spacing w:before="154" w:line="212" w:lineRule="auto"/>
              <w:rPr/>
            </w:pPr>
            <w:r>
              <w:rPr>
                <w:b/>
                <w:bCs/>
                <w:spacing w:val="-2"/>
              </w:rPr>
              <w:t>设定依据</w:t>
            </w:r>
          </w:p>
        </w:tc>
        <w:tc>
          <w:tcPr>
            <w:tcW w:w="7882" w:type="dxa"/>
            <w:vAlign w:val="top"/>
            <w:tcBorders>
              <w:right w:val="single" w:color="000000" w:sz="6" w:space="0"/>
              <w:top w:val="single" w:color="000000" w:sz="6" w:space="0"/>
            </w:tcBorders>
          </w:tcPr>
          <w:p>
            <w:pPr>
              <w:pStyle w:val="TableText"/>
              <w:ind w:left="3037"/>
              <w:spacing w:before="155" w:line="211" w:lineRule="auto"/>
              <w:rPr/>
            </w:pPr>
            <w:r>
              <w:rPr>
                <w:b/>
                <w:bCs/>
                <w:spacing w:val="-2"/>
              </w:rPr>
              <w:t>加强事中事后监管措施</w:t>
            </w:r>
          </w:p>
        </w:tc>
      </w:tr>
      <w:tr>
        <w:trPr>
          <w:trHeight w:val="1333" w:hRule="atLeast"/>
        </w:trPr>
        <w:tc>
          <w:tcPr>
            <w:tcW w:w="644" w:type="dxa"/>
            <w:vAlign w:val="top"/>
            <w:tcBorders>
              <w:left w:val="single" w:color="000000" w:sz="6" w:space="0"/>
            </w:tcBorders>
          </w:tcPr>
          <w:p>
            <w:pPr>
              <w:spacing w:line="266" w:lineRule="auto"/>
              <w:rPr>
                <w:rFonts w:ascii="Arial"/>
                <w:sz w:val="21"/>
              </w:rPr>
            </w:pPr>
            <w:r/>
          </w:p>
          <w:p>
            <w:pPr>
              <w:spacing w:line="266" w:lineRule="auto"/>
              <w:rPr>
                <w:rFonts w:ascii="Arial"/>
                <w:sz w:val="21"/>
              </w:rPr>
            </w:pPr>
            <w:r/>
          </w:p>
          <w:p>
            <w:pPr>
              <w:pStyle w:val="TableText"/>
              <w:ind w:left="275"/>
              <w:spacing w:before="58" w:line="260" w:lineRule="exact"/>
              <w:rPr/>
            </w:pPr>
            <w:r>
              <w:rPr>
                <w:position w:val="2"/>
              </w:rPr>
              <w:t>5</w:t>
            </w:r>
          </w:p>
        </w:tc>
        <w:tc>
          <w:tcPr>
            <w:tcW w:w="2432" w:type="dxa"/>
            <w:vAlign w:val="top"/>
          </w:tcPr>
          <w:p>
            <w:pPr>
              <w:spacing w:line="266" w:lineRule="auto"/>
              <w:rPr>
                <w:rFonts w:ascii="Arial"/>
                <w:sz w:val="21"/>
              </w:rPr>
            </w:pPr>
            <w:r/>
          </w:p>
          <w:p>
            <w:pPr>
              <w:spacing w:line="266" w:lineRule="auto"/>
              <w:rPr>
                <w:rFonts w:ascii="Arial"/>
                <w:sz w:val="21"/>
              </w:rPr>
            </w:pPr>
            <w:r/>
          </w:p>
          <w:p>
            <w:pPr>
              <w:pStyle w:val="TableText"/>
              <w:spacing w:before="58" w:line="240" w:lineRule="exact"/>
              <w:rPr/>
            </w:pPr>
            <w:r>
              <w:rPr>
                <w:spacing w:val="-10"/>
                <w:position w:val="1"/>
              </w:rPr>
              <w:t>道路货物运输站（场）经营许可</w:t>
            </w:r>
          </w:p>
        </w:tc>
        <w:tc>
          <w:tcPr>
            <w:tcW w:w="1049" w:type="dxa"/>
            <w:vAlign w:val="top"/>
          </w:tcPr>
          <w:p>
            <w:pPr>
              <w:spacing w:line="399" w:lineRule="auto"/>
              <w:rPr>
                <w:rFonts w:ascii="Arial"/>
                <w:sz w:val="21"/>
              </w:rPr>
            </w:pPr>
            <w:r/>
          </w:p>
          <w:p>
            <w:pPr>
              <w:pStyle w:val="TableText"/>
              <w:ind w:left="159" w:right="163"/>
              <w:spacing w:before="59" w:line="289" w:lineRule="auto"/>
              <w:rPr/>
            </w:pPr>
            <w:r>
              <w:rPr>
                <w:spacing w:val="-2"/>
              </w:rPr>
              <w:t>县级交通</w:t>
            </w:r>
            <w:r>
              <w:rPr>
                <w:spacing w:val="-2"/>
              </w:rPr>
              <w:t>运输部门</w:t>
            </w:r>
          </w:p>
        </w:tc>
        <w:tc>
          <w:tcPr>
            <w:tcW w:w="1761" w:type="dxa"/>
            <w:vAlign w:val="top"/>
          </w:tcPr>
          <w:p>
            <w:pPr>
              <w:spacing w:line="394" w:lineRule="auto"/>
              <w:rPr>
                <w:rFonts w:ascii="Arial"/>
                <w:sz w:val="21"/>
              </w:rPr>
            </w:pPr>
            <w:r/>
          </w:p>
          <w:p>
            <w:pPr>
              <w:pStyle w:val="TableText"/>
              <w:ind w:left="12" w:right="2" w:hanging="13"/>
              <w:spacing w:before="58" w:line="285" w:lineRule="auto"/>
              <w:rPr/>
            </w:pPr>
            <w:r>
              <w:rPr>
                <w:spacing w:val="6"/>
              </w:rPr>
              <w:t>《</w:t>
            </w:r>
            <w:r>
              <w:rPr>
                <w:spacing w:val="-17"/>
              </w:rPr>
              <w:t xml:space="preserve"> </w:t>
            </w:r>
            <w:r>
              <w:rPr>
                <w:spacing w:val="6"/>
              </w:rPr>
              <w:t>中华人民共和国道</w:t>
            </w:r>
            <w:r>
              <w:rPr/>
              <w:t>路运输条例》</w:t>
            </w:r>
          </w:p>
        </w:tc>
        <w:tc>
          <w:tcPr>
            <w:tcW w:w="7882" w:type="dxa"/>
            <w:vAlign w:val="top"/>
            <w:tcBorders>
              <w:right w:val="single" w:color="000000" w:sz="6" w:space="0"/>
            </w:tcBorders>
          </w:tcPr>
          <w:p>
            <w:pPr>
              <w:pStyle w:val="TableText"/>
              <w:ind w:left="6"/>
              <w:spacing w:before="173" w:line="241" w:lineRule="exact"/>
              <w:rPr/>
            </w:pPr>
            <w:r>
              <w:rPr>
                <w:position w:val="1"/>
              </w:rPr>
              <w:t>取消审批后，交通运输部门要通过以下措施加强事</w:t>
            </w:r>
            <w:r>
              <w:rPr>
                <w:spacing w:val="-1"/>
                <w:position w:val="1"/>
              </w:rPr>
              <w:t>中事后监管：</w:t>
            </w:r>
          </w:p>
          <w:p>
            <w:pPr>
              <w:pStyle w:val="TableText"/>
              <w:ind w:left="21"/>
              <w:spacing w:before="40" w:line="240" w:lineRule="exact"/>
              <w:rPr/>
            </w:pPr>
            <w:r>
              <w:rPr>
                <w:spacing w:val="-2"/>
                <w:position w:val="1"/>
              </w:rPr>
              <w:t>1.加强对道路货物运输站（场）及入驻企业的安全监管，督促企业履行安全生产主体责任。</w:t>
            </w:r>
          </w:p>
          <w:p>
            <w:pPr>
              <w:pStyle w:val="TableText"/>
              <w:ind w:left="6"/>
              <w:spacing w:before="38" w:line="240" w:lineRule="exact"/>
              <w:rPr/>
            </w:pPr>
            <w:r>
              <w:rPr>
                <w:spacing w:val="-2"/>
                <w:position w:val="1"/>
              </w:rPr>
              <w:t>2.实施道路货物运输站（场）相关标准，推动站（场）建设营运标准化。</w:t>
            </w:r>
          </w:p>
          <w:p>
            <w:pPr>
              <w:pStyle w:val="TableText"/>
              <w:ind w:left="9"/>
              <w:spacing w:before="40" w:line="240" w:lineRule="exact"/>
              <w:rPr/>
            </w:pPr>
            <w:r>
              <w:rPr>
                <w:spacing w:val="-2"/>
                <w:position w:val="1"/>
              </w:rPr>
              <w:t>3.建立健全道路货物运输企业及从业人员诚信考核制度，落实信用监管有关考核。</w:t>
            </w:r>
          </w:p>
        </w:tc>
      </w:tr>
      <w:tr>
        <w:trPr>
          <w:trHeight w:val="2183" w:hRule="atLeast"/>
        </w:trPr>
        <w:tc>
          <w:tcPr>
            <w:tcW w:w="644" w:type="dxa"/>
            <w:vAlign w:val="top"/>
            <w:tcBorders>
              <w:left w:val="single" w:color="000000" w:sz="6" w:space="0"/>
            </w:tcBorders>
          </w:tcPr>
          <w:p>
            <w:pPr>
              <w:spacing w:line="319" w:lineRule="auto"/>
              <w:rPr>
                <w:rFonts w:ascii="Arial"/>
                <w:sz w:val="21"/>
              </w:rPr>
            </w:pPr>
            <w:r/>
          </w:p>
          <w:p>
            <w:pPr>
              <w:spacing w:line="319" w:lineRule="auto"/>
              <w:rPr>
                <w:rFonts w:ascii="Arial"/>
                <w:sz w:val="21"/>
              </w:rPr>
            </w:pPr>
            <w:r/>
          </w:p>
          <w:p>
            <w:pPr>
              <w:spacing w:line="319" w:lineRule="auto"/>
              <w:rPr>
                <w:rFonts w:ascii="Arial"/>
                <w:sz w:val="21"/>
              </w:rPr>
            </w:pPr>
            <w:r/>
          </w:p>
          <w:p>
            <w:pPr>
              <w:pStyle w:val="TableText"/>
              <w:ind w:left="275"/>
              <w:spacing w:before="59" w:line="260" w:lineRule="exact"/>
              <w:rPr/>
            </w:pPr>
            <w:r>
              <w:rPr>
                <w:position w:val="2"/>
              </w:rPr>
              <w:t>6</w:t>
            </w:r>
          </w:p>
        </w:tc>
        <w:tc>
          <w:tcPr>
            <w:tcW w:w="2432" w:type="dxa"/>
            <w:vAlign w:val="top"/>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right="5" w:firstLine="2"/>
              <w:spacing w:before="58" w:line="292" w:lineRule="auto"/>
              <w:rPr/>
            </w:pPr>
            <w:r>
              <w:rPr>
                <w:spacing w:val="5"/>
              </w:rPr>
              <w:t>职业卫生技术服务机构丙级资</w:t>
            </w:r>
            <w:r>
              <w:rPr>
                <w:spacing w:val="-2"/>
              </w:rPr>
              <w:t>质认可</w:t>
            </w:r>
          </w:p>
        </w:tc>
        <w:tc>
          <w:tcPr>
            <w:tcW w:w="1049" w:type="dxa"/>
            <w:vAlign w:val="top"/>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19" w:right="6" w:firstLine="47"/>
              <w:spacing w:before="59" w:line="291" w:lineRule="auto"/>
              <w:rPr/>
            </w:pPr>
            <w:r>
              <w:rPr>
                <w:spacing w:val="-1"/>
              </w:rPr>
              <w:t>设区的市级</w:t>
            </w:r>
            <w:r>
              <w:rPr>
                <w:spacing w:val="-12"/>
              </w:rPr>
              <w:t>卫生健康部门</w:t>
            </w:r>
          </w:p>
        </w:tc>
        <w:tc>
          <w:tcPr>
            <w:tcW w:w="1761" w:type="dxa"/>
            <w:vAlign w:val="top"/>
          </w:tcPr>
          <w:p>
            <w:pPr>
              <w:spacing w:line="260" w:lineRule="auto"/>
              <w:rPr>
                <w:rFonts w:ascii="Arial"/>
                <w:sz w:val="21"/>
              </w:rPr>
            </w:pPr>
            <w:r/>
          </w:p>
          <w:p>
            <w:pPr>
              <w:pStyle w:val="TableText"/>
              <w:ind w:left="11" w:right="2" w:hanging="11"/>
              <w:spacing w:before="59" w:line="287" w:lineRule="auto"/>
              <w:rPr/>
            </w:pPr>
            <w:r>
              <w:rPr>
                <w:spacing w:val="6"/>
              </w:rPr>
              <w:t>《</w:t>
            </w:r>
            <w:r>
              <w:rPr>
                <w:spacing w:val="-17"/>
              </w:rPr>
              <w:t xml:space="preserve"> </w:t>
            </w:r>
            <w:r>
              <w:rPr>
                <w:spacing w:val="6"/>
              </w:rPr>
              <w:t>中华人民共和国职</w:t>
            </w:r>
            <w:r>
              <w:rPr>
                <w:spacing w:val="1"/>
              </w:rPr>
              <w:t>业病防治法》</w:t>
            </w:r>
          </w:p>
          <w:p>
            <w:pPr>
              <w:pStyle w:val="TableText"/>
              <w:ind w:left="12" w:right="2" w:hanging="13"/>
              <w:spacing w:before="2" w:line="291" w:lineRule="auto"/>
              <w:rPr/>
            </w:pPr>
            <w:r>
              <w:rPr>
                <w:spacing w:val="14"/>
              </w:rPr>
              <w:t>《职业卫生技术服务</w:t>
            </w:r>
            <w:r>
              <w:rPr>
                <w:spacing w:val="12"/>
              </w:rPr>
              <w:t>机构监督管理暂行办</w:t>
            </w:r>
            <w:r>
              <w:rPr>
                <w:spacing w:val="-7"/>
              </w:rPr>
              <w:t>法》（原国家安全监管</w:t>
            </w:r>
            <w:r>
              <w:rPr>
                <w:spacing w:val="-2"/>
              </w:rPr>
              <w:t>总局令第</w:t>
            </w:r>
            <w:r>
              <w:rPr>
                <w:spacing w:val="-40"/>
              </w:rPr>
              <w:t xml:space="preserve"> </w:t>
            </w:r>
            <w:r>
              <w:rPr>
                <w:spacing w:val="-2"/>
              </w:rPr>
              <w:t>50</w:t>
            </w:r>
            <w:r>
              <w:rPr>
                <w:spacing w:val="-41"/>
              </w:rPr>
              <w:t xml:space="preserve"> </w:t>
            </w:r>
            <w:r>
              <w:rPr>
                <w:spacing w:val="-2"/>
              </w:rPr>
              <w:t>号）</w:t>
            </w:r>
          </w:p>
        </w:tc>
        <w:tc>
          <w:tcPr>
            <w:tcW w:w="7882" w:type="dxa"/>
            <w:vAlign w:val="top"/>
            <w:tcBorders>
              <w:right w:val="single" w:color="000000" w:sz="6" w:space="0"/>
            </w:tcBorders>
          </w:tcPr>
          <w:p>
            <w:pPr>
              <w:pStyle w:val="TableText"/>
              <w:spacing w:before="182" w:line="240" w:lineRule="exact"/>
              <w:jc w:val="right"/>
              <w:rPr/>
            </w:pPr>
            <w:r>
              <w:rPr>
                <w:spacing w:val="-5"/>
                <w:position w:val="1"/>
              </w:rPr>
              <w:t>取消许可，整合至“职业卫生技术服务机构乙级资质认可”。卫生健康部</w:t>
            </w:r>
            <w:r>
              <w:rPr>
                <w:spacing w:val="-6"/>
                <w:position w:val="1"/>
              </w:rPr>
              <w:t>门要通过以下措施加强监管：</w:t>
            </w:r>
          </w:p>
          <w:p>
            <w:pPr>
              <w:pStyle w:val="TableText"/>
              <w:ind w:left="5" w:right="5"/>
              <w:spacing w:before="37" w:line="253" w:lineRule="auto"/>
              <w:rPr/>
            </w:pPr>
            <w:r>
              <w:rPr>
                <w:spacing w:val="1"/>
              </w:rPr>
              <w:t>l．适当降低职业卫生技术服务机构乙级资质条件要求，完善</w:t>
            </w:r>
            <w:r>
              <w:rPr/>
              <w:t>职业卫生技术服务标准。引导现有职业</w:t>
            </w:r>
            <w:r>
              <w:rPr/>
              <w:t>卫生技术服务丙级机构换领新的乙级资质证书，拓宽业务范围和业务</w:t>
            </w:r>
            <w:r>
              <w:rPr>
                <w:spacing w:val="-1"/>
              </w:rPr>
              <w:t>地域范围。</w:t>
            </w:r>
          </w:p>
          <w:p>
            <w:pPr>
              <w:pStyle w:val="TableText"/>
              <w:ind w:left="6"/>
              <w:spacing w:before="69" w:line="240" w:lineRule="exact"/>
              <w:rPr/>
            </w:pPr>
            <w:r>
              <w:rPr>
                <w:spacing w:val="-14"/>
                <w:position w:val="1"/>
              </w:rPr>
              <w:t>2.开展“双随机、一公开”监管，畅通投诉举报渠道，发现违法违规行为要依法查处并向</w:t>
            </w:r>
            <w:r>
              <w:rPr>
                <w:spacing w:val="-15"/>
                <w:position w:val="1"/>
              </w:rPr>
              <w:t>社会公开结果。</w:t>
            </w:r>
          </w:p>
          <w:p>
            <w:pPr>
              <w:pStyle w:val="TableText"/>
              <w:ind w:left="4" w:right="5" w:firstLine="4"/>
              <w:spacing w:before="38" w:line="252" w:lineRule="auto"/>
              <w:rPr/>
            </w:pPr>
            <w:r>
              <w:rPr>
                <w:spacing w:val="-1"/>
              </w:rPr>
              <w:t>3.对存在职业病危害因素的企业，依法开展职业病</w:t>
            </w:r>
            <w:r>
              <w:rPr>
                <w:spacing w:val="-2"/>
              </w:rPr>
              <w:t>危害因素监督检查。发现职业卫生技术服务机构出</w:t>
            </w:r>
            <w:r>
              <w:rPr>
                <w:spacing w:val="-1"/>
              </w:rPr>
              <w:t>具虚假报告的，依法追究法律责任。</w:t>
            </w:r>
          </w:p>
          <w:p>
            <w:pPr>
              <w:pStyle w:val="TableText"/>
              <w:ind w:left="4"/>
              <w:spacing w:before="69" w:line="240" w:lineRule="exact"/>
              <w:rPr/>
            </w:pPr>
            <w:r>
              <w:rPr>
                <w:position w:val="1"/>
              </w:rPr>
              <w:t>4．依法实施信用监管，如实记录违法失信行为，实施差异化监</w:t>
            </w:r>
            <w:r>
              <w:rPr>
                <w:spacing w:val="-1"/>
                <w:position w:val="1"/>
              </w:rPr>
              <w:t>管等措施。</w:t>
            </w:r>
          </w:p>
        </w:tc>
      </w:tr>
      <w:tr>
        <w:trPr>
          <w:trHeight w:val="1625" w:hRule="atLeast"/>
        </w:trPr>
        <w:tc>
          <w:tcPr>
            <w:tcW w:w="644" w:type="dxa"/>
            <w:vAlign w:val="top"/>
            <w:tcBorders>
              <w:left w:val="single" w:color="000000" w:sz="6" w:space="0"/>
            </w:tcBorders>
          </w:tcPr>
          <w:p>
            <w:pPr>
              <w:spacing w:line="341" w:lineRule="auto"/>
              <w:rPr>
                <w:rFonts w:ascii="Arial"/>
                <w:sz w:val="21"/>
              </w:rPr>
            </w:pPr>
            <w:r/>
          </w:p>
          <w:p>
            <w:pPr>
              <w:spacing w:line="342" w:lineRule="auto"/>
              <w:rPr>
                <w:rFonts w:ascii="Arial"/>
                <w:sz w:val="21"/>
              </w:rPr>
            </w:pPr>
            <w:r/>
          </w:p>
          <w:p>
            <w:pPr>
              <w:pStyle w:val="TableText"/>
              <w:ind w:left="273"/>
              <w:spacing w:before="59" w:line="260" w:lineRule="exact"/>
              <w:rPr/>
            </w:pPr>
            <w:r>
              <w:rPr>
                <w:position w:val="2"/>
              </w:rPr>
              <w:t>7</w:t>
            </w:r>
          </w:p>
        </w:tc>
        <w:tc>
          <w:tcPr>
            <w:tcW w:w="2432" w:type="dxa"/>
            <w:vAlign w:val="top"/>
          </w:tcPr>
          <w:p>
            <w:pPr>
              <w:spacing w:line="343" w:lineRule="auto"/>
              <w:rPr>
                <w:rFonts w:ascii="Arial"/>
                <w:sz w:val="21"/>
              </w:rPr>
            </w:pPr>
            <w:r/>
          </w:p>
          <w:p>
            <w:pPr>
              <w:spacing w:line="343" w:lineRule="auto"/>
              <w:rPr>
                <w:rFonts w:ascii="Arial"/>
                <w:sz w:val="21"/>
              </w:rPr>
            </w:pPr>
            <w:r/>
          </w:p>
          <w:p>
            <w:pPr>
              <w:pStyle w:val="TableText"/>
              <w:spacing w:before="59" w:line="214" w:lineRule="auto"/>
              <w:rPr/>
            </w:pPr>
            <w:r>
              <w:rPr>
                <w:spacing w:val="-1"/>
              </w:rPr>
              <w:t>船员服务簿签发</w:t>
            </w:r>
          </w:p>
        </w:tc>
        <w:tc>
          <w:tcPr>
            <w:tcW w:w="1049" w:type="dxa"/>
            <w:vAlign w:val="top"/>
          </w:tcPr>
          <w:p>
            <w:pPr>
              <w:spacing w:line="410" w:lineRule="auto"/>
              <w:rPr>
                <w:rFonts w:ascii="Arial"/>
                <w:sz w:val="21"/>
              </w:rPr>
            </w:pPr>
            <w:r/>
          </w:p>
          <w:p>
            <w:pPr>
              <w:pStyle w:val="TableText"/>
              <w:ind w:left="1" w:hanging="1"/>
              <w:spacing w:before="58" w:line="288" w:lineRule="auto"/>
              <w:jc w:val="both"/>
              <w:rPr/>
            </w:pPr>
            <w:r>
              <w:rPr>
                <w:spacing w:val="-7"/>
              </w:rPr>
              <w:t>交通运输部，</w:t>
            </w:r>
            <w:r>
              <w:rPr>
                <w:spacing w:val="-9"/>
              </w:rPr>
              <w:t>省、市、县级</w:t>
            </w:r>
            <w:r>
              <w:rPr>
                <w:spacing w:val="-9"/>
              </w:rPr>
              <w:t>交通运输部门</w:t>
            </w:r>
          </w:p>
        </w:tc>
        <w:tc>
          <w:tcPr>
            <w:tcW w:w="1761" w:type="dxa"/>
            <w:vAlign w:val="top"/>
          </w:tcPr>
          <w:p>
            <w:pPr>
              <w:spacing w:line="271" w:lineRule="auto"/>
              <w:rPr>
                <w:rFonts w:ascii="Arial"/>
                <w:sz w:val="21"/>
              </w:rPr>
            </w:pPr>
            <w:r/>
          </w:p>
          <w:p>
            <w:pPr>
              <w:spacing w:line="271" w:lineRule="auto"/>
              <w:rPr>
                <w:rFonts w:ascii="Arial"/>
                <w:sz w:val="21"/>
              </w:rPr>
            </w:pPr>
            <w:r/>
          </w:p>
          <w:p>
            <w:pPr>
              <w:pStyle w:val="TableText"/>
              <w:ind w:left="12" w:right="2" w:hanging="13"/>
              <w:spacing w:before="59" w:line="288" w:lineRule="auto"/>
              <w:rPr/>
            </w:pPr>
            <w:r>
              <w:rPr>
                <w:spacing w:val="6"/>
              </w:rPr>
              <w:t>《</w:t>
            </w:r>
            <w:r>
              <w:rPr>
                <w:spacing w:val="-17"/>
              </w:rPr>
              <w:t xml:space="preserve"> </w:t>
            </w:r>
            <w:r>
              <w:rPr>
                <w:spacing w:val="6"/>
              </w:rPr>
              <w:t>中华人民共和国船</w:t>
            </w:r>
            <w:r>
              <w:rPr>
                <w:spacing w:val="1"/>
              </w:rPr>
              <w:t>员条例》</w:t>
            </w:r>
          </w:p>
        </w:tc>
        <w:tc>
          <w:tcPr>
            <w:tcW w:w="7882" w:type="dxa"/>
            <w:vAlign w:val="top"/>
            <w:tcBorders>
              <w:right w:val="single" w:color="000000" w:sz="6" w:space="0"/>
            </w:tcBorders>
          </w:tcPr>
          <w:p>
            <w:pPr>
              <w:pStyle w:val="TableText"/>
              <w:ind w:left="6"/>
              <w:spacing w:before="185" w:line="240" w:lineRule="exact"/>
              <w:rPr/>
            </w:pPr>
            <w:r>
              <w:rPr>
                <w:position w:val="1"/>
              </w:rPr>
              <w:t>取消审批后，交通运输部门要通过以下措施加强事</w:t>
            </w:r>
            <w:r>
              <w:rPr>
                <w:spacing w:val="-1"/>
                <w:position w:val="1"/>
              </w:rPr>
              <w:t>中事后监管：</w:t>
            </w:r>
          </w:p>
          <w:p>
            <w:pPr>
              <w:pStyle w:val="TableText"/>
              <w:ind w:left="21"/>
              <w:spacing w:before="40" w:line="240" w:lineRule="exact"/>
              <w:rPr/>
            </w:pPr>
            <w:r>
              <w:rPr>
                <w:spacing w:val="-6"/>
                <w:position w:val="1"/>
              </w:rPr>
              <w:t>1.核发船员适任证书时，直接发放新的《船员服务簿》。</w:t>
            </w:r>
          </w:p>
          <w:p>
            <w:pPr>
              <w:pStyle w:val="TableText"/>
              <w:ind w:left="6"/>
              <w:spacing w:before="40" w:line="240" w:lineRule="exact"/>
              <w:rPr/>
            </w:pPr>
            <w:r>
              <w:rPr>
                <w:spacing w:val="-2"/>
                <w:position w:val="1"/>
              </w:rPr>
              <w:t>2.优化船员适任证办证程序，缩短办证时间，提供邮寄服务。</w:t>
            </w:r>
          </w:p>
          <w:p>
            <w:pPr>
              <w:pStyle w:val="TableText"/>
              <w:spacing w:before="38" w:line="241" w:lineRule="exact"/>
              <w:jc w:val="right"/>
              <w:rPr/>
            </w:pPr>
            <w:r>
              <w:rPr>
                <w:spacing w:val="-4"/>
                <w:position w:val="1"/>
              </w:rPr>
              <w:t>3.加大船员违法行为的打击力度，将船员违法记分和行政处罚信</w:t>
            </w:r>
            <w:r>
              <w:rPr>
                <w:spacing w:val="-5"/>
                <w:position w:val="1"/>
              </w:rPr>
              <w:t>息录入“</w:t>
            </w:r>
            <w:r>
              <w:rPr>
                <w:spacing w:val="-68"/>
                <w:position w:val="1"/>
              </w:rPr>
              <w:t xml:space="preserve"> </w:t>
            </w:r>
            <w:r>
              <w:rPr>
                <w:spacing w:val="-5"/>
                <w:position w:val="1"/>
              </w:rPr>
              <w:t>中国海事协同管理平台”。</w:t>
            </w:r>
          </w:p>
          <w:p>
            <w:pPr>
              <w:pStyle w:val="TableText"/>
              <w:ind w:left="4"/>
              <w:spacing w:before="40" w:line="240" w:lineRule="exact"/>
              <w:rPr/>
            </w:pPr>
            <w:r>
              <w:rPr>
                <w:spacing w:val="-1"/>
                <w:position w:val="1"/>
              </w:rPr>
              <w:t>4.建立船员诚信管理制度，提高船员诚信管理的信息化水</w:t>
            </w:r>
            <w:r>
              <w:rPr>
                <w:spacing w:val="-2"/>
                <w:position w:val="1"/>
              </w:rPr>
              <w:t>平，逐步开放船员诚信记录。</w:t>
            </w:r>
          </w:p>
        </w:tc>
      </w:tr>
      <w:tr>
        <w:trPr>
          <w:trHeight w:val="2473" w:hRule="atLeast"/>
        </w:trPr>
        <w:tc>
          <w:tcPr>
            <w:tcW w:w="644" w:type="dxa"/>
            <w:vAlign w:val="top"/>
            <w:tcBorders>
              <w:left w:val="single" w:color="000000" w:sz="6" w:space="0"/>
              <w:bottom w:val="single" w:color="000000" w:sz="6" w:space="0"/>
            </w:tcBorders>
          </w:tcPr>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pStyle w:val="TableText"/>
              <w:ind w:left="272"/>
              <w:spacing w:before="58" w:line="261" w:lineRule="exact"/>
              <w:rPr/>
            </w:pPr>
            <w:r>
              <w:rPr>
                <w:position w:val="2"/>
              </w:rPr>
              <w:t>8</w:t>
            </w:r>
          </w:p>
        </w:tc>
        <w:tc>
          <w:tcPr>
            <w:tcW w:w="2432" w:type="dxa"/>
            <w:vAlign w:val="top"/>
            <w:tcBorders>
              <w:bottom w:val="single" w:color="000000" w:sz="6" w:space="0"/>
            </w:tcBorders>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right="5" w:firstLine="2"/>
              <w:spacing w:before="59" w:line="295" w:lineRule="auto"/>
              <w:jc w:val="both"/>
              <w:rPr/>
            </w:pPr>
            <w:r>
              <w:rPr>
                <w:spacing w:val="5"/>
              </w:rPr>
              <w:t>名称预先核准（包括企业、企</w:t>
            </w:r>
            <w:r>
              <w:rPr>
                <w:spacing w:val="5"/>
              </w:rPr>
              <w:t>业集团、个体工商户、农民专</w:t>
            </w:r>
            <w:r>
              <w:rPr/>
              <w:t>业合作社名称预先核准）</w:t>
            </w:r>
          </w:p>
        </w:tc>
        <w:tc>
          <w:tcPr>
            <w:tcW w:w="1049" w:type="dxa"/>
            <w:vAlign w:val="top"/>
            <w:tcBorders>
              <w:bottom w:val="single" w:color="000000" w:sz="6" w:space="0"/>
            </w:tcBorders>
          </w:tcPr>
          <w:p>
            <w:pPr>
              <w:spacing w:line="345" w:lineRule="auto"/>
              <w:rPr>
                <w:rFonts w:ascii="Arial"/>
                <w:sz w:val="21"/>
              </w:rPr>
            </w:pPr>
            <w:r/>
          </w:p>
          <w:p>
            <w:pPr>
              <w:spacing w:line="345" w:lineRule="auto"/>
              <w:rPr>
                <w:rFonts w:ascii="Arial"/>
                <w:sz w:val="21"/>
              </w:rPr>
            </w:pPr>
            <w:r/>
          </w:p>
          <w:p>
            <w:pPr>
              <w:pStyle w:val="TableText"/>
              <w:ind w:left="160"/>
              <w:spacing w:before="58" w:line="210" w:lineRule="auto"/>
              <w:rPr/>
            </w:pPr>
            <w:r>
              <w:rPr>
                <w:spacing w:val="-2"/>
              </w:rPr>
              <w:t>市场监管</w:t>
            </w:r>
          </w:p>
          <w:p>
            <w:pPr>
              <w:pStyle w:val="TableText"/>
              <w:spacing w:before="73" w:line="213" w:lineRule="auto"/>
              <w:jc w:val="right"/>
              <w:rPr/>
            </w:pPr>
            <w:r>
              <w:rPr>
                <w:spacing w:val="-28"/>
                <w:w w:val="97"/>
              </w:rPr>
              <w:t>总局，省、市、</w:t>
            </w:r>
          </w:p>
          <w:p>
            <w:pPr>
              <w:pStyle w:val="TableText"/>
              <w:ind w:left="160"/>
              <w:spacing w:before="73" w:line="210" w:lineRule="auto"/>
              <w:rPr/>
            </w:pPr>
            <w:r>
              <w:rPr>
                <w:spacing w:val="-2"/>
              </w:rPr>
              <w:t>县级市场</w:t>
            </w:r>
          </w:p>
          <w:p>
            <w:pPr>
              <w:pStyle w:val="TableText"/>
              <w:ind w:left="158"/>
              <w:spacing w:before="76" w:line="210" w:lineRule="auto"/>
              <w:rPr/>
            </w:pPr>
            <w:r>
              <w:rPr>
                <w:spacing w:val="-1"/>
              </w:rPr>
              <w:t>监管部门</w:t>
            </w:r>
          </w:p>
        </w:tc>
        <w:tc>
          <w:tcPr>
            <w:tcW w:w="1761" w:type="dxa"/>
            <w:vAlign w:val="top"/>
            <w:tcBorders>
              <w:bottom w:val="single" w:color="000000" w:sz="6" w:space="0"/>
            </w:tcBorders>
          </w:tcPr>
          <w:p>
            <w:pPr>
              <w:pStyle w:val="TableText"/>
              <w:spacing w:before="188" w:line="288" w:lineRule="auto"/>
              <w:jc w:val="both"/>
              <w:rPr/>
            </w:pPr>
            <w:r>
              <w:rPr>
                <w:spacing w:val="-2"/>
              </w:rPr>
              <w:t>《</w:t>
            </w:r>
            <w:r>
              <w:rPr>
                <w:spacing w:val="-35"/>
              </w:rPr>
              <w:t xml:space="preserve"> </w:t>
            </w:r>
            <w:r>
              <w:rPr>
                <w:spacing w:val="-2"/>
              </w:rPr>
              <w:t>中华人民共和国公</w:t>
            </w:r>
            <w:r>
              <w:rPr>
                <w:spacing w:val="-15"/>
              </w:rPr>
              <w:t>司登记管理条例》《中</w:t>
            </w:r>
            <w:r>
              <w:rPr>
                <w:spacing w:val="4"/>
              </w:rPr>
              <w:t>华人民共和国企业法</w:t>
            </w:r>
            <w:r>
              <w:rPr>
                <w:spacing w:val="-15"/>
              </w:rPr>
              <w:t>人登记管理条例》《企</w:t>
            </w:r>
            <w:r>
              <w:rPr>
                <w:spacing w:val="-5"/>
              </w:rPr>
              <w:t>业名称登记管理规定》</w:t>
            </w:r>
            <w:r>
              <w:rPr/>
              <w:t xml:space="preserve"> </w:t>
            </w:r>
            <w:r>
              <w:rPr>
                <w:spacing w:val="6"/>
              </w:rPr>
              <w:t>《</w:t>
            </w:r>
            <w:r>
              <w:rPr>
                <w:spacing w:val="-51"/>
              </w:rPr>
              <w:t xml:space="preserve"> </w:t>
            </w:r>
            <w:r>
              <w:rPr>
                <w:spacing w:val="6"/>
              </w:rPr>
              <w:t>个体工商户条例</w:t>
            </w:r>
            <w:r>
              <w:rPr>
                <w:spacing w:val="-53"/>
              </w:rPr>
              <w:t xml:space="preserve"> </w:t>
            </w:r>
            <w:r>
              <w:rPr>
                <w:spacing w:val="6"/>
              </w:rPr>
              <w:t>》</w:t>
            </w:r>
            <w:r>
              <w:rPr/>
              <w:t xml:space="preserve"> </w:t>
            </w:r>
            <w:r>
              <w:rPr>
                <w:spacing w:val="4"/>
              </w:rPr>
              <w:t>《农民专业合作社登</w:t>
            </w:r>
            <w:r>
              <w:rPr>
                <w:spacing w:val="-6"/>
              </w:rPr>
              <w:t>记管理条例》</w:t>
            </w:r>
          </w:p>
        </w:tc>
        <w:tc>
          <w:tcPr>
            <w:tcW w:w="7882" w:type="dxa"/>
            <w:vAlign w:val="top"/>
            <w:tcBorders>
              <w:bottom w:val="single" w:color="000000" w:sz="6" w:space="0"/>
              <w:right w:val="single" w:color="000000" w:sz="6" w:space="0"/>
            </w:tcBorders>
          </w:tcPr>
          <w:p>
            <w:pPr>
              <w:pStyle w:val="TableText"/>
              <w:ind w:left="6"/>
              <w:spacing w:before="186" w:line="241" w:lineRule="exact"/>
              <w:rPr/>
            </w:pPr>
            <w:r>
              <w:rPr>
                <w:position w:val="1"/>
              </w:rPr>
              <w:t>取消审批后，各级市场监管部门要通过以下措施加强事</w:t>
            </w:r>
            <w:r>
              <w:rPr>
                <w:spacing w:val="-1"/>
                <w:position w:val="1"/>
              </w:rPr>
              <w:t>中事后监管：</w:t>
            </w:r>
          </w:p>
          <w:p>
            <w:pPr>
              <w:pStyle w:val="TableText"/>
              <w:ind w:left="21"/>
              <w:spacing w:before="40" w:line="240" w:lineRule="exact"/>
              <w:rPr/>
            </w:pPr>
            <w:r>
              <w:rPr>
                <w:spacing w:val="-3"/>
                <w:position w:val="1"/>
              </w:rPr>
              <w:t>1．全面推行企业名称自主申报，不再发放《企业名称预先核准通知书》。</w:t>
            </w:r>
          </w:p>
          <w:p>
            <w:pPr>
              <w:pStyle w:val="TableText"/>
              <w:ind w:left="11" w:right="5" w:hanging="5"/>
              <w:spacing w:before="41" w:line="250" w:lineRule="auto"/>
              <w:rPr/>
            </w:pPr>
            <w:r>
              <w:rPr>
                <w:spacing w:val="1"/>
              </w:rPr>
              <w:t>2．进一步优化企业登记服务，完善企业名称数据库和企业</w:t>
            </w:r>
            <w:r>
              <w:rPr/>
              <w:t>名称申报系统，加强名称数据库动态维护</w:t>
            </w:r>
            <w:r>
              <w:rPr>
                <w:spacing w:val="-3"/>
              </w:rPr>
              <w:t>和管理。</w:t>
            </w:r>
          </w:p>
          <w:p>
            <w:pPr>
              <w:pStyle w:val="TableText"/>
              <w:ind w:left="5" w:right="5" w:firstLine="4"/>
              <w:spacing w:before="72" w:line="251" w:lineRule="auto"/>
              <w:rPr/>
            </w:pPr>
            <w:r>
              <w:rPr>
                <w:spacing w:val="1"/>
              </w:rPr>
              <w:t>3．依法审查企业名称登记事项，企业名称在企业登</w:t>
            </w:r>
            <w:r>
              <w:rPr/>
              <w:t>记时与其他登记事项一并审查，对不符合规定的</w:t>
            </w:r>
            <w:r>
              <w:rPr>
                <w:spacing w:val="-1"/>
              </w:rPr>
              <w:t>企业名称不予登记并说明理由。</w:t>
            </w:r>
          </w:p>
          <w:p>
            <w:pPr>
              <w:pStyle w:val="TableText"/>
              <w:ind w:left="5" w:right="5" w:hanging="1"/>
              <w:spacing w:before="68" w:line="252" w:lineRule="auto"/>
              <w:rPr/>
            </w:pPr>
            <w:r>
              <w:rPr>
                <w:spacing w:val="1"/>
              </w:rPr>
              <w:t>4．加强对违反登记事项法律法规的违法行为监管和查处，将违法</w:t>
            </w:r>
            <w:r>
              <w:rPr/>
              <w:t>行为纳入随机抽查事项清单，作为</w:t>
            </w:r>
            <w:r>
              <w:rPr>
                <w:spacing w:val="-1"/>
              </w:rPr>
              <w:t>必查事项。</w:t>
            </w:r>
          </w:p>
        </w:tc>
      </w:tr>
    </w:tbl>
    <w:p>
      <w:pPr>
        <w:rPr>
          <w:rFonts w:ascii="Arial"/>
          <w:sz w:val="21"/>
        </w:rPr>
      </w:pPr>
      <w:r/>
    </w:p>
    <w:p>
      <w:pPr>
        <w:sectPr>
          <w:headerReference w:type="default" r:id="rId478"/>
          <w:footerReference w:type="default" r:id="rId479"/>
          <w:pgSz w:w="16839" w:h="11906"/>
          <w:pgMar w:top="1767" w:right="1527" w:bottom="1570" w:left="1527" w:header="1428" w:footer="1172" w:gutter="0"/>
        </w:sectPr>
        <w:rPr>
          <w:rFonts w:ascii="Arial" w:hAnsi="Arial" w:eastAsia="Arial" w:cs="Arial"/>
          <w:sz w:val="21"/>
          <w:szCs w:val="21"/>
        </w:rPr>
      </w:pPr>
    </w:p>
    <w:p>
      <w:pPr>
        <w:ind w:left="75"/>
        <w:spacing w:before="323" w:line="218" w:lineRule="auto"/>
        <w:rPr>
          <w:rFonts w:ascii="Microsoft YaHei" w:hAnsi="Microsoft YaHei" w:eastAsia="Microsoft YaHei" w:cs="Microsoft YaHei"/>
          <w:sz w:val="20"/>
          <w:szCs w:val="20"/>
        </w:rPr>
      </w:pPr>
      <w:r>
        <w:drawing>
          <wp:anchor distT="0" distB="0" distL="0" distR="0" simplePos="0" relativeHeight="252000256" behindDoc="0" locked="0" layoutInCell="0" allowOverlap="1">
            <wp:simplePos x="0" y="0"/>
            <wp:positionH relativeFrom="page">
              <wp:posOffset>1008380</wp:posOffset>
            </wp:positionH>
            <wp:positionV relativeFrom="page">
              <wp:posOffset>1163954</wp:posOffset>
            </wp:positionV>
            <wp:extent cx="8712200" cy="7620"/>
            <wp:effectExtent l="0" t="0" r="0" b="0"/>
            <wp:wrapNone/>
            <wp:docPr id="962" name="IM 962"/>
            <wp:cNvGraphicFramePr/>
            <a:graphic>
              <a:graphicData uri="http://schemas.openxmlformats.org/drawingml/2006/picture">
                <pic:pic>
                  <pic:nvPicPr>
                    <pic:cNvPr id="962" name="IM 962"/>
                    <pic:cNvPicPr/>
                  </pic:nvPicPr>
                  <pic:blipFill>
                    <a:blip r:embed="rId483"/>
                    <a:stretch>
                      <a:fillRect/>
                    </a:stretch>
                  </pic:blipFill>
                  <pic:spPr>
                    <a:xfrm rot="0">
                      <a:off x="0" y="0"/>
                      <a:ext cx="8712200" cy="7620"/>
                    </a:xfrm>
                    <a:prstGeom prst="rect">
                      <a:avLst/>
                    </a:prstGeom>
                  </pic:spPr>
                </pic:pic>
              </a:graphicData>
            </a:graphic>
          </wp:anchor>
        </w:drawing>
      </w:r>
      <w:r>
        <w:rPr>
          <w:rFonts w:ascii="Microsoft YaHei" w:hAnsi="Microsoft YaHei" w:eastAsia="Microsoft YaHei" w:cs="Microsoft YaHei"/>
          <w:sz w:val="20"/>
          <w:szCs w:val="20"/>
          <w:spacing w:val="-2"/>
        </w:rPr>
        <w:t>附件 2</w:t>
      </w:r>
    </w:p>
    <w:p>
      <w:pPr>
        <w:ind w:left="2518"/>
        <w:spacing w:before="176" w:line="215"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8"/>
        </w:rPr>
        <w:t>国务院决定下放审批层级的行政许可事项目录</w:t>
      </w:r>
    </w:p>
    <w:p>
      <w:pPr>
        <w:ind w:left="6354"/>
        <w:spacing w:before="58" w:line="271" w:lineRule="exact"/>
        <w:rPr>
          <w:rFonts w:ascii="KaiTi" w:hAnsi="KaiTi" w:eastAsia="KaiTi" w:cs="KaiTi"/>
          <w:sz w:val="20"/>
          <w:szCs w:val="20"/>
        </w:rPr>
      </w:pPr>
      <w:r>
        <w:rPr>
          <w:rFonts w:ascii="KaiTi" w:hAnsi="KaiTi" w:eastAsia="KaiTi" w:cs="KaiTi"/>
          <w:sz w:val="20"/>
          <w:szCs w:val="20"/>
          <w:spacing w:val="2"/>
          <w:position w:val="1"/>
        </w:rPr>
        <w:t>（共</w:t>
      </w:r>
      <w:r>
        <w:rPr>
          <w:rFonts w:ascii="KaiTi" w:hAnsi="KaiTi" w:eastAsia="KaiTi" w:cs="KaiTi"/>
          <w:sz w:val="20"/>
          <w:szCs w:val="20"/>
          <w:spacing w:val="-33"/>
          <w:position w:val="1"/>
        </w:rPr>
        <w:t xml:space="preserve"> </w:t>
      </w:r>
      <w:r>
        <w:rPr>
          <w:rFonts w:ascii="Times New Roman" w:hAnsi="Times New Roman" w:eastAsia="Times New Roman" w:cs="Times New Roman"/>
          <w:sz w:val="20"/>
          <w:szCs w:val="20"/>
          <w:spacing w:val="2"/>
          <w:position w:val="1"/>
        </w:rPr>
        <w:t>3</w:t>
      </w:r>
      <w:r>
        <w:rPr>
          <w:rFonts w:ascii="Times New Roman" w:hAnsi="Times New Roman" w:eastAsia="Times New Roman" w:cs="Times New Roman"/>
          <w:sz w:val="20"/>
          <w:szCs w:val="20"/>
          <w:spacing w:val="16"/>
          <w:w w:val="101"/>
          <w:position w:val="1"/>
        </w:rPr>
        <w:t xml:space="preserve"> </w:t>
      </w:r>
      <w:r>
        <w:rPr>
          <w:rFonts w:ascii="KaiTi" w:hAnsi="KaiTi" w:eastAsia="KaiTi" w:cs="KaiTi"/>
          <w:sz w:val="20"/>
          <w:szCs w:val="20"/>
          <w:spacing w:val="2"/>
          <w:position w:val="1"/>
        </w:rPr>
        <w:t>项</w:t>
      </w:r>
      <w:r>
        <w:rPr>
          <w:rFonts w:ascii="KaiTi" w:hAnsi="KaiTi" w:eastAsia="KaiTi" w:cs="KaiTi"/>
          <w:sz w:val="20"/>
          <w:szCs w:val="20"/>
          <w:spacing w:val="-66"/>
          <w:position w:val="1"/>
        </w:rPr>
        <w:t xml:space="preserve"> </w:t>
      </w:r>
      <w:r>
        <w:rPr>
          <w:rFonts w:ascii="KaiTi" w:hAnsi="KaiTi" w:eastAsia="KaiTi" w:cs="KaiTi"/>
          <w:sz w:val="20"/>
          <w:szCs w:val="20"/>
          <w:spacing w:val="2"/>
          <w:position w:val="1"/>
        </w:rPr>
        <w:t>）</w:t>
      </w:r>
    </w:p>
    <w:p>
      <w:pPr>
        <w:spacing w:line="53" w:lineRule="exact"/>
        <w:rPr/>
      </w:pPr>
      <w:r/>
    </w:p>
    <w:tbl>
      <w:tblPr>
        <w:tblStyle w:val="TableNormal"/>
        <w:tblW w:w="13753"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33"/>
        <w:gridCol w:w="1375"/>
        <w:gridCol w:w="1218"/>
        <w:gridCol w:w="1356"/>
        <w:gridCol w:w="1818"/>
        <w:gridCol w:w="7353"/>
      </w:tblGrid>
      <w:tr>
        <w:trPr>
          <w:trHeight w:val="445" w:hRule="atLeast"/>
        </w:trPr>
        <w:tc>
          <w:tcPr>
            <w:tcW w:w="633" w:type="dxa"/>
            <w:vAlign w:val="top"/>
            <w:tcBorders>
              <w:left w:val="single" w:color="000000" w:sz="6" w:space="0"/>
              <w:top w:val="single" w:color="000000" w:sz="6" w:space="0"/>
            </w:tcBorders>
          </w:tcPr>
          <w:p>
            <w:pPr>
              <w:pStyle w:val="TableText"/>
              <w:ind w:left="132"/>
              <w:spacing w:before="161" w:line="214" w:lineRule="auto"/>
              <w:rPr/>
            </w:pPr>
            <w:r>
              <w:rPr>
                <w:b/>
                <w:bCs/>
                <w:spacing w:val="-4"/>
              </w:rPr>
              <w:t>序号</w:t>
            </w:r>
          </w:p>
        </w:tc>
        <w:tc>
          <w:tcPr>
            <w:tcW w:w="1375" w:type="dxa"/>
            <w:vAlign w:val="top"/>
            <w:tcBorders>
              <w:top w:val="single" w:color="000000" w:sz="6" w:space="0"/>
            </w:tcBorders>
          </w:tcPr>
          <w:p>
            <w:pPr>
              <w:pStyle w:val="TableText"/>
              <w:ind w:left="320"/>
              <w:spacing w:before="162" w:line="211" w:lineRule="auto"/>
              <w:rPr/>
            </w:pPr>
            <w:r>
              <w:rPr>
                <w:b/>
                <w:bCs/>
                <w:spacing w:val="-3"/>
              </w:rPr>
              <w:t>事项名称</w:t>
            </w:r>
          </w:p>
        </w:tc>
        <w:tc>
          <w:tcPr>
            <w:tcW w:w="1218" w:type="dxa"/>
            <w:vAlign w:val="top"/>
            <w:tcBorders>
              <w:top w:val="single" w:color="000000" w:sz="6" w:space="0"/>
            </w:tcBorders>
          </w:tcPr>
          <w:p>
            <w:pPr>
              <w:pStyle w:val="TableText"/>
              <w:ind w:left="247"/>
              <w:spacing w:before="163" w:line="210" w:lineRule="auto"/>
              <w:rPr/>
            </w:pPr>
            <w:r>
              <w:rPr>
                <w:b/>
                <w:bCs/>
                <w:spacing w:val="-4"/>
              </w:rPr>
              <w:t>审批部门</w:t>
            </w:r>
          </w:p>
        </w:tc>
        <w:tc>
          <w:tcPr>
            <w:tcW w:w="1356" w:type="dxa"/>
            <w:vAlign w:val="top"/>
            <w:tcBorders>
              <w:top w:val="single" w:color="000000" w:sz="6" w:space="0"/>
            </w:tcBorders>
          </w:tcPr>
          <w:p>
            <w:pPr>
              <w:pStyle w:val="TableText"/>
              <w:ind w:left="311"/>
              <w:spacing w:before="161" w:line="212" w:lineRule="auto"/>
              <w:rPr/>
            </w:pPr>
            <w:r>
              <w:rPr>
                <w:b/>
                <w:bCs/>
                <w:spacing w:val="-2"/>
              </w:rPr>
              <w:t>设定依据</w:t>
            </w:r>
          </w:p>
        </w:tc>
        <w:tc>
          <w:tcPr>
            <w:tcW w:w="1818" w:type="dxa"/>
            <w:vAlign w:val="top"/>
            <w:tcBorders>
              <w:top w:val="single" w:color="000000" w:sz="6" w:space="0"/>
            </w:tcBorders>
          </w:tcPr>
          <w:p>
            <w:pPr>
              <w:pStyle w:val="TableText"/>
              <w:ind w:left="276"/>
              <w:spacing w:before="163" w:line="210" w:lineRule="auto"/>
              <w:rPr/>
            </w:pPr>
            <w:r>
              <w:rPr>
                <w:b/>
                <w:bCs/>
                <w:spacing w:val="-2"/>
              </w:rPr>
              <w:t>下放后审批部门</w:t>
            </w:r>
          </w:p>
        </w:tc>
        <w:tc>
          <w:tcPr>
            <w:tcW w:w="7353" w:type="dxa"/>
            <w:vAlign w:val="top"/>
            <w:tcBorders>
              <w:right w:val="single" w:color="000000" w:sz="6" w:space="0"/>
              <w:top w:val="single" w:color="000000" w:sz="6" w:space="0"/>
            </w:tcBorders>
          </w:tcPr>
          <w:p>
            <w:pPr>
              <w:pStyle w:val="TableText"/>
              <w:ind w:left="2773"/>
              <w:spacing w:before="162" w:line="211" w:lineRule="auto"/>
              <w:rPr/>
            </w:pPr>
            <w:r>
              <w:rPr>
                <w:b/>
                <w:bCs/>
                <w:spacing w:val="-2"/>
              </w:rPr>
              <w:t>加强事中事后监管措施</w:t>
            </w:r>
          </w:p>
        </w:tc>
      </w:tr>
      <w:tr>
        <w:trPr>
          <w:trHeight w:val="3670" w:hRule="atLeast"/>
        </w:trPr>
        <w:tc>
          <w:tcPr>
            <w:tcW w:w="633" w:type="dxa"/>
            <w:vAlign w:val="top"/>
            <w:tcBorders>
              <w:left w:val="single" w:color="000000" w:sz="6" w:space="0"/>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282"/>
              <w:spacing w:before="58" w:line="262" w:lineRule="exact"/>
              <w:rPr/>
            </w:pPr>
            <w:r>
              <w:rPr>
                <w:position w:val="1"/>
              </w:rPr>
              <w:t>1</w:t>
            </w:r>
          </w:p>
        </w:tc>
        <w:tc>
          <w:tcPr>
            <w:tcW w:w="1375" w:type="dxa"/>
            <w:vAlign w:val="top"/>
          </w:tcPr>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spacing w:before="59" w:line="241" w:lineRule="exact"/>
              <w:jc w:val="right"/>
              <w:rPr/>
            </w:pPr>
            <w:r>
              <w:rPr>
                <w:spacing w:val="-29"/>
                <w:position w:val="1"/>
              </w:rPr>
              <w:t>省（区）际、市际、</w:t>
            </w:r>
          </w:p>
          <w:p>
            <w:pPr>
              <w:pStyle w:val="TableText"/>
              <w:ind w:right="7" w:firstLine="6"/>
              <w:spacing w:before="61" w:line="310" w:lineRule="auto"/>
              <w:jc w:val="both"/>
              <w:rPr/>
            </w:pPr>
            <w:r>
              <w:rPr>
                <w:spacing w:val="13"/>
              </w:rPr>
              <w:t>毗邻县行政区域</w:t>
            </w:r>
            <w:r>
              <w:rPr>
                <w:spacing w:val="13"/>
              </w:rPr>
              <w:t>间道路旅客运输</w:t>
            </w:r>
            <w:r>
              <w:rPr>
                <w:spacing w:val="-2"/>
              </w:rPr>
              <w:t>经营许可</w:t>
            </w:r>
          </w:p>
        </w:tc>
        <w:tc>
          <w:tcPr>
            <w:tcW w:w="1218"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right="6" w:firstLine="1"/>
              <w:spacing w:before="59" w:line="311" w:lineRule="auto"/>
              <w:rPr/>
            </w:pPr>
            <w:r>
              <w:rPr>
                <w:spacing w:val="-9"/>
              </w:rPr>
              <w:t>省、市级交通运</w:t>
            </w:r>
            <w:r>
              <w:rPr>
                <w:spacing w:val="-1"/>
              </w:rPr>
              <w:t>输部门</w:t>
            </w:r>
          </w:p>
        </w:tc>
        <w:tc>
          <w:tcPr>
            <w:tcW w:w="1356" w:type="dxa"/>
            <w:vAlign w:val="top"/>
          </w:tcPr>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pStyle w:val="TableText"/>
              <w:ind w:left="221" w:right="217" w:hanging="12"/>
              <w:spacing w:before="59" w:line="318" w:lineRule="auto"/>
              <w:jc w:val="both"/>
              <w:rPr/>
            </w:pPr>
            <w:r>
              <w:rPr>
                <w:spacing w:val="1"/>
              </w:rPr>
              <w:t>《中华人民</w:t>
            </w:r>
            <w:r>
              <w:rPr>
                <w:spacing w:val="-1"/>
              </w:rPr>
              <w:t>共和国道路</w:t>
            </w:r>
            <w:r>
              <w:rPr>
                <w:spacing w:val="1"/>
              </w:rPr>
              <w:t>运输条例》</w:t>
            </w:r>
          </w:p>
        </w:tc>
        <w:tc>
          <w:tcPr>
            <w:tcW w:w="1818"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5"/>
              <w:spacing w:before="58" w:line="210" w:lineRule="auto"/>
              <w:rPr/>
            </w:pPr>
            <w:r>
              <w:rPr>
                <w:spacing w:val="-1"/>
              </w:rPr>
              <w:t>市、县级交通运输部门</w:t>
            </w:r>
          </w:p>
        </w:tc>
        <w:tc>
          <w:tcPr>
            <w:tcW w:w="7353" w:type="dxa"/>
            <w:vAlign w:val="top"/>
            <w:tcBorders>
              <w:right w:val="single" w:color="000000" w:sz="6" w:space="0"/>
            </w:tcBorders>
          </w:tcPr>
          <w:p>
            <w:pPr>
              <w:spacing w:line="360" w:lineRule="auto"/>
              <w:rPr>
                <w:rFonts w:ascii="Arial"/>
                <w:sz w:val="21"/>
              </w:rPr>
            </w:pPr>
            <w:r/>
          </w:p>
          <w:p>
            <w:pPr>
              <w:pStyle w:val="TableText"/>
              <w:ind w:left="6"/>
              <w:spacing w:before="58" w:line="240" w:lineRule="exact"/>
              <w:rPr/>
            </w:pPr>
            <w:r>
              <w:rPr>
                <w:position w:val="1"/>
              </w:rPr>
              <w:t>下放审批后，交通运输主管部门及其道路运输管理机构通过以下措施加强事</w:t>
            </w:r>
            <w:r>
              <w:rPr>
                <w:spacing w:val="-1"/>
                <w:position w:val="1"/>
              </w:rPr>
              <w:t>中事后监管：</w:t>
            </w:r>
          </w:p>
          <w:p>
            <w:pPr>
              <w:pStyle w:val="TableText"/>
              <w:ind w:left="4" w:right="1" w:firstLine="17"/>
              <w:spacing w:before="60" w:line="262" w:lineRule="auto"/>
              <w:rPr/>
            </w:pPr>
            <w:r>
              <w:rPr>
                <w:spacing w:val="-6"/>
              </w:rPr>
              <w:t>1.加强许可信息共享。严格落实《道路运输车辆动态监督管理办法》，依据法定职责，与公安机</w:t>
            </w:r>
            <w:r>
              <w:rPr/>
              <w:t>关交通安全管理部门及其他有关部门共同对道路客运车辆动态监控工作实施监</w:t>
            </w:r>
            <w:r>
              <w:rPr>
                <w:spacing w:val="-1"/>
              </w:rPr>
              <w:t>督管理。</w:t>
            </w:r>
          </w:p>
          <w:p>
            <w:pPr>
              <w:pStyle w:val="TableText"/>
              <w:ind w:left="6"/>
              <w:spacing w:before="89" w:line="240" w:lineRule="exact"/>
              <w:rPr/>
            </w:pPr>
            <w:r>
              <w:rPr>
                <w:spacing w:val="-2"/>
                <w:position w:val="1"/>
              </w:rPr>
              <w:t>2.推进落实好部门监管责任、属地管理责任，确保“隐患清零”措施到位。</w:t>
            </w:r>
          </w:p>
          <w:p>
            <w:pPr>
              <w:pStyle w:val="TableText"/>
              <w:ind w:left="4" w:right="4" w:firstLine="5"/>
              <w:spacing w:before="59" w:line="277" w:lineRule="auto"/>
              <w:rPr/>
            </w:pPr>
            <w:r>
              <w:rPr>
                <w:spacing w:val="-1"/>
              </w:rPr>
              <w:t>3.加强“双随机、一公开”监管，依法查处违法违规经营行</w:t>
            </w:r>
            <w:r>
              <w:rPr>
                <w:spacing w:val="-2"/>
              </w:rPr>
              <w:t>为；对严重违法经营或危及运输生</w:t>
            </w:r>
            <w:r>
              <w:rPr>
                <w:spacing w:val="-1"/>
              </w:rPr>
              <w:t>产安全的车辆和从业人员，纳入重点管控范围，依法从重处罚，直至依法吊</w:t>
            </w:r>
            <w:r>
              <w:rPr>
                <w:spacing w:val="-2"/>
              </w:rPr>
              <w:t>销其道路客运经营</w:t>
            </w:r>
            <w:r>
              <w:rPr>
                <w:spacing w:val="-1"/>
              </w:rPr>
              <w:t>许可和从业资格证件。</w:t>
            </w:r>
          </w:p>
          <w:p>
            <w:pPr>
              <w:pStyle w:val="TableText"/>
              <w:ind w:left="4"/>
              <w:spacing w:before="89" w:line="241" w:lineRule="exact"/>
              <w:rPr/>
            </w:pPr>
            <w:r>
              <w:rPr>
                <w:spacing w:val="-2"/>
                <w:position w:val="1"/>
              </w:rPr>
              <w:t>4.加强信用监管，对信用等级低的经营者加大监督检查和整改处理力度。</w:t>
            </w:r>
          </w:p>
          <w:p>
            <w:pPr>
              <w:pStyle w:val="TableText"/>
              <w:ind w:left="8" w:right="6" w:hanging="1"/>
              <w:spacing w:before="60" w:line="261" w:lineRule="auto"/>
              <w:rPr/>
            </w:pPr>
            <w:r>
              <w:rPr>
                <w:spacing w:val="-1"/>
              </w:rPr>
              <w:t>5.完善运输服务质量投诉监督机制，及时处理服务质量投诉案件</w:t>
            </w:r>
            <w:r>
              <w:rPr>
                <w:spacing w:val="-2"/>
              </w:rPr>
              <w:t>。加强对各级交通运输部门履</w:t>
            </w:r>
            <w:r>
              <w:rPr>
                <w:spacing w:val="-1"/>
              </w:rPr>
              <w:t>职情况监督检查。</w:t>
            </w:r>
          </w:p>
        </w:tc>
      </w:tr>
      <w:tr>
        <w:trPr>
          <w:trHeight w:val="2228" w:hRule="atLeast"/>
        </w:trPr>
        <w:tc>
          <w:tcPr>
            <w:tcW w:w="633" w:type="dxa"/>
            <w:vAlign w:val="top"/>
            <w:tcBorders>
              <w:left w:val="single" w:color="000000" w:sz="6" w:space="0"/>
              <w:bottom w:val="single" w:color="000000" w:sz="6" w:space="0"/>
            </w:tcBorders>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267"/>
              <w:spacing w:before="59" w:line="262" w:lineRule="exact"/>
              <w:rPr/>
            </w:pPr>
            <w:r>
              <w:rPr>
                <w:position w:val="1"/>
              </w:rPr>
              <w:t>2</w:t>
            </w:r>
          </w:p>
        </w:tc>
        <w:tc>
          <w:tcPr>
            <w:tcW w:w="1375" w:type="dxa"/>
            <w:vAlign w:val="top"/>
            <w:tcBorders>
              <w:bottom w:val="single" w:color="000000" w:sz="6" w:space="0"/>
            </w:tcBorders>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
              <w:spacing w:before="59" w:line="210" w:lineRule="auto"/>
              <w:rPr/>
            </w:pPr>
            <w:r>
              <w:rPr>
                <w:spacing w:val="-2"/>
              </w:rPr>
              <w:t>护士执业注册</w:t>
            </w:r>
          </w:p>
        </w:tc>
        <w:tc>
          <w:tcPr>
            <w:tcW w:w="1218" w:type="dxa"/>
            <w:vAlign w:val="top"/>
            <w:tcBorders>
              <w:bottom w:val="single" w:color="000000" w:sz="6" w:space="0"/>
            </w:tcBorders>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pStyle w:val="TableText"/>
              <w:ind w:right="6" w:firstLine="1"/>
              <w:spacing w:before="59" w:line="310" w:lineRule="auto"/>
              <w:rPr/>
            </w:pPr>
            <w:r>
              <w:rPr>
                <w:spacing w:val="19"/>
              </w:rPr>
              <w:t>省级卫生健康</w:t>
            </w:r>
            <w:r>
              <w:rPr>
                <w:spacing w:val="-2"/>
              </w:rPr>
              <w:t>部门</w:t>
            </w:r>
          </w:p>
        </w:tc>
        <w:tc>
          <w:tcPr>
            <w:tcW w:w="1356" w:type="dxa"/>
            <w:vAlign w:val="top"/>
            <w:tcBorders>
              <w:bottom w:val="single" w:color="000000" w:sz="6" w:space="0"/>
            </w:tcBorders>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20"/>
              <w:spacing w:before="59" w:line="241" w:lineRule="exact"/>
              <w:rPr/>
            </w:pPr>
            <w:r>
              <w:rPr>
                <w:spacing w:val="3"/>
                <w:position w:val="1"/>
              </w:rPr>
              <w:t>《护士条例》</w:t>
            </w:r>
          </w:p>
        </w:tc>
        <w:tc>
          <w:tcPr>
            <w:tcW w:w="1818" w:type="dxa"/>
            <w:vAlign w:val="top"/>
            <w:tcBorders>
              <w:bottom w:val="single" w:color="000000" w:sz="6"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5"/>
              <w:spacing w:before="59" w:line="215" w:lineRule="auto"/>
              <w:rPr/>
            </w:pPr>
            <w:r>
              <w:rPr>
                <w:spacing w:val="-1"/>
              </w:rPr>
              <w:t>市、县级卫生健康部门</w:t>
            </w:r>
          </w:p>
        </w:tc>
        <w:tc>
          <w:tcPr>
            <w:tcW w:w="7353" w:type="dxa"/>
            <w:vAlign w:val="top"/>
            <w:tcBorders>
              <w:bottom w:val="single" w:color="000000" w:sz="6" w:space="0"/>
              <w:right w:val="single" w:color="000000" w:sz="6" w:space="0"/>
            </w:tcBorders>
          </w:tcPr>
          <w:p>
            <w:pPr>
              <w:spacing w:line="390" w:lineRule="auto"/>
              <w:rPr>
                <w:rFonts w:ascii="Arial"/>
                <w:sz w:val="21"/>
              </w:rPr>
            </w:pPr>
            <w:r/>
          </w:p>
          <w:p>
            <w:pPr>
              <w:pStyle w:val="TableText"/>
              <w:ind w:left="6"/>
              <w:spacing w:before="59" w:line="240" w:lineRule="exact"/>
              <w:rPr/>
            </w:pPr>
            <w:r>
              <w:rPr>
                <w:position w:val="1"/>
              </w:rPr>
              <w:t>下放审批后，各级卫生健康部门要通过以下措施加强事</w:t>
            </w:r>
            <w:r>
              <w:rPr>
                <w:spacing w:val="-1"/>
                <w:position w:val="1"/>
              </w:rPr>
              <w:t>中事后监管：</w:t>
            </w:r>
          </w:p>
          <w:p>
            <w:pPr>
              <w:pStyle w:val="TableText"/>
              <w:ind w:left="5" w:right="6" w:firstLine="16"/>
              <w:spacing w:before="59" w:line="277" w:lineRule="auto"/>
              <w:rPr/>
            </w:pPr>
            <w:r>
              <w:rPr>
                <w:spacing w:val="-2"/>
              </w:rPr>
              <w:t>1.按照国家卫生健康委关于下放护士执业注册审批层级的有关文件要求，结合本地护士执业注</w:t>
            </w:r>
            <w:r>
              <w:rPr/>
              <w:t>册审批现状，做好审批层级调整，同时，进一步优化流程、精简材料，提升</w:t>
            </w:r>
            <w:r>
              <w:rPr>
                <w:spacing w:val="-1"/>
              </w:rPr>
              <w:t>审批效率。</w:t>
            </w:r>
          </w:p>
          <w:p>
            <w:pPr>
              <w:pStyle w:val="TableText"/>
              <w:ind w:left="6"/>
              <w:spacing w:before="60" w:line="239" w:lineRule="exact"/>
              <w:rPr/>
            </w:pPr>
            <w:r>
              <w:rPr>
                <w:spacing w:val="-1"/>
                <w:position w:val="1"/>
              </w:rPr>
              <w:t>2.全面实施护士执业电子化注册，实现网上办理，并加强对辖区内</w:t>
            </w:r>
            <w:r>
              <w:rPr>
                <w:spacing w:val="-2"/>
                <w:position w:val="1"/>
              </w:rPr>
              <w:t>护士执业注册工作的监督。</w:t>
            </w:r>
          </w:p>
          <w:p>
            <w:pPr>
              <w:pStyle w:val="TableText"/>
              <w:ind w:left="9"/>
              <w:spacing w:before="60" w:line="240" w:lineRule="exact"/>
              <w:rPr/>
            </w:pPr>
            <w:r>
              <w:rPr>
                <w:spacing w:val="-4"/>
                <w:position w:val="1"/>
              </w:rPr>
              <w:t>3.加强对执业护士的监督管理工作。</w:t>
            </w:r>
          </w:p>
        </w:tc>
      </w:tr>
    </w:tbl>
    <w:p>
      <w:pPr>
        <w:spacing w:line="181" w:lineRule="exact"/>
        <w:rPr>
          <w:rFonts w:ascii="Arial"/>
          <w:sz w:val="15"/>
        </w:rPr>
      </w:pPr>
      <w:r/>
    </w:p>
    <w:p>
      <w:pPr>
        <w:spacing w:line="181" w:lineRule="exact"/>
        <w:sectPr>
          <w:headerReference w:type="default" r:id="rId481"/>
          <w:footerReference w:type="default" r:id="rId482"/>
          <w:pgSz w:w="16839" w:h="11906"/>
          <w:pgMar w:top="1792" w:right="1530" w:bottom="1672" w:left="1534" w:header="1428" w:footer="1277" w:gutter="0"/>
        </w:sectPr>
        <w:rPr>
          <w:rFonts w:ascii="Arial" w:hAnsi="Arial" w:eastAsia="Arial" w:cs="Arial"/>
          <w:sz w:val="15"/>
          <w:szCs w:val="15"/>
        </w:rPr>
      </w:pPr>
    </w:p>
    <w:p>
      <w:pPr>
        <w:spacing w:line="177" w:lineRule="exact"/>
        <w:rPr/>
      </w:pPr>
      <w:r>
        <w:drawing>
          <wp:anchor distT="0" distB="0" distL="0" distR="0" simplePos="0" relativeHeight="252002304" behindDoc="0" locked="0" layoutInCell="0" allowOverlap="1">
            <wp:simplePos x="0" y="0"/>
            <wp:positionH relativeFrom="page">
              <wp:posOffset>1008380</wp:posOffset>
            </wp:positionH>
            <wp:positionV relativeFrom="page">
              <wp:posOffset>1147445</wp:posOffset>
            </wp:positionV>
            <wp:extent cx="8712200" cy="7620"/>
            <wp:effectExtent l="0" t="0" r="0" b="0"/>
            <wp:wrapNone/>
            <wp:docPr id="968" name="IM 968"/>
            <wp:cNvGraphicFramePr/>
            <a:graphic>
              <a:graphicData uri="http://schemas.openxmlformats.org/drawingml/2006/picture">
                <pic:pic>
                  <pic:nvPicPr>
                    <pic:cNvPr id="968" name="IM 968"/>
                    <pic:cNvPicPr/>
                  </pic:nvPicPr>
                  <pic:blipFill>
                    <a:blip r:embed="rId486"/>
                    <a:stretch>
                      <a:fillRect/>
                    </a:stretch>
                  </pic:blipFill>
                  <pic:spPr>
                    <a:xfrm rot="0">
                      <a:off x="0" y="0"/>
                      <a:ext cx="8712200" cy="7620"/>
                    </a:xfrm>
                    <a:prstGeom prst="rect">
                      <a:avLst/>
                    </a:prstGeom>
                  </pic:spPr>
                </pic:pic>
              </a:graphicData>
            </a:graphic>
          </wp:anchor>
        </w:drawing>
      </w:r>
      <w:r/>
    </w:p>
    <w:tbl>
      <w:tblPr>
        <w:tblStyle w:val="TableNormal"/>
        <w:tblW w:w="13753"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33"/>
        <w:gridCol w:w="1375"/>
        <w:gridCol w:w="1218"/>
        <w:gridCol w:w="1356"/>
        <w:gridCol w:w="1818"/>
        <w:gridCol w:w="7353"/>
      </w:tblGrid>
      <w:tr>
        <w:trPr>
          <w:trHeight w:val="445" w:hRule="atLeast"/>
        </w:trPr>
        <w:tc>
          <w:tcPr>
            <w:tcW w:w="633" w:type="dxa"/>
            <w:vAlign w:val="top"/>
            <w:tcBorders>
              <w:left w:val="single" w:color="000000" w:sz="6" w:space="0"/>
              <w:top w:val="single" w:color="000000" w:sz="6" w:space="0"/>
            </w:tcBorders>
          </w:tcPr>
          <w:p>
            <w:pPr>
              <w:pStyle w:val="TableText"/>
              <w:ind w:left="132"/>
              <w:spacing w:before="161" w:line="214" w:lineRule="auto"/>
              <w:rPr/>
            </w:pPr>
            <w:r>
              <w:rPr>
                <w:b/>
                <w:bCs/>
                <w:spacing w:val="-4"/>
              </w:rPr>
              <w:t>序号</w:t>
            </w:r>
          </w:p>
        </w:tc>
        <w:tc>
          <w:tcPr>
            <w:tcW w:w="1375" w:type="dxa"/>
            <w:vAlign w:val="top"/>
            <w:tcBorders>
              <w:top w:val="single" w:color="000000" w:sz="6" w:space="0"/>
            </w:tcBorders>
          </w:tcPr>
          <w:p>
            <w:pPr>
              <w:pStyle w:val="TableText"/>
              <w:ind w:left="320"/>
              <w:spacing w:before="162" w:line="211" w:lineRule="auto"/>
              <w:rPr/>
            </w:pPr>
            <w:r>
              <w:rPr>
                <w:b/>
                <w:bCs/>
                <w:spacing w:val="-3"/>
              </w:rPr>
              <w:t>事项名称</w:t>
            </w:r>
          </w:p>
        </w:tc>
        <w:tc>
          <w:tcPr>
            <w:tcW w:w="1218" w:type="dxa"/>
            <w:vAlign w:val="top"/>
            <w:tcBorders>
              <w:top w:val="single" w:color="000000" w:sz="6" w:space="0"/>
            </w:tcBorders>
          </w:tcPr>
          <w:p>
            <w:pPr>
              <w:pStyle w:val="TableText"/>
              <w:ind w:left="247"/>
              <w:spacing w:before="163" w:line="210" w:lineRule="auto"/>
              <w:rPr/>
            </w:pPr>
            <w:r>
              <w:rPr>
                <w:b/>
                <w:bCs/>
                <w:spacing w:val="-4"/>
              </w:rPr>
              <w:t>审批部门</w:t>
            </w:r>
          </w:p>
        </w:tc>
        <w:tc>
          <w:tcPr>
            <w:tcW w:w="1356" w:type="dxa"/>
            <w:vAlign w:val="top"/>
            <w:tcBorders>
              <w:top w:val="single" w:color="000000" w:sz="6" w:space="0"/>
            </w:tcBorders>
          </w:tcPr>
          <w:p>
            <w:pPr>
              <w:pStyle w:val="TableText"/>
              <w:ind w:left="311"/>
              <w:spacing w:before="161" w:line="212" w:lineRule="auto"/>
              <w:rPr/>
            </w:pPr>
            <w:r>
              <w:rPr>
                <w:b/>
                <w:bCs/>
                <w:spacing w:val="-2"/>
              </w:rPr>
              <w:t>设定依据</w:t>
            </w:r>
          </w:p>
        </w:tc>
        <w:tc>
          <w:tcPr>
            <w:tcW w:w="1818" w:type="dxa"/>
            <w:vAlign w:val="top"/>
            <w:tcBorders>
              <w:top w:val="single" w:color="000000" w:sz="6" w:space="0"/>
            </w:tcBorders>
          </w:tcPr>
          <w:p>
            <w:pPr>
              <w:pStyle w:val="TableText"/>
              <w:ind w:left="276"/>
              <w:spacing w:before="163" w:line="210" w:lineRule="auto"/>
              <w:rPr/>
            </w:pPr>
            <w:r>
              <w:rPr>
                <w:b/>
                <w:bCs/>
                <w:spacing w:val="-2"/>
              </w:rPr>
              <w:t>下放后审批部门</w:t>
            </w:r>
          </w:p>
        </w:tc>
        <w:tc>
          <w:tcPr>
            <w:tcW w:w="7353" w:type="dxa"/>
            <w:vAlign w:val="top"/>
            <w:tcBorders>
              <w:right w:val="single" w:color="000000" w:sz="6" w:space="0"/>
              <w:top w:val="single" w:color="000000" w:sz="6" w:space="0"/>
            </w:tcBorders>
          </w:tcPr>
          <w:p>
            <w:pPr>
              <w:pStyle w:val="TableText"/>
              <w:ind w:left="2773"/>
              <w:spacing w:before="162" w:line="211" w:lineRule="auto"/>
              <w:rPr/>
            </w:pPr>
            <w:r>
              <w:rPr>
                <w:b/>
                <w:bCs/>
                <w:spacing w:val="-2"/>
              </w:rPr>
              <w:t>加强事中事后监管措施</w:t>
            </w:r>
          </w:p>
        </w:tc>
      </w:tr>
      <w:tr>
        <w:trPr>
          <w:trHeight w:val="7500" w:hRule="atLeast"/>
        </w:trPr>
        <w:tc>
          <w:tcPr>
            <w:tcW w:w="633" w:type="dxa"/>
            <w:vAlign w:val="top"/>
            <w:tcBorders>
              <w:left w:val="single" w:color="000000" w:sz="6" w:space="0"/>
              <w:bottom w:val="single" w:color="000000" w:sz="6" w:space="0"/>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pStyle w:val="TableText"/>
              <w:ind w:left="270"/>
              <w:spacing w:before="59" w:line="260" w:lineRule="exact"/>
              <w:rPr/>
            </w:pPr>
            <w:r>
              <w:rPr>
                <w:position w:val="2"/>
              </w:rPr>
              <w:t>3</w:t>
            </w:r>
          </w:p>
        </w:tc>
        <w:tc>
          <w:tcPr>
            <w:tcW w:w="1375" w:type="dxa"/>
            <w:vAlign w:val="top"/>
            <w:tcBorders>
              <w:bottom w:val="single" w:color="000000" w:sz="6" w:space="0"/>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4" w:right="7" w:hanging="4"/>
              <w:spacing w:before="59" w:line="294" w:lineRule="auto"/>
              <w:rPr/>
            </w:pPr>
            <w:r>
              <w:rPr>
                <w:spacing w:val="13"/>
              </w:rPr>
              <w:t>成品油零售经营</w:t>
            </w:r>
            <w:r>
              <w:rPr>
                <w:spacing w:val="-3"/>
              </w:rPr>
              <w:t>资格审批</w:t>
            </w:r>
          </w:p>
        </w:tc>
        <w:tc>
          <w:tcPr>
            <w:tcW w:w="1218" w:type="dxa"/>
            <w:vAlign w:val="top"/>
            <w:tcBorders>
              <w:bottom w:val="single" w:color="000000" w:sz="6" w:space="0"/>
            </w:tcBorders>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
              <w:spacing w:before="58" w:line="213" w:lineRule="auto"/>
              <w:rPr/>
            </w:pPr>
            <w:r>
              <w:rPr>
                <w:spacing w:val="-1"/>
              </w:rPr>
              <w:t>省级商务部门</w:t>
            </w:r>
          </w:p>
        </w:tc>
        <w:tc>
          <w:tcPr>
            <w:tcW w:w="1356" w:type="dxa"/>
            <w:vAlign w:val="top"/>
            <w:tcBorders>
              <w:bottom w:val="single" w:color="000000" w:sz="6" w:space="0"/>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1" w:right="3" w:hanging="11"/>
              <w:spacing w:before="58" w:line="318" w:lineRule="auto"/>
              <w:jc w:val="both"/>
              <w:rPr/>
            </w:pPr>
            <w:r>
              <w:rPr>
                <w:spacing w:val="11"/>
              </w:rPr>
              <w:t>《国务院对确需</w:t>
            </w:r>
            <w:r>
              <w:rPr>
                <w:spacing w:val="10"/>
              </w:rPr>
              <w:t>保留的行政审批</w:t>
            </w:r>
            <w:r>
              <w:rPr>
                <w:spacing w:val="10"/>
              </w:rPr>
              <w:t>项目设定行政许</w:t>
            </w:r>
            <w:r>
              <w:rPr>
                <w:spacing w:val="1"/>
              </w:rPr>
              <w:t>可的决定》</w:t>
            </w:r>
          </w:p>
        </w:tc>
        <w:tc>
          <w:tcPr>
            <w:tcW w:w="1818" w:type="dxa"/>
            <w:vAlign w:val="top"/>
            <w:tcBorders>
              <w:bottom w:val="single" w:color="000000" w:sz="6" w:space="0"/>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3" w:right="2" w:hanging="2"/>
              <w:spacing w:before="58" w:line="311" w:lineRule="auto"/>
              <w:rPr/>
            </w:pPr>
            <w:r>
              <w:rPr/>
              <w:t>设区的市级人民政府指</w:t>
            </w:r>
            <w:r>
              <w:rPr>
                <w:spacing w:val="-1"/>
              </w:rPr>
              <w:t>定部门</w:t>
            </w:r>
          </w:p>
        </w:tc>
        <w:tc>
          <w:tcPr>
            <w:tcW w:w="7353" w:type="dxa"/>
            <w:vAlign w:val="top"/>
            <w:tcBorders>
              <w:bottom w:val="single" w:color="000000" w:sz="6" w:space="0"/>
              <w:right w:val="single" w:color="000000" w:sz="6" w:space="0"/>
            </w:tcBorders>
          </w:tcPr>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pStyle w:val="TableText"/>
              <w:ind w:left="7" w:right="4" w:hanging="1"/>
              <w:spacing w:before="58" w:line="307" w:lineRule="auto"/>
              <w:rPr/>
            </w:pPr>
            <w:r>
              <w:rPr>
                <w:spacing w:val="-2"/>
              </w:rPr>
              <w:t>下放后，设区的市级人民政府指定部门（</w:t>
            </w:r>
            <w:r>
              <w:rPr>
                <w:spacing w:val="-48"/>
              </w:rPr>
              <w:t xml:space="preserve"> </w:t>
            </w:r>
            <w:r>
              <w:rPr>
                <w:spacing w:val="-2"/>
              </w:rPr>
              <w:t>以下简称指定部门）要会同</w:t>
            </w:r>
            <w:r>
              <w:rPr>
                <w:spacing w:val="-3"/>
              </w:rPr>
              <w:t>有关部门通过以下措施加</w:t>
            </w:r>
            <w:r>
              <w:rPr>
                <w:spacing w:val="-2"/>
              </w:rPr>
              <w:t>强监管：</w:t>
            </w:r>
          </w:p>
          <w:p>
            <w:pPr>
              <w:pStyle w:val="TableText"/>
              <w:ind w:left="5" w:firstLine="16"/>
              <w:spacing w:before="3" w:line="284" w:lineRule="auto"/>
              <w:rPr/>
            </w:pPr>
            <w:r>
              <w:rPr/>
              <w:t>1．指定部门严格落实成品油流通行业监管职责。要求成品油零售企业建立购销台账制度，完</w:t>
            </w:r>
            <w:r>
              <w:rPr>
                <w:spacing w:val="-1"/>
              </w:rPr>
              <w:t>善油品来源、检验报告、检查记录等凭证材料档案。指定部门开展“双随机、一公</w:t>
            </w:r>
            <w:r>
              <w:rPr>
                <w:spacing w:val="-2"/>
              </w:rPr>
              <w:t>开”监管，</w:t>
            </w:r>
            <w:r>
              <w:rPr>
                <w:spacing w:val="2"/>
              </w:rPr>
              <w:t>重点检查企业台账制度建立执行情况</w:t>
            </w:r>
            <w:r>
              <w:rPr>
                <w:spacing w:val="-46"/>
              </w:rPr>
              <w:t xml:space="preserve"> </w:t>
            </w:r>
            <w:r>
              <w:rPr>
                <w:spacing w:val="2"/>
              </w:rPr>
              <w:t>，发现违法违规行为依法处理或者提请有关部门予以查</w:t>
            </w:r>
            <w:r>
              <w:rPr/>
              <w:t>处。结合企业诚信经营和风险状况依法实施差异化监管。支持行业协</w:t>
            </w:r>
            <w:r>
              <w:rPr>
                <w:spacing w:val="-1"/>
              </w:rPr>
              <w:t>会发挥行业自律作用。</w:t>
            </w:r>
          </w:p>
          <w:p>
            <w:pPr>
              <w:pStyle w:val="TableText"/>
              <w:ind w:left="4" w:firstLine="2"/>
              <w:spacing w:before="89" w:line="285" w:lineRule="auto"/>
              <w:rPr/>
            </w:pPr>
            <w:r>
              <w:rPr>
                <w:spacing w:val="-2"/>
              </w:rPr>
              <w:t>2.地方政府严格落实属地监管职责。设区的市级</w:t>
            </w:r>
            <w:r>
              <w:rPr>
                <w:spacing w:val="-3"/>
              </w:rPr>
              <w:t>人民政府要建立跨部门联合监管机制，按照综</w:t>
            </w:r>
            <w:r>
              <w:rPr>
                <w:spacing w:val="-5"/>
              </w:rPr>
              <w:t>合行政执法改革精神，统筹配置行政处罚职能和执法资源，加</w:t>
            </w:r>
            <w:r>
              <w:rPr>
                <w:spacing w:val="-6"/>
              </w:rPr>
              <w:t>强协同监管。建立投诉举报制度，</w:t>
            </w:r>
            <w:r>
              <w:rPr>
                <w:spacing w:val="-2"/>
              </w:rPr>
              <w:t>定期组织开展对成品油零售企业的专项检查，发现违法</w:t>
            </w:r>
            <w:r>
              <w:rPr>
                <w:spacing w:val="-3"/>
              </w:rPr>
              <w:t>违规行为由各有关部门按职责依法依规</w:t>
            </w:r>
            <w:r>
              <w:rPr>
                <w:spacing w:val="-1"/>
              </w:rPr>
              <w:t>查处。建立企业信用记录并纳入全国信用信息共享平台，对违法失</w:t>
            </w:r>
            <w:r>
              <w:rPr>
                <w:spacing w:val="-2"/>
              </w:rPr>
              <w:t>信企业依法实施失信惩戒。</w:t>
            </w:r>
          </w:p>
          <w:p>
            <w:pPr>
              <w:pStyle w:val="TableText"/>
              <w:ind w:left="5" w:firstLine="4"/>
              <w:spacing w:before="90" w:line="289" w:lineRule="auto"/>
              <w:rPr/>
            </w:pPr>
            <w:r>
              <w:rPr>
                <w:spacing w:val="-5"/>
              </w:rPr>
              <w:t>3.相关部门严格落实专项监管职责。从事成品油零售经营活</w:t>
            </w:r>
            <w:r>
              <w:rPr>
                <w:spacing w:val="-6"/>
              </w:rPr>
              <w:t>动的企业必须符合自然资源、规划、</w:t>
            </w:r>
            <w:r>
              <w:rPr>
                <w:spacing w:val="-1"/>
              </w:rPr>
              <w:t>建设、质量计量、环保、安全生产、消防、治安反恐、商务、税务、交通运输、 气象等方面</w:t>
            </w:r>
            <w:r>
              <w:rPr>
                <w:spacing w:val="-3"/>
              </w:rPr>
              <w:t>法律法规和标准要求，依法依规开展经营。公安、自然资源、生态环境、住房城乡建设、交通</w:t>
            </w:r>
            <w:r>
              <w:rPr>
                <w:spacing w:val="-3"/>
              </w:rPr>
              <w:t>运输、商务、应急管理、税务、市场监管、能源等部门按职责依法依规加强监管，承担安全生</w:t>
            </w:r>
            <w:r>
              <w:rPr>
                <w:spacing w:val="-2"/>
              </w:rPr>
              <w:t>产监管责任的部门切实履行监管责任、守牢安全底线。</w:t>
            </w:r>
          </w:p>
          <w:p>
            <w:pPr>
              <w:pStyle w:val="TableText"/>
              <w:ind w:left="4" w:right="4"/>
              <w:spacing w:before="89" w:line="289" w:lineRule="auto"/>
              <w:rPr/>
            </w:pPr>
            <w:r>
              <w:rPr>
                <w:spacing w:val="-1"/>
              </w:rPr>
              <w:t>4.加强成品油零售行业监管信息共享运用。市场监管部门要及时将新登</w:t>
            </w:r>
            <w:r>
              <w:rPr>
                <w:spacing w:val="-2"/>
              </w:rPr>
              <w:t>记经营范围涉及成品油</w:t>
            </w:r>
            <w:r>
              <w:rPr>
                <w:spacing w:val="-1"/>
              </w:rPr>
              <w:t>零售的企业信息推送至有关主管部门。商务部门要将改革前已取得相应许</w:t>
            </w:r>
            <w:r>
              <w:rPr>
                <w:spacing w:val="-2"/>
              </w:rPr>
              <w:t>可的成品油零售企业</w:t>
            </w:r>
            <w:r>
              <w:rPr>
                <w:spacing w:val="-1"/>
              </w:rPr>
              <w:t>信息推送至有关主管部门。指定部门要将行业监管中发现的超经营范围经</w:t>
            </w:r>
            <w:r>
              <w:rPr>
                <w:spacing w:val="-2"/>
              </w:rPr>
              <w:t>营企业信息或者无照</w:t>
            </w:r>
            <w:r>
              <w:rPr>
                <w:spacing w:val="-1"/>
              </w:rPr>
              <w:t>经营信息及时推送至有关主管部门。各有关主管部门要充分运用共享的监</w:t>
            </w:r>
            <w:r>
              <w:rPr>
                <w:spacing w:val="-2"/>
              </w:rPr>
              <w:t>管信息，有针对性地</w:t>
            </w:r>
            <w:r>
              <w:rPr>
                <w:spacing w:val="-1"/>
              </w:rPr>
              <w:t>加强监管执法。</w:t>
            </w:r>
          </w:p>
        </w:tc>
      </w:tr>
    </w:tbl>
    <w:p>
      <w:pPr>
        <w:rPr>
          <w:rFonts w:ascii="Arial"/>
          <w:sz w:val="21"/>
        </w:rPr>
      </w:pPr>
      <w:r/>
    </w:p>
    <w:p>
      <w:pPr>
        <w:sectPr>
          <w:headerReference w:type="default" r:id="rId484"/>
          <w:footerReference w:type="default" r:id="rId485"/>
          <w:pgSz w:w="16839" w:h="11906"/>
          <w:pgMar w:top="1767" w:right="1530" w:bottom="1570" w:left="1534" w:header="1428" w:footer="1172" w:gutter="0"/>
        </w:sectPr>
        <w:rPr>
          <w:rFonts w:ascii="Arial" w:hAnsi="Arial" w:eastAsia="Arial" w:cs="Arial"/>
          <w:sz w:val="21"/>
          <w:szCs w:val="21"/>
        </w:rPr>
      </w:pPr>
    </w:p>
    <w:p>
      <w:pPr>
        <w:spacing w:line="298" w:lineRule="auto"/>
        <w:rPr>
          <w:rFonts w:ascii="Arial"/>
          <w:sz w:val="21"/>
        </w:rPr>
      </w:pPr>
      <w:r>
        <w:drawing>
          <wp:anchor distT="0" distB="0" distL="0" distR="0" simplePos="0" relativeHeight="252004352" behindDoc="0" locked="0" layoutInCell="1" allowOverlap="1">
            <wp:simplePos x="0" y="0"/>
            <wp:positionH relativeFrom="column">
              <wp:posOffset>0</wp:posOffset>
            </wp:positionH>
            <wp:positionV relativeFrom="paragraph">
              <wp:posOffset>-1445</wp:posOffset>
            </wp:positionV>
            <wp:extent cx="5579745" cy="7619"/>
            <wp:effectExtent l="0" t="0" r="0" b="0"/>
            <wp:wrapNone/>
            <wp:docPr id="974" name="IM 974"/>
            <wp:cNvGraphicFramePr/>
            <a:graphic>
              <a:graphicData uri="http://schemas.openxmlformats.org/drawingml/2006/picture">
                <pic:pic>
                  <pic:nvPicPr>
                    <pic:cNvPr id="974" name="IM 974"/>
                    <pic:cNvPicPr/>
                  </pic:nvPicPr>
                  <pic:blipFill>
                    <a:blip r:embed="rId489"/>
                    <a:stretch>
                      <a:fillRect/>
                    </a:stretch>
                  </pic:blipFill>
                  <pic:spPr>
                    <a:xfrm rot="0">
                      <a:off x="0" y="0"/>
                      <a:ext cx="5579745" cy="7619"/>
                    </a:xfrm>
                    <a:prstGeom prst="rect">
                      <a:avLst/>
                    </a:prstGeom>
                  </pic:spPr>
                </pic:pic>
              </a:graphicData>
            </a:graphic>
          </wp:anchor>
        </w:drawing>
      </w:r>
      <w:r/>
    </w:p>
    <w:p>
      <w:pPr>
        <w:spacing w:line="298" w:lineRule="auto"/>
        <w:rPr>
          <w:rFonts w:ascii="Arial"/>
          <w:sz w:val="21"/>
        </w:rPr>
      </w:pPr>
      <w:r/>
    </w:p>
    <w:p>
      <w:pPr>
        <w:spacing w:line="298" w:lineRule="auto"/>
        <w:rPr>
          <w:rFonts w:ascii="Arial"/>
          <w:sz w:val="21"/>
        </w:rPr>
      </w:pPr>
      <w:r/>
    </w:p>
    <w:p>
      <w:pPr>
        <w:ind w:left="2194"/>
        <w:spacing w:before="185" w:line="176"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6"/>
        </w:rPr>
        <w:t>固原市人民政府办公室</w:t>
      </w:r>
    </w:p>
    <w:p>
      <w:pPr>
        <w:ind w:left="850"/>
        <w:spacing w:before="2" w:line="181"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9"/>
        </w:rPr>
        <w:t>关于印发《固原市推进县域义务教育</w:t>
      </w:r>
    </w:p>
    <w:p>
      <w:pPr>
        <w:ind w:left="1290"/>
        <w:spacing w:before="1" w:line="215"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9"/>
        </w:rPr>
        <w:t>优质均衡发展创建方案》的通知</w:t>
      </w:r>
    </w:p>
    <w:p>
      <w:pPr>
        <w:spacing w:line="253" w:lineRule="auto"/>
        <w:rPr>
          <w:rFonts w:ascii="Arial"/>
          <w:sz w:val="21"/>
        </w:rPr>
      </w:pPr>
      <w:r/>
    </w:p>
    <w:p>
      <w:pPr>
        <w:pStyle w:val="BodyText"/>
        <w:ind w:left="6707"/>
        <w:spacing w:before="65" w:line="278" w:lineRule="exact"/>
        <w:rPr/>
      </w:pPr>
      <w:r>
        <w:rPr>
          <w:spacing w:val="3"/>
          <w:position w:val="1"/>
        </w:rPr>
        <w:t>固政办发〔</w:t>
      </w:r>
      <w:r>
        <w:rPr>
          <w:rFonts w:ascii="Times New Roman" w:hAnsi="Times New Roman" w:eastAsia="Times New Roman" w:cs="Times New Roman"/>
          <w:spacing w:val="3"/>
          <w:position w:val="1"/>
        </w:rPr>
        <w:t>2021</w:t>
      </w:r>
      <w:r>
        <w:rPr>
          <w:rFonts w:ascii="Times New Roman" w:hAnsi="Times New Roman" w:eastAsia="Times New Roman" w:cs="Times New Roman"/>
          <w:spacing w:val="-18"/>
          <w:position w:val="1"/>
        </w:rPr>
        <w:t xml:space="preserve"> </w:t>
      </w:r>
      <w:r>
        <w:rPr>
          <w:spacing w:val="3"/>
          <w:position w:val="1"/>
        </w:rPr>
        <w:t>〕</w:t>
      </w:r>
      <w:r>
        <w:rPr>
          <w:rFonts w:ascii="Times New Roman" w:hAnsi="Times New Roman" w:eastAsia="Times New Roman" w:cs="Times New Roman"/>
          <w:spacing w:val="3"/>
          <w:position w:val="1"/>
        </w:rPr>
        <w:t>3 </w:t>
      </w:r>
      <w:r>
        <w:rPr>
          <w:spacing w:val="3"/>
          <w:position w:val="1"/>
        </w:rPr>
        <w:t>号</w:t>
      </w:r>
    </w:p>
    <w:p>
      <w:pPr>
        <w:spacing w:line="266" w:lineRule="auto"/>
        <w:rPr>
          <w:rFonts w:ascii="Arial"/>
          <w:sz w:val="21"/>
        </w:rPr>
      </w:pPr>
      <w:r/>
    </w:p>
    <w:p>
      <w:pPr>
        <w:spacing w:line="266" w:lineRule="auto"/>
        <w:rPr>
          <w:rFonts w:ascii="Arial"/>
          <w:sz w:val="21"/>
        </w:rPr>
      </w:pPr>
      <w:r/>
    </w:p>
    <w:p>
      <w:pPr>
        <w:pStyle w:val="BodyText"/>
        <w:ind w:left="4"/>
        <w:spacing w:before="65" w:line="277" w:lineRule="exact"/>
        <w:rPr/>
      </w:pPr>
      <w:r>
        <w:rPr>
          <w:spacing w:val="7"/>
          <w:position w:val="1"/>
        </w:rPr>
        <w:t>各县（</w:t>
      </w:r>
      <w:r>
        <w:rPr>
          <w:spacing w:val="-37"/>
          <w:position w:val="1"/>
        </w:rPr>
        <w:t xml:space="preserve"> </w:t>
      </w:r>
      <w:r>
        <w:rPr>
          <w:spacing w:val="7"/>
          <w:position w:val="1"/>
        </w:rPr>
        <w:t>区）人民政府，市政府各部门、派出机构、事业单位：</w:t>
      </w:r>
    </w:p>
    <w:p>
      <w:pPr>
        <w:pStyle w:val="BodyText"/>
        <w:ind w:left="1" w:right="51" w:firstLine="406"/>
        <w:spacing w:before="164" w:line="385" w:lineRule="auto"/>
        <w:rPr/>
      </w:pPr>
      <w:r>
        <w:rPr>
          <w:spacing w:val="9"/>
        </w:rPr>
        <w:t>《固原市推进县域义务教育优质均衡发展创建方案》已经市人民政府同意，现印发给你们，</w:t>
      </w:r>
      <w:r>
        <w:rPr>
          <w:spacing w:val="9"/>
        </w:rPr>
        <w:t>请结合工作实际，认真贯彻落实。</w:t>
      </w:r>
    </w:p>
    <w:p>
      <w:pPr>
        <w:spacing w:line="423" w:lineRule="auto"/>
        <w:rPr>
          <w:rFonts w:ascii="Arial"/>
          <w:sz w:val="21"/>
        </w:rPr>
      </w:pPr>
      <w:r/>
    </w:p>
    <w:p>
      <w:pPr>
        <w:pStyle w:val="BodyText"/>
        <w:ind w:left="6534"/>
        <w:spacing w:before="66" w:line="218" w:lineRule="auto"/>
        <w:rPr/>
      </w:pPr>
      <w:r>
        <w:rPr>
          <w:spacing w:val="7"/>
        </w:rPr>
        <w:t>固原市人民政府办公室</w:t>
      </w:r>
    </w:p>
    <w:p>
      <w:pPr>
        <w:pStyle w:val="BodyText"/>
        <w:ind w:left="6878"/>
        <w:spacing w:before="204" w:line="218" w:lineRule="auto"/>
        <w:rPr/>
      </w:pPr>
      <w:r>
        <w:rPr>
          <w:rFonts w:ascii="Times New Roman" w:hAnsi="Times New Roman" w:eastAsia="Times New Roman" w:cs="Times New Roman"/>
          <w:spacing w:val="1"/>
        </w:rPr>
        <w:t>2021 </w:t>
      </w:r>
      <w:r>
        <w:rPr>
          <w:spacing w:val="1"/>
        </w:rPr>
        <w:t>年</w:t>
      </w:r>
      <w:r>
        <w:rPr>
          <w:spacing w:val="-20"/>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11"/>
        </w:rPr>
        <w:t xml:space="preserve"> </w:t>
      </w:r>
      <w:r>
        <w:rPr>
          <w:spacing w:val="1"/>
        </w:rPr>
        <w:t>月</w:t>
      </w:r>
      <w:r>
        <w:rPr>
          <w:spacing w:val="-43"/>
        </w:rPr>
        <w:t xml:space="preserve"> </w:t>
      </w:r>
      <w:r>
        <w:rPr>
          <w:rFonts w:ascii="Times New Roman" w:hAnsi="Times New Roman" w:eastAsia="Times New Roman" w:cs="Times New Roman"/>
          <w:spacing w:val="1"/>
        </w:rPr>
        <w:t>29  </w:t>
      </w:r>
      <w:r>
        <w:rPr>
          <w:spacing w:val="1"/>
        </w:rPr>
        <w:t>日</w:t>
      </w:r>
    </w:p>
    <w:p>
      <w:pPr>
        <w:pStyle w:val="BodyText"/>
        <w:ind w:left="416"/>
        <w:spacing w:before="197" w:line="277" w:lineRule="exact"/>
        <w:rPr/>
      </w:pPr>
      <w:r>
        <w:rPr>
          <w:spacing w:val="10"/>
          <w:position w:val="1"/>
        </w:rPr>
        <w:t>（此件公开发布）</w:t>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ind w:left="1092"/>
        <w:spacing w:before="185" w:line="202"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8"/>
        </w:rPr>
        <w:t>固原市推进县域义务教育优质均衡</w:t>
      </w:r>
    </w:p>
    <w:p>
      <w:pPr>
        <w:ind w:left="3049"/>
        <w:spacing w:before="1" w:line="185"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9"/>
        </w:rPr>
        <w:t>发展创建方案</w:t>
      </w:r>
    </w:p>
    <w:p>
      <w:pPr>
        <w:spacing w:before="9"/>
        <w:rPr/>
      </w:pPr>
      <w:r/>
    </w:p>
    <w:p>
      <w:pPr>
        <w:spacing w:before="8"/>
        <w:rPr/>
      </w:pPr>
      <w:r/>
    </w:p>
    <w:p>
      <w:pPr>
        <w:sectPr>
          <w:headerReference w:type="default" r:id="rId487"/>
          <w:footerReference w:type="default" r:id="rId488"/>
          <w:pgSz w:w="11906" w:h="16839"/>
          <w:pgMar w:top="1769" w:right="1489" w:bottom="1570" w:left="1588" w:header="1428" w:footer="1172" w:gutter="0"/>
          <w:cols w:equalWidth="0" w:num="1">
            <w:col w:w="8829" w:space="0"/>
          </w:cols>
        </w:sectPr>
        <w:rPr/>
      </w:pPr>
    </w:p>
    <w:p>
      <w:pPr>
        <w:pStyle w:val="BodyText"/>
        <w:ind w:left="1" w:right="327" w:firstLine="429"/>
        <w:spacing w:before="50" w:line="387" w:lineRule="auto"/>
        <w:jc w:val="both"/>
        <w:rPr/>
      </w:pPr>
      <w:r>
        <w:rPr>
          <w:spacing w:val="6"/>
        </w:rPr>
        <w:t>为巩固义务教育基本均衡发展成果，提高</w:t>
      </w:r>
      <w:r>
        <w:rPr>
          <w:spacing w:val="7"/>
        </w:rPr>
        <w:t>义务教育标准化建设水平和教育质量，办好人</w:t>
      </w:r>
      <w:r>
        <w:rPr>
          <w:spacing w:val="7"/>
        </w:rPr>
        <w:t>民满意的教育，根据《中共中央国务院关于深</w:t>
      </w:r>
      <w:r>
        <w:rPr>
          <w:spacing w:val="18"/>
        </w:rPr>
        <w:t>化教育教学改革全面提高义务教育质量的意</w:t>
      </w:r>
      <w:r>
        <w:rPr>
          <w:spacing w:val="2"/>
        </w:rPr>
        <w:t>见》（</w:t>
      </w:r>
      <w:r>
        <w:rPr>
          <w:spacing w:val="-47"/>
        </w:rPr>
        <w:t xml:space="preserve"> </w:t>
      </w:r>
      <w:r>
        <w:rPr>
          <w:spacing w:val="2"/>
        </w:rPr>
        <w:t>中发〔</w:t>
      </w:r>
      <w:r>
        <w:rPr>
          <w:rFonts w:ascii="Times New Roman" w:hAnsi="Times New Roman" w:eastAsia="Times New Roman" w:cs="Times New Roman"/>
          <w:spacing w:val="2"/>
        </w:rPr>
        <w:t>2019</w:t>
      </w:r>
      <w:r>
        <w:rPr>
          <w:spacing w:val="2"/>
        </w:rPr>
        <w:t>〕</w:t>
      </w:r>
      <w:r>
        <w:rPr>
          <w:rFonts w:ascii="Times New Roman" w:hAnsi="Times New Roman" w:eastAsia="Times New Roman" w:cs="Times New Roman"/>
          <w:spacing w:val="2"/>
        </w:rPr>
        <w:t>26 </w:t>
      </w:r>
      <w:r>
        <w:rPr>
          <w:spacing w:val="2"/>
        </w:rPr>
        <w:t>号）《教育部关于县域</w:t>
      </w:r>
      <w:r>
        <w:rPr>
          <w:spacing w:val="23"/>
        </w:rPr>
        <w:t>义务教育优质均衡发展评估办法</w:t>
      </w:r>
      <w:r>
        <w:rPr>
          <w:spacing w:val="-30"/>
        </w:rPr>
        <w:t xml:space="preserve"> </w:t>
      </w:r>
      <w:r>
        <w:rPr>
          <w:spacing w:val="23"/>
        </w:rPr>
        <w:t>》（</w:t>
      </w:r>
      <w:r>
        <w:rPr>
          <w:spacing w:val="-38"/>
        </w:rPr>
        <w:t xml:space="preserve"> </w:t>
      </w:r>
      <w:r>
        <w:rPr>
          <w:spacing w:val="23"/>
        </w:rPr>
        <w:t>教督</w:t>
      </w:r>
      <w:r>
        <w:rPr>
          <w:spacing w:val="5"/>
        </w:rPr>
        <w:t>〔</w:t>
      </w:r>
      <w:r>
        <w:rPr>
          <w:rFonts w:ascii="Times New Roman" w:hAnsi="Times New Roman" w:eastAsia="Times New Roman" w:cs="Times New Roman"/>
          <w:spacing w:val="5"/>
        </w:rPr>
        <w:t>2017</w:t>
      </w:r>
      <w:r>
        <w:rPr>
          <w:spacing w:val="5"/>
        </w:rPr>
        <w:t>〕</w:t>
      </w:r>
      <w:r>
        <w:rPr>
          <w:rFonts w:ascii="Times New Roman" w:hAnsi="Times New Roman" w:eastAsia="Times New Roman" w:cs="Times New Roman"/>
          <w:spacing w:val="5"/>
        </w:rPr>
        <w:t>6 </w:t>
      </w:r>
      <w:r>
        <w:rPr>
          <w:spacing w:val="5"/>
        </w:rPr>
        <w:t>号）和《</w:t>
      </w:r>
      <w:r>
        <w:rPr>
          <w:spacing w:val="-17"/>
        </w:rPr>
        <w:t xml:space="preserve"> </w:t>
      </w:r>
      <w:r>
        <w:rPr>
          <w:spacing w:val="5"/>
        </w:rPr>
        <w:t>自治区人民政府办公厅印</w:t>
      </w:r>
      <w:r>
        <w:rPr>
          <w:spacing w:val="18"/>
        </w:rPr>
        <w:t>发关于推进县域义务教育优质均衡发展实施</w:t>
      </w:r>
    </w:p>
    <w:p>
      <w:pPr>
        <w:spacing w:line="14" w:lineRule="auto"/>
        <w:rPr>
          <w:rFonts w:ascii="Arial"/>
          <w:sz w:val="2"/>
        </w:rPr>
      </w:pPr>
      <w:r>
        <w:rPr>
          <w:rFonts w:ascii="Arial" w:hAnsi="Arial" w:eastAsia="Arial" w:cs="Arial"/>
          <w:sz w:val="2"/>
          <w:szCs w:val="2"/>
        </w:rPr>
        <w:br w:type="column"/>
      </w:r>
    </w:p>
    <w:p>
      <w:pPr>
        <w:pStyle w:val="BodyText"/>
        <w:ind w:right="98"/>
        <w:spacing w:before="46" w:line="393" w:lineRule="auto"/>
        <w:rPr/>
      </w:pPr>
      <w:r>
        <w:rPr>
          <w:spacing w:val="4"/>
        </w:rPr>
        <w:t>方案的通知》（宁政办发〔</w:t>
      </w:r>
      <w:r>
        <w:rPr>
          <w:rFonts w:ascii="Times New Roman" w:hAnsi="Times New Roman" w:eastAsia="Times New Roman" w:cs="Times New Roman"/>
          <w:spacing w:val="4"/>
        </w:rPr>
        <w:t>2020</w:t>
      </w:r>
      <w:r>
        <w:rPr>
          <w:spacing w:val="4"/>
        </w:rPr>
        <w:t>〕</w:t>
      </w:r>
      <w:r>
        <w:rPr>
          <w:rFonts w:ascii="Times New Roman" w:hAnsi="Times New Roman" w:eastAsia="Times New Roman" w:cs="Times New Roman"/>
          <w:spacing w:val="4"/>
        </w:rPr>
        <w:t>44 </w:t>
      </w:r>
      <w:r>
        <w:rPr>
          <w:spacing w:val="4"/>
        </w:rPr>
        <w:t>号），结</w:t>
      </w:r>
      <w:r>
        <w:rPr>
          <w:spacing w:val="8"/>
        </w:rPr>
        <w:t>合我市实际，特制定本方案。</w:t>
      </w:r>
    </w:p>
    <w:p>
      <w:pPr>
        <w:ind w:left="429"/>
        <w:spacing w:before="57"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一、总体要求</w:t>
      </w:r>
    </w:p>
    <w:p>
      <w:pPr>
        <w:pStyle w:val="BodyText"/>
        <w:ind w:right="94" w:firstLine="411"/>
        <w:spacing w:before="181" w:line="371" w:lineRule="auto"/>
        <w:jc w:val="both"/>
        <w:rPr/>
      </w:pPr>
      <w:r>
        <w:rPr>
          <w:rFonts w:ascii="KaiTi" w:hAnsi="KaiTi" w:eastAsia="KaiTi" w:cs="KaiTi"/>
          <w:b/>
          <w:bCs/>
          <w:spacing w:val="4"/>
        </w:rPr>
        <w:t>（</w:t>
      </w:r>
      <w:r>
        <w:rPr>
          <w:rFonts w:ascii="KaiTi" w:hAnsi="KaiTi" w:eastAsia="KaiTi" w:cs="KaiTi"/>
          <w:spacing w:val="-49"/>
        </w:rPr>
        <w:t xml:space="preserve"> </w:t>
      </w:r>
      <w:r>
        <w:rPr>
          <w:rFonts w:ascii="KaiTi" w:hAnsi="KaiTi" w:eastAsia="KaiTi" w:cs="KaiTi"/>
          <w:b/>
          <w:bCs/>
          <w:spacing w:val="4"/>
        </w:rPr>
        <w:t>一）指导思想。</w:t>
      </w:r>
      <w:r>
        <w:rPr>
          <w:spacing w:val="4"/>
        </w:rPr>
        <w:t>以习近平新时代中国特</w:t>
      </w:r>
      <w:r>
        <w:rPr>
          <w:spacing w:val="7"/>
        </w:rPr>
        <w:t>色社会主义思想为指导，深入贯彻落实习近平</w:t>
      </w:r>
      <w:r>
        <w:rPr>
          <w:spacing w:val="7"/>
        </w:rPr>
        <w:t>总书记视察宁夏重要讲话精神，全面贯彻党的</w:t>
      </w:r>
      <w:r>
        <w:rPr>
          <w:spacing w:val="7"/>
        </w:rPr>
        <w:t>教育方针，坚持教育优先发展战略，坚持立德</w:t>
      </w:r>
      <w:r>
        <w:rPr>
          <w:spacing w:val="8"/>
        </w:rPr>
        <w:t>树人根本任务，将教育发展重心由增</w:t>
      </w:r>
      <w:r>
        <w:rPr>
          <w:rFonts w:ascii="Times New Roman" w:hAnsi="Times New Roman" w:eastAsia="Times New Roman" w:cs="Times New Roman"/>
          <w:spacing w:val="8"/>
        </w:rPr>
        <w:t>“</w:t>
      </w:r>
      <w:r>
        <w:rPr>
          <w:spacing w:val="8"/>
        </w:rPr>
        <w:t>量</w:t>
      </w:r>
      <w:r>
        <w:rPr>
          <w:rFonts w:ascii="Times New Roman" w:hAnsi="Times New Roman" w:eastAsia="Times New Roman" w:cs="Times New Roman"/>
          <w:spacing w:val="8"/>
        </w:rPr>
        <w:t>”</w:t>
      </w:r>
      <w:r>
        <w:rPr>
          <w:spacing w:val="8"/>
        </w:rPr>
        <w:t>转向</w:t>
      </w:r>
    </w:p>
    <w:p>
      <w:pPr>
        <w:spacing w:line="371" w:lineRule="auto"/>
        <w:sectPr>
          <w:type w:val="continuous"/>
          <w:pgSz w:w="11906" w:h="16839"/>
          <w:pgMar w:top="1769" w:right="1489" w:bottom="1570" w:left="1588" w:header="1428" w:footer="1172" w:gutter="0"/>
          <w:cols w:equalWidth="0" w:num="2">
            <w:col w:w="4481" w:space="100"/>
            <w:col w:w="4248" w:space="0"/>
          </w:cols>
        </w:sectPr>
        <w:rPr/>
      </w:pPr>
    </w:p>
    <w:p>
      <w:pPr>
        <w:spacing w:before="115"/>
        <w:rPr/>
      </w:pPr>
      <w:r>
        <w:drawing>
          <wp:anchor distT="0" distB="0" distL="0" distR="0" simplePos="0" relativeHeight="25200640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980" name="IM 980"/>
            <wp:cNvGraphicFramePr/>
            <a:graphic>
              <a:graphicData uri="http://schemas.openxmlformats.org/drawingml/2006/picture">
                <pic:pic>
                  <pic:nvPicPr>
                    <pic:cNvPr id="980" name="IM 980"/>
                    <pic:cNvPicPr/>
                  </pic:nvPicPr>
                  <pic:blipFill>
                    <a:blip r:embed="rId492"/>
                    <a:stretch>
                      <a:fillRect/>
                    </a:stretch>
                  </pic:blipFill>
                  <pic:spPr>
                    <a:xfrm rot="0">
                      <a:off x="0" y="0"/>
                      <a:ext cx="5579745" cy="7620"/>
                    </a:xfrm>
                    <a:prstGeom prst="rect">
                      <a:avLst/>
                    </a:prstGeom>
                  </pic:spPr>
                </pic:pic>
              </a:graphicData>
            </a:graphic>
          </wp:anchor>
        </w:drawing>
      </w:r>
      <w:r/>
    </w:p>
    <w:p>
      <w:pPr>
        <w:sectPr>
          <w:headerReference w:type="default" r:id="rId490"/>
          <w:footerReference w:type="default" r:id="rId491"/>
          <w:pgSz w:w="11906" w:h="16839"/>
          <w:pgMar w:top="1766" w:right="1509" w:bottom="1563" w:left="1579" w:header="1428" w:footer="1172" w:gutter="0"/>
          <w:cols w:equalWidth="0" w:num="1">
            <w:col w:w="8817" w:space="0"/>
          </w:cols>
        </w:sectPr>
        <w:rPr/>
      </w:pPr>
    </w:p>
    <w:p>
      <w:pPr>
        <w:pStyle w:val="BodyText"/>
        <w:ind w:left="12" w:right="287" w:firstLine="3"/>
        <w:spacing w:before="48" w:line="414" w:lineRule="auto"/>
        <w:jc w:val="both"/>
        <w:rPr/>
      </w:pPr>
      <w:r>
        <w:rPr>
          <w:spacing w:val="15"/>
        </w:rPr>
        <w:t>提</w:t>
      </w:r>
      <w:r>
        <w:rPr>
          <w:rFonts w:ascii="Times New Roman" w:hAnsi="Times New Roman" w:eastAsia="Times New Roman" w:cs="Times New Roman"/>
          <w:spacing w:val="15"/>
        </w:rPr>
        <w:t>“</w:t>
      </w:r>
      <w:r>
        <w:rPr>
          <w:spacing w:val="15"/>
        </w:rPr>
        <w:t>质</w:t>
      </w:r>
      <w:r>
        <w:rPr>
          <w:rFonts w:ascii="Times New Roman" w:hAnsi="Times New Roman" w:eastAsia="Times New Roman" w:cs="Times New Roman"/>
          <w:spacing w:val="15"/>
        </w:rPr>
        <w:t>” </w:t>
      </w:r>
      <w:r>
        <w:rPr>
          <w:spacing w:val="15"/>
        </w:rPr>
        <w:t>，全面推进县域义务教育优质均</w:t>
      </w:r>
      <w:r>
        <w:rPr>
          <w:spacing w:val="14"/>
        </w:rPr>
        <w:t>衡发</w:t>
      </w:r>
      <w:r>
        <w:rPr>
          <w:spacing w:val="7"/>
        </w:rPr>
        <w:t>展，进一步缩小义务教育城乡、校际差距，解</w:t>
      </w:r>
      <w:r>
        <w:rPr>
          <w:spacing w:val="18"/>
        </w:rPr>
        <w:t>决人民群众日益增长的优质教育资源需求和</w:t>
      </w:r>
      <w:r>
        <w:rPr>
          <w:spacing w:val="7"/>
        </w:rPr>
        <w:t>不均衡不充分发展之间的矛盾，让人民群众享</w:t>
      </w:r>
      <w:r>
        <w:rPr>
          <w:spacing w:val="7"/>
        </w:rPr>
        <w:t>有更高水平、更加公平、更有质量的教育，努</w:t>
      </w:r>
      <w:r>
        <w:rPr>
          <w:spacing w:val="8"/>
        </w:rPr>
        <w:t>力</w:t>
      </w:r>
      <w:r>
        <w:rPr>
          <w:rFonts w:ascii="Times New Roman" w:hAnsi="Times New Roman" w:eastAsia="Times New Roman" w:cs="Times New Roman"/>
          <w:spacing w:val="8"/>
        </w:rPr>
        <w:t>“</w:t>
      </w:r>
      <w:r>
        <w:rPr>
          <w:spacing w:val="8"/>
        </w:rPr>
        <w:t>办好每一所学校、教好每一名学生</w:t>
      </w:r>
      <w:r>
        <w:rPr>
          <w:rFonts w:ascii="Times New Roman" w:hAnsi="Times New Roman" w:eastAsia="Times New Roman" w:cs="Times New Roman"/>
          <w:spacing w:val="8"/>
        </w:rPr>
        <w:t>”</w:t>
      </w:r>
      <w:r>
        <w:rPr>
          <w:spacing w:val="8"/>
        </w:rPr>
        <w:t>，促进</w:t>
      </w:r>
      <w:r>
        <w:rPr>
          <w:spacing w:val="7"/>
        </w:rPr>
        <w:t>学生德智体美劳全面发展，为基本实现教育现</w:t>
      </w:r>
      <w:r>
        <w:rPr>
          <w:spacing w:val="8"/>
        </w:rPr>
        <w:t>代化战略目标奠定坚实基础。</w:t>
      </w:r>
    </w:p>
    <w:p>
      <w:pPr>
        <w:pStyle w:val="BodyText"/>
        <w:ind w:left="10" w:right="266" w:firstLine="413"/>
        <w:spacing w:before="13" w:line="410" w:lineRule="auto"/>
        <w:jc w:val="both"/>
        <w:rPr/>
      </w:pPr>
      <w:r>
        <w:rPr>
          <w:rFonts w:ascii="KaiTi" w:hAnsi="KaiTi" w:eastAsia="KaiTi" w:cs="KaiTi"/>
          <w:b/>
          <w:bCs/>
          <w:spacing w:val="4"/>
        </w:rPr>
        <w:t>（</w:t>
      </w:r>
      <w:r>
        <w:rPr>
          <w:rFonts w:ascii="KaiTi" w:hAnsi="KaiTi" w:eastAsia="KaiTi" w:cs="KaiTi"/>
          <w:spacing w:val="-33"/>
        </w:rPr>
        <w:t xml:space="preserve"> </w:t>
      </w:r>
      <w:r>
        <w:rPr>
          <w:rFonts w:ascii="KaiTi" w:hAnsi="KaiTi" w:eastAsia="KaiTi" w:cs="KaiTi"/>
          <w:b/>
          <w:bCs/>
          <w:spacing w:val="4"/>
        </w:rPr>
        <w:t>二</w:t>
      </w:r>
      <w:r>
        <w:rPr>
          <w:rFonts w:ascii="KaiTi" w:hAnsi="KaiTi" w:eastAsia="KaiTi" w:cs="KaiTi"/>
          <w:spacing w:val="-34"/>
        </w:rPr>
        <w:t xml:space="preserve"> </w:t>
      </w:r>
      <w:r>
        <w:rPr>
          <w:rFonts w:ascii="KaiTi" w:hAnsi="KaiTi" w:eastAsia="KaiTi" w:cs="KaiTi"/>
          <w:b/>
          <w:bCs/>
          <w:spacing w:val="4"/>
        </w:rPr>
        <w:t>）目标规划。</w:t>
      </w:r>
      <w:r>
        <w:rPr>
          <w:rFonts w:ascii="Times New Roman" w:hAnsi="Times New Roman" w:eastAsia="Times New Roman" w:cs="Times New Roman"/>
          <w:spacing w:val="4"/>
        </w:rPr>
        <w:t>2025</w:t>
      </w:r>
      <w:r>
        <w:rPr>
          <w:rFonts w:ascii="Times New Roman" w:hAnsi="Times New Roman" w:eastAsia="Times New Roman" w:cs="Times New Roman"/>
          <w:spacing w:val="18"/>
        </w:rPr>
        <w:t xml:space="preserve"> </w:t>
      </w:r>
      <w:r>
        <w:rPr>
          <w:spacing w:val="4"/>
        </w:rPr>
        <w:t>年</w:t>
      </w:r>
      <w:r>
        <w:rPr>
          <w:spacing w:val="-54"/>
        </w:rPr>
        <w:t xml:space="preserve"> </w:t>
      </w:r>
      <w:r>
        <w:rPr>
          <w:spacing w:val="4"/>
        </w:rPr>
        <w:t>，泾源县实现</w:t>
      </w:r>
      <w:r>
        <w:rPr>
          <w:spacing w:val="4"/>
        </w:rPr>
        <w:t>义务教育优质均衡发展目标；</w:t>
      </w:r>
      <w:r>
        <w:rPr>
          <w:rFonts w:ascii="Times New Roman" w:hAnsi="Times New Roman" w:eastAsia="Times New Roman" w:cs="Times New Roman"/>
          <w:spacing w:val="4"/>
        </w:rPr>
        <w:t>2026 </w:t>
      </w:r>
      <w:r>
        <w:rPr>
          <w:spacing w:val="4"/>
        </w:rPr>
        <w:t>年，彭阳县</w:t>
      </w:r>
      <w:r>
        <w:rPr>
          <w:spacing w:val="4"/>
        </w:rPr>
        <w:t>实现义务教育优质均衡发展目标；</w:t>
      </w:r>
      <w:r>
        <w:rPr>
          <w:rFonts w:ascii="Times New Roman" w:hAnsi="Times New Roman" w:eastAsia="Times New Roman" w:cs="Times New Roman"/>
          <w:spacing w:val="4"/>
        </w:rPr>
        <w:t>2027 </w:t>
      </w:r>
      <w:r>
        <w:rPr>
          <w:spacing w:val="4"/>
        </w:rPr>
        <w:t>年，隆</w:t>
      </w:r>
      <w:r>
        <w:rPr>
          <w:spacing w:val="14"/>
        </w:rPr>
        <w:t>德县实现义务教育优质均衡发展目标</w:t>
      </w:r>
      <w:r>
        <w:rPr>
          <w:spacing w:val="-49"/>
        </w:rPr>
        <w:t xml:space="preserve"> </w:t>
      </w:r>
      <w:r>
        <w:rPr>
          <w:spacing w:val="14"/>
        </w:rPr>
        <w:t>；</w:t>
      </w:r>
      <w:r>
        <w:rPr>
          <w:rFonts w:ascii="Times New Roman" w:hAnsi="Times New Roman" w:eastAsia="Times New Roman" w:cs="Times New Roman"/>
          <w:spacing w:val="14"/>
        </w:rPr>
        <w:t>2028</w:t>
      </w:r>
      <w:r>
        <w:rPr>
          <w:spacing w:val="7"/>
        </w:rPr>
        <w:t>年，原州区和西吉县实现义务教育优质均衡发</w:t>
      </w:r>
      <w:r>
        <w:rPr>
          <w:spacing w:val="5"/>
        </w:rPr>
        <w:t>展目标，全市所有县（</w:t>
      </w:r>
      <w:r>
        <w:rPr>
          <w:spacing w:val="-53"/>
        </w:rPr>
        <w:t xml:space="preserve"> </w:t>
      </w:r>
      <w:r>
        <w:rPr>
          <w:spacing w:val="5"/>
        </w:rPr>
        <w:t>区）成功创建义务教育</w:t>
      </w:r>
      <w:r>
        <w:rPr>
          <w:spacing w:val="5"/>
        </w:rPr>
        <w:t>优质均衡发展县（</w:t>
      </w:r>
      <w:r>
        <w:rPr>
          <w:spacing w:val="-49"/>
        </w:rPr>
        <w:t xml:space="preserve"> </w:t>
      </w:r>
      <w:r>
        <w:rPr>
          <w:spacing w:val="5"/>
        </w:rPr>
        <w:t>区</w:t>
      </w:r>
      <w:r>
        <w:rPr>
          <w:spacing w:val="3"/>
        </w:rPr>
        <w:t>），</w:t>
      </w:r>
      <w:r>
        <w:rPr>
          <w:spacing w:val="5"/>
        </w:rPr>
        <w:t>实现县域内城乡义务</w:t>
      </w:r>
      <w:r>
        <w:rPr>
          <w:spacing w:val="8"/>
        </w:rPr>
        <w:t>教育学校建设标准统一、教师编制标准统一、</w:t>
      </w:r>
      <w:r>
        <w:rPr>
          <w:spacing w:val="7"/>
        </w:rPr>
        <w:t>生均公用经费基准定额统一、基本装备配置标</w:t>
      </w:r>
      <w:r>
        <w:rPr>
          <w:spacing w:val="7"/>
        </w:rPr>
        <w:t>准统一，义务教育普及水平和教育质量明显提</w:t>
      </w:r>
      <w:r>
        <w:rPr>
          <w:spacing w:val="7"/>
        </w:rPr>
        <w:t>升，教育公平得到更好体现，人民群众对教育</w:t>
      </w:r>
      <w:r>
        <w:rPr>
          <w:spacing w:val="7"/>
        </w:rPr>
        <w:t>的满意度显著提高，全市义务教育实现优质均</w:t>
      </w:r>
      <w:r>
        <w:rPr>
          <w:spacing w:val="6"/>
        </w:rPr>
        <w:t>衡发展。</w:t>
      </w:r>
    </w:p>
    <w:p>
      <w:pPr>
        <w:ind w:left="441"/>
        <w:spacing w:before="18"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二、重点任务</w:t>
      </w:r>
    </w:p>
    <w:p>
      <w:pPr>
        <w:pStyle w:val="BodyText"/>
        <w:ind w:left="11" w:right="279" w:firstLine="413"/>
        <w:spacing w:before="183" w:line="380" w:lineRule="auto"/>
        <w:jc w:val="both"/>
        <w:rPr/>
      </w:pPr>
      <w:r>
        <w:rPr>
          <w:rFonts w:ascii="KaiTi" w:hAnsi="KaiTi" w:eastAsia="KaiTi" w:cs="KaiTi"/>
          <w:b/>
          <w:bCs/>
          <w:spacing w:val="6"/>
        </w:rPr>
        <w:t>（一）加强学校标准化建设。</w:t>
      </w:r>
      <w:r>
        <w:rPr>
          <w:spacing w:val="6"/>
        </w:rPr>
        <w:t>按照新型城</w:t>
      </w:r>
      <w:r>
        <w:rPr>
          <w:spacing w:val="18"/>
        </w:rPr>
        <w:t>镇化发展和常住人口规模、学龄人口变化趋</w:t>
      </w:r>
      <w:r>
        <w:rPr>
          <w:spacing w:val="7"/>
        </w:rPr>
        <w:t>势，制定县域内义务教育学校布局规划，新增</w:t>
      </w:r>
      <w:r>
        <w:rPr>
          <w:spacing w:val="7"/>
        </w:rPr>
        <w:t>城镇义务教育中小学校，有序扩大城镇学位供</w:t>
      </w:r>
      <w:r>
        <w:rPr>
          <w:spacing w:val="8"/>
        </w:rPr>
        <w:t>给，按照优质均衡标准化解</w:t>
      </w:r>
      <w:r>
        <w:rPr>
          <w:rFonts w:ascii="Times New Roman" w:hAnsi="Times New Roman" w:eastAsia="Times New Roman" w:cs="Times New Roman"/>
          <w:spacing w:val="8"/>
        </w:rPr>
        <w:t>“</w:t>
      </w:r>
      <w:r>
        <w:rPr>
          <w:spacing w:val="8"/>
        </w:rPr>
        <w:t>大校额</w:t>
      </w:r>
      <w:r>
        <w:rPr>
          <w:rFonts w:ascii="Times New Roman" w:hAnsi="Times New Roman" w:eastAsia="Times New Roman" w:cs="Times New Roman"/>
          <w:spacing w:val="8"/>
        </w:rPr>
        <w:t>”</w:t>
      </w:r>
      <w:r>
        <w:rPr>
          <w:spacing w:val="8"/>
        </w:rPr>
        <w:t>，严格按</w:t>
      </w:r>
      <w:r>
        <w:rPr>
          <w:spacing w:val="7"/>
        </w:rPr>
        <w:t>照标准班额办学。办好必要的乡村小规模学校</w:t>
      </w:r>
      <w:r>
        <w:rPr>
          <w:spacing w:val="7"/>
        </w:rPr>
        <w:t>和教学点，在资源配置、经费投入等方面达到</w:t>
      </w:r>
    </w:p>
    <w:p>
      <w:pPr>
        <w:spacing w:line="14" w:lineRule="auto"/>
        <w:rPr>
          <w:rFonts w:ascii="Arial"/>
          <w:sz w:val="2"/>
        </w:rPr>
      </w:pPr>
      <w:r>
        <w:rPr>
          <w:rFonts w:ascii="Arial" w:hAnsi="Arial" w:eastAsia="Arial" w:cs="Arial"/>
          <w:sz w:val="2"/>
          <w:szCs w:val="2"/>
        </w:rPr>
        <w:br w:type="column"/>
      </w:r>
    </w:p>
    <w:p>
      <w:pPr>
        <w:pStyle w:val="BodyText"/>
        <w:ind w:left="41" w:right="80" w:firstLine="21"/>
        <w:spacing w:before="38" w:line="411" w:lineRule="auto"/>
        <w:jc w:val="both"/>
        <w:rPr/>
      </w:pPr>
      <w:r>
        <w:rPr>
          <w:spacing w:val="6"/>
        </w:rPr>
        <w:t>国家和自治区有关规定要求。对照义务教育优</w:t>
      </w:r>
      <w:r>
        <w:rPr>
          <w:spacing w:val="7"/>
        </w:rPr>
        <w:t>质均衡资源配置和设备配备要求，深入推进义</w:t>
      </w:r>
      <w:r>
        <w:rPr>
          <w:spacing w:val="7"/>
        </w:rPr>
        <w:t>务教育学校标准化建设，对现有学校组织全面</w:t>
      </w:r>
      <w:r>
        <w:rPr>
          <w:spacing w:val="7"/>
        </w:rPr>
        <w:t>核查，逐校建立标准化建设台账，加大资金投</w:t>
      </w:r>
      <w:r>
        <w:rPr>
          <w:spacing w:val="9"/>
        </w:rPr>
        <w:t>入，加快建设进度，着力补齐短板弱项。</w:t>
      </w:r>
    </w:p>
    <w:p>
      <w:pPr>
        <w:pStyle w:val="BodyText"/>
        <w:ind w:firstLine="453"/>
        <w:spacing w:before="21" w:line="403" w:lineRule="auto"/>
        <w:jc w:val="both"/>
        <w:rPr/>
      </w:pPr>
      <w:r>
        <w:rPr>
          <w:rFonts w:ascii="KaiTi" w:hAnsi="KaiTi" w:eastAsia="KaiTi" w:cs="KaiTi"/>
          <w:b/>
          <w:bCs/>
          <w:spacing w:val="3"/>
        </w:rPr>
        <w:t>（</w:t>
      </w:r>
      <w:r>
        <w:rPr>
          <w:rFonts w:ascii="KaiTi" w:hAnsi="KaiTi" w:eastAsia="KaiTi" w:cs="KaiTi"/>
          <w:spacing w:val="-37"/>
        </w:rPr>
        <w:t xml:space="preserve"> </w:t>
      </w:r>
      <w:r>
        <w:rPr>
          <w:rFonts w:ascii="KaiTi" w:hAnsi="KaiTi" w:eastAsia="KaiTi" w:cs="KaiTi"/>
          <w:b/>
          <w:bCs/>
          <w:spacing w:val="3"/>
        </w:rPr>
        <w:t>二）配齐建强教师队伍。</w:t>
      </w:r>
      <w:r>
        <w:rPr>
          <w:spacing w:val="3"/>
        </w:rPr>
        <w:t>认真贯彻《中</w:t>
      </w:r>
      <w:r>
        <w:rPr>
          <w:spacing w:val="20"/>
        </w:rPr>
        <w:t>共中央国务院关于全面深化新时代教师队伍</w:t>
      </w:r>
      <w:r>
        <w:rPr>
          <w:spacing w:val="9"/>
        </w:rPr>
        <w:t>建设改革的意见》等文件精神，完善教师编制</w:t>
      </w:r>
      <w:r>
        <w:rPr>
          <w:spacing w:val="9"/>
        </w:rPr>
        <w:t>管理机制，加大教职工编制统筹配备和跨区域</w:t>
      </w:r>
      <w:r>
        <w:rPr>
          <w:spacing w:val="5"/>
        </w:rPr>
        <w:t>调整力度，推进</w:t>
      </w:r>
      <w:r>
        <w:rPr>
          <w:rFonts w:ascii="Times New Roman" w:hAnsi="Times New Roman" w:eastAsia="Times New Roman" w:cs="Times New Roman"/>
          <w:spacing w:val="5"/>
        </w:rPr>
        <w:t>“</w:t>
      </w:r>
      <w:r>
        <w:rPr>
          <w:spacing w:val="5"/>
        </w:rPr>
        <w:t>县管校聘</w:t>
      </w:r>
      <w:r>
        <w:rPr>
          <w:rFonts w:ascii="Times New Roman" w:hAnsi="Times New Roman" w:eastAsia="Times New Roman" w:cs="Times New Roman"/>
          <w:spacing w:val="5"/>
        </w:rPr>
        <w:t>”</w:t>
      </w:r>
      <w:r>
        <w:rPr>
          <w:spacing w:val="5"/>
        </w:rPr>
        <w:t>改革，逐步建立</w:t>
      </w:r>
      <w:r>
        <w:rPr>
          <w:rFonts w:ascii="Times New Roman" w:hAnsi="Times New Roman" w:eastAsia="Times New Roman" w:cs="Times New Roman"/>
          <w:spacing w:val="5"/>
        </w:rPr>
        <w:t>“</w:t>
      </w:r>
      <w:r>
        <w:rPr>
          <w:spacing w:val="5"/>
        </w:rPr>
        <w:t>县</w:t>
      </w:r>
      <w:r>
        <w:rPr>
          <w:spacing w:val="-1"/>
        </w:rPr>
        <w:t>管教师编制、人员结构、岗位设置、交流轮岗</w:t>
      </w:r>
      <w:r>
        <w:rPr>
          <w:rFonts w:ascii="Times New Roman" w:hAnsi="Times New Roman" w:eastAsia="Times New Roman" w:cs="Times New Roman"/>
          <w:spacing w:val="-1"/>
        </w:rPr>
        <w:t>”</w:t>
      </w:r>
      <w:r>
        <w:rPr>
          <w:spacing w:val="-1"/>
        </w:rPr>
        <w:t>，</w:t>
      </w:r>
      <w:r>
        <w:rPr/>
        <w:t xml:space="preserve"> </w:t>
      </w:r>
      <w:r>
        <w:rPr>
          <w:rFonts w:ascii="Times New Roman" w:hAnsi="Times New Roman" w:eastAsia="Times New Roman" w:cs="Times New Roman"/>
          <w:spacing w:val="10"/>
        </w:rPr>
        <w:t>“</w:t>
      </w:r>
      <w:r>
        <w:rPr>
          <w:spacing w:val="10"/>
        </w:rPr>
        <w:t>校管岗位聘用、绩效工资分配、考核奖惩</w:t>
      </w:r>
      <w:r>
        <w:rPr>
          <w:rFonts w:ascii="Times New Roman" w:hAnsi="Times New Roman" w:eastAsia="Times New Roman" w:cs="Times New Roman"/>
          <w:spacing w:val="10"/>
        </w:rPr>
        <w:t>”</w:t>
      </w:r>
      <w:r>
        <w:rPr>
          <w:spacing w:val="10"/>
        </w:rPr>
        <w:t>的</w:t>
      </w:r>
      <w:r>
        <w:rPr>
          <w:spacing w:val="9"/>
        </w:rPr>
        <w:t>管理机制，促进县域内师资均衡配置。加大思</w:t>
      </w:r>
      <w:r>
        <w:rPr>
          <w:spacing w:val="9"/>
        </w:rPr>
        <w:t>政课、音体美、信息技术、心理健康等学科教</w:t>
      </w:r>
      <w:r>
        <w:rPr>
          <w:spacing w:val="9"/>
        </w:rPr>
        <w:t>师补充配备，确保每百名学生拥有高于规定学</w:t>
      </w:r>
      <w:r>
        <w:rPr>
          <w:spacing w:val="9"/>
        </w:rPr>
        <w:t>历教师数、县级以上骨干教师数、体育、艺术</w:t>
      </w:r>
      <w:r>
        <w:rPr>
          <w:spacing w:val="9"/>
        </w:rPr>
        <w:t>教师数达到优质均衡国家标准。强化师德师风</w:t>
      </w:r>
      <w:r>
        <w:rPr>
          <w:spacing w:val="9"/>
        </w:rPr>
        <w:t>长效机制建设，坚持师德考核与岗位聘任、职</w:t>
      </w:r>
      <w:r>
        <w:rPr>
          <w:spacing w:val="9"/>
        </w:rPr>
        <w:t>称晋升相统一，健全教师资格认定制度、师德</w:t>
      </w:r>
      <w:r>
        <w:rPr>
          <w:spacing w:val="3"/>
        </w:rPr>
        <w:t>考核制度，推动师德师风建设常态化、长效化、</w:t>
      </w:r>
      <w:r>
        <w:rPr>
          <w:spacing w:val="12"/>
        </w:rPr>
        <w:t>制度化。尊重校长岗位特点，完善民主推荐、</w:t>
      </w:r>
      <w:r>
        <w:rPr>
          <w:spacing w:val="9"/>
        </w:rPr>
        <w:t>公开选聘等选任机制和管理办法，推进校长队</w:t>
      </w:r>
      <w:r>
        <w:rPr>
          <w:spacing w:val="9"/>
        </w:rPr>
        <w:t>伍职业化建设，积极营造教育家办学的制度环</w:t>
      </w:r>
      <w:r>
        <w:rPr>
          <w:spacing w:val="5"/>
        </w:rPr>
        <w:t>境。实施新入职教师</w:t>
      </w:r>
      <w:r>
        <w:rPr>
          <w:rFonts w:ascii="Times New Roman" w:hAnsi="Times New Roman" w:eastAsia="Times New Roman" w:cs="Times New Roman"/>
          <w:spacing w:val="5"/>
        </w:rPr>
        <w:t>“</w:t>
      </w:r>
      <w:r>
        <w:rPr>
          <w:spacing w:val="5"/>
        </w:rPr>
        <w:t>起航计划</w:t>
      </w:r>
      <w:r>
        <w:rPr>
          <w:rFonts w:ascii="Times New Roman" w:hAnsi="Times New Roman" w:eastAsia="Times New Roman" w:cs="Times New Roman"/>
          <w:spacing w:val="5"/>
        </w:rPr>
        <w:t>”</w:t>
      </w:r>
      <w:r>
        <w:rPr>
          <w:spacing w:val="5"/>
        </w:rPr>
        <w:t>、青年教师</w:t>
      </w:r>
      <w:r>
        <w:rPr>
          <w:rFonts w:ascii="Times New Roman" w:hAnsi="Times New Roman" w:eastAsia="Times New Roman" w:cs="Times New Roman"/>
          <w:spacing w:val="5"/>
        </w:rPr>
        <w:t>“</w:t>
      </w:r>
      <w:r>
        <w:rPr>
          <w:spacing w:val="5"/>
        </w:rPr>
        <w:t>青</w:t>
      </w:r>
      <w:r>
        <w:rPr>
          <w:spacing w:val="12"/>
        </w:rPr>
        <w:t>蓝计划</w:t>
      </w:r>
      <w:r>
        <w:rPr>
          <w:rFonts w:ascii="Times New Roman" w:hAnsi="Times New Roman" w:eastAsia="Times New Roman" w:cs="Times New Roman"/>
          <w:spacing w:val="12"/>
        </w:rPr>
        <w:t>”</w:t>
      </w:r>
      <w:r>
        <w:rPr>
          <w:rFonts w:ascii="Times New Roman" w:hAnsi="Times New Roman" w:eastAsia="Times New Roman" w:cs="Times New Roman"/>
          <w:spacing w:val="-24"/>
        </w:rPr>
        <w:t xml:space="preserve"> </w:t>
      </w:r>
      <w:r>
        <w:rPr>
          <w:spacing w:val="12"/>
        </w:rPr>
        <w:t>、优秀教师</w:t>
      </w:r>
      <w:r>
        <w:rPr>
          <w:rFonts w:ascii="Times New Roman" w:hAnsi="Times New Roman" w:eastAsia="Times New Roman" w:cs="Times New Roman"/>
          <w:spacing w:val="12"/>
        </w:rPr>
        <w:t>“</w:t>
      </w:r>
      <w:r>
        <w:rPr>
          <w:spacing w:val="12"/>
        </w:rPr>
        <w:t>卓越计划</w:t>
      </w:r>
      <w:r>
        <w:rPr>
          <w:rFonts w:ascii="Times New Roman" w:hAnsi="Times New Roman" w:eastAsia="Times New Roman" w:cs="Times New Roman"/>
          <w:spacing w:val="12"/>
        </w:rPr>
        <w:t>”</w:t>
      </w:r>
      <w:r>
        <w:rPr>
          <w:rFonts w:ascii="Times New Roman" w:hAnsi="Times New Roman" w:eastAsia="Times New Roman" w:cs="Times New Roman"/>
          <w:spacing w:val="-8"/>
        </w:rPr>
        <w:t xml:space="preserve"> </w:t>
      </w:r>
      <w:r>
        <w:rPr>
          <w:spacing w:val="12"/>
        </w:rPr>
        <w:t>，建立健全教</w:t>
      </w:r>
      <w:r>
        <w:rPr>
          <w:spacing w:val="9"/>
        </w:rPr>
        <w:t>师队伍培养培训梯次结构。健全教师职称评聘</w:t>
      </w:r>
      <w:r>
        <w:rPr>
          <w:spacing w:val="9"/>
        </w:rPr>
        <w:t>和优秀教师表彰机制，改善教师工作和生活条</w:t>
      </w:r>
      <w:r>
        <w:rPr>
          <w:spacing w:val="9"/>
        </w:rPr>
        <w:t>件，提高教师待遇，确保中小学教师平均工资</w:t>
      </w:r>
      <w:r>
        <w:rPr>
          <w:spacing w:val="20"/>
        </w:rPr>
        <w:t>收入水平不低于当地公务员平均工资收入水</w:t>
      </w:r>
    </w:p>
    <w:p>
      <w:pPr>
        <w:spacing w:line="403" w:lineRule="auto"/>
        <w:sectPr>
          <w:type w:val="continuous"/>
          <w:pgSz w:w="11906" w:h="16839"/>
          <w:pgMar w:top="1766" w:right="1509" w:bottom="1563" w:left="1579" w:header="1428" w:footer="1172" w:gutter="0"/>
          <w:cols w:equalWidth="0" w:num="2">
            <w:col w:w="4449" w:space="100"/>
            <w:col w:w="4268" w:space="0"/>
          </w:cols>
        </w:sectPr>
        <w:rPr/>
      </w:pPr>
    </w:p>
    <w:p>
      <w:pPr>
        <w:spacing w:before="97"/>
        <w:rPr/>
      </w:pPr>
      <w:r>
        <w:drawing>
          <wp:anchor distT="0" distB="0" distL="0" distR="0" simplePos="0" relativeHeight="252008448" behindDoc="0" locked="0" layoutInCell="0" allowOverlap="1">
            <wp:simplePos x="0" y="0"/>
            <wp:positionH relativeFrom="page">
              <wp:posOffset>1008380</wp:posOffset>
            </wp:positionH>
            <wp:positionV relativeFrom="page">
              <wp:posOffset>1122680</wp:posOffset>
            </wp:positionV>
            <wp:extent cx="5579745" cy="7619"/>
            <wp:effectExtent l="0" t="0" r="0" b="0"/>
            <wp:wrapNone/>
            <wp:docPr id="984" name="IM 984"/>
            <wp:cNvGraphicFramePr/>
            <a:graphic>
              <a:graphicData uri="http://schemas.openxmlformats.org/drawingml/2006/picture">
                <pic:pic>
                  <pic:nvPicPr>
                    <pic:cNvPr id="984" name="IM 984"/>
                    <pic:cNvPicPr/>
                  </pic:nvPicPr>
                  <pic:blipFill>
                    <a:blip r:embed="rId494"/>
                    <a:stretch>
                      <a:fillRect/>
                    </a:stretch>
                  </pic:blipFill>
                  <pic:spPr>
                    <a:xfrm rot="0">
                      <a:off x="0" y="0"/>
                      <a:ext cx="5579745" cy="7619"/>
                    </a:xfrm>
                    <a:prstGeom prst="rect">
                      <a:avLst/>
                    </a:prstGeom>
                  </pic:spPr>
                </pic:pic>
              </a:graphicData>
            </a:graphic>
          </wp:anchor>
        </w:drawing>
      </w:r>
      <w:r/>
    </w:p>
    <w:p>
      <w:pPr>
        <w:sectPr>
          <w:headerReference w:type="default" r:id="rId487"/>
          <w:footerReference w:type="default" r:id="rId493"/>
          <w:pgSz w:w="11906" w:h="16839"/>
          <w:pgMar w:top="1769" w:right="1489" w:bottom="1570" w:left="1588" w:header="1428" w:footer="1172" w:gutter="0"/>
          <w:cols w:equalWidth="0" w:num="1">
            <w:col w:w="8829" w:space="0"/>
          </w:cols>
        </w:sectPr>
        <w:rPr/>
      </w:pPr>
    </w:p>
    <w:p>
      <w:pPr>
        <w:pStyle w:val="BodyText"/>
        <w:ind w:left="2" w:right="326" w:firstLine="1"/>
        <w:spacing w:before="56" w:line="410" w:lineRule="auto"/>
        <w:jc w:val="both"/>
        <w:rPr/>
      </w:pPr>
      <w:r>
        <w:rPr>
          <w:spacing w:val="8"/>
        </w:rPr>
        <w:t>平。实施</w:t>
      </w:r>
      <w:r>
        <w:rPr>
          <w:rFonts w:ascii="Times New Roman" w:hAnsi="Times New Roman" w:eastAsia="Times New Roman" w:cs="Times New Roman"/>
          <w:spacing w:val="8"/>
        </w:rPr>
        <w:t>“</w:t>
      </w:r>
      <w:r>
        <w:rPr>
          <w:spacing w:val="8"/>
        </w:rPr>
        <w:t>六盘名师名校名校长</w:t>
      </w:r>
      <w:r>
        <w:rPr>
          <w:rFonts w:ascii="Times New Roman" w:hAnsi="Times New Roman" w:eastAsia="Times New Roman" w:cs="Times New Roman"/>
          <w:spacing w:val="8"/>
        </w:rPr>
        <w:t>”</w:t>
      </w:r>
      <w:r>
        <w:rPr>
          <w:spacing w:val="8"/>
        </w:rPr>
        <w:t>培育工程，加</w:t>
      </w:r>
      <w:r>
        <w:rPr>
          <w:spacing w:val="6"/>
        </w:rPr>
        <w:t>强名师工作室建设，定期开展</w:t>
      </w:r>
      <w:r>
        <w:rPr>
          <w:rFonts w:ascii="Times New Roman" w:hAnsi="Times New Roman" w:eastAsia="Times New Roman" w:cs="Times New Roman"/>
          <w:spacing w:val="6"/>
        </w:rPr>
        <w:t>“</w:t>
      </w:r>
      <w:r>
        <w:rPr>
          <w:rFonts w:ascii="Times New Roman" w:hAnsi="Times New Roman" w:eastAsia="Times New Roman" w:cs="Times New Roman"/>
          <w:spacing w:val="-5"/>
        </w:rPr>
        <w:t xml:space="preserve"> </w:t>
      </w:r>
      <w:r>
        <w:rPr>
          <w:spacing w:val="6"/>
        </w:rPr>
        <w:t>四评一赛</w:t>
      </w:r>
      <w:r>
        <w:rPr>
          <w:rFonts w:ascii="Times New Roman" w:hAnsi="Times New Roman" w:eastAsia="Times New Roman" w:cs="Times New Roman"/>
          <w:spacing w:val="6"/>
        </w:rPr>
        <w:t>”</w:t>
      </w:r>
      <w:r>
        <w:rPr>
          <w:spacing w:val="6"/>
        </w:rPr>
        <w:t>活动</w:t>
      </w:r>
      <w:r>
        <w:rPr>
          <w:spacing w:val="8"/>
        </w:rPr>
        <w:t>和</w:t>
      </w:r>
      <w:r>
        <w:rPr>
          <w:rFonts w:ascii="Times New Roman" w:hAnsi="Times New Roman" w:eastAsia="Times New Roman" w:cs="Times New Roman"/>
          <w:spacing w:val="8"/>
        </w:rPr>
        <w:t>“</w:t>
      </w:r>
      <w:r>
        <w:rPr>
          <w:spacing w:val="8"/>
        </w:rPr>
        <w:t>基础教育论坛</w:t>
      </w:r>
      <w:r>
        <w:rPr>
          <w:rFonts w:ascii="Times New Roman" w:hAnsi="Times New Roman" w:eastAsia="Times New Roman" w:cs="Times New Roman"/>
          <w:spacing w:val="8"/>
        </w:rPr>
        <w:t>”</w:t>
      </w:r>
      <w:r>
        <w:rPr>
          <w:spacing w:val="8"/>
        </w:rPr>
        <w:t>，示范引领义务教育优质均</w:t>
      </w:r>
      <w:r>
        <w:rPr>
          <w:spacing w:val="8"/>
        </w:rPr>
        <w:t>衡高质量发展。</w:t>
      </w:r>
    </w:p>
    <w:p>
      <w:pPr>
        <w:pStyle w:val="BodyText"/>
        <w:ind w:left="3" w:right="303" w:firstLine="413"/>
        <w:spacing w:before="2" w:line="397" w:lineRule="auto"/>
        <w:rPr/>
      </w:pPr>
      <w:r>
        <w:rPr>
          <w:rFonts w:ascii="KaiTi" w:hAnsi="KaiTi" w:eastAsia="KaiTi" w:cs="KaiTi"/>
          <w:b/>
          <w:bCs/>
          <w:spacing w:val="3"/>
        </w:rPr>
        <w:t>（</w:t>
      </w:r>
      <w:r>
        <w:rPr>
          <w:rFonts w:ascii="KaiTi" w:hAnsi="KaiTi" w:eastAsia="KaiTi" w:cs="KaiTi"/>
          <w:spacing w:val="-35"/>
        </w:rPr>
        <w:t xml:space="preserve"> </w:t>
      </w:r>
      <w:r>
        <w:rPr>
          <w:rFonts w:ascii="KaiTi" w:hAnsi="KaiTi" w:eastAsia="KaiTi" w:cs="KaiTi"/>
          <w:b/>
          <w:bCs/>
          <w:spacing w:val="3"/>
        </w:rPr>
        <w:t>三）建立“互联网+教育”机制。</w:t>
      </w:r>
      <w:r>
        <w:rPr>
          <w:spacing w:val="3"/>
        </w:rPr>
        <w:t>以</w:t>
      </w:r>
      <w:r>
        <w:rPr>
          <w:rFonts w:ascii="Times New Roman" w:hAnsi="Times New Roman" w:eastAsia="Times New Roman" w:cs="Times New Roman"/>
          <w:spacing w:val="3"/>
        </w:rPr>
        <w:t>“</w:t>
      </w:r>
      <w:r>
        <w:rPr>
          <w:spacing w:val="3"/>
        </w:rPr>
        <w:t>互</w:t>
      </w:r>
      <w:r>
        <w:rPr>
          <w:spacing w:val="8"/>
        </w:rPr>
        <w:t>联网</w:t>
      </w:r>
      <w:r>
        <w:rPr>
          <w:rFonts w:ascii="Times New Roman" w:hAnsi="Times New Roman" w:eastAsia="Times New Roman" w:cs="Times New Roman"/>
          <w:spacing w:val="8"/>
        </w:rPr>
        <w:t>+</w:t>
      </w:r>
      <w:r>
        <w:rPr>
          <w:spacing w:val="8"/>
        </w:rPr>
        <w:t>教育</w:t>
      </w:r>
      <w:r>
        <w:rPr>
          <w:rFonts w:ascii="Times New Roman" w:hAnsi="Times New Roman" w:eastAsia="Times New Roman" w:cs="Times New Roman"/>
          <w:spacing w:val="8"/>
        </w:rPr>
        <w:t>”</w:t>
      </w:r>
      <w:r>
        <w:rPr>
          <w:spacing w:val="8"/>
        </w:rPr>
        <w:t>示范区建设为抓手，构建数字化、</w:t>
      </w:r>
      <w:r>
        <w:rPr>
          <w:spacing w:val="7"/>
        </w:rPr>
        <w:t>网络化、智能化的教学环境，推动大数据、人</w:t>
      </w:r>
      <w:r>
        <w:rPr>
          <w:spacing w:val="7"/>
        </w:rPr>
        <w:t>工智能、虚拟现实等新技术与教育教学融合应</w:t>
      </w:r>
      <w:r>
        <w:rPr>
          <w:spacing w:val="7"/>
        </w:rPr>
        <w:t>用，形成人才培养、教育服务、教育治理新模</w:t>
      </w:r>
      <w:r>
        <w:rPr>
          <w:spacing w:val="7"/>
        </w:rPr>
        <w:t>式。构建完善的信息化支撑环境，推进数字校</w:t>
      </w:r>
      <w:r>
        <w:rPr>
          <w:spacing w:val="10"/>
        </w:rPr>
        <w:t>园建设全覆盖</w:t>
      </w:r>
      <w:r>
        <w:rPr>
          <w:spacing w:val="-55"/>
        </w:rPr>
        <w:t xml:space="preserve"> </w:t>
      </w:r>
      <w:r>
        <w:rPr>
          <w:spacing w:val="10"/>
        </w:rPr>
        <w:t>，开展</w:t>
      </w:r>
      <w:r>
        <w:rPr>
          <w:rFonts w:ascii="Times New Roman" w:hAnsi="Times New Roman" w:eastAsia="Times New Roman" w:cs="Times New Roman"/>
          <w:spacing w:val="10"/>
        </w:rPr>
        <w:t>“</w:t>
      </w:r>
      <w:r>
        <w:rPr>
          <w:spacing w:val="10"/>
        </w:rPr>
        <w:t>互联网</w:t>
      </w:r>
      <w:r>
        <w:rPr>
          <w:rFonts w:ascii="Times New Roman" w:hAnsi="Times New Roman" w:eastAsia="Times New Roman" w:cs="Times New Roman"/>
          <w:spacing w:val="10"/>
        </w:rPr>
        <w:t>+”</w:t>
      </w:r>
      <w:r>
        <w:rPr>
          <w:spacing w:val="10"/>
        </w:rPr>
        <w:t>条件下的教育</w:t>
      </w:r>
      <w:r>
        <w:rPr>
          <w:spacing w:val="7"/>
        </w:rPr>
        <w:t>教学、科学决策、业务管理、教育研究等，扩</w:t>
      </w:r>
      <w:r>
        <w:rPr>
          <w:spacing w:val="5"/>
        </w:rPr>
        <w:t>大优质教育资源全覆盖。推进</w:t>
      </w:r>
      <w:r>
        <w:rPr>
          <w:rFonts w:ascii="Times New Roman" w:hAnsi="Times New Roman" w:eastAsia="Times New Roman" w:cs="Times New Roman"/>
          <w:spacing w:val="5"/>
        </w:rPr>
        <w:t>“N+1+N”</w:t>
      </w:r>
      <w:r>
        <w:rPr>
          <w:rFonts w:ascii="Times New Roman" w:hAnsi="Times New Roman" w:eastAsia="Times New Roman" w:cs="Times New Roman"/>
          <w:spacing w:val="-9"/>
        </w:rPr>
        <w:t xml:space="preserve"> </w:t>
      </w:r>
      <w:r>
        <w:rPr>
          <w:spacing w:val="5"/>
        </w:rPr>
        <w:t>网络扶</w:t>
      </w:r>
      <w:r>
        <w:rPr>
          <w:spacing w:val="7"/>
        </w:rPr>
        <w:t>智行动，实现在线互动课堂常态化应用，推动</w:t>
      </w:r>
      <w:r>
        <w:rPr>
          <w:spacing w:val="10"/>
        </w:rPr>
        <w:t>优质学校与薄弱学校线上结对共建</w:t>
      </w:r>
      <w:r>
        <w:rPr>
          <w:spacing w:val="-43"/>
        </w:rPr>
        <w:t xml:space="preserve"> </w:t>
      </w:r>
      <w:r>
        <w:rPr>
          <w:spacing w:val="10"/>
        </w:rPr>
        <w:t>，开展</w:t>
      </w:r>
      <w:r>
        <w:rPr>
          <w:rFonts w:ascii="Times New Roman" w:hAnsi="Times New Roman" w:eastAsia="Times New Roman" w:cs="Times New Roman"/>
          <w:spacing w:val="10"/>
        </w:rPr>
        <w:t>“</w:t>
      </w:r>
      <w:r>
        <w:rPr>
          <w:spacing w:val="10"/>
        </w:rPr>
        <w:t>三</w:t>
      </w:r>
      <w:r>
        <w:rPr>
          <w:spacing w:val="12"/>
        </w:rPr>
        <w:t>个课堂</w:t>
      </w:r>
      <w:r>
        <w:rPr>
          <w:rFonts w:ascii="Times New Roman" w:hAnsi="Times New Roman" w:eastAsia="Times New Roman" w:cs="Times New Roman"/>
          <w:spacing w:val="12"/>
        </w:rPr>
        <w:t>”</w:t>
      </w:r>
      <w:r>
        <w:rPr>
          <w:spacing w:val="12"/>
        </w:rPr>
        <w:t>（专递课堂、名师课堂、名校网络课</w:t>
      </w:r>
      <w:r>
        <w:rPr>
          <w:spacing w:val="7"/>
        </w:rPr>
        <w:t>堂）建设，共享优质教育资源，提升薄弱学校</w:t>
      </w:r>
      <w:r>
        <w:rPr>
          <w:spacing w:val="15"/>
        </w:rPr>
        <w:t>教育教学质量</w:t>
      </w:r>
      <w:r>
        <w:rPr>
          <w:spacing w:val="-39"/>
        </w:rPr>
        <w:t xml:space="preserve"> </w:t>
      </w:r>
      <w:r>
        <w:rPr>
          <w:spacing w:val="15"/>
        </w:rPr>
        <w:t>，促进教育公平和优质均衡发</w:t>
      </w:r>
      <w:r>
        <w:rPr>
          <w:spacing w:val="7"/>
        </w:rPr>
        <w:t>展。实施智慧教育创新发展行动，坚持应用驱</w:t>
      </w:r>
      <w:r>
        <w:rPr>
          <w:spacing w:val="8"/>
        </w:rPr>
        <w:t>动和机制创新，开展基于大数据的因材施教，</w:t>
      </w:r>
      <w:r>
        <w:rPr>
          <w:spacing w:val="7"/>
        </w:rPr>
        <w:t>探索信息化时代学生全面发展的培养模式。推</w:t>
      </w:r>
      <w:r>
        <w:rPr>
          <w:spacing w:val="10"/>
        </w:rPr>
        <w:t>动</w:t>
      </w:r>
      <w:r>
        <w:rPr>
          <w:rFonts w:ascii="Times New Roman" w:hAnsi="Times New Roman" w:eastAsia="Times New Roman" w:cs="Times New Roman"/>
          <w:spacing w:val="10"/>
        </w:rPr>
        <w:t>“</w:t>
      </w:r>
      <w:r>
        <w:rPr>
          <w:spacing w:val="10"/>
        </w:rPr>
        <w:t>互联网</w:t>
      </w:r>
      <w:r>
        <w:rPr>
          <w:rFonts w:ascii="Times New Roman" w:hAnsi="Times New Roman" w:eastAsia="Times New Roman" w:cs="Times New Roman"/>
          <w:spacing w:val="10"/>
        </w:rPr>
        <w:t>+”</w:t>
      </w:r>
      <w:r>
        <w:rPr>
          <w:spacing w:val="10"/>
        </w:rPr>
        <w:t>创新教育综合改革</w:t>
      </w:r>
      <w:r>
        <w:rPr>
          <w:spacing w:val="-55"/>
        </w:rPr>
        <w:t xml:space="preserve"> </w:t>
      </w:r>
      <w:r>
        <w:rPr>
          <w:spacing w:val="10"/>
        </w:rPr>
        <w:t>，指导教师利</w:t>
      </w:r>
      <w:r>
        <w:rPr>
          <w:spacing w:val="7"/>
        </w:rPr>
        <w:t>用信息技术变革传统教学模式，开展线上线下</w:t>
      </w:r>
      <w:r>
        <w:rPr>
          <w:spacing w:val="8"/>
        </w:rPr>
        <w:t>融合教学，形成</w:t>
      </w:r>
      <w:r>
        <w:rPr>
          <w:rFonts w:ascii="Times New Roman" w:hAnsi="Times New Roman" w:eastAsia="Times New Roman" w:cs="Times New Roman"/>
          <w:spacing w:val="8"/>
        </w:rPr>
        <w:t>“</w:t>
      </w:r>
      <w:r>
        <w:rPr>
          <w:spacing w:val="8"/>
        </w:rPr>
        <w:t>互联网</w:t>
      </w:r>
      <w:r>
        <w:rPr>
          <w:rFonts w:ascii="Times New Roman" w:hAnsi="Times New Roman" w:eastAsia="Times New Roman" w:cs="Times New Roman"/>
          <w:spacing w:val="8"/>
        </w:rPr>
        <w:t>+</w:t>
      </w:r>
      <w:r>
        <w:rPr>
          <w:spacing w:val="8"/>
        </w:rPr>
        <w:t>教育</w:t>
      </w:r>
      <w:r>
        <w:rPr>
          <w:rFonts w:ascii="Times New Roman" w:hAnsi="Times New Roman" w:eastAsia="Times New Roman" w:cs="Times New Roman"/>
          <w:spacing w:val="8"/>
        </w:rPr>
        <w:t>”</w:t>
      </w:r>
      <w:r>
        <w:rPr>
          <w:spacing w:val="8"/>
        </w:rPr>
        <w:t>应用新模式。</w:t>
      </w:r>
    </w:p>
    <w:p>
      <w:pPr>
        <w:pStyle w:val="BodyText"/>
        <w:ind w:left="4" w:right="321" w:firstLine="412"/>
        <w:spacing w:before="194" w:line="363" w:lineRule="auto"/>
        <w:rPr/>
      </w:pPr>
      <w:r>
        <w:rPr>
          <w:rFonts w:ascii="KaiTi" w:hAnsi="KaiTi" w:eastAsia="KaiTi" w:cs="KaiTi"/>
          <w:b/>
          <w:bCs/>
          <w:spacing w:val="3"/>
        </w:rPr>
        <w:t>（</w:t>
      </w:r>
      <w:r>
        <w:rPr>
          <w:rFonts w:ascii="KaiTi" w:hAnsi="KaiTi" w:eastAsia="KaiTi" w:cs="KaiTi"/>
          <w:spacing w:val="-37"/>
        </w:rPr>
        <w:t xml:space="preserve"> </w:t>
      </w:r>
      <w:r>
        <w:rPr>
          <w:rFonts w:ascii="KaiTi" w:hAnsi="KaiTi" w:eastAsia="KaiTi" w:cs="KaiTi"/>
          <w:b/>
          <w:bCs/>
          <w:spacing w:val="3"/>
        </w:rPr>
        <w:t>四）推进集团化办学。</w:t>
      </w:r>
      <w:r>
        <w:rPr>
          <w:spacing w:val="3"/>
        </w:rPr>
        <w:t>采取办学主体政</w:t>
      </w:r>
      <w:r>
        <w:rPr>
          <w:spacing w:val="7"/>
        </w:rPr>
        <w:t>府引导组合，自主组合等多种形式，以区域内</w:t>
      </w:r>
      <w:r>
        <w:rPr>
          <w:spacing w:val="7"/>
        </w:rPr>
        <w:t>优质品牌学校或优质教育资源为龙头，与区域</w:t>
      </w:r>
      <w:r>
        <w:rPr>
          <w:spacing w:val="7"/>
        </w:rPr>
        <w:t>内其他学校组建教育集团，推动集团内各成员</w:t>
      </w:r>
      <w:r>
        <w:rPr>
          <w:spacing w:val="7"/>
        </w:rPr>
        <w:t>学校同步、优质、均衡、特色发展。推动固原</w:t>
      </w:r>
    </w:p>
    <w:p>
      <w:pPr>
        <w:spacing w:line="14" w:lineRule="auto"/>
        <w:rPr>
          <w:rFonts w:ascii="Arial"/>
          <w:sz w:val="2"/>
        </w:rPr>
      </w:pPr>
      <w:r>
        <w:rPr>
          <w:rFonts w:ascii="Arial" w:hAnsi="Arial" w:eastAsia="Arial" w:cs="Arial"/>
          <w:sz w:val="2"/>
          <w:szCs w:val="2"/>
        </w:rPr>
        <w:br w:type="column"/>
      </w:r>
    </w:p>
    <w:p>
      <w:pPr>
        <w:pStyle w:val="BodyText"/>
        <w:ind w:right="26" w:firstLine="3"/>
        <w:spacing w:before="42" w:line="406" w:lineRule="auto"/>
        <w:jc w:val="both"/>
        <w:rPr/>
      </w:pPr>
      <w:r>
        <w:rPr>
          <w:spacing w:val="11"/>
        </w:rPr>
        <w:t>市及所辖县（</w:t>
      </w:r>
      <w:r>
        <w:rPr>
          <w:spacing w:val="-38"/>
        </w:rPr>
        <w:t xml:space="preserve"> </w:t>
      </w:r>
      <w:r>
        <w:rPr>
          <w:spacing w:val="11"/>
        </w:rPr>
        <w:t>区</w:t>
      </w:r>
      <w:r>
        <w:rPr>
          <w:spacing w:val="-31"/>
        </w:rPr>
        <w:t xml:space="preserve"> </w:t>
      </w:r>
      <w:r>
        <w:rPr>
          <w:spacing w:val="11"/>
        </w:rPr>
        <w:t>）与银川市广泛开展义务教</w:t>
      </w:r>
      <w:r>
        <w:rPr>
          <w:spacing w:val="15"/>
        </w:rPr>
        <w:t>育领域办学合作</w:t>
      </w:r>
      <w:r>
        <w:rPr>
          <w:spacing w:val="-41"/>
        </w:rPr>
        <w:t xml:space="preserve"> </w:t>
      </w:r>
      <w:r>
        <w:rPr>
          <w:spacing w:val="15"/>
        </w:rPr>
        <w:t>，促进优质教育资源共建共</w:t>
      </w:r>
      <w:r>
        <w:rPr>
          <w:spacing w:val="7"/>
        </w:rPr>
        <w:t>享。加强各县（</w:t>
      </w:r>
      <w:r>
        <w:rPr>
          <w:spacing w:val="-31"/>
        </w:rPr>
        <w:t xml:space="preserve"> </w:t>
      </w:r>
      <w:r>
        <w:rPr>
          <w:spacing w:val="7"/>
        </w:rPr>
        <w:t>区</w:t>
      </w:r>
      <w:r>
        <w:rPr>
          <w:spacing w:val="-33"/>
        </w:rPr>
        <w:t xml:space="preserve"> </w:t>
      </w:r>
      <w:r>
        <w:rPr>
          <w:spacing w:val="7"/>
        </w:rPr>
        <w:t>）、市属学校与县（</w:t>
      </w:r>
      <w:r>
        <w:rPr>
          <w:spacing w:val="-43"/>
        </w:rPr>
        <w:t xml:space="preserve"> </w:t>
      </w:r>
      <w:r>
        <w:rPr>
          <w:spacing w:val="7"/>
        </w:rPr>
        <w:t>区</w:t>
      </w:r>
      <w:r>
        <w:rPr>
          <w:spacing w:val="-34"/>
        </w:rPr>
        <w:t xml:space="preserve"> </w:t>
      </w:r>
      <w:r>
        <w:rPr>
          <w:spacing w:val="7"/>
        </w:rPr>
        <w:t>）</w:t>
      </w:r>
      <w:r>
        <w:rPr>
          <w:spacing w:val="15"/>
        </w:rPr>
        <w:t>学校之间的教育合作</w:t>
      </w:r>
      <w:r>
        <w:rPr>
          <w:spacing w:val="-41"/>
        </w:rPr>
        <w:t xml:space="preserve"> </w:t>
      </w:r>
      <w:r>
        <w:rPr>
          <w:spacing w:val="15"/>
        </w:rPr>
        <w:t>，组建跨县域的优质教</w:t>
      </w:r>
      <w:r>
        <w:rPr>
          <w:spacing w:val="11"/>
        </w:rPr>
        <w:t>育集群，实现优质教育资源利用效益最大化。</w:t>
      </w:r>
      <w:r>
        <w:rPr>
          <w:spacing w:val="18"/>
        </w:rPr>
        <w:t>积极引进国内优质教育资源举办高水平合作</w:t>
      </w:r>
      <w:r>
        <w:rPr>
          <w:spacing w:val="15"/>
        </w:rPr>
        <w:t>办学机构和项目</w:t>
      </w:r>
      <w:r>
        <w:rPr>
          <w:spacing w:val="-41"/>
        </w:rPr>
        <w:t xml:space="preserve"> </w:t>
      </w:r>
      <w:r>
        <w:rPr>
          <w:spacing w:val="15"/>
        </w:rPr>
        <w:t>，建立教育部直属师范院校</w:t>
      </w:r>
      <w:r>
        <w:rPr>
          <w:spacing w:val="16"/>
        </w:rPr>
        <w:t>与固原市联合培养教师机制</w:t>
      </w:r>
      <w:r>
        <w:rPr>
          <w:spacing w:val="-54"/>
        </w:rPr>
        <w:t xml:space="preserve"> </w:t>
      </w:r>
      <w:r>
        <w:rPr>
          <w:spacing w:val="16"/>
        </w:rPr>
        <w:t>，创新人才培养</w:t>
      </w:r>
      <w:r>
        <w:rPr>
          <w:spacing w:val="7"/>
        </w:rPr>
        <w:t>模式，培育固原本土示范校，辐射带动基础教</w:t>
      </w:r>
      <w:r>
        <w:rPr>
          <w:spacing w:val="8"/>
        </w:rPr>
        <w:t>育高质量发展。</w:t>
      </w:r>
    </w:p>
    <w:p>
      <w:pPr>
        <w:pStyle w:val="BodyText"/>
        <w:ind w:right="78" w:firstLine="413"/>
        <w:spacing w:before="4" w:line="396" w:lineRule="auto"/>
        <w:jc w:val="both"/>
        <w:rPr/>
      </w:pPr>
      <w:r>
        <w:rPr>
          <w:rFonts w:ascii="KaiTi" w:hAnsi="KaiTi" w:eastAsia="KaiTi" w:cs="KaiTi"/>
          <w:b/>
          <w:bCs/>
          <w:spacing w:val="6"/>
        </w:rPr>
        <w:t>（五）全面提升教育质量。</w:t>
      </w:r>
      <w:r>
        <w:rPr>
          <w:spacing w:val="6"/>
        </w:rPr>
        <w:t>坚持以党的创</w:t>
      </w:r>
      <w:r>
        <w:rPr>
          <w:spacing w:val="7"/>
        </w:rPr>
        <w:t>新理论铸魂育人，推进习近平新时代中国特色</w:t>
      </w:r>
      <w:r>
        <w:rPr>
          <w:spacing w:val="8"/>
        </w:rPr>
        <w:t>社会主义思想进教材、进课堂、进师生头脑，</w:t>
      </w:r>
      <w:r>
        <w:rPr>
          <w:spacing w:val="7"/>
        </w:rPr>
        <w:t>培育和践行社会主义核心价值观，加强中华优</w:t>
      </w:r>
      <w:r>
        <w:rPr>
          <w:spacing w:val="7"/>
        </w:rPr>
        <w:t>秀传统文化教育，引导学生树立共产主义远大</w:t>
      </w:r>
      <w:r>
        <w:rPr>
          <w:spacing w:val="7"/>
        </w:rPr>
        <w:t>理想和中国特色社会主义共同理想。学校要严</w:t>
      </w:r>
      <w:r>
        <w:rPr>
          <w:spacing w:val="7"/>
        </w:rPr>
        <w:t>格按照国家课程方案和课程标准实施教学，强</w:t>
      </w:r>
      <w:r>
        <w:rPr>
          <w:spacing w:val="7"/>
        </w:rPr>
        <w:t>化课堂主阵地作用，以创新素养教育推动课堂</w:t>
      </w:r>
      <w:r>
        <w:rPr>
          <w:spacing w:val="7"/>
        </w:rPr>
        <w:t>变革，切实提高课堂教学质量。强化学校体育</w:t>
      </w:r>
      <w:r>
        <w:rPr>
          <w:spacing w:val="7"/>
        </w:rPr>
        <w:t>工作，定期开展学生体质健康监测，推动体育</w:t>
      </w:r>
      <w:r>
        <w:rPr>
          <w:spacing w:val="6"/>
        </w:rPr>
        <w:t>项目进校园，保证学生每天在校锻炼</w:t>
      </w:r>
      <w:r>
        <w:rPr>
          <w:spacing w:val="-8"/>
        </w:rPr>
        <w:t xml:space="preserve"> </w:t>
      </w:r>
      <w:r>
        <w:rPr>
          <w:rFonts w:ascii="Times New Roman" w:hAnsi="Times New Roman" w:eastAsia="Times New Roman" w:cs="Times New Roman"/>
          <w:spacing w:val="6"/>
        </w:rPr>
        <w:t>1 </w:t>
      </w:r>
      <w:r>
        <w:rPr>
          <w:spacing w:val="6"/>
        </w:rPr>
        <w:t>小时。</w:t>
      </w:r>
      <w:r>
        <w:rPr>
          <w:spacing w:val="7"/>
        </w:rPr>
        <w:t>加强美育工作，把美育纳入各级各类学校人才</w:t>
      </w:r>
      <w:r>
        <w:rPr>
          <w:spacing w:val="7"/>
        </w:rPr>
        <w:t>培养全过程，贯穿学校教育各学段，每个学生</w:t>
      </w:r>
      <w:r>
        <w:rPr>
          <w:spacing w:val="5"/>
        </w:rPr>
        <w:t>至少掌握</w:t>
      </w:r>
      <w:r>
        <w:rPr>
          <w:spacing w:val="-9"/>
        </w:rPr>
        <w:t xml:space="preserve"> </w:t>
      </w:r>
      <w:r>
        <w:rPr>
          <w:rFonts w:ascii="Times New Roman" w:hAnsi="Times New Roman" w:eastAsia="Times New Roman" w:cs="Times New Roman"/>
          <w:spacing w:val="5"/>
        </w:rPr>
        <w:t>1 </w:t>
      </w:r>
      <w:r>
        <w:rPr>
          <w:spacing w:val="5"/>
        </w:rPr>
        <w:t>项艺术特长，推进农村学校艺术教</w:t>
      </w:r>
      <w:r>
        <w:rPr>
          <w:spacing w:val="7"/>
        </w:rPr>
        <w:t>育实验县建设，提高学生审美和人文素养。加</w:t>
      </w:r>
      <w:r>
        <w:rPr>
          <w:spacing w:val="7"/>
        </w:rPr>
        <w:t>强中小学劳动教育，配备专兼职劳动教育师资</w:t>
      </w:r>
      <w:r>
        <w:rPr>
          <w:spacing w:val="7"/>
        </w:rPr>
        <w:t>队伍，紧密结合学生生活实际，拓宽劳动教育</w:t>
      </w:r>
      <w:r>
        <w:rPr>
          <w:spacing w:val="7"/>
        </w:rPr>
        <w:t>的渠道、方法和评价机制。推进心理健康教育</w:t>
      </w:r>
      <w:r>
        <w:rPr>
          <w:spacing w:val="7"/>
        </w:rPr>
        <w:t>示范校建设，加强和规范中小学心理辅导室建</w:t>
      </w:r>
    </w:p>
    <w:p>
      <w:pPr>
        <w:spacing w:line="396" w:lineRule="auto"/>
        <w:sectPr>
          <w:type w:val="continuous"/>
          <w:pgSz w:w="11906" w:h="16839"/>
          <w:pgMar w:top="1769" w:right="1489" w:bottom="1570" w:left="1588" w:header="1428" w:footer="1172" w:gutter="0"/>
          <w:cols w:equalWidth="0" w:num="2">
            <w:col w:w="4480" w:space="100"/>
            <w:col w:w="4250" w:space="0"/>
          </w:cols>
        </w:sectPr>
        <w:rPr/>
      </w:pPr>
    </w:p>
    <w:p>
      <w:pPr>
        <w:spacing w:before="108"/>
        <w:rPr/>
      </w:pPr>
      <w:r>
        <w:drawing>
          <wp:anchor distT="0" distB="0" distL="0" distR="0" simplePos="0" relativeHeight="252010496"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988" name="IM 988"/>
            <wp:cNvGraphicFramePr/>
            <a:graphic>
              <a:graphicData uri="http://schemas.openxmlformats.org/drawingml/2006/picture">
                <pic:pic>
                  <pic:nvPicPr>
                    <pic:cNvPr id="988" name="IM 988"/>
                    <pic:cNvPicPr/>
                  </pic:nvPicPr>
                  <pic:blipFill>
                    <a:blip r:embed="rId496"/>
                    <a:stretch>
                      <a:fillRect/>
                    </a:stretch>
                  </pic:blipFill>
                  <pic:spPr>
                    <a:xfrm rot="0">
                      <a:off x="0" y="0"/>
                      <a:ext cx="5579745" cy="7620"/>
                    </a:xfrm>
                    <a:prstGeom prst="rect">
                      <a:avLst/>
                    </a:prstGeom>
                  </pic:spPr>
                </pic:pic>
              </a:graphicData>
            </a:graphic>
          </wp:anchor>
        </w:drawing>
      </w:r>
      <w:r/>
    </w:p>
    <w:p>
      <w:pPr>
        <w:sectPr>
          <w:headerReference w:type="default" r:id="rId472"/>
          <w:footerReference w:type="default" r:id="rId495"/>
          <w:pgSz w:w="11906" w:h="16839"/>
          <w:pgMar w:top="1766" w:right="1526" w:bottom="1563" w:left="1579" w:header="1428" w:footer="1172" w:gutter="0"/>
          <w:cols w:equalWidth="0" w:num="1">
            <w:col w:w="8801" w:space="0"/>
          </w:cols>
        </w:sectPr>
        <w:rPr/>
      </w:pPr>
    </w:p>
    <w:p>
      <w:pPr>
        <w:pStyle w:val="BodyText"/>
        <w:ind w:left="11" w:right="322" w:hanging="1"/>
        <w:spacing w:before="43" w:line="406" w:lineRule="auto"/>
        <w:jc w:val="both"/>
        <w:rPr/>
      </w:pPr>
      <w:r>
        <w:rPr>
          <w:spacing w:val="7"/>
        </w:rPr>
        <w:t>设及师资配备，增强学校心理健康教育针对性</w:t>
      </w:r>
      <w:r>
        <w:rPr>
          <w:spacing w:val="7"/>
        </w:rPr>
        <w:t>和有效性。加强中小学校道德与法治教育，广</w:t>
      </w:r>
      <w:r>
        <w:rPr>
          <w:spacing w:val="18"/>
        </w:rPr>
        <w:t>泛提升学生法律意识和依法维护自身权益能</w:t>
      </w:r>
      <w:r>
        <w:rPr>
          <w:spacing w:val="7"/>
        </w:rPr>
        <w:t>力。建立学生研学实施保障机制，培育打造一</w:t>
      </w:r>
      <w:r>
        <w:rPr>
          <w:spacing w:val="7"/>
        </w:rPr>
        <w:t>批市级校外研学基地，支持师生走出校园，开</w:t>
      </w:r>
      <w:r>
        <w:rPr>
          <w:spacing w:val="7"/>
        </w:rPr>
        <w:t>展学工、学农等研学旅行活动。发挥教研支撑</w:t>
      </w:r>
      <w:r>
        <w:rPr>
          <w:spacing w:val="7"/>
        </w:rPr>
        <w:t>作用，完善区域教研、校本教研、线上线下联</w:t>
      </w:r>
      <w:r>
        <w:rPr>
          <w:spacing w:val="15"/>
        </w:rPr>
        <w:t>动教研等制度</w:t>
      </w:r>
      <w:r>
        <w:rPr>
          <w:spacing w:val="-39"/>
        </w:rPr>
        <w:t xml:space="preserve"> </w:t>
      </w:r>
      <w:r>
        <w:rPr>
          <w:spacing w:val="15"/>
        </w:rPr>
        <w:t>，改进和加强教育教学研究工</w:t>
      </w:r>
      <w:r>
        <w:rPr>
          <w:spacing w:val="18"/>
        </w:rPr>
        <w:t>作。把强化国家义务教育质量监测及结果运</w:t>
      </w:r>
      <w:r>
        <w:rPr>
          <w:spacing w:val="7"/>
        </w:rPr>
        <w:t>用，作为提高教育质量的重要手段，构建符合</w:t>
      </w:r>
      <w:r>
        <w:rPr>
          <w:spacing w:val="7"/>
        </w:rPr>
        <w:t>教育教学规律、发展素质教育为导向的中小学</w:t>
      </w:r>
      <w:r>
        <w:rPr>
          <w:spacing w:val="14"/>
        </w:rPr>
        <w:t>教育质量管理和评价体系</w:t>
      </w:r>
      <w:r>
        <w:rPr>
          <w:rFonts w:ascii="Times New Roman" w:hAnsi="Times New Roman" w:eastAsia="Times New Roman" w:cs="Times New Roman"/>
          <w:spacing w:val="14"/>
        </w:rPr>
        <w:t>,</w:t>
      </w:r>
      <w:r>
        <w:rPr>
          <w:spacing w:val="14"/>
        </w:rPr>
        <w:t>减轻学生过重课业</w:t>
      </w:r>
      <w:r>
        <w:rPr>
          <w:spacing w:val="7"/>
        </w:rPr>
        <w:t>负担。实施高中阶段学校考试招生制度改革，</w:t>
      </w:r>
      <w:r>
        <w:rPr>
          <w:spacing w:val="7"/>
        </w:rPr>
        <w:t>促进学生全面发展。重视校园文化建设，创设</w:t>
      </w:r>
      <w:r>
        <w:rPr>
          <w:spacing w:val="7"/>
        </w:rPr>
        <w:t>格调高雅、富有美感、充满朝气的校园文化环</w:t>
      </w:r>
      <w:r>
        <w:rPr>
          <w:spacing w:val="8"/>
        </w:rPr>
        <w:t>境，以美感人，以景育人。</w:t>
      </w:r>
    </w:p>
    <w:p>
      <w:pPr>
        <w:pStyle w:val="BodyText"/>
        <w:ind w:left="10" w:right="306" w:firstLine="414"/>
        <w:spacing w:before="5" w:line="397" w:lineRule="auto"/>
        <w:jc w:val="both"/>
        <w:rPr/>
      </w:pPr>
      <w:r>
        <w:rPr>
          <w:rFonts w:ascii="KaiTi" w:hAnsi="KaiTi" w:eastAsia="KaiTi" w:cs="KaiTi"/>
          <w:b/>
          <w:bCs/>
          <w:spacing w:val="3"/>
        </w:rPr>
        <w:t>（</w:t>
      </w:r>
      <w:r>
        <w:rPr>
          <w:rFonts w:ascii="KaiTi" w:hAnsi="KaiTi" w:eastAsia="KaiTi" w:cs="KaiTi"/>
          <w:spacing w:val="-34"/>
        </w:rPr>
        <w:t xml:space="preserve"> </w:t>
      </w:r>
      <w:r>
        <w:rPr>
          <w:rFonts w:ascii="KaiTi" w:hAnsi="KaiTi" w:eastAsia="KaiTi" w:cs="KaiTi"/>
          <w:b/>
          <w:bCs/>
          <w:spacing w:val="3"/>
        </w:rPr>
        <w:t>六）促进教育公平发展。</w:t>
      </w:r>
      <w:r>
        <w:rPr>
          <w:spacing w:val="3"/>
        </w:rPr>
        <w:t>按照以流入地</w:t>
      </w:r>
      <w:r>
        <w:rPr>
          <w:spacing w:val="8"/>
        </w:rPr>
        <w:t>为主、以公办学校为主的</w:t>
      </w:r>
      <w:r>
        <w:rPr>
          <w:rFonts w:ascii="Times New Roman" w:hAnsi="Times New Roman" w:eastAsia="Times New Roman" w:cs="Times New Roman"/>
          <w:spacing w:val="8"/>
        </w:rPr>
        <w:t>“</w:t>
      </w:r>
      <w:r>
        <w:rPr>
          <w:spacing w:val="8"/>
        </w:rPr>
        <w:t>两为主</w:t>
      </w:r>
      <w:r>
        <w:rPr>
          <w:rFonts w:ascii="Times New Roman" w:hAnsi="Times New Roman" w:eastAsia="Times New Roman" w:cs="Times New Roman"/>
          <w:spacing w:val="8"/>
        </w:rPr>
        <w:t>”</w:t>
      </w:r>
      <w:r>
        <w:rPr>
          <w:spacing w:val="8"/>
        </w:rPr>
        <w:t>政策，做好</w:t>
      </w:r>
      <w:r>
        <w:rPr>
          <w:spacing w:val="7"/>
        </w:rPr>
        <w:t>进城务工人员随迁子女教育工作，将随迁子女</w:t>
      </w:r>
      <w:r>
        <w:rPr>
          <w:spacing w:val="7"/>
        </w:rPr>
        <w:t>教育纳入城镇发展规划和财政保障范围，确保</w:t>
      </w:r>
      <w:r>
        <w:rPr>
          <w:spacing w:val="7"/>
        </w:rPr>
        <w:t>随迁子女平等接受义务教育，与当地学生享受</w:t>
      </w:r>
      <w:r>
        <w:rPr>
          <w:spacing w:val="7"/>
        </w:rPr>
        <w:t>同等待遇。推动农村留守儿童关爱服务体系建</w:t>
      </w:r>
      <w:r>
        <w:rPr>
          <w:spacing w:val="7"/>
        </w:rPr>
        <w:t>设，建立健全农村留守儿童档案，保证适龄留</w:t>
      </w:r>
      <w:r>
        <w:rPr>
          <w:spacing w:val="7"/>
        </w:rPr>
        <w:t>守儿童按时入学。建立学校校长、教师联系帮</w:t>
      </w:r>
      <w:r>
        <w:rPr>
          <w:spacing w:val="8"/>
        </w:rPr>
        <w:t>扶校内农村留守儿童的机制，加强心理辅导、</w:t>
      </w:r>
      <w:r>
        <w:rPr>
          <w:spacing w:val="18"/>
        </w:rPr>
        <w:t>法治教育和安全教育。实施特殊教育行动计</w:t>
      </w:r>
      <w:r>
        <w:rPr>
          <w:spacing w:val="8"/>
        </w:rPr>
        <w:t>划，办好特殊教育学校，培养特殊教育师资，</w:t>
      </w:r>
      <w:r>
        <w:rPr>
          <w:spacing w:val="8"/>
        </w:rPr>
        <w:t>优先保障残疾儿童少年在普通学校随班就读，</w:t>
      </w:r>
      <w:r>
        <w:rPr>
          <w:spacing w:val="7"/>
        </w:rPr>
        <w:t>通过就读特教学校、送教上门等方式保障适龄</w:t>
      </w:r>
    </w:p>
    <w:p>
      <w:pPr>
        <w:spacing w:line="14" w:lineRule="auto"/>
        <w:rPr>
          <w:rFonts w:ascii="Arial"/>
          <w:sz w:val="2"/>
        </w:rPr>
      </w:pPr>
      <w:r>
        <w:rPr>
          <w:rFonts w:ascii="Arial" w:hAnsi="Arial" w:eastAsia="Arial" w:cs="Arial"/>
          <w:sz w:val="2"/>
          <w:szCs w:val="2"/>
        </w:rPr>
        <w:br w:type="column"/>
      </w:r>
    </w:p>
    <w:p>
      <w:pPr>
        <w:pStyle w:val="BodyText"/>
        <w:ind w:left="1" w:right="64"/>
        <w:spacing w:before="39" w:line="406" w:lineRule="auto"/>
        <w:jc w:val="both"/>
        <w:rPr/>
      </w:pPr>
      <w:r>
        <w:rPr>
          <w:spacing w:val="7"/>
        </w:rPr>
        <w:t>残疾儿童教育全覆盖。建立健全联控联保责任</w:t>
      </w:r>
      <w:r>
        <w:rPr>
          <w:spacing w:val="7"/>
        </w:rPr>
        <w:t>机制、定期专项行动机制、应助尽助机制、依</w:t>
      </w:r>
      <w:r>
        <w:rPr>
          <w:spacing w:val="7"/>
        </w:rPr>
        <w:t>法控辍机制和动态监测机制，坚决不让一个适</w:t>
      </w:r>
      <w:r>
        <w:rPr>
          <w:spacing w:val="8"/>
        </w:rPr>
        <w:t>龄儿童少年失学辍学。</w:t>
      </w:r>
    </w:p>
    <w:p>
      <w:pPr>
        <w:pStyle w:val="BodyText"/>
        <w:ind w:firstLine="413"/>
        <w:spacing w:before="10" w:line="406" w:lineRule="auto"/>
        <w:jc w:val="both"/>
        <w:rPr/>
      </w:pPr>
      <w:r>
        <w:rPr>
          <w:rFonts w:ascii="KaiTi" w:hAnsi="KaiTi" w:eastAsia="KaiTi" w:cs="KaiTi"/>
          <w:b/>
          <w:bCs/>
          <w:spacing w:val="3"/>
        </w:rPr>
        <w:t>（</w:t>
      </w:r>
      <w:r>
        <w:rPr>
          <w:rFonts w:ascii="KaiTi" w:hAnsi="KaiTi" w:eastAsia="KaiTi" w:cs="KaiTi"/>
          <w:spacing w:val="-41"/>
        </w:rPr>
        <w:t xml:space="preserve"> </w:t>
      </w:r>
      <w:r>
        <w:rPr>
          <w:rFonts w:ascii="KaiTi" w:hAnsi="KaiTi" w:eastAsia="KaiTi" w:cs="KaiTi"/>
          <w:b/>
          <w:bCs/>
          <w:spacing w:val="3"/>
        </w:rPr>
        <w:t>七）着力提升校园治理水平。</w:t>
      </w:r>
      <w:r>
        <w:rPr>
          <w:spacing w:val="3"/>
        </w:rPr>
        <w:t>加强学校</w:t>
      </w:r>
      <w:r>
        <w:rPr>
          <w:spacing w:val="7"/>
        </w:rPr>
        <w:t>党组织建设，完善党组织领导制度，落实意识</w:t>
      </w:r>
      <w:r>
        <w:rPr>
          <w:spacing w:val="7"/>
        </w:rPr>
        <w:t>形态工作责任制，坚持不懈开展马克思主义祖</w:t>
      </w:r>
      <w:r>
        <w:rPr>
          <w:spacing w:val="7"/>
        </w:rPr>
        <w:t>国观、民族观、文化观、历史观教育，牢牢掌</w:t>
      </w:r>
      <w:r>
        <w:rPr>
          <w:spacing w:val="18"/>
        </w:rPr>
        <w:t>握学校正确发展方向。坚持教育和宗教相分</w:t>
      </w:r>
      <w:r>
        <w:rPr>
          <w:spacing w:val="7"/>
        </w:rPr>
        <w:t>离，坚决防范抵御宗教向校园渗透。完善学校</w:t>
      </w:r>
      <w:r>
        <w:rPr>
          <w:spacing w:val="7"/>
        </w:rPr>
        <w:t>协同育人机制，构建师生、家长和民众共同参</w:t>
      </w:r>
      <w:r>
        <w:rPr>
          <w:spacing w:val="7"/>
        </w:rPr>
        <w:t>与的学校治理体系。规范招生工作，合理规划</w:t>
      </w:r>
      <w:r>
        <w:rPr>
          <w:spacing w:val="10"/>
        </w:rPr>
        <w:t>学区，公开招生计划、招生条件、招生范围、</w:t>
      </w:r>
      <w:r>
        <w:rPr/>
        <w:t>招生时间，实施阳光均衡分班，均衡配备师资，</w:t>
      </w:r>
      <w:r>
        <w:rPr>
          <w:spacing w:val="18"/>
        </w:rPr>
        <w:t>严禁设置重点校和重点班。突出校园安全管</w:t>
      </w:r>
      <w:r>
        <w:rPr>
          <w:spacing w:val="7"/>
        </w:rPr>
        <w:t>理，完善学校重大突发事件快速反应机制，建</w:t>
      </w:r>
      <w:r>
        <w:rPr>
          <w:spacing w:val="7"/>
        </w:rPr>
        <w:t>立健全学校安全制度及应急预案，强化师生安</w:t>
      </w:r>
      <w:r>
        <w:rPr>
          <w:spacing w:val="-2"/>
        </w:rPr>
        <w:t>全意识，加强人防物防技防建设，完善医教协同</w:t>
      </w:r>
      <w:r>
        <w:rPr>
          <w:spacing w:val="-2"/>
        </w:rPr>
        <w:t>机制，定期开展各种安全演练，依法依规处置校</w:t>
      </w:r>
      <w:r>
        <w:rPr>
          <w:spacing w:val="-1"/>
        </w:rPr>
        <w:t>园欺凌和暴力事件，切实维护师生合法权益。</w:t>
      </w:r>
    </w:p>
    <w:p>
      <w:pPr>
        <w:ind w:left="432"/>
        <w:spacing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三、评估方法</w:t>
      </w:r>
    </w:p>
    <w:p>
      <w:pPr>
        <w:pStyle w:val="BodyText"/>
        <w:ind w:right="64" w:firstLine="423"/>
        <w:spacing w:before="192" w:line="390" w:lineRule="auto"/>
        <w:jc w:val="both"/>
        <w:rPr/>
      </w:pPr>
      <w:r>
        <w:rPr>
          <w:spacing w:val="19"/>
        </w:rPr>
        <w:t>推进义务教育优质均衡发展按照县级自</w:t>
      </w:r>
      <w:r>
        <w:rPr>
          <w:spacing w:val="7"/>
        </w:rPr>
        <w:t>评、地市复核、自治区督导评估、国家审核认</w:t>
      </w:r>
      <w:r>
        <w:rPr>
          <w:spacing w:val="7"/>
        </w:rPr>
        <w:t>定的程序进行，坚持成熟一个、认定一个，保</w:t>
      </w:r>
      <w:r>
        <w:rPr>
          <w:spacing w:val="4"/>
        </w:rPr>
        <w:t>证质量、社会认可。各县（</w:t>
      </w:r>
      <w:r>
        <w:rPr>
          <w:spacing w:val="-34"/>
        </w:rPr>
        <w:t xml:space="preserve"> </w:t>
      </w:r>
      <w:r>
        <w:rPr>
          <w:spacing w:val="4"/>
        </w:rPr>
        <w:t>区）政府要组按照</w:t>
      </w:r>
      <w:r>
        <w:rPr>
          <w:spacing w:val="18"/>
        </w:rPr>
        <w:t>教育部《县域义务教育优质均衡督导评估办</w:t>
      </w:r>
      <w:r>
        <w:rPr>
          <w:spacing w:val="10"/>
        </w:rPr>
        <w:t>法》（教督〔</w:t>
      </w:r>
      <w:r>
        <w:rPr>
          <w:rFonts w:ascii="Times New Roman" w:hAnsi="Times New Roman" w:eastAsia="Times New Roman" w:cs="Times New Roman"/>
          <w:spacing w:val="10"/>
        </w:rPr>
        <w:t>2017</w:t>
      </w:r>
      <w:r>
        <w:rPr>
          <w:rFonts w:ascii="Times New Roman" w:hAnsi="Times New Roman" w:eastAsia="Times New Roman" w:cs="Times New Roman"/>
          <w:spacing w:val="-24"/>
        </w:rPr>
        <w:t xml:space="preserve"> </w:t>
      </w:r>
      <w:r>
        <w:rPr>
          <w:spacing w:val="10"/>
        </w:rPr>
        <w:t>〕</w:t>
      </w:r>
      <w:r>
        <w:rPr>
          <w:rFonts w:ascii="Times New Roman" w:hAnsi="Times New Roman" w:eastAsia="Times New Roman" w:cs="Times New Roman"/>
          <w:spacing w:val="10"/>
        </w:rPr>
        <w:t>6</w:t>
      </w:r>
      <w:r>
        <w:rPr>
          <w:spacing w:val="10"/>
        </w:rPr>
        <w:t>号）和国务院教育督导</w:t>
      </w:r>
      <w:r>
        <w:rPr>
          <w:spacing w:val="7"/>
        </w:rPr>
        <w:t>委员会办公室《县域义务教育优质均衡发展国</w:t>
      </w:r>
      <w:r>
        <w:rPr>
          <w:spacing w:val="7"/>
        </w:rPr>
        <w:t>家督导评估认定工作规程》明确的内容和标准</w:t>
      </w:r>
    </w:p>
    <w:p>
      <w:pPr>
        <w:spacing w:line="390" w:lineRule="auto"/>
        <w:sectPr>
          <w:type w:val="continuous"/>
          <w:pgSz w:w="11906" w:h="16839"/>
          <w:pgMar w:top="1766" w:right="1526" w:bottom="1563" w:left="1579" w:header="1428" w:footer="1172" w:gutter="0"/>
          <w:cols w:equalWidth="0" w:num="2">
            <w:col w:w="4489" w:space="100"/>
            <w:col w:w="4212" w:space="0"/>
          </w:cols>
        </w:sectPr>
        <w:rPr/>
      </w:pPr>
    </w:p>
    <w:p>
      <w:pPr>
        <w:spacing w:before="116"/>
        <w:rPr/>
      </w:pPr>
      <w:r>
        <w:drawing>
          <wp:anchor distT="0" distB="0" distL="0" distR="0" simplePos="0" relativeHeight="252012544" behindDoc="0" locked="0" layoutInCell="0" allowOverlap="1">
            <wp:simplePos x="0" y="0"/>
            <wp:positionH relativeFrom="page">
              <wp:posOffset>1008380</wp:posOffset>
            </wp:positionH>
            <wp:positionV relativeFrom="page">
              <wp:posOffset>1122680</wp:posOffset>
            </wp:positionV>
            <wp:extent cx="5579745" cy="7619"/>
            <wp:effectExtent l="0" t="0" r="0" b="0"/>
            <wp:wrapNone/>
            <wp:docPr id="992" name="IM 992"/>
            <wp:cNvGraphicFramePr/>
            <a:graphic>
              <a:graphicData uri="http://schemas.openxmlformats.org/drawingml/2006/picture">
                <pic:pic>
                  <pic:nvPicPr>
                    <pic:cNvPr id="992" name="IM 992"/>
                    <pic:cNvPicPr/>
                  </pic:nvPicPr>
                  <pic:blipFill>
                    <a:blip r:embed="rId498"/>
                    <a:stretch>
                      <a:fillRect/>
                    </a:stretch>
                  </pic:blipFill>
                  <pic:spPr>
                    <a:xfrm rot="0">
                      <a:off x="0" y="0"/>
                      <a:ext cx="5579745" cy="7619"/>
                    </a:xfrm>
                    <a:prstGeom prst="rect">
                      <a:avLst/>
                    </a:prstGeom>
                  </pic:spPr>
                </pic:pic>
              </a:graphicData>
            </a:graphic>
          </wp:anchor>
        </w:drawing>
      </w:r>
      <w:r/>
    </w:p>
    <w:p>
      <w:pPr>
        <w:sectPr>
          <w:headerReference w:type="default" r:id="rId487"/>
          <w:footerReference w:type="default" r:id="rId497"/>
          <w:pgSz w:w="11906" w:h="16839"/>
          <w:pgMar w:top="1769" w:right="1489" w:bottom="1570" w:left="1588" w:header="1428" w:footer="1172" w:gutter="0"/>
          <w:cols w:equalWidth="0" w:num="1">
            <w:col w:w="8829" w:space="0"/>
          </w:cols>
        </w:sectPr>
        <w:rPr/>
      </w:pPr>
    </w:p>
    <w:p>
      <w:pPr>
        <w:pStyle w:val="BodyText"/>
        <w:ind w:left="1" w:right="329" w:firstLine="2"/>
        <w:spacing w:before="36" w:line="414" w:lineRule="auto"/>
        <w:jc w:val="both"/>
        <w:rPr/>
      </w:pPr>
      <w:r>
        <w:rPr>
          <w:spacing w:val="7"/>
        </w:rPr>
        <w:t>要求，逐校逐项进行自评。自评达到国家标准</w:t>
      </w:r>
      <w:r>
        <w:rPr>
          <w:spacing w:val="7"/>
        </w:rPr>
        <w:t>要求的，按照《宁夏回族自治区县域义务教育</w:t>
      </w:r>
      <w:r>
        <w:rPr>
          <w:spacing w:val="7"/>
        </w:rPr>
        <w:t>优质均衡发展督导评估实施方案》（宁教督导</w:t>
      </w:r>
      <w:r>
        <w:rPr>
          <w:spacing w:val="9"/>
        </w:rPr>
        <w:t>〔</w:t>
      </w:r>
      <w:r>
        <w:rPr>
          <w:rFonts w:ascii="Times New Roman" w:hAnsi="Times New Roman" w:eastAsia="Times New Roman" w:cs="Times New Roman"/>
          <w:spacing w:val="9"/>
        </w:rPr>
        <w:t>2017</w:t>
      </w:r>
      <w:r>
        <w:rPr>
          <w:rFonts w:ascii="Times New Roman" w:hAnsi="Times New Roman" w:eastAsia="Times New Roman" w:cs="Times New Roman"/>
          <w:spacing w:val="-9"/>
        </w:rPr>
        <w:t xml:space="preserve"> </w:t>
      </w:r>
      <w:r>
        <w:rPr>
          <w:spacing w:val="9"/>
        </w:rPr>
        <w:t>〕</w:t>
      </w:r>
      <w:r>
        <w:rPr>
          <w:rFonts w:ascii="Times New Roman" w:hAnsi="Times New Roman" w:eastAsia="Times New Roman" w:cs="Times New Roman"/>
          <w:spacing w:val="9"/>
        </w:rPr>
        <w:t>245</w:t>
      </w:r>
      <w:r>
        <w:rPr>
          <w:spacing w:val="9"/>
        </w:rPr>
        <w:t>号）的规定，填写申报表并向固</w:t>
      </w:r>
      <w:r>
        <w:rPr>
          <w:spacing w:val="7"/>
        </w:rPr>
        <w:t>原市人民政府书面提出复核申请。市人民政府</w:t>
      </w:r>
      <w:r>
        <w:rPr>
          <w:spacing w:val="18"/>
        </w:rPr>
        <w:t>教育督导委员会办公室组织专家进行实地复</w:t>
      </w:r>
      <w:r>
        <w:rPr>
          <w:spacing w:val="7"/>
        </w:rPr>
        <w:t>核。复核结果达到国家规定标准的，向自治区</w:t>
      </w:r>
      <w:r>
        <w:rPr>
          <w:spacing w:val="7"/>
        </w:rPr>
        <w:t>书面提出评估申请。教育厅和自治区人民政府</w:t>
      </w:r>
      <w:r>
        <w:rPr>
          <w:spacing w:val="7"/>
        </w:rPr>
        <w:t>教育督导委员会办公室向社会发布公告，组织</w:t>
      </w:r>
      <w:r>
        <w:rPr>
          <w:spacing w:val="7"/>
        </w:rPr>
        <w:t>专家进行实地督导评估，并将督导评估结果向</w:t>
      </w:r>
      <w:r>
        <w:rPr>
          <w:spacing w:val="7"/>
        </w:rPr>
        <w:t>社会公布，接受社会监督。对通过自治区督导</w:t>
      </w:r>
      <w:r>
        <w:rPr>
          <w:spacing w:val="6"/>
        </w:rPr>
        <w:t>评估的县（市、区</w:t>
      </w:r>
      <w:r>
        <w:rPr>
          <w:spacing w:val="20"/>
        </w:rPr>
        <w:t>），</w:t>
      </w:r>
      <w:r>
        <w:rPr>
          <w:spacing w:val="6"/>
        </w:rPr>
        <w:t>由自治区报送教育部审</w:t>
      </w:r>
      <w:r>
        <w:rPr>
          <w:spacing w:val="7"/>
        </w:rPr>
        <w:t>核认定。</w:t>
      </w:r>
    </w:p>
    <w:p>
      <w:pPr>
        <w:ind w:left="445"/>
        <w:spacing w:before="29" w:line="18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四、保障措施</w:t>
      </w:r>
    </w:p>
    <w:p>
      <w:pPr>
        <w:pStyle w:val="BodyText"/>
        <w:ind w:left="4" w:right="306" w:firstLine="412"/>
        <w:spacing w:before="186" w:line="399" w:lineRule="auto"/>
        <w:rPr/>
      </w:pPr>
      <w:r>
        <w:rPr>
          <w:rFonts w:ascii="KaiTi" w:hAnsi="KaiTi" w:eastAsia="KaiTi" w:cs="KaiTi"/>
          <w:b/>
          <w:bCs/>
          <w:spacing w:val="3"/>
        </w:rPr>
        <w:t>（一）强化责任保障。</w:t>
      </w:r>
      <w:r>
        <w:rPr>
          <w:spacing w:val="3"/>
        </w:rPr>
        <w:t>各县（</w:t>
      </w:r>
      <w:r>
        <w:rPr>
          <w:spacing w:val="-35"/>
        </w:rPr>
        <w:t xml:space="preserve"> </w:t>
      </w:r>
      <w:r>
        <w:rPr>
          <w:spacing w:val="3"/>
        </w:rPr>
        <w:t>区）人民政</w:t>
      </w:r>
      <w:r>
        <w:rPr>
          <w:spacing w:val="7"/>
        </w:rPr>
        <w:t>府要依法落实政府主体责任，把推进义务教育</w:t>
      </w:r>
      <w:r>
        <w:rPr>
          <w:spacing w:val="18"/>
        </w:rPr>
        <w:t>优质均衡发展作为履行公共教育职能的首要</w:t>
      </w:r>
      <w:r>
        <w:rPr>
          <w:spacing w:val="8"/>
        </w:rPr>
        <w:t>任务，作为</w:t>
      </w:r>
      <w:r>
        <w:rPr>
          <w:rFonts w:ascii="Times New Roman" w:hAnsi="Times New Roman" w:eastAsia="Times New Roman" w:cs="Times New Roman"/>
          <w:spacing w:val="8"/>
        </w:rPr>
        <w:t>“</w:t>
      </w:r>
      <w:r>
        <w:rPr>
          <w:spacing w:val="8"/>
        </w:rPr>
        <w:t>十四五</w:t>
      </w:r>
      <w:r>
        <w:rPr>
          <w:rFonts w:ascii="Times New Roman" w:hAnsi="Times New Roman" w:eastAsia="Times New Roman" w:cs="Times New Roman"/>
          <w:spacing w:val="8"/>
        </w:rPr>
        <w:t>”</w:t>
      </w:r>
      <w:r>
        <w:rPr>
          <w:spacing w:val="8"/>
        </w:rPr>
        <w:t>期间教育发展的重点，纳</w:t>
      </w:r>
      <w:r>
        <w:rPr>
          <w:spacing w:val="7"/>
        </w:rPr>
        <w:t>入政府重要议事日程，纳入当地经济社会发展</w:t>
      </w:r>
      <w:r>
        <w:rPr>
          <w:spacing w:val="7"/>
        </w:rPr>
        <w:t>总体规划，始终保持重视程度不减、经费投入</w:t>
      </w:r>
      <w:r>
        <w:rPr>
          <w:spacing w:val="7"/>
        </w:rPr>
        <w:t>不减、工作力度不减。健全完善党政领导为组</w:t>
      </w:r>
      <w:r>
        <w:rPr>
          <w:spacing w:val="8"/>
        </w:rPr>
        <w:t>长、相关部门负责人为成员的领导工作机制，</w:t>
      </w:r>
      <w:r>
        <w:rPr>
          <w:spacing w:val="8"/>
        </w:rPr>
        <w:t>明确编办、发改、教育、财政、人社、公安、</w:t>
      </w:r>
      <w:r>
        <w:rPr>
          <w:spacing w:val="7"/>
        </w:rPr>
        <w:t>市场监管等部门相应责任，定期研究义务教育</w:t>
      </w:r>
      <w:r>
        <w:rPr>
          <w:spacing w:val="8"/>
        </w:rPr>
        <w:t>优质均衡发展工作，及时协调解决突出问题，</w:t>
      </w:r>
      <w:r>
        <w:rPr>
          <w:spacing w:val="8"/>
        </w:rPr>
        <w:t>协力推进义务教育优质均衡发展。</w:t>
      </w:r>
    </w:p>
    <w:p>
      <w:pPr>
        <w:pStyle w:val="BodyText"/>
        <w:ind w:left="5" w:right="322" w:firstLine="410"/>
        <w:spacing w:before="210" w:line="340" w:lineRule="auto"/>
        <w:rPr/>
      </w:pPr>
      <w:r>
        <w:rPr>
          <w:rFonts w:ascii="KaiTi" w:hAnsi="KaiTi" w:eastAsia="KaiTi" w:cs="KaiTi"/>
          <w:b/>
          <w:bCs/>
          <w:spacing w:val="4"/>
        </w:rPr>
        <w:t>（</w:t>
      </w:r>
      <w:r>
        <w:rPr>
          <w:rFonts w:ascii="KaiTi" w:hAnsi="KaiTi" w:eastAsia="KaiTi" w:cs="KaiTi"/>
          <w:spacing w:val="-53"/>
        </w:rPr>
        <w:t xml:space="preserve"> </w:t>
      </w:r>
      <w:r>
        <w:rPr>
          <w:rFonts w:ascii="KaiTi" w:hAnsi="KaiTi" w:eastAsia="KaiTi" w:cs="KaiTi"/>
          <w:b/>
          <w:bCs/>
          <w:spacing w:val="4"/>
        </w:rPr>
        <w:t>二）强化经费保障。</w:t>
      </w:r>
      <w:r>
        <w:rPr>
          <w:spacing w:val="4"/>
        </w:rPr>
        <w:t>要始终坚持把义务</w:t>
      </w:r>
      <w:r>
        <w:rPr>
          <w:spacing w:val="7"/>
        </w:rPr>
        <w:t>教育作为教育投入的重中之重，严格落实义务</w:t>
      </w:r>
      <w:r>
        <w:rPr>
          <w:spacing w:val="8"/>
        </w:rPr>
        <w:t>教育经费</w:t>
      </w:r>
      <w:r>
        <w:rPr>
          <w:rFonts w:ascii="Times New Roman" w:hAnsi="Times New Roman" w:eastAsia="Times New Roman" w:cs="Times New Roman"/>
          <w:spacing w:val="8"/>
        </w:rPr>
        <w:t>“</w:t>
      </w:r>
      <w:r>
        <w:rPr>
          <w:spacing w:val="8"/>
        </w:rPr>
        <w:t>两个只增不减</w:t>
      </w:r>
      <w:r>
        <w:rPr>
          <w:rFonts w:ascii="Times New Roman" w:hAnsi="Times New Roman" w:eastAsia="Times New Roman" w:cs="Times New Roman"/>
          <w:spacing w:val="8"/>
        </w:rPr>
        <w:t>”</w:t>
      </w:r>
      <w:r>
        <w:rPr>
          <w:spacing w:val="8"/>
        </w:rPr>
        <w:t>要求。进一步优化财</w:t>
      </w:r>
    </w:p>
    <w:p>
      <w:pPr>
        <w:spacing w:line="14" w:lineRule="auto"/>
        <w:rPr>
          <w:rFonts w:ascii="Arial"/>
          <w:sz w:val="2"/>
        </w:rPr>
      </w:pPr>
      <w:r>
        <w:rPr>
          <w:rFonts w:ascii="Arial" w:hAnsi="Arial" w:eastAsia="Arial" w:cs="Arial"/>
          <w:sz w:val="2"/>
          <w:szCs w:val="2"/>
        </w:rPr>
        <w:br w:type="column"/>
      </w:r>
    </w:p>
    <w:p>
      <w:pPr>
        <w:pStyle w:val="BodyText"/>
        <w:ind w:right="94" w:firstLine="1"/>
        <w:spacing w:before="39" w:line="415" w:lineRule="auto"/>
        <w:jc w:val="both"/>
        <w:rPr/>
      </w:pPr>
      <w:r>
        <w:rPr>
          <w:spacing w:val="8"/>
        </w:rPr>
        <w:t>政支出结构</w:t>
      </w:r>
      <w:r>
        <w:rPr>
          <w:spacing w:val="-41"/>
        </w:rPr>
        <w:t xml:space="preserve"> </w:t>
      </w:r>
      <w:r>
        <w:rPr>
          <w:spacing w:val="8"/>
        </w:rPr>
        <w:t>，有力保障</w:t>
      </w:r>
      <w:r>
        <w:rPr>
          <w:rFonts w:ascii="Times New Roman" w:hAnsi="Times New Roman" w:eastAsia="Times New Roman" w:cs="Times New Roman"/>
          <w:spacing w:val="8"/>
        </w:rPr>
        <w:t>“</w:t>
      </w:r>
      <w:r>
        <w:rPr>
          <w:spacing w:val="8"/>
        </w:rPr>
        <w:t>互联网</w:t>
      </w:r>
      <w:r>
        <w:rPr>
          <w:rFonts w:ascii="Times New Roman" w:hAnsi="Times New Roman" w:eastAsia="Times New Roman" w:cs="Times New Roman"/>
          <w:spacing w:val="8"/>
        </w:rPr>
        <w:t>+</w:t>
      </w:r>
      <w:r>
        <w:rPr>
          <w:spacing w:val="8"/>
        </w:rPr>
        <w:t>教育</w:t>
      </w:r>
      <w:r>
        <w:rPr>
          <w:rFonts w:ascii="Times New Roman" w:hAnsi="Times New Roman" w:eastAsia="Times New Roman" w:cs="Times New Roman"/>
          <w:spacing w:val="8"/>
        </w:rPr>
        <w:t>”</w:t>
      </w:r>
      <w:r>
        <w:rPr>
          <w:rFonts w:ascii="Times New Roman" w:hAnsi="Times New Roman" w:eastAsia="Times New Roman" w:cs="Times New Roman"/>
          <w:spacing w:val="-21"/>
        </w:rPr>
        <w:t xml:space="preserve"> </w:t>
      </w:r>
      <w:r>
        <w:rPr>
          <w:spacing w:val="8"/>
        </w:rPr>
        <w:t>、教育</w:t>
      </w:r>
      <w:r>
        <w:rPr>
          <w:spacing w:val="7"/>
        </w:rPr>
        <w:t>集团化办学、教师交流、质量监测、政府购买</w:t>
      </w:r>
      <w:r>
        <w:rPr>
          <w:spacing w:val="7"/>
        </w:rPr>
        <w:t>服务等工作需要。建立义务教育有保障长效机</w:t>
      </w:r>
      <w:r>
        <w:rPr>
          <w:spacing w:val="7"/>
        </w:rPr>
        <w:t>制，经费投入向乡镇寄宿制学校、乡村小规模</w:t>
      </w:r>
      <w:r>
        <w:rPr>
          <w:spacing w:val="7"/>
        </w:rPr>
        <w:t>学校和薄弱学校倾斜。加强资金的监督管理，</w:t>
      </w:r>
      <w:r>
        <w:rPr>
          <w:spacing w:val="8"/>
        </w:rPr>
        <w:t>确保资金规范有效使用。</w:t>
      </w:r>
    </w:p>
    <w:p>
      <w:pPr>
        <w:pStyle w:val="BodyText"/>
        <w:ind w:right="81" w:firstLine="413"/>
        <w:spacing w:before="5" w:line="399" w:lineRule="auto"/>
        <w:rPr/>
      </w:pPr>
      <w:r>
        <w:rPr>
          <w:rFonts w:ascii="KaiTi" w:hAnsi="KaiTi" w:eastAsia="KaiTi" w:cs="KaiTi"/>
          <w:b/>
          <w:bCs/>
          <w:spacing w:val="3"/>
        </w:rPr>
        <w:t>（</w:t>
      </w:r>
      <w:r>
        <w:rPr>
          <w:rFonts w:ascii="KaiTi" w:hAnsi="KaiTi" w:eastAsia="KaiTi" w:cs="KaiTi"/>
          <w:spacing w:val="-34"/>
        </w:rPr>
        <w:t xml:space="preserve"> </w:t>
      </w:r>
      <w:r>
        <w:rPr>
          <w:rFonts w:ascii="KaiTi" w:hAnsi="KaiTi" w:eastAsia="KaiTi" w:cs="KaiTi"/>
          <w:b/>
          <w:bCs/>
          <w:spacing w:val="3"/>
        </w:rPr>
        <w:t>三）强化监督激励机制。</w:t>
      </w:r>
      <w:r>
        <w:rPr>
          <w:spacing w:val="3"/>
        </w:rPr>
        <w:t>建立义务教育</w:t>
      </w:r>
      <w:r>
        <w:rPr>
          <w:spacing w:val="7"/>
        </w:rPr>
        <w:t>优质均衡发展监督激励机制，将推进义务教育</w:t>
      </w:r>
      <w:r>
        <w:rPr>
          <w:spacing w:val="7"/>
        </w:rPr>
        <w:t>优质均衡发展纳入绩效考核内容，市、县教育</w:t>
      </w:r>
      <w:r>
        <w:rPr>
          <w:spacing w:val="18"/>
        </w:rPr>
        <w:t>督导机构开展义务教育优质均衡发展专项督</w:t>
      </w:r>
      <w:r>
        <w:rPr>
          <w:spacing w:val="8"/>
        </w:rPr>
        <w:t>导检查，加强常态化监测，强化过程性督导，</w:t>
      </w:r>
      <w:r>
        <w:rPr>
          <w:spacing w:val="8"/>
        </w:rPr>
        <w:t>及时通报工作中存在的问题，督促抓好整改。</w:t>
      </w:r>
      <w:r>
        <w:rPr>
          <w:spacing w:val="7"/>
        </w:rPr>
        <w:t>对因工作落实不到位、造成不良社会影响的部</w:t>
      </w:r>
      <w:r>
        <w:rPr>
          <w:spacing w:val="7"/>
        </w:rPr>
        <w:t>门和有关责任人要严肃问责，对工作中涉嫌违</w:t>
      </w:r>
      <w:r>
        <w:rPr>
          <w:spacing w:val="7"/>
        </w:rPr>
        <w:t>法违纪的有关责任人要依法依规严肃处理。对</w:t>
      </w:r>
      <w:r>
        <w:rPr>
          <w:spacing w:val="7"/>
        </w:rPr>
        <w:t>工作进展快、推进效果好，经国家审核认定并</w:t>
      </w:r>
      <w:r>
        <w:rPr>
          <w:spacing w:val="8"/>
        </w:rPr>
        <w:t>获</w:t>
      </w:r>
      <w:r>
        <w:rPr>
          <w:rFonts w:ascii="Times New Roman" w:hAnsi="Times New Roman" w:eastAsia="Times New Roman" w:cs="Times New Roman"/>
          <w:spacing w:val="8"/>
        </w:rPr>
        <w:t>“</w:t>
      </w:r>
      <w:r>
        <w:rPr>
          <w:spacing w:val="8"/>
        </w:rPr>
        <w:t>义务教育优质均衡发展县</w:t>
      </w:r>
      <w:r>
        <w:rPr>
          <w:rFonts w:ascii="Times New Roman" w:hAnsi="Times New Roman" w:eastAsia="Times New Roman" w:cs="Times New Roman"/>
          <w:spacing w:val="8"/>
        </w:rPr>
        <w:t>”</w:t>
      </w:r>
      <w:r>
        <w:rPr>
          <w:spacing w:val="8"/>
        </w:rPr>
        <w:t>称号的，固原市</w:t>
      </w:r>
      <w:r>
        <w:rPr>
          <w:spacing w:val="8"/>
        </w:rPr>
        <w:t>将给予适当奖励。</w:t>
      </w:r>
    </w:p>
    <w:p>
      <w:pPr>
        <w:pStyle w:val="BodyText"/>
        <w:ind w:right="94" w:firstLine="412"/>
        <w:spacing w:before="210" w:line="396" w:lineRule="auto"/>
        <w:rPr/>
      </w:pPr>
      <w:r>
        <w:rPr>
          <w:rFonts w:ascii="KaiTi" w:hAnsi="KaiTi" w:eastAsia="KaiTi" w:cs="KaiTi"/>
          <w:b/>
          <w:bCs/>
          <w:spacing w:val="3"/>
        </w:rPr>
        <w:t>（</w:t>
      </w:r>
      <w:r>
        <w:rPr>
          <w:rFonts w:ascii="KaiTi" w:hAnsi="KaiTi" w:eastAsia="KaiTi" w:cs="KaiTi"/>
          <w:spacing w:val="-35"/>
        </w:rPr>
        <w:t xml:space="preserve"> </w:t>
      </w:r>
      <w:r>
        <w:rPr>
          <w:rFonts w:ascii="KaiTi" w:hAnsi="KaiTi" w:eastAsia="KaiTi" w:cs="KaiTi"/>
          <w:b/>
          <w:bCs/>
          <w:spacing w:val="3"/>
        </w:rPr>
        <w:t>四）营造良好环境。</w:t>
      </w:r>
      <w:r>
        <w:rPr>
          <w:spacing w:val="3"/>
        </w:rPr>
        <w:t>加大对义务教育优</w:t>
      </w:r>
      <w:r>
        <w:rPr>
          <w:spacing w:val="7"/>
        </w:rPr>
        <w:t>质均衡发展工作的综合宣传和政策解读力度，</w:t>
      </w:r>
      <w:r>
        <w:rPr>
          <w:spacing w:val="7"/>
        </w:rPr>
        <w:t>引导学校、家庭树立科学的教育观、育人观和</w:t>
      </w:r>
      <w:r>
        <w:rPr>
          <w:spacing w:val="7"/>
        </w:rPr>
        <w:t>成才观，在全社会形成关心支持义务教育工作</w:t>
      </w:r>
      <w:r>
        <w:rPr>
          <w:spacing w:val="7"/>
        </w:rPr>
        <w:t>的良好氛围。举办义务教育优质均衡发展专题</w:t>
      </w:r>
      <w:r>
        <w:rPr>
          <w:spacing w:val="7"/>
        </w:rPr>
        <w:t>培训班，切实提高广大教育工作者的政策理解</w:t>
      </w:r>
      <w:r>
        <w:rPr>
          <w:spacing w:val="7"/>
        </w:rPr>
        <w:t>水平和工作推进能力。认真总结成功经验和典</w:t>
      </w:r>
      <w:r>
        <w:rPr>
          <w:spacing w:val="7"/>
        </w:rPr>
        <w:t>型做法，引导更多教育工作者积极投身到教育</w:t>
      </w:r>
      <w:r>
        <w:rPr>
          <w:spacing w:val="7"/>
        </w:rPr>
        <w:t>优质均衡发展的实践中来，凝聚推进义务教育</w:t>
      </w:r>
      <w:r>
        <w:rPr>
          <w:spacing w:val="8"/>
        </w:rPr>
        <w:t>优质均衡发展的强大合力。</w:t>
      </w:r>
    </w:p>
    <w:p>
      <w:pPr>
        <w:spacing w:line="396" w:lineRule="auto"/>
        <w:sectPr>
          <w:type w:val="continuous"/>
          <w:pgSz w:w="11906" w:h="16839"/>
          <w:pgMar w:top="1769" w:right="1489" w:bottom="1570" w:left="1588" w:header="1428" w:footer="1172" w:gutter="0"/>
          <w:cols w:equalWidth="0" w:num="2">
            <w:col w:w="4481" w:space="100"/>
            <w:col w:w="4249" w:space="0"/>
          </w:cols>
        </w:sectPr>
        <w:rPr/>
      </w:pPr>
    </w:p>
    <w:p>
      <w:pPr>
        <w:spacing w:line="310" w:lineRule="auto"/>
        <w:rPr>
          <w:rFonts w:ascii="Arial"/>
          <w:sz w:val="21"/>
        </w:rPr>
      </w:pPr>
      <w:r>
        <w:drawing>
          <wp:anchor distT="0" distB="0" distL="0" distR="0" simplePos="0" relativeHeight="252014592" behindDoc="0" locked="0" layoutInCell="1" allowOverlap="1">
            <wp:simplePos x="0" y="0"/>
            <wp:positionH relativeFrom="column">
              <wp:posOffset>5393</wp:posOffset>
            </wp:positionH>
            <wp:positionV relativeFrom="paragraph">
              <wp:posOffset>26072</wp:posOffset>
            </wp:positionV>
            <wp:extent cx="5579745" cy="7620"/>
            <wp:effectExtent l="0" t="0" r="0" b="0"/>
            <wp:wrapNone/>
            <wp:docPr id="998" name="IM 998"/>
            <wp:cNvGraphicFramePr/>
            <a:graphic>
              <a:graphicData uri="http://schemas.openxmlformats.org/drawingml/2006/picture">
                <pic:pic>
                  <pic:nvPicPr>
                    <pic:cNvPr id="998" name="IM 998"/>
                    <pic:cNvPicPr/>
                  </pic:nvPicPr>
                  <pic:blipFill>
                    <a:blip r:embed="rId501"/>
                    <a:stretch>
                      <a:fillRect/>
                    </a:stretch>
                  </pic:blipFill>
                  <pic:spPr>
                    <a:xfrm rot="0">
                      <a:off x="0" y="0"/>
                      <a:ext cx="5579745" cy="7620"/>
                    </a:xfrm>
                    <a:prstGeom prst="rect">
                      <a:avLst/>
                    </a:prstGeom>
                  </pic:spPr>
                </pic:pic>
              </a:graphicData>
            </a:graphic>
          </wp:anchor>
        </w:drawing>
      </w:r>
      <w:r/>
    </w:p>
    <w:p>
      <w:pPr>
        <w:spacing w:line="311" w:lineRule="auto"/>
        <w:rPr>
          <w:rFonts w:ascii="Arial"/>
          <w:sz w:val="21"/>
        </w:rPr>
      </w:pPr>
      <w:r/>
    </w:p>
    <w:p>
      <w:pPr>
        <w:spacing w:line="311" w:lineRule="auto"/>
        <w:rPr>
          <w:rFonts w:ascii="Arial"/>
          <w:sz w:val="21"/>
        </w:rPr>
      </w:pPr>
      <w:r/>
    </w:p>
    <w:p>
      <w:pPr>
        <w:ind w:left="2203"/>
        <w:spacing w:before="185" w:line="186"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6"/>
        </w:rPr>
        <w:t>固原市人民政府办公室</w:t>
      </w:r>
    </w:p>
    <w:p>
      <w:pPr>
        <w:ind w:left="417"/>
        <w:spacing w:before="6" w:line="195"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9"/>
        </w:rPr>
        <w:t>关于聘用固原市人民政府法律咨询委员会</w:t>
      </w:r>
    </w:p>
    <w:p>
      <w:pPr>
        <w:ind w:left="1742"/>
        <w:spacing w:line="215"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9"/>
        </w:rPr>
        <w:t>组成人员和法律顾问的通知</w:t>
      </w:r>
    </w:p>
    <w:p>
      <w:pPr>
        <w:pStyle w:val="BodyText"/>
        <w:ind w:left="6716"/>
        <w:spacing w:before="295" w:line="278" w:lineRule="exact"/>
        <w:rPr/>
      </w:pPr>
      <w:r>
        <w:rPr>
          <w:spacing w:val="3"/>
          <w:position w:val="1"/>
        </w:rPr>
        <w:t>固政办发〔</w:t>
      </w:r>
      <w:r>
        <w:rPr>
          <w:rFonts w:ascii="Times New Roman" w:hAnsi="Times New Roman" w:eastAsia="Times New Roman" w:cs="Times New Roman"/>
          <w:spacing w:val="3"/>
          <w:position w:val="1"/>
        </w:rPr>
        <w:t>2021</w:t>
      </w:r>
      <w:r>
        <w:rPr>
          <w:rFonts w:ascii="Times New Roman" w:hAnsi="Times New Roman" w:eastAsia="Times New Roman" w:cs="Times New Roman"/>
          <w:spacing w:val="-18"/>
          <w:position w:val="1"/>
        </w:rPr>
        <w:t xml:space="preserve"> </w:t>
      </w:r>
      <w:r>
        <w:rPr>
          <w:spacing w:val="3"/>
          <w:position w:val="1"/>
        </w:rPr>
        <w:t>〕</w:t>
      </w:r>
      <w:r>
        <w:rPr>
          <w:rFonts w:ascii="Times New Roman" w:hAnsi="Times New Roman" w:eastAsia="Times New Roman" w:cs="Times New Roman"/>
          <w:spacing w:val="3"/>
          <w:position w:val="1"/>
        </w:rPr>
        <w:t>6 </w:t>
      </w:r>
      <w:r>
        <w:rPr>
          <w:spacing w:val="3"/>
          <w:position w:val="1"/>
        </w:rPr>
        <w:t>号</w:t>
      </w:r>
    </w:p>
    <w:p>
      <w:pPr>
        <w:spacing w:before="140"/>
        <w:rPr/>
      </w:pPr>
      <w:r/>
    </w:p>
    <w:p>
      <w:pPr>
        <w:sectPr>
          <w:headerReference w:type="default" r:id="rId499"/>
          <w:footerReference w:type="default" r:id="rId500"/>
          <w:pgSz w:w="11906" w:h="16839"/>
          <w:pgMar w:top="1766" w:right="1530" w:bottom="1563" w:left="1579" w:header="1428" w:footer="1172" w:gutter="0"/>
          <w:cols w:equalWidth="0" w:num="1">
            <w:col w:w="8796" w:space="0"/>
          </w:cols>
        </w:sectPr>
        <w:rPr/>
      </w:pPr>
    </w:p>
    <w:p>
      <w:pPr>
        <w:pStyle w:val="BodyText"/>
        <w:ind w:left="14" w:right="330" w:hanging="1"/>
        <w:spacing w:before="48" w:line="378" w:lineRule="auto"/>
        <w:rPr/>
      </w:pPr>
      <w:r>
        <w:rPr>
          <w:spacing w:val="4"/>
        </w:rPr>
        <w:t>各县（</w:t>
      </w:r>
      <w:r>
        <w:rPr>
          <w:spacing w:val="-36"/>
        </w:rPr>
        <w:t xml:space="preserve"> </w:t>
      </w:r>
      <w:r>
        <w:rPr>
          <w:spacing w:val="4"/>
        </w:rPr>
        <w:t>区）人民政府，市政府各部门、派出机</w:t>
      </w:r>
      <w:r>
        <w:rPr>
          <w:spacing w:val="7"/>
        </w:rPr>
        <w:t>构、事业单位：</w:t>
      </w:r>
    </w:p>
    <w:p>
      <w:pPr>
        <w:pStyle w:val="BodyText"/>
        <w:ind w:left="10" w:right="330" w:firstLine="428"/>
        <w:spacing w:before="2" w:line="380" w:lineRule="auto"/>
        <w:jc w:val="both"/>
        <w:rPr/>
      </w:pPr>
      <w:r>
        <w:rPr>
          <w:spacing w:val="16"/>
        </w:rPr>
        <w:t>为全面推进依法行政</w:t>
      </w:r>
      <w:r>
        <w:rPr>
          <w:spacing w:val="-54"/>
        </w:rPr>
        <w:t xml:space="preserve"> </w:t>
      </w:r>
      <w:r>
        <w:rPr>
          <w:spacing w:val="16"/>
        </w:rPr>
        <w:t>，加快法治政府建</w:t>
      </w:r>
      <w:r>
        <w:rPr>
          <w:spacing w:val="7"/>
        </w:rPr>
        <w:t>设，经市人民政府研究决定，聘用下列人员为</w:t>
      </w:r>
      <w:r>
        <w:rPr>
          <w:spacing w:val="18"/>
        </w:rPr>
        <w:t>市人民政府法律咨询委员会组成人员和法律</w:t>
      </w:r>
      <w:r>
        <w:rPr>
          <w:spacing w:val="8"/>
        </w:rPr>
        <w:t>顾问。现通知如下：</w:t>
      </w:r>
    </w:p>
    <w:p>
      <w:pPr>
        <w:ind w:left="440" w:right="330" w:firstLine="1"/>
        <w:spacing w:before="1" w:line="325" w:lineRule="auto"/>
        <w:rPr>
          <w:rFonts w:ascii="KaiTi" w:hAnsi="KaiTi" w:eastAsia="KaiTi" w:cs="KaiTi"/>
          <w:sz w:val="20"/>
          <w:szCs w:val="20"/>
        </w:rPr>
      </w:pPr>
      <w:r>
        <w:rPr>
          <w:rFonts w:ascii="Microsoft YaHei" w:hAnsi="Microsoft YaHei" w:eastAsia="Microsoft YaHei" w:cs="Microsoft YaHei"/>
          <w:sz w:val="20"/>
          <w:szCs w:val="20"/>
          <w:spacing w:val="6"/>
        </w:rPr>
        <w:t>一、市人民政府法律咨询委员会组成人员</w:t>
      </w:r>
      <w:r>
        <w:rPr>
          <w:rFonts w:ascii="KaiTi" w:hAnsi="KaiTi" w:eastAsia="KaiTi" w:cs="KaiTi"/>
          <w:sz w:val="20"/>
          <w:szCs w:val="20"/>
        </w:rPr>
        <w:t>主</w:t>
      </w:r>
      <w:r>
        <w:rPr>
          <w:rFonts w:ascii="KaiTi" w:hAnsi="KaiTi" w:eastAsia="KaiTi" w:cs="KaiTi"/>
          <w:sz w:val="20"/>
          <w:szCs w:val="20"/>
          <w:spacing w:val="8"/>
        </w:rPr>
        <w:t xml:space="preserve">  </w:t>
      </w:r>
      <w:r>
        <w:rPr>
          <w:rFonts w:ascii="KaiTi" w:hAnsi="KaiTi" w:eastAsia="KaiTi" w:cs="KaiTi"/>
          <w:sz w:val="20"/>
          <w:szCs w:val="20"/>
        </w:rPr>
        <w:t>任：</w:t>
      </w:r>
    </w:p>
    <w:p>
      <w:pPr>
        <w:pStyle w:val="BodyText"/>
        <w:ind w:left="432"/>
        <w:spacing w:before="1" w:line="217" w:lineRule="auto"/>
        <w:rPr/>
      </w:pPr>
      <w:r>
        <w:rPr>
          <w:spacing w:val="8"/>
        </w:rPr>
        <w:t>李志坚  市司法局局长</w:t>
      </w:r>
    </w:p>
    <w:p>
      <w:pPr>
        <w:ind w:left="447"/>
        <w:spacing w:before="169" w:line="272" w:lineRule="exact"/>
        <w:rPr>
          <w:rFonts w:ascii="KaiTi" w:hAnsi="KaiTi" w:eastAsia="KaiTi" w:cs="KaiTi"/>
          <w:sz w:val="20"/>
          <w:szCs w:val="20"/>
        </w:rPr>
      </w:pPr>
      <w:r>
        <w:rPr>
          <w:rFonts w:ascii="KaiTi" w:hAnsi="KaiTi" w:eastAsia="KaiTi" w:cs="KaiTi"/>
          <w:sz w:val="20"/>
          <w:szCs w:val="20"/>
          <w:spacing w:val="2"/>
          <w:position w:val="1"/>
        </w:rPr>
        <w:t>副主任：</w:t>
      </w:r>
    </w:p>
    <w:p>
      <w:pPr>
        <w:pStyle w:val="BodyText"/>
        <w:ind w:left="437"/>
        <w:spacing w:before="143" w:line="218" w:lineRule="auto"/>
        <w:rPr/>
      </w:pPr>
      <w:r>
        <w:rPr>
          <w:spacing w:val="8"/>
        </w:rPr>
        <w:t>王勇强  市司法局副局长</w:t>
      </w:r>
    </w:p>
    <w:p>
      <w:pPr>
        <w:ind w:left="433"/>
        <w:spacing w:before="167" w:line="264" w:lineRule="exact"/>
        <w:rPr>
          <w:rFonts w:ascii="KaiTi" w:hAnsi="KaiTi" w:eastAsia="KaiTi" w:cs="KaiTi"/>
          <w:sz w:val="20"/>
          <w:szCs w:val="20"/>
        </w:rPr>
      </w:pPr>
      <w:r>
        <w:rPr>
          <w:rFonts w:ascii="KaiTi" w:hAnsi="KaiTi" w:eastAsia="KaiTi" w:cs="KaiTi"/>
          <w:sz w:val="20"/>
          <w:szCs w:val="20"/>
          <w:spacing w:val="-5"/>
          <w:position w:val="1"/>
        </w:rPr>
        <w:t>委</w:t>
      </w:r>
      <w:r>
        <w:rPr>
          <w:rFonts w:ascii="KaiTi" w:hAnsi="KaiTi" w:eastAsia="KaiTi" w:cs="KaiTi"/>
          <w:sz w:val="20"/>
          <w:szCs w:val="20"/>
          <w:spacing w:val="19"/>
          <w:position w:val="1"/>
        </w:rPr>
        <w:t xml:space="preserve">  </w:t>
      </w:r>
      <w:r>
        <w:rPr>
          <w:rFonts w:ascii="KaiTi" w:hAnsi="KaiTi" w:eastAsia="KaiTi" w:cs="KaiTi"/>
          <w:sz w:val="20"/>
          <w:szCs w:val="20"/>
          <w:spacing w:val="-5"/>
          <w:position w:val="1"/>
        </w:rPr>
        <w:t>员：</w:t>
      </w:r>
    </w:p>
    <w:p>
      <w:pPr>
        <w:pStyle w:val="BodyText"/>
        <w:ind w:left="444" w:right="319" w:hanging="11"/>
        <w:spacing w:before="152" w:line="378" w:lineRule="auto"/>
        <w:rPr/>
      </w:pPr>
      <w:r>
        <w:rPr>
          <w:spacing w:val="-4"/>
        </w:rPr>
        <w:t>杨小勤  宁夏师范学院政法学院教授、律师</w:t>
      </w:r>
      <w:r>
        <w:rPr>
          <w:spacing w:val="-4"/>
        </w:rPr>
        <w:t>陈昌举  宁夏师范学院政法学院教授、律师</w:t>
      </w:r>
      <w:r>
        <w:rPr>
          <w:spacing w:val="-20"/>
          <w:w w:val="93"/>
        </w:rPr>
        <w:t>邱双成</w:t>
      </w:r>
      <w:r>
        <w:rPr>
          <w:spacing w:val="18"/>
        </w:rPr>
        <w:t xml:space="preserve">  </w:t>
      </w:r>
      <w:r>
        <w:rPr>
          <w:spacing w:val="-20"/>
          <w:w w:val="93"/>
        </w:rPr>
        <w:t>宁夏师范学院马克思主义学院教授、律师</w:t>
      </w:r>
      <w:r>
        <w:rPr>
          <w:spacing w:val="-4"/>
        </w:rPr>
        <w:t>薛晓蕙  宁夏师范学院文学院副教授、律师</w:t>
      </w:r>
      <w:r>
        <w:rPr>
          <w:spacing w:val="7"/>
        </w:rPr>
        <w:t>李林峰</w:t>
      </w:r>
      <w:r>
        <w:rPr>
          <w:spacing w:val="20"/>
        </w:rPr>
        <w:t xml:space="preserve">  </w:t>
      </w:r>
      <w:r>
        <w:rPr>
          <w:spacing w:val="7"/>
        </w:rPr>
        <w:t>固原市律师协会会长</w:t>
      </w:r>
    </w:p>
    <w:p>
      <w:pPr>
        <w:pStyle w:val="BodyText"/>
        <w:ind w:left="445"/>
        <w:spacing w:line="221" w:lineRule="auto"/>
        <w:rPr/>
      </w:pPr>
      <w:r>
        <w:rPr>
          <w:spacing w:val="9"/>
        </w:rPr>
        <w:t>赖声洪  宁夏合天律师事务所主任</w:t>
      </w:r>
    </w:p>
    <w:p>
      <w:pPr>
        <w:pStyle w:val="BodyText"/>
        <w:ind w:left="442"/>
        <w:spacing w:before="167" w:line="278" w:lineRule="exact"/>
        <w:rPr/>
      </w:pPr>
      <w:r>
        <w:rPr>
          <w:spacing w:val="9"/>
          <w:position w:val="1"/>
        </w:rPr>
        <w:t>邢晓飞  宁夏合天律师事务所律师</w:t>
      </w:r>
    </w:p>
    <w:p>
      <w:pPr>
        <w:pStyle w:val="BodyText"/>
        <w:ind w:left="444"/>
        <w:spacing w:before="137" w:line="221" w:lineRule="auto"/>
        <w:rPr/>
      </w:pPr>
      <w:r>
        <w:rPr>
          <w:spacing w:val="9"/>
        </w:rPr>
        <w:t>莫吉珏  宁夏合天律师事务所律师</w:t>
      </w:r>
    </w:p>
    <w:p>
      <w:pPr>
        <w:pStyle w:val="BodyText"/>
        <w:ind w:left="446"/>
        <w:spacing w:before="172" w:line="219" w:lineRule="auto"/>
        <w:rPr/>
      </w:pPr>
      <w:r>
        <w:rPr>
          <w:spacing w:val="8"/>
        </w:rPr>
        <w:t>薛宗智  宁夏古雁律师事务所律师</w:t>
      </w:r>
    </w:p>
    <w:p>
      <w:pPr>
        <w:pStyle w:val="BodyText"/>
        <w:ind w:left="446"/>
        <w:spacing w:before="172" w:line="221" w:lineRule="auto"/>
        <w:rPr/>
      </w:pPr>
      <w:r>
        <w:rPr>
          <w:spacing w:val="9"/>
        </w:rPr>
        <w:t>姜修欣  宁夏古雁律师事务所律师</w:t>
      </w:r>
    </w:p>
    <w:p>
      <w:pPr>
        <w:pStyle w:val="BodyText"/>
        <w:ind w:left="444"/>
        <w:spacing w:before="169" w:line="188" w:lineRule="auto"/>
        <w:rPr/>
      </w:pPr>
      <w:r>
        <w:rPr>
          <w:spacing w:val="9"/>
        </w:rPr>
        <w:t>康继业  宁夏萧关律师事务所律师</w:t>
      </w:r>
    </w:p>
    <w:p>
      <w:pPr>
        <w:spacing w:line="14" w:lineRule="auto"/>
        <w:rPr>
          <w:rFonts w:ascii="Arial"/>
          <w:sz w:val="2"/>
        </w:rPr>
      </w:pPr>
      <w:r>
        <w:rPr>
          <w:rFonts w:ascii="Arial" w:hAnsi="Arial" w:eastAsia="Arial" w:cs="Arial"/>
          <w:sz w:val="2"/>
          <w:szCs w:val="2"/>
        </w:rPr>
        <w:br w:type="column"/>
      </w:r>
    </w:p>
    <w:p>
      <w:pPr>
        <w:pStyle w:val="BodyText"/>
        <w:ind w:left="428" w:right="628" w:firstLine="5"/>
        <w:spacing w:before="48" w:line="367" w:lineRule="auto"/>
        <w:jc w:val="both"/>
        <w:rPr>
          <w:rFonts w:ascii="Microsoft YaHei" w:hAnsi="Microsoft YaHei" w:eastAsia="Microsoft YaHei" w:cs="Microsoft YaHei"/>
        </w:rPr>
      </w:pPr>
      <w:r>
        <w:rPr>
          <w:spacing w:val="8"/>
        </w:rPr>
        <w:t>苟克强  宁夏古雁律师事务所主任</w:t>
      </w:r>
      <w:r>
        <w:rPr>
          <w:spacing w:val="9"/>
        </w:rPr>
        <w:t>周永红  宁夏纲伦律师事务所律师</w:t>
      </w:r>
      <w:r>
        <w:rPr>
          <w:spacing w:val="9"/>
        </w:rPr>
        <w:t>吴海燕  宁夏信用律师事务所律师</w:t>
      </w:r>
      <w:r>
        <w:rPr>
          <w:spacing w:val="8"/>
        </w:rPr>
        <w:t>孙  刚</w:t>
      </w:r>
      <w:r>
        <w:rPr>
          <w:spacing w:val="13"/>
        </w:rPr>
        <w:t xml:space="preserve">  </w:t>
      </w:r>
      <w:r>
        <w:rPr>
          <w:spacing w:val="8"/>
        </w:rPr>
        <w:t>宁夏泰思律师事务所主任</w:t>
      </w:r>
      <w:r>
        <w:rPr>
          <w:spacing w:val="9"/>
        </w:rPr>
        <w:t>张爱国  宁夏学仕律师事务所主任</w:t>
      </w:r>
      <w:r>
        <w:rPr>
          <w:spacing w:val="9"/>
        </w:rPr>
        <w:t>蔺满元  宁夏则德律师事务所主任</w:t>
      </w:r>
      <w:r>
        <w:rPr>
          <w:spacing w:val="8"/>
        </w:rPr>
        <w:t>张  岳  宁夏平朔律师事务所主任</w:t>
      </w:r>
      <w:r>
        <w:rPr>
          <w:spacing w:val="9"/>
        </w:rPr>
        <w:t>毛亚金  宁夏朔北律师事务所主任</w:t>
      </w:r>
      <w:r>
        <w:rPr>
          <w:spacing w:val="9"/>
        </w:rPr>
        <w:t>王永仓  宁夏顺悦律师事务所主任</w:t>
      </w:r>
      <w:r>
        <w:rPr>
          <w:rFonts w:ascii="Microsoft YaHei" w:hAnsi="Microsoft YaHei" w:eastAsia="Microsoft YaHei" w:cs="Microsoft YaHei"/>
          <w:spacing w:val="8"/>
        </w:rPr>
        <w:t>二、市人民政府法律顾问</w:t>
      </w:r>
    </w:p>
    <w:p>
      <w:pPr>
        <w:pStyle w:val="BodyText"/>
        <w:ind w:left="419" w:right="534" w:firstLine="3"/>
        <w:spacing w:before="1" w:line="376" w:lineRule="auto"/>
        <w:jc w:val="both"/>
        <w:rPr/>
      </w:pPr>
      <w:r>
        <w:rPr>
          <w:spacing w:val="8"/>
        </w:rPr>
        <w:t>赖声洪   宁夏合天律师事务所主任</w:t>
      </w:r>
      <w:r>
        <w:rPr>
          <w:spacing w:val="8"/>
        </w:rPr>
        <w:t>邢晓飞   宁夏合天律师事务所律师</w:t>
      </w:r>
      <w:r>
        <w:rPr>
          <w:spacing w:val="8"/>
        </w:rPr>
        <w:t>莫吉珏   宁夏合天律师事务所律师</w:t>
      </w:r>
      <w:r>
        <w:rPr>
          <w:spacing w:val="8"/>
        </w:rPr>
        <w:t>薛宗智   宁夏古雁律师事务所律师</w:t>
      </w:r>
      <w:r>
        <w:rPr>
          <w:spacing w:val="8"/>
        </w:rPr>
        <w:t>姜修欣   宁夏古雁律师事务所律师</w:t>
      </w:r>
    </w:p>
    <w:p>
      <w:pPr>
        <w:pStyle w:val="BodyText"/>
        <w:ind w:right="59" w:firstLine="422"/>
        <w:spacing w:before="10" w:line="379" w:lineRule="auto"/>
        <w:jc w:val="both"/>
        <w:rPr/>
      </w:pPr>
      <w:r>
        <w:rPr>
          <w:spacing w:val="19"/>
        </w:rPr>
        <w:t>市人民政府法律咨询委员会组成人员聘</w:t>
      </w:r>
      <w:r>
        <w:rPr>
          <w:spacing w:val="7"/>
        </w:rPr>
        <w:t>期三年，聘期自通知下发之日起计算。法律咨</w:t>
      </w:r>
      <w:r>
        <w:rPr>
          <w:spacing w:val="18"/>
        </w:rPr>
        <w:t>询委员会和法律顾问的日常工作由市司法局</w:t>
      </w:r>
      <w:r>
        <w:rPr>
          <w:spacing w:val="4"/>
        </w:rPr>
        <w:t>负责。</w:t>
      </w:r>
    </w:p>
    <w:p>
      <w:pPr>
        <w:spacing w:line="323" w:lineRule="auto"/>
        <w:rPr>
          <w:rFonts w:ascii="Arial"/>
          <w:sz w:val="21"/>
        </w:rPr>
      </w:pPr>
      <w:r/>
    </w:p>
    <w:p>
      <w:pPr>
        <w:pStyle w:val="BodyText"/>
        <w:ind w:left="2073"/>
        <w:spacing w:before="66" w:line="218" w:lineRule="auto"/>
        <w:rPr/>
      </w:pPr>
      <w:r>
        <w:rPr>
          <w:spacing w:val="7"/>
        </w:rPr>
        <w:t>固原市人民政府办公室</w:t>
      </w:r>
    </w:p>
    <w:p>
      <w:pPr>
        <w:pStyle w:val="BodyText"/>
        <w:ind w:left="2254"/>
        <w:spacing w:before="165" w:line="218" w:lineRule="auto"/>
        <w:rPr/>
      </w:pPr>
      <w:r>
        <w:rPr>
          <w:rFonts w:ascii="Times New Roman" w:hAnsi="Times New Roman" w:eastAsia="Times New Roman" w:cs="Times New Roman"/>
          <w:spacing w:val="2"/>
        </w:rPr>
        <w:t>2021 </w:t>
      </w:r>
      <w:r>
        <w:rPr>
          <w:spacing w:val="2"/>
        </w:rPr>
        <w:t>年</w:t>
      </w:r>
      <w:r>
        <w:rPr>
          <w:spacing w:val="-33"/>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9"/>
        </w:rPr>
        <w:t xml:space="preserve"> </w:t>
      </w:r>
      <w:r>
        <w:rPr>
          <w:spacing w:val="2"/>
        </w:rPr>
        <w:t>月</w:t>
      </w:r>
      <w:r>
        <w:rPr>
          <w:spacing w:val="-41"/>
        </w:rPr>
        <w:t xml:space="preserve"> </w:t>
      </w:r>
      <w:r>
        <w:rPr>
          <w:rFonts w:ascii="Times New Roman" w:hAnsi="Times New Roman" w:eastAsia="Times New Roman" w:cs="Times New Roman"/>
          <w:spacing w:val="2"/>
        </w:rPr>
        <w:t>20  </w:t>
      </w:r>
      <w:r>
        <w:rPr>
          <w:spacing w:val="2"/>
        </w:rPr>
        <w:t>日</w:t>
      </w:r>
    </w:p>
    <w:p>
      <w:pPr>
        <w:pStyle w:val="BodyText"/>
        <w:ind w:left="412"/>
        <w:spacing w:before="159" w:line="226" w:lineRule="auto"/>
        <w:rPr/>
      </w:pPr>
      <w:r>
        <w:rPr>
          <w:spacing w:val="10"/>
        </w:rPr>
        <w:t>（此件公开发布）</w:t>
      </w:r>
    </w:p>
    <w:p>
      <w:pPr>
        <w:spacing w:line="226" w:lineRule="auto"/>
        <w:sectPr>
          <w:type w:val="continuous"/>
          <w:pgSz w:w="11906" w:h="16839"/>
          <w:pgMar w:top="1766" w:right="1530" w:bottom="1563" w:left="1579" w:header="1428" w:footer="1172" w:gutter="0"/>
          <w:cols w:equalWidth="0" w:num="2">
            <w:col w:w="4490" w:space="100"/>
            <w:col w:w="4207" w:space="0"/>
          </w:cols>
        </w:sectPr>
        <w:rPr/>
      </w:pPr>
    </w:p>
    <w:p>
      <w:pPr>
        <w:spacing w:line="302" w:lineRule="auto"/>
        <w:rPr>
          <w:rFonts w:ascii="Arial"/>
          <w:sz w:val="21"/>
        </w:rPr>
      </w:pPr>
      <w:r>
        <w:drawing>
          <wp:anchor distT="0" distB="0" distL="0" distR="0" simplePos="0" relativeHeight="252016640" behindDoc="0" locked="0" layoutInCell="1" allowOverlap="1">
            <wp:simplePos x="0" y="0"/>
            <wp:positionH relativeFrom="column">
              <wp:posOffset>2341</wp:posOffset>
            </wp:positionH>
            <wp:positionV relativeFrom="paragraph">
              <wp:posOffset>-111</wp:posOffset>
            </wp:positionV>
            <wp:extent cx="5579745" cy="7619"/>
            <wp:effectExtent l="0" t="0" r="0" b="0"/>
            <wp:wrapNone/>
            <wp:docPr id="1004" name="IM 1004"/>
            <wp:cNvGraphicFramePr/>
            <a:graphic>
              <a:graphicData uri="http://schemas.openxmlformats.org/drawingml/2006/picture">
                <pic:pic>
                  <pic:nvPicPr>
                    <pic:cNvPr id="1004" name="IM 1004"/>
                    <pic:cNvPicPr/>
                  </pic:nvPicPr>
                  <pic:blipFill>
                    <a:blip r:embed="rId504"/>
                    <a:stretch>
                      <a:fillRect/>
                    </a:stretch>
                  </pic:blipFill>
                  <pic:spPr>
                    <a:xfrm rot="0">
                      <a:off x="0" y="0"/>
                      <a:ext cx="5579745" cy="7619"/>
                    </a:xfrm>
                    <a:prstGeom prst="rect">
                      <a:avLst/>
                    </a:prstGeom>
                  </pic:spPr>
                </pic:pic>
              </a:graphicData>
            </a:graphic>
          </wp:anchor>
        </w:drawing>
      </w:r>
      <w:r/>
    </w:p>
    <w:p>
      <w:pPr>
        <w:spacing w:line="303" w:lineRule="auto"/>
        <w:rPr>
          <w:rFonts w:ascii="Arial"/>
          <w:sz w:val="21"/>
        </w:rPr>
      </w:pPr>
      <w:r/>
    </w:p>
    <w:p>
      <w:pPr>
        <w:spacing w:line="303" w:lineRule="auto"/>
        <w:rPr>
          <w:rFonts w:ascii="Arial"/>
          <w:sz w:val="21"/>
        </w:rPr>
      </w:pPr>
      <w:r/>
    </w:p>
    <w:p>
      <w:pPr>
        <w:ind w:left="1317"/>
        <w:spacing w:before="185" w:line="180"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7"/>
        </w:rPr>
        <w:t>固原市人民政府办公室关于印发</w:t>
      </w:r>
    </w:p>
    <w:p>
      <w:pPr>
        <w:ind w:left="111"/>
        <w:spacing w:before="1" w:line="187"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5"/>
        </w:rPr>
        <w:t>《推动工业结构改造三年行动计划（</w:t>
      </w:r>
      <w:r>
        <w:rPr>
          <w:rFonts w:ascii="Microsoft YaHei" w:hAnsi="Microsoft YaHei" w:eastAsia="Microsoft YaHei" w:cs="Microsoft YaHei"/>
          <w:sz w:val="43"/>
          <w:szCs w:val="43"/>
          <w:spacing w:val="-23"/>
        </w:rPr>
        <w:t xml:space="preserve"> </w:t>
      </w:r>
      <w:r>
        <w:rPr>
          <w:rFonts w:ascii="Times New Roman" w:hAnsi="Times New Roman" w:eastAsia="Times New Roman" w:cs="Times New Roman"/>
          <w:sz w:val="43"/>
          <w:szCs w:val="43"/>
          <w:spacing w:val="5"/>
        </w:rPr>
        <w:t>2021 </w:t>
      </w:r>
      <w:r>
        <w:rPr>
          <w:rFonts w:ascii="Microsoft YaHei" w:hAnsi="Microsoft YaHei" w:eastAsia="Microsoft YaHei" w:cs="Microsoft YaHei"/>
          <w:sz w:val="43"/>
          <w:szCs w:val="43"/>
          <w:spacing w:val="5"/>
        </w:rPr>
        <w:t>年</w:t>
      </w:r>
    </w:p>
    <w:p>
      <w:pPr>
        <w:ind w:left="900"/>
        <w:spacing w:before="2" w:line="210" w:lineRule="auto"/>
        <w:rPr>
          <w:rFonts w:ascii="Microsoft YaHei" w:hAnsi="Microsoft YaHei" w:eastAsia="Microsoft YaHei" w:cs="Microsoft YaHei"/>
          <w:sz w:val="43"/>
          <w:szCs w:val="43"/>
        </w:rPr>
      </w:pPr>
      <w:r>
        <w:rPr>
          <w:rFonts w:ascii="Times New Roman" w:hAnsi="Times New Roman" w:eastAsia="Times New Roman" w:cs="Times New Roman"/>
          <w:sz w:val="43"/>
          <w:szCs w:val="43"/>
          <w:spacing w:val="-4"/>
        </w:rPr>
        <w:t>—2023 </w:t>
      </w:r>
      <w:r>
        <w:rPr>
          <w:rFonts w:ascii="Microsoft YaHei" w:hAnsi="Microsoft YaHei" w:eastAsia="Microsoft YaHei" w:cs="Microsoft YaHei"/>
          <w:sz w:val="43"/>
          <w:szCs w:val="43"/>
          <w:spacing w:val="-4"/>
        </w:rPr>
        <w:t>年）》等四个行动计划的通知</w:t>
      </w:r>
    </w:p>
    <w:p>
      <w:pPr>
        <w:pStyle w:val="BodyText"/>
        <w:ind w:left="6711"/>
        <w:spacing w:before="226" w:line="278" w:lineRule="exact"/>
        <w:rPr/>
      </w:pPr>
      <w:r>
        <w:rPr>
          <w:spacing w:val="3"/>
          <w:position w:val="1"/>
        </w:rPr>
        <w:t>固政办发〔</w:t>
      </w:r>
      <w:r>
        <w:rPr>
          <w:rFonts w:ascii="Times New Roman" w:hAnsi="Times New Roman" w:eastAsia="Times New Roman" w:cs="Times New Roman"/>
          <w:spacing w:val="3"/>
          <w:position w:val="1"/>
        </w:rPr>
        <w:t>2021</w:t>
      </w:r>
      <w:r>
        <w:rPr>
          <w:rFonts w:ascii="Times New Roman" w:hAnsi="Times New Roman" w:eastAsia="Times New Roman" w:cs="Times New Roman"/>
          <w:spacing w:val="-18"/>
          <w:position w:val="1"/>
        </w:rPr>
        <w:t xml:space="preserve"> </w:t>
      </w:r>
      <w:r>
        <w:rPr>
          <w:spacing w:val="3"/>
          <w:position w:val="1"/>
        </w:rPr>
        <w:t>〕</w:t>
      </w:r>
      <w:r>
        <w:rPr>
          <w:rFonts w:ascii="Times New Roman" w:hAnsi="Times New Roman" w:eastAsia="Times New Roman" w:cs="Times New Roman"/>
          <w:spacing w:val="3"/>
          <w:position w:val="1"/>
        </w:rPr>
        <w:t>7 </w:t>
      </w:r>
      <w:r>
        <w:rPr>
          <w:spacing w:val="3"/>
          <w:position w:val="1"/>
        </w:rPr>
        <w:t>号</w:t>
      </w:r>
    </w:p>
    <w:p>
      <w:pPr>
        <w:spacing w:before="111"/>
        <w:rPr/>
      </w:pPr>
      <w:r/>
    </w:p>
    <w:p>
      <w:pPr>
        <w:sectPr>
          <w:headerReference w:type="default" r:id="rId502"/>
          <w:footerReference w:type="default" r:id="rId503"/>
          <w:pgSz w:w="11906" w:h="16839"/>
          <w:pgMar w:top="1769" w:right="1489" w:bottom="1570" w:left="1584" w:header="1428" w:footer="1172" w:gutter="0"/>
          <w:cols w:equalWidth="0" w:num="1">
            <w:col w:w="8833" w:space="0"/>
          </w:cols>
        </w:sectPr>
        <w:rPr/>
      </w:pPr>
    </w:p>
    <w:p>
      <w:pPr>
        <w:pStyle w:val="BodyText"/>
        <w:ind w:left="9" w:right="329" w:hanging="1"/>
        <w:spacing w:before="49" w:line="369" w:lineRule="auto"/>
        <w:rPr/>
      </w:pPr>
      <w:r>
        <w:rPr>
          <w:spacing w:val="4"/>
        </w:rPr>
        <w:t>各县（</w:t>
      </w:r>
      <w:r>
        <w:rPr>
          <w:spacing w:val="-36"/>
        </w:rPr>
        <w:t xml:space="preserve"> </w:t>
      </w:r>
      <w:r>
        <w:rPr>
          <w:spacing w:val="4"/>
        </w:rPr>
        <w:t>区）人民政府，市政府各部门、派出机</w:t>
      </w:r>
      <w:r>
        <w:rPr>
          <w:spacing w:val="7"/>
        </w:rPr>
        <w:t>构、事业单位：</w:t>
      </w:r>
    </w:p>
    <w:p>
      <w:pPr>
        <w:pStyle w:val="BodyText"/>
        <w:ind w:right="327" w:firstLine="427"/>
        <w:spacing w:before="5" w:line="366" w:lineRule="auto"/>
        <w:jc w:val="both"/>
        <w:rPr/>
      </w:pPr>
      <w:r>
        <w:rPr>
          <w:spacing w:val="7"/>
        </w:rPr>
        <w:t>按照区、市党委、政府安排部署，要利用</w:t>
      </w:r>
      <w:r>
        <w:rPr>
          <w:spacing w:val="16"/>
        </w:rPr>
        <w:t>三年时间</w:t>
      </w:r>
      <w:r>
        <w:rPr>
          <w:spacing w:val="-51"/>
        </w:rPr>
        <w:t xml:space="preserve"> </w:t>
      </w:r>
      <w:r>
        <w:rPr>
          <w:spacing w:val="16"/>
        </w:rPr>
        <w:t>，集中力量在工业领域实施结构改</w:t>
      </w:r>
      <w:r>
        <w:rPr>
          <w:spacing w:val="5"/>
        </w:rPr>
        <w:t>造、绿色改造、技术改造、智能改造（</w:t>
      </w:r>
      <w:r>
        <w:rPr>
          <w:spacing w:val="-47"/>
        </w:rPr>
        <w:t xml:space="preserve"> </w:t>
      </w:r>
      <w:r>
        <w:rPr>
          <w:spacing w:val="5"/>
        </w:rPr>
        <w:t>以下简</w:t>
      </w:r>
      <w:r>
        <w:rPr>
          <w:spacing w:val="12"/>
        </w:rPr>
        <w:t>称</w:t>
      </w:r>
      <w:r>
        <w:rPr>
          <w:rFonts w:ascii="Times New Roman" w:hAnsi="Times New Roman" w:eastAsia="Times New Roman" w:cs="Times New Roman"/>
          <w:spacing w:val="12"/>
        </w:rPr>
        <w:t>“</w:t>
      </w:r>
      <w:r>
        <w:rPr>
          <w:spacing w:val="12"/>
        </w:rPr>
        <w:t>四大改造</w:t>
      </w:r>
      <w:r>
        <w:rPr>
          <w:rFonts w:ascii="Times New Roman" w:hAnsi="Times New Roman" w:eastAsia="Times New Roman" w:cs="Times New Roman"/>
          <w:spacing w:val="12"/>
        </w:rPr>
        <w:t>”</w:t>
      </w:r>
      <w:r>
        <w:rPr>
          <w:rFonts w:ascii="Times New Roman" w:hAnsi="Times New Roman" w:eastAsia="Times New Roman" w:cs="Times New Roman"/>
          <w:spacing w:val="-19"/>
        </w:rPr>
        <w:t xml:space="preserve"> </w:t>
      </w:r>
      <w:r>
        <w:rPr>
          <w:spacing w:val="-42"/>
        </w:rPr>
        <w:t>），</w:t>
      </w:r>
      <w:r>
        <w:rPr>
          <w:spacing w:val="12"/>
        </w:rPr>
        <w:t>加快推动工业经济高质量发</w:t>
      </w:r>
      <w:r>
        <w:rPr>
          <w:spacing w:val="4"/>
        </w:rPr>
        <w:t>展。根据《</w:t>
      </w:r>
      <w:r>
        <w:rPr>
          <w:spacing w:val="-27"/>
        </w:rPr>
        <w:t xml:space="preserve"> </w:t>
      </w:r>
      <w:r>
        <w:rPr>
          <w:spacing w:val="4"/>
        </w:rPr>
        <w:t>自治区人民政府办公厅转发自治区</w:t>
      </w:r>
      <w:r>
        <w:rPr>
          <w:spacing w:val="18"/>
        </w:rPr>
        <w:t>工业和信息化厅关于实施</w:t>
      </w:r>
      <w:r>
        <w:rPr>
          <w:rFonts w:ascii="Times New Roman" w:hAnsi="Times New Roman" w:eastAsia="Times New Roman" w:cs="Times New Roman"/>
          <w:spacing w:val="18"/>
        </w:rPr>
        <w:t>“</w:t>
      </w:r>
      <w:r>
        <w:rPr>
          <w:spacing w:val="18"/>
        </w:rPr>
        <w:t>四大改造</w:t>
      </w:r>
      <w:r>
        <w:rPr>
          <w:rFonts w:ascii="Times New Roman" w:hAnsi="Times New Roman" w:eastAsia="Times New Roman" w:cs="Times New Roman"/>
          <w:spacing w:val="18"/>
        </w:rPr>
        <w:t>”</w:t>
      </w:r>
      <w:r>
        <w:rPr>
          <w:spacing w:val="18"/>
        </w:rPr>
        <w:t>推进工</w:t>
      </w:r>
      <w:r>
        <w:rPr>
          <w:spacing w:val="23"/>
        </w:rPr>
        <w:t>业转型发展实施方案的通知</w:t>
      </w:r>
      <w:r>
        <w:rPr>
          <w:spacing w:val="-32"/>
        </w:rPr>
        <w:t xml:space="preserve"> </w:t>
      </w:r>
      <w:r>
        <w:rPr>
          <w:spacing w:val="23"/>
        </w:rPr>
        <w:t>》（</w:t>
      </w:r>
      <w:r>
        <w:rPr>
          <w:spacing w:val="-29"/>
        </w:rPr>
        <w:t xml:space="preserve"> </w:t>
      </w:r>
      <w:r>
        <w:rPr>
          <w:spacing w:val="23"/>
        </w:rPr>
        <w:t>宁政办发</w:t>
      </w:r>
      <w:r>
        <w:rPr>
          <w:spacing w:val="9"/>
        </w:rPr>
        <w:t>〔</w:t>
      </w:r>
      <w:r>
        <w:rPr>
          <w:rFonts w:ascii="Times New Roman" w:hAnsi="Times New Roman" w:eastAsia="Times New Roman" w:cs="Times New Roman"/>
          <w:spacing w:val="9"/>
        </w:rPr>
        <w:t>2021</w:t>
      </w:r>
      <w:r>
        <w:rPr>
          <w:spacing w:val="9"/>
        </w:rPr>
        <w:t>〕</w:t>
      </w:r>
      <w:r>
        <w:rPr>
          <w:rFonts w:ascii="Times New Roman" w:hAnsi="Times New Roman" w:eastAsia="Times New Roman" w:cs="Times New Roman"/>
          <w:spacing w:val="9"/>
        </w:rPr>
        <w:t>3 </w:t>
      </w:r>
      <w:r>
        <w:rPr>
          <w:spacing w:val="9"/>
        </w:rPr>
        <w:t>号）要求，市工业和信息</w:t>
      </w:r>
      <w:r>
        <w:rPr>
          <w:spacing w:val="8"/>
        </w:rPr>
        <w:t>化局牵头</w:t>
      </w:r>
      <w:r>
        <w:rPr>
          <w:spacing w:val="30"/>
        </w:rPr>
        <w:t>制定了《推动工业结构改造三年行动计划</w:t>
      </w:r>
      <w:r>
        <w:rPr>
          <w:spacing w:val="2"/>
        </w:rPr>
        <w:t>（</w:t>
      </w:r>
      <w:r>
        <w:rPr>
          <w:rFonts w:ascii="Times New Roman" w:hAnsi="Times New Roman" w:eastAsia="Times New Roman" w:cs="Times New Roman"/>
          <w:spacing w:val="2"/>
        </w:rPr>
        <w:t>2021 </w:t>
      </w:r>
      <w:r>
        <w:rPr>
          <w:spacing w:val="2"/>
        </w:rPr>
        <w:t>年</w:t>
      </w:r>
      <w:r>
        <w:rPr>
          <w:rFonts w:ascii="Times New Roman" w:hAnsi="Times New Roman" w:eastAsia="Times New Roman" w:cs="Times New Roman"/>
          <w:spacing w:val="2"/>
        </w:rPr>
        <w:t>—2023 </w:t>
      </w:r>
      <w:r>
        <w:rPr>
          <w:spacing w:val="2"/>
        </w:rPr>
        <w:t>年）》等四个行动计划（详见</w:t>
      </w:r>
      <w:r>
        <w:rPr>
          <w:spacing w:val="12"/>
        </w:rPr>
        <w:t>附件</w:t>
      </w:r>
      <w:r>
        <w:rPr>
          <w:spacing w:val="-32"/>
        </w:rPr>
        <w:t>），</w:t>
      </w:r>
      <w:r>
        <w:rPr>
          <w:spacing w:val="12"/>
        </w:rPr>
        <w:t>现予以印发，请结合工作实际抓好贯</w:t>
      </w:r>
      <w:r>
        <w:rPr>
          <w:spacing w:val="8"/>
        </w:rPr>
        <w:t>彻落实。</w:t>
      </w:r>
    </w:p>
    <w:p>
      <w:pPr>
        <w:pStyle w:val="BodyText"/>
        <w:ind w:left="6" w:right="322" w:firstLine="428"/>
        <w:spacing w:before="41" w:line="369" w:lineRule="auto"/>
        <w:jc w:val="both"/>
        <w:rPr/>
      </w:pPr>
      <w:r>
        <w:rPr>
          <w:rFonts w:ascii="KaiTi" w:hAnsi="KaiTi" w:eastAsia="KaiTi" w:cs="KaiTi"/>
          <w:b/>
          <w:bCs/>
          <w:spacing w:val="5"/>
        </w:rPr>
        <w:t>一要加强组织领导。</w:t>
      </w:r>
      <w:r>
        <w:rPr>
          <w:spacing w:val="5"/>
        </w:rPr>
        <w:t>各部门、各县区要坚</w:t>
      </w:r>
      <w:r>
        <w:rPr>
          <w:spacing w:val="18"/>
        </w:rPr>
        <w:t>持把</w:t>
      </w:r>
      <w:r>
        <w:rPr>
          <w:rFonts w:ascii="Times New Roman" w:hAnsi="Times New Roman" w:eastAsia="Times New Roman" w:cs="Times New Roman"/>
          <w:spacing w:val="18"/>
        </w:rPr>
        <w:t>“</w:t>
      </w:r>
      <w:r>
        <w:rPr>
          <w:spacing w:val="18"/>
        </w:rPr>
        <w:t>四大改造</w:t>
      </w:r>
      <w:r>
        <w:rPr>
          <w:rFonts w:ascii="Times New Roman" w:hAnsi="Times New Roman" w:eastAsia="Times New Roman" w:cs="Times New Roman"/>
          <w:spacing w:val="18"/>
        </w:rPr>
        <w:t>”</w:t>
      </w:r>
      <w:r>
        <w:rPr>
          <w:spacing w:val="18"/>
        </w:rPr>
        <w:t>作为当前和今后一个时期工</w:t>
      </w:r>
      <w:r>
        <w:rPr>
          <w:spacing w:val="7"/>
        </w:rPr>
        <w:t>业经济发展主抓手，对标行动计划明确的主要</w:t>
      </w:r>
      <w:r>
        <w:rPr>
          <w:spacing w:val="7"/>
        </w:rPr>
        <w:t>目标、重点方向、路径措施等，进一步明确工</w:t>
      </w:r>
      <w:r>
        <w:rPr>
          <w:spacing w:val="7"/>
        </w:rPr>
        <w:t>作职责、细化任务分工，加快推进任务落实，</w:t>
      </w:r>
      <w:r>
        <w:rPr>
          <w:spacing w:val="7"/>
        </w:rPr>
        <w:t>努力促进工业经济从低效供给向高效供给、从</w:t>
      </w:r>
      <w:r>
        <w:rPr>
          <w:spacing w:val="7"/>
        </w:rPr>
        <w:t>粗放增长向集约发展、从要素驱动向创新驱动</w:t>
      </w:r>
      <w:r>
        <w:rPr>
          <w:spacing w:val="7"/>
        </w:rPr>
        <w:t>转变，加快推动工业质量变革、效率变革、动</w:t>
      </w:r>
      <w:r>
        <w:rPr>
          <w:spacing w:val="6"/>
        </w:rPr>
        <w:t>力变革。</w:t>
      </w:r>
    </w:p>
    <w:p>
      <w:pPr>
        <w:pStyle w:val="BodyText"/>
        <w:ind w:left="434"/>
        <w:spacing w:line="210" w:lineRule="auto"/>
        <w:rPr/>
      </w:pPr>
      <w:r>
        <w:rPr>
          <w:rFonts w:ascii="KaiTi" w:hAnsi="KaiTi" w:eastAsia="KaiTi" w:cs="KaiTi"/>
          <w:b/>
          <w:bCs/>
          <w:spacing w:val="6"/>
        </w:rPr>
        <w:t>二要加大资金支持。</w:t>
      </w:r>
      <w:r>
        <w:rPr>
          <w:spacing w:val="6"/>
        </w:rPr>
        <w:t>各部门、各县区要统</w:t>
      </w:r>
    </w:p>
    <w:p>
      <w:pPr>
        <w:spacing w:line="14" w:lineRule="auto"/>
        <w:rPr>
          <w:rFonts w:ascii="Arial"/>
          <w:sz w:val="2"/>
        </w:rPr>
      </w:pPr>
      <w:r>
        <w:rPr>
          <w:rFonts w:ascii="Arial" w:hAnsi="Arial" w:eastAsia="Arial" w:cs="Arial"/>
          <w:sz w:val="2"/>
          <w:szCs w:val="2"/>
        </w:rPr>
        <w:br w:type="column"/>
      </w:r>
    </w:p>
    <w:p>
      <w:pPr>
        <w:pStyle w:val="BodyText"/>
        <w:ind w:right="78"/>
        <w:spacing w:before="50" w:line="368" w:lineRule="auto"/>
        <w:jc w:val="both"/>
        <w:rPr/>
      </w:pPr>
      <w:r>
        <w:rPr>
          <w:spacing w:val="7"/>
        </w:rPr>
        <w:t>筹整合财政贴息补助、工业技改奖补、担保贷</w:t>
      </w:r>
      <w:r>
        <w:rPr>
          <w:spacing w:val="8"/>
        </w:rPr>
        <w:t>款基金等各类资金，聚焦推动</w:t>
      </w:r>
      <w:r>
        <w:rPr>
          <w:rFonts w:ascii="Times New Roman" w:hAnsi="Times New Roman" w:eastAsia="Times New Roman" w:cs="Times New Roman"/>
          <w:spacing w:val="8"/>
        </w:rPr>
        <w:t>“</w:t>
      </w:r>
      <w:r>
        <w:rPr>
          <w:spacing w:val="8"/>
        </w:rPr>
        <w:t>四大改造</w:t>
      </w:r>
      <w:r>
        <w:rPr>
          <w:rFonts w:ascii="Times New Roman" w:hAnsi="Times New Roman" w:eastAsia="Times New Roman" w:cs="Times New Roman"/>
          <w:spacing w:val="8"/>
        </w:rPr>
        <w:t>”</w:t>
      </w:r>
      <w:r>
        <w:rPr>
          <w:spacing w:val="8"/>
        </w:rPr>
        <w:t>成效</w:t>
      </w:r>
      <w:r>
        <w:rPr>
          <w:spacing w:val="7"/>
        </w:rPr>
        <w:t>显著的工业重点企业，引领带动作用明显的重</w:t>
      </w:r>
      <w:r>
        <w:rPr>
          <w:spacing w:val="7"/>
        </w:rPr>
        <w:t>大工业项目，倾斜安排扶持资金，加大激励引</w:t>
      </w:r>
      <w:r>
        <w:rPr>
          <w:spacing w:val="8"/>
        </w:rPr>
        <w:t>导力度，推动工业高端化、绿色化、智能化、</w:t>
      </w:r>
      <w:r>
        <w:rPr>
          <w:spacing w:val="8"/>
        </w:rPr>
        <w:t>融合化协调推进，产业链、供应链配套衔接，</w:t>
      </w:r>
      <w:r>
        <w:rPr>
          <w:spacing w:val="9"/>
        </w:rPr>
        <w:t>促进高质量发展迈出坚实步伐。</w:t>
      </w:r>
    </w:p>
    <w:p>
      <w:pPr>
        <w:pStyle w:val="BodyText"/>
        <w:ind w:right="53" w:firstLine="429"/>
        <w:spacing w:before="6" w:line="370" w:lineRule="auto"/>
        <w:jc w:val="both"/>
        <w:rPr/>
      </w:pPr>
      <w:r>
        <w:rPr>
          <w:rFonts w:ascii="KaiTi" w:hAnsi="KaiTi" w:eastAsia="KaiTi" w:cs="KaiTi"/>
          <w:b/>
          <w:bCs/>
          <w:spacing w:val="5"/>
        </w:rPr>
        <w:t>三要强化督查考核。</w:t>
      </w:r>
      <w:r>
        <w:rPr>
          <w:spacing w:val="5"/>
        </w:rPr>
        <w:t>市工信局、统计局及</w:t>
      </w:r>
      <w:r>
        <w:rPr>
          <w:spacing w:val="18"/>
        </w:rPr>
        <w:t>各县区要对标自治区</w:t>
      </w:r>
      <w:r>
        <w:rPr>
          <w:rFonts w:ascii="Times New Roman" w:hAnsi="Times New Roman" w:eastAsia="Times New Roman" w:cs="Times New Roman"/>
          <w:spacing w:val="18"/>
        </w:rPr>
        <w:t>“</w:t>
      </w:r>
      <w:r>
        <w:rPr>
          <w:spacing w:val="18"/>
        </w:rPr>
        <w:t>四大改造</w:t>
      </w:r>
      <w:r>
        <w:rPr>
          <w:rFonts w:ascii="Times New Roman" w:hAnsi="Times New Roman" w:eastAsia="Times New Roman" w:cs="Times New Roman"/>
          <w:spacing w:val="18"/>
        </w:rPr>
        <w:t>”</w:t>
      </w:r>
      <w:r>
        <w:rPr>
          <w:spacing w:val="18"/>
        </w:rPr>
        <w:t>绩效评估指</w:t>
      </w:r>
      <w:r>
        <w:rPr>
          <w:spacing w:val="7"/>
        </w:rPr>
        <w:t>标体系，着力做好工业技术改造项目入库入统</w:t>
      </w:r>
      <w:r>
        <w:rPr>
          <w:spacing w:val="18"/>
        </w:rPr>
        <w:t>及工业绿色化智能化技术改造投资统计。市</w:t>
      </w:r>
      <w:r>
        <w:rPr>
          <w:spacing w:val="8"/>
        </w:rPr>
        <w:t>委、市政府督查室将推进</w:t>
      </w:r>
      <w:r>
        <w:rPr>
          <w:rFonts w:ascii="Times New Roman" w:hAnsi="Times New Roman" w:eastAsia="Times New Roman" w:cs="Times New Roman"/>
          <w:spacing w:val="8"/>
        </w:rPr>
        <w:t>“</w:t>
      </w:r>
      <w:r>
        <w:rPr>
          <w:spacing w:val="8"/>
        </w:rPr>
        <w:t>四大改造</w:t>
      </w:r>
      <w:r>
        <w:rPr>
          <w:rFonts w:ascii="Times New Roman" w:hAnsi="Times New Roman" w:eastAsia="Times New Roman" w:cs="Times New Roman"/>
          <w:spacing w:val="8"/>
        </w:rPr>
        <w:t>”</w:t>
      </w:r>
      <w:r>
        <w:rPr>
          <w:spacing w:val="8"/>
        </w:rPr>
        <w:t>情况纳入</w:t>
      </w:r>
      <w:r>
        <w:rPr>
          <w:spacing w:val="9"/>
        </w:rPr>
        <w:t>部门及县区效能目标管理考核，加大考核权重</w:t>
      </w:r>
      <w:r>
        <w:rPr>
          <w:spacing w:val="14"/>
        </w:rPr>
        <w:t xml:space="preserve"> </w:t>
      </w:r>
      <w:r>
        <w:rPr>
          <w:spacing w:val="7"/>
        </w:rPr>
        <w:t>,</w:t>
      </w:r>
      <w:r>
        <w:rPr>
          <w:spacing w:val="54"/>
        </w:rPr>
        <w:t xml:space="preserve"> </w:t>
      </w:r>
      <w:r>
        <w:rPr>
          <w:spacing w:val="7"/>
        </w:rPr>
        <w:t>强化结果运用，确保全面完成各项目标任务</w:t>
      </w:r>
    </w:p>
    <w:p>
      <w:pPr>
        <w:pStyle w:val="BodyText"/>
        <w:ind w:left="21"/>
        <w:spacing w:before="137" w:line="114" w:lineRule="exact"/>
        <w:rPr/>
      </w:pPr>
      <w:r>
        <w:rPr>
          <w:position w:val="1"/>
        </w:rPr>
        <w:t>。</w:t>
      </w:r>
    </w:p>
    <w:p>
      <w:pPr>
        <w:pStyle w:val="BodyText"/>
        <w:ind w:left="14"/>
        <w:spacing w:before="143" w:line="277" w:lineRule="exact"/>
        <w:rPr/>
      </w:pPr>
      <w:r>
        <w:rPr>
          <w:position w:val="1"/>
        </w:rPr>
        <w:t>附件：</w:t>
      </w:r>
    </w:p>
    <w:p>
      <w:pPr>
        <w:pStyle w:val="BodyText"/>
        <w:spacing w:before="124" w:line="278" w:lineRule="exact"/>
        <w:jc w:val="right"/>
        <w:rPr/>
      </w:pPr>
      <w:r>
        <w:rPr>
          <w:rFonts w:ascii="Times New Roman" w:hAnsi="Times New Roman" w:eastAsia="Times New Roman" w:cs="Times New Roman"/>
          <w:spacing w:val="-21"/>
          <w:position w:val="1"/>
        </w:rPr>
        <w:t>1.</w:t>
      </w:r>
      <w:r>
        <w:rPr>
          <w:spacing w:val="-21"/>
          <w:position w:val="1"/>
        </w:rPr>
        <w:t>推动工业结构改造三年行动计划（</w:t>
      </w:r>
      <w:r>
        <w:rPr>
          <w:rFonts w:ascii="Times New Roman" w:hAnsi="Times New Roman" w:eastAsia="Times New Roman" w:cs="Times New Roman"/>
          <w:spacing w:val="-21"/>
          <w:position w:val="1"/>
        </w:rPr>
        <w:t>2021 </w:t>
      </w:r>
      <w:r>
        <w:rPr>
          <w:spacing w:val="-21"/>
          <w:position w:val="1"/>
        </w:rPr>
        <w:t>年－</w:t>
      </w:r>
      <w:r>
        <w:rPr>
          <w:rFonts w:ascii="Times New Roman" w:hAnsi="Times New Roman" w:eastAsia="Times New Roman" w:cs="Times New Roman"/>
          <w:spacing w:val="-21"/>
          <w:position w:val="1"/>
        </w:rPr>
        <w:t>2023</w:t>
      </w:r>
      <w:r>
        <w:rPr>
          <w:rFonts w:ascii="Times New Roman" w:hAnsi="Times New Roman" w:eastAsia="Times New Roman" w:cs="Times New Roman"/>
          <w:spacing w:val="5"/>
          <w:position w:val="1"/>
        </w:rPr>
        <w:t xml:space="preserve"> </w:t>
      </w:r>
      <w:r>
        <w:rPr>
          <w:spacing w:val="-21"/>
          <w:position w:val="1"/>
        </w:rPr>
        <w:t>年）</w:t>
      </w:r>
    </w:p>
    <w:p>
      <w:pPr>
        <w:pStyle w:val="BodyText"/>
        <w:spacing w:before="123" w:line="278" w:lineRule="exact"/>
        <w:jc w:val="right"/>
        <w:rPr/>
      </w:pPr>
      <w:r>
        <w:rPr>
          <w:rFonts w:ascii="Times New Roman" w:hAnsi="Times New Roman" w:eastAsia="Times New Roman" w:cs="Times New Roman"/>
          <w:spacing w:val="-20"/>
          <w:position w:val="1"/>
        </w:rPr>
        <w:t>2.</w:t>
      </w:r>
      <w:r>
        <w:rPr>
          <w:spacing w:val="-20"/>
          <w:position w:val="1"/>
        </w:rPr>
        <w:t>推动工业绿色改造三年行动计划（</w:t>
      </w:r>
      <w:r>
        <w:rPr>
          <w:rFonts w:ascii="Times New Roman" w:hAnsi="Times New Roman" w:eastAsia="Times New Roman" w:cs="Times New Roman"/>
          <w:spacing w:val="-20"/>
          <w:position w:val="1"/>
        </w:rPr>
        <w:t>2021 </w:t>
      </w:r>
      <w:r>
        <w:rPr>
          <w:spacing w:val="-20"/>
          <w:position w:val="1"/>
        </w:rPr>
        <w:t>年－</w:t>
      </w:r>
      <w:r>
        <w:rPr>
          <w:rFonts w:ascii="Times New Roman" w:hAnsi="Times New Roman" w:eastAsia="Times New Roman" w:cs="Times New Roman"/>
          <w:spacing w:val="-20"/>
          <w:position w:val="1"/>
        </w:rPr>
        <w:t>2023</w:t>
      </w:r>
      <w:r>
        <w:rPr>
          <w:rFonts w:ascii="Times New Roman" w:hAnsi="Times New Roman" w:eastAsia="Times New Roman" w:cs="Times New Roman"/>
          <w:spacing w:val="-7"/>
          <w:position w:val="1"/>
        </w:rPr>
        <w:t xml:space="preserve"> </w:t>
      </w:r>
      <w:r>
        <w:rPr>
          <w:spacing w:val="-20"/>
          <w:position w:val="1"/>
        </w:rPr>
        <w:t>年）</w:t>
      </w:r>
    </w:p>
    <w:p>
      <w:pPr>
        <w:pStyle w:val="BodyText"/>
        <w:spacing w:before="120" w:line="278" w:lineRule="exact"/>
        <w:jc w:val="right"/>
        <w:rPr/>
      </w:pPr>
      <w:r>
        <w:rPr>
          <w:rFonts w:ascii="Times New Roman" w:hAnsi="Times New Roman" w:eastAsia="Times New Roman" w:cs="Times New Roman"/>
          <w:spacing w:val="-20"/>
          <w:position w:val="1"/>
        </w:rPr>
        <w:t>3.</w:t>
      </w:r>
      <w:r>
        <w:rPr>
          <w:spacing w:val="-20"/>
          <w:position w:val="1"/>
        </w:rPr>
        <w:t>推动工业技术改造三年行动计划（</w:t>
      </w:r>
      <w:r>
        <w:rPr>
          <w:rFonts w:ascii="Times New Roman" w:hAnsi="Times New Roman" w:eastAsia="Times New Roman" w:cs="Times New Roman"/>
          <w:spacing w:val="-20"/>
          <w:position w:val="1"/>
        </w:rPr>
        <w:t>2021 </w:t>
      </w:r>
      <w:r>
        <w:rPr>
          <w:spacing w:val="-20"/>
          <w:position w:val="1"/>
        </w:rPr>
        <w:t>年－</w:t>
      </w:r>
      <w:r>
        <w:rPr>
          <w:rFonts w:ascii="Times New Roman" w:hAnsi="Times New Roman" w:eastAsia="Times New Roman" w:cs="Times New Roman"/>
          <w:spacing w:val="-20"/>
          <w:position w:val="1"/>
        </w:rPr>
        <w:t>2023</w:t>
      </w:r>
      <w:r>
        <w:rPr>
          <w:rFonts w:ascii="Times New Roman" w:hAnsi="Times New Roman" w:eastAsia="Times New Roman" w:cs="Times New Roman"/>
          <w:spacing w:val="-11"/>
          <w:position w:val="1"/>
        </w:rPr>
        <w:t xml:space="preserve"> </w:t>
      </w:r>
      <w:r>
        <w:rPr>
          <w:spacing w:val="-20"/>
          <w:position w:val="1"/>
        </w:rPr>
        <w:t>年）</w:t>
      </w:r>
    </w:p>
    <w:p>
      <w:pPr>
        <w:pStyle w:val="BodyText"/>
        <w:spacing w:before="123" w:line="278" w:lineRule="exact"/>
        <w:jc w:val="right"/>
        <w:rPr/>
      </w:pPr>
      <w:r>
        <w:rPr>
          <w:rFonts w:ascii="Times New Roman" w:hAnsi="Times New Roman" w:eastAsia="Times New Roman" w:cs="Times New Roman"/>
          <w:spacing w:val="-20"/>
          <w:position w:val="1"/>
        </w:rPr>
        <w:t>4.</w:t>
      </w:r>
      <w:r>
        <w:rPr>
          <w:spacing w:val="-20"/>
          <w:position w:val="1"/>
        </w:rPr>
        <w:t>推动工业智能改造三年行动计划（</w:t>
      </w:r>
      <w:r>
        <w:rPr>
          <w:rFonts w:ascii="Times New Roman" w:hAnsi="Times New Roman" w:eastAsia="Times New Roman" w:cs="Times New Roman"/>
          <w:spacing w:val="-20"/>
          <w:position w:val="1"/>
        </w:rPr>
        <w:t>2021 </w:t>
      </w:r>
      <w:r>
        <w:rPr>
          <w:spacing w:val="-20"/>
          <w:position w:val="1"/>
        </w:rPr>
        <w:t>年－</w:t>
      </w:r>
      <w:r>
        <w:rPr>
          <w:rFonts w:ascii="Times New Roman" w:hAnsi="Times New Roman" w:eastAsia="Times New Roman" w:cs="Times New Roman"/>
          <w:spacing w:val="-20"/>
          <w:position w:val="1"/>
        </w:rPr>
        <w:t>2023</w:t>
      </w:r>
      <w:r>
        <w:rPr>
          <w:rFonts w:ascii="Times New Roman" w:hAnsi="Times New Roman" w:eastAsia="Times New Roman" w:cs="Times New Roman"/>
          <w:spacing w:val="-6"/>
          <w:position w:val="1"/>
        </w:rPr>
        <w:t xml:space="preserve"> </w:t>
      </w:r>
      <w:r>
        <w:rPr>
          <w:spacing w:val="-20"/>
          <w:position w:val="1"/>
        </w:rPr>
        <w:t>年）</w:t>
      </w:r>
    </w:p>
    <w:p>
      <w:pPr>
        <w:spacing w:line="360" w:lineRule="auto"/>
        <w:rPr>
          <w:rFonts w:ascii="Arial"/>
          <w:sz w:val="21"/>
        </w:rPr>
      </w:pPr>
      <w:r/>
    </w:p>
    <w:p>
      <w:pPr>
        <w:pStyle w:val="BodyText"/>
        <w:ind w:left="2074"/>
        <w:spacing w:before="65" w:line="218" w:lineRule="auto"/>
        <w:rPr/>
      </w:pPr>
      <w:r>
        <w:rPr>
          <w:spacing w:val="7"/>
        </w:rPr>
        <w:t>固原市人民政府办公室</w:t>
      </w:r>
    </w:p>
    <w:p>
      <w:pPr>
        <w:pStyle w:val="BodyText"/>
        <w:ind w:left="2389"/>
        <w:spacing w:before="163" w:line="218" w:lineRule="auto"/>
        <w:rPr/>
      </w:pPr>
      <w:r>
        <w:rPr>
          <w:rFonts w:ascii="Times New Roman" w:hAnsi="Times New Roman" w:eastAsia="Times New Roman" w:cs="Times New Roman"/>
          <w:spacing w:val="1"/>
        </w:rPr>
        <w:t>2021 </w:t>
      </w:r>
      <w:r>
        <w:rPr>
          <w:spacing w:val="1"/>
        </w:rPr>
        <w:t>年</w:t>
      </w:r>
      <w:r>
        <w:rPr>
          <w:spacing w:val="-33"/>
        </w:rPr>
        <w:t xml:space="preserve"> </w:t>
      </w:r>
      <w:r>
        <w:rPr>
          <w:rFonts w:ascii="Times New Roman" w:hAnsi="Times New Roman" w:eastAsia="Times New Roman" w:cs="Times New Roman"/>
          <w:spacing w:val="1"/>
        </w:rPr>
        <w:t>3</w:t>
      </w:r>
      <w:r>
        <w:rPr>
          <w:rFonts w:ascii="Times New Roman" w:hAnsi="Times New Roman" w:eastAsia="Times New Roman" w:cs="Times New Roman"/>
          <w:spacing w:val="11"/>
        </w:rPr>
        <w:t xml:space="preserve"> </w:t>
      </w:r>
      <w:r>
        <w:rPr>
          <w:spacing w:val="1"/>
        </w:rPr>
        <w:t>月</w:t>
      </w:r>
      <w:r>
        <w:rPr>
          <w:spacing w:val="-34"/>
        </w:rPr>
        <w:t xml:space="preserve"> </w:t>
      </w:r>
      <w:r>
        <w:rPr>
          <w:rFonts w:ascii="Times New Roman" w:hAnsi="Times New Roman" w:eastAsia="Times New Roman" w:cs="Times New Roman"/>
          <w:spacing w:val="1"/>
        </w:rPr>
        <w:t>8  </w:t>
      </w:r>
      <w:r>
        <w:rPr>
          <w:spacing w:val="1"/>
        </w:rPr>
        <w:t>日</w:t>
      </w:r>
    </w:p>
    <w:p>
      <w:pPr>
        <w:pStyle w:val="BodyText"/>
        <w:ind w:left="413"/>
        <w:spacing w:before="160" w:line="277" w:lineRule="exact"/>
        <w:rPr/>
      </w:pPr>
      <w:r>
        <w:rPr>
          <w:spacing w:val="10"/>
          <w:position w:val="1"/>
        </w:rPr>
        <w:t>（此件公开发布）</w:t>
      </w:r>
    </w:p>
    <w:p>
      <w:pPr>
        <w:spacing w:line="277" w:lineRule="exact"/>
        <w:sectPr>
          <w:type w:val="continuous"/>
          <w:pgSz w:w="11906" w:h="16839"/>
          <w:pgMar w:top="1769" w:right="1489" w:bottom="1570" w:left="1584" w:header="1428" w:footer="1172" w:gutter="0"/>
          <w:cols w:equalWidth="0" w:num="2">
            <w:col w:w="4484" w:space="100"/>
            <w:col w:w="4249" w:space="0"/>
          </w:cols>
        </w:sectPr>
        <w:rPr/>
      </w:pPr>
    </w:p>
    <w:p>
      <w:pPr>
        <w:spacing w:line="403" w:lineRule="auto"/>
        <w:rPr>
          <w:rFonts w:ascii="Arial"/>
          <w:sz w:val="21"/>
        </w:rPr>
      </w:pPr>
      <w:r>
        <w:drawing>
          <wp:anchor distT="0" distB="0" distL="0" distR="0" simplePos="0" relativeHeight="252018688" behindDoc="0" locked="0" layoutInCell="1" allowOverlap="1">
            <wp:simplePos x="0" y="0"/>
            <wp:positionH relativeFrom="column">
              <wp:posOffset>71628</wp:posOffset>
            </wp:positionH>
            <wp:positionV relativeFrom="paragraph">
              <wp:posOffset>25111</wp:posOffset>
            </wp:positionV>
            <wp:extent cx="5579745" cy="7620"/>
            <wp:effectExtent l="0" t="0" r="0" b="0"/>
            <wp:wrapNone/>
            <wp:docPr id="1010" name="IM 1010"/>
            <wp:cNvGraphicFramePr/>
            <a:graphic>
              <a:graphicData uri="http://schemas.openxmlformats.org/drawingml/2006/picture">
                <pic:pic>
                  <pic:nvPicPr>
                    <pic:cNvPr id="1010" name="IM 1010"/>
                    <pic:cNvPicPr/>
                  </pic:nvPicPr>
                  <pic:blipFill>
                    <a:blip r:embed="rId507"/>
                    <a:stretch>
                      <a:fillRect/>
                    </a:stretch>
                  </pic:blipFill>
                  <pic:spPr>
                    <a:xfrm rot="0">
                      <a:off x="0" y="0"/>
                      <a:ext cx="5579745" cy="7620"/>
                    </a:xfrm>
                    <a:prstGeom prst="rect">
                      <a:avLst/>
                    </a:prstGeom>
                  </pic:spPr>
                </pic:pic>
              </a:graphicData>
            </a:graphic>
          </wp:anchor>
        </w:drawing>
      </w:r>
      <w:r/>
    </w:p>
    <w:p>
      <w:pPr>
        <w:ind w:left="134"/>
        <w:spacing w:before="85" w:line="21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附件</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2"/>
        </w:rPr>
        <w:t>1</w:t>
      </w:r>
    </w:p>
    <w:p>
      <w:pPr>
        <w:ind w:left="1402"/>
        <w:spacing w:before="353" w:line="187"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9"/>
        </w:rPr>
        <w:t>推动工业结构改造三年行动计划</w:t>
      </w:r>
    </w:p>
    <w:p>
      <w:pPr>
        <w:ind w:left="2369"/>
        <w:spacing w:before="2" w:line="210"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2"/>
        </w:rPr>
        <w:t>（</w:t>
      </w:r>
      <w:r>
        <w:rPr>
          <w:rFonts w:ascii="Microsoft YaHei" w:hAnsi="Microsoft YaHei" w:eastAsia="Microsoft YaHei" w:cs="Microsoft YaHei"/>
          <w:sz w:val="43"/>
          <w:szCs w:val="43"/>
          <w:spacing w:val="-26"/>
        </w:rPr>
        <w:t xml:space="preserve"> </w:t>
      </w:r>
      <w:r>
        <w:rPr>
          <w:rFonts w:ascii="Times New Roman" w:hAnsi="Times New Roman" w:eastAsia="Times New Roman" w:cs="Times New Roman"/>
          <w:sz w:val="43"/>
          <w:szCs w:val="43"/>
          <w:spacing w:val="2"/>
        </w:rPr>
        <w:t>2021 </w:t>
      </w:r>
      <w:r>
        <w:rPr>
          <w:rFonts w:ascii="Microsoft YaHei" w:hAnsi="Microsoft YaHei" w:eastAsia="Microsoft YaHei" w:cs="Microsoft YaHei"/>
          <w:sz w:val="43"/>
          <w:szCs w:val="43"/>
          <w:spacing w:val="2"/>
        </w:rPr>
        <w:t>年</w:t>
      </w:r>
      <w:r>
        <w:rPr>
          <w:rFonts w:ascii="Times New Roman" w:hAnsi="Times New Roman" w:eastAsia="Times New Roman" w:cs="Times New Roman"/>
          <w:sz w:val="43"/>
          <w:szCs w:val="43"/>
          <w:spacing w:val="2"/>
        </w:rPr>
        <w:t>—2023 </w:t>
      </w:r>
      <w:r>
        <w:rPr>
          <w:rFonts w:ascii="Microsoft YaHei" w:hAnsi="Microsoft YaHei" w:eastAsia="Microsoft YaHei" w:cs="Microsoft YaHei"/>
          <w:sz w:val="43"/>
          <w:szCs w:val="43"/>
          <w:spacing w:val="2"/>
        </w:rPr>
        <w:t>年）</w:t>
      </w:r>
    </w:p>
    <w:p>
      <w:pPr>
        <w:spacing w:line="241" w:lineRule="exact"/>
        <w:rPr/>
      </w:pPr>
      <w:r/>
    </w:p>
    <w:p>
      <w:pPr>
        <w:spacing w:line="241" w:lineRule="exact"/>
        <w:sectPr>
          <w:headerReference w:type="default" r:id="rId505"/>
          <w:footerReference w:type="default" r:id="rId506"/>
          <w:pgSz w:w="11906" w:h="16839"/>
          <w:pgMar w:top="1766" w:right="1509" w:bottom="1563" w:left="1475" w:header="1428" w:footer="1172" w:gutter="0"/>
          <w:cols w:equalWidth="0" w:num="1">
            <w:col w:w="8921" w:space="0"/>
          </w:cols>
        </w:sectPr>
        <w:rPr/>
      </w:pPr>
    </w:p>
    <w:p>
      <w:pPr>
        <w:ind w:left="546"/>
        <w:spacing w:before="74"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一、工作目标</w:t>
      </w:r>
    </w:p>
    <w:p>
      <w:pPr>
        <w:pStyle w:val="BodyText"/>
        <w:ind w:left="117" w:right="216" w:firstLine="428"/>
        <w:spacing w:before="132" w:line="351" w:lineRule="auto"/>
        <w:jc w:val="both"/>
        <w:rPr/>
      </w:pPr>
      <w:r>
        <w:rPr>
          <w:spacing w:val="6"/>
        </w:rPr>
        <w:t>紧紧围绕产业结构、产能结构、产品结构</w:t>
      </w:r>
      <w:r>
        <w:rPr>
          <w:spacing w:val="7"/>
        </w:rPr>
        <w:t>和投资结构四大方向，坚持调整存量与做优增</w:t>
      </w:r>
      <w:r>
        <w:rPr>
          <w:spacing w:val="7"/>
        </w:rPr>
        <w:t>量相结合，坚持做大传统产业和做强新兴产业</w:t>
      </w:r>
      <w:r>
        <w:rPr>
          <w:spacing w:val="7"/>
        </w:rPr>
        <w:t>相结合，坚持扶持本土企业和引进外地企业相</w:t>
      </w:r>
      <w:r>
        <w:rPr>
          <w:spacing w:val="6"/>
        </w:rPr>
        <w:t>结合</w:t>
      </w:r>
      <w:r>
        <w:rPr>
          <w:spacing w:val="-41"/>
        </w:rPr>
        <w:t xml:space="preserve"> </w:t>
      </w:r>
      <w:r>
        <w:rPr>
          <w:spacing w:val="6"/>
        </w:rPr>
        <w:t>，持续推进优化提升行动。到</w:t>
      </w:r>
      <w:r>
        <w:rPr>
          <w:spacing w:val="-38"/>
        </w:rPr>
        <w:t xml:space="preserve"> </w:t>
      </w:r>
      <w:r>
        <w:rPr>
          <w:rFonts w:ascii="Times New Roman" w:hAnsi="Times New Roman" w:eastAsia="Times New Roman" w:cs="Times New Roman"/>
          <w:spacing w:val="6"/>
        </w:rPr>
        <w:t>2023 </w:t>
      </w:r>
      <w:r>
        <w:rPr>
          <w:spacing w:val="6"/>
        </w:rPr>
        <w:t>年</w:t>
      </w:r>
      <w:r>
        <w:rPr>
          <w:spacing w:val="-59"/>
        </w:rPr>
        <w:t xml:space="preserve"> </w:t>
      </w:r>
      <w:r>
        <w:rPr>
          <w:spacing w:val="6"/>
        </w:rPr>
        <w:t>，</w:t>
      </w:r>
      <w:r>
        <w:rPr>
          <w:spacing w:val="7"/>
        </w:rPr>
        <w:t>全市工业布局区域化、生产规模化、制造标准</w:t>
      </w:r>
      <w:r>
        <w:rPr>
          <w:spacing w:val="8"/>
        </w:rPr>
        <w:t>化、发展产业化特征明显提升。</w:t>
      </w:r>
    </w:p>
    <w:tbl>
      <w:tblPr>
        <w:tblStyle w:val="TableNormal"/>
        <w:tblW w:w="4204" w:type="dxa"/>
        <w:tblInd w:w="2" w:type="dxa"/>
        <w:tblLayout w:type="fixed"/>
        <w:tblBorders>
          <w:left w:val="single" w:color="000000" w:sz="2" w:space="0"/>
          <w:bottom w:val="single" w:color="000000" w:sz="2" w:space="0"/>
          <w:right w:val="single" w:color="000000" w:sz="2" w:space="0"/>
          <w:top w:val="single" w:color="000000" w:sz="2" w:space="0"/>
        </w:tblBorders>
      </w:tblPr>
      <w:tblGrid>
        <w:gridCol w:w="4204"/>
      </w:tblGrid>
      <w:tr>
        <w:trPr>
          <w:trHeight w:val="5529" w:hRule="atLeast"/>
        </w:trPr>
        <w:tc>
          <w:tcPr>
            <w:tcW w:w="4204" w:type="dxa"/>
            <w:vAlign w:val="top"/>
          </w:tcPr>
          <w:p>
            <w:pPr>
              <w:ind w:left="1273"/>
              <w:spacing w:before="127"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结构改造年度目标</w:t>
            </w:r>
          </w:p>
          <w:p>
            <w:pPr>
              <w:pStyle w:val="TableText"/>
              <w:ind w:left="112" w:firstLine="415"/>
              <w:spacing w:before="104" w:line="334" w:lineRule="auto"/>
              <w:jc w:val="both"/>
              <w:rPr>
                <w:sz w:val="20"/>
                <w:szCs w:val="20"/>
              </w:rPr>
            </w:pPr>
            <w:r>
              <w:rPr>
                <w:sz w:val="20"/>
                <w:szCs w:val="20"/>
                <w:spacing w:val="5"/>
              </w:rPr>
              <w:t>——2021</w:t>
            </w:r>
            <w:r>
              <w:rPr>
                <w:sz w:val="20"/>
                <w:szCs w:val="20"/>
                <w:spacing w:val="-36"/>
              </w:rPr>
              <w:t xml:space="preserve"> </w:t>
            </w:r>
            <w:r>
              <w:rPr>
                <w:sz w:val="20"/>
                <w:szCs w:val="20"/>
                <w:spacing w:val="5"/>
              </w:rPr>
              <w:t>年，落后产能基本退出，过剩</w:t>
            </w:r>
            <w:r>
              <w:rPr>
                <w:sz w:val="20"/>
                <w:szCs w:val="20"/>
                <w:spacing w:val="9"/>
              </w:rPr>
              <w:t>产能全部化解。培育自治区级制造业领先示</w:t>
            </w:r>
            <w:r>
              <w:rPr>
                <w:sz w:val="20"/>
                <w:szCs w:val="20"/>
                <w:spacing w:val="-4"/>
              </w:rPr>
              <w:t>范企业（产品）1-2</w:t>
            </w:r>
            <w:r>
              <w:rPr>
                <w:sz w:val="20"/>
                <w:szCs w:val="20"/>
                <w:spacing w:val="-27"/>
              </w:rPr>
              <w:t xml:space="preserve"> </w:t>
            </w:r>
            <w:r>
              <w:rPr>
                <w:sz w:val="20"/>
                <w:szCs w:val="20"/>
                <w:spacing w:val="-4"/>
              </w:rPr>
              <w:t>个，“专精特新”（示范）</w:t>
            </w:r>
            <w:r>
              <w:rPr>
                <w:sz w:val="20"/>
                <w:szCs w:val="20"/>
                <w:spacing w:val="6"/>
              </w:rPr>
              <w:t>企业</w:t>
            </w:r>
            <w:r>
              <w:rPr>
                <w:sz w:val="20"/>
                <w:szCs w:val="20"/>
                <w:spacing w:val="-31"/>
              </w:rPr>
              <w:t xml:space="preserve"> </w:t>
            </w:r>
            <w:r>
              <w:rPr>
                <w:sz w:val="20"/>
                <w:szCs w:val="20"/>
                <w:spacing w:val="6"/>
              </w:rPr>
              <w:t>5</w:t>
            </w:r>
            <w:r>
              <w:rPr>
                <w:sz w:val="20"/>
                <w:szCs w:val="20"/>
                <w:spacing w:val="-38"/>
              </w:rPr>
              <w:t xml:space="preserve"> </w:t>
            </w:r>
            <w:r>
              <w:rPr>
                <w:sz w:val="20"/>
                <w:szCs w:val="20"/>
                <w:spacing w:val="6"/>
              </w:rPr>
              <w:t>家。引进</w:t>
            </w:r>
            <w:r>
              <w:rPr>
                <w:sz w:val="20"/>
                <w:szCs w:val="20"/>
                <w:spacing w:val="-38"/>
              </w:rPr>
              <w:t xml:space="preserve"> </w:t>
            </w:r>
            <w:r>
              <w:rPr>
                <w:sz w:val="20"/>
                <w:szCs w:val="20"/>
                <w:spacing w:val="6"/>
              </w:rPr>
              <w:t>5</w:t>
            </w:r>
            <w:r>
              <w:rPr>
                <w:sz w:val="20"/>
                <w:szCs w:val="20"/>
                <w:spacing w:val="-45"/>
              </w:rPr>
              <w:t xml:space="preserve"> </w:t>
            </w:r>
            <w:r>
              <w:rPr>
                <w:sz w:val="20"/>
                <w:szCs w:val="20"/>
                <w:spacing w:val="6"/>
              </w:rPr>
              <w:t>个投资</w:t>
            </w:r>
            <w:r>
              <w:rPr>
                <w:sz w:val="20"/>
                <w:szCs w:val="20"/>
                <w:spacing w:val="-39"/>
              </w:rPr>
              <w:t xml:space="preserve"> </w:t>
            </w:r>
            <w:r>
              <w:rPr>
                <w:sz w:val="20"/>
                <w:szCs w:val="20"/>
                <w:spacing w:val="6"/>
              </w:rPr>
              <w:t>5</w:t>
            </w:r>
            <w:r>
              <w:rPr>
                <w:sz w:val="20"/>
                <w:szCs w:val="20"/>
                <w:spacing w:val="-46"/>
              </w:rPr>
              <w:t xml:space="preserve"> </w:t>
            </w:r>
            <w:r>
              <w:rPr>
                <w:sz w:val="20"/>
                <w:szCs w:val="20"/>
                <w:spacing w:val="6"/>
              </w:rPr>
              <w:t>亿元以上的重大</w:t>
            </w:r>
            <w:r>
              <w:rPr>
                <w:sz w:val="20"/>
                <w:szCs w:val="20"/>
                <w:spacing w:val="6"/>
              </w:rPr>
              <w:t>产业项目。</w:t>
            </w:r>
          </w:p>
          <w:p>
            <w:pPr>
              <w:pStyle w:val="TableText"/>
              <w:ind w:left="111" w:right="105" w:firstLine="417"/>
              <w:spacing w:before="31" w:line="339" w:lineRule="auto"/>
              <w:jc w:val="both"/>
              <w:rPr>
                <w:sz w:val="20"/>
                <w:szCs w:val="20"/>
              </w:rPr>
            </w:pPr>
            <w:r>
              <w:rPr>
                <w:sz w:val="20"/>
                <w:szCs w:val="20"/>
                <w:spacing w:val="5"/>
              </w:rPr>
              <w:t>——2022</w:t>
            </w:r>
            <w:r>
              <w:rPr>
                <w:sz w:val="20"/>
                <w:szCs w:val="20"/>
                <w:spacing w:val="-32"/>
              </w:rPr>
              <w:t xml:space="preserve"> </w:t>
            </w:r>
            <w:r>
              <w:rPr>
                <w:sz w:val="20"/>
                <w:szCs w:val="20"/>
                <w:spacing w:val="5"/>
              </w:rPr>
              <w:t>年，落后产能完全退出。培育</w:t>
            </w:r>
            <w:r>
              <w:rPr>
                <w:sz w:val="20"/>
                <w:szCs w:val="20"/>
                <w:spacing w:val="9"/>
              </w:rPr>
              <w:t>自治区级制造业领先示范企业（产品）1—2</w:t>
            </w:r>
            <w:r>
              <w:rPr>
                <w:sz w:val="20"/>
                <w:szCs w:val="20"/>
                <w:spacing w:val="-2"/>
              </w:rPr>
              <w:t>个，“专精特新”（示范）企业</w:t>
            </w:r>
            <w:r>
              <w:rPr>
                <w:sz w:val="20"/>
                <w:szCs w:val="20"/>
                <w:spacing w:val="-41"/>
              </w:rPr>
              <w:t xml:space="preserve"> </w:t>
            </w:r>
            <w:r>
              <w:rPr>
                <w:sz w:val="20"/>
                <w:szCs w:val="20"/>
                <w:spacing w:val="-2"/>
              </w:rPr>
              <w:t>5</w:t>
            </w:r>
            <w:r>
              <w:rPr>
                <w:sz w:val="20"/>
                <w:szCs w:val="20"/>
                <w:spacing w:val="-38"/>
              </w:rPr>
              <w:t xml:space="preserve"> </w:t>
            </w:r>
            <w:r>
              <w:rPr>
                <w:sz w:val="20"/>
                <w:szCs w:val="20"/>
                <w:spacing w:val="-2"/>
              </w:rPr>
              <w:t>家。制造业</w:t>
            </w:r>
            <w:r>
              <w:rPr>
                <w:sz w:val="20"/>
                <w:szCs w:val="20"/>
                <w:spacing w:val="15"/>
              </w:rPr>
              <w:t>投资占工业投资比重超过60%。</w:t>
            </w:r>
          </w:p>
          <w:p>
            <w:pPr>
              <w:pStyle w:val="TableText"/>
              <w:ind w:left="112" w:right="31" w:firstLine="415"/>
              <w:spacing w:before="3" w:line="317" w:lineRule="auto"/>
              <w:jc w:val="both"/>
              <w:rPr>
                <w:sz w:val="20"/>
                <w:szCs w:val="20"/>
              </w:rPr>
            </w:pPr>
            <w:r>
              <w:rPr>
                <w:sz w:val="20"/>
                <w:szCs w:val="20"/>
                <w:spacing w:val="5"/>
              </w:rPr>
              <w:t>——2023</w:t>
            </w:r>
            <w:r>
              <w:rPr>
                <w:sz w:val="20"/>
                <w:szCs w:val="20"/>
                <w:spacing w:val="-32"/>
              </w:rPr>
              <w:t xml:space="preserve"> </w:t>
            </w:r>
            <w:r>
              <w:rPr>
                <w:sz w:val="20"/>
                <w:szCs w:val="20"/>
                <w:spacing w:val="5"/>
              </w:rPr>
              <w:t>年，力争培育国家级制造业单</w:t>
            </w:r>
            <w:r>
              <w:rPr>
                <w:sz w:val="20"/>
                <w:szCs w:val="20"/>
                <w:spacing w:val="9"/>
              </w:rPr>
              <w:t>项冠军企业（产品）1</w:t>
            </w:r>
            <w:r>
              <w:rPr>
                <w:sz w:val="20"/>
                <w:szCs w:val="20"/>
                <w:spacing w:val="-37"/>
              </w:rPr>
              <w:t xml:space="preserve"> </w:t>
            </w:r>
            <w:r>
              <w:rPr>
                <w:sz w:val="20"/>
                <w:szCs w:val="20"/>
                <w:spacing w:val="9"/>
              </w:rPr>
              <w:t>个、</w:t>
            </w:r>
            <w:r>
              <w:rPr>
                <w:sz w:val="20"/>
                <w:szCs w:val="20"/>
                <w:spacing w:val="-58"/>
              </w:rPr>
              <w:t xml:space="preserve"> </w:t>
            </w:r>
            <w:r>
              <w:rPr>
                <w:sz w:val="20"/>
                <w:szCs w:val="20"/>
                <w:spacing w:val="9"/>
              </w:rPr>
              <w:t>自治区级制造业</w:t>
            </w:r>
            <w:r>
              <w:rPr>
                <w:sz w:val="20"/>
                <w:szCs w:val="20"/>
                <w:spacing w:val="1"/>
              </w:rPr>
              <w:t>领先示范企业（产品）3</w:t>
            </w:r>
            <w:r>
              <w:rPr>
                <w:sz w:val="20"/>
                <w:szCs w:val="20"/>
                <w:spacing w:val="-41"/>
              </w:rPr>
              <w:t xml:space="preserve"> </w:t>
            </w:r>
            <w:r>
              <w:rPr>
                <w:sz w:val="20"/>
                <w:szCs w:val="20"/>
                <w:spacing w:val="1"/>
              </w:rPr>
              <w:t>个，“专精特新”小</w:t>
            </w:r>
            <w:r>
              <w:rPr>
                <w:sz w:val="20"/>
                <w:szCs w:val="20"/>
                <w:spacing w:val="8"/>
              </w:rPr>
              <w:t>巨人企业</w:t>
            </w:r>
            <w:r>
              <w:rPr>
                <w:sz w:val="20"/>
                <w:szCs w:val="20"/>
                <w:spacing w:val="-36"/>
              </w:rPr>
              <w:t xml:space="preserve"> </w:t>
            </w:r>
            <w:r>
              <w:rPr>
                <w:sz w:val="20"/>
                <w:szCs w:val="20"/>
                <w:spacing w:val="8"/>
              </w:rPr>
              <w:t>2</w:t>
            </w:r>
            <w:r>
              <w:rPr>
                <w:sz w:val="20"/>
                <w:szCs w:val="20"/>
                <w:spacing w:val="-38"/>
              </w:rPr>
              <w:t xml:space="preserve"> </w:t>
            </w:r>
            <w:r>
              <w:rPr>
                <w:sz w:val="20"/>
                <w:szCs w:val="20"/>
                <w:spacing w:val="8"/>
              </w:rPr>
              <w:t>家。战略性新兴产业占规模以上</w:t>
            </w:r>
            <w:r>
              <w:rPr>
                <w:sz w:val="20"/>
                <w:szCs w:val="20"/>
                <w:spacing w:val="5"/>
              </w:rPr>
              <w:t>工业增加值比重较</w:t>
            </w:r>
            <w:r>
              <w:rPr>
                <w:sz w:val="20"/>
                <w:szCs w:val="20"/>
                <w:spacing w:val="-27"/>
              </w:rPr>
              <w:t xml:space="preserve"> </w:t>
            </w:r>
            <w:r>
              <w:rPr>
                <w:sz w:val="20"/>
                <w:szCs w:val="20"/>
                <w:spacing w:val="5"/>
              </w:rPr>
              <w:t>2020</w:t>
            </w:r>
            <w:r>
              <w:rPr>
                <w:sz w:val="20"/>
                <w:szCs w:val="20"/>
                <w:spacing w:val="-41"/>
              </w:rPr>
              <w:t xml:space="preserve"> </w:t>
            </w:r>
            <w:r>
              <w:rPr>
                <w:sz w:val="20"/>
                <w:szCs w:val="20"/>
                <w:spacing w:val="5"/>
              </w:rPr>
              <w:t>年提高</w:t>
            </w:r>
            <w:r>
              <w:rPr>
                <w:sz w:val="20"/>
                <w:szCs w:val="20"/>
                <w:spacing w:val="-41"/>
              </w:rPr>
              <w:t xml:space="preserve"> </w:t>
            </w:r>
            <w:r>
              <w:rPr>
                <w:sz w:val="20"/>
                <w:szCs w:val="20"/>
                <w:spacing w:val="5"/>
              </w:rPr>
              <w:t>5</w:t>
            </w:r>
            <w:r>
              <w:rPr>
                <w:sz w:val="20"/>
                <w:szCs w:val="20"/>
                <w:spacing w:val="-42"/>
              </w:rPr>
              <w:t xml:space="preserve"> </w:t>
            </w:r>
            <w:r>
              <w:rPr>
                <w:sz w:val="20"/>
                <w:szCs w:val="20"/>
                <w:spacing w:val="5"/>
              </w:rPr>
              <w:t>个百分点。</w:t>
            </w:r>
          </w:p>
        </w:tc>
      </w:tr>
    </w:tbl>
    <w:p>
      <w:pPr>
        <w:ind w:left="545"/>
        <w:spacing w:before="132"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二、重点任务</w:t>
      </w:r>
    </w:p>
    <w:p>
      <w:pPr>
        <w:ind w:left="529"/>
        <w:spacing w:before="113" w:line="241" w:lineRule="auto"/>
        <w:rPr>
          <w:rFonts w:ascii="KaiTi" w:hAnsi="KaiTi" w:eastAsia="KaiTi" w:cs="KaiTi"/>
          <w:sz w:val="20"/>
          <w:szCs w:val="20"/>
        </w:rPr>
      </w:pPr>
      <w:r>
        <w:rPr>
          <w:rFonts w:ascii="KaiTi" w:hAnsi="KaiTi" w:eastAsia="KaiTi" w:cs="KaiTi"/>
          <w:sz w:val="20"/>
          <w:szCs w:val="20"/>
          <w:b/>
          <w:bCs/>
          <w:spacing w:val="3"/>
        </w:rPr>
        <w:t>（</w:t>
      </w:r>
      <w:r>
        <w:rPr>
          <w:rFonts w:ascii="KaiTi" w:hAnsi="KaiTi" w:eastAsia="KaiTi" w:cs="KaiTi"/>
          <w:sz w:val="20"/>
          <w:szCs w:val="20"/>
          <w:spacing w:val="-42"/>
        </w:rPr>
        <w:t xml:space="preserve"> </w:t>
      </w:r>
      <w:r>
        <w:rPr>
          <w:rFonts w:ascii="KaiTi" w:hAnsi="KaiTi" w:eastAsia="KaiTi" w:cs="KaiTi"/>
          <w:sz w:val="20"/>
          <w:szCs w:val="20"/>
          <w:b/>
          <w:bCs/>
          <w:spacing w:val="3"/>
        </w:rPr>
        <w:t>一）产业结构优化行动。</w:t>
      </w:r>
    </w:p>
    <w:p>
      <w:pPr>
        <w:pStyle w:val="BodyText"/>
        <w:ind w:left="116" w:right="152" w:firstLine="431"/>
        <w:spacing w:before="121" w:line="298" w:lineRule="auto"/>
        <w:jc w:val="both"/>
        <w:rPr/>
      </w:pPr>
      <w:r>
        <w:rPr>
          <w:spacing w:val="8"/>
        </w:rPr>
        <w:t>时间节点：到</w:t>
      </w:r>
      <w:r>
        <w:rPr>
          <w:spacing w:val="-35"/>
        </w:rPr>
        <w:t xml:space="preserve"> </w:t>
      </w:r>
      <w:r>
        <w:rPr>
          <w:rFonts w:ascii="Times New Roman" w:hAnsi="Times New Roman" w:eastAsia="Times New Roman" w:cs="Times New Roman"/>
          <w:spacing w:val="8"/>
        </w:rPr>
        <w:t>2023 </w:t>
      </w:r>
      <w:r>
        <w:rPr>
          <w:spacing w:val="8"/>
        </w:rPr>
        <w:t>年</w:t>
      </w:r>
      <w:r>
        <w:rPr>
          <w:spacing w:val="-59"/>
        </w:rPr>
        <w:t xml:space="preserve"> </w:t>
      </w:r>
      <w:r>
        <w:rPr>
          <w:spacing w:val="8"/>
        </w:rPr>
        <w:t>，规模以上现代纺</w:t>
      </w:r>
      <w:r>
        <w:rPr>
          <w:spacing w:val="6"/>
        </w:rPr>
        <w:t>织和服装产值力争达到</w:t>
      </w:r>
      <w:r>
        <w:rPr>
          <w:rFonts w:ascii="Times New Roman" w:hAnsi="Times New Roman" w:eastAsia="Times New Roman" w:cs="Times New Roman"/>
          <w:spacing w:val="6"/>
        </w:rPr>
        <w:t>20</w:t>
      </w:r>
      <w:r>
        <w:rPr>
          <w:rFonts w:ascii="Times New Roman" w:hAnsi="Times New Roman" w:eastAsia="Times New Roman" w:cs="Times New Roman"/>
        </w:rPr>
        <w:t xml:space="preserve"> </w:t>
      </w:r>
      <w:r>
        <w:rPr>
          <w:spacing w:val="6"/>
        </w:rPr>
        <w:t>亿元，年均增长</w:t>
      </w:r>
      <w:r>
        <w:rPr>
          <w:rFonts w:ascii="Times New Roman" w:hAnsi="Times New Roman" w:eastAsia="Times New Roman" w:cs="Times New Roman"/>
          <w:spacing w:val="6"/>
        </w:rPr>
        <w:t>30%</w:t>
      </w:r>
      <w:r>
        <w:rPr>
          <w:spacing w:val="1"/>
        </w:rPr>
        <w:t>左右；肉牛深加工产业产值力争达到</w:t>
      </w:r>
      <w:r>
        <w:rPr>
          <w:spacing w:val="-44"/>
        </w:rPr>
        <w:t xml:space="preserve"> </w:t>
      </w:r>
      <w:r>
        <w:rPr>
          <w:rFonts w:ascii="Times New Roman" w:hAnsi="Times New Roman" w:eastAsia="Times New Roman" w:cs="Times New Roman"/>
          <w:spacing w:val="1"/>
        </w:rPr>
        <w:t>100</w:t>
      </w:r>
      <w:r>
        <w:rPr>
          <w:rFonts w:ascii="Times New Roman" w:hAnsi="Times New Roman" w:eastAsia="Times New Roman" w:cs="Times New Roman"/>
          <w:spacing w:val="-19"/>
        </w:rPr>
        <w:t xml:space="preserve"> </w:t>
      </w:r>
      <w:r>
        <w:rPr>
          <w:spacing w:val="1"/>
        </w:rPr>
        <w:t>亿元，</w:t>
      </w:r>
    </w:p>
    <w:p>
      <w:pPr>
        <w:spacing w:line="14" w:lineRule="auto"/>
        <w:rPr>
          <w:rFonts w:ascii="Arial"/>
          <w:sz w:val="2"/>
        </w:rPr>
      </w:pPr>
      <w:r>
        <w:rPr>
          <w:rFonts w:ascii="Arial" w:hAnsi="Arial" w:eastAsia="Arial" w:cs="Arial"/>
          <w:sz w:val="2"/>
          <w:szCs w:val="2"/>
        </w:rPr>
        <w:br w:type="column"/>
      </w:r>
    </w:p>
    <w:p>
      <w:pPr>
        <w:pStyle w:val="BodyText"/>
        <w:ind w:left="114" w:right="78" w:firstLine="1"/>
        <w:spacing w:before="47" w:line="347" w:lineRule="auto"/>
        <w:jc w:val="both"/>
        <w:rPr/>
      </w:pPr>
      <w:r>
        <w:rPr>
          <w:spacing w:val="5"/>
        </w:rPr>
        <w:t>年均增长</w:t>
      </w:r>
      <w:r>
        <w:rPr>
          <w:spacing w:val="-30"/>
        </w:rPr>
        <w:t xml:space="preserve"> </w:t>
      </w:r>
      <w:r>
        <w:rPr>
          <w:rFonts w:ascii="Times New Roman" w:hAnsi="Times New Roman" w:eastAsia="Times New Roman" w:cs="Times New Roman"/>
          <w:spacing w:val="5"/>
        </w:rPr>
        <w:t>50%</w:t>
      </w:r>
      <w:r>
        <w:rPr>
          <w:spacing w:val="5"/>
        </w:rPr>
        <w:t>左右；绿色食品产业产值力争达</w:t>
      </w:r>
      <w:r>
        <w:rPr>
          <w:spacing w:val="4"/>
        </w:rPr>
        <w:t>到</w:t>
      </w:r>
      <w:r>
        <w:rPr>
          <w:spacing w:val="-23"/>
        </w:rPr>
        <w:t xml:space="preserve"> </w:t>
      </w:r>
      <w:r>
        <w:rPr>
          <w:rFonts w:ascii="Times New Roman" w:hAnsi="Times New Roman" w:eastAsia="Times New Roman" w:cs="Times New Roman"/>
          <w:spacing w:val="4"/>
        </w:rPr>
        <w:t>100 </w:t>
      </w:r>
      <w:r>
        <w:rPr>
          <w:spacing w:val="4"/>
        </w:rPr>
        <w:t>亿元，年均增长</w:t>
      </w:r>
      <w:r>
        <w:rPr>
          <w:spacing w:val="-39"/>
        </w:rPr>
        <w:t xml:space="preserve"> </w:t>
      </w:r>
      <w:r>
        <w:rPr>
          <w:rFonts w:ascii="Times New Roman" w:hAnsi="Times New Roman" w:eastAsia="Times New Roman" w:cs="Times New Roman"/>
          <w:spacing w:val="4"/>
        </w:rPr>
        <w:t>30%</w:t>
      </w:r>
      <w:r>
        <w:rPr>
          <w:spacing w:val="4"/>
        </w:rPr>
        <w:t>左右；能源新材料</w:t>
      </w:r>
      <w:r>
        <w:rPr>
          <w:spacing w:val="8"/>
        </w:rPr>
        <w:t>产业产值力争达到</w:t>
      </w:r>
      <w:r>
        <w:rPr>
          <w:spacing w:val="-29"/>
        </w:rPr>
        <w:t xml:space="preserve"> </w:t>
      </w:r>
      <w:r>
        <w:rPr>
          <w:rFonts w:ascii="Times New Roman" w:hAnsi="Times New Roman" w:eastAsia="Times New Roman" w:cs="Times New Roman"/>
          <w:spacing w:val="8"/>
        </w:rPr>
        <w:t>20 </w:t>
      </w:r>
      <w:r>
        <w:rPr>
          <w:spacing w:val="8"/>
        </w:rPr>
        <w:t>亿元，年均增长</w:t>
      </w:r>
      <w:r>
        <w:rPr>
          <w:spacing w:val="-18"/>
        </w:rPr>
        <w:t xml:space="preserve"> </w:t>
      </w:r>
      <w:r>
        <w:rPr>
          <w:rFonts w:ascii="Times New Roman" w:hAnsi="Times New Roman" w:eastAsia="Times New Roman" w:cs="Times New Roman"/>
          <w:spacing w:val="8"/>
        </w:rPr>
        <w:t>18%</w:t>
      </w:r>
      <w:r>
        <w:rPr>
          <w:spacing w:val="8"/>
        </w:rPr>
        <w:t>左</w:t>
      </w:r>
      <w:r>
        <w:rPr>
          <w:spacing w:val="7"/>
        </w:rPr>
        <w:t>右；电子信息产业产值力争达到</w:t>
      </w:r>
      <w:r>
        <w:rPr>
          <w:spacing w:val="-25"/>
        </w:rPr>
        <w:t xml:space="preserve"> </w:t>
      </w:r>
      <w:r>
        <w:rPr>
          <w:rFonts w:ascii="Times New Roman" w:hAnsi="Times New Roman" w:eastAsia="Times New Roman" w:cs="Times New Roman"/>
          <w:spacing w:val="7"/>
        </w:rPr>
        <w:t>3-4 </w:t>
      </w:r>
      <w:r>
        <w:rPr>
          <w:spacing w:val="7"/>
        </w:rPr>
        <w:t>亿元，年</w:t>
      </w:r>
      <w:r>
        <w:rPr>
          <w:spacing w:val="3"/>
        </w:rPr>
        <w:t>均增长</w:t>
      </w:r>
      <w:r>
        <w:rPr>
          <w:spacing w:val="-17"/>
        </w:rPr>
        <w:t xml:space="preserve"> </w:t>
      </w:r>
      <w:r>
        <w:rPr>
          <w:rFonts w:ascii="Times New Roman" w:hAnsi="Times New Roman" w:eastAsia="Times New Roman" w:cs="Times New Roman"/>
          <w:spacing w:val="3"/>
        </w:rPr>
        <w:t>10%</w:t>
      </w:r>
      <w:r>
        <w:rPr>
          <w:spacing w:val="3"/>
        </w:rPr>
        <w:t>左右。</w:t>
      </w:r>
    </w:p>
    <w:p>
      <w:pPr>
        <w:pStyle w:val="BodyText"/>
        <w:ind w:left="537"/>
        <w:spacing w:before="21" w:line="278" w:lineRule="exact"/>
        <w:rPr/>
      </w:pPr>
      <w:r>
        <w:rPr>
          <w:spacing w:val="6"/>
          <w:position w:val="1"/>
        </w:rPr>
        <w:t>实施重点：</w:t>
      </w:r>
    </w:p>
    <w:p>
      <w:pPr>
        <w:pStyle w:val="BodyText"/>
        <w:ind w:firstLine="554"/>
        <w:spacing w:before="109" w:line="341" w:lineRule="auto"/>
        <w:rPr/>
      </w:pPr>
      <w:r>
        <w:rPr>
          <w:rFonts w:ascii="Times New Roman" w:hAnsi="Times New Roman" w:eastAsia="Times New Roman" w:cs="Times New Roman"/>
          <w:spacing w:val="12"/>
        </w:rPr>
        <w:t>1.  </w:t>
      </w:r>
      <w:r>
        <w:rPr>
          <w:spacing w:val="12"/>
        </w:rPr>
        <w:t>加快发展现代纺织和服装产业。按照</w:t>
      </w:r>
      <w:r>
        <w:rPr>
          <w:rFonts w:ascii="Times New Roman" w:hAnsi="Times New Roman" w:eastAsia="Times New Roman" w:cs="Times New Roman"/>
          <w:spacing w:val="13"/>
        </w:rPr>
        <w:t>“</w:t>
      </w:r>
      <w:r>
        <w:rPr>
          <w:spacing w:val="13"/>
        </w:rPr>
        <w:t>无中生有、关联配套、集群发展</w:t>
      </w:r>
      <w:r>
        <w:rPr>
          <w:rFonts w:ascii="Times New Roman" w:hAnsi="Times New Roman" w:eastAsia="Times New Roman" w:cs="Times New Roman"/>
          <w:spacing w:val="13"/>
        </w:rPr>
        <w:t>”</w:t>
      </w:r>
      <w:r>
        <w:rPr>
          <w:spacing w:val="13"/>
        </w:rPr>
        <w:t>的思路，重</w:t>
      </w:r>
      <w:r>
        <w:rPr>
          <w:spacing w:val="12"/>
        </w:rPr>
        <w:t>点培育现代纺纱、织布、植物印染、服装加工</w:t>
      </w:r>
      <w:r>
        <w:rPr>
          <w:spacing w:val="14"/>
        </w:rPr>
        <w:t>四大产业链条</w:t>
      </w:r>
      <w:r>
        <w:rPr>
          <w:spacing w:val="-45"/>
        </w:rPr>
        <w:t xml:space="preserve"> </w:t>
      </w:r>
      <w:r>
        <w:rPr>
          <w:spacing w:val="14"/>
        </w:rPr>
        <w:t>，着力抓好丰源纺织</w:t>
      </w:r>
      <w:r>
        <w:rPr>
          <w:spacing w:val="-38"/>
        </w:rPr>
        <w:t xml:space="preserve"> </w:t>
      </w:r>
      <w:r>
        <w:rPr>
          <w:rFonts w:ascii="Times New Roman" w:hAnsi="Times New Roman" w:eastAsia="Times New Roman" w:cs="Times New Roman"/>
          <w:spacing w:val="14"/>
        </w:rPr>
        <w:t>20 </w:t>
      </w:r>
      <w:r>
        <w:rPr>
          <w:spacing w:val="14"/>
        </w:rPr>
        <w:t>万锭纺</w:t>
      </w:r>
      <w:r>
        <w:rPr>
          <w:spacing w:val="10"/>
        </w:rPr>
        <w:t>纱纺织二期工程、宁川置业</w:t>
      </w:r>
      <w:r>
        <w:rPr>
          <w:spacing w:val="-31"/>
        </w:rPr>
        <w:t xml:space="preserve"> </w:t>
      </w:r>
      <w:r>
        <w:rPr>
          <w:rFonts w:ascii="Times New Roman" w:hAnsi="Times New Roman" w:eastAsia="Times New Roman" w:cs="Times New Roman"/>
          <w:spacing w:val="10"/>
        </w:rPr>
        <w:t>20 </w:t>
      </w:r>
      <w:r>
        <w:rPr>
          <w:spacing w:val="10"/>
        </w:rPr>
        <w:t>万锭纺纱织布、</w:t>
      </w:r>
      <w:r>
        <w:rPr>
          <w:spacing w:val="12"/>
        </w:rPr>
        <w:t>双文绒业高档羊绒制品等项目建成达产，推进</w:t>
      </w:r>
      <w:r>
        <w:rPr>
          <w:spacing w:val="16"/>
        </w:rPr>
        <w:t>长乐现代纺织服装、中山华人礼服服装加工、</w:t>
      </w:r>
      <w:r>
        <w:rPr>
          <w:spacing w:val="12"/>
        </w:rPr>
        <w:t>明锋金银丝生态纺织等项目落地建设，促进现</w:t>
      </w:r>
      <w:r>
        <w:rPr>
          <w:spacing w:val="16"/>
        </w:rPr>
        <w:t>代纺织和服装加工产业规模化、集聚化发展。</w:t>
      </w:r>
      <w:r>
        <w:rPr>
          <w:spacing w:val="2"/>
        </w:rPr>
        <w:t xml:space="preserve"> </w:t>
      </w:r>
      <w:r>
        <w:rPr>
          <w:spacing w:val="12"/>
        </w:rPr>
        <w:t>（</w:t>
      </w:r>
      <w:r>
        <w:rPr>
          <w:rFonts w:ascii="KaiTi" w:hAnsi="KaiTi" w:eastAsia="KaiTi" w:cs="KaiTi"/>
          <w:spacing w:val="12"/>
        </w:rPr>
        <w:t>责任单位：市工业和信息化局、商务投资促</w:t>
      </w:r>
      <w:r>
        <w:rPr>
          <w:rFonts w:ascii="KaiTi" w:hAnsi="KaiTi" w:eastAsia="KaiTi" w:cs="KaiTi"/>
          <w:spacing w:val="15"/>
        </w:rPr>
        <w:t>进局，各县〔</w:t>
      </w:r>
      <w:r>
        <w:rPr>
          <w:rFonts w:ascii="KaiTi" w:hAnsi="KaiTi" w:eastAsia="KaiTi" w:cs="KaiTi"/>
          <w:spacing w:val="-53"/>
        </w:rPr>
        <w:t xml:space="preserve"> </w:t>
      </w:r>
      <w:r>
        <w:rPr>
          <w:rFonts w:ascii="KaiTi" w:hAnsi="KaiTi" w:eastAsia="KaiTi" w:cs="KaiTi"/>
          <w:spacing w:val="15"/>
        </w:rPr>
        <w:t>区〕人民政府</w:t>
      </w:r>
      <w:r>
        <w:rPr>
          <w:spacing w:val="15"/>
        </w:rPr>
        <w:t>）</w:t>
      </w:r>
    </w:p>
    <w:p>
      <w:pPr>
        <w:pStyle w:val="BodyText"/>
        <w:ind w:left="111" w:right="13" w:firstLine="422"/>
        <w:spacing w:before="114" w:line="336" w:lineRule="auto"/>
        <w:rPr/>
      </w:pPr>
      <w:r>
        <w:rPr>
          <w:rFonts w:ascii="Times New Roman" w:hAnsi="Times New Roman" w:eastAsia="Times New Roman" w:cs="Times New Roman"/>
          <w:spacing w:val="8"/>
        </w:rPr>
        <w:t>2.  </w:t>
      </w:r>
      <w:r>
        <w:rPr>
          <w:spacing w:val="8"/>
        </w:rPr>
        <w:t>重点发展肉牛深加工产业。按照</w:t>
      </w:r>
      <w:r>
        <w:rPr>
          <w:rFonts w:ascii="Times New Roman" w:hAnsi="Times New Roman" w:eastAsia="Times New Roman" w:cs="Times New Roman"/>
          <w:spacing w:val="8"/>
        </w:rPr>
        <w:t>“</w:t>
      </w:r>
      <w:r>
        <w:rPr>
          <w:spacing w:val="8"/>
        </w:rPr>
        <w:t>牛肉</w:t>
      </w:r>
      <w:r>
        <w:rPr>
          <w:spacing w:val="10"/>
        </w:rPr>
        <w:t>优质、加工精深、品牌高端</w:t>
      </w:r>
      <w:r>
        <w:rPr>
          <w:rFonts w:ascii="Times New Roman" w:hAnsi="Times New Roman" w:eastAsia="Times New Roman" w:cs="Times New Roman"/>
          <w:spacing w:val="10"/>
        </w:rPr>
        <w:t>”</w:t>
      </w:r>
      <w:r>
        <w:rPr>
          <w:spacing w:val="10"/>
        </w:rPr>
        <w:t>的思路</w:t>
      </w:r>
      <w:r>
        <w:rPr>
          <w:spacing w:val="-42"/>
        </w:rPr>
        <w:t xml:space="preserve"> </w:t>
      </w:r>
      <w:r>
        <w:rPr>
          <w:spacing w:val="10"/>
        </w:rPr>
        <w:t>，重点构</w:t>
      </w:r>
      <w:r>
        <w:rPr>
          <w:spacing w:val="7"/>
        </w:rPr>
        <w:t>建种草养殖、屠宰加工、品牌打造、市场营销</w:t>
      </w:r>
      <w:r>
        <w:rPr>
          <w:spacing w:val="18"/>
        </w:rPr>
        <w:t>等全产业链条。完成六盘山泾河食品改造提</w:t>
      </w:r>
      <w:r>
        <w:rPr>
          <w:spacing w:val="7"/>
        </w:rPr>
        <w:t>升，加快福建融侨项目建设进度，抓好河南伊</w:t>
      </w:r>
      <w:r>
        <w:rPr>
          <w:spacing w:val="7"/>
        </w:rPr>
        <w:t>赛肉牛项目落地建设，重点发展冷鲜肉和分割</w:t>
      </w:r>
      <w:r>
        <w:rPr>
          <w:spacing w:val="7"/>
        </w:rPr>
        <w:t>肉，提高分级加工、分割包装比重；发展生鲜</w:t>
      </w:r>
      <w:r>
        <w:rPr>
          <w:spacing w:val="7"/>
        </w:rPr>
        <w:t>调理制品、速冻调理制品、风味提取物等高附</w:t>
      </w:r>
      <w:r>
        <w:rPr>
          <w:spacing w:val="7"/>
        </w:rPr>
        <w:t>加值产品，提高供应餐饮、家庭烹饪用等半成</w:t>
      </w:r>
      <w:r>
        <w:rPr/>
        <w:t>品比重；发展骨、血、内脏、油脂等综合利用，</w:t>
      </w:r>
      <w:r>
        <w:rPr>
          <w:spacing w:val="7"/>
        </w:rPr>
        <w:t>提高肉牛加工转化率。创新营销模式，扩大消</w:t>
      </w:r>
    </w:p>
    <w:p>
      <w:pPr>
        <w:spacing w:line="336" w:lineRule="auto"/>
        <w:sectPr>
          <w:type w:val="continuous"/>
          <w:pgSz w:w="11906" w:h="16839"/>
          <w:pgMar w:top="1766" w:right="1509" w:bottom="1563" w:left="1475" w:header="1428" w:footer="1172" w:gutter="0"/>
          <w:cols w:equalWidth="0" w:num="2">
            <w:col w:w="4481" w:space="100"/>
            <w:col w:w="4341" w:space="0"/>
          </w:cols>
        </w:sectPr>
        <w:rPr/>
      </w:pPr>
    </w:p>
    <w:p>
      <w:pPr>
        <w:spacing w:before="49"/>
        <w:rPr/>
      </w:pPr>
      <w:r>
        <w:drawing>
          <wp:anchor distT="0" distB="0" distL="0" distR="0" simplePos="0" relativeHeight="252020736" behindDoc="0" locked="0" layoutInCell="0" allowOverlap="1">
            <wp:simplePos x="0" y="0"/>
            <wp:positionH relativeFrom="page">
              <wp:posOffset>1008380</wp:posOffset>
            </wp:positionH>
            <wp:positionV relativeFrom="page">
              <wp:posOffset>1122680</wp:posOffset>
            </wp:positionV>
            <wp:extent cx="5579745" cy="7619"/>
            <wp:effectExtent l="0" t="0" r="0" b="0"/>
            <wp:wrapNone/>
            <wp:docPr id="1014" name="IM 1014"/>
            <wp:cNvGraphicFramePr/>
            <a:graphic>
              <a:graphicData uri="http://schemas.openxmlformats.org/drawingml/2006/picture">
                <pic:pic>
                  <pic:nvPicPr>
                    <pic:cNvPr id="1014" name="IM 1014"/>
                    <pic:cNvPicPr/>
                  </pic:nvPicPr>
                  <pic:blipFill>
                    <a:blip r:embed="rId509"/>
                    <a:stretch>
                      <a:fillRect/>
                    </a:stretch>
                  </pic:blipFill>
                  <pic:spPr>
                    <a:xfrm rot="0">
                      <a:off x="0" y="0"/>
                      <a:ext cx="5579745" cy="7619"/>
                    </a:xfrm>
                    <a:prstGeom prst="rect">
                      <a:avLst/>
                    </a:prstGeom>
                  </pic:spPr>
                </pic:pic>
              </a:graphicData>
            </a:graphic>
          </wp:anchor>
        </w:drawing>
      </w:r>
      <w:r/>
    </w:p>
    <w:p>
      <w:pPr>
        <w:sectPr>
          <w:headerReference w:type="default" r:id="rId487"/>
          <w:footerReference w:type="default" r:id="rId508"/>
          <w:pgSz w:w="11906" w:h="16839"/>
          <w:pgMar w:top="1769" w:right="1489" w:bottom="1570" w:left="1588" w:header="1428" w:footer="1172" w:gutter="0"/>
          <w:cols w:equalWidth="0" w:num="1">
            <w:col w:w="8829" w:space="0"/>
          </w:cols>
        </w:sectPr>
        <w:rPr/>
      </w:pPr>
    </w:p>
    <w:p>
      <w:pPr>
        <w:pStyle w:val="BodyText"/>
        <w:ind w:left="4" w:right="214" w:firstLine="7"/>
        <w:spacing w:before="47" w:line="351" w:lineRule="auto"/>
        <w:jc w:val="both"/>
        <w:rPr/>
      </w:pPr>
      <w:r>
        <w:rPr>
          <w:spacing w:val="5"/>
        </w:rPr>
        <w:t>费半径</w:t>
      </w:r>
      <w:r>
        <w:rPr>
          <w:spacing w:val="-45"/>
        </w:rPr>
        <w:t xml:space="preserve"> </w:t>
      </w:r>
      <w:r>
        <w:rPr>
          <w:spacing w:val="5"/>
        </w:rPr>
        <w:t>，打造</w:t>
      </w:r>
      <w:r>
        <w:rPr>
          <w:rFonts w:ascii="Times New Roman" w:hAnsi="Times New Roman" w:eastAsia="Times New Roman" w:cs="Times New Roman"/>
          <w:spacing w:val="5"/>
        </w:rPr>
        <w:t>“</w:t>
      </w:r>
      <w:r>
        <w:rPr>
          <w:spacing w:val="5"/>
        </w:rPr>
        <w:t>固原牛肉</w:t>
      </w:r>
      <w:r>
        <w:rPr>
          <w:rFonts w:ascii="Times New Roman" w:hAnsi="Times New Roman" w:eastAsia="Times New Roman" w:cs="Times New Roman"/>
          <w:spacing w:val="5"/>
        </w:rPr>
        <w:t>”</w:t>
      </w:r>
      <w:r>
        <w:rPr>
          <w:spacing w:val="5"/>
        </w:rPr>
        <w:t>区域品牌。（</w:t>
      </w:r>
      <w:r>
        <w:rPr>
          <w:rFonts w:ascii="KaiTi" w:hAnsi="KaiTi" w:eastAsia="KaiTi" w:cs="KaiTi"/>
          <w:spacing w:val="5"/>
        </w:rPr>
        <w:t>责任单</w:t>
      </w:r>
      <w:r>
        <w:rPr>
          <w:rFonts w:ascii="KaiTi" w:hAnsi="KaiTi" w:eastAsia="KaiTi" w:cs="KaiTi"/>
          <w:spacing w:val="-9"/>
        </w:rPr>
        <w:t>位：市农业农村局、工业和信息化局，各县〔</w:t>
      </w:r>
      <w:r>
        <w:rPr>
          <w:rFonts w:ascii="KaiTi" w:hAnsi="KaiTi" w:eastAsia="KaiTi" w:cs="KaiTi"/>
          <w:spacing w:val="-49"/>
        </w:rPr>
        <w:t xml:space="preserve"> </w:t>
      </w:r>
      <w:r>
        <w:rPr>
          <w:rFonts w:ascii="KaiTi" w:hAnsi="KaiTi" w:eastAsia="KaiTi" w:cs="KaiTi"/>
          <w:spacing w:val="-9"/>
        </w:rPr>
        <w:t>区〕</w:t>
      </w:r>
      <w:r>
        <w:rPr>
          <w:rFonts w:ascii="KaiTi" w:hAnsi="KaiTi" w:eastAsia="KaiTi" w:cs="KaiTi"/>
          <w:spacing w:val="10"/>
        </w:rPr>
        <w:t>人民政府</w:t>
      </w:r>
      <w:r>
        <w:rPr>
          <w:spacing w:val="10"/>
        </w:rPr>
        <w:t>）</w:t>
      </w:r>
    </w:p>
    <w:p>
      <w:pPr>
        <w:pStyle w:val="BodyText"/>
        <w:ind w:left="4" w:right="241" w:firstLine="425"/>
        <w:spacing w:before="4" w:line="347" w:lineRule="auto"/>
        <w:rPr/>
      </w:pPr>
      <w:r>
        <w:rPr>
          <w:rFonts w:ascii="Times New Roman" w:hAnsi="Times New Roman" w:eastAsia="Times New Roman" w:cs="Times New Roman"/>
          <w:spacing w:val="8"/>
        </w:rPr>
        <w:t>3.  </w:t>
      </w:r>
      <w:r>
        <w:rPr>
          <w:spacing w:val="8"/>
        </w:rPr>
        <w:t>大力发展绿色食品产业。按照</w:t>
      </w:r>
      <w:r>
        <w:rPr>
          <w:rFonts w:ascii="Times New Roman" w:hAnsi="Times New Roman" w:eastAsia="Times New Roman" w:cs="Times New Roman"/>
          <w:spacing w:val="8"/>
        </w:rPr>
        <w:t>“</w:t>
      </w:r>
      <w:r>
        <w:rPr>
          <w:spacing w:val="8"/>
        </w:rPr>
        <w:t>绿色发</w:t>
      </w:r>
      <w:r>
        <w:rPr>
          <w:spacing w:val="10"/>
        </w:rPr>
        <w:t>展、规模经营、高效安全</w:t>
      </w:r>
      <w:r>
        <w:rPr>
          <w:rFonts w:ascii="Times New Roman" w:hAnsi="Times New Roman" w:eastAsia="Times New Roman" w:cs="Times New Roman"/>
          <w:spacing w:val="10"/>
        </w:rPr>
        <w:t>”</w:t>
      </w:r>
      <w:r>
        <w:rPr>
          <w:spacing w:val="10"/>
        </w:rPr>
        <w:t>的思路</w:t>
      </w:r>
      <w:r>
        <w:rPr>
          <w:spacing w:val="-44"/>
        </w:rPr>
        <w:t xml:space="preserve"> </w:t>
      </w:r>
      <w:r>
        <w:rPr>
          <w:spacing w:val="10"/>
        </w:rPr>
        <w:t>，建立标准</w:t>
      </w:r>
      <w:r>
        <w:rPr>
          <w:spacing w:val="7"/>
        </w:rPr>
        <w:t>体系、扩大规模体量，加强市场监管、促进提</w:t>
      </w:r>
      <w:r>
        <w:rPr>
          <w:spacing w:val="7"/>
        </w:rPr>
        <w:t>档升级，积极创建原产地地理标志产品。马铃</w:t>
      </w:r>
      <w:r>
        <w:rPr>
          <w:spacing w:val="11"/>
        </w:rPr>
        <w:t>薯加工要坚持精淀粉加工和主食化开发并举，</w:t>
      </w:r>
      <w:r>
        <w:rPr>
          <w:spacing w:val="7"/>
        </w:rPr>
        <w:t>引导支持华尔晶淀粉、佳立生物科技等开发变</w:t>
      </w:r>
      <w:r>
        <w:rPr>
          <w:spacing w:val="1"/>
        </w:rPr>
        <w:t>性淀粉、全粉等高附加值产品；支持国圣食品、</w:t>
      </w:r>
      <w:r>
        <w:rPr>
          <w:spacing w:val="18"/>
        </w:rPr>
        <w:t>福宁广业等开展马铃薯面包等主食化产品开</w:t>
      </w:r>
      <w:r>
        <w:rPr>
          <w:spacing w:val="7"/>
        </w:rPr>
        <w:t>发和精深加工，引进雪川农业、亲亲食品等龙</w:t>
      </w:r>
      <w:r>
        <w:rPr>
          <w:spacing w:val="7"/>
        </w:rPr>
        <w:t>头企业，扩大薯条（薯片）等产业链产品。同</w:t>
      </w:r>
      <w:r>
        <w:rPr>
          <w:spacing w:val="7"/>
        </w:rPr>
        <w:t>时，鼓励马铃薯加工企业提取废水废渣中的蛋</w:t>
      </w:r>
      <w:r>
        <w:rPr>
          <w:spacing w:val="7"/>
        </w:rPr>
        <w:t>白质、膳食纤维、果胶等有效成分，并利用薯</w:t>
      </w:r>
      <w:r>
        <w:rPr>
          <w:spacing w:val="9"/>
        </w:rPr>
        <w:t>渣、薯皮等副产物生产生物有机肥</w:t>
      </w:r>
      <w:r>
        <w:rPr>
          <w:spacing w:val="-40"/>
        </w:rPr>
        <w:t xml:space="preserve"> </w:t>
      </w:r>
      <w:r>
        <w:rPr>
          <w:spacing w:val="9"/>
        </w:rPr>
        <w:t>，实现</w:t>
      </w:r>
      <w:r>
        <w:rPr>
          <w:rFonts w:ascii="Times New Roman" w:hAnsi="Times New Roman" w:eastAsia="Times New Roman" w:cs="Times New Roman"/>
          <w:spacing w:val="9"/>
        </w:rPr>
        <w:t>“</w:t>
      </w:r>
      <w:r>
        <w:rPr>
          <w:rFonts w:ascii="Times New Roman" w:hAnsi="Times New Roman" w:eastAsia="Times New Roman" w:cs="Times New Roman"/>
          <w:spacing w:val="-34"/>
        </w:rPr>
        <w:t xml:space="preserve"> </w:t>
      </w:r>
      <w:r>
        <w:rPr>
          <w:spacing w:val="9"/>
        </w:rPr>
        <w:t>吃</w:t>
      </w:r>
      <w:r>
        <w:rPr>
          <w:spacing w:val="11"/>
        </w:rPr>
        <w:t>干榨净</w:t>
      </w:r>
      <w:r>
        <w:rPr>
          <w:rFonts w:ascii="Times New Roman" w:hAnsi="Times New Roman" w:eastAsia="Times New Roman" w:cs="Times New Roman"/>
          <w:spacing w:val="11"/>
        </w:rPr>
        <w:t>”</w:t>
      </w:r>
      <w:r>
        <w:rPr>
          <w:rFonts w:ascii="Times New Roman" w:hAnsi="Times New Roman" w:eastAsia="Times New Roman" w:cs="Times New Roman"/>
          <w:spacing w:val="-14"/>
        </w:rPr>
        <w:t xml:space="preserve"> </w:t>
      </w:r>
      <w:r>
        <w:rPr>
          <w:spacing w:val="11"/>
        </w:rPr>
        <w:t>。中药材加工要重点提升精深加工能</w:t>
      </w:r>
      <w:r>
        <w:rPr>
          <w:spacing w:val="4"/>
        </w:rPr>
        <w:t>力水平，推进（</w:t>
      </w:r>
      <w:r>
        <w:rPr>
          <w:rFonts w:ascii="Times New Roman" w:hAnsi="Times New Roman" w:eastAsia="Times New Roman" w:cs="Times New Roman"/>
        </w:rPr>
        <w:t>GMP</w:t>
      </w:r>
      <w:r>
        <w:rPr>
          <w:rFonts w:ascii="Times New Roman" w:hAnsi="Times New Roman" w:eastAsia="Times New Roman" w:cs="Times New Roman"/>
          <w:spacing w:val="-8"/>
        </w:rPr>
        <w:t xml:space="preserve"> </w:t>
      </w:r>
      <w:r>
        <w:rPr>
          <w:spacing w:val="4"/>
        </w:rPr>
        <w:t>）认证，培育壮大广州香</w:t>
      </w:r>
      <w:r>
        <w:rPr>
          <w:spacing w:val="7"/>
        </w:rPr>
        <w:t>雪、上药集团、长江医药等支柱企业，大力发</w:t>
      </w:r>
      <w:r>
        <w:rPr>
          <w:spacing w:val="10"/>
        </w:rPr>
        <w:t>展中药饮片炮制和中药配方颗粒、中药制剂、</w:t>
      </w:r>
      <w:r>
        <w:rPr>
          <w:spacing w:val="18"/>
        </w:rPr>
        <w:t>中成药、中药健康食品和植物源生物医药制</w:t>
      </w:r>
      <w:r>
        <w:rPr>
          <w:spacing w:val="7"/>
        </w:rPr>
        <w:t>造，并加强产品研发和协同创新，促使中药材</w:t>
      </w:r>
      <w:r>
        <w:rPr>
          <w:spacing w:val="7"/>
        </w:rPr>
        <w:t>产业由原料输出型向精深开发型转变，提升中</w:t>
      </w:r>
      <w:r>
        <w:rPr>
          <w:spacing w:val="7"/>
        </w:rPr>
        <w:t>药材产品科技附加值。小杂粮（油料）加工要</w:t>
      </w:r>
      <w:r>
        <w:rPr>
          <w:spacing w:val="7"/>
        </w:rPr>
        <w:t>以本土龙头加工企业为牵引，加强与食品研究</w:t>
      </w:r>
      <w:r>
        <w:rPr>
          <w:spacing w:val="10"/>
        </w:rPr>
        <w:t>院所合作，开发加工亚麻籽油、小米、荞麦、</w:t>
      </w:r>
      <w:r>
        <w:rPr>
          <w:spacing w:val="7"/>
        </w:rPr>
        <w:t>苦荞、燕麦、豆类等最具营养和药用价值的小</w:t>
      </w:r>
      <w:r>
        <w:rPr>
          <w:spacing w:val="7"/>
        </w:rPr>
        <w:t>杂粮，生产健康休闲食品，提升小杂粮食药同</w:t>
      </w:r>
      <w:r>
        <w:rPr>
          <w:spacing w:val="5"/>
        </w:rPr>
        <w:t>源保健价值</w:t>
      </w:r>
      <w:r>
        <w:rPr>
          <w:spacing w:val="-55"/>
        </w:rPr>
        <w:t xml:space="preserve"> </w:t>
      </w:r>
      <w:r>
        <w:rPr>
          <w:spacing w:val="5"/>
        </w:rPr>
        <w:t>，延伸小杂粮加工产业链。（</w:t>
      </w:r>
      <w:r>
        <w:rPr>
          <w:rFonts w:ascii="KaiTi" w:hAnsi="KaiTi" w:eastAsia="KaiTi" w:cs="KaiTi"/>
          <w:spacing w:val="5"/>
        </w:rPr>
        <w:t>责任</w:t>
      </w:r>
      <w:r>
        <w:rPr>
          <w:rFonts w:ascii="KaiTi" w:hAnsi="KaiTi" w:eastAsia="KaiTi" w:cs="KaiTi"/>
          <w:spacing w:val="7"/>
        </w:rPr>
        <w:t>单位：市农业农村局、工业和信息化局、科技</w:t>
      </w:r>
      <w:r>
        <w:rPr>
          <w:rFonts w:ascii="KaiTi" w:hAnsi="KaiTi" w:eastAsia="KaiTi" w:cs="KaiTi"/>
          <w:spacing w:val="6"/>
        </w:rPr>
        <w:t>局，各县〔</w:t>
      </w:r>
      <w:r>
        <w:rPr>
          <w:rFonts w:ascii="KaiTi" w:hAnsi="KaiTi" w:eastAsia="KaiTi" w:cs="KaiTi"/>
          <w:spacing w:val="-55"/>
        </w:rPr>
        <w:t xml:space="preserve"> </w:t>
      </w:r>
      <w:r>
        <w:rPr>
          <w:rFonts w:ascii="KaiTi" w:hAnsi="KaiTi" w:eastAsia="KaiTi" w:cs="KaiTi"/>
          <w:spacing w:val="6"/>
        </w:rPr>
        <w:t>区〕人民政府</w:t>
      </w:r>
      <w:r>
        <w:rPr>
          <w:spacing w:val="6"/>
        </w:rPr>
        <w:t>）</w:t>
      </w:r>
    </w:p>
    <w:p>
      <w:pPr>
        <w:pStyle w:val="BodyText"/>
        <w:ind w:left="4" w:right="322" w:firstLine="420"/>
        <w:spacing w:before="111" w:line="298" w:lineRule="auto"/>
        <w:rPr/>
      </w:pPr>
      <w:r>
        <w:rPr>
          <w:rFonts w:ascii="Times New Roman" w:hAnsi="Times New Roman" w:eastAsia="Times New Roman" w:cs="Times New Roman"/>
          <w:spacing w:val="8"/>
        </w:rPr>
        <w:t>4.  </w:t>
      </w:r>
      <w:r>
        <w:rPr>
          <w:spacing w:val="8"/>
        </w:rPr>
        <w:t>鼓励发展能源及新材料产业。按照</w:t>
      </w:r>
      <w:r>
        <w:rPr>
          <w:rFonts w:ascii="Times New Roman" w:hAnsi="Times New Roman" w:eastAsia="Times New Roman" w:cs="Times New Roman"/>
          <w:spacing w:val="8"/>
        </w:rPr>
        <w:t>“</w:t>
      </w:r>
      <w:r>
        <w:rPr>
          <w:spacing w:val="8"/>
        </w:rPr>
        <w:t>加</w:t>
      </w:r>
      <w:r>
        <w:rPr>
          <w:spacing w:val="10"/>
        </w:rPr>
        <w:t>快开发、循环链接、创新发展</w:t>
      </w:r>
      <w:r>
        <w:rPr>
          <w:rFonts w:ascii="Times New Roman" w:hAnsi="Times New Roman" w:eastAsia="Times New Roman" w:cs="Times New Roman"/>
          <w:spacing w:val="10"/>
        </w:rPr>
        <w:t>”</w:t>
      </w:r>
      <w:r>
        <w:rPr>
          <w:spacing w:val="10"/>
        </w:rPr>
        <w:t>的思路</w:t>
      </w:r>
      <w:r>
        <w:rPr>
          <w:spacing w:val="-44"/>
        </w:rPr>
        <w:t xml:space="preserve"> </w:t>
      </w:r>
      <w:r>
        <w:rPr>
          <w:spacing w:val="10"/>
        </w:rPr>
        <w:t>，重点</w:t>
      </w:r>
      <w:r>
        <w:rPr>
          <w:spacing w:val="7"/>
        </w:rPr>
        <w:t>对煤炭加工转化实施扩能增产，完成矿区煤炭</w:t>
      </w:r>
    </w:p>
    <w:p>
      <w:pPr>
        <w:spacing w:line="14" w:lineRule="auto"/>
        <w:rPr>
          <w:rFonts w:ascii="Arial"/>
          <w:sz w:val="2"/>
        </w:rPr>
      </w:pPr>
      <w:r>
        <w:rPr>
          <w:rFonts w:ascii="Arial" w:hAnsi="Arial" w:eastAsia="Arial" w:cs="Arial"/>
          <w:sz w:val="2"/>
          <w:szCs w:val="2"/>
        </w:rPr>
        <w:br w:type="column"/>
      </w:r>
    </w:p>
    <w:p>
      <w:pPr>
        <w:pStyle w:val="BodyText"/>
        <w:ind w:left="7" w:right="82" w:firstLine="5"/>
        <w:spacing w:before="47" w:line="351" w:lineRule="auto"/>
        <w:jc w:val="both"/>
        <w:rPr/>
      </w:pPr>
      <w:r>
        <w:rPr>
          <w:spacing w:val="7"/>
        </w:rPr>
        <w:t>资源市场化配置，具备前置条件后启动投产王</w:t>
      </w:r>
      <w:r>
        <w:rPr>
          <w:spacing w:val="10"/>
        </w:rPr>
        <w:t>洼煤业</w:t>
      </w:r>
      <w:r>
        <w:rPr>
          <w:spacing w:val="-24"/>
        </w:rPr>
        <w:t xml:space="preserve"> </w:t>
      </w:r>
      <w:r>
        <w:rPr>
          <w:rFonts w:ascii="Times New Roman" w:hAnsi="Times New Roman" w:eastAsia="Times New Roman" w:cs="Times New Roman"/>
          <w:spacing w:val="10"/>
        </w:rPr>
        <w:t>600 </w:t>
      </w:r>
      <w:r>
        <w:rPr>
          <w:spacing w:val="10"/>
        </w:rPr>
        <w:t>万吨</w:t>
      </w:r>
      <w:r>
        <w:rPr>
          <w:rFonts w:ascii="Times New Roman" w:hAnsi="Times New Roman" w:eastAsia="Times New Roman" w:cs="Times New Roman"/>
          <w:spacing w:val="10"/>
        </w:rPr>
        <w:t>/</w:t>
      </w:r>
      <w:r>
        <w:rPr>
          <w:spacing w:val="10"/>
        </w:rPr>
        <w:t>年生产线</w:t>
      </w:r>
      <w:r>
        <w:rPr>
          <w:spacing w:val="-57"/>
        </w:rPr>
        <w:t xml:space="preserve"> </w:t>
      </w:r>
      <w:r>
        <w:rPr>
          <w:spacing w:val="10"/>
        </w:rPr>
        <w:t>，争取开工建设向</w:t>
      </w:r>
      <w:r>
        <w:rPr>
          <w:spacing w:val="11"/>
        </w:rPr>
        <w:t>华中输电</w:t>
      </w:r>
      <w:r>
        <w:rPr>
          <w:spacing w:val="-21"/>
        </w:rPr>
        <w:t xml:space="preserve"> </w:t>
      </w:r>
      <w:r>
        <w:rPr>
          <w:rFonts w:ascii="Times New Roman" w:hAnsi="Times New Roman" w:eastAsia="Times New Roman" w:cs="Times New Roman"/>
          <w:spacing w:val="11"/>
        </w:rPr>
        <w:t>2×1000</w:t>
      </w:r>
      <w:r>
        <w:rPr>
          <w:rFonts w:ascii="Times New Roman" w:hAnsi="Times New Roman" w:eastAsia="Times New Roman" w:cs="Times New Roman"/>
        </w:rPr>
        <w:t>MW</w:t>
      </w:r>
      <w:r>
        <w:rPr>
          <w:rFonts w:ascii="Times New Roman" w:hAnsi="Times New Roman" w:eastAsia="Times New Roman" w:cs="Times New Roman"/>
          <w:spacing w:val="19"/>
        </w:rPr>
        <w:t xml:space="preserve"> </w:t>
      </w:r>
      <w:r>
        <w:rPr>
          <w:spacing w:val="11"/>
        </w:rPr>
        <w:t>彭阳电源点前期工程及</w:t>
      </w:r>
      <w:r>
        <w:rPr>
          <w:spacing w:val="6"/>
        </w:rPr>
        <w:t>六盘山热电厂</w:t>
      </w:r>
      <w:r>
        <w:rPr>
          <w:spacing w:val="-6"/>
        </w:rPr>
        <w:t xml:space="preserve"> </w:t>
      </w:r>
      <w:r>
        <w:rPr>
          <w:rFonts w:ascii="Times New Roman" w:hAnsi="Times New Roman" w:eastAsia="Times New Roman" w:cs="Times New Roman"/>
          <w:spacing w:val="6"/>
        </w:rPr>
        <w:t>1×350</w:t>
      </w:r>
      <w:r>
        <w:rPr>
          <w:rFonts w:ascii="Times New Roman" w:hAnsi="Times New Roman" w:eastAsia="Times New Roman" w:cs="Times New Roman"/>
        </w:rPr>
        <w:t>MW</w:t>
      </w:r>
      <w:r>
        <w:rPr>
          <w:rFonts w:ascii="Times New Roman" w:hAnsi="Times New Roman" w:eastAsia="Times New Roman" w:cs="Times New Roman"/>
          <w:spacing w:val="6"/>
        </w:rPr>
        <w:t xml:space="preserve"> </w:t>
      </w:r>
      <w:r>
        <w:rPr>
          <w:spacing w:val="6"/>
        </w:rPr>
        <w:t>热电联产项目，在具</w:t>
      </w:r>
      <w:r>
        <w:rPr>
          <w:spacing w:val="7"/>
        </w:rPr>
        <w:t>备条件的区域建设风电、光伏电站项目，推动</w:t>
      </w:r>
      <w:r>
        <w:rPr>
          <w:spacing w:val="7"/>
        </w:rPr>
        <w:t>能源产业发展。延长盐化工下游产品，重点发</w:t>
      </w:r>
      <w:r>
        <w:rPr>
          <w:spacing w:val="11"/>
        </w:rPr>
        <w:t>展以</w:t>
      </w:r>
      <w:r>
        <w:rPr>
          <w:spacing w:val="-40"/>
        </w:rPr>
        <w:t xml:space="preserve"> </w:t>
      </w:r>
      <w:r>
        <w:rPr>
          <w:rFonts w:ascii="Times New Roman" w:hAnsi="Times New Roman" w:eastAsia="Times New Roman" w:cs="Times New Roman"/>
        </w:rPr>
        <w:t>PVC</w:t>
      </w:r>
      <w:r>
        <w:rPr>
          <w:rFonts w:ascii="Times New Roman" w:hAnsi="Times New Roman" w:eastAsia="Times New Roman" w:cs="Times New Roman"/>
          <w:spacing w:val="20"/>
        </w:rPr>
        <w:t xml:space="preserve"> </w:t>
      </w:r>
      <w:r>
        <w:rPr>
          <w:spacing w:val="11"/>
        </w:rPr>
        <w:t>为原料的建筑装潢产品</w:t>
      </w:r>
      <w:r>
        <w:rPr>
          <w:spacing w:val="-59"/>
        </w:rPr>
        <w:t xml:space="preserve"> </w:t>
      </w:r>
      <w:r>
        <w:rPr>
          <w:spacing w:val="11"/>
        </w:rPr>
        <w:t>，以水泥为</w:t>
      </w:r>
      <w:r>
        <w:rPr>
          <w:spacing w:val="7"/>
        </w:rPr>
        <w:t>原料的装配式建筑预制构件、预制混凝土部品</w:t>
      </w:r>
      <w:r>
        <w:rPr>
          <w:spacing w:val="7"/>
        </w:rPr>
        <w:t>部件以及功能性新型建材制品，并开发氢能能</w:t>
      </w:r>
      <w:r>
        <w:rPr>
          <w:spacing w:val="-11"/>
        </w:rPr>
        <w:t>源项目。（</w:t>
      </w:r>
      <w:r>
        <w:rPr>
          <w:rFonts w:ascii="KaiTi" w:hAnsi="KaiTi" w:eastAsia="KaiTi" w:cs="KaiTi"/>
          <w:spacing w:val="-11"/>
        </w:rPr>
        <w:t>责任单位：市发展改革委、工业和信息</w:t>
      </w:r>
      <w:r>
        <w:rPr>
          <w:rFonts w:ascii="KaiTi" w:hAnsi="KaiTi" w:eastAsia="KaiTi" w:cs="KaiTi"/>
          <w:spacing w:val="-7"/>
        </w:rPr>
        <w:t>化局，各县〔区〕人民政府</w:t>
      </w:r>
      <w:r>
        <w:rPr>
          <w:spacing w:val="-7"/>
        </w:rPr>
        <w:t>）</w:t>
      </w:r>
    </w:p>
    <w:p>
      <w:pPr>
        <w:pStyle w:val="BodyText"/>
        <w:ind w:right="23" w:firstLine="434"/>
        <w:spacing w:before="14" w:line="350" w:lineRule="auto"/>
        <w:jc w:val="both"/>
        <w:rPr/>
      </w:pPr>
      <w:r>
        <w:rPr>
          <w:rFonts w:ascii="Times New Roman" w:hAnsi="Times New Roman" w:eastAsia="Times New Roman" w:cs="Times New Roman"/>
          <w:spacing w:val="8"/>
        </w:rPr>
        <w:t>5.  </w:t>
      </w:r>
      <w:r>
        <w:rPr>
          <w:spacing w:val="8"/>
        </w:rPr>
        <w:t>稳步发展电子信息产业。按照</w:t>
      </w:r>
      <w:r>
        <w:rPr>
          <w:rFonts w:ascii="Times New Roman" w:hAnsi="Times New Roman" w:eastAsia="Times New Roman" w:cs="Times New Roman"/>
          <w:spacing w:val="8"/>
        </w:rPr>
        <w:t>“</w:t>
      </w:r>
      <w:r>
        <w:rPr>
          <w:spacing w:val="8"/>
        </w:rPr>
        <w:t>科学规</w:t>
      </w:r>
      <w:r>
        <w:rPr>
          <w:spacing w:val="11"/>
        </w:rPr>
        <w:t>划、合理布局、稳步推进</w:t>
      </w:r>
      <w:r>
        <w:rPr>
          <w:rFonts w:ascii="Times New Roman" w:hAnsi="Times New Roman" w:eastAsia="Times New Roman" w:cs="Times New Roman"/>
          <w:spacing w:val="11"/>
        </w:rPr>
        <w:t>”</w:t>
      </w:r>
      <w:r>
        <w:rPr>
          <w:spacing w:val="11"/>
        </w:rPr>
        <w:t>的思路</w:t>
      </w:r>
      <w:r>
        <w:rPr>
          <w:spacing w:val="-56"/>
        </w:rPr>
        <w:t xml:space="preserve"> </w:t>
      </w:r>
      <w:r>
        <w:rPr>
          <w:spacing w:val="11"/>
        </w:rPr>
        <w:t>，重点培育</w:t>
      </w:r>
      <w:r>
        <w:rPr>
          <w:spacing w:val="7"/>
        </w:rPr>
        <w:t>发展以较低端、劳动密集型为主的电子信息产</w:t>
      </w:r>
      <w:r>
        <w:rPr>
          <w:spacing w:val="7"/>
        </w:rPr>
        <w:t>品制造、组装等业态。加快推进罗普特集团军</w:t>
      </w:r>
      <w:r>
        <w:rPr>
          <w:spacing w:val="7"/>
        </w:rPr>
        <w:t>民融合高端制造生产基地项目，发展电子零部</w:t>
      </w:r>
      <w:r>
        <w:rPr>
          <w:spacing w:val="10"/>
        </w:rPr>
        <w:t>件制造、组装，以硬件生产制造牵引信息化、</w:t>
      </w:r>
      <w:r>
        <w:rPr>
          <w:spacing w:val="8"/>
        </w:rPr>
        <w:t>智能化研发相关产业落地。加快建成</w:t>
      </w:r>
      <w:r>
        <w:rPr>
          <w:spacing w:val="-25"/>
        </w:rPr>
        <w:t xml:space="preserve"> </w:t>
      </w:r>
      <w:r>
        <w:rPr>
          <w:rFonts w:ascii="Times New Roman" w:hAnsi="Times New Roman" w:eastAsia="Times New Roman" w:cs="Times New Roman"/>
          <w:spacing w:val="8"/>
        </w:rPr>
        <w:t>5G</w:t>
      </w:r>
      <w:r>
        <w:rPr>
          <w:rFonts w:ascii="Times New Roman" w:hAnsi="Times New Roman" w:eastAsia="Times New Roman" w:cs="Times New Roman"/>
          <w:spacing w:val="26"/>
        </w:rPr>
        <w:t xml:space="preserve"> </w:t>
      </w:r>
      <w:r>
        <w:rPr>
          <w:spacing w:val="8"/>
        </w:rPr>
        <w:t>网络</w:t>
      </w:r>
      <w:r>
        <w:rPr>
          <w:spacing w:val="7"/>
        </w:rPr>
        <w:t>建设项目和智慧固原数据中心、大数据服务平</w:t>
      </w:r>
      <w:r>
        <w:rPr>
          <w:spacing w:val="7"/>
        </w:rPr>
        <w:t>台项目，加快建设数创城市，带动上下游智慧</w:t>
      </w:r>
      <w:r>
        <w:rPr>
          <w:spacing w:val="18"/>
        </w:rPr>
        <w:t>城市产品与服务提供商成立智慧城市产业联</w:t>
      </w:r>
      <w:r>
        <w:rPr>
          <w:spacing w:val="10"/>
        </w:rPr>
        <w:t>盟</w:t>
      </w:r>
      <w:r>
        <w:rPr>
          <w:spacing w:val="-57"/>
        </w:rPr>
        <w:t xml:space="preserve"> </w:t>
      </w:r>
      <w:r>
        <w:rPr>
          <w:spacing w:val="10"/>
        </w:rPr>
        <w:t>，共同建设智慧产业园区（基地</w:t>
      </w:r>
      <w:r>
        <w:rPr>
          <w:spacing w:val="-35"/>
        </w:rPr>
        <w:t>）；</w:t>
      </w:r>
      <w:r>
        <w:rPr>
          <w:spacing w:val="10"/>
        </w:rPr>
        <w:t>跟进做</w:t>
      </w:r>
      <w:r>
        <w:rPr>
          <w:spacing w:val="7"/>
        </w:rPr>
        <w:t>好服务，确保锐捷网络西北运营中心项目尽快</w:t>
      </w:r>
      <w:r>
        <w:rPr>
          <w:spacing w:val="7"/>
        </w:rPr>
        <w:t>落地。扶持孵化智慧城市中小企业，推动大数</w:t>
      </w:r>
      <w:r>
        <w:rPr>
          <w:spacing w:val="7"/>
        </w:rPr>
        <w:t>据创业创新。汇聚政府和社会数据资源，形成</w:t>
      </w:r>
      <w:r>
        <w:rPr>
          <w:spacing w:val="7"/>
        </w:rPr>
        <w:t>数据资产，支撑我市对各类数据资源需求的响</w:t>
      </w:r>
      <w:r>
        <w:rPr>
          <w:spacing w:val="7"/>
        </w:rPr>
        <w:t>应和服务能力，推进数字经济发展，推动云计</w:t>
      </w:r>
      <w:r>
        <w:rPr>
          <w:spacing w:val="12"/>
        </w:rPr>
        <w:t>算、大数据、物联网、</w:t>
      </w:r>
      <w:r>
        <w:rPr>
          <w:rFonts w:ascii="Times New Roman" w:hAnsi="Times New Roman" w:eastAsia="Times New Roman" w:cs="Times New Roman"/>
          <w:spacing w:val="12"/>
        </w:rPr>
        <w:t>5G </w:t>
      </w:r>
      <w:r>
        <w:rPr>
          <w:spacing w:val="12"/>
        </w:rPr>
        <w:t>等新一代信息技术</w:t>
      </w:r>
      <w:r>
        <w:rPr>
          <w:spacing w:val="1"/>
        </w:rPr>
        <w:t>同工业、农业、文化旅游、电子商务融合发展。</w:t>
      </w:r>
      <w:r>
        <w:rPr>
          <w:spacing w:val="9"/>
        </w:rPr>
        <w:t xml:space="preserve"> </w:t>
      </w:r>
      <w:r>
        <w:rPr>
          <w:spacing w:val="-11"/>
        </w:rPr>
        <w:t>（</w:t>
      </w:r>
      <w:r>
        <w:rPr>
          <w:rFonts w:ascii="KaiTi" w:hAnsi="KaiTi" w:eastAsia="KaiTi" w:cs="KaiTi"/>
          <w:spacing w:val="-11"/>
        </w:rPr>
        <w:t>责任单位：市工业和信息化局、各县〔区〕人民</w:t>
      </w:r>
      <w:r>
        <w:rPr>
          <w:rFonts w:ascii="KaiTi" w:hAnsi="KaiTi" w:eastAsia="KaiTi" w:cs="KaiTi"/>
        </w:rPr>
        <w:t>政府</w:t>
      </w:r>
      <w:r>
        <w:rPr/>
        <w:t>）</w:t>
      </w:r>
    </w:p>
    <w:p>
      <w:pPr>
        <w:ind w:left="420"/>
        <w:rPr>
          <w:rFonts w:ascii="KaiTi" w:hAnsi="KaiTi" w:eastAsia="KaiTi" w:cs="KaiTi"/>
          <w:sz w:val="20"/>
          <w:szCs w:val="20"/>
        </w:rPr>
      </w:pPr>
      <w:r>
        <w:rPr>
          <w:rFonts w:ascii="KaiTi" w:hAnsi="KaiTi" w:eastAsia="KaiTi" w:cs="KaiTi"/>
          <w:sz w:val="20"/>
          <w:szCs w:val="20"/>
          <w:b/>
          <w:bCs/>
          <w:spacing w:val="4"/>
        </w:rPr>
        <w:t>（</w:t>
      </w:r>
      <w:r>
        <w:rPr>
          <w:rFonts w:ascii="KaiTi" w:hAnsi="KaiTi" w:eastAsia="KaiTi" w:cs="KaiTi"/>
          <w:sz w:val="20"/>
          <w:szCs w:val="20"/>
          <w:spacing w:val="-53"/>
        </w:rPr>
        <w:t xml:space="preserve"> </w:t>
      </w:r>
      <w:r>
        <w:rPr>
          <w:rFonts w:ascii="KaiTi" w:hAnsi="KaiTi" w:eastAsia="KaiTi" w:cs="KaiTi"/>
          <w:sz w:val="20"/>
          <w:szCs w:val="20"/>
          <w:b/>
          <w:bCs/>
          <w:spacing w:val="4"/>
        </w:rPr>
        <w:t>二）产能结构优化行动。</w:t>
      </w:r>
    </w:p>
    <w:p>
      <w:pPr>
        <w:pStyle w:val="BodyText"/>
        <w:ind w:left="7" w:right="98" w:firstLine="431"/>
        <w:spacing w:before="117" w:line="272" w:lineRule="auto"/>
        <w:rPr/>
      </w:pPr>
      <w:r>
        <w:rPr>
          <w:spacing w:val="3"/>
        </w:rPr>
        <w:t>时间节点：</w:t>
      </w:r>
      <w:r>
        <w:rPr>
          <w:rFonts w:ascii="Times New Roman" w:hAnsi="Times New Roman" w:eastAsia="Times New Roman" w:cs="Times New Roman"/>
          <w:spacing w:val="3"/>
        </w:rPr>
        <w:t>2021 </w:t>
      </w:r>
      <w:r>
        <w:rPr>
          <w:spacing w:val="3"/>
        </w:rPr>
        <w:t>年，落后产能淘汰任务基</w:t>
      </w:r>
      <w:r>
        <w:rPr>
          <w:spacing w:val="5"/>
        </w:rPr>
        <w:t>本完成</w:t>
      </w:r>
      <w:r>
        <w:rPr>
          <w:spacing w:val="-54"/>
        </w:rPr>
        <w:t xml:space="preserve"> </w:t>
      </w:r>
      <w:r>
        <w:rPr>
          <w:spacing w:val="5"/>
        </w:rPr>
        <w:t>，过剩产能化解完成</w:t>
      </w:r>
      <w:r>
        <w:rPr>
          <w:spacing w:val="-59"/>
        </w:rPr>
        <w:t xml:space="preserve"> </w:t>
      </w:r>
      <w:r>
        <w:rPr>
          <w:spacing w:val="5"/>
        </w:rPr>
        <w:t>；到</w:t>
      </w:r>
      <w:r>
        <w:rPr>
          <w:spacing w:val="-41"/>
        </w:rPr>
        <w:t xml:space="preserve"> </w:t>
      </w:r>
      <w:r>
        <w:rPr>
          <w:rFonts w:ascii="Times New Roman" w:hAnsi="Times New Roman" w:eastAsia="Times New Roman" w:cs="Times New Roman"/>
          <w:spacing w:val="5"/>
        </w:rPr>
        <w:t>2022 </w:t>
      </w:r>
      <w:r>
        <w:rPr>
          <w:spacing w:val="5"/>
        </w:rPr>
        <w:t>年</w:t>
      </w:r>
      <w:r>
        <w:rPr>
          <w:spacing w:val="-59"/>
        </w:rPr>
        <w:t xml:space="preserve"> </w:t>
      </w:r>
      <w:r>
        <w:rPr>
          <w:spacing w:val="5"/>
        </w:rPr>
        <w:t>，落</w:t>
      </w:r>
    </w:p>
    <w:p>
      <w:pPr>
        <w:spacing w:line="272" w:lineRule="auto"/>
        <w:sectPr>
          <w:type w:val="continuous"/>
          <w:pgSz w:w="11906" w:h="16839"/>
          <w:pgMar w:top="1769" w:right="1489" w:bottom="1570" w:left="1588" w:header="1428" w:footer="1172" w:gutter="0"/>
          <w:cols w:equalWidth="0" w:num="2">
            <w:col w:w="4474" w:space="100"/>
            <w:col w:w="4256" w:space="0"/>
          </w:cols>
        </w:sectPr>
        <w:rPr/>
      </w:pPr>
    </w:p>
    <w:p>
      <w:pPr>
        <w:spacing w:before="62"/>
        <w:rPr/>
      </w:pPr>
      <w:r>
        <w:drawing>
          <wp:anchor distT="0" distB="0" distL="0" distR="0" simplePos="0" relativeHeight="252022784"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020" name="IM 1020"/>
            <wp:cNvGraphicFramePr/>
            <a:graphic>
              <a:graphicData uri="http://schemas.openxmlformats.org/drawingml/2006/picture">
                <pic:pic>
                  <pic:nvPicPr>
                    <pic:cNvPr id="1020" name="IM 1020"/>
                    <pic:cNvPicPr/>
                  </pic:nvPicPr>
                  <pic:blipFill>
                    <a:blip r:embed="rId512"/>
                    <a:stretch>
                      <a:fillRect/>
                    </a:stretch>
                  </pic:blipFill>
                  <pic:spPr>
                    <a:xfrm rot="0">
                      <a:off x="0" y="0"/>
                      <a:ext cx="5579745" cy="7620"/>
                    </a:xfrm>
                    <a:prstGeom prst="rect">
                      <a:avLst/>
                    </a:prstGeom>
                  </pic:spPr>
                </pic:pic>
              </a:graphicData>
            </a:graphic>
          </wp:anchor>
        </w:drawing>
      </w:r>
      <w:r/>
    </w:p>
    <w:p>
      <w:pPr>
        <w:sectPr>
          <w:headerReference w:type="default" r:id="rId510"/>
          <w:footerReference w:type="default" r:id="rId511"/>
          <w:pgSz w:w="11906" w:h="16839"/>
          <w:pgMar w:top="1766" w:right="1522" w:bottom="1563" w:left="1579" w:header="1428" w:footer="1172" w:gutter="0"/>
          <w:cols w:equalWidth="0" w:num="1">
            <w:col w:w="8804" w:space="0"/>
          </w:cols>
        </w:sectPr>
        <w:rPr/>
      </w:pPr>
    </w:p>
    <w:p>
      <w:pPr>
        <w:pStyle w:val="BodyText"/>
        <w:ind w:left="12"/>
        <w:spacing w:before="40" w:line="221" w:lineRule="auto"/>
        <w:rPr/>
      </w:pPr>
      <w:r>
        <w:rPr>
          <w:spacing w:val="8"/>
        </w:rPr>
        <w:t>后产能淘汰任务全面完成。</w:t>
      </w:r>
    </w:p>
    <w:p>
      <w:pPr>
        <w:pStyle w:val="BodyText"/>
        <w:ind w:left="12" w:right="181" w:firstLine="423"/>
        <w:spacing w:before="135" w:line="351" w:lineRule="auto"/>
        <w:jc w:val="both"/>
        <w:rPr/>
      </w:pPr>
      <w:r>
        <w:rPr>
          <w:spacing w:val="10"/>
        </w:rPr>
        <w:t>实施重点：综合运用环保、能耗、安全、</w:t>
      </w:r>
      <w:r>
        <w:rPr>
          <w:spacing w:val="7"/>
        </w:rPr>
        <w:t>质量、技术等法规标准，倒逼建材等行业企业</w:t>
      </w:r>
      <w:r>
        <w:rPr>
          <w:spacing w:val="7"/>
        </w:rPr>
        <w:t>落后产能退出，持续淘汰马铃薯淀粉加工等过</w:t>
      </w:r>
      <w:r>
        <w:rPr>
          <w:spacing w:val="7"/>
        </w:rPr>
        <w:t>剩产能企业低端低效设备。（</w:t>
      </w:r>
      <w:r>
        <w:rPr>
          <w:rFonts w:ascii="KaiTi" w:hAnsi="KaiTi" w:eastAsia="KaiTi" w:cs="KaiTi"/>
          <w:spacing w:val="7"/>
        </w:rPr>
        <w:t>责任单位：市工</w:t>
      </w:r>
      <w:r>
        <w:rPr>
          <w:rFonts w:ascii="KaiTi" w:hAnsi="KaiTi" w:eastAsia="KaiTi" w:cs="KaiTi"/>
          <w:spacing w:val="7"/>
        </w:rPr>
        <w:t>业和信息化局、发展改革委、生态环境局、市</w:t>
      </w:r>
      <w:r>
        <w:rPr>
          <w:rFonts w:ascii="KaiTi" w:hAnsi="KaiTi" w:eastAsia="KaiTi" w:cs="KaiTi"/>
        </w:rPr>
        <w:t>场监管局、应急局，开发区管委会，各县〔</w:t>
      </w:r>
      <w:r>
        <w:rPr>
          <w:rFonts w:ascii="KaiTi" w:hAnsi="KaiTi" w:eastAsia="KaiTi" w:cs="KaiTi"/>
          <w:spacing w:val="-47"/>
        </w:rPr>
        <w:t xml:space="preserve"> </w:t>
      </w:r>
      <w:r>
        <w:rPr>
          <w:rFonts w:ascii="KaiTi" w:hAnsi="KaiTi" w:eastAsia="KaiTi" w:cs="KaiTi"/>
        </w:rPr>
        <w:t>区〕</w:t>
      </w:r>
      <w:r>
        <w:rPr>
          <w:rFonts w:ascii="KaiTi" w:hAnsi="KaiTi" w:eastAsia="KaiTi" w:cs="KaiTi"/>
          <w:spacing w:val="10"/>
        </w:rPr>
        <w:t>人民政府</w:t>
      </w:r>
      <w:r>
        <w:rPr>
          <w:spacing w:val="10"/>
        </w:rPr>
        <w:t>）</w:t>
      </w:r>
    </w:p>
    <w:p>
      <w:pPr>
        <w:ind w:left="424"/>
        <w:rPr>
          <w:rFonts w:ascii="KaiTi" w:hAnsi="KaiTi" w:eastAsia="KaiTi" w:cs="KaiTi"/>
          <w:sz w:val="20"/>
          <w:szCs w:val="20"/>
        </w:rPr>
      </w:pPr>
      <w:r>
        <w:rPr>
          <w:rFonts w:ascii="KaiTi" w:hAnsi="KaiTi" w:eastAsia="KaiTi" w:cs="KaiTi"/>
          <w:sz w:val="20"/>
          <w:szCs w:val="20"/>
          <w:b/>
          <w:bCs/>
          <w:spacing w:val="3"/>
        </w:rPr>
        <w:t>（</w:t>
      </w:r>
      <w:r>
        <w:rPr>
          <w:rFonts w:ascii="KaiTi" w:hAnsi="KaiTi" w:eastAsia="KaiTi" w:cs="KaiTi"/>
          <w:sz w:val="20"/>
          <w:szCs w:val="20"/>
          <w:spacing w:val="-42"/>
        </w:rPr>
        <w:t xml:space="preserve"> </w:t>
      </w:r>
      <w:r>
        <w:rPr>
          <w:rFonts w:ascii="KaiTi" w:hAnsi="KaiTi" w:eastAsia="KaiTi" w:cs="KaiTi"/>
          <w:sz w:val="20"/>
          <w:szCs w:val="20"/>
          <w:b/>
          <w:bCs/>
          <w:spacing w:val="3"/>
        </w:rPr>
        <w:t>三）产品结构优化行动。</w:t>
      </w:r>
    </w:p>
    <w:p>
      <w:pPr>
        <w:pStyle w:val="BodyText"/>
        <w:ind w:left="4" w:right="243" w:firstLine="439"/>
        <w:spacing w:before="122" w:line="350" w:lineRule="auto"/>
        <w:jc w:val="both"/>
        <w:rPr/>
      </w:pPr>
      <w:r>
        <w:rPr>
          <w:spacing w:val="8"/>
        </w:rPr>
        <w:t>时间节点：到</w:t>
      </w:r>
      <w:r>
        <w:rPr>
          <w:spacing w:val="-35"/>
        </w:rPr>
        <w:t xml:space="preserve"> </w:t>
      </w:r>
      <w:r>
        <w:rPr>
          <w:rFonts w:ascii="Times New Roman" w:hAnsi="Times New Roman" w:eastAsia="Times New Roman" w:cs="Times New Roman"/>
          <w:spacing w:val="8"/>
        </w:rPr>
        <w:t>2023 </w:t>
      </w:r>
      <w:r>
        <w:rPr>
          <w:spacing w:val="8"/>
        </w:rPr>
        <w:t>年</w:t>
      </w:r>
      <w:r>
        <w:rPr>
          <w:spacing w:val="-59"/>
        </w:rPr>
        <w:t xml:space="preserve"> </w:t>
      </w:r>
      <w:r>
        <w:rPr>
          <w:spacing w:val="8"/>
        </w:rPr>
        <w:t>，培育国家级制造</w:t>
      </w:r>
      <w:r>
        <w:rPr>
          <w:spacing w:val="9"/>
        </w:rPr>
        <w:t>业单项冠军企业（产品）</w:t>
      </w:r>
      <w:r>
        <w:rPr>
          <w:rFonts w:ascii="Times New Roman" w:hAnsi="Times New Roman" w:eastAsia="Times New Roman" w:cs="Times New Roman"/>
          <w:spacing w:val="9"/>
        </w:rPr>
        <w:t>1 </w:t>
      </w:r>
      <w:r>
        <w:rPr>
          <w:spacing w:val="9"/>
        </w:rPr>
        <w:t>个、培育自治区级</w:t>
      </w:r>
      <w:r>
        <w:rPr>
          <w:spacing w:val="3"/>
        </w:rPr>
        <w:t>制造业领先示范企业（产品）</w:t>
      </w:r>
      <w:r>
        <w:rPr>
          <w:rFonts w:ascii="Times New Roman" w:hAnsi="Times New Roman" w:eastAsia="Times New Roman" w:cs="Times New Roman"/>
          <w:spacing w:val="3"/>
        </w:rPr>
        <w:t>8 </w:t>
      </w:r>
      <w:r>
        <w:rPr>
          <w:spacing w:val="3"/>
        </w:rPr>
        <w:t>个，</w:t>
      </w:r>
      <w:r>
        <w:rPr>
          <w:rFonts w:ascii="Times New Roman" w:hAnsi="Times New Roman" w:eastAsia="Times New Roman" w:cs="Times New Roman"/>
          <w:spacing w:val="3"/>
        </w:rPr>
        <w:t>“</w:t>
      </w:r>
      <w:r>
        <w:rPr>
          <w:spacing w:val="3"/>
        </w:rPr>
        <w:t>专精特新</w:t>
      </w:r>
      <w:r>
        <w:rPr>
          <w:rFonts w:ascii="Times New Roman" w:hAnsi="Times New Roman" w:eastAsia="Times New Roman" w:cs="Times New Roman"/>
          <w:spacing w:val="3"/>
        </w:rPr>
        <w:t>”</w:t>
      </w:r>
      <w:r>
        <w:rPr>
          <w:rFonts w:ascii="Times New Roman" w:hAnsi="Times New Roman" w:eastAsia="Times New Roman" w:cs="Times New Roman"/>
          <w:spacing w:val="2"/>
        </w:rPr>
        <w:t xml:space="preserve"> </w:t>
      </w:r>
      <w:r>
        <w:rPr>
          <w:spacing w:val="6"/>
        </w:rPr>
        <w:t>（示范）企业</w:t>
      </w:r>
      <w:r>
        <w:rPr>
          <w:spacing w:val="-31"/>
        </w:rPr>
        <w:t xml:space="preserve"> </w:t>
      </w:r>
      <w:r>
        <w:rPr>
          <w:rFonts w:ascii="Times New Roman" w:hAnsi="Times New Roman" w:eastAsia="Times New Roman" w:cs="Times New Roman"/>
          <w:spacing w:val="6"/>
        </w:rPr>
        <w:t>5 </w:t>
      </w:r>
      <w:r>
        <w:rPr>
          <w:spacing w:val="6"/>
        </w:rPr>
        <w:t>家、小巨人企业</w:t>
      </w:r>
      <w:r>
        <w:rPr>
          <w:spacing w:val="-46"/>
        </w:rPr>
        <w:t xml:space="preserve"> </w:t>
      </w:r>
      <w:r>
        <w:rPr>
          <w:rFonts w:ascii="Times New Roman" w:hAnsi="Times New Roman" w:eastAsia="Times New Roman" w:cs="Times New Roman"/>
          <w:spacing w:val="6"/>
        </w:rPr>
        <w:t>2 </w:t>
      </w:r>
      <w:r>
        <w:rPr>
          <w:spacing w:val="6"/>
        </w:rPr>
        <w:t>家，每年培</w:t>
      </w:r>
      <w:r>
        <w:rPr>
          <w:spacing w:val="9"/>
        </w:rPr>
        <w:t>育至少</w:t>
      </w:r>
      <w:r>
        <w:rPr>
          <w:spacing w:val="-13"/>
        </w:rPr>
        <w:t xml:space="preserve"> </w:t>
      </w:r>
      <w:r>
        <w:rPr>
          <w:rFonts w:ascii="Times New Roman" w:hAnsi="Times New Roman" w:eastAsia="Times New Roman" w:cs="Times New Roman"/>
          <w:spacing w:val="9"/>
        </w:rPr>
        <w:t>1 </w:t>
      </w:r>
      <w:r>
        <w:rPr>
          <w:spacing w:val="9"/>
        </w:rPr>
        <w:t>个自治区新产品、打造至少</w:t>
      </w:r>
      <w:r>
        <w:rPr>
          <w:spacing w:val="-19"/>
        </w:rPr>
        <w:t xml:space="preserve"> </w:t>
      </w:r>
      <w:r>
        <w:rPr>
          <w:rFonts w:ascii="Times New Roman" w:hAnsi="Times New Roman" w:eastAsia="Times New Roman" w:cs="Times New Roman"/>
          <w:spacing w:val="9"/>
        </w:rPr>
        <w:t>1 </w:t>
      </w:r>
      <w:r>
        <w:rPr>
          <w:spacing w:val="9"/>
        </w:rPr>
        <w:t>个</w:t>
      </w:r>
      <w:r>
        <w:rPr>
          <w:rFonts w:ascii="Times New Roman" w:hAnsi="Times New Roman" w:eastAsia="Times New Roman" w:cs="Times New Roman"/>
          <w:spacing w:val="9"/>
        </w:rPr>
        <w:t>“</w:t>
      </w:r>
      <w:r>
        <w:rPr>
          <w:spacing w:val="9"/>
        </w:rPr>
        <w:t>宁</w:t>
      </w:r>
      <w:r>
        <w:rPr>
          <w:spacing w:val="7"/>
        </w:rPr>
        <w:t>夏精品</w:t>
      </w:r>
      <w:r>
        <w:rPr>
          <w:rFonts w:ascii="Times New Roman" w:hAnsi="Times New Roman" w:eastAsia="Times New Roman" w:cs="Times New Roman"/>
          <w:spacing w:val="7"/>
        </w:rPr>
        <w:t>”</w:t>
      </w:r>
      <w:r>
        <w:rPr>
          <w:spacing w:val="7"/>
        </w:rPr>
        <w:t>。</w:t>
      </w:r>
    </w:p>
    <w:p>
      <w:pPr>
        <w:pStyle w:val="BodyText"/>
        <w:ind w:left="436"/>
        <w:spacing w:before="2" w:line="278" w:lineRule="exact"/>
        <w:rPr/>
      </w:pPr>
      <w:r>
        <w:rPr>
          <w:spacing w:val="6"/>
          <w:position w:val="1"/>
        </w:rPr>
        <w:t>实施重点：</w:t>
      </w:r>
    </w:p>
    <w:p>
      <w:pPr>
        <w:pStyle w:val="BodyText"/>
        <w:ind w:left="4" w:right="237" w:firstLine="448"/>
        <w:spacing w:before="105" w:line="336" w:lineRule="auto"/>
        <w:rPr/>
      </w:pPr>
      <w:r>
        <w:rPr>
          <w:rFonts w:ascii="Times New Roman" w:hAnsi="Times New Roman" w:eastAsia="Times New Roman" w:cs="Times New Roman"/>
          <w:spacing w:val="2"/>
        </w:rPr>
        <w:t>1.  </w:t>
      </w:r>
      <w:r>
        <w:rPr>
          <w:spacing w:val="2"/>
        </w:rPr>
        <w:t>培育单项冠军企业（产品）。引导中小</w:t>
      </w:r>
      <w:r>
        <w:rPr>
          <w:spacing w:val="8"/>
        </w:rPr>
        <w:t>企业走</w:t>
      </w:r>
      <w:r>
        <w:rPr>
          <w:rFonts w:ascii="Times New Roman" w:hAnsi="Times New Roman" w:eastAsia="Times New Roman" w:cs="Times New Roman"/>
          <w:spacing w:val="8"/>
        </w:rPr>
        <w:t>“</w:t>
      </w:r>
      <w:r>
        <w:rPr>
          <w:spacing w:val="8"/>
        </w:rPr>
        <w:t>专精特新</w:t>
      </w:r>
      <w:r>
        <w:rPr>
          <w:rFonts w:ascii="Times New Roman" w:hAnsi="Times New Roman" w:eastAsia="Times New Roman" w:cs="Times New Roman"/>
          <w:spacing w:val="8"/>
        </w:rPr>
        <w:t>”</w:t>
      </w:r>
      <w:r>
        <w:rPr>
          <w:spacing w:val="8"/>
        </w:rPr>
        <w:t>发展之路，加快实现生产专</w:t>
      </w:r>
      <w:r>
        <w:rPr>
          <w:spacing w:val="7"/>
        </w:rPr>
        <w:t>业化、管理精细化、产品特色化、商业模式新</w:t>
      </w:r>
      <w:r>
        <w:rPr>
          <w:spacing w:val="10"/>
        </w:rPr>
        <w:t>型化。持续开展制造业领先示范企业（产品）</w:t>
      </w:r>
      <w:r>
        <w:rPr>
          <w:spacing w:val="16"/>
        </w:rPr>
        <w:t>认定工作</w:t>
      </w:r>
      <w:r>
        <w:rPr>
          <w:spacing w:val="-51"/>
        </w:rPr>
        <w:t xml:space="preserve"> </w:t>
      </w:r>
      <w:r>
        <w:rPr>
          <w:spacing w:val="16"/>
        </w:rPr>
        <w:t>，争创国家级制造业单项冠军企业</w:t>
      </w:r>
      <w:r>
        <w:rPr>
          <w:spacing w:val="-3"/>
        </w:rPr>
        <w:t>（产品）。（</w:t>
      </w:r>
      <w:r>
        <w:rPr>
          <w:rFonts w:ascii="KaiTi" w:hAnsi="KaiTi" w:eastAsia="KaiTi" w:cs="KaiTi"/>
          <w:spacing w:val="-3"/>
        </w:rPr>
        <w:t>责任单位：市工业和信息化局，开</w:t>
      </w:r>
      <w:r>
        <w:rPr>
          <w:rFonts w:ascii="KaiTi" w:hAnsi="KaiTi" w:eastAsia="KaiTi" w:cs="KaiTi"/>
          <w:spacing w:val="7"/>
        </w:rPr>
        <w:t>发区管委会，各县〔</w:t>
      </w:r>
      <w:r>
        <w:rPr>
          <w:rFonts w:ascii="KaiTi" w:hAnsi="KaiTi" w:eastAsia="KaiTi" w:cs="KaiTi"/>
          <w:spacing w:val="-47"/>
        </w:rPr>
        <w:t xml:space="preserve"> </w:t>
      </w:r>
      <w:r>
        <w:rPr>
          <w:rFonts w:ascii="KaiTi" w:hAnsi="KaiTi" w:eastAsia="KaiTi" w:cs="KaiTi"/>
          <w:spacing w:val="7"/>
        </w:rPr>
        <w:t>区〕人民政府</w:t>
      </w:r>
      <w:r>
        <w:rPr>
          <w:spacing w:val="7"/>
        </w:rPr>
        <w:t>）</w:t>
      </w:r>
    </w:p>
    <w:p>
      <w:pPr>
        <w:pStyle w:val="BodyText"/>
        <w:ind w:left="14" w:right="176" w:firstLine="419"/>
        <w:spacing w:before="111" w:line="336" w:lineRule="auto"/>
        <w:rPr/>
      </w:pPr>
      <w:r>
        <w:rPr>
          <w:rFonts w:ascii="Times New Roman" w:hAnsi="Times New Roman" w:eastAsia="Times New Roman" w:cs="Times New Roman"/>
          <w:spacing w:val="14"/>
        </w:rPr>
        <w:t>2.  </w:t>
      </w:r>
      <w:r>
        <w:rPr>
          <w:spacing w:val="14"/>
        </w:rPr>
        <w:t>创建</w:t>
      </w:r>
      <w:r>
        <w:rPr>
          <w:rFonts w:ascii="Times New Roman" w:hAnsi="Times New Roman" w:eastAsia="Times New Roman" w:cs="Times New Roman"/>
          <w:spacing w:val="14"/>
        </w:rPr>
        <w:t>“</w:t>
      </w:r>
      <w:r>
        <w:rPr>
          <w:spacing w:val="14"/>
        </w:rPr>
        <w:t>三品</w:t>
      </w:r>
      <w:r>
        <w:rPr>
          <w:rFonts w:ascii="Times New Roman" w:hAnsi="Times New Roman" w:eastAsia="Times New Roman" w:cs="Times New Roman"/>
          <w:spacing w:val="14"/>
        </w:rPr>
        <w:t>”</w:t>
      </w:r>
      <w:r>
        <w:rPr>
          <w:spacing w:val="14"/>
        </w:rPr>
        <w:t>示范企业。大力实施增品</w:t>
      </w:r>
      <w:r>
        <w:rPr>
          <w:spacing w:val="7"/>
        </w:rPr>
        <w:t>种、提品质、创品牌专项行动，支持企业积极</w:t>
      </w:r>
      <w:r>
        <w:rPr>
          <w:spacing w:val="7"/>
        </w:rPr>
        <w:t>开展个性化定制、柔性化生产，丰富和细化消</w:t>
      </w:r>
      <w:r>
        <w:rPr>
          <w:spacing w:val="11"/>
        </w:rPr>
        <w:t>费品种类。鼓励支持企业制定品牌发展战略，</w:t>
      </w:r>
      <w:r>
        <w:rPr>
          <w:spacing w:val="7"/>
        </w:rPr>
        <w:t>提升产品附加值和软实力，不断提高品牌产品</w:t>
      </w:r>
      <w:r>
        <w:rPr>
          <w:spacing w:val="7"/>
        </w:rPr>
        <w:t>知名度。（</w:t>
      </w:r>
      <w:r>
        <w:rPr>
          <w:rFonts w:ascii="KaiTi" w:hAnsi="KaiTi" w:eastAsia="KaiTi" w:cs="KaiTi"/>
          <w:spacing w:val="7"/>
        </w:rPr>
        <w:t>责任单位：市工业和信息化局、市</w:t>
      </w:r>
      <w:r>
        <w:rPr>
          <w:rFonts w:ascii="KaiTi" w:hAnsi="KaiTi" w:eastAsia="KaiTi" w:cs="KaiTi"/>
          <w:spacing w:val="-7"/>
        </w:rPr>
        <w:t>场监管局，开发区管委会，各县〔区〕人民政府</w:t>
      </w:r>
      <w:r>
        <w:rPr>
          <w:spacing w:val="-7"/>
        </w:rPr>
        <w:t>）</w:t>
      </w:r>
    </w:p>
    <w:p>
      <w:pPr>
        <w:ind w:left="424"/>
        <w:spacing w:before="110" w:line="264" w:lineRule="exact"/>
        <w:rPr>
          <w:rFonts w:ascii="KaiTi" w:hAnsi="KaiTi" w:eastAsia="KaiTi" w:cs="KaiTi"/>
          <w:sz w:val="20"/>
          <w:szCs w:val="20"/>
        </w:rPr>
      </w:pPr>
      <w:r>
        <w:rPr>
          <w:rFonts w:ascii="KaiTi" w:hAnsi="KaiTi" w:eastAsia="KaiTi" w:cs="KaiTi"/>
          <w:sz w:val="20"/>
          <w:szCs w:val="20"/>
          <w:b/>
          <w:bCs/>
          <w:spacing w:val="3"/>
          <w:position w:val="1"/>
        </w:rPr>
        <w:t>（</w:t>
      </w:r>
      <w:r>
        <w:rPr>
          <w:rFonts w:ascii="KaiTi" w:hAnsi="KaiTi" w:eastAsia="KaiTi" w:cs="KaiTi"/>
          <w:sz w:val="20"/>
          <w:szCs w:val="20"/>
          <w:spacing w:val="-42"/>
          <w:position w:val="1"/>
        </w:rPr>
        <w:t xml:space="preserve"> </w:t>
      </w:r>
      <w:r>
        <w:rPr>
          <w:rFonts w:ascii="KaiTi" w:hAnsi="KaiTi" w:eastAsia="KaiTi" w:cs="KaiTi"/>
          <w:sz w:val="20"/>
          <w:szCs w:val="20"/>
          <w:b/>
          <w:bCs/>
          <w:spacing w:val="3"/>
          <w:position w:val="1"/>
        </w:rPr>
        <w:t>四）投资结构优化行动。</w:t>
      </w:r>
    </w:p>
    <w:p>
      <w:pPr>
        <w:pStyle w:val="BodyText"/>
        <w:ind w:left="14" w:right="243" w:firstLine="428"/>
        <w:spacing w:before="118" w:line="297" w:lineRule="auto"/>
        <w:jc w:val="both"/>
        <w:rPr/>
      </w:pPr>
      <w:r>
        <w:rPr>
          <w:spacing w:val="4"/>
        </w:rPr>
        <w:t>时间节点：每年引进</w:t>
      </w:r>
      <w:r>
        <w:rPr>
          <w:spacing w:val="-29"/>
        </w:rPr>
        <w:t xml:space="preserve"> </w:t>
      </w:r>
      <w:r>
        <w:rPr>
          <w:rFonts w:ascii="Times New Roman" w:hAnsi="Times New Roman" w:eastAsia="Times New Roman" w:cs="Times New Roman"/>
          <w:spacing w:val="4"/>
        </w:rPr>
        <w:t>5 </w:t>
      </w:r>
      <w:r>
        <w:rPr>
          <w:spacing w:val="4"/>
        </w:rPr>
        <w:t>个投资</w:t>
      </w:r>
      <w:r>
        <w:rPr>
          <w:spacing w:val="-35"/>
        </w:rPr>
        <w:t xml:space="preserve"> </w:t>
      </w:r>
      <w:r>
        <w:rPr>
          <w:rFonts w:ascii="Times New Roman" w:hAnsi="Times New Roman" w:eastAsia="Times New Roman" w:cs="Times New Roman"/>
          <w:spacing w:val="4"/>
        </w:rPr>
        <w:t>5 </w:t>
      </w:r>
      <w:r>
        <w:rPr>
          <w:spacing w:val="4"/>
        </w:rPr>
        <w:t>亿元以上</w:t>
      </w:r>
      <w:r>
        <w:rPr>
          <w:spacing w:val="10"/>
        </w:rPr>
        <w:t>的重大产业项目，每年纳入自治区</w:t>
      </w:r>
      <w:r>
        <w:rPr>
          <w:rFonts w:ascii="Times New Roman" w:hAnsi="Times New Roman" w:eastAsia="Times New Roman" w:cs="Times New Roman"/>
          <w:spacing w:val="10"/>
        </w:rPr>
        <w:t>“</w:t>
      </w:r>
      <w:r>
        <w:rPr>
          <w:spacing w:val="10"/>
        </w:rPr>
        <w:t>三个</w:t>
      </w:r>
      <w:r>
        <w:rPr>
          <w:spacing w:val="-9"/>
        </w:rPr>
        <w:t xml:space="preserve"> </w:t>
      </w:r>
      <w:r>
        <w:rPr>
          <w:rFonts w:ascii="Times New Roman" w:hAnsi="Times New Roman" w:eastAsia="Times New Roman" w:cs="Times New Roman"/>
          <w:spacing w:val="10"/>
        </w:rPr>
        <w:t>100”</w:t>
      </w:r>
      <w:r>
        <w:rPr>
          <w:spacing w:val="5"/>
        </w:rPr>
        <w:t>重点工业项目不少于</w:t>
      </w:r>
      <w:r>
        <w:rPr>
          <w:spacing w:val="-32"/>
        </w:rPr>
        <w:t xml:space="preserve"> </w:t>
      </w:r>
      <w:r>
        <w:rPr>
          <w:rFonts w:ascii="Times New Roman" w:hAnsi="Times New Roman" w:eastAsia="Times New Roman" w:cs="Times New Roman"/>
          <w:spacing w:val="5"/>
        </w:rPr>
        <w:t>20 </w:t>
      </w:r>
      <w:r>
        <w:rPr>
          <w:spacing w:val="5"/>
        </w:rPr>
        <w:t>个。到</w:t>
      </w:r>
      <w:r>
        <w:rPr>
          <w:spacing w:val="-43"/>
        </w:rPr>
        <w:t xml:space="preserve"> </w:t>
      </w:r>
      <w:r>
        <w:rPr>
          <w:rFonts w:ascii="Times New Roman" w:hAnsi="Times New Roman" w:eastAsia="Times New Roman" w:cs="Times New Roman"/>
          <w:spacing w:val="5"/>
        </w:rPr>
        <w:t>2023 </w:t>
      </w:r>
      <w:r>
        <w:rPr>
          <w:spacing w:val="5"/>
        </w:rPr>
        <w:t>年，全市</w:t>
      </w:r>
    </w:p>
    <w:p>
      <w:pPr>
        <w:spacing w:line="14" w:lineRule="auto"/>
        <w:rPr>
          <w:rFonts w:ascii="Arial"/>
          <w:sz w:val="2"/>
        </w:rPr>
      </w:pPr>
      <w:r>
        <w:rPr>
          <w:rFonts w:ascii="Arial" w:hAnsi="Arial" w:eastAsia="Arial" w:cs="Arial"/>
          <w:sz w:val="2"/>
          <w:szCs w:val="2"/>
        </w:rPr>
        <w:br w:type="column"/>
      </w:r>
    </w:p>
    <w:p>
      <w:pPr>
        <w:pStyle w:val="BodyText"/>
        <w:ind w:left="42" w:right="67"/>
        <w:spacing w:before="40" w:line="349" w:lineRule="auto"/>
        <w:rPr/>
      </w:pPr>
      <w:r>
        <w:rPr>
          <w:spacing w:val="7"/>
        </w:rPr>
        <w:t>工业投资结构更加优化，制造业占工业投资比</w:t>
      </w:r>
      <w:r>
        <w:rPr>
          <w:spacing w:val="5"/>
        </w:rPr>
        <w:t>重提高到</w:t>
      </w:r>
      <w:r>
        <w:rPr>
          <w:spacing w:val="-38"/>
        </w:rPr>
        <w:t xml:space="preserve"> </w:t>
      </w:r>
      <w:r>
        <w:rPr>
          <w:rFonts w:ascii="Times New Roman" w:hAnsi="Times New Roman" w:eastAsia="Times New Roman" w:cs="Times New Roman"/>
          <w:spacing w:val="5"/>
        </w:rPr>
        <w:t>65%</w:t>
      </w:r>
      <w:r>
        <w:rPr>
          <w:spacing w:val="5"/>
        </w:rPr>
        <w:t>。</w:t>
      </w:r>
    </w:p>
    <w:p>
      <w:pPr>
        <w:pStyle w:val="BodyText"/>
        <w:ind w:left="464"/>
        <w:spacing w:line="278" w:lineRule="exact"/>
        <w:rPr/>
      </w:pPr>
      <w:r>
        <w:rPr>
          <w:spacing w:val="6"/>
          <w:position w:val="1"/>
        </w:rPr>
        <w:t>实施重点：</w:t>
      </w:r>
    </w:p>
    <w:p>
      <w:pPr>
        <w:pStyle w:val="BodyText"/>
        <w:ind w:left="38" w:firstLine="443"/>
        <w:spacing w:before="102" w:line="338" w:lineRule="auto"/>
        <w:rPr/>
      </w:pPr>
      <w:r>
        <w:rPr>
          <w:rFonts w:ascii="Times New Roman" w:hAnsi="Times New Roman" w:eastAsia="Times New Roman" w:cs="Times New Roman"/>
          <w:spacing w:val="2"/>
        </w:rPr>
        <w:t>1.  </w:t>
      </w:r>
      <w:r>
        <w:rPr>
          <w:spacing w:val="2"/>
        </w:rPr>
        <w:t>推进重点项目建设。聚焦肉牛、绿色食</w:t>
      </w:r>
      <w:r>
        <w:rPr>
          <w:spacing w:val="7"/>
        </w:rPr>
        <w:t>品、现代纺织和服装产业、能源及新材料和电</w:t>
      </w:r>
      <w:r>
        <w:rPr>
          <w:spacing w:val="7"/>
        </w:rPr>
        <w:t>子信息产业重点关键环节，坚持扶持本土企业</w:t>
      </w:r>
      <w:r>
        <w:rPr>
          <w:spacing w:val="7"/>
        </w:rPr>
        <w:t>和招商引进企业并重，持续在延链补链建链强</w:t>
      </w:r>
      <w:r>
        <w:rPr>
          <w:spacing w:val="7"/>
        </w:rPr>
        <w:t>链上下功夫，每年在重点项目建设上都有新突</w:t>
      </w:r>
      <w:r>
        <w:rPr>
          <w:spacing w:val="5"/>
        </w:rPr>
        <w:t>破、新进展</w:t>
      </w:r>
      <w:r>
        <w:rPr>
          <w:spacing w:val="-53"/>
        </w:rPr>
        <w:t xml:space="preserve"> </w:t>
      </w:r>
      <w:r>
        <w:rPr>
          <w:spacing w:val="5"/>
        </w:rPr>
        <w:t>，推进产业雁阵式集群发展。（</w:t>
      </w:r>
      <w:r>
        <w:rPr>
          <w:rFonts w:ascii="KaiTi" w:hAnsi="KaiTi" w:eastAsia="KaiTi" w:cs="KaiTi"/>
          <w:spacing w:val="5"/>
        </w:rPr>
        <w:t>责</w:t>
      </w:r>
      <w:r>
        <w:rPr>
          <w:rFonts w:ascii="KaiTi" w:hAnsi="KaiTi" w:eastAsia="KaiTi" w:cs="KaiTi"/>
        </w:rPr>
        <w:t>任单位：市商务投资促进局、工业和信息化局，</w:t>
      </w:r>
      <w:r>
        <w:rPr>
          <w:rFonts w:ascii="KaiTi" w:hAnsi="KaiTi" w:eastAsia="KaiTi" w:cs="KaiTi"/>
          <w:spacing w:val="7"/>
        </w:rPr>
        <w:t>开发区管委会，各县〔</w:t>
      </w:r>
      <w:r>
        <w:rPr>
          <w:rFonts w:ascii="KaiTi" w:hAnsi="KaiTi" w:eastAsia="KaiTi" w:cs="KaiTi"/>
          <w:spacing w:val="-48"/>
        </w:rPr>
        <w:t xml:space="preserve"> </w:t>
      </w:r>
      <w:r>
        <w:rPr>
          <w:rFonts w:ascii="KaiTi" w:hAnsi="KaiTi" w:eastAsia="KaiTi" w:cs="KaiTi"/>
          <w:spacing w:val="7"/>
        </w:rPr>
        <w:t>区〕人民政府</w:t>
      </w:r>
      <w:r>
        <w:rPr>
          <w:spacing w:val="7"/>
        </w:rPr>
        <w:t>）</w:t>
      </w:r>
    </w:p>
    <w:p>
      <w:pPr>
        <w:pStyle w:val="BodyText"/>
        <w:ind w:left="39" w:right="65" w:firstLine="421"/>
        <w:spacing w:before="115" w:line="340" w:lineRule="auto"/>
        <w:rPr/>
      </w:pPr>
      <w:r>
        <w:rPr>
          <w:rFonts w:ascii="Times New Roman" w:hAnsi="Times New Roman" w:eastAsia="Times New Roman" w:cs="Times New Roman"/>
          <w:spacing w:val="3"/>
        </w:rPr>
        <w:t>2.  </w:t>
      </w:r>
      <w:r>
        <w:rPr>
          <w:spacing w:val="3"/>
        </w:rPr>
        <w:t>提高园区投资强度。引导工业园区资源</w:t>
      </w:r>
      <w:r>
        <w:rPr>
          <w:spacing w:val="7"/>
        </w:rPr>
        <w:t>要素向优质高效投资流动，保证园区亩均投资</w:t>
      </w:r>
      <w:r>
        <w:rPr>
          <w:spacing w:val="7"/>
        </w:rPr>
        <w:t>强度、亩均投入产出比达到全区平均水平。围</w:t>
      </w:r>
      <w:r>
        <w:rPr>
          <w:spacing w:val="7"/>
        </w:rPr>
        <w:t>绕园区主导全产业链项目和关联配套项目，大</w:t>
      </w:r>
      <w:r>
        <w:rPr>
          <w:spacing w:val="7"/>
        </w:rPr>
        <w:t>力实施精准招商，推动产业向集约化集群化发</w:t>
      </w:r>
      <w:r>
        <w:rPr>
          <w:spacing w:val="10"/>
        </w:rPr>
        <w:t>展。积极推动</w:t>
      </w:r>
      <w:r>
        <w:rPr>
          <w:rFonts w:ascii="Times New Roman" w:hAnsi="Times New Roman" w:eastAsia="Times New Roman" w:cs="Times New Roman"/>
          <w:spacing w:val="10"/>
        </w:rPr>
        <w:t>“</w:t>
      </w:r>
      <w:r>
        <w:rPr>
          <w:spacing w:val="10"/>
        </w:rPr>
        <w:t>管委会</w:t>
      </w:r>
      <w:r>
        <w:rPr>
          <w:rFonts w:ascii="Times New Roman" w:hAnsi="Times New Roman" w:eastAsia="Times New Roman" w:cs="Times New Roman"/>
          <w:spacing w:val="10"/>
        </w:rPr>
        <w:t>+</w:t>
      </w:r>
      <w:r>
        <w:rPr>
          <w:spacing w:val="10"/>
        </w:rPr>
        <w:t>公司</w:t>
      </w:r>
      <w:r>
        <w:rPr>
          <w:rFonts w:ascii="Times New Roman" w:hAnsi="Times New Roman" w:eastAsia="Times New Roman" w:cs="Times New Roman"/>
          <w:spacing w:val="10"/>
        </w:rPr>
        <w:t>”</w:t>
      </w:r>
      <w:r>
        <w:rPr>
          <w:spacing w:val="10"/>
        </w:rPr>
        <w:t>模式</w:t>
      </w:r>
      <w:r>
        <w:rPr>
          <w:spacing w:val="-55"/>
        </w:rPr>
        <w:t xml:space="preserve"> </w:t>
      </w:r>
      <w:r>
        <w:rPr>
          <w:spacing w:val="10"/>
        </w:rPr>
        <w:t>，引导园区</w:t>
      </w:r>
      <w:r>
        <w:rPr>
          <w:spacing w:val="7"/>
        </w:rPr>
        <w:t>组建投融资平台，并鼓励社会资本参与园区运</w:t>
      </w:r>
      <w:r>
        <w:rPr>
          <w:spacing w:val="7"/>
        </w:rPr>
        <w:t>营建设，为入驻企业提供便捷高效的专业化服</w:t>
      </w:r>
      <w:r>
        <w:rPr>
          <w:spacing w:val="7"/>
        </w:rPr>
        <w:t>务。（</w:t>
      </w:r>
      <w:r>
        <w:rPr>
          <w:rFonts w:ascii="KaiTi" w:hAnsi="KaiTi" w:eastAsia="KaiTi" w:cs="KaiTi"/>
          <w:spacing w:val="7"/>
        </w:rPr>
        <w:t>责任单位：市工业和信息化局，开发区</w:t>
      </w:r>
      <w:r>
        <w:rPr>
          <w:rFonts w:ascii="KaiTi" w:hAnsi="KaiTi" w:eastAsia="KaiTi" w:cs="KaiTi"/>
          <w:spacing w:val="6"/>
        </w:rPr>
        <w:t>管委会，各县〔</w:t>
      </w:r>
      <w:r>
        <w:rPr>
          <w:rFonts w:ascii="KaiTi" w:hAnsi="KaiTi" w:eastAsia="KaiTi" w:cs="KaiTi"/>
          <w:spacing w:val="-46"/>
        </w:rPr>
        <w:t xml:space="preserve"> </w:t>
      </w:r>
      <w:r>
        <w:rPr>
          <w:rFonts w:ascii="KaiTi" w:hAnsi="KaiTi" w:eastAsia="KaiTi" w:cs="KaiTi"/>
          <w:spacing w:val="6"/>
        </w:rPr>
        <w:t>区〕人民政府</w:t>
      </w:r>
      <w:r>
        <w:rPr>
          <w:spacing w:val="6"/>
        </w:rPr>
        <w:t>）</w:t>
      </w:r>
    </w:p>
    <w:p>
      <w:pPr>
        <w:ind w:left="472"/>
        <w:spacing w:before="120" w:line="18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三、保障措施</w:t>
      </w:r>
    </w:p>
    <w:p>
      <w:pPr>
        <w:pStyle w:val="BodyText"/>
        <w:ind w:left="41" w:right="47" w:firstLine="411"/>
        <w:spacing w:before="114" w:line="319" w:lineRule="auto"/>
        <w:rPr/>
      </w:pPr>
      <w:r>
        <w:rPr>
          <w:rFonts w:ascii="KaiTi" w:hAnsi="KaiTi" w:eastAsia="KaiTi" w:cs="KaiTi"/>
          <w:b/>
          <w:bCs/>
          <w:spacing w:val="6"/>
        </w:rPr>
        <w:t>（一）加强政策支持指导。</w:t>
      </w:r>
      <w:r>
        <w:rPr>
          <w:spacing w:val="6"/>
        </w:rPr>
        <w:t>各有关部门要</w:t>
      </w:r>
      <w:r>
        <w:rPr>
          <w:spacing w:val="7"/>
        </w:rPr>
        <w:t>加强对结构改造的政策引导和协调服务，衔接</w:t>
      </w:r>
      <w:r>
        <w:rPr>
          <w:spacing w:val="7"/>
        </w:rPr>
        <w:t>财税、投资、信贷等政策措施倾斜支持结构改</w:t>
      </w:r>
      <w:r>
        <w:rPr>
          <w:spacing w:val="8"/>
        </w:rPr>
        <w:t>造，促进资源能源优先向优势特色产业配置。</w:t>
      </w:r>
    </w:p>
    <w:p>
      <w:pPr>
        <w:pStyle w:val="BodyText"/>
        <w:ind w:left="42" w:right="52" w:firstLine="410"/>
        <w:spacing w:before="134" w:line="320" w:lineRule="auto"/>
        <w:rPr/>
      </w:pPr>
      <w:r>
        <w:rPr>
          <w:rFonts w:ascii="KaiTi" w:hAnsi="KaiTi" w:eastAsia="KaiTi" w:cs="KaiTi"/>
          <w:b/>
          <w:bCs/>
          <w:spacing w:val="10"/>
        </w:rPr>
        <w:t>（</w:t>
      </w:r>
      <w:r>
        <w:rPr>
          <w:rFonts w:ascii="KaiTi" w:hAnsi="KaiTi" w:eastAsia="KaiTi" w:cs="KaiTi"/>
          <w:spacing w:val="-51"/>
        </w:rPr>
        <w:t xml:space="preserve"> </w:t>
      </w:r>
      <w:r>
        <w:rPr>
          <w:rFonts w:ascii="KaiTi" w:hAnsi="KaiTi" w:eastAsia="KaiTi" w:cs="KaiTi"/>
          <w:b/>
          <w:bCs/>
          <w:spacing w:val="10"/>
        </w:rPr>
        <w:t>二）深化工业园区改革。</w:t>
      </w:r>
      <w:r>
        <w:rPr>
          <w:spacing w:val="10"/>
        </w:rPr>
        <w:t>积极推动</w:t>
      </w:r>
      <w:r>
        <w:rPr>
          <w:rFonts w:ascii="Times New Roman" w:hAnsi="Times New Roman" w:eastAsia="Times New Roman" w:cs="Times New Roman"/>
          <w:spacing w:val="10"/>
        </w:rPr>
        <w:t>“</w:t>
      </w:r>
      <w:r>
        <w:rPr>
          <w:spacing w:val="10"/>
        </w:rPr>
        <w:t>管</w:t>
      </w:r>
      <w:r>
        <w:rPr>
          <w:spacing w:val="-2"/>
        </w:rPr>
        <w:t>委会</w:t>
      </w:r>
      <w:r>
        <w:rPr>
          <w:rFonts w:ascii="Times New Roman" w:hAnsi="Times New Roman" w:eastAsia="Times New Roman" w:cs="Times New Roman"/>
          <w:spacing w:val="-2"/>
        </w:rPr>
        <w:t>+</w:t>
      </w:r>
      <w:r>
        <w:rPr>
          <w:spacing w:val="-2"/>
        </w:rPr>
        <w:t>公司</w:t>
      </w:r>
      <w:r>
        <w:rPr>
          <w:rFonts w:ascii="Times New Roman" w:hAnsi="Times New Roman" w:eastAsia="Times New Roman" w:cs="Times New Roman"/>
          <w:spacing w:val="-2"/>
        </w:rPr>
        <w:t>”</w:t>
      </w:r>
      <w:r>
        <w:rPr>
          <w:spacing w:val="-2"/>
        </w:rPr>
        <w:t>模式，力争在管理运营、工业项目用</w:t>
      </w:r>
      <w:r>
        <w:rPr>
          <w:spacing w:val="-2"/>
        </w:rPr>
        <w:t>地、资源配置、企业融资、财政税收等方面取得</w:t>
      </w:r>
      <w:r>
        <w:rPr>
          <w:spacing w:val="-5"/>
        </w:rPr>
        <w:t>实质性突破，为结构改造创造良好的政策环境。</w:t>
      </w:r>
    </w:p>
    <w:p>
      <w:pPr>
        <w:pStyle w:val="BodyText"/>
        <w:ind w:right="25" w:firstLine="453"/>
        <w:spacing w:before="134" w:line="311" w:lineRule="auto"/>
        <w:rPr/>
      </w:pPr>
      <w:r>
        <w:rPr>
          <w:rFonts w:ascii="KaiTi" w:hAnsi="KaiTi" w:eastAsia="KaiTi" w:cs="KaiTi"/>
          <w:b/>
          <w:bCs/>
          <w:spacing w:val="2"/>
        </w:rPr>
        <w:t>（</w:t>
      </w:r>
      <w:r>
        <w:rPr>
          <w:rFonts w:ascii="KaiTi" w:hAnsi="KaiTi" w:eastAsia="KaiTi" w:cs="KaiTi"/>
          <w:spacing w:val="-45"/>
        </w:rPr>
        <w:t xml:space="preserve"> </w:t>
      </w:r>
      <w:r>
        <w:rPr>
          <w:rFonts w:ascii="KaiTi" w:hAnsi="KaiTi" w:eastAsia="KaiTi" w:cs="KaiTi"/>
          <w:b/>
          <w:bCs/>
          <w:spacing w:val="2"/>
        </w:rPr>
        <w:t>三</w:t>
      </w:r>
      <w:r>
        <w:rPr>
          <w:rFonts w:ascii="KaiTi" w:hAnsi="KaiTi" w:eastAsia="KaiTi" w:cs="KaiTi"/>
          <w:spacing w:val="-41"/>
        </w:rPr>
        <w:t xml:space="preserve"> </w:t>
      </w:r>
      <w:r>
        <w:rPr>
          <w:rFonts w:ascii="KaiTi" w:hAnsi="KaiTi" w:eastAsia="KaiTi" w:cs="KaiTi"/>
          <w:b/>
          <w:bCs/>
          <w:spacing w:val="2"/>
        </w:rPr>
        <w:t>）强化项目管理服务。</w:t>
      </w:r>
      <w:r>
        <w:rPr>
          <w:spacing w:val="2"/>
        </w:rPr>
        <w:t>建立完善市、</w:t>
      </w:r>
      <w:r>
        <w:rPr>
          <w:spacing w:val="9"/>
        </w:rPr>
        <w:t>县联动推进重点工业项目工作机制，实施定期</w:t>
      </w:r>
      <w:r>
        <w:rPr>
          <w:spacing w:val="10"/>
        </w:rPr>
        <w:t>调度监测和跟踪服务，开辟</w:t>
      </w:r>
      <w:r>
        <w:rPr>
          <w:rFonts w:ascii="Times New Roman" w:hAnsi="Times New Roman" w:eastAsia="Times New Roman" w:cs="Times New Roman"/>
          <w:spacing w:val="10"/>
        </w:rPr>
        <w:t>“</w:t>
      </w:r>
      <w:r>
        <w:rPr>
          <w:spacing w:val="10"/>
        </w:rPr>
        <w:t>绿色通道</w:t>
      </w:r>
      <w:r>
        <w:rPr>
          <w:rFonts w:ascii="Times New Roman" w:hAnsi="Times New Roman" w:eastAsia="Times New Roman" w:cs="Times New Roman"/>
          <w:spacing w:val="10"/>
        </w:rPr>
        <w:t>”</w:t>
      </w:r>
      <w:r>
        <w:rPr>
          <w:spacing w:val="10"/>
        </w:rPr>
        <w:t>，开展</w:t>
      </w:r>
      <w:r>
        <w:rPr>
          <w:rFonts w:ascii="Times New Roman" w:hAnsi="Times New Roman" w:eastAsia="Times New Roman" w:cs="Times New Roman"/>
          <w:spacing w:val="10"/>
        </w:rPr>
        <w:t>“</w:t>
      </w:r>
      <w:r>
        <w:rPr>
          <w:spacing w:val="10"/>
        </w:rPr>
        <w:t>一对一</w:t>
      </w:r>
      <w:r>
        <w:rPr>
          <w:rFonts w:ascii="Times New Roman" w:hAnsi="Times New Roman" w:eastAsia="Times New Roman" w:cs="Times New Roman"/>
          <w:spacing w:val="10"/>
        </w:rPr>
        <w:t>”“</w:t>
      </w:r>
      <w:r>
        <w:rPr>
          <w:spacing w:val="10"/>
        </w:rPr>
        <w:t>点对点</w:t>
      </w:r>
      <w:r>
        <w:rPr>
          <w:rFonts w:ascii="Times New Roman" w:hAnsi="Times New Roman" w:eastAsia="Times New Roman" w:cs="Times New Roman"/>
          <w:spacing w:val="10"/>
        </w:rPr>
        <w:t>”</w:t>
      </w:r>
      <w:r>
        <w:rPr>
          <w:spacing w:val="10"/>
        </w:rPr>
        <w:t>服务。</w:t>
      </w:r>
    </w:p>
    <w:p>
      <w:pPr>
        <w:spacing w:line="311" w:lineRule="auto"/>
        <w:sectPr>
          <w:type w:val="continuous"/>
          <w:pgSz w:w="11906" w:h="16839"/>
          <w:pgMar w:top="1766" w:right="1522" w:bottom="1563" w:left="1579" w:header="1428" w:footer="1172" w:gutter="0"/>
          <w:cols w:equalWidth="0" w:num="2">
            <w:col w:w="4449" w:space="100"/>
            <w:col w:w="4255" w:space="0"/>
          </w:cols>
        </w:sectPr>
        <w:rPr/>
      </w:pPr>
    </w:p>
    <w:p>
      <w:pPr>
        <w:spacing w:line="400" w:lineRule="auto"/>
        <w:rPr>
          <w:rFonts w:ascii="Arial"/>
          <w:sz w:val="21"/>
        </w:rPr>
      </w:pPr>
      <w:r>
        <w:drawing>
          <wp:anchor distT="0" distB="0" distL="0" distR="0" simplePos="0" relativeHeight="252024832" behindDoc="0" locked="0" layoutInCell="1" allowOverlap="1">
            <wp:simplePos x="0" y="0"/>
            <wp:positionH relativeFrom="column">
              <wp:posOffset>0</wp:posOffset>
            </wp:positionH>
            <wp:positionV relativeFrom="paragraph">
              <wp:posOffset>-1130</wp:posOffset>
            </wp:positionV>
            <wp:extent cx="5579745" cy="7619"/>
            <wp:effectExtent l="0" t="0" r="0" b="0"/>
            <wp:wrapNone/>
            <wp:docPr id="1026" name="IM 1026"/>
            <wp:cNvGraphicFramePr/>
            <a:graphic>
              <a:graphicData uri="http://schemas.openxmlformats.org/drawingml/2006/picture">
                <pic:pic>
                  <pic:nvPicPr>
                    <pic:cNvPr id="1026" name="IM 1026"/>
                    <pic:cNvPicPr/>
                  </pic:nvPicPr>
                  <pic:blipFill>
                    <a:blip r:embed="rId515"/>
                    <a:stretch>
                      <a:fillRect/>
                    </a:stretch>
                  </pic:blipFill>
                  <pic:spPr>
                    <a:xfrm rot="0">
                      <a:off x="0" y="0"/>
                      <a:ext cx="5579745" cy="7619"/>
                    </a:xfrm>
                    <a:prstGeom prst="rect">
                      <a:avLst/>
                    </a:prstGeom>
                  </pic:spPr>
                </pic:pic>
              </a:graphicData>
            </a:graphic>
          </wp:anchor>
        </w:drawing>
      </w:r>
      <w:r/>
    </w:p>
    <w:p>
      <w:pPr>
        <w:ind w:left="22"/>
        <w:spacing w:before="86" w:line="21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附件 2</w:t>
      </w:r>
    </w:p>
    <w:p>
      <w:pPr>
        <w:spacing w:line="292" w:lineRule="auto"/>
        <w:rPr>
          <w:rFonts w:ascii="Arial"/>
          <w:sz w:val="21"/>
        </w:rPr>
      </w:pPr>
      <w:r/>
    </w:p>
    <w:p>
      <w:pPr>
        <w:ind w:left="1290"/>
        <w:spacing w:before="185" w:line="179"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9"/>
        </w:rPr>
        <w:t>推动工业绿色改造三年行动计划</w:t>
      </w:r>
    </w:p>
    <w:p>
      <w:pPr>
        <w:ind w:left="2256"/>
        <w:spacing w:before="2" w:line="210"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2"/>
        </w:rPr>
        <w:t>（</w:t>
      </w:r>
      <w:r>
        <w:rPr>
          <w:rFonts w:ascii="Microsoft YaHei" w:hAnsi="Microsoft YaHei" w:eastAsia="Microsoft YaHei" w:cs="Microsoft YaHei"/>
          <w:sz w:val="43"/>
          <w:szCs w:val="43"/>
          <w:spacing w:val="-26"/>
        </w:rPr>
        <w:t xml:space="preserve"> </w:t>
      </w:r>
      <w:r>
        <w:rPr>
          <w:rFonts w:ascii="Times New Roman" w:hAnsi="Times New Roman" w:eastAsia="Times New Roman" w:cs="Times New Roman"/>
          <w:sz w:val="43"/>
          <w:szCs w:val="43"/>
          <w:spacing w:val="2"/>
        </w:rPr>
        <w:t>2021 </w:t>
      </w:r>
      <w:r>
        <w:rPr>
          <w:rFonts w:ascii="Microsoft YaHei" w:hAnsi="Microsoft YaHei" w:eastAsia="Microsoft YaHei" w:cs="Microsoft YaHei"/>
          <w:sz w:val="43"/>
          <w:szCs w:val="43"/>
          <w:spacing w:val="2"/>
        </w:rPr>
        <w:t>年</w:t>
      </w:r>
      <w:r>
        <w:rPr>
          <w:rFonts w:ascii="Times New Roman" w:hAnsi="Times New Roman" w:eastAsia="Times New Roman" w:cs="Times New Roman"/>
          <w:sz w:val="43"/>
          <w:szCs w:val="43"/>
          <w:spacing w:val="2"/>
        </w:rPr>
        <w:t>—2023 </w:t>
      </w:r>
      <w:r>
        <w:rPr>
          <w:rFonts w:ascii="Microsoft YaHei" w:hAnsi="Microsoft YaHei" w:eastAsia="Microsoft YaHei" w:cs="Microsoft YaHei"/>
          <w:sz w:val="43"/>
          <w:szCs w:val="43"/>
          <w:spacing w:val="2"/>
        </w:rPr>
        <w:t>年）</w:t>
      </w:r>
    </w:p>
    <w:p>
      <w:pPr>
        <w:spacing w:before="134"/>
        <w:rPr/>
      </w:pPr>
      <w:r/>
    </w:p>
    <w:p>
      <w:pPr>
        <w:sectPr>
          <w:headerReference w:type="default" r:id="rId513"/>
          <w:footerReference w:type="default" r:id="rId514"/>
          <w:pgSz w:w="11906" w:h="16839"/>
          <w:pgMar w:top="1769" w:right="1480" w:bottom="1570" w:left="1588" w:header="1428" w:footer="1172" w:gutter="0"/>
          <w:cols w:equalWidth="0" w:num="1">
            <w:col w:w="8838" w:space="0"/>
          </w:cols>
        </w:sectPr>
        <w:rPr/>
      </w:pPr>
    </w:p>
    <w:p>
      <w:pPr>
        <w:ind w:left="433"/>
        <w:spacing w:before="38" w:line="18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一、总体目标</w:t>
      </w:r>
    </w:p>
    <w:p>
      <w:pPr>
        <w:pStyle w:val="BodyText"/>
        <w:ind w:left="3" w:right="265" w:firstLine="422"/>
        <w:spacing w:before="138" w:line="357" w:lineRule="auto"/>
        <w:jc w:val="both"/>
        <w:rPr/>
      </w:pPr>
      <w:r>
        <w:rPr>
          <w:spacing w:val="6"/>
        </w:rPr>
        <w:t>坚持绿色发展理念，以绿色改造升级为重</w:t>
      </w:r>
      <w:r>
        <w:rPr/>
        <w:t>点，加强节能环保技术、工艺、装备推广应用，</w:t>
      </w:r>
      <w:r>
        <w:rPr>
          <w:spacing w:val="7"/>
        </w:rPr>
        <w:t>强化产品全生命周期绿色管理，加快推进循环</w:t>
      </w:r>
      <w:r>
        <w:rPr>
          <w:spacing w:val="7"/>
        </w:rPr>
        <w:t>经济和综合利用，全面提升工业资源能源利用</w:t>
      </w:r>
      <w:r>
        <w:rPr>
          <w:spacing w:val="7"/>
        </w:rPr>
        <w:t>效率和清洁生产水平，实现工业高效清洁低碳</w:t>
      </w:r>
      <w:r>
        <w:rPr>
          <w:spacing w:val="9"/>
        </w:rPr>
        <w:t>循环和可持续发展。到</w:t>
      </w:r>
      <w:r>
        <w:rPr>
          <w:spacing w:val="-41"/>
        </w:rPr>
        <w:t xml:space="preserve"> </w:t>
      </w:r>
      <w:r>
        <w:rPr>
          <w:rFonts w:ascii="Times New Roman" w:hAnsi="Times New Roman" w:eastAsia="Times New Roman" w:cs="Times New Roman"/>
          <w:spacing w:val="9"/>
        </w:rPr>
        <w:t>2023 </w:t>
      </w:r>
      <w:r>
        <w:rPr>
          <w:spacing w:val="9"/>
        </w:rPr>
        <w:t>年</w:t>
      </w:r>
      <w:r>
        <w:rPr>
          <w:spacing w:val="-59"/>
        </w:rPr>
        <w:t xml:space="preserve"> </w:t>
      </w:r>
      <w:r>
        <w:rPr>
          <w:spacing w:val="9"/>
        </w:rPr>
        <w:t>，规模以上工</w:t>
      </w:r>
      <w:r>
        <w:rPr>
          <w:spacing w:val="7"/>
        </w:rPr>
        <w:t>业企业单位工业增加值能耗、用水量年均下降</w:t>
      </w:r>
      <w:r>
        <w:rPr>
          <w:rFonts w:ascii="Times New Roman" w:hAnsi="Times New Roman" w:eastAsia="Times New Roman" w:cs="Times New Roman"/>
          <w:spacing w:val="11"/>
        </w:rPr>
        <w:t>2%</w:t>
      </w:r>
      <w:r>
        <w:rPr>
          <w:spacing w:val="11"/>
        </w:rPr>
        <w:t>以上</w:t>
      </w:r>
      <w:r>
        <w:rPr>
          <w:spacing w:val="-41"/>
        </w:rPr>
        <w:t xml:space="preserve"> </w:t>
      </w:r>
      <w:r>
        <w:rPr>
          <w:spacing w:val="11"/>
        </w:rPr>
        <w:t>，一般工业固体废弃物综合利用率达</w:t>
      </w:r>
      <w:r>
        <w:rPr>
          <w:spacing w:val="5"/>
        </w:rPr>
        <w:t>到</w:t>
      </w:r>
      <w:r>
        <w:rPr>
          <w:spacing w:val="-35"/>
        </w:rPr>
        <w:t xml:space="preserve"> </w:t>
      </w:r>
      <w:r>
        <w:rPr>
          <w:rFonts w:ascii="Times New Roman" w:hAnsi="Times New Roman" w:eastAsia="Times New Roman" w:cs="Times New Roman"/>
          <w:spacing w:val="5"/>
        </w:rPr>
        <w:t>78%</w:t>
      </w:r>
      <w:r>
        <w:rPr>
          <w:spacing w:val="5"/>
        </w:rPr>
        <w:t>，创建自治区绿色工厂</w:t>
      </w:r>
      <w:r>
        <w:rPr>
          <w:spacing w:val="-43"/>
        </w:rPr>
        <w:t xml:space="preserve"> </w:t>
      </w:r>
      <w:r>
        <w:rPr>
          <w:rFonts w:ascii="Times New Roman" w:hAnsi="Times New Roman" w:eastAsia="Times New Roman" w:cs="Times New Roman"/>
          <w:spacing w:val="5"/>
        </w:rPr>
        <w:t>2 </w:t>
      </w:r>
      <w:r>
        <w:rPr>
          <w:spacing w:val="5"/>
        </w:rPr>
        <w:t>家、资源综合</w:t>
      </w:r>
      <w:r>
        <w:rPr>
          <w:spacing w:val="6"/>
        </w:rPr>
        <w:t>利用示范企业</w:t>
      </w:r>
      <w:r>
        <w:rPr>
          <w:spacing w:val="-30"/>
        </w:rPr>
        <w:t xml:space="preserve"> </w:t>
      </w:r>
      <w:r>
        <w:rPr>
          <w:rFonts w:ascii="Times New Roman" w:hAnsi="Times New Roman" w:eastAsia="Times New Roman" w:cs="Times New Roman"/>
          <w:spacing w:val="6"/>
        </w:rPr>
        <w:t>2 </w:t>
      </w:r>
      <w:r>
        <w:rPr>
          <w:spacing w:val="6"/>
        </w:rPr>
        <w:t>家，主要污染物排放总量得到</w:t>
      </w:r>
      <w:r>
        <w:rPr>
          <w:spacing w:val="7"/>
        </w:rPr>
        <w:t>有效控制。</w:t>
      </w:r>
    </w:p>
    <w:tbl>
      <w:tblPr>
        <w:tblStyle w:val="TableNormal"/>
        <w:tblW w:w="4101" w:type="dxa"/>
        <w:tblInd w:w="24" w:type="dxa"/>
        <w:tblLayout w:type="fixed"/>
        <w:tblBorders>
          <w:left w:val="single" w:color="000000" w:sz="2" w:space="0"/>
          <w:bottom w:val="single" w:color="000000" w:sz="2" w:space="0"/>
          <w:right w:val="single" w:color="000000" w:sz="2" w:space="0"/>
          <w:top w:val="single" w:color="000000" w:sz="2" w:space="0"/>
        </w:tblBorders>
      </w:tblPr>
      <w:tblGrid>
        <w:gridCol w:w="4101"/>
      </w:tblGrid>
      <w:tr>
        <w:trPr>
          <w:trHeight w:val="5648" w:hRule="atLeast"/>
        </w:trPr>
        <w:tc>
          <w:tcPr>
            <w:tcW w:w="4101" w:type="dxa"/>
            <w:vAlign w:val="top"/>
          </w:tcPr>
          <w:p>
            <w:pPr>
              <w:ind w:left="1215"/>
              <w:spacing w:before="123"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绿色改造年度目标</w:t>
            </w:r>
          </w:p>
          <w:p>
            <w:pPr>
              <w:pStyle w:val="TableText"/>
              <w:ind w:left="110" w:right="106" w:firstLine="417"/>
              <w:spacing w:before="67" w:line="305" w:lineRule="auto"/>
              <w:jc w:val="both"/>
              <w:rPr>
                <w:sz w:val="20"/>
                <w:szCs w:val="20"/>
              </w:rPr>
            </w:pPr>
            <w:r>
              <w:rPr>
                <w:sz w:val="20"/>
                <w:szCs w:val="20"/>
                <w:spacing w:val="8"/>
              </w:rPr>
              <w:t>—2021</w:t>
            </w:r>
            <w:r>
              <w:rPr>
                <w:sz w:val="20"/>
                <w:szCs w:val="20"/>
                <w:spacing w:val="-26"/>
              </w:rPr>
              <w:t xml:space="preserve"> </w:t>
            </w:r>
            <w:r>
              <w:rPr>
                <w:sz w:val="20"/>
                <w:szCs w:val="20"/>
                <w:spacing w:val="8"/>
              </w:rPr>
              <w:t>年</w:t>
            </w:r>
            <w:r>
              <w:rPr>
                <w:sz w:val="20"/>
                <w:szCs w:val="20"/>
                <w:spacing w:val="-59"/>
              </w:rPr>
              <w:t xml:space="preserve"> </w:t>
            </w:r>
            <w:r>
              <w:rPr>
                <w:sz w:val="20"/>
                <w:szCs w:val="20"/>
                <w:spacing w:val="8"/>
              </w:rPr>
              <w:t>，规模以上工业企业单位工</w:t>
            </w:r>
            <w:r>
              <w:rPr>
                <w:sz w:val="20"/>
                <w:szCs w:val="20"/>
                <w:spacing w:val="11"/>
              </w:rPr>
              <w:t>业增加值能耗、用水量分别下降</w:t>
            </w:r>
            <w:r>
              <w:rPr>
                <w:sz w:val="20"/>
                <w:szCs w:val="20"/>
                <w:spacing w:val="-32"/>
              </w:rPr>
              <w:t xml:space="preserve"> </w:t>
            </w:r>
            <w:r>
              <w:rPr>
                <w:sz w:val="20"/>
                <w:szCs w:val="20"/>
                <w:spacing w:val="11"/>
              </w:rPr>
              <w:t>2%以上，</w:t>
            </w:r>
            <w:r>
              <w:rPr>
                <w:sz w:val="20"/>
                <w:szCs w:val="20"/>
                <w:spacing w:val="8"/>
              </w:rPr>
              <w:t>一般工业固废综合利用率达到</w:t>
            </w:r>
            <w:r>
              <w:rPr>
                <w:sz w:val="20"/>
                <w:szCs w:val="20"/>
                <w:spacing w:val="-44"/>
              </w:rPr>
              <w:t xml:space="preserve"> </w:t>
            </w:r>
            <w:r>
              <w:rPr>
                <w:sz w:val="20"/>
                <w:szCs w:val="20"/>
                <w:spacing w:val="8"/>
              </w:rPr>
              <w:t>76%，实施</w:t>
            </w:r>
            <w:r>
              <w:rPr>
                <w:sz w:val="20"/>
                <w:szCs w:val="20"/>
                <w:spacing w:val="-39"/>
              </w:rPr>
              <w:t xml:space="preserve"> </w:t>
            </w:r>
            <w:r>
              <w:rPr>
                <w:sz w:val="20"/>
                <w:szCs w:val="20"/>
                <w:spacing w:val="8"/>
              </w:rPr>
              <w:t>3</w:t>
            </w:r>
            <w:r>
              <w:rPr>
                <w:sz w:val="20"/>
                <w:szCs w:val="20"/>
                <w:spacing w:val="13"/>
              </w:rPr>
              <w:t>个重点节能节水项目</w:t>
            </w:r>
            <w:r>
              <w:rPr>
                <w:sz w:val="20"/>
                <w:szCs w:val="20"/>
                <w:spacing w:val="-57"/>
              </w:rPr>
              <w:t xml:space="preserve"> </w:t>
            </w:r>
            <w:r>
              <w:rPr>
                <w:sz w:val="20"/>
                <w:szCs w:val="20"/>
                <w:spacing w:val="13"/>
              </w:rPr>
              <w:t>，创建资源综合利用</w:t>
            </w:r>
            <w:r>
              <w:rPr>
                <w:sz w:val="20"/>
                <w:szCs w:val="20"/>
                <w:spacing w:val="2"/>
              </w:rPr>
              <w:t>示范企业</w:t>
            </w:r>
            <w:r>
              <w:rPr>
                <w:sz w:val="20"/>
                <w:szCs w:val="20"/>
                <w:spacing w:val="-20"/>
              </w:rPr>
              <w:t xml:space="preserve"> </w:t>
            </w:r>
            <w:r>
              <w:rPr>
                <w:sz w:val="20"/>
                <w:szCs w:val="20"/>
                <w:spacing w:val="2"/>
              </w:rPr>
              <w:t>1</w:t>
            </w:r>
            <w:r>
              <w:rPr>
                <w:sz w:val="20"/>
                <w:szCs w:val="20"/>
                <w:spacing w:val="-40"/>
              </w:rPr>
              <w:t xml:space="preserve"> </w:t>
            </w:r>
            <w:r>
              <w:rPr>
                <w:sz w:val="20"/>
                <w:szCs w:val="20"/>
                <w:spacing w:val="2"/>
              </w:rPr>
              <w:t>家。</w:t>
            </w:r>
          </w:p>
          <w:p>
            <w:pPr>
              <w:pStyle w:val="TableText"/>
              <w:ind w:left="110" w:right="106" w:firstLine="417"/>
              <w:spacing w:before="2" w:line="297" w:lineRule="auto"/>
              <w:jc w:val="both"/>
              <w:rPr>
                <w:sz w:val="20"/>
                <w:szCs w:val="20"/>
              </w:rPr>
            </w:pPr>
            <w:r>
              <w:rPr>
                <w:sz w:val="20"/>
                <w:szCs w:val="20"/>
                <w:spacing w:val="8"/>
              </w:rPr>
              <w:t>—2022</w:t>
            </w:r>
            <w:r>
              <w:rPr>
                <w:sz w:val="20"/>
                <w:szCs w:val="20"/>
                <w:spacing w:val="-26"/>
              </w:rPr>
              <w:t xml:space="preserve"> </w:t>
            </w:r>
            <w:r>
              <w:rPr>
                <w:sz w:val="20"/>
                <w:szCs w:val="20"/>
                <w:spacing w:val="8"/>
              </w:rPr>
              <w:t>年</w:t>
            </w:r>
            <w:r>
              <w:rPr>
                <w:sz w:val="20"/>
                <w:szCs w:val="20"/>
                <w:spacing w:val="-59"/>
              </w:rPr>
              <w:t xml:space="preserve"> </w:t>
            </w:r>
            <w:r>
              <w:rPr>
                <w:sz w:val="20"/>
                <w:szCs w:val="20"/>
                <w:spacing w:val="8"/>
              </w:rPr>
              <w:t>，规模以上工业企业单位工</w:t>
            </w:r>
            <w:r>
              <w:rPr>
                <w:sz w:val="20"/>
                <w:szCs w:val="20"/>
                <w:spacing w:val="11"/>
              </w:rPr>
              <w:t>业增加值能耗、用水量分别下降</w:t>
            </w:r>
            <w:r>
              <w:rPr>
                <w:sz w:val="20"/>
                <w:szCs w:val="20"/>
                <w:spacing w:val="-32"/>
              </w:rPr>
              <w:t xml:space="preserve"> </w:t>
            </w:r>
            <w:r>
              <w:rPr>
                <w:sz w:val="20"/>
                <w:szCs w:val="20"/>
                <w:spacing w:val="11"/>
              </w:rPr>
              <w:t>2%以上，</w:t>
            </w:r>
            <w:r>
              <w:rPr>
                <w:sz w:val="20"/>
                <w:szCs w:val="20"/>
                <w:spacing w:val="8"/>
              </w:rPr>
              <w:t>一般工业固废综合利用率达到</w:t>
            </w:r>
            <w:r>
              <w:rPr>
                <w:sz w:val="20"/>
                <w:szCs w:val="20"/>
                <w:spacing w:val="-44"/>
              </w:rPr>
              <w:t xml:space="preserve"> </w:t>
            </w:r>
            <w:r>
              <w:rPr>
                <w:sz w:val="20"/>
                <w:szCs w:val="20"/>
                <w:spacing w:val="8"/>
              </w:rPr>
              <w:t>77%，实施</w:t>
            </w:r>
            <w:r>
              <w:rPr>
                <w:sz w:val="20"/>
                <w:szCs w:val="20"/>
                <w:spacing w:val="-39"/>
              </w:rPr>
              <w:t xml:space="preserve"> </w:t>
            </w:r>
            <w:r>
              <w:rPr>
                <w:sz w:val="20"/>
                <w:szCs w:val="20"/>
                <w:spacing w:val="8"/>
              </w:rPr>
              <w:t>3</w:t>
            </w:r>
            <w:r>
              <w:rPr>
                <w:sz w:val="20"/>
                <w:szCs w:val="20"/>
                <w:spacing w:val="10"/>
              </w:rPr>
              <w:t>个重点节能节水项目</w:t>
            </w:r>
            <w:r>
              <w:rPr>
                <w:sz w:val="20"/>
                <w:szCs w:val="20"/>
                <w:spacing w:val="-52"/>
              </w:rPr>
              <w:t xml:space="preserve"> </w:t>
            </w:r>
            <w:r>
              <w:rPr>
                <w:sz w:val="20"/>
                <w:szCs w:val="20"/>
                <w:spacing w:val="10"/>
              </w:rPr>
              <w:t>，创建</w:t>
            </w:r>
            <w:r>
              <w:rPr>
                <w:sz w:val="20"/>
                <w:szCs w:val="20"/>
                <w:spacing w:val="-18"/>
              </w:rPr>
              <w:t xml:space="preserve"> </w:t>
            </w:r>
            <w:r>
              <w:rPr>
                <w:sz w:val="20"/>
                <w:szCs w:val="20"/>
                <w:spacing w:val="10"/>
              </w:rPr>
              <w:t>1</w:t>
            </w:r>
            <w:r>
              <w:rPr>
                <w:sz w:val="20"/>
                <w:szCs w:val="20"/>
                <w:spacing w:val="-35"/>
              </w:rPr>
              <w:t xml:space="preserve"> </w:t>
            </w:r>
            <w:r>
              <w:rPr>
                <w:sz w:val="20"/>
                <w:szCs w:val="20"/>
                <w:spacing w:val="10"/>
              </w:rPr>
              <w:t>家自治区级</w:t>
            </w:r>
            <w:r>
              <w:rPr>
                <w:sz w:val="20"/>
                <w:szCs w:val="20"/>
                <w:spacing w:val="7"/>
              </w:rPr>
              <w:t>绿色工厂。</w:t>
            </w:r>
          </w:p>
          <w:p>
            <w:pPr>
              <w:pStyle w:val="TableText"/>
              <w:ind w:left="110" w:right="106" w:firstLine="417"/>
              <w:spacing w:before="36" w:line="291" w:lineRule="auto"/>
              <w:jc w:val="both"/>
              <w:rPr>
                <w:sz w:val="20"/>
                <w:szCs w:val="20"/>
              </w:rPr>
            </w:pPr>
            <w:r>
              <w:rPr>
                <w:sz w:val="20"/>
                <w:szCs w:val="20"/>
                <w:spacing w:val="8"/>
              </w:rPr>
              <w:t>—2023</w:t>
            </w:r>
            <w:r>
              <w:rPr>
                <w:sz w:val="20"/>
                <w:szCs w:val="20"/>
                <w:spacing w:val="-26"/>
              </w:rPr>
              <w:t xml:space="preserve"> </w:t>
            </w:r>
            <w:r>
              <w:rPr>
                <w:sz w:val="20"/>
                <w:szCs w:val="20"/>
                <w:spacing w:val="8"/>
              </w:rPr>
              <w:t>年</w:t>
            </w:r>
            <w:r>
              <w:rPr>
                <w:sz w:val="20"/>
                <w:szCs w:val="20"/>
                <w:spacing w:val="-59"/>
              </w:rPr>
              <w:t xml:space="preserve"> </w:t>
            </w:r>
            <w:r>
              <w:rPr>
                <w:sz w:val="20"/>
                <w:szCs w:val="20"/>
                <w:spacing w:val="8"/>
              </w:rPr>
              <w:t>，规模以上工业企业单位工</w:t>
            </w:r>
            <w:r>
              <w:rPr>
                <w:sz w:val="20"/>
                <w:szCs w:val="20"/>
                <w:spacing w:val="11"/>
              </w:rPr>
              <w:t>业增加值能耗、用水量分别下降</w:t>
            </w:r>
            <w:r>
              <w:rPr>
                <w:sz w:val="20"/>
                <w:szCs w:val="20"/>
                <w:spacing w:val="-32"/>
              </w:rPr>
              <w:t xml:space="preserve"> </w:t>
            </w:r>
            <w:r>
              <w:rPr>
                <w:sz w:val="20"/>
                <w:szCs w:val="20"/>
                <w:spacing w:val="11"/>
              </w:rPr>
              <w:t>2%以上，</w:t>
            </w:r>
            <w:r>
              <w:rPr>
                <w:sz w:val="20"/>
                <w:szCs w:val="20"/>
                <w:spacing w:val="8"/>
              </w:rPr>
              <w:t>一般工业固废综合利用率达到</w:t>
            </w:r>
            <w:r>
              <w:rPr>
                <w:sz w:val="20"/>
                <w:szCs w:val="20"/>
                <w:spacing w:val="-44"/>
              </w:rPr>
              <w:t xml:space="preserve"> </w:t>
            </w:r>
            <w:r>
              <w:rPr>
                <w:sz w:val="20"/>
                <w:szCs w:val="20"/>
                <w:spacing w:val="8"/>
              </w:rPr>
              <w:t>78%，实施</w:t>
            </w:r>
            <w:r>
              <w:rPr>
                <w:sz w:val="20"/>
                <w:szCs w:val="20"/>
                <w:spacing w:val="-39"/>
              </w:rPr>
              <w:t xml:space="preserve"> </w:t>
            </w:r>
            <w:r>
              <w:rPr>
                <w:sz w:val="20"/>
                <w:szCs w:val="20"/>
                <w:spacing w:val="8"/>
              </w:rPr>
              <w:t>3</w:t>
            </w:r>
            <w:r>
              <w:rPr>
                <w:sz w:val="20"/>
                <w:szCs w:val="20"/>
                <w:spacing w:val="13"/>
              </w:rPr>
              <w:t>个重点节能节水项目</w:t>
            </w:r>
            <w:r>
              <w:rPr>
                <w:sz w:val="20"/>
                <w:szCs w:val="20"/>
                <w:spacing w:val="-57"/>
              </w:rPr>
              <w:t xml:space="preserve"> </w:t>
            </w:r>
            <w:r>
              <w:rPr>
                <w:sz w:val="20"/>
                <w:szCs w:val="20"/>
                <w:spacing w:val="13"/>
              </w:rPr>
              <w:t>，创建资源综合利用</w:t>
            </w:r>
            <w:r>
              <w:rPr>
                <w:sz w:val="20"/>
                <w:szCs w:val="20"/>
                <w:spacing w:val="5"/>
              </w:rPr>
              <w:t>示范企业</w:t>
            </w:r>
            <w:r>
              <w:rPr>
                <w:sz w:val="20"/>
                <w:szCs w:val="20"/>
                <w:spacing w:val="-18"/>
              </w:rPr>
              <w:t xml:space="preserve"> </w:t>
            </w:r>
            <w:r>
              <w:rPr>
                <w:sz w:val="20"/>
                <w:szCs w:val="20"/>
                <w:spacing w:val="5"/>
              </w:rPr>
              <w:t>1</w:t>
            </w:r>
            <w:r>
              <w:rPr>
                <w:sz w:val="20"/>
                <w:szCs w:val="20"/>
                <w:spacing w:val="-33"/>
              </w:rPr>
              <w:t xml:space="preserve"> </w:t>
            </w:r>
            <w:r>
              <w:rPr>
                <w:sz w:val="20"/>
                <w:szCs w:val="20"/>
                <w:spacing w:val="5"/>
              </w:rPr>
              <w:t>家、</w:t>
            </w:r>
            <w:r>
              <w:rPr>
                <w:sz w:val="20"/>
                <w:szCs w:val="20"/>
                <w:spacing w:val="-53"/>
              </w:rPr>
              <w:t xml:space="preserve"> </w:t>
            </w:r>
            <w:r>
              <w:rPr>
                <w:sz w:val="20"/>
                <w:szCs w:val="20"/>
                <w:spacing w:val="5"/>
              </w:rPr>
              <w:t>自治区级绿色工厂</w:t>
            </w:r>
            <w:r>
              <w:rPr>
                <w:sz w:val="20"/>
                <w:szCs w:val="20"/>
                <w:spacing w:val="-19"/>
              </w:rPr>
              <w:t xml:space="preserve"> </w:t>
            </w:r>
            <w:r>
              <w:rPr>
                <w:sz w:val="20"/>
                <w:szCs w:val="20"/>
                <w:spacing w:val="5"/>
              </w:rPr>
              <w:t>1</w:t>
            </w:r>
            <w:r>
              <w:rPr>
                <w:sz w:val="20"/>
                <w:szCs w:val="20"/>
                <w:spacing w:val="-34"/>
              </w:rPr>
              <w:t xml:space="preserve"> </w:t>
            </w:r>
            <w:r>
              <w:rPr>
                <w:sz w:val="20"/>
                <w:szCs w:val="20"/>
                <w:spacing w:val="5"/>
              </w:rPr>
              <w:t>家</w:t>
            </w:r>
            <w:r>
              <w:rPr>
                <w:sz w:val="20"/>
                <w:szCs w:val="20"/>
                <w:spacing w:val="-56"/>
              </w:rPr>
              <w:t xml:space="preserve"> </w:t>
            </w:r>
            <w:r>
              <w:rPr>
                <w:sz w:val="20"/>
                <w:szCs w:val="20"/>
                <w:spacing w:val="5"/>
              </w:rPr>
              <w:t>，</w:t>
            </w:r>
            <w:r>
              <w:rPr>
                <w:sz w:val="20"/>
                <w:szCs w:val="20"/>
                <w:spacing w:val="5"/>
              </w:rPr>
              <w:t>自治区级绿色园区</w:t>
            </w:r>
            <w:r>
              <w:rPr>
                <w:sz w:val="20"/>
                <w:szCs w:val="20"/>
                <w:spacing w:val="-21"/>
              </w:rPr>
              <w:t xml:space="preserve"> </w:t>
            </w:r>
            <w:r>
              <w:rPr>
                <w:sz w:val="20"/>
                <w:szCs w:val="20"/>
                <w:spacing w:val="5"/>
              </w:rPr>
              <w:t>1</w:t>
            </w:r>
            <w:r>
              <w:rPr>
                <w:sz w:val="20"/>
                <w:szCs w:val="20"/>
                <w:spacing w:val="-40"/>
              </w:rPr>
              <w:t xml:space="preserve"> </w:t>
            </w:r>
            <w:r>
              <w:rPr>
                <w:sz w:val="20"/>
                <w:szCs w:val="20"/>
                <w:spacing w:val="5"/>
              </w:rPr>
              <w:t>家。</w:t>
            </w:r>
          </w:p>
        </w:tc>
      </w:tr>
    </w:tbl>
    <w:p>
      <w:pPr>
        <w:spacing w:line="14" w:lineRule="auto"/>
        <w:rPr>
          <w:rFonts w:ascii="Arial"/>
          <w:sz w:val="2"/>
        </w:rPr>
      </w:pPr>
      <w:r/>
    </w:p>
    <w:p>
      <w:pPr>
        <w:spacing w:line="14" w:lineRule="auto"/>
        <w:rPr>
          <w:rFonts w:ascii="Arial"/>
          <w:sz w:val="2"/>
        </w:rPr>
      </w:pPr>
      <w:r>
        <w:rPr>
          <w:rFonts w:ascii="Arial" w:hAnsi="Arial" w:eastAsia="Arial" w:cs="Arial"/>
          <w:sz w:val="2"/>
          <w:szCs w:val="2"/>
        </w:rPr>
        <w:br w:type="column"/>
      </w:r>
    </w:p>
    <w:p>
      <w:pPr>
        <w:ind w:left="429"/>
        <w:spacing w:before="37"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二、重点任务</w:t>
      </w:r>
    </w:p>
    <w:p>
      <w:pPr>
        <w:ind w:left="413"/>
        <w:spacing w:before="133" w:line="241" w:lineRule="auto"/>
        <w:rPr>
          <w:rFonts w:ascii="KaiTi" w:hAnsi="KaiTi" w:eastAsia="KaiTi" w:cs="KaiTi"/>
          <w:sz w:val="20"/>
          <w:szCs w:val="20"/>
        </w:rPr>
      </w:pPr>
      <w:r>
        <w:rPr>
          <w:rFonts w:ascii="KaiTi" w:hAnsi="KaiTi" w:eastAsia="KaiTi" w:cs="KaiTi"/>
          <w:sz w:val="20"/>
          <w:szCs w:val="20"/>
          <w:b/>
          <w:bCs/>
          <w:spacing w:val="3"/>
        </w:rPr>
        <w:t>（</w:t>
      </w:r>
      <w:r>
        <w:rPr>
          <w:rFonts w:ascii="KaiTi" w:hAnsi="KaiTi" w:eastAsia="KaiTi" w:cs="KaiTi"/>
          <w:sz w:val="20"/>
          <w:szCs w:val="20"/>
          <w:spacing w:val="-42"/>
        </w:rPr>
        <w:t xml:space="preserve"> </w:t>
      </w:r>
      <w:r>
        <w:rPr>
          <w:rFonts w:ascii="KaiTi" w:hAnsi="KaiTi" w:eastAsia="KaiTi" w:cs="KaiTi"/>
          <w:sz w:val="20"/>
          <w:szCs w:val="20"/>
          <w:b/>
          <w:bCs/>
          <w:spacing w:val="3"/>
        </w:rPr>
        <w:t>一）提升工业能效水效。</w:t>
      </w:r>
    </w:p>
    <w:p>
      <w:pPr>
        <w:pStyle w:val="BodyText"/>
        <w:ind w:right="32" w:firstLine="431"/>
        <w:spacing w:before="140" w:line="369" w:lineRule="auto"/>
        <w:jc w:val="both"/>
        <w:rPr/>
      </w:pPr>
      <w:r>
        <w:rPr>
          <w:spacing w:val="2"/>
        </w:rPr>
        <w:t>时间节点：</w:t>
      </w:r>
      <w:r>
        <w:rPr>
          <w:rFonts w:ascii="Times New Roman" w:hAnsi="Times New Roman" w:eastAsia="Times New Roman" w:cs="Times New Roman"/>
          <w:spacing w:val="2"/>
        </w:rPr>
        <w:t>2021 </w:t>
      </w:r>
      <w:r>
        <w:rPr>
          <w:spacing w:val="2"/>
        </w:rPr>
        <w:t>年，实施</w:t>
      </w:r>
      <w:r>
        <w:rPr>
          <w:spacing w:val="-26"/>
        </w:rPr>
        <w:t xml:space="preserve"> </w:t>
      </w:r>
      <w:r>
        <w:rPr>
          <w:rFonts w:ascii="Times New Roman" w:hAnsi="Times New Roman" w:eastAsia="Times New Roman" w:cs="Times New Roman"/>
          <w:spacing w:val="2"/>
        </w:rPr>
        <w:t>3 </w:t>
      </w:r>
      <w:r>
        <w:rPr>
          <w:spacing w:val="2"/>
        </w:rPr>
        <w:t>个重点节能节</w:t>
      </w:r>
      <w:r>
        <w:rPr>
          <w:spacing w:val="6"/>
        </w:rPr>
        <w:t>水改造项目，对</w:t>
      </w:r>
      <w:r>
        <w:rPr>
          <w:spacing w:val="-29"/>
        </w:rPr>
        <w:t xml:space="preserve"> </w:t>
      </w:r>
      <w:r>
        <w:rPr>
          <w:rFonts w:ascii="Times New Roman" w:hAnsi="Times New Roman" w:eastAsia="Times New Roman" w:cs="Times New Roman"/>
          <w:spacing w:val="6"/>
        </w:rPr>
        <w:t>7 </w:t>
      </w:r>
      <w:r>
        <w:rPr>
          <w:spacing w:val="6"/>
        </w:rPr>
        <w:t>家重点用能企业进行节能诊</w:t>
      </w:r>
      <w:r>
        <w:rPr>
          <w:spacing w:val="5"/>
        </w:rPr>
        <w:t>断，规模以上工业用水重复利用率达到</w:t>
      </w:r>
      <w:r>
        <w:rPr>
          <w:spacing w:val="-24"/>
        </w:rPr>
        <w:t xml:space="preserve"> </w:t>
      </w:r>
      <w:r>
        <w:rPr>
          <w:rFonts w:ascii="Times New Roman" w:hAnsi="Times New Roman" w:eastAsia="Times New Roman" w:cs="Times New Roman"/>
          <w:spacing w:val="5"/>
        </w:rPr>
        <w:t>75%</w:t>
      </w:r>
      <w:r>
        <w:rPr>
          <w:spacing w:val="5"/>
        </w:rPr>
        <w:t>以</w:t>
      </w:r>
      <w:r>
        <w:rPr>
          <w:spacing w:val="8"/>
        </w:rPr>
        <w:t>上。到</w:t>
      </w:r>
      <w:r>
        <w:rPr>
          <w:spacing w:val="-41"/>
        </w:rPr>
        <w:t xml:space="preserve"> </w:t>
      </w:r>
      <w:r>
        <w:rPr>
          <w:rFonts w:ascii="Times New Roman" w:hAnsi="Times New Roman" w:eastAsia="Times New Roman" w:cs="Times New Roman"/>
          <w:spacing w:val="8"/>
        </w:rPr>
        <w:t>2023 </w:t>
      </w:r>
      <w:r>
        <w:rPr>
          <w:spacing w:val="8"/>
        </w:rPr>
        <w:t>年</w:t>
      </w:r>
      <w:r>
        <w:rPr>
          <w:spacing w:val="-58"/>
        </w:rPr>
        <w:t xml:space="preserve"> </w:t>
      </w:r>
      <w:r>
        <w:rPr>
          <w:spacing w:val="8"/>
        </w:rPr>
        <w:t>，累计实施</w:t>
      </w:r>
      <w:r>
        <w:rPr>
          <w:spacing w:val="-35"/>
        </w:rPr>
        <w:t xml:space="preserve"> </w:t>
      </w:r>
      <w:r>
        <w:rPr>
          <w:rFonts w:ascii="Times New Roman" w:hAnsi="Times New Roman" w:eastAsia="Times New Roman" w:cs="Times New Roman"/>
          <w:spacing w:val="8"/>
        </w:rPr>
        <w:t>9 </w:t>
      </w:r>
      <w:r>
        <w:rPr>
          <w:spacing w:val="8"/>
        </w:rPr>
        <w:t>个重点节</w:t>
      </w:r>
      <w:r>
        <w:rPr>
          <w:spacing w:val="7"/>
        </w:rPr>
        <w:t>能节水</w:t>
      </w:r>
      <w:r>
        <w:rPr>
          <w:spacing w:val="5"/>
        </w:rPr>
        <w:t>改造项目，完成</w:t>
      </w:r>
      <w:r>
        <w:rPr>
          <w:spacing w:val="-38"/>
        </w:rPr>
        <w:t xml:space="preserve"> </w:t>
      </w:r>
      <w:r>
        <w:rPr>
          <w:rFonts w:ascii="Times New Roman" w:hAnsi="Times New Roman" w:eastAsia="Times New Roman" w:cs="Times New Roman"/>
          <w:spacing w:val="5"/>
        </w:rPr>
        <w:t>21 </w:t>
      </w:r>
      <w:r>
        <w:rPr>
          <w:spacing w:val="5"/>
        </w:rPr>
        <w:t>家重点用能企业节能诊断。</w:t>
      </w:r>
      <w:r>
        <w:rPr>
          <w:spacing w:val="9"/>
        </w:rPr>
        <w:t>规模以上工业用水重复利用率达到</w:t>
      </w:r>
      <w:r>
        <w:rPr>
          <w:spacing w:val="-33"/>
        </w:rPr>
        <w:t xml:space="preserve"> </w:t>
      </w:r>
      <w:r>
        <w:rPr>
          <w:rFonts w:ascii="Times New Roman" w:hAnsi="Times New Roman" w:eastAsia="Times New Roman" w:cs="Times New Roman"/>
          <w:spacing w:val="9"/>
        </w:rPr>
        <w:t>78%</w:t>
      </w:r>
      <w:r>
        <w:rPr>
          <w:spacing w:val="9"/>
        </w:rPr>
        <w:t>以上，</w:t>
      </w:r>
      <w:r>
        <w:rPr>
          <w:spacing w:val="7"/>
        </w:rPr>
        <w:t>累计创建</w:t>
      </w:r>
      <w:r>
        <w:rPr>
          <w:spacing w:val="-39"/>
        </w:rPr>
        <w:t xml:space="preserve"> </w:t>
      </w:r>
      <w:r>
        <w:rPr>
          <w:rFonts w:ascii="Times New Roman" w:hAnsi="Times New Roman" w:eastAsia="Times New Roman" w:cs="Times New Roman"/>
          <w:spacing w:val="7"/>
        </w:rPr>
        <w:t>2 </w:t>
      </w:r>
      <w:r>
        <w:rPr>
          <w:spacing w:val="7"/>
        </w:rPr>
        <w:t>家节水型企业。</w:t>
      </w:r>
    </w:p>
    <w:p>
      <w:pPr>
        <w:pStyle w:val="BodyText"/>
        <w:ind w:firstLine="424"/>
        <w:spacing w:before="4" w:line="369" w:lineRule="auto"/>
        <w:jc w:val="both"/>
        <w:rPr/>
      </w:pPr>
      <w:r>
        <w:rPr>
          <w:spacing w:val="12"/>
        </w:rPr>
        <w:t>实施重点：组织实施工业企业能效</w:t>
      </w:r>
      <w:r>
        <w:rPr>
          <w:rFonts w:ascii="Times New Roman" w:hAnsi="Times New Roman" w:eastAsia="Times New Roman" w:cs="Times New Roman"/>
          <w:spacing w:val="12"/>
        </w:rPr>
        <w:t>“</w:t>
      </w:r>
      <w:r>
        <w:rPr>
          <w:spacing w:val="12"/>
        </w:rPr>
        <w:t>领跑</w:t>
      </w:r>
      <w:r>
        <w:rPr>
          <w:spacing w:val="10"/>
        </w:rPr>
        <w:t>者</w:t>
      </w:r>
      <w:r>
        <w:rPr>
          <w:rFonts w:ascii="Times New Roman" w:hAnsi="Times New Roman" w:eastAsia="Times New Roman" w:cs="Times New Roman"/>
          <w:spacing w:val="10"/>
        </w:rPr>
        <w:t>”</w:t>
      </w:r>
      <w:r>
        <w:rPr>
          <w:spacing w:val="10"/>
        </w:rPr>
        <w:t>和能效水平对标达标行动</w:t>
      </w:r>
      <w:r>
        <w:rPr>
          <w:spacing w:val="-43"/>
        </w:rPr>
        <w:t xml:space="preserve"> </w:t>
      </w:r>
      <w:r>
        <w:rPr>
          <w:spacing w:val="10"/>
        </w:rPr>
        <w:t>，开展重点用能</w:t>
      </w:r>
      <w:r>
        <w:rPr>
          <w:spacing w:val="10"/>
        </w:rPr>
        <w:t>工业企业节能诊断，推广应用先进节能技术、</w:t>
      </w:r>
      <w:r>
        <w:rPr>
          <w:spacing w:val="2"/>
        </w:rPr>
        <w:t>工艺、装备，建成一批节能改造升级示范项目。</w:t>
      </w:r>
      <w:r>
        <w:rPr>
          <w:spacing w:val="7"/>
        </w:rPr>
        <w:t>配合自治区工信厅做好《宁夏用能单位产品能</w:t>
      </w:r>
      <w:r>
        <w:rPr>
          <w:spacing w:val="7"/>
        </w:rPr>
        <w:t>耗限额指标目录》标准修订工作，严格落实节</w:t>
      </w:r>
      <w:r>
        <w:rPr>
          <w:spacing w:val="7"/>
        </w:rPr>
        <w:t>能审查制度。推进工业节水改造，加强节水型</w:t>
      </w:r>
      <w:r>
        <w:rPr>
          <w:spacing w:val="7"/>
        </w:rPr>
        <w:t>企业建设，强化用水定额管理，推广水循环梯</w:t>
      </w:r>
      <w:r>
        <w:rPr>
          <w:spacing w:val="7"/>
        </w:rPr>
        <w:t>级利用。加快发展合同能源管理、合同节水管</w:t>
      </w:r>
      <w:r>
        <w:rPr>
          <w:spacing w:val="7"/>
        </w:rPr>
        <w:t>理、合同环境管理等新业态，积极推行节能环</w:t>
      </w:r>
      <w:r>
        <w:rPr>
          <w:spacing w:val="7"/>
        </w:rPr>
        <w:t>保服务整体解决方案。（</w:t>
      </w:r>
      <w:r>
        <w:rPr>
          <w:rFonts w:ascii="KaiTi" w:hAnsi="KaiTi" w:eastAsia="KaiTi" w:cs="KaiTi"/>
          <w:spacing w:val="7"/>
        </w:rPr>
        <w:t>责任单位：市工业和</w:t>
      </w:r>
      <w:r>
        <w:rPr>
          <w:rFonts w:ascii="KaiTi" w:hAnsi="KaiTi" w:eastAsia="KaiTi" w:cs="KaiTi"/>
          <w:spacing w:val="2"/>
        </w:rPr>
        <w:t>信息化局、发展改革委、生态环境局、水务局、</w:t>
      </w:r>
      <w:r>
        <w:rPr>
          <w:rFonts w:ascii="KaiTi" w:hAnsi="KaiTi" w:eastAsia="KaiTi" w:cs="KaiTi"/>
        </w:rPr>
        <w:t>国资委，开发区管委会，各县〔</w:t>
      </w:r>
      <w:r>
        <w:rPr>
          <w:rFonts w:ascii="KaiTi" w:hAnsi="KaiTi" w:eastAsia="KaiTi" w:cs="KaiTi"/>
          <w:spacing w:val="-44"/>
        </w:rPr>
        <w:t xml:space="preserve"> </w:t>
      </w:r>
      <w:r>
        <w:rPr>
          <w:rFonts w:ascii="KaiTi" w:hAnsi="KaiTi" w:eastAsia="KaiTi" w:cs="KaiTi"/>
        </w:rPr>
        <w:t>区〕人民政府</w:t>
      </w:r>
      <w:r>
        <w:rPr/>
        <w:t>）</w:t>
      </w:r>
    </w:p>
    <w:p>
      <w:pPr>
        <w:ind w:left="413"/>
        <w:spacing w:line="241" w:lineRule="auto"/>
        <w:rPr>
          <w:rFonts w:ascii="KaiTi" w:hAnsi="KaiTi" w:eastAsia="KaiTi" w:cs="KaiTi"/>
          <w:sz w:val="20"/>
          <w:szCs w:val="20"/>
        </w:rPr>
      </w:pPr>
      <w:r>
        <w:rPr>
          <w:rFonts w:ascii="KaiTi" w:hAnsi="KaiTi" w:eastAsia="KaiTi" w:cs="KaiTi"/>
          <w:sz w:val="20"/>
          <w:szCs w:val="20"/>
          <w:b/>
          <w:bCs/>
          <w:spacing w:val="4"/>
        </w:rPr>
        <w:t>（</w:t>
      </w:r>
      <w:r>
        <w:rPr>
          <w:rFonts w:ascii="KaiTi" w:hAnsi="KaiTi" w:eastAsia="KaiTi" w:cs="KaiTi"/>
          <w:sz w:val="20"/>
          <w:szCs w:val="20"/>
          <w:spacing w:val="-44"/>
        </w:rPr>
        <w:t xml:space="preserve"> </w:t>
      </w:r>
      <w:r>
        <w:rPr>
          <w:rFonts w:ascii="KaiTi" w:hAnsi="KaiTi" w:eastAsia="KaiTi" w:cs="KaiTi"/>
          <w:sz w:val="20"/>
          <w:szCs w:val="20"/>
          <w:b/>
          <w:bCs/>
          <w:spacing w:val="4"/>
        </w:rPr>
        <w:t>二）提高资源综合利用水平。</w:t>
      </w:r>
    </w:p>
    <w:p>
      <w:pPr>
        <w:pStyle w:val="BodyText"/>
        <w:ind w:left="2" w:right="107" w:firstLine="429"/>
        <w:spacing w:before="154" w:line="340" w:lineRule="auto"/>
        <w:jc w:val="both"/>
        <w:rPr/>
      </w:pPr>
      <w:r>
        <w:rPr>
          <w:spacing w:val="3"/>
        </w:rPr>
        <w:t>时间节点：</w:t>
      </w:r>
      <w:r>
        <w:rPr>
          <w:rFonts w:ascii="Times New Roman" w:hAnsi="Times New Roman" w:eastAsia="Times New Roman" w:cs="Times New Roman"/>
          <w:spacing w:val="3"/>
        </w:rPr>
        <w:t>2021 </w:t>
      </w:r>
      <w:r>
        <w:rPr>
          <w:spacing w:val="3"/>
        </w:rPr>
        <w:t>年，创建资源综合利用示</w:t>
      </w:r>
      <w:r>
        <w:rPr>
          <w:spacing w:val="7"/>
        </w:rPr>
        <w:t>范企业</w:t>
      </w:r>
      <w:r>
        <w:rPr>
          <w:spacing w:val="-18"/>
        </w:rPr>
        <w:t xml:space="preserve"> </w:t>
      </w:r>
      <w:r>
        <w:rPr>
          <w:rFonts w:ascii="Times New Roman" w:hAnsi="Times New Roman" w:eastAsia="Times New Roman" w:cs="Times New Roman"/>
          <w:spacing w:val="7"/>
        </w:rPr>
        <w:t>1 </w:t>
      </w:r>
      <w:r>
        <w:rPr>
          <w:spacing w:val="7"/>
        </w:rPr>
        <w:t>家。到</w:t>
      </w:r>
      <w:r>
        <w:rPr>
          <w:spacing w:val="-39"/>
        </w:rPr>
        <w:t xml:space="preserve"> </w:t>
      </w:r>
      <w:r>
        <w:rPr>
          <w:rFonts w:ascii="Times New Roman" w:hAnsi="Times New Roman" w:eastAsia="Times New Roman" w:cs="Times New Roman"/>
          <w:spacing w:val="7"/>
        </w:rPr>
        <w:t>2023 </w:t>
      </w:r>
      <w:r>
        <w:rPr>
          <w:spacing w:val="7"/>
        </w:rPr>
        <w:t>年</w:t>
      </w:r>
      <w:r>
        <w:rPr>
          <w:spacing w:val="-58"/>
        </w:rPr>
        <w:t xml:space="preserve"> </w:t>
      </w:r>
      <w:r>
        <w:rPr>
          <w:spacing w:val="7"/>
        </w:rPr>
        <w:t>，累计创建资源综合</w:t>
      </w:r>
      <w:r>
        <w:rPr>
          <w:spacing w:val="6"/>
        </w:rPr>
        <w:t>利用示范企业</w:t>
      </w:r>
      <w:r>
        <w:rPr>
          <w:spacing w:val="-33"/>
        </w:rPr>
        <w:t xml:space="preserve"> </w:t>
      </w:r>
      <w:r>
        <w:rPr>
          <w:rFonts w:ascii="Times New Roman" w:hAnsi="Times New Roman" w:eastAsia="Times New Roman" w:cs="Times New Roman"/>
          <w:spacing w:val="6"/>
        </w:rPr>
        <w:t>2 </w:t>
      </w:r>
      <w:r>
        <w:rPr>
          <w:spacing w:val="6"/>
        </w:rPr>
        <w:t>家，绿色建材用工业固废量每</w:t>
      </w:r>
    </w:p>
    <w:p>
      <w:pPr>
        <w:spacing w:line="340" w:lineRule="auto"/>
        <w:sectPr>
          <w:type w:val="continuous"/>
          <w:pgSz w:w="11906" w:h="16839"/>
          <w:pgMar w:top="1769" w:right="1480" w:bottom="1570" w:left="1588" w:header="1428" w:footer="1172" w:gutter="0"/>
          <w:cols w:equalWidth="0" w:num="2">
            <w:col w:w="4481" w:space="100"/>
            <w:col w:w="4258" w:space="0"/>
          </w:cols>
        </w:sectPr>
        <w:rPr/>
      </w:pPr>
    </w:p>
    <w:p>
      <w:pPr>
        <w:spacing w:before="97"/>
        <w:rPr/>
      </w:pPr>
      <w:r>
        <w:drawing>
          <wp:anchor distT="0" distB="0" distL="0" distR="0" simplePos="0" relativeHeight="25202688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032" name="IM 1032"/>
            <wp:cNvGraphicFramePr/>
            <a:graphic>
              <a:graphicData uri="http://schemas.openxmlformats.org/drawingml/2006/picture">
                <pic:pic>
                  <pic:nvPicPr>
                    <pic:cNvPr id="1032" name="IM 1032"/>
                    <pic:cNvPicPr/>
                  </pic:nvPicPr>
                  <pic:blipFill>
                    <a:blip r:embed="rId518"/>
                    <a:stretch>
                      <a:fillRect/>
                    </a:stretch>
                  </pic:blipFill>
                  <pic:spPr>
                    <a:xfrm rot="0">
                      <a:off x="0" y="0"/>
                      <a:ext cx="5579745" cy="7620"/>
                    </a:xfrm>
                    <a:prstGeom prst="rect">
                      <a:avLst/>
                    </a:prstGeom>
                  </pic:spPr>
                </pic:pic>
              </a:graphicData>
            </a:graphic>
          </wp:anchor>
        </w:drawing>
      </w:r>
      <w:r/>
    </w:p>
    <w:p>
      <w:pPr>
        <w:sectPr>
          <w:headerReference w:type="default" r:id="rId516"/>
          <w:footerReference w:type="default" r:id="rId517"/>
          <w:pgSz w:w="11906" w:h="16839"/>
          <w:pgMar w:top="1766" w:right="1480" w:bottom="1563" w:left="1579" w:header="1428" w:footer="1172" w:gutter="0"/>
          <w:cols w:equalWidth="0" w:num="1">
            <w:col w:w="8846" w:space="0"/>
          </w:cols>
        </w:sectPr>
        <w:rPr/>
      </w:pPr>
    </w:p>
    <w:p>
      <w:pPr>
        <w:pStyle w:val="BodyText"/>
        <w:ind w:left="15"/>
        <w:spacing w:before="40" w:line="218" w:lineRule="auto"/>
        <w:rPr/>
      </w:pPr>
      <w:r>
        <w:rPr>
          <w:spacing w:val="5"/>
        </w:rPr>
        <w:t>年环比新增</w:t>
      </w:r>
      <w:r>
        <w:rPr>
          <w:spacing w:val="-22"/>
        </w:rPr>
        <w:t xml:space="preserve"> </w:t>
      </w:r>
      <w:r>
        <w:rPr>
          <w:rFonts w:ascii="Times New Roman" w:hAnsi="Times New Roman" w:eastAsia="Times New Roman" w:cs="Times New Roman"/>
          <w:spacing w:val="5"/>
        </w:rPr>
        <w:t>10 </w:t>
      </w:r>
      <w:r>
        <w:rPr>
          <w:spacing w:val="5"/>
        </w:rPr>
        <w:t>万吨以上。</w:t>
      </w:r>
    </w:p>
    <w:p>
      <w:pPr>
        <w:pStyle w:val="BodyText"/>
        <w:ind w:left="11" w:right="245" w:firstLine="424"/>
        <w:spacing w:before="172" w:line="388" w:lineRule="auto"/>
        <w:jc w:val="both"/>
        <w:rPr/>
      </w:pPr>
      <w:r>
        <w:rPr>
          <w:spacing w:val="6"/>
        </w:rPr>
        <w:t>实施重点：探索建立火电发电计划小时数</w:t>
      </w:r>
      <w:r>
        <w:rPr>
          <w:spacing w:val="18"/>
        </w:rPr>
        <w:t>与企业固废综合利用率挂钩的电力绿色调度</w:t>
      </w:r>
      <w:r>
        <w:rPr>
          <w:spacing w:val="7"/>
        </w:rPr>
        <w:t>制度，鼓励实施固废处置梯级收费政策。煤炭</w:t>
      </w:r>
      <w:r>
        <w:rPr>
          <w:spacing w:val="7"/>
        </w:rPr>
        <w:t>开采、火电、盐化工等重点产废企业要落实环</w:t>
      </w:r>
      <w:r>
        <w:rPr>
          <w:spacing w:val="7"/>
        </w:rPr>
        <w:t>评报告及批复中的固废综合利用措施。落实大</w:t>
      </w:r>
      <w:r>
        <w:rPr>
          <w:spacing w:val="7"/>
        </w:rPr>
        <w:t>宗固废用于建筑材料、道路建设、农业等领域</w:t>
      </w:r>
      <w:r>
        <w:rPr>
          <w:spacing w:val="7"/>
        </w:rPr>
        <w:t>标准和规范，加大固废利用技术推广力度，增</w:t>
      </w:r>
      <w:r>
        <w:rPr>
          <w:spacing w:val="7"/>
        </w:rPr>
        <w:t>加绿色建材、筑路、农业领域等利用工业固废</w:t>
      </w:r>
      <w:r>
        <w:rPr>
          <w:spacing w:val="7"/>
        </w:rPr>
        <w:t>量。开展工业固废综合利用评价，培育和扶持</w:t>
      </w:r>
      <w:r>
        <w:rPr>
          <w:spacing w:val="7"/>
        </w:rPr>
        <w:t>一批资源综合利用示范企业，推进固原经济开</w:t>
      </w:r>
      <w:r>
        <w:rPr>
          <w:spacing w:val="18"/>
        </w:rPr>
        <w:t>发区新材料产业园区创建自治区资源综合利</w:t>
      </w:r>
      <w:r>
        <w:rPr>
          <w:spacing w:val="7"/>
        </w:rPr>
        <w:t>用基地，实施鑫卓煤矸石综合利用等一批工业</w:t>
      </w:r>
      <w:r>
        <w:rPr>
          <w:spacing w:val="7"/>
        </w:rPr>
        <w:t>固废综合利用示范项目。鼓励企业与高校及科</w:t>
      </w:r>
      <w:r>
        <w:rPr>
          <w:spacing w:val="7"/>
        </w:rPr>
        <w:t>研院所合作，开展煤基固废规模化利用技术攻</w:t>
      </w:r>
      <w:r>
        <w:rPr>
          <w:spacing w:val="7"/>
        </w:rPr>
        <w:t>关。（</w:t>
      </w:r>
      <w:r>
        <w:rPr>
          <w:rFonts w:ascii="KaiTi" w:hAnsi="KaiTi" w:eastAsia="KaiTi" w:cs="KaiTi"/>
          <w:spacing w:val="7"/>
        </w:rPr>
        <w:t>责任单位：市工业和信息化局、发展改</w:t>
      </w:r>
      <w:r>
        <w:rPr>
          <w:rFonts w:ascii="KaiTi" w:hAnsi="KaiTi" w:eastAsia="KaiTi" w:cs="KaiTi"/>
          <w:spacing w:val="1"/>
        </w:rPr>
        <w:t>革委、科技局、生态环境局、住房城乡建设局、</w:t>
      </w:r>
      <w:r>
        <w:rPr>
          <w:rFonts w:ascii="KaiTi" w:hAnsi="KaiTi" w:eastAsia="KaiTi" w:cs="KaiTi"/>
          <w:spacing w:val="7"/>
        </w:rPr>
        <w:t>交通运输局、农业农村局、市场监管局，开发</w:t>
      </w:r>
      <w:r>
        <w:rPr>
          <w:rFonts w:ascii="KaiTi" w:hAnsi="KaiTi" w:eastAsia="KaiTi" w:cs="KaiTi"/>
          <w:spacing w:val="7"/>
        </w:rPr>
        <w:t>区管委会，各县〔</w:t>
      </w:r>
      <w:r>
        <w:rPr>
          <w:rFonts w:ascii="KaiTi" w:hAnsi="KaiTi" w:eastAsia="KaiTi" w:cs="KaiTi"/>
          <w:spacing w:val="-55"/>
        </w:rPr>
        <w:t xml:space="preserve"> </w:t>
      </w:r>
      <w:r>
        <w:rPr>
          <w:rFonts w:ascii="KaiTi" w:hAnsi="KaiTi" w:eastAsia="KaiTi" w:cs="KaiTi"/>
          <w:spacing w:val="7"/>
        </w:rPr>
        <w:t>区〕人民政府</w:t>
      </w:r>
      <w:r>
        <w:rPr>
          <w:spacing w:val="7"/>
        </w:rPr>
        <w:t>）</w:t>
      </w:r>
    </w:p>
    <w:p>
      <w:pPr>
        <w:ind w:left="424"/>
        <w:spacing w:line="264" w:lineRule="exact"/>
        <w:rPr>
          <w:rFonts w:ascii="KaiTi" w:hAnsi="KaiTi" w:eastAsia="KaiTi" w:cs="KaiTi"/>
          <w:sz w:val="20"/>
          <w:szCs w:val="20"/>
        </w:rPr>
      </w:pPr>
      <w:r>
        <w:rPr>
          <w:rFonts w:ascii="KaiTi" w:hAnsi="KaiTi" w:eastAsia="KaiTi" w:cs="KaiTi"/>
          <w:sz w:val="20"/>
          <w:szCs w:val="20"/>
          <w:b/>
          <w:bCs/>
          <w:spacing w:val="-2"/>
          <w:position w:val="1"/>
        </w:rPr>
        <w:t>（</w:t>
      </w:r>
      <w:r>
        <w:rPr>
          <w:rFonts w:ascii="KaiTi" w:hAnsi="KaiTi" w:eastAsia="KaiTi" w:cs="KaiTi"/>
          <w:sz w:val="20"/>
          <w:szCs w:val="20"/>
          <w:spacing w:val="-41"/>
          <w:position w:val="1"/>
        </w:rPr>
        <w:t xml:space="preserve"> </w:t>
      </w:r>
      <w:r>
        <w:rPr>
          <w:rFonts w:ascii="KaiTi" w:hAnsi="KaiTi" w:eastAsia="KaiTi" w:cs="KaiTi"/>
          <w:sz w:val="20"/>
          <w:szCs w:val="20"/>
          <w:b/>
          <w:bCs/>
          <w:spacing w:val="-2"/>
          <w:position w:val="1"/>
        </w:rPr>
        <w:t>三</w:t>
      </w:r>
      <w:r>
        <w:rPr>
          <w:rFonts w:ascii="KaiTi" w:hAnsi="KaiTi" w:eastAsia="KaiTi" w:cs="KaiTi"/>
          <w:sz w:val="20"/>
          <w:szCs w:val="20"/>
          <w:spacing w:val="-41"/>
          <w:position w:val="1"/>
        </w:rPr>
        <w:t xml:space="preserve"> </w:t>
      </w:r>
      <w:r>
        <w:rPr>
          <w:rFonts w:ascii="KaiTi" w:hAnsi="KaiTi" w:eastAsia="KaiTi" w:cs="KaiTi"/>
          <w:sz w:val="20"/>
          <w:szCs w:val="20"/>
          <w:b/>
          <w:bCs/>
          <w:spacing w:val="-2"/>
          <w:position w:val="1"/>
        </w:rPr>
        <w:t>）大力推广绿色制造。</w:t>
      </w:r>
    </w:p>
    <w:p>
      <w:pPr>
        <w:pStyle w:val="BodyText"/>
        <w:ind w:left="15" w:right="320" w:firstLine="428"/>
        <w:spacing w:before="154" w:line="377" w:lineRule="auto"/>
        <w:jc w:val="both"/>
        <w:rPr/>
      </w:pPr>
      <w:r>
        <w:rPr>
          <w:spacing w:val="1"/>
        </w:rPr>
        <w:t>时间节点：</w:t>
      </w:r>
      <w:r>
        <w:rPr>
          <w:rFonts w:ascii="Times New Roman" w:hAnsi="Times New Roman" w:eastAsia="Times New Roman" w:cs="Times New Roman"/>
          <w:spacing w:val="1"/>
        </w:rPr>
        <w:t>2021 </w:t>
      </w:r>
      <w:r>
        <w:rPr>
          <w:spacing w:val="1"/>
        </w:rPr>
        <w:t>年，开发推广</w:t>
      </w:r>
      <w:r>
        <w:rPr>
          <w:spacing w:val="-6"/>
        </w:rPr>
        <w:t xml:space="preserve"> </w:t>
      </w:r>
      <w:r>
        <w:rPr>
          <w:rFonts w:ascii="Times New Roman" w:hAnsi="Times New Roman" w:eastAsia="Times New Roman" w:cs="Times New Roman"/>
          <w:spacing w:val="1"/>
        </w:rPr>
        <w:t>1 </w:t>
      </w:r>
      <w:r>
        <w:rPr>
          <w:spacing w:val="1"/>
        </w:rPr>
        <w:t>种工业绿</w:t>
      </w:r>
      <w:r>
        <w:rPr>
          <w:spacing w:val="11"/>
        </w:rPr>
        <w:t>色产品</w:t>
      </w:r>
      <w:r>
        <w:rPr>
          <w:spacing w:val="-46"/>
        </w:rPr>
        <w:t xml:space="preserve"> </w:t>
      </w:r>
      <w:r>
        <w:rPr>
          <w:spacing w:val="11"/>
        </w:rPr>
        <w:t>，创建</w:t>
      </w:r>
      <w:r>
        <w:rPr>
          <w:spacing w:val="-13"/>
        </w:rPr>
        <w:t xml:space="preserve"> </w:t>
      </w:r>
      <w:r>
        <w:rPr>
          <w:rFonts w:ascii="Times New Roman" w:hAnsi="Times New Roman" w:eastAsia="Times New Roman" w:cs="Times New Roman"/>
          <w:spacing w:val="11"/>
        </w:rPr>
        <w:t>1</w:t>
      </w:r>
      <w:r>
        <w:rPr>
          <w:rFonts w:ascii="Times New Roman" w:hAnsi="Times New Roman" w:eastAsia="Times New Roman" w:cs="Times New Roman"/>
          <w:spacing w:val="21"/>
        </w:rPr>
        <w:t xml:space="preserve"> </w:t>
      </w:r>
      <w:r>
        <w:rPr>
          <w:spacing w:val="11"/>
        </w:rPr>
        <w:t>家自治区级绿色工厂。</w:t>
      </w:r>
      <w:r>
        <w:rPr>
          <w:rFonts w:ascii="Times New Roman" w:hAnsi="Times New Roman" w:eastAsia="Times New Roman" w:cs="Times New Roman"/>
          <w:spacing w:val="11"/>
        </w:rPr>
        <w:t>2023</w:t>
      </w:r>
      <w:r>
        <w:rPr>
          <w:spacing w:val="8"/>
        </w:rPr>
        <w:t>年，累计开发推广</w:t>
      </w:r>
      <w:r>
        <w:rPr>
          <w:spacing w:val="-41"/>
        </w:rPr>
        <w:t xml:space="preserve"> </w:t>
      </w:r>
      <w:r>
        <w:rPr>
          <w:rFonts w:ascii="Times New Roman" w:hAnsi="Times New Roman" w:eastAsia="Times New Roman" w:cs="Times New Roman"/>
          <w:spacing w:val="8"/>
        </w:rPr>
        <w:t>2 </w:t>
      </w:r>
      <w:r>
        <w:rPr>
          <w:spacing w:val="8"/>
        </w:rPr>
        <w:t>种工业绿色产品，创建</w:t>
      </w:r>
      <w:r>
        <w:rPr>
          <w:spacing w:val="-36"/>
        </w:rPr>
        <w:t xml:space="preserve"> </w:t>
      </w:r>
      <w:r>
        <w:rPr>
          <w:rFonts w:ascii="Times New Roman" w:hAnsi="Times New Roman" w:eastAsia="Times New Roman" w:cs="Times New Roman"/>
          <w:spacing w:val="8"/>
        </w:rPr>
        <w:t>3</w:t>
      </w:r>
      <w:r>
        <w:rPr>
          <w:spacing w:val="7"/>
        </w:rPr>
        <w:t>家自治区级绿色工厂，建设</w:t>
      </w:r>
      <w:r>
        <w:rPr>
          <w:spacing w:val="-20"/>
        </w:rPr>
        <w:t xml:space="preserve"> </w:t>
      </w:r>
      <w:r>
        <w:rPr>
          <w:rFonts w:ascii="Times New Roman" w:hAnsi="Times New Roman" w:eastAsia="Times New Roman" w:cs="Times New Roman"/>
          <w:spacing w:val="7"/>
        </w:rPr>
        <w:t>1 </w:t>
      </w:r>
      <w:r>
        <w:rPr>
          <w:spacing w:val="7"/>
        </w:rPr>
        <w:t>个绿色园区。</w:t>
      </w:r>
    </w:p>
    <w:p>
      <w:pPr>
        <w:pStyle w:val="BodyText"/>
        <w:ind w:left="11" w:right="315" w:firstLine="424"/>
        <w:spacing w:before="54" w:line="372" w:lineRule="auto"/>
        <w:jc w:val="both"/>
        <w:rPr/>
      </w:pPr>
      <w:r>
        <w:rPr>
          <w:spacing w:val="6"/>
        </w:rPr>
        <w:t>实施重点：推进污染治理升级改造和强制</w:t>
      </w:r>
      <w:r>
        <w:rPr>
          <w:spacing w:val="7"/>
        </w:rPr>
        <w:t>性清洁生产审核，推动企业循环式生产、产业</w:t>
      </w:r>
      <w:r>
        <w:rPr>
          <w:spacing w:val="7"/>
        </w:rPr>
        <w:t>循环式组合，强化工业企业无组织排放管控，</w:t>
      </w:r>
      <w:r>
        <w:rPr>
          <w:spacing w:val="7"/>
        </w:rPr>
        <w:t>提高能源资源综合利用效率。推行绿色设计，</w:t>
      </w:r>
      <w:r>
        <w:rPr>
          <w:spacing w:val="7"/>
        </w:rPr>
        <w:t>优先在纺织、新材料等产业领域，开发具有无</w:t>
      </w:r>
      <w:r>
        <w:rPr>
          <w:spacing w:val="7"/>
        </w:rPr>
        <w:t>害化、节能、环保、高可靠性等特性的绿色产</w:t>
      </w:r>
      <w:r>
        <w:rPr>
          <w:spacing w:val="7"/>
        </w:rPr>
        <w:t>品。在纺织、农副食品加工等行业，采用先进</w:t>
      </w:r>
    </w:p>
    <w:p>
      <w:pPr>
        <w:spacing w:line="14" w:lineRule="auto"/>
        <w:rPr>
          <w:rFonts w:ascii="Arial"/>
          <w:sz w:val="2"/>
        </w:rPr>
      </w:pPr>
      <w:r>
        <w:rPr>
          <w:rFonts w:ascii="Arial" w:hAnsi="Arial" w:eastAsia="Arial" w:cs="Arial"/>
          <w:sz w:val="2"/>
          <w:szCs w:val="2"/>
        </w:rPr>
        <w:br w:type="column"/>
      </w:r>
    </w:p>
    <w:p>
      <w:pPr>
        <w:pStyle w:val="BodyText"/>
        <w:ind w:left="7"/>
        <w:spacing w:before="42" w:line="398" w:lineRule="auto"/>
        <w:jc w:val="both"/>
        <w:rPr/>
      </w:pPr>
      <w:r>
        <w:rPr>
          <w:spacing w:val="7"/>
        </w:rPr>
        <w:t>适用的清洁生产工艺和高效末端治理装备，培</w:t>
      </w:r>
      <w:r>
        <w:rPr>
          <w:spacing w:val="11"/>
        </w:rPr>
        <w:t>育绿色工厂。实施园区循环化改造提升工程，</w:t>
      </w:r>
      <w:r>
        <w:rPr>
          <w:spacing w:val="7"/>
        </w:rPr>
        <w:t>着力推动园区绿色化、循环化改造，实现集中</w:t>
      </w:r>
      <w:r>
        <w:rPr>
          <w:spacing w:val="7"/>
        </w:rPr>
        <w:t>供热供汽、废水集中治理、能源资源梯级优化</w:t>
      </w:r>
      <w:r>
        <w:rPr>
          <w:spacing w:val="5"/>
        </w:rPr>
        <w:t>利用和固废综合利用</w:t>
      </w:r>
      <w:r>
        <w:rPr>
          <w:spacing w:val="-55"/>
        </w:rPr>
        <w:t xml:space="preserve"> </w:t>
      </w:r>
      <w:r>
        <w:rPr>
          <w:spacing w:val="5"/>
        </w:rPr>
        <w:t>，创建绿色园区。（</w:t>
      </w:r>
      <w:r>
        <w:rPr>
          <w:rFonts w:ascii="KaiTi" w:hAnsi="KaiTi" w:eastAsia="KaiTi" w:cs="KaiTi"/>
          <w:spacing w:val="5"/>
        </w:rPr>
        <w:t>责任</w:t>
      </w:r>
      <w:r>
        <w:rPr>
          <w:rFonts w:ascii="KaiTi" w:hAnsi="KaiTi" w:eastAsia="KaiTi" w:cs="KaiTi"/>
          <w:spacing w:val="7"/>
        </w:rPr>
        <w:t>单位：市工业和信息化局、发展改革委、生态</w:t>
      </w:r>
      <w:r>
        <w:rPr>
          <w:rFonts w:ascii="KaiTi" w:hAnsi="KaiTi" w:eastAsia="KaiTi" w:cs="KaiTi"/>
        </w:rPr>
        <w:t>环境局，开发区管委会，各县〔</w:t>
      </w:r>
      <w:r>
        <w:rPr>
          <w:rFonts w:ascii="KaiTi" w:hAnsi="KaiTi" w:eastAsia="KaiTi" w:cs="KaiTi"/>
          <w:spacing w:val="-45"/>
        </w:rPr>
        <w:t xml:space="preserve"> </w:t>
      </w:r>
      <w:r>
        <w:rPr>
          <w:rFonts w:ascii="KaiTi" w:hAnsi="KaiTi" w:eastAsia="KaiTi" w:cs="KaiTi"/>
        </w:rPr>
        <w:t>区〕人民政府</w:t>
      </w:r>
      <w:r>
        <w:rPr/>
        <w:t>）</w:t>
      </w:r>
    </w:p>
    <w:p>
      <w:pPr>
        <w:ind w:left="439"/>
        <w:spacing w:before="1"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三、组织保障</w:t>
      </w:r>
    </w:p>
    <w:p>
      <w:pPr>
        <w:pStyle w:val="BodyText"/>
        <w:ind w:right="102" w:firstLine="420"/>
        <w:spacing w:before="163" w:line="372" w:lineRule="auto"/>
        <w:rPr/>
      </w:pPr>
      <w:r>
        <w:rPr>
          <w:rFonts w:ascii="KaiTi" w:hAnsi="KaiTi" w:eastAsia="KaiTi" w:cs="KaiTi"/>
          <w:b/>
          <w:bCs/>
          <w:spacing w:val="4"/>
        </w:rPr>
        <w:t>（</w:t>
      </w:r>
      <w:r>
        <w:rPr>
          <w:rFonts w:ascii="KaiTi" w:hAnsi="KaiTi" w:eastAsia="KaiTi" w:cs="KaiTi"/>
          <w:spacing w:val="-52"/>
        </w:rPr>
        <w:t xml:space="preserve"> </w:t>
      </w:r>
      <w:r>
        <w:rPr>
          <w:rFonts w:ascii="KaiTi" w:hAnsi="KaiTi" w:eastAsia="KaiTi" w:cs="KaiTi"/>
          <w:b/>
          <w:bCs/>
          <w:spacing w:val="4"/>
        </w:rPr>
        <w:t>一）加强组织领导。</w:t>
      </w:r>
      <w:r>
        <w:rPr>
          <w:spacing w:val="4"/>
        </w:rPr>
        <w:t>建立绿色改造统筹</w:t>
      </w:r>
      <w:r>
        <w:rPr>
          <w:spacing w:val="7"/>
        </w:rPr>
        <w:t>协调机制，由市工业和信息化局、发展改革委</w:t>
      </w:r>
      <w:r>
        <w:rPr>
          <w:spacing w:val="7"/>
        </w:rPr>
        <w:t>会同生态环境局、住房和城乡建设局、商务投</w:t>
      </w:r>
      <w:r>
        <w:rPr>
          <w:spacing w:val="8"/>
        </w:rPr>
        <w:t>资促进局、应急管理局等有关部门共同实施，</w:t>
      </w:r>
      <w:r>
        <w:rPr>
          <w:spacing w:val="18"/>
        </w:rPr>
        <w:t>构建职责明晰、协同推进的工作格局。各县</w:t>
      </w:r>
      <w:r>
        <w:rPr>
          <w:spacing w:val="7"/>
        </w:rPr>
        <w:t>（区）要结合本地实际制定具体落实方案，纳</w:t>
      </w:r>
      <w:r>
        <w:rPr>
          <w:spacing w:val="9"/>
        </w:rPr>
        <w:t>入本地区发展规划，认真组织落实。</w:t>
      </w:r>
    </w:p>
    <w:p>
      <w:pPr>
        <w:pStyle w:val="BodyText"/>
        <w:ind w:left="6" w:right="90" w:firstLine="413"/>
        <w:spacing w:before="184" w:line="376" w:lineRule="auto"/>
        <w:rPr/>
      </w:pPr>
      <w:r>
        <w:rPr>
          <w:rFonts w:ascii="KaiTi" w:hAnsi="KaiTi" w:eastAsia="KaiTi" w:cs="KaiTi"/>
          <w:b/>
          <w:bCs/>
          <w:spacing w:val="4"/>
        </w:rPr>
        <w:t>（</w:t>
      </w:r>
      <w:r>
        <w:rPr>
          <w:rFonts w:ascii="KaiTi" w:hAnsi="KaiTi" w:eastAsia="KaiTi" w:cs="KaiTi"/>
          <w:spacing w:val="-53"/>
        </w:rPr>
        <w:t xml:space="preserve"> </w:t>
      </w:r>
      <w:r>
        <w:rPr>
          <w:rFonts w:ascii="KaiTi" w:hAnsi="KaiTi" w:eastAsia="KaiTi" w:cs="KaiTi"/>
          <w:b/>
          <w:bCs/>
          <w:spacing w:val="4"/>
        </w:rPr>
        <w:t>二）加大财税支持。</w:t>
      </w:r>
      <w:r>
        <w:rPr>
          <w:spacing w:val="4"/>
        </w:rPr>
        <w:t>充分利用自治区工</w:t>
      </w:r>
      <w:r>
        <w:rPr>
          <w:spacing w:val="7"/>
        </w:rPr>
        <w:t>业转型升级、技术改造、节能减排、一般工业</w:t>
      </w:r>
      <w:r>
        <w:rPr>
          <w:spacing w:val="18"/>
        </w:rPr>
        <w:t>固废综合利用等资金渠道及政府和社会资本</w:t>
      </w:r>
      <w:r>
        <w:rPr>
          <w:spacing w:val="10"/>
        </w:rPr>
        <w:t>合作（</w:t>
      </w:r>
      <w:r>
        <w:rPr>
          <w:rFonts w:ascii="Times New Roman" w:hAnsi="Times New Roman" w:eastAsia="Times New Roman" w:cs="Times New Roman"/>
        </w:rPr>
        <w:t>PPP</w:t>
      </w:r>
      <w:r>
        <w:rPr>
          <w:rFonts w:ascii="Times New Roman" w:hAnsi="Times New Roman" w:eastAsia="Times New Roman" w:cs="Times New Roman"/>
          <w:spacing w:val="-16"/>
        </w:rPr>
        <w:t xml:space="preserve"> </w:t>
      </w:r>
      <w:r>
        <w:rPr>
          <w:spacing w:val="10"/>
        </w:rPr>
        <w:t>）模式，加大绿色改造相关专项扶</w:t>
      </w:r>
      <w:r>
        <w:rPr>
          <w:spacing w:val="7"/>
        </w:rPr>
        <w:t>持力度。落实政府采购支持节能环保政策，完</w:t>
      </w:r>
      <w:r>
        <w:rPr>
          <w:spacing w:val="-2"/>
        </w:rPr>
        <w:t>善绿色产品财政支持政策，落实资源综合利用税</w:t>
      </w:r>
      <w:r>
        <w:rPr>
          <w:spacing w:val="-11"/>
        </w:rPr>
        <w:t>收优惠政策、节能节水环保专用设备所得税优惠政</w:t>
      </w:r>
      <w:r>
        <w:rPr>
          <w:spacing w:val="-12"/>
        </w:rPr>
        <w:t>策，完善重大绿色改造项目推进和绩效考评制度。</w:t>
      </w:r>
    </w:p>
    <w:p>
      <w:pPr>
        <w:pStyle w:val="BodyText"/>
        <w:ind w:left="7" w:right="45" w:firstLine="412"/>
        <w:spacing w:before="191" w:line="380" w:lineRule="auto"/>
        <w:rPr/>
      </w:pPr>
      <w:r>
        <w:rPr>
          <w:rFonts w:ascii="KaiTi" w:hAnsi="KaiTi" w:eastAsia="KaiTi" w:cs="KaiTi"/>
          <w:b/>
          <w:bCs/>
          <w:spacing w:val="3"/>
        </w:rPr>
        <w:t>（</w:t>
      </w:r>
      <w:r>
        <w:rPr>
          <w:rFonts w:ascii="KaiTi" w:hAnsi="KaiTi" w:eastAsia="KaiTi" w:cs="KaiTi"/>
          <w:spacing w:val="-35"/>
        </w:rPr>
        <w:t xml:space="preserve"> </w:t>
      </w:r>
      <w:r>
        <w:rPr>
          <w:rFonts w:ascii="KaiTi" w:hAnsi="KaiTi" w:eastAsia="KaiTi" w:cs="KaiTi"/>
          <w:b/>
          <w:bCs/>
          <w:spacing w:val="3"/>
        </w:rPr>
        <w:t>三）开展节能监察。</w:t>
      </w:r>
      <w:r>
        <w:rPr>
          <w:spacing w:val="3"/>
        </w:rPr>
        <w:t>引导企业贯彻执行</w:t>
      </w:r>
      <w:r>
        <w:rPr>
          <w:spacing w:val="7"/>
        </w:rPr>
        <w:t>强制性能耗限额和产品能耗标准，淘汰落后工</w:t>
      </w:r>
      <w:r>
        <w:rPr>
          <w:spacing w:val="10"/>
        </w:rPr>
        <w:t>艺和用能设备产品，提高能源资源利用效率。</w:t>
      </w:r>
      <w:r>
        <w:rPr/>
        <w:t>在水泥、火电、化工等重点行业开展能耗监察，</w:t>
      </w:r>
      <w:r>
        <w:rPr>
          <w:spacing w:val="7"/>
        </w:rPr>
        <w:t>对不符合能耗限额标准要求的企业，依法实施</w:t>
      </w:r>
      <w:r>
        <w:rPr>
          <w:spacing w:val="7"/>
        </w:rPr>
        <w:t>强制性能耗限额标准和差别化电价，倒逼企业</w:t>
      </w:r>
      <w:r>
        <w:rPr>
          <w:spacing w:val="8"/>
        </w:rPr>
        <w:t>进行节能技术改造。</w:t>
      </w:r>
    </w:p>
    <w:p>
      <w:pPr>
        <w:spacing w:line="380" w:lineRule="auto"/>
        <w:sectPr>
          <w:type w:val="continuous"/>
          <w:pgSz w:w="11906" w:h="16839"/>
          <w:pgMar w:top="1766" w:right="1480" w:bottom="1563" w:left="1579" w:header="1428" w:footer="1172" w:gutter="0"/>
          <w:cols w:equalWidth="0" w:num="2">
            <w:col w:w="4482" w:space="100"/>
            <w:col w:w="4265" w:space="0"/>
          </w:cols>
        </w:sectPr>
        <w:rPr/>
      </w:pPr>
    </w:p>
    <w:p>
      <w:pPr>
        <w:spacing w:line="400" w:lineRule="auto"/>
        <w:rPr>
          <w:rFonts w:ascii="Arial"/>
          <w:sz w:val="21"/>
        </w:rPr>
      </w:pPr>
      <w:r>
        <w:drawing>
          <wp:anchor distT="0" distB="0" distL="0" distR="0" simplePos="0" relativeHeight="252028928" behindDoc="0" locked="0" layoutInCell="1" allowOverlap="1">
            <wp:simplePos x="0" y="0"/>
            <wp:positionH relativeFrom="column">
              <wp:posOffset>0</wp:posOffset>
            </wp:positionH>
            <wp:positionV relativeFrom="paragraph">
              <wp:posOffset>-1130</wp:posOffset>
            </wp:positionV>
            <wp:extent cx="5579745" cy="7619"/>
            <wp:effectExtent l="0" t="0" r="0" b="0"/>
            <wp:wrapNone/>
            <wp:docPr id="1036" name="IM 1036"/>
            <wp:cNvGraphicFramePr/>
            <a:graphic>
              <a:graphicData uri="http://schemas.openxmlformats.org/drawingml/2006/picture">
                <pic:pic>
                  <pic:nvPicPr>
                    <pic:cNvPr id="1036" name="IM 1036"/>
                    <pic:cNvPicPr/>
                  </pic:nvPicPr>
                  <pic:blipFill>
                    <a:blip r:embed="rId520"/>
                    <a:stretch>
                      <a:fillRect/>
                    </a:stretch>
                  </pic:blipFill>
                  <pic:spPr>
                    <a:xfrm rot="0">
                      <a:off x="0" y="0"/>
                      <a:ext cx="5579745" cy="7619"/>
                    </a:xfrm>
                    <a:prstGeom prst="rect">
                      <a:avLst/>
                    </a:prstGeom>
                  </pic:spPr>
                </pic:pic>
              </a:graphicData>
            </a:graphic>
          </wp:anchor>
        </w:drawing>
      </w:r>
      <w:r/>
    </w:p>
    <w:p>
      <w:pPr>
        <w:ind w:left="22"/>
        <w:spacing w:before="86" w:line="218" w:lineRule="auto"/>
        <w:outlineLvl w:val="1"/>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附件 3</w:t>
      </w:r>
    </w:p>
    <w:p>
      <w:pPr>
        <w:spacing w:line="267" w:lineRule="auto"/>
        <w:rPr>
          <w:rFonts w:ascii="Arial"/>
          <w:sz w:val="21"/>
        </w:rPr>
      </w:pPr>
      <w:r/>
    </w:p>
    <w:p>
      <w:pPr>
        <w:ind w:left="2265" w:right="1376" w:hanging="966"/>
        <w:spacing w:before="185" w:line="199" w:lineRule="auto"/>
        <w:outlineLvl w:val="1"/>
        <w:rPr>
          <w:rFonts w:ascii="Microsoft YaHei" w:hAnsi="Microsoft YaHei" w:eastAsia="Microsoft YaHei" w:cs="Microsoft YaHei"/>
          <w:sz w:val="43"/>
          <w:szCs w:val="43"/>
        </w:rPr>
      </w:pPr>
      <w:r>
        <w:rPr>
          <w:rFonts w:ascii="Microsoft YaHei" w:hAnsi="Microsoft YaHei" w:eastAsia="Microsoft YaHei" w:cs="Microsoft YaHei"/>
          <w:sz w:val="43"/>
          <w:szCs w:val="43"/>
          <w:spacing w:val="9"/>
        </w:rPr>
        <w:t>推动工业技术改造三年行动计划</w:t>
      </w:r>
      <w:r>
        <w:rPr>
          <w:rFonts w:ascii="Microsoft YaHei" w:hAnsi="Microsoft YaHei" w:eastAsia="Microsoft YaHei" w:cs="Microsoft YaHei"/>
          <w:sz w:val="43"/>
          <w:szCs w:val="43"/>
          <w:spacing w:val="2"/>
        </w:rPr>
        <w:t>（</w:t>
      </w:r>
      <w:r>
        <w:rPr>
          <w:rFonts w:ascii="Microsoft YaHei" w:hAnsi="Microsoft YaHei" w:eastAsia="Microsoft YaHei" w:cs="Microsoft YaHei"/>
          <w:sz w:val="43"/>
          <w:szCs w:val="43"/>
          <w:spacing w:val="-26"/>
        </w:rPr>
        <w:t xml:space="preserve"> </w:t>
      </w:r>
      <w:r>
        <w:rPr>
          <w:rFonts w:ascii="Times New Roman" w:hAnsi="Times New Roman" w:eastAsia="Times New Roman" w:cs="Times New Roman"/>
          <w:sz w:val="43"/>
          <w:szCs w:val="43"/>
          <w:spacing w:val="2"/>
        </w:rPr>
        <w:t>2021 </w:t>
      </w:r>
      <w:r>
        <w:rPr>
          <w:rFonts w:ascii="Microsoft YaHei" w:hAnsi="Microsoft YaHei" w:eastAsia="Microsoft YaHei" w:cs="Microsoft YaHei"/>
          <w:sz w:val="43"/>
          <w:szCs w:val="43"/>
          <w:spacing w:val="2"/>
        </w:rPr>
        <w:t>年</w:t>
      </w:r>
      <w:r>
        <w:rPr>
          <w:rFonts w:ascii="Times New Roman" w:hAnsi="Times New Roman" w:eastAsia="Times New Roman" w:cs="Times New Roman"/>
          <w:sz w:val="43"/>
          <w:szCs w:val="43"/>
          <w:spacing w:val="2"/>
        </w:rPr>
        <w:t>—2023 </w:t>
      </w:r>
      <w:r>
        <w:rPr>
          <w:rFonts w:ascii="Microsoft YaHei" w:hAnsi="Microsoft YaHei" w:eastAsia="Microsoft YaHei" w:cs="Microsoft YaHei"/>
          <w:sz w:val="43"/>
          <w:szCs w:val="43"/>
          <w:spacing w:val="2"/>
        </w:rPr>
        <w:t>年）</w:t>
      </w:r>
    </w:p>
    <w:p>
      <w:pPr>
        <w:spacing w:before="126"/>
        <w:rPr/>
      </w:pPr>
      <w:r/>
    </w:p>
    <w:p>
      <w:pPr>
        <w:sectPr>
          <w:headerReference w:type="default" r:id="rId487"/>
          <w:footerReference w:type="default" r:id="rId519"/>
          <w:pgSz w:w="11906" w:h="16839"/>
          <w:pgMar w:top="1769" w:right="1489" w:bottom="1570" w:left="1588" w:header="1428" w:footer="1172" w:gutter="0"/>
          <w:cols w:equalWidth="0" w:num="1">
            <w:col w:w="8829" w:space="0"/>
          </w:cols>
        </w:sectPr>
        <w:rPr/>
      </w:pPr>
    </w:p>
    <w:p>
      <w:pPr>
        <w:ind w:left="433"/>
        <w:spacing w:before="47" w:line="180" w:lineRule="auto"/>
        <w:outlineLvl w:val="2"/>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一、工作目标</w:t>
      </w:r>
    </w:p>
    <w:p>
      <w:pPr>
        <w:pStyle w:val="BodyText"/>
        <w:ind w:left="3" w:right="193" w:firstLine="422"/>
        <w:spacing w:before="137" w:line="347" w:lineRule="auto"/>
        <w:jc w:val="both"/>
        <w:rPr/>
      </w:pPr>
      <w:r>
        <w:rPr>
          <w:spacing w:val="6"/>
        </w:rPr>
        <w:t>坚持以企业为主体、市场为导向、创新为</w:t>
      </w:r>
      <w:r>
        <w:rPr>
          <w:spacing w:val="8"/>
        </w:rPr>
        <w:t>动力，以项目带动、行业对标、新产品开发、</w:t>
      </w:r>
      <w:r>
        <w:rPr>
          <w:spacing w:val="7"/>
        </w:rPr>
        <w:t>创新载体培育等为重点，鼓励支持重点工业企</w:t>
      </w:r>
      <w:r>
        <w:rPr>
          <w:spacing w:val="7"/>
        </w:rPr>
        <w:t>业加速技术改造，提升装备水平，优化工艺流</w:t>
      </w:r>
      <w:r>
        <w:rPr>
          <w:spacing w:val="7"/>
        </w:rPr>
        <w:t>程，努力推动全市工业企业创新能力和核心竞</w:t>
      </w:r>
      <w:r>
        <w:rPr>
          <w:spacing w:val="7"/>
        </w:rPr>
        <w:t>争力不断提升。</w:t>
      </w:r>
    </w:p>
    <w:tbl>
      <w:tblPr>
        <w:tblStyle w:val="TableNormal"/>
        <w:tblW w:w="3886" w:type="dxa"/>
        <w:tblInd w:w="132" w:type="dxa"/>
        <w:tblLayout w:type="fixed"/>
        <w:tblBorders>
          <w:left w:val="single" w:color="000000" w:sz="2" w:space="0"/>
          <w:bottom w:val="single" w:color="000000" w:sz="2" w:space="0"/>
          <w:right w:val="single" w:color="000000" w:sz="2" w:space="0"/>
          <w:top w:val="single" w:color="000000" w:sz="2" w:space="0"/>
        </w:tblBorders>
      </w:tblPr>
      <w:tblGrid>
        <w:gridCol w:w="3886"/>
      </w:tblGrid>
      <w:tr>
        <w:trPr>
          <w:trHeight w:val="5209" w:hRule="atLeast"/>
        </w:trPr>
        <w:tc>
          <w:tcPr>
            <w:tcW w:w="3886" w:type="dxa"/>
            <w:vAlign w:val="top"/>
          </w:tcPr>
          <w:p>
            <w:pPr>
              <w:ind w:left="1110"/>
              <w:spacing w:before="154"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技术改造年度目标</w:t>
            </w:r>
          </w:p>
          <w:p>
            <w:pPr>
              <w:pStyle w:val="TableText"/>
              <w:ind w:left="115" w:right="105" w:firstLine="412"/>
              <w:spacing w:before="133" w:line="369" w:lineRule="auto"/>
              <w:jc w:val="both"/>
              <w:rPr>
                <w:sz w:val="20"/>
                <w:szCs w:val="20"/>
              </w:rPr>
            </w:pPr>
            <w:r>
              <w:rPr>
                <w:sz w:val="20"/>
                <w:szCs w:val="20"/>
                <w:spacing w:val="8"/>
              </w:rPr>
              <w:t>—2021</w:t>
            </w:r>
            <w:r>
              <w:rPr>
                <w:sz w:val="20"/>
                <w:szCs w:val="20"/>
                <w:spacing w:val="-38"/>
              </w:rPr>
              <w:t xml:space="preserve"> </w:t>
            </w:r>
            <w:r>
              <w:rPr>
                <w:sz w:val="20"/>
                <w:szCs w:val="20"/>
                <w:spacing w:val="8"/>
              </w:rPr>
              <w:t>年，工业技术改造投资增长</w:t>
            </w:r>
            <w:r>
              <w:rPr>
                <w:sz w:val="20"/>
                <w:szCs w:val="20"/>
                <w:spacing w:val="8"/>
              </w:rPr>
              <w:t>10%，技术改造投资占工业投资的比重达</w:t>
            </w:r>
            <w:r>
              <w:rPr>
                <w:sz w:val="20"/>
                <w:szCs w:val="20"/>
                <w:spacing w:val="16"/>
              </w:rPr>
              <w:t>到</w:t>
            </w:r>
            <w:r>
              <w:rPr>
                <w:sz w:val="20"/>
                <w:szCs w:val="20"/>
                <w:spacing w:val="-32"/>
              </w:rPr>
              <w:t xml:space="preserve"> </w:t>
            </w:r>
            <w:r>
              <w:rPr>
                <w:sz w:val="20"/>
                <w:szCs w:val="20"/>
                <w:spacing w:val="16"/>
              </w:rPr>
              <w:t>28%。规模以上工业企业中有研发活</w:t>
            </w:r>
            <w:r>
              <w:rPr>
                <w:sz w:val="20"/>
                <w:szCs w:val="20"/>
                <w:spacing w:val="11"/>
              </w:rPr>
              <w:t>动的企业占比达到</w:t>
            </w:r>
            <w:r>
              <w:rPr>
                <w:sz w:val="20"/>
                <w:szCs w:val="20"/>
                <w:spacing w:val="-31"/>
              </w:rPr>
              <w:t xml:space="preserve"> </w:t>
            </w:r>
            <w:r>
              <w:rPr>
                <w:sz w:val="20"/>
                <w:szCs w:val="20"/>
                <w:spacing w:val="11"/>
              </w:rPr>
              <w:t>30%以上。</w:t>
            </w:r>
          </w:p>
          <w:p>
            <w:pPr>
              <w:pStyle w:val="TableText"/>
              <w:ind w:left="115" w:right="105" w:firstLine="412"/>
              <w:spacing w:before="3" w:line="368" w:lineRule="auto"/>
              <w:jc w:val="both"/>
              <w:rPr>
                <w:sz w:val="20"/>
                <w:szCs w:val="20"/>
              </w:rPr>
            </w:pPr>
            <w:r>
              <w:rPr>
                <w:sz w:val="20"/>
                <w:szCs w:val="20"/>
                <w:spacing w:val="8"/>
              </w:rPr>
              <w:t>—2022</w:t>
            </w:r>
            <w:r>
              <w:rPr>
                <w:sz w:val="20"/>
                <w:szCs w:val="20"/>
                <w:spacing w:val="-38"/>
              </w:rPr>
              <w:t xml:space="preserve"> </w:t>
            </w:r>
            <w:r>
              <w:rPr>
                <w:sz w:val="20"/>
                <w:szCs w:val="20"/>
                <w:spacing w:val="8"/>
              </w:rPr>
              <w:t>年，工业技术改造投资增长</w:t>
            </w:r>
            <w:r>
              <w:rPr>
                <w:sz w:val="20"/>
                <w:szCs w:val="20"/>
                <w:spacing w:val="8"/>
              </w:rPr>
              <w:t>10%，技术改造投资占工业投资的比重达</w:t>
            </w:r>
            <w:r>
              <w:rPr>
                <w:sz w:val="20"/>
                <w:szCs w:val="20"/>
                <w:spacing w:val="16"/>
              </w:rPr>
              <w:t>到</w:t>
            </w:r>
            <w:r>
              <w:rPr>
                <w:sz w:val="20"/>
                <w:szCs w:val="20"/>
                <w:spacing w:val="-32"/>
              </w:rPr>
              <w:t xml:space="preserve"> </w:t>
            </w:r>
            <w:r>
              <w:rPr>
                <w:sz w:val="20"/>
                <w:szCs w:val="20"/>
                <w:spacing w:val="16"/>
              </w:rPr>
              <w:t>33%。规模以上工业企业中有研发活</w:t>
            </w:r>
            <w:r>
              <w:rPr>
                <w:sz w:val="20"/>
                <w:szCs w:val="20"/>
                <w:spacing w:val="11"/>
              </w:rPr>
              <w:t>动的企业占比达到</w:t>
            </w:r>
            <w:r>
              <w:rPr>
                <w:sz w:val="20"/>
                <w:szCs w:val="20"/>
                <w:spacing w:val="-31"/>
              </w:rPr>
              <w:t xml:space="preserve"> </w:t>
            </w:r>
            <w:r>
              <w:rPr>
                <w:sz w:val="20"/>
                <w:szCs w:val="20"/>
                <w:spacing w:val="11"/>
              </w:rPr>
              <w:t>35%以上。</w:t>
            </w:r>
          </w:p>
          <w:p>
            <w:pPr>
              <w:pStyle w:val="TableText"/>
              <w:ind w:left="112" w:right="105" w:firstLine="415"/>
              <w:spacing w:before="1" w:line="336" w:lineRule="auto"/>
              <w:jc w:val="both"/>
              <w:rPr>
                <w:sz w:val="20"/>
                <w:szCs w:val="20"/>
              </w:rPr>
            </w:pPr>
            <w:r>
              <w:rPr>
                <w:sz w:val="20"/>
                <w:szCs w:val="20"/>
                <w:spacing w:val="8"/>
              </w:rPr>
              <w:t>—2023</w:t>
            </w:r>
            <w:r>
              <w:rPr>
                <w:sz w:val="20"/>
                <w:szCs w:val="20"/>
                <w:spacing w:val="-38"/>
              </w:rPr>
              <w:t xml:space="preserve"> </w:t>
            </w:r>
            <w:r>
              <w:rPr>
                <w:sz w:val="20"/>
                <w:szCs w:val="20"/>
                <w:spacing w:val="8"/>
              </w:rPr>
              <w:t>年，工业技术改造投资增长</w:t>
            </w:r>
            <w:r>
              <w:rPr>
                <w:sz w:val="20"/>
                <w:szCs w:val="20"/>
                <w:spacing w:val="8"/>
              </w:rPr>
              <w:t>10%以上，技术改造投资占工业投资的比</w:t>
            </w:r>
            <w:r>
              <w:rPr>
                <w:sz w:val="20"/>
                <w:szCs w:val="20"/>
                <w:spacing w:val="16"/>
              </w:rPr>
              <w:t>重达到</w:t>
            </w:r>
            <w:r>
              <w:rPr>
                <w:sz w:val="20"/>
                <w:szCs w:val="20"/>
                <w:spacing w:val="-26"/>
              </w:rPr>
              <w:t xml:space="preserve"> </w:t>
            </w:r>
            <w:r>
              <w:rPr>
                <w:sz w:val="20"/>
                <w:szCs w:val="20"/>
                <w:spacing w:val="16"/>
              </w:rPr>
              <w:t>30%以上。规模以上工业企业中</w:t>
            </w:r>
            <w:r>
              <w:rPr>
                <w:sz w:val="20"/>
                <w:szCs w:val="20"/>
                <w:spacing w:val="11"/>
              </w:rPr>
              <w:t>有研发活动的企业</w:t>
            </w:r>
            <w:r>
              <w:rPr>
                <w:sz w:val="20"/>
                <w:szCs w:val="20"/>
                <w:spacing w:val="57"/>
              </w:rPr>
              <w:t xml:space="preserve"> </w:t>
            </w:r>
            <w:r>
              <w:rPr>
                <w:sz w:val="20"/>
                <w:szCs w:val="20"/>
                <w:spacing w:val="11"/>
              </w:rPr>
              <w:t>占比达到40%以上。</w:t>
            </w:r>
          </w:p>
        </w:tc>
      </w:tr>
    </w:tbl>
    <w:p>
      <w:pPr>
        <w:ind w:left="433"/>
        <w:spacing w:before="148" w:line="180" w:lineRule="auto"/>
        <w:outlineLvl w:val="2"/>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二、重点任务</w:t>
      </w:r>
    </w:p>
    <w:p>
      <w:pPr>
        <w:ind w:left="416"/>
        <w:spacing w:before="135" w:line="267" w:lineRule="exact"/>
        <w:rPr>
          <w:rFonts w:ascii="KaiTi" w:hAnsi="KaiTi" w:eastAsia="KaiTi" w:cs="KaiTi"/>
          <w:sz w:val="20"/>
          <w:szCs w:val="20"/>
        </w:rPr>
      </w:pPr>
      <w:r>
        <w:rPr>
          <w:rFonts w:ascii="KaiTi" w:hAnsi="KaiTi" w:eastAsia="KaiTi" w:cs="KaiTi"/>
          <w:sz w:val="20"/>
          <w:szCs w:val="20"/>
          <w:b/>
          <w:bCs/>
          <w:spacing w:val="-1"/>
          <w:position w:val="1"/>
        </w:rPr>
        <w:t>（</w:t>
      </w:r>
      <w:r>
        <w:rPr>
          <w:rFonts w:ascii="KaiTi" w:hAnsi="KaiTi" w:eastAsia="KaiTi" w:cs="KaiTi"/>
          <w:sz w:val="20"/>
          <w:szCs w:val="20"/>
          <w:spacing w:val="-46"/>
          <w:position w:val="1"/>
        </w:rPr>
        <w:t xml:space="preserve"> </w:t>
      </w:r>
      <w:r>
        <w:rPr>
          <w:rFonts w:ascii="KaiTi" w:hAnsi="KaiTi" w:eastAsia="KaiTi" w:cs="KaiTi"/>
          <w:sz w:val="20"/>
          <w:szCs w:val="20"/>
          <w:b/>
          <w:bCs/>
          <w:spacing w:val="-1"/>
          <w:position w:val="1"/>
        </w:rPr>
        <w:t>一）重点项</w:t>
      </w:r>
      <w:r>
        <w:rPr>
          <w:rFonts w:ascii="KaiTi" w:hAnsi="KaiTi" w:eastAsia="KaiTi" w:cs="KaiTi"/>
          <w:sz w:val="20"/>
          <w:szCs w:val="20"/>
          <w:spacing w:val="-48"/>
          <w:position w:val="1"/>
        </w:rPr>
        <w:t xml:space="preserve"> </w:t>
      </w:r>
      <w:r>
        <w:rPr>
          <w:rFonts w:ascii="KaiTi" w:hAnsi="KaiTi" w:eastAsia="KaiTi" w:cs="KaiTi"/>
          <w:sz w:val="20"/>
          <w:szCs w:val="20"/>
          <w:b/>
          <w:bCs/>
          <w:spacing w:val="-1"/>
          <w:position w:val="1"/>
        </w:rPr>
        <w:t>目引领行动。</w:t>
      </w:r>
    </w:p>
    <w:p>
      <w:pPr>
        <w:pStyle w:val="BodyText"/>
        <w:ind w:left="5" w:right="214" w:firstLine="429"/>
        <w:spacing w:before="131" w:line="363" w:lineRule="auto"/>
        <w:jc w:val="both"/>
        <w:rPr/>
      </w:pPr>
      <w:r>
        <w:rPr>
          <w:spacing w:val="10"/>
        </w:rPr>
        <w:t>时间节点：每年滚动实施</w:t>
      </w:r>
      <w:r>
        <w:rPr>
          <w:spacing w:val="-26"/>
        </w:rPr>
        <w:t xml:space="preserve"> </w:t>
      </w:r>
      <w:r>
        <w:rPr>
          <w:spacing w:val="10"/>
        </w:rPr>
        <w:t>20</w:t>
      </w:r>
      <w:r>
        <w:rPr>
          <w:spacing w:val="-40"/>
        </w:rPr>
        <w:t xml:space="preserve"> </w:t>
      </w:r>
      <w:r>
        <w:rPr>
          <w:spacing w:val="10"/>
        </w:rPr>
        <w:t>个重点技术</w:t>
      </w:r>
      <w:r>
        <w:rPr>
          <w:spacing w:val="7"/>
        </w:rPr>
        <w:t>改造项目，带动工业投资稳步回升，技术改造</w:t>
      </w:r>
      <w:r>
        <w:rPr>
          <w:spacing w:val="9"/>
        </w:rPr>
        <w:t>投资年均增长</w:t>
      </w:r>
      <w:r>
        <w:rPr>
          <w:spacing w:val="-20"/>
        </w:rPr>
        <w:t xml:space="preserve"> </w:t>
      </w:r>
      <w:r>
        <w:rPr>
          <w:spacing w:val="9"/>
        </w:rPr>
        <w:t>10%以上。到</w:t>
      </w:r>
      <w:r>
        <w:rPr>
          <w:spacing w:val="-37"/>
        </w:rPr>
        <w:t xml:space="preserve"> </w:t>
      </w:r>
      <w:r>
        <w:rPr>
          <w:spacing w:val="9"/>
        </w:rPr>
        <w:t>2023</w:t>
      </w:r>
      <w:r>
        <w:rPr>
          <w:spacing w:val="-36"/>
        </w:rPr>
        <w:t xml:space="preserve"> </w:t>
      </w:r>
      <w:r>
        <w:rPr>
          <w:spacing w:val="9"/>
        </w:rPr>
        <w:t>年</w:t>
      </w:r>
      <w:r>
        <w:rPr>
          <w:spacing w:val="-59"/>
        </w:rPr>
        <w:t xml:space="preserve"> </w:t>
      </w:r>
      <w:r>
        <w:rPr>
          <w:spacing w:val="9"/>
        </w:rPr>
        <w:t>，全市规</w:t>
      </w:r>
      <w:r>
        <w:rPr>
          <w:spacing w:val="8"/>
        </w:rPr>
        <w:t>上工业企业完成一轮高水平技术改造。</w:t>
      </w:r>
    </w:p>
    <w:p>
      <w:pPr>
        <w:spacing w:line="14" w:lineRule="auto"/>
        <w:rPr>
          <w:rFonts w:ascii="Arial"/>
          <w:sz w:val="2"/>
        </w:rPr>
      </w:pPr>
      <w:r>
        <w:rPr>
          <w:rFonts w:ascii="Arial" w:hAnsi="Arial" w:eastAsia="Arial" w:cs="Arial"/>
          <w:sz w:val="2"/>
          <w:szCs w:val="2"/>
        </w:rPr>
        <w:br w:type="column"/>
      </w:r>
    </w:p>
    <w:p>
      <w:pPr>
        <w:pStyle w:val="BodyText"/>
        <w:ind w:left="112" w:right="36" w:firstLine="424"/>
        <w:spacing w:before="53" w:line="386" w:lineRule="auto"/>
        <w:jc w:val="both"/>
        <w:rPr>
          <w:rFonts w:ascii="KaiTi" w:hAnsi="KaiTi" w:eastAsia="KaiTi" w:cs="KaiTi"/>
        </w:rPr>
      </w:pPr>
      <w:r>
        <w:rPr>
          <w:spacing w:val="6"/>
        </w:rPr>
        <w:t>实施重点：充分发挥自治区技改综合奖补</w:t>
      </w:r>
      <w:r>
        <w:rPr/>
        <w:t>和区、市技改贴息、担保基金等资金引导作用，</w:t>
      </w:r>
      <w:r>
        <w:rPr>
          <w:spacing w:val="5"/>
        </w:rPr>
        <w:t>重点推动实施投资</w:t>
      </w:r>
      <w:r>
        <w:rPr>
          <w:spacing w:val="-41"/>
        </w:rPr>
        <w:t xml:space="preserve"> </w:t>
      </w:r>
      <w:r>
        <w:rPr>
          <w:spacing w:val="5"/>
        </w:rPr>
        <w:t>5000</w:t>
      </w:r>
      <w:r>
        <w:rPr>
          <w:spacing w:val="-40"/>
        </w:rPr>
        <w:t xml:space="preserve"> </w:t>
      </w:r>
      <w:r>
        <w:rPr>
          <w:spacing w:val="5"/>
        </w:rPr>
        <w:t>万元以上（含</w:t>
      </w:r>
      <w:r>
        <w:rPr>
          <w:spacing w:val="-39"/>
        </w:rPr>
        <w:t xml:space="preserve"> </w:t>
      </w:r>
      <w:r>
        <w:rPr>
          <w:spacing w:val="5"/>
        </w:rPr>
        <w:t>5</w:t>
      </w:r>
      <w:r>
        <w:rPr>
          <w:spacing w:val="4"/>
        </w:rPr>
        <w:t>000</w:t>
      </w:r>
      <w:r>
        <w:rPr>
          <w:spacing w:val="-40"/>
        </w:rPr>
        <w:t xml:space="preserve"> </w:t>
      </w:r>
      <w:r>
        <w:rPr>
          <w:spacing w:val="4"/>
        </w:rPr>
        <w:t>万</w:t>
      </w:r>
      <w:r>
        <w:rPr>
          <w:spacing w:val="-2"/>
        </w:rPr>
        <w:t>元）重点技术改造项目。</w:t>
      </w:r>
      <w:r>
        <w:rPr>
          <w:rFonts w:ascii="KaiTi" w:hAnsi="KaiTi" w:eastAsia="KaiTi" w:cs="KaiTi"/>
          <w:spacing w:val="-2"/>
        </w:rPr>
        <w:t>（责任单位：市工业和</w:t>
      </w:r>
      <w:r>
        <w:rPr>
          <w:rFonts w:ascii="KaiTi" w:hAnsi="KaiTi" w:eastAsia="KaiTi" w:cs="KaiTi"/>
          <w:spacing w:val="-3"/>
        </w:rPr>
        <w:t>信息化局、发展改革委、自然资源局、生态环境</w:t>
      </w:r>
      <w:r>
        <w:rPr>
          <w:rFonts w:ascii="KaiTi" w:hAnsi="KaiTi" w:eastAsia="KaiTi" w:cs="KaiTi"/>
        </w:rPr>
        <w:t>局，开发区管委会，各县〔区〕人民政府）</w:t>
      </w:r>
    </w:p>
    <w:p>
      <w:pPr>
        <w:ind w:left="525"/>
        <w:spacing w:before="9" w:line="241" w:lineRule="auto"/>
        <w:rPr>
          <w:rFonts w:ascii="KaiTi" w:hAnsi="KaiTi" w:eastAsia="KaiTi" w:cs="KaiTi"/>
          <w:sz w:val="20"/>
          <w:szCs w:val="20"/>
        </w:rPr>
      </w:pPr>
      <w:r>
        <w:rPr>
          <w:rFonts w:ascii="KaiTi" w:hAnsi="KaiTi" w:eastAsia="KaiTi" w:cs="KaiTi"/>
          <w:sz w:val="20"/>
          <w:szCs w:val="20"/>
          <w:b/>
          <w:bCs/>
          <w:spacing w:val="3"/>
        </w:rPr>
        <w:t>（</w:t>
      </w:r>
      <w:r>
        <w:rPr>
          <w:rFonts w:ascii="KaiTi" w:hAnsi="KaiTi" w:eastAsia="KaiTi" w:cs="KaiTi"/>
          <w:sz w:val="20"/>
          <w:szCs w:val="20"/>
          <w:spacing w:val="-54"/>
        </w:rPr>
        <w:t xml:space="preserve"> </w:t>
      </w:r>
      <w:r>
        <w:rPr>
          <w:rFonts w:ascii="KaiTi" w:hAnsi="KaiTi" w:eastAsia="KaiTi" w:cs="KaiTi"/>
          <w:sz w:val="20"/>
          <w:szCs w:val="20"/>
          <w:b/>
          <w:bCs/>
          <w:spacing w:val="3"/>
        </w:rPr>
        <w:t>二）对标提升行动。</w:t>
      </w:r>
    </w:p>
    <w:p>
      <w:pPr>
        <w:pStyle w:val="BodyText"/>
        <w:ind w:left="112" w:right="96" w:firstLine="432"/>
        <w:spacing w:before="158" w:line="367" w:lineRule="auto"/>
        <w:rPr/>
      </w:pPr>
      <w:r>
        <w:rPr>
          <w:spacing w:val="8"/>
        </w:rPr>
        <w:t>时间节点：到</w:t>
      </w:r>
      <w:r>
        <w:rPr>
          <w:spacing w:val="-26"/>
        </w:rPr>
        <w:t xml:space="preserve"> </w:t>
      </w:r>
      <w:r>
        <w:rPr>
          <w:spacing w:val="8"/>
        </w:rPr>
        <w:t>2023</w:t>
      </w:r>
      <w:r>
        <w:rPr>
          <w:spacing w:val="-36"/>
        </w:rPr>
        <w:t xml:space="preserve"> </w:t>
      </w:r>
      <w:r>
        <w:rPr>
          <w:spacing w:val="8"/>
        </w:rPr>
        <w:t>年树立</w:t>
      </w:r>
      <w:r>
        <w:rPr>
          <w:spacing w:val="-36"/>
        </w:rPr>
        <w:t xml:space="preserve"> </w:t>
      </w:r>
      <w:r>
        <w:rPr>
          <w:spacing w:val="8"/>
        </w:rPr>
        <w:t>5</w:t>
      </w:r>
      <w:r>
        <w:rPr>
          <w:spacing w:val="-36"/>
        </w:rPr>
        <w:t xml:space="preserve"> </w:t>
      </w:r>
      <w:r>
        <w:rPr>
          <w:spacing w:val="8"/>
        </w:rPr>
        <w:t>家自治区工</w:t>
      </w:r>
      <w:r>
        <w:rPr>
          <w:spacing w:val="8"/>
        </w:rPr>
        <w:t>业对标行业标杆企业。</w:t>
      </w:r>
    </w:p>
    <w:p>
      <w:pPr>
        <w:pStyle w:val="BodyText"/>
        <w:ind w:right="23" w:firstLine="537"/>
        <w:spacing w:before="43" w:line="388" w:lineRule="auto"/>
        <w:jc w:val="both"/>
        <w:rPr>
          <w:rFonts w:ascii="KaiTi" w:hAnsi="KaiTi" w:eastAsia="KaiTi" w:cs="KaiTi"/>
        </w:rPr>
      </w:pPr>
      <w:r>
        <w:rPr>
          <w:spacing w:val="6"/>
        </w:rPr>
        <w:t>实施重点：围绕肉牛、绿色食品、纺织服</w:t>
      </w:r>
      <w:r>
        <w:rPr>
          <w:spacing w:val="12"/>
        </w:rPr>
        <w:t>装等四大重点特色产业，找准对标对象、对标</w:t>
      </w:r>
      <w:r>
        <w:rPr>
          <w:spacing w:val="12"/>
        </w:rPr>
        <w:t>要素和对标方法，深入开展对标能力提升示范</w:t>
      </w:r>
      <w:r>
        <w:rPr>
          <w:spacing w:val="15"/>
        </w:rPr>
        <w:t>工程。每年树立</w:t>
      </w:r>
      <w:r>
        <w:rPr>
          <w:spacing w:val="-4"/>
        </w:rPr>
        <w:t xml:space="preserve"> </w:t>
      </w:r>
      <w:r>
        <w:rPr>
          <w:spacing w:val="15"/>
        </w:rPr>
        <w:t>1—2</w:t>
      </w:r>
      <w:r>
        <w:rPr>
          <w:spacing w:val="-38"/>
        </w:rPr>
        <w:t xml:space="preserve"> </w:t>
      </w:r>
      <w:r>
        <w:rPr>
          <w:spacing w:val="15"/>
        </w:rPr>
        <w:t>家自治区领先的行业标</w:t>
      </w:r>
      <w:r>
        <w:rPr>
          <w:spacing w:val="12"/>
        </w:rPr>
        <w:t>杆企业并给予扶持奖励，示范带动更多企业在</w:t>
      </w:r>
      <w:r>
        <w:rPr>
          <w:spacing w:val="6"/>
        </w:rPr>
        <w:t>高端化、绿色化、智能化、融合化上取得突破。</w:t>
      </w:r>
      <w:r>
        <w:rPr>
          <w:spacing w:val="10"/>
        </w:rPr>
        <w:t xml:space="preserve"> </w:t>
      </w:r>
      <w:r>
        <w:rPr>
          <w:rFonts w:ascii="KaiTi" w:hAnsi="KaiTi" w:eastAsia="KaiTi" w:cs="KaiTi"/>
          <w:spacing w:val="12"/>
        </w:rPr>
        <w:t>（责任单位：市工业和信息化局、科技局，开</w:t>
      </w:r>
      <w:r>
        <w:rPr>
          <w:rFonts w:ascii="KaiTi" w:hAnsi="KaiTi" w:eastAsia="KaiTi" w:cs="KaiTi"/>
          <w:spacing w:val="14"/>
        </w:rPr>
        <w:t>发区管委会，各县〔</w:t>
      </w:r>
      <w:r>
        <w:rPr>
          <w:rFonts w:ascii="KaiTi" w:hAnsi="KaiTi" w:eastAsia="KaiTi" w:cs="KaiTi"/>
          <w:spacing w:val="-53"/>
        </w:rPr>
        <w:t xml:space="preserve"> </w:t>
      </w:r>
      <w:r>
        <w:rPr>
          <w:rFonts w:ascii="KaiTi" w:hAnsi="KaiTi" w:eastAsia="KaiTi" w:cs="KaiTi"/>
          <w:spacing w:val="14"/>
        </w:rPr>
        <w:t>区〕人民政府）</w:t>
      </w:r>
    </w:p>
    <w:p>
      <w:pPr>
        <w:ind w:left="525"/>
        <w:spacing w:line="241" w:lineRule="auto"/>
        <w:rPr>
          <w:rFonts w:ascii="KaiTi" w:hAnsi="KaiTi" w:eastAsia="KaiTi" w:cs="KaiTi"/>
          <w:sz w:val="20"/>
          <w:szCs w:val="20"/>
        </w:rPr>
      </w:pPr>
      <w:r>
        <w:rPr>
          <w:rFonts w:ascii="KaiTi" w:hAnsi="KaiTi" w:eastAsia="KaiTi" w:cs="KaiTi"/>
          <w:sz w:val="20"/>
          <w:szCs w:val="20"/>
          <w:b/>
          <w:bCs/>
          <w:spacing w:val="4"/>
        </w:rPr>
        <w:t>（</w:t>
      </w:r>
      <w:r>
        <w:rPr>
          <w:rFonts w:ascii="KaiTi" w:hAnsi="KaiTi" w:eastAsia="KaiTi" w:cs="KaiTi"/>
          <w:sz w:val="20"/>
          <w:szCs w:val="20"/>
          <w:spacing w:val="-53"/>
        </w:rPr>
        <w:t xml:space="preserve"> </w:t>
      </w:r>
      <w:r>
        <w:rPr>
          <w:rFonts w:ascii="KaiTi" w:hAnsi="KaiTi" w:eastAsia="KaiTi" w:cs="KaiTi"/>
          <w:sz w:val="20"/>
          <w:szCs w:val="20"/>
          <w:b/>
          <w:bCs/>
          <w:spacing w:val="4"/>
        </w:rPr>
        <w:t>三）创新能力提升行动。</w:t>
      </w:r>
    </w:p>
    <w:p>
      <w:pPr>
        <w:pStyle w:val="BodyText"/>
        <w:ind w:left="117" w:right="21" w:firstLine="427"/>
        <w:spacing w:before="165" w:line="372" w:lineRule="auto"/>
        <w:rPr/>
      </w:pPr>
      <w:r>
        <w:rPr>
          <w:spacing w:val="5"/>
        </w:rPr>
        <w:t>时间节点：2021年建成</w:t>
      </w:r>
      <w:r>
        <w:rPr>
          <w:spacing w:val="-39"/>
        </w:rPr>
        <w:t xml:space="preserve"> </w:t>
      </w:r>
      <w:r>
        <w:rPr>
          <w:spacing w:val="5"/>
        </w:rPr>
        <w:t>8</w:t>
      </w:r>
      <w:r>
        <w:rPr>
          <w:spacing w:val="-45"/>
        </w:rPr>
        <w:t xml:space="preserve"> </w:t>
      </w:r>
      <w:r>
        <w:rPr>
          <w:spacing w:val="5"/>
        </w:rPr>
        <w:t>个产业研发技术</w:t>
      </w:r>
      <w:r>
        <w:rPr>
          <w:spacing w:val="6"/>
        </w:rPr>
        <w:t>中心，新引进科技创新团队</w:t>
      </w:r>
      <w:r>
        <w:rPr>
          <w:spacing w:val="-31"/>
        </w:rPr>
        <w:t xml:space="preserve"> </w:t>
      </w:r>
      <w:r>
        <w:rPr>
          <w:spacing w:val="6"/>
        </w:rPr>
        <w:t>4</w:t>
      </w:r>
      <w:r>
        <w:rPr>
          <w:spacing w:val="-46"/>
        </w:rPr>
        <w:t xml:space="preserve"> </w:t>
      </w:r>
      <w:r>
        <w:rPr>
          <w:spacing w:val="6"/>
        </w:rPr>
        <w:t>个，培育认定国</w:t>
      </w:r>
      <w:r>
        <w:rPr>
          <w:spacing w:val="3"/>
        </w:rPr>
        <w:t>家高新技术企业</w:t>
      </w:r>
      <w:r>
        <w:rPr>
          <w:spacing w:val="-42"/>
        </w:rPr>
        <w:t xml:space="preserve"> </w:t>
      </w:r>
      <w:r>
        <w:rPr>
          <w:spacing w:val="3"/>
        </w:rPr>
        <w:t>2</w:t>
      </w:r>
      <w:r>
        <w:rPr>
          <w:spacing w:val="-38"/>
        </w:rPr>
        <w:t xml:space="preserve"> </w:t>
      </w:r>
      <w:r>
        <w:rPr>
          <w:spacing w:val="3"/>
        </w:rPr>
        <w:t>家、科技型中小企业</w:t>
      </w:r>
      <w:r>
        <w:rPr>
          <w:spacing w:val="-22"/>
        </w:rPr>
        <w:t xml:space="preserve"> </w:t>
      </w:r>
      <w:r>
        <w:rPr>
          <w:spacing w:val="3"/>
        </w:rPr>
        <w:t>15</w:t>
      </w:r>
      <w:r>
        <w:rPr>
          <w:spacing w:val="-40"/>
        </w:rPr>
        <w:t xml:space="preserve"> </w:t>
      </w:r>
      <w:r>
        <w:rPr>
          <w:spacing w:val="3"/>
        </w:rPr>
        <w:t>家。</w:t>
      </w:r>
      <w:r>
        <w:rPr>
          <w:spacing w:val="6"/>
        </w:rPr>
        <w:t>到</w:t>
      </w:r>
      <w:r>
        <w:rPr>
          <w:spacing w:val="-24"/>
        </w:rPr>
        <w:t xml:space="preserve"> </w:t>
      </w:r>
      <w:r>
        <w:rPr>
          <w:spacing w:val="6"/>
        </w:rPr>
        <w:t>2023</w:t>
      </w:r>
      <w:r>
        <w:rPr>
          <w:spacing w:val="-34"/>
        </w:rPr>
        <w:t xml:space="preserve"> </w:t>
      </w:r>
      <w:r>
        <w:rPr>
          <w:spacing w:val="6"/>
        </w:rPr>
        <w:t>年</w:t>
      </w:r>
      <w:r>
        <w:rPr>
          <w:spacing w:val="-58"/>
        </w:rPr>
        <w:t xml:space="preserve"> </w:t>
      </w:r>
      <w:r>
        <w:rPr>
          <w:spacing w:val="6"/>
        </w:rPr>
        <w:t>，全市各类科技型企业达到</w:t>
      </w:r>
      <w:r>
        <w:rPr>
          <w:spacing w:val="-37"/>
        </w:rPr>
        <w:t xml:space="preserve"> </w:t>
      </w:r>
      <w:r>
        <w:rPr>
          <w:spacing w:val="6"/>
        </w:rPr>
        <w:t>200</w:t>
      </w:r>
      <w:r>
        <w:rPr>
          <w:spacing w:val="-36"/>
        </w:rPr>
        <w:t xml:space="preserve"> </w:t>
      </w:r>
      <w:r>
        <w:rPr>
          <w:spacing w:val="6"/>
        </w:rPr>
        <w:t>家</w:t>
      </w:r>
      <w:r>
        <w:rPr>
          <w:spacing w:val="10"/>
        </w:rPr>
        <w:t>以上（其中国家高新技术企业到</w:t>
      </w:r>
      <w:r>
        <w:rPr>
          <w:spacing w:val="-7"/>
        </w:rPr>
        <w:t xml:space="preserve"> </w:t>
      </w:r>
      <w:r>
        <w:rPr>
          <w:spacing w:val="10"/>
        </w:rPr>
        <w:t>10</w:t>
      </w:r>
      <w:r>
        <w:rPr>
          <w:spacing w:val="-36"/>
        </w:rPr>
        <w:t xml:space="preserve"> </w:t>
      </w:r>
      <w:r>
        <w:rPr>
          <w:spacing w:val="10"/>
        </w:rPr>
        <w:t>家以上、</w:t>
      </w:r>
      <w:r>
        <w:rPr>
          <w:spacing w:val="9"/>
        </w:rPr>
        <w:t>自治区科技型小巨企业达到</w:t>
      </w:r>
      <w:r>
        <w:rPr>
          <w:spacing w:val="-37"/>
        </w:rPr>
        <w:t xml:space="preserve"> </w:t>
      </w:r>
      <w:r>
        <w:rPr>
          <w:spacing w:val="9"/>
        </w:rPr>
        <w:t>8</w:t>
      </w:r>
      <w:r>
        <w:rPr>
          <w:spacing w:val="-38"/>
        </w:rPr>
        <w:t xml:space="preserve"> </w:t>
      </w:r>
      <w:r>
        <w:rPr>
          <w:spacing w:val="9"/>
        </w:rPr>
        <w:t>家以上</w:t>
      </w:r>
      <w:r>
        <w:rPr>
          <w:spacing w:val="-22"/>
        </w:rPr>
        <w:t>），</w:t>
      </w:r>
      <w:r>
        <w:rPr>
          <w:spacing w:val="9"/>
        </w:rPr>
        <w:t>国家</w:t>
      </w:r>
      <w:r>
        <w:rPr>
          <w:spacing w:val="9"/>
        </w:rPr>
        <w:t>和自治区级企业技术创新中心达到50个以上，</w:t>
      </w:r>
    </w:p>
    <w:p>
      <w:pPr>
        <w:spacing w:line="372" w:lineRule="auto"/>
        <w:sectPr>
          <w:type w:val="continuous"/>
          <w:pgSz w:w="11906" w:h="16839"/>
          <w:pgMar w:top="1769" w:right="1489" w:bottom="1570" w:left="1588" w:header="1428" w:footer="1172" w:gutter="0"/>
          <w:cols w:equalWidth="0" w:num="2">
            <w:col w:w="4368" w:space="100"/>
            <w:col w:w="4362" w:space="0"/>
          </w:cols>
        </w:sectPr>
        <w:rPr/>
      </w:pPr>
    </w:p>
    <w:p>
      <w:pPr>
        <w:spacing w:before="92"/>
        <w:rPr/>
      </w:pPr>
      <w:r>
        <w:drawing>
          <wp:anchor distT="0" distB="0" distL="0" distR="0" simplePos="0" relativeHeight="252030976"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042" name="IM 1042"/>
            <wp:cNvGraphicFramePr/>
            <a:graphic>
              <a:graphicData uri="http://schemas.openxmlformats.org/drawingml/2006/picture">
                <pic:pic>
                  <pic:nvPicPr>
                    <pic:cNvPr id="1042" name="IM 1042"/>
                    <pic:cNvPicPr/>
                  </pic:nvPicPr>
                  <pic:blipFill>
                    <a:blip r:embed="rId523"/>
                    <a:stretch>
                      <a:fillRect/>
                    </a:stretch>
                  </pic:blipFill>
                  <pic:spPr>
                    <a:xfrm rot="0">
                      <a:off x="0" y="0"/>
                      <a:ext cx="5579745" cy="7620"/>
                    </a:xfrm>
                    <a:prstGeom prst="rect">
                      <a:avLst/>
                    </a:prstGeom>
                  </pic:spPr>
                </pic:pic>
              </a:graphicData>
            </a:graphic>
          </wp:anchor>
        </w:drawing>
      </w:r>
      <w:r/>
    </w:p>
    <w:p>
      <w:pPr>
        <w:sectPr>
          <w:headerReference w:type="default" r:id="rId521"/>
          <w:footerReference w:type="default" r:id="rId522"/>
          <w:pgSz w:w="11906" w:h="16839"/>
          <w:pgMar w:top="1766" w:right="1530" w:bottom="1563" w:left="1579" w:header="1418" w:footer="1172" w:gutter="0"/>
          <w:cols w:equalWidth="0" w:num="1">
            <w:col w:w="8796" w:space="0"/>
          </w:cols>
        </w:sectPr>
        <w:rPr/>
      </w:pPr>
    </w:p>
    <w:p>
      <w:pPr>
        <w:pStyle w:val="BodyText"/>
        <w:ind w:left="14" w:right="327" w:hanging="3"/>
        <w:spacing w:before="47" w:line="396" w:lineRule="auto"/>
        <w:jc w:val="both"/>
        <w:rPr/>
      </w:pPr>
      <w:r>
        <w:rPr>
          <w:spacing w:val="6"/>
        </w:rPr>
        <w:t>新培育企业技术中心</w:t>
      </w:r>
      <w:r>
        <w:rPr>
          <w:spacing w:val="-34"/>
        </w:rPr>
        <w:t xml:space="preserve"> </w:t>
      </w:r>
      <w:r>
        <w:rPr>
          <w:spacing w:val="6"/>
        </w:rPr>
        <w:t>2</w:t>
      </w:r>
      <w:r>
        <w:rPr>
          <w:spacing w:val="-38"/>
        </w:rPr>
        <w:t xml:space="preserve"> </w:t>
      </w:r>
      <w:r>
        <w:rPr>
          <w:spacing w:val="6"/>
        </w:rPr>
        <w:t>家、工程（技术）研究</w:t>
      </w:r>
      <w:r>
        <w:rPr>
          <w:spacing w:val="6"/>
        </w:rPr>
        <w:t>中心</w:t>
      </w:r>
      <w:r>
        <w:rPr>
          <w:spacing w:val="-32"/>
        </w:rPr>
        <w:t xml:space="preserve"> </w:t>
      </w:r>
      <w:r>
        <w:rPr>
          <w:spacing w:val="6"/>
        </w:rPr>
        <w:t>2</w:t>
      </w:r>
      <w:r>
        <w:rPr>
          <w:spacing w:val="-43"/>
        </w:rPr>
        <w:t xml:space="preserve"> </w:t>
      </w:r>
      <w:r>
        <w:rPr>
          <w:spacing w:val="6"/>
        </w:rPr>
        <w:t>个，各类国家和自治区级科技创新平台</w:t>
      </w:r>
      <w:r>
        <w:rPr>
          <w:spacing w:val="3"/>
        </w:rPr>
        <w:t>达到</w:t>
      </w:r>
      <w:r>
        <w:rPr>
          <w:spacing w:val="-41"/>
        </w:rPr>
        <w:t xml:space="preserve"> </w:t>
      </w:r>
      <w:r>
        <w:rPr>
          <w:spacing w:val="3"/>
        </w:rPr>
        <w:t>60</w:t>
      </w:r>
      <w:r>
        <w:rPr>
          <w:spacing w:val="-43"/>
        </w:rPr>
        <w:t xml:space="preserve"> </w:t>
      </w:r>
      <w:r>
        <w:rPr>
          <w:spacing w:val="3"/>
        </w:rPr>
        <w:t>个。</w:t>
      </w:r>
    </w:p>
    <w:p>
      <w:pPr>
        <w:pStyle w:val="BodyText"/>
        <w:ind w:left="11" w:right="306" w:firstLine="424"/>
        <w:spacing w:before="3" w:line="397" w:lineRule="auto"/>
        <w:jc w:val="both"/>
        <w:rPr>
          <w:rFonts w:ascii="KaiTi" w:hAnsi="KaiTi" w:eastAsia="KaiTi" w:cs="KaiTi"/>
        </w:rPr>
      </w:pPr>
      <w:r>
        <w:rPr>
          <w:spacing w:val="6"/>
        </w:rPr>
        <w:t>实施重点：围绕重点产业和关键领域，每</w:t>
      </w:r>
      <w:r>
        <w:rPr>
          <w:spacing w:val="8"/>
        </w:rPr>
        <w:t>年培育</w:t>
      </w:r>
      <w:r>
        <w:rPr>
          <w:spacing w:val="-21"/>
        </w:rPr>
        <w:t xml:space="preserve"> </w:t>
      </w:r>
      <w:r>
        <w:rPr>
          <w:spacing w:val="8"/>
        </w:rPr>
        <w:t>1—2</w:t>
      </w:r>
      <w:r>
        <w:rPr>
          <w:spacing w:val="-36"/>
        </w:rPr>
        <w:t xml:space="preserve"> </w:t>
      </w:r>
      <w:r>
        <w:rPr>
          <w:spacing w:val="8"/>
        </w:rPr>
        <w:t>家具有持续创新能力、</w:t>
      </w:r>
      <w:r>
        <w:rPr>
          <w:spacing w:val="-55"/>
        </w:rPr>
        <w:t xml:space="preserve"> </w:t>
      </w:r>
      <w:r>
        <w:rPr>
          <w:spacing w:val="8"/>
        </w:rPr>
        <w:t>自主知识</w:t>
      </w:r>
      <w:r>
        <w:rPr>
          <w:spacing w:val="7"/>
        </w:rPr>
        <w:t>产权、引领行业发展的技术创新示范企业。支</w:t>
      </w:r>
      <w:r>
        <w:rPr>
          <w:spacing w:val="-3"/>
        </w:rPr>
        <w:t>持企业建立技术中心、技术创新中心、工程（技</w:t>
      </w:r>
      <w:r>
        <w:rPr>
          <w:spacing w:val="7"/>
        </w:rPr>
        <w:t>术）研究中心等科技创新平台和产业研究院等</w:t>
      </w:r>
      <w:r>
        <w:rPr>
          <w:spacing w:val="7"/>
        </w:rPr>
        <w:t>新型研发机构。鼓励行业骨干企业牵头成立产</w:t>
      </w:r>
      <w:r>
        <w:rPr>
          <w:spacing w:val="7"/>
        </w:rPr>
        <w:t>业技术创新联盟，与国内外一流科研院所、知</w:t>
      </w:r>
      <w:r>
        <w:rPr>
          <w:spacing w:val="7"/>
        </w:rPr>
        <w:t>名院校合作建设科技成果转移转化中心。支持</w:t>
      </w:r>
      <w:r>
        <w:rPr>
          <w:spacing w:val="8"/>
        </w:rPr>
        <w:t>具有行业影响力的企业联合高校、科研院所、</w:t>
      </w:r>
      <w:r>
        <w:rPr>
          <w:spacing w:val="7"/>
        </w:rPr>
        <w:t>上下游单位，组建优势互补、成果共享的制造</w:t>
      </w:r>
      <w:r>
        <w:rPr>
          <w:spacing w:val="7"/>
        </w:rPr>
        <w:t>业创新中心。</w:t>
      </w:r>
      <w:r>
        <w:rPr>
          <w:rFonts w:ascii="KaiTi" w:hAnsi="KaiTi" w:eastAsia="KaiTi" w:cs="KaiTi"/>
          <w:spacing w:val="7"/>
        </w:rPr>
        <w:t>（责任单位：市科技局、发展改</w:t>
      </w:r>
      <w:r>
        <w:rPr>
          <w:rFonts w:ascii="KaiTi" w:hAnsi="KaiTi" w:eastAsia="KaiTi" w:cs="KaiTi"/>
          <w:spacing w:val="7"/>
        </w:rPr>
        <w:t>革委、工业和信息化局、市场监管局、开发区</w:t>
      </w:r>
      <w:r>
        <w:rPr>
          <w:rFonts w:ascii="KaiTi" w:hAnsi="KaiTi" w:eastAsia="KaiTi" w:cs="KaiTi"/>
          <w:spacing w:val="6"/>
        </w:rPr>
        <w:t>管委会，各县〔</w:t>
      </w:r>
      <w:r>
        <w:rPr>
          <w:rFonts w:ascii="KaiTi" w:hAnsi="KaiTi" w:eastAsia="KaiTi" w:cs="KaiTi"/>
          <w:spacing w:val="-46"/>
        </w:rPr>
        <w:t xml:space="preserve"> </w:t>
      </w:r>
      <w:r>
        <w:rPr>
          <w:rFonts w:ascii="KaiTi" w:hAnsi="KaiTi" w:eastAsia="KaiTi" w:cs="KaiTi"/>
          <w:spacing w:val="6"/>
        </w:rPr>
        <w:t>区〕人民政府）</w:t>
      </w:r>
    </w:p>
    <w:p>
      <w:pPr>
        <w:ind w:left="424"/>
        <w:spacing w:line="241" w:lineRule="auto"/>
        <w:rPr>
          <w:rFonts w:ascii="KaiTi" w:hAnsi="KaiTi" w:eastAsia="KaiTi" w:cs="KaiTi"/>
          <w:sz w:val="20"/>
          <w:szCs w:val="20"/>
        </w:rPr>
      </w:pPr>
      <w:r>
        <w:rPr>
          <w:rFonts w:ascii="KaiTi" w:hAnsi="KaiTi" w:eastAsia="KaiTi" w:cs="KaiTi"/>
          <w:sz w:val="20"/>
          <w:szCs w:val="20"/>
          <w:b/>
          <w:bCs/>
          <w:spacing w:val="3"/>
        </w:rPr>
        <w:t>（</w:t>
      </w:r>
      <w:r>
        <w:rPr>
          <w:rFonts w:ascii="KaiTi" w:hAnsi="KaiTi" w:eastAsia="KaiTi" w:cs="KaiTi"/>
          <w:sz w:val="20"/>
          <w:szCs w:val="20"/>
          <w:spacing w:val="-42"/>
        </w:rPr>
        <w:t xml:space="preserve"> </w:t>
      </w:r>
      <w:r>
        <w:rPr>
          <w:rFonts w:ascii="KaiTi" w:hAnsi="KaiTi" w:eastAsia="KaiTi" w:cs="KaiTi"/>
          <w:sz w:val="20"/>
          <w:szCs w:val="20"/>
          <w:b/>
          <w:bCs/>
          <w:spacing w:val="3"/>
        </w:rPr>
        <w:t>四）行业标准提升行动。</w:t>
      </w:r>
    </w:p>
    <w:p>
      <w:pPr>
        <w:pStyle w:val="BodyText"/>
        <w:ind w:left="13" w:right="217" w:firstLine="430"/>
        <w:spacing w:before="167" w:line="396" w:lineRule="auto"/>
        <w:jc w:val="both"/>
        <w:rPr/>
      </w:pPr>
      <w:r>
        <w:rPr>
          <w:spacing w:val="5"/>
        </w:rPr>
        <w:t>时间节点：到</w:t>
      </w:r>
      <w:r>
        <w:rPr>
          <w:spacing w:val="-35"/>
        </w:rPr>
        <w:t xml:space="preserve"> </w:t>
      </w:r>
      <w:r>
        <w:rPr>
          <w:spacing w:val="5"/>
        </w:rPr>
        <w:t>2023</w:t>
      </w:r>
      <w:r>
        <w:rPr>
          <w:spacing w:val="-39"/>
        </w:rPr>
        <w:t xml:space="preserve"> </w:t>
      </w:r>
      <w:r>
        <w:rPr>
          <w:spacing w:val="5"/>
        </w:rPr>
        <w:t>年，争取主导制（修）</w:t>
      </w:r>
      <w:r>
        <w:rPr>
          <w:spacing w:val="4"/>
        </w:rPr>
        <w:t>订</w:t>
      </w:r>
      <w:r>
        <w:rPr>
          <w:spacing w:val="-19"/>
        </w:rPr>
        <w:t xml:space="preserve"> </w:t>
      </w:r>
      <w:r>
        <w:rPr>
          <w:spacing w:val="4"/>
        </w:rPr>
        <w:t>1</w:t>
      </w:r>
      <w:r>
        <w:rPr>
          <w:spacing w:val="-45"/>
        </w:rPr>
        <w:t xml:space="preserve"> </w:t>
      </w:r>
      <w:r>
        <w:rPr>
          <w:spacing w:val="4"/>
        </w:rPr>
        <w:t>个国家标准、行业标准，争取打造</w:t>
      </w:r>
      <w:r>
        <w:rPr>
          <w:spacing w:val="-24"/>
        </w:rPr>
        <w:t xml:space="preserve"> </w:t>
      </w:r>
      <w:r>
        <w:rPr>
          <w:spacing w:val="4"/>
        </w:rPr>
        <w:t>1</w:t>
      </w:r>
      <w:r>
        <w:rPr>
          <w:spacing w:val="-43"/>
        </w:rPr>
        <w:t xml:space="preserve"> </w:t>
      </w:r>
      <w:r>
        <w:rPr>
          <w:spacing w:val="4"/>
        </w:rPr>
        <w:t>个具</w:t>
      </w:r>
      <w:r>
        <w:rPr>
          <w:spacing w:val="4"/>
        </w:rPr>
        <w:t>有全国影响力的标准化试点示范区（项目）。</w:t>
      </w:r>
    </w:p>
    <w:p>
      <w:pPr>
        <w:pStyle w:val="BodyText"/>
        <w:ind w:left="11" w:right="221" w:firstLine="424"/>
        <w:spacing w:before="3" w:line="397" w:lineRule="auto"/>
        <w:jc w:val="both"/>
        <w:rPr>
          <w:rFonts w:ascii="KaiTi" w:hAnsi="KaiTi" w:eastAsia="KaiTi" w:cs="KaiTi"/>
        </w:rPr>
      </w:pPr>
      <w:r>
        <w:rPr>
          <w:spacing w:val="6"/>
        </w:rPr>
        <w:t>实施重点：围绕我市中药材加工、马铃薯</w:t>
      </w:r>
      <w:r>
        <w:rPr>
          <w:spacing w:val="7"/>
        </w:rPr>
        <w:t>加工等重点优势产业综合开发利用、绿色制造</w:t>
      </w:r>
      <w:r>
        <w:rPr>
          <w:spacing w:val="7"/>
        </w:rPr>
        <w:t>等方向，全面提升企业产业标准化和质量管理</w:t>
      </w:r>
      <w:r>
        <w:rPr>
          <w:spacing w:val="7"/>
        </w:rPr>
        <w:t>创新能力。鼓励企业加快新产品开发和推广应</w:t>
      </w:r>
      <w:r>
        <w:rPr>
          <w:spacing w:val="7"/>
        </w:rPr>
        <w:t>用，争创中国工业大奖、中国质量奖、国家级</w:t>
      </w:r>
      <w:r>
        <w:rPr>
          <w:spacing w:val="2"/>
        </w:rPr>
        <w:t>质量标杆。</w:t>
      </w:r>
      <w:r>
        <w:rPr>
          <w:rFonts w:ascii="KaiTi" w:hAnsi="KaiTi" w:eastAsia="KaiTi" w:cs="KaiTi"/>
          <w:spacing w:val="2"/>
        </w:rPr>
        <w:t>（责任单位:市工业和信息化局、科</w:t>
      </w:r>
      <w:r>
        <w:rPr>
          <w:rFonts w:ascii="KaiTi" w:hAnsi="KaiTi" w:eastAsia="KaiTi" w:cs="KaiTi"/>
        </w:rPr>
        <w:t>技局、市场监管局，开发区管委会，各县〔</w:t>
      </w:r>
      <w:r>
        <w:rPr>
          <w:rFonts w:ascii="KaiTi" w:hAnsi="KaiTi" w:eastAsia="KaiTi" w:cs="KaiTi"/>
          <w:spacing w:val="-46"/>
        </w:rPr>
        <w:t xml:space="preserve"> </w:t>
      </w:r>
      <w:r>
        <w:rPr>
          <w:rFonts w:ascii="KaiTi" w:hAnsi="KaiTi" w:eastAsia="KaiTi" w:cs="KaiTi"/>
        </w:rPr>
        <w:t>区〕</w:t>
      </w:r>
      <w:r>
        <w:rPr>
          <w:rFonts w:ascii="KaiTi" w:hAnsi="KaiTi" w:eastAsia="KaiTi" w:cs="KaiTi"/>
          <w:spacing w:val="10"/>
        </w:rPr>
        <w:t>人民政府）</w:t>
      </w:r>
    </w:p>
    <w:p>
      <w:pPr>
        <w:ind w:left="424"/>
        <w:spacing w:before="1" w:line="242" w:lineRule="auto"/>
        <w:rPr>
          <w:rFonts w:ascii="KaiTi" w:hAnsi="KaiTi" w:eastAsia="KaiTi" w:cs="KaiTi"/>
          <w:sz w:val="20"/>
          <w:szCs w:val="20"/>
        </w:rPr>
      </w:pPr>
      <w:r>
        <w:rPr>
          <w:rFonts w:ascii="KaiTi" w:hAnsi="KaiTi" w:eastAsia="KaiTi" w:cs="KaiTi"/>
          <w:sz w:val="20"/>
          <w:szCs w:val="20"/>
          <w:b/>
          <w:bCs/>
          <w:spacing w:val="8"/>
        </w:rPr>
        <w:t>（五）服务型制造转型行动。</w:t>
      </w:r>
    </w:p>
    <w:p>
      <w:pPr>
        <w:pStyle w:val="BodyText"/>
        <w:ind w:left="443"/>
        <w:spacing w:before="167" w:line="221" w:lineRule="auto"/>
        <w:rPr/>
      </w:pPr>
      <w:r>
        <w:rPr>
          <w:spacing w:val="7"/>
        </w:rPr>
        <w:t>时间节点：到</w:t>
      </w:r>
      <w:r>
        <w:rPr>
          <w:spacing w:val="-24"/>
        </w:rPr>
        <w:t xml:space="preserve"> </w:t>
      </w:r>
      <w:r>
        <w:rPr>
          <w:spacing w:val="7"/>
        </w:rPr>
        <w:t>2023</w:t>
      </w:r>
      <w:r>
        <w:rPr>
          <w:spacing w:val="-34"/>
        </w:rPr>
        <w:t xml:space="preserve"> </w:t>
      </w:r>
      <w:r>
        <w:rPr>
          <w:spacing w:val="7"/>
        </w:rPr>
        <w:t>年</w:t>
      </w:r>
      <w:r>
        <w:rPr>
          <w:spacing w:val="-59"/>
        </w:rPr>
        <w:t xml:space="preserve"> </w:t>
      </w:r>
      <w:r>
        <w:rPr>
          <w:spacing w:val="7"/>
        </w:rPr>
        <w:t>，培育和认定自治</w:t>
      </w:r>
    </w:p>
    <w:p>
      <w:pPr>
        <w:spacing w:line="14" w:lineRule="auto"/>
        <w:rPr>
          <w:rFonts w:ascii="Arial"/>
          <w:sz w:val="2"/>
        </w:rPr>
      </w:pPr>
      <w:r>
        <w:rPr>
          <w:rFonts w:ascii="Arial" w:hAnsi="Arial" w:eastAsia="Arial" w:cs="Arial"/>
          <w:sz w:val="2"/>
          <w:szCs w:val="2"/>
        </w:rPr>
        <w:br w:type="column"/>
      </w:r>
    </w:p>
    <w:p>
      <w:pPr>
        <w:pStyle w:val="BodyText"/>
        <w:ind w:right="56" w:firstLine="17"/>
        <w:spacing w:before="45" w:line="396" w:lineRule="auto"/>
        <w:rPr/>
      </w:pPr>
      <w:r>
        <w:rPr>
          <w:spacing w:val="6"/>
        </w:rPr>
        <w:t>区级服务型制造示范企业（项目、平台）2—3</w:t>
      </w:r>
      <w:r>
        <w:rPr>
          <w:spacing w:val="5"/>
        </w:rPr>
        <w:t>个，工业设计中心</w:t>
      </w:r>
      <w:r>
        <w:rPr>
          <w:spacing w:val="-14"/>
        </w:rPr>
        <w:t xml:space="preserve"> </w:t>
      </w:r>
      <w:r>
        <w:rPr>
          <w:spacing w:val="5"/>
        </w:rPr>
        <w:t>1—2</w:t>
      </w:r>
      <w:r>
        <w:rPr>
          <w:spacing w:val="-43"/>
        </w:rPr>
        <w:t xml:space="preserve"> </w:t>
      </w:r>
      <w:r>
        <w:rPr>
          <w:spacing w:val="5"/>
        </w:rPr>
        <w:t>个。</w:t>
      </w:r>
    </w:p>
    <w:p>
      <w:pPr>
        <w:pStyle w:val="BodyText"/>
        <w:ind w:right="36" w:firstLine="423"/>
        <w:spacing w:before="11" w:line="397" w:lineRule="auto"/>
        <w:jc w:val="both"/>
        <w:rPr>
          <w:rFonts w:ascii="KaiTi" w:hAnsi="KaiTi" w:eastAsia="KaiTi" w:cs="KaiTi"/>
        </w:rPr>
      </w:pPr>
      <w:r>
        <w:rPr>
          <w:spacing w:val="6"/>
        </w:rPr>
        <w:t>实施重点：鼓励引导纺织服装、肉牛、绿</w:t>
      </w:r>
      <w:r>
        <w:rPr>
          <w:spacing w:val="8"/>
        </w:rPr>
        <w:t>色食品等重点行业企业加大设计投入和应用，</w:t>
      </w:r>
      <w:r>
        <w:rPr>
          <w:spacing w:val="7"/>
        </w:rPr>
        <w:t>建设创新设计公共服务平台，支持设计领域共</w:t>
      </w:r>
      <w:r>
        <w:rPr>
          <w:spacing w:val="7"/>
        </w:rPr>
        <w:t>性关键技术研发。鼓励引导工业企业从提供产</w:t>
      </w:r>
      <w:r>
        <w:rPr>
          <w:spacing w:val="8"/>
        </w:rPr>
        <w:t>品向总集成总承包服务转变，增强咨询设计、</w:t>
      </w:r>
      <w:r>
        <w:rPr>
          <w:spacing w:val="7"/>
        </w:rPr>
        <w:t>项目承接等系统解决能力。鼓励行业龙头企业</w:t>
      </w:r>
      <w:r>
        <w:rPr>
          <w:spacing w:val="7"/>
        </w:rPr>
        <w:t>提高供应链管理水平，中小制造企业建立战略</w:t>
      </w:r>
      <w:r>
        <w:rPr>
          <w:spacing w:val="8"/>
        </w:rPr>
        <w:t>联盟，推动供应链上下游企业、第三方物流、</w:t>
      </w:r>
      <w:r>
        <w:rPr>
          <w:spacing w:val="7"/>
        </w:rPr>
        <w:t>金融等各环节有机融合。</w:t>
      </w:r>
      <w:r>
        <w:rPr>
          <w:rFonts w:ascii="KaiTi" w:hAnsi="KaiTi" w:eastAsia="KaiTi" w:cs="KaiTi"/>
          <w:spacing w:val="7"/>
        </w:rPr>
        <w:t>（责任单位：市工业</w:t>
      </w:r>
      <w:r>
        <w:rPr>
          <w:rFonts w:ascii="KaiTi" w:hAnsi="KaiTi" w:eastAsia="KaiTi" w:cs="KaiTi"/>
          <w:spacing w:val="8"/>
        </w:rPr>
        <w:t>和信息化局、发展改革委、商务投资促进局、</w:t>
      </w:r>
      <w:r>
        <w:rPr>
          <w:rFonts w:ascii="KaiTi" w:hAnsi="KaiTi" w:eastAsia="KaiTi" w:cs="KaiTi"/>
          <w:spacing w:val="5"/>
        </w:rPr>
        <w:t>市场监管局，开发区管委会，各县〔</w:t>
      </w:r>
      <w:r>
        <w:rPr>
          <w:rFonts w:ascii="KaiTi" w:hAnsi="KaiTi" w:eastAsia="KaiTi" w:cs="KaiTi"/>
          <w:spacing w:val="-55"/>
        </w:rPr>
        <w:t xml:space="preserve"> </w:t>
      </w:r>
      <w:r>
        <w:rPr>
          <w:rFonts w:ascii="KaiTi" w:hAnsi="KaiTi" w:eastAsia="KaiTi" w:cs="KaiTi"/>
          <w:spacing w:val="5"/>
        </w:rPr>
        <w:t>区〕人民</w:t>
      </w:r>
      <w:r>
        <w:rPr>
          <w:rFonts w:ascii="KaiTi" w:hAnsi="KaiTi" w:eastAsia="KaiTi" w:cs="KaiTi"/>
          <w:spacing w:val="10"/>
        </w:rPr>
        <w:t>政府）</w:t>
      </w:r>
    </w:p>
    <w:p>
      <w:pPr>
        <w:ind w:left="432"/>
        <w:spacing w:before="1" w:line="180" w:lineRule="auto"/>
        <w:outlineLvl w:val="2"/>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三、保障措施</w:t>
      </w:r>
    </w:p>
    <w:p>
      <w:pPr>
        <w:pStyle w:val="BodyText"/>
        <w:ind w:right="36" w:firstLine="413"/>
        <w:spacing w:before="162" w:line="372" w:lineRule="auto"/>
        <w:rPr/>
      </w:pPr>
      <w:r>
        <w:rPr>
          <w:rFonts w:ascii="KaiTi" w:hAnsi="KaiTi" w:eastAsia="KaiTi" w:cs="KaiTi"/>
          <w:b/>
          <w:bCs/>
          <w:spacing w:val="4"/>
        </w:rPr>
        <w:t>（</w:t>
      </w:r>
      <w:r>
        <w:rPr>
          <w:rFonts w:ascii="KaiTi" w:hAnsi="KaiTi" w:eastAsia="KaiTi" w:cs="KaiTi"/>
          <w:spacing w:val="-52"/>
        </w:rPr>
        <w:t xml:space="preserve"> </w:t>
      </w:r>
      <w:r>
        <w:rPr>
          <w:rFonts w:ascii="KaiTi" w:hAnsi="KaiTi" w:eastAsia="KaiTi" w:cs="KaiTi"/>
          <w:b/>
          <w:bCs/>
          <w:spacing w:val="4"/>
        </w:rPr>
        <w:t>一）强化优惠政策落实。</w:t>
      </w:r>
      <w:r>
        <w:rPr>
          <w:spacing w:val="4"/>
        </w:rPr>
        <w:t>认真贯彻执行</w:t>
      </w:r>
      <w:r>
        <w:rPr>
          <w:spacing w:val="7"/>
        </w:rPr>
        <w:t>进口设备免税、研发费用加计扣除、固定资产</w:t>
      </w:r>
      <w:r>
        <w:rPr>
          <w:spacing w:val="7"/>
        </w:rPr>
        <w:t>加速折旧、高新技术企业、工业强基等政策措</w:t>
      </w:r>
      <w:r>
        <w:rPr>
          <w:spacing w:val="7"/>
        </w:rPr>
        <w:t>施。充分发挥制造业高质量发展专项资金和技</w:t>
      </w:r>
      <w:r>
        <w:rPr>
          <w:spacing w:val="7"/>
        </w:rPr>
        <w:t>术改造综合奖补资金、财政贴息、工业担保基</w:t>
      </w:r>
      <w:r>
        <w:rPr>
          <w:spacing w:val="8"/>
        </w:rPr>
        <w:t>金等引导作用，及时协调解决重点项目用水、</w:t>
      </w:r>
      <w:r>
        <w:rPr>
          <w:spacing w:val="9"/>
        </w:rPr>
        <w:t>用地、用能、融资等要素保障问题。</w:t>
      </w:r>
    </w:p>
    <w:p>
      <w:pPr>
        <w:pStyle w:val="BodyText"/>
        <w:ind w:left="1" w:right="50" w:firstLine="411"/>
        <w:spacing w:before="188" w:line="375" w:lineRule="auto"/>
        <w:rPr/>
      </w:pPr>
      <w:r>
        <w:rPr>
          <w:rFonts w:ascii="KaiTi" w:hAnsi="KaiTi" w:eastAsia="KaiTi" w:cs="KaiTi"/>
          <w:b/>
          <w:bCs/>
          <w:spacing w:val="3"/>
        </w:rPr>
        <w:t>（</w:t>
      </w:r>
      <w:r>
        <w:rPr>
          <w:rFonts w:ascii="KaiTi" w:hAnsi="KaiTi" w:eastAsia="KaiTi" w:cs="KaiTi"/>
          <w:spacing w:val="-37"/>
        </w:rPr>
        <w:t xml:space="preserve"> </w:t>
      </w:r>
      <w:r>
        <w:rPr>
          <w:rFonts w:ascii="KaiTi" w:hAnsi="KaiTi" w:eastAsia="KaiTi" w:cs="KaiTi"/>
          <w:b/>
          <w:bCs/>
          <w:spacing w:val="3"/>
        </w:rPr>
        <w:t>二）鼓励企业技术改造。</w:t>
      </w:r>
      <w:r>
        <w:rPr>
          <w:spacing w:val="3"/>
        </w:rPr>
        <w:t>建立工信、发</w:t>
      </w:r>
      <w:r>
        <w:rPr>
          <w:spacing w:val="7"/>
        </w:rPr>
        <w:t>改、住建、环保、应急等领域“零增地”技术</w:t>
      </w:r>
      <w:r>
        <w:rPr>
          <w:spacing w:val="7"/>
        </w:rPr>
        <w:t>改造项目审批目录清单，对清单以外的技术改</w:t>
      </w:r>
      <w:r>
        <w:rPr>
          <w:spacing w:val="7"/>
        </w:rPr>
        <w:t>造项目不再审批，实行承诺制。鼓励土地使用</w:t>
      </w:r>
      <w:r>
        <w:rPr>
          <w:spacing w:val="7"/>
        </w:rPr>
        <w:t>者在符合规划、不改变用途的前提下，通过厂</w:t>
      </w:r>
      <w:r>
        <w:rPr>
          <w:spacing w:val="7"/>
        </w:rPr>
        <w:t>房加层、厂区改造、内部用地整理等途径提高</w:t>
      </w:r>
      <w:r>
        <w:rPr>
          <w:spacing w:val="7"/>
        </w:rPr>
        <w:t>土地利用率，对现有工业用地提高土地利用率</w:t>
      </w:r>
      <w:r>
        <w:rPr>
          <w:spacing w:val="9"/>
        </w:rPr>
        <w:t>和增加容积率的，不再增收土地价款。</w:t>
      </w:r>
    </w:p>
    <w:p>
      <w:pPr>
        <w:spacing w:line="375" w:lineRule="auto"/>
        <w:sectPr>
          <w:type w:val="continuous"/>
          <w:pgSz w:w="11906" w:h="16839"/>
          <w:pgMar w:top="1766" w:right="1530" w:bottom="1563" w:left="1579" w:header="1418" w:footer="1172" w:gutter="0"/>
          <w:cols w:equalWidth="0" w:num="2">
            <w:col w:w="4489" w:space="100"/>
            <w:col w:w="4207" w:space="0"/>
          </w:cols>
        </w:sectPr>
        <w:rPr/>
      </w:pPr>
    </w:p>
    <w:p>
      <w:pPr>
        <w:spacing w:line="301" w:lineRule="auto"/>
        <w:rPr>
          <w:rFonts w:ascii="Arial"/>
          <w:sz w:val="21"/>
        </w:rPr>
      </w:pPr>
      <w:r>
        <w:drawing>
          <wp:anchor distT="0" distB="0" distL="0" distR="0" simplePos="0" relativeHeight="252033024" behindDoc="0" locked="0" layoutInCell="1" allowOverlap="1">
            <wp:simplePos x="0" y="0"/>
            <wp:positionH relativeFrom="column">
              <wp:posOffset>56388</wp:posOffset>
            </wp:positionH>
            <wp:positionV relativeFrom="paragraph">
              <wp:posOffset>25111</wp:posOffset>
            </wp:positionV>
            <wp:extent cx="5579745" cy="7619"/>
            <wp:effectExtent l="0" t="0" r="0" b="0"/>
            <wp:wrapNone/>
            <wp:docPr id="1048" name="IM 1048"/>
            <wp:cNvGraphicFramePr/>
            <a:graphic>
              <a:graphicData uri="http://schemas.openxmlformats.org/drawingml/2006/picture">
                <pic:pic>
                  <pic:nvPicPr>
                    <pic:cNvPr id="1048" name="IM 1048"/>
                    <pic:cNvPicPr/>
                  </pic:nvPicPr>
                  <pic:blipFill>
                    <a:blip r:embed="rId526"/>
                    <a:stretch>
                      <a:fillRect/>
                    </a:stretch>
                  </pic:blipFill>
                  <pic:spPr>
                    <a:xfrm rot="0">
                      <a:off x="0" y="0"/>
                      <a:ext cx="5579745" cy="7619"/>
                    </a:xfrm>
                    <a:prstGeom prst="rect">
                      <a:avLst/>
                    </a:prstGeom>
                  </pic:spPr>
                </pic:pic>
              </a:graphicData>
            </a:graphic>
          </wp:anchor>
        </w:drawing>
      </w:r>
      <w:r/>
    </w:p>
    <w:p>
      <w:pPr>
        <w:ind w:left="110"/>
        <w:spacing w:before="86" w:line="21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附件 4</w:t>
      </w:r>
    </w:p>
    <w:p>
      <w:pPr>
        <w:spacing w:line="408" w:lineRule="auto"/>
        <w:rPr>
          <w:rFonts w:ascii="Arial"/>
          <w:sz w:val="21"/>
        </w:rPr>
      </w:pPr>
      <w:r/>
    </w:p>
    <w:p>
      <w:pPr>
        <w:ind w:left="1378"/>
        <w:spacing w:before="185" w:line="187"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9"/>
        </w:rPr>
        <w:t>推动工业智能改造三年行动计划</w:t>
      </w:r>
    </w:p>
    <w:p>
      <w:pPr>
        <w:ind w:left="2345"/>
        <w:spacing w:before="2" w:line="210"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2"/>
        </w:rPr>
        <w:t>（</w:t>
      </w:r>
      <w:r>
        <w:rPr>
          <w:rFonts w:ascii="Microsoft YaHei" w:hAnsi="Microsoft YaHei" w:eastAsia="Microsoft YaHei" w:cs="Microsoft YaHei"/>
          <w:sz w:val="43"/>
          <w:szCs w:val="43"/>
          <w:spacing w:val="-26"/>
        </w:rPr>
        <w:t xml:space="preserve"> </w:t>
      </w:r>
      <w:r>
        <w:rPr>
          <w:rFonts w:ascii="Times New Roman" w:hAnsi="Times New Roman" w:eastAsia="Times New Roman" w:cs="Times New Roman"/>
          <w:sz w:val="43"/>
          <w:szCs w:val="43"/>
          <w:spacing w:val="2"/>
        </w:rPr>
        <w:t>2021 </w:t>
      </w:r>
      <w:r>
        <w:rPr>
          <w:rFonts w:ascii="Microsoft YaHei" w:hAnsi="Microsoft YaHei" w:eastAsia="Microsoft YaHei" w:cs="Microsoft YaHei"/>
          <w:sz w:val="43"/>
          <w:szCs w:val="43"/>
          <w:spacing w:val="2"/>
        </w:rPr>
        <w:t>年</w:t>
      </w:r>
      <w:r>
        <w:rPr>
          <w:rFonts w:ascii="Times New Roman" w:hAnsi="Times New Roman" w:eastAsia="Times New Roman" w:cs="Times New Roman"/>
          <w:sz w:val="43"/>
          <w:szCs w:val="43"/>
          <w:spacing w:val="2"/>
        </w:rPr>
        <w:t>—2023 </w:t>
      </w:r>
      <w:r>
        <w:rPr>
          <w:rFonts w:ascii="Microsoft YaHei" w:hAnsi="Microsoft YaHei" w:eastAsia="Microsoft YaHei" w:cs="Microsoft YaHei"/>
          <w:sz w:val="43"/>
          <w:szCs w:val="43"/>
          <w:spacing w:val="2"/>
        </w:rPr>
        <w:t>年）</w:t>
      </w:r>
    </w:p>
    <w:p>
      <w:pPr>
        <w:spacing w:before="117"/>
        <w:rPr/>
      </w:pPr>
      <w:r/>
    </w:p>
    <w:p>
      <w:pPr>
        <w:sectPr>
          <w:headerReference w:type="default" r:id="rId524"/>
          <w:footerReference w:type="default" r:id="rId525"/>
          <w:pgSz w:w="11906" w:h="16839"/>
          <w:pgMar w:top="1728" w:right="1489" w:bottom="1570" w:left="1499" w:header="1357" w:footer="1172" w:gutter="0"/>
          <w:cols w:equalWidth="0" w:num="1">
            <w:col w:w="8918" w:space="0"/>
          </w:cols>
        </w:sectPr>
        <w:rPr/>
      </w:pPr>
    </w:p>
    <w:p>
      <w:pPr>
        <w:ind w:left="522"/>
        <w:spacing w:before="57"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一、工作目标</w:t>
      </w:r>
    </w:p>
    <w:p>
      <w:pPr>
        <w:pStyle w:val="BodyText"/>
        <w:ind w:left="90" w:right="306" w:firstLine="420"/>
        <w:spacing w:before="132" w:line="353" w:lineRule="auto"/>
        <w:jc w:val="both"/>
        <w:rPr/>
      </w:pPr>
      <w:r>
        <w:rPr>
          <w:spacing w:val="7"/>
        </w:rPr>
        <w:t>认真践行新发展理念，加快工业互联网应</w:t>
      </w:r>
      <w:r>
        <w:rPr>
          <w:spacing w:val="7"/>
        </w:rPr>
        <w:t>用，推进工业企业数字化、网络化、智能化建</w:t>
      </w:r>
      <w:r>
        <w:rPr>
          <w:spacing w:val="8"/>
        </w:rPr>
        <w:t>设，深化新一代信息技术与制造业融合发展。</w:t>
      </w:r>
      <w:r>
        <w:rPr>
          <w:spacing w:val="7"/>
        </w:rPr>
        <w:t>到</w:t>
      </w:r>
      <w:r>
        <w:rPr>
          <w:spacing w:val="-39"/>
        </w:rPr>
        <w:t xml:space="preserve"> </w:t>
      </w:r>
      <w:r>
        <w:rPr>
          <w:rFonts w:ascii="Times New Roman" w:hAnsi="Times New Roman" w:eastAsia="Times New Roman" w:cs="Times New Roman"/>
          <w:spacing w:val="7"/>
        </w:rPr>
        <w:t>2023 </w:t>
      </w:r>
      <w:r>
        <w:rPr>
          <w:spacing w:val="7"/>
        </w:rPr>
        <w:t>年底</w:t>
      </w:r>
      <w:r>
        <w:rPr>
          <w:spacing w:val="-59"/>
        </w:rPr>
        <w:t xml:space="preserve"> </w:t>
      </w:r>
      <w:r>
        <w:rPr>
          <w:spacing w:val="7"/>
        </w:rPr>
        <w:t>，两化融合水平进一步提高</w:t>
      </w:r>
      <w:r>
        <w:rPr>
          <w:spacing w:val="-59"/>
        </w:rPr>
        <w:t xml:space="preserve"> </w:t>
      </w:r>
      <w:r>
        <w:rPr>
          <w:spacing w:val="7"/>
        </w:rPr>
        <w:t>，创</w:t>
      </w:r>
      <w:r>
        <w:rPr>
          <w:spacing w:val="7"/>
        </w:rPr>
        <w:t>新应用能进一步提升，制造业高质量发展取得</w:t>
      </w:r>
      <w:r>
        <w:rPr>
          <w:spacing w:val="8"/>
        </w:rPr>
        <w:t>明显成效，培育数字化车间</w:t>
      </w:r>
      <w:r>
        <w:rPr>
          <w:spacing w:val="-33"/>
        </w:rPr>
        <w:t xml:space="preserve"> </w:t>
      </w:r>
      <w:r>
        <w:rPr>
          <w:rFonts w:ascii="Times New Roman" w:hAnsi="Times New Roman" w:eastAsia="Times New Roman" w:cs="Times New Roman"/>
          <w:spacing w:val="8"/>
        </w:rPr>
        <w:t>9 </w:t>
      </w:r>
      <w:r>
        <w:rPr>
          <w:spacing w:val="8"/>
        </w:rPr>
        <w:t>个，智能工厂</w:t>
      </w:r>
      <w:r>
        <w:rPr>
          <w:spacing w:val="-39"/>
        </w:rPr>
        <w:t xml:space="preserve"> </w:t>
      </w:r>
      <w:r>
        <w:rPr>
          <w:rFonts w:ascii="Times New Roman" w:hAnsi="Times New Roman" w:eastAsia="Times New Roman" w:cs="Times New Roman"/>
          <w:spacing w:val="8"/>
        </w:rPr>
        <w:t>3</w:t>
      </w:r>
      <w:r>
        <w:rPr>
          <w:spacing w:val="7"/>
        </w:rPr>
        <w:t>个，规模以上制造业企业实现数字化诊断、改</w:t>
      </w:r>
      <w:r>
        <w:rPr>
          <w:spacing w:val="7"/>
        </w:rPr>
        <w:t>造全覆盖。</w:t>
      </w:r>
    </w:p>
    <w:tbl>
      <w:tblPr>
        <w:tblStyle w:val="TableNormal"/>
        <w:tblW w:w="4324" w:type="dxa"/>
        <w:tblInd w:w="2" w:type="dxa"/>
        <w:tblLayout w:type="fixed"/>
        <w:tblBorders>
          <w:left w:val="single" w:color="000000" w:sz="2" w:space="0"/>
          <w:bottom w:val="single" w:color="000000" w:sz="2" w:space="0"/>
          <w:right w:val="single" w:color="000000" w:sz="2" w:space="0"/>
          <w:top w:val="single" w:color="000000" w:sz="2" w:space="0"/>
        </w:tblBorders>
      </w:tblPr>
      <w:tblGrid>
        <w:gridCol w:w="4324"/>
      </w:tblGrid>
      <w:tr>
        <w:trPr>
          <w:trHeight w:val="6409" w:hRule="atLeast"/>
        </w:trPr>
        <w:tc>
          <w:tcPr>
            <w:tcW w:w="4324" w:type="dxa"/>
            <w:vAlign w:val="top"/>
          </w:tcPr>
          <w:p>
            <w:pPr>
              <w:pStyle w:val="TableText"/>
              <w:ind w:left="1324"/>
              <w:spacing w:before="147" w:line="219" w:lineRule="auto"/>
              <w:rPr>
                <w:sz w:val="20"/>
                <w:szCs w:val="20"/>
              </w:rPr>
            </w:pPr>
            <w:r>
              <w:rPr>
                <w:sz w:val="20"/>
                <w:szCs w:val="20"/>
                <w:b/>
                <w:bCs/>
                <w:spacing w:val="7"/>
              </w:rPr>
              <w:t>智能改造年度目标</w:t>
            </w:r>
          </w:p>
          <w:p>
            <w:pPr>
              <w:pStyle w:val="TableText"/>
              <w:ind w:left="112" w:right="41" w:firstLine="415"/>
              <w:spacing w:before="159" w:line="361" w:lineRule="auto"/>
              <w:jc w:val="both"/>
              <w:rPr>
                <w:sz w:val="20"/>
                <w:szCs w:val="20"/>
              </w:rPr>
            </w:pPr>
            <w:r>
              <w:rPr>
                <w:sz w:val="20"/>
                <w:szCs w:val="20"/>
                <w:spacing w:val="4"/>
              </w:rPr>
              <w:t>—2021</w:t>
            </w:r>
            <w:r>
              <w:rPr>
                <w:sz w:val="20"/>
                <w:szCs w:val="20"/>
                <w:spacing w:val="-18"/>
              </w:rPr>
              <w:t xml:space="preserve"> </w:t>
            </w:r>
            <w:r>
              <w:rPr>
                <w:sz w:val="20"/>
                <w:szCs w:val="20"/>
                <w:spacing w:val="4"/>
              </w:rPr>
              <w:t>年</w:t>
            </w:r>
            <w:r>
              <w:rPr>
                <w:sz w:val="20"/>
                <w:szCs w:val="20"/>
                <w:spacing w:val="-59"/>
              </w:rPr>
              <w:t xml:space="preserve"> </w:t>
            </w:r>
            <w:r>
              <w:rPr>
                <w:sz w:val="20"/>
                <w:szCs w:val="20"/>
                <w:spacing w:val="4"/>
              </w:rPr>
              <w:t>，累计建成</w:t>
            </w:r>
            <w:r>
              <w:rPr>
                <w:sz w:val="20"/>
                <w:szCs w:val="20"/>
                <w:spacing w:val="-38"/>
              </w:rPr>
              <w:t xml:space="preserve"> </w:t>
            </w:r>
            <w:r>
              <w:rPr>
                <w:sz w:val="20"/>
                <w:szCs w:val="20"/>
                <w:spacing w:val="4"/>
              </w:rPr>
              <w:t>5G</w:t>
            </w:r>
            <w:r>
              <w:rPr>
                <w:sz w:val="20"/>
                <w:szCs w:val="20"/>
                <w:spacing w:val="-39"/>
              </w:rPr>
              <w:t xml:space="preserve"> </w:t>
            </w:r>
            <w:r>
              <w:rPr>
                <w:sz w:val="20"/>
                <w:szCs w:val="20"/>
                <w:spacing w:val="4"/>
              </w:rPr>
              <w:t>基站</w:t>
            </w:r>
            <w:r>
              <w:rPr>
                <w:sz w:val="20"/>
                <w:szCs w:val="20"/>
                <w:spacing w:val="-22"/>
              </w:rPr>
              <w:t xml:space="preserve"> </w:t>
            </w:r>
            <w:r>
              <w:rPr>
                <w:sz w:val="20"/>
                <w:szCs w:val="20"/>
                <w:spacing w:val="4"/>
              </w:rPr>
              <w:t>1200</w:t>
            </w:r>
            <w:r>
              <w:rPr>
                <w:sz w:val="20"/>
                <w:szCs w:val="20"/>
                <w:spacing w:val="-37"/>
              </w:rPr>
              <w:t xml:space="preserve"> </w:t>
            </w:r>
            <w:r>
              <w:rPr>
                <w:sz w:val="20"/>
                <w:szCs w:val="20"/>
                <w:spacing w:val="4"/>
              </w:rPr>
              <w:t>座</w:t>
            </w:r>
            <w:r>
              <w:rPr>
                <w:sz w:val="20"/>
                <w:szCs w:val="20"/>
                <w:spacing w:val="-58"/>
              </w:rPr>
              <w:t xml:space="preserve"> </w:t>
            </w:r>
            <w:r>
              <w:rPr>
                <w:sz w:val="20"/>
                <w:szCs w:val="20"/>
                <w:spacing w:val="4"/>
              </w:rPr>
              <w:t>，</w:t>
            </w:r>
            <w:r>
              <w:rPr>
                <w:sz w:val="20"/>
                <w:szCs w:val="20"/>
                <w:spacing w:val="7"/>
              </w:rPr>
              <w:t>培育3个数字化车间，完成5个企业内网改造，</w:t>
            </w:r>
            <w:r>
              <w:rPr>
                <w:sz w:val="20"/>
                <w:szCs w:val="20"/>
                <w:spacing w:val="16"/>
              </w:rPr>
              <w:t xml:space="preserve"> </w:t>
            </w:r>
            <w:r>
              <w:rPr>
                <w:sz w:val="20"/>
                <w:szCs w:val="20"/>
                <w:spacing w:val="5"/>
              </w:rPr>
              <w:t>1</w:t>
            </w:r>
            <w:r>
              <w:rPr>
                <w:sz w:val="20"/>
                <w:szCs w:val="20"/>
                <w:spacing w:val="-34"/>
              </w:rPr>
              <w:t xml:space="preserve"> </w:t>
            </w:r>
            <w:r>
              <w:rPr>
                <w:sz w:val="20"/>
                <w:szCs w:val="20"/>
                <w:spacing w:val="5"/>
              </w:rPr>
              <w:t>家企业规模化示范应用智能设备；建成</w:t>
            </w:r>
            <w:r>
              <w:rPr>
                <w:sz w:val="20"/>
                <w:szCs w:val="20"/>
                <w:spacing w:val="-22"/>
              </w:rPr>
              <w:t xml:space="preserve"> </w:t>
            </w:r>
            <w:r>
              <w:rPr>
                <w:sz w:val="20"/>
                <w:szCs w:val="20"/>
                <w:spacing w:val="5"/>
              </w:rPr>
              <w:t>1</w:t>
            </w:r>
            <w:r>
              <w:rPr>
                <w:sz w:val="20"/>
                <w:szCs w:val="20"/>
                <w:spacing w:val="-45"/>
              </w:rPr>
              <w:t xml:space="preserve"> </w:t>
            </w:r>
            <w:r>
              <w:rPr>
                <w:sz w:val="20"/>
                <w:szCs w:val="20"/>
                <w:spacing w:val="5"/>
              </w:rPr>
              <w:t>个</w:t>
            </w:r>
            <w:r>
              <w:rPr>
                <w:sz w:val="20"/>
                <w:szCs w:val="20"/>
                <w:spacing w:val="8"/>
              </w:rPr>
              <w:t>企业级工业互联网平台；推动</w:t>
            </w:r>
            <w:r>
              <w:rPr>
                <w:sz w:val="20"/>
                <w:szCs w:val="20"/>
                <w:spacing w:val="-24"/>
              </w:rPr>
              <w:t xml:space="preserve"> </w:t>
            </w:r>
            <w:r>
              <w:rPr>
                <w:sz w:val="20"/>
                <w:szCs w:val="20"/>
                <w:spacing w:val="8"/>
              </w:rPr>
              <w:t>53</w:t>
            </w:r>
            <w:r>
              <w:rPr>
                <w:sz w:val="20"/>
                <w:szCs w:val="20"/>
                <w:spacing w:val="-40"/>
              </w:rPr>
              <w:t xml:space="preserve"> </w:t>
            </w:r>
            <w:r>
              <w:rPr>
                <w:sz w:val="20"/>
                <w:szCs w:val="20"/>
                <w:spacing w:val="8"/>
              </w:rPr>
              <w:t>家工业企业</w:t>
            </w:r>
            <w:r>
              <w:rPr>
                <w:sz w:val="20"/>
                <w:szCs w:val="20"/>
                <w:spacing w:val="7"/>
              </w:rPr>
              <w:t>上云上平台。</w:t>
            </w:r>
          </w:p>
          <w:p>
            <w:pPr>
              <w:pStyle w:val="TableText"/>
              <w:ind w:left="112" w:right="48" w:firstLine="415"/>
              <w:spacing w:before="44" w:line="369" w:lineRule="auto"/>
              <w:jc w:val="both"/>
              <w:rPr>
                <w:sz w:val="20"/>
                <w:szCs w:val="20"/>
              </w:rPr>
            </w:pPr>
            <w:r>
              <w:rPr>
                <w:sz w:val="20"/>
                <w:szCs w:val="20"/>
                <w:spacing w:val="5"/>
              </w:rPr>
              <w:t>—2022</w:t>
            </w:r>
            <w:r>
              <w:rPr>
                <w:sz w:val="20"/>
                <w:szCs w:val="20"/>
                <w:spacing w:val="-22"/>
              </w:rPr>
              <w:t xml:space="preserve"> </w:t>
            </w:r>
            <w:r>
              <w:rPr>
                <w:sz w:val="20"/>
                <w:szCs w:val="20"/>
                <w:spacing w:val="5"/>
              </w:rPr>
              <w:t>年</w:t>
            </w:r>
            <w:r>
              <w:rPr>
                <w:sz w:val="20"/>
                <w:szCs w:val="20"/>
                <w:spacing w:val="-59"/>
              </w:rPr>
              <w:t xml:space="preserve"> </w:t>
            </w:r>
            <w:r>
              <w:rPr>
                <w:sz w:val="20"/>
                <w:szCs w:val="20"/>
                <w:spacing w:val="5"/>
              </w:rPr>
              <w:t>，累计建成</w:t>
            </w:r>
            <w:r>
              <w:rPr>
                <w:sz w:val="20"/>
                <w:szCs w:val="20"/>
                <w:spacing w:val="-38"/>
              </w:rPr>
              <w:t xml:space="preserve"> </w:t>
            </w:r>
            <w:r>
              <w:rPr>
                <w:sz w:val="20"/>
                <w:szCs w:val="20"/>
                <w:spacing w:val="5"/>
              </w:rPr>
              <w:t>5G</w:t>
            </w:r>
            <w:r>
              <w:rPr>
                <w:sz w:val="20"/>
                <w:szCs w:val="20"/>
                <w:spacing w:val="-39"/>
              </w:rPr>
              <w:t xml:space="preserve"> </w:t>
            </w:r>
            <w:r>
              <w:rPr>
                <w:sz w:val="20"/>
                <w:szCs w:val="20"/>
                <w:spacing w:val="5"/>
              </w:rPr>
              <w:t>基站</w:t>
            </w:r>
            <w:r>
              <w:rPr>
                <w:sz w:val="20"/>
                <w:szCs w:val="20"/>
                <w:spacing w:val="-39"/>
              </w:rPr>
              <w:t xml:space="preserve"> </w:t>
            </w:r>
            <w:r>
              <w:rPr>
                <w:sz w:val="20"/>
                <w:szCs w:val="20"/>
                <w:spacing w:val="5"/>
              </w:rPr>
              <w:t>2000</w:t>
            </w:r>
            <w:r>
              <w:rPr>
                <w:sz w:val="20"/>
                <w:szCs w:val="20"/>
                <w:spacing w:val="-37"/>
              </w:rPr>
              <w:t xml:space="preserve"> </w:t>
            </w:r>
            <w:r>
              <w:rPr>
                <w:sz w:val="20"/>
                <w:szCs w:val="20"/>
                <w:spacing w:val="5"/>
              </w:rPr>
              <w:t>座</w:t>
            </w:r>
            <w:r>
              <w:rPr>
                <w:sz w:val="20"/>
                <w:szCs w:val="20"/>
                <w:spacing w:val="-58"/>
              </w:rPr>
              <w:t xml:space="preserve"> </w:t>
            </w:r>
            <w:r>
              <w:rPr>
                <w:sz w:val="20"/>
                <w:szCs w:val="20"/>
                <w:spacing w:val="5"/>
              </w:rPr>
              <w:t>，</w:t>
            </w:r>
            <w:r>
              <w:rPr>
                <w:sz w:val="20"/>
                <w:szCs w:val="20"/>
                <w:spacing w:val="5"/>
              </w:rPr>
              <w:t>培育</w:t>
            </w:r>
            <w:r>
              <w:rPr>
                <w:sz w:val="20"/>
                <w:szCs w:val="20"/>
                <w:spacing w:val="-14"/>
              </w:rPr>
              <w:t xml:space="preserve"> </w:t>
            </w:r>
            <w:r>
              <w:rPr>
                <w:sz w:val="20"/>
                <w:szCs w:val="20"/>
                <w:spacing w:val="5"/>
              </w:rPr>
              <w:t>1</w:t>
            </w:r>
            <w:r>
              <w:rPr>
                <w:sz w:val="20"/>
                <w:szCs w:val="20"/>
                <w:spacing w:val="-42"/>
              </w:rPr>
              <w:t xml:space="preserve"> </w:t>
            </w:r>
            <w:r>
              <w:rPr>
                <w:sz w:val="20"/>
                <w:szCs w:val="20"/>
                <w:spacing w:val="5"/>
              </w:rPr>
              <w:t>个智能化工厂、3</w:t>
            </w:r>
            <w:r>
              <w:rPr>
                <w:sz w:val="20"/>
                <w:szCs w:val="20"/>
                <w:spacing w:val="-45"/>
              </w:rPr>
              <w:t xml:space="preserve"> </w:t>
            </w:r>
            <w:r>
              <w:rPr>
                <w:sz w:val="20"/>
                <w:szCs w:val="20"/>
                <w:spacing w:val="5"/>
              </w:rPr>
              <w:t>个数字化车间，完成</w:t>
            </w:r>
            <w:r>
              <w:rPr>
                <w:sz w:val="20"/>
                <w:szCs w:val="20"/>
                <w:spacing w:val="4"/>
              </w:rPr>
              <w:t>10</w:t>
            </w:r>
            <w:r>
              <w:rPr>
                <w:sz w:val="20"/>
                <w:szCs w:val="20"/>
                <w:spacing w:val="-45"/>
              </w:rPr>
              <w:t xml:space="preserve"> </w:t>
            </w:r>
            <w:r>
              <w:rPr>
                <w:sz w:val="20"/>
                <w:szCs w:val="20"/>
                <w:spacing w:val="4"/>
              </w:rPr>
              <w:t>个企业内网改造，2</w:t>
            </w:r>
            <w:r>
              <w:rPr>
                <w:sz w:val="20"/>
                <w:szCs w:val="20"/>
                <w:spacing w:val="-41"/>
              </w:rPr>
              <w:t xml:space="preserve"> </w:t>
            </w:r>
            <w:r>
              <w:rPr>
                <w:sz w:val="20"/>
                <w:szCs w:val="20"/>
                <w:spacing w:val="4"/>
              </w:rPr>
              <w:t>家企业规模化示范应用</w:t>
            </w:r>
            <w:r>
              <w:rPr>
                <w:sz w:val="20"/>
                <w:szCs w:val="20"/>
                <w:spacing w:val="7"/>
              </w:rPr>
              <w:t>智能设备；建成</w:t>
            </w:r>
            <w:r>
              <w:rPr>
                <w:sz w:val="20"/>
                <w:szCs w:val="20"/>
                <w:spacing w:val="-41"/>
              </w:rPr>
              <w:t xml:space="preserve"> </w:t>
            </w:r>
            <w:r>
              <w:rPr>
                <w:sz w:val="20"/>
                <w:szCs w:val="20"/>
                <w:spacing w:val="7"/>
              </w:rPr>
              <w:t>2</w:t>
            </w:r>
            <w:r>
              <w:rPr>
                <w:sz w:val="20"/>
                <w:szCs w:val="20"/>
                <w:spacing w:val="-43"/>
              </w:rPr>
              <w:t xml:space="preserve"> </w:t>
            </w:r>
            <w:r>
              <w:rPr>
                <w:sz w:val="20"/>
                <w:szCs w:val="20"/>
                <w:spacing w:val="7"/>
              </w:rPr>
              <w:t>个企业级工业互联网平台；</w:t>
            </w:r>
            <w:r>
              <w:rPr>
                <w:sz w:val="20"/>
                <w:szCs w:val="20"/>
                <w:spacing w:val="5"/>
              </w:rPr>
              <w:t>推动</w:t>
            </w:r>
            <w:r>
              <w:rPr>
                <w:sz w:val="20"/>
                <w:szCs w:val="20"/>
                <w:spacing w:val="-15"/>
              </w:rPr>
              <w:t xml:space="preserve"> </w:t>
            </w:r>
            <w:r>
              <w:rPr>
                <w:sz w:val="20"/>
                <w:szCs w:val="20"/>
                <w:spacing w:val="5"/>
              </w:rPr>
              <w:t>100</w:t>
            </w:r>
            <w:r>
              <w:rPr>
                <w:sz w:val="20"/>
                <w:szCs w:val="20"/>
                <w:spacing w:val="-38"/>
              </w:rPr>
              <w:t xml:space="preserve"> </w:t>
            </w:r>
            <w:r>
              <w:rPr>
                <w:sz w:val="20"/>
                <w:szCs w:val="20"/>
                <w:spacing w:val="5"/>
              </w:rPr>
              <w:t>家工业企业上云上平台。</w:t>
            </w:r>
          </w:p>
          <w:p>
            <w:pPr>
              <w:pStyle w:val="TableText"/>
              <w:ind w:left="112" w:right="48" w:firstLine="415"/>
              <w:spacing w:before="3" w:line="342" w:lineRule="auto"/>
              <w:jc w:val="both"/>
              <w:rPr>
                <w:sz w:val="20"/>
                <w:szCs w:val="20"/>
              </w:rPr>
            </w:pPr>
            <w:r>
              <w:rPr>
                <w:sz w:val="20"/>
                <w:szCs w:val="20"/>
                <w:spacing w:val="5"/>
              </w:rPr>
              <w:t>—2023</w:t>
            </w:r>
            <w:r>
              <w:rPr>
                <w:sz w:val="20"/>
                <w:szCs w:val="20"/>
                <w:spacing w:val="-22"/>
              </w:rPr>
              <w:t xml:space="preserve"> </w:t>
            </w:r>
            <w:r>
              <w:rPr>
                <w:sz w:val="20"/>
                <w:szCs w:val="20"/>
                <w:spacing w:val="5"/>
              </w:rPr>
              <w:t>年</w:t>
            </w:r>
            <w:r>
              <w:rPr>
                <w:sz w:val="20"/>
                <w:szCs w:val="20"/>
                <w:spacing w:val="-59"/>
              </w:rPr>
              <w:t xml:space="preserve"> </w:t>
            </w:r>
            <w:r>
              <w:rPr>
                <w:sz w:val="20"/>
                <w:szCs w:val="20"/>
                <w:spacing w:val="5"/>
              </w:rPr>
              <w:t>，累计建成</w:t>
            </w:r>
            <w:r>
              <w:rPr>
                <w:sz w:val="20"/>
                <w:szCs w:val="20"/>
                <w:spacing w:val="-38"/>
              </w:rPr>
              <w:t xml:space="preserve"> </w:t>
            </w:r>
            <w:r>
              <w:rPr>
                <w:sz w:val="20"/>
                <w:szCs w:val="20"/>
                <w:spacing w:val="5"/>
              </w:rPr>
              <w:t>5G</w:t>
            </w:r>
            <w:r>
              <w:rPr>
                <w:sz w:val="20"/>
                <w:szCs w:val="20"/>
                <w:spacing w:val="-39"/>
              </w:rPr>
              <w:t xml:space="preserve"> </w:t>
            </w:r>
            <w:r>
              <w:rPr>
                <w:sz w:val="20"/>
                <w:szCs w:val="20"/>
                <w:spacing w:val="5"/>
              </w:rPr>
              <w:t>基站</w:t>
            </w:r>
            <w:r>
              <w:rPr>
                <w:sz w:val="20"/>
                <w:szCs w:val="20"/>
                <w:spacing w:val="-39"/>
              </w:rPr>
              <w:t xml:space="preserve"> </w:t>
            </w:r>
            <w:r>
              <w:rPr>
                <w:sz w:val="20"/>
                <w:szCs w:val="20"/>
                <w:spacing w:val="5"/>
              </w:rPr>
              <w:t>2500</w:t>
            </w:r>
            <w:r>
              <w:rPr>
                <w:sz w:val="20"/>
                <w:szCs w:val="20"/>
                <w:spacing w:val="-37"/>
              </w:rPr>
              <w:t xml:space="preserve"> </w:t>
            </w:r>
            <w:r>
              <w:rPr>
                <w:sz w:val="20"/>
                <w:szCs w:val="20"/>
                <w:spacing w:val="5"/>
              </w:rPr>
              <w:t>座</w:t>
            </w:r>
            <w:r>
              <w:rPr>
                <w:sz w:val="20"/>
                <w:szCs w:val="20"/>
                <w:spacing w:val="-58"/>
              </w:rPr>
              <w:t xml:space="preserve"> </w:t>
            </w:r>
            <w:r>
              <w:rPr>
                <w:sz w:val="20"/>
                <w:szCs w:val="20"/>
                <w:spacing w:val="5"/>
              </w:rPr>
              <w:t>，</w:t>
            </w:r>
            <w:r>
              <w:rPr>
                <w:sz w:val="20"/>
                <w:szCs w:val="20"/>
                <w:spacing w:val="6"/>
              </w:rPr>
              <w:t>培育</w:t>
            </w:r>
            <w:r>
              <w:rPr>
                <w:sz w:val="20"/>
                <w:szCs w:val="20"/>
                <w:spacing w:val="-34"/>
              </w:rPr>
              <w:t xml:space="preserve"> </w:t>
            </w:r>
            <w:r>
              <w:rPr>
                <w:sz w:val="20"/>
                <w:szCs w:val="20"/>
                <w:spacing w:val="6"/>
              </w:rPr>
              <w:t>2</w:t>
            </w:r>
            <w:r>
              <w:rPr>
                <w:sz w:val="20"/>
                <w:szCs w:val="20"/>
                <w:spacing w:val="-42"/>
              </w:rPr>
              <w:t xml:space="preserve"> </w:t>
            </w:r>
            <w:r>
              <w:rPr>
                <w:sz w:val="20"/>
                <w:szCs w:val="20"/>
                <w:spacing w:val="6"/>
              </w:rPr>
              <w:t>个智能化工厂、3</w:t>
            </w:r>
            <w:r>
              <w:rPr>
                <w:sz w:val="20"/>
                <w:szCs w:val="20"/>
                <w:spacing w:val="-45"/>
              </w:rPr>
              <w:t xml:space="preserve"> </w:t>
            </w:r>
            <w:r>
              <w:rPr>
                <w:sz w:val="20"/>
                <w:szCs w:val="20"/>
                <w:spacing w:val="6"/>
              </w:rPr>
              <w:t>个数字化车间，完成</w:t>
            </w:r>
            <w:r>
              <w:rPr>
                <w:sz w:val="20"/>
                <w:szCs w:val="20"/>
                <w:spacing w:val="4"/>
              </w:rPr>
              <w:t>20</w:t>
            </w:r>
            <w:r>
              <w:rPr>
                <w:sz w:val="20"/>
                <w:szCs w:val="20"/>
                <w:spacing w:val="-45"/>
              </w:rPr>
              <w:t xml:space="preserve"> </w:t>
            </w:r>
            <w:r>
              <w:rPr>
                <w:sz w:val="20"/>
                <w:szCs w:val="20"/>
                <w:spacing w:val="4"/>
              </w:rPr>
              <w:t>个企业内网改造，2</w:t>
            </w:r>
            <w:r>
              <w:rPr>
                <w:sz w:val="20"/>
                <w:szCs w:val="20"/>
                <w:spacing w:val="-41"/>
              </w:rPr>
              <w:t xml:space="preserve"> </w:t>
            </w:r>
            <w:r>
              <w:rPr>
                <w:sz w:val="20"/>
                <w:szCs w:val="20"/>
                <w:spacing w:val="4"/>
              </w:rPr>
              <w:t>家企业规模化示范应用</w:t>
            </w:r>
            <w:r>
              <w:rPr>
                <w:sz w:val="20"/>
                <w:szCs w:val="20"/>
                <w:spacing w:val="7"/>
              </w:rPr>
              <w:t>智能设备；建成</w:t>
            </w:r>
            <w:r>
              <w:rPr>
                <w:sz w:val="20"/>
                <w:szCs w:val="20"/>
                <w:spacing w:val="-41"/>
              </w:rPr>
              <w:t xml:space="preserve"> </w:t>
            </w:r>
            <w:r>
              <w:rPr>
                <w:sz w:val="20"/>
                <w:szCs w:val="20"/>
                <w:spacing w:val="7"/>
              </w:rPr>
              <w:t>2</w:t>
            </w:r>
            <w:r>
              <w:rPr>
                <w:sz w:val="20"/>
                <w:szCs w:val="20"/>
                <w:spacing w:val="-43"/>
              </w:rPr>
              <w:t xml:space="preserve"> </w:t>
            </w:r>
            <w:r>
              <w:rPr>
                <w:sz w:val="20"/>
                <w:szCs w:val="20"/>
                <w:spacing w:val="7"/>
              </w:rPr>
              <w:t>个企业级工业互联网平台；</w:t>
            </w:r>
            <w:r>
              <w:rPr>
                <w:sz w:val="20"/>
                <w:szCs w:val="20"/>
                <w:spacing w:val="6"/>
              </w:rPr>
              <w:t>推动</w:t>
            </w:r>
            <w:r>
              <w:rPr>
                <w:sz w:val="20"/>
                <w:szCs w:val="20"/>
                <w:spacing w:val="-31"/>
              </w:rPr>
              <w:t xml:space="preserve"> </w:t>
            </w:r>
            <w:r>
              <w:rPr>
                <w:sz w:val="20"/>
                <w:szCs w:val="20"/>
                <w:spacing w:val="6"/>
              </w:rPr>
              <w:t>300</w:t>
            </w:r>
            <w:r>
              <w:rPr>
                <w:sz w:val="20"/>
                <w:szCs w:val="20"/>
                <w:spacing w:val="-38"/>
              </w:rPr>
              <w:t xml:space="preserve"> </w:t>
            </w:r>
            <w:r>
              <w:rPr>
                <w:sz w:val="20"/>
                <w:szCs w:val="20"/>
                <w:spacing w:val="6"/>
              </w:rPr>
              <w:t>家工业企业上云上平台。</w:t>
            </w:r>
          </w:p>
        </w:tc>
      </w:tr>
    </w:tbl>
    <w:p>
      <w:pPr>
        <w:ind w:left="521"/>
        <w:spacing w:before="149" w:line="216"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position w:val="-2"/>
        </w:rPr>
        <w:t>二、重点任务</w:t>
      </w:r>
    </w:p>
    <w:p>
      <w:pPr>
        <w:spacing w:line="14" w:lineRule="auto"/>
        <w:rPr>
          <w:rFonts w:ascii="Arial"/>
          <w:sz w:val="2"/>
        </w:rPr>
      </w:pPr>
      <w:r>
        <w:rPr>
          <w:rFonts w:ascii="Arial" w:hAnsi="Arial" w:eastAsia="Arial" w:cs="Arial"/>
          <w:sz w:val="2"/>
          <w:szCs w:val="2"/>
        </w:rPr>
        <w:br w:type="column"/>
      </w:r>
    </w:p>
    <w:p>
      <w:pPr>
        <w:ind w:left="415"/>
        <w:spacing w:before="44" w:line="271" w:lineRule="exact"/>
        <w:rPr>
          <w:rFonts w:ascii="KaiTi" w:hAnsi="KaiTi" w:eastAsia="KaiTi" w:cs="KaiTi"/>
          <w:sz w:val="20"/>
          <w:szCs w:val="20"/>
        </w:rPr>
      </w:pPr>
      <w:r>
        <w:rPr>
          <w:rFonts w:ascii="KaiTi" w:hAnsi="KaiTi" w:eastAsia="KaiTi" w:cs="KaiTi"/>
          <w:sz w:val="20"/>
          <w:szCs w:val="20"/>
          <w:b/>
          <w:bCs/>
          <w:spacing w:val="3"/>
          <w:position w:val="1"/>
        </w:rPr>
        <w:t>（</w:t>
      </w:r>
      <w:r>
        <w:rPr>
          <w:rFonts w:ascii="KaiTi" w:hAnsi="KaiTi" w:eastAsia="KaiTi" w:cs="KaiTi"/>
          <w:sz w:val="20"/>
          <w:szCs w:val="20"/>
          <w:spacing w:val="-52"/>
          <w:position w:val="1"/>
        </w:rPr>
        <w:t xml:space="preserve"> </w:t>
      </w:r>
      <w:r>
        <w:rPr>
          <w:rFonts w:ascii="KaiTi" w:hAnsi="KaiTi" w:eastAsia="KaiTi" w:cs="KaiTi"/>
          <w:sz w:val="20"/>
          <w:szCs w:val="20"/>
          <w:b/>
          <w:bCs/>
          <w:spacing w:val="3"/>
          <w:position w:val="1"/>
        </w:rPr>
        <w:t>一）基础设施建设。</w:t>
      </w:r>
    </w:p>
    <w:p>
      <w:pPr>
        <w:pStyle w:val="BodyText"/>
        <w:ind w:left="4" w:right="96" w:firstLine="430"/>
        <w:spacing w:before="129" w:line="368" w:lineRule="auto"/>
        <w:jc w:val="both"/>
        <w:rPr/>
      </w:pPr>
      <w:r>
        <w:rPr>
          <w:spacing w:val="1"/>
        </w:rPr>
        <w:t>时间节点：</w:t>
      </w:r>
      <w:r>
        <w:rPr>
          <w:rFonts w:ascii="Times New Roman" w:hAnsi="Times New Roman" w:eastAsia="Times New Roman" w:cs="Times New Roman"/>
          <w:spacing w:val="1"/>
        </w:rPr>
        <w:t>2021 </w:t>
      </w:r>
      <w:r>
        <w:rPr>
          <w:spacing w:val="1"/>
        </w:rPr>
        <w:t>年累计建成</w:t>
      </w:r>
      <w:r>
        <w:rPr>
          <w:spacing w:val="-31"/>
        </w:rPr>
        <w:t xml:space="preserve"> </w:t>
      </w:r>
      <w:r>
        <w:rPr>
          <w:rFonts w:ascii="Times New Roman" w:hAnsi="Times New Roman" w:eastAsia="Times New Roman" w:cs="Times New Roman"/>
          <w:spacing w:val="1"/>
        </w:rPr>
        <w:t>5G </w:t>
      </w:r>
      <w:r>
        <w:rPr>
          <w:spacing w:val="1"/>
        </w:rPr>
        <w:t>基站</w:t>
      </w:r>
      <w:r>
        <w:rPr>
          <w:spacing w:val="-23"/>
        </w:rPr>
        <w:t xml:space="preserve"> </w:t>
      </w:r>
      <w:r>
        <w:rPr>
          <w:rFonts w:ascii="Times New Roman" w:hAnsi="Times New Roman" w:eastAsia="Times New Roman" w:cs="Times New Roman"/>
          <w:spacing w:val="1"/>
        </w:rPr>
        <w:t>1200</w:t>
      </w:r>
      <w:r>
        <w:rPr>
          <w:spacing w:val="6"/>
        </w:rPr>
        <w:t>座，到</w:t>
      </w:r>
      <w:r>
        <w:rPr>
          <w:spacing w:val="-26"/>
        </w:rPr>
        <w:t xml:space="preserve"> </w:t>
      </w:r>
      <w:r>
        <w:rPr>
          <w:rFonts w:ascii="Times New Roman" w:hAnsi="Times New Roman" w:eastAsia="Times New Roman" w:cs="Times New Roman"/>
          <w:spacing w:val="6"/>
        </w:rPr>
        <w:t>2023 </w:t>
      </w:r>
      <w:r>
        <w:rPr>
          <w:spacing w:val="6"/>
        </w:rPr>
        <w:t>年累计建成</w:t>
      </w:r>
      <w:r>
        <w:rPr>
          <w:spacing w:val="-35"/>
        </w:rPr>
        <w:t xml:space="preserve"> </w:t>
      </w:r>
      <w:r>
        <w:rPr>
          <w:rFonts w:ascii="Times New Roman" w:hAnsi="Times New Roman" w:eastAsia="Times New Roman" w:cs="Times New Roman"/>
          <w:spacing w:val="6"/>
        </w:rPr>
        <w:t>5G </w:t>
      </w:r>
      <w:r>
        <w:rPr>
          <w:spacing w:val="6"/>
        </w:rPr>
        <w:t>基站</w:t>
      </w:r>
      <w:r>
        <w:rPr>
          <w:spacing w:val="-43"/>
        </w:rPr>
        <w:t xml:space="preserve"> </w:t>
      </w:r>
      <w:r>
        <w:rPr>
          <w:rFonts w:ascii="Times New Roman" w:hAnsi="Times New Roman" w:eastAsia="Times New Roman" w:cs="Times New Roman"/>
          <w:spacing w:val="6"/>
        </w:rPr>
        <w:t>2500 </w:t>
      </w:r>
      <w:r>
        <w:rPr>
          <w:spacing w:val="6"/>
        </w:rPr>
        <w:t>座，完</w:t>
      </w:r>
      <w:r>
        <w:rPr>
          <w:spacing w:val="5"/>
        </w:rPr>
        <w:t>成</w:t>
      </w:r>
      <w:r>
        <w:rPr>
          <w:spacing w:val="-21"/>
        </w:rPr>
        <w:t xml:space="preserve"> </w:t>
      </w:r>
      <w:r>
        <w:rPr>
          <w:rFonts w:ascii="Times New Roman" w:hAnsi="Times New Roman" w:eastAsia="Times New Roman" w:cs="Times New Roman"/>
          <w:spacing w:val="5"/>
        </w:rPr>
        <w:t>35 </w:t>
      </w:r>
      <w:r>
        <w:rPr>
          <w:spacing w:val="5"/>
        </w:rPr>
        <w:t>个企业内网改造建设，实现工业园区</w:t>
      </w:r>
      <w:r>
        <w:rPr>
          <w:spacing w:val="-35"/>
        </w:rPr>
        <w:t xml:space="preserve"> </w:t>
      </w:r>
      <w:r>
        <w:rPr>
          <w:rFonts w:ascii="Times New Roman" w:hAnsi="Times New Roman" w:eastAsia="Times New Roman" w:cs="Times New Roman"/>
          <w:spacing w:val="5"/>
        </w:rPr>
        <w:t>5G</w:t>
      </w:r>
      <w:r>
        <w:rPr>
          <w:spacing w:val="7"/>
        </w:rPr>
        <w:t>网络连续覆盖，</w:t>
      </w:r>
      <w:r>
        <w:rPr>
          <w:rFonts w:ascii="Times New Roman" w:hAnsi="Times New Roman" w:eastAsia="Times New Roman" w:cs="Times New Roman"/>
          <w:spacing w:val="7"/>
        </w:rPr>
        <w:t>5G </w:t>
      </w:r>
      <w:r>
        <w:rPr>
          <w:spacing w:val="7"/>
        </w:rPr>
        <w:t>示范应用场景达到</w:t>
      </w:r>
      <w:r>
        <w:rPr>
          <w:spacing w:val="-28"/>
        </w:rPr>
        <w:t xml:space="preserve"> </w:t>
      </w:r>
      <w:r>
        <w:rPr>
          <w:rFonts w:ascii="Times New Roman" w:hAnsi="Times New Roman" w:eastAsia="Times New Roman" w:cs="Times New Roman"/>
          <w:spacing w:val="7"/>
        </w:rPr>
        <w:t>5 </w:t>
      </w:r>
      <w:r>
        <w:rPr>
          <w:spacing w:val="7"/>
        </w:rPr>
        <w:t>个。</w:t>
      </w:r>
    </w:p>
    <w:p>
      <w:pPr>
        <w:pStyle w:val="BodyText"/>
        <w:ind w:left="427"/>
        <w:spacing w:before="6" w:line="279" w:lineRule="exact"/>
        <w:rPr/>
      </w:pPr>
      <w:r>
        <w:rPr>
          <w:spacing w:val="6"/>
          <w:position w:val="1"/>
        </w:rPr>
        <w:t>实施重点：</w:t>
      </w:r>
    </w:p>
    <w:p>
      <w:pPr>
        <w:pStyle w:val="BodyText"/>
        <w:ind w:left="1" w:right="78" w:firstLine="443"/>
        <w:spacing w:before="120" w:line="356" w:lineRule="auto"/>
        <w:rPr/>
      </w:pPr>
      <w:r>
        <w:rPr>
          <w:rFonts w:ascii="Times New Roman" w:hAnsi="Times New Roman" w:eastAsia="Times New Roman" w:cs="Times New Roman"/>
          <w:spacing w:val="3"/>
        </w:rPr>
        <w:t>1.  </w:t>
      </w:r>
      <w:r>
        <w:rPr>
          <w:spacing w:val="3"/>
        </w:rPr>
        <w:t>加快外网建设。建设</w:t>
      </w:r>
      <w:r>
        <w:rPr>
          <w:spacing w:val="-27"/>
        </w:rPr>
        <w:t xml:space="preserve"> </w:t>
      </w:r>
      <w:r>
        <w:rPr>
          <w:rFonts w:ascii="Times New Roman" w:hAnsi="Times New Roman" w:eastAsia="Times New Roman" w:cs="Times New Roman"/>
          <w:spacing w:val="3"/>
        </w:rPr>
        <w:t>5G</w:t>
      </w:r>
      <w:r>
        <w:rPr>
          <w:rFonts w:ascii="Times New Roman" w:hAnsi="Times New Roman" w:eastAsia="Times New Roman" w:cs="Times New Roman"/>
          <w:spacing w:val="26"/>
        </w:rPr>
        <w:t xml:space="preserve"> </w:t>
      </w:r>
      <w:r>
        <w:rPr>
          <w:spacing w:val="3"/>
        </w:rPr>
        <w:t>网络和融合应</w:t>
      </w:r>
      <w:r>
        <w:rPr>
          <w:spacing w:val="8"/>
        </w:rPr>
        <w:t>用，并面向城市管理、医疗健康、文化教育、</w:t>
      </w:r>
      <w:r>
        <w:rPr>
          <w:spacing w:val="12"/>
        </w:rPr>
        <w:t>农业、交通旅游、工业互联网等领域开展</w:t>
      </w:r>
      <w:r>
        <w:rPr>
          <w:spacing w:val="-35"/>
        </w:rPr>
        <w:t xml:space="preserve"> </w:t>
      </w:r>
      <w:r>
        <w:rPr>
          <w:rFonts w:ascii="Times New Roman" w:hAnsi="Times New Roman" w:eastAsia="Times New Roman" w:cs="Times New Roman"/>
          <w:spacing w:val="12"/>
        </w:rPr>
        <w:t>5G</w:t>
      </w:r>
      <w:r>
        <w:rPr>
          <w:spacing w:val="15"/>
        </w:rPr>
        <w:t>应用示范</w:t>
      </w:r>
      <w:r>
        <w:rPr>
          <w:spacing w:val="-38"/>
        </w:rPr>
        <w:t xml:space="preserve"> </w:t>
      </w:r>
      <w:r>
        <w:rPr>
          <w:spacing w:val="15"/>
        </w:rPr>
        <w:t>，打造一批行业创新应用标杆。到</w:t>
      </w:r>
      <w:r>
        <w:rPr>
          <w:rFonts w:ascii="Times New Roman" w:hAnsi="Times New Roman" w:eastAsia="Times New Roman" w:cs="Times New Roman"/>
          <w:spacing w:val="5"/>
        </w:rPr>
        <w:t>2023 </w:t>
      </w:r>
      <w:r>
        <w:rPr>
          <w:spacing w:val="5"/>
        </w:rPr>
        <w:t>年</w:t>
      </w:r>
      <w:r>
        <w:rPr>
          <w:spacing w:val="-35"/>
        </w:rPr>
        <w:t xml:space="preserve"> </w:t>
      </w:r>
      <w:r>
        <w:rPr>
          <w:rFonts w:ascii="Times New Roman" w:hAnsi="Times New Roman" w:eastAsia="Times New Roman" w:cs="Times New Roman"/>
          <w:spacing w:val="5"/>
        </w:rPr>
        <w:t>5G </w:t>
      </w:r>
      <w:r>
        <w:rPr>
          <w:spacing w:val="5"/>
        </w:rPr>
        <w:t>基站达到</w:t>
      </w:r>
      <w:r>
        <w:rPr>
          <w:spacing w:val="-43"/>
        </w:rPr>
        <w:t xml:space="preserve"> </w:t>
      </w:r>
      <w:r>
        <w:rPr>
          <w:rFonts w:ascii="Times New Roman" w:hAnsi="Times New Roman" w:eastAsia="Times New Roman" w:cs="Times New Roman"/>
          <w:spacing w:val="5"/>
        </w:rPr>
        <w:t>2500 </w:t>
      </w:r>
      <w:r>
        <w:rPr>
          <w:spacing w:val="5"/>
        </w:rPr>
        <w:t>座，</w:t>
      </w:r>
      <w:r>
        <w:rPr>
          <w:rFonts w:ascii="Times New Roman" w:hAnsi="Times New Roman" w:eastAsia="Times New Roman" w:cs="Times New Roman"/>
          <w:spacing w:val="5"/>
        </w:rPr>
        <w:t>5G </w:t>
      </w:r>
      <w:r>
        <w:rPr>
          <w:spacing w:val="5"/>
        </w:rPr>
        <w:t>示范应用场</w:t>
      </w:r>
      <w:r>
        <w:rPr>
          <w:spacing w:val="6"/>
        </w:rPr>
        <w:t>景达到</w:t>
      </w:r>
      <w:r>
        <w:rPr>
          <w:spacing w:val="-26"/>
        </w:rPr>
        <w:t xml:space="preserve"> </w:t>
      </w:r>
      <w:r>
        <w:rPr>
          <w:rFonts w:ascii="Times New Roman" w:hAnsi="Times New Roman" w:eastAsia="Times New Roman" w:cs="Times New Roman"/>
          <w:spacing w:val="6"/>
        </w:rPr>
        <w:t>5 </w:t>
      </w:r>
      <w:r>
        <w:rPr>
          <w:spacing w:val="6"/>
        </w:rPr>
        <w:t>个，形成一批可复制可推广的典型案</w:t>
      </w:r>
      <w:r>
        <w:rPr>
          <w:spacing w:val="8"/>
        </w:rPr>
        <w:t>例，培育</w:t>
      </w:r>
      <w:r>
        <w:rPr>
          <w:spacing w:val="-33"/>
        </w:rPr>
        <w:t xml:space="preserve"> </w:t>
      </w:r>
      <w:r>
        <w:rPr>
          <w:rFonts w:ascii="Times New Roman" w:hAnsi="Times New Roman" w:eastAsia="Times New Roman" w:cs="Times New Roman"/>
          <w:spacing w:val="8"/>
        </w:rPr>
        <w:t>8 </w:t>
      </w:r>
      <w:r>
        <w:rPr>
          <w:spacing w:val="8"/>
        </w:rPr>
        <w:t>家以上</w:t>
      </w:r>
      <w:r>
        <w:rPr>
          <w:spacing w:val="-38"/>
        </w:rPr>
        <w:t xml:space="preserve"> </w:t>
      </w:r>
      <w:r>
        <w:rPr>
          <w:rFonts w:ascii="Times New Roman" w:hAnsi="Times New Roman" w:eastAsia="Times New Roman" w:cs="Times New Roman"/>
          <w:spacing w:val="8"/>
        </w:rPr>
        <w:t>5G </w:t>
      </w:r>
      <w:r>
        <w:rPr>
          <w:spacing w:val="8"/>
        </w:rPr>
        <w:t>应用领域创新型企业或</w:t>
      </w:r>
      <w:r>
        <w:rPr>
          <w:spacing w:val="7"/>
        </w:rPr>
        <w:t>单位。（</w:t>
      </w:r>
      <w:r>
        <w:rPr>
          <w:rFonts w:ascii="KaiTi" w:hAnsi="KaiTi" w:eastAsia="KaiTi" w:cs="KaiTi"/>
          <w:spacing w:val="7"/>
        </w:rPr>
        <w:t>责任单位：市工业和信息化局、开发</w:t>
      </w:r>
      <w:r>
        <w:rPr>
          <w:rFonts w:ascii="KaiTi" w:hAnsi="KaiTi" w:eastAsia="KaiTi" w:cs="KaiTi"/>
          <w:spacing w:val="7"/>
        </w:rPr>
        <w:t>区管委会，各县〔</w:t>
      </w:r>
      <w:r>
        <w:rPr>
          <w:rFonts w:ascii="KaiTi" w:hAnsi="KaiTi" w:eastAsia="KaiTi" w:cs="KaiTi"/>
          <w:spacing w:val="-54"/>
        </w:rPr>
        <w:t xml:space="preserve"> </w:t>
      </w:r>
      <w:r>
        <w:rPr>
          <w:rFonts w:ascii="KaiTi" w:hAnsi="KaiTi" w:eastAsia="KaiTi" w:cs="KaiTi"/>
          <w:spacing w:val="7"/>
        </w:rPr>
        <w:t>区〕人民政府</w:t>
      </w:r>
      <w:r>
        <w:rPr>
          <w:spacing w:val="7"/>
        </w:rPr>
        <w:t>）</w:t>
      </w:r>
    </w:p>
    <w:p>
      <w:pPr>
        <w:pStyle w:val="BodyText"/>
        <w:ind w:right="98" w:firstLine="424"/>
        <w:spacing w:before="131" w:line="346" w:lineRule="auto"/>
        <w:rPr/>
      </w:pPr>
      <w:r>
        <w:rPr>
          <w:rFonts w:ascii="Times New Roman" w:hAnsi="Times New Roman" w:eastAsia="Times New Roman" w:cs="Times New Roman"/>
          <w:spacing w:val="3"/>
        </w:rPr>
        <w:t>2.  </w:t>
      </w:r>
      <w:r>
        <w:rPr>
          <w:spacing w:val="3"/>
        </w:rPr>
        <w:t>认真落实国家网络提速降费政策，支持</w:t>
      </w:r>
      <w:r>
        <w:rPr>
          <w:spacing w:val="6"/>
        </w:rPr>
        <w:t>鼓励企业加快网络建设，推进企业内部网络</w:t>
      </w:r>
      <w:r>
        <w:rPr>
          <w:spacing w:val="-40"/>
        </w:rPr>
        <w:t xml:space="preserve"> </w:t>
      </w:r>
      <w:r>
        <w:rPr>
          <w:rFonts w:ascii="Times New Roman" w:hAnsi="Times New Roman" w:eastAsia="Times New Roman" w:cs="Times New Roman"/>
        </w:rPr>
        <w:t>IP</w:t>
      </w:r>
      <w:r>
        <w:rPr>
          <w:spacing w:val="7"/>
        </w:rPr>
        <w:t>化、无线化、扁平化、柔性化改造。（</w:t>
      </w:r>
      <w:r>
        <w:rPr>
          <w:rFonts w:ascii="KaiTi" w:hAnsi="KaiTi" w:eastAsia="KaiTi" w:cs="KaiTi"/>
          <w:spacing w:val="7"/>
        </w:rPr>
        <w:t>责任单</w:t>
      </w:r>
      <w:r>
        <w:rPr>
          <w:rFonts w:ascii="KaiTi" w:hAnsi="KaiTi" w:eastAsia="KaiTi" w:cs="KaiTi"/>
          <w:spacing w:val="7"/>
        </w:rPr>
        <w:t>位：市工业和信息化局、开发区管委会，各县</w:t>
      </w:r>
      <w:r>
        <w:rPr>
          <w:rFonts w:ascii="KaiTi" w:hAnsi="KaiTi" w:eastAsia="KaiTi" w:cs="KaiTi"/>
          <w:spacing w:val="4"/>
        </w:rPr>
        <w:t>〔</w:t>
      </w:r>
      <w:r>
        <w:rPr>
          <w:rFonts w:ascii="KaiTi" w:hAnsi="KaiTi" w:eastAsia="KaiTi" w:cs="KaiTi"/>
          <w:spacing w:val="-51"/>
        </w:rPr>
        <w:t xml:space="preserve"> </w:t>
      </w:r>
      <w:r>
        <w:rPr>
          <w:rFonts w:ascii="KaiTi" w:hAnsi="KaiTi" w:eastAsia="KaiTi" w:cs="KaiTi"/>
          <w:spacing w:val="4"/>
        </w:rPr>
        <w:t>区〕人民政府</w:t>
      </w:r>
      <w:r>
        <w:rPr>
          <w:spacing w:val="4"/>
        </w:rPr>
        <w:t>）</w:t>
      </w:r>
    </w:p>
    <w:p>
      <w:pPr>
        <w:ind w:left="415"/>
        <w:spacing w:before="125" w:line="241" w:lineRule="auto"/>
        <w:rPr>
          <w:rFonts w:ascii="KaiTi" w:hAnsi="KaiTi" w:eastAsia="KaiTi" w:cs="KaiTi"/>
          <w:sz w:val="20"/>
          <w:szCs w:val="20"/>
        </w:rPr>
      </w:pPr>
      <w:r>
        <w:rPr>
          <w:rFonts w:ascii="KaiTi" w:hAnsi="KaiTi" w:eastAsia="KaiTi" w:cs="KaiTi"/>
          <w:sz w:val="20"/>
          <w:szCs w:val="20"/>
          <w:b/>
          <w:bCs/>
          <w:spacing w:val="3"/>
        </w:rPr>
        <w:t>（</w:t>
      </w:r>
      <w:r>
        <w:rPr>
          <w:rFonts w:ascii="KaiTi" w:hAnsi="KaiTi" w:eastAsia="KaiTi" w:cs="KaiTi"/>
          <w:sz w:val="20"/>
          <w:szCs w:val="20"/>
          <w:spacing w:val="-52"/>
        </w:rPr>
        <w:t xml:space="preserve"> </w:t>
      </w:r>
      <w:r>
        <w:rPr>
          <w:rFonts w:ascii="KaiTi" w:hAnsi="KaiTi" w:eastAsia="KaiTi" w:cs="KaiTi"/>
          <w:sz w:val="20"/>
          <w:szCs w:val="20"/>
          <w:b/>
          <w:bCs/>
          <w:spacing w:val="3"/>
        </w:rPr>
        <w:t>二）企业智能改造。</w:t>
      </w:r>
    </w:p>
    <w:p>
      <w:pPr>
        <w:pStyle w:val="BodyText"/>
        <w:ind w:left="434"/>
        <w:spacing w:before="137" w:line="278" w:lineRule="exact"/>
        <w:rPr/>
      </w:pPr>
      <w:r>
        <w:rPr>
          <w:spacing w:val="18"/>
          <w:position w:val="1"/>
        </w:rPr>
        <w:t>时间节点：推动企业规模化应用智能设</w:t>
      </w:r>
    </w:p>
    <w:p>
      <w:pPr>
        <w:pStyle w:val="BodyText"/>
        <w:ind w:left="8" w:right="98" w:hanging="4"/>
        <w:spacing w:before="125" w:line="368" w:lineRule="auto"/>
        <w:rPr/>
      </w:pPr>
      <w:r>
        <w:rPr>
          <w:spacing w:val="6"/>
        </w:rPr>
        <w:t>备，完成</w:t>
      </w:r>
      <w:r>
        <w:rPr>
          <w:spacing w:val="-29"/>
        </w:rPr>
        <w:t xml:space="preserve"> </w:t>
      </w:r>
      <w:r>
        <w:rPr>
          <w:rFonts w:ascii="Times New Roman" w:hAnsi="Times New Roman" w:eastAsia="Times New Roman" w:cs="Times New Roman"/>
          <w:spacing w:val="6"/>
        </w:rPr>
        <w:t>5 </w:t>
      </w:r>
      <w:r>
        <w:rPr>
          <w:spacing w:val="6"/>
        </w:rPr>
        <w:t>家企业规模化应用智能设备，建成</w:t>
      </w:r>
      <w:r>
        <w:rPr>
          <w:rFonts w:ascii="Times New Roman" w:hAnsi="Times New Roman" w:eastAsia="Times New Roman" w:cs="Times New Roman"/>
          <w:spacing w:val="7"/>
        </w:rPr>
        <w:t>3 </w:t>
      </w:r>
      <w:r>
        <w:rPr>
          <w:spacing w:val="7"/>
        </w:rPr>
        <w:t>家智能工厂、</w:t>
      </w:r>
      <w:r>
        <w:rPr>
          <w:rFonts w:ascii="Times New Roman" w:hAnsi="Times New Roman" w:eastAsia="Times New Roman" w:cs="Times New Roman"/>
          <w:spacing w:val="7"/>
        </w:rPr>
        <w:t>9 </w:t>
      </w:r>
      <w:r>
        <w:rPr>
          <w:spacing w:val="7"/>
        </w:rPr>
        <w:t>个数字化车间。</w:t>
      </w:r>
    </w:p>
    <w:p>
      <w:pPr>
        <w:pStyle w:val="BodyText"/>
        <w:ind w:left="427"/>
        <w:spacing w:line="278" w:lineRule="exact"/>
        <w:rPr/>
      </w:pPr>
      <w:r>
        <w:rPr>
          <w:spacing w:val="6"/>
          <w:position w:val="1"/>
        </w:rPr>
        <w:t>实施重点：</w:t>
      </w:r>
    </w:p>
    <w:p>
      <w:pPr>
        <w:pStyle w:val="BodyText"/>
        <w:ind w:left="444"/>
        <w:spacing w:before="165" w:line="187" w:lineRule="auto"/>
        <w:rPr/>
      </w:pPr>
      <w:r>
        <w:rPr>
          <w:rFonts w:ascii="Times New Roman" w:hAnsi="Times New Roman" w:eastAsia="Times New Roman" w:cs="Times New Roman"/>
          <w:spacing w:val="12"/>
        </w:rPr>
        <w:t>1.  </w:t>
      </w:r>
      <w:r>
        <w:rPr>
          <w:spacing w:val="12"/>
        </w:rPr>
        <w:t>推进数字化车间、智能工厂建设或改</w:t>
      </w:r>
    </w:p>
    <w:p>
      <w:pPr>
        <w:spacing w:line="187" w:lineRule="auto"/>
        <w:sectPr>
          <w:type w:val="continuous"/>
          <w:pgSz w:w="11906" w:h="16839"/>
          <w:pgMar w:top="1728" w:right="1489" w:bottom="1570" w:left="1499" w:header="1357" w:footer="1172" w:gutter="0"/>
          <w:cols w:equalWidth="0" w:num="2">
            <w:col w:w="4567" w:space="100"/>
            <w:col w:w="4252" w:space="0"/>
          </w:cols>
        </w:sectPr>
        <w:rPr/>
      </w:pPr>
    </w:p>
    <w:p>
      <w:pPr>
        <w:spacing w:before="118"/>
        <w:rPr/>
      </w:pPr>
      <w:r>
        <w:drawing>
          <wp:anchor distT="0" distB="0" distL="0" distR="0" simplePos="0" relativeHeight="252035072"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054" name="IM 1054"/>
            <wp:cNvGraphicFramePr/>
            <a:graphic>
              <a:graphicData uri="http://schemas.openxmlformats.org/drawingml/2006/picture">
                <pic:pic>
                  <pic:nvPicPr>
                    <pic:cNvPr id="1054" name="IM 1054"/>
                    <pic:cNvPicPr/>
                  </pic:nvPicPr>
                  <pic:blipFill>
                    <a:blip r:embed="rId529"/>
                    <a:stretch>
                      <a:fillRect/>
                    </a:stretch>
                  </pic:blipFill>
                  <pic:spPr>
                    <a:xfrm rot="0">
                      <a:off x="0" y="0"/>
                      <a:ext cx="5579745" cy="7620"/>
                    </a:xfrm>
                    <a:prstGeom prst="rect">
                      <a:avLst/>
                    </a:prstGeom>
                  </pic:spPr>
                </pic:pic>
              </a:graphicData>
            </a:graphic>
          </wp:anchor>
        </w:drawing>
      </w:r>
      <w:r/>
    </w:p>
    <w:p>
      <w:pPr>
        <w:sectPr>
          <w:headerReference w:type="default" r:id="rId527"/>
          <w:footerReference w:type="default" r:id="rId528"/>
          <w:pgSz w:w="11906" w:h="16839"/>
          <w:pgMar w:top="1766" w:right="1442" w:bottom="1563" w:left="1579" w:header="1428" w:footer="1172" w:gutter="0"/>
          <w:cols w:equalWidth="0" w:num="1">
            <w:col w:w="8884" w:space="0"/>
          </w:cols>
        </w:sectPr>
        <w:rPr/>
      </w:pPr>
    </w:p>
    <w:p>
      <w:pPr>
        <w:pStyle w:val="BodyText"/>
        <w:ind w:left="13" w:right="263"/>
        <w:spacing w:before="42" w:line="415" w:lineRule="auto"/>
        <w:jc w:val="both"/>
        <w:rPr/>
      </w:pPr>
      <w:r>
        <w:rPr/>
        <w:t>造。积极创建自治区级数字化车间、智能工厂，</w:t>
      </w:r>
      <w:r>
        <w:rPr>
          <w:spacing w:val="7"/>
        </w:rPr>
        <w:t>聚集创新驱动，品牌引领，绿色发展方向，着</w:t>
      </w:r>
      <w:r>
        <w:rPr>
          <w:spacing w:val="7"/>
        </w:rPr>
        <w:t>力提升高端纺织、新材料装备的数字化、智能</w:t>
      </w:r>
      <w:r>
        <w:rPr>
          <w:spacing w:val="7"/>
        </w:rPr>
        <w:t>化、自主化技术水平，促进企业生产计划、加</w:t>
      </w:r>
      <w:r>
        <w:rPr>
          <w:spacing w:val="7"/>
        </w:rPr>
        <w:t>工装配、检验、检测等各生产环节的智能协作</w:t>
      </w:r>
      <w:r>
        <w:rPr>
          <w:spacing w:val="7"/>
        </w:rPr>
        <w:t>与联动。（</w:t>
      </w:r>
      <w:r>
        <w:rPr>
          <w:rFonts w:ascii="KaiTi" w:hAnsi="KaiTi" w:eastAsia="KaiTi" w:cs="KaiTi"/>
          <w:spacing w:val="7"/>
        </w:rPr>
        <w:t>责任单位：市工业和信息化局、开</w:t>
      </w:r>
      <w:r>
        <w:rPr>
          <w:rFonts w:ascii="KaiTi" w:hAnsi="KaiTi" w:eastAsia="KaiTi" w:cs="KaiTi"/>
          <w:spacing w:val="7"/>
        </w:rPr>
        <w:t>发区管委会，各县〔</w:t>
      </w:r>
      <w:r>
        <w:rPr>
          <w:rFonts w:ascii="KaiTi" w:hAnsi="KaiTi" w:eastAsia="KaiTi" w:cs="KaiTi"/>
          <w:spacing w:val="-55"/>
        </w:rPr>
        <w:t xml:space="preserve"> </w:t>
      </w:r>
      <w:r>
        <w:rPr>
          <w:rFonts w:ascii="KaiTi" w:hAnsi="KaiTi" w:eastAsia="KaiTi" w:cs="KaiTi"/>
          <w:spacing w:val="7"/>
        </w:rPr>
        <w:t>区〕人民政府</w:t>
      </w:r>
      <w:r>
        <w:rPr>
          <w:spacing w:val="7"/>
        </w:rPr>
        <w:t>）</w:t>
      </w:r>
    </w:p>
    <w:p>
      <w:pPr>
        <w:pStyle w:val="BodyText"/>
        <w:ind w:left="12" w:right="221" w:firstLine="421"/>
        <w:spacing w:before="1" w:line="415" w:lineRule="auto"/>
        <w:rPr/>
      </w:pPr>
      <w:r>
        <w:rPr>
          <w:rFonts w:ascii="Times New Roman" w:hAnsi="Times New Roman" w:eastAsia="Times New Roman" w:cs="Times New Roman"/>
          <w:spacing w:val="3"/>
        </w:rPr>
        <w:t>2.  </w:t>
      </w:r>
      <w:r>
        <w:rPr>
          <w:spacing w:val="3"/>
        </w:rPr>
        <w:t>开展机器人示范项目建设。围绕新型建</w:t>
      </w:r>
      <w:r>
        <w:rPr>
          <w:spacing w:val="1"/>
        </w:rPr>
        <w:t>材、化工、食品等重点行业，推进</w:t>
      </w:r>
      <w:r>
        <w:rPr>
          <w:rFonts w:ascii="Times New Roman" w:hAnsi="Times New Roman" w:eastAsia="Times New Roman" w:cs="Times New Roman"/>
          <w:spacing w:val="1"/>
        </w:rPr>
        <w:t>“</w:t>
      </w:r>
      <w:r>
        <w:rPr>
          <w:spacing w:val="1"/>
        </w:rPr>
        <w:t>机器换人</w:t>
      </w:r>
      <w:r>
        <w:rPr>
          <w:rFonts w:ascii="Times New Roman" w:hAnsi="Times New Roman" w:eastAsia="Times New Roman" w:cs="Times New Roman"/>
          <w:spacing w:val="1"/>
        </w:rPr>
        <w:t>” </w:t>
      </w:r>
      <w:r>
        <w:rPr>
          <w:spacing w:val="1"/>
        </w:rPr>
        <w:t>，</w:t>
      </w:r>
      <w:r>
        <w:rPr>
          <w:spacing w:val="5"/>
        </w:rPr>
        <w:t>提高企业产品质量和生产效率。（</w:t>
      </w:r>
      <w:r>
        <w:rPr>
          <w:rFonts w:ascii="KaiTi" w:hAnsi="KaiTi" w:eastAsia="KaiTi" w:cs="KaiTi"/>
          <w:spacing w:val="5"/>
        </w:rPr>
        <w:t>责任单位：</w:t>
      </w:r>
      <w:r>
        <w:rPr>
          <w:rFonts w:ascii="KaiTi" w:hAnsi="KaiTi" w:eastAsia="KaiTi" w:cs="KaiTi"/>
        </w:rPr>
        <w:t>市工业和信息化局、开发区管委会，各县〔</w:t>
      </w:r>
      <w:r>
        <w:rPr>
          <w:rFonts w:ascii="KaiTi" w:hAnsi="KaiTi" w:eastAsia="KaiTi" w:cs="KaiTi"/>
          <w:spacing w:val="-49"/>
        </w:rPr>
        <w:t xml:space="preserve"> </w:t>
      </w:r>
      <w:r>
        <w:rPr>
          <w:rFonts w:ascii="KaiTi" w:hAnsi="KaiTi" w:eastAsia="KaiTi" w:cs="KaiTi"/>
        </w:rPr>
        <w:t>区〕</w:t>
      </w:r>
      <w:r>
        <w:rPr>
          <w:rFonts w:ascii="KaiTi" w:hAnsi="KaiTi" w:eastAsia="KaiTi" w:cs="KaiTi"/>
          <w:spacing w:val="10"/>
        </w:rPr>
        <w:t>人民政府</w:t>
      </w:r>
      <w:r>
        <w:rPr>
          <w:spacing w:val="10"/>
        </w:rPr>
        <w:t>）</w:t>
      </w:r>
    </w:p>
    <w:p>
      <w:pPr>
        <w:ind w:left="424"/>
        <w:spacing w:line="266" w:lineRule="exact"/>
        <w:rPr>
          <w:rFonts w:ascii="KaiTi" w:hAnsi="KaiTi" w:eastAsia="KaiTi" w:cs="KaiTi"/>
          <w:sz w:val="20"/>
          <w:szCs w:val="20"/>
        </w:rPr>
      </w:pPr>
      <w:r>
        <w:rPr>
          <w:rFonts w:ascii="KaiTi" w:hAnsi="KaiTi" w:eastAsia="KaiTi" w:cs="KaiTi"/>
          <w:sz w:val="20"/>
          <w:szCs w:val="20"/>
          <w:b/>
          <w:bCs/>
          <w:spacing w:val="3"/>
          <w:position w:val="1"/>
        </w:rPr>
        <w:t>（</w:t>
      </w:r>
      <w:r>
        <w:rPr>
          <w:rFonts w:ascii="KaiTi" w:hAnsi="KaiTi" w:eastAsia="KaiTi" w:cs="KaiTi"/>
          <w:sz w:val="20"/>
          <w:szCs w:val="20"/>
          <w:spacing w:val="-46"/>
          <w:position w:val="1"/>
        </w:rPr>
        <w:t xml:space="preserve"> </w:t>
      </w:r>
      <w:r>
        <w:rPr>
          <w:rFonts w:ascii="KaiTi" w:hAnsi="KaiTi" w:eastAsia="KaiTi" w:cs="KaiTi"/>
          <w:sz w:val="20"/>
          <w:szCs w:val="20"/>
          <w:b/>
          <w:bCs/>
          <w:spacing w:val="3"/>
          <w:position w:val="1"/>
        </w:rPr>
        <w:t>三）工业互联网应用。</w:t>
      </w:r>
    </w:p>
    <w:p>
      <w:pPr>
        <w:pStyle w:val="BodyText"/>
        <w:ind w:left="14" w:right="325" w:firstLine="429"/>
        <w:spacing w:before="182" w:line="395" w:lineRule="auto"/>
        <w:rPr/>
      </w:pPr>
      <w:r>
        <w:rPr>
          <w:spacing w:val="4"/>
        </w:rPr>
        <w:t>时间节点：每年推动建设</w:t>
      </w:r>
      <w:r>
        <w:rPr>
          <w:spacing w:val="-10"/>
        </w:rPr>
        <w:t xml:space="preserve"> </w:t>
      </w:r>
      <w:r>
        <w:rPr>
          <w:rFonts w:ascii="Times New Roman" w:hAnsi="Times New Roman" w:eastAsia="Times New Roman" w:cs="Times New Roman"/>
          <w:spacing w:val="4"/>
        </w:rPr>
        <w:t>1 </w:t>
      </w:r>
      <w:r>
        <w:rPr>
          <w:spacing w:val="4"/>
        </w:rPr>
        <w:t>个以上企业级</w:t>
      </w:r>
      <w:r>
        <w:rPr>
          <w:spacing w:val="8"/>
        </w:rPr>
        <w:t>工业互联网平台。</w:t>
      </w:r>
    </w:p>
    <w:p>
      <w:pPr>
        <w:pStyle w:val="BodyText"/>
        <w:ind w:left="13" w:right="321" w:firstLine="423"/>
        <w:spacing w:before="42" w:line="416" w:lineRule="auto"/>
        <w:jc w:val="both"/>
        <w:rPr/>
      </w:pPr>
      <w:r>
        <w:rPr>
          <w:spacing w:val="7"/>
        </w:rPr>
        <w:t>实施重点：争取自治区信息化专项资金，</w:t>
      </w:r>
      <w:r>
        <w:rPr>
          <w:spacing w:val="7"/>
        </w:rPr>
        <w:t>支持重点企业与第三方合作，建设符合企业发</w:t>
      </w:r>
      <w:r>
        <w:rPr>
          <w:spacing w:val="-3"/>
        </w:rPr>
        <w:t>展需求，解决企业实际问题的企业级平台。（</w:t>
      </w:r>
      <w:r>
        <w:rPr>
          <w:rFonts w:ascii="KaiTi" w:hAnsi="KaiTi" w:eastAsia="KaiTi" w:cs="KaiTi"/>
          <w:spacing w:val="-3"/>
        </w:rPr>
        <w:t>责</w:t>
      </w:r>
      <w:r>
        <w:rPr>
          <w:rFonts w:ascii="KaiTi" w:hAnsi="KaiTi" w:eastAsia="KaiTi" w:cs="KaiTi"/>
          <w:spacing w:val="7"/>
        </w:rPr>
        <w:t>任单位：市工业和信息化局、科技局、开发区</w:t>
      </w:r>
      <w:r>
        <w:rPr>
          <w:rFonts w:ascii="KaiTi" w:hAnsi="KaiTi" w:eastAsia="KaiTi" w:cs="KaiTi"/>
          <w:spacing w:val="6"/>
        </w:rPr>
        <w:t>管委会，各县〔</w:t>
      </w:r>
      <w:r>
        <w:rPr>
          <w:rFonts w:ascii="KaiTi" w:hAnsi="KaiTi" w:eastAsia="KaiTi" w:cs="KaiTi"/>
          <w:spacing w:val="-47"/>
        </w:rPr>
        <w:t xml:space="preserve"> </w:t>
      </w:r>
      <w:r>
        <w:rPr>
          <w:rFonts w:ascii="KaiTi" w:hAnsi="KaiTi" w:eastAsia="KaiTi" w:cs="KaiTi"/>
          <w:spacing w:val="6"/>
        </w:rPr>
        <w:t>区〕人民政府</w:t>
      </w:r>
      <w:r>
        <w:rPr>
          <w:spacing w:val="6"/>
        </w:rPr>
        <w:t>）</w:t>
      </w:r>
    </w:p>
    <w:p>
      <w:pPr>
        <w:ind w:left="424"/>
        <w:spacing w:line="241" w:lineRule="auto"/>
        <w:rPr>
          <w:rFonts w:ascii="KaiTi" w:hAnsi="KaiTi" w:eastAsia="KaiTi" w:cs="KaiTi"/>
          <w:sz w:val="20"/>
          <w:szCs w:val="20"/>
        </w:rPr>
      </w:pPr>
      <w:r>
        <w:rPr>
          <w:rFonts w:ascii="KaiTi" w:hAnsi="KaiTi" w:eastAsia="KaiTi" w:cs="KaiTi"/>
          <w:sz w:val="20"/>
          <w:szCs w:val="20"/>
          <w:b/>
          <w:bCs/>
          <w:spacing w:val="3"/>
        </w:rPr>
        <w:t>（</w:t>
      </w:r>
      <w:r>
        <w:rPr>
          <w:rFonts w:ascii="KaiTi" w:hAnsi="KaiTi" w:eastAsia="KaiTi" w:cs="KaiTi"/>
          <w:sz w:val="20"/>
          <w:szCs w:val="20"/>
          <w:spacing w:val="-46"/>
        </w:rPr>
        <w:t xml:space="preserve"> </w:t>
      </w:r>
      <w:r>
        <w:rPr>
          <w:rFonts w:ascii="KaiTi" w:hAnsi="KaiTi" w:eastAsia="KaiTi" w:cs="KaiTi"/>
          <w:sz w:val="20"/>
          <w:szCs w:val="20"/>
          <w:b/>
          <w:bCs/>
          <w:spacing w:val="3"/>
        </w:rPr>
        <w:t>四）企业上云上平台。</w:t>
      </w:r>
    </w:p>
    <w:p>
      <w:pPr>
        <w:pStyle w:val="BodyText"/>
        <w:ind w:left="11" w:right="323" w:firstLine="432"/>
        <w:spacing w:before="189" w:line="415" w:lineRule="auto"/>
        <w:jc w:val="both"/>
        <w:rPr/>
      </w:pPr>
      <w:r>
        <w:rPr>
          <w:spacing w:val="7"/>
        </w:rPr>
        <w:t>时间节点：</w:t>
      </w:r>
      <w:r>
        <w:rPr>
          <w:rFonts w:ascii="Times New Roman" w:hAnsi="Times New Roman" w:eastAsia="Times New Roman" w:cs="Times New Roman"/>
          <w:spacing w:val="7"/>
        </w:rPr>
        <w:t>2021 </w:t>
      </w:r>
      <w:r>
        <w:rPr>
          <w:spacing w:val="7"/>
        </w:rPr>
        <w:t>年，推动</w:t>
      </w:r>
      <w:r>
        <w:rPr>
          <w:spacing w:val="-38"/>
        </w:rPr>
        <w:t xml:space="preserve"> </w:t>
      </w:r>
      <w:r>
        <w:rPr>
          <w:rFonts w:ascii="Times New Roman" w:hAnsi="Times New Roman" w:eastAsia="Times New Roman" w:cs="Times New Roman"/>
          <w:spacing w:val="7"/>
        </w:rPr>
        <w:t>53 </w:t>
      </w:r>
      <w:r>
        <w:rPr>
          <w:spacing w:val="7"/>
        </w:rPr>
        <w:t>家工业企业</w:t>
      </w:r>
      <w:r>
        <w:rPr>
          <w:spacing w:val="6"/>
        </w:rPr>
        <w:t>上云上平台</w:t>
      </w:r>
      <w:r>
        <w:rPr>
          <w:spacing w:val="-55"/>
        </w:rPr>
        <w:t xml:space="preserve"> </w:t>
      </w:r>
      <w:r>
        <w:rPr>
          <w:spacing w:val="6"/>
        </w:rPr>
        <w:t>，引进</w:t>
      </w:r>
      <w:r>
        <w:rPr>
          <w:spacing w:val="-32"/>
        </w:rPr>
        <w:t xml:space="preserve"> </w:t>
      </w:r>
      <w:r>
        <w:rPr>
          <w:rFonts w:ascii="Times New Roman" w:hAnsi="Times New Roman" w:eastAsia="Times New Roman" w:cs="Times New Roman"/>
          <w:spacing w:val="6"/>
        </w:rPr>
        <w:t>5 </w:t>
      </w:r>
      <w:r>
        <w:rPr>
          <w:spacing w:val="6"/>
        </w:rPr>
        <w:t>个工业</w:t>
      </w:r>
      <w:r>
        <w:rPr>
          <w:spacing w:val="-41"/>
        </w:rPr>
        <w:t xml:space="preserve"> </w:t>
      </w:r>
      <w:r>
        <w:rPr>
          <w:rFonts w:ascii="Times New Roman" w:hAnsi="Times New Roman" w:eastAsia="Times New Roman" w:cs="Times New Roman"/>
        </w:rPr>
        <w:t>APP</w:t>
      </w:r>
      <w:r>
        <w:rPr>
          <w:rFonts w:ascii="Times New Roman" w:hAnsi="Times New Roman" w:eastAsia="Times New Roman" w:cs="Times New Roman"/>
          <w:spacing w:val="-17"/>
        </w:rPr>
        <w:t xml:space="preserve"> </w:t>
      </w:r>
      <w:r>
        <w:rPr>
          <w:spacing w:val="6"/>
        </w:rPr>
        <w:t>。</w:t>
      </w:r>
      <w:r>
        <w:rPr>
          <w:rFonts w:ascii="Times New Roman" w:hAnsi="Times New Roman" w:eastAsia="Times New Roman" w:cs="Times New Roman"/>
          <w:spacing w:val="6"/>
        </w:rPr>
        <w:t>2022</w:t>
      </w:r>
      <w:r>
        <w:rPr>
          <w:rFonts w:ascii="Times New Roman" w:hAnsi="Times New Roman" w:eastAsia="Times New Roman" w:cs="Times New Roman"/>
          <w:spacing w:val="15"/>
        </w:rPr>
        <w:t xml:space="preserve"> </w:t>
      </w:r>
      <w:r>
        <w:rPr>
          <w:spacing w:val="6"/>
        </w:rPr>
        <w:t>年</w:t>
      </w:r>
      <w:r>
        <w:rPr>
          <w:spacing w:val="-56"/>
        </w:rPr>
        <w:t xml:space="preserve"> </w:t>
      </w:r>
      <w:r>
        <w:rPr>
          <w:spacing w:val="6"/>
        </w:rPr>
        <w:t>，</w:t>
      </w:r>
      <w:r>
        <w:rPr>
          <w:spacing w:val="5"/>
        </w:rPr>
        <w:t>推动</w:t>
      </w:r>
      <w:r>
        <w:rPr>
          <w:spacing w:val="-25"/>
        </w:rPr>
        <w:t xml:space="preserve"> </w:t>
      </w:r>
      <w:r>
        <w:rPr>
          <w:rFonts w:ascii="Times New Roman" w:hAnsi="Times New Roman" w:eastAsia="Times New Roman" w:cs="Times New Roman"/>
          <w:spacing w:val="5"/>
        </w:rPr>
        <w:t>100 </w:t>
      </w:r>
      <w:r>
        <w:rPr>
          <w:spacing w:val="5"/>
        </w:rPr>
        <w:t>家工业企业上云上平台，引进</w:t>
      </w:r>
      <w:r>
        <w:rPr>
          <w:spacing w:val="-38"/>
        </w:rPr>
        <w:t xml:space="preserve"> </w:t>
      </w:r>
      <w:r>
        <w:rPr>
          <w:rFonts w:ascii="Times New Roman" w:hAnsi="Times New Roman" w:eastAsia="Times New Roman" w:cs="Times New Roman"/>
          <w:spacing w:val="4"/>
        </w:rPr>
        <w:t>5 </w:t>
      </w:r>
      <w:r>
        <w:rPr>
          <w:spacing w:val="4"/>
        </w:rPr>
        <w:t>个工</w:t>
      </w:r>
      <w:r>
        <w:rPr>
          <w:spacing w:val="7"/>
        </w:rPr>
        <w:t>业</w:t>
      </w:r>
      <w:r>
        <w:rPr>
          <w:spacing w:val="-38"/>
        </w:rPr>
        <w:t xml:space="preserve"> </w:t>
      </w:r>
      <w:r>
        <w:rPr>
          <w:rFonts w:ascii="Times New Roman" w:hAnsi="Times New Roman" w:eastAsia="Times New Roman" w:cs="Times New Roman"/>
        </w:rPr>
        <w:t>APP</w:t>
      </w:r>
      <w:r>
        <w:rPr>
          <w:rFonts w:ascii="Times New Roman" w:hAnsi="Times New Roman" w:eastAsia="Times New Roman" w:cs="Times New Roman"/>
          <w:spacing w:val="-14"/>
        </w:rPr>
        <w:t xml:space="preserve"> </w:t>
      </w:r>
      <w:r>
        <w:rPr>
          <w:spacing w:val="7"/>
        </w:rPr>
        <w:t>。</w:t>
      </w:r>
      <w:r>
        <w:rPr>
          <w:rFonts w:ascii="Times New Roman" w:hAnsi="Times New Roman" w:eastAsia="Times New Roman" w:cs="Times New Roman"/>
          <w:spacing w:val="7"/>
        </w:rPr>
        <w:t>2023</w:t>
      </w:r>
      <w:r>
        <w:rPr>
          <w:rFonts w:ascii="Times New Roman" w:hAnsi="Times New Roman" w:eastAsia="Times New Roman" w:cs="Times New Roman"/>
          <w:spacing w:val="15"/>
          <w:w w:val="101"/>
        </w:rPr>
        <w:t xml:space="preserve"> </w:t>
      </w:r>
      <w:r>
        <w:rPr>
          <w:spacing w:val="7"/>
        </w:rPr>
        <w:t>年</w:t>
      </w:r>
      <w:r>
        <w:rPr>
          <w:spacing w:val="-57"/>
        </w:rPr>
        <w:t xml:space="preserve"> </w:t>
      </w:r>
      <w:r>
        <w:rPr>
          <w:spacing w:val="7"/>
        </w:rPr>
        <w:t>，推动</w:t>
      </w:r>
      <w:r>
        <w:rPr>
          <w:spacing w:val="-29"/>
        </w:rPr>
        <w:t xml:space="preserve"> </w:t>
      </w:r>
      <w:r>
        <w:rPr>
          <w:rFonts w:ascii="Times New Roman" w:hAnsi="Times New Roman" w:eastAsia="Times New Roman" w:cs="Times New Roman"/>
          <w:spacing w:val="7"/>
        </w:rPr>
        <w:t>300</w:t>
      </w:r>
      <w:r>
        <w:rPr>
          <w:rFonts w:ascii="Times New Roman" w:hAnsi="Times New Roman" w:eastAsia="Times New Roman" w:cs="Times New Roman"/>
          <w:spacing w:val="16"/>
          <w:w w:val="101"/>
        </w:rPr>
        <w:t xml:space="preserve"> </w:t>
      </w:r>
      <w:r>
        <w:rPr>
          <w:spacing w:val="7"/>
        </w:rPr>
        <w:t>家工业企业上云</w:t>
      </w:r>
      <w:r>
        <w:rPr>
          <w:spacing w:val="6"/>
        </w:rPr>
        <w:t>上平台，引进</w:t>
      </w:r>
      <w:r>
        <w:rPr>
          <w:spacing w:val="-15"/>
        </w:rPr>
        <w:t xml:space="preserve"> </w:t>
      </w:r>
      <w:r>
        <w:rPr>
          <w:rFonts w:ascii="Times New Roman" w:hAnsi="Times New Roman" w:eastAsia="Times New Roman" w:cs="Times New Roman"/>
          <w:spacing w:val="6"/>
        </w:rPr>
        <w:t>10 </w:t>
      </w:r>
      <w:r>
        <w:rPr>
          <w:spacing w:val="6"/>
        </w:rPr>
        <w:t>个工业</w:t>
      </w:r>
      <w:r>
        <w:rPr>
          <w:spacing w:val="-45"/>
        </w:rPr>
        <w:t xml:space="preserve"> </w:t>
      </w:r>
      <w:r>
        <w:rPr>
          <w:rFonts w:ascii="Times New Roman" w:hAnsi="Times New Roman" w:eastAsia="Times New Roman" w:cs="Times New Roman"/>
        </w:rPr>
        <w:t>APP</w:t>
      </w:r>
      <w:r>
        <w:rPr>
          <w:spacing w:val="6"/>
        </w:rPr>
        <w:t>。</w:t>
      </w:r>
    </w:p>
    <w:p>
      <w:pPr>
        <w:pStyle w:val="BodyText"/>
        <w:ind w:left="14" w:right="321" w:firstLine="421"/>
        <w:spacing w:line="351" w:lineRule="auto"/>
        <w:jc w:val="both"/>
        <w:rPr/>
      </w:pPr>
      <w:r>
        <w:rPr>
          <w:spacing w:val="6"/>
        </w:rPr>
        <w:t>实施重点：推动企业上云上平台。紧紧依</w:t>
      </w:r>
      <w:r>
        <w:rPr>
          <w:spacing w:val="7"/>
        </w:rPr>
        <w:t>托自治区现有的数据资源和云服务平台资源，</w:t>
      </w:r>
      <w:r>
        <w:rPr>
          <w:spacing w:val="7"/>
        </w:rPr>
        <w:t>以自治区云补贴券形式，支持中小微企业使用</w:t>
      </w:r>
    </w:p>
    <w:p>
      <w:pPr>
        <w:spacing w:line="14" w:lineRule="auto"/>
        <w:rPr>
          <w:rFonts w:ascii="Arial"/>
          <w:sz w:val="2"/>
        </w:rPr>
      </w:pPr>
      <w:r>
        <w:rPr>
          <w:rFonts w:ascii="Arial" w:hAnsi="Arial" w:eastAsia="Arial" w:cs="Arial"/>
          <w:sz w:val="2"/>
          <w:szCs w:val="2"/>
        </w:rPr>
        <w:br w:type="column"/>
      </w:r>
    </w:p>
    <w:p>
      <w:pPr>
        <w:pStyle w:val="BodyText"/>
        <w:ind w:right="99" w:firstLine="1"/>
        <w:spacing w:before="40" w:line="415" w:lineRule="auto"/>
        <w:jc w:val="both"/>
        <w:rPr/>
      </w:pPr>
      <w:r>
        <w:rPr>
          <w:spacing w:val="7"/>
        </w:rPr>
        <w:t>公共云平台资源，将企业信息基础设施、生产</w:t>
      </w:r>
      <w:r>
        <w:rPr>
          <w:spacing w:val="7"/>
        </w:rPr>
        <w:t>设备和应用系统向云平台迁移，开展智能排产</w:t>
      </w:r>
      <w:r>
        <w:rPr>
          <w:spacing w:val="7"/>
        </w:rPr>
        <w:t>和设备远程运维等应用，降低企业数字化、智</w:t>
      </w:r>
      <w:r>
        <w:rPr>
          <w:spacing w:val="7"/>
        </w:rPr>
        <w:t>能化改造成本。引进一批可复制可推广的工业</w:t>
      </w:r>
      <w:r>
        <w:rPr>
          <w:rFonts w:ascii="Times New Roman" w:hAnsi="Times New Roman" w:eastAsia="Times New Roman" w:cs="Times New Roman"/>
        </w:rPr>
        <w:t>APP</w:t>
      </w:r>
      <w:r>
        <w:rPr>
          <w:rFonts w:ascii="Times New Roman" w:hAnsi="Times New Roman" w:eastAsia="Times New Roman" w:cs="Times New Roman"/>
          <w:spacing w:val="-9"/>
        </w:rPr>
        <w:t xml:space="preserve"> </w:t>
      </w:r>
      <w:r>
        <w:rPr>
          <w:spacing w:val="8"/>
        </w:rPr>
        <w:t>，推动制造技术、管理能力开放共享，提</w:t>
      </w:r>
      <w:r>
        <w:rPr>
          <w:spacing w:val="7"/>
        </w:rPr>
        <w:t>升企业生产效率、管理水平。（</w:t>
      </w:r>
      <w:r>
        <w:rPr>
          <w:rFonts w:ascii="KaiTi" w:hAnsi="KaiTi" w:eastAsia="KaiTi" w:cs="KaiTi"/>
          <w:spacing w:val="7"/>
        </w:rPr>
        <w:t>责任单位：市</w:t>
      </w:r>
      <w:r>
        <w:rPr>
          <w:rFonts w:ascii="KaiTi" w:hAnsi="KaiTi" w:eastAsia="KaiTi" w:cs="KaiTi"/>
          <w:spacing w:val="7"/>
        </w:rPr>
        <w:t>工业和信息化局、开发区管委会，各县〔</w:t>
      </w:r>
      <w:r>
        <w:rPr>
          <w:rFonts w:ascii="KaiTi" w:hAnsi="KaiTi" w:eastAsia="KaiTi" w:cs="KaiTi"/>
          <w:spacing w:val="-44"/>
        </w:rPr>
        <w:t xml:space="preserve"> </w:t>
      </w:r>
      <w:r>
        <w:rPr>
          <w:rFonts w:ascii="KaiTi" w:hAnsi="KaiTi" w:eastAsia="KaiTi" w:cs="KaiTi"/>
          <w:spacing w:val="7"/>
        </w:rPr>
        <w:t>区〕</w:t>
      </w:r>
      <w:r>
        <w:rPr>
          <w:rFonts w:ascii="KaiTi" w:hAnsi="KaiTi" w:eastAsia="KaiTi" w:cs="KaiTi"/>
          <w:spacing w:val="10"/>
        </w:rPr>
        <w:t>人民政府</w:t>
      </w:r>
      <w:r>
        <w:rPr>
          <w:spacing w:val="10"/>
        </w:rPr>
        <w:t>）</w:t>
      </w:r>
    </w:p>
    <w:p>
      <w:pPr>
        <w:ind w:left="414"/>
        <w:rPr>
          <w:rFonts w:ascii="KaiTi" w:hAnsi="KaiTi" w:eastAsia="KaiTi" w:cs="KaiTi"/>
          <w:sz w:val="20"/>
          <w:szCs w:val="20"/>
        </w:rPr>
      </w:pPr>
      <w:r>
        <w:rPr>
          <w:rFonts w:ascii="KaiTi" w:hAnsi="KaiTi" w:eastAsia="KaiTi" w:cs="KaiTi"/>
          <w:sz w:val="20"/>
          <w:szCs w:val="20"/>
          <w:b/>
          <w:bCs/>
          <w:spacing w:val="4"/>
        </w:rPr>
        <w:t>（五）</w:t>
      </w:r>
      <w:r>
        <w:rPr>
          <w:rFonts w:ascii="KaiTi" w:hAnsi="KaiTi" w:eastAsia="KaiTi" w:cs="KaiTi"/>
          <w:sz w:val="20"/>
          <w:szCs w:val="20"/>
          <w:spacing w:val="-49"/>
        </w:rPr>
        <w:t xml:space="preserve"> </w:t>
      </w:r>
      <w:r>
        <w:rPr>
          <w:rFonts w:ascii="KaiTi" w:hAnsi="KaiTi" w:eastAsia="KaiTi" w:cs="KaiTi"/>
          <w:sz w:val="20"/>
          <w:szCs w:val="20"/>
          <w:b/>
          <w:bCs/>
          <w:spacing w:val="4"/>
        </w:rPr>
        <w:t>中小企业数字化赋能。</w:t>
      </w:r>
    </w:p>
    <w:p>
      <w:pPr>
        <w:pStyle w:val="BodyText"/>
        <w:ind w:left="3" w:right="145" w:firstLine="430"/>
        <w:spacing w:before="188" w:line="413" w:lineRule="auto"/>
        <w:jc w:val="both"/>
        <w:rPr/>
      </w:pPr>
      <w:r>
        <w:rPr>
          <w:spacing w:val="1"/>
        </w:rPr>
        <w:t>时间节点：</w:t>
      </w:r>
      <w:r>
        <w:rPr>
          <w:rFonts w:ascii="Times New Roman" w:hAnsi="Times New Roman" w:eastAsia="Times New Roman" w:cs="Times New Roman"/>
          <w:spacing w:val="1"/>
        </w:rPr>
        <w:t>2021 </w:t>
      </w:r>
      <w:r>
        <w:rPr>
          <w:spacing w:val="1"/>
        </w:rPr>
        <w:t>年，完成</w:t>
      </w:r>
      <w:r>
        <w:rPr>
          <w:spacing w:val="-7"/>
        </w:rPr>
        <w:t xml:space="preserve"> </w:t>
      </w:r>
      <w:r>
        <w:rPr>
          <w:rFonts w:ascii="Times New Roman" w:hAnsi="Times New Roman" w:eastAsia="Times New Roman" w:cs="Times New Roman"/>
          <w:spacing w:val="1"/>
        </w:rPr>
        <w:t>100 </w:t>
      </w:r>
      <w:r>
        <w:rPr>
          <w:spacing w:val="1"/>
        </w:rPr>
        <w:t>家工业企业</w:t>
      </w:r>
      <w:r>
        <w:rPr>
          <w:spacing w:val="3"/>
        </w:rPr>
        <w:t>智能改造诊断服务。</w:t>
      </w:r>
      <w:r>
        <w:rPr>
          <w:rFonts w:ascii="Times New Roman" w:hAnsi="Times New Roman" w:eastAsia="Times New Roman" w:cs="Times New Roman"/>
          <w:spacing w:val="3"/>
        </w:rPr>
        <w:t>2022 </w:t>
      </w:r>
      <w:r>
        <w:rPr>
          <w:spacing w:val="3"/>
        </w:rPr>
        <w:t>年，完成</w:t>
      </w:r>
      <w:r>
        <w:rPr>
          <w:spacing w:val="-2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
        </w:rPr>
        <w:t>00 </w:t>
      </w:r>
      <w:r>
        <w:rPr>
          <w:spacing w:val="2"/>
        </w:rPr>
        <w:t>家工业</w:t>
      </w:r>
      <w:r>
        <w:rPr>
          <w:spacing w:val="11"/>
        </w:rPr>
        <w:t>企业智能改造诊断服务。</w:t>
      </w:r>
      <w:r>
        <w:rPr>
          <w:rFonts w:ascii="Times New Roman" w:hAnsi="Times New Roman" w:eastAsia="Times New Roman" w:cs="Times New Roman"/>
          <w:spacing w:val="11"/>
        </w:rPr>
        <w:t>2023</w:t>
      </w:r>
      <w:r>
        <w:rPr>
          <w:rFonts w:ascii="Times New Roman" w:hAnsi="Times New Roman" w:eastAsia="Times New Roman" w:cs="Times New Roman"/>
          <w:spacing w:val="36"/>
        </w:rPr>
        <w:t xml:space="preserve"> </w:t>
      </w:r>
      <w:r>
        <w:rPr>
          <w:spacing w:val="11"/>
        </w:rPr>
        <w:t>年</w:t>
      </w:r>
      <w:r>
        <w:rPr>
          <w:spacing w:val="-52"/>
        </w:rPr>
        <w:t xml:space="preserve"> </w:t>
      </w:r>
      <w:r>
        <w:rPr>
          <w:spacing w:val="11"/>
        </w:rPr>
        <w:t>，完成</w:t>
      </w:r>
      <w:r>
        <w:rPr>
          <w:spacing w:val="-31"/>
        </w:rPr>
        <w:t xml:space="preserve"> </w:t>
      </w:r>
      <w:r>
        <w:rPr>
          <w:rFonts w:ascii="Times New Roman" w:hAnsi="Times New Roman" w:eastAsia="Times New Roman" w:cs="Times New Roman"/>
          <w:spacing w:val="11"/>
        </w:rPr>
        <w:t>200</w:t>
      </w:r>
      <w:r>
        <w:rPr>
          <w:spacing w:val="8"/>
        </w:rPr>
        <w:t>家工业企业智能改造诊断服务。</w:t>
      </w:r>
    </w:p>
    <w:p>
      <w:pPr>
        <w:pStyle w:val="BodyText"/>
        <w:ind w:left="2" w:firstLine="423"/>
        <w:spacing w:before="13" w:line="415" w:lineRule="auto"/>
        <w:rPr/>
      </w:pPr>
      <w:r>
        <w:rPr>
          <w:spacing w:val="6"/>
        </w:rPr>
        <w:t>实施重点：依托自治区工业互联网产业联</w:t>
      </w:r>
      <w:r>
        <w:rPr>
          <w:spacing w:val="8"/>
        </w:rPr>
        <w:t>盟和赋智强企平台</w:t>
      </w:r>
      <w:r>
        <w:rPr>
          <w:spacing w:val="-41"/>
        </w:rPr>
        <w:t xml:space="preserve"> </w:t>
      </w:r>
      <w:r>
        <w:rPr>
          <w:spacing w:val="8"/>
        </w:rPr>
        <w:t>，在</w:t>
      </w:r>
      <w:r>
        <w:rPr>
          <w:spacing w:val="-38"/>
        </w:rPr>
        <w:t xml:space="preserve"> </w:t>
      </w:r>
      <w:r>
        <w:rPr>
          <w:rFonts w:ascii="Times New Roman" w:hAnsi="Times New Roman" w:eastAsia="Times New Roman" w:cs="Times New Roman"/>
          <w:spacing w:val="8"/>
        </w:rPr>
        <w:t>2020 </w:t>
      </w:r>
      <w:r>
        <w:rPr>
          <w:spacing w:val="8"/>
        </w:rPr>
        <w:t>年规上企业完成</w:t>
      </w:r>
      <w:r>
        <w:rPr>
          <w:spacing w:val="7"/>
        </w:rPr>
        <w:t>两化融合、智能制造、企业上云评估诊断基础</w:t>
      </w:r>
      <w:r>
        <w:rPr>
          <w:spacing w:val="7"/>
        </w:rPr>
        <w:t>上，推进新入规企业和规下企业开展工业互联</w:t>
      </w:r>
      <w:r>
        <w:rPr>
          <w:spacing w:val="14"/>
        </w:rPr>
        <w:t>网诊断评估，提供工业互联网建设“一对一”</w:t>
      </w:r>
      <w:r>
        <w:rPr>
          <w:spacing w:val="5"/>
        </w:rPr>
        <w:t>入户诊断报告和智能改造方案。（</w:t>
      </w:r>
      <w:r>
        <w:rPr>
          <w:rFonts w:ascii="KaiTi" w:hAnsi="KaiTi" w:eastAsia="KaiTi" w:cs="KaiTi"/>
          <w:spacing w:val="5"/>
        </w:rPr>
        <w:t>责任单位：</w:t>
      </w:r>
      <w:r>
        <w:rPr>
          <w:rFonts w:ascii="KaiTi" w:hAnsi="KaiTi" w:eastAsia="KaiTi" w:cs="KaiTi"/>
          <w:spacing w:val="-1"/>
        </w:rPr>
        <w:t>市工业和信息化局、开发区管委会，各县〔</w:t>
      </w:r>
      <w:r>
        <w:rPr>
          <w:rFonts w:ascii="KaiTi" w:hAnsi="KaiTi" w:eastAsia="KaiTi" w:cs="KaiTi"/>
          <w:spacing w:val="-44"/>
        </w:rPr>
        <w:t xml:space="preserve"> </w:t>
      </w:r>
      <w:r>
        <w:rPr>
          <w:rFonts w:ascii="KaiTi" w:hAnsi="KaiTi" w:eastAsia="KaiTi" w:cs="KaiTi"/>
          <w:spacing w:val="-1"/>
        </w:rPr>
        <w:t>区</w:t>
      </w:r>
      <w:r>
        <w:rPr>
          <w:rFonts w:ascii="KaiTi" w:hAnsi="KaiTi" w:eastAsia="KaiTi" w:cs="KaiTi"/>
          <w:spacing w:val="-42"/>
        </w:rPr>
        <w:t xml:space="preserve"> </w:t>
      </w:r>
      <w:r>
        <w:rPr>
          <w:rFonts w:ascii="KaiTi" w:hAnsi="KaiTi" w:eastAsia="KaiTi" w:cs="KaiTi"/>
          <w:spacing w:val="-1"/>
        </w:rPr>
        <w:t>〕</w:t>
      </w:r>
      <w:r>
        <w:rPr>
          <w:rFonts w:ascii="KaiTi" w:hAnsi="KaiTi" w:eastAsia="KaiTi" w:cs="KaiTi"/>
          <w:spacing w:val="10"/>
        </w:rPr>
        <w:t>人民政府</w:t>
      </w:r>
      <w:r>
        <w:rPr>
          <w:spacing w:val="10"/>
        </w:rPr>
        <w:t>）</w:t>
      </w:r>
    </w:p>
    <w:p>
      <w:pPr>
        <w:ind w:left="414"/>
        <w:spacing w:before="1"/>
        <w:rPr>
          <w:rFonts w:ascii="KaiTi" w:hAnsi="KaiTi" w:eastAsia="KaiTi" w:cs="KaiTi"/>
          <w:sz w:val="20"/>
          <w:szCs w:val="20"/>
        </w:rPr>
      </w:pPr>
      <w:r>
        <w:rPr>
          <w:rFonts w:ascii="KaiTi" w:hAnsi="KaiTi" w:eastAsia="KaiTi" w:cs="KaiTi"/>
          <w:sz w:val="20"/>
          <w:szCs w:val="20"/>
          <w:b/>
          <w:bCs/>
          <w:spacing w:val="2"/>
        </w:rPr>
        <w:t>（</w:t>
      </w:r>
      <w:r>
        <w:rPr>
          <w:rFonts w:ascii="KaiTi" w:hAnsi="KaiTi" w:eastAsia="KaiTi" w:cs="KaiTi"/>
          <w:sz w:val="20"/>
          <w:szCs w:val="20"/>
          <w:spacing w:val="-42"/>
        </w:rPr>
        <w:t xml:space="preserve"> </w:t>
      </w:r>
      <w:r>
        <w:rPr>
          <w:rFonts w:ascii="KaiTi" w:hAnsi="KaiTi" w:eastAsia="KaiTi" w:cs="KaiTi"/>
          <w:sz w:val="20"/>
          <w:szCs w:val="20"/>
          <w:b/>
          <w:bCs/>
          <w:spacing w:val="2"/>
        </w:rPr>
        <w:t>六）技术载体引育。</w:t>
      </w:r>
    </w:p>
    <w:p>
      <w:pPr>
        <w:pStyle w:val="BodyText"/>
        <w:ind w:left="3" w:right="138" w:firstLine="430"/>
        <w:spacing w:before="189" w:line="409" w:lineRule="auto"/>
        <w:jc w:val="both"/>
        <w:rPr/>
      </w:pPr>
      <w:r>
        <w:rPr>
          <w:spacing w:val="3"/>
        </w:rPr>
        <w:t>时间节点：</w:t>
      </w:r>
      <w:r>
        <w:rPr>
          <w:rFonts w:ascii="Times New Roman" w:hAnsi="Times New Roman" w:eastAsia="Times New Roman" w:cs="Times New Roman"/>
          <w:spacing w:val="3"/>
        </w:rPr>
        <w:t>2021 </w:t>
      </w:r>
      <w:r>
        <w:rPr>
          <w:spacing w:val="3"/>
        </w:rPr>
        <w:t>年，引入和培育区内外领</w:t>
      </w:r>
      <w:r>
        <w:rPr>
          <w:spacing w:val="7"/>
        </w:rPr>
        <w:t>先的各类智能制造和工业互联网服务商</w:t>
      </w:r>
      <w:r>
        <w:rPr>
          <w:spacing w:val="-43"/>
        </w:rPr>
        <w:t xml:space="preserve"> </w:t>
      </w:r>
      <w:r>
        <w:rPr>
          <w:rFonts w:ascii="Times New Roman" w:hAnsi="Times New Roman" w:eastAsia="Times New Roman" w:cs="Times New Roman"/>
          <w:spacing w:val="7"/>
        </w:rPr>
        <w:t>2 </w:t>
      </w:r>
      <w:r>
        <w:rPr>
          <w:spacing w:val="7"/>
        </w:rPr>
        <w:t>家，</w:t>
      </w:r>
      <w:r>
        <w:rPr/>
        <w:t xml:space="preserve"> </w:t>
      </w:r>
      <w:r>
        <w:rPr>
          <w:rFonts w:ascii="Times New Roman" w:hAnsi="Times New Roman" w:eastAsia="Times New Roman" w:cs="Times New Roman"/>
          <w:spacing w:val="3"/>
        </w:rPr>
        <w:t>2023 </w:t>
      </w:r>
      <w:r>
        <w:rPr>
          <w:spacing w:val="3"/>
        </w:rPr>
        <w:t>年达到</w:t>
      </w:r>
      <w:r>
        <w:rPr>
          <w:spacing w:val="-28"/>
        </w:rPr>
        <w:t xml:space="preserve"> </w:t>
      </w:r>
      <w:r>
        <w:rPr>
          <w:rFonts w:ascii="Times New Roman" w:hAnsi="Times New Roman" w:eastAsia="Times New Roman" w:cs="Times New Roman"/>
          <w:spacing w:val="3"/>
        </w:rPr>
        <w:t>6</w:t>
      </w:r>
      <w:r>
        <w:rPr>
          <w:rFonts w:ascii="Times New Roman" w:hAnsi="Times New Roman" w:eastAsia="Times New Roman" w:cs="Times New Roman"/>
          <w:spacing w:val="9"/>
        </w:rPr>
        <w:t xml:space="preserve"> </w:t>
      </w:r>
      <w:r>
        <w:rPr>
          <w:spacing w:val="3"/>
        </w:rPr>
        <w:t>家。</w:t>
      </w:r>
    </w:p>
    <w:p>
      <w:pPr>
        <w:pStyle w:val="BodyText"/>
        <w:ind w:left="3" w:right="148" w:firstLine="423"/>
        <w:spacing w:before="21" w:line="367" w:lineRule="auto"/>
        <w:jc w:val="both"/>
        <w:rPr/>
      </w:pPr>
      <w:r>
        <w:rPr>
          <w:spacing w:val="6"/>
        </w:rPr>
        <w:t>实施重点：积极引入和培育区内外知名的</w:t>
      </w:r>
      <w:r>
        <w:rPr>
          <w:spacing w:val="7"/>
        </w:rPr>
        <w:t>信息技术企业和工业互联网服务商，以固原市</w:t>
      </w:r>
      <w:r>
        <w:rPr>
          <w:spacing w:val="7"/>
        </w:rPr>
        <w:t>产业技术研究院为载体，整合资源，推动人工</w:t>
      </w:r>
      <w:r>
        <w:rPr>
          <w:spacing w:val="7"/>
        </w:rPr>
        <w:t>智能、云计算、大数据在农产品加工、现代纺</w:t>
      </w:r>
    </w:p>
    <w:p>
      <w:pPr>
        <w:spacing w:line="367" w:lineRule="auto"/>
        <w:sectPr>
          <w:type w:val="continuous"/>
          <w:pgSz w:w="11906" w:h="16839"/>
          <w:pgMar w:top="1766" w:right="1442" w:bottom="1563" w:left="1579" w:header="1428" w:footer="1172" w:gutter="0"/>
          <w:cols w:equalWidth="0" w:num="2">
            <w:col w:w="4487" w:space="100"/>
            <w:col w:w="4297" w:space="0"/>
          </w:cols>
        </w:sectPr>
        <w:rPr/>
      </w:pPr>
    </w:p>
    <w:p>
      <w:pPr>
        <w:spacing w:before="106"/>
        <w:rPr/>
      </w:pPr>
      <w:r>
        <w:drawing>
          <wp:anchor distT="0" distB="0" distL="0" distR="0" simplePos="0" relativeHeight="252037120" behindDoc="0" locked="0" layoutInCell="0" allowOverlap="1">
            <wp:simplePos x="0" y="0"/>
            <wp:positionH relativeFrom="page">
              <wp:posOffset>1008380</wp:posOffset>
            </wp:positionH>
            <wp:positionV relativeFrom="page">
              <wp:posOffset>1122680</wp:posOffset>
            </wp:positionV>
            <wp:extent cx="5579745" cy="7619"/>
            <wp:effectExtent l="0" t="0" r="0" b="0"/>
            <wp:wrapNone/>
            <wp:docPr id="1060" name="IM 1060"/>
            <wp:cNvGraphicFramePr/>
            <a:graphic>
              <a:graphicData uri="http://schemas.openxmlformats.org/drawingml/2006/picture">
                <pic:pic>
                  <pic:nvPicPr>
                    <pic:cNvPr id="1060" name="IM 1060"/>
                    <pic:cNvPicPr/>
                  </pic:nvPicPr>
                  <pic:blipFill>
                    <a:blip r:embed="rId532"/>
                    <a:stretch>
                      <a:fillRect/>
                    </a:stretch>
                  </pic:blipFill>
                  <pic:spPr>
                    <a:xfrm rot="0">
                      <a:off x="0" y="0"/>
                      <a:ext cx="5579745" cy="7619"/>
                    </a:xfrm>
                    <a:prstGeom prst="rect">
                      <a:avLst/>
                    </a:prstGeom>
                  </pic:spPr>
                </pic:pic>
              </a:graphicData>
            </a:graphic>
          </wp:anchor>
        </w:drawing>
      </w:r>
      <w:r/>
    </w:p>
    <w:p>
      <w:pPr>
        <w:sectPr>
          <w:headerReference w:type="default" r:id="rId530"/>
          <w:footerReference w:type="default" r:id="rId531"/>
          <w:pgSz w:w="11906" w:h="16839"/>
          <w:pgMar w:top="1769" w:right="1475" w:bottom="1570" w:left="1588" w:header="1428" w:footer="1172" w:gutter="0"/>
          <w:cols w:equalWidth="0" w:num="1">
            <w:col w:w="8843" w:space="0"/>
          </w:cols>
        </w:sectPr>
        <w:rPr/>
      </w:pPr>
    </w:p>
    <w:p>
      <w:pPr>
        <w:pStyle w:val="BodyText"/>
        <w:ind w:left="3" w:right="245" w:firstLine="2"/>
        <w:spacing w:before="50" w:line="415" w:lineRule="auto"/>
        <w:jc w:val="both"/>
        <w:rPr/>
      </w:pPr>
      <w:r>
        <w:rPr>
          <w:spacing w:val="7"/>
        </w:rPr>
        <w:t>织、新材料等领域的应用，精准找准各产业在</w:t>
      </w:r>
      <w:r>
        <w:rPr>
          <w:spacing w:val="7"/>
        </w:rPr>
        <w:t>重点环节、重点部位的关键技术需求，加强攻</w:t>
      </w:r>
      <w:r>
        <w:rPr>
          <w:spacing w:val="11"/>
        </w:rPr>
        <w:t>关，突破关键制约，形成智能制造解决方案，</w:t>
      </w:r>
      <w:r>
        <w:rPr>
          <w:spacing w:val="1"/>
        </w:rPr>
        <w:t>推进产业高质量发展。（</w:t>
      </w:r>
      <w:r>
        <w:rPr>
          <w:rFonts w:ascii="KaiTi" w:hAnsi="KaiTi" w:eastAsia="KaiTi" w:cs="KaiTi"/>
          <w:spacing w:val="1"/>
        </w:rPr>
        <w:t>责任单位：市科技局、</w:t>
      </w:r>
      <w:r>
        <w:rPr>
          <w:rFonts w:ascii="KaiTi" w:hAnsi="KaiTi" w:eastAsia="KaiTi" w:cs="KaiTi"/>
          <w:spacing w:val="6"/>
        </w:rPr>
        <w:t>工业和信息化局、开发区管委会，各县〔</w:t>
      </w:r>
      <w:r>
        <w:rPr>
          <w:rFonts w:ascii="KaiTi" w:hAnsi="KaiTi" w:eastAsia="KaiTi" w:cs="KaiTi"/>
          <w:spacing w:val="-52"/>
        </w:rPr>
        <w:t xml:space="preserve"> </w:t>
      </w:r>
      <w:r>
        <w:rPr>
          <w:rFonts w:ascii="KaiTi" w:hAnsi="KaiTi" w:eastAsia="KaiTi" w:cs="KaiTi"/>
          <w:spacing w:val="6"/>
        </w:rPr>
        <w:t>区</w:t>
      </w:r>
      <w:r>
        <w:rPr>
          <w:rFonts w:ascii="KaiTi" w:hAnsi="KaiTi" w:eastAsia="KaiTi" w:cs="KaiTi"/>
          <w:spacing w:val="-45"/>
        </w:rPr>
        <w:t xml:space="preserve"> </w:t>
      </w:r>
      <w:r>
        <w:rPr>
          <w:rFonts w:ascii="KaiTi" w:hAnsi="KaiTi" w:eastAsia="KaiTi" w:cs="KaiTi"/>
          <w:spacing w:val="6"/>
        </w:rPr>
        <w:t>〕</w:t>
      </w:r>
      <w:r>
        <w:rPr>
          <w:rFonts w:ascii="KaiTi" w:hAnsi="KaiTi" w:eastAsia="KaiTi" w:cs="KaiTi"/>
          <w:spacing w:val="10"/>
        </w:rPr>
        <w:t>人民政府</w:t>
      </w:r>
      <w:r>
        <w:rPr>
          <w:spacing w:val="10"/>
        </w:rPr>
        <w:t>）</w:t>
      </w:r>
    </w:p>
    <w:p>
      <w:pPr>
        <w:ind w:left="416"/>
        <w:rPr>
          <w:rFonts w:ascii="KaiTi" w:hAnsi="KaiTi" w:eastAsia="KaiTi" w:cs="KaiTi"/>
          <w:sz w:val="20"/>
          <w:szCs w:val="20"/>
        </w:rPr>
      </w:pPr>
      <w:r>
        <w:rPr>
          <w:rFonts w:ascii="KaiTi" w:hAnsi="KaiTi" w:eastAsia="KaiTi" w:cs="KaiTi"/>
          <w:sz w:val="20"/>
          <w:szCs w:val="20"/>
          <w:b/>
          <w:bCs/>
          <w:spacing w:val="4"/>
        </w:rPr>
        <w:t>（</w:t>
      </w:r>
      <w:r>
        <w:rPr>
          <w:rFonts w:ascii="KaiTi" w:hAnsi="KaiTi" w:eastAsia="KaiTi" w:cs="KaiTi"/>
          <w:sz w:val="20"/>
          <w:szCs w:val="20"/>
          <w:spacing w:val="-57"/>
        </w:rPr>
        <w:t xml:space="preserve"> </w:t>
      </w:r>
      <w:r>
        <w:rPr>
          <w:rFonts w:ascii="KaiTi" w:hAnsi="KaiTi" w:eastAsia="KaiTi" w:cs="KaiTi"/>
          <w:sz w:val="20"/>
          <w:szCs w:val="20"/>
          <w:b/>
          <w:bCs/>
          <w:spacing w:val="4"/>
        </w:rPr>
        <w:t>七）产业园区智慧化。</w:t>
      </w:r>
    </w:p>
    <w:p>
      <w:pPr>
        <w:pStyle w:val="BodyText"/>
        <w:ind w:left="7" w:right="319" w:firstLine="428"/>
        <w:spacing w:before="189" w:line="409" w:lineRule="auto"/>
        <w:jc w:val="both"/>
        <w:rPr/>
      </w:pPr>
      <w:r>
        <w:rPr>
          <w:spacing w:val="3"/>
        </w:rPr>
        <w:t>时间节点：</w:t>
      </w:r>
      <w:r>
        <w:rPr>
          <w:rFonts w:ascii="Times New Roman" w:hAnsi="Times New Roman" w:eastAsia="Times New Roman" w:cs="Times New Roman"/>
          <w:spacing w:val="3"/>
        </w:rPr>
        <w:t>2021 </w:t>
      </w:r>
      <w:r>
        <w:rPr>
          <w:spacing w:val="3"/>
        </w:rPr>
        <w:t>年完成固原经开区智慧园</w:t>
      </w:r>
      <w:r>
        <w:rPr>
          <w:spacing w:val="4"/>
        </w:rPr>
        <w:t>区建设，实现园区管理和服务智慧化，到</w:t>
      </w:r>
      <w:r>
        <w:rPr>
          <w:spacing w:val="-43"/>
        </w:rPr>
        <w:t xml:space="preserve"> </w:t>
      </w:r>
      <w:r>
        <w:rPr>
          <w:rFonts w:ascii="Times New Roman" w:hAnsi="Times New Roman" w:eastAsia="Times New Roman" w:cs="Times New Roman"/>
          <w:spacing w:val="4"/>
        </w:rPr>
        <w:t>2023</w:t>
      </w:r>
      <w:r>
        <w:rPr>
          <w:spacing w:val="8"/>
        </w:rPr>
        <w:t>年完成其他四个工业园区智慧化建设。</w:t>
      </w:r>
    </w:p>
    <w:p>
      <w:pPr>
        <w:pStyle w:val="BodyText"/>
        <w:ind w:left="4" w:right="241" w:firstLine="423"/>
        <w:spacing w:before="26" w:line="415" w:lineRule="auto"/>
        <w:jc w:val="both"/>
        <w:rPr/>
      </w:pPr>
      <w:r>
        <w:rPr>
          <w:spacing w:val="6"/>
        </w:rPr>
        <w:t>实施重点：建设以设施数字化、管理可视</w:t>
      </w:r>
      <w:r>
        <w:rPr>
          <w:spacing w:val="7"/>
        </w:rPr>
        <w:t>化、产业智能化、服务智慧化为重点的智慧园</w:t>
      </w:r>
      <w:r>
        <w:rPr>
          <w:spacing w:val="10"/>
        </w:rPr>
        <w:t>区。设施数字化方面，推进产业园区互联网、</w:t>
      </w:r>
      <w:r>
        <w:rPr>
          <w:spacing w:val="7"/>
        </w:rPr>
        <w:t>物联网、</w:t>
      </w:r>
      <w:r>
        <w:rPr>
          <w:rFonts w:ascii="Times New Roman" w:hAnsi="Times New Roman" w:eastAsia="Times New Roman" w:cs="Times New Roman"/>
          <w:spacing w:val="7"/>
        </w:rPr>
        <w:t>5G</w:t>
      </w:r>
      <w:r>
        <w:rPr>
          <w:rFonts w:ascii="Times New Roman" w:hAnsi="Times New Roman" w:eastAsia="Times New Roman" w:cs="Times New Roman"/>
          <w:spacing w:val="-16"/>
        </w:rPr>
        <w:t xml:space="preserve"> </w:t>
      </w:r>
      <w:r>
        <w:rPr>
          <w:spacing w:val="7"/>
        </w:rPr>
        <w:t>、人工智能等新型基础设施建设。</w:t>
      </w:r>
      <w:r>
        <w:rPr>
          <w:spacing w:val="1"/>
        </w:rPr>
        <w:t>管理可视化方面，整合园区安全、消防、环保、</w:t>
      </w:r>
      <w:r>
        <w:rPr>
          <w:spacing w:val="10"/>
        </w:rPr>
        <w:t>通讯网络等资源，构建可视化公共管理平台。</w:t>
      </w:r>
      <w:r>
        <w:rPr>
          <w:spacing w:val="7"/>
        </w:rPr>
        <w:t>产业智能化方面，建立产能共享、设备远程检</w:t>
      </w:r>
      <w:r>
        <w:rPr>
          <w:spacing w:val="7"/>
        </w:rPr>
        <w:t>验检测、线上交易等生产性服务信息平台。服</w:t>
      </w:r>
      <w:r>
        <w:rPr>
          <w:spacing w:val="7"/>
        </w:rPr>
        <w:t>务智慧化方面，整合园区服务资源建立公共服</w:t>
      </w:r>
      <w:r>
        <w:rPr>
          <w:spacing w:val="7"/>
        </w:rPr>
        <w:t>务平台，通过智能终端设备向园区企业提供智</w:t>
      </w:r>
      <w:r>
        <w:rPr>
          <w:spacing w:val="10"/>
        </w:rPr>
        <w:t>能服务</w:t>
      </w:r>
      <w:r>
        <w:rPr>
          <w:spacing w:val="-44"/>
        </w:rPr>
        <w:t xml:space="preserve"> </w:t>
      </w:r>
      <w:r>
        <w:rPr>
          <w:spacing w:val="10"/>
        </w:rPr>
        <w:t>，培育</w:t>
      </w:r>
      <w:r>
        <w:rPr>
          <w:rFonts w:ascii="Times New Roman" w:hAnsi="Times New Roman" w:eastAsia="Times New Roman" w:cs="Times New Roman"/>
          <w:spacing w:val="10"/>
        </w:rPr>
        <w:t>“</w:t>
      </w:r>
      <w:r>
        <w:rPr>
          <w:spacing w:val="10"/>
        </w:rPr>
        <w:t>研发共享、产能共享、服务共</w:t>
      </w:r>
      <w:r>
        <w:rPr>
          <w:spacing w:val="2"/>
        </w:rPr>
        <w:t>享</w:t>
      </w:r>
      <w:r>
        <w:rPr>
          <w:rFonts w:ascii="Times New Roman" w:hAnsi="Times New Roman" w:eastAsia="Times New Roman" w:cs="Times New Roman"/>
          <w:spacing w:val="2"/>
        </w:rPr>
        <w:t>”</w:t>
      </w:r>
      <w:r>
        <w:rPr>
          <w:spacing w:val="2"/>
        </w:rPr>
        <w:t>为重点的共享型智慧园区。（</w:t>
      </w:r>
      <w:r>
        <w:rPr>
          <w:rFonts w:ascii="KaiTi" w:hAnsi="KaiTi" w:eastAsia="KaiTi" w:cs="KaiTi"/>
          <w:spacing w:val="2"/>
        </w:rPr>
        <w:t>责任单位：市</w:t>
      </w:r>
      <w:r>
        <w:rPr>
          <w:rFonts w:ascii="KaiTi" w:hAnsi="KaiTi" w:eastAsia="KaiTi" w:cs="KaiTi"/>
          <w:spacing w:val="6"/>
        </w:rPr>
        <w:t>工业和信息化局，开发区管委会，各县〔</w:t>
      </w:r>
      <w:r>
        <w:rPr>
          <w:rFonts w:ascii="KaiTi" w:hAnsi="KaiTi" w:eastAsia="KaiTi" w:cs="KaiTi"/>
          <w:spacing w:val="-50"/>
        </w:rPr>
        <w:t xml:space="preserve"> </w:t>
      </w:r>
      <w:r>
        <w:rPr>
          <w:rFonts w:ascii="KaiTi" w:hAnsi="KaiTi" w:eastAsia="KaiTi" w:cs="KaiTi"/>
          <w:spacing w:val="6"/>
        </w:rPr>
        <w:t>区</w:t>
      </w:r>
      <w:r>
        <w:rPr>
          <w:rFonts w:ascii="KaiTi" w:hAnsi="KaiTi" w:eastAsia="KaiTi" w:cs="KaiTi"/>
          <w:spacing w:val="-44"/>
        </w:rPr>
        <w:t xml:space="preserve"> </w:t>
      </w:r>
      <w:r>
        <w:rPr>
          <w:rFonts w:ascii="KaiTi" w:hAnsi="KaiTi" w:eastAsia="KaiTi" w:cs="KaiTi"/>
          <w:spacing w:val="6"/>
        </w:rPr>
        <w:t>〕</w:t>
      </w:r>
      <w:r>
        <w:rPr>
          <w:rFonts w:ascii="KaiTi" w:hAnsi="KaiTi" w:eastAsia="KaiTi" w:cs="KaiTi"/>
          <w:spacing w:val="10"/>
        </w:rPr>
        <w:t>人民政府</w:t>
      </w:r>
      <w:r>
        <w:rPr>
          <w:spacing w:val="10"/>
        </w:rPr>
        <w:t>）</w:t>
      </w:r>
    </w:p>
    <w:p>
      <w:pPr>
        <w:ind w:left="416"/>
        <w:spacing w:line="270" w:lineRule="exact"/>
        <w:rPr>
          <w:rFonts w:ascii="KaiTi" w:hAnsi="KaiTi" w:eastAsia="KaiTi" w:cs="KaiTi"/>
          <w:sz w:val="20"/>
          <w:szCs w:val="20"/>
        </w:rPr>
      </w:pPr>
      <w:r>
        <w:rPr>
          <w:rFonts w:ascii="KaiTi" w:hAnsi="KaiTi" w:eastAsia="KaiTi" w:cs="KaiTi"/>
          <w:sz w:val="20"/>
          <w:szCs w:val="20"/>
          <w:b/>
          <w:bCs/>
          <w:spacing w:val="3"/>
          <w:position w:val="1"/>
        </w:rPr>
        <w:t>（</w:t>
      </w:r>
      <w:r>
        <w:rPr>
          <w:rFonts w:ascii="KaiTi" w:hAnsi="KaiTi" w:eastAsia="KaiTi" w:cs="KaiTi"/>
          <w:sz w:val="20"/>
          <w:szCs w:val="20"/>
          <w:spacing w:val="-52"/>
          <w:position w:val="1"/>
        </w:rPr>
        <w:t xml:space="preserve"> </w:t>
      </w:r>
      <w:r>
        <w:rPr>
          <w:rFonts w:ascii="KaiTi" w:hAnsi="KaiTi" w:eastAsia="KaiTi" w:cs="KaiTi"/>
          <w:sz w:val="20"/>
          <w:szCs w:val="20"/>
          <w:b/>
          <w:bCs/>
          <w:spacing w:val="3"/>
          <w:position w:val="1"/>
        </w:rPr>
        <w:t>八）信息网络安全。</w:t>
      </w:r>
    </w:p>
    <w:p>
      <w:pPr>
        <w:pStyle w:val="BodyText"/>
        <w:ind w:left="4" w:right="322" w:firstLine="430"/>
        <w:spacing w:before="178" w:line="360" w:lineRule="auto"/>
        <w:jc w:val="both"/>
        <w:rPr/>
      </w:pPr>
      <w:r>
        <w:rPr>
          <w:spacing w:val="6"/>
        </w:rPr>
        <w:t>时间节点：每年面向各级行政人员及企业</w:t>
      </w:r>
      <w:r>
        <w:rPr>
          <w:spacing w:val="8"/>
        </w:rPr>
        <w:t>相关负责人员</w:t>
      </w:r>
      <w:r>
        <w:rPr>
          <w:spacing w:val="-56"/>
        </w:rPr>
        <w:t xml:space="preserve"> </w:t>
      </w:r>
      <w:r>
        <w:rPr>
          <w:spacing w:val="8"/>
        </w:rPr>
        <w:t>，开展工控系统安全培训</w:t>
      </w:r>
      <w:r>
        <w:rPr>
          <w:spacing w:val="-18"/>
        </w:rPr>
        <w:t xml:space="preserve"> </w:t>
      </w:r>
      <w:r>
        <w:rPr>
          <w:rFonts w:ascii="Times New Roman" w:hAnsi="Times New Roman" w:eastAsia="Times New Roman" w:cs="Times New Roman"/>
          <w:spacing w:val="8"/>
        </w:rPr>
        <w:t>15 </w:t>
      </w:r>
      <w:r>
        <w:rPr>
          <w:spacing w:val="8"/>
        </w:rPr>
        <w:t>人</w:t>
      </w:r>
      <w:r>
        <w:rPr>
          <w:spacing w:val="7"/>
        </w:rPr>
        <w:t>次以上，积极争取自治区工业互联网安全试点</w:t>
      </w:r>
      <w:r>
        <w:rPr>
          <w:spacing w:val="4"/>
        </w:rPr>
        <w:t>项目。</w:t>
      </w:r>
    </w:p>
    <w:p>
      <w:pPr>
        <w:spacing w:line="14" w:lineRule="auto"/>
        <w:rPr>
          <w:rFonts w:ascii="Arial"/>
          <w:sz w:val="2"/>
        </w:rPr>
      </w:pPr>
      <w:r>
        <w:rPr>
          <w:rFonts w:ascii="Arial" w:hAnsi="Arial" w:eastAsia="Arial" w:cs="Arial"/>
          <w:sz w:val="2"/>
          <w:szCs w:val="2"/>
        </w:rPr>
        <w:br w:type="column"/>
      </w:r>
    </w:p>
    <w:p>
      <w:pPr>
        <w:pStyle w:val="BodyText"/>
        <w:ind w:firstLine="431"/>
        <w:spacing w:before="49" w:line="416" w:lineRule="auto"/>
        <w:jc w:val="both"/>
        <w:rPr/>
      </w:pPr>
      <w:r>
        <w:rPr>
          <w:spacing w:val="6"/>
        </w:rPr>
        <w:t>实施重点：积极配合自治区工信厅加强对</w:t>
      </w:r>
      <w:r>
        <w:rPr>
          <w:spacing w:val="18"/>
        </w:rPr>
        <w:t>工业控制系统信息安全工作的指导和督促检</w:t>
      </w:r>
      <w:r>
        <w:rPr>
          <w:spacing w:val="7"/>
        </w:rPr>
        <w:t>查，提升企业工控安全防护能力，落实企业主</w:t>
      </w:r>
      <w:r>
        <w:rPr>
          <w:spacing w:val="7"/>
        </w:rPr>
        <w:t>体责任，推动信息安全风险评估、等级保护和</w:t>
      </w:r>
      <w:r>
        <w:rPr>
          <w:spacing w:val="7"/>
        </w:rPr>
        <w:t>安全保密检查的制度化、规范化、常态化。在</w:t>
      </w:r>
      <w:r>
        <w:rPr>
          <w:spacing w:val="18"/>
        </w:rPr>
        <w:t>重点规上工业企业推广应用国家自主可控密</w:t>
      </w:r>
      <w:r>
        <w:rPr>
          <w:spacing w:val="13"/>
        </w:rPr>
        <w:t>码技术和产品，为网络化制造提供安全保障。</w:t>
      </w:r>
      <w:r>
        <w:rPr>
          <w:spacing w:val="8"/>
        </w:rPr>
        <w:t xml:space="preserve"> </w:t>
      </w:r>
      <w:r>
        <w:rPr>
          <w:spacing w:val="7"/>
        </w:rPr>
        <w:t>（</w:t>
      </w:r>
      <w:r>
        <w:rPr>
          <w:rFonts w:ascii="KaiTi" w:hAnsi="KaiTi" w:eastAsia="KaiTi" w:cs="KaiTi"/>
          <w:spacing w:val="7"/>
        </w:rPr>
        <w:t>责任单位：市工业和信息化局、公安局、市</w:t>
      </w:r>
      <w:r>
        <w:rPr>
          <w:rFonts w:ascii="KaiTi" w:hAnsi="KaiTi" w:eastAsia="KaiTi" w:cs="KaiTi"/>
          <w:spacing w:val="-6"/>
        </w:rPr>
        <w:t>委网信办，开发区管委会，各县〔区〕人民政府</w:t>
      </w:r>
      <w:r>
        <w:rPr>
          <w:spacing w:val="-6"/>
        </w:rPr>
        <w:t>）</w:t>
      </w:r>
    </w:p>
    <w:p>
      <w:pPr>
        <w:ind w:left="439"/>
        <w:spacing w:before="1"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三、保障措施</w:t>
      </w:r>
    </w:p>
    <w:p>
      <w:pPr>
        <w:pStyle w:val="BodyText"/>
        <w:ind w:left="7" w:right="107" w:firstLine="412"/>
        <w:spacing w:before="179" w:line="393" w:lineRule="auto"/>
        <w:rPr/>
      </w:pPr>
      <w:r>
        <w:rPr>
          <w:rFonts w:ascii="KaiTi" w:hAnsi="KaiTi" w:eastAsia="KaiTi" w:cs="KaiTi"/>
          <w:b/>
          <w:bCs/>
          <w:spacing w:val="4"/>
        </w:rPr>
        <w:t>（</w:t>
      </w:r>
      <w:r>
        <w:rPr>
          <w:rFonts w:ascii="KaiTi" w:hAnsi="KaiTi" w:eastAsia="KaiTi" w:cs="KaiTi"/>
          <w:spacing w:val="-52"/>
        </w:rPr>
        <w:t xml:space="preserve"> </w:t>
      </w:r>
      <w:r>
        <w:rPr>
          <w:rFonts w:ascii="KaiTi" w:hAnsi="KaiTi" w:eastAsia="KaiTi" w:cs="KaiTi"/>
          <w:b/>
          <w:bCs/>
          <w:spacing w:val="4"/>
        </w:rPr>
        <w:t>一）加大政策支持。</w:t>
      </w:r>
      <w:r>
        <w:rPr>
          <w:spacing w:val="4"/>
        </w:rPr>
        <w:t>积极争取国家、自</w:t>
      </w:r>
      <w:r>
        <w:rPr>
          <w:spacing w:val="7"/>
        </w:rPr>
        <w:t>治区制造业高质量发展、信息产业发展专项资</w:t>
      </w:r>
      <w:r>
        <w:rPr>
          <w:spacing w:val="7"/>
        </w:rPr>
        <w:t>金支持，统筹利用好企业纾困基金，加大对开</w:t>
      </w:r>
      <w:r>
        <w:rPr>
          <w:spacing w:val="7"/>
        </w:rPr>
        <w:t>展智能改造企业的支持力度。引导金融机构对</w:t>
      </w:r>
      <w:r>
        <w:rPr>
          <w:spacing w:val="7"/>
        </w:rPr>
        <w:t>开展智能改造企业给予低息贷款，提供知识产</w:t>
      </w:r>
      <w:r>
        <w:rPr>
          <w:spacing w:val="7"/>
        </w:rPr>
        <w:t>权贷款、信用贷款、融资租凭、质押担保等金</w:t>
      </w:r>
      <w:r>
        <w:rPr>
          <w:spacing w:val="7"/>
        </w:rPr>
        <w:t>融产品和服务。</w:t>
      </w:r>
    </w:p>
    <w:p>
      <w:pPr>
        <w:pStyle w:val="BodyText"/>
        <w:ind w:left="7" w:right="107" w:firstLine="412"/>
        <w:spacing w:before="171" w:line="384" w:lineRule="auto"/>
        <w:rPr/>
      </w:pPr>
      <w:r>
        <w:rPr>
          <w:rFonts w:ascii="KaiTi" w:hAnsi="KaiTi" w:eastAsia="KaiTi" w:cs="KaiTi"/>
          <w:b/>
          <w:bCs/>
          <w:spacing w:val="4"/>
        </w:rPr>
        <w:t>（</w:t>
      </w:r>
      <w:r>
        <w:rPr>
          <w:rFonts w:ascii="KaiTi" w:hAnsi="KaiTi" w:eastAsia="KaiTi" w:cs="KaiTi"/>
          <w:spacing w:val="-53"/>
        </w:rPr>
        <w:t xml:space="preserve"> </w:t>
      </w:r>
      <w:r>
        <w:rPr>
          <w:rFonts w:ascii="KaiTi" w:hAnsi="KaiTi" w:eastAsia="KaiTi" w:cs="KaiTi"/>
          <w:b/>
          <w:bCs/>
          <w:spacing w:val="4"/>
        </w:rPr>
        <w:t>二）强化人才支撑。</w:t>
      </w:r>
      <w:r>
        <w:rPr>
          <w:spacing w:val="4"/>
        </w:rPr>
        <w:t>充分利用落实我市</w:t>
      </w:r>
      <w:r>
        <w:rPr>
          <w:spacing w:val="7"/>
        </w:rPr>
        <w:t>出台的人才奖励政策措施，加大智能制造系统</w:t>
      </w:r>
      <w:r>
        <w:rPr>
          <w:spacing w:val="7"/>
        </w:rPr>
        <w:t>集成、工业控制及自动化、工业互联网等关键</w:t>
      </w:r>
      <w:r>
        <w:rPr>
          <w:spacing w:val="7"/>
        </w:rPr>
        <w:t>领域高层次人才引进和培育力度。加大对各级</w:t>
      </w:r>
      <w:r>
        <w:rPr>
          <w:spacing w:val="18"/>
        </w:rPr>
        <w:t>党政领导干部和企业家新一代信息技术应用</w:t>
      </w:r>
      <w:r>
        <w:rPr>
          <w:spacing w:val="8"/>
        </w:rPr>
        <w:t>培训，强化企业信息化</w:t>
      </w:r>
      <w:r>
        <w:rPr>
          <w:rFonts w:ascii="Times New Roman" w:hAnsi="Times New Roman" w:eastAsia="Times New Roman" w:cs="Times New Roman"/>
          <w:spacing w:val="8"/>
        </w:rPr>
        <w:t>“</w:t>
      </w:r>
      <w:r>
        <w:rPr>
          <w:spacing w:val="8"/>
        </w:rPr>
        <w:t>一把手</w:t>
      </w:r>
      <w:r>
        <w:rPr>
          <w:rFonts w:ascii="Times New Roman" w:hAnsi="Times New Roman" w:eastAsia="Times New Roman" w:cs="Times New Roman"/>
          <w:spacing w:val="8"/>
        </w:rPr>
        <w:t>”</w:t>
      </w:r>
      <w:r>
        <w:rPr>
          <w:spacing w:val="8"/>
        </w:rPr>
        <w:t>责任意识。</w:t>
      </w:r>
    </w:p>
    <w:p>
      <w:pPr>
        <w:pStyle w:val="BodyText"/>
        <w:ind w:left="6" w:right="91" w:firstLine="413"/>
        <w:spacing w:before="206" w:line="378" w:lineRule="auto"/>
        <w:rPr/>
      </w:pPr>
      <w:r>
        <w:rPr>
          <w:rFonts w:ascii="KaiTi" w:hAnsi="KaiTi" w:eastAsia="KaiTi" w:cs="KaiTi"/>
          <w:b/>
          <w:bCs/>
          <w:spacing w:val="3"/>
        </w:rPr>
        <w:t>（</w:t>
      </w:r>
      <w:r>
        <w:rPr>
          <w:rFonts w:ascii="KaiTi" w:hAnsi="KaiTi" w:eastAsia="KaiTi" w:cs="KaiTi"/>
          <w:spacing w:val="-34"/>
        </w:rPr>
        <w:t xml:space="preserve"> </w:t>
      </w:r>
      <w:r>
        <w:rPr>
          <w:rFonts w:ascii="KaiTi" w:hAnsi="KaiTi" w:eastAsia="KaiTi" w:cs="KaiTi"/>
          <w:b/>
          <w:bCs/>
          <w:spacing w:val="3"/>
        </w:rPr>
        <w:t>三）突出项目示范带动。</w:t>
      </w:r>
      <w:r>
        <w:rPr>
          <w:spacing w:val="3"/>
        </w:rPr>
        <w:t>依据中小企业</w:t>
      </w:r>
      <w:r>
        <w:rPr>
          <w:spacing w:val="7"/>
        </w:rPr>
        <w:t>赋能报告，根据企业所属行业、规模和信息化</w:t>
      </w:r>
      <w:r>
        <w:rPr>
          <w:spacing w:val="8"/>
        </w:rPr>
        <w:t>水平，梯次培育综合水平高、改造效果显著、</w:t>
      </w:r>
      <w:r>
        <w:rPr>
          <w:spacing w:val="7"/>
        </w:rPr>
        <w:t>示范带动强的标杆项目，引领相关企业开展智</w:t>
      </w:r>
      <w:r>
        <w:rPr>
          <w:spacing w:val="7"/>
        </w:rPr>
        <w:t>能改造。在自治区的指导下建立智能改造和工</w:t>
      </w:r>
      <w:r>
        <w:rPr>
          <w:spacing w:val="-5"/>
        </w:rPr>
        <w:t>业互联网重点项目库，分类施策推进项目实施。</w:t>
      </w:r>
    </w:p>
    <w:p>
      <w:pPr>
        <w:spacing w:line="378" w:lineRule="auto"/>
        <w:sectPr>
          <w:type w:val="continuous"/>
          <w:pgSz w:w="11906" w:h="16839"/>
          <w:pgMar w:top="1769" w:right="1475" w:bottom="1570" w:left="1588" w:header="1428" w:footer="1172" w:gutter="0"/>
          <w:cols w:equalWidth="0" w:num="2">
            <w:col w:w="4474" w:space="100"/>
            <w:col w:w="4270" w:space="0"/>
          </w:cols>
        </w:sectPr>
        <w:rPr/>
      </w:pPr>
    </w:p>
    <w:p>
      <w:pPr>
        <w:spacing w:line="356" w:lineRule="auto"/>
        <w:rPr>
          <w:rFonts w:ascii="Arial"/>
          <w:sz w:val="21"/>
        </w:rPr>
      </w:pPr>
      <w:r>
        <w:drawing>
          <wp:anchor distT="0" distB="0" distL="0" distR="0" simplePos="0" relativeHeight="252039168" behindDoc="0" locked="0" layoutInCell="1" allowOverlap="1">
            <wp:simplePos x="0" y="0"/>
            <wp:positionH relativeFrom="column">
              <wp:posOffset>5393</wp:posOffset>
            </wp:positionH>
            <wp:positionV relativeFrom="paragraph">
              <wp:posOffset>26132</wp:posOffset>
            </wp:positionV>
            <wp:extent cx="5579745" cy="7620"/>
            <wp:effectExtent l="0" t="0" r="0" b="0"/>
            <wp:wrapNone/>
            <wp:docPr id="1066" name="IM 1066"/>
            <wp:cNvGraphicFramePr/>
            <a:graphic>
              <a:graphicData uri="http://schemas.openxmlformats.org/drawingml/2006/picture">
                <pic:pic>
                  <pic:nvPicPr>
                    <pic:cNvPr id="1066" name="IM 1066"/>
                    <pic:cNvPicPr/>
                  </pic:nvPicPr>
                  <pic:blipFill>
                    <a:blip r:embed="rId535"/>
                    <a:stretch>
                      <a:fillRect/>
                    </a:stretch>
                  </pic:blipFill>
                  <pic:spPr>
                    <a:xfrm rot="0">
                      <a:off x="0" y="0"/>
                      <a:ext cx="5579745" cy="7620"/>
                    </a:xfrm>
                    <a:prstGeom prst="rect">
                      <a:avLst/>
                    </a:prstGeom>
                  </pic:spPr>
                </pic:pic>
              </a:graphicData>
            </a:graphic>
          </wp:anchor>
        </w:drawing>
      </w:r>
      <w:r/>
    </w:p>
    <w:p>
      <w:pPr>
        <w:spacing w:line="357" w:lineRule="auto"/>
        <w:rPr>
          <w:rFonts w:ascii="Arial"/>
          <w:sz w:val="21"/>
        </w:rPr>
      </w:pPr>
      <w:r/>
    </w:p>
    <w:p>
      <w:pPr>
        <w:ind w:left="1982"/>
        <w:spacing w:before="184" w:line="180"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7"/>
        </w:rPr>
        <w:t>固原市人民政府关于印发</w:t>
      </w:r>
    </w:p>
    <w:p>
      <w:pPr>
        <w:ind w:left="389"/>
        <w:spacing w:before="2" w:line="215"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11"/>
        </w:rPr>
        <w:t>《固原市安全生产行政责任规定》的通知</w:t>
      </w:r>
    </w:p>
    <w:p>
      <w:pPr>
        <w:pStyle w:val="BodyText"/>
        <w:ind w:left="6716"/>
        <w:spacing w:before="187" w:line="279" w:lineRule="exact"/>
        <w:rPr/>
      </w:pPr>
      <w:r>
        <w:rPr>
          <w:spacing w:val="1"/>
          <w:position w:val="1"/>
        </w:rPr>
        <w:t>固政规发〔</w:t>
      </w:r>
      <w:r>
        <w:rPr>
          <w:rFonts w:ascii="Times New Roman" w:hAnsi="Times New Roman" w:eastAsia="Times New Roman" w:cs="Times New Roman"/>
          <w:spacing w:val="1"/>
          <w:position w:val="1"/>
        </w:rPr>
        <w:t>2021 </w:t>
      </w:r>
      <w:r>
        <w:rPr>
          <w:spacing w:val="1"/>
          <w:position w:val="1"/>
        </w:rPr>
        <w:t>〕</w:t>
      </w:r>
      <w:r>
        <w:rPr>
          <w:rFonts w:ascii="Times New Roman" w:hAnsi="Times New Roman" w:eastAsia="Times New Roman" w:cs="Times New Roman"/>
          <w:spacing w:val="1"/>
          <w:position w:val="1"/>
        </w:rPr>
        <w:t>1 </w:t>
      </w:r>
      <w:r>
        <w:rPr>
          <w:spacing w:val="1"/>
          <w:position w:val="1"/>
        </w:rPr>
        <w:t>号</w:t>
      </w:r>
    </w:p>
    <w:p>
      <w:pPr>
        <w:spacing w:line="355" w:lineRule="auto"/>
        <w:rPr>
          <w:rFonts w:ascii="Arial"/>
          <w:sz w:val="21"/>
        </w:rPr>
      </w:pPr>
      <w:r/>
    </w:p>
    <w:p>
      <w:pPr>
        <w:pStyle w:val="BodyText"/>
        <w:ind w:left="13"/>
        <w:spacing w:before="65" w:line="277" w:lineRule="exact"/>
        <w:rPr/>
      </w:pPr>
      <w:r>
        <w:rPr>
          <w:spacing w:val="7"/>
          <w:position w:val="1"/>
        </w:rPr>
        <w:t>各县（</w:t>
      </w:r>
      <w:r>
        <w:rPr>
          <w:spacing w:val="-37"/>
          <w:position w:val="1"/>
        </w:rPr>
        <w:t xml:space="preserve"> </w:t>
      </w:r>
      <w:r>
        <w:rPr>
          <w:spacing w:val="7"/>
          <w:position w:val="1"/>
        </w:rPr>
        <w:t>区）人民政府，市政府各部门、派出机构、事业单位：</w:t>
      </w:r>
    </w:p>
    <w:p>
      <w:pPr>
        <w:pStyle w:val="BodyText"/>
        <w:ind w:left="12" w:right="62" w:firstLine="404"/>
        <w:spacing w:before="102" w:line="333" w:lineRule="auto"/>
        <w:rPr/>
      </w:pPr>
      <w:r>
        <w:rPr>
          <w:spacing w:val="10"/>
        </w:rPr>
        <w:t>《固原市安全生产行政责任规定》已经市人民政府第</w:t>
      </w:r>
      <w:r>
        <w:rPr>
          <w:spacing w:val="-37"/>
        </w:rPr>
        <w:t xml:space="preserve"> </w:t>
      </w:r>
      <w:r>
        <w:rPr>
          <w:rFonts w:ascii="Times New Roman" w:hAnsi="Times New Roman" w:eastAsia="Times New Roman" w:cs="Times New Roman"/>
          <w:spacing w:val="10"/>
        </w:rPr>
        <w:t>57 </w:t>
      </w:r>
      <w:r>
        <w:rPr>
          <w:spacing w:val="10"/>
        </w:rPr>
        <w:t>次常务会议研究通过，现印</w:t>
      </w:r>
      <w:r>
        <w:rPr>
          <w:spacing w:val="9"/>
        </w:rPr>
        <w:t>发给你</w:t>
      </w:r>
      <w:r>
        <w:rPr>
          <w:spacing w:val="8"/>
        </w:rPr>
        <w:t>们，请认真贯彻执行。</w:t>
      </w:r>
    </w:p>
    <w:p>
      <w:pPr>
        <w:spacing w:line="355" w:lineRule="auto"/>
        <w:rPr>
          <w:rFonts w:ascii="Arial"/>
          <w:sz w:val="21"/>
        </w:rPr>
      </w:pPr>
      <w:r/>
    </w:p>
    <w:p>
      <w:pPr>
        <w:pStyle w:val="BodyText"/>
        <w:ind w:left="7200"/>
        <w:spacing w:before="65" w:line="218" w:lineRule="auto"/>
        <w:rPr/>
      </w:pPr>
      <w:r>
        <w:rPr>
          <w:spacing w:val="6"/>
        </w:rPr>
        <w:t>固原市人民政府</w:t>
      </w:r>
    </w:p>
    <w:p>
      <w:pPr>
        <w:pStyle w:val="BodyText"/>
        <w:ind w:right="34"/>
        <w:spacing w:before="144" w:line="218" w:lineRule="auto"/>
        <w:jc w:val="right"/>
        <w:rPr/>
      </w:pPr>
      <w:r>
        <w:rPr>
          <w:rFonts w:ascii="Times New Roman" w:hAnsi="Times New Roman" w:eastAsia="Times New Roman" w:cs="Times New Roman"/>
        </w:rPr>
        <w:t>2021 </w:t>
      </w:r>
      <w:r>
        <w:rPr/>
        <w:t>年</w:t>
      </w:r>
      <w:r>
        <w:rPr>
          <w:spacing w:val="-9"/>
        </w:rPr>
        <w:t xml:space="preserve"> </w:t>
      </w:r>
      <w:r>
        <w:rPr>
          <w:rFonts w:ascii="Times New Roman" w:hAnsi="Times New Roman" w:eastAsia="Times New Roman" w:cs="Times New Roman"/>
        </w:rPr>
        <w:t>1</w:t>
      </w:r>
      <w:r>
        <w:rPr>
          <w:rFonts w:ascii="Times New Roman" w:hAnsi="Times New Roman" w:eastAsia="Times New Roman" w:cs="Times New Roman"/>
          <w:spacing w:val="9"/>
        </w:rPr>
        <w:t xml:space="preserve"> </w:t>
      </w:r>
      <w:r>
        <w:rPr/>
        <w:t>月</w:t>
      </w:r>
      <w:r>
        <w:rPr>
          <w:spacing w:val="-41"/>
        </w:rPr>
        <w:t xml:space="preserve"> </w:t>
      </w:r>
      <w:r>
        <w:rPr>
          <w:rFonts w:ascii="Times New Roman" w:hAnsi="Times New Roman" w:eastAsia="Times New Roman" w:cs="Times New Roman"/>
        </w:rPr>
        <w:t>29  </w:t>
      </w:r>
      <w:r>
        <w:rPr/>
        <w:t>日</w:t>
      </w:r>
    </w:p>
    <w:p>
      <w:pPr>
        <w:pStyle w:val="BodyText"/>
        <w:ind w:left="424"/>
        <w:spacing w:before="154" w:line="277" w:lineRule="exact"/>
        <w:rPr/>
      </w:pPr>
      <w:r>
        <w:rPr>
          <w:spacing w:val="10"/>
          <w:position w:val="1"/>
        </w:rPr>
        <w:t>（此件公开发布）</w:t>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ind w:left="1543"/>
        <w:spacing w:before="186" w:line="216"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7"/>
        </w:rPr>
        <w:t>固原市安全生产行政责任规定</w:t>
      </w:r>
    </w:p>
    <w:p>
      <w:pPr>
        <w:spacing w:before="15"/>
        <w:rPr/>
      </w:pPr>
      <w:r/>
    </w:p>
    <w:p>
      <w:pPr>
        <w:spacing w:before="15"/>
        <w:rPr/>
      </w:pPr>
      <w:r/>
    </w:p>
    <w:p>
      <w:pPr>
        <w:sectPr>
          <w:headerReference w:type="default" r:id="rId533"/>
          <w:footerReference w:type="default" r:id="rId534"/>
          <w:pgSz w:w="11906" w:h="16839"/>
          <w:pgMar w:top="1766" w:right="1526" w:bottom="1563" w:left="1579" w:header="1428" w:footer="1172" w:gutter="0"/>
          <w:cols w:equalWidth="0" w:num="1">
            <w:col w:w="8801" w:space="0"/>
          </w:cols>
        </w:sectPr>
        <w:rPr/>
      </w:pPr>
    </w:p>
    <w:p>
      <w:pPr>
        <w:ind w:left="1359"/>
        <w:spacing w:before="61" w:line="18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第一章</w:t>
      </w:r>
      <w:r>
        <w:rPr>
          <w:rFonts w:ascii="Microsoft YaHei" w:hAnsi="Microsoft YaHei" w:eastAsia="Microsoft YaHei" w:cs="Microsoft YaHei"/>
          <w:sz w:val="20"/>
          <w:szCs w:val="20"/>
          <w:spacing w:val="17"/>
        </w:rPr>
        <w:t xml:space="preserve">   </w:t>
      </w:r>
      <w:r>
        <w:rPr>
          <w:rFonts w:ascii="Microsoft YaHei" w:hAnsi="Microsoft YaHei" w:eastAsia="Microsoft YaHei" w:cs="Microsoft YaHei"/>
          <w:sz w:val="20"/>
          <w:szCs w:val="20"/>
          <w:spacing w:val="2"/>
        </w:rPr>
        <w:t>总</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2"/>
        </w:rPr>
        <w:t>则</w:t>
      </w:r>
    </w:p>
    <w:p>
      <w:pPr>
        <w:spacing w:line="333" w:lineRule="auto"/>
        <w:rPr>
          <w:rFonts w:ascii="Arial"/>
          <w:sz w:val="21"/>
        </w:rPr>
      </w:pPr>
      <w:r/>
    </w:p>
    <w:p>
      <w:pPr>
        <w:pStyle w:val="BodyText"/>
        <w:ind w:left="11" w:right="330" w:firstLine="428"/>
        <w:spacing w:before="86" w:line="325" w:lineRule="auto"/>
        <w:rPr/>
      </w:pPr>
      <w:r>
        <w:rPr>
          <w:rFonts w:ascii="Microsoft YaHei" w:hAnsi="Microsoft YaHei" w:eastAsia="Microsoft YaHei" w:cs="Microsoft YaHei"/>
          <w:spacing w:val="16"/>
        </w:rPr>
        <w:t>第一条</w:t>
      </w:r>
      <w:r>
        <w:rPr>
          <w:rFonts w:ascii="Microsoft YaHei" w:hAnsi="Microsoft YaHei" w:eastAsia="Microsoft YaHei" w:cs="Microsoft YaHei"/>
          <w:spacing w:val="6"/>
        </w:rPr>
        <w:t xml:space="preserve">    </w:t>
      </w:r>
      <w:r>
        <w:rPr>
          <w:spacing w:val="16"/>
        </w:rPr>
        <w:t>为了明确各级政府以及政府有</w:t>
      </w:r>
      <w:r>
        <w:rPr>
          <w:spacing w:val="4"/>
        </w:rPr>
        <w:t>关部门、单位（</w:t>
      </w:r>
      <w:r>
        <w:rPr>
          <w:spacing w:val="-34"/>
        </w:rPr>
        <w:t xml:space="preserve"> </w:t>
      </w:r>
      <w:r>
        <w:rPr>
          <w:spacing w:val="4"/>
        </w:rPr>
        <w:t>以下简称有关部门）的安全生</w:t>
      </w:r>
      <w:r>
        <w:rPr>
          <w:spacing w:val="7"/>
        </w:rPr>
        <w:t>产工作职责，健全安全生产行政责任制，加强</w:t>
      </w:r>
      <w:r>
        <w:rPr>
          <w:spacing w:val="7"/>
        </w:rPr>
        <w:t>安全生产监督管理，保障人民群众生命财产安</w:t>
      </w:r>
      <w:r>
        <w:rPr>
          <w:spacing w:val="7"/>
        </w:rPr>
        <w:t>全，促进经济社会发展，根据《中华人民共和</w:t>
      </w:r>
      <w:r>
        <w:rPr>
          <w:spacing w:val="7"/>
        </w:rPr>
        <w:t>国安全生产法》以及《宁夏回族自治区安全生</w:t>
      </w:r>
      <w:r>
        <w:rPr>
          <w:spacing w:val="7"/>
        </w:rPr>
        <w:t>产条例》《宁夏回族自治区安全生产行政责任</w:t>
      </w:r>
      <w:r>
        <w:rPr>
          <w:spacing w:val="7"/>
        </w:rPr>
        <w:t>规定》等有关法律、法规的规定，结合我市实</w:t>
      </w:r>
      <w:r>
        <w:rPr>
          <w:spacing w:val="8"/>
        </w:rPr>
        <w:t>际，制定本规定。</w:t>
      </w:r>
    </w:p>
    <w:p>
      <w:pPr>
        <w:pStyle w:val="BodyText"/>
        <w:ind w:left="12" w:right="330" w:firstLine="427"/>
        <w:spacing w:before="137" w:line="288" w:lineRule="auto"/>
        <w:rPr/>
      </w:pPr>
      <w:r>
        <w:rPr>
          <w:rFonts w:ascii="Microsoft YaHei" w:hAnsi="Microsoft YaHei" w:eastAsia="Microsoft YaHei" w:cs="Microsoft YaHei"/>
          <w:spacing w:val="3"/>
        </w:rPr>
        <w:t>第二条</w:t>
      </w:r>
      <w:r>
        <w:rPr>
          <w:rFonts w:ascii="Microsoft YaHei" w:hAnsi="Microsoft YaHei" w:eastAsia="Microsoft YaHei" w:cs="Microsoft YaHei"/>
          <w:spacing w:val="14"/>
        </w:rPr>
        <w:t xml:space="preserve">   </w:t>
      </w:r>
      <w:r>
        <w:rPr>
          <w:spacing w:val="3"/>
        </w:rPr>
        <w:t>市、县（</w:t>
      </w:r>
      <w:r>
        <w:rPr>
          <w:spacing w:val="-53"/>
        </w:rPr>
        <w:t xml:space="preserve"> </w:t>
      </w:r>
      <w:r>
        <w:rPr>
          <w:spacing w:val="3"/>
        </w:rPr>
        <w:t>区）人民政府领导本行</w:t>
      </w:r>
      <w:r>
        <w:rPr>
          <w:spacing w:val="7"/>
        </w:rPr>
        <w:t>政区域内的安全生产工作，政府主要负责人为</w:t>
      </w:r>
      <w:r>
        <w:rPr>
          <w:spacing w:val="7"/>
        </w:rPr>
        <w:t>本辖区安全生产第一责任人；分管安全生产的</w:t>
      </w:r>
      <w:r>
        <w:rPr>
          <w:spacing w:val="7"/>
        </w:rPr>
        <w:t>负责人对安全生产工作负直接领导责任；其他</w:t>
      </w:r>
    </w:p>
    <w:p>
      <w:pPr>
        <w:spacing w:line="14" w:lineRule="auto"/>
        <w:rPr>
          <w:rFonts w:ascii="Arial"/>
          <w:sz w:val="2"/>
        </w:rPr>
      </w:pPr>
      <w:r>
        <w:rPr>
          <w:rFonts w:ascii="Arial" w:hAnsi="Arial" w:eastAsia="Arial" w:cs="Arial"/>
          <w:sz w:val="2"/>
          <w:szCs w:val="2"/>
        </w:rPr>
        <w:br w:type="column"/>
      </w:r>
    </w:p>
    <w:p>
      <w:pPr>
        <w:pStyle w:val="BodyText"/>
        <w:ind w:left="1" w:right="64" w:firstLine="4"/>
        <w:spacing w:before="40" w:line="349" w:lineRule="auto"/>
        <w:rPr/>
      </w:pPr>
      <w:r>
        <w:rPr>
          <w:spacing w:val="7"/>
        </w:rPr>
        <w:t>负责人按照一岗双责制度，对分管范围内的安</w:t>
      </w:r>
      <w:r>
        <w:rPr>
          <w:spacing w:val="8"/>
        </w:rPr>
        <w:t>全生产工作负领导责任。</w:t>
      </w:r>
    </w:p>
    <w:p>
      <w:pPr>
        <w:pStyle w:val="BodyText"/>
        <w:ind w:right="64" w:firstLine="427"/>
        <w:spacing w:before="2" w:line="314" w:lineRule="auto"/>
        <w:jc w:val="both"/>
        <w:rPr/>
      </w:pPr>
      <w:r>
        <w:rPr>
          <w:rFonts w:ascii="Microsoft YaHei" w:hAnsi="Microsoft YaHei" w:eastAsia="Microsoft YaHei" w:cs="Microsoft YaHei"/>
          <w:spacing w:val="3"/>
        </w:rPr>
        <w:t>第三条</w:t>
      </w:r>
      <w:r>
        <w:rPr>
          <w:rFonts w:ascii="Microsoft YaHei" w:hAnsi="Microsoft YaHei" w:eastAsia="Microsoft YaHei" w:cs="Microsoft YaHei"/>
          <w:spacing w:val="13"/>
        </w:rPr>
        <w:t xml:space="preserve">   </w:t>
      </w:r>
      <w:r>
        <w:rPr>
          <w:spacing w:val="3"/>
        </w:rPr>
        <w:t>市、县（</w:t>
      </w:r>
      <w:r>
        <w:rPr>
          <w:spacing w:val="-50"/>
        </w:rPr>
        <w:t xml:space="preserve"> </w:t>
      </w:r>
      <w:r>
        <w:rPr>
          <w:spacing w:val="3"/>
        </w:rPr>
        <w:t>区）人民政府应急管理</w:t>
      </w:r>
      <w:r>
        <w:rPr>
          <w:spacing w:val="18"/>
        </w:rPr>
        <w:t>部门对本行政区域内的安全生产工作实施综</w:t>
      </w:r>
      <w:r>
        <w:rPr>
          <w:spacing w:val="7"/>
        </w:rPr>
        <w:t>合监督管理。</w:t>
      </w:r>
    </w:p>
    <w:p>
      <w:pPr>
        <w:pStyle w:val="BodyText"/>
        <w:ind w:firstLine="422"/>
        <w:spacing w:before="8" w:line="350" w:lineRule="auto"/>
        <w:jc w:val="both"/>
        <w:rPr/>
      </w:pPr>
      <w:r>
        <w:rPr>
          <w:spacing w:val="-1"/>
        </w:rPr>
        <w:t>市、县（区）人民政府其他有关主管部门，</w:t>
      </w:r>
      <w:r>
        <w:rPr>
          <w:spacing w:val="10"/>
        </w:rPr>
        <w:t>按照管行业必须管安全、管业务必须管安全、</w:t>
      </w:r>
      <w:r>
        <w:rPr>
          <w:spacing w:val="7"/>
        </w:rPr>
        <w:t>管生产经营必须管安全的原则，在各自职责范</w:t>
      </w:r>
      <w:r>
        <w:rPr>
          <w:spacing w:val="9"/>
        </w:rPr>
        <w:t>围内依法依规做好安全生产监督管理工作。</w:t>
      </w:r>
    </w:p>
    <w:p>
      <w:pPr>
        <w:pStyle w:val="BodyText"/>
        <w:ind w:left="1" w:right="44" w:firstLine="425"/>
        <w:spacing w:before="4" w:line="306" w:lineRule="auto"/>
        <w:rPr/>
      </w:pPr>
      <w:r>
        <w:rPr>
          <w:rFonts w:ascii="Microsoft YaHei" w:hAnsi="Microsoft YaHei" w:eastAsia="Microsoft YaHei" w:cs="Microsoft YaHei"/>
          <w:spacing w:val="6"/>
        </w:rPr>
        <w:t>第四条</w:t>
      </w:r>
      <w:r>
        <w:rPr>
          <w:rFonts w:ascii="Microsoft YaHei" w:hAnsi="Microsoft YaHei" w:eastAsia="Microsoft YaHei" w:cs="Microsoft YaHei"/>
          <w:spacing w:val="12"/>
        </w:rPr>
        <w:t xml:space="preserve">   </w:t>
      </w:r>
      <w:r>
        <w:rPr>
          <w:spacing w:val="6"/>
        </w:rPr>
        <w:t>安全生产监督管理体制，坚持属</w:t>
      </w:r>
      <w:r>
        <w:rPr>
          <w:spacing w:val="8"/>
        </w:rPr>
        <w:t>地监管与分级监管相结合，以属地监管为主。</w:t>
      </w:r>
    </w:p>
    <w:p>
      <w:pPr>
        <w:ind w:left="1243"/>
        <w:spacing w:before="215" w:line="18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第二章</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6"/>
        </w:rPr>
        <w:t>政府责任</w:t>
      </w:r>
    </w:p>
    <w:p>
      <w:pPr>
        <w:spacing w:line="246" w:lineRule="auto"/>
        <w:rPr>
          <w:rFonts w:ascii="Arial"/>
          <w:sz w:val="21"/>
        </w:rPr>
      </w:pPr>
      <w:r/>
    </w:p>
    <w:p>
      <w:pPr>
        <w:pStyle w:val="BodyText"/>
        <w:ind w:left="427"/>
        <w:spacing w:before="86" w:line="213" w:lineRule="auto"/>
        <w:rPr/>
      </w:pPr>
      <w:r>
        <w:rPr>
          <w:rFonts w:ascii="Microsoft YaHei" w:hAnsi="Microsoft YaHei" w:eastAsia="Microsoft YaHei" w:cs="Microsoft YaHei"/>
          <w:spacing w:val="3"/>
        </w:rPr>
        <w:t>第五条</w:t>
      </w:r>
      <w:r>
        <w:rPr>
          <w:rFonts w:ascii="Microsoft YaHei" w:hAnsi="Microsoft YaHei" w:eastAsia="Microsoft YaHei" w:cs="Microsoft YaHei"/>
          <w:spacing w:val="13"/>
        </w:rPr>
        <w:t xml:space="preserve">   </w:t>
      </w:r>
      <w:r>
        <w:rPr>
          <w:spacing w:val="3"/>
        </w:rPr>
        <w:t>市、县（</w:t>
      </w:r>
      <w:r>
        <w:rPr>
          <w:spacing w:val="-50"/>
        </w:rPr>
        <w:t xml:space="preserve"> </w:t>
      </w:r>
      <w:r>
        <w:rPr>
          <w:spacing w:val="3"/>
        </w:rPr>
        <w:t>区）人民政府应当落实</w:t>
      </w:r>
    </w:p>
    <w:p>
      <w:pPr>
        <w:spacing w:line="213" w:lineRule="auto"/>
        <w:sectPr>
          <w:type w:val="continuous"/>
          <w:pgSz w:w="11906" w:h="16839"/>
          <w:pgMar w:top="1766" w:right="1526" w:bottom="1563" w:left="1579" w:header="1428" w:footer="1172" w:gutter="0"/>
          <w:cols w:equalWidth="0" w:num="2">
            <w:col w:w="4490" w:space="100"/>
            <w:col w:w="4211" w:space="0"/>
          </w:cols>
        </w:sectPr>
        <w:rPr/>
      </w:pPr>
    </w:p>
    <w:p>
      <w:pPr>
        <w:spacing w:before="65"/>
        <w:rPr/>
      </w:pPr>
      <w:r>
        <w:drawing>
          <wp:anchor distT="0" distB="0" distL="0" distR="0" simplePos="0" relativeHeight="252041216" behindDoc="0" locked="0" layoutInCell="0" allowOverlap="1">
            <wp:simplePos x="0" y="0"/>
            <wp:positionH relativeFrom="page">
              <wp:posOffset>1008380</wp:posOffset>
            </wp:positionH>
            <wp:positionV relativeFrom="page">
              <wp:posOffset>1122680</wp:posOffset>
            </wp:positionV>
            <wp:extent cx="5579745" cy="7619"/>
            <wp:effectExtent l="0" t="0" r="0" b="0"/>
            <wp:wrapNone/>
            <wp:docPr id="1072" name="IM 1072"/>
            <wp:cNvGraphicFramePr/>
            <a:graphic>
              <a:graphicData uri="http://schemas.openxmlformats.org/drawingml/2006/picture">
                <pic:pic>
                  <pic:nvPicPr>
                    <pic:cNvPr id="1072" name="IM 1072"/>
                    <pic:cNvPicPr/>
                  </pic:nvPicPr>
                  <pic:blipFill>
                    <a:blip r:embed="rId538"/>
                    <a:stretch>
                      <a:fillRect/>
                    </a:stretch>
                  </pic:blipFill>
                  <pic:spPr>
                    <a:xfrm rot="0">
                      <a:off x="0" y="0"/>
                      <a:ext cx="5579745" cy="7619"/>
                    </a:xfrm>
                    <a:prstGeom prst="rect">
                      <a:avLst/>
                    </a:prstGeom>
                  </pic:spPr>
                </pic:pic>
              </a:graphicData>
            </a:graphic>
          </wp:anchor>
        </w:drawing>
      </w:r>
      <w:r/>
    </w:p>
    <w:p>
      <w:pPr>
        <w:sectPr>
          <w:headerReference w:type="default" r:id="rId536"/>
          <w:footerReference w:type="default" r:id="rId537"/>
          <w:pgSz w:w="11906" w:h="16839"/>
          <w:pgMar w:top="1769" w:right="1489" w:bottom="1570" w:left="1588" w:header="1428" w:footer="1172" w:gutter="0"/>
          <w:cols w:equalWidth="0" w:num="1">
            <w:col w:w="8829" w:space="0"/>
          </w:cols>
        </w:sectPr>
        <w:rPr/>
      </w:pPr>
    </w:p>
    <w:p>
      <w:pPr>
        <w:pStyle w:val="BodyText"/>
        <w:ind w:left="5"/>
        <w:spacing w:before="47" w:line="278" w:lineRule="exact"/>
        <w:rPr/>
      </w:pPr>
      <w:r>
        <w:rPr>
          <w:spacing w:val="8"/>
          <w:position w:val="1"/>
        </w:rPr>
        <w:t>安全生产工作责任制，履行下列职责：</w:t>
      </w:r>
    </w:p>
    <w:p>
      <w:pPr>
        <w:pStyle w:val="BodyText"/>
        <w:ind w:left="4" w:right="328" w:firstLine="411"/>
        <w:spacing w:before="126" w:line="301" w:lineRule="auto"/>
        <w:rPr/>
      </w:pPr>
      <w:r>
        <w:rPr>
          <w:spacing w:val="7"/>
        </w:rPr>
        <w:t>（一）将安全生产纳入国民经济和社会发</w:t>
      </w:r>
      <w:r>
        <w:rPr>
          <w:spacing w:val="9"/>
        </w:rPr>
        <w:t>展总体规划，制定专项规划并组织实施；</w:t>
      </w:r>
    </w:p>
    <w:p>
      <w:pPr>
        <w:pStyle w:val="BodyText"/>
        <w:ind w:left="3" w:right="328" w:firstLine="413"/>
        <w:spacing w:before="160" w:line="326" w:lineRule="auto"/>
        <w:rPr/>
      </w:pPr>
      <w:r>
        <w:rPr>
          <w:spacing w:val="7"/>
        </w:rPr>
        <w:t>（二）建立健全安全生产协调机制，定期</w:t>
      </w:r>
      <w:r>
        <w:rPr>
          <w:spacing w:val="7"/>
        </w:rPr>
        <w:t>研究部署安全生产工作，及时协调、解决相关</w:t>
      </w:r>
      <w:r>
        <w:rPr>
          <w:spacing w:val="7"/>
        </w:rPr>
        <w:t>重大问题；</w:t>
      </w:r>
    </w:p>
    <w:p>
      <w:pPr>
        <w:pStyle w:val="BodyText"/>
        <w:ind w:left="3" w:right="328" w:firstLine="413"/>
        <w:spacing w:before="158" w:line="301" w:lineRule="auto"/>
        <w:rPr/>
      </w:pPr>
      <w:r>
        <w:rPr>
          <w:spacing w:val="7"/>
        </w:rPr>
        <w:t>（三）建立健全安全生产行政责任制，实</w:t>
      </w:r>
      <w:r>
        <w:rPr>
          <w:spacing w:val="-3"/>
        </w:rPr>
        <w:t>施安全生产目标责任管理，确保工作所需经费；</w:t>
      </w:r>
    </w:p>
    <w:p>
      <w:pPr>
        <w:pStyle w:val="BodyText"/>
        <w:ind w:left="4" w:right="328" w:firstLine="412"/>
        <w:spacing w:before="160" w:line="326" w:lineRule="auto"/>
        <w:rPr/>
      </w:pPr>
      <w:r>
        <w:rPr>
          <w:spacing w:val="4"/>
        </w:rPr>
        <w:t>（</w:t>
      </w:r>
      <w:r>
        <w:rPr>
          <w:spacing w:val="-39"/>
        </w:rPr>
        <w:t xml:space="preserve"> </w:t>
      </w:r>
      <w:r>
        <w:rPr>
          <w:spacing w:val="4"/>
        </w:rPr>
        <w:t>四）建立安全生产巡查制度，督促本级</w:t>
      </w:r>
      <w:r>
        <w:rPr>
          <w:spacing w:val="18"/>
        </w:rPr>
        <w:t>人民政府有关主管部门和下级人民政府加强</w:t>
      </w:r>
      <w:r>
        <w:rPr>
          <w:spacing w:val="7"/>
        </w:rPr>
        <w:t>安全生产工作；</w:t>
      </w:r>
    </w:p>
    <w:p>
      <w:pPr>
        <w:pStyle w:val="BodyText"/>
        <w:ind w:left="4" w:right="321" w:firstLine="412"/>
        <w:spacing w:before="155" w:line="346" w:lineRule="auto"/>
        <w:rPr/>
      </w:pPr>
      <w:r>
        <w:rPr>
          <w:spacing w:val="7"/>
        </w:rPr>
        <w:t>（五）建立安全风险管控和隐患排查治理</w:t>
      </w:r>
      <w:r>
        <w:rPr>
          <w:spacing w:val="7"/>
        </w:rPr>
        <w:t>双重预防体系，组织有关主管部门对本行政区</w:t>
      </w:r>
      <w:r>
        <w:rPr>
          <w:spacing w:val="18"/>
        </w:rPr>
        <w:t>域内容易发生重大生产安全事故的生产经营</w:t>
      </w:r>
      <w:r>
        <w:rPr>
          <w:spacing w:val="7"/>
        </w:rPr>
        <w:t>单位进行监督检查，督促整治重大安全隐患，</w:t>
      </w:r>
      <w:r>
        <w:rPr>
          <w:spacing w:val="8"/>
        </w:rPr>
        <w:t>依法关闭违法生产经营单位；</w:t>
      </w:r>
    </w:p>
    <w:p>
      <w:pPr>
        <w:pStyle w:val="BodyText"/>
        <w:ind w:left="4" w:right="328" w:firstLine="411"/>
        <w:spacing w:before="160" w:line="301" w:lineRule="auto"/>
        <w:rPr/>
      </w:pPr>
      <w:r>
        <w:rPr>
          <w:spacing w:val="7"/>
        </w:rPr>
        <w:t>（六）加强安全生产执法监管能力和服务</w:t>
      </w:r>
      <w:r>
        <w:rPr>
          <w:spacing w:val="8"/>
        </w:rPr>
        <w:t>体系建设，提升信息化管理水平；</w:t>
      </w:r>
    </w:p>
    <w:p>
      <w:pPr>
        <w:pStyle w:val="BodyText"/>
        <w:ind w:left="3" w:right="328" w:firstLine="413"/>
        <w:spacing w:before="159" w:line="338" w:lineRule="auto"/>
        <w:rPr/>
      </w:pPr>
      <w:r>
        <w:rPr>
          <w:spacing w:val="7"/>
        </w:rPr>
        <w:t>（七）建立健全生产安全事故应急救援体</w:t>
      </w:r>
      <w:r>
        <w:rPr>
          <w:spacing w:val="7"/>
        </w:rPr>
        <w:t>系，组织有关主管部门制定事故应急救援预案</w:t>
      </w:r>
      <w:r>
        <w:rPr>
          <w:spacing w:val="15"/>
        </w:rPr>
        <w:t>并定期开展演练</w:t>
      </w:r>
      <w:r>
        <w:rPr>
          <w:spacing w:val="-39"/>
        </w:rPr>
        <w:t xml:space="preserve"> </w:t>
      </w:r>
      <w:r>
        <w:rPr>
          <w:spacing w:val="15"/>
        </w:rPr>
        <w:t>，按照预案要求组织应急救</w:t>
      </w:r>
      <w:r>
        <w:rPr>
          <w:spacing w:val="8"/>
        </w:rPr>
        <w:t>援，依法开展事故调查处理；</w:t>
      </w:r>
    </w:p>
    <w:p>
      <w:pPr>
        <w:pStyle w:val="BodyText"/>
        <w:ind w:left="416"/>
        <w:spacing w:before="159" w:line="278" w:lineRule="exact"/>
        <w:rPr/>
      </w:pPr>
      <w:r>
        <w:rPr>
          <w:spacing w:val="9"/>
          <w:position w:val="1"/>
        </w:rPr>
        <w:t>（八）法律、法规规定的其他职责。</w:t>
      </w:r>
    </w:p>
    <w:p>
      <w:pPr>
        <w:pStyle w:val="BodyText"/>
        <w:ind w:left="4" w:right="328" w:firstLine="427"/>
        <w:spacing w:before="129" w:line="347" w:lineRule="auto"/>
        <w:jc w:val="both"/>
        <w:rPr/>
      </w:pPr>
      <w:r>
        <w:rPr>
          <w:rFonts w:ascii="Microsoft YaHei" w:hAnsi="Microsoft YaHei" w:eastAsia="Microsoft YaHei" w:cs="Microsoft YaHei"/>
          <w:spacing w:val="3"/>
        </w:rPr>
        <w:t>第六条</w:t>
      </w:r>
      <w:r>
        <w:rPr>
          <w:rFonts w:ascii="Microsoft YaHei" w:hAnsi="Microsoft YaHei" w:eastAsia="Microsoft YaHei" w:cs="Microsoft YaHei"/>
          <w:spacing w:val="13"/>
        </w:rPr>
        <w:t xml:space="preserve">   </w:t>
      </w:r>
      <w:r>
        <w:rPr>
          <w:spacing w:val="3"/>
        </w:rPr>
        <w:t>市、县（</w:t>
      </w:r>
      <w:r>
        <w:rPr>
          <w:spacing w:val="-50"/>
        </w:rPr>
        <w:t xml:space="preserve"> </w:t>
      </w:r>
      <w:r>
        <w:rPr>
          <w:spacing w:val="3"/>
        </w:rPr>
        <w:t>区）人民政府设立安全</w:t>
      </w:r>
      <w:r>
        <w:rPr>
          <w:spacing w:val="9"/>
        </w:rPr>
        <w:t>生产委员会（</w:t>
      </w:r>
      <w:r>
        <w:rPr>
          <w:spacing w:val="-47"/>
        </w:rPr>
        <w:t xml:space="preserve"> </w:t>
      </w:r>
      <w:r>
        <w:rPr>
          <w:spacing w:val="9"/>
        </w:rPr>
        <w:t>以下简称安委会</w:t>
      </w:r>
      <w:r>
        <w:rPr>
          <w:spacing w:val="-35"/>
        </w:rPr>
        <w:t>），</w:t>
      </w:r>
      <w:r>
        <w:rPr>
          <w:spacing w:val="9"/>
        </w:rPr>
        <w:t>作为本级人</w:t>
      </w:r>
      <w:r>
        <w:rPr>
          <w:spacing w:val="7"/>
        </w:rPr>
        <w:t>民政府安全生产议事协调机构，在本级人民政</w:t>
      </w:r>
      <w:r>
        <w:rPr>
          <w:spacing w:val="8"/>
        </w:rPr>
        <w:t>府领导下，履行下列职责：</w:t>
      </w:r>
    </w:p>
    <w:p>
      <w:pPr>
        <w:pStyle w:val="BodyText"/>
        <w:ind w:left="6" w:right="328" w:firstLine="409"/>
        <w:spacing w:line="301" w:lineRule="auto"/>
        <w:rPr/>
      </w:pPr>
      <w:r>
        <w:rPr>
          <w:spacing w:val="7"/>
        </w:rPr>
        <w:t>（一）贯彻落实安全生产法律、法规、规</w:t>
      </w:r>
      <w:r>
        <w:rPr>
          <w:spacing w:val="8"/>
        </w:rPr>
        <w:t>章和上级安全生产工作部署；</w:t>
      </w:r>
    </w:p>
    <w:p>
      <w:pPr>
        <w:pStyle w:val="BodyText"/>
        <w:ind w:left="3" w:right="328" w:firstLine="413"/>
        <w:spacing w:before="158" w:line="302" w:lineRule="auto"/>
        <w:rPr/>
      </w:pPr>
      <w:r>
        <w:rPr>
          <w:spacing w:val="7"/>
        </w:rPr>
        <w:t>（二）研究提出有关安全生产的制度、措</w:t>
      </w:r>
      <w:r>
        <w:rPr>
          <w:spacing w:val="7"/>
        </w:rPr>
        <w:t>施和建议；</w:t>
      </w:r>
    </w:p>
    <w:p>
      <w:pPr>
        <w:pStyle w:val="BodyText"/>
        <w:ind w:left="416"/>
        <w:spacing w:before="158" w:line="221" w:lineRule="auto"/>
        <w:rPr/>
      </w:pPr>
      <w:r>
        <w:rPr>
          <w:spacing w:val="7"/>
        </w:rPr>
        <w:t>（三）每季度召开安全生产委员会全体会</w:t>
      </w:r>
    </w:p>
    <w:p>
      <w:pPr>
        <w:spacing w:line="14" w:lineRule="auto"/>
        <w:rPr>
          <w:rFonts w:ascii="Arial"/>
          <w:sz w:val="2"/>
        </w:rPr>
      </w:pPr>
      <w:r>
        <w:rPr>
          <w:rFonts w:ascii="Arial" w:hAnsi="Arial" w:eastAsia="Arial" w:cs="Arial"/>
          <w:sz w:val="2"/>
          <w:szCs w:val="2"/>
        </w:rPr>
        <w:br w:type="column"/>
      </w:r>
    </w:p>
    <w:p>
      <w:pPr>
        <w:pStyle w:val="BodyText"/>
        <w:ind w:left="1" w:right="101" w:hanging="1"/>
        <w:spacing w:before="55" w:line="373" w:lineRule="auto"/>
        <w:jc w:val="both"/>
        <w:rPr/>
      </w:pPr>
      <w:r>
        <w:rPr>
          <w:spacing w:val="7"/>
        </w:rPr>
        <w:t>议，分析本行政区域内安全生产形势，协调解</w:t>
      </w:r>
      <w:r>
        <w:rPr>
          <w:spacing w:val="7"/>
        </w:rPr>
        <w:t>决安全生产工作中的重大问题，研究部署安全</w:t>
      </w:r>
      <w:r>
        <w:rPr>
          <w:spacing w:val="6"/>
        </w:rPr>
        <w:t>生产工作；</w:t>
      </w:r>
    </w:p>
    <w:p>
      <w:pPr>
        <w:pStyle w:val="BodyText"/>
        <w:ind w:left="2" w:right="101" w:firstLine="411"/>
        <w:spacing w:before="1" w:line="338" w:lineRule="auto"/>
        <w:rPr/>
      </w:pPr>
      <w:r>
        <w:rPr>
          <w:spacing w:val="4"/>
        </w:rPr>
        <w:t>（</w:t>
      </w:r>
      <w:r>
        <w:rPr>
          <w:spacing w:val="-39"/>
        </w:rPr>
        <w:t xml:space="preserve"> </w:t>
      </w:r>
      <w:r>
        <w:rPr>
          <w:spacing w:val="4"/>
        </w:rPr>
        <w:t>四）督促检查下级政府（管委会）和本</w:t>
      </w:r>
      <w:r>
        <w:rPr>
          <w:spacing w:val="7"/>
        </w:rPr>
        <w:t>级有关部门安全生产工作落实情况，组织开展</w:t>
      </w:r>
      <w:r>
        <w:rPr>
          <w:spacing w:val="7"/>
        </w:rPr>
        <w:t>安全生产检查和专项整治，对重大事故隐患挂</w:t>
      </w:r>
      <w:r>
        <w:rPr>
          <w:spacing w:val="6"/>
        </w:rPr>
        <w:t>牌督办；</w:t>
      </w:r>
    </w:p>
    <w:p>
      <w:pPr>
        <w:pStyle w:val="BodyText"/>
        <w:ind w:left="4" w:right="101" w:firstLine="409"/>
        <w:spacing w:before="158" w:line="326" w:lineRule="auto"/>
        <w:rPr/>
      </w:pPr>
      <w:r>
        <w:rPr>
          <w:spacing w:val="7"/>
        </w:rPr>
        <w:t>（五）制定年度安全生产管理目标，组织</w:t>
      </w:r>
      <w:r>
        <w:rPr>
          <w:spacing w:val="7"/>
        </w:rPr>
        <w:t>年度安全生产考核工作，并向本级人民政府提</w:t>
      </w:r>
      <w:r>
        <w:rPr>
          <w:spacing w:val="7"/>
        </w:rPr>
        <w:t>出奖惩建议；</w:t>
      </w:r>
    </w:p>
    <w:p>
      <w:pPr>
        <w:pStyle w:val="BodyText"/>
        <w:ind w:left="18" w:right="101" w:firstLine="395"/>
        <w:spacing w:before="159" w:line="301" w:lineRule="auto"/>
        <w:rPr/>
      </w:pPr>
      <w:r>
        <w:rPr>
          <w:spacing w:val="7"/>
        </w:rPr>
        <w:t>（六）根据本级政府安排，向下级政府发</w:t>
      </w:r>
      <w:r>
        <w:rPr>
          <w:spacing w:val="8"/>
        </w:rPr>
        <w:t>出警示通报，对有关人员进行约谈；</w:t>
      </w:r>
    </w:p>
    <w:p>
      <w:pPr>
        <w:pStyle w:val="BodyText"/>
        <w:ind w:left="3" w:right="101" w:firstLine="410"/>
        <w:spacing w:before="160" w:line="299" w:lineRule="auto"/>
        <w:rPr/>
      </w:pPr>
      <w:r>
        <w:rPr>
          <w:spacing w:val="7"/>
        </w:rPr>
        <w:t>（七）完成本级党委、政府交办的其他安</w:t>
      </w:r>
      <w:r>
        <w:rPr>
          <w:spacing w:val="7"/>
        </w:rPr>
        <w:t>全生产工作。</w:t>
      </w:r>
    </w:p>
    <w:p>
      <w:pPr>
        <w:pStyle w:val="BodyText"/>
        <w:ind w:left="2" w:right="78" w:firstLine="420"/>
        <w:spacing w:before="163" w:line="374" w:lineRule="auto"/>
        <w:jc w:val="both"/>
        <w:rPr/>
      </w:pPr>
      <w:r>
        <w:rPr>
          <w:spacing w:val="4"/>
        </w:rPr>
        <w:t>安委会下设办公室，设在市、县（</w:t>
      </w:r>
      <w:r>
        <w:rPr>
          <w:spacing w:val="-49"/>
        </w:rPr>
        <w:t xml:space="preserve"> </w:t>
      </w:r>
      <w:r>
        <w:rPr>
          <w:spacing w:val="4"/>
        </w:rPr>
        <w:t>区）应</w:t>
      </w:r>
      <w:r>
        <w:rPr>
          <w:spacing w:val="7"/>
        </w:rPr>
        <w:t>急管理部门，为本级安委会的办事机构，承担</w:t>
      </w:r>
      <w:r>
        <w:rPr>
          <w:spacing w:val="8"/>
        </w:rPr>
        <w:t>安委会日常工作，负责指导协调、监督检查、</w:t>
      </w:r>
      <w:r>
        <w:rPr>
          <w:spacing w:val="18"/>
        </w:rPr>
        <w:t>巡查考核本级人民政府有关部门和下级人民</w:t>
      </w:r>
      <w:r>
        <w:rPr>
          <w:spacing w:val="8"/>
        </w:rPr>
        <w:t>政府安全生产工作。</w:t>
      </w:r>
    </w:p>
    <w:p>
      <w:pPr>
        <w:pStyle w:val="BodyText"/>
        <w:ind w:left="1" w:right="94" w:firstLine="427"/>
        <w:spacing w:before="5" w:line="319" w:lineRule="auto"/>
        <w:rPr/>
      </w:pPr>
      <w:r>
        <w:rPr>
          <w:rFonts w:ascii="Microsoft YaHei" w:hAnsi="Microsoft YaHei" w:eastAsia="Microsoft YaHei" w:cs="Microsoft YaHei"/>
          <w:spacing w:val="5"/>
        </w:rPr>
        <w:t>第七条</w:t>
      </w:r>
      <w:r>
        <w:rPr>
          <w:rFonts w:ascii="Microsoft YaHei" w:hAnsi="Microsoft YaHei" w:eastAsia="Microsoft YaHei" w:cs="Microsoft YaHei"/>
          <w:spacing w:val="18"/>
        </w:rPr>
        <w:t xml:space="preserve">   </w:t>
      </w:r>
      <w:r>
        <w:rPr>
          <w:spacing w:val="5"/>
        </w:rPr>
        <w:t>乡（镇）人民政府和街道办事处</w:t>
      </w:r>
      <w:r>
        <w:rPr>
          <w:spacing w:val="7"/>
        </w:rPr>
        <w:t>应当明确安全生产管理机构，加强对本行政区</w:t>
      </w:r>
      <w:r>
        <w:rPr>
          <w:spacing w:val="7"/>
        </w:rPr>
        <w:t>域内生产经营单位安全生产状况的监督检查，</w:t>
      </w:r>
      <w:r>
        <w:rPr>
          <w:spacing w:val="18"/>
        </w:rPr>
        <w:t>协助上级人民政府有关部门依法履行安全生</w:t>
      </w:r>
      <w:r>
        <w:rPr>
          <w:spacing w:val="8"/>
        </w:rPr>
        <w:t>产监督管理职责。</w:t>
      </w:r>
    </w:p>
    <w:p>
      <w:pPr>
        <w:pStyle w:val="BodyText"/>
        <w:ind w:left="1" w:right="94" w:firstLine="427"/>
        <w:spacing w:before="157" w:line="308" w:lineRule="auto"/>
        <w:rPr/>
      </w:pPr>
      <w:r>
        <w:rPr>
          <w:rFonts w:ascii="Microsoft YaHei" w:hAnsi="Microsoft YaHei" w:eastAsia="Microsoft YaHei" w:cs="Microsoft YaHei"/>
          <w:spacing w:val="3"/>
        </w:rPr>
        <w:t>第八条</w:t>
      </w:r>
      <w:r>
        <w:rPr>
          <w:rFonts w:ascii="Microsoft YaHei" w:hAnsi="Microsoft YaHei" w:eastAsia="Microsoft YaHei" w:cs="Microsoft YaHei"/>
          <w:spacing w:val="13"/>
        </w:rPr>
        <w:t xml:space="preserve">   </w:t>
      </w:r>
      <w:r>
        <w:rPr>
          <w:spacing w:val="3"/>
        </w:rPr>
        <w:t>市、县（</w:t>
      </w:r>
      <w:r>
        <w:rPr>
          <w:spacing w:val="-50"/>
        </w:rPr>
        <w:t xml:space="preserve"> </w:t>
      </w:r>
      <w:r>
        <w:rPr>
          <w:spacing w:val="3"/>
        </w:rPr>
        <w:t>区）开发区、工业园区</w:t>
      </w:r>
      <w:r>
        <w:rPr>
          <w:spacing w:val="7"/>
        </w:rPr>
        <w:t>等各类功能园区应当明确安全生产管理机构，</w:t>
      </w:r>
      <w:r>
        <w:rPr>
          <w:spacing w:val="7"/>
        </w:rPr>
        <w:t>负责管理区域内的安全生产工作，按照有关规</w:t>
      </w:r>
      <w:r>
        <w:rPr>
          <w:spacing w:val="8"/>
        </w:rPr>
        <w:t>定履行安全生产管理职责。</w:t>
      </w:r>
    </w:p>
    <w:p>
      <w:pPr>
        <w:spacing w:line="279" w:lineRule="auto"/>
        <w:rPr>
          <w:rFonts w:ascii="Arial"/>
          <w:sz w:val="21"/>
        </w:rPr>
      </w:pPr>
      <w:r/>
    </w:p>
    <w:p>
      <w:pPr>
        <w:ind w:left="1244"/>
        <w:spacing w:before="86" w:line="18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第三章</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6"/>
        </w:rPr>
        <w:t>部门责任</w:t>
      </w:r>
    </w:p>
    <w:p>
      <w:pPr>
        <w:spacing w:line="242" w:lineRule="auto"/>
        <w:rPr>
          <w:rFonts w:ascii="Arial"/>
          <w:sz w:val="21"/>
        </w:rPr>
      </w:pPr>
      <w:r/>
    </w:p>
    <w:p>
      <w:pPr>
        <w:pStyle w:val="BodyText"/>
        <w:ind w:left="4" w:right="101" w:firstLine="424"/>
        <w:spacing w:before="86" w:line="283" w:lineRule="auto"/>
        <w:rPr/>
      </w:pPr>
      <w:r>
        <w:rPr>
          <w:rFonts w:ascii="Microsoft YaHei" w:hAnsi="Microsoft YaHei" w:eastAsia="Microsoft YaHei" w:cs="Microsoft YaHei"/>
          <w:spacing w:val="3"/>
        </w:rPr>
        <w:t>第九条</w:t>
      </w:r>
      <w:r>
        <w:rPr>
          <w:rFonts w:ascii="Microsoft YaHei" w:hAnsi="Microsoft YaHei" w:eastAsia="Microsoft YaHei" w:cs="Microsoft YaHei"/>
          <w:spacing w:val="13"/>
        </w:rPr>
        <w:t xml:space="preserve">   </w:t>
      </w:r>
      <w:r>
        <w:rPr>
          <w:spacing w:val="3"/>
        </w:rPr>
        <w:t>市、县（</w:t>
      </w:r>
      <w:r>
        <w:rPr>
          <w:spacing w:val="-50"/>
        </w:rPr>
        <w:t xml:space="preserve"> </w:t>
      </w:r>
      <w:r>
        <w:rPr>
          <w:spacing w:val="3"/>
        </w:rPr>
        <w:t>区）人民政府负有安全</w:t>
      </w:r>
      <w:r>
        <w:rPr>
          <w:spacing w:val="7"/>
        </w:rPr>
        <w:t>生产监督管理职责的部门对有关行业、领域的</w:t>
      </w:r>
    </w:p>
    <w:p>
      <w:pPr>
        <w:spacing w:line="283" w:lineRule="auto"/>
        <w:sectPr>
          <w:type w:val="continuous"/>
          <w:pgSz w:w="11906" w:h="16839"/>
          <w:pgMar w:top="1769" w:right="1489" w:bottom="1570" w:left="1588" w:header="1428" w:footer="1172" w:gutter="0"/>
          <w:cols w:equalWidth="0" w:num="2">
            <w:col w:w="4480" w:space="100"/>
            <w:col w:w="4250" w:space="0"/>
          </w:cols>
        </w:sectPr>
        <w:rPr/>
      </w:pPr>
    </w:p>
    <w:p>
      <w:pPr>
        <w:spacing w:before="68"/>
        <w:rPr/>
      </w:pPr>
      <w:r>
        <w:drawing>
          <wp:anchor distT="0" distB="0" distL="0" distR="0" simplePos="0" relativeHeight="252043264"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078" name="IM 1078"/>
            <wp:cNvGraphicFramePr/>
            <a:graphic>
              <a:graphicData uri="http://schemas.openxmlformats.org/drawingml/2006/picture">
                <pic:pic>
                  <pic:nvPicPr>
                    <pic:cNvPr id="1078" name="IM 1078"/>
                    <pic:cNvPicPr/>
                  </pic:nvPicPr>
                  <pic:blipFill>
                    <a:blip r:embed="rId541"/>
                    <a:stretch>
                      <a:fillRect/>
                    </a:stretch>
                  </pic:blipFill>
                  <pic:spPr>
                    <a:xfrm rot="0">
                      <a:off x="0" y="0"/>
                      <a:ext cx="5579745" cy="7620"/>
                    </a:xfrm>
                    <a:prstGeom prst="rect">
                      <a:avLst/>
                    </a:prstGeom>
                  </pic:spPr>
                </pic:pic>
              </a:graphicData>
            </a:graphic>
          </wp:anchor>
        </w:drawing>
      </w:r>
      <w:r/>
    </w:p>
    <w:p>
      <w:pPr>
        <w:sectPr>
          <w:headerReference w:type="default" r:id="rId539"/>
          <w:footerReference w:type="default" r:id="rId540"/>
          <w:pgSz w:w="11906" w:h="16839"/>
          <w:pgMar w:top="1766" w:right="1513" w:bottom="1563" w:left="1579" w:header="1428" w:footer="1172" w:gutter="0"/>
          <w:cols w:equalWidth="0" w:num="1">
            <w:col w:w="8814" w:space="0"/>
          </w:cols>
        </w:sectPr>
        <w:rPr/>
      </w:pPr>
    </w:p>
    <w:p>
      <w:pPr>
        <w:pStyle w:val="BodyText"/>
        <w:ind w:left="14"/>
        <w:spacing w:before="47" w:line="278" w:lineRule="exact"/>
        <w:rPr/>
      </w:pPr>
      <w:r>
        <w:rPr>
          <w:spacing w:val="9"/>
          <w:position w:val="1"/>
        </w:rPr>
        <w:t>安全生产工作实施监督管理，履行下列职责：</w:t>
      </w:r>
    </w:p>
    <w:p>
      <w:pPr>
        <w:pStyle w:val="BodyText"/>
        <w:ind w:left="14" w:right="328" w:firstLine="410"/>
        <w:spacing w:before="123" w:line="322" w:lineRule="auto"/>
        <w:rPr/>
      </w:pPr>
      <w:r>
        <w:rPr>
          <w:spacing w:val="7"/>
        </w:rPr>
        <w:t>（一）制定安全生产政策和规划，加强安</w:t>
      </w:r>
      <w:r>
        <w:rPr>
          <w:spacing w:val="7"/>
        </w:rPr>
        <w:t>全生产宣传，督促生产经营单位落实安全生产</w:t>
      </w:r>
      <w:r>
        <w:rPr>
          <w:spacing w:val="8"/>
        </w:rPr>
        <w:t>主体责任，推进安全生产标准化工作；</w:t>
      </w:r>
    </w:p>
    <w:p>
      <w:pPr>
        <w:pStyle w:val="BodyText"/>
        <w:ind w:left="16" w:right="328" w:firstLine="408"/>
        <w:spacing w:before="153" w:line="298" w:lineRule="auto"/>
        <w:rPr/>
      </w:pPr>
      <w:r>
        <w:rPr>
          <w:spacing w:val="17"/>
        </w:rPr>
        <w:t>（</w:t>
      </w:r>
      <w:r>
        <w:rPr>
          <w:spacing w:val="-56"/>
        </w:rPr>
        <w:t xml:space="preserve"> </w:t>
      </w:r>
      <w:r>
        <w:rPr>
          <w:spacing w:val="17"/>
        </w:rPr>
        <w:t>二）依法实施涉及安全生产的行政许</w:t>
      </w:r>
      <w:r>
        <w:rPr>
          <w:spacing w:val="8"/>
        </w:rPr>
        <w:t>可，并对许可事项进行事中事后监管；</w:t>
      </w:r>
    </w:p>
    <w:p>
      <w:pPr>
        <w:pStyle w:val="BodyText"/>
        <w:ind w:left="14" w:right="328" w:firstLine="410"/>
        <w:spacing w:before="153" w:line="322" w:lineRule="auto"/>
        <w:rPr/>
      </w:pPr>
      <w:r>
        <w:rPr>
          <w:spacing w:val="7"/>
        </w:rPr>
        <w:t>（三）依法开展涉及安全生产的行政执法</w:t>
      </w:r>
      <w:r>
        <w:rPr>
          <w:spacing w:val="7"/>
        </w:rPr>
        <w:t>工作，对生产经营单位进行监督检查，督促整</w:t>
      </w:r>
      <w:r>
        <w:rPr>
          <w:spacing w:val="8"/>
        </w:rPr>
        <w:t>改事故隐患，查处安全生产违法行为；</w:t>
      </w:r>
    </w:p>
    <w:p>
      <w:pPr>
        <w:pStyle w:val="BodyText"/>
        <w:ind w:left="14" w:right="328" w:firstLine="410"/>
        <w:spacing w:before="153" w:line="322" w:lineRule="auto"/>
        <w:rPr/>
      </w:pPr>
      <w:r>
        <w:rPr>
          <w:spacing w:val="4"/>
        </w:rPr>
        <w:t>（</w:t>
      </w:r>
      <w:r>
        <w:rPr>
          <w:spacing w:val="-39"/>
        </w:rPr>
        <w:t xml:space="preserve"> </w:t>
      </w:r>
      <w:r>
        <w:rPr>
          <w:spacing w:val="4"/>
        </w:rPr>
        <w:t>四）制定事故应急预案，参与或者组织</w:t>
      </w:r>
      <w:r>
        <w:rPr>
          <w:spacing w:val="7"/>
        </w:rPr>
        <w:t>事故应急救援和事故调查处理，对事故防范和</w:t>
      </w:r>
      <w:r>
        <w:rPr>
          <w:spacing w:val="8"/>
        </w:rPr>
        <w:t>整改措施进行监督检查；</w:t>
      </w:r>
    </w:p>
    <w:p>
      <w:pPr>
        <w:pStyle w:val="BodyText"/>
        <w:ind w:left="14" w:right="328" w:firstLine="410"/>
        <w:spacing w:before="153" w:line="300" w:lineRule="auto"/>
        <w:rPr/>
      </w:pPr>
      <w:r>
        <w:rPr>
          <w:spacing w:val="7"/>
        </w:rPr>
        <w:t>（五）受理查处安全生产举报投诉，进行</w:t>
      </w:r>
      <w:r>
        <w:rPr>
          <w:spacing w:val="6"/>
        </w:rPr>
        <w:t>事故统计；</w:t>
      </w:r>
    </w:p>
    <w:p>
      <w:pPr>
        <w:pStyle w:val="BodyText"/>
        <w:ind w:left="424"/>
        <w:spacing w:before="154" w:line="278" w:lineRule="exact"/>
        <w:rPr/>
      </w:pPr>
      <w:r>
        <w:rPr>
          <w:spacing w:val="9"/>
          <w:position w:val="1"/>
        </w:rPr>
        <w:t>（六）国家和区、市规定的其他职责。</w:t>
      </w:r>
    </w:p>
    <w:p>
      <w:pPr>
        <w:pStyle w:val="BodyText"/>
        <w:ind w:left="11" w:right="328" w:firstLine="423"/>
        <w:spacing w:before="126" w:line="375" w:lineRule="auto"/>
        <w:jc w:val="both"/>
        <w:rPr/>
      </w:pPr>
      <w:r>
        <w:rPr>
          <w:spacing w:val="4"/>
        </w:rPr>
        <w:t>市、县（</w:t>
      </w:r>
      <w:r>
        <w:rPr>
          <w:spacing w:val="-49"/>
        </w:rPr>
        <w:t xml:space="preserve"> </w:t>
      </w:r>
      <w:r>
        <w:rPr>
          <w:spacing w:val="4"/>
        </w:rPr>
        <w:t>区）人民政府负有行业、领域管</w:t>
      </w:r>
      <w:r>
        <w:rPr>
          <w:spacing w:val="7"/>
        </w:rPr>
        <w:t>理职责的部门要将安全生产工作作为行业、领</w:t>
      </w:r>
      <w:r>
        <w:rPr>
          <w:spacing w:val="7"/>
        </w:rPr>
        <w:t>域管理工作的重要内容，切实承担起指导安全</w:t>
      </w:r>
      <w:r>
        <w:rPr>
          <w:spacing w:val="7"/>
        </w:rPr>
        <w:t>管理的职责，指导督促生产经营单位做好安全</w:t>
      </w:r>
      <w:r>
        <w:rPr>
          <w:spacing w:val="7"/>
        </w:rPr>
        <w:t>生产工作，制定实施有利于安全生产的政策措</w:t>
      </w:r>
      <w:r>
        <w:rPr>
          <w:spacing w:val="7"/>
        </w:rPr>
        <w:t>施，推进产业结构调整升级，严格行业准入条</w:t>
      </w:r>
      <w:r>
        <w:rPr>
          <w:spacing w:val="8"/>
        </w:rPr>
        <w:t>件，提高行业安全生产水平。</w:t>
      </w:r>
    </w:p>
    <w:p>
      <w:pPr>
        <w:pStyle w:val="BodyText"/>
        <w:ind w:left="11" w:right="328" w:firstLine="423"/>
        <w:spacing w:before="2" w:line="370" w:lineRule="auto"/>
        <w:jc w:val="both"/>
        <w:rPr/>
      </w:pPr>
      <w:r>
        <w:rPr>
          <w:spacing w:val="4"/>
        </w:rPr>
        <w:t>市、县（</w:t>
      </w:r>
      <w:r>
        <w:rPr>
          <w:spacing w:val="-49"/>
        </w:rPr>
        <w:t xml:space="preserve"> </w:t>
      </w:r>
      <w:r>
        <w:rPr>
          <w:spacing w:val="4"/>
        </w:rPr>
        <w:t>区）人民政府其他有关部门结合</w:t>
      </w:r>
      <w:r>
        <w:rPr>
          <w:spacing w:val="7"/>
        </w:rPr>
        <w:t>本部门工作职责，为安全生产工作提供支持和</w:t>
      </w:r>
      <w:r>
        <w:rPr>
          <w:spacing w:val="5"/>
        </w:rPr>
        <w:t>保障。</w:t>
      </w:r>
    </w:p>
    <w:p>
      <w:pPr>
        <w:pStyle w:val="BodyText"/>
        <w:ind w:left="14" w:right="328" w:firstLine="420"/>
        <w:spacing w:before="14" w:line="370" w:lineRule="auto"/>
        <w:jc w:val="both"/>
        <w:rPr/>
      </w:pPr>
      <w:r>
        <w:rPr>
          <w:spacing w:val="4"/>
        </w:rPr>
        <w:t>市、县（</w:t>
      </w:r>
      <w:r>
        <w:rPr>
          <w:spacing w:val="-49"/>
        </w:rPr>
        <w:t xml:space="preserve"> </w:t>
      </w:r>
      <w:r>
        <w:rPr>
          <w:spacing w:val="4"/>
        </w:rPr>
        <w:t>区）人民政府各有关部门除履行</w:t>
      </w:r>
      <w:r>
        <w:rPr>
          <w:spacing w:val="7"/>
        </w:rPr>
        <w:t>以上安全生产职责外，同时负责本单位及其所</w:t>
      </w:r>
      <w:r>
        <w:rPr>
          <w:spacing w:val="8"/>
        </w:rPr>
        <w:t>属单位的安全生产管理。</w:t>
      </w:r>
    </w:p>
    <w:p>
      <w:pPr>
        <w:pStyle w:val="BodyText"/>
        <w:ind w:left="14" w:right="248" w:firstLine="425"/>
        <w:spacing w:before="18" w:line="329" w:lineRule="auto"/>
        <w:jc w:val="both"/>
        <w:rPr/>
      </w:pPr>
      <w:r>
        <w:rPr>
          <w:rFonts w:ascii="Microsoft YaHei" w:hAnsi="Microsoft YaHei" w:eastAsia="Microsoft YaHei" w:cs="Microsoft YaHei"/>
          <w:spacing w:val="17"/>
        </w:rPr>
        <w:t>第十条</w:t>
      </w:r>
      <w:r>
        <w:rPr>
          <w:rFonts w:ascii="Microsoft YaHei" w:hAnsi="Microsoft YaHei" w:eastAsia="Microsoft YaHei" w:cs="Microsoft YaHei"/>
          <w:spacing w:val="2"/>
        </w:rPr>
        <w:t xml:space="preserve">    </w:t>
      </w:r>
      <w:r>
        <w:rPr>
          <w:spacing w:val="17"/>
        </w:rPr>
        <w:t>应急管理部门对安全生产工作</w:t>
      </w:r>
      <w:r>
        <w:rPr>
          <w:spacing w:val="7"/>
        </w:rPr>
        <w:t>实施综合监督管理，负责安全生产政策规划拟</w:t>
      </w:r>
      <w:r>
        <w:rPr>
          <w:spacing w:val="1"/>
        </w:rPr>
        <w:t>订、执法监督、事故调查处理、应急救援管理、</w:t>
      </w:r>
      <w:r>
        <w:rPr>
          <w:spacing w:val="7"/>
        </w:rPr>
        <w:t>统计分析、宣传教育培训等综合性工作；承担</w:t>
      </w:r>
    </w:p>
    <w:p>
      <w:pPr>
        <w:spacing w:line="14" w:lineRule="auto"/>
        <w:rPr>
          <w:rFonts w:ascii="Arial"/>
          <w:sz w:val="2"/>
        </w:rPr>
      </w:pPr>
      <w:r>
        <w:rPr>
          <w:rFonts w:ascii="Arial" w:hAnsi="Arial" w:eastAsia="Arial" w:cs="Arial"/>
          <w:sz w:val="2"/>
          <w:szCs w:val="2"/>
        </w:rPr>
        <w:br w:type="column"/>
      </w:r>
    </w:p>
    <w:p>
      <w:pPr>
        <w:pStyle w:val="BodyText"/>
        <w:ind w:left="3"/>
        <w:spacing w:before="52" w:line="369" w:lineRule="auto"/>
        <w:jc w:val="both"/>
        <w:rPr/>
      </w:pPr>
      <w:r>
        <w:rPr>
          <w:spacing w:val="7"/>
        </w:rPr>
        <w:t>非煤矿山、烟花爆竹生产经营、危险化学品生</w:t>
      </w:r>
      <w:r>
        <w:rPr>
          <w:spacing w:val="7"/>
        </w:rPr>
        <w:t>产经营、储存企业和化工企业使用危险化学品</w:t>
      </w:r>
      <w:r>
        <w:rPr>
          <w:spacing w:val="7"/>
        </w:rPr>
        <w:t>的安全监督管理；负责煤矿及其他工矿企业安</w:t>
      </w:r>
      <w:r>
        <w:rPr>
          <w:spacing w:val="1"/>
        </w:rPr>
        <w:t>全生产监督管理；法律、法规规定的其他职责。</w:t>
      </w:r>
    </w:p>
    <w:p>
      <w:pPr>
        <w:pStyle w:val="BodyText"/>
        <w:ind w:left="1" w:right="75" w:firstLine="444"/>
        <w:spacing w:before="28" w:line="346" w:lineRule="auto"/>
        <w:jc w:val="both"/>
        <w:rPr/>
      </w:pPr>
      <w:r>
        <w:rPr>
          <w:rFonts w:ascii="Microsoft YaHei" w:hAnsi="Microsoft YaHei" w:eastAsia="Microsoft YaHei" w:cs="Microsoft YaHei"/>
          <w:spacing w:val="16"/>
        </w:rPr>
        <w:t>第十一条</w:t>
      </w:r>
      <w:r>
        <w:rPr>
          <w:rFonts w:ascii="Microsoft YaHei" w:hAnsi="Microsoft YaHei" w:eastAsia="Microsoft YaHei" w:cs="Microsoft YaHei"/>
          <w:spacing w:val="2"/>
        </w:rPr>
        <w:t xml:space="preserve">    </w:t>
      </w:r>
      <w:r>
        <w:rPr>
          <w:spacing w:val="16"/>
        </w:rPr>
        <w:t>负有安全生产监督管理职责</w:t>
      </w:r>
      <w:r>
        <w:rPr>
          <w:spacing w:val="7"/>
        </w:rPr>
        <w:t>的下列部门依照有关法律、法规的规定，在各</w:t>
      </w:r>
      <w:r>
        <w:rPr>
          <w:spacing w:val="7"/>
        </w:rPr>
        <w:t>自职责范围内对有关行业、领域的安全生产工</w:t>
      </w:r>
      <w:r>
        <w:rPr>
          <w:spacing w:val="8"/>
        </w:rPr>
        <w:t>作实施监督管理：</w:t>
      </w:r>
    </w:p>
    <w:p>
      <w:pPr>
        <w:pStyle w:val="BodyText"/>
        <w:ind w:left="1" w:right="57" w:firstLine="412"/>
        <w:spacing w:before="9" w:line="357" w:lineRule="auto"/>
        <w:rPr/>
      </w:pPr>
      <w:r>
        <w:rPr>
          <w:spacing w:val="7"/>
        </w:rPr>
        <w:t>（一）发展改革部门负责将安全生产工作</w:t>
      </w:r>
      <w:r>
        <w:rPr>
          <w:spacing w:val="7"/>
        </w:rPr>
        <w:t>纳入国民经济和社会发展规划和计划；在新建</w:t>
      </w:r>
      <w:r>
        <w:rPr>
          <w:spacing w:val="7"/>
        </w:rPr>
        <w:t>建设项目审批、核准时，督促生产经营单位落</w:t>
      </w:r>
      <w:r>
        <w:rPr>
          <w:spacing w:val="7"/>
        </w:rPr>
        <w:t>实安全生产措施；承担煤矿行业管理，指导煤</w:t>
      </w:r>
      <w:r>
        <w:rPr>
          <w:spacing w:val="7"/>
        </w:rPr>
        <w:t>矿企业安全生产管理工作；按照职责分工，参</w:t>
      </w:r>
      <w:r>
        <w:rPr>
          <w:spacing w:val="18"/>
        </w:rPr>
        <w:t>与对不符合有关矿山工业发展规划和总体规</w:t>
      </w:r>
      <w:r>
        <w:rPr>
          <w:spacing w:val="7"/>
        </w:rPr>
        <w:t>划、不符合产业政策、布局不合理等矿井关闭</w:t>
      </w:r>
      <w:r>
        <w:rPr>
          <w:spacing w:val="7"/>
        </w:rPr>
        <w:t>情况进行监督和指导；负责指导、监督有关单</w:t>
      </w:r>
      <w:r>
        <w:rPr>
          <w:spacing w:val="8"/>
        </w:rPr>
        <w:t>位依法履行石油、天然气长输管道保护义务。</w:t>
      </w:r>
    </w:p>
    <w:p>
      <w:pPr>
        <w:pStyle w:val="BodyText"/>
        <w:ind w:right="77" w:firstLine="413"/>
        <w:spacing w:before="159" w:line="360" w:lineRule="auto"/>
        <w:rPr/>
      </w:pPr>
      <w:r>
        <w:rPr>
          <w:spacing w:val="7"/>
        </w:rPr>
        <w:t>（二）工业和信息化部门负责指导工业安</w:t>
      </w:r>
      <w:r>
        <w:rPr>
          <w:spacing w:val="7"/>
        </w:rPr>
        <w:t>全生产管理工作；负责民用爆炸物品生产、销</w:t>
      </w:r>
      <w:r>
        <w:rPr>
          <w:spacing w:val="7"/>
        </w:rPr>
        <w:t>售和地方电力（综合利用自备电厂、增量配电</w:t>
      </w:r>
      <w:r>
        <w:rPr>
          <w:spacing w:val="7"/>
        </w:rPr>
        <w:t>网等）建设运营的安全生产监督管理；承担铁</w:t>
      </w:r>
      <w:r>
        <w:rPr>
          <w:spacing w:val="18"/>
        </w:rPr>
        <w:t>路运输协调及铁路道口安全、专用线管理工</w:t>
      </w:r>
      <w:r>
        <w:rPr>
          <w:spacing w:val="7"/>
        </w:rPr>
        <w:t>作；按照职责分工，负责危险化学品生产、储</w:t>
      </w:r>
      <w:r>
        <w:rPr>
          <w:spacing w:val="7"/>
        </w:rPr>
        <w:t>存的行业规划和布局，承担工业应急管理，指</w:t>
      </w:r>
      <w:r>
        <w:rPr>
          <w:spacing w:val="7"/>
        </w:rPr>
        <w:t>导重点行业排查治理事故隐患；在工业技术改</w:t>
      </w:r>
      <w:r>
        <w:rPr>
          <w:spacing w:val="7"/>
        </w:rPr>
        <w:t>造项目审批、核准时，督促生产经营单位落实</w:t>
      </w:r>
      <w:r>
        <w:rPr>
          <w:spacing w:val="8"/>
        </w:rPr>
        <w:t>安全生产措施。</w:t>
      </w:r>
    </w:p>
    <w:p>
      <w:pPr>
        <w:pStyle w:val="BodyText"/>
        <w:ind w:right="54" w:firstLine="413"/>
        <w:spacing w:before="164" w:line="344" w:lineRule="auto"/>
        <w:rPr/>
      </w:pPr>
      <w:r>
        <w:rPr>
          <w:spacing w:val="7"/>
        </w:rPr>
        <w:t>（三）公安机关负责道路交通、民用爆炸</w:t>
      </w:r>
      <w:r>
        <w:rPr>
          <w:spacing w:val="8"/>
        </w:rPr>
        <w:t>物品购买、运输和爆破作业、烟花爆竹运输、</w:t>
      </w:r>
      <w:r>
        <w:rPr>
          <w:spacing w:val="18"/>
        </w:rPr>
        <w:t>焰火晚会和其他大型焰火燃放活动的安全监</w:t>
      </w:r>
      <w:r>
        <w:rPr>
          <w:spacing w:val="7"/>
        </w:rPr>
        <w:t>督管理；对购买剧毒化学品、剧毒化学品道路</w:t>
      </w:r>
      <w:r>
        <w:rPr>
          <w:spacing w:val="7"/>
        </w:rPr>
        <w:t>运输实施监督管理；负责危险化学品运输车辆</w:t>
      </w:r>
    </w:p>
    <w:p>
      <w:pPr>
        <w:spacing w:line="344" w:lineRule="auto"/>
        <w:sectPr>
          <w:type w:val="continuous"/>
          <w:pgSz w:w="11906" w:h="16839"/>
          <w:pgMar w:top="1766" w:right="1513" w:bottom="1563" w:left="1579" w:header="1428" w:footer="1172" w:gutter="0"/>
          <w:cols w:equalWidth="0" w:num="2">
            <w:col w:w="4488" w:space="100"/>
            <w:col w:w="4226" w:space="0"/>
          </w:cols>
        </w:sectPr>
        <w:rPr/>
      </w:pPr>
    </w:p>
    <w:p>
      <w:pPr>
        <w:spacing w:before="80"/>
        <w:rPr/>
      </w:pPr>
      <w:r>
        <w:drawing>
          <wp:anchor distT="0" distB="0" distL="0" distR="0" simplePos="0" relativeHeight="252045312" behindDoc="0" locked="0" layoutInCell="0" allowOverlap="1">
            <wp:simplePos x="0" y="0"/>
            <wp:positionH relativeFrom="page">
              <wp:posOffset>1008380</wp:posOffset>
            </wp:positionH>
            <wp:positionV relativeFrom="page">
              <wp:posOffset>1122680</wp:posOffset>
            </wp:positionV>
            <wp:extent cx="5579745" cy="7619"/>
            <wp:effectExtent l="0" t="0" r="0" b="0"/>
            <wp:wrapNone/>
            <wp:docPr id="1082" name="IM 1082"/>
            <wp:cNvGraphicFramePr/>
            <a:graphic>
              <a:graphicData uri="http://schemas.openxmlformats.org/drawingml/2006/picture">
                <pic:pic>
                  <pic:nvPicPr>
                    <pic:cNvPr id="1082" name="IM 1082"/>
                    <pic:cNvPicPr/>
                  </pic:nvPicPr>
                  <pic:blipFill>
                    <a:blip r:embed="rId543"/>
                    <a:stretch>
                      <a:fillRect/>
                    </a:stretch>
                  </pic:blipFill>
                  <pic:spPr>
                    <a:xfrm rot="0">
                      <a:off x="0" y="0"/>
                      <a:ext cx="5579745" cy="7619"/>
                    </a:xfrm>
                    <a:prstGeom prst="rect">
                      <a:avLst/>
                    </a:prstGeom>
                  </pic:spPr>
                </pic:pic>
              </a:graphicData>
            </a:graphic>
          </wp:anchor>
        </w:drawing>
      </w:r>
      <w:r/>
    </w:p>
    <w:p>
      <w:pPr>
        <w:sectPr>
          <w:headerReference w:type="default" r:id="rId536"/>
          <w:footerReference w:type="default" r:id="rId542"/>
          <w:pgSz w:w="11906" w:h="16839"/>
          <w:pgMar w:top="1769" w:right="1489" w:bottom="1570" w:left="1588" w:header="1428" w:footer="1172" w:gutter="0"/>
          <w:cols w:equalWidth="0" w:num="1">
            <w:col w:w="8829" w:space="0"/>
          </w:cols>
        </w:sectPr>
        <w:rPr/>
      </w:pPr>
    </w:p>
    <w:p>
      <w:pPr>
        <w:pStyle w:val="BodyText"/>
        <w:ind w:left="22"/>
        <w:spacing w:before="43" w:line="219" w:lineRule="auto"/>
        <w:rPr/>
      </w:pPr>
      <w:r>
        <w:rPr>
          <w:spacing w:val="6"/>
        </w:rPr>
        <w:t>的道路交通安全管理。</w:t>
      </w:r>
    </w:p>
    <w:p>
      <w:pPr>
        <w:pStyle w:val="BodyText"/>
        <w:ind w:left="3" w:right="218" w:firstLine="413"/>
        <w:spacing w:before="156" w:line="345" w:lineRule="auto"/>
        <w:rPr/>
      </w:pPr>
      <w:r>
        <w:rPr>
          <w:spacing w:val="4"/>
        </w:rPr>
        <w:t>（</w:t>
      </w:r>
      <w:r>
        <w:rPr>
          <w:spacing w:val="-39"/>
        </w:rPr>
        <w:t xml:space="preserve"> </w:t>
      </w:r>
      <w:r>
        <w:rPr>
          <w:spacing w:val="4"/>
        </w:rPr>
        <w:t>四）交通运输部门负责道路交通运输行</w:t>
      </w:r>
      <w:r>
        <w:rPr>
          <w:spacing w:val="7"/>
        </w:rPr>
        <w:t>业安全监督管理，对公路建设工程安全生产实</w:t>
      </w:r>
      <w:r>
        <w:rPr>
          <w:spacing w:val="11"/>
        </w:rPr>
        <w:t>施监督管理，督导、协调公路安全保障工作；</w:t>
      </w:r>
      <w:r>
        <w:rPr>
          <w:spacing w:val="7"/>
        </w:rPr>
        <w:t>对危险货物道路运输、水路运输安全实施监督</w:t>
      </w:r>
      <w:r>
        <w:rPr>
          <w:spacing w:val="2"/>
        </w:rPr>
        <w:t>管理；承担地方铁路（除铁路道口、专用线外）</w:t>
      </w:r>
      <w:r>
        <w:rPr>
          <w:spacing w:val="9"/>
        </w:rPr>
        <w:t>和通用机场建设的安全监督管理工作。</w:t>
      </w:r>
    </w:p>
    <w:p>
      <w:pPr>
        <w:pStyle w:val="BodyText"/>
        <w:ind w:left="3" w:right="248" w:firstLine="413"/>
        <w:spacing w:before="154" w:line="362" w:lineRule="auto"/>
        <w:rPr/>
      </w:pPr>
      <w:r>
        <w:rPr>
          <w:spacing w:val="7"/>
        </w:rPr>
        <w:t>（五）自然资源部门负责矿业秩序整顿和</w:t>
      </w:r>
      <w:r>
        <w:rPr>
          <w:spacing w:val="1"/>
        </w:rPr>
        <w:t>资源整合工作，负责查处无证勘探、无证开采、</w:t>
      </w:r>
      <w:r>
        <w:rPr>
          <w:spacing w:val="7"/>
        </w:rPr>
        <w:t>以探代采、超越批准的矿区范围采矿等违法行</w:t>
      </w:r>
      <w:r>
        <w:rPr>
          <w:spacing w:val="7"/>
        </w:rPr>
        <w:t>为；按照职责分工，负责对无采矿许可证、超</w:t>
      </w:r>
      <w:r>
        <w:rPr>
          <w:spacing w:val="7"/>
        </w:rPr>
        <w:t>层越界开采、资源接近枯竭、不符合矿产资源</w:t>
      </w:r>
      <w:r>
        <w:rPr>
          <w:spacing w:val="18"/>
        </w:rPr>
        <w:t>规划等矿井关闭工作及关闭是否到位情况进</w:t>
      </w:r>
      <w:r>
        <w:rPr>
          <w:spacing w:val="7"/>
        </w:rPr>
        <w:t>行监督和指导，会同相关部门组织指导并监督</w:t>
      </w:r>
      <w:r>
        <w:rPr>
          <w:spacing w:val="15"/>
        </w:rPr>
        <w:t>检查废弃矿井的恢复治理工作</w:t>
      </w:r>
      <w:r>
        <w:rPr>
          <w:spacing w:val="-39"/>
        </w:rPr>
        <w:t xml:space="preserve"> </w:t>
      </w:r>
      <w:r>
        <w:rPr>
          <w:spacing w:val="15"/>
        </w:rPr>
        <w:t>；依法履行林</w:t>
      </w:r>
      <w:r>
        <w:rPr>
          <w:spacing w:val="7"/>
        </w:rPr>
        <w:t>业、草原安全监督管理职责，负责对林区、林</w:t>
      </w:r>
      <w:r>
        <w:rPr>
          <w:spacing w:val="5"/>
        </w:rPr>
        <w:t>场、草原（草场）、</w:t>
      </w:r>
      <w:r>
        <w:rPr>
          <w:spacing w:val="-54"/>
        </w:rPr>
        <w:t xml:space="preserve"> </w:t>
      </w:r>
      <w:r>
        <w:rPr>
          <w:spacing w:val="5"/>
        </w:rPr>
        <w:t>自然保护区、森林公园等</w:t>
      </w:r>
      <w:r>
        <w:rPr>
          <w:spacing w:val="7"/>
        </w:rPr>
        <w:t>单位实施安全监督管理；在组织编制和审查城</w:t>
      </w:r>
      <w:r>
        <w:rPr>
          <w:spacing w:val="7"/>
        </w:rPr>
        <w:t>市总体规划和详细规划时，对相关安全内容进</w:t>
      </w:r>
      <w:r>
        <w:rPr>
          <w:spacing w:val="9"/>
        </w:rPr>
        <w:t>行评估论证，并在规划管理中予以落实。</w:t>
      </w:r>
    </w:p>
    <w:p>
      <w:pPr>
        <w:pStyle w:val="BodyText"/>
        <w:ind w:left="4" w:right="308" w:firstLine="411"/>
        <w:spacing w:before="163" w:line="356" w:lineRule="auto"/>
        <w:rPr/>
      </w:pPr>
      <w:r>
        <w:rPr>
          <w:spacing w:val="7"/>
        </w:rPr>
        <w:t>（六）住房和城乡建设部门负责职责范围</w:t>
      </w:r>
      <w:r>
        <w:rPr>
          <w:spacing w:val="7"/>
        </w:rPr>
        <w:t>内建设工程的安全监督管理（铁路、交通、水</w:t>
      </w:r>
      <w:r>
        <w:rPr>
          <w:spacing w:val="12"/>
        </w:rPr>
        <w:t>利、民航、电力、通信专业建设工程除外</w:t>
      </w:r>
      <w:r>
        <w:rPr>
          <w:spacing w:val="-38"/>
        </w:rPr>
        <w:t>）；</w:t>
      </w:r>
      <w:r>
        <w:rPr>
          <w:spacing w:val="7"/>
        </w:rPr>
        <w:t>承担建筑施工、安装、装修、勘察、设计等建</w:t>
      </w:r>
      <w:r>
        <w:rPr>
          <w:spacing w:val="7"/>
        </w:rPr>
        <w:t>筑业的安全监督管理，负责职责范围内国有土</w:t>
      </w:r>
      <w:r>
        <w:rPr>
          <w:spacing w:val="7"/>
        </w:rPr>
        <w:t>地上房屋征收的安全监督管理；指导农村住房</w:t>
      </w:r>
      <w:r>
        <w:rPr>
          <w:spacing w:val="8"/>
        </w:rPr>
        <w:t>建设、农村住房安全和危房（窑）改造工作。</w:t>
      </w:r>
    </w:p>
    <w:p>
      <w:pPr>
        <w:pStyle w:val="BodyText"/>
        <w:ind w:left="4" w:right="319" w:firstLine="412"/>
        <w:spacing w:before="126" w:line="341" w:lineRule="auto"/>
        <w:rPr/>
      </w:pPr>
      <w:r>
        <w:rPr>
          <w:spacing w:val="7"/>
        </w:rPr>
        <w:t>（七）商务和投资促进部门负责商场、餐</w:t>
      </w:r>
      <w:r>
        <w:rPr>
          <w:spacing w:val="7"/>
        </w:rPr>
        <w:t>饮、住宿等商贸服务业的安全生产管理工作，</w:t>
      </w:r>
      <w:r>
        <w:rPr>
          <w:spacing w:val="7"/>
        </w:rPr>
        <w:t>对拍卖、典当、租赁、物流、成品油流通、汽</w:t>
      </w:r>
      <w:r>
        <w:rPr>
          <w:spacing w:val="7"/>
        </w:rPr>
        <w:t>车流通、旧货流通行业等实施安全监督管理；</w:t>
      </w:r>
      <w:r>
        <w:rPr>
          <w:spacing w:val="7"/>
        </w:rPr>
        <w:t>协调、配合有关主管部门对大型会展活动进行</w:t>
      </w:r>
    </w:p>
    <w:p>
      <w:pPr>
        <w:spacing w:line="14" w:lineRule="auto"/>
        <w:rPr>
          <w:rFonts w:ascii="Arial"/>
          <w:sz w:val="2"/>
        </w:rPr>
      </w:pPr>
      <w:r>
        <w:rPr>
          <w:rFonts w:ascii="Arial" w:hAnsi="Arial" w:eastAsia="Arial" w:cs="Arial"/>
          <w:sz w:val="2"/>
          <w:szCs w:val="2"/>
        </w:rPr>
        <w:br w:type="column"/>
      </w:r>
    </w:p>
    <w:p>
      <w:pPr>
        <w:pStyle w:val="BodyText"/>
        <w:ind w:left="1" w:right="101" w:firstLine="1"/>
        <w:spacing w:before="40" w:line="371" w:lineRule="auto"/>
        <w:jc w:val="both"/>
        <w:rPr/>
      </w:pPr>
      <w:r>
        <w:rPr>
          <w:spacing w:val="7"/>
        </w:rPr>
        <w:t>安全监督管理，会同有关主管部门指导、督促</w:t>
      </w:r>
      <w:r>
        <w:rPr>
          <w:spacing w:val="18"/>
        </w:rPr>
        <w:t>境内投资主体加强合资合作项目的安全生产</w:t>
      </w:r>
      <w:r>
        <w:rPr>
          <w:spacing w:val="4"/>
        </w:rPr>
        <w:t>工作。</w:t>
      </w:r>
    </w:p>
    <w:p>
      <w:pPr>
        <w:pStyle w:val="BodyText"/>
        <w:ind w:right="48" w:firstLine="413"/>
        <w:spacing w:before="13" w:line="363" w:lineRule="auto"/>
        <w:rPr/>
      </w:pPr>
      <w:r>
        <w:rPr>
          <w:spacing w:val="7"/>
        </w:rPr>
        <w:t>（八）市场监督管理部门负责食品药品安</w:t>
      </w:r>
      <w:r>
        <w:rPr>
          <w:spacing w:val="7"/>
        </w:rPr>
        <w:t>全监督管理工作；负责在企业登记中对涉及安</w:t>
      </w:r>
      <w:r>
        <w:rPr>
          <w:spacing w:val="7"/>
        </w:rPr>
        <w:t>全生产的前置许可条件依法进行审查，依法核</w:t>
      </w:r>
      <w:r>
        <w:rPr>
          <w:spacing w:val="7"/>
        </w:rPr>
        <w:t>发危险化学品、烟花爆竹生产、经营、运输单</w:t>
      </w:r>
      <w:r>
        <w:rPr>
          <w:spacing w:val="7"/>
        </w:rPr>
        <w:t>位营业执照以及变更、注销登记，配合有关主</w:t>
      </w:r>
      <w:r>
        <w:rPr>
          <w:spacing w:val="9"/>
        </w:rPr>
        <w:t>管部门依法查处、取缔未经安全生产（经营）</w:t>
      </w:r>
      <w:r>
        <w:rPr>
          <w:spacing w:val="7"/>
        </w:rPr>
        <w:t>许可的企业；负责锅炉、压力容器等特种设备</w:t>
      </w:r>
      <w:r>
        <w:rPr>
          <w:spacing w:val="7"/>
        </w:rPr>
        <w:t>的安全监督管理，并对用于安全防护的计量器</w:t>
      </w:r>
      <w:r>
        <w:rPr>
          <w:spacing w:val="7"/>
        </w:rPr>
        <w:t>具实施监督管理；依法对安全生产检验检测机</w:t>
      </w:r>
      <w:r>
        <w:rPr>
          <w:spacing w:val="7"/>
        </w:rPr>
        <w:t>构和烟花爆竹产品质量实施监督管理，负责保</w:t>
      </w:r>
      <w:r>
        <w:rPr>
          <w:spacing w:val="7"/>
        </w:rPr>
        <w:t>障劳动安全的产品、影响生产安全的产品质量</w:t>
      </w:r>
      <w:r>
        <w:rPr>
          <w:spacing w:val="7"/>
        </w:rPr>
        <w:t>监督管理，负责危险化学品及其包装物、容器</w:t>
      </w:r>
      <w:r>
        <w:rPr>
          <w:spacing w:val="9"/>
        </w:rPr>
        <w:t>的工业产品生产许可证的管理工作。</w:t>
      </w:r>
    </w:p>
    <w:p>
      <w:pPr>
        <w:pStyle w:val="BodyText"/>
        <w:ind w:right="101" w:firstLine="413"/>
        <w:spacing w:before="129" w:line="358" w:lineRule="auto"/>
        <w:rPr/>
      </w:pPr>
      <w:r>
        <w:rPr>
          <w:spacing w:val="7"/>
        </w:rPr>
        <w:t>（九）教育体育部门负责各类学校（含幼</w:t>
      </w:r>
      <w:r>
        <w:rPr>
          <w:spacing w:val="7"/>
        </w:rPr>
        <w:t>儿园）、教育培训机构的安全监督管理；负责</w:t>
      </w:r>
      <w:r>
        <w:rPr>
          <w:spacing w:val="7"/>
        </w:rPr>
        <w:t>将安全教育纳入义务教育学校教学内容，督促</w:t>
      </w:r>
      <w:r>
        <w:rPr>
          <w:spacing w:val="7"/>
        </w:rPr>
        <w:t>指导各类学校开展安全教育活动；会同有关主</w:t>
      </w:r>
      <w:r>
        <w:rPr>
          <w:spacing w:val="18"/>
        </w:rPr>
        <w:t>管部门建立完善中小学安全教育和高危行业</w:t>
      </w:r>
      <w:r>
        <w:rPr>
          <w:spacing w:val="7"/>
        </w:rPr>
        <w:t>职业安全教育体系；会同有关主管部门做好校</w:t>
      </w:r>
      <w:r>
        <w:rPr>
          <w:spacing w:val="7"/>
        </w:rPr>
        <w:t>车安全监督管理工作；负责公共体育设施安全</w:t>
      </w:r>
      <w:r>
        <w:rPr>
          <w:spacing w:val="7"/>
        </w:rPr>
        <w:t>运行的监督管理；负责经营高危险性体育项目</w:t>
      </w:r>
      <w:r>
        <w:rPr>
          <w:spacing w:val="7"/>
        </w:rPr>
        <w:t>的安全监督管理；会同有关主管部门做好体育</w:t>
      </w:r>
      <w:r>
        <w:rPr>
          <w:spacing w:val="8"/>
        </w:rPr>
        <w:t>赛事和活动的安全管理工作。</w:t>
      </w:r>
    </w:p>
    <w:p>
      <w:pPr>
        <w:pStyle w:val="BodyText"/>
        <w:ind w:left="1" w:right="81" w:firstLine="412"/>
        <w:spacing w:before="160" w:line="336" w:lineRule="auto"/>
        <w:rPr/>
      </w:pPr>
      <w:r>
        <w:rPr>
          <w:spacing w:val="7"/>
        </w:rPr>
        <w:t>（十）水务部门负责水利行业安全生产工</w:t>
      </w:r>
      <w:r>
        <w:rPr>
          <w:spacing w:val="7"/>
        </w:rPr>
        <w:t>作，负责水利建设工程以及水利工程设施的安</w:t>
      </w:r>
      <w:r>
        <w:rPr>
          <w:spacing w:val="7"/>
        </w:rPr>
        <w:t>全监督管理，牵头负责河道采砂安全监督管理</w:t>
      </w:r>
      <w:r>
        <w:rPr>
          <w:spacing w:val="8"/>
        </w:rPr>
        <w:t>工作，保障防洪安全、河势稳定和堤防安全。</w:t>
      </w:r>
    </w:p>
    <w:p>
      <w:pPr>
        <w:pStyle w:val="BodyText"/>
        <w:ind w:right="20" w:firstLine="413"/>
        <w:spacing w:before="158" w:line="283" w:lineRule="auto"/>
        <w:rPr/>
      </w:pPr>
      <w:r>
        <w:rPr>
          <w:spacing w:val="7"/>
        </w:rPr>
        <w:t>（十一）农业农村部门负责种植业、畜牧</w:t>
      </w:r>
      <w:r>
        <w:rPr>
          <w:spacing w:val="1"/>
        </w:rPr>
        <w:t>业、渔业等农业行业安全生产工作，承担农药、</w:t>
      </w:r>
    </w:p>
    <w:p>
      <w:pPr>
        <w:spacing w:line="283" w:lineRule="auto"/>
        <w:sectPr>
          <w:type w:val="continuous"/>
          <w:pgSz w:w="11906" w:h="16839"/>
          <w:pgMar w:top="1769" w:right="1489" w:bottom="1570" w:left="1588" w:header="1428" w:footer="1172" w:gutter="0"/>
          <w:cols w:equalWidth="0" w:num="2">
            <w:col w:w="4480" w:space="100"/>
            <w:col w:w="4250" w:space="0"/>
          </w:cols>
        </w:sectPr>
        <w:rPr/>
      </w:pPr>
    </w:p>
    <w:p>
      <w:pPr>
        <w:spacing w:before="81"/>
        <w:rPr/>
      </w:pPr>
      <w:r>
        <w:drawing>
          <wp:anchor distT="0" distB="0" distL="0" distR="0" simplePos="0" relativeHeight="25204736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088" name="IM 1088"/>
            <wp:cNvGraphicFramePr/>
            <a:graphic>
              <a:graphicData uri="http://schemas.openxmlformats.org/drawingml/2006/picture">
                <pic:pic>
                  <pic:nvPicPr>
                    <pic:cNvPr id="1088" name="IM 1088"/>
                    <pic:cNvPicPr/>
                  </pic:nvPicPr>
                  <pic:blipFill>
                    <a:blip r:embed="rId546"/>
                    <a:stretch>
                      <a:fillRect/>
                    </a:stretch>
                  </pic:blipFill>
                  <pic:spPr>
                    <a:xfrm rot="0">
                      <a:off x="0" y="0"/>
                      <a:ext cx="5579745" cy="7620"/>
                    </a:xfrm>
                    <a:prstGeom prst="rect">
                      <a:avLst/>
                    </a:prstGeom>
                  </pic:spPr>
                </pic:pic>
              </a:graphicData>
            </a:graphic>
          </wp:anchor>
        </w:drawing>
      </w:r>
      <w:r/>
    </w:p>
    <w:p>
      <w:pPr>
        <w:sectPr>
          <w:headerReference w:type="default" r:id="rId544"/>
          <w:footerReference w:type="default" r:id="rId545"/>
          <w:pgSz w:w="11906" w:h="16839"/>
          <w:pgMar w:top="1766" w:right="1507" w:bottom="1563" w:left="1579" w:header="1428" w:footer="1172" w:gutter="0"/>
          <w:cols w:equalWidth="0" w:num="1">
            <w:col w:w="8819" w:space="0"/>
          </w:cols>
        </w:sectPr>
        <w:rPr/>
      </w:pPr>
    </w:p>
    <w:p>
      <w:pPr>
        <w:pStyle w:val="BodyText"/>
        <w:ind w:left="15" w:right="329" w:hanging="5"/>
        <w:spacing w:before="40" w:line="376" w:lineRule="auto"/>
        <w:rPr/>
      </w:pPr>
      <w:r>
        <w:rPr>
          <w:spacing w:val="7"/>
        </w:rPr>
        <w:t>农村沼气、渔业船舶、农业机械和农村合作经</w:t>
      </w:r>
      <w:r>
        <w:rPr>
          <w:spacing w:val="8"/>
        </w:rPr>
        <w:t>济组织的安全生产监督管理。</w:t>
      </w:r>
    </w:p>
    <w:p>
      <w:pPr>
        <w:pStyle w:val="BodyText"/>
        <w:ind w:left="11" w:right="320" w:firstLine="413"/>
        <w:spacing w:before="4" w:line="360" w:lineRule="auto"/>
        <w:rPr/>
      </w:pPr>
      <w:r>
        <w:rPr>
          <w:spacing w:val="7"/>
        </w:rPr>
        <w:t>（十二）生态环境部门负责辐射安全的监</w:t>
      </w:r>
      <w:r>
        <w:rPr>
          <w:spacing w:val="7"/>
        </w:rPr>
        <w:t>督管理，组织、协调核与辐射应急管理工作；</w:t>
      </w:r>
      <w:r>
        <w:rPr>
          <w:spacing w:val="18"/>
        </w:rPr>
        <w:t>负责危险废物处置和放射性物品运输的环境</w:t>
      </w:r>
      <w:r>
        <w:rPr>
          <w:spacing w:val="7"/>
        </w:rPr>
        <w:t>安全监督管理，负责环境污染防治设施运行情</w:t>
      </w:r>
      <w:r>
        <w:rPr>
          <w:spacing w:val="7"/>
        </w:rPr>
        <w:t>况的监督检查，对突发环境事件的环境影响程</w:t>
      </w:r>
      <w:r>
        <w:rPr>
          <w:spacing w:val="8"/>
        </w:rPr>
        <w:t>度进行检测评估。</w:t>
      </w:r>
    </w:p>
    <w:p>
      <w:pPr>
        <w:pStyle w:val="BodyText"/>
        <w:ind w:left="11" w:right="329" w:firstLine="413"/>
        <w:spacing w:before="179" w:line="375" w:lineRule="auto"/>
        <w:rPr/>
      </w:pPr>
      <w:r>
        <w:rPr>
          <w:spacing w:val="7"/>
        </w:rPr>
        <w:t>（十三）文化旅游广电部门负责对文化市</w:t>
      </w:r>
      <w:r>
        <w:rPr>
          <w:spacing w:val="7"/>
        </w:rPr>
        <w:t>场安全生产工作实施监督管理，依法对文化娱</w:t>
      </w:r>
      <w:r>
        <w:rPr>
          <w:spacing w:val="7"/>
        </w:rPr>
        <w:t>乐场所、营业性演出和文化艺术经营活动执行</w:t>
      </w:r>
      <w:r>
        <w:rPr>
          <w:spacing w:val="18"/>
        </w:rPr>
        <w:t>有关安全生产法律、法规的情况进行监督检</w:t>
      </w:r>
      <w:r>
        <w:rPr>
          <w:spacing w:val="15"/>
        </w:rPr>
        <w:t>查</w:t>
      </w:r>
      <w:r>
        <w:rPr>
          <w:spacing w:val="-39"/>
        </w:rPr>
        <w:t xml:space="preserve"> </w:t>
      </w:r>
      <w:r>
        <w:rPr>
          <w:spacing w:val="15"/>
        </w:rPr>
        <w:t>；会同有关主管部门实施旅游安全综合监</w:t>
      </w:r>
      <w:r>
        <w:rPr>
          <w:spacing w:val="7"/>
        </w:rPr>
        <w:t>管，指导应急管理工作；承担旅行社的安全监</w:t>
      </w:r>
      <w:r>
        <w:rPr>
          <w:spacing w:val="7"/>
        </w:rPr>
        <w:t>督管理工作，依法对旅游景区、度假区、星级</w:t>
      </w:r>
      <w:r>
        <w:rPr>
          <w:spacing w:val="7"/>
        </w:rPr>
        <w:t>饭店等旅游经营者进行安全监督管理；负责新</w:t>
      </w:r>
      <w:r>
        <w:rPr>
          <w:spacing w:val="7"/>
        </w:rPr>
        <w:t>闻出版、广播影视机构的安全监督管理，制定</w:t>
      </w:r>
      <w:r>
        <w:rPr>
          <w:spacing w:val="7"/>
        </w:rPr>
        <w:t>新闻出版、广播影视有关安全制度和突发事件</w:t>
      </w:r>
      <w:r>
        <w:rPr>
          <w:spacing w:val="7"/>
        </w:rPr>
        <w:t>应急预案并组织实施；督促新闻出版广播影视</w:t>
      </w:r>
      <w:r>
        <w:rPr>
          <w:spacing w:val="7"/>
        </w:rPr>
        <w:t>机构做好安全生产公益宣传教育工作，对安全</w:t>
      </w:r>
      <w:r>
        <w:rPr>
          <w:spacing w:val="8"/>
        </w:rPr>
        <w:t>生产违法行为进行舆论监督。</w:t>
      </w:r>
    </w:p>
    <w:p>
      <w:pPr>
        <w:pStyle w:val="BodyText"/>
        <w:ind w:left="11" w:right="329" w:firstLine="413"/>
        <w:spacing w:before="182" w:line="369" w:lineRule="auto"/>
        <w:rPr/>
      </w:pPr>
      <w:r>
        <w:rPr>
          <w:spacing w:val="7"/>
        </w:rPr>
        <w:t>（十四）卫生健康部门按照职业分工，负</w:t>
      </w:r>
      <w:r>
        <w:rPr>
          <w:spacing w:val="7"/>
        </w:rPr>
        <w:t>责职业卫生和放射卫生的监督管理工作，负责</w:t>
      </w:r>
      <w:r>
        <w:rPr>
          <w:spacing w:val="7"/>
        </w:rPr>
        <w:t>对职业健康检查、职业病诊断、鉴定等职业卫</w:t>
      </w:r>
      <w:r>
        <w:rPr>
          <w:spacing w:val="7"/>
        </w:rPr>
        <w:t>生相关工作进行监督管理；督促指导、监督检</w:t>
      </w:r>
      <w:r>
        <w:rPr>
          <w:spacing w:val="7"/>
        </w:rPr>
        <w:t>查医疗卫生机构、计划生育技术服务机构的安</w:t>
      </w:r>
      <w:r>
        <w:rPr>
          <w:spacing w:val="7"/>
        </w:rPr>
        <w:t>全管理工作，做好医疗废物疾病防治和放射性</w:t>
      </w:r>
      <w:r>
        <w:rPr>
          <w:spacing w:val="7"/>
        </w:rPr>
        <w:t>物品安全处置的管理工作；协调指导生产安全</w:t>
      </w:r>
      <w:r>
        <w:rPr>
          <w:spacing w:val="7"/>
        </w:rPr>
        <w:t>事故的医疗卫生救援工作，对重特大生产安全</w:t>
      </w:r>
      <w:r>
        <w:rPr>
          <w:spacing w:val="8"/>
        </w:rPr>
        <w:t>事故组织实施紧急医学救援。</w:t>
      </w:r>
    </w:p>
    <w:p>
      <w:pPr>
        <w:pStyle w:val="BodyText"/>
        <w:ind w:left="424"/>
        <w:spacing w:before="177" w:line="274" w:lineRule="exact"/>
        <w:rPr/>
      </w:pPr>
      <w:r>
        <w:rPr>
          <w:spacing w:val="7"/>
          <w:position w:val="1"/>
        </w:rPr>
        <w:t>（十五）国有资产管理部门负责督促、检</w:t>
      </w:r>
    </w:p>
    <w:p>
      <w:pPr>
        <w:spacing w:line="14" w:lineRule="auto"/>
        <w:rPr>
          <w:rFonts w:ascii="Arial"/>
          <w:sz w:val="2"/>
        </w:rPr>
      </w:pPr>
      <w:r>
        <w:rPr>
          <w:rFonts w:ascii="Arial" w:hAnsi="Arial" w:eastAsia="Arial" w:cs="Arial"/>
          <w:sz w:val="2"/>
          <w:szCs w:val="2"/>
        </w:rPr>
        <w:br w:type="column"/>
      </w:r>
    </w:p>
    <w:p>
      <w:pPr>
        <w:pStyle w:val="BodyText"/>
        <w:ind w:left="2" w:right="83" w:hanging="2"/>
        <w:spacing w:before="52" w:line="387" w:lineRule="auto"/>
        <w:jc w:val="both"/>
        <w:rPr/>
      </w:pPr>
      <w:r>
        <w:rPr>
          <w:spacing w:val="7"/>
        </w:rPr>
        <w:t>查国有企业落实安全生产主体责任，将安全生</w:t>
      </w:r>
      <w:r>
        <w:rPr>
          <w:spacing w:val="7"/>
        </w:rPr>
        <w:t>产纳入国有企业负责人经营业绩考核，参与对</w:t>
      </w:r>
      <w:r>
        <w:rPr>
          <w:spacing w:val="8"/>
        </w:rPr>
        <w:t>国有企业的安全生产督查检查。</w:t>
      </w:r>
    </w:p>
    <w:p>
      <w:pPr>
        <w:pStyle w:val="BodyText"/>
        <w:ind w:firstLine="413"/>
        <w:spacing w:before="2" w:line="333" w:lineRule="auto"/>
        <w:rPr/>
      </w:pPr>
      <w:r>
        <w:rPr>
          <w:spacing w:val="16"/>
        </w:rPr>
        <w:t>（</w:t>
      </w:r>
      <w:r>
        <w:rPr>
          <w:spacing w:val="-39"/>
        </w:rPr>
        <w:t xml:space="preserve"> </w:t>
      </w:r>
      <w:r>
        <w:rPr>
          <w:spacing w:val="16"/>
        </w:rPr>
        <w:t>十六）城市管理部门负责市政基础设</w:t>
      </w:r>
      <w:r>
        <w:rPr>
          <w:spacing w:val="7"/>
        </w:rPr>
        <w:t>施、城市燃气、园林绿化和公共避难场所的安</w:t>
      </w:r>
      <w:r>
        <w:rPr>
          <w:spacing w:val="-8"/>
        </w:rPr>
        <w:t>全监督管理，承担地下管线工作的综合监督管理。</w:t>
      </w:r>
    </w:p>
    <w:p>
      <w:pPr>
        <w:pStyle w:val="BodyText"/>
        <w:ind w:right="83" w:firstLine="412"/>
        <w:spacing w:before="174" w:line="333" w:lineRule="auto"/>
        <w:rPr/>
      </w:pPr>
      <w:r>
        <w:rPr>
          <w:spacing w:val="7"/>
        </w:rPr>
        <w:t>（十七）民政部门负责救助、养老、儿童</w:t>
      </w:r>
      <w:r>
        <w:rPr>
          <w:spacing w:val="18"/>
        </w:rPr>
        <w:t>福利和殡葬服务等社会福利服务机构的安全</w:t>
      </w:r>
      <w:r>
        <w:rPr>
          <w:spacing w:val="6"/>
        </w:rPr>
        <w:t>监督管理。</w:t>
      </w:r>
    </w:p>
    <w:p>
      <w:pPr>
        <w:pStyle w:val="BodyText"/>
        <w:ind w:left="8" w:right="83" w:firstLine="404"/>
        <w:spacing w:before="178" w:line="333" w:lineRule="auto"/>
        <w:rPr/>
      </w:pPr>
      <w:r>
        <w:rPr>
          <w:spacing w:val="7"/>
        </w:rPr>
        <w:t>（十八）六盘山林业管理部门负责六盘山</w:t>
      </w:r>
      <w:r>
        <w:rPr>
          <w:spacing w:val="6"/>
        </w:rPr>
        <w:t>自然保护区、六盘山国家森林公园森林防灭火</w:t>
      </w:r>
      <w:r>
        <w:rPr>
          <w:spacing w:val="8"/>
        </w:rPr>
        <w:t>和安全生产监督管理工作。</w:t>
      </w:r>
    </w:p>
    <w:p>
      <w:pPr>
        <w:pStyle w:val="BodyText"/>
        <w:ind w:right="60" w:firstLine="412"/>
        <w:spacing w:before="175" w:line="370" w:lineRule="auto"/>
        <w:rPr/>
      </w:pPr>
      <w:r>
        <w:rPr>
          <w:spacing w:val="7"/>
        </w:rPr>
        <w:t>（十九）供销合作社负责供销系统安全专</w:t>
      </w:r>
      <w:r>
        <w:rPr>
          <w:spacing w:val="7"/>
        </w:rPr>
        <w:t>项检查，督促、指导供销合作企业排查事故隐</w:t>
      </w:r>
      <w:r>
        <w:rPr>
          <w:spacing w:val="7"/>
        </w:rPr>
        <w:t>患，加强消防安全以及其他安全事故的防范工</w:t>
      </w:r>
      <w:r>
        <w:rPr>
          <w:spacing w:val="7"/>
        </w:rPr>
        <w:t>作，防止火灾、爆炸、中毒以及其他安全事故</w:t>
      </w:r>
      <w:r>
        <w:rPr>
          <w:spacing w:val="7"/>
        </w:rPr>
        <w:t>发生；指导、监督供销合作企业建立健全安全</w:t>
      </w:r>
      <w:r>
        <w:rPr>
          <w:spacing w:val="8"/>
        </w:rPr>
        <w:t>生产责任制，履行危险化学品、农药、鼠药、</w:t>
      </w:r>
      <w:r>
        <w:rPr>
          <w:spacing w:val="7"/>
        </w:rPr>
        <w:t>民用爆破器材和烟花爆竹运输、储存、经营环</w:t>
      </w:r>
      <w:r>
        <w:rPr>
          <w:spacing w:val="7"/>
        </w:rPr>
        <w:t>节的安全管理职责；组织本系统安全事故应急</w:t>
      </w:r>
      <w:r>
        <w:rPr>
          <w:spacing w:val="8"/>
        </w:rPr>
        <w:t>救援，并参与事故调查处理。</w:t>
      </w:r>
    </w:p>
    <w:p>
      <w:pPr>
        <w:pStyle w:val="BodyText"/>
        <w:ind w:right="76" w:firstLine="413"/>
        <w:spacing w:before="173" w:line="370" w:lineRule="auto"/>
        <w:rPr/>
      </w:pPr>
      <w:r>
        <w:rPr>
          <w:spacing w:val="7"/>
        </w:rPr>
        <w:t>（二十）消防救援支队负责消防安全监督</w:t>
      </w:r>
      <w:r>
        <w:rPr>
          <w:spacing w:val="7"/>
        </w:rPr>
        <w:t>管理，检查、督促单位落实消防安全责任制，</w:t>
      </w:r>
      <w:r>
        <w:rPr>
          <w:spacing w:val="7"/>
        </w:rPr>
        <w:t>参与编制城乡消防规划；依照法律、法规和有</w:t>
      </w:r>
      <w:r>
        <w:rPr>
          <w:spacing w:val="7"/>
        </w:rPr>
        <w:t>关规定，负责消防安全宣传教育，组织对社会</w:t>
      </w:r>
      <w:r>
        <w:rPr>
          <w:spacing w:val="7"/>
        </w:rPr>
        <w:t>消防力量进行业务指导；组织开展消防安全综</w:t>
      </w:r>
      <w:r>
        <w:rPr>
          <w:spacing w:val="7"/>
        </w:rPr>
        <w:t>合检查工作，监督相关责任单位落实火灾隐患</w:t>
      </w:r>
      <w:r>
        <w:rPr>
          <w:spacing w:val="7"/>
        </w:rPr>
        <w:t>整改措施，依法对违反消防法律、法规的行为</w:t>
      </w:r>
      <w:r>
        <w:rPr>
          <w:spacing w:val="15"/>
        </w:rPr>
        <w:t>进行处罚</w:t>
      </w:r>
      <w:r>
        <w:rPr>
          <w:spacing w:val="-39"/>
        </w:rPr>
        <w:t xml:space="preserve"> </w:t>
      </w:r>
      <w:r>
        <w:rPr>
          <w:spacing w:val="15"/>
        </w:rPr>
        <w:t>；组织指导城乡综合性消防救援工</w:t>
      </w:r>
      <w:r>
        <w:rPr>
          <w:spacing w:val="9"/>
        </w:rPr>
        <w:t>作，负责指挥调度相关灾害事故救援行动。</w:t>
      </w:r>
    </w:p>
    <w:p>
      <w:pPr>
        <w:pStyle w:val="BodyText"/>
        <w:ind w:left="413"/>
        <w:spacing w:before="175" w:line="221" w:lineRule="auto"/>
        <w:rPr/>
      </w:pPr>
      <w:r>
        <w:rPr>
          <w:spacing w:val="7"/>
        </w:rPr>
        <w:t>（二十一）人防、医疗保障、粮食和物资</w:t>
      </w:r>
    </w:p>
    <w:p>
      <w:pPr>
        <w:spacing w:line="221" w:lineRule="auto"/>
        <w:sectPr>
          <w:type w:val="continuous"/>
          <w:pgSz w:w="11906" w:h="16839"/>
          <w:pgMar w:top="1766" w:right="1507" w:bottom="1563" w:left="1579" w:header="1428" w:footer="1172" w:gutter="0"/>
          <w:cols w:equalWidth="0" w:num="2">
            <w:col w:w="4489" w:space="100"/>
            <w:col w:w="4231" w:space="0"/>
          </w:cols>
        </w:sectPr>
        <w:rPr/>
      </w:pPr>
    </w:p>
    <w:p>
      <w:pPr>
        <w:spacing w:before="82"/>
        <w:rPr/>
      </w:pPr>
      <w:r>
        <w:drawing>
          <wp:anchor distT="0" distB="0" distL="0" distR="0" simplePos="0" relativeHeight="252049408" behindDoc="0" locked="0" layoutInCell="0" allowOverlap="1">
            <wp:simplePos x="0" y="0"/>
            <wp:positionH relativeFrom="page">
              <wp:posOffset>1008380</wp:posOffset>
            </wp:positionH>
            <wp:positionV relativeFrom="page">
              <wp:posOffset>1122680</wp:posOffset>
            </wp:positionV>
            <wp:extent cx="5579745" cy="7619"/>
            <wp:effectExtent l="0" t="0" r="0" b="0"/>
            <wp:wrapNone/>
            <wp:docPr id="1092" name="IM 1092"/>
            <wp:cNvGraphicFramePr/>
            <a:graphic>
              <a:graphicData uri="http://schemas.openxmlformats.org/drawingml/2006/picture">
                <pic:pic>
                  <pic:nvPicPr>
                    <pic:cNvPr id="1092" name="IM 1092"/>
                    <pic:cNvPicPr/>
                  </pic:nvPicPr>
                  <pic:blipFill>
                    <a:blip r:embed="rId548"/>
                    <a:stretch>
                      <a:fillRect/>
                    </a:stretch>
                  </pic:blipFill>
                  <pic:spPr>
                    <a:xfrm rot="0">
                      <a:off x="0" y="0"/>
                      <a:ext cx="5579745" cy="7619"/>
                    </a:xfrm>
                    <a:prstGeom prst="rect">
                      <a:avLst/>
                    </a:prstGeom>
                  </pic:spPr>
                </pic:pic>
              </a:graphicData>
            </a:graphic>
          </wp:anchor>
        </w:drawing>
      </w:r>
      <w:r/>
    </w:p>
    <w:p>
      <w:pPr>
        <w:sectPr>
          <w:headerReference w:type="default" r:id="rId536"/>
          <w:footerReference w:type="default" r:id="rId547"/>
          <w:pgSz w:w="11906" w:h="16839"/>
          <w:pgMar w:top="1769" w:right="1489" w:bottom="1570" w:left="1588" w:header="1428" w:footer="1172" w:gutter="0"/>
          <w:cols w:equalWidth="0" w:num="1">
            <w:col w:w="8829" w:space="0"/>
          </w:cols>
        </w:sectPr>
        <w:rPr/>
      </w:pPr>
    </w:p>
    <w:p>
      <w:pPr>
        <w:pStyle w:val="BodyText"/>
        <w:ind w:left="3" w:right="220" w:hanging="1"/>
        <w:spacing w:before="48" w:line="382" w:lineRule="auto"/>
        <w:jc w:val="both"/>
        <w:rPr/>
      </w:pPr>
      <w:r>
        <w:rPr>
          <w:spacing w:val="2"/>
        </w:rPr>
        <w:t>储备、机关事务管理、地震等有关部门（单位）</w:t>
      </w:r>
      <w:r>
        <w:rPr>
          <w:spacing w:val="7"/>
        </w:rPr>
        <w:t>依照有关法律、法规等规定，履行本行业、本</w:t>
      </w:r>
      <w:r>
        <w:rPr>
          <w:spacing w:val="8"/>
        </w:rPr>
        <w:t>领域的安全生产工作职责。</w:t>
      </w:r>
    </w:p>
    <w:p>
      <w:pPr>
        <w:pStyle w:val="BodyText"/>
        <w:ind w:left="7" w:right="330" w:firstLine="424"/>
        <w:spacing w:before="22" w:line="358" w:lineRule="auto"/>
        <w:jc w:val="both"/>
        <w:rPr/>
      </w:pPr>
      <w:r>
        <w:rPr>
          <w:rFonts w:ascii="Microsoft YaHei" w:hAnsi="Microsoft YaHei" w:eastAsia="Microsoft YaHei" w:cs="Microsoft YaHei"/>
          <w:spacing w:val="17"/>
        </w:rPr>
        <w:t>第十二条</w:t>
      </w:r>
      <w:r>
        <w:rPr>
          <w:rFonts w:ascii="Microsoft YaHei" w:hAnsi="Microsoft YaHei" w:eastAsia="Microsoft YaHei" w:cs="Microsoft YaHei"/>
          <w:spacing w:val="22"/>
          <w:w w:val="101"/>
        </w:rPr>
        <w:t xml:space="preserve">   </w:t>
      </w:r>
      <w:r>
        <w:rPr>
          <w:spacing w:val="17"/>
        </w:rPr>
        <w:t>具有行政管理和公共服务职</w:t>
      </w:r>
      <w:r>
        <w:rPr>
          <w:spacing w:val="7"/>
        </w:rPr>
        <w:t>能的下列主管部门、机构依照有关法律、法规</w:t>
      </w:r>
      <w:r>
        <w:rPr>
          <w:spacing w:val="7"/>
        </w:rPr>
        <w:t>等规定，在各自职责范围内履行安全生产监督</w:t>
      </w:r>
      <w:r>
        <w:rPr>
          <w:spacing w:val="6"/>
        </w:rPr>
        <w:t>管理职责：</w:t>
      </w:r>
    </w:p>
    <w:p>
      <w:pPr>
        <w:pStyle w:val="BodyText"/>
        <w:ind w:left="3" w:right="307" w:firstLine="413"/>
        <w:spacing w:before="3" w:line="360" w:lineRule="auto"/>
        <w:rPr/>
      </w:pPr>
      <w:r>
        <w:rPr>
          <w:spacing w:val="7"/>
        </w:rPr>
        <w:t>（一）科技部门负责将安全生产科技进步</w:t>
      </w:r>
      <w:r>
        <w:rPr>
          <w:spacing w:val="18"/>
        </w:rPr>
        <w:t>纳入科技发展规划和财政科技计划并组织实</w:t>
      </w:r>
      <w:r>
        <w:rPr>
          <w:spacing w:val="8"/>
        </w:rPr>
        <w:t>施，支持安全生产技术的研究、开发和示范，</w:t>
      </w:r>
      <w:r>
        <w:rPr>
          <w:spacing w:val="7"/>
        </w:rPr>
        <w:t>推动安全生产科技进步；引导企业增加安全生</w:t>
      </w:r>
      <w:r>
        <w:rPr>
          <w:spacing w:val="8"/>
        </w:rPr>
        <w:t>产研发资金投入，牵头负责新产品、新工艺、</w:t>
      </w:r>
      <w:r>
        <w:rPr>
          <w:spacing w:val="9"/>
        </w:rPr>
        <w:t>新技术安全可靠性论证和推广。</w:t>
      </w:r>
    </w:p>
    <w:p>
      <w:pPr>
        <w:pStyle w:val="BodyText"/>
        <w:ind w:left="4" w:right="330" w:firstLine="412"/>
        <w:spacing w:before="176" w:line="333" w:lineRule="auto"/>
        <w:rPr/>
      </w:pPr>
      <w:r>
        <w:rPr>
          <w:spacing w:val="7"/>
        </w:rPr>
        <w:t>（二）民族宗教事务部门负责指导、督促</w:t>
      </w:r>
      <w:r>
        <w:rPr>
          <w:spacing w:val="18"/>
        </w:rPr>
        <w:t>本行政区域内宗教场所和大型宗教活动期间</w:t>
      </w:r>
      <w:r>
        <w:rPr>
          <w:spacing w:val="8"/>
        </w:rPr>
        <w:t>的安全管理工作。</w:t>
      </w:r>
    </w:p>
    <w:p>
      <w:pPr>
        <w:pStyle w:val="BodyText"/>
        <w:ind w:left="2" w:right="330" w:firstLine="413"/>
        <w:spacing w:before="178" w:line="355" w:lineRule="auto"/>
        <w:rPr/>
      </w:pPr>
      <w:r>
        <w:rPr>
          <w:spacing w:val="7"/>
        </w:rPr>
        <w:t>（三）司法行政部门负责审查有关安全生</w:t>
      </w:r>
      <w:r>
        <w:rPr>
          <w:spacing w:val="7"/>
        </w:rPr>
        <w:t>产政府规范性文件草案，办理安全生产行政复</w:t>
      </w:r>
      <w:r>
        <w:rPr>
          <w:spacing w:val="7"/>
        </w:rPr>
        <w:t>议案件；负责将安全生产法律、法规纳入公民</w:t>
      </w:r>
      <w:r>
        <w:rPr>
          <w:spacing w:val="7"/>
        </w:rPr>
        <w:t>普法计划，会同有关主管部门广泛宣传普及安</w:t>
      </w:r>
      <w:r>
        <w:rPr>
          <w:spacing w:val="8"/>
        </w:rPr>
        <w:t>全生产法律、法规知识。</w:t>
      </w:r>
    </w:p>
    <w:p>
      <w:pPr>
        <w:pStyle w:val="BodyText"/>
        <w:ind w:left="4" w:right="330" w:firstLine="412"/>
        <w:spacing w:before="180" w:line="360" w:lineRule="auto"/>
        <w:rPr/>
      </w:pPr>
      <w:r>
        <w:rPr>
          <w:spacing w:val="4"/>
        </w:rPr>
        <w:t>（</w:t>
      </w:r>
      <w:r>
        <w:rPr>
          <w:spacing w:val="-39"/>
        </w:rPr>
        <w:t xml:space="preserve"> </w:t>
      </w:r>
      <w:r>
        <w:rPr>
          <w:spacing w:val="4"/>
        </w:rPr>
        <w:t>四）财政部门负责完善安全生产财政保</w:t>
      </w:r>
      <w:r>
        <w:rPr>
          <w:spacing w:val="7"/>
        </w:rPr>
        <w:t>障机制，支持安全生产预防、重大事故隐患治</w:t>
      </w:r>
      <w:r>
        <w:rPr>
          <w:spacing w:val="7"/>
        </w:rPr>
        <w:t>理和监管监察能力建设等工作；会同安全生产</w:t>
      </w:r>
      <w:r>
        <w:rPr>
          <w:spacing w:val="18"/>
        </w:rPr>
        <w:t>监督管理等部门对企业安全费用提取使用情</w:t>
      </w:r>
      <w:r>
        <w:rPr>
          <w:spacing w:val="7"/>
        </w:rPr>
        <w:t>况进行监督管理，并配合应急管理部门做好年</w:t>
      </w:r>
      <w:r>
        <w:rPr>
          <w:spacing w:val="9"/>
        </w:rPr>
        <w:t>度安全生产目标管理考核表彰工作。</w:t>
      </w:r>
    </w:p>
    <w:p>
      <w:pPr>
        <w:pStyle w:val="BodyText"/>
        <w:ind w:left="4" w:right="330" w:firstLine="412"/>
        <w:spacing w:before="178" w:line="346" w:lineRule="auto"/>
        <w:rPr/>
      </w:pPr>
      <w:r>
        <w:rPr>
          <w:spacing w:val="7"/>
        </w:rPr>
        <w:t>（五）人力资源和社会保障部门负责将安</w:t>
      </w:r>
      <w:r>
        <w:rPr>
          <w:spacing w:val="7"/>
        </w:rPr>
        <w:t>全生产纳入农民工技能培训内容，监督发生伤</w:t>
      </w:r>
      <w:r>
        <w:rPr>
          <w:spacing w:val="18"/>
        </w:rPr>
        <w:t>亡事故的非参保单位或者非法用工单位依法</w:t>
      </w:r>
      <w:r>
        <w:rPr>
          <w:spacing w:val="7"/>
        </w:rPr>
        <w:t>履行赔偿义务；会同财政、安全生产监督管理</w:t>
      </w:r>
    </w:p>
    <w:p>
      <w:pPr>
        <w:spacing w:line="14" w:lineRule="auto"/>
        <w:rPr>
          <w:rFonts w:ascii="Arial"/>
          <w:sz w:val="2"/>
        </w:rPr>
      </w:pPr>
      <w:r>
        <w:rPr>
          <w:rFonts w:ascii="Arial" w:hAnsi="Arial" w:eastAsia="Arial" w:cs="Arial"/>
          <w:sz w:val="2"/>
          <w:szCs w:val="2"/>
        </w:rPr>
        <w:br w:type="column"/>
      </w:r>
    </w:p>
    <w:p>
      <w:pPr>
        <w:pStyle w:val="BodyText"/>
        <w:ind w:right="92" w:firstLine="3"/>
        <w:spacing w:before="48" w:line="387" w:lineRule="auto"/>
        <w:jc w:val="both"/>
        <w:rPr/>
      </w:pPr>
      <w:r>
        <w:rPr>
          <w:spacing w:val="7"/>
        </w:rPr>
        <w:t>等部门修订完善工伤预防费用使用管理办法；</w:t>
      </w:r>
      <w:r>
        <w:rPr>
          <w:spacing w:val="7"/>
        </w:rPr>
        <w:t>依据职业病诊断结果，做好职业病人的社会保</w:t>
      </w:r>
      <w:r>
        <w:rPr>
          <w:spacing w:val="6"/>
        </w:rPr>
        <w:t>障工作。</w:t>
      </w:r>
    </w:p>
    <w:p>
      <w:pPr>
        <w:pStyle w:val="BodyText"/>
        <w:ind w:left="2" w:right="101" w:firstLine="409"/>
        <w:spacing w:before="2" w:line="332" w:lineRule="auto"/>
        <w:rPr/>
      </w:pPr>
      <w:r>
        <w:rPr>
          <w:spacing w:val="7"/>
        </w:rPr>
        <w:t>（六）统计部门负责把本行政区亿元国内</w:t>
      </w:r>
      <w:r>
        <w:rPr>
          <w:spacing w:val="18"/>
        </w:rPr>
        <w:t>生产总值生产安全事故死亡率指标纳入社会</w:t>
      </w:r>
      <w:r>
        <w:rPr>
          <w:spacing w:val="8"/>
        </w:rPr>
        <w:t>发展统计指标体系并定期向社会公布。</w:t>
      </w:r>
    </w:p>
    <w:p>
      <w:pPr>
        <w:pStyle w:val="BodyText"/>
        <w:ind w:left="1" w:right="101" w:firstLine="410"/>
        <w:spacing w:before="177" w:line="306" w:lineRule="auto"/>
        <w:rPr/>
      </w:pPr>
      <w:r>
        <w:rPr>
          <w:spacing w:val="7"/>
        </w:rPr>
        <w:t>（七）审批部门负责做好行政审批项目的</w:t>
      </w:r>
      <w:r>
        <w:rPr>
          <w:spacing w:val="8"/>
        </w:rPr>
        <w:t>安全生产准入条件审核。</w:t>
      </w:r>
    </w:p>
    <w:p>
      <w:pPr>
        <w:pStyle w:val="BodyText"/>
        <w:ind w:right="20" w:firstLine="412"/>
        <w:spacing w:before="178" w:line="355" w:lineRule="auto"/>
        <w:rPr/>
      </w:pPr>
      <w:r>
        <w:rPr>
          <w:spacing w:val="10"/>
        </w:rPr>
        <w:t>（八）气象、邮政、通信、电力、公路、</w:t>
      </w:r>
      <w:r>
        <w:rPr>
          <w:spacing w:val="1"/>
        </w:rPr>
        <w:t>铁路、税务、金融工作部门（含金融工作机构、</w:t>
      </w:r>
      <w:r>
        <w:rPr>
          <w:spacing w:val="7"/>
        </w:rPr>
        <w:t>人民银行、银监）等中央、区属驻固单位依照</w:t>
      </w:r>
      <w:r>
        <w:rPr>
          <w:spacing w:val="7"/>
        </w:rPr>
        <w:t>有关法律、法规等规定，在职责范围内履行安</w:t>
      </w:r>
      <w:r>
        <w:rPr>
          <w:spacing w:val="8"/>
        </w:rPr>
        <w:t>全生产管理职责。</w:t>
      </w:r>
    </w:p>
    <w:p>
      <w:pPr>
        <w:pStyle w:val="BodyText"/>
        <w:ind w:left="1" w:right="101" w:firstLine="425"/>
        <w:spacing w:before="177" w:line="364" w:lineRule="auto"/>
        <w:jc w:val="both"/>
        <w:rPr/>
      </w:pPr>
      <w:r>
        <w:rPr>
          <w:rFonts w:ascii="Microsoft YaHei" w:hAnsi="Microsoft YaHei" w:eastAsia="Microsoft YaHei" w:cs="Microsoft YaHei"/>
          <w:spacing w:val="3"/>
        </w:rPr>
        <w:t>第十三条</w:t>
      </w:r>
      <w:r>
        <w:rPr>
          <w:rFonts w:ascii="Microsoft YaHei" w:hAnsi="Microsoft YaHei" w:eastAsia="Microsoft YaHei" w:cs="Microsoft YaHei"/>
          <w:spacing w:val="13"/>
        </w:rPr>
        <w:t xml:space="preserve">   </w:t>
      </w:r>
      <w:r>
        <w:rPr>
          <w:spacing w:val="3"/>
        </w:rPr>
        <w:t>市、县（</w:t>
      </w:r>
      <w:r>
        <w:rPr>
          <w:spacing w:val="-50"/>
        </w:rPr>
        <w:t xml:space="preserve"> </w:t>
      </w:r>
      <w:r>
        <w:rPr>
          <w:spacing w:val="3"/>
        </w:rPr>
        <w:t>区）人民政府有关主</w:t>
      </w:r>
      <w:r>
        <w:rPr>
          <w:spacing w:val="18"/>
        </w:rPr>
        <w:t>管部门主要负责人应当组织实施安全生产的</w:t>
      </w:r>
      <w:r>
        <w:rPr>
          <w:spacing w:val="7"/>
        </w:rPr>
        <w:t>法律、法规、规章和政策措施，定期研究部署</w:t>
      </w:r>
      <w:r>
        <w:rPr>
          <w:spacing w:val="7"/>
        </w:rPr>
        <w:t>安全生产工作，协调解决本行业、本系统的重</w:t>
      </w:r>
      <w:r>
        <w:rPr>
          <w:spacing w:val="8"/>
        </w:rPr>
        <w:t>大安全生产问题。</w:t>
      </w:r>
    </w:p>
    <w:p>
      <w:pPr>
        <w:pStyle w:val="BodyText"/>
        <w:ind w:right="20" w:firstLine="421"/>
        <w:spacing w:before="5" w:line="388" w:lineRule="auto"/>
        <w:jc w:val="both"/>
        <w:rPr/>
      </w:pPr>
      <w:r>
        <w:rPr>
          <w:spacing w:val="4"/>
        </w:rPr>
        <w:t>市、县（</w:t>
      </w:r>
      <w:r>
        <w:rPr>
          <w:spacing w:val="-49"/>
        </w:rPr>
        <w:t xml:space="preserve"> </w:t>
      </w:r>
      <w:r>
        <w:rPr>
          <w:spacing w:val="4"/>
        </w:rPr>
        <w:t>区）人民政府有关主管部门分管</w:t>
      </w:r>
      <w:r>
        <w:rPr>
          <w:spacing w:val="7"/>
        </w:rPr>
        <w:t>安全生产的负责人应当协助主要负责人，综合</w:t>
      </w:r>
      <w:r>
        <w:rPr>
          <w:spacing w:val="7"/>
        </w:rPr>
        <w:t>协调本行业、本系统的安全生产工作，制定并</w:t>
      </w:r>
      <w:r>
        <w:rPr>
          <w:spacing w:val="7"/>
        </w:rPr>
        <w:t>组织实施安全生产工作目标和计划，督促生产</w:t>
      </w:r>
      <w:r>
        <w:rPr>
          <w:spacing w:val="10"/>
        </w:rPr>
        <w:t>经营单位落实主体责任，排查治理事故隐患。</w:t>
      </w:r>
      <w:r>
        <w:rPr>
          <w:spacing w:val="18"/>
        </w:rPr>
        <w:t>班子其他成员应当定期研究部署分管领域的</w:t>
      </w:r>
      <w:r>
        <w:rPr>
          <w:spacing w:val="-8"/>
        </w:rPr>
        <w:t>安全生产工作，负责分管领域内的安全生产工作。</w:t>
      </w:r>
    </w:p>
    <w:p>
      <w:pPr>
        <w:spacing w:line="333" w:lineRule="auto"/>
        <w:rPr>
          <w:rFonts w:ascii="Arial"/>
          <w:sz w:val="21"/>
        </w:rPr>
      </w:pPr>
      <w:r/>
    </w:p>
    <w:p>
      <w:pPr>
        <w:ind w:left="1243"/>
        <w:spacing w:before="87" w:line="18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第四章</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6"/>
        </w:rPr>
        <w:t>责任追究</w:t>
      </w:r>
    </w:p>
    <w:p>
      <w:pPr>
        <w:spacing w:line="244" w:lineRule="auto"/>
        <w:rPr>
          <w:rFonts w:ascii="Arial"/>
          <w:sz w:val="21"/>
        </w:rPr>
      </w:pPr>
      <w:r/>
    </w:p>
    <w:p>
      <w:pPr>
        <w:spacing w:line="244" w:lineRule="auto"/>
        <w:rPr>
          <w:rFonts w:ascii="Arial"/>
          <w:sz w:val="21"/>
        </w:rPr>
      </w:pPr>
      <w:r/>
    </w:p>
    <w:p>
      <w:pPr>
        <w:pStyle w:val="BodyText"/>
        <w:ind w:left="1" w:right="101" w:firstLine="425"/>
        <w:spacing w:before="86" w:line="299" w:lineRule="auto"/>
        <w:jc w:val="both"/>
        <w:rPr/>
      </w:pPr>
      <w:r>
        <w:rPr>
          <w:rFonts w:ascii="Microsoft YaHei" w:hAnsi="Microsoft YaHei" w:eastAsia="Microsoft YaHei" w:cs="Microsoft YaHei"/>
          <w:spacing w:val="17"/>
        </w:rPr>
        <w:t>第十四条</w:t>
      </w:r>
      <w:r>
        <w:rPr>
          <w:rFonts w:ascii="Microsoft YaHei" w:hAnsi="Microsoft YaHei" w:eastAsia="Microsoft YaHei" w:cs="Microsoft YaHei"/>
          <w:spacing w:val="2"/>
        </w:rPr>
        <w:t xml:space="preserve">    </w:t>
      </w:r>
      <w:r>
        <w:rPr>
          <w:spacing w:val="17"/>
        </w:rPr>
        <w:t>对各级人民政府及其有关主</w:t>
      </w:r>
      <w:r>
        <w:rPr>
          <w:spacing w:val="7"/>
        </w:rPr>
        <w:t>管部门和相关责任人员追究行政责任、刑事责</w:t>
      </w:r>
      <w:r>
        <w:rPr>
          <w:spacing w:val="7"/>
        </w:rPr>
        <w:t>任的，依照《宁夏回族自治区安全生产行政责</w:t>
      </w:r>
    </w:p>
    <w:p>
      <w:pPr>
        <w:spacing w:line="299" w:lineRule="auto"/>
        <w:sectPr>
          <w:type w:val="continuous"/>
          <w:pgSz w:w="11906" w:h="16839"/>
          <w:pgMar w:top="1769" w:right="1489" w:bottom="1570" w:left="1588" w:header="1428" w:footer="1172" w:gutter="0"/>
          <w:cols w:equalWidth="0" w:num="2">
            <w:col w:w="4481" w:space="100"/>
            <w:col w:w="4248" w:space="0"/>
          </w:cols>
        </w:sectPr>
        <w:rPr/>
      </w:pPr>
    </w:p>
    <w:p>
      <w:pPr>
        <w:spacing w:before="84"/>
        <w:rPr/>
      </w:pPr>
      <w:r/>
    </w:p>
    <w:p>
      <w:pPr>
        <w:sectPr>
          <w:headerReference w:type="default" r:id="rId549"/>
          <w:footerReference w:type="default" r:id="rId550"/>
          <w:pgSz w:w="11906" w:h="16839"/>
          <w:pgMar w:top="1766" w:right="1530" w:bottom="1563" w:left="1579" w:header="1428" w:footer="1172" w:gutter="0"/>
          <w:cols w:equalWidth="0" w:num="1">
            <w:col w:w="8796" w:space="0"/>
          </w:cols>
        </w:sectPr>
        <w:rPr/>
      </w:pPr>
    </w:p>
    <w:p>
      <w:pPr>
        <w:pStyle w:val="BodyText"/>
        <w:ind w:left="14"/>
        <w:spacing w:before="47" w:line="278" w:lineRule="exact"/>
        <w:rPr/>
      </w:pPr>
      <w:r>
        <w:rPr>
          <w:spacing w:val="7"/>
          <w:position w:val="1"/>
        </w:rPr>
        <w:t>任规定》执行。</w:t>
      </w:r>
    </w:p>
    <w:p>
      <w:pPr>
        <w:pStyle w:val="BodyText"/>
        <w:ind w:left="12" w:right="322" w:firstLine="427"/>
        <w:spacing w:before="147" w:line="320" w:lineRule="auto"/>
        <w:rPr/>
      </w:pPr>
      <w:r>
        <w:rPr>
          <w:rFonts w:ascii="Microsoft YaHei" w:hAnsi="Microsoft YaHei" w:eastAsia="Microsoft YaHei" w:cs="Microsoft YaHei"/>
          <w:spacing w:val="17"/>
        </w:rPr>
        <w:t>第十五条</w:t>
      </w:r>
      <w:r>
        <w:rPr>
          <w:rFonts w:ascii="Microsoft YaHei" w:hAnsi="Microsoft YaHei" w:eastAsia="Microsoft YaHei" w:cs="Microsoft YaHei"/>
          <w:spacing w:val="2"/>
        </w:rPr>
        <w:t xml:space="preserve">    </w:t>
      </w:r>
      <w:r>
        <w:rPr>
          <w:spacing w:val="17"/>
        </w:rPr>
        <w:t>对相关责任人员的行政责任</w:t>
      </w:r>
      <w:r>
        <w:rPr>
          <w:spacing w:val="7"/>
        </w:rPr>
        <w:t>追究实行跟踪责任追究制度。已调离工作岗位</w:t>
      </w:r>
      <w:r>
        <w:rPr>
          <w:spacing w:val="7"/>
        </w:rPr>
        <w:t>的相关责任人在任职期间有责任追究情形的，</w:t>
      </w:r>
      <w:r>
        <w:rPr>
          <w:spacing w:val="8"/>
        </w:rPr>
        <w:t>应当依法追究行政责任。</w:t>
      </w:r>
    </w:p>
    <w:p>
      <w:pPr>
        <w:pStyle w:val="BodyText"/>
        <w:ind w:left="15" w:right="268" w:firstLine="424"/>
        <w:spacing w:before="181" w:line="300" w:lineRule="auto"/>
        <w:rPr/>
      </w:pPr>
      <w:r>
        <w:rPr>
          <w:rFonts w:ascii="Microsoft YaHei" w:hAnsi="Microsoft YaHei" w:eastAsia="Microsoft YaHei" w:cs="Microsoft YaHei"/>
          <w:spacing w:val="17"/>
        </w:rPr>
        <w:t>第十六条</w:t>
      </w:r>
      <w:r>
        <w:rPr>
          <w:rFonts w:ascii="Microsoft YaHei" w:hAnsi="Microsoft YaHei" w:eastAsia="Microsoft YaHei" w:cs="Microsoft YaHei"/>
          <w:spacing w:val="2"/>
        </w:rPr>
        <w:t xml:space="preserve">    </w:t>
      </w:r>
      <w:r>
        <w:rPr>
          <w:spacing w:val="17"/>
        </w:rPr>
        <w:t>安全生产行政责任追究的权</w:t>
      </w:r>
      <w:r>
        <w:rPr>
          <w:spacing w:val="10"/>
        </w:rPr>
        <w:t>限和程序，依照《行政机关公务员处分条例》</w:t>
      </w:r>
      <w:r>
        <w:rPr>
          <w:spacing w:val="7"/>
        </w:rPr>
        <w:t>等有关规定执行。</w:t>
      </w:r>
    </w:p>
    <w:p>
      <w:pPr>
        <w:spacing w:line="257" w:lineRule="auto"/>
        <w:rPr>
          <w:rFonts w:ascii="Arial"/>
          <w:sz w:val="21"/>
        </w:rPr>
      </w:pPr>
      <w:r/>
    </w:p>
    <w:p>
      <w:pPr>
        <w:spacing w:line="258" w:lineRule="auto"/>
        <w:rPr>
          <w:rFonts w:ascii="Arial"/>
          <w:sz w:val="21"/>
        </w:rPr>
      </w:pPr>
      <w:r/>
    </w:p>
    <w:p>
      <w:pPr>
        <w:ind w:left="1359"/>
        <w:spacing w:before="86" w:line="18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第五章</w:t>
      </w:r>
      <w:r>
        <w:rPr>
          <w:rFonts w:ascii="Microsoft YaHei" w:hAnsi="Microsoft YaHei" w:eastAsia="Microsoft YaHei" w:cs="Microsoft YaHei"/>
          <w:sz w:val="20"/>
          <w:szCs w:val="20"/>
          <w:spacing w:val="18"/>
          <w:w w:val="101"/>
        </w:rPr>
        <w:t xml:space="preserve">   </w:t>
      </w:r>
      <w:r>
        <w:rPr>
          <w:rFonts w:ascii="Microsoft YaHei" w:hAnsi="Microsoft YaHei" w:eastAsia="Microsoft YaHei" w:cs="Microsoft YaHei"/>
          <w:sz w:val="20"/>
          <w:szCs w:val="20"/>
          <w:spacing w:val="1"/>
        </w:rPr>
        <w:t>附</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1"/>
        </w:rPr>
        <w:t>则</w:t>
      </w:r>
    </w:p>
    <w:p>
      <w:pPr>
        <w:spacing w:line="244" w:lineRule="auto"/>
        <w:rPr>
          <w:rFonts w:ascii="Arial"/>
          <w:sz w:val="21"/>
        </w:rPr>
      </w:pPr>
      <w:r/>
    </w:p>
    <w:p>
      <w:pPr>
        <w:spacing w:line="245" w:lineRule="auto"/>
        <w:rPr>
          <w:rFonts w:ascii="Arial"/>
          <w:sz w:val="21"/>
        </w:rPr>
      </w:pPr>
      <w:r/>
    </w:p>
    <w:p>
      <w:pPr>
        <w:pStyle w:val="BodyText"/>
        <w:ind w:left="12" w:right="329" w:firstLine="427"/>
        <w:spacing w:before="87" w:line="334" w:lineRule="auto"/>
        <w:rPr/>
      </w:pPr>
      <w:r>
        <w:rPr>
          <w:rFonts w:ascii="Microsoft YaHei" w:hAnsi="Microsoft YaHei" w:eastAsia="Microsoft YaHei" w:cs="Microsoft YaHei"/>
          <w:spacing w:val="6"/>
        </w:rPr>
        <w:t>第十七条</w:t>
      </w:r>
      <w:r>
        <w:rPr>
          <w:rFonts w:ascii="Microsoft YaHei" w:hAnsi="Microsoft YaHei" w:eastAsia="Microsoft YaHei" w:cs="Microsoft YaHei"/>
          <w:spacing w:val="12"/>
        </w:rPr>
        <w:t xml:space="preserve">   </w:t>
      </w:r>
      <w:r>
        <w:rPr>
          <w:spacing w:val="6"/>
        </w:rPr>
        <w:t>法律、法规授权的具有管理公</w:t>
      </w:r>
      <w:r>
        <w:rPr>
          <w:spacing w:val="18"/>
        </w:rPr>
        <w:t>共事务职能的组织和行政机关依法委托的组</w:t>
      </w:r>
    </w:p>
    <w:p>
      <w:pPr>
        <w:spacing w:line="14" w:lineRule="auto"/>
        <w:rPr>
          <w:rFonts w:ascii="Arial"/>
          <w:sz w:val="2"/>
        </w:rPr>
      </w:pPr>
      <w:r>
        <w:rPr>
          <w:rFonts w:ascii="Arial" w:hAnsi="Arial" w:eastAsia="Arial" w:cs="Arial"/>
          <w:sz w:val="2"/>
          <w:szCs w:val="2"/>
        </w:rPr>
        <w:br w:type="column"/>
      </w:r>
    </w:p>
    <w:p>
      <w:pPr>
        <w:pStyle w:val="BodyText"/>
        <w:ind w:left="4" w:right="59" w:hanging="2"/>
        <w:spacing w:before="49" w:line="388" w:lineRule="auto"/>
        <w:rPr/>
      </w:pPr>
      <w:r>
        <w:rPr>
          <w:spacing w:val="18"/>
        </w:rPr>
        <w:t>织履行安全生产监督管理职责以及相关行政</w:t>
      </w:r>
      <w:r>
        <w:rPr>
          <w:spacing w:val="8"/>
        </w:rPr>
        <w:t>责任追究活动，参照本规定执行。</w:t>
      </w:r>
    </w:p>
    <w:p>
      <w:pPr>
        <w:pStyle w:val="BodyText"/>
        <w:ind w:right="59" w:firstLine="427"/>
        <w:spacing w:before="3" w:line="299" w:lineRule="auto"/>
        <w:rPr/>
      </w:pPr>
      <w:r>
        <w:rPr>
          <w:rFonts w:ascii="Microsoft YaHei" w:hAnsi="Microsoft YaHei" w:eastAsia="Microsoft YaHei" w:cs="Microsoft YaHei"/>
          <w:spacing w:val="7"/>
        </w:rPr>
        <w:t>第十八条   </w:t>
      </w:r>
      <w:r>
        <w:rPr>
          <w:spacing w:val="7"/>
        </w:rPr>
        <w:t>本规定所称主要负责人，指政</w:t>
      </w:r>
      <w:r>
        <w:rPr>
          <w:spacing w:val="15"/>
        </w:rPr>
        <w:t>府及其有关部门的正职负责人</w:t>
      </w:r>
      <w:r>
        <w:rPr>
          <w:spacing w:val="-40"/>
        </w:rPr>
        <w:t xml:space="preserve"> </w:t>
      </w:r>
      <w:r>
        <w:rPr>
          <w:spacing w:val="15"/>
        </w:rPr>
        <w:t>，以及主持工</w:t>
      </w:r>
      <w:r>
        <w:rPr>
          <w:spacing w:val="8"/>
        </w:rPr>
        <w:t>作、代行正职职责的副职负责人。</w:t>
      </w:r>
    </w:p>
    <w:p>
      <w:pPr>
        <w:pStyle w:val="BodyText"/>
        <w:ind w:left="3" w:right="58" w:firstLine="424"/>
        <w:spacing w:before="176" w:line="311" w:lineRule="auto"/>
        <w:rPr/>
      </w:pPr>
      <w:r>
        <w:rPr>
          <w:rFonts w:ascii="Microsoft YaHei" w:hAnsi="Microsoft YaHei" w:eastAsia="Microsoft YaHei" w:cs="Microsoft YaHei"/>
          <w:spacing w:val="7"/>
        </w:rPr>
        <w:t>第十九条   </w:t>
      </w:r>
      <w:r>
        <w:rPr>
          <w:spacing w:val="7"/>
        </w:rPr>
        <w:t>本规定未尽事宜，应执行《宁</w:t>
      </w:r>
      <w:r>
        <w:rPr>
          <w:spacing w:val="6"/>
        </w:rPr>
        <w:t>夏回族自治区安全生产行政责任规定》（</w:t>
      </w:r>
      <w:r>
        <w:rPr>
          <w:rFonts w:ascii="Times New Roman" w:hAnsi="Times New Roman" w:eastAsia="Times New Roman" w:cs="Times New Roman"/>
          <w:spacing w:val="6"/>
        </w:rPr>
        <w:t>2018</w:t>
      </w:r>
      <w:r>
        <w:rPr/>
        <w:t>年</w:t>
      </w:r>
      <w:r>
        <w:rPr>
          <w:spacing w:val="-5"/>
        </w:rPr>
        <w:t xml:space="preserve"> </w:t>
      </w:r>
      <w:r>
        <w:rPr>
          <w:rFonts w:ascii="Times New Roman" w:hAnsi="Times New Roman" w:eastAsia="Times New Roman" w:cs="Times New Roman"/>
        </w:rPr>
        <w:t>1 </w:t>
      </w:r>
      <w:r>
        <w:rPr/>
        <w:t>月</w:t>
      </w:r>
      <w:r>
        <w:rPr>
          <w:spacing w:val="-44"/>
        </w:rPr>
        <w:t xml:space="preserve"> </w:t>
      </w:r>
      <w:r>
        <w:rPr>
          <w:rFonts w:ascii="Times New Roman" w:hAnsi="Times New Roman" w:eastAsia="Times New Roman" w:cs="Times New Roman"/>
        </w:rPr>
        <w:t>4  </w:t>
      </w:r>
      <w:r>
        <w:rPr/>
        <w:t>日</w:t>
      </w:r>
      <w:r>
        <w:rPr>
          <w:spacing w:val="-57"/>
        </w:rPr>
        <w:t xml:space="preserve"> </w:t>
      </w:r>
      <w:r>
        <w:rPr/>
        <w:t>自治区人民政府令第</w:t>
      </w:r>
      <w:r>
        <w:rPr>
          <w:spacing w:val="-39"/>
        </w:rPr>
        <w:t xml:space="preserve"> </w:t>
      </w:r>
      <w:r>
        <w:rPr>
          <w:rFonts w:ascii="Times New Roman" w:hAnsi="Times New Roman" w:eastAsia="Times New Roman" w:cs="Times New Roman"/>
        </w:rPr>
        <w:t>98 </w:t>
      </w:r>
      <w:r>
        <w:rPr/>
        <w:t>号）。</w:t>
      </w:r>
    </w:p>
    <w:p>
      <w:pPr>
        <w:pStyle w:val="BodyText"/>
        <w:ind w:right="62" w:firstLine="428"/>
        <w:spacing w:before="146" w:line="333" w:lineRule="auto"/>
        <w:rPr/>
      </w:pPr>
      <w:r>
        <w:rPr>
          <w:rFonts w:ascii="Microsoft YaHei" w:hAnsi="Microsoft YaHei" w:eastAsia="Microsoft YaHei" w:cs="Microsoft YaHei"/>
          <w:spacing w:val="4"/>
        </w:rPr>
        <w:t>第二十条</w:t>
      </w:r>
      <w:r>
        <w:rPr>
          <w:rFonts w:ascii="Microsoft YaHei" w:hAnsi="Microsoft YaHei" w:eastAsia="Microsoft YaHei" w:cs="Microsoft YaHei"/>
          <w:spacing w:val="13"/>
        </w:rPr>
        <w:t xml:space="preserve">   </w:t>
      </w:r>
      <w:r>
        <w:rPr>
          <w:spacing w:val="4"/>
        </w:rPr>
        <w:t>本规定自</w:t>
      </w:r>
      <w:r>
        <w:rPr>
          <w:spacing w:val="-37"/>
        </w:rPr>
        <w:t xml:space="preserve"> </w:t>
      </w:r>
      <w:r>
        <w:rPr>
          <w:rFonts w:ascii="Times New Roman" w:hAnsi="Times New Roman" w:eastAsia="Times New Roman" w:cs="Times New Roman"/>
          <w:spacing w:val="4"/>
        </w:rPr>
        <w:t>2021 </w:t>
      </w:r>
      <w:r>
        <w:rPr>
          <w:spacing w:val="4"/>
        </w:rPr>
        <w:t>年</w:t>
      </w:r>
      <w:r>
        <w:rPr>
          <w:spacing w:val="-37"/>
        </w:rPr>
        <w:t xml:space="preserve"> </w:t>
      </w:r>
      <w:r>
        <w:rPr>
          <w:rFonts w:ascii="Times New Roman" w:hAnsi="Times New Roman" w:eastAsia="Times New Roman" w:cs="Times New Roman"/>
          <w:spacing w:val="4"/>
        </w:rPr>
        <w:t>3 </w:t>
      </w:r>
      <w:r>
        <w:rPr>
          <w:spacing w:val="4"/>
        </w:rPr>
        <w:t>月</w:t>
      </w:r>
      <w:r>
        <w:rPr>
          <w:spacing w:val="-18"/>
        </w:rPr>
        <w:t xml:space="preserve"> </w:t>
      </w:r>
      <w:r>
        <w:rPr>
          <w:rFonts w:ascii="Times New Roman" w:hAnsi="Times New Roman" w:eastAsia="Times New Roman" w:cs="Times New Roman"/>
          <w:spacing w:val="4"/>
        </w:rPr>
        <w:t>1  </w:t>
      </w:r>
      <w:r>
        <w:rPr>
          <w:spacing w:val="4"/>
        </w:rPr>
        <w:t>日起</w:t>
      </w:r>
      <w:r>
        <w:rPr>
          <w:spacing w:val="3"/>
        </w:rPr>
        <w:t>施行，有效期至</w:t>
      </w:r>
      <w:r>
        <w:rPr>
          <w:spacing w:val="-33"/>
        </w:rPr>
        <w:t xml:space="preserve"> </w:t>
      </w:r>
      <w:r>
        <w:rPr>
          <w:rFonts w:ascii="Times New Roman" w:hAnsi="Times New Roman" w:eastAsia="Times New Roman" w:cs="Times New Roman"/>
          <w:spacing w:val="3"/>
        </w:rPr>
        <w:t>2024</w:t>
      </w:r>
      <w:r>
        <w:rPr>
          <w:rFonts w:ascii="Times New Roman" w:hAnsi="Times New Roman" w:eastAsia="Times New Roman" w:cs="Times New Roman"/>
          <w:spacing w:val="20"/>
        </w:rPr>
        <w:t xml:space="preserve"> </w:t>
      </w:r>
      <w:r>
        <w:rPr>
          <w:spacing w:val="3"/>
        </w:rPr>
        <w:t>年</w:t>
      </w:r>
      <w:r>
        <w:rPr>
          <w:spacing w:val="-30"/>
        </w:rPr>
        <w:t xml:space="preserve"> </w:t>
      </w:r>
      <w:r>
        <w:rPr>
          <w:rFonts w:ascii="Times New Roman" w:hAnsi="Times New Roman" w:eastAsia="Times New Roman" w:cs="Times New Roman"/>
          <w:spacing w:val="3"/>
        </w:rPr>
        <w:t>3</w:t>
      </w:r>
      <w:r>
        <w:rPr>
          <w:rFonts w:ascii="Times New Roman" w:hAnsi="Times New Roman" w:eastAsia="Times New Roman" w:cs="Times New Roman"/>
          <w:spacing w:val="16"/>
          <w:w w:val="101"/>
        </w:rPr>
        <w:t xml:space="preserve"> </w:t>
      </w:r>
      <w:r>
        <w:rPr>
          <w:spacing w:val="3"/>
        </w:rPr>
        <w:t>月 </w:t>
      </w:r>
      <w:r>
        <w:rPr>
          <w:rFonts w:ascii="Times New Roman" w:hAnsi="Times New Roman" w:eastAsia="Times New Roman" w:cs="Times New Roman"/>
          <w:spacing w:val="3"/>
        </w:rPr>
        <w:t>1  </w:t>
      </w:r>
      <w:r>
        <w:rPr>
          <w:spacing w:val="3"/>
        </w:rPr>
        <w:t>日。原固</w:t>
      </w:r>
      <w:r>
        <w:rPr>
          <w:spacing w:val="2"/>
        </w:rPr>
        <w:t>原市</w:t>
      </w:r>
      <w:r>
        <w:rPr>
          <w:spacing w:val="9"/>
        </w:rPr>
        <w:t>人民政府</w:t>
      </w:r>
      <w:r>
        <w:rPr>
          <w:spacing w:val="-20"/>
        </w:rPr>
        <w:t xml:space="preserve"> </w:t>
      </w:r>
      <w:r>
        <w:rPr>
          <w:rFonts w:ascii="Times New Roman" w:hAnsi="Times New Roman" w:eastAsia="Times New Roman" w:cs="Times New Roman"/>
          <w:spacing w:val="9"/>
        </w:rPr>
        <w:t>2015</w:t>
      </w:r>
      <w:r>
        <w:rPr>
          <w:rFonts w:ascii="Times New Roman" w:hAnsi="Times New Roman" w:eastAsia="Times New Roman" w:cs="Times New Roman"/>
          <w:spacing w:val="20"/>
        </w:rPr>
        <w:t xml:space="preserve"> </w:t>
      </w:r>
      <w:r>
        <w:rPr>
          <w:spacing w:val="9"/>
        </w:rPr>
        <w:t>年印发的《固原市安全生产行</w:t>
      </w:r>
      <w:r>
        <w:rPr>
          <w:spacing w:val="3"/>
        </w:rPr>
        <w:t>政责任规定》（</w:t>
      </w:r>
      <w:r>
        <w:rPr>
          <w:spacing w:val="-24"/>
        </w:rPr>
        <w:t xml:space="preserve"> </w:t>
      </w:r>
      <w:r>
        <w:rPr>
          <w:spacing w:val="3"/>
        </w:rPr>
        <w:t>固政发〔</w:t>
      </w:r>
      <w:r>
        <w:rPr>
          <w:spacing w:val="-28"/>
        </w:rPr>
        <w:t xml:space="preserve"> </w:t>
      </w:r>
      <w:r>
        <w:rPr>
          <w:rFonts w:ascii="Times New Roman" w:hAnsi="Times New Roman" w:eastAsia="Times New Roman" w:cs="Times New Roman"/>
          <w:spacing w:val="3"/>
        </w:rPr>
        <w:t>2015 </w:t>
      </w:r>
      <w:r>
        <w:rPr>
          <w:spacing w:val="3"/>
        </w:rPr>
        <w:t>〕</w:t>
      </w:r>
      <w:r>
        <w:rPr>
          <w:rFonts w:ascii="Times New Roman" w:hAnsi="Times New Roman" w:eastAsia="Times New Roman" w:cs="Times New Roman"/>
          <w:spacing w:val="3"/>
        </w:rPr>
        <w:t>61</w:t>
      </w:r>
      <w:r>
        <w:rPr>
          <w:rFonts w:ascii="Times New Roman" w:hAnsi="Times New Roman" w:eastAsia="Times New Roman" w:cs="Times New Roman"/>
          <w:spacing w:val="22"/>
        </w:rPr>
        <w:t xml:space="preserve"> </w:t>
      </w:r>
      <w:r>
        <w:rPr>
          <w:spacing w:val="3"/>
        </w:rPr>
        <w:t>号）同时</w:t>
      </w:r>
      <w:r>
        <w:rPr>
          <w:spacing w:val="8"/>
        </w:rPr>
        <w:t>废止。</w:t>
      </w:r>
    </w:p>
    <w:p>
      <w:pPr>
        <w:spacing w:line="333" w:lineRule="auto"/>
        <w:sectPr>
          <w:type w:val="continuous"/>
          <w:pgSz w:w="11906" w:h="16839"/>
          <w:pgMar w:top="1766" w:right="1530" w:bottom="1563" w:left="1579" w:header="1428" w:footer="1172" w:gutter="0"/>
          <w:cols w:equalWidth="0" w:num="2">
            <w:col w:w="4489" w:space="100"/>
            <w:col w:w="4207" w:space="0"/>
          </w:cols>
        </w:sectPr>
        <w:rPr/>
      </w:pPr>
    </w:p>
    <w:p>
      <w:pPr>
        <w:spacing w:line="327" w:lineRule="auto"/>
        <w:rPr>
          <w:rFonts w:ascii="Arial"/>
          <w:sz w:val="21"/>
        </w:rPr>
      </w:pPr>
      <w:r>
        <w:drawing>
          <wp:anchor distT="0" distB="0" distL="0" distR="0" simplePos="0" relativeHeight="252051456" behindDoc="0" locked="0" layoutInCell="1" allowOverlap="1">
            <wp:simplePos x="0" y="0"/>
            <wp:positionH relativeFrom="column">
              <wp:posOffset>5393</wp:posOffset>
            </wp:positionH>
            <wp:positionV relativeFrom="paragraph">
              <wp:posOffset>-3680982</wp:posOffset>
            </wp:positionV>
            <wp:extent cx="5579745" cy="7620"/>
            <wp:effectExtent l="0" t="0" r="0" b="0"/>
            <wp:wrapNone/>
            <wp:docPr id="1098" name="IM 1098"/>
            <wp:cNvGraphicFramePr/>
            <a:graphic>
              <a:graphicData uri="http://schemas.openxmlformats.org/drawingml/2006/picture">
                <pic:pic>
                  <pic:nvPicPr>
                    <pic:cNvPr id="1098" name="IM 1098"/>
                    <pic:cNvPicPr/>
                  </pic:nvPicPr>
                  <pic:blipFill>
                    <a:blip r:embed="rId551"/>
                    <a:stretch>
                      <a:fillRect/>
                    </a:stretch>
                  </pic:blipFill>
                  <pic:spPr>
                    <a:xfrm rot="0">
                      <a:off x="0" y="0"/>
                      <a:ext cx="5579745" cy="7620"/>
                    </a:xfrm>
                    <a:prstGeom prst="rect">
                      <a:avLst/>
                    </a:prstGeom>
                  </pic:spPr>
                </pic:pic>
              </a:graphicData>
            </a:graphic>
          </wp:anchor>
        </w:drawing>
      </w:r>
      <w:r/>
    </w:p>
    <w:p>
      <w:pPr>
        <w:spacing w:line="327" w:lineRule="auto"/>
        <w:rPr>
          <w:rFonts w:ascii="Arial"/>
          <w:sz w:val="21"/>
        </w:rPr>
      </w:pPr>
      <w:r/>
    </w:p>
    <w:p>
      <w:pPr>
        <w:ind w:left="1873" w:right="638" w:hanging="1233"/>
        <w:spacing w:before="185" w:line="210"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13"/>
        </w:rPr>
        <w:t>固原市人民政府关于废止宣布失效和修订</w:t>
      </w:r>
      <w:r>
        <w:rPr>
          <w:rFonts w:ascii="Microsoft YaHei" w:hAnsi="Microsoft YaHei" w:eastAsia="Microsoft YaHei" w:cs="Microsoft YaHei"/>
          <w:sz w:val="43"/>
          <w:szCs w:val="43"/>
          <w:spacing w:val="-11"/>
        </w:rPr>
        <w:t>部分行政规范性文件的决定</w:t>
      </w:r>
    </w:p>
    <w:p>
      <w:pPr>
        <w:pStyle w:val="BodyText"/>
        <w:ind w:left="6716"/>
        <w:spacing w:before="242" w:line="279" w:lineRule="exact"/>
        <w:rPr/>
      </w:pPr>
      <w:r>
        <w:rPr>
          <w:spacing w:val="3"/>
          <w:position w:val="1"/>
        </w:rPr>
        <w:t>固政规发〔</w:t>
      </w:r>
      <w:r>
        <w:rPr>
          <w:rFonts w:ascii="Times New Roman" w:hAnsi="Times New Roman" w:eastAsia="Times New Roman" w:cs="Times New Roman"/>
          <w:spacing w:val="3"/>
          <w:position w:val="1"/>
        </w:rPr>
        <w:t>2021</w:t>
      </w:r>
      <w:r>
        <w:rPr>
          <w:rFonts w:ascii="Times New Roman" w:hAnsi="Times New Roman" w:eastAsia="Times New Roman" w:cs="Times New Roman"/>
          <w:spacing w:val="-18"/>
          <w:position w:val="1"/>
        </w:rPr>
        <w:t xml:space="preserve"> </w:t>
      </w:r>
      <w:r>
        <w:rPr>
          <w:spacing w:val="3"/>
          <w:position w:val="1"/>
        </w:rPr>
        <w:t>〕</w:t>
      </w:r>
      <w:r>
        <w:rPr>
          <w:rFonts w:ascii="Times New Roman" w:hAnsi="Times New Roman" w:eastAsia="Times New Roman" w:cs="Times New Roman"/>
          <w:spacing w:val="3"/>
          <w:position w:val="1"/>
        </w:rPr>
        <w:t>2 </w:t>
      </w:r>
      <w:r>
        <w:rPr>
          <w:spacing w:val="3"/>
          <w:position w:val="1"/>
        </w:rPr>
        <w:t>号</w:t>
      </w:r>
    </w:p>
    <w:p>
      <w:pPr>
        <w:spacing w:before="3"/>
        <w:rPr/>
      </w:pPr>
      <w:r/>
    </w:p>
    <w:p>
      <w:pPr>
        <w:spacing w:before="3"/>
        <w:rPr/>
      </w:pPr>
      <w:r/>
    </w:p>
    <w:p>
      <w:pPr>
        <w:sectPr>
          <w:type w:val="continuous"/>
          <w:pgSz w:w="11906" w:h="16839"/>
          <w:pgMar w:top="1766" w:right="1530" w:bottom="1563" w:left="1579" w:header="1428" w:footer="1172" w:gutter="0"/>
          <w:cols w:equalWidth="0" w:num="1">
            <w:col w:w="8796" w:space="0"/>
          </w:cols>
        </w:sectPr>
        <w:rPr/>
      </w:pPr>
    </w:p>
    <w:p>
      <w:pPr>
        <w:pStyle w:val="BodyText"/>
        <w:ind w:left="14" w:right="330" w:hanging="1"/>
        <w:spacing w:before="49" w:line="367" w:lineRule="auto"/>
        <w:rPr/>
      </w:pPr>
      <w:r>
        <w:rPr>
          <w:spacing w:val="4"/>
        </w:rPr>
        <w:t>各县（</w:t>
      </w:r>
      <w:r>
        <w:rPr>
          <w:spacing w:val="-36"/>
        </w:rPr>
        <w:t xml:space="preserve"> </w:t>
      </w:r>
      <w:r>
        <w:rPr>
          <w:spacing w:val="4"/>
        </w:rPr>
        <w:t>区）人民政府，市政府各部门、派出机</w:t>
      </w:r>
      <w:r>
        <w:rPr>
          <w:spacing w:val="7"/>
        </w:rPr>
        <w:t>构、事业单位：</w:t>
      </w:r>
    </w:p>
    <w:p>
      <w:pPr>
        <w:pStyle w:val="BodyText"/>
        <w:ind w:left="12" w:right="332" w:firstLine="433"/>
        <w:spacing w:before="10" w:line="369" w:lineRule="auto"/>
        <w:jc w:val="both"/>
        <w:rPr/>
      </w:pPr>
      <w:r>
        <w:rPr>
          <w:spacing w:val="18"/>
        </w:rPr>
        <w:t>为深入贯彻习近平法治思想和中央全面</w:t>
      </w:r>
      <w:r>
        <w:rPr>
          <w:spacing w:val="15"/>
        </w:rPr>
        <w:t>依法治国工作会议精神</w:t>
      </w:r>
      <w:r>
        <w:rPr>
          <w:spacing w:val="-43"/>
        </w:rPr>
        <w:t xml:space="preserve"> </w:t>
      </w:r>
      <w:r>
        <w:rPr>
          <w:spacing w:val="15"/>
        </w:rPr>
        <w:t>，维护国家法制统一</w:t>
      </w:r>
      <w:r>
        <w:rPr>
          <w:spacing w:val="13"/>
        </w:rPr>
        <w:t>和政令畅通</w:t>
      </w:r>
      <w:r>
        <w:rPr>
          <w:spacing w:val="-51"/>
        </w:rPr>
        <w:t xml:space="preserve"> </w:t>
      </w:r>
      <w:r>
        <w:rPr>
          <w:spacing w:val="13"/>
        </w:rPr>
        <w:t>，推进政府职能转变</w:t>
      </w:r>
      <w:r>
        <w:rPr>
          <w:spacing w:val="-54"/>
        </w:rPr>
        <w:t xml:space="preserve"> </w:t>
      </w:r>
      <w:r>
        <w:rPr>
          <w:spacing w:val="13"/>
        </w:rPr>
        <w:t>，市人民政</w:t>
      </w:r>
      <w:r>
        <w:rPr>
          <w:spacing w:val="18"/>
        </w:rPr>
        <w:t>府对现行有效的行政规范性文件进行了全面</w:t>
      </w:r>
      <w:r>
        <w:rPr>
          <w:spacing w:val="10"/>
        </w:rPr>
        <w:t>集中清理，经市人民政府第</w:t>
      </w:r>
      <w:r>
        <w:rPr>
          <w:spacing w:val="-17"/>
        </w:rPr>
        <w:t xml:space="preserve"> </w:t>
      </w:r>
      <w:r>
        <w:rPr>
          <w:rFonts w:ascii="Times New Roman" w:hAnsi="Times New Roman" w:eastAsia="Times New Roman" w:cs="Times New Roman"/>
          <w:spacing w:val="10"/>
        </w:rPr>
        <w:t>58 </w:t>
      </w:r>
      <w:r>
        <w:rPr>
          <w:spacing w:val="10"/>
        </w:rPr>
        <w:t>次常务会议研</w:t>
      </w:r>
      <w:r>
        <w:rPr>
          <w:spacing w:val="8"/>
        </w:rPr>
        <w:t>究决定：</w:t>
      </w:r>
    </w:p>
    <w:p>
      <w:pPr>
        <w:pStyle w:val="BodyText"/>
        <w:ind w:left="434"/>
        <w:spacing w:before="1" w:line="223" w:lineRule="auto"/>
        <w:rPr/>
      </w:pPr>
      <w:r>
        <w:rPr>
          <w:spacing w:val="7"/>
        </w:rPr>
        <w:t>一、废止</w:t>
      </w:r>
      <w:r>
        <w:rPr>
          <w:spacing w:val="-36"/>
        </w:rPr>
        <w:t xml:space="preserve"> </w:t>
      </w:r>
      <w:r>
        <w:rPr>
          <w:rFonts w:ascii="Times New Roman" w:hAnsi="Times New Roman" w:eastAsia="Times New Roman" w:cs="Times New Roman"/>
          <w:spacing w:val="7"/>
        </w:rPr>
        <w:t>54 </w:t>
      </w:r>
      <w:r>
        <w:rPr>
          <w:spacing w:val="7"/>
        </w:rPr>
        <w:t>件行政规范性文件；</w:t>
      </w:r>
    </w:p>
    <w:p>
      <w:pPr>
        <w:pStyle w:val="BodyText"/>
        <w:ind w:left="434"/>
        <w:spacing w:before="158" w:line="223" w:lineRule="auto"/>
        <w:rPr/>
      </w:pPr>
      <w:r>
        <w:rPr>
          <w:spacing w:val="6"/>
        </w:rPr>
        <w:t>二、宣布失效</w:t>
      </w:r>
      <w:r>
        <w:rPr>
          <w:spacing w:val="-12"/>
        </w:rPr>
        <w:t xml:space="preserve"> </w:t>
      </w:r>
      <w:r>
        <w:rPr>
          <w:rFonts w:ascii="Times New Roman" w:hAnsi="Times New Roman" w:eastAsia="Times New Roman" w:cs="Times New Roman"/>
          <w:spacing w:val="6"/>
        </w:rPr>
        <w:t>13 </w:t>
      </w:r>
      <w:r>
        <w:rPr>
          <w:spacing w:val="6"/>
        </w:rPr>
        <w:t>件行政规范性文件；</w:t>
      </w:r>
    </w:p>
    <w:p>
      <w:pPr>
        <w:pStyle w:val="BodyText"/>
        <w:ind w:left="437"/>
        <w:spacing w:before="156" w:line="218" w:lineRule="auto"/>
        <w:rPr/>
      </w:pPr>
      <w:r>
        <w:rPr>
          <w:spacing w:val="6"/>
        </w:rPr>
        <w:t>三、修订</w:t>
      </w:r>
      <w:r>
        <w:rPr>
          <w:spacing w:val="-23"/>
        </w:rPr>
        <w:t xml:space="preserve"> </w:t>
      </w:r>
      <w:r>
        <w:rPr>
          <w:rFonts w:ascii="Times New Roman" w:hAnsi="Times New Roman" w:eastAsia="Times New Roman" w:cs="Times New Roman"/>
          <w:spacing w:val="6"/>
        </w:rPr>
        <w:t>14 </w:t>
      </w:r>
      <w:r>
        <w:rPr>
          <w:spacing w:val="6"/>
        </w:rPr>
        <w:t>件行政规范性文件。</w:t>
      </w:r>
    </w:p>
    <w:p>
      <w:pPr>
        <w:spacing w:line="14" w:lineRule="auto"/>
        <w:rPr>
          <w:rFonts w:ascii="Arial"/>
          <w:sz w:val="2"/>
        </w:rPr>
      </w:pPr>
      <w:r>
        <w:rPr>
          <w:rFonts w:ascii="Arial" w:hAnsi="Arial" w:eastAsia="Arial" w:cs="Arial"/>
          <w:sz w:val="2"/>
          <w:szCs w:val="2"/>
        </w:rPr>
        <w:br w:type="column"/>
      </w:r>
    </w:p>
    <w:p>
      <w:pPr>
        <w:pStyle w:val="BodyText"/>
        <w:ind w:left="420"/>
        <w:spacing w:before="51" w:line="219" w:lineRule="auto"/>
        <w:rPr/>
      </w:pPr>
      <w:r>
        <w:rPr>
          <w:spacing w:val="8"/>
        </w:rPr>
        <w:t>本决定自公布之日起施行。</w:t>
      </w:r>
    </w:p>
    <w:p>
      <w:pPr>
        <w:pStyle w:val="BodyText"/>
        <w:ind w:left="1" w:right="57" w:firstLine="432"/>
        <w:spacing w:before="158" w:line="350" w:lineRule="auto"/>
        <w:rPr/>
      </w:pPr>
      <w:r>
        <w:rPr>
          <w:spacing w:val="1"/>
        </w:rPr>
        <w:t>附件：</w:t>
      </w:r>
      <w:r>
        <w:rPr>
          <w:rFonts w:ascii="Times New Roman" w:hAnsi="Times New Roman" w:eastAsia="Times New Roman" w:cs="Times New Roman"/>
          <w:spacing w:val="1"/>
        </w:rPr>
        <w:t>1.</w:t>
      </w:r>
      <w:r>
        <w:rPr>
          <w:rFonts w:ascii="Times New Roman" w:hAnsi="Times New Roman" w:eastAsia="Times New Roman" w:cs="Times New Roman"/>
          <w:spacing w:val="22"/>
        </w:rPr>
        <w:t xml:space="preserve">  </w:t>
      </w:r>
      <w:r>
        <w:rPr>
          <w:spacing w:val="1"/>
        </w:rPr>
        <w:t>固原市人民政府决定废止的行政</w:t>
      </w:r>
      <w:r>
        <w:rPr>
          <w:spacing w:val="8"/>
        </w:rPr>
        <w:t>规范性文件</w:t>
      </w:r>
    </w:p>
    <w:p>
      <w:pPr>
        <w:pStyle w:val="BodyText"/>
        <w:ind w:right="59" w:firstLine="421"/>
        <w:spacing w:before="47" w:line="293" w:lineRule="auto"/>
        <w:rPr/>
      </w:pPr>
      <w:r>
        <w:rPr>
          <w:rFonts w:ascii="Times New Roman" w:hAnsi="Times New Roman" w:eastAsia="Times New Roman" w:cs="Times New Roman"/>
          <w:spacing w:val="13"/>
        </w:rPr>
        <w:t>2.</w:t>
      </w:r>
      <w:r>
        <w:rPr>
          <w:rFonts w:ascii="Times New Roman" w:hAnsi="Times New Roman" w:eastAsia="Times New Roman" w:cs="Times New Roman"/>
          <w:spacing w:val="20"/>
        </w:rPr>
        <w:t xml:space="preserve">  </w:t>
      </w:r>
      <w:r>
        <w:rPr>
          <w:spacing w:val="13"/>
        </w:rPr>
        <w:t>固原市人民政府宣布失效的行政规范</w:t>
      </w:r>
      <w:r>
        <w:rPr>
          <w:spacing w:val="8"/>
        </w:rPr>
        <w:t>性文件</w:t>
      </w:r>
    </w:p>
    <w:p>
      <w:pPr>
        <w:pStyle w:val="BodyText"/>
        <w:ind w:left="3" w:right="69" w:firstLine="422"/>
        <w:spacing w:before="163" w:line="295" w:lineRule="auto"/>
        <w:rPr/>
      </w:pPr>
      <w:r>
        <w:rPr>
          <w:rFonts w:ascii="Times New Roman" w:hAnsi="Times New Roman" w:eastAsia="Times New Roman" w:cs="Times New Roman"/>
          <w:spacing w:val="24"/>
        </w:rPr>
        <w:t>3.  </w:t>
      </w:r>
      <w:r>
        <w:rPr>
          <w:spacing w:val="24"/>
        </w:rPr>
        <w:t>固原市人民政府修订的行政规范性</w:t>
      </w:r>
      <w:r>
        <w:rPr>
          <w:spacing w:val="10"/>
        </w:rPr>
        <w:t>文件</w:t>
      </w:r>
    </w:p>
    <w:p>
      <w:pPr>
        <w:spacing w:line="247" w:lineRule="auto"/>
        <w:rPr>
          <w:rFonts w:ascii="Arial"/>
          <w:sz w:val="21"/>
        </w:rPr>
      </w:pPr>
      <w:r/>
    </w:p>
    <w:p>
      <w:pPr>
        <w:spacing w:line="247" w:lineRule="auto"/>
        <w:rPr>
          <w:rFonts w:ascii="Arial"/>
          <w:sz w:val="21"/>
        </w:rPr>
      </w:pPr>
      <w:r/>
    </w:p>
    <w:p>
      <w:pPr>
        <w:pStyle w:val="BodyText"/>
        <w:ind w:left="2501"/>
        <w:spacing w:before="65" w:line="218" w:lineRule="auto"/>
        <w:rPr/>
      </w:pPr>
      <w:r>
        <w:rPr>
          <w:spacing w:val="6"/>
        </w:rPr>
        <w:t>固原市人民政府</w:t>
      </w:r>
    </w:p>
    <w:p>
      <w:pPr>
        <w:pStyle w:val="BodyText"/>
        <w:ind w:left="2473"/>
        <w:spacing w:before="166" w:line="218" w:lineRule="auto"/>
        <w:rPr/>
      </w:pPr>
      <w:r>
        <w:rPr>
          <w:rFonts w:ascii="Times New Roman" w:hAnsi="Times New Roman" w:eastAsia="Times New Roman" w:cs="Times New Roman"/>
          <w:spacing w:val="2"/>
        </w:rPr>
        <w:t>2021 </w:t>
      </w:r>
      <w:r>
        <w:rPr>
          <w:spacing w:val="2"/>
        </w:rPr>
        <w:t>年</w:t>
      </w:r>
      <w:r>
        <w:rPr>
          <w:spacing w:val="-33"/>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11"/>
        </w:rPr>
        <w:t xml:space="preserve"> </w:t>
      </w:r>
      <w:r>
        <w:rPr>
          <w:spacing w:val="2"/>
        </w:rPr>
        <w:t>月</w:t>
      </w:r>
      <w:r>
        <w:rPr>
          <w:spacing w:val="-43"/>
        </w:rPr>
        <w:t xml:space="preserve"> </w:t>
      </w:r>
      <w:r>
        <w:rPr>
          <w:rFonts w:ascii="Times New Roman" w:hAnsi="Times New Roman" w:eastAsia="Times New Roman" w:cs="Times New Roman"/>
          <w:spacing w:val="2"/>
        </w:rPr>
        <w:t>27  </w:t>
      </w:r>
      <w:r>
        <w:rPr>
          <w:spacing w:val="2"/>
        </w:rPr>
        <w:t>日</w:t>
      </w:r>
    </w:p>
    <w:p>
      <w:pPr>
        <w:pStyle w:val="BodyText"/>
        <w:ind w:left="412"/>
        <w:spacing w:before="157" w:line="221" w:lineRule="auto"/>
        <w:rPr/>
      </w:pPr>
      <w:r>
        <w:rPr>
          <w:spacing w:val="10"/>
        </w:rPr>
        <w:t>（此件公开发布）</w:t>
      </w:r>
    </w:p>
    <w:p>
      <w:pPr>
        <w:spacing w:line="221" w:lineRule="auto"/>
        <w:sectPr>
          <w:type w:val="continuous"/>
          <w:pgSz w:w="11906" w:h="16839"/>
          <w:pgMar w:top="1766" w:right="1530" w:bottom="1563" w:left="1579" w:header="1428" w:footer="1172" w:gutter="0"/>
          <w:cols w:equalWidth="0" w:num="2">
            <w:col w:w="4490" w:space="100"/>
            <w:col w:w="4207" w:space="0"/>
          </w:cols>
        </w:sectPr>
        <w:rPr/>
      </w:pPr>
    </w:p>
    <w:p>
      <w:pPr>
        <w:spacing w:line="427" w:lineRule="auto"/>
        <w:rPr>
          <w:rFonts w:ascii="Arial"/>
          <w:sz w:val="21"/>
        </w:rPr>
      </w:pPr>
      <w:r>
        <w:drawing>
          <wp:anchor distT="0" distB="0" distL="0" distR="0" simplePos="0" relativeHeight="252053504" behindDoc="0" locked="0" layoutInCell="1" allowOverlap="1">
            <wp:simplePos x="0" y="0"/>
            <wp:positionH relativeFrom="column">
              <wp:posOffset>2341</wp:posOffset>
            </wp:positionH>
            <wp:positionV relativeFrom="paragraph">
              <wp:posOffset>-921</wp:posOffset>
            </wp:positionV>
            <wp:extent cx="5579745" cy="7619"/>
            <wp:effectExtent l="0" t="0" r="0" b="0"/>
            <wp:wrapNone/>
            <wp:docPr id="1104" name="IM 1104"/>
            <wp:cNvGraphicFramePr/>
            <a:graphic>
              <a:graphicData uri="http://schemas.openxmlformats.org/drawingml/2006/picture">
                <pic:pic>
                  <pic:nvPicPr>
                    <pic:cNvPr id="1104" name="IM 1104"/>
                    <pic:cNvPicPr/>
                  </pic:nvPicPr>
                  <pic:blipFill>
                    <a:blip r:embed="rId554"/>
                    <a:stretch>
                      <a:fillRect/>
                    </a:stretch>
                  </pic:blipFill>
                  <pic:spPr>
                    <a:xfrm rot="0">
                      <a:off x="0" y="0"/>
                      <a:ext cx="5579745" cy="7619"/>
                    </a:xfrm>
                    <a:prstGeom prst="rect">
                      <a:avLst/>
                    </a:prstGeom>
                  </pic:spPr>
                </pic:pic>
              </a:graphicData>
            </a:graphic>
          </wp:anchor>
        </w:drawing>
      </w:r>
      <w:r/>
    </w:p>
    <w:p>
      <w:pPr>
        <w:ind w:left="24"/>
        <w:spacing w:before="65" w:line="233" w:lineRule="auto"/>
        <w:rPr>
          <w:rFonts w:ascii="Times New Roman" w:hAnsi="Times New Roman" w:eastAsia="Times New Roman" w:cs="Times New Roman"/>
          <w:sz w:val="20"/>
          <w:szCs w:val="20"/>
        </w:rPr>
      </w:pPr>
      <w:r>
        <w:rPr>
          <w:rFonts w:ascii="SimHei" w:hAnsi="SimHei" w:eastAsia="SimHei" w:cs="SimHei"/>
          <w:sz w:val="20"/>
          <w:szCs w:val="20"/>
          <w:spacing w:val="-1"/>
        </w:rPr>
        <w:t>附件</w:t>
      </w:r>
      <w:r>
        <w:rPr>
          <w:rFonts w:ascii="SimHei" w:hAnsi="SimHei" w:eastAsia="SimHei" w:cs="SimHei"/>
          <w:sz w:val="20"/>
          <w:szCs w:val="20"/>
          <w:spacing w:val="-23"/>
        </w:rPr>
        <w:t xml:space="preserve"> </w:t>
      </w:r>
      <w:r>
        <w:rPr>
          <w:rFonts w:ascii="Times New Roman" w:hAnsi="Times New Roman" w:eastAsia="Times New Roman" w:cs="Times New Roman"/>
          <w:sz w:val="20"/>
          <w:szCs w:val="20"/>
          <w:spacing w:val="-1"/>
        </w:rPr>
        <w:t>1</w:t>
      </w:r>
    </w:p>
    <w:p>
      <w:pPr>
        <w:spacing w:line="246" w:lineRule="auto"/>
        <w:rPr>
          <w:rFonts w:ascii="Arial"/>
          <w:sz w:val="21"/>
        </w:rPr>
      </w:pPr>
      <w:r/>
    </w:p>
    <w:p>
      <w:pPr>
        <w:spacing w:line="247" w:lineRule="auto"/>
        <w:rPr>
          <w:rFonts w:ascii="Arial"/>
          <w:sz w:val="21"/>
        </w:rPr>
      </w:pPr>
      <w:r/>
    </w:p>
    <w:p>
      <w:pPr>
        <w:ind w:left="427"/>
        <w:spacing w:before="184" w:line="216"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12"/>
        </w:rPr>
        <w:t>固原市人民政府决定废止的行政规范性文件</w:t>
      </w:r>
    </w:p>
    <w:p>
      <w:pPr>
        <w:ind w:left="3787"/>
        <w:spacing w:before="130" w:line="265" w:lineRule="exact"/>
        <w:rPr>
          <w:rFonts w:ascii="KaiTi" w:hAnsi="KaiTi" w:eastAsia="KaiTi" w:cs="KaiTi"/>
          <w:sz w:val="20"/>
          <w:szCs w:val="20"/>
        </w:rPr>
      </w:pPr>
      <w:r>
        <w:rPr>
          <w:rFonts w:ascii="KaiTi" w:hAnsi="KaiTi" w:eastAsia="KaiTi" w:cs="KaiTi"/>
          <w:sz w:val="20"/>
          <w:szCs w:val="20"/>
          <w:spacing w:val="6"/>
          <w:position w:val="1"/>
        </w:rPr>
        <w:t>（共</w:t>
      </w:r>
      <w:r>
        <w:rPr>
          <w:rFonts w:ascii="KaiTi" w:hAnsi="KaiTi" w:eastAsia="KaiTi" w:cs="KaiTi"/>
          <w:sz w:val="20"/>
          <w:szCs w:val="20"/>
          <w:spacing w:val="-32"/>
          <w:position w:val="1"/>
        </w:rPr>
        <w:t xml:space="preserve"> </w:t>
      </w:r>
      <w:r>
        <w:rPr>
          <w:rFonts w:ascii="Times New Roman" w:hAnsi="Times New Roman" w:eastAsia="Times New Roman" w:cs="Times New Roman"/>
          <w:sz w:val="20"/>
          <w:szCs w:val="20"/>
          <w:spacing w:val="6"/>
          <w:position w:val="1"/>
        </w:rPr>
        <w:t>54 </w:t>
      </w:r>
      <w:r>
        <w:rPr>
          <w:rFonts w:ascii="KaiTi" w:hAnsi="KaiTi" w:eastAsia="KaiTi" w:cs="KaiTi"/>
          <w:sz w:val="20"/>
          <w:szCs w:val="20"/>
          <w:spacing w:val="6"/>
          <w:position w:val="1"/>
        </w:rPr>
        <w:t>件）</w:t>
      </w:r>
    </w:p>
    <w:p>
      <w:pPr>
        <w:spacing w:before="174"/>
        <w:rPr/>
      </w:pPr>
      <w:r/>
    </w:p>
    <w:p>
      <w:pPr>
        <w:sectPr>
          <w:headerReference w:type="default" r:id="rId552"/>
          <w:footerReference w:type="default" r:id="rId553"/>
          <w:pgSz w:w="11906" w:h="16839"/>
          <w:pgMar w:top="1769" w:right="1475" w:bottom="1570" w:left="1584" w:header="1428" w:footer="1172" w:gutter="0"/>
          <w:cols w:equalWidth="0" w:num="1">
            <w:col w:w="8847" w:space="0"/>
          </w:cols>
        </w:sectPr>
        <w:rPr/>
      </w:pPr>
    </w:p>
    <w:p>
      <w:pPr>
        <w:pStyle w:val="BodyText"/>
        <w:ind w:left="9" w:right="322" w:firstLine="420"/>
        <w:spacing w:before="2" w:line="303" w:lineRule="auto"/>
        <w:rPr>
          <w:rFonts w:ascii="KaiTi" w:hAnsi="KaiTi" w:eastAsia="KaiTi" w:cs="KaiTi"/>
        </w:rPr>
      </w:pPr>
      <w:r>
        <w:rPr>
          <w:spacing w:val="6"/>
        </w:rPr>
        <w:t>一、固原市农用运输机械安全生产管理办</w:t>
      </w:r>
      <w:r>
        <w:rPr>
          <w:spacing w:val="-1"/>
        </w:rPr>
        <w:t>法</w:t>
      </w:r>
      <w:r>
        <w:rPr>
          <w:rFonts w:ascii="KaiTi" w:hAnsi="KaiTi" w:eastAsia="KaiTi" w:cs="KaiTi"/>
          <w:spacing w:val="-1"/>
        </w:rPr>
        <w:t>（</w:t>
      </w:r>
      <w:r>
        <w:rPr>
          <w:rFonts w:ascii="KaiTi" w:hAnsi="KaiTi" w:eastAsia="KaiTi" w:cs="KaiTi"/>
          <w:spacing w:val="-27"/>
        </w:rPr>
        <w:t xml:space="preserve"> </w:t>
      </w:r>
      <w:r>
        <w:rPr>
          <w:rFonts w:ascii="KaiTi" w:hAnsi="KaiTi" w:eastAsia="KaiTi" w:cs="KaiTi"/>
          <w:spacing w:val="-1"/>
        </w:rPr>
        <w:t>固政府令第</w:t>
      </w:r>
      <w:r>
        <w:rPr>
          <w:rFonts w:ascii="KaiTi" w:hAnsi="KaiTi" w:eastAsia="KaiTi" w:cs="KaiTi"/>
          <w:spacing w:val="-36"/>
        </w:rPr>
        <w:t xml:space="preserve"> </w:t>
      </w:r>
      <w:r>
        <w:rPr>
          <w:rFonts w:ascii="KaiTi" w:hAnsi="KaiTi" w:eastAsia="KaiTi" w:cs="KaiTi"/>
          <w:spacing w:val="-1"/>
        </w:rPr>
        <w:t>6</w:t>
      </w:r>
      <w:r>
        <w:rPr>
          <w:rFonts w:ascii="KaiTi" w:hAnsi="KaiTi" w:eastAsia="KaiTi" w:cs="KaiTi"/>
          <w:spacing w:val="-36"/>
        </w:rPr>
        <w:t xml:space="preserve"> </w:t>
      </w:r>
      <w:r>
        <w:rPr>
          <w:rFonts w:ascii="KaiTi" w:hAnsi="KaiTi" w:eastAsia="KaiTi" w:cs="KaiTi"/>
          <w:spacing w:val="-1"/>
        </w:rPr>
        <w:t>号）</w:t>
      </w:r>
    </w:p>
    <w:p>
      <w:pPr>
        <w:pStyle w:val="BodyText"/>
        <w:ind w:left="13" w:right="322" w:firstLine="415"/>
        <w:spacing w:before="138" w:line="305" w:lineRule="auto"/>
        <w:rPr>
          <w:rFonts w:ascii="KaiTi" w:hAnsi="KaiTi" w:eastAsia="KaiTi" w:cs="KaiTi"/>
        </w:rPr>
      </w:pPr>
      <w:r>
        <w:rPr>
          <w:spacing w:val="2"/>
        </w:rPr>
        <w:t>二、固原市户外广告设置管理办法</w:t>
      </w:r>
      <w:r>
        <w:rPr>
          <w:rFonts w:ascii="KaiTi" w:hAnsi="KaiTi" w:eastAsia="KaiTi" w:cs="KaiTi"/>
          <w:spacing w:val="2"/>
        </w:rPr>
        <w:t>（</w:t>
      </w:r>
      <w:r>
        <w:rPr>
          <w:rFonts w:ascii="KaiTi" w:hAnsi="KaiTi" w:eastAsia="KaiTi" w:cs="KaiTi"/>
          <w:spacing w:val="-13"/>
        </w:rPr>
        <w:t xml:space="preserve"> </w:t>
      </w:r>
      <w:r>
        <w:rPr>
          <w:rFonts w:ascii="KaiTi" w:hAnsi="KaiTi" w:eastAsia="KaiTi" w:cs="KaiTi"/>
          <w:spacing w:val="2"/>
        </w:rPr>
        <w:t>固政</w:t>
      </w:r>
      <w:r>
        <w:rPr>
          <w:rFonts w:ascii="KaiTi" w:hAnsi="KaiTi" w:eastAsia="KaiTi" w:cs="KaiTi"/>
          <w:spacing w:val="3"/>
        </w:rPr>
        <w:t>府令第</w:t>
      </w:r>
      <w:r>
        <w:rPr>
          <w:rFonts w:ascii="KaiTi" w:hAnsi="KaiTi" w:eastAsia="KaiTi" w:cs="KaiTi"/>
          <w:spacing w:val="-35"/>
        </w:rPr>
        <w:t xml:space="preserve"> </w:t>
      </w:r>
      <w:r>
        <w:rPr>
          <w:rFonts w:ascii="KaiTi" w:hAnsi="KaiTi" w:eastAsia="KaiTi" w:cs="KaiTi"/>
          <w:spacing w:val="3"/>
        </w:rPr>
        <w:t>8</w:t>
      </w:r>
      <w:r>
        <w:rPr>
          <w:rFonts w:ascii="KaiTi" w:hAnsi="KaiTi" w:eastAsia="KaiTi" w:cs="KaiTi"/>
          <w:spacing w:val="-36"/>
        </w:rPr>
        <w:t xml:space="preserve"> </w:t>
      </w:r>
      <w:r>
        <w:rPr>
          <w:rFonts w:ascii="KaiTi" w:hAnsi="KaiTi" w:eastAsia="KaiTi" w:cs="KaiTi"/>
          <w:spacing w:val="3"/>
        </w:rPr>
        <w:t>号）</w:t>
      </w:r>
    </w:p>
    <w:p>
      <w:pPr>
        <w:pStyle w:val="BodyText"/>
        <w:ind w:right="322" w:firstLine="432"/>
        <w:spacing w:before="141" w:line="305" w:lineRule="auto"/>
        <w:rPr>
          <w:rFonts w:ascii="KaiTi" w:hAnsi="KaiTi" w:eastAsia="KaiTi" w:cs="KaiTi"/>
        </w:rPr>
      </w:pPr>
      <w:r>
        <w:rPr>
          <w:spacing w:val="18"/>
        </w:rPr>
        <w:t>三、固原市建设工程施工现场管理办法</w:t>
      </w:r>
      <w:r>
        <w:rPr>
          <w:rFonts w:ascii="KaiTi" w:hAnsi="KaiTi" w:eastAsia="KaiTi" w:cs="KaiTi"/>
          <w:spacing w:val="6"/>
        </w:rPr>
        <w:t>（</w:t>
      </w:r>
      <w:r>
        <w:rPr>
          <w:rFonts w:ascii="KaiTi" w:hAnsi="KaiTi" w:eastAsia="KaiTi" w:cs="KaiTi"/>
          <w:spacing w:val="-29"/>
        </w:rPr>
        <w:t xml:space="preserve"> </w:t>
      </w:r>
      <w:r>
        <w:rPr>
          <w:rFonts w:ascii="KaiTi" w:hAnsi="KaiTi" w:eastAsia="KaiTi" w:cs="KaiTi"/>
          <w:spacing w:val="6"/>
        </w:rPr>
        <w:t>固政府令第9</w:t>
      </w:r>
      <w:r>
        <w:rPr>
          <w:rFonts w:ascii="KaiTi" w:hAnsi="KaiTi" w:eastAsia="KaiTi" w:cs="KaiTi"/>
          <w:spacing w:val="-36"/>
        </w:rPr>
        <w:t xml:space="preserve"> </w:t>
      </w:r>
      <w:r>
        <w:rPr>
          <w:rFonts w:ascii="KaiTi" w:hAnsi="KaiTi" w:eastAsia="KaiTi" w:cs="KaiTi"/>
          <w:spacing w:val="6"/>
        </w:rPr>
        <w:t>号）</w:t>
      </w:r>
    </w:p>
    <w:p>
      <w:pPr>
        <w:pStyle w:val="BodyText"/>
        <w:ind w:left="4" w:right="322" w:firstLine="446"/>
        <w:spacing w:before="139" w:line="337" w:lineRule="auto"/>
        <w:rPr>
          <w:rFonts w:ascii="KaiTi" w:hAnsi="KaiTi" w:eastAsia="KaiTi" w:cs="KaiTi"/>
        </w:rPr>
      </w:pPr>
      <w:r>
        <w:rPr>
          <w:spacing w:val="5"/>
        </w:rPr>
        <w:t>四、市人民政府办公室转发市财政局、人</w:t>
      </w:r>
      <w:r>
        <w:rPr>
          <w:spacing w:val="7"/>
        </w:rPr>
        <w:t>事局、编办关于固原市本级财政统一发放行政</w:t>
      </w:r>
      <w:r>
        <w:rPr>
          <w:spacing w:val="3"/>
        </w:rPr>
        <w:t>事业单位工资管理暂行办法的通知</w:t>
      </w:r>
      <w:r>
        <w:rPr>
          <w:rFonts w:ascii="KaiTi" w:hAnsi="KaiTi" w:eastAsia="KaiTi" w:cs="KaiTi"/>
          <w:spacing w:val="3"/>
        </w:rPr>
        <w:t>（</w:t>
      </w:r>
      <w:r>
        <w:rPr>
          <w:rFonts w:ascii="KaiTi" w:hAnsi="KaiTi" w:eastAsia="KaiTi" w:cs="KaiTi"/>
          <w:spacing w:val="-11"/>
        </w:rPr>
        <w:t xml:space="preserve"> </w:t>
      </w:r>
      <w:r>
        <w:rPr>
          <w:rFonts w:ascii="KaiTi" w:hAnsi="KaiTi" w:eastAsia="KaiTi" w:cs="KaiTi"/>
          <w:spacing w:val="3"/>
        </w:rPr>
        <w:t>固政办发</w:t>
      </w:r>
      <w:r>
        <w:rPr>
          <w:rFonts w:ascii="KaiTi" w:hAnsi="KaiTi" w:eastAsia="KaiTi" w:cs="KaiTi"/>
          <w:spacing w:val="3"/>
        </w:rPr>
        <w:t>〔2003〕239</w:t>
      </w:r>
      <w:r>
        <w:rPr>
          <w:rFonts w:ascii="KaiTi" w:hAnsi="KaiTi" w:eastAsia="KaiTi" w:cs="KaiTi"/>
          <w:spacing w:val="-29"/>
        </w:rPr>
        <w:t xml:space="preserve"> </w:t>
      </w:r>
      <w:r>
        <w:rPr>
          <w:rFonts w:ascii="KaiTi" w:hAnsi="KaiTi" w:eastAsia="KaiTi" w:cs="KaiTi"/>
          <w:spacing w:val="3"/>
        </w:rPr>
        <w:t>号）</w:t>
      </w:r>
    </w:p>
    <w:p>
      <w:pPr>
        <w:pStyle w:val="BodyText"/>
        <w:ind w:left="10" w:right="238" w:firstLine="422"/>
        <w:spacing w:before="143" w:line="304" w:lineRule="auto"/>
        <w:rPr>
          <w:rFonts w:ascii="KaiTi" w:hAnsi="KaiTi" w:eastAsia="KaiTi" w:cs="KaiTi"/>
        </w:rPr>
      </w:pPr>
      <w:r>
        <w:rPr>
          <w:spacing w:val="6"/>
        </w:rPr>
        <w:t>五、固原市人民政府关于固原市房屋租赁</w:t>
      </w:r>
      <w:r>
        <w:rPr>
          <w:spacing w:val="4"/>
        </w:rPr>
        <w:t>管理暂行办法的通知</w:t>
      </w:r>
      <w:r>
        <w:rPr>
          <w:rFonts w:ascii="KaiTi" w:hAnsi="KaiTi" w:eastAsia="KaiTi" w:cs="KaiTi"/>
          <w:spacing w:val="4"/>
        </w:rPr>
        <w:t>（</w:t>
      </w:r>
      <w:r>
        <w:rPr>
          <w:rFonts w:ascii="KaiTi" w:hAnsi="KaiTi" w:eastAsia="KaiTi" w:cs="KaiTi"/>
          <w:spacing w:val="-29"/>
        </w:rPr>
        <w:t xml:space="preserve"> </w:t>
      </w:r>
      <w:r>
        <w:rPr>
          <w:rFonts w:ascii="KaiTi" w:hAnsi="KaiTi" w:eastAsia="KaiTi" w:cs="KaiTi"/>
          <w:spacing w:val="4"/>
        </w:rPr>
        <w:t>固政发〔2004〕</w:t>
      </w:r>
      <w:r>
        <w:rPr>
          <w:rFonts w:ascii="KaiTi" w:hAnsi="KaiTi" w:eastAsia="KaiTi" w:cs="KaiTi"/>
          <w:spacing w:val="3"/>
        </w:rPr>
        <w:t>93</w:t>
      </w:r>
      <w:r>
        <w:rPr>
          <w:rFonts w:ascii="KaiTi" w:hAnsi="KaiTi" w:eastAsia="KaiTi" w:cs="KaiTi"/>
          <w:spacing w:val="-33"/>
        </w:rPr>
        <w:t xml:space="preserve"> </w:t>
      </w:r>
      <w:r>
        <w:rPr>
          <w:rFonts w:ascii="KaiTi" w:hAnsi="KaiTi" w:eastAsia="KaiTi" w:cs="KaiTi"/>
          <w:spacing w:val="3"/>
        </w:rPr>
        <w:t>号）</w:t>
      </w:r>
    </w:p>
    <w:p>
      <w:pPr>
        <w:pStyle w:val="BodyText"/>
        <w:ind w:left="9" w:right="322" w:firstLine="419"/>
        <w:spacing w:before="140" w:line="326" w:lineRule="auto"/>
        <w:rPr>
          <w:rFonts w:ascii="KaiTi" w:hAnsi="KaiTi" w:eastAsia="KaiTi" w:cs="KaiTi"/>
        </w:rPr>
      </w:pPr>
      <w:r>
        <w:rPr>
          <w:spacing w:val="6"/>
        </w:rPr>
        <w:t>六、固原市人民政府办公室关于印发固原</w:t>
      </w:r>
      <w:r>
        <w:rPr>
          <w:spacing w:val="18"/>
        </w:rPr>
        <w:t>市事企业单位专业技术职务聘任管理暂行办</w:t>
      </w:r>
      <w:r>
        <w:rPr>
          <w:spacing w:val="2"/>
        </w:rPr>
        <w:t>法的通知</w:t>
      </w:r>
      <w:r>
        <w:rPr>
          <w:rFonts w:ascii="KaiTi" w:hAnsi="KaiTi" w:eastAsia="KaiTi" w:cs="KaiTi"/>
          <w:spacing w:val="2"/>
        </w:rPr>
        <w:t>（</w:t>
      </w:r>
      <w:r>
        <w:rPr>
          <w:rFonts w:ascii="KaiTi" w:hAnsi="KaiTi" w:eastAsia="KaiTi" w:cs="KaiTi"/>
          <w:spacing w:val="-18"/>
        </w:rPr>
        <w:t xml:space="preserve"> </w:t>
      </w:r>
      <w:r>
        <w:rPr>
          <w:rFonts w:ascii="KaiTi" w:hAnsi="KaiTi" w:eastAsia="KaiTi" w:cs="KaiTi"/>
          <w:spacing w:val="2"/>
        </w:rPr>
        <w:t>固政办发〔2005〕130</w:t>
      </w:r>
      <w:r>
        <w:rPr>
          <w:rFonts w:ascii="KaiTi" w:hAnsi="KaiTi" w:eastAsia="KaiTi" w:cs="KaiTi"/>
          <w:spacing w:val="-34"/>
        </w:rPr>
        <w:t xml:space="preserve"> </w:t>
      </w:r>
      <w:r>
        <w:rPr>
          <w:rFonts w:ascii="KaiTi" w:hAnsi="KaiTi" w:eastAsia="KaiTi" w:cs="KaiTi"/>
          <w:spacing w:val="2"/>
        </w:rPr>
        <w:t>号）</w:t>
      </w:r>
    </w:p>
    <w:p>
      <w:pPr>
        <w:pStyle w:val="BodyText"/>
        <w:ind w:right="322" w:firstLine="427"/>
        <w:spacing w:before="141" w:line="326" w:lineRule="auto"/>
        <w:rPr>
          <w:rFonts w:ascii="KaiTi" w:hAnsi="KaiTi" w:eastAsia="KaiTi" w:cs="KaiTi"/>
        </w:rPr>
      </w:pPr>
      <w:r>
        <w:rPr>
          <w:spacing w:val="7"/>
        </w:rPr>
        <w:t>七、固原市人民政府关于印发固原市道路</w:t>
      </w:r>
      <w:r>
        <w:rPr>
          <w:spacing w:val="18"/>
        </w:rPr>
        <w:t>旅客运输及客运站安全生产管理办法的通知</w:t>
      </w:r>
      <w:r>
        <w:rPr>
          <w:rFonts w:ascii="KaiTi" w:hAnsi="KaiTi" w:eastAsia="KaiTi" w:cs="KaiTi"/>
        </w:rPr>
        <w:t>（</w:t>
      </w:r>
      <w:r>
        <w:rPr>
          <w:rFonts w:ascii="KaiTi" w:hAnsi="KaiTi" w:eastAsia="KaiTi" w:cs="KaiTi"/>
          <w:spacing w:val="-19"/>
        </w:rPr>
        <w:t xml:space="preserve"> </w:t>
      </w:r>
      <w:r>
        <w:rPr>
          <w:rFonts w:ascii="KaiTi" w:hAnsi="KaiTi" w:eastAsia="KaiTi" w:cs="KaiTi"/>
        </w:rPr>
        <w:t>固政发〔2006〕12</w:t>
      </w:r>
      <w:r>
        <w:rPr>
          <w:rFonts w:ascii="KaiTi" w:hAnsi="KaiTi" w:eastAsia="KaiTi" w:cs="KaiTi"/>
          <w:spacing w:val="-36"/>
        </w:rPr>
        <w:t xml:space="preserve"> </w:t>
      </w:r>
      <w:r>
        <w:rPr>
          <w:rFonts w:ascii="KaiTi" w:hAnsi="KaiTi" w:eastAsia="KaiTi" w:cs="KaiTi"/>
        </w:rPr>
        <w:t>号）</w:t>
      </w:r>
    </w:p>
    <w:p>
      <w:pPr>
        <w:pStyle w:val="BodyText"/>
        <w:ind w:left="10" w:right="322" w:firstLine="415"/>
        <w:spacing w:before="140" w:line="304" w:lineRule="auto"/>
        <w:rPr>
          <w:rFonts w:ascii="KaiTi" w:hAnsi="KaiTi" w:eastAsia="KaiTi" w:cs="KaiTi"/>
        </w:rPr>
      </w:pPr>
      <w:r>
        <w:rPr>
          <w:spacing w:val="7"/>
        </w:rPr>
        <w:t>八、固原市人民政府关于印发固原市燃气</w:t>
      </w:r>
      <w:r>
        <w:rPr>
          <w:spacing w:val="3"/>
        </w:rPr>
        <w:t>管理办法的通知</w:t>
      </w:r>
      <w:r>
        <w:rPr>
          <w:rFonts w:ascii="KaiTi" w:hAnsi="KaiTi" w:eastAsia="KaiTi" w:cs="KaiTi"/>
          <w:spacing w:val="3"/>
        </w:rPr>
        <w:t>（</w:t>
      </w:r>
      <w:r>
        <w:rPr>
          <w:rFonts w:ascii="KaiTi" w:hAnsi="KaiTi" w:eastAsia="KaiTi" w:cs="KaiTi"/>
          <w:spacing w:val="-24"/>
        </w:rPr>
        <w:t xml:space="preserve"> </w:t>
      </w:r>
      <w:r>
        <w:rPr>
          <w:rFonts w:ascii="KaiTi" w:hAnsi="KaiTi" w:eastAsia="KaiTi" w:cs="KaiTi"/>
          <w:spacing w:val="3"/>
        </w:rPr>
        <w:t>固政发〔2006〕49</w:t>
      </w:r>
      <w:r>
        <w:rPr>
          <w:rFonts w:ascii="KaiTi" w:hAnsi="KaiTi" w:eastAsia="KaiTi" w:cs="KaiTi"/>
          <w:spacing w:val="-33"/>
        </w:rPr>
        <w:t xml:space="preserve"> </w:t>
      </w:r>
      <w:r>
        <w:rPr>
          <w:rFonts w:ascii="KaiTi" w:hAnsi="KaiTi" w:eastAsia="KaiTi" w:cs="KaiTi"/>
          <w:spacing w:val="3"/>
        </w:rPr>
        <w:t>号）</w:t>
      </w:r>
    </w:p>
    <w:p>
      <w:pPr>
        <w:pStyle w:val="BodyText"/>
        <w:ind w:left="6" w:right="322" w:firstLine="423"/>
        <w:spacing w:before="144" w:line="325" w:lineRule="auto"/>
        <w:rPr>
          <w:rFonts w:ascii="KaiTi" w:hAnsi="KaiTi" w:eastAsia="KaiTi" w:cs="KaiTi"/>
        </w:rPr>
      </w:pPr>
      <w:r>
        <w:rPr>
          <w:spacing w:val="6"/>
        </w:rPr>
        <w:t>九、固原市人民政府关于印发固原市新型</w:t>
      </w:r>
      <w:r>
        <w:rPr>
          <w:spacing w:val="3"/>
        </w:rPr>
        <w:t>墙体材料与建筑节能管理暂行办法的通知</w:t>
      </w:r>
      <w:r>
        <w:rPr>
          <w:rFonts w:ascii="KaiTi" w:hAnsi="KaiTi" w:eastAsia="KaiTi" w:cs="KaiTi"/>
          <w:spacing w:val="3"/>
        </w:rPr>
        <w:t>（</w:t>
      </w:r>
      <w:r>
        <w:rPr>
          <w:rFonts w:ascii="KaiTi" w:hAnsi="KaiTi" w:eastAsia="KaiTi" w:cs="KaiTi"/>
          <w:spacing w:val="-14"/>
        </w:rPr>
        <w:t xml:space="preserve"> </w:t>
      </w:r>
      <w:r>
        <w:rPr>
          <w:rFonts w:ascii="KaiTi" w:hAnsi="KaiTi" w:eastAsia="KaiTi" w:cs="KaiTi"/>
          <w:spacing w:val="3"/>
        </w:rPr>
        <w:t>固</w:t>
      </w:r>
      <w:r>
        <w:rPr>
          <w:rFonts w:ascii="KaiTi" w:hAnsi="KaiTi" w:eastAsia="KaiTi" w:cs="KaiTi"/>
          <w:spacing w:val="4"/>
        </w:rPr>
        <w:t>政发〔2006〕128</w:t>
      </w:r>
      <w:r>
        <w:rPr>
          <w:rFonts w:ascii="KaiTi" w:hAnsi="KaiTi" w:eastAsia="KaiTi" w:cs="KaiTi"/>
          <w:spacing w:val="-31"/>
        </w:rPr>
        <w:t xml:space="preserve"> </w:t>
      </w:r>
      <w:r>
        <w:rPr>
          <w:rFonts w:ascii="KaiTi" w:hAnsi="KaiTi" w:eastAsia="KaiTi" w:cs="KaiTi"/>
          <w:spacing w:val="4"/>
        </w:rPr>
        <w:t>号）</w:t>
      </w:r>
    </w:p>
    <w:p>
      <w:pPr>
        <w:pStyle w:val="BodyText"/>
        <w:ind w:left="4" w:right="322" w:firstLine="431"/>
        <w:spacing w:before="144" w:line="317" w:lineRule="auto"/>
        <w:rPr>
          <w:rFonts w:ascii="KaiTi" w:hAnsi="KaiTi" w:eastAsia="KaiTi" w:cs="KaiTi"/>
        </w:rPr>
      </w:pPr>
      <w:r>
        <w:rPr>
          <w:spacing w:val="6"/>
        </w:rPr>
        <w:t>十、固原市人民政府办公室关于印发关于</w:t>
      </w:r>
      <w:r>
        <w:rPr>
          <w:spacing w:val="3"/>
        </w:rPr>
        <w:t>规范外墙建筑装饰材料使用的通知</w:t>
      </w:r>
      <w:r>
        <w:rPr>
          <w:rFonts w:ascii="KaiTi" w:hAnsi="KaiTi" w:eastAsia="KaiTi" w:cs="KaiTi"/>
          <w:spacing w:val="3"/>
        </w:rPr>
        <w:t>（</w:t>
      </w:r>
      <w:r>
        <w:rPr>
          <w:rFonts w:ascii="KaiTi" w:hAnsi="KaiTi" w:eastAsia="KaiTi" w:cs="KaiTi"/>
          <w:spacing w:val="-11"/>
        </w:rPr>
        <w:t xml:space="preserve"> </w:t>
      </w:r>
      <w:r>
        <w:rPr>
          <w:rFonts w:ascii="KaiTi" w:hAnsi="KaiTi" w:eastAsia="KaiTi" w:cs="KaiTi"/>
          <w:spacing w:val="3"/>
        </w:rPr>
        <w:t>固政办发</w:t>
      </w:r>
      <w:r>
        <w:rPr>
          <w:rFonts w:ascii="KaiTi" w:hAnsi="KaiTi" w:eastAsia="KaiTi" w:cs="KaiTi"/>
          <w:spacing w:val="3"/>
        </w:rPr>
        <w:t>〔2006〕68</w:t>
      </w:r>
      <w:r>
        <w:rPr>
          <w:rFonts w:ascii="KaiTi" w:hAnsi="KaiTi" w:eastAsia="KaiTi" w:cs="KaiTi"/>
          <w:spacing w:val="-29"/>
        </w:rPr>
        <w:t xml:space="preserve"> </w:t>
      </w:r>
      <w:r>
        <w:rPr>
          <w:rFonts w:ascii="KaiTi" w:hAnsi="KaiTi" w:eastAsia="KaiTi" w:cs="KaiTi"/>
          <w:spacing w:val="3"/>
        </w:rPr>
        <w:t>号）</w:t>
      </w:r>
    </w:p>
    <w:p>
      <w:pPr>
        <w:spacing w:line="14" w:lineRule="auto"/>
        <w:rPr>
          <w:rFonts w:ascii="Arial"/>
          <w:sz w:val="2"/>
        </w:rPr>
      </w:pPr>
      <w:r>
        <w:rPr>
          <w:rFonts w:ascii="Arial" w:hAnsi="Arial" w:eastAsia="Arial" w:cs="Arial"/>
          <w:sz w:val="2"/>
          <w:szCs w:val="2"/>
        </w:rPr>
        <w:br w:type="column"/>
      </w:r>
    </w:p>
    <w:p>
      <w:pPr>
        <w:pStyle w:val="BodyText"/>
        <w:ind w:left="8" w:right="115" w:firstLine="427"/>
        <w:spacing w:before="2" w:line="325" w:lineRule="auto"/>
        <w:rPr>
          <w:rFonts w:ascii="KaiTi" w:hAnsi="KaiTi" w:eastAsia="KaiTi" w:cs="KaiTi"/>
        </w:rPr>
      </w:pPr>
      <w:r>
        <w:rPr>
          <w:spacing w:val="6"/>
        </w:rPr>
        <w:t>十一、固原市人民政府关于印发固原市住</w:t>
      </w:r>
      <w:r>
        <w:rPr>
          <w:spacing w:val="3"/>
        </w:rPr>
        <w:t>宅区物业维修基金管理暂行办法的通知</w:t>
      </w:r>
      <w:r>
        <w:rPr>
          <w:rFonts w:ascii="KaiTi" w:hAnsi="KaiTi" w:eastAsia="KaiTi" w:cs="KaiTi"/>
          <w:spacing w:val="3"/>
        </w:rPr>
        <w:t>（</w:t>
      </w:r>
      <w:r>
        <w:rPr>
          <w:rFonts w:ascii="KaiTi" w:hAnsi="KaiTi" w:eastAsia="KaiTi" w:cs="KaiTi"/>
          <w:spacing w:val="-16"/>
        </w:rPr>
        <w:t xml:space="preserve"> </w:t>
      </w:r>
      <w:r>
        <w:rPr>
          <w:rFonts w:ascii="KaiTi" w:hAnsi="KaiTi" w:eastAsia="KaiTi" w:cs="KaiTi"/>
          <w:spacing w:val="3"/>
        </w:rPr>
        <w:t>固政</w:t>
      </w:r>
      <w:r>
        <w:rPr>
          <w:rFonts w:ascii="KaiTi" w:hAnsi="KaiTi" w:eastAsia="KaiTi" w:cs="KaiTi"/>
          <w:spacing w:val="3"/>
        </w:rPr>
        <w:t>发〔2007〕66</w:t>
      </w:r>
      <w:r>
        <w:rPr>
          <w:rFonts w:ascii="KaiTi" w:hAnsi="KaiTi" w:eastAsia="KaiTi" w:cs="KaiTi"/>
          <w:spacing w:val="-25"/>
        </w:rPr>
        <w:t xml:space="preserve"> </w:t>
      </w:r>
      <w:r>
        <w:rPr>
          <w:rFonts w:ascii="KaiTi" w:hAnsi="KaiTi" w:eastAsia="KaiTi" w:cs="KaiTi"/>
          <w:spacing w:val="3"/>
        </w:rPr>
        <w:t>号）</w:t>
      </w:r>
    </w:p>
    <w:p>
      <w:pPr>
        <w:pStyle w:val="BodyText"/>
        <w:ind w:left="10" w:right="4" w:firstLine="425"/>
        <w:spacing w:before="139" w:line="305" w:lineRule="auto"/>
        <w:rPr>
          <w:rFonts w:ascii="KaiTi" w:hAnsi="KaiTi" w:eastAsia="KaiTi" w:cs="KaiTi"/>
        </w:rPr>
      </w:pPr>
      <w:r>
        <w:rPr>
          <w:spacing w:val="6"/>
        </w:rPr>
        <w:t>十二、固原市人民政府关于印发固原市建</w:t>
      </w:r>
      <w:r>
        <w:rPr>
          <w:spacing w:val="-4"/>
        </w:rPr>
        <w:t>筑市场管理办法的通知</w:t>
      </w:r>
      <w:r>
        <w:rPr>
          <w:rFonts w:ascii="KaiTi" w:hAnsi="KaiTi" w:eastAsia="KaiTi" w:cs="KaiTi"/>
          <w:spacing w:val="-4"/>
        </w:rPr>
        <w:t>（</w:t>
      </w:r>
      <w:r>
        <w:rPr>
          <w:rFonts w:ascii="KaiTi" w:hAnsi="KaiTi" w:eastAsia="KaiTi" w:cs="KaiTi"/>
          <w:spacing w:val="-15"/>
        </w:rPr>
        <w:t xml:space="preserve"> </w:t>
      </w:r>
      <w:r>
        <w:rPr>
          <w:rFonts w:ascii="KaiTi" w:hAnsi="KaiTi" w:eastAsia="KaiTi" w:cs="KaiTi"/>
          <w:spacing w:val="-4"/>
        </w:rPr>
        <w:t>固政发〔2009〕13</w:t>
      </w:r>
      <w:r>
        <w:rPr>
          <w:rFonts w:ascii="KaiTi" w:hAnsi="KaiTi" w:eastAsia="KaiTi" w:cs="KaiTi"/>
          <w:spacing w:val="-36"/>
        </w:rPr>
        <w:t xml:space="preserve"> </w:t>
      </w:r>
      <w:r>
        <w:rPr>
          <w:rFonts w:ascii="KaiTi" w:hAnsi="KaiTi" w:eastAsia="KaiTi" w:cs="KaiTi"/>
          <w:spacing w:val="-4"/>
        </w:rPr>
        <w:t>号）</w:t>
      </w:r>
    </w:p>
    <w:p>
      <w:pPr>
        <w:pStyle w:val="BodyText"/>
        <w:ind w:left="9" w:firstLine="426"/>
        <w:spacing w:before="142" w:line="303" w:lineRule="auto"/>
        <w:rPr>
          <w:rFonts w:ascii="KaiTi" w:hAnsi="KaiTi" w:eastAsia="KaiTi" w:cs="KaiTi"/>
        </w:rPr>
      </w:pPr>
      <w:r>
        <w:rPr>
          <w:spacing w:val="6"/>
        </w:rPr>
        <w:t>十三、固原市人民政府关于印发固原市房</w:t>
      </w:r>
      <w:r>
        <w:rPr>
          <w:spacing w:val="-11"/>
        </w:rPr>
        <w:t>地产市场管理办法的通知</w:t>
      </w:r>
      <w:r>
        <w:rPr>
          <w:rFonts w:ascii="KaiTi" w:hAnsi="KaiTi" w:eastAsia="KaiTi" w:cs="KaiTi"/>
          <w:spacing w:val="-11"/>
        </w:rPr>
        <w:t>（</w:t>
      </w:r>
      <w:r>
        <w:rPr>
          <w:rFonts w:ascii="KaiTi" w:hAnsi="KaiTi" w:eastAsia="KaiTi" w:cs="KaiTi"/>
          <w:spacing w:val="-23"/>
        </w:rPr>
        <w:t xml:space="preserve"> </w:t>
      </w:r>
      <w:r>
        <w:rPr>
          <w:rFonts w:ascii="KaiTi" w:hAnsi="KaiTi" w:eastAsia="KaiTi" w:cs="KaiTi"/>
          <w:spacing w:val="-11"/>
        </w:rPr>
        <w:t>固政发〔2009〕14</w:t>
      </w:r>
      <w:r>
        <w:rPr>
          <w:rFonts w:ascii="KaiTi" w:hAnsi="KaiTi" w:eastAsia="KaiTi" w:cs="KaiTi"/>
          <w:spacing w:val="-44"/>
        </w:rPr>
        <w:t xml:space="preserve"> </w:t>
      </w:r>
      <w:r>
        <w:rPr>
          <w:rFonts w:ascii="KaiTi" w:hAnsi="KaiTi" w:eastAsia="KaiTi" w:cs="KaiTi"/>
          <w:spacing w:val="-11"/>
        </w:rPr>
        <w:t>号）</w:t>
      </w:r>
    </w:p>
    <w:p>
      <w:pPr>
        <w:pStyle w:val="BodyText"/>
        <w:ind w:left="23" w:firstLine="412"/>
        <w:spacing w:before="143" w:line="310" w:lineRule="auto"/>
        <w:rPr>
          <w:rFonts w:ascii="KaiTi" w:hAnsi="KaiTi" w:eastAsia="KaiTi" w:cs="KaiTi"/>
        </w:rPr>
      </w:pPr>
      <w:r>
        <w:rPr>
          <w:spacing w:val="6"/>
        </w:rPr>
        <w:t>十四、固原市人民政府关于印发固原市商</w:t>
      </w:r>
      <w:r>
        <w:rPr>
          <w:spacing w:val="-14"/>
        </w:rPr>
        <w:t>品房预售管理规定的通知</w:t>
      </w:r>
      <w:r>
        <w:rPr>
          <w:rFonts w:ascii="KaiTi" w:hAnsi="KaiTi" w:eastAsia="KaiTi" w:cs="KaiTi"/>
          <w:spacing w:val="-14"/>
        </w:rPr>
        <w:t>（</w:t>
      </w:r>
      <w:r>
        <w:rPr>
          <w:rFonts w:ascii="KaiTi" w:hAnsi="KaiTi" w:eastAsia="KaiTi" w:cs="KaiTi"/>
          <w:spacing w:val="-39"/>
        </w:rPr>
        <w:t xml:space="preserve"> </w:t>
      </w:r>
      <w:r>
        <w:rPr>
          <w:rFonts w:ascii="KaiTi" w:hAnsi="KaiTi" w:eastAsia="KaiTi" w:cs="KaiTi"/>
          <w:spacing w:val="-14"/>
        </w:rPr>
        <w:t>固政发〔200</w:t>
      </w:r>
      <w:r>
        <w:rPr>
          <w:rFonts w:ascii="KaiTi" w:hAnsi="KaiTi" w:eastAsia="KaiTi" w:cs="KaiTi"/>
          <w:spacing w:val="-15"/>
        </w:rPr>
        <w:t>9〕109</w:t>
      </w:r>
      <w:r>
        <w:rPr>
          <w:rFonts w:ascii="KaiTi" w:hAnsi="KaiTi" w:eastAsia="KaiTi" w:cs="KaiTi"/>
          <w:spacing w:val="-46"/>
        </w:rPr>
        <w:t xml:space="preserve"> </w:t>
      </w:r>
      <w:r>
        <w:rPr>
          <w:rFonts w:ascii="KaiTi" w:hAnsi="KaiTi" w:eastAsia="KaiTi" w:cs="KaiTi"/>
          <w:spacing w:val="-15"/>
        </w:rPr>
        <w:t>号）</w:t>
      </w:r>
    </w:p>
    <w:p>
      <w:pPr>
        <w:pStyle w:val="BodyText"/>
        <w:ind w:right="115" w:firstLine="435"/>
        <w:spacing w:before="128" w:line="326" w:lineRule="auto"/>
        <w:rPr>
          <w:rFonts w:ascii="KaiTi" w:hAnsi="KaiTi" w:eastAsia="KaiTi" w:cs="KaiTi"/>
        </w:rPr>
      </w:pPr>
      <w:r>
        <w:rPr>
          <w:spacing w:val="6"/>
        </w:rPr>
        <w:t>十五、固原市人民政府关于印发固原市餐</w:t>
      </w:r>
      <w:r>
        <w:rPr>
          <w:spacing w:val="18"/>
        </w:rPr>
        <w:t>饮服务业环境污染防治管理暂行办法的通知</w:t>
      </w:r>
      <w:r>
        <w:rPr>
          <w:rFonts w:ascii="KaiTi" w:hAnsi="KaiTi" w:eastAsia="KaiTi" w:cs="KaiTi"/>
        </w:rPr>
        <w:t>（</w:t>
      </w:r>
      <w:r>
        <w:rPr>
          <w:rFonts w:ascii="KaiTi" w:hAnsi="KaiTi" w:eastAsia="KaiTi" w:cs="KaiTi"/>
          <w:spacing w:val="-19"/>
        </w:rPr>
        <w:t xml:space="preserve"> </w:t>
      </w:r>
      <w:r>
        <w:rPr>
          <w:rFonts w:ascii="KaiTi" w:hAnsi="KaiTi" w:eastAsia="KaiTi" w:cs="KaiTi"/>
        </w:rPr>
        <w:t>固政发〔2010〕15</w:t>
      </w:r>
      <w:r>
        <w:rPr>
          <w:rFonts w:ascii="KaiTi" w:hAnsi="KaiTi" w:eastAsia="KaiTi" w:cs="KaiTi"/>
          <w:spacing w:val="-33"/>
        </w:rPr>
        <w:t xml:space="preserve"> </w:t>
      </w:r>
      <w:r>
        <w:rPr>
          <w:rFonts w:ascii="KaiTi" w:hAnsi="KaiTi" w:eastAsia="KaiTi" w:cs="KaiTi"/>
        </w:rPr>
        <w:t>号）</w:t>
      </w:r>
    </w:p>
    <w:p>
      <w:pPr>
        <w:pStyle w:val="BodyText"/>
        <w:ind w:left="7" w:right="115" w:firstLine="428"/>
        <w:spacing w:before="140" w:line="326" w:lineRule="auto"/>
        <w:rPr>
          <w:rFonts w:ascii="KaiTi" w:hAnsi="KaiTi" w:eastAsia="KaiTi" w:cs="KaiTi"/>
        </w:rPr>
      </w:pPr>
      <w:r>
        <w:rPr>
          <w:spacing w:val="6"/>
        </w:rPr>
        <w:t>十六、固原市人民政府关于印发固原市基</w:t>
      </w:r>
      <w:r>
        <w:rPr>
          <w:spacing w:val="3"/>
        </w:rPr>
        <w:t>本养老保险费征缴管理暂行办法的通知</w:t>
      </w:r>
      <w:r>
        <w:rPr>
          <w:rFonts w:ascii="KaiTi" w:hAnsi="KaiTi" w:eastAsia="KaiTi" w:cs="KaiTi"/>
          <w:spacing w:val="3"/>
        </w:rPr>
        <w:t>（</w:t>
      </w:r>
      <w:r>
        <w:rPr>
          <w:rFonts w:ascii="KaiTi" w:hAnsi="KaiTi" w:eastAsia="KaiTi" w:cs="KaiTi"/>
          <w:spacing w:val="-15"/>
        </w:rPr>
        <w:t xml:space="preserve"> </w:t>
      </w:r>
      <w:r>
        <w:rPr>
          <w:rFonts w:ascii="KaiTi" w:hAnsi="KaiTi" w:eastAsia="KaiTi" w:cs="KaiTi"/>
          <w:spacing w:val="3"/>
        </w:rPr>
        <w:t>固政</w:t>
      </w:r>
      <w:r>
        <w:rPr>
          <w:rFonts w:ascii="KaiTi" w:hAnsi="KaiTi" w:eastAsia="KaiTi" w:cs="KaiTi"/>
          <w:spacing w:val="3"/>
        </w:rPr>
        <w:t>发〔2010〕91</w:t>
      </w:r>
      <w:r>
        <w:rPr>
          <w:rFonts w:ascii="KaiTi" w:hAnsi="KaiTi" w:eastAsia="KaiTi" w:cs="KaiTi"/>
          <w:spacing w:val="-24"/>
        </w:rPr>
        <w:t xml:space="preserve"> </w:t>
      </w:r>
      <w:r>
        <w:rPr>
          <w:rFonts w:ascii="KaiTi" w:hAnsi="KaiTi" w:eastAsia="KaiTi" w:cs="KaiTi"/>
          <w:spacing w:val="3"/>
        </w:rPr>
        <w:t>号）</w:t>
      </w:r>
    </w:p>
    <w:p>
      <w:pPr>
        <w:pStyle w:val="BodyText"/>
        <w:ind w:left="7" w:right="115" w:firstLine="428"/>
        <w:spacing w:before="141" w:line="326" w:lineRule="auto"/>
        <w:rPr>
          <w:rFonts w:ascii="KaiTi" w:hAnsi="KaiTi" w:eastAsia="KaiTi" w:cs="KaiTi"/>
        </w:rPr>
      </w:pPr>
      <w:r>
        <w:rPr>
          <w:spacing w:val="6"/>
        </w:rPr>
        <w:t>十七、固原市人民政府关于印发固原市市</w:t>
      </w:r>
      <w:r>
        <w:rPr>
          <w:spacing w:val="7"/>
        </w:rPr>
        <w:t>本级政府非税收入征缴管理办法（暂行）的通</w:t>
      </w:r>
      <w:r>
        <w:rPr/>
        <w:t>知</w:t>
      </w:r>
      <w:r>
        <w:rPr>
          <w:rFonts w:ascii="KaiTi" w:hAnsi="KaiTi" w:eastAsia="KaiTi" w:cs="KaiTi"/>
        </w:rPr>
        <w:t>（</w:t>
      </w:r>
      <w:r>
        <w:rPr>
          <w:rFonts w:ascii="KaiTi" w:hAnsi="KaiTi" w:eastAsia="KaiTi" w:cs="KaiTi"/>
          <w:spacing w:val="-17"/>
        </w:rPr>
        <w:t xml:space="preserve"> </w:t>
      </w:r>
      <w:r>
        <w:rPr>
          <w:rFonts w:ascii="KaiTi" w:hAnsi="KaiTi" w:eastAsia="KaiTi" w:cs="KaiTi"/>
        </w:rPr>
        <w:t>固政发〔2010〕120</w:t>
      </w:r>
      <w:r>
        <w:rPr>
          <w:rFonts w:ascii="KaiTi" w:hAnsi="KaiTi" w:eastAsia="KaiTi" w:cs="KaiTi"/>
          <w:spacing w:val="-31"/>
        </w:rPr>
        <w:t xml:space="preserve"> </w:t>
      </w:r>
      <w:r>
        <w:rPr>
          <w:rFonts w:ascii="KaiTi" w:hAnsi="KaiTi" w:eastAsia="KaiTi" w:cs="KaiTi"/>
        </w:rPr>
        <w:t>号）</w:t>
      </w:r>
    </w:p>
    <w:p>
      <w:pPr>
        <w:pStyle w:val="BodyText"/>
        <w:ind w:left="8" w:right="76" w:firstLine="427"/>
        <w:spacing w:before="140" w:line="326" w:lineRule="auto"/>
        <w:rPr>
          <w:rFonts w:ascii="KaiTi" w:hAnsi="KaiTi" w:eastAsia="KaiTi" w:cs="KaiTi"/>
        </w:rPr>
      </w:pPr>
      <w:r>
        <w:rPr>
          <w:spacing w:val="6"/>
        </w:rPr>
        <w:t>十八、固原市人民政府关于印发固原市农</w:t>
      </w:r>
      <w:r>
        <w:rPr>
          <w:spacing w:val="5"/>
        </w:rPr>
        <w:t>村公路养护管理办法的通知</w:t>
      </w:r>
      <w:r>
        <w:rPr>
          <w:rFonts w:ascii="KaiTi" w:hAnsi="KaiTi" w:eastAsia="KaiTi" w:cs="KaiTi"/>
          <w:spacing w:val="5"/>
        </w:rPr>
        <w:t>（</w:t>
      </w:r>
      <w:r>
        <w:rPr>
          <w:rFonts w:ascii="KaiTi" w:hAnsi="KaiTi" w:eastAsia="KaiTi" w:cs="KaiTi"/>
          <w:spacing w:val="-27"/>
        </w:rPr>
        <w:t xml:space="preserve"> </w:t>
      </w:r>
      <w:r>
        <w:rPr>
          <w:rFonts w:ascii="KaiTi" w:hAnsi="KaiTi" w:eastAsia="KaiTi" w:cs="KaiTi"/>
          <w:spacing w:val="5"/>
        </w:rPr>
        <w:t>固政发〔2010〕</w:t>
      </w:r>
      <w:r>
        <w:rPr>
          <w:rFonts w:ascii="KaiTi" w:hAnsi="KaiTi" w:eastAsia="KaiTi" w:cs="KaiTi"/>
        </w:rPr>
        <w:t xml:space="preserve"> </w:t>
      </w:r>
      <w:r>
        <w:rPr>
          <w:rFonts w:ascii="KaiTi" w:hAnsi="KaiTi" w:eastAsia="KaiTi" w:cs="KaiTi"/>
          <w:spacing w:val="1"/>
        </w:rPr>
        <w:t>173</w:t>
      </w:r>
      <w:r>
        <w:rPr>
          <w:rFonts w:ascii="KaiTi" w:hAnsi="KaiTi" w:eastAsia="KaiTi" w:cs="KaiTi"/>
          <w:spacing w:val="-33"/>
        </w:rPr>
        <w:t xml:space="preserve"> </w:t>
      </w:r>
      <w:r>
        <w:rPr>
          <w:rFonts w:ascii="KaiTi" w:hAnsi="KaiTi" w:eastAsia="KaiTi" w:cs="KaiTi"/>
          <w:spacing w:val="1"/>
        </w:rPr>
        <w:t>号）</w:t>
      </w:r>
    </w:p>
    <w:p>
      <w:pPr>
        <w:pStyle w:val="BodyText"/>
        <w:ind w:left="8" w:right="76" w:firstLine="427"/>
        <w:spacing w:before="141" w:line="326" w:lineRule="auto"/>
        <w:rPr>
          <w:rFonts w:ascii="KaiTi" w:hAnsi="KaiTi" w:eastAsia="KaiTi" w:cs="KaiTi"/>
        </w:rPr>
      </w:pPr>
      <w:r>
        <w:rPr>
          <w:spacing w:val="6"/>
        </w:rPr>
        <w:t>十九、固原市人民政府关于印发固原市政</w:t>
      </w:r>
      <w:r>
        <w:rPr>
          <w:spacing w:val="5"/>
        </w:rPr>
        <w:t>务网站群管理办法的通知</w:t>
      </w:r>
      <w:r>
        <w:rPr>
          <w:rFonts w:ascii="KaiTi" w:hAnsi="KaiTi" w:eastAsia="KaiTi" w:cs="KaiTi"/>
          <w:spacing w:val="5"/>
        </w:rPr>
        <w:t>（</w:t>
      </w:r>
      <w:r>
        <w:rPr>
          <w:rFonts w:ascii="KaiTi" w:hAnsi="KaiTi" w:eastAsia="KaiTi" w:cs="KaiTi"/>
          <w:spacing w:val="-27"/>
        </w:rPr>
        <w:t xml:space="preserve"> </w:t>
      </w:r>
      <w:r>
        <w:rPr>
          <w:rFonts w:ascii="KaiTi" w:hAnsi="KaiTi" w:eastAsia="KaiTi" w:cs="KaiTi"/>
          <w:spacing w:val="5"/>
        </w:rPr>
        <w:t>固政办发〔2010〕</w:t>
      </w:r>
      <w:r>
        <w:rPr>
          <w:rFonts w:ascii="KaiTi" w:hAnsi="KaiTi" w:eastAsia="KaiTi" w:cs="KaiTi"/>
        </w:rPr>
        <w:t xml:space="preserve"> </w:t>
      </w:r>
      <w:r>
        <w:rPr>
          <w:rFonts w:ascii="KaiTi" w:hAnsi="KaiTi" w:eastAsia="KaiTi" w:cs="KaiTi"/>
          <w:spacing w:val="2"/>
        </w:rPr>
        <w:t>32</w:t>
      </w:r>
      <w:r>
        <w:rPr>
          <w:rFonts w:ascii="KaiTi" w:hAnsi="KaiTi" w:eastAsia="KaiTi" w:cs="KaiTi"/>
          <w:spacing w:val="-37"/>
        </w:rPr>
        <w:t xml:space="preserve"> </w:t>
      </w:r>
      <w:r>
        <w:rPr>
          <w:rFonts w:ascii="KaiTi" w:hAnsi="KaiTi" w:eastAsia="KaiTi" w:cs="KaiTi"/>
          <w:spacing w:val="2"/>
        </w:rPr>
        <w:t>号）</w:t>
      </w:r>
    </w:p>
    <w:p>
      <w:pPr>
        <w:pStyle w:val="BodyText"/>
        <w:ind w:left="24" w:right="76" w:firstLine="405"/>
        <w:spacing w:before="145" w:line="290" w:lineRule="auto"/>
        <w:rPr>
          <w:rFonts w:ascii="KaiTi" w:hAnsi="KaiTi" w:eastAsia="KaiTi" w:cs="KaiTi"/>
        </w:rPr>
      </w:pPr>
      <w:r>
        <w:rPr>
          <w:spacing w:val="6"/>
        </w:rPr>
        <w:t>二十、固原市人民政府关于印发固原六盘</w:t>
      </w:r>
      <w:r>
        <w:rPr>
          <w:spacing w:val="4"/>
        </w:rPr>
        <w:t>山机场净空保护规定的通知</w:t>
      </w:r>
      <w:r>
        <w:rPr>
          <w:rFonts w:ascii="KaiTi" w:hAnsi="KaiTi" w:eastAsia="KaiTi" w:cs="KaiTi"/>
          <w:spacing w:val="4"/>
        </w:rPr>
        <w:t>（</w:t>
      </w:r>
      <w:r>
        <w:rPr>
          <w:rFonts w:ascii="KaiTi" w:hAnsi="KaiTi" w:eastAsia="KaiTi" w:cs="KaiTi"/>
          <w:spacing w:val="-21"/>
        </w:rPr>
        <w:t xml:space="preserve"> </w:t>
      </w:r>
      <w:r>
        <w:rPr>
          <w:rFonts w:ascii="KaiTi" w:hAnsi="KaiTi" w:eastAsia="KaiTi" w:cs="KaiTi"/>
          <w:spacing w:val="4"/>
        </w:rPr>
        <w:t>固政发〔2011〕</w:t>
      </w:r>
    </w:p>
    <w:p>
      <w:pPr>
        <w:spacing w:line="290" w:lineRule="auto"/>
        <w:sectPr>
          <w:type w:val="continuous"/>
          <w:pgSz w:w="11906" w:h="16839"/>
          <w:pgMar w:top="1769" w:right="1475" w:bottom="1570" w:left="1584" w:header="1428" w:footer="1172" w:gutter="0"/>
          <w:cols w:equalWidth="0" w:num="2">
            <w:col w:w="4477" w:space="100"/>
            <w:col w:w="4270" w:space="0"/>
          </w:cols>
        </w:sectPr>
        <w:rPr>
          <w:rFonts w:ascii="KaiTi" w:hAnsi="KaiTi" w:eastAsia="KaiTi" w:cs="KaiTi"/>
        </w:rPr>
      </w:pPr>
    </w:p>
    <w:p>
      <w:pPr>
        <w:spacing w:before="75"/>
        <w:rPr/>
      </w:pPr>
      <w:r>
        <w:drawing>
          <wp:anchor distT="0" distB="0" distL="0" distR="0" simplePos="0" relativeHeight="252055552"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110" name="IM 1110"/>
            <wp:cNvGraphicFramePr/>
            <a:graphic>
              <a:graphicData uri="http://schemas.openxmlformats.org/drawingml/2006/picture">
                <pic:pic>
                  <pic:nvPicPr>
                    <pic:cNvPr id="1110" name="IM 1110"/>
                    <pic:cNvPicPr/>
                  </pic:nvPicPr>
                  <pic:blipFill>
                    <a:blip r:embed="rId557"/>
                    <a:stretch>
                      <a:fillRect/>
                    </a:stretch>
                  </pic:blipFill>
                  <pic:spPr>
                    <a:xfrm rot="0">
                      <a:off x="0" y="0"/>
                      <a:ext cx="5579745" cy="7620"/>
                    </a:xfrm>
                    <a:prstGeom prst="rect">
                      <a:avLst/>
                    </a:prstGeom>
                  </pic:spPr>
                </pic:pic>
              </a:graphicData>
            </a:graphic>
          </wp:anchor>
        </w:drawing>
      </w:r>
      <w:r/>
    </w:p>
    <w:p>
      <w:pPr>
        <w:sectPr>
          <w:headerReference w:type="default" r:id="rId555"/>
          <w:footerReference w:type="default" r:id="rId556"/>
          <w:pgSz w:w="11906" w:h="16839"/>
          <w:pgMar w:top="1766" w:right="1475" w:bottom="1563" w:left="1551" w:header="1428" w:footer="1172" w:gutter="0"/>
          <w:cols w:equalWidth="0" w:num="1">
            <w:col w:w="8879" w:space="0"/>
          </w:cols>
        </w:sectPr>
        <w:rPr/>
      </w:pPr>
    </w:p>
    <w:p>
      <w:pPr>
        <w:ind w:left="43"/>
        <w:spacing w:before="45" w:line="263" w:lineRule="exact"/>
        <w:rPr>
          <w:rFonts w:ascii="KaiTi" w:hAnsi="KaiTi" w:eastAsia="KaiTi" w:cs="KaiTi"/>
          <w:sz w:val="20"/>
          <w:szCs w:val="20"/>
        </w:rPr>
      </w:pPr>
      <w:r>
        <w:rPr>
          <w:rFonts w:ascii="KaiTi" w:hAnsi="KaiTi" w:eastAsia="KaiTi" w:cs="KaiTi"/>
          <w:sz w:val="20"/>
          <w:szCs w:val="20"/>
          <w:spacing w:val="1"/>
          <w:position w:val="1"/>
        </w:rPr>
        <w:t>26</w:t>
      </w:r>
      <w:r>
        <w:rPr>
          <w:rFonts w:ascii="KaiTi" w:hAnsi="KaiTi" w:eastAsia="KaiTi" w:cs="KaiTi"/>
          <w:sz w:val="20"/>
          <w:szCs w:val="20"/>
          <w:spacing w:val="-35"/>
          <w:position w:val="1"/>
        </w:rPr>
        <w:t xml:space="preserve"> </w:t>
      </w:r>
      <w:r>
        <w:rPr>
          <w:rFonts w:ascii="KaiTi" w:hAnsi="KaiTi" w:eastAsia="KaiTi" w:cs="KaiTi"/>
          <w:sz w:val="20"/>
          <w:szCs w:val="20"/>
          <w:spacing w:val="1"/>
          <w:position w:val="1"/>
        </w:rPr>
        <w:t>号）</w:t>
      </w:r>
    </w:p>
    <w:p>
      <w:pPr>
        <w:pStyle w:val="BodyText"/>
        <w:ind w:left="43" w:right="326" w:firstLine="419"/>
        <w:spacing w:before="147" w:line="329" w:lineRule="auto"/>
        <w:rPr>
          <w:rFonts w:ascii="KaiTi" w:hAnsi="KaiTi" w:eastAsia="KaiTi" w:cs="KaiTi"/>
        </w:rPr>
      </w:pPr>
      <w:r>
        <w:rPr>
          <w:spacing w:val="6"/>
        </w:rPr>
        <w:t>二十一、固原市人民政府关于进一步加强</w:t>
      </w:r>
      <w:r>
        <w:rPr>
          <w:spacing w:val="3"/>
        </w:rPr>
        <w:t>流动人口计划生育服务管理工作的意见</w:t>
      </w:r>
      <w:r>
        <w:rPr>
          <w:rFonts w:ascii="KaiTi" w:hAnsi="KaiTi" w:eastAsia="KaiTi" w:cs="KaiTi"/>
          <w:spacing w:val="3"/>
        </w:rPr>
        <w:t>（</w:t>
      </w:r>
      <w:r>
        <w:rPr>
          <w:rFonts w:ascii="KaiTi" w:hAnsi="KaiTi" w:eastAsia="KaiTi" w:cs="KaiTi"/>
          <w:spacing w:val="-17"/>
        </w:rPr>
        <w:t xml:space="preserve"> </w:t>
      </w:r>
      <w:r>
        <w:rPr>
          <w:rFonts w:ascii="KaiTi" w:hAnsi="KaiTi" w:eastAsia="KaiTi" w:cs="KaiTi"/>
          <w:spacing w:val="3"/>
        </w:rPr>
        <w:t>固政</w:t>
      </w:r>
      <w:r>
        <w:rPr>
          <w:rFonts w:ascii="KaiTi" w:hAnsi="KaiTi" w:eastAsia="KaiTi" w:cs="KaiTi"/>
          <w:spacing w:val="-2"/>
        </w:rPr>
        <w:t>发〔2011</w:t>
      </w:r>
      <w:r>
        <w:rPr>
          <w:rFonts w:ascii="KaiTi" w:hAnsi="KaiTi" w:eastAsia="KaiTi" w:cs="KaiTi"/>
          <w:spacing w:val="-35"/>
        </w:rPr>
        <w:t xml:space="preserve"> </w:t>
      </w:r>
      <w:r>
        <w:rPr>
          <w:rFonts w:ascii="KaiTi" w:hAnsi="KaiTi" w:eastAsia="KaiTi" w:cs="KaiTi"/>
          <w:spacing w:val="-2"/>
        </w:rPr>
        <w:t>〕121</w:t>
      </w:r>
      <w:r>
        <w:rPr>
          <w:rFonts w:ascii="KaiTi" w:hAnsi="KaiTi" w:eastAsia="KaiTi" w:cs="KaiTi"/>
          <w:spacing w:val="-34"/>
        </w:rPr>
        <w:t xml:space="preserve"> </w:t>
      </w:r>
      <w:r>
        <w:rPr>
          <w:rFonts w:ascii="KaiTi" w:hAnsi="KaiTi" w:eastAsia="KaiTi" w:cs="KaiTi"/>
          <w:spacing w:val="-2"/>
        </w:rPr>
        <w:t>号）</w:t>
      </w:r>
    </w:p>
    <w:p>
      <w:pPr>
        <w:pStyle w:val="BodyText"/>
        <w:ind w:left="42" w:right="218" w:firstLine="420"/>
        <w:spacing w:before="146" w:line="330" w:lineRule="auto"/>
        <w:rPr>
          <w:rFonts w:ascii="KaiTi" w:hAnsi="KaiTi" w:eastAsia="KaiTi" w:cs="KaiTi"/>
        </w:rPr>
      </w:pPr>
      <w:r>
        <w:rPr>
          <w:spacing w:val="6"/>
        </w:rPr>
        <w:t>二十二、固原市人民政府关于印发固原市</w:t>
      </w:r>
      <w:r>
        <w:rPr>
          <w:spacing w:val="-1"/>
        </w:rPr>
        <w:t>城市供热管理暂行办法的通知</w:t>
      </w:r>
      <w:r>
        <w:rPr>
          <w:rFonts w:ascii="KaiTi" w:hAnsi="KaiTi" w:eastAsia="KaiTi" w:cs="KaiTi"/>
          <w:spacing w:val="-1"/>
        </w:rPr>
        <w:t>（</w:t>
      </w:r>
      <w:r>
        <w:rPr>
          <w:rFonts w:ascii="KaiTi" w:hAnsi="KaiTi" w:eastAsia="KaiTi" w:cs="KaiTi"/>
          <w:spacing w:val="-25"/>
        </w:rPr>
        <w:t xml:space="preserve"> </w:t>
      </w:r>
      <w:r>
        <w:rPr>
          <w:rFonts w:ascii="KaiTi" w:hAnsi="KaiTi" w:eastAsia="KaiTi" w:cs="KaiTi"/>
          <w:spacing w:val="-1"/>
        </w:rPr>
        <w:t>固政发〔2011〕</w:t>
      </w:r>
      <w:r>
        <w:rPr>
          <w:rFonts w:ascii="KaiTi" w:hAnsi="KaiTi" w:eastAsia="KaiTi" w:cs="KaiTi"/>
        </w:rPr>
        <w:t xml:space="preserve"> </w:t>
      </w:r>
      <w:r>
        <w:rPr>
          <w:rFonts w:ascii="KaiTi" w:hAnsi="KaiTi" w:eastAsia="KaiTi" w:cs="KaiTi"/>
          <w:spacing w:val="1"/>
        </w:rPr>
        <w:t>149</w:t>
      </w:r>
      <w:r>
        <w:rPr>
          <w:rFonts w:ascii="KaiTi" w:hAnsi="KaiTi" w:eastAsia="KaiTi" w:cs="KaiTi"/>
          <w:spacing w:val="-34"/>
        </w:rPr>
        <w:t xml:space="preserve"> </w:t>
      </w:r>
      <w:r>
        <w:rPr>
          <w:rFonts w:ascii="KaiTi" w:hAnsi="KaiTi" w:eastAsia="KaiTi" w:cs="KaiTi"/>
          <w:spacing w:val="1"/>
        </w:rPr>
        <w:t>号）</w:t>
      </w:r>
    </w:p>
    <w:p>
      <w:pPr>
        <w:pStyle w:val="BodyText"/>
        <w:ind w:left="43" w:right="328" w:firstLine="419"/>
        <w:spacing w:before="147" w:line="307" w:lineRule="auto"/>
        <w:rPr>
          <w:rFonts w:ascii="KaiTi" w:hAnsi="KaiTi" w:eastAsia="KaiTi" w:cs="KaiTi"/>
        </w:rPr>
      </w:pPr>
      <w:r>
        <w:rPr>
          <w:spacing w:val="6"/>
        </w:rPr>
        <w:t>二十三、固原市人民政府关于确保市场物</w:t>
      </w:r>
      <w:r>
        <w:rPr>
          <w:spacing w:val="6"/>
        </w:rPr>
        <w:t>价基本稳定保障群众生活的实施意见</w:t>
      </w:r>
      <w:r>
        <w:rPr>
          <w:rFonts w:ascii="KaiTi" w:hAnsi="KaiTi" w:eastAsia="KaiTi" w:cs="KaiTi"/>
          <w:spacing w:val="6"/>
        </w:rPr>
        <w:t>（固</w:t>
      </w:r>
    </w:p>
    <w:p>
      <w:pPr>
        <w:ind w:left="43"/>
        <w:spacing w:before="141" w:line="263" w:lineRule="exact"/>
        <w:rPr>
          <w:rFonts w:ascii="KaiTi" w:hAnsi="KaiTi" w:eastAsia="KaiTi" w:cs="KaiTi"/>
          <w:sz w:val="20"/>
          <w:szCs w:val="20"/>
        </w:rPr>
      </w:pPr>
      <w:r>
        <w:rPr>
          <w:rFonts w:ascii="KaiTi" w:hAnsi="KaiTi" w:eastAsia="KaiTi" w:cs="KaiTi"/>
          <w:sz w:val="20"/>
          <w:szCs w:val="20"/>
          <w:spacing w:val="4"/>
          <w:position w:val="1"/>
        </w:rPr>
        <w:t>政发〔2012〕29</w:t>
      </w:r>
      <w:r>
        <w:rPr>
          <w:rFonts w:ascii="KaiTi" w:hAnsi="KaiTi" w:eastAsia="KaiTi" w:cs="KaiTi"/>
          <w:sz w:val="20"/>
          <w:szCs w:val="20"/>
          <w:spacing w:val="-33"/>
          <w:position w:val="1"/>
        </w:rPr>
        <w:t xml:space="preserve"> </w:t>
      </w:r>
      <w:r>
        <w:rPr>
          <w:rFonts w:ascii="KaiTi" w:hAnsi="KaiTi" w:eastAsia="KaiTi" w:cs="KaiTi"/>
          <w:sz w:val="20"/>
          <w:szCs w:val="20"/>
          <w:spacing w:val="4"/>
          <w:position w:val="1"/>
        </w:rPr>
        <w:t>号）</w:t>
      </w:r>
    </w:p>
    <w:p>
      <w:pPr>
        <w:pStyle w:val="BodyText"/>
        <w:ind w:left="39" w:right="326" w:firstLine="422"/>
        <w:spacing w:before="148" w:line="341" w:lineRule="auto"/>
        <w:rPr>
          <w:rFonts w:ascii="KaiTi" w:hAnsi="KaiTi" w:eastAsia="KaiTi" w:cs="KaiTi"/>
        </w:rPr>
      </w:pPr>
      <w:r>
        <w:rPr>
          <w:spacing w:val="6"/>
        </w:rPr>
        <w:t>二十四、固原市人民政府关于印发固原市</w:t>
      </w:r>
      <w:r>
        <w:rPr>
          <w:spacing w:val="18"/>
        </w:rPr>
        <w:t>少生快富纯女户参加统筹城乡居民养老医疗</w:t>
      </w:r>
      <w:r>
        <w:rPr>
          <w:spacing w:val="3"/>
        </w:rPr>
        <w:t>保险个人缴费补贴资金管理办法的通知</w:t>
      </w:r>
      <w:r>
        <w:rPr>
          <w:rFonts w:ascii="KaiTi" w:hAnsi="KaiTi" w:eastAsia="KaiTi" w:cs="KaiTi"/>
          <w:spacing w:val="3"/>
        </w:rPr>
        <w:t>（</w:t>
      </w:r>
      <w:r>
        <w:rPr>
          <w:rFonts w:ascii="KaiTi" w:hAnsi="KaiTi" w:eastAsia="KaiTi" w:cs="KaiTi"/>
          <w:spacing w:val="-14"/>
        </w:rPr>
        <w:t xml:space="preserve"> </w:t>
      </w:r>
      <w:r>
        <w:rPr>
          <w:rFonts w:ascii="KaiTi" w:hAnsi="KaiTi" w:eastAsia="KaiTi" w:cs="KaiTi"/>
          <w:spacing w:val="3"/>
        </w:rPr>
        <w:t>固政</w:t>
      </w:r>
      <w:r>
        <w:rPr>
          <w:rFonts w:ascii="KaiTi" w:hAnsi="KaiTi" w:eastAsia="KaiTi" w:cs="KaiTi"/>
          <w:spacing w:val="3"/>
        </w:rPr>
        <w:t>发〔2012〕102</w:t>
      </w:r>
      <w:r>
        <w:rPr>
          <w:rFonts w:ascii="KaiTi" w:hAnsi="KaiTi" w:eastAsia="KaiTi" w:cs="KaiTi"/>
          <w:spacing w:val="-26"/>
        </w:rPr>
        <w:t xml:space="preserve"> </w:t>
      </w:r>
      <w:r>
        <w:rPr>
          <w:rFonts w:ascii="KaiTi" w:hAnsi="KaiTi" w:eastAsia="KaiTi" w:cs="KaiTi"/>
          <w:spacing w:val="3"/>
        </w:rPr>
        <w:t>号）</w:t>
      </w:r>
    </w:p>
    <w:p>
      <w:pPr>
        <w:pStyle w:val="BodyText"/>
        <w:ind w:left="40" w:right="326" w:firstLine="421"/>
        <w:spacing w:before="147" w:line="329" w:lineRule="auto"/>
        <w:rPr>
          <w:rFonts w:ascii="KaiTi" w:hAnsi="KaiTi" w:eastAsia="KaiTi" w:cs="KaiTi"/>
        </w:rPr>
      </w:pPr>
      <w:r>
        <w:rPr>
          <w:spacing w:val="6"/>
        </w:rPr>
        <w:t>二十五、固原市人民政府关于印发固原市</w:t>
      </w:r>
      <w:r>
        <w:rPr>
          <w:spacing w:val="18"/>
        </w:rPr>
        <w:t>永久性节育手术营养费补贴资金管理办法的</w:t>
      </w:r>
      <w:r>
        <w:rPr>
          <w:spacing w:val="1"/>
        </w:rPr>
        <w:t>通知</w:t>
      </w:r>
      <w:r>
        <w:rPr>
          <w:rFonts w:ascii="KaiTi" w:hAnsi="KaiTi" w:eastAsia="KaiTi" w:cs="KaiTi"/>
          <w:spacing w:val="1"/>
        </w:rPr>
        <w:t>（</w:t>
      </w:r>
      <w:r>
        <w:rPr>
          <w:rFonts w:ascii="KaiTi" w:hAnsi="KaiTi" w:eastAsia="KaiTi" w:cs="KaiTi"/>
          <w:spacing w:val="-23"/>
        </w:rPr>
        <w:t xml:space="preserve"> </w:t>
      </w:r>
      <w:r>
        <w:rPr>
          <w:rFonts w:ascii="KaiTi" w:hAnsi="KaiTi" w:eastAsia="KaiTi" w:cs="KaiTi"/>
          <w:spacing w:val="1"/>
        </w:rPr>
        <w:t>固政发〔2012〕103</w:t>
      </w:r>
      <w:r>
        <w:rPr>
          <w:rFonts w:ascii="KaiTi" w:hAnsi="KaiTi" w:eastAsia="KaiTi" w:cs="KaiTi"/>
          <w:spacing w:val="-33"/>
        </w:rPr>
        <w:t xml:space="preserve"> </w:t>
      </w:r>
      <w:r>
        <w:rPr>
          <w:rFonts w:ascii="KaiTi" w:hAnsi="KaiTi" w:eastAsia="KaiTi" w:cs="KaiTi"/>
          <w:spacing w:val="1"/>
        </w:rPr>
        <w:t>号）</w:t>
      </w:r>
    </w:p>
    <w:p>
      <w:pPr>
        <w:pStyle w:val="BodyText"/>
        <w:ind w:left="43" w:right="326" w:firstLine="419"/>
        <w:spacing w:before="147" w:line="330" w:lineRule="auto"/>
        <w:rPr>
          <w:rFonts w:ascii="KaiTi" w:hAnsi="KaiTi" w:eastAsia="KaiTi" w:cs="KaiTi"/>
        </w:rPr>
      </w:pPr>
      <w:r>
        <w:rPr>
          <w:spacing w:val="6"/>
        </w:rPr>
        <w:t>二十六、固原市人民政府关于印发固原市</w:t>
      </w:r>
      <w:r>
        <w:rPr>
          <w:spacing w:val="3"/>
        </w:rPr>
        <w:t>支持创业小额担保贷款管理办法的通知</w:t>
      </w:r>
      <w:r>
        <w:rPr>
          <w:rFonts w:ascii="KaiTi" w:hAnsi="KaiTi" w:eastAsia="KaiTi" w:cs="KaiTi"/>
          <w:spacing w:val="3"/>
        </w:rPr>
        <w:t>（</w:t>
      </w:r>
      <w:r>
        <w:rPr>
          <w:rFonts w:ascii="KaiTi" w:hAnsi="KaiTi" w:eastAsia="KaiTi" w:cs="KaiTi"/>
          <w:spacing w:val="-17"/>
        </w:rPr>
        <w:t xml:space="preserve"> </w:t>
      </w:r>
      <w:r>
        <w:rPr>
          <w:rFonts w:ascii="KaiTi" w:hAnsi="KaiTi" w:eastAsia="KaiTi" w:cs="KaiTi"/>
          <w:spacing w:val="3"/>
        </w:rPr>
        <w:t>固政</w:t>
      </w:r>
      <w:r>
        <w:rPr>
          <w:rFonts w:ascii="KaiTi" w:hAnsi="KaiTi" w:eastAsia="KaiTi" w:cs="KaiTi"/>
          <w:spacing w:val="3"/>
        </w:rPr>
        <w:t>发〔2012〕109</w:t>
      </w:r>
      <w:r>
        <w:rPr>
          <w:rFonts w:ascii="KaiTi" w:hAnsi="KaiTi" w:eastAsia="KaiTi" w:cs="KaiTi"/>
          <w:spacing w:val="-29"/>
        </w:rPr>
        <w:t xml:space="preserve"> </w:t>
      </w:r>
      <w:r>
        <w:rPr>
          <w:rFonts w:ascii="KaiTi" w:hAnsi="KaiTi" w:eastAsia="KaiTi" w:cs="KaiTi"/>
          <w:spacing w:val="3"/>
        </w:rPr>
        <w:t>号）</w:t>
      </w:r>
    </w:p>
    <w:p>
      <w:pPr>
        <w:pStyle w:val="BodyText"/>
        <w:ind w:left="39" w:right="326" w:firstLine="422"/>
        <w:spacing w:before="147" w:line="329" w:lineRule="auto"/>
        <w:rPr>
          <w:rFonts w:ascii="KaiTi" w:hAnsi="KaiTi" w:eastAsia="KaiTi" w:cs="KaiTi"/>
        </w:rPr>
      </w:pPr>
      <w:r>
        <w:rPr>
          <w:spacing w:val="6"/>
        </w:rPr>
        <w:t>二十七、固原市人民政府关于印发固原市</w:t>
      </w:r>
      <w:r>
        <w:rPr>
          <w:spacing w:val="3"/>
        </w:rPr>
        <w:t>新型融资性机构风险监测评估办法的通知</w:t>
      </w:r>
      <w:r>
        <w:rPr>
          <w:rFonts w:ascii="KaiTi" w:hAnsi="KaiTi" w:eastAsia="KaiTi" w:cs="KaiTi"/>
          <w:spacing w:val="3"/>
        </w:rPr>
        <w:t>（</w:t>
      </w:r>
      <w:r>
        <w:rPr>
          <w:rFonts w:ascii="KaiTi" w:hAnsi="KaiTi" w:eastAsia="KaiTi" w:cs="KaiTi"/>
          <w:spacing w:val="-14"/>
        </w:rPr>
        <w:t xml:space="preserve"> </w:t>
      </w:r>
      <w:r>
        <w:rPr>
          <w:rFonts w:ascii="KaiTi" w:hAnsi="KaiTi" w:eastAsia="KaiTi" w:cs="KaiTi"/>
          <w:spacing w:val="3"/>
        </w:rPr>
        <w:t>固</w:t>
      </w:r>
      <w:r>
        <w:rPr>
          <w:rFonts w:ascii="KaiTi" w:hAnsi="KaiTi" w:eastAsia="KaiTi" w:cs="KaiTi"/>
          <w:spacing w:val="4"/>
        </w:rPr>
        <w:t>政发〔2013〕91</w:t>
      </w:r>
      <w:r>
        <w:rPr>
          <w:rFonts w:ascii="KaiTi" w:hAnsi="KaiTi" w:eastAsia="KaiTi" w:cs="KaiTi"/>
          <w:spacing w:val="-30"/>
        </w:rPr>
        <w:t xml:space="preserve"> </w:t>
      </w:r>
      <w:r>
        <w:rPr>
          <w:rFonts w:ascii="KaiTi" w:hAnsi="KaiTi" w:eastAsia="KaiTi" w:cs="KaiTi"/>
          <w:spacing w:val="4"/>
        </w:rPr>
        <w:t>号）</w:t>
      </w:r>
    </w:p>
    <w:p>
      <w:pPr>
        <w:pStyle w:val="BodyText"/>
        <w:ind w:right="324" w:firstLine="462"/>
        <w:spacing w:before="147" w:line="330" w:lineRule="auto"/>
        <w:rPr>
          <w:rFonts w:ascii="KaiTi" w:hAnsi="KaiTi" w:eastAsia="KaiTi" w:cs="KaiTi"/>
        </w:rPr>
      </w:pPr>
      <w:r>
        <w:rPr>
          <w:spacing w:val="6"/>
        </w:rPr>
        <w:t>二十八、固原市人民政府关于印发固原市</w:t>
      </w:r>
      <w:r>
        <w:rPr>
          <w:rFonts w:ascii="Times New Roman" w:hAnsi="Times New Roman" w:eastAsia="Times New Roman" w:cs="Times New Roman"/>
          <w:spacing w:val="6"/>
        </w:rPr>
        <w:t>“</w:t>
      </w:r>
      <w:r>
        <w:rPr>
          <w:spacing w:val="6"/>
        </w:rPr>
        <w:t>三旧</w:t>
      </w:r>
      <w:r>
        <w:rPr>
          <w:rFonts w:ascii="Times New Roman" w:hAnsi="Times New Roman" w:eastAsia="Times New Roman" w:cs="Times New Roman"/>
          <w:spacing w:val="6"/>
        </w:rPr>
        <w:t>”</w:t>
      </w:r>
      <w:r>
        <w:rPr>
          <w:spacing w:val="6"/>
        </w:rPr>
        <w:t>改造实施办法（试行）的通知</w:t>
      </w:r>
      <w:r>
        <w:rPr>
          <w:rFonts w:ascii="KaiTi" w:hAnsi="KaiTi" w:eastAsia="KaiTi" w:cs="KaiTi"/>
          <w:spacing w:val="6"/>
        </w:rPr>
        <w:t>（</w:t>
      </w:r>
      <w:r>
        <w:rPr>
          <w:rFonts w:ascii="KaiTi" w:hAnsi="KaiTi" w:eastAsia="KaiTi" w:cs="KaiTi"/>
          <w:spacing w:val="-15"/>
        </w:rPr>
        <w:t xml:space="preserve"> </w:t>
      </w:r>
      <w:r>
        <w:rPr>
          <w:rFonts w:ascii="KaiTi" w:hAnsi="KaiTi" w:eastAsia="KaiTi" w:cs="KaiTi"/>
          <w:spacing w:val="6"/>
        </w:rPr>
        <w:t>固政发</w:t>
      </w:r>
      <w:r>
        <w:rPr>
          <w:rFonts w:ascii="KaiTi" w:hAnsi="KaiTi" w:eastAsia="KaiTi" w:cs="KaiTi"/>
          <w:spacing w:val="7"/>
        </w:rPr>
        <w:t>〔2013〕93</w:t>
      </w:r>
      <w:r>
        <w:rPr>
          <w:rFonts w:ascii="KaiTi" w:hAnsi="KaiTi" w:eastAsia="KaiTi" w:cs="KaiTi"/>
          <w:spacing w:val="-32"/>
        </w:rPr>
        <w:t xml:space="preserve"> </w:t>
      </w:r>
      <w:r>
        <w:rPr>
          <w:rFonts w:ascii="KaiTi" w:hAnsi="KaiTi" w:eastAsia="KaiTi" w:cs="KaiTi"/>
          <w:spacing w:val="7"/>
        </w:rPr>
        <w:t>号）</w:t>
      </w:r>
    </w:p>
    <w:p>
      <w:pPr>
        <w:pStyle w:val="BodyText"/>
        <w:ind w:left="33" w:right="326" w:firstLine="429"/>
        <w:spacing w:before="148" w:line="329" w:lineRule="auto"/>
        <w:rPr>
          <w:rFonts w:ascii="KaiTi" w:hAnsi="KaiTi" w:eastAsia="KaiTi" w:cs="KaiTi"/>
        </w:rPr>
      </w:pPr>
      <w:r>
        <w:rPr>
          <w:spacing w:val="6"/>
        </w:rPr>
        <w:t>二十九、固原市人民政府办公室关于实施</w:t>
      </w:r>
      <w:r>
        <w:rPr>
          <w:spacing w:val="18"/>
        </w:rPr>
        <w:t>国家第四阶段机动车污染物排放标准的通知</w:t>
      </w:r>
      <w:r>
        <w:rPr>
          <w:rFonts w:ascii="KaiTi" w:hAnsi="KaiTi" w:eastAsia="KaiTi" w:cs="KaiTi"/>
          <w:spacing w:val="1"/>
        </w:rPr>
        <w:t>（</w:t>
      </w:r>
      <w:r>
        <w:rPr>
          <w:rFonts w:ascii="KaiTi" w:hAnsi="KaiTi" w:eastAsia="KaiTi" w:cs="KaiTi"/>
          <w:spacing w:val="-25"/>
        </w:rPr>
        <w:t xml:space="preserve"> </w:t>
      </w:r>
      <w:r>
        <w:rPr>
          <w:rFonts w:ascii="KaiTi" w:hAnsi="KaiTi" w:eastAsia="KaiTi" w:cs="KaiTi"/>
          <w:spacing w:val="1"/>
        </w:rPr>
        <w:t>固政办发〔2013〕99</w:t>
      </w:r>
      <w:r>
        <w:rPr>
          <w:rFonts w:ascii="KaiTi" w:hAnsi="KaiTi" w:eastAsia="KaiTi" w:cs="KaiTi"/>
          <w:spacing w:val="-34"/>
        </w:rPr>
        <w:t xml:space="preserve"> </w:t>
      </w:r>
      <w:r>
        <w:rPr>
          <w:rFonts w:ascii="KaiTi" w:hAnsi="KaiTi" w:eastAsia="KaiTi" w:cs="KaiTi"/>
          <w:spacing w:val="1"/>
        </w:rPr>
        <w:t>号）</w:t>
      </w:r>
    </w:p>
    <w:p>
      <w:pPr>
        <w:pStyle w:val="BodyText"/>
        <w:ind w:left="41" w:right="326" w:firstLine="423"/>
        <w:spacing w:before="147" w:line="319" w:lineRule="auto"/>
        <w:rPr>
          <w:rFonts w:ascii="KaiTi" w:hAnsi="KaiTi" w:eastAsia="KaiTi" w:cs="KaiTi"/>
        </w:rPr>
      </w:pPr>
      <w:r>
        <w:rPr>
          <w:spacing w:val="6"/>
        </w:rPr>
        <w:t>三十、固原市人民政府办公室关于市区新</w:t>
      </w:r>
      <w:r>
        <w:rPr>
          <w:spacing w:val="18"/>
        </w:rPr>
        <w:t>建及既有居住小区天然气设施配套建设有关</w:t>
      </w:r>
      <w:r>
        <w:rPr>
          <w:spacing w:val="3"/>
        </w:rPr>
        <w:t>事项的通知</w:t>
      </w:r>
      <w:r>
        <w:rPr>
          <w:rFonts w:ascii="KaiTi" w:hAnsi="KaiTi" w:eastAsia="KaiTi" w:cs="KaiTi"/>
          <w:spacing w:val="3"/>
        </w:rPr>
        <w:t>（</w:t>
      </w:r>
      <w:r>
        <w:rPr>
          <w:rFonts w:ascii="KaiTi" w:hAnsi="KaiTi" w:eastAsia="KaiTi" w:cs="KaiTi"/>
          <w:spacing w:val="-27"/>
        </w:rPr>
        <w:t xml:space="preserve"> </w:t>
      </w:r>
      <w:r>
        <w:rPr>
          <w:rFonts w:ascii="KaiTi" w:hAnsi="KaiTi" w:eastAsia="KaiTi" w:cs="KaiTi"/>
          <w:spacing w:val="3"/>
        </w:rPr>
        <w:t>固政办发〔2013〕93</w:t>
      </w:r>
      <w:r>
        <w:rPr>
          <w:rFonts w:ascii="KaiTi" w:hAnsi="KaiTi" w:eastAsia="KaiTi" w:cs="KaiTi"/>
          <w:spacing w:val="-36"/>
        </w:rPr>
        <w:t xml:space="preserve"> </w:t>
      </w:r>
      <w:r>
        <w:rPr>
          <w:rFonts w:ascii="KaiTi" w:hAnsi="KaiTi" w:eastAsia="KaiTi" w:cs="KaiTi"/>
          <w:spacing w:val="3"/>
        </w:rPr>
        <w:t>号）</w:t>
      </w:r>
    </w:p>
    <w:p>
      <w:pPr>
        <w:spacing w:line="14" w:lineRule="auto"/>
        <w:rPr>
          <w:rFonts w:ascii="Arial"/>
          <w:sz w:val="2"/>
        </w:rPr>
      </w:pPr>
      <w:r>
        <w:rPr>
          <w:rFonts w:ascii="Arial" w:hAnsi="Arial" w:eastAsia="Arial" w:cs="Arial"/>
          <w:sz w:val="2"/>
          <w:szCs w:val="2"/>
        </w:rPr>
        <w:br w:type="column"/>
      </w:r>
    </w:p>
    <w:p>
      <w:pPr>
        <w:pStyle w:val="BodyText"/>
        <w:ind w:left="5" w:right="114" w:firstLine="422"/>
        <w:spacing w:before="49" w:line="329" w:lineRule="auto"/>
        <w:rPr>
          <w:rFonts w:ascii="KaiTi" w:hAnsi="KaiTi" w:eastAsia="KaiTi" w:cs="KaiTi"/>
        </w:rPr>
      </w:pPr>
      <w:r>
        <w:rPr>
          <w:spacing w:val="6"/>
        </w:rPr>
        <w:t>三十一、固原市人民政府关于印发固原市</w:t>
      </w:r>
      <w:r>
        <w:rPr>
          <w:spacing w:val="3"/>
        </w:rPr>
        <w:t>统筹城乡居民大病保险实施办法的通知</w:t>
      </w:r>
      <w:r>
        <w:rPr>
          <w:rFonts w:ascii="KaiTi" w:hAnsi="KaiTi" w:eastAsia="KaiTi" w:cs="KaiTi"/>
          <w:spacing w:val="3"/>
        </w:rPr>
        <w:t>（</w:t>
      </w:r>
      <w:r>
        <w:rPr>
          <w:rFonts w:ascii="KaiTi" w:hAnsi="KaiTi" w:eastAsia="KaiTi" w:cs="KaiTi"/>
          <w:spacing w:val="-17"/>
        </w:rPr>
        <w:t xml:space="preserve"> </w:t>
      </w:r>
      <w:r>
        <w:rPr>
          <w:rFonts w:ascii="KaiTi" w:hAnsi="KaiTi" w:eastAsia="KaiTi" w:cs="KaiTi"/>
          <w:spacing w:val="3"/>
        </w:rPr>
        <w:t>固政</w:t>
      </w:r>
      <w:r>
        <w:rPr>
          <w:rFonts w:ascii="KaiTi" w:hAnsi="KaiTi" w:eastAsia="KaiTi" w:cs="KaiTi"/>
          <w:spacing w:val="3"/>
        </w:rPr>
        <w:t>发〔2013〕124</w:t>
      </w:r>
      <w:r>
        <w:rPr>
          <w:rFonts w:ascii="KaiTi" w:hAnsi="KaiTi" w:eastAsia="KaiTi" w:cs="KaiTi"/>
          <w:spacing w:val="-26"/>
        </w:rPr>
        <w:t xml:space="preserve"> </w:t>
      </w:r>
      <w:r>
        <w:rPr>
          <w:rFonts w:ascii="KaiTi" w:hAnsi="KaiTi" w:eastAsia="KaiTi" w:cs="KaiTi"/>
          <w:spacing w:val="3"/>
        </w:rPr>
        <w:t>号）</w:t>
      </w:r>
    </w:p>
    <w:p>
      <w:pPr>
        <w:pStyle w:val="BodyText"/>
        <w:ind w:left="5" w:right="114" w:firstLine="423"/>
        <w:spacing w:before="147" w:line="329" w:lineRule="auto"/>
        <w:rPr>
          <w:rFonts w:ascii="KaiTi" w:hAnsi="KaiTi" w:eastAsia="KaiTi" w:cs="KaiTi"/>
        </w:rPr>
      </w:pPr>
      <w:r>
        <w:rPr>
          <w:spacing w:val="6"/>
        </w:rPr>
        <w:t>三十二、固原市人民政府关于印发固原市</w:t>
      </w:r>
      <w:r>
        <w:rPr>
          <w:spacing w:val="18"/>
        </w:rPr>
        <w:t>政府投资项目工程招标控制价审计暂行办法</w:t>
      </w:r>
      <w:r>
        <w:rPr>
          <w:spacing w:val="1"/>
        </w:rPr>
        <w:t>的通知</w:t>
      </w:r>
      <w:r>
        <w:rPr>
          <w:rFonts w:ascii="KaiTi" w:hAnsi="KaiTi" w:eastAsia="KaiTi" w:cs="KaiTi"/>
          <w:spacing w:val="1"/>
        </w:rPr>
        <w:t>（</w:t>
      </w:r>
      <w:r>
        <w:rPr>
          <w:rFonts w:ascii="KaiTi" w:hAnsi="KaiTi" w:eastAsia="KaiTi" w:cs="KaiTi"/>
          <w:spacing w:val="-16"/>
        </w:rPr>
        <w:t xml:space="preserve"> </w:t>
      </w:r>
      <w:r>
        <w:rPr>
          <w:rFonts w:ascii="KaiTi" w:hAnsi="KaiTi" w:eastAsia="KaiTi" w:cs="KaiTi"/>
          <w:spacing w:val="1"/>
        </w:rPr>
        <w:t>固政发〔2013〕132</w:t>
      </w:r>
      <w:r>
        <w:rPr>
          <w:rFonts w:ascii="KaiTi" w:hAnsi="KaiTi" w:eastAsia="KaiTi" w:cs="KaiTi"/>
          <w:spacing w:val="-32"/>
        </w:rPr>
        <w:t xml:space="preserve"> </w:t>
      </w:r>
      <w:r>
        <w:rPr>
          <w:rFonts w:ascii="KaiTi" w:hAnsi="KaiTi" w:eastAsia="KaiTi" w:cs="KaiTi"/>
          <w:spacing w:val="1"/>
        </w:rPr>
        <w:t>号）</w:t>
      </w:r>
    </w:p>
    <w:p>
      <w:pPr>
        <w:pStyle w:val="BodyText"/>
        <w:ind w:right="114" w:firstLine="428"/>
        <w:spacing w:before="149" w:line="329" w:lineRule="auto"/>
        <w:rPr>
          <w:rFonts w:ascii="KaiTi" w:hAnsi="KaiTi" w:eastAsia="KaiTi" w:cs="KaiTi"/>
        </w:rPr>
      </w:pPr>
      <w:r>
        <w:rPr>
          <w:spacing w:val="6"/>
        </w:rPr>
        <w:t>三十三、固原市人民政府关于印发固原市</w:t>
      </w:r>
      <w:r>
        <w:rPr>
          <w:spacing w:val="23"/>
        </w:rPr>
        <w:t>区公共租赁住房管理办法的通知</w:t>
      </w:r>
      <w:r>
        <w:rPr>
          <w:rFonts w:ascii="KaiTi" w:hAnsi="KaiTi" w:eastAsia="KaiTi" w:cs="KaiTi"/>
          <w:spacing w:val="23"/>
        </w:rPr>
        <w:t>（</w:t>
      </w:r>
      <w:r>
        <w:rPr>
          <w:rFonts w:ascii="KaiTi" w:hAnsi="KaiTi" w:eastAsia="KaiTi" w:cs="KaiTi"/>
          <w:spacing w:val="23"/>
        </w:rPr>
        <w:t xml:space="preserve"> </w:t>
      </w:r>
      <w:r>
        <w:rPr>
          <w:rFonts w:ascii="KaiTi" w:hAnsi="KaiTi" w:eastAsia="KaiTi" w:cs="KaiTi"/>
          <w:spacing w:val="23"/>
        </w:rPr>
        <w:t>固政发</w:t>
      </w:r>
      <w:r>
        <w:rPr>
          <w:rFonts w:ascii="KaiTi" w:hAnsi="KaiTi" w:eastAsia="KaiTi" w:cs="KaiTi"/>
          <w:spacing w:val="3"/>
        </w:rPr>
        <w:t>〔2013〕144</w:t>
      </w:r>
      <w:r>
        <w:rPr>
          <w:rFonts w:ascii="KaiTi" w:hAnsi="KaiTi" w:eastAsia="KaiTi" w:cs="KaiTi"/>
          <w:spacing w:val="-29"/>
        </w:rPr>
        <w:t xml:space="preserve"> </w:t>
      </w:r>
      <w:r>
        <w:rPr>
          <w:rFonts w:ascii="KaiTi" w:hAnsi="KaiTi" w:eastAsia="KaiTi" w:cs="KaiTi"/>
          <w:spacing w:val="3"/>
        </w:rPr>
        <w:t>号）</w:t>
      </w:r>
    </w:p>
    <w:p>
      <w:pPr>
        <w:pStyle w:val="BodyText"/>
        <w:ind w:left="3" w:right="114" w:firstLine="424"/>
        <w:spacing w:before="147" w:line="329" w:lineRule="auto"/>
        <w:rPr>
          <w:rFonts w:ascii="KaiTi" w:hAnsi="KaiTi" w:eastAsia="KaiTi" w:cs="KaiTi"/>
        </w:rPr>
      </w:pPr>
      <w:r>
        <w:rPr>
          <w:spacing w:val="6"/>
        </w:rPr>
        <w:t>三十四、固原市人民政府关于印发固原市</w:t>
      </w:r>
      <w:r>
        <w:rPr>
          <w:spacing w:val="18"/>
        </w:rPr>
        <w:t>行政机关负责人出庭应诉工作暂行办法的通</w:t>
      </w:r>
      <w:r>
        <w:rPr/>
        <w:t>知</w:t>
      </w:r>
      <w:r>
        <w:rPr>
          <w:rFonts w:ascii="KaiTi" w:hAnsi="KaiTi" w:eastAsia="KaiTi" w:cs="KaiTi"/>
        </w:rPr>
        <w:t>（</w:t>
      </w:r>
      <w:r>
        <w:rPr>
          <w:rFonts w:ascii="KaiTi" w:hAnsi="KaiTi" w:eastAsia="KaiTi" w:cs="KaiTi"/>
          <w:spacing w:val="-18"/>
        </w:rPr>
        <w:t xml:space="preserve"> </w:t>
      </w:r>
      <w:r>
        <w:rPr>
          <w:rFonts w:ascii="KaiTi" w:hAnsi="KaiTi" w:eastAsia="KaiTi" w:cs="KaiTi"/>
        </w:rPr>
        <w:t>固政发〔2014〕35</w:t>
      </w:r>
      <w:r>
        <w:rPr>
          <w:rFonts w:ascii="KaiTi" w:hAnsi="KaiTi" w:eastAsia="KaiTi" w:cs="KaiTi"/>
          <w:spacing w:val="-33"/>
        </w:rPr>
        <w:t xml:space="preserve"> </w:t>
      </w:r>
      <w:r>
        <w:rPr>
          <w:rFonts w:ascii="KaiTi" w:hAnsi="KaiTi" w:eastAsia="KaiTi" w:cs="KaiTi"/>
        </w:rPr>
        <w:t>号）</w:t>
      </w:r>
    </w:p>
    <w:p>
      <w:pPr>
        <w:pStyle w:val="BodyText"/>
        <w:ind w:left="5" w:right="4" w:firstLine="423"/>
        <w:spacing w:before="151" w:line="306" w:lineRule="auto"/>
        <w:rPr>
          <w:rFonts w:ascii="KaiTi" w:hAnsi="KaiTi" w:eastAsia="KaiTi" w:cs="KaiTi"/>
        </w:rPr>
      </w:pPr>
      <w:r>
        <w:rPr>
          <w:spacing w:val="6"/>
        </w:rPr>
        <w:t>三十五、固原市人民政府关于印发固原市</w:t>
      </w:r>
      <w:r>
        <w:rPr/>
        <w:t>政务公开制度的通知</w:t>
      </w:r>
      <w:r>
        <w:rPr>
          <w:rFonts w:ascii="KaiTi" w:hAnsi="KaiTi" w:eastAsia="KaiTi" w:cs="KaiTi"/>
        </w:rPr>
        <w:t>（</w:t>
      </w:r>
      <w:r>
        <w:rPr>
          <w:rFonts w:ascii="KaiTi" w:hAnsi="KaiTi" w:eastAsia="KaiTi" w:cs="KaiTi"/>
          <w:spacing w:val="-13"/>
        </w:rPr>
        <w:t xml:space="preserve"> </w:t>
      </w:r>
      <w:r>
        <w:rPr>
          <w:rFonts w:ascii="KaiTi" w:hAnsi="KaiTi" w:eastAsia="KaiTi" w:cs="KaiTi"/>
        </w:rPr>
        <w:t>固政发〔2014〕105</w:t>
      </w:r>
      <w:r>
        <w:rPr>
          <w:rFonts w:ascii="KaiTi" w:hAnsi="KaiTi" w:eastAsia="KaiTi" w:cs="KaiTi"/>
          <w:spacing w:val="-33"/>
        </w:rPr>
        <w:t xml:space="preserve"> </w:t>
      </w:r>
      <w:r>
        <w:rPr>
          <w:rFonts w:ascii="KaiTi" w:hAnsi="KaiTi" w:eastAsia="KaiTi" w:cs="KaiTi"/>
        </w:rPr>
        <w:t>号）</w:t>
      </w:r>
    </w:p>
    <w:p>
      <w:pPr>
        <w:pStyle w:val="BodyText"/>
        <w:ind w:left="5" w:right="114" w:firstLine="423"/>
        <w:spacing w:before="147" w:line="329" w:lineRule="auto"/>
        <w:rPr>
          <w:rFonts w:ascii="KaiTi" w:hAnsi="KaiTi" w:eastAsia="KaiTi" w:cs="KaiTi"/>
        </w:rPr>
      </w:pPr>
      <w:r>
        <w:rPr>
          <w:spacing w:val="6"/>
        </w:rPr>
        <w:t>三十六、固原市人民政府关于印发固原市</w:t>
      </w:r>
      <w:r>
        <w:rPr>
          <w:spacing w:val="3"/>
        </w:rPr>
        <w:t>政府性资金审计监督办法（试行）的通知</w:t>
      </w:r>
      <w:r>
        <w:rPr>
          <w:rFonts w:ascii="KaiTi" w:hAnsi="KaiTi" w:eastAsia="KaiTi" w:cs="KaiTi"/>
          <w:spacing w:val="3"/>
        </w:rPr>
        <w:t>（</w:t>
      </w:r>
      <w:r>
        <w:rPr>
          <w:rFonts w:ascii="KaiTi" w:hAnsi="KaiTi" w:eastAsia="KaiTi" w:cs="KaiTi"/>
          <w:spacing w:val="-17"/>
        </w:rPr>
        <w:t xml:space="preserve"> </w:t>
      </w:r>
      <w:r>
        <w:rPr>
          <w:rFonts w:ascii="KaiTi" w:hAnsi="KaiTi" w:eastAsia="KaiTi" w:cs="KaiTi"/>
          <w:spacing w:val="3"/>
        </w:rPr>
        <w:t>固</w:t>
      </w:r>
      <w:r>
        <w:rPr>
          <w:rFonts w:ascii="KaiTi" w:hAnsi="KaiTi" w:eastAsia="KaiTi" w:cs="KaiTi"/>
          <w:spacing w:val="4"/>
        </w:rPr>
        <w:t>政发〔2014〕106</w:t>
      </w:r>
      <w:r>
        <w:rPr>
          <w:rFonts w:ascii="KaiTi" w:hAnsi="KaiTi" w:eastAsia="KaiTi" w:cs="KaiTi"/>
          <w:spacing w:val="-33"/>
        </w:rPr>
        <w:t xml:space="preserve"> </w:t>
      </w:r>
      <w:r>
        <w:rPr>
          <w:rFonts w:ascii="KaiTi" w:hAnsi="KaiTi" w:eastAsia="KaiTi" w:cs="KaiTi"/>
          <w:spacing w:val="4"/>
        </w:rPr>
        <w:t>号）</w:t>
      </w:r>
    </w:p>
    <w:p>
      <w:pPr>
        <w:pStyle w:val="BodyText"/>
        <w:ind w:left="5" w:right="114" w:firstLine="423"/>
        <w:spacing w:before="147" w:line="330" w:lineRule="auto"/>
        <w:rPr>
          <w:rFonts w:ascii="KaiTi" w:hAnsi="KaiTi" w:eastAsia="KaiTi" w:cs="KaiTi"/>
        </w:rPr>
      </w:pPr>
      <w:r>
        <w:rPr>
          <w:spacing w:val="6"/>
        </w:rPr>
        <w:t>三十七、固原市人民政府关于印发固原市</w:t>
      </w:r>
      <w:r>
        <w:rPr>
          <w:spacing w:val="3"/>
        </w:rPr>
        <w:t>城市规划建设管理办法（试行）的通知</w:t>
      </w:r>
      <w:r>
        <w:rPr>
          <w:rFonts w:ascii="KaiTi" w:hAnsi="KaiTi" w:eastAsia="KaiTi" w:cs="KaiTi"/>
          <w:spacing w:val="3"/>
        </w:rPr>
        <w:t>（</w:t>
      </w:r>
      <w:r>
        <w:rPr>
          <w:rFonts w:ascii="KaiTi" w:hAnsi="KaiTi" w:eastAsia="KaiTi" w:cs="KaiTi"/>
          <w:spacing w:val="-17"/>
        </w:rPr>
        <w:t xml:space="preserve"> </w:t>
      </w:r>
      <w:r>
        <w:rPr>
          <w:rFonts w:ascii="KaiTi" w:hAnsi="KaiTi" w:eastAsia="KaiTi" w:cs="KaiTi"/>
          <w:spacing w:val="3"/>
        </w:rPr>
        <w:t>固政</w:t>
      </w:r>
      <w:r>
        <w:rPr>
          <w:rFonts w:ascii="KaiTi" w:hAnsi="KaiTi" w:eastAsia="KaiTi" w:cs="KaiTi"/>
          <w:spacing w:val="4"/>
        </w:rPr>
        <w:t>发〔2015〕9</w:t>
      </w:r>
      <w:r>
        <w:rPr>
          <w:rFonts w:ascii="KaiTi" w:hAnsi="KaiTi" w:eastAsia="KaiTi" w:cs="KaiTi"/>
          <w:spacing w:val="-34"/>
        </w:rPr>
        <w:t xml:space="preserve"> </w:t>
      </w:r>
      <w:r>
        <w:rPr>
          <w:rFonts w:ascii="KaiTi" w:hAnsi="KaiTi" w:eastAsia="KaiTi" w:cs="KaiTi"/>
          <w:spacing w:val="4"/>
        </w:rPr>
        <w:t>号）</w:t>
      </w:r>
    </w:p>
    <w:p>
      <w:pPr>
        <w:pStyle w:val="BodyText"/>
        <w:ind w:left="7" w:firstLine="420"/>
        <w:spacing w:before="148" w:line="306" w:lineRule="auto"/>
        <w:rPr>
          <w:rFonts w:ascii="KaiTi" w:hAnsi="KaiTi" w:eastAsia="KaiTi" w:cs="KaiTi"/>
        </w:rPr>
      </w:pPr>
      <w:r>
        <w:rPr>
          <w:spacing w:val="6"/>
        </w:rPr>
        <w:t>三十八、固原市人民政府关于印发固原市</w:t>
      </w:r>
      <w:r>
        <w:rPr>
          <w:spacing w:val="-11"/>
        </w:rPr>
        <w:t>物业管理实施细则的通知</w:t>
      </w:r>
      <w:r>
        <w:rPr>
          <w:rFonts w:ascii="KaiTi" w:hAnsi="KaiTi" w:eastAsia="KaiTi" w:cs="KaiTi"/>
          <w:spacing w:val="-11"/>
        </w:rPr>
        <w:t>（</w:t>
      </w:r>
      <w:r>
        <w:rPr>
          <w:rFonts w:ascii="KaiTi" w:hAnsi="KaiTi" w:eastAsia="KaiTi" w:cs="KaiTi"/>
          <w:spacing w:val="-26"/>
        </w:rPr>
        <w:t xml:space="preserve"> </w:t>
      </w:r>
      <w:r>
        <w:rPr>
          <w:rFonts w:ascii="KaiTi" w:hAnsi="KaiTi" w:eastAsia="KaiTi" w:cs="KaiTi"/>
          <w:spacing w:val="-11"/>
        </w:rPr>
        <w:t>固政发〔2015〕19</w:t>
      </w:r>
      <w:r>
        <w:rPr>
          <w:rFonts w:ascii="KaiTi" w:hAnsi="KaiTi" w:eastAsia="KaiTi" w:cs="KaiTi"/>
          <w:spacing w:val="-43"/>
        </w:rPr>
        <w:t xml:space="preserve"> </w:t>
      </w:r>
      <w:r>
        <w:rPr>
          <w:rFonts w:ascii="KaiTi" w:hAnsi="KaiTi" w:eastAsia="KaiTi" w:cs="KaiTi"/>
          <w:spacing w:val="-11"/>
        </w:rPr>
        <w:t>号）</w:t>
      </w:r>
    </w:p>
    <w:p>
      <w:pPr>
        <w:pStyle w:val="BodyText"/>
        <w:ind w:right="114" w:firstLine="428"/>
        <w:spacing w:before="146" w:line="348" w:lineRule="auto"/>
        <w:rPr>
          <w:rFonts w:ascii="KaiTi" w:hAnsi="KaiTi" w:eastAsia="KaiTi" w:cs="KaiTi"/>
        </w:rPr>
      </w:pPr>
      <w:r>
        <w:rPr>
          <w:spacing w:val="6"/>
        </w:rPr>
        <w:t>三十九、固原市人民政府关于印发固原市</w:t>
      </w:r>
      <w:r>
        <w:rPr>
          <w:spacing w:val="11"/>
        </w:rPr>
        <w:t>人民政府领导班子调查研究工作制度</w:t>
      </w:r>
      <w:r>
        <w:rPr>
          <w:spacing w:val="40"/>
        </w:rPr>
        <w:t xml:space="preserve"> </w:t>
      </w:r>
      <w:r>
        <w:rPr>
          <w:spacing w:val="11"/>
        </w:rPr>
        <w:t>固原市</w:t>
      </w:r>
      <w:r>
        <w:rPr>
          <w:spacing w:val="16"/>
        </w:rPr>
        <w:t>人民政府重大行政决策程序规定</w:t>
      </w:r>
      <w:r>
        <w:rPr>
          <w:spacing w:val="30"/>
        </w:rPr>
        <w:t xml:space="preserve">  </w:t>
      </w:r>
      <w:r>
        <w:rPr>
          <w:spacing w:val="16"/>
        </w:rPr>
        <w:t>固原市人</w:t>
      </w:r>
      <w:r>
        <w:rPr>
          <w:spacing w:val="23"/>
        </w:rPr>
        <w:t>民政府行政效能问责办法的通知</w:t>
      </w:r>
      <w:r>
        <w:rPr>
          <w:rFonts w:ascii="KaiTi" w:hAnsi="KaiTi" w:eastAsia="KaiTi" w:cs="KaiTi"/>
          <w:spacing w:val="23"/>
        </w:rPr>
        <w:t>（</w:t>
      </w:r>
      <w:r>
        <w:rPr>
          <w:rFonts w:ascii="KaiTi" w:hAnsi="KaiTi" w:eastAsia="KaiTi" w:cs="KaiTi"/>
          <w:spacing w:val="23"/>
        </w:rPr>
        <w:t xml:space="preserve"> </w:t>
      </w:r>
      <w:r>
        <w:rPr>
          <w:rFonts w:ascii="KaiTi" w:hAnsi="KaiTi" w:eastAsia="KaiTi" w:cs="KaiTi"/>
          <w:spacing w:val="23"/>
        </w:rPr>
        <w:t>固政发</w:t>
      </w:r>
      <w:r>
        <w:rPr>
          <w:rFonts w:ascii="KaiTi" w:hAnsi="KaiTi" w:eastAsia="KaiTi" w:cs="KaiTi"/>
          <w:spacing w:val="3"/>
        </w:rPr>
        <w:t>〔2015〕28</w:t>
      </w:r>
      <w:r>
        <w:rPr>
          <w:rFonts w:ascii="KaiTi" w:hAnsi="KaiTi" w:eastAsia="KaiTi" w:cs="KaiTi"/>
          <w:spacing w:val="-27"/>
        </w:rPr>
        <w:t xml:space="preserve"> </w:t>
      </w:r>
      <w:r>
        <w:rPr>
          <w:rFonts w:ascii="KaiTi" w:hAnsi="KaiTi" w:eastAsia="KaiTi" w:cs="KaiTi"/>
          <w:spacing w:val="3"/>
        </w:rPr>
        <w:t>号）</w:t>
      </w:r>
    </w:p>
    <w:p>
      <w:pPr>
        <w:pStyle w:val="BodyText"/>
        <w:ind w:left="2" w:right="114" w:firstLine="443"/>
        <w:spacing w:before="147" w:line="329" w:lineRule="auto"/>
        <w:rPr>
          <w:rFonts w:ascii="KaiTi" w:hAnsi="KaiTi" w:eastAsia="KaiTi" w:cs="KaiTi"/>
        </w:rPr>
      </w:pPr>
      <w:r>
        <w:rPr>
          <w:spacing w:val="5"/>
        </w:rPr>
        <w:t>四十、固原市人民政府关于印发固原市工</w:t>
      </w:r>
      <w:r>
        <w:rPr>
          <w:spacing w:val="18"/>
        </w:rPr>
        <w:t>业创新发展扶持奖励资金使用管理暂行办法</w:t>
      </w:r>
      <w:r>
        <w:rPr>
          <w:spacing w:val="1"/>
        </w:rPr>
        <w:t>的通知</w:t>
      </w:r>
      <w:r>
        <w:rPr>
          <w:rFonts w:ascii="KaiTi" w:hAnsi="KaiTi" w:eastAsia="KaiTi" w:cs="KaiTi"/>
          <w:spacing w:val="1"/>
        </w:rPr>
        <w:t>（</w:t>
      </w:r>
      <w:r>
        <w:rPr>
          <w:rFonts w:ascii="KaiTi" w:hAnsi="KaiTi" w:eastAsia="KaiTi" w:cs="KaiTi"/>
          <w:spacing w:val="-14"/>
        </w:rPr>
        <w:t xml:space="preserve"> </w:t>
      </w:r>
      <w:r>
        <w:rPr>
          <w:rFonts w:ascii="KaiTi" w:hAnsi="KaiTi" w:eastAsia="KaiTi" w:cs="KaiTi"/>
          <w:spacing w:val="1"/>
        </w:rPr>
        <w:t>固政发〔2015〕35</w:t>
      </w:r>
      <w:r>
        <w:rPr>
          <w:rFonts w:ascii="KaiTi" w:hAnsi="KaiTi" w:eastAsia="KaiTi" w:cs="KaiTi"/>
          <w:spacing w:val="-34"/>
        </w:rPr>
        <w:t xml:space="preserve"> </w:t>
      </w:r>
      <w:r>
        <w:rPr>
          <w:rFonts w:ascii="KaiTi" w:hAnsi="KaiTi" w:eastAsia="KaiTi" w:cs="KaiTi"/>
          <w:spacing w:val="1"/>
        </w:rPr>
        <w:t>号）</w:t>
      </w:r>
    </w:p>
    <w:p>
      <w:pPr>
        <w:pStyle w:val="BodyText"/>
        <w:ind w:left="5" w:right="114" w:firstLine="441"/>
        <w:spacing w:before="148" w:line="291" w:lineRule="auto"/>
        <w:rPr/>
      </w:pPr>
      <w:r>
        <w:rPr>
          <w:spacing w:val="5"/>
        </w:rPr>
        <w:t>四十一、固原市人民政府关于印发固原市</w:t>
      </w:r>
      <w:r>
        <w:rPr>
          <w:spacing w:val="18"/>
        </w:rPr>
        <w:t>下放互联网上网服务营业场所设立许可权限</w:t>
      </w:r>
    </w:p>
    <w:p>
      <w:pPr>
        <w:spacing w:line="291" w:lineRule="auto"/>
        <w:sectPr>
          <w:type w:val="continuous"/>
          <w:pgSz w:w="11906" w:h="16839"/>
          <w:pgMar w:top="1766" w:right="1475" w:bottom="1563" w:left="1551" w:header="1428" w:footer="1172" w:gutter="0"/>
          <w:cols w:equalWidth="0" w:num="2">
            <w:col w:w="4514" w:space="100"/>
            <w:col w:w="4265" w:space="0"/>
          </w:cols>
        </w:sectPr>
        <w:rPr/>
      </w:pPr>
    </w:p>
    <w:p>
      <w:pPr>
        <w:spacing w:before="70"/>
        <w:rPr/>
      </w:pPr>
      <w:r/>
    </w:p>
    <w:p>
      <w:pPr>
        <w:sectPr>
          <w:headerReference w:type="default" r:id="rId558"/>
          <w:footerReference w:type="default" r:id="rId559"/>
          <w:pgSz w:w="11906" w:h="16839"/>
          <w:pgMar w:top="1769" w:right="1480" w:bottom="1570" w:left="1584" w:header="1428" w:footer="1172" w:gutter="0"/>
          <w:cols w:equalWidth="0" w:num="1">
            <w:col w:w="8842" w:space="0"/>
          </w:cols>
        </w:sectPr>
        <w:rPr/>
      </w:pPr>
    </w:p>
    <w:p>
      <w:pPr>
        <w:pStyle w:val="BodyText"/>
        <w:ind w:left="25"/>
        <w:spacing w:before="45" w:line="263" w:lineRule="exact"/>
        <w:rPr>
          <w:rFonts w:ascii="KaiTi" w:hAnsi="KaiTi" w:eastAsia="KaiTi" w:cs="KaiTi"/>
        </w:rPr>
      </w:pPr>
      <w:r>
        <w:rPr>
          <w:spacing w:val="2"/>
          <w:position w:val="1"/>
        </w:rPr>
        <w:t>的意见的通知</w:t>
      </w:r>
      <w:r>
        <w:rPr>
          <w:rFonts w:ascii="KaiTi" w:hAnsi="KaiTi" w:eastAsia="KaiTi" w:cs="KaiTi"/>
          <w:spacing w:val="2"/>
          <w:position w:val="1"/>
        </w:rPr>
        <w:t>（</w:t>
      </w:r>
      <w:r>
        <w:rPr>
          <w:rFonts w:ascii="KaiTi" w:hAnsi="KaiTi" w:eastAsia="KaiTi" w:cs="KaiTi"/>
          <w:spacing w:val="-24"/>
          <w:position w:val="1"/>
        </w:rPr>
        <w:t xml:space="preserve"> </w:t>
      </w:r>
      <w:r>
        <w:rPr>
          <w:rFonts w:ascii="KaiTi" w:hAnsi="KaiTi" w:eastAsia="KaiTi" w:cs="KaiTi"/>
          <w:spacing w:val="2"/>
          <w:position w:val="1"/>
        </w:rPr>
        <w:t>固政发〔2015〕55</w:t>
      </w:r>
      <w:r>
        <w:rPr>
          <w:rFonts w:ascii="KaiTi" w:hAnsi="KaiTi" w:eastAsia="KaiTi" w:cs="KaiTi"/>
          <w:spacing w:val="-37"/>
          <w:position w:val="1"/>
        </w:rPr>
        <w:t xml:space="preserve"> </w:t>
      </w:r>
      <w:r>
        <w:rPr>
          <w:rFonts w:ascii="KaiTi" w:hAnsi="KaiTi" w:eastAsia="KaiTi" w:cs="KaiTi"/>
          <w:spacing w:val="2"/>
          <w:position w:val="1"/>
        </w:rPr>
        <w:t>号）</w:t>
      </w:r>
    </w:p>
    <w:p>
      <w:pPr>
        <w:pStyle w:val="BodyText"/>
        <w:ind w:left="9" w:right="222" w:firstLine="441"/>
        <w:spacing w:before="145" w:line="328" w:lineRule="auto"/>
        <w:rPr>
          <w:rFonts w:ascii="KaiTi" w:hAnsi="KaiTi" w:eastAsia="KaiTi" w:cs="KaiTi"/>
        </w:rPr>
      </w:pPr>
      <w:r>
        <w:rPr>
          <w:spacing w:val="5"/>
        </w:rPr>
        <w:t>四十二、固原市人民政府关于印发固原市</w:t>
      </w:r>
      <w:r>
        <w:rPr>
          <w:spacing w:val="-1"/>
        </w:rPr>
        <w:t>安全生产行政责任规定的通知</w:t>
      </w:r>
      <w:r>
        <w:rPr>
          <w:rFonts w:ascii="KaiTi" w:hAnsi="KaiTi" w:eastAsia="KaiTi" w:cs="KaiTi"/>
          <w:spacing w:val="-1"/>
        </w:rPr>
        <w:t>（</w:t>
      </w:r>
      <w:r>
        <w:rPr>
          <w:rFonts w:ascii="KaiTi" w:hAnsi="KaiTi" w:eastAsia="KaiTi" w:cs="KaiTi"/>
          <w:spacing w:val="-25"/>
        </w:rPr>
        <w:t xml:space="preserve"> </w:t>
      </w:r>
      <w:r>
        <w:rPr>
          <w:rFonts w:ascii="KaiTi" w:hAnsi="KaiTi" w:eastAsia="KaiTi" w:cs="KaiTi"/>
          <w:spacing w:val="-1"/>
        </w:rPr>
        <w:t>固政发〔2015〕</w:t>
      </w:r>
      <w:r>
        <w:rPr>
          <w:rFonts w:ascii="KaiTi" w:hAnsi="KaiTi" w:eastAsia="KaiTi" w:cs="KaiTi"/>
        </w:rPr>
        <w:t xml:space="preserve"> </w:t>
      </w:r>
      <w:r>
        <w:rPr>
          <w:rFonts w:ascii="KaiTi" w:hAnsi="KaiTi" w:eastAsia="KaiTi" w:cs="KaiTi"/>
          <w:spacing w:val="1"/>
        </w:rPr>
        <w:t>61</w:t>
      </w:r>
      <w:r>
        <w:rPr>
          <w:rFonts w:ascii="KaiTi" w:hAnsi="KaiTi" w:eastAsia="KaiTi" w:cs="KaiTi"/>
          <w:spacing w:val="-34"/>
        </w:rPr>
        <w:t xml:space="preserve"> </w:t>
      </w:r>
      <w:r>
        <w:rPr>
          <w:rFonts w:ascii="KaiTi" w:hAnsi="KaiTi" w:eastAsia="KaiTi" w:cs="KaiTi"/>
          <w:spacing w:val="1"/>
        </w:rPr>
        <w:t>号）</w:t>
      </w:r>
    </w:p>
    <w:p>
      <w:pPr>
        <w:pStyle w:val="BodyText"/>
        <w:ind w:right="331" w:firstLine="450"/>
        <w:spacing w:before="148" w:line="331" w:lineRule="auto"/>
        <w:rPr>
          <w:rFonts w:ascii="KaiTi" w:hAnsi="KaiTi" w:eastAsia="KaiTi" w:cs="KaiTi"/>
        </w:rPr>
      </w:pPr>
      <w:r>
        <w:rPr>
          <w:spacing w:val="5"/>
        </w:rPr>
        <w:t>四十三、固原市人民政府关于印发固原市</w:t>
      </w:r>
      <w:r>
        <w:rPr>
          <w:spacing w:val="18"/>
        </w:rPr>
        <w:t>区规划区内国有土地上房屋征收与补偿办法</w:t>
      </w:r>
      <w:r>
        <w:rPr>
          <w:spacing w:val="3"/>
        </w:rPr>
        <w:t>（试行）的通知</w:t>
      </w:r>
      <w:r>
        <w:rPr>
          <w:rFonts w:ascii="KaiTi" w:hAnsi="KaiTi" w:eastAsia="KaiTi" w:cs="KaiTi"/>
          <w:spacing w:val="3"/>
        </w:rPr>
        <w:t>（</w:t>
      </w:r>
      <w:r>
        <w:rPr>
          <w:rFonts w:ascii="KaiTi" w:hAnsi="KaiTi" w:eastAsia="KaiTi" w:cs="KaiTi"/>
          <w:spacing w:val="-13"/>
        </w:rPr>
        <w:t xml:space="preserve"> </w:t>
      </w:r>
      <w:r>
        <w:rPr>
          <w:rFonts w:ascii="KaiTi" w:hAnsi="KaiTi" w:eastAsia="KaiTi" w:cs="KaiTi"/>
          <w:spacing w:val="3"/>
        </w:rPr>
        <w:t>固政发〔2015〕67</w:t>
      </w:r>
      <w:r>
        <w:rPr>
          <w:rFonts w:ascii="KaiTi" w:hAnsi="KaiTi" w:eastAsia="KaiTi" w:cs="KaiTi"/>
          <w:spacing w:val="-34"/>
        </w:rPr>
        <w:t xml:space="preserve"> </w:t>
      </w:r>
      <w:r>
        <w:rPr>
          <w:rFonts w:ascii="KaiTi" w:hAnsi="KaiTi" w:eastAsia="KaiTi" w:cs="KaiTi"/>
          <w:spacing w:val="3"/>
        </w:rPr>
        <w:t>号）</w:t>
      </w:r>
    </w:p>
    <w:p>
      <w:pPr>
        <w:pStyle w:val="BodyText"/>
        <w:ind w:left="10" w:right="331" w:firstLine="440"/>
        <w:spacing w:before="134" w:line="328" w:lineRule="auto"/>
        <w:rPr>
          <w:rFonts w:ascii="KaiTi" w:hAnsi="KaiTi" w:eastAsia="KaiTi" w:cs="KaiTi"/>
        </w:rPr>
      </w:pPr>
      <w:r>
        <w:rPr>
          <w:spacing w:val="5"/>
        </w:rPr>
        <w:t>四十四、固原市人民政府关于印发固原市</w:t>
      </w:r>
      <w:r>
        <w:rPr>
          <w:spacing w:val="18"/>
        </w:rPr>
        <w:t>区规划区内集体土地上房屋征收与补偿指导</w:t>
      </w:r>
      <w:r>
        <w:rPr>
          <w:spacing w:val="2"/>
        </w:rPr>
        <w:t>价的通知</w:t>
      </w:r>
      <w:r>
        <w:rPr>
          <w:rFonts w:ascii="KaiTi" w:hAnsi="KaiTi" w:eastAsia="KaiTi" w:cs="KaiTi"/>
          <w:spacing w:val="2"/>
        </w:rPr>
        <w:t>（</w:t>
      </w:r>
      <w:r>
        <w:rPr>
          <w:rFonts w:ascii="KaiTi" w:hAnsi="KaiTi" w:eastAsia="KaiTi" w:cs="KaiTi"/>
          <w:spacing w:val="-25"/>
        </w:rPr>
        <w:t xml:space="preserve"> </w:t>
      </w:r>
      <w:r>
        <w:rPr>
          <w:rFonts w:ascii="KaiTi" w:hAnsi="KaiTi" w:eastAsia="KaiTi" w:cs="KaiTi"/>
          <w:spacing w:val="2"/>
        </w:rPr>
        <w:t>固政发〔2015〕68</w:t>
      </w:r>
      <w:r>
        <w:rPr>
          <w:rFonts w:ascii="KaiTi" w:hAnsi="KaiTi" w:eastAsia="KaiTi" w:cs="KaiTi"/>
          <w:spacing w:val="-36"/>
        </w:rPr>
        <w:t xml:space="preserve"> </w:t>
      </w:r>
      <w:r>
        <w:rPr>
          <w:rFonts w:ascii="KaiTi" w:hAnsi="KaiTi" w:eastAsia="KaiTi" w:cs="KaiTi"/>
          <w:spacing w:val="2"/>
        </w:rPr>
        <w:t>号）</w:t>
      </w:r>
    </w:p>
    <w:p>
      <w:pPr>
        <w:pStyle w:val="BodyText"/>
        <w:ind w:right="331" w:firstLine="450"/>
        <w:spacing w:before="146" w:line="328" w:lineRule="auto"/>
        <w:rPr>
          <w:rFonts w:ascii="KaiTi" w:hAnsi="KaiTi" w:eastAsia="KaiTi" w:cs="KaiTi"/>
        </w:rPr>
      </w:pPr>
      <w:r>
        <w:rPr>
          <w:spacing w:val="5"/>
        </w:rPr>
        <w:t>四十五、固原市人民政府关于印发固原市</w:t>
      </w:r>
      <w:r>
        <w:rPr>
          <w:spacing w:val="18"/>
        </w:rPr>
        <w:t>本级行政事业单位国有资产管理办法的通知</w:t>
      </w:r>
      <w:r>
        <w:rPr>
          <w:rFonts w:ascii="KaiTi" w:hAnsi="KaiTi" w:eastAsia="KaiTi" w:cs="KaiTi"/>
        </w:rPr>
        <w:t>（</w:t>
      </w:r>
      <w:r>
        <w:rPr>
          <w:rFonts w:ascii="KaiTi" w:hAnsi="KaiTi" w:eastAsia="KaiTi" w:cs="KaiTi"/>
          <w:spacing w:val="-19"/>
        </w:rPr>
        <w:t xml:space="preserve"> </w:t>
      </w:r>
      <w:r>
        <w:rPr>
          <w:rFonts w:ascii="KaiTi" w:hAnsi="KaiTi" w:eastAsia="KaiTi" w:cs="KaiTi"/>
        </w:rPr>
        <w:t>固政发〔2015〕78</w:t>
      </w:r>
      <w:r>
        <w:rPr>
          <w:rFonts w:ascii="KaiTi" w:hAnsi="KaiTi" w:eastAsia="KaiTi" w:cs="KaiTi"/>
          <w:spacing w:val="-36"/>
        </w:rPr>
        <w:t xml:space="preserve"> </w:t>
      </w:r>
      <w:r>
        <w:rPr>
          <w:rFonts w:ascii="KaiTi" w:hAnsi="KaiTi" w:eastAsia="KaiTi" w:cs="KaiTi"/>
        </w:rPr>
        <w:t>号）</w:t>
      </w:r>
    </w:p>
    <w:p>
      <w:pPr>
        <w:pStyle w:val="BodyText"/>
        <w:ind w:left="4" w:right="331" w:firstLine="446"/>
        <w:spacing w:before="146" w:line="328" w:lineRule="auto"/>
        <w:rPr>
          <w:rFonts w:ascii="KaiTi" w:hAnsi="KaiTi" w:eastAsia="KaiTi" w:cs="KaiTi"/>
        </w:rPr>
      </w:pPr>
      <w:r>
        <w:rPr>
          <w:spacing w:val="5"/>
        </w:rPr>
        <w:t>四十六、固原市人民政府关于印发关于公</w:t>
      </w:r>
      <w:r>
        <w:rPr>
          <w:spacing w:val="3"/>
        </w:rPr>
        <w:t>布固原市市辖区征地补偿标准的通知</w:t>
      </w:r>
      <w:r>
        <w:rPr>
          <w:rFonts w:ascii="KaiTi" w:hAnsi="KaiTi" w:eastAsia="KaiTi" w:cs="KaiTi"/>
          <w:spacing w:val="3"/>
        </w:rPr>
        <w:t>（</w:t>
      </w:r>
      <w:r>
        <w:rPr>
          <w:rFonts w:ascii="KaiTi" w:hAnsi="KaiTi" w:eastAsia="KaiTi" w:cs="KaiTi"/>
          <w:spacing w:val="-11"/>
        </w:rPr>
        <w:t xml:space="preserve"> </w:t>
      </w:r>
      <w:r>
        <w:rPr>
          <w:rFonts w:ascii="KaiTi" w:hAnsi="KaiTi" w:eastAsia="KaiTi" w:cs="KaiTi"/>
          <w:spacing w:val="3"/>
        </w:rPr>
        <w:t>固政发</w:t>
      </w:r>
      <w:r>
        <w:rPr>
          <w:rFonts w:ascii="KaiTi" w:hAnsi="KaiTi" w:eastAsia="KaiTi" w:cs="KaiTi"/>
          <w:spacing w:val="3"/>
        </w:rPr>
        <w:t>〔2016〕77</w:t>
      </w:r>
      <w:r>
        <w:rPr>
          <w:rFonts w:ascii="KaiTi" w:hAnsi="KaiTi" w:eastAsia="KaiTi" w:cs="KaiTi"/>
          <w:spacing w:val="-29"/>
        </w:rPr>
        <w:t xml:space="preserve"> </w:t>
      </w:r>
      <w:r>
        <w:rPr>
          <w:rFonts w:ascii="KaiTi" w:hAnsi="KaiTi" w:eastAsia="KaiTi" w:cs="KaiTi"/>
          <w:spacing w:val="3"/>
        </w:rPr>
        <w:t>号）</w:t>
      </w:r>
    </w:p>
    <w:p>
      <w:pPr>
        <w:pStyle w:val="BodyText"/>
        <w:ind w:left="7" w:right="247" w:firstLine="442"/>
        <w:spacing w:before="146" w:line="328" w:lineRule="auto"/>
        <w:rPr>
          <w:rFonts w:ascii="KaiTi" w:hAnsi="KaiTi" w:eastAsia="KaiTi" w:cs="KaiTi"/>
        </w:rPr>
      </w:pPr>
      <w:r>
        <w:rPr>
          <w:spacing w:val="5"/>
        </w:rPr>
        <w:t>四十七、固原市人民政府办公室关于印发</w:t>
      </w:r>
      <w:r>
        <w:rPr>
          <w:spacing w:val="18"/>
        </w:rPr>
        <w:t>固原市市辖区改革工业用地供应方式试点工</w:t>
      </w:r>
      <w:r>
        <w:rPr>
          <w:spacing w:val="4"/>
        </w:rPr>
        <w:t>作实施方案的通知</w:t>
      </w:r>
      <w:r>
        <w:rPr>
          <w:rFonts w:ascii="KaiTi" w:hAnsi="KaiTi" w:eastAsia="KaiTi" w:cs="KaiTi"/>
          <w:spacing w:val="4"/>
        </w:rPr>
        <w:t>（</w:t>
      </w:r>
      <w:r>
        <w:rPr>
          <w:rFonts w:ascii="KaiTi" w:hAnsi="KaiTi" w:eastAsia="KaiTi" w:cs="KaiTi"/>
          <w:spacing w:val="-30"/>
        </w:rPr>
        <w:t xml:space="preserve"> </w:t>
      </w:r>
      <w:r>
        <w:rPr>
          <w:rFonts w:ascii="KaiTi" w:hAnsi="KaiTi" w:eastAsia="KaiTi" w:cs="KaiTi"/>
          <w:spacing w:val="4"/>
        </w:rPr>
        <w:t>固政办发〔2016〕76</w:t>
      </w:r>
      <w:r>
        <w:rPr>
          <w:rFonts w:ascii="KaiTi" w:hAnsi="KaiTi" w:eastAsia="KaiTi" w:cs="KaiTi"/>
          <w:spacing w:val="-33"/>
        </w:rPr>
        <w:t xml:space="preserve"> </w:t>
      </w:r>
      <w:r>
        <w:rPr>
          <w:rFonts w:ascii="KaiTi" w:hAnsi="KaiTi" w:eastAsia="KaiTi" w:cs="KaiTi"/>
          <w:spacing w:val="4"/>
        </w:rPr>
        <w:t>号）</w:t>
      </w:r>
    </w:p>
    <w:p>
      <w:pPr>
        <w:pStyle w:val="BodyText"/>
        <w:ind w:left="450"/>
        <w:spacing w:before="147" w:line="206" w:lineRule="auto"/>
        <w:rPr/>
      </w:pPr>
      <w:r>
        <w:rPr>
          <w:spacing w:val="5"/>
        </w:rPr>
        <w:t>四十八、固原市人民政府办公室关于印发</w:t>
      </w:r>
    </w:p>
    <w:p>
      <w:pPr>
        <w:spacing w:line="14" w:lineRule="auto"/>
        <w:rPr>
          <w:rFonts w:ascii="Arial"/>
          <w:sz w:val="2"/>
        </w:rPr>
      </w:pPr>
      <w:r>
        <w:rPr>
          <w:rFonts w:ascii="Arial" w:hAnsi="Arial" w:eastAsia="Arial" w:cs="Arial"/>
          <w:sz w:val="2"/>
          <w:szCs w:val="2"/>
        </w:rPr>
        <w:br w:type="column"/>
      </w:r>
    </w:p>
    <w:p>
      <w:pPr>
        <w:pStyle w:val="BodyText"/>
        <w:ind w:left="17" w:right="110" w:firstLine="3"/>
        <w:spacing w:before="45" w:line="375" w:lineRule="auto"/>
        <w:rPr>
          <w:rFonts w:ascii="KaiTi" w:hAnsi="KaiTi" w:eastAsia="KaiTi" w:cs="KaiTi"/>
        </w:rPr>
      </w:pPr>
      <w:r>
        <w:rPr>
          <w:spacing w:val="17"/>
        </w:rPr>
        <w:t>固原市基本医疗保险付费总额控制暂行办法</w:t>
      </w:r>
      <w:r>
        <w:rPr>
          <w:spacing w:val="1"/>
        </w:rPr>
        <w:t>的通知</w:t>
      </w:r>
      <w:r>
        <w:rPr>
          <w:spacing w:val="-18"/>
        </w:rPr>
        <w:t xml:space="preserve"> </w:t>
      </w:r>
      <w:r>
        <w:rPr>
          <w:rFonts w:ascii="KaiTi" w:hAnsi="KaiTi" w:eastAsia="KaiTi" w:cs="KaiTi"/>
          <w:spacing w:val="1"/>
        </w:rPr>
        <w:t>（</w:t>
      </w:r>
      <w:r>
        <w:rPr>
          <w:rFonts w:ascii="KaiTi" w:hAnsi="KaiTi" w:eastAsia="KaiTi" w:cs="KaiTi"/>
          <w:spacing w:val="1"/>
        </w:rPr>
        <w:t xml:space="preserve"> </w:t>
      </w:r>
      <w:r>
        <w:rPr>
          <w:rFonts w:ascii="KaiTi" w:hAnsi="KaiTi" w:eastAsia="KaiTi" w:cs="KaiTi"/>
          <w:spacing w:val="1"/>
        </w:rPr>
        <w:t>固政办发〔2016〕105</w:t>
      </w:r>
      <w:r>
        <w:rPr>
          <w:rFonts w:ascii="KaiTi" w:hAnsi="KaiTi" w:eastAsia="KaiTi" w:cs="KaiTi"/>
          <w:spacing w:val="-34"/>
        </w:rPr>
        <w:t xml:space="preserve"> </w:t>
      </w:r>
      <w:r>
        <w:rPr>
          <w:rFonts w:ascii="KaiTi" w:hAnsi="KaiTi" w:eastAsia="KaiTi" w:cs="KaiTi"/>
          <w:spacing w:val="1"/>
        </w:rPr>
        <w:t>号）</w:t>
      </w:r>
    </w:p>
    <w:p>
      <w:pPr>
        <w:pStyle w:val="BodyText"/>
        <w:ind w:left="2" w:right="107" w:firstLine="439"/>
        <w:spacing w:before="1" w:line="328" w:lineRule="auto"/>
        <w:rPr>
          <w:rFonts w:ascii="KaiTi" w:hAnsi="KaiTi" w:eastAsia="KaiTi" w:cs="KaiTi"/>
        </w:rPr>
      </w:pPr>
      <w:r>
        <w:rPr>
          <w:spacing w:val="5"/>
        </w:rPr>
        <w:t>四十九、固原市人民政府办公室关于印发</w:t>
      </w:r>
      <w:r>
        <w:rPr>
          <w:spacing w:val="7"/>
        </w:rPr>
        <w:t>固原市推进</w:t>
      </w:r>
      <w:r>
        <w:rPr>
          <w:rFonts w:ascii="Times New Roman" w:hAnsi="Times New Roman" w:eastAsia="Times New Roman" w:cs="Times New Roman"/>
          <w:spacing w:val="7"/>
        </w:rPr>
        <w:t>“</w:t>
      </w:r>
      <w:r>
        <w:rPr>
          <w:spacing w:val="7"/>
        </w:rPr>
        <w:t>五证合一</w:t>
      </w:r>
      <w:r>
        <w:rPr>
          <w:rFonts w:ascii="Times New Roman" w:hAnsi="Times New Roman" w:eastAsia="Times New Roman" w:cs="Times New Roman"/>
          <w:spacing w:val="7"/>
        </w:rPr>
        <w:t>”</w:t>
      </w:r>
      <w:r>
        <w:rPr>
          <w:rFonts w:ascii="Times New Roman" w:hAnsi="Times New Roman" w:eastAsia="Times New Roman" w:cs="Times New Roman"/>
          <w:spacing w:val="-15"/>
        </w:rPr>
        <w:t xml:space="preserve"> </w:t>
      </w:r>
      <w:r>
        <w:rPr>
          <w:spacing w:val="7"/>
        </w:rPr>
        <w:t>、</w:t>
      </w:r>
      <w:r>
        <w:rPr>
          <w:rFonts w:ascii="Times New Roman" w:hAnsi="Times New Roman" w:eastAsia="Times New Roman" w:cs="Times New Roman"/>
          <w:spacing w:val="7"/>
        </w:rPr>
        <w:t>“</w:t>
      </w:r>
      <w:r>
        <w:rPr>
          <w:spacing w:val="7"/>
        </w:rPr>
        <w:t>一照一码</w:t>
      </w:r>
      <w:r>
        <w:rPr>
          <w:rFonts w:ascii="Times New Roman" w:hAnsi="Times New Roman" w:eastAsia="Times New Roman" w:cs="Times New Roman"/>
          <w:spacing w:val="7"/>
        </w:rPr>
        <w:t>”</w:t>
      </w:r>
      <w:r>
        <w:rPr>
          <w:spacing w:val="7"/>
        </w:rPr>
        <w:t>登记制度</w:t>
      </w:r>
      <w:r>
        <w:rPr>
          <w:spacing w:val="3"/>
        </w:rPr>
        <w:t>改革实施方案</w:t>
      </w:r>
      <w:r>
        <w:rPr>
          <w:rFonts w:ascii="KaiTi" w:hAnsi="KaiTi" w:eastAsia="KaiTi" w:cs="KaiTi"/>
          <w:spacing w:val="3"/>
        </w:rPr>
        <w:t>（</w:t>
      </w:r>
      <w:r>
        <w:rPr>
          <w:rFonts w:ascii="KaiTi" w:hAnsi="KaiTi" w:eastAsia="KaiTi" w:cs="KaiTi"/>
          <w:spacing w:val="-24"/>
        </w:rPr>
        <w:t xml:space="preserve"> </w:t>
      </w:r>
      <w:r>
        <w:rPr>
          <w:rFonts w:ascii="KaiTi" w:hAnsi="KaiTi" w:eastAsia="KaiTi" w:cs="KaiTi"/>
          <w:spacing w:val="3"/>
        </w:rPr>
        <w:t>固政办发〔2016〕82</w:t>
      </w:r>
      <w:r>
        <w:rPr>
          <w:rFonts w:ascii="KaiTi" w:hAnsi="KaiTi" w:eastAsia="KaiTi" w:cs="KaiTi"/>
          <w:spacing w:val="-33"/>
        </w:rPr>
        <w:t xml:space="preserve"> </w:t>
      </w:r>
      <w:r>
        <w:rPr>
          <w:rFonts w:ascii="KaiTi" w:hAnsi="KaiTi" w:eastAsia="KaiTi" w:cs="KaiTi"/>
          <w:spacing w:val="3"/>
        </w:rPr>
        <w:t>号）</w:t>
      </w:r>
    </w:p>
    <w:p>
      <w:pPr>
        <w:pStyle w:val="BodyText"/>
        <w:ind w:right="110" w:firstLine="424"/>
        <w:spacing w:before="145" w:line="305" w:lineRule="auto"/>
        <w:rPr>
          <w:rFonts w:ascii="KaiTi" w:hAnsi="KaiTi" w:eastAsia="KaiTi" w:cs="KaiTi"/>
        </w:rPr>
      </w:pPr>
      <w:r>
        <w:rPr>
          <w:spacing w:val="6"/>
        </w:rPr>
        <w:t>五十、固原市人民政府关于取消和调整行</w:t>
      </w:r>
      <w:r>
        <w:rPr>
          <w:spacing w:val="3"/>
        </w:rPr>
        <w:t>政权力事项的决定</w:t>
      </w:r>
      <w:r>
        <w:rPr>
          <w:rFonts w:ascii="KaiTi" w:hAnsi="KaiTi" w:eastAsia="KaiTi" w:cs="KaiTi"/>
          <w:spacing w:val="3"/>
        </w:rPr>
        <w:t>（</w:t>
      </w:r>
      <w:r>
        <w:rPr>
          <w:rFonts w:ascii="KaiTi" w:hAnsi="KaiTi" w:eastAsia="KaiTi" w:cs="KaiTi"/>
          <w:spacing w:val="-14"/>
        </w:rPr>
        <w:t xml:space="preserve"> </w:t>
      </w:r>
      <w:r>
        <w:rPr>
          <w:rFonts w:ascii="KaiTi" w:hAnsi="KaiTi" w:eastAsia="KaiTi" w:cs="KaiTi"/>
          <w:spacing w:val="3"/>
        </w:rPr>
        <w:t>固政发〔2017〕43</w:t>
      </w:r>
      <w:r>
        <w:rPr>
          <w:rFonts w:ascii="KaiTi" w:hAnsi="KaiTi" w:eastAsia="KaiTi" w:cs="KaiTi"/>
          <w:spacing w:val="-34"/>
        </w:rPr>
        <w:t xml:space="preserve"> </w:t>
      </w:r>
      <w:r>
        <w:rPr>
          <w:rFonts w:ascii="KaiTi" w:hAnsi="KaiTi" w:eastAsia="KaiTi" w:cs="KaiTi"/>
          <w:spacing w:val="3"/>
        </w:rPr>
        <w:t>号）</w:t>
      </w:r>
    </w:p>
    <w:p>
      <w:pPr>
        <w:pStyle w:val="BodyText"/>
        <w:ind w:left="2" w:right="110" w:firstLine="422"/>
        <w:spacing w:before="145" w:line="328" w:lineRule="auto"/>
        <w:rPr>
          <w:rFonts w:ascii="KaiTi" w:hAnsi="KaiTi" w:eastAsia="KaiTi" w:cs="KaiTi"/>
        </w:rPr>
      </w:pPr>
      <w:r>
        <w:rPr>
          <w:spacing w:val="6"/>
        </w:rPr>
        <w:t>五十一、固原市人民政府办公室关于积极</w:t>
      </w:r>
      <w:r>
        <w:rPr>
          <w:spacing w:val="3"/>
        </w:rPr>
        <w:t>推进医疗医保医药联动改革的实施意见</w:t>
      </w:r>
      <w:r>
        <w:rPr>
          <w:rFonts w:ascii="KaiTi" w:hAnsi="KaiTi" w:eastAsia="KaiTi" w:cs="KaiTi"/>
          <w:spacing w:val="3"/>
        </w:rPr>
        <w:t>（</w:t>
      </w:r>
      <w:r>
        <w:rPr>
          <w:rFonts w:ascii="KaiTi" w:hAnsi="KaiTi" w:eastAsia="KaiTi" w:cs="KaiTi"/>
          <w:spacing w:val="-18"/>
        </w:rPr>
        <w:t xml:space="preserve"> </w:t>
      </w:r>
      <w:r>
        <w:rPr>
          <w:rFonts w:ascii="KaiTi" w:hAnsi="KaiTi" w:eastAsia="KaiTi" w:cs="KaiTi"/>
          <w:spacing w:val="3"/>
        </w:rPr>
        <w:t>固政</w:t>
      </w:r>
      <w:r>
        <w:rPr>
          <w:rFonts w:ascii="KaiTi" w:hAnsi="KaiTi" w:eastAsia="KaiTi" w:cs="KaiTi"/>
          <w:spacing w:val="4"/>
        </w:rPr>
        <w:t>办发〔2017〕47</w:t>
      </w:r>
      <w:r>
        <w:rPr>
          <w:rFonts w:ascii="KaiTi" w:hAnsi="KaiTi" w:eastAsia="KaiTi" w:cs="KaiTi"/>
          <w:spacing w:val="-31"/>
        </w:rPr>
        <w:t xml:space="preserve"> </w:t>
      </w:r>
      <w:r>
        <w:rPr>
          <w:rFonts w:ascii="KaiTi" w:hAnsi="KaiTi" w:eastAsia="KaiTi" w:cs="KaiTi"/>
          <w:spacing w:val="4"/>
        </w:rPr>
        <w:t>号）</w:t>
      </w:r>
    </w:p>
    <w:p>
      <w:pPr>
        <w:pStyle w:val="BodyText"/>
        <w:ind w:right="110" w:firstLine="424"/>
        <w:spacing w:before="149" w:line="339" w:lineRule="auto"/>
        <w:rPr>
          <w:rFonts w:ascii="KaiTi" w:hAnsi="KaiTi" w:eastAsia="KaiTi" w:cs="KaiTi"/>
        </w:rPr>
      </w:pPr>
      <w:r>
        <w:rPr>
          <w:spacing w:val="6"/>
        </w:rPr>
        <w:t>五十二、固原市人民政府办公室关于印发</w:t>
      </w:r>
      <w:r>
        <w:rPr>
          <w:spacing w:val="18"/>
        </w:rPr>
        <w:t>推进县乡村医疗卫生服务一体化管理实施意</w:t>
      </w:r>
      <w:r>
        <w:rPr>
          <w:spacing w:val="3"/>
        </w:rPr>
        <w:t>见和信息化支撑医改工作实施意见的通知</w:t>
      </w:r>
      <w:r>
        <w:rPr>
          <w:rFonts w:ascii="KaiTi" w:hAnsi="KaiTi" w:eastAsia="KaiTi" w:cs="KaiTi"/>
          <w:spacing w:val="3"/>
        </w:rPr>
        <w:t>（</w:t>
      </w:r>
      <w:r>
        <w:rPr>
          <w:rFonts w:ascii="KaiTi" w:hAnsi="KaiTi" w:eastAsia="KaiTi" w:cs="KaiTi"/>
          <w:spacing w:val="-16"/>
        </w:rPr>
        <w:t xml:space="preserve"> </w:t>
      </w:r>
      <w:r>
        <w:rPr>
          <w:rFonts w:ascii="KaiTi" w:hAnsi="KaiTi" w:eastAsia="KaiTi" w:cs="KaiTi"/>
          <w:spacing w:val="3"/>
        </w:rPr>
        <w:t>固</w:t>
      </w:r>
      <w:r>
        <w:rPr>
          <w:rFonts w:ascii="KaiTi" w:hAnsi="KaiTi" w:eastAsia="KaiTi" w:cs="KaiTi"/>
          <w:spacing w:val="5"/>
        </w:rPr>
        <w:t>政办发〔2017〕9</w:t>
      </w:r>
      <w:r>
        <w:rPr>
          <w:rFonts w:ascii="KaiTi" w:hAnsi="KaiTi" w:eastAsia="KaiTi" w:cs="KaiTi"/>
          <w:spacing w:val="-33"/>
        </w:rPr>
        <w:t xml:space="preserve"> </w:t>
      </w:r>
      <w:r>
        <w:rPr>
          <w:rFonts w:ascii="KaiTi" w:hAnsi="KaiTi" w:eastAsia="KaiTi" w:cs="KaiTi"/>
          <w:spacing w:val="5"/>
        </w:rPr>
        <w:t>号）</w:t>
      </w:r>
    </w:p>
    <w:p>
      <w:pPr>
        <w:pStyle w:val="BodyText"/>
        <w:ind w:left="5" w:firstLine="419"/>
        <w:spacing w:before="146" w:line="328" w:lineRule="auto"/>
        <w:rPr>
          <w:rFonts w:ascii="KaiTi" w:hAnsi="KaiTi" w:eastAsia="KaiTi" w:cs="KaiTi"/>
        </w:rPr>
      </w:pPr>
      <w:r>
        <w:rPr>
          <w:spacing w:val="6"/>
        </w:rPr>
        <w:t>五十三、固原市人民政府办公室关于印发</w:t>
      </w:r>
      <w:r>
        <w:rPr>
          <w:spacing w:val="12"/>
        </w:rPr>
        <w:t>固原市市本级建设项目</w:t>
      </w:r>
      <w:r>
        <w:rPr>
          <w:rFonts w:ascii="Times New Roman" w:hAnsi="Times New Roman" w:eastAsia="Times New Roman" w:cs="Times New Roman"/>
          <w:spacing w:val="12"/>
        </w:rPr>
        <w:t>“</w:t>
      </w:r>
      <w:r>
        <w:rPr>
          <w:spacing w:val="12"/>
        </w:rPr>
        <w:t>多评合一</w:t>
      </w:r>
      <w:r>
        <w:rPr>
          <w:rFonts w:ascii="Times New Roman" w:hAnsi="Times New Roman" w:eastAsia="Times New Roman" w:cs="Times New Roman"/>
          <w:spacing w:val="12"/>
        </w:rPr>
        <w:t>”</w:t>
      </w:r>
      <w:r>
        <w:rPr>
          <w:rFonts w:ascii="Times New Roman" w:hAnsi="Times New Roman" w:eastAsia="Times New Roman" w:cs="Times New Roman"/>
          <w:spacing w:val="-30"/>
        </w:rPr>
        <w:t xml:space="preserve"> </w:t>
      </w:r>
      <w:r>
        <w:rPr>
          <w:spacing w:val="12"/>
        </w:rPr>
        <w:t>和</w:t>
      </w:r>
      <w:r>
        <w:rPr>
          <w:rFonts w:ascii="Times New Roman" w:hAnsi="Times New Roman" w:eastAsia="Times New Roman" w:cs="Times New Roman"/>
          <w:spacing w:val="12"/>
        </w:rPr>
        <w:t>“</w:t>
      </w:r>
      <w:r>
        <w:rPr>
          <w:spacing w:val="12"/>
        </w:rPr>
        <w:t>多图联</w:t>
      </w:r>
      <w:r>
        <w:rPr>
          <w:spacing w:val="1"/>
        </w:rPr>
        <w:t>审</w:t>
      </w:r>
      <w:r>
        <w:rPr>
          <w:rFonts w:ascii="Times New Roman" w:hAnsi="Times New Roman" w:eastAsia="Times New Roman" w:cs="Times New Roman"/>
          <w:spacing w:val="1"/>
        </w:rPr>
        <w:t>”</w:t>
      </w:r>
      <w:r>
        <w:rPr>
          <w:spacing w:val="1"/>
        </w:rPr>
        <w:t>实施方案的通知</w:t>
      </w:r>
      <w:r>
        <w:rPr>
          <w:rFonts w:ascii="KaiTi" w:hAnsi="KaiTi" w:eastAsia="KaiTi" w:cs="KaiTi"/>
          <w:spacing w:val="1"/>
        </w:rPr>
        <w:t>（</w:t>
      </w:r>
      <w:r>
        <w:rPr>
          <w:rFonts w:ascii="KaiTi" w:hAnsi="KaiTi" w:eastAsia="KaiTi" w:cs="KaiTi"/>
          <w:spacing w:val="-28"/>
        </w:rPr>
        <w:t xml:space="preserve"> </w:t>
      </w:r>
      <w:r>
        <w:rPr>
          <w:rFonts w:ascii="KaiTi" w:hAnsi="KaiTi" w:eastAsia="KaiTi" w:cs="KaiTi"/>
          <w:spacing w:val="1"/>
        </w:rPr>
        <w:t>固政办发〔2017〕95</w:t>
      </w:r>
      <w:r>
        <w:rPr>
          <w:rFonts w:ascii="KaiTi" w:hAnsi="KaiTi" w:eastAsia="KaiTi" w:cs="KaiTi"/>
          <w:spacing w:val="-36"/>
        </w:rPr>
        <w:t xml:space="preserve"> </w:t>
      </w:r>
      <w:r>
        <w:rPr>
          <w:rFonts w:ascii="KaiTi" w:hAnsi="KaiTi" w:eastAsia="KaiTi" w:cs="KaiTi"/>
          <w:spacing w:val="1"/>
        </w:rPr>
        <w:t>号）</w:t>
      </w:r>
    </w:p>
    <w:p>
      <w:pPr>
        <w:pStyle w:val="BodyText"/>
        <w:ind w:left="1" w:right="110" w:firstLine="423"/>
        <w:spacing w:before="146" w:line="317" w:lineRule="auto"/>
        <w:rPr>
          <w:rFonts w:ascii="KaiTi" w:hAnsi="KaiTi" w:eastAsia="KaiTi" w:cs="KaiTi"/>
        </w:rPr>
      </w:pPr>
      <w:r>
        <w:rPr>
          <w:spacing w:val="6"/>
        </w:rPr>
        <w:t>五十四、固原市人民政府办公室关于印发</w:t>
      </w:r>
      <w:r>
        <w:rPr>
          <w:spacing w:val="18"/>
        </w:rPr>
        <w:t>固原市进一步压缩企业开办时间工作实施方</w:t>
      </w:r>
      <w:r>
        <w:rPr>
          <w:spacing w:val="3"/>
        </w:rPr>
        <w:t>案的通知</w:t>
      </w:r>
      <w:r>
        <w:rPr>
          <w:rFonts w:ascii="KaiTi" w:hAnsi="KaiTi" w:eastAsia="KaiTi" w:cs="KaiTi"/>
          <w:spacing w:val="3"/>
        </w:rPr>
        <w:t>（</w:t>
      </w:r>
      <w:r>
        <w:rPr>
          <w:rFonts w:ascii="KaiTi" w:hAnsi="KaiTi" w:eastAsia="KaiTi" w:cs="KaiTi"/>
          <w:spacing w:val="-27"/>
        </w:rPr>
        <w:t xml:space="preserve"> </w:t>
      </w:r>
      <w:r>
        <w:rPr>
          <w:rFonts w:ascii="KaiTi" w:hAnsi="KaiTi" w:eastAsia="KaiTi" w:cs="KaiTi"/>
          <w:spacing w:val="3"/>
        </w:rPr>
        <w:t>固政办规发〔2018〕5</w:t>
      </w:r>
      <w:r>
        <w:rPr>
          <w:rFonts w:ascii="KaiTi" w:hAnsi="KaiTi" w:eastAsia="KaiTi" w:cs="KaiTi"/>
          <w:spacing w:val="-36"/>
        </w:rPr>
        <w:t xml:space="preserve"> </w:t>
      </w:r>
      <w:r>
        <w:rPr>
          <w:rFonts w:ascii="KaiTi" w:hAnsi="KaiTi" w:eastAsia="KaiTi" w:cs="KaiTi"/>
          <w:spacing w:val="3"/>
        </w:rPr>
        <w:t>号）</w:t>
      </w:r>
    </w:p>
    <w:p>
      <w:pPr>
        <w:spacing w:line="317" w:lineRule="auto"/>
        <w:sectPr>
          <w:type w:val="continuous"/>
          <w:pgSz w:w="11906" w:h="16839"/>
          <w:pgMar w:top="1769" w:right="1480" w:bottom="1570" w:left="1584" w:header="1428" w:footer="1172" w:gutter="0"/>
          <w:cols w:equalWidth="0" w:num="2">
            <w:col w:w="4486" w:space="100"/>
            <w:col w:w="4256" w:space="0"/>
          </w:cols>
        </w:sectPr>
        <w:rPr>
          <w:rFonts w:ascii="KaiTi" w:hAnsi="KaiTi" w:eastAsia="KaiTi" w:cs="KaiTi"/>
        </w:rPr>
      </w:pPr>
    </w:p>
    <w:p>
      <w:pPr>
        <w:spacing w:line="298" w:lineRule="auto"/>
        <w:rPr>
          <w:rFonts w:ascii="Arial"/>
          <w:sz w:val="21"/>
        </w:rPr>
      </w:pPr>
      <w:r>
        <w:drawing>
          <wp:anchor distT="0" distB="0" distL="0" distR="0" simplePos="0" relativeHeight="252057600" behindDoc="0" locked="0" layoutInCell="1" allowOverlap="1">
            <wp:simplePos x="0" y="0"/>
            <wp:positionH relativeFrom="column">
              <wp:posOffset>2341</wp:posOffset>
            </wp:positionH>
            <wp:positionV relativeFrom="paragraph">
              <wp:posOffset>-5248076</wp:posOffset>
            </wp:positionV>
            <wp:extent cx="5579745" cy="7619"/>
            <wp:effectExtent l="0" t="0" r="0" b="0"/>
            <wp:wrapNone/>
            <wp:docPr id="1116" name="IM 1116"/>
            <wp:cNvGraphicFramePr/>
            <a:graphic>
              <a:graphicData uri="http://schemas.openxmlformats.org/drawingml/2006/picture">
                <pic:pic>
                  <pic:nvPicPr>
                    <pic:cNvPr id="1116" name="IM 1116"/>
                    <pic:cNvPicPr/>
                  </pic:nvPicPr>
                  <pic:blipFill>
                    <a:blip r:embed="rId560"/>
                    <a:stretch>
                      <a:fillRect/>
                    </a:stretch>
                  </pic:blipFill>
                  <pic:spPr>
                    <a:xfrm rot="0">
                      <a:off x="0" y="0"/>
                      <a:ext cx="5579745" cy="7619"/>
                    </a:xfrm>
                    <a:prstGeom prst="rect">
                      <a:avLst/>
                    </a:prstGeom>
                  </pic:spPr>
                </pic:pic>
              </a:graphicData>
            </a:graphic>
          </wp:anchor>
        </w:drawing>
      </w:r>
      <w:r/>
    </w:p>
    <w:p>
      <w:pPr>
        <w:spacing w:line="298" w:lineRule="auto"/>
        <w:rPr>
          <w:rFonts w:ascii="Arial"/>
          <w:sz w:val="21"/>
        </w:rPr>
      </w:pPr>
      <w:r/>
    </w:p>
    <w:p>
      <w:pPr>
        <w:spacing w:line="298" w:lineRule="auto"/>
        <w:rPr>
          <w:rFonts w:ascii="Arial"/>
          <w:sz w:val="21"/>
        </w:rPr>
      </w:pPr>
      <w:r/>
    </w:p>
    <w:p>
      <w:pPr>
        <w:ind w:left="25"/>
        <w:spacing w:before="87" w:line="21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附件 2</w:t>
      </w:r>
    </w:p>
    <w:p>
      <w:pPr>
        <w:spacing w:line="409" w:lineRule="auto"/>
        <w:rPr>
          <w:rFonts w:ascii="Arial"/>
          <w:sz w:val="21"/>
        </w:rPr>
      </w:pPr>
      <w:r/>
    </w:p>
    <w:p>
      <w:pPr>
        <w:ind w:left="427"/>
        <w:spacing w:before="184" w:line="185"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12"/>
        </w:rPr>
        <w:t>固原市人民政府宣布失效的行政规范性文件</w:t>
      </w:r>
    </w:p>
    <w:p>
      <w:pPr>
        <w:ind w:left="3787"/>
        <w:spacing w:before="202" w:line="265" w:lineRule="exact"/>
        <w:rPr>
          <w:rFonts w:ascii="KaiTi" w:hAnsi="KaiTi" w:eastAsia="KaiTi" w:cs="KaiTi"/>
          <w:sz w:val="20"/>
          <w:szCs w:val="20"/>
        </w:rPr>
      </w:pPr>
      <w:r>
        <w:rPr>
          <w:rFonts w:ascii="KaiTi" w:hAnsi="KaiTi" w:eastAsia="KaiTi" w:cs="KaiTi"/>
          <w:sz w:val="20"/>
          <w:szCs w:val="20"/>
          <w:spacing w:val="4"/>
          <w:position w:val="1"/>
        </w:rPr>
        <w:t>（共</w:t>
      </w:r>
      <w:r>
        <w:rPr>
          <w:rFonts w:ascii="KaiTi" w:hAnsi="KaiTi" w:eastAsia="KaiTi" w:cs="KaiTi"/>
          <w:sz w:val="20"/>
          <w:szCs w:val="20"/>
          <w:spacing w:val="-18"/>
          <w:position w:val="1"/>
        </w:rPr>
        <w:t xml:space="preserve"> </w:t>
      </w:r>
      <w:r>
        <w:rPr>
          <w:rFonts w:ascii="Times New Roman" w:hAnsi="Times New Roman" w:eastAsia="Times New Roman" w:cs="Times New Roman"/>
          <w:sz w:val="20"/>
          <w:szCs w:val="20"/>
          <w:spacing w:val="4"/>
          <w:position w:val="1"/>
        </w:rPr>
        <w:t>13 </w:t>
      </w:r>
      <w:r>
        <w:rPr>
          <w:rFonts w:ascii="KaiTi" w:hAnsi="KaiTi" w:eastAsia="KaiTi" w:cs="KaiTi"/>
          <w:sz w:val="20"/>
          <w:szCs w:val="20"/>
          <w:spacing w:val="4"/>
          <w:position w:val="1"/>
        </w:rPr>
        <w:t>件）</w:t>
      </w:r>
    </w:p>
    <w:p>
      <w:pPr>
        <w:spacing w:before="127"/>
        <w:rPr/>
      </w:pPr>
      <w:r/>
    </w:p>
    <w:p>
      <w:pPr>
        <w:sectPr>
          <w:type w:val="continuous"/>
          <w:pgSz w:w="11906" w:h="16839"/>
          <w:pgMar w:top="1769" w:right="1480" w:bottom="1570" w:left="1584" w:header="1428" w:footer="1172" w:gutter="0"/>
          <w:cols w:equalWidth="0" w:num="1">
            <w:col w:w="8842" w:space="0"/>
          </w:cols>
        </w:sectPr>
        <w:rPr/>
      </w:pPr>
    </w:p>
    <w:p>
      <w:pPr>
        <w:pStyle w:val="BodyText"/>
        <w:ind w:left="9" w:right="224" w:firstLine="420"/>
        <w:spacing w:before="52" w:line="328" w:lineRule="auto"/>
        <w:rPr>
          <w:rFonts w:ascii="KaiTi" w:hAnsi="KaiTi" w:eastAsia="KaiTi" w:cs="KaiTi"/>
        </w:rPr>
      </w:pPr>
      <w:r>
        <w:rPr>
          <w:spacing w:val="6"/>
        </w:rPr>
        <w:t>一、固原市人民政府关于印发固原市老旧</w:t>
      </w:r>
      <w:r>
        <w:rPr>
          <w:spacing w:val="-1"/>
        </w:rPr>
        <w:t>小区综合整治实施方案的通知</w:t>
      </w:r>
      <w:r>
        <w:rPr>
          <w:rFonts w:ascii="KaiTi" w:hAnsi="KaiTi" w:eastAsia="KaiTi" w:cs="KaiTi"/>
          <w:spacing w:val="-1"/>
        </w:rPr>
        <w:t>（</w:t>
      </w:r>
      <w:r>
        <w:rPr>
          <w:rFonts w:ascii="KaiTi" w:hAnsi="KaiTi" w:eastAsia="KaiTi" w:cs="KaiTi"/>
          <w:spacing w:val="-25"/>
        </w:rPr>
        <w:t xml:space="preserve"> </w:t>
      </w:r>
      <w:r>
        <w:rPr>
          <w:rFonts w:ascii="KaiTi" w:hAnsi="KaiTi" w:eastAsia="KaiTi" w:cs="KaiTi"/>
          <w:spacing w:val="-1"/>
        </w:rPr>
        <w:t>固政发〔2015〕</w:t>
      </w:r>
      <w:r>
        <w:rPr>
          <w:rFonts w:ascii="KaiTi" w:hAnsi="KaiTi" w:eastAsia="KaiTi" w:cs="KaiTi"/>
        </w:rPr>
        <w:t xml:space="preserve"> </w:t>
      </w:r>
      <w:r>
        <w:rPr>
          <w:rFonts w:ascii="KaiTi" w:hAnsi="KaiTi" w:eastAsia="KaiTi" w:cs="KaiTi"/>
          <w:spacing w:val="1"/>
        </w:rPr>
        <w:t>85</w:t>
      </w:r>
      <w:r>
        <w:rPr>
          <w:rFonts w:ascii="KaiTi" w:hAnsi="KaiTi" w:eastAsia="KaiTi" w:cs="KaiTi"/>
          <w:spacing w:val="-34"/>
        </w:rPr>
        <w:t xml:space="preserve"> </w:t>
      </w:r>
      <w:r>
        <w:rPr>
          <w:rFonts w:ascii="KaiTi" w:hAnsi="KaiTi" w:eastAsia="KaiTi" w:cs="KaiTi"/>
          <w:spacing w:val="1"/>
        </w:rPr>
        <w:t>号）</w:t>
      </w:r>
    </w:p>
    <w:p>
      <w:pPr>
        <w:pStyle w:val="BodyText"/>
        <w:ind w:left="429"/>
        <w:spacing w:before="144" w:line="217" w:lineRule="auto"/>
        <w:rPr/>
      </w:pPr>
      <w:r>
        <w:rPr>
          <w:spacing w:val="6"/>
        </w:rPr>
        <w:t>二、固原市人民政府办公室关于印发固原</w:t>
      </w:r>
    </w:p>
    <w:p>
      <w:pPr>
        <w:spacing w:line="14" w:lineRule="auto"/>
        <w:rPr>
          <w:rFonts w:ascii="Arial"/>
          <w:sz w:val="2"/>
        </w:rPr>
      </w:pPr>
      <w:r>
        <w:rPr>
          <w:rFonts w:ascii="Arial" w:hAnsi="Arial" w:eastAsia="Arial" w:cs="Arial"/>
          <w:sz w:val="2"/>
          <w:szCs w:val="2"/>
        </w:rPr>
        <w:br w:type="column"/>
      </w:r>
    </w:p>
    <w:p>
      <w:pPr>
        <w:pStyle w:val="BodyText"/>
        <w:ind w:right="110"/>
        <w:spacing w:before="45" w:line="373" w:lineRule="auto"/>
        <w:rPr>
          <w:rFonts w:ascii="KaiTi" w:hAnsi="KaiTi" w:eastAsia="KaiTi" w:cs="KaiTi"/>
        </w:rPr>
      </w:pPr>
      <w:r>
        <w:rPr>
          <w:spacing w:val="3"/>
        </w:rPr>
        <w:t>市城市施工扬尘污染治理实施方案的通知</w:t>
      </w:r>
      <w:r>
        <w:rPr>
          <w:rFonts w:ascii="KaiTi" w:hAnsi="KaiTi" w:eastAsia="KaiTi" w:cs="KaiTi"/>
          <w:spacing w:val="3"/>
        </w:rPr>
        <w:t>（</w:t>
      </w:r>
      <w:r>
        <w:rPr>
          <w:rFonts w:ascii="KaiTi" w:hAnsi="KaiTi" w:eastAsia="KaiTi" w:cs="KaiTi"/>
          <w:spacing w:val="-17"/>
        </w:rPr>
        <w:t xml:space="preserve"> </w:t>
      </w:r>
      <w:r>
        <w:rPr>
          <w:rFonts w:ascii="KaiTi" w:hAnsi="KaiTi" w:eastAsia="KaiTi" w:cs="KaiTi"/>
          <w:spacing w:val="3"/>
        </w:rPr>
        <w:t>固</w:t>
      </w:r>
      <w:r>
        <w:rPr>
          <w:rFonts w:ascii="KaiTi" w:hAnsi="KaiTi" w:eastAsia="KaiTi" w:cs="KaiTi"/>
          <w:spacing w:val="5"/>
        </w:rPr>
        <w:t>政办发〔2016〕9</w:t>
      </w:r>
      <w:r>
        <w:rPr>
          <w:rFonts w:ascii="KaiTi" w:hAnsi="KaiTi" w:eastAsia="KaiTi" w:cs="KaiTi"/>
          <w:spacing w:val="-34"/>
        </w:rPr>
        <w:t xml:space="preserve"> </w:t>
      </w:r>
      <w:r>
        <w:rPr>
          <w:rFonts w:ascii="KaiTi" w:hAnsi="KaiTi" w:eastAsia="KaiTi" w:cs="KaiTi"/>
          <w:spacing w:val="5"/>
        </w:rPr>
        <w:t>号）</w:t>
      </w:r>
    </w:p>
    <w:p>
      <w:pPr>
        <w:pStyle w:val="BodyText"/>
        <w:ind w:right="110" w:firstLine="421"/>
        <w:spacing w:before="4" w:line="295" w:lineRule="auto"/>
        <w:rPr>
          <w:rFonts w:ascii="KaiTi" w:hAnsi="KaiTi" w:eastAsia="KaiTi" w:cs="KaiTi"/>
        </w:rPr>
      </w:pPr>
      <w:r>
        <w:rPr>
          <w:spacing w:val="6"/>
        </w:rPr>
        <w:t>三、固原市人民政府关于印发固原市旅游</w:t>
      </w:r>
      <w:r>
        <w:rPr>
          <w:spacing w:val="3"/>
        </w:rPr>
        <w:t>景区食品安全专项治理工作方案的通知</w:t>
      </w:r>
      <w:r>
        <w:rPr>
          <w:rFonts w:ascii="KaiTi" w:hAnsi="KaiTi" w:eastAsia="KaiTi" w:cs="KaiTi"/>
          <w:spacing w:val="3"/>
        </w:rPr>
        <w:t>（</w:t>
      </w:r>
      <w:r>
        <w:rPr>
          <w:rFonts w:ascii="KaiTi" w:hAnsi="KaiTi" w:eastAsia="KaiTi" w:cs="KaiTi"/>
          <w:spacing w:val="-18"/>
        </w:rPr>
        <w:t xml:space="preserve"> </w:t>
      </w:r>
      <w:r>
        <w:rPr>
          <w:rFonts w:ascii="KaiTi" w:hAnsi="KaiTi" w:eastAsia="KaiTi" w:cs="KaiTi"/>
          <w:spacing w:val="3"/>
        </w:rPr>
        <w:t>固政</w:t>
      </w:r>
    </w:p>
    <w:p>
      <w:pPr>
        <w:spacing w:line="295" w:lineRule="auto"/>
        <w:sectPr>
          <w:type w:val="continuous"/>
          <w:pgSz w:w="11906" w:h="16839"/>
          <w:pgMar w:top="1769" w:right="1480" w:bottom="1570" w:left="1584" w:header="1428" w:footer="1172" w:gutter="0"/>
          <w:cols w:equalWidth="0" w:num="2">
            <w:col w:w="4487" w:space="100"/>
            <w:col w:w="4255" w:space="0"/>
          </w:cols>
        </w:sectPr>
        <w:rPr>
          <w:rFonts w:ascii="KaiTi" w:hAnsi="KaiTi" w:eastAsia="KaiTi" w:cs="KaiTi"/>
        </w:rPr>
      </w:pPr>
    </w:p>
    <w:p>
      <w:pPr>
        <w:spacing w:before="68"/>
        <w:rPr/>
      </w:pPr>
      <w:r/>
    </w:p>
    <w:p>
      <w:pPr>
        <w:sectPr>
          <w:headerReference w:type="default" r:id="rId561"/>
          <w:footerReference w:type="default" r:id="rId562"/>
          <w:pgSz w:w="11906" w:h="16839"/>
          <w:pgMar w:top="1766" w:right="1480" w:bottom="1563" w:left="1579" w:header="1428" w:footer="1172" w:gutter="0"/>
          <w:cols w:equalWidth="0" w:num="1">
            <w:col w:w="8846" w:space="0"/>
          </w:cols>
        </w:sectPr>
        <w:rPr/>
      </w:pPr>
    </w:p>
    <w:p>
      <w:pPr>
        <w:ind w:left="14"/>
        <w:spacing w:before="50" w:line="263" w:lineRule="exact"/>
        <w:rPr>
          <w:rFonts w:ascii="KaiTi" w:hAnsi="KaiTi" w:eastAsia="KaiTi" w:cs="KaiTi"/>
          <w:sz w:val="20"/>
          <w:szCs w:val="20"/>
        </w:rPr>
      </w:pPr>
      <w:r>
        <w:rPr>
          <w:rFonts w:ascii="KaiTi" w:hAnsi="KaiTi" w:eastAsia="KaiTi" w:cs="KaiTi"/>
          <w:sz w:val="20"/>
          <w:szCs w:val="20"/>
          <w:spacing w:val="3"/>
          <w:position w:val="1"/>
        </w:rPr>
        <w:t>发〔2017〕62</w:t>
      </w:r>
      <w:r>
        <w:rPr>
          <w:rFonts w:ascii="KaiTi" w:hAnsi="KaiTi" w:eastAsia="KaiTi" w:cs="KaiTi"/>
          <w:sz w:val="20"/>
          <w:szCs w:val="20"/>
          <w:spacing w:val="-27"/>
          <w:position w:val="1"/>
        </w:rPr>
        <w:t xml:space="preserve"> </w:t>
      </w:r>
      <w:r>
        <w:rPr>
          <w:rFonts w:ascii="KaiTi" w:hAnsi="KaiTi" w:eastAsia="KaiTi" w:cs="KaiTi"/>
          <w:sz w:val="20"/>
          <w:szCs w:val="20"/>
          <w:spacing w:val="3"/>
          <w:position w:val="1"/>
        </w:rPr>
        <w:t>号）</w:t>
      </w:r>
    </w:p>
    <w:p>
      <w:pPr>
        <w:pStyle w:val="BodyText"/>
        <w:ind w:left="14" w:right="326" w:firstLine="440"/>
        <w:spacing w:before="142" w:line="326" w:lineRule="auto"/>
        <w:rPr>
          <w:rFonts w:ascii="KaiTi" w:hAnsi="KaiTi" w:eastAsia="KaiTi" w:cs="KaiTi"/>
        </w:rPr>
      </w:pPr>
      <w:r>
        <w:rPr>
          <w:spacing w:val="5"/>
        </w:rPr>
        <w:t>四、固原市人民政府办公室关于印发固原</w:t>
      </w:r>
      <w:r>
        <w:rPr>
          <w:spacing w:val="18"/>
        </w:rPr>
        <w:t>市推进家庭医生签约服务工作实施方案的通</w:t>
      </w:r>
      <w:r>
        <w:rPr>
          <w:spacing w:val="1"/>
        </w:rPr>
        <w:t>知</w:t>
      </w:r>
      <w:r>
        <w:rPr>
          <w:rFonts w:ascii="KaiTi" w:hAnsi="KaiTi" w:eastAsia="KaiTi" w:cs="KaiTi"/>
          <w:spacing w:val="1"/>
        </w:rPr>
        <w:t>（</w:t>
      </w:r>
      <w:r>
        <w:rPr>
          <w:rFonts w:ascii="KaiTi" w:hAnsi="KaiTi" w:eastAsia="KaiTi" w:cs="KaiTi"/>
          <w:spacing w:val="-25"/>
        </w:rPr>
        <w:t xml:space="preserve"> </w:t>
      </w:r>
      <w:r>
        <w:rPr>
          <w:rFonts w:ascii="KaiTi" w:hAnsi="KaiTi" w:eastAsia="KaiTi" w:cs="KaiTi"/>
          <w:spacing w:val="1"/>
        </w:rPr>
        <w:t>固政办发〔2017〕49</w:t>
      </w:r>
      <w:r>
        <w:rPr>
          <w:rFonts w:ascii="KaiTi" w:hAnsi="KaiTi" w:eastAsia="KaiTi" w:cs="KaiTi"/>
          <w:spacing w:val="-36"/>
        </w:rPr>
        <w:t xml:space="preserve"> </w:t>
      </w:r>
      <w:r>
        <w:rPr>
          <w:rFonts w:ascii="KaiTi" w:hAnsi="KaiTi" w:eastAsia="KaiTi" w:cs="KaiTi"/>
          <w:spacing w:val="1"/>
        </w:rPr>
        <w:t>号）</w:t>
      </w:r>
    </w:p>
    <w:p>
      <w:pPr>
        <w:pStyle w:val="BodyText"/>
        <w:ind w:left="12" w:right="326" w:firstLine="425"/>
        <w:spacing w:before="140" w:line="326" w:lineRule="auto"/>
        <w:rPr>
          <w:rFonts w:ascii="KaiTi" w:hAnsi="KaiTi" w:eastAsia="KaiTi" w:cs="KaiTi"/>
        </w:rPr>
      </w:pPr>
      <w:r>
        <w:rPr>
          <w:spacing w:val="6"/>
        </w:rPr>
        <w:t>五、固原市人民政府办公室关于印发固原</w:t>
      </w:r>
      <w:r>
        <w:rPr>
          <w:spacing w:val="18"/>
        </w:rPr>
        <w:t>市市辖区改革工业用地供应方式试点实施细</w:t>
      </w:r>
      <w:r>
        <w:rPr>
          <w:spacing w:val="2"/>
        </w:rPr>
        <w:t>则的通知</w:t>
      </w:r>
      <w:r>
        <w:rPr>
          <w:rFonts w:ascii="KaiTi" w:hAnsi="KaiTi" w:eastAsia="KaiTi" w:cs="KaiTi"/>
          <w:spacing w:val="2"/>
        </w:rPr>
        <w:t>（</w:t>
      </w:r>
      <w:r>
        <w:rPr>
          <w:rFonts w:ascii="KaiTi" w:hAnsi="KaiTi" w:eastAsia="KaiTi" w:cs="KaiTi"/>
          <w:spacing w:val="-16"/>
        </w:rPr>
        <w:t xml:space="preserve"> </w:t>
      </w:r>
      <w:r>
        <w:rPr>
          <w:rFonts w:ascii="KaiTi" w:hAnsi="KaiTi" w:eastAsia="KaiTi" w:cs="KaiTi"/>
          <w:spacing w:val="2"/>
        </w:rPr>
        <w:t>固政办发〔2017〕64</w:t>
      </w:r>
      <w:r>
        <w:rPr>
          <w:rFonts w:ascii="KaiTi" w:hAnsi="KaiTi" w:eastAsia="KaiTi" w:cs="KaiTi"/>
          <w:spacing w:val="-33"/>
        </w:rPr>
        <w:t xml:space="preserve"> </w:t>
      </w:r>
      <w:r>
        <w:rPr>
          <w:rFonts w:ascii="KaiTi" w:hAnsi="KaiTi" w:eastAsia="KaiTi" w:cs="KaiTi"/>
          <w:spacing w:val="2"/>
        </w:rPr>
        <w:t>号）</w:t>
      </w:r>
    </w:p>
    <w:p>
      <w:pPr>
        <w:pStyle w:val="BodyText"/>
        <w:ind w:left="4" w:right="326" w:firstLine="428"/>
        <w:spacing w:before="139" w:line="330" w:lineRule="auto"/>
        <w:rPr>
          <w:rFonts w:ascii="KaiTi" w:hAnsi="KaiTi" w:eastAsia="KaiTi" w:cs="KaiTi"/>
        </w:rPr>
      </w:pPr>
      <w:r>
        <w:rPr>
          <w:spacing w:val="6"/>
        </w:rPr>
        <w:t>六、固原市人民政府办公室关于印发固原</w:t>
      </w:r>
      <w:r>
        <w:rPr>
          <w:spacing w:val="18"/>
        </w:rPr>
        <w:t>市市本级建设项目中介服务机构库管理办法</w:t>
      </w:r>
      <w:r>
        <w:rPr>
          <w:spacing w:val="4"/>
        </w:rPr>
        <w:t>（试行）的通知</w:t>
      </w:r>
      <w:r>
        <w:rPr>
          <w:rFonts w:ascii="KaiTi" w:hAnsi="KaiTi" w:eastAsia="KaiTi" w:cs="KaiTi"/>
          <w:spacing w:val="4"/>
        </w:rPr>
        <w:t>（</w:t>
      </w:r>
      <w:r>
        <w:rPr>
          <w:rFonts w:ascii="KaiTi" w:hAnsi="KaiTi" w:eastAsia="KaiTi" w:cs="KaiTi"/>
          <w:spacing w:val="-27"/>
        </w:rPr>
        <w:t xml:space="preserve"> </w:t>
      </w:r>
      <w:r>
        <w:rPr>
          <w:rFonts w:ascii="KaiTi" w:hAnsi="KaiTi" w:eastAsia="KaiTi" w:cs="KaiTi"/>
          <w:spacing w:val="4"/>
        </w:rPr>
        <w:t>固政办发〔2017〕97</w:t>
      </w:r>
      <w:r>
        <w:rPr>
          <w:rFonts w:ascii="KaiTi" w:hAnsi="KaiTi" w:eastAsia="KaiTi" w:cs="KaiTi"/>
          <w:spacing w:val="-36"/>
        </w:rPr>
        <w:t xml:space="preserve"> </w:t>
      </w:r>
      <w:r>
        <w:rPr>
          <w:rFonts w:ascii="KaiTi" w:hAnsi="KaiTi" w:eastAsia="KaiTi" w:cs="KaiTi"/>
          <w:spacing w:val="4"/>
        </w:rPr>
        <w:t>号）</w:t>
      </w:r>
    </w:p>
    <w:p>
      <w:pPr>
        <w:pStyle w:val="BodyText"/>
        <w:ind w:left="14" w:right="326" w:firstLine="418"/>
        <w:spacing w:before="129" w:line="326" w:lineRule="auto"/>
        <w:rPr>
          <w:rFonts w:ascii="KaiTi" w:hAnsi="KaiTi" w:eastAsia="KaiTi" w:cs="KaiTi"/>
        </w:rPr>
      </w:pPr>
      <w:r>
        <w:rPr>
          <w:spacing w:val="7"/>
        </w:rPr>
        <w:t>七、固原市人民政府办公室关于印发固原</w:t>
      </w:r>
      <w:r>
        <w:rPr>
          <w:spacing w:val="13"/>
        </w:rPr>
        <w:t>市</w:t>
      </w:r>
      <w:r>
        <w:rPr>
          <w:rFonts w:ascii="Times New Roman" w:hAnsi="Times New Roman" w:eastAsia="Times New Roman" w:cs="Times New Roman"/>
          <w:spacing w:val="13"/>
        </w:rPr>
        <w:t>“</w:t>
      </w:r>
      <w:r>
        <w:rPr>
          <w:spacing w:val="13"/>
        </w:rPr>
        <w:t>绿盾</w:t>
      </w:r>
      <w:r>
        <w:rPr>
          <w:spacing w:val="-20"/>
        </w:rPr>
        <w:t xml:space="preserve"> </w:t>
      </w:r>
      <w:r>
        <w:rPr>
          <w:rFonts w:ascii="Times New Roman" w:hAnsi="Times New Roman" w:eastAsia="Times New Roman" w:cs="Times New Roman"/>
          <w:spacing w:val="13"/>
        </w:rPr>
        <w:t>2017”</w:t>
      </w:r>
      <w:r>
        <w:rPr>
          <w:spacing w:val="13"/>
        </w:rPr>
        <w:t>自然保护区清理整治专项行动</w:t>
      </w:r>
      <w:r>
        <w:rPr>
          <w:spacing w:val="3"/>
        </w:rPr>
        <w:t>工作方案的通知</w:t>
      </w:r>
      <w:r>
        <w:rPr>
          <w:rFonts w:ascii="KaiTi" w:hAnsi="KaiTi" w:eastAsia="KaiTi" w:cs="KaiTi"/>
          <w:spacing w:val="3"/>
        </w:rPr>
        <w:t>（</w:t>
      </w:r>
      <w:r>
        <w:rPr>
          <w:rFonts w:ascii="KaiTi" w:hAnsi="KaiTi" w:eastAsia="KaiTi" w:cs="KaiTi"/>
          <w:spacing w:val="-16"/>
        </w:rPr>
        <w:t xml:space="preserve"> </w:t>
      </w:r>
      <w:r>
        <w:rPr>
          <w:rFonts w:ascii="KaiTi" w:hAnsi="KaiTi" w:eastAsia="KaiTi" w:cs="KaiTi"/>
          <w:spacing w:val="3"/>
        </w:rPr>
        <w:t>固政办发〔2017〕109</w:t>
      </w:r>
      <w:r>
        <w:rPr>
          <w:rFonts w:ascii="KaiTi" w:hAnsi="KaiTi" w:eastAsia="KaiTi" w:cs="KaiTi"/>
          <w:spacing w:val="-34"/>
        </w:rPr>
        <w:t xml:space="preserve"> </w:t>
      </w:r>
      <w:r>
        <w:rPr>
          <w:rFonts w:ascii="KaiTi" w:hAnsi="KaiTi" w:eastAsia="KaiTi" w:cs="KaiTi"/>
          <w:spacing w:val="3"/>
        </w:rPr>
        <w:t>号）</w:t>
      </w:r>
    </w:p>
    <w:p>
      <w:pPr>
        <w:pStyle w:val="BodyText"/>
        <w:ind w:left="14" w:right="326" w:firstLine="416"/>
        <w:spacing w:before="139" w:line="286" w:lineRule="auto"/>
        <w:rPr/>
      </w:pPr>
      <w:r>
        <w:rPr>
          <w:spacing w:val="7"/>
        </w:rPr>
        <w:t>八、固原市人民政府办公室关于印发固原</w:t>
      </w:r>
      <w:r>
        <w:rPr>
          <w:spacing w:val="18"/>
        </w:rPr>
        <w:t>市治理货运车辆超限超载工作实施方案的通</w:t>
      </w:r>
    </w:p>
    <w:p>
      <w:pPr>
        <w:spacing w:line="14" w:lineRule="auto"/>
        <w:rPr>
          <w:rFonts w:ascii="Arial"/>
          <w:sz w:val="2"/>
        </w:rPr>
      </w:pPr>
      <w:r>
        <w:rPr>
          <w:rFonts w:ascii="Arial" w:hAnsi="Arial" w:eastAsia="Arial" w:cs="Arial"/>
          <w:sz w:val="2"/>
          <w:szCs w:val="2"/>
        </w:rPr>
        <w:br w:type="column"/>
      </w:r>
    </w:p>
    <w:p>
      <w:pPr>
        <w:pStyle w:val="BodyText"/>
        <w:spacing w:before="46" w:line="276" w:lineRule="exact"/>
        <w:jc w:val="right"/>
        <w:rPr>
          <w:rFonts w:ascii="KaiTi" w:hAnsi="KaiTi" w:eastAsia="KaiTi" w:cs="KaiTi"/>
        </w:rPr>
      </w:pPr>
      <w:r>
        <w:rPr>
          <w:spacing w:val="1"/>
          <w:position w:val="1"/>
        </w:rPr>
        <w:t>知（</w:t>
      </w:r>
      <w:r>
        <w:rPr>
          <w:rFonts w:ascii="Times New Roman" w:hAnsi="Times New Roman" w:eastAsia="Times New Roman" w:cs="Times New Roman"/>
          <w:spacing w:val="1"/>
          <w:position w:val="1"/>
        </w:rPr>
        <w:t>2018-2020 </w:t>
      </w:r>
      <w:r>
        <w:rPr>
          <w:spacing w:val="1"/>
          <w:position w:val="1"/>
        </w:rPr>
        <w:t>年</w:t>
      </w:r>
      <w:r>
        <w:rPr>
          <w:spacing w:val="-45"/>
          <w:w w:val="90"/>
          <w:position w:val="1"/>
        </w:rPr>
        <w:t>）</w:t>
      </w:r>
      <w:r>
        <w:rPr>
          <w:rFonts w:ascii="KaiTi" w:hAnsi="KaiTi" w:eastAsia="KaiTi" w:cs="KaiTi"/>
          <w:spacing w:val="-45"/>
          <w:w w:val="90"/>
          <w:position w:val="1"/>
        </w:rPr>
        <w:t>（</w:t>
      </w:r>
      <w:r>
        <w:rPr>
          <w:rFonts w:ascii="KaiTi" w:hAnsi="KaiTi" w:eastAsia="KaiTi" w:cs="KaiTi"/>
          <w:spacing w:val="-26"/>
          <w:position w:val="1"/>
        </w:rPr>
        <w:t xml:space="preserve"> </w:t>
      </w:r>
      <w:r>
        <w:rPr>
          <w:rFonts w:ascii="KaiTi" w:hAnsi="KaiTi" w:eastAsia="KaiTi" w:cs="KaiTi"/>
          <w:spacing w:val="1"/>
          <w:position w:val="1"/>
        </w:rPr>
        <w:t>固政办规发〔2018〕2</w:t>
      </w:r>
      <w:r>
        <w:rPr>
          <w:rFonts w:ascii="KaiTi" w:hAnsi="KaiTi" w:eastAsia="KaiTi" w:cs="KaiTi"/>
          <w:spacing w:val="-37"/>
          <w:position w:val="1"/>
        </w:rPr>
        <w:t xml:space="preserve"> </w:t>
      </w:r>
      <w:r>
        <w:rPr>
          <w:rFonts w:ascii="KaiTi" w:hAnsi="KaiTi" w:eastAsia="KaiTi" w:cs="KaiTi"/>
          <w:spacing w:val="1"/>
          <w:position w:val="1"/>
        </w:rPr>
        <w:t>号）</w:t>
      </w:r>
    </w:p>
    <w:p>
      <w:pPr>
        <w:pStyle w:val="BodyText"/>
        <w:ind w:left="2" w:right="110" w:firstLine="423"/>
        <w:spacing w:before="128" w:line="326" w:lineRule="auto"/>
        <w:rPr>
          <w:rFonts w:ascii="KaiTi" w:hAnsi="KaiTi" w:eastAsia="KaiTi" w:cs="KaiTi"/>
        </w:rPr>
      </w:pPr>
      <w:r>
        <w:rPr>
          <w:spacing w:val="6"/>
        </w:rPr>
        <w:t>九、固原市人民政府办公室关于打赢脱贫</w:t>
      </w:r>
      <w:r>
        <w:rPr>
          <w:spacing w:val="18"/>
        </w:rPr>
        <w:t>攻坚战三年行动职业技能培训工作计划的实</w:t>
      </w:r>
      <w:r>
        <w:rPr>
          <w:spacing w:val="2"/>
        </w:rPr>
        <w:t>施意见</w:t>
      </w:r>
      <w:r>
        <w:rPr>
          <w:rFonts w:ascii="KaiTi" w:hAnsi="KaiTi" w:eastAsia="KaiTi" w:cs="KaiTi"/>
          <w:spacing w:val="2"/>
        </w:rPr>
        <w:t>（</w:t>
      </w:r>
      <w:r>
        <w:rPr>
          <w:rFonts w:ascii="KaiTi" w:hAnsi="KaiTi" w:eastAsia="KaiTi" w:cs="KaiTi"/>
          <w:spacing w:val="-14"/>
        </w:rPr>
        <w:t xml:space="preserve"> </w:t>
      </w:r>
      <w:r>
        <w:rPr>
          <w:rFonts w:ascii="KaiTi" w:hAnsi="KaiTi" w:eastAsia="KaiTi" w:cs="KaiTi"/>
          <w:spacing w:val="2"/>
        </w:rPr>
        <w:t>固政办规发〔2018〕7</w:t>
      </w:r>
      <w:r>
        <w:rPr>
          <w:rFonts w:ascii="KaiTi" w:hAnsi="KaiTi" w:eastAsia="KaiTi" w:cs="KaiTi"/>
          <w:spacing w:val="-33"/>
        </w:rPr>
        <w:t xml:space="preserve"> </w:t>
      </w:r>
      <w:r>
        <w:rPr>
          <w:rFonts w:ascii="KaiTi" w:hAnsi="KaiTi" w:eastAsia="KaiTi" w:cs="KaiTi"/>
          <w:spacing w:val="2"/>
        </w:rPr>
        <w:t>号）</w:t>
      </w:r>
    </w:p>
    <w:p>
      <w:pPr>
        <w:pStyle w:val="BodyText"/>
        <w:ind w:left="5" w:right="110" w:firstLine="425"/>
        <w:spacing w:before="143" w:line="325" w:lineRule="auto"/>
        <w:rPr>
          <w:rFonts w:ascii="KaiTi" w:hAnsi="KaiTi" w:eastAsia="KaiTi" w:cs="KaiTi"/>
        </w:rPr>
      </w:pPr>
      <w:r>
        <w:rPr>
          <w:spacing w:val="6"/>
        </w:rPr>
        <w:t>十、固原市人民政府办公室关于印发固原</w:t>
      </w:r>
      <w:r>
        <w:rPr>
          <w:spacing w:val="18"/>
        </w:rPr>
        <w:t>市公立医院薪酬制度改革试点工作实施方案</w:t>
      </w:r>
      <w:r>
        <w:rPr>
          <w:spacing w:val="2"/>
        </w:rPr>
        <w:t>的通知</w:t>
      </w:r>
      <w:r>
        <w:rPr>
          <w:rFonts w:ascii="KaiTi" w:hAnsi="KaiTi" w:eastAsia="KaiTi" w:cs="KaiTi"/>
          <w:spacing w:val="2"/>
        </w:rPr>
        <w:t>（</w:t>
      </w:r>
      <w:r>
        <w:rPr>
          <w:rFonts w:ascii="KaiTi" w:hAnsi="KaiTi" w:eastAsia="KaiTi" w:cs="KaiTi"/>
          <w:spacing w:val="-25"/>
        </w:rPr>
        <w:t xml:space="preserve"> </w:t>
      </w:r>
      <w:r>
        <w:rPr>
          <w:rFonts w:ascii="KaiTi" w:hAnsi="KaiTi" w:eastAsia="KaiTi" w:cs="KaiTi"/>
          <w:spacing w:val="2"/>
        </w:rPr>
        <w:t>固政办发〔2018〕22</w:t>
      </w:r>
      <w:r>
        <w:rPr>
          <w:rFonts w:ascii="KaiTi" w:hAnsi="KaiTi" w:eastAsia="KaiTi" w:cs="KaiTi"/>
          <w:spacing w:val="-33"/>
        </w:rPr>
        <w:t xml:space="preserve"> </w:t>
      </w:r>
      <w:r>
        <w:rPr>
          <w:rFonts w:ascii="KaiTi" w:hAnsi="KaiTi" w:eastAsia="KaiTi" w:cs="KaiTi"/>
          <w:spacing w:val="2"/>
        </w:rPr>
        <w:t>号）</w:t>
      </w:r>
    </w:p>
    <w:p>
      <w:pPr>
        <w:pStyle w:val="BodyText"/>
        <w:ind w:right="110" w:firstLine="431"/>
        <w:spacing w:before="143" w:line="325" w:lineRule="auto"/>
        <w:rPr>
          <w:rFonts w:ascii="KaiTi" w:hAnsi="KaiTi" w:eastAsia="KaiTi" w:cs="KaiTi"/>
        </w:rPr>
      </w:pPr>
      <w:r>
        <w:rPr>
          <w:spacing w:val="6"/>
        </w:rPr>
        <w:t>十一、固原市人民政府关于印发固原市二</w:t>
      </w:r>
      <w:r>
        <w:rPr>
          <w:spacing w:val="11"/>
        </w:rPr>
        <w:t>次供水管理办法（试行）</w:t>
      </w:r>
      <w:r>
        <w:rPr>
          <w:spacing w:val="-41"/>
        </w:rPr>
        <w:t xml:space="preserve"> </w:t>
      </w:r>
      <w:r>
        <w:rPr>
          <w:spacing w:val="11"/>
        </w:rPr>
        <w:t>的通知</w:t>
      </w:r>
      <w:r>
        <w:rPr>
          <w:rFonts w:ascii="KaiTi" w:hAnsi="KaiTi" w:eastAsia="KaiTi" w:cs="KaiTi"/>
          <w:spacing w:val="11"/>
        </w:rPr>
        <w:t>（</w:t>
      </w:r>
      <w:r>
        <w:rPr>
          <w:rFonts w:ascii="KaiTi" w:hAnsi="KaiTi" w:eastAsia="KaiTi" w:cs="KaiTi"/>
          <w:spacing w:val="-19"/>
        </w:rPr>
        <w:t xml:space="preserve"> </w:t>
      </w:r>
      <w:r>
        <w:rPr>
          <w:rFonts w:ascii="KaiTi" w:hAnsi="KaiTi" w:eastAsia="KaiTi" w:cs="KaiTi"/>
          <w:spacing w:val="11"/>
        </w:rPr>
        <w:t>固政规发</w:t>
      </w:r>
      <w:r>
        <w:rPr>
          <w:rFonts w:ascii="KaiTi" w:hAnsi="KaiTi" w:eastAsia="KaiTi" w:cs="KaiTi"/>
          <w:spacing w:val="4"/>
        </w:rPr>
        <w:t>〔2019〕2</w:t>
      </w:r>
      <w:r>
        <w:rPr>
          <w:rFonts w:ascii="KaiTi" w:hAnsi="KaiTi" w:eastAsia="KaiTi" w:cs="KaiTi"/>
          <w:spacing w:val="-36"/>
        </w:rPr>
        <w:t xml:space="preserve"> </w:t>
      </w:r>
      <w:r>
        <w:rPr>
          <w:rFonts w:ascii="KaiTi" w:hAnsi="KaiTi" w:eastAsia="KaiTi" w:cs="KaiTi"/>
          <w:spacing w:val="4"/>
        </w:rPr>
        <w:t>号）</w:t>
      </w:r>
    </w:p>
    <w:p>
      <w:pPr>
        <w:pStyle w:val="BodyText"/>
        <w:ind w:left="4" w:right="110" w:firstLine="427"/>
        <w:spacing w:before="142" w:line="303" w:lineRule="auto"/>
        <w:rPr>
          <w:rFonts w:ascii="KaiTi" w:hAnsi="KaiTi" w:eastAsia="KaiTi" w:cs="KaiTi"/>
        </w:rPr>
      </w:pPr>
      <w:r>
        <w:rPr>
          <w:spacing w:val="6"/>
        </w:rPr>
        <w:t>十二、固原市人民政府关于在市区内禁限</w:t>
      </w:r>
      <w:r>
        <w:rPr>
          <w:spacing w:val="4"/>
        </w:rPr>
        <w:t>放烟花爆竹的通告</w:t>
      </w:r>
      <w:r>
        <w:rPr>
          <w:rFonts w:ascii="KaiTi" w:hAnsi="KaiTi" w:eastAsia="KaiTi" w:cs="KaiTi"/>
          <w:spacing w:val="4"/>
        </w:rPr>
        <w:t>（</w:t>
      </w:r>
      <w:r>
        <w:rPr>
          <w:rFonts w:ascii="KaiTi" w:hAnsi="KaiTi" w:eastAsia="KaiTi" w:cs="KaiTi"/>
          <w:spacing w:val="-27"/>
        </w:rPr>
        <w:t xml:space="preserve"> </w:t>
      </w:r>
      <w:r>
        <w:rPr>
          <w:rFonts w:ascii="KaiTi" w:hAnsi="KaiTi" w:eastAsia="KaiTi" w:cs="KaiTi"/>
          <w:spacing w:val="4"/>
        </w:rPr>
        <w:t>固政规发〔2020〕1</w:t>
      </w:r>
      <w:r>
        <w:rPr>
          <w:rFonts w:ascii="KaiTi" w:hAnsi="KaiTi" w:eastAsia="KaiTi" w:cs="KaiTi"/>
          <w:spacing w:val="-34"/>
        </w:rPr>
        <w:t xml:space="preserve"> </w:t>
      </w:r>
      <w:r>
        <w:rPr>
          <w:rFonts w:ascii="KaiTi" w:hAnsi="KaiTi" w:eastAsia="KaiTi" w:cs="KaiTi"/>
          <w:spacing w:val="4"/>
        </w:rPr>
        <w:t>号）</w:t>
      </w:r>
    </w:p>
    <w:p>
      <w:pPr>
        <w:pStyle w:val="BodyText"/>
        <w:ind w:left="2" w:firstLine="428"/>
        <w:spacing w:before="144" w:line="314" w:lineRule="auto"/>
        <w:rPr>
          <w:rFonts w:ascii="KaiTi" w:hAnsi="KaiTi" w:eastAsia="KaiTi" w:cs="KaiTi"/>
        </w:rPr>
      </w:pPr>
      <w:r>
        <w:rPr>
          <w:spacing w:val="6"/>
        </w:rPr>
        <w:t>十三、固原市人民政府关于印发关于应对</w:t>
      </w:r>
      <w:r>
        <w:rPr>
          <w:spacing w:val="18"/>
        </w:rPr>
        <w:t>新冠肺炎疫情影响强化政策落实促进重点服</w:t>
      </w:r>
      <w:r>
        <w:rPr>
          <w:spacing w:val="1"/>
        </w:rPr>
        <w:t>务业升级的措施的通知</w:t>
      </w:r>
      <w:r>
        <w:rPr>
          <w:rFonts w:ascii="KaiTi" w:hAnsi="KaiTi" w:eastAsia="KaiTi" w:cs="KaiTi"/>
          <w:spacing w:val="1"/>
        </w:rPr>
        <w:t>（</w:t>
      </w:r>
      <w:r>
        <w:rPr>
          <w:rFonts w:ascii="KaiTi" w:hAnsi="KaiTi" w:eastAsia="KaiTi" w:cs="KaiTi"/>
          <w:spacing w:val="-29"/>
        </w:rPr>
        <w:t xml:space="preserve"> </w:t>
      </w:r>
      <w:r>
        <w:rPr>
          <w:rFonts w:ascii="KaiTi" w:hAnsi="KaiTi" w:eastAsia="KaiTi" w:cs="KaiTi"/>
          <w:spacing w:val="1"/>
        </w:rPr>
        <w:t>固政发〔2020〕6</w:t>
      </w:r>
      <w:r>
        <w:rPr>
          <w:rFonts w:ascii="KaiTi" w:hAnsi="KaiTi" w:eastAsia="KaiTi" w:cs="KaiTi"/>
          <w:spacing w:val="-36"/>
        </w:rPr>
        <w:t xml:space="preserve"> </w:t>
      </w:r>
      <w:r>
        <w:rPr>
          <w:rFonts w:ascii="KaiTi" w:hAnsi="KaiTi" w:eastAsia="KaiTi" w:cs="KaiTi"/>
        </w:rPr>
        <w:t>号）</w:t>
      </w:r>
    </w:p>
    <w:p>
      <w:pPr>
        <w:spacing w:line="314" w:lineRule="auto"/>
        <w:sectPr>
          <w:type w:val="continuous"/>
          <w:pgSz w:w="11906" w:h="16839"/>
          <w:pgMar w:top="1766" w:right="1480" w:bottom="1563" w:left="1579" w:header="1428" w:footer="1172" w:gutter="0"/>
          <w:cols w:equalWidth="0" w:num="2">
            <w:col w:w="4486" w:space="100"/>
            <w:col w:w="4261" w:space="0"/>
          </w:cols>
        </w:sectPr>
        <w:rPr>
          <w:rFonts w:ascii="KaiTi" w:hAnsi="KaiTi" w:eastAsia="KaiTi" w:cs="KaiTi"/>
        </w:rPr>
      </w:pPr>
    </w:p>
    <w:p>
      <w:pPr>
        <w:spacing w:line="299" w:lineRule="auto"/>
        <w:rPr>
          <w:rFonts w:ascii="Arial"/>
          <w:sz w:val="21"/>
        </w:rPr>
      </w:pPr>
      <w:r>
        <w:drawing>
          <wp:anchor distT="0" distB="0" distL="0" distR="0" simplePos="0" relativeHeight="252059648" behindDoc="0" locked="0" layoutInCell="1" allowOverlap="1">
            <wp:simplePos x="0" y="0"/>
            <wp:positionH relativeFrom="column">
              <wp:posOffset>5393</wp:posOffset>
            </wp:positionH>
            <wp:positionV relativeFrom="paragraph">
              <wp:posOffset>-3901992</wp:posOffset>
            </wp:positionV>
            <wp:extent cx="5579745" cy="7620"/>
            <wp:effectExtent l="0" t="0" r="0" b="0"/>
            <wp:wrapNone/>
            <wp:docPr id="1122" name="IM 1122"/>
            <wp:cNvGraphicFramePr/>
            <a:graphic>
              <a:graphicData uri="http://schemas.openxmlformats.org/drawingml/2006/picture">
                <pic:pic>
                  <pic:nvPicPr>
                    <pic:cNvPr id="1122" name="IM 1122"/>
                    <pic:cNvPicPr/>
                  </pic:nvPicPr>
                  <pic:blipFill>
                    <a:blip r:embed="rId563"/>
                    <a:stretch>
                      <a:fillRect/>
                    </a:stretch>
                  </pic:blipFill>
                  <pic:spPr>
                    <a:xfrm rot="0">
                      <a:off x="0" y="0"/>
                      <a:ext cx="5579745" cy="7620"/>
                    </a:xfrm>
                    <a:prstGeom prst="rect">
                      <a:avLst/>
                    </a:prstGeom>
                  </pic:spPr>
                </pic:pic>
              </a:graphicData>
            </a:graphic>
          </wp:anchor>
        </w:drawing>
      </w:r>
      <w:r/>
    </w:p>
    <w:p>
      <w:pPr>
        <w:spacing w:line="300" w:lineRule="auto"/>
        <w:rPr>
          <w:rFonts w:ascii="Arial"/>
          <w:sz w:val="21"/>
        </w:rPr>
      </w:pPr>
      <w:r/>
    </w:p>
    <w:p>
      <w:pPr>
        <w:spacing w:line="300" w:lineRule="auto"/>
        <w:rPr>
          <w:rFonts w:ascii="Arial"/>
          <w:sz w:val="21"/>
        </w:rPr>
      </w:pPr>
      <w:r/>
    </w:p>
    <w:p>
      <w:pPr>
        <w:ind w:left="30"/>
        <w:spacing w:before="86" w:line="21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附件</w:t>
      </w:r>
      <w:r>
        <w:rPr>
          <w:rFonts w:ascii="Microsoft YaHei" w:hAnsi="Microsoft YaHei" w:eastAsia="Microsoft YaHei" w:cs="Microsoft YaHei"/>
          <w:sz w:val="20"/>
          <w:szCs w:val="20"/>
          <w:spacing w:val="-25"/>
        </w:rPr>
        <w:t xml:space="preserve"> </w:t>
      </w:r>
      <w:r>
        <w:rPr>
          <w:rFonts w:ascii="Microsoft YaHei" w:hAnsi="Microsoft YaHei" w:eastAsia="Microsoft YaHei" w:cs="Microsoft YaHei"/>
          <w:sz w:val="20"/>
          <w:szCs w:val="20"/>
          <w:spacing w:val="-9"/>
        </w:rPr>
        <w:t>3</w:t>
      </w:r>
    </w:p>
    <w:p>
      <w:pPr>
        <w:spacing w:line="410" w:lineRule="auto"/>
        <w:rPr>
          <w:rFonts w:ascii="Arial"/>
          <w:sz w:val="21"/>
        </w:rPr>
      </w:pPr>
      <w:r/>
    </w:p>
    <w:p>
      <w:pPr>
        <w:ind w:left="849"/>
        <w:spacing w:before="186" w:line="184"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12"/>
        </w:rPr>
        <w:t>固原市人民政府修订的行政规范性文件</w:t>
      </w:r>
    </w:p>
    <w:p>
      <w:pPr>
        <w:ind w:left="3792"/>
        <w:spacing w:before="203" w:line="265" w:lineRule="exact"/>
        <w:rPr>
          <w:rFonts w:ascii="KaiTi" w:hAnsi="KaiTi" w:eastAsia="KaiTi" w:cs="KaiTi"/>
          <w:sz w:val="20"/>
          <w:szCs w:val="20"/>
        </w:rPr>
      </w:pPr>
      <w:r>
        <w:rPr>
          <w:rFonts w:ascii="KaiTi" w:hAnsi="KaiTi" w:eastAsia="KaiTi" w:cs="KaiTi"/>
          <w:sz w:val="20"/>
          <w:szCs w:val="20"/>
          <w:spacing w:val="4"/>
          <w:position w:val="1"/>
        </w:rPr>
        <w:t>（共</w:t>
      </w:r>
      <w:r>
        <w:rPr>
          <w:rFonts w:ascii="KaiTi" w:hAnsi="KaiTi" w:eastAsia="KaiTi" w:cs="KaiTi"/>
          <w:sz w:val="20"/>
          <w:szCs w:val="20"/>
          <w:spacing w:val="-18"/>
          <w:position w:val="1"/>
        </w:rPr>
        <w:t xml:space="preserve"> </w:t>
      </w:r>
      <w:r>
        <w:rPr>
          <w:rFonts w:ascii="Times New Roman" w:hAnsi="Times New Roman" w:eastAsia="Times New Roman" w:cs="Times New Roman"/>
          <w:sz w:val="20"/>
          <w:szCs w:val="20"/>
          <w:spacing w:val="4"/>
          <w:position w:val="1"/>
        </w:rPr>
        <w:t>14 </w:t>
      </w:r>
      <w:r>
        <w:rPr>
          <w:rFonts w:ascii="KaiTi" w:hAnsi="KaiTi" w:eastAsia="KaiTi" w:cs="KaiTi"/>
          <w:sz w:val="20"/>
          <w:szCs w:val="20"/>
          <w:spacing w:val="4"/>
          <w:position w:val="1"/>
        </w:rPr>
        <w:t>件）</w:t>
      </w:r>
    </w:p>
    <w:p>
      <w:pPr>
        <w:spacing w:before="99"/>
        <w:rPr/>
      </w:pPr>
      <w:r/>
    </w:p>
    <w:p>
      <w:pPr>
        <w:sectPr>
          <w:type w:val="continuous"/>
          <w:pgSz w:w="11906" w:h="16839"/>
          <w:pgMar w:top="1766" w:right="1480" w:bottom="1563" w:left="1579" w:header="1428" w:footer="1172" w:gutter="0"/>
          <w:cols w:equalWidth="0" w:num="1">
            <w:col w:w="8846" w:space="0"/>
          </w:cols>
        </w:sectPr>
        <w:rPr/>
      </w:pPr>
    </w:p>
    <w:p>
      <w:pPr>
        <w:ind w:left="430"/>
        <w:spacing w:before="49" w:line="21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一、固原市殡葬管理办法（</w:t>
      </w:r>
      <w:r>
        <w:rPr>
          <w:rFonts w:ascii="Microsoft YaHei" w:hAnsi="Microsoft YaHei" w:eastAsia="Microsoft YaHei" w:cs="Microsoft YaHei"/>
          <w:sz w:val="20"/>
          <w:szCs w:val="20"/>
          <w:spacing w:val="19"/>
          <w:w w:val="101"/>
        </w:rPr>
        <w:t xml:space="preserve"> </w:t>
      </w:r>
      <w:r>
        <w:rPr>
          <w:rFonts w:ascii="Microsoft YaHei" w:hAnsi="Microsoft YaHei" w:eastAsia="Microsoft YaHei" w:cs="Microsoft YaHei"/>
          <w:sz w:val="20"/>
          <w:szCs w:val="20"/>
          <w:spacing w:val="-9"/>
        </w:rPr>
        <w:t>固政府令 11 </w:t>
      </w:r>
      <w:r>
        <w:rPr>
          <w:rFonts w:ascii="Microsoft YaHei" w:hAnsi="Microsoft YaHei" w:eastAsia="Microsoft YaHei" w:cs="Microsoft YaHei"/>
          <w:sz w:val="20"/>
          <w:szCs w:val="20"/>
          <w:spacing w:val="-10"/>
        </w:rPr>
        <w:t>号 ）</w:t>
      </w:r>
    </w:p>
    <w:p>
      <w:pPr>
        <w:pStyle w:val="BodyText"/>
        <w:ind w:left="13" w:right="328" w:firstLine="411"/>
        <w:spacing w:before="83" w:line="309" w:lineRule="auto"/>
        <w:rPr>
          <w:rFonts w:ascii="Times New Roman" w:hAnsi="Times New Roman" w:eastAsia="Times New Roman" w:cs="Times New Roman"/>
        </w:rPr>
      </w:pPr>
      <w:r>
        <w:rPr>
          <w:spacing w:val="13"/>
        </w:rPr>
        <w:t>（一）将第三条</w:t>
      </w:r>
      <w:r>
        <w:rPr>
          <w:rFonts w:ascii="Times New Roman" w:hAnsi="Times New Roman" w:eastAsia="Times New Roman" w:cs="Times New Roman"/>
          <w:spacing w:val="13"/>
        </w:rPr>
        <w:t>“</w:t>
      </w:r>
      <w:r>
        <w:rPr>
          <w:spacing w:val="13"/>
        </w:rPr>
        <w:t>殡葬管理坚持逐步实行</w:t>
      </w:r>
      <w:r>
        <w:rPr>
          <w:spacing w:val="8"/>
        </w:rPr>
        <w:t>火葬、改革土葬</w:t>
      </w:r>
      <w:r>
        <w:rPr>
          <w:rFonts w:ascii="Times New Roman" w:hAnsi="Times New Roman" w:eastAsia="Times New Roman" w:cs="Times New Roman"/>
          <w:spacing w:val="8"/>
        </w:rPr>
        <w:t>”</w:t>
      </w:r>
      <w:r>
        <w:rPr>
          <w:spacing w:val="8"/>
        </w:rPr>
        <w:t>修改为</w:t>
      </w:r>
      <w:r>
        <w:rPr>
          <w:rFonts w:ascii="Times New Roman" w:hAnsi="Times New Roman" w:eastAsia="Times New Roman" w:cs="Times New Roman"/>
          <w:spacing w:val="8"/>
        </w:rPr>
        <w:t>“</w:t>
      </w:r>
      <w:r>
        <w:rPr>
          <w:spacing w:val="8"/>
        </w:rPr>
        <w:t>殡葬管理积极的、有</w:t>
      </w:r>
      <w:r>
        <w:rPr>
          <w:spacing w:val="12"/>
        </w:rPr>
        <w:t>步骤的实行火葬，改革土葬。</w:t>
      </w:r>
      <w:r>
        <w:rPr>
          <w:rFonts w:ascii="Times New Roman" w:hAnsi="Times New Roman" w:eastAsia="Times New Roman" w:cs="Times New Roman"/>
          <w:spacing w:val="12"/>
        </w:rPr>
        <w:t>”</w:t>
      </w:r>
    </w:p>
    <w:p>
      <w:pPr>
        <w:pStyle w:val="BodyText"/>
        <w:ind w:left="13" w:right="221" w:firstLine="411"/>
        <w:spacing w:before="137" w:line="325" w:lineRule="auto"/>
        <w:rPr>
          <w:rFonts w:ascii="Times New Roman" w:hAnsi="Times New Roman" w:eastAsia="Times New Roman" w:cs="Times New Roman"/>
        </w:rPr>
      </w:pPr>
      <w:r>
        <w:rPr>
          <w:spacing w:val="13"/>
        </w:rPr>
        <w:t>（二）将第十八条</w:t>
      </w:r>
      <w:r>
        <w:rPr>
          <w:rFonts w:ascii="Times New Roman" w:hAnsi="Times New Roman" w:eastAsia="Times New Roman" w:cs="Times New Roman"/>
          <w:spacing w:val="13"/>
        </w:rPr>
        <w:t>“</w:t>
      </w:r>
      <w:r>
        <w:rPr>
          <w:spacing w:val="13"/>
        </w:rPr>
        <w:t>回民公墓原则上由村</w:t>
      </w:r>
      <w:r>
        <w:rPr/>
        <w:t>民委员会建设和管理，特殊情况可以经县（</w:t>
      </w:r>
      <w:r>
        <w:rPr>
          <w:spacing w:val="-46"/>
        </w:rPr>
        <w:t xml:space="preserve"> </w:t>
      </w:r>
      <w:r>
        <w:rPr/>
        <w:t>区）</w:t>
      </w:r>
      <w:r>
        <w:rPr>
          <w:spacing w:val="12"/>
        </w:rPr>
        <w:t>民政主管部门同意</w:t>
      </w:r>
      <w:r>
        <w:rPr>
          <w:spacing w:val="-41"/>
        </w:rPr>
        <w:t xml:space="preserve"> </w:t>
      </w:r>
      <w:r>
        <w:rPr>
          <w:spacing w:val="12"/>
        </w:rPr>
        <w:t>，委托就近的清真寺管理</w:t>
      </w:r>
      <w:r>
        <w:rPr>
          <w:rFonts w:ascii="Times New Roman" w:hAnsi="Times New Roman" w:eastAsia="Times New Roman" w:cs="Times New Roman"/>
          <w:spacing w:val="12"/>
        </w:rPr>
        <w:t>”</w:t>
      </w:r>
      <w:r>
        <w:rPr>
          <w:spacing w:val="12"/>
        </w:rPr>
        <w:t>修改为</w:t>
      </w:r>
      <w:r>
        <w:rPr>
          <w:rFonts w:ascii="Times New Roman" w:hAnsi="Times New Roman" w:eastAsia="Times New Roman" w:cs="Times New Roman"/>
          <w:spacing w:val="12"/>
        </w:rPr>
        <w:t>“</w:t>
      </w:r>
      <w:r>
        <w:rPr>
          <w:spacing w:val="12"/>
        </w:rPr>
        <w:t>回民公墓原则上由村民委员会建设和</w:t>
      </w:r>
      <w:r>
        <w:rPr>
          <w:spacing w:val="18"/>
        </w:rPr>
        <w:t>管理。</w:t>
      </w:r>
      <w:r>
        <w:rPr>
          <w:rFonts w:ascii="Times New Roman" w:hAnsi="Times New Roman" w:eastAsia="Times New Roman" w:cs="Times New Roman"/>
          <w:spacing w:val="18"/>
        </w:rPr>
        <w:t>”</w:t>
      </w:r>
    </w:p>
    <w:p>
      <w:pPr>
        <w:pStyle w:val="BodyText"/>
        <w:ind w:left="424"/>
        <w:spacing w:before="138" w:line="221" w:lineRule="auto"/>
        <w:rPr/>
      </w:pPr>
      <w:r>
        <w:rPr>
          <w:spacing w:val="13"/>
        </w:rPr>
        <w:t>（三）将第二十一条</w:t>
      </w:r>
      <w:r>
        <w:rPr>
          <w:rFonts w:ascii="Times New Roman" w:hAnsi="Times New Roman" w:eastAsia="Times New Roman" w:cs="Times New Roman"/>
          <w:spacing w:val="13"/>
        </w:rPr>
        <w:t>“</w:t>
      </w:r>
      <w:r>
        <w:rPr>
          <w:spacing w:val="13"/>
        </w:rPr>
        <w:t>单人墓占地不得超</w:t>
      </w:r>
    </w:p>
    <w:p>
      <w:pPr>
        <w:spacing w:line="14" w:lineRule="auto"/>
        <w:rPr>
          <w:rFonts w:ascii="Arial"/>
          <w:sz w:val="2"/>
        </w:rPr>
      </w:pPr>
      <w:r>
        <w:rPr>
          <w:rFonts w:ascii="Arial" w:hAnsi="Arial" w:eastAsia="Arial" w:cs="Arial"/>
          <w:sz w:val="2"/>
          <w:szCs w:val="2"/>
        </w:rPr>
        <w:br w:type="column"/>
      </w:r>
    </w:p>
    <w:p>
      <w:pPr>
        <w:pStyle w:val="BodyText"/>
        <w:ind w:right="62" w:firstLine="1"/>
        <w:spacing w:before="58" w:line="343" w:lineRule="auto"/>
        <w:jc w:val="both"/>
        <w:rPr>
          <w:rFonts w:ascii="Times New Roman" w:hAnsi="Times New Roman" w:eastAsia="Times New Roman" w:cs="Times New Roman"/>
        </w:rPr>
      </w:pPr>
      <w:r>
        <w:rPr>
          <w:spacing w:val="7"/>
        </w:rPr>
        <w:t>过</w:t>
      </w:r>
      <w:r>
        <w:rPr>
          <w:spacing w:val="-36"/>
        </w:rPr>
        <w:t xml:space="preserve"> </w:t>
      </w:r>
      <w:r>
        <w:rPr>
          <w:rFonts w:ascii="Times New Roman" w:hAnsi="Times New Roman" w:eastAsia="Times New Roman" w:cs="Times New Roman"/>
          <w:spacing w:val="7"/>
        </w:rPr>
        <w:t>6 </w:t>
      </w:r>
      <w:r>
        <w:rPr>
          <w:spacing w:val="7"/>
        </w:rPr>
        <w:t>平方米，双人墓占地不得超过</w:t>
      </w:r>
      <w:r>
        <w:rPr>
          <w:spacing w:val="-23"/>
        </w:rPr>
        <w:t xml:space="preserve"> </w:t>
      </w:r>
      <w:r>
        <w:rPr>
          <w:rFonts w:ascii="Times New Roman" w:hAnsi="Times New Roman" w:eastAsia="Times New Roman" w:cs="Times New Roman"/>
          <w:spacing w:val="7"/>
        </w:rPr>
        <w:t>10 </w:t>
      </w:r>
      <w:r>
        <w:rPr>
          <w:spacing w:val="7"/>
        </w:rPr>
        <w:t>平方米</w:t>
      </w:r>
      <w:r>
        <w:rPr>
          <w:rFonts w:ascii="Times New Roman" w:hAnsi="Times New Roman" w:eastAsia="Times New Roman" w:cs="Times New Roman"/>
          <w:spacing w:val="7"/>
        </w:rPr>
        <w:t>”</w:t>
      </w:r>
      <w:r>
        <w:rPr>
          <w:spacing w:val="11"/>
        </w:rPr>
        <w:t>修改为</w:t>
      </w:r>
      <w:r>
        <w:rPr>
          <w:rFonts w:ascii="Times New Roman" w:hAnsi="Times New Roman" w:eastAsia="Times New Roman" w:cs="Times New Roman"/>
          <w:spacing w:val="11"/>
        </w:rPr>
        <w:t>“</w:t>
      </w:r>
      <w:r>
        <w:rPr>
          <w:spacing w:val="11"/>
        </w:rPr>
        <w:t>遗体墓（含双人墓）不得超过</w:t>
      </w:r>
      <w:r>
        <w:rPr>
          <w:spacing w:val="-26"/>
        </w:rPr>
        <w:t xml:space="preserve"> </w:t>
      </w:r>
      <w:r>
        <w:rPr>
          <w:rFonts w:ascii="Times New Roman" w:hAnsi="Times New Roman" w:eastAsia="Times New Roman" w:cs="Times New Roman"/>
          <w:spacing w:val="11"/>
        </w:rPr>
        <w:t>6 </w:t>
      </w:r>
      <w:r>
        <w:rPr>
          <w:spacing w:val="11"/>
        </w:rPr>
        <w:t>平方</w:t>
      </w:r>
      <w:r>
        <w:rPr>
          <w:spacing w:val="12"/>
        </w:rPr>
        <w:t>米，禁止骨灰盒装棺埋葬。</w:t>
      </w:r>
      <w:r>
        <w:rPr>
          <w:rFonts w:ascii="Times New Roman" w:hAnsi="Times New Roman" w:eastAsia="Times New Roman" w:cs="Times New Roman"/>
          <w:spacing w:val="12"/>
        </w:rPr>
        <w:t>”</w:t>
      </w:r>
    </w:p>
    <w:p>
      <w:pPr>
        <w:pStyle w:val="BodyText"/>
        <w:ind w:left="7" w:right="110" w:firstLine="404"/>
        <w:spacing w:before="20" w:line="288" w:lineRule="auto"/>
        <w:rPr/>
      </w:pPr>
      <w:r>
        <w:rPr>
          <w:spacing w:val="4"/>
        </w:rPr>
        <w:t>（</w:t>
      </w:r>
      <w:r>
        <w:rPr>
          <w:spacing w:val="-39"/>
        </w:rPr>
        <w:t xml:space="preserve"> </w:t>
      </w:r>
      <w:r>
        <w:rPr>
          <w:spacing w:val="4"/>
        </w:rPr>
        <w:t>四）删除第三十七条，原三十八条至五</w:t>
      </w:r>
      <w:r>
        <w:rPr>
          <w:spacing w:val="8"/>
        </w:rPr>
        <w:t>十二条变更为第三十七条至五十一条。</w:t>
      </w:r>
    </w:p>
    <w:p>
      <w:pPr>
        <w:pStyle w:val="BodyText"/>
        <w:ind w:right="103" w:firstLine="411"/>
        <w:spacing w:before="135" w:line="325" w:lineRule="auto"/>
        <w:rPr/>
      </w:pPr>
      <w:r>
        <w:rPr>
          <w:spacing w:val="13"/>
        </w:rPr>
        <w:t>（五）将原第四十七条</w:t>
      </w:r>
      <w:r>
        <w:rPr>
          <w:rFonts w:ascii="Times New Roman" w:hAnsi="Times New Roman" w:eastAsia="Times New Roman" w:cs="Times New Roman"/>
          <w:spacing w:val="13"/>
        </w:rPr>
        <w:t>“</w:t>
      </w:r>
      <w:r>
        <w:rPr>
          <w:spacing w:val="13"/>
        </w:rPr>
        <w:t>在城市规划区内</w:t>
      </w:r>
      <w:r>
        <w:rPr>
          <w:spacing w:val="7"/>
        </w:rPr>
        <w:t>建造坟墓的，由殡葬管理部门责令限期改正，</w:t>
      </w:r>
      <w:r>
        <w:rPr>
          <w:spacing w:val="8"/>
        </w:rPr>
        <w:t>拒不改正的，强制拆除</w:t>
      </w:r>
      <w:r>
        <w:rPr>
          <w:rFonts w:ascii="Times New Roman" w:hAnsi="Times New Roman" w:eastAsia="Times New Roman" w:cs="Times New Roman"/>
          <w:spacing w:val="8"/>
        </w:rPr>
        <w:t>”</w:t>
      </w:r>
      <w:r>
        <w:rPr>
          <w:spacing w:val="8"/>
        </w:rPr>
        <w:t>修改为</w:t>
      </w:r>
      <w:r>
        <w:rPr>
          <w:rFonts w:ascii="Times New Roman" w:hAnsi="Times New Roman" w:eastAsia="Times New Roman" w:cs="Times New Roman"/>
          <w:spacing w:val="8"/>
        </w:rPr>
        <w:t>“</w:t>
      </w:r>
      <w:r>
        <w:rPr>
          <w:spacing w:val="8"/>
        </w:rPr>
        <w:t>应当火化的遗</w:t>
      </w:r>
      <w:r>
        <w:rPr>
          <w:spacing w:val="7"/>
        </w:rPr>
        <w:t>体土葬，或者在公墓和农村的公益性墓地以外</w:t>
      </w:r>
      <w:r>
        <w:rPr>
          <w:spacing w:val="7"/>
        </w:rPr>
        <w:t>的其他地方埋葬遗体、建造坟墓的，单位停发</w:t>
      </w:r>
    </w:p>
    <w:p>
      <w:pPr>
        <w:spacing w:line="325" w:lineRule="auto"/>
        <w:sectPr>
          <w:type w:val="continuous"/>
          <w:pgSz w:w="11906" w:h="16839"/>
          <w:pgMar w:top="1766" w:right="1480" w:bottom="1563" w:left="1579" w:header="1428" w:footer="1172" w:gutter="0"/>
          <w:cols w:equalWidth="0" w:num="2">
            <w:col w:w="4491" w:space="100"/>
            <w:col w:w="4256" w:space="0"/>
          </w:cols>
        </w:sectPr>
        <w:rPr/>
      </w:pPr>
    </w:p>
    <w:p>
      <w:pPr>
        <w:spacing w:before="49"/>
        <w:rPr/>
      </w:pPr>
      <w:r>
        <w:drawing>
          <wp:anchor distT="0" distB="0" distL="0" distR="0" simplePos="0" relativeHeight="252061696" behindDoc="0" locked="0" layoutInCell="0" allowOverlap="1">
            <wp:simplePos x="0" y="0"/>
            <wp:positionH relativeFrom="page">
              <wp:posOffset>1008380</wp:posOffset>
            </wp:positionH>
            <wp:positionV relativeFrom="page">
              <wp:posOffset>1122680</wp:posOffset>
            </wp:positionV>
            <wp:extent cx="5579745" cy="7619"/>
            <wp:effectExtent l="0" t="0" r="0" b="0"/>
            <wp:wrapNone/>
            <wp:docPr id="1128" name="IM 1128"/>
            <wp:cNvGraphicFramePr/>
            <a:graphic>
              <a:graphicData uri="http://schemas.openxmlformats.org/drawingml/2006/picture">
                <pic:pic>
                  <pic:nvPicPr>
                    <pic:cNvPr id="1128" name="IM 1128"/>
                    <pic:cNvPicPr/>
                  </pic:nvPicPr>
                  <pic:blipFill>
                    <a:blip r:embed="rId566"/>
                    <a:stretch>
                      <a:fillRect/>
                    </a:stretch>
                  </pic:blipFill>
                  <pic:spPr>
                    <a:xfrm rot="0">
                      <a:off x="0" y="0"/>
                      <a:ext cx="5579745" cy="7619"/>
                    </a:xfrm>
                    <a:prstGeom prst="rect">
                      <a:avLst/>
                    </a:prstGeom>
                  </pic:spPr>
                </pic:pic>
              </a:graphicData>
            </a:graphic>
          </wp:anchor>
        </w:drawing>
      </w:r>
      <w:r/>
    </w:p>
    <w:p>
      <w:pPr>
        <w:sectPr>
          <w:headerReference w:type="default" r:id="rId564"/>
          <w:footerReference w:type="default" r:id="rId565"/>
          <w:pgSz w:w="11906" w:h="16839"/>
          <w:pgMar w:top="1769" w:right="1489" w:bottom="1570" w:left="1584" w:header="1428" w:footer="1172" w:gutter="0"/>
          <w:cols w:equalWidth="0" w:num="1">
            <w:col w:w="8833" w:space="0"/>
          </w:cols>
        </w:sectPr>
        <w:rPr/>
      </w:pPr>
    </w:p>
    <w:p>
      <w:pPr>
        <w:pStyle w:val="BodyText"/>
        <w:ind w:left="10" w:right="289"/>
        <w:spacing w:before="51" w:line="346" w:lineRule="auto"/>
        <w:rPr>
          <w:rFonts w:ascii="Times New Roman" w:hAnsi="Times New Roman" w:eastAsia="Times New Roman" w:cs="Times New Roman"/>
        </w:rPr>
      </w:pPr>
      <w:r>
        <w:rPr>
          <w:spacing w:val="7"/>
        </w:rPr>
        <w:t>丧葬补助费和抚恤金，由民政部门责令限期改</w:t>
      </w:r>
      <w:r>
        <w:rPr>
          <w:spacing w:val="11"/>
        </w:rPr>
        <w:t>正；拒不改正的，可以强制执行。</w:t>
      </w:r>
      <w:r>
        <w:rPr>
          <w:rFonts w:ascii="Times New Roman" w:hAnsi="Times New Roman" w:eastAsia="Times New Roman" w:cs="Times New Roman"/>
          <w:spacing w:val="11"/>
        </w:rPr>
        <w:t>”</w:t>
      </w:r>
    </w:p>
    <w:p>
      <w:pPr>
        <w:ind w:left="407"/>
        <w:spacing w:line="21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二、固原市地名管理办法（</w:t>
      </w:r>
      <w:r>
        <w:rPr>
          <w:rFonts w:ascii="Microsoft YaHei" w:hAnsi="Microsoft YaHei" w:eastAsia="Microsoft YaHei" w:cs="Microsoft YaHei"/>
          <w:sz w:val="20"/>
          <w:szCs w:val="20"/>
          <w:spacing w:val="18"/>
        </w:rPr>
        <w:t xml:space="preserve"> </w:t>
      </w:r>
      <w:r>
        <w:rPr>
          <w:rFonts w:ascii="Microsoft YaHei" w:hAnsi="Microsoft YaHei" w:eastAsia="Microsoft YaHei" w:cs="Microsoft YaHei"/>
          <w:sz w:val="20"/>
          <w:szCs w:val="20"/>
          <w:spacing w:val="-9"/>
        </w:rPr>
        <w:t>固政府令 14 号）</w:t>
      </w:r>
    </w:p>
    <w:p>
      <w:pPr>
        <w:pStyle w:val="BodyText"/>
        <w:ind w:left="15" w:right="289" w:firstLine="404"/>
        <w:spacing w:before="82" w:line="287" w:lineRule="auto"/>
        <w:rPr/>
      </w:pPr>
      <w:r>
        <w:rPr>
          <w:spacing w:val="7"/>
        </w:rPr>
        <w:t>（一）增加一章作为第五章，分别为第二</w:t>
      </w:r>
      <w:r>
        <w:rPr>
          <w:spacing w:val="8"/>
        </w:rPr>
        <w:t>十四条、二十五条、二十六条、二十七条。</w:t>
      </w:r>
    </w:p>
    <w:p>
      <w:pPr>
        <w:pStyle w:val="BodyText"/>
        <w:ind w:left="7" w:right="289" w:firstLine="412"/>
        <w:spacing w:before="141" w:line="325" w:lineRule="auto"/>
        <w:rPr>
          <w:rFonts w:ascii="Times New Roman" w:hAnsi="Times New Roman" w:eastAsia="Times New Roman" w:cs="Times New Roman"/>
        </w:rPr>
      </w:pPr>
      <w:r>
        <w:rPr>
          <w:spacing w:val="13"/>
        </w:rPr>
        <w:t>（二）增加第二十四条</w:t>
      </w:r>
      <w:r>
        <w:rPr>
          <w:rFonts w:ascii="Times New Roman" w:hAnsi="Times New Roman" w:eastAsia="Times New Roman" w:cs="Times New Roman"/>
          <w:spacing w:val="13"/>
        </w:rPr>
        <w:t>“</w:t>
      </w:r>
      <w:r>
        <w:rPr>
          <w:spacing w:val="13"/>
        </w:rPr>
        <w:t>历史地名保护应</w:t>
      </w:r>
      <w:r>
        <w:rPr>
          <w:spacing w:val="7"/>
        </w:rPr>
        <w:t>当坚持使用为主、注重传承的原则，与地名规</w:t>
      </w:r>
      <w:r>
        <w:rPr>
          <w:spacing w:val="7"/>
        </w:rPr>
        <w:t>划和历史文化名城、名镇、名村保护规划相结</w:t>
      </w:r>
      <w:r>
        <w:rPr>
          <w:spacing w:val="7"/>
        </w:rPr>
        <w:t>合；鼓励单位和个人参与历史地名的研究、保</w:t>
      </w:r>
      <w:r>
        <w:rPr>
          <w:spacing w:val="14"/>
        </w:rPr>
        <w:t>护和宣传工作。</w:t>
      </w:r>
      <w:r>
        <w:rPr>
          <w:rFonts w:ascii="Times New Roman" w:hAnsi="Times New Roman" w:eastAsia="Times New Roman" w:cs="Times New Roman"/>
          <w:spacing w:val="14"/>
        </w:rPr>
        <w:t>”</w:t>
      </w:r>
    </w:p>
    <w:p>
      <w:pPr>
        <w:pStyle w:val="BodyText"/>
        <w:ind w:right="280" w:firstLine="420"/>
        <w:spacing w:before="140" w:line="329" w:lineRule="auto"/>
        <w:rPr>
          <w:rFonts w:ascii="Times New Roman" w:hAnsi="Times New Roman" w:eastAsia="Times New Roman" w:cs="Times New Roman"/>
        </w:rPr>
      </w:pPr>
      <w:r>
        <w:rPr>
          <w:spacing w:val="13"/>
        </w:rPr>
        <w:t>（三）增加第二十五条</w:t>
      </w:r>
      <w:r>
        <w:rPr>
          <w:rFonts w:ascii="Times New Roman" w:hAnsi="Times New Roman" w:eastAsia="Times New Roman" w:cs="Times New Roman"/>
          <w:spacing w:val="13"/>
        </w:rPr>
        <w:t>“</w:t>
      </w:r>
      <w:r>
        <w:rPr>
          <w:spacing w:val="13"/>
        </w:rPr>
        <w:t>自治区实行历史</w:t>
      </w:r>
      <w:r>
        <w:rPr>
          <w:spacing w:val="16"/>
        </w:rPr>
        <w:t>地名保护名录制度</w:t>
      </w:r>
      <w:r>
        <w:rPr>
          <w:spacing w:val="-51"/>
        </w:rPr>
        <w:t xml:space="preserve"> </w:t>
      </w:r>
      <w:r>
        <w:rPr>
          <w:spacing w:val="16"/>
        </w:rPr>
        <w:t>；历史地名保护名录由县</w:t>
      </w:r>
      <w:r>
        <w:rPr>
          <w:spacing w:val="7"/>
        </w:rPr>
        <w:t>（市、区）地名主管部门提出，经专家评审并</w:t>
      </w:r>
      <w:r>
        <w:rPr>
          <w:spacing w:val="8"/>
        </w:rPr>
        <w:t>征求社会意见后，报同级人民政府批准公布；</w:t>
      </w:r>
      <w:r>
        <w:rPr>
          <w:spacing w:val="18"/>
        </w:rPr>
        <w:t>历史地名评定标准由自治区地名主管部门会</w:t>
      </w:r>
      <w:r>
        <w:rPr>
          <w:spacing w:val="14"/>
        </w:rPr>
        <w:t>同有关部门制定。</w:t>
      </w:r>
      <w:r>
        <w:rPr>
          <w:rFonts w:ascii="Times New Roman" w:hAnsi="Times New Roman" w:eastAsia="Times New Roman" w:cs="Times New Roman"/>
          <w:spacing w:val="14"/>
        </w:rPr>
        <w:t>”</w:t>
      </w:r>
    </w:p>
    <w:p>
      <w:pPr>
        <w:pStyle w:val="BodyText"/>
        <w:ind w:left="9" w:right="289" w:firstLine="410"/>
        <w:spacing w:before="143" w:line="329" w:lineRule="auto"/>
        <w:rPr>
          <w:rFonts w:ascii="Times New Roman" w:hAnsi="Times New Roman" w:eastAsia="Times New Roman" w:cs="Times New Roman"/>
        </w:rPr>
      </w:pPr>
      <w:r>
        <w:rPr>
          <w:spacing w:val="4"/>
        </w:rPr>
        <w:t>（</w:t>
      </w:r>
      <w:r>
        <w:rPr>
          <w:spacing w:val="-32"/>
        </w:rPr>
        <w:t xml:space="preserve"> </w:t>
      </w:r>
      <w:r>
        <w:rPr>
          <w:spacing w:val="4"/>
        </w:rPr>
        <w:t>四）增加第二十六条 </w:t>
      </w:r>
      <w:r>
        <w:rPr>
          <w:rFonts w:ascii="Times New Roman" w:hAnsi="Times New Roman" w:eastAsia="Times New Roman" w:cs="Times New Roman"/>
          <w:spacing w:val="4"/>
        </w:rPr>
        <w:t>“</w:t>
      </w:r>
      <w:r>
        <w:rPr>
          <w:spacing w:val="4"/>
        </w:rPr>
        <w:t>历史地名保护名</w:t>
      </w:r>
      <w:r>
        <w:rPr>
          <w:spacing w:val="7"/>
        </w:rPr>
        <w:t>录中的在用地名不得更名；因特殊情况需要更</w:t>
      </w:r>
      <w:r>
        <w:rPr>
          <w:spacing w:val="7"/>
        </w:rPr>
        <w:t>名的，应当按照本条例规定程序办理；历史地</w:t>
      </w:r>
      <w:r>
        <w:rPr>
          <w:spacing w:val="7"/>
        </w:rPr>
        <w:t>名保护名录中的非在用地名，其专名可以按照</w:t>
      </w:r>
      <w:r>
        <w:rPr>
          <w:spacing w:val="7"/>
        </w:rPr>
        <w:t>地域就近原则优先采用；未被采用的，应当采</w:t>
      </w:r>
      <w:r>
        <w:rPr>
          <w:spacing w:val="13"/>
        </w:rPr>
        <w:t>取措施加以保护。</w:t>
      </w:r>
      <w:r>
        <w:rPr>
          <w:rFonts w:ascii="Times New Roman" w:hAnsi="Times New Roman" w:eastAsia="Times New Roman" w:cs="Times New Roman"/>
          <w:spacing w:val="13"/>
        </w:rPr>
        <w:t>”</w:t>
      </w:r>
    </w:p>
    <w:p>
      <w:pPr>
        <w:pStyle w:val="BodyText"/>
        <w:ind w:left="7" w:right="282" w:firstLine="412"/>
        <w:spacing w:before="139" w:line="307" w:lineRule="auto"/>
        <w:rPr>
          <w:rFonts w:ascii="Times New Roman" w:hAnsi="Times New Roman" w:eastAsia="Times New Roman" w:cs="Times New Roman"/>
        </w:rPr>
      </w:pPr>
      <w:r>
        <w:rPr>
          <w:spacing w:val="13"/>
        </w:rPr>
        <w:t>（五）增加第二十七条</w:t>
      </w:r>
      <w:r>
        <w:rPr>
          <w:rFonts w:ascii="Times New Roman" w:hAnsi="Times New Roman" w:eastAsia="Times New Roman" w:cs="Times New Roman"/>
          <w:spacing w:val="13"/>
        </w:rPr>
        <w:t>“</w:t>
      </w:r>
      <w:r>
        <w:rPr>
          <w:spacing w:val="13"/>
        </w:rPr>
        <w:t>拆除或者迁移历</w:t>
      </w:r>
      <w:r>
        <w:rPr>
          <w:spacing w:val="7"/>
        </w:rPr>
        <w:t>史地名保护名录中地名所指称的地理实体的，</w:t>
      </w:r>
      <w:r>
        <w:rPr>
          <w:spacing w:val="11"/>
        </w:rPr>
        <w:t>有关部门应当事先告知地名主管部门。</w:t>
      </w:r>
      <w:r>
        <w:rPr>
          <w:rFonts w:ascii="Times New Roman" w:hAnsi="Times New Roman" w:eastAsia="Times New Roman" w:cs="Times New Roman"/>
          <w:spacing w:val="11"/>
        </w:rPr>
        <w:t>”</w:t>
      </w:r>
    </w:p>
    <w:p>
      <w:pPr>
        <w:pStyle w:val="BodyText"/>
        <w:ind w:left="6" w:right="289" w:firstLine="413"/>
        <w:spacing w:before="140" w:line="319" w:lineRule="auto"/>
        <w:rPr/>
      </w:pPr>
      <w:r>
        <w:rPr>
          <w:spacing w:val="7"/>
        </w:rPr>
        <w:t>（六）原第五章变更为第六章，第六章变</w:t>
      </w:r>
      <w:r>
        <w:rPr>
          <w:spacing w:val="7"/>
        </w:rPr>
        <w:t>更为第七章；原第二十四条、二十五条、二十</w:t>
      </w:r>
      <w:r>
        <w:rPr>
          <w:spacing w:val="7"/>
        </w:rPr>
        <w:t>六条、二十七条，分别变更为第二十八条、二</w:t>
      </w:r>
      <w:r>
        <w:rPr>
          <w:spacing w:val="8"/>
        </w:rPr>
        <w:t>十九条、三十条、三十一条。</w:t>
      </w:r>
    </w:p>
    <w:p>
      <w:pPr>
        <w:ind w:left="11" w:right="289" w:firstLine="428"/>
        <w:spacing w:before="146" w:line="264"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三、固原市人民政府办公室关于印发固原</w:t>
      </w:r>
      <w:r>
        <w:rPr>
          <w:rFonts w:ascii="Microsoft YaHei" w:hAnsi="Microsoft YaHei" w:eastAsia="Microsoft YaHei" w:cs="Microsoft YaHei"/>
          <w:sz w:val="20"/>
          <w:szCs w:val="20"/>
          <w:spacing w:val="18"/>
        </w:rPr>
        <w:t>市区街路巷门楼牌命名编码及设置办法的通</w:t>
      </w:r>
      <w:r>
        <w:rPr>
          <w:rFonts w:ascii="Microsoft YaHei" w:hAnsi="Microsoft YaHei" w:eastAsia="Microsoft YaHei" w:cs="Microsoft YaHei"/>
          <w:sz w:val="20"/>
          <w:szCs w:val="20"/>
          <w:spacing w:val="-1"/>
        </w:rPr>
        <w:t>知（</w:t>
      </w:r>
      <w:r>
        <w:rPr>
          <w:rFonts w:ascii="Microsoft YaHei" w:hAnsi="Microsoft YaHei" w:eastAsia="Microsoft YaHei" w:cs="Microsoft YaHei"/>
          <w:sz w:val="20"/>
          <w:szCs w:val="20"/>
          <w:spacing w:val="24"/>
        </w:rPr>
        <w:t xml:space="preserve"> </w:t>
      </w:r>
      <w:r>
        <w:rPr>
          <w:rFonts w:ascii="Microsoft YaHei" w:hAnsi="Microsoft YaHei" w:eastAsia="Microsoft YaHei" w:cs="Microsoft YaHei"/>
          <w:sz w:val="20"/>
          <w:szCs w:val="20"/>
          <w:spacing w:val="-1"/>
        </w:rPr>
        <w:t>固政办发〔2004〕23 号 ）</w:t>
      </w:r>
    </w:p>
    <w:p>
      <w:pPr>
        <w:pStyle w:val="BodyText"/>
        <w:ind w:right="284" w:firstLine="420"/>
        <w:spacing w:before="1" w:line="285" w:lineRule="auto"/>
        <w:rPr/>
      </w:pPr>
      <w:r>
        <w:rPr>
          <w:spacing w:val="5"/>
        </w:rPr>
        <w:t>（一）增加第二第</w:t>
      </w:r>
      <w:r>
        <w:rPr>
          <w:spacing w:val="-33"/>
        </w:rPr>
        <w:t xml:space="preserve"> </w:t>
      </w:r>
      <w:r>
        <w:rPr>
          <w:rFonts w:ascii="Times New Roman" w:hAnsi="Times New Roman" w:eastAsia="Times New Roman" w:cs="Times New Roman"/>
          <w:spacing w:val="5"/>
        </w:rPr>
        <w:t>3 </w:t>
      </w:r>
      <w:r>
        <w:rPr>
          <w:spacing w:val="5"/>
        </w:rPr>
        <w:t>第（</w:t>
      </w:r>
      <w:r>
        <w:rPr>
          <w:rFonts w:ascii="Times New Roman" w:hAnsi="Times New Roman" w:eastAsia="Times New Roman" w:cs="Times New Roman"/>
          <w:spacing w:val="5"/>
        </w:rPr>
        <w:t>2</w:t>
      </w:r>
      <w:r>
        <w:rPr>
          <w:rFonts w:ascii="Times New Roman" w:hAnsi="Times New Roman" w:eastAsia="Times New Roman" w:cs="Times New Roman"/>
          <w:spacing w:val="-18"/>
        </w:rPr>
        <w:t xml:space="preserve"> </w:t>
      </w:r>
      <w:r>
        <w:rPr>
          <w:spacing w:val="5"/>
        </w:rPr>
        <w:t>）部分</w:t>
      </w:r>
      <w:r>
        <w:rPr>
          <w:rFonts w:ascii="Times New Roman" w:hAnsi="Times New Roman" w:eastAsia="Times New Roman" w:cs="Times New Roman"/>
          <w:spacing w:val="5"/>
        </w:rPr>
        <w:t>“</w:t>
      </w:r>
      <w:r>
        <w:rPr>
          <w:spacing w:val="5"/>
        </w:rPr>
        <w:t>门、楼</w:t>
      </w:r>
      <w:r>
        <w:rPr>
          <w:spacing w:val="7"/>
        </w:rPr>
        <w:t>（栋）、楼单元、楼层、户室等地名标志编码</w:t>
      </w:r>
    </w:p>
    <w:p>
      <w:pPr>
        <w:spacing w:line="14" w:lineRule="auto"/>
        <w:rPr>
          <w:rFonts w:ascii="Arial"/>
          <w:sz w:val="2"/>
        </w:rPr>
      </w:pPr>
      <w:r>
        <w:rPr>
          <w:rFonts w:ascii="Arial" w:hAnsi="Arial" w:eastAsia="Arial" w:cs="Arial"/>
          <w:sz w:val="2"/>
          <w:szCs w:val="2"/>
        </w:rPr>
        <w:br w:type="column"/>
      </w:r>
    </w:p>
    <w:p>
      <w:pPr>
        <w:pStyle w:val="BodyText"/>
        <w:ind w:left="40" w:right="55" w:firstLine="3"/>
        <w:spacing w:before="47" w:line="346" w:lineRule="auto"/>
        <w:jc w:val="both"/>
        <w:rPr>
          <w:rFonts w:ascii="Times New Roman" w:hAnsi="Times New Roman" w:eastAsia="Times New Roman" w:cs="Times New Roman"/>
        </w:rPr>
      </w:pPr>
      <w:r>
        <w:rPr>
          <w:spacing w:val="18"/>
        </w:rPr>
        <w:t>可采取序数编码或者量化编码（或称距离编</w:t>
      </w:r>
      <w:r>
        <w:rPr>
          <w:spacing w:val="7"/>
        </w:rPr>
        <w:t>码）进行；门地名标志采用序数编码的，应从</w:t>
      </w:r>
      <w:r>
        <w:rPr>
          <w:spacing w:val="7"/>
        </w:rPr>
        <w:t>街（路、巷）起点起，每户一号，按照左单右</w:t>
      </w:r>
      <w:r>
        <w:rPr>
          <w:spacing w:val="9"/>
        </w:rPr>
        <w:t>双的原则编号；门地名标志采用量化编码的，</w:t>
      </w:r>
      <w:r>
        <w:rPr>
          <w:spacing w:val="9"/>
        </w:rPr>
        <w:t>以街（路、巷）起点到门户中心线距离量算，</w:t>
      </w:r>
      <w:r>
        <w:rPr>
          <w:spacing w:val="6"/>
        </w:rPr>
        <w:t>每</w:t>
      </w:r>
      <w:r>
        <w:rPr>
          <w:spacing w:val="-36"/>
        </w:rPr>
        <w:t xml:space="preserve"> </w:t>
      </w:r>
      <w:r>
        <w:rPr>
          <w:rFonts w:ascii="Times New Roman" w:hAnsi="Times New Roman" w:eastAsia="Times New Roman" w:cs="Times New Roman"/>
          <w:spacing w:val="6"/>
        </w:rPr>
        <w:t>3m </w:t>
      </w:r>
      <w:r>
        <w:rPr>
          <w:spacing w:val="6"/>
        </w:rPr>
        <w:t>为一个号，按照左单右双的原则编号。</w:t>
      </w:r>
      <w:r>
        <w:rPr>
          <w:rFonts w:ascii="Times New Roman" w:hAnsi="Times New Roman" w:eastAsia="Times New Roman" w:cs="Times New Roman"/>
          <w:spacing w:val="6"/>
        </w:rPr>
        <w:t>”</w:t>
      </w:r>
    </w:p>
    <w:p>
      <w:pPr>
        <w:pStyle w:val="BodyText"/>
        <w:ind w:left="41" w:right="78" w:firstLine="411"/>
        <w:spacing w:before="28" w:line="347" w:lineRule="auto"/>
        <w:jc w:val="both"/>
        <w:rPr>
          <w:rFonts w:ascii="Times New Roman" w:hAnsi="Times New Roman" w:eastAsia="Times New Roman" w:cs="Times New Roman"/>
        </w:rPr>
      </w:pPr>
      <w:r>
        <w:rPr>
          <w:spacing w:val="12"/>
        </w:rPr>
        <w:t>（二）删除第三第</w:t>
      </w:r>
      <w:r>
        <w:rPr>
          <w:spacing w:val="-34"/>
        </w:rPr>
        <w:t xml:space="preserve"> </w:t>
      </w:r>
      <w:r>
        <w:rPr>
          <w:rFonts w:ascii="Times New Roman" w:hAnsi="Times New Roman" w:eastAsia="Times New Roman" w:cs="Times New Roman"/>
          <w:spacing w:val="12"/>
        </w:rPr>
        <w:t>3 </w:t>
      </w:r>
      <w:r>
        <w:rPr>
          <w:spacing w:val="12"/>
        </w:rPr>
        <w:t>部分</w:t>
      </w:r>
      <w:r>
        <w:rPr>
          <w:rFonts w:ascii="Times New Roman" w:hAnsi="Times New Roman" w:eastAsia="Times New Roman" w:cs="Times New Roman"/>
          <w:spacing w:val="12"/>
        </w:rPr>
        <w:t>“</w:t>
      </w:r>
      <w:r>
        <w:rPr>
          <w:spacing w:val="12"/>
        </w:rPr>
        <w:t>从街、路、巷</w:t>
      </w:r>
      <w:r>
        <w:rPr>
          <w:spacing w:val="8"/>
        </w:rPr>
        <w:t>的端点开始，向延伸方向逐门逐户，边登记、</w:t>
      </w:r>
      <w:r>
        <w:rPr>
          <w:spacing w:val="8"/>
        </w:rPr>
        <w:t>边编码、边对照（新旧门牌编号都上表</w:t>
      </w:r>
      <w:r>
        <w:rPr/>
        <w:t>），</w:t>
      </w:r>
      <w:r>
        <w:rPr>
          <w:spacing w:val="8"/>
        </w:rPr>
        <w:t>边</w:t>
      </w:r>
      <w:r>
        <w:rPr>
          <w:spacing w:val="7"/>
        </w:rPr>
        <w:t>绘制草图、边收费、边标记（用油漆将新编门</w:t>
      </w:r>
      <w:r>
        <w:rPr>
          <w:spacing w:val="8"/>
        </w:rPr>
        <w:t>牌号标注在大门旁边</w:t>
      </w:r>
      <w:r>
        <w:rPr/>
        <w:t>）；</w:t>
      </w:r>
      <w:r>
        <w:rPr>
          <w:spacing w:val="8"/>
        </w:rPr>
        <w:t>做到方位准确，图上</w:t>
      </w:r>
      <w:r>
        <w:rPr>
          <w:spacing w:val="8"/>
        </w:rPr>
        <w:t>和实地相符，号码与户名及单位不重、不错、</w:t>
      </w:r>
      <w:r>
        <w:rPr>
          <w:spacing w:val="18"/>
        </w:rPr>
        <w:t>不漏。</w:t>
      </w:r>
      <w:r>
        <w:rPr>
          <w:rFonts w:ascii="Times New Roman" w:hAnsi="Times New Roman" w:eastAsia="Times New Roman" w:cs="Times New Roman"/>
          <w:spacing w:val="18"/>
        </w:rPr>
        <w:t>”</w:t>
      </w:r>
    </w:p>
    <w:p>
      <w:pPr>
        <w:ind w:left="49" w:right="4" w:firstLine="432"/>
        <w:spacing w:before="39" w:line="264"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四、固原市人民政府关于印发固原市环境</w:t>
      </w:r>
      <w:r>
        <w:rPr>
          <w:rFonts w:ascii="Microsoft YaHei" w:hAnsi="Microsoft YaHei" w:eastAsia="Microsoft YaHei" w:cs="Microsoft YaHei"/>
          <w:sz w:val="20"/>
          <w:szCs w:val="20"/>
          <w:spacing w:val="3"/>
        </w:rPr>
        <w:t>噪声污染防治管理暂行办法（</w:t>
      </w:r>
      <w:r>
        <w:rPr>
          <w:rFonts w:ascii="Microsoft YaHei" w:hAnsi="Microsoft YaHei" w:eastAsia="Microsoft YaHei" w:cs="Microsoft YaHei"/>
          <w:sz w:val="20"/>
          <w:szCs w:val="20"/>
          <w:spacing w:val="39"/>
        </w:rPr>
        <w:t xml:space="preserve"> </w:t>
      </w:r>
      <w:r>
        <w:rPr>
          <w:rFonts w:ascii="Microsoft YaHei" w:hAnsi="Microsoft YaHei" w:eastAsia="Microsoft YaHei" w:cs="Microsoft YaHei"/>
          <w:sz w:val="20"/>
          <w:szCs w:val="20"/>
          <w:spacing w:val="3"/>
        </w:rPr>
        <w:t>固政发〔2010〕</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5"/>
        </w:rPr>
        <w:t>16</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号 ）</w:t>
      </w:r>
    </w:p>
    <w:p>
      <w:pPr>
        <w:pStyle w:val="BodyText"/>
        <w:ind w:right="101" w:firstLine="453"/>
        <w:spacing w:before="1" w:line="307" w:lineRule="auto"/>
        <w:rPr>
          <w:rFonts w:ascii="Times New Roman" w:hAnsi="Times New Roman" w:eastAsia="Times New Roman" w:cs="Times New Roman"/>
        </w:rPr>
      </w:pPr>
      <w:r>
        <w:rPr>
          <w:spacing w:val="13"/>
        </w:rPr>
        <w:t>（一）将第十八条第一款</w:t>
      </w:r>
      <w:r>
        <w:rPr>
          <w:rFonts w:ascii="Times New Roman" w:hAnsi="Times New Roman" w:eastAsia="Times New Roman" w:cs="Times New Roman"/>
          <w:spacing w:val="13"/>
        </w:rPr>
        <w:t>“</w:t>
      </w:r>
      <w:r>
        <w:rPr>
          <w:spacing w:val="13"/>
        </w:rPr>
        <w:t>工程竣工后应</w:t>
      </w:r>
      <w:r>
        <w:rPr>
          <w:spacing w:val="26"/>
        </w:rPr>
        <w:t>当申请环境保护行政主管部门验收</w:t>
      </w:r>
      <w:r>
        <w:rPr>
          <w:rFonts w:ascii="Times New Roman" w:hAnsi="Times New Roman" w:eastAsia="Times New Roman" w:cs="Times New Roman"/>
          <w:spacing w:val="26"/>
        </w:rPr>
        <w:t>”</w:t>
      </w:r>
      <w:r>
        <w:rPr>
          <w:spacing w:val="26"/>
        </w:rPr>
        <w:t>修改为</w:t>
      </w:r>
      <w:r>
        <w:rPr>
          <w:rFonts w:ascii="Times New Roman" w:hAnsi="Times New Roman" w:eastAsia="Times New Roman" w:cs="Times New Roman"/>
          <w:spacing w:val="13"/>
        </w:rPr>
        <w:t>“</w:t>
      </w:r>
      <w:r>
        <w:rPr>
          <w:spacing w:val="13"/>
        </w:rPr>
        <w:t>工程竣工后进行验收并编制验收报告。</w:t>
      </w:r>
      <w:r>
        <w:rPr>
          <w:rFonts w:ascii="Times New Roman" w:hAnsi="Times New Roman" w:eastAsia="Times New Roman" w:cs="Times New Roman"/>
          <w:spacing w:val="13"/>
        </w:rPr>
        <w:t>”</w:t>
      </w:r>
    </w:p>
    <w:p>
      <w:pPr>
        <w:pStyle w:val="BodyText"/>
        <w:ind w:left="40" w:right="101" w:firstLine="412"/>
        <w:spacing w:before="139" w:line="308" w:lineRule="auto"/>
        <w:rPr>
          <w:rFonts w:ascii="Times New Roman" w:hAnsi="Times New Roman" w:eastAsia="Times New Roman" w:cs="Times New Roman"/>
        </w:rPr>
      </w:pPr>
      <w:r>
        <w:rPr>
          <w:spacing w:val="13"/>
        </w:rPr>
        <w:t>（二）将第二十七条第一款</w:t>
      </w:r>
      <w:r>
        <w:rPr>
          <w:rFonts w:ascii="Times New Roman" w:hAnsi="Times New Roman" w:eastAsia="Times New Roman" w:cs="Times New Roman"/>
          <w:spacing w:val="13"/>
        </w:rPr>
        <w:t>“</w:t>
      </w:r>
      <w:r>
        <w:rPr>
          <w:spacing w:val="13"/>
        </w:rPr>
        <w:t>由环境保护</w:t>
      </w:r>
      <w:r>
        <w:rPr>
          <w:spacing w:val="10"/>
        </w:rPr>
        <w:t>行政主管部门给予警告</w:t>
      </w:r>
      <w:r>
        <w:rPr>
          <w:spacing w:val="-44"/>
        </w:rPr>
        <w:t xml:space="preserve"> </w:t>
      </w:r>
      <w:r>
        <w:rPr>
          <w:spacing w:val="10"/>
        </w:rPr>
        <w:t>，可以并处罚款</w:t>
      </w:r>
      <w:r>
        <w:rPr>
          <w:rFonts w:ascii="Times New Roman" w:hAnsi="Times New Roman" w:eastAsia="Times New Roman" w:cs="Times New Roman"/>
          <w:spacing w:val="10"/>
        </w:rPr>
        <w:t>”</w:t>
      </w:r>
      <w:r>
        <w:rPr>
          <w:spacing w:val="10"/>
        </w:rPr>
        <w:t>修改</w:t>
      </w:r>
      <w:r>
        <w:rPr>
          <w:spacing w:val="-11"/>
        </w:rPr>
        <w:t>为</w:t>
      </w:r>
      <w:r>
        <w:rPr>
          <w:rFonts w:ascii="Times New Roman" w:hAnsi="Times New Roman" w:eastAsia="Times New Roman" w:cs="Times New Roman"/>
          <w:spacing w:val="-11"/>
        </w:rPr>
        <w:t>“</w:t>
      </w:r>
      <w:r>
        <w:rPr>
          <w:spacing w:val="-11"/>
        </w:rPr>
        <w:t>由环境保护行政主管部门给予警告或处罚款。</w:t>
      </w:r>
      <w:r>
        <w:rPr>
          <w:rFonts w:ascii="Times New Roman" w:hAnsi="Times New Roman" w:eastAsia="Times New Roman" w:cs="Times New Roman"/>
          <w:spacing w:val="-11"/>
        </w:rPr>
        <w:t>”</w:t>
      </w:r>
    </w:p>
    <w:p>
      <w:pPr>
        <w:pStyle w:val="BodyText"/>
        <w:ind w:left="40" w:right="98" w:firstLine="412"/>
        <w:spacing w:before="139" w:line="308" w:lineRule="auto"/>
        <w:rPr>
          <w:rFonts w:ascii="Times New Roman" w:hAnsi="Times New Roman" w:eastAsia="Times New Roman" w:cs="Times New Roman"/>
        </w:rPr>
      </w:pPr>
      <w:r>
        <w:rPr>
          <w:spacing w:val="13"/>
        </w:rPr>
        <w:t>（三）将第二十七条</w:t>
      </w:r>
      <w:r>
        <w:rPr>
          <w:rFonts w:ascii="Times New Roman" w:hAnsi="Times New Roman" w:eastAsia="Times New Roman" w:cs="Times New Roman"/>
          <w:spacing w:val="13"/>
        </w:rPr>
        <w:t>“</w:t>
      </w:r>
      <w:r>
        <w:rPr>
          <w:spacing w:val="13"/>
        </w:rPr>
        <w:t>由公安机关给予警</w:t>
      </w:r>
      <w:r>
        <w:rPr>
          <w:spacing w:val="7"/>
        </w:rPr>
        <w:t>告，可以并处</w:t>
      </w:r>
      <w:r>
        <w:rPr>
          <w:spacing w:val="-37"/>
        </w:rPr>
        <w:t xml:space="preserve"> </w:t>
      </w:r>
      <w:r>
        <w:rPr>
          <w:rFonts w:ascii="Times New Roman" w:hAnsi="Times New Roman" w:eastAsia="Times New Roman" w:cs="Times New Roman"/>
          <w:spacing w:val="7"/>
        </w:rPr>
        <w:t>500 </w:t>
      </w:r>
      <w:r>
        <w:rPr>
          <w:spacing w:val="7"/>
        </w:rPr>
        <w:t>元以下罚款</w:t>
      </w:r>
      <w:r>
        <w:rPr>
          <w:rFonts w:ascii="Times New Roman" w:hAnsi="Times New Roman" w:eastAsia="Times New Roman" w:cs="Times New Roman"/>
          <w:spacing w:val="7"/>
        </w:rPr>
        <w:t>”</w:t>
      </w:r>
      <w:r>
        <w:rPr>
          <w:spacing w:val="7"/>
        </w:rPr>
        <w:t>修改为</w:t>
      </w:r>
      <w:r>
        <w:rPr>
          <w:rFonts w:ascii="Times New Roman" w:hAnsi="Times New Roman" w:eastAsia="Times New Roman" w:cs="Times New Roman"/>
          <w:spacing w:val="6"/>
        </w:rPr>
        <w:t>“</w:t>
      </w:r>
      <w:r>
        <w:rPr>
          <w:spacing w:val="6"/>
        </w:rPr>
        <w:t>由公安</w:t>
      </w:r>
      <w:r>
        <w:rPr>
          <w:spacing w:val="10"/>
        </w:rPr>
        <w:t>机关给予警告或处</w:t>
      </w:r>
      <w:r>
        <w:rPr>
          <w:spacing w:val="-37"/>
        </w:rPr>
        <w:t xml:space="preserve"> </w:t>
      </w:r>
      <w:r>
        <w:rPr>
          <w:rFonts w:ascii="Times New Roman" w:hAnsi="Times New Roman" w:eastAsia="Times New Roman" w:cs="Times New Roman"/>
          <w:spacing w:val="10"/>
        </w:rPr>
        <w:t>500 </w:t>
      </w:r>
      <w:r>
        <w:rPr>
          <w:spacing w:val="10"/>
        </w:rPr>
        <w:t>元以下罚款。</w:t>
      </w:r>
      <w:r>
        <w:rPr>
          <w:rFonts w:ascii="Times New Roman" w:hAnsi="Times New Roman" w:eastAsia="Times New Roman" w:cs="Times New Roman"/>
          <w:spacing w:val="10"/>
        </w:rPr>
        <w:t>”</w:t>
      </w:r>
    </w:p>
    <w:p>
      <w:pPr>
        <w:ind w:left="43" w:right="101" w:firstLine="424"/>
        <w:spacing w:before="148" w:line="264"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五、固原市人民政府关于印发固原市区公</w:t>
      </w:r>
      <w:r>
        <w:rPr>
          <w:rFonts w:ascii="Microsoft YaHei" w:hAnsi="Microsoft YaHei" w:eastAsia="Microsoft YaHei" w:cs="Microsoft YaHei"/>
          <w:sz w:val="20"/>
          <w:szCs w:val="20"/>
          <w:spacing w:val="18"/>
        </w:rPr>
        <w:t>共租赁住房和廉租住房并轨运行实施细则的</w:t>
      </w:r>
      <w:r>
        <w:rPr>
          <w:rFonts w:ascii="Microsoft YaHei" w:hAnsi="Microsoft YaHei" w:eastAsia="Microsoft YaHei" w:cs="Microsoft YaHei"/>
          <w:sz w:val="20"/>
          <w:szCs w:val="20"/>
          <w:spacing w:val="-1"/>
        </w:rPr>
        <w:t>通知（</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1"/>
        </w:rPr>
        <w:t>固政发〔2014〕67 号 ）</w:t>
      </w:r>
    </w:p>
    <w:p>
      <w:pPr>
        <w:pStyle w:val="BodyText"/>
        <w:ind w:left="40" w:right="48" w:firstLine="412"/>
        <w:spacing w:before="6" w:line="328" w:lineRule="auto"/>
        <w:jc w:val="both"/>
        <w:rPr/>
      </w:pPr>
      <w:r>
        <w:rPr>
          <w:spacing w:val="13"/>
        </w:rPr>
        <w:t>（一）将第十一条</w:t>
      </w:r>
      <w:r>
        <w:rPr>
          <w:rFonts w:ascii="Times New Roman" w:hAnsi="Times New Roman" w:eastAsia="Times New Roman" w:cs="Times New Roman"/>
          <w:spacing w:val="13"/>
        </w:rPr>
        <w:t>“</w:t>
      </w:r>
      <w:r>
        <w:rPr>
          <w:spacing w:val="13"/>
        </w:rPr>
        <w:t>各类工业园区、开发</w:t>
      </w:r>
      <w:r>
        <w:rPr>
          <w:spacing w:val="9"/>
        </w:rPr>
        <w:t>区可按照集约用地的原则，由政府统一规划，</w:t>
      </w:r>
      <w:r>
        <w:rPr>
          <w:spacing w:val="7"/>
        </w:rPr>
        <w:t>引导企业参与集中建设公共租赁住房，建设用</w:t>
      </w:r>
      <w:r>
        <w:rPr>
          <w:spacing w:val="18"/>
        </w:rPr>
        <w:t>地采取划拨或出让方式供应</w:t>
      </w:r>
      <w:r>
        <w:rPr>
          <w:rFonts w:ascii="Times New Roman" w:hAnsi="Times New Roman" w:eastAsia="Times New Roman" w:cs="Times New Roman"/>
          <w:spacing w:val="18"/>
        </w:rPr>
        <w:t>”</w:t>
      </w:r>
      <w:r>
        <w:rPr>
          <w:spacing w:val="18"/>
        </w:rPr>
        <w:t>修改为</w:t>
      </w:r>
      <w:r>
        <w:rPr>
          <w:rFonts w:ascii="Times New Roman" w:hAnsi="Times New Roman" w:eastAsia="Times New Roman" w:cs="Times New Roman"/>
          <w:spacing w:val="18"/>
        </w:rPr>
        <w:t>“</w:t>
      </w:r>
      <w:r>
        <w:rPr>
          <w:spacing w:val="18"/>
        </w:rPr>
        <w:t>由开发</w:t>
      </w:r>
      <w:r>
        <w:rPr>
          <w:spacing w:val="7"/>
        </w:rPr>
        <w:t>区、功能平台、产业园区、科研院所、企事业</w:t>
      </w:r>
      <w:r>
        <w:rPr>
          <w:spacing w:val="9"/>
        </w:rPr>
        <w:t>单位等单位利用自有土地或资金建设（筹集）</w:t>
      </w:r>
    </w:p>
    <w:p>
      <w:pPr>
        <w:spacing w:line="328" w:lineRule="auto"/>
        <w:sectPr>
          <w:type w:val="continuous"/>
          <w:pgSz w:w="11906" w:h="16839"/>
          <w:pgMar w:top="1769" w:right="1489" w:bottom="1570" w:left="1584" w:header="1428" w:footer="1172" w:gutter="0"/>
          <w:cols w:equalWidth="0" w:num="2">
            <w:col w:w="4444" w:space="100"/>
            <w:col w:w="4289" w:space="0"/>
          </w:cols>
        </w:sectPr>
        <w:rPr/>
      </w:pPr>
    </w:p>
    <w:p>
      <w:pPr>
        <w:spacing w:before="51"/>
        <w:rPr/>
      </w:pPr>
      <w:r>
        <w:drawing>
          <wp:anchor distT="0" distB="0" distL="0" distR="0" simplePos="0" relativeHeight="252063744"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132" name="IM 1132"/>
            <wp:cNvGraphicFramePr/>
            <a:graphic>
              <a:graphicData uri="http://schemas.openxmlformats.org/drawingml/2006/picture">
                <pic:pic>
                  <pic:nvPicPr>
                    <pic:cNvPr id="1132" name="IM 1132"/>
                    <pic:cNvPicPr/>
                  </pic:nvPicPr>
                  <pic:blipFill>
                    <a:blip r:embed="rId568"/>
                    <a:stretch>
                      <a:fillRect/>
                    </a:stretch>
                  </pic:blipFill>
                  <pic:spPr>
                    <a:xfrm rot="0">
                      <a:off x="0" y="0"/>
                      <a:ext cx="5579745" cy="7620"/>
                    </a:xfrm>
                    <a:prstGeom prst="rect">
                      <a:avLst/>
                    </a:prstGeom>
                  </pic:spPr>
                </pic:pic>
              </a:graphicData>
            </a:graphic>
          </wp:anchor>
        </w:drawing>
      </w:r>
      <w:r/>
    </w:p>
    <w:p>
      <w:pPr>
        <w:sectPr>
          <w:headerReference w:type="default" r:id="rId549"/>
          <w:footerReference w:type="default" r:id="rId567"/>
          <w:pgSz w:w="11906" w:h="16839"/>
          <w:pgMar w:top="1766" w:right="1530" w:bottom="1563" w:left="1579" w:header="1428" w:footer="1172" w:gutter="0"/>
          <w:cols w:equalWidth="0" w:num="1">
            <w:col w:w="8796" w:space="0"/>
          </w:cols>
        </w:sectPr>
        <w:rPr/>
      </w:pPr>
    </w:p>
    <w:p>
      <w:pPr>
        <w:pStyle w:val="BodyText"/>
        <w:ind w:left="11" w:right="314" w:firstLine="18"/>
        <w:spacing w:before="51" w:line="350" w:lineRule="auto"/>
        <w:jc w:val="both"/>
        <w:rPr/>
      </w:pPr>
      <w:r>
        <w:rPr>
          <w:spacing w:val="6"/>
        </w:rPr>
        <w:t>的公共租赁住房，纳入全市公共租赁住房管理</w:t>
      </w:r>
      <w:r>
        <w:rPr>
          <w:spacing w:val="7"/>
        </w:rPr>
        <w:t>范围，享受公共租赁住房建设优惠政策；单位</w:t>
      </w:r>
      <w:r>
        <w:rPr>
          <w:spacing w:val="7"/>
        </w:rPr>
        <w:t>可参照政府投资建设（筹集）的公共租赁住房</w:t>
      </w:r>
      <w:r>
        <w:rPr>
          <w:spacing w:val="7"/>
        </w:rPr>
        <w:t>相关规定并结合本单位实际，制定供应本单位</w:t>
      </w:r>
      <w:r>
        <w:rPr>
          <w:spacing w:val="7"/>
        </w:rPr>
        <w:t>保障对象的配租方案，配租方案、分配结果报</w:t>
      </w:r>
      <w:r>
        <w:rPr>
          <w:spacing w:val="7"/>
        </w:rPr>
        <w:t>送原州区住房保障部门备案；有剩余房源的，</w:t>
      </w:r>
      <w:r>
        <w:rPr>
          <w:spacing w:val="18"/>
        </w:rPr>
        <w:t>可交由住房保障部门调剂租赁给其他符合公</w:t>
      </w:r>
      <w:r>
        <w:rPr>
          <w:spacing w:val="8"/>
        </w:rPr>
        <w:t>共租赁住房保障条件的对象</w:t>
      </w:r>
      <w:r>
        <w:rPr>
          <w:rFonts w:ascii="Times New Roman" w:hAnsi="Times New Roman" w:eastAsia="Times New Roman" w:cs="Times New Roman"/>
          <w:spacing w:val="8"/>
        </w:rPr>
        <w:t>”</w:t>
      </w:r>
      <w:r>
        <w:rPr>
          <w:spacing w:val="8"/>
        </w:rPr>
        <w:t>。</w:t>
      </w:r>
    </w:p>
    <w:p>
      <w:pPr>
        <w:pStyle w:val="BodyText"/>
        <w:ind w:left="11" w:right="254" w:firstLine="413"/>
        <w:spacing w:before="7" w:line="341" w:lineRule="auto"/>
        <w:rPr/>
      </w:pPr>
      <w:r>
        <w:rPr>
          <w:spacing w:val="13"/>
        </w:rPr>
        <w:t>（二）将第二十九条</w:t>
      </w:r>
      <w:r>
        <w:rPr>
          <w:rFonts w:ascii="Times New Roman" w:hAnsi="Times New Roman" w:eastAsia="Times New Roman" w:cs="Times New Roman"/>
          <w:spacing w:val="13"/>
        </w:rPr>
        <w:t>“</w:t>
      </w:r>
      <w:r>
        <w:rPr>
          <w:spacing w:val="13"/>
        </w:rPr>
        <w:t>符合配租条件的家</w:t>
      </w:r>
      <w:r>
        <w:rPr>
          <w:spacing w:val="7"/>
        </w:rPr>
        <w:t>庭成员中有优抚对象、六十周岁以上老人、重</w:t>
      </w:r>
      <w:r>
        <w:rPr>
          <w:spacing w:val="7"/>
        </w:rPr>
        <w:t>残（一二级）、患重大疾病（行业规范定义的</w:t>
      </w:r>
      <w:r>
        <w:rPr>
          <w:rFonts w:ascii="Times New Roman" w:hAnsi="Times New Roman" w:eastAsia="Times New Roman" w:cs="Times New Roman"/>
          <w:spacing w:val="2"/>
        </w:rPr>
        <w:t>25 </w:t>
      </w:r>
      <w:r>
        <w:rPr>
          <w:spacing w:val="2"/>
        </w:rPr>
        <w:t>类）人员的，可优先轮候分配公共租赁住房</w:t>
      </w:r>
      <w:r>
        <w:rPr>
          <w:rFonts w:ascii="Times New Roman" w:hAnsi="Times New Roman" w:eastAsia="Times New Roman" w:cs="Times New Roman"/>
          <w:spacing w:val="2"/>
        </w:rPr>
        <w:t>”</w:t>
      </w:r>
      <w:r>
        <w:rPr>
          <w:spacing w:val="10"/>
        </w:rPr>
        <w:t>修改为</w:t>
      </w:r>
      <w:r>
        <w:rPr>
          <w:rFonts w:ascii="Times New Roman" w:hAnsi="Times New Roman" w:eastAsia="Times New Roman" w:cs="Times New Roman"/>
          <w:spacing w:val="10"/>
        </w:rPr>
        <w:t>“</w:t>
      </w:r>
      <w:r>
        <w:rPr>
          <w:spacing w:val="10"/>
        </w:rPr>
        <w:t>市政府引进的特殊专业人才</w:t>
      </w:r>
      <w:r>
        <w:rPr>
          <w:spacing w:val="-43"/>
        </w:rPr>
        <w:t xml:space="preserve"> </w:t>
      </w:r>
      <w:r>
        <w:rPr>
          <w:spacing w:val="10"/>
        </w:rPr>
        <w:t>，在固原</w:t>
      </w:r>
      <w:r>
        <w:rPr>
          <w:spacing w:val="7"/>
        </w:rPr>
        <w:t>市区工作的全国、省部级劳模、全国英模、荣</w:t>
      </w:r>
      <w:r>
        <w:rPr>
          <w:spacing w:val="18"/>
        </w:rPr>
        <w:t>立二等功以上的复转军人符合公共租赁住房</w:t>
      </w:r>
      <w:r>
        <w:rPr>
          <w:spacing w:val="7"/>
        </w:rPr>
        <w:t>申请条件的，优先轮候配租；具备申请条件且</w:t>
      </w:r>
      <w:r>
        <w:rPr>
          <w:spacing w:val="12"/>
        </w:rPr>
        <w:t>符合下列条件之一的申请人（家庭</w:t>
      </w:r>
      <w:r>
        <w:rPr>
          <w:spacing w:val="-35"/>
        </w:rPr>
        <w:t>），</w:t>
      </w:r>
      <w:r>
        <w:rPr>
          <w:spacing w:val="12"/>
        </w:rPr>
        <w:t>优先予</w:t>
      </w:r>
      <w:r>
        <w:rPr>
          <w:spacing w:val="9"/>
        </w:rPr>
        <w:t>以保障</w:t>
      </w:r>
      <w:r>
        <w:rPr>
          <w:spacing w:val="-44"/>
          <w:w w:val="82"/>
        </w:rPr>
        <w:t>：（</w:t>
      </w:r>
      <w:r>
        <w:rPr>
          <w:spacing w:val="9"/>
        </w:rPr>
        <w:t>一）享受城镇最低生活保障的家庭；</w:t>
      </w:r>
    </w:p>
    <w:p>
      <w:pPr>
        <w:pStyle w:val="BodyText"/>
        <w:ind w:left="10" w:right="298" w:hanging="6"/>
        <w:spacing w:before="98" w:line="333" w:lineRule="auto"/>
        <w:rPr/>
      </w:pPr>
      <w:r>
        <w:rPr>
          <w:spacing w:val="7"/>
        </w:rPr>
        <w:t>（二）孤寡老人、四级以上残疾人员和重大疾</w:t>
      </w:r>
      <w:r>
        <w:rPr>
          <w:spacing w:val="7"/>
        </w:rPr>
        <w:t>病救助对象（丧失独立生活能力的人，需要家</w:t>
      </w:r>
      <w:r>
        <w:rPr>
          <w:spacing w:val="11"/>
        </w:rPr>
        <w:t>庭安排护理人员陪同居住</w:t>
      </w:r>
      <w:r>
        <w:rPr>
          <w:spacing w:val="-46"/>
          <w:w w:val="84"/>
        </w:rPr>
        <w:t>）；（</w:t>
      </w:r>
      <w:r>
        <w:rPr>
          <w:spacing w:val="11"/>
        </w:rPr>
        <w:t>三）烈士遗属、</w:t>
      </w:r>
      <w:r>
        <w:rPr>
          <w:spacing w:val="11"/>
        </w:rPr>
        <w:t>残疾军人等重点优抚对象</w:t>
      </w:r>
      <w:r>
        <w:rPr>
          <w:spacing w:val="-49"/>
        </w:rPr>
        <w:t>；（</w:t>
      </w:r>
      <w:r>
        <w:rPr>
          <w:spacing w:val="-41"/>
        </w:rPr>
        <w:t xml:space="preserve"> </w:t>
      </w:r>
      <w:r>
        <w:rPr>
          <w:spacing w:val="11"/>
        </w:rPr>
        <w:t>四）劳动模范、</w:t>
      </w:r>
      <w:r>
        <w:rPr>
          <w:spacing w:val="13"/>
        </w:rPr>
        <w:t>见义勇为人员的家庭</w:t>
      </w:r>
      <w:r>
        <w:rPr>
          <w:spacing w:val="-50"/>
          <w:w w:val="92"/>
        </w:rPr>
        <w:t>；（</w:t>
      </w:r>
      <w:r>
        <w:rPr>
          <w:spacing w:val="13"/>
        </w:rPr>
        <w:t>五）因房屋拆迁</w:t>
      </w:r>
      <w:r>
        <w:rPr>
          <w:spacing w:val="-56"/>
        </w:rPr>
        <w:t xml:space="preserve"> </w:t>
      </w:r>
      <w:r>
        <w:rPr>
          <w:spacing w:val="13"/>
        </w:rPr>
        <w:t>，具</w:t>
      </w:r>
      <w:r>
        <w:rPr>
          <w:spacing w:val="15"/>
        </w:rPr>
        <w:t>备住房救助条件的住房困难家庭</w:t>
      </w:r>
      <w:r>
        <w:rPr>
          <w:spacing w:val="-51"/>
          <w:w w:val="94"/>
        </w:rPr>
        <w:t>；（</w:t>
      </w:r>
      <w:r>
        <w:rPr>
          <w:spacing w:val="15"/>
        </w:rPr>
        <w:t>六）符合</w:t>
      </w:r>
      <w:r>
        <w:rPr>
          <w:spacing w:val="9"/>
        </w:rPr>
        <w:t>固原市人民政府规定的其他优先保障对象</w:t>
      </w:r>
      <w:r>
        <w:rPr>
          <w:rFonts w:ascii="Times New Roman" w:hAnsi="Times New Roman" w:eastAsia="Times New Roman" w:cs="Times New Roman"/>
          <w:spacing w:val="9"/>
        </w:rPr>
        <w:t>”</w:t>
      </w:r>
      <w:r>
        <w:rPr>
          <w:spacing w:val="9"/>
        </w:rPr>
        <w:t>。</w:t>
      </w:r>
    </w:p>
    <w:p>
      <w:pPr>
        <w:pStyle w:val="BodyText"/>
        <w:ind w:left="12" w:right="261" w:firstLine="412"/>
        <w:spacing w:before="141" w:line="336" w:lineRule="auto"/>
        <w:rPr/>
      </w:pPr>
      <w:r>
        <w:rPr>
          <w:spacing w:val="13"/>
        </w:rPr>
        <w:t>（三）将第四十一条</w:t>
      </w:r>
      <w:r>
        <w:rPr>
          <w:rFonts w:ascii="Times New Roman" w:hAnsi="Times New Roman" w:eastAsia="Times New Roman" w:cs="Times New Roman"/>
          <w:spacing w:val="13"/>
        </w:rPr>
        <w:t>“</w:t>
      </w:r>
      <w:r>
        <w:rPr>
          <w:spacing w:val="13"/>
        </w:rPr>
        <w:t>调整保障标准或退</w:t>
      </w:r>
      <w:r>
        <w:rPr>
          <w:spacing w:val="12"/>
        </w:rPr>
        <w:t>出住房保障的</w:t>
      </w:r>
      <w:r>
        <w:rPr>
          <w:spacing w:val="-51"/>
        </w:rPr>
        <w:t xml:space="preserve"> </w:t>
      </w:r>
      <w:r>
        <w:rPr>
          <w:spacing w:val="12"/>
        </w:rPr>
        <w:t>，承租人应当积极主动配合</w:t>
      </w:r>
      <w:r>
        <w:rPr>
          <w:rFonts w:ascii="Times New Roman" w:hAnsi="Times New Roman" w:eastAsia="Times New Roman" w:cs="Times New Roman"/>
          <w:spacing w:val="12"/>
        </w:rPr>
        <w:t>;</w:t>
      </w:r>
      <w:r>
        <w:rPr>
          <w:spacing w:val="12"/>
        </w:rPr>
        <w:t>对</w:t>
      </w:r>
      <w:r>
        <w:rPr>
          <w:spacing w:val="7"/>
        </w:rPr>
        <w:t>退出确有特殊困难的，给予三个月的过渡期限</w:t>
      </w:r>
      <w:r>
        <w:rPr>
          <w:rFonts w:ascii="Times New Roman" w:hAnsi="Times New Roman" w:eastAsia="Times New Roman" w:cs="Times New Roman"/>
          <w:spacing w:val="7"/>
        </w:rPr>
        <w:t>;</w:t>
      </w:r>
      <w:r>
        <w:rPr>
          <w:spacing w:val="7"/>
        </w:rPr>
        <w:t>过渡期满仍不腾退的，按照市场租金标准收缴</w:t>
      </w:r>
      <w:r>
        <w:rPr>
          <w:spacing w:val="7"/>
        </w:rPr>
        <w:t>租金，同时向人民法院提起诉讼，强制腾退公</w:t>
      </w:r>
      <w:r>
        <w:rPr>
          <w:spacing w:val="10"/>
        </w:rPr>
        <w:t>共租赁住房</w:t>
      </w:r>
      <w:r>
        <w:rPr>
          <w:rFonts w:ascii="Times New Roman" w:hAnsi="Times New Roman" w:eastAsia="Times New Roman" w:cs="Times New Roman"/>
          <w:spacing w:val="10"/>
        </w:rPr>
        <w:t>”</w:t>
      </w:r>
      <w:r>
        <w:rPr>
          <w:spacing w:val="10"/>
        </w:rPr>
        <w:t>修改为</w:t>
      </w:r>
      <w:r>
        <w:rPr>
          <w:rFonts w:ascii="Times New Roman" w:hAnsi="Times New Roman" w:eastAsia="Times New Roman" w:cs="Times New Roman"/>
          <w:spacing w:val="10"/>
        </w:rPr>
        <w:t>“</w:t>
      </w:r>
      <w:r>
        <w:rPr>
          <w:spacing w:val="10"/>
        </w:rPr>
        <w:t>承租人通过购买、获</w:t>
      </w:r>
      <w:r>
        <w:rPr>
          <w:spacing w:val="9"/>
        </w:rPr>
        <w:t>赠、</w:t>
      </w:r>
      <w:r>
        <w:rPr>
          <w:spacing w:val="7"/>
        </w:rPr>
        <w:t>继承等方式获得其他住房的，或在租赁期内超</w:t>
      </w:r>
      <w:r>
        <w:rPr>
          <w:spacing w:val="7"/>
        </w:rPr>
        <w:t>过政府规定的收入标准的，应当退出公共租赁</w:t>
      </w:r>
      <w:r>
        <w:rPr>
          <w:spacing w:val="15"/>
        </w:rPr>
        <w:t>住房</w:t>
      </w:r>
      <w:r>
        <w:rPr>
          <w:spacing w:val="-40"/>
        </w:rPr>
        <w:t xml:space="preserve"> </w:t>
      </w:r>
      <w:r>
        <w:rPr>
          <w:spacing w:val="15"/>
        </w:rPr>
        <w:t>；公共租赁住房的退出机制包括自愿退</w:t>
      </w:r>
    </w:p>
    <w:p>
      <w:pPr>
        <w:spacing w:line="14" w:lineRule="auto"/>
        <w:rPr>
          <w:rFonts w:ascii="Arial"/>
          <w:sz w:val="2"/>
        </w:rPr>
      </w:pPr>
      <w:r>
        <w:rPr>
          <w:rFonts w:ascii="Arial" w:hAnsi="Arial" w:eastAsia="Arial" w:cs="Arial"/>
          <w:sz w:val="2"/>
          <w:szCs w:val="2"/>
        </w:rPr>
        <w:br w:type="column"/>
      </w:r>
    </w:p>
    <w:p>
      <w:pPr>
        <w:pStyle w:val="BodyText"/>
        <w:ind w:left="7" w:right="52" w:firstLine="17"/>
        <w:spacing w:before="39" w:line="351" w:lineRule="auto"/>
        <w:jc w:val="both"/>
        <w:rPr/>
      </w:pPr>
      <w:r>
        <w:rPr>
          <w:spacing w:val="11"/>
        </w:rPr>
        <w:t>出、主动退出和强制清退</w:t>
      </w:r>
      <w:r>
        <w:rPr>
          <w:spacing w:val="-48"/>
          <w:w w:val="91"/>
        </w:rPr>
        <w:t>，（</w:t>
      </w:r>
      <w:r>
        <w:rPr>
          <w:spacing w:val="11"/>
        </w:rPr>
        <w:t>一）</w:t>
      </w:r>
      <w:r>
        <w:rPr>
          <w:spacing w:val="-38"/>
        </w:rPr>
        <w:t xml:space="preserve"> </w:t>
      </w:r>
      <w:r>
        <w:rPr>
          <w:spacing w:val="11"/>
        </w:rPr>
        <w:t>自愿退出是</w:t>
      </w:r>
      <w:r>
        <w:rPr>
          <w:spacing w:val="18"/>
        </w:rPr>
        <w:t>指符合现行的公共租赁住房保障条件且已承</w:t>
      </w:r>
      <w:r>
        <w:rPr>
          <w:spacing w:val="7"/>
        </w:rPr>
        <w:t>租公共租赁住房的家庭，为方便其生活，另行</w:t>
      </w:r>
      <w:r>
        <w:rPr>
          <w:spacing w:val="13"/>
        </w:rPr>
        <w:t>解决住房困难</w:t>
      </w:r>
      <w:r>
        <w:rPr>
          <w:spacing w:val="-54"/>
        </w:rPr>
        <w:t xml:space="preserve"> </w:t>
      </w:r>
      <w:r>
        <w:rPr>
          <w:spacing w:val="13"/>
        </w:rPr>
        <w:t>，</w:t>
      </w:r>
      <w:r>
        <w:rPr>
          <w:spacing w:val="-47"/>
        </w:rPr>
        <w:t xml:space="preserve"> </w:t>
      </w:r>
      <w:r>
        <w:rPr>
          <w:spacing w:val="13"/>
        </w:rPr>
        <w:t>自愿退出承租的公共租赁住</w:t>
      </w:r>
      <w:r>
        <w:rPr>
          <w:spacing w:val="12"/>
        </w:rPr>
        <w:t>房</w:t>
      </w:r>
      <w:r>
        <w:rPr>
          <w:spacing w:val="-35"/>
        </w:rPr>
        <w:t>；（</w:t>
      </w:r>
      <w:r>
        <w:rPr>
          <w:spacing w:val="12"/>
        </w:rPr>
        <w:t>二）主动退出是指已承租公共租赁住房</w:t>
      </w:r>
      <w:r>
        <w:rPr>
          <w:spacing w:val="7"/>
        </w:rPr>
        <w:t>的家庭，因生活条件改善已不符合现行的公共</w:t>
      </w:r>
      <w:r>
        <w:rPr>
          <w:spacing w:val="7"/>
        </w:rPr>
        <w:t>租赁住房保障条件，主动申请退出现承租的公</w:t>
      </w:r>
      <w:r>
        <w:rPr>
          <w:spacing w:val="11"/>
        </w:rPr>
        <w:t>共租赁住房</w:t>
      </w:r>
      <w:r>
        <w:rPr>
          <w:spacing w:val="-57"/>
        </w:rPr>
        <w:t xml:space="preserve"> </w:t>
      </w:r>
      <w:r>
        <w:rPr>
          <w:spacing w:val="11"/>
        </w:rPr>
        <w:t>，</w:t>
      </w:r>
      <w:r>
        <w:rPr>
          <w:spacing w:val="-57"/>
        </w:rPr>
        <w:t xml:space="preserve"> </w:t>
      </w:r>
      <w:r>
        <w:rPr>
          <w:spacing w:val="11"/>
        </w:rPr>
        <w:t>自行解决住房</w:t>
      </w:r>
      <w:r>
        <w:rPr>
          <w:spacing w:val="-49"/>
          <w:w w:val="90"/>
        </w:rPr>
        <w:t>；（</w:t>
      </w:r>
      <w:r>
        <w:rPr>
          <w:spacing w:val="11"/>
        </w:rPr>
        <w:t>三）强制清退</w:t>
      </w:r>
      <w:r>
        <w:rPr>
          <w:spacing w:val="7"/>
        </w:rPr>
        <w:t>是指已承租公共租赁住房的家庭，因生活条件</w:t>
      </w:r>
      <w:r>
        <w:rPr>
          <w:spacing w:val="7"/>
        </w:rPr>
        <w:t>改善，已不符合现行公共租赁住房保障条件，</w:t>
      </w:r>
      <w:r>
        <w:rPr>
          <w:spacing w:val="7"/>
        </w:rPr>
        <w:t>拒不腾退公共租赁住房，原州区住房保障部门</w:t>
      </w:r>
      <w:r>
        <w:rPr>
          <w:spacing w:val="7"/>
        </w:rPr>
        <w:t>将采取调整租金方式处理，直到收回公共租赁</w:t>
      </w:r>
      <w:r>
        <w:rPr>
          <w:spacing w:val="7"/>
        </w:rPr>
        <w:t>住房，对拒不执行处理的，向人民法院申请强</w:t>
      </w:r>
      <w:r>
        <w:rPr>
          <w:spacing w:val="6"/>
        </w:rPr>
        <w:t>制执行</w:t>
      </w:r>
      <w:r>
        <w:rPr>
          <w:rFonts w:ascii="Times New Roman" w:hAnsi="Times New Roman" w:eastAsia="Times New Roman" w:cs="Times New Roman"/>
          <w:spacing w:val="6"/>
        </w:rPr>
        <w:t>”</w:t>
      </w:r>
      <w:r>
        <w:rPr>
          <w:spacing w:val="6"/>
        </w:rPr>
        <w:t>。</w:t>
      </w:r>
    </w:p>
    <w:p>
      <w:pPr>
        <w:pStyle w:val="BodyText"/>
        <w:ind w:left="6" w:right="14" w:firstLine="413"/>
        <w:spacing w:before="12" w:line="350" w:lineRule="auto"/>
        <w:jc w:val="both"/>
        <w:rPr/>
      </w:pPr>
      <w:r>
        <w:rPr>
          <w:spacing w:val="10"/>
        </w:rPr>
        <w:t>（</w:t>
      </w:r>
      <w:r>
        <w:rPr>
          <w:spacing w:val="-36"/>
        </w:rPr>
        <w:t xml:space="preserve"> </w:t>
      </w:r>
      <w:r>
        <w:rPr>
          <w:spacing w:val="10"/>
        </w:rPr>
        <w:t>四）将第四十二条</w:t>
      </w:r>
      <w:r>
        <w:rPr>
          <w:rFonts w:ascii="Times New Roman" w:hAnsi="Times New Roman" w:eastAsia="Times New Roman" w:cs="Times New Roman"/>
          <w:spacing w:val="10"/>
        </w:rPr>
        <w:t>“</w:t>
      </w:r>
      <w:r>
        <w:rPr>
          <w:spacing w:val="10"/>
        </w:rPr>
        <w:t>公共租赁住房平均</w:t>
      </w:r>
      <w:r>
        <w:rPr>
          <w:spacing w:val="7"/>
        </w:rPr>
        <w:t>租金标准，原则上按照适当低于同地段、同类</w:t>
      </w:r>
      <w:r>
        <w:rPr>
          <w:spacing w:val="14"/>
        </w:rPr>
        <w:t>型住房市场租金水平确定</w:t>
      </w:r>
      <w:r>
        <w:rPr>
          <w:rFonts w:ascii="Times New Roman" w:hAnsi="Times New Roman" w:eastAsia="Times New Roman" w:cs="Times New Roman"/>
          <w:spacing w:val="14"/>
        </w:rPr>
        <w:t>;</w:t>
      </w:r>
      <w:r>
        <w:rPr>
          <w:spacing w:val="14"/>
        </w:rPr>
        <w:t>租金补贴标准根据</w:t>
      </w:r>
      <w:r>
        <w:rPr>
          <w:spacing w:val="7"/>
        </w:rPr>
        <w:t>当地经济发展、市场住房租金水平、人均收入</w:t>
      </w:r>
      <w:r>
        <w:rPr>
          <w:spacing w:val="7"/>
        </w:rPr>
        <w:t>状况等因素确定；由市住房保障行政主管部门</w:t>
      </w:r>
      <w:r>
        <w:rPr>
          <w:spacing w:val="15"/>
        </w:rPr>
        <w:t>会同物价部门制定</w:t>
      </w:r>
      <w:r>
        <w:rPr>
          <w:spacing w:val="-39"/>
        </w:rPr>
        <w:t xml:space="preserve"> </w:t>
      </w:r>
      <w:r>
        <w:rPr>
          <w:spacing w:val="15"/>
        </w:rPr>
        <w:t>，报市人民政府批准后执</w:t>
      </w:r>
      <w:r>
        <w:rPr>
          <w:spacing w:val="5"/>
        </w:rPr>
        <w:t>行，并实行动态调整，每两年向社会公布一</w:t>
      </w:r>
      <w:r>
        <w:rPr>
          <w:spacing w:val="4"/>
        </w:rPr>
        <w:t>次</w:t>
      </w:r>
      <w:r>
        <w:rPr>
          <w:rFonts w:ascii="Times New Roman" w:hAnsi="Times New Roman" w:eastAsia="Times New Roman" w:cs="Times New Roman"/>
          <w:spacing w:val="4"/>
        </w:rPr>
        <w:t>”</w:t>
      </w:r>
      <w:r>
        <w:rPr>
          <w:spacing w:val="13"/>
        </w:rPr>
        <w:t>修改为</w:t>
      </w:r>
      <w:r>
        <w:rPr>
          <w:rFonts w:ascii="Times New Roman" w:hAnsi="Times New Roman" w:eastAsia="Times New Roman" w:cs="Times New Roman"/>
          <w:spacing w:val="13"/>
        </w:rPr>
        <w:t>“</w:t>
      </w:r>
      <w:r>
        <w:rPr>
          <w:spacing w:val="13"/>
        </w:rPr>
        <w:t>公共租赁住房租金（含物业管理费）</w:t>
      </w:r>
      <w:r>
        <w:rPr>
          <w:spacing w:val="7"/>
        </w:rPr>
        <w:t>实行政府定价、动态管理，由市物价部门会同</w:t>
      </w:r>
      <w:r>
        <w:rPr>
          <w:spacing w:val="7"/>
        </w:rPr>
        <w:t>住房保障部门根据本市经济发展水平、财政承</w:t>
      </w:r>
      <w:r>
        <w:rPr>
          <w:spacing w:val="7"/>
        </w:rPr>
        <w:t>受能力、建设营运成本等因素，按照略低于同</w:t>
      </w:r>
      <w:r>
        <w:rPr>
          <w:spacing w:val="18"/>
        </w:rPr>
        <w:t>地段、同类型普通商品住房市场租金水平核</w:t>
      </w:r>
      <w:r>
        <w:rPr>
          <w:spacing w:val="8"/>
        </w:rPr>
        <w:t>定，适时向社会公布</w:t>
      </w:r>
      <w:r>
        <w:rPr>
          <w:rFonts w:ascii="Times New Roman" w:hAnsi="Times New Roman" w:eastAsia="Times New Roman" w:cs="Times New Roman"/>
          <w:spacing w:val="8"/>
        </w:rPr>
        <w:t>”</w:t>
      </w:r>
      <w:r>
        <w:rPr>
          <w:spacing w:val="8"/>
        </w:rPr>
        <w:t>。</w:t>
      </w:r>
    </w:p>
    <w:p>
      <w:pPr>
        <w:ind w:right="59" w:firstLine="437"/>
        <w:spacing w:before="13" w:line="263"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六、固原市人民政府关于印发固原市工业</w:t>
      </w:r>
      <w:r>
        <w:rPr>
          <w:rFonts w:ascii="Microsoft YaHei" w:hAnsi="Microsoft YaHei" w:eastAsia="Microsoft YaHei" w:cs="Microsoft YaHei"/>
          <w:sz w:val="20"/>
          <w:szCs w:val="20"/>
          <w:spacing w:val="18"/>
        </w:rPr>
        <w:t>企业担保贷款基金使用管理暂行办法的通知</w:t>
      </w:r>
      <w:r>
        <w:rPr>
          <w:rFonts w:ascii="Microsoft YaHei" w:hAnsi="Microsoft YaHei" w:eastAsia="Microsoft YaHei" w:cs="Microsoft YaHei"/>
          <w:sz w:val="20"/>
          <w:szCs w:val="20"/>
          <w:spacing w:val="-2"/>
        </w:rPr>
        <w:t>（</w:t>
      </w:r>
      <w:r>
        <w:rPr>
          <w:rFonts w:ascii="Microsoft YaHei" w:hAnsi="Microsoft YaHei" w:eastAsia="Microsoft YaHei" w:cs="Microsoft YaHei"/>
          <w:sz w:val="20"/>
          <w:szCs w:val="20"/>
          <w:spacing w:val="35"/>
        </w:rPr>
        <w:t xml:space="preserve"> </w:t>
      </w:r>
      <w:r>
        <w:rPr>
          <w:rFonts w:ascii="Microsoft YaHei" w:hAnsi="Microsoft YaHei" w:eastAsia="Microsoft YaHei" w:cs="Microsoft YaHei"/>
          <w:sz w:val="20"/>
          <w:szCs w:val="20"/>
          <w:spacing w:val="-2"/>
        </w:rPr>
        <w:t>固政发〔2015〕34号 ）</w:t>
      </w:r>
    </w:p>
    <w:p>
      <w:pPr>
        <w:pStyle w:val="BodyText"/>
        <w:ind w:left="15" w:right="57" w:firstLine="405"/>
        <w:spacing w:line="309" w:lineRule="auto"/>
        <w:rPr/>
      </w:pPr>
      <w:r>
        <w:rPr>
          <w:spacing w:val="9"/>
        </w:rPr>
        <w:t>（一）将第三条</w:t>
      </w:r>
      <w:r>
        <w:rPr>
          <w:rFonts w:ascii="Times New Roman" w:hAnsi="Times New Roman" w:eastAsia="Times New Roman" w:cs="Times New Roman"/>
          <w:spacing w:val="9"/>
        </w:rPr>
        <w:t>“</w:t>
      </w:r>
      <w:r>
        <w:rPr>
          <w:spacing w:val="9"/>
        </w:rPr>
        <w:t>并执行年不超过</w:t>
      </w:r>
      <w:r>
        <w:rPr>
          <w:rFonts w:ascii="Times New Roman" w:hAnsi="Times New Roman" w:eastAsia="Times New Roman" w:cs="Times New Roman"/>
          <w:spacing w:val="9"/>
        </w:rPr>
        <w:t>2%</w:t>
      </w:r>
      <w:r>
        <w:rPr>
          <w:spacing w:val="9"/>
        </w:rPr>
        <w:t>的优</w:t>
      </w:r>
      <w:r>
        <w:rPr>
          <w:spacing w:val="14"/>
        </w:rPr>
        <w:t>惠担保费率</w:t>
      </w:r>
      <w:r>
        <w:rPr>
          <w:rFonts w:ascii="Times New Roman" w:hAnsi="Times New Roman" w:eastAsia="Times New Roman" w:cs="Times New Roman"/>
          <w:spacing w:val="14"/>
        </w:rPr>
        <w:t>”</w:t>
      </w:r>
      <w:r>
        <w:rPr>
          <w:spacing w:val="14"/>
        </w:rPr>
        <w:t>修改为</w:t>
      </w:r>
      <w:r>
        <w:rPr>
          <w:rFonts w:ascii="Times New Roman" w:hAnsi="Times New Roman" w:eastAsia="Times New Roman" w:cs="Times New Roman"/>
          <w:spacing w:val="14"/>
        </w:rPr>
        <w:t>“</w:t>
      </w:r>
      <w:r>
        <w:rPr>
          <w:spacing w:val="14"/>
        </w:rPr>
        <w:t>并执行年不超过</w:t>
      </w:r>
      <w:r>
        <w:rPr>
          <w:rFonts w:ascii="Times New Roman" w:hAnsi="Times New Roman" w:eastAsia="Times New Roman" w:cs="Times New Roman"/>
          <w:spacing w:val="14"/>
        </w:rPr>
        <w:t>1%</w:t>
      </w:r>
      <w:r>
        <w:rPr>
          <w:spacing w:val="14"/>
        </w:rPr>
        <w:t>的优</w:t>
      </w:r>
      <w:r>
        <w:rPr>
          <w:spacing w:val="6"/>
        </w:rPr>
        <w:t>惠担保费率</w:t>
      </w:r>
      <w:r>
        <w:rPr>
          <w:rFonts w:ascii="Times New Roman" w:hAnsi="Times New Roman" w:eastAsia="Times New Roman" w:cs="Times New Roman"/>
          <w:spacing w:val="6"/>
        </w:rPr>
        <w:t>”</w:t>
      </w:r>
      <w:r>
        <w:rPr>
          <w:spacing w:val="6"/>
        </w:rPr>
        <w:t>。</w:t>
      </w:r>
    </w:p>
    <w:p>
      <w:pPr>
        <w:pStyle w:val="BodyText"/>
        <w:ind w:left="420"/>
        <w:spacing w:before="136" w:line="221" w:lineRule="auto"/>
        <w:rPr/>
      </w:pPr>
      <w:r>
        <w:rPr>
          <w:spacing w:val="13"/>
        </w:rPr>
        <w:t>（二）将第五条</w:t>
      </w:r>
      <w:r>
        <w:rPr>
          <w:rFonts w:ascii="Times New Roman" w:hAnsi="Times New Roman" w:eastAsia="Times New Roman" w:cs="Times New Roman"/>
          <w:spacing w:val="13"/>
        </w:rPr>
        <w:t>“</w:t>
      </w:r>
      <w:r>
        <w:rPr>
          <w:spacing w:val="13"/>
        </w:rPr>
        <w:t>企业担保贷款基金主要</w:t>
      </w:r>
    </w:p>
    <w:p>
      <w:pPr>
        <w:spacing w:line="221" w:lineRule="auto"/>
        <w:sectPr>
          <w:type w:val="continuous"/>
          <w:pgSz w:w="11906" w:h="16839"/>
          <w:pgMar w:top="1766" w:right="1530" w:bottom="1563" w:left="1579" w:header="1428" w:footer="1172" w:gutter="0"/>
          <w:cols w:equalWidth="0" w:num="2">
            <w:col w:w="4481" w:space="100"/>
            <w:col w:w="4215" w:space="0"/>
          </w:cols>
        </w:sectPr>
        <w:rPr/>
      </w:pPr>
    </w:p>
    <w:p>
      <w:pPr>
        <w:spacing w:before="49"/>
        <w:rPr/>
      </w:pPr>
      <w:r>
        <w:drawing>
          <wp:anchor distT="0" distB="0" distL="0" distR="0" simplePos="0" relativeHeight="252065792" behindDoc="0" locked="0" layoutInCell="0" allowOverlap="1">
            <wp:simplePos x="0" y="0"/>
            <wp:positionH relativeFrom="page">
              <wp:posOffset>1008380</wp:posOffset>
            </wp:positionH>
            <wp:positionV relativeFrom="page">
              <wp:posOffset>1122680</wp:posOffset>
            </wp:positionV>
            <wp:extent cx="5579745" cy="7619"/>
            <wp:effectExtent l="0" t="0" r="0" b="0"/>
            <wp:wrapNone/>
            <wp:docPr id="1138" name="IM 1138"/>
            <wp:cNvGraphicFramePr/>
            <a:graphic>
              <a:graphicData uri="http://schemas.openxmlformats.org/drawingml/2006/picture">
                <pic:pic>
                  <pic:nvPicPr>
                    <pic:cNvPr id="1138" name="IM 1138"/>
                    <pic:cNvPicPr/>
                  </pic:nvPicPr>
                  <pic:blipFill>
                    <a:blip r:embed="rId571"/>
                    <a:stretch>
                      <a:fillRect/>
                    </a:stretch>
                  </pic:blipFill>
                  <pic:spPr>
                    <a:xfrm rot="0">
                      <a:off x="0" y="0"/>
                      <a:ext cx="5579745" cy="7619"/>
                    </a:xfrm>
                    <a:prstGeom prst="rect">
                      <a:avLst/>
                    </a:prstGeom>
                  </pic:spPr>
                </pic:pic>
              </a:graphicData>
            </a:graphic>
          </wp:anchor>
        </w:drawing>
      </w:r>
      <w:r/>
    </w:p>
    <w:p>
      <w:pPr>
        <w:sectPr>
          <w:headerReference w:type="default" r:id="rId569"/>
          <w:footerReference w:type="default" r:id="rId570"/>
          <w:pgSz w:w="11906" w:h="16839"/>
          <w:pgMar w:top="1769" w:right="1489" w:bottom="1570" w:left="1551" w:header="1428" w:footer="1172" w:gutter="0"/>
          <w:cols w:equalWidth="0" w:num="1">
            <w:col w:w="8866" w:space="0"/>
          </w:cols>
        </w:sectPr>
        <w:rPr/>
      </w:pPr>
    </w:p>
    <w:p>
      <w:pPr>
        <w:pStyle w:val="BodyText"/>
        <w:ind w:left="33" w:right="208" w:firstLine="27"/>
        <w:spacing w:before="53" w:line="349" w:lineRule="auto"/>
        <w:jc w:val="both"/>
        <w:rPr/>
      </w:pPr>
      <w:r>
        <w:rPr>
          <w:spacing w:val="6"/>
        </w:rPr>
        <w:t>围绕培育壮大能源冶金、盐化工、特色农产品</w:t>
      </w:r>
      <w:r>
        <w:rPr>
          <w:spacing w:val="8"/>
        </w:rPr>
        <w:t>加工业和战略性新型产业</w:t>
      </w:r>
      <w:r>
        <w:rPr>
          <w:rFonts w:ascii="Times New Roman" w:hAnsi="Times New Roman" w:eastAsia="Times New Roman" w:cs="Times New Roman"/>
          <w:spacing w:val="8"/>
        </w:rPr>
        <w:t>‘</w:t>
      </w:r>
      <w:r>
        <w:rPr>
          <w:rFonts w:ascii="Times New Roman" w:hAnsi="Times New Roman" w:eastAsia="Times New Roman" w:cs="Times New Roman"/>
          <w:spacing w:val="-19"/>
        </w:rPr>
        <w:t xml:space="preserve"> </w:t>
      </w:r>
      <w:r>
        <w:rPr>
          <w:spacing w:val="8"/>
        </w:rPr>
        <w:t>四大产业</w:t>
      </w:r>
      <w:r>
        <w:rPr>
          <w:rFonts w:ascii="Times New Roman" w:hAnsi="Times New Roman" w:eastAsia="Times New Roman" w:cs="Times New Roman"/>
          <w:spacing w:val="8"/>
        </w:rPr>
        <w:t>’</w:t>
      </w:r>
      <w:r>
        <w:rPr>
          <w:rFonts w:ascii="Times New Roman" w:hAnsi="Times New Roman" w:eastAsia="Times New Roman" w:cs="Times New Roman"/>
          <w:spacing w:val="-27"/>
        </w:rPr>
        <w:t xml:space="preserve"> </w:t>
      </w:r>
      <w:r>
        <w:rPr>
          <w:spacing w:val="8"/>
        </w:rPr>
        <w:t>，重点支</w:t>
      </w:r>
      <w:r>
        <w:rPr>
          <w:spacing w:val="30"/>
        </w:rPr>
        <w:t>持固原经济开发区内所属工业企业及各县</w:t>
      </w:r>
      <w:r>
        <w:rPr>
          <w:spacing w:val="1"/>
        </w:rPr>
        <w:t>（区）工业龙头企业，积极支持符合产业政策、</w:t>
      </w:r>
      <w:r>
        <w:rPr>
          <w:spacing w:val="7"/>
        </w:rPr>
        <w:t>有一定科技含量、有较强示范带动作用和有较</w:t>
      </w:r>
      <w:r>
        <w:rPr>
          <w:spacing w:val="18"/>
        </w:rPr>
        <w:t>大发展潜力的中小微工业企业</w:t>
      </w:r>
      <w:r>
        <w:rPr>
          <w:rFonts w:ascii="Times New Roman" w:hAnsi="Times New Roman" w:eastAsia="Times New Roman" w:cs="Times New Roman"/>
          <w:spacing w:val="18"/>
        </w:rPr>
        <w:t>”</w:t>
      </w:r>
      <w:r>
        <w:rPr>
          <w:spacing w:val="18"/>
        </w:rPr>
        <w:t>修改为</w:t>
      </w:r>
      <w:r>
        <w:rPr>
          <w:rFonts w:ascii="Times New Roman" w:hAnsi="Times New Roman" w:eastAsia="Times New Roman" w:cs="Times New Roman"/>
          <w:spacing w:val="18"/>
        </w:rPr>
        <w:t>“</w:t>
      </w:r>
      <w:r>
        <w:rPr>
          <w:spacing w:val="18"/>
        </w:rPr>
        <w:t>围绕</w:t>
      </w:r>
      <w:r>
        <w:rPr>
          <w:spacing w:val="7"/>
        </w:rPr>
        <w:t>培育壮大农产品精深加工、新兴产业、能源新</w:t>
      </w:r>
      <w:r>
        <w:rPr>
          <w:spacing w:val="9"/>
        </w:rPr>
        <w:t>材料</w:t>
      </w:r>
      <w:r>
        <w:rPr>
          <w:rFonts w:ascii="Times New Roman" w:hAnsi="Times New Roman" w:eastAsia="Times New Roman" w:cs="Times New Roman"/>
          <w:spacing w:val="9"/>
        </w:rPr>
        <w:t>‘</w:t>
      </w:r>
      <w:r>
        <w:rPr>
          <w:spacing w:val="9"/>
        </w:rPr>
        <w:t>三大产业</w:t>
      </w:r>
      <w:r>
        <w:rPr>
          <w:rFonts w:ascii="Times New Roman" w:hAnsi="Times New Roman" w:eastAsia="Times New Roman" w:cs="Times New Roman"/>
          <w:spacing w:val="9"/>
        </w:rPr>
        <w:t>’</w:t>
      </w:r>
      <w:r>
        <w:rPr>
          <w:rFonts w:ascii="Times New Roman" w:hAnsi="Times New Roman" w:eastAsia="Times New Roman" w:cs="Times New Roman"/>
          <w:spacing w:val="-17"/>
        </w:rPr>
        <w:t xml:space="preserve"> </w:t>
      </w:r>
      <w:r>
        <w:rPr>
          <w:spacing w:val="9"/>
        </w:rPr>
        <w:t>，企业担保贷款基金重点支持</w:t>
      </w:r>
      <w:r>
        <w:rPr>
          <w:spacing w:val="5"/>
        </w:rPr>
        <w:t>固原经济开发区、各县（</w:t>
      </w:r>
      <w:r>
        <w:rPr>
          <w:spacing w:val="-47"/>
        </w:rPr>
        <w:t xml:space="preserve"> </w:t>
      </w:r>
      <w:r>
        <w:rPr>
          <w:spacing w:val="5"/>
        </w:rPr>
        <w:t>区）三大产业领域的</w:t>
      </w:r>
      <w:r>
        <w:rPr>
          <w:spacing w:val="4"/>
        </w:rPr>
        <w:t>工业龙头企业，成长型、科技型工业企业及</w:t>
      </w:r>
      <w:r>
        <w:rPr>
          <w:rFonts w:ascii="Times New Roman" w:hAnsi="Times New Roman" w:eastAsia="Times New Roman" w:cs="Times New Roman"/>
          <w:spacing w:val="4"/>
        </w:rPr>
        <w:t>‘</w:t>
      </w:r>
      <w:r>
        <w:rPr>
          <w:spacing w:val="4"/>
        </w:rPr>
        <w:t>专</w:t>
      </w:r>
      <w:r>
        <w:rPr>
          <w:spacing w:val="12"/>
        </w:rPr>
        <w:t>精特新</w:t>
      </w:r>
      <w:r>
        <w:rPr>
          <w:rFonts w:ascii="Times New Roman" w:hAnsi="Times New Roman" w:eastAsia="Times New Roman" w:cs="Times New Roman"/>
          <w:spacing w:val="12"/>
        </w:rPr>
        <w:t>’</w:t>
      </w:r>
      <w:r>
        <w:rPr>
          <w:spacing w:val="12"/>
        </w:rPr>
        <w:t>企业</w:t>
      </w:r>
      <w:r>
        <w:rPr>
          <w:spacing w:val="-54"/>
        </w:rPr>
        <w:t xml:space="preserve"> </w:t>
      </w:r>
      <w:r>
        <w:rPr>
          <w:spacing w:val="12"/>
        </w:rPr>
        <w:t>，并优先支持规上工业企业及拟</w:t>
      </w:r>
      <w:r>
        <w:rPr>
          <w:spacing w:val="8"/>
        </w:rPr>
        <w:t>入规样本企业</w:t>
      </w:r>
      <w:r>
        <w:rPr>
          <w:rFonts w:ascii="Times New Roman" w:hAnsi="Times New Roman" w:eastAsia="Times New Roman" w:cs="Times New Roman"/>
          <w:spacing w:val="8"/>
        </w:rPr>
        <w:t>”</w:t>
      </w:r>
      <w:r>
        <w:rPr>
          <w:spacing w:val="8"/>
        </w:rPr>
        <w:t>。</w:t>
      </w:r>
    </w:p>
    <w:p>
      <w:pPr>
        <w:ind w:left="43" w:right="289" w:firstLine="422"/>
        <w:spacing w:before="28" w:line="263"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七、固原市人民政府办公室关于印发固原</w:t>
      </w:r>
      <w:r>
        <w:rPr>
          <w:rFonts w:ascii="Microsoft YaHei" w:hAnsi="Microsoft YaHei" w:eastAsia="Microsoft YaHei" w:cs="Microsoft YaHei"/>
          <w:sz w:val="20"/>
          <w:szCs w:val="20"/>
          <w:spacing w:val="18"/>
        </w:rPr>
        <w:t>市行政机关负责人行政诉讼出庭应诉工作规</w:t>
      </w:r>
      <w:r>
        <w:rPr>
          <w:rFonts w:ascii="Microsoft YaHei" w:hAnsi="Microsoft YaHei" w:eastAsia="Microsoft YaHei" w:cs="Microsoft YaHei"/>
          <w:sz w:val="20"/>
          <w:szCs w:val="20"/>
        </w:rPr>
        <w:t>定的通知（</w:t>
      </w:r>
      <w:r>
        <w:rPr>
          <w:rFonts w:ascii="Microsoft YaHei" w:hAnsi="Microsoft YaHei" w:eastAsia="Microsoft YaHei" w:cs="Microsoft YaHei"/>
          <w:sz w:val="20"/>
          <w:szCs w:val="20"/>
          <w:spacing w:val="26"/>
          <w:w w:val="101"/>
        </w:rPr>
        <w:t xml:space="preserve"> </w:t>
      </w:r>
      <w:r>
        <w:rPr>
          <w:rFonts w:ascii="Microsoft YaHei" w:hAnsi="Microsoft YaHei" w:eastAsia="Microsoft YaHei" w:cs="Microsoft YaHei"/>
          <w:sz w:val="20"/>
          <w:szCs w:val="20"/>
        </w:rPr>
        <w:t>固政发〔2015〕69 号 ）</w:t>
      </w:r>
    </w:p>
    <w:p>
      <w:pPr>
        <w:pStyle w:val="BodyText"/>
        <w:ind w:left="40" w:right="225" w:firstLine="412"/>
        <w:spacing w:before="3" w:line="335" w:lineRule="auto"/>
        <w:rPr/>
      </w:pPr>
      <w:r>
        <w:rPr>
          <w:spacing w:val="13"/>
        </w:rPr>
        <w:t>（一）将第二条第一款</w:t>
      </w:r>
      <w:r>
        <w:rPr>
          <w:rFonts w:ascii="Times New Roman" w:hAnsi="Times New Roman" w:eastAsia="Times New Roman" w:cs="Times New Roman"/>
          <w:spacing w:val="13"/>
        </w:rPr>
        <w:t>“</w:t>
      </w:r>
      <w:r>
        <w:rPr>
          <w:spacing w:val="13"/>
        </w:rPr>
        <w:t>本规定所称行政</w:t>
      </w:r>
      <w:r>
        <w:rPr>
          <w:spacing w:val="7"/>
        </w:rPr>
        <w:t>机关负责人出庭应诉，是指被诉行政机关在人</w:t>
      </w:r>
      <w:r>
        <w:rPr>
          <w:spacing w:val="18"/>
        </w:rPr>
        <w:t>民法院受理的行政诉讼案件中作为被告出庭</w:t>
      </w:r>
      <w:r>
        <w:rPr>
          <w:spacing w:val="7"/>
        </w:rPr>
        <w:t>时，其单位负责人依法出庭参加行政诉讼的活</w:t>
      </w:r>
      <w:r>
        <w:rPr>
          <w:spacing w:val="18"/>
        </w:rPr>
        <w:t>动</w:t>
      </w:r>
      <w:r>
        <w:rPr>
          <w:rFonts w:ascii="Times New Roman" w:hAnsi="Times New Roman" w:eastAsia="Times New Roman" w:cs="Times New Roman"/>
          <w:spacing w:val="18"/>
        </w:rPr>
        <w:t>”</w:t>
      </w:r>
      <w:r>
        <w:rPr>
          <w:spacing w:val="18"/>
        </w:rPr>
        <w:t>修改为</w:t>
      </w:r>
      <w:r>
        <w:rPr>
          <w:rFonts w:ascii="Times New Roman" w:hAnsi="Times New Roman" w:eastAsia="Times New Roman" w:cs="Times New Roman"/>
          <w:spacing w:val="18"/>
        </w:rPr>
        <w:t>“</w:t>
      </w:r>
      <w:r>
        <w:rPr>
          <w:spacing w:val="18"/>
        </w:rPr>
        <w:t>本规定所称行政机关负责人出庭</w:t>
      </w:r>
      <w:r>
        <w:rPr>
          <w:spacing w:val="18"/>
        </w:rPr>
        <w:t>应诉是指被诉行政机关负责人依法应当第一</w:t>
      </w:r>
      <w:r>
        <w:rPr/>
        <w:t>审、第二审、再审等诉讼程序中出庭参加诉讼，</w:t>
      </w:r>
      <w:r>
        <w:rPr>
          <w:spacing w:val="8"/>
        </w:rPr>
        <w:t>行使诉讼权利，履行诉讼义务</w:t>
      </w:r>
      <w:r>
        <w:rPr>
          <w:rFonts w:ascii="Times New Roman" w:hAnsi="Times New Roman" w:eastAsia="Times New Roman" w:cs="Times New Roman"/>
          <w:spacing w:val="8"/>
        </w:rPr>
        <w:t>”</w:t>
      </w:r>
      <w:r>
        <w:rPr>
          <w:spacing w:val="8"/>
        </w:rPr>
        <w:t>。</w:t>
      </w:r>
    </w:p>
    <w:p>
      <w:pPr>
        <w:pStyle w:val="BodyText"/>
        <w:ind w:right="289" w:firstLine="453"/>
        <w:spacing w:before="132" w:line="335" w:lineRule="auto"/>
        <w:rPr/>
      </w:pPr>
      <w:r>
        <w:rPr>
          <w:spacing w:val="13"/>
        </w:rPr>
        <w:t>（二）将第二条第二款</w:t>
      </w:r>
      <w:r>
        <w:rPr>
          <w:rFonts w:ascii="Times New Roman" w:hAnsi="Times New Roman" w:eastAsia="Times New Roman" w:cs="Times New Roman"/>
          <w:spacing w:val="13"/>
        </w:rPr>
        <w:t>“</w:t>
      </w:r>
      <w:r>
        <w:rPr>
          <w:spacing w:val="13"/>
        </w:rPr>
        <w:t>本规定所称行政</w:t>
      </w:r>
      <w:r>
        <w:rPr>
          <w:spacing w:val="9"/>
        </w:rPr>
        <w:t>机关负责人是指行政机关和法律、法规规章授</w:t>
      </w:r>
      <w:r>
        <w:rPr>
          <w:spacing w:val="20"/>
        </w:rPr>
        <w:t>权行使行政管理职权的组织的法定代表人或</w:t>
      </w:r>
      <w:r>
        <w:rPr>
          <w:spacing w:val="26"/>
        </w:rPr>
        <w:t>者主持工作的负责人和分管负责人</w:t>
      </w:r>
      <w:r>
        <w:rPr>
          <w:rFonts w:ascii="Times New Roman" w:hAnsi="Times New Roman" w:eastAsia="Times New Roman" w:cs="Times New Roman"/>
          <w:spacing w:val="26"/>
        </w:rPr>
        <w:t>”</w:t>
      </w:r>
      <w:r>
        <w:rPr>
          <w:spacing w:val="26"/>
        </w:rPr>
        <w:t>修改为</w:t>
      </w:r>
      <w:r>
        <w:rPr>
          <w:rFonts w:ascii="Times New Roman" w:hAnsi="Times New Roman" w:eastAsia="Times New Roman" w:cs="Times New Roman"/>
          <w:spacing w:val="14"/>
        </w:rPr>
        <w:t>“</w:t>
      </w:r>
      <w:r>
        <w:rPr>
          <w:spacing w:val="14"/>
        </w:rPr>
        <w:t>本规定所称行政机关负责人是指行政机关的</w:t>
      </w:r>
      <w:r>
        <w:rPr>
          <w:spacing w:val="9"/>
        </w:rPr>
        <w:t>正职、副职负责人、参与分管被诉行政行为实</w:t>
      </w:r>
      <w:r>
        <w:rPr>
          <w:spacing w:val="20"/>
        </w:rPr>
        <w:t>施工作的副职级别的负责人以及其他参与分</w:t>
      </w:r>
      <w:r>
        <w:rPr>
          <w:spacing w:val="12"/>
        </w:rPr>
        <w:t>管的负责人</w:t>
      </w:r>
      <w:r>
        <w:rPr>
          <w:rFonts w:ascii="Times New Roman" w:hAnsi="Times New Roman" w:eastAsia="Times New Roman" w:cs="Times New Roman"/>
          <w:spacing w:val="12"/>
        </w:rPr>
        <w:t>”</w:t>
      </w:r>
      <w:r>
        <w:rPr>
          <w:spacing w:val="12"/>
        </w:rPr>
        <w:t>。</w:t>
      </w:r>
    </w:p>
    <w:p>
      <w:pPr>
        <w:pStyle w:val="BodyText"/>
        <w:ind w:right="289" w:firstLine="453"/>
        <w:spacing w:before="138" w:line="287" w:lineRule="auto"/>
        <w:rPr/>
      </w:pPr>
      <w:r>
        <w:rPr>
          <w:spacing w:val="17"/>
        </w:rPr>
        <w:t>（</w:t>
      </w:r>
      <w:r>
        <w:rPr>
          <w:spacing w:val="-51"/>
        </w:rPr>
        <w:t xml:space="preserve"> </w:t>
      </w:r>
      <w:r>
        <w:rPr>
          <w:spacing w:val="17"/>
        </w:rPr>
        <w:t>三）将第四条</w:t>
      </w:r>
      <w:r>
        <w:rPr>
          <w:rFonts w:ascii="Times New Roman" w:hAnsi="Times New Roman" w:eastAsia="Times New Roman" w:cs="Times New Roman"/>
          <w:spacing w:val="17"/>
        </w:rPr>
        <w:t>“</w:t>
      </w:r>
      <w:r>
        <w:rPr>
          <w:spacing w:val="17"/>
        </w:rPr>
        <w:t>法制工作机构</w:t>
      </w:r>
      <w:r>
        <w:rPr>
          <w:rFonts w:ascii="Times New Roman" w:hAnsi="Times New Roman" w:eastAsia="Times New Roman" w:cs="Times New Roman"/>
          <w:spacing w:val="17"/>
        </w:rPr>
        <w:t>”</w:t>
      </w:r>
      <w:r>
        <w:rPr>
          <w:spacing w:val="17"/>
        </w:rPr>
        <w:t>修改为</w:t>
      </w:r>
      <w:r>
        <w:rPr>
          <w:rFonts w:ascii="Times New Roman" w:hAnsi="Times New Roman" w:eastAsia="Times New Roman" w:cs="Times New Roman"/>
          <w:spacing w:val="11"/>
        </w:rPr>
        <w:t>“</w:t>
      </w:r>
      <w:r>
        <w:rPr>
          <w:spacing w:val="11"/>
        </w:rPr>
        <w:t>司法行政部门</w:t>
      </w:r>
      <w:r>
        <w:rPr>
          <w:rFonts w:ascii="Times New Roman" w:hAnsi="Times New Roman" w:eastAsia="Times New Roman" w:cs="Times New Roman"/>
          <w:spacing w:val="11"/>
        </w:rPr>
        <w:t>”</w:t>
      </w:r>
      <w:r>
        <w:rPr>
          <w:spacing w:val="11"/>
        </w:rPr>
        <w:t>。</w:t>
      </w:r>
    </w:p>
    <w:p>
      <w:pPr>
        <w:pStyle w:val="BodyText"/>
        <w:ind w:left="453"/>
        <w:spacing w:before="138" w:line="221" w:lineRule="auto"/>
        <w:rPr/>
      </w:pPr>
      <w:r>
        <w:rPr>
          <w:spacing w:val="10"/>
        </w:rPr>
        <w:t>（</w:t>
      </w:r>
      <w:r>
        <w:rPr>
          <w:spacing w:val="-36"/>
        </w:rPr>
        <w:t xml:space="preserve"> </w:t>
      </w:r>
      <w:r>
        <w:rPr>
          <w:spacing w:val="10"/>
        </w:rPr>
        <w:t>四）将第六条第一款</w:t>
      </w:r>
      <w:r>
        <w:rPr>
          <w:rFonts w:ascii="Times New Roman" w:hAnsi="Times New Roman" w:eastAsia="Times New Roman" w:cs="Times New Roman"/>
          <w:spacing w:val="10"/>
        </w:rPr>
        <w:t>“</w:t>
      </w:r>
      <w:r>
        <w:rPr>
          <w:spacing w:val="10"/>
        </w:rPr>
        <w:t>应当委托行政机</w:t>
      </w:r>
    </w:p>
    <w:p>
      <w:pPr>
        <w:spacing w:line="14" w:lineRule="auto"/>
        <w:rPr>
          <w:rFonts w:ascii="Arial"/>
          <w:sz w:val="2"/>
        </w:rPr>
      </w:pPr>
      <w:r>
        <w:rPr>
          <w:rFonts w:ascii="Arial" w:hAnsi="Arial" w:eastAsia="Arial" w:cs="Arial"/>
          <w:sz w:val="2"/>
          <w:szCs w:val="2"/>
        </w:rPr>
        <w:br w:type="column"/>
      </w:r>
    </w:p>
    <w:p>
      <w:pPr>
        <w:pStyle w:val="BodyText"/>
        <w:ind w:right="32" w:firstLine="39"/>
        <w:spacing w:before="51" w:line="350" w:lineRule="auto"/>
        <w:jc w:val="both"/>
        <w:rPr/>
      </w:pPr>
      <w:r>
        <w:rPr>
          <w:spacing w:val="12"/>
        </w:rPr>
        <w:t>关分管负责人及相应的工作人员出庭</w:t>
      </w:r>
      <w:r>
        <w:rPr>
          <w:rFonts w:ascii="Times New Roman" w:hAnsi="Times New Roman" w:eastAsia="Times New Roman" w:cs="Times New Roman"/>
          <w:spacing w:val="12"/>
        </w:rPr>
        <w:t>”</w:t>
      </w:r>
      <w:r>
        <w:rPr>
          <w:spacing w:val="12"/>
        </w:rPr>
        <w:t>修改为</w:t>
      </w:r>
      <w:r>
        <w:rPr>
          <w:rFonts w:ascii="Times New Roman" w:hAnsi="Times New Roman" w:eastAsia="Times New Roman" w:cs="Times New Roman"/>
          <w:spacing w:val="20"/>
        </w:rPr>
        <w:t>“</w:t>
      </w:r>
      <w:r>
        <w:rPr>
          <w:spacing w:val="20"/>
        </w:rPr>
        <w:t>应当委托相应的工作人员出庭</w:t>
      </w:r>
      <w:r>
        <w:rPr>
          <w:rFonts w:ascii="Times New Roman" w:hAnsi="Times New Roman" w:eastAsia="Times New Roman" w:cs="Times New Roman"/>
          <w:spacing w:val="20"/>
        </w:rPr>
        <w:t>”</w:t>
      </w:r>
      <w:r>
        <w:rPr>
          <w:spacing w:val="20"/>
        </w:rPr>
        <w:t>增加第二款</w:t>
      </w:r>
      <w:r>
        <w:rPr>
          <w:rFonts w:ascii="Times New Roman" w:hAnsi="Times New Roman" w:eastAsia="Times New Roman" w:cs="Times New Roman"/>
          <w:spacing w:val="12"/>
        </w:rPr>
        <w:t>“</w:t>
      </w:r>
      <w:r>
        <w:rPr>
          <w:spacing w:val="12"/>
        </w:rPr>
        <w:t>有下列情形之一的</w:t>
      </w:r>
      <w:r>
        <w:rPr>
          <w:spacing w:val="-43"/>
        </w:rPr>
        <w:t xml:space="preserve"> </w:t>
      </w:r>
      <w:r>
        <w:rPr>
          <w:spacing w:val="12"/>
        </w:rPr>
        <w:t>，属行政机关负责人不能</w:t>
      </w:r>
      <w:r>
        <w:rPr>
          <w:spacing w:val="8"/>
        </w:rPr>
        <w:t>出庭的情形</w:t>
      </w:r>
      <w:r>
        <w:rPr>
          <w:spacing w:val="-47"/>
          <w:w w:val="87"/>
        </w:rPr>
        <w:t>：（</w:t>
      </w:r>
      <w:r>
        <w:rPr>
          <w:spacing w:val="8"/>
        </w:rPr>
        <w:t>一）不可抗力</w:t>
      </w:r>
      <w:r>
        <w:rPr>
          <w:spacing w:val="-47"/>
          <w:w w:val="87"/>
        </w:rPr>
        <w:t>；（</w:t>
      </w:r>
      <w:r>
        <w:rPr>
          <w:spacing w:val="8"/>
        </w:rPr>
        <w:t>二）意外事件；</w:t>
      </w:r>
    </w:p>
    <w:p>
      <w:pPr>
        <w:pStyle w:val="BodyText"/>
        <w:ind w:left="39" w:right="96" w:hanging="6"/>
        <w:spacing w:before="2" w:line="329" w:lineRule="auto"/>
        <w:rPr/>
      </w:pPr>
      <w:r>
        <w:rPr>
          <w:spacing w:val="11"/>
        </w:rPr>
        <w:t>（三）需要履行他人不能代替的公务</w:t>
      </w:r>
      <w:r>
        <w:rPr>
          <w:spacing w:val="-50"/>
        </w:rPr>
        <w:t>；（</w:t>
      </w:r>
      <w:r>
        <w:rPr>
          <w:spacing w:val="-41"/>
        </w:rPr>
        <w:t xml:space="preserve"> </w:t>
      </w:r>
      <w:r>
        <w:rPr>
          <w:spacing w:val="11"/>
        </w:rPr>
        <w:t>四）</w:t>
      </w:r>
      <w:r>
        <w:rPr>
          <w:spacing w:val="18"/>
        </w:rPr>
        <w:t>无法出庭的其他正当事由</w:t>
      </w:r>
      <w:r>
        <w:rPr>
          <w:rFonts w:ascii="Times New Roman" w:hAnsi="Times New Roman" w:eastAsia="Times New Roman" w:cs="Times New Roman"/>
          <w:spacing w:val="18"/>
        </w:rPr>
        <w:t>”</w:t>
      </w:r>
      <w:r>
        <w:rPr>
          <w:spacing w:val="18"/>
        </w:rPr>
        <w:t>增加第三款</w:t>
      </w:r>
      <w:r>
        <w:rPr>
          <w:rFonts w:ascii="Times New Roman" w:hAnsi="Times New Roman" w:eastAsia="Times New Roman" w:cs="Times New Roman"/>
          <w:spacing w:val="18"/>
        </w:rPr>
        <w:t>“</w:t>
      </w:r>
      <w:r>
        <w:rPr>
          <w:spacing w:val="18"/>
        </w:rPr>
        <w:t>行政</w:t>
      </w:r>
      <w:r>
        <w:rPr>
          <w:spacing w:val="7"/>
        </w:rPr>
        <w:t>机关负责人有正当理由不能出庭的，应当提交</w:t>
      </w:r>
      <w:r>
        <w:rPr>
          <w:spacing w:val="7"/>
        </w:rPr>
        <w:t>相关证明材料，并加盖行政机关印章或者由该</w:t>
      </w:r>
      <w:r>
        <w:rPr>
          <w:spacing w:val="10"/>
        </w:rPr>
        <w:t>机关主要负责人签字认可</w:t>
      </w:r>
      <w:r>
        <w:rPr>
          <w:rFonts w:ascii="Times New Roman" w:hAnsi="Times New Roman" w:eastAsia="Times New Roman" w:cs="Times New Roman"/>
          <w:spacing w:val="10"/>
        </w:rPr>
        <w:t>”</w:t>
      </w:r>
      <w:r>
        <w:rPr>
          <w:rFonts w:ascii="Times New Roman" w:hAnsi="Times New Roman" w:eastAsia="Times New Roman" w:cs="Times New Roman"/>
          <w:spacing w:val="7"/>
        </w:rPr>
        <w:t xml:space="preserve"> </w:t>
      </w:r>
      <w:r>
        <w:rPr>
          <w:spacing w:val="10"/>
        </w:rPr>
        <w:t>；原第二款变更为</w:t>
      </w:r>
      <w:r>
        <w:rPr>
          <w:spacing w:val="6"/>
        </w:rPr>
        <w:t>第四款。</w:t>
      </w:r>
    </w:p>
    <w:p>
      <w:pPr>
        <w:pStyle w:val="BodyText"/>
        <w:ind w:left="39" w:right="98" w:firstLine="413"/>
        <w:spacing w:before="135" w:line="333" w:lineRule="auto"/>
        <w:rPr/>
      </w:pPr>
      <w:r>
        <w:rPr>
          <w:spacing w:val="13"/>
        </w:rPr>
        <w:t>（五）将第七条第一款修改为</w:t>
      </w:r>
      <w:r>
        <w:rPr>
          <w:rFonts w:ascii="Times New Roman" w:hAnsi="Times New Roman" w:eastAsia="Times New Roman" w:cs="Times New Roman"/>
          <w:spacing w:val="13"/>
        </w:rPr>
        <w:t>“</w:t>
      </w:r>
      <w:r>
        <w:rPr>
          <w:spacing w:val="13"/>
        </w:rPr>
        <w:t>对于涉及</w:t>
      </w:r>
      <w:r>
        <w:rPr>
          <w:spacing w:val="7"/>
        </w:rPr>
        <w:t>食品药品安全、生态环境和资源保护、公共卫</w:t>
      </w:r>
      <w:r>
        <w:rPr>
          <w:spacing w:val="7"/>
        </w:rPr>
        <w:t>生安全等重大公共利益，社会高度关注或者可</w:t>
      </w:r>
      <w:r>
        <w:rPr>
          <w:spacing w:val="7"/>
        </w:rPr>
        <w:t>能引发群体性事件等的案件，行政机关负责人</w:t>
      </w:r>
      <w:r>
        <w:rPr>
          <w:spacing w:val="8"/>
        </w:rPr>
        <w:t>应当出庭应诉</w:t>
      </w:r>
      <w:r>
        <w:rPr>
          <w:rFonts w:ascii="Times New Roman" w:hAnsi="Times New Roman" w:eastAsia="Times New Roman" w:cs="Times New Roman"/>
          <w:spacing w:val="8"/>
        </w:rPr>
        <w:t>”</w:t>
      </w:r>
      <w:r>
        <w:rPr>
          <w:spacing w:val="8"/>
        </w:rPr>
        <w:t>；第二款修改为</w:t>
      </w:r>
      <w:r>
        <w:rPr>
          <w:rFonts w:ascii="Times New Roman" w:hAnsi="Times New Roman" w:eastAsia="Times New Roman" w:cs="Times New Roman"/>
          <w:spacing w:val="8"/>
        </w:rPr>
        <w:t>“</w:t>
      </w:r>
      <w:r>
        <w:rPr>
          <w:spacing w:val="8"/>
        </w:rPr>
        <w:t>上级机关或者</w:t>
      </w:r>
      <w:r>
        <w:rPr>
          <w:spacing w:val="18"/>
        </w:rPr>
        <w:t>人民法院要求行政机关负责人出庭应诉的其</w:t>
      </w:r>
      <w:r>
        <w:rPr>
          <w:spacing w:val="6"/>
        </w:rPr>
        <w:t>他案件</w:t>
      </w:r>
      <w:r>
        <w:rPr>
          <w:rFonts w:ascii="Times New Roman" w:hAnsi="Times New Roman" w:eastAsia="Times New Roman" w:cs="Times New Roman"/>
          <w:spacing w:val="6"/>
        </w:rPr>
        <w:t>”</w:t>
      </w:r>
      <w:r>
        <w:rPr>
          <w:spacing w:val="6"/>
        </w:rPr>
        <w:t>。</w:t>
      </w:r>
    </w:p>
    <w:p>
      <w:pPr>
        <w:pStyle w:val="BodyText"/>
        <w:ind w:left="453"/>
        <w:spacing w:before="137" w:line="278" w:lineRule="exact"/>
        <w:rPr/>
      </w:pPr>
      <w:r>
        <w:rPr>
          <w:spacing w:val="9"/>
          <w:position w:val="1"/>
        </w:rPr>
        <w:t>（六）删除第十条至第十五条。</w:t>
      </w:r>
    </w:p>
    <w:p>
      <w:pPr>
        <w:pStyle w:val="BodyText"/>
        <w:ind w:left="39" w:right="98" w:firstLine="413"/>
        <w:spacing w:before="100" w:line="342" w:lineRule="auto"/>
        <w:rPr/>
      </w:pPr>
      <w:r>
        <w:rPr>
          <w:spacing w:val="2"/>
        </w:rPr>
        <w:t>（七）第十六条变更为第十条，修改为</w:t>
      </w:r>
      <w:r>
        <w:rPr>
          <w:rFonts w:ascii="Times New Roman" w:hAnsi="Times New Roman" w:eastAsia="Times New Roman" w:cs="Times New Roman"/>
          <w:spacing w:val="2"/>
        </w:rPr>
        <w:t>“</w:t>
      </w:r>
      <w:r>
        <w:rPr>
          <w:spacing w:val="2"/>
        </w:rPr>
        <w:t>行</w:t>
      </w:r>
      <w:r>
        <w:rPr>
          <w:spacing w:val="15"/>
        </w:rPr>
        <w:t>政机关在行政诉讼过程中</w:t>
      </w:r>
      <w:r>
        <w:rPr>
          <w:spacing w:val="-39"/>
        </w:rPr>
        <w:t xml:space="preserve"> </w:t>
      </w:r>
      <w:r>
        <w:rPr>
          <w:spacing w:val="15"/>
        </w:rPr>
        <w:t>，有下列情形之一</w:t>
      </w:r>
      <w:r>
        <w:rPr>
          <w:spacing w:val="7"/>
        </w:rPr>
        <w:t>的，人民法院应当向监察机关、被诉行政机关</w:t>
      </w:r>
      <w:r>
        <w:rPr>
          <w:spacing w:val="15"/>
        </w:rPr>
        <w:t>的上一级行政机关提出司法建议</w:t>
      </w:r>
      <w:r>
        <w:rPr>
          <w:spacing w:val="-51"/>
          <w:w w:val="94"/>
        </w:rPr>
        <w:t>：（</w:t>
      </w:r>
      <w:r>
        <w:rPr>
          <w:spacing w:val="15"/>
        </w:rPr>
        <w:t>一）行政</w:t>
      </w:r>
      <w:r>
        <w:rPr>
          <w:spacing w:val="7"/>
        </w:rPr>
        <w:t>机关负责人未出庭应诉，且未说明理由或者理</w:t>
      </w:r>
      <w:r>
        <w:rPr>
          <w:spacing w:val="12"/>
        </w:rPr>
        <w:t>由不成立的</w:t>
      </w:r>
      <w:r>
        <w:rPr>
          <w:spacing w:val="-35"/>
        </w:rPr>
        <w:t>；（</w:t>
      </w:r>
      <w:r>
        <w:rPr>
          <w:spacing w:val="12"/>
        </w:rPr>
        <w:t>二）行政机关有正当理由申请</w:t>
      </w:r>
      <w:r>
        <w:rPr>
          <w:spacing w:val="7"/>
        </w:rPr>
        <w:t>延期开庭审理，人民法院准许后再次开庭审理</w:t>
      </w:r>
      <w:r>
        <w:rPr>
          <w:spacing w:val="7"/>
        </w:rPr>
        <w:t>时行政机关负责人仍未能出庭应诉，且无正当</w:t>
      </w:r>
      <w:r>
        <w:rPr>
          <w:spacing w:val="15"/>
        </w:rPr>
        <w:t>理由的</w:t>
      </w:r>
      <w:r>
        <w:rPr>
          <w:spacing w:val="-51"/>
          <w:w w:val="94"/>
        </w:rPr>
        <w:t>；（</w:t>
      </w:r>
      <w:r>
        <w:rPr>
          <w:spacing w:val="15"/>
        </w:rPr>
        <w:t>三）行政机关负责人和行政机关相</w:t>
      </w:r>
      <w:r>
        <w:rPr>
          <w:spacing w:val="10"/>
        </w:rPr>
        <w:t>应的工作人员均不出庭应诉的</w:t>
      </w:r>
      <w:r>
        <w:rPr>
          <w:spacing w:val="-47"/>
        </w:rPr>
        <w:t>；（</w:t>
      </w:r>
      <w:r>
        <w:rPr>
          <w:spacing w:val="-40"/>
        </w:rPr>
        <w:t xml:space="preserve"> </w:t>
      </w:r>
      <w:r>
        <w:rPr>
          <w:spacing w:val="10"/>
        </w:rPr>
        <w:t>四）行政机</w:t>
      </w:r>
      <w:r>
        <w:rPr>
          <w:spacing w:val="15"/>
        </w:rPr>
        <w:t>关负责人未经法庭许可中途退庭的</w:t>
      </w:r>
      <w:r>
        <w:rPr>
          <w:spacing w:val="-51"/>
          <w:w w:val="94"/>
        </w:rPr>
        <w:t>；（</w:t>
      </w:r>
      <w:r>
        <w:rPr>
          <w:spacing w:val="15"/>
        </w:rPr>
        <w:t>五）人</w:t>
      </w:r>
      <w:r>
        <w:rPr>
          <w:spacing w:val="18"/>
        </w:rPr>
        <w:t>民法院在庭审中要求行政机关负责人就有关</w:t>
      </w:r>
      <w:r>
        <w:rPr>
          <w:spacing w:val="7"/>
        </w:rPr>
        <w:t>问题进行解释或说明，行政机关负责人拒绝解</w:t>
      </w:r>
      <w:r>
        <w:rPr>
          <w:spacing w:val="8"/>
        </w:rPr>
        <w:t>释或者说明，导致庭审无法进行的</w:t>
      </w:r>
      <w:r>
        <w:rPr>
          <w:rFonts w:ascii="Times New Roman" w:hAnsi="Times New Roman" w:eastAsia="Times New Roman" w:cs="Times New Roman"/>
          <w:spacing w:val="8"/>
        </w:rPr>
        <w:t>”</w:t>
      </w:r>
      <w:r>
        <w:rPr>
          <w:spacing w:val="8"/>
        </w:rPr>
        <w:t>。</w:t>
      </w:r>
    </w:p>
    <w:p>
      <w:pPr>
        <w:pStyle w:val="BodyText"/>
        <w:ind w:left="52" w:right="101" w:firstLine="400"/>
        <w:spacing w:before="134" w:line="286" w:lineRule="auto"/>
        <w:rPr/>
      </w:pPr>
      <w:r>
        <w:rPr>
          <w:spacing w:val="10"/>
        </w:rPr>
        <w:t>（八）增加第十一条</w:t>
      </w:r>
      <w:r>
        <w:rPr>
          <w:rFonts w:ascii="Times New Roman" w:hAnsi="Times New Roman" w:eastAsia="Times New Roman" w:cs="Times New Roman"/>
          <w:spacing w:val="10"/>
        </w:rPr>
        <w:t>“</w:t>
      </w:r>
      <w:r>
        <w:rPr>
          <w:spacing w:val="10"/>
        </w:rPr>
        <w:t>市、县（</w:t>
      </w:r>
      <w:r>
        <w:rPr>
          <w:spacing w:val="-36"/>
        </w:rPr>
        <w:t xml:space="preserve"> </w:t>
      </w:r>
      <w:r>
        <w:rPr>
          <w:spacing w:val="10"/>
        </w:rPr>
        <w:t>区）政府</w:t>
      </w:r>
      <w:r>
        <w:rPr>
          <w:spacing w:val="17"/>
        </w:rPr>
        <w:t>司法行政部门应党定期将本行政区域内行政</w:t>
      </w:r>
    </w:p>
    <w:p>
      <w:pPr>
        <w:spacing w:line="286" w:lineRule="auto"/>
        <w:sectPr>
          <w:type w:val="continuous"/>
          <w:pgSz w:w="11906" w:h="16839"/>
          <w:pgMar w:top="1769" w:right="1489" w:bottom="1570" w:left="1551" w:header="1428" w:footer="1172" w:gutter="0"/>
          <w:cols w:equalWidth="0" w:num="2">
            <w:col w:w="4477" w:space="100"/>
            <w:col w:w="4289" w:space="0"/>
          </w:cols>
        </w:sectPr>
        <w:rPr/>
      </w:pPr>
    </w:p>
    <w:p>
      <w:pPr>
        <w:spacing w:before="51"/>
        <w:rPr/>
      </w:pPr>
      <w:r>
        <w:drawing>
          <wp:anchor distT="0" distB="0" distL="0" distR="0" simplePos="0" relativeHeight="25206784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144" name="IM 1144"/>
            <wp:cNvGraphicFramePr/>
            <a:graphic>
              <a:graphicData uri="http://schemas.openxmlformats.org/drawingml/2006/picture">
                <pic:pic>
                  <pic:nvPicPr>
                    <pic:cNvPr id="1144" name="IM 1144"/>
                    <pic:cNvPicPr/>
                  </pic:nvPicPr>
                  <pic:blipFill>
                    <a:blip r:embed="rId574"/>
                    <a:stretch>
                      <a:fillRect/>
                    </a:stretch>
                  </pic:blipFill>
                  <pic:spPr>
                    <a:xfrm rot="0">
                      <a:off x="0" y="0"/>
                      <a:ext cx="5579745" cy="7620"/>
                    </a:xfrm>
                    <a:prstGeom prst="rect">
                      <a:avLst/>
                    </a:prstGeom>
                  </pic:spPr>
                </pic:pic>
              </a:graphicData>
            </a:graphic>
          </wp:anchor>
        </w:drawing>
      </w:r>
      <w:r/>
    </w:p>
    <w:p>
      <w:pPr>
        <w:sectPr>
          <w:headerReference w:type="default" r:id="rId572"/>
          <w:footerReference w:type="default" r:id="rId573"/>
          <w:pgSz w:w="11906" w:h="16839"/>
          <w:pgMar w:top="1766" w:right="1481" w:bottom="1563" w:left="1551" w:header="1428" w:footer="1172" w:gutter="0"/>
          <w:cols w:equalWidth="0" w:num="1">
            <w:col w:w="8874" w:space="0"/>
          </w:cols>
        </w:sectPr>
        <w:rPr/>
      </w:pPr>
    </w:p>
    <w:p>
      <w:pPr>
        <w:pStyle w:val="BodyText"/>
        <w:ind w:left="41" w:right="325" w:firstLine="1"/>
        <w:spacing w:before="52" w:line="349" w:lineRule="auto"/>
        <w:rPr/>
      </w:pPr>
      <w:r>
        <w:rPr>
          <w:spacing w:val="7"/>
        </w:rPr>
        <w:t>机关负责人出庭应诉情况进行统计、分析，并</w:t>
      </w:r>
      <w:r>
        <w:rPr>
          <w:spacing w:val="7"/>
        </w:rPr>
        <w:t>进行评价、通报</w:t>
      </w:r>
      <w:r>
        <w:rPr>
          <w:rFonts w:ascii="Times New Roman" w:hAnsi="Times New Roman" w:eastAsia="Times New Roman" w:cs="Times New Roman"/>
          <w:spacing w:val="7"/>
        </w:rPr>
        <w:t>”</w:t>
      </w:r>
      <w:r>
        <w:rPr>
          <w:spacing w:val="7"/>
        </w:rPr>
        <w:t>。</w:t>
      </w:r>
    </w:p>
    <w:p>
      <w:pPr>
        <w:pStyle w:val="BodyText"/>
        <w:ind w:left="453"/>
        <w:spacing w:line="277" w:lineRule="exact"/>
        <w:rPr/>
      </w:pPr>
      <w:r>
        <w:rPr>
          <w:spacing w:val="9"/>
          <w:position w:val="1"/>
        </w:rPr>
        <w:t>（九）原第十七条变更为第十二条。</w:t>
      </w:r>
    </w:p>
    <w:p>
      <w:pPr>
        <w:ind w:left="32" w:right="325" w:firstLine="431"/>
        <w:spacing w:before="113" w:line="263"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八、固原市人民政府关于印发固原市行政</w:t>
      </w:r>
      <w:r>
        <w:rPr>
          <w:rFonts w:ascii="Microsoft YaHei" w:hAnsi="Microsoft YaHei" w:eastAsia="Microsoft YaHei" w:cs="Microsoft YaHei"/>
          <w:sz w:val="20"/>
          <w:szCs w:val="20"/>
          <w:spacing w:val="1"/>
        </w:rPr>
        <w:t>审批与监管协调联动工作制度（ 试行 ）的通知</w:t>
      </w:r>
      <w:r>
        <w:rPr>
          <w:rFonts w:ascii="Microsoft YaHei" w:hAnsi="Microsoft YaHei" w:eastAsia="Microsoft YaHei" w:cs="Microsoft YaHei"/>
          <w:sz w:val="20"/>
          <w:szCs w:val="20"/>
          <w:spacing w:val="-2"/>
        </w:rPr>
        <w:t>（</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2"/>
        </w:rPr>
        <w:t>固政发〔2016〕74 号 ）</w:t>
      </w:r>
    </w:p>
    <w:p>
      <w:pPr>
        <w:pStyle w:val="BodyText"/>
        <w:ind w:left="43" w:right="280" w:firstLine="409"/>
        <w:spacing w:line="288" w:lineRule="auto"/>
        <w:rPr/>
      </w:pPr>
      <w:r>
        <w:rPr>
          <w:spacing w:val="22"/>
        </w:rPr>
        <w:t>（一）将文件涉及的</w:t>
      </w:r>
      <w:r>
        <w:rPr>
          <w:rFonts w:ascii="Times New Roman" w:hAnsi="Times New Roman" w:eastAsia="Times New Roman" w:cs="Times New Roman"/>
          <w:spacing w:val="22"/>
        </w:rPr>
        <w:t>“</w:t>
      </w:r>
      <w:r>
        <w:rPr>
          <w:spacing w:val="22"/>
        </w:rPr>
        <w:t>行政审批服务局</w:t>
      </w:r>
      <w:r>
        <w:rPr>
          <w:rFonts w:ascii="Times New Roman" w:hAnsi="Times New Roman" w:eastAsia="Times New Roman" w:cs="Times New Roman"/>
          <w:spacing w:val="22"/>
        </w:rPr>
        <w:t>”</w:t>
      </w:r>
      <w:r>
        <w:rPr>
          <w:spacing w:val="7"/>
        </w:rPr>
        <w:t>均修改为</w:t>
      </w:r>
      <w:r>
        <w:rPr>
          <w:rFonts w:ascii="Times New Roman" w:hAnsi="Times New Roman" w:eastAsia="Times New Roman" w:cs="Times New Roman"/>
          <w:spacing w:val="7"/>
        </w:rPr>
        <w:t>“</w:t>
      </w:r>
      <w:r>
        <w:rPr>
          <w:spacing w:val="7"/>
        </w:rPr>
        <w:t>审批服务管理局</w:t>
      </w:r>
      <w:r>
        <w:rPr>
          <w:rFonts w:ascii="Times New Roman" w:hAnsi="Times New Roman" w:eastAsia="Times New Roman" w:cs="Times New Roman"/>
          <w:spacing w:val="7"/>
        </w:rPr>
        <w:t>”</w:t>
      </w:r>
      <w:r>
        <w:rPr>
          <w:spacing w:val="7"/>
        </w:rPr>
        <w:t>。</w:t>
      </w:r>
    </w:p>
    <w:p>
      <w:pPr>
        <w:pStyle w:val="BodyText"/>
        <w:ind w:left="40" w:right="325" w:firstLine="412"/>
        <w:spacing w:before="135" w:line="320" w:lineRule="auto"/>
        <w:rPr/>
      </w:pPr>
      <w:r>
        <w:rPr>
          <w:spacing w:val="10"/>
        </w:rPr>
        <w:t>（二）删除第二部分第（一）</w:t>
      </w:r>
      <w:r>
        <w:rPr>
          <w:spacing w:val="-36"/>
        </w:rPr>
        <w:t xml:space="preserve"> </w:t>
      </w:r>
      <w:r>
        <w:rPr>
          <w:spacing w:val="10"/>
        </w:rPr>
        <w:t>中</w:t>
      </w:r>
      <w:r>
        <w:rPr>
          <w:rFonts w:ascii="Times New Roman" w:hAnsi="Times New Roman" w:eastAsia="Times New Roman" w:cs="Times New Roman"/>
          <w:spacing w:val="10"/>
        </w:rPr>
        <w:t>“</w:t>
      </w:r>
      <w:r>
        <w:rPr>
          <w:spacing w:val="10"/>
        </w:rPr>
        <w:t>单项技</w:t>
      </w:r>
      <w:r>
        <w:rPr>
          <w:spacing w:val="7"/>
        </w:rPr>
        <w:t>术业务审核中涉及专家评审的，由市审批服务</w:t>
      </w:r>
      <w:r>
        <w:rPr>
          <w:spacing w:val="18"/>
        </w:rPr>
        <w:t>管理局牵头组织专家并通知相关监管部门参</w:t>
      </w:r>
      <w:r>
        <w:rPr>
          <w:spacing w:val="8"/>
        </w:rPr>
        <w:t>加，监管部门必须派出人员参加</w:t>
      </w:r>
      <w:r>
        <w:rPr>
          <w:rFonts w:ascii="Times New Roman" w:hAnsi="Times New Roman" w:eastAsia="Times New Roman" w:cs="Times New Roman"/>
          <w:spacing w:val="8"/>
        </w:rPr>
        <w:t>”</w:t>
      </w:r>
      <w:r>
        <w:rPr>
          <w:spacing w:val="8"/>
        </w:rPr>
        <w:t>。</w:t>
      </w:r>
    </w:p>
    <w:p>
      <w:pPr>
        <w:pStyle w:val="BodyText"/>
        <w:ind w:right="215" w:firstLine="453"/>
        <w:spacing w:before="135" w:line="309" w:lineRule="auto"/>
        <w:rPr/>
      </w:pPr>
      <w:r>
        <w:rPr>
          <w:spacing w:val="5"/>
        </w:rPr>
        <w:t>（三）增加第二部分第（二）第</w:t>
      </w:r>
      <w:r>
        <w:rPr>
          <w:spacing w:val="-36"/>
        </w:rPr>
        <w:t xml:space="preserve"> </w:t>
      </w:r>
      <w:r>
        <w:rPr>
          <w:rFonts w:ascii="Times New Roman" w:hAnsi="Times New Roman" w:eastAsia="Times New Roman" w:cs="Times New Roman"/>
          <w:spacing w:val="5"/>
        </w:rPr>
        <w:t>2 </w:t>
      </w:r>
      <w:r>
        <w:rPr>
          <w:spacing w:val="5"/>
        </w:rPr>
        <w:t>第（</w:t>
      </w:r>
      <w:r>
        <w:rPr>
          <w:rFonts w:ascii="Times New Roman" w:hAnsi="Times New Roman" w:eastAsia="Times New Roman" w:cs="Times New Roman"/>
          <w:spacing w:val="5"/>
        </w:rPr>
        <w:t>2</w:t>
      </w:r>
      <w:r>
        <w:rPr>
          <w:rFonts w:ascii="Times New Roman" w:hAnsi="Times New Roman" w:eastAsia="Times New Roman" w:cs="Times New Roman"/>
          <w:spacing w:val="-21"/>
        </w:rPr>
        <w:t xml:space="preserve"> </w:t>
      </w:r>
      <w:r>
        <w:rPr>
          <w:spacing w:val="5"/>
        </w:rPr>
        <w:t>）</w:t>
      </w:r>
      <w:r>
        <w:rPr/>
        <w:t xml:space="preserve"> </w:t>
      </w:r>
      <w:r>
        <w:rPr>
          <w:rFonts w:ascii="Times New Roman" w:hAnsi="Times New Roman" w:eastAsia="Times New Roman" w:cs="Times New Roman"/>
          <w:spacing w:val="12"/>
        </w:rPr>
        <w:t>“</w:t>
      </w:r>
      <w:r>
        <w:rPr>
          <w:spacing w:val="12"/>
        </w:rPr>
        <w:t>实施过程中</w:t>
      </w:r>
      <w:r>
        <w:rPr>
          <w:spacing w:val="-43"/>
        </w:rPr>
        <w:t xml:space="preserve"> </w:t>
      </w:r>
      <w:r>
        <w:rPr>
          <w:spacing w:val="12"/>
        </w:rPr>
        <w:t>，勘验事项名称和勘验时限有新</w:t>
      </w:r>
      <w:r>
        <w:rPr>
          <w:spacing w:val="11"/>
        </w:rPr>
        <w:t>规定依据的，按新规定依据执行</w:t>
      </w:r>
      <w:r>
        <w:rPr>
          <w:rFonts w:ascii="Times New Roman" w:hAnsi="Times New Roman" w:eastAsia="Times New Roman" w:cs="Times New Roman"/>
          <w:spacing w:val="11"/>
        </w:rPr>
        <w:t>”</w:t>
      </w:r>
      <w:r>
        <w:rPr>
          <w:spacing w:val="11"/>
        </w:rPr>
        <w:t>。</w:t>
      </w:r>
    </w:p>
    <w:p>
      <w:pPr>
        <w:pStyle w:val="BodyText"/>
        <w:ind w:right="215" w:firstLine="453"/>
        <w:spacing w:before="132" w:line="326" w:lineRule="auto"/>
        <w:rPr/>
      </w:pPr>
      <w:r>
        <w:rPr>
          <w:spacing w:val="2"/>
        </w:rPr>
        <w:t>（</w:t>
      </w:r>
      <w:r>
        <w:rPr>
          <w:spacing w:val="-36"/>
        </w:rPr>
        <w:t xml:space="preserve"> </w:t>
      </w:r>
      <w:r>
        <w:rPr>
          <w:spacing w:val="2"/>
        </w:rPr>
        <w:t>四）删除第二部分第（三）第</w:t>
      </w:r>
      <w:r>
        <w:rPr>
          <w:spacing w:val="-40"/>
        </w:rPr>
        <w:t xml:space="preserve"> </w:t>
      </w:r>
      <w:r>
        <w:rPr>
          <w:rFonts w:ascii="Times New Roman" w:hAnsi="Times New Roman" w:eastAsia="Times New Roman" w:cs="Times New Roman"/>
          <w:spacing w:val="2"/>
        </w:rPr>
        <w:t>2 </w:t>
      </w:r>
      <w:r>
        <w:rPr>
          <w:spacing w:val="2"/>
        </w:rPr>
        <w:t>第（</w:t>
      </w:r>
      <w:r>
        <w:rPr>
          <w:rFonts w:ascii="Times New Roman" w:hAnsi="Times New Roman" w:eastAsia="Times New Roman" w:cs="Times New Roman"/>
          <w:spacing w:val="2"/>
        </w:rPr>
        <w:t>2</w:t>
      </w:r>
      <w:r>
        <w:rPr>
          <w:rFonts w:ascii="Times New Roman" w:hAnsi="Times New Roman" w:eastAsia="Times New Roman" w:cs="Times New Roman"/>
          <w:spacing w:val="-21"/>
        </w:rPr>
        <w:t xml:space="preserve"> </w:t>
      </w:r>
      <w:r>
        <w:rPr>
          <w:spacing w:val="2"/>
        </w:rPr>
        <w:t>）</w:t>
      </w:r>
      <w:r>
        <w:rPr/>
        <w:t xml:space="preserve"> </w:t>
      </w:r>
      <w:r>
        <w:rPr>
          <w:rFonts w:ascii="Times New Roman" w:hAnsi="Times New Roman" w:eastAsia="Times New Roman" w:cs="Times New Roman"/>
          <w:spacing w:val="12"/>
        </w:rPr>
        <w:t>“</w:t>
      </w:r>
      <w:r>
        <w:rPr>
          <w:spacing w:val="12"/>
        </w:rPr>
        <w:t>在审核中涉及专家评审的</w:t>
      </w:r>
      <w:r>
        <w:rPr>
          <w:spacing w:val="-43"/>
        </w:rPr>
        <w:t xml:space="preserve"> </w:t>
      </w:r>
      <w:r>
        <w:rPr>
          <w:spacing w:val="12"/>
        </w:rPr>
        <w:t>，由市审批服务管</w:t>
      </w:r>
      <w:r>
        <w:rPr>
          <w:spacing w:val="-1"/>
        </w:rPr>
        <w:t>理局填写《现场勘验及技术业务审核表》和《技</w:t>
      </w:r>
      <w:r>
        <w:rPr>
          <w:spacing w:val="9"/>
        </w:rPr>
        <w:t>术业务审核专家评审意见表》，牵头组织专家</w:t>
      </w:r>
      <w:r>
        <w:rPr>
          <w:spacing w:val="11"/>
        </w:rPr>
        <w:t>并通知相关监管部门参加</w:t>
      </w:r>
      <w:r>
        <w:rPr>
          <w:rFonts w:ascii="Times New Roman" w:hAnsi="Times New Roman" w:eastAsia="Times New Roman" w:cs="Times New Roman"/>
          <w:spacing w:val="11"/>
        </w:rPr>
        <w:t>”</w:t>
      </w:r>
      <w:r>
        <w:rPr>
          <w:spacing w:val="11"/>
        </w:rPr>
        <w:t>。</w:t>
      </w:r>
    </w:p>
    <w:p>
      <w:pPr>
        <w:pStyle w:val="BodyText"/>
        <w:ind w:left="41" w:right="325" w:firstLine="411"/>
        <w:spacing w:before="137" w:line="287" w:lineRule="auto"/>
        <w:rPr/>
      </w:pPr>
      <w:r>
        <w:rPr>
          <w:spacing w:val="13"/>
        </w:rPr>
        <w:t>（五）将第三部分第一段</w:t>
      </w:r>
      <w:r>
        <w:rPr>
          <w:rFonts w:ascii="Times New Roman" w:hAnsi="Times New Roman" w:eastAsia="Times New Roman" w:cs="Times New Roman"/>
          <w:spacing w:val="13"/>
        </w:rPr>
        <w:t>“</w:t>
      </w:r>
      <w:r>
        <w:rPr>
          <w:spacing w:val="13"/>
        </w:rPr>
        <w:t>市行政审批改</w:t>
      </w:r>
      <w:r>
        <w:rPr>
          <w:spacing w:val="8"/>
        </w:rPr>
        <w:t>革领导小组</w:t>
      </w:r>
      <w:r>
        <w:rPr>
          <w:rFonts w:ascii="Times New Roman" w:hAnsi="Times New Roman" w:eastAsia="Times New Roman" w:cs="Times New Roman"/>
          <w:spacing w:val="8"/>
        </w:rPr>
        <w:t>”</w:t>
      </w:r>
      <w:r>
        <w:rPr>
          <w:spacing w:val="8"/>
        </w:rPr>
        <w:t>修改为</w:t>
      </w:r>
      <w:r>
        <w:rPr>
          <w:rFonts w:ascii="Times New Roman" w:hAnsi="Times New Roman" w:eastAsia="Times New Roman" w:cs="Times New Roman"/>
          <w:spacing w:val="8"/>
        </w:rPr>
        <w:t>“</w:t>
      </w:r>
      <w:r>
        <w:rPr>
          <w:spacing w:val="8"/>
        </w:rPr>
        <w:t>市政府督查室</w:t>
      </w:r>
      <w:r>
        <w:rPr>
          <w:rFonts w:ascii="Times New Roman" w:hAnsi="Times New Roman" w:eastAsia="Times New Roman" w:cs="Times New Roman"/>
          <w:spacing w:val="8"/>
        </w:rPr>
        <w:t>”</w:t>
      </w:r>
      <w:r>
        <w:rPr>
          <w:spacing w:val="8"/>
        </w:rPr>
        <w:t>。</w:t>
      </w:r>
    </w:p>
    <w:p>
      <w:pPr>
        <w:pStyle w:val="BodyText"/>
        <w:ind w:left="43" w:right="323" w:firstLine="409"/>
        <w:spacing w:before="140" w:line="286" w:lineRule="auto"/>
        <w:rPr/>
      </w:pPr>
      <w:r>
        <w:rPr>
          <w:spacing w:val="13"/>
        </w:rPr>
        <w:t>（六）增加第三部分第一段</w:t>
      </w:r>
      <w:r>
        <w:rPr>
          <w:rFonts w:ascii="Times New Roman" w:hAnsi="Times New Roman" w:eastAsia="Times New Roman" w:cs="Times New Roman"/>
          <w:spacing w:val="13"/>
        </w:rPr>
        <w:t>“</w:t>
      </w:r>
      <w:r>
        <w:rPr>
          <w:spacing w:val="13"/>
        </w:rPr>
        <w:t>和优化营商</w:t>
      </w:r>
      <w:r>
        <w:rPr>
          <w:spacing w:val="6"/>
        </w:rPr>
        <w:t>环境考核</w:t>
      </w:r>
      <w:r>
        <w:rPr>
          <w:rFonts w:ascii="Times New Roman" w:hAnsi="Times New Roman" w:eastAsia="Times New Roman" w:cs="Times New Roman"/>
          <w:spacing w:val="6"/>
        </w:rPr>
        <w:t>”</w:t>
      </w:r>
      <w:r>
        <w:rPr>
          <w:spacing w:val="6"/>
        </w:rPr>
        <w:t>。</w:t>
      </w:r>
    </w:p>
    <w:p>
      <w:pPr>
        <w:pStyle w:val="BodyText"/>
        <w:ind w:right="215" w:firstLine="453"/>
        <w:spacing w:before="139" w:line="287" w:lineRule="auto"/>
        <w:rPr/>
      </w:pPr>
      <w:r>
        <w:rPr>
          <w:spacing w:val="4"/>
        </w:rPr>
        <w:t>（七）删除第四部分第（二）第</w:t>
      </w:r>
      <w:r>
        <w:rPr>
          <w:spacing w:val="-16"/>
        </w:rPr>
        <w:t xml:space="preserve"> </w:t>
      </w:r>
      <w:r>
        <w:rPr>
          <w:rFonts w:ascii="Times New Roman" w:hAnsi="Times New Roman" w:eastAsia="Times New Roman" w:cs="Times New Roman"/>
          <w:spacing w:val="4"/>
        </w:rPr>
        <w:t>1 </w:t>
      </w:r>
      <w:r>
        <w:rPr>
          <w:spacing w:val="4"/>
        </w:rPr>
        <w:t>第（</w:t>
      </w:r>
      <w:r>
        <w:rPr>
          <w:rFonts w:ascii="Times New Roman" w:hAnsi="Times New Roman" w:eastAsia="Times New Roman" w:cs="Times New Roman"/>
          <w:spacing w:val="4"/>
        </w:rPr>
        <w:t>2</w:t>
      </w:r>
      <w:r>
        <w:rPr>
          <w:rFonts w:ascii="Times New Roman" w:hAnsi="Times New Roman" w:eastAsia="Times New Roman" w:cs="Times New Roman"/>
          <w:spacing w:val="-21"/>
        </w:rPr>
        <w:t xml:space="preserve"> </w:t>
      </w:r>
      <w:r>
        <w:rPr>
          <w:spacing w:val="4"/>
        </w:rPr>
        <w:t>）</w:t>
      </w:r>
      <w:r>
        <w:rPr/>
        <w:t xml:space="preserve"> </w:t>
      </w:r>
      <w:r>
        <w:rPr>
          <w:rFonts w:ascii="Times New Roman" w:hAnsi="Times New Roman" w:eastAsia="Times New Roman" w:cs="Times New Roman"/>
          <w:spacing w:val="11"/>
        </w:rPr>
        <w:t>“</w:t>
      </w:r>
      <w:r>
        <w:rPr>
          <w:spacing w:val="11"/>
        </w:rPr>
        <w:t>和审批业务</w:t>
      </w:r>
      <w:r>
        <w:rPr>
          <w:rFonts w:ascii="Times New Roman" w:hAnsi="Times New Roman" w:eastAsia="Times New Roman" w:cs="Times New Roman"/>
          <w:spacing w:val="11"/>
        </w:rPr>
        <w:t>”</w:t>
      </w:r>
      <w:r>
        <w:rPr>
          <w:spacing w:val="11"/>
        </w:rPr>
        <w:t>。</w:t>
      </w:r>
    </w:p>
    <w:p>
      <w:pPr>
        <w:pStyle w:val="BodyText"/>
        <w:ind w:right="215" w:firstLine="453"/>
        <w:spacing w:before="138" w:line="287" w:lineRule="auto"/>
        <w:rPr/>
      </w:pPr>
      <w:r>
        <w:rPr>
          <w:spacing w:val="2"/>
        </w:rPr>
        <w:t>（八）增加第四部分第（二）第</w:t>
      </w:r>
      <w:r>
        <w:rPr>
          <w:spacing w:val="-29"/>
        </w:rPr>
        <w:t xml:space="preserve"> </w:t>
      </w:r>
      <w:r>
        <w:rPr>
          <w:rFonts w:ascii="Times New Roman" w:hAnsi="Times New Roman" w:eastAsia="Times New Roman" w:cs="Times New Roman"/>
          <w:spacing w:val="2"/>
        </w:rPr>
        <w:t>3 </w:t>
      </w:r>
      <w:r>
        <w:rPr>
          <w:spacing w:val="2"/>
        </w:rPr>
        <w:t>第（</w:t>
      </w:r>
      <w:r>
        <w:rPr>
          <w:spacing w:val="-47"/>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21"/>
        </w:rPr>
        <w:t xml:space="preserve"> </w:t>
      </w:r>
      <w:r>
        <w:rPr>
          <w:spacing w:val="2"/>
        </w:rPr>
        <w:t>）</w:t>
      </w:r>
      <w:r>
        <w:rPr/>
        <w:t xml:space="preserve"> </w:t>
      </w:r>
      <w:r>
        <w:rPr>
          <w:rFonts w:ascii="Times New Roman" w:hAnsi="Times New Roman" w:eastAsia="Times New Roman" w:cs="Times New Roman"/>
          <w:spacing w:val="10"/>
        </w:rPr>
        <w:t>“</w:t>
      </w:r>
      <w:r>
        <w:rPr>
          <w:spacing w:val="10"/>
        </w:rPr>
        <w:t>和勘验资料的存档收集工作</w:t>
      </w:r>
      <w:r>
        <w:rPr>
          <w:rFonts w:ascii="Times New Roman" w:hAnsi="Times New Roman" w:eastAsia="Times New Roman" w:cs="Times New Roman"/>
          <w:spacing w:val="10"/>
        </w:rPr>
        <w:t>”</w:t>
      </w:r>
      <w:r>
        <w:rPr>
          <w:spacing w:val="10"/>
        </w:rPr>
        <w:t>。</w:t>
      </w:r>
    </w:p>
    <w:p>
      <w:pPr>
        <w:pStyle w:val="BodyText"/>
        <w:ind w:left="43" w:right="323" w:firstLine="409"/>
        <w:spacing w:before="139" w:line="287" w:lineRule="auto"/>
        <w:rPr/>
      </w:pPr>
      <w:r>
        <w:rPr>
          <w:spacing w:val="1"/>
        </w:rPr>
        <w:t>（九）将附件</w:t>
      </w:r>
      <w:r>
        <w:rPr>
          <w:spacing w:val="-23"/>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2"/>
        </w:rPr>
        <w:t xml:space="preserve"> </w:t>
      </w:r>
      <w:r>
        <w:rPr>
          <w:spacing w:val="1"/>
        </w:rPr>
        <w:t>中的</w:t>
      </w:r>
      <w:r>
        <w:rPr>
          <w:rFonts w:ascii="Times New Roman" w:hAnsi="Times New Roman" w:eastAsia="Times New Roman" w:cs="Times New Roman"/>
          <w:spacing w:val="1"/>
        </w:rPr>
        <w:t>“</w:t>
      </w:r>
      <w:r>
        <w:rPr>
          <w:spacing w:val="1"/>
        </w:rPr>
        <w:t>事项名称</w:t>
      </w:r>
      <w:r>
        <w:rPr>
          <w:rFonts w:ascii="Times New Roman" w:hAnsi="Times New Roman" w:eastAsia="Times New Roman" w:cs="Times New Roman"/>
          <w:spacing w:val="1"/>
        </w:rPr>
        <w:t>”</w:t>
      </w:r>
      <w:r>
        <w:rPr>
          <w:spacing w:val="1"/>
        </w:rPr>
        <w:t>修改为</w:t>
      </w:r>
      <w:r>
        <w:rPr>
          <w:rFonts w:ascii="Times New Roman" w:hAnsi="Times New Roman" w:eastAsia="Times New Roman" w:cs="Times New Roman"/>
          <w:spacing w:val="1"/>
        </w:rPr>
        <w:t>“</w:t>
      </w:r>
      <w:r>
        <w:rPr>
          <w:spacing w:val="1"/>
        </w:rPr>
        <w:t>四</w:t>
      </w:r>
      <w:r>
        <w:rPr>
          <w:spacing w:val="7"/>
        </w:rPr>
        <w:t>级四同事项名称</w:t>
      </w:r>
      <w:r>
        <w:rPr>
          <w:rFonts w:ascii="Times New Roman" w:hAnsi="Times New Roman" w:eastAsia="Times New Roman" w:cs="Times New Roman"/>
          <w:spacing w:val="7"/>
        </w:rPr>
        <w:t>”</w:t>
      </w:r>
      <w:r>
        <w:rPr>
          <w:spacing w:val="7"/>
        </w:rPr>
        <w:t>。</w:t>
      </w:r>
    </w:p>
    <w:p>
      <w:pPr>
        <w:pStyle w:val="BodyText"/>
        <w:ind w:left="47" w:right="323" w:firstLine="405"/>
        <w:spacing w:before="137" w:line="287" w:lineRule="auto"/>
        <w:rPr/>
      </w:pPr>
      <w:r>
        <w:rPr>
          <w:spacing w:val="5"/>
        </w:rPr>
        <w:t>（十）将附件</w:t>
      </w:r>
      <w:r>
        <w:rPr>
          <w:spacing w:val="-17"/>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30"/>
        </w:rPr>
        <w:t xml:space="preserve"> </w:t>
      </w:r>
      <w:r>
        <w:rPr>
          <w:spacing w:val="5"/>
        </w:rPr>
        <w:t>中的</w:t>
      </w:r>
      <w:r>
        <w:rPr>
          <w:rFonts w:ascii="Times New Roman" w:hAnsi="Times New Roman" w:eastAsia="Times New Roman" w:cs="Times New Roman"/>
          <w:spacing w:val="5"/>
        </w:rPr>
        <w:t>“</w:t>
      </w:r>
      <w:r>
        <w:rPr>
          <w:spacing w:val="5"/>
        </w:rPr>
        <w:t>勘验审核单位</w:t>
      </w:r>
      <w:r>
        <w:rPr>
          <w:rFonts w:ascii="Times New Roman" w:hAnsi="Times New Roman" w:eastAsia="Times New Roman" w:cs="Times New Roman"/>
          <w:spacing w:val="5"/>
        </w:rPr>
        <w:t>”</w:t>
      </w:r>
      <w:r>
        <w:rPr>
          <w:spacing w:val="5"/>
        </w:rPr>
        <w:t>修改</w:t>
      </w:r>
      <w:r>
        <w:rPr>
          <w:spacing w:val="7"/>
        </w:rPr>
        <w:t>为</w:t>
      </w:r>
      <w:r>
        <w:rPr>
          <w:rFonts w:ascii="Times New Roman" w:hAnsi="Times New Roman" w:eastAsia="Times New Roman" w:cs="Times New Roman"/>
          <w:spacing w:val="7"/>
        </w:rPr>
        <w:t>“</w:t>
      </w:r>
      <w:r>
        <w:rPr>
          <w:spacing w:val="7"/>
        </w:rPr>
        <w:t>机构改革后的新名称</w:t>
      </w:r>
      <w:r>
        <w:rPr>
          <w:rFonts w:ascii="Times New Roman" w:hAnsi="Times New Roman" w:eastAsia="Times New Roman" w:cs="Times New Roman"/>
          <w:spacing w:val="7"/>
        </w:rPr>
        <w:t>”</w:t>
      </w:r>
      <w:r>
        <w:rPr>
          <w:spacing w:val="7"/>
        </w:rPr>
        <w:t>。</w:t>
      </w:r>
    </w:p>
    <w:p>
      <w:pPr>
        <w:pStyle w:val="BodyText"/>
        <w:ind w:left="43" w:right="323" w:firstLine="409"/>
        <w:spacing w:before="138" w:line="269" w:lineRule="auto"/>
        <w:rPr/>
      </w:pPr>
      <w:r>
        <w:rPr>
          <w:spacing w:val="5"/>
        </w:rPr>
        <w:t>（十一）将附件</w:t>
      </w:r>
      <w:r>
        <w:rPr>
          <w:spacing w:val="-17"/>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30"/>
        </w:rPr>
        <w:t xml:space="preserve"> </w:t>
      </w:r>
      <w:r>
        <w:rPr>
          <w:spacing w:val="5"/>
        </w:rPr>
        <w:t>中的</w:t>
      </w:r>
      <w:r>
        <w:rPr>
          <w:rFonts w:ascii="Times New Roman" w:hAnsi="Times New Roman" w:eastAsia="Times New Roman" w:cs="Times New Roman"/>
          <w:spacing w:val="5"/>
        </w:rPr>
        <w:t>“</w:t>
      </w:r>
      <w:r>
        <w:rPr>
          <w:spacing w:val="5"/>
        </w:rPr>
        <w:t>勘验审核时限</w:t>
      </w:r>
      <w:r>
        <w:rPr>
          <w:rFonts w:ascii="Times New Roman" w:hAnsi="Times New Roman" w:eastAsia="Times New Roman" w:cs="Times New Roman"/>
          <w:spacing w:val="5"/>
        </w:rPr>
        <w:t>”</w:t>
      </w:r>
      <w:r>
        <w:rPr>
          <w:spacing w:val="5"/>
        </w:rPr>
        <w:t>修</w:t>
      </w:r>
      <w:r>
        <w:rPr>
          <w:spacing w:val="7"/>
        </w:rPr>
        <w:t>改为</w:t>
      </w:r>
      <w:r>
        <w:rPr>
          <w:rFonts w:ascii="Times New Roman" w:hAnsi="Times New Roman" w:eastAsia="Times New Roman" w:cs="Times New Roman"/>
          <w:spacing w:val="7"/>
        </w:rPr>
        <w:t>“</w:t>
      </w:r>
      <w:r>
        <w:rPr>
          <w:spacing w:val="7"/>
        </w:rPr>
        <w:t>压缩后的时限</w:t>
      </w:r>
      <w:r>
        <w:rPr>
          <w:rFonts w:ascii="Times New Roman" w:hAnsi="Times New Roman" w:eastAsia="Times New Roman" w:cs="Times New Roman"/>
          <w:spacing w:val="7"/>
        </w:rPr>
        <w:t>”</w:t>
      </w:r>
      <w:r>
        <w:rPr>
          <w:spacing w:val="7"/>
        </w:rPr>
        <w:t>。</w:t>
      </w:r>
    </w:p>
    <w:p>
      <w:pPr>
        <w:spacing w:line="14" w:lineRule="auto"/>
        <w:rPr>
          <w:rFonts w:ascii="Arial"/>
          <w:sz w:val="2"/>
        </w:rPr>
      </w:pPr>
      <w:r>
        <w:rPr>
          <w:rFonts w:ascii="Arial" w:hAnsi="Arial" w:eastAsia="Arial" w:cs="Arial"/>
          <w:sz w:val="2"/>
          <w:szCs w:val="2"/>
        </w:rPr>
        <w:br w:type="column"/>
      </w:r>
    </w:p>
    <w:p>
      <w:pPr>
        <w:pStyle w:val="BodyText"/>
        <w:ind w:left="416"/>
        <w:spacing w:before="46" w:line="277" w:lineRule="exact"/>
        <w:rPr>
          <w:rFonts w:ascii="Times New Roman" w:hAnsi="Times New Roman" w:eastAsia="Times New Roman" w:cs="Times New Roman"/>
        </w:rPr>
      </w:pPr>
      <w:r>
        <w:rPr>
          <w:spacing w:val="7"/>
          <w:position w:val="1"/>
        </w:rPr>
        <w:t>（十二）删除附件</w:t>
      </w:r>
      <w:r>
        <w:rPr>
          <w:spacing w:val="-42"/>
          <w:position w:val="1"/>
        </w:rPr>
        <w:t xml:space="preserve"> </w:t>
      </w:r>
      <w:r>
        <w:rPr>
          <w:rFonts w:ascii="Times New Roman" w:hAnsi="Times New Roman" w:eastAsia="Times New Roman" w:cs="Times New Roman"/>
          <w:spacing w:val="7"/>
          <w:position w:val="1"/>
        </w:rPr>
        <w:t>2</w:t>
      </w:r>
      <w:r>
        <w:rPr>
          <w:rFonts w:ascii="Times New Roman" w:hAnsi="Times New Roman" w:eastAsia="Times New Roman" w:cs="Times New Roman"/>
          <w:spacing w:val="-26"/>
          <w:position w:val="1"/>
        </w:rPr>
        <w:t xml:space="preserve"> </w:t>
      </w:r>
      <w:r>
        <w:rPr>
          <w:spacing w:val="7"/>
          <w:position w:val="1"/>
        </w:rPr>
        <w:t>、</w:t>
      </w:r>
      <w:r>
        <w:rPr>
          <w:rFonts w:ascii="Times New Roman" w:hAnsi="Times New Roman" w:eastAsia="Times New Roman" w:cs="Times New Roman"/>
          <w:spacing w:val="7"/>
          <w:position w:val="1"/>
        </w:rPr>
        <w:t>3</w:t>
      </w:r>
    </w:p>
    <w:p>
      <w:pPr>
        <w:ind w:left="13" w:firstLine="417"/>
        <w:spacing w:before="112" w:line="264"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九、固原市人民政府办公室关于印发固原</w:t>
      </w:r>
      <w:r>
        <w:rPr>
          <w:rFonts w:ascii="Microsoft YaHei" w:hAnsi="Microsoft YaHei" w:eastAsia="Microsoft YaHei" w:cs="Microsoft YaHei"/>
          <w:sz w:val="20"/>
          <w:szCs w:val="20"/>
          <w:spacing w:val="-5"/>
        </w:rPr>
        <w:t>市城市绿化管理办法的通知（</w:t>
      </w:r>
      <w:r>
        <w:rPr>
          <w:rFonts w:ascii="Microsoft YaHei" w:hAnsi="Microsoft YaHei" w:eastAsia="Microsoft YaHei" w:cs="Microsoft YaHei"/>
          <w:sz w:val="20"/>
          <w:szCs w:val="20"/>
          <w:spacing w:val="32"/>
        </w:rPr>
        <w:t xml:space="preserve"> </w:t>
      </w:r>
      <w:r>
        <w:rPr>
          <w:rFonts w:ascii="Microsoft YaHei" w:hAnsi="Microsoft YaHei" w:eastAsia="Microsoft YaHei" w:cs="Microsoft YaHei"/>
          <w:sz w:val="20"/>
          <w:szCs w:val="20"/>
          <w:spacing w:val="-5"/>
        </w:rPr>
        <w:t>固政办发〔2016〕</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5"/>
        </w:rPr>
        <w:t>110</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号 ）</w:t>
      </w:r>
    </w:p>
    <w:p>
      <w:pPr>
        <w:pStyle w:val="BodyText"/>
        <w:ind w:left="5" w:right="106" w:firstLine="410"/>
        <w:spacing w:before="4" w:line="331" w:lineRule="auto"/>
        <w:rPr/>
      </w:pPr>
      <w:r>
        <w:rPr>
          <w:spacing w:val="13"/>
        </w:rPr>
        <w:t>（一）将第七条第二项</w:t>
      </w:r>
      <w:r>
        <w:rPr>
          <w:rFonts w:ascii="Times New Roman" w:hAnsi="Times New Roman" w:eastAsia="Times New Roman" w:cs="Times New Roman"/>
          <w:spacing w:val="13"/>
        </w:rPr>
        <w:t>“</w:t>
      </w:r>
      <w:r>
        <w:rPr>
          <w:spacing w:val="13"/>
        </w:rPr>
        <w:t>新建城市主干道</w:t>
      </w:r>
      <w:r>
        <w:rPr>
          <w:spacing w:val="13"/>
        </w:rPr>
        <w:t>路园林景观路不低于</w:t>
      </w:r>
      <w:r>
        <w:rPr>
          <w:spacing w:val="-38"/>
        </w:rPr>
        <w:t xml:space="preserve"> </w:t>
      </w:r>
      <w:r>
        <w:rPr>
          <w:rFonts w:ascii="Times New Roman" w:hAnsi="Times New Roman" w:eastAsia="Times New Roman" w:cs="Times New Roman"/>
          <w:spacing w:val="13"/>
        </w:rPr>
        <w:t>40</w:t>
      </w:r>
      <w:r>
        <w:rPr>
          <w:spacing w:val="13"/>
        </w:rPr>
        <w:t>％</w:t>
      </w:r>
      <w:r>
        <w:rPr>
          <w:spacing w:val="-69"/>
        </w:rPr>
        <w:t xml:space="preserve"> </w:t>
      </w:r>
      <w:r>
        <w:rPr>
          <w:rFonts w:ascii="Times New Roman" w:hAnsi="Times New Roman" w:eastAsia="Times New Roman" w:cs="Times New Roman"/>
          <w:spacing w:val="13"/>
        </w:rPr>
        <w:t>”</w:t>
      </w:r>
      <w:r>
        <w:rPr>
          <w:spacing w:val="13"/>
        </w:rPr>
        <w:t>修改为</w:t>
      </w:r>
      <w:r>
        <w:rPr>
          <w:rFonts w:ascii="Times New Roman" w:hAnsi="Times New Roman" w:eastAsia="Times New Roman" w:cs="Times New Roman"/>
          <w:spacing w:val="13"/>
        </w:rPr>
        <w:t>“</w:t>
      </w:r>
      <w:r>
        <w:rPr>
          <w:spacing w:val="13"/>
        </w:rPr>
        <w:t>新建城市</w:t>
      </w:r>
      <w:r>
        <w:rPr>
          <w:spacing w:val="8"/>
        </w:rPr>
        <w:t>主干道路园林景观路不低于</w:t>
      </w:r>
      <w:r>
        <w:rPr>
          <w:spacing w:val="-27"/>
        </w:rPr>
        <w:t xml:space="preserve"> </w:t>
      </w:r>
      <w:r>
        <w:rPr>
          <w:rFonts w:ascii="Times New Roman" w:hAnsi="Times New Roman" w:eastAsia="Times New Roman" w:cs="Times New Roman"/>
          <w:spacing w:val="8"/>
        </w:rPr>
        <w:t>20</w:t>
      </w:r>
      <w:r>
        <w:rPr>
          <w:spacing w:val="8"/>
        </w:rPr>
        <w:t>%</w:t>
      </w:r>
      <w:r>
        <w:rPr>
          <w:spacing w:val="-67"/>
        </w:rPr>
        <w:t xml:space="preserve"> </w:t>
      </w:r>
      <w:r>
        <w:rPr>
          <w:rFonts w:ascii="Times New Roman" w:hAnsi="Times New Roman" w:eastAsia="Times New Roman" w:cs="Times New Roman"/>
          <w:spacing w:val="8"/>
        </w:rPr>
        <w:t>”</w:t>
      </w:r>
      <w:r>
        <w:rPr>
          <w:rFonts w:ascii="Times New Roman" w:hAnsi="Times New Roman" w:eastAsia="Times New Roman" w:cs="Times New Roman"/>
          <w:spacing w:val="-15"/>
        </w:rPr>
        <w:t xml:space="preserve"> </w:t>
      </w:r>
      <w:r>
        <w:rPr>
          <w:spacing w:val="8"/>
        </w:rPr>
        <w:t>,</w:t>
      </w:r>
      <w:r>
        <w:rPr>
          <w:spacing w:val="46"/>
        </w:rPr>
        <w:t xml:space="preserve"> </w:t>
      </w:r>
      <w:r>
        <w:rPr>
          <w:spacing w:val="8"/>
        </w:rPr>
        <w:t>第七条第</w:t>
      </w:r>
      <w:r>
        <w:rPr>
          <w:spacing w:val="9"/>
        </w:rPr>
        <w:t>三项</w:t>
      </w:r>
      <w:r>
        <w:rPr>
          <w:rFonts w:ascii="Times New Roman" w:hAnsi="Times New Roman" w:eastAsia="Times New Roman" w:cs="Times New Roman"/>
          <w:spacing w:val="9"/>
        </w:rPr>
        <w:t>“</w:t>
      </w:r>
      <w:r>
        <w:rPr>
          <w:spacing w:val="9"/>
        </w:rPr>
        <w:t>公共文化场所不低于</w:t>
      </w:r>
      <w:r>
        <w:rPr>
          <w:spacing w:val="-18"/>
        </w:rPr>
        <w:t xml:space="preserve"> </w:t>
      </w:r>
      <w:r>
        <w:rPr>
          <w:rFonts w:ascii="Times New Roman" w:hAnsi="Times New Roman" w:eastAsia="Times New Roman" w:cs="Times New Roman"/>
          <w:spacing w:val="9"/>
        </w:rPr>
        <w:t>35”</w:t>
      </w:r>
      <w:r>
        <w:rPr>
          <w:spacing w:val="9"/>
        </w:rPr>
        <w:t>修改为</w:t>
      </w:r>
      <w:r>
        <w:rPr>
          <w:rFonts w:ascii="Times New Roman" w:hAnsi="Times New Roman" w:eastAsia="Times New Roman" w:cs="Times New Roman"/>
          <w:spacing w:val="9"/>
        </w:rPr>
        <w:t>“</w:t>
      </w:r>
      <w:r>
        <w:rPr>
          <w:spacing w:val="9"/>
        </w:rPr>
        <w:t>公共文</w:t>
      </w:r>
      <w:r>
        <w:rPr>
          <w:spacing w:val="6"/>
        </w:rPr>
        <w:t>化场所不低于</w:t>
      </w:r>
      <w:r>
        <w:rPr>
          <w:spacing w:val="-35"/>
        </w:rPr>
        <w:t xml:space="preserve"> </w:t>
      </w:r>
      <w:r>
        <w:rPr>
          <w:rFonts w:ascii="Times New Roman" w:hAnsi="Times New Roman" w:eastAsia="Times New Roman" w:cs="Times New Roman"/>
          <w:spacing w:val="6"/>
        </w:rPr>
        <w:t>30</w:t>
      </w:r>
      <w:r>
        <w:rPr>
          <w:spacing w:val="6"/>
        </w:rPr>
        <w:t>％</w:t>
      </w:r>
      <w:r>
        <w:rPr>
          <w:rFonts w:ascii="Times New Roman" w:hAnsi="Times New Roman" w:eastAsia="Times New Roman" w:cs="Times New Roman"/>
          <w:spacing w:val="6"/>
        </w:rPr>
        <w:t>”</w:t>
      </w:r>
      <w:r>
        <w:rPr>
          <w:spacing w:val="6"/>
        </w:rPr>
        <w:t>。</w:t>
      </w:r>
    </w:p>
    <w:p>
      <w:pPr>
        <w:pStyle w:val="BodyText"/>
        <w:ind w:left="7" w:right="109" w:firstLine="409"/>
        <w:spacing w:before="100" w:line="289" w:lineRule="auto"/>
        <w:rPr/>
      </w:pPr>
      <w:r>
        <w:rPr>
          <w:spacing w:val="13"/>
        </w:rPr>
        <w:t>（二）删除第十五条</w:t>
      </w:r>
      <w:r>
        <w:rPr>
          <w:rFonts w:ascii="Times New Roman" w:hAnsi="Times New Roman" w:eastAsia="Times New Roman" w:cs="Times New Roman"/>
          <w:spacing w:val="13"/>
        </w:rPr>
        <w:t>“</w:t>
      </w:r>
      <w:r>
        <w:rPr>
          <w:spacing w:val="13"/>
        </w:rPr>
        <w:t>并按照所缺绿化面</w:t>
      </w:r>
      <w:r>
        <w:rPr>
          <w:spacing w:val="8"/>
        </w:rPr>
        <w:t>积缴纳易地绿化补偿费</w:t>
      </w:r>
      <w:r>
        <w:rPr>
          <w:rFonts w:ascii="Times New Roman" w:hAnsi="Times New Roman" w:eastAsia="Times New Roman" w:cs="Times New Roman"/>
          <w:spacing w:val="8"/>
        </w:rPr>
        <w:t>”</w:t>
      </w:r>
      <w:r>
        <w:rPr>
          <w:spacing w:val="8"/>
        </w:rPr>
        <w:t>。</w:t>
      </w:r>
    </w:p>
    <w:p>
      <w:pPr>
        <w:pStyle w:val="BodyText"/>
        <w:ind w:left="416"/>
        <w:spacing w:before="135" w:line="278" w:lineRule="exact"/>
        <w:rPr/>
      </w:pPr>
      <w:r>
        <w:rPr>
          <w:spacing w:val="9"/>
          <w:position w:val="1"/>
        </w:rPr>
        <w:t>（三）删除第二十九条至第四十一条。</w:t>
      </w:r>
    </w:p>
    <w:p>
      <w:pPr>
        <w:pStyle w:val="BodyText"/>
        <w:ind w:left="5" w:right="109" w:firstLine="410"/>
        <w:spacing w:before="101" w:line="287" w:lineRule="auto"/>
        <w:rPr/>
      </w:pPr>
      <w:r>
        <w:rPr>
          <w:spacing w:val="4"/>
        </w:rPr>
        <w:t>（</w:t>
      </w:r>
      <w:r>
        <w:rPr>
          <w:spacing w:val="-39"/>
        </w:rPr>
        <w:t xml:space="preserve"> </w:t>
      </w:r>
      <w:r>
        <w:rPr>
          <w:spacing w:val="4"/>
        </w:rPr>
        <w:t>四）原第四十二条至四十六条变更为第</w:t>
      </w:r>
      <w:r>
        <w:rPr>
          <w:spacing w:val="8"/>
        </w:rPr>
        <w:t>二十九条至三十三条。</w:t>
      </w:r>
    </w:p>
    <w:p>
      <w:pPr>
        <w:ind w:left="13" w:firstLine="421"/>
        <w:spacing w:before="147" w:line="264"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十、固原市人民政府办公室关于印发固原</w:t>
      </w:r>
      <w:r>
        <w:rPr>
          <w:rFonts w:ascii="Microsoft YaHei" w:hAnsi="Microsoft YaHei" w:eastAsia="Microsoft YaHei" w:cs="Microsoft YaHei"/>
          <w:sz w:val="20"/>
          <w:szCs w:val="20"/>
          <w:spacing w:val="-5"/>
        </w:rPr>
        <w:t>市城市绿线管理办法的通知（</w:t>
      </w:r>
      <w:r>
        <w:rPr>
          <w:rFonts w:ascii="Microsoft YaHei" w:hAnsi="Microsoft YaHei" w:eastAsia="Microsoft YaHei" w:cs="Microsoft YaHei"/>
          <w:sz w:val="20"/>
          <w:szCs w:val="20"/>
          <w:spacing w:val="32"/>
        </w:rPr>
        <w:t xml:space="preserve"> </w:t>
      </w:r>
      <w:r>
        <w:rPr>
          <w:rFonts w:ascii="Microsoft YaHei" w:hAnsi="Microsoft YaHei" w:eastAsia="Microsoft YaHei" w:cs="Microsoft YaHei"/>
          <w:sz w:val="20"/>
          <w:szCs w:val="20"/>
          <w:spacing w:val="-5"/>
        </w:rPr>
        <w:t>固政办发〔2016〕</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2"/>
        </w:rPr>
        <w:t>110号 ）</w:t>
      </w:r>
    </w:p>
    <w:p>
      <w:pPr>
        <w:pStyle w:val="BodyText"/>
        <w:ind w:left="1" w:right="86" w:firstLine="414"/>
        <w:spacing w:before="5" w:line="329" w:lineRule="auto"/>
        <w:rPr/>
      </w:pPr>
      <w:r>
        <w:rPr>
          <w:spacing w:val="8"/>
        </w:rPr>
        <w:t>（一）删除第十七条 </w:t>
      </w:r>
      <w:r>
        <w:rPr>
          <w:rFonts w:ascii="Times New Roman" w:hAnsi="Times New Roman" w:eastAsia="Times New Roman" w:cs="Times New Roman"/>
          <w:spacing w:val="8"/>
        </w:rPr>
        <w:t>“</w:t>
      </w:r>
      <w:r>
        <w:rPr>
          <w:spacing w:val="8"/>
        </w:rPr>
        <w:t>违反本办法规定，</w:t>
      </w:r>
      <w:r>
        <w:rPr>
          <w:spacing w:val="8"/>
        </w:rPr>
        <w:t>在城市绿地范围内进行拦河截溪、取土采石、</w:t>
      </w:r>
      <w:r>
        <w:rPr>
          <w:spacing w:val="7"/>
        </w:rPr>
        <w:t>设置垃圾堆场、排放污水以及其他对城市生态</w:t>
      </w:r>
      <w:r>
        <w:rPr>
          <w:spacing w:val="7"/>
        </w:rPr>
        <w:t>环境造成破坏活动的，由城市园林绿化行政主</w:t>
      </w:r>
      <w:r>
        <w:rPr>
          <w:spacing w:val="7"/>
        </w:rPr>
        <w:t>管部门责令改正，并处一万以上三万元以下的</w:t>
      </w:r>
      <w:r>
        <w:rPr>
          <w:spacing w:val="5"/>
        </w:rPr>
        <w:t>罚款</w:t>
      </w:r>
      <w:r>
        <w:rPr>
          <w:rFonts w:ascii="Times New Roman" w:hAnsi="Times New Roman" w:eastAsia="Times New Roman" w:cs="Times New Roman"/>
          <w:spacing w:val="5"/>
        </w:rPr>
        <w:t>”</w:t>
      </w:r>
      <w:r>
        <w:rPr>
          <w:spacing w:val="5"/>
        </w:rPr>
        <w:t>。</w:t>
      </w:r>
    </w:p>
    <w:p>
      <w:pPr>
        <w:pStyle w:val="BodyText"/>
        <w:ind w:left="4" w:right="109" w:firstLine="412"/>
        <w:spacing w:before="137" w:line="319" w:lineRule="auto"/>
        <w:rPr/>
      </w:pPr>
      <w:r>
        <w:rPr>
          <w:spacing w:val="13"/>
        </w:rPr>
        <w:t>（二）删除第十八条</w:t>
      </w:r>
      <w:r>
        <w:rPr>
          <w:rFonts w:ascii="Times New Roman" w:hAnsi="Times New Roman" w:eastAsia="Times New Roman" w:cs="Times New Roman"/>
          <w:spacing w:val="13"/>
        </w:rPr>
        <w:t>“</w:t>
      </w:r>
      <w:r>
        <w:rPr>
          <w:spacing w:val="13"/>
        </w:rPr>
        <w:t>在城市绿线管理工</w:t>
      </w:r>
      <w:r>
        <w:rPr>
          <w:spacing w:val="7"/>
        </w:rPr>
        <w:t>作中，有关行政主管部门及其工作人员玩忽职</w:t>
      </w:r>
      <w:r>
        <w:rPr>
          <w:spacing w:val="7"/>
        </w:rPr>
        <w:t>守、滥用职权、徇私舞弊的，依法追究其法律</w:t>
      </w:r>
      <w:r>
        <w:rPr>
          <w:spacing w:val="5"/>
        </w:rPr>
        <w:t>责任</w:t>
      </w:r>
      <w:r>
        <w:rPr>
          <w:rFonts w:ascii="Times New Roman" w:hAnsi="Times New Roman" w:eastAsia="Times New Roman" w:cs="Times New Roman"/>
          <w:spacing w:val="5"/>
        </w:rPr>
        <w:t>”</w:t>
      </w:r>
      <w:r>
        <w:rPr>
          <w:spacing w:val="5"/>
        </w:rPr>
        <w:t>。</w:t>
      </w:r>
    </w:p>
    <w:p>
      <w:pPr>
        <w:pStyle w:val="BodyText"/>
        <w:ind w:left="5" w:right="109" w:firstLine="410"/>
        <w:spacing w:before="135" w:line="287" w:lineRule="auto"/>
        <w:rPr/>
      </w:pPr>
      <w:r>
        <w:rPr>
          <w:spacing w:val="7"/>
        </w:rPr>
        <w:t>（三）原第十九条、二十条变更为第十七</w:t>
      </w:r>
      <w:r>
        <w:rPr>
          <w:spacing w:val="7"/>
        </w:rPr>
        <w:t>条、十八条。</w:t>
      </w:r>
    </w:p>
    <w:p>
      <w:pPr>
        <w:ind w:right="109" w:firstLine="434"/>
        <w:spacing w:before="147" w:line="263"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十一、固原市人民政府办公室关于印发固</w:t>
      </w:r>
      <w:r>
        <w:rPr>
          <w:rFonts w:ascii="Microsoft YaHei" w:hAnsi="Microsoft YaHei" w:eastAsia="Microsoft YaHei" w:cs="Microsoft YaHei"/>
          <w:sz w:val="20"/>
          <w:szCs w:val="20"/>
          <w:spacing w:val="3"/>
        </w:rPr>
        <w:t>原市古树名木保护管理办法的通知（</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3"/>
        </w:rPr>
        <w:t>固政办发</w:t>
      </w:r>
      <w:r>
        <w:rPr>
          <w:rFonts w:ascii="Microsoft YaHei" w:hAnsi="Microsoft YaHei" w:eastAsia="Microsoft YaHei" w:cs="Microsoft YaHei"/>
          <w:sz w:val="20"/>
          <w:szCs w:val="20"/>
          <w:spacing w:val="-2"/>
        </w:rPr>
        <w:t>〔2016〕</w:t>
      </w:r>
      <w:r>
        <w:rPr>
          <w:rFonts w:ascii="Microsoft YaHei" w:hAnsi="Microsoft YaHei" w:eastAsia="Microsoft YaHei" w:cs="Microsoft YaHei"/>
          <w:sz w:val="20"/>
          <w:szCs w:val="20"/>
          <w:spacing w:val="-22"/>
        </w:rPr>
        <w:t xml:space="preserve"> </w:t>
      </w:r>
      <w:r>
        <w:rPr>
          <w:rFonts w:ascii="Microsoft YaHei" w:hAnsi="Microsoft YaHei" w:eastAsia="Microsoft YaHei" w:cs="Microsoft YaHei"/>
          <w:sz w:val="20"/>
          <w:szCs w:val="20"/>
          <w:spacing w:val="-2"/>
        </w:rPr>
        <w:t>110 号 ）</w:t>
      </w:r>
    </w:p>
    <w:p>
      <w:pPr>
        <w:pStyle w:val="BodyText"/>
        <w:ind w:left="5" w:right="109" w:firstLine="410"/>
        <w:spacing w:before="2" w:line="270" w:lineRule="auto"/>
        <w:rPr/>
      </w:pPr>
      <w:r>
        <w:rPr>
          <w:spacing w:val="13"/>
        </w:rPr>
        <w:t>（一）删除第十六条</w:t>
      </w:r>
      <w:r>
        <w:rPr>
          <w:rFonts w:ascii="Times New Roman" w:hAnsi="Times New Roman" w:eastAsia="Times New Roman" w:cs="Times New Roman"/>
          <w:spacing w:val="13"/>
        </w:rPr>
        <w:t>“</w:t>
      </w:r>
      <w:r>
        <w:rPr>
          <w:spacing w:val="13"/>
        </w:rPr>
        <w:t>违反本办法第十四</w:t>
      </w:r>
      <w:r>
        <w:rPr>
          <w:spacing w:val="7"/>
        </w:rPr>
        <w:t>条规定的，由古树名木行政主管部门责令停止</w:t>
      </w:r>
    </w:p>
    <w:p>
      <w:pPr>
        <w:spacing w:line="270" w:lineRule="auto"/>
        <w:sectPr>
          <w:type w:val="continuous"/>
          <w:pgSz w:w="11906" w:h="16839"/>
          <w:pgMar w:top="1766" w:right="1481" w:bottom="1563" w:left="1551" w:header="1428" w:footer="1172" w:gutter="0"/>
          <w:cols w:equalWidth="0" w:num="2">
            <w:col w:w="4514" w:space="100"/>
            <w:col w:w="4261" w:space="0"/>
          </w:cols>
        </w:sectPr>
        <w:rPr/>
      </w:pPr>
    </w:p>
    <w:p>
      <w:pPr>
        <w:spacing w:before="46"/>
        <w:rPr/>
      </w:pPr>
      <w:r/>
    </w:p>
    <w:p>
      <w:pPr>
        <w:sectPr>
          <w:headerReference w:type="default" r:id="rId575"/>
          <w:footerReference w:type="default" r:id="rId576"/>
          <w:pgSz w:w="11906" w:h="16839"/>
          <w:pgMar w:top="1769" w:right="1489" w:bottom="1570" w:left="1576" w:header="1428" w:footer="1172" w:gutter="0"/>
          <w:cols w:equalWidth="0" w:num="1">
            <w:col w:w="8841" w:space="0"/>
          </w:cols>
        </w:sectPr>
        <w:rPr/>
      </w:pPr>
    </w:p>
    <w:p>
      <w:pPr>
        <w:pStyle w:val="BodyText"/>
        <w:ind w:left="17" w:right="329"/>
        <w:spacing w:before="48" w:line="328" w:lineRule="auto"/>
        <w:rPr/>
      </w:pPr>
      <w:r>
        <w:rPr>
          <w:spacing w:val="7"/>
        </w:rPr>
        <w:t>违法行为，并按照《城市绿化条例》有关规定</w:t>
      </w:r>
      <w:r>
        <w:rPr>
          <w:spacing w:val="6"/>
        </w:rPr>
        <w:t>予以处理</w:t>
      </w:r>
      <w:r>
        <w:rPr>
          <w:rFonts w:ascii="Times New Roman" w:hAnsi="Times New Roman" w:eastAsia="Times New Roman" w:cs="Times New Roman"/>
          <w:spacing w:val="6"/>
        </w:rPr>
        <w:t>”</w:t>
      </w:r>
      <w:r>
        <w:rPr>
          <w:spacing w:val="6"/>
        </w:rPr>
        <w:t>。</w:t>
      </w:r>
    </w:p>
    <w:p>
      <w:pPr>
        <w:pStyle w:val="BodyText"/>
        <w:ind w:left="16" w:right="329" w:firstLine="411"/>
        <w:spacing w:before="42" w:line="326" w:lineRule="auto"/>
        <w:rPr/>
      </w:pPr>
      <w:r>
        <w:rPr>
          <w:spacing w:val="13"/>
        </w:rPr>
        <w:t>（二）删除第十八条</w:t>
      </w:r>
      <w:r>
        <w:rPr>
          <w:rFonts w:ascii="Times New Roman" w:hAnsi="Times New Roman" w:eastAsia="Times New Roman" w:cs="Times New Roman"/>
          <w:spacing w:val="13"/>
        </w:rPr>
        <w:t>“</w:t>
      </w:r>
      <w:r>
        <w:rPr>
          <w:spacing w:val="13"/>
        </w:rPr>
        <w:t>古树名木主管部门</w:t>
      </w:r>
      <w:r>
        <w:rPr>
          <w:spacing w:val="7"/>
        </w:rPr>
        <w:t>因保护、整治措施不力，或者工作人员玩忽职</w:t>
      </w:r>
      <w:r>
        <w:rPr>
          <w:spacing w:val="7"/>
        </w:rPr>
        <w:t>守，致古树名木及后备资源死亡的，由上级主</w:t>
      </w:r>
      <w:r>
        <w:rPr>
          <w:spacing w:val="18"/>
        </w:rPr>
        <w:t>管部门或监察机关对该管理部门领导给予处</w:t>
      </w:r>
      <w:r>
        <w:rPr>
          <w:spacing w:val="7"/>
        </w:rPr>
        <w:t>分；情节严重、构成犯罪的，由司法机关依法</w:t>
      </w:r>
      <w:r>
        <w:rPr>
          <w:spacing w:val="7"/>
        </w:rPr>
        <w:t>追究刑事责任</w:t>
      </w:r>
      <w:r>
        <w:rPr>
          <w:rFonts w:ascii="Times New Roman" w:hAnsi="Times New Roman" w:eastAsia="Times New Roman" w:cs="Times New Roman"/>
          <w:spacing w:val="7"/>
        </w:rPr>
        <w:t>”</w:t>
      </w:r>
      <w:r>
        <w:rPr>
          <w:spacing w:val="7"/>
        </w:rPr>
        <w:t>。</w:t>
      </w:r>
    </w:p>
    <w:p>
      <w:pPr>
        <w:pStyle w:val="BodyText"/>
        <w:ind w:left="19" w:right="329" w:firstLine="409"/>
        <w:spacing w:before="133" w:line="286" w:lineRule="auto"/>
        <w:rPr/>
      </w:pPr>
      <w:r>
        <w:rPr>
          <w:spacing w:val="7"/>
        </w:rPr>
        <w:t>（三）原第十七条、十九条、二十条分别</w:t>
      </w:r>
      <w:r>
        <w:rPr>
          <w:spacing w:val="8"/>
        </w:rPr>
        <w:t>变更为第十六条、十七条、十八条。</w:t>
      </w:r>
    </w:p>
    <w:p>
      <w:pPr>
        <w:ind w:left="11" w:right="329" w:firstLine="434"/>
        <w:spacing w:before="144" w:line="261"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十二、固原市人民政府办公室关于印发固</w:t>
      </w:r>
      <w:r>
        <w:rPr>
          <w:rFonts w:ascii="Microsoft YaHei" w:hAnsi="Microsoft YaHei" w:eastAsia="Microsoft YaHei" w:cs="Microsoft YaHei"/>
          <w:sz w:val="20"/>
          <w:szCs w:val="20"/>
          <w:spacing w:val="3"/>
        </w:rPr>
        <w:t>原市城市立体绿化激励办法的通知（</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3"/>
        </w:rPr>
        <w:t>固政办发</w:t>
      </w:r>
      <w:r>
        <w:rPr>
          <w:rFonts w:ascii="Microsoft YaHei" w:hAnsi="Microsoft YaHei" w:eastAsia="Microsoft YaHei" w:cs="Microsoft YaHei"/>
          <w:sz w:val="20"/>
          <w:szCs w:val="20"/>
          <w:spacing w:val="-2"/>
        </w:rPr>
        <w:t>〔2016〕</w:t>
      </w:r>
      <w:r>
        <w:rPr>
          <w:rFonts w:ascii="Microsoft YaHei" w:hAnsi="Microsoft YaHei" w:eastAsia="Microsoft YaHei" w:cs="Microsoft YaHei"/>
          <w:sz w:val="20"/>
          <w:szCs w:val="20"/>
          <w:spacing w:val="-22"/>
        </w:rPr>
        <w:t xml:space="preserve"> </w:t>
      </w:r>
      <w:r>
        <w:rPr>
          <w:rFonts w:ascii="Microsoft YaHei" w:hAnsi="Microsoft YaHei" w:eastAsia="Microsoft YaHei" w:cs="Microsoft YaHei"/>
          <w:sz w:val="20"/>
          <w:szCs w:val="20"/>
          <w:spacing w:val="-2"/>
        </w:rPr>
        <w:t>110 号 ）</w:t>
      </w:r>
    </w:p>
    <w:p>
      <w:pPr>
        <w:pStyle w:val="BodyText"/>
        <w:ind w:left="15" w:right="329" w:firstLine="422"/>
        <w:spacing w:line="348" w:lineRule="auto"/>
        <w:rPr/>
      </w:pPr>
      <w:r>
        <w:rPr>
          <w:spacing w:val="6"/>
        </w:rPr>
        <w:t>删除第七条，原第八条、第九条变更为第</w:t>
      </w:r>
      <w:r>
        <w:rPr>
          <w:spacing w:val="7"/>
        </w:rPr>
        <w:t>七条、第八条。</w:t>
      </w:r>
    </w:p>
    <w:p>
      <w:pPr>
        <w:ind w:left="19" w:right="290" w:firstLine="426"/>
        <w:spacing w:before="5" w:line="261"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十三、固原市人民政府关于印发固原市禁</w:t>
      </w:r>
      <w:r>
        <w:rPr>
          <w:rFonts w:ascii="Microsoft YaHei" w:hAnsi="Microsoft YaHei" w:eastAsia="Microsoft YaHei" w:cs="Microsoft YaHei"/>
          <w:sz w:val="20"/>
          <w:szCs w:val="20"/>
          <w:spacing w:val="8"/>
        </w:rPr>
        <w:t>止在高污染燃料限制区销售和使用高污染燃料</w:t>
      </w:r>
      <w:r>
        <w:rPr>
          <w:rFonts w:ascii="Microsoft YaHei" w:hAnsi="Microsoft YaHei" w:eastAsia="Microsoft YaHei" w:cs="Microsoft YaHei"/>
          <w:sz w:val="20"/>
          <w:szCs w:val="20"/>
          <w:spacing w:val="-5"/>
        </w:rPr>
        <w:t>管理暂行规定的通知（</w:t>
      </w:r>
      <w:r>
        <w:rPr>
          <w:rFonts w:ascii="Microsoft YaHei" w:hAnsi="Microsoft YaHei" w:eastAsia="Microsoft YaHei" w:cs="Microsoft YaHei"/>
          <w:sz w:val="20"/>
          <w:szCs w:val="20"/>
          <w:spacing w:val="24"/>
        </w:rPr>
        <w:t xml:space="preserve"> </w:t>
      </w:r>
      <w:r>
        <w:rPr>
          <w:rFonts w:ascii="Microsoft YaHei" w:hAnsi="Microsoft YaHei" w:eastAsia="Microsoft YaHei" w:cs="Microsoft YaHei"/>
          <w:sz w:val="20"/>
          <w:szCs w:val="20"/>
          <w:spacing w:val="-5"/>
        </w:rPr>
        <w:t>固政发〔2017〕47 号 ）</w:t>
      </w:r>
    </w:p>
    <w:p>
      <w:pPr>
        <w:pStyle w:val="BodyText"/>
        <w:ind w:left="438"/>
        <w:spacing w:line="277" w:lineRule="exact"/>
        <w:rPr/>
      </w:pPr>
      <w:r>
        <w:rPr>
          <w:spacing w:val="13"/>
          <w:position w:val="1"/>
        </w:rPr>
        <w:t>删除第四条第二款</w:t>
      </w:r>
      <w:r>
        <w:rPr>
          <w:rFonts w:ascii="Times New Roman" w:hAnsi="Times New Roman" w:eastAsia="Times New Roman" w:cs="Times New Roman"/>
          <w:spacing w:val="13"/>
          <w:position w:val="1"/>
        </w:rPr>
        <w:t>“</w:t>
      </w:r>
      <w:r>
        <w:rPr>
          <w:spacing w:val="13"/>
          <w:position w:val="1"/>
        </w:rPr>
        <w:t>热力等燃煤企业已建</w:t>
      </w:r>
    </w:p>
    <w:p>
      <w:pPr>
        <w:spacing w:line="137" w:lineRule="exact"/>
        <w:rPr/>
      </w:pPr>
      <w:r/>
    </w:p>
    <w:p>
      <w:pPr>
        <w:spacing w:line="14" w:lineRule="auto"/>
        <w:rPr>
          <w:rFonts w:ascii="Arial"/>
          <w:sz w:val="2"/>
        </w:rPr>
      </w:pPr>
      <w:r>
        <w:rPr>
          <w:rFonts w:ascii="Arial" w:hAnsi="Arial" w:eastAsia="Arial" w:cs="Arial"/>
          <w:sz w:val="2"/>
          <w:szCs w:val="2"/>
        </w:rPr>
        <w:br w:type="column"/>
      </w:r>
    </w:p>
    <w:p>
      <w:pPr>
        <w:pStyle w:val="BodyText"/>
        <w:ind w:right="101" w:firstLine="1"/>
        <w:spacing w:before="49" w:line="348" w:lineRule="auto"/>
        <w:jc w:val="both"/>
        <w:rPr/>
      </w:pPr>
      <w:r>
        <w:rPr>
          <w:spacing w:val="7"/>
        </w:rPr>
        <w:t>成使用高效脱硫脱硝除尘设施，污染物排放稳</w:t>
      </w:r>
      <w:r>
        <w:rPr>
          <w:spacing w:val="7"/>
        </w:rPr>
        <w:t>定达到排放标准，且满足污染物总量控制指标</w:t>
      </w:r>
      <w:r>
        <w:rPr>
          <w:spacing w:val="7"/>
        </w:rPr>
        <w:t>要求的，经环境保护部门确认，可适当放宽燃</w:t>
      </w:r>
      <w:r>
        <w:rPr>
          <w:spacing w:val="7"/>
        </w:rPr>
        <w:t>煤煤质要求</w:t>
      </w:r>
      <w:r>
        <w:rPr>
          <w:rFonts w:ascii="Times New Roman" w:hAnsi="Times New Roman" w:eastAsia="Times New Roman" w:cs="Times New Roman"/>
          <w:spacing w:val="7"/>
        </w:rPr>
        <w:t>”</w:t>
      </w:r>
      <w:r>
        <w:rPr>
          <w:spacing w:val="7"/>
        </w:rPr>
        <w:t>。</w:t>
      </w:r>
    </w:p>
    <w:p>
      <w:pPr>
        <w:ind w:left="2" w:right="101" w:firstLine="428"/>
        <w:spacing w:before="2" w:line="261" w:lineRule="auto"/>
        <w:jc w:val="both"/>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十四、固原市人民政府办公室关于印发固</w:t>
      </w:r>
      <w:r>
        <w:rPr>
          <w:rFonts w:ascii="Microsoft YaHei" w:hAnsi="Microsoft YaHei" w:eastAsia="Microsoft YaHei" w:cs="Microsoft YaHei"/>
          <w:sz w:val="20"/>
          <w:szCs w:val="20"/>
          <w:spacing w:val="1"/>
        </w:rPr>
        <w:t>原市退役军人公共服务优待办法（ 试行 ）的通</w:t>
      </w:r>
      <w:r>
        <w:rPr>
          <w:rFonts w:ascii="Microsoft YaHei" w:hAnsi="Microsoft YaHei" w:eastAsia="Microsoft YaHei" w:cs="Microsoft YaHei"/>
          <w:sz w:val="20"/>
          <w:szCs w:val="20"/>
          <w:spacing w:val="1"/>
        </w:rPr>
        <w:t>知（</w:t>
      </w:r>
      <w:r>
        <w:rPr>
          <w:rFonts w:ascii="Microsoft YaHei" w:hAnsi="Microsoft YaHei" w:eastAsia="Microsoft YaHei" w:cs="Microsoft YaHei"/>
          <w:sz w:val="20"/>
          <w:szCs w:val="20"/>
          <w:spacing w:val="32"/>
        </w:rPr>
        <w:t xml:space="preserve"> </w:t>
      </w:r>
      <w:r>
        <w:rPr>
          <w:rFonts w:ascii="Microsoft YaHei" w:hAnsi="Microsoft YaHei" w:eastAsia="Microsoft YaHei" w:cs="Microsoft YaHei"/>
          <w:sz w:val="20"/>
          <w:szCs w:val="20"/>
          <w:spacing w:val="1"/>
        </w:rPr>
        <w:t>固政规发〔2019〕 6号 ）</w:t>
      </w:r>
    </w:p>
    <w:p>
      <w:pPr>
        <w:pStyle w:val="BodyText"/>
        <w:ind w:right="94" w:firstLine="419"/>
        <w:spacing w:before="7" w:line="347" w:lineRule="auto"/>
        <w:jc w:val="both"/>
        <w:rPr/>
      </w:pPr>
      <w:r>
        <w:rPr>
          <w:spacing w:val="13"/>
        </w:rPr>
        <w:t>将第四条第八款</w:t>
      </w:r>
      <w:r>
        <w:rPr>
          <w:rFonts w:ascii="Times New Roman" w:hAnsi="Times New Roman" w:eastAsia="Times New Roman" w:cs="Times New Roman"/>
          <w:spacing w:val="13"/>
        </w:rPr>
        <w:t>“</w:t>
      </w:r>
      <w:r>
        <w:rPr>
          <w:spacing w:val="13"/>
        </w:rPr>
        <w:t>优待对象子女义务教育</w:t>
      </w:r>
      <w:r>
        <w:rPr>
          <w:spacing w:val="7"/>
        </w:rPr>
        <w:t>阶段，在同等条件下优先安排到本辖区公办幼</w:t>
      </w:r>
      <w:r>
        <w:rPr>
          <w:spacing w:val="7"/>
        </w:rPr>
        <w:t>儿园、小学和初中就学；因工作调动、居住地</w:t>
      </w:r>
      <w:r>
        <w:rPr>
          <w:spacing w:val="7"/>
        </w:rPr>
        <w:t>变更等，其子女需转学，按有关规定及时、优</w:t>
      </w:r>
      <w:r>
        <w:rPr>
          <w:spacing w:val="18"/>
        </w:rPr>
        <w:t>先办理学籍等相关手续</w:t>
      </w:r>
      <w:r>
        <w:rPr>
          <w:rFonts w:ascii="Times New Roman" w:hAnsi="Times New Roman" w:eastAsia="Times New Roman" w:cs="Times New Roman"/>
          <w:spacing w:val="18"/>
        </w:rPr>
        <w:t>”</w:t>
      </w:r>
      <w:r>
        <w:rPr>
          <w:spacing w:val="18"/>
        </w:rPr>
        <w:t>修改为</w:t>
      </w:r>
      <w:r>
        <w:rPr>
          <w:rFonts w:ascii="Times New Roman" w:hAnsi="Times New Roman" w:eastAsia="Times New Roman" w:cs="Times New Roman"/>
          <w:spacing w:val="18"/>
        </w:rPr>
        <w:t>“</w:t>
      </w:r>
      <w:r>
        <w:rPr>
          <w:spacing w:val="18"/>
        </w:rPr>
        <w:t>符合条件的</w:t>
      </w:r>
      <w:r>
        <w:rPr>
          <w:spacing w:val="7"/>
        </w:rPr>
        <w:t>军士退出现役时，其配偶和子女可以按照国家</w:t>
      </w:r>
      <w:r>
        <w:rPr>
          <w:spacing w:val="7"/>
        </w:rPr>
        <w:t>有关规定随调随迁；随迁子女需要转学、入学</w:t>
      </w:r>
      <w:r>
        <w:rPr>
          <w:spacing w:val="7"/>
        </w:rPr>
        <w:t>的，安置地人民政府部门应当予以及时办理，</w:t>
      </w:r>
      <w:r>
        <w:rPr>
          <w:spacing w:val="7"/>
        </w:rPr>
        <w:t>对参战退役军人、属于烈士子女和功臣模范的</w:t>
      </w:r>
      <w:r>
        <w:rPr>
          <w:spacing w:val="7"/>
        </w:rPr>
        <w:t>退役军人、长期在艰苦边远地区或者特殊岗位</w:t>
      </w:r>
      <w:r>
        <w:rPr>
          <w:spacing w:val="18"/>
        </w:rPr>
        <w:t>服现役的退役军人以及其他符合条件的退役</w:t>
      </w:r>
      <w:r>
        <w:rPr>
          <w:spacing w:val="8"/>
        </w:rPr>
        <w:t>军人的随迁子女，优先保障</w:t>
      </w:r>
      <w:r>
        <w:rPr>
          <w:rFonts w:ascii="Times New Roman" w:hAnsi="Times New Roman" w:eastAsia="Times New Roman" w:cs="Times New Roman"/>
          <w:spacing w:val="8"/>
        </w:rPr>
        <w:t>”</w:t>
      </w:r>
      <w:r>
        <w:rPr>
          <w:spacing w:val="8"/>
        </w:rPr>
        <w:t>。</w:t>
      </w:r>
    </w:p>
    <w:p>
      <w:pPr>
        <w:spacing w:line="347" w:lineRule="auto"/>
        <w:sectPr>
          <w:type w:val="continuous"/>
          <w:pgSz w:w="11906" w:h="16839"/>
          <w:pgMar w:top="1769" w:right="1489" w:bottom="1570" w:left="1576" w:header="1428" w:footer="1172" w:gutter="0"/>
          <w:cols w:equalWidth="0" w:num="2">
            <w:col w:w="4492" w:space="100"/>
            <w:col w:w="4249" w:space="0"/>
          </w:cols>
        </w:sectPr>
        <w:rPr/>
      </w:pPr>
    </w:p>
    <w:p>
      <w:pPr>
        <w:spacing w:line="270" w:lineRule="auto"/>
        <w:rPr>
          <w:rFonts w:ascii="Arial"/>
          <w:sz w:val="21"/>
        </w:rPr>
      </w:pPr>
      <w:r>
        <w:drawing>
          <wp:anchor distT="0" distB="0" distL="0" distR="0" simplePos="0" relativeHeight="252069888" behindDoc="0" locked="0" layoutInCell="1" allowOverlap="1">
            <wp:simplePos x="0" y="0"/>
            <wp:positionH relativeFrom="column">
              <wp:posOffset>7517</wp:posOffset>
            </wp:positionH>
            <wp:positionV relativeFrom="paragraph">
              <wp:posOffset>-4774682</wp:posOffset>
            </wp:positionV>
            <wp:extent cx="5579745" cy="7619"/>
            <wp:effectExtent l="0" t="0" r="0" b="0"/>
            <wp:wrapNone/>
            <wp:docPr id="1150" name="IM 1150"/>
            <wp:cNvGraphicFramePr/>
            <a:graphic>
              <a:graphicData uri="http://schemas.openxmlformats.org/drawingml/2006/picture">
                <pic:pic>
                  <pic:nvPicPr>
                    <pic:cNvPr id="1150" name="IM 1150"/>
                    <pic:cNvPicPr/>
                  </pic:nvPicPr>
                  <pic:blipFill>
                    <a:blip r:embed="rId577"/>
                    <a:stretch>
                      <a:fillRect/>
                    </a:stretch>
                  </pic:blipFill>
                  <pic:spPr>
                    <a:xfrm rot="0">
                      <a:off x="0" y="0"/>
                      <a:ext cx="5579745" cy="7619"/>
                    </a:xfrm>
                    <a:prstGeom prst="rect">
                      <a:avLst/>
                    </a:prstGeom>
                  </pic:spPr>
                </pic:pic>
              </a:graphicData>
            </a:graphic>
          </wp:anchor>
        </w:drawing>
      </w:r>
      <w:r/>
    </w:p>
    <w:p>
      <w:pPr>
        <w:spacing w:line="271" w:lineRule="auto"/>
        <w:rPr>
          <w:rFonts w:ascii="Arial"/>
          <w:sz w:val="21"/>
        </w:rPr>
      </w:pPr>
      <w:r/>
    </w:p>
    <w:p>
      <w:pPr>
        <w:ind w:left="1985"/>
        <w:spacing w:before="185" w:line="181"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7"/>
        </w:rPr>
        <w:t>固原市人民政府关于印发</w:t>
      </w:r>
    </w:p>
    <w:p>
      <w:pPr>
        <w:ind w:left="393"/>
        <w:spacing w:before="1" w:line="215"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11"/>
        </w:rPr>
        <w:t>《固原市突发事件总体应急预案》的通知</w:t>
      </w:r>
    </w:p>
    <w:p>
      <w:pPr>
        <w:pStyle w:val="BodyText"/>
        <w:ind w:left="6400"/>
        <w:spacing w:before="213" w:line="279" w:lineRule="exact"/>
        <w:rPr/>
      </w:pPr>
      <w:r>
        <w:rPr>
          <w:spacing w:val="5"/>
          <w:position w:val="1"/>
        </w:rPr>
        <w:t>固政规发〔</w:t>
      </w:r>
      <w:r>
        <w:rPr>
          <w:rFonts w:ascii="Times New Roman" w:hAnsi="Times New Roman" w:eastAsia="Times New Roman" w:cs="Times New Roman"/>
          <w:spacing w:val="5"/>
          <w:position w:val="1"/>
        </w:rPr>
        <w:t>2021</w:t>
      </w:r>
      <w:r>
        <w:rPr>
          <w:spacing w:val="5"/>
          <w:position w:val="1"/>
        </w:rPr>
        <w:t>〕</w:t>
      </w:r>
      <w:r>
        <w:rPr>
          <w:rFonts w:ascii="Times New Roman" w:hAnsi="Times New Roman" w:eastAsia="Times New Roman" w:cs="Times New Roman"/>
          <w:spacing w:val="5"/>
          <w:position w:val="1"/>
        </w:rPr>
        <w:t>3 </w:t>
      </w:r>
      <w:r>
        <w:rPr>
          <w:spacing w:val="5"/>
          <w:position w:val="1"/>
        </w:rPr>
        <w:t>号</w:t>
      </w:r>
    </w:p>
    <w:p>
      <w:pPr>
        <w:spacing w:before="99"/>
        <w:rPr/>
      </w:pPr>
      <w:r/>
    </w:p>
    <w:p>
      <w:pPr>
        <w:sectPr>
          <w:type w:val="continuous"/>
          <w:pgSz w:w="11906" w:h="16839"/>
          <w:pgMar w:top="1769" w:right="1489" w:bottom="1570" w:left="1576" w:header="1428" w:footer="1172" w:gutter="0"/>
          <w:cols w:equalWidth="0" w:num="1">
            <w:col w:w="8841" w:space="0"/>
          </w:cols>
        </w:sectPr>
        <w:rPr/>
      </w:pPr>
    </w:p>
    <w:p>
      <w:pPr>
        <w:pStyle w:val="BodyText"/>
        <w:ind w:left="17" w:right="331" w:hanging="1"/>
        <w:spacing w:before="48" w:line="356" w:lineRule="auto"/>
        <w:rPr/>
      </w:pPr>
      <w:r>
        <w:rPr>
          <w:spacing w:val="4"/>
        </w:rPr>
        <w:t>各县（</w:t>
      </w:r>
      <w:r>
        <w:rPr>
          <w:spacing w:val="-36"/>
        </w:rPr>
        <w:t xml:space="preserve"> </w:t>
      </w:r>
      <w:r>
        <w:rPr>
          <w:spacing w:val="4"/>
        </w:rPr>
        <w:t>区）人民政府，市政府各部门、派出机</w:t>
      </w:r>
      <w:r>
        <w:rPr>
          <w:spacing w:val="7"/>
        </w:rPr>
        <w:t>构、事业单位：</w:t>
      </w:r>
    </w:p>
    <w:p>
      <w:pPr>
        <w:pStyle w:val="BodyText"/>
        <w:ind w:right="322" w:firstLine="439"/>
        <w:spacing w:before="12" w:line="336" w:lineRule="auto"/>
        <w:jc w:val="both"/>
        <w:rPr/>
      </w:pPr>
      <w:r>
        <w:rPr>
          <w:spacing w:val="16"/>
        </w:rPr>
        <w:t>经市人民政府研究同意</w:t>
      </w:r>
      <w:r>
        <w:rPr>
          <w:spacing w:val="-50"/>
        </w:rPr>
        <w:t xml:space="preserve"> </w:t>
      </w:r>
      <w:r>
        <w:rPr>
          <w:spacing w:val="16"/>
        </w:rPr>
        <w:t>，现将修订后的</w:t>
      </w:r>
      <w:r>
        <w:rPr>
          <w:spacing w:val="16"/>
        </w:rPr>
        <w:t>《固原市突发事件总体应急预案》</w:t>
      </w:r>
      <w:r>
        <w:rPr>
          <w:spacing w:val="-43"/>
        </w:rPr>
        <w:t xml:space="preserve"> </w:t>
      </w:r>
      <w:r>
        <w:rPr>
          <w:spacing w:val="16"/>
        </w:rPr>
        <w:t>印发给你</w:t>
      </w:r>
      <w:r>
        <w:rPr>
          <w:spacing w:val="5"/>
        </w:rPr>
        <w:t>们，请认真组织实施。各县（</w:t>
      </w:r>
      <w:r>
        <w:rPr>
          <w:spacing w:val="-39"/>
        </w:rPr>
        <w:t xml:space="preserve"> </w:t>
      </w:r>
      <w:r>
        <w:rPr>
          <w:spacing w:val="5"/>
        </w:rPr>
        <w:t>区）人民政府及</w:t>
      </w:r>
      <w:r>
        <w:rPr>
          <w:spacing w:val="8"/>
        </w:rPr>
        <w:t>有关部门，结合实际，修订完善总体预案、专</w:t>
      </w:r>
      <w:r>
        <w:rPr>
          <w:spacing w:val="8"/>
        </w:rPr>
        <w:t>项预案，并报市应急局和自治区应急厅备案；</w:t>
      </w:r>
      <w:r>
        <w:rPr>
          <w:spacing w:val="8"/>
        </w:rPr>
        <w:t>市政府各部门、直属机构，结合实际，修订完</w:t>
      </w:r>
    </w:p>
    <w:p>
      <w:pPr>
        <w:spacing w:line="14" w:lineRule="auto"/>
        <w:rPr>
          <w:rFonts w:ascii="Arial"/>
          <w:sz w:val="2"/>
        </w:rPr>
      </w:pPr>
      <w:r>
        <w:rPr>
          <w:rFonts w:ascii="Arial" w:hAnsi="Arial" w:eastAsia="Arial" w:cs="Arial"/>
          <w:sz w:val="2"/>
          <w:szCs w:val="2"/>
        </w:rPr>
        <w:br w:type="column"/>
      </w:r>
    </w:p>
    <w:p>
      <w:pPr>
        <w:pStyle w:val="BodyText"/>
        <w:ind w:left="1" w:right="33" w:hanging="1"/>
        <w:spacing w:before="56" w:line="365" w:lineRule="auto"/>
        <w:jc w:val="both"/>
        <w:rPr/>
      </w:pPr>
      <w:r>
        <w:rPr>
          <w:spacing w:val="6"/>
        </w:rPr>
        <w:t>善各专项预案，报市人民政府批准执行。2014</w:t>
      </w:r>
      <w:r>
        <w:rPr>
          <w:spacing w:val="5"/>
        </w:rPr>
        <w:t>年</w:t>
      </w:r>
      <w:r>
        <w:rPr>
          <w:spacing w:val="-6"/>
        </w:rPr>
        <w:t xml:space="preserve"> </w:t>
      </w:r>
      <w:r>
        <w:rPr>
          <w:spacing w:val="5"/>
        </w:rPr>
        <w:t>1</w:t>
      </w:r>
      <w:r>
        <w:rPr>
          <w:spacing w:val="-35"/>
        </w:rPr>
        <w:t xml:space="preserve"> </w:t>
      </w:r>
      <w:r>
        <w:rPr>
          <w:spacing w:val="5"/>
        </w:rPr>
        <w:t>月</w:t>
      </w:r>
      <w:r>
        <w:rPr>
          <w:spacing w:val="-20"/>
        </w:rPr>
        <w:t xml:space="preserve"> </w:t>
      </w:r>
      <w:r>
        <w:rPr>
          <w:spacing w:val="5"/>
        </w:rPr>
        <w:t>17 日印发的《固原市突发事件总体应</w:t>
      </w:r>
      <w:r>
        <w:rPr/>
        <w:t>急预案》（</w:t>
      </w:r>
      <w:r>
        <w:rPr>
          <w:spacing w:val="-46"/>
        </w:rPr>
        <w:t xml:space="preserve"> </w:t>
      </w:r>
      <w:r>
        <w:rPr/>
        <w:t>固政办发〔2014〕2</w:t>
      </w:r>
      <w:r>
        <w:rPr>
          <w:spacing w:val="-42"/>
        </w:rPr>
        <w:t xml:space="preserve"> </w:t>
      </w:r>
      <w:r>
        <w:rPr/>
        <w:t>号）同时废</w:t>
      </w:r>
      <w:r>
        <w:rPr>
          <w:spacing w:val="-1"/>
        </w:rPr>
        <w:t>止。</w:t>
      </w:r>
    </w:p>
    <w:p>
      <w:pPr>
        <w:spacing w:line="342" w:lineRule="auto"/>
        <w:rPr>
          <w:rFonts w:ascii="Arial"/>
          <w:sz w:val="21"/>
        </w:rPr>
      </w:pPr>
      <w:r/>
    </w:p>
    <w:p>
      <w:pPr>
        <w:pStyle w:val="BodyText"/>
        <w:ind w:left="2701"/>
        <w:spacing w:before="66" w:line="218" w:lineRule="auto"/>
        <w:rPr/>
      </w:pPr>
      <w:r>
        <w:rPr>
          <w:spacing w:val="6"/>
        </w:rPr>
        <w:t>固原市人民政府</w:t>
      </w:r>
    </w:p>
    <w:p>
      <w:pPr>
        <w:pStyle w:val="BodyText"/>
        <w:ind w:right="10"/>
        <w:spacing w:before="160" w:line="277" w:lineRule="exact"/>
        <w:jc w:val="right"/>
        <w:rPr/>
      </w:pPr>
      <w:r>
        <w:rPr>
          <w:spacing w:val="1"/>
          <w:position w:val="1"/>
        </w:rPr>
        <w:t>2021</w:t>
      </w:r>
      <w:r>
        <w:rPr>
          <w:spacing w:val="-40"/>
          <w:position w:val="1"/>
        </w:rPr>
        <w:t xml:space="preserve"> </w:t>
      </w:r>
      <w:r>
        <w:rPr>
          <w:spacing w:val="1"/>
          <w:position w:val="1"/>
        </w:rPr>
        <w:t>年</w:t>
      </w:r>
      <w:r>
        <w:rPr>
          <w:spacing w:val="-41"/>
          <w:position w:val="1"/>
        </w:rPr>
        <w:t xml:space="preserve"> </w:t>
      </w:r>
      <w:r>
        <w:rPr>
          <w:spacing w:val="1"/>
          <w:position w:val="1"/>
        </w:rPr>
        <w:t>2</w:t>
      </w:r>
      <w:r>
        <w:rPr>
          <w:spacing w:val="-38"/>
          <w:position w:val="1"/>
        </w:rPr>
        <w:t xml:space="preserve"> </w:t>
      </w:r>
      <w:r>
        <w:rPr>
          <w:spacing w:val="1"/>
          <w:position w:val="1"/>
        </w:rPr>
        <w:t>月</w:t>
      </w:r>
      <w:r>
        <w:rPr>
          <w:spacing w:val="-44"/>
          <w:position w:val="1"/>
        </w:rPr>
        <w:t xml:space="preserve"> </w:t>
      </w:r>
      <w:r>
        <w:rPr>
          <w:spacing w:val="1"/>
          <w:position w:val="1"/>
        </w:rPr>
        <w:t>7 日</w:t>
      </w:r>
    </w:p>
    <w:p>
      <w:pPr>
        <w:pStyle w:val="BodyText"/>
        <w:ind w:left="410"/>
        <w:spacing w:before="121" w:line="277" w:lineRule="exact"/>
        <w:rPr/>
      </w:pPr>
      <w:r>
        <w:rPr>
          <w:spacing w:val="10"/>
          <w:position w:val="1"/>
        </w:rPr>
        <w:t>（此件公开发布）</w:t>
      </w:r>
    </w:p>
    <w:p>
      <w:pPr>
        <w:spacing w:line="277" w:lineRule="exact"/>
        <w:sectPr>
          <w:type w:val="continuous"/>
          <w:pgSz w:w="11906" w:h="16839"/>
          <w:pgMar w:top="1769" w:right="1489" w:bottom="1570" w:left="1576" w:header="1428" w:footer="1172" w:gutter="0"/>
          <w:cols w:equalWidth="0" w:num="2">
            <w:col w:w="4495" w:space="100"/>
            <w:col w:w="4247" w:space="0"/>
          </w:cols>
        </w:sectPr>
        <w:rPr/>
      </w:pPr>
    </w:p>
    <w:p>
      <w:pPr>
        <w:spacing w:line="343" w:lineRule="auto"/>
        <w:rPr>
          <w:rFonts w:ascii="Arial"/>
          <w:sz w:val="21"/>
        </w:rPr>
      </w:pPr>
      <w:r>
        <w:drawing>
          <wp:anchor distT="0" distB="0" distL="0" distR="0" simplePos="0" relativeHeight="252071936" behindDoc="0" locked="0" layoutInCell="1" allowOverlap="1">
            <wp:simplePos x="0" y="0"/>
            <wp:positionH relativeFrom="column">
              <wp:posOffset>7517</wp:posOffset>
            </wp:positionH>
            <wp:positionV relativeFrom="paragraph">
              <wp:posOffset>25272</wp:posOffset>
            </wp:positionV>
            <wp:extent cx="5579745" cy="7620"/>
            <wp:effectExtent l="0" t="0" r="0" b="0"/>
            <wp:wrapNone/>
            <wp:docPr id="1156" name="IM 1156"/>
            <wp:cNvGraphicFramePr/>
            <a:graphic>
              <a:graphicData uri="http://schemas.openxmlformats.org/drawingml/2006/picture">
                <pic:pic>
                  <pic:nvPicPr>
                    <pic:cNvPr id="1156" name="IM 1156"/>
                    <pic:cNvPicPr/>
                  </pic:nvPicPr>
                  <pic:blipFill>
                    <a:blip r:embed="rId580"/>
                    <a:stretch>
                      <a:fillRect/>
                    </a:stretch>
                  </pic:blipFill>
                  <pic:spPr>
                    <a:xfrm rot="0">
                      <a:off x="0" y="0"/>
                      <a:ext cx="5579745" cy="7620"/>
                    </a:xfrm>
                    <a:prstGeom prst="rect">
                      <a:avLst/>
                    </a:prstGeom>
                  </pic:spPr>
                </pic:pic>
              </a:graphicData>
            </a:graphic>
          </wp:anchor>
        </w:drawing>
      </w:r>
      <w:r/>
    </w:p>
    <w:p>
      <w:pPr>
        <w:spacing w:line="343" w:lineRule="auto"/>
        <w:rPr>
          <w:rFonts w:ascii="Arial"/>
          <w:sz w:val="21"/>
        </w:rPr>
      </w:pPr>
      <w:r/>
    </w:p>
    <w:p>
      <w:pPr>
        <w:ind w:left="1546"/>
        <w:spacing w:before="184" w:line="186"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7"/>
        </w:rPr>
        <w:t>固原市突发事件总体应急预案</w:t>
      </w:r>
    </w:p>
    <w:p>
      <w:pPr>
        <w:spacing w:before="160"/>
        <w:rPr/>
      </w:pPr>
      <w:r/>
    </w:p>
    <w:p>
      <w:pPr>
        <w:sectPr>
          <w:headerReference w:type="default" r:id="rId578"/>
          <w:footerReference w:type="default" r:id="rId579"/>
          <w:pgSz w:w="11906" w:h="16839"/>
          <w:pgMar w:top="1766" w:right="1509" w:bottom="1563" w:left="1576" w:header="1428" w:footer="1172" w:gutter="0"/>
          <w:cols w:equalWidth="0" w:num="1">
            <w:col w:w="8820" w:space="0"/>
          </w:cols>
        </w:sectPr>
        <w:rPr/>
      </w:pPr>
    </w:p>
    <w:p>
      <w:pPr>
        <w:ind w:left="453"/>
        <w:spacing w:before="48"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1</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7"/>
        </w:rPr>
        <w:t>总则</w:t>
      </w:r>
    </w:p>
    <w:p>
      <w:pPr>
        <w:pStyle w:val="BodyText"/>
        <w:ind w:right="327" w:firstLine="453"/>
        <w:spacing w:before="102" w:line="363" w:lineRule="auto"/>
        <w:rPr/>
      </w:pPr>
      <w:r>
        <w:rPr>
          <w:spacing w:val="6"/>
        </w:rPr>
        <w:t>以党的十九大、十九届四中全会、五中全</w:t>
      </w:r>
      <w:r>
        <w:rPr>
          <w:spacing w:val="8"/>
        </w:rPr>
        <w:t>会，自治区第十二次党代会精神和习近平新时</w:t>
      </w:r>
      <w:r>
        <w:rPr>
          <w:spacing w:val="8"/>
        </w:rPr>
        <w:t>代中国特色社会主义思想为指导，构建完善的</w:t>
      </w:r>
      <w:r>
        <w:rPr>
          <w:spacing w:val="8"/>
        </w:rPr>
        <w:t>突发事件应急救援体系，提升防灾减灾救灾能</w:t>
      </w:r>
      <w:r>
        <w:rPr>
          <w:spacing w:val="8"/>
        </w:rPr>
        <w:t>力，坚决防控全局性重大风险、有效应对各类</w:t>
      </w:r>
      <w:r>
        <w:rPr>
          <w:spacing w:val="8"/>
        </w:rPr>
        <w:t>突发事件，确保全市经济社会安全稳定，依据</w:t>
      </w:r>
      <w:r>
        <w:rPr>
          <w:spacing w:val="-2"/>
        </w:rPr>
        <w:t>《中华人民共和国突发事件应对法》、《生产安</w:t>
      </w:r>
      <w:r>
        <w:rPr>
          <w:spacing w:val="-2"/>
        </w:rPr>
        <w:t>全事故应急条例》、《宁夏回族自治区突发事件</w:t>
      </w:r>
      <w:r>
        <w:rPr>
          <w:spacing w:val="8"/>
        </w:rPr>
        <w:t>应对条例》和《宁夏回族自治区突发事件总体</w:t>
      </w:r>
      <w:r>
        <w:rPr>
          <w:spacing w:val="10"/>
        </w:rPr>
        <w:t>应急预案》等规定，制定本预案。</w:t>
      </w:r>
    </w:p>
    <w:p>
      <w:pPr>
        <w:pStyle w:val="BodyText"/>
        <w:ind w:left="15" w:right="327" w:firstLine="441"/>
        <w:spacing w:before="3" w:line="339" w:lineRule="auto"/>
        <w:rPr/>
      </w:pPr>
      <w:r>
        <w:rPr>
          <w:rFonts w:ascii="Times New Roman" w:hAnsi="Times New Roman" w:eastAsia="Times New Roman" w:cs="Times New Roman"/>
          <w:spacing w:val="6"/>
        </w:rPr>
        <w:t>1.</w:t>
      </w:r>
      <w:r>
        <w:rPr>
          <w:rFonts w:ascii="Times New Roman" w:hAnsi="Times New Roman" w:eastAsia="Times New Roman" w:cs="Times New Roman"/>
          <w:spacing w:val="-22"/>
        </w:rPr>
        <w:t xml:space="preserve"> </w:t>
      </w:r>
      <w:r>
        <w:rPr>
          <w:rFonts w:ascii="Times New Roman" w:hAnsi="Times New Roman" w:eastAsia="Times New Roman" w:cs="Times New Roman"/>
          <w:spacing w:val="6"/>
        </w:rPr>
        <w:t>1  </w:t>
      </w:r>
      <w:r>
        <w:rPr>
          <w:rFonts w:ascii="KaiTi" w:hAnsi="KaiTi" w:eastAsia="KaiTi" w:cs="KaiTi"/>
          <w:spacing w:val="6"/>
        </w:rPr>
        <w:t>适用范围。</w:t>
      </w:r>
      <w:r>
        <w:rPr>
          <w:spacing w:val="6"/>
        </w:rPr>
        <w:t>本预案适用于固原市行政</w:t>
      </w:r>
      <w:r>
        <w:rPr>
          <w:spacing w:val="7"/>
        </w:rPr>
        <w:t>区域内各类突发事件的应对处置工作。本预案</w:t>
      </w:r>
      <w:r>
        <w:rPr>
          <w:spacing w:val="7"/>
        </w:rPr>
        <w:t>所称突发事件是指突然发生，造成或者可能造</w:t>
      </w:r>
      <w:r>
        <w:rPr>
          <w:spacing w:val="7"/>
        </w:rPr>
        <w:t>成严重社会危害，需要采取应急处置措施予以</w:t>
      </w:r>
      <w:r>
        <w:rPr>
          <w:spacing w:val="7"/>
        </w:rPr>
        <w:t>应对的自然灾害、事故灾难、公共卫生事件和</w:t>
      </w:r>
      <w:r>
        <w:rPr>
          <w:spacing w:val="7"/>
        </w:rPr>
        <w:t>社会安全事件。</w:t>
      </w:r>
    </w:p>
    <w:p>
      <w:pPr>
        <w:pStyle w:val="BodyText"/>
        <w:ind w:left="15" w:right="265" w:firstLine="441"/>
        <w:spacing w:before="155" w:line="351" w:lineRule="auto"/>
        <w:rPr/>
      </w:pPr>
      <w:r>
        <w:rPr>
          <w:rFonts w:ascii="Times New Roman" w:hAnsi="Times New Roman" w:eastAsia="Times New Roman" w:cs="Times New Roman"/>
          <w:spacing w:val="8"/>
        </w:rPr>
        <w:t>1.2  </w:t>
      </w:r>
      <w:r>
        <w:rPr>
          <w:rFonts w:ascii="KaiTi" w:hAnsi="KaiTi" w:eastAsia="KaiTi" w:cs="KaiTi"/>
          <w:spacing w:val="8"/>
        </w:rPr>
        <w:t>工作原则。</w:t>
      </w:r>
      <w:r>
        <w:rPr>
          <w:spacing w:val="8"/>
        </w:rPr>
        <w:t>坚持以人民为中心思想</w:t>
      </w:r>
      <w:r>
        <w:rPr>
          <w:spacing w:val="-52"/>
        </w:rPr>
        <w:t xml:space="preserve"> </w:t>
      </w:r>
      <w:r>
        <w:rPr>
          <w:spacing w:val="8"/>
        </w:rPr>
        <w:t>，</w:t>
      </w:r>
      <w:r>
        <w:rPr>
          <w:spacing w:val="30"/>
        </w:rPr>
        <w:t>把保障人民群众生命财产安全作为首要任</w:t>
      </w:r>
      <w:r>
        <w:rPr>
          <w:spacing w:val="13"/>
        </w:rPr>
        <w:t>务</w:t>
      </w:r>
      <w:r>
        <w:rPr>
          <w:spacing w:val="-51"/>
        </w:rPr>
        <w:t xml:space="preserve"> </w:t>
      </w:r>
      <w:r>
        <w:rPr>
          <w:spacing w:val="13"/>
        </w:rPr>
        <w:t>；坚持统一领导、军地联动</w:t>
      </w:r>
      <w:r>
        <w:rPr>
          <w:spacing w:val="-54"/>
        </w:rPr>
        <w:t xml:space="preserve"> </w:t>
      </w:r>
      <w:r>
        <w:rPr>
          <w:spacing w:val="13"/>
        </w:rPr>
        <w:t>，建立健全统</w:t>
      </w:r>
      <w:r>
        <w:rPr>
          <w:spacing w:val="18"/>
        </w:rPr>
        <w:t>一指挥、专常兼备、反应灵敏、上下联动、</w:t>
      </w:r>
      <w:r>
        <w:rPr>
          <w:spacing w:val="16"/>
        </w:rPr>
        <w:t>平战结合的应急管理体制</w:t>
      </w:r>
      <w:r>
        <w:rPr>
          <w:spacing w:val="-48"/>
        </w:rPr>
        <w:t xml:space="preserve"> </w:t>
      </w:r>
      <w:r>
        <w:rPr>
          <w:spacing w:val="16"/>
        </w:rPr>
        <w:t>；坚持分级负责、</w:t>
      </w:r>
      <w:r>
        <w:rPr>
          <w:spacing w:val="13"/>
        </w:rPr>
        <w:t>属地为主</w:t>
      </w:r>
      <w:r>
        <w:rPr>
          <w:spacing w:val="-51"/>
        </w:rPr>
        <w:t xml:space="preserve"> </w:t>
      </w:r>
      <w:r>
        <w:rPr>
          <w:spacing w:val="13"/>
        </w:rPr>
        <w:t>，按照事件等级</w:t>
      </w:r>
      <w:r>
        <w:rPr>
          <w:spacing w:val="-54"/>
        </w:rPr>
        <w:t xml:space="preserve"> </w:t>
      </w:r>
      <w:r>
        <w:rPr>
          <w:spacing w:val="13"/>
        </w:rPr>
        <w:t>，事发地政府全面</w:t>
      </w:r>
      <w:r>
        <w:rPr>
          <w:spacing w:val="15"/>
        </w:rPr>
        <w:t>负责应对处置工作</w:t>
      </w:r>
      <w:r>
        <w:rPr>
          <w:spacing w:val="-43"/>
        </w:rPr>
        <w:t xml:space="preserve"> </w:t>
      </w:r>
      <w:r>
        <w:rPr>
          <w:spacing w:val="15"/>
        </w:rPr>
        <w:t>；坚持政府主导、社会参</w:t>
      </w:r>
      <w:r>
        <w:rPr>
          <w:spacing w:val="15"/>
        </w:rPr>
        <w:t>与</w:t>
      </w:r>
      <w:r>
        <w:rPr>
          <w:spacing w:val="-43"/>
        </w:rPr>
        <w:t xml:space="preserve"> </w:t>
      </w:r>
      <w:r>
        <w:rPr>
          <w:spacing w:val="15"/>
        </w:rPr>
        <w:t>，形成政府与社会力量、市场机制的协调</w:t>
      </w:r>
      <w:r>
        <w:rPr>
          <w:spacing w:val="8"/>
        </w:rPr>
        <w:t>配合</w:t>
      </w:r>
      <w:r>
        <w:rPr>
          <w:spacing w:val="-53"/>
        </w:rPr>
        <w:t xml:space="preserve"> </w:t>
      </w:r>
      <w:r>
        <w:rPr>
          <w:spacing w:val="8"/>
        </w:rPr>
        <w:t>；坚持资源共享、快速反应、高效处置，</w:t>
      </w:r>
      <w:r>
        <w:rPr>
          <w:spacing w:val="18"/>
        </w:rPr>
        <w:t>构建反应灵敏、高效专业的应急救援力量体</w:t>
      </w:r>
      <w:r>
        <w:rPr>
          <w:spacing w:val="9"/>
        </w:rPr>
        <w:t>系</w:t>
      </w:r>
      <w:r>
        <w:rPr>
          <w:spacing w:val="-58"/>
        </w:rPr>
        <w:t xml:space="preserve"> </w:t>
      </w:r>
      <w:r>
        <w:rPr>
          <w:spacing w:val="9"/>
        </w:rPr>
        <w:t>，快速处置各类突发事件。</w:t>
      </w:r>
    </w:p>
    <w:p>
      <w:pPr>
        <w:ind w:left="457"/>
        <w:spacing w:before="149" w:line="210" w:lineRule="auto"/>
        <w:rPr>
          <w:rFonts w:ascii="KaiTi" w:hAnsi="KaiTi" w:eastAsia="KaiTi" w:cs="KaiTi"/>
          <w:sz w:val="20"/>
          <w:szCs w:val="20"/>
        </w:rPr>
      </w:pPr>
      <w:r>
        <w:rPr>
          <w:rFonts w:ascii="Times New Roman" w:hAnsi="Times New Roman" w:eastAsia="Times New Roman" w:cs="Times New Roman"/>
          <w:sz w:val="20"/>
          <w:szCs w:val="20"/>
          <w:spacing w:val="1"/>
        </w:rPr>
        <w:t>1.3</w:t>
      </w:r>
      <w:r>
        <w:rPr>
          <w:rFonts w:ascii="Times New Roman" w:hAnsi="Times New Roman" w:eastAsia="Times New Roman" w:cs="Times New Roman"/>
          <w:sz w:val="20"/>
          <w:szCs w:val="20"/>
          <w:spacing w:val="10"/>
        </w:rPr>
        <w:t xml:space="preserve">  </w:t>
      </w:r>
      <w:r>
        <w:rPr>
          <w:rFonts w:ascii="KaiTi" w:hAnsi="KaiTi" w:eastAsia="KaiTi" w:cs="KaiTi"/>
          <w:sz w:val="20"/>
          <w:szCs w:val="20"/>
          <w:spacing w:val="1"/>
        </w:rPr>
        <w:t>事件分类。</w:t>
      </w:r>
    </w:p>
    <w:p>
      <w:pPr>
        <w:spacing w:line="14" w:lineRule="auto"/>
        <w:rPr>
          <w:rFonts w:ascii="Arial"/>
          <w:sz w:val="2"/>
        </w:rPr>
      </w:pPr>
      <w:r>
        <w:rPr>
          <w:rFonts w:ascii="Arial" w:hAnsi="Arial" w:eastAsia="Arial" w:cs="Arial"/>
          <w:sz w:val="2"/>
          <w:szCs w:val="2"/>
        </w:rPr>
        <w:br w:type="column"/>
      </w:r>
    </w:p>
    <w:p>
      <w:pPr>
        <w:pStyle w:val="BodyText"/>
        <w:ind w:right="80" w:firstLine="414"/>
        <w:spacing w:before="55" w:line="317" w:lineRule="auto"/>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）自然灾害：主要包括水旱灾害</w:t>
      </w:r>
      <w:r>
        <w:rPr>
          <w:spacing w:val="-59"/>
        </w:rPr>
        <w:t xml:space="preserve"> </w:t>
      </w:r>
      <w:r>
        <w:rPr>
          <w:spacing w:val="5"/>
        </w:rPr>
        <w:t>，气</w:t>
      </w:r>
      <w:r>
        <w:rPr>
          <w:spacing w:val="7"/>
        </w:rPr>
        <w:t>象灾害，地震灾害，地质灾害，生物灾害和森</w:t>
      </w:r>
      <w:r>
        <w:rPr>
          <w:spacing w:val="8"/>
        </w:rPr>
        <w:t>林草原火灾等。</w:t>
      </w:r>
    </w:p>
    <w:p>
      <w:pPr>
        <w:pStyle w:val="BodyText"/>
        <w:ind w:left="1" w:right="80" w:firstLine="413"/>
        <w:spacing w:before="151" w:line="329"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）事故灾难：主要包括工矿商贸等企</w:t>
      </w:r>
      <w:r>
        <w:rPr>
          <w:spacing w:val="7"/>
        </w:rPr>
        <w:t>业的各类安全事故，交通运输事故，公共设施</w:t>
      </w:r>
      <w:r>
        <w:rPr>
          <w:spacing w:val="7"/>
        </w:rPr>
        <w:t>和设备事故，核与辐射事故，环境污染和生态</w:t>
      </w:r>
      <w:r>
        <w:rPr>
          <w:spacing w:val="7"/>
        </w:rPr>
        <w:t>破坏事件等。</w:t>
      </w:r>
    </w:p>
    <w:p>
      <w:pPr>
        <w:pStyle w:val="BodyText"/>
        <w:ind w:right="80" w:firstLine="414"/>
        <w:spacing w:before="148" w:line="329"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）公共卫生事件：主要包括传染病疫</w:t>
      </w:r>
      <w:r>
        <w:rPr>
          <w:spacing w:val="7"/>
        </w:rPr>
        <w:t>情，群体性不明原因疾病，食品和药品安全事</w:t>
      </w:r>
      <w:r>
        <w:rPr>
          <w:spacing w:val="7"/>
        </w:rPr>
        <w:t>件，动物疫情以及其他严重影响公众健康和生</w:t>
      </w:r>
      <w:r>
        <w:rPr>
          <w:spacing w:val="8"/>
        </w:rPr>
        <w:t>命安全的事件。</w:t>
      </w:r>
    </w:p>
    <w:p>
      <w:pPr>
        <w:pStyle w:val="BodyText"/>
        <w:ind w:left="2" w:firstLine="412"/>
        <w:spacing w:before="149" w:line="330"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）社会安全事件：主要包括恐怖袭击</w:t>
      </w:r>
      <w:r>
        <w:rPr>
          <w:spacing w:val="1"/>
        </w:rPr>
        <w:t>事件，群体性事件，网络与信息安全事件，水、</w:t>
      </w:r>
      <w:r>
        <w:rPr>
          <w:spacing w:val="7"/>
        </w:rPr>
        <w:t>电、气供应中断突发事件，金融突发事件，涉</w:t>
      </w:r>
      <w:r>
        <w:rPr>
          <w:spacing w:val="1"/>
        </w:rPr>
        <w:t>外突发事件，民族宗教事件，舆情突发事件等。</w:t>
      </w:r>
    </w:p>
    <w:p>
      <w:pPr>
        <w:pStyle w:val="BodyText"/>
        <w:ind w:left="2" w:right="16" w:firstLine="441"/>
        <w:spacing w:before="149" w:line="361" w:lineRule="auto"/>
        <w:jc w:val="both"/>
        <w:rPr/>
      </w:pPr>
      <w:r>
        <w:rPr>
          <w:rFonts w:ascii="Times New Roman" w:hAnsi="Times New Roman" w:eastAsia="Times New Roman" w:cs="Times New Roman"/>
          <w:spacing w:val="7"/>
        </w:rPr>
        <w:t>1.4  </w:t>
      </w:r>
      <w:r>
        <w:rPr>
          <w:rFonts w:ascii="KaiTi" w:hAnsi="KaiTi" w:eastAsia="KaiTi" w:cs="KaiTi"/>
          <w:spacing w:val="7"/>
        </w:rPr>
        <w:t>分级应对与相应分级。</w:t>
      </w:r>
      <w:r>
        <w:rPr>
          <w:spacing w:val="7"/>
        </w:rPr>
        <w:t>各类突发事件</w:t>
      </w:r>
      <w:r>
        <w:rPr>
          <w:spacing w:val="18"/>
        </w:rPr>
        <w:t>按照其性质、造成损失、危害程度、可控性</w:t>
      </w:r>
      <w:r>
        <w:rPr>
          <w:spacing w:val="15"/>
        </w:rPr>
        <w:t>和影响范围等因素</w:t>
      </w:r>
      <w:r>
        <w:rPr>
          <w:spacing w:val="-43"/>
        </w:rPr>
        <w:t xml:space="preserve"> </w:t>
      </w:r>
      <w:r>
        <w:rPr>
          <w:spacing w:val="15"/>
        </w:rPr>
        <w:t>，一般分为四级：特别重</w:t>
      </w:r>
      <w:r>
        <w:rPr>
          <w:spacing w:val="4"/>
        </w:rPr>
        <w:t>大事件 (</w:t>
      </w:r>
      <w:r>
        <w:rPr>
          <w:spacing w:val="-19"/>
        </w:rPr>
        <w:t xml:space="preserve"> </w:t>
      </w:r>
      <w:r>
        <w:rPr>
          <w:rFonts w:ascii="Times New Roman" w:hAnsi="Times New Roman" w:eastAsia="Times New Roman" w:cs="Times New Roman"/>
          <w:spacing w:val="4"/>
        </w:rPr>
        <w:t>Ⅰ</w:t>
      </w:r>
      <w:r>
        <w:rPr>
          <w:spacing w:val="4"/>
        </w:rPr>
        <w:t>级）</w:t>
      </w:r>
      <w:r>
        <w:rPr>
          <w:spacing w:val="-49"/>
        </w:rPr>
        <w:t xml:space="preserve"> </w:t>
      </w:r>
      <w:r>
        <w:rPr>
          <w:spacing w:val="4"/>
        </w:rPr>
        <w:t>、重大事件 (</w:t>
      </w:r>
      <w:r>
        <w:rPr>
          <w:spacing w:val="-26"/>
        </w:rPr>
        <w:t xml:space="preserve"> </w:t>
      </w:r>
      <w:r>
        <w:rPr>
          <w:rFonts w:ascii="Times New Roman" w:hAnsi="Times New Roman" w:eastAsia="Times New Roman" w:cs="Times New Roman"/>
          <w:spacing w:val="4"/>
        </w:rPr>
        <w:t>Ⅱ</w:t>
      </w:r>
      <w:r>
        <w:rPr>
          <w:spacing w:val="4"/>
        </w:rPr>
        <w:t>级）</w:t>
      </w:r>
      <w:r>
        <w:rPr>
          <w:spacing w:val="-47"/>
        </w:rPr>
        <w:t xml:space="preserve"> </w:t>
      </w:r>
      <w:r>
        <w:rPr>
          <w:spacing w:val="4"/>
        </w:rPr>
        <w:t>、较大事</w:t>
      </w:r>
      <w:r>
        <w:rPr>
          <w:spacing w:val="4"/>
        </w:rPr>
        <w:t>件(</w:t>
      </w:r>
      <w:r>
        <w:rPr>
          <w:spacing w:val="-18"/>
        </w:rPr>
        <w:t xml:space="preserve"> </w:t>
      </w:r>
      <w:r>
        <w:rPr>
          <w:rFonts w:ascii="Times New Roman" w:hAnsi="Times New Roman" w:eastAsia="Times New Roman" w:cs="Times New Roman"/>
          <w:spacing w:val="4"/>
        </w:rPr>
        <w:t>Ⅲ</w:t>
      </w:r>
      <w:r>
        <w:rPr>
          <w:spacing w:val="4"/>
        </w:rPr>
        <w:t>级）、一般事件(</w:t>
      </w:r>
      <w:r>
        <w:rPr>
          <w:spacing w:val="-33"/>
        </w:rPr>
        <w:t xml:space="preserve"> </w:t>
      </w:r>
      <w:r>
        <w:rPr>
          <w:rFonts w:ascii="Times New Roman" w:hAnsi="Times New Roman" w:eastAsia="Times New Roman" w:cs="Times New Roman"/>
          <w:spacing w:val="4"/>
        </w:rPr>
        <w:t>Ⅳ</w:t>
      </w:r>
      <w:r>
        <w:rPr>
          <w:spacing w:val="4"/>
        </w:rPr>
        <w:t>级）</w:t>
      </w:r>
      <w:r>
        <w:rPr>
          <w:rFonts w:ascii="Times New Roman" w:hAnsi="Times New Roman" w:eastAsia="Times New Roman" w:cs="Times New Roman"/>
          <w:spacing w:val="4"/>
        </w:rPr>
        <w:t>,I </w:t>
      </w:r>
      <w:r>
        <w:rPr>
          <w:spacing w:val="4"/>
        </w:rPr>
        <w:t>级为最高级，</w:t>
      </w:r>
      <w:r>
        <w:rPr>
          <w:spacing w:val="17"/>
        </w:rPr>
        <w:t>依次用红色、橙色、黄色和蓝色表示。突发</w:t>
      </w:r>
      <w:r>
        <w:rPr>
          <w:spacing w:val="18"/>
        </w:rPr>
        <w:t>事件的分级标准由国务院或者国务院确定的</w:t>
      </w:r>
      <w:r>
        <w:rPr>
          <w:spacing w:val="9"/>
        </w:rPr>
        <w:t>部门制定。</w:t>
      </w:r>
    </w:p>
    <w:p>
      <w:pPr>
        <w:pStyle w:val="BodyText"/>
        <w:ind w:left="3" w:right="78" w:firstLine="422"/>
        <w:spacing w:before="22" w:line="360" w:lineRule="auto"/>
        <w:jc w:val="both"/>
        <w:rPr/>
      </w:pPr>
      <w:r>
        <w:rPr>
          <w:spacing w:val="8"/>
        </w:rPr>
        <w:t>红色等级 (</w:t>
      </w:r>
      <w:r>
        <w:rPr>
          <w:spacing w:val="-33"/>
        </w:rPr>
        <w:t xml:space="preserve"> </w:t>
      </w:r>
      <w:r>
        <w:rPr>
          <w:rFonts w:ascii="Times New Roman" w:hAnsi="Times New Roman" w:eastAsia="Times New Roman" w:cs="Times New Roman"/>
          <w:spacing w:val="8"/>
        </w:rPr>
        <w:t>Ⅰ</w:t>
      </w:r>
      <w:r>
        <w:rPr>
          <w:spacing w:val="8"/>
        </w:rPr>
        <w:t>级</w:t>
      </w:r>
      <w:r>
        <w:rPr>
          <w:spacing w:val="-4"/>
        </w:rPr>
        <w:t>）</w:t>
      </w:r>
      <w:r>
        <w:rPr>
          <w:spacing w:val="-38"/>
        </w:rPr>
        <w:t xml:space="preserve"> </w:t>
      </w:r>
      <w:r>
        <w:rPr>
          <w:spacing w:val="-4"/>
        </w:rPr>
        <w:t>：</w:t>
      </w:r>
      <w:r>
        <w:rPr>
          <w:spacing w:val="8"/>
        </w:rPr>
        <w:t>预计将要发生特别重</w:t>
      </w:r>
      <w:r>
        <w:rPr>
          <w:spacing w:val="7"/>
        </w:rPr>
        <w:t>大突发事件，事件会随时发生，事态正在不断</w:t>
      </w:r>
      <w:r>
        <w:rPr>
          <w:spacing w:val="4"/>
        </w:rPr>
        <w:t>蔓延。</w:t>
      </w:r>
    </w:p>
    <w:p>
      <w:pPr>
        <w:pStyle w:val="BodyText"/>
        <w:ind w:left="3" w:right="80" w:firstLine="425"/>
        <w:spacing w:before="14" w:line="312" w:lineRule="auto"/>
        <w:jc w:val="both"/>
        <w:rPr/>
      </w:pPr>
      <w:r>
        <w:rPr>
          <w:spacing w:val="8"/>
        </w:rPr>
        <w:t>橙色等级</w:t>
      </w:r>
      <w:r>
        <w:rPr>
          <w:spacing w:val="-16"/>
        </w:rPr>
        <w:t xml:space="preserve"> </w:t>
      </w:r>
      <w:r>
        <w:rPr>
          <w:spacing w:val="8"/>
        </w:rPr>
        <w:t>(</w:t>
      </w:r>
      <w:r>
        <w:rPr>
          <w:spacing w:val="-34"/>
        </w:rPr>
        <w:t xml:space="preserve"> </w:t>
      </w:r>
      <w:r>
        <w:rPr>
          <w:rFonts w:ascii="Times New Roman" w:hAnsi="Times New Roman" w:eastAsia="Times New Roman" w:cs="Times New Roman"/>
          <w:spacing w:val="8"/>
        </w:rPr>
        <w:t>Ⅱ</w:t>
      </w:r>
      <w:r>
        <w:rPr>
          <w:spacing w:val="8"/>
        </w:rPr>
        <w:t>级</w:t>
      </w:r>
      <w:r>
        <w:rPr>
          <w:spacing w:val="5"/>
        </w:rPr>
        <w:t>）：</w:t>
      </w:r>
      <w:r>
        <w:rPr>
          <w:spacing w:val="8"/>
        </w:rPr>
        <w:t>预计将要发生重大以</w:t>
      </w:r>
      <w:r>
        <w:rPr>
          <w:spacing w:val="13"/>
        </w:rPr>
        <w:t>上突发事件</w:t>
      </w:r>
      <w:r>
        <w:rPr>
          <w:spacing w:val="-52"/>
        </w:rPr>
        <w:t xml:space="preserve"> </w:t>
      </w:r>
      <w:r>
        <w:rPr>
          <w:spacing w:val="13"/>
        </w:rPr>
        <w:t>，事件即将发生</w:t>
      </w:r>
      <w:r>
        <w:rPr>
          <w:spacing w:val="-54"/>
        </w:rPr>
        <w:t xml:space="preserve"> </w:t>
      </w:r>
      <w:r>
        <w:rPr>
          <w:spacing w:val="13"/>
        </w:rPr>
        <w:t>，事态正在逐步</w:t>
      </w:r>
      <w:r>
        <w:rPr>
          <w:spacing w:val="5"/>
        </w:rPr>
        <w:t>扩大。</w:t>
      </w:r>
    </w:p>
    <w:p>
      <w:pPr>
        <w:spacing w:line="312" w:lineRule="auto"/>
        <w:sectPr>
          <w:type w:val="continuous"/>
          <w:pgSz w:w="11906" w:h="16839"/>
          <w:pgMar w:top="1766" w:right="1509" w:bottom="1563" w:left="1576" w:header="1428" w:footer="1172" w:gutter="0"/>
          <w:cols w:equalWidth="0" w:num="2">
            <w:col w:w="4491" w:space="100"/>
            <w:col w:w="4230" w:space="0"/>
          </w:cols>
        </w:sectPr>
        <w:rPr/>
      </w:pPr>
    </w:p>
    <w:p>
      <w:pPr>
        <w:spacing w:before="65"/>
        <w:rPr/>
      </w:pPr>
      <w:r>
        <w:drawing>
          <wp:anchor distT="0" distB="0" distL="0" distR="0" simplePos="0" relativeHeight="252073984" behindDoc="0" locked="0" layoutInCell="0" allowOverlap="1">
            <wp:simplePos x="0" y="0"/>
            <wp:positionH relativeFrom="page">
              <wp:posOffset>1008380</wp:posOffset>
            </wp:positionH>
            <wp:positionV relativeFrom="page">
              <wp:posOffset>1122680</wp:posOffset>
            </wp:positionV>
            <wp:extent cx="5579745" cy="7619"/>
            <wp:effectExtent l="0" t="0" r="0" b="0"/>
            <wp:wrapNone/>
            <wp:docPr id="1160" name="IM 1160"/>
            <wp:cNvGraphicFramePr/>
            <a:graphic>
              <a:graphicData uri="http://schemas.openxmlformats.org/drawingml/2006/picture">
                <pic:pic>
                  <pic:nvPicPr>
                    <pic:cNvPr id="1160" name="IM 1160"/>
                    <pic:cNvPicPr/>
                  </pic:nvPicPr>
                  <pic:blipFill>
                    <a:blip r:embed="rId582"/>
                    <a:stretch>
                      <a:fillRect/>
                    </a:stretch>
                  </pic:blipFill>
                  <pic:spPr>
                    <a:xfrm rot="0">
                      <a:off x="0" y="0"/>
                      <a:ext cx="5579745" cy="7619"/>
                    </a:xfrm>
                    <a:prstGeom prst="rect">
                      <a:avLst/>
                    </a:prstGeom>
                  </pic:spPr>
                </pic:pic>
              </a:graphicData>
            </a:graphic>
          </wp:anchor>
        </w:drawing>
      </w:r>
      <w:r/>
    </w:p>
    <w:p>
      <w:pPr>
        <w:sectPr>
          <w:headerReference w:type="default" r:id="rId536"/>
          <w:footerReference w:type="default" r:id="rId581"/>
          <w:pgSz w:w="11906" w:h="16839"/>
          <w:pgMar w:top="1769" w:right="1489" w:bottom="1570" w:left="1588" w:header="1428" w:footer="1172" w:gutter="0"/>
          <w:cols w:equalWidth="0" w:num="1">
            <w:col w:w="8829" w:space="0"/>
          </w:cols>
        </w:sectPr>
        <w:rPr/>
      </w:pPr>
    </w:p>
    <w:p>
      <w:pPr>
        <w:pStyle w:val="BodyText"/>
        <w:ind w:left="5" w:right="246" w:firstLine="422"/>
        <w:spacing w:before="48" w:line="352" w:lineRule="auto"/>
        <w:rPr/>
      </w:pPr>
      <w:r>
        <w:rPr>
          <w:spacing w:val="5"/>
        </w:rPr>
        <w:t>黄色等级</w:t>
      </w:r>
      <w:r>
        <w:rPr>
          <w:spacing w:val="-19"/>
        </w:rPr>
        <w:t xml:space="preserve"> </w:t>
      </w:r>
      <w:r>
        <w:rPr>
          <w:spacing w:val="5"/>
        </w:rPr>
        <w:t>(</w:t>
      </w:r>
      <w:r>
        <w:rPr>
          <w:spacing w:val="-35"/>
        </w:rPr>
        <w:t xml:space="preserve"> </w:t>
      </w:r>
      <w:r>
        <w:rPr>
          <w:rFonts w:ascii="Times New Roman" w:hAnsi="Times New Roman" w:eastAsia="Times New Roman" w:cs="Times New Roman"/>
          <w:spacing w:val="5"/>
        </w:rPr>
        <w:t>Ⅲ</w:t>
      </w:r>
      <w:r>
        <w:rPr>
          <w:spacing w:val="5"/>
        </w:rPr>
        <w:t>级</w:t>
      </w:r>
      <w:r>
        <w:rPr>
          <w:spacing w:val="4"/>
        </w:rPr>
        <w:t>）：</w:t>
      </w:r>
      <w:r>
        <w:rPr>
          <w:spacing w:val="5"/>
        </w:rPr>
        <w:t>预计将要发生较大以</w:t>
      </w:r>
      <w:r>
        <w:rPr>
          <w:spacing w:val="-8"/>
        </w:rPr>
        <w:t>上突发事件，事件已经临近，事态有扩大的趋势。</w:t>
      </w:r>
    </w:p>
    <w:p>
      <w:pPr>
        <w:pStyle w:val="BodyText"/>
        <w:ind w:left="5" w:right="308" w:firstLine="420"/>
        <w:spacing w:before="41" w:line="356" w:lineRule="auto"/>
        <w:rPr/>
      </w:pPr>
      <w:r>
        <w:rPr>
          <w:spacing w:val="5"/>
        </w:rPr>
        <w:t>蓝色等级</w:t>
      </w:r>
      <w:r>
        <w:rPr>
          <w:spacing w:val="-23"/>
        </w:rPr>
        <w:t xml:space="preserve"> </w:t>
      </w:r>
      <w:r>
        <w:rPr>
          <w:spacing w:val="5"/>
        </w:rPr>
        <w:t>(</w:t>
      </w:r>
      <w:r>
        <w:rPr>
          <w:spacing w:val="-38"/>
        </w:rPr>
        <w:t xml:space="preserve"> </w:t>
      </w:r>
      <w:r>
        <w:rPr>
          <w:rFonts w:ascii="Times New Roman" w:hAnsi="Times New Roman" w:eastAsia="Times New Roman" w:cs="Times New Roman"/>
          <w:spacing w:val="5"/>
        </w:rPr>
        <w:t>Ⅳ</w:t>
      </w:r>
      <w:r>
        <w:rPr>
          <w:spacing w:val="5"/>
        </w:rPr>
        <w:t>级</w:t>
      </w:r>
      <w:r>
        <w:rPr>
          <w:spacing w:val="-2"/>
        </w:rPr>
        <w:t>）：</w:t>
      </w:r>
      <w:r>
        <w:rPr>
          <w:spacing w:val="5"/>
        </w:rPr>
        <w:t>预计将要发生一般以</w:t>
      </w:r>
      <w:r>
        <w:rPr>
          <w:spacing w:val="8"/>
        </w:rPr>
        <w:t>上突发事件，事件即将临近，事态可能扩大。</w:t>
      </w:r>
    </w:p>
    <w:p>
      <w:pPr>
        <w:pStyle w:val="BodyText"/>
        <w:ind w:left="3" w:right="261" w:firstLine="423"/>
        <w:spacing w:before="37" w:line="369" w:lineRule="auto"/>
        <w:rPr/>
      </w:pPr>
      <w:r>
        <w:rPr>
          <w:spacing w:val="7"/>
        </w:rPr>
        <w:t>特别重大突发事件 (</w:t>
      </w:r>
      <w:r>
        <w:rPr>
          <w:spacing w:val="-24"/>
        </w:rPr>
        <w:t xml:space="preserve"> </w:t>
      </w:r>
      <w:r>
        <w:rPr>
          <w:rFonts w:ascii="Times New Roman" w:hAnsi="Times New Roman" w:eastAsia="Times New Roman" w:cs="Times New Roman"/>
          <w:spacing w:val="7"/>
        </w:rPr>
        <w:t>Ⅰ</w:t>
      </w:r>
      <w:r>
        <w:rPr>
          <w:spacing w:val="7"/>
        </w:rPr>
        <w:t>级）</w:t>
      </w:r>
      <w:r>
        <w:rPr>
          <w:spacing w:val="-54"/>
        </w:rPr>
        <w:t xml:space="preserve"> </w:t>
      </w:r>
      <w:r>
        <w:rPr>
          <w:spacing w:val="7"/>
        </w:rPr>
        <w:t>、重大突发事</w:t>
      </w:r>
      <w:r>
        <w:rPr>
          <w:spacing w:val="9"/>
        </w:rPr>
        <w:t>件(</w:t>
      </w:r>
      <w:r>
        <w:rPr>
          <w:rFonts w:ascii="Times New Roman" w:hAnsi="Times New Roman" w:eastAsia="Times New Roman" w:cs="Times New Roman"/>
          <w:spacing w:val="9"/>
        </w:rPr>
        <w:t>Ⅱ</w:t>
      </w:r>
      <w:r>
        <w:rPr>
          <w:spacing w:val="9"/>
        </w:rPr>
        <w:t>级</w:t>
      </w:r>
      <w:r>
        <w:rPr>
          <w:spacing w:val="6"/>
        </w:rPr>
        <w:t>）：</w:t>
      </w:r>
      <w:r>
        <w:rPr>
          <w:spacing w:val="9"/>
        </w:rPr>
        <w:t>由自治区人民政府启动应急响应，</w:t>
      </w:r>
      <w:r>
        <w:rPr>
          <w:spacing w:val="4"/>
        </w:rPr>
        <w:t>组织调动市、县（</w:t>
      </w:r>
      <w:r>
        <w:rPr>
          <w:spacing w:val="-34"/>
        </w:rPr>
        <w:t xml:space="preserve"> </w:t>
      </w:r>
      <w:r>
        <w:rPr>
          <w:spacing w:val="4"/>
        </w:rPr>
        <w:t>区）综合、专业应急救援队</w:t>
      </w:r>
      <w:r>
        <w:rPr>
          <w:spacing w:val="7"/>
        </w:rPr>
        <w:t>伍和资源进行先期处置。并上报国务院，必要</w:t>
      </w:r>
      <w:r>
        <w:rPr>
          <w:spacing w:val="8"/>
        </w:rPr>
        <w:t>时由国务院负责应对。</w:t>
      </w:r>
    </w:p>
    <w:p>
      <w:pPr>
        <w:pStyle w:val="BodyText"/>
        <w:ind w:left="3" w:right="326" w:firstLine="422"/>
        <w:spacing w:before="34" w:line="373" w:lineRule="auto"/>
        <w:jc w:val="both"/>
        <w:rPr/>
      </w:pPr>
      <w:r>
        <w:rPr>
          <w:spacing w:val="4"/>
        </w:rPr>
        <w:t>较大突发事件</w:t>
      </w:r>
      <w:r>
        <w:rPr>
          <w:spacing w:val="-16"/>
        </w:rPr>
        <w:t xml:space="preserve"> </w:t>
      </w:r>
      <w:r>
        <w:rPr>
          <w:spacing w:val="4"/>
        </w:rPr>
        <w:t>(</w:t>
      </w:r>
      <w:r>
        <w:rPr>
          <w:spacing w:val="-38"/>
        </w:rPr>
        <w:t xml:space="preserve"> </w:t>
      </w:r>
      <w:r>
        <w:rPr>
          <w:rFonts w:ascii="Times New Roman" w:hAnsi="Times New Roman" w:eastAsia="Times New Roman" w:cs="Times New Roman"/>
          <w:spacing w:val="4"/>
        </w:rPr>
        <w:t>Ⅲ</w:t>
      </w:r>
      <w:r>
        <w:rPr>
          <w:spacing w:val="4"/>
        </w:rPr>
        <w:t>级</w:t>
      </w:r>
      <w:r>
        <w:rPr>
          <w:spacing w:val="12"/>
        </w:rPr>
        <w:t>）：</w:t>
      </w:r>
      <w:r>
        <w:rPr>
          <w:spacing w:val="4"/>
        </w:rPr>
        <w:t>由市人民政府启</w:t>
      </w:r>
      <w:r>
        <w:rPr>
          <w:spacing w:val="7"/>
        </w:rPr>
        <w:t>动应急响应，进行应对处置。初判可能发生特</w:t>
      </w:r>
      <w:r>
        <w:rPr>
          <w:spacing w:val="7"/>
        </w:rPr>
        <w:t>别重大和重大突发事件时，请求由自治区人民</w:t>
      </w:r>
      <w:r>
        <w:rPr>
          <w:spacing w:val="7"/>
        </w:rPr>
        <w:t>政府负责应对。</w:t>
      </w:r>
    </w:p>
    <w:p>
      <w:pPr>
        <w:pStyle w:val="BodyText"/>
        <w:ind w:left="5" w:right="218" w:firstLine="420"/>
        <w:spacing w:before="8" w:line="356" w:lineRule="auto"/>
        <w:rPr/>
      </w:pPr>
      <w:r>
        <w:rPr>
          <w:spacing w:val="6"/>
        </w:rPr>
        <w:t>一般突发事件(</w:t>
      </w:r>
      <w:r>
        <w:rPr>
          <w:rFonts w:ascii="Times New Roman" w:hAnsi="Times New Roman" w:eastAsia="Times New Roman" w:cs="Times New Roman"/>
          <w:spacing w:val="6"/>
        </w:rPr>
        <w:t>Ⅳ</w:t>
      </w:r>
      <w:r>
        <w:rPr>
          <w:spacing w:val="6"/>
        </w:rPr>
        <w:t>级</w:t>
      </w:r>
      <w:r>
        <w:rPr>
          <w:spacing w:val="-13"/>
        </w:rPr>
        <w:t>）：</w:t>
      </w:r>
      <w:r>
        <w:rPr>
          <w:spacing w:val="6"/>
        </w:rPr>
        <w:t>由事发地县（</w:t>
      </w:r>
      <w:r>
        <w:rPr>
          <w:spacing w:val="-53"/>
        </w:rPr>
        <w:t xml:space="preserve"> </w:t>
      </w:r>
      <w:r>
        <w:rPr>
          <w:spacing w:val="6"/>
        </w:rPr>
        <w:t>区）</w:t>
      </w:r>
      <w:r>
        <w:rPr>
          <w:spacing w:val="9"/>
        </w:rPr>
        <w:t>政府启动应急响应，进行应对处置。</w:t>
      </w:r>
    </w:p>
    <w:p>
      <w:pPr>
        <w:pStyle w:val="BodyText"/>
        <w:ind w:left="3" w:right="264" w:firstLine="437"/>
        <w:spacing w:before="45" w:line="374" w:lineRule="auto"/>
        <w:jc w:val="both"/>
        <w:rPr/>
      </w:pPr>
      <w:r>
        <w:rPr>
          <w:spacing w:val="6"/>
        </w:rPr>
        <w:t>当突发事件超出应对能力时，请求市人民</w:t>
      </w:r>
      <w:r>
        <w:rPr>
          <w:spacing w:val="18"/>
        </w:rPr>
        <w:t>政府提供支援或者负责应对。突发事件发生</w:t>
      </w:r>
      <w:r>
        <w:rPr>
          <w:spacing w:val="7"/>
        </w:rPr>
        <w:t>后，各级政府及其有关部门、基层组织和单位</w:t>
      </w:r>
      <w:r>
        <w:rPr>
          <w:spacing w:val="7"/>
        </w:rPr>
        <w:t>先期组织调动事发单位、相关应急救援队伍和</w:t>
      </w:r>
      <w:r>
        <w:rPr/>
        <w:t>资源进行协同处置。同时，综合研判事件层级，</w:t>
      </w:r>
      <w:r>
        <w:rPr>
          <w:spacing w:val="18"/>
        </w:rPr>
        <w:t>及时向当地政府报告。对于事件本身比较敏</w:t>
      </w:r>
      <w:r>
        <w:rPr>
          <w:spacing w:val="7"/>
        </w:rPr>
        <w:t>感，或发生在重点地区，或重大活动举办、重</w:t>
      </w:r>
      <w:r>
        <w:rPr>
          <w:spacing w:val="9"/>
        </w:rPr>
        <w:t>要会议召开等期间的，可适当提高响应级别。</w:t>
      </w:r>
    </w:p>
    <w:p>
      <w:pPr>
        <w:pStyle w:val="BodyText"/>
        <w:ind w:left="4" w:right="328" w:firstLine="441"/>
        <w:spacing w:before="6" w:line="371" w:lineRule="auto"/>
        <w:jc w:val="both"/>
        <w:rPr/>
      </w:pPr>
      <w:r>
        <w:rPr>
          <w:rFonts w:ascii="Times New Roman" w:hAnsi="Times New Roman" w:eastAsia="Times New Roman" w:cs="Times New Roman"/>
          <w:spacing w:val="7"/>
        </w:rPr>
        <w:t>1.5  </w:t>
      </w:r>
      <w:r>
        <w:rPr>
          <w:rFonts w:ascii="KaiTi" w:hAnsi="KaiTi" w:eastAsia="KaiTi" w:cs="KaiTi"/>
          <w:spacing w:val="7"/>
        </w:rPr>
        <w:t>应急预案体系。</w:t>
      </w:r>
      <w:r>
        <w:rPr>
          <w:spacing w:val="7"/>
        </w:rPr>
        <w:t>固原市突发事件应急</w:t>
      </w:r>
      <w:r>
        <w:rPr>
          <w:spacing w:val="16"/>
        </w:rPr>
        <w:t>预案架构为：总体应急预案</w:t>
      </w:r>
      <w:r>
        <w:rPr>
          <w:rFonts w:ascii="Times New Roman" w:hAnsi="Times New Roman" w:eastAsia="Times New Roman" w:cs="Times New Roman"/>
          <w:spacing w:val="16"/>
        </w:rPr>
        <w:t>+</w:t>
      </w:r>
      <w:r>
        <w:rPr>
          <w:spacing w:val="16"/>
        </w:rPr>
        <w:t>专项应急预案</w:t>
      </w:r>
      <w:r>
        <w:rPr>
          <w:rFonts w:ascii="Times New Roman" w:hAnsi="Times New Roman" w:eastAsia="Times New Roman" w:cs="Times New Roman"/>
          <w:spacing w:val="16"/>
        </w:rPr>
        <w:t>+</w:t>
      </w:r>
      <w:r>
        <w:rPr>
          <w:spacing w:val="18"/>
        </w:rPr>
        <w:t>重大活动按照突发事件的分类分级启动相应</w:t>
      </w:r>
      <w:r>
        <w:rPr>
          <w:spacing w:val="7"/>
        </w:rPr>
        <w:t>预案进行响应，未制订专项应急预案或重大活</w:t>
      </w:r>
      <w:r>
        <w:rPr>
          <w:spacing w:val="7"/>
        </w:rPr>
        <w:t>动预案的突发事件，参照总体应急预案进行应</w:t>
      </w:r>
      <w:r>
        <w:rPr>
          <w:spacing w:val="6"/>
        </w:rPr>
        <w:t>对处置。</w:t>
      </w:r>
    </w:p>
    <w:p>
      <w:pPr>
        <w:pStyle w:val="BodyText"/>
        <w:ind w:left="7" w:right="321" w:firstLine="437"/>
        <w:spacing w:before="22" w:line="316" w:lineRule="auto"/>
        <w:jc w:val="both"/>
        <w:rPr/>
      </w:pPr>
      <w:r>
        <w:rPr>
          <w:rFonts w:ascii="Times New Roman" w:hAnsi="Times New Roman" w:eastAsia="Times New Roman" w:cs="Times New Roman"/>
          <w:spacing w:val="2"/>
        </w:rPr>
        <w:t>1.5.1</w:t>
      </w:r>
      <w:r>
        <w:rPr>
          <w:rFonts w:ascii="Times New Roman" w:hAnsi="Times New Roman" w:eastAsia="Times New Roman" w:cs="Times New Roman"/>
          <w:spacing w:val="14"/>
          <w:w w:val="101"/>
        </w:rPr>
        <w:t xml:space="preserve"> </w:t>
      </w:r>
      <w:r>
        <w:rPr>
          <w:spacing w:val="2"/>
        </w:rPr>
        <w:t>总体应急预案。总体应急预案是全市</w:t>
      </w:r>
      <w:r>
        <w:rPr>
          <w:spacing w:val="7"/>
        </w:rPr>
        <w:t>预案体系的总纲，由市应急管理局负责编制，</w:t>
      </w:r>
      <w:r>
        <w:rPr>
          <w:spacing w:val="7"/>
        </w:rPr>
        <w:t>经市人民政府常务会议审定公布实施，报自治</w:t>
      </w:r>
    </w:p>
    <w:p>
      <w:pPr>
        <w:spacing w:line="14" w:lineRule="auto"/>
        <w:rPr>
          <w:rFonts w:ascii="Arial"/>
          <w:sz w:val="2"/>
        </w:rPr>
      </w:pPr>
      <w:r>
        <w:rPr>
          <w:rFonts w:ascii="Arial" w:hAnsi="Arial" w:eastAsia="Arial" w:cs="Arial"/>
          <w:sz w:val="2"/>
          <w:szCs w:val="2"/>
        </w:rPr>
        <w:br w:type="column"/>
      </w:r>
    </w:p>
    <w:p>
      <w:pPr>
        <w:pStyle w:val="BodyText"/>
        <w:ind w:left="17"/>
        <w:spacing w:before="55" w:line="221" w:lineRule="auto"/>
        <w:rPr/>
      </w:pPr>
      <w:r>
        <w:rPr>
          <w:spacing w:val="6"/>
        </w:rPr>
        <w:t>区应急管理厅备案。</w:t>
      </w:r>
    </w:p>
    <w:p>
      <w:pPr>
        <w:pStyle w:val="BodyText"/>
        <w:ind w:left="1" w:right="20" w:firstLine="441"/>
        <w:spacing w:before="161" w:line="356" w:lineRule="auto"/>
        <w:rPr/>
      </w:pPr>
      <w:r>
        <w:rPr>
          <w:rFonts w:ascii="Times New Roman" w:hAnsi="Times New Roman" w:eastAsia="Times New Roman" w:cs="Times New Roman"/>
          <w:spacing w:val="2"/>
        </w:rPr>
        <w:t>1.5.2 </w:t>
      </w:r>
      <w:r>
        <w:rPr>
          <w:spacing w:val="2"/>
        </w:rPr>
        <w:t>专项应急预案。专项应急预案是市政</w:t>
      </w:r>
      <w:r>
        <w:rPr>
          <w:spacing w:val="18"/>
        </w:rPr>
        <w:t>府及有关部门为应对某一类型或某几种类型</w:t>
      </w:r>
      <w:r>
        <w:rPr>
          <w:spacing w:val="1"/>
        </w:rPr>
        <w:t>突发事件，或者针对重要目标保护、应急救援、</w:t>
      </w:r>
      <w:r>
        <w:rPr>
          <w:spacing w:val="18"/>
        </w:rPr>
        <w:t>应急资源保障等重要专项工作而预先制订的</w:t>
      </w:r>
      <w:r>
        <w:rPr>
          <w:spacing w:val="7"/>
        </w:rPr>
        <w:t>涉及多个部门（单位）职责的应急预案，由各</w:t>
      </w:r>
      <w:r>
        <w:rPr>
          <w:spacing w:val="7"/>
        </w:rPr>
        <w:t>专项应急指挥部牵头部门（单位）编制，经市</w:t>
      </w:r>
      <w:r>
        <w:rPr>
          <w:spacing w:val="7"/>
        </w:rPr>
        <w:t>人民政府办公室审定公布实施，报上级主管部</w:t>
      </w:r>
      <w:r>
        <w:rPr>
          <w:spacing w:val="8"/>
        </w:rPr>
        <w:t>门和市应急管理局备案。</w:t>
      </w:r>
    </w:p>
    <w:p>
      <w:pPr>
        <w:pStyle w:val="BodyText"/>
        <w:ind w:right="94" w:firstLine="442"/>
        <w:spacing w:before="165" w:line="353" w:lineRule="auto"/>
        <w:rPr/>
      </w:pPr>
      <w:r>
        <w:rPr>
          <w:rFonts w:ascii="Times New Roman" w:hAnsi="Times New Roman" w:eastAsia="Times New Roman" w:cs="Times New Roman"/>
          <w:spacing w:val="2"/>
        </w:rPr>
        <w:t>1.5.3 </w:t>
      </w:r>
      <w:r>
        <w:rPr>
          <w:spacing w:val="2"/>
        </w:rPr>
        <w:t>重大活动应急预案。重大活动应急预</w:t>
      </w:r>
      <w:r>
        <w:rPr>
          <w:spacing w:val="7"/>
        </w:rPr>
        <w:t>案是为保障重大集会、节会、庆典、会展、文</w:t>
      </w:r>
      <w:r>
        <w:rPr>
          <w:spacing w:val="7"/>
        </w:rPr>
        <w:t>化体育等活动顺利进行而制订的应急预案，由</w:t>
      </w:r>
      <w:r>
        <w:rPr>
          <w:spacing w:val="7"/>
        </w:rPr>
        <w:t>主办部门（单位）会同涉及的部门共同制订，</w:t>
      </w:r>
      <w:r>
        <w:rPr>
          <w:spacing w:val="7"/>
        </w:rPr>
        <w:t>报市人民政府审定，抄送市应急管理局。必要</w:t>
      </w:r>
      <w:r>
        <w:rPr>
          <w:spacing w:val="7"/>
        </w:rPr>
        <w:t>时，重大活动预案应分别制订总体应急预案和</w:t>
      </w:r>
      <w:r>
        <w:rPr>
          <w:spacing w:val="8"/>
        </w:rPr>
        <w:t>若干专项应急预案。</w:t>
      </w:r>
    </w:p>
    <w:p>
      <w:pPr>
        <w:pStyle w:val="BodyText"/>
        <w:ind w:left="1" w:right="96" w:firstLine="441"/>
        <w:spacing w:before="162" w:line="345" w:lineRule="auto"/>
        <w:rPr/>
      </w:pPr>
      <w:r>
        <w:rPr>
          <w:rFonts w:ascii="Times New Roman" w:hAnsi="Times New Roman" w:eastAsia="Times New Roman" w:cs="Times New Roman"/>
          <w:spacing w:val="-2"/>
        </w:rPr>
        <w:t>1.5.4 </w:t>
      </w:r>
      <w:r>
        <w:rPr>
          <w:spacing w:val="-2"/>
        </w:rPr>
        <w:t>县（</w:t>
      </w:r>
      <w:r>
        <w:rPr>
          <w:spacing w:val="-45"/>
        </w:rPr>
        <w:t xml:space="preserve"> </w:t>
      </w:r>
      <w:r>
        <w:rPr>
          <w:spacing w:val="-2"/>
        </w:rPr>
        <w:t>区）应急预案。县（</w:t>
      </w:r>
      <w:r>
        <w:rPr>
          <w:spacing w:val="-52"/>
        </w:rPr>
        <w:t xml:space="preserve"> </w:t>
      </w:r>
      <w:r>
        <w:rPr>
          <w:spacing w:val="-2"/>
        </w:rPr>
        <w:t>区）应急预</w:t>
      </w:r>
      <w:r>
        <w:rPr>
          <w:spacing w:val="7"/>
        </w:rPr>
        <w:t>案是应对本行政区域内各类突发事件，或者针</w:t>
      </w:r>
      <w:r>
        <w:rPr>
          <w:spacing w:val="7"/>
        </w:rPr>
        <w:t>对重要基础设施、关键资源、风险敏感因素而</w:t>
      </w:r>
      <w:r>
        <w:rPr>
          <w:spacing w:val="4"/>
        </w:rPr>
        <w:t>预先制订的工作方案，由县（</w:t>
      </w:r>
      <w:r>
        <w:rPr>
          <w:spacing w:val="-35"/>
        </w:rPr>
        <w:t xml:space="preserve"> </w:t>
      </w:r>
      <w:r>
        <w:rPr>
          <w:spacing w:val="4"/>
        </w:rPr>
        <w:t>区）政府及其部</w:t>
      </w:r>
      <w:r>
        <w:rPr>
          <w:spacing w:val="9"/>
        </w:rPr>
        <w:t>门组织编制和实施，报市应急管理局备案。</w:t>
      </w:r>
    </w:p>
    <w:p>
      <w:pPr>
        <w:pStyle w:val="BodyText"/>
        <w:ind w:right="98" w:firstLine="441"/>
        <w:spacing w:before="168" w:line="349" w:lineRule="auto"/>
        <w:rPr/>
      </w:pPr>
      <w:r>
        <w:rPr>
          <w:rFonts w:ascii="Times New Roman" w:hAnsi="Times New Roman" w:eastAsia="Times New Roman" w:cs="Times New Roman"/>
          <w:spacing w:val="2"/>
        </w:rPr>
        <w:t>1.5.5 </w:t>
      </w:r>
      <w:r>
        <w:rPr>
          <w:spacing w:val="2"/>
        </w:rPr>
        <w:t>工作手册。工作手册是预案涉及的有</w:t>
      </w:r>
      <w:r>
        <w:rPr>
          <w:spacing w:val="18"/>
        </w:rPr>
        <w:t>关部门和单位对自身承担职责任务进一步分</w:t>
      </w:r>
      <w:r>
        <w:rPr>
          <w:spacing w:val="7"/>
        </w:rPr>
        <w:t>解细化的工作方案，是本单位应对突发事件的</w:t>
      </w:r>
      <w:r>
        <w:rPr>
          <w:spacing w:val="7"/>
        </w:rPr>
        <w:t>工作指南。各级政府及县级以上政府部门根据</w:t>
      </w:r>
      <w:r>
        <w:rPr>
          <w:spacing w:val="7"/>
        </w:rPr>
        <w:t>需要编制相应工作手册，确保预案各项职责任</w:t>
      </w:r>
      <w:r>
        <w:rPr>
          <w:spacing w:val="7"/>
        </w:rPr>
        <w:t>务落实到位。</w:t>
      </w:r>
    </w:p>
    <w:p>
      <w:pPr>
        <w:ind w:left="423"/>
        <w:spacing w:before="156"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2</w:t>
      </w:r>
      <w:r>
        <w:rPr>
          <w:rFonts w:ascii="Microsoft YaHei" w:hAnsi="Microsoft YaHei" w:eastAsia="Microsoft YaHei" w:cs="Microsoft YaHei"/>
          <w:sz w:val="20"/>
          <w:szCs w:val="20"/>
          <w:spacing w:val="15"/>
          <w:w w:val="101"/>
        </w:rPr>
        <w:t xml:space="preserve">   </w:t>
      </w:r>
      <w:r>
        <w:rPr>
          <w:rFonts w:ascii="Microsoft YaHei" w:hAnsi="Microsoft YaHei" w:eastAsia="Microsoft YaHei" w:cs="Microsoft YaHei"/>
          <w:sz w:val="20"/>
          <w:szCs w:val="20"/>
          <w:spacing w:val="5"/>
        </w:rPr>
        <w:t>组织指挥体系</w:t>
      </w:r>
    </w:p>
    <w:p>
      <w:pPr>
        <w:pStyle w:val="BodyText"/>
        <w:ind w:left="2" w:right="101" w:firstLine="421"/>
        <w:spacing w:before="102" w:line="328" w:lineRule="auto"/>
        <w:rPr/>
      </w:pPr>
      <w:r>
        <w:rPr>
          <w:spacing w:val="6"/>
        </w:rPr>
        <w:t>市突发事件应急组织体系由领导机构、专</w:t>
      </w:r>
      <w:r>
        <w:rPr>
          <w:spacing w:val="7"/>
        </w:rPr>
        <w:t>项指挥机构、现场指挥机构、专家组、应急联</w:t>
      </w:r>
      <w:r>
        <w:rPr>
          <w:spacing w:val="4"/>
        </w:rPr>
        <w:t>动机构、县（</w:t>
      </w:r>
      <w:r>
        <w:rPr>
          <w:spacing w:val="-36"/>
        </w:rPr>
        <w:t xml:space="preserve"> </w:t>
      </w:r>
      <w:r>
        <w:rPr>
          <w:spacing w:val="4"/>
        </w:rPr>
        <w:t>区）级应急组织机构以及社会组</w:t>
      </w:r>
      <w:r>
        <w:rPr>
          <w:spacing w:val="8"/>
        </w:rPr>
        <w:t>织和公众共同组成。</w:t>
      </w:r>
    </w:p>
    <w:p>
      <w:pPr>
        <w:spacing w:line="328" w:lineRule="auto"/>
        <w:sectPr>
          <w:type w:val="continuous"/>
          <w:pgSz w:w="11906" w:h="16839"/>
          <w:pgMar w:top="1769" w:right="1489" w:bottom="1570" w:left="1588" w:header="1428" w:footer="1172" w:gutter="0"/>
          <w:cols w:equalWidth="0" w:num="2">
            <w:col w:w="4480" w:space="100"/>
            <w:col w:w="4250" w:space="0"/>
          </w:cols>
        </w:sectPr>
        <w:rPr/>
      </w:pPr>
    </w:p>
    <w:p>
      <w:pPr>
        <w:spacing w:before="80"/>
        <w:rPr/>
      </w:pPr>
      <w:r>
        <w:drawing>
          <wp:anchor distT="0" distB="0" distL="0" distR="0" simplePos="0" relativeHeight="252076032"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166" name="IM 1166"/>
            <wp:cNvGraphicFramePr/>
            <a:graphic>
              <a:graphicData uri="http://schemas.openxmlformats.org/drawingml/2006/picture">
                <pic:pic>
                  <pic:nvPicPr>
                    <pic:cNvPr id="1166" name="IM 1166"/>
                    <pic:cNvPicPr/>
                  </pic:nvPicPr>
                  <pic:blipFill>
                    <a:blip r:embed="rId585"/>
                    <a:stretch>
                      <a:fillRect/>
                    </a:stretch>
                  </pic:blipFill>
                  <pic:spPr>
                    <a:xfrm rot="0">
                      <a:off x="0" y="0"/>
                      <a:ext cx="5579745" cy="7620"/>
                    </a:xfrm>
                    <a:prstGeom prst="rect">
                      <a:avLst/>
                    </a:prstGeom>
                  </pic:spPr>
                </pic:pic>
              </a:graphicData>
            </a:graphic>
          </wp:anchor>
        </w:drawing>
      </w:r>
      <w:r/>
    </w:p>
    <w:p>
      <w:pPr>
        <w:sectPr>
          <w:headerReference w:type="default" r:id="rId583"/>
          <w:footerReference w:type="default" r:id="rId584"/>
          <w:pgSz w:w="11906" w:h="16839"/>
          <w:pgMar w:top="1766" w:right="1507" w:bottom="1563" w:left="1579" w:header="1428" w:footer="1172" w:gutter="0"/>
          <w:cols w:equalWidth="0" w:num="1">
            <w:col w:w="8819" w:space="0"/>
          </w:cols>
        </w:sectPr>
        <w:rPr/>
      </w:pPr>
    </w:p>
    <w:p>
      <w:pPr>
        <w:pStyle w:val="BodyText"/>
        <w:ind w:left="11" w:right="321" w:firstLine="421"/>
        <w:spacing w:before="40" w:line="351" w:lineRule="auto"/>
        <w:rPr/>
      </w:pPr>
      <w:r>
        <w:rPr>
          <w:rFonts w:ascii="Times New Roman" w:hAnsi="Times New Roman" w:eastAsia="Times New Roman" w:cs="Times New Roman"/>
          <w:spacing w:val="7"/>
        </w:rPr>
        <w:t>2.</w:t>
      </w:r>
      <w:r>
        <w:rPr>
          <w:rFonts w:ascii="Times New Roman" w:hAnsi="Times New Roman" w:eastAsia="Times New Roman" w:cs="Times New Roman"/>
          <w:spacing w:val="-23"/>
        </w:rPr>
        <w:t xml:space="preserve"> </w:t>
      </w:r>
      <w:r>
        <w:rPr>
          <w:rFonts w:ascii="Times New Roman" w:hAnsi="Times New Roman" w:eastAsia="Times New Roman" w:cs="Times New Roman"/>
          <w:spacing w:val="7"/>
        </w:rPr>
        <w:t>1  </w:t>
      </w:r>
      <w:r>
        <w:rPr>
          <w:rFonts w:ascii="KaiTi" w:hAnsi="KaiTi" w:eastAsia="KaiTi" w:cs="KaiTi"/>
          <w:spacing w:val="7"/>
        </w:rPr>
        <w:t>领导机构。</w:t>
      </w:r>
      <w:r>
        <w:rPr>
          <w:spacing w:val="7"/>
        </w:rPr>
        <w:t>市人民政府是应对本行政</w:t>
      </w:r>
      <w:r>
        <w:rPr>
          <w:spacing w:val="7"/>
        </w:rPr>
        <w:t>区域内各类突发事件的领导机构，负责贯彻落</w:t>
      </w:r>
      <w:r>
        <w:rPr>
          <w:spacing w:val="7"/>
        </w:rPr>
        <w:t>实自治区党委、政府应急管理工作决策部署，</w:t>
      </w:r>
      <w:r>
        <w:rPr>
          <w:spacing w:val="18"/>
        </w:rPr>
        <w:t>研究制定全市应急管理工作重大决策和实施</w:t>
      </w:r>
      <w:r>
        <w:rPr>
          <w:spacing w:val="7"/>
        </w:rPr>
        <w:t>意见，组织指挥处置较大、一般突发事件，并</w:t>
      </w:r>
      <w:r>
        <w:rPr>
          <w:spacing w:val="8"/>
        </w:rPr>
        <w:t>对事件开展总结评估。</w:t>
      </w:r>
    </w:p>
    <w:p>
      <w:pPr>
        <w:pStyle w:val="BodyText"/>
        <w:ind w:left="11" w:right="248" w:firstLine="421"/>
        <w:spacing w:before="168" w:line="367" w:lineRule="auto"/>
        <w:rPr/>
      </w:pPr>
      <w:r>
        <w:rPr>
          <w:rFonts w:ascii="Times New Roman" w:hAnsi="Times New Roman" w:eastAsia="Times New Roman" w:cs="Times New Roman"/>
          <w:spacing w:val="2"/>
        </w:rPr>
        <w:t>2.2  </w:t>
      </w:r>
      <w:r>
        <w:rPr>
          <w:rFonts w:ascii="KaiTi" w:hAnsi="KaiTi" w:eastAsia="KaiTi" w:cs="KaiTi"/>
          <w:spacing w:val="2"/>
        </w:rPr>
        <w:t>专项指挥机构。</w:t>
      </w:r>
      <w:r>
        <w:rPr>
          <w:spacing w:val="2"/>
        </w:rPr>
        <w:t>在市人民政府领导下，</w:t>
      </w:r>
      <w:r>
        <w:rPr>
          <w:spacing w:val="7"/>
        </w:rPr>
        <w:t>负责本行业（领域）突发事件防范应对和组织</w:t>
      </w:r>
      <w:r>
        <w:rPr>
          <w:spacing w:val="1"/>
        </w:rPr>
        <w:t>指挥工作，研究制定应急体系规划、风险防控、</w:t>
      </w:r>
      <w:r>
        <w:rPr>
          <w:spacing w:val="7"/>
        </w:rPr>
        <w:t>应急准备、考核等重大事项，组织开展应急演</w:t>
      </w:r>
      <w:r>
        <w:rPr>
          <w:spacing w:val="7"/>
        </w:rPr>
        <w:t>练。指挥长由市应急管理指挥部副总指挥（防</w:t>
      </w:r>
      <w:r>
        <w:rPr>
          <w:spacing w:val="7"/>
        </w:rPr>
        <w:t>汛抗旱、城市内涝、自然灾害救助、森林草原</w:t>
      </w:r>
      <w:r>
        <w:rPr>
          <w:spacing w:val="7"/>
        </w:rPr>
        <w:t>防灭火各专项指挥部指挥长）担任。市应急管</w:t>
      </w:r>
      <w:r>
        <w:rPr>
          <w:spacing w:val="7"/>
        </w:rPr>
        <w:t>理局承担全市应急管理的综合协调工作，组织</w:t>
      </w:r>
      <w:r>
        <w:rPr>
          <w:spacing w:val="7"/>
        </w:rPr>
        <w:t>编制全市突发事件总体应急预案、直接监管行</w:t>
      </w:r>
      <w:r>
        <w:rPr>
          <w:spacing w:val="7"/>
        </w:rPr>
        <w:t>业（领域）专项应急预案和全市预案体系建设</w:t>
      </w:r>
      <w:r>
        <w:rPr>
          <w:spacing w:val="7"/>
        </w:rPr>
        <w:t>规划，指导各县（</w:t>
      </w:r>
      <w:r>
        <w:rPr>
          <w:spacing w:val="-42"/>
        </w:rPr>
        <w:t xml:space="preserve"> </w:t>
      </w:r>
      <w:r>
        <w:rPr>
          <w:spacing w:val="7"/>
        </w:rPr>
        <w:t>区）及市直各部门（单位）</w:t>
      </w:r>
      <w:r>
        <w:rPr>
          <w:spacing w:val="7"/>
        </w:rPr>
        <w:t>突发事件应对工作，督促贯彻落实党中央、国</w:t>
      </w:r>
      <w:r>
        <w:rPr>
          <w:spacing w:val="7"/>
        </w:rPr>
        <w:t>务院以及自治区党委、政府关于应急工作的方</w:t>
      </w:r>
      <w:r>
        <w:rPr>
          <w:spacing w:val="7"/>
        </w:rPr>
        <w:t>针政策和决策部署。各突发事件专项指挥部牵</w:t>
      </w:r>
      <w:r>
        <w:rPr>
          <w:spacing w:val="7"/>
        </w:rPr>
        <w:t>头部门（单位）承担本指挥部办公室日常及其</w:t>
      </w:r>
      <w:r>
        <w:rPr>
          <w:spacing w:val="6"/>
        </w:rPr>
        <w:t>他工作。</w:t>
      </w:r>
    </w:p>
    <w:p>
      <w:pPr>
        <w:pStyle w:val="BodyText"/>
        <w:ind w:left="13" w:right="308" w:firstLine="420"/>
        <w:spacing w:before="165" w:line="358" w:lineRule="auto"/>
        <w:rPr/>
      </w:pPr>
      <w:r>
        <w:rPr>
          <w:rFonts w:ascii="Times New Roman" w:hAnsi="Times New Roman" w:eastAsia="Times New Roman" w:cs="Times New Roman"/>
          <w:spacing w:val="8"/>
        </w:rPr>
        <w:t>2.3  </w:t>
      </w:r>
      <w:r>
        <w:rPr>
          <w:rFonts w:ascii="KaiTi" w:hAnsi="KaiTi" w:eastAsia="KaiTi" w:cs="KaiTi"/>
          <w:spacing w:val="8"/>
        </w:rPr>
        <w:t>现场指挥部。</w:t>
      </w:r>
      <w:r>
        <w:rPr>
          <w:spacing w:val="8"/>
        </w:rPr>
        <w:t>市人民政府决定启动专</w:t>
      </w:r>
      <w:r>
        <w:rPr>
          <w:spacing w:val="7"/>
        </w:rPr>
        <w:t>项预案应急响应后，根据工作需要，设立现场</w:t>
      </w:r>
      <w:r>
        <w:rPr>
          <w:spacing w:val="7"/>
        </w:rPr>
        <w:t>指挥部，指挥长由市政府指定市政府分管领导</w:t>
      </w:r>
      <w:r>
        <w:rPr>
          <w:spacing w:val="4"/>
        </w:rPr>
        <w:t>担任，副指挥长由灾害发生地县（</w:t>
      </w:r>
      <w:r>
        <w:rPr>
          <w:spacing w:val="-36"/>
        </w:rPr>
        <w:t xml:space="preserve"> </w:t>
      </w:r>
      <w:r>
        <w:rPr>
          <w:spacing w:val="4"/>
        </w:rPr>
        <w:t>区）政府负</w:t>
      </w:r>
      <w:r>
        <w:rPr>
          <w:spacing w:val="8"/>
        </w:rPr>
        <w:t>责同志和指挥长指定的相关部门负责人担任。</w:t>
      </w:r>
      <w:r>
        <w:rPr>
          <w:spacing w:val="7"/>
        </w:rPr>
        <w:t>负责组织协调各方救援力量，协同做好现场应</w:t>
      </w:r>
      <w:r>
        <w:rPr>
          <w:spacing w:val="7"/>
        </w:rPr>
        <w:t>急处置工作。根据需要设立综合协调、灾害监</w:t>
      </w:r>
      <w:r>
        <w:rPr>
          <w:spacing w:val="7"/>
        </w:rPr>
        <w:t>测、抢险救援、情报信息、群众生活、文化活</w:t>
      </w:r>
      <w:r>
        <w:rPr>
          <w:spacing w:val="7"/>
        </w:rPr>
        <w:t>动、医疗卫生、善后处置、宣传报道、社会治</w:t>
      </w:r>
      <w:r>
        <w:rPr>
          <w:spacing w:val="7"/>
        </w:rPr>
        <w:t>安、调查评估、设施保障、生产恢复和专家支</w:t>
      </w:r>
    </w:p>
    <w:p>
      <w:pPr>
        <w:spacing w:line="14" w:lineRule="auto"/>
        <w:rPr>
          <w:rFonts w:ascii="Arial"/>
          <w:sz w:val="2"/>
        </w:rPr>
      </w:pPr>
      <w:r>
        <w:rPr>
          <w:rFonts w:ascii="Arial" w:hAnsi="Arial" w:eastAsia="Arial" w:cs="Arial"/>
          <w:sz w:val="2"/>
          <w:szCs w:val="2"/>
        </w:rPr>
        <w:br w:type="column"/>
      </w:r>
    </w:p>
    <w:p>
      <w:pPr>
        <w:pStyle w:val="BodyText"/>
        <w:ind w:left="3"/>
        <w:spacing w:before="42" w:line="221" w:lineRule="auto"/>
        <w:rPr/>
      </w:pPr>
      <w:r>
        <w:rPr>
          <w:spacing w:val="7"/>
        </w:rPr>
        <w:t>持等工作组。</w:t>
      </w:r>
    </w:p>
    <w:p>
      <w:pPr>
        <w:pStyle w:val="BodyText"/>
        <w:ind w:right="83" w:firstLine="422"/>
        <w:spacing w:before="165" w:line="338" w:lineRule="auto"/>
        <w:rPr/>
      </w:pPr>
      <w:r>
        <w:rPr>
          <w:rFonts w:ascii="Times New Roman" w:hAnsi="Times New Roman" w:eastAsia="Times New Roman" w:cs="Times New Roman"/>
          <w:spacing w:val="8"/>
        </w:rPr>
        <w:t>2.4  </w:t>
      </w:r>
      <w:r>
        <w:rPr>
          <w:rFonts w:ascii="KaiTi" w:hAnsi="KaiTi" w:eastAsia="KaiTi" w:cs="KaiTi"/>
          <w:spacing w:val="8"/>
        </w:rPr>
        <w:t>专家组。</w:t>
      </w:r>
      <w:r>
        <w:rPr>
          <w:spacing w:val="8"/>
        </w:rPr>
        <w:t>各专项应急指挥机构根据行</w:t>
      </w:r>
      <w:r>
        <w:rPr>
          <w:spacing w:val="7"/>
        </w:rPr>
        <w:t>业领域实际，建立应急专家库，事发后抽调专</w:t>
      </w:r>
      <w:r>
        <w:rPr>
          <w:spacing w:val="7"/>
        </w:rPr>
        <w:t>家组成专家组，为突发事件应急救援、调查评</w:t>
      </w:r>
      <w:r>
        <w:rPr>
          <w:spacing w:val="8"/>
        </w:rPr>
        <w:t>估等工作提供技术支持。</w:t>
      </w:r>
    </w:p>
    <w:p>
      <w:pPr>
        <w:pStyle w:val="BodyText"/>
        <w:ind w:right="76" w:firstLine="421"/>
        <w:spacing w:before="167" w:line="346" w:lineRule="auto"/>
        <w:rPr/>
      </w:pPr>
      <w:r>
        <w:rPr>
          <w:rFonts w:ascii="Times New Roman" w:hAnsi="Times New Roman" w:eastAsia="Times New Roman" w:cs="Times New Roman"/>
          <w:spacing w:val="3"/>
        </w:rPr>
        <w:t>2.5  </w:t>
      </w:r>
      <w:r>
        <w:rPr>
          <w:rFonts w:ascii="KaiTi" w:hAnsi="KaiTi" w:eastAsia="KaiTi" w:cs="KaiTi"/>
          <w:spacing w:val="3"/>
        </w:rPr>
        <w:t>县（</w:t>
      </w:r>
      <w:r>
        <w:rPr>
          <w:rFonts w:ascii="KaiTi" w:hAnsi="KaiTi" w:eastAsia="KaiTi" w:cs="KaiTi"/>
          <w:spacing w:val="-30"/>
        </w:rPr>
        <w:t xml:space="preserve"> </w:t>
      </w:r>
      <w:r>
        <w:rPr>
          <w:rFonts w:ascii="KaiTi" w:hAnsi="KaiTi" w:eastAsia="KaiTi" w:cs="KaiTi"/>
          <w:spacing w:val="3"/>
        </w:rPr>
        <w:t>区）应急指挥机构。</w:t>
      </w:r>
      <w:r>
        <w:rPr>
          <w:spacing w:val="3"/>
        </w:rPr>
        <w:t>各县（</w:t>
      </w:r>
      <w:r>
        <w:rPr>
          <w:spacing w:val="-50"/>
        </w:rPr>
        <w:t xml:space="preserve"> </w:t>
      </w:r>
      <w:r>
        <w:rPr>
          <w:spacing w:val="2"/>
        </w:rPr>
        <w:t>区）</w:t>
      </w:r>
      <w:r>
        <w:rPr>
          <w:spacing w:val="18"/>
        </w:rPr>
        <w:t>政府要参照市级模式建立突发事件应急指挥</w:t>
      </w:r>
      <w:r>
        <w:rPr>
          <w:spacing w:val="7"/>
        </w:rPr>
        <w:t>体系，负责本区域内突发事件应急管理工作，</w:t>
      </w:r>
      <w:r>
        <w:rPr>
          <w:spacing w:val="18"/>
        </w:rPr>
        <w:t>并根据上级安排或应急工作需要协助周边地</w:t>
      </w:r>
      <w:r>
        <w:rPr>
          <w:spacing w:val="8"/>
        </w:rPr>
        <w:t>区开展应急处置工作。</w:t>
      </w:r>
    </w:p>
    <w:p>
      <w:pPr>
        <w:pStyle w:val="BodyText"/>
        <w:ind w:left="1" w:right="99" w:firstLine="421"/>
        <w:spacing w:before="169" w:line="357" w:lineRule="auto"/>
        <w:rPr/>
      </w:pPr>
      <w:r>
        <w:rPr>
          <w:rFonts w:ascii="Times New Roman" w:hAnsi="Times New Roman" w:eastAsia="Times New Roman" w:cs="Times New Roman"/>
          <w:spacing w:val="17"/>
        </w:rPr>
        <w:t>2.6  </w:t>
      </w:r>
      <w:r>
        <w:rPr>
          <w:rFonts w:ascii="KaiTi" w:hAnsi="KaiTi" w:eastAsia="KaiTi" w:cs="KaiTi"/>
          <w:spacing w:val="17"/>
        </w:rPr>
        <w:t>社会组织和公众。</w:t>
      </w:r>
      <w:r>
        <w:rPr>
          <w:spacing w:val="17"/>
        </w:rPr>
        <w:t>社会组织是突发</w:t>
      </w:r>
      <w:r>
        <w:rPr>
          <w:spacing w:val="15"/>
        </w:rPr>
        <w:t>事件应急管理的重要力量</w:t>
      </w:r>
      <w:r>
        <w:rPr>
          <w:spacing w:val="-35"/>
        </w:rPr>
        <w:t xml:space="preserve"> </w:t>
      </w:r>
      <w:r>
        <w:rPr>
          <w:spacing w:val="15"/>
        </w:rPr>
        <w:t>，市县（ 区</w:t>
      </w:r>
      <w:r>
        <w:rPr>
          <w:spacing w:val="-22"/>
        </w:rPr>
        <w:t xml:space="preserve"> </w:t>
      </w:r>
      <w:r>
        <w:rPr>
          <w:spacing w:val="15"/>
        </w:rPr>
        <w:t>）要</w:t>
      </w:r>
      <w:r>
        <w:rPr>
          <w:spacing w:val="26"/>
        </w:rPr>
        <w:t>健全社会组织保障机制</w:t>
      </w:r>
      <w:r>
        <w:rPr>
          <w:spacing w:val="-40"/>
        </w:rPr>
        <w:t xml:space="preserve"> </w:t>
      </w:r>
      <w:r>
        <w:rPr>
          <w:spacing w:val="26"/>
        </w:rPr>
        <w:t>，做好引导管理工</w:t>
      </w:r>
      <w:r>
        <w:rPr>
          <w:spacing w:val="19"/>
        </w:rPr>
        <w:t>作</w:t>
      </w:r>
      <w:r>
        <w:rPr>
          <w:spacing w:val="-43"/>
        </w:rPr>
        <w:t xml:space="preserve"> </w:t>
      </w:r>
      <w:r>
        <w:rPr>
          <w:spacing w:val="19"/>
        </w:rPr>
        <w:t>。主要包括公益组织</w:t>
      </w:r>
      <w:r>
        <w:rPr>
          <w:spacing w:val="-55"/>
        </w:rPr>
        <w:t xml:space="preserve"> </w:t>
      </w:r>
      <w:r>
        <w:rPr>
          <w:spacing w:val="19"/>
        </w:rPr>
        <w:t>、志愿者组织</w:t>
      </w:r>
      <w:r>
        <w:rPr>
          <w:spacing w:val="-56"/>
        </w:rPr>
        <w:t xml:space="preserve"> </w:t>
      </w:r>
      <w:r>
        <w:rPr>
          <w:spacing w:val="19"/>
        </w:rPr>
        <w:t>、</w:t>
      </w:r>
      <w:r>
        <w:rPr>
          <w:spacing w:val="-60"/>
        </w:rPr>
        <w:t xml:space="preserve"> </w:t>
      </w:r>
      <w:r>
        <w:rPr>
          <w:spacing w:val="19"/>
        </w:rPr>
        <w:t>民</w:t>
      </w:r>
      <w:r>
        <w:rPr>
          <w:spacing w:val="26"/>
        </w:rPr>
        <w:t>间应急救援队伍等</w:t>
      </w:r>
      <w:r>
        <w:rPr>
          <w:spacing w:val="-40"/>
        </w:rPr>
        <w:t xml:space="preserve"> </w:t>
      </w:r>
      <w:r>
        <w:rPr>
          <w:spacing w:val="26"/>
        </w:rPr>
        <w:t>。基层社区和公众是突</w:t>
      </w:r>
      <w:r>
        <w:rPr>
          <w:spacing w:val="26"/>
        </w:rPr>
        <w:t>发事件应急管理的社会基础</w:t>
      </w:r>
      <w:r>
        <w:rPr>
          <w:spacing w:val="-40"/>
        </w:rPr>
        <w:t xml:space="preserve"> </w:t>
      </w:r>
      <w:r>
        <w:rPr>
          <w:spacing w:val="26"/>
        </w:rPr>
        <w:t>，应积极发挥</w:t>
      </w:r>
      <w:r>
        <w:rPr>
          <w:spacing w:val="26"/>
        </w:rPr>
        <w:t>其隐患排查和突发事件先期处置</w:t>
      </w:r>
      <w:r>
        <w:rPr>
          <w:spacing w:val="-40"/>
        </w:rPr>
        <w:t xml:space="preserve"> </w:t>
      </w:r>
      <w:r>
        <w:rPr>
          <w:spacing w:val="26"/>
        </w:rPr>
        <w:t>、信息报</w:t>
      </w:r>
      <w:r>
        <w:rPr>
          <w:spacing w:val="12"/>
        </w:rPr>
        <w:t>告</w:t>
      </w:r>
      <w:r>
        <w:rPr>
          <w:spacing w:val="-51"/>
        </w:rPr>
        <w:t xml:space="preserve"> </w:t>
      </w:r>
      <w:r>
        <w:rPr>
          <w:spacing w:val="12"/>
        </w:rPr>
        <w:t>、</w:t>
      </w:r>
      <w:r>
        <w:rPr>
          <w:spacing w:val="-41"/>
        </w:rPr>
        <w:t xml:space="preserve"> </w:t>
      </w:r>
      <w:r>
        <w:rPr>
          <w:spacing w:val="12"/>
        </w:rPr>
        <w:t>自救互救等作用。</w:t>
      </w:r>
    </w:p>
    <w:p>
      <w:pPr>
        <w:ind w:left="425"/>
        <w:spacing w:before="161"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3</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运行机制</w:t>
      </w:r>
    </w:p>
    <w:p>
      <w:pPr>
        <w:pStyle w:val="BodyText"/>
        <w:ind w:left="5" w:right="83" w:firstLine="416"/>
        <w:spacing w:before="103" w:line="377" w:lineRule="auto"/>
        <w:rPr/>
      </w:pPr>
      <w:r>
        <w:rPr>
          <w:spacing w:val="19"/>
        </w:rPr>
        <w:t>各级各部门要建立健全应对突发事件的</w:t>
      </w:r>
      <w:r>
        <w:rPr>
          <w:spacing w:val="7"/>
        </w:rPr>
        <w:t>风险防控、监测与预警、应急处置与救援、恢</w:t>
      </w:r>
      <w:r>
        <w:rPr>
          <w:spacing w:val="7"/>
        </w:rPr>
        <w:t>复与重建等机制。</w:t>
      </w:r>
    </w:p>
    <w:p>
      <w:pPr>
        <w:pStyle w:val="BodyText"/>
        <w:ind w:firstLine="426"/>
        <w:spacing w:before="10" w:line="357" w:lineRule="auto"/>
        <w:jc w:val="both"/>
        <w:rPr/>
      </w:pPr>
      <w:r>
        <w:rPr>
          <w:rFonts w:ascii="Times New Roman" w:hAnsi="Times New Roman" w:eastAsia="Times New Roman" w:cs="Times New Roman"/>
          <w:spacing w:val="7"/>
        </w:rPr>
        <w:t>3.</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1  </w:t>
      </w:r>
      <w:r>
        <w:rPr>
          <w:rFonts w:ascii="KaiTi" w:hAnsi="KaiTi" w:eastAsia="KaiTi" w:cs="KaiTi"/>
          <w:spacing w:val="7"/>
        </w:rPr>
        <w:t>风险防控。</w:t>
      </w:r>
      <w:r>
        <w:rPr>
          <w:spacing w:val="7"/>
        </w:rPr>
        <w:t>各级政府要建立突发</w:t>
      </w:r>
      <w:r>
        <w:rPr>
          <w:spacing w:val="6"/>
        </w:rPr>
        <w:t>事件</w:t>
      </w:r>
      <w:r>
        <w:rPr>
          <w:spacing w:val="10"/>
        </w:rPr>
        <w:t>风险辨识、评估制度，对重大水利水电工程、</w:t>
      </w:r>
      <w:r>
        <w:rPr>
          <w:spacing w:val="7"/>
        </w:rPr>
        <w:t>油气输送管道、大型桥梁、通信枢纽系统等关</w:t>
      </w:r>
      <w:r>
        <w:rPr>
          <w:spacing w:val="7"/>
        </w:rPr>
        <w:t>键基础设施，科学选址、优化布局，定期对各</w:t>
      </w:r>
      <w:r>
        <w:rPr>
          <w:spacing w:val="7"/>
        </w:rPr>
        <w:t>类风险点、危险源进行调查、辨识、评估、分</w:t>
      </w:r>
      <w:r>
        <w:rPr>
          <w:spacing w:val="-8"/>
        </w:rPr>
        <w:t>级、登记，向社会公布。建立完善乡镇（街道）、</w:t>
      </w:r>
      <w:r>
        <w:rPr>
          <w:spacing w:val="7"/>
        </w:rPr>
        <w:t>社区、村、重点单位网格化风险防控体系，落</w:t>
      </w:r>
      <w:r>
        <w:rPr>
          <w:spacing w:val="10"/>
        </w:rPr>
        <w:t>实风险管控措施，做好监控和应急准备工作。</w:t>
      </w:r>
      <w:r>
        <w:rPr>
          <w:spacing w:val="7"/>
        </w:rPr>
        <w:t>加强城乡防灾减灾基础能力建设，完善城乡医</w:t>
      </w:r>
      <w:r>
        <w:rPr>
          <w:spacing w:val="7"/>
        </w:rPr>
        <w:t>疗救治和疾病预防公共卫生保障体系，健全利</w:t>
      </w:r>
    </w:p>
    <w:p>
      <w:pPr>
        <w:spacing w:line="357" w:lineRule="auto"/>
        <w:sectPr>
          <w:type w:val="continuous"/>
          <w:pgSz w:w="11906" w:h="16839"/>
          <w:pgMar w:top="1766" w:right="1507" w:bottom="1563" w:left="1579" w:header="1428" w:footer="1172" w:gutter="0"/>
          <w:cols w:equalWidth="0" w:num="2">
            <w:col w:w="4488" w:space="100"/>
            <w:col w:w="4232" w:space="0"/>
          </w:cols>
        </w:sectPr>
        <w:rPr/>
      </w:pPr>
    </w:p>
    <w:p>
      <w:pPr>
        <w:spacing w:before="70"/>
        <w:rPr/>
      </w:pPr>
      <w:r>
        <w:drawing>
          <wp:anchor distT="0" distB="0" distL="0" distR="0" simplePos="0" relativeHeight="252078080" behindDoc="0" locked="0" layoutInCell="0" allowOverlap="1">
            <wp:simplePos x="0" y="0"/>
            <wp:positionH relativeFrom="page">
              <wp:posOffset>1008380</wp:posOffset>
            </wp:positionH>
            <wp:positionV relativeFrom="page">
              <wp:posOffset>1122680</wp:posOffset>
            </wp:positionV>
            <wp:extent cx="5579745" cy="7619"/>
            <wp:effectExtent l="0" t="0" r="0" b="0"/>
            <wp:wrapNone/>
            <wp:docPr id="1172" name="IM 1172"/>
            <wp:cNvGraphicFramePr/>
            <a:graphic>
              <a:graphicData uri="http://schemas.openxmlformats.org/drawingml/2006/picture">
                <pic:pic>
                  <pic:nvPicPr>
                    <pic:cNvPr id="1172" name="IM 1172"/>
                    <pic:cNvPicPr/>
                  </pic:nvPicPr>
                  <pic:blipFill>
                    <a:blip r:embed="rId588"/>
                    <a:stretch>
                      <a:fillRect/>
                    </a:stretch>
                  </pic:blipFill>
                  <pic:spPr>
                    <a:xfrm rot="0">
                      <a:off x="0" y="0"/>
                      <a:ext cx="5579745" cy="7619"/>
                    </a:xfrm>
                    <a:prstGeom prst="rect">
                      <a:avLst/>
                    </a:prstGeom>
                  </pic:spPr>
                </pic:pic>
              </a:graphicData>
            </a:graphic>
          </wp:anchor>
        </w:drawing>
      </w:r>
      <w:r/>
    </w:p>
    <w:p>
      <w:pPr>
        <w:sectPr>
          <w:headerReference w:type="default" r:id="rId586"/>
          <w:footerReference w:type="default" r:id="rId587"/>
          <w:pgSz w:w="11906" w:h="16839"/>
          <w:pgMar w:top="1769" w:right="1478" w:bottom="1570" w:left="1588" w:header="1428" w:footer="1172" w:gutter="0"/>
          <w:cols w:equalWidth="0" w:num="1">
            <w:col w:w="8840" w:space="0"/>
          </w:cols>
        </w:sectPr>
        <w:rPr/>
      </w:pPr>
    </w:p>
    <w:p>
      <w:pPr>
        <w:pStyle w:val="BodyText"/>
        <w:ind w:left="2" w:right="325" w:firstLine="3"/>
        <w:spacing w:before="47" w:line="373" w:lineRule="auto"/>
        <w:jc w:val="both"/>
        <w:rPr/>
      </w:pPr>
      <w:r>
        <w:rPr>
          <w:spacing w:val="-3"/>
        </w:rPr>
        <w:t>益协调、诉求表达、矛盾调处机制。各部门（单</w:t>
      </w:r>
      <w:r>
        <w:rPr>
          <w:spacing w:val="7"/>
        </w:rPr>
        <w:t>位）要按照职责分工对可能发生的突发事件进</w:t>
      </w:r>
      <w:r>
        <w:rPr>
          <w:spacing w:val="7"/>
        </w:rPr>
        <w:t>行综合性评估和趋势分析，制定风险分级分类</w:t>
      </w:r>
      <w:r>
        <w:rPr>
          <w:spacing w:val="7"/>
        </w:rPr>
        <w:t>管理措施。每年年底对下一年度突发事件发生</w:t>
      </w:r>
      <w:r>
        <w:rPr>
          <w:spacing w:val="15"/>
        </w:rPr>
        <w:t>发展趋势进行研判和预测分析</w:t>
      </w:r>
      <w:r>
        <w:rPr>
          <w:spacing w:val="-39"/>
        </w:rPr>
        <w:t xml:space="preserve"> </w:t>
      </w:r>
      <w:r>
        <w:rPr>
          <w:spacing w:val="15"/>
        </w:rPr>
        <w:t>，提出措施建</w:t>
      </w:r>
      <w:r>
        <w:rPr>
          <w:spacing w:val="9"/>
        </w:rPr>
        <w:t>议，并抄送同级应急管理部门。</w:t>
      </w:r>
    </w:p>
    <w:p>
      <w:pPr>
        <w:ind w:left="429"/>
        <w:spacing w:before="11" w:line="266" w:lineRule="exact"/>
        <w:rPr>
          <w:rFonts w:ascii="KaiTi" w:hAnsi="KaiTi" w:eastAsia="KaiTi" w:cs="KaiTi"/>
          <w:sz w:val="20"/>
          <w:szCs w:val="20"/>
        </w:rPr>
      </w:pPr>
      <w:r>
        <w:rPr>
          <w:rFonts w:ascii="Times New Roman" w:hAnsi="Times New Roman" w:eastAsia="Times New Roman" w:cs="Times New Roman"/>
          <w:sz w:val="20"/>
          <w:szCs w:val="20"/>
          <w:spacing w:val="5"/>
          <w:position w:val="1"/>
        </w:rPr>
        <w:t>3.2  </w:t>
      </w:r>
      <w:r>
        <w:rPr>
          <w:rFonts w:ascii="KaiTi" w:hAnsi="KaiTi" w:eastAsia="KaiTi" w:cs="KaiTi"/>
          <w:sz w:val="20"/>
          <w:szCs w:val="20"/>
          <w:spacing w:val="5"/>
          <w:position w:val="1"/>
        </w:rPr>
        <w:t>监测与预警。</w:t>
      </w:r>
    </w:p>
    <w:p>
      <w:pPr>
        <w:pStyle w:val="BodyText"/>
        <w:ind w:left="4" w:right="325" w:firstLine="425"/>
        <w:spacing w:before="138" w:line="358" w:lineRule="auto"/>
        <w:rPr/>
      </w:pPr>
      <w:r>
        <w:rPr>
          <w:rFonts w:ascii="Times New Roman" w:hAnsi="Times New Roman" w:eastAsia="Times New Roman" w:cs="Times New Roman"/>
          <w:spacing w:val="3"/>
        </w:rPr>
        <w:t>3.2.1 </w:t>
      </w:r>
      <w:r>
        <w:rPr>
          <w:spacing w:val="3"/>
        </w:rPr>
        <w:t>监测。各级及有关部门（单位）要建</w:t>
      </w:r>
      <w:r>
        <w:rPr>
          <w:spacing w:val="15"/>
        </w:rPr>
        <w:t>立健全突发事件监测制度</w:t>
      </w:r>
      <w:r>
        <w:rPr>
          <w:spacing w:val="-40"/>
        </w:rPr>
        <w:t xml:space="preserve"> </w:t>
      </w:r>
      <w:r>
        <w:rPr>
          <w:spacing w:val="15"/>
        </w:rPr>
        <w:t>，整合监测信息资</w:t>
      </w:r>
      <w:r>
        <w:rPr>
          <w:spacing w:val="7"/>
        </w:rPr>
        <w:t>源，完善信息资源获取和共享机制。应急管理</w:t>
      </w:r>
      <w:r>
        <w:rPr>
          <w:spacing w:val="7"/>
        </w:rPr>
        <w:t>部门负责自然灾害类、安全生产类突发事件监</w:t>
      </w:r>
      <w:r>
        <w:rPr>
          <w:spacing w:val="7"/>
        </w:rPr>
        <w:t>测信息集成，其他突发事件牵头处置部门（单</w:t>
      </w:r>
      <w:r>
        <w:rPr>
          <w:spacing w:val="7"/>
        </w:rPr>
        <w:t>位）负责相应突发事件监测信息集成。根据突</w:t>
      </w:r>
      <w:r>
        <w:rPr>
          <w:spacing w:val="15"/>
        </w:rPr>
        <w:t>发事件种类和特点</w:t>
      </w:r>
      <w:r>
        <w:rPr>
          <w:spacing w:val="-40"/>
        </w:rPr>
        <w:t xml:space="preserve"> </w:t>
      </w:r>
      <w:r>
        <w:rPr>
          <w:spacing w:val="15"/>
        </w:rPr>
        <w:t>，建立健全基础信息数据</w:t>
      </w:r>
      <w:r>
        <w:rPr>
          <w:spacing w:val="7"/>
        </w:rPr>
        <w:t>库，完善监测网络，对可能发生的突发事件进</w:t>
      </w:r>
      <w:r>
        <w:rPr>
          <w:spacing w:val="6"/>
        </w:rPr>
        <w:t>行监测。</w:t>
      </w:r>
    </w:p>
    <w:p>
      <w:pPr>
        <w:pStyle w:val="BodyText"/>
        <w:ind w:left="429"/>
        <w:spacing w:before="168" w:line="221" w:lineRule="auto"/>
        <w:rPr/>
      </w:pPr>
      <w:r>
        <w:rPr>
          <w:rFonts w:ascii="Times New Roman" w:hAnsi="Times New Roman" w:eastAsia="Times New Roman" w:cs="Times New Roman"/>
          <w:spacing w:val="3"/>
        </w:rPr>
        <w:t>3.2.2 </w:t>
      </w:r>
      <w:r>
        <w:rPr>
          <w:spacing w:val="3"/>
        </w:rPr>
        <w:t>预警。</w:t>
      </w:r>
    </w:p>
    <w:p>
      <w:pPr>
        <w:pStyle w:val="BodyText"/>
        <w:ind w:left="3" w:right="247" w:firstLine="413"/>
        <w:spacing w:before="156" w:line="363" w:lineRule="auto"/>
        <w:jc w:val="both"/>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）预警发布。预警信息发布主体为县</w:t>
      </w:r>
      <w:r>
        <w:rPr>
          <w:spacing w:val="18"/>
        </w:rPr>
        <w:t>级以上人民政府或者县级以上人民政府突发</w:t>
      </w:r>
      <w:r>
        <w:rPr>
          <w:spacing w:val="1"/>
        </w:rPr>
        <w:t>事件各专项应急指挥部相关职能部门（单位）。</w:t>
      </w:r>
      <w:r>
        <w:rPr>
          <w:spacing w:val="7"/>
        </w:rPr>
        <w:t>各应急指挥部接到突发事件信息后，及时分析</w:t>
      </w:r>
      <w:r>
        <w:rPr>
          <w:spacing w:val="7"/>
        </w:rPr>
        <w:t>评估信息结果，确认突发事件即将发生或者发</w:t>
      </w:r>
      <w:r>
        <w:rPr>
          <w:spacing w:val="7"/>
        </w:rPr>
        <w:t>生的可能性增大时，按有关规定立即发布预警</w:t>
      </w:r>
      <w:r>
        <w:rPr>
          <w:spacing w:val="11"/>
        </w:rPr>
        <w:t>信息，并及时向上一级政府或相应部门报告，</w:t>
      </w:r>
      <w:r>
        <w:rPr>
          <w:spacing w:val="7"/>
        </w:rPr>
        <w:t>必要时可以越级上报，并向可能受到危害的毗</w:t>
      </w:r>
      <w:r>
        <w:rPr>
          <w:spacing w:val="7"/>
        </w:rPr>
        <w:t>邻或相关地区的政府通报。根据事态发展，适</w:t>
      </w:r>
      <w:r>
        <w:rPr>
          <w:spacing w:val="7"/>
        </w:rPr>
        <w:t>时调整预警级别并重新报告、通报。预警信息</w:t>
      </w:r>
      <w:r>
        <w:rPr>
          <w:spacing w:val="1"/>
        </w:rPr>
        <w:t>的发布和调整可通过广播、电视、报刊、通信、</w:t>
      </w:r>
      <w:r>
        <w:rPr>
          <w:spacing w:val="7"/>
        </w:rPr>
        <w:t>信息网络、警报器、宣传车、大喇叭等通知方</w:t>
      </w:r>
      <w:r>
        <w:rPr>
          <w:spacing w:val="7"/>
        </w:rPr>
        <w:t>式进行，对老、幼、病、残、孕等特殊人群以</w:t>
      </w:r>
      <w:r>
        <w:rPr>
          <w:spacing w:val="18"/>
        </w:rPr>
        <w:t>及学校等特殊场所和警报盲区应当采取有针</w:t>
      </w:r>
      <w:r>
        <w:rPr>
          <w:spacing w:val="8"/>
        </w:rPr>
        <w:t>对性的通知方式。</w:t>
      </w:r>
    </w:p>
    <w:p>
      <w:pPr>
        <w:spacing w:line="14" w:lineRule="auto"/>
        <w:rPr>
          <w:rFonts w:ascii="Arial"/>
          <w:sz w:val="2"/>
        </w:rPr>
      </w:pPr>
      <w:r>
        <w:rPr>
          <w:rFonts w:ascii="Arial" w:hAnsi="Arial" w:eastAsia="Arial" w:cs="Arial"/>
          <w:sz w:val="2"/>
          <w:szCs w:val="2"/>
        </w:rPr>
        <w:br w:type="column"/>
      </w:r>
    </w:p>
    <w:p>
      <w:pPr>
        <w:pStyle w:val="BodyText"/>
        <w:ind w:left="3" w:right="105" w:firstLine="411"/>
        <w:spacing w:before="47" w:line="374" w:lineRule="auto"/>
        <w:jc w:val="both"/>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5"/>
        </w:rPr>
        <w:t xml:space="preserve"> </w:t>
      </w:r>
      <w:r>
        <w:rPr>
          <w:spacing w:val="8"/>
        </w:rPr>
        <w:t>）采取措施。发布预警信息后</w:t>
      </w:r>
      <w:r>
        <w:rPr>
          <w:spacing w:val="-59"/>
        </w:rPr>
        <w:t xml:space="preserve"> </w:t>
      </w:r>
      <w:r>
        <w:rPr>
          <w:spacing w:val="8"/>
        </w:rPr>
        <w:t>，有关</w:t>
      </w:r>
      <w:r>
        <w:rPr>
          <w:spacing w:val="7"/>
        </w:rPr>
        <w:t>方面要根据预警级别，按照分级负责的原则，</w:t>
      </w:r>
      <w:r>
        <w:rPr>
          <w:spacing w:val="8"/>
        </w:rPr>
        <w:t>采取下列一项或多项措施：</w:t>
      </w:r>
    </w:p>
    <w:p>
      <w:pPr>
        <w:pStyle w:val="BodyText"/>
        <w:ind w:left="3" w:right="119" w:firstLine="420"/>
        <w:spacing w:line="301" w:lineRule="auto"/>
        <w:rPr/>
      </w:pPr>
      <w:r>
        <w:rPr>
          <w:rFonts w:ascii="KaiTi" w:hAnsi="KaiTi" w:eastAsia="KaiTi" w:cs="KaiTi"/>
          <w:spacing w:val="15"/>
        </w:rPr>
        <w:t>①</w:t>
      </w:r>
      <w:r>
        <w:rPr>
          <w:spacing w:val="15"/>
        </w:rPr>
        <w:t>增加监测频次</w:t>
      </w:r>
      <w:r>
        <w:rPr>
          <w:spacing w:val="-38"/>
        </w:rPr>
        <w:t xml:space="preserve"> </w:t>
      </w:r>
      <w:r>
        <w:rPr>
          <w:spacing w:val="15"/>
        </w:rPr>
        <w:t>，及时收集、报告有关</w:t>
      </w:r>
      <w:r>
        <w:rPr>
          <w:spacing w:val="14"/>
        </w:rPr>
        <w:t>信息；</w:t>
      </w:r>
    </w:p>
    <w:p>
      <w:pPr>
        <w:pStyle w:val="BodyText"/>
        <w:ind w:right="112" w:firstLine="423"/>
        <w:spacing w:before="158" w:line="326" w:lineRule="auto"/>
        <w:rPr/>
      </w:pPr>
      <w:r>
        <w:rPr>
          <w:rFonts w:ascii="KaiTi" w:hAnsi="KaiTi" w:eastAsia="KaiTi" w:cs="KaiTi"/>
          <w:spacing w:val="6"/>
        </w:rPr>
        <w:t>②</w:t>
      </w:r>
      <w:r>
        <w:rPr>
          <w:spacing w:val="6"/>
        </w:rPr>
        <w:t>加强公众沟通，公布信息接收和咨询电</w:t>
      </w:r>
      <w:r>
        <w:rPr>
          <w:spacing w:val="7"/>
        </w:rPr>
        <w:t>话，向社会公告采取的有关措施、避免或减轻</w:t>
      </w:r>
      <w:r>
        <w:rPr>
          <w:spacing w:val="8"/>
        </w:rPr>
        <w:t>危害的建议和劝告等；</w:t>
      </w:r>
    </w:p>
    <w:p>
      <w:pPr>
        <w:pStyle w:val="BodyText"/>
        <w:ind w:left="2" w:right="112" w:firstLine="420"/>
        <w:spacing w:before="160" w:line="325" w:lineRule="auto"/>
        <w:rPr/>
      </w:pPr>
      <w:r>
        <w:rPr>
          <w:rFonts w:ascii="KaiTi" w:hAnsi="KaiTi" w:eastAsia="KaiTi" w:cs="KaiTi"/>
          <w:spacing w:val="19"/>
        </w:rPr>
        <w:t>③</w:t>
      </w:r>
      <w:r>
        <w:rPr>
          <w:spacing w:val="19"/>
        </w:rPr>
        <w:t>组织应急救援队伍和负有特定职责的</w:t>
      </w:r>
      <w:r>
        <w:rPr>
          <w:spacing w:val="7"/>
        </w:rPr>
        <w:t>人员进入待命状态，动员后备人员做好参加应</w:t>
      </w:r>
      <w:r>
        <w:rPr>
          <w:spacing w:val="15"/>
        </w:rPr>
        <w:t>急处置和救援工作的准备</w:t>
      </w:r>
      <w:r>
        <w:rPr>
          <w:spacing w:val="-40"/>
        </w:rPr>
        <w:t xml:space="preserve"> </w:t>
      </w:r>
      <w:r>
        <w:rPr>
          <w:spacing w:val="15"/>
        </w:rPr>
        <w:t>，视情预置有关队</w:t>
      </w:r>
    </w:p>
    <w:p>
      <w:pPr>
        <w:pStyle w:val="BodyText"/>
        <w:ind w:left="1"/>
        <w:spacing w:before="164" w:line="225" w:lineRule="auto"/>
        <w:rPr/>
      </w:pPr>
      <w:r>
        <w:rPr>
          <w:spacing w:val="8"/>
        </w:rPr>
        <w:t>伍、装备、物资等应急资源；</w:t>
      </w:r>
    </w:p>
    <w:p>
      <w:pPr>
        <w:pStyle w:val="BodyText"/>
        <w:ind w:left="3" w:right="89" w:firstLine="419"/>
        <w:spacing w:before="160" w:line="326" w:lineRule="auto"/>
        <w:rPr/>
      </w:pPr>
      <w:r>
        <w:rPr>
          <w:rFonts w:ascii="KaiTi" w:hAnsi="KaiTi" w:eastAsia="KaiTi" w:cs="KaiTi"/>
          <w:spacing w:val="8"/>
        </w:rPr>
        <w:t>④</w:t>
      </w:r>
      <w:r>
        <w:rPr>
          <w:spacing w:val="8"/>
        </w:rPr>
        <w:t>调集应急处置和救援所需物资、设备、</w:t>
      </w:r>
      <w:r>
        <w:rPr>
          <w:spacing w:val="7"/>
        </w:rPr>
        <w:t>工具，准备应急设施和避难场所，并确保其处</w:t>
      </w:r>
      <w:r>
        <w:rPr>
          <w:spacing w:val="8"/>
        </w:rPr>
        <w:t>于良好状态、随时可以投入正常使用；</w:t>
      </w:r>
    </w:p>
    <w:p>
      <w:pPr>
        <w:pStyle w:val="BodyText"/>
        <w:ind w:right="112" w:firstLine="423"/>
        <w:spacing w:before="158" w:line="301" w:lineRule="auto"/>
        <w:rPr/>
      </w:pPr>
      <w:r>
        <w:rPr>
          <w:rFonts w:ascii="KaiTi" w:hAnsi="KaiTi" w:eastAsia="KaiTi" w:cs="KaiTi"/>
          <w:spacing w:val="6"/>
        </w:rPr>
        <w:t>⑤</w:t>
      </w:r>
      <w:r>
        <w:rPr>
          <w:spacing w:val="6"/>
        </w:rPr>
        <w:t>加强对重点单位、重要部位和重要基础</w:t>
      </w:r>
      <w:r>
        <w:rPr>
          <w:spacing w:val="9"/>
        </w:rPr>
        <w:t>设施的安全保卫，维护社会治安秩序；</w:t>
      </w:r>
    </w:p>
    <w:p>
      <w:pPr>
        <w:pStyle w:val="BodyText"/>
        <w:ind w:left="2" w:firstLine="420"/>
        <w:spacing w:before="158" w:line="327" w:lineRule="auto"/>
        <w:rPr/>
      </w:pPr>
      <w:r>
        <w:rPr>
          <w:rFonts w:ascii="KaiTi" w:hAnsi="KaiTi" w:eastAsia="KaiTi" w:cs="KaiTi"/>
          <w:spacing w:val="-9"/>
        </w:rPr>
        <w:t>⑥</w:t>
      </w:r>
      <w:r>
        <w:rPr>
          <w:spacing w:val="-9"/>
        </w:rPr>
        <w:t>采取必要措施，确保交通、通信、供（排）</w:t>
      </w:r>
      <w:r>
        <w:rPr>
          <w:spacing w:val="7"/>
        </w:rPr>
        <w:t>水、供电、供气、供热等公共设施的安全和正</w:t>
      </w:r>
      <w:r>
        <w:rPr>
          <w:spacing w:val="6"/>
        </w:rPr>
        <w:t>常运行；</w:t>
      </w:r>
    </w:p>
    <w:p>
      <w:pPr>
        <w:pStyle w:val="BodyText"/>
        <w:ind w:left="20" w:right="112" w:firstLine="402"/>
        <w:spacing w:before="158" w:line="301" w:lineRule="auto"/>
        <w:rPr/>
      </w:pPr>
      <w:r>
        <w:rPr>
          <w:rFonts w:ascii="KaiTi" w:hAnsi="KaiTi" w:eastAsia="KaiTi" w:cs="KaiTi"/>
          <w:spacing w:val="6"/>
        </w:rPr>
        <w:t>⑦</w:t>
      </w:r>
      <w:r>
        <w:rPr>
          <w:spacing w:val="6"/>
        </w:rPr>
        <w:t>转移、疏散或者撤离易受突发事件危害</w:t>
      </w:r>
      <w:r>
        <w:rPr>
          <w:spacing w:val="8"/>
        </w:rPr>
        <w:t>的人员并予以妥善安置，转移重要财产；</w:t>
      </w:r>
    </w:p>
    <w:p>
      <w:pPr>
        <w:pStyle w:val="BodyText"/>
        <w:ind w:left="2" w:right="112" w:firstLine="420"/>
        <w:spacing w:before="160" w:line="326" w:lineRule="auto"/>
        <w:rPr/>
      </w:pPr>
      <w:r>
        <w:rPr>
          <w:rFonts w:ascii="KaiTi" w:hAnsi="KaiTi" w:eastAsia="KaiTi" w:cs="KaiTi"/>
          <w:spacing w:val="19"/>
        </w:rPr>
        <w:t>⑧</w:t>
      </w:r>
      <w:r>
        <w:rPr>
          <w:spacing w:val="19"/>
        </w:rPr>
        <w:t>关闭或者限制使用易受突发事件危害</w:t>
      </w:r>
      <w:r>
        <w:rPr>
          <w:spacing w:val="7"/>
        </w:rPr>
        <w:t>的场所，控制或者限制容易导致危害扩大的公</w:t>
      </w:r>
      <w:r>
        <w:rPr>
          <w:spacing w:val="7"/>
        </w:rPr>
        <w:t>共场所的活动；</w:t>
      </w:r>
    </w:p>
    <w:p>
      <w:pPr>
        <w:pStyle w:val="BodyText"/>
        <w:ind w:left="3" w:right="112" w:firstLine="419"/>
        <w:spacing w:before="158" w:line="338" w:lineRule="auto"/>
        <w:rPr/>
      </w:pPr>
      <w:r>
        <w:rPr>
          <w:rFonts w:ascii="KaiTi" w:hAnsi="KaiTi" w:eastAsia="KaiTi" w:cs="KaiTi"/>
          <w:spacing w:val="6"/>
        </w:rPr>
        <w:t>⑨</w:t>
      </w:r>
      <w:r>
        <w:rPr>
          <w:spacing w:val="6"/>
        </w:rPr>
        <w:t>有关地区和部门发布预警后，其他相关</w:t>
      </w:r>
      <w:r>
        <w:rPr>
          <w:spacing w:val="18"/>
        </w:rPr>
        <w:t>地区和部门及时组织分析本地区和本行业可</w:t>
      </w:r>
      <w:r>
        <w:rPr>
          <w:spacing w:val="7"/>
        </w:rPr>
        <w:t>能受到影响的范围、程度等，安排部署有关防</w:t>
      </w:r>
      <w:r>
        <w:rPr>
          <w:spacing w:val="6"/>
        </w:rPr>
        <w:t>范性措施；</w:t>
      </w:r>
    </w:p>
    <w:p>
      <w:pPr>
        <w:pStyle w:val="BodyText"/>
        <w:ind w:left="13" w:right="112" w:firstLine="400"/>
        <w:spacing w:before="158" w:line="314"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）解除预警。当突发事件风险已经解</w:t>
      </w:r>
      <w:r>
        <w:rPr>
          <w:spacing w:val="6"/>
        </w:rPr>
        <w:t>除，发布警报的政府或有关部门要立即宣布解</w:t>
      </w:r>
      <w:r>
        <w:rPr>
          <w:spacing w:val="7"/>
        </w:rPr>
        <w:t>除警报，终止预警期。</w:t>
      </w:r>
    </w:p>
    <w:p>
      <w:pPr>
        <w:spacing w:line="314" w:lineRule="auto"/>
        <w:sectPr>
          <w:type w:val="continuous"/>
          <w:pgSz w:w="11906" w:h="16839"/>
          <w:pgMar w:top="1769" w:right="1478" w:bottom="1570" w:left="1588" w:header="1428" w:footer="1172" w:gutter="0"/>
          <w:cols w:equalWidth="0" w:num="2">
            <w:col w:w="4479" w:space="100"/>
            <w:col w:w="4262" w:space="0"/>
          </w:cols>
        </w:sectPr>
        <w:rPr/>
      </w:pPr>
    </w:p>
    <w:p>
      <w:pPr>
        <w:spacing w:before="70"/>
        <w:rPr/>
      </w:pPr>
      <w:r>
        <w:drawing>
          <wp:anchor distT="0" distB="0" distL="0" distR="0" simplePos="0" relativeHeight="252080128"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176" name="IM 1176"/>
            <wp:cNvGraphicFramePr/>
            <a:graphic>
              <a:graphicData uri="http://schemas.openxmlformats.org/drawingml/2006/picture">
                <pic:pic>
                  <pic:nvPicPr>
                    <pic:cNvPr id="1176" name="IM 1176"/>
                    <pic:cNvPicPr/>
                  </pic:nvPicPr>
                  <pic:blipFill>
                    <a:blip r:embed="rId590"/>
                    <a:stretch>
                      <a:fillRect/>
                    </a:stretch>
                  </pic:blipFill>
                  <pic:spPr>
                    <a:xfrm rot="0">
                      <a:off x="0" y="0"/>
                      <a:ext cx="5579745" cy="7620"/>
                    </a:xfrm>
                    <a:prstGeom prst="rect">
                      <a:avLst/>
                    </a:prstGeom>
                  </pic:spPr>
                </pic:pic>
              </a:graphicData>
            </a:graphic>
          </wp:anchor>
        </w:drawing>
      </w:r>
      <w:r/>
    </w:p>
    <w:p>
      <w:pPr>
        <w:sectPr>
          <w:headerReference w:type="default" r:id="rId549"/>
          <w:footerReference w:type="default" r:id="rId589"/>
          <w:pgSz w:w="11906" w:h="16839"/>
          <w:pgMar w:top="1766" w:right="1530" w:bottom="1563" w:left="1579" w:header="1428" w:footer="1172" w:gutter="0"/>
          <w:cols w:equalWidth="0" w:num="1">
            <w:col w:w="8796" w:space="0"/>
          </w:cols>
        </w:sectPr>
        <w:rPr/>
      </w:pPr>
    </w:p>
    <w:p>
      <w:pPr>
        <w:ind w:left="437"/>
        <w:spacing w:before="47" w:line="266" w:lineRule="exact"/>
        <w:rPr>
          <w:rFonts w:ascii="KaiTi" w:hAnsi="KaiTi" w:eastAsia="KaiTi" w:cs="KaiTi"/>
          <w:sz w:val="20"/>
          <w:szCs w:val="20"/>
        </w:rPr>
      </w:pPr>
      <w:r>
        <w:rPr>
          <w:rFonts w:ascii="Times New Roman" w:hAnsi="Times New Roman" w:eastAsia="Times New Roman" w:cs="Times New Roman"/>
          <w:sz w:val="20"/>
          <w:szCs w:val="20"/>
          <w:spacing w:val="5"/>
          <w:position w:val="1"/>
        </w:rPr>
        <w:t>3.3  </w:t>
      </w:r>
      <w:r>
        <w:rPr>
          <w:rFonts w:ascii="KaiTi" w:hAnsi="KaiTi" w:eastAsia="KaiTi" w:cs="KaiTi"/>
          <w:sz w:val="20"/>
          <w:szCs w:val="20"/>
          <w:spacing w:val="5"/>
          <w:position w:val="1"/>
        </w:rPr>
        <w:t>应急处置与救援。</w:t>
      </w:r>
    </w:p>
    <w:p>
      <w:pPr>
        <w:pStyle w:val="BodyText"/>
        <w:ind w:left="437"/>
        <w:spacing w:before="143" w:line="221" w:lineRule="auto"/>
        <w:rPr/>
      </w:pPr>
      <w:r>
        <w:rPr>
          <w:rFonts w:ascii="Times New Roman" w:hAnsi="Times New Roman" w:eastAsia="Times New Roman" w:cs="Times New Roman"/>
          <w:spacing w:val="4"/>
        </w:rPr>
        <w:t>3.3.1 </w:t>
      </w:r>
      <w:r>
        <w:rPr>
          <w:spacing w:val="4"/>
        </w:rPr>
        <w:t>信息报告。</w:t>
      </w:r>
    </w:p>
    <w:p>
      <w:pPr>
        <w:pStyle w:val="BodyText"/>
        <w:ind w:left="11" w:right="244" w:firstLine="413"/>
        <w:spacing w:before="163" w:line="354" w:lineRule="auto"/>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）突发事件发生或发现较大风险</w:t>
      </w:r>
      <w:r>
        <w:rPr>
          <w:spacing w:val="-59"/>
        </w:rPr>
        <w:t xml:space="preserve"> </w:t>
      </w:r>
      <w:r>
        <w:rPr>
          <w:spacing w:val="5"/>
        </w:rPr>
        <w:t>，基</w:t>
      </w:r>
      <w:r>
        <w:rPr>
          <w:spacing w:val="7"/>
        </w:rPr>
        <w:t>层网格员和有关乡镇（街道）、社区、村、企</w:t>
      </w:r>
      <w:r>
        <w:rPr>
          <w:spacing w:val="7"/>
        </w:rPr>
        <w:t>业、社会组织及监测网点等要及时向所在地政</w:t>
      </w:r>
      <w:r>
        <w:rPr>
          <w:spacing w:val="7"/>
        </w:rPr>
        <w:t>府及其有关部门报告信息。事发地政府及其有</w:t>
      </w:r>
      <w:r>
        <w:rPr>
          <w:spacing w:val="-2"/>
        </w:rPr>
        <w:t>关部门按照规定向上级政府及其有关部门报送信</w:t>
      </w:r>
      <w:r>
        <w:rPr>
          <w:spacing w:val="-2"/>
        </w:rPr>
        <w:t>息。其中，自然灾害类、安全生产类突发事件信</w:t>
      </w:r>
      <w:r>
        <w:rPr>
          <w:spacing w:val="-8"/>
        </w:rPr>
        <w:t>息，报送上级政府的同时抄送上级应急管理部门。</w:t>
      </w:r>
      <w:r>
        <w:rPr>
          <w:spacing w:val="-11"/>
        </w:rPr>
        <w:t>根据事态进展及时续报突发事件处置等有关情况。</w:t>
      </w:r>
    </w:p>
    <w:p>
      <w:pPr>
        <w:pStyle w:val="BodyText"/>
        <w:ind w:left="15" w:right="329" w:firstLine="409"/>
        <w:spacing w:before="158" w:line="352"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）特别重大、重大突发事件信息要及</w:t>
      </w:r>
      <w:r>
        <w:rPr>
          <w:spacing w:val="4"/>
        </w:rPr>
        <w:t>时报送自治区人民政府。市县（</w:t>
      </w:r>
      <w:r>
        <w:rPr>
          <w:spacing w:val="-38"/>
        </w:rPr>
        <w:t xml:space="preserve"> </w:t>
      </w:r>
      <w:r>
        <w:rPr>
          <w:spacing w:val="4"/>
        </w:rPr>
        <w:t>区）人民政府</w:t>
      </w:r>
      <w:r>
        <w:rPr>
          <w:spacing w:val="18"/>
        </w:rPr>
        <w:t>和有关部门要全面掌握较大以上突发事件信</w:t>
      </w:r>
      <w:r>
        <w:rPr>
          <w:spacing w:val="7"/>
        </w:rPr>
        <w:t>息，了解一般突发事件信息。对于一些事件本</w:t>
      </w:r>
      <w:r>
        <w:rPr>
          <w:spacing w:val="7"/>
        </w:rPr>
        <w:t>身比较敏感或发生在重点地区、重要时段，或</w:t>
      </w:r>
      <w:r>
        <w:rPr>
          <w:spacing w:val="7"/>
        </w:rPr>
        <w:t>可能演化为特别重大、重大突发事件的，要及</w:t>
      </w:r>
      <w:r>
        <w:rPr>
          <w:spacing w:val="5"/>
        </w:rPr>
        <w:t>时上报。</w:t>
      </w:r>
    </w:p>
    <w:p>
      <w:pPr>
        <w:pStyle w:val="BodyText"/>
        <w:ind w:left="13" w:right="315" w:firstLine="411"/>
        <w:spacing w:before="162" w:line="336" w:lineRule="auto"/>
        <w:rPr/>
      </w:pPr>
      <w:r>
        <w:rPr>
          <w:spacing w:val="1"/>
        </w:rPr>
        <w:t>（</w:t>
      </w:r>
      <w:r>
        <w:rPr>
          <w:rFonts w:ascii="Times New Roman" w:hAnsi="Times New Roman" w:eastAsia="Times New Roman" w:cs="Times New Roman"/>
          <w:spacing w:val="1"/>
        </w:rPr>
        <w:t>3</w:t>
      </w:r>
      <w:r>
        <w:rPr>
          <w:rFonts w:ascii="Times New Roman" w:hAnsi="Times New Roman" w:eastAsia="Times New Roman" w:cs="Times New Roman"/>
          <w:spacing w:val="-21"/>
        </w:rPr>
        <w:t xml:space="preserve"> </w:t>
      </w:r>
      <w:r>
        <w:rPr>
          <w:spacing w:val="1"/>
        </w:rPr>
        <w:t>）接到信息报告后，各级政府及其有关</w:t>
      </w:r>
      <w:r>
        <w:rPr>
          <w:spacing w:val="-2"/>
        </w:rPr>
        <w:t>部门要立即如实向上级政府及其主管部门报告，</w:t>
      </w:r>
      <w:r>
        <w:rPr>
          <w:spacing w:val="-6"/>
        </w:rPr>
        <w:t>信息初报不得超过</w:t>
      </w:r>
      <w:r>
        <w:rPr>
          <w:spacing w:val="-53"/>
        </w:rPr>
        <w:t xml:space="preserve"> </w:t>
      </w:r>
      <w:r>
        <w:rPr>
          <w:rFonts w:ascii="Times New Roman" w:hAnsi="Times New Roman" w:eastAsia="Times New Roman" w:cs="Times New Roman"/>
          <w:spacing w:val="-6"/>
        </w:rPr>
        <w:t>30 </w:t>
      </w:r>
      <w:r>
        <w:rPr>
          <w:spacing w:val="-6"/>
        </w:rPr>
        <w:t>分钟，不得迟报、谎报、瞒</w:t>
      </w:r>
      <w:r>
        <w:rPr>
          <w:spacing w:val="-4"/>
        </w:rPr>
        <w:t>报、漏报，同时通报可能受影响的地区和部门。</w:t>
      </w:r>
    </w:p>
    <w:p>
      <w:pPr>
        <w:pStyle w:val="BodyText"/>
        <w:ind w:left="4" w:right="306" w:firstLine="420"/>
        <w:spacing w:before="158" w:line="358"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）应急管理部门建立健全信息快速获</w:t>
      </w:r>
      <w:r>
        <w:rPr>
          <w:spacing w:val="7"/>
        </w:rPr>
        <w:t>取机制，完善信息报送和共享系统，融合相关</w:t>
      </w:r>
      <w:r>
        <w:rPr>
          <w:spacing w:val="7"/>
        </w:rPr>
        <w:t>部门、地方的应急基础信息、地理信息、资源</w:t>
      </w:r>
      <w:r>
        <w:rPr>
          <w:spacing w:val="7"/>
        </w:rPr>
        <w:t>信息、预案和案例信息、动态信息等，为应对</w:t>
      </w:r>
      <w:r>
        <w:rPr>
          <w:spacing w:val="7"/>
        </w:rPr>
        <w:t>突发事件提供信息保障。报告内容一般包括突</w:t>
      </w:r>
      <w:r>
        <w:rPr>
          <w:spacing w:val="8"/>
        </w:rPr>
        <w:t>发事件发生的时间、地点、信息来源、性质、</w:t>
      </w:r>
      <w:r>
        <w:rPr>
          <w:spacing w:val="7"/>
        </w:rPr>
        <w:t>简要经过、影响范围（含环境影响）、人员伤</w:t>
      </w:r>
      <w:r>
        <w:rPr>
          <w:spacing w:val="7"/>
        </w:rPr>
        <w:t>（病）亡和失联情况、房屋倒塌损坏情况、交</w:t>
      </w:r>
      <w:r>
        <w:rPr>
          <w:spacing w:val="7"/>
        </w:rPr>
        <w:t>通通信电力等基础设施损毁情况、现场救援情</w:t>
      </w:r>
      <w:r>
        <w:rPr>
          <w:spacing w:val="9"/>
        </w:rPr>
        <w:t>况和已经采取的主要措施等。</w:t>
      </w:r>
    </w:p>
    <w:p>
      <w:pPr>
        <w:pStyle w:val="BodyText"/>
        <w:ind w:left="437"/>
        <w:spacing w:before="168" w:line="194" w:lineRule="auto"/>
        <w:rPr/>
      </w:pPr>
      <w:r>
        <w:rPr>
          <w:rFonts w:ascii="Times New Roman" w:hAnsi="Times New Roman" w:eastAsia="Times New Roman" w:cs="Times New Roman"/>
          <w:spacing w:val="10"/>
        </w:rPr>
        <w:t>3.3.2 </w:t>
      </w:r>
      <w:r>
        <w:rPr>
          <w:spacing w:val="10"/>
        </w:rPr>
        <w:t>先期处置。突发事件发生后</w:t>
      </w:r>
      <w:r>
        <w:rPr>
          <w:rFonts w:ascii="Times New Roman" w:hAnsi="Times New Roman" w:eastAsia="Times New Roman" w:cs="Times New Roman"/>
          <w:spacing w:val="10"/>
        </w:rPr>
        <w:t>,</w:t>
      </w:r>
      <w:r>
        <w:rPr>
          <w:spacing w:val="10"/>
        </w:rPr>
        <w:t>事发地</w:t>
      </w:r>
    </w:p>
    <w:p>
      <w:pPr>
        <w:spacing w:line="14" w:lineRule="auto"/>
        <w:rPr>
          <w:rFonts w:ascii="Arial"/>
          <w:sz w:val="2"/>
        </w:rPr>
      </w:pPr>
      <w:r>
        <w:rPr>
          <w:rFonts w:ascii="Arial" w:hAnsi="Arial" w:eastAsia="Arial" w:cs="Arial"/>
          <w:sz w:val="2"/>
          <w:szCs w:val="2"/>
        </w:rPr>
        <w:br w:type="column"/>
      </w:r>
    </w:p>
    <w:p>
      <w:pPr>
        <w:pStyle w:val="BodyText"/>
        <w:ind w:right="39" w:firstLine="18"/>
        <w:spacing w:before="48" w:line="373" w:lineRule="auto"/>
        <w:jc w:val="both"/>
        <w:rPr/>
      </w:pPr>
      <w:r>
        <w:rPr>
          <w:spacing w:val="4"/>
        </w:rPr>
        <w:t>的县（</w:t>
      </w:r>
      <w:r>
        <w:rPr>
          <w:spacing w:val="-51"/>
        </w:rPr>
        <w:t xml:space="preserve"> </w:t>
      </w:r>
      <w:r>
        <w:rPr>
          <w:spacing w:val="4"/>
        </w:rPr>
        <w:t>区）人民政府、有关部门（单位）要立</w:t>
      </w:r>
      <w:r>
        <w:rPr>
          <w:spacing w:val="8"/>
        </w:rPr>
        <w:t>即启动相关预案的应急响应，第一时间报告。</w:t>
      </w:r>
      <w:r>
        <w:rPr>
          <w:spacing w:val="18"/>
        </w:rPr>
        <w:t>接到报告的各级政府及其有关部门领导要按</w:t>
      </w:r>
      <w:r>
        <w:rPr>
          <w:spacing w:val="7"/>
        </w:rPr>
        <w:t>照相关预案职责要求，第一时间赶赴现场，组</w:t>
      </w:r>
      <w:r>
        <w:rPr>
          <w:spacing w:val="7"/>
        </w:rPr>
        <w:t>织、协调、动员当地有关专业应急力量和群众</w:t>
      </w:r>
      <w:r>
        <w:rPr>
          <w:spacing w:val="7"/>
        </w:rPr>
        <w:t>进行先期处置，并将事件的性质、类别、危害</w:t>
      </w:r>
      <w:r>
        <w:rPr>
          <w:spacing w:val="7"/>
        </w:rPr>
        <w:t>程度、影响范围、防护措施、发展趋势等进行</w:t>
      </w:r>
      <w:r>
        <w:rPr>
          <w:spacing w:val="7"/>
        </w:rPr>
        <w:t>评估上报，采取有效措施控制事态发展，严防</w:t>
      </w:r>
      <w:r>
        <w:rPr>
          <w:spacing w:val="8"/>
        </w:rPr>
        <w:t>次生、衍生灾害。</w:t>
      </w:r>
    </w:p>
    <w:p>
      <w:pPr>
        <w:pStyle w:val="BodyText"/>
        <w:ind w:left="426"/>
        <w:spacing w:before="2" w:line="218" w:lineRule="auto"/>
        <w:rPr/>
      </w:pPr>
      <w:r>
        <w:rPr>
          <w:rFonts w:ascii="Times New Roman" w:hAnsi="Times New Roman" w:eastAsia="Times New Roman" w:cs="Times New Roman"/>
          <w:spacing w:val="4"/>
        </w:rPr>
        <w:t>3.3.3 </w:t>
      </w:r>
      <w:r>
        <w:rPr>
          <w:spacing w:val="4"/>
        </w:rPr>
        <w:t>指挥协调。</w:t>
      </w:r>
    </w:p>
    <w:p>
      <w:pPr>
        <w:pStyle w:val="BodyText"/>
        <w:ind w:right="52" w:firstLine="412"/>
        <w:spacing w:before="164" w:line="358"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）组织指挥。上级政府及相应部门指</w:t>
      </w:r>
      <w:r>
        <w:rPr>
          <w:spacing w:val="7"/>
        </w:rPr>
        <w:t>导下级政府及相应部门开展应对工作。上级组</w:t>
      </w:r>
      <w:r>
        <w:rPr>
          <w:spacing w:val="7"/>
        </w:rPr>
        <w:t>织指挥机构设立后，下级组织指挥机构按照上</w:t>
      </w:r>
      <w:r>
        <w:rPr>
          <w:spacing w:val="18"/>
        </w:rPr>
        <w:t>级组织指挥机构要求做好应急处置与救援工</w:t>
      </w:r>
      <w:r>
        <w:rPr>
          <w:spacing w:val="18"/>
        </w:rPr>
        <w:t>作。各级政府及部门按照分级应对与响应原</w:t>
      </w:r>
      <w:r>
        <w:rPr>
          <w:spacing w:val="15"/>
        </w:rPr>
        <w:t>则</w:t>
      </w:r>
      <w:r>
        <w:rPr>
          <w:spacing w:val="-40"/>
        </w:rPr>
        <w:t xml:space="preserve"> </w:t>
      </w:r>
      <w:r>
        <w:rPr>
          <w:spacing w:val="15"/>
        </w:rPr>
        <w:t>，分别负责相应级别突发事件应急组织指</w:t>
      </w:r>
      <w:r>
        <w:rPr>
          <w:spacing w:val="7"/>
        </w:rPr>
        <w:t>挥。超出事发地政府处置能力时，上一级政府</w:t>
      </w:r>
      <w:r>
        <w:rPr>
          <w:spacing w:val="7"/>
        </w:rPr>
        <w:t>根据事发地政府的请求或根据应对工作需要，</w:t>
      </w:r>
      <w:r>
        <w:rPr>
          <w:spacing w:val="7"/>
        </w:rPr>
        <w:t>指挥权可提升至上级组织指挥机构。必要时可</w:t>
      </w:r>
      <w:r>
        <w:rPr>
          <w:spacing w:val="9"/>
        </w:rPr>
        <w:t>直接请求自治区政府开展协调处置工作。</w:t>
      </w:r>
    </w:p>
    <w:p>
      <w:pPr>
        <w:pStyle w:val="BodyText"/>
        <w:ind w:right="59" w:firstLine="413"/>
        <w:spacing w:before="158" w:line="352"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）现场指挥。上级政府设立现场指挥</w:t>
      </w:r>
      <w:r>
        <w:rPr>
          <w:spacing w:val="7"/>
        </w:rPr>
        <w:t>机构的，下级政府的组织指挥机构应纳入上级</w:t>
      </w:r>
      <w:r>
        <w:rPr>
          <w:spacing w:val="7"/>
        </w:rPr>
        <w:t>现场指挥机构，在上级现场指挥机构的统一领</w:t>
      </w:r>
      <w:r>
        <w:rPr>
          <w:spacing w:val="7"/>
        </w:rPr>
        <w:t>导下组织开展突发事件应对工作。现场指挥机</w:t>
      </w:r>
      <w:r>
        <w:rPr>
          <w:spacing w:val="7"/>
        </w:rPr>
        <w:t>构要开设统一的救援队伍集结点、物资接收点</w:t>
      </w:r>
      <w:r>
        <w:rPr>
          <w:spacing w:val="7"/>
        </w:rPr>
        <w:t>和分发点、新闻发布中心，并提供必要的后勤</w:t>
      </w:r>
      <w:r>
        <w:rPr>
          <w:spacing w:val="5"/>
        </w:rPr>
        <w:t>保障。</w:t>
      </w:r>
    </w:p>
    <w:p>
      <w:pPr>
        <w:pStyle w:val="BodyText"/>
        <w:ind w:left="2" w:right="59" w:firstLine="410"/>
        <w:spacing w:before="162" w:line="338"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）协同联动。固原军分区、武警固原</w:t>
      </w:r>
      <w:r>
        <w:rPr>
          <w:spacing w:val="18"/>
        </w:rPr>
        <w:t>支队和民兵预备役按照国家有关规定组成指</w:t>
      </w:r>
      <w:r>
        <w:rPr>
          <w:spacing w:val="7"/>
        </w:rPr>
        <w:t>挥机构参加突发事件应急处置。社会组织参与</w:t>
      </w:r>
      <w:r>
        <w:rPr>
          <w:spacing w:val="7"/>
        </w:rPr>
        <w:t>突发事件应急处置与救援，纳入现场指挥机构</w:t>
      </w:r>
      <w:r>
        <w:rPr>
          <w:spacing w:val="8"/>
        </w:rPr>
        <w:t>统一管理、统一调动、统一行动。</w:t>
      </w:r>
    </w:p>
    <w:p>
      <w:pPr>
        <w:spacing w:line="338" w:lineRule="auto"/>
        <w:sectPr>
          <w:type w:val="continuous"/>
          <w:pgSz w:w="11906" w:h="16839"/>
          <w:pgMar w:top="1766" w:right="1530" w:bottom="1563" w:left="1579" w:header="1428" w:footer="1172" w:gutter="0"/>
          <w:cols w:equalWidth="0" w:num="2">
            <w:col w:w="4489" w:space="100"/>
            <w:col w:w="4207" w:space="0"/>
          </w:cols>
        </w:sectPr>
        <w:rPr/>
      </w:pPr>
    </w:p>
    <w:p>
      <w:pPr>
        <w:spacing w:before="82"/>
        <w:rPr/>
      </w:pPr>
      <w:r>
        <w:drawing>
          <wp:anchor distT="0" distB="0" distL="0" distR="0" simplePos="0" relativeHeight="252082176" behindDoc="0" locked="0" layoutInCell="0" allowOverlap="1">
            <wp:simplePos x="0" y="0"/>
            <wp:positionH relativeFrom="page">
              <wp:posOffset>1008380</wp:posOffset>
            </wp:positionH>
            <wp:positionV relativeFrom="page">
              <wp:posOffset>1122680</wp:posOffset>
            </wp:positionV>
            <wp:extent cx="5579745" cy="7619"/>
            <wp:effectExtent l="0" t="0" r="0" b="0"/>
            <wp:wrapNone/>
            <wp:docPr id="1180" name="IM 1180"/>
            <wp:cNvGraphicFramePr/>
            <a:graphic>
              <a:graphicData uri="http://schemas.openxmlformats.org/drawingml/2006/picture">
                <pic:pic>
                  <pic:nvPicPr>
                    <pic:cNvPr id="1180" name="IM 1180"/>
                    <pic:cNvPicPr/>
                  </pic:nvPicPr>
                  <pic:blipFill>
                    <a:blip r:embed="rId592"/>
                    <a:stretch>
                      <a:fillRect/>
                    </a:stretch>
                  </pic:blipFill>
                  <pic:spPr>
                    <a:xfrm rot="0">
                      <a:off x="0" y="0"/>
                      <a:ext cx="5579745" cy="7619"/>
                    </a:xfrm>
                    <a:prstGeom prst="rect">
                      <a:avLst/>
                    </a:prstGeom>
                  </pic:spPr>
                </pic:pic>
              </a:graphicData>
            </a:graphic>
          </wp:anchor>
        </w:drawing>
      </w:r>
      <w:r/>
    </w:p>
    <w:p>
      <w:pPr>
        <w:sectPr>
          <w:headerReference w:type="default" r:id="rId536"/>
          <w:footerReference w:type="default" r:id="rId591"/>
          <w:pgSz w:w="11906" w:h="16839"/>
          <w:pgMar w:top="1769" w:right="1489" w:bottom="1570" w:left="1588" w:header="1428" w:footer="1172" w:gutter="0"/>
          <w:cols w:equalWidth="0" w:num="1">
            <w:col w:w="8829" w:space="0"/>
          </w:cols>
        </w:sectPr>
        <w:rPr/>
      </w:pPr>
    </w:p>
    <w:p>
      <w:pPr>
        <w:pStyle w:val="BodyText"/>
        <w:ind w:left="429"/>
        <w:spacing w:before="43" w:line="217" w:lineRule="auto"/>
        <w:rPr/>
      </w:pPr>
      <w:r>
        <w:rPr>
          <w:rFonts w:ascii="Times New Roman" w:hAnsi="Times New Roman" w:eastAsia="Times New Roman" w:cs="Times New Roman"/>
          <w:spacing w:val="4"/>
        </w:rPr>
        <w:t>3.3.4 </w:t>
      </w:r>
      <w:r>
        <w:rPr>
          <w:spacing w:val="4"/>
        </w:rPr>
        <w:t>处置措施。</w:t>
      </w:r>
    </w:p>
    <w:p>
      <w:pPr>
        <w:pStyle w:val="BodyText"/>
        <w:ind w:left="5" w:right="329" w:firstLine="410"/>
        <w:spacing w:before="165" w:line="335"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）自然灾害、事故灾难或者公共卫生</w:t>
      </w:r>
      <w:r>
        <w:rPr>
          <w:spacing w:val="7"/>
        </w:rPr>
        <w:t>事件发生后，事发地县级以上人民政府应采取</w:t>
      </w:r>
      <w:r>
        <w:rPr>
          <w:spacing w:val="8"/>
        </w:rPr>
        <w:t>下列一项或者多项应急措施：</w:t>
      </w:r>
    </w:p>
    <w:p>
      <w:pPr>
        <w:pStyle w:val="BodyText"/>
        <w:ind w:left="3" w:right="329" w:firstLine="421"/>
        <w:spacing w:before="128" w:line="349" w:lineRule="auto"/>
        <w:rPr/>
      </w:pPr>
      <w:r>
        <w:rPr>
          <w:rFonts w:ascii="KaiTi" w:hAnsi="KaiTi" w:eastAsia="KaiTi" w:cs="KaiTi"/>
          <w:spacing w:val="6"/>
        </w:rPr>
        <w:t>①</w:t>
      </w:r>
      <w:r>
        <w:rPr>
          <w:spacing w:val="6"/>
        </w:rPr>
        <w:t>现场信息获取。组织现场人员、应急测</w:t>
      </w:r>
      <w:r>
        <w:rPr>
          <w:spacing w:val="7"/>
        </w:rPr>
        <w:t>绘等，利用无人机等手段获取现场影像，分析</w:t>
      </w:r>
      <w:r>
        <w:rPr>
          <w:spacing w:val="7"/>
        </w:rPr>
        <w:t>研判道路桥梁、通信、电力等基础设施和居民</w:t>
      </w:r>
      <w:r>
        <w:rPr>
          <w:spacing w:val="7"/>
        </w:rPr>
        <w:t>住房损毁情况，重要目标物、人员密集场所和</w:t>
      </w:r>
      <w:r>
        <w:rPr>
          <w:spacing w:val="7"/>
        </w:rPr>
        <w:t>人口分布等信息，提出初步评估意见，并向现</w:t>
      </w:r>
      <w:r>
        <w:rPr>
          <w:spacing w:val="8"/>
        </w:rPr>
        <w:t>场指挥机构和有关部门报告。</w:t>
      </w:r>
    </w:p>
    <w:p>
      <w:pPr>
        <w:pStyle w:val="BodyText"/>
        <w:ind w:left="3" w:right="329" w:firstLine="421"/>
        <w:spacing w:before="166" w:line="337" w:lineRule="auto"/>
        <w:rPr/>
      </w:pPr>
      <w:r>
        <w:rPr>
          <w:rFonts w:ascii="KaiTi" w:hAnsi="KaiTi" w:eastAsia="KaiTi" w:cs="KaiTi"/>
          <w:spacing w:val="6"/>
        </w:rPr>
        <w:t>②</w:t>
      </w:r>
      <w:r>
        <w:rPr>
          <w:spacing w:val="6"/>
        </w:rPr>
        <w:t>组织营救受灾和被困人员，疏散、撤离</w:t>
      </w:r>
      <w:r>
        <w:rPr>
          <w:spacing w:val="7"/>
        </w:rPr>
        <w:t>并妥善安置受威胁人员，必要时组织动员社会</w:t>
      </w:r>
      <w:r>
        <w:rPr>
          <w:spacing w:val="7"/>
        </w:rPr>
        <w:t>应急力量有序参与应急处置与救援、受灾人员</w:t>
      </w:r>
      <w:r>
        <w:rPr>
          <w:spacing w:val="7"/>
        </w:rPr>
        <w:t>救助工作。</w:t>
      </w:r>
    </w:p>
    <w:p>
      <w:pPr>
        <w:pStyle w:val="BodyText"/>
        <w:ind w:left="4" w:right="322" w:firstLine="420"/>
        <w:spacing w:before="162" w:line="337" w:lineRule="auto"/>
        <w:rPr/>
      </w:pPr>
      <w:r>
        <w:rPr>
          <w:rFonts w:ascii="KaiTi" w:hAnsi="KaiTi" w:eastAsia="KaiTi" w:cs="KaiTi"/>
          <w:spacing w:val="7"/>
        </w:rPr>
        <w:t>③</w:t>
      </w:r>
      <w:r>
        <w:rPr>
          <w:spacing w:val="7"/>
        </w:rPr>
        <w:t>组织救治伤病人员，做好传染源管控，</w:t>
      </w:r>
      <w:r>
        <w:rPr>
          <w:spacing w:val="7"/>
        </w:rPr>
        <w:t>对传染病密切接触者实施医学观察，广泛开展</w:t>
      </w:r>
      <w:r>
        <w:rPr>
          <w:spacing w:val="7"/>
        </w:rPr>
        <w:t>卫生防疫知识宣传。根据公共卫生风险评估，</w:t>
      </w:r>
      <w:r>
        <w:rPr>
          <w:spacing w:val="-12"/>
        </w:rPr>
        <w:t>采取消、杀、灭和应急接种、预防性服药等措施。</w:t>
      </w:r>
    </w:p>
    <w:p>
      <w:pPr>
        <w:pStyle w:val="BodyText"/>
        <w:ind w:left="3" w:right="306" w:firstLine="421"/>
        <w:spacing w:before="166" w:line="353" w:lineRule="auto"/>
        <w:rPr/>
      </w:pPr>
      <w:r>
        <w:rPr>
          <w:rFonts w:ascii="KaiTi" w:hAnsi="KaiTi" w:eastAsia="KaiTi" w:cs="KaiTi"/>
          <w:spacing w:val="8"/>
        </w:rPr>
        <w:t>④</w:t>
      </w:r>
      <w:r>
        <w:rPr>
          <w:spacing w:val="8"/>
        </w:rPr>
        <w:t>迅速组织开展抢险工作，控制危险源、</w:t>
      </w:r>
      <w:r>
        <w:rPr>
          <w:spacing w:val="7"/>
        </w:rPr>
        <w:t>减轻或消除危害，并标明危险区域，封锁危险</w:t>
      </w:r>
      <w:r>
        <w:rPr>
          <w:spacing w:val="7"/>
        </w:rPr>
        <w:t>场所，划定警戒区，实行交通管制以及其他控</w:t>
      </w:r>
      <w:r>
        <w:rPr>
          <w:spacing w:val="7"/>
        </w:rPr>
        <w:t>制措施，交通运输、公安等有关部门要保证紧</w:t>
      </w:r>
      <w:r>
        <w:rPr>
          <w:spacing w:val="18"/>
        </w:rPr>
        <w:t>急情况下应急交通工具的优先安排、优先调</w:t>
      </w:r>
      <w:r>
        <w:rPr>
          <w:spacing w:val="7"/>
        </w:rPr>
        <w:t>度、优先放行，确保抢险救灾物资和人员能够</w:t>
      </w:r>
      <w:r>
        <w:rPr>
          <w:spacing w:val="8"/>
        </w:rPr>
        <w:t>及时、安全送达。</w:t>
      </w:r>
    </w:p>
    <w:p>
      <w:pPr>
        <w:pStyle w:val="BodyText"/>
        <w:ind w:right="219" w:firstLine="424"/>
        <w:spacing w:before="165" w:line="336" w:lineRule="auto"/>
        <w:rPr/>
      </w:pPr>
      <w:r>
        <w:rPr>
          <w:rFonts w:ascii="KaiTi" w:hAnsi="KaiTi" w:eastAsia="KaiTi" w:cs="KaiTi"/>
          <w:spacing w:val="1"/>
        </w:rPr>
        <w:t>⑤</w:t>
      </w:r>
      <w:r>
        <w:rPr>
          <w:spacing w:val="1"/>
        </w:rPr>
        <w:t>立即抢修被损坏的交通、通信、供（排）</w:t>
      </w:r>
      <w:r>
        <w:rPr>
          <w:spacing w:val="7"/>
        </w:rPr>
        <w:t>水、供电、供气、供热等公共设施，短时难以</w:t>
      </w:r>
      <w:r>
        <w:rPr>
          <w:spacing w:val="7"/>
        </w:rPr>
        <w:t>恢复的，要实施临时过渡方案，保障社会生产</w:t>
      </w:r>
      <w:r>
        <w:rPr>
          <w:spacing w:val="8"/>
        </w:rPr>
        <w:t>生活基本需要。</w:t>
      </w:r>
    </w:p>
    <w:p>
      <w:pPr>
        <w:pStyle w:val="BodyText"/>
        <w:ind w:left="8" w:right="329" w:firstLine="416"/>
        <w:spacing w:before="165" w:line="314" w:lineRule="auto"/>
        <w:rPr/>
      </w:pPr>
      <w:r>
        <w:rPr>
          <w:rFonts w:ascii="KaiTi" w:hAnsi="KaiTi" w:eastAsia="KaiTi" w:cs="KaiTi"/>
          <w:spacing w:val="6"/>
        </w:rPr>
        <w:t>⑥</w:t>
      </w:r>
      <w:r>
        <w:rPr>
          <w:spacing w:val="6"/>
        </w:rPr>
        <w:t>禁止或者限制使用有关设备、设施，关</w:t>
      </w:r>
      <w:r>
        <w:rPr>
          <w:spacing w:val="7"/>
        </w:rPr>
        <w:t>闭或者限制使用有关场所，中止人员密集的活</w:t>
      </w:r>
      <w:r>
        <w:rPr>
          <w:spacing w:val="18"/>
        </w:rPr>
        <w:t>动或者可能导致危害扩大的生产经营活动以</w:t>
      </w:r>
    </w:p>
    <w:p>
      <w:pPr>
        <w:spacing w:line="14" w:lineRule="auto"/>
        <w:rPr>
          <w:rFonts w:ascii="Arial"/>
          <w:sz w:val="2"/>
        </w:rPr>
      </w:pPr>
      <w:r>
        <w:rPr>
          <w:rFonts w:ascii="Arial" w:hAnsi="Arial" w:eastAsia="Arial" w:cs="Arial"/>
          <w:sz w:val="2"/>
          <w:szCs w:val="2"/>
        </w:rPr>
        <w:br w:type="column"/>
      </w:r>
    </w:p>
    <w:p>
      <w:pPr>
        <w:pStyle w:val="BodyText"/>
        <w:spacing w:before="39" w:line="220" w:lineRule="auto"/>
        <w:rPr/>
      </w:pPr>
      <w:r>
        <w:rPr>
          <w:spacing w:val="8"/>
        </w:rPr>
        <w:t>及采取其他保护措施。</w:t>
      </w:r>
    </w:p>
    <w:p>
      <w:pPr>
        <w:pStyle w:val="BodyText"/>
        <w:ind w:right="101" w:firstLine="420"/>
        <w:spacing w:before="162" w:line="325" w:lineRule="auto"/>
        <w:rPr/>
      </w:pPr>
      <w:r>
        <w:rPr>
          <w:rFonts w:ascii="KaiTi" w:hAnsi="KaiTi" w:eastAsia="KaiTi" w:cs="KaiTi"/>
          <w:spacing w:val="19"/>
        </w:rPr>
        <w:t>⑦</w:t>
      </w:r>
      <w:r>
        <w:rPr>
          <w:spacing w:val="19"/>
        </w:rPr>
        <w:t>启用本级政府设置的财政预备费和储</w:t>
      </w:r>
      <w:r>
        <w:rPr>
          <w:spacing w:val="7"/>
        </w:rPr>
        <w:t>备的应急救援和救灾物资，必要时征用其他急</w:t>
      </w:r>
      <w:r>
        <w:rPr>
          <w:spacing w:val="8"/>
        </w:rPr>
        <w:t>需物资、设备、设施、工具。</w:t>
      </w:r>
    </w:p>
    <w:p>
      <w:pPr>
        <w:pStyle w:val="BodyText"/>
        <w:ind w:right="101" w:firstLine="420"/>
        <w:spacing w:before="163" w:line="345" w:lineRule="auto"/>
        <w:rPr/>
      </w:pPr>
      <w:r>
        <w:rPr>
          <w:rFonts w:ascii="KaiTi" w:hAnsi="KaiTi" w:eastAsia="KaiTi" w:cs="KaiTi"/>
          <w:spacing w:val="6"/>
        </w:rPr>
        <w:t>⑧</w:t>
      </w:r>
      <w:r>
        <w:rPr>
          <w:spacing w:val="6"/>
        </w:rPr>
        <w:t>做好受灾群众的基本生活保障工作，提</w:t>
      </w:r>
      <w:r>
        <w:rPr>
          <w:spacing w:val="7"/>
        </w:rPr>
        <w:t>供食品、饮用水、衣被、燃料等基本生活必需</w:t>
      </w:r>
      <w:r>
        <w:rPr>
          <w:spacing w:val="7"/>
        </w:rPr>
        <w:t>品和临时住所，开展卫生防疫工作，确保灾区</w:t>
      </w:r>
      <w:r>
        <w:rPr>
          <w:spacing w:val="7"/>
        </w:rPr>
        <w:t>群众有饭吃、有水喝、有衣穿、有住处、有病</w:t>
      </w:r>
      <w:r>
        <w:rPr>
          <w:spacing w:val="9"/>
        </w:rPr>
        <w:t>能及时医治，确保大灾之后无大疫。</w:t>
      </w:r>
    </w:p>
    <w:p>
      <w:pPr>
        <w:pStyle w:val="BodyText"/>
        <w:ind w:left="5" w:right="101" w:firstLine="416"/>
        <w:spacing w:before="160" w:line="300" w:lineRule="auto"/>
        <w:rPr/>
      </w:pPr>
      <w:r>
        <w:rPr>
          <w:rFonts w:ascii="KaiTi" w:hAnsi="KaiTi" w:eastAsia="KaiTi" w:cs="KaiTi"/>
          <w:spacing w:val="6"/>
        </w:rPr>
        <w:t>⑨</w:t>
      </w:r>
      <w:r>
        <w:rPr>
          <w:spacing w:val="6"/>
        </w:rPr>
        <w:t>开展遇难人员善后处置工作，妥善处理</w:t>
      </w:r>
      <w:r>
        <w:rPr>
          <w:spacing w:val="-11"/>
        </w:rPr>
        <w:t>遇难人员遗体，做好遇难人员家属安抚等工作。</w:t>
      </w:r>
    </w:p>
    <w:p>
      <w:pPr>
        <w:pStyle w:val="BodyText"/>
        <w:ind w:left="2" w:right="78" w:firstLine="419"/>
        <w:spacing w:before="159" w:line="303" w:lineRule="auto"/>
        <w:rPr/>
      </w:pPr>
      <w:r>
        <w:rPr>
          <w:rFonts w:ascii="KaiTi" w:hAnsi="KaiTi" w:eastAsia="KaiTi" w:cs="KaiTi"/>
          <w:spacing w:val="8"/>
        </w:rPr>
        <w:t>⑩</w:t>
      </w:r>
      <w:r>
        <w:rPr>
          <w:spacing w:val="8"/>
        </w:rPr>
        <w:t>组织开展救灾捐赠活动，接收、管理、</w:t>
      </w:r>
      <w:r>
        <w:rPr>
          <w:spacing w:val="8"/>
        </w:rPr>
        <w:t>分配救灾捐赠款；</w:t>
      </w:r>
    </w:p>
    <w:p>
      <w:pPr>
        <w:pStyle w:val="BodyText"/>
        <w:ind w:right="101" w:firstLine="421"/>
        <w:spacing w:before="158" w:line="325" w:lineRule="auto"/>
        <w:rPr/>
      </w:pPr>
      <w:r>
        <w:rPr>
          <w:rFonts w:ascii="MS Gothic" w:hAnsi="MS Gothic" w:eastAsia="MS Gothic" w:cs="MS Gothic"/>
          <w:spacing w:val="6"/>
        </w:rPr>
        <w:t>⑩</w:t>
      </w:r>
      <w:r>
        <w:rPr>
          <w:spacing w:val="6"/>
        </w:rPr>
        <w:t>依法从严惩处囤积居奇、哄抬物价、制</w:t>
      </w:r>
      <w:r>
        <w:rPr>
          <w:spacing w:val="15"/>
        </w:rPr>
        <w:t>假售假等扰乱市场秩序的行为</w:t>
      </w:r>
      <w:r>
        <w:rPr>
          <w:spacing w:val="-40"/>
        </w:rPr>
        <w:t xml:space="preserve"> </w:t>
      </w:r>
      <w:r>
        <w:rPr>
          <w:spacing w:val="15"/>
        </w:rPr>
        <w:t>，稳定市场价</w:t>
      </w:r>
      <w:r>
        <w:rPr>
          <w:spacing w:val="8"/>
        </w:rPr>
        <w:t>格，维护市场秩序。</w:t>
      </w:r>
    </w:p>
    <w:p>
      <w:pPr>
        <w:pStyle w:val="BodyText"/>
        <w:ind w:left="1" w:right="101" w:firstLine="420"/>
        <w:spacing w:before="160" w:line="300" w:lineRule="auto"/>
        <w:rPr/>
      </w:pPr>
      <w:r>
        <w:rPr>
          <w:rFonts w:ascii="MS Gothic" w:hAnsi="MS Gothic" w:eastAsia="MS Gothic" w:cs="MS Gothic"/>
          <w:spacing w:val="6"/>
        </w:rPr>
        <w:t>⑫</w:t>
      </w:r>
      <w:r>
        <w:rPr>
          <w:spacing w:val="6"/>
        </w:rPr>
        <w:t>依法从严惩处哄抢财物、干扰破坏应急</w:t>
      </w:r>
      <w:r>
        <w:rPr>
          <w:spacing w:val="-12"/>
        </w:rPr>
        <w:t>处置工作等扰乱社会秩序的行为，维护社会治安。</w:t>
      </w:r>
    </w:p>
    <w:p>
      <w:pPr>
        <w:pStyle w:val="BodyText"/>
        <w:ind w:left="2" w:right="101" w:firstLine="420"/>
        <w:spacing w:before="165" w:line="298" w:lineRule="auto"/>
        <w:rPr/>
      </w:pPr>
      <w:r>
        <w:rPr>
          <w:rFonts w:ascii="MS Gothic" w:hAnsi="MS Gothic" w:eastAsia="MS Gothic" w:cs="MS Gothic"/>
          <w:spacing w:val="6"/>
        </w:rPr>
        <w:t>⑬</w:t>
      </w:r>
      <w:r>
        <w:rPr>
          <w:spacing w:val="6"/>
        </w:rPr>
        <w:t>采取防止发生次生、衍生灾害和事件的</w:t>
      </w:r>
      <w:r>
        <w:rPr>
          <w:spacing w:val="6"/>
        </w:rPr>
        <w:t>必要措施。</w:t>
      </w:r>
    </w:p>
    <w:p>
      <w:pPr>
        <w:pStyle w:val="BodyText"/>
        <w:ind w:left="18" w:right="101" w:firstLine="394"/>
        <w:spacing w:before="164" w:line="335"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5"/>
        </w:rPr>
        <w:t xml:space="preserve"> </w:t>
      </w:r>
      <w:r>
        <w:rPr>
          <w:spacing w:val="8"/>
        </w:rPr>
        <w:t>）社会安全事件发生后</w:t>
      </w:r>
      <w:r>
        <w:rPr>
          <w:spacing w:val="-59"/>
        </w:rPr>
        <w:t xml:space="preserve"> </w:t>
      </w:r>
      <w:r>
        <w:rPr>
          <w:spacing w:val="8"/>
        </w:rPr>
        <w:t>，事发地县级</w:t>
      </w:r>
      <w:r>
        <w:rPr>
          <w:spacing w:val="17"/>
        </w:rPr>
        <w:t>以上地方政府要立即组织有关部门针对事件</w:t>
      </w:r>
      <w:r>
        <w:rPr>
          <w:spacing w:val="-11"/>
        </w:rPr>
        <w:t>的性质和特点，采取下列一项或多项应急措施：</w:t>
      </w:r>
    </w:p>
    <w:p>
      <w:pPr>
        <w:pStyle w:val="BodyText"/>
        <w:ind w:left="1" w:right="101" w:firstLine="420"/>
        <w:spacing w:before="127" w:line="325" w:lineRule="auto"/>
        <w:rPr/>
      </w:pPr>
      <w:r>
        <w:rPr>
          <w:rFonts w:ascii="KaiTi" w:hAnsi="KaiTi" w:eastAsia="KaiTi" w:cs="KaiTi"/>
          <w:spacing w:val="6"/>
        </w:rPr>
        <w:t>①</w:t>
      </w:r>
      <w:r>
        <w:rPr>
          <w:spacing w:val="6"/>
        </w:rPr>
        <w:t>尽快了解和分析事件起因，有针对性地</w:t>
      </w:r>
      <w:r>
        <w:rPr>
          <w:spacing w:val="7"/>
        </w:rPr>
        <w:t>开展法制宣传和说服教育，及时疏导、化解矛</w:t>
      </w:r>
      <w:r>
        <w:rPr>
          <w:spacing w:val="6"/>
        </w:rPr>
        <w:t>盾和冲突。</w:t>
      </w:r>
    </w:p>
    <w:p>
      <w:pPr>
        <w:pStyle w:val="BodyText"/>
        <w:ind w:right="101" w:firstLine="421"/>
        <w:spacing w:before="164" w:line="325" w:lineRule="auto"/>
        <w:rPr/>
      </w:pPr>
      <w:r>
        <w:rPr>
          <w:rFonts w:ascii="KaiTi" w:hAnsi="KaiTi" w:eastAsia="KaiTi" w:cs="KaiTi"/>
          <w:spacing w:val="6"/>
        </w:rPr>
        <w:t>②</w:t>
      </w:r>
      <w:r>
        <w:rPr>
          <w:spacing w:val="6"/>
        </w:rPr>
        <w:t>维护现场治安秩序，对使用器械相互对</w:t>
      </w:r>
      <w:r>
        <w:rPr>
          <w:spacing w:val="18"/>
        </w:rPr>
        <w:t>抗或以暴力行为参与冲突的当事人实行强制</w:t>
      </w:r>
      <w:r>
        <w:rPr>
          <w:spacing w:val="-12"/>
        </w:rPr>
        <w:t>隔离，妥善解决现场纠纷和争端，控制事态发展。</w:t>
      </w:r>
    </w:p>
    <w:p>
      <w:pPr>
        <w:pStyle w:val="BodyText"/>
        <w:ind w:right="81" w:firstLine="420"/>
        <w:spacing w:before="161" w:line="314" w:lineRule="auto"/>
        <w:rPr/>
      </w:pPr>
      <w:r>
        <w:rPr>
          <w:rFonts w:ascii="KaiTi" w:hAnsi="KaiTi" w:eastAsia="KaiTi" w:cs="KaiTi"/>
          <w:spacing w:val="6"/>
        </w:rPr>
        <w:t>③</w:t>
      </w:r>
      <w:r>
        <w:rPr>
          <w:spacing w:val="6"/>
        </w:rPr>
        <w:t>对特定区域内的建筑物、交通工具、设</w:t>
      </w:r>
      <w:r>
        <w:rPr>
          <w:spacing w:val="7"/>
        </w:rPr>
        <w:t>备、设施以及燃料、燃气、电力、水的供应进</w:t>
      </w:r>
      <w:r>
        <w:rPr>
          <w:spacing w:val="8"/>
        </w:rPr>
        <w:t>行控制，必要时依法对网络、通信进行管控。</w:t>
      </w:r>
    </w:p>
    <w:p>
      <w:pPr>
        <w:spacing w:line="314" w:lineRule="auto"/>
        <w:sectPr>
          <w:type w:val="continuous"/>
          <w:pgSz w:w="11906" w:h="16839"/>
          <w:pgMar w:top="1769" w:right="1489" w:bottom="1570" w:left="1588" w:header="1428" w:footer="1172" w:gutter="0"/>
          <w:cols w:equalWidth="0" w:num="2">
            <w:col w:w="4481" w:space="100"/>
            <w:col w:w="4249" w:space="0"/>
          </w:cols>
        </w:sectPr>
        <w:rPr/>
      </w:pPr>
    </w:p>
    <w:p>
      <w:pPr>
        <w:spacing w:before="80"/>
        <w:rPr/>
      </w:pPr>
      <w:r>
        <w:drawing>
          <wp:anchor distT="0" distB="0" distL="0" distR="0" simplePos="0" relativeHeight="252084224"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184" name="IM 1184"/>
            <wp:cNvGraphicFramePr/>
            <a:graphic>
              <a:graphicData uri="http://schemas.openxmlformats.org/drawingml/2006/picture">
                <pic:pic>
                  <pic:nvPicPr>
                    <pic:cNvPr id="1184" name="IM 1184"/>
                    <pic:cNvPicPr/>
                  </pic:nvPicPr>
                  <pic:blipFill>
                    <a:blip r:embed="rId594"/>
                    <a:stretch>
                      <a:fillRect/>
                    </a:stretch>
                  </pic:blipFill>
                  <pic:spPr>
                    <a:xfrm rot="0">
                      <a:off x="0" y="0"/>
                      <a:ext cx="5579745" cy="7620"/>
                    </a:xfrm>
                    <a:prstGeom prst="rect">
                      <a:avLst/>
                    </a:prstGeom>
                  </pic:spPr>
                </pic:pic>
              </a:graphicData>
            </a:graphic>
          </wp:anchor>
        </w:drawing>
      </w:r>
      <w:r/>
    </w:p>
    <w:p>
      <w:pPr>
        <w:sectPr>
          <w:headerReference w:type="default" r:id="rId549"/>
          <w:footerReference w:type="default" r:id="rId593"/>
          <w:pgSz w:w="11906" w:h="16839"/>
          <w:pgMar w:top="1766" w:right="1530" w:bottom="1563" w:left="1579" w:header="1428" w:footer="1172" w:gutter="0"/>
          <w:cols w:equalWidth="0" w:num="1">
            <w:col w:w="8796" w:space="0"/>
          </w:cols>
        </w:sectPr>
        <w:rPr/>
      </w:pPr>
    </w:p>
    <w:p>
      <w:pPr>
        <w:pStyle w:val="BodyText"/>
        <w:ind w:left="16" w:right="328" w:firstLine="416"/>
        <w:spacing w:before="41" w:line="300" w:lineRule="auto"/>
        <w:rPr/>
      </w:pPr>
      <w:r>
        <w:rPr>
          <w:rFonts w:ascii="KaiTi" w:hAnsi="KaiTi" w:eastAsia="KaiTi" w:cs="KaiTi"/>
          <w:spacing w:val="6"/>
        </w:rPr>
        <w:t>④</w:t>
      </w:r>
      <w:r>
        <w:rPr>
          <w:spacing w:val="6"/>
        </w:rPr>
        <w:t>封锁有关场所、道路，查验现场人员的</w:t>
      </w:r>
      <w:r>
        <w:rPr>
          <w:spacing w:val="8"/>
        </w:rPr>
        <w:t>身份证件，限制有关公共场所内的活动。</w:t>
      </w:r>
    </w:p>
    <w:p>
      <w:pPr>
        <w:pStyle w:val="BodyText"/>
        <w:ind w:left="12" w:right="248" w:firstLine="420"/>
        <w:spacing w:before="159" w:line="345" w:lineRule="auto"/>
        <w:rPr/>
      </w:pPr>
      <w:r>
        <w:rPr>
          <w:rFonts w:ascii="KaiTi" w:hAnsi="KaiTi" w:eastAsia="KaiTi" w:cs="KaiTi"/>
          <w:spacing w:val="19"/>
        </w:rPr>
        <w:t>⑤</w:t>
      </w:r>
      <w:r>
        <w:rPr>
          <w:spacing w:val="19"/>
        </w:rPr>
        <w:t>加强对易受冲击的核心机关和单位的</w:t>
      </w:r>
      <w:r>
        <w:rPr>
          <w:spacing w:val="1"/>
        </w:rPr>
        <w:t>警卫，在党和国家机关、军事机关、广播电台、</w:t>
      </w:r>
      <w:r>
        <w:rPr>
          <w:spacing w:val="7"/>
        </w:rPr>
        <w:t>电视台、银行等单位附近设置临时警戒线，加</w:t>
      </w:r>
      <w:r>
        <w:rPr>
          <w:spacing w:val="7"/>
        </w:rPr>
        <w:t>强对重点敏感人员、场所、部位和标志性建筑</w:t>
      </w:r>
      <w:r>
        <w:rPr>
          <w:spacing w:val="7"/>
        </w:rPr>
        <w:t>的安全保护。</w:t>
      </w:r>
    </w:p>
    <w:p>
      <w:pPr>
        <w:pStyle w:val="BodyText"/>
        <w:ind w:left="12" w:right="305" w:firstLine="420"/>
        <w:spacing w:before="162" w:line="337" w:lineRule="auto"/>
        <w:rPr/>
      </w:pPr>
      <w:r>
        <w:rPr>
          <w:rFonts w:ascii="KaiTi" w:hAnsi="KaiTi" w:eastAsia="KaiTi" w:cs="KaiTi"/>
          <w:spacing w:val="8"/>
        </w:rPr>
        <w:t>⑥</w:t>
      </w:r>
      <w:r>
        <w:rPr>
          <w:spacing w:val="8"/>
        </w:rPr>
        <w:t>严重危害社会治安秩序的事件发生时，</w:t>
      </w:r>
      <w:r>
        <w:rPr>
          <w:spacing w:val="8"/>
        </w:rPr>
        <w:t>立即依法出动警力，加大社会面检查、巡逻、</w:t>
      </w:r>
      <w:r>
        <w:rPr>
          <w:spacing w:val="7"/>
        </w:rPr>
        <w:t>控制力度，根据现场情况依法采取相应的强制</w:t>
      </w:r>
      <w:r>
        <w:rPr>
          <w:spacing w:val="9"/>
        </w:rPr>
        <w:t>性措施，尽快使社会秩序恢复正常。</w:t>
      </w:r>
    </w:p>
    <w:p>
      <w:pPr>
        <w:pStyle w:val="BodyText"/>
        <w:ind w:left="433"/>
        <w:spacing w:before="161" w:line="263" w:lineRule="exact"/>
        <w:rPr/>
      </w:pPr>
      <w:r>
        <w:rPr>
          <w:rFonts w:ascii="KaiTi" w:hAnsi="KaiTi" w:eastAsia="KaiTi" w:cs="KaiTi"/>
          <w:spacing w:val="8"/>
          <w:position w:val="1"/>
        </w:rPr>
        <w:t>⑦</w:t>
      </w:r>
      <w:r>
        <w:rPr>
          <w:spacing w:val="8"/>
          <w:position w:val="1"/>
        </w:rPr>
        <w:t>法律法规等规定的其他必要措施。</w:t>
      </w:r>
    </w:p>
    <w:p>
      <w:pPr>
        <w:pStyle w:val="BodyText"/>
        <w:ind w:left="12" w:right="305" w:firstLine="412"/>
        <w:spacing w:before="148" w:line="344"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4"/>
        </w:rPr>
        <w:t xml:space="preserve"> </w:t>
      </w:r>
      <w:r>
        <w:rPr>
          <w:spacing w:val="11"/>
        </w:rPr>
        <w:t>）交通运输、医学救援、通信保障、</w:t>
      </w:r>
      <w:r>
        <w:rPr>
          <w:spacing w:val="8"/>
        </w:rPr>
        <w:t>现场信息、抢险救援、物资装备、群众生活、</w:t>
      </w:r>
      <w:r>
        <w:rPr>
          <w:spacing w:val="7"/>
        </w:rPr>
        <w:t>社会秩序、新闻保障、勤务保障、专家保障等</w:t>
      </w:r>
      <w:r>
        <w:rPr>
          <w:spacing w:val="7"/>
        </w:rPr>
        <w:t>应急保障工作牵头协调部门和支持部门，可根</w:t>
      </w:r>
      <w:r>
        <w:rPr>
          <w:spacing w:val="9"/>
        </w:rPr>
        <w:t>据实际需要编制相关保障工作方案。</w:t>
      </w:r>
    </w:p>
    <w:p>
      <w:pPr>
        <w:pStyle w:val="BodyText"/>
        <w:ind w:left="12" w:right="328" w:firstLine="412"/>
        <w:spacing w:before="161" w:line="345" w:lineRule="auto"/>
        <w:rPr/>
      </w:pPr>
      <w:r>
        <w:rPr>
          <w:spacing w:val="9"/>
        </w:rPr>
        <w:t>（</w:t>
      </w:r>
      <w:r>
        <w:rPr>
          <w:rFonts w:ascii="Times New Roman" w:hAnsi="Times New Roman" w:eastAsia="Times New Roman" w:cs="Times New Roman"/>
          <w:spacing w:val="9"/>
        </w:rPr>
        <w:t>4 </w:t>
      </w:r>
      <w:r>
        <w:rPr>
          <w:spacing w:val="9"/>
        </w:rPr>
        <w:t>）当突发事件严重影响社会经济正常</w:t>
      </w:r>
      <w:r>
        <w:rPr>
          <w:spacing w:val="7"/>
        </w:rPr>
        <w:t>运行时，市政府或授权的有关主管部门可以采</w:t>
      </w:r>
      <w:r>
        <w:rPr>
          <w:spacing w:val="7"/>
        </w:rPr>
        <w:t>取救助、保障、控制等必要的应急措施，保障</w:t>
      </w:r>
      <w:r>
        <w:rPr>
          <w:spacing w:val="7"/>
        </w:rPr>
        <w:t>人民群众的基本生产生活需要，最大程度地减</w:t>
      </w:r>
      <w:r>
        <w:rPr>
          <w:spacing w:val="8"/>
        </w:rPr>
        <w:t>轻突发事件的影响。</w:t>
      </w:r>
    </w:p>
    <w:p>
      <w:pPr>
        <w:pStyle w:val="BodyText"/>
        <w:ind w:left="11" w:right="321" w:firstLine="426"/>
        <w:spacing w:before="167" w:line="336" w:lineRule="auto"/>
        <w:rPr/>
      </w:pPr>
      <w:r>
        <w:rPr>
          <w:rFonts w:ascii="Times New Roman" w:hAnsi="Times New Roman" w:eastAsia="Times New Roman" w:cs="Times New Roman"/>
          <w:spacing w:val="3"/>
        </w:rPr>
        <w:t>3.3.5 </w:t>
      </w:r>
      <w:r>
        <w:rPr>
          <w:spacing w:val="3"/>
        </w:rPr>
        <w:t>信息发布与舆论引导。各级应急指挥</w:t>
      </w:r>
      <w:r>
        <w:rPr>
          <w:spacing w:val="7"/>
        </w:rPr>
        <w:t>机构要制定统一的信息发布与舆论引导方案，</w:t>
      </w:r>
      <w:r>
        <w:rPr>
          <w:spacing w:val="18"/>
        </w:rPr>
        <w:t>与突发事件应对处置工作同时研究、同时部</w:t>
      </w:r>
      <w:r>
        <w:rPr>
          <w:spacing w:val="7"/>
        </w:rPr>
        <w:t>署、同步行动。</w:t>
      </w:r>
    </w:p>
    <w:p>
      <w:pPr>
        <w:pStyle w:val="BodyText"/>
        <w:ind w:left="14" w:right="264" w:firstLine="410"/>
        <w:spacing w:before="166" w:line="344"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）事发地政府或应急指挥机构要在事</w:t>
      </w:r>
      <w:r>
        <w:rPr>
          <w:spacing w:val="18"/>
        </w:rPr>
        <w:t>件发生后的第一时间通过权威媒体向社会发</w:t>
      </w:r>
      <w:r>
        <w:rPr>
          <w:spacing w:val="3"/>
        </w:rPr>
        <w:t>布简要信息，最迟要在</w:t>
      </w:r>
      <w:r>
        <w:rPr>
          <w:rFonts w:ascii="Times New Roman" w:hAnsi="Times New Roman" w:eastAsia="Times New Roman" w:cs="Times New Roman"/>
          <w:spacing w:val="3"/>
        </w:rPr>
        <w:t>2</w:t>
      </w:r>
      <w:r>
        <w:rPr>
          <w:rFonts w:ascii="Times New Roman" w:hAnsi="Times New Roman" w:eastAsia="Times New Roman" w:cs="Times New Roman"/>
          <w:spacing w:val="-5"/>
        </w:rPr>
        <w:t xml:space="preserve"> </w:t>
      </w:r>
      <w:r>
        <w:rPr>
          <w:spacing w:val="3"/>
        </w:rPr>
        <w:t>小时内发布权威信息，</w:t>
      </w:r>
      <w:r>
        <w:rPr>
          <w:spacing w:val="7"/>
        </w:rPr>
        <w:t>随后发布初步核实情况、政府应对措施和公众</w:t>
      </w:r>
      <w:r>
        <w:rPr>
          <w:spacing w:val="4"/>
        </w:rPr>
        <w:t>防范措施等，并在</w:t>
      </w:r>
      <w:r>
        <w:rPr>
          <w:spacing w:val="-30"/>
        </w:rPr>
        <w:t xml:space="preserve"> </w:t>
      </w:r>
      <w:r>
        <w:rPr>
          <w:rFonts w:ascii="Times New Roman" w:hAnsi="Times New Roman" w:eastAsia="Times New Roman" w:cs="Times New Roman"/>
          <w:spacing w:val="4"/>
        </w:rPr>
        <w:t>24 </w:t>
      </w:r>
      <w:r>
        <w:rPr>
          <w:spacing w:val="4"/>
        </w:rPr>
        <w:t>小时内举行新闻发布会，</w:t>
      </w:r>
      <w:r>
        <w:rPr>
          <w:spacing w:val="7"/>
        </w:rPr>
        <w:t>根据突发事件处置情况做好后续发布工作。对</w:t>
      </w:r>
    </w:p>
    <w:p>
      <w:pPr>
        <w:spacing w:line="14" w:lineRule="auto"/>
        <w:rPr>
          <w:rFonts w:ascii="Arial"/>
          <w:sz w:val="2"/>
        </w:rPr>
      </w:pPr>
      <w:r>
        <w:rPr>
          <w:rFonts w:ascii="Arial" w:hAnsi="Arial" w:eastAsia="Arial" w:cs="Arial"/>
          <w:sz w:val="2"/>
          <w:szCs w:val="2"/>
        </w:rPr>
        <w:br w:type="column"/>
      </w:r>
    </w:p>
    <w:p>
      <w:pPr>
        <w:pStyle w:val="BodyText"/>
        <w:ind w:left="1" w:right="52" w:firstLine="3"/>
        <w:spacing w:before="42" w:line="373" w:lineRule="auto"/>
        <w:rPr/>
      </w:pPr>
      <w:r>
        <w:rPr>
          <w:spacing w:val="7"/>
        </w:rPr>
        <w:t>可能受到突发事件后果直接威胁的社会公众，</w:t>
      </w:r>
      <w:r>
        <w:rPr>
          <w:spacing w:val="9"/>
        </w:rPr>
        <w:t>应按照有关要求及时发布预警信息。</w:t>
      </w:r>
    </w:p>
    <w:p>
      <w:pPr>
        <w:pStyle w:val="BodyText"/>
        <w:ind w:left="7" w:right="39" w:firstLine="406"/>
        <w:spacing w:before="1" w:line="299"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）特别重大、重大突发事件的信息发</w:t>
      </w:r>
      <w:r>
        <w:rPr>
          <w:spacing w:val="8"/>
        </w:rPr>
        <w:t>布，由自治区政府设立的应急指挥机构负责。</w:t>
      </w:r>
    </w:p>
    <w:p>
      <w:pPr>
        <w:pStyle w:val="BodyText"/>
        <w:ind w:left="1" w:right="59" w:firstLine="412"/>
        <w:spacing w:before="161" w:line="345"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5"/>
        </w:rPr>
        <w:t xml:space="preserve"> </w:t>
      </w:r>
      <w:r>
        <w:rPr>
          <w:spacing w:val="11"/>
        </w:rPr>
        <w:t>）信息发布形式主要包括授权发布、</w:t>
      </w:r>
      <w:r>
        <w:rPr>
          <w:spacing w:val="7"/>
        </w:rPr>
        <w:t>提供新闻通稿、组织报道、接受记者采访、举</w:t>
      </w:r>
      <w:r>
        <w:rPr>
          <w:spacing w:val="7"/>
        </w:rPr>
        <w:t>行新闻发布会等，通过主要新闻媒体、重点新</w:t>
      </w:r>
      <w:r>
        <w:rPr>
          <w:spacing w:val="7"/>
        </w:rPr>
        <w:t>闻网站、有关政府网站、移动新媒体和手机短</w:t>
      </w:r>
      <w:r>
        <w:rPr>
          <w:spacing w:val="9"/>
        </w:rPr>
        <w:t>信等发布信息，具体按照有关规定执行。</w:t>
      </w:r>
    </w:p>
    <w:p>
      <w:pPr>
        <w:pStyle w:val="BodyText"/>
        <w:ind w:right="59" w:firstLine="413"/>
        <w:spacing w:before="161" w:line="358"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）履行统一领导职责的地方政府加强</w:t>
      </w:r>
      <w:r>
        <w:rPr>
          <w:spacing w:val="18"/>
        </w:rPr>
        <w:t>网络媒体和移动新媒体信息发布内容管理和</w:t>
      </w:r>
      <w:r>
        <w:rPr>
          <w:spacing w:val="7"/>
        </w:rPr>
        <w:t>舆情分析，引导群众依法、理性表达意见，形</w:t>
      </w:r>
      <w:r>
        <w:rPr>
          <w:spacing w:val="7"/>
        </w:rPr>
        <w:t>成积极健康的社会舆论。未经履行统一领导职</w:t>
      </w:r>
      <w:r>
        <w:rPr>
          <w:spacing w:val="7"/>
        </w:rPr>
        <w:t>责的政府设立的应急指挥机构批准，参与突发</w:t>
      </w:r>
      <w:r>
        <w:rPr>
          <w:spacing w:val="18"/>
        </w:rPr>
        <w:t>事件应急处置工作的各有关单位和个人不得</w:t>
      </w:r>
      <w:r>
        <w:rPr>
          <w:spacing w:val="7"/>
        </w:rPr>
        <w:t>擅自对外发布相关信息。任何单位和个人不得</w:t>
      </w:r>
      <w:r>
        <w:rPr>
          <w:spacing w:val="7"/>
        </w:rPr>
        <w:t>编造、传播有关突发事件事态发展或者应急处</w:t>
      </w:r>
      <w:r>
        <w:rPr>
          <w:spacing w:val="8"/>
        </w:rPr>
        <w:t>置工作的虚假信息。</w:t>
      </w:r>
    </w:p>
    <w:p>
      <w:pPr>
        <w:pStyle w:val="BodyText"/>
        <w:ind w:left="8" w:right="57" w:firstLine="417"/>
        <w:spacing w:before="170" w:line="336" w:lineRule="auto"/>
        <w:rPr/>
      </w:pPr>
      <w:r>
        <w:rPr>
          <w:rFonts w:ascii="Times New Roman" w:hAnsi="Times New Roman" w:eastAsia="Times New Roman" w:cs="Times New Roman"/>
          <w:spacing w:val="2"/>
        </w:rPr>
        <w:t>3.3.6</w:t>
      </w:r>
      <w:r>
        <w:rPr>
          <w:rFonts w:ascii="Times New Roman" w:hAnsi="Times New Roman" w:eastAsia="Times New Roman" w:cs="Times New Roman"/>
          <w:spacing w:val="30"/>
          <w:w w:val="101"/>
        </w:rPr>
        <w:t xml:space="preserve"> </w:t>
      </w:r>
      <w:r>
        <w:rPr>
          <w:spacing w:val="2"/>
        </w:rPr>
        <w:t>紧急状态。发生或者即将发生重大及</w:t>
      </w:r>
      <w:r>
        <w:rPr>
          <w:spacing w:val="6"/>
        </w:rPr>
        <w:t>以上突发事件，采取一般处置措施无法控制和</w:t>
      </w:r>
      <w:r>
        <w:rPr>
          <w:spacing w:val="6"/>
        </w:rPr>
        <w:t>消除其严重社会危害，需要宣布进入紧急状态</w:t>
      </w:r>
      <w:r>
        <w:rPr>
          <w:spacing w:val="8"/>
        </w:rPr>
        <w:t>的，由市政府提请自治区人民政府决定。</w:t>
      </w:r>
    </w:p>
    <w:p>
      <w:pPr>
        <w:pStyle w:val="BodyText"/>
        <w:ind w:left="1" w:right="52" w:firstLine="425"/>
        <w:spacing w:before="165" w:line="344" w:lineRule="auto"/>
        <w:rPr/>
      </w:pPr>
      <w:r>
        <w:rPr>
          <w:rFonts w:ascii="Times New Roman" w:hAnsi="Times New Roman" w:eastAsia="Times New Roman" w:cs="Times New Roman"/>
          <w:spacing w:val="3"/>
        </w:rPr>
        <w:t>3.3.7 </w:t>
      </w:r>
      <w:r>
        <w:rPr>
          <w:spacing w:val="3"/>
        </w:rPr>
        <w:t>应急结束。突发事件应急处置工作结</w:t>
      </w:r>
      <w:r>
        <w:rPr>
          <w:spacing w:val="7"/>
        </w:rPr>
        <w:t>束，或相关威胁和危害得到控制、消除后，履</w:t>
      </w:r>
      <w:r>
        <w:rPr>
          <w:spacing w:val="18"/>
        </w:rPr>
        <w:t>行统一领导职责的政府或应急指挥机构可宣</w:t>
      </w:r>
      <w:r>
        <w:rPr>
          <w:spacing w:val="7"/>
        </w:rPr>
        <w:t>布应急结束，或逐步停止有关应急处置措施，</w:t>
      </w:r>
      <w:r>
        <w:rPr>
          <w:spacing w:val="8"/>
        </w:rPr>
        <w:t>应急救援力量有序撤离。</w:t>
      </w:r>
    </w:p>
    <w:p>
      <w:pPr>
        <w:ind w:left="426"/>
        <w:spacing w:before="163" w:line="266" w:lineRule="exact"/>
        <w:rPr>
          <w:rFonts w:ascii="KaiTi" w:hAnsi="KaiTi" w:eastAsia="KaiTi" w:cs="KaiTi"/>
          <w:sz w:val="20"/>
          <w:szCs w:val="20"/>
        </w:rPr>
      </w:pPr>
      <w:r>
        <w:rPr>
          <w:rFonts w:ascii="Times New Roman" w:hAnsi="Times New Roman" w:eastAsia="Times New Roman" w:cs="Times New Roman"/>
          <w:sz w:val="20"/>
          <w:szCs w:val="20"/>
          <w:spacing w:val="5"/>
          <w:position w:val="1"/>
        </w:rPr>
        <w:t>3.4  </w:t>
      </w:r>
      <w:r>
        <w:rPr>
          <w:rFonts w:ascii="KaiTi" w:hAnsi="KaiTi" w:eastAsia="KaiTi" w:cs="KaiTi"/>
          <w:sz w:val="20"/>
          <w:szCs w:val="20"/>
          <w:spacing w:val="5"/>
          <w:position w:val="1"/>
        </w:rPr>
        <w:t>恢复与重建。</w:t>
      </w:r>
    </w:p>
    <w:p>
      <w:pPr>
        <w:pStyle w:val="BodyText"/>
        <w:ind w:left="1" w:right="57" w:firstLine="425"/>
        <w:spacing w:before="145" w:line="328" w:lineRule="auto"/>
        <w:jc w:val="both"/>
        <w:rPr/>
      </w:pPr>
      <w:r>
        <w:rPr>
          <w:rFonts w:ascii="Times New Roman" w:hAnsi="Times New Roman" w:eastAsia="Times New Roman" w:cs="Times New Roman"/>
          <w:spacing w:val="3"/>
        </w:rPr>
        <w:t>3.4.1 </w:t>
      </w:r>
      <w:r>
        <w:rPr>
          <w:spacing w:val="3"/>
        </w:rPr>
        <w:t>善后处置。受突发事件影响地区的政</w:t>
      </w:r>
      <w:r>
        <w:rPr>
          <w:spacing w:val="18"/>
        </w:rPr>
        <w:t>府和有关部门应当根据本地区遭受损失的情</w:t>
      </w:r>
      <w:r>
        <w:rPr>
          <w:spacing w:val="7"/>
        </w:rPr>
        <w:t>况，制定救助、补偿、抚慰、抚恤、安置等善</w:t>
      </w:r>
      <w:r>
        <w:rPr>
          <w:spacing w:val="7"/>
        </w:rPr>
        <w:t>后工作方案，对突发事件中的伤亡人员、应急</w:t>
      </w:r>
    </w:p>
    <w:p>
      <w:pPr>
        <w:spacing w:line="328" w:lineRule="auto"/>
        <w:sectPr>
          <w:type w:val="continuous"/>
          <w:pgSz w:w="11906" w:h="16839"/>
          <w:pgMar w:top="1766" w:right="1530" w:bottom="1563" w:left="1579" w:header="1428" w:footer="1172" w:gutter="0"/>
          <w:cols w:equalWidth="0" w:num="2">
            <w:col w:w="4488" w:space="100"/>
            <w:col w:w="4208" w:space="0"/>
          </w:cols>
        </w:sectPr>
        <w:rPr/>
      </w:pPr>
    </w:p>
    <w:p>
      <w:pPr>
        <w:spacing w:before="81"/>
        <w:rPr/>
      </w:pPr>
      <w:r>
        <w:drawing>
          <wp:anchor distT="0" distB="0" distL="0" distR="0" simplePos="0" relativeHeight="252086272" behindDoc="0" locked="0" layoutInCell="0" allowOverlap="1">
            <wp:simplePos x="0" y="0"/>
            <wp:positionH relativeFrom="page">
              <wp:posOffset>1008380</wp:posOffset>
            </wp:positionH>
            <wp:positionV relativeFrom="page">
              <wp:posOffset>1122680</wp:posOffset>
            </wp:positionV>
            <wp:extent cx="5579745" cy="7619"/>
            <wp:effectExtent l="0" t="0" r="0" b="0"/>
            <wp:wrapNone/>
            <wp:docPr id="1188" name="IM 1188"/>
            <wp:cNvGraphicFramePr/>
            <a:graphic>
              <a:graphicData uri="http://schemas.openxmlformats.org/drawingml/2006/picture">
                <pic:pic>
                  <pic:nvPicPr>
                    <pic:cNvPr id="1188" name="IM 1188"/>
                    <pic:cNvPicPr/>
                  </pic:nvPicPr>
                  <pic:blipFill>
                    <a:blip r:embed="rId596"/>
                    <a:stretch>
                      <a:fillRect/>
                    </a:stretch>
                  </pic:blipFill>
                  <pic:spPr>
                    <a:xfrm rot="0">
                      <a:off x="0" y="0"/>
                      <a:ext cx="5579745" cy="7619"/>
                    </a:xfrm>
                    <a:prstGeom prst="rect">
                      <a:avLst/>
                    </a:prstGeom>
                  </pic:spPr>
                </pic:pic>
              </a:graphicData>
            </a:graphic>
          </wp:anchor>
        </w:drawing>
      </w:r>
      <w:r/>
    </w:p>
    <w:p>
      <w:pPr>
        <w:sectPr>
          <w:headerReference w:type="default" r:id="rId536"/>
          <w:footerReference w:type="default" r:id="rId595"/>
          <w:pgSz w:w="11906" w:h="16839"/>
          <w:pgMar w:top="1769" w:right="1489" w:bottom="1570" w:left="1588" w:header="1428" w:footer="1172" w:gutter="0"/>
          <w:cols w:equalWidth="0" w:num="1">
            <w:col w:w="8829" w:space="0"/>
          </w:cols>
        </w:sectPr>
        <w:rPr/>
      </w:pPr>
    </w:p>
    <w:p>
      <w:pPr>
        <w:pStyle w:val="BodyText"/>
        <w:ind w:left="3" w:right="322" w:firstLine="1"/>
        <w:spacing w:before="38" w:line="375" w:lineRule="auto"/>
        <w:jc w:val="both"/>
        <w:rPr/>
      </w:pPr>
      <w:r>
        <w:rPr>
          <w:spacing w:val="7"/>
        </w:rPr>
        <w:t>处置人员，以及紧急调集、征用有关单位及个</w:t>
      </w:r>
      <w:r>
        <w:rPr>
          <w:spacing w:val="7"/>
        </w:rPr>
        <w:t>人的物资，按照规定给予抚恤、补助或补偿，</w:t>
      </w:r>
      <w:r>
        <w:rPr>
          <w:spacing w:val="7"/>
        </w:rPr>
        <w:t>并提供心理咨询及司法援助，妥善解决因处置</w:t>
      </w:r>
      <w:r>
        <w:rPr>
          <w:spacing w:val="7"/>
        </w:rPr>
        <w:t>突发事件引发的矛盾和纠纷。有关部门要做好</w:t>
      </w:r>
      <w:r>
        <w:rPr>
          <w:spacing w:val="7"/>
        </w:rPr>
        <w:t>疫病防治和环境污染消除工作。事发地保险监</w:t>
      </w:r>
      <w:r>
        <w:rPr>
          <w:spacing w:val="7"/>
        </w:rPr>
        <w:t>管机构要组织、督促有关保险机构及时开展查</w:t>
      </w:r>
      <w:r>
        <w:rPr>
          <w:spacing w:val="7"/>
        </w:rPr>
        <w:t>勘和理赔工作。</w:t>
      </w:r>
    </w:p>
    <w:p>
      <w:pPr>
        <w:pStyle w:val="BodyText"/>
        <w:ind w:left="4" w:right="327" w:firstLine="425"/>
        <w:spacing w:before="6" w:line="357" w:lineRule="auto"/>
        <w:rPr/>
      </w:pPr>
      <w:r>
        <w:rPr>
          <w:rFonts w:ascii="Times New Roman" w:hAnsi="Times New Roman" w:eastAsia="Times New Roman" w:cs="Times New Roman"/>
          <w:spacing w:val="3"/>
        </w:rPr>
        <w:t>3.4.2 </w:t>
      </w:r>
      <w:r>
        <w:rPr>
          <w:spacing w:val="3"/>
        </w:rPr>
        <w:t>调查与评估。事发地政府应当及时查</w:t>
      </w:r>
      <w:r>
        <w:rPr>
          <w:spacing w:val="7"/>
        </w:rPr>
        <w:t>明突发事件的发生经过和原因，对突发事件造</w:t>
      </w:r>
      <w:r>
        <w:rPr>
          <w:spacing w:val="7"/>
        </w:rPr>
        <w:t>成的损失进行评估；组织参与处置的部门（单</w:t>
      </w:r>
      <w:r>
        <w:rPr>
          <w:spacing w:val="7"/>
        </w:rPr>
        <w:t>位）对应急处置工作进行复盘分析，总结经验</w:t>
      </w:r>
      <w:r>
        <w:rPr>
          <w:spacing w:val="7"/>
        </w:rPr>
        <w:t>教训，制定改进措施；将调查与评估情况向上</w:t>
      </w:r>
      <w:r>
        <w:rPr>
          <w:spacing w:val="7"/>
        </w:rPr>
        <w:t>一级政府报告。对于较大突发事件，市有关部</w:t>
      </w:r>
      <w:r>
        <w:rPr>
          <w:spacing w:val="7"/>
        </w:rPr>
        <w:t>门要会同事发地县级政府进行调查评估，并向</w:t>
      </w:r>
      <w:r>
        <w:rPr>
          <w:spacing w:val="7"/>
        </w:rPr>
        <w:t>市政府作出报告。法律法规对事故调查另有规</w:t>
      </w:r>
      <w:r>
        <w:rPr>
          <w:spacing w:val="8"/>
        </w:rPr>
        <w:t>定的，依照其规定。</w:t>
      </w:r>
    </w:p>
    <w:p>
      <w:pPr>
        <w:pStyle w:val="BodyText"/>
        <w:ind w:left="6" w:right="327" w:firstLine="422"/>
        <w:spacing w:before="162" w:line="324" w:lineRule="auto"/>
        <w:rPr/>
      </w:pPr>
      <w:r>
        <w:rPr>
          <w:rFonts w:ascii="Times New Roman" w:hAnsi="Times New Roman" w:eastAsia="Times New Roman" w:cs="Times New Roman"/>
          <w:spacing w:val="3"/>
        </w:rPr>
        <w:t>3.4.3 </w:t>
      </w:r>
      <w:r>
        <w:rPr>
          <w:spacing w:val="3"/>
        </w:rPr>
        <w:t>恢复重建。健全固原市统筹指导、事</w:t>
      </w:r>
      <w:r>
        <w:rPr>
          <w:spacing w:val="7"/>
        </w:rPr>
        <w:t>发地政府为主体、灾区群众广泛参与的灾后恢</w:t>
      </w:r>
      <w:r>
        <w:rPr>
          <w:spacing w:val="7"/>
        </w:rPr>
        <w:t>复重建机制。</w:t>
      </w:r>
    </w:p>
    <w:p>
      <w:pPr>
        <w:pStyle w:val="BodyText"/>
        <w:ind w:left="4" w:right="306" w:firstLine="411"/>
        <w:spacing w:before="168" w:line="353" w:lineRule="auto"/>
        <w:rPr/>
      </w:pPr>
      <w:r>
        <w:rPr>
          <w:spacing w:val="8"/>
        </w:rPr>
        <w:t>（</w:t>
      </w:r>
      <w:r>
        <w:rPr>
          <w:spacing w:val="-30"/>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8"/>
        </w:rPr>
        <w:t xml:space="preserve"> </w:t>
      </w:r>
      <w:r>
        <w:rPr>
          <w:spacing w:val="8"/>
        </w:rPr>
        <w:t>）恢复重建工作由事发地政府负责。</w:t>
      </w:r>
      <w:r>
        <w:rPr>
          <w:spacing w:val="7"/>
        </w:rPr>
        <w:t>突发事件应急处置工作结束后，事发地政府要</w:t>
      </w:r>
      <w:r>
        <w:rPr>
          <w:spacing w:val="18"/>
        </w:rPr>
        <w:t>立即组织制定恢复重建计划。组织和协调发</w:t>
      </w:r>
      <w:r>
        <w:rPr>
          <w:spacing w:val="7"/>
        </w:rPr>
        <w:t>改、财政、公安、交通、工信、住建、水务等</w:t>
      </w:r>
      <w:r>
        <w:rPr>
          <w:spacing w:val="8"/>
        </w:rPr>
        <w:t>有关部门恢复社会秩序，修复被损坏的交通、</w:t>
      </w:r>
      <w:r>
        <w:rPr>
          <w:spacing w:val="7"/>
        </w:rPr>
        <w:t>通信、供水、排水、供电、供气、供热、医疗</w:t>
      </w:r>
      <w:r>
        <w:rPr>
          <w:spacing w:val="8"/>
        </w:rPr>
        <w:t>卫生等公共设施。</w:t>
      </w:r>
    </w:p>
    <w:p>
      <w:pPr>
        <w:pStyle w:val="BodyText"/>
        <w:ind w:left="6" w:right="252" w:firstLine="409"/>
        <w:spacing w:before="161" w:line="325"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）上一级政府根据实际情况对需要支</w:t>
      </w:r>
      <w:r>
        <w:rPr>
          <w:spacing w:val="7"/>
        </w:rPr>
        <w:t>持的下一级政府提供资金、物资支持和技术指</w:t>
      </w:r>
      <w:r>
        <w:rPr>
          <w:spacing w:val="1"/>
        </w:rPr>
        <w:t>导，组织其他地区提供资金、物资和人力支援。</w:t>
      </w:r>
    </w:p>
    <w:p>
      <w:pPr>
        <w:ind w:left="425"/>
        <w:spacing w:before="156"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4</w:t>
      </w:r>
      <w:r>
        <w:rPr>
          <w:rFonts w:ascii="Microsoft YaHei" w:hAnsi="Microsoft YaHei" w:eastAsia="Microsoft YaHei" w:cs="Microsoft YaHei"/>
          <w:sz w:val="20"/>
          <w:szCs w:val="20"/>
          <w:spacing w:val="14"/>
        </w:rPr>
        <w:t xml:space="preserve">   </w:t>
      </w:r>
      <w:r>
        <w:rPr>
          <w:rFonts w:ascii="Microsoft YaHei" w:hAnsi="Microsoft YaHei" w:eastAsia="Microsoft YaHei" w:cs="Microsoft YaHei"/>
          <w:sz w:val="20"/>
          <w:szCs w:val="20"/>
          <w:spacing w:val="5"/>
        </w:rPr>
        <w:t>准备与支持</w:t>
      </w:r>
    </w:p>
    <w:p>
      <w:pPr>
        <w:ind w:left="424"/>
        <w:spacing w:before="103" w:line="264" w:lineRule="exact"/>
        <w:rPr>
          <w:rFonts w:ascii="KaiTi" w:hAnsi="KaiTi" w:eastAsia="KaiTi" w:cs="KaiTi"/>
          <w:sz w:val="20"/>
          <w:szCs w:val="20"/>
        </w:rPr>
      </w:pPr>
      <w:r>
        <w:rPr>
          <w:rFonts w:ascii="Times New Roman" w:hAnsi="Times New Roman" w:eastAsia="Times New Roman" w:cs="Times New Roman"/>
          <w:sz w:val="20"/>
          <w:szCs w:val="20"/>
          <w:spacing w:val="2"/>
          <w:position w:val="1"/>
        </w:rPr>
        <w:t>4.</w:t>
      </w:r>
      <w:r>
        <w:rPr>
          <w:rFonts w:ascii="Times New Roman" w:hAnsi="Times New Roman" w:eastAsia="Times New Roman" w:cs="Times New Roman"/>
          <w:sz w:val="20"/>
          <w:szCs w:val="20"/>
          <w:spacing w:val="-20"/>
          <w:position w:val="1"/>
        </w:rPr>
        <w:t xml:space="preserve"> </w:t>
      </w:r>
      <w:r>
        <w:rPr>
          <w:rFonts w:ascii="Times New Roman" w:hAnsi="Times New Roman" w:eastAsia="Times New Roman" w:cs="Times New Roman"/>
          <w:sz w:val="20"/>
          <w:szCs w:val="20"/>
          <w:spacing w:val="2"/>
          <w:position w:val="1"/>
        </w:rPr>
        <w:t>1  </w:t>
      </w:r>
      <w:r>
        <w:rPr>
          <w:rFonts w:ascii="KaiTi" w:hAnsi="KaiTi" w:eastAsia="KaiTi" w:cs="KaiTi"/>
          <w:sz w:val="20"/>
          <w:szCs w:val="20"/>
          <w:spacing w:val="2"/>
          <w:position w:val="1"/>
        </w:rPr>
        <w:t>人力资源。</w:t>
      </w:r>
    </w:p>
    <w:p>
      <w:pPr>
        <w:pStyle w:val="BodyText"/>
        <w:ind w:left="416"/>
        <w:spacing w:before="142" w:line="221"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）地方消防救援队伍是应急救援的主</w:t>
      </w:r>
    </w:p>
    <w:p>
      <w:pPr>
        <w:spacing w:line="14" w:lineRule="auto"/>
        <w:rPr>
          <w:rFonts w:ascii="Arial"/>
          <w:sz w:val="2"/>
        </w:rPr>
      </w:pPr>
      <w:r>
        <w:rPr>
          <w:rFonts w:ascii="Arial" w:hAnsi="Arial" w:eastAsia="Arial" w:cs="Arial"/>
          <w:sz w:val="2"/>
          <w:szCs w:val="2"/>
        </w:rPr>
        <w:br w:type="column"/>
      </w:r>
    </w:p>
    <w:p>
      <w:pPr>
        <w:pStyle w:val="BodyText"/>
        <w:ind w:left="1" w:right="101"/>
        <w:spacing w:before="38" w:line="373" w:lineRule="auto"/>
        <w:rPr/>
      </w:pPr>
      <w:r>
        <w:rPr>
          <w:spacing w:val="7"/>
        </w:rPr>
        <w:t>力军。地方各级政府要在财力、装备方面提供</w:t>
      </w:r>
      <w:r>
        <w:rPr>
          <w:spacing w:val="7"/>
        </w:rPr>
        <w:t>必要支持保障。</w:t>
      </w:r>
    </w:p>
    <w:p>
      <w:pPr>
        <w:pStyle w:val="BodyText"/>
        <w:ind w:left="1" w:right="78" w:firstLine="411"/>
        <w:spacing w:line="345"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）专业应急救援队伍是应急救援的骨</w:t>
      </w:r>
      <w:r>
        <w:rPr>
          <w:spacing w:val="7"/>
        </w:rPr>
        <w:t>干力量。县级以上应急、工信、公安、自然资</w:t>
      </w:r>
      <w:r>
        <w:rPr>
          <w:spacing w:val="8"/>
        </w:rPr>
        <w:t>源、生态环境、交通运输、水利、农业农村、</w:t>
      </w:r>
      <w:r>
        <w:rPr>
          <w:spacing w:val="8"/>
        </w:rPr>
        <w:t>文旅、卫健、新闻宣传等主管部门根据需要，</w:t>
      </w:r>
      <w:r>
        <w:rPr>
          <w:spacing w:val="-12"/>
        </w:rPr>
        <w:t>建设和管理本行业、本领域的专业应急救援队伍。</w:t>
      </w:r>
    </w:p>
    <w:p>
      <w:pPr>
        <w:pStyle w:val="BodyText"/>
        <w:ind w:right="101" w:firstLine="413"/>
        <w:spacing w:before="161" w:line="350"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）依法将固原军分区、武警固原支队</w:t>
      </w:r>
      <w:r>
        <w:rPr>
          <w:spacing w:val="18"/>
        </w:rPr>
        <w:t>和民兵预备役应急救援力量纳入应急力量体</w:t>
      </w:r>
      <w:r>
        <w:rPr>
          <w:spacing w:val="7"/>
        </w:rPr>
        <w:t>系建设，统筹规划，合理布局。建立健全军地</w:t>
      </w:r>
      <w:r>
        <w:rPr>
          <w:spacing w:val="7"/>
        </w:rPr>
        <w:t>协调联动机制，实现应急管理信息系统互联互</w:t>
      </w:r>
      <w:r>
        <w:rPr>
          <w:spacing w:val="7"/>
        </w:rPr>
        <w:t>通。按照遂行应急任务要求，开展有针对性的</w:t>
      </w:r>
      <w:r>
        <w:rPr>
          <w:spacing w:val="7"/>
        </w:rPr>
        <w:t>训练和演练。</w:t>
      </w:r>
    </w:p>
    <w:p>
      <w:pPr>
        <w:pStyle w:val="BodyText"/>
        <w:ind w:left="1" w:right="79" w:firstLine="411"/>
        <w:spacing w:before="158" w:line="345"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）基层应急救援队伍是第一时间先期</w:t>
      </w:r>
      <w:r>
        <w:rPr>
          <w:spacing w:val="7"/>
        </w:rPr>
        <w:t>处置重要力量。重点地区、乡（镇）政府、街</w:t>
      </w:r>
      <w:r>
        <w:rPr>
          <w:spacing w:val="7"/>
        </w:rPr>
        <w:t>道办事处及村（居）民委员会应当单独建立或</w:t>
      </w:r>
      <w:r>
        <w:rPr>
          <w:spacing w:val="-2"/>
        </w:rPr>
        <w:t>者与有关单位、社会组织共同建立基层应急救援</w:t>
      </w:r>
      <w:r>
        <w:rPr>
          <w:spacing w:val="-3"/>
        </w:rPr>
        <w:t>队伍。</w:t>
      </w:r>
    </w:p>
    <w:p>
      <w:pPr>
        <w:pStyle w:val="BodyText"/>
        <w:ind w:right="78" w:firstLine="412"/>
        <w:spacing w:before="163" w:line="337" w:lineRule="auto"/>
        <w:rPr/>
      </w:pPr>
      <w:r>
        <w:rPr>
          <w:spacing w:val="8"/>
        </w:rPr>
        <w:t>（</w:t>
      </w:r>
      <w:r>
        <w:rPr>
          <w:spacing w:val="-45"/>
        </w:rPr>
        <w:t xml:space="preserve"> </w:t>
      </w:r>
      <w:r>
        <w:rPr>
          <w:rFonts w:ascii="Times New Roman" w:hAnsi="Times New Roman" w:eastAsia="Times New Roman" w:cs="Times New Roman"/>
          <w:spacing w:val="8"/>
        </w:rPr>
        <w:t>5</w:t>
      </w:r>
      <w:r>
        <w:rPr>
          <w:rFonts w:ascii="Times New Roman" w:hAnsi="Times New Roman" w:eastAsia="Times New Roman" w:cs="Times New Roman"/>
          <w:spacing w:val="-19"/>
        </w:rPr>
        <w:t xml:space="preserve"> </w:t>
      </w:r>
      <w:r>
        <w:rPr>
          <w:spacing w:val="8"/>
        </w:rPr>
        <w:t>）社会应急队伍是应急救援的辅助力</w:t>
      </w:r>
      <w:r>
        <w:rPr>
          <w:spacing w:val="7"/>
        </w:rPr>
        <w:t>量。各有关部门要制定相关政策措施，充分发</w:t>
      </w:r>
      <w:r>
        <w:rPr>
          <w:spacing w:val="8"/>
        </w:rPr>
        <w:t>挥红十字会和共青团作用，鼓励企事业单位、</w:t>
      </w:r>
      <w:r>
        <w:rPr>
          <w:spacing w:val="9"/>
        </w:rPr>
        <w:t>社会组织等志愿者有序参与应急救援工作。</w:t>
      </w:r>
    </w:p>
    <w:p>
      <w:pPr>
        <w:ind w:left="420"/>
        <w:spacing w:before="163" w:line="266" w:lineRule="exact"/>
        <w:rPr>
          <w:rFonts w:ascii="KaiTi" w:hAnsi="KaiTi" w:eastAsia="KaiTi" w:cs="KaiTi"/>
          <w:sz w:val="20"/>
          <w:szCs w:val="20"/>
        </w:rPr>
      </w:pPr>
      <w:r>
        <w:rPr>
          <w:rFonts w:ascii="Times New Roman" w:hAnsi="Times New Roman" w:eastAsia="Times New Roman" w:cs="Times New Roman"/>
          <w:sz w:val="20"/>
          <w:szCs w:val="20"/>
          <w:spacing w:val="4"/>
          <w:position w:val="1"/>
        </w:rPr>
        <w:t>4.2</w:t>
      </w:r>
      <w:r>
        <w:rPr>
          <w:rFonts w:ascii="Times New Roman" w:hAnsi="Times New Roman" w:eastAsia="Times New Roman" w:cs="Times New Roman"/>
          <w:sz w:val="20"/>
          <w:szCs w:val="20"/>
          <w:spacing w:val="9"/>
          <w:position w:val="1"/>
        </w:rPr>
        <w:t xml:space="preserve">  </w:t>
      </w:r>
      <w:r>
        <w:rPr>
          <w:rFonts w:ascii="KaiTi" w:hAnsi="KaiTi" w:eastAsia="KaiTi" w:cs="KaiTi"/>
          <w:sz w:val="20"/>
          <w:szCs w:val="20"/>
          <w:spacing w:val="4"/>
          <w:position w:val="1"/>
        </w:rPr>
        <w:t>财力支持。</w:t>
      </w:r>
    </w:p>
    <w:p>
      <w:pPr>
        <w:pStyle w:val="BodyText"/>
        <w:ind w:right="96" w:firstLine="412"/>
        <w:spacing w:before="140" w:line="350" w:lineRule="auto"/>
        <w:rPr/>
      </w:pPr>
      <w:r>
        <w:rPr>
          <w:spacing w:val="3"/>
        </w:rPr>
        <w:t>（</w:t>
      </w:r>
      <w:r>
        <w:rPr>
          <w:spacing w:val="-28"/>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5"/>
        </w:rPr>
        <w:t xml:space="preserve"> </w:t>
      </w:r>
      <w:r>
        <w:rPr>
          <w:spacing w:val="3"/>
        </w:rPr>
        <w:t>）按照</w:t>
      </w:r>
      <w:r>
        <w:rPr>
          <w:rFonts w:ascii="Times New Roman" w:hAnsi="Times New Roman" w:eastAsia="Times New Roman" w:cs="Times New Roman"/>
          <w:spacing w:val="3"/>
        </w:rPr>
        <w:t>“</w:t>
      </w:r>
      <w:r>
        <w:rPr>
          <w:spacing w:val="3"/>
        </w:rPr>
        <w:t>分级负担</w:t>
      </w:r>
      <w:r>
        <w:rPr>
          <w:rFonts w:ascii="Times New Roman" w:hAnsi="Times New Roman" w:eastAsia="Times New Roman" w:cs="Times New Roman"/>
          <w:spacing w:val="3"/>
        </w:rPr>
        <w:t>”</w:t>
      </w:r>
      <w:r>
        <w:rPr>
          <w:spacing w:val="3"/>
        </w:rPr>
        <w:t>原则</w:t>
      </w:r>
      <w:r>
        <w:rPr>
          <w:spacing w:val="-57"/>
        </w:rPr>
        <w:t xml:space="preserve"> </w:t>
      </w:r>
      <w:r>
        <w:rPr>
          <w:spacing w:val="3"/>
        </w:rPr>
        <w:t>，市县（</w:t>
      </w:r>
      <w:r>
        <w:rPr>
          <w:spacing w:val="-47"/>
        </w:rPr>
        <w:t xml:space="preserve"> </w:t>
      </w:r>
      <w:r>
        <w:rPr>
          <w:spacing w:val="3"/>
        </w:rPr>
        <w:t>区）</w:t>
      </w:r>
      <w:r>
        <w:rPr>
          <w:spacing w:val="18"/>
        </w:rPr>
        <w:t>政府应当将突发事件应对工作所需经费列入</w:t>
      </w:r>
      <w:r>
        <w:rPr>
          <w:spacing w:val="7"/>
        </w:rPr>
        <w:t>同级财政预算。财政和审计部门要对突发事件</w:t>
      </w:r>
      <w:r>
        <w:rPr>
          <w:spacing w:val="7"/>
        </w:rPr>
        <w:t>应急保障资金使用效果进行监督和评价。市财</w:t>
      </w:r>
      <w:r>
        <w:rPr>
          <w:spacing w:val="18"/>
        </w:rPr>
        <w:t>政应当根据突发事件所在地实际情况给予适</w:t>
      </w:r>
      <w:r>
        <w:rPr>
          <w:spacing w:val="9"/>
        </w:rPr>
        <w:t>当支持，必要时向自治区申请财政补助。</w:t>
      </w:r>
    </w:p>
    <w:p>
      <w:pPr>
        <w:pStyle w:val="BodyText"/>
        <w:ind w:left="5" w:right="82" w:firstLine="407"/>
        <w:spacing w:before="161" w:line="324" w:lineRule="auto"/>
        <w:rPr/>
      </w:pPr>
      <w:r>
        <w:rPr>
          <w:spacing w:val="9"/>
        </w:rPr>
        <w:t>（</w:t>
      </w:r>
      <w:r>
        <w:rPr>
          <w:rFonts w:ascii="Times New Roman" w:hAnsi="Times New Roman" w:eastAsia="Times New Roman" w:cs="Times New Roman"/>
          <w:spacing w:val="9"/>
        </w:rPr>
        <w:t>2 </w:t>
      </w:r>
      <w:r>
        <w:rPr>
          <w:spacing w:val="9"/>
        </w:rPr>
        <w:t>）国家鼓励公民、法人或其他组织按</w:t>
      </w:r>
      <w:r>
        <w:rPr>
          <w:spacing w:val="7"/>
        </w:rPr>
        <w:t>照《中华人民共和国慈善法》《中华人民共和</w:t>
      </w:r>
      <w:r>
        <w:rPr>
          <w:spacing w:val="-2"/>
        </w:rPr>
        <w:t>国公益事业捐赠法》等有关法律的规定，为应对</w:t>
      </w:r>
    </w:p>
    <w:p>
      <w:pPr>
        <w:spacing w:line="324" w:lineRule="auto"/>
        <w:sectPr>
          <w:type w:val="continuous"/>
          <w:pgSz w:w="11906" w:h="16839"/>
          <w:pgMar w:top="1769" w:right="1489" w:bottom="1570" w:left="1588" w:header="1428" w:footer="1172" w:gutter="0"/>
          <w:cols w:equalWidth="0" w:num="2">
            <w:col w:w="4481" w:space="100"/>
            <w:col w:w="4249" w:space="0"/>
          </w:cols>
        </w:sectPr>
        <w:rPr/>
      </w:pPr>
    </w:p>
    <w:p>
      <w:pPr>
        <w:spacing w:before="80"/>
        <w:rPr/>
      </w:pPr>
      <w:r>
        <w:drawing>
          <wp:anchor distT="0" distB="0" distL="0" distR="0" simplePos="0" relativeHeight="25208832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194" name="IM 1194"/>
            <wp:cNvGraphicFramePr/>
            <a:graphic>
              <a:graphicData uri="http://schemas.openxmlformats.org/drawingml/2006/picture">
                <pic:pic>
                  <pic:nvPicPr>
                    <pic:cNvPr id="1194" name="IM 1194"/>
                    <pic:cNvPicPr/>
                  </pic:nvPicPr>
                  <pic:blipFill>
                    <a:blip r:embed="rId599"/>
                    <a:stretch>
                      <a:fillRect/>
                    </a:stretch>
                  </pic:blipFill>
                  <pic:spPr>
                    <a:xfrm rot="0">
                      <a:off x="0" y="0"/>
                      <a:ext cx="5579745" cy="7620"/>
                    </a:xfrm>
                    <a:prstGeom prst="rect">
                      <a:avLst/>
                    </a:prstGeom>
                  </pic:spPr>
                </pic:pic>
              </a:graphicData>
            </a:graphic>
          </wp:anchor>
        </w:drawing>
      </w:r>
      <w:r/>
    </w:p>
    <w:p>
      <w:pPr>
        <w:sectPr>
          <w:headerReference w:type="default" r:id="rId597"/>
          <w:footerReference w:type="default" r:id="rId598"/>
          <w:pgSz w:w="11906" w:h="16839"/>
          <w:pgMar w:top="1766" w:right="1509" w:bottom="1563" w:left="1579" w:header="1428" w:footer="1172" w:gutter="0"/>
          <w:cols w:equalWidth="0" w:num="1">
            <w:col w:w="8817" w:space="0"/>
          </w:cols>
        </w:sectPr>
        <w:rPr/>
      </w:pPr>
    </w:p>
    <w:p>
      <w:pPr>
        <w:pStyle w:val="BodyText"/>
        <w:ind w:left="19"/>
        <w:spacing w:before="42" w:line="220" w:lineRule="auto"/>
        <w:rPr/>
      </w:pPr>
      <w:r>
        <w:rPr>
          <w:spacing w:val="-15"/>
        </w:rPr>
        <w:t>突发事件提供物资、装备、资金、技术支持和</w:t>
      </w:r>
      <w:r>
        <w:rPr>
          <w:spacing w:val="-16"/>
        </w:rPr>
        <w:t>捐赠。</w:t>
      </w:r>
    </w:p>
    <w:p>
      <w:pPr>
        <w:pStyle w:val="BodyText"/>
        <w:ind w:left="16" w:right="332" w:firstLine="408"/>
        <w:spacing w:before="163" w:line="298" w:lineRule="auto"/>
        <w:rPr/>
      </w:pPr>
      <w:r>
        <w:rPr>
          <w:spacing w:val="8"/>
        </w:rPr>
        <w:t>（</w:t>
      </w:r>
      <w:r>
        <w:rPr>
          <w:rFonts w:ascii="Times New Roman" w:hAnsi="Times New Roman" w:eastAsia="Times New Roman" w:cs="Times New Roman"/>
          <w:spacing w:val="8"/>
        </w:rPr>
        <w:t>3</w:t>
      </w:r>
      <w:r>
        <w:rPr>
          <w:rFonts w:ascii="Times New Roman" w:hAnsi="Times New Roman" w:eastAsia="Times New Roman" w:cs="Times New Roman"/>
          <w:spacing w:val="-16"/>
        </w:rPr>
        <w:t xml:space="preserve"> </w:t>
      </w:r>
      <w:r>
        <w:rPr>
          <w:spacing w:val="8"/>
        </w:rPr>
        <w:t>）市县（</w:t>
      </w:r>
      <w:r>
        <w:rPr>
          <w:spacing w:val="-48"/>
        </w:rPr>
        <w:t xml:space="preserve"> </w:t>
      </w:r>
      <w:r>
        <w:rPr>
          <w:spacing w:val="8"/>
        </w:rPr>
        <w:t>区）政府制定物资征用补偿</w:t>
      </w:r>
      <w:r>
        <w:rPr>
          <w:spacing w:val="6"/>
        </w:rPr>
        <w:t>或救助政策。</w:t>
      </w:r>
    </w:p>
    <w:p>
      <w:pPr>
        <w:pStyle w:val="BodyText"/>
        <w:ind w:left="4" w:right="329" w:firstLine="420"/>
        <w:spacing w:before="158" w:line="344"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）建立健全财政支持的灾害风险保险</w:t>
      </w:r>
      <w:r>
        <w:rPr>
          <w:spacing w:val="16"/>
        </w:rPr>
        <w:t>体系</w:t>
      </w:r>
      <w:r>
        <w:rPr>
          <w:spacing w:val="-51"/>
        </w:rPr>
        <w:t xml:space="preserve"> </w:t>
      </w:r>
      <w:r>
        <w:rPr>
          <w:spacing w:val="16"/>
        </w:rPr>
        <w:t>，鼓励单位和公民参加社会保险。市县</w:t>
      </w:r>
      <w:r>
        <w:rPr>
          <w:spacing w:val="7"/>
        </w:rPr>
        <w:t>（区）政府及其有关部门安排应急救援人员参</w:t>
      </w:r>
      <w:r>
        <w:rPr>
          <w:spacing w:val="7"/>
        </w:rPr>
        <w:t>与可能发生人身危险的抢险救援行动前，应当</w:t>
      </w:r>
      <w:r>
        <w:rPr>
          <w:spacing w:val="9"/>
        </w:rPr>
        <w:t>为其购买相应的人身意外伤害保险。</w:t>
      </w:r>
    </w:p>
    <w:p>
      <w:pPr>
        <w:ind w:left="432"/>
        <w:spacing w:before="159" w:line="264" w:lineRule="exact"/>
        <w:rPr>
          <w:rFonts w:ascii="KaiTi" w:hAnsi="KaiTi" w:eastAsia="KaiTi" w:cs="KaiTi"/>
          <w:sz w:val="20"/>
          <w:szCs w:val="20"/>
        </w:rPr>
      </w:pPr>
      <w:r>
        <w:rPr>
          <w:rFonts w:ascii="Times New Roman" w:hAnsi="Times New Roman" w:eastAsia="Times New Roman" w:cs="Times New Roman"/>
          <w:sz w:val="20"/>
          <w:szCs w:val="20"/>
          <w:spacing w:val="4"/>
          <w:position w:val="1"/>
        </w:rPr>
        <w:t>4.3</w:t>
      </w:r>
      <w:r>
        <w:rPr>
          <w:rFonts w:ascii="Times New Roman" w:hAnsi="Times New Roman" w:eastAsia="Times New Roman" w:cs="Times New Roman"/>
          <w:sz w:val="20"/>
          <w:szCs w:val="20"/>
          <w:spacing w:val="9"/>
          <w:position w:val="1"/>
        </w:rPr>
        <w:t xml:space="preserve">  </w:t>
      </w:r>
      <w:r>
        <w:rPr>
          <w:rFonts w:ascii="KaiTi" w:hAnsi="KaiTi" w:eastAsia="KaiTi" w:cs="KaiTi"/>
          <w:sz w:val="20"/>
          <w:szCs w:val="20"/>
          <w:spacing w:val="4"/>
          <w:position w:val="1"/>
        </w:rPr>
        <w:t>物资装备。</w:t>
      </w:r>
    </w:p>
    <w:p>
      <w:pPr>
        <w:pStyle w:val="BodyText"/>
        <w:ind w:left="10" w:right="306" w:firstLine="413"/>
        <w:spacing w:before="143" w:line="364"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）市应急管理局负责提出市救灾物资</w:t>
      </w:r>
      <w:r>
        <w:rPr>
          <w:spacing w:val="7"/>
        </w:rPr>
        <w:t>的储备需求和动用决策，组织编制市救灾物资</w:t>
      </w:r>
      <w:r>
        <w:rPr>
          <w:spacing w:val="7"/>
        </w:rPr>
        <w:t>储备规划、品种目录等，会同市粮食和物资储</w:t>
      </w:r>
      <w:r>
        <w:rPr>
          <w:spacing w:val="7"/>
        </w:rPr>
        <w:t>备局等部门（单位）确定年度购置计划。根据</w:t>
      </w:r>
      <w:r>
        <w:rPr>
          <w:spacing w:val="7"/>
        </w:rPr>
        <w:t>需要下达动用指令；市商务投资局负责生活用</w:t>
      </w:r>
      <w:r>
        <w:rPr>
          <w:spacing w:val="7"/>
        </w:rPr>
        <w:t>品物资的储备管理工作；市粮食和物资储备局</w:t>
      </w:r>
      <w:r>
        <w:rPr>
          <w:spacing w:val="8"/>
        </w:rPr>
        <w:t>根据市救灾物资初步规划、品种目录和标准、</w:t>
      </w:r>
      <w:r>
        <w:rPr>
          <w:spacing w:val="7"/>
        </w:rPr>
        <w:t>年度购置计划，负责市救灾物资的收储、轮换</w:t>
      </w:r>
      <w:r>
        <w:rPr>
          <w:spacing w:val="7"/>
        </w:rPr>
        <w:t>和日常管理，根据市应急局的动用指令按程序</w:t>
      </w:r>
      <w:r>
        <w:rPr>
          <w:spacing w:val="8"/>
        </w:rPr>
        <w:t>组织调出。建立健全重要应急物资监测网络、</w:t>
      </w:r>
      <w:r>
        <w:rPr>
          <w:spacing w:val="7"/>
        </w:rPr>
        <w:t>预警体系和应急物资生产、储备、调拨及紧急</w:t>
      </w:r>
      <w:r>
        <w:rPr>
          <w:spacing w:val="7"/>
        </w:rPr>
        <w:t>配送体系，完善应急工作程序，确保应急所需</w:t>
      </w:r>
      <w:r>
        <w:rPr>
          <w:spacing w:val="15"/>
        </w:rPr>
        <w:t>物资及时供应</w:t>
      </w:r>
      <w:r>
        <w:rPr>
          <w:spacing w:val="-39"/>
        </w:rPr>
        <w:t xml:space="preserve"> </w:t>
      </w:r>
      <w:r>
        <w:rPr>
          <w:spacing w:val="15"/>
        </w:rPr>
        <w:t>，并加强对物资储备的监督管</w:t>
      </w:r>
      <w:r>
        <w:rPr>
          <w:spacing w:val="7"/>
        </w:rPr>
        <w:t>理，及时予以补充和更新。自然资源局、水务</w:t>
      </w:r>
      <w:r>
        <w:rPr>
          <w:spacing w:val="5"/>
        </w:rPr>
        <w:t>局、县（</w:t>
      </w:r>
      <w:r>
        <w:rPr>
          <w:spacing w:val="-53"/>
        </w:rPr>
        <w:t xml:space="preserve"> </w:t>
      </w:r>
      <w:r>
        <w:rPr>
          <w:spacing w:val="5"/>
        </w:rPr>
        <w:t>区）应急指挥部等有关部门按照职能</w:t>
      </w:r>
      <w:r>
        <w:rPr>
          <w:spacing w:val="7"/>
        </w:rPr>
        <w:t>分工加强相关类别应急物资和装备储备，完善</w:t>
      </w:r>
      <w:r>
        <w:rPr>
          <w:spacing w:val="8"/>
        </w:rPr>
        <w:t>应急物资装备管理协调机制。</w:t>
      </w:r>
    </w:p>
    <w:p>
      <w:pPr>
        <w:pStyle w:val="BodyText"/>
        <w:ind w:left="12" w:right="252" w:firstLine="412"/>
        <w:spacing w:before="159" w:line="344"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2"/>
        </w:rPr>
        <w:t xml:space="preserve"> </w:t>
      </w:r>
      <w:r>
        <w:rPr>
          <w:spacing w:val="8"/>
        </w:rPr>
        <w:t>）市县（</w:t>
      </w:r>
      <w:r>
        <w:rPr>
          <w:spacing w:val="-48"/>
        </w:rPr>
        <w:t xml:space="preserve"> </w:t>
      </w:r>
      <w:r>
        <w:rPr>
          <w:spacing w:val="8"/>
        </w:rPr>
        <w:t>区）政府应根据有关法律、</w:t>
      </w:r>
      <w:r>
        <w:rPr>
          <w:spacing w:val="7"/>
        </w:rPr>
        <w:t>法规和应急预案的规定，做好物资装备储备工</w:t>
      </w:r>
      <w:r>
        <w:rPr>
          <w:spacing w:val="7"/>
        </w:rPr>
        <w:t>作，或与有关企业签订协议，保障应急救援物</w:t>
      </w:r>
      <w:r>
        <w:rPr>
          <w:spacing w:val="1"/>
        </w:rPr>
        <w:t>资、生活必需品和应急处置装备的生产、供给。</w:t>
      </w:r>
    </w:p>
    <w:p>
      <w:pPr>
        <w:ind w:left="432"/>
        <w:spacing w:before="126" w:line="266" w:lineRule="exact"/>
        <w:rPr>
          <w:rFonts w:ascii="KaiTi" w:hAnsi="KaiTi" w:eastAsia="KaiTi" w:cs="KaiTi"/>
          <w:sz w:val="20"/>
          <w:szCs w:val="20"/>
        </w:rPr>
      </w:pPr>
      <w:r>
        <w:rPr>
          <w:rFonts w:ascii="Times New Roman" w:hAnsi="Times New Roman" w:eastAsia="Times New Roman" w:cs="Times New Roman"/>
          <w:sz w:val="20"/>
          <w:szCs w:val="20"/>
          <w:spacing w:val="5"/>
          <w:position w:val="1"/>
        </w:rPr>
        <w:t>4.4  </w:t>
      </w:r>
      <w:r>
        <w:rPr>
          <w:rFonts w:ascii="KaiTi" w:hAnsi="KaiTi" w:eastAsia="KaiTi" w:cs="KaiTi"/>
          <w:sz w:val="20"/>
          <w:szCs w:val="20"/>
          <w:spacing w:val="5"/>
          <w:position w:val="1"/>
        </w:rPr>
        <w:t>科技支撑。</w:t>
      </w:r>
    </w:p>
    <w:p>
      <w:pPr>
        <w:pStyle w:val="BodyText"/>
        <w:ind w:left="424"/>
        <w:spacing w:before="141" w:line="221"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）各级政府及有关部门要研究制定相</w:t>
      </w:r>
    </w:p>
    <w:p>
      <w:pPr>
        <w:spacing w:line="14" w:lineRule="auto"/>
        <w:rPr>
          <w:rFonts w:ascii="Arial"/>
          <w:sz w:val="2"/>
        </w:rPr>
      </w:pPr>
      <w:r>
        <w:rPr>
          <w:rFonts w:ascii="Arial" w:hAnsi="Arial" w:eastAsia="Arial" w:cs="Arial"/>
          <w:sz w:val="2"/>
          <w:szCs w:val="2"/>
        </w:rPr>
        <w:br w:type="column"/>
      </w:r>
    </w:p>
    <w:p>
      <w:pPr>
        <w:pStyle w:val="BodyText"/>
        <w:ind w:right="80"/>
        <w:spacing w:before="37" w:line="373" w:lineRule="auto"/>
        <w:jc w:val="both"/>
        <w:rPr/>
      </w:pPr>
      <w:r>
        <w:rPr>
          <w:spacing w:val="7"/>
        </w:rPr>
        <w:t>关政策措施，鼓励、扶持具备相应条件的教学</w:t>
      </w:r>
      <w:r>
        <w:rPr>
          <w:spacing w:val="7"/>
        </w:rPr>
        <w:t>科研机构培养应急管理专业人才，开展公共安</w:t>
      </w:r>
      <w:r>
        <w:rPr>
          <w:spacing w:val="7"/>
        </w:rPr>
        <w:t>全和应急管理领域的科学研究；研究制定促进</w:t>
      </w:r>
      <w:r>
        <w:rPr>
          <w:spacing w:val="7"/>
        </w:rPr>
        <w:t>公共安全和应急产业发展政策措施，鼓励、扶</w:t>
      </w:r>
      <w:r>
        <w:rPr>
          <w:spacing w:val="18"/>
        </w:rPr>
        <w:t>持教学科研机构和有关企业研究开发用于突</w:t>
      </w:r>
      <w:r>
        <w:rPr>
          <w:spacing w:val="7"/>
        </w:rPr>
        <w:t>发事件预防、监测、预警、应急处置与救援的</w:t>
      </w:r>
      <w:r>
        <w:rPr>
          <w:spacing w:val="8"/>
        </w:rPr>
        <w:t>新技术、新设备和新工具。</w:t>
      </w:r>
    </w:p>
    <w:p>
      <w:pPr>
        <w:pStyle w:val="BodyText"/>
        <w:ind w:firstLine="412"/>
        <w:spacing w:before="9" w:line="372" w:lineRule="auto"/>
        <w:jc w:val="both"/>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16"/>
        </w:rPr>
        <w:t xml:space="preserve"> </w:t>
      </w:r>
      <w:r>
        <w:rPr>
          <w:spacing w:val="8"/>
        </w:rPr>
        <w:t>）市县（</w:t>
      </w:r>
      <w:r>
        <w:rPr>
          <w:spacing w:val="-48"/>
        </w:rPr>
        <w:t xml:space="preserve"> </w:t>
      </w:r>
      <w:r>
        <w:rPr>
          <w:spacing w:val="8"/>
        </w:rPr>
        <w:t>区）应急管理及有关部门要</w:t>
      </w:r>
      <w:r>
        <w:rPr>
          <w:spacing w:val="18"/>
        </w:rPr>
        <w:t>充分利用现有政府应急指挥资源和专业系统</w:t>
      </w:r>
      <w:r>
        <w:rPr>
          <w:spacing w:val="7"/>
        </w:rPr>
        <w:t>资源，建立应急会商指挥系统、基础支撑系统</w:t>
      </w:r>
      <w:r>
        <w:rPr>
          <w:spacing w:val="1"/>
        </w:rPr>
        <w:t>和综合应用系统，配置移动指挥系统，建立市、</w:t>
      </w:r>
      <w:r>
        <w:rPr>
          <w:spacing w:val="7"/>
        </w:rPr>
        <w:t>县、乡三级应急指挥平台和有关部门应急指挥</w:t>
      </w:r>
      <w:r>
        <w:rPr>
          <w:spacing w:val="7"/>
        </w:rPr>
        <w:t>平台，满足突发事件监测监控、预测预警、值</w:t>
      </w:r>
      <w:r>
        <w:rPr>
          <w:spacing w:val="7"/>
        </w:rPr>
        <w:t>守应急、信息报告汇总与发布、视频会商、综</w:t>
      </w:r>
      <w:r>
        <w:rPr>
          <w:spacing w:val="7"/>
        </w:rPr>
        <w:t>合研判、辅助决策、指挥协调、资源调用和总</w:t>
      </w:r>
      <w:r>
        <w:rPr>
          <w:spacing w:val="7"/>
        </w:rPr>
        <w:t>结评估等功能。</w:t>
      </w:r>
    </w:p>
    <w:p>
      <w:pPr>
        <w:ind w:left="420"/>
        <w:spacing w:line="242" w:lineRule="auto"/>
        <w:rPr>
          <w:rFonts w:ascii="KaiTi" w:hAnsi="KaiTi" w:eastAsia="KaiTi" w:cs="KaiTi"/>
          <w:sz w:val="20"/>
          <w:szCs w:val="20"/>
        </w:rPr>
      </w:pPr>
      <w:r>
        <w:rPr>
          <w:rFonts w:ascii="Times New Roman" w:hAnsi="Times New Roman" w:eastAsia="Times New Roman" w:cs="Times New Roman"/>
          <w:sz w:val="20"/>
          <w:szCs w:val="20"/>
          <w:spacing w:val="5"/>
        </w:rPr>
        <w:t>4.5  </w:t>
      </w:r>
      <w:r>
        <w:rPr>
          <w:rFonts w:ascii="KaiTi" w:hAnsi="KaiTi" w:eastAsia="KaiTi" w:cs="KaiTi"/>
          <w:sz w:val="20"/>
          <w:szCs w:val="20"/>
          <w:spacing w:val="5"/>
        </w:rPr>
        <w:t>其他保障。</w:t>
      </w:r>
    </w:p>
    <w:p>
      <w:pPr>
        <w:pStyle w:val="BodyText"/>
        <w:ind w:right="80" w:firstLine="420"/>
        <w:spacing w:before="142" w:line="373" w:lineRule="auto"/>
        <w:rPr/>
      </w:pPr>
      <w:r>
        <w:rPr>
          <w:spacing w:val="7"/>
        </w:rPr>
        <w:t>基本生活保障。事发地人民政府要做好受</w:t>
      </w:r>
      <w:r>
        <w:rPr>
          <w:spacing w:val="7"/>
        </w:rPr>
        <w:t>灾群众的基本生活保障工作，确保灾区群众有</w:t>
      </w:r>
      <w:r>
        <w:rPr>
          <w:spacing w:val="9"/>
        </w:rPr>
        <w:t>饭吃、有水喝、有衣穿、有住处。</w:t>
      </w:r>
    </w:p>
    <w:p>
      <w:pPr>
        <w:pStyle w:val="BodyText"/>
        <w:ind w:left="1" w:right="60" w:firstLine="432"/>
        <w:spacing w:line="373" w:lineRule="auto"/>
        <w:jc w:val="both"/>
        <w:rPr/>
      </w:pPr>
      <w:r>
        <w:rPr>
          <w:spacing w:val="6"/>
        </w:rPr>
        <w:t>医疗卫生保障。卫健部门负责组建医疗卫</w:t>
      </w:r>
      <w:r>
        <w:rPr>
          <w:spacing w:val="7"/>
        </w:rPr>
        <w:t>生应急专业技术队伍，根据需要及时赴现场开</w:t>
      </w:r>
      <w:r>
        <w:rPr>
          <w:spacing w:val="8"/>
        </w:rPr>
        <w:t>展医疗救治、疾病预防控制等卫生应急工作。</w:t>
      </w:r>
      <w:r>
        <w:rPr>
          <w:spacing w:val="7"/>
        </w:rPr>
        <w:t>必要时，组织动员红十字会等社会卫生力量参</w:t>
      </w:r>
      <w:r>
        <w:rPr>
          <w:spacing w:val="8"/>
        </w:rPr>
        <w:t>与医疗卫生救助工作。</w:t>
      </w:r>
    </w:p>
    <w:p>
      <w:pPr>
        <w:pStyle w:val="BodyText"/>
        <w:ind w:right="57" w:firstLine="421"/>
        <w:spacing w:before="8" w:line="350" w:lineRule="auto"/>
        <w:jc w:val="both"/>
        <w:rPr/>
      </w:pPr>
      <w:r>
        <w:rPr>
          <w:spacing w:val="6"/>
        </w:rPr>
        <w:t>交通运输保障。交通运输部门要保证紧急</w:t>
      </w:r>
      <w:r>
        <w:rPr>
          <w:spacing w:val="8"/>
        </w:rPr>
        <w:t>情况下应急交通工具的优先安排、优先调度、</w:t>
      </w:r>
      <w:r>
        <w:rPr>
          <w:spacing w:val="7"/>
        </w:rPr>
        <w:t>优先放行，确保运输安全畅通；要依法建立紧</w:t>
      </w:r>
      <w:r>
        <w:rPr>
          <w:spacing w:val="7"/>
        </w:rPr>
        <w:t>急情况下社会交通运输工具的征用程序，确保</w:t>
      </w:r>
      <w:r>
        <w:rPr>
          <w:spacing w:val="7"/>
        </w:rPr>
        <w:t>抢险救灾物资和人员能够及时、安全送达。根</w:t>
      </w:r>
      <w:r>
        <w:rPr>
          <w:spacing w:val="7"/>
        </w:rPr>
        <w:t>据应急处置需要，对现场及相关通道实行交通</w:t>
      </w:r>
      <w:r>
        <w:rPr>
          <w:spacing w:val="8"/>
        </w:rPr>
        <w:t>管制，开设应急救援</w:t>
      </w:r>
      <w:r>
        <w:rPr>
          <w:rFonts w:ascii="Times New Roman" w:hAnsi="Times New Roman" w:eastAsia="Times New Roman" w:cs="Times New Roman"/>
          <w:spacing w:val="8"/>
        </w:rPr>
        <w:t>“</w:t>
      </w:r>
      <w:r>
        <w:rPr>
          <w:spacing w:val="8"/>
        </w:rPr>
        <w:t>绿色通道</w:t>
      </w:r>
      <w:r>
        <w:rPr>
          <w:rFonts w:ascii="Times New Roman" w:hAnsi="Times New Roman" w:eastAsia="Times New Roman" w:cs="Times New Roman"/>
          <w:spacing w:val="8"/>
        </w:rPr>
        <w:t>”</w:t>
      </w:r>
      <w:r>
        <w:rPr>
          <w:spacing w:val="8"/>
        </w:rPr>
        <w:t>，保证应急救</w:t>
      </w:r>
    </w:p>
    <w:p>
      <w:pPr>
        <w:spacing w:line="350" w:lineRule="auto"/>
        <w:sectPr>
          <w:type w:val="continuous"/>
          <w:pgSz w:w="11906" w:h="16839"/>
          <w:pgMar w:top="1766" w:right="1509" w:bottom="1563" w:left="1579" w:header="1428" w:footer="1172" w:gutter="0"/>
          <w:cols w:equalWidth="0" w:num="2">
            <w:col w:w="4489" w:space="100"/>
            <w:col w:w="4228" w:space="0"/>
          </w:cols>
        </w:sectPr>
        <w:rPr/>
      </w:pPr>
    </w:p>
    <w:p>
      <w:pPr>
        <w:spacing w:before="70"/>
        <w:rPr/>
      </w:pPr>
      <w:r>
        <w:drawing>
          <wp:anchor distT="0" distB="0" distL="0" distR="0" simplePos="0" relativeHeight="252090368" behindDoc="0" locked="0" layoutInCell="0" allowOverlap="1">
            <wp:simplePos x="0" y="0"/>
            <wp:positionH relativeFrom="page">
              <wp:posOffset>1008380</wp:posOffset>
            </wp:positionH>
            <wp:positionV relativeFrom="page">
              <wp:posOffset>1122680</wp:posOffset>
            </wp:positionV>
            <wp:extent cx="5579745" cy="7619"/>
            <wp:effectExtent l="0" t="0" r="0" b="0"/>
            <wp:wrapNone/>
            <wp:docPr id="1200" name="IM 1200"/>
            <wp:cNvGraphicFramePr/>
            <a:graphic>
              <a:graphicData uri="http://schemas.openxmlformats.org/drawingml/2006/picture">
                <pic:pic>
                  <pic:nvPicPr>
                    <pic:cNvPr id="1200" name="IM 1200"/>
                    <pic:cNvPicPr/>
                  </pic:nvPicPr>
                  <pic:blipFill>
                    <a:blip r:embed="rId602"/>
                    <a:stretch>
                      <a:fillRect/>
                    </a:stretch>
                  </pic:blipFill>
                  <pic:spPr>
                    <a:xfrm rot="0">
                      <a:off x="0" y="0"/>
                      <a:ext cx="5579745" cy="7619"/>
                    </a:xfrm>
                    <a:prstGeom prst="rect">
                      <a:avLst/>
                    </a:prstGeom>
                  </pic:spPr>
                </pic:pic>
              </a:graphicData>
            </a:graphic>
          </wp:anchor>
        </w:drawing>
      </w:r>
      <w:r/>
    </w:p>
    <w:p>
      <w:pPr>
        <w:sectPr>
          <w:headerReference w:type="default" r:id="rId600"/>
          <w:footerReference w:type="default" r:id="rId601"/>
          <w:pgSz w:w="11906" w:h="16839"/>
          <w:pgMar w:top="1769" w:right="1480" w:bottom="1570" w:left="1588" w:header="1428" w:footer="1172" w:gutter="0"/>
          <w:cols w:equalWidth="0" w:num="1">
            <w:col w:w="8838" w:space="0"/>
          </w:cols>
        </w:sectPr>
        <w:rPr/>
      </w:pPr>
    </w:p>
    <w:p>
      <w:pPr>
        <w:pStyle w:val="BodyText"/>
        <w:ind w:left="3" w:right="322"/>
        <w:spacing w:before="52" w:line="374" w:lineRule="auto"/>
        <w:jc w:val="both"/>
        <w:rPr/>
      </w:pPr>
      <w:r>
        <w:rPr>
          <w:spacing w:val="7"/>
        </w:rPr>
        <w:t>援工作的顺利开展。社会治安维护。公安部门</w:t>
      </w:r>
      <w:r>
        <w:rPr>
          <w:spacing w:val="7"/>
        </w:rPr>
        <w:t>要加强对重点地区、重点场所、重点人群、重</w:t>
      </w:r>
      <w:r>
        <w:rPr>
          <w:spacing w:val="7"/>
        </w:rPr>
        <w:t>要物资和设备的安全保护，依法严厉打击违法</w:t>
      </w:r>
      <w:r>
        <w:rPr>
          <w:spacing w:val="7"/>
        </w:rPr>
        <w:t>犯罪活动。必要时，依法采取有效管制措施，</w:t>
      </w:r>
      <w:r>
        <w:rPr>
          <w:spacing w:val="8"/>
        </w:rPr>
        <w:t>控制事态，维护社会秩序。</w:t>
      </w:r>
    </w:p>
    <w:p>
      <w:pPr>
        <w:pStyle w:val="BodyText"/>
        <w:ind w:left="4" w:right="322" w:firstLine="420"/>
        <w:spacing w:before="2" w:line="374" w:lineRule="auto"/>
        <w:jc w:val="both"/>
        <w:rPr/>
      </w:pPr>
      <w:r>
        <w:rPr>
          <w:spacing w:val="7"/>
        </w:rPr>
        <w:t>人员防护保障。各级政府要指定或建立与</w:t>
      </w:r>
      <w:r>
        <w:rPr>
          <w:spacing w:val="7"/>
        </w:rPr>
        <w:t>人口密度、城市规模相适应的应急避险场所，</w:t>
      </w:r>
      <w:r>
        <w:rPr>
          <w:spacing w:val="7"/>
        </w:rPr>
        <w:t>完善紧急疏散管理办法和程序，明确各级责任</w:t>
      </w:r>
      <w:r>
        <w:rPr>
          <w:spacing w:val="7"/>
        </w:rPr>
        <w:t>人，确保在紧急情况下公众安全、有序的转移</w:t>
      </w:r>
      <w:r>
        <w:rPr>
          <w:spacing w:val="7"/>
        </w:rPr>
        <w:t>或疏散。要采取必要的防护措施，严格按照程</w:t>
      </w:r>
      <w:r>
        <w:rPr>
          <w:spacing w:val="9"/>
        </w:rPr>
        <w:t>序开展应急救援工作，确保人员安全。</w:t>
      </w:r>
    </w:p>
    <w:p>
      <w:pPr>
        <w:pStyle w:val="BodyText"/>
        <w:ind w:left="5" w:right="329" w:firstLine="420"/>
        <w:spacing w:before="4" w:line="374" w:lineRule="auto"/>
        <w:jc w:val="both"/>
        <w:rPr/>
      </w:pPr>
      <w:r>
        <w:rPr>
          <w:spacing w:val="4"/>
        </w:rPr>
        <w:t>通信联络保障。市县（</w:t>
      </w:r>
      <w:r>
        <w:rPr>
          <w:spacing w:val="-49"/>
        </w:rPr>
        <w:t xml:space="preserve"> </w:t>
      </w:r>
      <w:r>
        <w:rPr>
          <w:spacing w:val="4"/>
        </w:rPr>
        <w:t>区）政府要建立健</w:t>
      </w:r>
      <w:r>
        <w:rPr>
          <w:spacing w:val="7"/>
        </w:rPr>
        <w:t>全应急通信、应急广播电视保障工作体系，完</w:t>
      </w:r>
      <w:r>
        <w:rPr>
          <w:spacing w:val="7"/>
        </w:rPr>
        <w:t>善公用通信网，建立有线和无线相结合、基础</w:t>
      </w:r>
      <w:r>
        <w:rPr>
          <w:spacing w:val="18"/>
        </w:rPr>
        <w:t>电信网络与机动通信系统相配套的应急通信</w:t>
      </w:r>
      <w:r>
        <w:rPr>
          <w:spacing w:val="8"/>
        </w:rPr>
        <w:t>系统，确保通信畅通。</w:t>
      </w:r>
    </w:p>
    <w:p>
      <w:pPr>
        <w:pStyle w:val="BodyText"/>
        <w:ind w:left="3" w:right="329" w:firstLine="420"/>
        <w:spacing w:before="1" w:line="373" w:lineRule="auto"/>
        <w:jc w:val="both"/>
        <w:rPr/>
      </w:pPr>
      <w:r>
        <w:rPr>
          <w:spacing w:val="7"/>
        </w:rPr>
        <w:t>公共设施保障。各有关部门要按照职责分</w:t>
      </w:r>
      <w:r>
        <w:rPr>
          <w:spacing w:val="7"/>
        </w:rPr>
        <w:t>工，分别负责煤、电、油、气、水的供给，以</w:t>
      </w:r>
      <w:r>
        <w:rPr>
          <w:spacing w:val="7"/>
        </w:rPr>
        <w:t>及废水、废气、固体废弃物等有害物质的监测</w:t>
      </w:r>
      <w:r>
        <w:rPr>
          <w:spacing w:val="6"/>
        </w:rPr>
        <w:t>和处理。</w:t>
      </w:r>
    </w:p>
    <w:p>
      <w:pPr>
        <w:ind w:left="427"/>
        <w:spacing w:before="1"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5</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预案管理</w:t>
      </w:r>
    </w:p>
    <w:p>
      <w:pPr>
        <w:ind w:left="430"/>
        <w:spacing w:before="103" w:line="266" w:lineRule="exact"/>
        <w:rPr>
          <w:rFonts w:ascii="KaiTi" w:hAnsi="KaiTi" w:eastAsia="KaiTi" w:cs="KaiTi"/>
          <w:sz w:val="20"/>
          <w:szCs w:val="20"/>
        </w:rPr>
      </w:pPr>
      <w:r>
        <w:rPr>
          <w:rFonts w:ascii="Times New Roman" w:hAnsi="Times New Roman" w:eastAsia="Times New Roman" w:cs="Times New Roman"/>
          <w:sz w:val="20"/>
          <w:szCs w:val="20"/>
          <w:spacing w:val="1"/>
          <w:position w:val="1"/>
        </w:rPr>
        <w:t>5.</w:t>
      </w:r>
      <w:r>
        <w:rPr>
          <w:rFonts w:ascii="Times New Roman" w:hAnsi="Times New Roman" w:eastAsia="Times New Roman" w:cs="Times New Roman"/>
          <w:sz w:val="20"/>
          <w:szCs w:val="20"/>
          <w:spacing w:val="-17"/>
          <w:position w:val="1"/>
        </w:rPr>
        <w:t xml:space="preserve"> </w:t>
      </w:r>
      <w:r>
        <w:rPr>
          <w:rFonts w:ascii="Times New Roman" w:hAnsi="Times New Roman" w:eastAsia="Times New Roman" w:cs="Times New Roman"/>
          <w:sz w:val="20"/>
          <w:szCs w:val="20"/>
          <w:spacing w:val="1"/>
          <w:position w:val="1"/>
        </w:rPr>
        <w:t>1  </w:t>
      </w:r>
      <w:r>
        <w:rPr>
          <w:rFonts w:ascii="KaiTi" w:hAnsi="KaiTi" w:eastAsia="KaiTi" w:cs="KaiTi"/>
          <w:sz w:val="20"/>
          <w:szCs w:val="20"/>
          <w:spacing w:val="1"/>
          <w:position w:val="1"/>
        </w:rPr>
        <w:t>预案编制。</w:t>
      </w:r>
    </w:p>
    <w:p>
      <w:pPr>
        <w:pStyle w:val="BodyText"/>
        <w:ind w:left="4" w:right="329" w:firstLine="411"/>
        <w:spacing w:before="138" w:line="350" w:lineRule="auto"/>
        <w:rPr/>
      </w:pPr>
      <w:r>
        <w:rPr>
          <w:spacing w:val="5"/>
        </w:rPr>
        <w:t>（</w:t>
      </w:r>
      <w:r>
        <w:rPr>
          <w:spacing w:val="-44"/>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）市县（</w:t>
      </w:r>
      <w:r>
        <w:rPr>
          <w:spacing w:val="-48"/>
        </w:rPr>
        <w:t xml:space="preserve"> </w:t>
      </w:r>
      <w:r>
        <w:rPr>
          <w:spacing w:val="5"/>
        </w:rPr>
        <w:t>区）政府要针对本行政区域</w:t>
      </w:r>
      <w:r>
        <w:rPr>
          <w:spacing w:val="7"/>
        </w:rPr>
        <w:t>内突发事件历史情况和重大风险，编制本级总</w:t>
      </w:r>
      <w:r>
        <w:rPr>
          <w:spacing w:val="7"/>
        </w:rPr>
        <w:t>体应急预案、专项预案和部门预案，完善本行</w:t>
      </w:r>
      <w:r>
        <w:rPr>
          <w:spacing w:val="7"/>
        </w:rPr>
        <w:t>政区域应急预案制修订规划，健全应急预案体</w:t>
      </w:r>
      <w:r>
        <w:rPr>
          <w:spacing w:val="4"/>
        </w:rPr>
        <w:t>系并组织实施。市县（</w:t>
      </w:r>
      <w:r>
        <w:rPr>
          <w:spacing w:val="-36"/>
        </w:rPr>
        <w:t xml:space="preserve"> </w:t>
      </w:r>
      <w:r>
        <w:rPr>
          <w:spacing w:val="4"/>
        </w:rPr>
        <w:t>区）应急预案编制修订</w:t>
      </w:r>
      <w:r>
        <w:rPr>
          <w:spacing w:val="9"/>
        </w:rPr>
        <w:t>工作规划应当报上级应急管理部门备案。</w:t>
      </w:r>
    </w:p>
    <w:p>
      <w:pPr>
        <w:pStyle w:val="BodyText"/>
        <w:ind w:left="8" w:right="329" w:firstLine="408"/>
        <w:spacing w:before="162" w:line="325"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）编制应急预案应当在风险评估和应</w:t>
      </w:r>
      <w:r>
        <w:rPr>
          <w:spacing w:val="7"/>
        </w:rPr>
        <w:t>急资源调查的基础上进行，以确保应急预案的</w:t>
      </w:r>
      <w:r>
        <w:rPr>
          <w:spacing w:val="6"/>
        </w:rPr>
        <w:t>可操作性。</w:t>
      </w:r>
    </w:p>
    <w:p>
      <w:pPr>
        <w:pStyle w:val="BodyText"/>
        <w:ind w:left="416"/>
        <w:spacing w:before="164" w:line="221"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）应急预案编制过程中应广泛听取有</w:t>
      </w:r>
    </w:p>
    <w:p>
      <w:pPr>
        <w:spacing w:line="14" w:lineRule="auto"/>
        <w:rPr>
          <w:rFonts w:ascii="Arial"/>
          <w:sz w:val="2"/>
        </w:rPr>
      </w:pPr>
      <w:r>
        <w:rPr>
          <w:rFonts w:ascii="Arial" w:hAnsi="Arial" w:eastAsia="Arial" w:cs="Arial"/>
          <w:sz w:val="2"/>
          <w:szCs w:val="2"/>
        </w:rPr>
        <w:br w:type="column"/>
      </w:r>
    </w:p>
    <w:p>
      <w:pPr>
        <w:pStyle w:val="BodyText"/>
        <w:ind w:left="1" w:right="110" w:hanging="1"/>
        <w:spacing w:before="47" w:line="373" w:lineRule="auto"/>
        <w:jc w:val="both"/>
        <w:rPr/>
      </w:pPr>
      <w:r>
        <w:rPr>
          <w:spacing w:val="7"/>
        </w:rPr>
        <w:t>关部门（单位）和专家的意见。涉及其他单位</w:t>
      </w:r>
      <w:r>
        <w:rPr>
          <w:spacing w:val="7"/>
        </w:rPr>
        <w:t>职责的，应当书面征求相关单位意见。必要时</w:t>
      </w:r>
      <w:r>
        <w:rPr>
          <w:spacing w:val="7"/>
        </w:rPr>
        <w:t>向社会公开征求意见。基层组织和单位应急预</w:t>
      </w:r>
      <w:r>
        <w:rPr>
          <w:spacing w:val="7"/>
        </w:rPr>
        <w:t>案在编制过程中应征求相关公民、法人或其他</w:t>
      </w:r>
      <w:r>
        <w:rPr>
          <w:spacing w:val="7"/>
        </w:rPr>
        <w:t>组织的意见。</w:t>
      </w:r>
    </w:p>
    <w:p>
      <w:pPr>
        <w:pStyle w:val="BodyText"/>
        <w:ind w:firstLine="427"/>
        <w:spacing w:before="9" w:line="364" w:lineRule="auto"/>
        <w:rPr/>
      </w:pPr>
      <w:r>
        <w:rPr>
          <w:rFonts w:ascii="Times New Roman" w:hAnsi="Times New Roman" w:eastAsia="Times New Roman" w:cs="Times New Roman"/>
          <w:spacing w:val="5"/>
        </w:rPr>
        <w:t>5.2  </w:t>
      </w:r>
      <w:r>
        <w:rPr>
          <w:rFonts w:ascii="KaiTi" w:hAnsi="KaiTi" w:eastAsia="KaiTi" w:cs="KaiTi"/>
          <w:spacing w:val="5"/>
        </w:rPr>
        <w:t>预案备案与衔接。</w:t>
      </w:r>
      <w:r>
        <w:rPr>
          <w:spacing w:val="5"/>
        </w:rPr>
        <w:t>市县（</w:t>
      </w:r>
      <w:r>
        <w:rPr>
          <w:spacing w:val="-37"/>
        </w:rPr>
        <w:t xml:space="preserve"> </w:t>
      </w:r>
      <w:r>
        <w:rPr>
          <w:spacing w:val="5"/>
        </w:rPr>
        <w:t>区）政府突</w:t>
      </w:r>
      <w:r>
        <w:rPr>
          <w:spacing w:val="18"/>
        </w:rPr>
        <w:t>发事件总体应急预案由应急管理部门组织编</w:t>
      </w:r>
      <w:r>
        <w:rPr>
          <w:spacing w:val="7"/>
        </w:rPr>
        <w:t>制，征求意见后，按程序报请本级政府审定公</w:t>
      </w:r>
      <w:r>
        <w:rPr/>
        <w:t>布实施，报上级应急管理部门备案。市县（</w:t>
      </w:r>
      <w:r>
        <w:rPr>
          <w:spacing w:val="-44"/>
        </w:rPr>
        <w:t xml:space="preserve"> </w:t>
      </w:r>
      <w:r>
        <w:rPr/>
        <w:t>区）</w:t>
      </w:r>
      <w:r>
        <w:rPr>
          <w:spacing w:val="18"/>
        </w:rPr>
        <w:t>政府各类应急指挥部专项应急预案按职责分</w:t>
      </w:r>
      <w:r>
        <w:rPr>
          <w:spacing w:val="7"/>
        </w:rPr>
        <w:t>工由相应牵头部门编制，征求意见后，按程序</w:t>
      </w:r>
      <w:r>
        <w:rPr>
          <w:spacing w:val="7"/>
        </w:rPr>
        <w:t>报请本级政府审定公布实施，报同级应急管理</w:t>
      </w:r>
      <w:r>
        <w:rPr>
          <w:spacing w:val="18"/>
        </w:rPr>
        <w:t>部门备案。部门应急预案由相关部门牵头编</w:t>
      </w:r>
      <w:r>
        <w:rPr>
          <w:spacing w:val="7"/>
        </w:rPr>
        <w:t>制，组织专家评审后，经主要负责同志批准发</w:t>
      </w:r>
      <w:r>
        <w:rPr>
          <w:spacing w:val="7"/>
        </w:rPr>
        <w:t>布实施，报同级应急管理部门备案。基层组织</w:t>
      </w:r>
      <w:r>
        <w:rPr>
          <w:spacing w:val="18"/>
        </w:rPr>
        <w:t>和单位应急预案要经基层组织或本单位主要</w:t>
      </w:r>
      <w:r>
        <w:rPr>
          <w:spacing w:val="7"/>
        </w:rPr>
        <w:t>负责人签发，并按照有关法律法规要求向有关</w:t>
      </w:r>
      <w:r>
        <w:rPr>
          <w:spacing w:val="7"/>
        </w:rPr>
        <w:t>部门备案。重大关键基础设施应急预案要向有</w:t>
      </w:r>
      <w:r>
        <w:rPr>
          <w:spacing w:val="9"/>
        </w:rPr>
        <w:t>关行业主管部门和应急管理部门备案。</w:t>
      </w:r>
    </w:p>
    <w:p>
      <w:pPr>
        <w:ind w:left="427"/>
        <w:spacing w:before="162" w:line="266" w:lineRule="exact"/>
        <w:rPr>
          <w:rFonts w:ascii="KaiTi" w:hAnsi="KaiTi" w:eastAsia="KaiTi" w:cs="KaiTi"/>
          <w:sz w:val="20"/>
          <w:szCs w:val="20"/>
        </w:rPr>
      </w:pPr>
      <w:r>
        <w:rPr>
          <w:rFonts w:ascii="Times New Roman" w:hAnsi="Times New Roman" w:eastAsia="Times New Roman" w:cs="Times New Roman"/>
          <w:sz w:val="20"/>
          <w:szCs w:val="20"/>
          <w:spacing w:val="4"/>
          <w:position w:val="1"/>
        </w:rPr>
        <w:t>5.3  </w:t>
      </w:r>
      <w:r>
        <w:rPr>
          <w:rFonts w:ascii="KaiTi" w:hAnsi="KaiTi" w:eastAsia="KaiTi" w:cs="KaiTi"/>
          <w:sz w:val="20"/>
          <w:szCs w:val="20"/>
          <w:spacing w:val="4"/>
          <w:position w:val="1"/>
        </w:rPr>
        <w:t>预案演练。</w:t>
      </w:r>
    </w:p>
    <w:p>
      <w:pPr>
        <w:pStyle w:val="BodyText"/>
        <w:ind w:left="3" w:right="110" w:firstLine="409"/>
        <w:spacing w:before="137" w:line="375" w:lineRule="auto"/>
        <w:jc w:val="both"/>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）应急预案编制单位应当建立应急演</w:t>
      </w:r>
      <w:r>
        <w:rPr>
          <w:spacing w:val="7"/>
        </w:rPr>
        <w:t>练制度，根据实际情况采取实战演练、桌面演</w:t>
      </w:r>
      <w:r>
        <w:rPr>
          <w:spacing w:val="7"/>
        </w:rPr>
        <w:t>练等方式，组织开展多部门广泛参与、处置联</w:t>
      </w:r>
      <w:r>
        <w:rPr>
          <w:spacing w:val="7"/>
        </w:rPr>
        <w:t>动性强、形式多样、节约高效的应急演练。市</w:t>
      </w:r>
      <w:r>
        <w:rPr>
          <w:spacing w:val="7"/>
        </w:rPr>
        <w:t>级专项应急预案、部门应急预案至少每年进行</w:t>
      </w:r>
      <w:r>
        <w:rPr>
          <w:rFonts w:ascii="Times New Roman" w:hAnsi="Times New Roman" w:eastAsia="Times New Roman" w:cs="Times New Roman"/>
          <w:spacing w:val="6"/>
        </w:rPr>
        <w:t>1 </w:t>
      </w:r>
      <w:r>
        <w:rPr>
          <w:spacing w:val="6"/>
        </w:rPr>
        <w:t>次应急演练。</w:t>
      </w:r>
    </w:p>
    <w:p>
      <w:pPr>
        <w:pStyle w:val="BodyText"/>
        <w:ind w:right="87" w:firstLine="413"/>
        <w:spacing w:before="3" w:line="323" w:lineRule="auto"/>
        <w:rPr/>
      </w:pPr>
      <w:r>
        <w:rPr>
          <w:spacing w:val="6"/>
        </w:rPr>
        <w:t>（</w:t>
      </w:r>
      <w:r>
        <w:rPr>
          <w:rFonts w:ascii="Times New Roman" w:hAnsi="Times New Roman" w:eastAsia="Times New Roman" w:cs="Times New Roman"/>
          <w:spacing w:val="6"/>
        </w:rPr>
        <w:t>2</w:t>
      </w:r>
      <w:r>
        <w:rPr>
          <w:rFonts w:ascii="Times New Roman" w:hAnsi="Times New Roman" w:eastAsia="Times New Roman" w:cs="Times New Roman"/>
          <w:spacing w:val="-16"/>
        </w:rPr>
        <w:t xml:space="preserve"> </w:t>
      </w:r>
      <w:r>
        <w:rPr>
          <w:spacing w:val="6"/>
        </w:rPr>
        <w:t>）市县（</w:t>
      </w:r>
      <w:r>
        <w:rPr>
          <w:spacing w:val="-47"/>
        </w:rPr>
        <w:t xml:space="preserve"> </w:t>
      </w:r>
      <w:r>
        <w:rPr>
          <w:spacing w:val="6"/>
        </w:rPr>
        <w:t>区）政府至少每年开展</w:t>
      </w:r>
      <w:r>
        <w:rPr>
          <w:spacing w:val="-16"/>
        </w:rPr>
        <w:t xml:space="preserve"> </w:t>
      </w:r>
      <w:r>
        <w:rPr>
          <w:rFonts w:ascii="Times New Roman" w:hAnsi="Times New Roman" w:eastAsia="Times New Roman" w:cs="Times New Roman"/>
          <w:spacing w:val="6"/>
        </w:rPr>
        <w:t>1 </w:t>
      </w:r>
      <w:r>
        <w:rPr>
          <w:spacing w:val="6"/>
        </w:rPr>
        <w:t>次</w:t>
      </w:r>
      <w:r>
        <w:rPr>
          <w:spacing w:val="8"/>
        </w:rPr>
        <w:t>综合性实战联合演练，磨合机制、锻炼队伍、</w:t>
      </w:r>
      <w:r>
        <w:rPr>
          <w:spacing w:val="7"/>
        </w:rPr>
        <w:t>检验预案。</w:t>
      </w:r>
    </w:p>
    <w:p>
      <w:pPr>
        <w:pStyle w:val="BodyText"/>
        <w:ind w:left="1" w:right="107" w:firstLine="411"/>
        <w:spacing w:before="165" w:line="324" w:lineRule="auto"/>
        <w:rPr/>
      </w:pPr>
      <w:r>
        <w:rPr/>
        <w:t>（</w:t>
      </w:r>
      <w:r>
        <w:rPr>
          <w:rFonts w:ascii="Times New Roman" w:hAnsi="Times New Roman" w:eastAsia="Times New Roman" w:cs="Times New Roman"/>
        </w:rPr>
        <w:t>3</w:t>
      </w:r>
      <w:r>
        <w:rPr>
          <w:rFonts w:ascii="Times New Roman" w:hAnsi="Times New Roman" w:eastAsia="Times New Roman" w:cs="Times New Roman"/>
          <w:spacing w:val="-15"/>
        </w:rPr>
        <w:t xml:space="preserve"> </w:t>
      </w:r>
      <w:r>
        <w:rPr/>
        <w:t>）县（区）政府，有关部门，乡镇（街</w:t>
      </w:r>
      <w:r>
        <w:rPr>
          <w:spacing w:val="7"/>
        </w:rPr>
        <w:t>道）、村（居）民委员会、企业事业单位应当</w:t>
      </w:r>
      <w:r>
        <w:rPr>
          <w:spacing w:val="18"/>
        </w:rPr>
        <w:t>组织开展应急知识的宣传普及和必要的应急</w:t>
      </w:r>
    </w:p>
    <w:p>
      <w:pPr>
        <w:spacing w:line="324" w:lineRule="auto"/>
        <w:sectPr>
          <w:type w:val="continuous"/>
          <w:pgSz w:w="11906" w:h="16839"/>
          <w:pgMar w:top="1769" w:right="1480" w:bottom="1570" w:left="1588" w:header="1428" w:footer="1172" w:gutter="0"/>
          <w:cols w:equalWidth="0" w:num="2">
            <w:col w:w="4481" w:space="100"/>
            <w:col w:w="4258" w:space="0"/>
          </w:cols>
        </w:sectPr>
        <w:rPr/>
      </w:pPr>
    </w:p>
    <w:p>
      <w:pPr>
        <w:spacing w:before="84"/>
        <w:rPr/>
      </w:pPr>
      <w:r>
        <w:drawing>
          <wp:anchor distT="0" distB="0" distL="0" distR="0" simplePos="0" relativeHeight="252092416"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206" name="IM 1206"/>
            <wp:cNvGraphicFramePr/>
            <a:graphic>
              <a:graphicData uri="http://schemas.openxmlformats.org/drawingml/2006/picture">
                <pic:pic>
                  <pic:nvPicPr>
                    <pic:cNvPr id="1206" name="IM 1206"/>
                    <pic:cNvPicPr/>
                  </pic:nvPicPr>
                  <pic:blipFill>
                    <a:blip r:embed="rId605"/>
                    <a:stretch>
                      <a:fillRect/>
                    </a:stretch>
                  </pic:blipFill>
                  <pic:spPr>
                    <a:xfrm rot="0">
                      <a:off x="0" y="0"/>
                      <a:ext cx="5579745" cy="7620"/>
                    </a:xfrm>
                    <a:prstGeom prst="rect">
                      <a:avLst/>
                    </a:prstGeom>
                  </pic:spPr>
                </pic:pic>
              </a:graphicData>
            </a:graphic>
          </wp:anchor>
        </w:drawing>
      </w:r>
      <w:r/>
    </w:p>
    <w:p>
      <w:pPr>
        <w:sectPr>
          <w:headerReference w:type="default" r:id="rId603"/>
          <w:footerReference w:type="default" r:id="rId604"/>
          <w:pgSz w:w="11906" w:h="16839"/>
          <w:pgMar w:top="1766" w:right="1526" w:bottom="1563" w:left="1551" w:header="1428" w:footer="1172" w:gutter="0"/>
          <w:cols w:equalWidth="0" w:num="1">
            <w:col w:w="8829" w:space="0"/>
          </w:cols>
        </w:sectPr>
        <w:rPr/>
      </w:pPr>
    </w:p>
    <w:p>
      <w:pPr>
        <w:pStyle w:val="BodyText"/>
        <w:ind w:left="45" w:right="329" w:hanging="3"/>
        <w:spacing w:before="40" w:line="376" w:lineRule="auto"/>
        <w:rPr/>
      </w:pPr>
      <w:r>
        <w:rPr>
          <w:spacing w:val="7"/>
        </w:rPr>
        <w:t>演练，特别是对涉及领域多、需多方配合的应</w:t>
      </w:r>
      <w:r>
        <w:rPr>
          <w:spacing w:val="8"/>
        </w:rPr>
        <w:t>急预案要开展综合性演练。</w:t>
      </w:r>
    </w:p>
    <w:p>
      <w:pPr>
        <w:ind w:left="467"/>
        <w:spacing w:before="11" w:line="241" w:lineRule="auto"/>
        <w:rPr>
          <w:rFonts w:ascii="KaiTi" w:hAnsi="KaiTi" w:eastAsia="KaiTi" w:cs="KaiTi"/>
          <w:sz w:val="20"/>
          <w:szCs w:val="20"/>
        </w:rPr>
      </w:pPr>
      <w:r>
        <w:rPr>
          <w:rFonts w:ascii="Times New Roman" w:hAnsi="Times New Roman" w:eastAsia="Times New Roman" w:cs="Times New Roman"/>
          <w:sz w:val="20"/>
          <w:szCs w:val="20"/>
          <w:spacing w:val="5"/>
        </w:rPr>
        <w:t>5.4  </w:t>
      </w:r>
      <w:r>
        <w:rPr>
          <w:rFonts w:ascii="KaiTi" w:hAnsi="KaiTi" w:eastAsia="KaiTi" w:cs="KaiTi"/>
          <w:sz w:val="20"/>
          <w:szCs w:val="20"/>
          <w:spacing w:val="5"/>
        </w:rPr>
        <w:t>预案评估与修订。</w:t>
      </w:r>
    </w:p>
    <w:p>
      <w:pPr>
        <w:pStyle w:val="BodyText"/>
        <w:ind w:left="39" w:right="329" w:firstLine="413"/>
        <w:spacing w:before="168" w:line="397" w:lineRule="auto"/>
        <w:jc w:val="both"/>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）应急预案编制单位应当建立定期评</w:t>
      </w:r>
      <w:r>
        <w:rPr>
          <w:spacing w:val="7"/>
        </w:rPr>
        <w:t>估制度，分析评价预案内容的针对性、实用性</w:t>
      </w:r>
      <w:r>
        <w:rPr>
          <w:spacing w:val="7"/>
        </w:rPr>
        <w:t>和可操作性，实现应急预案的动态优化和科学</w:t>
      </w:r>
      <w:r>
        <w:rPr>
          <w:spacing w:val="7"/>
        </w:rPr>
        <w:t>规范管理。有下列情形之一的，应当及时修订</w:t>
      </w:r>
      <w:r>
        <w:rPr>
          <w:spacing w:val="7"/>
        </w:rPr>
        <w:t>应急预案：</w:t>
      </w:r>
    </w:p>
    <w:p>
      <w:pPr>
        <w:pStyle w:val="BodyText"/>
        <w:ind w:left="43" w:right="329" w:firstLine="418"/>
        <w:spacing w:before="2" w:line="312" w:lineRule="auto"/>
        <w:rPr/>
      </w:pPr>
      <w:r>
        <w:rPr>
          <w:rFonts w:ascii="KaiTi" w:hAnsi="KaiTi" w:eastAsia="KaiTi" w:cs="KaiTi"/>
          <w:spacing w:val="6"/>
        </w:rPr>
        <w:t>①</w:t>
      </w:r>
      <w:r>
        <w:rPr>
          <w:spacing w:val="6"/>
        </w:rPr>
        <w:t>有关法律、法规、规章、标准、上位预</w:t>
      </w:r>
      <w:r>
        <w:rPr>
          <w:spacing w:val="8"/>
        </w:rPr>
        <w:t>案中的有关规定发生变化的；</w:t>
      </w:r>
    </w:p>
    <w:p>
      <w:pPr>
        <w:pStyle w:val="BodyText"/>
        <w:ind w:left="461"/>
        <w:spacing w:before="183" w:line="263" w:lineRule="exact"/>
        <w:rPr/>
      </w:pPr>
      <w:r>
        <w:rPr>
          <w:rFonts w:ascii="KaiTi" w:hAnsi="KaiTi" w:eastAsia="KaiTi" w:cs="KaiTi"/>
          <w:spacing w:val="-10"/>
          <w:position w:val="1"/>
        </w:rPr>
        <w:t>②</w:t>
      </w:r>
      <w:r>
        <w:rPr>
          <w:spacing w:val="-10"/>
          <w:position w:val="1"/>
        </w:rPr>
        <w:t>应急指挥机构及其职责发生重大调整的；</w:t>
      </w:r>
    </w:p>
    <w:p>
      <w:pPr>
        <w:pStyle w:val="BodyText"/>
        <w:ind w:left="461"/>
        <w:spacing w:before="167" w:line="263" w:lineRule="exact"/>
        <w:rPr/>
      </w:pPr>
      <w:r>
        <w:rPr>
          <w:rFonts w:ascii="KaiTi" w:hAnsi="KaiTi" w:eastAsia="KaiTi" w:cs="KaiTi"/>
          <w:spacing w:val="8"/>
          <w:position w:val="1"/>
        </w:rPr>
        <w:t>③</w:t>
      </w:r>
      <w:r>
        <w:rPr>
          <w:spacing w:val="8"/>
          <w:position w:val="1"/>
        </w:rPr>
        <w:t>面临的风险发生重大变化的；</w:t>
      </w:r>
    </w:p>
    <w:p>
      <w:pPr>
        <w:pStyle w:val="BodyText"/>
        <w:ind w:left="461"/>
        <w:spacing w:before="166" w:line="264" w:lineRule="exact"/>
        <w:rPr/>
      </w:pPr>
      <w:r>
        <w:rPr>
          <w:rFonts w:ascii="KaiTi" w:hAnsi="KaiTi" w:eastAsia="KaiTi" w:cs="KaiTi"/>
          <w:spacing w:val="8"/>
          <w:position w:val="1"/>
        </w:rPr>
        <w:t>④</w:t>
      </w:r>
      <w:r>
        <w:rPr>
          <w:spacing w:val="8"/>
          <w:position w:val="1"/>
        </w:rPr>
        <w:t>重要应急资源发生重大变化的；</w:t>
      </w:r>
    </w:p>
    <w:p>
      <w:pPr>
        <w:pStyle w:val="BodyText"/>
        <w:ind w:left="461"/>
        <w:spacing w:before="166" w:line="263" w:lineRule="exact"/>
        <w:rPr/>
      </w:pPr>
      <w:r>
        <w:rPr>
          <w:rFonts w:ascii="KaiTi" w:hAnsi="KaiTi" w:eastAsia="KaiTi" w:cs="KaiTi"/>
          <w:spacing w:val="9"/>
          <w:position w:val="1"/>
        </w:rPr>
        <w:t>⑤</w:t>
      </w:r>
      <w:r>
        <w:rPr>
          <w:spacing w:val="9"/>
          <w:position w:val="1"/>
        </w:rPr>
        <w:t>预案中的其他重要信息发生变化的；</w:t>
      </w:r>
    </w:p>
    <w:p>
      <w:pPr>
        <w:pStyle w:val="BodyText"/>
        <w:ind w:left="44" w:right="329" w:firstLine="416"/>
        <w:spacing w:before="166" w:line="313" w:lineRule="auto"/>
        <w:rPr/>
      </w:pPr>
      <w:r>
        <w:rPr>
          <w:rFonts w:ascii="KaiTi" w:hAnsi="KaiTi" w:eastAsia="KaiTi" w:cs="KaiTi"/>
          <w:spacing w:val="19"/>
        </w:rPr>
        <w:t>⑥</w:t>
      </w:r>
      <w:r>
        <w:rPr>
          <w:spacing w:val="19"/>
        </w:rPr>
        <w:t>在突发事件实际应对和应急演练中发</w:t>
      </w:r>
      <w:r>
        <w:rPr>
          <w:spacing w:val="8"/>
        </w:rPr>
        <w:t>现问题需要作出重大调整的；</w:t>
      </w:r>
    </w:p>
    <w:p>
      <w:pPr>
        <w:pStyle w:val="BodyText"/>
        <w:ind w:left="41" w:right="329" w:firstLine="420"/>
        <w:spacing w:before="184" w:line="310" w:lineRule="auto"/>
        <w:rPr/>
      </w:pPr>
      <w:r>
        <w:rPr>
          <w:rFonts w:ascii="KaiTi" w:hAnsi="KaiTi" w:eastAsia="KaiTi" w:cs="KaiTi"/>
          <w:spacing w:val="19"/>
        </w:rPr>
        <w:t>⑦</w:t>
      </w:r>
      <w:r>
        <w:rPr>
          <w:spacing w:val="19"/>
        </w:rPr>
        <w:t>应急预案制定单位认为应当修订的其</w:t>
      </w:r>
      <w:r>
        <w:rPr>
          <w:spacing w:val="6"/>
        </w:rPr>
        <w:t>他情况。</w:t>
      </w:r>
    </w:p>
    <w:p>
      <w:pPr>
        <w:pStyle w:val="BodyText"/>
        <w:ind w:right="327" w:firstLine="453"/>
        <w:spacing w:before="186" w:line="363"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5"/>
        </w:rPr>
        <w:t xml:space="preserve"> </w:t>
      </w:r>
      <w:r>
        <w:rPr>
          <w:spacing w:val="11"/>
        </w:rPr>
        <w:t>）应急预案修订涉及组织指挥体系与</w:t>
      </w:r>
      <w:r>
        <w:rPr>
          <w:spacing w:val="9"/>
        </w:rPr>
        <w:t>职责、应急处置程序、主要处置措施、响应分</w:t>
      </w:r>
      <w:r>
        <w:rPr>
          <w:spacing w:val="9"/>
        </w:rPr>
        <w:t>级标准等重要内容的，修订工作应按照本预案</w:t>
      </w:r>
      <w:r>
        <w:rPr>
          <w:rFonts w:ascii="Times New Roman" w:hAnsi="Times New Roman" w:eastAsia="Times New Roman" w:cs="Times New Roman"/>
          <w:spacing w:val="13"/>
        </w:rPr>
        <w:t>“5.2 </w:t>
      </w:r>
      <w:r>
        <w:rPr>
          <w:spacing w:val="13"/>
        </w:rPr>
        <w:t>预案备案与衔接</w:t>
      </w:r>
      <w:r>
        <w:rPr>
          <w:rFonts w:ascii="Times New Roman" w:hAnsi="Times New Roman" w:eastAsia="Times New Roman" w:cs="Times New Roman"/>
          <w:spacing w:val="13"/>
        </w:rPr>
        <w:t>”</w:t>
      </w:r>
      <w:r>
        <w:rPr>
          <w:spacing w:val="13"/>
        </w:rPr>
        <w:t>有关要求组织进行。仅</w:t>
      </w:r>
      <w:r>
        <w:rPr>
          <w:spacing w:val="11"/>
        </w:rPr>
        <w:t>涉及其他内容的，修订程序可适当简化。</w:t>
      </w:r>
    </w:p>
    <w:p>
      <w:pPr>
        <w:pStyle w:val="BodyText"/>
        <w:ind w:left="40" w:right="329" w:firstLine="412"/>
        <w:spacing w:before="187" w:line="339"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5"/>
        </w:rPr>
        <w:t xml:space="preserve"> </w:t>
      </w:r>
      <w:r>
        <w:rPr>
          <w:spacing w:val="11"/>
        </w:rPr>
        <w:t>）各级政府及其部门、企事业单位、</w:t>
      </w:r>
      <w:r>
        <w:rPr>
          <w:spacing w:val="7"/>
        </w:rPr>
        <w:t>社会团体、公民等，可以向有关预案编制单位</w:t>
      </w:r>
      <w:r>
        <w:rPr>
          <w:spacing w:val="7"/>
        </w:rPr>
        <w:t>提出修订建议。</w:t>
      </w:r>
    </w:p>
    <w:p>
      <w:pPr>
        <w:ind w:left="467"/>
        <w:spacing w:before="186" w:line="265" w:lineRule="exact"/>
        <w:rPr>
          <w:rFonts w:ascii="KaiTi" w:hAnsi="KaiTi" w:eastAsia="KaiTi" w:cs="KaiTi"/>
          <w:sz w:val="20"/>
          <w:szCs w:val="20"/>
        </w:rPr>
      </w:pPr>
      <w:r>
        <w:rPr>
          <w:rFonts w:ascii="Times New Roman" w:hAnsi="Times New Roman" w:eastAsia="Times New Roman" w:cs="Times New Roman"/>
          <w:sz w:val="20"/>
          <w:szCs w:val="20"/>
          <w:spacing w:val="2"/>
          <w:position w:val="1"/>
        </w:rPr>
        <w:t>5.5</w:t>
      </w:r>
      <w:r>
        <w:rPr>
          <w:rFonts w:ascii="Times New Roman" w:hAnsi="Times New Roman" w:eastAsia="Times New Roman" w:cs="Times New Roman"/>
          <w:sz w:val="20"/>
          <w:szCs w:val="20"/>
          <w:spacing w:val="18"/>
          <w:w w:val="101"/>
          <w:position w:val="1"/>
        </w:rPr>
        <w:t xml:space="preserve">  </w:t>
      </w:r>
      <w:r>
        <w:rPr>
          <w:rFonts w:ascii="KaiTi" w:hAnsi="KaiTi" w:eastAsia="KaiTi" w:cs="KaiTi"/>
          <w:sz w:val="20"/>
          <w:szCs w:val="20"/>
          <w:spacing w:val="2"/>
          <w:position w:val="1"/>
        </w:rPr>
        <w:t>宣传与培训。</w:t>
      </w:r>
    </w:p>
    <w:p>
      <w:pPr>
        <w:pStyle w:val="BodyText"/>
        <w:ind w:left="44" w:right="306" w:firstLine="408"/>
        <w:spacing w:before="165" w:line="340" w:lineRule="auto"/>
        <w:rPr/>
      </w:pPr>
      <w:r>
        <w:rPr>
          <w:spacing w:val="5"/>
        </w:rPr>
        <w:t>（</w:t>
      </w:r>
      <w:r>
        <w:rPr>
          <w:spacing w:val="-36"/>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）应急、宣传、工信、文旅、</w:t>
      </w:r>
      <w:r>
        <w:rPr>
          <w:spacing w:val="-56"/>
        </w:rPr>
        <w:t xml:space="preserve"> </w:t>
      </w:r>
      <w:r>
        <w:rPr>
          <w:spacing w:val="5"/>
        </w:rPr>
        <w:t>自然资</w:t>
      </w:r>
      <w:r>
        <w:rPr>
          <w:spacing w:val="7"/>
        </w:rPr>
        <w:t>源等部门要通过图书、报刊、广播、电视、网</w:t>
      </w:r>
      <w:r>
        <w:rPr>
          <w:spacing w:val="8"/>
        </w:rPr>
        <w:t>络、手机等，广泛宣传应急法律法规和预防、</w:t>
      </w:r>
    </w:p>
    <w:p>
      <w:pPr>
        <w:spacing w:line="14" w:lineRule="auto"/>
        <w:rPr>
          <w:rFonts w:ascii="Arial"/>
          <w:sz w:val="2"/>
        </w:rPr>
      </w:pPr>
      <w:r>
        <w:rPr>
          <w:rFonts w:ascii="Arial" w:hAnsi="Arial" w:eastAsia="Arial" w:cs="Arial"/>
          <w:sz w:val="2"/>
          <w:szCs w:val="2"/>
        </w:rPr>
        <w:br w:type="column"/>
      </w:r>
    </w:p>
    <w:p>
      <w:pPr>
        <w:pStyle w:val="BodyText"/>
        <w:ind w:left="4" w:hanging="2"/>
        <w:spacing w:before="59" w:line="395" w:lineRule="auto"/>
        <w:jc w:val="both"/>
        <w:rPr/>
      </w:pPr>
      <w:r>
        <w:rPr>
          <w:spacing w:val="7"/>
        </w:rPr>
        <w:t>避险、自救互救、减灾等常识，增强公众的忧</w:t>
      </w:r>
      <w:r>
        <w:rPr/>
        <w:t>患意识、社会责任意识、公共安全和防范意识，</w:t>
      </w:r>
      <w:r>
        <w:rPr>
          <w:spacing w:val="8"/>
        </w:rPr>
        <w:t>提高全社会的避险能力和自救互救能力。</w:t>
      </w:r>
    </w:p>
    <w:p>
      <w:pPr>
        <w:pStyle w:val="BodyText"/>
        <w:ind w:right="64" w:firstLine="412"/>
        <w:spacing w:before="2" w:line="362"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）各类学校应当把应急知识教育纳入</w:t>
      </w:r>
      <w:r>
        <w:rPr>
          <w:spacing w:val="7"/>
        </w:rPr>
        <w:t>教学内容，对学生进行应急知识教育，培养学</w:t>
      </w:r>
      <w:r>
        <w:rPr>
          <w:spacing w:val="7"/>
        </w:rPr>
        <w:t>生的安全意识和自救与互救能力。教育部门应</w:t>
      </w:r>
      <w:r>
        <w:rPr>
          <w:spacing w:val="18"/>
        </w:rPr>
        <w:t>当对学校定期开展应急知识教育进行指导和</w:t>
      </w:r>
      <w:r>
        <w:rPr>
          <w:spacing w:val="4"/>
        </w:rPr>
        <w:t>监督。</w:t>
      </w:r>
    </w:p>
    <w:p>
      <w:pPr>
        <w:pStyle w:val="BodyText"/>
        <w:ind w:left="1" w:right="57" w:firstLine="411"/>
        <w:spacing w:before="188" w:line="375" w:lineRule="auto"/>
        <w:rPr/>
      </w:pPr>
      <w:r>
        <w:rPr>
          <w:spacing w:val="8"/>
        </w:rPr>
        <w:t>（</w:t>
      </w:r>
      <w:r>
        <w:rPr>
          <w:rFonts w:ascii="Times New Roman" w:hAnsi="Times New Roman" w:eastAsia="Times New Roman" w:cs="Times New Roman"/>
          <w:spacing w:val="8"/>
        </w:rPr>
        <w:t>3</w:t>
      </w:r>
      <w:r>
        <w:rPr>
          <w:rFonts w:ascii="Times New Roman" w:hAnsi="Times New Roman" w:eastAsia="Times New Roman" w:cs="Times New Roman"/>
          <w:spacing w:val="-16"/>
        </w:rPr>
        <w:t xml:space="preserve"> </w:t>
      </w:r>
      <w:r>
        <w:rPr>
          <w:spacing w:val="8"/>
        </w:rPr>
        <w:t>）市县（</w:t>
      </w:r>
      <w:r>
        <w:rPr>
          <w:spacing w:val="-48"/>
        </w:rPr>
        <w:t xml:space="preserve"> </w:t>
      </w:r>
      <w:r>
        <w:rPr>
          <w:spacing w:val="8"/>
        </w:rPr>
        <w:t>区）政府要建立健全突发事</w:t>
      </w:r>
      <w:r>
        <w:rPr>
          <w:spacing w:val="7"/>
        </w:rPr>
        <w:t>件理论知识培训制度，将应急管理重要内容纳</w:t>
      </w:r>
      <w:r>
        <w:rPr>
          <w:spacing w:val="4"/>
        </w:rPr>
        <w:t>入领导干部、公务员培训体系</w:t>
      </w:r>
      <w:r>
        <w:rPr>
          <w:rFonts w:ascii="Times New Roman" w:hAnsi="Times New Roman" w:eastAsia="Times New Roman" w:cs="Times New Roman"/>
          <w:spacing w:val="4"/>
        </w:rPr>
        <w:t>,</w:t>
      </w:r>
      <w:r>
        <w:rPr>
          <w:spacing w:val="4"/>
        </w:rPr>
        <w:t>提高各级领导干</w:t>
      </w:r>
      <w:r>
        <w:rPr>
          <w:spacing w:val="7"/>
        </w:rPr>
        <w:t>部应对突发事件的决策和处置能力。乡镇（街</w:t>
      </w:r>
      <w:r>
        <w:rPr>
          <w:spacing w:val="7"/>
        </w:rPr>
        <w:t>道）、村（社区）及企事业单位要结合实际，</w:t>
      </w:r>
      <w:r>
        <w:rPr>
          <w:spacing w:val="7"/>
        </w:rPr>
        <w:t>经常组织开展形式多样的自救互救、应急疏散</w:t>
      </w:r>
      <w:r>
        <w:rPr>
          <w:spacing w:val="7"/>
        </w:rPr>
        <w:t>等宣教培训活动，全面提高公众预防与应对突</w:t>
      </w:r>
      <w:r>
        <w:rPr>
          <w:spacing w:val="7"/>
        </w:rPr>
        <w:t>发事件能力。</w:t>
      </w:r>
    </w:p>
    <w:p>
      <w:pPr>
        <w:ind w:left="427"/>
        <w:spacing w:before="190" w:line="242" w:lineRule="auto"/>
        <w:rPr>
          <w:rFonts w:ascii="KaiTi" w:hAnsi="KaiTi" w:eastAsia="KaiTi" w:cs="KaiTi"/>
          <w:sz w:val="20"/>
          <w:szCs w:val="20"/>
        </w:rPr>
      </w:pPr>
      <w:r>
        <w:rPr>
          <w:rFonts w:ascii="Times New Roman" w:hAnsi="Times New Roman" w:eastAsia="Times New Roman" w:cs="Times New Roman"/>
          <w:sz w:val="20"/>
          <w:szCs w:val="20"/>
          <w:spacing w:val="4"/>
        </w:rPr>
        <w:t>5.6</w:t>
      </w:r>
      <w:r>
        <w:rPr>
          <w:rFonts w:ascii="Times New Roman" w:hAnsi="Times New Roman" w:eastAsia="Times New Roman" w:cs="Times New Roman"/>
          <w:sz w:val="20"/>
          <w:szCs w:val="20"/>
          <w:spacing w:val="9"/>
        </w:rPr>
        <w:t xml:space="preserve">  </w:t>
      </w:r>
      <w:r>
        <w:rPr>
          <w:rFonts w:ascii="KaiTi" w:hAnsi="KaiTi" w:eastAsia="KaiTi" w:cs="KaiTi"/>
          <w:sz w:val="20"/>
          <w:szCs w:val="20"/>
          <w:spacing w:val="4"/>
        </w:rPr>
        <w:t>责任与奖惩。</w:t>
      </w:r>
    </w:p>
    <w:p>
      <w:pPr>
        <w:pStyle w:val="BodyText"/>
        <w:ind w:left="2" w:right="66" w:firstLine="410"/>
        <w:spacing w:before="167" w:line="310" w:lineRule="auto"/>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）根据有关规定</w:t>
      </w:r>
      <w:r>
        <w:rPr>
          <w:spacing w:val="-59"/>
        </w:rPr>
        <w:t xml:space="preserve"> </w:t>
      </w:r>
      <w:r>
        <w:rPr>
          <w:spacing w:val="5"/>
        </w:rPr>
        <w:t>，建立健全应急管理</w:t>
      </w:r>
      <w:r>
        <w:rPr>
          <w:spacing w:val="8"/>
        </w:rPr>
        <w:t>工作领导负责制和责任追究制。</w:t>
      </w:r>
    </w:p>
    <w:p>
      <w:pPr>
        <w:pStyle w:val="BodyText"/>
        <w:ind w:right="64" w:firstLine="413"/>
        <w:spacing w:before="189" w:line="354"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）对突发事件处置工作中作出突出贡</w:t>
      </w:r>
      <w:r>
        <w:rPr>
          <w:spacing w:val="7"/>
        </w:rPr>
        <w:t>献的先进集体和个人，给予表彰或奖励。公民</w:t>
      </w:r>
      <w:r>
        <w:rPr>
          <w:spacing w:val="18"/>
        </w:rPr>
        <w:t>参加应急救援工作或者协助维护社会秩序期</w:t>
      </w:r>
      <w:r>
        <w:rPr>
          <w:spacing w:val="9"/>
        </w:rPr>
        <w:t>间，其在本单位的工资待遇和福利不变。</w:t>
      </w:r>
    </w:p>
    <w:p>
      <w:pPr>
        <w:pStyle w:val="BodyText"/>
        <w:ind w:right="64" w:firstLine="412"/>
        <w:spacing w:before="187" w:line="354"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）对迟报、谎报、瞒报和漏报突发事</w:t>
      </w:r>
      <w:r>
        <w:rPr>
          <w:spacing w:val="7"/>
        </w:rPr>
        <w:t>件重要情况，应急处置不力，或者应急管理工</w:t>
      </w:r>
      <w:r>
        <w:rPr>
          <w:spacing w:val="7"/>
        </w:rPr>
        <w:t>作中有其他失职、渎职行为的，依照相关法律</w:t>
      </w:r>
      <w:r>
        <w:rPr>
          <w:spacing w:val="-12"/>
        </w:rPr>
        <w:t>法规给予处分；构成犯罪的，依法追究刑事责任。</w:t>
      </w:r>
    </w:p>
    <w:p>
      <w:pPr>
        <w:ind w:left="425"/>
        <w:spacing w:before="177"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6    附则</w:t>
      </w:r>
    </w:p>
    <w:p>
      <w:pPr>
        <w:pStyle w:val="BodyText"/>
        <w:ind w:right="61" w:firstLine="420"/>
        <w:spacing w:before="132" w:line="290" w:lineRule="auto"/>
        <w:rPr/>
      </w:pPr>
      <w:r>
        <w:rPr>
          <w:spacing w:val="4"/>
        </w:rPr>
        <w:t>本预案自</w:t>
      </w:r>
      <w:r>
        <w:rPr>
          <w:spacing w:val="-39"/>
        </w:rPr>
        <w:t xml:space="preserve"> </w:t>
      </w:r>
      <w:r>
        <w:rPr>
          <w:rFonts w:ascii="Times New Roman" w:hAnsi="Times New Roman" w:eastAsia="Times New Roman" w:cs="Times New Roman"/>
          <w:spacing w:val="4"/>
        </w:rPr>
        <w:t>2021 </w:t>
      </w:r>
      <w:r>
        <w:rPr>
          <w:spacing w:val="4"/>
        </w:rPr>
        <w:t>年</w:t>
      </w:r>
      <w:r>
        <w:rPr>
          <w:spacing w:val="-35"/>
        </w:rPr>
        <w:t xml:space="preserve"> </w:t>
      </w:r>
      <w:r>
        <w:rPr>
          <w:rFonts w:ascii="Times New Roman" w:hAnsi="Times New Roman" w:eastAsia="Times New Roman" w:cs="Times New Roman"/>
          <w:spacing w:val="4"/>
        </w:rPr>
        <w:t>3 </w:t>
      </w:r>
      <w:r>
        <w:rPr>
          <w:spacing w:val="4"/>
        </w:rPr>
        <w:t>月</w:t>
      </w:r>
      <w:r>
        <w:rPr>
          <w:spacing w:val="-34"/>
        </w:rPr>
        <w:t xml:space="preserve"> </w:t>
      </w:r>
      <w:r>
        <w:rPr>
          <w:rFonts w:ascii="Times New Roman" w:hAnsi="Times New Roman" w:eastAsia="Times New Roman" w:cs="Times New Roman"/>
          <w:spacing w:val="4"/>
        </w:rPr>
        <w:t>7  </w:t>
      </w:r>
      <w:r>
        <w:rPr>
          <w:spacing w:val="4"/>
        </w:rPr>
        <w:t>日起实施</w:t>
      </w:r>
      <w:r>
        <w:rPr>
          <w:spacing w:val="-57"/>
        </w:rPr>
        <w:t xml:space="preserve"> </w:t>
      </w:r>
      <w:r>
        <w:rPr>
          <w:spacing w:val="4"/>
        </w:rPr>
        <w:t>，有效</w:t>
      </w:r>
      <w:r>
        <w:rPr>
          <w:spacing w:val="-1"/>
        </w:rPr>
        <w:t>期至</w:t>
      </w:r>
      <w:r>
        <w:rPr>
          <w:spacing w:val="-34"/>
        </w:rPr>
        <w:t xml:space="preserve"> </w:t>
      </w:r>
      <w:r>
        <w:rPr>
          <w:rFonts w:ascii="Times New Roman" w:hAnsi="Times New Roman" w:eastAsia="Times New Roman" w:cs="Times New Roman"/>
          <w:spacing w:val="-1"/>
        </w:rPr>
        <w:t>2024 </w:t>
      </w:r>
      <w:r>
        <w:rPr>
          <w:spacing w:val="-1"/>
        </w:rPr>
        <w:t>年</w:t>
      </w:r>
      <w:r>
        <w:rPr>
          <w:spacing w:val="-36"/>
        </w:rPr>
        <w:t xml:space="preserve"> </w:t>
      </w:r>
      <w:r>
        <w:rPr>
          <w:rFonts w:ascii="Times New Roman" w:hAnsi="Times New Roman" w:eastAsia="Times New Roman" w:cs="Times New Roman"/>
          <w:spacing w:val="-1"/>
        </w:rPr>
        <w:t>3</w:t>
      </w:r>
      <w:r>
        <w:rPr>
          <w:rFonts w:ascii="Times New Roman" w:hAnsi="Times New Roman" w:eastAsia="Times New Roman" w:cs="Times New Roman"/>
          <w:spacing w:val="8"/>
        </w:rPr>
        <w:t xml:space="preserve"> </w:t>
      </w:r>
      <w:r>
        <w:rPr>
          <w:spacing w:val="-1"/>
        </w:rPr>
        <w:t>月</w:t>
      </w:r>
      <w:r>
        <w:rPr>
          <w:spacing w:val="-36"/>
        </w:rPr>
        <w:t xml:space="preserve"> </w:t>
      </w:r>
      <w:r>
        <w:rPr>
          <w:rFonts w:ascii="Times New Roman" w:hAnsi="Times New Roman" w:eastAsia="Times New Roman" w:cs="Times New Roman"/>
          <w:spacing w:val="-1"/>
        </w:rPr>
        <w:t>6  </w:t>
      </w:r>
      <w:r>
        <w:rPr>
          <w:spacing w:val="-1"/>
        </w:rPr>
        <w:t>日。</w:t>
      </w:r>
    </w:p>
    <w:p>
      <w:pPr>
        <w:spacing w:line="290" w:lineRule="auto"/>
        <w:sectPr>
          <w:type w:val="continuous"/>
          <w:pgSz w:w="11906" w:h="16839"/>
          <w:pgMar w:top="1766" w:right="1526" w:bottom="1563" w:left="1551" w:header="1428" w:footer="1172" w:gutter="0"/>
          <w:cols w:equalWidth="0" w:num="2">
            <w:col w:w="4517" w:space="100"/>
            <w:col w:w="4212" w:space="0"/>
          </w:cols>
        </w:sectPr>
        <w:rPr/>
      </w:pPr>
    </w:p>
    <w:p>
      <w:pPr>
        <w:spacing w:line="355" w:lineRule="auto"/>
        <w:rPr>
          <w:rFonts w:ascii="Arial"/>
          <w:sz w:val="21"/>
        </w:rPr>
      </w:pPr>
      <w:r/>
    </w:p>
    <w:p>
      <w:pPr>
        <w:spacing w:line="355" w:lineRule="auto"/>
        <w:rPr>
          <w:rFonts w:ascii="Arial"/>
          <w:sz w:val="21"/>
        </w:rPr>
      </w:pPr>
      <w:r/>
    </w:p>
    <w:p>
      <w:pPr>
        <w:ind w:left="2194"/>
        <w:spacing w:before="185" w:line="180"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6"/>
        </w:rPr>
        <w:t>固原市人民政府办公室</w:t>
      </w:r>
    </w:p>
    <w:p>
      <w:pPr>
        <w:ind w:left="70"/>
        <w:spacing w:before="1" w:line="187"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6"/>
        </w:rPr>
        <w:t>关于印发《固原市防汛抗旱应急预案》等 </w:t>
      </w:r>
      <w:r>
        <w:rPr>
          <w:rFonts w:ascii="Times New Roman" w:hAnsi="Times New Roman" w:eastAsia="Times New Roman" w:cs="Times New Roman"/>
          <w:sz w:val="43"/>
          <w:szCs w:val="43"/>
          <w:spacing w:val="-6"/>
        </w:rPr>
        <w:t>21</w:t>
      </w:r>
      <w:r>
        <w:rPr>
          <w:rFonts w:ascii="Microsoft YaHei" w:hAnsi="Microsoft YaHei" w:eastAsia="Microsoft YaHei" w:cs="Microsoft YaHei"/>
          <w:sz w:val="43"/>
          <w:szCs w:val="43"/>
          <w:spacing w:val="-6"/>
        </w:rPr>
        <w:t>部</w:t>
      </w:r>
    </w:p>
    <w:p>
      <w:pPr>
        <w:ind w:left="1752"/>
        <w:spacing w:before="2" w:line="214"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7"/>
        </w:rPr>
        <w:t>固原市专项应急预案的通知</w:t>
      </w:r>
    </w:p>
    <w:p>
      <w:pPr>
        <w:spacing w:line="246" w:lineRule="auto"/>
        <w:rPr>
          <w:rFonts w:ascii="Arial"/>
          <w:sz w:val="21"/>
        </w:rPr>
      </w:pPr>
      <w:r/>
    </w:p>
    <w:p>
      <w:pPr>
        <w:pStyle w:val="BodyText"/>
        <w:ind w:left="6498"/>
        <w:spacing w:before="65" w:line="278" w:lineRule="exact"/>
        <w:rPr/>
      </w:pPr>
      <w:r>
        <w:rPr>
          <w:spacing w:val="2"/>
          <w:position w:val="1"/>
        </w:rPr>
        <w:t>固政办规发〔</w:t>
      </w:r>
      <w:r>
        <w:rPr>
          <w:rFonts w:ascii="Times New Roman" w:hAnsi="Times New Roman" w:eastAsia="Times New Roman" w:cs="Times New Roman"/>
          <w:spacing w:val="2"/>
          <w:position w:val="1"/>
        </w:rPr>
        <w:t>2021 </w:t>
      </w:r>
      <w:r>
        <w:rPr>
          <w:spacing w:val="2"/>
          <w:position w:val="1"/>
        </w:rPr>
        <w:t>〕</w:t>
      </w:r>
      <w:r>
        <w:rPr>
          <w:rFonts w:ascii="Times New Roman" w:hAnsi="Times New Roman" w:eastAsia="Times New Roman" w:cs="Times New Roman"/>
          <w:spacing w:val="2"/>
          <w:position w:val="1"/>
        </w:rPr>
        <w:t>1 </w:t>
      </w:r>
      <w:r>
        <w:rPr>
          <w:spacing w:val="2"/>
          <w:position w:val="1"/>
        </w:rPr>
        <w:t>号</w:t>
      </w:r>
    </w:p>
    <w:p>
      <w:pPr>
        <w:spacing w:before="217"/>
        <w:rPr/>
      </w:pPr>
      <w:r/>
    </w:p>
    <w:p>
      <w:pPr>
        <w:sectPr>
          <w:headerReference w:type="default" r:id="rId606"/>
          <w:footerReference w:type="default" r:id="rId607"/>
          <w:pgSz w:w="11906" w:h="16839"/>
          <w:pgMar w:top="1769" w:right="1489" w:bottom="1570" w:left="1588" w:header="1428" w:footer="1172" w:gutter="0"/>
          <w:cols w:equalWidth="0" w:num="1">
            <w:col w:w="8829" w:space="0"/>
          </w:cols>
        </w:sectPr>
        <w:rPr/>
      </w:pPr>
    </w:p>
    <w:p>
      <w:pPr>
        <w:pStyle w:val="BodyText"/>
        <w:ind w:left="5" w:right="314" w:hanging="1"/>
        <w:spacing w:before="47" w:line="374" w:lineRule="auto"/>
        <w:rPr/>
      </w:pPr>
      <w:r>
        <w:rPr>
          <w:spacing w:val="4"/>
        </w:rPr>
        <w:t>各县（</w:t>
      </w:r>
      <w:r>
        <w:rPr>
          <w:spacing w:val="-36"/>
        </w:rPr>
        <w:t xml:space="preserve"> </w:t>
      </w:r>
      <w:r>
        <w:rPr>
          <w:spacing w:val="4"/>
        </w:rPr>
        <w:t>区）人民政府，市政府各部门、派出机</w:t>
      </w:r>
      <w:r>
        <w:rPr>
          <w:spacing w:val="7"/>
        </w:rPr>
        <w:t>构、事业单位：</w:t>
      </w:r>
    </w:p>
    <w:p>
      <w:pPr>
        <w:pStyle w:val="BodyText"/>
        <w:ind w:left="4" w:right="314" w:firstLine="422"/>
        <w:spacing w:before="4" w:line="375" w:lineRule="auto"/>
        <w:rPr/>
      </w:pPr>
      <w:r>
        <w:rPr>
          <w:spacing w:val="10"/>
        </w:rPr>
        <w:t>经市人民政府第</w:t>
      </w:r>
      <w:r>
        <w:rPr>
          <w:spacing w:val="-23"/>
        </w:rPr>
        <w:t xml:space="preserve"> </w:t>
      </w:r>
      <w:r>
        <w:rPr>
          <w:rFonts w:ascii="Times New Roman" w:hAnsi="Times New Roman" w:eastAsia="Times New Roman" w:cs="Times New Roman"/>
          <w:spacing w:val="10"/>
        </w:rPr>
        <w:t>57 </w:t>
      </w:r>
      <w:r>
        <w:rPr>
          <w:spacing w:val="10"/>
        </w:rPr>
        <w:t>次常务会议审定同意</w:t>
      </w:r>
      <w:r>
        <w:rPr/>
        <w:t xml:space="preserve"> </w:t>
      </w:r>
      <w:r>
        <w:rPr>
          <w:spacing w:val="-3"/>
        </w:rPr>
        <w:t>, 现将《固原市生产安全事故应急预案》《固原</w:t>
      </w:r>
      <w:r>
        <w:rPr>
          <w:spacing w:val="7"/>
        </w:rPr>
        <w:t>市防汛抗旱应急预案》《固原市地震应急预案</w:t>
      </w:r>
      <w:r>
        <w:rPr>
          <w:spacing w:val="4"/>
        </w:rPr>
        <w:t xml:space="preserve"> </w:t>
      </w:r>
      <w:r>
        <w:rPr>
          <w:spacing w:val="7"/>
        </w:rPr>
        <w:t>》《固原市森林火灾应急预案》《固原市自然</w:t>
      </w:r>
      <w:r>
        <w:rPr>
          <w:spacing w:val="7"/>
        </w:rPr>
        <w:t>灾害救助应急预案》《固原市道路交通事故应</w:t>
      </w:r>
      <w:r>
        <w:rPr>
          <w:spacing w:val="7"/>
        </w:rPr>
        <w:t>急预案》《固原市恶略天气道路交通事故应急</w:t>
      </w:r>
      <w:r>
        <w:rPr>
          <w:spacing w:val="-4"/>
        </w:rPr>
        <w:t>救援预案》《固原市火灾事故应急预案》《固</w:t>
      </w:r>
    </w:p>
    <w:p>
      <w:pPr>
        <w:pStyle w:val="BodyText"/>
        <w:ind w:left="5" w:right="311"/>
        <w:spacing w:before="4" w:line="375" w:lineRule="auto"/>
        <w:rPr/>
      </w:pPr>
      <w:r>
        <w:rPr>
          <w:spacing w:val="18"/>
        </w:rPr>
        <w:t>原市处置公共聚集场所重特大事故应急救援</w:t>
      </w:r>
      <w:r>
        <w:rPr>
          <w:spacing w:val="-3"/>
        </w:rPr>
        <w:t>预案》《固原市大面积停电事故应急预案》《固</w:t>
      </w:r>
      <w:r>
        <w:rPr>
          <w:spacing w:val="7"/>
        </w:rPr>
        <w:t>原市通信保障应急预案》《固原市突发公共卫</w:t>
      </w:r>
      <w:r>
        <w:rPr>
          <w:spacing w:val="7"/>
        </w:rPr>
        <w:t>生事件应急预案》《固原市突发中毒事件卫生</w:t>
      </w:r>
    </w:p>
    <w:p>
      <w:pPr>
        <w:spacing w:before="170"/>
        <w:rPr/>
      </w:pPr>
      <w:r/>
    </w:p>
    <w:p>
      <w:pPr>
        <w:spacing w:line="14" w:lineRule="auto"/>
        <w:rPr>
          <w:rFonts w:ascii="Arial"/>
          <w:sz w:val="2"/>
        </w:rPr>
      </w:pPr>
      <w:r>
        <w:rPr>
          <w:rFonts w:ascii="Arial" w:hAnsi="Arial" w:eastAsia="Arial" w:cs="Arial"/>
          <w:sz w:val="2"/>
          <w:szCs w:val="2"/>
        </w:rPr>
        <w:br w:type="column"/>
      </w:r>
    </w:p>
    <w:p>
      <w:pPr>
        <w:pStyle w:val="BodyText"/>
        <w:ind w:right="40" w:firstLine="15"/>
        <w:spacing w:before="49" w:line="369" w:lineRule="auto"/>
        <w:jc w:val="both"/>
        <w:rPr/>
      </w:pPr>
      <w:r>
        <w:rPr>
          <w:spacing w:val="10"/>
        </w:rPr>
        <w:t>应急预案》《固原市食品安全事故应急预案》</w:t>
      </w:r>
      <w:r>
        <w:rPr>
          <w:spacing w:val="6"/>
        </w:rPr>
        <w:t xml:space="preserve"> </w:t>
      </w:r>
      <w:r>
        <w:rPr>
          <w:spacing w:val="8"/>
        </w:rPr>
        <w:t>《固原市粮食应急预案》《固原市突发公共事</w:t>
      </w:r>
      <w:r>
        <w:rPr>
          <w:spacing w:val="8"/>
        </w:rPr>
        <w:t>件医疗卫生救援应急预案》《固原市重污染天</w:t>
      </w:r>
      <w:r>
        <w:rPr>
          <w:spacing w:val="8"/>
        </w:rPr>
        <w:t>气应急预案》《固原市突发重大动物疫情应急</w:t>
      </w:r>
      <w:r>
        <w:rPr>
          <w:spacing w:val="11"/>
        </w:rPr>
        <w:t>预案》《固原市金融突发事件应急救援预案》</w:t>
      </w:r>
      <w:r>
        <w:rPr>
          <w:spacing w:val="2"/>
        </w:rPr>
        <w:t xml:space="preserve"> </w:t>
      </w:r>
      <w:r>
        <w:rPr>
          <w:spacing w:val="8"/>
        </w:rPr>
        <w:t>《固原市突发地质灾害应急预案》《固原市城</w:t>
      </w:r>
      <w:r>
        <w:rPr>
          <w:spacing w:val="5"/>
        </w:rPr>
        <w:t>市防洪抢险应急预案》</w:t>
      </w:r>
      <w:r>
        <w:rPr>
          <w:rFonts w:ascii="Times New Roman" w:hAnsi="Times New Roman" w:eastAsia="Times New Roman" w:cs="Times New Roman"/>
          <w:spacing w:val="5"/>
        </w:rPr>
        <w:t>21 </w:t>
      </w:r>
      <w:r>
        <w:rPr>
          <w:spacing w:val="5"/>
        </w:rPr>
        <w:t>部专项应急预案印发</w:t>
      </w:r>
      <w:r>
        <w:rPr>
          <w:spacing w:val="10"/>
        </w:rPr>
        <w:t>给你们，请结合实际，认真贯彻执行。</w:t>
      </w:r>
    </w:p>
    <w:p>
      <w:pPr>
        <w:pStyle w:val="BodyText"/>
        <w:ind w:left="15" w:right="98" w:firstLine="421"/>
        <w:spacing w:before="51" w:line="376" w:lineRule="auto"/>
        <w:rPr/>
      </w:pPr>
      <w:r>
        <w:rPr>
          <w:spacing w:val="5"/>
        </w:rPr>
        <w:t>各专项应急预案自</w:t>
      </w:r>
      <w:r>
        <w:rPr>
          <w:spacing w:val="-31"/>
        </w:rPr>
        <w:t xml:space="preserve"> </w:t>
      </w:r>
      <w:r>
        <w:rPr>
          <w:rFonts w:ascii="Times New Roman" w:hAnsi="Times New Roman" w:eastAsia="Times New Roman" w:cs="Times New Roman"/>
          <w:spacing w:val="5"/>
        </w:rPr>
        <w:t>2021 </w:t>
      </w:r>
      <w:r>
        <w:rPr>
          <w:spacing w:val="5"/>
        </w:rPr>
        <w:t>年</w:t>
      </w:r>
      <w:r>
        <w:rPr>
          <w:spacing w:val="-34"/>
        </w:rPr>
        <w:t xml:space="preserve"> </w:t>
      </w:r>
      <w:r>
        <w:rPr>
          <w:rFonts w:ascii="Times New Roman" w:hAnsi="Times New Roman" w:eastAsia="Times New Roman" w:cs="Times New Roman"/>
          <w:spacing w:val="5"/>
        </w:rPr>
        <w:t>3</w:t>
      </w:r>
      <w:r>
        <w:rPr>
          <w:rFonts w:ascii="Times New Roman" w:hAnsi="Times New Roman" w:eastAsia="Times New Roman" w:cs="Times New Roman"/>
          <w:spacing w:val="16"/>
          <w:w w:val="101"/>
        </w:rPr>
        <w:t xml:space="preserve"> </w:t>
      </w:r>
      <w:r>
        <w:rPr>
          <w:spacing w:val="5"/>
        </w:rPr>
        <w:t>月</w:t>
      </w:r>
      <w:r>
        <w:rPr>
          <w:spacing w:val="-35"/>
        </w:rPr>
        <w:t xml:space="preserve"> </w:t>
      </w:r>
      <w:r>
        <w:rPr>
          <w:rFonts w:ascii="Times New Roman" w:hAnsi="Times New Roman" w:eastAsia="Times New Roman" w:cs="Times New Roman"/>
          <w:spacing w:val="5"/>
        </w:rPr>
        <w:t>7  </w:t>
      </w:r>
      <w:r>
        <w:rPr>
          <w:spacing w:val="5"/>
        </w:rPr>
        <w:t>日起实</w:t>
      </w:r>
      <w:r>
        <w:rPr>
          <w:spacing w:val="2"/>
        </w:rPr>
        <w:t>施，有效期至</w:t>
      </w:r>
      <w:r>
        <w:rPr>
          <w:spacing w:val="-39"/>
        </w:rPr>
        <w:t xml:space="preserve"> </w:t>
      </w:r>
      <w:r>
        <w:rPr>
          <w:rFonts w:ascii="Times New Roman" w:hAnsi="Times New Roman" w:eastAsia="Times New Roman" w:cs="Times New Roman"/>
          <w:spacing w:val="2"/>
        </w:rPr>
        <w:t>2024 </w:t>
      </w:r>
      <w:r>
        <w:rPr>
          <w:spacing w:val="2"/>
        </w:rPr>
        <w:t>年</w:t>
      </w:r>
      <w:r>
        <w:rPr>
          <w:spacing w:val="-37"/>
        </w:rPr>
        <w:t xml:space="preserve"> </w:t>
      </w:r>
      <w:r>
        <w:rPr>
          <w:rFonts w:ascii="Times New Roman" w:hAnsi="Times New Roman" w:eastAsia="Times New Roman" w:cs="Times New Roman"/>
          <w:spacing w:val="2"/>
        </w:rPr>
        <w:t>3 </w:t>
      </w:r>
      <w:r>
        <w:rPr>
          <w:spacing w:val="2"/>
        </w:rPr>
        <w:t>月</w:t>
      </w:r>
      <w:r>
        <w:rPr>
          <w:spacing w:val="-36"/>
        </w:rPr>
        <w:t xml:space="preserve"> </w:t>
      </w:r>
      <w:r>
        <w:rPr>
          <w:rFonts w:ascii="Times New Roman" w:hAnsi="Times New Roman" w:eastAsia="Times New Roman" w:cs="Times New Roman"/>
          <w:spacing w:val="2"/>
        </w:rPr>
        <w:t>6  </w:t>
      </w:r>
      <w:r>
        <w:rPr>
          <w:spacing w:val="2"/>
        </w:rPr>
        <w:t>日。</w:t>
      </w:r>
    </w:p>
    <w:p>
      <w:pPr>
        <w:spacing w:line="327" w:lineRule="auto"/>
        <w:rPr>
          <w:rFonts w:ascii="Arial"/>
          <w:sz w:val="21"/>
        </w:rPr>
      </w:pPr>
      <w:r/>
    </w:p>
    <w:p>
      <w:pPr>
        <w:pStyle w:val="BodyText"/>
        <w:ind w:left="2089"/>
        <w:spacing w:before="66" w:line="218" w:lineRule="auto"/>
        <w:rPr/>
      </w:pPr>
      <w:r>
        <w:rPr>
          <w:spacing w:val="7"/>
        </w:rPr>
        <w:t>固原市人民政府办公室</w:t>
      </w:r>
    </w:p>
    <w:p>
      <w:pPr>
        <w:pStyle w:val="BodyText"/>
        <w:ind w:left="2383"/>
        <w:spacing w:before="163" w:line="218" w:lineRule="auto"/>
        <w:rPr/>
      </w:pPr>
      <w:r>
        <w:rPr>
          <w:rFonts w:ascii="Times New Roman" w:hAnsi="Times New Roman" w:eastAsia="Times New Roman" w:cs="Times New Roman"/>
          <w:spacing w:val="2"/>
        </w:rPr>
        <w:t>2021 </w:t>
      </w:r>
      <w:r>
        <w:rPr>
          <w:spacing w:val="2"/>
        </w:rPr>
        <w:t>年</w:t>
      </w:r>
      <w:r>
        <w:rPr>
          <w:spacing w:val="-41"/>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8"/>
        </w:rPr>
        <w:t xml:space="preserve"> </w:t>
      </w:r>
      <w:r>
        <w:rPr>
          <w:spacing w:val="2"/>
        </w:rPr>
        <w:t>月</w:t>
      </w:r>
      <w:r>
        <w:rPr>
          <w:spacing w:val="-38"/>
        </w:rPr>
        <w:t xml:space="preserve"> </w:t>
      </w:r>
      <w:r>
        <w:rPr>
          <w:rFonts w:ascii="Times New Roman" w:hAnsi="Times New Roman" w:eastAsia="Times New Roman" w:cs="Times New Roman"/>
          <w:spacing w:val="2"/>
        </w:rPr>
        <w:t>7  </w:t>
      </w:r>
      <w:r>
        <w:rPr>
          <w:spacing w:val="2"/>
        </w:rPr>
        <w:t>日</w:t>
      </w:r>
    </w:p>
    <w:p>
      <w:pPr>
        <w:pStyle w:val="BodyText"/>
        <w:ind w:left="428"/>
        <w:spacing w:before="159" w:line="277" w:lineRule="exact"/>
        <w:rPr/>
      </w:pPr>
      <w:r>
        <w:rPr>
          <w:spacing w:val="10"/>
          <w:position w:val="1"/>
        </w:rPr>
        <w:t>（此件公开发布）</w:t>
      </w:r>
    </w:p>
    <w:p>
      <w:pPr>
        <w:spacing w:line="277" w:lineRule="exact"/>
        <w:sectPr>
          <w:type w:val="continuous"/>
          <w:pgSz w:w="11906" w:h="16839"/>
          <w:pgMar w:top="1769" w:right="1489" w:bottom="1570" w:left="1588" w:header="1428" w:footer="1172" w:gutter="0"/>
          <w:cols w:equalWidth="0" w:num="2">
            <w:col w:w="4465" w:space="100"/>
            <w:col w:w="4264" w:space="0"/>
          </w:cols>
        </w:sectPr>
        <w:rPr/>
      </w:pPr>
    </w:p>
    <w:p>
      <w:pPr>
        <w:spacing w:line="307" w:lineRule="auto"/>
        <w:rPr>
          <w:rFonts w:ascii="Arial"/>
          <w:sz w:val="21"/>
        </w:rPr>
      </w:pPr>
      <w:r>
        <w:drawing>
          <wp:anchor distT="0" distB="0" distL="0" distR="0" simplePos="0" relativeHeight="252094464" behindDoc="0" locked="0" layoutInCell="1" allowOverlap="1">
            <wp:simplePos x="0" y="0"/>
            <wp:positionH relativeFrom="column">
              <wp:posOffset>0</wp:posOffset>
            </wp:positionH>
            <wp:positionV relativeFrom="paragraph">
              <wp:posOffset>-6023692</wp:posOffset>
            </wp:positionV>
            <wp:extent cx="5579745" cy="7619"/>
            <wp:effectExtent l="0" t="0" r="0" b="0"/>
            <wp:wrapNone/>
            <wp:docPr id="1212" name="IM 1212"/>
            <wp:cNvGraphicFramePr/>
            <a:graphic>
              <a:graphicData uri="http://schemas.openxmlformats.org/drawingml/2006/picture">
                <pic:pic>
                  <pic:nvPicPr>
                    <pic:cNvPr id="1212" name="IM 1212"/>
                    <pic:cNvPicPr/>
                  </pic:nvPicPr>
                  <pic:blipFill>
                    <a:blip r:embed="rId608"/>
                    <a:stretch>
                      <a:fillRect/>
                    </a:stretch>
                  </pic:blipFill>
                  <pic:spPr>
                    <a:xfrm rot="0">
                      <a:off x="0" y="0"/>
                      <a:ext cx="5579745" cy="7619"/>
                    </a:xfrm>
                    <a:prstGeom prst="rect">
                      <a:avLst/>
                    </a:prstGeom>
                  </pic:spPr>
                </pic:pic>
              </a:graphicData>
            </a:graphic>
          </wp:anchor>
        </w:drawing>
      </w:r>
      <w:r/>
    </w:p>
    <w:p>
      <w:pPr>
        <w:spacing w:line="307" w:lineRule="auto"/>
        <w:rPr>
          <w:rFonts w:ascii="Arial"/>
          <w:sz w:val="21"/>
        </w:rPr>
      </w:pPr>
      <w:r/>
    </w:p>
    <w:p>
      <w:pPr>
        <w:ind w:left="1534"/>
        <w:spacing w:before="185" w:line="185"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7"/>
        </w:rPr>
        <w:t>固原市生产安全事故应急预案</w:t>
      </w:r>
    </w:p>
    <w:p>
      <w:pPr>
        <w:spacing w:before="182"/>
        <w:rPr/>
      </w:pPr>
      <w:r/>
    </w:p>
    <w:p>
      <w:pPr>
        <w:sectPr>
          <w:type w:val="continuous"/>
          <w:pgSz w:w="11906" w:h="16839"/>
          <w:pgMar w:top="1769" w:right="1489" w:bottom="1570" w:left="1588" w:header="1428" w:footer="1172" w:gutter="0"/>
          <w:cols w:equalWidth="0" w:num="1">
            <w:col w:w="8829" w:space="0"/>
          </w:cols>
        </w:sectPr>
        <w:rPr/>
      </w:pPr>
    </w:p>
    <w:p>
      <w:pPr>
        <w:ind w:left="90"/>
        <w:spacing w:before="47" w:line="18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第一部分   固原市生产安全事故综合应急预案</w:t>
      </w:r>
    </w:p>
    <w:p>
      <w:pPr>
        <w:ind w:left="441"/>
        <w:spacing w:before="124"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1</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7"/>
        </w:rPr>
        <w:t>总则</w:t>
      </w:r>
    </w:p>
    <w:p>
      <w:pPr>
        <w:pStyle w:val="BodyText"/>
        <w:ind w:left="11" w:right="331" w:firstLine="433"/>
        <w:spacing w:before="97" w:line="310" w:lineRule="auto"/>
        <w:jc w:val="both"/>
        <w:rPr/>
      </w:pPr>
      <w:r>
        <w:rPr>
          <w:rFonts w:ascii="Times New Roman" w:hAnsi="Times New Roman" w:eastAsia="Times New Roman" w:cs="Times New Roman"/>
          <w:spacing w:val="3"/>
        </w:rPr>
        <w:t>1.</w:t>
      </w:r>
      <w:r>
        <w:rPr>
          <w:rFonts w:ascii="Times New Roman" w:hAnsi="Times New Roman" w:eastAsia="Times New Roman" w:cs="Times New Roman"/>
          <w:spacing w:val="-9"/>
        </w:rPr>
        <w:t xml:space="preserve"> </w:t>
      </w:r>
      <w:r>
        <w:rPr>
          <w:rFonts w:ascii="Times New Roman" w:hAnsi="Times New Roman" w:eastAsia="Times New Roman" w:cs="Times New Roman"/>
          <w:spacing w:val="3"/>
        </w:rPr>
        <w:t>1  </w:t>
      </w:r>
      <w:r>
        <w:rPr>
          <w:rFonts w:ascii="KaiTi" w:hAnsi="KaiTi" w:eastAsia="KaiTi" w:cs="KaiTi"/>
          <w:spacing w:val="3"/>
        </w:rPr>
        <w:t>编制</w:t>
      </w:r>
      <w:r>
        <w:rPr>
          <w:rFonts w:ascii="KaiTi" w:hAnsi="KaiTi" w:eastAsia="KaiTi" w:cs="KaiTi"/>
          <w:spacing w:val="-50"/>
        </w:rPr>
        <w:t xml:space="preserve"> </w:t>
      </w:r>
      <w:r>
        <w:rPr>
          <w:rFonts w:ascii="KaiTi" w:hAnsi="KaiTi" w:eastAsia="KaiTi" w:cs="KaiTi"/>
          <w:spacing w:val="3"/>
        </w:rPr>
        <w:t>目的。</w:t>
      </w:r>
      <w:r>
        <w:rPr>
          <w:spacing w:val="3"/>
        </w:rPr>
        <w:t>为快速、高效、有序应对</w:t>
      </w:r>
      <w:r>
        <w:rPr>
          <w:spacing w:val="6"/>
        </w:rPr>
        <w:t>和处置生产安全事故，最大程度控制、减轻或</w:t>
      </w:r>
      <w:r>
        <w:rPr>
          <w:spacing w:val="6"/>
        </w:rPr>
        <w:t>消除事故及其造成的人员伤亡和财产损失，维</w:t>
      </w:r>
    </w:p>
    <w:p>
      <w:pPr>
        <w:spacing w:line="14" w:lineRule="auto"/>
        <w:rPr>
          <w:rFonts w:ascii="Arial"/>
          <w:sz w:val="2"/>
        </w:rPr>
      </w:pPr>
      <w:r>
        <w:rPr>
          <w:rFonts w:ascii="Arial" w:hAnsi="Arial" w:eastAsia="Arial" w:cs="Arial"/>
          <w:sz w:val="2"/>
          <w:szCs w:val="2"/>
        </w:rPr>
        <w:br w:type="column"/>
      </w:r>
    </w:p>
    <w:p>
      <w:pPr>
        <w:pStyle w:val="BodyText"/>
        <w:ind w:left="3"/>
        <w:spacing w:before="40" w:line="221" w:lineRule="auto"/>
        <w:rPr/>
      </w:pPr>
      <w:r>
        <w:rPr>
          <w:spacing w:val="8"/>
        </w:rPr>
        <w:t>护人民群众的生命财产安全和社会稳定。</w:t>
      </w:r>
    </w:p>
    <w:p>
      <w:pPr>
        <w:pStyle w:val="BodyText"/>
        <w:ind w:right="101" w:firstLine="439"/>
        <w:spacing w:before="157" w:line="325" w:lineRule="auto"/>
        <w:jc w:val="both"/>
        <w:rPr/>
      </w:pPr>
      <w:r>
        <w:rPr>
          <w:rFonts w:ascii="Times New Roman" w:hAnsi="Times New Roman" w:eastAsia="Times New Roman" w:cs="Times New Roman"/>
          <w:spacing w:val="7"/>
        </w:rPr>
        <w:t>1.2  </w:t>
      </w:r>
      <w:r>
        <w:rPr>
          <w:rFonts w:ascii="KaiTi" w:hAnsi="KaiTi" w:eastAsia="KaiTi" w:cs="KaiTi"/>
          <w:spacing w:val="7"/>
        </w:rPr>
        <w:t>工作原则。</w:t>
      </w:r>
      <w:r>
        <w:rPr>
          <w:spacing w:val="7"/>
        </w:rPr>
        <w:t>以人为本、统一指挥，属</w:t>
      </w:r>
      <w:r>
        <w:rPr>
          <w:spacing w:val="7"/>
        </w:rPr>
        <w:t>地为主、分级负责，条块结合、资源整合，上</w:t>
      </w:r>
      <w:r>
        <w:rPr>
          <w:spacing w:val="7"/>
        </w:rPr>
        <w:t>下联动、快速反应，社会参与、专兼结合，果</w:t>
      </w:r>
      <w:r>
        <w:rPr>
          <w:spacing w:val="8"/>
        </w:rPr>
        <w:t>断处置、科学施救。</w:t>
      </w:r>
    </w:p>
    <w:p>
      <w:pPr>
        <w:spacing w:line="325" w:lineRule="auto"/>
        <w:sectPr>
          <w:type w:val="continuous"/>
          <w:pgSz w:w="11906" w:h="16839"/>
          <w:pgMar w:top="1769" w:right="1489" w:bottom="1570" w:left="1588" w:header="1428" w:footer="1172" w:gutter="0"/>
          <w:cols w:equalWidth="0" w:num="2">
            <w:col w:w="4483" w:space="100"/>
            <w:col w:w="4247" w:space="0"/>
          </w:cols>
        </w:sectPr>
        <w:rPr/>
      </w:pPr>
    </w:p>
    <w:p>
      <w:pPr>
        <w:spacing w:before="84"/>
        <w:rPr/>
      </w:pPr>
      <w:r>
        <w:drawing>
          <wp:anchor distT="0" distB="0" distL="0" distR="0" simplePos="0" relativeHeight="252096512"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218" name="IM 1218"/>
            <wp:cNvGraphicFramePr/>
            <a:graphic>
              <a:graphicData uri="http://schemas.openxmlformats.org/drawingml/2006/picture">
                <pic:pic>
                  <pic:nvPicPr>
                    <pic:cNvPr id="1218" name="IM 1218"/>
                    <pic:cNvPicPr/>
                  </pic:nvPicPr>
                  <pic:blipFill>
                    <a:blip r:embed="rId611"/>
                    <a:stretch>
                      <a:fillRect/>
                    </a:stretch>
                  </pic:blipFill>
                  <pic:spPr>
                    <a:xfrm rot="0">
                      <a:off x="0" y="0"/>
                      <a:ext cx="5579745" cy="7620"/>
                    </a:xfrm>
                    <a:prstGeom prst="rect">
                      <a:avLst/>
                    </a:prstGeom>
                  </pic:spPr>
                </pic:pic>
              </a:graphicData>
            </a:graphic>
          </wp:anchor>
        </w:drawing>
      </w:r>
      <w:r/>
    </w:p>
    <w:p>
      <w:pPr>
        <w:sectPr>
          <w:headerReference w:type="default" r:id="rId609"/>
          <w:footerReference w:type="default" r:id="rId610"/>
          <w:pgSz w:w="11906" w:h="16839"/>
          <w:pgMar w:top="1766" w:right="1478" w:bottom="1563" w:left="1576" w:header="1428" w:footer="1172" w:gutter="0"/>
          <w:cols w:equalWidth="0" w:num="1">
            <w:col w:w="8852" w:space="0"/>
          </w:cols>
        </w:sectPr>
        <w:rPr/>
      </w:pPr>
    </w:p>
    <w:p>
      <w:pPr>
        <w:pStyle w:val="BodyText"/>
        <w:ind w:right="151" w:firstLine="457"/>
        <w:spacing w:before="1" w:line="328" w:lineRule="auto"/>
        <w:rPr/>
      </w:pPr>
      <w:r>
        <w:rPr>
          <w:rFonts w:ascii="Times New Roman" w:hAnsi="Times New Roman" w:eastAsia="Times New Roman" w:cs="Times New Roman"/>
          <w:spacing w:val="7"/>
        </w:rPr>
        <w:t>1.3  </w:t>
      </w:r>
      <w:r>
        <w:rPr>
          <w:rFonts w:ascii="KaiTi" w:hAnsi="KaiTi" w:eastAsia="KaiTi" w:cs="KaiTi"/>
          <w:spacing w:val="7"/>
        </w:rPr>
        <w:t>编制依据。</w:t>
      </w:r>
      <w:r>
        <w:rPr>
          <w:spacing w:val="7"/>
        </w:rPr>
        <w:t>《中华人民共和国安全生</w:t>
      </w:r>
      <w:r>
        <w:rPr>
          <w:spacing w:val="-2"/>
        </w:rPr>
        <w:t>产法》《中华人民共和国突发事件应对法》《生</w:t>
      </w:r>
      <w:r>
        <w:rPr>
          <w:spacing w:val="8"/>
        </w:rPr>
        <w:t>产安全事故报告和调查处理条例》《生产安全</w:t>
      </w:r>
      <w:r>
        <w:rPr>
          <w:spacing w:val="8"/>
        </w:rPr>
        <w:t>事故应急条例》《生产安全事故应急预案管理</w:t>
      </w:r>
      <w:r>
        <w:rPr>
          <w:spacing w:val="7"/>
        </w:rPr>
        <w:t>办法》应急管理部</w:t>
      </w:r>
      <w:r>
        <w:rPr>
          <w:spacing w:val="-34"/>
        </w:rPr>
        <w:t xml:space="preserve"> </w:t>
      </w:r>
      <w:r>
        <w:rPr>
          <w:rFonts w:ascii="Times New Roman" w:hAnsi="Times New Roman" w:eastAsia="Times New Roman" w:cs="Times New Roman"/>
          <w:spacing w:val="7"/>
        </w:rPr>
        <w:t>2 </w:t>
      </w:r>
      <w:r>
        <w:rPr>
          <w:spacing w:val="7"/>
        </w:rPr>
        <w:t>号令《宁夏回族自治区安</w:t>
      </w:r>
      <w:r>
        <w:rPr>
          <w:spacing w:val="8"/>
        </w:rPr>
        <w:t>全生产条例》《宁夏回族自治区突发事件应对</w:t>
      </w:r>
      <w:r>
        <w:rPr>
          <w:spacing w:val="8"/>
        </w:rPr>
        <w:t>条例》《突发事件应急演练指南》《生产过程</w:t>
      </w:r>
      <w:r>
        <w:rPr>
          <w:spacing w:val="1"/>
        </w:rPr>
        <w:t>危险和有害因素分类与代码》（</w:t>
      </w:r>
      <w:r>
        <w:rPr>
          <w:rFonts w:ascii="Times New Roman" w:hAnsi="Times New Roman" w:eastAsia="Times New Roman" w:cs="Times New Roman"/>
        </w:rPr>
        <w:t>GB</w:t>
      </w:r>
      <w:r>
        <w:rPr>
          <w:rFonts w:ascii="Times New Roman" w:hAnsi="Times New Roman" w:eastAsia="Times New Roman" w:cs="Times New Roman"/>
          <w:spacing w:val="1"/>
        </w:rPr>
        <w:t>13861-</w:t>
      </w:r>
      <w:r>
        <w:rPr>
          <w:rFonts w:ascii="Times New Roman" w:hAnsi="Times New Roman" w:eastAsia="Times New Roman" w:cs="Times New Roman"/>
        </w:rPr>
        <w:t>2009 </w:t>
      </w:r>
      <w:r>
        <w:rPr/>
        <w:t>） </w:t>
      </w:r>
      <w:r>
        <w:rPr>
          <w:spacing w:val="19"/>
        </w:rPr>
        <w:t>《生产经营单位生产安全事故应急预案编制</w:t>
      </w:r>
      <w:r>
        <w:rPr>
          <w:spacing w:val="7"/>
        </w:rPr>
        <w:t>导则》（</w:t>
      </w:r>
      <w:r>
        <w:rPr>
          <w:spacing w:val="-29"/>
        </w:rPr>
        <w:t xml:space="preserve"> </w:t>
      </w:r>
      <w:r>
        <w:rPr>
          <w:rFonts w:ascii="Times New Roman" w:hAnsi="Times New Roman" w:eastAsia="Times New Roman" w:cs="Times New Roman"/>
        </w:rPr>
        <w:t>GB</w:t>
      </w:r>
      <w:r>
        <w:rPr>
          <w:rFonts w:ascii="Times New Roman" w:hAnsi="Times New Roman" w:eastAsia="Times New Roman" w:cs="Times New Roman"/>
          <w:spacing w:val="7"/>
        </w:rPr>
        <w:t>/T</w:t>
      </w:r>
      <w:r>
        <w:rPr>
          <w:rFonts w:ascii="Times New Roman" w:hAnsi="Times New Roman" w:eastAsia="Times New Roman" w:cs="Times New Roman"/>
          <w:spacing w:val="16"/>
          <w:w w:val="101"/>
        </w:rPr>
        <w:t xml:space="preserve"> </w:t>
      </w:r>
      <w:r>
        <w:rPr>
          <w:rFonts w:ascii="Times New Roman" w:hAnsi="Times New Roman" w:eastAsia="Times New Roman" w:cs="Times New Roman"/>
          <w:spacing w:val="7"/>
        </w:rPr>
        <w:t>29639-2013</w:t>
      </w:r>
      <w:r>
        <w:rPr>
          <w:rFonts w:ascii="Times New Roman" w:hAnsi="Times New Roman" w:eastAsia="Times New Roman" w:cs="Times New Roman"/>
          <w:spacing w:val="-16"/>
        </w:rPr>
        <w:t xml:space="preserve"> </w:t>
      </w:r>
      <w:r>
        <w:rPr>
          <w:spacing w:val="7"/>
        </w:rPr>
        <w:t>）《生产安全事故</w:t>
      </w:r>
      <w:r>
        <w:rPr>
          <w:spacing w:val="8"/>
        </w:rPr>
        <w:t>应急演练指南》（</w:t>
      </w:r>
      <w:r>
        <w:rPr>
          <w:rFonts w:ascii="Times New Roman" w:hAnsi="Times New Roman" w:eastAsia="Times New Roman" w:cs="Times New Roman"/>
        </w:rPr>
        <w:t>AQ</w:t>
      </w:r>
      <w:r>
        <w:rPr>
          <w:rFonts w:ascii="Times New Roman" w:hAnsi="Times New Roman" w:eastAsia="Times New Roman" w:cs="Times New Roman"/>
          <w:spacing w:val="8"/>
        </w:rPr>
        <w:t>/T9007-2019</w:t>
      </w:r>
      <w:r>
        <w:rPr>
          <w:rFonts w:ascii="Times New Roman" w:hAnsi="Times New Roman" w:eastAsia="Times New Roman" w:cs="Times New Roman"/>
          <w:spacing w:val="-12"/>
        </w:rPr>
        <w:t xml:space="preserve"> </w:t>
      </w:r>
      <w:r>
        <w:rPr>
          <w:spacing w:val="8"/>
        </w:rPr>
        <w:t>）《企业职</w:t>
      </w:r>
      <w:r>
        <w:rPr>
          <w:spacing w:val="8"/>
        </w:rPr>
        <w:t>工伤亡事故分类标准》（</w:t>
      </w:r>
      <w:r>
        <w:rPr>
          <w:rFonts w:ascii="Times New Roman" w:hAnsi="Times New Roman" w:eastAsia="Times New Roman" w:cs="Times New Roman"/>
        </w:rPr>
        <w:t>GB</w:t>
      </w:r>
      <w:r>
        <w:rPr>
          <w:rFonts w:ascii="Times New Roman" w:hAnsi="Times New Roman" w:eastAsia="Times New Roman" w:cs="Times New Roman"/>
          <w:spacing w:val="8"/>
        </w:rPr>
        <w:t>6441-1986</w:t>
      </w:r>
      <w:r>
        <w:rPr>
          <w:rFonts w:ascii="Times New Roman" w:hAnsi="Times New Roman" w:eastAsia="Times New Roman" w:cs="Times New Roman"/>
          <w:spacing w:val="-15"/>
        </w:rPr>
        <w:t xml:space="preserve"> </w:t>
      </w:r>
      <w:r>
        <w:rPr>
          <w:spacing w:val="8"/>
        </w:rPr>
        <w:t>）《危</w:t>
      </w:r>
      <w:r>
        <w:rPr>
          <w:spacing w:val="6"/>
        </w:rPr>
        <w:t>险化学品重大危险源辨识》（</w:t>
      </w:r>
      <w:r>
        <w:rPr>
          <w:rFonts w:ascii="Times New Roman" w:hAnsi="Times New Roman" w:eastAsia="Times New Roman" w:cs="Times New Roman"/>
        </w:rPr>
        <w:t>GB</w:t>
      </w:r>
      <w:r>
        <w:rPr>
          <w:rFonts w:ascii="Times New Roman" w:hAnsi="Times New Roman" w:eastAsia="Times New Roman" w:cs="Times New Roman"/>
          <w:spacing w:val="28"/>
        </w:rPr>
        <w:t xml:space="preserve"> </w:t>
      </w:r>
      <w:r>
        <w:rPr>
          <w:rFonts w:ascii="Times New Roman" w:hAnsi="Times New Roman" w:eastAsia="Times New Roman" w:cs="Times New Roman"/>
          <w:spacing w:val="6"/>
        </w:rPr>
        <w:t>18218-2</w:t>
      </w:r>
      <w:r>
        <w:rPr>
          <w:rFonts w:ascii="Times New Roman" w:hAnsi="Times New Roman" w:eastAsia="Times New Roman" w:cs="Times New Roman"/>
          <w:spacing w:val="5"/>
        </w:rPr>
        <w:t>018 </w:t>
      </w:r>
      <w:r>
        <w:rPr>
          <w:spacing w:val="5"/>
        </w:rPr>
        <w:t>）</w:t>
      </w:r>
      <w:r>
        <w:rPr/>
        <w:t xml:space="preserve"> </w:t>
      </w:r>
      <w:r>
        <w:rPr>
          <w:spacing w:val="8"/>
        </w:rPr>
        <w:t>《宁夏回族自治区政府办公厅关于印发《宁夏</w:t>
      </w:r>
      <w:r>
        <w:rPr>
          <w:spacing w:val="11"/>
        </w:rPr>
        <w:t>回族自治区生产安全事故应急预案》等</w:t>
      </w:r>
      <w:r>
        <w:rPr>
          <w:spacing w:val="-18"/>
        </w:rPr>
        <w:t xml:space="preserve"> </w:t>
      </w:r>
      <w:r>
        <w:rPr>
          <w:rFonts w:ascii="Times New Roman" w:hAnsi="Times New Roman" w:eastAsia="Times New Roman" w:cs="Times New Roman"/>
          <w:spacing w:val="11"/>
        </w:rPr>
        <w:t>17</w:t>
      </w:r>
      <w:r>
        <w:rPr>
          <w:rFonts w:ascii="Times New Roman" w:hAnsi="Times New Roman" w:eastAsia="Times New Roman" w:cs="Times New Roman"/>
          <w:spacing w:val="10"/>
        </w:rPr>
        <w:t xml:space="preserve"> </w:t>
      </w:r>
      <w:r>
        <w:rPr>
          <w:spacing w:val="10"/>
        </w:rPr>
        <w:t>部</w:t>
      </w:r>
      <w:r>
        <w:rPr>
          <w:spacing w:val="25"/>
        </w:rPr>
        <w:t>自治区专项应急预案的通知》</w:t>
      </w:r>
      <w:r>
        <w:rPr>
          <w:spacing w:val="-55"/>
        </w:rPr>
        <w:t xml:space="preserve"> </w:t>
      </w:r>
      <w:r>
        <w:rPr>
          <w:spacing w:val="25"/>
        </w:rPr>
        <w:t>（</w:t>
      </w:r>
      <w:r>
        <w:rPr>
          <w:spacing w:val="-34"/>
        </w:rPr>
        <w:t xml:space="preserve"> </w:t>
      </w:r>
      <w:r>
        <w:rPr>
          <w:spacing w:val="25"/>
        </w:rPr>
        <w:t>宁政办发</w:t>
      </w:r>
      <w:r>
        <w:rPr>
          <w:spacing w:val="6"/>
        </w:rPr>
        <w:t>〔</w:t>
      </w:r>
      <w:r>
        <w:rPr>
          <w:rFonts w:ascii="Times New Roman" w:hAnsi="Times New Roman" w:eastAsia="Times New Roman" w:cs="Times New Roman"/>
          <w:spacing w:val="6"/>
        </w:rPr>
        <w:t>2017 </w:t>
      </w:r>
      <w:r>
        <w:rPr>
          <w:spacing w:val="6"/>
        </w:rPr>
        <w:t>〕</w:t>
      </w:r>
      <w:r>
        <w:rPr>
          <w:rFonts w:ascii="Times New Roman" w:hAnsi="Times New Roman" w:eastAsia="Times New Roman" w:cs="Times New Roman"/>
          <w:spacing w:val="6"/>
        </w:rPr>
        <w:t>127 </w:t>
      </w:r>
      <w:r>
        <w:rPr>
          <w:spacing w:val="6"/>
        </w:rPr>
        <w:t>号）《宁夏回族自治区安全生产</w:t>
      </w:r>
      <w:r>
        <w:rPr>
          <w:spacing w:val="3"/>
        </w:rPr>
        <w:t>监督管理责任规定》（宁政发〔</w:t>
      </w:r>
      <w:r>
        <w:rPr>
          <w:rFonts w:ascii="Times New Roman" w:hAnsi="Times New Roman" w:eastAsia="Times New Roman" w:cs="Times New Roman"/>
          <w:spacing w:val="3"/>
        </w:rPr>
        <w:t>2010</w:t>
      </w:r>
      <w:r>
        <w:rPr>
          <w:spacing w:val="3"/>
        </w:rPr>
        <w:t>〕</w:t>
      </w:r>
      <w:r>
        <w:rPr>
          <w:rFonts w:ascii="Times New Roman" w:hAnsi="Times New Roman" w:eastAsia="Times New Roman" w:cs="Times New Roman"/>
          <w:spacing w:val="3"/>
        </w:rPr>
        <w:t>55 </w:t>
      </w:r>
      <w:r>
        <w:rPr>
          <w:spacing w:val="3"/>
        </w:rPr>
        <w:t>号）。</w:t>
      </w:r>
    </w:p>
    <w:p>
      <w:pPr>
        <w:pStyle w:val="BodyText"/>
        <w:ind w:left="15" w:right="329" w:firstLine="441"/>
        <w:spacing w:before="83" w:line="319" w:lineRule="auto"/>
        <w:rPr/>
      </w:pPr>
      <w:r>
        <w:rPr>
          <w:rFonts w:ascii="Times New Roman" w:hAnsi="Times New Roman" w:eastAsia="Times New Roman" w:cs="Times New Roman"/>
          <w:spacing w:val="7"/>
        </w:rPr>
        <w:t>1.4  </w:t>
      </w:r>
      <w:r>
        <w:rPr>
          <w:rFonts w:ascii="KaiTi" w:hAnsi="KaiTi" w:eastAsia="KaiTi" w:cs="KaiTi"/>
          <w:spacing w:val="7"/>
        </w:rPr>
        <w:t>适用范围。</w:t>
      </w:r>
      <w:r>
        <w:rPr>
          <w:spacing w:val="7"/>
        </w:rPr>
        <w:t>本预案适用于固原市境内</w:t>
      </w:r>
      <w:r>
        <w:rPr>
          <w:spacing w:val="7"/>
        </w:rPr>
        <w:t>煤矿、非煤矿山、危险化学品企业、工贸企业</w:t>
      </w:r>
      <w:r>
        <w:rPr>
          <w:spacing w:val="7"/>
        </w:rPr>
        <w:t>及烟花爆竹（经营）企业发生较大及以上瓦斯</w:t>
      </w:r>
      <w:r>
        <w:rPr>
          <w:spacing w:val="7"/>
        </w:rPr>
        <w:t>爆炸、火药爆炸、冒顶片帮、透水、化学品泄</w:t>
      </w:r>
      <w:r>
        <w:rPr>
          <w:spacing w:val="7"/>
        </w:rPr>
        <w:t>漏、火灾、爆炸、中毒和窒息、起重伤害等生</w:t>
      </w:r>
      <w:r>
        <w:rPr>
          <w:spacing w:val="18"/>
        </w:rPr>
        <w:t>产安全事故的应急处置和应对工作。道路交</w:t>
      </w:r>
      <w:r>
        <w:rPr>
          <w:spacing w:val="7"/>
        </w:rPr>
        <w:t>通、消防、特种设备、建设工程等已有相关专</w:t>
      </w:r>
      <w:r>
        <w:rPr>
          <w:spacing w:val="8"/>
        </w:rPr>
        <w:t>项应急预案的，从其规定。</w:t>
      </w:r>
    </w:p>
    <w:p>
      <w:pPr>
        <w:pStyle w:val="BodyText"/>
        <w:ind w:left="15" w:right="329" w:firstLine="441"/>
        <w:spacing w:before="116" w:line="314" w:lineRule="auto"/>
        <w:rPr/>
      </w:pPr>
      <w:r>
        <w:rPr>
          <w:rFonts w:ascii="Times New Roman" w:hAnsi="Times New Roman" w:eastAsia="Times New Roman" w:cs="Times New Roman"/>
          <w:spacing w:val="7"/>
        </w:rPr>
        <w:t>1.5  </w:t>
      </w:r>
      <w:r>
        <w:rPr>
          <w:rFonts w:ascii="KaiTi" w:hAnsi="KaiTi" w:eastAsia="KaiTi" w:cs="KaiTi"/>
          <w:spacing w:val="7"/>
        </w:rPr>
        <w:t>应急预案体系。</w:t>
      </w:r>
      <w:r>
        <w:rPr>
          <w:spacing w:val="7"/>
        </w:rPr>
        <w:t>本预案为固原市生产</w:t>
      </w:r>
      <w:r>
        <w:rPr>
          <w:spacing w:val="7"/>
        </w:rPr>
        <w:t>安全事故应急预案（综合预案</w:t>
      </w:r>
      <w:r>
        <w:rPr>
          <w:spacing w:val="9"/>
        </w:rPr>
        <w:t>），</w:t>
      </w:r>
      <w:r>
        <w:rPr>
          <w:spacing w:val="7"/>
        </w:rPr>
        <w:t>与煤矿、非</w:t>
      </w:r>
      <w:r>
        <w:rPr>
          <w:spacing w:val="7"/>
        </w:rPr>
        <w:t>煤矿山、危险化学品企业、工贸企业、烟花爆</w:t>
      </w:r>
      <w:r>
        <w:rPr>
          <w:spacing w:val="7"/>
        </w:rPr>
        <w:t>竹经营企业相关专项应急预案、各功能区生产</w:t>
      </w:r>
      <w:r>
        <w:rPr>
          <w:spacing w:val="18"/>
        </w:rPr>
        <w:t>安全事故应急预案共同组成固原市生产安全</w:t>
      </w:r>
      <w:r>
        <w:rPr>
          <w:spacing w:val="8"/>
        </w:rPr>
        <w:t>事故应急预案体系。</w:t>
      </w:r>
    </w:p>
    <w:p>
      <w:pPr>
        <w:pStyle w:val="BodyText"/>
        <w:ind w:left="15" w:right="329" w:firstLine="441"/>
        <w:spacing w:before="115" w:line="305" w:lineRule="auto"/>
        <w:rPr/>
      </w:pPr>
      <w:r>
        <w:rPr>
          <w:rFonts w:ascii="Times New Roman" w:hAnsi="Times New Roman" w:eastAsia="Times New Roman" w:cs="Times New Roman"/>
          <w:spacing w:val="7"/>
        </w:rPr>
        <w:t>1.6  </w:t>
      </w:r>
      <w:r>
        <w:rPr>
          <w:rFonts w:ascii="KaiTi" w:hAnsi="KaiTi" w:eastAsia="KaiTi" w:cs="KaiTi"/>
          <w:spacing w:val="7"/>
        </w:rPr>
        <w:t>事故风险描述。</w:t>
      </w:r>
      <w:r>
        <w:rPr>
          <w:spacing w:val="7"/>
        </w:rPr>
        <w:t>固原市辖区内企业包</w:t>
      </w:r>
      <w:r>
        <w:rPr>
          <w:spacing w:val="7"/>
        </w:rPr>
        <w:t>含煤矿、非煤矿山、危险化学品企业、工贸企</w:t>
      </w:r>
      <w:r>
        <w:rPr>
          <w:spacing w:val="7"/>
        </w:rPr>
        <w:t>业、烟花爆竹（经营）企业。各类企业发生生</w:t>
      </w:r>
      <w:r>
        <w:rPr>
          <w:spacing w:val="9"/>
        </w:rPr>
        <w:t>产安全事故风险的类型分别为：</w:t>
      </w:r>
    </w:p>
    <w:p>
      <w:pPr>
        <w:spacing w:line="14" w:lineRule="auto"/>
        <w:rPr>
          <w:rFonts w:ascii="Arial"/>
          <w:sz w:val="2"/>
        </w:rPr>
      </w:pPr>
      <w:r>
        <w:rPr>
          <w:rFonts w:ascii="Arial" w:hAnsi="Arial" w:eastAsia="Arial" w:cs="Arial"/>
          <w:sz w:val="2"/>
          <w:szCs w:val="2"/>
        </w:rPr>
        <w:br w:type="column"/>
      </w:r>
    </w:p>
    <w:p>
      <w:pPr>
        <w:pStyle w:val="BodyText"/>
        <w:ind w:left="3" w:right="103" w:firstLine="409"/>
        <w:spacing w:line="297"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）危险化学品企业：车辆伤害、机械</w:t>
      </w:r>
      <w:r>
        <w:rPr>
          <w:spacing w:val="7"/>
        </w:rPr>
        <w:t>伤害、高处坠落、起重伤害、火灾、爆炸、触</w:t>
      </w:r>
      <w:r>
        <w:rPr>
          <w:spacing w:val="7"/>
        </w:rPr>
        <w:t>电、灼烫、中毒和窒息、泄漏、其他伤害等；</w:t>
      </w:r>
    </w:p>
    <w:p>
      <w:pPr>
        <w:pStyle w:val="BodyText"/>
        <w:ind w:left="3" w:right="114" w:firstLine="409"/>
        <w:spacing w:before="113" w:line="280"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）工贸企业：火灾、爆炸、中毒和窒</w:t>
      </w:r>
      <w:r>
        <w:rPr>
          <w:spacing w:val="7"/>
        </w:rPr>
        <w:t>息、起重伤害等；</w:t>
      </w:r>
    </w:p>
    <w:p>
      <w:pPr>
        <w:pStyle w:val="BodyText"/>
        <w:ind w:left="22" w:right="139" w:firstLine="390"/>
        <w:spacing w:before="113" w:line="280" w:lineRule="auto"/>
        <w:rPr/>
      </w:pPr>
      <w:r>
        <w:rPr>
          <w:spacing w:val="9"/>
        </w:rPr>
        <w:t>（</w:t>
      </w:r>
      <w:r>
        <w:rPr>
          <w:rFonts w:ascii="Times New Roman" w:hAnsi="Times New Roman" w:eastAsia="Times New Roman" w:cs="Times New Roman"/>
          <w:spacing w:val="9"/>
        </w:rPr>
        <w:t>3</w:t>
      </w:r>
      <w:r>
        <w:rPr>
          <w:rFonts w:ascii="Times New Roman" w:hAnsi="Times New Roman" w:eastAsia="Times New Roman" w:cs="Times New Roman"/>
          <w:spacing w:val="-7"/>
        </w:rPr>
        <w:t xml:space="preserve"> </w:t>
      </w:r>
      <w:r>
        <w:rPr>
          <w:spacing w:val="9"/>
        </w:rPr>
        <w:t>）烟花爆竹经营企业：火灾、爆炸、</w:t>
      </w:r>
      <w:r>
        <w:rPr>
          <w:spacing w:val="4"/>
        </w:rPr>
        <w:t>中毒和窒息等；</w:t>
      </w:r>
    </w:p>
    <w:p>
      <w:pPr>
        <w:pStyle w:val="BodyText"/>
        <w:ind w:left="1" w:right="31" w:firstLine="411"/>
        <w:spacing w:before="113" w:line="280" w:lineRule="auto"/>
        <w:rPr/>
      </w:pPr>
      <w:r>
        <w:rPr>
          <w:spacing w:val="4"/>
        </w:rPr>
        <w:t>（</w:t>
      </w:r>
      <w:r>
        <w:rPr>
          <w:rFonts w:ascii="Times New Roman" w:hAnsi="Times New Roman" w:eastAsia="Times New Roman" w:cs="Times New Roman"/>
          <w:spacing w:val="4"/>
        </w:rPr>
        <w:t>4</w:t>
      </w:r>
      <w:r>
        <w:rPr>
          <w:rFonts w:ascii="Times New Roman" w:hAnsi="Times New Roman" w:eastAsia="Times New Roman" w:cs="Times New Roman"/>
          <w:spacing w:val="-13"/>
        </w:rPr>
        <w:t xml:space="preserve"> </w:t>
      </w:r>
      <w:r>
        <w:rPr>
          <w:spacing w:val="4"/>
        </w:rPr>
        <w:t>）煤矿：瓦斯爆炸、火灾、冒顶片帮、</w:t>
      </w:r>
      <w:r>
        <w:rPr>
          <w:spacing w:val="8"/>
        </w:rPr>
        <w:t>坍塌、透水、中毒和窒息等；</w:t>
      </w:r>
    </w:p>
    <w:p>
      <w:pPr>
        <w:pStyle w:val="BodyText"/>
        <w:ind w:left="1" w:right="45" w:firstLine="411"/>
        <w:spacing w:before="113" w:line="280" w:lineRule="auto"/>
        <w:rPr/>
      </w:pPr>
      <w:r>
        <w:rPr>
          <w:spacing w:val="9"/>
        </w:rPr>
        <w:t>（</w:t>
      </w:r>
      <w:r>
        <w:rPr>
          <w:spacing w:val="-50"/>
        </w:rPr>
        <w:t xml:space="preserve"> </w:t>
      </w:r>
      <w:r>
        <w:rPr>
          <w:rFonts w:ascii="Times New Roman" w:hAnsi="Times New Roman" w:eastAsia="Times New Roman" w:cs="Times New Roman"/>
          <w:spacing w:val="9"/>
        </w:rPr>
        <w:t>5</w:t>
      </w:r>
      <w:r>
        <w:rPr>
          <w:rFonts w:ascii="Times New Roman" w:hAnsi="Times New Roman" w:eastAsia="Times New Roman" w:cs="Times New Roman"/>
          <w:spacing w:val="-18"/>
        </w:rPr>
        <w:t xml:space="preserve"> </w:t>
      </w:r>
      <w:r>
        <w:rPr>
          <w:spacing w:val="9"/>
        </w:rPr>
        <w:t>）非煤矿山：火药爆炸、高处坠落、</w:t>
      </w:r>
      <w:r>
        <w:rPr/>
        <w:t>坍塌、机械伤害、触电、火灾、中毒和窒息等；</w:t>
      </w:r>
    </w:p>
    <w:p>
      <w:pPr>
        <w:ind w:left="423"/>
        <w:spacing w:before="122" w:line="17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2</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6"/>
        </w:rPr>
        <w:t>组织机构及职责</w:t>
      </w:r>
    </w:p>
    <w:p>
      <w:pPr>
        <w:ind w:left="421"/>
        <w:spacing w:before="95" w:line="242" w:lineRule="auto"/>
        <w:rPr>
          <w:rFonts w:ascii="KaiTi" w:hAnsi="KaiTi" w:eastAsia="KaiTi" w:cs="KaiTi"/>
          <w:sz w:val="20"/>
          <w:szCs w:val="20"/>
        </w:rPr>
      </w:pPr>
      <w:r>
        <w:rPr>
          <w:rFonts w:ascii="Times New Roman" w:hAnsi="Times New Roman" w:eastAsia="Times New Roman" w:cs="Times New Roman"/>
          <w:sz w:val="20"/>
          <w:szCs w:val="20"/>
          <w:spacing w:val="6"/>
        </w:rPr>
        <w:t>2.1  </w:t>
      </w:r>
      <w:r>
        <w:rPr>
          <w:rFonts w:ascii="KaiTi" w:hAnsi="KaiTi" w:eastAsia="KaiTi" w:cs="KaiTi"/>
          <w:sz w:val="20"/>
          <w:szCs w:val="20"/>
          <w:spacing w:val="6"/>
        </w:rPr>
        <w:t>应急组织机构与职责。</w:t>
      </w:r>
    </w:p>
    <w:p>
      <w:pPr>
        <w:pStyle w:val="BodyText"/>
        <w:ind w:left="421"/>
        <w:spacing w:before="99" w:line="228" w:lineRule="auto"/>
        <w:rPr/>
      </w:pPr>
      <w:r>
        <w:rPr>
          <w:rFonts w:ascii="Times New Roman" w:hAnsi="Times New Roman" w:eastAsia="Times New Roman" w:cs="Times New Roman"/>
          <w:spacing w:val="5"/>
        </w:rPr>
        <w:t>2.1.1 </w:t>
      </w:r>
      <w:r>
        <w:rPr>
          <w:spacing w:val="5"/>
        </w:rPr>
        <w:t>应急组织机构。在市委市政府的统</w:t>
      </w:r>
    </w:p>
    <w:p>
      <w:pPr>
        <w:pStyle w:val="BodyText"/>
        <w:ind w:firstLine="1"/>
        <w:spacing w:before="117" w:line="331" w:lineRule="auto"/>
        <w:tabs>
          <w:tab w:val="left" w:pos="2"/>
        </w:tabs>
        <w:rPr/>
      </w:pPr>
      <w:r>
        <w:rPr>
          <w:spacing w:val="7"/>
        </w:rPr>
        <w:t>一领导下，市应急管理指挥部（应急管理指挥</w:t>
      </w:r>
      <w:r>
        <w:rPr>
          <w:spacing w:val="9"/>
        </w:rPr>
        <w:t>部的组织机构图见附件）负责统一领导、组织</w:t>
      </w:r>
      <w:r>
        <w:rPr>
          <w:spacing w:val="13"/>
        </w:rPr>
        <w:t xml:space="preserve"> </w:t>
      </w:r>
      <w:r>
        <w:rPr>
          <w:spacing w:val="7"/>
        </w:rPr>
        <w:t>、协调生产安全事故工作，统一指挥各类生产</w:t>
      </w:r>
      <w:r>
        <w:rPr>
          <w:spacing w:val="1"/>
        </w:rPr>
        <w:t xml:space="preserve">  </w:t>
      </w:r>
      <w:r>
        <w:rPr/>
        <w:tab/>
      </w:r>
      <w:r>
        <w:rPr>
          <w:position w:val="-2"/>
        </w:rPr>
        <w:drawing>
          <wp:inline distT="0" distB="0" distL="0" distR="0">
            <wp:extent cx="129852" cy="123823"/>
            <wp:effectExtent l="0" t="0" r="0" b="0"/>
            <wp:docPr id="1220" name="IM 1220"/>
            <wp:cNvGraphicFramePr/>
            <a:graphic>
              <a:graphicData uri="http://schemas.openxmlformats.org/drawingml/2006/picture">
                <pic:pic>
                  <pic:nvPicPr>
                    <pic:cNvPr id="1220" name="IM 1220"/>
                    <pic:cNvPicPr/>
                  </pic:nvPicPr>
                  <pic:blipFill>
                    <a:blip r:embed="rId612"/>
                    <a:stretch>
                      <a:fillRect/>
                    </a:stretch>
                  </pic:blipFill>
                  <pic:spPr>
                    <a:xfrm rot="0">
                      <a:off x="0" y="0"/>
                      <a:ext cx="129852" cy="123823"/>
                    </a:xfrm>
                    <a:prstGeom prst="rect">
                      <a:avLst/>
                    </a:prstGeom>
                  </pic:spPr>
                </pic:pic>
              </a:graphicData>
            </a:graphic>
          </wp:inline>
        </w:drawing>
      </w:r>
      <w:r>
        <w:rPr>
          <w:spacing w:val="10"/>
        </w:rPr>
        <w:t>事故及其次生、衍生灾害的应急处置工作。</w:t>
      </w:r>
      <w:r>
        <w:rPr>
          <w:spacing w:val="18"/>
        </w:rPr>
        <w:t>固原市生产安全事故应急组织体系由应急指</w:t>
      </w:r>
      <w:r>
        <w:rPr>
          <w:spacing w:val="-9"/>
        </w:rPr>
        <w:t>挥部、现场指挥机构、应急处置工作组、县（</w:t>
      </w:r>
      <w:r>
        <w:rPr>
          <w:spacing w:val="-45"/>
        </w:rPr>
        <w:t xml:space="preserve"> </w:t>
      </w:r>
      <w:r>
        <w:rPr>
          <w:spacing w:val="-9"/>
        </w:rPr>
        <w:t>区）</w:t>
      </w:r>
      <w:r>
        <w:rPr>
          <w:spacing w:val="9"/>
        </w:rPr>
        <w:t>应急组织机构以及社会组织和公众共同组成。</w:t>
      </w:r>
    </w:p>
    <w:p>
      <w:pPr>
        <w:pStyle w:val="BodyText"/>
        <w:ind w:left="423"/>
        <w:spacing w:before="5" w:line="278" w:lineRule="exact"/>
        <w:rPr/>
      </w:pPr>
      <w:r>
        <w:rPr>
          <w:spacing w:val="8"/>
          <w:position w:val="1"/>
        </w:rPr>
        <w:t>指 挥 长：分管应急管理工作的副市长</w:t>
      </w:r>
    </w:p>
    <w:p>
      <w:pPr>
        <w:pStyle w:val="BodyText"/>
        <w:ind w:left="427"/>
        <w:spacing w:before="82" w:line="277" w:lineRule="exact"/>
        <w:rPr/>
      </w:pPr>
      <w:r>
        <w:rPr>
          <w:spacing w:val="8"/>
          <w:position w:val="1"/>
        </w:rPr>
        <w:t>副指挥长：市政府各副市长</w:t>
      </w:r>
    </w:p>
    <w:p>
      <w:pPr>
        <w:pStyle w:val="BodyText"/>
        <w:ind w:right="31" w:firstLine="421"/>
        <w:spacing w:before="87" w:line="332" w:lineRule="auto"/>
        <w:jc w:val="both"/>
        <w:rPr/>
      </w:pPr>
      <w:r>
        <w:rPr/>
        <w:t>成员单位：市发展和改革委、教育体育局、</w:t>
      </w:r>
      <w:r>
        <w:rPr>
          <w:spacing w:val="7"/>
        </w:rPr>
        <w:t>科学技术局、工业和信息化局、公安局、民政</w:t>
      </w:r>
      <w:r>
        <w:rPr>
          <w:spacing w:val="7"/>
        </w:rPr>
        <w:t>局、财政局、自然资源局、生态环境局、住房</w:t>
      </w:r>
      <w:r>
        <w:rPr>
          <w:spacing w:val="7"/>
        </w:rPr>
        <w:t>和城乡建设局、交通运输局、水务局、农业农</w:t>
      </w:r>
      <w:r>
        <w:rPr>
          <w:spacing w:val="7"/>
        </w:rPr>
        <w:t>村局、商务投资局、文化旅游广电局、卫生健</w:t>
      </w:r>
      <w:r>
        <w:rPr>
          <w:spacing w:val="7"/>
        </w:rPr>
        <w:t>康委、应急管理局、市场监管局、国资委（金</w:t>
      </w:r>
      <w:r>
        <w:rPr>
          <w:spacing w:val="10"/>
        </w:rPr>
        <w:t>融局）、统计局、城市管理局、粮食储备局、</w:t>
      </w:r>
      <w:r>
        <w:rPr>
          <w:spacing w:val="7"/>
        </w:rPr>
        <w:t>人防办、开发区管委会、六盘山林业局、地震</w:t>
      </w:r>
      <w:r>
        <w:rPr>
          <w:spacing w:val="7"/>
        </w:rPr>
        <w:t>局、气象局、市消防救援支队，市应急管理指</w:t>
      </w:r>
      <w:r>
        <w:rPr>
          <w:spacing w:val="18"/>
        </w:rPr>
        <w:t>挥部根据事故救援工作需要确定的非政府职</w:t>
      </w:r>
      <w:r>
        <w:rPr>
          <w:spacing w:val="6"/>
        </w:rPr>
        <w:t>能部门，各县（</w:t>
      </w:r>
      <w:r>
        <w:rPr>
          <w:spacing w:val="-43"/>
        </w:rPr>
        <w:t xml:space="preserve"> </w:t>
      </w:r>
      <w:r>
        <w:rPr>
          <w:spacing w:val="6"/>
        </w:rPr>
        <w:t>区）人民政府负责同志。</w:t>
      </w:r>
    </w:p>
    <w:p>
      <w:pPr>
        <w:pStyle w:val="BodyText"/>
        <w:ind w:left="2" w:right="50" w:firstLine="419"/>
        <w:spacing w:before="2" w:line="276" w:lineRule="auto"/>
        <w:rPr/>
      </w:pPr>
      <w:r>
        <w:rPr>
          <w:rFonts w:ascii="Times New Roman" w:hAnsi="Times New Roman" w:eastAsia="Times New Roman" w:cs="Times New Roman"/>
          <w:spacing w:val="6"/>
        </w:rPr>
        <w:t>2.1.2 </w:t>
      </w:r>
      <w:r>
        <w:rPr>
          <w:spacing w:val="6"/>
        </w:rPr>
        <w:t>主要职责。在市委市政府的领导下，</w:t>
      </w:r>
      <w:r>
        <w:rPr>
          <w:spacing w:val="9"/>
        </w:rPr>
        <w:t>安排部署市生产安全事故的预防和处置工作；</w:t>
      </w:r>
    </w:p>
    <w:p>
      <w:pPr>
        <w:spacing w:line="276" w:lineRule="auto"/>
        <w:sectPr>
          <w:type w:val="continuous"/>
          <w:pgSz w:w="11906" w:h="16839"/>
          <w:pgMar w:top="1766" w:right="1478" w:bottom="1563" w:left="1576" w:header="1428" w:footer="1172" w:gutter="0"/>
          <w:cols w:equalWidth="0" w:num="2">
            <w:col w:w="4492" w:space="100"/>
            <w:col w:w="4260" w:space="0"/>
          </w:cols>
        </w:sectPr>
        <w:rPr/>
      </w:pPr>
    </w:p>
    <w:p>
      <w:pPr>
        <w:spacing w:before="45"/>
        <w:rPr/>
      </w:pPr>
      <w:r>
        <w:drawing>
          <wp:anchor distT="0" distB="0" distL="0" distR="0" simplePos="0" relativeHeight="252098560" behindDoc="0" locked="0" layoutInCell="0" allowOverlap="1">
            <wp:simplePos x="0" y="0"/>
            <wp:positionH relativeFrom="page">
              <wp:posOffset>1008380</wp:posOffset>
            </wp:positionH>
            <wp:positionV relativeFrom="page">
              <wp:posOffset>1122680</wp:posOffset>
            </wp:positionV>
            <wp:extent cx="5579745" cy="7619"/>
            <wp:effectExtent l="0" t="0" r="0" b="0"/>
            <wp:wrapNone/>
            <wp:docPr id="1226" name="IM 1226"/>
            <wp:cNvGraphicFramePr/>
            <a:graphic>
              <a:graphicData uri="http://schemas.openxmlformats.org/drawingml/2006/picture">
                <pic:pic>
                  <pic:nvPicPr>
                    <pic:cNvPr id="1226" name="IM 1226"/>
                    <pic:cNvPicPr/>
                  </pic:nvPicPr>
                  <pic:blipFill>
                    <a:blip r:embed="rId615"/>
                    <a:stretch>
                      <a:fillRect/>
                    </a:stretch>
                  </pic:blipFill>
                  <pic:spPr>
                    <a:xfrm rot="0">
                      <a:off x="0" y="0"/>
                      <a:ext cx="5579745" cy="7619"/>
                    </a:xfrm>
                    <a:prstGeom prst="rect">
                      <a:avLst/>
                    </a:prstGeom>
                  </pic:spPr>
                </pic:pic>
              </a:graphicData>
            </a:graphic>
          </wp:anchor>
        </w:drawing>
      </w:r>
      <w:r/>
    </w:p>
    <w:p>
      <w:pPr>
        <w:sectPr>
          <w:headerReference w:type="default" r:id="rId613"/>
          <w:footerReference w:type="default" r:id="rId614"/>
          <w:pgSz w:w="11906" w:h="16839"/>
          <w:pgMar w:top="1769" w:right="1477" w:bottom="1570" w:left="1588" w:header="1428" w:footer="1172" w:gutter="0"/>
          <w:cols w:equalWidth="0" w:num="1">
            <w:col w:w="8841" w:space="0"/>
          </w:cols>
        </w:sectPr>
        <w:rPr/>
      </w:pPr>
    </w:p>
    <w:p>
      <w:pPr>
        <w:pStyle w:val="BodyText"/>
        <w:ind w:left="4" w:right="264" w:firstLine="2"/>
        <w:spacing w:before="45" w:line="331" w:lineRule="auto"/>
        <w:jc w:val="both"/>
        <w:rPr/>
      </w:pPr>
      <w:r>
        <w:rPr>
          <w:spacing w:val="10"/>
        </w:rPr>
        <w:t>在预测将要发生和已经发生生产安全事故时，</w:t>
      </w:r>
      <w:r>
        <w:rPr>
          <w:spacing w:val="7"/>
        </w:rPr>
        <w:t>迅速启动相应应急预案，组织、指挥应急处置</w:t>
      </w:r>
      <w:r>
        <w:rPr>
          <w:spacing w:val="7"/>
        </w:rPr>
        <w:t>工作；在处置生产安全事故过程中，积极协调</w:t>
      </w:r>
      <w:r>
        <w:rPr>
          <w:spacing w:val="7"/>
        </w:rPr>
        <w:t>与其他部门的关系，当生产安全事故超过处置</w:t>
      </w:r>
      <w:r>
        <w:rPr/>
        <w:t>权限和能力时，及时向自治区党委、政府报告，</w:t>
      </w:r>
      <w:r>
        <w:rPr>
          <w:spacing w:val="7"/>
        </w:rPr>
        <w:t>由自治区党委、政府统一领导和指挥市专项应</w:t>
      </w:r>
      <w:r>
        <w:rPr>
          <w:spacing w:val="5"/>
        </w:rPr>
        <w:t>急指挥部和有关县（</w:t>
      </w:r>
      <w:r>
        <w:rPr>
          <w:spacing w:val="-53"/>
        </w:rPr>
        <w:t xml:space="preserve"> </w:t>
      </w:r>
      <w:r>
        <w:rPr>
          <w:spacing w:val="5"/>
        </w:rPr>
        <w:t>区）、部门（单位）开展</w:t>
      </w:r>
      <w:r>
        <w:rPr>
          <w:spacing w:val="7"/>
        </w:rPr>
        <w:t>应急处置工作。</w:t>
      </w:r>
    </w:p>
    <w:p>
      <w:pPr>
        <w:pStyle w:val="BodyText"/>
        <w:ind w:left="3" w:right="321" w:firstLine="421"/>
        <w:spacing w:before="1" w:line="332" w:lineRule="auto"/>
        <w:jc w:val="both"/>
        <w:rPr/>
      </w:pPr>
      <w:r>
        <w:rPr>
          <w:rFonts w:ascii="Times New Roman" w:hAnsi="Times New Roman" w:eastAsia="Times New Roman" w:cs="Times New Roman"/>
          <w:spacing w:val="8"/>
        </w:rPr>
        <w:t>2.2  </w:t>
      </w:r>
      <w:r>
        <w:rPr>
          <w:rFonts w:ascii="KaiTi" w:hAnsi="KaiTi" w:eastAsia="KaiTi" w:cs="KaiTi"/>
          <w:spacing w:val="8"/>
        </w:rPr>
        <w:t>事故现场工作（督导）组职责。</w:t>
      </w:r>
      <w:r>
        <w:rPr>
          <w:spacing w:val="8"/>
        </w:rPr>
        <w:t>按事</w:t>
      </w:r>
      <w:r>
        <w:rPr>
          <w:spacing w:val="4"/>
        </w:rPr>
        <w:t>故灾难等级和分级响应原则，由市县（</w:t>
      </w:r>
      <w:r>
        <w:rPr>
          <w:spacing w:val="-34"/>
        </w:rPr>
        <w:t xml:space="preserve"> </w:t>
      </w:r>
      <w:r>
        <w:rPr>
          <w:spacing w:val="4"/>
        </w:rPr>
        <w:t>区）政</w:t>
      </w:r>
      <w:r>
        <w:rPr>
          <w:spacing w:val="7"/>
        </w:rPr>
        <w:t>府组成现场应急救援指挥部，总指挥由市政府</w:t>
      </w:r>
      <w:r>
        <w:rPr>
          <w:spacing w:val="7"/>
        </w:rPr>
        <w:t>分管安全生产的副市长担任，副总指挥由分管</w:t>
      </w:r>
      <w:r>
        <w:rPr>
          <w:spacing w:val="5"/>
        </w:rPr>
        <w:t>副市长、事发地县（</w:t>
      </w:r>
      <w:r>
        <w:rPr>
          <w:spacing w:val="-47"/>
        </w:rPr>
        <w:t xml:space="preserve"> </w:t>
      </w:r>
      <w:r>
        <w:rPr>
          <w:spacing w:val="5"/>
        </w:rPr>
        <w:t>区）政府主要领导担任，</w:t>
      </w:r>
      <w:r>
        <w:rPr>
          <w:spacing w:val="7"/>
        </w:rPr>
        <w:t>全面负责应急救援指挥工作。按照有关规定，</w:t>
      </w:r>
      <w:r>
        <w:rPr>
          <w:spacing w:val="18"/>
        </w:rPr>
        <w:t>由熟悉事故现场情况的有关领导具体负责现</w:t>
      </w:r>
      <w:r>
        <w:rPr>
          <w:spacing w:val="7"/>
        </w:rPr>
        <w:t>场救援指挥。现场应急救援指挥部负责指挥所</w:t>
      </w:r>
      <w:r>
        <w:rPr>
          <w:spacing w:val="7"/>
        </w:rPr>
        <w:t>有参与应急救援的队伍和人员实施应急救援，</w:t>
      </w:r>
      <w:r>
        <w:rPr>
          <w:spacing w:val="18"/>
        </w:rPr>
        <w:t>并及时向市应急管理指挥部办公室报告事故</w:t>
      </w:r>
      <w:r>
        <w:rPr>
          <w:spacing w:val="7"/>
        </w:rPr>
        <w:t>及救援情况，需要外部力量增援的，报请市应</w:t>
      </w:r>
      <w:r>
        <w:rPr>
          <w:spacing w:val="7"/>
        </w:rPr>
        <w:t>急管理指挥部办公室协调，并说明需要的救援</w:t>
      </w:r>
      <w:r>
        <w:rPr>
          <w:spacing w:val="8"/>
        </w:rPr>
        <w:t>力量、救援装备等情况。</w:t>
      </w:r>
    </w:p>
    <w:p>
      <w:pPr>
        <w:pStyle w:val="BodyText"/>
        <w:ind w:left="4" w:right="328" w:firstLine="436"/>
        <w:spacing w:before="8" w:line="332" w:lineRule="auto"/>
        <w:jc w:val="both"/>
        <w:rPr/>
      </w:pPr>
      <w:r>
        <w:rPr>
          <w:spacing w:val="6"/>
        </w:rPr>
        <w:t>当事故灾难涉及多个领域、跨多个地区或</w:t>
      </w:r>
      <w:r>
        <w:rPr>
          <w:spacing w:val="7"/>
        </w:rPr>
        <w:t>影响特别重大时，成立事故现场工作组，负责</w:t>
      </w:r>
      <w:r>
        <w:rPr>
          <w:spacing w:val="7"/>
        </w:rPr>
        <w:t>应急救援协调指挥工作。事故现场工作组是按</w:t>
      </w:r>
      <w:r>
        <w:rPr>
          <w:spacing w:val="7"/>
        </w:rPr>
        <w:t>照市应急管理指挥部办公室要求，成立并派往</w:t>
      </w:r>
      <w:r>
        <w:rPr>
          <w:spacing w:val="7"/>
        </w:rPr>
        <w:t>事发现场的临时工作机构。组长由市政府分管</w:t>
      </w:r>
      <w:r>
        <w:rPr>
          <w:spacing w:val="7"/>
        </w:rPr>
        <w:t>应急管理工作的副市长担任，由市应急管理指</w:t>
      </w:r>
      <w:r>
        <w:rPr>
          <w:spacing w:val="18"/>
        </w:rPr>
        <w:t>挥部办公室应急处置工作组主要成员单位人</w:t>
      </w:r>
      <w:r>
        <w:rPr>
          <w:spacing w:val="8"/>
        </w:rPr>
        <w:t>员组成。主要职责是：</w:t>
      </w:r>
    </w:p>
    <w:p>
      <w:pPr>
        <w:pStyle w:val="BodyText"/>
        <w:ind w:left="4" w:right="331" w:firstLine="412"/>
        <w:spacing w:before="1" w:line="277" w:lineRule="auto"/>
        <w:rPr/>
      </w:pPr>
      <w:r>
        <w:rPr>
          <w:spacing w:val="5"/>
        </w:rPr>
        <w:t>（</w:t>
      </w:r>
      <w:r>
        <w:rPr>
          <w:spacing w:val="-44"/>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）指导事发地县（</w:t>
      </w:r>
      <w:r>
        <w:rPr>
          <w:spacing w:val="-48"/>
        </w:rPr>
        <w:t xml:space="preserve"> </w:t>
      </w:r>
      <w:r>
        <w:rPr>
          <w:spacing w:val="5"/>
        </w:rPr>
        <w:t>区）政府开展救援</w:t>
      </w:r>
      <w:r>
        <w:rPr>
          <w:spacing w:val="4"/>
        </w:rPr>
        <w:t>行动。</w:t>
      </w:r>
    </w:p>
    <w:p>
      <w:pPr>
        <w:pStyle w:val="BodyText"/>
        <w:ind w:left="4" w:right="328" w:firstLine="411"/>
        <w:spacing w:before="119" w:line="296" w:lineRule="auto"/>
        <w:rPr/>
      </w:pPr>
      <w:r>
        <w:rPr>
          <w:spacing w:val="6"/>
        </w:rPr>
        <w:t>（</w:t>
      </w:r>
      <w:r>
        <w:rPr>
          <w:rFonts w:ascii="Times New Roman" w:hAnsi="Times New Roman" w:eastAsia="Times New Roman" w:cs="Times New Roman"/>
          <w:spacing w:val="6"/>
        </w:rPr>
        <w:t>2 </w:t>
      </w:r>
      <w:r>
        <w:rPr>
          <w:spacing w:val="6"/>
        </w:rPr>
        <w:t>）当事发地县（</w:t>
      </w:r>
      <w:r>
        <w:rPr>
          <w:spacing w:val="-34"/>
        </w:rPr>
        <w:t xml:space="preserve"> </w:t>
      </w:r>
      <w:r>
        <w:rPr>
          <w:spacing w:val="6"/>
        </w:rPr>
        <w:t>区）应急救援力量不</w:t>
      </w:r>
      <w:r>
        <w:rPr>
          <w:spacing w:val="7"/>
        </w:rPr>
        <w:t>足时，调派市级救援队伍、人员和专家赴现场</w:t>
      </w:r>
      <w:r>
        <w:rPr>
          <w:spacing w:val="7"/>
        </w:rPr>
        <w:t>进行救援工作。</w:t>
      </w:r>
    </w:p>
    <w:p>
      <w:pPr>
        <w:pStyle w:val="BodyText"/>
        <w:ind w:left="8" w:right="328" w:firstLine="408"/>
        <w:spacing w:before="117" w:line="277"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）协调其他有关部门、救援机构和专</w:t>
      </w:r>
      <w:r>
        <w:rPr>
          <w:spacing w:val="7"/>
        </w:rPr>
        <w:t>家，做好应急救援准备工作。根据事故类别和</w:t>
      </w:r>
    </w:p>
    <w:p>
      <w:pPr>
        <w:spacing w:line="14" w:lineRule="auto"/>
        <w:rPr>
          <w:rFonts w:ascii="Arial"/>
          <w:sz w:val="2"/>
        </w:rPr>
      </w:pPr>
      <w:r>
        <w:rPr>
          <w:rFonts w:ascii="Arial" w:hAnsi="Arial" w:eastAsia="Arial" w:cs="Arial"/>
          <w:sz w:val="2"/>
          <w:szCs w:val="2"/>
        </w:rPr>
        <w:br w:type="column"/>
      </w:r>
    </w:p>
    <w:p>
      <w:pPr>
        <w:pStyle w:val="BodyText"/>
        <w:ind w:left="23" w:right="112" w:hanging="21"/>
        <w:spacing w:before="38" w:line="331" w:lineRule="auto"/>
        <w:rPr/>
      </w:pPr>
      <w:r>
        <w:rPr>
          <w:spacing w:val="7"/>
        </w:rPr>
        <w:t>救援情况，调集抢险救援物资，必要时，协调</w:t>
      </w:r>
      <w:r>
        <w:rPr>
          <w:spacing w:val="7"/>
        </w:rPr>
        <w:t>固原军分区和武警固原支队给予支持。</w:t>
      </w:r>
    </w:p>
    <w:p>
      <w:pPr>
        <w:pStyle w:val="BodyText"/>
        <w:ind w:right="112" w:firstLine="421"/>
        <w:spacing w:before="4" w:line="332" w:lineRule="auto"/>
        <w:jc w:val="both"/>
        <w:rPr/>
      </w:pPr>
      <w:r>
        <w:rPr>
          <w:rFonts w:ascii="Times New Roman" w:hAnsi="Times New Roman" w:eastAsia="Times New Roman" w:cs="Times New Roman"/>
          <w:spacing w:val="8"/>
        </w:rPr>
        <w:t>2.3  </w:t>
      </w:r>
      <w:r>
        <w:rPr>
          <w:rFonts w:ascii="KaiTi" w:hAnsi="KaiTi" w:eastAsia="KaiTi" w:cs="KaiTi"/>
          <w:spacing w:val="8"/>
        </w:rPr>
        <w:t>应急救援办公室。</w:t>
      </w:r>
      <w:r>
        <w:rPr>
          <w:spacing w:val="8"/>
        </w:rPr>
        <w:t>市应急管理指挥部</w:t>
      </w:r>
      <w:r>
        <w:rPr>
          <w:spacing w:val="7"/>
        </w:rPr>
        <w:t>办公室设在市应急管理局，市应急管理局局长</w:t>
      </w:r>
      <w:r>
        <w:rPr>
          <w:spacing w:val="39"/>
        </w:rPr>
        <w:t>兼任办公室主任</w:t>
      </w:r>
      <w:r>
        <w:rPr>
          <w:spacing w:val="-17"/>
        </w:rPr>
        <w:t xml:space="preserve"> </w:t>
      </w:r>
      <w:r>
        <w:rPr>
          <w:spacing w:val="39"/>
        </w:rPr>
        <w:t>，办公室常设值班电话</w:t>
      </w:r>
      <w:r>
        <w:rPr>
          <w:rFonts w:ascii="Times New Roman" w:hAnsi="Times New Roman" w:eastAsia="Times New Roman" w:cs="Times New Roman"/>
          <w:spacing w:val="4"/>
        </w:rPr>
        <w:t>0954-2088154</w:t>
      </w:r>
      <w:r>
        <w:rPr>
          <w:spacing w:val="4"/>
        </w:rPr>
        <w:t>。</w:t>
      </w:r>
    </w:p>
    <w:p>
      <w:pPr>
        <w:pStyle w:val="BodyText"/>
        <w:ind w:right="112" w:firstLine="430"/>
        <w:spacing w:line="332" w:lineRule="auto"/>
        <w:rPr/>
      </w:pPr>
      <w:r>
        <w:rPr>
          <w:spacing w:val="6"/>
        </w:rPr>
        <w:t>主要职责：履行应急值班值守、信息汇总</w:t>
      </w:r>
      <w:r>
        <w:rPr>
          <w:spacing w:val="8"/>
        </w:rPr>
        <w:t>和综合协调；负责接收和办理向市委市政府</w:t>
      </w:r>
      <w:r>
        <w:rPr>
          <w:spacing w:val="7"/>
        </w:rPr>
        <w:t>报送的紧急或重要事项；承办市应急管理专题</w:t>
      </w:r>
      <w:r>
        <w:rPr>
          <w:spacing w:val="8"/>
        </w:rPr>
        <w:t>会议，督促落实市委市政府有关决定事项和</w:t>
      </w:r>
      <w:r>
        <w:rPr>
          <w:spacing w:val="7"/>
        </w:rPr>
        <w:t>领导的批示、指示精神；指导全市生产安全事</w:t>
      </w:r>
      <w:r>
        <w:rPr>
          <w:spacing w:val="7"/>
        </w:rPr>
        <w:t>故应急信息平台建设；组织编制、修订市生产</w:t>
      </w:r>
      <w:r>
        <w:rPr>
          <w:spacing w:val="7"/>
        </w:rPr>
        <w:t>安全事故综合预案、专项预案及部门预案，指</w:t>
      </w:r>
      <w:r>
        <w:rPr>
          <w:spacing w:val="8"/>
        </w:rPr>
        <w:t>导应急预案体系建设；协调特别重大、重大</w:t>
      </w:r>
      <w:r>
        <w:rPr/>
        <w:t xml:space="preserve">   </w:t>
      </w:r>
      <w:r>
        <w:rPr>
          <w:spacing w:val="6"/>
        </w:rPr>
        <w:t>、较大生产安全事故的预防预警、应急演练、</w:t>
      </w:r>
      <w:r>
        <w:rPr>
          <w:spacing w:val="7"/>
        </w:rPr>
        <w:t>应急处置、调查评估、信息发布、应急保障和</w:t>
      </w:r>
      <w:r>
        <w:rPr>
          <w:spacing w:val="8"/>
        </w:rPr>
        <w:t>宣传培训等工作。</w:t>
      </w:r>
    </w:p>
    <w:p>
      <w:pPr>
        <w:pStyle w:val="BodyText"/>
        <w:ind w:left="3" w:right="112" w:firstLine="419"/>
        <w:spacing w:before="3" w:line="331" w:lineRule="auto"/>
        <w:jc w:val="both"/>
        <w:rPr/>
      </w:pPr>
      <w:r>
        <w:rPr>
          <w:rFonts w:ascii="Times New Roman" w:hAnsi="Times New Roman" w:eastAsia="Times New Roman" w:cs="Times New Roman"/>
          <w:spacing w:val="8"/>
        </w:rPr>
        <w:t>2.4  </w:t>
      </w:r>
      <w:r>
        <w:rPr>
          <w:rFonts w:ascii="KaiTi" w:hAnsi="KaiTi" w:eastAsia="KaiTi" w:cs="KaiTi"/>
          <w:spacing w:val="8"/>
        </w:rPr>
        <w:t>应急处置工作组。</w:t>
      </w:r>
      <w:r>
        <w:rPr>
          <w:spacing w:val="8"/>
        </w:rPr>
        <w:t>根据不同生产安全</w:t>
      </w:r>
      <w:r>
        <w:rPr>
          <w:spacing w:val="7"/>
        </w:rPr>
        <w:t>事故处置环节的要求，市应急管理指挥部办公</w:t>
      </w:r>
      <w:r>
        <w:rPr>
          <w:spacing w:val="10"/>
        </w:rPr>
        <w:t>室下设</w:t>
      </w:r>
      <w:r>
        <w:rPr>
          <w:spacing w:val="-17"/>
        </w:rPr>
        <w:t xml:space="preserve"> </w:t>
      </w:r>
      <w:r>
        <w:rPr>
          <w:rFonts w:ascii="Times New Roman" w:hAnsi="Times New Roman" w:eastAsia="Times New Roman" w:cs="Times New Roman"/>
          <w:spacing w:val="10"/>
        </w:rPr>
        <w:t>10 </w:t>
      </w:r>
      <w:r>
        <w:rPr>
          <w:spacing w:val="10"/>
        </w:rPr>
        <w:t>个工作组，具体负责事故现场处置</w:t>
      </w:r>
      <w:r>
        <w:rPr>
          <w:spacing w:val="7"/>
        </w:rPr>
        <w:t>和相关工作。</w:t>
      </w:r>
    </w:p>
    <w:p>
      <w:pPr>
        <w:pStyle w:val="BodyText"/>
        <w:ind w:left="422"/>
        <w:spacing w:before="7" w:line="219" w:lineRule="auto"/>
        <w:rPr/>
      </w:pPr>
      <w:r>
        <w:rPr>
          <w:rFonts w:ascii="Times New Roman" w:hAnsi="Times New Roman" w:eastAsia="Times New Roman" w:cs="Times New Roman"/>
          <w:spacing w:val="5"/>
        </w:rPr>
        <w:t>2.4.1 </w:t>
      </w:r>
      <w:r>
        <w:rPr>
          <w:spacing w:val="5"/>
        </w:rPr>
        <w:t>抢险救援组。</w:t>
      </w:r>
    </w:p>
    <w:p>
      <w:pPr>
        <w:pStyle w:val="BodyText"/>
        <w:ind w:left="1" w:firstLine="420"/>
        <w:spacing w:before="117" w:line="332" w:lineRule="auto"/>
        <w:rPr/>
      </w:pPr>
      <w:r>
        <w:rPr>
          <w:spacing w:val="4"/>
        </w:rPr>
        <w:t>组长单位：事故发生地县（</w:t>
      </w:r>
      <w:r>
        <w:rPr>
          <w:spacing w:val="-48"/>
        </w:rPr>
        <w:t xml:space="preserve"> </w:t>
      </w:r>
      <w:r>
        <w:rPr>
          <w:spacing w:val="4"/>
        </w:rPr>
        <w:t>区）政府、市</w:t>
      </w:r>
      <w:r>
        <w:rPr>
          <w:spacing w:val="18"/>
        </w:rPr>
        <w:t>应急管理局（烟花爆竹经营企业生产安全事</w:t>
      </w:r>
      <w:r>
        <w:rPr>
          <w:spacing w:val="-8"/>
        </w:rPr>
        <w:t>故）、市自然资源局（非煤矿山生产安全事故）、</w:t>
      </w:r>
      <w:r>
        <w:rPr>
          <w:spacing w:val="7"/>
        </w:rPr>
        <w:t>市消防救援支队（危险化学品、工贸企业生产</w:t>
      </w:r>
      <w:r>
        <w:rPr>
          <w:spacing w:val="-7"/>
        </w:rPr>
        <w:t>安全事故）、事故煤矿公司（煤矿生产安全事故）</w:t>
      </w:r>
    </w:p>
    <w:p>
      <w:pPr>
        <w:pStyle w:val="BodyText"/>
        <w:ind w:left="1" w:right="31" w:firstLine="420"/>
        <w:spacing w:before="1" w:line="332" w:lineRule="auto"/>
        <w:rPr/>
      </w:pPr>
      <w:r>
        <w:rPr/>
        <w:t>成员单位：市消防救援支队、自然资源局、</w:t>
      </w:r>
      <w:r>
        <w:rPr>
          <w:spacing w:val="7"/>
        </w:rPr>
        <w:t>水务局、市应急管理局、生态环境局，市应急</w:t>
      </w:r>
      <w:r>
        <w:rPr>
          <w:spacing w:val="18"/>
        </w:rPr>
        <w:t>管理指挥部根据事故救援工作需要确定的非</w:t>
      </w:r>
      <w:r>
        <w:rPr>
          <w:spacing w:val="8"/>
        </w:rPr>
        <w:t>政府职能部门以及事故企业。</w:t>
      </w:r>
    </w:p>
    <w:p>
      <w:pPr>
        <w:pStyle w:val="BodyText"/>
        <w:ind w:left="2" w:right="89" w:firstLine="428"/>
        <w:spacing w:before="3" w:line="334" w:lineRule="auto"/>
        <w:jc w:val="both"/>
        <w:rPr/>
      </w:pPr>
      <w:r>
        <w:rPr>
          <w:spacing w:val="6"/>
        </w:rPr>
        <w:t>主要职责：负责组织、指挥生产安全事故</w:t>
      </w:r>
      <w:r>
        <w:rPr>
          <w:spacing w:val="8"/>
        </w:rPr>
        <w:t>的抢险救援工作，组织调动驻固部队、消防、</w:t>
      </w:r>
      <w:r>
        <w:rPr>
          <w:spacing w:val="9"/>
        </w:rPr>
        <w:t>企业专（兼）职应急救援力量开展救援。</w:t>
      </w:r>
    </w:p>
    <w:p>
      <w:pPr>
        <w:pStyle w:val="BodyText"/>
        <w:ind w:left="422"/>
        <w:spacing w:before="1" w:line="220" w:lineRule="auto"/>
        <w:rPr/>
      </w:pPr>
      <w:r>
        <w:rPr>
          <w:rFonts w:ascii="Times New Roman" w:hAnsi="Times New Roman" w:eastAsia="Times New Roman" w:cs="Times New Roman"/>
          <w:spacing w:val="5"/>
        </w:rPr>
        <w:t>2.4.2 </w:t>
      </w:r>
      <w:r>
        <w:rPr>
          <w:spacing w:val="5"/>
        </w:rPr>
        <w:t>交通治安组。</w:t>
      </w:r>
    </w:p>
    <w:p>
      <w:pPr>
        <w:pStyle w:val="BodyText"/>
        <w:ind w:left="422"/>
        <w:spacing w:before="116" w:line="221" w:lineRule="auto"/>
        <w:rPr/>
      </w:pPr>
      <w:r>
        <w:rPr>
          <w:spacing w:val="9"/>
        </w:rPr>
        <w:t>组长单位：市公安局</w:t>
      </w:r>
    </w:p>
    <w:p>
      <w:pPr>
        <w:spacing w:line="221" w:lineRule="auto"/>
        <w:sectPr>
          <w:type w:val="continuous"/>
          <w:pgSz w:w="11906" w:h="16839"/>
          <w:pgMar w:top="1769" w:right="1477" w:bottom="1570" w:left="1588" w:header="1428" w:footer="1172" w:gutter="0"/>
          <w:cols w:equalWidth="0" w:num="2">
            <w:col w:w="4480" w:space="100"/>
            <w:col w:w="4261" w:space="0"/>
          </w:cols>
        </w:sectPr>
        <w:rPr/>
      </w:pPr>
    </w:p>
    <w:p>
      <w:pPr>
        <w:spacing w:before="36"/>
        <w:rPr/>
      </w:pPr>
      <w:r>
        <w:drawing>
          <wp:anchor distT="0" distB="0" distL="0" distR="0" simplePos="0" relativeHeight="252100608"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230" name="IM 1230"/>
            <wp:cNvGraphicFramePr/>
            <a:graphic>
              <a:graphicData uri="http://schemas.openxmlformats.org/drawingml/2006/picture">
                <pic:pic>
                  <pic:nvPicPr>
                    <pic:cNvPr id="1230" name="IM 1230"/>
                    <pic:cNvPicPr/>
                  </pic:nvPicPr>
                  <pic:blipFill>
                    <a:blip r:embed="rId617"/>
                    <a:stretch>
                      <a:fillRect/>
                    </a:stretch>
                  </pic:blipFill>
                  <pic:spPr>
                    <a:xfrm rot="0">
                      <a:off x="0" y="0"/>
                      <a:ext cx="5579745" cy="7620"/>
                    </a:xfrm>
                    <a:prstGeom prst="rect">
                      <a:avLst/>
                    </a:prstGeom>
                  </pic:spPr>
                </pic:pic>
              </a:graphicData>
            </a:graphic>
          </wp:anchor>
        </w:drawing>
      </w:r>
      <w:r/>
    </w:p>
    <w:p>
      <w:pPr>
        <w:sectPr>
          <w:headerReference w:type="default" r:id="rId561"/>
          <w:footerReference w:type="default" r:id="rId616"/>
          <w:pgSz w:w="11906" w:h="16839"/>
          <w:pgMar w:top="1766" w:right="1480" w:bottom="1563" w:left="1579" w:header="1428" w:footer="1172" w:gutter="0"/>
          <w:cols w:equalWidth="0" w:num="1">
            <w:col w:w="8846" w:space="0"/>
          </w:cols>
        </w:sectPr>
        <w:rPr/>
      </w:pPr>
    </w:p>
    <w:p>
      <w:pPr>
        <w:pStyle w:val="BodyText"/>
        <w:ind w:left="12" w:right="217" w:firstLine="420"/>
        <w:spacing w:before="49" w:line="320" w:lineRule="auto"/>
        <w:jc w:val="both"/>
        <w:rPr/>
      </w:pPr>
      <w:r>
        <w:rPr>
          <w:spacing w:val="-9"/>
        </w:rPr>
        <w:t>成员单位：市县（区）公安局、交警支（大）</w:t>
      </w:r>
      <w:r>
        <w:rPr>
          <w:spacing w:val="4"/>
        </w:rPr>
        <w:t>队、交通运输局和事故发生地县（</w:t>
      </w:r>
      <w:r>
        <w:rPr>
          <w:spacing w:val="-35"/>
        </w:rPr>
        <w:t xml:space="preserve"> </w:t>
      </w:r>
      <w:r>
        <w:rPr>
          <w:spacing w:val="4"/>
        </w:rPr>
        <w:t>区）政府及</w:t>
      </w:r>
      <w:r>
        <w:rPr>
          <w:spacing w:val="7"/>
        </w:rPr>
        <w:t>其相关部门。</w:t>
      </w:r>
    </w:p>
    <w:p>
      <w:pPr>
        <w:pStyle w:val="BodyText"/>
        <w:ind w:left="10" w:right="329" w:firstLine="430"/>
        <w:spacing w:before="36" w:line="332" w:lineRule="auto"/>
        <w:jc w:val="both"/>
        <w:rPr/>
      </w:pPr>
      <w:r>
        <w:rPr>
          <w:spacing w:val="6"/>
        </w:rPr>
        <w:t>主要职责：负责保护事故现场，设立警界</w:t>
      </w:r>
      <w:r>
        <w:rPr>
          <w:spacing w:val="7"/>
        </w:rPr>
        <w:t>区域，维护现场秩序，防止事态扩大；负责危</w:t>
      </w:r>
      <w:r>
        <w:rPr>
          <w:spacing w:val="7"/>
        </w:rPr>
        <w:t>险区域内人员疏散和临时安置工作；指挥、调</w:t>
      </w:r>
      <w:r>
        <w:rPr>
          <w:spacing w:val="7"/>
        </w:rPr>
        <w:t>度撤出危害区的人员；及时疏散交通阻塞，管</w:t>
      </w:r>
      <w:r>
        <w:rPr>
          <w:spacing w:val="7"/>
        </w:rPr>
        <w:t>控交通秩序，使车辆顺利地通过通道；维护社</w:t>
      </w:r>
      <w:r>
        <w:rPr>
          <w:spacing w:val="6"/>
        </w:rPr>
        <w:t>会治安。</w:t>
      </w:r>
    </w:p>
    <w:p>
      <w:pPr>
        <w:pStyle w:val="BodyText"/>
        <w:ind w:left="433"/>
        <w:spacing w:before="6" w:line="223" w:lineRule="auto"/>
        <w:rPr/>
      </w:pPr>
      <w:r>
        <w:rPr>
          <w:rFonts w:ascii="Times New Roman" w:hAnsi="Times New Roman" w:eastAsia="Times New Roman" w:cs="Times New Roman"/>
          <w:spacing w:val="5"/>
        </w:rPr>
        <w:t>2.4.3 </w:t>
      </w:r>
      <w:r>
        <w:rPr>
          <w:spacing w:val="5"/>
        </w:rPr>
        <w:t>通信保障组。</w:t>
      </w:r>
    </w:p>
    <w:p>
      <w:pPr>
        <w:pStyle w:val="BodyText"/>
        <w:ind w:left="433"/>
        <w:spacing w:before="116" w:line="278" w:lineRule="exact"/>
        <w:rPr/>
      </w:pPr>
      <w:r>
        <w:rPr>
          <w:spacing w:val="9"/>
          <w:position w:val="1"/>
        </w:rPr>
        <w:t>组长单位：市工业和信息化局</w:t>
      </w:r>
    </w:p>
    <w:p>
      <w:pPr>
        <w:pStyle w:val="BodyText"/>
        <w:ind w:left="12" w:right="329" w:firstLine="420"/>
        <w:spacing w:before="83" w:line="316" w:lineRule="auto"/>
        <w:rPr/>
      </w:pPr>
      <w:r>
        <w:rPr>
          <w:spacing w:val="4"/>
        </w:rPr>
        <w:t>成员单位：市县（</w:t>
      </w:r>
      <w:r>
        <w:rPr>
          <w:spacing w:val="-48"/>
        </w:rPr>
        <w:t xml:space="preserve"> </w:t>
      </w:r>
      <w:r>
        <w:rPr>
          <w:spacing w:val="4"/>
        </w:rPr>
        <w:t>区）工业和信息化局及</w:t>
      </w:r>
      <w:r>
        <w:rPr>
          <w:spacing w:val="8"/>
        </w:rPr>
        <w:t>其相关通信部门。</w:t>
      </w:r>
    </w:p>
    <w:p>
      <w:pPr>
        <w:pStyle w:val="BodyText"/>
        <w:ind w:left="420"/>
        <w:spacing w:before="34" w:line="278" w:lineRule="exact"/>
        <w:rPr/>
      </w:pPr>
      <w:r>
        <w:rPr>
          <w:spacing w:val="-1"/>
          <w:position w:val="1"/>
        </w:rPr>
        <w:t>主要职责：负责事故应急通信保障和服务。</w:t>
      </w:r>
    </w:p>
    <w:p>
      <w:pPr>
        <w:pStyle w:val="BodyText"/>
        <w:ind w:left="433"/>
        <w:spacing w:before="87" w:line="220" w:lineRule="auto"/>
        <w:rPr/>
      </w:pPr>
      <w:r>
        <w:rPr>
          <w:rFonts w:ascii="Times New Roman" w:hAnsi="Times New Roman" w:eastAsia="Times New Roman" w:cs="Times New Roman"/>
          <w:spacing w:val="4"/>
        </w:rPr>
        <w:t>2.4.4</w:t>
      </w:r>
      <w:r>
        <w:rPr>
          <w:rFonts w:ascii="Times New Roman" w:hAnsi="Times New Roman" w:eastAsia="Times New Roman" w:cs="Times New Roman"/>
          <w:spacing w:val="19"/>
          <w:w w:val="101"/>
        </w:rPr>
        <w:t xml:space="preserve"> </w:t>
      </w:r>
      <w:r>
        <w:rPr>
          <w:spacing w:val="4"/>
        </w:rPr>
        <w:t>医疗救治组。</w:t>
      </w:r>
    </w:p>
    <w:p>
      <w:pPr>
        <w:pStyle w:val="BodyText"/>
        <w:ind w:left="433"/>
        <w:spacing w:before="117" w:line="277" w:lineRule="exact"/>
        <w:rPr/>
      </w:pPr>
      <w:r>
        <w:rPr>
          <w:spacing w:val="9"/>
          <w:position w:val="1"/>
        </w:rPr>
        <w:t>组长单位：市卫生健康委员会</w:t>
      </w:r>
    </w:p>
    <w:p>
      <w:pPr>
        <w:pStyle w:val="BodyText"/>
        <w:ind w:left="14" w:right="329" w:firstLine="418"/>
        <w:spacing w:before="83" w:line="331" w:lineRule="auto"/>
        <w:rPr/>
      </w:pPr>
      <w:r>
        <w:rPr>
          <w:spacing w:val="6"/>
        </w:rPr>
        <w:t>成员单位：市人民医院、中医医院、事故</w:t>
      </w:r>
      <w:r>
        <w:rPr>
          <w:spacing w:val="5"/>
        </w:rPr>
        <w:t>发生地县（</w:t>
      </w:r>
      <w:r>
        <w:rPr>
          <w:spacing w:val="-48"/>
        </w:rPr>
        <w:t xml:space="preserve"> </w:t>
      </w:r>
      <w:r>
        <w:rPr>
          <w:spacing w:val="5"/>
        </w:rPr>
        <w:t>区）医疗卫生机构。</w:t>
      </w:r>
    </w:p>
    <w:p>
      <w:pPr>
        <w:pStyle w:val="BodyText"/>
        <w:ind w:left="12" w:right="329" w:firstLine="428"/>
        <w:spacing w:before="5" w:line="332" w:lineRule="auto"/>
        <w:jc w:val="both"/>
        <w:rPr/>
      </w:pPr>
      <w:r>
        <w:rPr>
          <w:spacing w:val="6"/>
        </w:rPr>
        <w:t>主要职责：负责组织、调配、指挥医疗救</w:t>
      </w:r>
      <w:r>
        <w:rPr>
          <w:spacing w:val="7"/>
        </w:rPr>
        <w:t>护力量、资源，开展医疗救援工作。负责组织</w:t>
      </w:r>
      <w:r>
        <w:rPr>
          <w:spacing w:val="7"/>
        </w:rPr>
        <w:t>救治受伤人员，设立现场医疗急救站，对受伤</w:t>
      </w:r>
      <w:r>
        <w:rPr>
          <w:spacing w:val="7"/>
        </w:rPr>
        <w:t>和中毒人员进行现场分类和急救处理，并及时</w:t>
      </w:r>
      <w:r>
        <w:rPr>
          <w:spacing w:val="8"/>
        </w:rPr>
        <w:t>合理转送有关医院进行救治。</w:t>
      </w:r>
    </w:p>
    <w:p>
      <w:pPr>
        <w:pStyle w:val="BodyText"/>
        <w:ind w:left="433"/>
        <w:spacing w:before="3" w:line="223" w:lineRule="auto"/>
        <w:rPr/>
      </w:pPr>
      <w:r>
        <w:rPr>
          <w:rFonts w:ascii="Times New Roman" w:hAnsi="Times New Roman" w:eastAsia="Times New Roman" w:cs="Times New Roman"/>
          <w:spacing w:val="5"/>
        </w:rPr>
        <w:t>2.4.5 </w:t>
      </w:r>
      <w:r>
        <w:rPr>
          <w:spacing w:val="5"/>
        </w:rPr>
        <w:t>应急专家组。</w:t>
      </w:r>
    </w:p>
    <w:p>
      <w:pPr>
        <w:pStyle w:val="BodyText"/>
        <w:ind w:left="433"/>
        <w:spacing w:before="115" w:line="278" w:lineRule="exact"/>
        <w:rPr/>
      </w:pPr>
      <w:r>
        <w:rPr>
          <w:spacing w:val="9"/>
          <w:position w:val="1"/>
        </w:rPr>
        <w:t>组长单位：市应急管理局</w:t>
      </w:r>
    </w:p>
    <w:p>
      <w:pPr>
        <w:pStyle w:val="BodyText"/>
        <w:ind w:left="433"/>
        <w:spacing w:before="82" w:line="278" w:lineRule="exact"/>
        <w:rPr/>
      </w:pPr>
      <w:r>
        <w:rPr>
          <w:spacing w:val="9"/>
          <w:position w:val="1"/>
        </w:rPr>
        <w:t>成员单位：市应急专家组</w:t>
      </w:r>
    </w:p>
    <w:p>
      <w:pPr>
        <w:pStyle w:val="BodyText"/>
        <w:ind w:left="13" w:right="322" w:firstLine="428"/>
        <w:spacing w:before="84" w:line="332" w:lineRule="auto"/>
        <w:jc w:val="both"/>
        <w:rPr/>
      </w:pPr>
      <w:r>
        <w:rPr>
          <w:spacing w:val="6"/>
        </w:rPr>
        <w:t>主要职责：市应急管理局负责组建生产安</w:t>
      </w:r>
      <w:r>
        <w:rPr>
          <w:spacing w:val="7"/>
        </w:rPr>
        <w:t>全事故应急救援专家队伍，建立健全专家决策</w:t>
      </w:r>
      <w:r>
        <w:rPr>
          <w:spacing w:val="7"/>
        </w:rPr>
        <w:t>咨询制度，为专家组开展工作提供必要的保障</w:t>
      </w:r>
      <w:r>
        <w:rPr>
          <w:spacing w:val="7"/>
        </w:rPr>
        <w:t>和服务。专家队伍的主要职责在市应急管理指</w:t>
      </w:r>
      <w:r>
        <w:rPr>
          <w:spacing w:val="7"/>
        </w:rPr>
        <w:t>挥部领导下负责生产安全事故应急救援指导，</w:t>
      </w:r>
      <w:r>
        <w:rPr>
          <w:spacing w:val="8"/>
        </w:rPr>
        <w:t>辅助决策和指挥。</w:t>
      </w:r>
    </w:p>
    <w:p>
      <w:pPr>
        <w:pStyle w:val="BodyText"/>
        <w:ind w:left="433"/>
        <w:spacing w:before="3" w:line="222" w:lineRule="auto"/>
        <w:rPr/>
      </w:pPr>
      <w:r>
        <w:rPr>
          <w:rFonts w:ascii="Times New Roman" w:hAnsi="Times New Roman" w:eastAsia="Times New Roman" w:cs="Times New Roman"/>
          <w:spacing w:val="5"/>
        </w:rPr>
        <w:t>2.4.6 </w:t>
      </w:r>
      <w:r>
        <w:rPr>
          <w:spacing w:val="5"/>
        </w:rPr>
        <w:t>资金保障组。</w:t>
      </w:r>
    </w:p>
    <w:p>
      <w:pPr>
        <w:pStyle w:val="BodyText"/>
        <w:ind w:left="14" w:right="306" w:firstLine="418"/>
        <w:spacing w:before="117" w:line="316" w:lineRule="auto"/>
        <w:rPr/>
      </w:pPr>
      <w:r>
        <w:rPr>
          <w:spacing w:val="5"/>
        </w:rPr>
        <w:t>组长单位：事故发生地县（</w:t>
      </w:r>
      <w:r>
        <w:rPr>
          <w:spacing w:val="-43"/>
        </w:rPr>
        <w:t xml:space="preserve"> </w:t>
      </w:r>
      <w:r>
        <w:rPr>
          <w:spacing w:val="5"/>
        </w:rPr>
        <w:t>区）区政府、</w:t>
      </w:r>
      <w:r>
        <w:rPr>
          <w:spacing w:val="8"/>
        </w:rPr>
        <w:t>市财政局</w:t>
      </w:r>
    </w:p>
    <w:p>
      <w:pPr>
        <w:pStyle w:val="BodyText"/>
        <w:ind w:left="433"/>
        <w:spacing w:before="35" w:line="221" w:lineRule="auto"/>
        <w:rPr/>
      </w:pPr>
      <w:r>
        <w:rPr>
          <w:spacing w:val="5"/>
        </w:rPr>
        <w:t>成员单位：市县（</w:t>
      </w:r>
      <w:r>
        <w:rPr>
          <w:spacing w:val="-42"/>
        </w:rPr>
        <w:t xml:space="preserve"> </w:t>
      </w:r>
      <w:r>
        <w:rPr>
          <w:spacing w:val="5"/>
        </w:rPr>
        <w:t>区）财政局</w:t>
      </w:r>
    </w:p>
    <w:p>
      <w:pPr>
        <w:spacing w:line="14" w:lineRule="auto"/>
        <w:rPr>
          <w:rFonts w:ascii="Arial"/>
          <w:sz w:val="2"/>
        </w:rPr>
      </w:pPr>
      <w:r>
        <w:rPr>
          <w:rFonts w:ascii="Arial" w:hAnsi="Arial" w:eastAsia="Arial" w:cs="Arial"/>
          <w:sz w:val="2"/>
          <w:szCs w:val="2"/>
        </w:rPr>
        <w:br w:type="column"/>
      </w:r>
    </w:p>
    <w:p>
      <w:pPr>
        <w:pStyle w:val="BodyText"/>
        <w:ind w:left="2" w:right="110" w:firstLine="427"/>
        <w:spacing w:before="47" w:line="316" w:lineRule="auto"/>
        <w:rPr/>
      </w:pPr>
      <w:r>
        <w:rPr>
          <w:spacing w:val="6"/>
        </w:rPr>
        <w:t>主要职责：负责协调、保障事故应急救援</w:t>
      </w:r>
      <w:r>
        <w:rPr>
          <w:spacing w:val="8"/>
        </w:rPr>
        <w:t>工作所需物资资金。</w:t>
      </w:r>
    </w:p>
    <w:p>
      <w:pPr>
        <w:pStyle w:val="BodyText"/>
        <w:ind w:left="421"/>
        <w:spacing w:before="40" w:line="218" w:lineRule="auto"/>
        <w:rPr/>
      </w:pPr>
      <w:r>
        <w:rPr>
          <w:rFonts w:ascii="Times New Roman" w:hAnsi="Times New Roman" w:eastAsia="Times New Roman" w:cs="Times New Roman"/>
          <w:spacing w:val="5"/>
        </w:rPr>
        <w:t>2.4.7 </w:t>
      </w:r>
      <w:r>
        <w:rPr>
          <w:spacing w:val="5"/>
        </w:rPr>
        <w:t>环境监测组。</w:t>
      </w:r>
    </w:p>
    <w:p>
      <w:pPr>
        <w:pStyle w:val="BodyText"/>
        <w:ind w:left="421"/>
        <w:spacing w:before="118" w:line="278" w:lineRule="exact"/>
        <w:rPr/>
      </w:pPr>
      <w:r>
        <w:rPr>
          <w:spacing w:val="9"/>
          <w:position w:val="1"/>
        </w:rPr>
        <w:t>组长单位：市生态环境局</w:t>
      </w:r>
    </w:p>
    <w:p>
      <w:pPr>
        <w:pStyle w:val="BodyText"/>
        <w:spacing w:before="82" w:line="277" w:lineRule="exact"/>
        <w:jc w:val="right"/>
        <w:rPr/>
      </w:pPr>
      <w:r>
        <w:rPr>
          <w:spacing w:val="-1"/>
          <w:position w:val="1"/>
        </w:rPr>
        <w:t>成员单位：市县（</w:t>
      </w:r>
      <w:r>
        <w:rPr>
          <w:spacing w:val="-47"/>
          <w:position w:val="1"/>
        </w:rPr>
        <w:t xml:space="preserve"> </w:t>
      </w:r>
      <w:r>
        <w:rPr>
          <w:spacing w:val="-1"/>
          <w:position w:val="1"/>
        </w:rPr>
        <w:t>区）生态环境局（分局）</w:t>
      </w:r>
    </w:p>
    <w:p>
      <w:pPr>
        <w:pStyle w:val="BodyText"/>
        <w:ind w:right="110" w:firstLine="429"/>
        <w:spacing w:before="82" w:line="317" w:lineRule="auto"/>
        <w:rPr/>
      </w:pPr>
      <w:r>
        <w:rPr>
          <w:spacing w:val="6"/>
        </w:rPr>
        <w:t>主要职责：负责事故区域气象分析预报以</w:t>
      </w:r>
      <w:r>
        <w:rPr>
          <w:spacing w:val="9"/>
        </w:rPr>
        <w:t>及环境监测、环境污染处置工作。</w:t>
      </w:r>
    </w:p>
    <w:p>
      <w:pPr>
        <w:pStyle w:val="BodyText"/>
        <w:ind w:left="421"/>
        <w:spacing w:before="38" w:line="220" w:lineRule="auto"/>
        <w:rPr/>
      </w:pPr>
      <w:r>
        <w:rPr>
          <w:rFonts w:ascii="Times New Roman" w:hAnsi="Times New Roman" w:eastAsia="Times New Roman" w:cs="Times New Roman"/>
          <w:spacing w:val="5"/>
        </w:rPr>
        <w:t>2.4.8 </w:t>
      </w:r>
      <w:r>
        <w:rPr>
          <w:spacing w:val="5"/>
        </w:rPr>
        <w:t>事故调查组。</w:t>
      </w:r>
    </w:p>
    <w:p>
      <w:pPr>
        <w:pStyle w:val="BodyText"/>
        <w:ind w:left="421"/>
        <w:spacing w:before="117" w:line="278" w:lineRule="exact"/>
        <w:rPr/>
      </w:pPr>
      <w:r>
        <w:rPr>
          <w:spacing w:val="9"/>
          <w:position w:val="1"/>
        </w:rPr>
        <w:t>组长单位：市应急管理局</w:t>
      </w:r>
    </w:p>
    <w:p>
      <w:pPr>
        <w:pStyle w:val="BodyText"/>
        <w:ind w:right="27" w:firstLine="421"/>
        <w:spacing w:before="83" w:line="328" w:lineRule="auto"/>
        <w:jc w:val="both"/>
        <w:rPr/>
      </w:pPr>
      <w:r>
        <w:rPr/>
        <w:t>成员单位：市县（区）应急管理局、监委、</w:t>
      </w:r>
      <w:r>
        <w:rPr>
          <w:spacing w:val="7"/>
        </w:rPr>
        <w:t>公安局、人力资源社会保障局及其依据国务院</w:t>
      </w:r>
      <w:r>
        <w:rPr>
          <w:rFonts w:ascii="Times New Roman" w:hAnsi="Times New Roman" w:eastAsia="Times New Roman" w:cs="Times New Roman"/>
          <w:spacing w:val="8"/>
        </w:rPr>
        <w:t>493 </w:t>
      </w:r>
      <w:r>
        <w:rPr>
          <w:spacing w:val="8"/>
        </w:rPr>
        <w:t>号令规定参与事故调查处理的相关部门。</w:t>
      </w:r>
    </w:p>
    <w:p>
      <w:pPr>
        <w:pStyle w:val="BodyText"/>
        <w:ind w:right="110" w:firstLine="429"/>
        <w:spacing w:before="16" w:line="332" w:lineRule="auto"/>
        <w:jc w:val="both"/>
        <w:rPr/>
      </w:pPr>
      <w:r>
        <w:rPr>
          <w:spacing w:val="6"/>
        </w:rPr>
        <w:t>主要职责：会同有关部门、派驻单位、企</w:t>
      </w:r>
      <w:r>
        <w:rPr>
          <w:spacing w:val="7"/>
        </w:rPr>
        <w:t>业对事故发生的经过、原因进行调查，及时查</w:t>
      </w:r>
      <w:r>
        <w:rPr>
          <w:spacing w:val="7"/>
        </w:rPr>
        <w:t>清在生产安全事故处置过程中，擅离职守或失</w:t>
      </w:r>
      <w:r>
        <w:rPr>
          <w:spacing w:val="7"/>
        </w:rPr>
        <w:t>职、渎职等情况，向市应急指挥部提交责任事</w:t>
      </w:r>
      <w:r>
        <w:rPr>
          <w:spacing w:val="7"/>
        </w:rPr>
        <w:t>故调查报告，为依法追究相关人员的责任提供</w:t>
      </w:r>
      <w:r>
        <w:rPr>
          <w:spacing w:val="5"/>
        </w:rPr>
        <w:t>依据。</w:t>
      </w:r>
    </w:p>
    <w:p>
      <w:pPr>
        <w:pStyle w:val="BodyText"/>
        <w:ind w:left="421"/>
        <w:spacing w:before="2" w:line="222" w:lineRule="auto"/>
        <w:rPr/>
      </w:pPr>
      <w:r>
        <w:rPr>
          <w:rFonts w:ascii="Times New Roman" w:hAnsi="Times New Roman" w:eastAsia="Times New Roman" w:cs="Times New Roman"/>
          <w:spacing w:val="5"/>
        </w:rPr>
        <w:t>2.4.9 </w:t>
      </w:r>
      <w:r>
        <w:rPr>
          <w:spacing w:val="5"/>
        </w:rPr>
        <w:t>新闻宣传组。</w:t>
      </w:r>
    </w:p>
    <w:p>
      <w:pPr>
        <w:pStyle w:val="BodyText"/>
        <w:ind w:right="110" w:firstLine="420"/>
        <w:spacing w:before="117" w:line="316" w:lineRule="auto"/>
        <w:rPr/>
      </w:pPr>
      <w:r>
        <w:rPr>
          <w:spacing w:val="6"/>
        </w:rPr>
        <w:t>组长单位：由市应急管理指挥部根据工作</w:t>
      </w:r>
      <w:r>
        <w:rPr>
          <w:spacing w:val="8"/>
        </w:rPr>
        <w:t>需要确定</w:t>
      </w:r>
    </w:p>
    <w:p>
      <w:pPr>
        <w:pStyle w:val="BodyText"/>
        <w:ind w:left="17" w:right="110" w:firstLine="403"/>
        <w:spacing w:before="36" w:line="328" w:lineRule="auto"/>
        <w:jc w:val="both"/>
        <w:rPr/>
      </w:pPr>
      <w:r>
        <w:rPr>
          <w:spacing w:val="6"/>
        </w:rPr>
        <w:t>成员单位：市应急管理局，文化旅游广播</w:t>
      </w:r>
      <w:r>
        <w:rPr>
          <w:spacing w:val="6"/>
        </w:rPr>
        <w:t>电视局，固原电视台、固原日报社、广播电视</w:t>
      </w:r>
      <w:r>
        <w:rPr>
          <w:spacing w:val="7"/>
        </w:rPr>
        <w:t>台和网络等相关媒体单位。</w:t>
      </w:r>
    </w:p>
    <w:p>
      <w:pPr>
        <w:pStyle w:val="BodyText"/>
        <w:ind w:right="110" w:firstLine="428"/>
        <w:spacing w:before="13" w:line="332" w:lineRule="auto"/>
        <w:jc w:val="both"/>
        <w:rPr/>
      </w:pPr>
      <w:r>
        <w:rPr>
          <w:spacing w:val="6"/>
        </w:rPr>
        <w:t>主要职责：跟踪事故发展动态，及时收集</w:t>
      </w:r>
      <w:r>
        <w:rPr>
          <w:spacing w:val="7"/>
        </w:rPr>
        <w:t>消防、生态环境、公安、卫生医疗等部门的救</w:t>
      </w:r>
      <w:r>
        <w:rPr>
          <w:spacing w:val="7"/>
        </w:rPr>
        <w:t>援工作情况，组织召开新闻发布会，正确引导</w:t>
      </w:r>
      <w:r>
        <w:rPr>
          <w:spacing w:val="7"/>
        </w:rPr>
        <w:t>社会舆论；做好前来报道、采访的新闻媒体单</w:t>
      </w:r>
      <w:r>
        <w:rPr>
          <w:spacing w:val="8"/>
        </w:rPr>
        <w:t>位人员的接待安排工作。</w:t>
      </w:r>
    </w:p>
    <w:p>
      <w:pPr>
        <w:pStyle w:val="BodyText"/>
        <w:ind w:left="421"/>
        <w:spacing w:before="6" w:line="221" w:lineRule="auto"/>
        <w:rPr/>
      </w:pPr>
      <w:r>
        <w:rPr>
          <w:rFonts w:ascii="Times New Roman" w:hAnsi="Times New Roman" w:eastAsia="Times New Roman" w:cs="Times New Roman"/>
          <w:spacing w:val="3"/>
        </w:rPr>
        <w:t>2.4.</w:t>
      </w:r>
      <w:r>
        <w:rPr>
          <w:rFonts w:ascii="Times New Roman" w:hAnsi="Times New Roman" w:eastAsia="Times New Roman" w:cs="Times New Roman"/>
          <w:spacing w:val="-20"/>
        </w:rPr>
        <w:t xml:space="preserve"> </w:t>
      </w:r>
      <w:r>
        <w:rPr>
          <w:rFonts w:ascii="Times New Roman" w:hAnsi="Times New Roman" w:eastAsia="Times New Roman" w:cs="Times New Roman"/>
          <w:spacing w:val="3"/>
        </w:rPr>
        <w:t>10 </w:t>
      </w:r>
      <w:r>
        <w:rPr>
          <w:spacing w:val="3"/>
        </w:rPr>
        <w:t>善后处理组。</w:t>
      </w:r>
    </w:p>
    <w:p>
      <w:pPr>
        <w:pStyle w:val="BodyText"/>
        <w:ind w:left="421"/>
        <w:spacing w:before="116" w:line="277" w:lineRule="exact"/>
        <w:rPr/>
      </w:pPr>
      <w:r>
        <w:rPr>
          <w:spacing w:val="5"/>
          <w:position w:val="1"/>
        </w:rPr>
        <w:t>组长单位：事发地县（</w:t>
      </w:r>
      <w:r>
        <w:rPr>
          <w:spacing w:val="-38"/>
          <w:position w:val="1"/>
        </w:rPr>
        <w:t xml:space="preserve"> </w:t>
      </w:r>
      <w:r>
        <w:rPr>
          <w:spacing w:val="5"/>
          <w:position w:val="1"/>
        </w:rPr>
        <w:t>区）政府</w:t>
      </w:r>
    </w:p>
    <w:p>
      <w:pPr>
        <w:pStyle w:val="BodyText"/>
        <w:ind w:right="110" w:firstLine="428"/>
        <w:spacing w:before="84" w:line="310" w:lineRule="auto"/>
        <w:jc w:val="both"/>
        <w:rPr/>
      </w:pPr>
      <w:r>
        <w:rPr>
          <w:spacing w:val="6"/>
        </w:rPr>
        <w:t>主要职责：负责事发地受灾人员善后处理</w:t>
      </w:r>
      <w:r>
        <w:rPr>
          <w:spacing w:val="7"/>
        </w:rPr>
        <w:t>和灾后重建工作。各应急救援工作组应根据工</w:t>
      </w:r>
      <w:r>
        <w:rPr>
          <w:spacing w:val="7"/>
        </w:rPr>
        <w:t>作职责，在市应急管理指挥部办公室的统一领</w:t>
      </w:r>
      <w:r>
        <w:rPr>
          <w:spacing w:val="7"/>
        </w:rPr>
        <w:t>导下，主动做好相关工作，并根据事件发展趋</w:t>
      </w:r>
      <w:r>
        <w:rPr>
          <w:spacing w:val="7"/>
        </w:rPr>
        <w:t>势，及时调整应急措施和方案，加大应急处置</w:t>
      </w:r>
    </w:p>
    <w:p>
      <w:pPr>
        <w:spacing w:line="310" w:lineRule="auto"/>
        <w:sectPr>
          <w:type w:val="continuous"/>
          <w:pgSz w:w="11906" w:h="16839"/>
          <w:pgMar w:top="1766" w:right="1480" w:bottom="1563" w:left="1579" w:header="1428" w:footer="1172" w:gutter="0"/>
          <w:cols w:equalWidth="0" w:num="2">
            <w:col w:w="4489" w:space="100"/>
            <w:col w:w="4258" w:space="0"/>
          </w:cols>
        </w:sectPr>
        <w:rPr/>
      </w:pPr>
    </w:p>
    <w:p>
      <w:pPr>
        <w:spacing w:before="34"/>
        <w:rPr/>
      </w:pPr>
      <w:r>
        <w:drawing>
          <wp:anchor distT="0" distB="0" distL="0" distR="0" simplePos="0" relativeHeight="252102656" behindDoc="0" locked="0" layoutInCell="0" allowOverlap="1">
            <wp:simplePos x="0" y="0"/>
            <wp:positionH relativeFrom="page">
              <wp:posOffset>1008380</wp:posOffset>
            </wp:positionH>
            <wp:positionV relativeFrom="page">
              <wp:posOffset>1122680</wp:posOffset>
            </wp:positionV>
            <wp:extent cx="5579745" cy="7619"/>
            <wp:effectExtent l="0" t="0" r="0" b="0"/>
            <wp:wrapNone/>
            <wp:docPr id="1234" name="IM 1234"/>
            <wp:cNvGraphicFramePr/>
            <a:graphic>
              <a:graphicData uri="http://schemas.openxmlformats.org/drawingml/2006/picture">
                <pic:pic>
                  <pic:nvPicPr>
                    <pic:cNvPr id="1234" name="IM 1234"/>
                    <pic:cNvPicPr/>
                  </pic:nvPicPr>
                  <pic:blipFill>
                    <a:blip r:embed="rId619"/>
                    <a:stretch>
                      <a:fillRect/>
                    </a:stretch>
                  </pic:blipFill>
                  <pic:spPr>
                    <a:xfrm rot="0">
                      <a:off x="0" y="0"/>
                      <a:ext cx="5579745" cy="7619"/>
                    </a:xfrm>
                    <a:prstGeom prst="rect">
                      <a:avLst/>
                    </a:prstGeom>
                  </pic:spPr>
                </pic:pic>
              </a:graphicData>
            </a:graphic>
          </wp:anchor>
        </w:drawing>
      </w:r>
      <w:r/>
    </w:p>
    <w:p>
      <w:pPr>
        <w:sectPr>
          <w:headerReference w:type="default" r:id="rId586"/>
          <w:footerReference w:type="default" r:id="rId618"/>
          <w:pgSz w:w="11906" w:h="16839"/>
          <w:pgMar w:top="1769" w:right="1478" w:bottom="1570" w:left="1588" w:header="1428" w:footer="1172" w:gutter="0"/>
          <w:cols w:equalWidth="0" w:num="1">
            <w:col w:w="8840" w:space="0"/>
          </w:cols>
        </w:sectPr>
        <w:rPr/>
      </w:pPr>
    </w:p>
    <w:p>
      <w:pPr>
        <w:pStyle w:val="BodyText"/>
        <w:ind w:left="4"/>
        <w:spacing w:before="51" w:line="223" w:lineRule="auto"/>
        <w:rPr/>
      </w:pPr>
      <w:r>
        <w:rPr>
          <w:spacing w:val="-7"/>
        </w:rPr>
        <w:t>力度，不断提高应急处置工作的针对性和时效性。</w:t>
      </w:r>
    </w:p>
    <w:p>
      <w:pPr>
        <w:ind w:left="428"/>
        <w:spacing w:before="108"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3</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6"/>
        </w:rPr>
        <w:t>信息报告与预警</w:t>
      </w:r>
    </w:p>
    <w:p>
      <w:pPr>
        <w:pStyle w:val="BodyText"/>
        <w:ind w:left="4" w:right="322" w:firstLine="425"/>
        <w:spacing w:before="56" w:line="333" w:lineRule="auto"/>
        <w:rPr/>
      </w:pPr>
      <w:r>
        <w:rPr>
          <w:rFonts w:ascii="Times New Roman" w:hAnsi="Times New Roman" w:eastAsia="Times New Roman" w:cs="Times New Roman"/>
          <w:spacing w:val="7"/>
        </w:rPr>
        <w:t>3.</w:t>
      </w:r>
      <w:r>
        <w:rPr>
          <w:rFonts w:ascii="Times New Roman" w:hAnsi="Times New Roman" w:eastAsia="Times New Roman" w:cs="Times New Roman"/>
          <w:spacing w:val="-11"/>
        </w:rPr>
        <w:t xml:space="preserve"> </w:t>
      </w:r>
      <w:r>
        <w:rPr>
          <w:rFonts w:ascii="Times New Roman" w:hAnsi="Times New Roman" w:eastAsia="Times New Roman" w:cs="Times New Roman"/>
          <w:spacing w:val="7"/>
        </w:rPr>
        <w:t>1 </w:t>
      </w:r>
      <w:r>
        <w:rPr>
          <w:rFonts w:ascii="KaiTi" w:hAnsi="KaiTi" w:eastAsia="KaiTi" w:cs="KaiTi"/>
          <w:spacing w:val="7"/>
        </w:rPr>
        <w:t>预测与预警。</w:t>
      </w:r>
      <w:r>
        <w:rPr>
          <w:spacing w:val="7"/>
        </w:rPr>
        <w:t>市直各部门（单位）</w:t>
      </w:r>
      <w:r>
        <w:rPr>
          <w:spacing w:val="-59"/>
        </w:rPr>
        <w:t xml:space="preserve"> </w:t>
      </w:r>
      <w:r>
        <w:rPr>
          <w:spacing w:val="7"/>
        </w:rPr>
        <w:t>、</w:t>
      </w:r>
      <w:r>
        <w:rPr>
          <w:spacing w:val="18"/>
        </w:rPr>
        <w:t>各派驻单位要加强对重要场所、重点工业园</w:t>
      </w:r>
      <w:r>
        <w:rPr>
          <w:spacing w:val="7"/>
        </w:rPr>
        <w:t>区、重点企业、重大危险源和人员密集场所的</w:t>
      </w:r>
      <w:r>
        <w:rPr>
          <w:spacing w:val="7"/>
        </w:rPr>
        <w:t>监测监控，整合监测信息资源，依托政府系统</w:t>
      </w:r>
      <w:r>
        <w:rPr>
          <w:spacing w:val="7"/>
        </w:rPr>
        <w:t>办公业务资源网及相关网络，建立全天候、覆</w:t>
      </w:r>
      <w:r>
        <w:rPr>
          <w:spacing w:val="7"/>
        </w:rPr>
        <w:t>盖全基地的事故预测预警系统，及时对易引发</w:t>
      </w:r>
      <w:r>
        <w:rPr>
          <w:spacing w:val="7"/>
        </w:rPr>
        <w:t>生产安全事故的风险隐患进行排查整改，不能</w:t>
      </w:r>
      <w:r>
        <w:rPr>
          <w:spacing w:val="9"/>
        </w:rPr>
        <w:t>立即消除隐患的，要限期整改到位。</w:t>
      </w:r>
    </w:p>
    <w:p>
      <w:pPr>
        <w:pStyle w:val="BodyText"/>
        <w:ind w:left="3" w:right="322" w:firstLine="427"/>
        <w:spacing w:before="2" w:line="331" w:lineRule="auto"/>
        <w:jc w:val="both"/>
        <w:rPr/>
      </w:pPr>
      <w:r>
        <w:rPr>
          <w:spacing w:val="6"/>
        </w:rPr>
        <w:t>突发事件发生后，对可能演化为较大、重</w:t>
      </w:r>
      <w:r>
        <w:rPr>
          <w:spacing w:val="7"/>
        </w:rPr>
        <w:t>大、特别重大的事故，事故发生单位要立即开</w:t>
      </w:r>
      <w:r>
        <w:rPr>
          <w:spacing w:val="18"/>
        </w:rPr>
        <w:t>展先期处置。情况特殊的应直接向市公安机</w:t>
      </w:r>
      <w:r>
        <w:rPr>
          <w:spacing w:val="7"/>
        </w:rPr>
        <w:t>关、医院、消防等部门报告，然后立即向市应</w:t>
      </w:r>
      <w:r>
        <w:rPr>
          <w:spacing w:val="9"/>
        </w:rPr>
        <w:t>急管理指挥部办公室和市委市政府报告。</w:t>
      </w:r>
    </w:p>
    <w:p>
      <w:pPr>
        <w:pStyle w:val="BodyText"/>
        <w:ind w:left="4" w:right="320" w:firstLine="424"/>
        <w:spacing w:before="2" w:line="333" w:lineRule="auto"/>
        <w:jc w:val="both"/>
        <w:rPr/>
      </w:pPr>
      <w:r>
        <w:rPr>
          <w:rFonts w:ascii="Times New Roman" w:hAnsi="Times New Roman" w:eastAsia="Times New Roman" w:cs="Times New Roman"/>
          <w:spacing w:val="11"/>
        </w:rPr>
        <w:t>3.2 </w:t>
      </w:r>
      <w:r>
        <w:rPr>
          <w:rFonts w:ascii="KaiTi" w:hAnsi="KaiTi" w:eastAsia="KaiTi" w:cs="KaiTi"/>
          <w:spacing w:val="11"/>
        </w:rPr>
        <w:t>事故分级。</w:t>
      </w:r>
      <w:r>
        <w:rPr>
          <w:spacing w:val="11"/>
        </w:rPr>
        <w:t>根据《安全生产事故报告</w:t>
      </w:r>
      <w:r>
        <w:rPr>
          <w:spacing w:val="6"/>
        </w:rPr>
        <w:t>和调查处理条例》（国务院令第</w:t>
      </w:r>
      <w:r>
        <w:rPr>
          <w:spacing w:val="-35"/>
        </w:rPr>
        <w:t xml:space="preserve"> </w:t>
      </w:r>
      <w:r>
        <w:rPr>
          <w:rFonts w:ascii="Times New Roman" w:hAnsi="Times New Roman" w:eastAsia="Times New Roman" w:cs="Times New Roman"/>
          <w:spacing w:val="6"/>
        </w:rPr>
        <w:t>493 </w:t>
      </w:r>
      <w:r>
        <w:rPr>
          <w:spacing w:val="6"/>
        </w:rPr>
        <w:t>号）将生</w:t>
      </w:r>
      <w:r>
        <w:rPr>
          <w:spacing w:val="18"/>
        </w:rPr>
        <w:t>产安全事故造成的人员伤亡或者直接经济损</w:t>
      </w:r>
      <w:r>
        <w:rPr>
          <w:spacing w:val="9"/>
        </w:rPr>
        <w:t>失，事故分为以下等级：市</w:t>
      </w:r>
    </w:p>
    <w:p>
      <w:pPr>
        <w:pStyle w:val="BodyText"/>
        <w:ind w:left="4" w:right="320" w:firstLine="420"/>
        <w:spacing w:before="1" w:line="332" w:lineRule="auto"/>
        <w:jc w:val="both"/>
        <w:rPr/>
      </w:pPr>
      <w:r>
        <w:rPr>
          <w:spacing w:val="5"/>
        </w:rPr>
        <w:t>一般事故，是指造成</w:t>
      </w:r>
      <w:r>
        <w:rPr>
          <w:spacing w:val="-22"/>
        </w:rPr>
        <w:t xml:space="preserve"> </w:t>
      </w:r>
      <w:r>
        <w:rPr>
          <w:rFonts w:ascii="Times New Roman" w:hAnsi="Times New Roman" w:eastAsia="Times New Roman" w:cs="Times New Roman"/>
          <w:spacing w:val="5"/>
        </w:rPr>
        <w:t>3 </w:t>
      </w:r>
      <w:r>
        <w:rPr>
          <w:spacing w:val="5"/>
        </w:rPr>
        <w:t>人以下死亡，或者</w:t>
      </w:r>
      <w:r>
        <w:rPr>
          <w:rFonts w:ascii="Times New Roman" w:hAnsi="Times New Roman" w:eastAsia="Times New Roman" w:cs="Times New Roman"/>
          <w:spacing w:val="7"/>
        </w:rPr>
        <w:t>10 </w:t>
      </w:r>
      <w:r>
        <w:rPr>
          <w:spacing w:val="7"/>
        </w:rPr>
        <w:t>人以下重伤，或者</w:t>
      </w:r>
      <w:r>
        <w:rPr>
          <w:spacing w:val="-22"/>
        </w:rPr>
        <w:t xml:space="preserve"> </w:t>
      </w:r>
      <w:r>
        <w:rPr>
          <w:rFonts w:ascii="Times New Roman" w:hAnsi="Times New Roman" w:eastAsia="Times New Roman" w:cs="Times New Roman"/>
          <w:spacing w:val="7"/>
        </w:rPr>
        <w:t>1000 </w:t>
      </w:r>
      <w:r>
        <w:rPr>
          <w:spacing w:val="7"/>
        </w:rPr>
        <w:t>万元以下直接经济</w:t>
      </w:r>
      <w:r>
        <w:rPr>
          <w:spacing w:val="7"/>
        </w:rPr>
        <w:t>损失的事故。</w:t>
      </w:r>
    </w:p>
    <w:p>
      <w:pPr>
        <w:pStyle w:val="BodyText"/>
        <w:ind w:left="4" w:right="245" w:firstLine="420"/>
        <w:spacing w:before="1" w:line="332" w:lineRule="auto"/>
        <w:jc w:val="both"/>
        <w:rPr/>
      </w:pPr>
      <w:r>
        <w:rPr>
          <w:spacing w:val="6"/>
        </w:rPr>
        <w:t>较大事故</w:t>
      </w:r>
      <w:r>
        <w:rPr>
          <w:spacing w:val="-42"/>
        </w:rPr>
        <w:t xml:space="preserve"> </w:t>
      </w:r>
      <w:r>
        <w:rPr>
          <w:spacing w:val="6"/>
        </w:rPr>
        <w:t>，是指造成</w:t>
      </w:r>
      <w:r>
        <w:rPr>
          <w:spacing w:val="-34"/>
        </w:rPr>
        <w:t xml:space="preserve"> </w:t>
      </w:r>
      <w:r>
        <w:rPr>
          <w:rFonts w:ascii="Times New Roman" w:hAnsi="Times New Roman" w:eastAsia="Times New Roman" w:cs="Times New Roman"/>
          <w:spacing w:val="6"/>
        </w:rPr>
        <w:t>3 </w:t>
      </w:r>
      <w:r>
        <w:rPr>
          <w:spacing w:val="6"/>
        </w:rPr>
        <w:t>人以上</w:t>
      </w:r>
      <w:r>
        <w:rPr>
          <w:spacing w:val="-18"/>
        </w:rPr>
        <w:t xml:space="preserve"> </w:t>
      </w:r>
      <w:r>
        <w:rPr>
          <w:rFonts w:ascii="Times New Roman" w:hAnsi="Times New Roman" w:eastAsia="Times New Roman" w:cs="Times New Roman"/>
          <w:spacing w:val="6"/>
        </w:rPr>
        <w:t>10 </w:t>
      </w:r>
      <w:r>
        <w:rPr>
          <w:spacing w:val="6"/>
        </w:rPr>
        <w:t>人以下</w:t>
      </w:r>
      <w:r>
        <w:rPr>
          <w:spacing w:val="-4"/>
        </w:rPr>
        <w:t>死亡，或者</w:t>
      </w:r>
      <w:r>
        <w:rPr>
          <w:spacing w:val="-31"/>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12"/>
        </w:rPr>
        <w:t xml:space="preserve"> </w:t>
      </w:r>
      <w:r>
        <w:rPr>
          <w:spacing w:val="-4"/>
        </w:rPr>
        <w:t>人以上</w:t>
      </w:r>
      <w:r>
        <w:rPr>
          <w:spacing w:val="-57"/>
        </w:rPr>
        <w:t xml:space="preserve"> </w:t>
      </w:r>
      <w:r>
        <w:rPr>
          <w:rFonts w:ascii="Times New Roman" w:hAnsi="Times New Roman" w:eastAsia="Times New Roman" w:cs="Times New Roman"/>
          <w:spacing w:val="-4"/>
        </w:rPr>
        <w:t>50</w:t>
      </w:r>
      <w:r>
        <w:rPr>
          <w:rFonts w:ascii="Times New Roman" w:hAnsi="Times New Roman" w:eastAsia="Times New Roman" w:cs="Times New Roman"/>
          <w:spacing w:val="-14"/>
        </w:rPr>
        <w:t xml:space="preserve"> </w:t>
      </w:r>
      <w:r>
        <w:rPr>
          <w:spacing w:val="-4"/>
        </w:rPr>
        <w:t>人以下重伤，或者</w:t>
      </w:r>
      <w:r>
        <w:rPr>
          <w:spacing w:val="-42"/>
        </w:rPr>
        <w:t xml:space="preserve"> </w:t>
      </w:r>
      <w:r>
        <w:rPr>
          <w:rFonts w:ascii="Times New Roman" w:hAnsi="Times New Roman" w:eastAsia="Times New Roman" w:cs="Times New Roman"/>
          <w:spacing w:val="-4"/>
        </w:rPr>
        <w:t>1000</w:t>
      </w:r>
      <w:r>
        <w:rPr>
          <w:spacing w:val="8"/>
        </w:rPr>
        <w:t>万元以上</w:t>
      </w:r>
      <w:r>
        <w:rPr>
          <w:rFonts w:ascii="Times New Roman" w:hAnsi="Times New Roman" w:eastAsia="Times New Roman" w:cs="Times New Roman"/>
          <w:spacing w:val="8"/>
        </w:rPr>
        <w:t>5000</w:t>
      </w:r>
      <w:r>
        <w:rPr>
          <w:rFonts w:ascii="Times New Roman" w:hAnsi="Times New Roman" w:eastAsia="Times New Roman" w:cs="Times New Roman"/>
          <w:spacing w:val="-4"/>
        </w:rPr>
        <w:t xml:space="preserve"> </w:t>
      </w:r>
      <w:r>
        <w:rPr>
          <w:spacing w:val="8"/>
        </w:rPr>
        <w:t>万元以下直接经济损失的事故。</w:t>
      </w:r>
    </w:p>
    <w:p>
      <w:pPr>
        <w:pStyle w:val="BodyText"/>
        <w:ind w:left="4" w:right="241" w:firstLine="421"/>
        <w:spacing w:before="1" w:line="332" w:lineRule="auto"/>
        <w:jc w:val="both"/>
        <w:rPr/>
      </w:pPr>
      <w:r>
        <w:rPr>
          <w:spacing w:val="4"/>
        </w:rPr>
        <w:t>重大事故，是指造成</w:t>
      </w:r>
      <w:r>
        <w:rPr>
          <w:spacing w:val="-20"/>
        </w:rPr>
        <w:t xml:space="preserve"> </w:t>
      </w:r>
      <w:r>
        <w:rPr>
          <w:rFonts w:ascii="Times New Roman" w:hAnsi="Times New Roman" w:eastAsia="Times New Roman" w:cs="Times New Roman"/>
          <w:spacing w:val="4"/>
        </w:rPr>
        <w:t>10 </w:t>
      </w:r>
      <w:r>
        <w:rPr>
          <w:spacing w:val="4"/>
        </w:rPr>
        <w:t>人以上</w:t>
      </w:r>
      <w:r>
        <w:rPr>
          <w:spacing w:val="-39"/>
        </w:rPr>
        <w:t xml:space="preserve"> </w:t>
      </w:r>
      <w:r>
        <w:rPr>
          <w:rFonts w:ascii="Times New Roman" w:hAnsi="Times New Roman" w:eastAsia="Times New Roman" w:cs="Times New Roman"/>
          <w:spacing w:val="4"/>
        </w:rPr>
        <w:t>30 </w:t>
      </w:r>
      <w:r>
        <w:rPr>
          <w:spacing w:val="4"/>
        </w:rPr>
        <w:t>人以下</w:t>
      </w:r>
      <w:r>
        <w:rPr>
          <w:spacing w:val="5"/>
        </w:rPr>
        <w:t>死亡</w:t>
      </w:r>
      <w:r>
        <w:rPr>
          <w:spacing w:val="-54"/>
        </w:rPr>
        <w:t xml:space="preserve"> </w:t>
      </w:r>
      <w:r>
        <w:rPr>
          <w:spacing w:val="5"/>
        </w:rPr>
        <w:t>，或者</w:t>
      </w:r>
      <w:r>
        <w:rPr>
          <w:spacing w:val="-35"/>
        </w:rPr>
        <w:t xml:space="preserve"> </w:t>
      </w:r>
      <w:r>
        <w:rPr>
          <w:rFonts w:ascii="Times New Roman" w:hAnsi="Times New Roman" w:eastAsia="Times New Roman" w:cs="Times New Roman"/>
          <w:spacing w:val="5"/>
        </w:rPr>
        <w:t>50 </w:t>
      </w:r>
      <w:r>
        <w:rPr>
          <w:spacing w:val="5"/>
        </w:rPr>
        <w:t>人以上</w:t>
      </w:r>
      <w:r>
        <w:rPr>
          <w:spacing w:val="-21"/>
        </w:rPr>
        <w:t xml:space="preserve"> </w:t>
      </w:r>
      <w:r>
        <w:rPr>
          <w:rFonts w:ascii="Times New Roman" w:hAnsi="Times New Roman" w:eastAsia="Times New Roman" w:cs="Times New Roman"/>
          <w:spacing w:val="5"/>
        </w:rPr>
        <w:t>100 </w:t>
      </w:r>
      <w:r>
        <w:rPr>
          <w:spacing w:val="5"/>
        </w:rPr>
        <w:t>人以下重伤</w:t>
      </w:r>
      <w:r>
        <w:rPr>
          <w:spacing w:val="-58"/>
        </w:rPr>
        <w:t xml:space="preserve"> </w:t>
      </w:r>
      <w:r>
        <w:rPr>
          <w:spacing w:val="5"/>
        </w:rPr>
        <w:t>，或者</w:t>
      </w:r>
      <w:r>
        <w:rPr>
          <w:rFonts w:ascii="Times New Roman" w:hAnsi="Times New Roman" w:eastAsia="Times New Roman" w:cs="Times New Roman"/>
          <w:spacing w:val="-2"/>
        </w:rPr>
        <w:t>5000 </w:t>
      </w:r>
      <w:r>
        <w:rPr>
          <w:spacing w:val="-2"/>
        </w:rPr>
        <w:t>万元以上</w:t>
      </w:r>
      <w:r>
        <w:rPr>
          <w:spacing w:val="-25"/>
        </w:rPr>
        <w:t xml:space="preserve"> </w:t>
      </w:r>
      <w:r>
        <w:rPr>
          <w:rFonts w:ascii="Times New Roman" w:hAnsi="Times New Roman" w:eastAsia="Times New Roman" w:cs="Times New Roman"/>
          <w:spacing w:val="-2"/>
        </w:rPr>
        <w:t>1 </w:t>
      </w:r>
      <w:r>
        <w:rPr>
          <w:spacing w:val="-2"/>
        </w:rPr>
        <w:t>亿元以下直接经济损失的事故。</w:t>
      </w:r>
    </w:p>
    <w:p>
      <w:pPr>
        <w:pStyle w:val="BodyText"/>
        <w:ind w:left="427"/>
        <w:spacing w:line="221" w:lineRule="auto"/>
        <w:rPr/>
      </w:pPr>
      <w:r>
        <w:rPr>
          <w:spacing w:val="5"/>
        </w:rPr>
        <w:t>特别重大事故，是指造成</w:t>
      </w:r>
      <w:r>
        <w:rPr>
          <w:spacing w:val="-34"/>
        </w:rPr>
        <w:t xml:space="preserve"> </w:t>
      </w:r>
      <w:r>
        <w:rPr>
          <w:rFonts w:ascii="Times New Roman" w:hAnsi="Times New Roman" w:eastAsia="Times New Roman" w:cs="Times New Roman"/>
          <w:spacing w:val="5"/>
        </w:rPr>
        <w:t>30 </w:t>
      </w:r>
      <w:r>
        <w:rPr>
          <w:spacing w:val="5"/>
        </w:rPr>
        <w:t>人以上死亡，</w:t>
      </w:r>
    </w:p>
    <w:p>
      <w:pPr>
        <w:pStyle w:val="BodyText"/>
        <w:ind w:left="24" w:right="239" w:hanging="16"/>
        <w:spacing w:before="115" w:line="321" w:lineRule="auto"/>
        <w:jc w:val="right"/>
        <w:rPr/>
      </w:pPr>
      <w:r>
        <w:rPr>
          <w:spacing w:val="5"/>
        </w:rPr>
        <w:t>或者</w:t>
      </w:r>
      <w:r>
        <w:rPr>
          <w:spacing w:val="-17"/>
        </w:rPr>
        <w:t xml:space="preserve"> </w:t>
      </w:r>
      <w:r>
        <w:rPr>
          <w:rFonts w:ascii="Times New Roman" w:hAnsi="Times New Roman" w:eastAsia="Times New Roman" w:cs="Times New Roman"/>
          <w:spacing w:val="5"/>
        </w:rPr>
        <w:t>100 </w:t>
      </w:r>
      <w:r>
        <w:rPr>
          <w:spacing w:val="5"/>
        </w:rPr>
        <w:t>人以上重伤（包括急性工业中毒，下</w:t>
      </w:r>
      <w:r>
        <w:rPr>
          <w:spacing w:val="7"/>
        </w:rPr>
        <w:t>同</w:t>
      </w:r>
      <w:r>
        <w:rPr>
          <w:spacing w:val="-10"/>
        </w:rPr>
        <w:t>）</w:t>
      </w:r>
      <w:r>
        <w:rPr>
          <w:spacing w:val="-52"/>
        </w:rPr>
        <w:t xml:space="preserve"> </w:t>
      </w:r>
      <w:r>
        <w:rPr>
          <w:spacing w:val="-10"/>
        </w:rPr>
        <w:t>，</w:t>
      </w:r>
      <w:r>
        <w:rPr>
          <w:spacing w:val="7"/>
        </w:rPr>
        <w:t>或者</w:t>
      </w:r>
      <w:r>
        <w:rPr>
          <w:spacing w:val="-23"/>
        </w:rPr>
        <w:t xml:space="preserve"> </w:t>
      </w:r>
      <w:r>
        <w:rPr>
          <w:rFonts w:ascii="Times New Roman" w:hAnsi="Times New Roman" w:eastAsia="Times New Roman" w:cs="Times New Roman"/>
          <w:spacing w:val="7"/>
        </w:rPr>
        <w:t>1 </w:t>
      </w:r>
      <w:r>
        <w:rPr>
          <w:spacing w:val="7"/>
        </w:rPr>
        <w:t>亿元以上直接经济损失的事故。</w:t>
      </w:r>
      <w:r>
        <w:rPr/>
        <w:t xml:space="preserve"> </w:t>
      </w:r>
      <w:r>
        <w:rPr>
          <w:rFonts w:ascii="Times New Roman" w:hAnsi="Times New Roman" w:eastAsia="Times New Roman" w:cs="Times New Roman"/>
          <w:spacing w:val="-3"/>
        </w:rPr>
        <w:t>“</w:t>
      </w:r>
      <w:r>
        <w:rPr>
          <w:rFonts w:ascii="Times New Roman" w:hAnsi="Times New Roman" w:eastAsia="Times New Roman" w:cs="Times New Roman"/>
          <w:spacing w:val="-32"/>
        </w:rPr>
        <w:t xml:space="preserve"> </w:t>
      </w:r>
      <w:r>
        <w:rPr>
          <w:spacing w:val="-3"/>
        </w:rPr>
        <w:t>以上</w:t>
      </w:r>
      <w:r>
        <w:rPr>
          <w:rFonts w:ascii="Times New Roman" w:hAnsi="Times New Roman" w:eastAsia="Times New Roman" w:cs="Times New Roman"/>
          <w:spacing w:val="-3"/>
        </w:rPr>
        <w:t>”</w:t>
      </w:r>
      <w:r>
        <w:rPr>
          <w:spacing w:val="-3"/>
        </w:rPr>
        <w:t>包括本数，所称的</w:t>
      </w:r>
      <w:r>
        <w:rPr>
          <w:rFonts w:ascii="Times New Roman" w:hAnsi="Times New Roman" w:eastAsia="Times New Roman" w:cs="Times New Roman"/>
          <w:spacing w:val="-3"/>
        </w:rPr>
        <w:t>“</w:t>
      </w:r>
      <w:r>
        <w:rPr>
          <w:spacing w:val="-3"/>
        </w:rPr>
        <w:t>以下</w:t>
      </w:r>
      <w:r>
        <w:rPr>
          <w:rFonts w:ascii="Times New Roman" w:hAnsi="Times New Roman" w:eastAsia="Times New Roman" w:cs="Times New Roman"/>
          <w:spacing w:val="-3"/>
        </w:rPr>
        <w:t>”</w:t>
      </w:r>
      <w:r>
        <w:rPr>
          <w:spacing w:val="-3"/>
        </w:rPr>
        <w:t>不包括本数。</w:t>
      </w:r>
    </w:p>
    <w:p>
      <w:pPr>
        <w:ind w:left="429"/>
        <w:spacing w:before="37" w:line="266" w:lineRule="exact"/>
        <w:rPr>
          <w:rFonts w:ascii="KaiTi" w:hAnsi="KaiTi" w:eastAsia="KaiTi" w:cs="KaiTi"/>
          <w:sz w:val="20"/>
          <w:szCs w:val="20"/>
        </w:rPr>
      </w:pPr>
      <w:r>
        <w:rPr>
          <w:rFonts w:ascii="Times New Roman" w:hAnsi="Times New Roman" w:eastAsia="Times New Roman" w:cs="Times New Roman"/>
          <w:sz w:val="20"/>
          <w:szCs w:val="20"/>
          <w:spacing w:val="6"/>
          <w:position w:val="1"/>
        </w:rPr>
        <w:t>3.3  </w:t>
      </w:r>
      <w:r>
        <w:rPr>
          <w:rFonts w:ascii="KaiTi" w:hAnsi="KaiTi" w:eastAsia="KaiTi" w:cs="KaiTi"/>
          <w:sz w:val="20"/>
          <w:szCs w:val="20"/>
          <w:spacing w:val="6"/>
          <w:position w:val="1"/>
        </w:rPr>
        <w:t>预警级别及信息报告。</w:t>
      </w:r>
    </w:p>
    <w:p>
      <w:pPr>
        <w:pStyle w:val="BodyText"/>
        <w:ind w:left="5" w:right="315" w:firstLine="423"/>
        <w:spacing w:before="99" w:line="347" w:lineRule="auto"/>
        <w:jc w:val="both"/>
        <w:rPr/>
      </w:pPr>
      <w:r>
        <w:rPr>
          <w:rFonts w:ascii="Times New Roman" w:hAnsi="Times New Roman" w:eastAsia="Times New Roman" w:cs="Times New Roman"/>
          <w:spacing w:val="3"/>
        </w:rPr>
        <w:t>3.3.1 </w:t>
      </w:r>
      <w:r>
        <w:rPr>
          <w:spacing w:val="3"/>
        </w:rPr>
        <w:t>预警级别。按照事故的可控性、严重</w:t>
      </w:r>
      <w:r>
        <w:rPr>
          <w:spacing w:val="7"/>
        </w:rPr>
        <w:t>程度和影响范围，由高到低将生产安全事故分</w:t>
      </w:r>
      <w:r>
        <w:rPr>
          <w:spacing w:val="7"/>
        </w:rPr>
        <w:t>为</w:t>
      </w:r>
      <w:r>
        <w:rPr>
          <w:rFonts w:ascii="Times New Roman" w:hAnsi="Times New Roman" w:eastAsia="Times New Roman" w:cs="Times New Roman"/>
          <w:spacing w:val="7"/>
        </w:rPr>
        <w:t>Ⅰ</w:t>
      </w:r>
      <w:r>
        <w:rPr>
          <w:spacing w:val="7"/>
        </w:rPr>
        <w:t>级（特别重大）、</w:t>
      </w:r>
      <w:r>
        <w:rPr>
          <w:rFonts w:ascii="Times New Roman" w:hAnsi="Times New Roman" w:eastAsia="Times New Roman" w:cs="Times New Roman"/>
          <w:spacing w:val="7"/>
        </w:rPr>
        <w:t>Ⅱ</w:t>
      </w:r>
      <w:r>
        <w:rPr>
          <w:spacing w:val="7"/>
        </w:rPr>
        <w:t>级（重大）、</w:t>
      </w:r>
      <w:r>
        <w:rPr>
          <w:rFonts w:ascii="Times New Roman" w:hAnsi="Times New Roman" w:eastAsia="Times New Roman" w:cs="Times New Roman"/>
          <w:spacing w:val="7"/>
        </w:rPr>
        <w:t>Ⅲ</w:t>
      </w:r>
      <w:r>
        <w:rPr>
          <w:spacing w:val="7"/>
        </w:rPr>
        <w:t>级（较</w:t>
      </w:r>
    </w:p>
    <w:p>
      <w:pPr>
        <w:spacing w:line="14" w:lineRule="auto"/>
        <w:rPr>
          <w:rFonts w:ascii="Arial"/>
          <w:sz w:val="2"/>
        </w:rPr>
      </w:pPr>
      <w:r>
        <w:rPr>
          <w:rFonts w:ascii="Arial" w:hAnsi="Arial" w:eastAsia="Arial" w:cs="Arial"/>
          <w:sz w:val="2"/>
          <w:szCs w:val="2"/>
        </w:rPr>
        <w:br w:type="column"/>
      </w:r>
    </w:p>
    <w:p>
      <w:pPr>
        <w:pStyle w:val="BodyText"/>
        <w:ind w:left="7" w:right="31" w:firstLine="5"/>
        <w:spacing w:before="45" w:line="316" w:lineRule="auto"/>
        <w:rPr/>
      </w:pPr>
      <w:r>
        <w:rPr/>
        <w:t>大）、</w:t>
      </w:r>
      <w:r>
        <w:rPr>
          <w:rFonts w:ascii="Times New Roman" w:hAnsi="Times New Roman" w:eastAsia="Times New Roman" w:cs="Times New Roman"/>
        </w:rPr>
        <w:t>Ⅳ</w:t>
      </w:r>
      <w:r>
        <w:rPr/>
        <w:t>级（一般）四个级别，并依次用红色、</w:t>
      </w:r>
      <w:r>
        <w:rPr>
          <w:spacing w:val="8"/>
        </w:rPr>
        <w:t>橙色、黄色和蓝色表示。</w:t>
      </w:r>
    </w:p>
    <w:p>
      <w:pPr>
        <w:pStyle w:val="BodyText"/>
        <w:ind w:firstLine="432"/>
        <w:spacing w:before="37" w:line="329" w:lineRule="auto"/>
        <w:rPr/>
      </w:pPr>
      <w:r>
        <w:rPr>
          <w:spacing w:val="1"/>
        </w:rPr>
        <w:t>预测发生</w:t>
      </w:r>
      <w:r>
        <w:rPr>
          <w:rFonts w:ascii="Times New Roman" w:hAnsi="Times New Roman" w:eastAsia="Times New Roman" w:cs="Times New Roman"/>
          <w:spacing w:val="1"/>
        </w:rPr>
        <w:t>Ⅰ</w:t>
      </w:r>
      <w:r>
        <w:rPr>
          <w:spacing w:val="1"/>
        </w:rPr>
        <w:t>级（特别重大）或者</w:t>
      </w:r>
      <w:r>
        <w:rPr>
          <w:rFonts w:ascii="Times New Roman" w:hAnsi="Times New Roman" w:eastAsia="Times New Roman" w:cs="Times New Roman"/>
          <w:spacing w:val="1"/>
        </w:rPr>
        <w:t>Ⅱ</w:t>
      </w:r>
      <w:r>
        <w:rPr>
          <w:spacing w:val="1"/>
        </w:rPr>
        <w:t>级（重大）</w:t>
      </w:r>
      <w:r>
        <w:rPr>
          <w:spacing w:val="18"/>
        </w:rPr>
        <w:t>生产安全事故由自治区政府发布红色预警信</w:t>
      </w:r>
      <w:r>
        <w:rPr>
          <w:spacing w:val="7"/>
        </w:rPr>
        <w:t>息或橙色预警信息；发生</w:t>
      </w:r>
      <w:r>
        <w:rPr>
          <w:rFonts w:ascii="Times New Roman" w:hAnsi="Times New Roman" w:eastAsia="Times New Roman" w:cs="Times New Roman"/>
          <w:spacing w:val="7"/>
        </w:rPr>
        <w:t>Ⅲ</w:t>
      </w:r>
      <w:r>
        <w:rPr>
          <w:spacing w:val="7"/>
        </w:rPr>
        <w:t>级（较大）或</w:t>
      </w:r>
      <w:r>
        <w:rPr>
          <w:rFonts w:ascii="Times New Roman" w:hAnsi="Times New Roman" w:eastAsia="Times New Roman" w:cs="Times New Roman"/>
          <w:spacing w:val="7"/>
        </w:rPr>
        <w:t>Ⅳ</w:t>
      </w:r>
      <w:r>
        <w:rPr>
          <w:spacing w:val="7"/>
        </w:rPr>
        <w:t>级</w:t>
      </w:r>
      <w:r>
        <w:rPr>
          <w:spacing w:val="7"/>
        </w:rPr>
        <w:t>（一般）生产安全事故由固原市发布黄色或蓝</w:t>
      </w:r>
      <w:r>
        <w:rPr>
          <w:spacing w:val="10"/>
        </w:rPr>
        <w:t>色预警信息。预警信息内容包括：事件类别、</w:t>
      </w:r>
      <w:r>
        <w:rPr>
          <w:spacing w:val="7"/>
        </w:rPr>
        <w:t>预警级别、起始时间、可能影响范围、警示事</w:t>
      </w:r>
      <w:r>
        <w:rPr>
          <w:spacing w:val="9"/>
        </w:rPr>
        <w:t>项、应采取措施、发布机关和咨询电话等。</w:t>
      </w:r>
    </w:p>
    <w:p>
      <w:pPr>
        <w:pStyle w:val="BodyText"/>
        <w:ind w:left="13" w:right="112" w:firstLine="436"/>
        <w:spacing w:before="25" w:line="325" w:lineRule="auto"/>
        <w:jc w:val="both"/>
        <w:rPr/>
      </w:pPr>
      <w:r>
        <w:rPr>
          <w:spacing w:val="17"/>
        </w:rPr>
        <w:t>固原市通过生产安全事故预警信息发布</w:t>
      </w:r>
      <w:r>
        <w:rPr>
          <w:spacing w:val="7"/>
        </w:rPr>
        <w:t>系统（设在市应急管理指挥部办公室）统一发</w:t>
      </w:r>
      <w:r>
        <w:rPr>
          <w:spacing w:val="8"/>
        </w:rPr>
        <w:t>布生产安全事故预警信息。</w:t>
      </w:r>
    </w:p>
    <w:p>
      <w:pPr>
        <w:pStyle w:val="BodyText"/>
        <w:ind w:left="7" w:right="110" w:firstLine="425"/>
        <w:spacing w:before="27" w:line="332" w:lineRule="auto"/>
        <w:rPr/>
      </w:pPr>
      <w:r>
        <w:rPr>
          <w:rFonts w:ascii="Times New Roman" w:hAnsi="Times New Roman" w:eastAsia="Times New Roman" w:cs="Times New Roman"/>
          <w:spacing w:val="3"/>
        </w:rPr>
        <w:t>3.3.2 </w:t>
      </w:r>
      <w:r>
        <w:rPr>
          <w:spacing w:val="3"/>
        </w:rPr>
        <w:t>信息报告。凡可能引发生产安全事故</w:t>
      </w:r>
      <w:r>
        <w:rPr>
          <w:spacing w:val="7"/>
        </w:rPr>
        <w:t>的信息和可能引发生产安全事故的内幕性、预</w:t>
      </w:r>
      <w:r>
        <w:rPr>
          <w:spacing w:val="7"/>
        </w:rPr>
        <w:t>警性、行动性信息都属报告内容。最先发现或</w:t>
      </w:r>
      <w:r>
        <w:rPr>
          <w:spacing w:val="11"/>
        </w:rPr>
        <w:t>接到此类信息报告的单位或个人，应在</w:t>
      </w:r>
      <w:r>
        <w:rPr>
          <w:spacing w:val="-34"/>
        </w:rPr>
        <w:t xml:space="preserve"> </w:t>
      </w:r>
      <w:r>
        <w:rPr>
          <w:rFonts w:ascii="Times New Roman" w:hAnsi="Times New Roman" w:eastAsia="Times New Roman" w:cs="Times New Roman"/>
          <w:spacing w:val="11"/>
        </w:rPr>
        <w:t>30 </w:t>
      </w:r>
      <w:r>
        <w:rPr>
          <w:spacing w:val="11"/>
        </w:rPr>
        <w:t>分</w:t>
      </w:r>
      <w:r>
        <w:rPr>
          <w:spacing w:val="8"/>
        </w:rPr>
        <w:t>钟内向市委市政府和应急管理部门报告，任</w:t>
      </w:r>
    </w:p>
    <w:p>
      <w:pPr>
        <w:pStyle w:val="BodyText"/>
        <w:ind w:left="6"/>
        <w:spacing w:line="221" w:lineRule="auto"/>
        <w:rPr/>
      </w:pPr>
      <w:r>
        <w:rPr>
          <w:spacing w:val="9"/>
        </w:rPr>
        <w:t>何单位或个人不得拖延或借故不报。</w:t>
      </w:r>
    </w:p>
    <w:p>
      <w:pPr>
        <w:pStyle w:val="BodyText"/>
        <w:ind w:left="6" w:right="105" w:firstLine="420"/>
        <w:spacing w:before="117" w:line="332" w:lineRule="auto"/>
        <w:jc w:val="both"/>
        <w:rPr/>
      </w:pPr>
      <w:r>
        <w:rPr>
          <w:spacing w:val="7"/>
        </w:rPr>
        <w:t>应急管理部门接到信息报告后，要尽快组</w:t>
      </w:r>
      <w:r>
        <w:rPr>
          <w:spacing w:val="7"/>
        </w:rPr>
        <w:t>织有关专家进行会商或分析研判，对发生和可</w:t>
      </w:r>
      <w:r>
        <w:rPr>
          <w:spacing w:val="18"/>
        </w:rPr>
        <w:t>能引发一般和较大级别的生产安全事故的监</w:t>
      </w:r>
      <w:r>
        <w:rPr>
          <w:spacing w:val="7"/>
        </w:rPr>
        <w:t>测预测预警信息，向市应急管理指挥部成员单</w:t>
      </w:r>
      <w:r>
        <w:rPr>
          <w:spacing w:val="7"/>
        </w:rPr>
        <w:t>位通报，督促和指导按照相关应急预案做好处</w:t>
      </w:r>
      <w:r>
        <w:rPr>
          <w:spacing w:val="7"/>
        </w:rPr>
        <w:t>置工作，并上报至自治区党委、政府；对可能</w:t>
      </w:r>
      <w:r>
        <w:rPr>
          <w:spacing w:val="7"/>
        </w:rPr>
        <w:t>引发重大、特别重大级别的生产安全事故的监</w:t>
      </w:r>
      <w:r>
        <w:rPr>
          <w:spacing w:val="7"/>
        </w:rPr>
        <w:t>测预测预警信息，市应急管理指挥部办公室要</w:t>
      </w:r>
      <w:r>
        <w:rPr>
          <w:spacing w:val="7"/>
        </w:rPr>
        <w:t>及时报告自治区党委、政府，并上报国务院，</w:t>
      </w:r>
      <w:r>
        <w:rPr>
          <w:spacing w:val="7"/>
        </w:rPr>
        <w:t>必要时由国务院负责应对。按照《宁夏回族自</w:t>
      </w:r>
      <w:r>
        <w:rPr>
          <w:spacing w:val="7"/>
        </w:rPr>
        <w:t>治区突发事件预警信息发布管理办法》，提出</w:t>
      </w:r>
      <w:r>
        <w:rPr>
          <w:spacing w:val="7"/>
        </w:rPr>
        <w:t>预警信息发布方案，并配合做好预警信息发布</w:t>
      </w:r>
      <w:r>
        <w:rPr>
          <w:spacing w:val="7"/>
        </w:rPr>
        <w:t>工作。同时，向市应急管理指挥部成员单位通</w:t>
      </w:r>
      <w:r>
        <w:rPr>
          <w:spacing w:val="7"/>
        </w:rPr>
        <w:t>报有关情况。</w:t>
      </w:r>
    </w:p>
    <w:p>
      <w:pPr>
        <w:pStyle w:val="BodyText"/>
        <w:ind w:left="6" w:right="110" w:firstLine="426"/>
        <w:spacing w:before="8" w:line="333" w:lineRule="auto"/>
        <w:rPr/>
      </w:pPr>
      <w:r>
        <w:rPr>
          <w:rFonts w:ascii="Times New Roman" w:hAnsi="Times New Roman" w:eastAsia="Times New Roman" w:cs="Times New Roman"/>
          <w:spacing w:val="3"/>
        </w:rPr>
        <w:t>3.3.3 </w:t>
      </w:r>
      <w:r>
        <w:rPr>
          <w:spacing w:val="3"/>
        </w:rPr>
        <w:t>信息发布。市应急管理指挥部办公室</w:t>
      </w:r>
      <w:r>
        <w:rPr>
          <w:spacing w:val="9"/>
        </w:rPr>
        <w:t>要及时、准确地向市委市政府报告特别重大</w:t>
      </w:r>
    </w:p>
    <w:p>
      <w:pPr>
        <w:pStyle w:val="BodyText"/>
        <w:ind w:left="10" w:right="64" w:firstLine="17"/>
        <w:spacing w:line="282" w:lineRule="auto"/>
        <w:rPr/>
      </w:pPr>
      <w:r>
        <w:rPr>
          <w:spacing w:val="8"/>
        </w:rPr>
        <w:t>、重大、较大、一般生产安全事故的有关情况</w:t>
      </w:r>
      <w:r>
        <w:rPr>
          <w:spacing w:val="14"/>
        </w:rPr>
        <w:t xml:space="preserve"> </w:t>
      </w:r>
      <w:r>
        <w:rPr>
          <w:spacing w:val="5"/>
        </w:rPr>
        <w:t>,</w:t>
      </w:r>
      <w:r>
        <w:rPr>
          <w:spacing w:val="50"/>
        </w:rPr>
        <w:t xml:space="preserve"> </w:t>
      </w:r>
      <w:r>
        <w:rPr>
          <w:spacing w:val="5"/>
        </w:rPr>
        <w:t>并根据生产安全事故的危害性和紧急程度，</w:t>
      </w:r>
      <w:r>
        <w:rPr>
          <w:spacing w:val="3"/>
        </w:rPr>
        <w:t>发</w:t>
      </w:r>
    </w:p>
    <w:p>
      <w:pPr>
        <w:spacing w:line="282" w:lineRule="auto"/>
        <w:sectPr>
          <w:type w:val="continuous"/>
          <w:pgSz w:w="11906" w:h="16839"/>
          <w:pgMar w:top="1769" w:right="1478" w:bottom="1570" w:left="1588" w:header="1428" w:footer="1172" w:gutter="0"/>
          <w:cols w:equalWidth="0" w:num="2">
            <w:col w:w="4474" w:space="100"/>
            <w:col w:w="4267" w:space="0"/>
          </w:cols>
        </w:sectPr>
        <w:rPr/>
      </w:pPr>
    </w:p>
    <w:p>
      <w:pPr>
        <w:spacing w:before="47"/>
        <w:rPr/>
      </w:pPr>
      <w:r>
        <w:drawing>
          <wp:anchor distT="0" distB="0" distL="0" distR="0" simplePos="0" relativeHeight="252104704"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238" name="IM 1238"/>
            <wp:cNvGraphicFramePr/>
            <a:graphic>
              <a:graphicData uri="http://schemas.openxmlformats.org/drawingml/2006/picture">
                <pic:pic>
                  <pic:nvPicPr>
                    <pic:cNvPr id="1238" name="IM 1238"/>
                    <pic:cNvPicPr/>
                  </pic:nvPicPr>
                  <pic:blipFill>
                    <a:blip r:embed="rId621"/>
                    <a:stretch>
                      <a:fillRect/>
                    </a:stretch>
                  </pic:blipFill>
                  <pic:spPr>
                    <a:xfrm rot="0">
                      <a:off x="0" y="0"/>
                      <a:ext cx="5579745" cy="7620"/>
                    </a:xfrm>
                    <a:prstGeom prst="rect">
                      <a:avLst/>
                    </a:prstGeom>
                  </pic:spPr>
                </pic:pic>
              </a:graphicData>
            </a:graphic>
          </wp:anchor>
        </w:drawing>
      </w:r>
      <w:r/>
    </w:p>
    <w:p>
      <w:pPr>
        <w:sectPr>
          <w:headerReference w:type="default" r:id="rId533"/>
          <w:footerReference w:type="default" r:id="rId620"/>
          <w:pgSz w:w="11906" w:h="16839"/>
          <w:pgMar w:top="1766" w:right="1526" w:bottom="1563" w:left="1579" w:header="1428" w:footer="1172" w:gutter="0"/>
          <w:cols w:equalWidth="0" w:num="1">
            <w:col w:w="8801" w:space="0"/>
          </w:cols>
        </w:sectPr>
        <w:rPr/>
      </w:pPr>
    </w:p>
    <w:p>
      <w:pPr>
        <w:pStyle w:val="BodyText"/>
        <w:ind w:left="11" w:right="248" w:firstLine="6"/>
        <w:spacing w:before="41" w:line="332" w:lineRule="auto"/>
        <w:jc w:val="both"/>
        <w:rPr/>
      </w:pPr>
      <w:r>
        <w:rPr>
          <w:spacing w:val="7"/>
        </w:rPr>
        <w:t>布、调整和解除预警信息。预警信息包括生产</w:t>
      </w:r>
      <w:r>
        <w:rPr>
          <w:spacing w:val="7"/>
        </w:rPr>
        <w:t>安全事故的类别、预警级别、起始时间、可能</w:t>
      </w:r>
      <w:r>
        <w:rPr>
          <w:spacing w:val="7"/>
        </w:rPr>
        <w:t>影响范围、警示事项、应采取的措施和发布机</w:t>
      </w:r>
      <w:r>
        <w:rPr>
          <w:spacing w:val="1"/>
        </w:rPr>
        <w:t>关等。预警信息的发布、调整和解除通过广播、</w:t>
      </w:r>
      <w:r>
        <w:rPr>
          <w:spacing w:val="7"/>
        </w:rPr>
        <w:t>电视、报刊、通信、信息网络、警报器、宣传</w:t>
      </w:r>
      <w:r>
        <w:rPr>
          <w:spacing w:val="7"/>
        </w:rPr>
        <w:t>车等方式进行，对老、幼、病、残、孕等特殊</w:t>
      </w:r>
      <w:r>
        <w:rPr>
          <w:spacing w:val="18"/>
        </w:rPr>
        <w:t>人群以及学校等特殊场所和警报盲区采取有</w:t>
      </w:r>
      <w:r>
        <w:rPr>
          <w:spacing w:val="8"/>
        </w:rPr>
        <w:t>针对性的公告方式。</w:t>
      </w:r>
    </w:p>
    <w:p>
      <w:pPr>
        <w:pStyle w:val="BodyText"/>
        <w:ind w:left="13" w:right="329" w:firstLine="420"/>
        <w:spacing w:before="2" w:line="332" w:lineRule="auto"/>
        <w:rPr/>
      </w:pPr>
      <w:r>
        <w:rPr>
          <w:spacing w:val="19"/>
        </w:rPr>
        <w:t>任何人未经许可不得随意向外界发布事</w:t>
      </w:r>
      <w:r>
        <w:rPr>
          <w:spacing w:val="8"/>
        </w:rPr>
        <w:t>故信息，不得肆意发布虚假信息。</w:t>
      </w:r>
    </w:p>
    <w:p>
      <w:pPr>
        <w:pStyle w:val="BodyText"/>
        <w:ind w:left="437"/>
        <w:spacing w:line="222" w:lineRule="auto"/>
        <w:rPr/>
      </w:pPr>
      <w:r>
        <w:rPr>
          <w:rFonts w:ascii="Times New Roman" w:hAnsi="Times New Roman" w:eastAsia="Times New Roman" w:cs="Times New Roman"/>
          <w:spacing w:val="5"/>
        </w:rPr>
        <w:t>3.3.4 </w:t>
      </w:r>
      <w:r>
        <w:rPr>
          <w:spacing w:val="5"/>
        </w:rPr>
        <w:t>信息报送流程。</w:t>
      </w:r>
    </w:p>
    <w:p>
      <w:pPr>
        <w:pStyle w:val="BodyText"/>
        <w:ind w:left="14" w:right="327" w:firstLine="410"/>
        <w:spacing w:before="115" w:line="305"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）市应急管理指挥部办公室接到生产</w:t>
      </w:r>
      <w:r>
        <w:rPr>
          <w:spacing w:val="9"/>
        </w:rPr>
        <w:t>安全事故信息后</w:t>
      </w:r>
      <w:r>
        <w:rPr>
          <w:spacing w:val="-57"/>
        </w:rPr>
        <w:t xml:space="preserve"> </w:t>
      </w:r>
      <w:r>
        <w:rPr>
          <w:spacing w:val="9"/>
        </w:rPr>
        <w:t>，在</w:t>
      </w:r>
      <w:r>
        <w:rPr>
          <w:spacing w:val="-36"/>
        </w:rPr>
        <w:t xml:space="preserve"> </w:t>
      </w:r>
      <w:r>
        <w:rPr>
          <w:rFonts w:ascii="Times New Roman" w:hAnsi="Times New Roman" w:eastAsia="Times New Roman" w:cs="Times New Roman"/>
          <w:spacing w:val="9"/>
        </w:rPr>
        <w:t>30 </w:t>
      </w:r>
      <w:r>
        <w:rPr>
          <w:spacing w:val="9"/>
        </w:rPr>
        <w:t>分钟内电话向当日值</w:t>
      </w:r>
      <w:r>
        <w:rPr>
          <w:spacing w:val="7"/>
        </w:rPr>
        <w:t>班人员报告，值班人员在了解情况的同时，逐</w:t>
      </w:r>
      <w:r>
        <w:rPr>
          <w:spacing w:val="7"/>
        </w:rPr>
        <w:t>级进行上报。</w:t>
      </w:r>
    </w:p>
    <w:p>
      <w:pPr>
        <w:pStyle w:val="BodyText"/>
        <w:ind w:left="11" w:right="337" w:firstLine="413"/>
        <w:spacing w:before="118" w:line="319" w:lineRule="auto"/>
        <w:rPr/>
      </w:pPr>
      <w:r>
        <w:rPr>
          <w:spacing w:val="12"/>
        </w:rPr>
        <w:t>（</w:t>
      </w:r>
      <w:r>
        <w:rPr>
          <w:rFonts w:ascii="Times New Roman" w:hAnsi="Times New Roman" w:eastAsia="Times New Roman" w:cs="Times New Roman"/>
          <w:spacing w:val="12"/>
        </w:rPr>
        <w:t>2</w:t>
      </w:r>
      <w:r>
        <w:rPr>
          <w:spacing w:val="12"/>
        </w:rPr>
        <w:t>）相关领导在确定事故严重程度后，</w:t>
      </w:r>
      <w:r>
        <w:rPr>
          <w:spacing w:val="9"/>
        </w:rPr>
        <w:t>通知市应急管理指挥部办公室并报告市委市</w:t>
      </w:r>
      <w:r>
        <w:rPr>
          <w:spacing w:val="7"/>
        </w:rPr>
        <w:t>政府（市</w:t>
      </w:r>
      <w:r>
        <w:rPr>
          <w:spacing w:val="-41"/>
        </w:rPr>
        <w:t xml:space="preserve"> </w:t>
      </w:r>
      <w:r>
        <w:rPr>
          <w:spacing w:val="7"/>
        </w:rPr>
        <w:t>委</w:t>
      </w:r>
      <w:r>
        <w:rPr>
          <w:spacing w:val="-45"/>
        </w:rPr>
        <w:t xml:space="preserve"> </w:t>
      </w:r>
      <w:r>
        <w:rPr>
          <w:spacing w:val="7"/>
        </w:rPr>
        <w:t>办 </w:t>
      </w:r>
      <w:r>
        <w:rPr>
          <w:rFonts w:ascii="Times New Roman" w:hAnsi="Times New Roman" w:eastAsia="Times New Roman" w:cs="Times New Roman"/>
          <w:spacing w:val="7"/>
        </w:rPr>
        <w:t>2088603</w:t>
      </w:r>
      <w:r>
        <w:rPr>
          <w:rFonts w:ascii="Times New Roman" w:hAnsi="Times New Roman" w:eastAsia="Times New Roman" w:cs="Times New Roman"/>
          <w:spacing w:val="19"/>
          <w:w w:val="101"/>
        </w:rPr>
        <w:t xml:space="preserve"> </w:t>
      </w:r>
      <w:r>
        <w:rPr>
          <w:spacing w:val="7"/>
        </w:rPr>
        <w:t>、</w:t>
      </w:r>
      <w:r>
        <w:rPr>
          <w:spacing w:val="-49"/>
        </w:rPr>
        <w:t xml:space="preserve"> </w:t>
      </w:r>
      <w:r>
        <w:rPr>
          <w:rFonts w:ascii="Times New Roman" w:hAnsi="Times New Roman" w:eastAsia="Times New Roman" w:cs="Times New Roman"/>
          <w:spacing w:val="7"/>
        </w:rPr>
        <w:t>2088616</w:t>
      </w:r>
      <w:r>
        <w:rPr>
          <w:rFonts w:ascii="Times New Roman" w:hAnsi="Times New Roman" w:eastAsia="Times New Roman" w:cs="Times New Roman"/>
          <w:spacing w:val="33"/>
          <w:w w:val="101"/>
        </w:rPr>
        <w:t xml:space="preserve"> </w:t>
      </w:r>
      <w:r>
        <w:rPr>
          <w:spacing w:val="7"/>
        </w:rPr>
        <w:t>，</w:t>
      </w:r>
      <w:r>
        <w:rPr>
          <w:spacing w:val="-49"/>
        </w:rPr>
        <w:t xml:space="preserve"> </w:t>
      </w:r>
      <w:r>
        <w:rPr>
          <w:spacing w:val="7"/>
        </w:rPr>
        <w:t>政</w:t>
      </w:r>
      <w:r>
        <w:rPr>
          <w:spacing w:val="-48"/>
        </w:rPr>
        <w:t xml:space="preserve"> </w:t>
      </w:r>
      <w:r>
        <w:rPr>
          <w:spacing w:val="7"/>
        </w:rPr>
        <w:t>府</w:t>
      </w:r>
      <w:r>
        <w:rPr/>
        <w:t>办</w:t>
      </w:r>
      <w:r>
        <w:rPr>
          <w:rFonts w:ascii="Times New Roman" w:hAnsi="Times New Roman" w:eastAsia="Times New Roman" w:cs="Times New Roman"/>
        </w:rPr>
        <w:t>2088060  </w:t>
      </w:r>
      <w:r>
        <w:rPr>
          <w:spacing w:val="-8"/>
        </w:rPr>
        <w:t>）</w:t>
      </w:r>
      <w:r>
        <w:rPr>
          <w:spacing w:val="-4"/>
        </w:rPr>
        <w:t xml:space="preserve"> </w:t>
      </w:r>
      <w:r>
        <w:rPr>
          <w:spacing w:val="-8"/>
        </w:rPr>
        <w:t>，</w:t>
      </w:r>
      <w:r>
        <w:rPr>
          <w:spacing w:val="-4"/>
        </w:rPr>
        <w:t xml:space="preserve"> </w:t>
      </w:r>
      <w:r>
        <w:rPr/>
        <w:t>向 自</w:t>
      </w:r>
      <w:r>
        <w:rPr>
          <w:spacing w:val="-17"/>
        </w:rPr>
        <w:t xml:space="preserve"> </w:t>
      </w:r>
      <w:r>
        <w:rPr/>
        <w:t>治 区</w:t>
      </w:r>
      <w:r>
        <w:rPr>
          <w:spacing w:val="-18"/>
        </w:rPr>
        <w:t xml:space="preserve"> </w:t>
      </w:r>
      <w:r>
        <w:rPr/>
        <w:t>党</w:t>
      </w:r>
      <w:r>
        <w:rPr>
          <w:spacing w:val="-17"/>
        </w:rPr>
        <w:t xml:space="preserve"> </w:t>
      </w:r>
      <w:r>
        <w:rPr/>
        <w:t>委</w:t>
      </w:r>
      <w:r>
        <w:rPr>
          <w:spacing w:val="-44"/>
        </w:rPr>
        <w:t xml:space="preserve"> </w:t>
      </w:r>
      <w:r>
        <w:rPr/>
        <w:t>（</w:t>
      </w:r>
      <w:r>
        <w:rPr>
          <w:spacing w:val="12"/>
        </w:rPr>
        <w:t xml:space="preserve"> </w:t>
      </w:r>
      <w:r>
        <w:rPr/>
        <w:t>办</w:t>
      </w:r>
      <w:r>
        <w:rPr>
          <w:spacing w:val="-23"/>
        </w:rPr>
        <w:t xml:space="preserve"> </w:t>
      </w:r>
      <w:r>
        <w:rPr/>
        <w:t>公</w:t>
      </w:r>
      <w:r>
        <w:rPr>
          <w:spacing w:val="4"/>
        </w:rPr>
        <w:t>厅</w:t>
      </w:r>
      <w:r>
        <w:rPr>
          <w:rFonts w:ascii="Times New Roman" w:hAnsi="Times New Roman" w:eastAsia="Times New Roman" w:cs="Times New Roman"/>
          <w:spacing w:val="4"/>
        </w:rPr>
        <w:t>0951-6668633</w:t>
      </w:r>
      <w:r>
        <w:rPr>
          <w:rFonts w:ascii="Times New Roman" w:hAnsi="Times New Roman" w:eastAsia="Times New Roman" w:cs="Times New Roman"/>
          <w:spacing w:val="-28"/>
        </w:rPr>
        <w:t xml:space="preserve"> </w:t>
      </w:r>
      <w:r>
        <w:rPr>
          <w:spacing w:val="4"/>
        </w:rPr>
        <w:t>、</w:t>
      </w:r>
      <w:r>
        <w:rPr>
          <w:rFonts w:ascii="Times New Roman" w:hAnsi="Times New Roman" w:eastAsia="Times New Roman" w:cs="Times New Roman"/>
          <w:spacing w:val="4"/>
        </w:rPr>
        <w:t>6669111</w:t>
      </w:r>
      <w:r>
        <w:rPr>
          <w:rFonts w:ascii="Times New Roman" w:hAnsi="Times New Roman" w:eastAsia="Times New Roman" w:cs="Times New Roman"/>
          <w:spacing w:val="-26"/>
        </w:rPr>
        <w:t xml:space="preserve"> </w:t>
      </w:r>
      <w:r>
        <w:rPr>
          <w:spacing w:val="4"/>
        </w:rPr>
        <w:t>、</w:t>
      </w:r>
      <w:r>
        <w:rPr>
          <w:rFonts w:ascii="Times New Roman" w:hAnsi="Times New Roman" w:eastAsia="Times New Roman" w:cs="Times New Roman"/>
          <w:spacing w:val="4"/>
        </w:rPr>
        <w:t>6669</w:t>
      </w:r>
      <w:r>
        <w:rPr>
          <w:rFonts w:ascii="Times New Roman" w:hAnsi="Times New Roman" w:eastAsia="Times New Roman" w:cs="Times New Roman"/>
          <w:spacing w:val="3"/>
        </w:rPr>
        <w:t>222</w:t>
      </w:r>
      <w:r>
        <w:rPr>
          <w:spacing w:val="3"/>
        </w:rPr>
        <w:t>）、自治</w:t>
      </w:r>
      <w:r>
        <w:rPr>
          <w:spacing w:val="6"/>
        </w:rPr>
        <w:t>区政府（办公厅</w:t>
      </w:r>
      <w:r>
        <w:rPr>
          <w:spacing w:val="-32"/>
        </w:rPr>
        <w:t xml:space="preserve"> </w:t>
      </w:r>
      <w:r>
        <w:rPr>
          <w:rFonts w:ascii="Times New Roman" w:hAnsi="Times New Roman" w:eastAsia="Times New Roman" w:cs="Times New Roman"/>
          <w:spacing w:val="6"/>
        </w:rPr>
        <w:t>0951-6363111</w:t>
      </w:r>
      <w:r>
        <w:rPr>
          <w:rFonts w:ascii="Times New Roman" w:hAnsi="Times New Roman" w:eastAsia="Times New Roman" w:cs="Times New Roman"/>
          <w:spacing w:val="-21"/>
        </w:rPr>
        <w:t xml:space="preserve"> </w:t>
      </w:r>
      <w:r>
        <w:rPr>
          <w:spacing w:val="6"/>
        </w:rPr>
        <w:t>、</w:t>
      </w:r>
      <w:r>
        <w:rPr>
          <w:rFonts w:ascii="Times New Roman" w:hAnsi="Times New Roman" w:eastAsia="Times New Roman" w:cs="Times New Roman"/>
          <w:spacing w:val="6"/>
        </w:rPr>
        <w:t>6363222</w:t>
      </w:r>
      <w:r>
        <w:rPr>
          <w:spacing w:val="6"/>
        </w:rPr>
        <w:t>）和</w:t>
      </w:r>
      <w:r>
        <w:rPr>
          <w:spacing w:val="12"/>
        </w:rPr>
        <w:t>自治区应急管理厅（总值班室</w:t>
      </w:r>
      <w:r>
        <w:rPr>
          <w:spacing w:val="-28"/>
        </w:rPr>
        <w:t xml:space="preserve"> </w:t>
      </w:r>
      <w:r>
        <w:rPr>
          <w:rFonts w:ascii="Times New Roman" w:hAnsi="Times New Roman" w:eastAsia="Times New Roman" w:cs="Times New Roman"/>
          <w:spacing w:val="12"/>
        </w:rPr>
        <w:t>0951-8622000</w:t>
      </w:r>
      <w:r>
        <w:rPr>
          <w:rFonts w:ascii="Times New Roman" w:hAnsi="Times New Roman" w:eastAsia="Times New Roman" w:cs="Times New Roman"/>
        </w:rPr>
        <w:t xml:space="preserve"> </w:t>
      </w:r>
      <w:r>
        <w:rPr>
          <w:spacing w:val="5"/>
        </w:rPr>
        <w:t>、</w:t>
      </w:r>
      <w:r>
        <w:rPr>
          <w:rFonts w:ascii="Times New Roman" w:hAnsi="Times New Roman" w:eastAsia="Times New Roman" w:cs="Times New Roman"/>
          <w:spacing w:val="5"/>
        </w:rPr>
        <w:t>8622111</w:t>
      </w:r>
      <w:r>
        <w:rPr>
          <w:rFonts w:ascii="Times New Roman" w:hAnsi="Times New Roman" w:eastAsia="Times New Roman" w:cs="Times New Roman"/>
          <w:spacing w:val="-22"/>
        </w:rPr>
        <w:t xml:space="preserve"> </w:t>
      </w:r>
      <w:r>
        <w:rPr>
          <w:spacing w:val="5"/>
        </w:rPr>
        <w:t>）报送事故信息。</w:t>
      </w:r>
    </w:p>
    <w:p>
      <w:pPr>
        <w:pStyle w:val="BodyText"/>
        <w:ind w:left="13" w:right="322" w:firstLine="411"/>
        <w:spacing w:before="115" w:line="311"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）市应急管理指挥部办公室梳理汇总</w:t>
      </w:r>
      <w:r>
        <w:rPr>
          <w:spacing w:val="7"/>
        </w:rPr>
        <w:t>信息后通过电话、传真、应急信息报送平台等</w:t>
      </w:r>
      <w:r>
        <w:rPr>
          <w:spacing w:val="7"/>
        </w:rPr>
        <w:t>方式报自治区党委、政府及自治区应急管理厅</w:t>
      </w:r>
      <w:r>
        <w:rPr>
          <w:spacing w:val="7"/>
        </w:rPr>
        <w:t>总值班室。必要时可按照自治区政府的要求，</w:t>
      </w:r>
      <w:r>
        <w:rPr>
          <w:spacing w:val="9"/>
        </w:rPr>
        <w:t>利用应急移动小平台报送图片、视频信息。</w:t>
      </w:r>
    </w:p>
    <w:p>
      <w:pPr>
        <w:ind w:left="434"/>
        <w:spacing w:before="109"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4</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5"/>
        </w:rPr>
        <w:t>应急响应</w:t>
      </w:r>
    </w:p>
    <w:p>
      <w:pPr>
        <w:pStyle w:val="BodyText"/>
        <w:ind w:left="11" w:right="265" w:firstLine="423"/>
        <w:spacing w:before="61" w:line="316" w:lineRule="auto"/>
        <w:rPr/>
      </w:pPr>
      <w:r>
        <w:rPr>
          <w:spacing w:val="19"/>
        </w:rPr>
        <w:t>市应急管理指挥部办公室在接到事故信</w:t>
      </w:r>
      <w:r>
        <w:rPr>
          <w:spacing w:val="7"/>
        </w:rPr>
        <w:t>息和指挥命令后，立即派出有关人员、协调相</w:t>
      </w:r>
      <w:r>
        <w:rPr>
          <w:spacing w:val="7"/>
        </w:rPr>
        <w:t>关救援队伍赶赴现场，在现场应急救援指挥部</w:t>
      </w:r>
      <w:r>
        <w:rPr/>
        <w:t>统一指挥下，按照预案和处置规程，密切配合，</w:t>
      </w:r>
      <w:r>
        <w:rPr>
          <w:spacing w:val="15"/>
        </w:rPr>
        <w:t>相互协同</w:t>
      </w:r>
      <w:r>
        <w:rPr>
          <w:spacing w:val="-39"/>
        </w:rPr>
        <w:t xml:space="preserve"> </w:t>
      </w:r>
      <w:r>
        <w:rPr>
          <w:spacing w:val="15"/>
        </w:rPr>
        <w:t>，共同实施抢险救援和紧急处置行</w:t>
      </w:r>
      <w:r>
        <w:rPr>
          <w:spacing w:val="7"/>
        </w:rPr>
        <w:t>动。事故发生单位在救援队伍未到达之前，应</w:t>
      </w:r>
      <w:r>
        <w:rPr>
          <w:spacing w:val="7"/>
        </w:rPr>
        <w:t>立即组织本企业专（兼）职应急救援队伍按照</w:t>
      </w:r>
    </w:p>
    <w:p>
      <w:pPr>
        <w:spacing w:line="14" w:lineRule="auto"/>
        <w:rPr>
          <w:rFonts w:ascii="Arial"/>
          <w:sz w:val="2"/>
        </w:rPr>
      </w:pPr>
      <w:r>
        <w:rPr>
          <w:rFonts w:ascii="Arial" w:hAnsi="Arial" w:eastAsia="Arial" w:cs="Arial"/>
          <w:sz w:val="2"/>
          <w:szCs w:val="2"/>
        </w:rPr>
        <w:br w:type="column"/>
      </w:r>
    </w:p>
    <w:p>
      <w:pPr>
        <w:pStyle w:val="BodyText"/>
        <w:spacing w:before="38" w:line="332" w:lineRule="auto"/>
        <w:jc w:val="both"/>
        <w:rPr/>
      </w:pPr>
      <w:r>
        <w:rPr>
          <w:spacing w:val="7"/>
        </w:rPr>
        <w:t>本企业相关应急预案进行先期处置。现场应急</w:t>
      </w:r>
      <w:r>
        <w:rPr>
          <w:spacing w:val="7"/>
        </w:rPr>
        <w:t>救援指挥部成立前，各应急救援队伍必须在市</w:t>
      </w:r>
      <w:r>
        <w:rPr>
          <w:spacing w:val="18"/>
        </w:rPr>
        <w:t>政府的统一指挥下和事故单位的协调配合下</w:t>
      </w:r>
      <w:r>
        <w:rPr/>
        <w:t>果断、迅速实施先期处置，全力控制事故态势，</w:t>
      </w:r>
      <w:r>
        <w:rPr>
          <w:spacing w:val="7"/>
        </w:rPr>
        <w:t>防止次生、衍生事件发生，有效控制和切断事</w:t>
      </w:r>
      <w:r>
        <w:rPr>
          <w:spacing w:val="4"/>
        </w:rPr>
        <w:t>故链。</w:t>
      </w:r>
    </w:p>
    <w:p>
      <w:pPr>
        <w:pStyle w:val="BodyText"/>
        <w:ind w:right="60" w:firstLine="420"/>
        <w:spacing w:before="1" w:line="333" w:lineRule="auto"/>
        <w:jc w:val="both"/>
        <w:rPr/>
      </w:pPr>
      <w:r>
        <w:rPr>
          <w:rFonts w:ascii="Times New Roman" w:hAnsi="Times New Roman" w:eastAsia="Times New Roman" w:cs="Times New Roman"/>
          <w:spacing w:val="7"/>
        </w:rPr>
        <w:t>4.</w:t>
      </w:r>
      <w:r>
        <w:rPr>
          <w:rFonts w:ascii="Times New Roman" w:hAnsi="Times New Roman" w:eastAsia="Times New Roman" w:cs="Times New Roman"/>
          <w:spacing w:val="-22"/>
        </w:rPr>
        <w:t xml:space="preserve"> </w:t>
      </w:r>
      <w:r>
        <w:rPr>
          <w:rFonts w:ascii="Times New Roman" w:hAnsi="Times New Roman" w:eastAsia="Times New Roman" w:cs="Times New Roman"/>
          <w:spacing w:val="7"/>
        </w:rPr>
        <w:t>1  </w:t>
      </w:r>
      <w:r>
        <w:rPr>
          <w:rFonts w:ascii="KaiTi" w:hAnsi="KaiTi" w:eastAsia="KaiTi" w:cs="KaiTi"/>
          <w:spacing w:val="7"/>
        </w:rPr>
        <w:t>响应分级。</w:t>
      </w:r>
      <w:r>
        <w:rPr>
          <w:spacing w:val="7"/>
        </w:rPr>
        <w:t>依据生产安全事故可能造</w:t>
      </w:r>
      <w:r>
        <w:rPr>
          <w:spacing w:val="7"/>
        </w:rPr>
        <w:t>成的危害程度、波及范围、影响力大小、人员</w:t>
      </w:r>
      <w:r>
        <w:rPr>
          <w:spacing w:val="7"/>
        </w:rPr>
        <w:t>及财产损失等情况，将生产安全事故分为特别</w:t>
      </w:r>
      <w:r>
        <w:rPr>
          <w:spacing w:val="3"/>
        </w:rPr>
        <w:t>重大(</w:t>
      </w:r>
      <w:r>
        <w:rPr>
          <w:spacing w:val="-31"/>
        </w:rPr>
        <w:t xml:space="preserve"> </w:t>
      </w:r>
      <w:r>
        <w:rPr>
          <w:rFonts w:ascii="Times New Roman" w:hAnsi="Times New Roman" w:eastAsia="Times New Roman" w:cs="Times New Roman"/>
          <w:spacing w:val="3"/>
        </w:rPr>
        <w:t>Ⅰ</w:t>
      </w:r>
      <w:r>
        <w:rPr>
          <w:spacing w:val="3"/>
        </w:rPr>
        <w:t>级响应）、重大(</w:t>
      </w:r>
      <w:r>
        <w:rPr>
          <w:spacing w:val="-36"/>
        </w:rPr>
        <w:t xml:space="preserve"> </w:t>
      </w:r>
      <w:r>
        <w:rPr>
          <w:rFonts w:ascii="Times New Roman" w:hAnsi="Times New Roman" w:eastAsia="Times New Roman" w:cs="Times New Roman"/>
          <w:spacing w:val="3"/>
        </w:rPr>
        <w:t>Ⅱ</w:t>
      </w:r>
      <w:r>
        <w:rPr>
          <w:spacing w:val="3"/>
        </w:rPr>
        <w:t>级响应）、较大(</w:t>
      </w:r>
      <w:r>
        <w:rPr>
          <w:spacing w:val="-38"/>
        </w:rPr>
        <w:t xml:space="preserve"> </w:t>
      </w:r>
      <w:r>
        <w:rPr>
          <w:rFonts w:ascii="Times New Roman" w:hAnsi="Times New Roman" w:eastAsia="Times New Roman" w:cs="Times New Roman"/>
          <w:spacing w:val="3"/>
        </w:rPr>
        <w:t>Ⅲ</w:t>
      </w:r>
      <w:r>
        <w:rPr>
          <w:spacing w:val="8"/>
        </w:rPr>
        <w:t>级响应）、一般（</w:t>
      </w:r>
      <w:r>
        <w:rPr>
          <w:rFonts w:ascii="Times New Roman" w:hAnsi="Times New Roman" w:eastAsia="Times New Roman" w:cs="Times New Roman"/>
        </w:rPr>
        <w:t>IV</w:t>
      </w:r>
      <w:r>
        <w:rPr>
          <w:rFonts w:ascii="Times New Roman" w:hAnsi="Times New Roman" w:eastAsia="Times New Roman" w:cs="Times New Roman"/>
          <w:spacing w:val="8"/>
        </w:rPr>
        <w:t xml:space="preserve"> </w:t>
      </w:r>
      <w:r>
        <w:rPr>
          <w:spacing w:val="8"/>
        </w:rPr>
        <w:t>级响应）。</w:t>
      </w:r>
    </w:p>
    <w:p>
      <w:pPr>
        <w:pStyle w:val="BodyText"/>
        <w:ind w:right="61" w:firstLine="420"/>
        <w:spacing w:line="332" w:lineRule="auto"/>
        <w:jc w:val="both"/>
        <w:rPr/>
      </w:pPr>
      <w:r>
        <w:rPr>
          <w:spacing w:val="7"/>
        </w:rPr>
        <w:t>应对特别重大、重大生产安全事故，分别</w:t>
      </w:r>
      <w:r>
        <w:rPr>
          <w:spacing w:val="7"/>
        </w:rPr>
        <w:t>启动</w:t>
      </w:r>
      <w:r>
        <w:rPr>
          <w:rFonts w:ascii="Times New Roman" w:hAnsi="Times New Roman" w:eastAsia="Times New Roman" w:cs="Times New Roman"/>
          <w:spacing w:val="7"/>
        </w:rPr>
        <w:t>Ⅰ</w:t>
      </w:r>
      <w:r>
        <w:rPr>
          <w:spacing w:val="7"/>
        </w:rPr>
        <w:t>级或</w:t>
      </w:r>
      <w:r>
        <w:rPr>
          <w:rFonts w:ascii="Times New Roman" w:hAnsi="Times New Roman" w:eastAsia="Times New Roman" w:cs="Times New Roman"/>
          <w:spacing w:val="7"/>
        </w:rPr>
        <w:t>Ⅱ</w:t>
      </w:r>
      <w:r>
        <w:rPr>
          <w:spacing w:val="7"/>
        </w:rPr>
        <w:t>级响应，在自治区党委、政府的统</w:t>
      </w:r>
      <w:r>
        <w:rPr>
          <w:spacing w:val="9"/>
        </w:rPr>
        <w:t>一领导下，做好突发事件应对工作。</w:t>
      </w:r>
    </w:p>
    <w:p>
      <w:pPr>
        <w:pStyle w:val="BodyText"/>
        <w:ind w:right="44" w:firstLine="420"/>
        <w:spacing w:before="2" w:line="332" w:lineRule="auto"/>
        <w:jc w:val="both"/>
        <w:rPr/>
      </w:pPr>
      <w:r>
        <w:rPr>
          <w:spacing w:val="7"/>
        </w:rPr>
        <w:t>应对较大及一般生产安全事故，分别启动</w:t>
      </w:r>
      <w:r>
        <w:rPr>
          <w:rFonts w:ascii="Times New Roman" w:hAnsi="Times New Roman" w:eastAsia="Times New Roman" w:cs="Times New Roman"/>
          <w:spacing w:val="7"/>
        </w:rPr>
        <w:t>Ⅲ</w:t>
      </w:r>
      <w:r>
        <w:rPr>
          <w:spacing w:val="7"/>
        </w:rPr>
        <w:t>级响应和</w:t>
      </w:r>
      <w:r>
        <w:rPr>
          <w:rFonts w:ascii="Times New Roman" w:hAnsi="Times New Roman" w:eastAsia="Times New Roman" w:cs="Times New Roman"/>
          <w:spacing w:val="7"/>
        </w:rPr>
        <w:t>Ⅳ</w:t>
      </w:r>
      <w:r>
        <w:rPr>
          <w:spacing w:val="7"/>
        </w:rPr>
        <w:t>级响应，由市应急管理指挥部办</w:t>
      </w:r>
      <w:r>
        <w:rPr>
          <w:spacing w:val="7"/>
        </w:rPr>
        <w:t>公室会同有关部门提出预案启动建议，应急处</w:t>
      </w:r>
      <w:r>
        <w:rPr>
          <w:spacing w:val="7"/>
        </w:rPr>
        <w:t>置指挥部宣布启动应急预案。应急处置指挥部</w:t>
      </w:r>
      <w:r>
        <w:rPr>
          <w:spacing w:val="8"/>
        </w:rPr>
        <w:t>负责组织、协调、指挥、处置突发事件工作。</w:t>
      </w:r>
      <w:r>
        <w:rPr>
          <w:spacing w:val="7"/>
        </w:rPr>
        <w:t>有关部门和单位根据突发事件需求，协助做好</w:t>
      </w:r>
      <w:r>
        <w:rPr>
          <w:spacing w:val="8"/>
        </w:rPr>
        <w:t>突发事件应对处置工作。</w:t>
      </w:r>
    </w:p>
    <w:p>
      <w:pPr>
        <w:pStyle w:val="BodyText"/>
        <w:ind w:right="47" w:firstLine="420"/>
        <w:spacing w:before="3" w:line="331" w:lineRule="auto"/>
        <w:jc w:val="both"/>
        <w:rPr/>
      </w:pPr>
      <w:r>
        <w:rPr>
          <w:spacing w:val="19"/>
        </w:rPr>
        <w:t>应急指挥部针对生产安全事故的不同类</w:t>
      </w:r>
      <w:r>
        <w:rPr>
          <w:spacing w:val="7"/>
        </w:rPr>
        <w:t>别，按照自治区应对生产安全事故应急分级标</w:t>
      </w:r>
      <w:r>
        <w:rPr>
          <w:spacing w:val="7"/>
        </w:rPr>
        <w:t>准确定本级分级标准、分级响应程序以及应急</w:t>
      </w:r>
      <w:r>
        <w:rPr>
          <w:spacing w:val="-2"/>
        </w:rPr>
        <w:t>措施。各部门、派驻机构、企业要制订相应的专</w:t>
      </w:r>
      <w:r>
        <w:rPr>
          <w:spacing w:val="-2"/>
        </w:rPr>
        <w:t>项预案，一旦发生生产安全事故，必须第一时间</w:t>
      </w:r>
      <w:r>
        <w:rPr>
          <w:spacing w:val="-4"/>
        </w:rPr>
        <w:t>赶赴现场进行处置。</w:t>
      </w:r>
    </w:p>
    <w:p>
      <w:pPr>
        <w:pStyle w:val="BodyText"/>
        <w:ind w:right="64" w:firstLine="420"/>
        <w:spacing w:before="5" w:line="332" w:lineRule="auto"/>
        <w:jc w:val="both"/>
        <w:rPr/>
      </w:pPr>
      <w:r>
        <w:rPr>
          <w:rFonts w:ascii="Times New Roman" w:hAnsi="Times New Roman" w:eastAsia="Times New Roman" w:cs="Times New Roman"/>
          <w:spacing w:val="8"/>
        </w:rPr>
        <w:t>4.2  </w:t>
      </w:r>
      <w:r>
        <w:rPr>
          <w:rFonts w:ascii="KaiTi" w:hAnsi="KaiTi" w:eastAsia="KaiTi" w:cs="KaiTi"/>
          <w:spacing w:val="8"/>
        </w:rPr>
        <w:t>响应程序。</w:t>
      </w:r>
      <w:r>
        <w:rPr>
          <w:spacing w:val="8"/>
        </w:rPr>
        <w:t>接到可能导致较大及以上</w:t>
      </w:r>
      <w:r>
        <w:rPr>
          <w:spacing w:val="7"/>
        </w:rPr>
        <w:t>生产安全事故的预警信息后，要密切关注事态</w:t>
      </w:r>
      <w:r>
        <w:rPr>
          <w:spacing w:val="18"/>
        </w:rPr>
        <w:t>进展。按照市应急管理指挥部的统一安排部</w:t>
      </w:r>
      <w:r>
        <w:rPr>
          <w:spacing w:val="7"/>
        </w:rPr>
        <w:t>署，组织、协调应急管理指挥部成员单位，按</w:t>
      </w:r>
      <w:r>
        <w:rPr>
          <w:spacing w:val="7"/>
        </w:rPr>
        <w:t>照预案做好应急准备和预防工作，并及时向应</w:t>
      </w:r>
      <w:r>
        <w:rPr>
          <w:spacing w:val="9"/>
        </w:rPr>
        <w:t>急管理指挥部办公室报送有关信息。</w:t>
      </w:r>
    </w:p>
    <w:p>
      <w:pPr>
        <w:pStyle w:val="BodyText"/>
        <w:ind w:left="1" w:right="64" w:firstLine="420"/>
        <w:spacing w:before="2" w:line="294" w:lineRule="auto"/>
        <w:jc w:val="both"/>
        <w:rPr/>
      </w:pPr>
      <w:r>
        <w:rPr>
          <w:spacing w:val="6"/>
        </w:rPr>
        <w:t>有关部门和各地接到预警的信息后，要密</w:t>
      </w:r>
      <w:r>
        <w:rPr>
          <w:spacing w:val="7"/>
        </w:rPr>
        <w:t>切关注事态进展情况，并积极做好应急准备和</w:t>
      </w:r>
      <w:r>
        <w:rPr>
          <w:spacing w:val="6"/>
        </w:rPr>
        <w:t>预防工作。</w:t>
      </w:r>
    </w:p>
    <w:p>
      <w:pPr>
        <w:spacing w:line="294" w:lineRule="auto"/>
        <w:sectPr>
          <w:type w:val="continuous"/>
          <w:pgSz w:w="11906" w:h="16839"/>
          <w:pgMar w:top="1766" w:right="1526" w:bottom="1563" w:left="1579" w:header="1428" w:footer="1172" w:gutter="0"/>
          <w:cols w:equalWidth="0" w:num="2">
            <w:col w:w="4489" w:space="100"/>
            <w:col w:w="4212" w:space="0"/>
          </w:cols>
        </w:sectPr>
        <w:rPr/>
      </w:pPr>
    </w:p>
    <w:p>
      <w:pPr>
        <w:spacing w:before="82"/>
        <w:rPr/>
      </w:pPr>
      <w:r>
        <w:drawing>
          <wp:anchor distT="0" distB="0" distL="0" distR="0" simplePos="0" relativeHeight="252106752" behindDoc="0" locked="0" layoutInCell="0" allowOverlap="1">
            <wp:simplePos x="0" y="0"/>
            <wp:positionH relativeFrom="page">
              <wp:posOffset>1008380</wp:posOffset>
            </wp:positionH>
            <wp:positionV relativeFrom="page">
              <wp:posOffset>1122680</wp:posOffset>
            </wp:positionV>
            <wp:extent cx="5579745" cy="7619"/>
            <wp:effectExtent l="0" t="0" r="0" b="0"/>
            <wp:wrapNone/>
            <wp:docPr id="1242" name="IM 1242"/>
            <wp:cNvGraphicFramePr/>
            <a:graphic>
              <a:graphicData uri="http://schemas.openxmlformats.org/drawingml/2006/picture">
                <pic:pic>
                  <pic:nvPicPr>
                    <pic:cNvPr id="1242" name="IM 1242"/>
                    <pic:cNvPicPr/>
                  </pic:nvPicPr>
                  <pic:blipFill>
                    <a:blip r:embed="rId623"/>
                    <a:stretch>
                      <a:fillRect/>
                    </a:stretch>
                  </pic:blipFill>
                  <pic:spPr>
                    <a:xfrm rot="0">
                      <a:off x="0" y="0"/>
                      <a:ext cx="5579745" cy="7619"/>
                    </a:xfrm>
                    <a:prstGeom prst="rect">
                      <a:avLst/>
                    </a:prstGeom>
                  </pic:spPr>
                </pic:pic>
              </a:graphicData>
            </a:graphic>
          </wp:anchor>
        </w:drawing>
      </w:r>
      <w:r/>
    </w:p>
    <w:p>
      <w:pPr>
        <w:sectPr>
          <w:headerReference w:type="default" r:id="rId606"/>
          <w:footerReference w:type="default" r:id="rId622"/>
          <w:pgSz w:w="11906" w:h="16839"/>
          <w:pgMar w:top="1769" w:right="1489" w:bottom="1570" w:left="1588" w:header="1428" w:footer="1172" w:gutter="0"/>
          <w:cols w:equalWidth="0" w:num="1">
            <w:col w:w="8829" w:space="0"/>
          </w:cols>
        </w:sectPr>
        <w:rPr/>
      </w:pPr>
    </w:p>
    <w:p>
      <w:pPr>
        <w:pStyle w:val="BodyText"/>
        <w:ind w:left="4" w:right="300" w:firstLine="412"/>
        <w:spacing w:before="2" w:line="279" w:lineRule="auto"/>
        <w:rPr/>
      </w:pPr>
      <w:r>
        <w:rPr>
          <w:spacing w:val="-12"/>
        </w:rPr>
        <w:t>（</w:t>
      </w:r>
      <w:r>
        <w:rPr>
          <w:spacing w:val="-44"/>
        </w:rPr>
        <w:t xml:space="preserve"> </w:t>
      </w:r>
      <w:r>
        <w:rPr>
          <w:rFonts w:ascii="Times New Roman" w:hAnsi="Times New Roman" w:eastAsia="Times New Roman" w:cs="Times New Roman"/>
          <w:spacing w:val="-12"/>
        </w:rPr>
        <w:t>1 </w:t>
      </w:r>
      <w:r>
        <w:rPr>
          <w:spacing w:val="-12"/>
        </w:rPr>
        <w:t>）向有关企业和单位发布预警信息，通知</w:t>
      </w:r>
      <w:r>
        <w:rPr>
          <w:spacing w:val="-9"/>
        </w:rPr>
        <w:t>其采取预防措施；</w:t>
      </w:r>
    </w:p>
    <w:p>
      <w:pPr>
        <w:pStyle w:val="BodyText"/>
        <w:ind w:left="416"/>
        <w:spacing w:before="113" w:line="278" w:lineRule="exact"/>
        <w:rPr/>
      </w:pPr>
      <w:r>
        <w:rPr>
          <w:spacing w:val="-5"/>
          <w:position w:val="1"/>
        </w:rPr>
        <w:t>（</w:t>
      </w:r>
      <w:r>
        <w:rPr>
          <w:rFonts w:ascii="Times New Roman" w:hAnsi="Times New Roman" w:eastAsia="Times New Roman" w:cs="Times New Roman"/>
          <w:spacing w:val="-5"/>
          <w:position w:val="1"/>
        </w:rPr>
        <w:t>2</w:t>
      </w:r>
      <w:r>
        <w:rPr>
          <w:rFonts w:ascii="Times New Roman" w:hAnsi="Times New Roman" w:eastAsia="Times New Roman" w:cs="Times New Roman"/>
          <w:spacing w:val="-6"/>
          <w:position w:val="1"/>
        </w:rPr>
        <w:t xml:space="preserve"> </w:t>
      </w:r>
      <w:r>
        <w:rPr>
          <w:spacing w:val="-5"/>
          <w:position w:val="1"/>
        </w:rPr>
        <w:t>）派工作人员赴现场了解掌握事故情况；</w:t>
      </w:r>
    </w:p>
    <w:p>
      <w:pPr>
        <w:pStyle w:val="BodyText"/>
        <w:ind w:left="3" w:right="300" w:firstLine="413"/>
        <w:spacing w:before="82" w:line="280" w:lineRule="auto"/>
        <w:rPr/>
      </w:pPr>
      <w:r>
        <w:rPr>
          <w:spacing w:val="-9"/>
        </w:rPr>
        <w:t>（</w:t>
      </w:r>
      <w:r>
        <w:rPr>
          <w:rFonts w:ascii="Times New Roman" w:hAnsi="Times New Roman" w:eastAsia="Times New Roman" w:cs="Times New Roman"/>
          <w:spacing w:val="-9"/>
        </w:rPr>
        <w:t>3</w:t>
      </w:r>
      <w:r>
        <w:rPr>
          <w:rFonts w:ascii="Times New Roman" w:hAnsi="Times New Roman" w:eastAsia="Times New Roman" w:cs="Times New Roman"/>
          <w:spacing w:val="-16"/>
        </w:rPr>
        <w:t xml:space="preserve"> </w:t>
      </w:r>
      <w:r>
        <w:rPr>
          <w:spacing w:val="-9"/>
        </w:rPr>
        <w:t>）组织相关安全生产技术专家研判，提出</w:t>
      </w:r>
      <w:r>
        <w:rPr>
          <w:spacing w:val="-9"/>
        </w:rPr>
        <w:t>并传达指导意见；</w:t>
      </w:r>
    </w:p>
    <w:p>
      <w:pPr>
        <w:pStyle w:val="BodyText"/>
        <w:ind w:left="9" w:right="325" w:firstLine="406"/>
        <w:spacing w:before="114" w:line="280"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）做好应急救援队伍、器材装备、物</w:t>
      </w:r>
      <w:r>
        <w:rPr>
          <w:spacing w:val="7"/>
        </w:rPr>
        <w:t>资等调集准备工作；</w:t>
      </w:r>
    </w:p>
    <w:p>
      <w:pPr>
        <w:pStyle w:val="BodyText"/>
        <w:ind w:left="416"/>
        <w:spacing w:before="112" w:line="276" w:lineRule="exact"/>
        <w:rPr/>
      </w:pPr>
      <w:r>
        <w:rPr>
          <w:spacing w:val="-5"/>
          <w:position w:val="1"/>
        </w:rPr>
        <w:t>（</w:t>
      </w:r>
      <w:r>
        <w:rPr>
          <w:rFonts w:ascii="Times New Roman" w:hAnsi="Times New Roman" w:eastAsia="Times New Roman" w:cs="Times New Roman"/>
          <w:spacing w:val="-5"/>
          <w:position w:val="1"/>
        </w:rPr>
        <w:t>5</w:t>
      </w:r>
      <w:r>
        <w:rPr>
          <w:rFonts w:ascii="Times New Roman" w:hAnsi="Times New Roman" w:eastAsia="Times New Roman" w:cs="Times New Roman"/>
          <w:spacing w:val="-6"/>
          <w:position w:val="1"/>
        </w:rPr>
        <w:t xml:space="preserve"> </w:t>
      </w:r>
      <w:r>
        <w:rPr>
          <w:spacing w:val="-5"/>
          <w:position w:val="1"/>
        </w:rPr>
        <w:t>）迅速向市应急管理指挥部办公室报告。</w:t>
      </w:r>
    </w:p>
    <w:p>
      <w:pPr>
        <w:pStyle w:val="BodyText"/>
        <w:ind w:left="3" w:right="320" w:firstLine="420"/>
        <w:spacing w:before="88" w:line="332" w:lineRule="auto"/>
        <w:jc w:val="both"/>
        <w:rPr/>
      </w:pPr>
      <w:r>
        <w:rPr>
          <w:rFonts w:ascii="Times New Roman" w:hAnsi="Times New Roman" w:eastAsia="Times New Roman" w:cs="Times New Roman"/>
          <w:spacing w:val="3"/>
        </w:rPr>
        <w:t>4.2.1 </w:t>
      </w:r>
      <w:r>
        <w:rPr>
          <w:spacing w:val="3"/>
        </w:rPr>
        <w:t>扩大响应。发生或者即将发生重大或</w:t>
      </w:r>
      <w:r>
        <w:rPr>
          <w:spacing w:val="7"/>
        </w:rPr>
        <w:t>者特别重大生产安全事故时，采取一般处置措</w:t>
      </w:r>
      <w:r>
        <w:rPr>
          <w:spacing w:val="7"/>
        </w:rPr>
        <w:t>施无法控制和消除其严重社会危害，需要宣布</w:t>
      </w:r>
      <w:r>
        <w:rPr>
          <w:spacing w:val="7"/>
        </w:rPr>
        <w:t>进入紧急状态的，由市政府依法及时提请自治</w:t>
      </w:r>
      <w:r>
        <w:rPr>
          <w:spacing w:val="7"/>
        </w:rPr>
        <w:t>区政府决定。</w:t>
      </w:r>
    </w:p>
    <w:p>
      <w:pPr>
        <w:pStyle w:val="BodyText"/>
        <w:ind w:left="3" w:right="322" w:firstLine="423"/>
        <w:spacing w:before="2" w:line="332" w:lineRule="auto"/>
        <w:jc w:val="both"/>
        <w:rPr/>
      </w:pPr>
      <w:r>
        <w:rPr>
          <w:spacing w:val="19"/>
        </w:rPr>
        <w:t>市政府提请自治区政府决定进入紧急状</w:t>
      </w:r>
      <w:r>
        <w:rPr>
          <w:spacing w:val="7"/>
        </w:rPr>
        <w:t>态的请求，应当载明突发事件的发生和发展情</w:t>
      </w:r>
      <w:r>
        <w:rPr>
          <w:spacing w:val="7"/>
        </w:rPr>
        <w:t>况，实施紧急状态的理由和法律依据，需要宣</w:t>
      </w:r>
      <w:r>
        <w:rPr>
          <w:spacing w:val="7"/>
        </w:rPr>
        <w:t>布进入紧急状态的地域范围，实施紧急状态的</w:t>
      </w:r>
      <w:r>
        <w:rPr>
          <w:spacing w:val="7"/>
        </w:rPr>
        <w:t>起始时间。</w:t>
      </w:r>
    </w:p>
    <w:p>
      <w:pPr>
        <w:pStyle w:val="BodyText"/>
        <w:ind w:left="4" w:right="320" w:firstLine="420"/>
        <w:spacing w:before="3" w:line="332" w:lineRule="auto"/>
        <w:jc w:val="both"/>
        <w:rPr/>
      </w:pPr>
      <w:r>
        <w:rPr>
          <w:rFonts w:ascii="Times New Roman" w:hAnsi="Times New Roman" w:eastAsia="Times New Roman" w:cs="Times New Roman"/>
          <w:spacing w:val="3"/>
        </w:rPr>
        <w:t>4.2.2 </w:t>
      </w:r>
      <w:r>
        <w:rPr>
          <w:spacing w:val="3"/>
        </w:rPr>
        <w:t>社会动员。现场应急指挥部根据生产</w:t>
      </w:r>
      <w:r>
        <w:rPr>
          <w:spacing w:val="7"/>
        </w:rPr>
        <w:t>安全事故的性质、危害程度和范围，广泛调动</w:t>
      </w:r>
      <w:r>
        <w:rPr>
          <w:spacing w:val="7"/>
        </w:rPr>
        <w:t>社会力量参与事件处置，紧急情况下可依法调</w:t>
      </w:r>
      <w:r>
        <w:rPr>
          <w:spacing w:val="8"/>
        </w:rPr>
        <w:t>用人员、车辆、物资、设备等。</w:t>
      </w:r>
    </w:p>
    <w:p>
      <w:pPr>
        <w:pStyle w:val="BodyText"/>
        <w:ind w:left="4" w:right="239" w:firstLine="422"/>
        <w:spacing w:before="1" w:line="331" w:lineRule="auto"/>
        <w:jc w:val="both"/>
        <w:rPr/>
      </w:pPr>
      <w:r>
        <w:rPr>
          <w:spacing w:val="6"/>
        </w:rPr>
        <w:t>生产安全事故发生后，应急指挥机构组织</w:t>
      </w:r>
      <w:r>
        <w:rPr>
          <w:spacing w:val="7"/>
        </w:rPr>
        <w:t>各方面力量开展应急处置工作，组织基层单位</w:t>
      </w:r>
      <w:r>
        <w:rPr>
          <w:spacing w:val="7"/>
        </w:rPr>
        <w:t>和人员开展自救、互救；邻近的市县区政府根</w:t>
      </w:r>
      <w:r>
        <w:rPr>
          <w:spacing w:val="-8"/>
        </w:rPr>
        <w:t>据需要组织和动员社会力量，对事发地提供援助。</w:t>
      </w:r>
    </w:p>
    <w:p>
      <w:pPr>
        <w:pStyle w:val="BodyText"/>
        <w:ind w:left="5" w:right="322" w:firstLine="418"/>
        <w:spacing w:before="3" w:line="327" w:lineRule="auto"/>
        <w:jc w:val="both"/>
        <w:rPr/>
      </w:pPr>
      <w:r>
        <w:rPr>
          <w:spacing w:val="7"/>
        </w:rPr>
        <w:t>鼓励公民、法人和其他组织按照《中华人</w:t>
      </w:r>
      <w:r>
        <w:rPr>
          <w:spacing w:val="7"/>
        </w:rPr>
        <w:t>民共和国公益事业捐赠法》等有关法律法规的</w:t>
      </w:r>
      <w:r>
        <w:rPr>
          <w:spacing w:val="7"/>
        </w:rPr>
        <w:t>规定进行捐赠和援助。审计、监察部门对捐赠</w:t>
      </w:r>
      <w:r>
        <w:rPr>
          <w:spacing w:val="9"/>
        </w:rPr>
        <w:t>资金与物资的使用情况进行审计和监督。</w:t>
      </w:r>
    </w:p>
    <w:p>
      <w:pPr>
        <w:pStyle w:val="BodyText"/>
        <w:ind w:left="4" w:right="322" w:firstLine="421"/>
        <w:spacing w:before="27" w:line="331" w:lineRule="auto"/>
        <w:jc w:val="both"/>
        <w:rPr/>
      </w:pPr>
      <w:r>
        <w:rPr>
          <w:spacing w:val="6"/>
        </w:rPr>
        <w:t>根据生产安全事故发展情况，向社会公布</w:t>
      </w:r>
      <w:r>
        <w:rPr>
          <w:spacing w:val="7"/>
        </w:rPr>
        <w:t>志愿服务需求指南，明确专门人员，及时开通</w:t>
      </w:r>
      <w:r>
        <w:rPr>
          <w:spacing w:val="15"/>
        </w:rPr>
        <w:t>志愿服务联系电话</w:t>
      </w:r>
      <w:r>
        <w:rPr>
          <w:spacing w:val="-41"/>
        </w:rPr>
        <w:t xml:space="preserve"> </w:t>
      </w:r>
      <w:r>
        <w:rPr>
          <w:spacing w:val="15"/>
        </w:rPr>
        <w:t>，统一接收志愿者组织报</w:t>
      </w:r>
      <w:r>
        <w:rPr>
          <w:spacing w:val="7"/>
        </w:rPr>
        <w:t>名，做好志愿者派遣和相关服务工作，引导志</w:t>
      </w:r>
      <w:r>
        <w:rPr>
          <w:spacing w:val="8"/>
        </w:rPr>
        <w:t>愿者有序参与救援工作。</w:t>
      </w:r>
    </w:p>
    <w:p>
      <w:pPr>
        <w:ind w:left="424"/>
        <w:spacing w:line="210" w:lineRule="auto"/>
        <w:rPr>
          <w:rFonts w:ascii="KaiTi" w:hAnsi="KaiTi" w:eastAsia="KaiTi" w:cs="KaiTi"/>
          <w:sz w:val="20"/>
          <w:szCs w:val="20"/>
        </w:rPr>
      </w:pPr>
      <w:r>
        <w:rPr>
          <w:rFonts w:ascii="Times New Roman" w:hAnsi="Times New Roman" w:eastAsia="Times New Roman" w:cs="Times New Roman"/>
          <w:sz w:val="20"/>
          <w:szCs w:val="20"/>
          <w:spacing w:val="3"/>
        </w:rPr>
        <w:t>4.3</w:t>
      </w:r>
      <w:r>
        <w:rPr>
          <w:rFonts w:ascii="Times New Roman" w:hAnsi="Times New Roman" w:eastAsia="Times New Roman" w:cs="Times New Roman"/>
          <w:sz w:val="20"/>
          <w:szCs w:val="20"/>
          <w:spacing w:val="13"/>
        </w:rPr>
        <w:t xml:space="preserve">  </w:t>
      </w:r>
      <w:r>
        <w:rPr>
          <w:rFonts w:ascii="KaiTi" w:hAnsi="KaiTi" w:eastAsia="KaiTi" w:cs="KaiTi"/>
          <w:sz w:val="20"/>
          <w:szCs w:val="20"/>
          <w:spacing w:val="3"/>
        </w:rPr>
        <w:t>处置措施。</w:t>
      </w:r>
    </w:p>
    <w:p>
      <w:pPr>
        <w:spacing w:line="14" w:lineRule="auto"/>
        <w:rPr>
          <w:rFonts w:ascii="Arial"/>
          <w:sz w:val="2"/>
        </w:rPr>
      </w:pPr>
      <w:r>
        <w:rPr>
          <w:rFonts w:ascii="Arial" w:hAnsi="Arial" w:eastAsia="Arial" w:cs="Arial"/>
          <w:sz w:val="2"/>
          <w:szCs w:val="2"/>
        </w:rPr>
        <w:br w:type="column"/>
      </w:r>
    </w:p>
    <w:p>
      <w:pPr>
        <w:pStyle w:val="BodyText"/>
        <w:ind w:left="8" w:right="98" w:firstLine="419"/>
        <w:spacing w:before="2" w:line="277" w:lineRule="auto"/>
        <w:rPr/>
      </w:pPr>
      <w:r>
        <w:rPr>
          <w:rFonts w:ascii="Times New Roman" w:hAnsi="Times New Roman" w:eastAsia="Times New Roman" w:cs="Times New Roman"/>
          <w:spacing w:val="3"/>
        </w:rPr>
        <w:t>4.3.1 </w:t>
      </w:r>
      <w:r>
        <w:rPr>
          <w:spacing w:val="3"/>
        </w:rPr>
        <w:t>事故发生后，事故发生单位、获悉事</w:t>
      </w:r>
      <w:r>
        <w:rPr>
          <w:spacing w:val="30"/>
        </w:rPr>
        <w:t>故信息的单位或个人应立即拨打报警电话</w:t>
      </w:r>
    </w:p>
    <w:p>
      <w:pPr>
        <w:pStyle w:val="BodyText"/>
        <w:ind w:left="7" w:right="101" w:firstLine="21"/>
        <w:spacing w:before="120" w:line="304" w:lineRule="auto"/>
        <w:rPr/>
      </w:pPr>
      <w:r>
        <w:rPr>
          <w:rFonts w:ascii="Times New Roman" w:hAnsi="Times New Roman" w:eastAsia="Times New Roman" w:cs="Times New Roman"/>
          <w:spacing w:val="5"/>
        </w:rPr>
        <w:t>110</w:t>
      </w:r>
      <w:r>
        <w:rPr>
          <w:rFonts w:ascii="Times New Roman" w:hAnsi="Times New Roman" w:eastAsia="Times New Roman" w:cs="Times New Roman"/>
          <w:spacing w:val="-25"/>
        </w:rPr>
        <w:t xml:space="preserve"> </w:t>
      </w:r>
      <w:r>
        <w:rPr>
          <w:spacing w:val="5"/>
        </w:rPr>
        <w:t>、</w:t>
      </w:r>
      <w:r>
        <w:rPr>
          <w:rFonts w:ascii="Times New Roman" w:hAnsi="Times New Roman" w:eastAsia="Times New Roman" w:cs="Times New Roman"/>
          <w:spacing w:val="5"/>
        </w:rPr>
        <w:t>119</w:t>
      </w:r>
      <w:r>
        <w:rPr>
          <w:rFonts w:ascii="Times New Roman" w:hAnsi="Times New Roman" w:eastAsia="Times New Roman" w:cs="Times New Roman"/>
          <w:spacing w:val="-26"/>
        </w:rPr>
        <w:t xml:space="preserve"> </w:t>
      </w:r>
      <w:r>
        <w:rPr>
          <w:spacing w:val="5"/>
        </w:rPr>
        <w:t>、</w:t>
      </w:r>
      <w:r>
        <w:rPr>
          <w:rFonts w:ascii="Times New Roman" w:hAnsi="Times New Roman" w:eastAsia="Times New Roman" w:cs="Times New Roman"/>
          <w:spacing w:val="5"/>
        </w:rPr>
        <w:t>120 </w:t>
      </w:r>
      <w:r>
        <w:rPr>
          <w:spacing w:val="5"/>
        </w:rPr>
        <w:t>及市应急管理指挥部办公室报</w:t>
      </w:r>
      <w:r>
        <w:rPr>
          <w:spacing w:val="7"/>
        </w:rPr>
        <w:t>告情况，事故发生后，事故现场人员要对于可</w:t>
      </w:r>
      <w:r>
        <w:rPr>
          <w:spacing w:val="7"/>
        </w:rPr>
        <w:t>能造成重大事故的信息，各单位和人员可越级</w:t>
      </w:r>
      <w:r>
        <w:rPr>
          <w:spacing w:val="4"/>
        </w:rPr>
        <w:t>上报。</w:t>
      </w:r>
    </w:p>
    <w:p>
      <w:pPr>
        <w:pStyle w:val="BodyText"/>
        <w:ind w:left="8" w:right="48" w:firstLine="419"/>
        <w:spacing w:before="124" w:line="313" w:lineRule="auto"/>
        <w:rPr/>
      </w:pPr>
      <w:r>
        <w:rPr>
          <w:rFonts w:ascii="Times New Roman" w:hAnsi="Times New Roman" w:eastAsia="Times New Roman" w:cs="Times New Roman"/>
          <w:spacing w:val="13"/>
        </w:rPr>
        <w:t>4.3.2 </w:t>
      </w:r>
      <w:r>
        <w:rPr>
          <w:spacing w:val="13"/>
        </w:rPr>
        <w:t>市应急管理指挥部办公室及相关部</w:t>
      </w:r>
      <w:r>
        <w:rPr>
          <w:spacing w:val="9"/>
        </w:rPr>
        <w:t>门接报后，应在第一时间联系事发地县（区）</w:t>
      </w:r>
      <w:r>
        <w:rPr>
          <w:spacing w:val="9"/>
        </w:rPr>
        <w:t>政府相关负责人赶赴现场，并立即报告市委市</w:t>
      </w:r>
      <w:r>
        <w:rPr>
          <w:spacing w:val="7"/>
        </w:rPr>
        <w:t>政府分管领导。较大以上事故或可能产生较大</w:t>
      </w:r>
      <w:r>
        <w:rPr>
          <w:spacing w:val="7"/>
        </w:rPr>
        <w:t>影响的事故应同时报告自治区党委、政府相关</w:t>
      </w:r>
      <w:r>
        <w:rPr>
          <w:spacing w:val="4"/>
        </w:rPr>
        <w:t>领导。</w:t>
      </w:r>
    </w:p>
    <w:p>
      <w:pPr>
        <w:pStyle w:val="BodyText"/>
        <w:ind w:right="96" w:firstLine="427"/>
        <w:spacing w:before="125" w:line="321" w:lineRule="auto"/>
        <w:rPr/>
      </w:pPr>
      <w:r>
        <w:rPr>
          <w:rFonts w:ascii="Times New Roman" w:hAnsi="Times New Roman" w:eastAsia="Times New Roman" w:cs="Times New Roman"/>
          <w:spacing w:val="13"/>
        </w:rPr>
        <w:t>4.3.3 </w:t>
      </w:r>
      <w:r>
        <w:rPr>
          <w:spacing w:val="13"/>
        </w:rPr>
        <w:t>市应急管理指挥部办公室负责迅速</w:t>
      </w:r>
      <w:r>
        <w:rPr>
          <w:spacing w:val="7"/>
        </w:rPr>
        <w:t>核实事故情况，研判事故级别。对于重大级别</w:t>
      </w:r>
      <w:r>
        <w:rPr>
          <w:spacing w:val="8"/>
        </w:rPr>
        <w:t>（</w:t>
      </w:r>
      <w:r>
        <w:rPr>
          <w:rFonts w:ascii="Times New Roman" w:hAnsi="Times New Roman" w:eastAsia="Times New Roman" w:cs="Times New Roman"/>
        </w:rPr>
        <w:t>II</w:t>
      </w:r>
      <w:r>
        <w:rPr>
          <w:rFonts w:ascii="Times New Roman" w:hAnsi="Times New Roman" w:eastAsia="Times New Roman" w:cs="Times New Roman"/>
          <w:spacing w:val="8"/>
        </w:rPr>
        <w:t xml:space="preserve"> </w:t>
      </w:r>
      <w:r>
        <w:rPr>
          <w:spacing w:val="8"/>
        </w:rPr>
        <w:t>级）以上事故，市应急管理指挥部办公室</w:t>
      </w:r>
      <w:r>
        <w:rPr>
          <w:spacing w:val="9"/>
        </w:rPr>
        <w:t>必须在</w:t>
      </w:r>
      <w:r>
        <w:rPr>
          <w:spacing w:val="-23"/>
        </w:rPr>
        <w:t xml:space="preserve"> </w:t>
      </w:r>
      <w:r>
        <w:rPr>
          <w:rFonts w:ascii="Times New Roman" w:hAnsi="Times New Roman" w:eastAsia="Times New Roman" w:cs="Times New Roman"/>
          <w:spacing w:val="9"/>
        </w:rPr>
        <w:t>30 </w:t>
      </w:r>
      <w:r>
        <w:rPr>
          <w:spacing w:val="9"/>
        </w:rPr>
        <w:t>分钟内电话报自治区应急管理厅</w:t>
      </w:r>
      <w:r>
        <w:rPr>
          <w:spacing w:val="-58"/>
        </w:rPr>
        <w:t xml:space="preserve"> </w:t>
      </w:r>
      <w:r>
        <w:rPr>
          <w:spacing w:val="9"/>
        </w:rPr>
        <w:t>，</w:t>
      </w:r>
      <w:r>
        <w:rPr>
          <w:spacing w:val="6"/>
        </w:rPr>
        <w:t>必要时</w:t>
      </w:r>
      <w:r>
        <w:rPr>
          <w:spacing w:val="-21"/>
        </w:rPr>
        <w:t xml:space="preserve"> </w:t>
      </w:r>
      <w:r>
        <w:rPr>
          <w:rFonts w:ascii="Times New Roman" w:hAnsi="Times New Roman" w:eastAsia="Times New Roman" w:cs="Times New Roman"/>
          <w:spacing w:val="6"/>
        </w:rPr>
        <w:t>1 </w:t>
      </w:r>
      <w:r>
        <w:rPr>
          <w:spacing w:val="6"/>
        </w:rPr>
        <w:t>小时内将详细文字材料通过传真、电</w:t>
      </w:r>
      <w:r>
        <w:rPr>
          <w:spacing w:val="18"/>
        </w:rPr>
        <w:t>子邮件等形式报自治区应急管理厅总值班室</w:t>
      </w:r>
      <w:r>
        <w:rPr>
          <w:spacing w:val="1"/>
        </w:rPr>
        <w:t>（</w:t>
      </w:r>
      <w:r>
        <w:rPr>
          <w:spacing w:val="-37"/>
        </w:rPr>
        <w:t xml:space="preserve"> </w:t>
      </w:r>
      <w:r>
        <w:rPr>
          <w:spacing w:val="1"/>
        </w:rPr>
        <w:t>电话</w:t>
      </w:r>
      <w:r>
        <w:rPr>
          <w:spacing w:val="-40"/>
        </w:rPr>
        <w:t xml:space="preserve"> </w:t>
      </w:r>
      <w:r>
        <w:rPr>
          <w:rFonts w:ascii="Times New Roman" w:hAnsi="Times New Roman" w:eastAsia="Times New Roman" w:cs="Times New Roman"/>
          <w:spacing w:val="1"/>
        </w:rPr>
        <w:t>0951-8622000</w:t>
      </w:r>
      <w:r>
        <w:rPr>
          <w:rFonts w:ascii="Times New Roman" w:hAnsi="Times New Roman" w:eastAsia="Times New Roman" w:cs="Times New Roman"/>
          <w:spacing w:val="-28"/>
        </w:rPr>
        <w:t xml:space="preserve"> </w:t>
      </w:r>
      <w:r>
        <w:rPr>
          <w:spacing w:val="1"/>
        </w:rPr>
        <w:t>、</w:t>
      </w:r>
      <w:r>
        <w:rPr>
          <w:rFonts w:ascii="Times New Roman" w:hAnsi="Times New Roman" w:eastAsia="Times New Roman" w:cs="Times New Roman"/>
          <w:spacing w:val="1"/>
        </w:rPr>
        <w:t>8622111 </w:t>
      </w:r>
      <w:r>
        <w:rPr>
          <w:spacing w:val="1"/>
        </w:rPr>
        <w:t>）。</w:t>
      </w:r>
    </w:p>
    <w:p>
      <w:pPr>
        <w:pStyle w:val="BodyText"/>
        <w:ind w:left="16" w:right="101" w:firstLine="411"/>
        <w:spacing w:before="83" w:line="277" w:lineRule="auto"/>
        <w:rPr/>
      </w:pPr>
      <w:r>
        <w:rPr>
          <w:rFonts w:ascii="Times New Roman" w:hAnsi="Times New Roman" w:eastAsia="Times New Roman" w:cs="Times New Roman"/>
          <w:spacing w:val="13"/>
        </w:rPr>
        <w:t>4.3.4 </w:t>
      </w:r>
      <w:r>
        <w:rPr>
          <w:spacing w:val="13"/>
        </w:rPr>
        <w:t>其他事故接报部门和单位应按照本</w:t>
      </w:r>
      <w:r>
        <w:rPr>
          <w:spacing w:val="8"/>
        </w:rPr>
        <w:t>系统的规定，向上级部门报告事故情况。</w:t>
      </w:r>
    </w:p>
    <w:p>
      <w:pPr>
        <w:pStyle w:val="BodyText"/>
        <w:ind w:left="427"/>
        <w:spacing w:before="116" w:line="277" w:lineRule="exact"/>
        <w:rPr/>
      </w:pPr>
      <w:r>
        <w:rPr>
          <w:rFonts w:ascii="Times New Roman" w:hAnsi="Times New Roman" w:eastAsia="Times New Roman" w:cs="Times New Roman"/>
          <w:spacing w:val="6"/>
          <w:position w:val="1"/>
        </w:rPr>
        <w:t>4.3.5 </w:t>
      </w:r>
      <w:r>
        <w:rPr>
          <w:spacing w:val="6"/>
          <w:position w:val="1"/>
        </w:rPr>
        <w:t>信息报告的内容主要包括：</w:t>
      </w:r>
    </w:p>
    <w:p>
      <w:pPr>
        <w:pStyle w:val="BodyText"/>
        <w:ind w:left="428"/>
        <w:spacing w:before="83" w:line="263" w:lineRule="exact"/>
        <w:rPr/>
      </w:pPr>
      <w:r>
        <w:rPr>
          <w:rFonts w:ascii="KaiTi" w:hAnsi="KaiTi" w:eastAsia="KaiTi" w:cs="KaiTi"/>
          <w:spacing w:val="8"/>
          <w:position w:val="1"/>
        </w:rPr>
        <w:t>①</w:t>
      </w:r>
      <w:r>
        <w:rPr>
          <w:spacing w:val="8"/>
          <w:position w:val="1"/>
        </w:rPr>
        <w:t>信息来源和事故发生单位概况；</w:t>
      </w:r>
    </w:p>
    <w:p>
      <w:pPr>
        <w:pStyle w:val="BodyText"/>
        <w:spacing w:before="97" w:line="263" w:lineRule="exact"/>
        <w:jc w:val="right"/>
        <w:rPr/>
      </w:pPr>
      <w:r>
        <w:rPr>
          <w:rFonts w:ascii="KaiTi" w:hAnsi="KaiTi" w:eastAsia="KaiTi" w:cs="KaiTi"/>
          <w:spacing w:val="-11"/>
          <w:position w:val="1"/>
        </w:rPr>
        <w:t>②</w:t>
      </w:r>
      <w:r>
        <w:rPr>
          <w:spacing w:val="-11"/>
          <w:position w:val="1"/>
        </w:rPr>
        <w:t>事故发生的时间、地点以及事故现场情况；</w:t>
      </w:r>
    </w:p>
    <w:p>
      <w:pPr>
        <w:pStyle w:val="BodyText"/>
        <w:ind w:left="428"/>
        <w:spacing w:before="97" w:line="263" w:lineRule="exact"/>
        <w:rPr/>
      </w:pPr>
      <w:r>
        <w:rPr>
          <w:rFonts w:ascii="KaiTi" w:hAnsi="KaiTi" w:eastAsia="KaiTi" w:cs="KaiTi"/>
          <w:spacing w:val="8"/>
          <w:position w:val="1"/>
        </w:rPr>
        <w:t>③</w:t>
      </w:r>
      <w:r>
        <w:rPr>
          <w:spacing w:val="8"/>
          <w:position w:val="1"/>
        </w:rPr>
        <w:t>事故的简要经过；</w:t>
      </w:r>
    </w:p>
    <w:p>
      <w:pPr>
        <w:pStyle w:val="BodyText"/>
        <w:ind w:left="8" w:right="101" w:firstLine="420"/>
        <w:spacing w:before="97" w:line="298" w:lineRule="auto"/>
        <w:rPr/>
      </w:pPr>
      <w:r>
        <w:rPr>
          <w:rFonts w:ascii="KaiTi" w:hAnsi="KaiTi" w:eastAsia="KaiTi" w:cs="KaiTi"/>
          <w:spacing w:val="19"/>
        </w:rPr>
        <w:t>④</w:t>
      </w:r>
      <w:r>
        <w:rPr>
          <w:spacing w:val="19"/>
        </w:rPr>
        <w:t>事故已经造成或者可能造成的伤亡人</w:t>
      </w:r>
      <w:r>
        <w:rPr>
          <w:spacing w:val="7"/>
        </w:rPr>
        <w:t>数（包括下落不明的人数）和初步估计的直接</w:t>
      </w:r>
      <w:r>
        <w:rPr>
          <w:spacing w:val="6"/>
        </w:rPr>
        <w:t>经济损失；</w:t>
      </w:r>
    </w:p>
    <w:p>
      <w:pPr>
        <w:pStyle w:val="BodyText"/>
        <w:ind w:left="428"/>
        <w:spacing w:before="112" w:line="263" w:lineRule="exact"/>
        <w:rPr/>
      </w:pPr>
      <w:r>
        <w:rPr>
          <w:rFonts w:ascii="KaiTi" w:hAnsi="KaiTi" w:eastAsia="KaiTi" w:cs="KaiTi"/>
          <w:spacing w:val="8"/>
          <w:position w:val="1"/>
        </w:rPr>
        <w:t>⑤</w:t>
      </w:r>
      <w:r>
        <w:rPr>
          <w:spacing w:val="8"/>
          <w:position w:val="1"/>
        </w:rPr>
        <w:t>事态发展趋势和已经采取的措施；</w:t>
      </w:r>
    </w:p>
    <w:p>
      <w:pPr>
        <w:pStyle w:val="BodyText"/>
        <w:ind w:left="428"/>
        <w:spacing w:before="97" w:line="263" w:lineRule="exact"/>
        <w:rPr/>
      </w:pPr>
      <w:r>
        <w:rPr>
          <w:rFonts w:ascii="KaiTi" w:hAnsi="KaiTi" w:eastAsia="KaiTi" w:cs="KaiTi"/>
          <w:spacing w:val="8"/>
          <w:position w:val="1"/>
        </w:rPr>
        <w:t>⑥</w:t>
      </w:r>
      <w:r>
        <w:rPr>
          <w:spacing w:val="8"/>
          <w:position w:val="1"/>
        </w:rPr>
        <w:t>其他应当报告的情况。</w:t>
      </w:r>
    </w:p>
    <w:p>
      <w:pPr>
        <w:pStyle w:val="BodyText"/>
        <w:ind w:left="25" w:right="101" w:firstLine="404"/>
        <w:spacing w:before="101" w:line="332" w:lineRule="auto"/>
        <w:rPr/>
      </w:pPr>
      <w:r>
        <w:rPr>
          <w:spacing w:val="6"/>
        </w:rPr>
        <w:t>在应急处置过程中，要及时续报救援工作</w:t>
      </w:r>
      <w:r>
        <w:rPr>
          <w:spacing w:val="4"/>
        </w:rPr>
        <w:t>的进展情况。</w:t>
      </w:r>
    </w:p>
    <w:p>
      <w:pPr>
        <w:pStyle w:val="BodyText"/>
        <w:ind w:left="8" w:right="98" w:firstLine="419"/>
        <w:spacing w:before="4" w:line="300" w:lineRule="auto"/>
        <w:jc w:val="both"/>
        <w:rPr/>
      </w:pPr>
      <w:r>
        <w:rPr>
          <w:rFonts w:ascii="Times New Roman" w:hAnsi="Times New Roman" w:eastAsia="Times New Roman" w:cs="Times New Roman"/>
          <w:spacing w:val="3"/>
        </w:rPr>
        <w:t>4.3.6 </w:t>
      </w:r>
      <w:r>
        <w:rPr>
          <w:spacing w:val="3"/>
        </w:rPr>
        <w:t>对于暂时无法判明等级的事故，应迅</w:t>
      </w:r>
      <w:r>
        <w:rPr>
          <w:spacing w:val="7"/>
        </w:rPr>
        <w:t>速核实有关信息，咨询相关专家，开展评估预</w:t>
      </w:r>
      <w:r>
        <w:rPr>
          <w:spacing w:val="7"/>
        </w:rPr>
        <w:t>判，同时根据事故可能达到或演化的级别和影</w:t>
      </w:r>
      <w:r>
        <w:rPr>
          <w:spacing w:val="7"/>
        </w:rPr>
        <w:t>响程度，参照上述规定上报及时续报事故进展</w:t>
      </w:r>
    </w:p>
    <w:p>
      <w:pPr>
        <w:spacing w:line="300" w:lineRule="auto"/>
        <w:sectPr>
          <w:type w:val="continuous"/>
          <w:pgSz w:w="11906" w:h="16839"/>
          <w:pgMar w:top="1769" w:right="1489" w:bottom="1570" w:left="1588" w:header="1428" w:footer="1172" w:gutter="0"/>
          <w:cols w:equalWidth="0" w:num="2">
            <w:col w:w="4474" w:space="100"/>
            <w:col w:w="4256" w:space="0"/>
          </w:cols>
        </w:sectPr>
        <w:rPr/>
      </w:pPr>
    </w:p>
    <w:p>
      <w:pPr>
        <w:spacing w:before="50"/>
        <w:rPr/>
      </w:pPr>
      <w:r>
        <w:drawing>
          <wp:anchor distT="0" distB="0" distL="0" distR="0" simplePos="0" relativeHeight="25210880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246" name="IM 1246"/>
            <wp:cNvGraphicFramePr/>
            <a:graphic>
              <a:graphicData uri="http://schemas.openxmlformats.org/drawingml/2006/picture">
                <pic:pic>
                  <pic:nvPicPr>
                    <pic:cNvPr id="1246" name="IM 1246"/>
                    <pic:cNvPicPr/>
                  </pic:nvPicPr>
                  <pic:blipFill>
                    <a:blip r:embed="rId625"/>
                    <a:stretch>
                      <a:fillRect/>
                    </a:stretch>
                  </pic:blipFill>
                  <pic:spPr>
                    <a:xfrm rot="0">
                      <a:off x="0" y="0"/>
                      <a:ext cx="5579745" cy="7620"/>
                    </a:xfrm>
                    <a:prstGeom prst="rect">
                      <a:avLst/>
                    </a:prstGeom>
                  </pic:spPr>
                </pic:pic>
              </a:graphicData>
            </a:graphic>
          </wp:anchor>
        </w:drawing>
      </w:r>
      <w:r/>
    </w:p>
    <w:p>
      <w:pPr>
        <w:sectPr>
          <w:headerReference w:type="default" r:id="rId544"/>
          <w:footerReference w:type="default" r:id="rId624"/>
          <w:pgSz w:w="11906" w:h="16839"/>
          <w:pgMar w:top="1766" w:right="1507" w:bottom="1563" w:left="1579" w:header="1428" w:footer="1172" w:gutter="0"/>
          <w:cols w:equalWidth="0" w:num="1">
            <w:col w:w="8819" w:space="0"/>
          </w:cols>
        </w:sectPr>
        <w:rPr/>
      </w:pPr>
    </w:p>
    <w:p>
      <w:pPr>
        <w:pStyle w:val="BodyText"/>
        <w:ind w:left="12"/>
        <w:spacing w:before="39" w:line="219" w:lineRule="auto"/>
        <w:rPr/>
      </w:pPr>
      <w:r>
        <w:rPr>
          <w:spacing w:val="4"/>
        </w:rPr>
        <w:t>情况。</w:t>
      </w:r>
    </w:p>
    <w:p>
      <w:pPr>
        <w:pStyle w:val="BodyText"/>
        <w:ind w:left="12" w:right="327" w:firstLine="420"/>
        <w:spacing w:before="122" w:line="332" w:lineRule="auto"/>
        <w:jc w:val="both"/>
        <w:rPr/>
      </w:pPr>
      <w:r>
        <w:rPr>
          <w:rFonts w:ascii="Times New Roman" w:hAnsi="Times New Roman" w:eastAsia="Times New Roman" w:cs="Times New Roman"/>
          <w:spacing w:val="3"/>
        </w:rPr>
        <w:t>4.3.7 </w:t>
      </w:r>
      <w:r>
        <w:rPr>
          <w:spacing w:val="3"/>
        </w:rPr>
        <w:t>事故中的伤亡、失踪、被困人员有港</w:t>
      </w:r>
      <w:r>
        <w:rPr>
          <w:spacing w:val="7"/>
        </w:rPr>
        <w:t>澳台或外籍人员时，市应急管理指挥部办公室</w:t>
      </w:r>
      <w:r>
        <w:rPr>
          <w:spacing w:val="8"/>
        </w:rPr>
        <w:t>应及时通知相关部门。</w:t>
      </w:r>
    </w:p>
    <w:p>
      <w:pPr>
        <w:pStyle w:val="BodyText"/>
        <w:ind w:left="11" w:right="246" w:firstLine="421"/>
        <w:spacing w:before="1" w:line="331" w:lineRule="auto"/>
        <w:jc w:val="both"/>
        <w:rPr/>
      </w:pPr>
      <w:r>
        <w:rPr>
          <w:spacing w:val="19"/>
        </w:rPr>
        <w:t>各生产经营单位和政府部门的值班电话</w:t>
      </w:r>
      <w:r>
        <w:rPr>
          <w:spacing w:val="9"/>
        </w:rPr>
        <w:t>要保证</w:t>
      </w:r>
      <w:r>
        <w:rPr>
          <w:spacing w:val="-35"/>
        </w:rPr>
        <w:t xml:space="preserve"> </w:t>
      </w:r>
      <w:r>
        <w:rPr>
          <w:rFonts w:ascii="Times New Roman" w:hAnsi="Times New Roman" w:eastAsia="Times New Roman" w:cs="Times New Roman"/>
          <w:spacing w:val="9"/>
        </w:rPr>
        <w:t>24 </w:t>
      </w:r>
      <w:r>
        <w:rPr>
          <w:spacing w:val="9"/>
        </w:rPr>
        <w:t>小时有人值守</w:t>
      </w:r>
      <w:r>
        <w:rPr>
          <w:spacing w:val="-58"/>
        </w:rPr>
        <w:t xml:space="preserve"> </w:t>
      </w:r>
      <w:r>
        <w:rPr>
          <w:spacing w:val="9"/>
        </w:rPr>
        <w:t>，有关人员能够随时</w:t>
      </w:r>
      <w:r>
        <w:rPr>
          <w:spacing w:val="10"/>
        </w:rPr>
        <w:t>取得联系并快速到位。同时，要按照本单位、</w:t>
      </w:r>
      <w:r>
        <w:rPr>
          <w:spacing w:val="-8"/>
        </w:rPr>
        <w:t>本部门的应急工作职责，尽快展开应急救援工作。</w:t>
      </w:r>
    </w:p>
    <w:p>
      <w:pPr>
        <w:pStyle w:val="BodyText"/>
        <w:ind w:left="11" w:right="329" w:firstLine="420"/>
        <w:spacing w:before="5" w:line="332" w:lineRule="auto"/>
        <w:jc w:val="both"/>
        <w:rPr/>
      </w:pPr>
      <w:r>
        <w:rPr>
          <w:rFonts w:ascii="Times New Roman" w:hAnsi="Times New Roman" w:eastAsia="Times New Roman" w:cs="Times New Roman"/>
          <w:spacing w:val="8"/>
        </w:rPr>
        <w:t>4.4  </w:t>
      </w:r>
      <w:r>
        <w:rPr>
          <w:rFonts w:ascii="KaiTi" w:hAnsi="KaiTi" w:eastAsia="KaiTi" w:cs="KaiTi"/>
          <w:spacing w:val="8"/>
        </w:rPr>
        <w:t>信息公开。</w:t>
      </w:r>
      <w:r>
        <w:rPr>
          <w:spacing w:val="8"/>
        </w:rPr>
        <w:t>生产安全事故应急处置信</w:t>
      </w:r>
      <w:r>
        <w:rPr>
          <w:spacing w:val="7"/>
        </w:rPr>
        <w:t>息的发布，在市应急管理指挥部的指导下，由</w:t>
      </w:r>
      <w:r>
        <w:rPr>
          <w:spacing w:val="18"/>
        </w:rPr>
        <w:t>指挥部授权的部门负责制定事故宣传口径和</w:t>
      </w:r>
      <w:r>
        <w:rPr>
          <w:spacing w:val="7"/>
        </w:rPr>
        <w:t>新闻发布方案，及时向社会公众发布事故灾难</w:t>
      </w:r>
      <w:r>
        <w:rPr>
          <w:spacing w:val="7"/>
        </w:rPr>
        <w:t>等有关信息，把握新闻舆论导向，保障社会秩</w:t>
      </w:r>
      <w:r>
        <w:rPr>
          <w:spacing w:val="7"/>
        </w:rPr>
        <w:t>序和公众情绪的稳定。并组织协调新闻媒体单</w:t>
      </w:r>
      <w:r>
        <w:rPr>
          <w:spacing w:val="8"/>
        </w:rPr>
        <w:t>位及配合其他有关部门。</w:t>
      </w:r>
    </w:p>
    <w:p>
      <w:pPr>
        <w:pStyle w:val="BodyText"/>
        <w:ind w:left="12" w:right="329" w:firstLine="420"/>
        <w:spacing w:before="3" w:line="331" w:lineRule="auto"/>
        <w:jc w:val="both"/>
        <w:rPr/>
      </w:pPr>
      <w:r>
        <w:rPr>
          <w:spacing w:val="6"/>
        </w:rPr>
        <w:t>信息发布要及时、准确、客观、全面。事</w:t>
      </w:r>
      <w:r>
        <w:rPr>
          <w:spacing w:val="7"/>
        </w:rPr>
        <w:t>故发生的第一时间可向社会发布简要信息，随</w:t>
      </w:r>
      <w:r>
        <w:rPr>
          <w:spacing w:val="7"/>
        </w:rPr>
        <w:t>后发布初步核实情况、政府应对措施和公众防</w:t>
      </w:r>
      <w:r>
        <w:rPr>
          <w:spacing w:val="-5"/>
        </w:rPr>
        <w:t>范措施等，并根据事故处置情况做好后续工作。</w:t>
      </w:r>
    </w:p>
    <w:p>
      <w:pPr>
        <w:pStyle w:val="BodyText"/>
        <w:ind w:left="11" w:right="329" w:firstLine="421"/>
        <w:spacing w:before="1" w:line="329" w:lineRule="auto"/>
        <w:jc w:val="both"/>
        <w:rPr/>
      </w:pPr>
      <w:r>
        <w:rPr>
          <w:spacing w:val="6"/>
        </w:rPr>
        <w:t>信息发布形式主要包括：权威发布、提供</w:t>
      </w:r>
      <w:r>
        <w:rPr>
          <w:spacing w:val="7"/>
        </w:rPr>
        <w:t>新闻稿、组织报道、接受记者采访、举行新闻</w:t>
      </w:r>
      <w:r>
        <w:rPr>
          <w:spacing w:val="7"/>
        </w:rPr>
        <w:t>发布会等。</w:t>
      </w:r>
    </w:p>
    <w:p>
      <w:pPr>
        <w:pStyle w:val="BodyText"/>
        <w:ind w:left="14" w:right="329" w:firstLine="418"/>
        <w:spacing w:before="9" w:line="331" w:lineRule="auto"/>
        <w:jc w:val="both"/>
        <w:rPr/>
      </w:pPr>
      <w:r>
        <w:rPr>
          <w:rFonts w:ascii="Times New Roman" w:hAnsi="Times New Roman" w:eastAsia="Times New Roman" w:cs="Times New Roman"/>
          <w:spacing w:val="11"/>
        </w:rPr>
        <w:t>4.5 </w:t>
      </w:r>
      <w:r>
        <w:rPr>
          <w:rFonts w:ascii="KaiTi" w:hAnsi="KaiTi" w:eastAsia="KaiTi" w:cs="KaiTi"/>
          <w:spacing w:val="11"/>
        </w:rPr>
        <w:t>应急结束。</w:t>
      </w:r>
      <w:r>
        <w:rPr>
          <w:spacing w:val="11"/>
        </w:rPr>
        <w:t>应对重大及以上生产安全</w:t>
      </w:r>
      <w:r>
        <w:rPr>
          <w:spacing w:val="7"/>
        </w:rPr>
        <w:t>事故工作基本结束，紧急转移和安置工作基本</w:t>
      </w:r>
      <w:r>
        <w:rPr>
          <w:spacing w:val="7"/>
        </w:rPr>
        <w:t>完成，次生灾害的后果基本消除，生产、生活</w:t>
      </w:r>
      <w:r>
        <w:rPr>
          <w:spacing w:val="7"/>
        </w:rPr>
        <w:t>秩序基本恢复后，现场指挥部提出建议，由应</w:t>
      </w:r>
      <w:r>
        <w:rPr>
          <w:spacing w:val="8"/>
        </w:rPr>
        <w:t>急指挥部决定终止应急响应。</w:t>
      </w:r>
    </w:p>
    <w:p>
      <w:pPr>
        <w:ind w:left="435"/>
        <w:spacing w:before="1"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5</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后期处置</w:t>
      </w:r>
    </w:p>
    <w:p>
      <w:pPr>
        <w:ind w:left="439"/>
        <w:spacing w:before="58" w:line="264" w:lineRule="exact"/>
        <w:rPr>
          <w:rFonts w:ascii="KaiTi" w:hAnsi="KaiTi" w:eastAsia="KaiTi" w:cs="KaiTi"/>
          <w:sz w:val="20"/>
          <w:szCs w:val="20"/>
        </w:rPr>
      </w:pPr>
      <w:r>
        <w:rPr>
          <w:rFonts w:ascii="Times New Roman" w:hAnsi="Times New Roman" w:eastAsia="Times New Roman" w:cs="Times New Roman"/>
          <w:sz w:val="20"/>
          <w:szCs w:val="20"/>
          <w:spacing w:val="1"/>
          <w:position w:val="1"/>
        </w:rPr>
        <w:t>5.</w:t>
      </w:r>
      <w:r>
        <w:rPr>
          <w:rFonts w:ascii="Times New Roman" w:hAnsi="Times New Roman" w:eastAsia="Times New Roman" w:cs="Times New Roman"/>
          <w:sz w:val="20"/>
          <w:szCs w:val="20"/>
          <w:spacing w:val="-17"/>
          <w:position w:val="1"/>
        </w:rPr>
        <w:t xml:space="preserve"> </w:t>
      </w:r>
      <w:r>
        <w:rPr>
          <w:rFonts w:ascii="Times New Roman" w:hAnsi="Times New Roman" w:eastAsia="Times New Roman" w:cs="Times New Roman"/>
          <w:sz w:val="20"/>
          <w:szCs w:val="20"/>
          <w:spacing w:val="1"/>
          <w:position w:val="1"/>
        </w:rPr>
        <w:t>1  </w:t>
      </w:r>
      <w:r>
        <w:rPr>
          <w:rFonts w:ascii="KaiTi" w:hAnsi="KaiTi" w:eastAsia="KaiTi" w:cs="KaiTi"/>
          <w:sz w:val="20"/>
          <w:szCs w:val="20"/>
          <w:spacing w:val="1"/>
          <w:position w:val="1"/>
        </w:rPr>
        <w:t>善后处置。</w:t>
      </w:r>
    </w:p>
    <w:p>
      <w:pPr>
        <w:pStyle w:val="BodyText"/>
        <w:ind w:left="13" w:right="329" w:firstLine="411"/>
        <w:spacing w:before="97" w:line="296"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）在应急抢险救援过程中需要紧急调</w:t>
      </w:r>
      <w:r>
        <w:rPr>
          <w:spacing w:val="7"/>
        </w:rPr>
        <w:t>用物资、设备、人员和场地，所发生费用由事</w:t>
      </w:r>
      <w:r>
        <w:rPr>
          <w:spacing w:val="7"/>
        </w:rPr>
        <w:t>故单位承担。</w:t>
      </w:r>
    </w:p>
    <w:p>
      <w:pPr>
        <w:pStyle w:val="BodyText"/>
        <w:ind w:left="14" w:right="248" w:firstLine="409"/>
        <w:spacing w:before="117" w:line="278" w:lineRule="auto"/>
        <w:rPr/>
      </w:pPr>
      <w:r>
        <w:rPr>
          <w:spacing w:val="4"/>
        </w:rPr>
        <w:t>（</w:t>
      </w:r>
      <w:r>
        <w:rPr>
          <w:rFonts w:ascii="Times New Roman" w:hAnsi="Times New Roman" w:eastAsia="Times New Roman" w:cs="Times New Roman"/>
          <w:spacing w:val="4"/>
        </w:rPr>
        <w:t>2</w:t>
      </w:r>
      <w:r>
        <w:rPr>
          <w:rFonts w:ascii="Times New Roman" w:hAnsi="Times New Roman" w:eastAsia="Times New Roman" w:cs="Times New Roman"/>
          <w:spacing w:val="-13"/>
        </w:rPr>
        <w:t xml:space="preserve"> </w:t>
      </w:r>
      <w:r>
        <w:rPr>
          <w:spacing w:val="4"/>
        </w:rPr>
        <w:t>）对伤亡人员和家属做好安抚、抚恤、</w:t>
      </w:r>
      <w:r>
        <w:rPr>
          <w:spacing w:val="8"/>
        </w:rPr>
        <w:t>理赔等善后处理和社会稳定工作。</w:t>
      </w:r>
    </w:p>
    <w:p>
      <w:pPr>
        <w:pStyle w:val="BodyText"/>
        <w:ind w:left="13" w:right="332" w:firstLine="411"/>
        <w:spacing w:before="117" w:line="261" w:lineRule="auto"/>
        <w:rPr/>
      </w:pPr>
      <w:r>
        <w:rPr>
          <w:spacing w:val="8"/>
        </w:rPr>
        <w:t>（</w:t>
      </w:r>
      <w:r>
        <w:rPr>
          <w:rFonts w:ascii="Times New Roman" w:hAnsi="Times New Roman" w:eastAsia="Times New Roman" w:cs="Times New Roman"/>
          <w:spacing w:val="8"/>
        </w:rPr>
        <w:t>3</w:t>
      </w:r>
      <w:r>
        <w:rPr>
          <w:rFonts w:ascii="Times New Roman" w:hAnsi="Times New Roman" w:eastAsia="Times New Roman" w:cs="Times New Roman"/>
          <w:spacing w:val="-5"/>
        </w:rPr>
        <w:t xml:space="preserve"> </w:t>
      </w:r>
      <w:r>
        <w:rPr>
          <w:spacing w:val="8"/>
        </w:rPr>
        <w:t>）事故救援结束后</w:t>
      </w:r>
      <w:r>
        <w:rPr>
          <w:spacing w:val="-59"/>
        </w:rPr>
        <w:t xml:space="preserve"> </w:t>
      </w:r>
      <w:r>
        <w:rPr>
          <w:spacing w:val="8"/>
        </w:rPr>
        <w:t>，应当尽快恢复受</w:t>
      </w:r>
      <w:r>
        <w:rPr>
          <w:spacing w:val="9"/>
        </w:rPr>
        <w:t>影响群众的正常生活秩序和生产活动。</w:t>
      </w:r>
    </w:p>
    <w:p>
      <w:pPr>
        <w:spacing w:line="14" w:lineRule="auto"/>
        <w:rPr>
          <w:rFonts w:ascii="Arial"/>
          <w:sz w:val="2"/>
        </w:rPr>
      </w:pPr>
      <w:r>
        <w:rPr>
          <w:rFonts w:ascii="Arial" w:hAnsi="Arial" w:eastAsia="Arial" w:cs="Arial"/>
          <w:sz w:val="2"/>
          <w:szCs w:val="2"/>
        </w:rPr>
        <w:br w:type="column"/>
      </w:r>
    </w:p>
    <w:p>
      <w:pPr>
        <w:pStyle w:val="BodyText"/>
        <w:ind w:right="80" w:firstLine="427"/>
        <w:spacing w:before="38" w:line="277" w:lineRule="auto"/>
        <w:rPr/>
      </w:pPr>
      <w:r>
        <w:rPr>
          <w:rFonts w:ascii="Times New Roman" w:hAnsi="Times New Roman" w:eastAsia="Times New Roman" w:cs="Times New Roman"/>
          <w:spacing w:val="8"/>
        </w:rPr>
        <w:t>5.2  </w:t>
      </w:r>
      <w:r>
        <w:rPr>
          <w:rFonts w:ascii="KaiTi" w:hAnsi="KaiTi" w:eastAsia="KaiTi" w:cs="KaiTi"/>
          <w:spacing w:val="8"/>
        </w:rPr>
        <w:t>保险。</w:t>
      </w:r>
      <w:r>
        <w:rPr>
          <w:spacing w:val="8"/>
        </w:rPr>
        <w:t>事故灾难发生后，保险机构应</w:t>
      </w:r>
      <w:r>
        <w:rPr>
          <w:spacing w:val="9"/>
        </w:rPr>
        <w:t>及时派员开展相关保险受理和赔付工作。</w:t>
      </w:r>
    </w:p>
    <w:p>
      <w:pPr>
        <w:pStyle w:val="BodyText"/>
        <w:ind w:left="2" w:right="83" w:firstLine="425"/>
        <w:spacing w:before="114" w:line="278" w:lineRule="auto"/>
        <w:rPr/>
      </w:pPr>
      <w:r>
        <w:rPr>
          <w:rFonts w:ascii="Times New Roman" w:hAnsi="Times New Roman" w:eastAsia="Times New Roman" w:cs="Times New Roman"/>
          <w:spacing w:val="8"/>
        </w:rPr>
        <w:t>5.3  </w:t>
      </w:r>
      <w:r>
        <w:rPr>
          <w:rFonts w:ascii="KaiTi" w:hAnsi="KaiTi" w:eastAsia="KaiTi" w:cs="KaiTi"/>
          <w:spacing w:val="8"/>
        </w:rPr>
        <w:t>处理与评估。</w:t>
      </w:r>
      <w:r>
        <w:rPr>
          <w:spacing w:val="8"/>
        </w:rPr>
        <w:t>特别重大、重大突发事</w:t>
      </w:r>
      <w:r>
        <w:rPr>
          <w:spacing w:val="-5"/>
        </w:rPr>
        <w:t>件的调查与评估工作按照自治区有关规定执行。</w:t>
      </w:r>
    </w:p>
    <w:p>
      <w:pPr>
        <w:pStyle w:val="BodyText"/>
        <w:ind w:right="83" w:firstLine="421"/>
        <w:spacing w:before="123" w:line="330" w:lineRule="auto"/>
        <w:jc w:val="both"/>
        <w:rPr/>
      </w:pPr>
      <w:r>
        <w:rPr>
          <w:spacing w:val="16"/>
        </w:rPr>
        <w:t>有关部门要会同涉事企业</w:t>
      </w:r>
      <w:r>
        <w:rPr>
          <w:spacing w:val="-48"/>
        </w:rPr>
        <w:t xml:space="preserve"> </w:t>
      </w:r>
      <w:r>
        <w:rPr>
          <w:spacing w:val="16"/>
        </w:rPr>
        <w:t>，对事故的起</w:t>
      </w:r>
      <w:r>
        <w:rPr>
          <w:spacing w:val="7"/>
        </w:rPr>
        <w:t>因、性质、影响、责任、经验教训和恢复重建</w:t>
      </w:r>
      <w:r>
        <w:rPr>
          <w:spacing w:val="7"/>
        </w:rPr>
        <w:t>等问题进行调查评估，处置结束一周内，现场</w:t>
      </w:r>
      <w:r>
        <w:rPr>
          <w:spacing w:val="18"/>
        </w:rPr>
        <w:t>应急指挥部应将总结报告报送自治区应急厅</w:t>
      </w:r>
      <w:r>
        <w:rPr>
          <w:spacing w:val="8"/>
        </w:rPr>
        <w:t>及其他相关部门。</w:t>
      </w:r>
    </w:p>
    <w:p>
      <w:pPr>
        <w:ind w:left="425"/>
        <w:spacing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6</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应急保障</w:t>
      </w:r>
    </w:p>
    <w:p>
      <w:pPr>
        <w:pStyle w:val="BodyText"/>
        <w:ind w:right="2" w:firstLine="425"/>
        <w:spacing w:before="56" w:line="319" w:lineRule="auto"/>
        <w:rPr/>
      </w:pPr>
      <w:r>
        <w:rPr>
          <w:rFonts w:ascii="Times New Roman" w:hAnsi="Times New Roman" w:eastAsia="Times New Roman" w:cs="Times New Roman"/>
          <w:spacing w:val="6"/>
        </w:rPr>
        <w:t>6.</w:t>
      </w:r>
      <w:r>
        <w:rPr>
          <w:rFonts w:ascii="Times New Roman" w:hAnsi="Times New Roman" w:eastAsia="Times New Roman" w:cs="Times New Roman"/>
          <w:spacing w:val="-7"/>
        </w:rPr>
        <w:t xml:space="preserve"> </w:t>
      </w:r>
      <w:r>
        <w:rPr>
          <w:rFonts w:ascii="Times New Roman" w:hAnsi="Times New Roman" w:eastAsia="Times New Roman" w:cs="Times New Roman"/>
          <w:spacing w:val="6"/>
        </w:rPr>
        <w:t>1  </w:t>
      </w:r>
      <w:r>
        <w:rPr>
          <w:rFonts w:ascii="KaiTi" w:hAnsi="KaiTi" w:eastAsia="KaiTi" w:cs="KaiTi"/>
          <w:spacing w:val="6"/>
        </w:rPr>
        <w:t>信息保障。</w:t>
      </w:r>
      <w:r>
        <w:rPr>
          <w:spacing w:val="6"/>
        </w:rPr>
        <w:t>市应急管理指挥部办公室</w:t>
      </w:r>
      <w:r>
        <w:rPr>
          <w:spacing w:val="18"/>
        </w:rPr>
        <w:t>负责建立健全安全生产信息和救援力量信息</w:t>
      </w:r>
      <w:r>
        <w:rPr>
          <w:spacing w:val="7"/>
        </w:rPr>
        <w:t>数据库；建立健全各类生产安全事故预警指数</w:t>
      </w:r>
      <w:r>
        <w:rPr>
          <w:spacing w:val="1"/>
        </w:rPr>
        <w:t>和等级标准；规范事故信息获取、分析、发布、</w:t>
      </w:r>
      <w:r>
        <w:rPr>
          <w:spacing w:val="7"/>
        </w:rPr>
        <w:t>报送格式和程序。有关部门负责信息收集、分</w:t>
      </w:r>
      <w:r>
        <w:rPr>
          <w:spacing w:val="7"/>
        </w:rPr>
        <w:t>析、处理，定期向市应急管理指挥部办公室报</w:t>
      </w:r>
      <w:r>
        <w:rPr>
          <w:spacing w:val="7"/>
        </w:rPr>
        <w:t>送事故信息、重要信息和变更要求，确保信息</w:t>
      </w:r>
      <w:r>
        <w:rPr>
          <w:spacing w:val="8"/>
        </w:rPr>
        <w:t>共享，以便随时调用。</w:t>
      </w:r>
    </w:p>
    <w:p>
      <w:pPr>
        <w:pStyle w:val="BodyText"/>
        <w:ind w:left="1" w:right="83" w:firstLine="424"/>
        <w:spacing w:before="113" w:line="306" w:lineRule="auto"/>
        <w:rPr/>
      </w:pPr>
      <w:r>
        <w:rPr>
          <w:rFonts w:ascii="Times New Roman" w:hAnsi="Times New Roman" w:eastAsia="Times New Roman" w:cs="Times New Roman"/>
          <w:spacing w:val="8"/>
        </w:rPr>
        <w:t>6.2  </w:t>
      </w:r>
      <w:r>
        <w:rPr>
          <w:rFonts w:ascii="KaiTi" w:hAnsi="KaiTi" w:eastAsia="KaiTi" w:cs="KaiTi"/>
          <w:spacing w:val="8"/>
        </w:rPr>
        <w:t>通信保障。</w:t>
      </w:r>
      <w:r>
        <w:rPr>
          <w:spacing w:val="8"/>
        </w:rPr>
        <w:t>市工业和信息化局负责组</w:t>
      </w:r>
      <w:r>
        <w:rPr>
          <w:spacing w:val="18"/>
        </w:rPr>
        <w:t>织协调电力运营企业提供应急通信保障及服</w:t>
      </w:r>
      <w:r>
        <w:rPr>
          <w:spacing w:val="7"/>
        </w:rPr>
        <w:t>务工作。各级、各类专业应急救援队伍的通信</w:t>
      </w:r>
      <w:r>
        <w:rPr>
          <w:spacing w:val="9"/>
        </w:rPr>
        <w:t>联系要随时保持畅通，并提供备用方案。</w:t>
      </w:r>
    </w:p>
    <w:p>
      <w:pPr>
        <w:pStyle w:val="BodyText"/>
        <w:ind w:right="63" w:firstLine="425"/>
        <w:spacing w:before="116" w:line="311" w:lineRule="auto"/>
        <w:rPr/>
      </w:pPr>
      <w:r>
        <w:rPr>
          <w:rFonts w:ascii="Times New Roman" w:hAnsi="Times New Roman" w:eastAsia="Times New Roman" w:cs="Times New Roman"/>
          <w:spacing w:val="8"/>
        </w:rPr>
        <w:t>6.3  </w:t>
      </w:r>
      <w:r>
        <w:rPr>
          <w:rFonts w:ascii="KaiTi" w:hAnsi="KaiTi" w:eastAsia="KaiTi" w:cs="KaiTi"/>
          <w:spacing w:val="8"/>
        </w:rPr>
        <w:t>应急队伍保障。</w:t>
      </w:r>
      <w:r>
        <w:rPr>
          <w:spacing w:val="8"/>
        </w:rPr>
        <w:t>建立以综合救援队伍</w:t>
      </w:r>
      <w:r>
        <w:rPr>
          <w:spacing w:val="7"/>
        </w:rPr>
        <w:t>为主导、各专业队伍为骨干、企业专（兼）职</w:t>
      </w:r>
      <w:r>
        <w:rPr>
          <w:spacing w:val="18"/>
        </w:rPr>
        <w:t>应急队伍为辅助的安全生产应急救援队伍体</w:t>
      </w:r>
      <w:r>
        <w:rPr>
          <w:spacing w:val="7"/>
        </w:rPr>
        <w:t>系。市应急管理指挥部办公室加强对各单位的</w:t>
      </w:r>
      <w:r>
        <w:rPr>
          <w:spacing w:val="8"/>
        </w:rPr>
        <w:t>组织协调和指导，保障应急工作的有效运行。</w:t>
      </w:r>
    </w:p>
    <w:p>
      <w:pPr>
        <w:pStyle w:val="BodyText"/>
        <w:ind w:firstLine="427"/>
        <w:spacing w:before="118" w:line="332" w:lineRule="auto"/>
        <w:jc w:val="both"/>
        <w:rPr/>
      </w:pPr>
      <w:r>
        <w:rPr>
          <w:spacing w:val="6"/>
        </w:rPr>
        <w:t>消防、矿山、医疗等专业救援队伍的管理</w:t>
      </w:r>
      <w:r>
        <w:rPr>
          <w:spacing w:val="18"/>
        </w:rPr>
        <w:t>部门每年向市应急管理指挥部办公室就队伍</w:t>
      </w:r>
      <w:r>
        <w:rPr>
          <w:spacing w:val="7"/>
        </w:rPr>
        <w:t>的总体情况做出报告，重大变更要及时报告备</w:t>
      </w:r>
      <w:r>
        <w:rPr>
          <w:spacing w:val="7"/>
        </w:rPr>
        <w:t>案。各专业性救援队伍除承担本类事故抢险救</w:t>
      </w:r>
      <w:r>
        <w:rPr>
          <w:spacing w:val="7"/>
        </w:rPr>
        <w:t>援任务外，根据需要和上级指令，同时承担其</w:t>
      </w:r>
      <w:r>
        <w:rPr>
          <w:spacing w:val="7"/>
        </w:rPr>
        <w:t>他抢险救援工作。各部门要积极组织引导和借</w:t>
      </w:r>
      <w:r>
        <w:rPr>
          <w:spacing w:val="-8"/>
        </w:rPr>
        <w:t>助社会资源，建立各类社会化、群众性救援队伍。</w:t>
      </w:r>
    </w:p>
    <w:p>
      <w:pPr>
        <w:pStyle w:val="BodyText"/>
        <w:ind w:right="83" w:firstLine="425"/>
        <w:spacing w:before="2" w:line="260" w:lineRule="auto"/>
        <w:rPr/>
      </w:pPr>
      <w:r>
        <w:rPr>
          <w:rFonts w:ascii="Times New Roman" w:hAnsi="Times New Roman" w:eastAsia="Times New Roman" w:cs="Times New Roman"/>
          <w:spacing w:val="8"/>
        </w:rPr>
        <w:t>6.4  </w:t>
      </w:r>
      <w:r>
        <w:rPr>
          <w:rFonts w:ascii="KaiTi" w:hAnsi="KaiTi" w:eastAsia="KaiTi" w:cs="KaiTi"/>
          <w:spacing w:val="8"/>
        </w:rPr>
        <w:t>救援装备保障。</w:t>
      </w:r>
      <w:r>
        <w:rPr>
          <w:spacing w:val="8"/>
        </w:rPr>
        <w:t>有关部门负责本单位</w:t>
      </w:r>
      <w:r>
        <w:rPr>
          <w:spacing w:val="7"/>
        </w:rPr>
        <w:t>应急救援队伍的技术装备的配备。企业根据实</w:t>
      </w:r>
    </w:p>
    <w:p>
      <w:pPr>
        <w:spacing w:line="260" w:lineRule="auto"/>
        <w:sectPr>
          <w:type w:val="continuous"/>
          <w:pgSz w:w="11906" w:h="16839"/>
          <w:pgMar w:top="1766" w:right="1507" w:bottom="1563" w:left="1579" w:header="1428" w:footer="1172" w:gutter="0"/>
          <w:cols w:equalWidth="0" w:num="2">
            <w:col w:w="4489" w:space="100"/>
            <w:col w:w="4231" w:space="0"/>
          </w:cols>
        </w:sectPr>
        <w:rPr/>
      </w:pPr>
    </w:p>
    <w:p>
      <w:pPr>
        <w:spacing w:before="45"/>
        <w:rPr/>
      </w:pPr>
      <w:r>
        <w:drawing>
          <wp:anchor distT="0" distB="0" distL="0" distR="0" simplePos="0" relativeHeight="252110848" behindDoc="0" locked="0" layoutInCell="0" allowOverlap="1">
            <wp:simplePos x="0" y="0"/>
            <wp:positionH relativeFrom="page">
              <wp:posOffset>1008380</wp:posOffset>
            </wp:positionH>
            <wp:positionV relativeFrom="page">
              <wp:posOffset>1122680</wp:posOffset>
            </wp:positionV>
            <wp:extent cx="5579745" cy="7619"/>
            <wp:effectExtent l="0" t="0" r="0" b="0"/>
            <wp:wrapNone/>
            <wp:docPr id="1250" name="IM 1250"/>
            <wp:cNvGraphicFramePr/>
            <a:graphic>
              <a:graphicData uri="http://schemas.openxmlformats.org/drawingml/2006/picture">
                <pic:pic>
                  <pic:nvPicPr>
                    <pic:cNvPr id="1250" name="IM 1250"/>
                    <pic:cNvPicPr/>
                  </pic:nvPicPr>
                  <pic:blipFill>
                    <a:blip r:embed="rId627"/>
                    <a:stretch>
                      <a:fillRect/>
                    </a:stretch>
                  </pic:blipFill>
                  <pic:spPr>
                    <a:xfrm rot="0">
                      <a:off x="0" y="0"/>
                      <a:ext cx="5579745" cy="7619"/>
                    </a:xfrm>
                    <a:prstGeom prst="rect">
                      <a:avLst/>
                    </a:prstGeom>
                  </pic:spPr>
                </pic:pic>
              </a:graphicData>
            </a:graphic>
          </wp:anchor>
        </w:drawing>
      </w:r>
      <w:r/>
    </w:p>
    <w:p>
      <w:pPr>
        <w:sectPr>
          <w:headerReference w:type="default" r:id="rId569"/>
          <w:footerReference w:type="default" r:id="rId626"/>
          <w:pgSz w:w="11906" w:h="16839"/>
          <w:pgMar w:top="1769" w:right="1489" w:bottom="1570" w:left="1551" w:header="1428" w:footer="1172" w:gutter="0"/>
          <w:cols w:equalWidth="0" w:num="1">
            <w:col w:w="8866" w:space="0"/>
          </w:cols>
        </w:sectPr>
        <w:rPr/>
      </w:pPr>
    </w:p>
    <w:p>
      <w:pPr>
        <w:pStyle w:val="BodyText"/>
        <w:ind w:left="39" w:right="306" w:firstLine="13"/>
        <w:spacing w:before="38" w:line="332" w:lineRule="auto"/>
        <w:jc w:val="both"/>
        <w:rPr/>
      </w:pPr>
      <w:r>
        <w:rPr>
          <w:spacing w:val="6"/>
        </w:rPr>
        <w:t>际情况和需要配备必要的应急救援装备。有关</w:t>
      </w:r>
      <w:r>
        <w:rPr>
          <w:spacing w:val="18"/>
        </w:rPr>
        <w:t>部门要掌握本单位现有各类应急救援技术装</w:t>
      </w:r>
      <w:r>
        <w:rPr>
          <w:spacing w:val="8"/>
        </w:rPr>
        <w:t>备情况，并对救援装备进行定期检验、维修、</w:t>
      </w:r>
      <w:r>
        <w:rPr>
          <w:spacing w:val="7"/>
        </w:rPr>
        <w:t>保养。在此基础上，科学合理地确定固原市的</w:t>
      </w:r>
      <w:r>
        <w:rPr>
          <w:spacing w:val="9"/>
        </w:rPr>
        <w:t>需求量，制定扶持、配置计划。</w:t>
      </w:r>
    </w:p>
    <w:p>
      <w:pPr>
        <w:pStyle w:val="BodyText"/>
        <w:ind w:right="327" w:firstLine="466"/>
        <w:spacing w:before="6" w:line="318" w:lineRule="auto"/>
        <w:rPr/>
      </w:pPr>
      <w:r>
        <w:rPr>
          <w:rFonts w:ascii="Times New Roman" w:hAnsi="Times New Roman" w:eastAsia="Times New Roman" w:cs="Times New Roman"/>
          <w:spacing w:val="8"/>
        </w:rPr>
        <w:t>6.5  </w:t>
      </w:r>
      <w:r>
        <w:rPr>
          <w:rFonts w:ascii="KaiTi" w:hAnsi="KaiTi" w:eastAsia="KaiTi" w:cs="KaiTi"/>
          <w:spacing w:val="8"/>
        </w:rPr>
        <w:t>交通运输保障。</w:t>
      </w:r>
      <w:r>
        <w:rPr>
          <w:spacing w:val="8"/>
        </w:rPr>
        <w:t>发生事故后，市公安</w:t>
      </w:r>
      <w:r>
        <w:rPr>
          <w:spacing w:val="20"/>
        </w:rPr>
        <w:t>局要及时协调相关部门对事故现场实行道路</w:t>
      </w:r>
      <w:r>
        <w:rPr>
          <w:spacing w:val="9"/>
        </w:rPr>
        <w:t>交通管制，根据救援需要，组织开设应急救援</w:t>
      </w:r>
      <w:r>
        <w:rPr>
          <w:rFonts w:ascii="Times New Roman" w:hAnsi="Times New Roman" w:eastAsia="Times New Roman" w:cs="Times New Roman"/>
          <w:spacing w:val="10"/>
        </w:rPr>
        <w:t>“</w:t>
      </w:r>
      <w:r>
        <w:rPr>
          <w:spacing w:val="10"/>
        </w:rPr>
        <w:t>绿色通道</w:t>
      </w:r>
      <w:r>
        <w:rPr>
          <w:rFonts w:ascii="Times New Roman" w:hAnsi="Times New Roman" w:eastAsia="Times New Roman" w:cs="Times New Roman"/>
          <w:spacing w:val="10"/>
        </w:rPr>
        <w:t>”</w:t>
      </w:r>
      <w:r>
        <w:rPr>
          <w:spacing w:val="10"/>
        </w:rPr>
        <w:t>；道路设施受损时要迅速组织有关</w:t>
      </w:r>
      <w:r>
        <w:rPr>
          <w:spacing w:val="17"/>
        </w:rPr>
        <w:t>部门和专业队伍进行抢修</w:t>
      </w:r>
      <w:r>
        <w:rPr>
          <w:spacing w:val="-37"/>
        </w:rPr>
        <w:t xml:space="preserve"> </w:t>
      </w:r>
      <w:r>
        <w:rPr>
          <w:spacing w:val="17"/>
        </w:rPr>
        <w:t>，尽快恢复正常状</w:t>
      </w:r>
      <w:r>
        <w:rPr>
          <w:spacing w:val="9"/>
        </w:rPr>
        <w:t>态，确保应急物资调用，紧急输送疏散人员和</w:t>
      </w:r>
      <w:r>
        <w:rPr>
          <w:spacing w:val="9"/>
        </w:rPr>
        <w:t>物资；必要时可紧急动员和征用其他部门及社</w:t>
      </w:r>
      <w:r>
        <w:rPr>
          <w:spacing w:val="13"/>
        </w:rPr>
        <w:t>会交通设施装备。</w:t>
      </w:r>
    </w:p>
    <w:p>
      <w:pPr>
        <w:pStyle w:val="BodyText"/>
        <w:ind w:left="41" w:right="329" w:firstLine="424"/>
        <w:spacing w:before="116" w:line="306" w:lineRule="auto"/>
        <w:rPr/>
      </w:pPr>
      <w:r>
        <w:rPr>
          <w:rFonts w:ascii="Times New Roman" w:hAnsi="Times New Roman" w:eastAsia="Times New Roman" w:cs="Times New Roman"/>
          <w:spacing w:val="6"/>
        </w:rPr>
        <w:t>6.6</w:t>
      </w:r>
      <w:r>
        <w:rPr>
          <w:rFonts w:ascii="Times New Roman" w:hAnsi="Times New Roman" w:eastAsia="Times New Roman" w:cs="Times New Roman"/>
          <w:spacing w:val="27"/>
          <w:w w:val="101"/>
        </w:rPr>
        <w:t xml:space="preserve">  </w:t>
      </w:r>
      <w:r>
        <w:rPr>
          <w:rFonts w:ascii="KaiTi" w:hAnsi="KaiTi" w:eastAsia="KaiTi" w:cs="KaiTi"/>
          <w:spacing w:val="6"/>
        </w:rPr>
        <w:t>医疗卫生保障。</w:t>
      </w:r>
      <w:r>
        <w:rPr>
          <w:spacing w:val="6"/>
        </w:rPr>
        <w:t>医疗保障局负责做好</w:t>
      </w:r>
      <w:r>
        <w:rPr>
          <w:spacing w:val="7"/>
        </w:rPr>
        <w:t>卫生应急处置工作，快速组织固原市医疗卫生</w:t>
      </w:r>
      <w:r>
        <w:rPr>
          <w:spacing w:val="7"/>
        </w:rPr>
        <w:t>机构医护人员对伤员进行应急救治，尽最大可</w:t>
      </w:r>
      <w:r>
        <w:rPr>
          <w:spacing w:val="9"/>
        </w:rPr>
        <w:t>能减少伤亡。根据需要派遣专家给予支持。</w:t>
      </w:r>
    </w:p>
    <w:p>
      <w:pPr>
        <w:pStyle w:val="BodyText"/>
        <w:ind w:left="40" w:right="309" w:firstLine="420"/>
        <w:spacing w:before="114" w:line="330" w:lineRule="auto"/>
        <w:jc w:val="both"/>
        <w:rPr/>
      </w:pPr>
      <w:r>
        <w:rPr>
          <w:spacing w:val="6"/>
        </w:rPr>
        <w:t>危险化学品事故、放射性污染事故的伤员</w:t>
      </w:r>
      <w:r>
        <w:rPr>
          <w:spacing w:val="7"/>
        </w:rPr>
        <w:t>应安排进入相应的定点医院救治。要根据事故</w:t>
      </w:r>
      <w:r>
        <w:rPr>
          <w:spacing w:val="8"/>
        </w:rPr>
        <w:t>的特点，针对性的做好疾病控制和卫生处理。</w:t>
      </w:r>
    </w:p>
    <w:p>
      <w:pPr>
        <w:pStyle w:val="BodyText"/>
        <w:ind w:left="39" w:right="329" w:firstLine="426"/>
        <w:spacing w:before="7" w:line="319" w:lineRule="auto"/>
        <w:rPr/>
      </w:pPr>
      <w:r>
        <w:rPr>
          <w:rFonts w:ascii="Times New Roman" w:hAnsi="Times New Roman" w:eastAsia="Times New Roman" w:cs="Times New Roman"/>
          <w:spacing w:val="8"/>
        </w:rPr>
        <w:t>6.7  </w:t>
      </w:r>
      <w:r>
        <w:rPr>
          <w:rFonts w:ascii="KaiTi" w:hAnsi="KaiTi" w:eastAsia="KaiTi" w:cs="KaiTi"/>
          <w:spacing w:val="8"/>
        </w:rPr>
        <w:t>治安保障。</w:t>
      </w:r>
      <w:r>
        <w:rPr>
          <w:spacing w:val="8"/>
        </w:rPr>
        <w:t>事故发生后，市公安分局</w:t>
      </w:r>
      <w:r>
        <w:rPr>
          <w:spacing w:val="18"/>
        </w:rPr>
        <w:t>要迅速组织交通运输局和交警支队等部门对</w:t>
      </w:r>
      <w:r>
        <w:rPr>
          <w:spacing w:val="7"/>
        </w:rPr>
        <w:t>救援现场治安警戒和治安管理，加强对重大危</w:t>
      </w:r>
      <w:r>
        <w:rPr>
          <w:spacing w:val="7"/>
        </w:rPr>
        <w:t>险源防范保护。属地公安派出所、相关单位要</w:t>
      </w:r>
      <w:r>
        <w:rPr>
          <w:spacing w:val="7"/>
        </w:rPr>
        <w:t>立即在救援现场周围设立警戒区和警戒哨，维</w:t>
      </w:r>
      <w:r>
        <w:rPr>
          <w:spacing w:val="7"/>
        </w:rPr>
        <w:t>持秩序，必要时及时疏散当地群众；对重要场</w:t>
      </w:r>
      <w:r>
        <w:rPr>
          <w:spacing w:val="7"/>
        </w:rPr>
        <w:t>所、目标和救援设施加强警卫。市公安分局做</w:t>
      </w:r>
      <w:r>
        <w:rPr>
          <w:spacing w:val="8"/>
        </w:rPr>
        <w:t>好治安保障的各项协调工作。</w:t>
      </w:r>
    </w:p>
    <w:p>
      <w:pPr>
        <w:pStyle w:val="BodyText"/>
        <w:ind w:left="39" w:right="329" w:firstLine="426"/>
        <w:spacing w:before="117" w:line="313" w:lineRule="auto"/>
        <w:rPr/>
      </w:pPr>
      <w:r>
        <w:rPr>
          <w:rFonts w:ascii="Times New Roman" w:hAnsi="Times New Roman" w:eastAsia="Times New Roman" w:cs="Times New Roman"/>
          <w:spacing w:val="5"/>
        </w:rPr>
        <w:t>6.8  </w:t>
      </w:r>
      <w:r>
        <w:rPr>
          <w:rFonts w:ascii="KaiTi" w:hAnsi="KaiTi" w:eastAsia="KaiTi" w:cs="KaiTi"/>
          <w:spacing w:val="5"/>
        </w:rPr>
        <w:t>物资保障。</w:t>
      </w:r>
      <w:r>
        <w:rPr>
          <w:spacing w:val="5"/>
        </w:rPr>
        <w:t>市县（</w:t>
      </w:r>
      <w:r>
        <w:rPr>
          <w:spacing w:val="-36"/>
        </w:rPr>
        <w:t xml:space="preserve"> </w:t>
      </w:r>
      <w:r>
        <w:rPr>
          <w:spacing w:val="5"/>
        </w:rPr>
        <w:t>区）人民政府、相</w:t>
      </w:r>
      <w:r>
        <w:rPr>
          <w:spacing w:val="7"/>
        </w:rPr>
        <w:t>关部门都要建立健全应急救援物资储存、调拨</w:t>
      </w:r>
      <w:r>
        <w:rPr>
          <w:spacing w:val="7"/>
        </w:rPr>
        <w:t>和紧急配送系统，确保救援所需的物资器材和</w:t>
      </w:r>
      <w:r>
        <w:rPr>
          <w:spacing w:val="8"/>
        </w:rPr>
        <w:t>生活必需品的应急供应。</w:t>
      </w:r>
    </w:p>
    <w:p>
      <w:pPr>
        <w:pStyle w:val="BodyText"/>
        <w:ind w:left="42" w:right="309" w:firstLine="422"/>
        <w:spacing w:before="88" w:line="296" w:lineRule="auto"/>
        <w:jc w:val="both"/>
        <w:rPr/>
      </w:pPr>
      <w:r>
        <w:rPr>
          <w:spacing w:val="7"/>
        </w:rPr>
        <w:t>物资储备坚持购置与调配相结合的原则。</w:t>
      </w:r>
      <w:r>
        <w:rPr>
          <w:spacing w:val="8"/>
        </w:rPr>
        <w:t>在保证一定数量的必要救援物资储备基础上，</w:t>
      </w:r>
      <w:r>
        <w:rPr>
          <w:spacing w:val="8"/>
        </w:rPr>
        <w:t>积极探索由实物储备转向生产潜力信息储备，</w:t>
      </w:r>
      <w:r>
        <w:rPr>
          <w:spacing w:val="7"/>
        </w:rPr>
        <w:t>通过建立应急生产启动运行机制，实现救援物</w:t>
      </w:r>
    </w:p>
    <w:p>
      <w:pPr>
        <w:spacing w:line="14" w:lineRule="auto"/>
        <w:rPr>
          <w:rFonts w:ascii="Arial"/>
          <w:sz w:val="2"/>
        </w:rPr>
      </w:pPr>
      <w:r>
        <w:rPr>
          <w:rFonts w:ascii="Arial" w:hAnsi="Arial" w:eastAsia="Arial" w:cs="Arial"/>
          <w:sz w:val="2"/>
          <w:szCs w:val="2"/>
        </w:rPr>
        <w:br w:type="column"/>
      </w:r>
    </w:p>
    <w:p>
      <w:pPr>
        <w:pStyle w:val="BodyText"/>
        <w:ind w:right="94" w:firstLine="6"/>
        <w:spacing w:before="39" w:line="331" w:lineRule="auto"/>
        <w:jc w:val="both"/>
        <w:rPr/>
      </w:pPr>
      <w:r>
        <w:rPr>
          <w:spacing w:val="7"/>
        </w:rPr>
        <w:t>资动态储备。加强储备物资的管理，防止被盗</w:t>
      </w:r>
      <w:r>
        <w:rPr>
          <w:spacing w:val="7"/>
        </w:rPr>
        <w:t>用、挪用、流散和失效，如果出现上述情况，</w:t>
      </w:r>
      <w:r>
        <w:rPr>
          <w:spacing w:val="8"/>
        </w:rPr>
        <w:t>要及时补充和更新。</w:t>
      </w:r>
    </w:p>
    <w:p>
      <w:pPr>
        <w:pStyle w:val="BodyText"/>
        <w:ind w:left="1" w:right="101" w:firstLine="424"/>
        <w:spacing w:before="3" w:line="310" w:lineRule="auto"/>
        <w:rPr/>
      </w:pPr>
      <w:r>
        <w:rPr>
          <w:rFonts w:ascii="Times New Roman" w:hAnsi="Times New Roman" w:eastAsia="Times New Roman" w:cs="Times New Roman"/>
          <w:spacing w:val="8"/>
        </w:rPr>
        <w:t>6.9  </w:t>
      </w:r>
      <w:r>
        <w:rPr>
          <w:rFonts w:ascii="KaiTi" w:hAnsi="KaiTi" w:eastAsia="KaiTi" w:cs="KaiTi"/>
          <w:spacing w:val="8"/>
        </w:rPr>
        <w:t>供水供电保障。</w:t>
      </w:r>
      <w:r>
        <w:rPr>
          <w:spacing w:val="8"/>
        </w:rPr>
        <w:t>各单位建立健全行政</w:t>
      </w:r>
      <w:r>
        <w:rPr>
          <w:spacing w:val="7"/>
        </w:rPr>
        <w:t>区域应急救援供水供电紧急配送系统，同时建</w:t>
      </w:r>
      <w:r>
        <w:rPr>
          <w:spacing w:val="7"/>
        </w:rPr>
        <w:t>立维护、使用保障制度，保证生产安全事故应</w:t>
      </w:r>
      <w:r>
        <w:rPr>
          <w:spacing w:val="7"/>
        </w:rPr>
        <w:t>急救援中供水供电的畅通和使用。市供水、供</w:t>
      </w:r>
      <w:r>
        <w:rPr>
          <w:spacing w:val="8"/>
        </w:rPr>
        <w:t>电部门负责组织实施。</w:t>
      </w:r>
    </w:p>
    <w:p>
      <w:pPr>
        <w:pStyle w:val="BodyText"/>
        <w:ind w:left="2" w:right="101" w:firstLine="424"/>
        <w:spacing w:before="116" w:line="306" w:lineRule="auto"/>
        <w:rPr/>
      </w:pPr>
      <w:r>
        <w:rPr>
          <w:rFonts w:ascii="Times New Roman" w:hAnsi="Times New Roman" w:eastAsia="Times New Roman" w:cs="Times New Roman"/>
          <w:spacing w:val="3"/>
        </w:rPr>
        <w:t>6.10  </w:t>
      </w:r>
      <w:r>
        <w:rPr>
          <w:rFonts w:ascii="KaiTi" w:hAnsi="KaiTi" w:eastAsia="KaiTi" w:cs="KaiTi"/>
          <w:spacing w:val="3"/>
        </w:rPr>
        <w:t>资金保障。</w:t>
      </w:r>
      <w:r>
        <w:rPr>
          <w:spacing w:val="3"/>
        </w:rPr>
        <w:t>生产安全事故应急救援所</w:t>
      </w:r>
      <w:r>
        <w:rPr>
          <w:spacing w:val="7"/>
        </w:rPr>
        <w:t>产生的费用由事故发生单位承担。事故单位暂</w:t>
      </w:r>
      <w:r>
        <w:rPr>
          <w:spacing w:val="7"/>
        </w:rPr>
        <w:t>时无力承担的，按照属地原则和事权与支出责</w:t>
      </w:r>
      <w:r>
        <w:rPr>
          <w:spacing w:val="8"/>
        </w:rPr>
        <w:t>任匹配原则，分级负责。</w:t>
      </w:r>
    </w:p>
    <w:p>
      <w:pPr>
        <w:pStyle w:val="BodyText"/>
        <w:ind w:left="1" w:right="94" w:firstLine="424"/>
        <w:spacing w:before="115" w:line="311" w:lineRule="auto"/>
        <w:rPr/>
      </w:pPr>
      <w:r>
        <w:rPr>
          <w:rFonts w:ascii="Times New Roman" w:hAnsi="Times New Roman" w:eastAsia="Times New Roman" w:cs="Times New Roman"/>
          <w:spacing w:val="2"/>
        </w:rPr>
        <w:t>6.</w:t>
      </w:r>
      <w:r>
        <w:rPr>
          <w:rFonts w:ascii="Times New Roman" w:hAnsi="Times New Roman" w:eastAsia="Times New Roman" w:cs="Times New Roman"/>
          <w:spacing w:val="-25"/>
        </w:rPr>
        <w:t xml:space="preserve"> </w:t>
      </w:r>
      <w:r>
        <w:rPr>
          <w:rFonts w:ascii="Times New Roman" w:hAnsi="Times New Roman" w:eastAsia="Times New Roman" w:cs="Times New Roman"/>
          <w:spacing w:val="2"/>
        </w:rPr>
        <w:t>11  </w:t>
      </w:r>
      <w:r>
        <w:rPr>
          <w:rFonts w:ascii="KaiTi" w:hAnsi="KaiTi" w:eastAsia="KaiTi" w:cs="KaiTi"/>
          <w:spacing w:val="2"/>
        </w:rPr>
        <w:t>应急避难场所保障。</w:t>
      </w:r>
      <w:r>
        <w:rPr>
          <w:spacing w:val="2"/>
        </w:rPr>
        <w:t>各单位规划和建</w:t>
      </w:r>
      <w:r>
        <w:rPr>
          <w:spacing w:val="7"/>
        </w:rPr>
        <w:t>立基本满足本区域生产安全事故的避难场所，</w:t>
      </w:r>
      <w:r>
        <w:rPr>
          <w:spacing w:val="7"/>
        </w:rPr>
        <w:t>建议与公园、广场等空旷场所的基础设施改造</w:t>
      </w:r>
      <w:r>
        <w:rPr>
          <w:spacing w:val="7"/>
        </w:rPr>
        <w:t>相结合，同时建立维护、使用保障制度。规划</w:t>
      </w:r>
      <w:r>
        <w:rPr>
          <w:spacing w:val="9"/>
        </w:rPr>
        <w:t>建设土地局、战略规划局负责监督落实。</w:t>
      </w:r>
    </w:p>
    <w:p>
      <w:pPr>
        <w:pStyle w:val="BodyText"/>
        <w:ind w:right="98" w:firstLine="425"/>
        <w:spacing w:before="116" w:line="305" w:lineRule="auto"/>
        <w:rPr/>
      </w:pPr>
      <w:r>
        <w:rPr>
          <w:rFonts w:ascii="Times New Roman" w:hAnsi="Times New Roman" w:eastAsia="Times New Roman" w:cs="Times New Roman"/>
          <w:spacing w:val="2"/>
        </w:rPr>
        <w:t>6.</w:t>
      </w:r>
      <w:r>
        <w:rPr>
          <w:rFonts w:ascii="Times New Roman" w:hAnsi="Times New Roman" w:eastAsia="Times New Roman" w:cs="Times New Roman"/>
          <w:spacing w:val="-22"/>
        </w:rPr>
        <w:t xml:space="preserve"> </w:t>
      </w:r>
      <w:r>
        <w:rPr>
          <w:rFonts w:ascii="Times New Roman" w:hAnsi="Times New Roman" w:eastAsia="Times New Roman" w:cs="Times New Roman"/>
          <w:spacing w:val="2"/>
        </w:rPr>
        <w:t>12  </w:t>
      </w:r>
      <w:r>
        <w:rPr>
          <w:rFonts w:ascii="KaiTi" w:hAnsi="KaiTi" w:eastAsia="KaiTi" w:cs="KaiTi"/>
          <w:spacing w:val="2"/>
        </w:rPr>
        <w:t>技术储备与保障。</w:t>
      </w:r>
      <w:r>
        <w:rPr>
          <w:spacing w:val="2"/>
        </w:rPr>
        <w:t>各单位要及时跟踪</w:t>
      </w:r>
      <w:r>
        <w:rPr>
          <w:spacing w:val="7"/>
        </w:rPr>
        <w:t>国内、国际先进的通信技术，不断开发和更新</w:t>
      </w:r>
      <w:r>
        <w:rPr>
          <w:spacing w:val="7"/>
        </w:rPr>
        <w:t>应急指挥决策支持系统的软硬件技术，建立科</w:t>
      </w:r>
      <w:r>
        <w:rPr>
          <w:spacing w:val="8"/>
        </w:rPr>
        <w:t>学的应急指挥决策支持系统。</w:t>
      </w:r>
    </w:p>
    <w:p>
      <w:pPr>
        <w:ind w:left="424"/>
        <w:spacing w:before="111"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7</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6"/>
        </w:rPr>
        <w:t>应急预案管理</w:t>
      </w:r>
    </w:p>
    <w:p>
      <w:pPr>
        <w:pStyle w:val="BodyText"/>
        <w:ind w:left="3" w:right="20" w:firstLine="421"/>
        <w:spacing w:before="62" w:line="295" w:lineRule="auto"/>
        <w:rPr/>
      </w:pPr>
      <w:r>
        <w:rPr>
          <w:rFonts w:ascii="Times New Roman" w:hAnsi="Times New Roman" w:eastAsia="Times New Roman" w:cs="Times New Roman"/>
          <w:spacing w:val="6"/>
        </w:rPr>
        <w:t>7.</w:t>
      </w:r>
      <w:r>
        <w:rPr>
          <w:rFonts w:ascii="Times New Roman" w:hAnsi="Times New Roman" w:eastAsia="Times New Roman" w:cs="Times New Roman"/>
          <w:spacing w:val="-22"/>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5"/>
          <w:w w:val="101"/>
        </w:rPr>
        <w:t xml:space="preserve">  </w:t>
      </w:r>
      <w:r>
        <w:rPr>
          <w:rFonts w:ascii="KaiTi" w:hAnsi="KaiTi" w:eastAsia="KaiTi" w:cs="KaiTi"/>
          <w:spacing w:val="6"/>
        </w:rPr>
        <w:t>宣传。</w:t>
      </w:r>
      <w:r>
        <w:rPr>
          <w:spacing w:val="6"/>
        </w:rPr>
        <w:t>有关单位负责组织本单位安全</w:t>
      </w:r>
      <w:r>
        <w:rPr>
          <w:spacing w:val="1"/>
        </w:rPr>
        <w:t>生产应急管理法律法规以及预防、避险、避灾、</w:t>
      </w:r>
      <w:r>
        <w:rPr>
          <w:spacing w:val="8"/>
        </w:rPr>
        <w:t>自救、互救常识的宣传工作。</w:t>
      </w:r>
    </w:p>
    <w:p>
      <w:pPr>
        <w:pStyle w:val="BodyText"/>
        <w:ind w:left="1" w:right="98" w:firstLine="423"/>
        <w:spacing w:before="119" w:line="314" w:lineRule="auto"/>
        <w:rPr/>
      </w:pPr>
      <w:r>
        <w:rPr>
          <w:rFonts w:ascii="Times New Roman" w:hAnsi="Times New Roman" w:eastAsia="Times New Roman" w:cs="Times New Roman"/>
          <w:spacing w:val="8"/>
        </w:rPr>
        <w:t>7.2  </w:t>
      </w:r>
      <w:r>
        <w:rPr>
          <w:rFonts w:ascii="KaiTi" w:hAnsi="KaiTi" w:eastAsia="KaiTi" w:cs="KaiTi"/>
          <w:spacing w:val="8"/>
        </w:rPr>
        <w:t>培训。</w:t>
      </w:r>
      <w:r>
        <w:rPr>
          <w:spacing w:val="8"/>
        </w:rPr>
        <w:t>按照分级管理原则，市应急管</w:t>
      </w:r>
      <w:r>
        <w:rPr>
          <w:spacing w:val="18"/>
        </w:rPr>
        <w:t>理指挥部办公室组织各级应急管理机构以及</w:t>
      </w:r>
      <w:r>
        <w:rPr>
          <w:spacing w:val="18"/>
        </w:rPr>
        <w:t>专业救援队伍的人员进行上岗前培训和业务</w:t>
      </w:r>
      <w:r>
        <w:rPr>
          <w:spacing w:val="7"/>
        </w:rPr>
        <w:t>培训。市应急管理指挥部办公室会同有关部门</w:t>
      </w:r>
      <w:r>
        <w:rPr>
          <w:spacing w:val="7"/>
        </w:rPr>
        <w:t>组织印发应急管理和处置技术等教材，负责对</w:t>
      </w:r>
      <w:r>
        <w:rPr>
          <w:spacing w:val="-5"/>
        </w:rPr>
        <w:t>生产经营单位应急管理培训工作的监管和指导。</w:t>
      </w:r>
    </w:p>
    <w:p>
      <w:pPr>
        <w:pStyle w:val="BodyText"/>
        <w:ind w:left="2" w:right="101" w:firstLine="422"/>
        <w:spacing w:before="117" w:line="304" w:lineRule="auto"/>
        <w:rPr/>
      </w:pPr>
      <w:r>
        <w:rPr>
          <w:rFonts w:ascii="Times New Roman" w:hAnsi="Times New Roman" w:eastAsia="Times New Roman" w:cs="Times New Roman"/>
          <w:spacing w:val="8"/>
        </w:rPr>
        <w:t>7.3  </w:t>
      </w:r>
      <w:r>
        <w:rPr>
          <w:rFonts w:ascii="KaiTi" w:hAnsi="KaiTi" w:eastAsia="KaiTi" w:cs="KaiTi"/>
          <w:spacing w:val="8"/>
        </w:rPr>
        <w:t>预案演练。</w:t>
      </w:r>
      <w:r>
        <w:rPr>
          <w:spacing w:val="8"/>
        </w:rPr>
        <w:t>市应急管理局负责监督指</w:t>
      </w:r>
      <w:r>
        <w:rPr>
          <w:spacing w:val="7"/>
        </w:rPr>
        <w:t>导各相关预案的应急演练工作。各单位定期组</w:t>
      </w:r>
      <w:r>
        <w:rPr>
          <w:spacing w:val="7"/>
        </w:rPr>
        <w:t>织跨部门、跨行业的综合性应急救援演练，提</w:t>
      </w:r>
      <w:r>
        <w:rPr>
          <w:spacing w:val="7"/>
        </w:rPr>
        <w:t>高队伍快速反应和协同作战能力，确保完成抢</w:t>
      </w:r>
      <w:r>
        <w:rPr>
          <w:spacing w:val="7"/>
        </w:rPr>
        <w:t>险救援任务。</w:t>
      </w:r>
    </w:p>
    <w:p>
      <w:pPr>
        <w:spacing w:line="304" w:lineRule="auto"/>
        <w:sectPr>
          <w:type w:val="continuous"/>
          <w:pgSz w:w="11906" w:h="16839"/>
          <w:pgMar w:top="1769" w:right="1489" w:bottom="1570" w:left="1551" w:header="1428" w:footer="1172" w:gutter="0"/>
          <w:cols w:equalWidth="0" w:num="2">
            <w:col w:w="4517" w:space="100"/>
            <w:col w:w="4249" w:space="0"/>
          </w:cols>
        </w:sectPr>
        <w:rPr/>
      </w:pPr>
    </w:p>
    <w:p>
      <w:pPr>
        <w:spacing w:before="47"/>
        <w:rPr/>
      </w:pPr>
      <w:r/>
    </w:p>
    <w:p>
      <w:pPr>
        <w:sectPr>
          <w:headerReference w:type="default" r:id="rId549"/>
          <w:footerReference w:type="default" r:id="rId628"/>
          <w:pgSz w:w="11906" w:h="16839"/>
          <w:pgMar w:top="1766" w:right="1530" w:bottom="1563" w:left="1579" w:header="1428" w:footer="1172" w:gutter="0"/>
          <w:cols w:equalWidth="0" w:num="1">
            <w:col w:w="8796" w:space="0"/>
          </w:cols>
        </w:sectPr>
        <w:rPr/>
      </w:pPr>
    </w:p>
    <w:p>
      <w:pPr>
        <w:pStyle w:val="BodyText"/>
        <w:ind w:left="16" w:right="246" w:firstLine="438"/>
        <w:spacing w:before="40" w:line="331" w:lineRule="auto"/>
        <w:rPr/>
      </w:pPr>
      <w:r>
        <w:rPr>
          <w:spacing w:val="8"/>
        </w:rPr>
        <w:t>固原市至少每年组织</w:t>
      </w:r>
      <w:r>
        <w:rPr>
          <w:spacing w:val="-23"/>
        </w:rPr>
        <w:t xml:space="preserve"> </w:t>
      </w:r>
      <w:r>
        <w:rPr>
          <w:rFonts w:ascii="Times New Roman" w:hAnsi="Times New Roman" w:eastAsia="Times New Roman" w:cs="Times New Roman"/>
          <w:spacing w:val="8"/>
        </w:rPr>
        <w:t>1 </w:t>
      </w:r>
      <w:r>
        <w:rPr>
          <w:spacing w:val="8"/>
        </w:rPr>
        <w:t>次应急预案演练，</w:t>
      </w:r>
      <w:r>
        <w:rPr>
          <w:spacing w:val="-8"/>
        </w:rPr>
        <w:t>提高本部门、本地区生产安全事故应急处置能力。</w:t>
      </w:r>
    </w:p>
    <w:p>
      <w:pPr>
        <w:pStyle w:val="BodyText"/>
        <w:ind w:left="14" w:right="329" w:firstLine="422"/>
        <w:spacing w:line="330" w:lineRule="auto"/>
        <w:jc w:val="both"/>
        <w:rPr/>
      </w:pPr>
      <w:r>
        <w:rPr>
          <w:rFonts w:ascii="Times New Roman" w:hAnsi="Times New Roman" w:eastAsia="Times New Roman" w:cs="Times New Roman"/>
          <w:spacing w:val="8"/>
        </w:rPr>
        <w:t>7.4  </w:t>
      </w:r>
      <w:r>
        <w:rPr>
          <w:rFonts w:ascii="KaiTi" w:hAnsi="KaiTi" w:eastAsia="KaiTi" w:cs="KaiTi"/>
          <w:spacing w:val="8"/>
        </w:rPr>
        <w:t>预案修订。</w:t>
      </w:r>
      <w:r>
        <w:rPr>
          <w:spacing w:val="8"/>
        </w:rPr>
        <w:t>市应急管理局要根据预案</w:t>
      </w:r>
      <w:r>
        <w:rPr>
          <w:spacing w:val="7"/>
        </w:rPr>
        <w:t>演练时发现的问题、机构变化等情况，适时组</w:t>
      </w:r>
      <w:r>
        <w:rPr>
          <w:spacing w:val="8"/>
        </w:rPr>
        <w:t>织修订完善本预案。</w:t>
      </w:r>
    </w:p>
    <w:p>
      <w:pPr>
        <w:pStyle w:val="BodyText"/>
        <w:ind w:left="14" w:right="329" w:firstLine="419"/>
        <w:spacing w:before="9" w:line="331" w:lineRule="auto"/>
        <w:rPr/>
      </w:pPr>
      <w:r>
        <w:rPr>
          <w:spacing w:val="6"/>
        </w:rPr>
        <w:t>有下列情形之一的，应急预案应当及时修</w:t>
      </w:r>
      <w:r>
        <w:rPr>
          <w:spacing w:val="6"/>
        </w:rPr>
        <w:t>订并归档：</w:t>
      </w:r>
    </w:p>
    <w:p>
      <w:pPr>
        <w:pStyle w:val="BodyText"/>
        <w:ind w:left="14" w:right="332" w:firstLine="410"/>
        <w:spacing w:before="1" w:line="280"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）依据的法律、法规、规章、标准及</w:t>
      </w:r>
      <w:r>
        <w:rPr>
          <w:spacing w:val="9"/>
        </w:rPr>
        <w:t>上位预案中的有关规定发生重大变化的；</w:t>
      </w:r>
    </w:p>
    <w:p>
      <w:pPr>
        <w:pStyle w:val="BodyText"/>
        <w:ind w:left="424"/>
        <w:spacing w:before="112" w:line="277" w:lineRule="exact"/>
        <w:rPr/>
      </w:pPr>
      <w:r>
        <w:rPr>
          <w:spacing w:val="5"/>
          <w:position w:val="1"/>
        </w:rPr>
        <w:t>（</w:t>
      </w:r>
      <w:r>
        <w:rPr>
          <w:rFonts w:ascii="Times New Roman" w:hAnsi="Times New Roman" w:eastAsia="Times New Roman" w:cs="Times New Roman"/>
          <w:spacing w:val="5"/>
          <w:position w:val="1"/>
        </w:rPr>
        <w:t>2</w:t>
      </w:r>
      <w:r>
        <w:rPr>
          <w:rFonts w:ascii="Times New Roman" w:hAnsi="Times New Roman" w:eastAsia="Times New Roman" w:cs="Times New Roman"/>
          <w:spacing w:val="-18"/>
          <w:position w:val="1"/>
        </w:rPr>
        <w:t xml:space="preserve"> </w:t>
      </w:r>
      <w:r>
        <w:rPr>
          <w:spacing w:val="5"/>
          <w:position w:val="1"/>
        </w:rPr>
        <w:t>）应急指挥机构及其职责发生调整的；</w:t>
      </w:r>
    </w:p>
    <w:p>
      <w:pPr>
        <w:pStyle w:val="BodyText"/>
        <w:ind w:left="424"/>
        <w:spacing w:before="83" w:line="278" w:lineRule="exact"/>
        <w:rPr/>
      </w:pPr>
      <w:r>
        <w:rPr>
          <w:spacing w:val="-5"/>
          <w:position w:val="1"/>
        </w:rPr>
        <w:t>（</w:t>
      </w:r>
      <w:r>
        <w:rPr>
          <w:rFonts w:ascii="Times New Roman" w:hAnsi="Times New Roman" w:eastAsia="Times New Roman" w:cs="Times New Roman"/>
          <w:spacing w:val="-5"/>
          <w:position w:val="1"/>
        </w:rPr>
        <w:t>3</w:t>
      </w:r>
      <w:r>
        <w:rPr>
          <w:rFonts w:ascii="Times New Roman" w:hAnsi="Times New Roman" w:eastAsia="Times New Roman" w:cs="Times New Roman"/>
          <w:spacing w:val="-6"/>
          <w:position w:val="1"/>
        </w:rPr>
        <w:t xml:space="preserve"> </w:t>
      </w:r>
      <w:r>
        <w:rPr>
          <w:spacing w:val="-5"/>
          <w:position w:val="1"/>
        </w:rPr>
        <w:t>）安全生产面临的风险发生重大变化的；</w:t>
      </w:r>
    </w:p>
    <w:p>
      <w:pPr>
        <w:pStyle w:val="BodyText"/>
        <w:ind w:left="424"/>
        <w:spacing w:before="82" w:line="278" w:lineRule="exact"/>
        <w:rPr/>
      </w:pPr>
      <w:r>
        <w:rPr>
          <w:spacing w:val="7"/>
          <w:position w:val="1"/>
        </w:rPr>
        <w:t>（</w:t>
      </w:r>
      <w:r>
        <w:rPr>
          <w:rFonts w:ascii="Times New Roman" w:hAnsi="Times New Roman" w:eastAsia="Times New Roman" w:cs="Times New Roman"/>
          <w:spacing w:val="7"/>
          <w:position w:val="1"/>
        </w:rPr>
        <w:t>4</w:t>
      </w:r>
      <w:r>
        <w:rPr>
          <w:rFonts w:ascii="Times New Roman" w:hAnsi="Times New Roman" w:eastAsia="Times New Roman" w:cs="Times New Roman"/>
          <w:spacing w:val="-14"/>
          <w:position w:val="1"/>
        </w:rPr>
        <w:t xml:space="preserve"> </w:t>
      </w:r>
      <w:r>
        <w:rPr>
          <w:spacing w:val="7"/>
          <w:position w:val="1"/>
        </w:rPr>
        <w:t>）重要应急资源发生重大变化的；</w:t>
      </w:r>
    </w:p>
    <w:p>
      <w:pPr>
        <w:pStyle w:val="BodyText"/>
        <w:ind w:left="12" w:right="332" w:firstLine="412"/>
        <w:spacing w:before="83" w:line="280" w:lineRule="auto"/>
        <w:rPr/>
      </w:pPr>
      <w:r>
        <w:rPr>
          <w:spacing w:val="8"/>
        </w:rPr>
        <w:t>（</w:t>
      </w:r>
      <w:r>
        <w:rPr>
          <w:spacing w:val="-45"/>
        </w:rPr>
        <w:t xml:space="preserve"> </w:t>
      </w:r>
      <w:r>
        <w:rPr>
          <w:rFonts w:ascii="Times New Roman" w:hAnsi="Times New Roman" w:eastAsia="Times New Roman" w:cs="Times New Roman"/>
          <w:spacing w:val="8"/>
        </w:rPr>
        <w:t>5</w:t>
      </w:r>
      <w:r>
        <w:rPr>
          <w:rFonts w:ascii="Times New Roman" w:hAnsi="Times New Roman" w:eastAsia="Times New Roman" w:cs="Times New Roman"/>
          <w:spacing w:val="-19"/>
        </w:rPr>
        <w:t xml:space="preserve"> </w:t>
      </w:r>
      <w:r>
        <w:rPr>
          <w:spacing w:val="8"/>
        </w:rPr>
        <w:t>）在应急演练和事故应急救援中发现</w:t>
      </w:r>
      <w:r>
        <w:rPr>
          <w:spacing w:val="8"/>
        </w:rPr>
        <w:t>需要修订预案的重大问题的；</w:t>
      </w:r>
    </w:p>
    <w:p>
      <w:pPr>
        <w:pStyle w:val="BodyText"/>
        <w:ind w:left="424"/>
        <w:spacing w:before="112" w:line="278" w:lineRule="exact"/>
        <w:rPr/>
      </w:pPr>
      <w:r>
        <w:rPr>
          <w:spacing w:val="5"/>
          <w:position w:val="1"/>
        </w:rPr>
        <w:t>（</w:t>
      </w:r>
      <w:r>
        <w:rPr>
          <w:rFonts w:ascii="Times New Roman" w:hAnsi="Times New Roman" w:eastAsia="Times New Roman" w:cs="Times New Roman"/>
          <w:spacing w:val="5"/>
          <w:position w:val="1"/>
        </w:rPr>
        <w:t>6</w:t>
      </w:r>
      <w:r>
        <w:rPr>
          <w:rFonts w:ascii="Times New Roman" w:hAnsi="Times New Roman" w:eastAsia="Times New Roman" w:cs="Times New Roman"/>
          <w:spacing w:val="-18"/>
          <w:position w:val="1"/>
        </w:rPr>
        <w:t xml:space="preserve"> </w:t>
      </w:r>
      <w:r>
        <w:rPr>
          <w:spacing w:val="5"/>
          <w:position w:val="1"/>
        </w:rPr>
        <w:t>）编制单位认为应当修订的其他情况。</w:t>
      </w:r>
    </w:p>
    <w:p>
      <w:pPr>
        <w:ind w:left="436"/>
        <w:spacing w:before="75"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8</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4"/>
        </w:rPr>
        <w:t>责任与奖惩</w:t>
      </w:r>
    </w:p>
    <w:p>
      <w:pPr>
        <w:pStyle w:val="BodyText"/>
        <w:ind w:left="12" w:right="265" w:firstLine="420"/>
        <w:spacing w:before="61" w:line="330" w:lineRule="auto"/>
        <w:rPr/>
      </w:pPr>
      <w:r>
        <w:rPr>
          <w:spacing w:val="19"/>
        </w:rPr>
        <w:t>对在生产安全事故应急救援工作中玩忽</w:t>
      </w:r>
      <w:r>
        <w:rPr/>
        <w:t>职守造成损失的，严重虚报、瞒报事故情况的，</w:t>
      </w:r>
      <w:r>
        <w:rPr>
          <w:spacing w:val="7"/>
        </w:rPr>
        <w:t>依据国家有关法律法规追究当事人的责任，构</w:t>
      </w:r>
    </w:p>
    <w:p>
      <w:pPr>
        <w:spacing w:line="14" w:lineRule="auto"/>
        <w:rPr>
          <w:rFonts w:ascii="Arial"/>
          <w:sz w:val="2"/>
        </w:rPr>
      </w:pPr>
      <w:r>
        <w:rPr>
          <w:rFonts w:ascii="Arial" w:hAnsi="Arial" w:eastAsia="Arial" w:cs="Arial"/>
          <w:sz w:val="2"/>
          <w:szCs w:val="2"/>
        </w:rPr>
        <w:br w:type="column"/>
      </w:r>
    </w:p>
    <w:p>
      <w:pPr>
        <w:pStyle w:val="BodyText"/>
        <w:ind w:right="59"/>
        <w:spacing w:before="40" w:line="332" w:lineRule="auto"/>
        <w:jc w:val="both"/>
        <w:rPr/>
      </w:pPr>
      <w:r>
        <w:rPr>
          <w:spacing w:val="7"/>
        </w:rPr>
        <w:t>成犯罪的，依法追究其刑事责任；对在生产安</w:t>
      </w:r>
      <w:r>
        <w:rPr>
          <w:spacing w:val="18"/>
        </w:rPr>
        <w:t>全事故应急救援处置工作过程中作出突出贡</w:t>
      </w:r>
      <w:r>
        <w:rPr>
          <w:spacing w:val="7"/>
        </w:rPr>
        <w:t>献的先进集体和个人，按照有关规定给予表彰</w:t>
      </w:r>
      <w:r>
        <w:rPr>
          <w:spacing w:val="6"/>
        </w:rPr>
        <w:t>和奖励。</w:t>
      </w:r>
    </w:p>
    <w:p>
      <w:pPr>
        <w:pStyle w:val="BodyText"/>
        <w:ind w:right="59" w:firstLine="420"/>
        <w:spacing w:before="2" w:line="332" w:lineRule="auto"/>
        <w:jc w:val="both"/>
        <w:rPr/>
      </w:pPr>
      <w:r>
        <w:rPr>
          <w:spacing w:val="7"/>
        </w:rPr>
        <w:t>对发现事故报告及时，在现场及时采取措</w:t>
      </w:r>
      <w:r>
        <w:rPr>
          <w:spacing w:val="7"/>
        </w:rPr>
        <w:t>施防止事态扩大，抢救人民生命财产做出重大</w:t>
      </w:r>
      <w:r>
        <w:rPr>
          <w:spacing w:val="7"/>
        </w:rPr>
        <w:t>贡献人员；在指挥救援中措施得力，有效控制</w:t>
      </w:r>
      <w:r>
        <w:rPr>
          <w:spacing w:val="7"/>
        </w:rPr>
        <w:t>事态发展并挽回较大经济损失人员；在救援中</w:t>
      </w:r>
      <w:r>
        <w:rPr>
          <w:spacing w:val="7"/>
        </w:rPr>
        <w:t>服从指挥，有突出贡献的单位和人员，固原市</w:t>
      </w:r>
      <w:r>
        <w:rPr>
          <w:spacing w:val="7"/>
        </w:rPr>
        <w:t>政府、有关部门应按照《中华人民共和国安全</w:t>
      </w:r>
      <w:r>
        <w:rPr>
          <w:spacing w:val="9"/>
        </w:rPr>
        <w:t>生产法》有关规定给予表彰和奖励。</w:t>
      </w:r>
    </w:p>
    <w:p>
      <w:pPr>
        <w:pStyle w:val="BodyText"/>
        <w:ind w:right="59" w:firstLine="420"/>
        <w:spacing w:before="4" w:line="330" w:lineRule="auto"/>
        <w:jc w:val="both"/>
        <w:rPr/>
      </w:pPr>
      <w:r>
        <w:rPr>
          <w:spacing w:val="7"/>
        </w:rPr>
        <w:t>对迟报、漏报、瞒报、误报事故信息，造</w:t>
      </w:r>
      <w:r>
        <w:rPr>
          <w:spacing w:val="15"/>
        </w:rPr>
        <w:t>成重大损失的人员</w:t>
      </w:r>
      <w:r>
        <w:rPr>
          <w:spacing w:val="-40"/>
        </w:rPr>
        <w:t xml:space="preserve"> </w:t>
      </w:r>
      <w:r>
        <w:rPr>
          <w:spacing w:val="15"/>
        </w:rPr>
        <w:t>，或在处理事故中玩忽职</w:t>
      </w:r>
      <w:r>
        <w:rPr>
          <w:spacing w:val="7"/>
        </w:rPr>
        <w:t>守，不听从指挥，不认真负责以及危害抢险救</w:t>
      </w:r>
      <w:r>
        <w:rPr>
          <w:spacing w:val="7"/>
        </w:rPr>
        <w:t>援工作人员，所在单位或上级部门要按照有关</w:t>
      </w:r>
      <w:r>
        <w:rPr>
          <w:spacing w:val="7"/>
        </w:rPr>
        <w:t>规定给予行政处分，构成犯罪的，依法追究刑</w:t>
      </w:r>
      <w:r>
        <w:rPr>
          <w:spacing w:val="6"/>
        </w:rPr>
        <w:t>事责任。</w:t>
      </w:r>
    </w:p>
    <w:p>
      <w:pPr>
        <w:ind w:left="426"/>
        <w:spacing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9    附件</w:t>
      </w:r>
    </w:p>
    <w:p>
      <w:pPr>
        <w:spacing w:line="217" w:lineRule="auto"/>
        <w:sectPr>
          <w:type w:val="continuous"/>
          <w:pgSz w:w="11906" w:h="16839"/>
          <w:pgMar w:top="1766" w:right="1530" w:bottom="1563" w:left="1579" w:header="1428" w:footer="1172" w:gutter="0"/>
          <w:cols w:equalWidth="0" w:num="2">
            <w:col w:w="4489" w:space="100"/>
            <w:col w:w="4207" w:space="0"/>
          </w:cols>
        </w:sectPr>
        <w:rPr>
          <w:rFonts w:ascii="Microsoft YaHei" w:hAnsi="Microsoft YaHei" w:eastAsia="Microsoft YaHei" w:cs="Microsoft YaHei"/>
          <w:sz w:val="20"/>
          <w:szCs w:val="20"/>
        </w:rPr>
      </w:pPr>
    </w:p>
    <w:p>
      <w:pPr>
        <w:ind w:left="1997"/>
        <w:spacing w:line="209" w:lineRule="auto"/>
        <w:rPr>
          <w:rFonts w:ascii="Microsoft YaHei" w:hAnsi="Microsoft YaHei" w:eastAsia="Microsoft YaHei" w:cs="Microsoft YaHei"/>
          <w:sz w:val="24"/>
          <w:szCs w:val="24"/>
        </w:rPr>
      </w:pPr>
      <w:r>
        <w:drawing>
          <wp:anchor distT="0" distB="0" distL="0" distR="0" simplePos="0" relativeHeight="252118016" behindDoc="0" locked="0" layoutInCell="1" allowOverlap="1">
            <wp:simplePos x="0" y="0"/>
            <wp:positionH relativeFrom="column">
              <wp:posOffset>5393</wp:posOffset>
            </wp:positionH>
            <wp:positionV relativeFrom="paragraph">
              <wp:posOffset>-4522266</wp:posOffset>
            </wp:positionV>
            <wp:extent cx="5579745" cy="7620"/>
            <wp:effectExtent l="0" t="0" r="0" b="0"/>
            <wp:wrapNone/>
            <wp:docPr id="1254" name="IM 1254"/>
            <wp:cNvGraphicFramePr/>
            <a:graphic>
              <a:graphicData uri="http://schemas.openxmlformats.org/drawingml/2006/picture">
                <pic:pic>
                  <pic:nvPicPr>
                    <pic:cNvPr id="1254" name="IM 1254"/>
                    <pic:cNvPicPr/>
                  </pic:nvPicPr>
                  <pic:blipFill>
                    <a:blip r:embed="rId629"/>
                    <a:stretch>
                      <a:fillRect/>
                    </a:stretch>
                  </pic:blipFill>
                  <pic:spPr>
                    <a:xfrm rot="0">
                      <a:off x="0" y="0"/>
                      <a:ext cx="5579745" cy="7620"/>
                    </a:xfrm>
                    <a:prstGeom prst="rect">
                      <a:avLst/>
                    </a:prstGeom>
                  </pic:spPr>
                </pic:pic>
              </a:graphicData>
            </a:graphic>
          </wp:anchor>
        </w:drawing>
      </w:r>
      <w:r>
        <w:rPr>
          <w:rFonts w:ascii="Microsoft YaHei" w:hAnsi="Microsoft YaHei" w:eastAsia="Microsoft YaHei" w:cs="Microsoft YaHei"/>
          <w:sz w:val="24"/>
          <w:szCs w:val="24"/>
          <w:spacing w:val="-2"/>
        </w:rPr>
        <w:t>9.1  固原市应急管理指挥部办公室组织机构图</w:t>
      </w:r>
    </w:p>
    <w:p>
      <w:pPr>
        <w:spacing w:line="447" w:lineRule="auto"/>
        <w:rPr>
          <w:rFonts w:ascii="Arial"/>
          <w:sz w:val="21"/>
        </w:rPr>
      </w:pPr>
      <w:r/>
    </w:p>
    <w:p>
      <w:pPr>
        <w:pStyle w:val="BodyText"/>
        <w:ind w:left="1914"/>
        <w:spacing w:before="66" w:line="277" w:lineRule="exact"/>
        <w:rPr/>
      </w:pPr>
      <w:r>
        <w:drawing>
          <wp:anchor distT="0" distB="0" distL="0" distR="0" simplePos="0" relativeHeight="252112896" behindDoc="1" locked="0" layoutInCell="1" allowOverlap="1">
            <wp:simplePos x="0" y="0"/>
            <wp:positionH relativeFrom="column">
              <wp:posOffset>231453</wp:posOffset>
            </wp:positionH>
            <wp:positionV relativeFrom="paragraph">
              <wp:posOffset>-18816</wp:posOffset>
            </wp:positionV>
            <wp:extent cx="5016500" cy="3098152"/>
            <wp:effectExtent l="0" t="0" r="0" b="0"/>
            <wp:wrapNone/>
            <wp:docPr id="1256" name="IM 1256"/>
            <wp:cNvGraphicFramePr/>
            <a:graphic>
              <a:graphicData uri="http://schemas.openxmlformats.org/drawingml/2006/picture">
                <pic:pic>
                  <pic:nvPicPr>
                    <pic:cNvPr id="1256" name="IM 1256"/>
                    <pic:cNvPicPr/>
                  </pic:nvPicPr>
                  <pic:blipFill>
                    <a:blip r:embed="rId630"/>
                    <a:stretch>
                      <a:fillRect/>
                    </a:stretch>
                  </pic:blipFill>
                  <pic:spPr>
                    <a:xfrm rot="0">
                      <a:off x="0" y="0"/>
                      <a:ext cx="5016500" cy="3098152"/>
                    </a:xfrm>
                    <a:prstGeom prst="rect">
                      <a:avLst/>
                    </a:prstGeom>
                  </pic:spPr>
                </pic:pic>
              </a:graphicData>
            </a:graphic>
          </wp:anchor>
        </w:drawing>
      </w:r>
      <w:r>
        <w:rPr>
          <w:spacing w:val="9"/>
          <w:position w:val="1"/>
        </w:rPr>
        <w:t>指 挥 长：市政府分管应急管理工作的副市长</w:t>
      </w:r>
    </w:p>
    <w:p>
      <w:pPr>
        <w:spacing w:line="332" w:lineRule="auto"/>
        <w:rPr>
          <w:rFonts w:ascii="Arial"/>
          <w:sz w:val="21"/>
        </w:rPr>
      </w:pPr>
      <w:r/>
    </w:p>
    <w:p>
      <w:pPr>
        <w:pStyle w:val="BodyText"/>
        <w:ind w:left="2810"/>
        <w:spacing w:before="66" w:line="277" w:lineRule="exact"/>
        <w:rPr/>
      </w:pPr>
      <w:r>
        <w:rPr>
          <w:spacing w:val="8"/>
          <w:position w:val="1"/>
        </w:rPr>
        <w:t>副指挥长：市政府各副市长</w:t>
      </w: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pStyle w:val="BodyText"/>
        <w:ind w:left="833"/>
        <w:spacing w:before="66" w:line="230" w:lineRule="auto"/>
        <w:rPr/>
      </w:pPr>
      <w:r>
        <w:rPr>
          <w:spacing w:val="6"/>
          <w:position w:val="-2"/>
        </w:rPr>
        <w:t>应急救援办公室                                    </w:t>
      </w:r>
      <w:r>
        <w:rPr>
          <w:spacing w:val="6"/>
          <w:position w:val="2"/>
        </w:rPr>
        <w:t>应急处置工作组</w:t>
      </w:r>
    </w:p>
    <w:p>
      <w:pPr>
        <w:spacing w:line="404" w:lineRule="auto"/>
        <w:rPr>
          <w:rFonts w:ascii="Arial"/>
          <w:sz w:val="21"/>
        </w:rPr>
      </w:pPr>
      <w:r/>
    </w:p>
    <w:p>
      <w:pPr>
        <w:pStyle w:val="BodyText"/>
        <w:ind w:left="2355"/>
        <w:spacing w:before="65" w:line="183" w:lineRule="auto"/>
        <w:rPr/>
      </w:pPr>
      <w:r>
        <w:pict>
          <v:shape id="_x0000_s8" style="position:absolute;margin-left:338.094pt;margin-top:42.0696pt;mso-position-vertical-relative:text;mso-position-horizontal-relative:text;width:51.85pt;height:59.95pt;z-index:252116992;" filled="false" stroked="false" type="#_x0000_t202">
            <v:fill on="false"/>
            <v:stroke on="false"/>
            <v:path/>
            <v:imagedata o:title=""/>
            <o:lock v:ext="edit" aspectratio="false"/>
            <v:textbox inset="0mm,0mm,0mm,0mm" style="layout-flow:vertical-ideographic;">
              <w:txbxContent>
                <w:p>
                  <w:pPr>
                    <w:pStyle w:val="BodyText"/>
                    <w:ind w:left="20"/>
                    <w:spacing w:before="19" w:line="221" w:lineRule="auto"/>
                    <w:rPr/>
                  </w:pPr>
                  <w:r>
                    <w:rPr>
                      <w:spacing w:val="33"/>
                    </w:rPr>
                    <w:t>善后处理组</w:t>
                  </w:r>
                </w:p>
                <w:p>
                  <w:pPr>
                    <w:spacing w:line="425" w:lineRule="auto"/>
                    <w:rPr>
                      <w:rFonts w:ascii="Arial"/>
                      <w:sz w:val="21"/>
                    </w:rPr>
                  </w:pPr>
                  <w:r/>
                </w:p>
                <w:p>
                  <w:pPr>
                    <w:pStyle w:val="BodyText"/>
                    <w:ind w:right="3"/>
                    <w:spacing w:before="67" w:line="220" w:lineRule="auto"/>
                    <w:jc w:val="right"/>
                    <w:rPr/>
                  </w:pPr>
                  <w:r>
                    <w:rPr>
                      <w:spacing w:val="33"/>
                    </w:rPr>
                    <w:t>新闻宣传组</w:t>
                  </w:r>
                </w:p>
              </w:txbxContent>
            </v:textbox>
          </v:shape>
        </w:pict>
      </w:r>
      <w:r>
        <w:pict>
          <v:shape id="_x0000_s10" style="position:absolute;margin-left:260.057pt;margin-top:42.1906pt;mso-position-vertical-relative:text;mso-position-horizontal-relative:text;width:54.5pt;height:59.6pt;z-index:252115968;" filled="false" stroked="false" type="#_x0000_t202">
            <v:fill on="false"/>
            <v:stroke on="false"/>
            <v:path/>
            <v:imagedata o:title=""/>
            <o:lock v:ext="edit" aspectratio="false"/>
            <v:textbox inset="0mm,0mm,0mm,0mm" style="layout-flow:vertical-ideographic;">
              <w:txbxContent>
                <w:p>
                  <w:pPr>
                    <w:pStyle w:val="BodyText"/>
                    <w:ind w:left="20"/>
                    <w:spacing w:before="20" w:line="221" w:lineRule="auto"/>
                    <w:rPr/>
                  </w:pPr>
                  <w:r>
                    <w:rPr>
                      <w:spacing w:val="33"/>
                    </w:rPr>
                    <w:t>事故调查组</w:t>
                  </w:r>
                </w:p>
                <w:p>
                  <w:pPr>
                    <w:spacing w:line="475" w:lineRule="auto"/>
                    <w:rPr>
                      <w:rFonts w:ascii="Arial"/>
                      <w:sz w:val="21"/>
                    </w:rPr>
                  </w:pPr>
                  <w:r/>
                </w:p>
                <w:p>
                  <w:pPr>
                    <w:pStyle w:val="BodyText"/>
                    <w:ind w:right="3"/>
                    <w:spacing w:before="67" w:line="221" w:lineRule="auto"/>
                    <w:jc w:val="right"/>
                    <w:rPr/>
                  </w:pPr>
                  <w:r>
                    <w:rPr>
                      <w:spacing w:val="32"/>
                    </w:rPr>
                    <w:t>环境监测组</w:t>
                  </w:r>
                </w:p>
              </w:txbxContent>
            </v:textbox>
          </v:shape>
        </w:pict>
      </w:r>
      <w:r>
        <w:pict>
          <v:shape id="_x0000_s12" style="position:absolute;margin-left:138.975pt;margin-top:41.5114pt;mso-position-vertical-relative:text;mso-position-horizontal-relative:text;width:94.15pt;height:60.55pt;z-index:252113920;" filled="false" stroked="false" type="#_x0000_t202">
            <v:fill on="false"/>
            <v:stroke on="false"/>
            <v:path/>
            <v:imagedata o:title=""/>
            <o:lock v:ext="edit" aspectratio="false"/>
            <v:textbox inset="0mm,0mm,0mm,0mm" style="layout-flow:vertical-ideographic;">
              <w:txbxContent>
                <w:p>
                  <w:pPr>
                    <w:pStyle w:val="BodyText"/>
                    <w:ind w:right="3"/>
                    <w:spacing w:before="19" w:line="221" w:lineRule="auto"/>
                    <w:jc w:val="right"/>
                    <w:rPr/>
                  </w:pPr>
                  <w:r>
                    <w:rPr>
                      <w:spacing w:val="33"/>
                    </w:rPr>
                    <w:t>资金保障组</w:t>
                  </w:r>
                </w:p>
                <w:p>
                  <w:pPr>
                    <w:spacing w:line="243" w:lineRule="auto"/>
                    <w:rPr>
                      <w:rFonts w:ascii="Arial"/>
                      <w:sz w:val="21"/>
                    </w:rPr>
                  </w:pPr>
                  <w:r/>
                </w:p>
                <w:p>
                  <w:pPr>
                    <w:spacing w:line="244" w:lineRule="auto"/>
                    <w:rPr>
                      <w:rFonts w:ascii="Arial"/>
                      <w:sz w:val="21"/>
                    </w:rPr>
                  </w:pPr>
                  <w:r/>
                </w:p>
                <w:p>
                  <w:pPr>
                    <w:pStyle w:val="BodyText"/>
                    <w:ind w:left="20"/>
                    <w:spacing w:before="67" w:line="221" w:lineRule="auto"/>
                    <w:rPr/>
                  </w:pPr>
                  <w:r>
                    <w:rPr>
                      <w:spacing w:val="33"/>
                    </w:rPr>
                    <w:t>应急专家组</w:t>
                  </w:r>
                </w:p>
                <w:p>
                  <w:pPr>
                    <w:spacing w:line="452" w:lineRule="auto"/>
                    <w:rPr>
                      <w:rFonts w:ascii="Arial"/>
                      <w:sz w:val="21"/>
                    </w:rPr>
                  </w:pPr>
                  <w:r/>
                </w:p>
                <w:p>
                  <w:pPr>
                    <w:pStyle w:val="BodyText"/>
                    <w:ind w:left="34"/>
                    <w:spacing w:before="67" w:line="221" w:lineRule="auto"/>
                    <w:rPr/>
                  </w:pPr>
                  <w:r>
                    <w:rPr>
                      <w:spacing w:val="31"/>
                    </w:rPr>
                    <w:t>医疗救治组</w:t>
                  </w:r>
                </w:p>
              </w:txbxContent>
            </v:textbox>
          </v:shape>
        </w:pict>
      </w:r>
      <w:r>
        <w:pict>
          <v:shape id="_x0000_s14" style="position:absolute;margin-left:30.6145pt;margin-top:41.115pt;mso-position-vertical-relative:text;mso-position-horizontal-relative:text;width:85.35pt;height:59.85pt;z-index:252114944;" filled="false" stroked="false" type="#_x0000_t202">
            <v:fill on="false"/>
            <v:stroke on="false"/>
            <v:path/>
            <v:imagedata o:title=""/>
            <o:lock v:ext="edit" aspectratio="false"/>
            <v:textbox inset="0mm,0mm,0mm,0mm" style="layout-flow:vertical-ideographic;">
              <w:txbxContent>
                <w:p>
                  <w:pPr>
                    <w:pStyle w:val="BodyText"/>
                    <w:ind w:right="3"/>
                    <w:spacing w:before="19" w:line="221" w:lineRule="auto"/>
                    <w:jc w:val="right"/>
                    <w:rPr/>
                  </w:pPr>
                  <w:r>
                    <w:rPr>
                      <w:spacing w:val="31"/>
                    </w:rPr>
                    <w:t>通信保障组</w:t>
                  </w:r>
                </w:p>
                <w:p>
                  <w:pPr>
                    <w:spacing w:line="359" w:lineRule="auto"/>
                    <w:rPr>
                      <w:rFonts w:ascii="Arial"/>
                      <w:sz w:val="21"/>
                    </w:rPr>
                  </w:pPr>
                  <w:r/>
                </w:p>
                <w:p>
                  <w:pPr>
                    <w:pStyle w:val="BodyText"/>
                    <w:ind w:left="20"/>
                    <w:spacing w:before="67" w:line="221" w:lineRule="auto"/>
                    <w:rPr/>
                  </w:pPr>
                  <w:r>
                    <w:rPr>
                      <w:spacing w:val="33"/>
                    </w:rPr>
                    <w:t>交通治安组</w:t>
                  </w:r>
                </w:p>
                <w:p>
                  <w:pPr>
                    <w:spacing w:line="410" w:lineRule="auto"/>
                    <w:rPr>
                      <w:rFonts w:ascii="Arial"/>
                      <w:sz w:val="21"/>
                    </w:rPr>
                  </w:pPr>
                  <w:r/>
                </w:p>
                <w:p>
                  <w:pPr>
                    <w:pStyle w:val="BodyText"/>
                    <w:ind w:left="21"/>
                    <w:spacing w:before="67" w:line="221" w:lineRule="auto"/>
                    <w:rPr/>
                  </w:pPr>
                  <w:r>
                    <w:rPr>
                      <w:spacing w:val="32"/>
                    </w:rPr>
                    <w:t>抢险救援组</w:t>
                  </w:r>
                </w:p>
              </w:txbxContent>
            </v:textbox>
          </v:shape>
        </w:pict>
      </w:r>
      <w:r>
        <w:rPr>
          <w:spacing w:val="8"/>
        </w:rPr>
        <w:t>固原市应急管理指挥部办公室组织机构图</w:t>
      </w:r>
    </w:p>
    <w:p>
      <w:pPr>
        <w:spacing w:line="183" w:lineRule="auto"/>
        <w:sectPr>
          <w:type w:val="continuous"/>
          <w:pgSz w:w="11906" w:h="16839"/>
          <w:pgMar w:top="1766" w:right="1530" w:bottom="1563" w:left="1579" w:header="1428" w:footer="1172" w:gutter="0"/>
          <w:cols w:equalWidth="0" w:num="1">
            <w:col w:w="8796" w:space="0"/>
          </w:cols>
        </w:sectPr>
        <w:rPr/>
      </w:pPr>
    </w:p>
    <w:p>
      <w:pPr>
        <w:spacing w:line="351" w:lineRule="auto"/>
        <w:rPr>
          <w:rFonts w:ascii="Arial"/>
          <w:sz w:val="21"/>
        </w:rPr>
      </w:pPr>
      <w:r>
        <w:drawing>
          <wp:anchor distT="0" distB="0" distL="0" distR="0" simplePos="0" relativeHeight="252119040"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262" name="IM 1262"/>
            <wp:cNvGraphicFramePr/>
            <a:graphic>
              <a:graphicData uri="http://schemas.openxmlformats.org/drawingml/2006/picture">
                <pic:pic>
                  <pic:nvPicPr>
                    <pic:cNvPr id="1262" name="IM 1262"/>
                    <pic:cNvPicPr/>
                  </pic:nvPicPr>
                  <pic:blipFill>
                    <a:blip r:embed="rId633"/>
                    <a:stretch>
                      <a:fillRect/>
                    </a:stretch>
                  </pic:blipFill>
                  <pic:spPr>
                    <a:xfrm rot="0">
                      <a:off x="0" y="0"/>
                      <a:ext cx="5579745" cy="7620"/>
                    </a:xfrm>
                    <a:prstGeom prst="rect">
                      <a:avLst/>
                    </a:prstGeom>
                  </pic:spPr>
                </pic:pic>
              </a:graphicData>
            </a:graphic>
          </wp:anchor>
        </w:drawing>
      </w:r>
      <w:r/>
    </w:p>
    <w:p>
      <w:pPr>
        <w:ind w:left="2230"/>
        <w:spacing w:before="103" w:line="209"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2"/>
        </w:rPr>
        <w:t>9.2 固原市生产安全事故应急救援工作流程图</w:t>
      </w:r>
    </w:p>
    <w:p>
      <w:pPr>
        <w:spacing w:line="448" w:lineRule="auto"/>
        <w:rPr>
          <w:rFonts w:ascii="Arial"/>
          <w:sz w:val="21"/>
        </w:rPr>
      </w:pPr>
      <w:r/>
    </w:p>
    <w:p>
      <w:pPr>
        <w:spacing w:line="11894" w:lineRule="exact"/>
        <w:rPr/>
      </w:pPr>
      <w:r>
        <w:rPr>
          <w:position w:val="-237"/>
        </w:rPr>
        <w:drawing>
          <wp:inline distT="0" distB="0" distL="0" distR="0">
            <wp:extent cx="5815583" cy="7552944"/>
            <wp:effectExtent l="0" t="0" r="0" b="0"/>
            <wp:docPr id="1264" name="IM 1264"/>
            <wp:cNvGraphicFramePr/>
            <a:graphic>
              <a:graphicData uri="http://schemas.openxmlformats.org/drawingml/2006/picture">
                <pic:pic>
                  <pic:nvPicPr>
                    <pic:cNvPr id="1264" name="IM 1264"/>
                    <pic:cNvPicPr/>
                  </pic:nvPicPr>
                  <pic:blipFill>
                    <a:blip r:embed="rId634"/>
                    <a:stretch>
                      <a:fillRect/>
                    </a:stretch>
                  </pic:blipFill>
                  <pic:spPr>
                    <a:xfrm rot="0">
                      <a:off x="0" y="0"/>
                      <a:ext cx="5815583" cy="7552944"/>
                    </a:xfrm>
                    <a:prstGeom prst="rect">
                      <a:avLst/>
                    </a:prstGeom>
                  </pic:spPr>
                </pic:pic>
              </a:graphicData>
            </a:graphic>
          </wp:inline>
        </w:drawing>
      </w:r>
    </w:p>
    <w:p>
      <w:pPr>
        <w:spacing w:line="11894" w:lineRule="exact"/>
        <w:sectPr>
          <w:headerReference w:type="default" r:id="rId631"/>
          <w:footerReference w:type="default" r:id="rId632"/>
          <w:pgSz w:w="11906" w:h="16839"/>
          <w:pgMar w:top="1772" w:right="1370" w:bottom="1547" w:left="1377" w:header="1428" w:footer="1172" w:gutter="0"/>
        </w:sectPr>
        <w:rPr/>
      </w:pPr>
    </w:p>
    <w:p>
      <w:pPr>
        <w:spacing w:before="67"/>
        <w:rPr/>
      </w:pPr>
      <w:r>
        <w:drawing>
          <wp:anchor distT="0" distB="0" distL="0" distR="0" simplePos="0" relativeHeight="25212416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270" name="IM 1270"/>
            <wp:cNvGraphicFramePr/>
            <a:graphic>
              <a:graphicData uri="http://schemas.openxmlformats.org/drawingml/2006/picture">
                <pic:pic>
                  <pic:nvPicPr>
                    <pic:cNvPr id="1270" name="IM 1270"/>
                    <pic:cNvPicPr/>
                  </pic:nvPicPr>
                  <pic:blipFill>
                    <a:blip r:embed="rId637"/>
                    <a:stretch>
                      <a:fillRect/>
                    </a:stretch>
                  </pic:blipFill>
                  <pic:spPr>
                    <a:xfrm rot="0">
                      <a:off x="0" y="0"/>
                      <a:ext cx="5579745" cy="7620"/>
                    </a:xfrm>
                    <a:prstGeom prst="rect">
                      <a:avLst/>
                    </a:prstGeom>
                  </pic:spPr>
                </pic:pic>
              </a:graphicData>
            </a:graphic>
          </wp:anchor>
        </w:drawing>
      </w:r>
      <w:r/>
    </w:p>
    <w:p>
      <w:pPr>
        <w:sectPr>
          <w:headerReference w:type="default" r:id="rId635"/>
          <w:footerReference w:type="default" r:id="rId636"/>
          <w:pgSz w:w="11906" w:h="16839"/>
          <w:pgMar w:top="1766" w:right="1507" w:bottom="1563" w:left="1576" w:header="1428" w:footer="1172" w:gutter="0"/>
          <w:cols w:equalWidth="0" w:num="1">
            <w:col w:w="8823" w:space="0"/>
          </w:cols>
        </w:sectPr>
        <w:rPr/>
      </w:pPr>
    </w:p>
    <w:p>
      <w:pPr>
        <w:ind w:left="208"/>
        <w:spacing w:before="40" w:line="18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第二部分</w:t>
      </w:r>
      <w:r>
        <w:rPr>
          <w:rFonts w:ascii="Microsoft YaHei" w:hAnsi="Microsoft YaHei" w:eastAsia="Microsoft YaHei" w:cs="Microsoft YaHei"/>
          <w:sz w:val="20"/>
          <w:szCs w:val="20"/>
          <w:spacing w:val="3"/>
        </w:rPr>
        <w:t xml:space="preserve">    </w:t>
      </w:r>
      <w:r>
        <w:rPr>
          <w:rFonts w:ascii="Microsoft YaHei" w:hAnsi="Microsoft YaHei" w:eastAsia="Microsoft YaHei" w:cs="Microsoft YaHei"/>
          <w:sz w:val="20"/>
          <w:szCs w:val="20"/>
          <w:spacing w:val="7"/>
        </w:rPr>
        <w:t>固原市生产安全事故应急预案</w:t>
      </w:r>
    </w:p>
    <w:p>
      <w:pPr>
        <w:spacing w:line="409" w:lineRule="auto"/>
        <w:rPr>
          <w:rFonts w:ascii="Arial"/>
          <w:sz w:val="21"/>
        </w:rPr>
      </w:pPr>
      <w:r/>
    </w:p>
    <w:p>
      <w:pPr>
        <w:ind w:left="445"/>
        <w:spacing w:before="86" w:line="18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一、固原市煤矿生产安全事故应急预案</w:t>
      </w:r>
    </w:p>
    <w:p>
      <w:pPr>
        <w:ind w:left="446"/>
        <w:spacing w:before="112" w:line="242" w:lineRule="auto"/>
        <w:rPr>
          <w:rFonts w:ascii="KaiTi" w:hAnsi="KaiTi" w:eastAsia="KaiTi" w:cs="KaiTi"/>
          <w:sz w:val="20"/>
          <w:szCs w:val="20"/>
        </w:rPr>
      </w:pPr>
      <w:r>
        <w:rPr>
          <w:rFonts w:ascii="Times New Roman" w:hAnsi="Times New Roman" w:eastAsia="Times New Roman" w:cs="Times New Roman"/>
          <w:sz w:val="20"/>
          <w:szCs w:val="20"/>
          <w:b/>
          <w:bCs/>
          <w:spacing w:val="4"/>
        </w:rPr>
        <w:t>1</w:t>
      </w:r>
      <w:r>
        <w:rPr>
          <w:rFonts w:ascii="Times New Roman" w:hAnsi="Times New Roman" w:eastAsia="Times New Roman" w:cs="Times New Roman"/>
          <w:sz w:val="20"/>
          <w:szCs w:val="20"/>
          <w:b/>
          <w:bCs/>
          <w:spacing w:val="5"/>
        </w:rPr>
        <w:t xml:space="preserve">    </w:t>
      </w:r>
      <w:r>
        <w:rPr>
          <w:rFonts w:ascii="KaiTi" w:hAnsi="KaiTi" w:eastAsia="KaiTi" w:cs="KaiTi"/>
          <w:sz w:val="20"/>
          <w:szCs w:val="20"/>
          <w:b/>
          <w:bCs/>
          <w:spacing w:val="4"/>
        </w:rPr>
        <w:t>事故风险分析</w:t>
      </w:r>
    </w:p>
    <w:p>
      <w:pPr>
        <w:ind w:left="457"/>
        <w:spacing w:before="119" w:line="242" w:lineRule="auto"/>
        <w:rPr>
          <w:rFonts w:ascii="KaiTi" w:hAnsi="KaiTi" w:eastAsia="KaiTi" w:cs="KaiTi"/>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1</w:t>
      </w:r>
      <w:r>
        <w:rPr>
          <w:rFonts w:ascii="Times New Roman" w:hAnsi="Times New Roman" w:eastAsia="Times New Roman" w:cs="Times New Roman"/>
          <w:sz w:val="20"/>
          <w:szCs w:val="20"/>
          <w:spacing w:val="8"/>
        </w:rPr>
        <w:t xml:space="preserve">  </w:t>
      </w:r>
      <w:r>
        <w:rPr>
          <w:rFonts w:ascii="KaiTi" w:hAnsi="KaiTi" w:eastAsia="KaiTi" w:cs="KaiTi"/>
          <w:sz w:val="20"/>
          <w:szCs w:val="20"/>
        </w:rPr>
        <w:t>事故风险分析。</w:t>
      </w:r>
    </w:p>
    <w:p>
      <w:pPr>
        <w:pStyle w:val="BodyText"/>
        <w:ind w:left="15" w:right="220" w:firstLine="441"/>
        <w:spacing w:before="129" w:line="343" w:lineRule="auto"/>
        <w:rPr/>
      </w:pPr>
      <w:r>
        <w:rPr>
          <w:rFonts w:ascii="Times New Roman" w:hAnsi="Times New Roman" w:eastAsia="Times New Roman" w:cs="Times New Roman"/>
          <w:spacing w:val="1"/>
        </w:rPr>
        <w:t>1.</w:t>
      </w:r>
      <w:r>
        <w:rPr>
          <w:rFonts w:ascii="Times New Roman" w:hAnsi="Times New Roman" w:eastAsia="Times New Roman" w:cs="Times New Roman"/>
          <w:spacing w:val="-16"/>
        </w:rPr>
        <w:t xml:space="preserve"> </w:t>
      </w:r>
      <w:r>
        <w:rPr>
          <w:rFonts w:ascii="Times New Roman" w:hAnsi="Times New Roman" w:eastAsia="Times New Roman" w:cs="Times New Roman"/>
          <w:spacing w:val="1"/>
        </w:rPr>
        <w:t>1.1 </w:t>
      </w:r>
      <w:r>
        <w:rPr>
          <w:spacing w:val="1"/>
        </w:rPr>
        <w:t>矿井瓦斯爆炸。一个矿井中只要有一</w:t>
      </w:r>
      <w:r>
        <w:rPr>
          <w:spacing w:val="2"/>
        </w:rPr>
        <w:t>个煤（岩）层发现瓦斯，该矿井即为瓦斯矿井。</w:t>
      </w:r>
      <w:r>
        <w:rPr>
          <w:spacing w:val="7"/>
        </w:rPr>
        <w:t>瓦斯矿井必须依照矿井瓦斯等级进行管理。矿</w:t>
      </w:r>
      <w:r>
        <w:rPr>
          <w:spacing w:val="7"/>
        </w:rPr>
        <w:t>井瓦斯等级根据矿井相对瓦斯涌出量、矿井绝</w:t>
      </w:r>
      <w:r>
        <w:rPr>
          <w:spacing w:val="2"/>
        </w:rPr>
        <w:t>对瓦斯涌出量和瓦斯涌出形式划分为：煤（岩）</w:t>
      </w:r>
      <w:r>
        <w:rPr>
          <w:spacing w:val="7"/>
        </w:rPr>
        <w:t>与瓦斯（二氧化碳）突出矿井：发生过突出的</w:t>
      </w:r>
      <w:r>
        <w:rPr>
          <w:spacing w:val="7"/>
        </w:rPr>
        <w:t>矿井。低瓦斯矿井：矿井相对瓦斯涌出量小于</w:t>
      </w:r>
      <w:r>
        <w:rPr>
          <w:spacing w:val="10"/>
        </w:rPr>
        <w:t>或等于</w:t>
      </w:r>
      <w:r>
        <w:rPr>
          <w:spacing w:val="-1"/>
        </w:rPr>
        <w:t xml:space="preserve"> </w:t>
      </w:r>
      <w:r>
        <w:rPr>
          <w:rFonts w:ascii="Times New Roman" w:hAnsi="Times New Roman" w:eastAsia="Times New Roman" w:cs="Times New Roman"/>
          <w:spacing w:val="10"/>
        </w:rPr>
        <w:t>10m3/t </w:t>
      </w:r>
      <w:r>
        <w:rPr>
          <w:spacing w:val="10"/>
        </w:rPr>
        <w:t>且矿井绝对瓦斯涌出量小于或</w:t>
      </w:r>
      <w:r>
        <w:rPr>
          <w:spacing w:val="11"/>
        </w:rPr>
        <w:t>等于</w:t>
      </w:r>
      <w:r>
        <w:rPr>
          <w:spacing w:val="-29"/>
        </w:rPr>
        <w:t xml:space="preserve"> </w:t>
      </w:r>
      <w:r>
        <w:rPr>
          <w:rFonts w:ascii="Times New Roman" w:hAnsi="Times New Roman" w:eastAsia="Times New Roman" w:cs="Times New Roman"/>
          <w:spacing w:val="11"/>
        </w:rPr>
        <w:t>40m3/</w:t>
      </w:r>
      <w:r>
        <w:rPr>
          <w:rFonts w:ascii="Times New Roman" w:hAnsi="Times New Roman" w:eastAsia="Times New Roman" w:cs="Times New Roman"/>
        </w:rPr>
        <w:t>min</w:t>
      </w:r>
      <w:r>
        <w:rPr>
          <w:rFonts w:ascii="Times New Roman" w:hAnsi="Times New Roman" w:eastAsia="Times New Roman" w:cs="Times New Roman"/>
          <w:spacing w:val="-17"/>
        </w:rPr>
        <w:t xml:space="preserve"> </w:t>
      </w:r>
      <w:r>
        <w:rPr>
          <w:spacing w:val="11"/>
        </w:rPr>
        <w:t>。高瓦斯矿井：矿井相对瓦斯</w:t>
      </w:r>
      <w:r>
        <w:rPr>
          <w:spacing w:val="10"/>
        </w:rPr>
        <w:t>涌出量大于</w:t>
      </w:r>
      <w:r>
        <w:rPr>
          <w:spacing w:val="-8"/>
        </w:rPr>
        <w:t xml:space="preserve"> </w:t>
      </w:r>
      <w:r>
        <w:rPr>
          <w:rFonts w:ascii="Times New Roman" w:hAnsi="Times New Roman" w:eastAsia="Times New Roman" w:cs="Times New Roman"/>
          <w:spacing w:val="10"/>
        </w:rPr>
        <w:t>10m3/t</w:t>
      </w:r>
      <w:r>
        <w:rPr>
          <w:rFonts w:ascii="Times New Roman" w:hAnsi="Times New Roman" w:eastAsia="Times New Roman" w:cs="Times New Roman"/>
          <w:spacing w:val="17"/>
          <w:w w:val="101"/>
        </w:rPr>
        <w:t xml:space="preserve"> </w:t>
      </w:r>
      <w:r>
        <w:rPr>
          <w:spacing w:val="10"/>
        </w:rPr>
        <w:t>或矿井绝对瓦斯涌出量大</w:t>
      </w:r>
      <w:r>
        <w:rPr>
          <w:spacing w:val="11"/>
        </w:rPr>
        <w:t>于</w:t>
      </w:r>
      <w:r>
        <w:rPr>
          <w:spacing w:val="-29"/>
        </w:rPr>
        <w:t xml:space="preserve"> </w:t>
      </w:r>
      <w:r>
        <w:rPr>
          <w:rFonts w:ascii="Times New Roman" w:hAnsi="Times New Roman" w:eastAsia="Times New Roman" w:cs="Times New Roman"/>
          <w:spacing w:val="11"/>
        </w:rPr>
        <w:t>40m3/</w:t>
      </w:r>
      <w:r>
        <w:rPr>
          <w:rFonts w:ascii="Times New Roman" w:hAnsi="Times New Roman" w:eastAsia="Times New Roman" w:cs="Times New Roman"/>
        </w:rPr>
        <w:t>min</w:t>
      </w:r>
      <w:r>
        <w:rPr>
          <w:rFonts w:ascii="Times New Roman" w:hAnsi="Times New Roman" w:eastAsia="Times New Roman" w:cs="Times New Roman"/>
          <w:spacing w:val="-17"/>
        </w:rPr>
        <w:t xml:space="preserve"> </w:t>
      </w:r>
      <w:r>
        <w:rPr>
          <w:spacing w:val="11"/>
        </w:rPr>
        <w:t>。矿井瓦斯可能造成瓦斯爆炸及</w:t>
      </w:r>
      <w:r>
        <w:rPr>
          <w:spacing w:val="8"/>
        </w:rPr>
        <w:t>有害气体中毒和窒息事故。</w:t>
      </w:r>
    </w:p>
    <w:p>
      <w:pPr>
        <w:pStyle w:val="BodyText"/>
        <w:ind w:left="15" w:right="307" w:firstLine="441"/>
        <w:spacing w:before="142" w:line="345" w:lineRule="auto"/>
        <w:rPr/>
      </w:pPr>
      <w:r>
        <w:rPr>
          <w:rFonts w:ascii="Times New Roman" w:hAnsi="Times New Roman" w:eastAsia="Times New Roman" w:cs="Times New Roman"/>
          <w:spacing w:val="1"/>
        </w:rPr>
        <w:t>1.</w:t>
      </w:r>
      <w:r>
        <w:rPr>
          <w:rFonts w:ascii="Times New Roman" w:hAnsi="Times New Roman" w:eastAsia="Times New Roman" w:cs="Times New Roman"/>
          <w:spacing w:val="-16"/>
        </w:rPr>
        <w:t xml:space="preserve"> </w:t>
      </w:r>
      <w:r>
        <w:rPr>
          <w:rFonts w:ascii="Times New Roman" w:hAnsi="Times New Roman" w:eastAsia="Times New Roman" w:cs="Times New Roman"/>
          <w:spacing w:val="1"/>
        </w:rPr>
        <w:t>1.2 </w:t>
      </w:r>
      <w:r>
        <w:rPr>
          <w:spacing w:val="1"/>
        </w:rPr>
        <w:t>煤尘爆炸。煤尘产生的主要因素有采</w:t>
      </w:r>
      <w:r>
        <w:rPr>
          <w:spacing w:val="7"/>
        </w:rPr>
        <w:t>掘工作面作业、地质构造及煤层赋存条件、煤</w:t>
      </w:r>
      <w:r>
        <w:rPr>
          <w:spacing w:val="7"/>
        </w:rPr>
        <w:t>岩的物理性质、采煤方法和截割参数、环境温</w:t>
      </w:r>
      <w:r>
        <w:rPr>
          <w:spacing w:val="7"/>
        </w:rPr>
        <w:t>度和湿度及作业点的通风状态等。煤尘根据其</w:t>
      </w:r>
      <w:r>
        <w:rPr>
          <w:spacing w:val="7"/>
        </w:rPr>
        <w:t>成分不同可以造成两种危险与有害因素：职业</w:t>
      </w:r>
      <w:r>
        <w:rPr>
          <w:spacing w:val="7"/>
        </w:rPr>
        <w:t>病（煤工尘肺）及煤尘爆炸。两种危险与有害</w:t>
      </w:r>
      <w:r>
        <w:rPr>
          <w:spacing w:val="7"/>
        </w:rPr>
        <w:t>因素都会危及人身健康和生命安全。煤矿井下</w:t>
      </w:r>
      <w:r>
        <w:rPr>
          <w:spacing w:val="7"/>
        </w:rPr>
        <w:t>引燃煤尘的高温热源条件有放炮产生火焰、电</w:t>
      </w:r>
      <w:r>
        <w:rPr>
          <w:spacing w:val="7"/>
        </w:rPr>
        <w:t>器设备产生的电火花、电缆损坏产生电弧、各</w:t>
      </w:r>
      <w:r>
        <w:rPr>
          <w:spacing w:val="8"/>
        </w:rPr>
        <w:t>种机械强烈磨擦产生火花、瓦斯燃烧或爆炸、</w:t>
      </w:r>
      <w:r>
        <w:rPr>
          <w:spacing w:val="18"/>
        </w:rPr>
        <w:t>井下火灾或明火。煤尘的浓度达到一定的范</w:t>
      </w:r>
      <w:r>
        <w:rPr>
          <w:spacing w:val="7"/>
        </w:rPr>
        <w:t>围，遇到高温热源就会发生煤尘爆炸，产生高</w:t>
      </w:r>
      <w:r>
        <w:rPr>
          <w:spacing w:val="7"/>
        </w:rPr>
        <w:t>温高压冲击波以及大量的有毒有害气体，导致</w:t>
      </w:r>
      <w:r>
        <w:rPr>
          <w:spacing w:val="8"/>
        </w:rPr>
        <w:t>矿井生产系统被破坏、财产损失和人员伤亡。</w:t>
      </w:r>
    </w:p>
    <w:p>
      <w:pPr>
        <w:pStyle w:val="BodyText"/>
        <w:ind w:left="16" w:right="328" w:firstLine="440"/>
        <w:spacing w:before="144" w:line="307" w:lineRule="auto"/>
        <w:rPr/>
      </w:pPr>
      <w:r>
        <w:rPr>
          <w:rFonts w:ascii="Times New Roman" w:hAnsi="Times New Roman" w:eastAsia="Times New Roman" w:cs="Times New Roman"/>
          <w:spacing w:val="1"/>
        </w:rPr>
        <w:t>1.</w:t>
      </w:r>
      <w:r>
        <w:rPr>
          <w:rFonts w:ascii="Times New Roman" w:hAnsi="Times New Roman" w:eastAsia="Times New Roman" w:cs="Times New Roman"/>
          <w:spacing w:val="-16"/>
        </w:rPr>
        <w:t xml:space="preserve"> </w:t>
      </w:r>
      <w:r>
        <w:rPr>
          <w:rFonts w:ascii="Times New Roman" w:hAnsi="Times New Roman" w:eastAsia="Times New Roman" w:cs="Times New Roman"/>
          <w:spacing w:val="1"/>
        </w:rPr>
        <w:t>1.3 </w:t>
      </w:r>
      <w:r>
        <w:rPr>
          <w:spacing w:val="1"/>
        </w:rPr>
        <w:t>矿井火灾。矿井存在内因火灾和外因</w:t>
      </w:r>
      <w:r>
        <w:rPr>
          <w:spacing w:val="7"/>
        </w:rPr>
        <w:t>火灾，内因火灾主要是煤层自燃，多发生在采</w:t>
      </w:r>
      <w:r>
        <w:rPr>
          <w:spacing w:val="7"/>
        </w:rPr>
        <w:t>空区或通风不良的巷道中。外因火灾主要是设</w:t>
      </w:r>
    </w:p>
    <w:p>
      <w:pPr>
        <w:spacing w:line="14" w:lineRule="auto"/>
        <w:rPr>
          <w:rFonts w:ascii="Arial"/>
          <w:sz w:val="2"/>
        </w:rPr>
      </w:pPr>
      <w:r>
        <w:rPr>
          <w:rFonts w:ascii="Arial" w:hAnsi="Arial" w:eastAsia="Arial" w:cs="Arial"/>
          <w:sz w:val="2"/>
          <w:szCs w:val="2"/>
        </w:rPr>
        <w:br w:type="column"/>
      </w:r>
    </w:p>
    <w:p>
      <w:pPr>
        <w:pStyle w:val="BodyText"/>
        <w:ind w:right="83"/>
        <w:spacing w:before="40" w:line="354" w:lineRule="auto"/>
        <w:jc w:val="both"/>
        <w:rPr/>
      </w:pPr>
      <w:r>
        <w:rPr>
          <w:spacing w:val="7"/>
        </w:rPr>
        <w:t>备着火，多发生在机电硐室、采掘工作面或地</w:t>
      </w:r>
      <w:r>
        <w:rPr>
          <w:spacing w:val="7"/>
        </w:rPr>
        <w:t>面变电所、煤场中。矿井火灾是一种危害性很</w:t>
      </w:r>
      <w:r>
        <w:rPr>
          <w:spacing w:val="7"/>
        </w:rPr>
        <w:t>大的灾害性事故，可造成很大的经济损失和人</w:t>
      </w:r>
      <w:r>
        <w:rPr>
          <w:spacing w:val="6"/>
        </w:rPr>
        <w:t>员伤亡。</w:t>
      </w:r>
    </w:p>
    <w:p>
      <w:pPr>
        <w:pStyle w:val="BodyText"/>
        <w:ind w:firstLine="440"/>
        <w:spacing w:before="3" w:line="321" w:lineRule="auto"/>
        <w:rPr/>
      </w:pPr>
      <w:r>
        <w:rPr>
          <w:rFonts w:ascii="Times New Roman" w:hAnsi="Times New Roman" w:eastAsia="Times New Roman" w:cs="Times New Roman"/>
          <w:spacing w:val="1"/>
        </w:rPr>
        <w:t>1.</w:t>
      </w:r>
      <w:r>
        <w:rPr>
          <w:rFonts w:ascii="Times New Roman" w:hAnsi="Times New Roman" w:eastAsia="Times New Roman" w:cs="Times New Roman"/>
          <w:spacing w:val="-13"/>
        </w:rPr>
        <w:t xml:space="preserve"> </w:t>
      </w:r>
      <w:r>
        <w:rPr>
          <w:rFonts w:ascii="Times New Roman" w:hAnsi="Times New Roman" w:eastAsia="Times New Roman" w:cs="Times New Roman"/>
          <w:spacing w:val="1"/>
        </w:rPr>
        <w:t>1.4 </w:t>
      </w:r>
      <w:r>
        <w:rPr>
          <w:spacing w:val="1"/>
        </w:rPr>
        <w:t>透水。降雨、断层、老空区、开采不</w:t>
      </w:r>
      <w:r>
        <w:rPr>
          <w:spacing w:val="6"/>
        </w:rPr>
        <w:t>当、未坚持</w:t>
      </w:r>
      <w:r>
        <w:rPr>
          <w:rFonts w:ascii="Times New Roman" w:hAnsi="Times New Roman" w:eastAsia="Times New Roman" w:cs="Times New Roman"/>
          <w:spacing w:val="6"/>
        </w:rPr>
        <w:t>“</w:t>
      </w:r>
      <w:r>
        <w:rPr>
          <w:spacing w:val="6"/>
        </w:rPr>
        <w:t>预测预报、有疑必探，先探后掘，</w:t>
      </w:r>
      <w:r>
        <w:rPr>
          <w:spacing w:val="2"/>
        </w:rPr>
        <w:t>先治后采</w:t>
      </w:r>
      <w:r>
        <w:rPr>
          <w:rFonts w:ascii="Times New Roman" w:hAnsi="Times New Roman" w:eastAsia="Times New Roman" w:cs="Times New Roman"/>
          <w:spacing w:val="2"/>
        </w:rPr>
        <w:t>”</w:t>
      </w:r>
      <w:r>
        <w:rPr>
          <w:spacing w:val="2"/>
        </w:rPr>
        <w:t>基本原则，未采取</w:t>
      </w:r>
      <w:r>
        <w:rPr>
          <w:rFonts w:ascii="Times New Roman" w:hAnsi="Times New Roman" w:eastAsia="Times New Roman" w:cs="Times New Roman"/>
          <w:spacing w:val="2"/>
        </w:rPr>
        <w:t>“</w:t>
      </w:r>
      <w:r>
        <w:rPr>
          <w:spacing w:val="2"/>
        </w:rPr>
        <w:t>防、堵、疏、排、</w:t>
      </w:r>
      <w:r>
        <w:rPr>
          <w:spacing w:val="6"/>
        </w:rPr>
        <w:t>截</w:t>
      </w:r>
      <w:r>
        <w:rPr>
          <w:rFonts w:ascii="Times New Roman" w:hAnsi="Times New Roman" w:eastAsia="Times New Roman" w:cs="Times New Roman"/>
          <w:spacing w:val="6"/>
        </w:rPr>
        <w:t>”</w:t>
      </w:r>
      <w:r>
        <w:rPr>
          <w:spacing w:val="6"/>
        </w:rPr>
        <w:t>综合防治措施，均可能造成矿井透水事故。</w:t>
      </w:r>
    </w:p>
    <w:p>
      <w:pPr>
        <w:pStyle w:val="BodyText"/>
        <w:ind w:left="1" w:right="80" w:firstLine="439"/>
        <w:spacing w:before="146" w:line="327" w:lineRule="auto"/>
        <w:rPr/>
      </w:pPr>
      <w:r>
        <w:rPr>
          <w:rFonts w:ascii="Times New Roman" w:hAnsi="Times New Roman" w:eastAsia="Times New Roman" w:cs="Times New Roman"/>
        </w:rPr>
        <w:t>1.</w:t>
      </w:r>
      <w:r>
        <w:rPr>
          <w:rFonts w:ascii="Times New Roman" w:hAnsi="Times New Roman" w:eastAsia="Times New Roman" w:cs="Times New Roman"/>
          <w:spacing w:val="-25"/>
        </w:rPr>
        <w:t xml:space="preserve"> </w:t>
      </w:r>
      <w:r>
        <w:rPr>
          <w:rFonts w:ascii="Times New Roman" w:hAnsi="Times New Roman" w:eastAsia="Times New Roman" w:cs="Times New Roman"/>
        </w:rPr>
        <w:t>1.5</w:t>
      </w:r>
      <w:r>
        <w:rPr>
          <w:rFonts w:ascii="Times New Roman" w:hAnsi="Times New Roman" w:eastAsia="Times New Roman" w:cs="Times New Roman"/>
          <w:spacing w:val="31"/>
          <w:w w:val="101"/>
        </w:rPr>
        <w:t xml:space="preserve"> </w:t>
      </w:r>
      <w:r>
        <w:rPr/>
        <w:t>冒顶、片帮。主要为回采工作面两端</w:t>
      </w:r>
      <w:r>
        <w:rPr>
          <w:spacing w:val="7"/>
        </w:rPr>
        <w:t>头、两巷应力集中区、煤壁及通过地质构造带</w:t>
      </w:r>
      <w:r>
        <w:rPr>
          <w:spacing w:val="18"/>
        </w:rPr>
        <w:t>或立体相交巷道的掘进作业中因开挖或支护</w:t>
      </w:r>
      <w:r>
        <w:rPr>
          <w:spacing w:val="7"/>
        </w:rPr>
        <w:t>不当，顶部或侧壁大面积垮塌，均可能造成冒</w:t>
      </w:r>
      <w:r>
        <w:rPr>
          <w:spacing w:val="7"/>
        </w:rPr>
        <w:t>顶片帮事故。</w:t>
      </w:r>
    </w:p>
    <w:p>
      <w:pPr>
        <w:ind w:left="421"/>
        <w:spacing w:before="141" w:line="242" w:lineRule="auto"/>
        <w:rPr>
          <w:rFonts w:ascii="KaiTi" w:hAnsi="KaiTi" w:eastAsia="KaiTi" w:cs="KaiTi"/>
          <w:sz w:val="20"/>
          <w:szCs w:val="20"/>
        </w:rPr>
      </w:pPr>
      <w:r>
        <w:rPr>
          <w:rFonts w:ascii="Times New Roman" w:hAnsi="Times New Roman" w:eastAsia="Times New Roman" w:cs="Times New Roman"/>
          <w:sz w:val="20"/>
          <w:szCs w:val="20"/>
          <w:b/>
          <w:bCs/>
          <w:spacing w:val="6"/>
        </w:rPr>
        <w:t>2    </w:t>
      </w:r>
      <w:r>
        <w:rPr>
          <w:rFonts w:ascii="KaiTi" w:hAnsi="KaiTi" w:eastAsia="KaiTi" w:cs="KaiTi"/>
          <w:sz w:val="20"/>
          <w:szCs w:val="20"/>
          <w:b/>
          <w:bCs/>
          <w:spacing w:val="6"/>
        </w:rPr>
        <w:t>应急指挥机构及职责</w:t>
      </w:r>
    </w:p>
    <w:p>
      <w:pPr>
        <w:pStyle w:val="BodyText"/>
        <w:ind w:left="2" w:right="76" w:firstLine="418"/>
        <w:spacing w:before="124" w:line="354" w:lineRule="auto"/>
        <w:jc w:val="both"/>
        <w:rPr/>
      </w:pPr>
      <w:r>
        <w:rPr>
          <w:rFonts w:ascii="Times New Roman" w:hAnsi="Times New Roman" w:eastAsia="Times New Roman" w:cs="Times New Roman"/>
          <w:spacing w:val="7"/>
        </w:rPr>
        <w:t>2.</w:t>
      </w:r>
      <w:r>
        <w:rPr>
          <w:rFonts w:ascii="Times New Roman" w:hAnsi="Times New Roman" w:eastAsia="Times New Roman" w:cs="Times New Roman"/>
          <w:spacing w:val="-23"/>
        </w:rPr>
        <w:t xml:space="preserve"> </w:t>
      </w:r>
      <w:r>
        <w:rPr>
          <w:rFonts w:ascii="Times New Roman" w:hAnsi="Times New Roman" w:eastAsia="Times New Roman" w:cs="Times New Roman"/>
          <w:spacing w:val="7"/>
        </w:rPr>
        <w:t>1  </w:t>
      </w:r>
      <w:r>
        <w:rPr>
          <w:rFonts w:ascii="KaiTi" w:hAnsi="KaiTi" w:eastAsia="KaiTi" w:cs="KaiTi"/>
          <w:spacing w:val="7"/>
        </w:rPr>
        <w:t>应急组织机构。</w:t>
      </w:r>
      <w:r>
        <w:rPr>
          <w:spacing w:val="7"/>
        </w:rPr>
        <w:t>在市政府及市应急管</w:t>
      </w:r>
      <w:r>
        <w:rPr>
          <w:spacing w:val="7"/>
        </w:rPr>
        <w:t>理指挥部的统一领导下，市应急管理指挥部负</w:t>
      </w:r>
      <w:r>
        <w:rPr>
          <w:spacing w:val="7"/>
        </w:rPr>
        <w:t>责统一领导、组织、协调生产安全事故工作，</w:t>
      </w:r>
      <w:r>
        <w:rPr>
          <w:spacing w:val="7"/>
        </w:rPr>
        <w:t>统一指挥各类生产安全事故及其次生、衍生灾</w:t>
      </w:r>
      <w:r>
        <w:rPr>
          <w:spacing w:val="8"/>
        </w:rPr>
        <w:t>害的应急处置工作。</w:t>
      </w:r>
    </w:p>
    <w:p>
      <w:pPr>
        <w:pStyle w:val="BodyText"/>
        <w:ind w:left="2" w:right="83" w:firstLine="420"/>
        <w:spacing w:line="336" w:lineRule="auto"/>
        <w:rPr/>
      </w:pPr>
      <w:r>
        <w:rPr>
          <w:spacing w:val="6"/>
        </w:rPr>
        <w:t>指 挥 长：市政府分管应急管理工作的副</w:t>
      </w:r>
      <w:r>
        <w:rPr>
          <w:spacing w:val="6"/>
        </w:rPr>
        <w:t>市长</w:t>
      </w:r>
    </w:p>
    <w:p>
      <w:pPr>
        <w:pStyle w:val="BodyText"/>
        <w:ind w:left="5" w:right="83" w:firstLine="420"/>
        <w:spacing w:before="40" w:line="336" w:lineRule="auto"/>
        <w:rPr/>
      </w:pPr>
      <w:r>
        <w:rPr>
          <w:spacing w:val="4"/>
        </w:rPr>
        <w:t>副指挥长：事故发生地县（</w:t>
      </w:r>
      <w:r>
        <w:rPr>
          <w:spacing w:val="-53"/>
        </w:rPr>
        <w:t xml:space="preserve"> </w:t>
      </w:r>
      <w:r>
        <w:rPr>
          <w:spacing w:val="4"/>
        </w:rPr>
        <w:t>区）政府主要</w:t>
      </w:r>
      <w:r>
        <w:rPr>
          <w:spacing w:val="9"/>
        </w:rPr>
        <w:t>负责人、市应急管理局局长</w:t>
      </w:r>
    </w:p>
    <w:p>
      <w:pPr>
        <w:pStyle w:val="BodyText"/>
        <w:ind w:right="2" w:firstLine="420"/>
        <w:spacing w:before="43" w:line="354" w:lineRule="auto"/>
        <w:rPr/>
      </w:pPr>
      <w:r>
        <w:rPr>
          <w:spacing w:val="6"/>
        </w:rPr>
        <w:t>成员单位：发展和改革委员会、工业和信</w:t>
      </w:r>
      <w:r>
        <w:rPr>
          <w:spacing w:val="1"/>
        </w:rPr>
        <w:t>息化局、教育和体育局、科学技术局、公安局、</w:t>
      </w:r>
      <w:r>
        <w:rPr>
          <w:spacing w:val="7"/>
        </w:rPr>
        <w:t>民政局、财政局、人力资源社会保障局、自然</w:t>
      </w:r>
      <w:r>
        <w:rPr>
          <w:spacing w:val="7"/>
        </w:rPr>
        <w:t>资源局、生态环境局、住房和城乡建设局、交</w:t>
      </w:r>
      <w:r>
        <w:rPr>
          <w:spacing w:val="7"/>
        </w:rPr>
        <w:t>通运输局、水务局、农业农村局、文化旅游广</w:t>
      </w:r>
      <w:r>
        <w:rPr>
          <w:spacing w:val="7"/>
        </w:rPr>
        <w:t>播电视局、卫生健康委员会、市场监管局、市</w:t>
      </w:r>
      <w:r>
        <w:rPr>
          <w:spacing w:val="7"/>
        </w:rPr>
        <w:t>应急管理局、市消防支队、气象局、事故发生</w:t>
      </w:r>
      <w:r>
        <w:rPr>
          <w:spacing w:val="4"/>
        </w:rPr>
        <w:t>地县（</w:t>
      </w:r>
      <w:r>
        <w:rPr>
          <w:spacing w:val="-35"/>
        </w:rPr>
        <w:t xml:space="preserve"> </w:t>
      </w:r>
      <w:r>
        <w:rPr>
          <w:spacing w:val="4"/>
        </w:rPr>
        <w:t>区）人民政府等有关部门，应急管理指</w:t>
      </w:r>
      <w:r>
        <w:rPr>
          <w:spacing w:val="18"/>
        </w:rPr>
        <w:t>挥部根据事故救援工作需要确定的非政府职</w:t>
      </w:r>
      <w:r>
        <w:rPr>
          <w:spacing w:val="6"/>
        </w:rPr>
        <w:t>能部门。</w:t>
      </w:r>
    </w:p>
    <w:p>
      <w:pPr>
        <w:pStyle w:val="BodyText"/>
        <w:ind w:left="428"/>
        <w:spacing w:before="2" w:line="194" w:lineRule="auto"/>
        <w:rPr/>
      </w:pPr>
      <w:r>
        <w:rPr>
          <w:spacing w:val="7"/>
        </w:rPr>
        <w:t>主要职责：在市委市政府的领导下，安排</w:t>
      </w:r>
    </w:p>
    <w:p>
      <w:pPr>
        <w:spacing w:line="194" w:lineRule="auto"/>
        <w:sectPr>
          <w:type w:val="continuous"/>
          <w:pgSz w:w="11906" w:h="16839"/>
          <w:pgMar w:top="1766" w:right="1507" w:bottom="1563" w:left="1576" w:header="1428" w:footer="1172" w:gutter="0"/>
          <w:cols w:equalWidth="0" w:num="2">
            <w:col w:w="4493" w:space="100"/>
            <w:col w:w="4230" w:space="0"/>
          </w:cols>
        </w:sectPr>
        <w:rPr/>
      </w:pPr>
    </w:p>
    <w:p>
      <w:pPr>
        <w:spacing w:before="61"/>
        <w:rPr/>
      </w:pPr>
      <w:r>
        <w:drawing>
          <wp:anchor distT="0" distB="0" distL="0" distR="0" simplePos="0" relativeHeight="252129280"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276" name="IM 1276"/>
            <wp:cNvGraphicFramePr/>
            <a:graphic>
              <a:graphicData uri="http://schemas.openxmlformats.org/drawingml/2006/picture">
                <pic:pic>
                  <pic:nvPicPr>
                    <pic:cNvPr id="1276" name="IM 1276"/>
                    <pic:cNvPicPr/>
                  </pic:nvPicPr>
                  <pic:blipFill>
                    <a:blip r:embed="rId640"/>
                    <a:stretch>
                      <a:fillRect/>
                    </a:stretch>
                  </pic:blipFill>
                  <pic:spPr>
                    <a:xfrm rot="0">
                      <a:off x="0" y="0"/>
                      <a:ext cx="5579745" cy="7620"/>
                    </a:xfrm>
                    <a:prstGeom prst="rect">
                      <a:avLst/>
                    </a:prstGeom>
                  </pic:spPr>
                </pic:pic>
              </a:graphicData>
            </a:graphic>
          </wp:anchor>
        </w:drawing>
      </w:r>
      <w:r/>
    </w:p>
    <w:p>
      <w:pPr>
        <w:sectPr>
          <w:headerReference w:type="default" r:id="rId638"/>
          <w:footerReference w:type="default" r:id="rId639"/>
          <w:pgSz w:w="11906" w:h="16839"/>
          <w:pgMar w:top="1772" w:right="1478" w:bottom="1547" w:left="1588" w:header="1428" w:footer="1172" w:gutter="0"/>
          <w:cols w:equalWidth="0" w:num="1">
            <w:col w:w="8840" w:space="0"/>
          </w:cols>
        </w:sectPr>
        <w:rPr/>
      </w:pPr>
    </w:p>
    <w:p>
      <w:pPr>
        <w:pStyle w:val="BodyText"/>
        <w:ind w:left="3" w:right="320" w:firstLine="1"/>
        <w:spacing w:before="46" w:line="353" w:lineRule="auto"/>
        <w:jc w:val="both"/>
        <w:rPr/>
      </w:pPr>
      <w:r>
        <w:rPr>
          <w:spacing w:val="7"/>
        </w:rPr>
        <w:t>部署生产安全事故的预防处置工作；在预测将</w:t>
      </w:r>
      <w:r>
        <w:rPr>
          <w:spacing w:val="7"/>
        </w:rPr>
        <w:t>要发生和已经发生生产安全事故时，迅速启动</w:t>
      </w:r>
      <w:r>
        <w:rPr>
          <w:spacing w:val="7"/>
        </w:rPr>
        <w:t>相应预案，组织、指挥应急处置工作；在处置</w:t>
      </w:r>
      <w:r>
        <w:rPr>
          <w:spacing w:val="7"/>
        </w:rPr>
        <w:t>生产安全事故过程中，积极协调与其他部门的</w:t>
      </w:r>
      <w:r>
        <w:rPr>
          <w:spacing w:val="15"/>
        </w:rPr>
        <w:t>关系</w:t>
      </w:r>
      <w:r>
        <w:rPr>
          <w:spacing w:val="-39"/>
        </w:rPr>
        <w:t xml:space="preserve"> </w:t>
      </w:r>
      <w:r>
        <w:rPr>
          <w:spacing w:val="15"/>
        </w:rPr>
        <w:t>，当生产安全事故超过处置权限和能力</w:t>
      </w:r>
      <w:r>
        <w:rPr>
          <w:spacing w:val="7"/>
        </w:rPr>
        <w:t>时，及时向自治区党委、政府报告，由自治区</w:t>
      </w:r>
      <w:r>
        <w:rPr>
          <w:spacing w:val="7"/>
        </w:rPr>
        <w:t>党委、政府统一领导和指挥市专项应急指挥部</w:t>
      </w:r>
      <w:r>
        <w:rPr>
          <w:spacing w:val="5"/>
        </w:rPr>
        <w:t>和有关县（</w:t>
      </w:r>
      <w:r>
        <w:rPr>
          <w:spacing w:val="-52"/>
        </w:rPr>
        <w:t xml:space="preserve"> </w:t>
      </w:r>
      <w:r>
        <w:rPr>
          <w:spacing w:val="5"/>
        </w:rPr>
        <w:t>区）、部门（单位）开展应急处置</w:t>
      </w:r>
      <w:r>
        <w:rPr>
          <w:spacing w:val="5"/>
        </w:rPr>
        <w:t>工作。</w:t>
      </w:r>
    </w:p>
    <w:p>
      <w:pPr>
        <w:pStyle w:val="BodyText"/>
        <w:ind w:left="7" w:right="322" w:firstLine="417"/>
        <w:spacing w:before="2" w:line="350" w:lineRule="auto"/>
        <w:jc w:val="both"/>
        <w:rPr/>
      </w:pPr>
      <w:r>
        <w:rPr>
          <w:rFonts w:ascii="Times New Roman" w:hAnsi="Times New Roman" w:eastAsia="Times New Roman" w:cs="Times New Roman"/>
          <w:spacing w:val="8"/>
        </w:rPr>
        <w:t>2.2  </w:t>
      </w:r>
      <w:r>
        <w:rPr>
          <w:rFonts w:ascii="KaiTi" w:hAnsi="KaiTi" w:eastAsia="KaiTi" w:cs="KaiTi"/>
          <w:spacing w:val="8"/>
        </w:rPr>
        <w:t>应急救援办公室。</w:t>
      </w:r>
      <w:r>
        <w:rPr>
          <w:spacing w:val="8"/>
        </w:rPr>
        <w:t>市应急管理指挥部</w:t>
      </w:r>
      <w:r>
        <w:rPr>
          <w:spacing w:val="7"/>
        </w:rPr>
        <w:t>办公室常设在市应急管理局，市应急管理局局</w:t>
      </w:r>
      <w:r>
        <w:rPr>
          <w:spacing w:val="15"/>
        </w:rPr>
        <w:t>长兼任办公室主任</w:t>
      </w:r>
      <w:r>
        <w:rPr>
          <w:spacing w:val="-43"/>
        </w:rPr>
        <w:t xml:space="preserve"> </w:t>
      </w:r>
      <w:r>
        <w:rPr>
          <w:spacing w:val="15"/>
        </w:rPr>
        <w:t>，办公室常设值班电话为</w:t>
      </w:r>
      <w:r>
        <w:rPr>
          <w:rFonts w:ascii="Times New Roman" w:hAnsi="Times New Roman" w:eastAsia="Times New Roman" w:cs="Times New Roman"/>
          <w:spacing w:val="4"/>
        </w:rPr>
        <w:t>0954-2088154</w:t>
      </w:r>
      <w:r>
        <w:rPr>
          <w:spacing w:val="4"/>
        </w:rPr>
        <w:t>。</w:t>
      </w:r>
    </w:p>
    <w:p>
      <w:pPr>
        <w:pStyle w:val="BodyText"/>
        <w:ind w:left="2" w:right="322" w:firstLine="430"/>
        <w:spacing w:before="4" w:line="354" w:lineRule="auto"/>
        <w:rPr/>
      </w:pPr>
      <w:r>
        <w:rPr>
          <w:spacing w:val="6"/>
        </w:rPr>
        <w:t>主要职责：履行应急值守、信息汇总和综</w:t>
      </w:r>
      <w:r>
        <w:rPr>
          <w:spacing w:val="7"/>
        </w:rPr>
        <w:t>合协调；负责接收和办理向市委、市政府批办</w:t>
      </w:r>
      <w:r>
        <w:rPr>
          <w:spacing w:val="17"/>
        </w:rPr>
        <w:t>的紧急或重要事项；承办市应急管理的专题</w:t>
      </w:r>
      <w:r>
        <w:rPr>
          <w:spacing w:val="7"/>
        </w:rPr>
        <w:t>会议，督促落实市委、市政府有关决定事项和</w:t>
      </w:r>
      <w:r>
        <w:rPr>
          <w:spacing w:val="7"/>
        </w:rPr>
        <w:t>领导的批示、指示精神；指导固原市生产安全</w:t>
      </w:r>
      <w:r>
        <w:rPr>
          <w:spacing w:val="7"/>
        </w:rPr>
        <w:t>事故应急信息平台建设；组织编制、修订市</w:t>
      </w:r>
      <w:r>
        <w:rPr>
          <w:spacing w:val="1"/>
        </w:rPr>
        <w:t xml:space="preserve"> </w:t>
      </w:r>
      <w:r>
        <w:rPr>
          <w:spacing w:val="8"/>
        </w:rPr>
        <w:t>生产安全事故应急预案，指导应急预案体系</w:t>
      </w:r>
    </w:p>
    <w:p>
      <w:pPr>
        <w:pStyle w:val="BodyText"/>
        <w:ind w:left="4" w:right="348"/>
        <w:spacing w:before="5" w:line="355" w:lineRule="auto"/>
        <w:rPr/>
      </w:pPr>
      <w:r>
        <w:rPr>
          <w:spacing w:val="5"/>
        </w:rPr>
        <w:t>建设；协调特别重大、重大、较大生产安全事</w:t>
      </w:r>
      <w:r>
        <w:rPr>
          <w:spacing w:val="7"/>
        </w:rPr>
        <w:t>故的预防预警、应急演练、应急处置、调查</w:t>
      </w:r>
    </w:p>
    <w:p>
      <w:pPr>
        <w:pStyle w:val="BodyText"/>
        <w:ind w:left="3" w:right="282"/>
        <w:spacing w:before="2" w:line="352" w:lineRule="auto"/>
        <w:rPr/>
      </w:pPr>
      <w:r>
        <w:rPr>
          <w:spacing w:val="9"/>
        </w:rPr>
        <w:t>评估、信息发布、应急保障和宣传培训等工</w:t>
      </w:r>
      <w:r>
        <w:rPr/>
        <w:t xml:space="preserve"> </w:t>
      </w:r>
      <w:r>
        <w:rPr>
          <w:spacing w:val="8"/>
        </w:rPr>
        <w:t>作。</w:t>
      </w:r>
      <w:r>
        <w:rPr>
          <w:rFonts w:ascii="Times New Roman" w:hAnsi="Times New Roman" w:eastAsia="Times New Roman" w:cs="Times New Roman"/>
          <w:spacing w:val="8"/>
        </w:rPr>
        <w:t>2.3  </w:t>
      </w:r>
      <w:r>
        <w:rPr>
          <w:rFonts w:ascii="KaiTi" w:hAnsi="KaiTi" w:eastAsia="KaiTi" w:cs="KaiTi"/>
          <w:spacing w:val="8"/>
        </w:rPr>
        <w:t>应急处置工作组。</w:t>
      </w:r>
      <w:r>
        <w:rPr>
          <w:spacing w:val="8"/>
        </w:rPr>
        <w:t>根据不同生产安全</w:t>
      </w:r>
      <w:r>
        <w:rPr>
          <w:spacing w:val="7"/>
        </w:rPr>
        <w:t>事故处置要求，市应急管理指挥部办公室下设</w:t>
      </w:r>
      <w:r>
        <w:rPr>
          <w:rFonts w:ascii="Times New Roman" w:hAnsi="Times New Roman" w:eastAsia="Times New Roman" w:cs="Times New Roman"/>
          <w:spacing w:val="-11"/>
        </w:rPr>
        <w:t>10</w:t>
      </w:r>
      <w:r>
        <w:rPr>
          <w:rFonts w:ascii="Times New Roman" w:hAnsi="Times New Roman" w:eastAsia="Times New Roman" w:cs="Times New Roman"/>
          <w:spacing w:val="-12"/>
        </w:rPr>
        <w:t xml:space="preserve"> </w:t>
      </w:r>
      <w:r>
        <w:rPr>
          <w:spacing w:val="-11"/>
        </w:rPr>
        <w:t>个工作组，具体负责事故现场处置和相关工作。</w:t>
      </w:r>
    </w:p>
    <w:p>
      <w:pPr>
        <w:pStyle w:val="BodyText"/>
        <w:ind w:left="425"/>
        <w:spacing w:before="11" w:line="219" w:lineRule="auto"/>
        <w:rPr/>
      </w:pPr>
      <w:r>
        <w:rPr>
          <w:rFonts w:ascii="Times New Roman" w:hAnsi="Times New Roman" w:eastAsia="Times New Roman" w:cs="Times New Roman"/>
          <w:spacing w:val="5"/>
        </w:rPr>
        <w:t>2.3.1 </w:t>
      </w:r>
      <w:r>
        <w:rPr>
          <w:spacing w:val="5"/>
        </w:rPr>
        <w:t>抢险救援组。</w:t>
      </w:r>
    </w:p>
    <w:p>
      <w:pPr>
        <w:pStyle w:val="BodyText"/>
        <w:ind w:left="424"/>
        <w:spacing w:before="142" w:line="278" w:lineRule="exact"/>
        <w:rPr/>
      </w:pPr>
      <w:r>
        <w:rPr>
          <w:spacing w:val="9"/>
          <w:position w:val="1"/>
        </w:rPr>
        <w:t>组长单位：发生事故煤矿</w:t>
      </w:r>
    </w:p>
    <w:p>
      <w:pPr>
        <w:pStyle w:val="BodyText"/>
        <w:ind w:left="4" w:right="299" w:firstLine="420"/>
        <w:spacing w:before="108" w:line="354" w:lineRule="auto"/>
        <w:jc w:val="both"/>
        <w:rPr/>
      </w:pPr>
      <w:r>
        <w:rPr>
          <w:spacing w:val="4"/>
        </w:rPr>
        <w:t>成员单位：事故发生地县（</w:t>
      </w:r>
      <w:r>
        <w:rPr>
          <w:spacing w:val="-48"/>
        </w:rPr>
        <w:t xml:space="preserve"> </w:t>
      </w:r>
      <w:r>
        <w:rPr>
          <w:spacing w:val="4"/>
        </w:rPr>
        <w:t>区）政府、市</w:t>
      </w:r>
      <w:r>
        <w:rPr>
          <w:spacing w:val="8"/>
        </w:rPr>
        <w:t>消防救援支队、市应急管理局、生态环境局、</w:t>
      </w:r>
      <w:r>
        <w:rPr>
          <w:spacing w:val="7"/>
        </w:rPr>
        <w:t>自然资源局、水务局等部门，市应急管理指挥</w:t>
      </w:r>
      <w:r>
        <w:rPr>
          <w:spacing w:val="18"/>
        </w:rPr>
        <w:t>部根据事故救援工作需要确定的非政府职能</w:t>
      </w:r>
      <w:r>
        <w:rPr>
          <w:spacing w:val="8"/>
        </w:rPr>
        <w:t>部门以及事故企业。</w:t>
      </w:r>
    </w:p>
    <w:p>
      <w:pPr>
        <w:pStyle w:val="BodyText"/>
        <w:ind w:left="433"/>
        <w:spacing w:before="1" w:line="221" w:lineRule="auto"/>
        <w:rPr/>
      </w:pPr>
      <w:r>
        <w:rPr>
          <w:spacing w:val="6"/>
        </w:rPr>
        <w:t>主要职责：负责组织、指挥生产安全事故</w:t>
      </w:r>
    </w:p>
    <w:p>
      <w:pPr>
        <w:spacing w:line="14" w:lineRule="auto"/>
        <w:rPr>
          <w:rFonts w:ascii="Arial"/>
          <w:sz w:val="2"/>
        </w:rPr>
      </w:pPr>
      <w:r>
        <w:rPr>
          <w:rFonts w:ascii="Arial" w:hAnsi="Arial" w:eastAsia="Arial" w:cs="Arial"/>
          <w:sz w:val="2"/>
          <w:szCs w:val="2"/>
        </w:rPr>
        <w:br w:type="column"/>
      </w:r>
    </w:p>
    <w:p>
      <w:pPr>
        <w:pStyle w:val="BodyText"/>
        <w:ind w:right="112" w:firstLine="25"/>
        <w:spacing w:before="40" w:line="355" w:lineRule="auto"/>
        <w:rPr/>
      </w:pPr>
      <w:r>
        <w:rPr>
          <w:spacing w:val="6"/>
        </w:rPr>
        <w:t>的抢险救援工作，组织调动公安消防、企业专</w:t>
      </w:r>
      <w:r>
        <w:rPr>
          <w:spacing w:val="9"/>
        </w:rPr>
        <w:t>（兼）职应急救援力量开展救援。</w:t>
      </w:r>
    </w:p>
    <w:p>
      <w:pPr>
        <w:pStyle w:val="BodyText"/>
        <w:ind w:left="428"/>
        <w:spacing w:line="220" w:lineRule="auto"/>
        <w:rPr/>
      </w:pPr>
      <w:r>
        <w:rPr>
          <w:rFonts w:ascii="Times New Roman" w:hAnsi="Times New Roman" w:eastAsia="Times New Roman" w:cs="Times New Roman"/>
          <w:spacing w:val="5"/>
        </w:rPr>
        <w:t>2.3.2 </w:t>
      </w:r>
      <w:r>
        <w:rPr>
          <w:spacing w:val="5"/>
        </w:rPr>
        <w:t>交通治安组。</w:t>
      </w:r>
    </w:p>
    <w:p>
      <w:pPr>
        <w:pStyle w:val="BodyText"/>
        <w:ind w:left="428"/>
        <w:spacing w:before="139" w:line="277" w:lineRule="exact"/>
        <w:rPr/>
      </w:pPr>
      <w:r>
        <w:rPr>
          <w:spacing w:val="9"/>
          <w:position w:val="1"/>
        </w:rPr>
        <w:t>组长单位：市公安局</w:t>
      </w:r>
    </w:p>
    <w:p>
      <w:pPr>
        <w:pStyle w:val="BodyText"/>
        <w:ind w:left="7" w:firstLine="420"/>
        <w:spacing w:before="108" w:line="341" w:lineRule="auto"/>
        <w:jc w:val="both"/>
        <w:rPr/>
      </w:pPr>
      <w:r>
        <w:rPr>
          <w:spacing w:val="-9"/>
        </w:rPr>
        <w:t>成员单位：市县（区）公安局、交警支（大）</w:t>
      </w:r>
      <w:r>
        <w:rPr>
          <w:spacing w:val="4"/>
        </w:rPr>
        <w:t>队、交通运输局和事故发生地县（</w:t>
      </w:r>
      <w:r>
        <w:rPr>
          <w:spacing w:val="-35"/>
        </w:rPr>
        <w:t xml:space="preserve"> </w:t>
      </w:r>
      <w:r>
        <w:rPr>
          <w:spacing w:val="4"/>
        </w:rPr>
        <w:t>区）政府及</w:t>
      </w:r>
      <w:r>
        <w:rPr>
          <w:spacing w:val="7"/>
        </w:rPr>
        <w:t>其相关部门。</w:t>
      </w:r>
    </w:p>
    <w:p>
      <w:pPr>
        <w:pStyle w:val="BodyText"/>
        <w:ind w:left="8" w:right="112" w:firstLine="428"/>
        <w:spacing w:before="40" w:line="355" w:lineRule="auto"/>
        <w:jc w:val="both"/>
        <w:rPr/>
      </w:pPr>
      <w:r>
        <w:rPr>
          <w:spacing w:val="6"/>
        </w:rPr>
        <w:t>主要职责：负责保护事故现场，设立警界</w:t>
      </w:r>
      <w:r>
        <w:rPr>
          <w:spacing w:val="7"/>
        </w:rPr>
        <w:t>区域，维护现场秩序，防止事态扩大；负责危</w:t>
      </w:r>
      <w:r>
        <w:rPr>
          <w:spacing w:val="7"/>
        </w:rPr>
        <w:t>险区域内人员疏散和临时安置工作；指挥、调</w:t>
      </w:r>
      <w:r>
        <w:rPr>
          <w:spacing w:val="7"/>
        </w:rPr>
        <w:t>度撤出危害区的人员；及时疏散交通阻塞，依</w:t>
      </w:r>
      <w:r>
        <w:rPr>
          <w:spacing w:val="15"/>
        </w:rPr>
        <w:t>法管控道路交通秩序</w:t>
      </w:r>
      <w:r>
        <w:rPr>
          <w:spacing w:val="-41"/>
        </w:rPr>
        <w:t xml:space="preserve"> </w:t>
      </w:r>
      <w:r>
        <w:rPr>
          <w:spacing w:val="15"/>
        </w:rPr>
        <w:t>，使车辆顺利地通过通</w:t>
      </w:r>
      <w:r>
        <w:rPr>
          <w:spacing w:val="8"/>
        </w:rPr>
        <w:t>道；维护社会治安。</w:t>
      </w:r>
    </w:p>
    <w:p>
      <w:pPr>
        <w:pStyle w:val="BodyText"/>
        <w:ind w:left="428"/>
        <w:spacing w:before="1" w:line="223" w:lineRule="auto"/>
        <w:rPr/>
      </w:pPr>
      <w:r>
        <w:rPr>
          <w:rFonts w:ascii="Times New Roman" w:hAnsi="Times New Roman" w:eastAsia="Times New Roman" w:cs="Times New Roman"/>
          <w:spacing w:val="5"/>
        </w:rPr>
        <w:t>2.3.3 </w:t>
      </w:r>
      <w:r>
        <w:rPr>
          <w:spacing w:val="5"/>
        </w:rPr>
        <w:t>通信保障组。</w:t>
      </w:r>
    </w:p>
    <w:p>
      <w:pPr>
        <w:pStyle w:val="BodyText"/>
        <w:ind w:left="428"/>
        <w:spacing w:before="140" w:line="278" w:lineRule="exact"/>
        <w:rPr/>
      </w:pPr>
      <w:r>
        <w:rPr>
          <w:spacing w:val="9"/>
          <w:position w:val="1"/>
        </w:rPr>
        <w:t>组长单位：市工业和信息化局</w:t>
      </w:r>
    </w:p>
    <w:p>
      <w:pPr>
        <w:pStyle w:val="BodyText"/>
        <w:ind w:left="7" w:right="112" w:firstLine="420"/>
        <w:spacing w:before="106" w:line="337" w:lineRule="auto"/>
        <w:rPr/>
      </w:pPr>
      <w:r>
        <w:rPr>
          <w:spacing w:val="4"/>
        </w:rPr>
        <w:t>成员单位：市县（</w:t>
      </w:r>
      <w:r>
        <w:rPr>
          <w:spacing w:val="-48"/>
        </w:rPr>
        <w:t xml:space="preserve"> </w:t>
      </w:r>
      <w:r>
        <w:rPr>
          <w:spacing w:val="4"/>
        </w:rPr>
        <w:t>区）工业和信息化局及</w:t>
      </w:r>
      <w:r>
        <w:rPr>
          <w:spacing w:val="8"/>
        </w:rPr>
        <w:t>其相关通信部门。</w:t>
      </w:r>
    </w:p>
    <w:p>
      <w:pPr>
        <w:pStyle w:val="BodyText"/>
        <w:ind w:left="436"/>
        <w:spacing w:before="38" w:line="278" w:lineRule="exact"/>
        <w:rPr/>
      </w:pPr>
      <w:r>
        <w:rPr>
          <w:spacing w:val="8"/>
          <w:position w:val="1"/>
        </w:rPr>
        <w:t>主要职责：负责事故救援应急通信保障。</w:t>
      </w:r>
    </w:p>
    <w:p>
      <w:pPr>
        <w:pStyle w:val="BodyText"/>
        <w:ind w:left="428"/>
        <w:spacing w:before="111" w:line="220" w:lineRule="auto"/>
        <w:rPr/>
      </w:pPr>
      <w:r>
        <w:rPr>
          <w:rFonts w:ascii="Times New Roman" w:hAnsi="Times New Roman" w:eastAsia="Times New Roman" w:cs="Times New Roman"/>
          <w:spacing w:val="4"/>
        </w:rPr>
        <w:t>2.3.4</w:t>
      </w:r>
      <w:r>
        <w:rPr>
          <w:rFonts w:ascii="Times New Roman" w:hAnsi="Times New Roman" w:eastAsia="Times New Roman" w:cs="Times New Roman"/>
          <w:spacing w:val="19"/>
          <w:w w:val="101"/>
        </w:rPr>
        <w:t xml:space="preserve"> </w:t>
      </w:r>
      <w:r>
        <w:rPr>
          <w:spacing w:val="4"/>
        </w:rPr>
        <w:t>医疗救治组。</w:t>
      </w:r>
    </w:p>
    <w:p>
      <w:pPr>
        <w:pStyle w:val="BodyText"/>
        <w:ind w:left="428"/>
        <w:spacing w:before="141" w:line="277" w:lineRule="exact"/>
        <w:rPr/>
      </w:pPr>
      <w:r>
        <w:rPr>
          <w:spacing w:val="9"/>
          <w:position w:val="1"/>
        </w:rPr>
        <w:t>组长单位：市卫生健康委员会</w:t>
      </w:r>
    </w:p>
    <w:p>
      <w:pPr>
        <w:pStyle w:val="BodyText"/>
        <w:ind w:left="10" w:right="112" w:firstLine="418"/>
        <w:spacing w:before="107" w:line="353" w:lineRule="auto"/>
        <w:rPr/>
      </w:pPr>
      <w:r>
        <w:rPr>
          <w:spacing w:val="6"/>
        </w:rPr>
        <w:t>成员单位：市人民医院、中医医院、事故</w:t>
      </w:r>
      <w:r>
        <w:rPr>
          <w:spacing w:val="5"/>
        </w:rPr>
        <w:t>发生地县（</w:t>
      </w:r>
      <w:r>
        <w:rPr>
          <w:spacing w:val="-48"/>
        </w:rPr>
        <w:t xml:space="preserve"> </w:t>
      </w:r>
      <w:r>
        <w:rPr>
          <w:spacing w:val="5"/>
        </w:rPr>
        <w:t>区）医疗卫生机构。</w:t>
      </w:r>
    </w:p>
    <w:p>
      <w:pPr>
        <w:pStyle w:val="BodyText"/>
        <w:ind w:left="7" w:right="112" w:firstLine="428"/>
        <w:spacing w:before="5" w:line="354" w:lineRule="auto"/>
        <w:jc w:val="both"/>
        <w:rPr/>
      </w:pPr>
      <w:r>
        <w:rPr>
          <w:spacing w:val="6"/>
        </w:rPr>
        <w:t>主要职责：负责组织、调配、指挥医疗救</w:t>
      </w:r>
      <w:r>
        <w:rPr>
          <w:spacing w:val="7"/>
        </w:rPr>
        <w:t>护力量、资源，开展医疗救援工作。负责组织</w:t>
      </w:r>
      <w:r>
        <w:rPr>
          <w:spacing w:val="7"/>
        </w:rPr>
        <w:t>救治受伤人员，设立现场医疗急救站，对受伤</w:t>
      </w:r>
      <w:r>
        <w:rPr>
          <w:spacing w:val="7"/>
        </w:rPr>
        <w:t>和中毒人员进行现场分类和急救处理，并及时</w:t>
      </w:r>
      <w:r>
        <w:rPr>
          <w:spacing w:val="8"/>
        </w:rPr>
        <w:t>合理转送有关医院进行救治。</w:t>
      </w:r>
    </w:p>
    <w:p>
      <w:pPr>
        <w:pStyle w:val="BodyText"/>
        <w:ind w:left="428"/>
        <w:spacing w:before="4" w:line="223" w:lineRule="auto"/>
        <w:rPr/>
      </w:pPr>
      <w:r>
        <w:rPr>
          <w:rFonts w:ascii="Times New Roman" w:hAnsi="Times New Roman" w:eastAsia="Times New Roman" w:cs="Times New Roman"/>
          <w:spacing w:val="5"/>
        </w:rPr>
        <w:t>2.3.5 </w:t>
      </w:r>
      <w:r>
        <w:rPr>
          <w:spacing w:val="5"/>
        </w:rPr>
        <w:t>应急专家组。</w:t>
      </w:r>
    </w:p>
    <w:p>
      <w:pPr>
        <w:pStyle w:val="BodyText"/>
        <w:ind w:left="428"/>
        <w:spacing w:before="139" w:line="277" w:lineRule="exact"/>
        <w:rPr/>
      </w:pPr>
      <w:r>
        <w:rPr>
          <w:spacing w:val="9"/>
          <w:position w:val="1"/>
        </w:rPr>
        <w:t>组长单位：市应急管理局</w:t>
      </w:r>
    </w:p>
    <w:p>
      <w:pPr>
        <w:pStyle w:val="BodyText"/>
        <w:ind w:left="428"/>
        <w:spacing w:before="107" w:line="277" w:lineRule="exact"/>
        <w:rPr/>
      </w:pPr>
      <w:r>
        <w:rPr>
          <w:spacing w:val="9"/>
          <w:position w:val="1"/>
        </w:rPr>
        <w:t>成员单位：市应急救援（卫生）专家组</w:t>
      </w:r>
    </w:p>
    <w:p>
      <w:pPr>
        <w:pStyle w:val="BodyText"/>
        <w:ind w:left="9" w:right="112" w:firstLine="427"/>
        <w:spacing w:before="108" w:line="317" w:lineRule="auto"/>
        <w:jc w:val="both"/>
        <w:rPr/>
      </w:pPr>
      <w:r>
        <w:rPr>
          <w:spacing w:val="6"/>
        </w:rPr>
        <w:t>主要职责：市应急管理局负责组建生产安</w:t>
      </w:r>
      <w:r>
        <w:rPr>
          <w:spacing w:val="7"/>
        </w:rPr>
        <w:t>全事故应急救援专家队伍，建立健全专家决策</w:t>
      </w:r>
      <w:r>
        <w:rPr>
          <w:spacing w:val="7"/>
        </w:rPr>
        <w:t>咨询制度，为专家组开展工作提供必要的保障</w:t>
      </w:r>
      <w:r>
        <w:rPr>
          <w:spacing w:val="7"/>
        </w:rPr>
        <w:t>和服务。专家队伍的主要职责是在固原市应急</w:t>
      </w:r>
    </w:p>
    <w:p>
      <w:pPr>
        <w:spacing w:line="317" w:lineRule="auto"/>
        <w:sectPr>
          <w:type w:val="continuous"/>
          <w:pgSz w:w="11906" w:h="16839"/>
          <w:pgMar w:top="1772" w:right="1478" w:bottom="1547" w:left="1588" w:header="1428" w:footer="1172" w:gutter="0"/>
          <w:cols w:equalWidth="0" w:num="2">
            <w:col w:w="4474" w:space="100"/>
            <w:col w:w="4267" w:space="0"/>
          </w:cols>
        </w:sectPr>
        <w:rPr/>
      </w:pPr>
    </w:p>
    <w:p>
      <w:pPr>
        <w:spacing w:before="67"/>
        <w:rPr/>
      </w:pPr>
      <w:r>
        <w:drawing>
          <wp:anchor distT="0" distB="0" distL="0" distR="0" simplePos="0" relativeHeight="25213440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282" name="IM 1282"/>
            <wp:cNvGraphicFramePr/>
            <a:graphic>
              <a:graphicData uri="http://schemas.openxmlformats.org/drawingml/2006/picture">
                <pic:pic>
                  <pic:nvPicPr>
                    <pic:cNvPr id="1282" name="IM 1282"/>
                    <pic:cNvPicPr/>
                  </pic:nvPicPr>
                  <pic:blipFill>
                    <a:blip r:embed="rId643"/>
                    <a:stretch>
                      <a:fillRect/>
                    </a:stretch>
                  </pic:blipFill>
                  <pic:spPr>
                    <a:xfrm rot="0">
                      <a:off x="0" y="0"/>
                      <a:ext cx="5579745" cy="7620"/>
                    </a:xfrm>
                    <a:prstGeom prst="rect">
                      <a:avLst/>
                    </a:prstGeom>
                  </pic:spPr>
                </pic:pic>
              </a:graphicData>
            </a:graphic>
          </wp:anchor>
        </w:drawing>
      </w:r>
      <w:r/>
    </w:p>
    <w:p>
      <w:pPr>
        <w:sectPr>
          <w:headerReference w:type="default" r:id="rId641"/>
          <w:footerReference w:type="default" r:id="rId642"/>
          <w:pgSz w:w="11906" w:h="16839"/>
          <w:pgMar w:top="1766" w:right="1480" w:bottom="1563" w:left="1576" w:header="1428" w:footer="1172" w:gutter="0"/>
          <w:cols w:equalWidth="0" w:num="1">
            <w:col w:w="8850" w:space="0"/>
          </w:cols>
        </w:sectPr>
        <w:rPr/>
      </w:pPr>
    </w:p>
    <w:p>
      <w:pPr>
        <w:pStyle w:val="BodyText"/>
        <w:ind w:left="19" w:right="329"/>
        <w:spacing w:before="39" w:line="351" w:lineRule="auto"/>
        <w:rPr/>
      </w:pPr>
      <w:r>
        <w:rPr>
          <w:spacing w:val="18"/>
        </w:rPr>
        <w:t>指挥部领导下负责生产安全事故应急救援指</w:t>
      </w:r>
      <w:r>
        <w:rPr>
          <w:spacing w:val="8"/>
        </w:rPr>
        <w:t>导，辅助决策和指挥。</w:t>
      </w:r>
    </w:p>
    <w:p>
      <w:pPr>
        <w:pStyle w:val="BodyText"/>
        <w:ind w:left="437"/>
        <w:spacing w:line="221" w:lineRule="auto"/>
        <w:rPr/>
      </w:pPr>
      <w:r>
        <w:rPr>
          <w:rFonts w:ascii="Times New Roman" w:hAnsi="Times New Roman" w:eastAsia="Times New Roman" w:cs="Times New Roman"/>
          <w:spacing w:val="5"/>
        </w:rPr>
        <w:t>2.3.6 </w:t>
      </w:r>
      <w:r>
        <w:rPr>
          <w:spacing w:val="5"/>
        </w:rPr>
        <w:t>资金保障组。</w:t>
      </w:r>
    </w:p>
    <w:p>
      <w:pPr>
        <w:pStyle w:val="BodyText"/>
        <w:ind w:left="436"/>
        <w:spacing w:before="131" w:line="277" w:lineRule="exact"/>
        <w:rPr/>
      </w:pPr>
      <w:r>
        <w:rPr>
          <w:spacing w:val="-4"/>
          <w:position w:val="1"/>
        </w:rPr>
        <w:t>组长单位：市财政局、事发地县（区）政府</w:t>
      </w:r>
    </w:p>
    <w:p>
      <w:pPr>
        <w:pStyle w:val="BodyText"/>
        <w:ind w:left="436"/>
        <w:spacing w:before="107" w:line="278" w:lineRule="exact"/>
        <w:rPr/>
      </w:pPr>
      <w:r>
        <w:rPr>
          <w:spacing w:val="5"/>
          <w:position w:val="1"/>
        </w:rPr>
        <w:t>成员单位：市县（</w:t>
      </w:r>
      <w:r>
        <w:rPr>
          <w:spacing w:val="-42"/>
          <w:position w:val="1"/>
        </w:rPr>
        <w:t xml:space="preserve"> </w:t>
      </w:r>
      <w:r>
        <w:rPr>
          <w:spacing w:val="5"/>
          <w:position w:val="1"/>
        </w:rPr>
        <w:t>区）财政局</w:t>
      </w:r>
    </w:p>
    <w:p>
      <w:pPr>
        <w:pStyle w:val="BodyText"/>
        <w:ind w:left="17" w:right="329" w:firstLine="427"/>
        <w:spacing w:before="105" w:line="337" w:lineRule="auto"/>
        <w:rPr/>
      </w:pPr>
      <w:r>
        <w:rPr>
          <w:spacing w:val="6"/>
        </w:rPr>
        <w:t>主要职责：负责协调、保障事故应急救援</w:t>
      </w:r>
      <w:r>
        <w:rPr>
          <w:spacing w:val="8"/>
        </w:rPr>
        <w:t>工作所需资金、物资。</w:t>
      </w:r>
    </w:p>
    <w:p>
      <w:pPr>
        <w:pStyle w:val="BodyText"/>
        <w:ind w:left="437"/>
        <w:spacing w:before="44" w:line="218" w:lineRule="auto"/>
        <w:rPr/>
      </w:pPr>
      <w:r>
        <w:rPr>
          <w:rFonts w:ascii="Times New Roman" w:hAnsi="Times New Roman" w:eastAsia="Times New Roman" w:cs="Times New Roman"/>
          <w:spacing w:val="5"/>
        </w:rPr>
        <w:t>2.3.7 </w:t>
      </w:r>
      <w:r>
        <w:rPr>
          <w:spacing w:val="5"/>
        </w:rPr>
        <w:t>环境监测组。</w:t>
      </w:r>
    </w:p>
    <w:p>
      <w:pPr>
        <w:pStyle w:val="BodyText"/>
        <w:ind w:left="436"/>
        <w:spacing w:before="143" w:line="277" w:lineRule="exact"/>
        <w:rPr/>
      </w:pPr>
      <w:r>
        <w:rPr>
          <w:spacing w:val="9"/>
          <w:position w:val="1"/>
        </w:rPr>
        <w:t>组长单位：市生态环境局</w:t>
      </w:r>
    </w:p>
    <w:p>
      <w:pPr>
        <w:pStyle w:val="BodyText"/>
        <w:ind w:left="436"/>
        <w:spacing w:before="107" w:line="277" w:lineRule="exact"/>
        <w:rPr/>
      </w:pPr>
      <w:r>
        <w:rPr>
          <w:spacing w:val="-11"/>
          <w:position w:val="1"/>
        </w:rPr>
        <w:t>成员单位：市县（</w:t>
      </w:r>
      <w:r>
        <w:rPr>
          <w:spacing w:val="-51"/>
          <w:position w:val="1"/>
        </w:rPr>
        <w:t xml:space="preserve"> </w:t>
      </w:r>
      <w:r>
        <w:rPr>
          <w:spacing w:val="-11"/>
          <w:position w:val="1"/>
        </w:rPr>
        <w:t>区）生态环境局（分局）。</w:t>
      </w:r>
    </w:p>
    <w:p>
      <w:pPr>
        <w:pStyle w:val="BodyText"/>
        <w:ind w:left="15" w:right="329" w:firstLine="429"/>
        <w:spacing w:before="107" w:line="337" w:lineRule="auto"/>
        <w:rPr/>
      </w:pPr>
      <w:r>
        <w:rPr>
          <w:spacing w:val="6"/>
        </w:rPr>
        <w:t>主要职责：负责事故区域气象分析预报以</w:t>
      </w:r>
      <w:r>
        <w:rPr>
          <w:spacing w:val="9"/>
        </w:rPr>
        <w:t>及环境监测、环境污染处置工作。</w:t>
      </w:r>
    </w:p>
    <w:p>
      <w:pPr>
        <w:pStyle w:val="BodyText"/>
        <w:ind w:left="437"/>
        <w:spacing w:before="42" w:line="220" w:lineRule="auto"/>
        <w:rPr/>
      </w:pPr>
      <w:r>
        <w:rPr>
          <w:rFonts w:ascii="Times New Roman" w:hAnsi="Times New Roman" w:eastAsia="Times New Roman" w:cs="Times New Roman"/>
          <w:spacing w:val="5"/>
        </w:rPr>
        <w:t>2.3.8 </w:t>
      </w:r>
      <w:r>
        <w:rPr>
          <w:spacing w:val="5"/>
        </w:rPr>
        <w:t>事故调查组。</w:t>
      </w:r>
    </w:p>
    <w:p>
      <w:pPr>
        <w:pStyle w:val="BodyText"/>
        <w:ind w:left="436"/>
        <w:spacing w:before="141" w:line="278" w:lineRule="exact"/>
        <w:rPr/>
      </w:pPr>
      <w:r>
        <w:rPr>
          <w:spacing w:val="9"/>
          <w:position w:val="1"/>
        </w:rPr>
        <w:t>组长单位：市应急管理局</w:t>
      </w:r>
    </w:p>
    <w:p>
      <w:pPr>
        <w:pStyle w:val="BodyText"/>
        <w:ind w:left="15" w:right="246" w:firstLine="421"/>
        <w:spacing w:before="107" w:line="350" w:lineRule="auto"/>
        <w:jc w:val="both"/>
        <w:rPr/>
      </w:pPr>
      <w:r>
        <w:rPr>
          <w:spacing w:val="-3"/>
        </w:rPr>
        <w:t>成员单位：市县（</w:t>
      </w:r>
      <w:r>
        <w:rPr>
          <w:spacing w:val="-36"/>
        </w:rPr>
        <w:t xml:space="preserve"> </w:t>
      </w:r>
      <w:r>
        <w:rPr>
          <w:spacing w:val="-3"/>
        </w:rPr>
        <w:t>区）应急管理局、监委、</w:t>
      </w:r>
      <w:r>
        <w:rPr>
          <w:spacing w:val="10"/>
        </w:rPr>
        <w:t>公安局及其依据国务院</w:t>
      </w:r>
      <w:r>
        <w:rPr>
          <w:rFonts w:ascii="Times New Roman" w:hAnsi="Times New Roman" w:eastAsia="Times New Roman" w:cs="Times New Roman"/>
          <w:spacing w:val="10"/>
        </w:rPr>
        <w:t>493</w:t>
      </w:r>
      <w:r>
        <w:rPr>
          <w:rFonts w:ascii="Times New Roman" w:hAnsi="Times New Roman" w:eastAsia="Times New Roman" w:cs="Times New Roman"/>
          <w:spacing w:val="-12"/>
        </w:rPr>
        <w:t xml:space="preserve"> </w:t>
      </w:r>
      <w:r>
        <w:rPr>
          <w:spacing w:val="10"/>
        </w:rPr>
        <w:t>号令规定的其他相</w:t>
      </w:r>
      <w:r>
        <w:rPr>
          <w:spacing w:val="6"/>
        </w:rPr>
        <w:t>关部门。</w:t>
      </w:r>
    </w:p>
    <w:p>
      <w:pPr>
        <w:pStyle w:val="BodyText"/>
        <w:ind w:left="15" w:right="329" w:firstLine="429"/>
        <w:spacing w:before="17" w:line="354" w:lineRule="auto"/>
        <w:jc w:val="both"/>
        <w:rPr/>
      </w:pPr>
      <w:r>
        <w:rPr>
          <w:spacing w:val="6"/>
        </w:rPr>
        <w:t>主要职责：会同有关部门、派驻单位、企</w:t>
      </w:r>
      <w:r>
        <w:rPr>
          <w:spacing w:val="7"/>
        </w:rPr>
        <w:t>业对事故发生的经过、原因进行调查，及时查</w:t>
      </w:r>
      <w:r>
        <w:rPr>
          <w:spacing w:val="7"/>
        </w:rPr>
        <w:t>清在生产安全事故处置过程中，擅离职守或失</w:t>
      </w:r>
      <w:r>
        <w:rPr>
          <w:spacing w:val="7"/>
        </w:rPr>
        <w:t>职、渎职等情况，向市应急指挥部提交责任事</w:t>
      </w:r>
      <w:r>
        <w:rPr>
          <w:spacing w:val="7"/>
        </w:rPr>
        <w:t>故调查报告，为依法追究相关人员的责任提供</w:t>
      </w:r>
      <w:r>
        <w:rPr>
          <w:spacing w:val="5"/>
        </w:rPr>
        <w:t>依据。</w:t>
      </w:r>
    </w:p>
    <w:p>
      <w:pPr>
        <w:pStyle w:val="BodyText"/>
        <w:ind w:left="437"/>
        <w:spacing w:before="2" w:line="222" w:lineRule="auto"/>
        <w:rPr/>
      </w:pPr>
      <w:r>
        <w:rPr>
          <w:rFonts w:ascii="Times New Roman" w:hAnsi="Times New Roman" w:eastAsia="Times New Roman" w:cs="Times New Roman"/>
          <w:spacing w:val="5"/>
        </w:rPr>
        <w:t>2.3.9 </w:t>
      </w:r>
      <w:r>
        <w:rPr>
          <w:spacing w:val="5"/>
        </w:rPr>
        <w:t>新闻宣传组。</w:t>
      </w:r>
    </w:p>
    <w:p>
      <w:pPr>
        <w:pStyle w:val="BodyText"/>
        <w:ind w:left="15" w:right="329" w:firstLine="421"/>
        <w:spacing w:before="140" w:line="337" w:lineRule="auto"/>
        <w:rPr/>
      </w:pPr>
      <w:r>
        <w:rPr>
          <w:spacing w:val="6"/>
        </w:rPr>
        <w:t>组长单位：由应急管理指挥部根据工作需</w:t>
      </w:r>
      <w:r>
        <w:rPr>
          <w:spacing w:val="8"/>
        </w:rPr>
        <w:t>要确定</w:t>
      </w:r>
    </w:p>
    <w:p>
      <w:pPr>
        <w:pStyle w:val="BodyText"/>
        <w:ind w:left="24" w:right="306" w:firstLine="412"/>
        <w:spacing w:before="40" w:line="350" w:lineRule="auto"/>
        <w:jc w:val="both"/>
        <w:rPr/>
      </w:pPr>
      <w:r>
        <w:rPr>
          <w:spacing w:val="8"/>
        </w:rPr>
        <w:t>成员单位：市应急管理局、固原电视台、</w:t>
      </w:r>
      <w:r>
        <w:rPr>
          <w:spacing w:val="6"/>
        </w:rPr>
        <w:t>固原日报社、文化旅广播电视局、广播电视台</w:t>
      </w:r>
      <w:r>
        <w:rPr>
          <w:spacing w:val="7"/>
        </w:rPr>
        <w:t>和网络等相关媒体单位。</w:t>
      </w:r>
    </w:p>
    <w:p>
      <w:pPr>
        <w:pStyle w:val="BodyText"/>
        <w:ind w:left="16" w:right="329" w:firstLine="428"/>
        <w:spacing w:before="16" w:line="324" w:lineRule="auto"/>
        <w:jc w:val="both"/>
        <w:rPr/>
      </w:pPr>
      <w:r>
        <w:rPr>
          <w:spacing w:val="6"/>
        </w:rPr>
        <w:t>主要职责：跟踪事故发展动态，及时收集</w:t>
      </w:r>
      <w:r>
        <w:rPr>
          <w:spacing w:val="7"/>
        </w:rPr>
        <w:t>消防、生态环境、公安、卫生医疗等部门的救</w:t>
      </w:r>
      <w:r>
        <w:rPr>
          <w:spacing w:val="7"/>
        </w:rPr>
        <w:t>援工作情况，组织召开新闻发布会，正确引导</w:t>
      </w:r>
      <w:r>
        <w:rPr>
          <w:spacing w:val="7"/>
        </w:rPr>
        <w:t>社会舆论；做好前来报道、采访的新闻媒体单</w:t>
      </w:r>
      <w:r>
        <w:rPr>
          <w:spacing w:val="8"/>
        </w:rPr>
        <w:t>位人员的接待安排工作。</w:t>
      </w:r>
    </w:p>
    <w:p>
      <w:pPr>
        <w:spacing w:line="14" w:lineRule="auto"/>
        <w:rPr>
          <w:rFonts w:ascii="Arial"/>
          <w:sz w:val="2"/>
        </w:rPr>
      </w:pPr>
      <w:r>
        <w:rPr>
          <w:rFonts w:ascii="Arial" w:hAnsi="Arial" w:eastAsia="Arial" w:cs="Arial"/>
          <w:sz w:val="2"/>
          <w:szCs w:val="2"/>
        </w:rPr>
        <w:br w:type="column"/>
      </w:r>
    </w:p>
    <w:p>
      <w:pPr>
        <w:pStyle w:val="BodyText"/>
        <w:ind w:left="421"/>
        <w:spacing w:before="39" w:line="221" w:lineRule="auto"/>
        <w:rPr/>
      </w:pPr>
      <w:r>
        <w:rPr>
          <w:rFonts w:ascii="Times New Roman" w:hAnsi="Times New Roman" w:eastAsia="Times New Roman" w:cs="Times New Roman"/>
          <w:spacing w:val="3"/>
        </w:rPr>
        <w:t>2.3.</w:t>
      </w:r>
      <w:r>
        <w:rPr>
          <w:rFonts w:ascii="Times New Roman" w:hAnsi="Times New Roman" w:eastAsia="Times New Roman" w:cs="Times New Roman"/>
          <w:spacing w:val="-20"/>
        </w:rPr>
        <w:t xml:space="preserve"> </w:t>
      </w:r>
      <w:r>
        <w:rPr>
          <w:rFonts w:ascii="Times New Roman" w:hAnsi="Times New Roman" w:eastAsia="Times New Roman" w:cs="Times New Roman"/>
          <w:spacing w:val="3"/>
        </w:rPr>
        <w:t>10 </w:t>
      </w:r>
      <w:r>
        <w:rPr>
          <w:spacing w:val="3"/>
        </w:rPr>
        <w:t>善后处理组。</w:t>
      </w:r>
    </w:p>
    <w:p>
      <w:pPr>
        <w:pStyle w:val="BodyText"/>
        <w:ind w:left="421"/>
        <w:spacing w:before="139" w:line="277" w:lineRule="exact"/>
        <w:rPr/>
      </w:pPr>
      <w:r>
        <w:rPr>
          <w:spacing w:val="5"/>
          <w:position w:val="1"/>
        </w:rPr>
        <w:t>组长单位：事发地县（</w:t>
      </w:r>
      <w:r>
        <w:rPr>
          <w:spacing w:val="-38"/>
          <w:position w:val="1"/>
        </w:rPr>
        <w:t xml:space="preserve"> </w:t>
      </w:r>
      <w:r>
        <w:rPr>
          <w:spacing w:val="5"/>
          <w:position w:val="1"/>
        </w:rPr>
        <w:t>区）政府</w:t>
      </w:r>
    </w:p>
    <w:p>
      <w:pPr>
        <w:pStyle w:val="BodyText"/>
        <w:ind w:left="8" w:right="88" w:firstLine="420"/>
        <w:spacing w:before="107" w:line="336" w:lineRule="auto"/>
        <w:rPr/>
      </w:pPr>
      <w:r>
        <w:rPr>
          <w:spacing w:val="-4"/>
        </w:rPr>
        <w:t>主要职责：负责事发地受灾人员的善后处理</w:t>
      </w:r>
      <w:r>
        <w:rPr>
          <w:spacing w:val="-10"/>
        </w:rPr>
        <w:t>和灾后重建工作。</w:t>
      </w:r>
    </w:p>
    <w:p>
      <w:pPr>
        <w:pStyle w:val="BodyText"/>
        <w:ind w:right="110" w:firstLine="421"/>
        <w:spacing w:before="42" w:line="354" w:lineRule="auto"/>
        <w:jc w:val="both"/>
        <w:rPr/>
      </w:pPr>
      <w:r>
        <w:rPr>
          <w:spacing w:val="6"/>
        </w:rPr>
        <w:t>各应急救援工作组应根据工作职责，在市</w:t>
      </w:r>
      <w:r>
        <w:rPr>
          <w:spacing w:val="7"/>
        </w:rPr>
        <w:t>应急管理指挥部办公室的统一领导下，主动做</w:t>
      </w:r>
      <w:r>
        <w:rPr>
          <w:spacing w:val="7"/>
        </w:rPr>
        <w:t>好相关工作，并根据事件发展趋势，及时调整</w:t>
      </w:r>
      <w:r>
        <w:rPr>
          <w:spacing w:val="7"/>
        </w:rPr>
        <w:t>应急措施和方案，加大应急处置力度，不断提</w:t>
      </w:r>
      <w:r>
        <w:rPr>
          <w:spacing w:val="9"/>
        </w:rPr>
        <w:t>高应急处置工作的针对性和时效性。</w:t>
      </w:r>
    </w:p>
    <w:p>
      <w:pPr>
        <w:ind w:left="420"/>
        <w:spacing w:line="264" w:lineRule="exact"/>
        <w:rPr>
          <w:rFonts w:ascii="KaiTi" w:hAnsi="KaiTi" w:eastAsia="KaiTi" w:cs="KaiTi"/>
          <w:sz w:val="20"/>
          <w:szCs w:val="20"/>
        </w:rPr>
      </w:pPr>
      <w:r>
        <w:rPr>
          <w:rFonts w:ascii="Times New Roman" w:hAnsi="Times New Roman" w:eastAsia="Times New Roman" w:cs="Times New Roman"/>
          <w:sz w:val="20"/>
          <w:szCs w:val="20"/>
          <w:b/>
          <w:bCs/>
          <w:spacing w:val="3"/>
          <w:position w:val="1"/>
        </w:rPr>
        <w:t>3</w:t>
      </w:r>
      <w:r>
        <w:rPr>
          <w:rFonts w:ascii="Times New Roman" w:hAnsi="Times New Roman" w:eastAsia="Times New Roman" w:cs="Times New Roman"/>
          <w:sz w:val="20"/>
          <w:szCs w:val="20"/>
          <w:b/>
          <w:bCs/>
          <w:spacing w:val="7"/>
          <w:position w:val="1"/>
        </w:rPr>
        <w:t xml:space="preserve">    </w:t>
      </w:r>
      <w:r>
        <w:rPr>
          <w:rFonts w:ascii="KaiTi" w:hAnsi="KaiTi" w:eastAsia="KaiTi" w:cs="KaiTi"/>
          <w:sz w:val="20"/>
          <w:szCs w:val="20"/>
          <w:b/>
          <w:bCs/>
          <w:spacing w:val="3"/>
          <w:position w:val="1"/>
        </w:rPr>
        <w:t>处置程序</w:t>
      </w:r>
    </w:p>
    <w:p>
      <w:pPr>
        <w:pStyle w:val="BodyText"/>
        <w:ind w:right="107" w:firstLine="426"/>
        <w:spacing w:before="120" w:line="354" w:lineRule="auto"/>
        <w:rPr/>
      </w:pPr>
      <w:r>
        <w:rPr>
          <w:rFonts w:ascii="Times New Roman" w:hAnsi="Times New Roman" w:eastAsia="Times New Roman" w:cs="Times New Roman"/>
          <w:spacing w:val="7"/>
        </w:rPr>
        <w:t>3.</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1  </w:t>
      </w:r>
      <w:r>
        <w:rPr>
          <w:rFonts w:ascii="KaiTi" w:hAnsi="KaiTi" w:eastAsia="KaiTi" w:cs="KaiTi"/>
          <w:spacing w:val="7"/>
        </w:rPr>
        <w:t>信息报告。</w:t>
      </w:r>
      <w:r>
        <w:rPr>
          <w:spacing w:val="7"/>
        </w:rPr>
        <w:t>事故发生后，事故现</w:t>
      </w:r>
      <w:r>
        <w:rPr>
          <w:spacing w:val="6"/>
        </w:rPr>
        <w:t>场人</w:t>
      </w:r>
      <w:r>
        <w:rPr>
          <w:spacing w:val="7"/>
        </w:rPr>
        <w:t>员应立即向煤矿负责人报告；煤矿负责人应立</w:t>
      </w:r>
      <w:r>
        <w:rPr>
          <w:spacing w:val="7"/>
        </w:rPr>
        <w:t>即赶到现场核实基本情况，立即向市应急管理</w:t>
      </w:r>
      <w:r>
        <w:rPr>
          <w:spacing w:val="7"/>
        </w:rPr>
        <w:t>指挥部办公室报告。发生较大及以上煤矿生产</w:t>
      </w:r>
      <w:r>
        <w:rPr>
          <w:spacing w:val="11"/>
        </w:rPr>
        <w:t>安全事故，相关人员和单位必须在</w:t>
      </w:r>
      <w:r>
        <w:rPr>
          <w:spacing w:val="-33"/>
        </w:rPr>
        <w:t xml:space="preserve"> </w:t>
      </w:r>
      <w:r>
        <w:rPr>
          <w:rFonts w:ascii="Times New Roman" w:hAnsi="Times New Roman" w:eastAsia="Times New Roman" w:cs="Times New Roman"/>
          <w:spacing w:val="11"/>
        </w:rPr>
        <w:t>30 </w:t>
      </w:r>
      <w:r>
        <w:rPr>
          <w:spacing w:val="11"/>
        </w:rPr>
        <w:t>分钟内</w:t>
      </w:r>
      <w:r>
        <w:rPr>
          <w:spacing w:val="18"/>
        </w:rPr>
        <w:t>通过电话向市应急管理指挥部办公室报告简</w:t>
      </w:r>
      <w:r>
        <w:rPr>
          <w:spacing w:val="5"/>
        </w:rPr>
        <w:t>要情况；在事发后</w:t>
      </w:r>
      <w:r>
        <w:rPr>
          <w:spacing w:val="-9"/>
        </w:rPr>
        <w:t xml:space="preserve"> </w:t>
      </w:r>
      <w:r>
        <w:rPr>
          <w:rFonts w:ascii="Times New Roman" w:hAnsi="Times New Roman" w:eastAsia="Times New Roman" w:cs="Times New Roman"/>
          <w:spacing w:val="5"/>
        </w:rPr>
        <w:t>1 </w:t>
      </w:r>
      <w:r>
        <w:rPr>
          <w:spacing w:val="5"/>
        </w:rPr>
        <w:t>小时内将事故详细信息报</w:t>
      </w:r>
      <w:r>
        <w:rPr>
          <w:spacing w:val="9"/>
        </w:rPr>
        <w:t>告市应急管理指挥部办公室报告。</w:t>
      </w:r>
      <w:r>
        <w:rPr>
          <w:rFonts w:ascii="Times New Roman" w:hAnsi="Times New Roman" w:eastAsia="Times New Roman" w:cs="Times New Roman"/>
          <w:spacing w:val="9"/>
        </w:rPr>
        <w:t>110</w:t>
      </w:r>
      <w:r>
        <w:rPr>
          <w:rFonts w:ascii="Times New Roman" w:hAnsi="Times New Roman" w:eastAsia="Times New Roman" w:cs="Times New Roman"/>
          <w:spacing w:val="17"/>
          <w:w w:val="101"/>
        </w:rPr>
        <w:t xml:space="preserve"> </w:t>
      </w:r>
      <w:r>
        <w:rPr>
          <w:spacing w:val="9"/>
        </w:rPr>
        <w:t>和</w:t>
      </w:r>
      <w:r>
        <w:rPr>
          <w:spacing w:val="-19"/>
        </w:rPr>
        <w:t xml:space="preserve"> </w:t>
      </w:r>
      <w:r>
        <w:rPr>
          <w:rFonts w:ascii="Times New Roman" w:hAnsi="Times New Roman" w:eastAsia="Times New Roman" w:cs="Times New Roman"/>
          <w:spacing w:val="9"/>
        </w:rPr>
        <w:t>120</w:t>
      </w:r>
      <w:r>
        <w:rPr>
          <w:spacing w:val="7"/>
        </w:rPr>
        <w:t>接警后可采用电话、传真、书面等方式向市应</w:t>
      </w:r>
      <w:r>
        <w:rPr>
          <w:spacing w:val="7"/>
        </w:rPr>
        <w:t>急管理指挥部办公室及时报告事故情况。市应</w:t>
      </w:r>
      <w:r>
        <w:rPr/>
        <w:t>急 管 理 指 挥 部 办 公 室 值 班 电 话</w:t>
      </w:r>
      <w:r>
        <w:rPr>
          <w:spacing w:val="48"/>
        </w:rPr>
        <w:t xml:space="preserve"> </w:t>
      </w:r>
      <w:r>
        <w:rPr/>
        <w:t>： </w:t>
      </w:r>
      <w:r>
        <w:rPr>
          <w:rFonts w:ascii="Times New Roman" w:hAnsi="Times New Roman" w:eastAsia="Times New Roman" w:cs="Times New Roman"/>
          <w:spacing w:val="4"/>
        </w:rPr>
        <w:t>0954-2088154</w:t>
      </w:r>
      <w:r>
        <w:rPr>
          <w:spacing w:val="4"/>
        </w:rPr>
        <w:t>。</w:t>
      </w:r>
    </w:p>
    <w:p>
      <w:pPr>
        <w:pStyle w:val="BodyText"/>
        <w:ind w:left="1" w:right="110" w:firstLine="419"/>
        <w:spacing w:before="7" w:line="353" w:lineRule="auto"/>
        <w:jc w:val="both"/>
        <w:rPr/>
      </w:pPr>
      <w:r>
        <w:rPr>
          <w:spacing w:val="19"/>
        </w:rPr>
        <w:t>煤矿生产安全事故信息报告内容主要包</w:t>
      </w:r>
      <w:r>
        <w:rPr>
          <w:spacing w:val="7"/>
        </w:rPr>
        <w:t>括：事故发生单位概况、事故发生的时间、地</w:t>
      </w:r>
      <w:r>
        <w:rPr>
          <w:spacing w:val="7"/>
        </w:rPr>
        <w:t>点、简要经过；可能造成的危害程度、影响范</w:t>
      </w:r>
      <w:r>
        <w:rPr>
          <w:spacing w:val="7"/>
        </w:rPr>
        <w:t>围、遇险人数、直接经济损失；已采取的应急</w:t>
      </w:r>
      <w:r>
        <w:rPr>
          <w:spacing w:val="7"/>
        </w:rPr>
        <w:t>处置措施和目前事故处置进展情况；下一步拟</w:t>
      </w:r>
      <w:r>
        <w:rPr>
          <w:spacing w:val="7"/>
        </w:rPr>
        <w:t>采取的措施等。</w:t>
      </w:r>
    </w:p>
    <w:p>
      <w:pPr>
        <w:ind w:left="426"/>
        <w:spacing w:before="9" w:line="242" w:lineRule="auto"/>
        <w:rPr>
          <w:rFonts w:ascii="KaiTi" w:hAnsi="KaiTi" w:eastAsia="KaiTi" w:cs="KaiTi"/>
          <w:sz w:val="20"/>
          <w:szCs w:val="20"/>
        </w:rPr>
      </w:pPr>
      <w:r>
        <w:rPr>
          <w:rFonts w:ascii="Times New Roman" w:hAnsi="Times New Roman" w:eastAsia="Times New Roman" w:cs="Times New Roman"/>
          <w:sz w:val="20"/>
          <w:szCs w:val="20"/>
          <w:spacing w:val="3"/>
        </w:rPr>
        <w:t>3.2</w:t>
      </w:r>
      <w:r>
        <w:rPr>
          <w:rFonts w:ascii="Times New Roman" w:hAnsi="Times New Roman" w:eastAsia="Times New Roman" w:cs="Times New Roman"/>
          <w:sz w:val="20"/>
          <w:szCs w:val="20"/>
          <w:spacing w:val="10"/>
        </w:rPr>
        <w:t xml:space="preserve">  </w:t>
      </w:r>
      <w:r>
        <w:rPr>
          <w:rFonts w:ascii="KaiTi" w:hAnsi="KaiTi" w:eastAsia="KaiTi" w:cs="KaiTi"/>
          <w:sz w:val="20"/>
          <w:szCs w:val="20"/>
          <w:spacing w:val="3"/>
        </w:rPr>
        <w:t>先期处置。</w:t>
      </w:r>
    </w:p>
    <w:p>
      <w:pPr>
        <w:pStyle w:val="BodyText"/>
        <w:ind w:firstLine="425"/>
        <w:spacing w:before="129" w:line="320" w:lineRule="auto"/>
        <w:jc w:val="both"/>
        <w:rPr/>
      </w:pPr>
      <w:r>
        <w:rPr>
          <w:rFonts w:ascii="Times New Roman" w:hAnsi="Times New Roman" w:eastAsia="Times New Roman" w:cs="Times New Roman"/>
          <w:spacing w:val="3"/>
        </w:rPr>
        <w:t>3.2.1 </w:t>
      </w:r>
      <w:r>
        <w:rPr>
          <w:spacing w:val="3"/>
        </w:rPr>
        <w:t>煤矿生产安全事故发生后，事故发生</w:t>
      </w:r>
      <w:r>
        <w:rPr/>
        <w:t>单位要立即组织开展先期处置，事发地县（</w:t>
      </w:r>
      <w:r>
        <w:rPr>
          <w:spacing w:val="-45"/>
        </w:rPr>
        <w:t xml:space="preserve"> </w:t>
      </w:r>
      <w:r>
        <w:rPr/>
        <w:t>区）</w:t>
      </w:r>
      <w:r>
        <w:rPr>
          <w:spacing w:val="7"/>
        </w:rPr>
        <w:t>应急管理局负责人要在第一时间赶赴现场，查</w:t>
      </w:r>
      <w:r>
        <w:rPr>
          <w:spacing w:val="7"/>
        </w:rPr>
        <w:t>明情况，及时上报，控制事态发展，开展先期</w:t>
      </w:r>
      <w:r>
        <w:rPr>
          <w:spacing w:val="6"/>
        </w:rPr>
        <w:t>处置工作。</w:t>
      </w:r>
    </w:p>
    <w:p>
      <w:pPr>
        <w:spacing w:line="320" w:lineRule="auto"/>
        <w:sectPr>
          <w:type w:val="continuous"/>
          <w:pgSz w:w="11906" w:h="16839"/>
          <w:pgMar w:top="1766" w:right="1480" w:bottom="1563" w:left="1576" w:header="1428" w:footer="1172" w:gutter="0"/>
          <w:cols w:equalWidth="0" w:num="2">
            <w:col w:w="4493" w:space="100"/>
            <w:col w:w="4258" w:space="0"/>
          </w:cols>
        </w:sectPr>
        <w:rPr/>
      </w:pPr>
    </w:p>
    <w:p>
      <w:pPr>
        <w:spacing w:before="53"/>
        <w:rPr/>
      </w:pPr>
      <w:r>
        <w:drawing>
          <wp:anchor distT="0" distB="0" distL="0" distR="0" simplePos="0" relativeHeight="252139520"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288" name="IM 1288"/>
            <wp:cNvGraphicFramePr/>
            <a:graphic>
              <a:graphicData uri="http://schemas.openxmlformats.org/drawingml/2006/picture">
                <pic:pic>
                  <pic:nvPicPr>
                    <pic:cNvPr id="1288" name="IM 1288"/>
                    <pic:cNvPicPr/>
                  </pic:nvPicPr>
                  <pic:blipFill>
                    <a:blip r:embed="rId646"/>
                    <a:stretch>
                      <a:fillRect/>
                    </a:stretch>
                  </pic:blipFill>
                  <pic:spPr>
                    <a:xfrm rot="0">
                      <a:off x="0" y="0"/>
                      <a:ext cx="5579745" cy="7620"/>
                    </a:xfrm>
                    <a:prstGeom prst="rect">
                      <a:avLst/>
                    </a:prstGeom>
                  </pic:spPr>
                </pic:pic>
              </a:graphicData>
            </a:graphic>
          </wp:anchor>
        </w:drawing>
      </w:r>
      <w:r/>
    </w:p>
    <w:p>
      <w:pPr>
        <w:sectPr>
          <w:headerReference w:type="default" r:id="rId644"/>
          <w:footerReference w:type="default" r:id="rId645"/>
          <w:pgSz w:w="11906" w:h="16839"/>
          <w:pgMar w:top="1772" w:right="1489" w:bottom="1547" w:left="1588" w:header="1428" w:footer="1172" w:gutter="0"/>
          <w:cols w:equalWidth="0" w:num="1">
            <w:col w:w="8829" w:space="0"/>
          </w:cols>
        </w:sectPr>
        <w:rPr/>
      </w:pPr>
    </w:p>
    <w:p>
      <w:pPr>
        <w:pStyle w:val="BodyText"/>
        <w:ind w:left="4" w:right="327" w:firstLine="424"/>
        <w:spacing w:before="49" w:line="332" w:lineRule="auto"/>
        <w:rPr/>
      </w:pPr>
      <w:r>
        <w:rPr>
          <w:rFonts w:ascii="Times New Roman" w:hAnsi="Times New Roman" w:eastAsia="Times New Roman" w:cs="Times New Roman"/>
          <w:spacing w:val="3"/>
        </w:rPr>
        <w:t>3.2.2 </w:t>
      </w:r>
      <w:r>
        <w:rPr>
          <w:spacing w:val="3"/>
        </w:rPr>
        <w:t>达到一般事故时，启动事发地县级生</w:t>
      </w:r>
      <w:r>
        <w:rPr>
          <w:spacing w:val="7"/>
        </w:rPr>
        <w:t>产安全事故应急预案，按照应急预案规定成立</w:t>
      </w:r>
      <w:r>
        <w:rPr>
          <w:spacing w:val="4"/>
        </w:rPr>
        <w:t>现场指挥部。现场总指挥由事发地县（</w:t>
      </w:r>
      <w:r>
        <w:rPr>
          <w:spacing w:val="-36"/>
        </w:rPr>
        <w:t xml:space="preserve"> </w:t>
      </w:r>
      <w:r>
        <w:rPr>
          <w:spacing w:val="4"/>
        </w:rPr>
        <w:t>区）分</w:t>
      </w:r>
      <w:r>
        <w:rPr>
          <w:spacing w:val="4"/>
        </w:rPr>
        <w:t>管副县（</w:t>
      </w:r>
      <w:r>
        <w:rPr>
          <w:spacing w:val="-36"/>
        </w:rPr>
        <w:t xml:space="preserve"> </w:t>
      </w:r>
      <w:r>
        <w:rPr>
          <w:spacing w:val="4"/>
        </w:rPr>
        <w:t>区）长、应急局局长担任，制定先期</w:t>
      </w:r>
      <w:r>
        <w:rPr>
          <w:spacing w:val="7"/>
        </w:rPr>
        <w:t>处置方案，开展抢险救援和人员救治，组织开</w:t>
      </w:r>
      <w:r>
        <w:rPr>
          <w:spacing w:val="8"/>
        </w:rPr>
        <w:t>展先期处置工作。</w:t>
      </w:r>
    </w:p>
    <w:p>
      <w:pPr>
        <w:pStyle w:val="BodyText"/>
        <w:ind w:left="8" w:right="327" w:firstLine="420"/>
        <w:spacing w:before="147" w:line="309" w:lineRule="auto"/>
        <w:rPr/>
      </w:pPr>
      <w:r>
        <w:rPr>
          <w:rFonts w:ascii="Times New Roman" w:hAnsi="Times New Roman" w:eastAsia="Times New Roman" w:cs="Times New Roman"/>
          <w:spacing w:val="3"/>
        </w:rPr>
        <w:t>3.2.3 </w:t>
      </w:r>
      <w:r>
        <w:rPr>
          <w:spacing w:val="3"/>
        </w:rPr>
        <w:t>必要时，市应急管理指挥部办公室派</w:t>
      </w:r>
      <w:r>
        <w:rPr>
          <w:spacing w:val="7"/>
        </w:rPr>
        <w:t>出工作组赶赴事件现场，现场指导事发地政府</w:t>
      </w:r>
      <w:r>
        <w:rPr>
          <w:spacing w:val="7"/>
        </w:rPr>
        <w:t>开展抢险救援工作。</w:t>
      </w:r>
    </w:p>
    <w:p>
      <w:pPr>
        <w:ind w:left="429"/>
        <w:spacing w:before="141" w:line="268" w:lineRule="exact"/>
        <w:rPr>
          <w:rFonts w:ascii="KaiTi" w:hAnsi="KaiTi" w:eastAsia="KaiTi" w:cs="KaiTi"/>
          <w:sz w:val="20"/>
          <w:szCs w:val="20"/>
        </w:rPr>
      </w:pPr>
      <w:r>
        <w:rPr>
          <w:rFonts w:ascii="Times New Roman" w:hAnsi="Times New Roman" w:eastAsia="Times New Roman" w:cs="Times New Roman"/>
          <w:sz w:val="20"/>
          <w:szCs w:val="20"/>
          <w:spacing w:val="4"/>
          <w:position w:val="1"/>
        </w:rPr>
        <w:t>3.3  </w:t>
      </w:r>
      <w:r>
        <w:rPr>
          <w:rFonts w:ascii="KaiTi" w:hAnsi="KaiTi" w:eastAsia="KaiTi" w:cs="KaiTi"/>
          <w:sz w:val="20"/>
          <w:szCs w:val="20"/>
          <w:spacing w:val="4"/>
          <w:position w:val="1"/>
        </w:rPr>
        <w:t>应急响应。</w:t>
      </w:r>
    </w:p>
    <w:p>
      <w:pPr>
        <w:pStyle w:val="BodyText"/>
        <w:ind w:left="5" w:right="309" w:firstLine="423"/>
        <w:spacing w:before="115" w:line="322" w:lineRule="auto"/>
        <w:rPr/>
      </w:pPr>
      <w:r>
        <w:rPr>
          <w:rFonts w:ascii="Times New Roman" w:hAnsi="Times New Roman" w:eastAsia="Times New Roman" w:cs="Times New Roman"/>
          <w:spacing w:val="5"/>
        </w:rPr>
        <w:t>3.3.</w:t>
      </w:r>
      <w:r>
        <w:rPr>
          <w:rFonts w:ascii="Times New Roman" w:hAnsi="Times New Roman" w:eastAsia="Times New Roman" w:cs="Times New Roman"/>
          <w:spacing w:val="-16"/>
        </w:rPr>
        <w:t xml:space="preserve"> </w:t>
      </w:r>
      <w:r>
        <w:rPr>
          <w:rFonts w:ascii="Times New Roman" w:hAnsi="Times New Roman" w:eastAsia="Times New Roman" w:cs="Times New Roman"/>
          <w:spacing w:val="5"/>
        </w:rPr>
        <w:t>1Ⅰ</w:t>
      </w:r>
      <w:r>
        <w:rPr>
          <w:spacing w:val="5"/>
        </w:rPr>
        <w:t>级、</w:t>
      </w:r>
      <w:r>
        <w:rPr>
          <w:rFonts w:ascii="Times New Roman" w:hAnsi="Times New Roman" w:eastAsia="Times New Roman" w:cs="Times New Roman"/>
          <w:spacing w:val="5"/>
        </w:rPr>
        <w:t>Ⅱ</w:t>
      </w:r>
      <w:r>
        <w:rPr>
          <w:spacing w:val="5"/>
        </w:rPr>
        <w:t>级响应。发生重大 (</w:t>
      </w:r>
      <w:r>
        <w:rPr>
          <w:spacing w:val="-36"/>
        </w:rPr>
        <w:t xml:space="preserve"> </w:t>
      </w:r>
      <w:r>
        <w:rPr>
          <w:rFonts w:ascii="Times New Roman" w:hAnsi="Times New Roman" w:eastAsia="Times New Roman" w:cs="Times New Roman"/>
          <w:spacing w:val="5"/>
        </w:rPr>
        <w:t>Ⅱ</w:t>
      </w:r>
      <w:r>
        <w:rPr>
          <w:spacing w:val="5"/>
        </w:rPr>
        <w:t>级）、</w:t>
      </w:r>
      <w:r>
        <w:rPr>
          <w:spacing w:val="8"/>
        </w:rPr>
        <w:t>特大 (</w:t>
      </w:r>
      <w:r>
        <w:rPr>
          <w:spacing w:val="-33"/>
        </w:rPr>
        <w:t xml:space="preserve"> </w:t>
      </w:r>
      <w:r>
        <w:rPr>
          <w:rFonts w:ascii="Times New Roman" w:hAnsi="Times New Roman" w:eastAsia="Times New Roman" w:cs="Times New Roman"/>
          <w:spacing w:val="8"/>
        </w:rPr>
        <w:t>Ⅰ</w:t>
      </w:r>
      <w:r>
        <w:rPr>
          <w:spacing w:val="8"/>
        </w:rPr>
        <w:t>级）煤矿生产安全事故</w:t>
      </w:r>
      <w:r>
        <w:rPr>
          <w:spacing w:val="-58"/>
        </w:rPr>
        <w:t xml:space="preserve"> </w:t>
      </w:r>
      <w:r>
        <w:rPr>
          <w:spacing w:val="8"/>
        </w:rPr>
        <w:t>，报请自治区</w:t>
      </w:r>
      <w:r>
        <w:rPr>
          <w:spacing w:val="8"/>
        </w:rPr>
        <w:t>党委、政府启动自治区级煤矿应急响应机制，</w:t>
      </w:r>
      <w:r>
        <w:rPr>
          <w:spacing w:val="8"/>
        </w:rPr>
        <w:t>市政府按照职责分工配合做好应对处置工作。</w:t>
      </w:r>
    </w:p>
    <w:p>
      <w:pPr>
        <w:pStyle w:val="BodyText"/>
        <w:ind w:left="3" w:right="327" w:firstLine="426"/>
        <w:spacing w:before="143" w:line="338" w:lineRule="auto"/>
        <w:rPr/>
      </w:pPr>
      <w:r>
        <w:rPr>
          <w:rFonts w:ascii="Times New Roman" w:hAnsi="Times New Roman" w:eastAsia="Times New Roman" w:cs="Times New Roman"/>
          <w:spacing w:val="3"/>
        </w:rPr>
        <w:t>3.3.2Ⅲ</w:t>
      </w:r>
      <w:r>
        <w:rPr>
          <w:spacing w:val="3"/>
        </w:rPr>
        <w:t>级响应。发生较大 (</w:t>
      </w:r>
      <w:r>
        <w:rPr>
          <w:spacing w:val="-28"/>
        </w:rPr>
        <w:t xml:space="preserve"> </w:t>
      </w:r>
      <w:r>
        <w:rPr>
          <w:rFonts w:ascii="Times New Roman" w:hAnsi="Times New Roman" w:eastAsia="Times New Roman" w:cs="Times New Roman"/>
          <w:spacing w:val="3"/>
        </w:rPr>
        <w:t>Ⅲ</w:t>
      </w:r>
      <w:r>
        <w:rPr>
          <w:spacing w:val="3"/>
        </w:rPr>
        <w:t>级）煤矿生</w:t>
      </w:r>
      <w:r>
        <w:rPr>
          <w:spacing w:val="7"/>
        </w:rPr>
        <w:t>产安全事故，由市应急管理指挥部办公室启动</w:t>
      </w:r>
      <w:r>
        <w:rPr>
          <w:spacing w:val="7"/>
        </w:rPr>
        <w:t>应急响应措施，市应急管理局牵头立即组织专</w:t>
      </w:r>
      <w:r>
        <w:rPr>
          <w:spacing w:val="7"/>
        </w:rPr>
        <w:t>家调查确认，并对事故情况进行综合评估。同</w:t>
      </w:r>
      <w:r>
        <w:rPr>
          <w:spacing w:val="7"/>
        </w:rPr>
        <w:t>时，应急指挥部迅速组织成员单位和事故发生</w:t>
      </w:r>
      <w:r>
        <w:rPr>
          <w:spacing w:val="4"/>
        </w:rPr>
        <w:t>地县（</w:t>
      </w:r>
      <w:r>
        <w:rPr>
          <w:spacing w:val="-34"/>
        </w:rPr>
        <w:t xml:space="preserve"> </w:t>
      </w:r>
      <w:r>
        <w:rPr>
          <w:spacing w:val="4"/>
        </w:rPr>
        <w:t>区）政府开展现场救援、处理等紧急控</w:t>
      </w:r>
      <w:r>
        <w:rPr>
          <w:spacing w:val="7"/>
        </w:rPr>
        <w:t>制措施，并按照规定向自治区有关部门报告调</w:t>
      </w:r>
      <w:r>
        <w:rPr>
          <w:spacing w:val="7"/>
        </w:rPr>
        <w:t>查处理情况。</w:t>
      </w:r>
    </w:p>
    <w:p>
      <w:pPr>
        <w:pStyle w:val="BodyText"/>
        <w:ind w:left="4" w:right="324" w:firstLine="425"/>
        <w:spacing w:before="141" w:line="322" w:lineRule="auto"/>
        <w:rPr/>
      </w:pPr>
      <w:r>
        <w:rPr>
          <w:rFonts w:ascii="Times New Roman" w:hAnsi="Times New Roman" w:eastAsia="Times New Roman" w:cs="Times New Roman"/>
          <w:spacing w:val="6"/>
        </w:rPr>
        <w:t>3.3.3Ⅳ</w:t>
      </w:r>
      <w:r>
        <w:rPr>
          <w:spacing w:val="6"/>
        </w:rPr>
        <w:t>级响应。发生一般(</w:t>
      </w:r>
      <w:r>
        <w:rPr>
          <w:spacing w:val="-22"/>
        </w:rPr>
        <w:t xml:space="preserve"> </w:t>
      </w:r>
      <w:r>
        <w:rPr>
          <w:rFonts w:ascii="Times New Roman" w:hAnsi="Times New Roman" w:eastAsia="Times New Roman" w:cs="Times New Roman"/>
          <w:spacing w:val="6"/>
        </w:rPr>
        <w:t>Ⅳ</w:t>
      </w:r>
      <w:r>
        <w:rPr>
          <w:spacing w:val="6"/>
        </w:rPr>
        <w:t>级）煤矿生</w:t>
      </w:r>
      <w:r>
        <w:rPr>
          <w:spacing w:val="4"/>
        </w:rPr>
        <w:t>产安全事故，由事发地县（</w:t>
      </w:r>
      <w:r>
        <w:rPr>
          <w:spacing w:val="-35"/>
        </w:rPr>
        <w:t xml:space="preserve"> </w:t>
      </w:r>
      <w:r>
        <w:rPr>
          <w:spacing w:val="4"/>
        </w:rPr>
        <w:t>区）政府及时启动</w:t>
      </w:r>
      <w:r>
        <w:rPr>
          <w:spacing w:val="7"/>
        </w:rPr>
        <w:t>本辖区应急响应措施，并向市应急管理指挥部</w:t>
      </w:r>
      <w:r>
        <w:rPr>
          <w:spacing w:val="8"/>
        </w:rPr>
        <w:t>办公室报告事故信息。</w:t>
      </w:r>
    </w:p>
    <w:p>
      <w:pPr>
        <w:pStyle w:val="BodyText"/>
        <w:ind w:left="6" w:right="327" w:firstLine="422"/>
        <w:spacing w:before="144" w:line="304" w:lineRule="auto"/>
        <w:rPr/>
      </w:pPr>
      <w:r>
        <w:rPr>
          <w:rFonts w:ascii="Times New Roman" w:hAnsi="Times New Roman" w:eastAsia="Times New Roman" w:cs="Times New Roman"/>
          <w:spacing w:val="3"/>
        </w:rPr>
        <w:t>3.3.4 </w:t>
      </w:r>
      <w:r>
        <w:rPr>
          <w:spacing w:val="3"/>
        </w:rPr>
        <w:t>启动条件。符合下列情况之一的，由</w:t>
      </w:r>
      <w:r>
        <w:rPr>
          <w:spacing w:val="8"/>
        </w:rPr>
        <w:t>市应急管理指挥部决定启动应急响应：</w:t>
      </w:r>
    </w:p>
    <w:p>
      <w:pPr>
        <w:pStyle w:val="BodyText"/>
        <w:ind w:left="416"/>
        <w:spacing w:before="106" w:line="278" w:lineRule="exact"/>
        <w:rPr/>
      </w:pPr>
      <w:r>
        <w:rPr>
          <w:spacing w:val="2"/>
          <w:position w:val="1"/>
        </w:rPr>
        <w:t>（</w:t>
      </w:r>
      <w:r>
        <w:rPr>
          <w:spacing w:val="-32"/>
          <w:position w:val="1"/>
        </w:rPr>
        <w:t xml:space="preserve"> </w:t>
      </w:r>
      <w:r>
        <w:rPr>
          <w:rFonts w:ascii="Times New Roman" w:hAnsi="Times New Roman" w:eastAsia="Times New Roman" w:cs="Times New Roman"/>
          <w:spacing w:val="2"/>
          <w:position w:val="1"/>
        </w:rPr>
        <w:t>1</w:t>
      </w:r>
      <w:r>
        <w:rPr>
          <w:rFonts w:ascii="Times New Roman" w:hAnsi="Times New Roman" w:eastAsia="Times New Roman" w:cs="Times New Roman"/>
          <w:spacing w:val="-21"/>
          <w:position w:val="1"/>
        </w:rPr>
        <w:t xml:space="preserve"> </w:t>
      </w:r>
      <w:r>
        <w:rPr>
          <w:spacing w:val="2"/>
          <w:position w:val="1"/>
        </w:rPr>
        <w:t>）发生</w:t>
      </w:r>
      <w:r>
        <w:rPr>
          <w:rFonts w:ascii="Times New Roman" w:hAnsi="Times New Roman" w:eastAsia="Times New Roman" w:cs="Times New Roman"/>
          <w:spacing w:val="2"/>
          <w:position w:val="1"/>
        </w:rPr>
        <w:t>Ⅲ</w:t>
      </w:r>
      <w:r>
        <w:rPr>
          <w:spacing w:val="2"/>
          <w:position w:val="1"/>
        </w:rPr>
        <w:t>级以上煤矿生产安全事故的；</w:t>
      </w:r>
    </w:p>
    <w:p>
      <w:pPr>
        <w:pStyle w:val="BodyText"/>
        <w:ind w:left="5" w:right="329" w:firstLine="410"/>
        <w:spacing w:before="106" w:line="292" w:lineRule="auto"/>
        <w:rPr/>
      </w:pPr>
      <w:r>
        <w:rPr>
          <w:spacing w:val="10"/>
        </w:rPr>
        <w:t>（</w:t>
      </w:r>
      <w:r>
        <w:rPr>
          <w:rFonts w:ascii="Times New Roman" w:hAnsi="Times New Roman" w:eastAsia="Times New Roman" w:cs="Times New Roman"/>
          <w:spacing w:val="10"/>
        </w:rPr>
        <w:t>2</w:t>
      </w:r>
      <w:r>
        <w:rPr>
          <w:rFonts w:ascii="Times New Roman" w:hAnsi="Times New Roman" w:eastAsia="Times New Roman" w:cs="Times New Roman"/>
          <w:spacing w:val="-8"/>
        </w:rPr>
        <w:t xml:space="preserve"> </w:t>
      </w:r>
      <w:r>
        <w:rPr>
          <w:spacing w:val="10"/>
        </w:rPr>
        <w:t>）发生涉及跨区的</w:t>
      </w:r>
      <w:r>
        <w:rPr>
          <w:rFonts w:ascii="Times New Roman" w:hAnsi="Times New Roman" w:eastAsia="Times New Roman" w:cs="Times New Roman"/>
          <w:spacing w:val="10"/>
        </w:rPr>
        <w:t>Ⅳ</w:t>
      </w:r>
      <w:r>
        <w:rPr>
          <w:spacing w:val="10"/>
        </w:rPr>
        <w:t>级煤矿生产安全</w:t>
      </w:r>
      <w:r>
        <w:rPr>
          <w:spacing w:val="6"/>
        </w:rPr>
        <w:t>事故的；</w:t>
      </w:r>
    </w:p>
    <w:p>
      <w:pPr>
        <w:pStyle w:val="BodyText"/>
        <w:ind w:left="4" w:right="332" w:firstLine="412"/>
        <w:spacing w:before="137" w:line="291"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）发生需要上级应急力量进行增援的</w:t>
      </w:r>
      <w:r>
        <w:rPr>
          <w:spacing w:val="8"/>
        </w:rPr>
        <w:t>煤矿生产安全事故的；</w:t>
      </w:r>
    </w:p>
    <w:p>
      <w:pPr>
        <w:pStyle w:val="BodyText"/>
        <w:ind w:left="416"/>
        <w:spacing w:before="137" w:line="221" w:lineRule="auto"/>
        <w:rPr/>
      </w:pPr>
      <w:r>
        <w:rPr>
          <w:spacing w:val="7"/>
        </w:rPr>
        <w:t>（</w:t>
      </w:r>
      <w:r>
        <w:rPr>
          <w:rFonts w:ascii="Times New Roman" w:hAnsi="Times New Roman" w:eastAsia="Times New Roman" w:cs="Times New Roman"/>
          <w:spacing w:val="7"/>
        </w:rPr>
        <w:t>4</w:t>
      </w:r>
      <w:r>
        <w:rPr>
          <w:rFonts w:ascii="Times New Roman" w:hAnsi="Times New Roman" w:eastAsia="Times New Roman" w:cs="Times New Roman"/>
          <w:spacing w:val="-14"/>
        </w:rPr>
        <w:t xml:space="preserve"> </w:t>
      </w:r>
      <w:r>
        <w:rPr>
          <w:spacing w:val="7"/>
        </w:rPr>
        <w:t>）认为需要启动本级应急响应的。</w:t>
      </w:r>
    </w:p>
    <w:p>
      <w:pPr>
        <w:spacing w:line="14" w:lineRule="auto"/>
        <w:rPr>
          <w:rFonts w:ascii="Arial"/>
          <w:sz w:val="2"/>
        </w:rPr>
      </w:pPr>
      <w:r>
        <w:rPr>
          <w:rFonts w:ascii="Arial" w:hAnsi="Arial" w:eastAsia="Arial" w:cs="Arial"/>
          <w:sz w:val="2"/>
          <w:szCs w:val="2"/>
        </w:rPr>
        <w:br w:type="column"/>
      </w:r>
    </w:p>
    <w:p>
      <w:pPr>
        <w:pStyle w:val="BodyText"/>
        <w:ind w:left="3" w:right="98" w:firstLine="422"/>
        <w:spacing w:before="47" w:line="354" w:lineRule="auto"/>
        <w:jc w:val="both"/>
        <w:rPr/>
      </w:pPr>
      <w:r>
        <w:rPr>
          <w:rFonts w:ascii="Times New Roman" w:hAnsi="Times New Roman" w:eastAsia="Times New Roman" w:cs="Times New Roman"/>
          <w:spacing w:val="3"/>
        </w:rPr>
        <w:t>3.4  </w:t>
      </w:r>
      <w:r>
        <w:rPr>
          <w:rFonts w:ascii="KaiTi" w:hAnsi="KaiTi" w:eastAsia="KaiTi" w:cs="KaiTi"/>
          <w:spacing w:val="3"/>
        </w:rPr>
        <w:t>指挥协调。</w:t>
      </w:r>
      <w:r>
        <w:rPr>
          <w:spacing w:val="3"/>
        </w:rPr>
        <w:t>启动</w:t>
      </w:r>
      <w:r>
        <w:rPr>
          <w:rFonts w:ascii="Times New Roman" w:hAnsi="Times New Roman" w:eastAsia="Times New Roman" w:cs="Times New Roman"/>
          <w:spacing w:val="3"/>
        </w:rPr>
        <w:t>Ⅲ</w:t>
      </w:r>
      <w:r>
        <w:rPr>
          <w:spacing w:val="3"/>
        </w:rPr>
        <w:t>级、</w:t>
      </w:r>
      <w:r>
        <w:rPr>
          <w:rFonts w:ascii="Times New Roman" w:hAnsi="Times New Roman" w:eastAsia="Times New Roman" w:cs="Times New Roman"/>
          <w:spacing w:val="3"/>
        </w:rPr>
        <w:t>Ⅱ</w:t>
      </w:r>
      <w:r>
        <w:rPr>
          <w:spacing w:val="3"/>
        </w:rPr>
        <w:t>级和</w:t>
      </w:r>
      <w:r>
        <w:rPr>
          <w:spacing w:val="-35"/>
        </w:rPr>
        <w:t xml:space="preserve"> </w:t>
      </w:r>
      <w:r>
        <w:rPr>
          <w:rFonts w:ascii="Times New Roman" w:hAnsi="Times New Roman" w:eastAsia="Times New Roman" w:cs="Times New Roman"/>
          <w:spacing w:val="3"/>
        </w:rPr>
        <w:t>I </w:t>
      </w:r>
      <w:r>
        <w:rPr>
          <w:spacing w:val="3"/>
        </w:rPr>
        <w:t>级应急</w:t>
      </w:r>
      <w:r>
        <w:rPr>
          <w:spacing w:val="6"/>
        </w:rPr>
        <w:t>响应时</w:t>
      </w:r>
      <w:r>
        <w:rPr>
          <w:spacing w:val="-50"/>
        </w:rPr>
        <w:t xml:space="preserve"> </w:t>
      </w:r>
      <w:r>
        <w:rPr>
          <w:spacing w:val="6"/>
        </w:rPr>
        <w:t>，按照</w:t>
      </w:r>
      <w:r>
        <w:rPr>
          <w:rFonts w:ascii="Times New Roman" w:hAnsi="Times New Roman" w:eastAsia="Times New Roman" w:cs="Times New Roman"/>
          <w:spacing w:val="6"/>
        </w:rPr>
        <w:t>“</w:t>
      </w:r>
      <w:r>
        <w:rPr>
          <w:spacing w:val="6"/>
        </w:rPr>
        <w:t>统一指挥</w:t>
      </w:r>
      <w:r>
        <w:rPr>
          <w:spacing w:val="-58"/>
        </w:rPr>
        <w:t xml:space="preserve"> </w:t>
      </w:r>
      <w:r>
        <w:rPr>
          <w:spacing w:val="6"/>
        </w:rPr>
        <w:t>，属地为主</w:t>
      </w:r>
      <w:r>
        <w:rPr>
          <w:spacing w:val="-59"/>
        </w:rPr>
        <w:t xml:space="preserve"> </w:t>
      </w:r>
      <w:r>
        <w:rPr>
          <w:spacing w:val="6"/>
        </w:rPr>
        <w:t>，专业处</w:t>
      </w:r>
      <w:r>
        <w:rPr>
          <w:spacing w:val="10"/>
        </w:rPr>
        <w:t>置</w:t>
      </w:r>
      <w:r>
        <w:rPr>
          <w:rFonts w:ascii="Times New Roman" w:hAnsi="Times New Roman" w:eastAsia="Times New Roman" w:cs="Times New Roman"/>
          <w:spacing w:val="10"/>
        </w:rPr>
        <w:t>”</w:t>
      </w:r>
      <w:r>
        <w:rPr>
          <w:spacing w:val="10"/>
        </w:rPr>
        <w:t>的要求</w:t>
      </w:r>
      <w:r>
        <w:rPr>
          <w:spacing w:val="-47"/>
        </w:rPr>
        <w:t xml:space="preserve"> </w:t>
      </w:r>
      <w:r>
        <w:rPr>
          <w:spacing w:val="10"/>
        </w:rPr>
        <w:t>，组织开展应急处置工作。由市应</w:t>
      </w:r>
      <w:r>
        <w:rPr>
          <w:spacing w:val="18"/>
        </w:rPr>
        <w:t>急管理指挥部办公室负责通知同级成员单位</w:t>
      </w:r>
      <w:r>
        <w:rPr>
          <w:spacing w:val="18"/>
        </w:rPr>
        <w:t>负责人立即调动本单位有关人员和应急救援</w:t>
      </w:r>
      <w:r>
        <w:rPr>
          <w:spacing w:val="3"/>
        </w:rPr>
        <w:t>队伍。</w:t>
      </w:r>
    </w:p>
    <w:p>
      <w:pPr>
        <w:pStyle w:val="BodyText"/>
        <w:ind w:left="420"/>
        <w:spacing w:line="277" w:lineRule="exact"/>
        <w:rPr/>
      </w:pPr>
      <w:r>
        <w:rPr>
          <w:spacing w:val="9"/>
          <w:position w:val="1"/>
        </w:rPr>
        <w:t>应急指挥部指挥协调的主要内容包括：</w:t>
      </w:r>
    </w:p>
    <w:p>
      <w:pPr>
        <w:pStyle w:val="BodyText"/>
        <w:ind w:left="413"/>
        <w:spacing w:before="106" w:line="278" w:lineRule="exact"/>
        <w:rPr/>
      </w:pPr>
      <w:r>
        <w:rPr>
          <w:spacing w:val="4"/>
          <w:position w:val="1"/>
        </w:rPr>
        <w:t>（</w:t>
      </w:r>
      <w:r>
        <w:rPr>
          <w:spacing w:val="-47"/>
          <w:position w:val="1"/>
        </w:rPr>
        <w:t xml:space="preserve"> </w:t>
      </w:r>
      <w:r>
        <w:rPr>
          <w:rFonts w:ascii="Times New Roman" w:hAnsi="Times New Roman" w:eastAsia="Times New Roman" w:cs="Times New Roman"/>
          <w:spacing w:val="4"/>
          <w:position w:val="1"/>
        </w:rPr>
        <w:t>1</w:t>
      </w:r>
      <w:r>
        <w:rPr>
          <w:rFonts w:ascii="Times New Roman" w:hAnsi="Times New Roman" w:eastAsia="Times New Roman" w:cs="Times New Roman"/>
          <w:spacing w:val="-21"/>
          <w:position w:val="1"/>
        </w:rPr>
        <w:t xml:space="preserve"> </w:t>
      </w:r>
      <w:r>
        <w:rPr>
          <w:spacing w:val="4"/>
          <w:position w:val="1"/>
        </w:rPr>
        <w:t>）提出现场应急行动原则要求；</w:t>
      </w:r>
    </w:p>
    <w:p>
      <w:pPr>
        <w:pStyle w:val="BodyText"/>
        <w:ind w:right="103" w:firstLine="412"/>
        <w:spacing w:before="105" w:line="292"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）派出专家和人员参与现场指挥部的</w:t>
      </w:r>
      <w:r>
        <w:rPr>
          <w:spacing w:val="7"/>
        </w:rPr>
        <w:t>应急指挥工作；</w:t>
      </w:r>
    </w:p>
    <w:p>
      <w:pPr>
        <w:pStyle w:val="BodyText"/>
        <w:ind w:left="5" w:right="103" w:firstLine="407"/>
        <w:spacing w:before="136" w:line="291"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）协调各级、各专业应急力量实施应</w:t>
      </w:r>
      <w:r>
        <w:rPr>
          <w:spacing w:val="6"/>
        </w:rPr>
        <w:t>急救援行动；</w:t>
      </w:r>
    </w:p>
    <w:p>
      <w:pPr>
        <w:pStyle w:val="BodyText"/>
        <w:ind w:left="18" w:right="103" w:firstLine="394"/>
        <w:spacing w:before="136" w:line="292"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）协调开展受威胁的周边地区危险源</w:t>
      </w:r>
      <w:r>
        <w:rPr>
          <w:spacing w:val="4"/>
        </w:rPr>
        <w:t>的监控工作；</w:t>
      </w:r>
    </w:p>
    <w:p>
      <w:pPr>
        <w:pStyle w:val="BodyText"/>
        <w:ind w:left="2" w:right="103" w:firstLine="410"/>
        <w:spacing w:before="136" w:line="292" w:lineRule="auto"/>
        <w:rPr/>
      </w:pPr>
      <w:r>
        <w:rPr>
          <w:spacing w:val="8"/>
        </w:rPr>
        <w:t>（</w:t>
      </w:r>
      <w:r>
        <w:rPr>
          <w:spacing w:val="-45"/>
        </w:rPr>
        <w:t xml:space="preserve"> </w:t>
      </w:r>
      <w:r>
        <w:rPr>
          <w:rFonts w:ascii="Times New Roman" w:hAnsi="Times New Roman" w:eastAsia="Times New Roman" w:cs="Times New Roman"/>
          <w:spacing w:val="8"/>
        </w:rPr>
        <w:t>5</w:t>
      </w:r>
      <w:r>
        <w:rPr>
          <w:rFonts w:ascii="Times New Roman" w:hAnsi="Times New Roman" w:eastAsia="Times New Roman" w:cs="Times New Roman"/>
          <w:spacing w:val="-19"/>
        </w:rPr>
        <w:t xml:space="preserve"> </w:t>
      </w:r>
      <w:r>
        <w:rPr>
          <w:spacing w:val="8"/>
        </w:rPr>
        <w:t>）协调建立现场警戒区和交通管制区</w:t>
      </w:r>
      <w:r>
        <w:rPr>
          <w:spacing w:val="8"/>
        </w:rPr>
        <w:t>域，确定重点防护区域；</w:t>
      </w:r>
    </w:p>
    <w:p>
      <w:pPr>
        <w:pStyle w:val="BodyText"/>
        <w:ind w:right="101" w:firstLine="412"/>
        <w:spacing w:before="137" w:line="310" w:lineRule="auto"/>
        <w:rPr/>
      </w:pPr>
      <w:r>
        <w:rPr>
          <w:spacing w:val="8"/>
        </w:rPr>
        <w:t>（</w:t>
      </w:r>
      <w:r>
        <w:rPr>
          <w:rFonts w:ascii="Times New Roman" w:hAnsi="Times New Roman" w:eastAsia="Times New Roman" w:cs="Times New Roman"/>
          <w:spacing w:val="8"/>
        </w:rPr>
        <w:t>6</w:t>
      </w:r>
      <w:r>
        <w:rPr>
          <w:rFonts w:ascii="Times New Roman" w:hAnsi="Times New Roman" w:eastAsia="Times New Roman" w:cs="Times New Roman"/>
          <w:spacing w:val="-5"/>
        </w:rPr>
        <w:t xml:space="preserve"> </w:t>
      </w:r>
      <w:r>
        <w:rPr>
          <w:spacing w:val="8"/>
        </w:rPr>
        <w:t>）根据现场评估</w:t>
      </w:r>
      <w:r>
        <w:rPr>
          <w:spacing w:val="-59"/>
        </w:rPr>
        <w:t xml:space="preserve"> </w:t>
      </w:r>
      <w:r>
        <w:rPr>
          <w:spacing w:val="8"/>
        </w:rPr>
        <w:t>，确定被转移、疏散</w:t>
      </w:r>
      <w:r>
        <w:rPr>
          <w:spacing w:val="7"/>
        </w:rPr>
        <w:t>群众返回时间，必要时请求武警固原支队应急</w:t>
      </w:r>
      <w:r>
        <w:rPr>
          <w:spacing w:val="4"/>
        </w:rPr>
        <w:t>增援。</w:t>
      </w:r>
    </w:p>
    <w:p>
      <w:pPr>
        <w:pStyle w:val="BodyText"/>
        <w:ind w:right="101" w:firstLine="425"/>
        <w:spacing w:before="144" w:line="355" w:lineRule="auto"/>
        <w:jc w:val="both"/>
        <w:rPr/>
      </w:pPr>
      <w:r>
        <w:rPr>
          <w:rFonts w:ascii="Times New Roman" w:hAnsi="Times New Roman" w:eastAsia="Times New Roman" w:cs="Times New Roman"/>
          <w:spacing w:val="8"/>
        </w:rPr>
        <w:t>3.5  </w:t>
      </w:r>
      <w:r>
        <w:rPr>
          <w:rFonts w:ascii="KaiTi" w:hAnsi="KaiTi" w:eastAsia="KaiTi" w:cs="KaiTi"/>
          <w:spacing w:val="8"/>
        </w:rPr>
        <w:t>现场指挥部与现场指挥官。</w:t>
      </w:r>
      <w:r>
        <w:rPr>
          <w:spacing w:val="8"/>
        </w:rPr>
        <w:t>启动</w:t>
      </w:r>
      <w:r>
        <w:rPr>
          <w:rFonts w:ascii="Times New Roman" w:hAnsi="Times New Roman" w:eastAsia="Times New Roman" w:cs="Times New Roman"/>
          <w:spacing w:val="8"/>
        </w:rPr>
        <w:t>Ⅲ</w:t>
      </w:r>
      <w:r>
        <w:rPr>
          <w:spacing w:val="8"/>
        </w:rPr>
        <w:t>级</w:t>
      </w:r>
      <w:r>
        <w:rPr>
          <w:spacing w:val="7"/>
        </w:rPr>
        <w:t>以上应急响应时，市应急管理指挥部办公室组</w:t>
      </w:r>
      <w:r>
        <w:rPr>
          <w:spacing w:val="7"/>
        </w:rPr>
        <w:t>织有关部门成立现场指挥部。现场指挥部实行</w:t>
      </w:r>
      <w:r>
        <w:rPr>
          <w:spacing w:val="7"/>
        </w:rPr>
        <w:t>现场总指挥负责制。现场总指挥由市政府分管</w:t>
      </w:r>
      <w:r>
        <w:rPr>
          <w:spacing w:val="7"/>
        </w:rPr>
        <w:t>应急管理工作的副市长担任，副总指挥由事故</w:t>
      </w:r>
      <w:r>
        <w:rPr>
          <w:spacing w:val="5"/>
        </w:rPr>
        <w:t>发生地县级政府县（</w:t>
      </w:r>
      <w:r>
        <w:rPr>
          <w:spacing w:val="-42"/>
        </w:rPr>
        <w:t xml:space="preserve"> </w:t>
      </w:r>
      <w:r>
        <w:rPr>
          <w:spacing w:val="5"/>
        </w:rPr>
        <w:t>区）长担任。</w:t>
      </w:r>
    </w:p>
    <w:p>
      <w:pPr>
        <w:pStyle w:val="BodyText"/>
        <w:ind w:left="2" w:right="101" w:firstLine="422"/>
        <w:spacing w:before="1" w:line="354" w:lineRule="auto"/>
        <w:jc w:val="both"/>
        <w:rPr/>
      </w:pPr>
      <w:r>
        <w:rPr>
          <w:spacing w:val="6"/>
        </w:rPr>
        <w:t>现场总指挥统一组织、指挥现场应急救援</w:t>
      </w:r>
      <w:r>
        <w:rPr>
          <w:spacing w:val="7"/>
        </w:rPr>
        <w:t>工作。现场总指挥有权决定现场处置方案，协</w:t>
      </w:r>
      <w:r>
        <w:rPr>
          <w:spacing w:val="7"/>
        </w:rPr>
        <w:t>调有关单位和部门的现场应急处置工作，指挥</w:t>
      </w:r>
      <w:r>
        <w:rPr>
          <w:spacing w:val="8"/>
        </w:rPr>
        <w:t>调度现场应急队伍和应急资源。</w:t>
      </w:r>
    </w:p>
    <w:p>
      <w:pPr>
        <w:pStyle w:val="BodyText"/>
        <w:ind w:right="94" w:firstLine="424"/>
        <w:spacing w:before="1" w:line="327" w:lineRule="auto"/>
        <w:jc w:val="both"/>
        <w:rPr/>
      </w:pPr>
      <w:r>
        <w:rPr>
          <w:spacing w:val="18"/>
        </w:rPr>
        <w:t>现场指挥部吸收涉事单位负责人以及相</w:t>
      </w:r>
      <w:r>
        <w:rPr>
          <w:spacing w:val="7"/>
        </w:rPr>
        <w:t>关专家为成员，参加现场应急救援的队伍和人</w:t>
      </w:r>
      <w:r>
        <w:rPr>
          <w:spacing w:val="18"/>
        </w:rPr>
        <w:t>员在现场指挥部统一协调下进行应急救援和</w:t>
      </w:r>
      <w:r>
        <w:rPr>
          <w:spacing w:val="7"/>
        </w:rPr>
        <w:t>处置工作。事故有关的部门和单位应当主动向</w:t>
      </w:r>
      <w:r>
        <w:rPr>
          <w:spacing w:val="7"/>
        </w:rPr>
        <w:t>现场指挥部提供与应急处置有关的信息资料，</w:t>
      </w:r>
    </w:p>
    <w:p>
      <w:pPr>
        <w:spacing w:line="327" w:lineRule="auto"/>
        <w:sectPr>
          <w:type w:val="continuous"/>
          <w:pgSz w:w="11906" w:h="16839"/>
          <w:pgMar w:top="1772" w:right="1489" w:bottom="1547" w:left="1588" w:header="1428" w:footer="1172" w:gutter="0"/>
          <w:cols w:equalWidth="0" w:num="2">
            <w:col w:w="4481" w:space="100"/>
            <w:col w:w="4249" w:space="0"/>
          </w:cols>
        </w:sectPr>
        <w:rPr/>
      </w:pPr>
    </w:p>
    <w:p>
      <w:pPr>
        <w:spacing w:before="58"/>
        <w:rPr/>
      </w:pPr>
      <w:r>
        <w:drawing>
          <wp:anchor distT="0" distB="0" distL="0" distR="0" simplePos="0" relativeHeight="25214464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294" name="IM 1294"/>
            <wp:cNvGraphicFramePr/>
            <a:graphic>
              <a:graphicData uri="http://schemas.openxmlformats.org/drawingml/2006/picture">
                <pic:pic>
                  <pic:nvPicPr>
                    <pic:cNvPr id="1294" name="IM 1294"/>
                    <pic:cNvPicPr/>
                  </pic:nvPicPr>
                  <pic:blipFill>
                    <a:blip r:embed="rId649"/>
                    <a:stretch>
                      <a:fillRect/>
                    </a:stretch>
                  </pic:blipFill>
                  <pic:spPr>
                    <a:xfrm rot="0">
                      <a:off x="0" y="0"/>
                      <a:ext cx="5579745" cy="7620"/>
                    </a:xfrm>
                    <a:prstGeom prst="rect">
                      <a:avLst/>
                    </a:prstGeom>
                  </pic:spPr>
                </pic:pic>
              </a:graphicData>
            </a:graphic>
          </wp:anchor>
        </w:drawing>
      </w:r>
      <w:r/>
    </w:p>
    <w:p>
      <w:pPr>
        <w:sectPr>
          <w:headerReference w:type="default" r:id="rId647"/>
          <w:footerReference w:type="default" r:id="rId648"/>
          <w:pgSz w:w="11906" w:h="16839"/>
          <w:pgMar w:top="1766" w:right="1530" w:bottom="1563" w:left="1576" w:header="1428" w:footer="1172" w:gutter="0"/>
          <w:cols w:equalWidth="0" w:num="1">
            <w:col w:w="8800" w:space="0"/>
          </w:cols>
        </w:sectPr>
        <w:rPr/>
      </w:pPr>
    </w:p>
    <w:p>
      <w:pPr>
        <w:pStyle w:val="BodyText"/>
        <w:ind w:left="22"/>
        <w:spacing w:before="48" w:line="221" w:lineRule="auto"/>
        <w:rPr/>
      </w:pPr>
      <w:r>
        <w:rPr>
          <w:spacing w:val="8"/>
        </w:rPr>
        <w:t>为实施应急处置工作提供各种便利条件。</w:t>
      </w:r>
    </w:p>
    <w:p>
      <w:pPr>
        <w:pStyle w:val="BodyText"/>
        <w:ind w:left="17" w:right="328" w:firstLine="420"/>
        <w:spacing w:before="137" w:line="344" w:lineRule="auto"/>
        <w:jc w:val="both"/>
        <w:rPr/>
      </w:pPr>
      <w:r>
        <w:rPr>
          <w:spacing w:val="6"/>
        </w:rPr>
        <w:t>根据现场情况设置有关应急小组。各应急</w:t>
      </w:r>
      <w:r>
        <w:rPr>
          <w:spacing w:val="7"/>
        </w:rPr>
        <w:t>小组在现场指挥部统一领导下，各尽其责完成</w:t>
      </w:r>
      <w:r>
        <w:rPr>
          <w:spacing w:val="8"/>
        </w:rPr>
        <w:t>现场各项应急处置工作。</w:t>
      </w:r>
    </w:p>
    <w:p>
      <w:pPr>
        <w:ind w:left="438"/>
        <w:spacing w:line="264" w:lineRule="exact"/>
        <w:rPr>
          <w:rFonts w:ascii="KaiTi" w:hAnsi="KaiTi" w:eastAsia="KaiTi" w:cs="KaiTi"/>
          <w:sz w:val="20"/>
          <w:szCs w:val="20"/>
        </w:rPr>
      </w:pPr>
      <w:r>
        <w:rPr>
          <w:rFonts w:ascii="Times New Roman" w:hAnsi="Times New Roman" w:eastAsia="Times New Roman" w:cs="Times New Roman"/>
          <w:sz w:val="20"/>
          <w:szCs w:val="20"/>
          <w:b/>
          <w:bCs/>
          <w:spacing w:val="3"/>
          <w:position w:val="1"/>
        </w:rPr>
        <w:t>4</w:t>
      </w:r>
      <w:r>
        <w:rPr>
          <w:rFonts w:ascii="Times New Roman" w:hAnsi="Times New Roman" w:eastAsia="Times New Roman" w:cs="Times New Roman"/>
          <w:sz w:val="20"/>
          <w:szCs w:val="20"/>
          <w:b/>
          <w:bCs/>
          <w:spacing w:val="6"/>
          <w:position w:val="1"/>
        </w:rPr>
        <w:t xml:space="preserve">    </w:t>
      </w:r>
      <w:r>
        <w:rPr>
          <w:rFonts w:ascii="KaiTi" w:hAnsi="KaiTi" w:eastAsia="KaiTi" w:cs="KaiTi"/>
          <w:sz w:val="20"/>
          <w:szCs w:val="20"/>
          <w:b/>
          <w:bCs/>
          <w:spacing w:val="3"/>
          <w:position w:val="1"/>
        </w:rPr>
        <w:t>处置措施</w:t>
      </w:r>
    </w:p>
    <w:p>
      <w:pPr>
        <w:pStyle w:val="BodyText"/>
        <w:ind w:left="16" w:right="251" w:firstLine="420"/>
        <w:spacing w:before="116" w:line="345" w:lineRule="auto"/>
        <w:jc w:val="both"/>
        <w:rPr/>
      </w:pPr>
      <w:r>
        <w:rPr>
          <w:rFonts w:ascii="Times New Roman" w:hAnsi="Times New Roman" w:eastAsia="Times New Roman" w:cs="Times New Roman"/>
          <w:spacing w:val="7"/>
        </w:rPr>
        <w:t>4.</w:t>
      </w:r>
      <w:r>
        <w:rPr>
          <w:rFonts w:ascii="Times New Roman" w:hAnsi="Times New Roman" w:eastAsia="Times New Roman" w:cs="Times New Roman"/>
          <w:spacing w:val="-22"/>
        </w:rPr>
        <w:t xml:space="preserve"> </w:t>
      </w:r>
      <w:r>
        <w:rPr>
          <w:rFonts w:ascii="Times New Roman" w:hAnsi="Times New Roman" w:eastAsia="Times New Roman" w:cs="Times New Roman"/>
          <w:spacing w:val="7"/>
        </w:rPr>
        <w:t>1  </w:t>
      </w:r>
      <w:r>
        <w:rPr>
          <w:rFonts w:ascii="KaiTi" w:hAnsi="KaiTi" w:eastAsia="KaiTi" w:cs="KaiTi"/>
          <w:spacing w:val="7"/>
        </w:rPr>
        <w:t>处置措施。</w:t>
      </w:r>
      <w:r>
        <w:rPr>
          <w:spacing w:val="7"/>
        </w:rPr>
        <w:t>在煤矿生产安全事故发生</w:t>
      </w:r>
      <w:r>
        <w:rPr>
          <w:spacing w:val="7"/>
        </w:rPr>
        <w:t>后，事故达到较大及以上时，需要市应急管理</w:t>
      </w:r>
      <w:r>
        <w:rPr>
          <w:spacing w:val="7"/>
        </w:rPr>
        <w:t>指挥部启动应急响应时，启动煤矿生产安全事</w:t>
      </w:r>
      <w:r>
        <w:rPr>
          <w:spacing w:val="11"/>
        </w:rPr>
        <w:t>故应急预案，按照预案规定设立现场指挥部，</w:t>
      </w:r>
      <w:r>
        <w:rPr>
          <w:spacing w:val="7"/>
        </w:rPr>
        <w:t>实行现场总指挥负责制。现场总指挥由市政府</w:t>
      </w:r>
      <w:r>
        <w:rPr>
          <w:spacing w:val="7"/>
        </w:rPr>
        <w:t>分管应急管理工作的副市长担任，副总指挥由</w:t>
      </w:r>
      <w:r>
        <w:rPr>
          <w:spacing w:val="4"/>
        </w:rPr>
        <w:t>事故发生地县（</w:t>
      </w:r>
      <w:r>
        <w:rPr>
          <w:spacing w:val="-35"/>
        </w:rPr>
        <w:t xml:space="preserve"> </w:t>
      </w:r>
      <w:r>
        <w:rPr>
          <w:spacing w:val="4"/>
        </w:rPr>
        <w:t>区）长担任。成员由抢险组组</w:t>
      </w:r>
      <w:r>
        <w:rPr>
          <w:spacing w:val="1"/>
        </w:rPr>
        <w:t>长、医疗救护组组长、新闻宣传组组长等组成。</w:t>
      </w:r>
      <w:r>
        <w:rPr>
          <w:spacing w:val="7"/>
        </w:rPr>
        <w:t>现场总指挥有权决定现场处置方案，指挥调度</w:t>
      </w:r>
      <w:r>
        <w:rPr>
          <w:spacing w:val="7"/>
        </w:rPr>
        <w:t>现场应急救援队伍和应急资源。各有关单位按</w:t>
      </w:r>
      <w:r>
        <w:rPr>
          <w:spacing w:val="7"/>
        </w:rPr>
        <w:t>照职责参与处置工作，包括组织营救、伤员救</w:t>
      </w:r>
      <w:r>
        <w:rPr>
          <w:spacing w:val="7"/>
        </w:rPr>
        <w:t>治、疏散撤离和妥善安置受威胁人员，及时上</w:t>
      </w:r>
      <w:r>
        <w:rPr>
          <w:spacing w:val="11"/>
        </w:rPr>
        <w:t>报事故情况和人员伤亡情况，分配救援任务，</w:t>
      </w:r>
      <w:r>
        <w:rPr>
          <w:spacing w:val="7"/>
        </w:rPr>
        <w:t>协调救援力量，查明并及时组织力量消除次生</w:t>
      </w:r>
      <w:r>
        <w:rPr>
          <w:spacing w:val="7"/>
        </w:rPr>
        <w:t>灾害，组织抢修公共设施、接收与分配援助物</w:t>
      </w:r>
      <w:r>
        <w:rPr>
          <w:spacing w:val="4"/>
        </w:rPr>
        <w:t>资等。</w:t>
      </w:r>
    </w:p>
    <w:p>
      <w:pPr>
        <w:pStyle w:val="BodyText"/>
        <w:ind w:left="15" w:right="328" w:firstLine="421"/>
        <w:spacing w:before="1" w:line="345" w:lineRule="auto"/>
        <w:rPr/>
      </w:pPr>
      <w:r>
        <w:rPr>
          <w:spacing w:val="19"/>
        </w:rPr>
        <w:t>各有关部门应按照市应急管理指挥部办</w:t>
      </w:r>
      <w:r>
        <w:rPr>
          <w:spacing w:val="-3"/>
        </w:rPr>
        <w:t>公室拟定的分工，迅速组织应急抢险救援工作。</w:t>
      </w:r>
    </w:p>
    <w:p>
      <w:pPr>
        <w:pStyle w:val="BodyText"/>
        <w:ind w:left="15" w:right="328" w:firstLine="420"/>
        <w:spacing w:before="3" w:line="344" w:lineRule="auto"/>
        <w:rPr/>
      </w:pPr>
      <w:r>
        <w:rPr>
          <w:spacing w:val="7"/>
        </w:rPr>
        <w:t>煤矿生产安全事故的专业抢救，由事发企</w:t>
      </w:r>
      <w:r>
        <w:rPr>
          <w:spacing w:val="7"/>
        </w:rPr>
        <w:t>业、煤矿救护队负责，在煤矿应急指挥机构指</w:t>
      </w:r>
      <w:r>
        <w:rPr>
          <w:spacing w:val="8"/>
        </w:rPr>
        <w:t>导下开展应急处置工作。</w:t>
      </w:r>
    </w:p>
    <w:p>
      <w:pPr>
        <w:pStyle w:val="BodyText"/>
        <w:ind w:left="15" w:right="251" w:firstLine="421"/>
        <w:spacing w:before="8" w:line="344" w:lineRule="auto"/>
        <w:jc w:val="both"/>
        <w:rPr/>
      </w:pPr>
      <w:r>
        <w:rPr>
          <w:spacing w:val="6"/>
        </w:rPr>
        <w:t>进入现场救援人员必须经过专的训练，配</w:t>
      </w:r>
      <w:r>
        <w:rPr>
          <w:spacing w:val="7"/>
        </w:rPr>
        <w:t>备相应的防护装备及检测仪器等。煤矿生产安</w:t>
      </w:r>
      <w:r>
        <w:rPr>
          <w:spacing w:val="7"/>
        </w:rPr>
        <w:t>全事故主要为矿井火灾、冒顶片帮、瓦斯或煤</w:t>
      </w:r>
      <w:r>
        <w:rPr>
          <w:spacing w:val="7"/>
        </w:rPr>
        <w:t>尘爆炸、透水、中毒和窒息等。事故中心区应</w:t>
      </w:r>
      <w:r>
        <w:rPr>
          <w:spacing w:val="1"/>
        </w:rPr>
        <w:t>严禁火种、切断电源，立即在边界设置警戒线。</w:t>
      </w:r>
      <w:r>
        <w:rPr>
          <w:spacing w:val="7"/>
        </w:rPr>
        <w:t>根据事故情况和事故发展，确定事故波及区人</w:t>
      </w:r>
      <w:r>
        <w:rPr>
          <w:spacing w:val="7"/>
        </w:rPr>
        <w:t>员的撤离。井下救护应使用专用防护服、隔绝</w:t>
      </w:r>
      <w:r>
        <w:rPr>
          <w:spacing w:val="7"/>
        </w:rPr>
        <w:t>式空气面具等。</w:t>
      </w:r>
    </w:p>
    <w:p>
      <w:pPr>
        <w:ind w:left="436"/>
        <w:spacing w:line="210" w:lineRule="auto"/>
        <w:rPr>
          <w:rFonts w:ascii="KaiTi" w:hAnsi="KaiTi" w:eastAsia="KaiTi" w:cs="KaiTi"/>
          <w:sz w:val="20"/>
          <w:szCs w:val="20"/>
        </w:rPr>
      </w:pPr>
      <w:r>
        <w:rPr>
          <w:rFonts w:ascii="Times New Roman" w:hAnsi="Times New Roman" w:eastAsia="Times New Roman" w:cs="Times New Roman"/>
          <w:sz w:val="20"/>
          <w:szCs w:val="20"/>
          <w:spacing w:val="5"/>
        </w:rPr>
        <w:t>4.2  </w:t>
      </w:r>
      <w:r>
        <w:rPr>
          <w:rFonts w:ascii="KaiTi" w:hAnsi="KaiTi" w:eastAsia="KaiTi" w:cs="KaiTi"/>
          <w:sz w:val="20"/>
          <w:szCs w:val="20"/>
          <w:spacing w:val="5"/>
        </w:rPr>
        <w:t>社会动员。</w:t>
      </w:r>
    </w:p>
    <w:p>
      <w:pPr>
        <w:spacing w:line="14" w:lineRule="auto"/>
        <w:rPr>
          <w:rFonts w:ascii="Arial"/>
          <w:sz w:val="2"/>
        </w:rPr>
      </w:pPr>
      <w:r>
        <w:rPr>
          <w:rFonts w:ascii="Arial" w:hAnsi="Arial" w:eastAsia="Arial" w:cs="Arial"/>
          <w:sz w:val="2"/>
          <w:szCs w:val="2"/>
        </w:rPr>
        <w:br w:type="column"/>
      </w:r>
    </w:p>
    <w:p>
      <w:pPr>
        <w:pStyle w:val="BodyText"/>
        <w:ind w:right="59" w:firstLine="421"/>
        <w:spacing w:before="40" w:line="314" w:lineRule="auto"/>
        <w:rPr/>
      </w:pPr>
      <w:r>
        <w:rPr>
          <w:rFonts w:ascii="Times New Roman" w:hAnsi="Times New Roman" w:eastAsia="Times New Roman" w:cs="Times New Roman"/>
          <w:spacing w:val="13"/>
        </w:rPr>
        <w:t>4.2.1 </w:t>
      </w:r>
      <w:r>
        <w:rPr>
          <w:spacing w:val="13"/>
        </w:rPr>
        <w:t>市应急管理指挥部根据煤矿生产安</w:t>
      </w:r>
      <w:r>
        <w:rPr>
          <w:spacing w:val="7"/>
        </w:rPr>
        <w:t>全事故的性质、危害程度和范围，广泛调动社</w:t>
      </w:r>
      <w:r>
        <w:rPr>
          <w:spacing w:val="15"/>
        </w:rPr>
        <w:t>会力量参与事件处置</w:t>
      </w:r>
      <w:r>
        <w:rPr>
          <w:spacing w:val="-39"/>
        </w:rPr>
        <w:t xml:space="preserve"> </w:t>
      </w:r>
      <w:r>
        <w:rPr>
          <w:spacing w:val="15"/>
        </w:rPr>
        <w:t>，紧急情况下可依法征</w:t>
      </w:r>
      <w:r>
        <w:rPr>
          <w:spacing w:val="9"/>
        </w:rPr>
        <w:t>用、调用人员、车辆、物资等。</w:t>
      </w:r>
    </w:p>
    <w:p>
      <w:pPr>
        <w:pStyle w:val="BodyText"/>
        <w:ind w:left="2" w:right="52" w:firstLine="419"/>
        <w:spacing w:before="135" w:line="320" w:lineRule="auto"/>
        <w:rPr/>
      </w:pPr>
      <w:r>
        <w:rPr>
          <w:rFonts w:ascii="Times New Roman" w:hAnsi="Times New Roman" w:eastAsia="Times New Roman" w:cs="Times New Roman"/>
          <w:spacing w:val="3"/>
        </w:rPr>
        <w:t>4.2.2 </w:t>
      </w:r>
      <w:r>
        <w:rPr>
          <w:spacing w:val="3"/>
        </w:rPr>
        <w:t>煤矿生产安全事故发生后，相应应急</w:t>
      </w:r>
      <w:r>
        <w:rPr>
          <w:spacing w:val="7"/>
        </w:rPr>
        <w:t>指挥机构组织各方面力量开展应急处置工作，</w:t>
      </w:r>
      <w:r>
        <w:rPr>
          <w:spacing w:val="7"/>
        </w:rPr>
        <w:t>组织基层单位和人员开展自救互救；邻近乡镇</w:t>
      </w:r>
      <w:r>
        <w:rPr>
          <w:spacing w:val="7"/>
        </w:rPr>
        <w:t>政府根据灾情组织和动员社会力量，对事发地</w:t>
      </w:r>
      <w:r>
        <w:rPr>
          <w:spacing w:val="6"/>
        </w:rPr>
        <w:t>提供援助。</w:t>
      </w:r>
    </w:p>
    <w:p>
      <w:pPr>
        <w:pStyle w:val="BodyText"/>
        <w:ind w:left="1" w:right="39" w:firstLine="420"/>
        <w:spacing w:before="130" w:line="315" w:lineRule="auto"/>
        <w:rPr/>
      </w:pPr>
      <w:r>
        <w:rPr>
          <w:rFonts w:ascii="Times New Roman" w:hAnsi="Times New Roman" w:eastAsia="Times New Roman" w:cs="Times New Roman"/>
          <w:spacing w:val="3"/>
        </w:rPr>
        <w:t>4.2.3 </w:t>
      </w:r>
      <w:r>
        <w:rPr>
          <w:spacing w:val="3"/>
        </w:rPr>
        <w:t>鼓励公民、法人和其他组织按照《中</w:t>
      </w:r>
      <w:r>
        <w:rPr>
          <w:spacing w:val="7"/>
        </w:rPr>
        <w:t>华人民共和国公益事业捐赠法》等有关法律法</w:t>
      </w:r>
      <w:r>
        <w:rPr>
          <w:spacing w:val="7"/>
        </w:rPr>
        <w:t>规的规定进行捐赠和援助。审计、监察部门对</w:t>
      </w:r>
      <w:r>
        <w:rPr>
          <w:spacing w:val="8"/>
        </w:rPr>
        <w:t>捐赠资金与物资的使用情况进行审计和监督。</w:t>
      </w:r>
    </w:p>
    <w:p>
      <w:pPr>
        <w:pStyle w:val="BodyText"/>
        <w:ind w:right="52" w:firstLine="420"/>
        <w:spacing w:before="135" w:line="320" w:lineRule="auto"/>
        <w:rPr/>
      </w:pPr>
      <w:r>
        <w:rPr>
          <w:rFonts w:ascii="Times New Roman" w:hAnsi="Times New Roman" w:eastAsia="Times New Roman" w:cs="Times New Roman"/>
          <w:spacing w:val="3"/>
        </w:rPr>
        <w:t>4.2.4 </w:t>
      </w:r>
      <w:r>
        <w:rPr>
          <w:spacing w:val="3"/>
        </w:rPr>
        <w:t>根据煤矿生产安全事故发展情况，向</w:t>
      </w:r>
      <w:r>
        <w:rPr>
          <w:spacing w:val="7"/>
        </w:rPr>
        <w:t>社会公布志愿服务需求指南，明确专门人员，</w:t>
      </w:r>
      <w:r>
        <w:rPr>
          <w:spacing w:val="7"/>
        </w:rPr>
        <w:t>及时开通志愿服务联系电话，统一接收志愿者</w:t>
      </w:r>
      <w:r>
        <w:rPr>
          <w:spacing w:val="7"/>
        </w:rPr>
        <w:t>组织报名，做好志愿者派遣和相关服务工作，</w:t>
      </w:r>
      <w:r>
        <w:rPr>
          <w:spacing w:val="9"/>
        </w:rPr>
        <w:t>引导志愿者有序参与救援工作。</w:t>
      </w:r>
    </w:p>
    <w:p>
      <w:pPr>
        <w:pStyle w:val="BodyText"/>
        <w:ind w:left="1" w:right="36" w:firstLine="420"/>
        <w:spacing w:before="135" w:line="330" w:lineRule="auto"/>
        <w:rPr/>
      </w:pPr>
      <w:r>
        <w:rPr>
          <w:rFonts w:ascii="Times New Roman" w:hAnsi="Times New Roman" w:eastAsia="Times New Roman" w:cs="Times New Roman"/>
          <w:spacing w:val="5"/>
        </w:rPr>
        <w:t>4.3  </w:t>
      </w:r>
      <w:r>
        <w:rPr>
          <w:rFonts w:ascii="KaiTi" w:hAnsi="KaiTi" w:eastAsia="KaiTi" w:cs="KaiTi"/>
          <w:spacing w:val="5"/>
        </w:rPr>
        <w:t>信息发布。</w:t>
      </w:r>
      <w:r>
        <w:rPr>
          <w:spacing w:val="5"/>
        </w:rPr>
        <w:t>发生较大 (</w:t>
      </w:r>
      <w:r>
        <w:rPr>
          <w:spacing w:val="-27"/>
        </w:rPr>
        <w:t xml:space="preserve"> </w:t>
      </w:r>
      <w:r>
        <w:rPr>
          <w:rFonts w:ascii="Times New Roman" w:hAnsi="Times New Roman" w:eastAsia="Times New Roman" w:cs="Times New Roman"/>
          <w:spacing w:val="5"/>
        </w:rPr>
        <w:t>Ⅲ</w:t>
      </w:r>
      <w:r>
        <w:rPr>
          <w:spacing w:val="5"/>
        </w:rPr>
        <w:t>级）以上生</w:t>
      </w:r>
      <w:r>
        <w:rPr>
          <w:spacing w:val="7"/>
        </w:rPr>
        <w:t>产安全事故，以及有可能影响公众生产生活的</w:t>
      </w:r>
      <w:r>
        <w:rPr>
          <w:spacing w:val="7"/>
        </w:rPr>
        <w:t>生产安全事故，由市应急管理指挥部指定的新</w:t>
      </w:r>
      <w:r>
        <w:rPr>
          <w:spacing w:val="10"/>
        </w:rPr>
        <w:t>闻发言人在启动应急响应</w:t>
      </w:r>
      <w:r>
        <w:rPr>
          <w:rFonts w:ascii="Times New Roman" w:hAnsi="Times New Roman" w:eastAsia="Times New Roman" w:cs="Times New Roman"/>
          <w:spacing w:val="10"/>
        </w:rPr>
        <w:t>2</w:t>
      </w:r>
      <w:r>
        <w:rPr>
          <w:rFonts w:ascii="Times New Roman" w:hAnsi="Times New Roman" w:eastAsia="Times New Roman" w:cs="Times New Roman"/>
          <w:spacing w:val="-3"/>
        </w:rPr>
        <w:t xml:space="preserve"> </w:t>
      </w:r>
      <w:r>
        <w:rPr>
          <w:spacing w:val="10"/>
        </w:rPr>
        <w:t>小时之内发布生产</w:t>
      </w:r>
      <w:r>
        <w:rPr>
          <w:spacing w:val="8"/>
        </w:rPr>
        <w:t>安全事故基本信息。随后发布初步核实情况、</w:t>
      </w:r>
      <w:r>
        <w:rPr>
          <w:spacing w:val="7"/>
        </w:rPr>
        <w:t>政府处置措施和公众防范措施等，并根据事件</w:t>
      </w:r>
      <w:r>
        <w:rPr>
          <w:spacing w:val="7"/>
        </w:rPr>
        <w:t>处置情况做好后续发布工作，直至发布应急结</w:t>
      </w:r>
      <w:r>
        <w:rPr>
          <w:spacing w:val="6"/>
        </w:rPr>
        <w:t>束信息。</w:t>
      </w:r>
    </w:p>
    <w:p>
      <w:pPr>
        <w:pStyle w:val="BodyText"/>
        <w:ind w:left="2" w:right="59" w:firstLine="419"/>
        <w:spacing w:before="129" w:line="325" w:lineRule="auto"/>
        <w:rPr/>
      </w:pPr>
      <w:r>
        <w:rPr>
          <w:rFonts w:ascii="Times New Roman" w:hAnsi="Times New Roman" w:eastAsia="Times New Roman" w:cs="Times New Roman"/>
          <w:spacing w:val="8"/>
        </w:rPr>
        <w:t>4.4  </w:t>
      </w:r>
      <w:r>
        <w:rPr>
          <w:rFonts w:ascii="KaiTi" w:hAnsi="KaiTi" w:eastAsia="KaiTi" w:cs="KaiTi"/>
          <w:spacing w:val="8"/>
        </w:rPr>
        <w:t>响应终止。</w:t>
      </w:r>
      <w:r>
        <w:rPr>
          <w:spacing w:val="8"/>
        </w:rPr>
        <w:t>应对较大煤矿生产安全事</w:t>
      </w:r>
      <w:r>
        <w:rPr>
          <w:spacing w:val="7"/>
        </w:rPr>
        <w:t>故工作基本结束、紧急转移和安置工作基本完</w:t>
      </w:r>
      <w:r>
        <w:rPr>
          <w:spacing w:val="7"/>
        </w:rPr>
        <w:t>成、次生灾害的后果基本消除，以及交通、电</w:t>
      </w:r>
      <w:r>
        <w:rPr>
          <w:spacing w:val="7"/>
        </w:rPr>
        <w:t>力、通信和供水等基本抢修抢通、群众生活秩</w:t>
      </w:r>
      <w:r>
        <w:rPr>
          <w:spacing w:val="7"/>
        </w:rPr>
        <w:t>序基本恢复后，现场指挥部提出建议，由市应</w:t>
      </w:r>
      <w:r>
        <w:rPr>
          <w:spacing w:val="8"/>
        </w:rPr>
        <w:t>急管理指挥部决定终止应急响应。</w:t>
      </w:r>
    </w:p>
    <w:p>
      <w:pPr>
        <w:pStyle w:val="BodyText"/>
        <w:ind w:left="1" w:right="59" w:firstLine="420"/>
        <w:spacing w:before="140" w:line="301" w:lineRule="auto"/>
        <w:rPr/>
      </w:pPr>
      <w:r>
        <w:rPr>
          <w:rFonts w:ascii="Times New Roman" w:hAnsi="Times New Roman" w:eastAsia="Times New Roman" w:cs="Times New Roman"/>
          <w:spacing w:val="8"/>
        </w:rPr>
        <w:t>4.5  </w:t>
      </w:r>
      <w:r>
        <w:rPr>
          <w:rFonts w:ascii="KaiTi" w:hAnsi="KaiTi" w:eastAsia="KaiTi" w:cs="KaiTi"/>
          <w:spacing w:val="8"/>
        </w:rPr>
        <w:t>后期处置。</w:t>
      </w:r>
      <w:r>
        <w:rPr>
          <w:spacing w:val="8"/>
        </w:rPr>
        <w:t>宣布应急结束后，在市应</w:t>
      </w:r>
      <w:r>
        <w:rPr>
          <w:spacing w:val="7"/>
        </w:rPr>
        <w:t>急管理指挥部统一领导下，由相关部门负责后</w:t>
      </w:r>
      <w:r>
        <w:rPr>
          <w:spacing w:val="15"/>
        </w:rPr>
        <w:t>期处置工作</w:t>
      </w:r>
      <w:r>
        <w:rPr>
          <w:spacing w:val="-40"/>
        </w:rPr>
        <w:t xml:space="preserve"> </w:t>
      </w:r>
      <w:r>
        <w:rPr>
          <w:spacing w:val="15"/>
        </w:rPr>
        <w:t>，根据事故造成的后果及实际情</w:t>
      </w:r>
    </w:p>
    <w:p>
      <w:pPr>
        <w:spacing w:line="301" w:lineRule="auto"/>
        <w:sectPr>
          <w:type w:val="continuous"/>
          <w:pgSz w:w="11906" w:h="16839"/>
          <w:pgMar w:top="1766" w:right="1530" w:bottom="1563" w:left="1576" w:header="1428" w:footer="1172" w:gutter="0"/>
          <w:cols w:equalWidth="0" w:num="2">
            <w:col w:w="4492" w:space="100"/>
            <w:col w:w="4208" w:space="0"/>
          </w:cols>
        </w:sectPr>
        <w:rPr/>
      </w:pPr>
    </w:p>
    <w:p>
      <w:pPr>
        <w:spacing w:before="61"/>
        <w:rPr/>
      </w:pPr>
      <w:r>
        <w:drawing>
          <wp:anchor distT="0" distB="0" distL="0" distR="0" simplePos="0" relativeHeight="252149760"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298" name="IM 1298"/>
            <wp:cNvGraphicFramePr/>
            <a:graphic>
              <a:graphicData uri="http://schemas.openxmlformats.org/drawingml/2006/picture">
                <pic:pic>
                  <pic:nvPicPr>
                    <pic:cNvPr id="1298" name="IM 1298"/>
                    <pic:cNvPicPr/>
                  </pic:nvPicPr>
                  <pic:blipFill>
                    <a:blip r:embed="rId651"/>
                    <a:stretch>
                      <a:fillRect/>
                    </a:stretch>
                  </pic:blipFill>
                  <pic:spPr>
                    <a:xfrm rot="0">
                      <a:off x="0" y="0"/>
                      <a:ext cx="5579745" cy="7620"/>
                    </a:xfrm>
                    <a:prstGeom prst="rect">
                      <a:avLst/>
                    </a:prstGeom>
                  </pic:spPr>
                </pic:pic>
              </a:graphicData>
            </a:graphic>
          </wp:anchor>
        </w:drawing>
      </w:r>
      <w:r/>
    </w:p>
    <w:p>
      <w:pPr>
        <w:sectPr>
          <w:headerReference w:type="default" r:id="rId638"/>
          <w:footerReference w:type="default" r:id="rId650"/>
          <w:pgSz w:w="11906" w:h="16839"/>
          <w:pgMar w:top="1772" w:right="1478" w:bottom="1547" w:left="1588" w:header="1428" w:footer="1172" w:gutter="0"/>
          <w:cols w:equalWidth="0" w:num="1">
            <w:col w:w="8840" w:space="0"/>
          </w:cols>
        </w:sectPr>
        <w:rPr/>
      </w:pPr>
    </w:p>
    <w:p>
      <w:pPr>
        <w:pStyle w:val="BodyText"/>
        <w:ind w:left="5"/>
        <w:spacing w:before="41" w:line="222" w:lineRule="auto"/>
        <w:rPr/>
      </w:pPr>
      <w:r>
        <w:rPr>
          <w:spacing w:val="9"/>
        </w:rPr>
        <w:t>况，制订善后处理措施并组织实施。</w:t>
      </w:r>
    </w:p>
    <w:p>
      <w:pPr>
        <w:pStyle w:val="BodyText"/>
        <w:ind w:left="2" w:right="329" w:firstLine="423"/>
        <w:spacing w:before="139" w:line="355" w:lineRule="auto"/>
        <w:jc w:val="both"/>
        <w:rPr/>
      </w:pPr>
      <w:r>
        <w:rPr>
          <w:spacing w:val="19"/>
        </w:rPr>
        <w:t>市应急管理局组织开展事故损失评估核</w:t>
      </w:r>
      <w:r>
        <w:rPr>
          <w:spacing w:val="15"/>
        </w:rPr>
        <w:t>定工作</w:t>
      </w:r>
      <w:r>
        <w:rPr>
          <w:spacing w:val="-39"/>
        </w:rPr>
        <w:t xml:space="preserve"> </w:t>
      </w:r>
      <w:r>
        <w:rPr>
          <w:spacing w:val="15"/>
        </w:rPr>
        <w:t>；市生态环境局提出事故污染处置建</w:t>
      </w:r>
      <w:r>
        <w:rPr>
          <w:spacing w:val="7"/>
        </w:rPr>
        <w:t>议，负责现场清理和消除环境污染；市应急管</w:t>
      </w:r>
      <w:r>
        <w:rPr>
          <w:spacing w:val="7"/>
        </w:rPr>
        <w:t>理局会同财政局、发展和改革委员会制定应由</w:t>
      </w:r>
      <w:r>
        <w:rPr>
          <w:spacing w:val="7"/>
        </w:rPr>
        <w:t>政府补偿的补偿标准和办法；做好征用补偿工</w:t>
      </w:r>
      <w:r>
        <w:rPr>
          <w:spacing w:val="7"/>
        </w:rPr>
        <w:t>作，做好受灾地区社会管理工作，并配合有关</w:t>
      </w:r>
      <w:r>
        <w:rPr>
          <w:spacing w:val="-3"/>
        </w:rPr>
        <w:t>部门做好救助款物的管理和调拨、发放等工作。</w:t>
      </w:r>
    </w:p>
    <w:p>
      <w:pPr>
        <w:ind w:left="432"/>
        <w:spacing w:before="1" w:line="18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二、固原市工贸企业生产安全事故应急预案</w:t>
      </w:r>
    </w:p>
    <w:p>
      <w:pPr>
        <w:ind w:left="434"/>
        <w:spacing w:before="118" w:line="242" w:lineRule="auto"/>
        <w:rPr>
          <w:rFonts w:ascii="KaiTi" w:hAnsi="KaiTi" w:eastAsia="KaiTi" w:cs="KaiTi"/>
          <w:sz w:val="20"/>
          <w:szCs w:val="20"/>
        </w:rPr>
      </w:pPr>
      <w:r>
        <w:rPr>
          <w:rFonts w:ascii="Times New Roman" w:hAnsi="Times New Roman" w:eastAsia="Times New Roman" w:cs="Times New Roman"/>
          <w:sz w:val="20"/>
          <w:szCs w:val="20"/>
          <w:b/>
          <w:bCs/>
          <w:spacing w:val="4"/>
        </w:rPr>
        <w:t>1</w:t>
      </w:r>
      <w:r>
        <w:rPr>
          <w:rFonts w:ascii="Times New Roman" w:hAnsi="Times New Roman" w:eastAsia="Times New Roman" w:cs="Times New Roman"/>
          <w:sz w:val="20"/>
          <w:szCs w:val="20"/>
          <w:b/>
          <w:bCs/>
          <w:spacing w:val="5"/>
        </w:rPr>
        <w:t xml:space="preserve">    </w:t>
      </w:r>
      <w:r>
        <w:rPr>
          <w:rFonts w:ascii="KaiTi" w:hAnsi="KaiTi" w:eastAsia="KaiTi" w:cs="KaiTi"/>
          <w:sz w:val="20"/>
          <w:szCs w:val="20"/>
          <w:b/>
          <w:bCs/>
          <w:spacing w:val="4"/>
        </w:rPr>
        <w:t>事故风险分析</w:t>
      </w:r>
    </w:p>
    <w:p>
      <w:pPr>
        <w:ind w:left="445"/>
        <w:spacing w:before="121" w:line="242" w:lineRule="auto"/>
        <w:rPr>
          <w:rFonts w:ascii="KaiTi" w:hAnsi="KaiTi" w:eastAsia="KaiTi" w:cs="KaiTi"/>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1</w:t>
      </w:r>
      <w:r>
        <w:rPr>
          <w:rFonts w:ascii="Times New Roman" w:hAnsi="Times New Roman" w:eastAsia="Times New Roman" w:cs="Times New Roman"/>
          <w:sz w:val="20"/>
          <w:szCs w:val="20"/>
          <w:spacing w:val="8"/>
        </w:rPr>
        <w:t xml:space="preserve">  </w:t>
      </w:r>
      <w:r>
        <w:rPr>
          <w:rFonts w:ascii="KaiTi" w:hAnsi="KaiTi" w:eastAsia="KaiTi" w:cs="KaiTi"/>
          <w:sz w:val="20"/>
          <w:szCs w:val="20"/>
        </w:rPr>
        <w:t>事故风险分析。</w:t>
      </w:r>
    </w:p>
    <w:p>
      <w:pPr>
        <w:pStyle w:val="BodyText"/>
        <w:ind w:left="3" w:right="327" w:firstLine="441"/>
        <w:spacing w:before="129" w:line="327" w:lineRule="auto"/>
        <w:rPr/>
      </w:pPr>
      <w:r>
        <w:rPr>
          <w:rFonts w:ascii="Times New Roman" w:hAnsi="Times New Roman" w:eastAsia="Times New Roman" w:cs="Times New Roman"/>
        </w:rPr>
        <w:t>1.</w:t>
      </w:r>
      <w:r>
        <w:rPr>
          <w:rFonts w:ascii="Times New Roman" w:hAnsi="Times New Roman" w:eastAsia="Times New Roman" w:cs="Times New Roman"/>
          <w:spacing w:val="-21"/>
        </w:rPr>
        <w:t xml:space="preserve"> </w:t>
      </w:r>
      <w:r>
        <w:rPr>
          <w:rFonts w:ascii="Times New Roman" w:hAnsi="Times New Roman" w:eastAsia="Times New Roman" w:cs="Times New Roman"/>
        </w:rPr>
        <w:t>1.1</w:t>
      </w:r>
      <w:r>
        <w:rPr>
          <w:rFonts w:ascii="Times New Roman" w:hAnsi="Times New Roman" w:eastAsia="Times New Roman" w:cs="Times New Roman"/>
          <w:spacing w:val="27"/>
          <w:w w:val="101"/>
        </w:rPr>
        <w:t xml:space="preserve"> </w:t>
      </w:r>
      <w:r>
        <w:rPr/>
        <w:t>中毒和窒息。中毒和窒息主要指电力</w:t>
      </w:r>
      <w:r>
        <w:rPr>
          <w:spacing w:val="7"/>
        </w:rPr>
        <w:t>企业液氨储罐发生一定规模的泄漏，可能发生</w:t>
      </w:r>
      <w:r>
        <w:rPr>
          <w:spacing w:val="7"/>
        </w:rPr>
        <w:t>中毒和窒息等事故；工贸企业发生受限空间作</w:t>
      </w:r>
      <w:r>
        <w:rPr>
          <w:spacing w:val="18"/>
        </w:rPr>
        <w:t>业中毒和窒息事故及工贸企业危险化学品泄</w:t>
      </w:r>
      <w:r>
        <w:rPr>
          <w:spacing w:val="7"/>
        </w:rPr>
        <w:t>漏中毒事故。</w:t>
      </w:r>
    </w:p>
    <w:p>
      <w:pPr>
        <w:pStyle w:val="BodyText"/>
        <w:ind w:left="4" w:right="248" w:firstLine="441"/>
        <w:spacing w:before="145" w:line="328" w:lineRule="auto"/>
        <w:rPr/>
      </w:pPr>
      <w:r>
        <w:rPr>
          <w:rFonts w:ascii="Times New Roman" w:hAnsi="Times New Roman" w:eastAsia="Times New Roman" w:cs="Times New Roman"/>
          <w:spacing w:val="-4"/>
        </w:rPr>
        <w:t>1.</w:t>
      </w:r>
      <w:r>
        <w:rPr>
          <w:rFonts w:ascii="Times New Roman" w:hAnsi="Times New Roman" w:eastAsia="Times New Roman" w:cs="Times New Roman"/>
          <w:spacing w:val="-23"/>
        </w:rPr>
        <w:t xml:space="preserve"> </w:t>
      </w:r>
      <w:r>
        <w:rPr>
          <w:rFonts w:ascii="Times New Roman" w:hAnsi="Times New Roman" w:eastAsia="Times New Roman" w:cs="Times New Roman"/>
          <w:spacing w:val="-4"/>
        </w:rPr>
        <w:t>1.2 </w:t>
      </w:r>
      <w:r>
        <w:rPr>
          <w:spacing w:val="-4"/>
        </w:rPr>
        <w:t>火灾、爆炸。电力企业液氨储罐泄漏，</w:t>
      </w:r>
      <w:r>
        <w:rPr>
          <w:spacing w:val="7"/>
        </w:rPr>
        <w:t>在空气中的浓度达到爆炸极限时，遇到火源可</w:t>
      </w:r>
      <w:r>
        <w:rPr>
          <w:spacing w:val="7"/>
        </w:rPr>
        <w:t>引发火灾、爆炸事故；基地内工贸企业在生产</w:t>
      </w:r>
      <w:r>
        <w:rPr>
          <w:spacing w:val="7"/>
        </w:rPr>
        <w:t>经营过程中因设备超温、超压、误操作、违章</w:t>
      </w:r>
      <w:r>
        <w:rPr>
          <w:spacing w:val="-8"/>
        </w:rPr>
        <w:t>操作、设备缺陷等原因，可发生火灾、爆炸事故。</w:t>
      </w:r>
    </w:p>
    <w:p>
      <w:pPr>
        <w:pStyle w:val="BodyText"/>
        <w:ind w:left="4" w:right="327" w:firstLine="441"/>
        <w:spacing w:before="145" w:line="332" w:lineRule="auto"/>
        <w:rPr/>
      </w:pPr>
      <w:r>
        <w:rPr>
          <w:rFonts w:ascii="Times New Roman" w:hAnsi="Times New Roman" w:eastAsia="Times New Roman" w:cs="Times New Roman"/>
          <w:spacing w:val="1"/>
        </w:rPr>
        <w:t>1.</w:t>
      </w:r>
      <w:r>
        <w:rPr>
          <w:rFonts w:ascii="Times New Roman" w:hAnsi="Times New Roman" w:eastAsia="Times New Roman" w:cs="Times New Roman"/>
          <w:spacing w:val="-16"/>
        </w:rPr>
        <w:t xml:space="preserve"> </w:t>
      </w:r>
      <w:r>
        <w:rPr>
          <w:rFonts w:ascii="Times New Roman" w:hAnsi="Times New Roman" w:eastAsia="Times New Roman" w:cs="Times New Roman"/>
          <w:spacing w:val="1"/>
        </w:rPr>
        <w:t>1.3 </w:t>
      </w:r>
      <w:r>
        <w:rPr>
          <w:spacing w:val="1"/>
        </w:rPr>
        <w:t>起重伤害。使用大型起重设备进行吊</w:t>
      </w:r>
      <w:r>
        <w:rPr>
          <w:spacing w:val="7"/>
        </w:rPr>
        <w:t>装作业，由于吊具或吊装容器损坏、物件捆绑</w:t>
      </w:r>
      <w:r>
        <w:rPr>
          <w:spacing w:val="7"/>
        </w:rPr>
        <w:t>不牢、挂钩不当、起升机构件故障（特别是制</w:t>
      </w:r>
      <w:r>
        <w:rPr>
          <w:spacing w:val="7"/>
        </w:rPr>
        <w:t>动器失灵、钢丝绳断裂）违章操作、指挥，安</w:t>
      </w:r>
      <w:r>
        <w:rPr>
          <w:spacing w:val="7"/>
        </w:rPr>
        <w:t>全装置失效、人员违章进入危险区域等，可发</w:t>
      </w:r>
      <w:r>
        <w:rPr>
          <w:spacing w:val="8"/>
        </w:rPr>
        <w:t>生起重伤害事故。</w:t>
      </w:r>
    </w:p>
    <w:p>
      <w:pPr>
        <w:pStyle w:val="BodyText"/>
        <w:ind w:left="5" w:right="306" w:firstLine="422"/>
        <w:spacing w:before="143" w:line="354" w:lineRule="auto"/>
        <w:jc w:val="both"/>
        <w:rPr/>
      </w:pPr>
      <w:r>
        <w:rPr>
          <w:spacing w:val="6"/>
        </w:rPr>
        <w:t>物体打击、车辆伤害、机械伤害、起重伤</w:t>
      </w:r>
      <w:r>
        <w:rPr>
          <w:spacing w:val="7"/>
        </w:rPr>
        <w:t>害、触电、淹溺、火灾、高处坠落、坍塌、冒</w:t>
      </w:r>
      <w:r>
        <w:rPr>
          <w:spacing w:val="8"/>
        </w:rPr>
        <w:t>顶片帮、透水、瓦斯爆炸、容器爆炸、爆炸、</w:t>
      </w:r>
      <w:r>
        <w:rPr>
          <w:spacing w:val="8"/>
        </w:rPr>
        <w:t>中毒和窒息、其他伤害等。</w:t>
      </w:r>
    </w:p>
    <w:p>
      <w:pPr>
        <w:ind w:left="425"/>
        <w:spacing w:line="242" w:lineRule="auto"/>
        <w:rPr>
          <w:rFonts w:ascii="KaiTi" w:hAnsi="KaiTi" w:eastAsia="KaiTi" w:cs="KaiTi"/>
          <w:sz w:val="20"/>
          <w:szCs w:val="20"/>
        </w:rPr>
      </w:pPr>
      <w:r>
        <w:rPr>
          <w:rFonts w:ascii="Times New Roman" w:hAnsi="Times New Roman" w:eastAsia="Times New Roman" w:cs="Times New Roman"/>
          <w:sz w:val="20"/>
          <w:szCs w:val="20"/>
          <w:b/>
          <w:bCs/>
          <w:spacing w:val="6"/>
        </w:rPr>
        <w:t>2    </w:t>
      </w:r>
      <w:r>
        <w:rPr>
          <w:rFonts w:ascii="KaiTi" w:hAnsi="KaiTi" w:eastAsia="KaiTi" w:cs="KaiTi"/>
          <w:sz w:val="20"/>
          <w:szCs w:val="20"/>
          <w:b/>
          <w:bCs/>
          <w:spacing w:val="6"/>
        </w:rPr>
        <w:t>应急指挥机构及职责</w:t>
      </w:r>
    </w:p>
    <w:p>
      <w:pPr>
        <w:pStyle w:val="BodyText"/>
        <w:ind w:left="6" w:right="329" w:firstLine="418"/>
        <w:spacing w:before="122" w:line="273" w:lineRule="auto"/>
        <w:rPr/>
      </w:pPr>
      <w:r>
        <w:rPr>
          <w:rFonts w:ascii="Times New Roman" w:hAnsi="Times New Roman" w:eastAsia="Times New Roman" w:cs="Times New Roman"/>
          <w:spacing w:val="7"/>
        </w:rPr>
        <w:t>2.</w:t>
      </w:r>
      <w:r>
        <w:rPr>
          <w:rFonts w:ascii="Times New Roman" w:hAnsi="Times New Roman" w:eastAsia="Times New Roman" w:cs="Times New Roman"/>
          <w:spacing w:val="-23"/>
        </w:rPr>
        <w:t xml:space="preserve"> </w:t>
      </w:r>
      <w:r>
        <w:rPr>
          <w:rFonts w:ascii="Times New Roman" w:hAnsi="Times New Roman" w:eastAsia="Times New Roman" w:cs="Times New Roman"/>
          <w:spacing w:val="7"/>
        </w:rPr>
        <w:t>1  </w:t>
      </w:r>
      <w:r>
        <w:rPr>
          <w:rFonts w:ascii="KaiTi" w:hAnsi="KaiTi" w:eastAsia="KaiTi" w:cs="KaiTi"/>
          <w:spacing w:val="7"/>
        </w:rPr>
        <w:t>应急组织机构。</w:t>
      </w:r>
      <w:r>
        <w:rPr>
          <w:spacing w:val="7"/>
        </w:rPr>
        <w:t>在市政府和市应急管</w:t>
      </w:r>
      <w:r>
        <w:rPr>
          <w:spacing w:val="7"/>
        </w:rPr>
        <w:t>理指挥部的统一领导下，市应急管理指挥部负</w:t>
      </w:r>
    </w:p>
    <w:p>
      <w:pPr>
        <w:spacing w:line="14" w:lineRule="auto"/>
        <w:rPr>
          <w:rFonts w:ascii="Arial"/>
          <w:sz w:val="2"/>
        </w:rPr>
      </w:pPr>
      <w:r>
        <w:rPr>
          <w:rFonts w:ascii="Arial" w:hAnsi="Arial" w:eastAsia="Arial" w:cs="Arial"/>
          <w:sz w:val="2"/>
          <w:szCs w:val="2"/>
        </w:rPr>
        <w:br w:type="column"/>
      </w:r>
    </w:p>
    <w:p>
      <w:pPr>
        <w:pStyle w:val="BodyText"/>
        <w:ind w:left="3" w:right="105" w:firstLine="1"/>
        <w:spacing w:before="40" w:line="353" w:lineRule="auto"/>
        <w:jc w:val="both"/>
        <w:rPr/>
      </w:pPr>
      <w:r>
        <w:rPr>
          <w:spacing w:val="7"/>
        </w:rPr>
        <w:t>责统一领导、组织、协调生产安全事故工作，</w:t>
      </w:r>
      <w:r>
        <w:rPr>
          <w:spacing w:val="7"/>
        </w:rPr>
        <w:t>统一指挥各类生产安全事故及其次生、衍生灾</w:t>
      </w:r>
      <w:r>
        <w:rPr>
          <w:spacing w:val="8"/>
        </w:rPr>
        <w:t>害的应急处置工作。</w:t>
      </w:r>
    </w:p>
    <w:p>
      <w:pPr>
        <w:pStyle w:val="BodyText"/>
        <w:ind w:left="3" w:right="112" w:firstLine="420"/>
        <w:spacing w:line="336" w:lineRule="auto"/>
        <w:rPr/>
      </w:pPr>
      <w:r>
        <w:rPr>
          <w:spacing w:val="6"/>
        </w:rPr>
        <w:t>指 挥 长：市政府分管应急管理工作的副</w:t>
      </w:r>
      <w:r>
        <w:rPr>
          <w:spacing w:val="6"/>
        </w:rPr>
        <w:t>市长</w:t>
      </w:r>
    </w:p>
    <w:p>
      <w:pPr>
        <w:pStyle w:val="BodyText"/>
        <w:ind w:left="3" w:firstLine="423"/>
        <w:spacing w:before="40" w:line="336" w:lineRule="auto"/>
        <w:rPr/>
      </w:pPr>
      <w:r>
        <w:rPr>
          <w:spacing w:val="-14"/>
        </w:rPr>
        <w:t>副指挥长：事故发生地县（</w:t>
      </w:r>
      <w:r>
        <w:rPr>
          <w:spacing w:val="-37"/>
        </w:rPr>
        <w:t xml:space="preserve"> </w:t>
      </w:r>
      <w:r>
        <w:rPr>
          <w:spacing w:val="-14"/>
        </w:rPr>
        <w:t>区）政府县（</w:t>
      </w:r>
      <w:r>
        <w:rPr>
          <w:spacing w:val="-52"/>
        </w:rPr>
        <w:t xml:space="preserve"> </w:t>
      </w:r>
      <w:r>
        <w:rPr>
          <w:spacing w:val="-14"/>
        </w:rPr>
        <w:t>区）</w:t>
      </w:r>
      <w:r>
        <w:rPr>
          <w:spacing w:val="9"/>
        </w:rPr>
        <w:t>长、市应急管理局局长</w:t>
      </w:r>
    </w:p>
    <w:p>
      <w:pPr>
        <w:pStyle w:val="BodyText"/>
        <w:ind w:right="24" w:firstLine="420"/>
        <w:spacing w:before="37" w:line="355" w:lineRule="auto"/>
        <w:rPr/>
      </w:pPr>
      <w:r>
        <w:rPr>
          <w:spacing w:val="6"/>
        </w:rPr>
        <w:t>成员单位：发展和改革委员会、工业和信</w:t>
      </w:r>
      <w:r>
        <w:rPr>
          <w:spacing w:val="1"/>
        </w:rPr>
        <w:t>息化局、教育和体育局、科学技术局、公安局、</w:t>
      </w:r>
      <w:r>
        <w:rPr>
          <w:spacing w:val="7"/>
        </w:rPr>
        <w:t>民政局、财政局、人力资源社会保障局、自然</w:t>
      </w:r>
      <w:r>
        <w:rPr>
          <w:spacing w:val="7"/>
        </w:rPr>
        <w:t>资源局、生态环境局、住房和城乡建设局、交</w:t>
      </w:r>
      <w:r>
        <w:rPr>
          <w:spacing w:val="7"/>
        </w:rPr>
        <w:t>通运输局、水务局、农业农村局、文化旅游广</w:t>
      </w:r>
      <w:r>
        <w:rPr>
          <w:spacing w:val="7"/>
        </w:rPr>
        <w:t>播电视局、卫生健康委员会、市场监管局、市</w:t>
      </w:r>
      <w:r>
        <w:rPr>
          <w:spacing w:val="7"/>
        </w:rPr>
        <w:t>应急管理局、市消防支队、气象局、事故发生</w:t>
      </w:r>
      <w:r>
        <w:rPr>
          <w:spacing w:val="4"/>
        </w:rPr>
        <w:t>地县（</w:t>
      </w:r>
      <w:r>
        <w:rPr>
          <w:spacing w:val="-35"/>
        </w:rPr>
        <w:t xml:space="preserve"> </w:t>
      </w:r>
      <w:r>
        <w:rPr>
          <w:spacing w:val="4"/>
        </w:rPr>
        <w:t>区）政府等有关部门，应急管理指挥部</w:t>
      </w:r>
      <w:r>
        <w:rPr>
          <w:spacing w:val="-16"/>
        </w:rPr>
        <w:t>根据事故救援需要确定的非政府职能部门（单位）。</w:t>
      </w:r>
    </w:p>
    <w:p>
      <w:pPr>
        <w:pStyle w:val="BodyText"/>
        <w:ind w:left="1" w:right="109" w:firstLine="428"/>
        <w:spacing w:before="1" w:line="354" w:lineRule="auto"/>
        <w:rPr/>
      </w:pPr>
      <w:r>
        <w:rPr>
          <w:spacing w:val="6"/>
        </w:rPr>
        <w:t>主要职责：在市委，市政府的领导下，安</w:t>
      </w:r>
      <w:r>
        <w:rPr>
          <w:spacing w:val="7"/>
        </w:rPr>
        <w:t>排部署市生产安全事故的预防和处置工作；在</w:t>
      </w:r>
      <w:r>
        <w:rPr>
          <w:spacing w:val="7"/>
        </w:rPr>
        <w:t>预测将要发生和已经发生生产安全事故时，迅</w:t>
      </w:r>
      <w:r>
        <w:rPr>
          <w:spacing w:val="6"/>
        </w:rPr>
        <w:t>速启动相应预案，组织、指挥应急处置工作；</w:t>
      </w:r>
      <w:r>
        <w:rPr>
          <w:spacing w:val="7"/>
        </w:rPr>
        <w:t>在处置生产安全事故过程中，积极协调与其他</w:t>
      </w:r>
      <w:r>
        <w:rPr>
          <w:spacing w:val="7"/>
        </w:rPr>
        <w:t>部门的关系，当生产安全事故超过处置权限和</w:t>
      </w:r>
      <w:r>
        <w:rPr>
          <w:spacing w:val="7"/>
        </w:rPr>
        <w:t>能力时，及时向自治区党委、政府报告，由自</w:t>
      </w:r>
      <w:r>
        <w:rPr>
          <w:spacing w:val="7"/>
        </w:rPr>
        <w:t>治区党委、政府统一领导和指挥市专项应急指</w:t>
      </w:r>
      <w:r>
        <w:rPr>
          <w:spacing w:val="7"/>
        </w:rPr>
        <w:t>挥部和有关县（区）、部门（单位）开展应急</w:t>
      </w:r>
      <w:r>
        <w:rPr>
          <w:spacing w:val="6"/>
        </w:rPr>
        <w:t>处置工作。</w:t>
      </w:r>
    </w:p>
    <w:p>
      <w:pPr>
        <w:pStyle w:val="BodyText"/>
        <w:ind w:right="112" w:firstLine="421"/>
        <w:spacing w:before="1" w:line="354" w:lineRule="auto"/>
        <w:jc w:val="both"/>
        <w:rPr/>
      </w:pPr>
      <w:r>
        <w:rPr>
          <w:rFonts w:ascii="Times New Roman" w:hAnsi="Times New Roman" w:eastAsia="Times New Roman" w:cs="Times New Roman"/>
          <w:spacing w:val="8"/>
        </w:rPr>
        <w:t>2.2  </w:t>
      </w:r>
      <w:r>
        <w:rPr>
          <w:rFonts w:ascii="KaiTi" w:hAnsi="KaiTi" w:eastAsia="KaiTi" w:cs="KaiTi"/>
          <w:spacing w:val="8"/>
        </w:rPr>
        <w:t>应急救援办公室。</w:t>
      </w:r>
      <w:r>
        <w:rPr>
          <w:spacing w:val="8"/>
        </w:rPr>
        <w:t>市应急管理指挥部</w:t>
      </w:r>
      <w:r>
        <w:rPr>
          <w:spacing w:val="7"/>
        </w:rPr>
        <w:t>办公室设在市应急管理局，市应急管理局局长</w:t>
      </w:r>
      <w:r>
        <w:rPr>
          <w:spacing w:val="15"/>
        </w:rPr>
        <w:t>兼任办公室主任</w:t>
      </w:r>
      <w:r>
        <w:rPr>
          <w:spacing w:val="-39"/>
        </w:rPr>
        <w:t xml:space="preserve"> </w:t>
      </w:r>
      <w:r>
        <w:rPr>
          <w:spacing w:val="15"/>
        </w:rPr>
        <w:t>，办公室常设值班工作电话</w:t>
      </w:r>
      <w:r>
        <w:rPr>
          <w:rFonts w:ascii="Times New Roman" w:hAnsi="Times New Roman" w:eastAsia="Times New Roman" w:cs="Times New Roman"/>
          <w:spacing w:val="4"/>
        </w:rPr>
        <w:t>0954-2088154</w:t>
      </w:r>
      <w:r>
        <w:rPr>
          <w:spacing w:val="4"/>
        </w:rPr>
        <w:t>。</w:t>
      </w:r>
    </w:p>
    <w:p>
      <w:pPr>
        <w:pStyle w:val="BodyText"/>
        <w:ind w:right="112" w:firstLine="428"/>
        <w:spacing w:before="5" w:line="222" w:lineRule="auto"/>
        <w:rPr/>
      </w:pPr>
      <w:r>
        <w:rPr>
          <w:spacing w:val="6"/>
        </w:rPr>
        <w:t>主要职责：履行应急值守、信息汇总和综</w:t>
      </w:r>
      <w:r>
        <w:rPr>
          <w:spacing w:val="7"/>
        </w:rPr>
        <w:t>合协调；负责接收和办理向市委、市政府报送</w:t>
      </w:r>
      <w:r>
        <w:rPr>
          <w:spacing w:val="7"/>
        </w:rPr>
        <w:t>的紧急或重要事项；承办专题会议，督促落实</w:t>
      </w:r>
      <w:r>
        <w:rPr>
          <w:spacing w:val="9"/>
        </w:rPr>
        <w:t>市委、市政府有关决定事项和领导批示指示</w:t>
      </w:r>
      <w:r>
        <w:rPr>
          <w:spacing w:val="5"/>
        </w:rPr>
        <w:t>精神；</w:t>
      </w:r>
    </w:p>
    <w:p>
      <w:pPr>
        <w:spacing w:line="222" w:lineRule="auto"/>
        <w:sectPr>
          <w:type w:val="continuous"/>
          <w:pgSz w:w="11906" w:h="16839"/>
          <w:pgMar w:top="1772" w:right="1478" w:bottom="1547" w:left="1588" w:header="1428" w:footer="1172" w:gutter="0"/>
          <w:cols w:equalWidth="0" w:num="2">
            <w:col w:w="4481" w:space="100"/>
            <w:col w:w="4260" w:space="0"/>
          </w:cols>
        </w:sectPr>
        <w:rPr/>
      </w:pPr>
    </w:p>
    <w:p>
      <w:pPr>
        <w:spacing w:before="64"/>
        <w:rPr/>
      </w:pPr>
      <w:r>
        <w:drawing>
          <wp:anchor distT="0" distB="0" distL="0" distR="0" simplePos="0" relativeHeight="25215488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302" name="IM 1302"/>
            <wp:cNvGraphicFramePr/>
            <a:graphic>
              <a:graphicData uri="http://schemas.openxmlformats.org/drawingml/2006/picture">
                <pic:pic>
                  <pic:nvPicPr>
                    <pic:cNvPr id="1302" name="IM 1302"/>
                    <pic:cNvPicPr/>
                  </pic:nvPicPr>
                  <pic:blipFill>
                    <a:blip r:embed="rId653"/>
                    <a:stretch>
                      <a:fillRect/>
                    </a:stretch>
                  </pic:blipFill>
                  <pic:spPr>
                    <a:xfrm rot="0">
                      <a:off x="0" y="0"/>
                      <a:ext cx="5579745" cy="7620"/>
                    </a:xfrm>
                    <a:prstGeom prst="rect">
                      <a:avLst/>
                    </a:prstGeom>
                  </pic:spPr>
                </pic:pic>
              </a:graphicData>
            </a:graphic>
          </wp:anchor>
        </w:drawing>
      </w:r>
      <w:r/>
    </w:p>
    <w:p>
      <w:pPr>
        <w:sectPr>
          <w:headerReference w:type="default" r:id="rId641"/>
          <w:footerReference w:type="default" r:id="rId652"/>
          <w:pgSz w:w="11906" w:h="16839"/>
          <w:pgMar w:top="1766" w:right="1480" w:bottom="1563" w:left="1576" w:header="1428" w:footer="1172" w:gutter="0"/>
          <w:cols w:equalWidth="0" w:num="1">
            <w:col w:w="8850" w:space="0"/>
          </w:cols>
        </w:sectPr>
        <w:rPr/>
      </w:pPr>
    </w:p>
    <w:p>
      <w:pPr>
        <w:pStyle w:val="BodyText"/>
        <w:ind w:left="16" w:right="306" w:firstLine="3"/>
        <w:spacing w:before="42" w:line="354" w:lineRule="auto"/>
        <w:jc w:val="both"/>
        <w:rPr/>
      </w:pPr>
      <w:r>
        <w:rPr>
          <w:spacing w:val="8"/>
        </w:rPr>
        <w:t>指导固原市生产安全事故应急信息平台建设；</w:t>
      </w:r>
      <w:r>
        <w:rPr>
          <w:spacing w:val="7"/>
        </w:rPr>
        <w:t>组织编制、修订市生产安全事故应急预案，指</w:t>
      </w:r>
      <w:r>
        <w:rPr>
          <w:spacing w:val="8"/>
        </w:rPr>
        <w:t>导应急预案体系建设；协调特别重大、重大、</w:t>
      </w:r>
      <w:r>
        <w:rPr>
          <w:spacing w:val="7"/>
        </w:rPr>
        <w:t>较大生产安全事故的预防预警、应急演练、应</w:t>
      </w:r>
      <w:r>
        <w:rPr>
          <w:spacing w:val="7"/>
        </w:rPr>
        <w:t>急处置、调查评估、信息发布、应急保障和宣</w:t>
      </w:r>
      <w:r>
        <w:rPr>
          <w:spacing w:val="7"/>
        </w:rPr>
        <w:t>传培训等工作。</w:t>
      </w:r>
    </w:p>
    <w:p>
      <w:pPr>
        <w:pStyle w:val="BodyText"/>
        <w:ind w:left="17" w:right="329" w:firstLine="419"/>
        <w:spacing w:before="2" w:line="353" w:lineRule="auto"/>
        <w:jc w:val="both"/>
        <w:rPr/>
      </w:pPr>
      <w:r>
        <w:rPr>
          <w:rFonts w:ascii="Times New Roman" w:hAnsi="Times New Roman" w:eastAsia="Times New Roman" w:cs="Times New Roman"/>
          <w:spacing w:val="8"/>
        </w:rPr>
        <w:t>2.3  </w:t>
      </w:r>
      <w:r>
        <w:rPr>
          <w:rFonts w:ascii="KaiTi" w:hAnsi="KaiTi" w:eastAsia="KaiTi" w:cs="KaiTi"/>
          <w:spacing w:val="8"/>
        </w:rPr>
        <w:t>应急处置工作组。</w:t>
      </w:r>
      <w:r>
        <w:rPr>
          <w:spacing w:val="8"/>
        </w:rPr>
        <w:t>根据不同生产安全</w:t>
      </w:r>
      <w:r>
        <w:rPr>
          <w:spacing w:val="7"/>
        </w:rPr>
        <w:t>事故处置环节的要求，市应急管理指挥部办公</w:t>
      </w:r>
      <w:r>
        <w:rPr>
          <w:spacing w:val="10"/>
        </w:rPr>
        <w:t>室下设</w:t>
      </w:r>
      <w:r>
        <w:rPr>
          <w:spacing w:val="-17"/>
        </w:rPr>
        <w:t xml:space="preserve"> </w:t>
      </w:r>
      <w:r>
        <w:rPr>
          <w:rFonts w:ascii="Times New Roman" w:hAnsi="Times New Roman" w:eastAsia="Times New Roman" w:cs="Times New Roman"/>
          <w:spacing w:val="10"/>
        </w:rPr>
        <w:t>10 </w:t>
      </w:r>
      <w:r>
        <w:rPr>
          <w:spacing w:val="10"/>
        </w:rPr>
        <w:t>个工作组，具体负责事故现场处置</w:t>
      </w:r>
      <w:r>
        <w:rPr>
          <w:spacing w:val="7"/>
        </w:rPr>
        <w:t>和相关工作。</w:t>
      </w:r>
    </w:p>
    <w:p>
      <w:pPr>
        <w:pStyle w:val="BodyText"/>
        <w:ind w:left="437"/>
        <w:spacing w:before="8" w:line="219" w:lineRule="auto"/>
        <w:rPr/>
      </w:pPr>
      <w:r>
        <w:rPr>
          <w:rFonts w:ascii="Times New Roman" w:hAnsi="Times New Roman" w:eastAsia="Times New Roman" w:cs="Times New Roman"/>
          <w:spacing w:val="5"/>
        </w:rPr>
        <w:t>2.3.1 </w:t>
      </w:r>
      <w:r>
        <w:rPr>
          <w:spacing w:val="5"/>
        </w:rPr>
        <w:t>抢险救援组。</w:t>
      </w:r>
    </w:p>
    <w:p>
      <w:pPr>
        <w:pStyle w:val="BodyText"/>
        <w:ind w:left="436"/>
        <w:spacing w:before="142" w:line="277" w:lineRule="exact"/>
        <w:rPr/>
      </w:pPr>
      <w:r>
        <w:rPr>
          <w:spacing w:val="9"/>
          <w:position w:val="1"/>
        </w:rPr>
        <w:t>组长单位：市消防救援支队</w:t>
      </w:r>
    </w:p>
    <w:p>
      <w:pPr>
        <w:pStyle w:val="BodyText"/>
        <w:ind w:left="16" w:right="265" w:firstLine="420"/>
        <w:spacing w:before="108" w:line="353" w:lineRule="auto"/>
        <w:jc w:val="both"/>
        <w:rPr/>
      </w:pPr>
      <w:r>
        <w:rPr>
          <w:spacing w:val="6"/>
        </w:rPr>
        <w:t>成员单位：市消防救援支队、市应急管理</w:t>
      </w:r>
      <w:r>
        <w:rPr/>
        <w:t>局、生态环境局、自然资源局、水务局等部门，</w:t>
      </w:r>
      <w:r>
        <w:rPr>
          <w:spacing w:val="18"/>
        </w:rPr>
        <w:t>应急救援指挥部根据事故应急救援需要确定</w:t>
      </w:r>
      <w:r>
        <w:rPr>
          <w:spacing w:val="8"/>
        </w:rPr>
        <w:t>的非政府职能部门以及事故企业。</w:t>
      </w:r>
    </w:p>
    <w:p>
      <w:pPr>
        <w:pStyle w:val="BodyText"/>
        <w:ind w:left="20" w:right="219" w:firstLine="424"/>
        <w:spacing w:before="4" w:line="341" w:lineRule="auto"/>
        <w:jc w:val="both"/>
        <w:rPr/>
      </w:pPr>
      <w:r>
        <w:rPr>
          <w:spacing w:val="6"/>
        </w:rPr>
        <w:t>主要职责：负责组织、指挥生产安全事故</w:t>
      </w:r>
      <w:r>
        <w:rPr>
          <w:spacing w:val="2"/>
        </w:rPr>
        <w:t>的抢险救援工作，组织调动消防、企业专（兼）</w:t>
      </w:r>
      <w:r>
        <w:rPr>
          <w:spacing w:val="8"/>
        </w:rPr>
        <w:t>职应急救援力量开展救援。</w:t>
      </w:r>
    </w:p>
    <w:p>
      <w:pPr>
        <w:pStyle w:val="BodyText"/>
        <w:ind w:left="437"/>
        <w:spacing w:before="50" w:line="221" w:lineRule="auto"/>
        <w:rPr/>
      </w:pPr>
      <w:r>
        <w:rPr>
          <w:rFonts w:ascii="Times New Roman" w:hAnsi="Times New Roman" w:eastAsia="Times New Roman" w:cs="Times New Roman"/>
          <w:spacing w:val="5"/>
        </w:rPr>
        <w:t>2.3.2 </w:t>
      </w:r>
      <w:r>
        <w:rPr>
          <w:spacing w:val="5"/>
        </w:rPr>
        <w:t>交通治安组。</w:t>
      </w:r>
    </w:p>
    <w:p>
      <w:pPr>
        <w:pStyle w:val="BodyText"/>
        <w:ind w:left="436"/>
        <w:spacing w:before="139" w:line="278" w:lineRule="exact"/>
        <w:rPr/>
      </w:pPr>
      <w:r>
        <w:rPr>
          <w:spacing w:val="9"/>
          <w:position w:val="1"/>
        </w:rPr>
        <w:t>组长单位：市公安局</w:t>
      </w:r>
    </w:p>
    <w:p>
      <w:pPr>
        <w:pStyle w:val="BodyText"/>
        <w:ind w:left="16" w:right="327" w:firstLine="420"/>
        <w:spacing w:before="107" w:line="341" w:lineRule="auto"/>
        <w:jc w:val="both"/>
        <w:rPr/>
      </w:pPr>
      <w:r>
        <w:rPr>
          <w:spacing w:val="4"/>
        </w:rPr>
        <w:t>成员单位：市县（</w:t>
      </w:r>
      <w:r>
        <w:rPr>
          <w:spacing w:val="-48"/>
        </w:rPr>
        <w:t xml:space="preserve"> </w:t>
      </w:r>
      <w:r>
        <w:rPr>
          <w:spacing w:val="4"/>
        </w:rPr>
        <w:t>区）公安局、交通运输</w:t>
      </w:r>
      <w:r>
        <w:rPr>
          <w:spacing w:val="4"/>
        </w:rPr>
        <w:t>局、交警支（大）队和事故发生地县（</w:t>
      </w:r>
      <w:r>
        <w:rPr>
          <w:spacing w:val="-33"/>
        </w:rPr>
        <w:t xml:space="preserve"> </w:t>
      </w:r>
      <w:r>
        <w:rPr>
          <w:spacing w:val="4"/>
        </w:rPr>
        <w:t>区）政</w:t>
      </w:r>
      <w:r>
        <w:rPr>
          <w:spacing w:val="8"/>
        </w:rPr>
        <w:t>府及其相关部门。</w:t>
      </w:r>
    </w:p>
    <w:p>
      <w:pPr>
        <w:pStyle w:val="BodyText"/>
        <w:ind w:left="16" w:right="329" w:firstLine="428"/>
        <w:spacing w:before="44" w:line="354" w:lineRule="auto"/>
        <w:jc w:val="both"/>
        <w:rPr/>
      </w:pPr>
      <w:r>
        <w:rPr>
          <w:spacing w:val="6"/>
        </w:rPr>
        <w:t>主要职责：负责保护事故现场，设立警界</w:t>
      </w:r>
      <w:r>
        <w:rPr>
          <w:spacing w:val="7"/>
        </w:rPr>
        <w:t>区域，维护现场秩序，防止事态扩大；负责危</w:t>
      </w:r>
      <w:r>
        <w:rPr>
          <w:spacing w:val="7"/>
        </w:rPr>
        <w:t>险区域内人员疏散和临时安置工作；指挥、调</w:t>
      </w:r>
      <w:r>
        <w:rPr>
          <w:spacing w:val="7"/>
        </w:rPr>
        <w:t>度撤出危害区的人员；及时疏散交通阻塞，使</w:t>
      </w:r>
      <w:r>
        <w:rPr>
          <w:spacing w:val="9"/>
        </w:rPr>
        <w:t>车辆顺利地通过通道；维护社会治安。</w:t>
      </w:r>
    </w:p>
    <w:p>
      <w:pPr>
        <w:pStyle w:val="BodyText"/>
        <w:ind w:left="437"/>
        <w:spacing w:before="4" w:line="223" w:lineRule="auto"/>
        <w:rPr/>
      </w:pPr>
      <w:r>
        <w:rPr>
          <w:rFonts w:ascii="Times New Roman" w:hAnsi="Times New Roman" w:eastAsia="Times New Roman" w:cs="Times New Roman"/>
          <w:spacing w:val="5"/>
        </w:rPr>
        <w:t>2.3.3 </w:t>
      </w:r>
      <w:r>
        <w:rPr>
          <w:spacing w:val="5"/>
        </w:rPr>
        <w:t>通信保障组。</w:t>
      </w:r>
    </w:p>
    <w:p>
      <w:pPr>
        <w:pStyle w:val="BodyText"/>
        <w:ind w:left="436"/>
        <w:spacing w:before="140" w:line="278" w:lineRule="exact"/>
        <w:rPr/>
      </w:pPr>
      <w:r>
        <w:rPr>
          <w:spacing w:val="9"/>
          <w:position w:val="1"/>
        </w:rPr>
        <w:t>组长单位：市工业和信息化局</w:t>
      </w:r>
    </w:p>
    <w:p>
      <w:pPr>
        <w:pStyle w:val="BodyText"/>
        <w:ind w:left="16" w:right="329" w:firstLine="420"/>
        <w:spacing w:before="106" w:line="337" w:lineRule="auto"/>
        <w:rPr/>
      </w:pPr>
      <w:r>
        <w:rPr>
          <w:spacing w:val="4"/>
        </w:rPr>
        <w:t>成员单位：市县（</w:t>
      </w:r>
      <w:r>
        <w:rPr>
          <w:spacing w:val="-48"/>
        </w:rPr>
        <w:t xml:space="preserve"> </w:t>
      </w:r>
      <w:r>
        <w:rPr>
          <w:spacing w:val="4"/>
        </w:rPr>
        <w:t>区）工业和信息化局及</w:t>
      </w:r>
      <w:r>
        <w:rPr>
          <w:spacing w:val="8"/>
        </w:rPr>
        <w:t>其相关通信部门。</w:t>
      </w:r>
    </w:p>
    <w:p>
      <w:pPr>
        <w:pStyle w:val="BodyText"/>
        <w:ind w:left="445"/>
        <w:spacing w:before="38" w:line="221" w:lineRule="auto"/>
        <w:rPr/>
      </w:pPr>
      <w:r>
        <w:rPr>
          <w:spacing w:val="8"/>
        </w:rPr>
        <w:t>主要职责：负责事故应急通信保障。</w:t>
      </w:r>
    </w:p>
    <w:p>
      <w:pPr>
        <w:spacing w:line="14" w:lineRule="auto"/>
        <w:rPr>
          <w:rFonts w:ascii="Arial"/>
          <w:sz w:val="2"/>
        </w:rPr>
      </w:pPr>
      <w:r>
        <w:rPr>
          <w:rFonts w:ascii="Arial" w:hAnsi="Arial" w:eastAsia="Arial" w:cs="Arial"/>
          <w:sz w:val="2"/>
          <w:szCs w:val="2"/>
        </w:rPr>
        <w:br w:type="column"/>
      </w:r>
    </w:p>
    <w:p>
      <w:pPr>
        <w:pStyle w:val="BodyText"/>
        <w:ind w:left="421"/>
        <w:spacing w:before="42" w:line="220" w:lineRule="auto"/>
        <w:rPr/>
      </w:pPr>
      <w:r>
        <w:rPr>
          <w:rFonts w:ascii="Times New Roman" w:hAnsi="Times New Roman" w:eastAsia="Times New Roman" w:cs="Times New Roman"/>
          <w:spacing w:val="4"/>
        </w:rPr>
        <w:t>2.3.4</w:t>
      </w:r>
      <w:r>
        <w:rPr>
          <w:rFonts w:ascii="Times New Roman" w:hAnsi="Times New Roman" w:eastAsia="Times New Roman" w:cs="Times New Roman"/>
          <w:spacing w:val="19"/>
          <w:w w:val="101"/>
        </w:rPr>
        <w:t xml:space="preserve"> </w:t>
      </w:r>
      <w:r>
        <w:rPr>
          <w:spacing w:val="4"/>
        </w:rPr>
        <w:t>医疗救治组。</w:t>
      </w:r>
    </w:p>
    <w:p>
      <w:pPr>
        <w:pStyle w:val="BodyText"/>
        <w:ind w:left="421"/>
        <w:spacing w:before="140" w:line="277" w:lineRule="exact"/>
        <w:rPr/>
      </w:pPr>
      <w:r>
        <w:rPr>
          <w:spacing w:val="9"/>
          <w:position w:val="1"/>
        </w:rPr>
        <w:t>组长单位：市卫生健康委员会</w:t>
      </w:r>
    </w:p>
    <w:p>
      <w:pPr>
        <w:pStyle w:val="BodyText"/>
        <w:ind w:left="3" w:right="110" w:firstLine="418"/>
        <w:spacing w:before="107" w:line="353" w:lineRule="auto"/>
        <w:rPr/>
      </w:pPr>
      <w:r>
        <w:rPr>
          <w:spacing w:val="6"/>
        </w:rPr>
        <w:t>成员单位：市人民医院、中医医院、事故</w:t>
      </w:r>
      <w:r>
        <w:rPr>
          <w:spacing w:val="5"/>
        </w:rPr>
        <w:t>发生地县（</w:t>
      </w:r>
      <w:r>
        <w:rPr>
          <w:spacing w:val="-48"/>
        </w:rPr>
        <w:t xml:space="preserve"> </w:t>
      </w:r>
      <w:r>
        <w:rPr>
          <w:spacing w:val="5"/>
        </w:rPr>
        <w:t>区）医疗卫生机构。</w:t>
      </w:r>
    </w:p>
    <w:p>
      <w:pPr>
        <w:pStyle w:val="BodyText"/>
        <w:ind w:right="110" w:firstLine="428"/>
        <w:spacing w:before="5" w:line="354" w:lineRule="auto"/>
        <w:jc w:val="both"/>
        <w:rPr/>
      </w:pPr>
      <w:r>
        <w:rPr>
          <w:spacing w:val="6"/>
        </w:rPr>
        <w:t>主要职责：负责组织、调配、指挥医疗救</w:t>
      </w:r>
      <w:r>
        <w:rPr>
          <w:spacing w:val="7"/>
        </w:rPr>
        <w:t>护力量、资源，开展医疗救援工作。负责组织</w:t>
      </w:r>
      <w:r>
        <w:rPr>
          <w:spacing w:val="7"/>
        </w:rPr>
        <w:t>救治受伤人员，设立现场医疗急救站，对受伤</w:t>
      </w:r>
      <w:r>
        <w:rPr>
          <w:spacing w:val="7"/>
        </w:rPr>
        <w:t>和中毒人员进行现场分类和急救处理，并及时</w:t>
      </w:r>
      <w:r>
        <w:rPr>
          <w:spacing w:val="8"/>
        </w:rPr>
        <w:t>合理转送有关医院进行救治。</w:t>
      </w:r>
    </w:p>
    <w:p>
      <w:pPr>
        <w:pStyle w:val="BodyText"/>
        <w:ind w:left="421"/>
        <w:spacing w:before="5" w:line="223" w:lineRule="auto"/>
        <w:rPr/>
      </w:pPr>
      <w:r>
        <w:rPr>
          <w:rFonts w:ascii="Times New Roman" w:hAnsi="Times New Roman" w:eastAsia="Times New Roman" w:cs="Times New Roman"/>
          <w:spacing w:val="5"/>
        </w:rPr>
        <w:t>2.3.5 </w:t>
      </w:r>
      <w:r>
        <w:rPr>
          <w:spacing w:val="5"/>
        </w:rPr>
        <w:t>应急专家组。</w:t>
      </w:r>
    </w:p>
    <w:p>
      <w:pPr>
        <w:pStyle w:val="BodyText"/>
        <w:ind w:left="421"/>
        <w:spacing w:before="138" w:line="278" w:lineRule="exact"/>
        <w:rPr/>
      </w:pPr>
      <w:r>
        <w:rPr>
          <w:spacing w:val="9"/>
          <w:position w:val="1"/>
        </w:rPr>
        <w:t>组长单位：市应急管理局</w:t>
      </w:r>
    </w:p>
    <w:p>
      <w:pPr>
        <w:pStyle w:val="BodyText"/>
        <w:ind w:left="421"/>
        <w:spacing w:before="106" w:line="278" w:lineRule="exact"/>
        <w:rPr/>
      </w:pPr>
      <w:r>
        <w:rPr>
          <w:spacing w:val="9"/>
          <w:position w:val="1"/>
        </w:rPr>
        <w:t>成员单位：市应急专家组</w:t>
      </w:r>
    </w:p>
    <w:p>
      <w:pPr>
        <w:pStyle w:val="BodyText"/>
        <w:ind w:left="1" w:right="110" w:firstLine="428"/>
        <w:spacing w:before="106" w:line="354" w:lineRule="auto"/>
        <w:jc w:val="both"/>
        <w:rPr/>
      </w:pPr>
      <w:r>
        <w:rPr>
          <w:spacing w:val="6"/>
        </w:rPr>
        <w:t>主要职责：市应急管理局负责组建生产安</w:t>
      </w:r>
      <w:r>
        <w:rPr>
          <w:spacing w:val="7"/>
        </w:rPr>
        <w:t>全事故应急专家队伍，建立健全专家决策咨询</w:t>
      </w:r>
      <w:r>
        <w:rPr>
          <w:spacing w:val="7"/>
        </w:rPr>
        <w:t>制度，为专家组开展工作提供必要的保障和服</w:t>
      </w:r>
      <w:r>
        <w:rPr>
          <w:spacing w:val="7"/>
        </w:rPr>
        <w:t>务。专家队伍的主要职责在市应急指挥部领导</w:t>
      </w:r>
      <w:r>
        <w:rPr>
          <w:spacing w:val="7"/>
        </w:rPr>
        <w:t>下负责生产安全事故应急救援指导，辅助决策</w:t>
      </w:r>
      <w:r>
        <w:rPr>
          <w:spacing w:val="6"/>
        </w:rPr>
        <w:t>和指挥。</w:t>
      </w:r>
    </w:p>
    <w:p>
      <w:pPr>
        <w:pStyle w:val="BodyText"/>
        <w:ind w:left="421"/>
        <w:spacing w:before="6" w:line="222" w:lineRule="auto"/>
        <w:rPr/>
      </w:pPr>
      <w:r>
        <w:rPr>
          <w:rFonts w:ascii="Times New Roman" w:hAnsi="Times New Roman" w:eastAsia="Times New Roman" w:cs="Times New Roman"/>
          <w:spacing w:val="5"/>
        </w:rPr>
        <w:t>2.3.6 </w:t>
      </w:r>
      <w:r>
        <w:rPr>
          <w:spacing w:val="5"/>
        </w:rPr>
        <w:t>资金保障组。</w:t>
      </w:r>
    </w:p>
    <w:p>
      <w:pPr>
        <w:pStyle w:val="BodyText"/>
        <w:ind w:left="3" w:right="110" w:firstLine="418"/>
        <w:spacing w:before="140" w:line="337" w:lineRule="auto"/>
        <w:rPr/>
      </w:pPr>
      <w:r>
        <w:rPr>
          <w:spacing w:val="4"/>
        </w:rPr>
        <w:t>组长单位：事故发生地县（</w:t>
      </w:r>
      <w:r>
        <w:rPr>
          <w:spacing w:val="-48"/>
        </w:rPr>
        <w:t xml:space="preserve"> </w:t>
      </w:r>
      <w:r>
        <w:rPr>
          <w:spacing w:val="4"/>
        </w:rPr>
        <w:t>区）政府、市</w:t>
      </w:r>
      <w:r>
        <w:rPr>
          <w:spacing w:val="7"/>
        </w:rPr>
        <w:t>财政局</w:t>
      </w:r>
    </w:p>
    <w:p>
      <w:pPr>
        <w:pStyle w:val="BodyText"/>
        <w:ind w:left="421"/>
        <w:spacing w:before="38" w:line="278" w:lineRule="exact"/>
        <w:rPr/>
      </w:pPr>
      <w:r>
        <w:rPr>
          <w:spacing w:val="6"/>
          <w:position w:val="1"/>
        </w:rPr>
        <w:t>成员单位：市、县（</w:t>
      </w:r>
      <w:r>
        <w:rPr>
          <w:spacing w:val="-52"/>
          <w:position w:val="1"/>
        </w:rPr>
        <w:t xml:space="preserve"> </w:t>
      </w:r>
      <w:r>
        <w:rPr>
          <w:spacing w:val="6"/>
          <w:position w:val="1"/>
        </w:rPr>
        <w:t>区）财政局</w:t>
      </w:r>
    </w:p>
    <w:p>
      <w:pPr>
        <w:pStyle w:val="BodyText"/>
        <w:ind w:left="2" w:right="110" w:firstLine="427"/>
        <w:spacing w:before="106" w:line="337" w:lineRule="auto"/>
        <w:rPr/>
      </w:pPr>
      <w:r>
        <w:rPr>
          <w:spacing w:val="6"/>
        </w:rPr>
        <w:t>主要职责：负责协调、保障事故应急救援</w:t>
      </w:r>
      <w:r>
        <w:rPr>
          <w:spacing w:val="7"/>
        </w:rPr>
        <w:t>工作所需资金。</w:t>
      </w:r>
    </w:p>
    <w:p>
      <w:pPr>
        <w:pStyle w:val="BodyText"/>
        <w:ind w:left="421"/>
        <w:spacing w:before="44" w:line="218" w:lineRule="auto"/>
        <w:rPr/>
      </w:pPr>
      <w:r>
        <w:rPr>
          <w:rFonts w:ascii="Times New Roman" w:hAnsi="Times New Roman" w:eastAsia="Times New Roman" w:cs="Times New Roman"/>
          <w:spacing w:val="5"/>
        </w:rPr>
        <w:t>2.3.7 </w:t>
      </w:r>
      <w:r>
        <w:rPr>
          <w:spacing w:val="5"/>
        </w:rPr>
        <w:t>环境监测组。</w:t>
      </w:r>
    </w:p>
    <w:p>
      <w:pPr>
        <w:pStyle w:val="BodyText"/>
        <w:ind w:left="421"/>
        <w:spacing w:before="142" w:line="278" w:lineRule="exact"/>
        <w:rPr/>
      </w:pPr>
      <w:r>
        <w:rPr>
          <w:spacing w:val="9"/>
          <w:position w:val="1"/>
        </w:rPr>
        <w:t>组长单位：市生态环境局</w:t>
      </w:r>
    </w:p>
    <w:p>
      <w:pPr>
        <w:pStyle w:val="BodyText"/>
        <w:spacing w:before="106" w:line="278" w:lineRule="exact"/>
        <w:jc w:val="right"/>
        <w:rPr/>
      </w:pPr>
      <w:r>
        <w:rPr>
          <w:spacing w:val="-1"/>
          <w:position w:val="1"/>
        </w:rPr>
        <w:t>成员单位：市县（</w:t>
      </w:r>
      <w:r>
        <w:rPr>
          <w:spacing w:val="-47"/>
          <w:position w:val="1"/>
        </w:rPr>
        <w:t xml:space="preserve"> </w:t>
      </w:r>
      <w:r>
        <w:rPr>
          <w:spacing w:val="-1"/>
          <w:position w:val="1"/>
        </w:rPr>
        <w:t>区）生态环境局（分局）</w:t>
      </w:r>
    </w:p>
    <w:p>
      <w:pPr>
        <w:pStyle w:val="BodyText"/>
        <w:ind w:right="110" w:firstLine="429"/>
        <w:spacing w:before="106" w:line="337" w:lineRule="auto"/>
        <w:rPr/>
      </w:pPr>
      <w:r>
        <w:rPr>
          <w:spacing w:val="6"/>
        </w:rPr>
        <w:t>主要职责：负责事故区域气象分析预报以</w:t>
      </w:r>
      <w:r>
        <w:rPr>
          <w:spacing w:val="9"/>
        </w:rPr>
        <w:t>及环境监测、环境污染处置工作。</w:t>
      </w:r>
    </w:p>
    <w:p>
      <w:pPr>
        <w:pStyle w:val="BodyText"/>
        <w:ind w:left="421"/>
        <w:spacing w:before="43" w:line="220" w:lineRule="auto"/>
        <w:rPr/>
      </w:pPr>
      <w:r>
        <w:rPr>
          <w:rFonts w:ascii="Times New Roman" w:hAnsi="Times New Roman" w:eastAsia="Times New Roman" w:cs="Times New Roman"/>
          <w:spacing w:val="5"/>
        </w:rPr>
        <w:t>2.3.8 </w:t>
      </w:r>
      <w:r>
        <w:rPr>
          <w:spacing w:val="5"/>
        </w:rPr>
        <w:t>事故调查组。</w:t>
      </w:r>
    </w:p>
    <w:p>
      <w:pPr>
        <w:pStyle w:val="BodyText"/>
        <w:ind w:left="421"/>
        <w:spacing w:before="141" w:line="277" w:lineRule="exact"/>
        <w:rPr/>
      </w:pPr>
      <w:r>
        <w:rPr>
          <w:spacing w:val="9"/>
          <w:position w:val="1"/>
        </w:rPr>
        <w:t>组长单位：市应急管理局</w:t>
      </w:r>
    </w:p>
    <w:p>
      <w:pPr>
        <w:pStyle w:val="BodyText"/>
        <w:ind w:left="2" w:right="110" w:firstLine="419"/>
        <w:spacing w:before="107" w:line="310" w:lineRule="auto"/>
        <w:jc w:val="both"/>
        <w:rPr/>
      </w:pPr>
      <w:r>
        <w:rPr>
          <w:spacing w:val="4"/>
        </w:rPr>
        <w:t>成员单位：市县（</w:t>
      </w:r>
      <w:r>
        <w:rPr>
          <w:spacing w:val="-48"/>
        </w:rPr>
        <w:t xml:space="preserve"> </w:t>
      </w:r>
      <w:r>
        <w:rPr>
          <w:spacing w:val="4"/>
        </w:rPr>
        <w:t>区）应急管理局、公安</w:t>
      </w:r>
      <w:r>
        <w:rPr>
          <w:spacing w:val="6"/>
        </w:rPr>
        <w:t>局、监委及其依据国务院</w:t>
      </w:r>
      <w:r>
        <w:rPr>
          <w:spacing w:val="-39"/>
        </w:rPr>
        <w:t xml:space="preserve"> </w:t>
      </w:r>
      <w:r>
        <w:rPr>
          <w:rFonts w:ascii="Times New Roman" w:hAnsi="Times New Roman" w:eastAsia="Times New Roman" w:cs="Times New Roman"/>
          <w:spacing w:val="6"/>
        </w:rPr>
        <w:t>493 </w:t>
      </w:r>
      <w:r>
        <w:rPr>
          <w:spacing w:val="6"/>
        </w:rPr>
        <w:t>号令规定的参与</w:t>
      </w:r>
      <w:r>
        <w:rPr>
          <w:spacing w:val="8"/>
        </w:rPr>
        <w:t>事故调查的其他相关部门。</w:t>
      </w:r>
    </w:p>
    <w:p>
      <w:pPr>
        <w:spacing w:line="310" w:lineRule="auto"/>
        <w:sectPr>
          <w:type w:val="continuous"/>
          <w:pgSz w:w="11906" w:h="16839"/>
          <w:pgMar w:top="1766" w:right="1480" w:bottom="1563" w:left="1576" w:header="1428" w:footer="1172" w:gutter="0"/>
          <w:cols w:equalWidth="0" w:num="2">
            <w:col w:w="4493" w:space="100"/>
            <w:col w:w="4258" w:space="0"/>
          </w:cols>
        </w:sectPr>
        <w:rPr/>
      </w:pPr>
    </w:p>
    <w:p>
      <w:pPr>
        <w:spacing w:before="46"/>
        <w:rPr/>
      </w:pPr>
      <w:r>
        <w:drawing>
          <wp:anchor distT="0" distB="0" distL="0" distR="0" simplePos="0" relativeHeight="252160000"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308" name="IM 1308"/>
            <wp:cNvGraphicFramePr/>
            <a:graphic>
              <a:graphicData uri="http://schemas.openxmlformats.org/drawingml/2006/picture">
                <pic:pic>
                  <pic:nvPicPr>
                    <pic:cNvPr id="1308" name="IM 1308"/>
                    <pic:cNvPicPr/>
                  </pic:nvPicPr>
                  <pic:blipFill>
                    <a:blip r:embed="rId656"/>
                    <a:stretch>
                      <a:fillRect/>
                    </a:stretch>
                  </pic:blipFill>
                  <pic:spPr>
                    <a:xfrm rot="0">
                      <a:off x="0" y="0"/>
                      <a:ext cx="5579745" cy="7620"/>
                    </a:xfrm>
                    <a:prstGeom prst="rect">
                      <a:avLst/>
                    </a:prstGeom>
                  </pic:spPr>
                </pic:pic>
              </a:graphicData>
            </a:graphic>
          </wp:anchor>
        </w:drawing>
      </w:r>
      <w:r/>
    </w:p>
    <w:p>
      <w:pPr>
        <w:sectPr>
          <w:headerReference w:type="default" r:id="rId654"/>
          <w:footerReference w:type="default" r:id="rId655"/>
          <w:pgSz w:w="11906" w:h="16839"/>
          <w:pgMar w:top="1772" w:right="1480" w:bottom="1547" w:left="1588" w:header="1428" w:footer="1172" w:gutter="0"/>
          <w:cols w:equalWidth="0" w:num="1">
            <w:col w:w="8838" w:space="0"/>
          </w:cols>
        </w:sectPr>
        <w:rPr/>
      </w:pPr>
    </w:p>
    <w:p>
      <w:pPr>
        <w:pStyle w:val="BodyText"/>
        <w:ind w:left="3" w:right="329" w:firstLine="429"/>
        <w:spacing w:before="47" w:line="351" w:lineRule="auto"/>
        <w:jc w:val="both"/>
        <w:rPr/>
      </w:pPr>
      <w:r>
        <w:rPr>
          <w:spacing w:val="6"/>
        </w:rPr>
        <w:t>主要职责：会同有关部门、派驻单位、企</w:t>
      </w:r>
      <w:r>
        <w:rPr>
          <w:spacing w:val="7"/>
        </w:rPr>
        <w:t>业对事故发生的经过、原因进行调查，及时查</w:t>
      </w:r>
      <w:r>
        <w:rPr>
          <w:spacing w:val="7"/>
        </w:rPr>
        <w:t>清在生产安全事故处置过程中，擅离职守或失</w:t>
      </w:r>
      <w:r>
        <w:rPr>
          <w:spacing w:val="7"/>
        </w:rPr>
        <w:t>职、渎职等情况，向市应急指挥部提交责任事</w:t>
      </w:r>
      <w:r>
        <w:rPr>
          <w:spacing w:val="7"/>
        </w:rPr>
        <w:t>故调查报告，为依法追究相关人员的责任提供</w:t>
      </w:r>
      <w:r>
        <w:rPr>
          <w:spacing w:val="5"/>
        </w:rPr>
        <w:t>依据。</w:t>
      </w:r>
    </w:p>
    <w:p>
      <w:pPr>
        <w:pStyle w:val="BodyText"/>
        <w:ind w:left="425"/>
        <w:spacing w:before="6" w:line="222" w:lineRule="auto"/>
        <w:rPr/>
      </w:pPr>
      <w:r>
        <w:rPr>
          <w:rFonts w:ascii="Times New Roman" w:hAnsi="Times New Roman" w:eastAsia="Times New Roman" w:cs="Times New Roman"/>
          <w:spacing w:val="5"/>
        </w:rPr>
        <w:t>2.3.9 </w:t>
      </w:r>
      <w:r>
        <w:rPr>
          <w:spacing w:val="5"/>
        </w:rPr>
        <w:t>新闻宣传组。</w:t>
      </w:r>
    </w:p>
    <w:p>
      <w:pPr>
        <w:pStyle w:val="BodyText"/>
        <w:ind w:left="3" w:right="329" w:firstLine="421"/>
        <w:spacing w:before="139" w:line="337" w:lineRule="auto"/>
        <w:rPr/>
      </w:pPr>
      <w:r>
        <w:rPr>
          <w:spacing w:val="6"/>
        </w:rPr>
        <w:t>组长单位：由应急管理指挥部根据工作需</w:t>
      </w:r>
      <w:r>
        <w:rPr>
          <w:spacing w:val="8"/>
        </w:rPr>
        <w:t>要确定</w:t>
      </w:r>
    </w:p>
    <w:p>
      <w:pPr>
        <w:pStyle w:val="BodyText"/>
        <w:ind w:left="25" w:right="253" w:firstLine="399"/>
        <w:spacing w:before="38" w:line="336" w:lineRule="auto"/>
        <w:rPr/>
      </w:pPr>
      <w:r>
        <w:rPr>
          <w:spacing w:val="10"/>
        </w:rPr>
        <w:t>成员单位：市应急管理局，固原电视台、</w:t>
      </w:r>
      <w:r>
        <w:rPr>
          <w:spacing w:val="-9"/>
        </w:rPr>
        <w:t>固原日报社、广播电视台和网络等相关媒体</w:t>
      </w:r>
      <w:r>
        <w:rPr>
          <w:spacing w:val="-10"/>
        </w:rPr>
        <w:t>单位。</w:t>
      </w:r>
    </w:p>
    <w:p>
      <w:pPr>
        <w:pStyle w:val="BodyText"/>
        <w:ind w:left="4" w:right="329" w:firstLine="428"/>
        <w:spacing w:before="40" w:line="354" w:lineRule="auto"/>
        <w:rPr/>
      </w:pPr>
      <w:r>
        <w:rPr>
          <w:spacing w:val="6"/>
        </w:rPr>
        <w:t>主要职责：跟踪事故发展动态，及时收集</w:t>
      </w:r>
      <w:r>
        <w:rPr>
          <w:spacing w:val="7"/>
        </w:rPr>
        <w:t>消防、生态环境、公安、卫生医疗等部门的救</w:t>
      </w:r>
      <w:r>
        <w:rPr>
          <w:spacing w:val="7"/>
        </w:rPr>
        <w:t>援工作情况，组织召开新闻发布会，正确引导</w:t>
      </w:r>
      <w:r>
        <w:rPr>
          <w:spacing w:val="7"/>
        </w:rPr>
        <w:t>社会舆论；做好前来报道、采访的新闻媒体单</w:t>
      </w:r>
      <w:r>
        <w:rPr>
          <w:spacing w:val="8"/>
        </w:rPr>
        <w:t>位人员的接待安排工作。</w:t>
      </w:r>
    </w:p>
    <w:p>
      <w:pPr>
        <w:pStyle w:val="BodyText"/>
        <w:ind w:left="425"/>
        <w:spacing w:before="7" w:line="221" w:lineRule="auto"/>
        <w:rPr/>
      </w:pPr>
      <w:r>
        <w:rPr>
          <w:rFonts w:ascii="Times New Roman" w:hAnsi="Times New Roman" w:eastAsia="Times New Roman" w:cs="Times New Roman"/>
          <w:spacing w:val="3"/>
        </w:rPr>
        <w:t>2.3.</w:t>
      </w:r>
      <w:r>
        <w:rPr>
          <w:rFonts w:ascii="Times New Roman" w:hAnsi="Times New Roman" w:eastAsia="Times New Roman" w:cs="Times New Roman"/>
          <w:spacing w:val="-20"/>
        </w:rPr>
        <w:t xml:space="preserve"> </w:t>
      </w:r>
      <w:r>
        <w:rPr>
          <w:rFonts w:ascii="Times New Roman" w:hAnsi="Times New Roman" w:eastAsia="Times New Roman" w:cs="Times New Roman"/>
          <w:spacing w:val="3"/>
        </w:rPr>
        <w:t>10 </w:t>
      </w:r>
      <w:r>
        <w:rPr>
          <w:spacing w:val="3"/>
        </w:rPr>
        <w:t>善后处理组。</w:t>
      </w:r>
    </w:p>
    <w:p>
      <w:pPr>
        <w:pStyle w:val="BodyText"/>
        <w:ind w:left="424"/>
        <w:spacing w:before="140" w:line="277" w:lineRule="exact"/>
        <w:rPr/>
      </w:pPr>
      <w:r>
        <w:rPr>
          <w:spacing w:val="5"/>
          <w:position w:val="1"/>
        </w:rPr>
        <w:t>组长单位：事发地县（</w:t>
      </w:r>
      <w:r>
        <w:rPr>
          <w:spacing w:val="-38"/>
          <w:position w:val="1"/>
        </w:rPr>
        <w:t xml:space="preserve"> </w:t>
      </w:r>
      <w:r>
        <w:rPr>
          <w:spacing w:val="5"/>
          <w:position w:val="1"/>
        </w:rPr>
        <w:t>区）政府</w:t>
      </w:r>
    </w:p>
    <w:p>
      <w:pPr>
        <w:pStyle w:val="BodyText"/>
        <w:ind w:left="3" w:right="265" w:firstLine="429"/>
        <w:spacing w:before="110" w:line="354" w:lineRule="auto"/>
        <w:jc w:val="both"/>
        <w:rPr/>
      </w:pPr>
      <w:r>
        <w:rPr>
          <w:spacing w:val="6"/>
        </w:rPr>
        <w:t>主要职责：负责事发地受灾人员的善后处</w:t>
      </w:r>
      <w:r>
        <w:rPr>
          <w:spacing w:val="7"/>
        </w:rPr>
        <w:t>理和灾后重建工作。各应急救援工作组应根据</w:t>
      </w:r>
      <w:r>
        <w:rPr>
          <w:spacing w:val="15"/>
        </w:rPr>
        <w:t>工作职责</w:t>
      </w:r>
      <w:r>
        <w:rPr>
          <w:spacing w:val="-39"/>
        </w:rPr>
        <w:t xml:space="preserve"> </w:t>
      </w:r>
      <w:r>
        <w:rPr>
          <w:spacing w:val="15"/>
        </w:rPr>
        <w:t>，在市应急管理指挥部的统一领导</w:t>
      </w:r>
      <w:r>
        <w:rPr/>
        <w:t>下，主动做好相关工作，并根据事件发展趋势，</w:t>
      </w:r>
      <w:r>
        <w:rPr>
          <w:spacing w:val="15"/>
        </w:rPr>
        <w:t>及时调整应急措施和方案</w:t>
      </w:r>
      <w:r>
        <w:rPr>
          <w:spacing w:val="-39"/>
        </w:rPr>
        <w:t xml:space="preserve"> </w:t>
      </w:r>
      <w:r>
        <w:rPr>
          <w:spacing w:val="15"/>
        </w:rPr>
        <w:t>，加大应急处置力</w:t>
      </w:r>
      <w:r>
        <w:rPr>
          <w:spacing w:val="-8"/>
        </w:rPr>
        <w:t>度，不断提高应急处置工作的针对性和时效性。</w:t>
      </w:r>
    </w:p>
    <w:p>
      <w:pPr>
        <w:ind w:left="424"/>
        <w:spacing w:line="264" w:lineRule="exact"/>
        <w:rPr>
          <w:rFonts w:ascii="KaiTi" w:hAnsi="KaiTi" w:eastAsia="KaiTi" w:cs="KaiTi"/>
          <w:sz w:val="20"/>
          <w:szCs w:val="20"/>
        </w:rPr>
      </w:pPr>
      <w:r>
        <w:rPr>
          <w:rFonts w:ascii="Times New Roman" w:hAnsi="Times New Roman" w:eastAsia="Times New Roman" w:cs="Times New Roman"/>
          <w:sz w:val="20"/>
          <w:szCs w:val="20"/>
          <w:b/>
          <w:bCs/>
          <w:spacing w:val="3"/>
          <w:position w:val="1"/>
        </w:rPr>
        <w:t>3</w:t>
      </w:r>
      <w:r>
        <w:rPr>
          <w:rFonts w:ascii="Times New Roman" w:hAnsi="Times New Roman" w:eastAsia="Times New Roman" w:cs="Times New Roman"/>
          <w:sz w:val="20"/>
          <w:szCs w:val="20"/>
          <w:b/>
          <w:bCs/>
          <w:spacing w:val="7"/>
          <w:position w:val="1"/>
        </w:rPr>
        <w:t xml:space="preserve">    </w:t>
      </w:r>
      <w:r>
        <w:rPr>
          <w:rFonts w:ascii="KaiTi" w:hAnsi="KaiTi" w:eastAsia="KaiTi" w:cs="KaiTi"/>
          <w:sz w:val="20"/>
          <w:szCs w:val="20"/>
          <w:b/>
          <w:bCs/>
          <w:spacing w:val="3"/>
          <w:position w:val="1"/>
        </w:rPr>
        <w:t>处置程序</w:t>
      </w:r>
    </w:p>
    <w:p>
      <w:pPr>
        <w:pStyle w:val="BodyText"/>
        <w:ind w:left="5" w:right="327" w:firstLine="423"/>
        <w:spacing w:before="122" w:line="342" w:lineRule="auto"/>
        <w:jc w:val="both"/>
        <w:rPr/>
      </w:pPr>
      <w:r>
        <w:rPr>
          <w:rFonts w:ascii="Times New Roman" w:hAnsi="Times New Roman" w:eastAsia="Times New Roman" w:cs="Times New Roman"/>
          <w:spacing w:val="7"/>
        </w:rPr>
        <w:t>3.</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1  </w:t>
      </w:r>
      <w:r>
        <w:rPr>
          <w:rFonts w:ascii="KaiTi" w:hAnsi="KaiTi" w:eastAsia="KaiTi" w:cs="KaiTi"/>
          <w:spacing w:val="7"/>
        </w:rPr>
        <w:t>信息报告。</w:t>
      </w:r>
      <w:r>
        <w:rPr>
          <w:spacing w:val="7"/>
        </w:rPr>
        <w:t>事故发生后，事故现</w:t>
      </w:r>
      <w:r>
        <w:rPr>
          <w:spacing w:val="6"/>
        </w:rPr>
        <w:t>场人</w:t>
      </w:r>
      <w:r>
        <w:rPr>
          <w:spacing w:val="7"/>
        </w:rPr>
        <w:t>员应立即向事故单位负责人报告；事故单位负</w:t>
      </w:r>
      <w:r>
        <w:rPr>
          <w:spacing w:val="7"/>
        </w:rPr>
        <w:t>责人应立即赶到现场核实基本情况，向市应急</w:t>
      </w:r>
      <w:r>
        <w:rPr>
          <w:spacing w:val="7"/>
        </w:rPr>
        <w:t>管理指挥部报告。发生较大及以上工贸企业生</w:t>
      </w:r>
      <w:r>
        <w:rPr>
          <w:spacing w:val="9"/>
        </w:rPr>
        <w:t>产安全事故</w:t>
      </w:r>
      <w:r>
        <w:rPr>
          <w:spacing w:val="-59"/>
        </w:rPr>
        <w:t xml:space="preserve"> </w:t>
      </w:r>
      <w:r>
        <w:rPr>
          <w:spacing w:val="9"/>
        </w:rPr>
        <w:t>，相关人员和单位必须在</w:t>
      </w:r>
      <w:r>
        <w:rPr>
          <w:spacing w:val="-37"/>
        </w:rPr>
        <w:t xml:space="preserve"> </w:t>
      </w:r>
      <w:r>
        <w:rPr>
          <w:rFonts w:ascii="Times New Roman" w:hAnsi="Times New Roman" w:eastAsia="Times New Roman" w:cs="Times New Roman"/>
          <w:spacing w:val="9"/>
        </w:rPr>
        <w:t>30 </w:t>
      </w:r>
      <w:r>
        <w:rPr>
          <w:spacing w:val="9"/>
        </w:rPr>
        <w:t>分钟</w:t>
      </w:r>
      <w:r>
        <w:rPr>
          <w:spacing w:val="18"/>
        </w:rPr>
        <w:t>内通过电话向市应急管理指挥部报告简要情</w:t>
      </w:r>
      <w:r>
        <w:rPr>
          <w:spacing w:val="5"/>
        </w:rPr>
        <w:t>况；事发后</w:t>
      </w:r>
      <w:r>
        <w:rPr>
          <w:spacing w:val="-9"/>
        </w:rPr>
        <w:t xml:space="preserve"> </w:t>
      </w:r>
      <w:r>
        <w:rPr>
          <w:rFonts w:ascii="Times New Roman" w:hAnsi="Times New Roman" w:eastAsia="Times New Roman" w:cs="Times New Roman"/>
          <w:spacing w:val="5"/>
        </w:rPr>
        <w:t>1 </w:t>
      </w:r>
      <w:r>
        <w:rPr>
          <w:spacing w:val="5"/>
        </w:rPr>
        <w:t>小时内将事故详细信息书面报告</w:t>
      </w:r>
      <w:r>
        <w:rPr>
          <w:spacing w:val="6"/>
        </w:rPr>
        <w:t>市应急管理指挥部办公室。</w:t>
      </w:r>
      <w:r>
        <w:rPr>
          <w:rFonts w:ascii="Times New Roman" w:hAnsi="Times New Roman" w:eastAsia="Times New Roman" w:cs="Times New Roman"/>
          <w:spacing w:val="6"/>
        </w:rPr>
        <w:t>110</w:t>
      </w:r>
      <w:r>
        <w:rPr>
          <w:rFonts w:ascii="Times New Roman" w:hAnsi="Times New Roman" w:eastAsia="Times New Roman" w:cs="Times New Roman"/>
          <w:spacing w:val="28"/>
          <w:w w:val="101"/>
        </w:rPr>
        <w:t xml:space="preserve"> </w:t>
      </w:r>
      <w:r>
        <w:rPr>
          <w:spacing w:val="6"/>
        </w:rPr>
        <w:t>和</w:t>
      </w:r>
      <w:r>
        <w:rPr>
          <w:spacing w:val="-23"/>
        </w:rPr>
        <w:t xml:space="preserve"> </w:t>
      </w:r>
      <w:r>
        <w:rPr>
          <w:rFonts w:ascii="Times New Roman" w:hAnsi="Times New Roman" w:eastAsia="Times New Roman" w:cs="Times New Roman"/>
          <w:spacing w:val="6"/>
        </w:rPr>
        <w:t>120 </w:t>
      </w:r>
      <w:r>
        <w:rPr>
          <w:spacing w:val="6"/>
        </w:rPr>
        <w:t>接警后</w:t>
      </w:r>
      <w:r>
        <w:rPr>
          <w:spacing w:val="7"/>
        </w:rPr>
        <w:t>可采用电话、传真、书面等方式向市应急管理</w:t>
      </w:r>
    </w:p>
    <w:p>
      <w:pPr>
        <w:spacing w:line="14" w:lineRule="auto"/>
        <w:rPr>
          <w:rFonts w:ascii="Arial"/>
          <w:sz w:val="2"/>
        </w:rPr>
      </w:pPr>
      <w:r>
        <w:rPr>
          <w:rFonts w:ascii="Arial" w:hAnsi="Arial" w:eastAsia="Arial" w:cs="Arial"/>
          <w:sz w:val="2"/>
          <w:szCs w:val="2"/>
        </w:rPr>
        <w:br w:type="column"/>
      </w:r>
    </w:p>
    <w:p>
      <w:pPr>
        <w:pStyle w:val="BodyText"/>
        <w:ind w:left="3" w:right="110"/>
        <w:spacing w:before="55" w:line="354" w:lineRule="auto"/>
        <w:rPr/>
      </w:pPr>
      <w:r>
        <w:rPr>
          <w:spacing w:val="7"/>
        </w:rPr>
        <w:t>指挥部及时报告事故情况。市应急管理指挥部</w:t>
      </w:r>
      <w:r>
        <w:rPr>
          <w:spacing w:val="6"/>
        </w:rPr>
        <w:t>办公室</w:t>
      </w:r>
      <w:r>
        <w:rPr>
          <w:spacing w:val="-42"/>
        </w:rPr>
        <w:t xml:space="preserve"> </w:t>
      </w:r>
      <w:r>
        <w:rPr>
          <w:rFonts w:ascii="Times New Roman" w:hAnsi="Times New Roman" w:eastAsia="Times New Roman" w:cs="Times New Roman"/>
          <w:spacing w:val="6"/>
        </w:rPr>
        <w:t>24 </w:t>
      </w:r>
      <w:r>
        <w:rPr>
          <w:spacing w:val="6"/>
        </w:rPr>
        <w:t>小时值班电话：</w:t>
      </w:r>
      <w:r>
        <w:rPr>
          <w:rFonts w:ascii="Times New Roman" w:hAnsi="Times New Roman" w:eastAsia="Times New Roman" w:cs="Times New Roman"/>
          <w:spacing w:val="6"/>
        </w:rPr>
        <w:t>0954-2088154</w:t>
      </w:r>
      <w:r>
        <w:rPr>
          <w:spacing w:val="6"/>
        </w:rPr>
        <w:t>。</w:t>
      </w:r>
    </w:p>
    <w:p>
      <w:pPr>
        <w:pStyle w:val="BodyText"/>
        <w:ind w:right="29" w:firstLine="422"/>
        <w:spacing w:before="3" w:line="352" w:lineRule="auto"/>
        <w:jc w:val="both"/>
        <w:rPr/>
      </w:pPr>
      <w:r>
        <w:rPr>
          <w:spacing w:val="19"/>
        </w:rPr>
        <w:t>工贸企业生产安全事故信息报告内容主</w:t>
      </w:r>
      <w:r>
        <w:rPr>
          <w:spacing w:val="1"/>
        </w:rPr>
        <w:t>要包括：事故发生单位概况、事故发生的时间、</w:t>
      </w:r>
      <w:r>
        <w:rPr>
          <w:spacing w:val="7"/>
        </w:rPr>
        <w:t>地点、简要经过；可能造成的危害程度、影响</w:t>
      </w:r>
      <w:r>
        <w:rPr>
          <w:spacing w:val="7"/>
        </w:rPr>
        <w:t>范围、遇险人数、直接经济损失；已采取的应</w:t>
      </w:r>
      <w:r>
        <w:rPr>
          <w:spacing w:val="7"/>
        </w:rPr>
        <w:t>急处置措施和目前事故处置进展情况；下一步</w:t>
      </w:r>
      <w:r>
        <w:rPr>
          <w:spacing w:val="8"/>
        </w:rPr>
        <w:t>拟采取的措施等。</w:t>
      </w:r>
    </w:p>
    <w:p>
      <w:pPr>
        <w:ind w:left="426"/>
        <w:spacing w:before="9" w:line="242" w:lineRule="auto"/>
        <w:rPr>
          <w:rFonts w:ascii="KaiTi" w:hAnsi="KaiTi" w:eastAsia="KaiTi" w:cs="KaiTi"/>
          <w:sz w:val="20"/>
          <w:szCs w:val="20"/>
        </w:rPr>
      </w:pPr>
      <w:r>
        <w:rPr>
          <w:rFonts w:ascii="Times New Roman" w:hAnsi="Times New Roman" w:eastAsia="Times New Roman" w:cs="Times New Roman"/>
          <w:sz w:val="20"/>
          <w:szCs w:val="20"/>
          <w:spacing w:val="3"/>
        </w:rPr>
        <w:t>3.2</w:t>
      </w:r>
      <w:r>
        <w:rPr>
          <w:rFonts w:ascii="Times New Roman" w:hAnsi="Times New Roman" w:eastAsia="Times New Roman" w:cs="Times New Roman"/>
          <w:sz w:val="20"/>
          <w:szCs w:val="20"/>
          <w:spacing w:val="10"/>
        </w:rPr>
        <w:t xml:space="preserve">  </w:t>
      </w:r>
      <w:r>
        <w:rPr>
          <w:rFonts w:ascii="KaiTi" w:hAnsi="KaiTi" w:eastAsia="KaiTi" w:cs="KaiTi"/>
          <w:sz w:val="20"/>
          <w:szCs w:val="20"/>
          <w:spacing w:val="3"/>
        </w:rPr>
        <w:t>先期处置。</w:t>
      </w:r>
    </w:p>
    <w:p>
      <w:pPr>
        <w:pStyle w:val="BodyText"/>
        <w:ind w:firstLine="425"/>
        <w:spacing w:before="128" w:line="327" w:lineRule="auto"/>
        <w:rPr/>
      </w:pPr>
      <w:r>
        <w:rPr>
          <w:rFonts w:ascii="Times New Roman" w:hAnsi="Times New Roman" w:eastAsia="Times New Roman" w:cs="Times New Roman"/>
          <w:spacing w:val="3"/>
        </w:rPr>
        <w:t>3.2.1 </w:t>
      </w:r>
      <w:r>
        <w:rPr>
          <w:spacing w:val="3"/>
        </w:rPr>
        <w:t>工贸企业生产安全事故发生后，事故</w:t>
      </w:r>
      <w:r>
        <w:rPr/>
        <w:t>单位要立即组织开展先期处置，事发地县（</w:t>
      </w:r>
      <w:r>
        <w:rPr>
          <w:spacing w:val="-45"/>
        </w:rPr>
        <w:t xml:space="preserve"> </w:t>
      </w:r>
      <w:r>
        <w:rPr/>
        <w:t>区）</w:t>
      </w:r>
      <w:r>
        <w:rPr>
          <w:spacing w:val="18"/>
        </w:rPr>
        <w:t>应急管理局相关负责人要在第一时间赶赴现</w:t>
      </w:r>
      <w:r>
        <w:rPr>
          <w:spacing w:val="7"/>
        </w:rPr>
        <w:t>场，查明情况，及时上报，控制事态发展，开</w:t>
      </w:r>
      <w:r>
        <w:rPr>
          <w:spacing w:val="8"/>
        </w:rPr>
        <w:t>展先期处置工作。</w:t>
      </w:r>
    </w:p>
    <w:p>
      <w:pPr>
        <w:pStyle w:val="BodyText"/>
        <w:ind w:left="1" w:right="107" w:firstLine="424"/>
        <w:spacing w:before="147" w:line="332" w:lineRule="auto"/>
        <w:rPr/>
      </w:pPr>
      <w:r>
        <w:rPr>
          <w:rFonts w:ascii="Times New Roman" w:hAnsi="Times New Roman" w:eastAsia="Times New Roman" w:cs="Times New Roman"/>
          <w:spacing w:val="3"/>
        </w:rPr>
        <w:t>3.2.2 </w:t>
      </w:r>
      <w:r>
        <w:rPr>
          <w:spacing w:val="3"/>
        </w:rPr>
        <w:t>达到一般事故时，启动事发地县级生</w:t>
      </w:r>
      <w:r>
        <w:rPr>
          <w:spacing w:val="7"/>
        </w:rPr>
        <w:t>产安全事故应急预案，按照应急预案规定成立</w:t>
      </w:r>
      <w:r>
        <w:rPr>
          <w:spacing w:val="4"/>
        </w:rPr>
        <w:t>现场指挥部。现场总指挥由事发地县（</w:t>
      </w:r>
      <w:r>
        <w:rPr>
          <w:spacing w:val="-36"/>
        </w:rPr>
        <w:t xml:space="preserve"> </w:t>
      </w:r>
      <w:r>
        <w:rPr>
          <w:spacing w:val="4"/>
        </w:rPr>
        <w:t>区）分</w:t>
      </w:r>
      <w:r>
        <w:rPr>
          <w:spacing w:val="4"/>
        </w:rPr>
        <w:t>管副县（</w:t>
      </w:r>
      <w:r>
        <w:rPr>
          <w:spacing w:val="-36"/>
        </w:rPr>
        <w:t xml:space="preserve"> </w:t>
      </w:r>
      <w:r>
        <w:rPr>
          <w:spacing w:val="4"/>
        </w:rPr>
        <w:t>区）长、应急管理局局长担任，制定</w:t>
      </w:r>
      <w:r>
        <w:rPr>
          <w:spacing w:val="7"/>
        </w:rPr>
        <w:t>先期处置方案，开展抢险救援和人员救治，组</w:t>
      </w:r>
      <w:r>
        <w:rPr>
          <w:spacing w:val="8"/>
        </w:rPr>
        <w:t>织相关单位开展先期处置工作。</w:t>
      </w:r>
    </w:p>
    <w:p>
      <w:pPr>
        <w:pStyle w:val="BodyText"/>
        <w:ind w:left="5" w:right="107" w:firstLine="420"/>
        <w:spacing w:before="147" w:line="309" w:lineRule="auto"/>
        <w:rPr/>
      </w:pPr>
      <w:r>
        <w:rPr>
          <w:rFonts w:ascii="Times New Roman" w:hAnsi="Times New Roman" w:eastAsia="Times New Roman" w:cs="Times New Roman"/>
          <w:spacing w:val="3"/>
        </w:rPr>
        <w:t>3.2.3 </w:t>
      </w:r>
      <w:r>
        <w:rPr>
          <w:spacing w:val="3"/>
        </w:rPr>
        <w:t>必要时，市应急管理指挥部办公室派</w:t>
      </w:r>
      <w:r>
        <w:rPr>
          <w:spacing w:val="7"/>
        </w:rPr>
        <w:t>出工作组赶赴事件现场，现场指导事发地政府</w:t>
      </w:r>
      <w:r>
        <w:rPr>
          <w:spacing w:val="7"/>
        </w:rPr>
        <w:t>开展抢险救援工作。</w:t>
      </w:r>
    </w:p>
    <w:p>
      <w:pPr>
        <w:ind w:left="426"/>
        <w:spacing w:before="141" w:line="268" w:lineRule="exact"/>
        <w:rPr>
          <w:rFonts w:ascii="KaiTi" w:hAnsi="KaiTi" w:eastAsia="KaiTi" w:cs="KaiTi"/>
          <w:sz w:val="20"/>
          <w:szCs w:val="20"/>
        </w:rPr>
      </w:pPr>
      <w:r>
        <w:rPr>
          <w:rFonts w:ascii="Times New Roman" w:hAnsi="Times New Roman" w:eastAsia="Times New Roman" w:cs="Times New Roman"/>
          <w:sz w:val="20"/>
          <w:szCs w:val="20"/>
          <w:spacing w:val="4"/>
          <w:position w:val="1"/>
        </w:rPr>
        <w:t>3.3  </w:t>
      </w:r>
      <w:r>
        <w:rPr>
          <w:rFonts w:ascii="KaiTi" w:hAnsi="KaiTi" w:eastAsia="KaiTi" w:cs="KaiTi"/>
          <w:sz w:val="20"/>
          <w:szCs w:val="20"/>
          <w:spacing w:val="4"/>
          <w:position w:val="1"/>
        </w:rPr>
        <w:t>应急响应。</w:t>
      </w:r>
    </w:p>
    <w:p>
      <w:pPr>
        <w:pStyle w:val="BodyText"/>
        <w:ind w:left="2" w:right="103" w:firstLine="423"/>
        <w:spacing w:before="115" w:line="322" w:lineRule="auto"/>
        <w:rPr/>
      </w:pPr>
      <w:r>
        <w:rPr>
          <w:rFonts w:ascii="Times New Roman" w:hAnsi="Times New Roman" w:eastAsia="Times New Roman" w:cs="Times New Roman"/>
          <w:spacing w:val="5"/>
        </w:rPr>
        <w:t>3.3.</w:t>
      </w:r>
      <w:r>
        <w:rPr>
          <w:rFonts w:ascii="Times New Roman" w:hAnsi="Times New Roman" w:eastAsia="Times New Roman" w:cs="Times New Roman"/>
          <w:spacing w:val="-28"/>
        </w:rPr>
        <w:t xml:space="preserve"> </w:t>
      </w:r>
      <w:r>
        <w:rPr>
          <w:rFonts w:ascii="Times New Roman" w:hAnsi="Times New Roman" w:eastAsia="Times New Roman" w:cs="Times New Roman"/>
          <w:spacing w:val="5"/>
        </w:rPr>
        <w:t>1Ⅰ</w:t>
      </w:r>
      <w:r>
        <w:rPr>
          <w:spacing w:val="5"/>
        </w:rPr>
        <w:t>级、</w:t>
      </w:r>
      <w:r>
        <w:rPr>
          <w:rFonts w:ascii="Times New Roman" w:hAnsi="Times New Roman" w:eastAsia="Times New Roman" w:cs="Times New Roman"/>
          <w:spacing w:val="5"/>
        </w:rPr>
        <w:t>Ⅱ</w:t>
      </w:r>
      <w:r>
        <w:rPr>
          <w:spacing w:val="5"/>
        </w:rPr>
        <w:t>级响应。发生重大 (</w:t>
      </w:r>
      <w:r>
        <w:rPr>
          <w:spacing w:val="-36"/>
        </w:rPr>
        <w:t xml:space="preserve"> </w:t>
      </w:r>
      <w:r>
        <w:rPr>
          <w:rFonts w:ascii="Times New Roman" w:hAnsi="Times New Roman" w:eastAsia="Times New Roman" w:cs="Times New Roman"/>
          <w:spacing w:val="5"/>
        </w:rPr>
        <w:t>Ⅱ</w:t>
      </w:r>
      <w:r>
        <w:rPr>
          <w:spacing w:val="5"/>
        </w:rPr>
        <w:t>级）、</w:t>
      </w:r>
      <w:r>
        <w:rPr>
          <w:spacing w:val="8"/>
        </w:rPr>
        <w:t>特大 (</w:t>
      </w:r>
      <w:r>
        <w:rPr>
          <w:spacing w:val="-33"/>
        </w:rPr>
        <w:t xml:space="preserve"> </w:t>
      </w:r>
      <w:r>
        <w:rPr>
          <w:rFonts w:ascii="Times New Roman" w:hAnsi="Times New Roman" w:eastAsia="Times New Roman" w:cs="Times New Roman"/>
          <w:spacing w:val="8"/>
        </w:rPr>
        <w:t>Ⅰ</w:t>
      </w:r>
      <w:r>
        <w:rPr>
          <w:spacing w:val="8"/>
        </w:rPr>
        <w:t>级）工贸企业生产安全事故</w:t>
      </w:r>
      <w:r>
        <w:rPr>
          <w:spacing w:val="-58"/>
        </w:rPr>
        <w:t xml:space="preserve"> </w:t>
      </w:r>
      <w:r>
        <w:rPr>
          <w:spacing w:val="8"/>
        </w:rPr>
        <w:t>，报请自</w:t>
      </w:r>
      <w:r>
        <w:rPr>
          <w:spacing w:val="7"/>
        </w:rPr>
        <w:t>治区党委、政府启动自治区级应急响应机制，</w:t>
      </w:r>
      <w:r>
        <w:rPr>
          <w:spacing w:val="9"/>
        </w:rPr>
        <w:t>政府按照职责分工配合做好应对处置工作。</w:t>
      </w:r>
    </w:p>
    <w:p>
      <w:pPr>
        <w:pStyle w:val="BodyText"/>
        <w:ind w:right="45" w:firstLine="426"/>
        <w:spacing w:before="144" w:line="332" w:lineRule="auto"/>
        <w:rPr/>
      </w:pPr>
      <w:r>
        <w:rPr>
          <w:rFonts w:ascii="Times New Roman" w:hAnsi="Times New Roman" w:eastAsia="Times New Roman" w:cs="Times New Roman"/>
          <w:spacing w:val="3"/>
        </w:rPr>
        <w:t>3.3.2Ⅲ</w:t>
      </w:r>
      <w:r>
        <w:rPr>
          <w:spacing w:val="3"/>
        </w:rPr>
        <w:t>级响应。发生较大 (</w:t>
      </w:r>
      <w:r>
        <w:rPr>
          <w:spacing w:val="-28"/>
        </w:rPr>
        <w:t xml:space="preserve"> </w:t>
      </w:r>
      <w:r>
        <w:rPr>
          <w:rFonts w:ascii="Times New Roman" w:hAnsi="Times New Roman" w:eastAsia="Times New Roman" w:cs="Times New Roman"/>
          <w:spacing w:val="3"/>
        </w:rPr>
        <w:t>Ⅲ</w:t>
      </w:r>
      <w:r>
        <w:rPr>
          <w:spacing w:val="3"/>
        </w:rPr>
        <w:t>级）工贸企</w:t>
      </w:r>
      <w:r>
        <w:rPr>
          <w:spacing w:val="7"/>
        </w:rPr>
        <w:t>业生产安全事故，由市应急管理指挥部启动应</w:t>
      </w:r>
      <w:r>
        <w:rPr>
          <w:spacing w:val="7"/>
        </w:rPr>
        <w:t>急响应措施，市应急管理局牵头立即组织专家</w:t>
      </w:r>
      <w:r>
        <w:rPr/>
        <w:t>调查确认，并对事故情况进行综合评估。同时，</w:t>
      </w:r>
      <w:r>
        <w:rPr>
          <w:spacing w:val="18"/>
        </w:rPr>
        <w:t>应急指挥部迅速组织成员单位和事故发生地</w:t>
      </w:r>
      <w:r>
        <w:rPr>
          <w:spacing w:val="4"/>
        </w:rPr>
        <w:t>县（</w:t>
      </w:r>
      <w:r>
        <w:rPr>
          <w:spacing w:val="-34"/>
        </w:rPr>
        <w:t xml:space="preserve"> </w:t>
      </w:r>
      <w:r>
        <w:rPr>
          <w:spacing w:val="4"/>
        </w:rPr>
        <w:t>区）政府开展现场救援，并按照规定向自</w:t>
      </w:r>
    </w:p>
    <w:p>
      <w:pPr>
        <w:spacing w:line="332" w:lineRule="auto"/>
        <w:sectPr>
          <w:type w:val="continuous"/>
          <w:pgSz w:w="11906" w:h="16839"/>
          <w:pgMar w:top="1772" w:right="1480" w:bottom="1547" w:left="1588" w:header="1428" w:footer="1172" w:gutter="0"/>
          <w:cols w:equalWidth="0" w:num="2">
            <w:col w:w="4481" w:space="100"/>
            <w:col w:w="4258" w:space="0"/>
          </w:cols>
        </w:sectPr>
        <w:rPr/>
      </w:pPr>
    </w:p>
    <w:p>
      <w:pPr>
        <w:spacing w:before="69"/>
        <w:rPr/>
      </w:pPr>
      <w:r>
        <w:drawing>
          <wp:anchor distT="0" distB="0" distL="0" distR="0" simplePos="0" relativeHeight="25216512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314" name="IM 1314"/>
            <wp:cNvGraphicFramePr/>
            <a:graphic>
              <a:graphicData uri="http://schemas.openxmlformats.org/drawingml/2006/picture">
                <pic:pic>
                  <pic:nvPicPr>
                    <pic:cNvPr id="1314" name="IM 1314"/>
                    <pic:cNvPicPr/>
                  </pic:nvPicPr>
                  <pic:blipFill>
                    <a:blip r:embed="rId659"/>
                    <a:stretch>
                      <a:fillRect/>
                    </a:stretch>
                  </pic:blipFill>
                  <pic:spPr>
                    <a:xfrm rot="0">
                      <a:off x="0" y="0"/>
                      <a:ext cx="5579745" cy="7620"/>
                    </a:xfrm>
                    <a:prstGeom prst="rect">
                      <a:avLst/>
                    </a:prstGeom>
                  </pic:spPr>
                </pic:pic>
              </a:graphicData>
            </a:graphic>
          </wp:anchor>
        </w:drawing>
      </w:r>
      <w:r/>
    </w:p>
    <w:p>
      <w:pPr>
        <w:sectPr>
          <w:headerReference w:type="default" r:id="rId657"/>
          <w:footerReference w:type="default" r:id="rId658"/>
          <w:pgSz w:w="11906" w:h="16839"/>
          <w:pgMar w:top="1766" w:right="1509" w:bottom="1563" w:left="1576" w:header="1428" w:footer="1172" w:gutter="0"/>
          <w:cols w:equalWidth="0" w:num="1">
            <w:col w:w="8821" w:space="0"/>
          </w:cols>
        </w:sectPr>
        <w:rPr/>
      </w:pPr>
    </w:p>
    <w:p>
      <w:pPr>
        <w:pStyle w:val="BodyText"/>
        <w:ind w:left="19"/>
        <w:spacing w:before="39" w:line="218" w:lineRule="auto"/>
        <w:rPr/>
      </w:pPr>
      <w:r>
        <w:rPr>
          <w:spacing w:val="8"/>
        </w:rPr>
        <w:t>治区有关部门报告调查处理情况。</w:t>
      </w:r>
    </w:p>
    <w:p>
      <w:pPr>
        <w:pStyle w:val="BodyText"/>
        <w:ind w:left="15" w:right="324" w:firstLine="426"/>
        <w:spacing w:before="141" w:line="322" w:lineRule="auto"/>
        <w:rPr/>
      </w:pPr>
      <w:r>
        <w:rPr>
          <w:rFonts w:ascii="Times New Roman" w:hAnsi="Times New Roman" w:eastAsia="Times New Roman" w:cs="Times New Roman"/>
          <w:spacing w:val="6"/>
        </w:rPr>
        <w:t>3.3.3Ⅳ</w:t>
      </w:r>
      <w:r>
        <w:rPr>
          <w:spacing w:val="6"/>
        </w:rPr>
        <w:t>级响应。发生一般(</w:t>
      </w:r>
      <w:r>
        <w:rPr>
          <w:spacing w:val="-22"/>
        </w:rPr>
        <w:t xml:space="preserve"> </w:t>
      </w:r>
      <w:r>
        <w:rPr>
          <w:rFonts w:ascii="Times New Roman" w:hAnsi="Times New Roman" w:eastAsia="Times New Roman" w:cs="Times New Roman"/>
          <w:spacing w:val="6"/>
        </w:rPr>
        <w:t>Ⅳ</w:t>
      </w:r>
      <w:r>
        <w:rPr>
          <w:spacing w:val="6"/>
        </w:rPr>
        <w:t>级）工贸企</w:t>
      </w:r>
      <w:r>
        <w:rPr>
          <w:spacing w:val="4"/>
        </w:rPr>
        <w:t>业生产安全事故，由事发地县（</w:t>
      </w:r>
      <w:r>
        <w:rPr>
          <w:spacing w:val="-34"/>
        </w:rPr>
        <w:t xml:space="preserve"> </w:t>
      </w:r>
      <w:r>
        <w:rPr>
          <w:spacing w:val="4"/>
        </w:rPr>
        <w:t>区）政府及时</w:t>
      </w:r>
      <w:r>
        <w:rPr>
          <w:spacing w:val="7"/>
        </w:rPr>
        <w:t>启动本辖区应急响应措施，并向市应急管理指</w:t>
      </w:r>
      <w:r>
        <w:rPr>
          <w:spacing w:val="8"/>
        </w:rPr>
        <w:t>挥部报告事故信息。</w:t>
      </w:r>
    </w:p>
    <w:p>
      <w:pPr>
        <w:pStyle w:val="BodyText"/>
        <w:ind w:left="18" w:right="327" w:firstLine="422"/>
        <w:spacing w:before="144" w:line="304" w:lineRule="auto"/>
        <w:rPr/>
      </w:pPr>
      <w:r>
        <w:rPr>
          <w:rFonts w:ascii="Times New Roman" w:hAnsi="Times New Roman" w:eastAsia="Times New Roman" w:cs="Times New Roman"/>
          <w:spacing w:val="3"/>
        </w:rPr>
        <w:t>3.3.4 </w:t>
      </w:r>
      <w:r>
        <w:rPr>
          <w:spacing w:val="3"/>
        </w:rPr>
        <w:t>启动条件。符合下列情况之一的，由</w:t>
      </w:r>
      <w:r>
        <w:rPr>
          <w:spacing w:val="8"/>
        </w:rPr>
        <w:t>市应急管理指挥部决定启动应急响应：</w:t>
      </w:r>
    </w:p>
    <w:p>
      <w:pPr>
        <w:pStyle w:val="BodyText"/>
        <w:ind w:left="16" w:right="329" w:firstLine="411"/>
        <w:spacing w:before="105" w:line="293" w:lineRule="auto"/>
        <w:rPr/>
      </w:pPr>
      <w:r>
        <w:rPr>
          <w:spacing w:val="8"/>
        </w:rPr>
        <w:t>（</w:t>
      </w:r>
      <w:r>
        <w:rPr>
          <w:spacing w:val="-37"/>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6"/>
        </w:rPr>
        <w:t xml:space="preserve"> </w:t>
      </w:r>
      <w:r>
        <w:rPr>
          <w:spacing w:val="8"/>
        </w:rPr>
        <w:t>）发生</w:t>
      </w:r>
      <w:r>
        <w:rPr>
          <w:rFonts w:ascii="Times New Roman" w:hAnsi="Times New Roman" w:eastAsia="Times New Roman" w:cs="Times New Roman"/>
          <w:spacing w:val="8"/>
        </w:rPr>
        <w:t>Ⅲ</w:t>
      </w:r>
      <w:r>
        <w:rPr>
          <w:spacing w:val="8"/>
        </w:rPr>
        <w:t>级以上工贸企业生产安全事</w:t>
      </w:r>
      <w:r>
        <w:rPr>
          <w:spacing w:val="4"/>
        </w:rPr>
        <w:t>故的；</w:t>
      </w:r>
    </w:p>
    <w:p>
      <w:pPr>
        <w:pStyle w:val="BodyText"/>
        <w:ind w:left="17" w:right="329" w:firstLine="410"/>
        <w:spacing w:before="134" w:line="292" w:lineRule="auto"/>
        <w:rPr/>
      </w:pPr>
      <w:r>
        <w:rPr>
          <w:spacing w:val="10"/>
        </w:rPr>
        <w:t>（</w:t>
      </w:r>
      <w:r>
        <w:rPr>
          <w:rFonts w:ascii="Times New Roman" w:hAnsi="Times New Roman" w:eastAsia="Times New Roman" w:cs="Times New Roman"/>
          <w:spacing w:val="10"/>
        </w:rPr>
        <w:t>2</w:t>
      </w:r>
      <w:r>
        <w:rPr>
          <w:rFonts w:ascii="Times New Roman" w:hAnsi="Times New Roman" w:eastAsia="Times New Roman" w:cs="Times New Roman"/>
          <w:spacing w:val="-8"/>
        </w:rPr>
        <w:t xml:space="preserve"> </w:t>
      </w:r>
      <w:r>
        <w:rPr>
          <w:spacing w:val="10"/>
        </w:rPr>
        <w:t>）发生涉及跨区的</w:t>
      </w:r>
      <w:r>
        <w:rPr>
          <w:rFonts w:ascii="Times New Roman" w:hAnsi="Times New Roman" w:eastAsia="Times New Roman" w:cs="Times New Roman"/>
          <w:spacing w:val="10"/>
        </w:rPr>
        <w:t>Ⅳ</w:t>
      </w:r>
      <w:r>
        <w:rPr>
          <w:spacing w:val="10"/>
        </w:rPr>
        <w:t>级工贸企业生产</w:t>
      </w:r>
      <w:r>
        <w:rPr>
          <w:spacing w:val="7"/>
        </w:rPr>
        <w:t>安全事故的；</w:t>
      </w:r>
    </w:p>
    <w:p>
      <w:pPr>
        <w:pStyle w:val="BodyText"/>
        <w:ind w:left="17" w:right="332" w:firstLine="410"/>
        <w:spacing w:before="137" w:line="291"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）发生需要上级应急力量进行增援的</w:t>
      </w:r>
      <w:r>
        <w:rPr>
          <w:spacing w:val="8"/>
        </w:rPr>
        <w:t>工贸企业生产安全事故的；</w:t>
      </w:r>
    </w:p>
    <w:p>
      <w:pPr>
        <w:pStyle w:val="BodyText"/>
        <w:ind w:left="428"/>
        <w:spacing w:before="136" w:line="277" w:lineRule="exact"/>
        <w:rPr/>
      </w:pPr>
      <w:r>
        <w:rPr>
          <w:spacing w:val="7"/>
          <w:position w:val="1"/>
        </w:rPr>
        <w:t>（</w:t>
      </w:r>
      <w:r>
        <w:rPr>
          <w:rFonts w:ascii="Times New Roman" w:hAnsi="Times New Roman" w:eastAsia="Times New Roman" w:cs="Times New Roman"/>
          <w:spacing w:val="7"/>
          <w:position w:val="1"/>
        </w:rPr>
        <w:t>4</w:t>
      </w:r>
      <w:r>
        <w:rPr>
          <w:rFonts w:ascii="Times New Roman" w:hAnsi="Times New Roman" w:eastAsia="Times New Roman" w:cs="Times New Roman"/>
          <w:spacing w:val="-14"/>
          <w:position w:val="1"/>
        </w:rPr>
        <w:t xml:space="preserve"> </w:t>
      </w:r>
      <w:r>
        <w:rPr>
          <w:spacing w:val="7"/>
          <w:position w:val="1"/>
        </w:rPr>
        <w:t>）认为需要启动本级应急响应的。</w:t>
      </w:r>
    </w:p>
    <w:p>
      <w:pPr>
        <w:pStyle w:val="BodyText"/>
        <w:ind w:left="19" w:right="327" w:firstLine="422"/>
        <w:spacing w:before="110" w:line="354" w:lineRule="auto"/>
        <w:jc w:val="both"/>
        <w:rPr/>
      </w:pPr>
      <w:r>
        <w:rPr>
          <w:rFonts w:ascii="Times New Roman" w:hAnsi="Times New Roman" w:eastAsia="Times New Roman" w:cs="Times New Roman"/>
          <w:spacing w:val="3"/>
        </w:rPr>
        <w:t>3.4  </w:t>
      </w:r>
      <w:r>
        <w:rPr>
          <w:rFonts w:ascii="KaiTi" w:hAnsi="KaiTi" w:eastAsia="KaiTi" w:cs="KaiTi"/>
          <w:spacing w:val="3"/>
        </w:rPr>
        <w:t>指挥协调。</w:t>
      </w:r>
      <w:r>
        <w:rPr>
          <w:spacing w:val="3"/>
        </w:rPr>
        <w:t>启动</w:t>
      </w:r>
      <w:r>
        <w:rPr>
          <w:rFonts w:ascii="Times New Roman" w:hAnsi="Times New Roman" w:eastAsia="Times New Roman" w:cs="Times New Roman"/>
          <w:spacing w:val="3"/>
        </w:rPr>
        <w:t>Ⅲ</w:t>
      </w:r>
      <w:r>
        <w:rPr>
          <w:spacing w:val="3"/>
        </w:rPr>
        <w:t>级、</w:t>
      </w:r>
      <w:r>
        <w:rPr>
          <w:rFonts w:ascii="Times New Roman" w:hAnsi="Times New Roman" w:eastAsia="Times New Roman" w:cs="Times New Roman"/>
          <w:spacing w:val="3"/>
        </w:rPr>
        <w:t>Ⅱ</w:t>
      </w:r>
      <w:r>
        <w:rPr>
          <w:spacing w:val="3"/>
        </w:rPr>
        <w:t>级和</w:t>
      </w:r>
      <w:r>
        <w:rPr>
          <w:spacing w:val="-35"/>
        </w:rPr>
        <w:t xml:space="preserve"> </w:t>
      </w:r>
      <w:r>
        <w:rPr>
          <w:rFonts w:ascii="Times New Roman" w:hAnsi="Times New Roman" w:eastAsia="Times New Roman" w:cs="Times New Roman"/>
          <w:spacing w:val="3"/>
        </w:rPr>
        <w:t>I </w:t>
      </w:r>
      <w:r>
        <w:rPr>
          <w:spacing w:val="3"/>
        </w:rPr>
        <w:t>级应急</w:t>
      </w:r>
      <w:r>
        <w:rPr>
          <w:spacing w:val="6"/>
        </w:rPr>
        <w:t>响应时</w:t>
      </w:r>
      <w:r>
        <w:rPr>
          <w:spacing w:val="-50"/>
        </w:rPr>
        <w:t xml:space="preserve"> </w:t>
      </w:r>
      <w:r>
        <w:rPr>
          <w:spacing w:val="6"/>
        </w:rPr>
        <w:t>，按照</w:t>
      </w:r>
      <w:r>
        <w:rPr>
          <w:rFonts w:ascii="Times New Roman" w:hAnsi="Times New Roman" w:eastAsia="Times New Roman" w:cs="Times New Roman"/>
          <w:spacing w:val="6"/>
        </w:rPr>
        <w:t>“</w:t>
      </w:r>
      <w:r>
        <w:rPr>
          <w:spacing w:val="6"/>
        </w:rPr>
        <w:t>统一指挥</w:t>
      </w:r>
      <w:r>
        <w:rPr>
          <w:spacing w:val="-58"/>
        </w:rPr>
        <w:t xml:space="preserve"> </w:t>
      </w:r>
      <w:r>
        <w:rPr>
          <w:spacing w:val="6"/>
        </w:rPr>
        <w:t>，属地为主</w:t>
      </w:r>
      <w:r>
        <w:rPr>
          <w:spacing w:val="-59"/>
        </w:rPr>
        <w:t xml:space="preserve"> </w:t>
      </w:r>
      <w:r>
        <w:rPr>
          <w:spacing w:val="6"/>
        </w:rPr>
        <w:t>，专业处</w:t>
      </w:r>
      <w:r>
        <w:rPr>
          <w:spacing w:val="10"/>
        </w:rPr>
        <w:t>置</w:t>
      </w:r>
      <w:r>
        <w:rPr>
          <w:rFonts w:ascii="Times New Roman" w:hAnsi="Times New Roman" w:eastAsia="Times New Roman" w:cs="Times New Roman"/>
          <w:spacing w:val="10"/>
        </w:rPr>
        <w:t>”</w:t>
      </w:r>
      <w:r>
        <w:rPr>
          <w:spacing w:val="10"/>
        </w:rPr>
        <w:t>的要求</w:t>
      </w:r>
      <w:r>
        <w:rPr>
          <w:spacing w:val="-47"/>
        </w:rPr>
        <w:t xml:space="preserve"> </w:t>
      </w:r>
      <w:r>
        <w:rPr>
          <w:spacing w:val="10"/>
        </w:rPr>
        <w:t>，组织开展应急处置工作。由市应</w:t>
      </w:r>
      <w:r>
        <w:rPr>
          <w:spacing w:val="18"/>
        </w:rPr>
        <w:t>急管理指挥部办公室负责通知同级成员单位</w:t>
      </w:r>
      <w:r>
        <w:rPr>
          <w:spacing w:val="18"/>
        </w:rPr>
        <w:t>负责人立即调动本单位有关人员和应急救援</w:t>
      </w:r>
      <w:r>
        <w:rPr>
          <w:spacing w:val="3"/>
        </w:rPr>
        <w:t>队伍。</w:t>
      </w:r>
    </w:p>
    <w:p>
      <w:pPr>
        <w:pStyle w:val="BodyText"/>
        <w:ind w:left="436"/>
        <w:spacing w:line="278" w:lineRule="exact"/>
        <w:rPr/>
      </w:pPr>
      <w:r>
        <w:rPr>
          <w:spacing w:val="9"/>
          <w:position w:val="1"/>
        </w:rPr>
        <w:t>应急指挥部指挥协调的主要内容包括：</w:t>
      </w:r>
    </w:p>
    <w:p>
      <w:pPr>
        <w:pStyle w:val="BodyText"/>
        <w:ind w:left="428"/>
        <w:spacing w:before="106" w:line="279" w:lineRule="exact"/>
        <w:rPr/>
      </w:pPr>
      <w:r>
        <w:rPr>
          <w:spacing w:val="4"/>
          <w:position w:val="1"/>
        </w:rPr>
        <w:t>（</w:t>
      </w:r>
      <w:r>
        <w:rPr>
          <w:spacing w:val="-47"/>
          <w:position w:val="1"/>
        </w:rPr>
        <w:t xml:space="preserve"> </w:t>
      </w:r>
      <w:r>
        <w:rPr>
          <w:rFonts w:ascii="Times New Roman" w:hAnsi="Times New Roman" w:eastAsia="Times New Roman" w:cs="Times New Roman"/>
          <w:spacing w:val="4"/>
          <w:position w:val="1"/>
        </w:rPr>
        <w:t>1</w:t>
      </w:r>
      <w:r>
        <w:rPr>
          <w:rFonts w:ascii="Times New Roman" w:hAnsi="Times New Roman" w:eastAsia="Times New Roman" w:cs="Times New Roman"/>
          <w:spacing w:val="-21"/>
          <w:position w:val="1"/>
        </w:rPr>
        <w:t xml:space="preserve"> </w:t>
      </w:r>
      <w:r>
        <w:rPr>
          <w:spacing w:val="4"/>
          <w:position w:val="1"/>
        </w:rPr>
        <w:t>）提出现场应急行动原则要求；</w:t>
      </w:r>
    </w:p>
    <w:p>
      <w:pPr>
        <w:pStyle w:val="BodyText"/>
        <w:ind w:left="16" w:right="329" w:firstLine="416"/>
        <w:spacing w:before="105" w:line="292" w:lineRule="auto"/>
        <w:rPr/>
      </w:pPr>
      <w:r>
        <w:rPr>
          <w:spacing w:val="10"/>
        </w:rPr>
        <w:t>（</w:t>
      </w:r>
      <w:r>
        <w:rPr>
          <w:rFonts w:ascii="Times New Roman" w:hAnsi="Times New Roman" w:eastAsia="Times New Roman" w:cs="Times New Roman"/>
          <w:spacing w:val="10"/>
        </w:rPr>
        <w:t>2</w:t>
      </w:r>
      <w:r>
        <w:rPr>
          <w:rFonts w:ascii="Times New Roman" w:hAnsi="Times New Roman" w:eastAsia="Times New Roman" w:cs="Times New Roman"/>
          <w:spacing w:val="-2"/>
        </w:rPr>
        <w:t xml:space="preserve"> </w:t>
      </w:r>
      <w:r>
        <w:rPr>
          <w:spacing w:val="10"/>
        </w:rPr>
        <w:t>）派出专家和人员参与现场指挥部的</w:t>
      </w:r>
      <w:r>
        <w:rPr>
          <w:spacing w:val="7"/>
        </w:rPr>
        <w:t>应急指挥工作；</w:t>
      </w:r>
    </w:p>
    <w:p>
      <w:pPr>
        <w:pStyle w:val="BodyText"/>
        <w:ind w:left="20" w:right="329" w:firstLine="412"/>
        <w:spacing w:before="137" w:line="291" w:lineRule="auto"/>
        <w:rPr/>
      </w:pPr>
      <w:r>
        <w:rPr>
          <w:spacing w:val="8"/>
        </w:rPr>
        <w:t>（</w:t>
      </w:r>
      <w:r>
        <w:rPr>
          <w:spacing w:val="-48"/>
        </w:rPr>
        <w:t xml:space="preserve"> </w:t>
      </w:r>
      <w:r>
        <w:rPr>
          <w:rFonts w:ascii="Times New Roman" w:hAnsi="Times New Roman" w:eastAsia="Times New Roman" w:cs="Times New Roman"/>
          <w:spacing w:val="8"/>
        </w:rPr>
        <w:t>3</w:t>
      </w:r>
      <w:r>
        <w:rPr>
          <w:rFonts w:ascii="Times New Roman" w:hAnsi="Times New Roman" w:eastAsia="Times New Roman" w:cs="Times New Roman"/>
          <w:spacing w:val="-18"/>
        </w:rPr>
        <w:t xml:space="preserve"> </w:t>
      </w:r>
      <w:r>
        <w:rPr>
          <w:spacing w:val="8"/>
        </w:rPr>
        <w:t>）协调各级、各专业应急力量实施应</w:t>
      </w:r>
      <w:r>
        <w:rPr>
          <w:spacing w:val="6"/>
        </w:rPr>
        <w:t>急救援行动；</w:t>
      </w:r>
    </w:p>
    <w:p>
      <w:pPr>
        <w:pStyle w:val="BodyText"/>
        <w:ind w:left="34" w:right="329" w:firstLine="398"/>
        <w:spacing w:before="136" w:line="292" w:lineRule="auto"/>
        <w:rPr/>
      </w:pPr>
      <w:r>
        <w:rPr>
          <w:spacing w:val="10"/>
        </w:rPr>
        <w:t>（</w:t>
      </w:r>
      <w:r>
        <w:rPr>
          <w:rFonts w:ascii="Times New Roman" w:hAnsi="Times New Roman" w:eastAsia="Times New Roman" w:cs="Times New Roman"/>
          <w:spacing w:val="10"/>
        </w:rPr>
        <w:t>4</w:t>
      </w:r>
      <w:r>
        <w:rPr>
          <w:rFonts w:ascii="Times New Roman" w:hAnsi="Times New Roman" w:eastAsia="Times New Roman" w:cs="Times New Roman"/>
          <w:spacing w:val="-2"/>
        </w:rPr>
        <w:t xml:space="preserve"> </w:t>
      </w:r>
      <w:r>
        <w:rPr>
          <w:spacing w:val="10"/>
        </w:rPr>
        <w:t>）协调开展受威胁的周边地区危险源</w:t>
      </w:r>
      <w:r>
        <w:rPr>
          <w:spacing w:val="4"/>
        </w:rPr>
        <w:t>的监控工作；</w:t>
      </w:r>
    </w:p>
    <w:p>
      <w:pPr>
        <w:pStyle w:val="BodyText"/>
        <w:ind w:left="17" w:right="329" w:firstLine="415"/>
        <w:spacing w:before="135" w:line="292" w:lineRule="auto"/>
        <w:rPr/>
      </w:pPr>
      <w:r>
        <w:rPr>
          <w:spacing w:val="8"/>
        </w:rPr>
        <w:t>（</w:t>
      </w:r>
      <w:r>
        <w:rPr>
          <w:spacing w:val="-48"/>
        </w:rPr>
        <w:t xml:space="preserve"> </w:t>
      </w:r>
      <w:r>
        <w:rPr>
          <w:rFonts w:ascii="Times New Roman" w:hAnsi="Times New Roman" w:eastAsia="Times New Roman" w:cs="Times New Roman"/>
          <w:spacing w:val="8"/>
        </w:rPr>
        <w:t>5</w:t>
      </w:r>
      <w:r>
        <w:rPr>
          <w:rFonts w:ascii="Times New Roman" w:hAnsi="Times New Roman" w:eastAsia="Times New Roman" w:cs="Times New Roman"/>
          <w:spacing w:val="-18"/>
        </w:rPr>
        <w:t xml:space="preserve"> </w:t>
      </w:r>
      <w:r>
        <w:rPr>
          <w:spacing w:val="8"/>
        </w:rPr>
        <w:t>）协调建立现场警戒区和交通管制区</w:t>
      </w:r>
      <w:r>
        <w:rPr>
          <w:spacing w:val="8"/>
        </w:rPr>
        <w:t>域，确定重点防护区域；</w:t>
      </w:r>
    </w:p>
    <w:p>
      <w:pPr>
        <w:pStyle w:val="BodyText"/>
        <w:ind w:left="17" w:right="251" w:firstLine="415"/>
        <w:spacing w:before="137" w:line="290" w:lineRule="auto"/>
        <w:rPr/>
      </w:pPr>
      <w:r>
        <w:rPr>
          <w:spacing w:val="6"/>
        </w:rPr>
        <w:t>（</w:t>
      </w:r>
      <w:r>
        <w:rPr>
          <w:spacing w:val="-53"/>
        </w:rPr>
        <w:t xml:space="preserve"> </w:t>
      </w:r>
      <w:r>
        <w:rPr>
          <w:rFonts w:ascii="Times New Roman" w:hAnsi="Times New Roman" w:eastAsia="Times New Roman" w:cs="Times New Roman"/>
          <w:spacing w:val="6"/>
        </w:rPr>
        <w:t>6</w:t>
      </w:r>
      <w:r>
        <w:rPr>
          <w:rFonts w:ascii="Times New Roman" w:hAnsi="Times New Roman" w:eastAsia="Times New Roman" w:cs="Times New Roman"/>
          <w:spacing w:val="-19"/>
        </w:rPr>
        <w:t xml:space="preserve"> </w:t>
      </w:r>
      <w:r>
        <w:rPr>
          <w:spacing w:val="6"/>
        </w:rPr>
        <w:t>）根据现场评估</w:t>
      </w:r>
      <w:r>
        <w:rPr>
          <w:spacing w:val="-58"/>
        </w:rPr>
        <w:t xml:space="preserve"> </w:t>
      </w:r>
      <w:r>
        <w:rPr>
          <w:spacing w:val="6"/>
        </w:rPr>
        <w:t>，确定被转移、疏散</w:t>
      </w:r>
      <w:r>
        <w:rPr>
          <w:spacing w:val="1"/>
        </w:rPr>
        <w:t>群众返回时间，必要时请求武警支队应急增援。</w:t>
      </w:r>
    </w:p>
    <w:p>
      <w:pPr>
        <w:pStyle w:val="BodyText"/>
        <w:ind w:left="34" w:right="329" w:firstLine="407"/>
        <w:spacing w:before="138" w:line="273" w:lineRule="auto"/>
        <w:rPr/>
      </w:pPr>
      <w:r>
        <w:rPr>
          <w:rFonts w:ascii="Times New Roman" w:hAnsi="Times New Roman" w:eastAsia="Times New Roman" w:cs="Times New Roman"/>
          <w:spacing w:val="8"/>
        </w:rPr>
        <w:t>3.5  </w:t>
      </w:r>
      <w:r>
        <w:rPr>
          <w:rFonts w:ascii="KaiTi" w:hAnsi="KaiTi" w:eastAsia="KaiTi" w:cs="KaiTi"/>
          <w:spacing w:val="8"/>
        </w:rPr>
        <w:t>现场指挥部与现场指挥官。</w:t>
      </w:r>
      <w:r>
        <w:rPr>
          <w:spacing w:val="8"/>
        </w:rPr>
        <w:t>启动</w:t>
      </w:r>
      <w:r>
        <w:rPr>
          <w:rFonts w:ascii="Times New Roman" w:hAnsi="Times New Roman" w:eastAsia="Times New Roman" w:cs="Times New Roman"/>
          <w:spacing w:val="8"/>
        </w:rPr>
        <w:t>Ⅲ</w:t>
      </w:r>
      <w:r>
        <w:rPr>
          <w:spacing w:val="8"/>
        </w:rPr>
        <w:t>级</w:t>
      </w:r>
      <w:r>
        <w:rPr>
          <w:spacing w:val="6"/>
        </w:rPr>
        <w:t>以上应急响应时，市应急管理指挥部办公室组</w:t>
      </w:r>
    </w:p>
    <w:p>
      <w:pPr>
        <w:spacing w:line="14" w:lineRule="auto"/>
        <w:rPr>
          <w:rFonts w:ascii="Arial"/>
          <w:sz w:val="2"/>
        </w:rPr>
      </w:pPr>
      <w:r>
        <w:rPr>
          <w:rFonts w:ascii="Arial" w:hAnsi="Arial" w:eastAsia="Arial" w:cs="Arial"/>
          <w:sz w:val="2"/>
          <w:szCs w:val="2"/>
        </w:rPr>
        <w:br w:type="column"/>
      </w:r>
    </w:p>
    <w:p>
      <w:pPr>
        <w:pStyle w:val="BodyText"/>
        <w:ind w:left="1" w:right="60"/>
        <w:spacing w:before="39" w:line="354" w:lineRule="auto"/>
        <w:jc w:val="both"/>
        <w:rPr/>
      </w:pPr>
      <w:r>
        <w:rPr>
          <w:spacing w:val="7"/>
        </w:rPr>
        <w:t>织有关部门成立现场指挥部。现场指挥部实行</w:t>
      </w:r>
      <w:r>
        <w:rPr>
          <w:spacing w:val="7"/>
        </w:rPr>
        <w:t>现场总指挥负责制。现场总指挥由固原市政府</w:t>
      </w:r>
      <w:r>
        <w:rPr>
          <w:spacing w:val="7"/>
        </w:rPr>
        <w:t>分管应急管理工作的副市长担任，副总指挥由</w:t>
      </w:r>
      <w:r>
        <w:rPr>
          <w:spacing w:val="4"/>
        </w:rPr>
        <w:t>事故发生地县（</w:t>
      </w:r>
      <w:r>
        <w:rPr>
          <w:spacing w:val="-36"/>
        </w:rPr>
        <w:t xml:space="preserve"> </w:t>
      </w:r>
      <w:r>
        <w:rPr>
          <w:spacing w:val="4"/>
        </w:rPr>
        <w:t>区）政府主要负责人、市应急</w:t>
      </w:r>
      <w:r>
        <w:rPr>
          <w:spacing w:val="7"/>
        </w:rPr>
        <w:t>管理局局长担任。现场总指挥统一组织、指挥</w:t>
      </w:r>
      <w:r>
        <w:rPr>
          <w:spacing w:val="7"/>
        </w:rPr>
        <w:t>现场应急救援工作。现场总指挥有权决定现场</w:t>
      </w:r>
      <w:r>
        <w:rPr>
          <w:spacing w:val="7"/>
        </w:rPr>
        <w:t>处置方案，协调有关单位和部门的现场应急处</w:t>
      </w:r>
      <w:r>
        <w:rPr>
          <w:spacing w:val="8"/>
        </w:rPr>
        <w:t>置工作，指挥调度现场应急队伍和应急资源。</w:t>
      </w:r>
    </w:p>
    <w:p>
      <w:pPr>
        <w:pStyle w:val="BodyText"/>
        <w:ind w:firstLine="424"/>
        <w:spacing w:before="5" w:line="354" w:lineRule="auto"/>
        <w:jc w:val="both"/>
        <w:rPr/>
      </w:pPr>
      <w:r>
        <w:rPr>
          <w:spacing w:val="18"/>
        </w:rPr>
        <w:t>现场指挥部吸收涉事的有关单位负责人</w:t>
      </w:r>
      <w:r>
        <w:rPr>
          <w:spacing w:val="7"/>
        </w:rPr>
        <w:t>以及相关专家为成员，参加现场应急救援的队</w:t>
      </w:r>
      <w:r>
        <w:rPr>
          <w:spacing w:val="18"/>
        </w:rPr>
        <w:t>伍和人员在现场指挥部统一协调下进行应急</w:t>
      </w:r>
      <w:r>
        <w:rPr>
          <w:spacing w:val="7"/>
        </w:rPr>
        <w:t>救援和处置工作。事故有关的部门和单位应当</w:t>
      </w:r>
      <w:r>
        <w:rPr>
          <w:spacing w:val="18"/>
        </w:rPr>
        <w:t>主动向现场指挥部提供与应急处置有关的信</w:t>
      </w:r>
      <w:r>
        <w:rPr>
          <w:spacing w:val="-8"/>
        </w:rPr>
        <w:t>息资料，为实施应急处置工作提供各种便利条件。</w:t>
      </w:r>
    </w:p>
    <w:p>
      <w:pPr>
        <w:pStyle w:val="BodyText"/>
        <w:ind w:left="2" w:right="80" w:firstLine="420"/>
        <w:spacing w:before="3" w:line="352" w:lineRule="auto"/>
        <w:jc w:val="both"/>
        <w:rPr/>
      </w:pPr>
      <w:r>
        <w:rPr>
          <w:spacing w:val="6"/>
        </w:rPr>
        <w:t>根据现场情况设置有关应急小组。各应急</w:t>
      </w:r>
      <w:r>
        <w:rPr>
          <w:spacing w:val="7"/>
        </w:rPr>
        <w:t>小组在现场指挥部统一领导下，各尽其责完成</w:t>
      </w:r>
      <w:r>
        <w:rPr>
          <w:spacing w:val="8"/>
        </w:rPr>
        <w:t>现场各项应急处置工作。</w:t>
      </w:r>
    </w:p>
    <w:p>
      <w:pPr>
        <w:ind w:left="422"/>
        <w:spacing w:line="264" w:lineRule="exact"/>
        <w:rPr>
          <w:rFonts w:ascii="KaiTi" w:hAnsi="KaiTi" w:eastAsia="KaiTi" w:cs="KaiTi"/>
          <w:sz w:val="20"/>
          <w:szCs w:val="20"/>
        </w:rPr>
      </w:pPr>
      <w:r>
        <w:rPr>
          <w:rFonts w:ascii="Times New Roman" w:hAnsi="Times New Roman" w:eastAsia="Times New Roman" w:cs="Times New Roman"/>
          <w:sz w:val="20"/>
          <w:szCs w:val="20"/>
          <w:b/>
          <w:bCs/>
          <w:spacing w:val="3"/>
          <w:position w:val="1"/>
        </w:rPr>
        <w:t>4</w:t>
      </w:r>
      <w:r>
        <w:rPr>
          <w:rFonts w:ascii="Times New Roman" w:hAnsi="Times New Roman" w:eastAsia="Times New Roman" w:cs="Times New Roman"/>
          <w:sz w:val="20"/>
          <w:szCs w:val="20"/>
          <w:b/>
          <w:bCs/>
          <w:spacing w:val="6"/>
          <w:position w:val="1"/>
        </w:rPr>
        <w:t xml:space="preserve">    </w:t>
      </w:r>
      <w:r>
        <w:rPr>
          <w:rFonts w:ascii="KaiTi" w:hAnsi="KaiTi" w:eastAsia="KaiTi" w:cs="KaiTi"/>
          <w:sz w:val="20"/>
          <w:szCs w:val="20"/>
          <w:b/>
          <w:bCs/>
          <w:spacing w:val="3"/>
          <w:position w:val="1"/>
        </w:rPr>
        <w:t>处置措施</w:t>
      </w:r>
    </w:p>
    <w:p>
      <w:pPr>
        <w:pStyle w:val="BodyText"/>
        <w:ind w:right="78" w:firstLine="420"/>
        <w:spacing w:before="124" w:line="344" w:lineRule="auto"/>
        <w:jc w:val="both"/>
        <w:rPr/>
      </w:pPr>
      <w:r>
        <w:rPr>
          <w:rFonts w:ascii="Times New Roman" w:hAnsi="Times New Roman" w:eastAsia="Times New Roman" w:cs="Times New Roman"/>
          <w:spacing w:val="7"/>
        </w:rPr>
        <w:t>4.</w:t>
      </w:r>
      <w:r>
        <w:rPr>
          <w:rFonts w:ascii="Times New Roman" w:hAnsi="Times New Roman" w:eastAsia="Times New Roman" w:cs="Times New Roman"/>
          <w:spacing w:val="-22"/>
        </w:rPr>
        <w:t xml:space="preserve"> </w:t>
      </w:r>
      <w:r>
        <w:rPr>
          <w:rFonts w:ascii="Times New Roman" w:hAnsi="Times New Roman" w:eastAsia="Times New Roman" w:cs="Times New Roman"/>
          <w:spacing w:val="7"/>
        </w:rPr>
        <w:t>1  </w:t>
      </w:r>
      <w:r>
        <w:rPr>
          <w:rFonts w:ascii="KaiTi" w:hAnsi="KaiTi" w:eastAsia="KaiTi" w:cs="KaiTi"/>
          <w:spacing w:val="7"/>
        </w:rPr>
        <w:t>处置措施。</w:t>
      </w:r>
      <w:r>
        <w:rPr>
          <w:spacing w:val="7"/>
        </w:rPr>
        <w:t>工贸企业生产安全事故达</w:t>
      </w:r>
      <w:r>
        <w:rPr>
          <w:spacing w:val="7"/>
        </w:rPr>
        <w:t>到较大及以上时，需要市应急管理指挥部启动</w:t>
      </w:r>
      <w:r>
        <w:rPr>
          <w:spacing w:val="7"/>
        </w:rPr>
        <w:t>应急响应时，启动工贸企业生产安全事故应急</w:t>
      </w:r>
      <w:r>
        <w:rPr>
          <w:spacing w:val="7"/>
        </w:rPr>
        <w:t>预案，按照预案规定设立现场指挥部，实行现</w:t>
      </w:r>
      <w:r>
        <w:rPr>
          <w:spacing w:val="7"/>
        </w:rPr>
        <w:t>场总指挥制度。现场总指挥由市政府分管应急</w:t>
      </w:r>
      <w:r>
        <w:rPr>
          <w:spacing w:val="7"/>
        </w:rPr>
        <w:t>管理工作的副市长担任，副总指挥由事故发生</w:t>
      </w:r>
      <w:r>
        <w:rPr>
          <w:spacing w:val="2"/>
        </w:rPr>
        <w:t>地县（</w:t>
      </w:r>
      <w:r>
        <w:rPr>
          <w:spacing w:val="-40"/>
        </w:rPr>
        <w:t xml:space="preserve"> </w:t>
      </w:r>
      <w:r>
        <w:rPr>
          <w:spacing w:val="2"/>
        </w:rPr>
        <w:t>区）政府分管副县（</w:t>
      </w:r>
      <w:r>
        <w:rPr>
          <w:spacing w:val="-53"/>
        </w:rPr>
        <w:t xml:space="preserve"> </w:t>
      </w:r>
      <w:r>
        <w:rPr>
          <w:spacing w:val="2"/>
        </w:rPr>
        <w:t>区）长、市应急管</w:t>
      </w:r>
      <w:r>
        <w:rPr>
          <w:spacing w:val="7"/>
        </w:rPr>
        <w:t>理局局长担任。成员由抢险组组长、医疗救护</w:t>
      </w:r>
      <w:r>
        <w:rPr>
          <w:spacing w:val="7"/>
        </w:rPr>
        <w:t>组组长、新闻宣传组组长等组成。现场总指挥</w:t>
      </w:r>
      <w:r>
        <w:rPr>
          <w:spacing w:val="7"/>
        </w:rPr>
        <w:t>有权决定现场处置方案，指挥调度现场应急救</w:t>
      </w:r>
      <w:r>
        <w:rPr>
          <w:spacing w:val="7"/>
        </w:rPr>
        <w:t>援队伍和应急资源。各有关单位按照职责参与</w:t>
      </w:r>
      <w:r>
        <w:rPr>
          <w:spacing w:val="7"/>
        </w:rPr>
        <w:t>处置工作，包括组织营救、伤员救治、疏散撤</w:t>
      </w:r>
      <w:r>
        <w:rPr>
          <w:spacing w:val="7"/>
        </w:rPr>
        <w:t>离和妥善安置受到威胁的人员，及时上报事件</w:t>
      </w:r>
      <w:r>
        <w:rPr>
          <w:spacing w:val="7"/>
        </w:rPr>
        <w:t>情况和人员伤亡情况，分配救援任务，协调各</w:t>
      </w:r>
      <w:r>
        <w:rPr>
          <w:spacing w:val="7"/>
        </w:rPr>
        <w:t>级各类救援队伍，查明并及时组织力量消除次</w:t>
      </w:r>
      <w:r>
        <w:rPr>
          <w:spacing w:val="7"/>
        </w:rPr>
        <w:t>生灾害，组织抢修公共设施、接收与分配援助</w:t>
      </w:r>
    </w:p>
    <w:p>
      <w:pPr>
        <w:spacing w:line="344" w:lineRule="auto"/>
        <w:sectPr>
          <w:type w:val="continuous"/>
          <w:pgSz w:w="11906" w:h="16839"/>
          <w:pgMar w:top="1766" w:right="1509" w:bottom="1563" w:left="1576" w:header="1428" w:footer="1172" w:gutter="0"/>
          <w:cols w:equalWidth="0" w:num="2">
            <w:col w:w="4493" w:space="100"/>
            <w:col w:w="4228" w:space="0"/>
          </w:cols>
        </w:sectPr>
        <w:rPr/>
      </w:pPr>
    </w:p>
    <w:p>
      <w:pPr>
        <w:spacing w:before="61"/>
        <w:rPr/>
      </w:pPr>
      <w:r>
        <w:drawing>
          <wp:anchor distT="0" distB="0" distL="0" distR="0" simplePos="0" relativeHeight="252170240"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318" name="IM 1318"/>
            <wp:cNvGraphicFramePr/>
            <a:graphic>
              <a:graphicData uri="http://schemas.openxmlformats.org/drawingml/2006/picture">
                <pic:pic>
                  <pic:nvPicPr>
                    <pic:cNvPr id="1318" name="IM 1318"/>
                    <pic:cNvPicPr/>
                  </pic:nvPicPr>
                  <pic:blipFill>
                    <a:blip r:embed="rId661"/>
                    <a:stretch>
                      <a:fillRect/>
                    </a:stretch>
                  </pic:blipFill>
                  <pic:spPr>
                    <a:xfrm rot="0">
                      <a:off x="0" y="0"/>
                      <a:ext cx="5579745" cy="7620"/>
                    </a:xfrm>
                    <a:prstGeom prst="rect">
                      <a:avLst/>
                    </a:prstGeom>
                  </pic:spPr>
                </pic:pic>
              </a:graphicData>
            </a:graphic>
          </wp:anchor>
        </w:drawing>
      </w:r>
      <w:r/>
    </w:p>
    <w:p>
      <w:pPr>
        <w:sectPr>
          <w:headerReference w:type="default" r:id="rId644"/>
          <w:footerReference w:type="default" r:id="rId660"/>
          <w:pgSz w:w="11906" w:h="16839"/>
          <w:pgMar w:top="1772" w:right="1489" w:bottom="1547" w:left="1588" w:header="1428" w:footer="1172" w:gutter="0"/>
          <w:cols w:equalWidth="0" w:num="1">
            <w:col w:w="8829" w:space="0"/>
          </w:cols>
        </w:sectPr>
        <w:rPr/>
      </w:pPr>
    </w:p>
    <w:p>
      <w:pPr>
        <w:pStyle w:val="BodyText"/>
        <w:ind w:left="8"/>
        <w:spacing w:before="41" w:line="221" w:lineRule="auto"/>
        <w:rPr/>
      </w:pPr>
      <w:r>
        <w:rPr>
          <w:spacing w:val="5"/>
        </w:rPr>
        <w:t>物资等。</w:t>
      </w:r>
    </w:p>
    <w:p>
      <w:pPr>
        <w:pStyle w:val="BodyText"/>
        <w:ind w:left="3" w:right="328" w:firstLine="421"/>
        <w:spacing w:before="140" w:line="351" w:lineRule="auto"/>
        <w:rPr/>
      </w:pPr>
      <w:r>
        <w:rPr>
          <w:spacing w:val="19"/>
        </w:rPr>
        <w:t>各有关部门应按照市应急管理指挥部办</w:t>
      </w:r>
      <w:r>
        <w:rPr>
          <w:spacing w:val="-3"/>
        </w:rPr>
        <w:t>公室拟定的分工，迅速组织应急抢险救援工作。</w:t>
      </w:r>
    </w:p>
    <w:p>
      <w:pPr>
        <w:pStyle w:val="BodyText"/>
        <w:ind w:left="4" w:right="328" w:firstLine="420"/>
        <w:spacing w:before="3" w:line="341" w:lineRule="auto"/>
        <w:rPr/>
      </w:pPr>
      <w:r>
        <w:rPr>
          <w:spacing w:val="6"/>
        </w:rPr>
        <w:t>工贸企业生产安全事故的专业抢救，由事</w:t>
      </w:r>
      <w:r>
        <w:rPr>
          <w:spacing w:val="4"/>
        </w:rPr>
        <w:t>发地县（</w:t>
      </w:r>
      <w:r>
        <w:rPr>
          <w:spacing w:val="-36"/>
        </w:rPr>
        <w:t xml:space="preserve"> </w:t>
      </w:r>
      <w:r>
        <w:rPr>
          <w:spacing w:val="4"/>
        </w:rPr>
        <w:t>区）应急管理局负责，在工贸相关专</w:t>
      </w:r>
      <w:r>
        <w:rPr>
          <w:spacing w:val="-3"/>
        </w:rPr>
        <w:t>项应急指挥机构指导下开展应急救援处置工作。</w:t>
      </w:r>
    </w:p>
    <w:p>
      <w:pPr>
        <w:pStyle w:val="BodyText"/>
        <w:ind w:left="4" w:right="309" w:firstLine="420"/>
        <w:spacing w:before="30" w:line="354" w:lineRule="auto"/>
        <w:rPr/>
      </w:pPr>
      <w:r>
        <w:rPr>
          <w:spacing w:val="6"/>
        </w:rPr>
        <w:t>进入现场救援人员必须经过专门训练，配</w:t>
      </w:r>
      <w:r>
        <w:rPr>
          <w:spacing w:val="7"/>
        </w:rPr>
        <w:t>备相应的防护装备及检测仪器。工贸企业生产</w:t>
      </w:r>
      <w:r>
        <w:rPr>
          <w:spacing w:val="7"/>
        </w:rPr>
        <w:t>安全事故主要为火灾、爆炸、中毒和窒息、起</w:t>
      </w:r>
      <w:r>
        <w:rPr>
          <w:spacing w:val="-2"/>
        </w:rPr>
        <w:t>重伤害等。事故中心区应严禁火种、切断电源，</w:t>
      </w:r>
      <w:r>
        <w:rPr>
          <w:spacing w:val="-2"/>
        </w:rPr>
        <w:t>立即在边界设置警戒线。根据事故情况和事故发</w:t>
      </w:r>
      <w:r>
        <w:rPr>
          <w:spacing w:val="-11"/>
        </w:rPr>
        <w:t>展，确定事故波及区人员的撤离。井下救护应使用</w:t>
      </w:r>
      <w:r>
        <w:rPr>
          <w:spacing w:val="-7"/>
        </w:rPr>
        <w:t>专用防护服、隔绝式空气面具等。</w:t>
      </w:r>
    </w:p>
    <w:p>
      <w:pPr>
        <w:ind w:left="426"/>
        <w:spacing w:line="264" w:lineRule="exact"/>
        <w:rPr>
          <w:rFonts w:ascii="KaiTi" w:hAnsi="KaiTi" w:eastAsia="KaiTi" w:cs="KaiTi"/>
          <w:sz w:val="20"/>
          <w:szCs w:val="20"/>
        </w:rPr>
      </w:pPr>
      <w:r>
        <w:rPr>
          <w:rFonts w:ascii="Times New Roman" w:hAnsi="Times New Roman" w:eastAsia="Times New Roman" w:cs="Times New Roman"/>
          <w:sz w:val="20"/>
          <w:szCs w:val="20"/>
          <w:b/>
          <w:bCs/>
          <w:spacing w:val="4"/>
          <w:position w:val="1"/>
        </w:rPr>
        <w:t>4.2  </w:t>
      </w:r>
      <w:r>
        <w:rPr>
          <w:rFonts w:ascii="KaiTi" w:hAnsi="KaiTi" w:eastAsia="KaiTi" w:cs="KaiTi"/>
          <w:sz w:val="20"/>
          <w:szCs w:val="20"/>
          <w:b/>
          <w:bCs/>
          <w:spacing w:val="4"/>
          <w:position w:val="1"/>
        </w:rPr>
        <w:t>社会动员。</w:t>
      </w:r>
    </w:p>
    <w:p>
      <w:pPr>
        <w:pStyle w:val="BodyText"/>
        <w:ind w:left="4" w:right="321" w:firstLine="419"/>
        <w:spacing w:before="127" w:line="320" w:lineRule="auto"/>
        <w:rPr/>
      </w:pPr>
      <w:r>
        <w:rPr>
          <w:rFonts w:ascii="Times New Roman" w:hAnsi="Times New Roman" w:eastAsia="Times New Roman" w:cs="Times New Roman"/>
          <w:spacing w:val="13"/>
        </w:rPr>
        <w:t>4.2.1 </w:t>
      </w:r>
      <w:r>
        <w:rPr>
          <w:spacing w:val="13"/>
        </w:rPr>
        <w:t>市应急管理指挥部办公室根据工贸</w:t>
      </w:r>
      <w:r>
        <w:rPr>
          <w:spacing w:val="7"/>
        </w:rPr>
        <w:t>企业生产安全事故的性质、危害程度和范围，</w:t>
      </w:r>
      <w:r>
        <w:rPr>
          <w:spacing w:val="7"/>
        </w:rPr>
        <w:t>广泛调动社会力量参与事件处置，紧急情况下</w:t>
      </w:r>
      <w:r>
        <w:rPr>
          <w:spacing w:val="9"/>
        </w:rPr>
        <w:t>可依法征用、调用人员、车辆、物资等。</w:t>
      </w:r>
    </w:p>
    <w:p>
      <w:pPr>
        <w:pStyle w:val="BodyText"/>
        <w:ind w:left="4" w:right="321" w:firstLine="420"/>
        <w:spacing w:before="149" w:line="327" w:lineRule="auto"/>
        <w:rPr/>
      </w:pPr>
      <w:r>
        <w:rPr>
          <w:rFonts w:ascii="Times New Roman" w:hAnsi="Times New Roman" w:eastAsia="Times New Roman" w:cs="Times New Roman"/>
          <w:spacing w:val="3"/>
        </w:rPr>
        <w:t>4.2.2 </w:t>
      </w:r>
      <w:r>
        <w:rPr>
          <w:spacing w:val="3"/>
        </w:rPr>
        <w:t>工贸企业生产安全事故发生后，相应</w:t>
      </w:r>
      <w:r>
        <w:rPr>
          <w:spacing w:val="18"/>
        </w:rPr>
        <w:t>应急指挥机构组织各方面力量开展应急处置</w:t>
      </w:r>
      <w:r>
        <w:rPr>
          <w:spacing w:val="7"/>
        </w:rPr>
        <w:t>工作，组织基层单位和人员开展自救互救；邻</w:t>
      </w:r>
      <w:r>
        <w:rPr>
          <w:spacing w:val="7"/>
        </w:rPr>
        <w:t>近的乡镇政府根据灾情组织和动员社会力量，</w:t>
      </w:r>
      <w:r>
        <w:rPr>
          <w:spacing w:val="8"/>
        </w:rPr>
        <w:t>对事发地提供援助。</w:t>
      </w:r>
    </w:p>
    <w:p>
      <w:pPr>
        <w:pStyle w:val="BodyText"/>
        <w:ind w:left="4" w:right="308" w:firstLine="420"/>
        <w:spacing w:before="141" w:line="322" w:lineRule="auto"/>
        <w:rPr/>
      </w:pPr>
      <w:r>
        <w:rPr>
          <w:rFonts w:ascii="Times New Roman" w:hAnsi="Times New Roman" w:eastAsia="Times New Roman" w:cs="Times New Roman"/>
          <w:spacing w:val="3"/>
        </w:rPr>
        <w:t>4.2.3 </w:t>
      </w:r>
      <w:r>
        <w:rPr>
          <w:spacing w:val="3"/>
        </w:rPr>
        <w:t>鼓励公民、法人和其他组织按照《中</w:t>
      </w:r>
      <w:r>
        <w:rPr>
          <w:spacing w:val="7"/>
        </w:rPr>
        <w:t>华人民共和国公益事业捐赠法》等有关法律法</w:t>
      </w:r>
      <w:r>
        <w:rPr>
          <w:spacing w:val="7"/>
        </w:rPr>
        <w:t>规的规定进行捐赠和援助。审计、监察部门对</w:t>
      </w:r>
      <w:r>
        <w:rPr>
          <w:spacing w:val="8"/>
        </w:rPr>
        <w:t>捐赠资金与物资的使用情况进行审计和监督。</w:t>
      </w:r>
    </w:p>
    <w:p>
      <w:pPr>
        <w:pStyle w:val="BodyText"/>
        <w:ind w:left="4" w:right="328" w:firstLine="420"/>
        <w:spacing w:before="145" w:line="328" w:lineRule="auto"/>
        <w:rPr/>
      </w:pPr>
      <w:r>
        <w:rPr>
          <w:rFonts w:ascii="Times New Roman" w:hAnsi="Times New Roman" w:eastAsia="Times New Roman" w:cs="Times New Roman"/>
          <w:spacing w:val="13"/>
        </w:rPr>
        <w:t>4.2.4 </w:t>
      </w:r>
      <w:r>
        <w:rPr>
          <w:spacing w:val="13"/>
        </w:rPr>
        <w:t>根据工贸企业生产安全事故发展情</w:t>
      </w:r>
      <w:r>
        <w:rPr>
          <w:spacing w:val="7"/>
        </w:rPr>
        <w:t>况，向社会公布志愿服务需求指南，明确专门</w:t>
      </w:r>
      <w:r>
        <w:rPr>
          <w:spacing w:val="7"/>
        </w:rPr>
        <w:t>人员，及时开通志愿服务联系电话，统一接收</w:t>
      </w:r>
      <w:r>
        <w:rPr>
          <w:spacing w:val="7"/>
        </w:rPr>
        <w:t>志愿者组织报名，做好志愿者派遣和相关服务</w:t>
      </w:r>
      <w:r>
        <w:rPr>
          <w:spacing w:val="9"/>
        </w:rPr>
        <w:t>工作，引导志愿者有序参与救援工作。</w:t>
      </w:r>
    </w:p>
    <w:p>
      <w:pPr>
        <w:ind w:left="426"/>
        <w:spacing w:before="139" w:line="264" w:lineRule="exact"/>
        <w:rPr>
          <w:rFonts w:ascii="KaiTi" w:hAnsi="KaiTi" w:eastAsia="KaiTi" w:cs="KaiTi"/>
          <w:sz w:val="20"/>
          <w:szCs w:val="20"/>
        </w:rPr>
      </w:pPr>
      <w:r>
        <w:rPr>
          <w:rFonts w:ascii="Times New Roman" w:hAnsi="Times New Roman" w:eastAsia="Times New Roman" w:cs="Times New Roman"/>
          <w:sz w:val="20"/>
          <w:szCs w:val="20"/>
          <w:b/>
          <w:bCs/>
          <w:spacing w:val="4"/>
          <w:position w:val="1"/>
        </w:rPr>
        <w:t>4.3  </w:t>
      </w:r>
      <w:r>
        <w:rPr>
          <w:rFonts w:ascii="KaiTi" w:hAnsi="KaiTi" w:eastAsia="KaiTi" w:cs="KaiTi"/>
          <w:sz w:val="20"/>
          <w:szCs w:val="20"/>
          <w:b/>
          <w:bCs/>
          <w:spacing w:val="4"/>
          <w:position w:val="1"/>
        </w:rPr>
        <w:t>信息发布。</w:t>
      </w:r>
    </w:p>
    <w:p>
      <w:pPr>
        <w:pStyle w:val="BodyText"/>
        <w:ind w:left="424"/>
        <w:spacing w:before="121" w:line="221" w:lineRule="auto"/>
        <w:rPr/>
      </w:pPr>
      <w:r>
        <w:rPr>
          <w:spacing w:val="6"/>
        </w:rPr>
        <w:t>信息发布与舆情管控与引导严格执行《中</w:t>
      </w:r>
    </w:p>
    <w:p>
      <w:pPr>
        <w:spacing w:line="14" w:lineRule="auto"/>
        <w:rPr>
          <w:rFonts w:ascii="Arial"/>
          <w:sz w:val="2"/>
        </w:rPr>
      </w:pPr>
      <w:r>
        <w:rPr>
          <w:rFonts w:ascii="Arial" w:hAnsi="Arial" w:eastAsia="Arial" w:cs="Arial"/>
          <w:sz w:val="2"/>
          <w:szCs w:val="2"/>
        </w:rPr>
        <w:br w:type="column"/>
      </w:r>
    </w:p>
    <w:p>
      <w:pPr>
        <w:pStyle w:val="BodyText"/>
        <w:ind w:left="2" w:right="101" w:hanging="1"/>
        <w:spacing w:before="38" w:line="354" w:lineRule="auto"/>
        <w:jc w:val="both"/>
        <w:rPr/>
      </w:pPr>
      <w:r>
        <w:rPr>
          <w:spacing w:val="18"/>
        </w:rPr>
        <w:t>共中央宣传部关于规范重特大事故信息发布</w:t>
      </w:r>
      <w:r>
        <w:rPr>
          <w:spacing w:val="4"/>
        </w:rPr>
        <w:t>工作的意见》和《</w:t>
      </w:r>
      <w:r>
        <w:rPr>
          <w:spacing w:val="-37"/>
        </w:rPr>
        <w:t xml:space="preserve"> </w:t>
      </w:r>
      <w:r>
        <w:rPr>
          <w:spacing w:val="4"/>
        </w:rPr>
        <w:t>自治区党委宣传部关于规范</w:t>
      </w:r>
      <w:r>
        <w:rPr>
          <w:spacing w:val="18"/>
        </w:rPr>
        <w:t>重特大事故信息发布及新闻报道工作的实施</w:t>
      </w:r>
      <w:r>
        <w:rPr>
          <w:spacing w:val="8"/>
        </w:rPr>
        <w:t>意见》等有关规定。</w:t>
      </w:r>
    </w:p>
    <w:p>
      <w:pPr>
        <w:pStyle w:val="BodyText"/>
        <w:ind w:left="3" w:right="20" w:firstLine="410"/>
        <w:spacing w:before="4" w:line="350" w:lineRule="auto"/>
        <w:jc w:val="both"/>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）按照分级响应原则</w:t>
      </w:r>
      <w:r>
        <w:rPr>
          <w:spacing w:val="-59"/>
        </w:rPr>
        <w:t xml:space="preserve"> </w:t>
      </w:r>
      <w:r>
        <w:rPr>
          <w:spacing w:val="5"/>
        </w:rPr>
        <w:t>，一般生产安全</w:t>
      </w:r>
      <w:r>
        <w:rPr>
          <w:spacing w:val="8"/>
        </w:rPr>
        <w:t>事故信息发布工作由县（</w:t>
      </w:r>
      <w:r>
        <w:rPr>
          <w:spacing w:val="-42"/>
        </w:rPr>
        <w:t xml:space="preserve"> </w:t>
      </w:r>
      <w:r>
        <w:rPr>
          <w:spacing w:val="8"/>
        </w:rPr>
        <w:t>区）人民政府发布；</w:t>
      </w:r>
      <w:r>
        <w:rPr>
          <w:spacing w:val="18"/>
        </w:rPr>
        <w:t>较大及较大以上生产安全事故信息发布工作</w:t>
      </w:r>
      <w:r>
        <w:rPr>
          <w:spacing w:val="1"/>
        </w:rPr>
        <w:t>由市政府决定。信息发布要统一、及时、准确、</w:t>
      </w:r>
      <w:r>
        <w:rPr>
          <w:spacing w:val="4"/>
        </w:rPr>
        <w:t>客观。</w:t>
      </w:r>
    </w:p>
    <w:p>
      <w:pPr>
        <w:pStyle w:val="BodyText"/>
        <w:ind w:left="1" w:right="101" w:firstLine="422"/>
        <w:spacing w:before="24" w:line="354" w:lineRule="auto"/>
        <w:jc w:val="both"/>
        <w:rPr/>
      </w:pPr>
      <w:r>
        <w:rPr>
          <w:spacing w:val="6"/>
        </w:rPr>
        <w:t>根据事故影响程度和类型，组织有关责任</w:t>
      </w:r>
      <w:r>
        <w:rPr>
          <w:spacing w:val="7"/>
        </w:rPr>
        <w:t>单位、职能部门和专家拟写新闻稿、专家评论</w:t>
      </w:r>
      <w:r>
        <w:rPr>
          <w:spacing w:val="-3"/>
        </w:rPr>
        <w:t>或事故情况公告，报指挥部同意后向媒体发布。</w:t>
      </w:r>
    </w:p>
    <w:p>
      <w:pPr>
        <w:pStyle w:val="BodyText"/>
        <w:ind w:right="101" w:firstLine="424"/>
        <w:spacing w:before="1" w:line="353" w:lineRule="auto"/>
        <w:jc w:val="both"/>
        <w:rPr/>
      </w:pPr>
      <w:r>
        <w:rPr>
          <w:spacing w:val="6"/>
        </w:rPr>
        <w:t>宣传、网信、公安等相关部门要密切关注</w:t>
      </w:r>
      <w:r>
        <w:rPr>
          <w:spacing w:val="7"/>
        </w:rPr>
        <w:t>舆情信息，及时做好舆情管控、引导工作，防</w:t>
      </w:r>
      <w:r>
        <w:rPr>
          <w:spacing w:val="7"/>
        </w:rPr>
        <w:t>止舆论炒作。</w:t>
      </w:r>
    </w:p>
    <w:p>
      <w:pPr>
        <w:pStyle w:val="BodyText"/>
        <w:ind w:left="1" w:right="77" w:firstLine="412"/>
        <w:spacing w:before="4" w:line="332"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）信息发布主要内容包括：生产安全</w:t>
      </w:r>
      <w:r>
        <w:rPr>
          <w:spacing w:val="7"/>
        </w:rPr>
        <w:t>事故的种类及其次生、衍生灾害的监测和预警</w:t>
      </w:r>
      <w:r>
        <w:rPr>
          <w:spacing w:val="-11"/>
        </w:rPr>
        <w:t>情况；事件发生时间、地点、人员伤亡（包括下落</w:t>
      </w:r>
      <w:r>
        <w:rPr>
          <w:spacing w:val="-11"/>
        </w:rPr>
        <w:t>不明人数）和财产损失情况、救援进展情况、事件</w:t>
      </w:r>
      <w:r>
        <w:rPr>
          <w:spacing w:val="-11"/>
        </w:rPr>
        <w:t>区域交通管制情况以及临时交通措施；事件责任单</w:t>
      </w:r>
      <w:r>
        <w:rPr>
          <w:spacing w:val="-8"/>
        </w:rPr>
        <w:t>位基本情况等。</w:t>
      </w:r>
    </w:p>
    <w:p>
      <w:pPr>
        <w:pStyle w:val="BodyText"/>
        <w:ind w:right="20" w:firstLine="413"/>
        <w:spacing w:before="141" w:line="311" w:lineRule="auto"/>
        <w:rPr/>
      </w:pPr>
      <w:r>
        <w:rPr>
          <w:spacing w:val="4"/>
        </w:rPr>
        <w:t>（</w:t>
      </w:r>
      <w:r>
        <w:rPr>
          <w:rFonts w:ascii="Times New Roman" w:hAnsi="Times New Roman" w:eastAsia="Times New Roman" w:cs="Times New Roman"/>
          <w:spacing w:val="4"/>
        </w:rPr>
        <w:t>3</w:t>
      </w:r>
      <w:r>
        <w:rPr>
          <w:rFonts w:ascii="Times New Roman" w:hAnsi="Times New Roman" w:eastAsia="Times New Roman" w:cs="Times New Roman"/>
          <w:spacing w:val="-13"/>
        </w:rPr>
        <w:t xml:space="preserve"> </w:t>
      </w:r>
      <w:r>
        <w:rPr>
          <w:spacing w:val="4"/>
        </w:rPr>
        <w:t>）信息发布形式主要包括：权威发布、</w:t>
      </w:r>
      <w:r>
        <w:rPr>
          <w:spacing w:val="7"/>
        </w:rPr>
        <w:t>提供新闻稿、组织报道、接受记者采访、举行</w:t>
      </w:r>
      <w:r>
        <w:rPr>
          <w:spacing w:val="7"/>
        </w:rPr>
        <w:t>新闻发布会等。</w:t>
      </w:r>
    </w:p>
    <w:p>
      <w:pPr>
        <w:pStyle w:val="BodyText"/>
        <w:ind w:left="1" w:right="20" w:firstLine="421"/>
        <w:spacing w:before="139" w:line="333" w:lineRule="auto"/>
        <w:rPr/>
      </w:pPr>
      <w:r>
        <w:rPr>
          <w:rFonts w:ascii="Times New Roman" w:hAnsi="Times New Roman" w:eastAsia="Times New Roman" w:cs="Times New Roman"/>
          <w:b/>
          <w:bCs/>
          <w:spacing w:val="8"/>
        </w:rPr>
        <w:t>4.4  </w:t>
      </w:r>
      <w:r>
        <w:rPr>
          <w:rFonts w:ascii="KaiTi" w:hAnsi="KaiTi" w:eastAsia="KaiTi" w:cs="KaiTi"/>
          <w:b/>
          <w:bCs/>
          <w:spacing w:val="8"/>
        </w:rPr>
        <w:t>响应终止。</w:t>
      </w:r>
      <w:r>
        <w:rPr>
          <w:spacing w:val="8"/>
        </w:rPr>
        <w:t>应对较大工贸企业生产安</w:t>
      </w:r>
      <w:r>
        <w:rPr>
          <w:spacing w:val="7"/>
        </w:rPr>
        <w:t>全事故工作基本结束、紧急转移和安置工作基</w:t>
      </w:r>
      <w:r>
        <w:rPr>
          <w:spacing w:val="1"/>
        </w:rPr>
        <w:t>本完成、次生灾害的后果基本消除，以及交通、</w:t>
      </w:r>
      <w:r>
        <w:rPr>
          <w:spacing w:val="7"/>
        </w:rPr>
        <w:t>电力、通信和供水等基本抢修抢通、群众生活</w:t>
      </w:r>
      <w:r>
        <w:rPr>
          <w:spacing w:val="7"/>
        </w:rPr>
        <w:t>秩序基本恢复后，现场指挥部提出建议，由市</w:t>
      </w:r>
      <w:r>
        <w:rPr>
          <w:spacing w:val="9"/>
        </w:rPr>
        <w:t>应急管理指挥部决定终止应急响应。</w:t>
      </w:r>
    </w:p>
    <w:p>
      <w:pPr>
        <w:pStyle w:val="BodyText"/>
        <w:ind w:left="1" w:right="96" w:firstLine="421"/>
        <w:spacing w:before="143" w:line="316" w:lineRule="auto"/>
        <w:rPr/>
      </w:pPr>
      <w:r>
        <w:rPr>
          <w:rFonts w:ascii="Times New Roman" w:hAnsi="Times New Roman" w:eastAsia="Times New Roman" w:cs="Times New Roman"/>
          <w:b/>
          <w:bCs/>
          <w:spacing w:val="8"/>
        </w:rPr>
        <w:t>4.5  </w:t>
      </w:r>
      <w:r>
        <w:rPr>
          <w:rFonts w:ascii="KaiTi" w:hAnsi="KaiTi" w:eastAsia="KaiTi" w:cs="KaiTi"/>
          <w:b/>
          <w:bCs/>
          <w:spacing w:val="8"/>
        </w:rPr>
        <w:t>后期处置。</w:t>
      </w:r>
      <w:r>
        <w:rPr>
          <w:spacing w:val="8"/>
        </w:rPr>
        <w:t>宣布应急结束后，在市应</w:t>
      </w:r>
      <w:r>
        <w:rPr>
          <w:spacing w:val="7"/>
        </w:rPr>
        <w:t>急管理指挥部统一领导下，由相关部门负责后</w:t>
      </w:r>
      <w:r>
        <w:rPr>
          <w:spacing w:val="15"/>
        </w:rPr>
        <w:t>期处置工作</w:t>
      </w:r>
      <w:r>
        <w:rPr>
          <w:spacing w:val="-40"/>
        </w:rPr>
        <w:t xml:space="preserve"> </w:t>
      </w:r>
      <w:r>
        <w:rPr>
          <w:spacing w:val="15"/>
        </w:rPr>
        <w:t>，根据事故造成的后果及实际情</w:t>
      </w:r>
      <w:r>
        <w:rPr>
          <w:spacing w:val="9"/>
        </w:rPr>
        <w:t>况，制订善后处理措施并组织实施。</w:t>
      </w:r>
    </w:p>
    <w:p>
      <w:pPr>
        <w:spacing w:line="316" w:lineRule="auto"/>
        <w:sectPr>
          <w:type w:val="continuous"/>
          <w:pgSz w:w="11906" w:h="16839"/>
          <w:pgMar w:top="1772" w:right="1489" w:bottom="1547" w:left="1588" w:header="1428" w:footer="1172" w:gutter="0"/>
          <w:cols w:equalWidth="0" w:num="2">
            <w:col w:w="4480" w:space="100"/>
            <w:col w:w="4250" w:space="0"/>
          </w:cols>
        </w:sectPr>
        <w:rPr/>
      </w:pPr>
    </w:p>
    <w:p>
      <w:pPr>
        <w:spacing w:before="67"/>
        <w:rPr/>
      </w:pPr>
      <w:r>
        <w:drawing>
          <wp:anchor distT="0" distB="0" distL="0" distR="0" simplePos="0" relativeHeight="25217536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324" name="IM 1324"/>
            <wp:cNvGraphicFramePr/>
            <a:graphic>
              <a:graphicData uri="http://schemas.openxmlformats.org/drawingml/2006/picture">
                <pic:pic>
                  <pic:nvPicPr>
                    <pic:cNvPr id="1324" name="IM 1324"/>
                    <pic:cNvPicPr/>
                  </pic:nvPicPr>
                  <pic:blipFill>
                    <a:blip r:embed="rId664"/>
                    <a:stretch>
                      <a:fillRect/>
                    </a:stretch>
                  </pic:blipFill>
                  <pic:spPr>
                    <a:xfrm rot="0">
                      <a:off x="0" y="0"/>
                      <a:ext cx="5579745" cy="7620"/>
                    </a:xfrm>
                    <a:prstGeom prst="rect">
                      <a:avLst/>
                    </a:prstGeom>
                  </pic:spPr>
                </pic:pic>
              </a:graphicData>
            </a:graphic>
          </wp:anchor>
        </w:drawing>
      </w:r>
      <w:r/>
    </w:p>
    <w:p>
      <w:pPr>
        <w:sectPr>
          <w:headerReference w:type="default" r:id="rId662"/>
          <w:footerReference w:type="default" r:id="rId663"/>
          <w:pgSz w:w="11906" w:h="16839"/>
          <w:pgMar w:top="1766" w:right="1484" w:bottom="1563" w:left="1576" w:header="1428" w:footer="1172" w:gutter="0"/>
          <w:cols w:equalWidth="0" w:num="1">
            <w:col w:w="8846" w:space="0"/>
          </w:cols>
        </w:sectPr>
        <w:rPr/>
      </w:pPr>
    </w:p>
    <w:p>
      <w:pPr>
        <w:pStyle w:val="BodyText"/>
        <w:ind w:left="16" w:right="330" w:firstLine="422"/>
        <w:spacing w:before="37" w:line="355" w:lineRule="auto"/>
        <w:jc w:val="both"/>
        <w:rPr/>
      </w:pPr>
      <w:r>
        <w:rPr>
          <w:spacing w:val="19"/>
        </w:rPr>
        <w:t>市应急局组织开展事故损失评估核定工</w:t>
      </w:r>
      <w:r>
        <w:rPr>
          <w:spacing w:val="7"/>
        </w:rPr>
        <w:t>作；生态环境局提出事故污染处置建议，负责</w:t>
      </w:r>
      <w:r>
        <w:rPr>
          <w:spacing w:val="7"/>
        </w:rPr>
        <w:t>现场清理和消除环境污染；市应急管理局会同</w:t>
      </w:r>
      <w:r>
        <w:rPr>
          <w:spacing w:val="7"/>
        </w:rPr>
        <w:t>财政局、发展和改革委员会制定应由政府补偿</w:t>
      </w:r>
      <w:r>
        <w:rPr>
          <w:spacing w:val="7"/>
        </w:rPr>
        <w:t>的补偿标准和办法；做好征用补偿工作，做好</w:t>
      </w:r>
      <w:r>
        <w:rPr>
          <w:spacing w:val="7"/>
        </w:rPr>
        <w:t>受灾地区社会管理工作，并配合有关部门做好</w:t>
      </w:r>
      <w:r>
        <w:rPr>
          <w:spacing w:val="9"/>
        </w:rPr>
        <w:t>救助款物的管理和调拨、发放等工作。</w:t>
      </w:r>
    </w:p>
    <w:p>
      <w:pPr>
        <w:ind w:left="447"/>
        <w:spacing w:before="2" w:line="18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三、固原市烟花爆竹生产安全事故应急预案</w:t>
      </w:r>
    </w:p>
    <w:p>
      <w:pPr>
        <w:ind w:left="446"/>
        <w:spacing w:before="117" w:line="242" w:lineRule="auto"/>
        <w:rPr>
          <w:rFonts w:ascii="KaiTi" w:hAnsi="KaiTi" w:eastAsia="KaiTi" w:cs="KaiTi"/>
          <w:sz w:val="20"/>
          <w:szCs w:val="20"/>
        </w:rPr>
      </w:pPr>
      <w:r>
        <w:rPr>
          <w:rFonts w:ascii="Times New Roman" w:hAnsi="Times New Roman" w:eastAsia="Times New Roman" w:cs="Times New Roman"/>
          <w:sz w:val="20"/>
          <w:szCs w:val="20"/>
          <w:b/>
          <w:bCs/>
          <w:spacing w:val="4"/>
        </w:rPr>
        <w:t>1</w:t>
      </w:r>
      <w:r>
        <w:rPr>
          <w:rFonts w:ascii="Times New Roman" w:hAnsi="Times New Roman" w:eastAsia="Times New Roman" w:cs="Times New Roman"/>
          <w:sz w:val="20"/>
          <w:szCs w:val="20"/>
          <w:b/>
          <w:bCs/>
          <w:spacing w:val="5"/>
        </w:rPr>
        <w:t xml:space="preserve">    </w:t>
      </w:r>
      <w:r>
        <w:rPr>
          <w:rFonts w:ascii="KaiTi" w:hAnsi="KaiTi" w:eastAsia="KaiTi" w:cs="KaiTi"/>
          <w:sz w:val="20"/>
          <w:szCs w:val="20"/>
          <w:b/>
          <w:bCs/>
          <w:spacing w:val="4"/>
        </w:rPr>
        <w:t>事故风险分析</w:t>
      </w:r>
    </w:p>
    <w:p>
      <w:pPr>
        <w:pStyle w:val="BodyText"/>
        <w:ind w:left="19" w:right="330" w:firstLine="437"/>
        <w:spacing w:before="122" w:line="343" w:lineRule="auto"/>
        <w:rPr/>
      </w:pPr>
      <w:r>
        <w:rPr>
          <w:rFonts w:ascii="Times New Roman" w:hAnsi="Times New Roman" w:eastAsia="Times New Roman" w:cs="Times New Roman"/>
          <w:spacing w:val="6"/>
        </w:rPr>
        <w:t>1.</w:t>
      </w:r>
      <w:r>
        <w:rPr>
          <w:rFonts w:ascii="Times New Roman" w:hAnsi="Times New Roman" w:eastAsia="Times New Roman" w:cs="Times New Roman"/>
          <w:spacing w:val="-22"/>
        </w:rPr>
        <w:t xml:space="preserve"> </w:t>
      </w:r>
      <w:r>
        <w:rPr>
          <w:rFonts w:ascii="Times New Roman" w:hAnsi="Times New Roman" w:eastAsia="Times New Roman" w:cs="Times New Roman"/>
          <w:spacing w:val="6"/>
        </w:rPr>
        <w:t>1  </w:t>
      </w:r>
      <w:r>
        <w:rPr>
          <w:rFonts w:ascii="KaiTi" w:hAnsi="KaiTi" w:eastAsia="KaiTi" w:cs="KaiTi"/>
          <w:spacing w:val="6"/>
        </w:rPr>
        <w:t>事故风险分析。</w:t>
      </w:r>
      <w:r>
        <w:rPr>
          <w:spacing w:val="6"/>
        </w:rPr>
        <w:t>烟花爆竹企业可能发</w:t>
      </w:r>
      <w:r>
        <w:rPr>
          <w:spacing w:val="9"/>
        </w:rPr>
        <w:t>生事故的主要场所及风险有</w:t>
      </w:r>
    </w:p>
    <w:p>
      <w:pPr>
        <w:pStyle w:val="BodyText"/>
        <w:ind w:left="16" w:right="310" w:firstLine="441"/>
        <w:spacing w:before="30" w:line="332" w:lineRule="auto"/>
        <w:rPr/>
      </w:pPr>
      <w:r>
        <w:rPr>
          <w:rFonts w:ascii="Times New Roman" w:hAnsi="Times New Roman" w:eastAsia="Times New Roman" w:cs="Times New Roman"/>
          <w:spacing w:val="6"/>
        </w:rPr>
        <w:t>1.</w:t>
      </w:r>
      <w:r>
        <w:rPr>
          <w:rFonts w:ascii="Times New Roman" w:hAnsi="Times New Roman" w:eastAsia="Times New Roman" w:cs="Times New Roman"/>
          <w:spacing w:val="-12"/>
        </w:rPr>
        <w:t xml:space="preserve"> </w:t>
      </w:r>
      <w:r>
        <w:rPr>
          <w:rFonts w:ascii="Times New Roman" w:hAnsi="Times New Roman" w:eastAsia="Times New Roman" w:cs="Times New Roman"/>
          <w:spacing w:val="6"/>
        </w:rPr>
        <w:t>1.1 </w:t>
      </w:r>
      <w:r>
        <w:rPr>
          <w:spacing w:val="6"/>
        </w:rPr>
        <w:t>破坏能力相当于</w:t>
      </w:r>
      <w:r>
        <w:rPr>
          <w:spacing w:val="-41"/>
        </w:rPr>
        <w:t xml:space="preserve"> </w:t>
      </w:r>
      <w:r>
        <w:rPr>
          <w:rFonts w:ascii="Times New Roman" w:hAnsi="Times New Roman" w:eastAsia="Times New Roman" w:cs="Times New Roman"/>
        </w:rPr>
        <w:t>TNT</w:t>
      </w:r>
      <w:r>
        <w:rPr>
          <w:rFonts w:ascii="Times New Roman" w:hAnsi="Times New Roman" w:eastAsia="Times New Roman" w:cs="Times New Roman"/>
          <w:spacing w:val="6"/>
        </w:rPr>
        <w:t xml:space="preserve"> </w:t>
      </w:r>
      <w:r>
        <w:rPr>
          <w:spacing w:val="6"/>
        </w:rPr>
        <w:t>或黑火药的烟</w:t>
      </w:r>
      <w:r>
        <w:rPr>
          <w:spacing w:val="18"/>
        </w:rPr>
        <w:t>花爆竹非法生产车间或其仓库在生产作业过</w:t>
      </w:r>
      <w:r>
        <w:rPr>
          <w:spacing w:val="18"/>
        </w:rPr>
        <w:t>程中非法过量装药导致爆炸事故或烟花爆竹</w:t>
      </w:r>
      <w:r>
        <w:rPr>
          <w:spacing w:val="7"/>
        </w:rPr>
        <w:t>批发储存仓库发生燃烧爆炸事故时，以爆炸冲</w:t>
      </w:r>
      <w:r>
        <w:rPr>
          <w:spacing w:val="7"/>
        </w:rPr>
        <w:t>击波和爆炸碎片的形式，对附近人员及周围建</w:t>
      </w:r>
      <w:r>
        <w:rPr>
          <w:spacing w:val="8"/>
        </w:rPr>
        <w:t>筑物产生严重的伤害和破坏，导致群死群伤。</w:t>
      </w:r>
    </w:p>
    <w:p>
      <w:pPr>
        <w:pStyle w:val="BodyText"/>
        <w:ind w:left="16" w:right="330" w:firstLine="440"/>
        <w:spacing w:before="146" w:line="327" w:lineRule="auto"/>
        <w:rPr/>
      </w:pPr>
      <w:r>
        <w:rPr>
          <w:rFonts w:ascii="Times New Roman" w:hAnsi="Times New Roman" w:eastAsia="Times New Roman" w:cs="Times New Roman"/>
          <w:spacing w:val="10"/>
        </w:rPr>
        <w:t>1.</w:t>
      </w:r>
      <w:r>
        <w:rPr>
          <w:rFonts w:ascii="Times New Roman" w:hAnsi="Times New Roman" w:eastAsia="Times New Roman" w:cs="Times New Roman"/>
          <w:spacing w:val="-14"/>
        </w:rPr>
        <w:t xml:space="preserve"> </w:t>
      </w:r>
      <w:r>
        <w:rPr>
          <w:rFonts w:ascii="Times New Roman" w:hAnsi="Times New Roman" w:eastAsia="Times New Roman" w:cs="Times New Roman"/>
          <w:spacing w:val="10"/>
        </w:rPr>
        <w:t>1.2</w:t>
      </w:r>
      <w:r>
        <w:rPr>
          <w:rFonts w:ascii="Times New Roman" w:hAnsi="Times New Roman" w:eastAsia="Times New Roman" w:cs="Times New Roman"/>
          <w:spacing w:val="18"/>
        </w:rPr>
        <w:t xml:space="preserve"> </w:t>
      </w:r>
      <w:r>
        <w:rPr>
          <w:spacing w:val="10"/>
        </w:rPr>
        <w:t>烟花爆竹销售场所发生燃烧爆炸事</w:t>
      </w:r>
      <w:r>
        <w:rPr>
          <w:spacing w:val="7"/>
        </w:rPr>
        <w:t>故时，对附近人员及周围建筑物产生伤害和破</w:t>
      </w:r>
      <w:r>
        <w:rPr>
          <w:spacing w:val="7"/>
        </w:rPr>
        <w:t>坏，尤其是设在人员密集场所的烟花爆竹销售</w:t>
      </w:r>
      <w:r>
        <w:rPr>
          <w:spacing w:val="7"/>
        </w:rPr>
        <w:t>点发生燃烧爆炸同时引发次生灾害事故时，会</w:t>
      </w:r>
      <w:r>
        <w:rPr>
          <w:spacing w:val="7"/>
        </w:rPr>
        <w:t>导致人员伤亡。</w:t>
      </w:r>
    </w:p>
    <w:p>
      <w:pPr>
        <w:pStyle w:val="BodyText"/>
        <w:ind w:left="16" w:right="266" w:firstLine="440"/>
        <w:spacing w:before="149" w:line="327" w:lineRule="auto"/>
        <w:rPr/>
      </w:pPr>
      <w:r>
        <w:rPr>
          <w:rFonts w:ascii="Times New Roman" w:hAnsi="Times New Roman" w:eastAsia="Times New Roman" w:cs="Times New Roman"/>
          <w:spacing w:val="10"/>
        </w:rPr>
        <w:t>1.</w:t>
      </w:r>
      <w:r>
        <w:rPr>
          <w:rFonts w:ascii="Times New Roman" w:hAnsi="Times New Roman" w:eastAsia="Times New Roman" w:cs="Times New Roman"/>
          <w:spacing w:val="-14"/>
        </w:rPr>
        <w:t xml:space="preserve"> </w:t>
      </w:r>
      <w:r>
        <w:rPr>
          <w:rFonts w:ascii="Times New Roman" w:hAnsi="Times New Roman" w:eastAsia="Times New Roman" w:cs="Times New Roman"/>
          <w:spacing w:val="10"/>
        </w:rPr>
        <w:t>1.3</w:t>
      </w:r>
      <w:r>
        <w:rPr>
          <w:rFonts w:ascii="Times New Roman" w:hAnsi="Times New Roman" w:eastAsia="Times New Roman" w:cs="Times New Roman"/>
          <w:spacing w:val="18"/>
        </w:rPr>
        <w:t xml:space="preserve"> </w:t>
      </w:r>
      <w:r>
        <w:rPr>
          <w:spacing w:val="10"/>
        </w:rPr>
        <w:t>烟花爆竹运输过程中发生燃烧爆炸</w:t>
      </w:r>
      <w:r>
        <w:rPr/>
        <w:t>事故时，导致人员伤害、车辆毁坏和交通堵塞，</w:t>
      </w:r>
      <w:r>
        <w:rPr>
          <w:spacing w:val="7"/>
        </w:rPr>
        <w:t>尤其是在易燃易爆场所附近发生爆炸事故，可</w:t>
      </w:r>
      <w:r>
        <w:rPr>
          <w:spacing w:val="7"/>
        </w:rPr>
        <w:t>能引发连锁燃烧爆炸事故，导致重大人员伤亡</w:t>
      </w:r>
      <w:r>
        <w:rPr>
          <w:spacing w:val="7"/>
        </w:rPr>
        <w:t>和财产损失。</w:t>
      </w:r>
    </w:p>
    <w:p>
      <w:pPr>
        <w:pStyle w:val="BodyText"/>
        <w:ind w:left="18" w:right="330" w:firstLine="438"/>
        <w:spacing w:before="142" w:line="321" w:lineRule="auto"/>
        <w:rPr/>
      </w:pPr>
      <w:r>
        <w:rPr>
          <w:rFonts w:ascii="Times New Roman" w:hAnsi="Times New Roman" w:eastAsia="Times New Roman" w:cs="Times New Roman"/>
          <w:spacing w:val="10"/>
        </w:rPr>
        <w:t>1.</w:t>
      </w:r>
      <w:r>
        <w:rPr>
          <w:rFonts w:ascii="Times New Roman" w:hAnsi="Times New Roman" w:eastAsia="Times New Roman" w:cs="Times New Roman"/>
          <w:spacing w:val="-14"/>
        </w:rPr>
        <w:t xml:space="preserve"> </w:t>
      </w:r>
      <w:r>
        <w:rPr>
          <w:rFonts w:ascii="Times New Roman" w:hAnsi="Times New Roman" w:eastAsia="Times New Roman" w:cs="Times New Roman"/>
          <w:spacing w:val="10"/>
        </w:rPr>
        <w:t>1.4</w:t>
      </w:r>
      <w:r>
        <w:rPr>
          <w:rFonts w:ascii="Times New Roman" w:hAnsi="Times New Roman" w:eastAsia="Times New Roman" w:cs="Times New Roman"/>
          <w:spacing w:val="18"/>
        </w:rPr>
        <w:t xml:space="preserve"> </w:t>
      </w:r>
      <w:r>
        <w:rPr>
          <w:spacing w:val="10"/>
        </w:rPr>
        <w:t>烟花爆竹制品发生爆炸后可能引发</w:t>
      </w:r>
      <w:r>
        <w:rPr>
          <w:spacing w:val="7"/>
        </w:rPr>
        <w:t>的次生事故，包括火灾、建筑物倒塌、事故现</w:t>
      </w:r>
      <w:r>
        <w:rPr>
          <w:spacing w:val="8"/>
        </w:rPr>
        <w:t>场危险物品二次爆炸。</w:t>
      </w:r>
    </w:p>
    <w:p>
      <w:pPr>
        <w:pStyle w:val="BodyText"/>
        <w:ind w:left="15" w:right="266" w:firstLine="441"/>
        <w:spacing w:before="114" w:line="317" w:lineRule="auto"/>
        <w:rPr/>
      </w:pPr>
      <w:r>
        <w:rPr>
          <w:rFonts w:ascii="Times New Roman" w:hAnsi="Times New Roman" w:eastAsia="Times New Roman" w:cs="Times New Roman"/>
          <w:spacing w:val="10"/>
        </w:rPr>
        <w:t>1.</w:t>
      </w:r>
      <w:r>
        <w:rPr>
          <w:rFonts w:ascii="Times New Roman" w:hAnsi="Times New Roman" w:eastAsia="Times New Roman" w:cs="Times New Roman"/>
          <w:spacing w:val="-14"/>
        </w:rPr>
        <w:t xml:space="preserve"> </w:t>
      </w:r>
      <w:r>
        <w:rPr>
          <w:rFonts w:ascii="Times New Roman" w:hAnsi="Times New Roman" w:eastAsia="Times New Roman" w:cs="Times New Roman"/>
          <w:spacing w:val="10"/>
        </w:rPr>
        <w:t>1.5</w:t>
      </w:r>
      <w:r>
        <w:rPr>
          <w:rFonts w:ascii="Times New Roman" w:hAnsi="Times New Roman" w:eastAsia="Times New Roman" w:cs="Times New Roman"/>
          <w:spacing w:val="18"/>
        </w:rPr>
        <w:t xml:space="preserve"> </w:t>
      </w:r>
      <w:r>
        <w:rPr>
          <w:spacing w:val="10"/>
        </w:rPr>
        <w:t>烟花爆竹燃烧时发生一系列的化学</w:t>
      </w:r>
      <w:r>
        <w:rPr>
          <w:spacing w:val="7"/>
        </w:rPr>
        <w:t>反应，释放出大量的一氧化碳、二氧化硫、三</w:t>
      </w:r>
      <w:r>
        <w:rPr/>
        <w:t>氧化硫、氮氧化物和各种金属、非金属氧化物，</w:t>
      </w:r>
      <w:r>
        <w:rPr>
          <w:spacing w:val="7"/>
        </w:rPr>
        <w:t>并产生大量的烟尘颗粒，空气中二氧化硫和三</w:t>
      </w:r>
    </w:p>
    <w:p>
      <w:pPr>
        <w:spacing w:line="14" w:lineRule="auto"/>
        <w:rPr>
          <w:rFonts w:ascii="Arial"/>
          <w:sz w:val="2"/>
        </w:rPr>
      </w:pPr>
      <w:r>
        <w:rPr>
          <w:rFonts w:ascii="Arial" w:hAnsi="Arial" w:eastAsia="Arial" w:cs="Arial"/>
          <w:sz w:val="2"/>
          <w:szCs w:val="2"/>
        </w:rPr>
        <w:br w:type="column"/>
      </w:r>
    </w:p>
    <w:p>
      <w:pPr>
        <w:pStyle w:val="BodyText"/>
        <w:ind w:left="2" w:right="25" w:firstLine="3"/>
        <w:spacing w:before="37" w:line="354" w:lineRule="auto"/>
        <w:jc w:val="both"/>
        <w:rPr/>
      </w:pPr>
      <w:r>
        <w:rPr>
          <w:spacing w:val="7"/>
        </w:rPr>
        <w:t>氧化硫等有害物的浓度超过允许值时，会刺激</w:t>
      </w:r>
      <w:r>
        <w:rPr>
          <w:spacing w:val="7"/>
        </w:rPr>
        <w:t>呼吸道粘膜，伤害肺组织，引起或诱发支气管</w:t>
      </w:r>
      <w:r>
        <w:rPr>
          <w:spacing w:val="7"/>
        </w:rPr>
        <w:t>炎、气管炎、肺炎、肺气肿等疾病，能与人体</w:t>
      </w:r>
      <w:r>
        <w:rPr>
          <w:spacing w:val="-8"/>
        </w:rPr>
        <w:t>内血红蛋白结合，造成人体缺氧，发生中毒症状。</w:t>
      </w:r>
    </w:p>
    <w:p>
      <w:pPr>
        <w:ind w:left="421"/>
        <w:spacing w:line="242" w:lineRule="auto"/>
        <w:rPr>
          <w:rFonts w:ascii="KaiTi" w:hAnsi="KaiTi" w:eastAsia="KaiTi" w:cs="KaiTi"/>
          <w:sz w:val="20"/>
          <w:szCs w:val="20"/>
        </w:rPr>
      </w:pPr>
      <w:r>
        <w:rPr>
          <w:rFonts w:ascii="Times New Roman" w:hAnsi="Times New Roman" w:eastAsia="Times New Roman" w:cs="Times New Roman"/>
          <w:sz w:val="20"/>
          <w:szCs w:val="20"/>
          <w:b/>
          <w:bCs/>
          <w:spacing w:val="6"/>
        </w:rPr>
        <w:t>2    </w:t>
      </w:r>
      <w:r>
        <w:rPr>
          <w:rFonts w:ascii="KaiTi" w:hAnsi="KaiTi" w:eastAsia="KaiTi" w:cs="KaiTi"/>
          <w:sz w:val="20"/>
          <w:szCs w:val="20"/>
          <w:b/>
          <w:bCs/>
          <w:spacing w:val="6"/>
        </w:rPr>
        <w:t>应急指挥机构及职责</w:t>
      </w:r>
    </w:p>
    <w:p>
      <w:pPr>
        <w:pStyle w:val="BodyText"/>
        <w:ind w:left="2" w:right="99" w:firstLine="418"/>
        <w:spacing w:before="124" w:line="354" w:lineRule="auto"/>
        <w:jc w:val="both"/>
        <w:rPr/>
      </w:pPr>
      <w:r>
        <w:rPr>
          <w:rFonts w:ascii="Times New Roman" w:hAnsi="Times New Roman" w:eastAsia="Times New Roman" w:cs="Times New Roman"/>
          <w:spacing w:val="7"/>
        </w:rPr>
        <w:t>2.</w:t>
      </w:r>
      <w:r>
        <w:rPr>
          <w:rFonts w:ascii="Times New Roman" w:hAnsi="Times New Roman" w:eastAsia="Times New Roman" w:cs="Times New Roman"/>
          <w:spacing w:val="-23"/>
        </w:rPr>
        <w:t xml:space="preserve"> </w:t>
      </w:r>
      <w:r>
        <w:rPr>
          <w:rFonts w:ascii="Times New Roman" w:hAnsi="Times New Roman" w:eastAsia="Times New Roman" w:cs="Times New Roman"/>
          <w:spacing w:val="7"/>
        </w:rPr>
        <w:t>1  </w:t>
      </w:r>
      <w:r>
        <w:rPr>
          <w:rFonts w:ascii="KaiTi" w:hAnsi="KaiTi" w:eastAsia="KaiTi" w:cs="KaiTi"/>
          <w:spacing w:val="7"/>
        </w:rPr>
        <w:t>应急组织机构。</w:t>
      </w:r>
      <w:r>
        <w:rPr>
          <w:spacing w:val="7"/>
        </w:rPr>
        <w:t>在市政府及市应急管</w:t>
      </w:r>
      <w:r>
        <w:rPr>
          <w:spacing w:val="7"/>
        </w:rPr>
        <w:t>理指挥部的统一领导下，市应急管理指挥部负</w:t>
      </w:r>
      <w:r>
        <w:rPr>
          <w:spacing w:val="7"/>
        </w:rPr>
        <w:t>责统一领导、组织、协调生产安全事故工作，</w:t>
      </w:r>
      <w:r>
        <w:rPr>
          <w:spacing w:val="7"/>
        </w:rPr>
        <w:t>统一指挥各类生产安全事故及其次生、衍生灾</w:t>
      </w:r>
      <w:r>
        <w:rPr>
          <w:spacing w:val="8"/>
        </w:rPr>
        <w:t>害的应急处置工作。</w:t>
      </w:r>
    </w:p>
    <w:p>
      <w:pPr>
        <w:pStyle w:val="BodyText"/>
        <w:ind w:left="2" w:right="105" w:firstLine="420"/>
        <w:spacing w:line="336" w:lineRule="auto"/>
        <w:rPr/>
      </w:pPr>
      <w:r>
        <w:rPr>
          <w:spacing w:val="6"/>
        </w:rPr>
        <w:t>指 挥 长：市政府分管应急管理工作的副</w:t>
      </w:r>
      <w:r>
        <w:rPr>
          <w:spacing w:val="6"/>
        </w:rPr>
        <w:t>市长</w:t>
      </w:r>
    </w:p>
    <w:p>
      <w:pPr>
        <w:pStyle w:val="BodyText"/>
        <w:ind w:left="5" w:right="105" w:firstLine="420"/>
        <w:spacing w:before="39" w:line="336" w:lineRule="auto"/>
        <w:rPr/>
      </w:pPr>
      <w:r>
        <w:rPr>
          <w:spacing w:val="4"/>
        </w:rPr>
        <w:t>副指挥长：事故发生地县（</w:t>
      </w:r>
      <w:r>
        <w:rPr>
          <w:spacing w:val="-53"/>
        </w:rPr>
        <w:t xml:space="preserve"> </w:t>
      </w:r>
      <w:r>
        <w:rPr>
          <w:spacing w:val="4"/>
        </w:rPr>
        <w:t>区）政府主要</w:t>
      </w:r>
      <w:r>
        <w:rPr>
          <w:spacing w:val="9"/>
        </w:rPr>
        <w:t>负责人、市应急管理局局长</w:t>
      </w:r>
    </w:p>
    <w:p>
      <w:pPr>
        <w:pStyle w:val="BodyText"/>
        <w:ind w:right="25" w:firstLine="420"/>
        <w:spacing w:before="42" w:line="354" w:lineRule="auto"/>
        <w:rPr/>
      </w:pPr>
      <w:r>
        <w:rPr>
          <w:spacing w:val="6"/>
        </w:rPr>
        <w:t>成员单位：发展和改革委员会、工业和信</w:t>
      </w:r>
      <w:r>
        <w:rPr>
          <w:spacing w:val="1"/>
        </w:rPr>
        <w:t>息化局、教育和体育局、科学技术局、公安局、</w:t>
      </w:r>
      <w:r>
        <w:rPr>
          <w:spacing w:val="7"/>
        </w:rPr>
        <w:t>民政局、财政局、人力资源社会保障局、自然</w:t>
      </w:r>
      <w:r>
        <w:rPr>
          <w:spacing w:val="7"/>
        </w:rPr>
        <w:t>资源局、生态环境局、住房和城乡建设局、交</w:t>
      </w:r>
      <w:r>
        <w:rPr>
          <w:spacing w:val="7"/>
        </w:rPr>
        <w:t>通运输局、水务局、农业农村局、文化旅游广</w:t>
      </w:r>
      <w:r>
        <w:rPr>
          <w:spacing w:val="7"/>
        </w:rPr>
        <w:t>播电视局、卫生健康委员会、市场监管局、市</w:t>
      </w:r>
      <w:r>
        <w:rPr>
          <w:spacing w:val="7"/>
        </w:rPr>
        <w:t>应急管理局、市消防支队、气象局、事故发生</w:t>
      </w:r>
      <w:r>
        <w:rPr>
          <w:spacing w:val="4"/>
        </w:rPr>
        <w:t>地县（</w:t>
      </w:r>
      <w:r>
        <w:rPr>
          <w:spacing w:val="-35"/>
        </w:rPr>
        <w:t xml:space="preserve"> </w:t>
      </w:r>
      <w:r>
        <w:rPr>
          <w:spacing w:val="4"/>
        </w:rPr>
        <w:t>区）政府等有关部门，应急管理指挥部</w:t>
      </w:r>
      <w:r>
        <w:rPr>
          <w:spacing w:val="9"/>
        </w:rPr>
        <w:t>根据事故救援需要确定的非政府职能部门。</w:t>
      </w:r>
    </w:p>
    <w:p>
      <w:pPr>
        <w:pStyle w:val="BodyText"/>
        <w:ind w:firstLine="428"/>
        <w:spacing w:before="7" w:line="354" w:lineRule="auto"/>
        <w:rPr/>
      </w:pPr>
      <w:r>
        <w:rPr>
          <w:spacing w:val="6"/>
        </w:rPr>
        <w:t>主要职责：在市委，市政府的领导下，安</w:t>
      </w:r>
      <w:r>
        <w:rPr>
          <w:spacing w:val="7"/>
        </w:rPr>
        <w:t>排部署市生产安全事故的预防和处置工作；在</w:t>
      </w:r>
      <w:r>
        <w:rPr>
          <w:spacing w:val="7"/>
        </w:rPr>
        <w:t>预测将要发生和已经发生生产安全事故时，迅</w:t>
      </w:r>
      <w:r>
        <w:rPr>
          <w:spacing w:val="2"/>
        </w:rPr>
        <w:t>速启动相应应急预案，组织、指挥应急处置工作</w:t>
      </w:r>
      <w:r>
        <w:rPr>
          <w:spacing w:val="8"/>
        </w:rPr>
        <w:t xml:space="preserve"> </w:t>
      </w:r>
      <w:r>
        <w:rPr>
          <w:spacing w:val="7"/>
        </w:rPr>
        <w:t>；在处置生产安全事故过程中，积极协调与其</w:t>
      </w:r>
      <w:r>
        <w:rPr>
          <w:spacing w:val="7"/>
        </w:rPr>
        <w:t>他部门的关系，当生产安全事故超过处置权限</w:t>
      </w:r>
      <w:r>
        <w:rPr>
          <w:spacing w:val="7"/>
        </w:rPr>
        <w:t>和能力时，及时向自治区党委、政府报告，由</w:t>
      </w:r>
      <w:r>
        <w:rPr>
          <w:spacing w:val="7"/>
        </w:rPr>
        <w:t>自治区党委、政府统一领导和指挥市专项应急</w:t>
      </w:r>
      <w:r>
        <w:rPr>
          <w:spacing w:val="7"/>
        </w:rPr>
        <w:t>指挥部和有关县（区）、部门（单位）开展应</w:t>
      </w:r>
      <w:r>
        <w:rPr>
          <w:spacing w:val="7"/>
        </w:rPr>
        <w:t>急处置工作。</w:t>
      </w:r>
    </w:p>
    <w:p>
      <w:pPr>
        <w:pStyle w:val="BodyText"/>
        <w:ind w:left="421"/>
        <w:spacing w:line="210" w:lineRule="auto"/>
        <w:rPr/>
      </w:pPr>
      <w:r>
        <w:rPr>
          <w:rFonts w:ascii="Times New Roman" w:hAnsi="Times New Roman" w:eastAsia="Times New Roman" w:cs="Times New Roman"/>
          <w:spacing w:val="8"/>
        </w:rPr>
        <w:t>2.2  </w:t>
      </w:r>
      <w:r>
        <w:rPr>
          <w:rFonts w:ascii="KaiTi" w:hAnsi="KaiTi" w:eastAsia="KaiTi" w:cs="KaiTi"/>
          <w:spacing w:val="8"/>
        </w:rPr>
        <w:t>应急救援办公室。</w:t>
      </w:r>
      <w:r>
        <w:rPr>
          <w:spacing w:val="8"/>
        </w:rPr>
        <w:t>市应急管理指挥部</w:t>
      </w:r>
    </w:p>
    <w:p>
      <w:pPr>
        <w:spacing w:line="210" w:lineRule="auto"/>
        <w:sectPr>
          <w:type w:val="continuous"/>
          <w:pgSz w:w="11906" w:h="16839"/>
          <w:pgMar w:top="1766" w:right="1484" w:bottom="1563" w:left="1576" w:header="1428" w:footer="1172" w:gutter="0"/>
          <w:cols w:equalWidth="0" w:num="2">
            <w:col w:w="4493" w:space="100"/>
            <w:col w:w="4253" w:space="0"/>
          </w:cols>
        </w:sectPr>
        <w:rPr/>
      </w:pPr>
    </w:p>
    <w:p>
      <w:pPr>
        <w:spacing w:before="58"/>
        <w:rPr/>
      </w:pPr>
      <w:r>
        <w:drawing>
          <wp:anchor distT="0" distB="0" distL="0" distR="0" simplePos="0" relativeHeight="252180480"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330" name="IM 1330"/>
            <wp:cNvGraphicFramePr/>
            <a:graphic>
              <a:graphicData uri="http://schemas.openxmlformats.org/drawingml/2006/picture">
                <pic:pic>
                  <pic:nvPicPr>
                    <pic:cNvPr id="1330" name="IM 1330"/>
                    <pic:cNvPicPr/>
                  </pic:nvPicPr>
                  <pic:blipFill>
                    <a:blip r:embed="rId667"/>
                    <a:stretch>
                      <a:fillRect/>
                    </a:stretch>
                  </pic:blipFill>
                  <pic:spPr>
                    <a:xfrm rot="0">
                      <a:off x="0" y="0"/>
                      <a:ext cx="5579745" cy="7620"/>
                    </a:xfrm>
                    <a:prstGeom prst="rect">
                      <a:avLst/>
                    </a:prstGeom>
                  </pic:spPr>
                </pic:pic>
              </a:graphicData>
            </a:graphic>
          </wp:anchor>
        </w:drawing>
      </w:r>
      <w:r/>
    </w:p>
    <w:p>
      <w:pPr>
        <w:sectPr>
          <w:headerReference w:type="default" r:id="rId665"/>
          <w:footerReference w:type="default" r:id="rId666"/>
          <w:pgSz w:w="11906" w:h="16839"/>
          <w:pgMar w:top="1772" w:right="1489" w:bottom="1547" w:left="1588" w:header="1428" w:footer="1172" w:gutter="0"/>
          <w:cols w:equalWidth="0" w:num="1">
            <w:col w:w="8829" w:space="0"/>
          </w:cols>
        </w:sectPr>
        <w:rPr/>
      </w:pPr>
    </w:p>
    <w:p>
      <w:pPr>
        <w:pStyle w:val="BodyText"/>
        <w:ind w:left="5" w:right="330" w:firstLine="2"/>
        <w:spacing w:before="44" w:line="354" w:lineRule="auto"/>
        <w:jc w:val="both"/>
        <w:rPr/>
      </w:pPr>
      <w:r>
        <w:rPr>
          <w:spacing w:val="7"/>
        </w:rPr>
        <w:t>办公室常设在固原市应急管理局，市应急管理</w:t>
      </w:r>
      <w:r>
        <w:rPr>
          <w:spacing w:val="15"/>
        </w:rPr>
        <w:t>局局长兼任办公室主任</w:t>
      </w:r>
      <w:r>
        <w:rPr>
          <w:spacing w:val="-42"/>
        </w:rPr>
        <w:t xml:space="preserve"> </w:t>
      </w:r>
      <w:r>
        <w:rPr>
          <w:spacing w:val="15"/>
        </w:rPr>
        <w:t>，办公室值班电话为</w:t>
      </w:r>
      <w:r>
        <w:rPr>
          <w:rFonts w:ascii="Times New Roman" w:hAnsi="Times New Roman" w:eastAsia="Times New Roman" w:cs="Times New Roman"/>
          <w:spacing w:val="4"/>
        </w:rPr>
        <w:t>0954-2088154</w:t>
      </w:r>
      <w:r>
        <w:rPr>
          <w:spacing w:val="4"/>
        </w:rPr>
        <w:t>。</w:t>
      </w:r>
    </w:p>
    <w:p>
      <w:pPr>
        <w:pStyle w:val="BodyText"/>
        <w:ind w:left="4" w:right="284" w:firstLine="428"/>
        <w:spacing w:before="10" w:line="353" w:lineRule="auto"/>
        <w:jc w:val="both"/>
        <w:rPr/>
      </w:pPr>
      <w:r>
        <w:rPr>
          <w:spacing w:val="6"/>
        </w:rPr>
        <w:t>主要职责：履行应急值守、信息汇总和综</w:t>
      </w:r>
      <w:r>
        <w:rPr>
          <w:spacing w:val="7"/>
        </w:rPr>
        <w:t>合协调；负责接收和办理向市委、市政府报送</w:t>
      </w:r>
      <w:r>
        <w:rPr>
          <w:spacing w:val="7"/>
        </w:rPr>
        <w:t>的紧急或重要事项；承办应急专题会议，督促</w:t>
      </w:r>
      <w:r>
        <w:rPr>
          <w:spacing w:val="8"/>
        </w:rPr>
        <w:t>落实市委、市政府有关决定事项和领导的批示</w:t>
      </w:r>
      <w:r>
        <w:rPr>
          <w:spacing w:val="7"/>
        </w:rPr>
        <w:t xml:space="preserve"> </w:t>
      </w:r>
      <w:r>
        <w:rPr>
          <w:spacing w:val="6"/>
        </w:rPr>
        <w:t>、指示精神；指导全市生产安全事故应急信息</w:t>
      </w:r>
      <w:r>
        <w:rPr>
          <w:spacing w:val="7"/>
        </w:rPr>
        <w:t>平台建设；组织编制、修订市生产安全事故应</w:t>
      </w:r>
      <w:r>
        <w:rPr>
          <w:spacing w:val="9"/>
        </w:rPr>
        <w:t>急预案，指导应急预案体系建设；协调特别重</w:t>
      </w:r>
      <w:r>
        <w:rPr>
          <w:spacing w:val="7"/>
        </w:rPr>
        <w:t>大、重大、较大生产安全事故的预防预警、应</w:t>
      </w:r>
      <w:r>
        <w:rPr>
          <w:spacing w:val="7"/>
        </w:rPr>
        <w:t>急演练、应急处置、调查评估、信息发布、应</w:t>
      </w:r>
      <w:r>
        <w:rPr>
          <w:spacing w:val="8"/>
        </w:rPr>
        <w:t>急保障和宣传培训等工作。</w:t>
      </w:r>
    </w:p>
    <w:p>
      <w:pPr>
        <w:pStyle w:val="BodyText"/>
        <w:ind w:left="5" w:right="330" w:firstLine="419"/>
        <w:spacing w:before="1" w:line="354" w:lineRule="auto"/>
        <w:jc w:val="both"/>
        <w:rPr/>
      </w:pPr>
      <w:r>
        <w:rPr>
          <w:rFonts w:ascii="Times New Roman" w:hAnsi="Times New Roman" w:eastAsia="Times New Roman" w:cs="Times New Roman"/>
          <w:spacing w:val="8"/>
        </w:rPr>
        <w:t>2.3  </w:t>
      </w:r>
      <w:r>
        <w:rPr>
          <w:rFonts w:ascii="KaiTi" w:hAnsi="KaiTi" w:eastAsia="KaiTi" w:cs="KaiTi"/>
          <w:spacing w:val="8"/>
        </w:rPr>
        <w:t>应急处置工作组。</w:t>
      </w:r>
      <w:r>
        <w:rPr>
          <w:spacing w:val="8"/>
        </w:rPr>
        <w:t>根据不同生产安全</w:t>
      </w:r>
      <w:r>
        <w:rPr>
          <w:spacing w:val="7"/>
        </w:rPr>
        <w:t>事故处置环节的要求，市应急管理指挥部办公</w:t>
      </w:r>
      <w:r>
        <w:rPr>
          <w:spacing w:val="10"/>
        </w:rPr>
        <w:t>室下设</w:t>
      </w:r>
      <w:r>
        <w:rPr>
          <w:spacing w:val="-17"/>
        </w:rPr>
        <w:t xml:space="preserve"> </w:t>
      </w:r>
      <w:r>
        <w:rPr>
          <w:rFonts w:ascii="Times New Roman" w:hAnsi="Times New Roman" w:eastAsia="Times New Roman" w:cs="Times New Roman"/>
          <w:spacing w:val="10"/>
        </w:rPr>
        <w:t>10 </w:t>
      </w:r>
      <w:r>
        <w:rPr>
          <w:spacing w:val="10"/>
        </w:rPr>
        <w:t>个工作组，具体负责事故现场处置</w:t>
      </w:r>
      <w:r>
        <w:rPr>
          <w:spacing w:val="7"/>
        </w:rPr>
        <w:t>和相关工作。</w:t>
      </w:r>
    </w:p>
    <w:p>
      <w:pPr>
        <w:pStyle w:val="BodyText"/>
        <w:ind w:left="425"/>
        <w:spacing w:before="8" w:line="219" w:lineRule="auto"/>
        <w:rPr/>
      </w:pPr>
      <w:r>
        <w:rPr>
          <w:rFonts w:ascii="Times New Roman" w:hAnsi="Times New Roman" w:eastAsia="Times New Roman" w:cs="Times New Roman"/>
          <w:spacing w:val="5"/>
        </w:rPr>
        <w:t>2.3.1 </w:t>
      </w:r>
      <w:r>
        <w:rPr>
          <w:spacing w:val="5"/>
        </w:rPr>
        <w:t>抢险救援组。</w:t>
      </w:r>
    </w:p>
    <w:p>
      <w:pPr>
        <w:pStyle w:val="BodyText"/>
        <w:ind w:left="424"/>
        <w:spacing w:before="141" w:line="278" w:lineRule="exact"/>
        <w:rPr/>
      </w:pPr>
      <w:r>
        <w:rPr>
          <w:spacing w:val="9"/>
          <w:position w:val="1"/>
        </w:rPr>
        <w:t>组长单位：市应急管理局</w:t>
      </w:r>
    </w:p>
    <w:p>
      <w:pPr>
        <w:pStyle w:val="BodyText"/>
        <w:ind w:left="5" w:right="330" w:firstLine="419"/>
        <w:spacing w:before="104" w:line="354" w:lineRule="auto"/>
        <w:jc w:val="both"/>
        <w:rPr/>
      </w:pPr>
      <w:r>
        <w:rPr>
          <w:spacing w:val="6"/>
        </w:rPr>
        <w:t>成员单位：市消防救援支队，市生态环境</w:t>
      </w:r>
      <w:r>
        <w:rPr>
          <w:spacing w:val="7"/>
        </w:rPr>
        <w:t>局、自然资源局、水务局等部门，应急管理指</w:t>
      </w:r>
      <w:r>
        <w:rPr>
          <w:spacing w:val="18"/>
        </w:rPr>
        <w:t>挥部根据事故救援需要确定的分政府职能部</w:t>
      </w:r>
      <w:r>
        <w:rPr>
          <w:spacing w:val="8"/>
        </w:rPr>
        <w:t>门以及事故企业。</w:t>
      </w:r>
    </w:p>
    <w:p>
      <w:pPr>
        <w:pStyle w:val="BodyText"/>
        <w:ind w:left="8" w:right="220" w:firstLine="424"/>
        <w:spacing w:before="4" w:line="341" w:lineRule="auto"/>
        <w:jc w:val="both"/>
        <w:rPr/>
      </w:pPr>
      <w:r>
        <w:rPr>
          <w:spacing w:val="6"/>
        </w:rPr>
        <w:t>主要职责：负责组织、指挥生产安全事故</w:t>
      </w:r>
      <w:r>
        <w:rPr>
          <w:spacing w:val="2"/>
        </w:rPr>
        <w:t>的抢险救援工作，组织调动消防、企业专（兼）</w:t>
      </w:r>
      <w:r>
        <w:rPr>
          <w:spacing w:val="8"/>
        </w:rPr>
        <w:t>职应急救援力量开展救援。</w:t>
      </w:r>
    </w:p>
    <w:p>
      <w:pPr>
        <w:pStyle w:val="BodyText"/>
        <w:ind w:left="425"/>
        <w:spacing w:before="50" w:line="221" w:lineRule="auto"/>
        <w:rPr/>
      </w:pPr>
      <w:r>
        <w:rPr>
          <w:rFonts w:ascii="Times New Roman" w:hAnsi="Times New Roman" w:eastAsia="Times New Roman" w:cs="Times New Roman"/>
          <w:spacing w:val="5"/>
        </w:rPr>
        <w:t>2.3.2 </w:t>
      </w:r>
      <w:r>
        <w:rPr>
          <w:spacing w:val="5"/>
        </w:rPr>
        <w:t>交通治安组。</w:t>
      </w:r>
    </w:p>
    <w:p>
      <w:pPr>
        <w:pStyle w:val="BodyText"/>
        <w:ind w:left="424"/>
        <w:spacing w:before="139" w:line="277" w:lineRule="exact"/>
        <w:rPr/>
      </w:pPr>
      <w:r>
        <w:rPr>
          <w:spacing w:val="9"/>
          <w:position w:val="1"/>
        </w:rPr>
        <w:t>组长单位：市公安局</w:t>
      </w:r>
    </w:p>
    <w:p>
      <w:pPr>
        <w:pStyle w:val="BodyText"/>
        <w:ind w:left="4" w:right="327" w:firstLine="420"/>
        <w:spacing w:before="107" w:line="341" w:lineRule="auto"/>
        <w:jc w:val="both"/>
        <w:rPr/>
      </w:pPr>
      <w:r>
        <w:rPr>
          <w:spacing w:val="4"/>
        </w:rPr>
        <w:t>成员单位：市县（</w:t>
      </w:r>
      <w:r>
        <w:rPr>
          <w:spacing w:val="-48"/>
        </w:rPr>
        <w:t xml:space="preserve"> </w:t>
      </w:r>
      <w:r>
        <w:rPr>
          <w:spacing w:val="4"/>
        </w:rPr>
        <w:t>区）公安局、交通运输</w:t>
      </w:r>
      <w:r>
        <w:rPr>
          <w:spacing w:val="4"/>
        </w:rPr>
        <w:t>局、交警支（大）队和事故发生地县（</w:t>
      </w:r>
      <w:r>
        <w:rPr>
          <w:spacing w:val="-33"/>
        </w:rPr>
        <w:t xml:space="preserve"> </w:t>
      </w:r>
      <w:r>
        <w:rPr>
          <w:spacing w:val="4"/>
        </w:rPr>
        <w:t>区）政</w:t>
      </w:r>
      <w:r>
        <w:rPr>
          <w:spacing w:val="8"/>
        </w:rPr>
        <w:t>府及其相关部门。</w:t>
      </w:r>
    </w:p>
    <w:p>
      <w:pPr>
        <w:pStyle w:val="BodyText"/>
        <w:ind w:left="17" w:right="330" w:firstLine="416"/>
        <w:spacing w:before="44" w:line="310" w:lineRule="auto"/>
        <w:jc w:val="both"/>
        <w:rPr/>
      </w:pPr>
      <w:r>
        <w:rPr>
          <w:spacing w:val="6"/>
        </w:rPr>
        <w:t>主要职责：负责保护事故现场，设立警界</w:t>
      </w:r>
      <w:r>
        <w:rPr>
          <w:spacing w:val="6"/>
        </w:rPr>
        <w:t>区域，维护现场秩序，防止事态扩大；负责危</w:t>
      </w:r>
      <w:r>
        <w:rPr>
          <w:spacing w:val="6"/>
        </w:rPr>
        <w:t>险区域内人员疏散和临时安置工作；指挥、调</w:t>
      </w:r>
    </w:p>
    <w:p>
      <w:pPr>
        <w:spacing w:line="14" w:lineRule="auto"/>
        <w:rPr>
          <w:rFonts w:ascii="Arial"/>
          <w:sz w:val="2"/>
        </w:rPr>
      </w:pPr>
      <w:r>
        <w:rPr>
          <w:rFonts w:ascii="Arial" w:hAnsi="Arial" w:eastAsia="Arial" w:cs="Arial"/>
          <w:sz w:val="2"/>
          <w:szCs w:val="2"/>
        </w:rPr>
        <w:br w:type="column"/>
      </w:r>
    </w:p>
    <w:p>
      <w:pPr>
        <w:pStyle w:val="BodyText"/>
        <w:ind w:left="5" w:right="101" w:hanging="5"/>
        <w:spacing w:before="40" w:line="355" w:lineRule="auto"/>
        <w:rPr/>
      </w:pPr>
      <w:r>
        <w:rPr>
          <w:spacing w:val="7"/>
        </w:rPr>
        <w:t>度撤出危害区的人员；及时疏散交通阻塞，使</w:t>
      </w:r>
      <w:r>
        <w:rPr>
          <w:spacing w:val="8"/>
        </w:rPr>
        <w:t>车辆顺利地通过通道；维护社会治安。</w:t>
      </w:r>
    </w:p>
    <w:p>
      <w:pPr>
        <w:pStyle w:val="BodyText"/>
        <w:ind w:left="421"/>
        <w:spacing w:line="222" w:lineRule="auto"/>
        <w:rPr/>
      </w:pPr>
      <w:r>
        <w:rPr>
          <w:rFonts w:ascii="Times New Roman" w:hAnsi="Times New Roman" w:eastAsia="Times New Roman" w:cs="Times New Roman"/>
          <w:spacing w:val="5"/>
        </w:rPr>
        <w:t>2.3.3 </w:t>
      </w:r>
      <w:r>
        <w:rPr>
          <w:spacing w:val="5"/>
        </w:rPr>
        <w:t>通信保障组。</w:t>
      </w:r>
    </w:p>
    <w:p>
      <w:pPr>
        <w:pStyle w:val="BodyText"/>
        <w:ind w:left="420"/>
        <w:spacing w:before="139" w:line="278" w:lineRule="exact"/>
        <w:rPr/>
      </w:pPr>
      <w:r>
        <w:rPr>
          <w:spacing w:val="9"/>
          <w:position w:val="1"/>
        </w:rPr>
        <w:t>组长单位：市工业和信息化局</w:t>
      </w:r>
    </w:p>
    <w:p>
      <w:pPr>
        <w:pStyle w:val="BodyText"/>
        <w:ind w:right="101" w:firstLine="420"/>
        <w:spacing w:before="106" w:line="337" w:lineRule="auto"/>
        <w:rPr/>
      </w:pPr>
      <w:r>
        <w:rPr>
          <w:spacing w:val="4"/>
        </w:rPr>
        <w:t>成员单位：市县（</w:t>
      </w:r>
      <w:r>
        <w:rPr>
          <w:spacing w:val="-48"/>
        </w:rPr>
        <w:t xml:space="preserve"> </w:t>
      </w:r>
      <w:r>
        <w:rPr>
          <w:spacing w:val="4"/>
        </w:rPr>
        <w:t>区）工业和信息化局及</w:t>
      </w:r>
      <w:r>
        <w:rPr>
          <w:spacing w:val="8"/>
        </w:rPr>
        <w:t>其相关通信部门。</w:t>
      </w:r>
    </w:p>
    <w:p>
      <w:pPr>
        <w:pStyle w:val="BodyText"/>
        <w:ind w:left="428"/>
        <w:spacing w:before="38" w:line="278" w:lineRule="exact"/>
        <w:rPr/>
      </w:pPr>
      <w:r>
        <w:rPr>
          <w:spacing w:val="8"/>
          <w:position w:val="1"/>
        </w:rPr>
        <w:t>主要职责：负责事故应急通信保障。</w:t>
      </w:r>
    </w:p>
    <w:p>
      <w:pPr>
        <w:pStyle w:val="BodyText"/>
        <w:ind w:left="421"/>
        <w:spacing w:before="111" w:line="220" w:lineRule="auto"/>
        <w:rPr/>
      </w:pPr>
      <w:r>
        <w:rPr>
          <w:rFonts w:ascii="Times New Roman" w:hAnsi="Times New Roman" w:eastAsia="Times New Roman" w:cs="Times New Roman"/>
          <w:spacing w:val="4"/>
        </w:rPr>
        <w:t>2.3.4</w:t>
      </w:r>
      <w:r>
        <w:rPr>
          <w:rFonts w:ascii="Times New Roman" w:hAnsi="Times New Roman" w:eastAsia="Times New Roman" w:cs="Times New Roman"/>
          <w:spacing w:val="19"/>
          <w:w w:val="101"/>
        </w:rPr>
        <w:t xml:space="preserve"> </w:t>
      </w:r>
      <w:r>
        <w:rPr>
          <w:spacing w:val="4"/>
        </w:rPr>
        <w:t>医疗救治组。</w:t>
      </w:r>
    </w:p>
    <w:p>
      <w:pPr>
        <w:pStyle w:val="BodyText"/>
        <w:ind w:left="420"/>
        <w:spacing w:before="141" w:line="277" w:lineRule="exact"/>
        <w:rPr/>
      </w:pPr>
      <w:r>
        <w:rPr>
          <w:spacing w:val="9"/>
          <w:position w:val="1"/>
        </w:rPr>
        <w:t>组长单位：市卫生健康委员会</w:t>
      </w:r>
    </w:p>
    <w:p>
      <w:pPr>
        <w:pStyle w:val="BodyText"/>
        <w:ind w:left="2" w:right="101" w:firstLine="418"/>
        <w:spacing w:before="107" w:line="353" w:lineRule="auto"/>
        <w:rPr/>
      </w:pPr>
      <w:r>
        <w:rPr>
          <w:spacing w:val="6"/>
        </w:rPr>
        <w:t>成员单位：市人民医院、中医医院、事故</w:t>
      </w:r>
      <w:r>
        <w:rPr>
          <w:spacing w:val="5"/>
        </w:rPr>
        <w:t>发生地县（</w:t>
      </w:r>
      <w:r>
        <w:rPr>
          <w:spacing w:val="-48"/>
        </w:rPr>
        <w:t xml:space="preserve"> </w:t>
      </w:r>
      <w:r>
        <w:rPr>
          <w:spacing w:val="5"/>
        </w:rPr>
        <w:t>区）医疗卫生机构。</w:t>
      </w:r>
    </w:p>
    <w:p>
      <w:pPr>
        <w:pStyle w:val="BodyText"/>
        <w:ind w:right="101" w:firstLine="428"/>
        <w:spacing w:before="5" w:line="354" w:lineRule="auto"/>
        <w:jc w:val="both"/>
        <w:rPr/>
      </w:pPr>
      <w:r>
        <w:rPr>
          <w:spacing w:val="6"/>
        </w:rPr>
        <w:t>主要职责：负责组织、调配、指挥医疗救</w:t>
      </w:r>
      <w:r>
        <w:rPr>
          <w:spacing w:val="7"/>
        </w:rPr>
        <w:t>护力量、资源，开展医疗救援工作。负责组织</w:t>
      </w:r>
      <w:r>
        <w:rPr>
          <w:spacing w:val="7"/>
        </w:rPr>
        <w:t>救治受伤人员，设立现场医疗急救站，对受伤</w:t>
      </w:r>
      <w:r>
        <w:rPr>
          <w:spacing w:val="7"/>
        </w:rPr>
        <w:t>和中毒人员进行现场分类和急救处理，并及时</w:t>
      </w:r>
      <w:r>
        <w:rPr>
          <w:spacing w:val="8"/>
        </w:rPr>
        <w:t>合理转送有关医院进行救治。</w:t>
      </w:r>
    </w:p>
    <w:p>
      <w:pPr>
        <w:pStyle w:val="BodyText"/>
        <w:ind w:left="421"/>
        <w:spacing w:before="5" w:line="223" w:lineRule="auto"/>
        <w:rPr/>
      </w:pPr>
      <w:r>
        <w:rPr>
          <w:rFonts w:ascii="Times New Roman" w:hAnsi="Times New Roman" w:eastAsia="Times New Roman" w:cs="Times New Roman"/>
          <w:spacing w:val="5"/>
        </w:rPr>
        <w:t>2.3.5 </w:t>
      </w:r>
      <w:r>
        <w:rPr>
          <w:spacing w:val="5"/>
        </w:rPr>
        <w:t>应急专家组。</w:t>
      </w:r>
    </w:p>
    <w:p>
      <w:pPr>
        <w:pStyle w:val="BodyText"/>
        <w:ind w:left="420"/>
        <w:spacing w:before="138" w:line="278" w:lineRule="exact"/>
        <w:rPr/>
      </w:pPr>
      <w:r>
        <w:rPr>
          <w:spacing w:val="9"/>
          <w:position w:val="1"/>
        </w:rPr>
        <w:t>组长单位：市应急管理局</w:t>
      </w:r>
    </w:p>
    <w:p>
      <w:pPr>
        <w:pStyle w:val="BodyText"/>
        <w:ind w:left="420"/>
        <w:spacing w:before="106" w:line="278" w:lineRule="exact"/>
        <w:rPr/>
      </w:pPr>
      <w:r>
        <w:rPr>
          <w:spacing w:val="9"/>
          <w:position w:val="1"/>
        </w:rPr>
        <w:t>成员单位：市应急专家组</w:t>
      </w:r>
    </w:p>
    <w:p>
      <w:pPr>
        <w:pStyle w:val="BodyText"/>
        <w:ind w:left="1" w:right="101" w:firstLine="427"/>
        <w:spacing w:before="108" w:line="354" w:lineRule="auto"/>
        <w:jc w:val="both"/>
        <w:rPr/>
      </w:pPr>
      <w:r>
        <w:rPr>
          <w:spacing w:val="6"/>
        </w:rPr>
        <w:t>主要职责：市应急管理局负责组建生产安</w:t>
      </w:r>
      <w:r>
        <w:rPr>
          <w:spacing w:val="7"/>
        </w:rPr>
        <w:t>全事故应急救援专家队伍，建立健全专家决策</w:t>
      </w:r>
      <w:r>
        <w:rPr>
          <w:spacing w:val="7"/>
        </w:rPr>
        <w:t>咨询制度，为专家组开展工作提供必要的保障</w:t>
      </w:r>
      <w:r>
        <w:rPr>
          <w:spacing w:val="7"/>
        </w:rPr>
        <w:t>和服务。专家队伍在市应急指挥部领导下负责</w:t>
      </w:r>
      <w:r>
        <w:rPr>
          <w:spacing w:val="-3"/>
        </w:rPr>
        <w:t>生产安全事故应急救援指导，辅助决策和指挥。</w:t>
      </w:r>
    </w:p>
    <w:p>
      <w:pPr>
        <w:pStyle w:val="BodyText"/>
        <w:ind w:left="421"/>
        <w:spacing w:before="3" w:line="222" w:lineRule="auto"/>
        <w:rPr/>
      </w:pPr>
      <w:r>
        <w:rPr>
          <w:rFonts w:ascii="Times New Roman" w:hAnsi="Times New Roman" w:eastAsia="Times New Roman" w:cs="Times New Roman"/>
          <w:spacing w:val="5"/>
        </w:rPr>
        <w:t>2.3.6 </w:t>
      </w:r>
      <w:r>
        <w:rPr>
          <w:spacing w:val="5"/>
        </w:rPr>
        <w:t>资金保障组。</w:t>
      </w:r>
    </w:p>
    <w:p>
      <w:pPr>
        <w:pStyle w:val="BodyText"/>
        <w:ind w:left="2" w:right="101" w:firstLine="418"/>
        <w:spacing w:before="140" w:line="337" w:lineRule="auto"/>
        <w:rPr/>
      </w:pPr>
      <w:r>
        <w:rPr>
          <w:spacing w:val="4"/>
        </w:rPr>
        <w:t>组长单位：事故发生地县（</w:t>
      </w:r>
      <w:r>
        <w:rPr>
          <w:spacing w:val="-48"/>
        </w:rPr>
        <w:t xml:space="preserve"> </w:t>
      </w:r>
      <w:r>
        <w:rPr>
          <w:spacing w:val="4"/>
        </w:rPr>
        <w:t>区）政府、市</w:t>
      </w:r>
      <w:r>
        <w:rPr>
          <w:spacing w:val="7"/>
        </w:rPr>
        <w:t>财政局</w:t>
      </w:r>
    </w:p>
    <w:p>
      <w:pPr>
        <w:pStyle w:val="BodyText"/>
        <w:ind w:left="420"/>
        <w:spacing w:before="39" w:line="277" w:lineRule="exact"/>
        <w:rPr/>
      </w:pPr>
      <w:r>
        <w:rPr>
          <w:spacing w:val="5"/>
          <w:position w:val="1"/>
        </w:rPr>
        <w:t>成员单位：市县（</w:t>
      </w:r>
      <w:r>
        <w:rPr>
          <w:spacing w:val="-42"/>
          <w:position w:val="1"/>
        </w:rPr>
        <w:t xml:space="preserve"> </w:t>
      </w:r>
      <w:r>
        <w:rPr>
          <w:spacing w:val="5"/>
          <w:position w:val="1"/>
        </w:rPr>
        <w:t>区）财政局</w:t>
      </w:r>
    </w:p>
    <w:p>
      <w:pPr>
        <w:pStyle w:val="BodyText"/>
        <w:ind w:left="1" w:right="101" w:firstLine="427"/>
        <w:spacing w:before="106" w:line="337" w:lineRule="auto"/>
        <w:rPr/>
      </w:pPr>
      <w:r>
        <w:rPr>
          <w:spacing w:val="6"/>
        </w:rPr>
        <w:t>主要职责：负责协调、保障事故应急救援</w:t>
      </w:r>
      <w:r>
        <w:rPr>
          <w:spacing w:val="7"/>
        </w:rPr>
        <w:t>工作所需资金。</w:t>
      </w:r>
    </w:p>
    <w:p>
      <w:pPr>
        <w:pStyle w:val="BodyText"/>
        <w:ind w:left="421"/>
        <w:spacing w:before="44" w:line="218" w:lineRule="auto"/>
        <w:rPr/>
      </w:pPr>
      <w:r>
        <w:rPr>
          <w:rFonts w:ascii="Times New Roman" w:hAnsi="Times New Roman" w:eastAsia="Times New Roman" w:cs="Times New Roman"/>
          <w:spacing w:val="5"/>
        </w:rPr>
        <w:t>2.3.7 </w:t>
      </w:r>
      <w:r>
        <w:rPr>
          <w:spacing w:val="5"/>
        </w:rPr>
        <w:t>环境监测组。</w:t>
      </w:r>
    </w:p>
    <w:p>
      <w:pPr>
        <w:pStyle w:val="BodyText"/>
        <w:ind w:left="420"/>
        <w:spacing w:before="142" w:line="278" w:lineRule="exact"/>
        <w:rPr/>
      </w:pPr>
      <w:r>
        <w:rPr>
          <w:spacing w:val="9"/>
          <w:position w:val="1"/>
        </w:rPr>
        <w:t>组长单位：市生态环境局</w:t>
      </w:r>
    </w:p>
    <w:p>
      <w:pPr>
        <w:pStyle w:val="BodyText"/>
        <w:ind w:left="420"/>
        <w:spacing w:before="106" w:line="278" w:lineRule="exact"/>
        <w:rPr/>
      </w:pPr>
      <w:r>
        <w:rPr>
          <w:spacing w:val="5"/>
          <w:position w:val="1"/>
        </w:rPr>
        <w:t>成员单位：市县（</w:t>
      </w:r>
      <w:r>
        <w:rPr>
          <w:spacing w:val="-37"/>
          <w:position w:val="1"/>
        </w:rPr>
        <w:t xml:space="preserve"> </w:t>
      </w:r>
      <w:r>
        <w:rPr>
          <w:spacing w:val="5"/>
          <w:position w:val="1"/>
        </w:rPr>
        <w:t>区）生态环境局。</w:t>
      </w:r>
    </w:p>
    <w:p>
      <w:pPr>
        <w:pStyle w:val="BodyText"/>
        <w:ind w:left="428"/>
        <w:spacing w:before="107" w:line="221" w:lineRule="auto"/>
        <w:rPr/>
      </w:pPr>
      <w:r>
        <w:rPr>
          <w:spacing w:val="6"/>
        </w:rPr>
        <w:t>主要职责：负责事故区域气象分析预报以</w:t>
      </w:r>
    </w:p>
    <w:p>
      <w:pPr>
        <w:spacing w:line="221" w:lineRule="auto"/>
        <w:sectPr>
          <w:type w:val="continuous"/>
          <w:pgSz w:w="11906" w:h="16839"/>
          <w:pgMar w:top="1772" w:right="1489" w:bottom="1547" w:left="1588" w:header="1428" w:footer="1172" w:gutter="0"/>
          <w:cols w:equalWidth="0" w:num="2">
            <w:col w:w="4481" w:space="100"/>
            <w:col w:w="4248" w:space="0"/>
          </w:cols>
        </w:sectPr>
        <w:rPr/>
      </w:pPr>
    </w:p>
    <w:p>
      <w:pPr>
        <w:spacing w:before="68"/>
        <w:rPr/>
      </w:pPr>
      <w:r>
        <w:drawing>
          <wp:anchor distT="0" distB="0" distL="0" distR="0" simplePos="0" relativeHeight="25218560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336" name="IM 1336"/>
            <wp:cNvGraphicFramePr/>
            <a:graphic>
              <a:graphicData uri="http://schemas.openxmlformats.org/drawingml/2006/picture">
                <pic:pic>
                  <pic:nvPicPr>
                    <pic:cNvPr id="1336" name="IM 1336"/>
                    <pic:cNvPicPr/>
                  </pic:nvPicPr>
                  <pic:blipFill>
                    <a:blip r:embed="rId670"/>
                    <a:stretch>
                      <a:fillRect/>
                    </a:stretch>
                  </pic:blipFill>
                  <pic:spPr>
                    <a:xfrm rot="0">
                      <a:off x="0" y="0"/>
                      <a:ext cx="5579745" cy="7620"/>
                    </a:xfrm>
                    <a:prstGeom prst="rect">
                      <a:avLst/>
                    </a:prstGeom>
                  </pic:spPr>
                </pic:pic>
              </a:graphicData>
            </a:graphic>
          </wp:anchor>
        </w:drawing>
      </w:r>
      <w:r/>
    </w:p>
    <w:p>
      <w:pPr>
        <w:sectPr>
          <w:headerReference w:type="default" r:id="rId668"/>
          <w:footerReference w:type="default" r:id="rId669"/>
          <w:pgSz w:w="11906" w:h="16839"/>
          <w:pgMar w:top="1766" w:right="1509" w:bottom="1563" w:left="1576" w:header="1428" w:footer="1172" w:gutter="0"/>
          <w:cols w:equalWidth="0" w:num="1">
            <w:col w:w="8821" w:space="0"/>
          </w:cols>
        </w:sectPr>
        <w:rPr/>
      </w:pPr>
    </w:p>
    <w:p>
      <w:pPr>
        <w:pStyle w:val="BodyText"/>
        <w:ind w:left="15"/>
        <w:spacing w:before="40" w:line="220" w:lineRule="auto"/>
        <w:rPr/>
      </w:pPr>
      <w:r>
        <w:rPr>
          <w:spacing w:val="9"/>
        </w:rPr>
        <w:t>及环境监测、环境污染处置工作。</w:t>
      </w:r>
    </w:p>
    <w:p>
      <w:pPr>
        <w:pStyle w:val="BodyText"/>
        <w:ind w:left="437"/>
        <w:spacing w:before="145" w:line="220" w:lineRule="auto"/>
        <w:rPr/>
      </w:pPr>
      <w:r>
        <w:rPr>
          <w:rFonts w:ascii="Times New Roman" w:hAnsi="Times New Roman" w:eastAsia="Times New Roman" w:cs="Times New Roman"/>
          <w:spacing w:val="5"/>
        </w:rPr>
        <w:t>2.3.8 </w:t>
      </w:r>
      <w:r>
        <w:rPr>
          <w:spacing w:val="5"/>
        </w:rPr>
        <w:t>事故调查组。</w:t>
      </w:r>
    </w:p>
    <w:p>
      <w:pPr>
        <w:pStyle w:val="BodyText"/>
        <w:ind w:left="436"/>
        <w:spacing w:before="140" w:line="278" w:lineRule="exact"/>
        <w:rPr/>
      </w:pPr>
      <w:r>
        <w:rPr>
          <w:spacing w:val="9"/>
          <w:position w:val="1"/>
        </w:rPr>
        <w:t>组长单位：市应急管理局</w:t>
      </w:r>
    </w:p>
    <w:p>
      <w:pPr>
        <w:pStyle w:val="BodyText"/>
        <w:ind w:left="16" w:right="322" w:firstLine="420"/>
        <w:spacing w:before="105" w:line="351" w:lineRule="auto"/>
        <w:jc w:val="both"/>
        <w:rPr/>
      </w:pPr>
      <w:r>
        <w:rPr>
          <w:spacing w:val="4"/>
        </w:rPr>
        <w:t>成员单位：市县（</w:t>
      </w:r>
      <w:r>
        <w:rPr>
          <w:spacing w:val="-48"/>
        </w:rPr>
        <w:t xml:space="preserve"> </w:t>
      </w:r>
      <w:r>
        <w:rPr>
          <w:spacing w:val="4"/>
        </w:rPr>
        <w:t>区）应急管理局、公安</w:t>
      </w:r>
      <w:r>
        <w:rPr>
          <w:spacing w:val="6"/>
        </w:rPr>
        <w:t>局、监委及其依据国务院</w:t>
      </w:r>
      <w:r>
        <w:rPr>
          <w:spacing w:val="-38"/>
        </w:rPr>
        <w:t xml:space="preserve"> </w:t>
      </w:r>
      <w:r>
        <w:rPr>
          <w:rFonts w:ascii="Times New Roman" w:hAnsi="Times New Roman" w:eastAsia="Times New Roman" w:cs="Times New Roman"/>
          <w:spacing w:val="6"/>
        </w:rPr>
        <w:t>493 </w:t>
      </w:r>
      <w:r>
        <w:rPr>
          <w:spacing w:val="6"/>
        </w:rPr>
        <w:t>号令规定参与事</w:t>
      </w:r>
      <w:r>
        <w:rPr>
          <w:spacing w:val="8"/>
        </w:rPr>
        <w:t>故调查处理的其他相关部门。</w:t>
      </w:r>
    </w:p>
    <w:p>
      <w:pPr>
        <w:pStyle w:val="BodyText"/>
        <w:ind w:left="15" w:right="322" w:firstLine="429"/>
        <w:spacing w:before="15" w:line="354" w:lineRule="auto"/>
        <w:jc w:val="both"/>
        <w:rPr/>
      </w:pPr>
      <w:r>
        <w:rPr>
          <w:spacing w:val="6"/>
        </w:rPr>
        <w:t>主要职责：会同有关部门、派驻单位、企</w:t>
      </w:r>
      <w:r>
        <w:rPr>
          <w:spacing w:val="7"/>
        </w:rPr>
        <w:t>业对事故发生的经过、原因进行调查，及时查</w:t>
      </w:r>
      <w:r>
        <w:rPr>
          <w:spacing w:val="7"/>
        </w:rPr>
        <w:t>清在生产安全事故处置过程中，擅离职守或失</w:t>
      </w:r>
      <w:r>
        <w:rPr>
          <w:spacing w:val="7"/>
        </w:rPr>
        <w:t>职、渎职等情况，向市应急指挥部提交责任事</w:t>
      </w:r>
      <w:r>
        <w:rPr>
          <w:spacing w:val="7"/>
        </w:rPr>
        <w:t>故调查报告，为依法追究相关人员的责任提供</w:t>
      </w:r>
      <w:r>
        <w:rPr>
          <w:spacing w:val="5"/>
        </w:rPr>
        <w:t>依据。</w:t>
      </w:r>
    </w:p>
    <w:p>
      <w:pPr>
        <w:pStyle w:val="BodyText"/>
        <w:ind w:left="437"/>
        <w:spacing w:before="3" w:line="222" w:lineRule="auto"/>
        <w:rPr/>
      </w:pPr>
      <w:r>
        <w:rPr>
          <w:rFonts w:ascii="Times New Roman" w:hAnsi="Times New Roman" w:eastAsia="Times New Roman" w:cs="Times New Roman"/>
          <w:spacing w:val="5"/>
        </w:rPr>
        <w:t>2.3.9 </w:t>
      </w:r>
      <w:r>
        <w:rPr>
          <w:spacing w:val="5"/>
        </w:rPr>
        <w:t>新闻宣传组。</w:t>
      </w:r>
    </w:p>
    <w:p>
      <w:pPr>
        <w:pStyle w:val="BodyText"/>
        <w:ind w:left="16" w:right="322" w:firstLine="420"/>
        <w:spacing w:before="140" w:line="337" w:lineRule="auto"/>
        <w:rPr/>
      </w:pPr>
      <w:r>
        <w:rPr>
          <w:spacing w:val="6"/>
        </w:rPr>
        <w:t>组长单位：由市应急管理指挥部根据工作</w:t>
      </w:r>
      <w:r>
        <w:rPr>
          <w:spacing w:val="8"/>
        </w:rPr>
        <w:t>需要确定</w:t>
      </w:r>
    </w:p>
    <w:p>
      <w:pPr>
        <w:pStyle w:val="BodyText"/>
        <w:ind w:left="37" w:right="241" w:firstLine="399"/>
        <w:spacing w:before="38" w:line="336" w:lineRule="auto"/>
        <w:rPr/>
      </w:pPr>
      <w:r>
        <w:rPr>
          <w:spacing w:val="10"/>
        </w:rPr>
        <w:t>成员单位：市应急管理局、固原电视台、</w:t>
      </w:r>
      <w:r>
        <w:rPr>
          <w:spacing w:val="-9"/>
        </w:rPr>
        <w:t>固原日报社、广播电视台和网络等相关媒体单位。</w:t>
      </w:r>
    </w:p>
    <w:p>
      <w:pPr>
        <w:pStyle w:val="BodyText"/>
        <w:ind w:left="16" w:right="322" w:firstLine="428"/>
        <w:spacing w:before="40" w:line="354" w:lineRule="auto"/>
        <w:rPr/>
      </w:pPr>
      <w:r>
        <w:rPr>
          <w:spacing w:val="6"/>
        </w:rPr>
        <w:t>主要职责：跟踪事故发展动态，及时收集</w:t>
      </w:r>
      <w:r>
        <w:rPr>
          <w:spacing w:val="7"/>
        </w:rPr>
        <w:t>消防、生态环境、公安、卫生医疗等部门的救</w:t>
      </w:r>
      <w:r>
        <w:rPr>
          <w:spacing w:val="7"/>
        </w:rPr>
        <w:t>援工作情况，组织召开新闻发布会，正确引导</w:t>
      </w:r>
      <w:r>
        <w:rPr>
          <w:spacing w:val="7"/>
        </w:rPr>
        <w:t>社会舆论；做好前来报道、采访的新闻媒体单</w:t>
      </w:r>
      <w:r>
        <w:rPr>
          <w:spacing w:val="8"/>
        </w:rPr>
        <w:t>位人员的接待安排工作。</w:t>
      </w:r>
    </w:p>
    <w:p>
      <w:pPr>
        <w:pStyle w:val="BodyText"/>
        <w:ind w:left="437"/>
        <w:spacing w:before="8" w:line="221" w:lineRule="auto"/>
        <w:rPr/>
      </w:pPr>
      <w:r>
        <w:rPr>
          <w:rFonts w:ascii="Times New Roman" w:hAnsi="Times New Roman" w:eastAsia="Times New Roman" w:cs="Times New Roman"/>
          <w:spacing w:val="3"/>
        </w:rPr>
        <w:t>2.3.</w:t>
      </w:r>
      <w:r>
        <w:rPr>
          <w:rFonts w:ascii="Times New Roman" w:hAnsi="Times New Roman" w:eastAsia="Times New Roman" w:cs="Times New Roman"/>
          <w:spacing w:val="-20"/>
        </w:rPr>
        <w:t xml:space="preserve"> </w:t>
      </w:r>
      <w:r>
        <w:rPr>
          <w:rFonts w:ascii="Times New Roman" w:hAnsi="Times New Roman" w:eastAsia="Times New Roman" w:cs="Times New Roman"/>
          <w:spacing w:val="3"/>
        </w:rPr>
        <w:t>10 </w:t>
      </w:r>
      <w:r>
        <w:rPr>
          <w:spacing w:val="3"/>
        </w:rPr>
        <w:t>善后处理组。</w:t>
      </w:r>
    </w:p>
    <w:p>
      <w:pPr>
        <w:pStyle w:val="BodyText"/>
        <w:ind w:left="436"/>
        <w:spacing w:before="140" w:line="277" w:lineRule="exact"/>
        <w:rPr/>
      </w:pPr>
      <w:r>
        <w:rPr>
          <w:spacing w:val="5"/>
          <w:position w:val="1"/>
        </w:rPr>
        <w:t>组长单位：事发地县（</w:t>
      </w:r>
      <w:r>
        <w:rPr>
          <w:spacing w:val="-38"/>
          <w:position w:val="1"/>
        </w:rPr>
        <w:t xml:space="preserve"> </w:t>
      </w:r>
      <w:r>
        <w:rPr>
          <w:spacing w:val="5"/>
          <w:position w:val="1"/>
        </w:rPr>
        <w:t>区）政府</w:t>
      </w:r>
    </w:p>
    <w:p>
      <w:pPr>
        <w:pStyle w:val="BodyText"/>
        <w:ind w:left="24" w:right="300" w:firstLine="420"/>
        <w:spacing w:before="107" w:line="336" w:lineRule="auto"/>
        <w:rPr/>
      </w:pPr>
      <w:r>
        <w:rPr>
          <w:spacing w:val="-4"/>
        </w:rPr>
        <w:t>主要职责：负责事发地受灾人员的善后处理</w:t>
      </w:r>
      <w:r>
        <w:rPr>
          <w:spacing w:val="-10"/>
        </w:rPr>
        <w:t>和灾后重建工作。</w:t>
      </w:r>
    </w:p>
    <w:p>
      <w:pPr>
        <w:pStyle w:val="BodyText"/>
        <w:ind w:left="15" w:right="322" w:firstLine="421"/>
        <w:spacing w:before="42" w:line="354" w:lineRule="auto"/>
        <w:jc w:val="both"/>
        <w:rPr/>
      </w:pPr>
      <w:r>
        <w:rPr>
          <w:spacing w:val="6"/>
        </w:rPr>
        <w:t>各应急救援工作组应根据工作职责，在市</w:t>
      </w:r>
      <w:r>
        <w:rPr>
          <w:spacing w:val="7"/>
        </w:rPr>
        <w:t>应急管理指挥部的统一领导下，主动做好相关</w:t>
      </w:r>
      <w:r>
        <w:rPr>
          <w:spacing w:val="7"/>
        </w:rPr>
        <w:t>工作，并根据事件发展趋势，及时调整应急措</w:t>
      </w:r>
      <w:r>
        <w:rPr>
          <w:spacing w:val="7"/>
        </w:rPr>
        <w:t>施和方案，加大应急处置力度，不断提高应急</w:t>
      </w:r>
      <w:r>
        <w:rPr>
          <w:spacing w:val="8"/>
        </w:rPr>
        <w:t>处置工作的针对性和时效性。</w:t>
      </w:r>
    </w:p>
    <w:p>
      <w:pPr>
        <w:ind w:left="436"/>
        <w:spacing w:line="264" w:lineRule="exact"/>
        <w:rPr>
          <w:rFonts w:ascii="KaiTi" w:hAnsi="KaiTi" w:eastAsia="KaiTi" w:cs="KaiTi"/>
          <w:sz w:val="20"/>
          <w:szCs w:val="20"/>
        </w:rPr>
      </w:pPr>
      <w:r>
        <w:rPr>
          <w:rFonts w:ascii="Times New Roman" w:hAnsi="Times New Roman" w:eastAsia="Times New Roman" w:cs="Times New Roman"/>
          <w:sz w:val="20"/>
          <w:szCs w:val="20"/>
          <w:b/>
          <w:bCs/>
          <w:spacing w:val="3"/>
          <w:position w:val="1"/>
        </w:rPr>
        <w:t>3</w:t>
      </w:r>
      <w:r>
        <w:rPr>
          <w:rFonts w:ascii="Times New Roman" w:hAnsi="Times New Roman" w:eastAsia="Times New Roman" w:cs="Times New Roman"/>
          <w:sz w:val="20"/>
          <w:szCs w:val="20"/>
          <w:b/>
          <w:bCs/>
          <w:spacing w:val="7"/>
          <w:position w:val="1"/>
        </w:rPr>
        <w:t xml:space="preserve">    </w:t>
      </w:r>
      <w:r>
        <w:rPr>
          <w:rFonts w:ascii="KaiTi" w:hAnsi="KaiTi" w:eastAsia="KaiTi" w:cs="KaiTi"/>
          <w:sz w:val="20"/>
          <w:szCs w:val="20"/>
          <w:b/>
          <w:bCs/>
          <w:spacing w:val="3"/>
          <w:position w:val="1"/>
        </w:rPr>
        <w:t>处置程序</w:t>
      </w:r>
    </w:p>
    <w:p>
      <w:pPr>
        <w:pStyle w:val="BodyText"/>
        <w:ind w:left="17" w:right="320" w:firstLine="423"/>
        <w:spacing w:before="120" w:line="273" w:lineRule="auto"/>
        <w:rPr/>
      </w:pPr>
      <w:r>
        <w:rPr>
          <w:rFonts w:ascii="Times New Roman" w:hAnsi="Times New Roman" w:eastAsia="Times New Roman" w:cs="Times New Roman"/>
          <w:spacing w:val="7"/>
        </w:rPr>
        <w:t>3.</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1  </w:t>
      </w:r>
      <w:r>
        <w:rPr>
          <w:rFonts w:ascii="KaiTi" w:hAnsi="KaiTi" w:eastAsia="KaiTi" w:cs="KaiTi"/>
          <w:spacing w:val="7"/>
        </w:rPr>
        <w:t>信息报告。</w:t>
      </w:r>
      <w:r>
        <w:rPr>
          <w:spacing w:val="7"/>
        </w:rPr>
        <w:t>事故发生后，事故现</w:t>
      </w:r>
      <w:r>
        <w:rPr>
          <w:spacing w:val="6"/>
        </w:rPr>
        <w:t>场人</w:t>
      </w:r>
      <w:r>
        <w:rPr>
          <w:spacing w:val="3"/>
        </w:rPr>
        <w:t>员应立即拨打</w:t>
      </w:r>
      <w:r>
        <w:rPr>
          <w:spacing w:val="-25"/>
        </w:rPr>
        <w:t xml:space="preserve"> </w:t>
      </w:r>
      <w:r>
        <w:rPr>
          <w:rFonts w:ascii="Times New Roman" w:hAnsi="Times New Roman" w:eastAsia="Times New Roman" w:cs="Times New Roman"/>
          <w:spacing w:val="3"/>
        </w:rPr>
        <w:t>110</w:t>
      </w:r>
      <w:r>
        <w:rPr>
          <w:rFonts w:ascii="Times New Roman" w:hAnsi="Times New Roman" w:eastAsia="Times New Roman" w:cs="Times New Roman"/>
          <w:spacing w:val="-26"/>
        </w:rPr>
        <w:t xml:space="preserve"> </w:t>
      </w:r>
      <w:r>
        <w:rPr>
          <w:spacing w:val="3"/>
        </w:rPr>
        <w:t>、</w:t>
      </w:r>
      <w:r>
        <w:rPr>
          <w:rFonts w:ascii="Times New Roman" w:hAnsi="Times New Roman" w:eastAsia="Times New Roman" w:cs="Times New Roman"/>
          <w:spacing w:val="3"/>
        </w:rPr>
        <w:t>119</w:t>
      </w:r>
      <w:r>
        <w:rPr>
          <w:rFonts w:ascii="Times New Roman" w:hAnsi="Times New Roman" w:eastAsia="Times New Roman" w:cs="Times New Roman"/>
          <w:spacing w:val="-26"/>
        </w:rPr>
        <w:t xml:space="preserve"> </w:t>
      </w:r>
      <w:r>
        <w:rPr>
          <w:spacing w:val="3"/>
        </w:rPr>
        <w:t>、</w:t>
      </w:r>
      <w:r>
        <w:rPr>
          <w:rFonts w:ascii="Times New Roman" w:hAnsi="Times New Roman" w:eastAsia="Times New Roman" w:cs="Times New Roman"/>
          <w:spacing w:val="3"/>
        </w:rPr>
        <w:t>120 </w:t>
      </w:r>
      <w:r>
        <w:rPr>
          <w:spacing w:val="3"/>
        </w:rPr>
        <w:t>报警，及时</w:t>
      </w:r>
      <w:r>
        <w:rPr>
          <w:spacing w:val="2"/>
        </w:rPr>
        <w:t>报告</w:t>
      </w:r>
    </w:p>
    <w:p>
      <w:pPr>
        <w:spacing w:line="14" w:lineRule="auto"/>
        <w:rPr>
          <w:rFonts w:ascii="Arial"/>
          <w:sz w:val="2"/>
        </w:rPr>
      </w:pPr>
      <w:r>
        <w:rPr>
          <w:rFonts w:ascii="Arial" w:hAnsi="Arial" w:eastAsia="Arial" w:cs="Arial"/>
          <w:sz w:val="2"/>
          <w:szCs w:val="2"/>
        </w:rPr>
        <w:br w:type="column"/>
      </w:r>
    </w:p>
    <w:p>
      <w:pPr>
        <w:pStyle w:val="BodyText"/>
        <w:ind w:left="10" w:right="80"/>
        <w:spacing w:before="39" w:line="354" w:lineRule="auto"/>
        <w:jc w:val="both"/>
        <w:rPr/>
      </w:pPr>
      <w:r>
        <w:rPr>
          <w:spacing w:val="7"/>
        </w:rPr>
        <w:t>市应急管理指挥部办公室，发生较大及以上烟</w:t>
      </w:r>
      <w:r>
        <w:rPr>
          <w:spacing w:val="7"/>
        </w:rPr>
        <w:t>花爆竹生产安全事故，相关人员和单位必须在</w:t>
      </w:r>
      <w:r>
        <w:rPr>
          <w:rFonts w:ascii="Times New Roman" w:hAnsi="Times New Roman" w:eastAsia="Times New Roman" w:cs="Times New Roman"/>
          <w:spacing w:val="14"/>
        </w:rPr>
        <w:t>30 </w:t>
      </w:r>
      <w:r>
        <w:rPr>
          <w:spacing w:val="14"/>
        </w:rPr>
        <w:t>分钟内通过电话向市应急管理指挥部</w:t>
      </w:r>
      <w:r>
        <w:rPr>
          <w:spacing w:val="13"/>
        </w:rPr>
        <w:t>办公</w:t>
      </w:r>
      <w:r>
        <w:rPr>
          <w:spacing w:val="5"/>
        </w:rPr>
        <w:t>室报告简要情况；在事发后</w:t>
      </w:r>
      <w:r>
        <w:rPr>
          <w:spacing w:val="-13"/>
        </w:rPr>
        <w:t xml:space="preserve"> </w:t>
      </w:r>
      <w:r>
        <w:rPr>
          <w:rFonts w:ascii="Times New Roman" w:hAnsi="Times New Roman" w:eastAsia="Times New Roman" w:cs="Times New Roman"/>
          <w:spacing w:val="5"/>
        </w:rPr>
        <w:t>1 </w:t>
      </w:r>
      <w:r>
        <w:rPr>
          <w:spacing w:val="5"/>
        </w:rPr>
        <w:t>小时内将事故详</w:t>
      </w:r>
      <w:r>
        <w:rPr>
          <w:spacing w:val="17"/>
        </w:rPr>
        <w:t>细信息报告市应急管理指挥部办公室报告。</w:t>
      </w:r>
    </w:p>
    <w:p>
      <w:pPr>
        <w:pStyle w:val="BodyText"/>
        <w:ind w:left="7" w:right="78" w:firstLine="21"/>
        <w:spacing w:before="1" w:line="354" w:lineRule="auto"/>
        <w:jc w:val="both"/>
        <w:rPr/>
      </w:pPr>
      <w:r>
        <w:rPr>
          <w:rFonts w:ascii="Times New Roman" w:hAnsi="Times New Roman" w:eastAsia="Times New Roman" w:cs="Times New Roman"/>
          <w:spacing w:val="2"/>
        </w:rPr>
        <w:t>110</w:t>
      </w:r>
      <w:r>
        <w:rPr>
          <w:rFonts w:ascii="Times New Roman" w:hAnsi="Times New Roman" w:eastAsia="Times New Roman" w:cs="Times New Roman"/>
          <w:spacing w:val="-22"/>
        </w:rPr>
        <w:t xml:space="preserve"> </w:t>
      </w:r>
      <w:r>
        <w:rPr>
          <w:spacing w:val="2"/>
        </w:rPr>
        <w:t>、</w:t>
      </w:r>
      <w:r>
        <w:rPr>
          <w:rFonts w:ascii="Times New Roman" w:hAnsi="Times New Roman" w:eastAsia="Times New Roman" w:cs="Times New Roman"/>
          <w:spacing w:val="2"/>
        </w:rPr>
        <w:t>120 </w:t>
      </w:r>
      <w:r>
        <w:rPr>
          <w:spacing w:val="2"/>
        </w:rPr>
        <w:t>接警后可采用电话、传真、书面等方</w:t>
      </w:r>
      <w:r>
        <w:rPr>
          <w:spacing w:val="18"/>
        </w:rPr>
        <w:t>式向市应急管理指挥部办公室及时报告事故</w:t>
      </w:r>
      <w:r>
        <w:rPr>
          <w:spacing w:val="4"/>
        </w:rPr>
        <w:t>情况。</w:t>
      </w:r>
    </w:p>
    <w:p>
      <w:pPr>
        <w:pStyle w:val="BodyText"/>
        <w:ind w:left="6" w:firstLine="426"/>
        <w:spacing w:before="3" w:line="352" w:lineRule="auto"/>
        <w:jc w:val="both"/>
        <w:rPr/>
      </w:pPr>
      <w:r>
        <w:rPr>
          <w:spacing w:val="18"/>
        </w:rPr>
        <w:t>烟花爆竹生产安全事故信息报告内容主</w:t>
      </w:r>
      <w:r>
        <w:rPr>
          <w:spacing w:val="1"/>
        </w:rPr>
        <w:t>要包括：事故发生单位概况、事故发生的时间、</w:t>
      </w:r>
      <w:r>
        <w:rPr>
          <w:spacing w:val="7"/>
        </w:rPr>
        <w:t>地点、简要经过；可能造成的危害程度、影响</w:t>
      </w:r>
      <w:r>
        <w:rPr>
          <w:spacing w:val="7"/>
        </w:rPr>
        <w:t>范围、遇险人数、直接经济损失；已采取的应</w:t>
      </w:r>
      <w:r>
        <w:rPr>
          <w:spacing w:val="7"/>
        </w:rPr>
        <w:t>急处置措施和目前事故处置进展情况；下一步</w:t>
      </w:r>
      <w:r>
        <w:rPr>
          <w:spacing w:val="8"/>
        </w:rPr>
        <w:t>拟采取的措施等。</w:t>
      </w:r>
    </w:p>
    <w:p>
      <w:pPr>
        <w:ind w:left="433"/>
        <w:spacing w:before="9" w:line="242" w:lineRule="auto"/>
        <w:rPr>
          <w:rFonts w:ascii="KaiTi" w:hAnsi="KaiTi" w:eastAsia="KaiTi" w:cs="KaiTi"/>
          <w:sz w:val="20"/>
          <w:szCs w:val="20"/>
        </w:rPr>
      </w:pPr>
      <w:r>
        <w:rPr>
          <w:rFonts w:ascii="Times New Roman" w:hAnsi="Times New Roman" w:eastAsia="Times New Roman" w:cs="Times New Roman"/>
          <w:sz w:val="20"/>
          <w:szCs w:val="20"/>
          <w:spacing w:val="3"/>
        </w:rPr>
        <w:t>3.2</w:t>
      </w:r>
      <w:r>
        <w:rPr>
          <w:rFonts w:ascii="Times New Roman" w:hAnsi="Times New Roman" w:eastAsia="Times New Roman" w:cs="Times New Roman"/>
          <w:sz w:val="20"/>
          <w:szCs w:val="20"/>
          <w:spacing w:val="10"/>
        </w:rPr>
        <w:t xml:space="preserve">  </w:t>
      </w:r>
      <w:r>
        <w:rPr>
          <w:rFonts w:ascii="KaiTi" w:hAnsi="KaiTi" w:eastAsia="KaiTi" w:cs="KaiTi"/>
          <w:sz w:val="20"/>
          <w:szCs w:val="20"/>
          <w:spacing w:val="3"/>
        </w:rPr>
        <w:t>先期处置。</w:t>
      </w:r>
    </w:p>
    <w:p>
      <w:pPr>
        <w:pStyle w:val="BodyText"/>
        <w:ind w:right="16" w:firstLine="433"/>
        <w:spacing w:before="129" w:line="327" w:lineRule="auto"/>
        <w:rPr/>
      </w:pPr>
      <w:r>
        <w:rPr>
          <w:rFonts w:ascii="Times New Roman" w:hAnsi="Times New Roman" w:eastAsia="Times New Roman" w:cs="Times New Roman"/>
          <w:spacing w:val="3"/>
        </w:rPr>
        <w:t>3.2.1 </w:t>
      </w:r>
      <w:r>
        <w:rPr>
          <w:spacing w:val="3"/>
        </w:rPr>
        <w:t>烟花爆竹生产安全事故发生后，事故</w:t>
      </w:r>
      <w:r>
        <w:rPr>
          <w:spacing w:val="7"/>
        </w:rPr>
        <w:t>发生单位要立即组织开展先期处置，事发地县</w:t>
      </w:r>
      <w:r>
        <w:rPr>
          <w:spacing w:val="7"/>
        </w:rPr>
        <w:t>（区）应急管理局相关负责人要在第一时间赶</w:t>
      </w:r>
      <w:r>
        <w:rPr/>
        <w:t>赴现场，查明情况，及时上报，控制事态发展，</w:t>
      </w:r>
      <w:r>
        <w:rPr>
          <w:spacing w:val="9"/>
        </w:rPr>
        <w:t>开展先期处置工作。</w:t>
      </w:r>
    </w:p>
    <w:p>
      <w:pPr>
        <w:pStyle w:val="BodyText"/>
        <w:ind w:left="7" w:right="73" w:firstLine="425"/>
        <w:spacing w:before="149" w:line="332" w:lineRule="auto"/>
        <w:rPr/>
      </w:pPr>
      <w:r>
        <w:rPr>
          <w:rFonts w:ascii="Times New Roman" w:hAnsi="Times New Roman" w:eastAsia="Times New Roman" w:cs="Times New Roman"/>
          <w:spacing w:val="3"/>
        </w:rPr>
        <w:t>3.2.2 </w:t>
      </w:r>
      <w:r>
        <w:rPr>
          <w:spacing w:val="3"/>
        </w:rPr>
        <w:t>达到一般事故时，启动事发地县级生</w:t>
      </w:r>
      <w:r>
        <w:rPr>
          <w:spacing w:val="7"/>
        </w:rPr>
        <w:t>产安全事故应急预案，按照应急预案规定成立</w:t>
      </w:r>
      <w:r>
        <w:rPr>
          <w:spacing w:val="4"/>
        </w:rPr>
        <w:t>现场指挥部。现场总指挥由事发地县（</w:t>
      </w:r>
      <w:r>
        <w:rPr>
          <w:spacing w:val="-35"/>
        </w:rPr>
        <w:t xml:space="preserve"> </w:t>
      </w:r>
      <w:r>
        <w:rPr>
          <w:spacing w:val="4"/>
        </w:rPr>
        <w:t>区）政</w:t>
      </w:r>
      <w:r>
        <w:rPr>
          <w:spacing w:val="5"/>
        </w:rPr>
        <w:t>府分管副县（</w:t>
      </w:r>
      <w:r>
        <w:rPr>
          <w:spacing w:val="-48"/>
        </w:rPr>
        <w:t xml:space="preserve"> </w:t>
      </w:r>
      <w:r>
        <w:rPr>
          <w:spacing w:val="5"/>
        </w:rPr>
        <w:t>区）长、应急管理局局长担任，</w:t>
      </w:r>
      <w:r>
        <w:rPr>
          <w:spacing w:val="15"/>
        </w:rPr>
        <w:t>制定先期处置方案</w:t>
      </w:r>
      <w:r>
        <w:rPr>
          <w:spacing w:val="-40"/>
        </w:rPr>
        <w:t xml:space="preserve"> </w:t>
      </w:r>
      <w:r>
        <w:rPr>
          <w:spacing w:val="15"/>
        </w:rPr>
        <w:t>，开展抢险救援和人员救</w:t>
      </w:r>
      <w:r>
        <w:rPr>
          <w:spacing w:val="9"/>
        </w:rPr>
        <w:t>治，组织相关单位开展先期处置工作。</w:t>
      </w:r>
    </w:p>
    <w:p>
      <w:pPr>
        <w:pStyle w:val="BodyText"/>
        <w:ind w:left="8" w:right="78" w:firstLine="424"/>
        <w:spacing w:before="145" w:line="309" w:lineRule="auto"/>
        <w:rPr/>
      </w:pPr>
      <w:r>
        <w:rPr>
          <w:rFonts w:ascii="Times New Roman" w:hAnsi="Times New Roman" w:eastAsia="Times New Roman" w:cs="Times New Roman"/>
          <w:spacing w:val="3"/>
        </w:rPr>
        <w:t>3.2.3 </w:t>
      </w:r>
      <w:r>
        <w:rPr>
          <w:spacing w:val="3"/>
        </w:rPr>
        <w:t>必要时，市应急管理指挥部派出工作</w:t>
      </w:r>
      <w:r>
        <w:rPr>
          <w:spacing w:val="7"/>
        </w:rPr>
        <w:t>组赶赴事件现场，现场指导事发地政府开展抢</w:t>
      </w:r>
      <w:r>
        <w:rPr>
          <w:spacing w:val="7"/>
        </w:rPr>
        <w:t>险救援工作。</w:t>
      </w:r>
    </w:p>
    <w:p>
      <w:pPr>
        <w:ind w:left="433"/>
        <w:spacing w:before="142" w:line="267" w:lineRule="exact"/>
        <w:rPr>
          <w:rFonts w:ascii="KaiTi" w:hAnsi="KaiTi" w:eastAsia="KaiTi" w:cs="KaiTi"/>
          <w:sz w:val="20"/>
          <w:szCs w:val="20"/>
        </w:rPr>
      </w:pPr>
      <w:r>
        <w:rPr>
          <w:rFonts w:ascii="Times New Roman" w:hAnsi="Times New Roman" w:eastAsia="Times New Roman" w:cs="Times New Roman"/>
          <w:sz w:val="20"/>
          <w:szCs w:val="20"/>
          <w:spacing w:val="4"/>
          <w:position w:val="1"/>
        </w:rPr>
        <w:t>3.3  </w:t>
      </w:r>
      <w:r>
        <w:rPr>
          <w:rFonts w:ascii="KaiTi" w:hAnsi="KaiTi" w:eastAsia="KaiTi" w:cs="KaiTi"/>
          <w:sz w:val="20"/>
          <w:szCs w:val="20"/>
          <w:spacing w:val="4"/>
          <w:position w:val="1"/>
        </w:rPr>
        <w:t>应急响应。</w:t>
      </w:r>
    </w:p>
    <w:p>
      <w:pPr>
        <w:pStyle w:val="BodyText"/>
        <w:ind w:left="9" w:right="73" w:firstLine="423"/>
        <w:spacing w:before="115" w:line="314" w:lineRule="auto"/>
        <w:rPr/>
      </w:pPr>
      <w:r>
        <w:rPr>
          <w:rFonts w:ascii="Times New Roman" w:hAnsi="Times New Roman" w:eastAsia="Times New Roman" w:cs="Times New Roman"/>
          <w:spacing w:val="5"/>
        </w:rPr>
        <w:t>3.3.</w:t>
      </w:r>
      <w:r>
        <w:rPr>
          <w:rFonts w:ascii="Times New Roman" w:hAnsi="Times New Roman" w:eastAsia="Times New Roman" w:cs="Times New Roman"/>
          <w:spacing w:val="-28"/>
        </w:rPr>
        <w:t xml:space="preserve"> </w:t>
      </w:r>
      <w:r>
        <w:rPr>
          <w:rFonts w:ascii="Times New Roman" w:hAnsi="Times New Roman" w:eastAsia="Times New Roman" w:cs="Times New Roman"/>
          <w:spacing w:val="5"/>
        </w:rPr>
        <w:t>1Ⅰ</w:t>
      </w:r>
      <w:r>
        <w:rPr>
          <w:spacing w:val="5"/>
        </w:rPr>
        <w:t>级、</w:t>
      </w:r>
      <w:r>
        <w:rPr>
          <w:rFonts w:ascii="Times New Roman" w:hAnsi="Times New Roman" w:eastAsia="Times New Roman" w:cs="Times New Roman"/>
          <w:spacing w:val="5"/>
        </w:rPr>
        <w:t>Ⅱ</w:t>
      </w:r>
      <w:r>
        <w:rPr>
          <w:spacing w:val="5"/>
        </w:rPr>
        <w:t>级响应。发生重大 (</w:t>
      </w:r>
      <w:r>
        <w:rPr>
          <w:spacing w:val="-36"/>
        </w:rPr>
        <w:t xml:space="preserve"> </w:t>
      </w:r>
      <w:r>
        <w:rPr>
          <w:rFonts w:ascii="Times New Roman" w:hAnsi="Times New Roman" w:eastAsia="Times New Roman" w:cs="Times New Roman"/>
          <w:spacing w:val="5"/>
        </w:rPr>
        <w:t>Ⅱ</w:t>
      </w:r>
      <w:r>
        <w:rPr>
          <w:spacing w:val="5"/>
        </w:rPr>
        <w:t>级）、</w:t>
      </w:r>
      <w:r>
        <w:rPr>
          <w:spacing w:val="8"/>
        </w:rPr>
        <w:t>特大 (</w:t>
      </w:r>
      <w:r>
        <w:rPr>
          <w:spacing w:val="-33"/>
        </w:rPr>
        <w:t xml:space="preserve"> </w:t>
      </w:r>
      <w:r>
        <w:rPr>
          <w:rFonts w:ascii="Times New Roman" w:hAnsi="Times New Roman" w:eastAsia="Times New Roman" w:cs="Times New Roman"/>
          <w:spacing w:val="8"/>
        </w:rPr>
        <w:t>Ⅰ</w:t>
      </w:r>
      <w:r>
        <w:rPr>
          <w:spacing w:val="8"/>
        </w:rPr>
        <w:t>级）烟花爆竹生产安全事故</w:t>
      </w:r>
      <w:r>
        <w:rPr>
          <w:spacing w:val="-58"/>
        </w:rPr>
        <w:t xml:space="preserve"> </w:t>
      </w:r>
      <w:r>
        <w:rPr>
          <w:spacing w:val="8"/>
        </w:rPr>
        <w:t>，报请自</w:t>
      </w:r>
      <w:r>
        <w:rPr>
          <w:spacing w:val="7"/>
        </w:rPr>
        <w:t>治区党委、政府启动自治区级应急响应机制，</w:t>
      </w:r>
      <w:r>
        <w:rPr>
          <w:spacing w:val="9"/>
        </w:rPr>
        <w:t>政府按照职责分工配合做好应对处置工作。</w:t>
      </w:r>
    </w:p>
    <w:p>
      <w:pPr>
        <w:spacing w:line="314" w:lineRule="auto"/>
        <w:sectPr>
          <w:type w:val="continuous"/>
          <w:pgSz w:w="11906" w:h="16839"/>
          <w:pgMar w:top="1766" w:right="1509" w:bottom="1563" w:left="1576" w:header="1428" w:footer="1172" w:gutter="0"/>
          <w:cols w:equalWidth="0" w:num="2">
            <w:col w:w="4486" w:space="100"/>
            <w:col w:w="4235" w:space="0"/>
          </w:cols>
        </w:sectPr>
        <w:rPr/>
      </w:pPr>
    </w:p>
    <w:p>
      <w:pPr>
        <w:spacing w:before="53"/>
        <w:rPr/>
      </w:pPr>
      <w:r>
        <w:drawing>
          <wp:anchor distT="0" distB="0" distL="0" distR="0" simplePos="0" relativeHeight="252190720"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340" name="IM 1340"/>
            <wp:cNvGraphicFramePr/>
            <a:graphic>
              <a:graphicData uri="http://schemas.openxmlformats.org/drawingml/2006/picture">
                <pic:pic>
                  <pic:nvPicPr>
                    <pic:cNvPr id="1340" name="IM 1340"/>
                    <pic:cNvPicPr/>
                  </pic:nvPicPr>
                  <pic:blipFill>
                    <a:blip r:embed="rId672"/>
                    <a:stretch>
                      <a:fillRect/>
                    </a:stretch>
                  </pic:blipFill>
                  <pic:spPr>
                    <a:xfrm rot="0">
                      <a:off x="0" y="0"/>
                      <a:ext cx="5579745" cy="7620"/>
                    </a:xfrm>
                    <a:prstGeom prst="rect">
                      <a:avLst/>
                    </a:prstGeom>
                  </pic:spPr>
                </pic:pic>
              </a:graphicData>
            </a:graphic>
          </wp:anchor>
        </w:drawing>
      </w:r>
      <w:r/>
    </w:p>
    <w:p>
      <w:pPr>
        <w:sectPr>
          <w:headerReference w:type="default" r:id="rId644"/>
          <w:footerReference w:type="default" r:id="rId671"/>
          <w:pgSz w:w="11906" w:h="16839"/>
          <w:pgMar w:top="1772" w:right="1489" w:bottom="1547" w:left="1588" w:header="1428" w:footer="1172" w:gutter="0"/>
          <w:cols w:equalWidth="0" w:num="1">
            <w:col w:w="8829" w:space="0"/>
          </w:cols>
        </w:sectPr>
        <w:rPr/>
      </w:pPr>
    </w:p>
    <w:p>
      <w:pPr>
        <w:pStyle w:val="BodyText"/>
        <w:ind w:left="4" w:right="263" w:firstLine="425"/>
        <w:spacing w:before="41" w:line="335" w:lineRule="auto"/>
        <w:rPr/>
      </w:pPr>
      <w:r>
        <w:rPr>
          <w:rFonts w:ascii="Times New Roman" w:hAnsi="Times New Roman" w:eastAsia="Times New Roman" w:cs="Times New Roman"/>
          <w:spacing w:val="3"/>
        </w:rPr>
        <w:t>3.3.2Ⅲ</w:t>
      </w:r>
      <w:r>
        <w:rPr>
          <w:spacing w:val="3"/>
        </w:rPr>
        <w:t>级响应。发生较大 (</w:t>
      </w:r>
      <w:r>
        <w:rPr>
          <w:spacing w:val="-28"/>
        </w:rPr>
        <w:t xml:space="preserve"> </w:t>
      </w:r>
      <w:r>
        <w:rPr>
          <w:rFonts w:ascii="Times New Roman" w:hAnsi="Times New Roman" w:eastAsia="Times New Roman" w:cs="Times New Roman"/>
          <w:spacing w:val="3"/>
        </w:rPr>
        <w:t>Ⅲ</w:t>
      </w:r>
      <w:r>
        <w:rPr>
          <w:spacing w:val="3"/>
        </w:rPr>
        <w:t>级）烟花爆</w:t>
      </w:r>
      <w:r>
        <w:rPr>
          <w:spacing w:val="7"/>
        </w:rPr>
        <w:t>竹生产安全事故，由市应急管理指挥部启动应</w:t>
      </w:r>
      <w:r>
        <w:rPr>
          <w:spacing w:val="7"/>
        </w:rPr>
        <w:t>急响应措施，市应急管理局牵头立即组织专家</w:t>
      </w:r>
      <w:r>
        <w:rPr/>
        <w:t>调查确认，并对事故情况进行综合评估。同时，</w:t>
      </w:r>
      <w:r>
        <w:rPr>
          <w:spacing w:val="18"/>
        </w:rPr>
        <w:t>应急指挥部迅速组织成员单位和事故发生地</w:t>
      </w:r>
      <w:r>
        <w:rPr>
          <w:spacing w:val="4"/>
        </w:rPr>
        <w:t>县（</w:t>
      </w:r>
      <w:r>
        <w:rPr>
          <w:spacing w:val="-35"/>
        </w:rPr>
        <w:t xml:space="preserve"> </w:t>
      </w:r>
      <w:r>
        <w:rPr>
          <w:spacing w:val="4"/>
        </w:rPr>
        <w:t>区）政府开展现场救援、处理等紧急控制</w:t>
      </w:r>
      <w:r>
        <w:rPr>
          <w:spacing w:val="7"/>
        </w:rPr>
        <w:t>措施，并按照规定向自治区有关部门报告调查</w:t>
      </w:r>
      <w:r>
        <w:rPr>
          <w:spacing w:val="6"/>
        </w:rPr>
        <w:t>处理情况。</w:t>
      </w:r>
    </w:p>
    <w:p>
      <w:pPr>
        <w:pStyle w:val="BodyText"/>
        <w:ind w:left="3" w:right="323" w:firstLine="426"/>
        <w:spacing w:before="137" w:line="319" w:lineRule="auto"/>
        <w:rPr/>
      </w:pPr>
      <w:r>
        <w:rPr>
          <w:rFonts w:ascii="Times New Roman" w:hAnsi="Times New Roman" w:eastAsia="Times New Roman" w:cs="Times New Roman"/>
          <w:spacing w:val="6"/>
        </w:rPr>
        <w:t>3.3.3Ⅳ</w:t>
      </w:r>
      <w:r>
        <w:rPr>
          <w:spacing w:val="6"/>
        </w:rPr>
        <w:t>级响应。发生一般(</w:t>
      </w:r>
      <w:r>
        <w:rPr>
          <w:spacing w:val="-22"/>
        </w:rPr>
        <w:t xml:space="preserve"> </w:t>
      </w:r>
      <w:r>
        <w:rPr>
          <w:rFonts w:ascii="Times New Roman" w:hAnsi="Times New Roman" w:eastAsia="Times New Roman" w:cs="Times New Roman"/>
          <w:spacing w:val="6"/>
        </w:rPr>
        <w:t>Ⅳ</w:t>
      </w:r>
      <w:r>
        <w:rPr>
          <w:spacing w:val="6"/>
        </w:rPr>
        <w:t>级）烟花爆</w:t>
      </w:r>
      <w:r>
        <w:rPr>
          <w:spacing w:val="4"/>
        </w:rPr>
        <w:t>竹生产安全事故，由事发地县（</w:t>
      </w:r>
      <w:r>
        <w:rPr>
          <w:spacing w:val="-34"/>
        </w:rPr>
        <w:t xml:space="preserve"> </w:t>
      </w:r>
      <w:r>
        <w:rPr>
          <w:spacing w:val="4"/>
        </w:rPr>
        <w:t>区）政府及时</w:t>
      </w:r>
      <w:r>
        <w:rPr>
          <w:spacing w:val="7"/>
        </w:rPr>
        <w:t>启动本辖区应急响应措施，并向市应急管理指</w:t>
      </w:r>
      <w:r>
        <w:rPr>
          <w:spacing w:val="8"/>
        </w:rPr>
        <w:t>挥部室报告事故信息。</w:t>
      </w:r>
    </w:p>
    <w:p>
      <w:pPr>
        <w:pStyle w:val="BodyText"/>
        <w:ind w:left="6" w:right="325" w:firstLine="422"/>
        <w:spacing w:before="139" w:line="303" w:lineRule="auto"/>
        <w:rPr/>
      </w:pPr>
      <w:r>
        <w:rPr>
          <w:rFonts w:ascii="Times New Roman" w:hAnsi="Times New Roman" w:eastAsia="Times New Roman" w:cs="Times New Roman"/>
          <w:spacing w:val="3"/>
        </w:rPr>
        <w:t>3.3.4 </w:t>
      </w:r>
      <w:r>
        <w:rPr>
          <w:spacing w:val="3"/>
        </w:rPr>
        <w:t>启动条件。符合下列情况之一的，由</w:t>
      </w:r>
      <w:r>
        <w:rPr>
          <w:spacing w:val="8"/>
        </w:rPr>
        <w:t>市应急管理指挥部决定启动应急响应：</w:t>
      </w:r>
    </w:p>
    <w:p>
      <w:pPr>
        <w:pStyle w:val="BodyText"/>
        <w:ind w:left="4" w:right="327" w:firstLine="411"/>
        <w:spacing w:before="102" w:line="290" w:lineRule="auto"/>
        <w:rPr/>
      </w:pPr>
      <w:r>
        <w:rPr>
          <w:spacing w:val="8"/>
        </w:rPr>
        <w:t>（</w:t>
      </w:r>
      <w:r>
        <w:rPr>
          <w:spacing w:val="-37"/>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6"/>
        </w:rPr>
        <w:t xml:space="preserve"> </w:t>
      </w:r>
      <w:r>
        <w:rPr>
          <w:spacing w:val="8"/>
        </w:rPr>
        <w:t>）发生</w:t>
      </w:r>
      <w:r>
        <w:rPr>
          <w:rFonts w:ascii="Times New Roman" w:hAnsi="Times New Roman" w:eastAsia="Times New Roman" w:cs="Times New Roman"/>
          <w:spacing w:val="8"/>
        </w:rPr>
        <w:t>Ⅲ</w:t>
      </w:r>
      <w:r>
        <w:rPr>
          <w:spacing w:val="8"/>
        </w:rPr>
        <w:t>级以上烟花爆竹生产安全事</w:t>
      </w:r>
      <w:r>
        <w:rPr>
          <w:spacing w:val="4"/>
        </w:rPr>
        <w:t>故的；</w:t>
      </w:r>
    </w:p>
    <w:p>
      <w:pPr>
        <w:pStyle w:val="BodyText"/>
        <w:ind w:left="5" w:right="327" w:firstLine="410"/>
        <w:spacing w:before="130" w:line="290" w:lineRule="auto"/>
        <w:rPr/>
      </w:pPr>
      <w:r>
        <w:rPr>
          <w:spacing w:val="10"/>
        </w:rPr>
        <w:t>（</w:t>
      </w:r>
      <w:r>
        <w:rPr>
          <w:rFonts w:ascii="Times New Roman" w:hAnsi="Times New Roman" w:eastAsia="Times New Roman" w:cs="Times New Roman"/>
          <w:spacing w:val="10"/>
        </w:rPr>
        <w:t>2</w:t>
      </w:r>
      <w:r>
        <w:rPr>
          <w:rFonts w:ascii="Times New Roman" w:hAnsi="Times New Roman" w:eastAsia="Times New Roman" w:cs="Times New Roman"/>
          <w:spacing w:val="-8"/>
        </w:rPr>
        <w:t xml:space="preserve"> </w:t>
      </w:r>
      <w:r>
        <w:rPr>
          <w:spacing w:val="10"/>
        </w:rPr>
        <w:t>）发生涉及跨区的</w:t>
      </w:r>
      <w:r>
        <w:rPr>
          <w:rFonts w:ascii="Times New Roman" w:hAnsi="Times New Roman" w:eastAsia="Times New Roman" w:cs="Times New Roman"/>
          <w:spacing w:val="10"/>
        </w:rPr>
        <w:t>Ⅳ</w:t>
      </w:r>
      <w:r>
        <w:rPr>
          <w:spacing w:val="10"/>
        </w:rPr>
        <w:t>级烟花爆竹生产</w:t>
      </w:r>
      <w:r>
        <w:rPr>
          <w:spacing w:val="7"/>
        </w:rPr>
        <w:t>安全事故的；</w:t>
      </w:r>
    </w:p>
    <w:p>
      <w:pPr>
        <w:pStyle w:val="BodyText"/>
        <w:ind w:left="9" w:right="330" w:firstLine="406"/>
        <w:spacing w:before="130" w:line="290"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）发生需要上级应急力量进行增援的</w:t>
      </w:r>
      <w:r>
        <w:rPr>
          <w:spacing w:val="8"/>
        </w:rPr>
        <w:t>烟花爆竹生产安全事故的；</w:t>
      </w:r>
    </w:p>
    <w:p>
      <w:pPr>
        <w:pStyle w:val="BodyText"/>
        <w:ind w:left="416"/>
        <w:spacing w:before="133" w:line="277" w:lineRule="exact"/>
        <w:rPr/>
      </w:pPr>
      <w:r>
        <w:rPr>
          <w:spacing w:val="7"/>
          <w:position w:val="1"/>
        </w:rPr>
        <w:t>（</w:t>
      </w:r>
      <w:r>
        <w:rPr>
          <w:rFonts w:ascii="Times New Roman" w:hAnsi="Times New Roman" w:eastAsia="Times New Roman" w:cs="Times New Roman"/>
          <w:spacing w:val="7"/>
          <w:position w:val="1"/>
        </w:rPr>
        <w:t>4</w:t>
      </w:r>
      <w:r>
        <w:rPr>
          <w:rFonts w:ascii="Times New Roman" w:hAnsi="Times New Roman" w:eastAsia="Times New Roman" w:cs="Times New Roman"/>
          <w:spacing w:val="-14"/>
          <w:position w:val="1"/>
        </w:rPr>
        <w:t xml:space="preserve"> </w:t>
      </w:r>
      <w:r>
        <w:rPr>
          <w:spacing w:val="7"/>
          <w:position w:val="1"/>
        </w:rPr>
        <w:t>）认为需要启动本级应急响应的。</w:t>
      </w:r>
    </w:p>
    <w:p>
      <w:pPr>
        <w:pStyle w:val="BodyText"/>
        <w:ind w:left="7" w:right="325" w:firstLine="422"/>
        <w:spacing w:before="102" w:line="350" w:lineRule="auto"/>
        <w:jc w:val="both"/>
        <w:rPr/>
      </w:pPr>
      <w:r>
        <w:rPr>
          <w:rFonts w:ascii="Times New Roman" w:hAnsi="Times New Roman" w:eastAsia="Times New Roman" w:cs="Times New Roman"/>
          <w:spacing w:val="3"/>
        </w:rPr>
        <w:t>3.4  </w:t>
      </w:r>
      <w:r>
        <w:rPr>
          <w:rFonts w:ascii="KaiTi" w:hAnsi="KaiTi" w:eastAsia="KaiTi" w:cs="KaiTi"/>
          <w:spacing w:val="3"/>
        </w:rPr>
        <w:t>指挥协调。</w:t>
      </w:r>
      <w:r>
        <w:rPr>
          <w:spacing w:val="3"/>
        </w:rPr>
        <w:t>启动</w:t>
      </w:r>
      <w:r>
        <w:rPr>
          <w:rFonts w:ascii="Times New Roman" w:hAnsi="Times New Roman" w:eastAsia="Times New Roman" w:cs="Times New Roman"/>
          <w:spacing w:val="3"/>
        </w:rPr>
        <w:t>Ⅲ</w:t>
      </w:r>
      <w:r>
        <w:rPr>
          <w:spacing w:val="3"/>
        </w:rPr>
        <w:t>级、</w:t>
      </w:r>
      <w:r>
        <w:rPr>
          <w:rFonts w:ascii="Times New Roman" w:hAnsi="Times New Roman" w:eastAsia="Times New Roman" w:cs="Times New Roman"/>
          <w:spacing w:val="3"/>
        </w:rPr>
        <w:t>Ⅱ</w:t>
      </w:r>
      <w:r>
        <w:rPr>
          <w:spacing w:val="3"/>
        </w:rPr>
        <w:t>级和</w:t>
      </w:r>
      <w:r>
        <w:rPr>
          <w:spacing w:val="-35"/>
        </w:rPr>
        <w:t xml:space="preserve"> </w:t>
      </w:r>
      <w:r>
        <w:rPr>
          <w:rFonts w:ascii="Times New Roman" w:hAnsi="Times New Roman" w:eastAsia="Times New Roman" w:cs="Times New Roman"/>
          <w:spacing w:val="3"/>
        </w:rPr>
        <w:t>I </w:t>
      </w:r>
      <w:r>
        <w:rPr>
          <w:spacing w:val="3"/>
        </w:rPr>
        <w:t>级应急</w:t>
      </w:r>
      <w:r>
        <w:rPr>
          <w:spacing w:val="6"/>
        </w:rPr>
        <w:t>响应时</w:t>
      </w:r>
      <w:r>
        <w:rPr>
          <w:spacing w:val="-50"/>
        </w:rPr>
        <w:t xml:space="preserve"> </w:t>
      </w:r>
      <w:r>
        <w:rPr>
          <w:spacing w:val="6"/>
        </w:rPr>
        <w:t>，按照</w:t>
      </w:r>
      <w:r>
        <w:rPr>
          <w:rFonts w:ascii="Times New Roman" w:hAnsi="Times New Roman" w:eastAsia="Times New Roman" w:cs="Times New Roman"/>
          <w:spacing w:val="6"/>
        </w:rPr>
        <w:t>“</w:t>
      </w:r>
      <w:r>
        <w:rPr>
          <w:spacing w:val="6"/>
        </w:rPr>
        <w:t>统一指挥</w:t>
      </w:r>
      <w:r>
        <w:rPr>
          <w:spacing w:val="-58"/>
        </w:rPr>
        <w:t xml:space="preserve"> </w:t>
      </w:r>
      <w:r>
        <w:rPr>
          <w:spacing w:val="6"/>
        </w:rPr>
        <w:t>，属地为主</w:t>
      </w:r>
      <w:r>
        <w:rPr>
          <w:spacing w:val="-59"/>
        </w:rPr>
        <w:t xml:space="preserve"> </w:t>
      </w:r>
      <w:r>
        <w:rPr>
          <w:spacing w:val="6"/>
        </w:rPr>
        <w:t>，专业处</w:t>
      </w:r>
      <w:r>
        <w:rPr>
          <w:spacing w:val="8"/>
        </w:rPr>
        <w:t>置</w:t>
      </w:r>
      <w:r>
        <w:rPr>
          <w:rFonts w:ascii="Times New Roman" w:hAnsi="Times New Roman" w:eastAsia="Times New Roman" w:cs="Times New Roman"/>
          <w:spacing w:val="8"/>
        </w:rPr>
        <w:t>”</w:t>
      </w:r>
      <w:r>
        <w:rPr>
          <w:spacing w:val="8"/>
        </w:rPr>
        <w:t>的要求，组织开展应急处置工作。</w:t>
      </w:r>
    </w:p>
    <w:p>
      <w:pPr>
        <w:pStyle w:val="BodyText"/>
        <w:ind w:left="6" w:right="327" w:firstLine="442"/>
        <w:spacing w:before="5" w:line="350" w:lineRule="auto"/>
        <w:jc w:val="both"/>
        <w:rPr/>
      </w:pPr>
      <w:r>
        <w:rPr>
          <w:spacing w:val="17"/>
        </w:rPr>
        <w:t>由市应急管理指挥部办公室负责通知同</w:t>
      </w:r>
      <w:r>
        <w:rPr>
          <w:spacing w:val="18"/>
        </w:rPr>
        <w:t>级成员单位负责人立即调动本单位有关人员</w:t>
      </w:r>
      <w:r>
        <w:rPr>
          <w:spacing w:val="7"/>
        </w:rPr>
        <w:t>和应急救援队伍。</w:t>
      </w:r>
    </w:p>
    <w:p>
      <w:pPr>
        <w:pStyle w:val="BodyText"/>
        <w:ind w:left="424"/>
        <w:spacing w:line="278" w:lineRule="exact"/>
        <w:rPr/>
      </w:pPr>
      <w:r>
        <w:rPr>
          <w:spacing w:val="9"/>
          <w:position w:val="1"/>
        </w:rPr>
        <w:t>应急指挥部指挥协调的主要内容包括：</w:t>
      </w:r>
    </w:p>
    <w:p>
      <w:pPr>
        <w:pStyle w:val="BodyText"/>
        <w:ind w:left="416"/>
        <w:spacing w:before="104" w:line="278" w:lineRule="exact"/>
        <w:rPr/>
      </w:pPr>
      <w:r>
        <w:rPr>
          <w:spacing w:val="4"/>
          <w:position w:val="1"/>
        </w:rPr>
        <w:t>（</w:t>
      </w:r>
      <w:r>
        <w:rPr>
          <w:spacing w:val="-47"/>
          <w:position w:val="1"/>
        </w:rPr>
        <w:t xml:space="preserve"> </w:t>
      </w:r>
      <w:r>
        <w:rPr>
          <w:rFonts w:ascii="Times New Roman" w:hAnsi="Times New Roman" w:eastAsia="Times New Roman" w:cs="Times New Roman"/>
          <w:spacing w:val="4"/>
          <w:position w:val="1"/>
        </w:rPr>
        <w:t>1</w:t>
      </w:r>
      <w:r>
        <w:rPr>
          <w:rFonts w:ascii="Times New Roman" w:hAnsi="Times New Roman" w:eastAsia="Times New Roman" w:cs="Times New Roman"/>
          <w:spacing w:val="-21"/>
          <w:position w:val="1"/>
        </w:rPr>
        <w:t xml:space="preserve"> </w:t>
      </w:r>
      <w:r>
        <w:rPr>
          <w:spacing w:val="4"/>
          <w:position w:val="1"/>
        </w:rPr>
        <w:t>）提出现场应急行动原则要求；</w:t>
      </w:r>
    </w:p>
    <w:p>
      <w:pPr>
        <w:pStyle w:val="BodyText"/>
        <w:ind w:left="4" w:right="330" w:firstLine="412"/>
        <w:spacing w:before="100" w:line="290"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）派出专家和人员参与现场指挥部的</w:t>
      </w:r>
      <w:r>
        <w:rPr>
          <w:spacing w:val="7"/>
        </w:rPr>
        <w:t>应急指挥工作；</w:t>
      </w:r>
    </w:p>
    <w:p>
      <w:pPr>
        <w:pStyle w:val="BodyText"/>
        <w:ind w:left="8" w:right="330" w:firstLine="407"/>
        <w:spacing w:before="134" w:line="289"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）协调各级、各专业应急力量实施应</w:t>
      </w:r>
      <w:r>
        <w:rPr>
          <w:spacing w:val="6"/>
        </w:rPr>
        <w:t>急救援行动；</w:t>
      </w:r>
    </w:p>
    <w:p>
      <w:pPr>
        <w:pStyle w:val="BodyText"/>
        <w:ind w:left="416"/>
        <w:spacing w:before="132" w:line="221"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）协调开展受威胁的周边地区危险源</w:t>
      </w:r>
    </w:p>
    <w:p>
      <w:pPr>
        <w:spacing w:line="14" w:lineRule="auto"/>
        <w:rPr>
          <w:rFonts w:ascii="Arial"/>
          <w:sz w:val="2"/>
        </w:rPr>
      </w:pPr>
      <w:r>
        <w:rPr>
          <w:rFonts w:ascii="Arial" w:hAnsi="Arial" w:eastAsia="Arial" w:cs="Arial"/>
          <w:sz w:val="2"/>
          <w:szCs w:val="2"/>
        </w:rPr>
        <w:br w:type="column"/>
      </w:r>
    </w:p>
    <w:p>
      <w:pPr>
        <w:pStyle w:val="BodyText"/>
        <w:ind w:left="20"/>
        <w:spacing w:before="44" w:line="225" w:lineRule="auto"/>
        <w:rPr/>
      </w:pPr>
      <w:r>
        <w:rPr>
          <w:spacing w:val="4"/>
        </w:rPr>
        <w:t>的监控工作；</w:t>
      </w:r>
    </w:p>
    <w:p>
      <w:pPr>
        <w:pStyle w:val="BodyText"/>
        <w:ind w:left="3" w:right="103" w:firstLine="410"/>
        <w:spacing w:before="132" w:line="290" w:lineRule="auto"/>
        <w:rPr/>
      </w:pPr>
      <w:r>
        <w:rPr>
          <w:spacing w:val="8"/>
        </w:rPr>
        <w:t>（</w:t>
      </w:r>
      <w:r>
        <w:rPr>
          <w:spacing w:val="-45"/>
        </w:rPr>
        <w:t xml:space="preserve"> </w:t>
      </w:r>
      <w:r>
        <w:rPr>
          <w:rFonts w:ascii="Times New Roman" w:hAnsi="Times New Roman" w:eastAsia="Times New Roman" w:cs="Times New Roman"/>
          <w:spacing w:val="8"/>
        </w:rPr>
        <w:t>5</w:t>
      </w:r>
      <w:r>
        <w:rPr>
          <w:rFonts w:ascii="Times New Roman" w:hAnsi="Times New Roman" w:eastAsia="Times New Roman" w:cs="Times New Roman"/>
          <w:spacing w:val="-19"/>
        </w:rPr>
        <w:t xml:space="preserve"> </w:t>
      </w:r>
      <w:r>
        <w:rPr>
          <w:spacing w:val="8"/>
        </w:rPr>
        <w:t>）协调建立现场警戒区和交通管制区</w:t>
      </w:r>
      <w:r>
        <w:rPr>
          <w:spacing w:val="8"/>
        </w:rPr>
        <w:t>域，确定重点防护区域；</w:t>
      </w:r>
    </w:p>
    <w:p>
      <w:pPr>
        <w:pStyle w:val="BodyText"/>
        <w:ind w:left="3" w:right="103" w:firstLine="410"/>
        <w:spacing w:before="131" w:line="289" w:lineRule="auto"/>
        <w:rPr/>
      </w:pPr>
      <w:r>
        <w:rPr>
          <w:spacing w:val="8"/>
        </w:rPr>
        <w:t>（</w:t>
      </w:r>
      <w:r>
        <w:rPr>
          <w:rFonts w:ascii="Times New Roman" w:hAnsi="Times New Roman" w:eastAsia="Times New Roman" w:cs="Times New Roman"/>
          <w:spacing w:val="8"/>
        </w:rPr>
        <w:t>6</w:t>
      </w:r>
      <w:r>
        <w:rPr>
          <w:rFonts w:ascii="Times New Roman" w:hAnsi="Times New Roman" w:eastAsia="Times New Roman" w:cs="Times New Roman"/>
          <w:spacing w:val="-5"/>
        </w:rPr>
        <w:t xml:space="preserve"> </w:t>
      </w:r>
      <w:r>
        <w:rPr>
          <w:spacing w:val="8"/>
        </w:rPr>
        <w:t>）根据现场评估</w:t>
      </w:r>
      <w:r>
        <w:rPr>
          <w:spacing w:val="-59"/>
        </w:rPr>
        <w:t xml:space="preserve"> </w:t>
      </w:r>
      <w:r>
        <w:rPr>
          <w:spacing w:val="8"/>
        </w:rPr>
        <w:t>，确定被转移、疏散</w:t>
      </w:r>
      <w:r>
        <w:rPr>
          <w:spacing w:val="-3"/>
        </w:rPr>
        <w:t>群众返回时间，必要时请求武警支队应急增援。</w:t>
      </w:r>
    </w:p>
    <w:p>
      <w:pPr>
        <w:pStyle w:val="BodyText"/>
        <w:ind w:left="3" w:right="101" w:firstLine="424"/>
        <w:spacing w:before="136" w:line="350" w:lineRule="auto"/>
        <w:jc w:val="both"/>
        <w:rPr/>
      </w:pPr>
      <w:r>
        <w:rPr>
          <w:rFonts w:ascii="Times New Roman" w:hAnsi="Times New Roman" w:eastAsia="Times New Roman" w:cs="Times New Roman"/>
          <w:spacing w:val="8"/>
        </w:rPr>
        <w:t>3.5  </w:t>
      </w:r>
      <w:r>
        <w:rPr>
          <w:rFonts w:ascii="KaiTi" w:hAnsi="KaiTi" w:eastAsia="KaiTi" w:cs="KaiTi"/>
          <w:spacing w:val="8"/>
        </w:rPr>
        <w:t>现场指挥部与现场指挥官。</w:t>
      </w:r>
      <w:r>
        <w:rPr>
          <w:spacing w:val="8"/>
        </w:rPr>
        <w:t>启动</w:t>
      </w:r>
      <w:r>
        <w:rPr>
          <w:rFonts w:ascii="Times New Roman" w:hAnsi="Times New Roman" w:eastAsia="Times New Roman" w:cs="Times New Roman"/>
          <w:spacing w:val="8"/>
        </w:rPr>
        <w:t>Ⅲ</w:t>
      </w:r>
      <w:r>
        <w:rPr>
          <w:spacing w:val="8"/>
        </w:rPr>
        <w:t>级</w:t>
      </w:r>
      <w:r>
        <w:rPr>
          <w:spacing w:val="7"/>
        </w:rPr>
        <w:t>以上应急响应时，市应急管理指挥部组织有关</w:t>
      </w:r>
      <w:r>
        <w:rPr>
          <w:spacing w:val="7"/>
        </w:rPr>
        <w:t>部门成立现场指挥部。现场指挥部实行现场总</w:t>
      </w:r>
      <w:r>
        <w:rPr>
          <w:spacing w:val="7"/>
        </w:rPr>
        <w:t>指挥负责制。现场总指挥由市政府分管应急管</w:t>
      </w:r>
      <w:r>
        <w:rPr>
          <w:spacing w:val="7"/>
        </w:rPr>
        <w:t>理工作的副市长担任，副总指挥由事故发生地</w:t>
      </w:r>
      <w:r>
        <w:rPr>
          <w:spacing w:val="4"/>
        </w:rPr>
        <w:t>县（</w:t>
      </w:r>
      <w:r>
        <w:rPr>
          <w:spacing w:val="-36"/>
        </w:rPr>
        <w:t xml:space="preserve"> </w:t>
      </w:r>
      <w:r>
        <w:rPr>
          <w:spacing w:val="4"/>
        </w:rPr>
        <w:t>区）政府主要负责人、市应急管理局局长</w:t>
      </w:r>
      <w:r>
        <w:rPr>
          <w:spacing w:val="4"/>
        </w:rPr>
        <w:t>担任。</w:t>
      </w:r>
    </w:p>
    <w:p>
      <w:pPr>
        <w:pStyle w:val="BodyText"/>
        <w:ind w:left="3" w:right="101" w:firstLine="422"/>
        <w:spacing w:before="7" w:line="351" w:lineRule="auto"/>
        <w:jc w:val="both"/>
        <w:rPr/>
      </w:pPr>
      <w:r>
        <w:rPr>
          <w:spacing w:val="6"/>
        </w:rPr>
        <w:t>现场总指挥统一组织、指挥现场应急救援</w:t>
      </w:r>
      <w:r>
        <w:rPr>
          <w:spacing w:val="7"/>
        </w:rPr>
        <w:t>工作。现场总指挥有权决定现场处置方案，协</w:t>
      </w:r>
      <w:r>
        <w:rPr>
          <w:spacing w:val="7"/>
        </w:rPr>
        <w:t>调有关单位和部门的现场应急处置工作，指挥</w:t>
      </w:r>
      <w:r>
        <w:rPr>
          <w:spacing w:val="8"/>
        </w:rPr>
        <w:t>调度现场应急队伍和应急资源。</w:t>
      </w:r>
    </w:p>
    <w:p>
      <w:pPr>
        <w:pStyle w:val="BodyText"/>
        <w:ind w:left="1" w:right="101" w:firstLine="424"/>
        <w:spacing w:before="6" w:line="350" w:lineRule="auto"/>
        <w:jc w:val="both"/>
        <w:rPr/>
      </w:pPr>
      <w:r>
        <w:rPr>
          <w:spacing w:val="18"/>
        </w:rPr>
        <w:t>现场指挥部吸收涉事的有关单位负责人</w:t>
      </w:r>
      <w:r>
        <w:rPr>
          <w:spacing w:val="7"/>
        </w:rPr>
        <w:t>以及相关专家为成员，参加现场应急救援的队</w:t>
      </w:r>
      <w:r>
        <w:rPr>
          <w:spacing w:val="18"/>
        </w:rPr>
        <w:t>伍和人员在现场指挥部统一协调下进行应急</w:t>
      </w:r>
      <w:r>
        <w:rPr>
          <w:spacing w:val="7"/>
        </w:rPr>
        <w:t>救援和处置工作。与事故有关的部门和单位应</w:t>
      </w:r>
      <w:r>
        <w:rPr>
          <w:spacing w:val="18"/>
        </w:rPr>
        <w:t>当主动向现场指挥部提供与应急处置有关的</w:t>
      </w:r>
      <w:r>
        <w:rPr>
          <w:spacing w:val="7"/>
        </w:rPr>
        <w:t>信息资料，为实施应急处置工作提供各种便利</w:t>
      </w:r>
      <w:r>
        <w:rPr>
          <w:spacing w:val="5"/>
        </w:rPr>
        <w:t>条件。</w:t>
      </w:r>
    </w:p>
    <w:p>
      <w:pPr>
        <w:pStyle w:val="BodyText"/>
        <w:ind w:left="3" w:right="101" w:firstLine="420"/>
        <w:spacing w:line="349" w:lineRule="auto"/>
        <w:jc w:val="both"/>
        <w:rPr/>
      </w:pPr>
      <w:r>
        <w:rPr>
          <w:spacing w:val="6"/>
        </w:rPr>
        <w:t>根据现场情况设置有关应急小组。各应急</w:t>
      </w:r>
      <w:r>
        <w:rPr>
          <w:spacing w:val="7"/>
        </w:rPr>
        <w:t>小组在现场指挥部统一领导下，各尽其责完成</w:t>
      </w:r>
      <w:r>
        <w:rPr>
          <w:spacing w:val="8"/>
        </w:rPr>
        <w:t>现场各项应急处置工作。</w:t>
      </w:r>
    </w:p>
    <w:p>
      <w:pPr>
        <w:ind w:left="424"/>
        <w:spacing w:line="265" w:lineRule="exact"/>
        <w:rPr>
          <w:rFonts w:ascii="KaiTi" w:hAnsi="KaiTi" w:eastAsia="KaiTi" w:cs="KaiTi"/>
          <w:sz w:val="20"/>
          <w:szCs w:val="20"/>
        </w:rPr>
      </w:pPr>
      <w:r>
        <w:rPr>
          <w:rFonts w:ascii="Times New Roman" w:hAnsi="Times New Roman" w:eastAsia="Times New Roman" w:cs="Times New Roman"/>
          <w:sz w:val="20"/>
          <w:szCs w:val="20"/>
          <w:b/>
          <w:bCs/>
          <w:spacing w:val="3"/>
          <w:position w:val="1"/>
        </w:rPr>
        <w:t>4</w:t>
      </w:r>
      <w:r>
        <w:rPr>
          <w:rFonts w:ascii="Times New Roman" w:hAnsi="Times New Roman" w:eastAsia="Times New Roman" w:cs="Times New Roman"/>
          <w:sz w:val="20"/>
          <w:szCs w:val="20"/>
          <w:b/>
          <w:bCs/>
          <w:spacing w:val="6"/>
          <w:position w:val="1"/>
        </w:rPr>
        <w:t xml:space="preserve">    </w:t>
      </w:r>
      <w:r>
        <w:rPr>
          <w:rFonts w:ascii="KaiTi" w:hAnsi="KaiTi" w:eastAsia="KaiTi" w:cs="KaiTi"/>
          <w:sz w:val="20"/>
          <w:szCs w:val="20"/>
          <w:b/>
          <w:bCs/>
          <w:spacing w:val="3"/>
          <w:position w:val="1"/>
        </w:rPr>
        <w:t>处置措施</w:t>
      </w:r>
    </w:p>
    <w:p>
      <w:pPr>
        <w:ind w:left="422"/>
        <w:spacing w:before="114" w:line="265" w:lineRule="exact"/>
        <w:rPr>
          <w:rFonts w:ascii="KaiTi" w:hAnsi="KaiTi" w:eastAsia="KaiTi" w:cs="KaiTi"/>
          <w:sz w:val="20"/>
          <w:szCs w:val="20"/>
        </w:rPr>
      </w:pPr>
      <w:r>
        <w:rPr>
          <w:rFonts w:ascii="Times New Roman" w:hAnsi="Times New Roman" w:eastAsia="Times New Roman" w:cs="Times New Roman"/>
          <w:sz w:val="20"/>
          <w:szCs w:val="20"/>
          <w:position w:val="1"/>
        </w:rPr>
        <w:t>4.</w:t>
      </w:r>
      <w:r>
        <w:rPr>
          <w:rFonts w:ascii="Times New Roman" w:hAnsi="Times New Roman" w:eastAsia="Times New Roman" w:cs="Times New Roman"/>
          <w:sz w:val="20"/>
          <w:szCs w:val="20"/>
          <w:spacing w:val="-21"/>
          <w:position w:val="1"/>
        </w:rPr>
        <w:t xml:space="preserve"> </w:t>
      </w:r>
      <w:r>
        <w:rPr>
          <w:rFonts w:ascii="Times New Roman" w:hAnsi="Times New Roman" w:eastAsia="Times New Roman" w:cs="Times New Roman"/>
          <w:sz w:val="20"/>
          <w:szCs w:val="20"/>
          <w:position w:val="1"/>
        </w:rPr>
        <w:t>1</w:t>
      </w:r>
      <w:r>
        <w:rPr>
          <w:rFonts w:ascii="Times New Roman" w:hAnsi="Times New Roman" w:eastAsia="Times New Roman" w:cs="Times New Roman"/>
          <w:sz w:val="20"/>
          <w:szCs w:val="20"/>
          <w:spacing w:val="10"/>
          <w:position w:val="1"/>
        </w:rPr>
        <w:t xml:space="preserve">  </w:t>
      </w:r>
      <w:r>
        <w:rPr>
          <w:rFonts w:ascii="KaiTi" w:hAnsi="KaiTi" w:eastAsia="KaiTi" w:cs="KaiTi"/>
          <w:sz w:val="20"/>
          <w:szCs w:val="20"/>
          <w:position w:val="1"/>
        </w:rPr>
        <w:t>处置措施。</w:t>
      </w:r>
    </w:p>
    <w:p>
      <w:pPr>
        <w:pStyle w:val="BodyText"/>
        <w:ind w:left="3" w:right="98" w:firstLine="419"/>
        <w:spacing w:before="122" w:line="318" w:lineRule="auto"/>
        <w:rPr/>
      </w:pPr>
      <w:r>
        <w:rPr>
          <w:rFonts w:ascii="Times New Roman" w:hAnsi="Times New Roman" w:eastAsia="Times New Roman" w:cs="Times New Roman"/>
          <w:spacing w:val="2"/>
        </w:rPr>
        <w:t>4.</w:t>
      </w:r>
      <w:r>
        <w:rPr>
          <w:rFonts w:ascii="Times New Roman" w:hAnsi="Times New Roman" w:eastAsia="Times New Roman" w:cs="Times New Roman"/>
          <w:spacing w:val="-17"/>
        </w:rPr>
        <w:t xml:space="preserve"> </w:t>
      </w:r>
      <w:r>
        <w:rPr>
          <w:rFonts w:ascii="Times New Roman" w:hAnsi="Times New Roman" w:eastAsia="Times New Roman" w:cs="Times New Roman"/>
          <w:spacing w:val="2"/>
        </w:rPr>
        <w:t>1.1 </w:t>
      </w:r>
      <w:r>
        <w:rPr>
          <w:spacing w:val="2"/>
        </w:rPr>
        <w:t>抢险力量进入事故现场前，指挥部应</w:t>
      </w:r>
      <w:r>
        <w:rPr>
          <w:spacing w:val="7"/>
        </w:rPr>
        <w:t>指定相关单位保护事故现场，组织配合事故单</w:t>
      </w:r>
      <w:r>
        <w:rPr>
          <w:spacing w:val="7"/>
        </w:rPr>
        <w:t>位疏散现场人员及物资，开展现场抢险和救护</w:t>
      </w:r>
      <w:r>
        <w:rPr>
          <w:spacing w:val="4"/>
        </w:rPr>
        <w:t>工作。</w:t>
      </w:r>
    </w:p>
    <w:p>
      <w:pPr>
        <w:pStyle w:val="BodyText"/>
        <w:ind w:right="101" w:firstLine="422"/>
        <w:spacing w:before="140" w:line="284" w:lineRule="auto"/>
        <w:rPr/>
      </w:pPr>
      <w:r>
        <w:rPr>
          <w:rFonts w:ascii="Times New Roman" w:hAnsi="Times New Roman" w:eastAsia="Times New Roman" w:cs="Times New Roman"/>
          <w:spacing w:val="12"/>
        </w:rPr>
        <w:t>4.</w:t>
      </w:r>
      <w:r>
        <w:rPr>
          <w:rFonts w:ascii="Times New Roman" w:hAnsi="Times New Roman" w:eastAsia="Times New Roman" w:cs="Times New Roman"/>
          <w:spacing w:val="-25"/>
        </w:rPr>
        <w:t xml:space="preserve"> </w:t>
      </w:r>
      <w:r>
        <w:rPr>
          <w:rFonts w:ascii="Times New Roman" w:hAnsi="Times New Roman" w:eastAsia="Times New Roman" w:cs="Times New Roman"/>
          <w:spacing w:val="12"/>
        </w:rPr>
        <w:t>1.2 </w:t>
      </w:r>
      <w:r>
        <w:rPr>
          <w:spacing w:val="12"/>
        </w:rPr>
        <w:t>各组及有关责任单位接到紧急</w:t>
      </w:r>
      <w:r>
        <w:rPr>
          <w:spacing w:val="11"/>
        </w:rPr>
        <w:t>抢险</w:t>
      </w:r>
      <w:r>
        <w:rPr>
          <w:spacing w:val="7"/>
        </w:rPr>
        <w:t>命令后，根据事故现场情况、事故发生地抢险</w:t>
      </w:r>
    </w:p>
    <w:p>
      <w:pPr>
        <w:spacing w:line="284" w:lineRule="auto"/>
        <w:sectPr>
          <w:type w:val="continuous"/>
          <w:pgSz w:w="11906" w:h="16839"/>
          <w:pgMar w:top="1772" w:right="1489" w:bottom="1547" w:left="1588" w:header="1428" w:footer="1172" w:gutter="0"/>
          <w:cols w:equalWidth="0" w:num="2">
            <w:col w:w="4479" w:space="100"/>
            <w:col w:w="4251" w:space="0"/>
          </w:cols>
        </w:sectPr>
        <w:rPr/>
      </w:pPr>
    </w:p>
    <w:p>
      <w:pPr>
        <w:spacing w:before="51"/>
        <w:rPr/>
      </w:pPr>
      <w:r>
        <w:drawing>
          <wp:anchor distT="0" distB="0" distL="0" distR="0" simplePos="0" relativeHeight="25219584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344" name="IM 1344"/>
            <wp:cNvGraphicFramePr/>
            <a:graphic>
              <a:graphicData uri="http://schemas.openxmlformats.org/drawingml/2006/picture">
                <pic:pic>
                  <pic:nvPicPr>
                    <pic:cNvPr id="1344" name="IM 1344"/>
                    <pic:cNvPicPr/>
                  </pic:nvPicPr>
                  <pic:blipFill>
                    <a:blip r:embed="rId674"/>
                    <a:stretch>
                      <a:fillRect/>
                    </a:stretch>
                  </pic:blipFill>
                  <pic:spPr>
                    <a:xfrm rot="0">
                      <a:off x="0" y="0"/>
                      <a:ext cx="5579745" cy="7620"/>
                    </a:xfrm>
                    <a:prstGeom prst="rect">
                      <a:avLst/>
                    </a:prstGeom>
                  </pic:spPr>
                </pic:pic>
              </a:graphicData>
            </a:graphic>
          </wp:anchor>
        </w:drawing>
      </w:r>
      <w:r/>
    </w:p>
    <w:p>
      <w:pPr>
        <w:sectPr>
          <w:headerReference w:type="default" r:id="rId635"/>
          <w:footerReference w:type="default" r:id="rId673"/>
          <w:pgSz w:w="11906" w:h="16839"/>
          <w:pgMar w:top="1766" w:right="1507" w:bottom="1563" w:left="1576" w:header="1428" w:footer="1172" w:gutter="0"/>
          <w:cols w:equalWidth="0" w:num="1">
            <w:col w:w="8823" w:space="0"/>
          </w:cols>
        </w:sectPr>
        <w:rPr/>
      </w:pPr>
    </w:p>
    <w:p>
      <w:pPr>
        <w:pStyle w:val="BodyText"/>
        <w:ind w:left="13"/>
        <w:spacing w:before="51" w:line="221" w:lineRule="auto"/>
        <w:rPr/>
      </w:pPr>
      <w:r>
        <w:rPr>
          <w:spacing w:val="9"/>
        </w:rPr>
        <w:t>设备和人力情况及时确定增援力量。</w:t>
      </w:r>
    </w:p>
    <w:p>
      <w:pPr>
        <w:pStyle w:val="BodyText"/>
        <w:ind w:left="17" w:right="329" w:firstLine="418"/>
        <w:spacing w:before="143" w:line="307" w:lineRule="auto"/>
        <w:rPr/>
      </w:pPr>
      <w:r>
        <w:rPr>
          <w:rFonts w:ascii="Times New Roman" w:hAnsi="Times New Roman" w:eastAsia="Times New Roman" w:cs="Times New Roman"/>
          <w:spacing w:val="12"/>
        </w:rPr>
        <w:t>4.</w:t>
      </w:r>
      <w:r>
        <w:rPr>
          <w:rFonts w:ascii="Times New Roman" w:hAnsi="Times New Roman" w:eastAsia="Times New Roman" w:cs="Times New Roman"/>
          <w:spacing w:val="-25"/>
        </w:rPr>
        <w:t xml:space="preserve"> </w:t>
      </w:r>
      <w:r>
        <w:rPr>
          <w:rFonts w:ascii="Times New Roman" w:hAnsi="Times New Roman" w:eastAsia="Times New Roman" w:cs="Times New Roman"/>
          <w:spacing w:val="12"/>
        </w:rPr>
        <w:t>1.3 </w:t>
      </w:r>
      <w:r>
        <w:rPr>
          <w:spacing w:val="12"/>
        </w:rPr>
        <w:t>各部门接到发生烟花爆竹生产</w:t>
      </w:r>
      <w:r>
        <w:rPr>
          <w:spacing w:val="11"/>
        </w:rPr>
        <w:t>安全</w:t>
      </w:r>
      <w:r>
        <w:rPr>
          <w:spacing w:val="7"/>
        </w:rPr>
        <w:t>事故报告后，要立即组织应急救援队伍赶赴现</w:t>
      </w:r>
      <w:r>
        <w:rPr>
          <w:spacing w:val="8"/>
        </w:rPr>
        <w:t>场，开展抢险救护工作。</w:t>
      </w:r>
    </w:p>
    <w:p>
      <w:pPr>
        <w:pStyle w:val="BodyText"/>
        <w:ind w:left="16" w:right="329" w:firstLine="420"/>
        <w:spacing w:before="140" w:line="307" w:lineRule="auto"/>
        <w:rPr/>
      </w:pPr>
      <w:r>
        <w:rPr>
          <w:rFonts w:ascii="Times New Roman" w:hAnsi="Times New Roman" w:eastAsia="Times New Roman" w:cs="Times New Roman"/>
          <w:spacing w:val="12"/>
        </w:rPr>
        <w:t>4.</w:t>
      </w:r>
      <w:r>
        <w:rPr>
          <w:rFonts w:ascii="Times New Roman" w:hAnsi="Times New Roman" w:eastAsia="Times New Roman" w:cs="Times New Roman"/>
          <w:spacing w:val="-25"/>
        </w:rPr>
        <w:t xml:space="preserve"> </w:t>
      </w:r>
      <w:r>
        <w:rPr>
          <w:rFonts w:ascii="Times New Roman" w:hAnsi="Times New Roman" w:eastAsia="Times New Roman" w:cs="Times New Roman"/>
          <w:spacing w:val="12"/>
        </w:rPr>
        <w:t>1.4 </w:t>
      </w:r>
      <w:r>
        <w:rPr>
          <w:spacing w:val="12"/>
        </w:rPr>
        <w:t>各组在抢险过程中要确保抢险</w:t>
      </w:r>
      <w:r>
        <w:rPr>
          <w:spacing w:val="11"/>
        </w:rPr>
        <w:t>人员</w:t>
      </w:r>
      <w:r>
        <w:rPr>
          <w:spacing w:val="7"/>
        </w:rPr>
        <w:t>安全，不得冒险蛮干。抢险方案由参与抢险救</w:t>
      </w:r>
      <w:r>
        <w:rPr>
          <w:spacing w:val="9"/>
        </w:rPr>
        <w:t>援单位的技术人员制定后报指挥长批准。</w:t>
      </w:r>
    </w:p>
    <w:p>
      <w:pPr>
        <w:pStyle w:val="BodyText"/>
        <w:ind w:left="15" w:right="309" w:firstLine="420"/>
        <w:spacing w:before="139" w:line="339" w:lineRule="auto"/>
        <w:rPr/>
      </w:pPr>
      <w:r>
        <w:rPr>
          <w:rFonts w:ascii="Times New Roman" w:hAnsi="Times New Roman" w:eastAsia="Times New Roman" w:cs="Times New Roman"/>
          <w:spacing w:val="8"/>
        </w:rPr>
        <w:t>4.2  </w:t>
      </w:r>
      <w:r>
        <w:rPr>
          <w:rFonts w:ascii="KaiTi" w:hAnsi="KaiTi" w:eastAsia="KaiTi" w:cs="KaiTi"/>
          <w:spacing w:val="8"/>
        </w:rPr>
        <w:t>救护及疏散。</w:t>
      </w:r>
      <w:r>
        <w:rPr>
          <w:spacing w:val="8"/>
        </w:rPr>
        <w:t>坚持现场救护与入院治</w:t>
      </w:r>
      <w:r>
        <w:rPr>
          <w:spacing w:val="8"/>
        </w:rPr>
        <w:t>疗相结合，救护、疏散坚持安全、就近原则。</w:t>
      </w:r>
    </w:p>
    <w:p>
      <w:pPr>
        <w:pStyle w:val="BodyText"/>
        <w:ind w:left="16" w:right="322" w:firstLine="420"/>
        <w:spacing w:before="31" w:line="350" w:lineRule="auto"/>
        <w:rPr/>
      </w:pPr>
      <w:r>
        <w:rPr>
          <w:spacing w:val="19"/>
        </w:rPr>
        <w:t>进入现场救援人员必须配备必要的个人</w:t>
      </w:r>
      <w:r>
        <w:rPr>
          <w:spacing w:val="18"/>
        </w:rPr>
        <w:t>防护器具。烟花爆竹生产安全事故主要为火</w:t>
      </w:r>
      <w:r>
        <w:rPr>
          <w:spacing w:val="7"/>
        </w:rPr>
        <w:t>灾、爆炸、中毒和窒息，事故中心区应严禁火</w:t>
      </w:r>
      <w:r>
        <w:rPr>
          <w:spacing w:val="7"/>
        </w:rPr>
        <w:t>种、切断电源、禁止车辆进入、立即在边界设</w:t>
      </w:r>
      <w:r>
        <w:rPr>
          <w:spacing w:val="7"/>
        </w:rPr>
        <w:t>置警戒线。根据事故情况和事故发展，确定事</w:t>
      </w:r>
      <w:r>
        <w:rPr>
          <w:spacing w:val="7"/>
        </w:rPr>
        <w:t>故波及区人员的撤离。如果泄漏物是有毒的，</w:t>
      </w:r>
      <w:r>
        <w:rPr>
          <w:spacing w:val="9"/>
        </w:rPr>
        <w:t>应使用专用防护服、隔绝式空气面具。</w:t>
      </w:r>
    </w:p>
    <w:p>
      <w:pPr>
        <w:pStyle w:val="BodyText"/>
        <w:ind w:left="16" w:right="329" w:firstLine="420"/>
        <w:spacing w:before="2" w:line="350" w:lineRule="auto"/>
        <w:jc w:val="both"/>
        <w:rPr/>
      </w:pPr>
      <w:r>
        <w:rPr>
          <w:rFonts w:ascii="Times New Roman" w:hAnsi="Times New Roman" w:eastAsia="Times New Roman" w:cs="Times New Roman"/>
          <w:spacing w:val="11"/>
        </w:rPr>
        <w:t>4.3 </w:t>
      </w:r>
      <w:r>
        <w:rPr>
          <w:rFonts w:ascii="KaiTi" w:hAnsi="KaiTi" w:eastAsia="KaiTi" w:cs="KaiTi"/>
          <w:spacing w:val="11"/>
        </w:rPr>
        <w:t>信息发布。</w:t>
      </w:r>
      <w:r>
        <w:rPr>
          <w:spacing w:val="11"/>
        </w:rPr>
        <w:t>信息发布与舆情管控与引</w:t>
      </w:r>
      <w:r>
        <w:rPr>
          <w:spacing w:val="7"/>
        </w:rPr>
        <w:t>导严格执行《中共中央宣传部关于规范重特大</w:t>
      </w:r>
      <w:r>
        <w:rPr>
          <w:spacing w:val="4"/>
        </w:rPr>
        <w:t>事故信息发布工作的意见》和《</w:t>
      </w:r>
      <w:r>
        <w:rPr>
          <w:spacing w:val="-35"/>
        </w:rPr>
        <w:t xml:space="preserve"> </w:t>
      </w:r>
      <w:r>
        <w:rPr>
          <w:spacing w:val="4"/>
        </w:rPr>
        <w:t>自治区党委宣</w:t>
      </w:r>
      <w:r>
        <w:rPr>
          <w:spacing w:val="18"/>
        </w:rPr>
        <w:t>传部关于规范重特大事故信息发布及新闻报</w:t>
      </w:r>
      <w:r>
        <w:rPr>
          <w:spacing w:val="8"/>
        </w:rPr>
        <w:t>道工作的实施意见》等有关规定。</w:t>
      </w:r>
    </w:p>
    <w:p>
      <w:pPr>
        <w:pStyle w:val="BodyText"/>
        <w:ind w:left="17" w:right="248" w:firstLine="410"/>
        <w:spacing w:before="3" w:line="347" w:lineRule="auto"/>
        <w:jc w:val="both"/>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）按照分级响应原则</w:t>
      </w:r>
      <w:r>
        <w:rPr>
          <w:spacing w:val="-59"/>
        </w:rPr>
        <w:t xml:space="preserve"> </w:t>
      </w:r>
      <w:r>
        <w:rPr>
          <w:spacing w:val="5"/>
        </w:rPr>
        <w:t>，一般生产安全</w:t>
      </w:r>
      <w:r>
        <w:rPr>
          <w:spacing w:val="8"/>
        </w:rPr>
        <w:t>事故信息发布工作由县（</w:t>
      </w:r>
      <w:r>
        <w:rPr>
          <w:spacing w:val="-42"/>
        </w:rPr>
        <w:t xml:space="preserve"> </w:t>
      </w:r>
      <w:r>
        <w:rPr>
          <w:spacing w:val="8"/>
        </w:rPr>
        <w:t>区）人民政府发布；</w:t>
      </w:r>
      <w:r>
        <w:rPr>
          <w:spacing w:val="18"/>
        </w:rPr>
        <w:t>较大及较大以上生产安全事故信息发布工作</w:t>
      </w:r>
      <w:r>
        <w:rPr>
          <w:spacing w:val="1"/>
        </w:rPr>
        <w:t>由市政府决定。信息发布要统一、及时、准确、</w:t>
      </w:r>
      <w:r>
        <w:rPr>
          <w:spacing w:val="4"/>
        </w:rPr>
        <w:t>客观。</w:t>
      </w:r>
    </w:p>
    <w:p>
      <w:pPr>
        <w:pStyle w:val="BodyText"/>
        <w:ind w:left="16" w:right="329" w:firstLine="422"/>
        <w:spacing w:before="21" w:line="351" w:lineRule="auto"/>
        <w:jc w:val="both"/>
        <w:rPr/>
      </w:pPr>
      <w:r>
        <w:rPr>
          <w:spacing w:val="6"/>
        </w:rPr>
        <w:t>根据事故影响程度和类型，组织有关责任</w:t>
      </w:r>
      <w:r>
        <w:rPr>
          <w:spacing w:val="7"/>
        </w:rPr>
        <w:t>单位、职能部门和专家拟写新闻稿、专家评论</w:t>
      </w:r>
      <w:r>
        <w:rPr>
          <w:spacing w:val="-3"/>
        </w:rPr>
        <w:t>或事故情况公告，报指挥部同意后向媒体发布。</w:t>
      </w:r>
    </w:p>
    <w:p>
      <w:pPr>
        <w:pStyle w:val="BodyText"/>
        <w:ind w:left="14" w:right="329" w:firstLine="424"/>
        <w:spacing w:before="3" w:line="349" w:lineRule="auto"/>
        <w:jc w:val="both"/>
        <w:rPr/>
      </w:pPr>
      <w:r>
        <w:rPr>
          <w:spacing w:val="6"/>
        </w:rPr>
        <w:t>宣传、网信、公安等相关部门要密切关注</w:t>
      </w:r>
      <w:r>
        <w:rPr>
          <w:spacing w:val="7"/>
        </w:rPr>
        <w:t>舆情信息，及时做好舆情管控、引导工作，防</w:t>
      </w:r>
      <w:r>
        <w:rPr>
          <w:spacing w:val="7"/>
        </w:rPr>
        <w:t>止舆论炒作。</w:t>
      </w:r>
    </w:p>
    <w:p>
      <w:pPr>
        <w:pStyle w:val="BodyText"/>
        <w:ind w:left="17" w:right="329" w:firstLine="410"/>
        <w:spacing w:before="1" w:line="285"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）信息发布主要内容包括：生产安全</w:t>
      </w:r>
      <w:r>
        <w:rPr>
          <w:spacing w:val="7"/>
        </w:rPr>
        <w:t>事故的种类及其次生、衍生灾害的监测和预警</w:t>
      </w:r>
    </w:p>
    <w:p>
      <w:pPr>
        <w:spacing w:line="14" w:lineRule="auto"/>
        <w:rPr>
          <w:rFonts w:ascii="Arial"/>
          <w:sz w:val="2"/>
        </w:rPr>
      </w:pPr>
      <w:r>
        <w:rPr>
          <w:rFonts w:ascii="Arial" w:hAnsi="Arial" w:eastAsia="Arial" w:cs="Arial"/>
          <w:sz w:val="2"/>
          <w:szCs w:val="2"/>
        </w:rPr>
        <w:br w:type="column"/>
      </w:r>
    </w:p>
    <w:p>
      <w:pPr>
        <w:pStyle w:val="BodyText"/>
        <w:ind w:right="83"/>
        <w:spacing w:before="46" w:line="347" w:lineRule="auto"/>
        <w:jc w:val="both"/>
        <w:rPr/>
      </w:pPr>
      <w:r>
        <w:rPr>
          <w:spacing w:val="7"/>
        </w:rPr>
        <w:t>情况；事件发生时间、地点、人员伤亡（包括</w:t>
      </w:r>
      <w:r>
        <w:rPr>
          <w:spacing w:val="7"/>
        </w:rPr>
        <w:t>下落不明人数）和财产损失情况、救援进展情</w:t>
      </w:r>
      <w:r>
        <w:rPr>
          <w:spacing w:val="18"/>
        </w:rPr>
        <w:t>况、事件区域交通管制情况以及临时交通措</w:t>
      </w:r>
      <w:r>
        <w:rPr>
          <w:spacing w:val="9"/>
        </w:rPr>
        <w:t>施；事件责任单位基本情况等。</w:t>
      </w:r>
    </w:p>
    <w:p>
      <w:pPr>
        <w:pStyle w:val="BodyText"/>
        <w:ind w:right="2" w:firstLine="413"/>
        <w:spacing w:before="19" w:line="346" w:lineRule="auto"/>
        <w:jc w:val="both"/>
        <w:rPr/>
      </w:pPr>
      <w:r>
        <w:rPr>
          <w:spacing w:val="4"/>
        </w:rPr>
        <w:t>（</w:t>
      </w:r>
      <w:r>
        <w:rPr>
          <w:rFonts w:ascii="Times New Roman" w:hAnsi="Times New Roman" w:eastAsia="Times New Roman" w:cs="Times New Roman"/>
          <w:spacing w:val="4"/>
        </w:rPr>
        <w:t>3</w:t>
      </w:r>
      <w:r>
        <w:rPr>
          <w:rFonts w:ascii="Times New Roman" w:hAnsi="Times New Roman" w:eastAsia="Times New Roman" w:cs="Times New Roman"/>
          <w:spacing w:val="-13"/>
        </w:rPr>
        <w:t xml:space="preserve"> </w:t>
      </w:r>
      <w:r>
        <w:rPr>
          <w:spacing w:val="4"/>
        </w:rPr>
        <w:t>）信息发布形式主要包括：权威发布、</w:t>
      </w:r>
      <w:r>
        <w:rPr>
          <w:spacing w:val="7"/>
        </w:rPr>
        <w:t>提供新闻稿、组织报道、接受记者采访、举行</w:t>
      </w:r>
      <w:r>
        <w:rPr>
          <w:spacing w:val="7"/>
        </w:rPr>
        <w:t>新闻发布会等。</w:t>
      </w:r>
    </w:p>
    <w:p>
      <w:pPr>
        <w:pStyle w:val="BodyText"/>
        <w:ind w:right="2" w:firstLine="420"/>
        <w:spacing w:before="13" w:line="330" w:lineRule="auto"/>
        <w:rPr/>
      </w:pPr>
      <w:r>
        <w:rPr>
          <w:rFonts w:ascii="Times New Roman" w:hAnsi="Times New Roman" w:eastAsia="Times New Roman" w:cs="Times New Roman"/>
          <w:spacing w:val="9"/>
        </w:rPr>
        <w:t>4.4  </w:t>
      </w:r>
      <w:r>
        <w:rPr>
          <w:rFonts w:ascii="KaiTi" w:hAnsi="KaiTi" w:eastAsia="KaiTi" w:cs="KaiTi"/>
          <w:spacing w:val="9"/>
        </w:rPr>
        <w:t>应急结束。</w:t>
      </w:r>
      <w:r>
        <w:rPr>
          <w:spacing w:val="9"/>
        </w:rPr>
        <w:t>将事故现场所损坏物件、</w:t>
      </w:r>
      <w:r>
        <w:rPr>
          <w:spacing w:val="15"/>
        </w:rPr>
        <w:t>伤亡人员全部清理完毕</w:t>
      </w:r>
      <w:r>
        <w:rPr>
          <w:spacing w:val="-40"/>
        </w:rPr>
        <w:t xml:space="preserve"> </w:t>
      </w:r>
      <w:r>
        <w:rPr>
          <w:spacing w:val="15"/>
        </w:rPr>
        <w:t>，现场拍照调查结束</w:t>
      </w:r>
      <w:r>
        <w:rPr>
          <w:spacing w:val="7"/>
        </w:rPr>
        <w:t>后，经医疗、防疫、生态环境、气象部门对事</w:t>
      </w:r>
      <w:r>
        <w:rPr>
          <w:spacing w:val="11"/>
        </w:rPr>
        <w:t>故周围影响评估后，由应急指挥部做出决定，</w:t>
      </w:r>
      <w:r>
        <w:rPr>
          <w:spacing w:val="7"/>
        </w:rPr>
        <w:t>终止救援行动，撤出各种应急组织，采取或继</w:t>
      </w:r>
      <w:r>
        <w:rPr>
          <w:spacing w:val="-8"/>
        </w:rPr>
        <w:t>续实施必要措施，防止衍生、次生灾害事故发生。</w:t>
      </w:r>
    </w:p>
    <w:p>
      <w:pPr>
        <w:pStyle w:val="BodyText"/>
        <w:ind w:right="83" w:firstLine="420"/>
        <w:spacing w:before="134" w:line="320" w:lineRule="auto"/>
        <w:rPr/>
      </w:pPr>
      <w:r>
        <w:rPr>
          <w:rFonts w:ascii="Times New Roman" w:hAnsi="Times New Roman" w:eastAsia="Times New Roman" w:cs="Times New Roman"/>
          <w:spacing w:val="8"/>
        </w:rPr>
        <w:t>4.5  </w:t>
      </w:r>
      <w:r>
        <w:rPr>
          <w:rFonts w:ascii="KaiTi" w:hAnsi="KaiTi" w:eastAsia="KaiTi" w:cs="KaiTi"/>
          <w:spacing w:val="8"/>
        </w:rPr>
        <w:t>后期处置。</w:t>
      </w:r>
      <w:r>
        <w:rPr>
          <w:spacing w:val="8"/>
        </w:rPr>
        <w:t>宣布应急结束后，在市应</w:t>
      </w:r>
      <w:r>
        <w:rPr>
          <w:spacing w:val="7"/>
        </w:rPr>
        <w:t>急管理指挥部统一领导下，由相关部门负责后</w:t>
      </w:r>
      <w:r>
        <w:rPr>
          <w:spacing w:val="15"/>
        </w:rPr>
        <w:t>期处置工作</w:t>
      </w:r>
      <w:r>
        <w:rPr>
          <w:spacing w:val="-40"/>
        </w:rPr>
        <w:t xml:space="preserve"> </w:t>
      </w:r>
      <w:r>
        <w:rPr>
          <w:spacing w:val="15"/>
        </w:rPr>
        <w:t>，根据事故造成的后果及实际情</w:t>
      </w:r>
      <w:r>
        <w:rPr>
          <w:spacing w:val="9"/>
        </w:rPr>
        <w:t>况，制订善后处理措施并组织实施。</w:t>
      </w:r>
    </w:p>
    <w:p>
      <w:pPr>
        <w:pStyle w:val="BodyText"/>
        <w:ind w:right="76" w:firstLine="422"/>
        <w:spacing w:before="136" w:line="351" w:lineRule="auto"/>
        <w:jc w:val="both"/>
        <w:rPr/>
      </w:pPr>
      <w:r>
        <w:rPr>
          <w:spacing w:val="19"/>
        </w:rPr>
        <w:t>市应急管理局组织开展事故损失评估核</w:t>
      </w:r>
      <w:r>
        <w:rPr>
          <w:spacing w:val="7"/>
        </w:rPr>
        <w:t>定工作；生态环境局提出事故污染处置建议，</w:t>
      </w:r>
      <w:r>
        <w:rPr>
          <w:spacing w:val="7"/>
        </w:rPr>
        <w:t>负责现场清理和消除环境污染；应急管理局会</w:t>
      </w:r>
      <w:r>
        <w:rPr>
          <w:spacing w:val="7"/>
        </w:rPr>
        <w:t>同财政局、经发展和改革委员会制定应由政府</w:t>
      </w:r>
      <w:r>
        <w:rPr>
          <w:spacing w:val="7"/>
        </w:rPr>
        <w:t>补偿的补偿标准和办法；做好征用补偿工作，</w:t>
      </w:r>
      <w:r>
        <w:rPr>
          <w:spacing w:val="7"/>
        </w:rPr>
        <w:t>做好受灾地区社会管理工作，并配合有关部门</w:t>
      </w:r>
      <w:r>
        <w:rPr>
          <w:spacing w:val="9"/>
        </w:rPr>
        <w:t>做好救助款物的管理和调拨、发放等工作。</w:t>
      </w:r>
    </w:p>
    <w:p>
      <w:pPr>
        <w:ind w:left="4" w:right="83" w:firstLine="437"/>
        <w:spacing w:before="4" w:line="26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四、固原市危险化学品生产安全事故应急</w:t>
      </w:r>
      <w:r>
        <w:rPr>
          <w:rFonts w:ascii="Microsoft YaHei" w:hAnsi="Microsoft YaHei" w:eastAsia="Microsoft YaHei" w:cs="Microsoft YaHei"/>
          <w:sz w:val="20"/>
          <w:szCs w:val="20"/>
          <w:spacing w:val="5"/>
        </w:rPr>
        <w:t>预案</w:t>
      </w:r>
    </w:p>
    <w:p>
      <w:pPr>
        <w:ind w:left="431"/>
        <w:spacing w:line="242" w:lineRule="auto"/>
        <w:rPr>
          <w:rFonts w:ascii="KaiTi" w:hAnsi="KaiTi" w:eastAsia="KaiTi" w:cs="KaiTi"/>
          <w:sz w:val="20"/>
          <w:szCs w:val="20"/>
        </w:rPr>
      </w:pPr>
      <w:r>
        <w:rPr>
          <w:rFonts w:ascii="Times New Roman" w:hAnsi="Times New Roman" w:eastAsia="Times New Roman" w:cs="Times New Roman"/>
          <w:sz w:val="20"/>
          <w:szCs w:val="20"/>
          <w:b/>
          <w:bCs/>
          <w:spacing w:val="4"/>
        </w:rPr>
        <w:t>1</w:t>
      </w:r>
      <w:r>
        <w:rPr>
          <w:rFonts w:ascii="Times New Roman" w:hAnsi="Times New Roman" w:eastAsia="Times New Roman" w:cs="Times New Roman"/>
          <w:sz w:val="20"/>
          <w:szCs w:val="20"/>
          <w:b/>
          <w:bCs/>
          <w:spacing w:val="5"/>
        </w:rPr>
        <w:t xml:space="preserve">    </w:t>
      </w:r>
      <w:r>
        <w:rPr>
          <w:rFonts w:ascii="KaiTi" w:hAnsi="KaiTi" w:eastAsia="KaiTi" w:cs="KaiTi"/>
          <w:sz w:val="20"/>
          <w:szCs w:val="20"/>
          <w:b/>
          <w:bCs/>
          <w:spacing w:val="4"/>
        </w:rPr>
        <w:t>事故风险分析</w:t>
      </w:r>
    </w:p>
    <w:p>
      <w:pPr>
        <w:pStyle w:val="BodyText"/>
        <w:ind w:left="1" w:firstLine="440"/>
        <w:spacing w:before="115" w:line="351" w:lineRule="auto"/>
        <w:jc w:val="both"/>
        <w:rPr/>
      </w:pPr>
      <w:r>
        <w:rPr>
          <w:rFonts w:ascii="Times New Roman" w:hAnsi="Times New Roman" w:eastAsia="Times New Roman" w:cs="Times New Roman"/>
          <w:spacing w:val="6"/>
        </w:rPr>
        <w:t>1.</w:t>
      </w:r>
      <w:r>
        <w:rPr>
          <w:rFonts w:ascii="Times New Roman" w:hAnsi="Times New Roman" w:eastAsia="Times New Roman" w:cs="Times New Roman"/>
          <w:spacing w:val="-22"/>
        </w:rPr>
        <w:t xml:space="preserve"> </w:t>
      </w:r>
      <w:r>
        <w:rPr>
          <w:rFonts w:ascii="Times New Roman" w:hAnsi="Times New Roman" w:eastAsia="Times New Roman" w:cs="Times New Roman"/>
          <w:spacing w:val="6"/>
        </w:rPr>
        <w:t>1  </w:t>
      </w:r>
      <w:r>
        <w:rPr>
          <w:rFonts w:ascii="KaiTi" w:hAnsi="KaiTi" w:eastAsia="KaiTi" w:cs="KaiTi"/>
          <w:spacing w:val="6"/>
        </w:rPr>
        <w:t>危险目标。</w:t>
      </w:r>
      <w:r>
        <w:rPr>
          <w:spacing w:val="6"/>
        </w:rPr>
        <w:t>固原市的危险化学品涉及</w:t>
      </w:r>
      <w:r>
        <w:rPr>
          <w:spacing w:val="11"/>
        </w:rPr>
        <w:t>生产、储存、经营、运输、使用等多个环节；</w:t>
      </w:r>
      <w:r>
        <w:rPr>
          <w:spacing w:val="7"/>
        </w:rPr>
        <w:t>涉及工厂、商场、餐馆、学校、医院、科研单</w:t>
      </w:r>
      <w:r>
        <w:rPr>
          <w:spacing w:val="4"/>
        </w:rPr>
        <w:t>位等多个方面。全市涉及到危险化学品</w:t>
      </w:r>
      <w:r>
        <w:rPr>
          <w:rFonts w:ascii="Times New Roman" w:hAnsi="Times New Roman" w:eastAsia="Times New Roman" w:cs="Times New Roman"/>
          <w:spacing w:val="4"/>
        </w:rPr>
        <w:t>6</w:t>
      </w:r>
      <w:r>
        <w:rPr>
          <w:rFonts w:ascii="Times New Roman" w:hAnsi="Times New Roman" w:eastAsia="Times New Roman" w:cs="Times New Roman"/>
          <w:spacing w:val="-7"/>
        </w:rPr>
        <w:t xml:space="preserve"> </w:t>
      </w:r>
      <w:r>
        <w:rPr>
          <w:spacing w:val="4"/>
        </w:rPr>
        <w:t>大类，</w:t>
      </w:r>
      <w:r>
        <w:rPr>
          <w:spacing w:val="-8"/>
        </w:rPr>
        <w:t>产品覆盖精细化工、农药、染料、油漆（涂料）、</w:t>
      </w:r>
      <w:r>
        <w:rPr>
          <w:spacing w:val="7"/>
        </w:rPr>
        <w:t>工程塑料等</w:t>
      </w:r>
      <w:r>
        <w:rPr>
          <w:spacing w:val="-22"/>
        </w:rPr>
        <w:t xml:space="preserve"> </w:t>
      </w:r>
      <w:r>
        <w:rPr>
          <w:rFonts w:ascii="Times New Roman" w:hAnsi="Times New Roman" w:eastAsia="Times New Roman" w:cs="Times New Roman"/>
          <w:spacing w:val="7"/>
        </w:rPr>
        <w:t>10 </w:t>
      </w:r>
      <w:r>
        <w:rPr>
          <w:spacing w:val="7"/>
        </w:rPr>
        <w:t>多大类近百余种危险化学品。</w:t>
      </w:r>
    </w:p>
    <w:p>
      <w:pPr>
        <w:pStyle w:val="BodyText"/>
        <w:ind w:left="442"/>
        <w:spacing w:before="1" w:line="221" w:lineRule="auto"/>
        <w:rPr/>
      </w:pPr>
      <w:r>
        <w:rPr>
          <w:spacing w:val="5"/>
        </w:rPr>
        <w:t>固原市共有危险化学品从业单位</w:t>
      </w:r>
      <w:r>
        <w:rPr>
          <w:spacing w:val="-8"/>
        </w:rPr>
        <w:t xml:space="preserve"> </w:t>
      </w:r>
      <w:r>
        <w:rPr>
          <w:rFonts w:ascii="Times New Roman" w:hAnsi="Times New Roman" w:eastAsia="Times New Roman" w:cs="Times New Roman"/>
          <w:spacing w:val="5"/>
        </w:rPr>
        <w:t>121 </w:t>
      </w:r>
      <w:r>
        <w:rPr>
          <w:spacing w:val="5"/>
        </w:rPr>
        <w:t>家：</w:t>
      </w:r>
    </w:p>
    <w:p>
      <w:pPr>
        <w:spacing w:line="221" w:lineRule="auto"/>
        <w:sectPr>
          <w:type w:val="continuous"/>
          <w:pgSz w:w="11906" w:h="16839"/>
          <w:pgMar w:top="1766" w:right="1507" w:bottom="1563" w:left="1576" w:header="1428" w:footer="1172" w:gutter="0"/>
          <w:cols w:equalWidth="0" w:num="2">
            <w:col w:w="4493" w:space="100"/>
            <w:col w:w="4231" w:space="0"/>
          </w:cols>
        </w:sectPr>
        <w:rPr/>
      </w:pPr>
    </w:p>
    <w:p>
      <w:pPr>
        <w:spacing w:before="46"/>
        <w:rPr/>
      </w:pPr>
      <w:r/>
    </w:p>
    <w:p>
      <w:pPr>
        <w:sectPr>
          <w:headerReference w:type="default" r:id="rId644"/>
          <w:footerReference w:type="default" r:id="rId675"/>
          <w:pgSz w:w="11906" w:h="16839"/>
          <w:pgMar w:top="1772" w:right="1489" w:bottom="1547" w:left="1588" w:header="1428" w:footer="1172" w:gutter="0"/>
          <w:cols w:equalWidth="0" w:num="1">
            <w:col w:w="8829" w:space="0"/>
          </w:cols>
        </w:sectPr>
        <w:rPr/>
      </w:pPr>
    </w:p>
    <w:p>
      <w:pPr>
        <w:pStyle w:val="BodyText"/>
        <w:ind w:left="3" w:right="304" w:firstLine="3"/>
        <w:spacing w:before="46" w:line="349" w:lineRule="auto"/>
        <w:jc w:val="both"/>
        <w:rPr/>
      </w:pPr>
      <w:r>
        <w:rPr>
          <w:spacing w:val="5"/>
        </w:rPr>
        <w:t>生产单位</w:t>
      </w:r>
      <w:r>
        <w:rPr>
          <w:spacing w:val="-38"/>
        </w:rPr>
        <w:t xml:space="preserve"> </w:t>
      </w:r>
      <w:r>
        <w:rPr>
          <w:rFonts w:ascii="Times New Roman" w:hAnsi="Times New Roman" w:eastAsia="Times New Roman" w:cs="Times New Roman"/>
          <w:spacing w:val="5"/>
        </w:rPr>
        <w:t>2 </w:t>
      </w:r>
      <w:r>
        <w:rPr>
          <w:spacing w:val="5"/>
        </w:rPr>
        <w:t>家；经营单位</w:t>
      </w:r>
      <w:r>
        <w:rPr>
          <w:spacing w:val="-21"/>
        </w:rPr>
        <w:t xml:space="preserve"> </w:t>
      </w:r>
      <w:r>
        <w:rPr>
          <w:rFonts w:ascii="Times New Roman" w:hAnsi="Times New Roman" w:eastAsia="Times New Roman" w:cs="Times New Roman"/>
          <w:spacing w:val="5"/>
        </w:rPr>
        <w:t>109 </w:t>
      </w:r>
      <w:r>
        <w:rPr>
          <w:spacing w:val="5"/>
        </w:rPr>
        <w:t>家（加油站</w:t>
      </w:r>
      <w:r>
        <w:rPr>
          <w:spacing w:val="-20"/>
        </w:rPr>
        <w:t xml:space="preserve"> </w:t>
      </w:r>
      <w:r>
        <w:rPr>
          <w:rFonts w:ascii="Times New Roman" w:hAnsi="Times New Roman" w:eastAsia="Times New Roman" w:cs="Times New Roman"/>
          <w:spacing w:val="5"/>
        </w:rPr>
        <w:t>109</w:t>
      </w:r>
      <w:r>
        <w:rPr>
          <w:spacing w:val="8"/>
        </w:rPr>
        <w:t>家</w:t>
      </w:r>
      <w:r>
        <w:rPr>
          <w:spacing w:val="-6"/>
        </w:rPr>
        <w:t>）</w:t>
      </w:r>
      <w:r>
        <w:rPr>
          <w:spacing w:val="-45"/>
        </w:rPr>
        <w:t xml:space="preserve"> </w:t>
      </w:r>
      <w:r>
        <w:rPr>
          <w:spacing w:val="-6"/>
        </w:rPr>
        <w:t>；</w:t>
      </w:r>
      <w:r>
        <w:rPr>
          <w:spacing w:val="8"/>
        </w:rPr>
        <w:t>运输单位</w:t>
      </w:r>
      <w:r>
        <w:rPr>
          <w:spacing w:val="-42"/>
        </w:rPr>
        <w:t xml:space="preserve"> </w:t>
      </w:r>
      <w:r>
        <w:rPr>
          <w:rFonts w:ascii="Times New Roman" w:hAnsi="Times New Roman" w:eastAsia="Times New Roman" w:cs="Times New Roman"/>
          <w:spacing w:val="8"/>
        </w:rPr>
        <w:t>4 </w:t>
      </w:r>
      <w:r>
        <w:rPr>
          <w:spacing w:val="8"/>
        </w:rPr>
        <w:t>家（运输车辆</w:t>
      </w:r>
      <w:r>
        <w:rPr>
          <w:spacing w:val="-39"/>
        </w:rPr>
        <w:t xml:space="preserve"> </w:t>
      </w:r>
      <w:r>
        <w:rPr>
          <w:rFonts w:ascii="Times New Roman" w:hAnsi="Times New Roman" w:eastAsia="Times New Roman" w:cs="Times New Roman"/>
          <w:spacing w:val="8"/>
        </w:rPr>
        <w:t>46 </w:t>
      </w:r>
      <w:r>
        <w:rPr>
          <w:spacing w:val="8"/>
        </w:rPr>
        <w:t>辆</w:t>
      </w:r>
      <w:r>
        <w:rPr>
          <w:spacing w:val="-6"/>
        </w:rPr>
        <w:t>）</w:t>
      </w:r>
      <w:r>
        <w:rPr>
          <w:spacing w:val="-46"/>
        </w:rPr>
        <w:t xml:space="preserve"> </w:t>
      </w:r>
      <w:r>
        <w:rPr>
          <w:spacing w:val="-6"/>
        </w:rPr>
        <w:t>；</w:t>
      </w:r>
      <w:r>
        <w:rPr>
          <w:spacing w:val="8"/>
        </w:rPr>
        <w:t>另</w:t>
      </w:r>
      <w:r>
        <w:rPr>
          <w:spacing w:val="6"/>
        </w:rPr>
        <w:t>液化石油气气充装站</w:t>
      </w:r>
      <w:r>
        <w:rPr>
          <w:spacing w:val="-28"/>
        </w:rPr>
        <w:t xml:space="preserve"> </w:t>
      </w:r>
      <w:r>
        <w:rPr>
          <w:rFonts w:ascii="Times New Roman" w:hAnsi="Times New Roman" w:eastAsia="Times New Roman" w:cs="Times New Roman"/>
          <w:spacing w:val="6"/>
        </w:rPr>
        <w:t>6 </w:t>
      </w:r>
      <w:r>
        <w:rPr>
          <w:spacing w:val="6"/>
        </w:rPr>
        <w:t>家。其中构成重大危险</w:t>
      </w:r>
      <w:r>
        <w:rPr>
          <w:spacing w:val="5"/>
        </w:rPr>
        <w:t>源化工企业</w:t>
      </w:r>
      <w:r>
        <w:rPr>
          <w:spacing w:val="-19"/>
        </w:rPr>
        <w:t xml:space="preserve"> </w:t>
      </w:r>
      <w:r>
        <w:rPr>
          <w:rFonts w:ascii="Times New Roman" w:hAnsi="Times New Roman" w:eastAsia="Times New Roman" w:cs="Times New Roman"/>
          <w:spacing w:val="5"/>
        </w:rPr>
        <w:t>8 </w:t>
      </w:r>
      <w:r>
        <w:rPr>
          <w:spacing w:val="5"/>
        </w:rPr>
        <w:t>家，列入危险工艺企业</w:t>
      </w:r>
      <w:r>
        <w:rPr>
          <w:spacing w:val="-43"/>
        </w:rPr>
        <w:t xml:space="preserve"> </w:t>
      </w:r>
      <w:r>
        <w:rPr>
          <w:rFonts w:ascii="Times New Roman" w:hAnsi="Times New Roman" w:eastAsia="Times New Roman" w:cs="Times New Roman"/>
          <w:spacing w:val="5"/>
        </w:rPr>
        <w:t>2 </w:t>
      </w:r>
      <w:r>
        <w:rPr>
          <w:spacing w:val="5"/>
        </w:rPr>
        <w:t>家，液</w:t>
      </w:r>
      <w:r>
        <w:rPr>
          <w:spacing w:val="5"/>
        </w:rPr>
        <w:t>氯（剧毒品）使用化工企业</w:t>
      </w:r>
      <w:r>
        <w:rPr>
          <w:spacing w:val="-9"/>
        </w:rPr>
        <w:t xml:space="preserve"> </w:t>
      </w:r>
      <w:r>
        <w:rPr>
          <w:rFonts w:ascii="Times New Roman" w:hAnsi="Times New Roman" w:eastAsia="Times New Roman" w:cs="Times New Roman"/>
          <w:spacing w:val="5"/>
        </w:rPr>
        <w:t>1 </w:t>
      </w:r>
      <w:r>
        <w:rPr>
          <w:spacing w:val="5"/>
        </w:rPr>
        <w:t>家，液氨使用化</w:t>
      </w:r>
      <w:r>
        <w:rPr>
          <w:spacing w:val="6"/>
        </w:rPr>
        <w:t>工企业</w:t>
      </w:r>
      <w:r>
        <w:rPr>
          <w:spacing w:val="-5"/>
        </w:rPr>
        <w:t xml:space="preserve"> </w:t>
      </w:r>
      <w:r>
        <w:rPr>
          <w:rFonts w:ascii="Times New Roman" w:hAnsi="Times New Roman" w:eastAsia="Times New Roman" w:cs="Times New Roman"/>
          <w:spacing w:val="6"/>
        </w:rPr>
        <w:t>1 </w:t>
      </w:r>
      <w:r>
        <w:rPr>
          <w:spacing w:val="6"/>
        </w:rPr>
        <w:t>家，硫酸、盐酸、氢氧化钠、电石、</w:t>
      </w:r>
      <w:r>
        <w:rPr>
          <w:spacing w:val="7"/>
        </w:rPr>
        <w:t>庚烷综合使用企业</w:t>
      </w:r>
      <w:r>
        <w:rPr>
          <w:spacing w:val="-40"/>
        </w:rPr>
        <w:t xml:space="preserve"> </w:t>
      </w:r>
      <w:r>
        <w:rPr>
          <w:rFonts w:ascii="Times New Roman" w:hAnsi="Times New Roman" w:eastAsia="Times New Roman" w:cs="Times New Roman"/>
          <w:spacing w:val="7"/>
        </w:rPr>
        <w:t>2 </w:t>
      </w:r>
      <w:r>
        <w:rPr>
          <w:spacing w:val="7"/>
        </w:rPr>
        <w:t>家。</w:t>
      </w:r>
    </w:p>
    <w:p>
      <w:pPr>
        <w:spacing w:line="19" w:lineRule="exact"/>
        <w:rPr/>
      </w:pPr>
      <w:r/>
    </w:p>
    <w:p>
      <w:pPr>
        <w:spacing w:line="14" w:lineRule="auto"/>
        <w:rPr>
          <w:rFonts w:ascii="Arial"/>
          <w:sz w:val="2"/>
        </w:rPr>
      </w:pPr>
      <w:r>
        <w:rPr>
          <w:rFonts w:ascii="Arial" w:hAnsi="Arial" w:eastAsia="Arial" w:cs="Arial"/>
          <w:sz w:val="2"/>
          <w:szCs w:val="2"/>
        </w:rPr>
        <w:br w:type="column"/>
      </w:r>
    </w:p>
    <w:p>
      <w:pPr>
        <w:pStyle w:val="BodyText"/>
        <w:ind w:right="78" w:firstLine="441"/>
        <w:spacing w:before="49" w:line="349" w:lineRule="auto"/>
        <w:jc w:val="both"/>
        <w:rPr/>
      </w:pPr>
      <w:r>
        <w:rPr>
          <w:rFonts w:ascii="Times New Roman" w:hAnsi="Times New Roman" w:eastAsia="Times New Roman" w:cs="Times New Roman"/>
          <w:spacing w:val="7"/>
        </w:rPr>
        <w:t>1.2  </w:t>
      </w:r>
      <w:r>
        <w:rPr>
          <w:rFonts w:ascii="KaiTi" w:hAnsi="KaiTi" w:eastAsia="KaiTi" w:cs="KaiTi"/>
          <w:spacing w:val="7"/>
        </w:rPr>
        <w:t>事故风险分析。</w:t>
      </w:r>
      <w:r>
        <w:rPr>
          <w:spacing w:val="7"/>
        </w:rPr>
        <w:t>固原市的危险化学品</w:t>
      </w:r>
      <w:r>
        <w:rPr>
          <w:spacing w:val="7"/>
        </w:rPr>
        <w:t>企业在生产、储存、经营、运输、使用等过程</w:t>
      </w:r>
      <w:r>
        <w:rPr>
          <w:spacing w:val="8"/>
        </w:rPr>
        <w:t>中存在的危险和有害因素包括：触电、火灾、</w:t>
      </w:r>
      <w:r>
        <w:rPr>
          <w:spacing w:val="7"/>
        </w:rPr>
        <w:t>爆炸、高处坠落、车辆伤害、机械伤害、物体</w:t>
      </w:r>
      <w:r>
        <w:rPr>
          <w:spacing w:val="8"/>
        </w:rPr>
        <w:t>打击、灼烫、淹溺、起重伤害、中毒和窒息、</w:t>
      </w:r>
      <w:r>
        <w:rPr>
          <w:spacing w:val="7"/>
        </w:rPr>
        <w:t>其他伤害等。</w:t>
      </w:r>
    </w:p>
    <w:p>
      <w:pPr>
        <w:spacing w:line="349" w:lineRule="auto"/>
        <w:sectPr>
          <w:type w:val="continuous"/>
          <w:pgSz w:w="11906" w:h="16839"/>
          <w:pgMar w:top="1772" w:right="1489" w:bottom="1547" w:left="1588" w:header="1428" w:footer="1172" w:gutter="0"/>
          <w:cols w:equalWidth="0" w:num="2">
            <w:col w:w="4481" w:space="100"/>
            <w:col w:w="4248" w:space="0"/>
          </w:cols>
        </w:sectPr>
        <w:rPr/>
      </w:pPr>
    </w:p>
    <w:p>
      <w:pPr>
        <w:ind w:left="2697"/>
        <w:spacing w:before="68" w:line="222" w:lineRule="auto"/>
        <w:rPr>
          <w:rFonts w:ascii="SimHei" w:hAnsi="SimHei" w:eastAsia="SimHei" w:cs="SimHei"/>
          <w:sz w:val="24"/>
          <w:szCs w:val="24"/>
        </w:rPr>
      </w:pPr>
      <w:r>
        <w:drawing>
          <wp:anchor distT="0" distB="0" distL="0" distR="0" simplePos="0" relativeHeight="252200960" behindDoc="0" locked="0" layoutInCell="1" allowOverlap="1">
            <wp:simplePos x="0" y="0"/>
            <wp:positionH relativeFrom="column">
              <wp:posOffset>0</wp:posOffset>
            </wp:positionH>
            <wp:positionV relativeFrom="paragraph">
              <wp:posOffset>-1905150</wp:posOffset>
            </wp:positionV>
            <wp:extent cx="5579745" cy="7620"/>
            <wp:effectExtent l="0" t="0" r="0" b="0"/>
            <wp:wrapNone/>
            <wp:docPr id="1348" name="IM 1348"/>
            <wp:cNvGraphicFramePr/>
            <a:graphic>
              <a:graphicData uri="http://schemas.openxmlformats.org/drawingml/2006/picture">
                <pic:pic>
                  <pic:nvPicPr>
                    <pic:cNvPr id="1348" name="IM 1348"/>
                    <pic:cNvPicPr/>
                  </pic:nvPicPr>
                  <pic:blipFill>
                    <a:blip r:embed="rId676"/>
                    <a:stretch>
                      <a:fillRect/>
                    </a:stretch>
                  </pic:blipFill>
                  <pic:spPr>
                    <a:xfrm rot="0">
                      <a:off x="0" y="0"/>
                      <a:ext cx="5579745" cy="7620"/>
                    </a:xfrm>
                    <a:prstGeom prst="rect">
                      <a:avLst/>
                    </a:prstGeom>
                  </pic:spPr>
                </pic:pic>
              </a:graphicData>
            </a:graphic>
          </wp:anchor>
        </w:drawing>
      </w:r>
      <w:r>
        <w:rPr>
          <w:rFonts w:ascii="SimHei" w:hAnsi="SimHei" w:eastAsia="SimHei" w:cs="SimHei"/>
          <w:sz w:val="24"/>
          <w:szCs w:val="24"/>
          <w:spacing w:val="-1"/>
        </w:rPr>
        <w:t>主要危险、有害因素分布一览表</w:t>
      </w:r>
    </w:p>
    <w:p>
      <w:pPr>
        <w:spacing w:line="16" w:lineRule="exact"/>
        <w:rPr/>
      </w:pPr>
      <w:r/>
    </w:p>
    <w:tbl>
      <w:tblPr>
        <w:tblStyle w:val="TableNormal"/>
        <w:tblW w:w="8509" w:type="dxa"/>
        <w:tblInd w:w="10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31"/>
        <w:gridCol w:w="839"/>
        <w:gridCol w:w="7039"/>
      </w:tblGrid>
      <w:tr>
        <w:trPr>
          <w:trHeight w:val="571" w:hRule="atLeast"/>
        </w:trPr>
        <w:tc>
          <w:tcPr>
            <w:tcW w:w="631" w:type="dxa"/>
            <w:vAlign w:val="top"/>
            <w:tcBorders>
              <w:left w:val="single" w:color="000000" w:sz="6" w:space="0"/>
              <w:top w:val="single" w:color="000000" w:sz="6" w:space="0"/>
            </w:tcBorders>
          </w:tcPr>
          <w:p>
            <w:pPr>
              <w:pStyle w:val="TableText"/>
              <w:ind w:left="111"/>
              <w:spacing w:before="200" w:line="222" w:lineRule="auto"/>
              <w:rPr>
                <w:sz w:val="19"/>
                <w:szCs w:val="19"/>
              </w:rPr>
            </w:pPr>
            <w:r>
              <w:rPr>
                <w:sz w:val="19"/>
                <w:szCs w:val="19"/>
                <w:spacing w:val="6"/>
              </w:rPr>
              <w:t>序号</w:t>
            </w:r>
          </w:p>
        </w:tc>
        <w:tc>
          <w:tcPr>
            <w:tcW w:w="839" w:type="dxa"/>
            <w:vAlign w:val="top"/>
            <w:tcBorders>
              <w:top w:val="single" w:color="000000" w:sz="6" w:space="0"/>
            </w:tcBorders>
          </w:tcPr>
          <w:p>
            <w:pPr>
              <w:pStyle w:val="TableText"/>
              <w:ind w:left="113"/>
              <w:spacing w:before="62" w:line="220" w:lineRule="auto"/>
              <w:rPr>
                <w:sz w:val="19"/>
                <w:szCs w:val="19"/>
              </w:rPr>
            </w:pPr>
            <w:r>
              <w:rPr>
                <w:sz w:val="19"/>
                <w:szCs w:val="19"/>
                <w:spacing w:val="8"/>
              </w:rPr>
              <w:t>事故风</w:t>
            </w:r>
          </w:p>
          <w:p>
            <w:pPr>
              <w:pStyle w:val="TableText"/>
              <w:ind w:left="124"/>
              <w:spacing w:before="54" w:line="212" w:lineRule="auto"/>
              <w:rPr>
                <w:sz w:val="19"/>
                <w:szCs w:val="19"/>
              </w:rPr>
            </w:pPr>
            <w:r>
              <w:rPr>
                <w:sz w:val="19"/>
                <w:szCs w:val="19"/>
                <w:spacing w:val="4"/>
              </w:rPr>
              <w:t>险种类</w:t>
            </w:r>
          </w:p>
        </w:tc>
        <w:tc>
          <w:tcPr>
            <w:tcW w:w="7039" w:type="dxa"/>
            <w:vAlign w:val="top"/>
            <w:tcBorders>
              <w:right w:val="single" w:color="000000" w:sz="6" w:space="0"/>
              <w:top w:val="single" w:color="000000" w:sz="6" w:space="0"/>
            </w:tcBorders>
          </w:tcPr>
          <w:p>
            <w:pPr>
              <w:pStyle w:val="TableText"/>
              <w:ind w:left="2718"/>
              <w:spacing w:before="203" w:line="217" w:lineRule="auto"/>
              <w:rPr>
                <w:sz w:val="19"/>
                <w:szCs w:val="19"/>
              </w:rPr>
            </w:pPr>
            <w:r>
              <w:rPr>
                <w:sz w:val="19"/>
                <w:szCs w:val="19"/>
                <w:spacing w:val="8"/>
              </w:rPr>
              <w:t>可能性及严重程度</w:t>
            </w:r>
          </w:p>
        </w:tc>
      </w:tr>
      <w:tr>
        <w:trPr>
          <w:trHeight w:val="1403" w:hRule="atLeast"/>
        </w:trPr>
        <w:tc>
          <w:tcPr>
            <w:tcW w:w="631" w:type="dxa"/>
            <w:vAlign w:val="top"/>
            <w:tcBorders>
              <w:left w:val="single" w:color="000000" w:sz="6" w:space="0"/>
            </w:tcBorders>
          </w:tcPr>
          <w:p>
            <w:pPr>
              <w:spacing w:line="273" w:lineRule="auto"/>
              <w:rPr>
                <w:rFonts w:ascii="Arial"/>
                <w:sz w:val="21"/>
              </w:rPr>
            </w:pPr>
            <w:r/>
          </w:p>
          <w:p>
            <w:pPr>
              <w:spacing w:line="273" w:lineRule="auto"/>
              <w:rPr>
                <w:rFonts w:ascii="Arial"/>
                <w:sz w:val="21"/>
              </w:rPr>
            </w:pPr>
            <w:r/>
          </w:p>
          <w:p>
            <w:pPr>
              <w:pStyle w:val="TableText"/>
              <w:ind w:left="277"/>
              <w:spacing w:before="62" w:line="286" w:lineRule="exact"/>
              <w:rPr>
                <w:sz w:val="19"/>
                <w:szCs w:val="19"/>
              </w:rPr>
            </w:pPr>
            <w:r>
              <w:rPr>
                <w:sz w:val="19"/>
                <w:szCs w:val="19"/>
                <w:position w:val="2"/>
              </w:rPr>
              <w:t>1</w:t>
            </w:r>
          </w:p>
        </w:tc>
        <w:tc>
          <w:tcPr>
            <w:tcW w:w="839" w:type="dxa"/>
            <w:vAlign w:val="top"/>
          </w:tcPr>
          <w:p>
            <w:pPr>
              <w:spacing w:line="413" w:lineRule="auto"/>
              <w:rPr>
                <w:rFonts w:ascii="Arial"/>
                <w:sz w:val="21"/>
              </w:rPr>
            </w:pPr>
            <w:r/>
          </w:p>
          <w:p>
            <w:pPr>
              <w:pStyle w:val="TableText"/>
              <w:ind w:left="208" w:right="47"/>
              <w:spacing w:before="62" w:line="273" w:lineRule="auto"/>
              <w:rPr>
                <w:sz w:val="19"/>
                <w:szCs w:val="19"/>
              </w:rPr>
            </w:pPr>
            <w:r>
              <w:rPr>
                <w:sz w:val="19"/>
                <w:szCs w:val="19"/>
              </w:rPr>
              <w:t>火灾、</w:t>
            </w:r>
            <w:r>
              <w:rPr>
                <w:sz w:val="19"/>
                <w:szCs w:val="19"/>
                <w:spacing w:val="7"/>
              </w:rPr>
              <w:t>爆炸</w:t>
            </w:r>
          </w:p>
        </w:tc>
        <w:tc>
          <w:tcPr>
            <w:tcW w:w="7039" w:type="dxa"/>
            <w:vAlign w:val="top"/>
            <w:tcBorders>
              <w:right w:val="single" w:color="000000" w:sz="6" w:space="0"/>
            </w:tcBorders>
          </w:tcPr>
          <w:p>
            <w:pPr>
              <w:pStyle w:val="TableText"/>
              <w:ind w:left="28"/>
              <w:spacing w:before="52" w:line="263" w:lineRule="exact"/>
              <w:rPr>
                <w:sz w:val="19"/>
                <w:szCs w:val="19"/>
              </w:rPr>
            </w:pPr>
            <w:r>
              <w:rPr>
                <w:sz w:val="19"/>
                <w:szCs w:val="19"/>
                <w:spacing w:val="7"/>
                <w:position w:val="1"/>
              </w:rPr>
              <w:t>1、易燃易爆介质泄漏引发的火灾；</w:t>
            </w:r>
          </w:p>
          <w:p>
            <w:pPr>
              <w:pStyle w:val="TableText"/>
              <w:ind w:left="12"/>
              <w:spacing w:before="15" w:line="264" w:lineRule="exact"/>
              <w:rPr>
                <w:sz w:val="19"/>
                <w:szCs w:val="19"/>
              </w:rPr>
            </w:pPr>
            <w:r>
              <w:rPr>
                <w:sz w:val="19"/>
                <w:szCs w:val="19"/>
                <w:spacing w:val="8"/>
                <w:position w:val="1"/>
              </w:rPr>
              <w:t>2、动火作业过程操作不当引发的火灾；</w:t>
            </w:r>
          </w:p>
          <w:p>
            <w:pPr>
              <w:pStyle w:val="TableText"/>
              <w:ind w:left="15"/>
              <w:spacing w:before="16" w:line="263" w:lineRule="exact"/>
              <w:rPr>
                <w:sz w:val="19"/>
                <w:szCs w:val="19"/>
              </w:rPr>
            </w:pPr>
            <w:r>
              <w:rPr>
                <w:sz w:val="19"/>
                <w:szCs w:val="19"/>
                <w:spacing w:val="8"/>
                <w:position w:val="1"/>
              </w:rPr>
              <w:t>3、易燃易爆气体泄漏闪爆引发的火灾；</w:t>
            </w:r>
          </w:p>
          <w:p>
            <w:pPr>
              <w:pStyle w:val="TableText"/>
              <w:ind w:left="9"/>
              <w:spacing w:before="17" w:line="263" w:lineRule="exact"/>
              <w:rPr>
                <w:sz w:val="19"/>
                <w:szCs w:val="19"/>
              </w:rPr>
            </w:pPr>
            <w:r>
              <w:rPr>
                <w:sz w:val="19"/>
                <w:szCs w:val="19"/>
                <w:spacing w:val="9"/>
                <w:position w:val="1"/>
              </w:rPr>
              <w:t>4、锅炉、压力容器超温超压、操作不当等引发的爆炸；</w:t>
            </w:r>
          </w:p>
          <w:p>
            <w:pPr>
              <w:pStyle w:val="TableText"/>
              <w:ind w:left="13"/>
              <w:spacing w:before="15" w:line="216" w:lineRule="auto"/>
              <w:rPr>
                <w:sz w:val="19"/>
                <w:szCs w:val="19"/>
              </w:rPr>
            </w:pPr>
            <w:r>
              <w:rPr>
                <w:sz w:val="19"/>
                <w:szCs w:val="19"/>
                <w:spacing w:val="9"/>
              </w:rPr>
              <w:t>5、易燃易爆介质泄漏与空气形成爆炸性混合物引发的爆炸。</w:t>
            </w:r>
          </w:p>
        </w:tc>
      </w:tr>
      <w:tr>
        <w:trPr>
          <w:trHeight w:val="458" w:hRule="atLeast"/>
        </w:trPr>
        <w:tc>
          <w:tcPr>
            <w:tcW w:w="631" w:type="dxa"/>
            <w:vAlign w:val="top"/>
            <w:tcBorders>
              <w:left w:val="single" w:color="000000" w:sz="6" w:space="0"/>
            </w:tcBorders>
          </w:tcPr>
          <w:p>
            <w:pPr>
              <w:pStyle w:val="TableText"/>
              <w:ind w:left="260"/>
              <w:spacing w:before="139" w:line="286" w:lineRule="exact"/>
              <w:rPr>
                <w:sz w:val="19"/>
                <w:szCs w:val="19"/>
              </w:rPr>
            </w:pPr>
            <w:r>
              <w:rPr>
                <w:sz w:val="19"/>
                <w:szCs w:val="19"/>
                <w:position w:val="2"/>
              </w:rPr>
              <w:t>2</w:t>
            </w:r>
          </w:p>
        </w:tc>
        <w:tc>
          <w:tcPr>
            <w:tcW w:w="839" w:type="dxa"/>
            <w:vAlign w:val="top"/>
          </w:tcPr>
          <w:p>
            <w:pPr>
              <w:pStyle w:val="TableText"/>
              <w:ind w:left="16"/>
              <w:spacing w:before="142" w:line="223" w:lineRule="auto"/>
              <w:rPr>
                <w:sz w:val="19"/>
                <w:szCs w:val="19"/>
              </w:rPr>
            </w:pPr>
            <w:r>
              <w:rPr>
                <w:sz w:val="19"/>
                <w:szCs w:val="19"/>
                <w:spacing w:val="7"/>
              </w:rPr>
              <w:t>高处坠落</w:t>
            </w:r>
          </w:p>
        </w:tc>
        <w:tc>
          <w:tcPr>
            <w:tcW w:w="7039" w:type="dxa"/>
            <w:vAlign w:val="top"/>
            <w:tcBorders>
              <w:right w:val="single" w:color="000000" w:sz="6" w:space="0"/>
            </w:tcBorders>
          </w:tcPr>
          <w:p>
            <w:pPr>
              <w:pStyle w:val="TableText"/>
              <w:ind w:left="10"/>
              <w:spacing w:before="142" w:line="223" w:lineRule="auto"/>
              <w:rPr>
                <w:sz w:val="19"/>
                <w:szCs w:val="19"/>
              </w:rPr>
            </w:pPr>
            <w:r>
              <w:rPr>
                <w:sz w:val="19"/>
                <w:szCs w:val="19"/>
                <w:spacing w:val="9"/>
              </w:rPr>
              <w:t>作业人员操作失误，高处作业时安全防护设施损坏。</w:t>
            </w:r>
          </w:p>
        </w:tc>
      </w:tr>
      <w:tr>
        <w:trPr>
          <w:trHeight w:val="843" w:hRule="atLeast"/>
        </w:trPr>
        <w:tc>
          <w:tcPr>
            <w:tcW w:w="631" w:type="dxa"/>
            <w:vAlign w:val="top"/>
            <w:tcBorders>
              <w:left w:val="single" w:color="000000" w:sz="6" w:space="0"/>
            </w:tcBorders>
          </w:tcPr>
          <w:p>
            <w:pPr>
              <w:spacing w:line="270" w:lineRule="auto"/>
              <w:rPr>
                <w:rFonts w:ascii="Arial"/>
                <w:sz w:val="21"/>
              </w:rPr>
            </w:pPr>
            <w:r/>
          </w:p>
          <w:p>
            <w:pPr>
              <w:pStyle w:val="TableText"/>
              <w:ind w:left="263"/>
              <w:spacing w:before="61" w:line="286" w:lineRule="exact"/>
              <w:rPr>
                <w:sz w:val="19"/>
                <w:szCs w:val="19"/>
              </w:rPr>
            </w:pPr>
            <w:r>
              <w:rPr>
                <w:sz w:val="19"/>
                <w:szCs w:val="19"/>
                <w:position w:val="2"/>
              </w:rPr>
              <w:t>3</w:t>
            </w:r>
          </w:p>
        </w:tc>
        <w:tc>
          <w:tcPr>
            <w:tcW w:w="839" w:type="dxa"/>
            <w:vAlign w:val="top"/>
          </w:tcPr>
          <w:p>
            <w:pPr>
              <w:spacing w:line="276" w:lineRule="auto"/>
              <w:rPr>
                <w:rFonts w:ascii="Arial"/>
                <w:sz w:val="21"/>
              </w:rPr>
            </w:pPr>
            <w:r/>
          </w:p>
          <w:p>
            <w:pPr>
              <w:pStyle w:val="TableText"/>
              <w:ind w:left="215"/>
              <w:spacing w:before="62" w:line="217" w:lineRule="auto"/>
              <w:rPr>
                <w:sz w:val="19"/>
                <w:szCs w:val="19"/>
              </w:rPr>
            </w:pPr>
            <w:r>
              <w:rPr>
                <w:sz w:val="19"/>
                <w:szCs w:val="19"/>
                <w:spacing w:val="6"/>
              </w:rPr>
              <w:t>灼烫</w:t>
            </w:r>
          </w:p>
        </w:tc>
        <w:tc>
          <w:tcPr>
            <w:tcW w:w="7039" w:type="dxa"/>
            <w:vAlign w:val="top"/>
            <w:tcBorders>
              <w:right w:val="single" w:color="000000" w:sz="6" w:space="0"/>
            </w:tcBorders>
          </w:tcPr>
          <w:p>
            <w:pPr>
              <w:pStyle w:val="TableText"/>
              <w:ind w:left="28"/>
              <w:spacing w:before="55" w:line="264" w:lineRule="exact"/>
              <w:rPr>
                <w:sz w:val="19"/>
                <w:szCs w:val="19"/>
              </w:rPr>
            </w:pPr>
            <w:r>
              <w:rPr>
                <w:sz w:val="19"/>
                <w:szCs w:val="19"/>
                <w:spacing w:val="6"/>
                <w:position w:val="1"/>
              </w:rPr>
              <w:t>1、高温管道无保温层；</w:t>
            </w:r>
          </w:p>
          <w:p>
            <w:pPr>
              <w:pStyle w:val="TableText"/>
              <w:ind w:left="12"/>
              <w:spacing w:before="14" w:line="263" w:lineRule="exact"/>
              <w:rPr>
                <w:sz w:val="19"/>
                <w:szCs w:val="19"/>
              </w:rPr>
            </w:pPr>
            <w:r>
              <w:rPr>
                <w:sz w:val="19"/>
                <w:szCs w:val="19"/>
                <w:spacing w:val="-6"/>
                <w:position w:val="1"/>
              </w:rPr>
              <w:t>2、检修机泵、管道等设备时未配备防护服、防护手套等防护用品；</w:t>
            </w:r>
          </w:p>
          <w:p>
            <w:pPr>
              <w:pStyle w:val="TableText"/>
              <w:ind w:left="15"/>
              <w:spacing w:before="17" w:line="212" w:lineRule="auto"/>
              <w:rPr>
                <w:sz w:val="19"/>
                <w:szCs w:val="19"/>
              </w:rPr>
            </w:pPr>
            <w:r>
              <w:rPr>
                <w:sz w:val="19"/>
                <w:szCs w:val="19"/>
                <w:spacing w:val="-4"/>
              </w:rPr>
              <w:t>3、化验分析过程中接触腐蚀性化学品时未穿戴防护服、防护 手套等防护用品。</w:t>
            </w:r>
          </w:p>
        </w:tc>
      </w:tr>
      <w:tr>
        <w:trPr>
          <w:trHeight w:val="458" w:hRule="atLeast"/>
        </w:trPr>
        <w:tc>
          <w:tcPr>
            <w:tcW w:w="631" w:type="dxa"/>
            <w:vAlign w:val="top"/>
            <w:tcBorders>
              <w:left w:val="single" w:color="000000" w:sz="6" w:space="0"/>
            </w:tcBorders>
          </w:tcPr>
          <w:p>
            <w:pPr>
              <w:pStyle w:val="TableText"/>
              <w:ind w:left="257"/>
              <w:spacing w:before="143" w:line="286" w:lineRule="exact"/>
              <w:rPr>
                <w:sz w:val="19"/>
                <w:szCs w:val="19"/>
              </w:rPr>
            </w:pPr>
            <w:r>
              <w:rPr>
                <w:sz w:val="19"/>
                <w:szCs w:val="19"/>
                <w:spacing w:val="1"/>
                <w:position w:val="2"/>
              </w:rPr>
              <w:t>4</w:t>
            </w:r>
          </w:p>
        </w:tc>
        <w:tc>
          <w:tcPr>
            <w:tcW w:w="839" w:type="dxa"/>
            <w:vAlign w:val="top"/>
          </w:tcPr>
          <w:p>
            <w:pPr>
              <w:pStyle w:val="TableText"/>
              <w:ind w:left="214"/>
              <w:spacing w:before="148" w:line="220" w:lineRule="auto"/>
              <w:rPr>
                <w:sz w:val="19"/>
                <w:szCs w:val="19"/>
              </w:rPr>
            </w:pPr>
            <w:r>
              <w:rPr>
                <w:sz w:val="19"/>
                <w:szCs w:val="19"/>
                <w:spacing w:val="7"/>
              </w:rPr>
              <w:t>触电</w:t>
            </w:r>
          </w:p>
        </w:tc>
        <w:tc>
          <w:tcPr>
            <w:tcW w:w="7039" w:type="dxa"/>
            <w:vAlign w:val="top"/>
            <w:tcBorders>
              <w:right w:val="single" w:color="000000" w:sz="6" w:space="0"/>
            </w:tcBorders>
          </w:tcPr>
          <w:p>
            <w:pPr>
              <w:pStyle w:val="TableText"/>
              <w:ind w:left="14"/>
              <w:spacing w:before="146" w:line="222" w:lineRule="auto"/>
              <w:rPr>
                <w:sz w:val="19"/>
                <w:szCs w:val="19"/>
              </w:rPr>
            </w:pPr>
            <w:r>
              <w:rPr>
                <w:sz w:val="19"/>
                <w:szCs w:val="19"/>
                <w:spacing w:val="9"/>
              </w:rPr>
              <w:t>配电系统，电器设备漏电，电气设备接地不良，违章操作。</w:t>
            </w:r>
          </w:p>
        </w:tc>
      </w:tr>
      <w:tr>
        <w:trPr>
          <w:trHeight w:val="1123" w:hRule="atLeast"/>
        </w:trPr>
        <w:tc>
          <w:tcPr>
            <w:tcW w:w="631" w:type="dxa"/>
            <w:vAlign w:val="top"/>
            <w:tcBorders>
              <w:left w:val="single" w:color="000000" w:sz="6" w:space="0"/>
            </w:tcBorders>
          </w:tcPr>
          <w:p>
            <w:pPr>
              <w:spacing w:line="412" w:lineRule="auto"/>
              <w:rPr>
                <w:rFonts w:ascii="Arial"/>
                <w:sz w:val="21"/>
              </w:rPr>
            </w:pPr>
            <w:r/>
          </w:p>
          <w:p>
            <w:pPr>
              <w:pStyle w:val="TableText"/>
              <w:ind w:left="261"/>
              <w:spacing w:before="62" w:line="285" w:lineRule="exact"/>
              <w:rPr>
                <w:sz w:val="19"/>
                <w:szCs w:val="19"/>
              </w:rPr>
            </w:pPr>
            <w:r>
              <w:rPr>
                <w:sz w:val="19"/>
                <w:szCs w:val="19"/>
                <w:position w:val="2"/>
              </w:rPr>
              <w:t>5</w:t>
            </w:r>
          </w:p>
        </w:tc>
        <w:tc>
          <w:tcPr>
            <w:tcW w:w="839" w:type="dxa"/>
            <w:vAlign w:val="top"/>
          </w:tcPr>
          <w:p>
            <w:pPr>
              <w:spacing w:line="415" w:lineRule="auto"/>
              <w:rPr>
                <w:rFonts w:ascii="Arial"/>
                <w:sz w:val="21"/>
              </w:rPr>
            </w:pPr>
            <w:r/>
          </w:p>
          <w:p>
            <w:pPr>
              <w:pStyle w:val="TableText"/>
              <w:ind w:left="13"/>
              <w:spacing w:before="62" w:line="220" w:lineRule="auto"/>
              <w:rPr>
                <w:sz w:val="19"/>
                <w:szCs w:val="19"/>
              </w:rPr>
            </w:pPr>
            <w:r>
              <w:rPr>
                <w:sz w:val="19"/>
                <w:szCs w:val="19"/>
                <w:spacing w:val="8"/>
              </w:rPr>
              <w:t>机械伤害</w:t>
            </w:r>
          </w:p>
        </w:tc>
        <w:tc>
          <w:tcPr>
            <w:tcW w:w="7039" w:type="dxa"/>
            <w:vAlign w:val="top"/>
            <w:tcBorders>
              <w:right w:val="single" w:color="000000" w:sz="6" w:space="0"/>
            </w:tcBorders>
          </w:tcPr>
          <w:p>
            <w:pPr>
              <w:pStyle w:val="TableText"/>
              <w:ind w:left="28"/>
              <w:spacing w:before="56" w:line="265" w:lineRule="exact"/>
              <w:rPr>
                <w:sz w:val="19"/>
                <w:szCs w:val="19"/>
              </w:rPr>
            </w:pPr>
            <w:r>
              <w:rPr>
                <w:sz w:val="19"/>
                <w:szCs w:val="19"/>
                <w:spacing w:val="5"/>
                <w:position w:val="1"/>
              </w:rPr>
              <w:t>1、人员误操作；</w:t>
            </w:r>
          </w:p>
          <w:p>
            <w:pPr>
              <w:pStyle w:val="TableText"/>
              <w:ind w:left="12"/>
              <w:spacing w:before="16" w:line="264" w:lineRule="exact"/>
              <w:rPr>
                <w:sz w:val="19"/>
                <w:szCs w:val="19"/>
              </w:rPr>
            </w:pPr>
            <w:r>
              <w:rPr>
                <w:sz w:val="19"/>
                <w:szCs w:val="19"/>
                <w:spacing w:val="8"/>
                <w:position w:val="1"/>
              </w:rPr>
              <w:t>2、执行操作规程不严格；</w:t>
            </w:r>
          </w:p>
          <w:p>
            <w:pPr>
              <w:pStyle w:val="TableText"/>
              <w:ind w:left="15"/>
              <w:spacing w:before="16" w:line="264" w:lineRule="exact"/>
              <w:rPr>
                <w:sz w:val="19"/>
                <w:szCs w:val="19"/>
              </w:rPr>
            </w:pPr>
            <w:r>
              <w:rPr>
                <w:sz w:val="19"/>
                <w:szCs w:val="19"/>
                <w:spacing w:val="8"/>
                <w:position w:val="1"/>
              </w:rPr>
              <w:t>3、设备在运行过程中有重大异常现象；</w:t>
            </w:r>
          </w:p>
          <w:p>
            <w:pPr>
              <w:pStyle w:val="TableText"/>
              <w:ind w:left="9"/>
              <w:spacing w:before="14" w:line="210" w:lineRule="auto"/>
              <w:rPr>
                <w:sz w:val="19"/>
                <w:szCs w:val="19"/>
              </w:rPr>
            </w:pPr>
            <w:r>
              <w:rPr>
                <w:sz w:val="19"/>
                <w:szCs w:val="19"/>
                <w:spacing w:val="8"/>
              </w:rPr>
              <w:t>4、 执行检修作业工艺不严格。</w:t>
            </w:r>
          </w:p>
        </w:tc>
      </w:tr>
      <w:tr>
        <w:trPr>
          <w:trHeight w:val="844" w:hRule="atLeast"/>
        </w:trPr>
        <w:tc>
          <w:tcPr>
            <w:tcW w:w="631" w:type="dxa"/>
            <w:vAlign w:val="top"/>
            <w:tcBorders>
              <w:left w:val="single" w:color="000000" w:sz="6" w:space="0"/>
            </w:tcBorders>
          </w:tcPr>
          <w:p>
            <w:pPr>
              <w:spacing w:line="276" w:lineRule="auto"/>
              <w:rPr>
                <w:rFonts w:ascii="Arial"/>
                <w:sz w:val="21"/>
              </w:rPr>
            </w:pPr>
            <w:r/>
          </w:p>
          <w:p>
            <w:pPr>
              <w:pStyle w:val="TableText"/>
              <w:ind w:left="261"/>
              <w:spacing w:before="61" w:line="286" w:lineRule="exact"/>
              <w:rPr>
                <w:sz w:val="19"/>
                <w:szCs w:val="19"/>
              </w:rPr>
            </w:pPr>
            <w:r>
              <w:rPr>
                <w:sz w:val="19"/>
                <w:szCs w:val="19"/>
                <w:position w:val="2"/>
              </w:rPr>
              <w:t>6</w:t>
            </w:r>
          </w:p>
        </w:tc>
        <w:tc>
          <w:tcPr>
            <w:tcW w:w="839" w:type="dxa"/>
            <w:vAlign w:val="top"/>
          </w:tcPr>
          <w:p>
            <w:pPr>
              <w:spacing w:line="279" w:lineRule="auto"/>
              <w:rPr>
                <w:rFonts w:ascii="Arial"/>
                <w:sz w:val="21"/>
              </w:rPr>
            </w:pPr>
            <w:r/>
          </w:p>
          <w:p>
            <w:pPr>
              <w:pStyle w:val="TableText"/>
              <w:ind w:left="17"/>
              <w:spacing w:before="62" w:line="221" w:lineRule="auto"/>
              <w:rPr>
                <w:sz w:val="19"/>
                <w:szCs w:val="19"/>
              </w:rPr>
            </w:pPr>
            <w:r>
              <w:rPr>
                <w:sz w:val="19"/>
                <w:szCs w:val="19"/>
                <w:spacing w:val="7"/>
              </w:rPr>
              <w:t>车辆伤害</w:t>
            </w:r>
          </w:p>
        </w:tc>
        <w:tc>
          <w:tcPr>
            <w:tcW w:w="7039" w:type="dxa"/>
            <w:vAlign w:val="top"/>
            <w:tcBorders>
              <w:right w:val="single" w:color="000000" w:sz="6" w:space="0"/>
            </w:tcBorders>
          </w:tcPr>
          <w:p>
            <w:pPr>
              <w:pStyle w:val="TableText"/>
              <w:ind w:left="28"/>
              <w:spacing w:before="58" w:line="264" w:lineRule="exact"/>
              <w:rPr>
                <w:sz w:val="19"/>
                <w:szCs w:val="19"/>
              </w:rPr>
            </w:pPr>
            <w:r>
              <w:rPr>
                <w:sz w:val="19"/>
                <w:szCs w:val="19"/>
                <w:position w:val="1"/>
              </w:rPr>
              <w:t>1、违章驾驶。如酒后驾驶、精力不集中、无证驾驶、疲劳驾 驶、</w:t>
            </w:r>
            <w:r>
              <w:rPr>
                <w:sz w:val="19"/>
                <w:szCs w:val="19"/>
                <w:spacing w:val="-1"/>
                <w:position w:val="1"/>
              </w:rPr>
              <w:t>超速行驶等；</w:t>
            </w:r>
          </w:p>
          <w:p>
            <w:pPr>
              <w:pStyle w:val="TableText"/>
              <w:ind w:left="12"/>
              <w:spacing w:before="17" w:line="264" w:lineRule="exact"/>
              <w:rPr>
                <w:sz w:val="19"/>
                <w:szCs w:val="19"/>
              </w:rPr>
            </w:pPr>
            <w:r>
              <w:rPr>
                <w:sz w:val="19"/>
                <w:szCs w:val="19"/>
                <w:spacing w:val="9"/>
                <w:position w:val="1"/>
              </w:rPr>
              <w:t>2、车辆存在缺陷。如刹车失灵、转向灯损</w:t>
            </w:r>
            <w:r>
              <w:rPr>
                <w:sz w:val="19"/>
                <w:szCs w:val="19"/>
                <w:spacing w:val="8"/>
                <w:position w:val="1"/>
              </w:rPr>
              <w:t>坏等；</w:t>
            </w:r>
          </w:p>
          <w:p>
            <w:pPr>
              <w:pStyle w:val="TableText"/>
              <w:ind w:left="15"/>
              <w:spacing w:before="13" w:line="210" w:lineRule="auto"/>
              <w:rPr>
                <w:sz w:val="19"/>
                <w:szCs w:val="19"/>
              </w:rPr>
            </w:pPr>
            <w:r>
              <w:rPr>
                <w:sz w:val="19"/>
                <w:szCs w:val="19"/>
                <w:spacing w:val="9"/>
              </w:rPr>
              <w:t>3、场地存在缺陷。如路况差、视线不良、厂内道路无限速标志牌等。</w:t>
            </w:r>
          </w:p>
        </w:tc>
      </w:tr>
      <w:tr>
        <w:trPr>
          <w:trHeight w:val="458" w:hRule="atLeast"/>
        </w:trPr>
        <w:tc>
          <w:tcPr>
            <w:tcW w:w="631" w:type="dxa"/>
            <w:vAlign w:val="top"/>
            <w:tcBorders>
              <w:left w:val="single" w:color="000000" w:sz="6" w:space="0"/>
            </w:tcBorders>
          </w:tcPr>
          <w:p>
            <w:pPr>
              <w:pStyle w:val="TableText"/>
              <w:ind w:left="259"/>
              <w:spacing w:before="148" w:line="285" w:lineRule="exact"/>
              <w:rPr>
                <w:sz w:val="19"/>
                <w:szCs w:val="19"/>
              </w:rPr>
            </w:pPr>
            <w:r>
              <w:rPr>
                <w:sz w:val="19"/>
                <w:szCs w:val="19"/>
                <w:position w:val="2"/>
              </w:rPr>
              <w:t>7</w:t>
            </w:r>
          </w:p>
        </w:tc>
        <w:tc>
          <w:tcPr>
            <w:tcW w:w="839" w:type="dxa"/>
            <w:vAlign w:val="top"/>
          </w:tcPr>
          <w:p>
            <w:pPr>
              <w:pStyle w:val="TableText"/>
              <w:ind w:left="15"/>
              <w:spacing w:before="150" w:line="223" w:lineRule="auto"/>
              <w:rPr>
                <w:sz w:val="19"/>
                <w:szCs w:val="19"/>
              </w:rPr>
            </w:pPr>
            <w:r>
              <w:rPr>
                <w:sz w:val="19"/>
                <w:szCs w:val="19"/>
                <w:spacing w:val="8"/>
              </w:rPr>
              <w:t>物体打击</w:t>
            </w:r>
          </w:p>
        </w:tc>
        <w:tc>
          <w:tcPr>
            <w:tcW w:w="7039" w:type="dxa"/>
            <w:vAlign w:val="top"/>
            <w:tcBorders>
              <w:right w:val="single" w:color="000000" w:sz="6" w:space="0"/>
            </w:tcBorders>
          </w:tcPr>
          <w:p>
            <w:pPr>
              <w:pStyle w:val="TableText"/>
              <w:ind w:left="14"/>
              <w:spacing w:before="149" w:line="225" w:lineRule="auto"/>
              <w:rPr>
                <w:sz w:val="19"/>
                <w:szCs w:val="19"/>
              </w:rPr>
            </w:pPr>
            <w:r>
              <w:rPr>
                <w:sz w:val="19"/>
                <w:szCs w:val="19"/>
                <w:spacing w:val="9"/>
              </w:rPr>
              <w:t>厂区建构筑物屋顶进行维修时存在物体跌落伤人</w:t>
            </w:r>
          </w:p>
        </w:tc>
      </w:tr>
      <w:tr>
        <w:trPr>
          <w:trHeight w:val="634" w:hRule="atLeast"/>
        </w:trPr>
        <w:tc>
          <w:tcPr>
            <w:tcW w:w="631" w:type="dxa"/>
            <w:vAlign w:val="top"/>
            <w:tcBorders>
              <w:left w:val="single" w:color="000000" w:sz="6" w:space="0"/>
            </w:tcBorders>
          </w:tcPr>
          <w:p>
            <w:pPr>
              <w:pStyle w:val="TableText"/>
              <w:ind w:left="263"/>
              <w:spacing w:before="236" w:line="286" w:lineRule="exact"/>
              <w:rPr>
                <w:sz w:val="19"/>
                <w:szCs w:val="19"/>
              </w:rPr>
            </w:pPr>
            <w:r>
              <w:rPr>
                <w:sz w:val="19"/>
                <w:szCs w:val="19"/>
                <w:position w:val="2"/>
              </w:rPr>
              <w:t>8</w:t>
            </w:r>
          </w:p>
        </w:tc>
        <w:tc>
          <w:tcPr>
            <w:tcW w:w="839" w:type="dxa"/>
            <w:vAlign w:val="top"/>
          </w:tcPr>
          <w:p>
            <w:pPr>
              <w:pStyle w:val="TableText"/>
              <w:ind w:left="10"/>
              <w:spacing w:before="240" w:line="221" w:lineRule="auto"/>
              <w:rPr>
                <w:sz w:val="19"/>
                <w:szCs w:val="19"/>
              </w:rPr>
            </w:pPr>
            <w:r>
              <w:rPr>
                <w:sz w:val="19"/>
                <w:szCs w:val="19"/>
                <w:spacing w:val="9"/>
              </w:rPr>
              <w:t>起重伤害</w:t>
            </w:r>
          </w:p>
        </w:tc>
        <w:tc>
          <w:tcPr>
            <w:tcW w:w="7039" w:type="dxa"/>
            <w:vAlign w:val="top"/>
            <w:tcBorders>
              <w:right w:val="single" w:color="000000" w:sz="6" w:space="0"/>
            </w:tcBorders>
          </w:tcPr>
          <w:p>
            <w:pPr>
              <w:pStyle w:val="TableText"/>
              <w:ind w:left="28"/>
              <w:spacing w:before="95" w:line="265" w:lineRule="exact"/>
              <w:rPr>
                <w:sz w:val="19"/>
                <w:szCs w:val="19"/>
              </w:rPr>
            </w:pPr>
            <w:r>
              <w:rPr>
                <w:sz w:val="19"/>
                <w:szCs w:val="19"/>
                <w:spacing w:val="7"/>
                <w:position w:val="1"/>
              </w:rPr>
              <w:t>1、造成起吊场所设备、设施损坏；</w:t>
            </w:r>
          </w:p>
          <w:p>
            <w:pPr>
              <w:pStyle w:val="TableText"/>
              <w:ind w:left="12"/>
              <w:spacing w:before="15" w:line="241" w:lineRule="auto"/>
              <w:rPr>
                <w:sz w:val="19"/>
                <w:szCs w:val="19"/>
              </w:rPr>
            </w:pPr>
            <w:r>
              <w:rPr>
                <w:sz w:val="19"/>
                <w:szCs w:val="19"/>
                <w:spacing w:val="8"/>
              </w:rPr>
              <w:t>2、现场作业人员造成伤害，严重时造成死亡。</w:t>
            </w:r>
          </w:p>
        </w:tc>
      </w:tr>
      <w:tr>
        <w:trPr>
          <w:trHeight w:val="620" w:hRule="atLeast"/>
        </w:trPr>
        <w:tc>
          <w:tcPr>
            <w:tcW w:w="631" w:type="dxa"/>
            <w:vAlign w:val="top"/>
            <w:tcBorders>
              <w:left w:val="single" w:color="000000" w:sz="6" w:space="0"/>
            </w:tcBorders>
          </w:tcPr>
          <w:p>
            <w:pPr>
              <w:pStyle w:val="TableText"/>
              <w:ind w:left="260"/>
              <w:spacing w:before="231" w:line="285" w:lineRule="exact"/>
              <w:rPr>
                <w:sz w:val="19"/>
                <w:szCs w:val="19"/>
              </w:rPr>
            </w:pPr>
            <w:r>
              <w:rPr>
                <w:sz w:val="19"/>
                <w:szCs w:val="19"/>
                <w:position w:val="2"/>
              </w:rPr>
              <w:t>9</w:t>
            </w:r>
          </w:p>
        </w:tc>
        <w:tc>
          <w:tcPr>
            <w:tcW w:w="839" w:type="dxa"/>
            <w:vAlign w:val="top"/>
          </w:tcPr>
          <w:p>
            <w:pPr>
              <w:pStyle w:val="TableText"/>
              <w:ind w:left="217"/>
              <w:spacing w:before="238" w:line="215" w:lineRule="auto"/>
              <w:rPr>
                <w:sz w:val="19"/>
                <w:szCs w:val="19"/>
              </w:rPr>
            </w:pPr>
            <w:r>
              <w:rPr>
                <w:sz w:val="19"/>
                <w:szCs w:val="19"/>
                <w:spacing w:val="5"/>
              </w:rPr>
              <w:t>淹溺</w:t>
            </w:r>
          </w:p>
        </w:tc>
        <w:tc>
          <w:tcPr>
            <w:tcW w:w="7039" w:type="dxa"/>
            <w:vAlign w:val="top"/>
            <w:tcBorders>
              <w:right w:val="single" w:color="000000" w:sz="6" w:space="0"/>
            </w:tcBorders>
          </w:tcPr>
          <w:p>
            <w:pPr>
              <w:pStyle w:val="TableText"/>
              <w:ind w:left="13" w:right="21" w:hanging="3"/>
              <w:spacing w:before="91" w:line="252" w:lineRule="auto"/>
              <w:rPr>
                <w:sz w:val="19"/>
                <w:szCs w:val="19"/>
              </w:rPr>
            </w:pPr>
            <w:r>
              <w:rPr>
                <w:sz w:val="19"/>
                <w:szCs w:val="19"/>
                <w:spacing w:val="10"/>
              </w:rPr>
              <w:t>人员溺水后可导致呼吸道及肺部进水，造成人体呼吸受阻、窒息</w:t>
            </w:r>
            <w:r>
              <w:rPr>
                <w:sz w:val="19"/>
                <w:szCs w:val="19"/>
                <w:spacing w:val="9"/>
              </w:rPr>
              <w:t>，重者可能会出</w:t>
            </w:r>
            <w:r>
              <w:rPr>
                <w:sz w:val="19"/>
                <w:szCs w:val="19"/>
                <w:spacing w:val="8"/>
              </w:rPr>
              <w:t>现心跳停止、造成人员死亡。</w:t>
            </w:r>
          </w:p>
        </w:tc>
      </w:tr>
      <w:tr>
        <w:trPr>
          <w:trHeight w:val="1135" w:hRule="atLeast"/>
        </w:trPr>
        <w:tc>
          <w:tcPr>
            <w:tcW w:w="631" w:type="dxa"/>
            <w:vAlign w:val="top"/>
            <w:tcBorders>
              <w:left w:val="single" w:color="000000" w:sz="6" w:space="0"/>
              <w:bottom w:val="single" w:color="000000" w:sz="6" w:space="0"/>
            </w:tcBorders>
          </w:tcPr>
          <w:p>
            <w:pPr>
              <w:spacing w:line="417" w:lineRule="auto"/>
              <w:rPr>
                <w:rFonts w:ascii="Arial"/>
                <w:sz w:val="21"/>
              </w:rPr>
            </w:pPr>
            <w:r/>
          </w:p>
          <w:p>
            <w:pPr>
              <w:pStyle w:val="TableText"/>
              <w:ind w:left="229"/>
              <w:spacing w:before="62" w:line="285" w:lineRule="exact"/>
              <w:rPr>
                <w:sz w:val="19"/>
                <w:szCs w:val="19"/>
              </w:rPr>
            </w:pPr>
            <w:r>
              <w:rPr>
                <w:sz w:val="19"/>
                <w:szCs w:val="19"/>
                <w:spacing w:val="-8"/>
                <w:position w:val="2"/>
              </w:rPr>
              <w:t>10</w:t>
            </w:r>
          </w:p>
        </w:tc>
        <w:tc>
          <w:tcPr>
            <w:tcW w:w="839" w:type="dxa"/>
            <w:vAlign w:val="top"/>
            <w:tcBorders>
              <w:bottom w:val="single" w:color="000000" w:sz="6" w:space="0"/>
            </w:tcBorders>
          </w:tcPr>
          <w:p>
            <w:pPr>
              <w:spacing w:line="283" w:lineRule="auto"/>
              <w:rPr>
                <w:rFonts w:ascii="Arial"/>
                <w:sz w:val="21"/>
              </w:rPr>
            </w:pPr>
            <w:r/>
          </w:p>
          <w:p>
            <w:pPr>
              <w:pStyle w:val="TableText"/>
              <w:ind w:left="219" w:right="119" w:hanging="86"/>
              <w:spacing w:before="62" w:line="280" w:lineRule="auto"/>
              <w:rPr>
                <w:sz w:val="19"/>
                <w:szCs w:val="19"/>
              </w:rPr>
            </w:pPr>
            <w:r>
              <w:rPr>
                <w:sz w:val="19"/>
                <w:szCs w:val="19"/>
                <w:spacing w:val="1"/>
              </w:rPr>
              <w:t>中毒和</w:t>
            </w:r>
            <w:r>
              <w:rPr>
                <w:sz w:val="19"/>
                <w:szCs w:val="19"/>
                <w:spacing w:val="4"/>
              </w:rPr>
              <w:t>窒息</w:t>
            </w:r>
          </w:p>
        </w:tc>
        <w:tc>
          <w:tcPr>
            <w:tcW w:w="7039" w:type="dxa"/>
            <w:vAlign w:val="top"/>
            <w:tcBorders>
              <w:bottom w:val="single" w:color="000000" w:sz="6" w:space="0"/>
              <w:right w:val="single" w:color="000000" w:sz="6" w:space="0"/>
            </w:tcBorders>
          </w:tcPr>
          <w:p>
            <w:pPr>
              <w:pStyle w:val="TableText"/>
              <w:ind w:left="28"/>
              <w:spacing w:before="62" w:line="264" w:lineRule="exact"/>
              <w:rPr>
                <w:sz w:val="19"/>
                <w:szCs w:val="19"/>
              </w:rPr>
            </w:pPr>
            <w:r>
              <w:rPr>
                <w:sz w:val="19"/>
                <w:szCs w:val="19"/>
                <w:spacing w:val="7"/>
                <w:position w:val="1"/>
              </w:rPr>
              <w:t>1、液氯、液氨等物质泄漏造成中毒；</w:t>
            </w:r>
          </w:p>
          <w:p>
            <w:pPr>
              <w:pStyle w:val="TableText"/>
              <w:ind w:left="12"/>
              <w:spacing w:before="16" w:line="264" w:lineRule="exact"/>
              <w:rPr>
                <w:sz w:val="19"/>
                <w:szCs w:val="19"/>
              </w:rPr>
            </w:pPr>
            <w:r>
              <w:rPr>
                <w:sz w:val="19"/>
                <w:szCs w:val="19"/>
                <w:spacing w:val="8"/>
                <w:position w:val="1"/>
              </w:rPr>
              <w:t>2、阀门井等受限空间作业造成硫化物中毒；</w:t>
            </w:r>
          </w:p>
          <w:p>
            <w:pPr>
              <w:pStyle w:val="TableText"/>
              <w:ind w:left="15"/>
              <w:spacing w:before="16" w:line="264" w:lineRule="exact"/>
              <w:rPr>
                <w:sz w:val="19"/>
                <w:szCs w:val="19"/>
              </w:rPr>
            </w:pPr>
            <w:r>
              <w:rPr>
                <w:sz w:val="19"/>
                <w:szCs w:val="19"/>
                <w:spacing w:val="8"/>
                <w:position w:val="1"/>
              </w:rPr>
              <w:t>3、锅炉房等场所一氧化碳集聚造成中毒；</w:t>
            </w:r>
          </w:p>
          <w:p>
            <w:pPr>
              <w:pStyle w:val="TableText"/>
              <w:ind w:left="9"/>
              <w:spacing w:before="14" w:line="217" w:lineRule="auto"/>
              <w:rPr>
                <w:sz w:val="19"/>
                <w:szCs w:val="19"/>
              </w:rPr>
            </w:pPr>
            <w:r>
              <w:rPr>
                <w:sz w:val="19"/>
                <w:szCs w:val="19"/>
                <w:spacing w:val="9"/>
              </w:rPr>
              <w:t>4、污水池清淤作业过程中造成硫化物中毒。</w:t>
            </w:r>
          </w:p>
        </w:tc>
      </w:tr>
    </w:tbl>
    <w:p>
      <w:pPr>
        <w:spacing w:line="79" w:lineRule="exact"/>
        <w:rPr>
          <w:rFonts w:ascii="Arial"/>
          <w:sz w:val="6"/>
        </w:rPr>
      </w:pPr>
      <w:r/>
    </w:p>
    <w:p>
      <w:pPr>
        <w:spacing w:line="79" w:lineRule="exact"/>
        <w:sectPr>
          <w:type w:val="continuous"/>
          <w:pgSz w:w="11906" w:h="16839"/>
          <w:pgMar w:top="1772" w:right="1489" w:bottom="1547" w:left="1588" w:header="1428" w:footer="1172" w:gutter="0"/>
          <w:cols w:equalWidth="0" w:num="1">
            <w:col w:w="8829" w:space="0"/>
          </w:cols>
        </w:sectPr>
        <w:rPr>
          <w:rFonts w:ascii="Arial" w:hAnsi="Arial" w:eastAsia="Arial" w:cs="Arial"/>
          <w:sz w:val="6"/>
          <w:szCs w:val="6"/>
        </w:rPr>
      </w:pPr>
    </w:p>
    <w:p>
      <w:pPr>
        <w:ind w:left="425"/>
        <w:spacing w:before="45" w:line="242" w:lineRule="auto"/>
        <w:rPr>
          <w:rFonts w:ascii="KaiTi" w:hAnsi="KaiTi" w:eastAsia="KaiTi" w:cs="KaiTi"/>
          <w:sz w:val="20"/>
          <w:szCs w:val="20"/>
        </w:rPr>
      </w:pPr>
      <w:r>
        <w:rPr>
          <w:rFonts w:ascii="Times New Roman" w:hAnsi="Times New Roman" w:eastAsia="Times New Roman" w:cs="Times New Roman"/>
          <w:sz w:val="20"/>
          <w:szCs w:val="20"/>
          <w:b/>
          <w:bCs/>
          <w:spacing w:val="6"/>
        </w:rPr>
        <w:t>2    </w:t>
      </w:r>
      <w:r>
        <w:rPr>
          <w:rFonts w:ascii="KaiTi" w:hAnsi="KaiTi" w:eastAsia="KaiTi" w:cs="KaiTi"/>
          <w:sz w:val="20"/>
          <w:szCs w:val="20"/>
          <w:b/>
          <w:bCs/>
          <w:spacing w:val="6"/>
        </w:rPr>
        <w:t>应急指挥机构及职责</w:t>
      </w:r>
    </w:p>
    <w:p>
      <w:pPr>
        <w:pStyle w:val="BodyText"/>
        <w:ind w:left="6" w:right="331" w:firstLine="418"/>
        <w:spacing w:before="116" w:line="271" w:lineRule="auto"/>
        <w:rPr/>
      </w:pPr>
      <w:r>
        <w:rPr>
          <w:rFonts w:ascii="Times New Roman" w:hAnsi="Times New Roman" w:eastAsia="Times New Roman" w:cs="Times New Roman"/>
          <w:spacing w:val="7"/>
        </w:rPr>
        <w:t>2.</w:t>
      </w:r>
      <w:r>
        <w:rPr>
          <w:rFonts w:ascii="Times New Roman" w:hAnsi="Times New Roman" w:eastAsia="Times New Roman" w:cs="Times New Roman"/>
          <w:spacing w:val="-23"/>
        </w:rPr>
        <w:t xml:space="preserve"> </w:t>
      </w:r>
      <w:r>
        <w:rPr>
          <w:rFonts w:ascii="Times New Roman" w:hAnsi="Times New Roman" w:eastAsia="Times New Roman" w:cs="Times New Roman"/>
          <w:spacing w:val="7"/>
        </w:rPr>
        <w:t>1  </w:t>
      </w:r>
      <w:r>
        <w:rPr>
          <w:rFonts w:ascii="KaiTi" w:hAnsi="KaiTi" w:eastAsia="KaiTi" w:cs="KaiTi"/>
          <w:spacing w:val="7"/>
        </w:rPr>
        <w:t>应急组织机构。</w:t>
      </w:r>
      <w:r>
        <w:rPr>
          <w:spacing w:val="7"/>
        </w:rPr>
        <w:t>在市政府及市应急管</w:t>
      </w:r>
      <w:r>
        <w:rPr>
          <w:spacing w:val="7"/>
        </w:rPr>
        <w:t>理指挥部统一领导下，市应急管理指挥部负责</w:t>
      </w:r>
    </w:p>
    <w:p>
      <w:pPr>
        <w:spacing w:line="14" w:lineRule="auto"/>
        <w:rPr>
          <w:rFonts w:ascii="Arial"/>
          <w:sz w:val="2"/>
        </w:rPr>
      </w:pPr>
      <w:r>
        <w:rPr>
          <w:rFonts w:ascii="Arial" w:hAnsi="Arial" w:eastAsia="Arial" w:cs="Arial"/>
          <w:sz w:val="2"/>
          <w:szCs w:val="2"/>
        </w:rPr>
        <w:br w:type="column"/>
      </w:r>
    </w:p>
    <w:p>
      <w:pPr>
        <w:pStyle w:val="BodyText"/>
        <w:ind w:right="101"/>
        <w:spacing w:before="47" w:line="296" w:lineRule="auto"/>
        <w:jc w:val="both"/>
        <w:rPr/>
      </w:pPr>
      <w:r>
        <w:rPr>
          <w:spacing w:val="7"/>
        </w:rPr>
        <w:t>统一领导、组织、协调生产安全事故工作，统</w:t>
      </w:r>
      <w:r>
        <w:rPr>
          <w:spacing w:val="7"/>
        </w:rPr>
        <w:t>一指挥各类生产安全事故及其次生、衍生灾害</w:t>
      </w:r>
      <w:r>
        <w:rPr>
          <w:spacing w:val="8"/>
        </w:rPr>
        <w:t>的应急处置工作。</w:t>
      </w:r>
    </w:p>
    <w:p>
      <w:pPr>
        <w:spacing w:line="296" w:lineRule="auto"/>
        <w:sectPr>
          <w:type w:val="continuous"/>
          <w:pgSz w:w="11906" w:h="16839"/>
          <w:pgMar w:top="1772" w:right="1489" w:bottom="1547" w:left="1588" w:header="1428" w:footer="1172" w:gutter="0"/>
          <w:cols w:equalWidth="0" w:num="2">
            <w:col w:w="4483" w:space="100"/>
            <w:col w:w="4247" w:space="0"/>
          </w:cols>
        </w:sectPr>
        <w:rPr/>
      </w:pPr>
    </w:p>
    <w:p>
      <w:pPr>
        <w:spacing w:before="51"/>
        <w:rPr/>
      </w:pPr>
      <w:r>
        <w:drawing>
          <wp:anchor distT="0" distB="0" distL="0" distR="0" simplePos="0" relativeHeight="25220608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354" name="IM 1354"/>
            <wp:cNvGraphicFramePr/>
            <a:graphic>
              <a:graphicData uri="http://schemas.openxmlformats.org/drawingml/2006/picture">
                <pic:pic>
                  <pic:nvPicPr>
                    <pic:cNvPr id="1354" name="IM 1354"/>
                    <pic:cNvPicPr/>
                  </pic:nvPicPr>
                  <pic:blipFill>
                    <a:blip r:embed="rId679"/>
                    <a:stretch>
                      <a:fillRect/>
                    </a:stretch>
                  </pic:blipFill>
                  <pic:spPr>
                    <a:xfrm rot="0">
                      <a:off x="0" y="0"/>
                      <a:ext cx="5579745" cy="7620"/>
                    </a:xfrm>
                    <a:prstGeom prst="rect">
                      <a:avLst/>
                    </a:prstGeom>
                  </pic:spPr>
                </pic:pic>
              </a:graphicData>
            </a:graphic>
          </wp:anchor>
        </w:drawing>
      </w:r>
      <w:r/>
    </w:p>
    <w:p>
      <w:pPr>
        <w:sectPr>
          <w:headerReference w:type="default" r:id="rId677"/>
          <w:footerReference w:type="default" r:id="rId678"/>
          <w:pgSz w:w="11906" w:h="16839"/>
          <w:pgMar w:top="1766" w:right="1478" w:bottom="1563" w:left="1576" w:header="1428" w:footer="1172" w:gutter="0"/>
          <w:cols w:equalWidth="0" w:num="1">
            <w:col w:w="8852" w:space="0"/>
          </w:cols>
        </w:sectPr>
        <w:rPr/>
      </w:pPr>
    </w:p>
    <w:p>
      <w:pPr>
        <w:pStyle w:val="BodyText"/>
        <w:ind w:left="18" w:right="330" w:firstLine="420"/>
        <w:spacing w:before="48" w:line="334" w:lineRule="auto"/>
        <w:rPr/>
      </w:pPr>
      <w:r>
        <w:rPr>
          <w:spacing w:val="6"/>
        </w:rPr>
        <w:t>指 挥 长：市政府分管应急管理工作的副</w:t>
      </w:r>
      <w:r>
        <w:rPr>
          <w:spacing w:val="6"/>
        </w:rPr>
        <w:t>市长</w:t>
      </w:r>
    </w:p>
    <w:p>
      <w:pPr>
        <w:pStyle w:val="BodyText"/>
        <w:ind w:left="21" w:right="330" w:firstLine="420"/>
        <w:spacing w:before="36" w:line="332" w:lineRule="auto"/>
        <w:rPr/>
      </w:pPr>
      <w:r>
        <w:rPr>
          <w:spacing w:val="4"/>
        </w:rPr>
        <w:t>副指挥长：事故发生地县（</w:t>
      </w:r>
      <w:r>
        <w:rPr>
          <w:spacing w:val="-53"/>
        </w:rPr>
        <w:t xml:space="preserve"> </w:t>
      </w:r>
      <w:r>
        <w:rPr>
          <w:spacing w:val="4"/>
        </w:rPr>
        <w:t>区）政府主要</w:t>
      </w:r>
      <w:r>
        <w:rPr>
          <w:spacing w:val="9"/>
        </w:rPr>
        <w:t>负责人、市应急管理局局长</w:t>
      </w:r>
    </w:p>
    <w:p>
      <w:pPr>
        <w:pStyle w:val="BodyText"/>
        <w:ind w:left="16" w:right="249" w:firstLine="420"/>
        <w:spacing w:before="38" w:line="351" w:lineRule="auto"/>
        <w:rPr/>
      </w:pPr>
      <w:r>
        <w:rPr>
          <w:spacing w:val="6"/>
        </w:rPr>
        <w:t>成员单位：发展和改革委员会、工业和信</w:t>
      </w:r>
      <w:r>
        <w:rPr>
          <w:spacing w:val="1"/>
        </w:rPr>
        <w:t>息化局、教育和体育局、科学技术局、公安局、</w:t>
      </w:r>
      <w:r>
        <w:rPr>
          <w:spacing w:val="7"/>
        </w:rPr>
        <w:t>民政局、财政局、人力资源社会保障局、自然</w:t>
      </w:r>
      <w:r>
        <w:rPr>
          <w:spacing w:val="7"/>
        </w:rPr>
        <w:t>资源局、生态环境局、住房和城乡建设局、交</w:t>
      </w:r>
      <w:r>
        <w:rPr>
          <w:spacing w:val="7"/>
        </w:rPr>
        <w:t>通运输局、水务局、农业农村局、文化旅游广</w:t>
      </w:r>
      <w:r>
        <w:rPr>
          <w:spacing w:val="7"/>
        </w:rPr>
        <w:t>播电视局、卫生健康委员会、市场监管局、应</w:t>
      </w:r>
      <w:r>
        <w:rPr>
          <w:spacing w:val="7"/>
        </w:rPr>
        <w:t>急管理局、消防救援支队、气象局、事故发生</w:t>
      </w:r>
      <w:r>
        <w:rPr>
          <w:spacing w:val="4"/>
        </w:rPr>
        <w:t>地县（</w:t>
      </w:r>
      <w:r>
        <w:rPr>
          <w:spacing w:val="-35"/>
        </w:rPr>
        <w:t xml:space="preserve"> </w:t>
      </w:r>
      <w:r>
        <w:rPr>
          <w:spacing w:val="4"/>
        </w:rPr>
        <w:t>区）政府等有关部门，市应急管理指挥</w:t>
      </w:r>
      <w:r>
        <w:rPr>
          <w:spacing w:val="18"/>
        </w:rPr>
        <w:t>部根据事故救援工作需要确定的非政府职能</w:t>
      </w:r>
      <w:r>
        <w:rPr>
          <w:spacing w:val="6"/>
        </w:rPr>
        <w:t>部门（单位）。</w:t>
      </w:r>
    </w:p>
    <w:p>
      <w:pPr>
        <w:pStyle w:val="BodyText"/>
        <w:ind w:left="15" w:right="263" w:firstLine="429"/>
        <w:spacing w:before="7" w:line="350" w:lineRule="auto"/>
        <w:jc w:val="both"/>
        <w:rPr/>
      </w:pPr>
      <w:r>
        <w:rPr>
          <w:spacing w:val="7"/>
        </w:rPr>
        <w:t>主要职责：在市委市政府的领导下，安排</w:t>
      </w:r>
      <w:r>
        <w:rPr>
          <w:spacing w:val="7"/>
        </w:rPr>
        <w:t>部署市生产安全事故的预防和处置工作；在预</w:t>
      </w:r>
      <w:r>
        <w:rPr>
          <w:spacing w:val="7"/>
        </w:rPr>
        <w:t>测将要发生和已经发生生产安全事故时，迅速</w:t>
      </w:r>
      <w:r>
        <w:rPr/>
        <w:t>启动相应应急预案，组织、指挥应急处置工作；</w:t>
      </w:r>
      <w:r>
        <w:rPr>
          <w:spacing w:val="7"/>
        </w:rPr>
        <w:t>在处置生产安全事故过程中，积极协调与其他</w:t>
      </w:r>
      <w:r>
        <w:rPr>
          <w:spacing w:val="7"/>
        </w:rPr>
        <w:t>部门的关系，当生产安全事故超过处置权限和</w:t>
      </w:r>
      <w:r>
        <w:rPr>
          <w:spacing w:val="7"/>
        </w:rPr>
        <w:t>能力时，及时向自治区党委、政府报告，由自</w:t>
      </w:r>
      <w:r>
        <w:rPr>
          <w:spacing w:val="7"/>
        </w:rPr>
        <w:t>治区党委、政府统一领导和指挥市专项应急指</w:t>
      </w:r>
      <w:r>
        <w:rPr>
          <w:spacing w:val="7"/>
        </w:rPr>
        <w:t>挥部和有关县（区）、部门（单位）开展应急</w:t>
      </w:r>
      <w:r>
        <w:rPr>
          <w:spacing w:val="7"/>
        </w:rPr>
        <w:t>处置工作。</w:t>
      </w:r>
    </w:p>
    <w:p>
      <w:pPr>
        <w:pStyle w:val="BodyText"/>
        <w:ind w:left="19" w:right="330" w:firstLine="417"/>
        <w:spacing w:before="2" w:line="350" w:lineRule="auto"/>
        <w:jc w:val="both"/>
        <w:rPr/>
      </w:pPr>
      <w:r>
        <w:rPr>
          <w:rFonts w:ascii="Times New Roman" w:hAnsi="Times New Roman" w:eastAsia="Times New Roman" w:cs="Times New Roman"/>
          <w:spacing w:val="8"/>
        </w:rPr>
        <w:t>2.2  </w:t>
      </w:r>
      <w:r>
        <w:rPr>
          <w:rFonts w:ascii="KaiTi" w:hAnsi="KaiTi" w:eastAsia="KaiTi" w:cs="KaiTi"/>
          <w:spacing w:val="8"/>
        </w:rPr>
        <w:t>应急救援办公室。</w:t>
      </w:r>
      <w:r>
        <w:rPr>
          <w:spacing w:val="8"/>
        </w:rPr>
        <w:t>市应急管理指挥部</w:t>
      </w:r>
      <w:r>
        <w:rPr>
          <w:spacing w:val="7"/>
        </w:rPr>
        <w:t>办公室常设在市应急管理局，市应急管理局局</w:t>
      </w:r>
      <w:r>
        <w:rPr>
          <w:spacing w:val="36"/>
        </w:rPr>
        <w:t>长兼任办公室主任</w:t>
      </w:r>
      <w:r>
        <w:rPr>
          <w:spacing w:val="-12"/>
        </w:rPr>
        <w:t xml:space="preserve"> </w:t>
      </w:r>
      <w:r>
        <w:rPr>
          <w:spacing w:val="36"/>
        </w:rPr>
        <w:t>，</w:t>
      </w:r>
      <w:r>
        <w:rPr>
          <w:spacing w:val="-58"/>
        </w:rPr>
        <w:t xml:space="preserve"> </w:t>
      </w:r>
      <w:r>
        <w:rPr>
          <w:spacing w:val="36"/>
        </w:rPr>
        <w:t>办公室值班电话为</w:t>
      </w:r>
      <w:r>
        <w:rPr>
          <w:rFonts w:ascii="Times New Roman" w:hAnsi="Times New Roman" w:eastAsia="Times New Roman" w:cs="Times New Roman"/>
          <w:spacing w:val="4"/>
        </w:rPr>
        <w:t>0954-2088154</w:t>
      </w:r>
      <w:r>
        <w:rPr>
          <w:spacing w:val="4"/>
        </w:rPr>
        <w:t>。</w:t>
      </w:r>
    </w:p>
    <w:p>
      <w:pPr>
        <w:pStyle w:val="BodyText"/>
        <w:ind w:left="14" w:right="330" w:firstLine="430"/>
        <w:spacing w:before="2" w:line="327" w:lineRule="auto"/>
        <w:rPr/>
      </w:pPr>
      <w:r>
        <w:rPr>
          <w:spacing w:val="6"/>
        </w:rPr>
        <w:t>主要职责：履行应急值守、信息汇总和综</w:t>
      </w:r>
      <w:r>
        <w:rPr>
          <w:spacing w:val="8"/>
        </w:rPr>
        <w:t>合协调；负责接收和办理向市委市政府报送</w:t>
      </w:r>
      <w:r>
        <w:rPr>
          <w:spacing w:val="17"/>
        </w:rPr>
        <w:t>的紧急或重要事项；承办市应急管理的专题</w:t>
      </w:r>
      <w:r>
        <w:rPr>
          <w:spacing w:val="8"/>
        </w:rPr>
        <w:t>会议，督促落实市委市政府有关决定事项和</w:t>
      </w:r>
      <w:r>
        <w:rPr>
          <w:spacing w:val="7"/>
        </w:rPr>
        <w:t>领导的批示、指示精神；指导全市生产安全事</w:t>
      </w:r>
      <w:r>
        <w:rPr>
          <w:spacing w:val="7"/>
        </w:rPr>
        <w:t>故应急信息平台建设；组织编制、修订市生产</w:t>
      </w:r>
      <w:r>
        <w:rPr>
          <w:spacing w:val="9"/>
        </w:rPr>
        <w:t>安全</w:t>
      </w:r>
    </w:p>
    <w:p>
      <w:pPr>
        <w:spacing w:line="14" w:lineRule="auto"/>
        <w:rPr>
          <w:rFonts w:ascii="Arial"/>
          <w:sz w:val="2"/>
        </w:rPr>
      </w:pPr>
      <w:r>
        <w:rPr>
          <w:rFonts w:ascii="Arial" w:hAnsi="Arial" w:eastAsia="Arial" w:cs="Arial"/>
          <w:sz w:val="2"/>
          <w:szCs w:val="2"/>
        </w:rPr>
        <w:br w:type="column"/>
      </w:r>
    </w:p>
    <w:p>
      <w:pPr>
        <w:pStyle w:val="BodyText"/>
        <w:ind w:right="112" w:firstLine="1"/>
        <w:spacing w:before="47" w:line="351" w:lineRule="auto"/>
        <w:jc w:val="both"/>
        <w:rPr/>
      </w:pPr>
      <w:r>
        <w:rPr>
          <w:spacing w:val="7"/>
        </w:rPr>
        <w:t>事故应急预案，指导应急预案体系建设；协调</w:t>
      </w:r>
      <w:r>
        <w:rPr>
          <w:spacing w:val="7"/>
        </w:rPr>
        <w:t>特别重大、重大、较大生产安全事故的预防预</w:t>
      </w:r>
      <w:r>
        <w:rPr>
          <w:spacing w:val="7"/>
        </w:rPr>
        <w:t>警、应急演练、应急处置、调查评估、信息发</w:t>
      </w:r>
      <w:r>
        <w:rPr>
          <w:spacing w:val="8"/>
        </w:rPr>
        <w:t>布、应急保障和宣传培训等工作。</w:t>
      </w:r>
    </w:p>
    <w:p>
      <w:pPr>
        <w:pStyle w:val="BodyText"/>
        <w:ind w:left="1" w:right="112" w:firstLine="419"/>
        <w:spacing w:before="4" w:line="349" w:lineRule="auto"/>
        <w:jc w:val="both"/>
        <w:rPr/>
      </w:pPr>
      <w:r>
        <w:rPr>
          <w:rFonts w:ascii="Times New Roman" w:hAnsi="Times New Roman" w:eastAsia="Times New Roman" w:cs="Times New Roman"/>
          <w:spacing w:val="8"/>
        </w:rPr>
        <w:t>2.3  </w:t>
      </w:r>
      <w:r>
        <w:rPr>
          <w:rFonts w:ascii="KaiTi" w:hAnsi="KaiTi" w:eastAsia="KaiTi" w:cs="KaiTi"/>
          <w:spacing w:val="8"/>
        </w:rPr>
        <w:t>应急处置工作组。</w:t>
      </w:r>
      <w:r>
        <w:rPr>
          <w:spacing w:val="8"/>
        </w:rPr>
        <w:t>根据不同生产安全</w:t>
      </w:r>
      <w:r>
        <w:rPr>
          <w:spacing w:val="7"/>
        </w:rPr>
        <w:t>事故处置环节的要求，市应急管理指挥部办公</w:t>
      </w:r>
      <w:r>
        <w:rPr>
          <w:spacing w:val="10"/>
        </w:rPr>
        <w:t>室下设</w:t>
      </w:r>
      <w:r>
        <w:rPr>
          <w:spacing w:val="-17"/>
        </w:rPr>
        <w:t xml:space="preserve"> </w:t>
      </w:r>
      <w:r>
        <w:rPr>
          <w:rFonts w:ascii="Times New Roman" w:hAnsi="Times New Roman" w:eastAsia="Times New Roman" w:cs="Times New Roman"/>
          <w:spacing w:val="10"/>
        </w:rPr>
        <w:t>10 </w:t>
      </w:r>
      <w:r>
        <w:rPr>
          <w:spacing w:val="10"/>
        </w:rPr>
        <w:t>个工作组，具体负责事故现场处置</w:t>
      </w:r>
      <w:r>
        <w:rPr>
          <w:spacing w:val="7"/>
        </w:rPr>
        <w:t>和相关工作。</w:t>
      </w:r>
    </w:p>
    <w:p>
      <w:pPr>
        <w:pStyle w:val="BodyText"/>
        <w:ind w:left="421"/>
        <w:spacing w:before="7" w:line="219" w:lineRule="auto"/>
        <w:rPr/>
      </w:pPr>
      <w:r>
        <w:rPr>
          <w:rFonts w:ascii="Times New Roman" w:hAnsi="Times New Roman" w:eastAsia="Times New Roman" w:cs="Times New Roman"/>
          <w:spacing w:val="5"/>
        </w:rPr>
        <w:t>2.3.1 </w:t>
      </w:r>
      <w:r>
        <w:rPr>
          <w:spacing w:val="5"/>
        </w:rPr>
        <w:t>抢险救援组。</w:t>
      </w:r>
    </w:p>
    <w:p>
      <w:pPr>
        <w:pStyle w:val="BodyText"/>
        <w:ind w:left="420"/>
        <w:spacing w:before="136" w:line="278" w:lineRule="exact"/>
        <w:rPr/>
      </w:pPr>
      <w:r>
        <w:rPr>
          <w:spacing w:val="9"/>
          <w:position w:val="1"/>
        </w:rPr>
        <w:t>组长单位：市消防救援支队</w:t>
      </w:r>
    </w:p>
    <w:p>
      <w:pPr>
        <w:pStyle w:val="BodyText"/>
        <w:ind w:left="1" w:right="48" w:firstLine="419"/>
        <w:spacing w:before="102" w:line="351" w:lineRule="auto"/>
        <w:jc w:val="both"/>
        <w:rPr/>
      </w:pPr>
      <w:r>
        <w:rPr>
          <w:spacing w:val="6"/>
        </w:rPr>
        <w:t>成员单位：市消防救援支队、市应急管理</w:t>
      </w:r>
      <w:r>
        <w:rPr/>
        <w:t>局、生态环境局、自然资源局、水务局等部门，</w:t>
      </w:r>
      <w:r>
        <w:rPr>
          <w:spacing w:val="18"/>
        </w:rPr>
        <w:t>市应急管理指挥部根据事故救援需要确定的</w:t>
      </w:r>
      <w:r>
        <w:rPr>
          <w:spacing w:val="9"/>
        </w:rPr>
        <w:t>非政府职能部门（单位）以及事故企业。</w:t>
      </w:r>
    </w:p>
    <w:p>
      <w:pPr>
        <w:pStyle w:val="BodyText"/>
        <w:ind w:left="4" w:right="2" w:firstLine="424"/>
        <w:spacing w:before="2" w:line="337" w:lineRule="auto"/>
        <w:jc w:val="both"/>
        <w:rPr/>
      </w:pPr>
      <w:r>
        <w:rPr>
          <w:spacing w:val="6"/>
        </w:rPr>
        <w:t>主要职责：负责组织、指挥生产安全事故</w:t>
      </w:r>
      <w:r>
        <w:rPr>
          <w:spacing w:val="2"/>
        </w:rPr>
        <w:t>的抢险救援工作，组织调动消防、企业专（兼）</w:t>
      </w:r>
      <w:r>
        <w:rPr>
          <w:spacing w:val="8"/>
        </w:rPr>
        <w:t>职应急救援力量开展救援。</w:t>
      </w:r>
    </w:p>
    <w:p>
      <w:pPr>
        <w:pStyle w:val="BodyText"/>
        <w:ind w:left="421"/>
        <w:spacing w:before="48" w:line="221" w:lineRule="auto"/>
        <w:rPr/>
      </w:pPr>
      <w:r>
        <w:rPr>
          <w:rFonts w:ascii="Times New Roman" w:hAnsi="Times New Roman" w:eastAsia="Times New Roman" w:cs="Times New Roman"/>
          <w:spacing w:val="5"/>
        </w:rPr>
        <w:t>2.3.2 </w:t>
      </w:r>
      <w:r>
        <w:rPr>
          <w:spacing w:val="5"/>
        </w:rPr>
        <w:t>交通治安组。</w:t>
      </w:r>
    </w:p>
    <w:p>
      <w:pPr>
        <w:pStyle w:val="BodyText"/>
        <w:ind w:left="420"/>
        <w:spacing w:before="134" w:line="278" w:lineRule="exact"/>
        <w:rPr/>
      </w:pPr>
      <w:r>
        <w:rPr>
          <w:spacing w:val="9"/>
          <w:position w:val="1"/>
        </w:rPr>
        <w:t>组长单位：市公安局</w:t>
      </w:r>
    </w:p>
    <w:p>
      <w:pPr>
        <w:pStyle w:val="BodyText"/>
        <w:ind w:firstLine="420"/>
        <w:spacing w:before="104" w:line="337" w:lineRule="auto"/>
        <w:jc w:val="both"/>
        <w:rPr/>
      </w:pPr>
      <w:r>
        <w:rPr>
          <w:spacing w:val="-9"/>
        </w:rPr>
        <w:t>成员单位：市县（区）公安局、交警支（大）</w:t>
      </w:r>
      <w:r>
        <w:rPr>
          <w:spacing w:val="4"/>
        </w:rPr>
        <w:t>队、交通运输局和事故发生地县（</w:t>
      </w:r>
      <w:r>
        <w:rPr>
          <w:spacing w:val="-35"/>
        </w:rPr>
        <w:t xml:space="preserve"> </w:t>
      </w:r>
      <w:r>
        <w:rPr>
          <w:spacing w:val="4"/>
        </w:rPr>
        <w:t>区）政府及</w:t>
      </w:r>
      <w:r>
        <w:rPr>
          <w:spacing w:val="7"/>
        </w:rPr>
        <w:t>其相关部门。</w:t>
      </w:r>
    </w:p>
    <w:p>
      <w:pPr>
        <w:pStyle w:val="BodyText"/>
        <w:ind w:right="112" w:firstLine="428"/>
        <w:spacing w:before="46" w:line="350" w:lineRule="auto"/>
        <w:jc w:val="both"/>
        <w:rPr/>
      </w:pPr>
      <w:r>
        <w:rPr>
          <w:spacing w:val="6"/>
        </w:rPr>
        <w:t>主要职责：负责保护事故现场，设立警界</w:t>
      </w:r>
      <w:r>
        <w:rPr>
          <w:spacing w:val="7"/>
        </w:rPr>
        <w:t>区域，维护现场秩序，防止事态扩大；负责危</w:t>
      </w:r>
      <w:r>
        <w:rPr>
          <w:spacing w:val="7"/>
        </w:rPr>
        <w:t>险区域内人员疏散和临时安置工作；指挥、调</w:t>
      </w:r>
      <w:r>
        <w:rPr>
          <w:spacing w:val="7"/>
        </w:rPr>
        <w:t>度撤出危害区的人员；及时疏散交通阻塞，使</w:t>
      </w:r>
      <w:r>
        <w:rPr>
          <w:spacing w:val="9"/>
        </w:rPr>
        <w:t>车辆顺利地通过通道；维护社会治安。</w:t>
      </w:r>
    </w:p>
    <w:p>
      <w:pPr>
        <w:pStyle w:val="BodyText"/>
        <w:ind w:left="421"/>
        <w:spacing w:before="4" w:line="223" w:lineRule="auto"/>
        <w:rPr/>
      </w:pPr>
      <w:r>
        <w:rPr>
          <w:rFonts w:ascii="Times New Roman" w:hAnsi="Times New Roman" w:eastAsia="Times New Roman" w:cs="Times New Roman"/>
          <w:spacing w:val="5"/>
        </w:rPr>
        <w:t>2.3.3 </w:t>
      </w:r>
      <w:r>
        <w:rPr>
          <w:spacing w:val="5"/>
        </w:rPr>
        <w:t>通信保障组。</w:t>
      </w:r>
    </w:p>
    <w:p>
      <w:pPr>
        <w:pStyle w:val="BodyText"/>
        <w:ind w:left="420"/>
        <w:spacing w:before="137" w:line="278" w:lineRule="exact"/>
        <w:rPr/>
      </w:pPr>
      <w:r>
        <w:rPr>
          <w:spacing w:val="9"/>
          <w:position w:val="1"/>
        </w:rPr>
        <w:t>组长单位：市工业和信息化局</w:t>
      </w:r>
    </w:p>
    <w:p>
      <w:pPr>
        <w:pStyle w:val="BodyText"/>
        <w:ind w:right="112" w:firstLine="420"/>
        <w:spacing w:before="101" w:line="333" w:lineRule="auto"/>
        <w:rPr/>
      </w:pPr>
      <w:r>
        <w:rPr>
          <w:spacing w:val="4"/>
        </w:rPr>
        <w:t>成员单位：市县（</w:t>
      </w:r>
      <w:r>
        <w:rPr>
          <w:spacing w:val="-48"/>
        </w:rPr>
        <w:t xml:space="preserve"> </w:t>
      </w:r>
      <w:r>
        <w:rPr>
          <w:spacing w:val="4"/>
        </w:rPr>
        <w:t>区）工业和信息化局及</w:t>
      </w:r>
      <w:r>
        <w:rPr>
          <w:spacing w:val="8"/>
        </w:rPr>
        <w:t>其相关通信部门。</w:t>
      </w:r>
    </w:p>
    <w:p>
      <w:pPr>
        <w:pStyle w:val="BodyText"/>
        <w:ind w:left="428"/>
        <w:spacing w:before="40" w:line="277" w:lineRule="exact"/>
        <w:rPr/>
      </w:pPr>
      <w:r>
        <w:rPr>
          <w:spacing w:val="8"/>
          <w:position w:val="1"/>
        </w:rPr>
        <w:t>主要职责：负责事故应急通信保障。</w:t>
      </w:r>
    </w:p>
    <w:p>
      <w:pPr>
        <w:pStyle w:val="BodyText"/>
        <w:ind w:left="421"/>
        <w:spacing w:before="107" w:line="220" w:lineRule="auto"/>
        <w:rPr/>
      </w:pPr>
      <w:r>
        <w:rPr>
          <w:rFonts w:ascii="Times New Roman" w:hAnsi="Times New Roman" w:eastAsia="Times New Roman" w:cs="Times New Roman"/>
          <w:spacing w:val="4"/>
        </w:rPr>
        <w:t>2.3.4</w:t>
      </w:r>
      <w:r>
        <w:rPr>
          <w:rFonts w:ascii="Times New Roman" w:hAnsi="Times New Roman" w:eastAsia="Times New Roman" w:cs="Times New Roman"/>
          <w:spacing w:val="19"/>
          <w:w w:val="101"/>
        </w:rPr>
        <w:t xml:space="preserve"> </w:t>
      </w:r>
      <w:r>
        <w:rPr>
          <w:spacing w:val="4"/>
        </w:rPr>
        <w:t>医疗救治组。</w:t>
      </w:r>
    </w:p>
    <w:p>
      <w:pPr>
        <w:pStyle w:val="BodyText"/>
        <w:ind w:left="420"/>
        <w:spacing w:before="136" w:line="277" w:lineRule="exact"/>
        <w:rPr/>
      </w:pPr>
      <w:r>
        <w:rPr>
          <w:spacing w:val="9"/>
          <w:position w:val="1"/>
        </w:rPr>
        <w:t>组长单位：市卫生健康委员会</w:t>
      </w:r>
    </w:p>
    <w:p>
      <w:pPr>
        <w:spacing w:line="277" w:lineRule="exact"/>
        <w:sectPr>
          <w:type w:val="continuous"/>
          <w:pgSz w:w="11906" w:h="16839"/>
          <w:pgMar w:top="1766" w:right="1478" w:bottom="1563" w:left="1576" w:header="1428" w:footer="1172" w:gutter="0"/>
          <w:cols w:equalWidth="0" w:num="2">
            <w:col w:w="4493" w:space="100"/>
            <w:col w:w="4259" w:space="0"/>
          </w:cols>
        </w:sectPr>
        <w:rPr/>
      </w:pPr>
    </w:p>
    <w:p>
      <w:pPr>
        <w:spacing w:before="46"/>
        <w:rPr/>
      </w:pPr>
      <w:r>
        <w:drawing>
          <wp:anchor distT="0" distB="0" distL="0" distR="0" simplePos="0" relativeHeight="252211200"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358" name="IM 1358"/>
            <wp:cNvGraphicFramePr/>
            <a:graphic>
              <a:graphicData uri="http://schemas.openxmlformats.org/drawingml/2006/picture">
                <pic:pic>
                  <pic:nvPicPr>
                    <pic:cNvPr id="1358" name="IM 1358"/>
                    <pic:cNvPicPr/>
                  </pic:nvPicPr>
                  <pic:blipFill>
                    <a:blip r:embed="rId681"/>
                    <a:stretch>
                      <a:fillRect/>
                    </a:stretch>
                  </pic:blipFill>
                  <pic:spPr>
                    <a:xfrm rot="0">
                      <a:off x="0" y="0"/>
                      <a:ext cx="5579745" cy="7620"/>
                    </a:xfrm>
                    <a:prstGeom prst="rect">
                      <a:avLst/>
                    </a:prstGeom>
                  </pic:spPr>
                </pic:pic>
              </a:graphicData>
            </a:graphic>
          </wp:anchor>
        </w:drawing>
      </w:r>
      <w:r/>
    </w:p>
    <w:p>
      <w:pPr>
        <w:sectPr>
          <w:headerReference w:type="default" r:id="rId644"/>
          <w:footerReference w:type="default" r:id="rId680"/>
          <w:pgSz w:w="11906" w:h="16839"/>
          <w:pgMar w:top="1772" w:right="1489" w:bottom="1547" w:left="1588" w:header="1428" w:footer="1172" w:gutter="0"/>
          <w:cols w:equalWidth="0" w:num="1">
            <w:col w:w="8829" w:space="0"/>
          </w:cols>
        </w:sectPr>
        <w:rPr/>
      </w:pPr>
    </w:p>
    <w:p>
      <w:pPr>
        <w:pStyle w:val="BodyText"/>
        <w:ind w:left="6" w:right="329" w:firstLine="418"/>
        <w:spacing w:before="47" w:line="351" w:lineRule="auto"/>
        <w:rPr/>
      </w:pPr>
      <w:r>
        <w:rPr>
          <w:spacing w:val="6"/>
        </w:rPr>
        <w:t>成员单位：市人民医院、中医医院、事故</w:t>
      </w:r>
      <w:r>
        <w:rPr>
          <w:spacing w:val="5"/>
        </w:rPr>
        <w:t>发生地县（</w:t>
      </w:r>
      <w:r>
        <w:rPr>
          <w:spacing w:val="-48"/>
        </w:rPr>
        <w:t xml:space="preserve"> </w:t>
      </w:r>
      <w:r>
        <w:rPr>
          <w:spacing w:val="5"/>
        </w:rPr>
        <w:t>区）医疗卫生机构。</w:t>
      </w:r>
    </w:p>
    <w:p>
      <w:pPr>
        <w:pStyle w:val="BodyText"/>
        <w:ind w:left="4" w:right="329" w:firstLine="428"/>
        <w:spacing w:before="3" w:line="350" w:lineRule="auto"/>
        <w:jc w:val="both"/>
        <w:rPr/>
      </w:pPr>
      <w:r>
        <w:rPr>
          <w:spacing w:val="6"/>
        </w:rPr>
        <w:t>主要职责：负责组织、调配、指挥医疗救</w:t>
      </w:r>
      <w:r>
        <w:rPr>
          <w:spacing w:val="7"/>
        </w:rPr>
        <w:t>护力量、资源，开展医疗救援工作。负责组织</w:t>
      </w:r>
      <w:r>
        <w:rPr>
          <w:spacing w:val="7"/>
        </w:rPr>
        <w:t>救治受伤人员，设立现场医疗急救站，对受伤</w:t>
      </w:r>
      <w:r>
        <w:rPr>
          <w:spacing w:val="7"/>
        </w:rPr>
        <w:t>和中毒人员进行现场分类和急救处理，并及时</w:t>
      </w:r>
      <w:r>
        <w:rPr>
          <w:spacing w:val="8"/>
        </w:rPr>
        <w:t>合理转送有关医院进行救治。</w:t>
      </w:r>
    </w:p>
    <w:p>
      <w:pPr>
        <w:pStyle w:val="BodyText"/>
        <w:ind w:left="425"/>
        <w:spacing w:before="6" w:line="223" w:lineRule="auto"/>
        <w:rPr/>
      </w:pPr>
      <w:r>
        <w:rPr>
          <w:rFonts w:ascii="Times New Roman" w:hAnsi="Times New Roman" w:eastAsia="Times New Roman" w:cs="Times New Roman"/>
          <w:spacing w:val="5"/>
        </w:rPr>
        <w:t>2.3.5 </w:t>
      </w:r>
      <w:r>
        <w:rPr>
          <w:spacing w:val="5"/>
        </w:rPr>
        <w:t>应急专家组。</w:t>
      </w:r>
    </w:p>
    <w:p>
      <w:pPr>
        <w:pStyle w:val="BodyText"/>
        <w:ind w:left="424"/>
        <w:spacing w:before="133" w:line="278" w:lineRule="exact"/>
        <w:rPr/>
      </w:pPr>
      <w:r>
        <w:rPr>
          <w:spacing w:val="9"/>
          <w:position w:val="1"/>
        </w:rPr>
        <w:t>组长单位：市应急管理局</w:t>
      </w:r>
    </w:p>
    <w:p>
      <w:pPr>
        <w:pStyle w:val="BodyText"/>
        <w:ind w:left="424"/>
        <w:spacing w:before="101" w:line="278" w:lineRule="exact"/>
        <w:rPr/>
      </w:pPr>
      <w:r>
        <w:rPr>
          <w:spacing w:val="9"/>
          <w:position w:val="1"/>
        </w:rPr>
        <w:t>成员单位：市应急专家组</w:t>
      </w:r>
    </w:p>
    <w:p>
      <w:pPr>
        <w:pStyle w:val="BodyText"/>
        <w:ind w:left="5" w:right="329" w:firstLine="427"/>
        <w:spacing w:before="101" w:line="351" w:lineRule="auto"/>
        <w:jc w:val="both"/>
        <w:rPr/>
      </w:pPr>
      <w:r>
        <w:rPr>
          <w:spacing w:val="6"/>
        </w:rPr>
        <w:t>主要职责：市应急管理局负责组建生产安</w:t>
      </w:r>
      <w:r>
        <w:rPr>
          <w:spacing w:val="7"/>
        </w:rPr>
        <w:t>全事故应急救援专家队伍，建立健全专家决策</w:t>
      </w:r>
      <w:r>
        <w:rPr>
          <w:spacing w:val="7"/>
        </w:rPr>
        <w:t>咨询制度，为专家组开展工作提供必要的保障</w:t>
      </w:r>
      <w:r>
        <w:rPr>
          <w:spacing w:val="7"/>
        </w:rPr>
        <w:t>和服务。专家队伍在市应急指挥部领导下负责</w:t>
      </w:r>
      <w:r>
        <w:rPr>
          <w:spacing w:val="-5"/>
        </w:rPr>
        <w:t>生产安全事故应急救援指导，辅助决策和指挥。</w:t>
      </w:r>
    </w:p>
    <w:p>
      <w:pPr>
        <w:pStyle w:val="BodyText"/>
        <w:ind w:left="425"/>
        <w:spacing w:before="2" w:line="222" w:lineRule="auto"/>
        <w:rPr/>
      </w:pPr>
      <w:r>
        <w:rPr>
          <w:rFonts w:ascii="Times New Roman" w:hAnsi="Times New Roman" w:eastAsia="Times New Roman" w:cs="Times New Roman"/>
          <w:spacing w:val="5"/>
        </w:rPr>
        <w:t>2.3.6 </w:t>
      </w:r>
      <w:r>
        <w:rPr>
          <w:spacing w:val="5"/>
        </w:rPr>
        <w:t>资金保障组。</w:t>
      </w:r>
    </w:p>
    <w:p>
      <w:pPr>
        <w:pStyle w:val="BodyText"/>
        <w:ind w:left="400"/>
        <w:spacing w:before="138" w:line="277" w:lineRule="exact"/>
        <w:rPr/>
      </w:pPr>
      <w:r>
        <w:rPr>
          <w:spacing w:val="-3"/>
          <w:position w:val="1"/>
        </w:rPr>
        <w:t>组长单位：事发地县（区）政府、市财政局</w:t>
      </w:r>
    </w:p>
    <w:p>
      <w:pPr>
        <w:pStyle w:val="BodyText"/>
        <w:ind w:left="424"/>
        <w:spacing w:before="103" w:line="277" w:lineRule="exact"/>
        <w:rPr/>
      </w:pPr>
      <w:r>
        <w:rPr>
          <w:spacing w:val="5"/>
          <w:position w:val="1"/>
        </w:rPr>
        <w:t>成员单位：市县（</w:t>
      </w:r>
      <w:r>
        <w:rPr>
          <w:spacing w:val="-42"/>
          <w:position w:val="1"/>
        </w:rPr>
        <w:t xml:space="preserve"> </w:t>
      </w:r>
      <w:r>
        <w:rPr>
          <w:spacing w:val="5"/>
          <w:position w:val="1"/>
        </w:rPr>
        <w:t>区）财政局</w:t>
      </w:r>
    </w:p>
    <w:p>
      <w:pPr>
        <w:pStyle w:val="BodyText"/>
        <w:ind w:left="5" w:right="329" w:firstLine="427"/>
        <w:spacing w:before="101" w:line="335" w:lineRule="auto"/>
        <w:rPr/>
      </w:pPr>
      <w:r>
        <w:rPr>
          <w:spacing w:val="6"/>
        </w:rPr>
        <w:t>主要职责：负责协调、保障事故应急救援</w:t>
      </w:r>
      <w:r>
        <w:rPr>
          <w:spacing w:val="7"/>
        </w:rPr>
        <w:t>工作所需资金。</w:t>
      </w:r>
    </w:p>
    <w:p>
      <w:pPr>
        <w:pStyle w:val="BodyText"/>
        <w:ind w:left="425"/>
        <w:spacing w:before="41" w:line="218" w:lineRule="auto"/>
        <w:rPr/>
      </w:pPr>
      <w:r>
        <w:rPr>
          <w:rFonts w:ascii="Times New Roman" w:hAnsi="Times New Roman" w:eastAsia="Times New Roman" w:cs="Times New Roman"/>
          <w:spacing w:val="5"/>
        </w:rPr>
        <w:t>2.3.7 </w:t>
      </w:r>
      <w:r>
        <w:rPr>
          <w:spacing w:val="5"/>
        </w:rPr>
        <w:t>环境监测组。</w:t>
      </w:r>
    </w:p>
    <w:p>
      <w:pPr>
        <w:pStyle w:val="BodyText"/>
        <w:ind w:left="424"/>
        <w:spacing w:before="138" w:line="278" w:lineRule="exact"/>
        <w:rPr/>
      </w:pPr>
      <w:r>
        <w:rPr>
          <w:spacing w:val="9"/>
          <w:position w:val="1"/>
        </w:rPr>
        <w:t>组长单位：市生态环境局</w:t>
      </w:r>
    </w:p>
    <w:p>
      <w:pPr>
        <w:pStyle w:val="BodyText"/>
        <w:ind w:left="424"/>
        <w:spacing w:before="103" w:line="278" w:lineRule="exact"/>
        <w:rPr/>
      </w:pPr>
      <w:r>
        <w:rPr>
          <w:spacing w:val="-11"/>
          <w:position w:val="1"/>
        </w:rPr>
        <w:t>成员单位：市县（</w:t>
      </w:r>
      <w:r>
        <w:rPr>
          <w:spacing w:val="-51"/>
          <w:position w:val="1"/>
        </w:rPr>
        <w:t xml:space="preserve"> </w:t>
      </w:r>
      <w:r>
        <w:rPr>
          <w:spacing w:val="-11"/>
          <w:position w:val="1"/>
        </w:rPr>
        <w:t>区）生态环境局（分局）。</w:t>
      </w:r>
    </w:p>
    <w:p>
      <w:pPr>
        <w:pStyle w:val="BodyText"/>
        <w:ind w:left="3" w:right="329" w:firstLine="429"/>
        <w:spacing w:before="101" w:line="333" w:lineRule="auto"/>
        <w:rPr/>
      </w:pPr>
      <w:r>
        <w:rPr>
          <w:spacing w:val="6"/>
        </w:rPr>
        <w:t>主要职责：负责事故区域气象分析预报以</w:t>
      </w:r>
      <w:r>
        <w:rPr>
          <w:spacing w:val="9"/>
        </w:rPr>
        <w:t>及环境监测、环境污染处置工作。</w:t>
      </w:r>
    </w:p>
    <w:p>
      <w:pPr>
        <w:pStyle w:val="BodyText"/>
        <w:ind w:left="425"/>
        <w:spacing w:before="45" w:line="220" w:lineRule="auto"/>
        <w:rPr/>
      </w:pPr>
      <w:r>
        <w:rPr>
          <w:rFonts w:ascii="Times New Roman" w:hAnsi="Times New Roman" w:eastAsia="Times New Roman" w:cs="Times New Roman"/>
          <w:spacing w:val="5"/>
        </w:rPr>
        <w:t>2.3.8 </w:t>
      </w:r>
      <w:r>
        <w:rPr>
          <w:spacing w:val="5"/>
        </w:rPr>
        <w:t>事故调查组。</w:t>
      </w:r>
    </w:p>
    <w:p>
      <w:pPr>
        <w:pStyle w:val="BodyText"/>
        <w:ind w:left="424"/>
        <w:spacing w:before="136" w:line="278" w:lineRule="exact"/>
        <w:rPr/>
      </w:pPr>
      <w:r>
        <w:rPr>
          <w:spacing w:val="9"/>
          <w:position w:val="1"/>
        </w:rPr>
        <w:t>组长单位：市应急管理局</w:t>
      </w:r>
    </w:p>
    <w:p>
      <w:pPr>
        <w:pStyle w:val="BodyText"/>
        <w:ind w:left="3" w:right="306" w:firstLine="421"/>
        <w:spacing w:before="100" w:line="351" w:lineRule="auto"/>
        <w:jc w:val="both"/>
        <w:rPr/>
      </w:pPr>
      <w:r>
        <w:rPr>
          <w:spacing w:val="5"/>
        </w:rPr>
        <w:t>成员单位：市县（</w:t>
      </w:r>
      <w:r>
        <w:rPr>
          <w:spacing w:val="-43"/>
        </w:rPr>
        <w:t xml:space="preserve"> </w:t>
      </w:r>
      <w:r>
        <w:rPr>
          <w:spacing w:val="5"/>
        </w:rPr>
        <w:t>区）应急局、公安局、</w:t>
      </w:r>
      <w:r>
        <w:rPr>
          <w:spacing w:val="10"/>
        </w:rPr>
        <w:t>监委及其依据国务院</w:t>
      </w:r>
      <w:r>
        <w:rPr>
          <w:rFonts w:ascii="Times New Roman" w:hAnsi="Times New Roman" w:eastAsia="Times New Roman" w:cs="Times New Roman"/>
          <w:spacing w:val="10"/>
        </w:rPr>
        <w:t>493</w:t>
      </w:r>
      <w:r>
        <w:rPr>
          <w:rFonts w:ascii="Times New Roman" w:hAnsi="Times New Roman" w:eastAsia="Times New Roman" w:cs="Times New Roman"/>
          <w:spacing w:val="-14"/>
        </w:rPr>
        <w:t xml:space="preserve"> </w:t>
      </w:r>
      <w:r>
        <w:rPr>
          <w:spacing w:val="10"/>
        </w:rPr>
        <w:t>号令规定参与事故调</w:t>
      </w:r>
      <w:r>
        <w:rPr>
          <w:spacing w:val="8"/>
        </w:rPr>
        <w:t>查处理的其他相关部门（单位）。</w:t>
      </w:r>
    </w:p>
    <w:p>
      <w:pPr>
        <w:pStyle w:val="BodyText"/>
        <w:ind w:left="3" w:right="329" w:firstLine="429"/>
        <w:spacing w:before="3" w:line="340" w:lineRule="auto"/>
        <w:jc w:val="both"/>
        <w:rPr/>
      </w:pPr>
      <w:r>
        <w:rPr>
          <w:spacing w:val="6"/>
        </w:rPr>
        <w:t>主要职责：会同有关部门、派驻单位、企</w:t>
      </w:r>
      <w:r>
        <w:rPr>
          <w:spacing w:val="7"/>
        </w:rPr>
        <w:t>业对事故发生的经过、原因进行调查，及时查</w:t>
      </w:r>
      <w:r>
        <w:rPr>
          <w:spacing w:val="7"/>
        </w:rPr>
        <w:t>清在生产安全事故处置过程中，擅离职守或失</w:t>
      </w:r>
      <w:r>
        <w:rPr>
          <w:spacing w:val="7"/>
        </w:rPr>
        <w:t>职、渎职等情况，向市应急指挥部提交责任事</w:t>
      </w:r>
    </w:p>
    <w:p>
      <w:pPr>
        <w:spacing w:line="14" w:lineRule="auto"/>
        <w:rPr>
          <w:rFonts w:ascii="Arial"/>
          <w:sz w:val="2"/>
        </w:rPr>
      </w:pPr>
      <w:r>
        <w:rPr>
          <w:rFonts w:ascii="Arial" w:hAnsi="Arial" w:eastAsia="Arial" w:cs="Arial"/>
          <w:sz w:val="2"/>
          <w:szCs w:val="2"/>
        </w:rPr>
        <w:br w:type="column"/>
      </w:r>
    </w:p>
    <w:p>
      <w:pPr>
        <w:pStyle w:val="BodyText"/>
        <w:ind w:right="101"/>
        <w:spacing w:before="49" w:line="351" w:lineRule="auto"/>
        <w:rPr/>
      </w:pPr>
      <w:r>
        <w:rPr>
          <w:spacing w:val="7"/>
        </w:rPr>
        <w:t>故调查报告，为依法追究相关人员的责任提供</w:t>
      </w:r>
      <w:r>
        <w:rPr>
          <w:spacing w:val="4"/>
        </w:rPr>
        <w:t>依据。</w:t>
      </w:r>
    </w:p>
    <w:p>
      <w:pPr>
        <w:pStyle w:val="BodyText"/>
        <w:ind w:left="421"/>
        <w:spacing w:line="221" w:lineRule="auto"/>
        <w:rPr/>
      </w:pPr>
      <w:r>
        <w:rPr>
          <w:rFonts w:ascii="Times New Roman" w:hAnsi="Times New Roman" w:eastAsia="Times New Roman" w:cs="Times New Roman"/>
          <w:spacing w:val="5"/>
        </w:rPr>
        <w:t>2.3.9 </w:t>
      </w:r>
      <w:r>
        <w:rPr>
          <w:spacing w:val="5"/>
        </w:rPr>
        <w:t>新闻宣传组。</w:t>
      </w:r>
    </w:p>
    <w:p>
      <w:pPr>
        <w:pStyle w:val="BodyText"/>
        <w:ind w:right="101" w:firstLine="420"/>
        <w:spacing w:before="147" w:line="347" w:lineRule="auto"/>
        <w:rPr/>
      </w:pPr>
      <w:r>
        <w:rPr>
          <w:spacing w:val="6"/>
        </w:rPr>
        <w:t>组长单位：由市应急管理指挥部根据工作</w:t>
      </w:r>
      <w:r>
        <w:rPr>
          <w:spacing w:val="8"/>
        </w:rPr>
        <w:t>需要确定</w:t>
      </w:r>
    </w:p>
    <w:p>
      <w:pPr>
        <w:pStyle w:val="BodyText"/>
        <w:ind w:left="22" w:right="18" w:firstLine="399"/>
        <w:spacing w:before="41" w:line="346" w:lineRule="auto"/>
        <w:rPr/>
      </w:pPr>
      <w:r>
        <w:rPr>
          <w:spacing w:val="10"/>
        </w:rPr>
        <w:t>成员单位：市应急管理局、固原电视台、</w:t>
      </w:r>
      <w:r>
        <w:rPr>
          <w:spacing w:val="-9"/>
        </w:rPr>
        <w:t>固原日报社、广播电视台和网络等相关媒体单位。</w:t>
      </w:r>
    </w:p>
    <w:p>
      <w:pPr>
        <w:pStyle w:val="BodyText"/>
        <w:ind w:right="101" w:firstLine="428"/>
        <w:spacing w:before="41" w:line="365" w:lineRule="auto"/>
        <w:rPr/>
      </w:pPr>
      <w:r>
        <w:rPr>
          <w:spacing w:val="6"/>
        </w:rPr>
        <w:t>主要职责：跟踪事故发展动态，及时收集</w:t>
      </w:r>
      <w:r>
        <w:rPr>
          <w:spacing w:val="7"/>
        </w:rPr>
        <w:t>消防、生态环境、公安、卫生医疗等部门的救</w:t>
      </w:r>
      <w:r>
        <w:rPr>
          <w:spacing w:val="7"/>
        </w:rPr>
        <w:t>援工作情况，组织召开新闻发布会，正确引导</w:t>
      </w:r>
      <w:r>
        <w:rPr>
          <w:spacing w:val="7"/>
        </w:rPr>
        <w:t>社会舆论；做好前来报道、采访的新闻媒体单</w:t>
      </w:r>
      <w:r>
        <w:rPr>
          <w:spacing w:val="8"/>
        </w:rPr>
        <w:t>位人员的接待安排工作。</w:t>
      </w:r>
    </w:p>
    <w:p>
      <w:pPr>
        <w:pStyle w:val="BodyText"/>
        <w:ind w:left="421"/>
        <w:spacing w:before="8" w:line="221" w:lineRule="auto"/>
        <w:rPr/>
      </w:pPr>
      <w:r>
        <w:rPr>
          <w:rFonts w:ascii="Times New Roman" w:hAnsi="Times New Roman" w:eastAsia="Times New Roman" w:cs="Times New Roman"/>
          <w:spacing w:val="3"/>
        </w:rPr>
        <w:t>2.3.</w:t>
      </w:r>
      <w:r>
        <w:rPr>
          <w:rFonts w:ascii="Times New Roman" w:hAnsi="Times New Roman" w:eastAsia="Times New Roman" w:cs="Times New Roman"/>
          <w:spacing w:val="-20"/>
        </w:rPr>
        <w:t xml:space="preserve"> </w:t>
      </w:r>
      <w:r>
        <w:rPr>
          <w:rFonts w:ascii="Times New Roman" w:hAnsi="Times New Roman" w:eastAsia="Times New Roman" w:cs="Times New Roman"/>
          <w:spacing w:val="3"/>
        </w:rPr>
        <w:t>10 </w:t>
      </w:r>
      <w:r>
        <w:rPr>
          <w:spacing w:val="3"/>
        </w:rPr>
        <w:t>善后处理组。</w:t>
      </w:r>
    </w:p>
    <w:p>
      <w:pPr>
        <w:pStyle w:val="BodyText"/>
        <w:ind w:left="421"/>
        <w:spacing w:before="152" w:line="277" w:lineRule="exact"/>
        <w:rPr/>
      </w:pPr>
      <w:r>
        <w:rPr>
          <w:spacing w:val="5"/>
          <w:position w:val="1"/>
        </w:rPr>
        <w:t>组长单位：事发地县（</w:t>
      </w:r>
      <w:r>
        <w:rPr>
          <w:spacing w:val="-38"/>
          <w:position w:val="1"/>
        </w:rPr>
        <w:t xml:space="preserve"> </w:t>
      </w:r>
      <w:r>
        <w:rPr>
          <w:spacing w:val="5"/>
          <w:position w:val="1"/>
        </w:rPr>
        <w:t>区）政府</w:t>
      </w:r>
    </w:p>
    <w:p>
      <w:pPr>
        <w:pStyle w:val="BodyText"/>
        <w:ind w:left="8" w:right="79" w:firstLine="420"/>
        <w:spacing w:before="120" w:line="346" w:lineRule="auto"/>
        <w:rPr/>
      </w:pPr>
      <w:r>
        <w:rPr>
          <w:spacing w:val="-4"/>
        </w:rPr>
        <w:t>主要职责：负责事发地受灾人员的善后处理</w:t>
      </w:r>
      <w:r>
        <w:rPr>
          <w:spacing w:val="-10"/>
        </w:rPr>
        <w:t>和灾后重建工作。</w:t>
      </w:r>
    </w:p>
    <w:p>
      <w:pPr>
        <w:pStyle w:val="BodyText"/>
        <w:ind w:right="101" w:firstLine="421"/>
        <w:spacing w:before="44" w:line="365" w:lineRule="auto"/>
        <w:jc w:val="both"/>
        <w:rPr/>
      </w:pPr>
      <w:r>
        <w:rPr>
          <w:spacing w:val="6"/>
        </w:rPr>
        <w:t>各应急救援工作组应根据工作职责，在市</w:t>
      </w:r>
      <w:r>
        <w:rPr>
          <w:spacing w:val="7"/>
        </w:rPr>
        <w:t>应急管理指挥部办公室的统一领导下，主动做</w:t>
      </w:r>
      <w:r>
        <w:rPr>
          <w:spacing w:val="7"/>
        </w:rPr>
        <w:t>好相关工作，并根据事件发展趋势，及时调整</w:t>
      </w:r>
      <w:r>
        <w:rPr>
          <w:spacing w:val="7"/>
        </w:rPr>
        <w:t>应急措施和方案，加大应急处置力度，不断提</w:t>
      </w:r>
      <w:r>
        <w:rPr>
          <w:spacing w:val="9"/>
        </w:rPr>
        <w:t>高应急处置工作的针对性和时效性。</w:t>
      </w:r>
    </w:p>
    <w:p>
      <w:pPr>
        <w:ind w:left="420"/>
        <w:spacing w:line="264" w:lineRule="exact"/>
        <w:rPr>
          <w:rFonts w:ascii="KaiTi" w:hAnsi="KaiTi" w:eastAsia="KaiTi" w:cs="KaiTi"/>
          <w:sz w:val="20"/>
          <w:szCs w:val="20"/>
        </w:rPr>
      </w:pPr>
      <w:r>
        <w:rPr>
          <w:rFonts w:ascii="Times New Roman" w:hAnsi="Times New Roman" w:eastAsia="Times New Roman" w:cs="Times New Roman"/>
          <w:sz w:val="20"/>
          <w:szCs w:val="20"/>
          <w:b/>
          <w:bCs/>
          <w:spacing w:val="3"/>
          <w:position w:val="1"/>
        </w:rPr>
        <w:t>3</w:t>
      </w:r>
      <w:r>
        <w:rPr>
          <w:rFonts w:ascii="Times New Roman" w:hAnsi="Times New Roman" w:eastAsia="Times New Roman" w:cs="Times New Roman"/>
          <w:sz w:val="20"/>
          <w:szCs w:val="20"/>
          <w:b/>
          <w:bCs/>
          <w:spacing w:val="7"/>
          <w:position w:val="1"/>
        </w:rPr>
        <w:t xml:space="preserve">    </w:t>
      </w:r>
      <w:r>
        <w:rPr>
          <w:rFonts w:ascii="KaiTi" w:hAnsi="KaiTi" w:eastAsia="KaiTi" w:cs="KaiTi"/>
          <w:sz w:val="20"/>
          <w:szCs w:val="20"/>
          <w:b/>
          <w:bCs/>
          <w:spacing w:val="3"/>
          <w:position w:val="1"/>
        </w:rPr>
        <w:t>处置程序</w:t>
      </w:r>
    </w:p>
    <w:p>
      <w:pPr>
        <w:pStyle w:val="BodyText"/>
        <w:ind w:right="18" w:firstLine="426"/>
        <w:spacing w:before="138" w:line="352" w:lineRule="auto"/>
        <w:jc w:val="both"/>
        <w:rPr/>
      </w:pPr>
      <w:r>
        <w:rPr>
          <w:rFonts w:ascii="Times New Roman" w:hAnsi="Times New Roman" w:eastAsia="Times New Roman" w:cs="Times New Roman"/>
          <w:spacing w:val="7"/>
        </w:rPr>
        <w:t>3.</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1  </w:t>
      </w:r>
      <w:r>
        <w:rPr>
          <w:rFonts w:ascii="KaiTi" w:hAnsi="KaiTi" w:eastAsia="KaiTi" w:cs="KaiTi"/>
          <w:spacing w:val="7"/>
        </w:rPr>
        <w:t>信息报告。</w:t>
      </w:r>
      <w:r>
        <w:rPr>
          <w:spacing w:val="7"/>
        </w:rPr>
        <w:t>事故发生后，事故现</w:t>
      </w:r>
      <w:r>
        <w:rPr>
          <w:spacing w:val="6"/>
        </w:rPr>
        <w:t>场人</w:t>
      </w:r>
      <w:r>
        <w:rPr>
          <w:spacing w:val="7"/>
        </w:rPr>
        <w:t>员应立即向事故单位负责人报告；事故单位负</w:t>
      </w:r>
      <w:r>
        <w:rPr>
          <w:spacing w:val="7"/>
        </w:rPr>
        <w:t>责人应立即到现场核实基本情况，向市应急管</w:t>
      </w:r>
      <w:r>
        <w:rPr>
          <w:spacing w:val="7"/>
        </w:rPr>
        <w:t>理指挥部报告。发生较大及以上危险化学品企</w:t>
      </w:r>
      <w:r>
        <w:rPr>
          <w:spacing w:val="11"/>
        </w:rPr>
        <w:t>业生产安全事故</w:t>
      </w:r>
      <w:r>
        <w:rPr>
          <w:spacing w:val="-39"/>
        </w:rPr>
        <w:t xml:space="preserve"> </w:t>
      </w:r>
      <w:r>
        <w:rPr>
          <w:spacing w:val="11"/>
        </w:rPr>
        <w:t>，相关人员和单位必须在</w:t>
      </w:r>
      <w:r>
        <w:rPr>
          <w:spacing w:val="-34"/>
        </w:rPr>
        <w:t xml:space="preserve"> </w:t>
      </w:r>
      <w:r>
        <w:rPr>
          <w:rFonts w:ascii="Times New Roman" w:hAnsi="Times New Roman" w:eastAsia="Times New Roman" w:cs="Times New Roman"/>
          <w:spacing w:val="11"/>
        </w:rPr>
        <w:t>30</w:t>
      </w:r>
      <w:r>
        <w:rPr>
          <w:spacing w:val="18"/>
        </w:rPr>
        <w:t>分钟内通过电话向市应急管理指挥部办公室</w:t>
      </w:r>
      <w:r>
        <w:rPr>
          <w:spacing w:val="5"/>
        </w:rPr>
        <w:t>报告简要情况；在事发后</w:t>
      </w:r>
      <w:r>
        <w:rPr>
          <w:spacing w:val="-7"/>
        </w:rPr>
        <w:t xml:space="preserve"> </w:t>
      </w:r>
      <w:r>
        <w:rPr>
          <w:rFonts w:ascii="Times New Roman" w:hAnsi="Times New Roman" w:eastAsia="Times New Roman" w:cs="Times New Roman"/>
          <w:spacing w:val="5"/>
        </w:rPr>
        <w:t>1 </w:t>
      </w:r>
      <w:r>
        <w:rPr>
          <w:spacing w:val="5"/>
        </w:rPr>
        <w:t>小时内将事故详细</w:t>
      </w:r>
      <w:r>
        <w:rPr>
          <w:spacing w:val="14"/>
        </w:rPr>
        <w:t>信息书面报告市应急管理指挥部。</w:t>
      </w:r>
      <w:r>
        <w:rPr>
          <w:rFonts w:ascii="Times New Roman" w:hAnsi="Times New Roman" w:eastAsia="Times New Roman" w:cs="Times New Roman"/>
          <w:spacing w:val="14"/>
        </w:rPr>
        <w:t>110</w:t>
      </w:r>
      <w:r>
        <w:rPr>
          <w:rFonts w:ascii="Times New Roman" w:hAnsi="Times New Roman" w:eastAsia="Times New Roman" w:cs="Times New Roman"/>
          <w:spacing w:val="-11"/>
        </w:rPr>
        <w:t xml:space="preserve"> </w:t>
      </w:r>
      <w:r>
        <w:rPr>
          <w:spacing w:val="14"/>
        </w:rPr>
        <w:t>、</w:t>
      </w:r>
      <w:r>
        <w:rPr>
          <w:rFonts w:ascii="Times New Roman" w:hAnsi="Times New Roman" w:eastAsia="Times New Roman" w:cs="Times New Roman"/>
          <w:spacing w:val="14"/>
        </w:rPr>
        <w:t>120</w:t>
      </w:r>
      <w:r>
        <w:rPr>
          <w:spacing w:val="7"/>
        </w:rPr>
        <w:t>接警后可采用电话、传真、书面等方式向市应</w:t>
      </w:r>
      <w:r>
        <w:rPr>
          <w:spacing w:val="7"/>
        </w:rPr>
        <w:t>急管理指挥部及时报告事故情况。市应急管理</w:t>
      </w:r>
      <w:r>
        <w:rPr>
          <w:spacing w:val="-1"/>
        </w:rPr>
        <w:t>指挥部办公室</w:t>
      </w:r>
      <w:r>
        <w:rPr>
          <w:spacing w:val="-55"/>
        </w:rPr>
        <w:t xml:space="preserve"> </w:t>
      </w:r>
      <w:r>
        <w:rPr>
          <w:rFonts w:ascii="Times New Roman" w:hAnsi="Times New Roman" w:eastAsia="Times New Roman" w:cs="Times New Roman"/>
          <w:spacing w:val="-1"/>
        </w:rPr>
        <w:t>24 </w:t>
      </w:r>
      <w:r>
        <w:rPr>
          <w:spacing w:val="-1"/>
        </w:rPr>
        <w:t>小时值班电话：</w:t>
      </w:r>
      <w:r>
        <w:rPr>
          <w:rFonts w:ascii="Times New Roman" w:hAnsi="Times New Roman" w:eastAsia="Times New Roman" w:cs="Times New Roman"/>
          <w:spacing w:val="-1"/>
        </w:rPr>
        <w:t>0954-208</w:t>
      </w:r>
      <w:r>
        <w:rPr>
          <w:rFonts w:ascii="Times New Roman" w:hAnsi="Times New Roman" w:eastAsia="Times New Roman" w:cs="Times New Roman"/>
          <w:spacing w:val="-2"/>
        </w:rPr>
        <w:t>8154</w:t>
      </w:r>
      <w:r>
        <w:rPr>
          <w:spacing w:val="-2"/>
        </w:rPr>
        <w:t>。</w:t>
      </w:r>
    </w:p>
    <w:p>
      <w:pPr>
        <w:spacing w:line="352" w:lineRule="auto"/>
        <w:sectPr>
          <w:type w:val="continuous"/>
          <w:pgSz w:w="11906" w:h="16839"/>
          <w:pgMar w:top="1772" w:right="1489" w:bottom="1547" w:left="1588" w:header="1428" w:footer="1172" w:gutter="0"/>
          <w:cols w:equalWidth="0" w:num="2">
            <w:col w:w="4481" w:space="100"/>
            <w:col w:w="4249" w:space="0"/>
          </w:cols>
        </w:sectPr>
        <w:rPr/>
      </w:pPr>
    </w:p>
    <w:p>
      <w:pPr>
        <w:spacing w:before="51"/>
        <w:rPr/>
      </w:pPr>
      <w:r>
        <w:drawing>
          <wp:anchor distT="0" distB="0" distL="0" distR="0" simplePos="0" relativeHeight="25221632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362" name="IM 1362"/>
            <wp:cNvGraphicFramePr/>
            <a:graphic>
              <a:graphicData uri="http://schemas.openxmlformats.org/drawingml/2006/picture">
                <pic:pic>
                  <pic:nvPicPr>
                    <pic:cNvPr id="1362" name="IM 1362"/>
                    <pic:cNvPicPr/>
                  </pic:nvPicPr>
                  <pic:blipFill>
                    <a:blip r:embed="rId683"/>
                    <a:stretch>
                      <a:fillRect/>
                    </a:stretch>
                  </pic:blipFill>
                  <pic:spPr>
                    <a:xfrm rot="0">
                      <a:off x="0" y="0"/>
                      <a:ext cx="5579745" cy="7620"/>
                    </a:xfrm>
                    <a:prstGeom prst="rect">
                      <a:avLst/>
                    </a:prstGeom>
                  </pic:spPr>
                </pic:pic>
              </a:graphicData>
            </a:graphic>
          </wp:anchor>
        </w:drawing>
      </w:r>
      <w:r/>
    </w:p>
    <w:p>
      <w:pPr>
        <w:sectPr>
          <w:headerReference w:type="default" r:id="rId647"/>
          <w:footerReference w:type="default" r:id="rId682"/>
          <w:pgSz w:w="11906" w:h="16839"/>
          <w:pgMar w:top="1766" w:right="1530" w:bottom="1563" w:left="1576" w:header="1428" w:footer="1172" w:gutter="0"/>
          <w:cols w:equalWidth="0" w:num="1">
            <w:col w:w="8800" w:space="0"/>
          </w:cols>
        </w:sectPr>
        <w:rPr/>
      </w:pPr>
    </w:p>
    <w:p>
      <w:pPr>
        <w:pStyle w:val="BodyText"/>
        <w:ind w:left="16" w:right="330" w:firstLine="420"/>
        <w:spacing w:before="57" w:line="364" w:lineRule="auto"/>
        <w:jc w:val="both"/>
        <w:rPr/>
      </w:pPr>
      <w:r>
        <w:rPr>
          <w:spacing w:val="19"/>
        </w:rPr>
        <w:t>危险化学品企业生产安全事故信息报告</w:t>
      </w:r>
      <w:r>
        <w:rPr>
          <w:spacing w:val="7"/>
        </w:rPr>
        <w:t>内容主要包括：事故发生单位概况、事故发生</w:t>
      </w:r>
      <w:r>
        <w:rPr>
          <w:spacing w:val="7"/>
        </w:rPr>
        <w:t>的时间、地点、简要经过；可能造成的危害程</w:t>
      </w:r>
      <w:r>
        <w:rPr>
          <w:spacing w:val="7"/>
        </w:rPr>
        <w:t>度、影响范围、遇险人数、直接经济损失；已</w:t>
      </w:r>
      <w:r>
        <w:rPr>
          <w:spacing w:val="18"/>
        </w:rPr>
        <w:t>采取的应急处置措施和目前事故处置进展情</w:t>
      </w:r>
      <w:r>
        <w:rPr>
          <w:spacing w:val="8"/>
        </w:rPr>
        <w:t>况；下一步拟采取的措施等。</w:t>
      </w:r>
    </w:p>
    <w:p>
      <w:pPr>
        <w:ind w:left="441"/>
        <w:spacing w:line="242" w:lineRule="auto"/>
        <w:rPr>
          <w:rFonts w:ascii="KaiTi" w:hAnsi="KaiTi" w:eastAsia="KaiTi" w:cs="KaiTi"/>
          <w:sz w:val="20"/>
          <w:szCs w:val="20"/>
        </w:rPr>
      </w:pPr>
      <w:r>
        <w:rPr>
          <w:rFonts w:ascii="Times New Roman" w:hAnsi="Times New Roman" w:eastAsia="Times New Roman" w:cs="Times New Roman"/>
          <w:sz w:val="20"/>
          <w:szCs w:val="20"/>
          <w:spacing w:val="3"/>
        </w:rPr>
        <w:t>3.2</w:t>
      </w:r>
      <w:r>
        <w:rPr>
          <w:rFonts w:ascii="Times New Roman" w:hAnsi="Times New Roman" w:eastAsia="Times New Roman" w:cs="Times New Roman"/>
          <w:sz w:val="20"/>
          <w:szCs w:val="20"/>
          <w:spacing w:val="10"/>
        </w:rPr>
        <w:t xml:space="preserve">  </w:t>
      </w:r>
      <w:r>
        <w:rPr>
          <w:rFonts w:ascii="KaiTi" w:hAnsi="KaiTi" w:eastAsia="KaiTi" w:cs="KaiTi"/>
          <w:sz w:val="20"/>
          <w:szCs w:val="20"/>
          <w:spacing w:val="3"/>
        </w:rPr>
        <w:t>先期处置。</w:t>
      </w:r>
    </w:p>
    <w:p>
      <w:pPr>
        <w:pStyle w:val="BodyText"/>
        <w:ind w:left="15" w:right="323" w:firstLine="426"/>
        <w:spacing w:before="121" w:line="325" w:lineRule="auto"/>
        <w:rPr/>
      </w:pPr>
      <w:r>
        <w:rPr>
          <w:rFonts w:ascii="Times New Roman" w:hAnsi="Times New Roman" w:eastAsia="Times New Roman" w:cs="Times New Roman"/>
          <w:spacing w:val="3"/>
        </w:rPr>
        <w:t>3.2.1 </w:t>
      </w:r>
      <w:r>
        <w:rPr>
          <w:spacing w:val="3"/>
        </w:rPr>
        <w:t>生产安全事故发生后，事故发生单位</w:t>
      </w:r>
      <w:r>
        <w:rPr>
          <w:spacing w:val="4"/>
        </w:rPr>
        <w:t>要立即组织开展先期处置，事发地县（</w:t>
      </w:r>
      <w:r>
        <w:rPr>
          <w:spacing w:val="-34"/>
        </w:rPr>
        <w:t xml:space="preserve"> </w:t>
      </w:r>
      <w:r>
        <w:rPr>
          <w:spacing w:val="4"/>
        </w:rPr>
        <w:t>区）应</w:t>
      </w:r>
      <w:r>
        <w:rPr>
          <w:spacing w:val="7"/>
        </w:rPr>
        <w:t>急管理局相关负责人要在第一时间赶赴现场，</w:t>
      </w:r>
      <w:r>
        <w:rPr>
          <w:spacing w:val="7"/>
        </w:rPr>
        <w:t>查明情况，及时上报，控制事态发展，开展先</w:t>
      </w:r>
      <w:r>
        <w:rPr>
          <w:spacing w:val="7"/>
        </w:rPr>
        <w:t>期处置工作。</w:t>
      </w:r>
    </w:p>
    <w:p>
      <w:pPr>
        <w:pStyle w:val="BodyText"/>
        <w:ind w:left="16" w:right="323" w:firstLine="425"/>
        <w:spacing w:before="143" w:line="329" w:lineRule="auto"/>
        <w:rPr/>
      </w:pPr>
      <w:r>
        <w:rPr>
          <w:rFonts w:ascii="Times New Roman" w:hAnsi="Times New Roman" w:eastAsia="Times New Roman" w:cs="Times New Roman"/>
          <w:spacing w:val="3"/>
        </w:rPr>
        <w:t>3.2.2 </w:t>
      </w:r>
      <w:r>
        <w:rPr>
          <w:spacing w:val="3"/>
        </w:rPr>
        <w:t>达到一般事故时，启动事发地县级生</w:t>
      </w:r>
      <w:r>
        <w:rPr>
          <w:spacing w:val="7"/>
        </w:rPr>
        <w:t>产安全事故应急预案，按照应急预案规定成立</w:t>
      </w:r>
      <w:r>
        <w:rPr>
          <w:spacing w:val="4"/>
        </w:rPr>
        <w:t>现场指挥部。现场总指挥由事发地县（</w:t>
      </w:r>
      <w:r>
        <w:rPr>
          <w:spacing w:val="-35"/>
        </w:rPr>
        <w:t xml:space="preserve"> </w:t>
      </w:r>
      <w:r>
        <w:rPr>
          <w:spacing w:val="4"/>
        </w:rPr>
        <w:t>区）政</w:t>
      </w:r>
      <w:r>
        <w:rPr>
          <w:spacing w:val="5"/>
        </w:rPr>
        <w:t>府分管副县（</w:t>
      </w:r>
      <w:r>
        <w:rPr>
          <w:spacing w:val="-48"/>
        </w:rPr>
        <w:t xml:space="preserve"> </w:t>
      </w:r>
      <w:r>
        <w:rPr>
          <w:spacing w:val="5"/>
        </w:rPr>
        <w:t>区）长、应急管理局局长担任，</w:t>
      </w:r>
      <w:r>
        <w:rPr>
          <w:spacing w:val="15"/>
        </w:rPr>
        <w:t>制定先期处置方案</w:t>
      </w:r>
      <w:r>
        <w:rPr>
          <w:spacing w:val="-40"/>
        </w:rPr>
        <w:t xml:space="preserve"> </w:t>
      </w:r>
      <w:r>
        <w:rPr>
          <w:spacing w:val="15"/>
        </w:rPr>
        <w:t>，开展抢险救援和人员救</w:t>
      </w:r>
      <w:r>
        <w:rPr>
          <w:spacing w:val="9"/>
        </w:rPr>
        <w:t>治，组织相关单位开展先期处置工作。</w:t>
      </w:r>
    </w:p>
    <w:p>
      <w:pPr>
        <w:pStyle w:val="BodyText"/>
        <w:ind w:left="16" w:right="328" w:firstLine="424"/>
        <w:spacing w:before="139" w:line="307" w:lineRule="auto"/>
        <w:rPr/>
      </w:pPr>
      <w:r>
        <w:rPr>
          <w:rFonts w:ascii="Times New Roman" w:hAnsi="Times New Roman" w:eastAsia="Times New Roman" w:cs="Times New Roman"/>
          <w:spacing w:val="3"/>
        </w:rPr>
        <w:t>3.2.3 </w:t>
      </w:r>
      <w:r>
        <w:rPr>
          <w:spacing w:val="3"/>
        </w:rPr>
        <w:t>必要时，市应急管理指挥部派出工作</w:t>
      </w:r>
      <w:r>
        <w:rPr>
          <w:spacing w:val="7"/>
        </w:rPr>
        <w:t>组赶赴事件现场，现场指导事发地政府开展抢</w:t>
      </w:r>
      <w:r>
        <w:rPr>
          <w:spacing w:val="7"/>
        </w:rPr>
        <w:t>险救援工作。</w:t>
      </w:r>
    </w:p>
    <w:p>
      <w:pPr>
        <w:ind w:left="441"/>
        <w:spacing w:before="137" w:line="268" w:lineRule="exact"/>
        <w:rPr>
          <w:rFonts w:ascii="KaiTi" w:hAnsi="KaiTi" w:eastAsia="KaiTi" w:cs="KaiTi"/>
          <w:sz w:val="20"/>
          <w:szCs w:val="20"/>
        </w:rPr>
      </w:pPr>
      <w:r>
        <w:rPr>
          <w:rFonts w:ascii="Times New Roman" w:hAnsi="Times New Roman" w:eastAsia="Times New Roman" w:cs="Times New Roman"/>
          <w:sz w:val="20"/>
          <w:szCs w:val="20"/>
          <w:spacing w:val="4"/>
          <w:position w:val="1"/>
        </w:rPr>
        <w:t>3.3  </w:t>
      </w:r>
      <w:r>
        <w:rPr>
          <w:rFonts w:ascii="KaiTi" w:hAnsi="KaiTi" w:eastAsia="KaiTi" w:cs="KaiTi"/>
          <w:sz w:val="20"/>
          <w:szCs w:val="20"/>
          <w:spacing w:val="4"/>
          <w:position w:val="1"/>
        </w:rPr>
        <w:t>应急响应。</w:t>
      </w:r>
    </w:p>
    <w:p>
      <w:pPr>
        <w:pStyle w:val="BodyText"/>
        <w:ind w:left="16" w:right="306" w:firstLine="425"/>
        <w:spacing w:before="114" w:line="319" w:lineRule="auto"/>
        <w:rPr/>
      </w:pPr>
      <w:r>
        <w:rPr>
          <w:rFonts w:ascii="Times New Roman" w:hAnsi="Times New Roman" w:eastAsia="Times New Roman" w:cs="Times New Roman"/>
          <w:spacing w:val="4"/>
        </w:rPr>
        <w:t>3.3.</w:t>
      </w:r>
      <w:r>
        <w:rPr>
          <w:rFonts w:ascii="Times New Roman" w:hAnsi="Times New Roman" w:eastAsia="Times New Roman" w:cs="Times New Roman"/>
          <w:spacing w:val="-23"/>
        </w:rPr>
        <w:t xml:space="preserve"> </w:t>
      </w:r>
      <w:r>
        <w:rPr>
          <w:rFonts w:ascii="Times New Roman" w:hAnsi="Times New Roman" w:eastAsia="Times New Roman" w:cs="Times New Roman"/>
          <w:spacing w:val="4"/>
        </w:rPr>
        <w:t>1Ⅰ</w:t>
      </w:r>
      <w:r>
        <w:rPr>
          <w:spacing w:val="4"/>
        </w:rPr>
        <w:t>级、</w:t>
      </w:r>
      <w:r>
        <w:rPr>
          <w:rFonts w:ascii="Times New Roman" w:hAnsi="Times New Roman" w:eastAsia="Times New Roman" w:cs="Times New Roman"/>
          <w:spacing w:val="4"/>
        </w:rPr>
        <w:t>Ⅱ</w:t>
      </w:r>
      <w:r>
        <w:rPr>
          <w:spacing w:val="4"/>
        </w:rPr>
        <w:t>级响应。发生重大(</w:t>
      </w:r>
      <w:r>
        <w:rPr>
          <w:rFonts w:ascii="Times New Roman" w:hAnsi="Times New Roman" w:eastAsia="Times New Roman" w:cs="Times New Roman"/>
          <w:spacing w:val="4"/>
        </w:rPr>
        <w:t>Ⅱ</w:t>
      </w:r>
      <w:r>
        <w:rPr>
          <w:spacing w:val="4"/>
        </w:rPr>
        <w:t>级）、特</w:t>
      </w:r>
      <w:r>
        <w:rPr>
          <w:spacing w:val="-7"/>
        </w:rPr>
        <w:t>大 (</w:t>
      </w:r>
      <w:r>
        <w:rPr>
          <w:spacing w:val="-44"/>
        </w:rPr>
        <w:t xml:space="preserve"> </w:t>
      </w:r>
      <w:r>
        <w:rPr>
          <w:rFonts w:ascii="Times New Roman" w:hAnsi="Times New Roman" w:eastAsia="Times New Roman" w:cs="Times New Roman"/>
          <w:spacing w:val="-7"/>
        </w:rPr>
        <w:t>Ⅰ</w:t>
      </w:r>
      <w:r>
        <w:rPr>
          <w:spacing w:val="-7"/>
        </w:rPr>
        <w:t>级）危险化学品企业生产安全事故，报请自</w:t>
      </w:r>
      <w:r>
        <w:rPr>
          <w:spacing w:val="-2"/>
        </w:rPr>
        <w:t>治区党委、政府启动自治区级应急响应机制，政</w:t>
      </w:r>
      <w:r>
        <w:rPr>
          <w:spacing w:val="-6"/>
        </w:rPr>
        <w:t>府按照职责分工配合做好应对处置工作。</w:t>
      </w:r>
    </w:p>
    <w:p>
      <w:pPr>
        <w:pStyle w:val="BodyText"/>
        <w:ind w:left="14" w:right="327" w:firstLine="426"/>
        <w:spacing w:before="139" w:line="330" w:lineRule="auto"/>
        <w:rPr/>
      </w:pPr>
      <w:r>
        <w:rPr>
          <w:rFonts w:ascii="Times New Roman" w:hAnsi="Times New Roman" w:eastAsia="Times New Roman" w:cs="Times New Roman"/>
          <w:spacing w:val="3"/>
        </w:rPr>
        <w:t>3.3.2Ⅲ</w:t>
      </w:r>
      <w:r>
        <w:rPr>
          <w:spacing w:val="3"/>
        </w:rPr>
        <w:t>级响应。发生较大 (</w:t>
      </w:r>
      <w:r>
        <w:rPr>
          <w:spacing w:val="-28"/>
        </w:rPr>
        <w:t xml:space="preserve"> </w:t>
      </w:r>
      <w:r>
        <w:rPr>
          <w:rFonts w:ascii="Times New Roman" w:hAnsi="Times New Roman" w:eastAsia="Times New Roman" w:cs="Times New Roman"/>
          <w:spacing w:val="3"/>
        </w:rPr>
        <w:t>Ⅲ</w:t>
      </w:r>
      <w:r>
        <w:rPr>
          <w:spacing w:val="3"/>
        </w:rPr>
        <w:t>级）危险化</w:t>
      </w:r>
      <w:r>
        <w:rPr>
          <w:spacing w:val="7"/>
        </w:rPr>
        <w:t>学品企业生产安全事故，由市应急管理指挥部</w:t>
      </w:r>
      <w:r>
        <w:rPr>
          <w:spacing w:val="7"/>
        </w:rPr>
        <w:t>启动应急响应措施，市应急管理局牵头立即组</w:t>
      </w:r>
      <w:r>
        <w:rPr>
          <w:spacing w:val="15"/>
        </w:rPr>
        <w:t>织专家调查确认</w:t>
      </w:r>
      <w:r>
        <w:rPr>
          <w:spacing w:val="-39"/>
        </w:rPr>
        <w:t xml:space="preserve"> </w:t>
      </w:r>
      <w:r>
        <w:rPr>
          <w:spacing w:val="15"/>
        </w:rPr>
        <w:t>，并对事故情况进行综合评</w:t>
      </w:r>
      <w:r>
        <w:rPr>
          <w:spacing w:val="7"/>
        </w:rPr>
        <w:t>估。同时，应急指挥部迅速组织成员单位和事</w:t>
      </w:r>
      <w:r>
        <w:rPr>
          <w:spacing w:val="4"/>
        </w:rPr>
        <w:t>故发生地县（</w:t>
      </w:r>
      <w:r>
        <w:rPr>
          <w:spacing w:val="-33"/>
        </w:rPr>
        <w:t xml:space="preserve"> </w:t>
      </w:r>
      <w:r>
        <w:rPr>
          <w:spacing w:val="4"/>
        </w:rPr>
        <w:t>区）政府开展现场救援、处置等</w:t>
      </w:r>
      <w:r>
        <w:rPr>
          <w:spacing w:val="7"/>
        </w:rPr>
        <w:t>紧急控制措施，并按照规定向自治区有关部门</w:t>
      </w:r>
      <w:r>
        <w:rPr>
          <w:spacing w:val="8"/>
        </w:rPr>
        <w:t>报告调查处理情况。</w:t>
      </w:r>
    </w:p>
    <w:p>
      <w:pPr>
        <w:spacing w:line="14" w:lineRule="auto"/>
        <w:rPr>
          <w:rFonts w:ascii="Arial"/>
          <w:sz w:val="2"/>
        </w:rPr>
      </w:pPr>
      <w:r>
        <w:rPr>
          <w:rFonts w:ascii="Arial" w:hAnsi="Arial" w:eastAsia="Arial" w:cs="Arial"/>
          <w:sz w:val="2"/>
          <w:szCs w:val="2"/>
        </w:rPr>
        <w:br w:type="column"/>
      </w:r>
    </w:p>
    <w:p>
      <w:pPr>
        <w:pStyle w:val="BodyText"/>
        <w:ind w:right="54" w:firstLine="425"/>
        <w:spacing w:before="46" w:line="319" w:lineRule="auto"/>
        <w:rPr/>
      </w:pPr>
      <w:r>
        <w:rPr>
          <w:rFonts w:ascii="Times New Roman" w:hAnsi="Times New Roman" w:eastAsia="Times New Roman" w:cs="Times New Roman"/>
          <w:spacing w:val="6"/>
        </w:rPr>
        <w:t>3.3.3Ⅳ</w:t>
      </w:r>
      <w:r>
        <w:rPr>
          <w:spacing w:val="6"/>
        </w:rPr>
        <w:t>级响应。发生一般(</w:t>
      </w:r>
      <w:r>
        <w:rPr>
          <w:spacing w:val="-22"/>
        </w:rPr>
        <w:t xml:space="preserve"> </w:t>
      </w:r>
      <w:r>
        <w:rPr>
          <w:rFonts w:ascii="Times New Roman" w:hAnsi="Times New Roman" w:eastAsia="Times New Roman" w:cs="Times New Roman"/>
          <w:spacing w:val="6"/>
        </w:rPr>
        <w:t>Ⅳ</w:t>
      </w:r>
      <w:r>
        <w:rPr>
          <w:spacing w:val="6"/>
        </w:rPr>
        <w:t>级）危险化</w:t>
      </w:r>
      <w:r>
        <w:rPr>
          <w:spacing w:val="4"/>
        </w:rPr>
        <w:t>学品企业生产安全事故，由事发地县（</w:t>
      </w:r>
      <w:r>
        <w:rPr>
          <w:spacing w:val="-35"/>
        </w:rPr>
        <w:t xml:space="preserve"> </w:t>
      </w:r>
      <w:r>
        <w:rPr>
          <w:spacing w:val="4"/>
        </w:rPr>
        <w:t>区）政</w:t>
      </w:r>
      <w:r>
        <w:rPr>
          <w:spacing w:val="7"/>
        </w:rPr>
        <w:t>府及时启动本辖区应急响应措施，并向市应急</w:t>
      </w:r>
      <w:r>
        <w:rPr>
          <w:spacing w:val="8"/>
        </w:rPr>
        <w:t>管理指挥部报告事故信息。</w:t>
      </w:r>
    </w:p>
    <w:p>
      <w:pPr>
        <w:pStyle w:val="BodyText"/>
        <w:ind w:left="2" w:right="57" w:firstLine="422"/>
        <w:spacing w:before="141" w:line="302" w:lineRule="auto"/>
        <w:rPr/>
      </w:pPr>
      <w:r>
        <w:rPr>
          <w:rFonts w:ascii="Times New Roman" w:hAnsi="Times New Roman" w:eastAsia="Times New Roman" w:cs="Times New Roman"/>
          <w:spacing w:val="3"/>
        </w:rPr>
        <w:t>3.3.4 </w:t>
      </w:r>
      <w:r>
        <w:rPr>
          <w:spacing w:val="3"/>
        </w:rPr>
        <w:t>启动条件。符合下列情况之一的，由</w:t>
      </w:r>
      <w:r>
        <w:rPr>
          <w:spacing w:val="8"/>
        </w:rPr>
        <w:t>市应急管理指挥部决定启动应急响应：</w:t>
      </w:r>
    </w:p>
    <w:p>
      <w:pPr>
        <w:pStyle w:val="BodyText"/>
        <w:ind w:left="1" w:right="59" w:firstLine="410"/>
        <w:spacing w:before="100" w:line="291" w:lineRule="auto"/>
        <w:rPr/>
      </w:pPr>
      <w:r>
        <w:rPr>
          <w:spacing w:val="8"/>
        </w:rPr>
        <w:t>（</w:t>
      </w:r>
      <w:r>
        <w:rPr>
          <w:spacing w:val="-37"/>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6"/>
        </w:rPr>
        <w:t xml:space="preserve"> </w:t>
      </w:r>
      <w:r>
        <w:rPr>
          <w:spacing w:val="8"/>
        </w:rPr>
        <w:t>）发生</w:t>
      </w:r>
      <w:r>
        <w:rPr>
          <w:rFonts w:ascii="Times New Roman" w:hAnsi="Times New Roman" w:eastAsia="Times New Roman" w:cs="Times New Roman"/>
          <w:spacing w:val="8"/>
        </w:rPr>
        <w:t>Ⅲ</w:t>
      </w:r>
      <w:r>
        <w:rPr>
          <w:spacing w:val="8"/>
        </w:rPr>
        <w:t>级以上危险化学品生产安全</w:t>
      </w:r>
      <w:r>
        <w:rPr>
          <w:spacing w:val="6"/>
        </w:rPr>
        <w:t>事故的；</w:t>
      </w:r>
    </w:p>
    <w:p>
      <w:pPr>
        <w:pStyle w:val="BodyText"/>
        <w:ind w:left="1" w:right="57" w:firstLine="410"/>
        <w:spacing w:before="132" w:line="289" w:lineRule="auto"/>
        <w:rPr/>
      </w:pPr>
      <w:r>
        <w:rPr>
          <w:spacing w:val="10"/>
        </w:rPr>
        <w:t>（</w:t>
      </w:r>
      <w:r>
        <w:rPr>
          <w:rFonts w:ascii="Times New Roman" w:hAnsi="Times New Roman" w:eastAsia="Times New Roman" w:cs="Times New Roman"/>
          <w:spacing w:val="10"/>
        </w:rPr>
        <w:t>2</w:t>
      </w:r>
      <w:r>
        <w:rPr>
          <w:rFonts w:ascii="Times New Roman" w:hAnsi="Times New Roman" w:eastAsia="Times New Roman" w:cs="Times New Roman"/>
          <w:spacing w:val="-5"/>
        </w:rPr>
        <w:t xml:space="preserve"> </w:t>
      </w:r>
      <w:r>
        <w:rPr>
          <w:spacing w:val="10"/>
        </w:rPr>
        <w:t>）发生涉及跨区的</w:t>
      </w:r>
      <w:r>
        <w:rPr>
          <w:rFonts w:ascii="Times New Roman" w:hAnsi="Times New Roman" w:eastAsia="Times New Roman" w:cs="Times New Roman"/>
          <w:spacing w:val="10"/>
        </w:rPr>
        <w:t>Ⅳ</w:t>
      </w:r>
      <w:r>
        <w:rPr>
          <w:spacing w:val="10"/>
        </w:rPr>
        <w:t>级危险化学品生</w:t>
      </w:r>
      <w:r>
        <w:rPr>
          <w:spacing w:val="7"/>
        </w:rPr>
        <w:t>产安全事故的；</w:t>
      </w:r>
    </w:p>
    <w:p>
      <w:pPr>
        <w:pStyle w:val="BodyText"/>
        <w:ind w:right="62" w:firstLine="411"/>
        <w:spacing w:before="134" w:line="303"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）发生需要上级应急力量进行增援的</w:t>
      </w:r>
      <w:r>
        <w:rPr>
          <w:spacing w:val="8"/>
        </w:rPr>
        <w:t>危险化学品生产安全事故的；</w:t>
      </w:r>
    </w:p>
    <w:p>
      <w:pPr>
        <w:pStyle w:val="BodyText"/>
        <w:ind w:left="412"/>
        <w:spacing w:before="102" w:line="277" w:lineRule="exact"/>
        <w:rPr/>
      </w:pPr>
      <w:r>
        <w:rPr>
          <w:spacing w:val="7"/>
          <w:position w:val="1"/>
        </w:rPr>
        <w:t>（</w:t>
      </w:r>
      <w:r>
        <w:rPr>
          <w:rFonts w:ascii="Times New Roman" w:hAnsi="Times New Roman" w:eastAsia="Times New Roman" w:cs="Times New Roman"/>
          <w:spacing w:val="7"/>
          <w:position w:val="1"/>
        </w:rPr>
        <w:t>4</w:t>
      </w:r>
      <w:r>
        <w:rPr>
          <w:rFonts w:ascii="Times New Roman" w:hAnsi="Times New Roman" w:eastAsia="Times New Roman" w:cs="Times New Roman"/>
          <w:spacing w:val="-14"/>
          <w:position w:val="1"/>
        </w:rPr>
        <w:t xml:space="preserve"> </w:t>
      </w:r>
      <w:r>
        <w:rPr>
          <w:spacing w:val="7"/>
          <w:position w:val="1"/>
        </w:rPr>
        <w:t>）认为需要启动本级应急响应的。</w:t>
      </w:r>
    </w:p>
    <w:p>
      <w:pPr>
        <w:pStyle w:val="BodyText"/>
        <w:ind w:left="3" w:right="57" w:firstLine="422"/>
        <w:spacing w:before="103" w:line="349" w:lineRule="auto"/>
        <w:jc w:val="both"/>
        <w:rPr/>
      </w:pPr>
      <w:r>
        <w:rPr>
          <w:rFonts w:ascii="Times New Roman" w:hAnsi="Times New Roman" w:eastAsia="Times New Roman" w:cs="Times New Roman"/>
          <w:spacing w:val="3"/>
        </w:rPr>
        <w:t>3.4  </w:t>
      </w:r>
      <w:r>
        <w:rPr>
          <w:rFonts w:ascii="KaiTi" w:hAnsi="KaiTi" w:eastAsia="KaiTi" w:cs="KaiTi"/>
          <w:spacing w:val="3"/>
        </w:rPr>
        <w:t>指挥协调。</w:t>
      </w:r>
      <w:r>
        <w:rPr>
          <w:spacing w:val="3"/>
        </w:rPr>
        <w:t>启动</w:t>
      </w:r>
      <w:r>
        <w:rPr>
          <w:rFonts w:ascii="Times New Roman" w:hAnsi="Times New Roman" w:eastAsia="Times New Roman" w:cs="Times New Roman"/>
          <w:spacing w:val="3"/>
        </w:rPr>
        <w:t>Ⅲ</w:t>
      </w:r>
      <w:r>
        <w:rPr>
          <w:spacing w:val="3"/>
        </w:rPr>
        <w:t>级、</w:t>
      </w:r>
      <w:r>
        <w:rPr>
          <w:rFonts w:ascii="Times New Roman" w:hAnsi="Times New Roman" w:eastAsia="Times New Roman" w:cs="Times New Roman"/>
          <w:spacing w:val="3"/>
        </w:rPr>
        <w:t>Ⅱ</w:t>
      </w:r>
      <w:r>
        <w:rPr>
          <w:spacing w:val="3"/>
        </w:rPr>
        <w:t>级和</w:t>
      </w:r>
      <w:r>
        <w:rPr>
          <w:spacing w:val="-35"/>
        </w:rPr>
        <w:t xml:space="preserve"> </w:t>
      </w:r>
      <w:r>
        <w:rPr>
          <w:rFonts w:ascii="Times New Roman" w:hAnsi="Times New Roman" w:eastAsia="Times New Roman" w:cs="Times New Roman"/>
          <w:spacing w:val="3"/>
        </w:rPr>
        <w:t>I </w:t>
      </w:r>
      <w:r>
        <w:rPr>
          <w:spacing w:val="3"/>
        </w:rPr>
        <w:t>级应急</w:t>
      </w:r>
      <w:r>
        <w:rPr>
          <w:spacing w:val="6"/>
        </w:rPr>
        <w:t>响应时</w:t>
      </w:r>
      <w:r>
        <w:rPr>
          <w:spacing w:val="-50"/>
        </w:rPr>
        <w:t xml:space="preserve"> </w:t>
      </w:r>
      <w:r>
        <w:rPr>
          <w:spacing w:val="6"/>
        </w:rPr>
        <w:t>，按照</w:t>
      </w:r>
      <w:r>
        <w:rPr>
          <w:rFonts w:ascii="Times New Roman" w:hAnsi="Times New Roman" w:eastAsia="Times New Roman" w:cs="Times New Roman"/>
          <w:spacing w:val="6"/>
        </w:rPr>
        <w:t>“</w:t>
      </w:r>
      <w:r>
        <w:rPr>
          <w:spacing w:val="6"/>
        </w:rPr>
        <w:t>统一指挥</w:t>
      </w:r>
      <w:r>
        <w:rPr>
          <w:spacing w:val="-58"/>
        </w:rPr>
        <w:t xml:space="preserve"> </w:t>
      </w:r>
      <w:r>
        <w:rPr>
          <w:spacing w:val="6"/>
        </w:rPr>
        <w:t>，属地为主</w:t>
      </w:r>
      <w:r>
        <w:rPr>
          <w:spacing w:val="-59"/>
        </w:rPr>
        <w:t xml:space="preserve"> </w:t>
      </w:r>
      <w:r>
        <w:rPr>
          <w:spacing w:val="6"/>
        </w:rPr>
        <w:t>，专业处</w:t>
      </w:r>
      <w:r>
        <w:rPr>
          <w:spacing w:val="8"/>
        </w:rPr>
        <w:t>置</w:t>
      </w:r>
      <w:r>
        <w:rPr>
          <w:rFonts w:ascii="Times New Roman" w:hAnsi="Times New Roman" w:eastAsia="Times New Roman" w:cs="Times New Roman"/>
          <w:spacing w:val="8"/>
        </w:rPr>
        <w:t>”</w:t>
      </w:r>
      <w:r>
        <w:rPr>
          <w:spacing w:val="8"/>
        </w:rPr>
        <w:t>的要求，组织开展应急处置工作。</w:t>
      </w:r>
    </w:p>
    <w:p>
      <w:pPr>
        <w:pStyle w:val="BodyText"/>
        <w:ind w:left="2" w:right="59" w:firstLine="442"/>
        <w:spacing w:before="9" w:line="350" w:lineRule="auto"/>
        <w:jc w:val="both"/>
        <w:rPr/>
      </w:pPr>
      <w:r>
        <w:rPr>
          <w:spacing w:val="17"/>
        </w:rPr>
        <w:t>由市应急管理指挥部办公室负责通知同</w:t>
      </w:r>
      <w:r>
        <w:rPr>
          <w:spacing w:val="18"/>
        </w:rPr>
        <w:t>级成员单位负责人立即调动本单位有关人员</w:t>
      </w:r>
      <w:r>
        <w:rPr>
          <w:spacing w:val="7"/>
        </w:rPr>
        <w:t>和应急救援队伍。</w:t>
      </w:r>
    </w:p>
    <w:p>
      <w:pPr>
        <w:pStyle w:val="BodyText"/>
        <w:ind w:left="420"/>
        <w:spacing w:line="278" w:lineRule="exact"/>
        <w:rPr/>
      </w:pPr>
      <w:r>
        <w:rPr>
          <w:spacing w:val="9"/>
          <w:position w:val="1"/>
        </w:rPr>
        <w:t>应急指挥部指挥协调的主要内容包括：</w:t>
      </w:r>
    </w:p>
    <w:p>
      <w:pPr>
        <w:pStyle w:val="BodyText"/>
        <w:ind w:left="412"/>
        <w:spacing w:before="102" w:line="278" w:lineRule="exact"/>
        <w:rPr/>
      </w:pPr>
      <w:r>
        <w:rPr>
          <w:spacing w:val="4"/>
          <w:position w:val="1"/>
        </w:rPr>
        <w:t>（</w:t>
      </w:r>
      <w:r>
        <w:rPr>
          <w:spacing w:val="-47"/>
          <w:position w:val="1"/>
        </w:rPr>
        <w:t xml:space="preserve"> </w:t>
      </w:r>
      <w:r>
        <w:rPr>
          <w:rFonts w:ascii="Times New Roman" w:hAnsi="Times New Roman" w:eastAsia="Times New Roman" w:cs="Times New Roman"/>
          <w:spacing w:val="4"/>
          <w:position w:val="1"/>
        </w:rPr>
        <w:t>1</w:t>
      </w:r>
      <w:r>
        <w:rPr>
          <w:rFonts w:ascii="Times New Roman" w:hAnsi="Times New Roman" w:eastAsia="Times New Roman" w:cs="Times New Roman"/>
          <w:spacing w:val="-21"/>
          <w:position w:val="1"/>
        </w:rPr>
        <w:t xml:space="preserve"> </w:t>
      </w:r>
      <w:r>
        <w:rPr>
          <w:spacing w:val="4"/>
          <w:position w:val="1"/>
        </w:rPr>
        <w:t>）提出现场应急行动原则要求；</w:t>
      </w:r>
    </w:p>
    <w:p>
      <w:pPr>
        <w:pStyle w:val="BodyText"/>
        <w:ind w:right="62" w:firstLine="412"/>
        <w:spacing w:before="100" w:line="291"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）派出专家和人员参与现场指挥部的</w:t>
      </w:r>
      <w:r>
        <w:rPr>
          <w:spacing w:val="7"/>
        </w:rPr>
        <w:t>应急指挥工作；</w:t>
      </w:r>
    </w:p>
    <w:p>
      <w:pPr>
        <w:pStyle w:val="BodyText"/>
        <w:ind w:left="4" w:right="62" w:firstLine="407"/>
        <w:spacing w:before="132" w:line="289"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）协调各级、各专业应急力量实施应</w:t>
      </w:r>
      <w:r>
        <w:rPr>
          <w:spacing w:val="6"/>
        </w:rPr>
        <w:t>急救援行动；</w:t>
      </w:r>
    </w:p>
    <w:p>
      <w:pPr>
        <w:pStyle w:val="BodyText"/>
        <w:ind w:left="17" w:right="62" w:firstLine="394"/>
        <w:spacing w:before="133" w:line="290"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）协调开展受威胁的周边地区危险源</w:t>
      </w:r>
      <w:r>
        <w:rPr>
          <w:spacing w:val="4"/>
        </w:rPr>
        <w:t>的监控工作；</w:t>
      </w:r>
    </w:p>
    <w:p>
      <w:pPr>
        <w:pStyle w:val="BodyText"/>
        <w:ind w:left="1" w:right="62" w:firstLine="410"/>
        <w:spacing w:before="130" w:line="291" w:lineRule="auto"/>
        <w:rPr/>
      </w:pPr>
      <w:r>
        <w:rPr>
          <w:spacing w:val="8"/>
        </w:rPr>
        <w:t>（</w:t>
      </w:r>
      <w:r>
        <w:rPr>
          <w:spacing w:val="-45"/>
        </w:rPr>
        <w:t xml:space="preserve"> </w:t>
      </w:r>
      <w:r>
        <w:rPr>
          <w:rFonts w:ascii="Times New Roman" w:hAnsi="Times New Roman" w:eastAsia="Times New Roman" w:cs="Times New Roman"/>
          <w:spacing w:val="8"/>
        </w:rPr>
        <w:t>5</w:t>
      </w:r>
      <w:r>
        <w:rPr>
          <w:rFonts w:ascii="Times New Roman" w:hAnsi="Times New Roman" w:eastAsia="Times New Roman" w:cs="Times New Roman"/>
          <w:spacing w:val="-19"/>
        </w:rPr>
        <w:t xml:space="preserve"> </w:t>
      </w:r>
      <w:r>
        <w:rPr>
          <w:spacing w:val="8"/>
        </w:rPr>
        <w:t>）协调建立现场警戒区和交通管制区</w:t>
      </w:r>
      <w:r>
        <w:rPr>
          <w:spacing w:val="8"/>
        </w:rPr>
        <w:t>域，确定重点防护区域；</w:t>
      </w:r>
    </w:p>
    <w:p>
      <w:pPr>
        <w:pStyle w:val="BodyText"/>
        <w:ind w:right="47" w:firstLine="412"/>
        <w:spacing w:before="131" w:line="288" w:lineRule="auto"/>
        <w:rPr/>
      </w:pPr>
      <w:r>
        <w:rPr/>
        <w:t>（</w:t>
      </w:r>
      <w:r>
        <w:rPr>
          <w:rFonts w:ascii="Times New Roman" w:hAnsi="Times New Roman" w:eastAsia="Times New Roman" w:cs="Times New Roman"/>
        </w:rPr>
        <w:t>6</w:t>
      </w:r>
      <w:r>
        <w:rPr>
          <w:rFonts w:ascii="Times New Roman" w:hAnsi="Times New Roman" w:eastAsia="Times New Roman" w:cs="Times New Roman"/>
          <w:spacing w:val="-5"/>
        </w:rPr>
        <w:t xml:space="preserve"> </w:t>
      </w:r>
      <w:r>
        <w:rPr/>
        <w:t>）根据现场评估，确定被转移、疏散群</w:t>
      </w:r>
      <w:r>
        <w:rPr>
          <w:spacing w:val="-2"/>
        </w:rPr>
        <w:t>众返回时间，必要时请求武警支队应急增援。</w:t>
      </w:r>
    </w:p>
    <w:p>
      <w:pPr>
        <w:pStyle w:val="BodyText"/>
        <w:ind w:right="59" w:firstLine="424"/>
        <w:spacing w:before="136" w:line="326" w:lineRule="auto"/>
        <w:jc w:val="both"/>
        <w:rPr/>
      </w:pPr>
      <w:r>
        <w:rPr>
          <w:rFonts w:ascii="Times New Roman" w:hAnsi="Times New Roman" w:eastAsia="Times New Roman" w:cs="Times New Roman"/>
          <w:spacing w:val="8"/>
        </w:rPr>
        <w:t>3.5  </w:t>
      </w:r>
      <w:r>
        <w:rPr>
          <w:rFonts w:ascii="KaiTi" w:hAnsi="KaiTi" w:eastAsia="KaiTi" w:cs="KaiTi"/>
          <w:spacing w:val="8"/>
        </w:rPr>
        <w:t>现场指挥部与现场指挥官。</w:t>
      </w:r>
      <w:r>
        <w:rPr>
          <w:spacing w:val="8"/>
        </w:rPr>
        <w:t>启动</w:t>
      </w:r>
      <w:r>
        <w:rPr>
          <w:rFonts w:ascii="Times New Roman" w:hAnsi="Times New Roman" w:eastAsia="Times New Roman" w:cs="Times New Roman"/>
          <w:spacing w:val="8"/>
        </w:rPr>
        <w:t>Ⅲ</w:t>
      </w:r>
      <w:r>
        <w:rPr>
          <w:spacing w:val="8"/>
        </w:rPr>
        <w:t>级</w:t>
      </w:r>
      <w:r>
        <w:rPr>
          <w:spacing w:val="7"/>
        </w:rPr>
        <w:t>以上应急响应时，市应急管理指挥部组织有关</w:t>
      </w:r>
      <w:r>
        <w:rPr>
          <w:spacing w:val="7"/>
        </w:rPr>
        <w:t>部门成立现场指挥部。现场指挥部实行现场总</w:t>
      </w:r>
    </w:p>
    <w:p>
      <w:pPr>
        <w:spacing w:line="326" w:lineRule="auto"/>
        <w:sectPr>
          <w:type w:val="continuous"/>
          <w:pgSz w:w="11906" w:h="16839"/>
          <w:pgMar w:top="1766" w:right="1530" w:bottom="1563" w:left="1576" w:header="1428" w:footer="1172" w:gutter="0"/>
          <w:cols w:equalWidth="0" w:num="2">
            <w:col w:w="4493" w:space="100"/>
            <w:col w:w="4207" w:space="0"/>
          </w:cols>
        </w:sectPr>
        <w:rPr/>
      </w:pPr>
    </w:p>
    <w:p>
      <w:pPr>
        <w:spacing w:before="57"/>
        <w:rPr/>
      </w:pPr>
      <w:r>
        <w:drawing>
          <wp:anchor distT="0" distB="0" distL="0" distR="0" simplePos="0" relativeHeight="252221440"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366" name="IM 1366"/>
            <wp:cNvGraphicFramePr/>
            <a:graphic>
              <a:graphicData uri="http://schemas.openxmlformats.org/drawingml/2006/picture">
                <pic:pic>
                  <pic:nvPicPr>
                    <pic:cNvPr id="1366" name="IM 1366"/>
                    <pic:cNvPicPr/>
                  </pic:nvPicPr>
                  <pic:blipFill>
                    <a:blip r:embed="rId685"/>
                    <a:stretch>
                      <a:fillRect/>
                    </a:stretch>
                  </pic:blipFill>
                  <pic:spPr>
                    <a:xfrm rot="0">
                      <a:off x="0" y="0"/>
                      <a:ext cx="5579745" cy="7620"/>
                    </a:xfrm>
                    <a:prstGeom prst="rect">
                      <a:avLst/>
                    </a:prstGeom>
                  </pic:spPr>
                </pic:pic>
              </a:graphicData>
            </a:graphic>
          </wp:anchor>
        </w:drawing>
      </w:r>
      <w:r/>
    </w:p>
    <w:p>
      <w:pPr>
        <w:sectPr>
          <w:headerReference w:type="default" r:id="rId644"/>
          <w:footerReference w:type="default" r:id="rId684"/>
          <w:pgSz w:w="11906" w:h="16839"/>
          <w:pgMar w:top="1772" w:right="1489" w:bottom="1547" w:left="1588" w:header="1428" w:footer="1172" w:gutter="0"/>
          <w:cols w:equalWidth="0" w:num="1">
            <w:col w:w="8829" w:space="0"/>
          </w:cols>
        </w:sectPr>
        <w:rPr/>
      </w:pPr>
    </w:p>
    <w:p>
      <w:pPr>
        <w:pStyle w:val="BodyText"/>
        <w:ind w:left="6" w:right="329"/>
        <w:spacing w:before="39" w:line="347" w:lineRule="auto"/>
        <w:jc w:val="both"/>
        <w:rPr/>
      </w:pPr>
      <w:r>
        <w:rPr>
          <w:spacing w:val="7"/>
        </w:rPr>
        <w:t>指挥负责制。现场总指挥由市政府分管应急管</w:t>
      </w:r>
      <w:r>
        <w:rPr>
          <w:spacing w:val="7"/>
        </w:rPr>
        <w:t>理工作的副市长担任，副总指挥由事故发生地</w:t>
      </w:r>
      <w:r>
        <w:rPr>
          <w:spacing w:val="4"/>
        </w:rPr>
        <w:t>县（</w:t>
      </w:r>
      <w:r>
        <w:rPr>
          <w:spacing w:val="-37"/>
        </w:rPr>
        <w:t xml:space="preserve"> </w:t>
      </w:r>
      <w:r>
        <w:rPr>
          <w:spacing w:val="4"/>
        </w:rPr>
        <w:t>区）政府主要负责人、市应急管理局局长</w:t>
      </w:r>
      <w:r>
        <w:rPr>
          <w:spacing w:val="4"/>
        </w:rPr>
        <w:t>担任。</w:t>
      </w:r>
    </w:p>
    <w:p>
      <w:pPr>
        <w:pStyle w:val="BodyText"/>
        <w:ind w:left="5" w:right="329" w:firstLine="422"/>
        <w:spacing w:before="21" w:line="350" w:lineRule="auto"/>
        <w:jc w:val="both"/>
        <w:rPr/>
      </w:pPr>
      <w:r>
        <w:rPr>
          <w:spacing w:val="6"/>
        </w:rPr>
        <w:t>现场总指挥统一组织、指挥现场应急救援</w:t>
      </w:r>
      <w:r>
        <w:rPr>
          <w:spacing w:val="7"/>
        </w:rPr>
        <w:t>工作。现场总指挥有权决定现场处置方案，协</w:t>
      </w:r>
      <w:r>
        <w:rPr>
          <w:spacing w:val="7"/>
        </w:rPr>
        <w:t>调有关单位和部门的现场应急处置工作，指挥</w:t>
      </w:r>
      <w:r>
        <w:rPr>
          <w:spacing w:val="8"/>
        </w:rPr>
        <w:t>调度现场应急队伍和应急资源。</w:t>
      </w:r>
    </w:p>
    <w:p>
      <w:pPr>
        <w:pStyle w:val="BodyText"/>
        <w:ind w:left="3" w:right="329" w:firstLine="424"/>
        <w:spacing w:before="6" w:line="350" w:lineRule="auto"/>
        <w:jc w:val="both"/>
        <w:rPr/>
      </w:pPr>
      <w:r>
        <w:rPr>
          <w:spacing w:val="18"/>
        </w:rPr>
        <w:t>现场指挥部吸收涉事的有关单位负责人</w:t>
      </w:r>
      <w:r>
        <w:rPr>
          <w:spacing w:val="7"/>
        </w:rPr>
        <w:t>以及相关专家为成员，参加现场应急救援的队</w:t>
      </w:r>
      <w:r>
        <w:rPr>
          <w:spacing w:val="18"/>
        </w:rPr>
        <w:t>伍和人员在现场指挥部统一协调下进行应急</w:t>
      </w:r>
      <w:r>
        <w:rPr>
          <w:spacing w:val="7"/>
        </w:rPr>
        <w:t>救援和处置工作。与事故有关的部门和单位应</w:t>
      </w:r>
      <w:r>
        <w:rPr>
          <w:spacing w:val="18"/>
        </w:rPr>
        <w:t>当主动向现场指挥部提供与应急处置有关的</w:t>
      </w:r>
      <w:r>
        <w:rPr>
          <w:spacing w:val="7"/>
        </w:rPr>
        <w:t>信息资料，为实施应急处置工作提供各种便利</w:t>
      </w:r>
      <w:r>
        <w:rPr>
          <w:spacing w:val="5"/>
        </w:rPr>
        <w:t>条件。</w:t>
      </w:r>
    </w:p>
    <w:p>
      <w:pPr>
        <w:pStyle w:val="BodyText"/>
        <w:ind w:left="5" w:right="329" w:firstLine="420"/>
        <w:spacing w:before="2" w:line="347" w:lineRule="auto"/>
        <w:jc w:val="both"/>
        <w:rPr/>
      </w:pPr>
      <w:r>
        <w:rPr>
          <w:spacing w:val="6"/>
        </w:rPr>
        <w:t>根据现场情况设置有关应急小组。各应急</w:t>
      </w:r>
      <w:r>
        <w:rPr>
          <w:spacing w:val="7"/>
        </w:rPr>
        <w:t>小组在现场指挥部统一领导下，各尽其责完成</w:t>
      </w:r>
      <w:r>
        <w:rPr>
          <w:spacing w:val="8"/>
        </w:rPr>
        <w:t>现场各项应急处置工作。</w:t>
      </w:r>
    </w:p>
    <w:p>
      <w:pPr>
        <w:ind w:left="425"/>
        <w:spacing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4</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处置措施</w:t>
      </w:r>
    </w:p>
    <w:p>
      <w:pPr>
        <w:pStyle w:val="BodyText"/>
        <w:ind w:left="3" w:right="306" w:firstLine="420"/>
        <w:spacing w:before="84" w:line="352" w:lineRule="auto"/>
        <w:jc w:val="both"/>
        <w:rPr/>
      </w:pPr>
      <w:r>
        <w:rPr>
          <w:rFonts w:ascii="Times New Roman" w:hAnsi="Times New Roman" w:eastAsia="Times New Roman" w:cs="Times New Roman"/>
          <w:spacing w:val="7"/>
        </w:rPr>
        <w:t>4.</w:t>
      </w:r>
      <w:r>
        <w:rPr>
          <w:rFonts w:ascii="Times New Roman" w:hAnsi="Times New Roman" w:eastAsia="Times New Roman" w:cs="Times New Roman"/>
          <w:spacing w:val="-22"/>
        </w:rPr>
        <w:t xml:space="preserve"> </w:t>
      </w:r>
      <w:r>
        <w:rPr>
          <w:rFonts w:ascii="Times New Roman" w:hAnsi="Times New Roman" w:eastAsia="Times New Roman" w:cs="Times New Roman"/>
          <w:spacing w:val="7"/>
        </w:rPr>
        <w:t>1  </w:t>
      </w:r>
      <w:r>
        <w:rPr>
          <w:rFonts w:ascii="KaiTi" w:hAnsi="KaiTi" w:eastAsia="KaiTi" w:cs="KaiTi"/>
          <w:spacing w:val="7"/>
        </w:rPr>
        <w:t>处置措施。</w:t>
      </w:r>
      <w:r>
        <w:rPr>
          <w:spacing w:val="7"/>
        </w:rPr>
        <w:t>危险化学品生产安全事故</w:t>
      </w:r>
      <w:r>
        <w:rPr>
          <w:spacing w:val="7"/>
        </w:rPr>
        <w:t>发生后，达到较大及以上时，需要市应急管理</w:t>
      </w:r>
      <w:r>
        <w:rPr>
          <w:spacing w:val="7"/>
        </w:rPr>
        <w:t>指挥部启动应急响应时，启动危险化学品企业</w:t>
      </w:r>
      <w:r>
        <w:rPr>
          <w:spacing w:val="7"/>
        </w:rPr>
        <w:t>生产安全事故应急预案，按照预案规定设立现</w:t>
      </w:r>
      <w:r>
        <w:rPr>
          <w:spacing w:val="7"/>
        </w:rPr>
        <w:t>场指挥部，实行现场总指挥制度。现场总指挥</w:t>
      </w:r>
      <w:r>
        <w:rPr>
          <w:spacing w:val="7"/>
        </w:rPr>
        <w:t>由市政府分管应急管理工作的副市长担任，副</w:t>
      </w:r>
      <w:r>
        <w:rPr>
          <w:spacing w:val="7"/>
        </w:rPr>
        <w:t>总指挥由事故发生地县区政府主要负责人、市</w:t>
      </w:r>
      <w:r>
        <w:rPr>
          <w:spacing w:val="7"/>
        </w:rPr>
        <w:t>应急管理局局长担任。成员由抢险组组长、医</w:t>
      </w:r>
      <w:r>
        <w:rPr>
          <w:spacing w:val="7"/>
        </w:rPr>
        <w:t>疗救护组组长、新闻宣传组组长等组成。现场</w:t>
      </w:r>
      <w:r>
        <w:rPr>
          <w:spacing w:val="7"/>
        </w:rPr>
        <w:t>总指挥有权决定现场处置方案，指挥调度现场</w:t>
      </w:r>
      <w:r>
        <w:rPr>
          <w:spacing w:val="7"/>
        </w:rPr>
        <w:t>应急救援队伍和应急资源。各有关单位按照职</w:t>
      </w:r>
      <w:r>
        <w:rPr>
          <w:spacing w:val="8"/>
        </w:rPr>
        <w:t>责参与处置工作，包括组织营救、伤员救治、</w:t>
      </w:r>
      <w:r>
        <w:rPr>
          <w:spacing w:val="7"/>
        </w:rPr>
        <w:t>疏散撤离和妥善安置受威胁人员，及时上报事</w:t>
      </w:r>
      <w:r>
        <w:rPr>
          <w:spacing w:val="7"/>
        </w:rPr>
        <w:t>件情况和人员伤亡情况，分配救援任务，协调</w:t>
      </w:r>
      <w:r>
        <w:rPr>
          <w:spacing w:val="7"/>
        </w:rPr>
        <w:t>各级各类救援队伍，查明并及时组织力量消除</w:t>
      </w:r>
    </w:p>
    <w:p>
      <w:pPr>
        <w:spacing w:line="14" w:lineRule="auto"/>
        <w:rPr>
          <w:rFonts w:ascii="Arial"/>
          <w:sz w:val="2"/>
        </w:rPr>
      </w:pPr>
      <w:r>
        <w:rPr>
          <w:rFonts w:ascii="Arial" w:hAnsi="Arial" w:eastAsia="Arial" w:cs="Arial"/>
          <w:sz w:val="2"/>
          <w:szCs w:val="2"/>
        </w:rPr>
        <w:br w:type="column"/>
      </w:r>
    </w:p>
    <w:p>
      <w:pPr>
        <w:pStyle w:val="BodyText"/>
        <w:ind w:left="3" w:right="101"/>
        <w:spacing w:before="44" w:line="357" w:lineRule="auto"/>
        <w:rPr/>
      </w:pPr>
      <w:r>
        <w:rPr>
          <w:spacing w:val="7"/>
        </w:rPr>
        <w:t>次生灾害，组织抢修公共设施、接收与分配援</w:t>
      </w:r>
      <w:r>
        <w:rPr>
          <w:spacing w:val="6"/>
        </w:rPr>
        <w:t>助物资等。</w:t>
      </w:r>
    </w:p>
    <w:p>
      <w:pPr>
        <w:pStyle w:val="BodyText"/>
        <w:ind w:right="101" w:firstLine="420"/>
        <w:spacing w:line="353" w:lineRule="auto"/>
        <w:rPr/>
      </w:pPr>
      <w:r>
        <w:rPr>
          <w:spacing w:val="19"/>
        </w:rPr>
        <w:t>各有关部门应按照市应急管理指挥部拟</w:t>
      </w:r>
      <w:r>
        <w:rPr>
          <w:spacing w:val="9"/>
        </w:rPr>
        <w:t>定的分工，迅速组织应急抢险救援工作。</w:t>
      </w:r>
    </w:p>
    <w:p>
      <w:pPr>
        <w:pStyle w:val="BodyText"/>
        <w:ind w:left="1" w:right="101" w:firstLine="420"/>
        <w:spacing w:before="2" w:line="350" w:lineRule="auto"/>
        <w:jc w:val="both"/>
        <w:rPr/>
      </w:pPr>
      <w:r>
        <w:rPr>
          <w:spacing w:val="19"/>
        </w:rPr>
        <w:t>危险化学品企业生产安全事故的专业抢</w:t>
      </w:r>
      <w:r>
        <w:rPr>
          <w:spacing w:val="7"/>
        </w:rPr>
        <w:t>救，由事发地县区应急救援大队负责，在危险</w:t>
      </w:r>
      <w:r>
        <w:rPr>
          <w:spacing w:val="18"/>
        </w:rPr>
        <w:t>化学品相关专项应急指挥机构指导下开展应</w:t>
      </w:r>
      <w:r>
        <w:rPr>
          <w:spacing w:val="8"/>
        </w:rPr>
        <w:t>急救援处置工作。</w:t>
      </w:r>
    </w:p>
    <w:p>
      <w:pPr>
        <w:pStyle w:val="BodyText"/>
        <w:ind w:right="78" w:firstLine="420"/>
        <w:spacing w:before="33" w:line="355" w:lineRule="auto"/>
        <w:jc w:val="both"/>
        <w:rPr/>
      </w:pPr>
      <w:r>
        <w:rPr>
          <w:spacing w:val="6"/>
        </w:rPr>
        <w:t>进入现场救援人员必须经过专门训练，配</w:t>
      </w:r>
      <w:r>
        <w:rPr>
          <w:spacing w:val="7"/>
        </w:rPr>
        <w:t>备相应的防护装备及检测仪器等。危险化学品</w:t>
      </w:r>
      <w:r>
        <w:rPr>
          <w:spacing w:val="7"/>
        </w:rPr>
        <w:t>企业生产安全事故主要为火灾、爆炸、中毒和</w:t>
      </w:r>
      <w:r>
        <w:rPr>
          <w:spacing w:val="8"/>
        </w:rPr>
        <w:t>窒息、起重伤害等。事故中心区应严禁火种、</w:t>
      </w:r>
      <w:r>
        <w:rPr>
          <w:spacing w:val="7"/>
        </w:rPr>
        <w:t>切断电源，立即在边界设置警戒线。根据事故</w:t>
      </w:r>
      <w:r>
        <w:rPr>
          <w:spacing w:val="15"/>
        </w:rPr>
        <w:t>情况和事故发展</w:t>
      </w:r>
      <w:r>
        <w:rPr>
          <w:spacing w:val="-40"/>
        </w:rPr>
        <w:t xml:space="preserve"> </w:t>
      </w:r>
      <w:r>
        <w:rPr>
          <w:spacing w:val="15"/>
        </w:rPr>
        <w:t>，确定事故波及区人员的撤</w:t>
      </w:r>
      <w:r>
        <w:rPr>
          <w:spacing w:val="7"/>
        </w:rPr>
        <w:t>离。井下救护应使用专用防护服、隔绝式空气</w:t>
      </w:r>
      <w:r>
        <w:rPr>
          <w:spacing w:val="6"/>
        </w:rPr>
        <w:t>面具等。</w:t>
      </w:r>
    </w:p>
    <w:p>
      <w:pPr>
        <w:ind w:left="420"/>
        <w:spacing w:before="2" w:line="265" w:lineRule="exact"/>
        <w:rPr>
          <w:rFonts w:ascii="KaiTi" w:hAnsi="KaiTi" w:eastAsia="KaiTi" w:cs="KaiTi"/>
          <w:sz w:val="20"/>
          <w:szCs w:val="20"/>
        </w:rPr>
      </w:pPr>
      <w:r>
        <w:rPr>
          <w:rFonts w:ascii="Times New Roman" w:hAnsi="Times New Roman" w:eastAsia="Times New Roman" w:cs="Times New Roman"/>
          <w:sz w:val="20"/>
          <w:szCs w:val="20"/>
          <w:spacing w:val="5"/>
          <w:position w:val="1"/>
        </w:rPr>
        <w:t>4.2  </w:t>
      </w:r>
      <w:r>
        <w:rPr>
          <w:rFonts w:ascii="KaiTi" w:hAnsi="KaiTi" w:eastAsia="KaiTi" w:cs="KaiTi"/>
          <w:sz w:val="20"/>
          <w:szCs w:val="20"/>
          <w:spacing w:val="5"/>
          <w:position w:val="1"/>
        </w:rPr>
        <w:t>社会动员。</w:t>
      </w:r>
    </w:p>
    <w:p>
      <w:pPr>
        <w:pStyle w:val="BodyText"/>
        <w:ind w:left="2" w:right="81" w:firstLine="418"/>
        <w:spacing w:before="128" w:line="322" w:lineRule="auto"/>
        <w:rPr/>
      </w:pPr>
      <w:r>
        <w:rPr>
          <w:rFonts w:ascii="Times New Roman" w:hAnsi="Times New Roman" w:eastAsia="Times New Roman" w:cs="Times New Roman"/>
          <w:spacing w:val="13"/>
        </w:rPr>
        <w:t>4.2.1 </w:t>
      </w:r>
      <w:r>
        <w:rPr>
          <w:spacing w:val="13"/>
        </w:rPr>
        <w:t>市应急管理指挥部办公室根据危险</w:t>
      </w:r>
      <w:r>
        <w:rPr>
          <w:spacing w:val="18"/>
        </w:rPr>
        <w:t>化学品生产安全事故的性质、危害程度和范</w:t>
      </w:r>
      <w:r>
        <w:rPr>
          <w:spacing w:val="7"/>
        </w:rPr>
        <w:t>围，广泛调动社会力量参与事件处置，紧急情</w:t>
      </w:r>
      <w:r>
        <w:rPr>
          <w:spacing w:val="8"/>
        </w:rPr>
        <w:t>况下可依法征用、调用人员、车辆、物资等。</w:t>
      </w:r>
    </w:p>
    <w:p>
      <w:pPr>
        <w:pStyle w:val="BodyText"/>
        <w:ind w:right="92" w:firstLine="420"/>
        <w:spacing w:before="144" w:line="330" w:lineRule="auto"/>
        <w:rPr/>
      </w:pPr>
      <w:r>
        <w:rPr>
          <w:rFonts w:ascii="Times New Roman" w:hAnsi="Times New Roman" w:eastAsia="Times New Roman" w:cs="Times New Roman"/>
          <w:spacing w:val="3"/>
        </w:rPr>
        <w:t>4.2.2 </w:t>
      </w:r>
      <w:r>
        <w:rPr>
          <w:spacing w:val="3"/>
        </w:rPr>
        <w:t>危险化学品生产安全事故发生后，相</w:t>
      </w:r>
      <w:r>
        <w:rPr>
          <w:spacing w:val="18"/>
        </w:rPr>
        <w:t>应应急指挥机构组织各方面力量开展应急处</w:t>
      </w:r>
      <w:r>
        <w:rPr>
          <w:spacing w:val="7"/>
        </w:rPr>
        <w:t>置工作，组织基层单位和人员开展自救互救；</w:t>
      </w:r>
      <w:r>
        <w:rPr>
          <w:spacing w:val="18"/>
        </w:rPr>
        <w:t>邻近的乡镇政府根据灾情组织和动员社会力</w:t>
      </w:r>
      <w:r>
        <w:rPr>
          <w:spacing w:val="8"/>
        </w:rPr>
        <w:t>量，对事发地提供援助。</w:t>
      </w:r>
    </w:p>
    <w:p>
      <w:pPr>
        <w:pStyle w:val="BodyText"/>
        <w:ind w:right="81" w:firstLine="420"/>
        <w:spacing w:before="143" w:line="323" w:lineRule="auto"/>
        <w:rPr/>
      </w:pPr>
      <w:r>
        <w:rPr>
          <w:rFonts w:ascii="Times New Roman" w:hAnsi="Times New Roman" w:eastAsia="Times New Roman" w:cs="Times New Roman"/>
          <w:spacing w:val="3"/>
        </w:rPr>
        <w:t>4.2.3 </w:t>
      </w:r>
      <w:r>
        <w:rPr>
          <w:spacing w:val="3"/>
        </w:rPr>
        <w:t>鼓励公民、法人和其他组织按照《中</w:t>
      </w:r>
      <w:r>
        <w:rPr>
          <w:spacing w:val="7"/>
        </w:rPr>
        <w:t>华人民共和国公益事业捐赠法》等有关法律法</w:t>
      </w:r>
      <w:r>
        <w:rPr>
          <w:spacing w:val="7"/>
        </w:rPr>
        <w:t>规的规定进行捐赠和援助。审计、监察部门对</w:t>
      </w:r>
      <w:r>
        <w:rPr>
          <w:spacing w:val="8"/>
        </w:rPr>
        <w:t>捐赠资金与物资的使用情况进行审计和监督。</w:t>
      </w:r>
    </w:p>
    <w:p>
      <w:pPr>
        <w:pStyle w:val="BodyText"/>
        <w:ind w:right="101" w:firstLine="420"/>
        <w:spacing w:before="142" w:line="315" w:lineRule="auto"/>
        <w:rPr/>
      </w:pPr>
      <w:r>
        <w:rPr>
          <w:rFonts w:ascii="Times New Roman" w:hAnsi="Times New Roman" w:eastAsia="Times New Roman" w:cs="Times New Roman"/>
          <w:spacing w:val="13"/>
        </w:rPr>
        <w:t>4.2.4 </w:t>
      </w:r>
      <w:r>
        <w:rPr>
          <w:spacing w:val="13"/>
        </w:rPr>
        <w:t>根据危险化学品生产安全事故发展</w:t>
      </w:r>
      <w:r>
        <w:rPr>
          <w:spacing w:val="7"/>
        </w:rPr>
        <w:t>情况，向社会公布志愿服务需求指南，明确专</w:t>
      </w:r>
      <w:r>
        <w:rPr>
          <w:spacing w:val="7"/>
        </w:rPr>
        <w:t>门人员，及时开通志愿服务联系电话，统一接</w:t>
      </w:r>
      <w:r>
        <w:rPr>
          <w:spacing w:val="7"/>
        </w:rPr>
        <w:t>收志愿者组织报名，做好志愿者派遣和相关服</w:t>
      </w:r>
    </w:p>
    <w:p>
      <w:pPr>
        <w:spacing w:line="315" w:lineRule="auto"/>
        <w:sectPr>
          <w:type w:val="continuous"/>
          <w:pgSz w:w="11906" w:h="16839"/>
          <w:pgMar w:top="1772" w:right="1489" w:bottom="1547" w:left="1588" w:header="1428" w:footer="1172" w:gutter="0"/>
          <w:cols w:equalWidth="0" w:num="2">
            <w:col w:w="4481" w:space="100"/>
            <w:col w:w="4249" w:space="0"/>
          </w:cols>
        </w:sectPr>
        <w:rPr/>
      </w:pPr>
    </w:p>
    <w:p>
      <w:pPr>
        <w:spacing w:before="34"/>
        <w:rPr/>
      </w:pPr>
      <w:r/>
    </w:p>
    <w:p>
      <w:pPr>
        <w:sectPr>
          <w:headerReference w:type="default" r:id="rId686"/>
          <w:footerReference w:type="default" r:id="rId687"/>
          <w:pgSz w:w="11906" w:h="16839"/>
          <w:pgMar w:top="1766" w:right="1523" w:bottom="1563" w:left="1523" w:header="1428" w:footer="1172" w:gutter="0"/>
          <w:cols w:equalWidth="0" w:num="1">
            <w:col w:w="8860" w:space="0"/>
          </w:cols>
        </w:sectPr>
        <w:rPr/>
      </w:pPr>
    </w:p>
    <w:p>
      <w:pPr>
        <w:pStyle w:val="BodyText"/>
        <w:ind w:left="69"/>
        <w:spacing w:before="73" w:line="223" w:lineRule="auto"/>
        <w:rPr/>
      </w:pPr>
      <w:r>
        <w:rPr>
          <w:spacing w:val="9"/>
        </w:rPr>
        <w:t>务工作，引导志愿者有序参与救援工作。</w:t>
      </w:r>
    </w:p>
    <w:p>
      <w:pPr>
        <w:pStyle w:val="BodyText"/>
        <w:ind w:left="68" w:right="328" w:firstLine="420"/>
        <w:spacing w:before="112" w:line="323" w:lineRule="auto"/>
        <w:jc w:val="both"/>
        <w:rPr/>
      </w:pPr>
      <w:r>
        <w:rPr>
          <w:rFonts w:ascii="Times New Roman" w:hAnsi="Times New Roman" w:eastAsia="Times New Roman" w:cs="Times New Roman"/>
          <w:spacing w:val="8"/>
        </w:rPr>
        <w:t>4.3  </w:t>
      </w:r>
      <w:r>
        <w:rPr>
          <w:rFonts w:ascii="KaiTi" w:hAnsi="KaiTi" w:eastAsia="KaiTi" w:cs="KaiTi"/>
          <w:spacing w:val="8"/>
        </w:rPr>
        <w:t>信息发布。</w:t>
      </w:r>
      <w:r>
        <w:rPr>
          <w:spacing w:val="8"/>
        </w:rPr>
        <w:t>信息发布与舆情管控与引</w:t>
      </w:r>
      <w:r>
        <w:rPr>
          <w:spacing w:val="7"/>
        </w:rPr>
        <w:t>导严格执行《中共中央宣传部关于规范重特大</w:t>
      </w:r>
      <w:r>
        <w:rPr>
          <w:spacing w:val="4"/>
        </w:rPr>
        <w:t>事故信息发布工作的意见》和《</w:t>
      </w:r>
      <w:r>
        <w:rPr>
          <w:spacing w:val="-35"/>
        </w:rPr>
        <w:t xml:space="preserve"> </w:t>
      </w:r>
      <w:r>
        <w:rPr>
          <w:spacing w:val="4"/>
        </w:rPr>
        <w:t>自治区党委宣</w:t>
      </w:r>
      <w:r>
        <w:rPr>
          <w:spacing w:val="18"/>
        </w:rPr>
        <w:t>传部关于规范重特大事故信息发布及新闻报</w:t>
      </w:r>
      <w:r>
        <w:rPr>
          <w:spacing w:val="8"/>
        </w:rPr>
        <w:t>道工作的实施意见》等有关规定。</w:t>
      </w:r>
    </w:p>
    <w:p>
      <w:pPr>
        <w:pStyle w:val="BodyText"/>
        <w:ind w:left="70" w:right="248" w:firstLine="410"/>
        <w:spacing w:before="2" w:line="320" w:lineRule="auto"/>
        <w:jc w:val="both"/>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）按照分级响应原则</w:t>
      </w:r>
      <w:r>
        <w:rPr>
          <w:spacing w:val="-59"/>
        </w:rPr>
        <w:t xml:space="preserve"> </w:t>
      </w:r>
      <w:r>
        <w:rPr>
          <w:spacing w:val="5"/>
        </w:rPr>
        <w:t>，一般生产安全</w:t>
      </w:r>
      <w:r>
        <w:rPr>
          <w:spacing w:val="8"/>
        </w:rPr>
        <w:t>事故信息发布工作由县（</w:t>
      </w:r>
      <w:r>
        <w:rPr>
          <w:spacing w:val="-42"/>
        </w:rPr>
        <w:t xml:space="preserve"> </w:t>
      </w:r>
      <w:r>
        <w:rPr>
          <w:spacing w:val="8"/>
        </w:rPr>
        <w:t>区）人民政府发布；</w:t>
      </w:r>
      <w:r>
        <w:rPr>
          <w:spacing w:val="18"/>
        </w:rPr>
        <w:t>较大及较大以上生产安全事故信息发布工作</w:t>
      </w:r>
      <w:r>
        <w:rPr>
          <w:spacing w:val="1"/>
        </w:rPr>
        <w:t>由市政府决定。信息发布要统一、及时、准确、</w:t>
      </w:r>
      <w:r>
        <w:rPr>
          <w:spacing w:val="4"/>
        </w:rPr>
        <w:t>客观。</w:t>
      </w:r>
    </w:p>
    <w:p>
      <w:pPr>
        <w:pStyle w:val="BodyText"/>
        <w:ind w:left="68" w:right="328" w:firstLine="422"/>
        <w:spacing w:before="18" w:line="323" w:lineRule="auto"/>
        <w:jc w:val="both"/>
        <w:rPr/>
      </w:pPr>
      <w:r>
        <w:rPr>
          <w:spacing w:val="6"/>
        </w:rPr>
        <w:t>根据事故影响程度和类型，组织有关责任</w:t>
      </w:r>
      <w:r>
        <w:rPr>
          <w:spacing w:val="7"/>
        </w:rPr>
        <w:t>单位、职能部门和专家拟写新闻稿、专家评论</w:t>
      </w:r>
      <w:r>
        <w:rPr>
          <w:spacing w:val="-3"/>
        </w:rPr>
        <w:t>或事故情况公告，报指挥部同意后向媒体发布。</w:t>
      </w:r>
    </w:p>
    <w:p>
      <w:pPr>
        <w:pStyle w:val="BodyText"/>
        <w:ind w:left="67" w:right="328" w:firstLine="423"/>
        <w:spacing w:before="2" w:line="321" w:lineRule="auto"/>
        <w:jc w:val="both"/>
        <w:rPr/>
      </w:pPr>
      <w:r>
        <w:rPr>
          <w:spacing w:val="6"/>
        </w:rPr>
        <w:t>宣传、网信、公安等部门要密切关注舆情</w:t>
      </w:r>
      <w:r>
        <w:rPr>
          <w:spacing w:val="7"/>
        </w:rPr>
        <w:t>信息，及时做好舆情管控、引导工作，防止舆</w:t>
      </w:r>
      <w:r>
        <w:rPr>
          <w:spacing w:val="6"/>
        </w:rPr>
        <w:t>论炒作。</w:t>
      </w:r>
    </w:p>
    <w:p>
      <w:pPr>
        <w:pStyle w:val="BodyText"/>
        <w:ind w:left="67" w:right="328" w:firstLine="413"/>
        <w:spacing w:before="3" w:line="307"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）信息发布主要内容包括：生产安全</w:t>
      </w:r>
      <w:r>
        <w:rPr>
          <w:spacing w:val="7"/>
        </w:rPr>
        <w:t>事故的种类及其次生、衍生灾害的监测和预警</w:t>
      </w:r>
      <w:r>
        <w:rPr>
          <w:spacing w:val="7"/>
        </w:rPr>
        <w:t>情况；事件发生时间、地点、人员伤亡（包括</w:t>
      </w:r>
      <w:r>
        <w:rPr>
          <w:spacing w:val="7"/>
        </w:rPr>
        <w:t>下落不明人数）和财产损失情况、救援进展情</w:t>
      </w:r>
      <w:r>
        <w:rPr>
          <w:spacing w:val="18"/>
        </w:rPr>
        <w:t>况、事件区域交通管制情况以及临时交通措</w:t>
      </w:r>
      <w:r>
        <w:rPr>
          <w:spacing w:val="9"/>
        </w:rPr>
        <w:t>施；事件责任单位基本情况等。</w:t>
      </w:r>
    </w:p>
    <w:p>
      <w:pPr>
        <w:pStyle w:val="BodyText"/>
        <w:ind w:left="67" w:right="248" w:firstLine="413"/>
        <w:spacing w:before="102" w:line="290" w:lineRule="auto"/>
        <w:rPr/>
      </w:pPr>
      <w:r>
        <w:rPr>
          <w:spacing w:val="4"/>
        </w:rPr>
        <w:t>（</w:t>
      </w:r>
      <w:r>
        <w:rPr>
          <w:rFonts w:ascii="Times New Roman" w:hAnsi="Times New Roman" w:eastAsia="Times New Roman" w:cs="Times New Roman"/>
          <w:spacing w:val="4"/>
        </w:rPr>
        <w:t>3</w:t>
      </w:r>
      <w:r>
        <w:rPr>
          <w:rFonts w:ascii="Times New Roman" w:hAnsi="Times New Roman" w:eastAsia="Times New Roman" w:cs="Times New Roman"/>
          <w:spacing w:val="-13"/>
        </w:rPr>
        <w:t xml:space="preserve"> </w:t>
      </w:r>
      <w:r>
        <w:rPr>
          <w:spacing w:val="4"/>
        </w:rPr>
        <w:t>）信息发布形式主要包括：权威发布、</w:t>
      </w:r>
      <w:r>
        <w:rPr>
          <w:spacing w:val="7"/>
        </w:rPr>
        <w:t>提供新闻稿、组织报道、接受记者采访、举行</w:t>
      </w:r>
      <w:r>
        <w:rPr>
          <w:spacing w:val="7"/>
        </w:rPr>
        <w:t>新闻发布会等。</w:t>
      </w:r>
    </w:p>
    <w:p>
      <w:pPr>
        <w:spacing w:line="14" w:lineRule="auto"/>
        <w:rPr>
          <w:rFonts w:ascii="Arial"/>
          <w:sz w:val="2"/>
        </w:rPr>
      </w:pPr>
      <w:r>
        <w:rPr>
          <w:rFonts w:ascii="Arial" w:hAnsi="Arial" w:eastAsia="Arial" w:cs="Arial"/>
          <w:sz w:val="2"/>
          <w:szCs w:val="2"/>
        </w:rPr>
        <w:br w:type="column"/>
      </w:r>
    </w:p>
    <w:p>
      <w:pPr>
        <w:pStyle w:val="BodyText"/>
        <w:ind w:right="44" w:firstLine="421"/>
        <w:spacing w:before="38" w:line="307" w:lineRule="auto"/>
        <w:rPr/>
      </w:pPr>
      <w:r>
        <w:rPr>
          <w:rFonts w:ascii="Times New Roman" w:hAnsi="Times New Roman" w:eastAsia="Times New Roman" w:cs="Times New Roman"/>
          <w:spacing w:val="8"/>
        </w:rPr>
        <w:t>4.4  </w:t>
      </w:r>
      <w:r>
        <w:rPr>
          <w:rFonts w:ascii="KaiTi" w:hAnsi="KaiTi" w:eastAsia="KaiTi" w:cs="KaiTi"/>
          <w:spacing w:val="8"/>
        </w:rPr>
        <w:t>响应终止。</w:t>
      </w:r>
      <w:r>
        <w:rPr>
          <w:spacing w:val="8"/>
        </w:rPr>
        <w:t>应对较大危险化学品企业</w:t>
      </w:r>
      <w:r>
        <w:rPr>
          <w:spacing w:val="7"/>
        </w:rPr>
        <w:t>生产安全事故工作基本结束、紧急转移和安置</w:t>
      </w:r>
      <w:r>
        <w:rPr>
          <w:spacing w:val="7"/>
        </w:rPr>
        <w:t>工作基本完成、次生灾害的后果基本消除，以</w:t>
      </w:r>
      <w:r>
        <w:rPr>
          <w:spacing w:val="8"/>
        </w:rPr>
        <w:t>及交通、电力、通信和供水等基本抢修抢通、</w:t>
      </w:r>
      <w:r>
        <w:rPr>
          <w:spacing w:val="7"/>
        </w:rPr>
        <w:t>群众生活秩序基本恢复后，现场指挥部提出建</w:t>
      </w:r>
      <w:r>
        <w:rPr>
          <w:spacing w:val="8"/>
        </w:rPr>
        <w:t>议，由市应急管理指挥部决定终止应急响应。</w:t>
      </w:r>
    </w:p>
    <w:p>
      <w:pPr>
        <w:pStyle w:val="BodyText"/>
        <w:ind w:left="1" w:right="67" w:firstLine="420"/>
        <w:spacing w:before="105" w:line="299" w:lineRule="auto"/>
        <w:rPr/>
      </w:pPr>
      <w:r>
        <w:rPr>
          <w:rFonts w:ascii="Times New Roman" w:hAnsi="Times New Roman" w:eastAsia="Times New Roman" w:cs="Times New Roman"/>
          <w:spacing w:val="8"/>
        </w:rPr>
        <w:t>4.5  </w:t>
      </w:r>
      <w:r>
        <w:rPr>
          <w:rFonts w:ascii="KaiTi" w:hAnsi="KaiTi" w:eastAsia="KaiTi" w:cs="KaiTi"/>
          <w:spacing w:val="8"/>
        </w:rPr>
        <w:t>后期处置。</w:t>
      </w:r>
      <w:r>
        <w:rPr>
          <w:spacing w:val="8"/>
        </w:rPr>
        <w:t>宣布应急结束后，在市应</w:t>
      </w:r>
      <w:r>
        <w:rPr>
          <w:spacing w:val="7"/>
        </w:rPr>
        <w:t>急管理指挥部统一领导下，由相关部门负责后</w:t>
      </w:r>
      <w:r>
        <w:rPr>
          <w:spacing w:val="15"/>
        </w:rPr>
        <w:t>期处置工作</w:t>
      </w:r>
      <w:r>
        <w:rPr>
          <w:spacing w:val="-40"/>
        </w:rPr>
        <w:t xml:space="preserve"> </w:t>
      </w:r>
      <w:r>
        <w:rPr>
          <w:spacing w:val="15"/>
        </w:rPr>
        <w:t>，根据事故造成的后果及实际情</w:t>
      </w:r>
      <w:r>
        <w:rPr>
          <w:spacing w:val="9"/>
        </w:rPr>
        <w:t>况，制订善后处理措施并组织实施。</w:t>
      </w:r>
    </w:p>
    <w:p>
      <w:pPr>
        <w:pStyle w:val="BodyText"/>
        <w:ind w:right="67" w:firstLine="423"/>
        <w:spacing w:before="110" w:line="323" w:lineRule="auto"/>
        <w:jc w:val="both"/>
        <w:rPr/>
      </w:pPr>
      <w:r>
        <w:rPr>
          <w:spacing w:val="19"/>
        </w:rPr>
        <w:t>市应急管理局组织开展事故损失评估核</w:t>
      </w:r>
      <w:r>
        <w:rPr>
          <w:spacing w:val="15"/>
        </w:rPr>
        <w:t>定工作</w:t>
      </w:r>
      <w:r>
        <w:rPr>
          <w:spacing w:val="-39"/>
        </w:rPr>
        <w:t xml:space="preserve"> </w:t>
      </w:r>
      <w:r>
        <w:rPr>
          <w:spacing w:val="15"/>
        </w:rPr>
        <w:t>；市生态环境局提出事故污染处置建</w:t>
      </w:r>
      <w:r>
        <w:rPr>
          <w:spacing w:val="7"/>
        </w:rPr>
        <w:t>议，负责现场清理和消除环境污染；市应急管</w:t>
      </w:r>
      <w:r>
        <w:rPr>
          <w:spacing w:val="7"/>
        </w:rPr>
        <w:t>理局会同发展和改革委员会、财政局制定应由</w:t>
      </w:r>
      <w:r>
        <w:rPr>
          <w:spacing w:val="7"/>
        </w:rPr>
        <w:t>政府补偿的补偿标准和办法；做好征用补偿工</w:t>
      </w:r>
      <w:r>
        <w:rPr>
          <w:spacing w:val="7"/>
        </w:rPr>
        <w:t>作，做好受灾地区社会管理工作，并配合有关</w:t>
      </w:r>
      <w:r>
        <w:rPr>
          <w:spacing w:val="-3"/>
        </w:rPr>
        <w:t>部门做好救助款物的管理和调拨、发放等工作。</w:t>
      </w:r>
    </w:p>
    <w:p>
      <w:pPr>
        <w:ind w:left="399"/>
        <w:spacing w:before="2" w:line="18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五、固原市非煤矿山生产安全事故应急预案</w:t>
      </w:r>
    </w:p>
    <w:p>
      <w:pPr>
        <w:ind w:left="432"/>
        <w:spacing w:before="82" w:line="242" w:lineRule="auto"/>
        <w:rPr>
          <w:rFonts w:ascii="KaiTi" w:hAnsi="KaiTi" w:eastAsia="KaiTi" w:cs="KaiTi"/>
          <w:sz w:val="20"/>
          <w:szCs w:val="20"/>
        </w:rPr>
      </w:pPr>
      <w:r>
        <w:rPr>
          <w:rFonts w:ascii="Times New Roman" w:hAnsi="Times New Roman" w:eastAsia="Times New Roman" w:cs="Times New Roman"/>
          <w:sz w:val="20"/>
          <w:szCs w:val="20"/>
          <w:b/>
          <w:bCs/>
          <w:spacing w:val="4"/>
        </w:rPr>
        <w:t>1</w:t>
      </w:r>
      <w:r>
        <w:rPr>
          <w:rFonts w:ascii="Times New Roman" w:hAnsi="Times New Roman" w:eastAsia="Times New Roman" w:cs="Times New Roman"/>
          <w:sz w:val="20"/>
          <w:szCs w:val="20"/>
          <w:b/>
          <w:bCs/>
          <w:spacing w:val="5"/>
        </w:rPr>
        <w:t xml:space="preserve">    </w:t>
      </w:r>
      <w:r>
        <w:rPr>
          <w:rFonts w:ascii="KaiTi" w:hAnsi="KaiTi" w:eastAsia="KaiTi" w:cs="KaiTi"/>
          <w:sz w:val="20"/>
          <w:szCs w:val="20"/>
          <w:b/>
          <w:bCs/>
          <w:spacing w:val="4"/>
        </w:rPr>
        <w:t>事故风险分析</w:t>
      </w:r>
    </w:p>
    <w:p>
      <w:pPr>
        <w:pStyle w:val="BodyText"/>
        <w:ind w:left="3" w:right="64" w:firstLine="420"/>
        <w:spacing w:before="92" w:line="323" w:lineRule="auto"/>
        <w:jc w:val="both"/>
        <w:rPr/>
      </w:pPr>
      <w:r>
        <w:rPr>
          <w:spacing w:val="6"/>
        </w:rPr>
        <w:t>在露天非煤矿山开采作业过程中，主要存</w:t>
      </w:r>
      <w:r>
        <w:rPr>
          <w:spacing w:val="7"/>
        </w:rPr>
        <w:t>在物体打击、高处坠落、机械伤害、触电、车</w:t>
      </w:r>
      <w:r>
        <w:rPr>
          <w:spacing w:val="7"/>
        </w:rPr>
        <w:t>辆伤害、坍塌、爆破、火药爆炸、淹溺、火灾</w:t>
      </w:r>
      <w:r>
        <w:rPr>
          <w:spacing w:val="6"/>
        </w:rPr>
        <w:t>等危险。</w:t>
      </w:r>
    </w:p>
    <w:p>
      <w:pPr>
        <w:pStyle w:val="BodyText"/>
        <w:ind w:left="7" w:right="67" w:firstLine="416"/>
        <w:spacing w:before="2" w:line="332" w:lineRule="auto"/>
        <w:jc w:val="both"/>
        <w:rPr/>
      </w:pPr>
      <w:r>
        <w:rPr>
          <w:spacing w:val="6"/>
        </w:rPr>
        <w:t>在分析系统危险性时，为了衡量危险性的</w:t>
      </w:r>
      <w:r>
        <w:rPr>
          <w:spacing w:val="7"/>
        </w:rPr>
        <w:t>大小及其对系统破坏程度，将各类危险性划分</w:t>
      </w:r>
      <w:r>
        <w:rPr>
          <w:spacing w:val="6"/>
        </w:rPr>
        <w:t>为</w:t>
      </w:r>
      <w:r>
        <w:rPr>
          <w:spacing w:val="-38"/>
        </w:rPr>
        <w:t xml:space="preserve"> </w:t>
      </w:r>
      <w:r>
        <w:rPr>
          <w:rFonts w:ascii="Times New Roman" w:hAnsi="Times New Roman" w:eastAsia="Times New Roman" w:cs="Times New Roman"/>
          <w:spacing w:val="6"/>
        </w:rPr>
        <w:t>4 </w:t>
      </w:r>
      <w:r>
        <w:rPr>
          <w:spacing w:val="6"/>
        </w:rPr>
        <w:t>个等级，见下表：</w:t>
      </w:r>
    </w:p>
    <w:p>
      <w:pPr>
        <w:spacing w:line="332" w:lineRule="auto"/>
        <w:sectPr>
          <w:type w:val="continuous"/>
          <w:pgSz w:w="11906" w:h="16839"/>
          <w:pgMar w:top="1766" w:right="1523" w:bottom="1563" w:left="1523" w:header="1428" w:footer="1172" w:gutter="0"/>
          <w:cols w:equalWidth="0" w:num="2">
            <w:col w:w="4544" w:space="100"/>
            <w:col w:w="4216" w:space="0"/>
          </w:cols>
        </w:sectPr>
        <w:rPr/>
      </w:pPr>
    </w:p>
    <w:p>
      <w:pPr>
        <w:ind w:left="3318"/>
        <w:spacing w:before="168" w:line="222" w:lineRule="auto"/>
        <w:rPr>
          <w:rFonts w:ascii="SimHei" w:hAnsi="SimHei" w:eastAsia="SimHei" w:cs="SimHei"/>
          <w:sz w:val="28"/>
          <w:szCs w:val="28"/>
        </w:rPr>
      </w:pPr>
      <w:r>
        <w:drawing>
          <wp:anchor distT="0" distB="0" distL="0" distR="0" simplePos="0" relativeHeight="252226560" behindDoc="0" locked="0" layoutInCell="1" allowOverlap="1">
            <wp:simplePos x="0" y="0"/>
            <wp:positionH relativeFrom="column">
              <wp:posOffset>41021</wp:posOffset>
            </wp:positionH>
            <wp:positionV relativeFrom="paragraph">
              <wp:posOffset>-5977076</wp:posOffset>
            </wp:positionV>
            <wp:extent cx="5579745" cy="7620"/>
            <wp:effectExtent l="0" t="0" r="0" b="0"/>
            <wp:wrapNone/>
            <wp:docPr id="1372" name="IM 1372"/>
            <wp:cNvGraphicFramePr/>
            <a:graphic>
              <a:graphicData uri="http://schemas.openxmlformats.org/drawingml/2006/picture">
                <pic:pic>
                  <pic:nvPicPr>
                    <pic:cNvPr id="1372" name="IM 1372"/>
                    <pic:cNvPicPr/>
                  </pic:nvPicPr>
                  <pic:blipFill>
                    <a:blip r:embed="rId688"/>
                    <a:stretch>
                      <a:fillRect/>
                    </a:stretch>
                  </pic:blipFill>
                  <pic:spPr>
                    <a:xfrm rot="0">
                      <a:off x="0" y="0"/>
                      <a:ext cx="5579745" cy="7620"/>
                    </a:xfrm>
                    <a:prstGeom prst="rect">
                      <a:avLst/>
                    </a:prstGeom>
                  </pic:spPr>
                </pic:pic>
              </a:graphicData>
            </a:graphic>
          </wp:anchor>
        </w:drawing>
      </w:r>
      <w:r>
        <w:rPr>
          <w:rFonts w:ascii="SimHei" w:hAnsi="SimHei" w:eastAsia="SimHei" w:cs="SimHei"/>
          <w:sz w:val="28"/>
          <w:szCs w:val="28"/>
          <w:spacing w:val="-1"/>
        </w:rPr>
        <w:t>危险性等级划分表</w:t>
      </w:r>
    </w:p>
    <w:p>
      <w:pPr>
        <w:spacing w:line="21" w:lineRule="exact"/>
        <w:rPr/>
      </w:pPr>
      <w:r/>
    </w:p>
    <w:tbl>
      <w:tblPr>
        <w:tblStyle w:val="TableNormal"/>
        <w:tblW w:w="8844"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45"/>
        <w:gridCol w:w="1207"/>
        <w:gridCol w:w="6792"/>
      </w:tblGrid>
      <w:tr>
        <w:trPr>
          <w:trHeight w:val="458" w:hRule="atLeast"/>
        </w:trPr>
        <w:tc>
          <w:tcPr>
            <w:tcW w:w="845" w:type="dxa"/>
            <w:vAlign w:val="top"/>
            <w:tcBorders>
              <w:left w:val="single" w:color="000000" w:sz="6" w:space="0"/>
              <w:top w:val="single" w:color="000000" w:sz="6" w:space="0"/>
            </w:tcBorders>
          </w:tcPr>
          <w:p>
            <w:pPr>
              <w:pStyle w:val="TableText"/>
              <w:ind w:left="218"/>
              <w:spacing w:before="157" w:line="220" w:lineRule="auto"/>
              <w:rPr>
                <w:sz w:val="19"/>
                <w:szCs w:val="19"/>
              </w:rPr>
            </w:pPr>
            <w:r>
              <w:rPr>
                <w:sz w:val="19"/>
                <w:szCs w:val="19"/>
                <w:spacing w:val="6"/>
              </w:rPr>
              <w:t>级别</w:t>
            </w:r>
          </w:p>
        </w:tc>
        <w:tc>
          <w:tcPr>
            <w:tcW w:w="1207" w:type="dxa"/>
            <w:vAlign w:val="top"/>
            <w:tcBorders>
              <w:top w:val="single" w:color="000000" w:sz="6" w:space="0"/>
            </w:tcBorders>
          </w:tcPr>
          <w:p>
            <w:pPr>
              <w:pStyle w:val="TableText"/>
              <w:ind w:left="195"/>
              <w:spacing w:before="158" w:line="220" w:lineRule="auto"/>
              <w:rPr>
                <w:sz w:val="19"/>
                <w:szCs w:val="19"/>
              </w:rPr>
            </w:pPr>
            <w:r>
              <w:rPr>
                <w:sz w:val="19"/>
                <w:szCs w:val="19"/>
                <w:spacing w:val="8"/>
              </w:rPr>
              <w:t>危险程度</w:t>
            </w:r>
          </w:p>
        </w:tc>
        <w:tc>
          <w:tcPr>
            <w:tcW w:w="6792" w:type="dxa"/>
            <w:vAlign w:val="top"/>
            <w:tcBorders>
              <w:right w:val="single" w:color="000000" w:sz="6" w:space="0"/>
              <w:top w:val="single" w:color="000000" w:sz="6" w:space="0"/>
            </w:tcBorders>
          </w:tcPr>
          <w:p>
            <w:pPr>
              <w:pStyle w:val="TableText"/>
              <w:ind w:left="2695"/>
              <w:spacing w:before="159" w:line="217" w:lineRule="auto"/>
              <w:rPr>
                <w:sz w:val="19"/>
                <w:szCs w:val="19"/>
              </w:rPr>
            </w:pPr>
            <w:r>
              <w:rPr>
                <w:sz w:val="19"/>
                <w:szCs w:val="19"/>
                <w:spacing w:val="8"/>
              </w:rPr>
              <w:t>可能导致的后果</w:t>
            </w:r>
          </w:p>
        </w:tc>
      </w:tr>
      <w:tr>
        <w:trPr>
          <w:trHeight w:val="493" w:hRule="atLeast"/>
        </w:trPr>
        <w:tc>
          <w:tcPr>
            <w:tcW w:w="845" w:type="dxa"/>
            <w:vAlign w:val="top"/>
            <w:tcBorders>
              <w:left w:val="single" w:color="000000" w:sz="6" w:space="0"/>
            </w:tcBorders>
          </w:tcPr>
          <w:p>
            <w:pPr>
              <w:pStyle w:val="TableText"/>
              <w:ind w:left="283"/>
              <w:spacing w:before="170" w:line="266" w:lineRule="exact"/>
              <w:rPr>
                <w:sz w:val="19"/>
                <w:szCs w:val="19"/>
              </w:rPr>
            </w:pPr>
            <w:r>
              <w:rPr>
                <w:sz w:val="19"/>
                <w:szCs w:val="19"/>
                <w:b/>
                <w:bCs/>
                <w:spacing w:val="-28"/>
                <w:position w:val="1"/>
              </w:rPr>
              <w:t>Ⅰ级</w:t>
            </w:r>
          </w:p>
        </w:tc>
        <w:tc>
          <w:tcPr>
            <w:tcW w:w="1207" w:type="dxa"/>
            <w:vAlign w:val="top"/>
          </w:tcPr>
          <w:p>
            <w:pPr>
              <w:pStyle w:val="TableText"/>
              <w:ind w:left="297"/>
              <w:spacing w:before="175" w:line="217" w:lineRule="auto"/>
              <w:rPr>
                <w:sz w:val="19"/>
                <w:szCs w:val="19"/>
              </w:rPr>
            </w:pPr>
            <w:r>
              <w:rPr>
                <w:sz w:val="19"/>
                <w:szCs w:val="19"/>
                <w:spacing w:val="8"/>
              </w:rPr>
              <w:t>安全的</w:t>
            </w:r>
          </w:p>
        </w:tc>
        <w:tc>
          <w:tcPr>
            <w:tcW w:w="6792" w:type="dxa"/>
            <w:vAlign w:val="top"/>
            <w:tcBorders>
              <w:right w:val="single" w:color="000000" w:sz="6" w:space="0"/>
            </w:tcBorders>
          </w:tcPr>
          <w:p>
            <w:pPr>
              <w:pStyle w:val="TableText"/>
              <w:ind w:left="2092"/>
              <w:spacing w:before="173" w:line="220" w:lineRule="auto"/>
              <w:rPr>
                <w:sz w:val="19"/>
                <w:szCs w:val="19"/>
              </w:rPr>
            </w:pPr>
            <w:r>
              <w:rPr>
                <w:sz w:val="19"/>
                <w:szCs w:val="19"/>
                <w:spacing w:val="9"/>
              </w:rPr>
              <w:t>不会造成人员伤亡及系统损坏</w:t>
            </w:r>
          </w:p>
        </w:tc>
      </w:tr>
      <w:tr>
        <w:trPr>
          <w:trHeight w:val="660" w:hRule="atLeast"/>
        </w:trPr>
        <w:tc>
          <w:tcPr>
            <w:tcW w:w="845" w:type="dxa"/>
            <w:vAlign w:val="top"/>
            <w:tcBorders>
              <w:left w:val="single" w:color="000000" w:sz="6" w:space="0"/>
            </w:tcBorders>
          </w:tcPr>
          <w:p>
            <w:pPr>
              <w:pStyle w:val="TableText"/>
              <w:ind w:left="260"/>
              <w:spacing w:before="263" w:line="213" w:lineRule="auto"/>
              <w:rPr>
                <w:sz w:val="19"/>
                <w:szCs w:val="19"/>
              </w:rPr>
            </w:pPr>
            <w:r>
              <w:rPr>
                <w:sz w:val="19"/>
                <w:szCs w:val="19"/>
                <w:b/>
                <w:bCs/>
                <w:spacing w:val="-17"/>
              </w:rPr>
              <w:t>Ⅱ级</w:t>
            </w:r>
          </w:p>
        </w:tc>
        <w:tc>
          <w:tcPr>
            <w:tcW w:w="1207" w:type="dxa"/>
            <w:vAlign w:val="top"/>
          </w:tcPr>
          <w:p>
            <w:pPr>
              <w:pStyle w:val="TableText"/>
              <w:ind w:left="308"/>
              <w:spacing w:before="262" w:line="215" w:lineRule="auto"/>
              <w:rPr>
                <w:sz w:val="19"/>
                <w:szCs w:val="19"/>
              </w:rPr>
            </w:pPr>
            <w:r>
              <w:rPr>
                <w:sz w:val="19"/>
                <w:szCs w:val="19"/>
                <w:spacing w:val="4"/>
              </w:rPr>
              <w:t>临界的</w:t>
            </w:r>
          </w:p>
        </w:tc>
        <w:tc>
          <w:tcPr>
            <w:tcW w:w="6792" w:type="dxa"/>
            <w:vAlign w:val="top"/>
            <w:tcBorders>
              <w:right w:val="single" w:color="000000" w:sz="6" w:space="0"/>
            </w:tcBorders>
          </w:tcPr>
          <w:p>
            <w:pPr>
              <w:pStyle w:val="TableText"/>
              <w:ind w:left="106" w:right="102" w:hanging="4"/>
              <w:spacing w:before="102" w:line="266" w:lineRule="auto"/>
              <w:rPr>
                <w:sz w:val="19"/>
                <w:szCs w:val="19"/>
              </w:rPr>
            </w:pPr>
            <w:r>
              <w:rPr>
                <w:sz w:val="19"/>
                <w:szCs w:val="19"/>
                <w:spacing w:val="9"/>
              </w:rPr>
              <w:t>处于事故的边缘状态，暂时还不至于造成人员伤亡、系统损坏或降低系统性</w:t>
            </w:r>
            <w:r>
              <w:rPr>
                <w:sz w:val="19"/>
                <w:szCs w:val="19"/>
                <w:spacing w:val="8"/>
              </w:rPr>
              <w:t>能，但应予以排除或采取控制措施。</w:t>
            </w:r>
          </w:p>
        </w:tc>
      </w:tr>
      <w:tr>
        <w:trPr>
          <w:trHeight w:val="507" w:hRule="atLeast"/>
        </w:trPr>
        <w:tc>
          <w:tcPr>
            <w:tcW w:w="845" w:type="dxa"/>
            <w:vAlign w:val="top"/>
            <w:tcBorders>
              <w:left w:val="single" w:color="000000" w:sz="6" w:space="0"/>
            </w:tcBorders>
          </w:tcPr>
          <w:p>
            <w:pPr>
              <w:pStyle w:val="TableText"/>
              <w:ind w:left="244"/>
              <w:spacing w:before="191" w:line="213" w:lineRule="auto"/>
              <w:rPr>
                <w:sz w:val="19"/>
                <w:szCs w:val="19"/>
              </w:rPr>
            </w:pPr>
            <w:r>
              <w:rPr>
                <w:sz w:val="19"/>
                <w:szCs w:val="19"/>
                <w:b/>
                <w:bCs/>
                <w:spacing w:val="-9"/>
              </w:rPr>
              <w:t>Ⅲ级</w:t>
            </w:r>
          </w:p>
        </w:tc>
        <w:tc>
          <w:tcPr>
            <w:tcW w:w="1207" w:type="dxa"/>
            <w:vAlign w:val="top"/>
          </w:tcPr>
          <w:p>
            <w:pPr>
              <w:pStyle w:val="TableText"/>
              <w:ind w:left="297"/>
              <w:spacing w:before="187" w:line="220" w:lineRule="auto"/>
              <w:rPr>
                <w:sz w:val="19"/>
                <w:szCs w:val="19"/>
              </w:rPr>
            </w:pPr>
            <w:r>
              <w:rPr>
                <w:sz w:val="19"/>
                <w:szCs w:val="19"/>
                <w:spacing w:val="8"/>
              </w:rPr>
              <w:t>一般的</w:t>
            </w:r>
          </w:p>
        </w:tc>
        <w:tc>
          <w:tcPr>
            <w:tcW w:w="6792" w:type="dxa"/>
            <w:vAlign w:val="top"/>
            <w:tcBorders>
              <w:right w:val="single" w:color="000000" w:sz="6" w:space="0"/>
            </w:tcBorders>
          </w:tcPr>
          <w:p>
            <w:pPr>
              <w:pStyle w:val="TableText"/>
              <w:ind w:left="100"/>
              <w:spacing w:before="186" w:line="222" w:lineRule="auto"/>
              <w:rPr>
                <w:sz w:val="19"/>
                <w:szCs w:val="19"/>
              </w:rPr>
            </w:pPr>
            <w:r>
              <w:rPr>
                <w:sz w:val="19"/>
                <w:szCs w:val="19"/>
                <w:spacing w:val="10"/>
              </w:rPr>
              <w:t>会造成人员伤亡和系统损坏，要立即采取防范</w:t>
            </w:r>
            <w:r>
              <w:rPr>
                <w:sz w:val="19"/>
                <w:szCs w:val="19"/>
                <w:spacing w:val="9"/>
              </w:rPr>
              <w:t>对策措施</w:t>
            </w:r>
          </w:p>
        </w:tc>
      </w:tr>
      <w:tr>
        <w:trPr>
          <w:trHeight w:val="699" w:hRule="atLeast"/>
        </w:trPr>
        <w:tc>
          <w:tcPr>
            <w:tcW w:w="845" w:type="dxa"/>
            <w:vAlign w:val="top"/>
            <w:tcBorders>
              <w:left w:val="single" w:color="000000" w:sz="6" w:space="0"/>
              <w:bottom w:val="single" w:color="000000" w:sz="6" w:space="0"/>
            </w:tcBorders>
          </w:tcPr>
          <w:p>
            <w:pPr>
              <w:pStyle w:val="TableText"/>
              <w:ind w:left="233"/>
              <w:spacing w:before="283" w:line="213" w:lineRule="auto"/>
              <w:rPr>
                <w:sz w:val="19"/>
                <w:szCs w:val="19"/>
              </w:rPr>
            </w:pPr>
            <w:r>
              <w:rPr>
                <w:sz w:val="19"/>
                <w:szCs w:val="19"/>
                <w:b/>
                <w:bCs/>
                <w:spacing w:val="-4"/>
              </w:rPr>
              <w:t>Ⅳ级</w:t>
            </w:r>
          </w:p>
        </w:tc>
        <w:tc>
          <w:tcPr>
            <w:tcW w:w="1207" w:type="dxa"/>
            <w:vAlign w:val="top"/>
            <w:tcBorders>
              <w:bottom w:val="single" w:color="000000" w:sz="6" w:space="0"/>
            </w:tcBorders>
          </w:tcPr>
          <w:p>
            <w:pPr>
              <w:pStyle w:val="TableText"/>
              <w:ind w:left="297"/>
              <w:spacing w:before="280" w:line="219" w:lineRule="auto"/>
              <w:rPr>
                <w:sz w:val="19"/>
                <w:szCs w:val="19"/>
              </w:rPr>
            </w:pPr>
            <w:r>
              <w:rPr>
                <w:sz w:val="19"/>
                <w:szCs w:val="19"/>
                <w:spacing w:val="8"/>
              </w:rPr>
              <w:t>较大的</w:t>
            </w:r>
          </w:p>
        </w:tc>
        <w:tc>
          <w:tcPr>
            <w:tcW w:w="6792" w:type="dxa"/>
            <w:vAlign w:val="top"/>
            <w:tcBorders>
              <w:bottom w:val="single" w:color="000000" w:sz="6" w:space="0"/>
              <w:right w:val="single" w:color="000000" w:sz="6" w:space="0"/>
            </w:tcBorders>
          </w:tcPr>
          <w:p>
            <w:pPr>
              <w:pStyle w:val="TableText"/>
              <w:ind w:left="103" w:right="105" w:hanging="1"/>
              <w:spacing w:before="122" w:line="275" w:lineRule="auto"/>
              <w:rPr>
                <w:sz w:val="19"/>
                <w:szCs w:val="19"/>
              </w:rPr>
            </w:pPr>
            <w:r>
              <w:rPr>
                <w:sz w:val="19"/>
                <w:szCs w:val="19"/>
                <w:spacing w:val="9"/>
              </w:rPr>
              <w:t>造成人员重大伤亡及系统严重破坏的灾难性事故，必须予以果断排除并进行</w:t>
            </w:r>
            <w:r>
              <w:rPr>
                <w:sz w:val="19"/>
                <w:szCs w:val="19"/>
                <w:spacing w:val="6"/>
              </w:rPr>
              <w:t>重点防范。</w:t>
            </w:r>
          </w:p>
        </w:tc>
      </w:tr>
    </w:tbl>
    <w:p>
      <w:pPr>
        <w:pStyle w:val="BodyText"/>
        <w:ind w:left="90"/>
        <w:spacing w:before="141" w:line="221" w:lineRule="auto"/>
        <w:rPr/>
      </w:pPr>
      <w:r>
        <w:rPr>
          <w:spacing w:val="8"/>
        </w:rPr>
        <w:t>固原市非煤矿山主要危险、有害分布及危害程度见下表：</w:t>
      </w:r>
    </w:p>
    <w:p>
      <w:pPr>
        <w:spacing w:line="221" w:lineRule="auto"/>
        <w:sectPr>
          <w:type w:val="continuous"/>
          <w:pgSz w:w="11906" w:h="16839"/>
          <w:pgMar w:top="1766" w:right="1523" w:bottom="1563" w:left="1523" w:header="1428" w:footer="1172" w:gutter="0"/>
          <w:cols w:equalWidth="0" w:num="1">
            <w:col w:w="8860" w:space="0"/>
          </w:cols>
        </w:sectPr>
        <w:rPr/>
      </w:pPr>
    </w:p>
    <w:p>
      <w:pPr>
        <w:spacing w:line="340" w:lineRule="auto"/>
        <w:rPr>
          <w:rFonts w:ascii="Arial"/>
          <w:sz w:val="21"/>
        </w:rPr>
      </w:pPr>
      <w:r>
        <w:drawing>
          <wp:anchor distT="0" distB="0" distL="0" distR="0" simplePos="0" relativeHeight="252231680"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378" name="IM 1378"/>
            <wp:cNvGraphicFramePr/>
            <a:graphic>
              <a:graphicData uri="http://schemas.openxmlformats.org/drawingml/2006/picture">
                <pic:pic>
                  <pic:nvPicPr>
                    <pic:cNvPr id="1378" name="IM 1378"/>
                    <pic:cNvPicPr/>
                  </pic:nvPicPr>
                  <pic:blipFill>
                    <a:blip r:embed="rId691"/>
                    <a:stretch>
                      <a:fillRect/>
                    </a:stretch>
                  </pic:blipFill>
                  <pic:spPr>
                    <a:xfrm rot="0">
                      <a:off x="0" y="0"/>
                      <a:ext cx="5579745" cy="7620"/>
                    </a:xfrm>
                    <a:prstGeom prst="rect">
                      <a:avLst/>
                    </a:prstGeom>
                  </pic:spPr>
                </pic:pic>
              </a:graphicData>
            </a:graphic>
          </wp:anchor>
        </w:drawing>
      </w:r>
      <w:r/>
    </w:p>
    <w:p>
      <w:pPr>
        <w:ind w:left="2954"/>
        <w:spacing w:before="91" w:line="222" w:lineRule="auto"/>
        <w:rPr>
          <w:rFonts w:ascii="SimHei" w:hAnsi="SimHei" w:eastAsia="SimHei" w:cs="SimHei"/>
          <w:sz w:val="28"/>
          <w:szCs w:val="28"/>
        </w:rPr>
      </w:pPr>
      <w:r>
        <w:rPr>
          <w:rFonts w:ascii="SimHei" w:hAnsi="SimHei" w:eastAsia="SimHei" w:cs="SimHei"/>
          <w:sz w:val="28"/>
          <w:szCs w:val="28"/>
          <w:spacing w:val="-2"/>
        </w:rPr>
        <w:t>事故风险辨识分析一览表</w:t>
      </w:r>
    </w:p>
    <w:p>
      <w:pPr>
        <w:spacing w:line="18" w:lineRule="exact"/>
        <w:rPr/>
      </w:pPr>
      <w:r/>
    </w:p>
    <w:tbl>
      <w:tblPr>
        <w:tblStyle w:val="TableNormal"/>
        <w:tblW w:w="8935"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32"/>
        <w:gridCol w:w="671"/>
        <w:gridCol w:w="5017"/>
        <w:gridCol w:w="1616"/>
        <w:gridCol w:w="479"/>
        <w:gridCol w:w="720"/>
      </w:tblGrid>
      <w:tr>
        <w:trPr>
          <w:trHeight w:val="678" w:hRule="atLeast"/>
        </w:trPr>
        <w:tc>
          <w:tcPr>
            <w:tcW w:w="432" w:type="dxa"/>
            <w:vAlign w:val="top"/>
            <w:tcBorders>
              <w:left w:val="single" w:color="000000" w:sz="6" w:space="0"/>
              <w:top w:val="single" w:color="000000" w:sz="6" w:space="0"/>
            </w:tcBorders>
          </w:tcPr>
          <w:p>
            <w:pPr>
              <w:pStyle w:val="TableText"/>
              <w:ind w:left="110" w:right="114"/>
              <w:spacing w:before="122" w:line="237" w:lineRule="auto"/>
              <w:rPr>
                <w:sz w:val="19"/>
                <w:szCs w:val="19"/>
              </w:rPr>
            </w:pPr>
            <w:r>
              <w:rPr>
                <w:sz w:val="19"/>
                <w:szCs w:val="19"/>
                <w:spacing w:val="4"/>
              </w:rPr>
              <w:t>序</w:t>
            </w:r>
            <w:r>
              <w:rPr>
                <w:sz w:val="19"/>
                <w:szCs w:val="19"/>
                <w:spacing w:val="3"/>
              </w:rPr>
              <w:t>号</w:t>
            </w:r>
          </w:p>
        </w:tc>
        <w:tc>
          <w:tcPr>
            <w:tcW w:w="671" w:type="dxa"/>
            <w:vAlign w:val="top"/>
            <w:tcBorders>
              <w:top w:val="single" w:color="000000" w:sz="6" w:space="0"/>
            </w:tcBorders>
          </w:tcPr>
          <w:p>
            <w:pPr>
              <w:pStyle w:val="TableText"/>
              <w:ind w:left="39" w:right="36" w:hanging="10"/>
              <w:spacing w:before="123" w:line="235" w:lineRule="auto"/>
              <w:rPr>
                <w:sz w:val="19"/>
                <w:szCs w:val="19"/>
              </w:rPr>
            </w:pPr>
            <w:r>
              <w:rPr>
                <w:sz w:val="19"/>
                <w:szCs w:val="19"/>
                <w:spacing w:val="8"/>
              </w:rPr>
              <w:t>事故风</w:t>
            </w:r>
            <w:r>
              <w:rPr>
                <w:sz w:val="19"/>
                <w:szCs w:val="19"/>
                <w:spacing w:val="4"/>
              </w:rPr>
              <w:t>险种类</w:t>
            </w:r>
          </w:p>
        </w:tc>
        <w:tc>
          <w:tcPr>
            <w:tcW w:w="5017" w:type="dxa"/>
            <w:vAlign w:val="top"/>
            <w:tcBorders>
              <w:top w:val="single" w:color="000000" w:sz="6" w:space="0"/>
            </w:tcBorders>
          </w:tcPr>
          <w:p>
            <w:pPr>
              <w:pStyle w:val="TableText"/>
              <w:ind w:left="1506"/>
              <w:spacing w:before="243" w:line="220" w:lineRule="auto"/>
              <w:rPr>
                <w:sz w:val="19"/>
                <w:szCs w:val="19"/>
              </w:rPr>
            </w:pPr>
            <w:r>
              <w:rPr>
                <w:sz w:val="19"/>
                <w:szCs w:val="19"/>
                <w:spacing w:val="9"/>
              </w:rPr>
              <w:t>事故风险发生的可能性</w:t>
            </w:r>
          </w:p>
        </w:tc>
        <w:tc>
          <w:tcPr>
            <w:tcW w:w="1616" w:type="dxa"/>
            <w:vAlign w:val="top"/>
            <w:tcBorders>
              <w:top w:val="single" w:color="000000" w:sz="6" w:space="0"/>
            </w:tcBorders>
          </w:tcPr>
          <w:p>
            <w:pPr>
              <w:pStyle w:val="TableText"/>
              <w:ind w:left="307" w:right="302" w:firstLine="100"/>
              <w:spacing w:before="123" w:line="236" w:lineRule="auto"/>
              <w:rPr>
                <w:sz w:val="19"/>
                <w:szCs w:val="19"/>
              </w:rPr>
            </w:pPr>
            <w:r>
              <w:rPr>
                <w:sz w:val="19"/>
                <w:szCs w:val="19"/>
                <w:spacing w:val="9"/>
              </w:rPr>
              <w:t>存在场所</w:t>
            </w:r>
            <w:r>
              <w:rPr>
                <w:sz w:val="19"/>
                <w:szCs w:val="19"/>
                <w:spacing w:val="9"/>
              </w:rPr>
              <w:t>及影响范围</w:t>
            </w:r>
          </w:p>
        </w:tc>
        <w:tc>
          <w:tcPr>
            <w:tcW w:w="479" w:type="dxa"/>
            <w:vAlign w:val="top"/>
            <w:tcBorders>
              <w:top w:val="single" w:color="000000" w:sz="6" w:space="0"/>
            </w:tcBorders>
          </w:tcPr>
          <w:p>
            <w:pPr>
              <w:pStyle w:val="TableText"/>
              <w:ind w:left="43"/>
              <w:spacing w:before="247" w:line="213" w:lineRule="auto"/>
              <w:rPr>
                <w:sz w:val="19"/>
                <w:szCs w:val="19"/>
              </w:rPr>
            </w:pPr>
            <w:r>
              <w:rPr>
                <w:sz w:val="19"/>
                <w:szCs w:val="19"/>
                <w:spacing w:val="7"/>
              </w:rPr>
              <w:t>后果</w:t>
            </w:r>
          </w:p>
        </w:tc>
        <w:tc>
          <w:tcPr>
            <w:tcW w:w="720" w:type="dxa"/>
            <w:vAlign w:val="top"/>
            <w:tcBorders>
              <w:right w:val="single" w:color="000000" w:sz="6" w:space="0"/>
              <w:top w:val="single" w:color="000000" w:sz="6" w:space="0"/>
            </w:tcBorders>
          </w:tcPr>
          <w:p>
            <w:pPr>
              <w:pStyle w:val="TableText"/>
              <w:ind w:left="160" w:right="152"/>
              <w:spacing w:before="123" w:line="236" w:lineRule="auto"/>
              <w:rPr>
                <w:sz w:val="19"/>
                <w:szCs w:val="19"/>
              </w:rPr>
            </w:pPr>
            <w:r>
              <w:rPr>
                <w:sz w:val="19"/>
                <w:szCs w:val="19"/>
                <w:spacing w:val="7"/>
              </w:rPr>
              <w:t>危险</w:t>
            </w:r>
            <w:r>
              <w:rPr>
                <w:sz w:val="19"/>
                <w:szCs w:val="19"/>
                <w:spacing w:val="6"/>
              </w:rPr>
              <w:t>程度</w:t>
            </w:r>
          </w:p>
        </w:tc>
      </w:tr>
      <w:tr>
        <w:trPr>
          <w:trHeight w:val="3242" w:hRule="atLeast"/>
        </w:trPr>
        <w:tc>
          <w:tcPr>
            <w:tcW w:w="432" w:type="dxa"/>
            <w:vAlign w:val="top"/>
            <w:tcBorders>
              <w:left w:val="single" w:color="000000" w:sz="6" w:space="0"/>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78"/>
              <w:spacing w:before="61" w:line="287" w:lineRule="exact"/>
              <w:rPr>
                <w:sz w:val="19"/>
                <w:szCs w:val="19"/>
              </w:rPr>
            </w:pPr>
            <w:r>
              <w:rPr>
                <w:sz w:val="19"/>
                <w:szCs w:val="19"/>
                <w:position w:val="2"/>
              </w:rPr>
              <w:t>1</w:t>
            </w:r>
          </w:p>
        </w:tc>
        <w:tc>
          <w:tcPr>
            <w:tcW w:w="671"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26"/>
              <w:spacing w:before="61" w:line="215" w:lineRule="auto"/>
              <w:rPr>
                <w:sz w:val="19"/>
                <w:szCs w:val="19"/>
              </w:rPr>
            </w:pPr>
            <w:r>
              <w:rPr>
                <w:sz w:val="19"/>
                <w:szCs w:val="19"/>
                <w:spacing w:val="7"/>
              </w:rPr>
              <w:t>爆破</w:t>
            </w:r>
          </w:p>
        </w:tc>
        <w:tc>
          <w:tcPr>
            <w:tcW w:w="5017" w:type="dxa"/>
            <w:vAlign w:val="top"/>
            <w:vMerge w:val="restart"/>
            <w:tcBorders>
              <w:bottom w:val="nil"/>
            </w:tcBorders>
          </w:tcPr>
          <w:p>
            <w:pPr>
              <w:pStyle w:val="TableText"/>
              <w:ind w:left="9" w:right="11" w:firstLine="18"/>
              <w:spacing w:before="275" w:line="282" w:lineRule="auto"/>
              <w:rPr>
                <w:sz w:val="19"/>
                <w:szCs w:val="19"/>
              </w:rPr>
            </w:pPr>
            <w:r>
              <w:rPr>
                <w:sz w:val="19"/>
                <w:szCs w:val="19"/>
                <w:spacing w:val="12"/>
              </w:rPr>
              <w:t>1、火药爆炸是指火药、炸药及其制品在生产、加工、运</w:t>
            </w:r>
            <w:r>
              <w:rPr>
                <w:sz w:val="19"/>
                <w:szCs w:val="19"/>
                <w:spacing w:val="9"/>
              </w:rPr>
              <w:t>输、贮存中发生的爆炸事故。爆破伤害指爆破作业中发生</w:t>
            </w:r>
            <w:r>
              <w:rPr>
                <w:sz w:val="19"/>
                <w:szCs w:val="19"/>
                <w:spacing w:val="9"/>
              </w:rPr>
              <w:t>的伤亡事故。矿石开采中须使用大量的爆破器材，爆破器</w:t>
            </w:r>
            <w:r>
              <w:rPr>
                <w:sz w:val="19"/>
                <w:szCs w:val="19"/>
                <w:spacing w:val="8"/>
              </w:rPr>
              <w:t>材在爆破作业的装药、起爆过程中都有发生爆炸的可能；</w:t>
            </w:r>
          </w:p>
          <w:p>
            <w:pPr>
              <w:pStyle w:val="TableText"/>
              <w:ind w:left="11" w:right="11"/>
              <w:spacing w:before="35" w:line="271" w:lineRule="auto"/>
              <w:rPr>
                <w:sz w:val="19"/>
                <w:szCs w:val="19"/>
              </w:rPr>
            </w:pPr>
            <w:r>
              <w:rPr>
                <w:sz w:val="19"/>
                <w:szCs w:val="19"/>
                <w:spacing w:val="13"/>
              </w:rPr>
              <w:t>2、爆破作业是非煤矿山生产过程的重要环节。爆破作业</w:t>
            </w:r>
            <w:r>
              <w:rPr>
                <w:sz w:val="19"/>
                <w:szCs w:val="19"/>
                <w:spacing w:val="9"/>
              </w:rPr>
              <w:t>中，爆炸产生的震动、冲击波和飞石对人员、设备设施、</w:t>
            </w:r>
            <w:r>
              <w:rPr>
                <w:sz w:val="19"/>
                <w:szCs w:val="19"/>
                <w:spacing w:val="8"/>
              </w:rPr>
              <w:t>构筑物等有较大损害；</w:t>
            </w:r>
          </w:p>
          <w:p>
            <w:pPr>
              <w:pStyle w:val="TableText"/>
              <w:ind w:left="9" w:right="9" w:firstLine="5"/>
              <w:spacing w:before="68" w:line="283" w:lineRule="auto"/>
              <w:rPr>
                <w:sz w:val="19"/>
                <w:szCs w:val="19"/>
              </w:rPr>
            </w:pPr>
            <w:r>
              <w:rPr>
                <w:sz w:val="19"/>
                <w:szCs w:val="19"/>
                <w:spacing w:val="11"/>
              </w:rPr>
              <w:t>3、常见的爆破危害有：拒爆、早爆、迟爆等</w:t>
            </w:r>
            <w:r>
              <w:rPr>
                <w:sz w:val="19"/>
                <w:szCs w:val="19"/>
                <w:spacing w:val="-46"/>
              </w:rPr>
              <w:t xml:space="preserve"> </w:t>
            </w:r>
            <w:r>
              <w:rPr>
                <w:sz w:val="19"/>
                <w:szCs w:val="19"/>
                <w:spacing w:val="11"/>
              </w:rPr>
              <w:t>，爆破产生</w:t>
            </w:r>
            <w:r>
              <w:rPr>
                <w:sz w:val="19"/>
                <w:szCs w:val="19"/>
                <w:spacing w:val="9"/>
              </w:rPr>
              <w:t>的飞石击伤人员、设备；爆破震动使露天边坡沿岩层结构</w:t>
            </w:r>
            <w:r>
              <w:rPr>
                <w:sz w:val="19"/>
                <w:szCs w:val="19"/>
                <w:spacing w:val="9"/>
              </w:rPr>
              <w:t>软弱面产生岩石松动、产生裂隙，造成滑坡等危害；爆破</w:t>
            </w:r>
            <w:r>
              <w:rPr>
                <w:sz w:val="19"/>
                <w:szCs w:val="19"/>
                <w:spacing w:val="9"/>
              </w:rPr>
              <w:t>引起露天边坡上不稳定的岩石松动，产生边坡滚石，伤害</w:t>
            </w:r>
            <w:r>
              <w:rPr>
                <w:sz w:val="19"/>
                <w:szCs w:val="19"/>
                <w:spacing w:val="9"/>
              </w:rPr>
              <w:t>采场内人员、设备设施；爆破冲击波对人员、设备等造成</w:t>
            </w:r>
            <w:r>
              <w:rPr>
                <w:sz w:val="19"/>
                <w:szCs w:val="19"/>
                <w:spacing w:val="9"/>
              </w:rPr>
              <w:t>伤害；爆破作业产生的有毒、有害气体造成人员中毒、窒</w:t>
            </w:r>
            <w:r>
              <w:rPr>
                <w:sz w:val="19"/>
                <w:szCs w:val="19"/>
                <w:spacing w:val="9"/>
              </w:rPr>
              <w:t>息；凹陷开采局部存积爆破作业产生的有毒有害气体造成</w:t>
            </w:r>
            <w:r>
              <w:rPr>
                <w:sz w:val="19"/>
                <w:szCs w:val="19"/>
                <w:spacing w:val="9"/>
              </w:rPr>
              <w:t>人员中毒或窒息；其它爆破伤害形式。</w:t>
            </w:r>
          </w:p>
          <w:p>
            <w:pPr>
              <w:pStyle w:val="TableText"/>
              <w:ind w:left="2" w:right="11" w:firstLine="6"/>
              <w:spacing w:before="61" w:line="285" w:lineRule="auto"/>
              <w:rPr>
                <w:sz w:val="19"/>
                <w:szCs w:val="19"/>
              </w:rPr>
            </w:pPr>
            <w:r>
              <w:rPr>
                <w:sz w:val="19"/>
                <w:szCs w:val="19"/>
                <w:spacing w:val="11"/>
              </w:rPr>
              <w:t>4、导致爆破事故的原因：爆破设计或起爆工艺不合理</w:t>
            </w:r>
            <w:r>
              <w:rPr>
                <w:sz w:val="19"/>
                <w:szCs w:val="19"/>
                <w:spacing w:val="-39"/>
              </w:rPr>
              <w:t xml:space="preserve"> </w:t>
            </w:r>
            <w:r>
              <w:rPr>
                <w:sz w:val="19"/>
                <w:szCs w:val="19"/>
                <w:spacing w:val="11"/>
              </w:rPr>
              <w:t>；</w:t>
            </w:r>
            <w:r>
              <w:rPr>
                <w:sz w:val="19"/>
                <w:szCs w:val="19"/>
                <w:spacing w:val="9"/>
              </w:rPr>
              <w:t>爆破后过早进入工作面；盲炮处理不当或打残眼；炸药运</w:t>
            </w:r>
            <w:r>
              <w:rPr>
                <w:sz w:val="19"/>
                <w:szCs w:val="19"/>
                <w:spacing w:val="9"/>
              </w:rPr>
              <w:t>输过程中强烈振动或摩擦；装药工艺不合理或违章作业；</w:t>
            </w:r>
            <w:r>
              <w:rPr>
                <w:sz w:val="19"/>
                <w:szCs w:val="19"/>
                <w:spacing w:val="9"/>
              </w:rPr>
              <w:t>起爆工艺不合理或违章作业；警戒不到位；信号不清、安</w:t>
            </w:r>
            <w:r>
              <w:rPr>
                <w:sz w:val="19"/>
                <w:szCs w:val="19"/>
                <w:spacing w:val="9"/>
              </w:rPr>
              <w:t>全距离不够；爆破物品运输过程中运输车辆碰撞震动；爆</w:t>
            </w:r>
            <w:r>
              <w:rPr>
                <w:sz w:val="19"/>
                <w:szCs w:val="19"/>
                <w:spacing w:val="9"/>
              </w:rPr>
              <w:t>破器材质量不良；起爆器材连接过早；点火迟缓；外来电</w:t>
            </w:r>
            <w:r>
              <w:rPr>
                <w:sz w:val="19"/>
                <w:szCs w:val="19"/>
                <w:spacing w:val="13"/>
              </w:rPr>
              <w:t>（杂散电、雷电、静电</w:t>
            </w:r>
            <w:r>
              <w:rPr>
                <w:sz w:val="19"/>
                <w:szCs w:val="19"/>
                <w:spacing w:val="-29"/>
              </w:rPr>
              <w:t>）；</w:t>
            </w:r>
            <w:r>
              <w:rPr>
                <w:sz w:val="19"/>
                <w:szCs w:val="19"/>
                <w:spacing w:val="13"/>
              </w:rPr>
              <w:t>作业人员未按照爆破安全要求</w:t>
            </w:r>
            <w:r>
              <w:rPr>
                <w:sz w:val="19"/>
                <w:szCs w:val="19"/>
                <w:spacing w:val="9"/>
              </w:rPr>
              <w:t>穿着防静电工作服；非爆破人员作业；爆破作业违章、操</w:t>
            </w:r>
            <w:r>
              <w:rPr>
                <w:sz w:val="19"/>
                <w:szCs w:val="19"/>
                <w:spacing w:val="-5"/>
              </w:rPr>
              <w:t>作失误；避炮设施距离及结构不符合设计要求；管理不</w:t>
            </w:r>
            <w:r>
              <w:rPr>
                <w:sz w:val="19"/>
                <w:szCs w:val="19"/>
                <w:spacing w:val="-6"/>
              </w:rPr>
              <w:t>严等。</w:t>
            </w:r>
          </w:p>
        </w:tc>
        <w:tc>
          <w:tcPr>
            <w:tcW w:w="1616" w:type="dxa"/>
            <w:vAlign w:val="top"/>
          </w:tcPr>
          <w:p>
            <w:pPr>
              <w:pStyle w:val="TableText"/>
              <w:ind w:left="18" w:right="7"/>
              <w:spacing w:before="268" w:line="310" w:lineRule="auto"/>
              <w:rPr>
                <w:sz w:val="19"/>
                <w:szCs w:val="19"/>
              </w:rPr>
            </w:pPr>
            <w:r>
              <w:rPr>
                <w:sz w:val="19"/>
                <w:szCs w:val="19"/>
                <w:spacing w:val="7"/>
              </w:rPr>
              <w:t>爆破作业采场、工</w:t>
            </w:r>
            <w:r>
              <w:rPr>
                <w:sz w:val="19"/>
                <w:szCs w:val="19"/>
                <w:spacing w:val="7"/>
              </w:rPr>
              <w:t>作面，爆破后的工</w:t>
            </w:r>
          </w:p>
          <w:p>
            <w:pPr>
              <w:pStyle w:val="TableText"/>
              <w:ind w:left="10" w:right="6" w:firstLine="7"/>
              <w:spacing w:before="1" w:line="313" w:lineRule="auto"/>
              <w:jc w:val="both"/>
              <w:rPr>
                <w:sz w:val="19"/>
                <w:szCs w:val="19"/>
              </w:rPr>
            </w:pPr>
            <w:r>
              <w:rPr>
                <w:sz w:val="19"/>
                <w:szCs w:val="19"/>
                <w:spacing w:val="7"/>
              </w:rPr>
              <w:t>作面、爆破后的采</w:t>
            </w:r>
            <w:r>
              <w:rPr>
                <w:sz w:val="19"/>
                <w:szCs w:val="19"/>
                <w:spacing w:val="36"/>
              </w:rPr>
              <w:t>场及其它爆破作</w:t>
            </w:r>
            <w:r>
              <w:rPr>
                <w:sz w:val="19"/>
                <w:szCs w:val="19"/>
                <w:spacing w:val="-3"/>
              </w:rPr>
              <w:t>业</w:t>
            </w:r>
            <w:r>
              <w:rPr>
                <w:sz w:val="19"/>
                <w:szCs w:val="19"/>
                <w:spacing w:val="-44"/>
              </w:rPr>
              <w:t xml:space="preserve"> </w:t>
            </w:r>
            <w:r>
              <w:rPr>
                <w:sz w:val="19"/>
                <w:szCs w:val="19"/>
                <w:spacing w:val="-3"/>
              </w:rPr>
              <w:t>的</w:t>
            </w:r>
            <w:r>
              <w:rPr>
                <w:sz w:val="19"/>
                <w:szCs w:val="19"/>
                <w:spacing w:val="-60"/>
              </w:rPr>
              <w:t xml:space="preserve"> </w:t>
            </w:r>
            <w:r>
              <w:rPr>
                <w:sz w:val="19"/>
                <w:szCs w:val="19"/>
                <w:spacing w:val="-3"/>
              </w:rPr>
              <w:t>危</w:t>
            </w:r>
            <w:r>
              <w:rPr>
                <w:sz w:val="19"/>
                <w:szCs w:val="19"/>
                <w:spacing w:val="-46"/>
              </w:rPr>
              <w:t xml:space="preserve"> </w:t>
            </w:r>
            <w:r>
              <w:rPr>
                <w:sz w:val="19"/>
                <w:szCs w:val="19"/>
                <w:spacing w:val="-3"/>
              </w:rPr>
              <w:t>险</w:t>
            </w:r>
            <w:r>
              <w:rPr>
                <w:sz w:val="19"/>
                <w:szCs w:val="19"/>
                <w:spacing w:val="-45"/>
              </w:rPr>
              <w:t xml:space="preserve"> </w:t>
            </w:r>
            <w:r>
              <w:rPr>
                <w:sz w:val="19"/>
                <w:szCs w:val="19"/>
                <w:spacing w:val="-3"/>
              </w:rPr>
              <w:t>区</w:t>
            </w:r>
            <w:r>
              <w:rPr>
                <w:sz w:val="19"/>
                <w:szCs w:val="19"/>
                <w:spacing w:val="-59"/>
              </w:rPr>
              <w:t xml:space="preserve"> </w:t>
            </w:r>
            <w:r>
              <w:rPr>
                <w:sz w:val="19"/>
                <w:szCs w:val="19"/>
                <w:spacing w:val="-3"/>
              </w:rPr>
              <w:t>域</w:t>
            </w:r>
            <w:r>
              <w:rPr>
                <w:sz w:val="19"/>
                <w:szCs w:val="19"/>
                <w:spacing w:val="-39"/>
              </w:rPr>
              <w:t xml:space="preserve"> </w:t>
            </w:r>
            <w:r>
              <w:rPr>
                <w:sz w:val="19"/>
                <w:szCs w:val="19"/>
                <w:spacing w:val="-3"/>
              </w:rPr>
              <w:t>内</w:t>
            </w:r>
            <w:r>
              <w:rPr>
                <w:sz w:val="19"/>
                <w:szCs w:val="19"/>
                <w:spacing w:val="28"/>
              </w:rPr>
              <w:t>（</w:t>
            </w:r>
            <w:r>
              <w:rPr>
                <w:sz w:val="19"/>
                <w:szCs w:val="19"/>
                <w:spacing w:val="-34"/>
              </w:rPr>
              <w:t xml:space="preserve"> </w:t>
            </w:r>
            <w:r>
              <w:rPr>
                <w:sz w:val="19"/>
                <w:szCs w:val="19"/>
                <w:spacing w:val="28"/>
              </w:rPr>
              <w:t>爆破危险区范</w:t>
            </w:r>
            <w:r>
              <w:rPr>
                <w:sz w:val="19"/>
                <w:szCs w:val="19"/>
                <w:spacing w:val="5"/>
              </w:rPr>
              <w:t>围为</w:t>
            </w:r>
            <w:r>
              <w:rPr>
                <w:sz w:val="19"/>
                <w:szCs w:val="19"/>
                <w:spacing w:val="-38"/>
              </w:rPr>
              <w:t xml:space="preserve"> </w:t>
            </w:r>
            <w:r>
              <w:rPr>
                <w:sz w:val="19"/>
                <w:szCs w:val="19"/>
                <w:spacing w:val="5"/>
              </w:rPr>
              <w:t>200</w:t>
            </w:r>
            <w:r>
              <w:rPr>
                <w:sz w:val="19"/>
                <w:szCs w:val="19"/>
                <w:spacing w:val="-38"/>
              </w:rPr>
              <w:t xml:space="preserve"> </w:t>
            </w:r>
            <w:r>
              <w:rPr>
                <w:sz w:val="19"/>
                <w:szCs w:val="19"/>
                <w:spacing w:val="5"/>
              </w:rPr>
              <w:t>米，下坡</w:t>
            </w:r>
            <w:r>
              <w:rPr>
                <w:sz w:val="19"/>
                <w:szCs w:val="19"/>
                <w:spacing w:val="2"/>
              </w:rPr>
              <w:t>方</w:t>
            </w:r>
            <w:r>
              <w:rPr>
                <w:sz w:val="19"/>
                <w:szCs w:val="19"/>
                <w:spacing w:val="-23"/>
              </w:rPr>
              <w:t xml:space="preserve"> </w:t>
            </w:r>
            <w:r>
              <w:rPr>
                <w:sz w:val="19"/>
                <w:szCs w:val="19"/>
                <w:spacing w:val="2"/>
              </w:rPr>
              <w:t>向</w:t>
            </w:r>
            <w:r>
              <w:rPr>
                <w:sz w:val="19"/>
                <w:szCs w:val="19"/>
                <w:spacing w:val="-44"/>
              </w:rPr>
              <w:t xml:space="preserve"> </w:t>
            </w:r>
            <w:r>
              <w:rPr>
                <w:sz w:val="19"/>
                <w:szCs w:val="19"/>
                <w:spacing w:val="2"/>
              </w:rPr>
              <w:t>增</w:t>
            </w:r>
            <w:r>
              <w:rPr>
                <w:sz w:val="19"/>
                <w:szCs w:val="19"/>
                <w:spacing w:val="-39"/>
              </w:rPr>
              <w:t xml:space="preserve"> </w:t>
            </w:r>
            <w:r>
              <w:rPr>
                <w:sz w:val="19"/>
                <w:szCs w:val="19"/>
                <w:spacing w:val="2"/>
              </w:rPr>
              <w:t>大</w:t>
            </w:r>
            <w:r>
              <w:rPr>
                <w:sz w:val="19"/>
                <w:szCs w:val="19"/>
                <w:spacing w:val="-35"/>
              </w:rPr>
              <w:t xml:space="preserve"> </w:t>
            </w:r>
            <w:r>
              <w:rPr>
                <w:sz w:val="19"/>
                <w:szCs w:val="19"/>
                <w:spacing w:val="2"/>
              </w:rPr>
              <w:t>为 300</w:t>
            </w:r>
            <w:r>
              <w:rPr>
                <w:sz w:val="19"/>
                <w:szCs w:val="19"/>
                <w:spacing w:val="-18"/>
              </w:rPr>
              <w:t>米）。</w:t>
            </w:r>
          </w:p>
        </w:tc>
        <w:tc>
          <w:tcPr>
            <w:tcW w:w="479" w:type="dxa"/>
            <w:vAlign w:val="top"/>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43" w:right="30" w:firstLine="2"/>
              <w:spacing w:before="61" w:line="213" w:lineRule="auto"/>
              <w:rPr>
                <w:sz w:val="19"/>
                <w:szCs w:val="19"/>
              </w:rPr>
            </w:pPr>
            <w:r>
              <w:rPr>
                <w:sz w:val="19"/>
                <w:szCs w:val="19"/>
                <w:spacing w:val="6"/>
              </w:rPr>
              <w:t>重大</w:t>
            </w:r>
            <w:r>
              <w:rPr>
                <w:sz w:val="19"/>
                <w:szCs w:val="19"/>
                <w:spacing w:val="7"/>
              </w:rPr>
              <w:t>人员</w:t>
            </w:r>
          </w:p>
          <w:p>
            <w:pPr>
              <w:pStyle w:val="TableText"/>
              <w:ind w:left="45" w:right="30"/>
              <w:spacing w:line="214" w:lineRule="auto"/>
              <w:rPr>
                <w:sz w:val="19"/>
                <w:szCs w:val="19"/>
              </w:rPr>
            </w:pPr>
            <w:r>
              <w:rPr>
                <w:sz w:val="19"/>
                <w:szCs w:val="19"/>
                <w:spacing w:val="6"/>
              </w:rPr>
              <w:t>伤亡</w:t>
            </w:r>
            <w:r>
              <w:rPr>
                <w:sz w:val="19"/>
                <w:szCs w:val="19"/>
                <w:spacing w:val="6"/>
              </w:rPr>
              <w:t>财产</w:t>
            </w:r>
          </w:p>
          <w:p>
            <w:pPr>
              <w:pStyle w:val="TableText"/>
              <w:ind w:left="44"/>
              <w:spacing w:line="218" w:lineRule="auto"/>
              <w:rPr>
                <w:sz w:val="19"/>
                <w:szCs w:val="19"/>
              </w:rPr>
            </w:pPr>
            <w:r>
              <w:rPr>
                <w:sz w:val="19"/>
                <w:szCs w:val="19"/>
                <w:spacing w:val="7"/>
              </w:rPr>
              <w:t>损失</w:t>
            </w:r>
          </w:p>
        </w:tc>
        <w:tc>
          <w:tcPr>
            <w:tcW w:w="720" w:type="dxa"/>
            <w:vAlign w:val="top"/>
            <w:tcBorders>
              <w:right w:val="single" w:color="000000" w:sz="6" w:space="0"/>
            </w:tcBorders>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76"/>
              <w:spacing w:before="62" w:line="213" w:lineRule="auto"/>
              <w:rPr>
                <w:sz w:val="19"/>
                <w:szCs w:val="19"/>
              </w:rPr>
            </w:pPr>
            <w:r>
              <w:rPr>
                <w:sz w:val="19"/>
                <w:szCs w:val="19"/>
                <w:spacing w:val="-2"/>
              </w:rPr>
              <w:t>Ⅳ级</w:t>
            </w:r>
          </w:p>
        </w:tc>
      </w:tr>
      <w:tr>
        <w:trPr>
          <w:trHeight w:val="4359" w:hRule="atLeast"/>
        </w:trPr>
        <w:tc>
          <w:tcPr>
            <w:tcW w:w="432" w:type="dxa"/>
            <w:vAlign w:val="top"/>
            <w:tcBorders>
              <w:left w:val="single" w:color="000000" w:sz="6" w:space="0"/>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61"/>
              <w:spacing w:before="62" w:line="286" w:lineRule="exact"/>
              <w:rPr>
                <w:sz w:val="19"/>
                <w:szCs w:val="19"/>
              </w:rPr>
            </w:pPr>
            <w:r>
              <w:rPr>
                <w:sz w:val="19"/>
                <w:szCs w:val="19"/>
                <w:position w:val="2"/>
              </w:rPr>
              <w:t>2</w:t>
            </w:r>
          </w:p>
        </w:tc>
        <w:tc>
          <w:tcPr>
            <w:tcW w:w="671" w:type="dxa"/>
            <w:vAlign w:val="top"/>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pStyle w:val="TableText"/>
              <w:ind w:left="126" w:right="139"/>
              <w:spacing w:before="62" w:line="312" w:lineRule="auto"/>
              <w:rPr>
                <w:sz w:val="19"/>
                <w:szCs w:val="19"/>
              </w:rPr>
            </w:pPr>
            <w:r>
              <w:rPr>
                <w:sz w:val="19"/>
                <w:szCs w:val="19"/>
                <w:spacing w:val="7"/>
              </w:rPr>
              <w:t>火药</w:t>
            </w:r>
            <w:r>
              <w:rPr>
                <w:sz w:val="19"/>
                <w:szCs w:val="19"/>
                <w:spacing w:val="7"/>
              </w:rPr>
              <w:t>爆炸</w:t>
            </w:r>
          </w:p>
        </w:tc>
        <w:tc>
          <w:tcPr>
            <w:tcW w:w="5017" w:type="dxa"/>
            <w:vAlign w:val="top"/>
            <w:vMerge w:val="continue"/>
            <w:tcBorders>
              <w:top w:val="nil"/>
            </w:tcBorders>
          </w:tcPr>
          <w:p>
            <w:pPr>
              <w:rPr>
                <w:rFonts w:ascii="Arial"/>
                <w:sz w:val="21"/>
              </w:rPr>
            </w:pPr>
            <w:r/>
          </w:p>
        </w:tc>
        <w:tc>
          <w:tcPr>
            <w:tcW w:w="1616" w:type="dxa"/>
            <w:vAlign w:val="top"/>
          </w:tcPr>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8" w:right="6"/>
              <w:spacing w:before="62" w:line="313" w:lineRule="auto"/>
              <w:jc w:val="both"/>
              <w:rPr>
                <w:sz w:val="19"/>
                <w:szCs w:val="19"/>
              </w:rPr>
            </w:pPr>
            <w:r>
              <w:rPr>
                <w:sz w:val="19"/>
                <w:szCs w:val="19"/>
                <w:spacing w:val="35"/>
              </w:rPr>
              <w:t>运送炸药途经区</w:t>
            </w:r>
            <w:r>
              <w:rPr>
                <w:sz w:val="19"/>
                <w:szCs w:val="19"/>
                <w:spacing w:val="7"/>
              </w:rPr>
              <w:t>域、爆破作业采场</w:t>
            </w:r>
            <w:r>
              <w:rPr>
                <w:sz w:val="19"/>
                <w:szCs w:val="19"/>
                <w:spacing w:val="7"/>
              </w:rPr>
              <w:t>等（爆破危险区范</w:t>
            </w:r>
            <w:r>
              <w:rPr>
                <w:sz w:val="19"/>
                <w:szCs w:val="19"/>
                <w:spacing w:val="4"/>
              </w:rPr>
              <w:t>围为</w:t>
            </w:r>
            <w:r>
              <w:rPr>
                <w:sz w:val="19"/>
                <w:szCs w:val="19"/>
                <w:spacing w:val="-37"/>
              </w:rPr>
              <w:t xml:space="preserve"> </w:t>
            </w:r>
            <w:r>
              <w:rPr>
                <w:sz w:val="19"/>
                <w:szCs w:val="19"/>
                <w:spacing w:val="4"/>
              </w:rPr>
              <w:t>200</w:t>
            </w:r>
            <w:r>
              <w:rPr>
                <w:sz w:val="19"/>
                <w:szCs w:val="19"/>
                <w:spacing w:val="-38"/>
              </w:rPr>
              <w:t xml:space="preserve"> </w:t>
            </w:r>
            <w:r>
              <w:rPr>
                <w:sz w:val="19"/>
                <w:szCs w:val="19"/>
                <w:spacing w:val="4"/>
              </w:rPr>
              <w:t>米，下坡</w:t>
            </w:r>
            <w:r>
              <w:rPr>
                <w:sz w:val="19"/>
                <w:szCs w:val="19"/>
                <w:spacing w:val="1"/>
              </w:rPr>
              <w:t>方</w:t>
            </w:r>
            <w:r>
              <w:rPr>
                <w:sz w:val="19"/>
                <w:szCs w:val="19"/>
                <w:spacing w:val="-23"/>
              </w:rPr>
              <w:t xml:space="preserve"> </w:t>
            </w:r>
            <w:r>
              <w:rPr>
                <w:sz w:val="19"/>
                <w:szCs w:val="19"/>
                <w:spacing w:val="1"/>
              </w:rPr>
              <w:t>向</w:t>
            </w:r>
            <w:r>
              <w:rPr>
                <w:sz w:val="19"/>
                <w:szCs w:val="19"/>
                <w:spacing w:val="-44"/>
              </w:rPr>
              <w:t xml:space="preserve"> </w:t>
            </w:r>
            <w:r>
              <w:rPr>
                <w:sz w:val="19"/>
                <w:szCs w:val="19"/>
                <w:spacing w:val="1"/>
              </w:rPr>
              <w:t>增</w:t>
            </w:r>
            <w:r>
              <w:rPr>
                <w:sz w:val="19"/>
                <w:szCs w:val="19"/>
                <w:spacing w:val="-38"/>
              </w:rPr>
              <w:t xml:space="preserve"> </w:t>
            </w:r>
            <w:r>
              <w:rPr>
                <w:sz w:val="19"/>
                <w:szCs w:val="19"/>
                <w:spacing w:val="1"/>
              </w:rPr>
              <w:t>大</w:t>
            </w:r>
            <w:r>
              <w:rPr>
                <w:sz w:val="19"/>
                <w:szCs w:val="19"/>
                <w:spacing w:val="-35"/>
              </w:rPr>
              <w:t xml:space="preserve"> </w:t>
            </w:r>
            <w:r>
              <w:rPr>
                <w:sz w:val="19"/>
                <w:szCs w:val="19"/>
                <w:spacing w:val="1"/>
              </w:rPr>
              <w:t>为 300</w:t>
            </w:r>
            <w:r>
              <w:rPr>
                <w:sz w:val="19"/>
                <w:szCs w:val="19"/>
                <w:spacing w:val="-21"/>
              </w:rPr>
              <w:t>米）。</w:t>
            </w:r>
          </w:p>
        </w:tc>
        <w:tc>
          <w:tcPr>
            <w:tcW w:w="479" w:type="dxa"/>
            <w:vAlign w:val="top"/>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pStyle w:val="TableText"/>
              <w:ind w:left="43" w:right="30" w:firstLine="2"/>
              <w:spacing w:before="62" w:line="310" w:lineRule="auto"/>
              <w:rPr>
                <w:sz w:val="19"/>
                <w:szCs w:val="19"/>
              </w:rPr>
            </w:pPr>
            <w:r>
              <w:rPr>
                <w:sz w:val="19"/>
                <w:szCs w:val="19"/>
                <w:spacing w:val="6"/>
              </w:rPr>
              <w:t>重大</w:t>
            </w:r>
            <w:r>
              <w:rPr>
                <w:sz w:val="19"/>
                <w:szCs w:val="19"/>
                <w:spacing w:val="7"/>
              </w:rPr>
              <w:t>人员</w:t>
            </w:r>
          </w:p>
          <w:p>
            <w:pPr>
              <w:pStyle w:val="TableText"/>
              <w:ind w:left="45" w:right="30"/>
              <w:spacing w:line="311" w:lineRule="auto"/>
              <w:rPr>
                <w:sz w:val="19"/>
                <w:szCs w:val="19"/>
              </w:rPr>
            </w:pPr>
            <w:r>
              <w:rPr>
                <w:sz w:val="19"/>
                <w:szCs w:val="19"/>
                <w:spacing w:val="6"/>
              </w:rPr>
              <w:t>伤亡</w:t>
            </w:r>
            <w:r>
              <w:rPr>
                <w:sz w:val="19"/>
                <w:szCs w:val="19"/>
                <w:spacing w:val="6"/>
              </w:rPr>
              <w:t>财产</w:t>
            </w:r>
          </w:p>
          <w:p>
            <w:pPr>
              <w:pStyle w:val="TableText"/>
              <w:ind w:left="44"/>
              <w:spacing w:line="218" w:lineRule="auto"/>
              <w:rPr>
                <w:sz w:val="19"/>
                <w:szCs w:val="19"/>
              </w:rPr>
            </w:pPr>
            <w:r>
              <w:rPr>
                <w:sz w:val="19"/>
                <w:szCs w:val="19"/>
                <w:spacing w:val="7"/>
              </w:rPr>
              <w:t>损失</w:t>
            </w:r>
          </w:p>
        </w:tc>
        <w:tc>
          <w:tcPr>
            <w:tcW w:w="720" w:type="dxa"/>
            <w:vAlign w:val="top"/>
            <w:tcBorders>
              <w:right w:val="single" w:color="000000" w:sz="6" w:space="0"/>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176"/>
              <w:spacing w:before="62" w:line="213" w:lineRule="auto"/>
              <w:rPr>
                <w:sz w:val="19"/>
                <w:szCs w:val="19"/>
              </w:rPr>
            </w:pPr>
            <w:r>
              <w:rPr>
                <w:sz w:val="19"/>
                <w:szCs w:val="19"/>
                <w:spacing w:val="-2"/>
              </w:rPr>
              <w:t>Ⅳ级</w:t>
            </w:r>
          </w:p>
        </w:tc>
      </w:tr>
      <w:tr>
        <w:trPr>
          <w:trHeight w:val="4106" w:hRule="atLeast"/>
        </w:trPr>
        <w:tc>
          <w:tcPr>
            <w:tcW w:w="432" w:type="dxa"/>
            <w:vAlign w:val="top"/>
            <w:tcBorders>
              <w:left w:val="single" w:color="000000" w:sz="6" w:space="0"/>
              <w:bottom w:val="single" w:color="000000" w:sz="6" w:space="0"/>
            </w:tcBorders>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164"/>
              <w:spacing w:before="62" w:line="285" w:lineRule="exact"/>
              <w:rPr>
                <w:sz w:val="19"/>
                <w:szCs w:val="19"/>
              </w:rPr>
            </w:pPr>
            <w:r>
              <w:rPr>
                <w:sz w:val="19"/>
                <w:szCs w:val="19"/>
                <w:position w:val="2"/>
              </w:rPr>
              <w:t>3</w:t>
            </w:r>
          </w:p>
        </w:tc>
        <w:tc>
          <w:tcPr>
            <w:tcW w:w="671" w:type="dxa"/>
            <w:vAlign w:val="top"/>
            <w:tcBorders>
              <w:bottom w:val="single" w:color="000000" w:sz="6" w:space="0"/>
            </w:tcBorders>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31" w:right="139" w:hanging="2"/>
              <w:spacing w:before="62" w:line="313" w:lineRule="auto"/>
              <w:rPr>
                <w:sz w:val="19"/>
                <w:szCs w:val="19"/>
              </w:rPr>
            </w:pPr>
            <w:r>
              <w:rPr>
                <w:sz w:val="19"/>
                <w:szCs w:val="19"/>
                <w:spacing w:val="5"/>
              </w:rPr>
              <w:t>物体</w:t>
            </w:r>
            <w:r>
              <w:rPr>
                <w:sz w:val="19"/>
                <w:szCs w:val="19"/>
                <w:spacing w:val="4"/>
              </w:rPr>
              <w:t>打击</w:t>
            </w:r>
          </w:p>
        </w:tc>
        <w:tc>
          <w:tcPr>
            <w:tcW w:w="5017" w:type="dxa"/>
            <w:vAlign w:val="top"/>
            <w:tcBorders>
              <w:bottom w:val="single" w:color="000000" w:sz="6" w:space="0"/>
            </w:tcBorders>
          </w:tcPr>
          <w:p>
            <w:pPr>
              <w:spacing w:line="412" w:lineRule="auto"/>
              <w:rPr>
                <w:rFonts w:ascii="Arial"/>
                <w:sz w:val="21"/>
              </w:rPr>
            </w:pPr>
            <w:r/>
          </w:p>
          <w:p>
            <w:pPr>
              <w:pStyle w:val="TableText"/>
              <w:ind w:left="26" w:right="11" w:hanging="13"/>
              <w:spacing w:before="62" w:line="291" w:lineRule="auto"/>
              <w:rPr>
                <w:sz w:val="19"/>
                <w:szCs w:val="19"/>
              </w:rPr>
            </w:pPr>
            <w:r>
              <w:rPr>
                <w:sz w:val="19"/>
                <w:szCs w:val="19"/>
                <w:spacing w:val="17"/>
              </w:rPr>
              <w:t>物体打击事故是指由失控物体的重力或惯性力引起伤害</w:t>
            </w:r>
            <w:r>
              <w:rPr>
                <w:sz w:val="19"/>
                <w:szCs w:val="19"/>
                <w:spacing w:val="8"/>
              </w:rPr>
              <w:t>的事故。包括由落下物、飞来物、崩块等引起的伤害。</w:t>
            </w:r>
          </w:p>
          <w:p>
            <w:pPr>
              <w:pStyle w:val="TableText"/>
              <w:ind w:left="10"/>
              <w:spacing w:line="226" w:lineRule="auto"/>
              <w:rPr>
                <w:sz w:val="19"/>
                <w:szCs w:val="19"/>
              </w:rPr>
            </w:pPr>
            <w:r>
              <w:rPr>
                <w:sz w:val="19"/>
                <w:szCs w:val="19"/>
                <w:spacing w:val="9"/>
              </w:rPr>
              <w:t>采矿、装运、机械维护过程均存在发生物体打击的可能；</w:t>
            </w:r>
          </w:p>
          <w:p>
            <w:pPr>
              <w:pStyle w:val="TableText"/>
              <w:ind w:left="7" w:firstLine="3"/>
              <w:spacing w:before="66" w:line="292" w:lineRule="auto"/>
              <w:rPr>
                <w:sz w:val="19"/>
                <w:szCs w:val="19"/>
              </w:rPr>
            </w:pPr>
            <w:r>
              <w:rPr>
                <w:sz w:val="19"/>
                <w:szCs w:val="19"/>
                <w:spacing w:val="9"/>
              </w:rPr>
              <w:t>采面上部危石、浮石、伞檐未及时清理，下方有</w:t>
            </w:r>
            <w:r>
              <w:rPr>
                <w:sz w:val="19"/>
                <w:szCs w:val="19"/>
                <w:spacing w:val="8"/>
              </w:rPr>
              <w:t>人作业；</w:t>
            </w:r>
            <w:r>
              <w:rPr>
                <w:sz w:val="19"/>
                <w:szCs w:val="19"/>
                <w:spacing w:val="7"/>
              </w:rPr>
              <w:t>未设置警示标志，人员误入危险区；滚石、设备、工具等</w:t>
            </w:r>
            <w:r>
              <w:rPr>
                <w:sz w:val="19"/>
                <w:szCs w:val="19"/>
                <w:spacing w:val="7"/>
              </w:rPr>
              <w:t>坠落物的砸伤；在高空作业中，由于工具零件等物从高处</w:t>
            </w:r>
            <w:r>
              <w:rPr>
                <w:sz w:val="19"/>
                <w:szCs w:val="19"/>
                <w:spacing w:val="7"/>
              </w:rPr>
              <w:t>掉落伤人；人为乱扔废物、杂物伤人；人员在边坡公路行</w:t>
            </w:r>
            <w:r>
              <w:rPr>
                <w:sz w:val="19"/>
                <w:szCs w:val="19"/>
                <w:spacing w:val="9"/>
              </w:rPr>
              <w:t>进中，因地面状况等原因意外滑倒，摔下边坡造成事故；</w:t>
            </w:r>
            <w:r>
              <w:rPr>
                <w:sz w:val="19"/>
                <w:szCs w:val="19"/>
                <w:spacing w:val="2"/>
              </w:rPr>
              <w:t>设备检修、拆装作业，物料掉落伤人；设备带“病”运行，</w:t>
            </w:r>
            <w:r>
              <w:rPr>
                <w:sz w:val="19"/>
                <w:szCs w:val="19"/>
                <w:spacing w:val="7"/>
              </w:rPr>
              <w:t>设备中物体飞出伤人；设备运转中，违章操作，用铁棍捅</w:t>
            </w:r>
            <w:r>
              <w:rPr>
                <w:sz w:val="19"/>
                <w:szCs w:val="19"/>
                <w:spacing w:val="7"/>
              </w:rPr>
              <w:t>卡料，铁棍飞弹出伤人；压力容器爆炸的飞出物伤人。</w:t>
            </w:r>
          </w:p>
        </w:tc>
        <w:tc>
          <w:tcPr>
            <w:tcW w:w="1616" w:type="dxa"/>
            <w:vAlign w:val="top"/>
            <w:tcBorders>
              <w:bottom w:val="single" w:color="000000" w:sz="6" w:space="0"/>
            </w:tcBorders>
          </w:tcPr>
          <w:p>
            <w:pPr>
              <w:spacing w:line="319" w:lineRule="auto"/>
              <w:rPr>
                <w:rFonts w:ascii="Arial"/>
                <w:sz w:val="21"/>
              </w:rPr>
            </w:pPr>
            <w:r/>
          </w:p>
          <w:p>
            <w:pPr>
              <w:spacing w:line="319" w:lineRule="auto"/>
              <w:rPr>
                <w:rFonts w:ascii="Arial"/>
                <w:sz w:val="21"/>
              </w:rPr>
            </w:pPr>
            <w:r/>
          </w:p>
          <w:p>
            <w:pPr>
              <w:spacing w:line="319" w:lineRule="auto"/>
              <w:rPr>
                <w:rFonts w:ascii="Arial"/>
                <w:sz w:val="21"/>
              </w:rPr>
            </w:pPr>
            <w:r/>
          </w:p>
          <w:p>
            <w:pPr>
              <w:pStyle w:val="TableText"/>
              <w:ind w:left="17" w:right="7" w:firstLine="1"/>
              <w:spacing w:before="61" w:line="311" w:lineRule="auto"/>
              <w:rPr>
                <w:sz w:val="19"/>
                <w:szCs w:val="19"/>
              </w:rPr>
            </w:pPr>
            <w:r>
              <w:rPr>
                <w:sz w:val="19"/>
                <w:szCs w:val="19"/>
                <w:spacing w:val="35"/>
              </w:rPr>
              <w:t>露天矿山生产中</w:t>
            </w:r>
            <w:r>
              <w:rPr>
                <w:sz w:val="19"/>
                <w:szCs w:val="19"/>
                <w:spacing w:val="35"/>
              </w:rPr>
              <w:t>可能发生落石伤</w:t>
            </w:r>
            <w:r>
              <w:rPr>
                <w:sz w:val="19"/>
                <w:szCs w:val="19"/>
                <w:spacing w:val="35"/>
              </w:rPr>
              <w:t>人的区域主要是</w:t>
            </w:r>
            <w:r>
              <w:rPr>
                <w:sz w:val="19"/>
                <w:szCs w:val="19"/>
                <w:spacing w:val="7"/>
              </w:rPr>
              <w:t>采场工作帮下方、</w:t>
            </w:r>
            <w:r>
              <w:rPr>
                <w:sz w:val="19"/>
                <w:szCs w:val="19"/>
                <w:spacing w:val="35"/>
              </w:rPr>
              <w:t>停采的高陡帮区</w:t>
            </w:r>
            <w:r>
              <w:rPr>
                <w:sz w:val="19"/>
                <w:szCs w:val="19"/>
                <w:spacing w:val="7"/>
              </w:rPr>
              <w:t>域等；开采、运输</w:t>
            </w:r>
            <w:r>
              <w:rPr>
                <w:sz w:val="19"/>
                <w:szCs w:val="19"/>
                <w:spacing w:val="5"/>
              </w:rPr>
              <w:t>过程。</w:t>
            </w:r>
          </w:p>
        </w:tc>
        <w:tc>
          <w:tcPr>
            <w:tcW w:w="479" w:type="dxa"/>
            <w:vAlign w:val="top"/>
            <w:tcBorders>
              <w:bottom w:val="single" w:color="000000" w:sz="6" w:space="0"/>
            </w:tcBorders>
          </w:tcPr>
          <w:p>
            <w:pPr>
              <w:spacing w:line="287" w:lineRule="auto"/>
              <w:rPr>
                <w:rFonts w:ascii="Arial"/>
                <w:sz w:val="21"/>
              </w:rPr>
            </w:pPr>
            <w:r/>
          </w:p>
          <w:p>
            <w:pPr>
              <w:spacing w:line="288" w:lineRule="auto"/>
              <w:rPr>
                <w:rFonts w:ascii="Arial"/>
                <w:sz w:val="21"/>
              </w:rPr>
            </w:pPr>
            <w:r/>
          </w:p>
          <w:p>
            <w:pPr>
              <w:spacing w:line="288" w:lineRule="auto"/>
              <w:rPr>
                <w:rFonts w:ascii="Arial"/>
                <w:sz w:val="21"/>
              </w:rPr>
            </w:pPr>
            <w:r/>
          </w:p>
          <w:p>
            <w:pPr>
              <w:spacing w:line="288" w:lineRule="auto"/>
              <w:rPr>
                <w:rFonts w:ascii="Arial"/>
                <w:sz w:val="21"/>
              </w:rPr>
            </w:pPr>
            <w:r/>
          </w:p>
          <w:p>
            <w:pPr>
              <w:spacing w:line="288" w:lineRule="auto"/>
              <w:rPr>
                <w:rFonts w:ascii="Arial"/>
                <w:sz w:val="21"/>
              </w:rPr>
            </w:pPr>
            <w:r/>
          </w:p>
          <w:p>
            <w:pPr>
              <w:pStyle w:val="TableText"/>
              <w:ind w:left="45" w:right="30" w:hanging="2"/>
              <w:spacing w:before="62" w:line="308" w:lineRule="auto"/>
              <w:rPr>
                <w:sz w:val="19"/>
                <w:szCs w:val="19"/>
              </w:rPr>
            </w:pPr>
            <w:r>
              <w:rPr>
                <w:sz w:val="19"/>
                <w:szCs w:val="19"/>
                <w:spacing w:val="7"/>
              </w:rPr>
              <w:t>人员</w:t>
            </w:r>
            <w:r>
              <w:rPr>
                <w:sz w:val="19"/>
                <w:szCs w:val="19"/>
                <w:spacing w:val="6"/>
              </w:rPr>
              <w:t>伤亡</w:t>
            </w:r>
          </w:p>
          <w:p>
            <w:pPr>
              <w:pStyle w:val="TableText"/>
              <w:ind w:left="44" w:right="30" w:firstLine="1"/>
              <w:spacing w:before="1" w:line="314" w:lineRule="auto"/>
              <w:rPr>
                <w:sz w:val="19"/>
                <w:szCs w:val="19"/>
              </w:rPr>
            </w:pPr>
            <w:r>
              <w:rPr>
                <w:sz w:val="19"/>
                <w:szCs w:val="19"/>
                <w:spacing w:val="6"/>
              </w:rPr>
              <w:t>财产</w:t>
            </w:r>
            <w:r>
              <w:rPr>
                <w:sz w:val="19"/>
                <w:szCs w:val="19"/>
                <w:spacing w:val="7"/>
              </w:rPr>
              <w:t>损失</w:t>
            </w:r>
          </w:p>
        </w:tc>
        <w:tc>
          <w:tcPr>
            <w:tcW w:w="720" w:type="dxa"/>
            <w:vAlign w:val="top"/>
            <w:tcBorders>
              <w:bottom w:val="single" w:color="000000" w:sz="6" w:space="0"/>
              <w:right w:val="single" w:color="000000" w:sz="6" w:space="0"/>
            </w:tcBorders>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187"/>
              <w:spacing w:before="62" w:line="213" w:lineRule="auto"/>
              <w:rPr>
                <w:sz w:val="19"/>
                <w:szCs w:val="19"/>
              </w:rPr>
            </w:pPr>
            <w:r>
              <w:rPr>
                <w:sz w:val="19"/>
                <w:szCs w:val="19"/>
                <w:spacing w:val="-7"/>
              </w:rPr>
              <w:t>Ⅲ级</w:t>
            </w:r>
          </w:p>
        </w:tc>
      </w:tr>
    </w:tbl>
    <w:p>
      <w:pPr>
        <w:rPr>
          <w:rFonts w:ascii="Arial"/>
          <w:sz w:val="21"/>
        </w:rPr>
      </w:pPr>
      <w:r/>
    </w:p>
    <w:p>
      <w:pPr>
        <w:sectPr>
          <w:headerReference w:type="default" r:id="rId689"/>
          <w:footerReference w:type="default" r:id="rId690"/>
          <w:pgSz w:w="11906" w:h="16839"/>
          <w:pgMar w:top="1772" w:right="1478" w:bottom="1547" w:left="1477" w:header="1428" w:footer="1172" w:gutter="0"/>
        </w:sectPr>
        <w:rPr>
          <w:rFonts w:ascii="Arial" w:hAnsi="Arial" w:eastAsia="Arial" w:cs="Arial"/>
          <w:sz w:val="21"/>
          <w:szCs w:val="21"/>
        </w:rPr>
      </w:pPr>
    </w:p>
    <w:p>
      <w:pPr>
        <w:spacing w:line="218" w:lineRule="exact"/>
        <w:rPr/>
      </w:pPr>
      <w:r>
        <w:drawing>
          <wp:anchor distT="0" distB="0" distL="0" distR="0" simplePos="0" relativeHeight="25223680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384" name="IM 1384"/>
            <wp:cNvGraphicFramePr/>
            <a:graphic>
              <a:graphicData uri="http://schemas.openxmlformats.org/drawingml/2006/picture">
                <pic:pic>
                  <pic:nvPicPr>
                    <pic:cNvPr id="1384" name="IM 1384"/>
                    <pic:cNvPicPr/>
                  </pic:nvPicPr>
                  <pic:blipFill>
                    <a:blip r:embed="rId694"/>
                    <a:stretch>
                      <a:fillRect/>
                    </a:stretch>
                  </pic:blipFill>
                  <pic:spPr>
                    <a:xfrm rot="0">
                      <a:off x="0" y="0"/>
                      <a:ext cx="5579745" cy="7620"/>
                    </a:xfrm>
                    <a:prstGeom prst="rect">
                      <a:avLst/>
                    </a:prstGeom>
                  </pic:spPr>
                </pic:pic>
              </a:graphicData>
            </a:graphic>
          </wp:anchor>
        </w:drawing>
      </w:r>
      <w:r/>
    </w:p>
    <w:tbl>
      <w:tblPr>
        <w:tblStyle w:val="TableNormal"/>
        <w:tblW w:w="8935"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32"/>
        <w:gridCol w:w="671"/>
        <w:gridCol w:w="5017"/>
        <w:gridCol w:w="1616"/>
        <w:gridCol w:w="479"/>
        <w:gridCol w:w="720"/>
      </w:tblGrid>
      <w:tr>
        <w:trPr>
          <w:trHeight w:val="678" w:hRule="atLeast"/>
        </w:trPr>
        <w:tc>
          <w:tcPr>
            <w:tcW w:w="432" w:type="dxa"/>
            <w:vAlign w:val="top"/>
            <w:tcBorders>
              <w:left w:val="single" w:color="000000" w:sz="6" w:space="0"/>
              <w:top w:val="single" w:color="000000" w:sz="6" w:space="0"/>
            </w:tcBorders>
          </w:tcPr>
          <w:p>
            <w:pPr>
              <w:pStyle w:val="TableText"/>
              <w:ind w:left="110" w:right="114"/>
              <w:spacing w:before="122" w:line="237" w:lineRule="auto"/>
              <w:rPr>
                <w:sz w:val="19"/>
                <w:szCs w:val="19"/>
              </w:rPr>
            </w:pPr>
            <w:r>
              <w:rPr>
                <w:sz w:val="19"/>
                <w:szCs w:val="19"/>
                <w:spacing w:val="4"/>
              </w:rPr>
              <w:t>序</w:t>
            </w:r>
            <w:r>
              <w:rPr>
                <w:sz w:val="19"/>
                <w:szCs w:val="19"/>
                <w:spacing w:val="3"/>
              </w:rPr>
              <w:t>号</w:t>
            </w:r>
          </w:p>
        </w:tc>
        <w:tc>
          <w:tcPr>
            <w:tcW w:w="671" w:type="dxa"/>
            <w:vAlign w:val="top"/>
            <w:tcBorders>
              <w:top w:val="single" w:color="000000" w:sz="6" w:space="0"/>
            </w:tcBorders>
          </w:tcPr>
          <w:p>
            <w:pPr>
              <w:pStyle w:val="TableText"/>
              <w:ind w:left="39" w:right="36" w:hanging="10"/>
              <w:spacing w:before="123" w:line="235" w:lineRule="auto"/>
              <w:rPr>
                <w:sz w:val="19"/>
                <w:szCs w:val="19"/>
              </w:rPr>
            </w:pPr>
            <w:r>
              <w:rPr>
                <w:sz w:val="19"/>
                <w:szCs w:val="19"/>
                <w:spacing w:val="8"/>
              </w:rPr>
              <w:t>事故风</w:t>
            </w:r>
            <w:r>
              <w:rPr>
                <w:sz w:val="19"/>
                <w:szCs w:val="19"/>
                <w:spacing w:val="4"/>
              </w:rPr>
              <w:t>险种类</w:t>
            </w:r>
          </w:p>
        </w:tc>
        <w:tc>
          <w:tcPr>
            <w:tcW w:w="5017" w:type="dxa"/>
            <w:vAlign w:val="top"/>
            <w:tcBorders>
              <w:top w:val="single" w:color="000000" w:sz="6" w:space="0"/>
            </w:tcBorders>
          </w:tcPr>
          <w:p>
            <w:pPr>
              <w:pStyle w:val="TableText"/>
              <w:ind w:left="1506"/>
              <w:spacing w:before="243" w:line="220" w:lineRule="auto"/>
              <w:rPr>
                <w:sz w:val="19"/>
                <w:szCs w:val="19"/>
              </w:rPr>
            </w:pPr>
            <w:r>
              <w:rPr>
                <w:sz w:val="19"/>
                <w:szCs w:val="19"/>
                <w:spacing w:val="9"/>
              </w:rPr>
              <w:t>事故风险发生的可能性</w:t>
            </w:r>
          </w:p>
        </w:tc>
        <w:tc>
          <w:tcPr>
            <w:tcW w:w="1616" w:type="dxa"/>
            <w:vAlign w:val="top"/>
            <w:tcBorders>
              <w:top w:val="single" w:color="000000" w:sz="6" w:space="0"/>
            </w:tcBorders>
          </w:tcPr>
          <w:p>
            <w:pPr>
              <w:pStyle w:val="TableText"/>
              <w:ind w:left="307" w:right="302" w:firstLine="100"/>
              <w:spacing w:before="123" w:line="236" w:lineRule="auto"/>
              <w:rPr>
                <w:sz w:val="19"/>
                <w:szCs w:val="19"/>
              </w:rPr>
            </w:pPr>
            <w:r>
              <w:rPr>
                <w:sz w:val="19"/>
                <w:szCs w:val="19"/>
                <w:spacing w:val="9"/>
              </w:rPr>
              <w:t>存在场所</w:t>
            </w:r>
            <w:r>
              <w:rPr>
                <w:sz w:val="19"/>
                <w:szCs w:val="19"/>
                <w:spacing w:val="9"/>
              </w:rPr>
              <w:t>及影响范围</w:t>
            </w:r>
          </w:p>
        </w:tc>
        <w:tc>
          <w:tcPr>
            <w:tcW w:w="479" w:type="dxa"/>
            <w:vAlign w:val="top"/>
            <w:tcBorders>
              <w:top w:val="single" w:color="000000" w:sz="6" w:space="0"/>
            </w:tcBorders>
          </w:tcPr>
          <w:p>
            <w:pPr>
              <w:pStyle w:val="TableText"/>
              <w:ind w:left="43"/>
              <w:spacing w:before="247" w:line="213" w:lineRule="auto"/>
              <w:rPr>
                <w:sz w:val="19"/>
                <w:szCs w:val="19"/>
              </w:rPr>
            </w:pPr>
            <w:r>
              <w:rPr>
                <w:sz w:val="19"/>
                <w:szCs w:val="19"/>
                <w:spacing w:val="7"/>
              </w:rPr>
              <w:t>后果</w:t>
            </w:r>
          </w:p>
        </w:tc>
        <w:tc>
          <w:tcPr>
            <w:tcW w:w="720" w:type="dxa"/>
            <w:vAlign w:val="top"/>
            <w:tcBorders>
              <w:right w:val="single" w:color="000000" w:sz="6" w:space="0"/>
              <w:top w:val="single" w:color="000000" w:sz="6" w:space="0"/>
            </w:tcBorders>
          </w:tcPr>
          <w:p>
            <w:pPr>
              <w:pStyle w:val="TableText"/>
              <w:ind w:left="160" w:right="152"/>
              <w:spacing w:before="123" w:line="236" w:lineRule="auto"/>
              <w:rPr>
                <w:sz w:val="19"/>
                <w:szCs w:val="19"/>
              </w:rPr>
            </w:pPr>
            <w:r>
              <w:rPr>
                <w:sz w:val="19"/>
                <w:szCs w:val="19"/>
                <w:spacing w:val="7"/>
              </w:rPr>
              <w:t>危险</w:t>
            </w:r>
            <w:r>
              <w:rPr>
                <w:sz w:val="19"/>
                <w:szCs w:val="19"/>
                <w:spacing w:val="6"/>
              </w:rPr>
              <w:t>程度</w:t>
            </w:r>
          </w:p>
        </w:tc>
      </w:tr>
      <w:tr>
        <w:trPr>
          <w:trHeight w:val="2882" w:hRule="atLeast"/>
        </w:trPr>
        <w:tc>
          <w:tcPr>
            <w:tcW w:w="432" w:type="dxa"/>
            <w:vAlign w:val="top"/>
            <w:tcBorders>
              <w:left w:val="single" w:color="000000" w:sz="6" w:space="0"/>
            </w:tcBorders>
          </w:tcPr>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58"/>
              <w:spacing w:before="61" w:line="287" w:lineRule="exact"/>
              <w:rPr>
                <w:sz w:val="19"/>
                <w:szCs w:val="19"/>
              </w:rPr>
            </w:pPr>
            <w:r>
              <w:rPr>
                <w:sz w:val="19"/>
                <w:szCs w:val="19"/>
                <w:spacing w:val="1"/>
                <w:position w:val="2"/>
              </w:rPr>
              <w:t>4</w:t>
            </w:r>
          </w:p>
        </w:tc>
        <w:tc>
          <w:tcPr>
            <w:tcW w:w="671" w:type="dxa"/>
            <w:vAlign w:val="top"/>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pStyle w:val="TableText"/>
              <w:ind w:left="133" w:right="139" w:hanging="3"/>
              <w:spacing w:before="62" w:line="317" w:lineRule="auto"/>
              <w:rPr>
                <w:sz w:val="19"/>
                <w:szCs w:val="19"/>
              </w:rPr>
            </w:pPr>
            <w:r>
              <w:rPr>
                <w:sz w:val="19"/>
                <w:szCs w:val="19"/>
                <w:spacing w:val="5"/>
              </w:rPr>
              <w:t>高处</w:t>
            </w:r>
            <w:r>
              <w:rPr>
                <w:sz w:val="19"/>
                <w:szCs w:val="19"/>
                <w:spacing w:val="3"/>
              </w:rPr>
              <w:t>坠落</w:t>
            </w:r>
          </w:p>
        </w:tc>
        <w:tc>
          <w:tcPr>
            <w:tcW w:w="5017" w:type="dxa"/>
            <w:vAlign w:val="top"/>
          </w:tcPr>
          <w:p>
            <w:pPr>
              <w:pStyle w:val="TableText"/>
              <w:ind w:left="10" w:right="11" w:firstLine="3"/>
              <w:spacing w:before="82" w:line="308" w:lineRule="auto"/>
              <w:jc w:val="both"/>
              <w:rPr>
                <w:sz w:val="19"/>
                <w:szCs w:val="19"/>
              </w:rPr>
            </w:pPr>
            <w:r>
              <w:rPr>
                <w:sz w:val="19"/>
                <w:szCs w:val="19"/>
                <w:spacing w:val="8"/>
              </w:rPr>
              <w:t>高处坠落是指人登高</w:t>
            </w:r>
            <w:r>
              <w:rPr>
                <w:sz w:val="19"/>
                <w:szCs w:val="19"/>
                <w:spacing w:val="-34"/>
              </w:rPr>
              <w:t xml:space="preserve"> </w:t>
            </w:r>
            <w:r>
              <w:rPr>
                <w:sz w:val="19"/>
                <w:szCs w:val="19"/>
                <w:spacing w:val="8"/>
              </w:rPr>
              <w:t>2</w:t>
            </w:r>
            <w:r>
              <w:rPr>
                <w:sz w:val="19"/>
                <w:szCs w:val="19"/>
                <w:spacing w:val="-44"/>
              </w:rPr>
              <w:t xml:space="preserve"> </w:t>
            </w:r>
            <w:r>
              <w:rPr>
                <w:sz w:val="19"/>
                <w:szCs w:val="19"/>
                <w:spacing w:val="8"/>
              </w:rPr>
              <w:t>米或</w:t>
            </w:r>
            <w:r>
              <w:rPr>
                <w:sz w:val="19"/>
                <w:szCs w:val="19"/>
                <w:spacing w:val="-39"/>
              </w:rPr>
              <w:t xml:space="preserve"> </w:t>
            </w:r>
            <w:r>
              <w:rPr>
                <w:sz w:val="19"/>
                <w:szCs w:val="19"/>
                <w:spacing w:val="8"/>
              </w:rPr>
              <w:t>2</w:t>
            </w:r>
            <w:r>
              <w:rPr>
                <w:sz w:val="19"/>
                <w:szCs w:val="19"/>
                <w:spacing w:val="-43"/>
              </w:rPr>
              <w:t xml:space="preserve"> </w:t>
            </w:r>
            <w:r>
              <w:rPr>
                <w:sz w:val="19"/>
                <w:szCs w:val="19"/>
                <w:spacing w:val="8"/>
              </w:rPr>
              <w:t>米以上作业时失去平衡在重</w:t>
            </w:r>
            <w:r>
              <w:rPr>
                <w:sz w:val="19"/>
                <w:szCs w:val="19"/>
                <w:spacing w:val="9"/>
              </w:rPr>
              <w:t>力作用下坠落造成伤害的事故。包括从平台、边坡、山崖</w:t>
            </w:r>
            <w:r>
              <w:rPr>
                <w:sz w:val="19"/>
                <w:szCs w:val="19"/>
                <w:spacing w:val="9"/>
              </w:rPr>
              <w:t>等高处坠落，失足落入洞、坑、沟等造成的伤害。</w:t>
            </w:r>
          </w:p>
          <w:p>
            <w:pPr>
              <w:pStyle w:val="TableText"/>
              <w:ind w:left="8" w:right="8" w:firstLine="19"/>
              <w:spacing w:before="10" w:line="296" w:lineRule="auto"/>
              <w:jc w:val="both"/>
              <w:rPr>
                <w:sz w:val="19"/>
                <w:szCs w:val="19"/>
              </w:rPr>
            </w:pPr>
            <w:r>
              <w:rPr>
                <w:sz w:val="19"/>
                <w:szCs w:val="19"/>
                <w:spacing w:val="11"/>
              </w:rPr>
              <w:t>1、露天矿山开采作业中</w:t>
            </w:r>
            <w:r>
              <w:rPr>
                <w:sz w:val="19"/>
                <w:szCs w:val="19"/>
                <w:spacing w:val="-55"/>
              </w:rPr>
              <w:t xml:space="preserve"> </w:t>
            </w:r>
            <w:r>
              <w:rPr>
                <w:sz w:val="19"/>
                <w:szCs w:val="19"/>
                <w:spacing w:val="11"/>
              </w:rPr>
              <w:t>，作业人员登高在采场</w:t>
            </w:r>
            <w:r>
              <w:rPr>
                <w:sz w:val="19"/>
                <w:szCs w:val="19"/>
                <w:spacing w:val="10"/>
              </w:rPr>
              <w:t>上部清理</w:t>
            </w:r>
            <w:r>
              <w:rPr>
                <w:sz w:val="19"/>
                <w:szCs w:val="19"/>
                <w:spacing w:val="9"/>
              </w:rPr>
              <w:t>危石、浮石、伞檐，在超过</w:t>
            </w:r>
            <w:r>
              <w:rPr>
                <w:sz w:val="19"/>
                <w:szCs w:val="19"/>
                <w:spacing w:val="-39"/>
              </w:rPr>
              <w:t xml:space="preserve"> </w:t>
            </w:r>
            <w:r>
              <w:rPr>
                <w:sz w:val="19"/>
                <w:szCs w:val="19"/>
                <w:spacing w:val="9"/>
              </w:rPr>
              <w:t>2</w:t>
            </w:r>
            <w:r>
              <w:rPr>
                <w:sz w:val="19"/>
                <w:szCs w:val="19"/>
                <w:spacing w:val="-41"/>
              </w:rPr>
              <w:t xml:space="preserve"> </w:t>
            </w:r>
            <w:r>
              <w:rPr>
                <w:sz w:val="19"/>
                <w:szCs w:val="19"/>
                <w:spacing w:val="9"/>
              </w:rPr>
              <w:t>米的高处进行设备维修</w:t>
            </w:r>
            <w:r>
              <w:rPr>
                <w:sz w:val="19"/>
                <w:szCs w:val="19"/>
                <w:spacing w:val="8"/>
              </w:rPr>
              <w:t>，存</w:t>
            </w:r>
            <w:r>
              <w:rPr>
                <w:sz w:val="19"/>
                <w:szCs w:val="19"/>
                <w:spacing w:val="9"/>
              </w:rPr>
              <w:t>在高处坠落危险。产生高处坠落的主要原因是人员高处作</w:t>
            </w:r>
            <w:r>
              <w:rPr>
                <w:sz w:val="19"/>
                <w:szCs w:val="19"/>
                <w:spacing w:val="9"/>
              </w:rPr>
              <w:t>业没有系安全带（绳）、或安全保险带（绳）不符合安全</w:t>
            </w:r>
            <w:r>
              <w:rPr>
                <w:sz w:val="19"/>
                <w:szCs w:val="19"/>
                <w:spacing w:val="9"/>
              </w:rPr>
              <w:t>要求发生断裂、或固定不牢固；2、平台无防护。3、凿岩</w:t>
            </w:r>
            <w:r>
              <w:rPr>
                <w:sz w:val="19"/>
                <w:szCs w:val="19"/>
                <w:spacing w:val="8"/>
              </w:rPr>
              <w:t>作业人员的坠落；</w:t>
            </w:r>
          </w:p>
        </w:tc>
        <w:tc>
          <w:tcPr>
            <w:tcW w:w="1616" w:type="dxa"/>
            <w:vAlign w:val="top"/>
          </w:tcPr>
          <w:p>
            <w:pPr>
              <w:spacing w:line="342" w:lineRule="auto"/>
              <w:rPr>
                <w:rFonts w:ascii="Arial"/>
                <w:sz w:val="21"/>
              </w:rPr>
            </w:pPr>
            <w:r/>
          </w:p>
          <w:p>
            <w:pPr>
              <w:pStyle w:val="TableText"/>
              <w:ind w:left="20" w:right="7" w:hanging="2"/>
              <w:spacing w:before="61" w:line="310" w:lineRule="auto"/>
              <w:jc w:val="both"/>
              <w:rPr>
                <w:sz w:val="19"/>
                <w:szCs w:val="19"/>
              </w:rPr>
            </w:pPr>
            <w:r>
              <w:rPr>
                <w:sz w:val="19"/>
                <w:szCs w:val="19"/>
                <w:spacing w:val="35"/>
              </w:rPr>
              <w:t>露天矿山生产中</w:t>
            </w:r>
            <w:r>
              <w:rPr>
                <w:sz w:val="19"/>
                <w:szCs w:val="19"/>
                <w:spacing w:val="35"/>
              </w:rPr>
              <w:t>可能发生高处坠</w:t>
            </w:r>
            <w:r>
              <w:rPr>
                <w:sz w:val="19"/>
                <w:szCs w:val="19"/>
                <w:spacing w:val="35"/>
              </w:rPr>
              <w:t>落伤害的场所或</w:t>
            </w:r>
            <w:r>
              <w:rPr>
                <w:sz w:val="19"/>
                <w:szCs w:val="19"/>
                <w:spacing w:val="5"/>
              </w:rPr>
              <w:t>区域有：</w:t>
            </w:r>
          </w:p>
          <w:p>
            <w:pPr>
              <w:pStyle w:val="TableText"/>
              <w:ind w:left="18" w:right="7"/>
              <w:spacing w:before="2" w:line="308" w:lineRule="auto"/>
              <w:jc w:val="both"/>
              <w:rPr>
                <w:sz w:val="19"/>
                <w:szCs w:val="19"/>
              </w:rPr>
            </w:pPr>
            <w:r>
              <w:rPr>
                <w:sz w:val="19"/>
                <w:szCs w:val="19"/>
                <w:spacing w:val="5"/>
              </w:rPr>
              <w:t>采坑、超过</w:t>
            </w:r>
            <w:r>
              <w:rPr>
                <w:sz w:val="19"/>
                <w:szCs w:val="19"/>
                <w:spacing w:val="-38"/>
              </w:rPr>
              <w:t xml:space="preserve"> </w:t>
            </w:r>
            <w:r>
              <w:rPr>
                <w:sz w:val="19"/>
                <w:szCs w:val="19"/>
                <w:spacing w:val="5"/>
              </w:rPr>
              <w:t>2</w:t>
            </w:r>
            <w:r>
              <w:rPr>
                <w:sz w:val="19"/>
                <w:szCs w:val="19"/>
                <w:spacing w:val="-41"/>
              </w:rPr>
              <w:t xml:space="preserve"> </w:t>
            </w:r>
            <w:r>
              <w:rPr>
                <w:sz w:val="19"/>
                <w:szCs w:val="19"/>
                <w:spacing w:val="5"/>
              </w:rPr>
              <w:t>米的</w:t>
            </w:r>
            <w:r>
              <w:rPr>
                <w:sz w:val="19"/>
                <w:szCs w:val="19"/>
                <w:spacing w:val="7"/>
              </w:rPr>
              <w:t>操作平台、停采的</w:t>
            </w:r>
            <w:r>
              <w:rPr>
                <w:sz w:val="19"/>
                <w:szCs w:val="19"/>
                <w:spacing w:val="8"/>
              </w:rPr>
              <w:t>高陡帮区域等。</w:t>
            </w:r>
          </w:p>
        </w:tc>
        <w:tc>
          <w:tcPr>
            <w:tcW w:w="479" w:type="dxa"/>
            <w:vAlign w:val="top"/>
          </w:tcPr>
          <w:p>
            <w:pPr>
              <w:spacing w:line="285"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pStyle w:val="TableText"/>
              <w:ind w:left="45" w:right="30" w:hanging="2"/>
              <w:spacing w:before="61" w:line="315" w:lineRule="auto"/>
              <w:rPr>
                <w:sz w:val="19"/>
                <w:szCs w:val="19"/>
              </w:rPr>
            </w:pPr>
            <w:r>
              <w:rPr>
                <w:sz w:val="19"/>
                <w:szCs w:val="19"/>
                <w:spacing w:val="7"/>
              </w:rPr>
              <w:t>人员</w:t>
            </w:r>
            <w:r>
              <w:rPr>
                <w:sz w:val="19"/>
                <w:szCs w:val="19"/>
                <w:spacing w:val="6"/>
              </w:rPr>
              <w:t>伤亡</w:t>
            </w:r>
          </w:p>
        </w:tc>
        <w:tc>
          <w:tcPr>
            <w:tcW w:w="720" w:type="dxa"/>
            <w:vAlign w:val="top"/>
            <w:tcBorders>
              <w:right w:val="single" w:color="000000" w:sz="6" w:space="0"/>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pStyle w:val="TableText"/>
              <w:ind w:left="187"/>
              <w:spacing w:before="62" w:line="213" w:lineRule="auto"/>
              <w:rPr>
                <w:sz w:val="19"/>
                <w:szCs w:val="19"/>
              </w:rPr>
            </w:pPr>
            <w:r>
              <w:rPr>
                <w:sz w:val="19"/>
                <w:szCs w:val="19"/>
                <w:spacing w:val="-7"/>
              </w:rPr>
              <w:t>Ⅲ级</w:t>
            </w:r>
          </w:p>
        </w:tc>
      </w:tr>
      <w:tr>
        <w:trPr>
          <w:trHeight w:val="3201" w:hRule="atLeast"/>
        </w:trPr>
        <w:tc>
          <w:tcPr>
            <w:tcW w:w="432" w:type="dxa"/>
            <w:vAlign w:val="top"/>
            <w:tcBorders>
              <w:left w:val="single" w:color="000000" w:sz="6" w:space="0"/>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62"/>
              <w:spacing w:before="62" w:line="285" w:lineRule="exact"/>
              <w:rPr>
                <w:sz w:val="19"/>
                <w:szCs w:val="19"/>
              </w:rPr>
            </w:pPr>
            <w:r>
              <w:rPr>
                <w:sz w:val="19"/>
                <w:szCs w:val="19"/>
                <w:position w:val="2"/>
              </w:rPr>
              <w:t>5</w:t>
            </w:r>
          </w:p>
        </w:tc>
        <w:tc>
          <w:tcPr>
            <w:tcW w:w="671"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128" w:right="139"/>
              <w:spacing w:before="62" w:line="315" w:lineRule="auto"/>
              <w:rPr>
                <w:sz w:val="19"/>
                <w:szCs w:val="19"/>
              </w:rPr>
            </w:pPr>
            <w:r>
              <w:rPr>
                <w:sz w:val="19"/>
                <w:szCs w:val="19"/>
                <w:spacing w:val="6"/>
              </w:rPr>
              <w:t>机械</w:t>
            </w:r>
            <w:r>
              <w:rPr>
                <w:sz w:val="19"/>
                <w:szCs w:val="19"/>
                <w:spacing w:val="6"/>
              </w:rPr>
              <w:t>伤害</w:t>
            </w:r>
          </w:p>
        </w:tc>
        <w:tc>
          <w:tcPr>
            <w:tcW w:w="5017" w:type="dxa"/>
            <w:vAlign w:val="top"/>
          </w:tcPr>
          <w:p>
            <w:pPr>
              <w:pStyle w:val="TableText"/>
              <w:ind w:left="8" w:right="8" w:firstLine="2"/>
              <w:spacing w:before="89" w:line="308" w:lineRule="auto"/>
              <w:rPr>
                <w:sz w:val="19"/>
                <w:szCs w:val="19"/>
              </w:rPr>
            </w:pPr>
            <w:r>
              <w:rPr>
                <w:sz w:val="19"/>
                <w:szCs w:val="19"/>
                <w:spacing w:val="9"/>
              </w:rPr>
              <w:t>机械伤害是指机械设备运动（静止）部件、工具等直接触</w:t>
            </w:r>
            <w:r>
              <w:rPr>
                <w:sz w:val="19"/>
                <w:szCs w:val="19"/>
                <w:spacing w:val="9"/>
              </w:rPr>
              <w:t>人体引起的伤害的事故是矿山生产中最常见的伤害之一。</w:t>
            </w:r>
            <w:r>
              <w:rPr>
                <w:sz w:val="19"/>
                <w:szCs w:val="19"/>
                <w:spacing w:val="9"/>
              </w:rPr>
              <w:t>矿山在建设和生产过程中，主要移动或固定机械设备（潜</w:t>
            </w:r>
            <w:r>
              <w:rPr>
                <w:sz w:val="19"/>
                <w:szCs w:val="19"/>
                <w:spacing w:val="9"/>
              </w:rPr>
              <w:t>孔钻机、挖掘机、装载机、水泵、汽车、传送机械等）在</w:t>
            </w:r>
            <w:r>
              <w:rPr>
                <w:sz w:val="19"/>
                <w:szCs w:val="19"/>
                <w:spacing w:val="9"/>
              </w:rPr>
              <w:t>作业中由于人的操作失误、设备故障或环境因素等原因引</w:t>
            </w:r>
            <w:r>
              <w:rPr>
                <w:sz w:val="19"/>
                <w:szCs w:val="19"/>
                <w:spacing w:val="9"/>
              </w:rPr>
              <w:t>起的夹击、碰撞、卷入、绞、碾等伤害事故。</w:t>
            </w:r>
          </w:p>
          <w:p>
            <w:pPr>
              <w:pStyle w:val="TableText"/>
              <w:ind w:left="10" w:right="6" w:firstLine="1"/>
              <w:spacing w:before="18" w:line="287" w:lineRule="auto"/>
              <w:rPr>
                <w:sz w:val="19"/>
                <w:szCs w:val="19"/>
              </w:rPr>
            </w:pPr>
            <w:r>
              <w:rPr>
                <w:sz w:val="19"/>
                <w:szCs w:val="19"/>
                <w:spacing w:val="9"/>
              </w:rPr>
              <w:t>机械伤害事故具体形式包括作业人员在使用、维修机械设</w:t>
            </w:r>
            <w:r>
              <w:rPr>
                <w:sz w:val="19"/>
                <w:szCs w:val="19"/>
                <w:spacing w:val="9"/>
              </w:rPr>
              <w:t>备和工具过程中引起的各种伤害，具体形式有：绞伤、碾</w:t>
            </w:r>
            <w:r>
              <w:rPr>
                <w:sz w:val="19"/>
                <w:szCs w:val="19"/>
                <w:spacing w:val="9"/>
              </w:rPr>
              <w:t>伤、碰伤、割伤、戳伤、切伤、轧伤、机械振动伤害、机</w:t>
            </w:r>
            <w:r>
              <w:rPr>
                <w:sz w:val="19"/>
                <w:szCs w:val="19"/>
                <w:spacing w:val="9"/>
              </w:rPr>
              <w:t>械惯性致伤、被弹出物体打伤、擦伤等。</w:t>
            </w:r>
          </w:p>
        </w:tc>
        <w:tc>
          <w:tcPr>
            <w:tcW w:w="1616" w:type="dxa"/>
            <w:vAlign w:val="top"/>
          </w:tcPr>
          <w:p>
            <w:pPr>
              <w:spacing w:line="334" w:lineRule="auto"/>
              <w:rPr>
                <w:rFonts w:ascii="Arial"/>
                <w:sz w:val="21"/>
              </w:rPr>
            </w:pPr>
            <w:r/>
          </w:p>
          <w:p>
            <w:pPr>
              <w:spacing w:line="335" w:lineRule="auto"/>
              <w:rPr>
                <w:rFonts w:ascii="Arial"/>
                <w:sz w:val="21"/>
              </w:rPr>
            </w:pPr>
            <w:r/>
          </w:p>
          <w:p>
            <w:pPr>
              <w:pStyle w:val="TableText"/>
              <w:ind w:left="18" w:right="7"/>
              <w:spacing w:before="61" w:line="309" w:lineRule="auto"/>
              <w:jc w:val="both"/>
              <w:rPr>
                <w:sz w:val="19"/>
                <w:szCs w:val="19"/>
              </w:rPr>
            </w:pPr>
            <w:r>
              <w:rPr>
                <w:sz w:val="19"/>
                <w:szCs w:val="19"/>
                <w:spacing w:val="35"/>
              </w:rPr>
              <w:t>露天矿山开采生</w:t>
            </w:r>
            <w:r>
              <w:rPr>
                <w:sz w:val="19"/>
                <w:szCs w:val="19"/>
                <w:spacing w:val="35"/>
              </w:rPr>
              <w:t>产过程中易造成</w:t>
            </w:r>
            <w:r>
              <w:rPr>
                <w:sz w:val="19"/>
                <w:szCs w:val="19"/>
                <w:spacing w:val="35"/>
              </w:rPr>
              <w:t>机械伤害的机械</w:t>
            </w:r>
            <w:r>
              <w:rPr>
                <w:sz w:val="19"/>
                <w:szCs w:val="19"/>
                <w:spacing w:val="25"/>
              </w:rPr>
              <w:t>主要有</w:t>
            </w:r>
            <w:r>
              <w:rPr>
                <w:sz w:val="19"/>
                <w:szCs w:val="19"/>
                <w:spacing w:val="-22"/>
              </w:rPr>
              <w:t xml:space="preserve"> </w:t>
            </w:r>
            <w:r>
              <w:rPr>
                <w:sz w:val="19"/>
                <w:szCs w:val="19"/>
                <w:spacing w:val="25"/>
              </w:rPr>
              <w:t>：装载机</w:t>
            </w:r>
            <w:r>
              <w:rPr>
                <w:sz w:val="19"/>
                <w:szCs w:val="19"/>
                <w:spacing w:val="7"/>
              </w:rPr>
              <w:t>械、运输机械、潜</w:t>
            </w:r>
            <w:r>
              <w:rPr>
                <w:sz w:val="19"/>
                <w:szCs w:val="19"/>
                <w:spacing w:val="6"/>
              </w:rPr>
              <w:t>孔钻机等。</w:t>
            </w:r>
          </w:p>
        </w:tc>
        <w:tc>
          <w:tcPr>
            <w:tcW w:w="479" w:type="dxa"/>
            <w:vAlign w:val="top"/>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45" w:right="30" w:hanging="2"/>
              <w:spacing w:before="62" w:line="315" w:lineRule="auto"/>
              <w:rPr>
                <w:sz w:val="19"/>
                <w:szCs w:val="19"/>
              </w:rPr>
            </w:pPr>
            <w:r>
              <w:rPr>
                <w:sz w:val="19"/>
                <w:szCs w:val="19"/>
                <w:spacing w:val="7"/>
              </w:rPr>
              <w:t>人员</w:t>
            </w:r>
            <w:r>
              <w:rPr>
                <w:sz w:val="19"/>
                <w:szCs w:val="19"/>
                <w:spacing w:val="6"/>
              </w:rPr>
              <w:t>伤亡</w:t>
            </w:r>
          </w:p>
        </w:tc>
        <w:tc>
          <w:tcPr>
            <w:tcW w:w="720" w:type="dxa"/>
            <w:vAlign w:val="top"/>
            <w:tcBorders>
              <w:right w:val="single" w:color="000000" w:sz="6" w:space="0"/>
            </w:tcBorders>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87"/>
              <w:spacing w:before="62" w:line="213" w:lineRule="auto"/>
              <w:rPr>
                <w:sz w:val="19"/>
                <w:szCs w:val="19"/>
              </w:rPr>
            </w:pPr>
            <w:r>
              <w:rPr>
                <w:sz w:val="19"/>
                <w:szCs w:val="19"/>
                <w:spacing w:val="-7"/>
              </w:rPr>
              <w:t>Ⅲ级</w:t>
            </w:r>
          </w:p>
        </w:tc>
      </w:tr>
      <w:tr>
        <w:trPr>
          <w:trHeight w:val="6088" w:hRule="atLeast"/>
        </w:trPr>
        <w:tc>
          <w:tcPr>
            <w:tcW w:w="432" w:type="dxa"/>
            <w:vAlign w:val="top"/>
            <w:tcBorders>
              <w:left w:val="single" w:color="000000" w:sz="6" w:space="0"/>
              <w:bottom w:val="single" w:color="000000" w:sz="6" w:space="0"/>
            </w:tcBorders>
          </w:tcPr>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62"/>
              <w:spacing w:before="62" w:line="285" w:lineRule="exact"/>
              <w:rPr>
                <w:sz w:val="19"/>
                <w:szCs w:val="19"/>
              </w:rPr>
            </w:pPr>
            <w:r>
              <w:rPr>
                <w:sz w:val="19"/>
                <w:szCs w:val="19"/>
                <w:position w:val="2"/>
              </w:rPr>
              <w:t>6</w:t>
            </w:r>
          </w:p>
        </w:tc>
        <w:tc>
          <w:tcPr>
            <w:tcW w:w="671" w:type="dxa"/>
            <w:vAlign w:val="top"/>
            <w:tcBorders>
              <w:bottom w:val="single" w:color="000000" w:sz="6"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26"/>
              <w:spacing w:before="62" w:line="225" w:lineRule="auto"/>
              <w:rPr>
                <w:sz w:val="19"/>
                <w:szCs w:val="19"/>
              </w:rPr>
            </w:pPr>
            <w:r>
              <w:rPr>
                <w:sz w:val="19"/>
                <w:szCs w:val="19"/>
                <w:spacing w:val="7"/>
              </w:rPr>
              <w:t>坍塌</w:t>
            </w:r>
          </w:p>
        </w:tc>
        <w:tc>
          <w:tcPr>
            <w:tcW w:w="5017" w:type="dxa"/>
            <w:vAlign w:val="top"/>
            <w:tcBorders>
              <w:bottom w:val="single" w:color="000000" w:sz="6" w:space="0"/>
            </w:tcBorders>
          </w:tcPr>
          <w:p>
            <w:pPr>
              <w:pStyle w:val="TableText"/>
              <w:ind w:left="9" w:firstLine="2"/>
              <w:spacing w:before="90" w:line="311" w:lineRule="auto"/>
              <w:jc w:val="both"/>
              <w:rPr>
                <w:sz w:val="19"/>
                <w:szCs w:val="19"/>
              </w:rPr>
            </w:pPr>
            <w:r>
              <w:rPr>
                <w:sz w:val="19"/>
                <w:szCs w:val="19"/>
                <w:spacing w:val="6"/>
              </w:rPr>
              <w:t>矿山在开拓工程、准备工程及采矿生产中，因岩体结构稳</w:t>
            </w:r>
            <w:r>
              <w:rPr>
                <w:sz w:val="19"/>
                <w:szCs w:val="19"/>
                <w:spacing w:val="7"/>
              </w:rPr>
              <w:t>定性破坏发生土石塌方，滑落等，不包括因实</w:t>
            </w:r>
            <w:r>
              <w:rPr>
                <w:sz w:val="19"/>
                <w:szCs w:val="19"/>
                <w:spacing w:val="6"/>
              </w:rPr>
              <w:t>施爆破引起</w:t>
            </w:r>
            <w:r>
              <w:rPr>
                <w:sz w:val="19"/>
                <w:szCs w:val="19"/>
                <w:spacing w:val="7"/>
              </w:rPr>
              <w:t>的坍塌。边坡岩体是由地层及其中所包含的不</w:t>
            </w:r>
            <w:r>
              <w:rPr>
                <w:sz w:val="19"/>
                <w:szCs w:val="19"/>
                <w:spacing w:val="6"/>
              </w:rPr>
              <w:t>连续岩面构</w:t>
            </w:r>
            <w:r>
              <w:rPr>
                <w:sz w:val="19"/>
                <w:szCs w:val="19"/>
                <w:spacing w:val="7"/>
              </w:rPr>
              <w:t>成的，地层及不连续岩面的物理力学性质决定</w:t>
            </w:r>
            <w:r>
              <w:rPr>
                <w:sz w:val="19"/>
                <w:szCs w:val="19"/>
                <w:spacing w:val="6"/>
              </w:rPr>
              <w:t>了边坡岩体</w:t>
            </w:r>
            <w:r>
              <w:rPr>
                <w:sz w:val="19"/>
                <w:szCs w:val="19"/>
                <w:spacing w:val="15"/>
              </w:rPr>
              <w:t>的稳定性。岩体的抵抗外力作用的能力是随着岩石的特</w:t>
            </w:r>
            <w:r>
              <w:rPr>
                <w:sz w:val="19"/>
                <w:szCs w:val="19"/>
                <w:spacing w:val="7"/>
              </w:rPr>
              <w:t>性、不连续面的特征及其所赋存的环境而变化</w:t>
            </w:r>
            <w:r>
              <w:rPr>
                <w:sz w:val="19"/>
                <w:szCs w:val="19"/>
                <w:spacing w:val="6"/>
              </w:rPr>
              <w:t>的，即使是</w:t>
            </w:r>
            <w:r>
              <w:rPr>
                <w:sz w:val="19"/>
                <w:szCs w:val="19"/>
                <w:spacing w:val="8"/>
              </w:rPr>
              <w:t>同一种岩石，由于不连续面的发育程度及充填物的不同，</w:t>
            </w:r>
            <w:r>
              <w:rPr>
                <w:sz w:val="19"/>
                <w:szCs w:val="19"/>
                <w:spacing w:val="7"/>
              </w:rPr>
              <w:t>其物理力学性质也存在着较大的差异。边坡岩</w:t>
            </w:r>
            <w:r>
              <w:rPr>
                <w:sz w:val="19"/>
                <w:szCs w:val="19"/>
                <w:spacing w:val="6"/>
              </w:rPr>
              <w:t>体在露天开</w:t>
            </w:r>
            <w:r>
              <w:rPr>
                <w:sz w:val="19"/>
                <w:szCs w:val="19"/>
                <w:spacing w:val="13"/>
              </w:rPr>
              <w:t>采过程中由于环境应力场不断改变</w:t>
            </w:r>
            <w:r>
              <w:rPr>
                <w:sz w:val="19"/>
                <w:szCs w:val="19"/>
                <w:spacing w:val="-47"/>
              </w:rPr>
              <w:t xml:space="preserve"> </w:t>
            </w:r>
            <w:r>
              <w:rPr>
                <w:sz w:val="19"/>
                <w:szCs w:val="19"/>
                <w:spacing w:val="13"/>
              </w:rPr>
              <w:t>，从而产生变形和破</w:t>
            </w:r>
            <w:r>
              <w:rPr>
                <w:sz w:val="19"/>
                <w:szCs w:val="19"/>
                <w:spacing w:val="2"/>
              </w:rPr>
              <w:t>坏。影响边坡稳定的因素有工程地质因素、水文地质因素、</w:t>
            </w:r>
            <w:r>
              <w:rPr>
                <w:sz w:val="19"/>
                <w:szCs w:val="19"/>
                <w:spacing w:val="10"/>
              </w:rPr>
              <w:t>强度指标、地震和爆破震动力等。1、露天采场边坡的破</w:t>
            </w:r>
            <w:r>
              <w:rPr>
                <w:sz w:val="19"/>
                <w:szCs w:val="19"/>
                <w:spacing w:val="6"/>
              </w:rPr>
              <w:t>坏形式及可能引发的危害：</w:t>
            </w:r>
          </w:p>
          <w:p>
            <w:pPr>
              <w:pStyle w:val="TableText"/>
              <w:ind w:left="10" w:right="8"/>
              <w:spacing w:line="298" w:lineRule="auto"/>
              <w:rPr>
                <w:sz w:val="19"/>
                <w:szCs w:val="19"/>
              </w:rPr>
            </w:pPr>
            <w:r>
              <w:rPr>
                <w:sz w:val="19"/>
                <w:szCs w:val="19"/>
                <w:spacing w:val="9"/>
              </w:rPr>
              <w:t>①露天边坡大范围移动、滑落：影响采场正常生产；致使</w:t>
            </w:r>
            <w:r>
              <w:rPr>
                <w:sz w:val="19"/>
                <w:szCs w:val="19"/>
                <w:spacing w:val="9"/>
              </w:rPr>
              <w:t>采场内人员的伤亡；损坏、掩埋采场内的设备和设施；破</w:t>
            </w:r>
            <w:r>
              <w:rPr>
                <w:sz w:val="19"/>
                <w:szCs w:val="19"/>
                <w:spacing w:val="9"/>
              </w:rPr>
              <w:t>坏采场内的运输、排水系统；其他危害。②边坡浮石、滚</w:t>
            </w:r>
            <w:r>
              <w:rPr>
                <w:sz w:val="19"/>
                <w:szCs w:val="19"/>
                <w:spacing w:val="9"/>
              </w:rPr>
              <w:t>石：采场边坡浮石、滚石的直接后果是产生强大的撞击与</w:t>
            </w:r>
            <w:r>
              <w:rPr>
                <w:sz w:val="19"/>
                <w:szCs w:val="19"/>
                <w:spacing w:val="9"/>
              </w:rPr>
              <w:t>打击。由此产生的危害包括：击伤采场作业人员，使人受</w:t>
            </w:r>
            <w:r>
              <w:rPr>
                <w:sz w:val="19"/>
                <w:szCs w:val="19"/>
                <w:spacing w:val="9"/>
              </w:rPr>
              <w:t>伤或死亡；损坏采场内设备、设施；破坏采场内的运输、</w:t>
            </w:r>
            <w:r>
              <w:rPr>
                <w:sz w:val="19"/>
                <w:szCs w:val="19"/>
                <w:spacing w:val="9"/>
              </w:rPr>
              <w:t>排水系统等；引发边坡进一步垮落，产生灾害。</w:t>
            </w:r>
          </w:p>
        </w:tc>
        <w:tc>
          <w:tcPr>
            <w:tcW w:w="1616" w:type="dxa"/>
            <w:vAlign w:val="top"/>
            <w:tcBorders>
              <w:bottom w:val="single" w:color="000000" w:sz="6" w:space="0"/>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9" w:right="7" w:hanging="1"/>
              <w:spacing w:before="61" w:line="310" w:lineRule="auto"/>
              <w:jc w:val="both"/>
              <w:rPr>
                <w:sz w:val="19"/>
                <w:szCs w:val="19"/>
              </w:rPr>
            </w:pPr>
            <w:r>
              <w:rPr>
                <w:sz w:val="19"/>
                <w:szCs w:val="19"/>
                <w:spacing w:val="35"/>
              </w:rPr>
              <w:t>露天矿山生产中</w:t>
            </w:r>
            <w:r>
              <w:rPr>
                <w:sz w:val="19"/>
                <w:szCs w:val="19"/>
                <w:spacing w:val="35"/>
              </w:rPr>
              <w:t>可能发生矿体坍</w:t>
            </w:r>
            <w:r>
              <w:rPr>
                <w:sz w:val="19"/>
                <w:szCs w:val="19"/>
                <w:spacing w:val="7"/>
              </w:rPr>
              <w:t>塌、崩落、滑坡的</w:t>
            </w:r>
            <w:r>
              <w:rPr>
                <w:sz w:val="19"/>
                <w:szCs w:val="19"/>
                <w:spacing w:val="35"/>
              </w:rPr>
              <w:t>区域主要是采场</w:t>
            </w:r>
          </w:p>
          <w:p>
            <w:pPr>
              <w:pStyle w:val="TableText"/>
              <w:ind w:left="30" w:right="7" w:hanging="11"/>
              <w:spacing w:before="1" w:line="313" w:lineRule="auto"/>
              <w:rPr>
                <w:sz w:val="19"/>
                <w:szCs w:val="19"/>
              </w:rPr>
            </w:pPr>
            <w:r>
              <w:rPr>
                <w:sz w:val="19"/>
                <w:szCs w:val="19"/>
                <w:spacing w:val="7"/>
              </w:rPr>
              <w:t>工作帮、停采的高</w:t>
            </w:r>
            <w:r>
              <w:rPr>
                <w:sz w:val="19"/>
                <w:szCs w:val="19"/>
                <w:spacing w:val="5"/>
              </w:rPr>
              <w:t>陡帮区域等。</w:t>
            </w:r>
          </w:p>
        </w:tc>
        <w:tc>
          <w:tcPr>
            <w:tcW w:w="479" w:type="dxa"/>
            <w:vAlign w:val="top"/>
            <w:tcBorders>
              <w:bottom w:val="single" w:color="000000" w:sz="6" w:space="0"/>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45" w:right="30" w:hanging="2"/>
              <w:spacing w:before="62" w:line="308" w:lineRule="auto"/>
              <w:rPr>
                <w:sz w:val="19"/>
                <w:szCs w:val="19"/>
              </w:rPr>
            </w:pPr>
            <w:r>
              <w:rPr>
                <w:sz w:val="19"/>
                <w:szCs w:val="19"/>
                <w:spacing w:val="7"/>
              </w:rPr>
              <w:t>人员</w:t>
            </w:r>
            <w:r>
              <w:rPr>
                <w:sz w:val="19"/>
                <w:szCs w:val="19"/>
                <w:spacing w:val="6"/>
              </w:rPr>
              <w:t>伤亡</w:t>
            </w:r>
          </w:p>
          <w:p>
            <w:pPr>
              <w:pStyle w:val="TableText"/>
              <w:ind w:left="44" w:right="30" w:firstLine="1"/>
              <w:spacing w:before="1" w:line="314" w:lineRule="auto"/>
              <w:rPr>
                <w:sz w:val="19"/>
                <w:szCs w:val="19"/>
              </w:rPr>
            </w:pPr>
            <w:r>
              <w:rPr>
                <w:sz w:val="19"/>
                <w:szCs w:val="19"/>
                <w:spacing w:val="6"/>
              </w:rPr>
              <w:t>财产</w:t>
            </w:r>
            <w:r>
              <w:rPr>
                <w:sz w:val="19"/>
                <w:szCs w:val="19"/>
                <w:spacing w:val="7"/>
              </w:rPr>
              <w:t>损失</w:t>
            </w:r>
          </w:p>
        </w:tc>
        <w:tc>
          <w:tcPr>
            <w:tcW w:w="720" w:type="dxa"/>
            <w:vAlign w:val="top"/>
            <w:tcBorders>
              <w:bottom w:val="single" w:color="000000" w:sz="6" w:space="0"/>
              <w:right w:val="single" w:color="000000" w:sz="6"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87"/>
              <w:spacing w:before="62" w:line="213" w:lineRule="auto"/>
              <w:rPr>
                <w:sz w:val="19"/>
                <w:szCs w:val="19"/>
              </w:rPr>
            </w:pPr>
            <w:r>
              <w:rPr>
                <w:sz w:val="19"/>
                <w:szCs w:val="19"/>
                <w:spacing w:val="-7"/>
              </w:rPr>
              <w:t>Ⅲ级</w:t>
            </w:r>
          </w:p>
        </w:tc>
      </w:tr>
    </w:tbl>
    <w:p>
      <w:pPr>
        <w:rPr>
          <w:rFonts w:ascii="Arial"/>
          <w:sz w:val="21"/>
        </w:rPr>
      </w:pPr>
      <w:r/>
    </w:p>
    <w:p>
      <w:pPr>
        <w:sectPr>
          <w:headerReference w:type="default" r:id="rId692"/>
          <w:footerReference w:type="default" r:id="rId693"/>
          <w:pgSz w:w="11906" w:h="16839"/>
          <w:pgMar w:top="1766" w:right="1478" w:bottom="1563" w:left="1477" w:header="1428" w:footer="1172" w:gutter="0"/>
        </w:sectPr>
        <w:rPr>
          <w:rFonts w:ascii="Arial" w:hAnsi="Arial" w:eastAsia="Arial" w:cs="Arial"/>
          <w:sz w:val="21"/>
          <w:szCs w:val="21"/>
        </w:rPr>
      </w:pPr>
    </w:p>
    <w:p>
      <w:pPr>
        <w:spacing w:line="212" w:lineRule="exact"/>
        <w:rPr/>
      </w:pPr>
      <w:r>
        <w:drawing>
          <wp:anchor distT="0" distB="0" distL="0" distR="0" simplePos="0" relativeHeight="252241920"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388" name="IM 1388"/>
            <wp:cNvGraphicFramePr/>
            <a:graphic>
              <a:graphicData uri="http://schemas.openxmlformats.org/drawingml/2006/picture">
                <pic:pic>
                  <pic:nvPicPr>
                    <pic:cNvPr id="1388" name="IM 1388"/>
                    <pic:cNvPicPr/>
                  </pic:nvPicPr>
                  <pic:blipFill>
                    <a:blip r:embed="rId696"/>
                    <a:stretch>
                      <a:fillRect/>
                    </a:stretch>
                  </pic:blipFill>
                  <pic:spPr>
                    <a:xfrm rot="0">
                      <a:off x="0" y="0"/>
                      <a:ext cx="5579745" cy="7620"/>
                    </a:xfrm>
                    <a:prstGeom prst="rect">
                      <a:avLst/>
                    </a:prstGeom>
                  </pic:spPr>
                </pic:pic>
              </a:graphicData>
            </a:graphic>
          </wp:anchor>
        </w:drawing>
      </w:r>
      <w:r/>
    </w:p>
    <w:tbl>
      <w:tblPr>
        <w:tblStyle w:val="TableNormal"/>
        <w:tblW w:w="8935"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32"/>
        <w:gridCol w:w="671"/>
        <w:gridCol w:w="5017"/>
        <w:gridCol w:w="1616"/>
        <w:gridCol w:w="479"/>
        <w:gridCol w:w="720"/>
      </w:tblGrid>
      <w:tr>
        <w:trPr>
          <w:trHeight w:val="678" w:hRule="atLeast"/>
        </w:trPr>
        <w:tc>
          <w:tcPr>
            <w:tcW w:w="432" w:type="dxa"/>
            <w:vAlign w:val="top"/>
            <w:tcBorders>
              <w:left w:val="single" w:color="000000" w:sz="6" w:space="0"/>
              <w:top w:val="single" w:color="000000" w:sz="6" w:space="0"/>
            </w:tcBorders>
          </w:tcPr>
          <w:p>
            <w:pPr>
              <w:pStyle w:val="TableText"/>
              <w:ind w:left="110" w:right="114"/>
              <w:spacing w:before="122" w:line="237" w:lineRule="auto"/>
              <w:rPr>
                <w:sz w:val="19"/>
                <w:szCs w:val="19"/>
              </w:rPr>
            </w:pPr>
            <w:r>
              <w:rPr>
                <w:sz w:val="19"/>
                <w:szCs w:val="19"/>
                <w:spacing w:val="4"/>
              </w:rPr>
              <w:t>序</w:t>
            </w:r>
            <w:r>
              <w:rPr>
                <w:sz w:val="19"/>
                <w:szCs w:val="19"/>
                <w:spacing w:val="3"/>
              </w:rPr>
              <w:t>号</w:t>
            </w:r>
          </w:p>
        </w:tc>
        <w:tc>
          <w:tcPr>
            <w:tcW w:w="671" w:type="dxa"/>
            <w:vAlign w:val="top"/>
            <w:tcBorders>
              <w:top w:val="single" w:color="000000" w:sz="6" w:space="0"/>
            </w:tcBorders>
          </w:tcPr>
          <w:p>
            <w:pPr>
              <w:pStyle w:val="TableText"/>
              <w:ind w:left="39" w:right="36" w:hanging="10"/>
              <w:spacing w:before="123" w:line="235" w:lineRule="auto"/>
              <w:rPr>
                <w:sz w:val="19"/>
                <w:szCs w:val="19"/>
              </w:rPr>
            </w:pPr>
            <w:r>
              <w:rPr>
                <w:sz w:val="19"/>
                <w:szCs w:val="19"/>
                <w:spacing w:val="8"/>
              </w:rPr>
              <w:t>事故风</w:t>
            </w:r>
            <w:r>
              <w:rPr>
                <w:sz w:val="19"/>
                <w:szCs w:val="19"/>
                <w:spacing w:val="4"/>
              </w:rPr>
              <w:t>险种类</w:t>
            </w:r>
          </w:p>
        </w:tc>
        <w:tc>
          <w:tcPr>
            <w:tcW w:w="5017" w:type="dxa"/>
            <w:vAlign w:val="top"/>
            <w:tcBorders>
              <w:top w:val="single" w:color="000000" w:sz="6" w:space="0"/>
            </w:tcBorders>
          </w:tcPr>
          <w:p>
            <w:pPr>
              <w:pStyle w:val="TableText"/>
              <w:ind w:left="1506"/>
              <w:spacing w:before="243" w:line="220" w:lineRule="auto"/>
              <w:rPr>
                <w:sz w:val="19"/>
                <w:szCs w:val="19"/>
              </w:rPr>
            </w:pPr>
            <w:r>
              <w:rPr>
                <w:sz w:val="19"/>
                <w:szCs w:val="19"/>
                <w:spacing w:val="9"/>
              </w:rPr>
              <w:t>事故风险发生的可能性</w:t>
            </w:r>
          </w:p>
        </w:tc>
        <w:tc>
          <w:tcPr>
            <w:tcW w:w="1616" w:type="dxa"/>
            <w:vAlign w:val="top"/>
            <w:tcBorders>
              <w:top w:val="single" w:color="000000" w:sz="6" w:space="0"/>
            </w:tcBorders>
          </w:tcPr>
          <w:p>
            <w:pPr>
              <w:pStyle w:val="TableText"/>
              <w:ind w:left="307" w:right="302" w:firstLine="100"/>
              <w:spacing w:before="123" w:line="236" w:lineRule="auto"/>
              <w:rPr>
                <w:sz w:val="19"/>
                <w:szCs w:val="19"/>
              </w:rPr>
            </w:pPr>
            <w:r>
              <w:rPr>
                <w:sz w:val="19"/>
                <w:szCs w:val="19"/>
                <w:spacing w:val="9"/>
              </w:rPr>
              <w:t>存在场所</w:t>
            </w:r>
            <w:r>
              <w:rPr>
                <w:sz w:val="19"/>
                <w:szCs w:val="19"/>
                <w:spacing w:val="9"/>
              </w:rPr>
              <w:t>及影响范围</w:t>
            </w:r>
          </w:p>
        </w:tc>
        <w:tc>
          <w:tcPr>
            <w:tcW w:w="479" w:type="dxa"/>
            <w:vAlign w:val="top"/>
            <w:tcBorders>
              <w:top w:val="single" w:color="000000" w:sz="6" w:space="0"/>
            </w:tcBorders>
          </w:tcPr>
          <w:p>
            <w:pPr>
              <w:pStyle w:val="TableText"/>
              <w:ind w:left="43"/>
              <w:spacing w:before="247" w:line="213" w:lineRule="auto"/>
              <w:rPr>
                <w:sz w:val="19"/>
                <w:szCs w:val="19"/>
              </w:rPr>
            </w:pPr>
            <w:r>
              <w:rPr>
                <w:sz w:val="19"/>
                <w:szCs w:val="19"/>
                <w:spacing w:val="7"/>
              </w:rPr>
              <w:t>后果</w:t>
            </w:r>
          </w:p>
        </w:tc>
        <w:tc>
          <w:tcPr>
            <w:tcW w:w="720" w:type="dxa"/>
            <w:vAlign w:val="top"/>
            <w:tcBorders>
              <w:right w:val="single" w:color="000000" w:sz="6" w:space="0"/>
              <w:top w:val="single" w:color="000000" w:sz="6" w:space="0"/>
            </w:tcBorders>
          </w:tcPr>
          <w:p>
            <w:pPr>
              <w:pStyle w:val="TableText"/>
              <w:ind w:left="160" w:right="152"/>
              <w:spacing w:before="123" w:line="236" w:lineRule="auto"/>
              <w:rPr>
                <w:sz w:val="19"/>
                <w:szCs w:val="19"/>
              </w:rPr>
            </w:pPr>
            <w:r>
              <w:rPr>
                <w:sz w:val="19"/>
                <w:szCs w:val="19"/>
                <w:spacing w:val="7"/>
              </w:rPr>
              <w:t>危险</w:t>
            </w:r>
            <w:r>
              <w:rPr>
                <w:sz w:val="19"/>
                <w:szCs w:val="19"/>
                <w:spacing w:val="6"/>
              </w:rPr>
              <w:t>程度</w:t>
            </w:r>
          </w:p>
        </w:tc>
      </w:tr>
      <w:tr>
        <w:trPr>
          <w:trHeight w:val="2674" w:hRule="atLeast"/>
        </w:trPr>
        <w:tc>
          <w:tcPr>
            <w:tcW w:w="432" w:type="dxa"/>
            <w:vAlign w:val="top"/>
            <w:tcBorders>
              <w:left w:val="single" w:color="000000" w:sz="6" w:space="0"/>
            </w:tcBorders>
          </w:tcPr>
          <w:p>
            <w:pPr>
              <w:rPr>
                <w:rFonts w:ascii="Arial"/>
                <w:sz w:val="21"/>
              </w:rPr>
            </w:pPr>
            <w:r/>
          </w:p>
        </w:tc>
        <w:tc>
          <w:tcPr>
            <w:tcW w:w="671" w:type="dxa"/>
            <w:vAlign w:val="top"/>
          </w:tcPr>
          <w:p>
            <w:pPr>
              <w:rPr>
                <w:rFonts w:ascii="Arial"/>
                <w:sz w:val="21"/>
              </w:rPr>
            </w:pPr>
            <w:r/>
          </w:p>
        </w:tc>
        <w:tc>
          <w:tcPr>
            <w:tcW w:w="5017" w:type="dxa"/>
            <w:vAlign w:val="top"/>
          </w:tcPr>
          <w:p>
            <w:pPr>
              <w:pStyle w:val="TableText"/>
              <w:ind w:left="11"/>
              <w:spacing w:before="83" w:line="264" w:lineRule="exact"/>
              <w:rPr>
                <w:sz w:val="19"/>
                <w:szCs w:val="19"/>
              </w:rPr>
            </w:pPr>
            <w:r>
              <w:rPr>
                <w:sz w:val="19"/>
                <w:szCs w:val="19"/>
                <w:spacing w:val="8"/>
                <w:position w:val="1"/>
              </w:rPr>
              <w:t>2、露天采场边坡可能发生破坏的原因：</w:t>
            </w:r>
          </w:p>
          <w:p>
            <w:pPr>
              <w:pStyle w:val="TableText"/>
              <w:ind w:left="10" w:right="11"/>
              <w:spacing w:before="56" w:line="269" w:lineRule="auto"/>
              <w:rPr>
                <w:sz w:val="19"/>
                <w:szCs w:val="19"/>
              </w:rPr>
            </w:pPr>
            <w:r>
              <w:rPr>
                <w:sz w:val="19"/>
                <w:szCs w:val="19"/>
                <w:spacing w:val="9"/>
              </w:rPr>
              <w:t>①露天采场边坡受爆破、机械开挖影响，致使边坡岩体破</w:t>
            </w:r>
            <w:r>
              <w:rPr>
                <w:sz w:val="19"/>
                <w:szCs w:val="19"/>
                <w:spacing w:val="6"/>
              </w:rPr>
              <w:t>碎失稳；</w:t>
            </w:r>
          </w:p>
          <w:p>
            <w:pPr>
              <w:pStyle w:val="TableText"/>
              <w:ind w:left="10"/>
              <w:spacing w:before="86" w:line="226" w:lineRule="auto"/>
              <w:rPr>
                <w:sz w:val="19"/>
                <w:szCs w:val="19"/>
              </w:rPr>
            </w:pPr>
            <w:r>
              <w:rPr>
                <w:sz w:val="19"/>
                <w:szCs w:val="19"/>
                <w:spacing w:val="9"/>
              </w:rPr>
              <w:t>②边坡易受雨水冲刷及风化作用的影响，稳定性降低；</w:t>
            </w:r>
          </w:p>
          <w:p>
            <w:pPr>
              <w:pStyle w:val="TableText"/>
              <w:ind w:left="10"/>
              <w:spacing w:before="86" w:line="226" w:lineRule="auto"/>
              <w:rPr>
                <w:sz w:val="19"/>
                <w:szCs w:val="19"/>
              </w:rPr>
            </w:pPr>
            <w:r>
              <w:rPr>
                <w:sz w:val="19"/>
                <w:szCs w:val="19"/>
                <w:spacing w:val="8"/>
              </w:rPr>
              <w:t>③车辆快速运行，边坡受震动影响；</w:t>
            </w:r>
          </w:p>
          <w:p>
            <w:pPr>
              <w:pStyle w:val="TableText"/>
              <w:ind w:left="10"/>
              <w:spacing w:before="86" w:line="226" w:lineRule="auto"/>
              <w:rPr>
                <w:sz w:val="19"/>
                <w:szCs w:val="19"/>
              </w:rPr>
            </w:pPr>
            <w:r>
              <w:rPr>
                <w:sz w:val="19"/>
                <w:szCs w:val="19"/>
                <w:spacing w:val="8"/>
              </w:rPr>
              <w:t>④不规则节理裂隙影响等；</w:t>
            </w:r>
          </w:p>
          <w:p>
            <w:pPr>
              <w:pStyle w:val="TableText"/>
              <w:ind w:left="10"/>
              <w:spacing w:before="89" w:line="226" w:lineRule="auto"/>
              <w:rPr>
                <w:sz w:val="19"/>
                <w:szCs w:val="19"/>
              </w:rPr>
            </w:pPr>
            <w:r>
              <w:rPr>
                <w:sz w:val="19"/>
                <w:szCs w:val="19"/>
                <w:spacing w:val="8"/>
              </w:rPr>
              <w:t>⑤边坡参数不合理，边坡过陡；</w:t>
            </w:r>
          </w:p>
          <w:p>
            <w:pPr>
              <w:pStyle w:val="TableText"/>
              <w:ind w:left="10"/>
              <w:spacing w:before="87" w:line="222" w:lineRule="auto"/>
              <w:rPr>
                <w:sz w:val="19"/>
                <w:szCs w:val="19"/>
              </w:rPr>
            </w:pPr>
            <w:r>
              <w:rPr>
                <w:sz w:val="19"/>
                <w:szCs w:val="19"/>
                <w:spacing w:val="8"/>
              </w:rPr>
              <w:t>⑥其它影响边坡稳定的因素。</w:t>
            </w:r>
          </w:p>
        </w:tc>
        <w:tc>
          <w:tcPr>
            <w:tcW w:w="1616" w:type="dxa"/>
            <w:vAlign w:val="top"/>
          </w:tcPr>
          <w:p>
            <w:pPr>
              <w:rPr>
                <w:rFonts w:ascii="Arial"/>
                <w:sz w:val="21"/>
              </w:rPr>
            </w:pPr>
            <w:r/>
          </w:p>
        </w:tc>
        <w:tc>
          <w:tcPr>
            <w:tcW w:w="479" w:type="dxa"/>
            <w:vAlign w:val="top"/>
          </w:tcPr>
          <w:p>
            <w:pPr>
              <w:rPr>
                <w:rFonts w:ascii="Arial"/>
                <w:sz w:val="21"/>
              </w:rPr>
            </w:pPr>
            <w:r/>
          </w:p>
        </w:tc>
        <w:tc>
          <w:tcPr>
            <w:tcW w:w="720" w:type="dxa"/>
            <w:vAlign w:val="top"/>
            <w:tcBorders>
              <w:right w:val="single" w:color="000000" w:sz="6" w:space="0"/>
            </w:tcBorders>
          </w:tcPr>
          <w:p>
            <w:pPr>
              <w:rPr>
                <w:rFonts w:ascii="Arial"/>
                <w:sz w:val="21"/>
              </w:rPr>
            </w:pPr>
            <w:r/>
          </w:p>
        </w:tc>
      </w:tr>
      <w:tr>
        <w:trPr>
          <w:trHeight w:val="4251" w:hRule="atLeast"/>
        </w:trPr>
        <w:tc>
          <w:tcPr>
            <w:tcW w:w="432" w:type="dxa"/>
            <w:vAlign w:val="top"/>
            <w:tcBorders>
              <w:left w:val="single" w:color="000000" w:sz="6"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60"/>
              <w:spacing w:before="62" w:line="285" w:lineRule="exact"/>
              <w:rPr>
                <w:sz w:val="19"/>
                <w:szCs w:val="19"/>
              </w:rPr>
            </w:pPr>
            <w:r>
              <w:rPr>
                <w:sz w:val="19"/>
                <w:szCs w:val="19"/>
                <w:position w:val="2"/>
              </w:rPr>
              <w:t>7</w:t>
            </w:r>
          </w:p>
        </w:tc>
        <w:tc>
          <w:tcPr>
            <w:tcW w:w="671"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129" w:right="139" w:firstLine="3"/>
              <w:spacing w:before="62" w:line="315" w:lineRule="auto"/>
              <w:rPr>
                <w:sz w:val="19"/>
                <w:szCs w:val="19"/>
              </w:rPr>
            </w:pPr>
            <w:r>
              <w:rPr>
                <w:sz w:val="19"/>
                <w:szCs w:val="19"/>
                <w:spacing w:val="4"/>
              </w:rPr>
              <w:t>车辆</w:t>
            </w:r>
            <w:r>
              <w:rPr>
                <w:sz w:val="19"/>
                <w:szCs w:val="19"/>
                <w:spacing w:val="6"/>
              </w:rPr>
              <w:t>伤害</w:t>
            </w:r>
          </w:p>
        </w:tc>
        <w:tc>
          <w:tcPr>
            <w:tcW w:w="5017" w:type="dxa"/>
            <w:vAlign w:val="top"/>
          </w:tcPr>
          <w:p>
            <w:pPr>
              <w:pStyle w:val="TableText"/>
              <w:ind w:left="11" w:right="11"/>
              <w:spacing w:before="86" w:line="311" w:lineRule="auto"/>
              <w:rPr>
                <w:sz w:val="19"/>
                <w:szCs w:val="19"/>
              </w:rPr>
            </w:pPr>
            <w:r>
              <w:rPr>
                <w:sz w:val="19"/>
                <w:szCs w:val="19"/>
                <w:spacing w:val="9"/>
              </w:rPr>
              <w:t>指矿山建设和生产中，厂内机动车在行驶中引起的人体坠</w:t>
            </w:r>
            <w:r>
              <w:rPr>
                <w:sz w:val="19"/>
                <w:szCs w:val="19"/>
                <w:spacing w:val="9"/>
              </w:rPr>
              <w:t>落和物体倒塌、下落、挤压伤亡事故。矿山在建设和生产</w:t>
            </w:r>
            <w:r>
              <w:rPr>
                <w:sz w:val="19"/>
                <w:szCs w:val="19"/>
                <w:spacing w:val="9"/>
              </w:rPr>
              <w:t>过程中，挖掘机、装载机等机械设备作业中引起的夹击、</w:t>
            </w:r>
            <w:r>
              <w:rPr>
                <w:sz w:val="19"/>
                <w:szCs w:val="19"/>
                <w:spacing w:val="7"/>
              </w:rPr>
              <w:t>碰撞等伤害事故。</w:t>
            </w:r>
          </w:p>
          <w:p>
            <w:pPr>
              <w:pStyle w:val="TableText"/>
              <w:ind w:left="9"/>
              <w:spacing w:before="2" w:line="310" w:lineRule="auto"/>
              <w:rPr>
                <w:sz w:val="19"/>
                <w:szCs w:val="19"/>
              </w:rPr>
            </w:pPr>
            <w:r>
              <w:rPr>
                <w:sz w:val="19"/>
                <w:szCs w:val="19"/>
                <w:spacing w:val="5"/>
              </w:rPr>
              <w:t>各种设备和原材料要运进（</w:t>
            </w:r>
            <w:r>
              <w:rPr>
                <w:sz w:val="19"/>
                <w:szCs w:val="19"/>
                <w:spacing w:val="-46"/>
              </w:rPr>
              <w:t xml:space="preserve"> </w:t>
            </w:r>
            <w:r>
              <w:rPr>
                <w:sz w:val="19"/>
                <w:szCs w:val="19"/>
                <w:spacing w:val="5"/>
              </w:rPr>
              <w:t>出）采场、装卸；采出的矿石</w:t>
            </w:r>
            <w:r>
              <w:rPr>
                <w:sz w:val="19"/>
                <w:szCs w:val="19"/>
                <w:spacing w:val="7"/>
              </w:rPr>
              <w:t>和剥离的岩石要运出、装卸。在这些过程中，</w:t>
            </w:r>
            <w:r>
              <w:rPr>
                <w:sz w:val="19"/>
                <w:szCs w:val="19"/>
                <w:spacing w:val="6"/>
              </w:rPr>
              <w:t>由于驾驶员</w:t>
            </w:r>
            <w:r>
              <w:rPr>
                <w:sz w:val="19"/>
                <w:szCs w:val="19"/>
                <w:spacing w:val="2"/>
              </w:rPr>
              <w:t>违章操作、各类人员的失误、天气和路面状况等环境原因、</w:t>
            </w:r>
            <w:r>
              <w:rPr>
                <w:sz w:val="19"/>
                <w:szCs w:val="19"/>
                <w:spacing w:val="7"/>
              </w:rPr>
              <w:t>管理因素等，可能导致碰撞、倾覆、溜车、配</w:t>
            </w:r>
            <w:r>
              <w:rPr>
                <w:sz w:val="19"/>
                <w:szCs w:val="19"/>
                <w:spacing w:val="6"/>
              </w:rPr>
              <w:t>件脱落、装</w:t>
            </w:r>
            <w:r>
              <w:rPr>
                <w:sz w:val="19"/>
                <w:szCs w:val="19"/>
                <w:spacing w:val="7"/>
              </w:rPr>
              <w:t>载物体坠落及由此导致的其他运输事故的发生</w:t>
            </w:r>
            <w:r>
              <w:rPr>
                <w:sz w:val="19"/>
                <w:szCs w:val="19"/>
                <w:spacing w:val="6"/>
              </w:rPr>
              <w:t>。主要的伤</w:t>
            </w:r>
            <w:r>
              <w:rPr>
                <w:sz w:val="19"/>
                <w:szCs w:val="19"/>
                <w:spacing w:val="7"/>
              </w:rPr>
              <w:t>害形式有：铲装机械发生碰撞人员事故；运输</w:t>
            </w:r>
            <w:r>
              <w:rPr>
                <w:sz w:val="19"/>
                <w:szCs w:val="19"/>
                <w:spacing w:val="6"/>
              </w:rPr>
              <w:t>车辆撞、轧</w:t>
            </w:r>
            <w:r>
              <w:rPr>
                <w:sz w:val="19"/>
                <w:szCs w:val="19"/>
                <w:spacing w:val="7"/>
              </w:rPr>
              <w:t>行人事故；装载物体坠落造成伤人、损坏设备</w:t>
            </w:r>
            <w:r>
              <w:rPr>
                <w:sz w:val="19"/>
                <w:szCs w:val="19"/>
                <w:spacing w:val="6"/>
              </w:rPr>
              <w:t>事故；车辆</w:t>
            </w:r>
            <w:r>
              <w:rPr>
                <w:sz w:val="19"/>
                <w:szCs w:val="19"/>
                <w:spacing w:val="7"/>
              </w:rPr>
              <w:t>相撞事故、车辆损坏事故；车辆倾覆造成伤亡</w:t>
            </w:r>
            <w:r>
              <w:rPr>
                <w:sz w:val="19"/>
                <w:szCs w:val="19"/>
                <w:spacing w:val="6"/>
              </w:rPr>
              <w:t>、车辆损坏</w:t>
            </w:r>
            <w:r>
              <w:rPr>
                <w:sz w:val="19"/>
                <w:szCs w:val="19"/>
                <w:spacing w:val="6"/>
              </w:rPr>
              <w:t>事故；车辆装卸、运输引发的其他事故。</w:t>
            </w:r>
          </w:p>
        </w:tc>
        <w:tc>
          <w:tcPr>
            <w:tcW w:w="1616"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pStyle w:val="TableText"/>
              <w:ind w:left="38" w:right="7" w:hanging="19"/>
              <w:spacing w:before="62" w:line="315" w:lineRule="auto"/>
              <w:rPr>
                <w:sz w:val="19"/>
                <w:szCs w:val="19"/>
              </w:rPr>
            </w:pPr>
            <w:r>
              <w:rPr>
                <w:sz w:val="19"/>
                <w:szCs w:val="19"/>
                <w:spacing w:val="35"/>
              </w:rPr>
              <w:t>运输车辆行驶途</w:t>
            </w:r>
            <w:r>
              <w:rPr>
                <w:sz w:val="19"/>
                <w:szCs w:val="19"/>
                <w:spacing w:val="-8"/>
              </w:rPr>
              <w:t>中。</w:t>
            </w:r>
          </w:p>
        </w:tc>
        <w:tc>
          <w:tcPr>
            <w:tcW w:w="479"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45" w:right="30" w:hanging="2"/>
              <w:spacing w:before="61" w:line="309" w:lineRule="auto"/>
              <w:rPr>
                <w:sz w:val="19"/>
                <w:szCs w:val="19"/>
              </w:rPr>
            </w:pPr>
            <w:r>
              <w:rPr>
                <w:sz w:val="19"/>
                <w:szCs w:val="19"/>
                <w:spacing w:val="7"/>
              </w:rPr>
              <w:t>人员</w:t>
            </w:r>
            <w:r>
              <w:rPr>
                <w:sz w:val="19"/>
                <w:szCs w:val="19"/>
                <w:spacing w:val="6"/>
              </w:rPr>
              <w:t>伤亡</w:t>
            </w:r>
          </w:p>
          <w:p>
            <w:pPr>
              <w:pStyle w:val="TableText"/>
              <w:ind w:left="44" w:right="30" w:firstLine="1"/>
              <w:spacing w:line="312" w:lineRule="auto"/>
              <w:rPr>
                <w:sz w:val="19"/>
                <w:szCs w:val="19"/>
              </w:rPr>
            </w:pPr>
            <w:r>
              <w:rPr>
                <w:sz w:val="19"/>
                <w:szCs w:val="19"/>
                <w:spacing w:val="6"/>
              </w:rPr>
              <w:t>财产</w:t>
            </w:r>
            <w:r>
              <w:rPr>
                <w:sz w:val="19"/>
                <w:szCs w:val="19"/>
                <w:spacing w:val="7"/>
              </w:rPr>
              <w:t>损失</w:t>
            </w:r>
          </w:p>
        </w:tc>
        <w:tc>
          <w:tcPr>
            <w:tcW w:w="720" w:type="dxa"/>
            <w:vAlign w:val="top"/>
            <w:tcBorders>
              <w:right w:val="single" w:color="000000" w:sz="6" w:space="0"/>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pStyle w:val="TableText"/>
              <w:ind w:left="187"/>
              <w:spacing w:before="62" w:line="213" w:lineRule="auto"/>
              <w:rPr>
                <w:sz w:val="19"/>
                <w:szCs w:val="19"/>
              </w:rPr>
            </w:pPr>
            <w:r>
              <w:rPr>
                <w:sz w:val="19"/>
                <w:szCs w:val="19"/>
                <w:spacing w:val="-7"/>
              </w:rPr>
              <w:t>Ⅲ级</w:t>
            </w:r>
          </w:p>
        </w:tc>
      </w:tr>
      <w:tr>
        <w:trPr>
          <w:trHeight w:val="5425" w:hRule="atLeast"/>
        </w:trPr>
        <w:tc>
          <w:tcPr>
            <w:tcW w:w="432" w:type="dxa"/>
            <w:vAlign w:val="top"/>
            <w:tcBorders>
              <w:left w:val="single" w:color="000000" w:sz="6" w:space="0"/>
              <w:bottom w:val="single" w:color="000000" w:sz="6" w:space="0"/>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64"/>
              <w:spacing w:before="62" w:line="285" w:lineRule="exact"/>
              <w:rPr>
                <w:sz w:val="19"/>
                <w:szCs w:val="19"/>
              </w:rPr>
            </w:pPr>
            <w:r>
              <w:rPr>
                <w:sz w:val="19"/>
                <w:szCs w:val="19"/>
                <w:position w:val="2"/>
              </w:rPr>
              <w:t>8</w:t>
            </w:r>
          </w:p>
        </w:tc>
        <w:tc>
          <w:tcPr>
            <w:tcW w:w="671" w:type="dxa"/>
            <w:vAlign w:val="top"/>
            <w:tcBorders>
              <w:bottom w:val="single" w:color="000000" w:sz="6" w:space="0"/>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26"/>
              <w:spacing w:before="62" w:line="220" w:lineRule="auto"/>
              <w:rPr>
                <w:sz w:val="19"/>
                <w:szCs w:val="19"/>
              </w:rPr>
            </w:pPr>
            <w:r>
              <w:rPr>
                <w:sz w:val="19"/>
                <w:szCs w:val="19"/>
                <w:spacing w:val="7"/>
              </w:rPr>
              <w:t>触电</w:t>
            </w:r>
          </w:p>
        </w:tc>
        <w:tc>
          <w:tcPr>
            <w:tcW w:w="5017" w:type="dxa"/>
            <w:vAlign w:val="top"/>
            <w:tcBorders>
              <w:bottom w:val="single" w:color="000000" w:sz="6" w:space="0"/>
            </w:tcBorders>
          </w:tcPr>
          <w:p>
            <w:pPr>
              <w:spacing w:line="241" w:lineRule="auto"/>
              <w:rPr>
                <w:rFonts w:ascii="Arial"/>
                <w:sz w:val="21"/>
              </w:rPr>
            </w:pPr>
            <w:r/>
          </w:p>
          <w:p>
            <w:pPr>
              <w:pStyle w:val="TableText"/>
              <w:ind w:left="7" w:right="8" w:firstLine="1"/>
              <w:spacing w:before="62" w:line="282" w:lineRule="auto"/>
              <w:jc w:val="both"/>
              <w:rPr>
                <w:sz w:val="19"/>
                <w:szCs w:val="19"/>
              </w:rPr>
            </w:pPr>
            <w:r>
              <w:rPr>
                <w:sz w:val="19"/>
                <w:szCs w:val="19"/>
                <w:spacing w:val="9"/>
              </w:rPr>
              <w:t>该矿山的主要用电设备主要为采场潜孔钻机、监控设备和</w:t>
            </w:r>
            <w:r>
              <w:rPr>
                <w:sz w:val="19"/>
                <w:szCs w:val="19"/>
                <w:spacing w:val="9"/>
              </w:rPr>
              <w:t>生活用电等。如电器设备缺陷、设计不周；不办理操作票</w:t>
            </w:r>
            <w:r>
              <w:rPr>
                <w:sz w:val="19"/>
                <w:szCs w:val="19"/>
                <w:spacing w:val="16"/>
              </w:rPr>
              <w:t>或不执行监护制度</w:t>
            </w:r>
            <w:r>
              <w:rPr>
                <w:sz w:val="19"/>
                <w:szCs w:val="19"/>
                <w:spacing w:val="-52"/>
              </w:rPr>
              <w:t xml:space="preserve"> </w:t>
            </w:r>
            <w:r>
              <w:rPr>
                <w:sz w:val="19"/>
                <w:szCs w:val="19"/>
                <w:spacing w:val="16"/>
              </w:rPr>
              <w:t>；电气工作人员没按规定考核合格上</w:t>
            </w:r>
            <w:r>
              <w:rPr>
                <w:sz w:val="19"/>
                <w:szCs w:val="19"/>
                <w:spacing w:val="9"/>
              </w:rPr>
              <w:t>岗，上岗没穿戴和使用防护用品；不使用或使用不合格绝</w:t>
            </w:r>
            <w:r>
              <w:rPr>
                <w:sz w:val="19"/>
                <w:szCs w:val="19"/>
                <w:spacing w:val="9"/>
              </w:rPr>
              <w:t>缘工具和电气工具；线路或电气设备工作完毕，未办理工</w:t>
            </w:r>
            <w:r>
              <w:rPr>
                <w:sz w:val="19"/>
                <w:szCs w:val="19"/>
                <w:spacing w:val="9"/>
              </w:rPr>
              <w:t>作票终结手续，就对停电设备恢复送电；倒闸操作不核对</w:t>
            </w:r>
            <w:r>
              <w:rPr>
                <w:sz w:val="19"/>
                <w:szCs w:val="19"/>
                <w:spacing w:val="9"/>
              </w:rPr>
              <w:t>设备名称、编号、位置状态；装设地线不验电；电动工具</w:t>
            </w:r>
            <w:r>
              <w:rPr>
                <w:sz w:val="19"/>
                <w:szCs w:val="19"/>
                <w:spacing w:val="9"/>
              </w:rPr>
              <w:t>金属外壳不接地；误攀登、误入安全措施不完善或不符要</w:t>
            </w:r>
            <w:r>
              <w:rPr>
                <w:sz w:val="19"/>
                <w:szCs w:val="19"/>
                <w:spacing w:val="11"/>
              </w:rPr>
              <w:t>求的供电设施； 在带电设备附近进行作业</w:t>
            </w:r>
            <w:r>
              <w:rPr>
                <w:sz w:val="19"/>
                <w:szCs w:val="19"/>
                <w:spacing w:val="-38"/>
              </w:rPr>
              <w:t xml:space="preserve"> </w:t>
            </w:r>
            <w:r>
              <w:rPr>
                <w:sz w:val="19"/>
                <w:szCs w:val="19"/>
                <w:spacing w:val="11"/>
              </w:rPr>
              <w:t>，不符合安全</w:t>
            </w:r>
            <w:r>
              <w:rPr>
                <w:sz w:val="19"/>
                <w:szCs w:val="19"/>
                <w:spacing w:val="9"/>
              </w:rPr>
              <w:t>距离或无监护措施；跨越安全围栏或超越安全警戒线，工</w:t>
            </w:r>
            <w:r>
              <w:rPr>
                <w:sz w:val="19"/>
                <w:szCs w:val="19"/>
                <w:spacing w:val="9"/>
              </w:rPr>
              <w:t>作人员误碰带电设备，以及在带电设备附近使用钢卷尺等</w:t>
            </w:r>
            <w:r>
              <w:rPr>
                <w:sz w:val="19"/>
                <w:szCs w:val="19"/>
                <w:spacing w:val="9"/>
              </w:rPr>
              <w:t>进行测量或携带金属超高物体在带电设备下行走；线路磨</w:t>
            </w:r>
            <w:r>
              <w:rPr>
                <w:sz w:val="19"/>
                <w:szCs w:val="19"/>
                <w:spacing w:val="9"/>
              </w:rPr>
              <w:t>损、压破绝缘层使外壳带电，设备缺少漏电保护等防护装</w:t>
            </w:r>
            <w:r>
              <w:rPr>
                <w:sz w:val="19"/>
                <w:szCs w:val="19"/>
                <w:spacing w:val="9"/>
              </w:rPr>
              <w:t>置；作业者身体或工具碰到带电设备或线路上；缺少安全</w:t>
            </w:r>
            <w:r>
              <w:rPr>
                <w:sz w:val="19"/>
                <w:szCs w:val="19"/>
                <w:spacing w:val="9"/>
              </w:rPr>
              <w:t>警示标志或标志不明显；在潮湿地区内工作不穿绝缘鞋，</w:t>
            </w:r>
            <w:r>
              <w:rPr>
                <w:sz w:val="19"/>
                <w:szCs w:val="19"/>
                <w:spacing w:val="9"/>
              </w:rPr>
              <w:t>无绝缘垫，无监护人等均可能造成触电伤害。雷雨天处于</w:t>
            </w:r>
            <w:r>
              <w:rPr>
                <w:sz w:val="19"/>
                <w:szCs w:val="19"/>
                <w:spacing w:val="9"/>
              </w:rPr>
              <w:t>空旷的地区或不安全的场所也可能导致雷击事故。</w:t>
            </w:r>
          </w:p>
        </w:tc>
        <w:tc>
          <w:tcPr>
            <w:tcW w:w="1616" w:type="dxa"/>
            <w:vAlign w:val="top"/>
            <w:tcBorders>
              <w:bottom w:val="single" w:color="000000" w:sz="6" w:space="0"/>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9" w:right="7" w:firstLine="2"/>
              <w:spacing w:before="62" w:line="311" w:lineRule="auto"/>
              <w:jc w:val="both"/>
              <w:rPr>
                <w:sz w:val="19"/>
                <w:szCs w:val="19"/>
              </w:rPr>
            </w:pPr>
            <w:r>
              <w:rPr>
                <w:sz w:val="19"/>
                <w:szCs w:val="19"/>
                <w:spacing w:val="7"/>
              </w:rPr>
              <w:t>配电室、机电设备</w:t>
            </w:r>
            <w:r>
              <w:rPr>
                <w:sz w:val="19"/>
                <w:szCs w:val="19"/>
                <w:spacing w:val="7"/>
              </w:rPr>
              <w:t>区域；雷雨天处于</w:t>
            </w:r>
            <w:r>
              <w:rPr>
                <w:sz w:val="19"/>
                <w:szCs w:val="19"/>
                <w:spacing w:val="7"/>
              </w:rPr>
              <w:t>不安全的场所。</w:t>
            </w:r>
          </w:p>
        </w:tc>
        <w:tc>
          <w:tcPr>
            <w:tcW w:w="479" w:type="dxa"/>
            <w:vAlign w:val="top"/>
            <w:tcBorders>
              <w:bottom w:val="single" w:color="000000" w:sz="6" w:space="0"/>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45" w:right="30" w:hanging="2"/>
              <w:spacing w:before="62" w:line="308" w:lineRule="auto"/>
              <w:rPr>
                <w:sz w:val="19"/>
                <w:szCs w:val="19"/>
              </w:rPr>
            </w:pPr>
            <w:r>
              <w:rPr>
                <w:sz w:val="19"/>
                <w:szCs w:val="19"/>
                <w:spacing w:val="7"/>
              </w:rPr>
              <w:t>人员</w:t>
            </w:r>
            <w:r>
              <w:rPr>
                <w:sz w:val="19"/>
                <w:szCs w:val="19"/>
                <w:spacing w:val="6"/>
              </w:rPr>
              <w:t>伤亡</w:t>
            </w:r>
          </w:p>
          <w:p>
            <w:pPr>
              <w:pStyle w:val="TableText"/>
              <w:ind w:left="44" w:right="30" w:firstLine="1"/>
              <w:spacing w:before="1" w:line="314" w:lineRule="auto"/>
              <w:rPr>
                <w:sz w:val="19"/>
                <w:szCs w:val="19"/>
              </w:rPr>
            </w:pPr>
            <w:r>
              <w:rPr>
                <w:sz w:val="19"/>
                <w:szCs w:val="19"/>
                <w:spacing w:val="6"/>
              </w:rPr>
              <w:t>财产</w:t>
            </w:r>
            <w:r>
              <w:rPr>
                <w:sz w:val="19"/>
                <w:szCs w:val="19"/>
                <w:spacing w:val="7"/>
              </w:rPr>
              <w:t>损失</w:t>
            </w:r>
          </w:p>
        </w:tc>
        <w:tc>
          <w:tcPr>
            <w:tcW w:w="720" w:type="dxa"/>
            <w:vAlign w:val="top"/>
            <w:tcBorders>
              <w:bottom w:val="single" w:color="000000" w:sz="6" w:space="0"/>
              <w:right w:val="single" w:color="000000" w:sz="6" w:space="0"/>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pStyle w:val="TableText"/>
              <w:ind w:left="187"/>
              <w:spacing w:before="61" w:line="213" w:lineRule="auto"/>
              <w:rPr>
                <w:sz w:val="19"/>
                <w:szCs w:val="19"/>
              </w:rPr>
            </w:pPr>
            <w:r>
              <w:rPr>
                <w:sz w:val="19"/>
                <w:szCs w:val="19"/>
                <w:spacing w:val="-7"/>
              </w:rPr>
              <w:t>Ⅲ级</w:t>
            </w:r>
          </w:p>
        </w:tc>
      </w:tr>
    </w:tbl>
    <w:p>
      <w:pPr>
        <w:spacing w:line="207" w:lineRule="exact"/>
        <w:rPr>
          <w:rFonts w:ascii="Arial"/>
          <w:sz w:val="18"/>
        </w:rPr>
      </w:pPr>
      <w:r/>
    </w:p>
    <w:p>
      <w:pPr>
        <w:spacing w:line="207" w:lineRule="exact"/>
        <w:sectPr>
          <w:headerReference w:type="default" r:id="rId689"/>
          <w:footerReference w:type="default" r:id="rId695"/>
          <w:pgSz w:w="11906" w:h="16839"/>
          <w:pgMar w:top="1772" w:right="1478" w:bottom="1547" w:left="1477" w:header="1428" w:footer="1172" w:gutter="0"/>
        </w:sectPr>
        <w:rPr>
          <w:rFonts w:ascii="Arial" w:hAnsi="Arial" w:eastAsia="Arial" w:cs="Arial"/>
          <w:sz w:val="18"/>
          <w:szCs w:val="18"/>
        </w:rPr>
      </w:pPr>
    </w:p>
    <w:p>
      <w:pPr>
        <w:spacing w:line="218" w:lineRule="exact"/>
        <w:rPr/>
      </w:pPr>
      <w:r>
        <w:drawing>
          <wp:anchor distT="0" distB="0" distL="0" distR="0" simplePos="0" relativeHeight="25224704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392" name="IM 1392"/>
            <wp:cNvGraphicFramePr/>
            <a:graphic>
              <a:graphicData uri="http://schemas.openxmlformats.org/drawingml/2006/picture">
                <pic:pic>
                  <pic:nvPicPr>
                    <pic:cNvPr id="1392" name="IM 1392"/>
                    <pic:cNvPicPr/>
                  </pic:nvPicPr>
                  <pic:blipFill>
                    <a:blip r:embed="rId698"/>
                    <a:stretch>
                      <a:fillRect/>
                    </a:stretch>
                  </pic:blipFill>
                  <pic:spPr>
                    <a:xfrm rot="0">
                      <a:off x="0" y="0"/>
                      <a:ext cx="5579745" cy="7620"/>
                    </a:xfrm>
                    <a:prstGeom prst="rect">
                      <a:avLst/>
                    </a:prstGeom>
                  </pic:spPr>
                </pic:pic>
              </a:graphicData>
            </a:graphic>
          </wp:anchor>
        </w:drawing>
      </w:r>
      <w:r/>
    </w:p>
    <w:tbl>
      <w:tblPr>
        <w:tblStyle w:val="TableNormal"/>
        <w:tblW w:w="8935"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32"/>
        <w:gridCol w:w="671"/>
        <w:gridCol w:w="5017"/>
        <w:gridCol w:w="1616"/>
        <w:gridCol w:w="479"/>
        <w:gridCol w:w="720"/>
      </w:tblGrid>
      <w:tr>
        <w:trPr>
          <w:trHeight w:val="678" w:hRule="atLeast"/>
        </w:trPr>
        <w:tc>
          <w:tcPr>
            <w:tcW w:w="432" w:type="dxa"/>
            <w:vAlign w:val="top"/>
            <w:tcBorders>
              <w:left w:val="single" w:color="000000" w:sz="6" w:space="0"/>
              <w:top w:val="single" w:color="000000" w:sz="6" w:space="0"/>
            </w:tcBorders>
          </w:tcPr>
          <w:p>
            <w:pPr>
              <w:pStyle w:val="TableText"/>
              <w:ind w:left="110" w:right="114"/>
              <w:spacing w:before="122" w:line="237" w:lineRule="auto"/>
              <w:rPr>
                <w:sz w:val="19"/>
                <w:szCs w:val="19"/>
              </w:rPr>
            </w:pPr>
            <w:r>
              <w:rPr>
                <w:sz w:val="19"/>
                <w:szCs w:val="19"/>
                <w:spacing w:val="4"/>
              </w:rPr>
              <w:t>序</w:t>
            </w:r>
            <w:r>
              <w:rPr>
                <w:sz w:val="19"/>
                <w:szCs w:val="19"/>
                <w:spacing w:val="3"/>
              </w:rPr>
              <w:t>号</w:t>
            </w:r>
          </w:p>
        </w:tc>
        <w:tc>
          <w:tcPr>
            <w:tcW w:w="671" w:type="dxa"/>
            <w:vAlign w:val="top"/>
            <w:tcBorders>
              <w:top w:val="single" w:color="000000" w:sz="6" w:space="0"/>
            </w:tcBorders>
          </w:tcPr>
          <w:p>
            <w:pPr>
              <w:pStyle w:val="TableText"/>
              <w:ind w:left="39" w:right="36" w:hanging="10"/>
              <w:spacing w:before="123" w:line="235" w:lineRule="auto"/>
              <w:rPr>
                <w:sz w:val="19"/>
                <w:szCs w:val="19"/>
              </w:rPr>
            </w:pPr>
            <w:r>
              <w:rPr>
                <w:sz w:val="19"/>
                <w:szCs w:val="19"/>
                <w:spacing w:val="8"/>
              </w:rPr>
              <w:t>事故风</w:t>
            </w:r>
            <w:r>
              <w:rPr>
                <w:sz w:val="19"/>
                <w:szCs w:val="19"/>
                <w:spacing w:val="4"/>
              </w:rPr>
              <w:t>险种类</w:t>
            </w:r>
          </w:p>
        </w:tc>
        <w:tc>
          <w:tcPr>
            <w:tcW w:w="5017" w:type="dxa"/>
            <w:vAlign w:val="top"/>
            <w:tcBorders>
              <w:top w:val="single" w:color="000000" w:sz="6" w:space="0"/>
            </w:tcBorders>
          </w:tcPr>
          <w:p>
            <w:pPr>
              <w:pStyle w:val="TableText"/>
              <w:ind w:left="1506"/>
              <w:spacing w:before="243" w:line="220" w:lineRule="auto"/>
              <w:rPr>
                <w:sz w:val="19"/>
                <w:szCs w:val="19"/>
              </w:rPr>
            </w:pPr>
            <w:r>
              <w:rPr>
                <w:sz w:val="19"/>
                <w:szCs w:val="19"/>
                <w:spacing w:val="9"/>
              </w:rPr>
              <w:t>事故风险发生的可能性</w:t>
            </w:r>
          </w:p>
        </w:tc>
        <w:tc>
          <w:tcPr>
            <w:tcW w:w="1616" w:type="dxa"/>
            <w:vAlign w:val="top"/>
            <w:tcBorders>
              <w:top w:val="single" w:color="000000" w:sz="6" w:space="0"/>
            </w:tcBorders>
          </w:tcPr>
          <w:p>
            <w:pPr>
              <w:pStyle w:val="TableText"/>
              <w:ind w:left="307" w:right="302" w:firstLine="100"/>
              <w:spacing w:before="123" w:line="236" w:lineRule="auto"/>
              <w:rPr>
                <w:sz w:val="19"/>
                <w:szCs w:val="19"/>
              </w:rPr>
            </w:pPr>
            <w:r>
              <w:rPr>
                <w:sz w:val="19"/>
                <w:szCs w:val="19"/>
                <w:spacing w:val="9"/>
              </w:rPr>
              <w:t>存在场所</w:t>
            </w:r>
            <w:r>
              <w:rPr>
                <w:sz w:val="19"/>
                <w:szCs w:val="19"/>
                <w:spacing w:val="9"/>
              </w:rPr>
              <w:t>及影响范围</w:t>
            </w:r>
          </w:p>
        </w:tc>
        <w:tc>
          <w:tcPr>
            <w:tcW w:w="479" w:type="dxa"/>
            <w:vAlign w:val="top"/>
            <w:tcBorders>
              <w:top w:val="single" w:color="000000" w:sz="6" w:space="0"/>
            </w:tcBorders>
          </w:tcPr>
          <w:p>
            <w:pPr>
              <w:pStyle w:val="TableText"/>
              <w:ind w:left="43"/>
              <w:spacing w:before="247" w:line="213" w:lineRule="auto"/>
              <w:rPr>
                <w:sz w:val="19"/>
                <w:szCs w:val="19"/>
              </w:rPr>
            </w:pPr>
            <w:r>
              <w:rPr>
                <w:sz w:val="19"/>
                <w:szCs w:val="19"/>
                <w:spacing w:val="7"/>
              </w:rPr>
              <w:t>后果</w:t>
            </w:r>
          </w:p>
        </w:tc>
        <w:tc>
          <w:tcPr>
            <w:tcW w:w="720" w:type="dxa"/>
            <w:vAlign w:val="top"/>
            <w:tcBorders>
              <w:right w:val="single" w:color="000000" w:sz="6" w:space="0"/>
              <w:top w:val="single" w:color="000000" w:sz="6" w:space="0"/>
            </w:tcBorders>
          </w:tcPr>
          <w:p>
            <w:pPr>
              <w:pStyle w:val="TableText"/>
              <w:ind w:left="160" w:right="152"/>
              <w:spacing w:before="123" w:line="236" w:lineRule="auto"/>
              <w:rPr>
                <w:sz w:val="19"/>
                <w:szCs w:val="19"/>
              </w:rPr>
            </w:pPr>
            <w:r>
              <w:rPr>
                <w:sz w:val="19"/>
                <w:szCs w:val="19"/>
                <w:spacing w:val="7"/>
              </w:rPr>
              <w:t>危险</w:t>
            </w:r>
            <w:r>
              <w:rPr>
                <w:sz w:val="19"/>
                <w:szCs w:val="19"/>
                <w:spacing w:val="6"/>
              </w:rPr>
              <w:t>程度</w:t>
            </w:r>
          </w:p>
        </w:tc>
      </w:tr>
      <w:tr>
        <w:trPr>
          <w:trHeight w:val="4156" w:hRule="atLeast"/>
        </w:trPr>
        <w:tc>
          <w:tcPr>
            <w:tcW w:w="432" w:type="dxa"/>
            <w:vAlign w:val="top"/>
            <w:tcBorders>
              <w:left w:val="single" w:color="000000" w:sz="6" w:space="0"/>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61"/>
              <w:spacing w:before="61" w:line="285" w:lineRule="exact"/>
              <w:rPr>
                <w:sz w:val="19"/>
                <w:szCs w:val="19"/>
              </w:rPr>
            </w:pPr>
            <w:r>
              <w:rPr>
                <w:sz w:val="19"/>
                <w:szCs w:val="19"/>
                <w:position w:val="2"/>
              </w:rPr>
              <w:t>9</w:t>
            </w:r>
          </w:p>
        </w:tc>
        <w:tc>
          <w:tcPr>
            <w:tcW w:w="671"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129"/>
              <w:spacing w:before="61" w:line="215" w:lineRule="auto"/>
              <w:rPr>
                <w:sz w:val="19"/>
                <w:szCs w:val="19"/>
              </w:rPr>
            </w:pPr>
            <w:r>
              <w:rPr>
                <w:sz w:val="19"/>
                <w:szCs w:val="19"/>
                <w:spacing w:val="5"/>
              </w:rPr>
              <w:t>淹溺</w:t>
            </w:r>
          </w:p>
        </w:tc>
        <w:tc>
          <w:tcPr>
            <w:tcW w:w="5017" w:type="dxa"/>
            <w:vAlign w:val="top"/>
          </w:tcPr>
          <w:p>
            <w:pPr>
              <w:pStyle w:val="TableText"/>
              <w:ind w:left="10" w:right="11"/>
              <w:spacing w:before="84" w:line="302" w:lineRule="auto"/>
              <w:jc w:val="both"/>
              <w:rPr>
                <w:sz w:val="19"/>
                <w:szCs w:val="19"/>
              </w:rPr>
            </w:pPr>
            <w:r>
              <w:rPr>
                <w:sz w:val="19"/>
                <w:szCs w:val="19"/>
                <w:spacing w:val="9"/>
              </w:rPr>
              <w:t>矿山没有按开采设计（方案）建设相应的防洪设施（截水</w:t>
            </w:r>
            <w:r>
              <w:rPr>
                <w:sz w:val="19"/>
                <w:szCs w:val="19"/>
                <w:spacing w:val="8"/>
              </w:rPr>
              <w:t>沟、积水坑等</w:t>
            </w:r>
            <w:r>
              <w:rPr>
                <w:sz w:val="19"/>
                <w:szCs w:val="19"/>
                <w:spacing w:val="-34"/>
              </w:rPr>
              <w:t>），</w:t>
            </w:r>
            <w:r>
              <w:rPr>
                <w:sz w:val="19"/>
                <w:szCs w:val="19"/>
                <w:spacing w:val="8"/>
              </w:rPr>
              <w:t>配备匹配的排水设备</w:t>
            </w:r>
            <w:r>
              <w:rPr>
                <w:sz w:val="19"/>
                <w:szCs w:val="19"/>
                <w:spacing w:val="-34"/>
              </w:rPr>
              <w:t>），</w:t>
            </w:r>
            <w:r>
              <w:rPr>
                <w:sz w:val="19"/>
                <w:szCs w:val="19"/>
                <w:spacing w:val="8"/>
              </w:rPr>
              <w:t>导致开矿作业中</w:t>
            </w:r>
            <w:r>
              <w:rPr>
                <w:sz w:val="19"/>
                <w:szCs w:val="19"/>
                <w:spacing w:val="13"/>
              </w:rPr>
              <w:t>地下水、大气降水进入采场（特别是凹陷露天矿</w:t>
            </w:r>
            <w:r>
              <w:rPr>
                <w:sz w:val="19"/>
                <w:szCs w:val="19"/>
                <w:spacing w:val="-32"/>
              </w:rPr>
              <w:t>），</w:t>
            </w:r>
            <w:r>
              <w:rPr>
                <w:sz w:val="19"/>
                <w:szCs w:val="19"/>
                <w:spacing w:val="12"/>
              </w:rPr>
              <w:t>采场</w:t>
            </w:r>
            <w:r>
              <w:rPr>
                <w:sz w:val="19"/>
                <w:szCs w:val="19"/>
                <w:spacing w:val="8"/>
              </w:rPr>
              <w:t>积水无法及时排出。</w:t>
            </w:r>
          </w:p>
          <w:p>
            <w:pPr>
              <w:pStyle w:val="TableText"/>
              <w:ind w:left="9" w:firstLine="18"/>
              <w:spacing w:before="34" w:line="306" w:lineRule="auto"/>
              <w:jc w:val="both"/>
              <w:rPr>
                <w:sz w:val="19"/>
                <w:szCs w:val="19"/>
              </w:rPr>
            </w:pPr>
            <w:r>
              <w:rPr>
                <w:sz w:val="19"/>
                <w:szCs w:val="19"/>
                <w:spacing w:val="6"/>
              </w:rPr>
              <w:t>1.处于水文地质条件复杂区域或由于地质工作程度低，采</w:t>
            </w:r>
            <w:r>
              <w:rPr>
                <w:sz w:val="19"/>
                <w:szCs w:val="19"/>
                <w:spacing w:val="7"/>
              </w:rPr>
              <w:t>区的水文地质条件不清，防范不到位而带来的水灾；2.矿</w:t>
            </w:r>
            <w:r>
              <w:rPr>
                <w:sz w:val="19"/>
                <w:szCs w:val="19"/>
                <w:spacing w:val="7"/>
              </w:rPr>
              <w:t>山受大气降水影响很大，由于大气降水引发洪水、泥石流</w:t>
            </w:r>
            <w:r>
              <w:rPr>
                <w:sz w:val="19"/>
                <w:szCs w:val="19"/>
                <w:spacing w:val="2"/>
              </w:rPr>
              <w:t>而引发的灾害；3.工业广场、生活区选择在汇水区的下游，</w:t>
            </w:r>
            <w:r>
              <w:rPr>
                <w:sz w:val="19"/>
                <w:szCs w:val="19"/>
                <w:spacing w:val="7"/>
              </w:rPr>
              <w:t>且无有效的防洪措施而存在水灾危害。</w:t>
            </w:r>
          </w:p>
          <w:p>
            <w:pPr>
              <w:pStyle w:val="TableText"/>
              <w:ind w:left="9"/>
              <w:spacing w:before="28" w:line="311" w:lineRule="auto"/>
              <w:jc w:val="both"/>
              <w:rPr>
                <w:sz w:val="19"/>
                <w:szCs w:val="19"/>
              </w:rPr>
            </w:pPr>
            <w:r>
              <w:rPr>
                <w:sz w:val="19"/>
                <w:szCs w:val="19"/>
                <w:spacing w:val="-5"/>
              </w:rPr>
              <w:t>水体周围无防护、无标识，而造成人员跌落、运输车辆跌入。</w:t>
            </w:r>
            <w:r>
              <w:rPr>
                <w:sz w:val="19"/>
                <w:szCs w:val="19"/>
                <w:spacing w:val="6"/>
              </w:rPr>
              <w:t>在有可能造成淹溺伤害事故的区域没有设置警示标志，或</w:t>
            </w:r>
            <w:r>
              <w:rPr>
                <w:sz w:val="19"/>
                <w:szCs w:val="19"/>
                <w:spacing w:val="6"/>
              </w:rPr>
              <w:t>标志设置位置不合理。</w:t>
            </w:r>
          </w:p>
          <w:p>
            <w:pPr>
              <w:pStyle w:val="TableText"/>
              <w:ind w:left="15"/>
              <w:spacing w:line="214" w:lineRule="auto"/>
              <w:rPr>
                <w:sz w:val="19"/>
                <w:szCs w:val="19"/>
              </w:rPr>
            </w:pPr>
            <w:r>
              <w:rPr>
                <w:sz w:val="19"/>
                <w:szCs w:val="19"/>
                <w:spacing w:val="8"/>
              </w:rPr>
              <w:t>车辆、人员由于地面湿滑而坠落水体中淹溺。</w:t>
            </w:r>
          </w:p>
        </w:tc>
        <w:tc>
          <w:tcPr>
            <w:tcW w:w="1616" w:type="dxa"/>
            <w:vAlign w:val="top"/>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8" w:right="7"/>
              <w:spacing w:before="62" w:line="312" w:lineRule="auto"/>
              <w:rPr>
                <w:sz w:val="19"/>
                <w:szCs w:val="19"/>
              </w:rPr>
            </w:pPr>
            <w:r>
              <w:rPr>
                <w:sz w:val="19"/>
                <w:szCs w:val="19"/>
                <w:spacing w:val="7"/>
              </w:rPr>
              <w:t>采场、运输道路、</w:t>
            </w:r>
            <w:r>
              <w:rPr>
                <w:sz w:val="19"/>
                <w:szCs w:val="19"/>
                <w:spacing w:val="28"/>
              </w:rPr>
              <w:t>工业广场</w:t>
            </w:r>
            <w:r>
              <w:rPr>
                <w:sz w:val="19"/>
                <w:szCs w:val="19"/>
                <w:spacing w:val="-42"/>
              </w:rPr>
              <w:t xml:space="preserve"> </w:t>
            </w:r>
            <w:r>
              <w:rPr>
                <w:sz w:val="19"/>
                <w:szCs w:val="19"/>
                <w:spacing w:val="28"/>
              </w:rPr>
              <w:t>、生活</w:t>
            </w:r>
            <w:r>
              <w:rPr>
                <w:sz w:val="19"/>
                <w:szCs w:val="19"/>
                <w:spacing w:val="7"/>
              </w:rPr>
              <w:t>区、矿区内低洼地</w:t>
            </w:r>
            <w:r>
              <w:rPr>
                <w:sz w:val="19"/>
                <w:szCs w:val="19"/>
                <w:spacing w:val="8"/>
              </w:rPr>
              <w:t>带积水地区</w:t>
            </w:r>
          </w:p>
        </w:tc>
        <w:tc>
          <w:tcPr>
            <w:tcW w:w="479"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9" w:right="8"/>
              <w:spacing w:before="62" w:line="311" w:lineRule="auto"/>
              <w:jc w:val="both"/>
              <w:rPr>
                <w:sz w:val="19"/>
                <w:szCs w:val="19"/>
              </w:rPr>
            </w:pPr>
            <w:r>
              <w:rPr>
                <w:sz w:val="19"/>
                <w:szCs w:val="19"/>
                <w:spacing w:val="30"/>
              </w:rPr>
              <w:t>人员</w:t>
            </w:r>
            <w:r>
              <w:rPr>
                <w:sz w:val="19"/>
                <w:szCs w:val="19"/>
                <w:spacing w:val="7"/>
              </w:rPr>
              <w:t>伤亡</w:t>
            </w:r>
            <w:r>
              <w:rPr>
                <w:sz w:val="19"/>
                <w:szCs w:val="19"/>
                <w:spacing w:val="29"/>
              </w:rPr>
              <w:t>财产</w:t>
            </w:r>
            <w:r>
              <w:rPr>
                <w:sz w:val="19"/>
                <w:szCs w:val="19"/>
                <w:spacing w:val="7"/>
              </w:rPr>
              <w:t>损失</w:t>
            </w:r>
          </w:p>
        </w:tc>
        <w:tc>
          <w:tcPr>
            <w:tcW w:w="720" w:type="dxa"/>
            <w:vAlign w:val="top"/>
            <w:tcBorders>
              <w:right w:val="single" w:color="000000" w:sz="6" w:space="0"/>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87"/>
              <w:spacing w:before="62" w:line="213" w:lineRule="auto"/>
              <w:rPr>
                <w:sz w:val="19"/>
                <w:szCs w:val="19"/>
              </w:rPr>
            </w:pPr>
            <w:r>
              <w:rPr>
                <w:sz w:val="19"/>
                <w:szCs w:val="19"/>
                <w:spacing w:val="-7"/>
              </w:rPr>
              <w:t>Ⅲ级</w:t>
            </w:r>
          </w:p>
        </w:tc>
      </w:tr>
      <w:tr>
        <w:trPr>
          <w:trHeight w:val="2252" w:hRule="atLeast"/>
        </w:trPr>
        <w:tc>
          <w:tcPr>
            <w:tcW w:w="432" w:type="dxa"/>
            <w:vAlign w:val="top"/>
            <w:tcBorders>
              <w:left w:val="single" w:color="000000" w:sz="6" w:space="0"/>
              <w:bottom w:val="single" w:color="000000" w:sz="6" w:space="0"/>
            </w:tcBorders>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27"/>
              <w:spacing w:before="62" w:line="286" w:lineRule="exact"/>
              <w:rPr>
                <w:sz w:val="19"/>
                <w:szCs w:val="19"/>
              </w:rPr>
            </w:pPr>
            <w:r>
              <w:rPr>
                <w:sz w:val="19"/>
                <w:szCs w:val="19"/>
                <w:spacing w:val="-8"/>
                <w:position w:val="2"/>
              </w:rPr>
              <w:t>11</w:t>
            </w:r>
          </w:p>
        </w:tc>
        <w:tc>
          <w:tcPr>
            <w:tcW w:w="671" w:type="dxa"/>
            <w:vAlign w:val="top"/>
            <w:tcBorders>
              <w:bottom w:val="single" w:color="000000" w:sz="6" w:space="0"/>
            </w:tcBorders>
          </w:tcPr>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26"/>
              <w:spacing w:before="62" w:line="216" w:lineRule="auto"/>
              <w:rPr>
                <w:sz w:val="19"/>
                <w:szCs w:val="19"/>
              </w:rPr>
            </w:pPr>
            <w:r>
              <w:rPr>
                <w:sz w:val="19"/>
                <w:szCs w:val="19"/>
                <w:spacing w:val="7"/>
              </w:rPr>
              <w:t>火灾</w:t>
            </w:r>
          </w:p>
        </w:tc>
        <w:tc>
          <w:tcPr>
            <w:tcW w:w="5017" w:type="dxa"/>
            <w:vAlign w:val="top"/>
            <w:tcBorders>
              <w:bottom w:val="single" w:color="000000" w:sz="6" w:space="0"/>
            </w:tcBorders>
          </w:tcPr>
          <w:p>
            <w:pPr>
              <w:pStyle w:val="TableText"/>
              <w:ind w:left="10" w:right="8" w:firstLine="1"/>
              <w:spacing w:before="95" w:line="298" w:lineRule="auto"/>
              <w:rPr>
                <w:sz w:val="19"/>
                <w:szCs w:val="19"/>
              </w:rPr>
            </w:pPr>
            <w:r>
              <w:rPr>
                <w:sz w:val="19"/>
                <w:szCs w:val="19"/>
                <w:spacing w:val="9"/>
              </w:rPr>
              <w:t>矿山火灾主要为外因火灾，发生火灾的原因比较复杂，因</w:t>
            </w:r>
            <w:r>
              <w:rPr>
                <w:sz w:val="19"/>
                <w:szCs w:val="19"/>
                <w:spacing w:val="9"/>
              </w:rPr>
              <w:t>为构成燃烧的三要素（着火源、可燃物、助燃物）普遍存</w:t>
            </w:r>
            <w:r>
              <w:rPr>
                <w:sz w:val="19"/>
                <w:szCs w:val="19"/>
                <w:spacing w:val="9"/>
              </w:rPr>
              <w:t>在于人们的生产、生活中。包括明火引燃的火灾；油料在</w:t>
            </w:r>
            <w:r>
              <w:rPr>
                <w:sz w:val="19"/>
                <w:szCs w:val="19"/>
                <w:spacing w:val="9"/>
              </w:rPr>
              <w:t>运输、保管和使用时引起的火灾；炸药在运输和使用过程</w:t>
            </w:r>
            <w:r>
              <w:rPr>
                <w:sz w:val="19"/>
                <w:szCs w:val="19"/>
                <w:spacing w:val="9"/>
              </w:rPr>
              <w:t>中引起的火灾；机械作业引起的火灾；雷击造成的火灾；</w:t>
            </w:r>
            <w:r>
              <w:rPr>
                <w:sz w:val="19"/>
                <w:szCs w:val="19"/>
                <w:spacing w:val="9"/>
              </w:rPr>
              <w:t>生产和生活用火不慎；设备不良（设计不符合防火防爆要</w:t>
            </w:r>
            <w:r>
              <w:rPr>
                <w:sz w:val="19"/>
                <w:szCs w:val="19"/>
                <w:spacing w:val="9"/>
              </w:rPr>
              <w:t>求</w:t>
            </w:r>
            <w:r>
              <w:rPr>
                <w:sz w:val="19"/>
                <w:szCs w:val="19"/>
                <w:spacing w:val="-37"/>
              </w:rPr>
              <w:t>）；</w:t>
            </w:r>
            <w:r>
              <w:rPr>
                <w:sz w:val="19"/>
                <w:szCs w:val="19"/>
                <w:spacing w:val="9"/>
              </w:rPr>
              <w:t>物料的存放不当等原因；环境原因；管理原因等。</w:t>
            </w:r>
          </w:p>
        </w:tc>
        <w:tc>
          <w:tcPr>
            <w:tcW w:w="1616" w:type="dxa"/>
            <w:vAlign w:val="top"/>
            <w:tcBorders>
              <w:bottom w:val="single" w:color="000000" w:sz="6" w:space="0"/>
            </w:tcBorders>
          </w:tcPr>
          <w:p>
            <w:pPr>
              <w:spacing w:line="359" w:lineRule="auto"/>
              <w:rPr>
                <w:rFonts w:ascii="Arial"/>
                <w:sz w:val="21"/>
              </w:rPr>
            </w:pPr>
            <w:r/>
          </w:p>
          <w:p>
            <w:pPr>
              <w:pStyle w:val="TableText"/>
              <w:ind w:left="18" w:right="7" w:firstLine="2"/>
              <w:spacing w:before="62" w:line="310" w:lineRule="auto"/>
              <w:jc w:val="both"/>
              <w:rPr>
                <w:sz w:val="19"/>
                <w:szCs w:val="19"/>
              </w:rPr>
            </w:pPr>
            <w:r>
              <w:rPr>
                <w:sz w:val="19"/>
                <w:szCs w:val="19"/>
                <w:spacing w:val="27"/>
              </w:rPr>
              <w:t>生活区</w:t>
            </w:r>
            <w:r>
              <w:rPr>
                <w:sz w:val="19"/>
                <w:szCs w:val="19"/>
                <w:spacing w:val="-38"/>
              </w:rPr>
              <w:t xml:space="preserve"> </w:t>
            </w:r>
            <w:r>
              <w:rPr>
                <w:sz w:val="19"/>
                <w:szCs w:val="19"/>
                <w:spacing w:val="27"/>
              </w:rPr>
              <w:t>、机电设</w:t>
            </w:r>
            <w:r>
              <w:rPr>
                <w:sz w:val="19"/>
                <w:szCs w:val="19"/>
                <w:spacing w:val="7"/>
              </w:rPr>
              <w:t>备、铲装、挖掘运</w:t>
            </w:r>
            <w:r>
              <w:rPr>
                <w:sz w:val="19"/>
                <w:szCs w:val="19"/>
                <w:spacing w:val="7"/>
              </w:rPr>
              <w:t>输设备、矿山变配</w:t>
            </w:r>
            <w:r>
              <w:rPr>
                <w:sz w:val="19"/>
                <w:szCs w:val="19"/>
                <w:spacing w:val="7"/>
              </w:rPr>
              <w:t>电室、破碎设备等</w:t>
            </w:r>
            <w:r>
              <w:rPr>
                <w:sz w:val="19"/>
                <w:szCs w:val="19"/>
                <w:spacing w:val="7"/>
              </w:rPr>
              <w:t>区域</w:t>
            </w:r>
          </w:p>
        </w:tc>
        <w:tc>
          <w:tcPr>
            <w:tcW w:w="479" w:type="dxa"/>
            <w:vAlign w:val="top"/>
            <w:tcBorders>
              <w:bottom w:val="single" w:color="000000" w:sz="6" w:space="0"/>
            </w:tcBorders>
          </w:tcPr>
          <w:p>
            <w:pPr>
              <w:spacing w:line="257" w:lineRule="auto"/>
              <w:rPr>
                <w:rFonts w:ascii="Arial"/>
                <w:sz w:val="21"/>
              </w:rPr>
            </w:pPr>
            <w:r/>
          </w:p>
          <w:p>
            <w:pPr>
              <w:spacing w:line="258" w:lineRule="auto"/>
              <w:rPr>
                <w:rFonts w:ascii="Arial"/>
                <w:sz w:val="21"/>
              </w:rPr>
            </w:pPr>
            <w:r/>
          </w:p>
          <w:p>
            <w:pPr>
              <w:pStyle w:val="TableText"/>
              <w:ind w:left="19" w:right="8"/>
              <w:spacing w:before="61" w:line="311" w:lineRule="auto"/>
              <w:jc w:val="both"/>
              <w:rPr>
                <w:sz w:val="19"/>
                <w:szCs w:val="19"/>
              </w:rPr>
            </w:pPr>
            <w:r>
              <w:rPr>
                <w:sz w:val="19"/>
                <w:szCs w:val="19"/>
                <w:spacing w:val="30"/>
              </w:rPr>
              <w:t>人员</w:t>
            </w:r>
            <w:r>
              <w:rPr>
                <w:sz w:val="19"/>
                <w:szCs w:val="19"/>
                <w:spacing w:val="7"/>
              </w:rPr>
              <w:t>伤亡</w:t>
            </w:r>
            <w:r>
              <w:rPr>
                <w:sz w:val="19"/>
                <w:szCs w:val="19"/>
                <w:spacing w:val="29"/>
              </w:rPr>
              <w:t>财产</w:t>
            </w:r>
            <w:r>
              <w:rPr>
                <w:sz w:val="19"/>
                <w:szCs w:val="19"/>
                <w:spacing w:val="7"/>
              </w:rPr>
              <w:t>损失</w:t>
            </w:r>
          </w:p>
        </w:tc>
        <w:tc>
          <w:tcPr>
            <w:tcW w:w="720" w:type="dxa"/>
            <w:vAlign w:val="top"/>
            <w:tcBorders>
              <w:bottom w:val="single" w:color="000000" w:sz="6" w:space="0"/>
              <w:right w:val="single" w:color="000000" w:sz="6" w:space="0"/>
            </w:tcBorders>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87"/>
              <w:spacing w:before="62" w:line="213" w:lineRule="auto"/>
              <w:rPr>
                <w:sz w:val="19"/>
                <w:szCs w:val="19"/>
              </w:rPr>
            </w:pPr>
            <w:r>
              <w:rPr>
                <w:sz w:val="19"/>
                <w:szCs w:val="19"/>
                <w:spacing w:val="-7"/>
              </w:rPr>
              <w:t>Ⅲ级</w:t>
            </w:r>
          </w:p>
        </w:tc>
      </w:tr>
    </w:tbl>
    <w:p>
      <w:pPr>
        <w:spacing w:line="93" w:lineRule="exact"/>
        <w:rPr>
          <w:rFonts w:ascii="Arial"/>
          <w:sz w:val="8"/>
        </w:rPr>
      </w:pPr>
      <w:r/>
    </w:p>
    <w:p>
      <w:pPr>
        <w:spacing w:line="93" w:lineRule="exact"/>
        <w:sectPr>
          <w:headerReference w:type="default" r:id="rId692"/>
          <w:footerReference w:type="default" r:id="rId697"/>
          <w:pgSz w:w="11906" w:h="16839"/>
          <w:pgMar w:top="1766" w:right="1478" w:bottom="1563" w:left="1477" w:header="1428" w:footer="1172" w:gutter="0"/>
          <w:cols w:equalWidth="0" w:num="1">
            <w:col w:w="8951" w:space="0"/>
          </w:cols>
        </w:sectPr>
        <w:rPr>
          <w:rFonts w:ascii="Arial" w:hAnsi="Arial" w:eastAsia="Arial" w:cs="Arial"/>
          <w:sz w:val="8"/>
          <w:szCs w:val="8"/>
        </w:rPr>
      </w:pPr>
    </w:p>
    <w:p>
      <w:pPr>
        <w:ind w:left="536"/>
        <w:spacing w:before="47" w:line="242" w:lineRule="auto"/>
        <w:rPr>
          <w:rFonts w:ascii="KaiTi" w:hAnsi="KaiTi" w:eastAsia="KaiTi" w:cs="KaiTi"/>
          <w:sz w:val="20"/>
          <w:szCs w:val="20"/>
        </w:rPr>
      </w:pPr>
      <w:r>
        <w:rPr>
          <w:rFonts w:ascii="Times New Roman" w:hAnsi="Times New Roman" w:eastAsia="Times New Roman" w:cs="Times New Roman"/>
          <w:sz w:val="20"/>
          <w:szCs w:val="20"/>
          <w:b/>
          <w:bCs/>
          <w:spacing w:val="6"/>
        </w:rPr>
        <w:t>2    </w:t>
      </w:r>
      <w:r>
        <w:rPr>
          <w:rFonts w:ascii="KaiTi" w:hAnsi="KaiTi" w:eastAsia="KaiTi" w:cs="KaiTi"/>
          <w:sz w:val="20"/>
          <w:szCs w:val="20"/>
          <w:b/>
          <w:bCs/>
          <w:spacing w:val="6"/>
        </w:rPr>
        <w:t>应急指挥机构及职责</w:t>
      </w:r>
    </w:p>
    <w:p>
      <w:pPr>
        <w:pStyle w:val="BodyText"/>
        <w:ind w:left="116" w:right="330" w:firstLine="419"/>
        <w:spacing w:before="131" w:line="366" w:lineRule="auto"/>
        <w:jc w:val="both"/>
        <w:rPr/>
      </w:pPr>
      <w:r>
        <w:rPr>
          <w:rFonts w:ascii="Times New Roman" w:hAnsi="Times New Roman" w:eastAsia="Times New Roman" w:cs="Times New Roman"/>
          <w:spacing w:val="7"/>
        </w:rPr>
        <w:t>2.</w:t>
      </w:r>
      <w:r>
        <w:rPr>
          <w:rFonts w:ascii="Times New Roman" w:hAnsi="Times New Roman" w:eastAsia="Times New Roman" w:cs="Times New Roman"/>
          <w:spacing w:val="-23"/>
        </w:rPr>
        <w:t xml:space="preserve"> </w:t>
      </w:r>
      <w:r>
        <w:rPr>
          <w:rFonts w:ascii="Times New Roman" w:hAnsi="Times New Roman" w:eastAsia="Times New Roman" w:cs="Times New Roman"/>
          <w:spacing w:val="7"/>
        </w:rPr>
        <w:t>1  </w:t>
      </w:r>
      <w:r>
        <w:rPr>
          <w:rFonts w:ascii="KaiTi" w:hAnsi="KaiTi" w:eastAsia="KaiTi" w:cs="KaiTi"/>
          <w:spacing w:val="7"/>
        </w:rPr>
        <w:t>应急组织机构。</w:t>
      </w:r>
      <w:r>
        <w:rPr>
          <w:spacing w:val="7"/>
        </w:rPr>
        <w:t>在市政府及市应急管</w:t>
      </w:r>
      <w:r>
        <w:rPr>
          <w:spacing w:val="7"/>
        </w:rPr>
        <w:t>理指挥部统一领导下，市应急管理指挥部负责</w:t>
      </w:r>
      <w:r>
        <w:rPr>
          <w:spacing w:val="7"/>
        </w:rPr>
        <w:t>统一领导、组织、协调生产安全事故工作，统</w:t>
      </w:r>
      <w:r>
        <w:rPr>
          <w:spacing w:val="7"/>
        </w:rPr>
        <w:t>一指挥各类生产安全事故及其次生、衍生灾害</w:t>
      </w:r>
      <w:r>
        <w:rPr>
          <w:spacing w:val="8"/>
        </w:rPr>
        <w:t>的应急处置工作。</w:t>
      </w:r>
    </w:p>
    <w:p>
      <w:pPr>
        <w:pStyle w:val="BodyText"/>
        <w:ind w:left="117" w:right="330" w:firstLine="420"/>
        <w:spacing w:before="1" w:line="346" w:lineRule="auto"/>
        <w:rPr/>
      </w:pPr>
      <w:r>
        <w:rPr>
          <w:spacing w:val="6"/>
        </w:rPr>
        <w:t>指 挥 长：市政府分管应急管理工作的副</w:t>
      </w:r>
      <w:r>
        <w:rPr>
          <w:spacing w:val="6"/>
        </w:rPr>
        <w:t>市长</w:t>
      </w:r>
    </w:p>
    <w:p>
      <w:pPr>
        <w:pStyle w:val="BodyText"/>
        <w:ind w:left="120" w:right="330" w:firstLine="420"/>
        <w:spacing w:before="42" w:line="346" w:lineRule="auto"/>
        <w:rPr/>
      </w:pPr>
      <w:r>
        <w:rPr>
          <w:spacing w:val="4"/>
        </w:rPr>
        <w:t>副指挥长：事故发生地县（</w:t>
      </w:r>
      <w:r>
        <w:rPr>
          <w:spacing w:val="-53"/>
        </w:rPr>
        <w:t xml:space="preserve"> </w:t>
      </w:r>
      <w:r>
        <w:rPr>
          <w:spacing w:val="4"/>
        </w:rPr>
        <w:t>区）政府主要</w:t>
      </w:r>
      <w:r>
        <w:rPr>
          <w:spacing w:val="9"/>
        </w:rPr>
        <w:t>负责人、市应急管理局局长</w:t>
      </w:r>
    </w:p>
    <w:p>
      <w:pPr>
        <w:pStyle w:val="BodyText"/>
        <w:ind w:left="116" w:right="249" w:firstLine="419"/>
        <w:spacing w:before="41" w:line="330" w:lineRule="auto"/>
        <w:rPr/>
      </w:pPr>
      <w:r>
        <w:rPr>
          <w:spacing w:val="6"/>
        </w:rPr>
        <w:t>成员单位：发展和改革委员会、工业和信</w:t>
      </w:r>
      <w:r>
        <w:rPr>
          <w:spacing w:val="1"/>
        </w:rPr>
        <w:t>息化局、教育和体育局、科学技术局、公安局、</w:t>
      </w:r>
      <w:r>
        <w:rPr>
          <w:spacing w:val="7"/>
        </w:rPr>
        <w:t>民政局、财政局、人力资源社会保障局、自然</w:t>
      </w:r>
      <w:r>
        <w:rPr>
          <w:spacing w:val="7"/>
        </w:rPr>
        <w:t>资源局、生态环境局、住房和城乡建设局、交</w:t>
      </w:r>
      <w:r>
        <w:rPr>
          <w:spacing w:val="7"/>
        </w:rPr>
        <w:t>通运输局、水务局、农业农村局、文化旅游广</w:t>
      </w:r>
    </w:p>
    <w:p>
      <w:pPr>
        <w:spacing w:line="14" w:lineRule="auto"/>
        <w:rPr>
          <w:rFonts w:ascii="Arial"/>
          <w:sz w:val="2"/>
        </w:rPr>
      </w:pPr>
      <w:r>
        <w:rPr>
          <w:rFonts w:ascii="Arial" w:hAnsi="Arial" w:eastAsia="Arial" w:cs="Arial"/>
          <w:sz w:val="2"/>
          <w:szCs w:val="2"/>
        </w:rPr>
        <w:br w:type="column"/>
      </w:r>
    </w:p>
    <w:p>
      <w:pPr>
        <w:pStyle w:val="BodyText"/>
        <w:ind w:right="112"/>
        <w:spacing w:before="44" w:line="363" w:lineRule="auto"/>
        <w:jc w:val="both"/>
        <w:rPr/>
      </w:pPr>
      <w:r>
        <w:rPr>
          <w:spacing w:val="7"/>
        </w:rPr>
        <w:t>播电视局、卫生健康委员会、市场监管局、市</w:t>
      </w:r>
      <w:r>
        <w:rPr>
          <w:spacing w:val="7"/>
        </w:rPr>
        <w:t>应急管理局、市消防支队、气象局、事故发生</w:t>
      </w:r>
      <w:r>
        <w:rPr>
          <w:spacing w:val="4"/>
        </w:rPr>
        <w:t>地县（</w:t>
      </w:r>
      <w:r>
        <w:rPr>
          <w:spacing w:val="-35"/>
        </w:rPr>
        <w:t xml:space="preserve"> </w:t>
      </w:r>
      <w:r>
        <w:rPr>
          <w:spacing w:val="4"/>
        </w:rPr>
        <w:t>区）政府等有关部门，市应急管理指挥</w:t>
      </w:r>
      <w:r>
        <w:rPr>
          <w:spacing w:val="18"/>
        </w:rPr>
        <w:t>部根据应急救援工作需要确定的非政府职能</w:t>
      </w:r>
      <w:r>
        <w:rPr>
          <w:spacing w:val="4"/>
        </w:rPr>
        <w:t>部门。</w:t>
      </w:r>
    </w:p>
    <w:p>
      <w:pPr>
        <w:pStyle w:val="BodyText"/>
        <w:ind w:right="6" w:firstLine="428"/>
        <w:spacing w:before="13" w:line="348" w:lineRule="auto"/>
        <w:rPr/>
      </w:pPr>
      <w:r>
        <w:rPr>
          <w:spacing w:val="6"/>
        </w:rPr>
        <w:t>主要职责：在市委、市政府的领导下，安</w:t>
      </w:r>
      <w:r>
        <w:rPr>
          <w:spacing w:val="7"/>
        </w:rPr>
        <w:t>排部署市生产安全事故的预防和处置工作；在</w:t>
      </w:r>
      <w:r>
        <w:rPr>
          <w:spacing w:val="7"/>
        </w:rPr>
        <w:t>预测将要发生和已经发生生产安全事故时，迅</w:t>
      </w:r>
      <w:r>
        <w:rPr>
          <w:spacing w:val="2"/>
        </w:rPr>
        <w:t>速启动相应应急预案，组织、指挥应急处置工作</w:t>
      </w:r>
      <w:r>
        <w:rPr>
          <w:spacing w:val="8"/>
        </w:rPr>
        <w:t xml:space="preserve"> </w:t>
      </w:r>
      <w:r>
        <w:rPr>
          <w:spacing w:val="7"/>
        </w:rPr>
        <w:t>；在处置生产安全事故过程中，积极协调与其</w:t>
      </w:r>
      <w:r>
        <w:rPr>
          <w:spacing w:val="7"/>
        </w:rPr>
        <w:t>他部门的关系，当生产安全事故超过处置权限</w:t>
      </w:r>
      <w:r>
        <w:rPr>
          <w:spacing w:val="7"/>
        </w:rPr>
        <w:t>和能力时，及时向自治区党委、政府报告，由</w:t>
      </w:r>
      <w:r>
        <w:rPr>
          <w:spacing w:val="7"/>
        </w:rPr>
        <w:t>自治区党委、政府统一领导和指挥市专项应急</w:t>
      </w:r>
      <w:r>
        <w:rPr>
          <w:spacing w:val="7"/>
        </w:rPr>
        <w:t>指挥部和有关县（区）、部门（单位）开展应</w:t>
      </w:r>
      <w:r>
        <w:rPr>
          <w:spacing w:val="7"/>
        </w:rPr>
        <w:t>急处置工作。</w:t>
      </w:r>
    </w:p>
    <w:p>
      <w:pPr>
        <w:spacing w:line="348" w:lineRule="auto"/>
        <w:sectPr>
          <w:type w:val="continuous"/>
          <w:pgSz w:w="11906" w:h="16839"/>
          <w:pgMar w:top="1766" w:right="1478" w:bottom="1563" w:left="1477" w:header="1428" w:footer="1172" w:gutter="0"/>
          <w:cols w:equalWidth="0" w:num="2">
            <w:col w:w="4592" w:space="100"/>
            <w:col w:w="4259" w:space="0"/>
          </w:cols>
        </w:sectPr>
        <w:rPr/>
      </w:pPr>
    </w:p>
    <w:p>
      <w:pPr>
        <w:spacing w:before="67"/>
        <w:rPr/>
      </w:pPr>
      <w:r>
        <w:drawing>
          <wp:anchor distT="0" distB="0" distL="0" distR="0" simplePos="0" relativeHeight="252252160"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396" name="IM 1396"/>
            <wp:cNvGraphicFramePr/>
            <a:graphic>
              <a:graphicData uri="http://schemas.openxmlformats.org/drawingml/2006/picture">
                <pic:pic>
                  <pic:nvPicPr>
                    <pic:cNvPr id="1396" name="IM 1396"/>
                    <pic:cNvPicPr/>
                  </pic:nvPicPr>
                  <pic:blipFill>
                    <a:blip r:embed="rId700"/>
                    <a:stretch>
                      <a:fillRect/>
                    </a:stretch>
                  </pic:blipFill>
                  <pic:spPr>
                    <a:xfrm rot="0">
                      <a:off x="0" y="0"/>
                      <a:ext cx="5579745" cy="7620"/>
                    </a:xfrm>
                    <a:prstGeom prst="rect">
                      <a:avLst/>
                    </a:prstGeom>
                  </pic:spPr>
                </pic:pic>
              </a:graphicData>
            </a:graphic>
          </wp:anchor>
        </w:drawing>
      </w:r>
      <w:r/>
    </w:p>
    <w:p>
      <w:pPr>
        <w:sectPr>
          <w:headerReference w:type="default" r:id="rId654"/>
          <w:footerReference w:type="default" r:id="rId699"/>
          <w:pgSz w:w="11906" w:h="16839"/>
          <w:pgMar w:top="1772" w:right="1480" w:bottom="1547" w:left="1588" w:header="1428" w:footer="1172" w:gutter="0"/>
          <w:cols w:equalWidth="0" w:num="1">
            <w:col w:w="8838" w:space="0"/>
          </w:cols>
        </w:sectPr>
        <w:rPr/>
      </w:pPr>
    </w:p>
    <w:p>
      <w:pPr>
        <w:pStyle w:val="BodyText"/>
        <w:ind w:left="7" w:right="329" w:firstLine="417"/>
        <w:spacing w:before="46" w:line="373" w:lineRule="auto"/>
        <w:jc w:val="both"/>
        <w:rPr/>
      </w:pPr>
      <w:r>
        <w:rPr>
          <w:rFonts w:ascii="Times New Roman" w:hAnsi="Times New Roman" w:eastAsia="Times New Roman" w:cs="Times New Roman"/>
          <w:spacing w:val="8"/>
        </w:rPr>
        <w:t>2.2  </w:t>
      </w:r>
      <w:r>
        <w:rPr>
          <w:rFonts w:ascii="KaiTi" w:hAnsi="KaiTi" w:eastAsia="KaiTi" w:cs="KaiTi"/>
          <w:spacing w:val="8"/>
        </w:rPr>
        <w:t>应急救援办公室。</w:t>
      </w:r>
      <w:r>
        <w:rPr>
          <w:spacing w:val="8"/>
        </w:rPr>
        <w:t>市应急管理指挥部</w:t>
      </w:r>
      <w:r>
        <w:rPr>
          <w:spacing w:val="7"/>
        </w:rPr>
        <w:t>办公室常设在市应急管理局，市应急管理局局</w:t>
      </w:r>
      <w:r>
        <w:rPr>
          <w:spacing w:val="36"/>
        </w:rPr>
        <w:t>长兼任办公室主任</w:t>
      </w:r>
      <w:r>
        <w:rPr>
          <w:spacing w:val="-12"/>
        </w:rPr>
        <w:t xml:space="preserve"> </w:t>
      </w:r>
      <w:r>
        <w:rPr>
          <w:spacing w:val="36"/>
        </w:rPr>
        <w:t>，</w:t>
      </w:r>
      <w:r>
        <w:rPr>
          <w:spacing w:val="-58"/>
        </w:rPr>
        <w:t xml:space="preserve"> </w:t>
      </w:r>
      <w:r>
        <w:rPr>
          <w:spacing w:val="36"/>
        </w:rPr>
        <w:t>办公室值班电话为</w:t>
      </w:r>
      <w:r>
        <w:rPr>
          <w:rFonts w:ascii="Times New Roman" w:hAnsi="Times New Roman" w:eastAsia="Times New Roman" w:cs="Times New Roman"/>
          <w:spacing w:val="4"/>
        </w:rPr>
        <w:t>0954-2088154</w:t>
      </w:r>
      <w:r>
        <w:rPr>
          <w:spacing w:val="4"/>
        </w:rPr>
        <w:t>。</w:t>
      </w:r>
    </w:p>
    <w:p>
      <w:pPr>
        <w:pStyle w:val="BodyText"/>
        <w:ind w:left="3" w:right="283" w:firstLine="429"/>
        <w:spacing w:before="13" w:line="374" w:lineRule="auto"/>
        <w:rPr/>
      </w:pPr>
      <w:r>
        <w:rPr>
          <w:spacing w:val="6"/>
        </w:rPr>
        <w:t>主要职责：履行应急值守、信息汇总和综</w:t>
      </w:r>
      <w:r>
        <w:rPr>
          <w:spacing w:val="7"/>
        </w:rPr>
        <w:t>合协调；负责接收和办理向市委、市政府报送</w:t>
      </w:r>
      <w:r>
        <w:rPr>
          <w:spacing w:val="7"/>
        </w:rPr>
        <w:t>的紧急或重要事项；承办市应急专题会议，督</w:t>
      </w:r>
      <w:r>
        <w:rPr>
          <w:spacing w:val="9"/>
        </w:rPr>
        <w:t>促落实市委、市政府有关决定事项和领导的批</w:t>
      </w:r>
      <w:r>
        <w:rPr>
          <w:spacing w:val="7"/>
        </w:rPr>
        <w:t>示、指示精神；指导全市生产安全事故应急信</w:t>
      </w:r>
      <w:r>
        <w:rPr>
          <w:spacing w:val="7"/>
        </w:rPr>
        <w:t>息平台建设；组织编制、修订市生产安全事故</w:t>
      </w:r>
      <w:r>
        <w:rPr>
          <w:spacing w:val="2"/>
        </w:rPr>
        <w:t>应急预案，指导应急预案体系建设；协调特别</w:t>
      </w:r>
      <w:r>
        <w:rPr>
          <w:spacing w:val="7"/>
        </w:rPr>
        <w:t>重大、重大、较大生产安全事故的预防预警、</w:t>
      </w:r>
      <w:r>
        <w:rPr>
          <w:spacing w:val="6"/>
        </w:rPr>
        <w:t>应急演练、应急处置、调查评估、信息发布、</w:t>
      </w:r>
      <w:r>
        <w:rPr>
          <w:spacing w:val="8"/>
        </w:rPr>
        <w:t>应急保障和宣传培训等工作。</w:t>
      </w:r>
    </w:p>
    <w:p>
      <w:pPr>
        <w:pStyle w:val="BodyText"/>
        <w:ind w:left="5" w:right="329" w:firstLine="419"/>
        <w:spacing w:before="4" w:line="373" w:lineRule="auto"/>
        <w:jc w:val="both"/>
        <w:rPr/>
      </w:pPr>
      <w:r>
        <w:rPr>
          <w:rFonts w:ascii="Times New Roman" w:hAnsi="Times New Roman" w:eastAsia="Times New Roman" w:cs="Times New Roman"/>
          <w:spacing w:val="8"/>
        </w:rPr>
        <w:t>2.3  </w:t>
      </w:r>
      <w:r>
        <w:rPr>
          <w:rFonts w:ascii="KaiTi" w:hAnsi="KaiTi" w:eastAsia="KaiTi" w:cs="KaiTi"/>
          <w:spacing w:val="8"/>
        </w:rPr>
        <w:t>应急处置工作组。</w:t>
      </w:r>
      <w:r>
        <w:rPr>
          <w:spacing w:val="8"/>
        </w:rPr>
        <w:t>根据不同生产安全</w:t>
      </w:r>
      <w:r>
        <w:rPr>
          <w:spacing w:val="7"/>
        </w:rPr>
        <w:t>事故处置环节的要求，市应急管理指挥部办公</w:t>
      </w:r>
      <w:r>
        <w:rPr>
          <w:spacing w:val="10"/>
        </w:rPr>
        <w:t>室下设</w:t>
      </w:r>
      <w:r>
        <w:rPr>
          <w:spacing w:val="-17"/>
        </w:rPr>
        <w:t xml:space="preserve"> </w:t>
      </w:r>
      <w:r>
        <w:rPr>
          <w:rFonts w:ascii="Times New Roman" w:hAnsi="Times New Roman" w:eastAsia="Times New Roman" w:cs="Times New Roman"/>
          <w:spacing w:val="10"/>
        </w:rPr>
        <w:t>10 </w:t>
      </w:r>
      <w:r>
        <w:rPr>
          <w:spacing w:val="10"/>
        </w:rPr>
        <w:t>个工作组，具体负责事故现场处置</w:t>
      </w:r>
      <w:r>
        <w:rPr>
          <w:spacing w:val="7"/>
        </w:rPr>
        <w:t>和相关工作。</w:t>
      </w:r>
    </w:p>
    <w:p>
      <w:pPr>
        <w:pStyle w:val="BodyText"/>
        <w:ind w:left="425"/>
        <w:spacing w:before="12" w:line="219" w:lineRule="auto"/>
        <w:rPr/>
      </w:pPr>
      <w:r>
        <w:rPr>
          <w:rFonts w:ascii="Times New Roman" w:hAnsi="Times New Roman" w:eastAsia="Times New Roman" w:cs="Times New Roman"/>
          <w:spacing w:val="5"/>
        </w:rPr>
        <w:t>2.3.1 </w:t>
      </w:r>
      <w:r>
        <w:rPr>
          <w:spacing w:val="5"/>
        </w:rPr>
        <w:t>抢险救援组。</w:t>
      </w:r>
    </w:p>
    <w:p>
      <w:pPr>
        <w:pStyle w:val="BodyText"/>
        <w:ind w:left="424"/>
        <w:spacing w:before="163" w:line="278" w:lineRule="exact"/>
        <w:rPr/>
      </w:pPr>
      <w:r>
        <w:rPr>
          <w:spacing w:val="9"/>
          <w:position w:val="1"/>
        </w:rPr>
        <w:t>组长单位：市自然资源局</w:t>
      </w:r>
    </w:p>
    <w:p>
      <w:pPr>
        <w:pStyle w:val="BodyText"/>
        <w:ind w:left="4" w:right="265" w:firstLine="420"/>
        <w:spacing w:before="127" w:line="373" w:lineRule="auto"/>
        <w:jc w:val="both"/>
        <w:rPr/>
      </w:pPr>
      <w:r>
        <w:rPr>
          <w:spacing w:val="6"/>
        </w:rPr>
        <w:t>成员单位：市消防救援支队、市应急管理</w:t>
      </w:r>
      <w:r>
        <w:rPr/>
        <w:t>局、生态环境局、自然资源局、水务局等部门，</w:t>
      </w:r>
      <w:r>
        <w:rPr>
          <w:spacing w:val="18"/>
        </w:rPr>
        <w:t>市应急管理指挥部根据应急救援工作需要确</w:t>
      </w:r>
      <w:r>
        <w:rPr>
          <w:spacing w:val="9"/>
        </w:rPr>
        <w:t>定的非政府职能部门以及事故企业。</w:t>
      </w:r>
    </w:p>
    <w:p>
      <w:pPr>
        <w:pStyle w:val="BodyText"/>
        <w:ind w:left="8" w:right="219" w:firstLine="424"/>
        <w:spacing w:before="8" w:line="360" w:lineRule="auto"/>
        <w:jc w:val="both"/>
        <w:rPr/>
      </w:pPr>
      <w:r>
        <w:rPr>
          <w:spacing w:val="6"/>
        </w:rPr>
        <w:t>主要职责：负责组织、指挥生产安全事故</w:t>
      </w:r>
      <w:r>
        <w:rPr>
          <w:spacing w:val="2"/>
        </w:rPr>
        <w:t>的抢险救援工作，组织调动消防、企业专（兼）</w:t>
      </w:r>
      <w:r>
        <w:rPr>
          <w:spacing w:val="8"/>
        </w:rPr>
        <w:t>职应急救援力量开展救援。</w:t>
      </w:r>
    </w:p>
    <w:p>
      <w:pPr>
        <w:pStyle w:val="BodyText"/>
        <w:ind w:left="425"/>
        <w:spacing w:before="53" w:line="221" w:lineRule="auto"/>
        <w:rPr/>
      </w:pPr>
      <w:r>
        <w:rPr>
          <w:rFonts w:ascii="Times New Roman" w:hAnsi="Times New Roman" w:eastAsia="Times New Roman" w:cs="Times New Roman"/>
          <w:spacing w:val="5"/>
        </w:rPr>
        <w:t>2.3.2 </w:t>
      </w:r>
      <w:r>
        <w:rPr>
          <w:spacing w:val="5"/>
        </w:rPr>
        <w:t>交通治安组。</w:t>
      </w:r>
    </w:p>
    <w:p>
      <w:pPr>
        <w:pStyle w:val="BodyText"/>
        <w:ind w:left="424"/>
        <w:spacing w:before="161" w:line="278" w:lineRule="exact"/>
        <w:rPr/>
      </w:pPr>
      <w:r>
        <w:rPr>
          <w:spacing w:val="9"/>
          <w:position w:val="1"/>
        </w:rPr>
        <w:t>组长单位：市公安局</w:t>
      </w:r>
    </w:p>
    <w:p>
      <w:pPr>
        <w:pStyle w:val="BodyText"/>
        <w:ind w:left="4" w:right="217" w:firstLine="420"/>
        <w:spacing w:before="129" w:line="323" w:lineRule="auto"/>
        <w:jc w:val="both"/>
        <w:rPr/>
      </w:pPr>
      <w:r>
        <w:rPr>
          <w:spacing w:val="-9"/>
        </w:rPr>
        <w:t>成员单位：市县（区）公安局、交警支（大）</w:t>
      </w:r>
      <w:r>
        <w:rPr>
          <w:spacing w:val="4"/>
        </w:rPr>
        <w:t>队、交通运输局和事故发生地县（</w:t>
      </w:r>
      <w:r>
        <w:rPr>
          <w:spacing w:val="-35"/>
        </w:rPr>
        <w:t xml:space="preserve"> </w:t>
      </w:r>
      <w:r>
        <w:rPr>
          <w:spacing w:val="4"/>
        </w:rPr>
        <w:t>区）政府及</w:t>
      </w:r>
      <w:r>
        <w:rPr>
          <w:spacing w:val="7"/>
        </w:rPr>
        <w:t>其相关部门。</w:t>
      </w:r>
    </w:p>
    <w:p>
      <w:pPr>
        <w:spacing w:line="14" w:lineRule="auto"/>
        <w:rPr>
          <w:rFonts w:ascii="Arial"/>
          <w:sz w:val="2"/>
        </w:rPr>
      </w:pPr>
      <w:r>
        <w:rPr>
          <w:rFonts w:ascii="Arial" w:hAnsi="Arial" w:eastAsia="Arial" w:cs="Arial"/>
          <w:sz w:val="2"/>
          <w:szCs w:val="2"/>
        </w:rPr>
        <w:br w:type="column"/>
      </w:r>
    </w:p>
    <w:p>
      <w:pPr>
        <w:pStyle w:val="BodyText"/>
        <w:ind w:left="1" w:right="110" w:firstLine="428"/>
        <w:spacing w:before="45" w:line="374" w:lineRule="auto"/>
        <w:jc w:val="both"/>
        <w:rPr/>
      </w:pPr>
      <w:r>
        <w:rPr>
          <w:spacing w:val="6"/>
        </w:rPr>
        <w:t>主要职责：负责保护事故现场，设立警界</w:t>
      </w:r>
      <w:r>
        <w:rPr>
          <w:spacing w:val="7"/>
        </w:rPr>
        <w:t>区域，维护现场秩序，防止事态扩大；负责危</w:t>
      </w:r>
      <w:r>
        <w:rPr>
          <w:spacing w:val="7"/>
        </w:rPr>
        <w:t>险区域内人员疏散和临时安置工作；指挥、调</w:t>
      </w:r>
      <w:r>
        <w:rPr>
          <w:spacing w:val="7"/>
        </w:rPr>
        <w:t>度撤出危害区的人员；及时疏散交通阻塞，使</w:t>
      </w:r>
      <w:r>
        <w:rPr>
          <w:spacing w:val="9"/>
        </w:rPr>
        <w:t>车辆顺利地通过通道；维护社会治安。</w:t>
      </w:r>
    </w:p>
    <w:p>
      <w:pPr>
        <w:pStyle w:val="BodyText"/>
        <w:ind w:left="421"/>
        <w:spacing w:before="5" w:line="223" w:lineRule="auto"/>
        <w:rPr/>
      </w:pPr>
      <w:r>
        <w:rPr>
          <w:rFonts w:ascii="Times New Roman" w:hAnsi="Times New Roman" w:eastAsia="Times New Roman" w:cs="Times New Roman"/>
          <w:spacing w:val="5"/>
        </w:rPr>
        <w:t>2.3.3 </w:t>
      </w:r>
      <w:r>
        <w:rPr>
          <w:spacing w:val="5"/>
        </w:rPr>
        <w:t>通信保障组。</w:t>
      </w:r>
    </w:p>
    <w:p>
      <w:pPr>
        <w:pStyle w:val="BodyText"/>
        <w:ind w:left="421"/>
        <w:spacing w:before="163" w:line="278" w:lineRule="exact"/>
        <w:rPr/>
      </w:pPr>
      <w:r>
        <w:rPr>
          <w:spacing w:val="9"/>
          <w:position w:val="1"/>
        </w:rPr>
        <w:t>组长单位：市工业和信息化局</w:t>
      </w:r>
    </w:p>
    <w:p>
      <w:pPr>
        <w:pStyle w:val="BodyText"/>
        <w:ind w:right="110" w:firstLine="421"/>
        <w:spacing w:before="129" w:line="355" w:lineRule="auto"/>
        <w:rPr/>
      </w:pPr>
      <w:r>
        <w:rPr>
          <w:spacing w:val="4"/>
        </w:rPr>
        <w:t>成员单位：市、县（</w:t>
      </w:r>
      <w:r>
        <w:rPr>
          <w:spacing w:val="-48"/>
        </w:rPr>
        <w:t xml:space="preserve"> </w:t>
      </w:r>
      <w:r>
        <w:rPr>
          <w:spacing w:val="4"/>
        </w:rPr>
        <w:t>区）工业和信息化局</w:t>
      </w:r>
      <w:r>
        <w:rPr>
          <w:spacing w:val="8"/>
        </w:rPr>
        <w:t>及相关通信部门。</w:t>
      </w:r>
    </w:p>
    <w:p>
      <w:pPr>
        <w:pStyle w:val="BodyText"/>
        <w:ind w:left="429"/>
        <w:spacing w:before="41" w:line="278" w:lineRule="exact"/>
        <w:rPr/>
      </w:pPr>
      <w:r>
        <w:rPr>
          <w:spacing w:val="8"/>
          <w:position w:val="1"/>
        </w:rPr>
        <w:t>主要职责：负责事故应急通信保障。</w:t>
      </w:r>
    </w:p>
    <w:p>
      <w:pPr>
        <w:pStyle w:val="BodyText"/>
        <w:ind w:left="421"/>
        <w:spacing w:before="132" w:line="220" w:lineRule="auto"/>
        <w:rPr/>
      </w:pPr>
      <w:r>
        <w:rPr>
          <w:rFonts w:ascii="Times New Roman" w:hAnsi="Times New Roman" w:eastAsia="Times New Roman" w:cs="Times New Roman"/>
          <w:spacing w:val="4"/>
        </w:rPr>
        <w:t>2.3.4</w:t>
      </w:r>
      <w:r>
        <w:rPr>
          <w:rFonts w:ascii="Times New Roman" w:hAnsi="Times New Roman" w:eastAsia="Times New Roman" w:cs="Times New Roman"/>
          <w:spacing w:val="19"/>
          <w:w w:val="101"/>
        </w:rPr>
        <w:t xml:space="preserve"> </w:t>
      </w:r>
      <w:r>
        <w:rPr>
          <w:spacing w:val="4"/>
        </w:rPr>
        <w:t>医疗救治组。</w:t>
      </w:r>
    </w:p>
    <w:p>
      <w:pPr>
        <w:pStyle w:val="BodyText"/>
        <w:ind w:left="421"/>
        <w:spacing w:before="163" w:line="277" w:lineRule="exact"/>
        <w:rPr/>
      </w:pPr>
      <w:r>
        <w:rPr>
          <w:spacing w:val="9"/>
          <w:position w:val="1"/>
        </w:rPr>
        <w:t>组长单位：市卫生健康委员会</w:t>
      </w:r>
    </w:p>
    <w:p>
      <w:pPr>
        <w:pStyle w:val="BodyText"/>
        <w:ind w:left="3" w:right="110" w:firstLine="418"/>
        <w:spacing w:before="131" w:line="373" w:lineRule="auto"/>
        <w:rPr/>
      </w:pPr>
      <w:r>
        <w:rPr>
          <w:spacing w:val="6"/>
        </w:rPr>
        <w:t>成员单位：市人民医院、中医医院、事故</w:t>
      </w:r>
      <w:r>
        <w:rPr>
          <w:spacing w:val="5"/>
        </w:rPr>
        <w:t>发生地县（</w:t>
      </w:r>
      <w:r>
        <w:rPr>
          <w:spacing w:val="-48"/>
        </w:rPr>
        <w:t xml:space="preserve"> </w:t>
      </w:r>
      <w:r>
        <w:rPr>
          <w:spacing w:val="5"/>
        </w:rPr>
        <w:t>区）医疗卫生机构。</w:t>
      </w:r>
    </w:p>
    <w:p>
      <w:pPr>
        <w:pStyle w:val="BodyText"/>
        <w:ind w:right="110" w:firstLine="428"/>
        <w:spacing w:before="1" w:line="375" w:lineRule="auto"/>
        <w:jc w:val="both"/>
        <w:rPr/>
      </w:pPr>
      <w:r>
        <w:rPr>
          <w:spacing w:val="6"/>
        </w:rPr>
        <w:t>主要职责：负责组织、调配、指挥医疗救</w:t>
      </w:r>
      <w:r>
        <w:rPr>
          <w:spacing w:val="7"/>
        </w:rPr>
        <w:t>护力量、资源，开展医疗救援工作。负责组织</w:t>
      </w:r>
      <w:r>
        <w:rPr>
          <w:spacing w:val="7"/>
        </w:rPr>
        <w:t>救治受伤人员，设立现场医疗急救站，对受伤</w:t>
      </w:r>
      <w:r>
        <w:rPr>
          <w:spacing w:val="7"/>
        </w:rPr>
        <w:t>和中毒人员进行现场分类和急救处理，并及时</w:t>
      </w:r>
      <w:r>
        <w:rPr>
          <w:spacing w:val="8"/>
        </w:rPr>
        <w:t>合理转送有关医院进行救治。</w:t>
      </w:r>
    </w:p>
    <w:p>
      <w:pPr>
        <w:pStyle w:val="BodyText"/>
        <w:ind w:left="421"/>
        <w:spacing w:before="5" w:line="223" w:lineRule="auto"/>
        <w:rPr/>
      </w:pPr>
      <w:r>
        <w:rPr>
          <w:rFonts w:ascii="Times New Roman" w:hAnsi="Times New Roman" w:eastAsia="Times New Roman" w:cs="Times New Roman"/>
          <w:spacing w:val="5"/>
        </w:rPr>
        <w:t>2.3.5 </w:t>
      </w:r>
      <w:r>
        <w:rPr>
          <w:spacing w:val="5"/>
        </w:rPr>
        <w:t>应急专家组。</w:t>
      </w:r>
    </w:p>
    <w:p>
      <w:pPr>
        <w:pStyle w:val="BodyText"/>
        <w:ind w:left="421"/>
        <w:spacing w:before="160" w:line="278" w:lineRule="exact"/>
        <w:rPr/>
      </w:pPr>
      <w:r>
        <w:rPr>
          <w:spacing w:val="9"/>
          <w:position w:val="1"/>
        </w:rPr>
        <w:t>组长单位：市应急管理局</w:t>
      </w:r>
    </w:p>
    <w:p>
      <w:pPr>
        <w:pStyle w:val="BodyText"/>
        <w:ind w:left="421"/>
        <w:spacing w:before="128" w:line="277" w:lineRule="exact"/>
        <w:rPr/>
      </w:pPr>
      <w:r>
        <w:rPr>
          <w:spacing w:val="9"/>
          <w:position w:val="1"/>
        </w:rPr>
        <w:t>成员单位：市应急专家组</w:t>
      </w:r>
    </w:p>
    <w:p>
      <w:pPr>
        <w:pStyle w:val="BodyText"/>
        <w:ind w:left="2" w:right="110" w:firstLine="427"/>
        <w:spacing w:before="127" w:line="375" w:lineRule="auto"/>
        <w:jc w:val="both"/>
        <w:rPr/>
      </w:pPr>
      <w:r>
        <w:rPr>
          <w:spacing w:val="6"/>
        </w:rPr>
        <w:t>主要职责：市应急管理局负责组建生产安</w:t>
      </w:r>
      <w:r>
        <w:rPr>
          <w:spacing w:val="7"/>
        </w:rPr>
        <w:t>全事故应急救援专家队伍，建立健全专家决策</w:t>
      </w:r>
      <w:r>
        <w:rPr>
          <w:spacing w:val="7"/>
        </w:rPr>
        <w:t>咨询制度，为专家组开展工作提供必要的保障</w:t>
      </w:r>
      <w:r>
        <w:rPr>
          <w:spacing w:val="7"/>
        </w:rPr>
        <w:t>和服务。专家队伍在市应急指挥部领导下负责</w:t>
      </w:r>
      <w:r>
        <w:rPr>
          <w:spacing w:val="-3"/>
        </w:rPr>
        <w:t>生产安全事故应急救援指导，辅助决策和指挥。</w:t>
      </w:r>
    </w:p>
    <w:p>
      <w:pPr>
        <w:pStyle w:val="BodyText"/>
        <w:ind w:left="421"/>
        <w:spacing w:before="3" w:line="222" w:lineRule="auto"/>
        <w:rPr/>
      </w:pPr>
      <w:r>
        <w:rPr>
          <w:rFonts w:ascii="Times New Roman" w:hAnsi="Times New Roman" w:eastAsia="Times New Roman" w:cs="Times New Roman"/>
          <w:spacing w:val="5"/>
        </w:rPr>
        <w:t>2.3.6 </w:t>
      </w:r>
      <w:r>
        <w:rPr>
          <w:spacing w:val="5"/>
        </w:rPr>
        <w:t>资金保障组。</w:t>
      </w:r>
    </w:p>
    <w:p>
      <w:pPr>
        <w:pStyle w:val="BodyText"/>
        <w:ind w:left="2" w:firstLine="419"/>
        <w:spacing w:before="163" w:line="354" w:lineRule="auto"/>
        <w:rPr/>
      </w:pPr>
      <w:r>
        <w:rPr>
          <w:spacing w:val="-1"/>
        </w:rPr>
        <w:t>组长单位：市财政局、事故发生地县（</w:t>
      </w:r>
      <w:r>
        <w:rPr>
          <w:spacing w:val="-47"/>
        </w:rPr>
        <w:t xml:space="preserve"> </w:t>
      </w:r>
      <w:r>
        <w:rPr>
          <w:spacing w:val="-1"/>
        </w:rPr>
        <w:t>区）</w:t>
      </w:r>
      <w:r>
        <w:rPr>
          <w:spacing w:val="6"/>
        </w:rPr>
        <w:t>政府</w:t>
      </w:r>
    </w:p>
    <w:p>
      <w:pPr>
        <w:pStyle w:val="BodyText"/>
        <w:ind w:left="421"/>
        <w:spacing w:before="46" w:line="278" w:lineRule="exact"/>
        <w:rPr/>
      </w:pPr>
      <w:r>
        <w:rPr>
          <w:spacing w:val="5"/>
          <w:position w:val="1"/>
        </w:rPr>
        <w:t>成员单位：市县（</w:t>
      </w:r>
      <w:r>
        <w:rPr>
          <w:spacing w:val="-42"/>
          <w:position w:val="1"/>
        </w:rPr>
        <w:t xml:space="preserve"> </w:t>
      </w:r>
      <w:r>
        <w:rPr>
          <w:spacing w:val="5"/>
          <w:position w:val="1"/>
        </w:rPr>
        <w:t>区）财政局</w:t>
      </w:r>
    </w:p>
    <w:p>
      <w:pPr>
        <w:pStyle w:val="BodyText"/>
        <w:ind w:left="429"/>
        <w:spacing w:before="126" w:line="221" w:lineRule="auto"/>
        <w:rPr/>
      </w:pPr>
      <w:r>
        <w:rPr>
          <w:spacing w:val="6"/>
        </w:rPr>
        <w:t>主要职责：负责协调、保障事故应急救援</w:t>
      </w:r>
    </w:p>
    <w:p>
      <w:pPr>
        <w:spacing w:line="221" w:lineRule="auto"/>
        <w:sectPr>
          <w:type w:val="continuous"/>
          <w:pgSz w:w="11906" w:h="16839"/>
          <w:pgMar w:top="1772" w:right="1480" w:bottom="1547" w:left="1588" w:header="1428" w:footer="1172" w:gutter="0"/>
          <w:cols w:equalWidth="0" w:num="2">
            <w:col w:w="4481" w:space="100"/>
            <w:col w:w="4258" w:space="0"/>
          </w:cols>
        </w:sectPr>
        <w:rPr/>
      </w:pPr>
    </w:p>
    <w:p>
      <w:pPr>
        <w:spacing w:before="81"/>
        <w:rPr/>
      </w:pPr>
      <w:r>
        <w:drawing>
          <wp:anchor distT="0" distB="0" distL="0" distR="0" simplePos="0" relativeHeight="25225728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400" name="IM 1400"/>
            <wp:cNvGraphicFramePr/>
            <a:graphic>
              <a:graphicData uri="http://schemas.openxmlformats.org/drawingml/2006/picture">
                <pic:pic>
                  <pic:nvPicPr>
                    <pic:cNvPr id="1400" name="IM 1400"/>
                    <pic:cNvPicPr/>
                  </pic:nvPicPr>
                  <pic:blipFill>
                    <a:blip r:embed="rId702"/>
                    <a:stretch>
                      <a:fillRect/>
                    </a:stretch>
                  </pic:blipFill>
                  <pic:spPr>
                    <a:xfrm rot="0">
                      <a:off x="0" y="0"/>
                      <a:ext cx="5579745" cy="7620"/>
                    </a:xfrm>
                    <a:prstGeom prst="rect">
                      <a:avLst/>
                    </a:prstGeom>
                  </pic:spPr>
                </pic:pic>
              </a:graphicData>
            </a:graphic>
          </wp:anchor>
        </w:drawing>
      </w:r>
      <w:r/>
    </w:p>
    <w:p>
      <w:pPr>
        <w:sectPr>
          <w:headerReference w:type="default" r:id="rId668"/>
          <w:footerReference w:type="default" r:id="rId701"/>
          <w:pgSz w:w="11906" w:h="16839"/>
          <w:pgMar w:top="1766" w:right="1509" w:bottom="1563" w:left="1576" w:header="1428" w:footer="1172" w:gutter="0"/>
          <w:cols w:equalWidth="0" w:num="1">
            <w:col w:w="8821" w:space="0"/>
          </w:cols>
        </w:sectPr>
        <w:rPr/>
      </w:pPr>
    </w:p>
    <w:p>
      <w:pPr>
        <w:pStyle w:val="BodyText"/>
        <w:ind w:left="17"/>
        <w:spacing w:before="40" w:line="221" w:lineRule="auto"/>
        <w:rPr/>
      </w:pPr>
      <w:r>
        <w:rPr>
          <w:spacing w:val="7"/>
        </w:rPr>
        <w:t>工作所需资金。</w:t>
      </w:r>
    </w:p>
    <w:p>
      <w:pPr>
        <w:pStyle w:val="BodyText"/>
        <w:ind w:left="437"/>
        <w:spacing w:before="167" w:line="218" w:lineRule="auto"/>
        <w:rPr/>
      </w:pPr>
      <w:r>
        <w:rPr>
          <w:rFonts w:ascii="Times New Roman" w:hAnsi="Times New Roman" w:eastAsia="Times New Roman" w:cs="Times New Roman"/>
          <w:spacing w:val="5"/>
        </w:rPr>
        <w:t>2.3.7 </w:t>
      </w:r>
      <w:r>
        <w:rPr>
          <w:spacing w:val="5"/>
        </w:rPr>
        <w:t>环境监测组。</w:t>
      </w:r>
    </w:p>
    <w:p>
      <w:pPr>
        <w:pStyle w:val="BodyText"/>
        <w:ind w:left="436"/>
        <w:spacing w:before="161" w:line="278" w:lineRule="exact"/>
        <w:rPr/>
      </w:pPr>
      <w:r>
        <w:rPr>
          <w:spacing w:val="9"/>
          <w:position w:val="1"/>
        </w:rPr>
        <w:t>组长单位：市生态环境局</w:t>
      </w:r>
    </w:p>
    <w:p>
      <w:pPr>
        <w:pStyle w:val="BodyText"/>
        <w:ind w:left="412"/>
        <w:spacing w:before="125" w:line="278" w:lineRule="exact"/>
        <w:rPr/>
      </w:pPr>
      <w:r>
        <w:rPr>
          <w:spacing w:val="-16"/>
          <w:position w:val="1"/>
        </w:rPr>
        <w:t>成员单位：市、县（区）生态环境局（分局</w:t>
      </w:r>
      <w:r>
        <w:rPr>
          <w:spacing w:val="-17"/>
          <w:position w:val="1"/>
        </w:rPr>
        <w:t>）。</w:t>
      </w:r>
    </w:p>
    <w:p>
      <w:pPr>
        <w:pStyle w:val="BodyText"/>
        <w:ind w:left="15" w:right="322" w:firstLine="429"/>
        <w:spacing w:before="129" w:line="353" w:lineRule="auto"/>
        <w:rPr/>
      </w:pPr>
      <w:r>
        <w:rPr>
          <w:spacing w:val="6"/>
        </w:rPr>
        <w:t>主要职责：负责事故区域气象分析预报以</w:t>
      </w:r>
      <w:r>
        <w:rPr>
          <w:spacing w:val="9"/>
        </w:rPr>
        <w:t>及环境监测、环境污染处置工作。</w:t>
      </w:r>
    </w:p>
    <w:p>
      <w:pPr>
        <w:pStyle w:val="BodyText"/>
        <w:ind w:left="437"/>
        <w:spacing w:before="46" w:line="220" w:lineRule="auto"/>
        <w:rPr/>
      </w:pPr>
      <w:r>
        <w:rPr>
          <w:rFonts w:ascii="Times New Roman" w:hAnsi="Times New Roman" w:eastAsia="Times New Roman" w:cs="Times New Roman"/>
          <w:spacing w:val="5"/>
        </w:rPr>
        <w:t>2.3.8 </w:t>
      </w:r>
      <w:r>
        <w:rPr>
          <w:spacing w:val="5"/>
        </w:rPr>
        <w:t>事故调查组。</w:t>
      </w:r>
    </w:p>
    <w:p>
      <w:pPr>
        <w:pStyle w:val="BodyText"/>
        <w:ind w:left="436"/>
        <w:spacing w:before="162" w:line="278" w:lineRule="exact"/>
        <w:rPr/>
      </w:pPr>
      <w:r>
        <w:rPr>
          <w:spacing w:val="9"/>
          <w:position w:val="1"/>
        </w:rPr>
        <w:t>组长单位：市应急管理局</w:t>
      </w:r>
    </w:p>
    <w:p>
      <w:pPr>
        <w:pStyle w:val="BodyText"/>
        <w:ind w:left="15" w:right="299" w:firstLine="421"/>
        <w:spacing w:before="125" w:line="373" w:lineRule="auto"/>
        <w:jc w:val="both"/>
        <w:rPr/>
      </w:pPr>
      <w:r>
        <w:rPr>
          <w:spacing w:val="8"/>
        </w:rPr>
        <w:t>成员单位：市县区应急管理局、公安局、</w:t>
      </w:r>
      <w:r>
        <w:rPr>
          <w:spacing w:val="10"/>
        </w:rPr>
        <w:t>监委及其依据国务院</w:t>
      </w:r>
      <w:r>
        <w:rPr>
          <w:rFonts w:ascii="Times New Roman" w:hAnsi="Times New Roman" w:eastAsia="Times New Roman" w:cs="Times New Roman"/>
          <w:spacing w:val="10"/>
        </w:rPr>
        <w:t>493</w:t>
      </w:r>
      <w:r>
        <w:rPr>
          <w:rFonts w:ascii="Times New Roman" w:hAnsi="Times New Roman" w:eastAsia="Times New Roman" w:cs="Times New Roman"/>
          <w:spacing w:val="-14"/>
        </w:rPr>
        <w:t xml:space="preserve"> </w:t>
      </w:r>
      <w:r>
        <w:rPr>
          <w:spacing w:val="10"/>
        </w:rPr>
        <w:t>号令规定参与事故调</w:t>
      </w:r>
      <w:r>
        <w:rPr>
          <w:spacing w:val="8"/>
        </w:rPr>
        <w:t>查处理的其他相关部门（单位）。</w:t>
      </w:r>
    </w:p>
    <w:p>
      <w:pPr>
        <w:pStyle w:val="BodyText"/>
        <w:ind w:left="15" w:right="322" w:firstLine="429"/>
        <w:spacing w:before="6" w:line="372" w:lineRule="auto"/>
        <w:jc w:val="both"/>
        <w:rPr/>
      </w:pPr>
      <w:r>
        <w:rPr>
          <w:spacing w:val="6"/>
        </w:rPr>
        <w:t>主要职责：会同有关部门、派驻单位、企</w:t>
      </w:r>
      <w:r>
        <w:rPr>
          <w:spacing w:val="7"/>
        </w:rPr>
        <w:t>业对事故发生的经过、原因进行调查，及时查</w:t>
      </w:r>
      <w:r>
        <w:rPr>
          <w:spacing w:val="7"/>
        </w:rPr>
        <w:t>清在生产安全事故处置过程中，擅离职守或失</w:t>
      </w:r>
      <w:r>
        <w:rPr>
          <w:spacing w:val="7"/>
        </w:rPr>
        <w:t>职、渎职等情况，向市应急指挥部提交责任事</w:t>
      </w:r>
      <w:r>
        <w:rPr>
          <w:spacing w:val="7"/>
        </w:rPr>
        <w:t>故调查报告，为依法追究相关人员的责任提供</w:t>
      </w:r>
      <w:r>
        <w:rPr>
          <w:spacing w:val="5"/>
        </w:rPr>
        <w:t>依据。</w:t>
      </w:r>
    </w:p>
    <w:p>
      <w:pPr>
        <w:pStyle w:val="BodyText"/>
        <w:ind w:left="437"/>
        <w:spacing w:before="3" w:line="222" w:lineRule="auto"/>
        <w:rPr/>
      </w:pPr>
      <w:r>
        <w:rPr>
          <w:rFonts w:ascii="Times New Roman" w:hAnsi="Times New Roman" w:eastAsia="Times New Roman" w:cs="Times New Roman"/>
          <w:spacing w:val="5"/>
        </w:rPr>
        <w:t>2.3.9 </w:t>
      </w:r>
      <w:r>
        <w:rPr>
          <w:spacing w:val="5"/>
        </w:rPr>
        <w:t>新闻宣传组。</w:t>
      </w:r>
    </w:p>
    <w:p>
      <w:pPr>
        <w:pStyle w:val="BodyText"/>
        <w:ind w:left="16" w:right="322" w:firstLine="420"/>
        <w:spacing w:before="159" w:line="355" w:lineRule="auto"/>
        <w:rPr/>
      </w:pPr>
      <w:r>
        <w:rPr>
          <w:spacing w:val="6"/>
        </w:rPr>
        <w:t>组长单位：由市应急管理指挥部根据工作</w:t>
      </w:r>
      <w:r>
        <w:rPr>
          <w:spacing w:val="8"/>
        </w:rPr>
        <w:t>需要确定</w:t>
      </w:r>
    </w:p>
    <w:p>
      <w:pPr>
        <w:pStyle w:val="BodyText"/>
        <w:ind w:left="37" w:right="241" w:firstLine="399"/>
        <w:spacing w:before="41" w:line="352" w:lineRule="auto"/>
        <w:rPr/>
      </w:pPr>
      <w:r>
        <w:rPr>
          <w:spacing w:val="10"/>
        </w:rPr>
        <w:t>成员单位：市应急管理局、固原电视台、</w:t>
      </w:r>
      <w:r>
        <w:rPr>
          <w:spacing w:val="-9"/>
        </w:rPr>
        <w:t>固原日报社、广播电视台和网络等相关媒体单位。</w:t>
      </w:r>
    </w:p>
    <w:p>
      <w:pPr>
        <w:pStyle w:val="BodyText"/>
        <w:ind w:left="16" w:right="322" w:firstLine="428"/>
        <w:spacing w:before="45" w:line="372" w:lineRule="auto"/>
        <w:rPr/>
      </w:pPr>
      <w:r>
        <w:rPr>
          <w:spacing w:val="6"/>
        </w:rPr>
        <w:t>主要职责：跟踪事故发展动态，及时收集</w:t>
      </w:r>
      <w:r>
        <w:rPr>
          <w:spacing w:val="7"/>
        </w:rPr>
        <w:t>消防、生态环境、公安、卫生医疗等部门的救</w:t>
      </w:r>
      <w:r>
        <w:rPr>
          <w:spacing w:val="7"/>
        </w:rPr>
        <w:t>援工作情况，组织召开新闻发布会，正确引导</w:t>
      </w:r>
      <w:r>
        <w:rPr>
          <w:spacing w:val="7"/>
        </w:rPr>
        <w:t>社会舆论；做好前来报道、采访的新闻媒体单</w:t>
      </w:r>
      <w:r>
        <w:rPr>
          <w:spacing w:val="8"/>
        </w:rPr>
        <w:t>位人员的接待安排工作。</w:t>
      </w:r>
    </w:p>
    <w:p>
      <w:pPr>
        <w:pStyle w:val="BodyText"/>
        <w:ind w:left="437"/>
        <w:spacing w:before="8" w:line="221" w:lineRule="auto"/>
        <w:rPr/>
      </w:pPr>
      <w:r>
        <w:rPr>
          <w:rFonts w:ascii="Times New Roman" w:hAnsi="Times New Roman" w:eastAsia="Times New Roman" w:cs="Times New Roman"/>
          <w:spacing w:val="3"/>
        </w:rPr>
        <w:t>2.3.</w:t>
      </w:r>
      <w:r>
        <w:rPr>
          <w:rFonts w:ascii="Times New Roman" w:hAnsi="Times New Roman" w:eastAsia="Times New Roman" w:cs="Times New Roman"/>
          <w:spacing w:val="-20"/>
        </w:rPr>
        <w:t xml:space="preserve"> </w:t>
      </w:r>
      <w:r>
        <w:rPr>
          <w:rFonts w:ascii="Times New Roman" w:hAnsi="Times New Roman" w:eastAsia="Times New Roman" w:cs="Times New Roman"/>
          <w:spacing w:val="3"/>
        </w:rPr>
        <w:t>10 </w:t>
      </w:r>
      <w:r>
        <w:rPr>
          <w:spacing w:val="3"/>
        </w:rPr>
        <w:t>善后处理组。</w:t>
      </w:r>
    </w:p>
    <w:p>
      <w:pPr>
        <w:pStyle w:val="BodyText"/>
        <w:ind w:left="436"/>
        <w:spacing w:before="162" w:line="277" w:lineRule="exact"/>
        <w:rPr/>
      </w:pPr>
      <w:r>
        <w:rPr>
          <w:spacing w:val="5"/>
          <w:position w:val="1"/>
        </w:rPr>
        <w:t>组长单位：事发地县（</w:t>
      </w:r>
      <w:r>
        <w:rPr>
          <w:spacing w:val="-38"/>
          <w:position w:val="1"/>
        </w:rPr>
        <w:t xml:space="preserve"> </w:t>
      </w:r>
      <w:r>
        <w:rPr>
          <w:spacing w:val="5"/>
          <w:position w:val="1"/>
        </w:rPr>
        <w:t>区）政府</w:t>
      </w:r>
    </w:p>
    <w:p>
      <w:pPr>
        <w:pStyle w:val="BodyText"/>
        <w:ind w:left="18" w:right="322" w:firstLine="426"/>
        <w:spacing w:before="127" w:line="352" w:lineRule="auto"/>
        <w:rPr/>
      </w:pPr>
      <w:r>
        <w:rPr>
          <w:spacing w:val="6"/>
        </w:rPr>
        <w:t>主要职责：负责事发地受灾人员的善后处</w:t>
      </w:r>
      <w:r>
        <w:rPr>
          <w:spacing w:val="8"/>
        </w:rPr>
        <w:t>理和灾后重建工作。</w:t>
      </w:r>
    </w:p>
    <w:p>
      <w:pPr>
        <w:pStyle w:val="BodyText"/>
        <w:ind w:left="436"/>
        <w:spacing w:before="49" w:line="218" w:lineRule="auto"/>
        <w:rPr/>
      </w:pPr>
      <w:r>
        <w:rPr>
          <w:spacing w:val="6"/>
        </w:rPr>
        <w:t>各应急救援工作组应根据工作职责，在市</w:t>
      </w:r>
    </w:p>
    <w:p>
      <w:pPr>
        <w:spacing w:line="14" w:lineRule="auto"/>
        <w:rPr>
          <w:rFonts w:ascii="Arial"/>
          <w:sz w:val="2"/>
        </w:rPr>
      </w:pPr>
      <w:r>
        <w:rPr>
          <w:rFonts w:ascii="Arial" w:hAnsi="Arial" w:eastAsia="Arial" w:cs="Arial"/>
          <w:sz w:val="2"/>
          <w:szCs w:val="2"/>
        </w:rPr>
        <w:br w:type="column"/>
      </w:r>
    </w:p>
    <w:p>
      <w:pPr>
        <w:pStyle w:val="BodyText"/>
        <w:ind w:left="6" w:right="80"/>
        <w:spacing w:before="40" w:line="372" w:lineRule="auto"/>
        <w:jc w:val="both"/>
        <w:rPr/>
      </w:pPr>
      <w:r>
        <w:rPr>
          <w:spacing w:val="7"/>
        </w:rPr>
        <w:t>应急管理指挥部的统一领导下，主动做好相关</w:t>
      </w:r>
      <w:r>
        <w:rPr>
          <w:spacing w:val="7"/>
        </w:rPr>
        <w:t>工作，并根据事件发展趋势，及时调整应急措</w:t>
      </w:r>
      <w:r>
        <w:rPr>
          <w:spacing w:val="7"/>
        </w:rPr>
        <w:t>施和方案，加大应急处置力度，不断提高应急</w:t>
      </w:r>
      <w:r>
        <w:rPr>
          <w:spacing w:val="8"/>
        </w:rPr>
        <w:t>处置工作的针对性和时效性。</w:t>
      </w:r>
    </w:p>
    <w:p>
      <w:pPr>
        <w:ind w:left="427"/>
        <w:spacing w:line="263" w:lineRule="exact"/>
        <w:rPr>
          <w:rFonts w:ascii="KaiTi" w:hAnsi="KaiTi" w:eastAsia="KaiTi" w:cs="KaiTi"/>
          <w:sz w:val="20"/>
          <w:szCs w:val="20"/>
        </w:rPr>
      </w:pPr>
      <w:r>
        <w:rPr>
          <w:rFonts w:ascii="Times New Roman" w:hAnsi="Times New Roman" w:eastAsia="Times New Roman" w:cs="Times New Roman"/>
          <w:sz w:val="20"/>
          <w:szCs w:val="20"/>
          <w:b/>
          <w:bCs/>
          <w:spacing w:val="3"/>
          <w:position w:val="1"/>
        </w:rPr>
        <w:t>3</w:t>
      </w:r>
      <w:r>
        <w:rPr>
          <w:rFonts w:ascii="Times New Roman" w:hAnsi="Times New Roman" w:eastAsia="Times New Roman" w:cs="Times New Roman"/>
          <w:sz w:val="20"/>
          <w:szCs w:val="20"/>
          <w:b/>
          <w:bCs/>
          <w:spacing w:val="7"/>
          <w:position w:val="1"/>
        </w:rPr>
        <w:t xml:space="preserve">    </w:t>
      </w:r>
      <w:r>
        <w:rPr>
          <w:rFonts w:ascii="KaiTi" w:hAnsi="KaiTi" w:eastAsia="KaiTi" w:cs="KaiTi"/>
          <w:sz w:val="20"/>
          <w:szCs w:val="20"/>
          <w:b/>
          <w:bCs/>
          <w:spacing w:val="3"/>
          <w:position w:val="1"/>
        </w:rPr>
        <w:t>处置程序</w:t>
      </w:r>
    </w:p>
    <w:p>
      <w:pPr>
        <w:ind w:left="433"/>
        <w:spacing w:before="139" w:line="268" w:lineRule="exact"/>
        <w:rPr>
          <w:rFonts w:ascii="KaiTi" w:hAnsi="KaiTi" w:eastAsia="KaiTi" w:cs="KaiTi"/>
          <w:sz w:val="20"/>
          <w:szCs w:val="20"/>
        </w:rPr>
      </w:pPr>
      <w:r>
        <w:rPr>
          <w:rFonts w:ascii="Times New Roman" w:hAnsi="Times New Roman" w:eastAsia="Times New Roman" w:cs="Times New Roman"/>
          <w:sz w:val="20"/>
          <w:szCs w:val="20"/>
          <w:spacing w:val="2"/>
          <w:position w:val="1"/>
        </w:rPr>
        <w:t>3.</w:t>
      </w:r>
      <w:r>
        <w:rPr>
          <w:rFonts w:ascii="Times New Roman" w:hAnsi="Times New Roman" w:eastAsia="Times New Roman" w:cs="Times New Roman"/>
          <w:sz w:val="20"/>
          <w:szCs w:val="20"/>
          <w:spacing w:val="-25"/>
          <w:position w:val="1"/>
        </w:rPr>
        <w:t xml:space="preserve"> </w:t>
      </w:r>
      <w:r>
        <w:rPr>
          <w:rFonts w:ascii="Times New Roman" w:hAnsi="Times New Roman" w:eastAsia="Times New Roman" w:cs="Times New Roman"/>
          <w:sz w:val="20"/>
          <w:szCs w:val="20"/>
          <w:spacing w:val="2"/>
          <w:position w:val="1"/>
        </w:rPr>
        <w:t>1  </w:t>
      </w:r>
      <w:r>
        <w:rPr>
          <w:rFonts w:ascii="KaiTi" w:hAnsi="KaiTi" w:eastAsia="KaiTi" w:cs="KaiTi"/>
          <w:sz w:val="20"/>
          <w:szCs w:val="20"/>
          <w:spacing w:val="2"/>
          <w:position w:val="1"/>
        </w:rPr>
        <w:t>信息报告。</w:t>
      </w:r>
    </w:p>
    <w:p>
      <w:pPr>
        <w:pStyle w:val="BodyText"/>
        <w:ind w:left="7" w:right="78" w:firstLine="421"/>
        <w:spacing w:before="146" w:line="371" w:lineRule="auto"/>
        <w:rPr/>
      </w:pPr>
      <w:r>
        <w:rPr>
          <w:spacing w:val="6"/>
        </w:rPr>
        <w:t>事故发生后，事故现场人员应立即向非煤</w:t>
      </w:r>
      <w:r>
        <w:rPr>
          <w:spacing w:val="7"/>
        </w:rPr>
        <w:t>矿山负责人报告；非煤矿山负责人到现场核实</w:t>
      </w:r>
      <w:r>
        <w:rPr>
          <w:spacing w:val="7"/>
        </w:rPr>
        <w:t>基本情况，向市应急管理指挥部报告。发生较</w:t>
      </w:r>
      <w:r>
        <w:rPr>
          <w:spacing w:val="7"/>
        </w:rPr>
        <w:t>大及以上非煤矿山生产安全事故，相关人员必</w:t>
      </w:r>
      <w:r>
        <w:rPr>
          <w:spacing w:val="11"/>
        </w:rPr>
        <w:t>须在</w:t>
      </w:r>
      <w:r>
        <w:rPr>
          <w:spacing w:val="-34"/>
        </w:rPr>
        <w:t xml:space="preserve"> </w:t>
      </w:r>
      <w:r>
        <w:rPr>
          <w:rFonts w:ascii="Times New Roman" w:hAnsi="Times New Roman" w:eastAsia="Times New Roman" w:cs="Times New Roman"/>
          <w:spacing w:val="11"/>
        </w:rPr>
        <w:t>30 </w:t>
      </w:r>
      <w:r>
        <w:rPr>
          <w:spacing w:val="11"/>
        </w:rPr>
        <w:t>分钟内通过电话向市应急管理指挥部</w:t>
      </w:r>
      <w:r>
        <w:rPr>
          <w:spacing w:val="5"/>
        </w:rPr>
        <w:t>报告简要情况；在事发后</w:t>
      </w:r>
      <w:r>
        <w:rPr>
          <w:spacing w:val="-8"/>
        </w:rPr>
        <w:t xml:space="preserve"> </w:t>
      </w:r>
      <w:r>
        <w:rPr>
          <w:rFonts w:ascii="Times New Roman" w:hAnsi="Times New Roman" w:eastAsia="Times New Roman" w:cs="Times New Roman"/>
          <w:spacing w:val="5"/>
        </w:rPr>
        <w:t>1 </w:t>
      </w:r>
      <w:r>
        <w:rPr>
          <w:spacing w:val="5"/>
        </w:rPr>
        <w:t>小时内将事故详细</w:t>
      </w:r>
      <w:r>
        <w:rPr>
          <w:spacing w:val="10"/>
        </w:rPr>
        <w:t>信息书面报告市应急管理指挥部报告。</w:t>
      </w:r>
      <w:r>
        <w:rPr>
          <w:rFonts w:ascii="Times New Roman" w:hAnsi="Times New Roman" w:eastAsia="Times New Roman" w:cs="Times New Roman"/>
          <w:spacing w:val="10"/>
        </w:rPr>
        <w:t>110</w:t>
      </w:r>
      <w:r>
        <w:rPr>
          <w:rFonts w:ascii="Times New Roman" w:hAnsi="Times New Roman" w:eastAsia="Times New Roman" w:cs="Times New Roman"/>
          <w:spacing w:val="-13"/>
        </w:rPr>
        <w:t xml:space="preserve"> </w:t>
      </w:r>
      <w:r>
        <w:rPr>
          <w:spacing w:val="10"/>
        </w:rPr>
        <w:t>、</w:t>
      </w:r>
      <w:r>
        <w:rPr/>
        <w:t xml:space="preserve"> </w:t>
      </w:r>
      <w:r>
        <w:rPr>
          <w:rFonts w:ascii="Times New Roman" w:hAnsi="Times New Roman" w:eastAsia="Times New Roman" w:cs="Times New Roman"/>
          <w:spacing w:val="9"/>
        </w:rPr>
        <w:t>120 </w:t>
      </w:r>
      <w:r>
        <w:rPr>
          <w:spacing w:val="9"/>
        </w:rPr>
        <w:t>接警后可采用电话、传真、书面等</w:t>
      </w:r>
      <w:r>
        <w:rPr>
          <w:spacing w:val="8"/>
        </w:rPr>
        <w:t>方式向</w:t>
      </w:r>
      <w:r>
        <w:rPr>
          <w:spacing w:val="7"/>
        </w:rPr>
        <w:t>市应急管理指挥部及时报告事故情况。市应急</w:t>
      </w:r>
      <w:r>
        <w:rPr/>
        <w:t>管</w:t>
      </w:r>
      <w:r>
        <w:rPr>
          <w:spacing w:val="-46"/>
        </w:rPr>
        <w:t xml:space="preserve"> </w:t>
      </w:r>
      <w:r>
        <w:rPr/>
        <w:t>理</w:t>
      </w:r>
      <w:r>
        <w:rPr>
          <w:spacing w:val="-48"/>
        </w:rPr>
        <w:t xml:space="preserve"> </w:t>
      </w:r>
      <w:r>
        <w:rPr/>
        <w:t>指</w:t>
      </w:r>
      <w:r>
        <w:rPr>
          <w:spacing w:val="-48"/>
        </w:rPr>
        <w:t xml:space="preserve"> </w:t>
      </w:r>
      <w:r>
        <w:rPr/>
        <w:t>挥</w:t>
      </w:r>
      <w:r>
        <w:rPr>
          <w:spacing w:val="-50"/>
        </w:rPr>
        <w:t xml:space="preserve"> </w:t>
      </w:r>
      <w:r>
        <w:rPr/>
        <w:t>部</w:t>
      </w:r>
      <w:r>
        <w:rPr>
          <w:spacing w:val="-45"/>
        </w:rPr>
        <w:t xml:space="preserve"> </w:t>
      </w:r>
      <w:r>
        <w:rPr/>
        <w:t>办</w:t>
      </w:r>
      <w:r>
        <w:rPr>
          <w:spacing w:val="-50"/>
        </w:rPr>
        <w:t xml:space="preserve"> </w:t>
      </w:r>
      <w:r>
        <w:rPr/>
        <w:t>公</w:t>
      </w:r>
      <w:r>
        <w:rPr>
          <w:spacing w:val="-46"/>
        </w:rPr>
        <w:t xml:space="preserve"> </w:t>
      </w:r>
      <w:r>
        <w:rPr/>
        <w:t>室 </w:t>
      </w:r>
      <w:r>
        <w:rPr>
          <w:rFonts w:ascii="Times New Roman" w:hAnsi="Times New Roman" w:eastAsia="Times New Roman" w:cs="Times New Roman"/>
        </w:rPr>
        <w:t>24  </w:t>
      </w:r>
      <w:r>
        <w:rPr/>
        <w:t>小</w:t>
      </w:r>
      <w:r>
        <w:rPr>
          <w:spacing w:val="-38"/>
        </w:rPr>
        <w:t xml:space="preserve"> </w:t>
      </w:r>
      <w:r>
        <w:rPr/>
        <w:t>时</w:t>
      </w:r>
      <w:r>
        <w:rPr>
          <w:spacing w:val="-52"/>
        </w:rPr>
        <w:t xml:space="preserve"> </w:t>
      </w:r>
      <w:r>
        <w:rPr/>
        <w:t>值</w:t>
      </w:r>
      <w:r>
        <w:rPr>
          <w:spacing w:val="-47"/>
        </w:rPr>
        <w:t xml:space="preserve"> </w:t>
      </w:r>
      <w:r>
        <w:rPr/>
        <w:t>班</w:t>
      </w:r>
      <w:r>
        <w:rPr>
          <w:spacing w:val="-31"/>
        </w:rPr>
        <w:t xml:space="preserve"> </w:t>
      </w:r>
      <w:r>
        <w:rPr/>
        <w:t>电</w:t>
      </w:r>
      <w:r>
        <w:rPr>
          <w:spacing w:val="-52"/>
        </w:rPr>
        <w:t xml:space="preserve"> </w:t>
      </w:r>
      <w:r>
        <w:rPr/>
        <w:t>话 ： </w:t>
      </w:r>
      <w:r>
        <w:rPr>
          <w:rFonts w:ascii="Times New Roman" w:hAnsi="Times New Roman" w:eastAsia="Times New Roman" w:cs="Times New Roman"/>
          <w:spacing w:val="4"/>
        </w:rPr>
        <w:t>0954-2088154</w:t>
      </w:r>
      <w:r>
        <w:rPr>
          <w:spacing w:val="4"/>
        </w:rPr>
        <w:t>。</w:t>
      </w:r>
    </w:p>
    <w:p>
      <w:pPr>
        <w:pStyle w:val="BodyText"/>
        <w:ind w:left="6" w:firstLine="422"/>
        <w:spacing w:before="17" w:line="371" w:lineRule="auto"/>
        <w:jc w:val="both"/>
        <w:rPr/>
      </w:pPr>
      <w:r>
        <w:rPr>
          <w:spacing w:val="19"/>
        </w:rPr>
        <w:t>非煤矿山生产安全事故信息报告内容主</w:t>
      </w:r>
      <w:r>
        <w:rPr>
          <w:spacing w:val="1"/>
        </w:rPr>
        <w:t>要包括：事故发生单位概况、事故发生的时间、</w:t>
      </w:r>
      <w:r>
        <w:rPr>
          <w:spacing w:val="7"/>
        </w:rPr>
        <w:t>地点、简要经过；可能造成的危害程度、影响</w:t>
      </w:r>
      <w:r>
        <w:rPr>
          <w:spacing w:val="7"/>
        </w:rPr>
        <w:t>范围、遇险人数、直接经济损失；已采取的应</w:t>
      </w:r>
      <w:r>
        <w:rPr>
          <w:spacing w:val="7"/>
        </w:rPr>
        <w:t>急处置措施和目前事故处置进展情况；下一步</w:t>
      </w:r>
      <w:r>
        <w:rPr>
          <w:spacing w:val="8"/>
        </w:rPr>
        <w:t>拟采取的措施等。</w:t>
      </w:r>
    </w:p>
    <w:p>
      <w:pPr>
        <w:ind w:left="433"/>
        <w:spacing w:before="9" w:line="242" w:lineRule="auto"/>
        <w:rPr>
          <w:rFonts w:ascii="KaiTi" w:hAnsi="KaiTi" w:eastAsia="KaiTi" w:cs="KaiTi"/>
          <w:sz w:val="20"/>
          <w:szCs w:val="20"/>
        </w:rPr>
      </w:pPr>
      <w:r>
        <w:rPr>
          <w:rFonts w:ascii="Times New Roman" w:hAnsi="Times New Roman" w:eastAsia="Times New Roman" w:cs="Times New Roman"/>
          <w:sz w:val="20"/>
          <w:szCs w:val="20"/>
          <w:spacing w:val="3"/>
        </w:rPr>
        <w:t>3.2</w:t>
      </w:r>
      <w:r>
        <w:rPr>
          <w:rFonts w:ascii="Times New Roman" w:hAnsi="Times New Roman" w:eastAsia="Times New Roman" w:cs="Times New Roman"/>
          <w:sz w:val="20"/>
          <w:szCs w:val="20"/>
          <w:spacing w:val="10"/>
        </w:rPr>
        <w:t xml:space="preserve">  </w:t>
      </w:r>
      <w:r>
        <w:rPr>
          <w:rFonts w:ascii="KaiTi" w:hAnsi="KaiTi" w:eastAsia="KaiTi" w:cs="KaiTi"/>
          <w:sz w:val="20"/>
          <w:szCs w:val="20"/>
          <w:spacing w:val="3"/>
        </w:rPr>
        <w:t>先期处置。</w:t>
      </w:r>
    </w:p>
    <w:p>
      <w:pPr>
        <w:pStyle w:val="BodyText"/>
        <w:ind w:right="73" w:firstLine="433"/>
        <w:spacing w:before="143" w:line="343" w:lineRule="auto"/>
        <w:rPr/>
      </w:pPr>
      <w:r>
        <w:rPr>
          <w:rFonts w:ascii="Times New Roman" w:hAnsi="Times New Roman" w:eastAsia="Times New Roman" w:cs="Times New Roman"/>
          <w:spacing w:val="3"/>
        </w:rPr>
        <w:t>3.2.1 </w:t>
      </w:r>
      <w:r>
        <w:rPr>
          <w:spacing w:val="3"/>
        </w:rPr>
        <w:t>非煤矿山生产安全事故发生后，事故</w:t>
      </w:r>
      <w:r>
        <w:rPr>
          <w:spacing w:val="7"/>
        </w:rPr>
        <w:t>发生单位要立即组织开展先期处置，事发地县</w:t>
      </w:r>
      <w:r>
        <w:rPr>
          <w:spacing w:val="7"/>
        </w:rPr>
        <w:t>（区）应急管理局相关负责人要第一时间赶赴</w:t>
      </w:r>
      <w:r>
        <w:rPr>
          <w:spacing w:val="8"/>
        </w:rPr>
        <w:t>现场，查明情况，及时上报，控制事态发展，</w:t>
      </w:r>
      <w:r>
        <w:rPr>
          <w:spacing w:val="9"/>
        </w:rPr>
        <w:t>开展先期处置工作。</w:t>
      </w:r>
    </w:p>
    <w:p>
      <w:pPr>
        <w:pStyle w:val="BodyText"/>
        <w:ind w:left="9" w:right="78" w:firstLine="423"/>
        <w:spacing w:before="166" w:line="321" w:lineRule="auto"/>
        <w:rPr/>
      </w:pPr>
      <w:r>
        <w:rPr>
          <w:rFonts w:ascii="Times New Roman" w:hAnsi="Times New Roman" w:eastAsia="Times New Roman" w:cs="Times New Roman"/>
          <w:spacing w:val="3"/>
        </w:rPr>
        <w:t>3.2.2 </w:t>
      </w:r>
      <w:r>
        <w:rPr>
          <w:spacing w:val="3"/>
        </w:rPr>
        <w:t>达到一般事故时，启动事发地县级生</w:t>
      </w:r>
      <w:r>
        <w:rPr>
          <w:spacing w:val="7"/>
        </w:rPr>
        <w:t>产安全事故应急预案，按照应急预案规定成立</w:t>
      </w:r>
      <w:r>
        <w:rPr>
          <w:spacing w:val="4"/>
        </w:rPr>
        <w:t>现场指挥部。现场总指挥由事发地县（</w:t>
      </w:r>
      <w:r>
        <w:rPr>
          <w:spacing w:val="-37"/>
        </w:rPr>
        <w:t xml:space="preserve"> </w:t>
      </w:r>
      <w:r>
        <w:rPr>
          <w:spacing w:val="4"/>
        </w:rPr>
        <w:t>区）政</w:t>
      </w:r>
    </w:p>
    <w:p>
      <w:pPr>
        <w:spacing w:line="321" w:lineRule="auto"/>
        <w:sectPr>
          <w:type w:val="continuous"/>
          <w:pgSz w:w="11906" w:h="16839"/>
          <w:pgMar w:top="1766" w:right="1509" w:bottom="1563" w:left="1576" w:header="1428" w:footer="1172" w:gutter="0"/>
          <w:cols w:equalWidth="0" w:num="2">
            <w:col w:w="4486" w:space="100"/>
            <w:col w:w="4235" w:space="0"/>
          </w:cols>
        </w:sectPr>
        <w:rPr/>
      </w:pPr>
    </w:p>
    <w:p>
      <w:pPr>
        <w:spacing w:before="65"/>
        <w:rPr/>
      </w:pPr>
      <w:r>
        <w:drawing>
          <wp:anchor distT="0" distB="0" distL="0" distR="0" simplePos="0" relativeHeight="252262400"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404" name="IM 1404"/>
            <wp:cNvGraphicFramePr/>
            <a:graphic>
              <a:graphicData uri="http://schemas.openxmlformats.org/drawingml/2006/picture">
                <pic:pic>
                  <pic:nvPicPr>
                    <pic:cNvPr id="1404" name="IM 1404"/>
                    <pic:cNvPicPr/>
                  </pic:nvPicPr>
                  <pic:blipFill>
                    <a:blip r:embed="rId704"/>
                    <a:stretch>
                      <a:fillRect/>
                    </a:stretch>
                  </pic:blipFill>
                  <pic:spPr>
                    <a:xfrm rot="0">
                      <a:off x="0" y="0"/>
                      <a:ext cx="5579745" cy="7620"/>
                    </a:xfrm>
                    <a:prstGeom prst="rect">
                      <a:avLst/>
                    </a:prstGeom>
                  </pic:spPr>
                </pic:pic>
              </a:graphicData>
            </a:graphic>
          </wp:anchor>
        </w:drawing>
      </w:r>
      <w:r/>
    </w:p>
    <w:p>
      <w:pPr>
        <w:sectPr>
          <w:headerReference w:type="default" r:id="rId644"/>
          <w:footerReference w:type="default" r:id="rId703"/>
          <w:pgSz w:w="11906" w:h="16839"/>
          <w:pgMar w:top="1772" w:right="1489" w:bottom="1547" w:left="1588" w:header="1428" w:footer="1172" w:gutter="0"/>
          <w:cols w:equalWidth="0" w:num="1">
            <w:col w:w="8829" w:space="0"/>
          </w:cols>
        </w:sectPr>
        <w:rPr/>
      </w:pPr>
    </w:p>
    <w:p>
      <w:pPr>
        <w:pStyle w:val="BodyText"/>
        <w:ind w:left="5" w:right="329" w:hanging="1"/>
        <w:spacing w:before="48" w:line="369" w:lineRule="auto"/>
        <w:jc w:val="both"/>
        <w:rPr/>
      </w:pPr>
      <w:r>
        <w:rPr>
          <w:spacing w:val="4"/>
        </w:rPr>
        <w:t>府分管应急工作的副县（</w:t>
      </w:r>
      <w:r>
        <w:rPr>
          <w:spacing w:val="-35"/>
        </w:rPr>
        <w:t xml:space="preserve"> </w:t>
      </w:r>
      <w:r>
        <w:rPr>
          <w:spacing w:val="4"/>
        </w:rPr>
        <w:t>区）长、应急管理局</w:t>
      </w:r>
      <w:r>
        <w:rPr>
          <w:spacing w:val="7"/>
        </w:rPr>
        <w:t>局长担任，制定先期处置方案，开展抢险救援</w:t>
      </w:r>
      <w:r>
        <w:rPr>
          <w:spacing w:val="-3"/>
        </w:rPr>
        <w:t>和人员救治，组织相关单位开展先期处置工作。</w:t>
      </w:r>
    </w:p>
    <w:p>
      <w:pPr>
        <w:pStyle w:val="BodyText"/>
        <w:ind w:left="8" w:right="327" w:firstLine="420"/>
        <w:spacing w:before="16" w:line="367" w:lineRule="auto"/>
        <w:jc w:val="both"/>
        <w:rPr/>
      </w:pPr>
      <w:r>
        <w:rPr>
          <w:rFonts w:ascii="Times New Roman" w:hAnsi="Times New Roman" w:eastAsia="Times New Roman" w:cs="Times New Roman"/>
          <w:spacing w:val="3"/>
        </w:rPr>
        <w:t>3.2.3 </w:t>
      </w:r>
      <w:r>
        <w:rPr>
          <w:spacing w:val="3"/>
        </w:rPr>
        <w:t>必要时，市应急管理指挥部办公室派</w:t>
      </w:r>
      <w:r>
        <w:rPr>
          <w:spacing w:val="7"/>
        </w:rPr>
        <w:t>出工作组赶赴事件现场，现场指导事发地政府</w:t>
      </w:r>
      <w:r>
        <w:rPr>
          <w:spacing w:val="7"/>
        </w:rPr>
        <w:t>开展抢险救援工作。</w:t>
      </w:r>
    </w:p>
    <w:p>
      <w:pPr>
        <w:ind w:left="429"/>
        <w:spacing w:line="267" w:lineRule="exact"/>
        <w:rPr>
          <w:rFonts w:ascii="KaiTi" w:hAnsi="KaiTi" w:eastAsia="KaiTi" w:cs="KaiTi"/>
          <w:sz w:val="20"/>
          <w:szCs w:val="20"/>
        </w:rPr>
      </w:pPr>
      <w:r>
        <w:rPr>
          <w:rFonts w:ascii="Times New Roman" w:hAnsi="Times New Roman" w:eastAsia="Times New Roman" w:cs="Times New Roman"/>
          <w:sz w:val="20"/>
          <w:szCs w:val="20"/>
          <w:spacing w:val="4"/>
          <w:position w:val="1"/>
        </w:rPr>
        <w:t>3.3  </w:t>
      </w:r>
      <w:r>
        <w:rPr>
          <w:rFonts w:ascii="KaiTi" w:hAnsi="KaiTi" w:eastAsia="KaiTi" w:cs="KaiTi"/>
          <w:sz w:val="20"/>
          <w:szCs w:val="20"/>
          <w:spacing w:val="4"/>
          <w:position w:val="1"/>
        </w:rPr>
        <w:t>应急响应。</w:t>
      </w:r>
    </w:p>
    <w:p>
      <w:pPr>
        <w:pStyle w:val="BodyText"/>
        <w:ind w:left="5" w:right="322" w:firstLine="423"/>
        <w:spacing w:before="137" w:line="337" w:lineRule="auto"/>
        <w:rPr/>
      </w:pPr>
      <w:r>
        <w:rPr>
          <w:rFonts w:ascii="Times New Roman" w:hAnsi="Times New Roman" w:eastAsia="Times New Roman" w:cs="Times New Roman"/>
          <w:spacing w:val="5"/>
        </w:rPr>
        <w:t>3.3.</w:t>
      </w:r>
      <w:r>
        <w:rPr>
          <w:rFonts w:ascii="Times New Roman" w:hAnsi="Times New Roman" w:eastAsia="Times New Roman" w:cs="Times New Roman"/>
          <w:spacing w:val="-28"/>
        </w:rPr>
        <w:t xml:space="preserve"> </w:t>
      </w:r>
      <w:r>
        <w:rPr>
          <w:rFonts w:ascii="Times New Roman" w:hAnsi="Times New Roman" w:eastAsia="Times New Roman" w:cs="Times New Roman"/>
          <w:spacing w:val="5"/>
        </w:rPr>
        <w:t>1Ⅰ</w:t>
      </w:r>
      <w:r>
        <w:rPr>
          <w:spacing w:val="5"/>
        </w:rPr>
        <w:t>级、</w:t>
      </w:r>
      <w:r>
        <w:rPr>
          <w:rFonts w:ascii="Times New Roman" w:hAnsi="Times New Roman" w:eastAsia="Times New Roman" w:cs="Times New Roman"/>
          <w:spacing w:val="5"/>
        </w:rPr>
        <w:t>Ⅱ</w:t>
      </w:r>
      <w:r>
        <w:rPr>
          <w:spacing w:val="5"/>
        </w:rPr>
        <w:t>级响应。发生重大 (</w:t>
      </w:r>
      <w:r>
        <w:rPr>
          <w:spacing w:val="-36"/>
        </w:rPr>
        <w:t xml:space="preserve"> </w:t>
      </w:r>
      <w:r>
        <w:rPr>
          <w:rFonts w:ascii="Times New Roman" w:hAnsi="Times New Roman" w:eastAsia="Times New Roman" w:cs="Times New Roman"/>
          <w:spacing w:val="5"/>
        </w:rPr>
        <w:t>Ⅱ</w:t>
      </w:r>
      <w:r>
        <w:rPr>
          <w:spacing w:val="5"/>
        </w:rPr>
        <w:t>级）、</w:t>
      </w:r>
      <w:r>
        <w:rPr>
          <w:spacing w:val="8"/>
        </w:rPr>
        <w:t>特大 (</w:t>
      </w:r>
      <w:r>
        <w:rPr>
          <w:spacing w:val="-33"/>
        </w:rPr>
        <w:t xml:space="preserve"> </w:t>
      </w:r>
      <w:r>
        <w:rPr>
          <w:rFonts w:ascii="Times New Roman" w:hAnsi="Times New Roman" w:eastAsia="Times New Roman" w:cs="Times New Roman"/>
          <w:spacing w:val="8"/>
        </w:rPr>
        <w:t>Ⅰ</w:t>
      </w:r>
      <w:r>
        <w:rPr>
          <w:spacing w:val="8"/>
        </w:rPr>
        <w:t>级）非煤矿山生产安全事故</w:t>
      </w:r>
      <w:r>
        <w:rPr>
          <w:spacing w:val="-58"/>
        </w:rPr>
        <w:t xml:space="preserve"> </w:t>
      </w:r>
      <w:r>
        <w:rPr>
          <w:spacing w:val="8"/>
        </w:rPr>
        <w:t>，报请自</w:t>
      </w:r>
      <w:r>
        <w:rPr>
          <w:spacing w:val="7"/>
        </w:rPr>
        <w:t>治区党委、政府启动自治区级应急响应机制，</w:t>
      </w:r>
      <w:r>
        <w:rPr>
          <w:spacing w:val="9"/>
        </w:rPr>
        <w:t>政府按照职责分工配合做好应对处置工作。</w:t>
      </w:r>
    </w:p>
    <w:p>
      <w:pPr>
        <w:pStyle w:val="BodyText"/>
        <w:ind w:left="2" w:right="327" w:firstLine="426"/>
        <w:spacing w:before="159" w:line="356" w:lineRule="auto"/>
        <w:rPr/>
      </w:pPr>
      <w:r>
        <w:rPr>
          <w:rFonts w:ascii="Times New Roman" w:hAnsi="Times New Roman" w:eastAsia="Times New Roman" w:cs="Times New Roman"/>
          <w:spacing w:val="3"/>
        </w:rPr>
        <w:t>3.3.2Ⅲ</w:t>
      </w:r>
      <w:r>
        <w:rPr>
          <w:spacing w:val="3"/>
        </w:rPr>
        <w:t>级响应。发生较大 (</w:t>
      </w:r>
      <w:r>
        <w:rPr>
          <w:spacing w:val="-28"/>
        </w:rPr>
        <w:t xml:space="preserve"> </w:t>
      </w:r>
      <w:r>
        <w:rPr>
          <w:rFonts w:ascii="Times New Roman" w:hAnsi="Times New Roman" w:eastAsia="Times New Roman" w:cs="Times New Roman"/>
          <w:spacing w:val="3"/>
        </w:rPr>
        <w:t>Ⅲ</w:t>
      </w:r>
      <w:r>
        <w:rPr>
          <w:spacing w:val="3"/>
        </w:rPr>
        <w:t>级）非煤矿</w:t>
      </w:r>
      <w:r>
        <w:rPr>
          <w:spacing w:val="7"/>
        </w:rPr>
        <w:t>山生产安全事故，由市应急管理指挥部办公室</w:t>
      </w:r>
      <w:r>
        <w:rPr>
          <w:spacing w:val="7"/>
        </w:rPr>
        <w:t>启动应急响应措施，市应急管理局牵头立即组</w:t>
      </w:r>
      <w:r>
        <w:rPr>
          <w:spacing w:val="15"/>
        </w:rPr>
        <w:t>织专家调查确认</w:t>
      </w:r>
      <w:r>
        <w:rPr>
          <w:spacing w:val="-39"/>
        </w:rPr>
        <w:t xml:space="preserve"> </w:t>
      </w:r>
      <w:r>
        <w:rPr>
          <w:spacing w:val="15"/>
        </w:rPr>
        <w:t>，并对事故情况进行综合评</w:t>
      </w:r>
      <w:r>
        <w:rPr>
          <w:spacing w:val="7"/>
        </w:rPr>
        <w:t>估。同时，应急指挥部迅速组织成员单位和事</w:t>
      </w:r>
      <w:r>
        <w:rPr>
          <w:spacing w:val="4"/>
        </w:rPr>
        <w:t>故发生地县（</w:t>
      </w:r>
      <w:r>
        <w:rPr>
          <w:spacing w:val="-33"/>
        </w:rPr>
        <w:t xml:space="preserve"> </w:t>
      </w:r>
      <w:r>
        <w:rPr>
          <w:spacing w:val="4"/>
        </w:rPr>
        <w:t>区）政府开展现场救援、处理等</w:t>
      </w:r>
      <w:r>
        <w:rPr>
          <w:spacing w:val="7"/>
        </w:rPr>
        <w:t>紧急控制措施，并按照规定向自治区有关部门</w:t>
      </w:r>
      <w:r>
        <w:rPr>
          <w:spacing w:val="8"/>
        </w:rPr>
        <w:t>报告调查处理情况。</w:t>
      </w:r>
    </w:p>
    <w:p>
      <w:pPr>
        <w:pStyle w:val="BodyText"/>
        <w:ind w:left="3" w:right="324" w:firstLine="426"/>
        <w:spacing w:before="167" w:line="337" w:lineRule="auto"/>
        <w:rPr/>
      </w:pPr>
      <w:r>
        <w:rPr>
          <w:rFonts w:ascii="Times New Roman" w:hAnsi="Times New Roman" w:eastAsia="Times New Roman" w:cs="Times New Roman"/>
          <w:spacing w:val="6"/>
        </w:rPr>
        <w:t>3.3.3Ⅳ</w:t>
      </w:r>
      <w:r>
        <w:rPr>
          <w:spacing w:val="6"/>
        </w:rPr>
        <w:t>级响应。发生一般(</w:t>
      </w:r>
      <w:r>
        <w:rPr>
          <w:spacing w:val="-22"/>
        </w:rPr>
        <w:t xml:space="preserve"> </w:t>
      </w:r>
      <w:r>
        <w:rPr>
          <w:rFonts w:ascii="Times New Roman" w:hAnsi="Times New Roman" w:eastAsia="Times New Roman" w:cs="Times New Roman"/>
          <w:spacing w:val="6"/>
        </w:rPr>
        <w:t>Ⅳ</w:t>
      </w:r>
      <w:r>
        <w:rPr>
          <w:spacing w:val="6"/>
        </w:rPr>
        <w:t>级）非煤矿</w:t>
      </w:r>
      <w:r>
        <w:rPr>
          <w:spacing w:val="4"/>
        </w:rPr>
        <w:t>山生产安全事故，由事发地县（</w:t>
      </w:r>
      <w:r>
        <w:rPr>
          <w:spacing w:val="-34"/>
        </w:rPr>
        <w:t xml:space="preserve"> </w:t>
      </w:r>
      <w:r>
        <w:rPr>
          <w:spacing w:val="4"/>
        </w:rPr>
        <w:t>区）政府及时</w:t>
      </w:r>
      <w:r>
        <w:rPr>
          <w:spacing w:val="7"/>
        </w:rPr>
        <w:t>启动本辖区应急响应措施，并向市应急管理指</w:t>
      </w:r>
      <w:r>
        <w:rPr>
          <w:spacing w:val="8"/>
        </w:rPr>
        <w:t>挥部报告事故信息。</w:t>
      </w:r>
    </w:p>
    <w:p>
      <w:pPr>
        <w:pStyle w:val="BodyText"/>
        <w:ind w:left="6" w:right="327" w:firstLine="422"/>
        <w:spacing w:before="166" w:line="314" w:lineRule="auto"/>
        <w:rPr/>
      </w:pPr>
      <w:r>
        <w:rPr>
          <w:rFonts w:ascii="Times New Roman" w:hAnsi="Times New Roman" w:eastAsia="Times New Roman" w:cs="Times New Roman"/>
          <w:spacing w:val="3"/>
        </w:rPr>
        <w:t>3.3.4 </w:t>
      </w:r>
      <w:r>
        <w:rPr>
          <w:spacing w:val="3"/>
        </w:rPr>
        <w:t>启动条件。符合下列情况之一的，由</w:t>
      </w:r>
      <w:r>
        <w:rPr>
          <w:spacing w:val="8"/>
        </w:rPr>
        <w:t>市应急管理指挥部决定启动应急响应：</w:t>
      </w:r>
    </w:p>
    <w:p>
      <w:pPr>
        <w:pStyle w:val="BodyText"/>
        <w:ind w:left="4" w:right="329" w:firstLine="411"/>
        <w:spacing w:before="129" w:line="302" w:lineRule="auto"/>
        <w:rPr/>
      </w:pPr>
      <w:r>
        <w:rPr>
          <w:spacing w:val="8"/>
        </w:rPr>
        <w:t>（</w:t>
      </w:r>
      <w:r>
        <w:rPr>
          <w:spacing w:val="-37"/>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6"/>
        </w:rPr>
        <w:t xml:space="preserve"> </w:t>
      </w:r>
      <w:r>
        <w:rPr>
          <w:spacing w:val="8"/>
        </w:rPr>
        <w:t>）发生</w:t>
      </w:r>
      <w:r>
        <w:rPr>
          <w:rFonts w:ascii="Times New Roman" w:hAnsi="Times New Roman" w:eastAsia="Times New Roman" w:cs="Times New Roman"/>
          <w:spacing w:val="8"/>
        </w:rPr>
        <w:t>Ⅲ</w:t>
      </w:r>
      <w:r>
        <w:rPr>
          <w:spacing w:val="8"/>
        </w:rPr>
        <w:t>级以上非煤矿山生产安全事</w:t>
      </w:r>
      <w:r>
        <w:rPr>
          <w:spacing w:val="4"/>
        </w:rPr>
        <w:t>故的；</w:t>
      </w:r>
    </w:p>
    <w:p>
      <w:pPr>
        <w:pStyle w:val="BodyText"/>
        <w:ind w:left="5" w:right="329" w:firstLine="410"/>
        <w:spacing w:before="158" w:line="302" w:lineRule="auto"/>
        <w:rPr/>
      </w:pPr>
      <w:r>
        <w:rPr>
          <w:spacing w:val="10"/>
        </w:rPr>
        <w:t>（</w:t>
      </w:r>
      <w:r>
        <w:rPr>
          <w:rFonts w:ascii="Times New Roman" w:hAnsi="Times New Roman" w:eastAsia="Times New Roman" w:cs="Times New Roman"/>
          <w:spacing w:val="10"/>
        </w:rPr>
        <w:t>2</w:t>
      </w:r>
      <w:r>
        <w:rPr>
          <w:rFonts w:ascii="Times New Roman" w:hAnsi="Times New Roman" w:eastAsia="Times New Roman" w:cs="Times New Roman"/>
          <w:spacing w:val="-8"/>
        </w:rPr>
        <w:t xml:space="preserve"> </w:t>
      </w:r>
      <w:r>
        <w:rPr>
          <w:spacing w:val="10"/>
        </w:rPr>
        <w:t>）发生涉及跨区的</w:t>
      </w:r>
      <w:r>
        <w:rPr>
          <w:rFonts w:ascii="Times New Roman" w:hAnsi="Times New Roman" w:eastAsia="Times New Roman" w:cs="Times New Roman"/>
          <w:spacing w:val="10"/>
        </w:rPr>
        <w:t>Ⅳ</w:t>
      </w:r>
      <w:r>
        <w:rPr>
          <w:spacing w:val="10"/>
        </w:rPr>
        <w:t>级非煤矿山生产</w:t>
      </w:r>
      <w:r>
        <w:rPr>
          <w:spacing w:val="7"/>
        </w:rPr>
        <w:t>安全事故的；</w:t>
      </w:r>
    </w:p>
    <w:p>
      <w:pPr>
        <w:pStyle w:val="BodyText"/>
        <w:ind w:left="5" w:right="332" w:firstLine="410"/>
        <w:spacing w:before="158" w:line="301"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）发生需要上级应急力量进行增援的</w:t>
      </w:r>
      <w:r>
        <w:rPr>
          <w:spacing w:val="8"/>
        </w:rPr>
        <w:t>非煤矿山生产安全事故的；</w:t>
      </w:r>
    </w:p>
    <w:p>
      <w:pPr>
        <w:pStyle w:val="BodyText"/>
        <w:ind w:left="416"/>
        <w:spacing w:before="159" w:line="221" w:lineRule="auto"/>
        <w:rPr/>
      </w:pPr>
      <w:r>
        <w:rPr>
          <w:spacing w:val="7"/>
        </w:rPr>
        <w:t>（</w:t>
      </w:r>
      <w:r>
        <w:rPr>
          <w:rFonts w:ascii="Times New Roman" w:hAnsi="Times New Roman" w:eastAsia="Times New Roman" w:cs="Times New Roman"/>
          <w:spacing w:val="7"/>
        </w:rPr>
        <w:t>4</w:t>
      </w:r>
      <w:r>
        <w:rPr>
          <w:rFonts w:ascii="Times New Roman" w:hAnsi="Times New Roman" w:eastAsia="Times New Roman" w:cs="Times New Roman"/>
          <w:spacing w:val="-14"/>
        </w:rPr>
        <w:t xml:space="preserve"> </w:t>
      </w:r>
      <w:r>
        <w:rPr>
          <w:spacing w:val="7"/>
        </w:rPr>
        <w:t>）认为需要启动本级应急响应的。</w:t>
      </w:r>
    </w:p>
    <w:p>
      <w:pPr>
        <w:spacing w:line="14" w:lineRule="auto"/>
        <w:rPr>
          <w:rFonts w:ascii="Arial"/>
          <w:sz w:val="2"/>
        </w:rPr>
      </w:pPr>
      <w:r>
        <w:rPr>
          <w:rFonts w:ascii="Arial" w:hAnsi="Arial" w:eastAsia="Arial" w:cs="Arial"/>
          <w:sz w:val="2"/>
          <w:szCs w:val="2"/>
        </w:rPr>
        <w:br w:type="column"/>
      </w:r>
    </w:p>
    <w:p>
      <w:pPr>
        <w:pStyle w:val="BodyText"/>
        <w:ind w:left="3" w:right="98" w:firstLine="422"/>
        <w:spacing w:before="47" w:line="373" w:lineRule="auto"/>
        <w:jc w:val="both"/>
        <w:rPr/>
      </w:pPr>
      <w:r>
        <w:rPr>
          <w:rFonts w:ascii="Times New Roman" w:hAnsi="Times New Roman" w:eastAsia="Times New Roman" w:cs="Times New Roman"/>
          <w:spacing w:val="3"/>
        </w:rPr>
        <w:t>3.4  </w:t>
      </w:r>
      <w:r>
        <w:rPr>
          <w:rFonts w:ascii="KaiTi" w:hAnsi="KaiTi" w:eastAsia="KaiTi" w:cs="KaiTi"/>
          <w:spacing w:val="3"/>
        </w:rPr>
        <w:t>指挥协调。</w:t>
      </w:r>
      <w:r>
        <w:rPr>
          <w:spacing w:val="3"/>
        </w:rPr>
        <w:t>启动</w:t>
      </w:r>
      <w:r>
        <w:rPr>
          <w:rFonts w:ascii="Times New Roman" w:hAnsi="Times New Roman" w:eastAsia="Times New Roman" w:cs="Times New Roman"/>
          <w:spacing w:val="3"/>
        </w:rPr>
        <w:t>Ⅲ</w:t>
      </w:r>
      <w:r>
        <w:rPr>
          <w:spacing w:val="3"/>
        </w:rPr>
        <w:t>级、</w:t>
      </w:r>
      <w:r>
        <w:rPr>
          <w:rFonts w:ascii="Times New Roman" w:hAnsi="Times New Roman" w:eastAsia="Times New Roman" w:cs="Times New Roman"/>
          <w:spacing w:val="3"/>
        </w:rPr>
        <w:t>Ⅱ</w:t>
      </w:r>
      <w:r>
        <w:rPr>
          <w:spacing w:val="3"/>
        </w:rPr>
        <w:t>级和</w:t>
      </w:r>
      <w:r>
        <w:rPr>
          <w:spacing w:val="-35"/>
        </w:rPr>
        <w:t xml:space="preserve"> </w:t>
      </w:r>
      <w:r>
        <w:rPr>
          <w:rFonts w:ascii="Times New Roman" w:hAnsi="Times New Roman" w:eastAsia="Times New Roman" w:cs="Times New Roman"/>
          <w:spacing w:val="3"/>
        </w:rPr>
        <w:t>I </w:t>
      </w:r>
      <w:r>
        <w:rPr>
          <w:spacing w:val="3"/>
        </w:rPr>
        <w:t>级应急</w:t>
      </w:r>
      <w:r>
        <w:rPr>
          <w:spacing w:val="6"/>
        </w:rPr>
        <w:t>响应时</w:t>
      </w:r>
      <w:r>
        <w:rPr>
          <w:spacing w:val="-50"/>
        </w:rPr>
        <w:t xml:space="preserve"> </w:t>
      </w:r>
      <w:r>
        <w:rPr>
          <w:spacing w:val="6"/>
        </w:rPr>
        <w:t>，按照</w:t>
      </w:r>
      <w:r>
        <w:rPr>
          <w:rFonts w:ascii="Times New Roman" w:hAnsi="Times New Roman" w:eastAsia="Times New Roman" w:cs="Times New Roman"/>
          <w:spacing w:val="6"/>
        </w:rPr>
        <w:t>“</w:t>
      </w:r>
      <w:r>
        <w:rPr>
          <w:spacing w:val="6"/>
        </w:rPr>
        <w:t>统一指挥</w:t>
      </w:r>
      <w:r>
        <w:rPr>
          <w:spacing w:val="-58"/>
        </w:rPr>
        <w:t xml:space="preserve"> </w:t>
      </w:r>
      <w:r>
        <w:rPr>
          <w:spacing w:val="6"/>
        </w:rPr>
        <w:t>，属地为主</w:t>
      </w:r>
      <w:r>
        <w:rPr>
          <w:spacing w:val="-59"/>
        </w:rPr>
        <w:t xml:space="preserve"> </w:t>
      </w:r>
      <w:r>
        <w:rPr>
          <w:spacing w:val="6"/>
        </w:rPr>
        <w:t>，专业处</w:t>
      </w:r>
      <w:r>
        <w:rPr>
          <w:spacing w:val="8"/>
        </w:rPr>
        <w:t>置</w:t>
      </w:r>
      <w:r>
        <w:rPr>
          <w:rFonts w:ascii="Times New Roman" w:hAnsi="Times New Roman" w:eastAsia="Times New Roman" w:cs="Times New Roman"/>
          <w:spacing w:val="8"/>
        </w:rPr>
        <w:t>”</w:t>
      </w:r>
      <w:r>
        <w:rPr>
          <w:spacing w:val="8"/>
        </w:rPr>
        <w:t>的要求，组织开展应急处置工作。</w:t>
      </w:r>
    </w:p>
    <w:p>
      <w:pPr>
        <w:pStyle w:val="BodyText"/>
        <w:ind w:left="3" w:right="101" w:firstLine="442"/>
        <w:spacing w:before="9" w:line="374" w:lineRule="auto"/>
        <w:jc w:val="both"/>
        <w:rPr/>
      </w:pPr>
      <w:r>
        <w:rPr>
          <w:spacing w:val="17"/>
        </w:rPr>
        <w:t>由市应急管理指挥部办公室负责通知同</w:t>
      </w:r>
      <w:r>
        <w:rPr>
          <w:spacing w:val="18"/>
        </w:rPr>
        <w:t>级成员单位负责人立即调动本单位有关人员</w:t>
      </w:r>
      <w:r>
        <w:rPr>
          <w:spacing w:val="7"/>
        </w:rPr>
        <w:t>和应急救援队伍。</w:t>
      </w:r>
    </w:p>
    <w:p>
      <w:pPr>
        <w:pStyle w:val="BodyText"/>
        <w:ind w:left="420"/>
        <w:spacing w:line="277" w:lineRule="exact"/>
        <w:rPr/>
      </w:pPr>
      <w:r>
        <w:rPr>
          <w:spacing w:val="9"/>
          <w:position w:val="1"/>
        </w:rPr>
        <w:t>应急指挥部指挥协调的主要内容包括：</w:t>
      </w:r>
    </w:p>
    <w:p>
      <w:pPr>
        <w:pStyle w:val="BodyText"/>
        <w:ind w:left="413"/>
        <w:spacing w:before="128" w:line="278" w:lineRule="exact"/>
        <w:rPr/>
      </w:pPr>
      <w:r>
        <w:rPr>
          <w:spacing w:val="4"/>
          <w:position w:val="1"/>
        </w:rPr>
        <w:t>（</w:t>
      </w:r>
      <w:r>
        <w:rPr>
          <w:spacing w:val="-47"/>
          <w:position w:val="1"/>
        </w:rPr>
        <w:t xml:space="preserve"> </w:t>
      </w:r>
      <w:r>
        <w:rPr>
          <w:rFonts w:ascii="Times New Roman" w:hAnsi="Times New Roman" w:eastAsia="Times New Roman" w:cs="Times New Roman"/>
          <w:spacing w:val="4"/>
          <w:position w:val="1"/>
        </w:rPr>
        <w:t>1</w:t>
      </w:r>
      <w:r>
        <w:rPr>
          <w:rFonts w:ascii="Times New Roman" w:hAnsi="Times New Roman" w:eastAsia="Times New Roman" w:cs="Times New Roman"/>
          <w:spacing w:val="-21"/>
          <w:position w:val="1"/>
        </w:rPr>
        <w:t xml:space="preserve"> </w:t>
      </w:r>
      <w:r>
        <w:rPr>
          <w:spacing w:val="4"/>
          <w:position w:val="1"/>
        </w:rPr>
        <w:t>）提出现场应急行动原则要求；</w:t>
      </w:r>
    </w:p>
    <w:p>
      <w:pPr>
        <w:pStyle w:val="BodyText"/>
        <w:ind w:right="103" w:firstLine="412"/>
        <w:spacing w:before="127" w:line="302"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）派出专家和人员参与现场指挥部的</w:t>
      </w:r>
      <w:r>
        <w:rPr>
          <w:spacing w:val="7"/>
        </w:rPr>
        <w:t>应急指挥工作；</w:t>
      </w:r>
    </w:p>
    <w:p>
      <w:pPr>
        <w:pStyle w:val="BodyText"/>
        <w:ind w:left="5" w:right="103" w:firstLine="407"/>
        <w:spacing w:before="158" w:line="301"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）协调各级、各专业应急力量实施应</w:t>
      </w:r>
      <w:r>
        <w:rPr>
          <w:spacing w:val="6"/>
        </w:rPr>
        <w:t>急救援行动；</w:t>
      </w:r>
    </w:p>
    <w:p>
      <w:pPr>
        <w:pStyle w:val="BodyText"/>
        <w:ind w:left="18" w:right="103" w:firstLine="394"/>
        <w:spacing w:before="160" w:line="302"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）协调开展受威胁的周边地区危险源</w:t>
      </w:r>
      <w:r>
        <w:rPr>
          <w:spacing w:val="4"/>
        </w:rPr>
        <w:t>的监控工作；</w:t>
      </w:r>
    </w:p>
    <w:p>
      <w:pPr>
        <w:pStyle w:val="BodyText"/>
        <w:ind w:left="2" w:right="103" w:firstLine="410"/>
        <w:spacing w:before="157" w:line="302" w:lineRule="auto"/>
        <w:rPr/>
      </w:pPr>
      <w:r>
        <w:rPr>
          <w:spacing w:val="8"/>
        </w:rPr>
        <w:t>（</w:t>
      </w:r>
      <w:r>
        <w:rPr>
          <w:spacing w:val="-45"/>
        </w:rPr>
        <w:t xml:space="preserve"> </w:t>
      </w:r>
      <w:r>
        <w:rPr>
          <w:rFonts w:ascii="Times New Roman" w:hAnsi="Times New Roman" w:eastAsia="Times New Roman" w:cs="Times New Roman"/>
          <w:spacing w:val="8"/>
        </w:rPr>
        <w:t>5</w:t>
      </w:r>
      <w:r>
        <w:rPr>
          <w:rFonts w:ascii="Times New Roman" w:hAnsi="Times New Roman" w:eastAsia="Times New Roman" w:cs="Times New Roman"/>
          <w:spacing w:val="-19"/>
        </w:rPr>
        <w:t xml:space="preserve"> </w:t>
      </w:r>
      <w:r>
        <w:rPr>
          <w:spacing w:val="8"/>
        </w:rPr>
        <w:t>）协调建立现场警戒区和交通管制区</w:t>
      </w:r>
      <w:r>
        <w:rPr>
          <w:spacing w:val="8"/>
        </w:rPr>
        <w:t>域，确定重点防护区域；</w:t>
      </w:r>
    </w:p>
    <w:p>
      <w:pPr>
        <w:pStyle w:val="BodyText"/>
        <w:ind w:left="2" w:right="103" w:firstLine="410"/>
        <w:spacing w:before="158" w:line="300" w:lineRule="auto"/>
        <w:rPr/>
      </w:pPr>
      <w:r>
        <w:rPr>
          <w:spacing w:val="8"/>
        </w:rPr>
        <w:t>（</w:t>
      </w:r>
      <w:r>
        <w:rPr>
          <w:rFonts w:ascii="Times New Roman" w:hAnsi="Times New Roman" w:eastAsia="Times New Roman" w:cs="Times New Roman"/>
          <w:spacing w:val="8"/>
        </w:rPr>
        <w:t>6</w:t>
      </w:r>
      <w:r>
        <w:rPr>
          <w:rFonts w:ascii="Times New Roman" w:hAnsi="Times New Roman" w:eastAsia="Times New Roman" w:cs="Times New Roman"/>
          <w:spacing w:val="-5"/>
        </w:rPr>
        <w:t xml:space="preserve"> </w:t>
      </w:r>
      <w:r>
        <w:rPr>
          <w:spacing w:val="8"/>
        </w:rPr>
        <w:t>）根据现场评估</w:t>
      </w:r>
      <w:r>
        <w:rPr>
          <w:spacing w:val="-59"/>
        </w:rPr>
        <w:t xml:space="preserve"> </w:t>
      </w:r>
      <w:r>
        <w:rPr>
          <w:spacing w:val="8"/>
        </w:rPr>
        <w:t>，确定被转移、疏散</w:t>
      </w:r>
      <w:r>
        <w:rPr>
          <w:spacing w:val="7"/>
        </w:rPr>
        <w:t>群众返回时间，</w:t>
      </w:r>
    </w:p>
    <w:p>
      <w:pPr>
        <w:pStyle w:val="BodyText"/>
        <w:ind w:left="422"/>
        <w:spacing w:before="165" w:line="223" w:lineRule="auto"/>
        <w:rPr/>
      </w:pPr>
      <w:r>
        <w:rPr>
          <w:spacing w:val="8"/>
        </w:rPr>
        <w:t>必要时请求武警支队应急增援。</w:t>
      </w:r>
    </w:p>
    <w:p>
      <w:pPr>
        <w:pStyle w:val="BodyText"/>
        <w:ind w:left="1" w:right="23" w:firstLine="424"/>
        <w:spacing w:before="159" w:line="376" w:lineRule="auto"/>
        <w:jc w:val="both"/>
        <w:rPr/>
      </w:pPr>
      <w:r>
        <w:rPr>
          <w:rFonts w:ascii="Times New Roman" w:hAnsi="Times New Roman" w:eastAsia="Times New Roman" w:cs="Times New Roman"/>
          <w:spacing w:val="8"/>
        </w:rPr>
        <w:t>3.5  </w:t>
      </w:r>
      <w:r>
        <w:rPr>
          <w:rFonts w:ascii="KaiTi" w:hAnsi="KaiTi" w:eastAsia="KaiTi" w:cs="KaiTi"/>
          <w:spacing w:val="8"/>
        </w:rPr>
        <w:t>现场指挥部与现场指挥官。</w:t>
      </w:r>
      <w:r>
        <w:rPr>
          <w:spacing w:val="8"/>
        </w:rPr>
        <w:t>启动</w:t>
      </w:r>
      <w:r>
        <w:rPr>
          <w:rFonts w:ascii="Times New Roman" w:hAnsi="Times New Roman" w:eastAsia="Times New Roman" w:cs="Times New Roman"/>
          <w:spacing w:val="8"/>
        </w:rPr>
        <w:t>Ⅲ</w:t>
      </w:r>
      <w:r>
        <w:rPr>
          <w:spacing w:val="8"/>
        </w:rPr>
        <w:t>级</w:t>
      </w:r>
      <w:r>
        <w:rPr>
          <w:spacing w:val="7"/>
        </w:rPr>
        <w:t>以上应急响应时，市应急管理指挥部组织有关</w:t>
      </w:r>
      <w:r>
        <w:rPr>
          <w:spacing w:val="7"/>
        </w:rPr>
        <w:t>部门成立现场指挥部。现场指挥部实行现场总</w:t>
      </w:r>
      <w:r>
        <w:rPr>
          <w:spacing w:val="7"/>
        </w:rPr>
        <w:t>指挥负责制。现场总指挥由市政府分管应急管</w:t>
      </w:r>
      <w:r>
        <w:rPr>
          <w:spacing w:val="7"/>
        </w:rPr>
        <w:t>理工作的副市长担任，副总指挥由事故发生地</w:t>
      </w:r>
      <w:r>
        <w:rPr>
          <w:spacing w:val="1"/>
        </w:rPr>
        <w:t>县（区）主要负责人、市应急管理局局长担任。</w:t>
      </w:r>
    </w:p>
    <w:p>
      <w:pPr>
        <w:pStyle w:val="BodyText"/>
        <w:ind w:left="2" w:right="101" w:firstLine="422"/>
        <w:spacing w:line="374" w:lineRule="auto"/>
        <w:jc w:val="both"/>
        <w:rPr/>
      </w:pPr>
      <w:r>
        <w:rPr>
          <w:spacing w:val="6"/>
        </w:rPr>
        <w:t>现场总指挥统一组织、指挥现场应急救援</w:t>
      </w:r>
      <w:r>
        <w:rPr>
          <w:spacing w:val="7"/>
        </w:rPr>
        <w:t>工作。现场总指挥有权决定现场处置方案，协</w:t>
      </w:r>
      <w:r>
        <w:rPr>
          <w:spacing w:val="7"/>
        </w:rPr>
        <w:t>调有关单位和部门的现场应急处置工作，指挥</w:t>
      </w:r>
      <w:r>
        <w:rPr>
          <w:spacing w:val="8"/>
        </w:rPr>
        <w:t>调度现场应急队伍和应急资源。</w:t>
      </w:r>
    </w:p>
    <w:p>
      <w:pPr>
        <w:pStyle w:val="BodyText"/>
        <w:ind w:right="101" w:firstLine="424"/>
        <w:spacing w:before="2" w:line="313" w:lineRule="auto"/>
        <w:jc w:val="both"/>
        <w:rPr/>
      </w:pPr>
      <w:r>
        <w:rPr>
          <w:spacing w:val="18"/>
        </w:rPr>
        <w:t>现场指挥部吸收涉事的有关单位负责人</w:t>
      </w:r>
      <w:r>
        <w:rPr>
          <w:spacing w:val="7"/>
        </w:rPr>
        <w:t>以及相关专家为成员，参加现场应急救援的队</w:t>
      </w:r>
      <w:r>
        <w:rPr>
          <w:spacing w:val="18"/>
        </w:rPr>
        <w:t>伍和人员在现场指挥部统一协调下进行应急</w:t>
      </w:r>
    </w:p>
    <w:p>
      <w:pPr>
        <w:spacing w:line="313" w:lineRule="auto"/>
        <w:sectPr>
          <w:type w:val="continuous"/>
          <w:pgSz w:w="11906" w:h="16839"/>
          <w:pgMar w:top="1772" w:right="1489" w:bottom="1547" w:left="1588" w:header="1428" w:footer="1172" w:gutter="0"/>
          <w:cols w:equalWidth="0" w:num="2">
            <w:col w:w="4481" w:space="100"/>
            <w:col w:w="4249" w:space="0"/>
          </w:cols>
        </w:sectPr>
        <w:rPr/>
      </w:pPr>
    </w:p>
    <w:p>
      <w:pPr>
        <w:spacing w:before="84"/>
        <w:rPr/>
      </w:pPr>
      <w:r>
        <w:drawing>
          <wp:anchor distT="0" distB="0" distL="0" distR="0" simplePos="0" relativeHeight="25226752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408" name="IM 1408"/>
            <wp:cNvGraphicFramePr/>
            <a:graphic>
              <a:graphicData uri="http://schemas.openxmlformats.org/drawingml/2006/picture">
                <pic:pic>
                  <pic:nvPicPr>
                    <pic:cNvPr id="1408" name="IM 1408"/>
                    <pic:cNvPicPr/>
                  </pic:nvPicPr>
                  <pic:blipFill>
                    <a:blip r:embed="rId706"/>
                    <a:stretch>
                      <a:fillRect/>
                    </a:stretch>
                  </pic:blipFill>
                  <pic:spPr>
                    <a:xfrm rot="0">
                      <a:off x="0" y="0"/>
                      <a:ext cx="5579745" cy="7620"/>
                    </a:xfrm>
                    <a:prstGeom prst="rect">
                      <a:avLst/>
                    </a:prstGeom>
                  </pic:spPr>
                </pic:pic>
              </a:graphicData>
            </a:graphic>
          </wp:anchor>
        </w:drawing>
      </w:r>
      <w:r/>
    </w:p>
    <w:p>
      <w:pPr>
        <w:sectPr>
          <w:headerReference w:type="default" r:id="rId647"/>
          <w:footerReference w:type="default" r:id="rId705"/>
          <w:pgSz w:w="11906" w:h="16839"/>
          <w:pgMar w:top="1766" w:right="1530" w:bottom="1563" w:left="1576" w:header="1428" w:footer="1172" w:gutter="0"/>
          <w:cols w:equalWidth="0" w:num="1">
            <w:col w:w="8800" w:space="0"/>
          </w:cols>
        </w:sectPr>
        <w:rPr/>
      </w:pPr>
    </w:p>
    <w:p>
      <w:pPr>
        <w:pStyle w:val="BodyText"/>
        <w:ind w:left="16" w:right="330"/>
        <w:spacing w:before="42" w:line="374" w:lineRule="auto"/>
        <w:jc w:val="both"/>
        <w:rPr/>
      </w:pPr>
      <w:r>
        <w:rPr>
          <w:spacing w:val="7"/>
        </w:rPr>
        <w:t>救援和处置工作。与事故有关的部门和单位应</w:t>
      </w:r>
      <w:r>
        <w:rPr>
          <w:spacing w:val="18"/>
        </w:rPr>
        <w:t>当主动向现场指挥部提供与应急处置有关的</w:t>
      </w:r>
      <w:r>
        <w:rPr>
          <w:spacing w:val="7"/>
        </w:rPr>
        <w:t>信息资料，为实施应急处置工作提供各种便利</w:t>
      </w:r>
      <w:r>
        <w:rPr>
          <w:spacing w:val="4"/>
        </w:rPr>
        <w:t>条件。</w:t>
      </w:r>
    </w:p>
    <w:p>
      <w:pPr>
        <w:pStyle w:val="BodyText"/>
        <w:ind w:left="17" w:right="330" w:firstLine="420"/>
        <w:spacing w:before="3" w:line="373" w:lineRule="auto"/>
        <w:jc w:val="both"/>
        <w:rPr/>
      </w:pPr>
      <w:r>
        <w:rPr>
          <w:spacing w:val="6"/>
        </w:rPr>
        <w:t>根据现场情况设置有关应急小组。各应急</w:t>
      </w:r>
      <w:r>
        <w:rPr>
          <w:spacing w:val="7"/>
        </w:rPr>
        <w:t>小组在现场指挥部统一领导下，各尽其责完成</w:t>
      </w:r>
      <w:r>
        <w:rPr>
          <w:spacing w:val="8"/>
        </w:rPr>
        <w:t>现场各项应急处置工作。</w:t>
      </w:r>
    </w:p>
    <w:p>
      <w:pPr>
        <w:ind w:left="438"/>
        <w:spacing w:line="264" w:lineRule="exact"/>
        <w:rPr>
          <w:rFonts w:ascii="KaiTi" w:hAnsi="KaiTi" w:eastAsia="KaiTi" w:cs="KaiTi"/>
          <w:sz w:val="20"/>
          <w:szCs w:val="20"/>
        </w:rPr>
      </w:pPr>
      <w:r>
        <w:rPr>
          <w:rFonts w:ascii="Times New Roman" w:hAnsi="Times New Roman" w:eastAsia="Times New Roman" w:cs="Times New Roman"/>
          <w:sz w:val="20"/>
          <w:szCs w:val="20"/>
          <w:b/>
          <w:bCs/>
          <w:spacing w:val="3"/>
          <w:position w:val="1"/>
        </w:rPr>
        <w:t>4</w:t>
      </w:r>
      <w:r>
        <w:rPr>
          <w:rFonts w:ascii="Times New Roman" w:hAnsi="Times New Roman" w:eastAsia="Times New Roman" w:cs="Times New Roman"/>
          <w:sz w:val="20"/>
          <w:szCs w:val="20"/>
          <w:b/>
          <w:bCs/>
          <w:spacing w:val="6"/>
          <w:position w:val="1"/>
        </w:rPr>
        <w:t xml:space="preserve">    </w:t>
      </w:r>
      <w:r>
        <w:rPr>
          <w:rFonts w:ascii="KaiTi" w:hAnsi="KaiTi" w:eastAsia="KaiTi" w:cs="KaiTi"/>
          <w:sz w:val="20"/>
          <w:szCs w:val="20"/>
          <w:b/>
          <w:bCs/>
          <w:spacing w:val="3"/>
          <w:position w:val="1"/>
        </w:rPr>
        <w:t>处置措施</w:t>
      </w:r>
    </w:p>
    <w:p>
      <w:pPr>
        <w:pStyle w:val="BodyText"/>
        <w:ind w:left="16" w:right="330" w:firstLine="420"/>
        <w:spacing w:before="141" w:line="375" w:lineRule="auto"/>
        <w:jc w:val="both"/>
        <w:rPr/>
      </w:pPr>
      <w:r>
        <w:rPr>
          <w:rFonts w:ascii="Times New Roman" w:hAnsi="Times New Roman" w:eastAsia="Times New Roman" w:cs="Times New Roman"/>
          <w:spacing w:val="7"/>
        </w:rPr>
        <w:t>4.</w:t>
      </w:r>
      <w:r>
        <w:rPr>
          <w:rFonts w:ascii="Times New Roman" w:hAnsi="Times New Roman" w:eastAsia="Times New Roman" w:cs="Times New Roman"/>
          <w:spacing w:val="-22"/>
        </w:rPr>
        <w:t xml:space="preserve"> </w:t>
      </w:r>
      <w:r>
        <w:rPr>
          <w:rFonts w:ascii="Times New Roman" w:hAnsi="Times New Roman" w:eastAsia="Times New Roman" w:cs="Times New Roman"/>
          <w:spacing w:val="7"/>
        </w:rPr>
        <w:t>1  </w:t>
      </w:r>
      <w:r>
        <w:rPr>
          <w:rFonts w:ascii="KaiTi" w:hAnsi="KaiTi" w:eastAsia="KaiTi" w:cs="KaiTi"/>
          <w:spacing w:val="7"/>
        </w:rPr>
        <w:t>处置措施。</w:t>
      </w:r>
      <w:r>
        <w:rPr>
          <w:spacing w:val="7"/>
        </w:rPr>
        <w:t>非煤矿山生产安全事故达</w:t>
      </w:r>
      <w:r>
        <w:rPr>
          <w:spacing w:val="7"/>
        </w:rPr>
        <w:t>到较大及以上时，需要市应急管理指挥部启动</w:t>
      </w:r>
      <w:r>
        <w:rPr>
          <w:spacing w:val="7"/>
        </w:rPr>
        <w:t>应急响应时，启动市非煤矿山生产安全事故应</w:t>
      </w:r>
      <w:r>
        <w:rPr>
          <w:spacing w:val="7"/>
        </w:rPr>
        <w:t>急预案，按照预案规定设立现场指挥部，实行</w:t>
      </w:r>
      <w:r>
        <w:rPr>
          <w:spacing w:val="7"/>
        </w:rPr>
        <w:t>现场总指挥负责制。现场总指挥由市政府分管</w:t>
      </w:r>
      <w:r>
        <w:rPr>
          <w:spacing w:val="7"/>
        </w:rPr>
        <w:t>应急管理工作的副市长担任，副总指挥由事故</w:t>
      </w:r>
      <w:r>
        <w:rPr>
          <w:spacing w:val="4"/>
        </w:rPr>
        <w:t>发生地县区政府分管副县（</w:t>
      </w:r>
      <w:r>
        <w:rPr>
          <w:spacing w:val="-35"/>
        </w:rPr>
        <w:t xml:space="preserve"> </w:t>
      </w:r>
      <w:r>
        <w:rPr>
          <w:spacing w:val="4"/>
        </w:rPr>
        <w:t>区）长、市应急管</w:t>
      </w:r>
      <w:r>
        <w:rPr>
          <w:spacing w:val="7"/>
        </w:rPr>
        <w:t>理局局长担任。成员由抢险组组长、医疗救护</w:t>
      </w:r>
      <w:r>
        <w:rPr>
          <w:spacing w:val="7"/>
        </w:rPr>
        <w:t>组组长、新闻宣传组组长等组成。现场总指挥</w:t>
      </w:r>
      <w:r>
        <w:rPr>
          <w:spacing w:val="7"/>
        </w:rPr>
        <w:t>有权决定现场处置方案，指挥调度现场应急救</w:t>
      </w:r>
      <w:r>
        <w:rPr>
          <w:spacing w:val="7"/>
        </w:rPr>
        <w:t>援队伍和应急资源。各有关单位按照职责参与</w:t>
      </w:r>
      <w:r>
        <w:rPr>
          <w:spacing w:val="7"/>
        </w:rPr>
        <w:t>处置工作，包括组织营救、伤员救治、疏散撤</w:t>
      </w:r>
      <w:r>
        <w:rPr>
          <w:spacing w:val="7"/>
        </w:rPr>
        <w:t>离和妥善安置受到威胁的人员，及时上报事故</w:t>
      </w:r>
      <w:r>
        <w:rPr>
          <w:spacing w:val="7"/>
        </w:rPr>
        <w:t>情况和人员伤亡情况，分配救援任务，协调各</w:t>
      </w:r>
      <w:r>
        <w:rPr>
          <w:spacing w:val="7"/>
        </w:rPr>
        <w:t>级各类救援队伍，查明并及时组织力量消除次</w:t>
      </w:r>
      <w:r>
        <w:rPr>
          <w:spacing w:val="7"/>
        </w:rPr>
        <w:t>生灾害，组织抢修公共设施、接收与分配援助</w:t>
      </w:r>
      <w:r>
        <w:rPr>
          <w:spacing w:val="6"/>
        </w:rPr>
        <w:t>物资等。</w:t>
      </w:r>
    </w:p>
    <w:p>
      <w:pPr>
        <w:pStyle w:val="BodyText"/>
        <w:ind w:left="16" w:right="330" w:firstLine="420"/>
        <w:spacing w:line="374" w:lineRule="auto"/>
        <w:rPr/>
      </w:pPr>
      <w:r>
        <w:rPr>
          <w:spacing w:val="19"/>
        </w:rPr>
        <w:t>各有关部门应按照市应急管理指挥部拟</w:t>
      </w:r>
      <w:r>
        <w:rPr>
          <w:spacing w:val="9"/>
        </w:rPr>
        <w:t>定的分工，迅速组织应急抢险救援工作。</w:t>
      </w:r>
    </w:p>
    <w:p>
      <w:pPr>
        <w:pStyle w:val="BodyText"/>
        <w:ind w:left="16" w:right="310" w:firstLine="421"/>
        <w:spacing w:line="374" w:lineRule="auto"/>
        <w:jc w:val="both"/>
        <w:rPr/>
      </w:pPr>
      <w:r>
        <w:rPr>
          <w:spacing w:val="6"/>
        </w:rPr>
        <w:t>非煤矿山生产安全事故的专业抢救，由事</w:t>
      </w:r>
      <w:r>
        <w:rPr>
          <w:spacing w:val="7"/>
        </w:rPr>
        <w:t>发企业、专业非煤矿山救护队负责，在非煤矿</w:t>
      </w:r>
      <w:r>
        <w:rPr>
          <w:spacing w:val="8"/>
        </w:rPr>
        <w:t>应急指挥机构指导下开展应急救援处置工作。</w:t>
      </w:r>
    </w:p>
    <w:p>
      <w:pPr>
        <w:pStyle w:val="BodyText"/>
        <w:ind w:left="16" w:right="330" w:firstLine="420"/>
        <w:spacing w:before="3" w:line="281" w:lineRule="auto"/>
        <w:rPr/>
      </w:pPr>
      <w:r>
        <w:rPr>
          <w:spacing w:val="6"/>
        </w:rPr>
        <w:t>进入现场救援人员必须经过专门训练，配</w:t>
      </w:r>
      <w:r>
        <w:rPr>
          <w:spacing w:val="7"/>
        </w:rPr>
        <w:t>备相应的防护装备及检测仪器。非煤矿山生产</w:t>
      </w:r>
    </w:p>
    <w:p>
      <w:pPr>
        <w:spacing w:line="14" w:lineRule="auto"/>
        <w:rPr>
          <w:rFonts w:ascii="Arial"/>
          <w:sz w:val="2"/>
        </w:rPr>
      </w:pPr>
      <w:r>
        <w:rPr>
          <w:rFonts w:ascii="Arial" w:hAnsi="Arial" w:eastAsia="Arial" w:cs="Arial"/>
          <w:sz w:val="2"/>
          <w:szCs w:val="2"/>
        </w:rPr>
        <w:br w:type="column"/>
      </w:r>
    </w:p>
    <w:p>
      <w:pPr>
        <w:pStyle w:val="BodyText"/>
        <w:ind w:right="36" w:firstLine="1"/>
        <w:spacing w:before="40" w:line="374" w:lineRule="auto"/>
        <w:jc w:val="both"/>
        <w:rPr/>
      </w:pPr>
      <w:r>
        <w:rPr>
          <w:spacing w:val="7"/>
        </w:rPr>
        <w:t>安全事故主要为矿井火灾、冒顶片帮、瓦斯或</w:t>
      </w:r>
      <w:r>
        <w:rPr>
          <w:spacing w:val="7"/>
        </w:rPr>
        <w:t>煤尘爆炸、透水、中毒和窒息等。事故中心区</w:t>
      </w:r>
      <w:r>
        <w:rPr>
          <w:spacing w:val="7"/>
        </w:rPr>
        <w:t>应严禁火种、切断电源，立即在边界设置警戒</w:t>
      </w:r>
      <w:r>
        <w:rPr>
          <w:spacing w:val="7"/>
        </w:rPr>
        <w:t>线。根据事故情况和事故发展，确定事故波及</w:t>
      </w:r>
      <w:r>
        <w:rPr>
          <w:spacing w:val="8"/>
        </w:rPr>
        <w:t>区人员的撤离。井下救护应使用专用防护服、</w:t>
      </w:r>
      <w:r>
        <w:rPr>
          <w:spacing w:val="8"/>
        </w:rPr>
        <w:t>隔绝式空气面具等。</w:t>
      </w:r>
    </w:p>
    <w:p>
      <w:pPr>
        <w:ind w:left="420"/>
        <w:spacing w:line="264" w:lineRule="exact"/>
        <w:rPr>
          <w:rFonts w:ascii="KaiTi" w:hAnsi="KaiTi" w:eastAsia="KaiTi" w:cs="KaiTi"/>
          <w:sz w:val="20"/>
          <w:szCs w:val="20"/>
        </w:rPr>
      </w:pPr>
      <w:r>
        <w:rPr>
          <w:rFonts w:ascii="Times New Roman" w:hAnsi="Times New Roman" w:eastAsia="Times New Roman" w:cs="Times New Roman"/>
          <w:sz w:val="20"/>
          <w:szCs w:val="20"/>
          <w:spacing w:val="5"/>
          <w:position w:val="1"/>
        </w:rPr>
        <w:t>4.2  </w:t>
      </w:r>
      <w:r>
        <w:rPr>
          <w:rFonts w:ascii="KaiTi" w:hAnsi="KaiTi" w:eastAsia="KaiTi" w:cs="KaiTi"/>
          <w:sz w:val="20"/>
          <w:szCs w:val="20"/>
          <w:spacing w:val="5"/>
          <w:position w:val="1"/>
        </w:rPr>
        <w:t>社会动员。</w:t>
      </w:r>
    </w:p>
    <w:p>
      <w:pPr>
        <w:pStyle w:val="BodyText"/>
        <w:ind w:right="39" w:firstLine="420"/>
        <w:spacing w:before="148" w:line="335" w:lineRule="auto"/>
        <w:rPr/>
      </w:pPr>
      <w:r>
        <w:rPr>
          <w:rFonts w:ascii="Times New Roman" w:hAnsi="Times New Roman" w:eastAsia="Times New Roman" w:cs="Times New Roman"/>
          <w:spacing w:val="13"/>
        </w:rPr>
        <w:t>4.2.1 </w:t>
      </w:r>
      <w:r>
        <w:rPr>
          <w:spacing w:val="13"/>
        </w:rPr>
        <w:t>市应急管理指挥部办公室根据市非</w:t>
      </w:r>
      <w:r>
        <w:rPr>
          <w:spacing w:val="18"/>
        </w:rPr>
        <w:t>煤矿山生产安全事故的性质、危害程度和范</w:t>
      </w:r>
      <w:r>
        <w:rPr>
          <w:spacing w:val="7"/>
        </w:rPr>
        <w:t>围，广泛调动社会力量参与事件处置，紧急情</w:t>
      </w:r>
      <w:r>
        <w:rPr>
          <w:spacing w:val="8"/>
        </w:rPr>
        <w:t>况下可依法征用、调用人员、车辆、物资等。</w:t>
      </w:r>
    </w:p>
    <w:p>
      <w:pPr>
        <w:pStyle w:val="BodyText"/>
        <w:ind w:right="52" w:firstLine="420"/>
        <w:spacing w:before="167" w:line="344" w:lineRule="auto"/>
        <w:rPr/>
      </w:pPr>
      <w:r>
        <w:rPr>
          <w:rFonts w:ascii="Times New Roman" w:hAnsi="Times New Roman" w:eastAsia="Times New Roman" w:cs="Times New Roman"/>
          <w:spacing w:val="3"/>
        </w:rPr>
        <w:t>4.2.2 </w:t>
      </w:r>
      <w:r>
        <w:rPr>
          <w:spacing w:val="3"/>
        </w:rPr>
        <w:t>非煤矿山生产安全事故发生后，相应</w:t>
      </w:r>
      <w:r>
        <w:rPr>
          <w:spacing w:val="18"/>
        </w:rPr>
        <w:t>应急指挥机构组织各方面力量开展应急处置</w:t>
      </w:r>
      <w:r>
        <w:rPr>
          <w:spacing w:val="7"/>
        </w:rPr>
        <w:t>工作，组织基层单位和人员开展自救互救；邻</w:t>
      </w:r>
      <w:r>
        <w:rPr>
          <w:spacing w:val="7"/>
        </w:rPr>
        <w:t>近的乡镇政府根据灾情组织和动员社会力量，</w:t>
      </w:r>
      <w:r>
        <w:rPr>
          <w:spacing w:val="8"/>
        </w:rPr>
        <w:t>对事发地提供援助。</w:t>
      </w:r>
    </w:p>
    <w:p>
      <w:pPr>
        <w:pStyle w:val="BodyText"/>
        <w:ind w:right="39" w:firstLine="420"/>
        <w:spacing w:before="165" w:line="337" w:lineRule="auto"/>
        <w:rPr/>
      </w:pPr>
      <w:r>
        <w:rPr>
          <w:rFonts w:ascii="Times New Roman" w:hAnsi="Times New Roman" w:eastAsia="Times New Roman" w:cs="Times New Roman"/>
          <w:spacing w:val="3"/>
        </w:rPr>
        <w:t>4.2.3 </w:t>
      </w:r>
      <w:r>
        <w:rPr>
          <w:spacing w:val="3"/>
        </w:rPr>
        <w:t>鼓励公民、法人和其他组织按照《中</w:t>
      </w:r>
      <w:r>
        <w:rPr>
          <w:spacing w:val="7"/>
        </w:rPr>
        <w:t>华人民共和国公益事业捐赠法》等有关法律法</w:t>
      </w:r>
      <w:r>
        <w:rPr>
          <w:spacing w:val="7"/>
        </w:rPr>
        <w:t>规的规定进行捐赠和援助。审计、监察部门对</w:t>
      </w:r>
      <w:r>
        <w:rPr>
          <w:spacing w:val="8"/>
        </w:rPr>
        <w:t>捐赠资金与物资的使用情况进行审计和监督。</w:t>
      </w:r>
    </w:p>
    <w:p>
      <w:pPr>
        <w:pStyle w:val="BodyText"/>
        <w:ind w:right="59" w:firstLine="420"/>
        <w:spacing w:before="168" w:line="344" w:lineRule="auto"/>
        <w:rPr/>
      </w:pPr>
      <w:r>
        <w:rPr>
          <w:rFonts w:ascii="Times New Roman" w:hAnsi="Times New Roman" w:eastAsia="Times New Roman" w:cs="Times New Roman"/>
          <w:spacing w:val="13"/>
        </w:rPr>
        <w:t>4.2.4 </w:t>
      </w:r>
      <w:r>
        <w:rPr>
          <w:spacing w:val="13"/>
        </w:rPr>
        <w:t>根据非煤矿山生产安全事故发展情</w:t>
      </w:r>
      <w:r>
        <w:rPr>
          <w:spacing w:val="7"/>
        </w:rPr>
        <w:t>况，向社会公布志愿服务需求指南，明确专门</w:t>
      </w:r>
      <w:r>
        <w:rPr>
          <w:spacing w:val="7"/>
        </w:rPr>
        <w:t>人员，及时开通志愿服务联系电话，统一接收</w:t>
      </w:r>
      <w:r>
        <w:rPr>
          <w:spacing w:val="7"/>
        </w:rPr>
        <w:t>志愿者组织报名，做好志愿者派遣和相关服务</w:t>
      </w:r>
      <w:r>
        <w:rPr>
          <w:spacing w:val="9"/>
        </w:rPr>
        <w:t>工作，引导志愿者有序参与救援工作。</w:t>
      </w:r>
    </w:p>
    <w:p>
      <w:pPr>
        <w:pStyle w:val="BodyText"/>
        <w:ind w:left="1" w:right="59" w:firstLine="418"/>
        <w:spacing w:before="158" w:line="349" w:lineRule="auto"/>
        <w:jc w:val="both"/>
        <w:rPr/>
      </w:pPr>
      <w:r>
        <w:rPr>
          <w:rFonts w:ascii="Times New Roman" w:hAnsi="Times New Roman" w:eastAsia="Times New Roman" w:cs="Times New Roman"/>
          <w:spacing w:val="5"/>
        </w:rPr>
        <w:t>4.3  </w:t>
      </w:r>
      <w:r>
        <w:rPr>
          <w:rFonts w:ascii="KaiTi" w:hAnsi="KaiTi" w:eastAsia="KaiTi" w:cs="KaiTi"/>
          <w:spacing w:val="5"/>
        </w:rPr>
        <w:t>信息发布。</w:t>
      </w:r>
      <w:r>
        <w:rPr>
          <w:spacing w:val="5"/>
        </w:rPr>
        <w:t>发生较大 (</w:t>
      </w:r>
      <w:r>
        <w:rPr>
          <w:spacing w:val="-27"/>
        </w:rPr>
        <w:t xml:space="preserve"> </w:t>
      </w:r>
      <w:r>
        <w:rPr>
          <w:rFonts w:ascii="Times New Roman" w:hAnsi="Times New Roman" w:eastAsia="Times New Roman" w:cs="Times New Roman"/>
          <w:spacing w:val="5"/>
        </w:rPr>
        <w:t>Ⅲ</w:t>
      </w:r>
      <w:r>
        <w:rPr>
          <w:spacing w:val="5"/>
        </w:rPr>
        <w:t>级）以上生</w:t>
      </w:r>
      <w:r>
        <w:rPr>
          <w:spacing w:val="7"/>
        </w:rPr>
        <w:t>产安全事故，以及有可能影响公众生产生活的</w:t>
      </w:r>
      <w:r>
        <w:rPr>
          <w:spacing w:val="7"/>
        </w:rPr>
        <w:t>生产安全事故，由市应急管理指挥部指定的新</w:t>
      </w:r>
      <w:r>
        <w:rPr>
          <w:spacing w:val="6"/>
        </w:rPr>
        <w:t>闻发言人，在启动应急响应</w:t>
      </w:r>
      <w:r>
        <w:rPr>
          <w:spacing w:val="-33"/>
        </w:rPr>
        <w:t xml:space="preserve"> </w:t>
      </w:r>
      <w:r>
        <w:rPr>
          <w:rFonts w:ascii="Times New Roman" w:hAnsi="Times New Roman" w:eastAsia="Times New Roman" w:cs="Times New Roman"/>
          <w:spacing w:val="6"/>
        </w:rPr>
        <w:t>2 </w:t>
      </w:r>
      <w:r>
        <w:rPr>
          <w:spacing w:val="6"/>
        </w:rPr>
        <w:t>小时之内发布生</w:t>
      </w:r>
      <w:r>
        <w:rPr>
          <w:spacing w:val="18"/>
        </w:rPr>
        <w:t>产安全事故基本信息。随后发布初步核实情</w:t>
      </w:r>
      <w:r>
        <w:rPr>
          <w:spacing w:val="7"/>
        </w:rPr>
        <w:t>况、政府处置措施和公众防范措施等，并根据</w:t>
      </w:r>
      <w:r>
        <w:rPr>
          <w:spacing w:val="7"/>
        </w:rPr>
        <w:t>事件处置情况做好后续工作，直至发布应急结</w:t>
      </w:r>
    </w:p>
    <w:p>
      <w:pPr>
        <w:spacing w:line="349" w:lineRule="auto"/>
        <w:sectPr>
          <w:type w:val="continuous"/>
          <w:pgSz w:w="11906" w:h="16839"/>
          <w:pgMar w:top="1766" w:right="1530" w:bottom="1563" w:left="1576" w:header="1428" w:footer="1172" w:gutter="0"/>
          <w:cols w:equalWidth="0" w:num="2">
            <w:col w:w="4493" w:space="100"/>
            <w:col w:w="4207" w:space="0"/>
          </w:cols>
        </w:sectPr>
        <w:rPr/>
      </w:pPr>
    </w:p>
    <w:p>
      <w:pPr>
        <w:spacing w:before="74"/>
        <w:rPr/>
      </w:pPr>
      <w:r/>
    </w:p>
    <w:p>
      <w:pPr>
        <w:sectPr>
          <w:headerReference w:type="default" r:id="rId707"/>
          <w:footerReference w:type="default" r:id="rId708"/>
          <w:pgSz w:w="11906" w:h="16839"/>
          <w:pgMar w:top="1772" w:right="1472" w:bottom="1547" w:left="1588" w:header="1428" w:footer="1172" w:gutter="0"/>
          <w:cols w:equalWidth="0" w:num="1">
            <w:col w:w="8846" w:space="0"/>
          </w:cols>
        </w:sectPr>
        <w:rPr/>
      </w:pPr>
    </w:p>
    <w:p>
      <w:pPr>
        <w:pStyle w:val="BodyText"/>
        <w:ind w:left="4"/>
        <w:spacing w:before="43" w:line="223" w:lineRule="auto"/>
        <w:rPr/>
      </w:pPr>
      <w:r>
        <w:rPr>
          <w:spacing w:val="6"/>
        </w:rPr>
        <w:t>束信息。</w:t>
      </w:r>
    </w:p>
    <w:p>
      <w:pPr>
        <w:pStyle w:val="BodyText"/>
        <w:ind w:left="4" w:right="248" w:firstLine="420"/>
        <w:spacing w:before="154" w:line="345" w:lineRule="auto"/>
        <w:rPr/>
      </w:pPr>
      <w:r>
        <w:rPr>
          <w:rFonts w:ascii="Times New Roman" w:hAnsi="Times New Roman" w:eastAsia="Times New Roman" w:cs="Times New Roman"/>
          <w:spacing w:val="8"/>
        </w:rPr>
        <w:t>4.4  </w:t>
      </w:r>
      <w:r>
        <w:rPr>
          <w:rFonts w:ascii="KaiTi" w:hAnsi="KaiTi" w:eastAsia="KaiTi" w:cs="KaiTi"/>
          <w:spacing w:val="8"/>
        </w:rPr>
        <w:t>响应终止。</w:t>
      </w:r>
      <w:r>
        <w:rPr>
          <w:spacing w:val="8"/>
        </w:rPr>
        <w:t>应对较大非煤矿山生产安</w:t>
      </w:r>
      <w:r>
        <w:rPr>
          <w:spacing w:val="7"/>
        </w:rPr>
        <w:t>全事故工作基本结束、紧急转移和安置工作基</w:t>
      </w:r>
      <w:r>
        <w:rPr>
          <w:spacing w:val="1"/>
        </w:rPr>
        <w:t>本完成、次生灾害的后果基本消除，以及交通、</w:t>
      </w:r>
      <w:r>
        <w:rPr>
          <w:spacing w:val="7"/>
        </w:rPr>
        <w:t>电力、通信和供水等基本抢修抢通、群众生活</w:t>
      </w:r>
      <w:r>
        <w:rPr>
          <w:spacing w:val="7"/>
        </w:rPr>
        <w:t>秩序基本恢复后，现场指挥部提出建议，由市</w:t>
      </w:r>
      <w:r>
        <w:rPr>
          <w:spacing w:val="9"/>
        </w:rPr>
        <w:t>应急管理指挥部决定终止应急响应。</w:t>
      </w:r>
    </w:p>
    <w:p>
      <w:pPr>
        <w:pStyle w:val="BodyText"/>
        <w:ind w:left="8" w:right="328" w:firstLine="415"/>
        <w:spacing w:before="159" w:line="298" w:lineRule="auto"/>
        <w:rPr/>
      </w:pPr>
      <w:r>
        <w:rPr>
          <w:rFonts w:ascii="Times New Roman" w:hAnsi="Times New Roman" w:eastAsia="Times New Roman" w:cs="Times New Roman"/>
          <w:spacing w:val="8"/>
        </w:rPr>
        <w:t>4.5  </w:t>
      </w:r>
      <w:r>
        <w:rPr>
          <w:rFonts w:ascii="KaiTi" w:hAnsi="KaiTi" w:eastAsia="KaiTi" w:cs="KaiTi"/>
          <w:spacing w:val="8"/>
        </w:rPr>
        <w:t>后期处置。</w:t>
      </w:r>
      <w:r>
        <w:rPr>
          <w:spacing w:val="8"/>
        </w:rPr>
        <w:t>宣布应急结束后，在市应</w:t>
      </w:r>
      <w:r>
        <w:rPr>
          <w:spacing w:val="7"/>
        </w:rPr>
        <w:t>急管理指挥部统一领导下，由相关部门负责后</w:t>
      </w:r>
    </w:p>
    <w:p>
      <w:pPr>
        <w:spacing w:line="157" w:lineRule="exact"/>
        <w:rPr/>
      </w:pPr>
      <w:r/>
    </w:p>
    <w:p>
      <w:pPr>
        <w:spacing w:line="14" w:lineRule="auto"/>
        <w:rPr>
          <w:rFonts w:ascii="Arial"/>
          <w:sz w:val="2"/>
        </w:rPr>
      </w:pPr>
      <w:r>
        <w:rPr>
          <w:rFonts w:ascii="Arial" w:hAnsi="Arial" w:eastAsia="Arial" w:cs="Arial"/>
          <w:sz w:val="2"/>
          <w:szCs w:val="2"/>
        </w:rPr>
        <w:br w:type="column"/>
      </w:r>
    </w:p>
    <w:p>
      <w:pPr>
        <w:pStyle w:val="BodyText"/>
        <w:ind w:left="2" w:right="118" w:hanging="1"/>
        <w:spacing w:before="40" w:line="368" w:lineRule="auto"/>
        <w:rPr/>
      </w:pPr>
      <w:r>
        <w:rPr>
          <w:spacing w:val="15"/>
        </w:rPr>
        <w:t>期处置工作</w:t>
      </w:r>
      <w:r>
        <w:rPr>
          <w:spacing w:val="-40"/>
        </w:rPr>
        <w:t xml:space="preserve"> </w:t>
      </w:r>
      <w:r>
        <w:rPr>
          <w:spacing w:val="15"/>
        </w:rPr>
        <w:t>，根据事故造成的后果及实际情</w:t>
      </w:r>
      <w:r>
        <w:rPr>
          <w:spacing w:val="9"/>
        </w:rPr>
        <w:t>况，制订善后处理措施并组织实施。</w:t>
      </w:r>
    </w:p>
    <w:p>
      <w:pPr>
        <w:pStyle w:val="BodyText"/>
        <w:ind w:right="118" w:firstLine="423"/>
        <w:spacing w:before="2" w:line="369" w:lineRule="auto"/>
        <w:jc w:val="both"/>
        <w:rPr/>
      </w:pPr>
      <w:r>
        <w:rPr>
          <w:spacing w:val="19"/>
        </w:rPr>
        <w:t>市应急管理局组织开展事故损失评估核</w:t>
      </w:r>
      <w:r>
        <w:rPr>
          <w:spacing w:val="15"/>
        </w:rPr>
        <w:t>定工作</w:t>
      </w:r>
      <w:r>
        <w:rPr>
          <w:spacing w:val="-39"/>
        </w:rPr>
        <w:t xml:space="preserve"> </w:t>
      </w:r>
      <w:r>
        <w:rPr>
          <w:spacing w:val="15"/>
        </w:rPr>
        <w:t>；市生态环境局提出事故污染处置建</w:t>
      </w:r>
      <w:r>
        <w:rPr>
          <w:spacing w:val="7"/>
        </w:rPr>
        <w:t>议，负责现场清理和消除环境污染；市应急管</w:t>
      </w:r>
      <w:r>
        <w:rPr>
          <w:spacing w:val="7"/>
        </w:rPr>
        <w:t>理局会同财政局、发展和改革委员会制定应由</w:t>
      </w:r>
      <w:r>
        <w:rPr>
          <w:spacing w:val="7"/>
        </w:rPr>
        <w:t>政府补偿的补偿标准和办法；做好征用补偿工</w:t>
      </w:r>
      <w:r>
        <w:rPr>
          <w:spacing w:val="7"/>
        </w:rPr>
        <w:t>作，做好受灾地区社会管理工作，并配合有关</w:t>
      </w:r>
      <w:r>
        <w:rPr>
          <w:spacing w:val="-3"/>
        </w:rPr>
        <w:t>部门做好救助款物的管理和调拨、发放等工作。</w:t>
      </w:r>
    </w:p>
    <w:p>
      <w:pPr>
        <w:spacing w:line="369" w:lineRule="auto"/>
        <w:sectPr>
          <w:type w:val="continuous"/>
          <w:pgSz w:w="11906" w:h="16839"/>
          <w:pgMar w:top="1772" w:right="1472" w:bottom="1547" w:left="1588" w:header="1428" w:footer="1172" w:gutter="0"/>
          <w:cols w:equalWidth="0" w:num="2">
            <w:col w:w="4480" w:space="100"/>
            <w:col w:w="4267" w:space="0"/>
          </w:cols>
        </w:sectPr>
        <w:rPr/>
      </w:pPr>
    </w:p>
    <w:p>
      <w:pPr>
        <w:spacing w:line="324" w:lineRule="auto"/>
        <w:rPr>
          <w:rFonts w:ascii="Arial"/>
          <w:sz w:val="21"/>
        </w:rPr>
      </w:pPr>
      <w:r>
        <w:drawing>
          <wp:anchor distT="0" distB="0" distL="0" distR="0" simplePos="0" relativeHeight="252272640" behindDoc="0" locked="0" layoutInCell="1" allowOverlap="1">
            <wp:simplePos x="0" y="0"/>
            <wp:positionH relativeFrom="column">
              <wp:posOffset>0</wp:posOffset>
            </wp:positionH>
            <wp:positionV relativeFrom="paragraph">
              <wp:posOffset>-2516095</wp:posOffset>
            </wp:positionV>
            <wp:extent cx="5579745" cy="7620"/>
            <wp:effectExtent l="0" t="0" r="0" b="0"/>
            <wp:wrapNone/>
            <wp:docPr id="1414" name="IM 1414"/>
            <wp:cNvGraphicFramePr/>
            <a:graphic>
              <a:graphicData uri="http://schemas.openxmlformats.org/drawingml/2006/picture">
                <pic:pic>
                  <pic:nvPicPr>
                    <pic:cNvPr id="1414" name="IM 1414"/>
                    <pic:cNvPicPr/>
                  </pic:nvPicPr>
                  <pic:blipFill>
                    <a:blip r:embed="rId709"/>
                    <a:stretch>
                      <a:fillRect/>
                    </a:stretch>
                  </pic:blipFill>
                  <pic:spPr>
                    <a:xfrm rot="0">
                      <a:off x="0" y="0"/>
                      <a:ext cx="5579745" cy="7620"/>
                    </a:xfrm>
                    <a:prstGeom prst="rect">
                      <a:avLst/>
                    </a:prstGeom>
                  </pic:spPr>
                </pic:pic>
              </a:graphicData>
            </a:graphic>
          </wp:anchor>
        </w:drawing>
      </w:r>
      <w:r/>
    </w:p>
    <w:p>
      <w:pPr>
        <w:spacing w:line="325" w:lineRule="auto"/>
        <w:rPr>
          <w:rFonts w:ascii="Arial"/>
          <w:sz w:val="21"/>
        </w:rPr>
      </w:pPr>
      <w:r/>
    </w:p>
    <w:p>
      <w:pPr>
        <w:ind w:left="1973"/>
        <w:spacing w:before="185" w:line="186"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7"/>
        </w:rPr>
        <w:t>固原市防汛抗旱应急预案</w:t>
      </w:r>
    </w:p>
    <w:p>
      <w:pPr>
        <w:spacing w:before="53"/>
        <w:rPr/>
      </w:pPr>
      <w:r/>
    </w:p>
    <w:p>
      <w:pPr>
        <w:spacing w:before="53"/>
        <w:rPr/>
      </w:pPr>
      <w:r/>
    </w:p>
    <w:p>
      <w:pPr>
        <w:sectPr>
          <w:type w:val="continuous"/>
          <w:pgSz w:w="11906" w:h="16839"/>
          <w:pgMar w:top="1772" w:right="1472" w:bottom="1547" w:left="1588" w:header="1428" w:footer="1172" w:gutter="0"/>
          <w:cols w:equalWidth="0" w:num="1">
            <w:col w:w="8846" w:space="0"/>
          </w:cols>
        </w:sectPr>
        <w:rPr/>
      </w:pPr>
    </w:p>
    <w:p>
      <w:pPr>
        <w:ind w:left="441"/>
        <w:spacing w:before="49"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1</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7"/>
        </w:rPr>
        <w:t>总则</w:t>
      </w:r>
    </w:p>
    <w:p>
      <w:pPr>
        <w:pStyle w:val="BodyText"/>
        <w:ind w:left="4" w:right="291" w:firstLine="441"/>
        <w:spacing w:before="108" w:line="357" w:lineRule="auto"/>
        <w:rPr/>
      </w:pPr>
      <w:r>
        <w:rPr>
          <w:rFonts w:ascii="Times New Roman" w:hAnsi="Times New Roman" w:eastAsia="Times New Roman" w:cs="Times New Roman"/>
          <w:spacing w:val="3"/>
        </w:rPr>
        <w:t>1.</w:t>
      </w:r>
      <w:r>
        <w:rPr>
          <w:rFonts w:ascii="Times New Roman" w:hAnsi="Times New Roman" w:eastAsia="Times New Roman" w:cs="Times New Roman"/>
          <w:spacing w:val="-9"/>
        </w:rPr>
        <w:t xml:space="preserve"> </w:t>
      </w:r>
      <w:r>
        <w:rPr>
          <w:rFonts w:ascii="Times New Roman" w:hAnsi="Times New Roman" w:eastAsia="Times New Roman" w:cs="Times New Roman"/>
          <w:spacing w:val="3"/>
        </w:rPr>
        <w:t>1  </w:t>
      </w:r>
      <w:r>
        <w:rPr>
          <w:rFonts w:ascii="KaiTi" w:hAnsi="KaiTi" w:eastAsia="KaiTi" w:cs="KaiTi"/>
          <w:spacing w:val="3"/>
        </w:rPr>
        <w:t>编制</w:t>
      </w:r>
      <w:r>
        <w:rPr>
          <w:rFonts w:ascii="KaiTi" w:hAnsi="KaiTi" w:eastAsia="KaiTi" w:cs="KaiTi"/>
          <w:spacing w:val="-50"/>
        </w:rPr>
        <w:t xml:space="preserve"> </w:t>
      </w:r>
      <w:r>
        <w:rPr>
          <w:rFonts w:ascii="KaiTi" w:hAnsi="KaiTi" w:eastAsia="KaiTi" w:cs="KaiTi"/>
          <w:spacing w:val="3"/>
        </w:rPr>
        <w:t>目的。</w:t>
      </w:r>
      <w:r>
        <w:rPr>
          <w:spacing w:val="3"/>
        </w:rPr>
        <w:t>为做好水旱灾害突发事件</w:t>
      </w:r>
      <w:r>
        <w:rPr>
          <w:spacing w:val="7"/>
        </w:rPr>
        <w:t>防范与处置工作，提高水旱灾害应对能力，使</w:t>
      </w:r>
      <w:r>
        <w:rPr>
          <w:spacing w:val="7"/>
        </w:rPr>
        <w:t>水旱灾害处于可控状态，保证抗洪抢险、抗旱</w:t>
      </w:r>
      <w:r>
        <w:rPr>
          <w:spacing w:val="7"/>
        </w:rPr>
        <w:t>救灾工作高效有序进行，最大程度地减少人员</w:t>
      </w:r>
      <w:r>
        <w:rPr>
          <w:spacing w:val="8"/>
        </w:rPr>
        <w:t>伤亡和财产损失，实现防汛抗旱工作科学化、</w:t>
      </w:r>
      <w:r>
        <w:rPr>
          <w:spacing w:val="7"/>
        </w:rPr>
        <w:t>规范化、制度化，维护地区社会稳定，保障我</w:t>
      </w:r>
      <w:r>
        <w:rPr>
          <w:spacing w:val="7"/>
        </w:rPr>
        <w:t>市经济社会全面、协调、可持续发展，特制订</w:t>
      </w:r>
      <w:r>
        <w:rPr>
          <w:spacing w:val="6"/>
        </w:rPr>
        <w:t>本预案。</w:t>
      </w:r>
    </w:p>
    <w:p>
      <w:pPr>
        <w:pStyle w:val="BodyText"/>
        <w:ind w:left="2" w:right="233" w:firstLine="442"/>
        <w:spacing w:before="171" w:line="359" w:lineRule="auto"/>
        <w:rPr/>
      </w:pPr>
      <w:r>
        <w:rPr>
          <w:rFonts w:ascii="Times New Roman" w:hAnsi="Times New Roman" w:eastAsia="Times New Roman" w:cs="Times New Roman"/>
          <w:spacing w:val="7"/>
        </w:rPr>
        <w:t>1.2  </w:t>
      </w:r>
      <w:r>
        <w:rPr>
          <w:rFonts w:ascii="KaiTi" w:hAnsi="KaiTi" w:eastAsia="KaiTi" w:cs="KaiTi"/>
          <w:spacing w:val="7"/>
        </w:rPr>
        <w:t>工作原则。</w:t>
      </w:r>
      <w:r>
        <w:rPr>
          <w:spacing w:val="7"/>
        </w:rPr>
        <w:t>实行行政首长负责制，统</w:t>
      </w:r>
      <w:r>
        <w:rPr>
          <w:spacing w:val="7"/>
        </w:rPr>
        <w:t>一指挥，属地管理，分级分部门负责，社会动</w:t>
      </w:r>
      <w:r>
        <w:rPr>
          <w:spacing w:val="7"/>
        </w:rPr>
        <w:t>员，军地联防，全民参与，强化资源整合，形</w:t>
      </w:r>
      <w:r>
        <w:rPr>
          <w:spacing w:val="7"/>
        </w:rPr>
        <w:t>成工作合力。防汛抗旱并举，工程和非工程措</w:t>
      </w:r>
      <w:r>
        <w:rPr>
          <w:spacing w:val="7"/>
        </w:rPr>
        <w:t>施相结合，确保防洪安全和城乡供水安全、粮</w:t>
      </w:r>
      <w:r>
        <w:rPr>
          <w:spacing w:val="1"/>
        </w:rPr>
        <w:t>食生产安全。防汛工作立足于防大汛、抗大洪、</w:t>
      </w:r>
      <w:r>
        <w:rPr>
          <w:spacing w:val="7"/>
        </w:rPr>
        <w:t>抢大险；安全第一，常备不懈，以防为主，全</w:t>
      </w:r>
      <w:r>
        <w:rPr>
          <w:spacing w:val="11"/>
        </w:rPr>
        <w:t>力抢险。抗旱工作以水资源承载能力为基础，</w:t>
      </w:r>
      <w:r>
        <w:rPr>
          <w:spacing w:val="9"/>
        </w:rPr>
        <w:t>实行先生活、后生产，科学调度，优化配置，</w:t>
      </w:r>
    </w:p>
    <w:p>
      <w:pPr>
        <w:spacing w:line="14" w:lineRule="auto"/>
        <w:rPr>
          <w:rFonts w:ascii="Arial"/>
          <w:sz w:val="2"/>
        </w:rPr>
      </w:pPr>
      <w:r>
        <w:rPr>
          <w:rFonts w:ascii="Arial" w:hAnsi="Arial" w:eastAsia="Arial" w:cs="Arial"/>
          <w:sz w:val="2"/>
          <w:szCs w:val="2"/>
        </w:rPr>
        <w:br w:type="column"/>
      </w:r>
    </w:p>
    <w:p>
      <w:pPr>
        <w:pStyle w:val="BodyText"/>
        <w:ind w:left="18"/>
        <w:spacing w:before="59" w:line="221" w:lineRule="auto"/>
        <w:rPr/>
      </w:pPr>
      <w:r>
        <w:rPr>
          <w:spacing w:val="8"/>
        </w:rPr>
        <w:t>确保城乡生活、生产、生态用水需求。</w:t>
      </w:r>
    </w:p>
    <w:p>
      <w:pPr>
        <w:pStyle w:val="BodyText"/>
        <w:ind w:firstLine="457"/>
        <w:spacing w:before="164" w:line="369" w:lineRule="auto"/>
        <w:rPr/>
      </w:pPr>
      <w:r>
        <w:rPr>
          <w:rFonts w:ascii="Times New Roman" w:hAnsi="Times New Roman" w:eastAsia="Times New Roman" w:cs="Times New Roman"/>
          <w:spacing w:val="7"/>
        </w:rPr>
        <w:t>1.3  </w:t>
      </w:r>
      <w:r>
        <w:rPr>
          <w:rFonts w:ascii="KaiTi" w:hAnsi="KaiTi" w:eastAsia="KaiTi" w:cs="KaiTi"/>
          <w:spacing w:val="7"/>
        </w:rPr>
        <w:t>编制依据。</w:t>
      </w:r>
      <w:r>
        <w:rPr>
          <w:spacing w:val="7"/>
        </w:rPr>
        <w:t>《中华人民共和国突发事</w:t>
      </w:r>
      <w:r>
        <w:rPr>
          <w:spacing w:val="8"/>
        </w:rPr>
        <w:t>件应对法》《中华人民共和国水法》《中华人</w:t>
      </w:r>
      <w:r>
        <w:rPr>
          <w:spacing w:val="8"/>
        </w:rPr>
        <w:t>民共和国防洪法》《中华人民共和国河道管理</w:t>
      </w:r>
      <w:r>
        <w:rPr>
          <w:spacing w:val="8"/>
        </w:rPr>
        <w:t>条例》《中华人民共和国防汛条例》《中华人</w:t>
      </w:r>
      <w:r>
        <w:rPr>
          <w:spacing w:val="8"/>
        </w:rPr>
        <w:t>民共和国抗旱条例》《水旱灾害突发事件应急</w:t>
      </w:r>
      <w:r>
        <w:rPr>
          <w:spacing w:val="3"/>
        </w:rPr>
        <w:t>条例》《水旱灾害突发事件应急预案管理办法》</w:t>
      </w:r>
      <w:r>
        <w:rPr>
          <w:spacing w:val="7"/>
        </w:rPr>
        <w:t>应急管理部</w:t>
      </w:r>
      <w:r>
        <w:rPr>
          <w:spacing w:val="-36"/>
        </w:rPr>
        <w:t xml:space="preserve"> </w:t>
      </w:r>
      <w:r>
        <w:rPr>
          <w:rFonts w:ascii="Times New Roman" w:hAnsi="Times New Roman" w:eastAsia="Times New Roman" w:cs="Times New Roman"/>
          <w:spacing w:val="7"/>
        </w:rPr>
        <w:t>2 </w:t>
      </w:r>
      <w:r>
        <w:rPr>
          <w:spacing w:val="7"/>
        </w:rPr>
        <w:t>号令《宁夏回族自治区突发事件</w:t>
      </w:r>
      <w:r>
        <w:rPr>
          <w:spacing w:val="11"/>
        </w:rPr>
        <w:t>应对条例》《宁夏回族自治区抗旱防汛条例》</w:t>
      </w:r>
      <w:r>
        <w:rPr>
          <w:spacing w:val="2"/>
        </w:rPr>
        <w:t xml:space="preserve"> </w:t>
      </w:r>
      <w:r>
        <w:rPr>
          <w:spacing w:val="8"/>
        </w:rPr>
        <w:t>《自治区政府办公厅关于印发《宁夏回族自治</w:t>
      </w:r>
      <w:r>
        <w:rPr>
          <w:spacing w:val="11"/>
        </w:rPr>
        <w:t>区水旱灾害突发事件应急预案》等</w:t>
      </w:r>
      <w:r>
        <w:rPr>
          <w:spacing w:val="-18"/>
        </w:rPr>
        <w:t xml:space="preserve"> </w:t>
      </w:r>
      <w:r>
        <w:rPr>
          <w:rFonts w:ascii="Times New Roman" w:hAnsi="Times New Roman" w:eastAsia="Times New Roman" w:cs="Times New Roman"/>
          <w:spacing w:val="11"/>
        </w:rPr>
        <w:t>17 </w:t>
      </w:r>
      <w:r>
        <w:rPr>
          <w:spacing w:val="11"/>
        </w:rPr>
        <w:t>部自治</w:t>
      </w:r>
      <w:r>
        <w:rPr>
          <w:spacing w:val="2"/>
        </w:rPr>
        <w:t>区专项应急预案的通知》宁政办发〔</w:t>
      </w:r>
      <w:r>
        <w:rPr>
          <w:rFonts w:ascii="Times New Roman" w:hAnsi="Times New Roman" w:eastAsia="Times New Roman" w:cs="Times New Roman"/>
          <w:spacing w:val="2"/>
        </w:rPr>
        <w:t>2017</w:t>
      </w:r>
      <w:r>
        <w:rPr>
          <w:spacing w:val="2"/>
        </w:rPr>
        <w:t>〕</w:t>
      </w:r>
      <w:r>
        <w:rPr>
          <w:rFonts w:ascii="Times New Roman" w:hAnsi="Times New Roman" w:eastAsia="Times New Roman" w:cs="Times New Roman"/>
          <w:spacing w:val="2"/>
        </w:rPr>
        <w:t>127</w:t>
      </w:r>
      <w:r>
        <w:rPr>
          <w:spacing w:val="8"/>
        </w:rPr>
        <w:t>号《宁夏回族自治区应急管理条例》《固原市</w:t>
      </w:r>
      <w:r>
        <w:rPr>
          <w:spacing w:val="3"/>
        </w:rPr>
        <w:t>防灾减灾救灾责任规定》《水文情报预报规范》</w:t>
      </w:r>
      <w:r>
        <w:rPr>
          <w:spacing w:val="16"/>
        </w:rPr>
        <w:t xml:space="preserve"> </w:t>
      </w:r>
      <w:r>
        <w:rPr>
          <w:spacing w:val="6"/>
        </w:rPr>
        <w:t>（</w:t>
      </w:r>
      <w:r>
        <w:rPr>
          <w:rFonts w:ascii="Times New Roman" w:hAnsi="Times New Roman" w:eastAsia="Times New Roman" w:cs="Times New Roman"/>
        </w:rPr>
        <w:t>GB</w:t>
      </w:r>
      <w:r>
        <w:rPr>
          <w:rFonts w:ascii="Times New Roman" w:hAnsi="Times New Roman" w:eastAsia="Times New Roman" w:cs="Times New Roman"/>
          <w:spacing w:val="6"/>
        </w:rPr>
        <w:t>/T22482-2008</w:t>
      </w:r>
      <w:r>
        <w:rPr>
          <w:rFonts w:ascii="Times New Roman" w:hAnsi="Times New Roman" w:eastAsia="Times New Roman" w:cs="Times New Roman"/>
          <w:spacing w:val="-15"/>
        </w:rPr>
        <w:t xml:space="preserve"> </w:t>
      </w:r>
      <w:r>
        <w:rPr>
          <w:spacing w:val="6"/>
        </w:rPr>
        <w:t>）</w:t>
      </w:r>
    </w:p>
    <w:p>
      <w:pPr>
        <w:pStyle w:val="BodyText"/>
        <w:ind w:left="18" w:right="118" w:firstLine="438"/>
        <w:spacing w:before="123" w:line="323" w:lineRule="auto"/>
        <w:rPr/>
      </w:pPr>
      <w:r>
        <w:rPr>
          <w:rFonts w:ascii="Times New Roman" w:hAnsi="Times New Roman" w:eastAsia="Times New Roman" w:cs="Times New Roman"/>
          <w:spacing w:val="7"/>
        </w:rPr>
        <w:t>1.4  </w:t>
      </w:r>
      <w:r>
        <w:rPr>
          <w:rFonts w:ascii="KaiTi" w:hAnsi="KaiTi" w:eastAsia="KaiTi" w:cs="KaiTi"/>
          <w:spacing w:val="7"/>
        </w:rPr>
        <w:t>适用范围。</w:t>
      </w:r>
      <w:r>
        <w:rPr>
          <w:spacing w:val="7"/>
        </w:rPr>
        <w:t>本预案适用于固原市行政</w:t>
      </w:r>
      <w:r>
        <w:rPr>
          <w:spacing w:val="18"/>
        </w:rPr>
        <w:t>区域内洪水干旱灾害的防范和应急处置。包</w:t>
      </w:r>
      <w:r>
        <w:rPr>
          <w:spacing w:val="7"/>
        </w:rPr>
        <w:t>括：清水河、泾河、葫芦河、祖厉河四大水系</w:t>
      </w:r>
    </w:p>
    <w:p>
      <w:pPr>
        <w:spacing w:line="323" w:lineRule="auto"/>
        <w:sectPr>
          <w:type w:val="continuous"/>
          <w:pgSz w:w="11906" w:h="16839"/>
          <w:pgMar w:top="1772" w:right="1472" w:bottom="1547" w:left="1588" w:header="1428" w:footer="1172" w:gutter="0"/>
          <w:cols w:equalWidth="0" w:num="2">
            <w:col w:w="4465" w:space="100"/>
            <w:col w:w="4281" w:space="0"/>
          </w:cols>
        </w:sectPr>
        <w:rPr/>
      </w:pPr>
    </w:p>
    <w:p>
      <w:pPr>
        <w:spacing w:before="72"/>
        <w:rPr/>
      </w:pPr>
      <w:r>
        <w:drawing>
          <wp:anchor distT="0" distB="0" distL="0" distR="0" simplePos="0" relativeHeight="25227776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418" name="IM 1418"/>
            <wp:cNvGraphicFramePr/>
            <a:graphic>
              <a:graphicData uri="http://schemas.openxmlformats.org/drawingml/2006/picture">
                <pic:pic>
                  <pic:nvPicPr>
                    <pic:cNvPr id="1418" name="IM 1418"/>
                    <pic:cNvPicPr/>
                  </pic:nvPicPr>
                  <pic:blipFill>
                    <a:blip r:embed="rId711"/>
                    <a:stretch>
                      <a:fillRect/>
                    </a:stretch>
                  </pic:blipFill>
                  <pic:spPr>
                    <a:xfrm rot="0">
                      <a:off x="0" y="0"/>
                      <a:ext cx="5579745" cy="7620"/>
                    </a:xfrm>
                    <a:prstGeom prst="rect">
                      <a:avLst/>
                    </a:prstGeom>
                  </pic:spPr>
                </pic:pic>
              </a:graphicData>
            </a:graphic>
          </wp:anchor>
        </w:drawing>
      </w:r>
      <w:r/>
    </w:p>
    <w:p>
      <w:pPr>
        <w:sectPr>
          <w:headerReference w:type="default" r:id="rId647"/>
          <w:footerReference w:type="default" r:id="rId710"/>
          <w:pgSz w:w="11906" w:h="16839"/>
          <w:pgMar w:top="1766" w:right="1530" w:bottom="1563" w:left="1576" w:header="1428" w:footer="1172" w:gutter="0"/>
          <w:cols w:equalWidth="0" w:num="1">
            <w:col w:w="8800" w:space="0"/>
          </w:cols>
        </w:sectPr>
        <w:rPr/>
      </w:pPr>
    </w:p>
    <w:p>
      <w:pPr>
        <w:pStyle w:val="BodyText"/>
        <w:ind w:left="15" w:right="246" w:firstLine="18"/>
        <w:spacing w:before="48" w:line="377" w:lineRule="auto"/>
        <w:jc w:val="both"/>
        <w:rPr/>
      </w:pPr>
      <w:r>
        <w:rPr>
          <w:spacing w:val="6"/>
        </w:rPr>
        <w:t>的一级支流洪水；六盘山、月亮山、云雾山等</w:t>
      </w:r>
      <w:r>
        <w:rPr>
          <w:spacing w:val="7"/>
        </w:rPr>
        <w:t>主要山区及小河、红河、渝河、滥泥河等易发</w:t>
      </w:r>
      <w:r>
        <w:rPr>
          <w:spacing w:val="18"/>
        </w:rPr>
        <w:t>生山体滑坡区域及河沟的山洪灾害、内涝灾</w:t>
      </w:r>
      <w:r>
        <w:rPr>
          <w:spacing w:val="1"/>
        </w:rPr>
        <w:t>害、干旱灾害、供水危机，以及由洪水、地震、</w:t>
      </w:r>
      <w:r>
        <w:rPr>
          <w:spacing w:val="7"/>
        </w:rPr>
        <w:t>恐怖活动等引发的水库垮坝、堤防决口等次生</w:t>
      </w:r>
      <w:r>
        <w:rPr>
          <w:spacing w:val="5"/>
        </w:rPr>
        <w:t>灾害。</w:t>
      </w:r>
    </w:p>
    <w:p>
      <w:pPr>
        <w:ind w:left="438"/>
        <w:spacing w:before="1"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2</w:t>
      </w:r>
      <w:r>
        <w:rPr>
          <w:rFonts w:ascii="Microsoft YaHei" w:hAnsi="Microsoft YaHei" w:eastAsia="Microsoft YaHei" w:cs="Microsoft YaHei"/>
          <w:sz w:val="20"/>
          <w:szCs w:val="20"/>
          <w:spacing w:val="14"/>
        </w:rPr>
        <w:t xml:space="preserve">   </w:t>
      </w:r>
      <w:r>
        <w:rPr>
          <w:rFonts w:ascii="Microsoft YaHei" w:hAnsi="Microsoft YaHei" w:eastAsia="Microsoft YaHei" w:cs="Microsoft YaHei"/>
          <w:sz w:val="20"/>
          <w:szCs w:val="20"/>
          <w:spacing w:val="7"/>
        </w:rPr>
        <w:t>组织指挥体系及职责</w:t>
      </w:r>
    </w:p>
    <w:p>
      <w:pPr>
        <w:pStyle w:val="BodyText"/>
        <w:ind w:left="16" w:right="281" w:firstLine="422"/>
        <w:spacing w:before="142" w:line="374" w:lineRule="auto"/>
        <w:rPr/>
      </w:pPr>
      <w:r>
        <w:rPr>
          <w:spacing w:val="6"/>
        </w:rPr>
        <w:t>在市委、市政府统一领导下，市应急管理</w:t>
      </w:r>
      <w:r>
        <w:rPr>
          <w:spacing w:val="7"/>
        </w:rPr>
        <w:t>指挥部负责领导、组织、协调水旱灾害方面的</w:t>
      </w:r>
      <w:r>
        <w:rPr>
          <w:spacing w:val="7"/>
        </w:rPr>
        <w:t>应急管理工作，统一指挥水旱灾害突发事件及</w:t>
      </w:r>
      <w:r>
        <w:rPr>
          <w:spacing w:val="9"/>
        </w:rPr>
        <w:t>其次生、衍生灾害的应急处置工作。各县（区</w:t>
      </w:r>
      <w:r>
        <w:rPr>
          <w:spacing w:val="13"/>
        </w:rPr>
        <w:t xml:space="preserve"> </w:t>
      </w:r>
      <w:r>
        <w:rPr>
          <w:spacing w:val="7"/>
        </w:rPr>
        <w:t>) 应急指挥机构在同级县（区）党委、政</w:t>
      </w:r>
      <w:r>
        <w:rPr>
          <w:spacing w:val="6"/>
        </w:rPr>
        <w:t>府的</w:t>
      </w:r>
      <w:r>
        <w:rPr>
          <w:spacing w:val="7"/>
        </w:rPr>
        <w:t>领导及上级应急指挥机构的指导下，负责本行</w:t>
      </w:r>
      <w:r>
        <w:rPr>
          <w:spacing w:val="8"/>
        </w:rPr>
        <w:t>政区域内的防汛抗旱工作。</w:t>
      </w:r>
    </w:p>
    <w:p>
      <w:pPr>
        <w:ind w:left="437"/>
        <w:spacing w:line="242" w:lineRule="auto"/>
        <w:rPr>
          <w:rFonts w:ascii="KaiTi" w:hAnsi="KaiTi" w:eastAsia="KaiTi" w:cs="KaiTi"/>
          <w:sz w:val="20"/>
          <w:szCs w:val="20"/>
        </w:rPr>
      </w:pPr>
      <w:r>
        <w:rPr>
          <w:rFonts w:ascii="Times New Roman" w:hAnsi="Times New Roman" w:eastAsia="Times New Roman" w:cs="Times New Roman"/>
          <w:sz w:val="20"/>
          <w:szCs w:val="20"/>
          <w:spacing w:val="5"/>
        </w:rPr>
        <w:t>2.</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5"/>
        </w:rPr>
        <w:t>1  </w:t>
      </w:r>
      <w:r>
        <w:rPr>
          <w:rFonts w:ascii="KaiTi" w:hAnsi="KaiTi" w:eastAsia="KaiTi" w:cs="KaiTi"/>
          <w:sz w:val="20"/>
          <w:szCs w:val="20"/>
          <w:spacing w:val="5"/>
        </w:rPr>
        <w:t>应急组织机构与职责。</w:t>
      </w:r>
    </w:p>
    <w:p>
      <w:pPr>
        <w:pStyle w:val="BodyText"/>
        <w:ind w:left="437"/>
        <w:spacing w:before="151" w:line="216" w:lineRule="auto"/>
        <w:rPr/>
      </w:pPr>
      <w:r>
        <w:rPr>
          <w:rFonts w:ascii="Times New Roman" w:hAnsi="Times New Roman" w:eastAsia="Times New Roman" w:cs="Times New Roman"/>
          <w:spacing w:val="3"/>
        </w:rPr>
        <w:t>2.</w:t>
      </w:r>
      <w:r>
        <w:rPr>
          <w:rFonts w:ascii="Times New Roman" w:hAnsi="Times New Roman" w:eastAsia="Times New Roman" w:cs="Times New Roman"/>
          <w:spacing w:val="-17"/>
        </w:rPr>
        <w:t xml:space="preserve"> </w:t>
      </w:r>
      <w:r>
        <w:rPr>
          <w:rFonts w:ascii="Times New Roman" w:hAnsi="Times New Roman" w:eastAsia="Times New Roman" w:cs="Times New Roman"/>
          <w:spacing w:val="3"/>
        </w:rPr>
        <w:t>1.1 </w:t>
      </w:r>
      <w:r>
        <w:rPr>
          <w:spacing w:val="3"/>
        </w:rPr>
        <w:t>应急组织机构。</w:t>
      </w:r>
    </w:p>
    <w:p>
      <w:pPr>
        <w:pStyle w:val="BodyText"/>
        <w:ind w:left="439"/>
        <w:spacing w:before="166" w:line="277" w:lineRule="exact"/>
        <w:rPr/>
      </w:pPr>
      <w:r>
        <w:rPr>
          <w:spacing w:val="9"/>
          <w:position w:val="1"/>
        </w:rPr>
        <w:t>指挥长：市政府分管应急工作的副市长</w:t>
      </w:r>
    </w:p>
    <w:p>
      <w:pPr>
        <w:pStyle w:val="BodyText"/>
        <w:ind w:left="18" w:right="329" w:firstLine="425"/>
        <w:spacing w:before="128" w:line="355" w:lineRule="auto"/>
        <w:rPr/>
      </w:pPr>
      <w:r>
        <w:rPr>
          <w:spacing w:val="6"/>
        </w:rPr>
        <w:t>常务副指挥长：市政府分管水务工作的副</w:t>
      </w:r>
      <w:r>
        <w:rPr>
          <w:spacing w:val="6"/>
        </w:rPr>
        <w:t>市长</w:t>
      </w:r>
    </w:p>
    <w:p>
      <w:pPr>
        <w:pStyle w:val="BodyText"/>
        <w:ind w:left="16" w:right="329" w:firstLine="426"/>
        <w:spacing w:before="40" w:line="375" w:lineRule="auto"/>
        <w:jc w:val="both"/>
        <w:rPr/>
      </w:pPr>
      <w:r>
        <w:rPr>
          <w:spacing w:val="6"/>
        </w:rPr>
        <w:t>副指挥长：市政府副秘书长、市公安局副</w:t>
      </w:r>
      <w:r>
        <w:rPr>
          <w:spacing w:val="7"/>
        </w:rPr>
        <w:t>局长、市水务局局长、市农业农村局局长、市</w:t>
      </w:r>
      <w:r>
        <w:rPr>
          <w:spacing w:val="7"/>
        </w:rPr>
        <w:t>应急局局长、固原军分区战备建设处处长、武</w:t>
      </w:r>
      <w:r>
        <w:rPr>
          <w:spacing w:val="7"/>
        </w:rPr>
        <w:t>警固原支队支队长、气象局局长、消防支队支</w:t>
      </w:r>
      <w:r>
        <w:rPr>
          <w:spacing w:val="7"/>
        </w:rPr>
        <w:t>队长</w:t>
      </w:r>
    </w:p>
    <w:p>
      <w:pPr>
        <w:pStyle w:val="BodyText"/>
        <w:ind w:left="13" w:right="248" w:firstLine="423"/>
        <w:spacing w:before="2" w:line="355" w:lineRule="auto"/>
        <w:jc w:val="both"/>
        <w:rPr/>
      </w:pPr>
      <w:r>
        <w:rPr>
          <w:spacing w:val="6"/>
        </w:rPr>
        <w:t>成员单位：政府办、市发展和改革委、教</w:t>
      </w:r>
      <w:r>
        <w:rPr>
          <w:spacing w:val="1"/>
        </w:rPr>
        <w:t>育体育局、工业和信息化局、公安局、民政局、</w:t>
      </w:r>
      <w:r>
        <w:rPr>
          <w:spacing w:val="5"/>
        </w:rPr>
        <w:t>财政局、国资委（金融局）、</w:t>
      </w:r>
      <w:r>
        <w:rPr>
          <w:spacing w:val="-53"/>
        </w:rPr>
        <w:t xml:space="preserve"> </w:t>
      </w:r>
      <w:r>
        <w:rPr>
          <w:spacing w:val="5"/>
        </w:rPr>
        <w:t>自然资源局、住</w:t>
      </w:r>
      <w:r>
        <w:rPr>
          <w:spacing w:val="7"/>
        </w:rPr>
        <w:t>房和城乡建设局、交通运输局、水务局、农业</w:t>
      </w:r>
      <w:r>
        <w:rPr>
          <w:spacing w:val="7"/>
        </w:rPr>
        <w:t>农村局、商务投资局、文化旅游广电局、卫生</w:t>
      </w:r>
      <w:r>
        <w:rPr>
          <w:spacing w:val="10"/>
        </w:rPr>
        <w:t>健康委、应急管理局、城市管理局、气象局、</w:t>
      </w:r>
      <w:r>
        <w:rPr>
          <w:spacing w:val="10"/>
        </w:rPr>
        <w:t>市消防救援支队，粮食储备局、固原车务段、</w:t>
      </w:r>
      <w:r>
        <w:rPr>
          <w:spacing w:val="7"/>
        </w:rPr>
        <w:t>开发区管委会，市应急管理指挥部根据救援工</w:t>
      </w:r>
    </w:p>
    <w:p>
      <w:pPr>
        <w:spacing w:line="14" w:lineRule="auto"/>
        <w:rPr>
          <w:rFonts w:ascii="Arial"/>
          <w:sz w:val="2"/>
        </w:rPr>
      </w:pPr>
      <w:r>
        <w:rPr>
          <w:rFonts w:ascii="Arial" w:hAnsi="Arial" w:eastAsia="Arial" w:cs="Arial"/>
          <w:sz w:val="2"/>
          <w:szCs w:val="2"/>
        </w:rPr>
        <w:br w:type="column"/>
      </w:r>
    </w:p>
    <w:p>
      <w:pPr>
        <w:pStyle w:val="BodyText"/>
        <w:ind w:right="59"/>
        <w:spacing w:before="47" w:line="358" w:lineRule="auto"/>
        <w:rPr/>
      </w:pPr>
      <w:r>
        <w:rPr>
          <w:spacing w:val="7"/>
        </w:rPr>
        <w:t>作需要确定的非政府职能部门（单位）和相关</w:t>
      </w:r>
      <w:r>
        <w:rPr>
          <w:spacing w:val="4"/>
        </w:rPr>
        <w:t>企业。</w:t>
      </w:r>
    </w:p>
    <w:p>
      <w:pPr>
        <w:pStyle w:val="BodyText"/>
        <w:ind w:right="52" w:firstLine="421"/>
        <w:spacing w:before="43" w:line="374" w:lineRule="auto"/>
        <w:rPr/>
      </w:pPr>
      <w:r>
        <w:rPr>
          <w:rFonts w:ascii="Times New Roman" w:hAnsi="Times New Roman" w:eastAsia="Times New Roman" w:cs="Times New Roman"/>
          <w:spacing w:val="8"/>
        </w:rPr>
        <w:t>2.1.2 </w:t>
      </w:r>
      <w:r>
        <w:rPr>
          <w:spacing w:val="8"/>
        </w:rPr>
        <w:t>工作职责。在市委、市政府的</w:t>
      </w:r>
      <w:r>
        <w:rPr>
          <w:spacing w:val="7"/>
        </w:rPr>
        <w:t>领导</w:t>
      </w:r>
      <w:r>
        <w:rPr>
          <w:spacing w:val="17"/>
        </w:rPr>
        <w:t>下，安排部署固原市防汛抗旱和抢险救灾应</w:t>
      </w:r>
      <w:r>
        <w:rPr>
          <w:spacing w:val="7"/>
        </w:rPr>
        <w:t>急工作；掌握汛情、旱情、灾情，及时提出防</w:t>
      </w:r>
      <w:r>
        <w:rPr>
          <w:spacing w:val="7"/>
        </w:rPr>
        <w:t>汛抗旱工作部署，组织指挥抗洪抢险及抗旱减</w:t>
      </w:r>
      <w:r>
        <w:rPr>
          <w:spacing w:val="7"/>
        </w:rPr>
        <w:t>灾工作。调配防汛抗旱物资和队伍，做好防汛</w:t>
      </w:r>
      <w:r>
        <w:rPr>
          <w:spacing w:val="17"/>
        </w:rPr>
        <w:t>抗旱物资储备管理和队伍建设，组织做好灾</w:t>
      </w:r>
      <w:r>
        <w:rPr>
          <w:spacing w:val="7"/>
        </w:rPr>
        <w:t>后处置。当灾情超过处置权限和能力时，及时</w:t>
      </w:r>
      <w:r>
        <w:rPr>
          <w:spacing w:val="7"/>
        </w:rPr>
        <w:t>向区党委、政府报告，由区党委、政府统一领</w:t>
      </w:r>
      <w:r>
        <w:rPr>
          <w:spacing w:val="6"/>
        </w:rPr>
        <w:t>导和指挥市应急管理指挥部和有关县（区）、</w:t>
      </w:r>
      <w:r>
        <w:rPr>
          <w:spacing w:val="-11"/>
        </w:rPr>
        <w:t>部（</w:t>
      </w:r>
      <w:r>
        <w:rPr>
          <w:position w:val="-1"/>
        </w:rPr>
        <w:drawing>
          <wp:inline distT="0" distB="0" distL="0" distR="0">
            <wp:extent cx="132586" cy="128069"/>
            <wp:effectExtent l="0" t="0" r="0" b="0"/>
            <wp:docPr id="1420" name="IM 1420"/>
            <wp:cNvGraphicFramePr/>
            <a:graphic>
              <a:graphicData uri="http://schemas.openxmlformats.org/drawingml/2006/picture">
                <pic:pic>
                  <pic:nvPicPr>
                    <pic:cNvPr id="1420" name="IM 1420"/>
                    <pic:cNvPicPr/>
                  </pic:nvPicPr>
                  <pic:blipFill>
                    <a:blip r:embed="rId712"/>
                    <a:stretch>
                      <a:fillRect/>
                    </a:stretch>
                  </pic:blipFill>
                  <pic:spPr>
                    <a:xfrm rot="0">
                      <a:off x="0" y="0"/>
                      <a:ext cx="132586" cy="128069"/>
                    </a:xfrm>
                    <a:prstGeom prst="rect">
                      <a:avLst/>
                    </a:prstGeom>
                  </pic:spPr>
                </pic:pic>
              </a:graphicData>
            </a:graphic>
          </wp:inline>
        </w:drawing>
      </w:r>
      <w:r>
        <w:rPr>
          <w:spacing w:val="-11"/>
        </w:rPr>
        <w:t>位）开展应急工作。</w:t>
      </w:r>
    </w:p>
    <w:p>
      <w:pPr>
        <w:pStyle w:val="BodyText"/>
        <w:ind w:right="36" w:firstLine="421"/>
        <w:spacing w:before="10" w:line="373" w:lineRule="auto"/>
        <w:jc w:val="both"/>
        <w:rPr/>
      </w:pPr>
      <w:r>
        <w:rPr>
          <w:rFonts w:ascii="Times New Roman" w:hAnsi="Times New Roman" w:eastAsia="Times New Roman" w:cs="Times New Roman"/>
          <w:spacing w:val="8"/>
        </w:rPr>
        <w:t>2.2  </w:t>
      </w:r>
      <w:r>
        <w:rPr>
          <w:rFonts w:ascii="KaiTi" w:hAnsi="KaiTi" w:eastAsia="KaiTi" w:cs="KaiTi"/>
          <w:spacing w:val="8"/>
        </w:rPr>
        <w:t>事故现场工作（督导）组职责。</w:t>
      </w:r>
      <w:r>
        <w:rPr>
          <w:spacing w:val="8"/>
        </w:rPr>
        <w:t>按水</w:t>
      </w:r>
      <w:r>
        <w:rPr>
          <w:spacing w:val="8"/>
        </w:rPr>
        <w:t>旱灾害突发事件等级和分级响应原则，由市、</w:t>
      </w:r>
      <w:r>
        <w:rPr>
          <w:spacing w:val="4"/>
        </w:rPr>
        <w:t>县（</w:t>
      </w:r>
      <w:r>
        <w:rPr>
          <w:spacing w:val="-34"/>
        </w:rPr>
        <w:t xml:space="preserve"> </w:t>
      </w:r>
      <w:r>
        <w:rPr>
          <w:spacing w:val="4"/>
        </w:rPr>
        <w:t>区）政府组成现场应急救援指挥部，现场</w:t>
      </w:r>
      <w:r>
        <w:rPr>
          <w:spacing w:val="7"/>
        </w:rPr>
        <w:t>总指挥由分管副市长担任，副总指挥由事发地</w:t>
      </w:r>
      <w:r>
        <w:rPr>
          <w:spacing w:val="4"/>
        </w:rPr>
        <w:t>县（</w:t>
      </w:r>
      <w:r>
        <w:rPr>
          <w:spacing w:val="-34"/>
        </w:rPr>
        <w:t xml:space="preserve"> </w:t>
      </w:r>
      <w:r>
        <w:rPr>
          <w:spacing w:val="4"/>
        </w:rPr>
        <w:t>区）政府主要负责人担任，全面负责应急</w:t>
      </w:r>
      <w:r>
        <w:rPr>
          <w:spacing w:val="7"/>
        </w:rPr>
        <w:t>救援指挥工作。按照有关规定，由熟悉事故现</w:t>
      </w:r>
      <w:r>
        <w:rPr>
          <w:spacing w:val="7"/>
        </w:rPr>
        <w:t>场情况的有关领导具体负责现场救援指挥。现</w:t>
      </w:r>
      <w:r>
        <w:rPr>
          <w:spacing w:val="18"/>
        </w:rPr>
        <w:t>场应急救援指挥部负责指挥所有参与应急救</w:t>
      </w:r>
      <w:r>
        <w:rPr>
          <w:spacing w:val="7"/>
        </w:rPr>
        <w:t>援的队伍和人员实施应急救援，并及时向市应</w:t>
      </w:r>
      <w:r>
        <w:rPr>
          <w:spacing w:val="7"/>
        </w:rPr>
        <w:t>急管理指挥部报告事故及救援情况，需要外部</w:t>
      </w:r>
      <w:r>
        <w:rPr>
          <w:spacing w:val="7"/>
        </w:rPr>
        <w:t>力量增援的，报请市应急管理指挥部协调，并</w:t>
      </w:r>
      <w:r>
        <w:rPr>
          <w:spacing w:val="9"/>
        </w:rPr>
        <w:t>说明需要的救援力量、救援装备等情况。</w:t>
      </w:r>
    </w:p>
    <w:p>
      <w:pPr>
        <w:pStyle w:val="BodyText"/>
        <w:ind w:right="39" w:firstLine="437"/>
        <w:spacing w:before="18" w:line="355" w:lineRule="auto"/>
        <w:jc w:val="both"/>
        <w:rPr/>
      </w:pPr>
      <w:r>
        <w:rPr>
          <w:spacing w:val="6"/>
        </w:rPr>
        <w:t>当水旱灾害突发事件涉及多个领域、跨多</w:t>
      </w:r>
      <w:r>
        <w:rPr>
          <w:spacing w:val="7"/>
        </w:rPr>
        <w:t>个地区或影响特别重大时，由市应急管理指挥</w:t>
      </w:r>
      <w:r>
        <w:rPr>
          <w:spacing w:val="7"/>
        </w:rPr>
        <w:t>部成立现场工作组，负责应急救援协调指挥工</w:t>
      </w:r>
      <w:r>
        <w:rPr>
          <w:spacing w:val="18"/>
        </w:rPr>
        <w:t>作。现场工作组是按照市应急管理指挥部要</w:t>
      </w:r>
      <w:r>
        <w:rPr>
          <w:spacing w:val="7"/>
        </w:rPr>
        <w:t>求，成立并派往事发现场的临时工作机构。组</w:t>
      </w:r>
      <w:r>
        <w:rPr>
          <w:spacing w:val="7"/>
        </w:rPr>
        <w:t>长由市政府分管副市长担任，由市应急管理指</w:t>
      </w:r>
      <w:r>
        <w:rPr>
          <w:spacing w:val="8"/>
        </w:rPr>
        <w:t>挥部应急处置工作组主要成员单位人员组成。</w:t>
      </w:r>
      <w:r>
        <w:rPr>
          <w:spacing w:val="7"/>
        </w:rPr>
        <w:t>主要职责是：</w:t>
      </w:r>
    </w:p>
    <w:p>
      <w:pPr>
        <w:spacing w:line="355" w:lineRule="auto"/>
        <w:sectPr>
          <w:type w:val="continuous"/>
          <w:pgSz w:w="11906" w:h="16839"/>
          <w:pgMar w:top="1766" w:right="1530" w:bottom="1563" w:left="1576" w:header="1428" w:footer="1172" w:gutter="0"/>
          <w:cols w:equalWidth="0" w:num="2">
            <w:col w:w="4493" w:space="100"/>
            <w:col w:w="4207" w:space="0"/>
          </w:cols>
        </w:sectPr>
        <w:rPr/>
      </w:pPr>
    </w:p>
    <w:p>
      <w:pPr>
        <w:spacing w:before="70"/>
        <w:rPr/>
      </w:pPr>
      <w:r>
        <w:drawing>
          <wp:anchor distT="0" distB="0" distL="0" distR="0" simplePos="0" relativeHeight="252282880"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424" name="IM 1424"/>
            <wp:cNvGraphicFramePr/>
            <a:graphic>
              <a:graphicData uri="http://schemas.openxmlformats.org/drawingml/2006/picture">
                <pic:pic>
                  <pic:nvPicPr>
                    <pic:cNvPr id="1424" name="IM 1424"/>
                    <pic:cNvPicPr/>
                  </pic:nvPicPr>
                  <pic:blipFill>
                    <a:blip r:embed="rId714"/>
                    <a:stretch>
                      <a:fillRect/>
                    </a:stretch>
                  </pic:blipFill>
                  <pic:spPr>
                    <a:xfrm rot="0">
                      <a:off x="0" y="0"/>
                      <a:ext cx="5579745" cy="7620"/>
                    </a:xfrm>
                    <a:prstGeom prst="rect">
                      <a:avLst/>
                    </a:prstGeom>
                  </pic:spPr>
                </pic:pic>
              </a:graphicData>
            </a:graphic>
          </wp:anchor>
        </w:drawing>
      </w:r>
      <w:r/>
    </w:p>
    <w:p>
      <w:pPr>
        <w:sectPr>
          <w:headerReference w:type="default" r:id="rId665"/>
          <w:footerReference w:type="default" r:id="rId713"/>
          <w:pgSz w:w="11906" w:h="16839"/>
          <w:pgMar w:top="1772" w:right="1489" w:bottom="1547" w:left="1588" w:header="1428" w:footer="1172" w:gutter="0"/>
          <w:cols w:equalWidth="0" w:num="1">
            <w:col w:w="8829" w:space="0"/>
          </w:cols>
        </w:sectPr>
        <w:rPr/>
      </w:pPr>
    </w:p>
    <w:p>
      <w:pPr>
        <w:pStyle w:val="BodyText"/>
        <w:ind w:left="8" w:right="332" w:firstLine="407"/>
        <w:spacing w:before="41" w:line="296" w:lineRule="auto"/>
        <w:rPr/>
      </w:pPr>
      <w:r>
        <w:rPr>
          <w:spacing w:val="5"/>
        </w:rPr>
        <w:t>（</w:t>
      </w:r>
      <w:r>
        <w:rPr>
          <w:spacing w:val="-44"/>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）指导水旱灾害发生地县（</w:t>
      </w:r>
      <w:r>
        <w:rPr>
          <w:spacing w:val="-48"/>
        </w:rPr>
        <w:t xml:space="preserve"> </w:t>
      </w:r>
      <w:r>
        <w:rPr>
          <w:spacing w:val="5"/>
        </w:rPr>
        <w:t>区）政府</w:t>
      </w:r>
      <w:r>
        <w:rPr>
          <w:spacing w:val="7"/>
        </w:rPr>
        <w:t>开展救援行动。</w:t>
      </w:r>
    </w:p>
    <w:p>
      <w:pPr>
        <w:pStyle w:val="BodyText"/>
        <w:ind w:left="4" w:right="329" w:firstLine="412"/>
        <w:spacing w:before="157" w:line="321" w:lineRule="auto"/>
        <w:rPr/>
      </w:pPr>
      <w:r>
        <w:rPr>
          <w:spacing w:val="6"/>
        </w:rPr>
        <w:t>（</w:t>
      </w:r>
      <w:r>
        <w:rPr>
          <w:rFonts w:ascii="Times New Roman" w:hAnsi="Times New Roman" w:eastAsia="Times New Roman" w:cs="Times New Roman"/>
          <w:spacing w:val="6"/>
        </w:rPr>
        <w:t>2 </w:t>
      </w:r>
      <w:r>
        <w:rPr>
          <w:spacing w:val="6"/>
        </w:rPr>
        <w:t>）当水旱灾害发生地县（</w:t>
      </w:r>
      <w:r>
        <w:rPr>
          <w:spacing w:val="-34"/>
        </w:rPr>
        <w:t xml:space="preserve"> </w:t>
      </w:r>
      <w:r>
        <w:rPr>
          <w:spacing w:val="6"/>
        </w:rPr>
        <w:t>区）应急救</w:t>
      </w:r>
      <w:r>
        <w:rPr>
          <w:spacing w:val="7"/>
        </w:rPr>
        <w:t>援力量不足时，调派市级救援队伍、人员和专</w:t>
      </w:r>
      <w:r>
        <w:rPr>
          <w:spacing w:val="8"/>
        </w:rPr>
        <w:t>家赴现场进行救援工作。</w:t>
      </w:r>
    </w:p>
    <w:p>
      <w:pPr>
        <w:pStyle w:val="BodyText"/>
        <w:ind w:left="4" w:right="329" w:firstLine="412"/>
        <w:spacing w:before="161" w:line="339"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）协调其他有关部门、救援机构和专</w:t>
      </w:r>
      <w:r>
        <w:rPr>
          <w:spacing w:val="7"/>
        </w:rPr>
        <w:t>家，做好应急救援准备工作。根据事故类别和</w:t>
      </w:r>
      <w:r>
        <w:rPr>
          <w:spacing w:val="7"/>
        </w:rPr>
        <w:t>救援情况，调集抢险救援物资，必要时，协调</w:t>
      </w:r>
      <w:r>
        <w:rPr>
          <w:spacing w:val="8"/>
        </w:rPr>
        <w:t>驻固部队给予支持。</w:t>
      </w:r>
    </w:p>
    <w:p>
      <w:pPr>
        <w:pStyle w:val="BodyText"/>
        <w:ind w:left="3" w:right="259" w:firstLine="421"/>
        <w:spacing w:before="163" w:line="377" w:lineRule="auto"/>
        <w:jc w:val="both"/>
        <w:rPr/>
      </w:pPr>
      <w:r>
        <w:rPr>
          <w:rFonts w:ascii="Times New Roman" w:hAnsi="Times New Roman" w:eastAsia="Times New Roman" w:cs="Times New Roman"/>
          <w:spacing w:val="8"/>
        </w:rPr>
        <w:t>2.3  </w:t>
      </w:r>
      <w:r>
        <w:rPr>
          <w:rFonts w:ascii="KaiTi" w:hAnsi="KaiTi" w:eastAsia="KaiTi" w:cs="KaiTi"/>
          <w:spacing w:val="8"/>
        </w:rPr>
        <w:t>应急救援办公室。</w:t>
      </w:r>
      <w:r>
        <w:rPr>
          <w:spacing w:val="8"/>
        </w:rPr>
        <w:t>市应急管理指挥部</w:t>
      </w:r>
      <w:r>
        <w:rPr>
          <w:spacing w:val="7"/>
        </w:rPr>
        <w:t>办公室设在市应急管理局，市应急管理局局长</w:t>
      </w:r>
      <w:r>
        <w:rPr>
          <w:spacing w:val="7"/>
        </w:rPr>
        <w:t>兼任办公室主任，市水务局局长兼任办公室常</w:t>
      </w:r>
      <w:r>
        <w:rPr/>
        <w:t>务副主任，负责水旱灾害防治的日常管理工作。</w:t>
      </w:r>
    </w:p>
    <w:p>
      <w:pPr>
        <w:pStyle w:val="BodyText"/>
        <w:ind w:left="4" w:right="306" w:firstLine="428"/>
        <w:spacing w:before="10" w:line="376" w:lineRule="auto"/>
        <w:jc w:val="both"/>
        <w:rPr/>
      </w:pPr>
      <w:r>
        <w:rPr>
          <w:spacing w:val="7"/>
        </w:rPr>
        <w:t>主要职责：指挥部负责贯彻落实党中央、</w:t>
      </w:r>
      <w:r>
        <w:rPr>
          <w:spacing w:val="7"/>
        </w:rPr>
        <w:t>国务院及区、市党委和政府关于防汛抗旱工作</w:t>
      </w:r>
      <w:r>
        <w:rPr>
          <w:spacing w:val="7"/>
        </w:rPr>
        <w:t>决策部署；负责落实国家防汛抗旱总指挥部及</w:t>
      </w:r>
      <w:r>
        <w:rPr>
          <w:spacing w:val="18"/>
        </w:rPr>
        <w:t>市应急管理指挥部关于防汛抗旱相关工作的</w:t>
      </w:r>
      <w:r>
        <w:rPr>
          <w:spacing w:val="7"/>
        </w:rPr>
        <w:t>安排部署；负责组织、指导、监督全市防汛抗</w:t>
      </w:r>
      <w:r>
        <w:rPr>
          <w:spacing w:val="7"/>
        </w:rPr>
        <w:t>旱工作；负责制定防汛抗旱重要措施，指导市</w:t>
      </w:r>
      <w:r>
        <w:rPr>
          <w:spacing w:val="7"/>
        </w:rPr>
        <w:t>县（区）水务部门开展水旱灾害监测预警、风</w:t>
      </w:r>
      <w:r>
        <w:rPr>
          <w:spacing w:val="8"/>
        </w:rPr>
        <w:t>险防范化解、隐患排查治理和工程巡查防守、</w:t>
      </w:r>
      <w:r>
        <w:rPr>
          <w:spacing w:val="7"/>
        </w:rPr>
        <w:t>应急水量调度等日常防治工作，指导各级应急</w:t>
      </w:r>
      <w:r>
        <w:rPr>
          <w:spacing w:val="8"/>
        </w:rPr>
        <w:t>管理部门编制并实施防汛抗旱专项应急预案、</w:t>
      </w:r>
      <w:r>
        <w:rPr>
          <w:spacing w:val="7"/>
        </w:rPr>
        <w:t>组织各类应急救援队伍开展应急演练、储备防</w:t>
      </w:r>
      <w:r>
        <w:rPr>
          <w:spacing w:val="7"/>
        </w:rPr>
        <w:t>汛抗旱物资、开展应急救援和灾后调查评估等</w:t>
      </w:r>
      <w:r>
        <w:rPr>
          <w:spacing w:val="7"/>
        </w:rPr>
        <w:t>工作；防治组织指挥较大水旱灾害的应急救援</w:t>
      </w:r>
      <w:r>
        <w:rPr>
          <w:spacing w:val="7"/>
        </w:rPr>
        <w:t>处置，指导水利部门和市县（区）开展三级及</w:t>
      </w:r>
      <w:r>
        <w:rPr>
          <w:spacing w:val="7"/>
        </w:rPr>
        <w:t>以下水旱灾害的应急救援处置；防治做好市委</w:t>
      </w:r>
      <w:r>
        <w:rPr>
          <w:spacing w:val="8"/>
        </w:rPr>
        <w:t>市政府安排的其他防汛抗旱工作。</w:t>
      </w:r>
    </w:p>
    <w:p>
      <w:pPr>
        <w:pStyle w:val="BodyText"/>
        <w:ind w:left="8" w:right="329" w:firstLine="416"/>
        <w:spacing w:line="333" w:lineRule="auto"/>
        <w:jc w:val="both"/>
        <w:rPr/>
      </w:pPr>
      <w:r>
        <w:rPr>
          <w:rFonts w:ascii="Times New Roman" w:hAnsi="Times New Roman" w:eastAsia="Times New Roman" w:cs="Times New Roman"/>
          <w:spacing w:val="8"/>
        </w:rPr>
        <w:t>2.4  </w:t>
      </w:r>
      <w:r>
        <w:rPr>
          <w:rFonts w:ascii="KaiTi" w:hAnsi="KaiTi" w:eastAsia="KaiTi" w:cs="KaiTi"/>
          <w:spacing w:val="8"/>
        </w:rPr>
        <w:t>应急处置工作组。</w:t>
      </w:r>
      <w:r>
        <w:rPr>
          <w:spacing w:val="8"/>
        </w:rPr>
        <w:t>当固原市行政区域</w:t>
      </w:r>
      <w:r>
        <w:rPr>
          <w:spacing w:val="7"/>
        </w:rPr>
        <w:t>内发生洪水干旱灾害，启动应急响应时，市应</w:t>
      </w:r>
      <w:r>
        <w:rPr>
          <w:spacing w:val="17"/>
        </w:rPr>
        <w:t>急管理指挥部按照职责分工和协调联动工作</w:t>
      </w:r>
    </w:p>
    <w:p>
      <w:pPr>
        <w:spacing w:line="14" w:lineRule="auto"/>
        <w:rPr>
          <w:rFonts w:ascii="Arial"/>
          <w:sz w:val="2"/>
        </w:rPr>
      </w:pPr>
      <w:r>
        <w:rPr>
          <w:rFonts w:ascii="Arial" w:hAnsi="Arial" w:eastAsia="Arial" w:cs="Arial"/>
          <w:sz w:val="2"/>
          <w:szCs w:val="2"/>
        </w:rPr>
        <w:br w:type="column"/>
      </w:r>
    </w:p>
    <w:p>
      <w:pPr>
        <w:pStyle w:val="BodyText"/>
        <w:ind w:right="23"/>
        <w:spacing w:before="47" w:line="377" w:lineRule="auto"/>
        <w:jc w:val="both"/>
        <w:rPr/>
      </w:pPr>
      <w:r>
        <w:rPr>
          <w:spacing w:val="7"/>
        </w:rPr>
        <w:t>需要，成立专业工作组，分组开展水旱灾害应</w:t>
      </w:r>
      <w:r>
        <w:rPr>
          <w:spacing w:val="7"/>
        </w:rPr>
        <w:t>急处置工作。各工作组成员单位可根据实际进</w:t>
      </w:r>
      <w:r>
        <w:rPr>
          <w:spacing w:val="7"/>
        </w:rPr>
        <w:t>行调整增补，按照组长单位要求做好工作。应</w:t>
      </w:r>
      <w:r>
        <w:rPr>
          <w:spacing w:val="5"/>
        </w:rPr>
        <w:t>急响应期间，各工作组实行</w:t>
      </w:r>
      <w:r>
        <w:rPr>
          <w:spacing w:val="-38"/>
        </w:rPr>
        <w:t xml:space="preserve"> </w:t>
      </w:r>
      <w:r>
        <w:rPr>
          <w:rFonts w:ascii="Times New Roman" w:hAnsi="Times New Roman" w:eastAsia="Times New Roman" w:cs="Times New Roman"/>
          <w:spacing w:val="5"/>
        </w:rPr>
        <w:t>24 </w:t>
      </w:r>
      <w:r>
        <w:rPr>
          <w:spacing w:val="5"/>
        </w:rPr>
        <w:t>小时值班值守。</w:t>
      </w:r>
    </w:p>
    <w:p>
      <w:pPr>
        <w:pStyle w:val="BodyText"/>
        <w:ind w:left="421"/>
        <w:spacing w:line="220" w:lineRule="auto"/>
        <w:rPr/>
      </w:pPr>
      <w:r>
        <w:rPr>
          <w:rFonts w:ascii="Times New Roman" w:hAnsi="Times New Roman" w:eastAsia="Times New Roman" w:cs="Times New Roman"/>
          <w:spacing w:val="5"/>
        </w:rPr>
        <w:t>2.4.1 </w:t>
      </w:r>
      <w:r>
        <w:rPr>
          <w:spacing w:val="5"/>
        </w:rPr>
        <w:t>监测预警组。</w:t>
      </w:r>
    </w:p>
    <w:p>
      <w:pPr>
        <w:pStyle w:val="BodyText"/>
        <w:ind w:left="421"/>
        <w:spacing w:before="163" w:line="278" w:lineRule="exact"/>
        <w:rPr/>
      </w:pPr>
      <w:r>
        <w:rPr>
          <w:spacing w:val="9"/>
          <w:position w:val="1"/>
        </w:rPr>
        <w:t>组长单位：市气象局</w:t>
      </w:r>
    </w:p>
    <w:p>
      <w:pPr>
        <w:pStyle w:val="BodyText"/>
        <w:ind w:right="18" w:firstLine="420"/>
        <w:spacing w:before="128" w:line="373" w:lineRule="auto"/>
        <w:jc w:val="both"/>
        <w:rPr/>
      </w:pPr>
      <w:r>
        <w:rPr>
          <w:spacing w:val="4"/>
        </w:rPr>
        <w:t>成员单位：市、县（</w:t>
      </w:r>
      <w:r>
        <w:rPr>
          <w:spacing w:val="-45"/>
        </w:rPr>
        <w:t xml:space="preserve"> </w:t>
      </w:r>
      <w:r>
        <w:rPr>
          <w:spacing w:val="4"/>
        </w:rPr>
        <w:t>区）气象局，市应急</w:t>
      </w:r>
      <w:r>
        <w:rPr>
          <w:spacing w:val="8"/>
        </w:rPr>
        <w:t>管理局、水务局、农业农村局、</w:t>
      </w:r>
      <w:r>
        <w:rPr>
          <w:spacing w:val="-53"/>
        </w:rPr>
        <w:t xml:space="preserve"> </w:t>
      </w:r>
      <w:r>
        <w:rPr>
          <w:spacing w:val="8"/>
        </w:rPr>
        <w:t>自然资源局、</w:t>
      </w:r>
      <w:r>
        <w:rPr>
          <w:spacing w:val="-8"/>
        </w:rPr>
        <w:t>住房和城乡建设局、城市管理局等有关成员单位。</w:t>
      </w:r>
    </w:p>
    <w:p>
      <w:pPr>
        <w:pStyle w:val="BodyText"/>
        <w:ind w:right="94" w:firstLine="429"/>
        <w:spacing w:before="13" w:line="377" w:lineRule="auto"/>
        <w:jc w:val="both"/>
        <w:rPr/>
      </w:pPr>
      <w:r>
        <w:rPr>
          <w:spacing w:val="6"/>
        </w:rPr>
        <w:t>主要职责：对天气形势、河道洪水、干旱</w:t>
      </w:r>
      <w:r>
        <w:rPr>
          <w:spacing w:val="7"/>
        </w:rPr>
        <w:t>情况及地质灾害进行监测、预报，为市应急管</w:t>
      </w:r>
      <w:r>
        <w:rPr>
          <w:spacing w:val="7"/>
        </w:rPr>
        <w:t>理指挥部及时提供准确雨情和短、中期天气预</w:t>
      </w:r>
      <w:r>
        <w:rPr>
          <w:spacing w:val="7"/>
        </w:rPr>
        <w:t>报、短期气候趋势预测等气象信息，对重要天</w:t>
      </w:r>
      <w:r>
        <w:rPr>
          <w:spacing w:val="7"/>
        </w:rPr>
        <w:t>气形势和洪涝、干旱、地质等灾害作出预报，</w:t>
      </w:r>
      <w:r>
        <w:rPr>
          <w:spacing w:val="9"/>
        </w:rPr>
        <w:t>并及时提出预警信息发布建议。</w:t>
      </w:r>
    </w:p>
    <w:p>
      <w:pPr>
        <w:pStyle w:val="BodyText"/>
        <w:ind w:left="421"/>
        <w:spacing w:before="3" w:line="219" w:lineRule="auto"/>
        <w:rPr/>
      </w:pPr>
      <w:r>
        <w:rPr>
          <w:rFonts w:ascii="Times New Roman" w:hAnsi="Times New Roman" w:eastAsia="Times New Roman" w:cs="Times New Roman"/>
          <w:spacing w:val="5"/>
        </w:rPr>
        <w:t>2.4.2 </w:t>
      </w:r>
      <w:r>
        <w:rPr>
          <w:spacing w:val="5"/>
        </w:rPr>
        <w:t>抢险救援组。</w:t>
      </w:r>
    </w:p>
    <w:p>
      <w:pPr>
        <w:pStyle w:val="BodyText"/>
        <w:ind w:left="2" w:right="101" w:firstLine="419"/>
        <w:spacing w:before="166" w:line="356" w:lineRule="auto"/>
        <w:rPr/>
      </w:pPr>
      <w:r>
        <w:rPr>
          <w:spacing w:val="6"/>
        </w:rPr>
        <w:t>组长单位：水旱灾害水旱灾害发生地县区</w:t>
      </w:r>
      <w:r>
        <w:rPr>
          <w:spacing w:val="6"/>
        </w:rPr>
        <w:t>政府</w:t>
      </w:r>
    </w:p>
    <w:p>
      <w:pPr>
        <w:pStyle w:val="BodyText"/>
        <w:ind w:left="1" w:right="23" w:firstLine="420"/>
        <w:spacing w:before="42" w:line="377" w:lineRule="auto"/>
        <w:jc w:val="both"/>
        <w:rPr/>
      </w:pPr>
      <w:r>
        <w:rPr>
          <w:spacing w:val="4"/>
        </w:rPr>
        <w:t>成员单位：市县（</w:t>
      </w:r>
      <w:r>
        <w:rPr>
          <w:spacing w:val="-48"/>
        </w:rPr>
        <w:t xml:space="preserve"> </w:t>
      </w:r>
      <w:r>
        <w:rPr>
          <w:spacing w:val="4"/>
        </w:rPr>
        <w:t>区）应急管理局，市水</w:t>
      </w:r>
      <w:r>
        <w:rPr>
          <w:spacing w:val="7"/>
        </w:rPr>
        <w:t>务局、市消防支（大）队、公安局、工业和信</w:t>
      </w:r>
      <w:r>
        <w:rPr>
          <w:spacing w:val="7"/>
        </w:rPr>
        <w:t>息化局、住房和城乡建设局、文化旅游广电局</w:t>
      </w:r>
      <w:r>
        <w:rPr>
          <w:spacing w:val="7"/>
        </w:rPr>
        <w:t>等有关成员单位，市应急管理指挥部工作应急</w:t>
      </w:r>
      <w:r>
        <w:rPr>
          <w:spacing w:val="1"/>
        </w:rPr>
        <w:t>救援工作需要确定的非政府职能部门（单位）。</w:t>
      </w:r>
    </w:p>
    <w:p>
      <w:pPr>
        <w:pStyle w:val="BodyText"/>
        <w:ind w:right="101" w:firstLine="428"/>
        <w:spacing w:before="4" w:line="376" w:lineRule="auto"/>
        <w:jc w:val="both"/>
        <w:rPr/>
      </w:pPr>
      <w:r>
        <w:rPr>
          <w:spacing w:val="6"/>
        </w:rPr>
        <w:t>主要职责：组织协调水旱灾害应急救援工</w:t>
      </w:r>
      <w:r>
        <w:rPr>
          <w:spacing w:val="7"/>
        </w:rPr>
        <w:t>作，协调指导重要河湖和重要水工程实施防御</w:t>
      </w:r>
      <w:r>
        <w:rPr>
          <w:spacing w:val="7"/>
        </w:rPr>
        <w:t>洪水抗御旱灾调度和应急水利调度工作。组织</w:t>
      </w:r>
      <w:r>
        <w:rPr>
          <w:spacing w:val="7"/>
        </w:rPr>
        <w:t>相关县区开展抗洪抢险、抗旱救灾工作，最大</w:t>
      </w:r>
      <w:r>
        <w:rPr>
          <w:spacing w:val="7"/>
        </w:rPr>
        <w:t>限度减少人员伤亡。组织、协调水旱灾区救灾</w:t>
      </w:r>
      <w:r>
        <w:rPr>
          <w:spacing w:val="8"/>
        </w:rPr>
        <w:t>和受灾群众的生活救助。</w:t>
      </w:r>
    </w:p>
    <w:p>
      <w:pPr>
        <w:pStyle w:val="BodyText"/>
        <w:ind w:left="421"/>
        <w:spacing w:before="5" w:line="220" w:lineRule="auto"/>
        <w:rPr/>
      </w:pPr>
      <w:r>
        <w:rPr>
          <w:rFonts w:ascii="Times New Roman" w:hAnsi="Times New Roman" w:eastAsia="Times New Roman" w:cs="Times New Roman"/>
          <w:spacing w:val="4"/>
        </w:rPr>
        <w:t>2.4.3</w:t>
      </w:r>
      <w:r>
        <w:rPr>
          <w:rFonts w:ascii="Times New Roman" w:hAnsi="Times New Roman" w:eastAsia="Times New Roman" w:cs="Times New Roman"/>
          <w:spacing w:val="19"/>
          <w:w w:val="101"/>
        </w:rPr>
        <w:t xml:space="preserve"> </w:t>
      </w:r>
      <w:r>
        <w:rPr>
          <w:spacing w:val="4"/>
        </w:rPr>
        <w:t>医疗救治组。</w:t>
      </w:r>
    </w:p>
    <w:p>
      <w:pPr>
        <w:pStyle w:val="BodyText"/>
        <w:ind w:left="421"/>
        <w:spacing w:before="160" w:line="278" w:lineRule="exact"/>
        <w:rPr/>
      </w:pPr>
      <w:r>
        <w:rPr>
          <w:spacing w:val="9"/>
          <w:position w:val="1"/>
        </w:rPr>
        <w:t>组长单位：市卫生健康委</w:t>
      </w:r>
    </w:p>
    <w:p>
      <w:pPr>
        <w:pStyle w:val="BodyText"/>
        <w:ind w:left="421"/>
        <w:spacing w:before="124" w:line="221" w:lineRule="auto"/>
        <w:rPr/>
      </w:pPr>
      <w:r>
        <w:rPr>
          <w:spacing w:val="6"/>
        </w:rPr>
        <w:t>成员单位：市人民医院、中医医院、事故</w:t>
      </w:r>
    </w:p>
    <w:p>
      <w:pPr>
        <w:spacing w:line="221" w:lineRule="auto"/>
        <w:sectPr>
          <w:type w:val="continuous"/>
          <w:pgSz w:w="11906" w:h="16839"/>
          <w:pgMar w:top="1772" w:right="1489" w:bottom="1547" w:left="1588" w:header="1428" w:footer="1172" w:gutter="0"/>
          <w:cols w:equalWidth="0" w:num="2">
            <w:col w:w="4481" w:space="100"/>
            <w:col w:w="4249" w:space="0"/>
          </w:cols>
        </w:sectPr>
        <w:rPr/>
      </w:pPr>
    </w:p>
    <w:p>
      <w:pPr>
        <w:spacing w:before="68"/>
        <w:rPr/>
      </w:pPr>
      <w:r>
        <w:drawing>
          <wp:anchor distT="0" distB="0" distL="0" distR="0" simplePos="0" relativeHeight="25228800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428" name="IM 1428"/>
            <wp:cNvGraphicFramePr/>
            <a:graphic>
              <a:graphicData uri="http://schemas.openxmlformats.org/drawingml/2006/picture">
                <pic:pic>
                  <pic:nvPicPr>
                    <pic:cNvPr id="1428" name="IM 1428"/>
                    <pic:cNvPicPr/>
                  </pic:nvPicPr>
                  <pic:blipFill>
                    <a:blip r:embed="rId716"/>
                    <a:stretch>
                      <a:fillRect/>
                    </a:stretch>
                  </pic:blipFill>
                  <pic:spPr>
                    <a:xfrm rot="0">
                      <a:off x="0" y="0"/>
                      <a:ext cx="5579745" cy="7620"/>
                    </a:xfrm>
                    <a:prstGeom prst="rect">
                      <a:avLst/>
                    </a:prstGeom>
                  </pic:spPr>
                </pic:pic>
              </a:graphicData>
            </a:graphic>
          </wp:anchor>
        </w:drawing>
      </w:r>
      <w:r/>
    </w:p>
    <w:p>
      <w:pPr>
        <w:sectPr>
          <w:headerReference w:type="default" r:id="rId668"/>
          <w:footerReference w:type="default" r:id="rId715"/>
          <w:pgSz w:w="11906" w:h="16839"/>
          <w:pgMar w:top="1766" w:right="1509" w:bottom="1563" w:left="1576" w:header="1428" w:footer="1172" w:gutter="0"/>
          <w:cols w:equalWidth="0" w:num="1">
            <w:col w:w="8821" w:space="0"/>
          </w:cols>
        </w:sectPr>
        <w:rPr/>
      </w:pPr>
    </w:p>
    <w:p>
      <w:pPr>
        <w:pStyle w:val="BodyText"/>
        <w:ind w:left="18"/>
        <w:spacing w:before="47" w:line="277" w:lineRule="exact"/>
        <w:rPr/>
      </w:pPr>
      <w:r>
        <w:rPr>
          <w:spacing w:val="5"/>
          <w:position w:val="1"/>
        </w:rPr>
        <w:t>发生地县（</w:t>
      </w:r>
      <w:r>
        <w:rPr>
          <w:spacing w:val="-48"/>
          <w:position w:val="1"/>
        </w:rPr>
        <w:t xml:space="preserve"> </w:t>
      </w:r>
      <w:r>
        <w:rPr>
          <w:spacing w:val="5"/>
          <w:position w:val="1"/>
        </w:rPr>
        <w:t>区）医疗卫生机构。</w:t>
      </w:r>
    </w:p>
    <w:p>
      <w:pPr>
        <w:pStyle w:val="BodyText"/>
        <w:ind w:left="17" w:right="322" w:firstLine="427"/>
        <w:spacing w:before="125" w:line="368" w:lineRule="auto"/>
        <w:jc w:val="both"/>
        <w:rPr/>
      </w:pPr>
      <w:r>
        <w:rPr>
          <w:spacing w:val="6"/>
        </w:rPr>
        <w:t>主要职责：组织有关医疗机构和人员赶赴</w:t>
      </w:r>
      <w:r>
        <w:rPr>
          <w:spacing w:val="7"/>
        </w:rPr>
        <w:t>灾区对伤病员实施救治。负责开展灾区疾病预</w:t>
      </w:r>
      <w:r>
        <w:rPr>
          <w:spacing w:val="7"/>
        </w:rPr>
        <w:t>防和疫情防控，及时向市应急管理指挥部提供</w:t>
      </w:r>
      <w:r>
        <w:rPr>
          <w:spacing w:val="8"/>
        </w:rPr>
        <w:t>灾区疫情防控和伤员救治信息。</w:t>
      </w:r>
    </w:p>
    <w:p>
      <w:pPr>
        <w:pStyle w:val="BodyText"/>
        <w:ind w:left="437"/>
        <w:spacing w:before="4" w:line="222" w:lineRule="auto"/>
        <w:rPr/>
      </w:pPr>
      <w:r>
        <w:rPr>
          <w:rFonts w:ascii="Times New Roman" w:hAnsi="Times New Roman" w:eastAsia="Times New Roman" w:cs="Times New Roman"/>
          <w:spacing w:val="5"/>
        </w:rPr>
        <w:t>2.4.4 </w:t>
      </w:r>
      <w:r>
        <w:rPr>
          <w:spacing w:val="5"/>
        </w:rPr>
        <w:t>资金保障组。</w:t>
      </w:r>
    </w:p>
    <w:p>
      <w:pPr>
        <w:pStyle w:val="BodyText"/>
        <w:ind w:left="18" w:right="241" w:firstLine="418"/>
        <w:spacing w:before="157" w:line="351" w:lineRule="auto"/>
        <w:rPr/>
      </w:pPr>
      <w:r>
        <w:rPr/>
        <w:t>组长单位：水旱灾害发生地县（区）政府、</w:t>
      </w:r>
      <w:r>
        <w:rPr>
          <w:spacing w:val="8"/>
        </w:rPr>
        <w:t>市财政局</w:t>
      </w:r>
    </w:p>
    <w:p>
      <w:pPr>
        <w:pStyle w:val="BodyText"/>
        <w:ind w:left="436"/>
        <w:spacing w:before="49" w:line="278" w:lineRule="exact"/>
        <w:rPr/>
      </w:pPr>
      <w:r>
        <w:rPr>
          <w:spacing w:val="6"/>
          <w:position w:val="1"/>
        </w:rPr>
        <w:t>成员单位：市、县（</w:t>
      </w:r>
      <w:r>
        <w:rPr>
          <w:spacing w:val="-52"/>
          <w:position w:val="1"/>
        </w:rPr>
        <w:t xml:space="preserve"> </w:t>
      </w:r>
      <w:r>
        <w:rPr>
          <w:spacing w:val="6"/>
          <w:position w:val="1"/>
        </w:rPr>
        <w:t>区）财政局</w:t>
      </w:r>
    </w:p>
    <w:p>
      <w:pPr>
        <w:pStyle w:val="BodyText"/>
        <w:ind w:left="16" w:right="322" w:firstLine="428"/>
        <w:spacing w:before="130" w:line="359" w:lineRule="auto"/>
        <w:rPr/>
      </w:pPr>
      <w:r>
        <w:rPr>
          <w:spacing w:val="6"/>
        </w:rPr>
        <w:t>主要职责：负责协调、保障应急救援工作</w:t>
      </w:r>
      <w:r>
        <w:rPr>
          <w:spacing w:val="8"/>
        </w:rPr>
        <w:t>所需物资、资金。</w:t>
      </w:r>
    </w:p>
    <w:p>
      <w:pPr>
        <w:pStyle w:val="BodyText"/>
        <w:ind w:left="437"/>
        <w:spacing w:before="46" w:line="222" w:lineRule="auto"/>
        <w:rPr/>
      </w:pPr>
      <w:r>
        <w:rPr>
          <w:rFonts w:ascii="Times New Roman" w:hAnsi="Times New Roman" w:eastAsia="Times New Roman" w:cs="Times New Roman"/>
          <w:spacing w:val="5"/>
        </w:rPr>
        <w:t>2.4.5 </w:t>
      </w:r>
      <w:r>
        <w:rPr>
          <w:spacing w:val="5"/>
        </w:rPr>
        <w:t>新闻宣传组。</w:t>
      </w:r>
    </w:p>
    <w:p>
      <w:pPr>
        <w:pStyle w:val="BodyText"/>
        <w:ind w:left="16" w:right="322" w:firstLine="420"/>
        <w:spacing w:before="166" w:line="359" w:lineRule="auto"/>
        <w:rPr/>
      </w:pPr>
      <w:r>
        <w:rPr>
          <w:spacing w:val="6"/>
        </w:rPr>
        <w:t>组长单位：由市应急管理指挥部工作工作</w:t>
      </w:r>
      <w:r>
        <w:rPr>
          <w:spacing w:val="8"/>
        </w:rPr>
        <w:t>需要确定</w:t>
      </w:r>
    </w:p>
    <w:p>
      <w:pPr>
        <w:pStyle w:val="BodyText"/>
        <w:ind w:left="33" w:right="322" w:firstLine="403"/>
        <w:spacing w:before="44" w:line="373" w:lineRule="auto"/>
        <w:jc w:val="both"/>
        <w:rPr/>
      </w:pPr>
      <w:r>
        <w:rPr>
          <w:spacing w:val="6"/>
        </w:rPr>
        <w:t>成员单位：市应急管理局、文化旅游广播</w:t>
      </w:r>
      <w:r>
        <w:rPr>
          <w:spacing w:val="6"/>
        </w:rPr>
        <w:t>电视局、固原电视台、固原日报社、广播电视</w:t>
      </w:r>
      <w:r>
        <w:rPr>
          <w:spacing w:val="7"/>
        </w:rPr>
        <w:t>台和网络等相关媒体单位。</w:t>
      </w:r>
    </w:p>
    <w:p>
      <w:pPr>
        <w:pStyle w:val="BodyText"/>
        <w:ind w:left="17" w:right="322" w:firstLine="427"/>
        <w:spacing w:before="15" w:line="378" w:lineRule="auto"/>
        <w:jc w:val="both"/>
        <w:rPr/>
      </w:pPr>
      <w:r>
        <w:rPr>
          <w:spacing w:val="6"/>
        </w:rPr>
        <w:t>主要职责：跟踪水旱灾害发展动态，及时</w:t>
      </w:r>
      <w:r>
        <w:rPr>
          <w:spacing w:val="7"/>
        </w:rPr>
        <w:t>收集生态环境、公安、卫生医疗等部门的救援</w:t>
      </w:r>
      <w:r>
        <w:rPr>
          <w:spacing w:val="7"/>
        </w:rPr>
        <w:t>工作情况，组织召开新闻发布会，统一对外发</w:t>
      </w:r>
      <w:r>
        <w:rPr>
          <w:spacing w:val="7"/>
        </w:rPr>
        <w:t>布水旱灾害发展和抢险救灾进展情况，及时引</w:t>
      </w:r>
      <w:r>
        <w:rPr>
          <w:spacing w:val="8"/>
        </w:rPr>
        <w:t>导处置过程舆情。</w:t>
      </w:r>
    </w:p>
    <w:p>
      <w:pPr>
        <w:pStyle w:val="BodyText"/>
        <w:ind w:left="437"/>
        <w:spacing w:before="8" w:line="221" w:lineRule="auto"/>
        <w:rPr/>
      </w:pPr>
      <w:r>
        <w:rPr>
          <w:rFonts w:ascii="Times New Roman" w:hAnsi="Times New Roman" w:eastAsia="Times New Roman" w:cs="Times New Roman"/>
          <w:spacing w:val="5"/>
        </w:rPr>
        <w:t>2.4.6 </w:t>
      </w:r>
      <w:r>
        <w:rPr>
          <w:spacing w:val="5"/>
        </w:rPr>
        <w:t>善后处理组。</w:t>
      </w:r>
    </w:p>
    <w:p>
      <w:pPr>
        <w:pStyle w:val="BodyText"/>
        <w:ind w:left="436"/>
        <w:spacing w:before="166" w:line="277" w:lineRule="exact"/>
        <w:rPr/>
      </w:pPr>
      <w:r>
        <w:rPr>
          <w:spacing w:val="4"/>
          <w:position w:val="1"/>
        </w:rPr>
        <w:t>组长单位：水旱灾害发生地县（</w:t>
      </w:r>
      <w:r>
        <w:rPr>
          <w:spacing w:val="-48"/>
          <w:position w:val="1"/>
        </w:rPr>
        <w:t xml:space="preserve"> </w:t>
      </w:r>
      <w:r>
        <w:rPr>
          <w:spacing w:val="4"/>
          <w:position w:val="1"/>
        </w:rPr>
        <w:t>区）政府</w:t>
      </w:r>
    </w:p>
    <w:p>
      <w:pPr>
        <w:pStyle w:val="BodyText"/>
        <w:ind w:left="34" w:right="322" w:firstLine="411"/>
        <w:spacing w:before="134" w:line="359" w:lineRule="auto"/>
        <w:rPr/>
      </w:pPr>
      <w:r>
        <w:rPr>
          <w:spacing w:val="6"/>
        </w:rPr>
        <w:t>主要职责：负责水旱灾害发生地受灾人员</w:t>
      </w:r>
      <w:r>
        <w:rPr>
          <w:spacing w:val="7"/>
        </w:rPr>
        <w:t>的善后处理和灾后重建工作。</w:t>
      </w:r>
    </w:p>
    <w:p>
      <w:pPr>
        <w:pStyle w:val="BodyText"/>
        <w:ind w:left="17" w:right="322" w:firstLine="427"/>
        <w:spacing w:before="42" w:line="376" w:lineRule="auto"/>
        <w:jc w:val="both"/>
        <w:rPr/>
      </w:pPr>
      <w:r>
        <w:rPr>
          <w:spacing w:val="6"/>
        </w:rPr>
        <w:t>主要职责：组织灾情核查，及时向市应急</w:t>
      </w:r>
      <w:r>
        <w:rPr>
          <w:spacing w:val="7"/>
        </w:rPr>
        <w:t>管理指挥部提供灾情信息；负责组织、协调水</w:t>
      </w:r>
      <w:r>
        <w:rPr>
          <w:spacing w:val="7"/>
        </w:rPr>
        <w:t>旱灾区救灾和受灾群众的生活救助；组织、指</w:t>
      </w:r>
      <w:r>
        <w:rPr>
          <w:spacing w:val="8"/>
        </w:rPr>
        <w:t>导和开展救灾捐赠等工作。</w:t>
      </w:r>
    </w:p>
    <w:p>
      <w:pPr>
        <w:ind w:left="440"/>
        <w:spacing w:before="4"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3</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6"/>
        </w:rPr>
        <w:t>信息报告与预警</w:t>
      </w:r>
    </w:p>
    <w:p>
      <w:pPr>
        <w:pStyle w:val="BodyText"/>
        <w:ind w:left="438"/>
        <w:spacing w:before="117" w:line="193" w:lineRule="auto"/>
        <w:rPr/>
      </w:pPr>
      <w:r>
        <w:rPr>
          <w:spacing w:val="19"/>
        </w:rPr>
        <w:t>市应急管理局会同有关部门建立统一的</w:t>
      </w:r>
    </w:p>
    <w:p>
      <w:pPr>
        <w:spacing w:line="14" w:lineRule="auto"/>
        <w:rPr>
          <w:rFonts w:ascii="Arial"/>
          <w:sz w:val="2"/>
        </w:rPr>
      </w:pPr>
      <w:r>
        <w:rPr>
          <w:rFonts w:ascii="Arial" w:hAnsi="Arial" w:eastAsia="Arial" w:cs="Arial"/>
          <w:sz w:val="2"/>
          <w:szCs w:val="2"/>
        </w:rPr>
        <w:br w:type="column"/>
      </w:r>
    </w:p>
    <w:p>
      <w:pPr>
        <w:pStyle w:val="BodyText"/>
        <w:ind w:left="6" w:right="80"/>
        <w:spacing w:before="65" w:line="388" w:lineRule="auto"/>
        <w:jc w:val="both"/>
        <w:rPr/>
      </w:pPr>
      <w:r>
        <w:rPr>
          <w:spacing w:val="7"/>
        </w:rPr>
        <w:t>应急管理信息平台，建立监测预警和灾情报告</w:t>
      </w:r>
      <w:r>
        <w:rPr>
          <w:spacing w:val="15"/>
        </w:rPr>
        <w:t>制度</w:t>
      </w:r>
      <w:r>
        <w:rPr>
          <w:spacing w:val="-39"/>
        </w:rPr>
        <w:t xml:space="preserve"> </w:t>
      </w:r>
      <w:r>
        <w:rPr>
          <w:spacing w:val="15"/>
        </w:rPr>
        <w:t>，健全自然灾害信息资源获取和共享机</w:t>
      </w:r>
      <w:r>
        <w:rPr>
          <w:spacing w:val="7"/>
        </w:rPr>
        <w:t>制，依法统一发布灾情，开展多灾种和灾害链</w:t>
      </w:r>
      <w:r>
        <w:rPr>
          <w:spacing w:val="7"/>
        </w:rPr>
        <w:t>综合监测预警。</w:t>
      </w:r>
    </w:p>
    <w:p>
      <w:pPr>
        <w:pStyle w:val="BodyText"/>
        <w:ind w:left="5" w:firstLine="427"/>
        <w:spacing w:before="13" w:line="375" w:lineRule="auto"/>
        <w:rPr/>
      </w:pPr>
      <w:r>
        <w:rPr>
          <w:rFonts w:ascii="Times New Roman" w:hAnsi="Times New Roman" w:eastAsia="Times New Roman" w:cs="Times New Roman"/>
          <w:spacing w:val="7"/>
        </w:rPr>
        <w:t>3.</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1  </w:t>
      </w:r>
      <w:r>
        <w:rPr>
          <w:rFonts w:ascii="KaiTi" w:hAnsi="KaiTi" w:eastAsia="KaiTi" w:cs="KaiTi"/>
          <w:spacing w:val="7"/>
        </w:rPr>
        <w:t>监测预报。</w:t>
      </w:r>
      <w:r>
        <w:rPr>
          <w:spacing w:val="7"/>
        </w:rPr>
        <w:t>市气象局负责汛期天</w:t>
      </w:r>
      <w:r>
        <w:rPr>
          <w:spacing w:val="6"/>
        </w:rPr>
        <w:t>气监</w:t>
      </w:r>
      <w:r>
        <w:rPr>
          <w:spacing w:val="10"/>
        </w:rPr>
        <w:t>测和降雨预测预报工作，从气象角度对汛情、</w:t>
      </w:r>
      <w:r>
        <w:rPr>
          <w:spacing w:val="7"/>
        </w:rPr>
        <w:t>旱情形势作出分析、评估和预测；市水务局承</w:t>
      </w:r>
      <w:r>
        <w:rPr>
          <w:spacing w:val="1"/>
        </w:rPr>
        <w:t>担水情旱情监测预警工作，负责清水河、泾河、</w:t>
      </w:r>
      <w:r>
        <w:rPr>
          <w:spacing w:val="1"/>
        </w:rPr>
        <w:t>葫芦河、祖厉河等四大水系，六盘山、月亮山、</w:t>
      </w:r>
      <w:r>
        <w:rPr>
          <w:spacing w:val="7"/>
        </w:rPr>
        <w:t>云雾山等主要山区及小河、红河、渝河、滥泥</w:t>
      </w:r>
      <w:r>
        <w:rPr>
          <w:spacing w:val="7"/>
        </w:rPr>
        <w:t>河的水情监测，及时提供河（沟道）洪水实时</w:t>
      </w:r>
      <w:r>
        <w:rPr>
          <w:spacing w:val="7"/>
        </w:rPr>
        <w:t>信息，城乡供水水源水量信息，提出水旱灾害</w:t>
      </w:r>
      <w:r>
        <w:rPr>
          <w:spacing w:val="7"/>
        </w:rPr>
        <w:t>重点监测防御区域和年度监测工作意见；农业</w:t>
      </w:r>
      <w:r>
        <w:rPr>
          <w:spacing w:val="7"/>
        </w:rPr>
        <w:t>农村局、自然资源局等部门应加强对全市农业</w:t>
      </w:r>
      <w:r>
        <w:rPr>
          <w:spacing w:val="7"/>
        </w:rPr>
        <w:t>墒情、地质灾害易发区监测；各部门依据职责</w:t>
      </w:r>
      <w:r>
        <w:rPr>
          <w:spacing w:val="7"/>
        </w:rPr>
        <w:t>对发生或可能发生的重、特大水旱灾害和次生</w:t>
      </w:r>
      <w:r>
        <w:rPr>
          <w:spacing w:val="7"/>
        </w:rPr>
        <w:t>灾害及时做出评估和预判，及时发布专业监测</w:t>
      </w:r>
      <w:r>
        <w:rPr>
          <w:spacing w:val="9"/>
        </w:rPr>
        <w:t>预报预警信息，并报送市应急管理指挥部。</w:t>
      </w:r>
    </w:p>
    <w:p>
      <w:pPr>
        <w:ind w:left="433"/>
        <w:spacing w:before="175" w:line="264" w:lineRule="exact"/>
        <w:rPr>
          <w:rFonts w:ascii="KaiTi" w:hAnsi="KaiTi" w:eastAsia="KaiTi" w:cs="KaiTi"/>
          <w:sz w:val="20"/>
          <w:szCs w:val="20"/>
        </w:rPr>
      </w:pPr>
      <w:r>
        <w:rPr>
          <w:rFonts w:ascii="Times New Roman" w:hAnsi="Times New Roman" w:eastAsia="Times New Roman" w:cs="Times New Roman"/>
          <w:sz w:val="20"/>
          <w:szCs w:val="20"/>
          <w:spacing w:val="3"/>
          <w:position w:val="1"/>
        </w:rPr>
        <w:t>3.2</w:t>
      </w:r>
      <w:r>
        <w:rPr>
          <w:rFonts w:ascii="Times New Roman" w:hAnsi="Times New Roman" w:eastAsia="Times New Roman" w:cs="Times New Roman"/>
          <w:sz w:val="20"/>
          <w:szCs w:val="20"/>
          <w:spacing w:val="10"/>
          <w:position w:val="1"/>
        </w:rPr>
        <w:t xml:space="preserve">  </w:t>
      </w:r>
      <w:r>
        <w:rPr>
          <w:rFonts w:ascii="KaiTi" w:hAnsi="KaiTi" w:eastAsia="KaiTi" w:cs="KaiTi"/>
          <w:sz w:val="20"/>
          <w:szCs w:val="20"/>
          <w:spacing w:val="3"/>
          <w:position w:val="1"/>
        </w:rPr>
        <w:t>分级标准。</w:t>
      </w:r>
    </w:p>
    <w:p>
      <w:pPr>
        <w:pStyle w:val="BodyText"/>
        <w:ind w:left="10" w:right="2" w:firstLine="422"/>
        <w:spacing w:before="159" w:line="388" w:lineRule="auto"/>
        <w:rPr/>
      </w:pPr>
      <w:r>
        <w:rPr>
          <w:rFonts w:ascii="Times New Roman" w:hAnsi="Times New Roman" w:eastAsia="Times New Roman" w:cs="Times New Roman"/>
          <w:spacing w:val="6"/>
        </w:rPr>
        <w:t>3.2.1 </w:t>
      </w:r>
      <w:r>
        <w:rPr>
          <w:spacing w:val="6"/>
        </w:rPr>
        <w:t>水旱灾害。水旱灾害分为特别重大、</w:t>
      </w:r>
      <w:r>
        <w:rPr>
          <w:spacing w:val="8"/>
        </w:rPr>
        <w:t>重大、较大、一般四级。</w:t>
      </w:r>
    </w:p>
    <w:p>
      <w:pPr>
        <w:pStyle w:val="BodyText"/>
        <w:ind w:left="7" w:right="80" w:firstLine="420"/>
        <w:spacing w:before="5" w:line="385" w:lineRule="auto"/>
        <w:jc w:val="both"/>
        <w:rPr/>
      </w:pPr>
      <w:r>
        <w:rPr>
          <w:spacing w:val="8"/>
        </w:rPr>
        <w:t>本预案水旱灾害分级指标主要考虑以下</w:t>
      </w:r>
      <w:r>
        <w:rPr>
          <w:spacing w:val="-23"/>
        </w:rPr>
        <w:t xml:space="preserve"> </w:t>
      </w:r>
      <w:r>
        <w:rPr>
          <w:rFonts w:ascii="Times New Roman" w:hAnsi="Times New Roman" w:eastAsia="Times New Roman" w:cs="Times New Roman"/>
          <w:spacing w:val="8"/>
        </w:rPr>
        <w:t>9</w:t>
      </w:r>
      <w:r>
        <w:rPr>
          <w:spacing w:val="7"/>
        </w:rPr>
        <w:t>种影响因素：人员伤亡、洪涝受灾人口、城乡</w:t>
      </w:r>
      <w:r>
        <w:rPr>
          <w:spacing w:val="7"/>
        </w:rPr>
        <w:t>饮水困难人口、城市干旱缺水、河道洪水、山</w:t>
      </w:r>
      <w:r>
        <w:rPr>
          <w:spacing w:val="7"/>
        </w:rPr>
        <w:t>洪、水库垮坝和堤防溃决、农作物受灾和直接</w:t>
      </w:r>
      <w:r>
        <w:rPr>
          <w:spacing w:val="8"/>
        </w:rPr>
        <w:t>经济损失，详见下表。</w:t>
      </w:r>
    </w:p>
    <w:p>
      <w:pPr>
        <w:pStyle w:val="BodyText"/>
        <w:ind w:right="78" w:firstLine="427"/>
        <w:spacing w:before="8" w:line="354" w:lineRule="auto"/>
        <w:jc w:val="both"/>
        <w:rPr/>
      </w:pPr>
      <w:r>
        <w:rPr>
          <w:spacing w:val="7"/>
        </w:rPr>
        <w:t>对于倒塌房屋、骨干交通中断历时、城市</w:t>
      </w:r>
      <w:r>
        <w:rPr>
          <w:spacing w:val="7"/>
        </w:rPr>
        <w:t>受淹历时、生命工程（水电气和通信等）中断</w:t>
      </w:r>
      <w:r>
        <w:rPr>
          <w:spacing w:val="7"/>
        </w:rPr>
        <w:t>历时和牧业干旱等灾害的分级，按照《洪涝灾</w:t>
      </w:r>
      <w:r>
        <w:rPr>
          <w:spacing w:val="2"/>
        </w:rPr>
        <w:t>情评估标准（</w:t>
      </w:r>
      <w:r>
        <w:rPr>
          <w:spacing w:val="-43"/>
        </w:rPr>
        <w:t xml:space="preserve"> </w:t>
      </w:r>
      <w:r>
        <w:rPr>
          <w:rFonts w:ascii="Times New Roman" w:hAnsi="Times New Roman" w:eastAsia="Times New Roman" w:cs="Times New Roman"/>
        </w:rPr>
        <w:t>SL</w:t>
      </w:r>
      <w:r>
        <w:rPr>
          <w:rFonts w:ascii="Times New Roman" w:hAnsi="Times New Roman" w:eastAsia="Times New Roman" w:cs="Times New Roman"/>
          <w:spacing w:val="2"/>
        </w:rPr>
        <w:t>579-2012 </w:t>
      </w:r>
      <w:r>
        <w:rPr>
          <w:spacing w:val="2"/>
        </w:rPr>
        <w:t>）》《旱情等级标准</w:t>
      </w:r>
      <w:r>
        <w:rPr>
          <w:spacing w:val="4"/>
        </w:rPr>
        <w:t>（</w:t>
      </w:r>
      <w:r>
        <w:rPr>
          <w:spacing w:val="-59"/>
        </w:rPr>
        <w:t xml:space="preserve"> </w:t>
      </w:r>
      <w:r>
        <w:rPr>
          <w:rFonts w:ascii="Times New Roman" w:hAnsi="Times New Roman" w:eastAsia="Times New Roman" w:cs="Times New Roman"/>
        </w:rPr>
        <w:t>SL</w:t>
      </w:r>
      <w:r>
        <w:rPr>
          <w:rFonts w:ascii="Times New Roman" w:hAnsi="Times New Roman" w:eastAsia="Times New Roman" w:cs="Times New Roman"/>
          <w:spacing w:val="4"/>
        </w:rPr>
        <w:t>424</w:t>
      </w:r>
      <w:r>
        <w:rPr>
          <w:spacing w:val="4"/>
        </w:rPr>
        <w:t>－</w:t>
      </w:r>
      <w:r>
        <w:rPr>
          <w:rFonts w:ascii="Times New Roman" w:hAnsi="Times New Roman" w:eastAsia="Times New Roman" w:cs="Times New Roman"/>
          <w:spacing w:val="4"/>
        </w:rPr>
        <w:t>2008 </w:t>
      </w:r>
      <w:r>
        <w:rPr>
          <w:spacing w:val="4"/>
        </w:rPr>
        <w:t>）》等相关规定进行评定。</w:t>
      </w:r>
    </w:p>
    <w:p>
      <w:pPr>
        <w:spacing w:line="354" w:lineRule="auto"/>
        <w:sectPr>
          <w:type w:val="continuous"/>
          <w:pgSz w:w="11906" w:h="16839"/>
          <w:pgMar w:top="1766" w:right="1509" w:bottom="1563" w:left="1576" w:header="1428" w:footer="1172" w:gutter="0"/>
          <w:cols w:equalWidth="0" w:num="2">
            <w:col w:w="4486" w:space="100"/>
            <w:col w:w="4235" w:space="0"/>
          </w:cols>
        </w:sectPr>
        <w:rPr/>
      </w:pPr>
    </w:p>
    <w:p>
      <w:pPr>
        <w:ind w:left="5710"/>
        <w:spacing w:before="290" w:line="222" w:lineRule="auto"/>
        <w:rPr>
          <w:rFonts w:ascii="SimHei" w:hAnsi="SimHei" w:eastAsia="SimHei" w:cs="SimHei"/>
          <w:sz w:val="28"/>
          <w:szCs w:val="28"/>
        </w:rPr>
      </w:pPr>
      <w:r>
        <w:drawing>
          <wp:anchor distT="0" distB="0" distL="0" distR="0" simplePos="0" relativeHeight="252293120" behindDoc="0" locked="0" layoutInCell="0" allowOverlap="1">
            <wp:simplePos x="0" y="0"/>
            <wp:positionH relativeFrom="page">
              <wp:posOffset>1008380</wp:posOffset>
            </wp:positionH>
            <wp:positionV relativeFrom="page">
              <wp:posOffset>1124584</wp:posOffset>
            </wp:positionV>
            <wp:extent cx="8712200" cy="7620"/>
            <wp:effectExtent l="0" t="0" r="0" b="0"/>
            <wp:wrapNone/>
            <wp:docPr id="1434" name="IM 1434"/>
            <wp:cNvGraphicFramePr/>
            <a:graphic>
              <a:graphicData uri="http://schemas.openxmlformats.org/drawingml/2006/picture">
                <pic:pic>
                  <pic:nvPicPr>
                    <pic:cNvPr id="1434" name="IM 1434"/>
                    <pic:cNvPicPr/>
                  </pic:nvPicPr>
                  <pic:blipFill>
                    <a:blip r:embed="rId719"/>
                    <a:stretch>
                      <a:fillRect/>
                    </a:stretch>
                  </pic:blipFill>
                  <pic:spPr>
                    <a:xfrm rot="0">
                      <a:off x="0" y="0"/>
                      <a:ext cx="8712200" cy="7620"/>
                    </a:xfrm>
                    <a:prstGeom prst="rect">
                      <a:avLst/>
                    </a:prstGeom>
                  </pic:spPr>
                </pic:pic>
              </a:graphicData>
            </a:graphic>
          </wp:anchor>
        </w:drawing>
      </w:r>
      <w:r>
        <w:rPr>
          <w:rFonts w:ascii="SimHei" w:hAnsi="SimHei" w:eastAsia="SimHei" w:cs="SimHei"/>
          <w:sz w:val="28"/>
          <w:szCs w:val="28"/>
          <w:spacing w:val="-2"/>
        </w:rPr>
        <w:t>市水旱灾害分级标准</w:t>
      </w:r>
    </w:p>
    <w:p>
      <w:pPr>
        <w:spacing w:line="105" w:lineRule="exact"/>
        <w:rPr/>
      </w:pPr>
      <w:r/>
    </w:p>
    <w:tbl>
      <w:tblPr>
        <w:tblStyle w:val="TableNormal"/>
        <w:tblW w:w="13896" w:type="dxa"/>
        <w:tblInd w:w="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24"/>
        <w:gridCol w:w="2056"/>
        <w:gridCol w:w="2034"/>
        <w:gridCol w:w="1423"/>
        <w:gridCol w:w="2021"/>
        <w:gridCol w:w="1927"/>
        <w:gridCol w:w="2283"/>
        <w:gridCol w:w="1528"/>
      </w:tblGrid>
      <w:tr>
        <w:trPr>
          <w:trHeight w:val="476" w:hRule="atLeast"/>
        </w:trPr>
        <w:tc>
          <w:tcPr>
            <w:tcW w:w="624" w:type="dxa"/>
            <w:vAlign w:val="top"/>
            <w:tcBorders>
              <w:left w:val="single" w:color="000000" w:sz="6" w:space="0"/>
              <w:top w:val="single" w:color="000000" w:sz="6" w:space="0"/>
            </w:tcBorders>
          </w:tcPr>
          <w:p>
            <w:pPr>
              <w:pStyle w:val="TableText"/>
              <w:ind w:left="126"/>
              <w:spacing w:before="175" w:line="214" w:lineRule="auto"/>
              <w:rPr/>
            </w:pPr>
            <w:r>
              <w:rPr>
                <w:spacing w:val="-3"/>
              </w:rPr>
              <w:t>序号</w:t>
            </w:r>
          </w:p>
        </w:tc>
        <w:tc>
          <w:tcPr>
            <w:tcW w:w="2056" w:type="dxa"/>
            <w:vAlign w:val="top"/>
            <w:tcBorders>
              <w:top w:val="single" w:color="000000" w:sz="6" w:space="0"/>
            </w:tcBorders>
          </w:tcPr>
          <w:p>
            <w:pPr>
              <w:pStyle w:val="TableText"/>
              <w:ind w:left="841"/>
              <w:spacing w:before="179" w:line="204" w:lineRule="auto"/>
              <w:rPr/>
            </w:pPr>
            <w:r>
              <w:rPr>
                <w:spacing w:val="-2"/>
              </w:rPr>
              <w:t>项目</w:t>
            </w:r>
          </w:p>
        </w:tc>
        <w:tc>
          <w:tcPr>
            <w:tcW w:w="2034" w:type="dxa"/>
            <w:vAlign w:val="top"/>
            <w:tcBorders>
              <w:top w:val="single" w:color="000000" w:sz="6" w:space="0"/>
            </w:tcBorders>
          </w:tcPr>
          <w:p>
            <w:pPr>
              <w:pStyle w:val="TableText"/>
              <w:ind w:left="652"/>
              <w:spacing w:before="175" w:line="212" w:lineRule="auto"/>
              <w:rPr/>
            </w:pPr>
            <w:r>
              <w:rPr>
                <w:spacing w:val="-1"/>
              </w:rPr>
              <w:t>划分依据</w:t>
            </w:r>
          </w:p>
        </w:tc>
        <w:tc>
          <w:tcPr>
            <w:tcW w:w="1423" w:type="dxa"/>
            <w:vAlign w:val="top"/>
            <w:tcBorders>
              <w:top w:val="single" w:color="000000" w:sz="6" w:space="0"/>
            </w:tcBorders>
          </w:tcPr>
          <w:p>
            <w:pPr>
              <w:pStyle w:val="TableText"/>
              <w:ind w:left="525"/>
              <w:spacing w:before="175" w:line="214" w:lineRule="auto"/>
              <w:rPr/>
            </w:pPr>
            <w:r>
              <w:rPr>
                <w:spacing w:val="-2"/>
              </w:rPr>
              <w:t>单位</w:t>
            </w:r>
          </w:p>
        </w:tc>
        <w:tc>
          <w:tcPr>
            <w:tcW w:w="2021" w:type="dxa"/>
            <w:vAlign w:val="top"/>
            <w:tcBorders>
              <w:top w:val="single" w:color="000000" w:sz="6" w:space="0"/>
            </w:tcBorders>
          </w:tcPr>
          <w:p>
            <w:pPr>
              <w:pStyle w:val="TableText"/>
              <w:ind w:left="651"/>
              <w:spacing w:before="175" w:line="211" w:lineRule="auto"/>
              <w:rPr/>
            </w:pPr>
            <w:r>
              <w:rPr>
                <w:spacing w:val="-2"/>
              </w:rPr>
              <w:t>特别重大</w:t>
            </w:r>
          </w:p>
        </w:tc>
        <w:tc>
          <w:tcPr>
            <w:tcW w:w="1927" w:type="dxa"/>
            <w:vAlign w:val="top"/>
            <w:tcBorders>
              <w:top w:val="single" w:color="000000" w:sz="6" w:space="0"/>
            </w:tcBorders>
          </w:tcPr>
          <w:p>
            <w:pPr>
              <w:pStyle w:val="TableText"/>
              <w:ind w:left="784"/>
              <w:spacing w:before="177" w:line="210" w:lineRule="auto"/>
              <w:rPr/>
            </w:pPr>
            <w:r>
              <w:rPr>
                <w:spacing w:val="-3"/>
              </w:rPr>
              <w:t>重大</w:t>
            </w:r>
          </w:p>
        </w:tc>
        <w:tc>
          <w:tcPr>
            <w:tcW w:w="2283" w:type="dxa"/>
            <w:vAlign w:val="top"/>
            <w:tcBorders>
              <w:top w:val="single" w:color="000000" w:sz="6" w:space="0"/>
            </w:tcBorders>
          </w:tcPr>
          <w:p>
            <w:pPr>
              <w:pStyle w:val="TableText"/>
              <w:ind w:left="964"/>
              <w:spacing w:before="176" w:line="211" w:lineRule="auto"/>
              <w:rPr/>
            </w:pPr>
            <w:r>
              <w:rPr>
                <w:spacing w:val="-3"/>
              </w:rPr>
              <w:t>较大</w:t>
            </w:r>
          </w:p>
        </w:tc>
        <w:tc>
          <w:tcPr>
            <w:tcW w:w="1528" w:type="dxa"/>
            <w:vAlign w:val="top"/>
            <w:tcBorders>
              <w:right w:val="single" w:color="000000" w:sz="6" w:space="0"/>
              <w:top w:val="single" w:color="000000" w:sz="6" w:space="0"/>
            </w:tcBorders>
          </w:tcPr>
          <w:p>
            <w:pPr>
              <w:pStyle w:val="TableText"/>
              <w:ind w:left="584"/>
              <w:spacing w:before="177" w:line="211" w:lineRule="auto"/>
              <w:rPr/>
            </w:pPr>
            <w:r>
              <w:rPr>
                <w:spacing w:val="-3"/>
              </w:rPr>
              <w:t>一般</w:t>
            </w:r>
          </w:p>
        </w:tc>
      </w:tr>
      <w:tr>
        <w:trPr>
          <w:trHeight w:val="603" w:hRule="atLeast"/>
        </w:trPr>
        <w:tc>
          <w:tcPr>
            <w:tcW w:w="624" w:type="dxa"/>
            <w:vAlign w:val="top"/>
            <w:tcBorders>
              <w:left w:val="single" w:color="000000" w:sz="6" w:space="0"/>
            </w:tcBorders>
          </w:tcPr>
          <w:p>
            <w:pPr>
              <w:pStyle w:val="TableText"/>
              <w:ind w:left="276"/>
              <w:spacing w:before="235" w:line="262" w:lineRule="exact"/>
              <w:rPr/>
            </w:pPr>
            <w:r>
              <w:rPr>
                <w:position w:val="1"/>
              </w:rPr>
              <w:t>1</w:t>
            </w:r>
          </w:p>
        </w:tc>
        <w:tc>
          <w:tcPr>
            <w:tcW w:w="2056" w:type="dxa"/>
            <w:vAlign w:val="top"/>
          </w:tcPr>
          <w:p>
            <w:pPr>
              <w:pStyle w:val="TableText"/>
              <w:ind w:left="660"/>
              <w:spacing w:before="239" w:line="212" w:lineRule="auto"/>
              <w:rPr/>
            </w:pPr>
            <w:r>
              <w:rPr>
                <w:spacing w:val="-1"/>
              </w:rPr>
              <w:t>人员伤亡</w:t>
            </w:r>
          </w:p>
        </w:tc>
        <w:tc>
          <w:tcPr>
            <w:tcW w:w="2034" w:type="dxa"/>
            <w:vAlign w:val="top"/>
          </w:tcPr>
          <w:p>
            <w:pPr>
              <w:pStyle w:val="TableText"/>
              <w:ind w:left="478" w:right="386" w:hanging="63"/>
              <w:spacing w:before="87" w:line="259" w:lineRule="auto"/>
              <w:rPr/>
            </w:pPr>
            <w:r>
              <w:rPr>
                <w:spacing w:val="-6"/>
              </w:rPr>
              <w:t>自治区突发事件</w:t>
            </w:r>
            <w:r>
              <w:rPr>
                <w:spacing w:val="-2"/>
              </w:rPr>
              <w:t>总体应急预案</w:t>
            </w:r>
          </w:p>
        </w:tc>
        <w:tc>
          <w:tcPr>
            <w:tcW w:w="1423" w:type="dxa"/>
            <w:vAlign w:val="top"/>
          </w:tcPr>
          <w:p>
            <w:pPr>
              <w:pStyle w:val="TableText"/>
              <w:ind w:left="616"/>
              <w:spacing w:before="244" w:line="204" w:lineRule="auto"/>
              <w:rPr/>
            </w:pPr>
            <w:r>
              <w:rPr/>
              <w:t>人</w:t>
            </w:r>
          </w:p>
        </w:tc>
        <w:tc>
          <w:tcPr>
            <w:tcW w:w="2021" w:type="dxa"/>
            <w:vAlign w:val="top"/>
          </w:tcPr>
          <w:p>
            <w:pPr>
              <w:pStyle w:val="TableText"/>
              <w:ind w:left="417" w:right="377" w:hanging="55"/>
              <w:spacing w:before="84" w:line="261" w:lineRule="auto"/>
              <w:rPr/>
            </w:pPr>
            <w:r>
              <w:rPr>
                <w:spacing w:val="-5"/>
              </w:rPr>
              <w:t>30</w:t>
            </w:r>
            <w:r>
              <w:rPr>
                <w:spacing w:val="-41"/>
              </w:rPr>
              <w:t xml:space="preserve"> </w:t>
            </w:r>
            <w:r>
              <w:rPr>
                <w:spacing w:val="-5"/>
              </w:rPr>
              <w:t>人以上死亡、</w:t>
            </w:r>
            <w:r>
              <w:rPr/>
              <w:t xml:space="preserve"> </w:t>
            </w:r>
            <w:r>
              <w:rPr>
                <w:spacing w:val="-4"/>
              </w:rPr>
              <w:t>100</w:t>
            </w:r>
            <w:r>
              <w:rPr>
                <w:spacing w:val="-37"/>
              </w:rPr>
              <w:t xml:space="preserve"> </w:t>
            </w:r>
            <w:r>
              <w:rPr>
                <w:spacing w:val="-4"/>
              </w:rPr>
              <w:t>人以上重伤</w:t>
            </w:r>
          </w:p>
        </w:tc>
        <w:tc>
          <w:tcPr>
            <w:tcW w:w="1927" w:type="dxa"/>
            <w:vAlign w:val="top"/>
          </w:tcPr>
          <w:p>
            <w:pPr>
              <w:pStyle w:val="TableText"/>
              <w:ind w:left="400" w:right="367" w:hanging="31"/>
              <w:spacing w:before="84" w:line="261" w:lineRule="auto"/>
              <w:rPr/>
            </w:pPr>
            <w:r>
              <w:rPr>
                <w:spacing w:val="-5"/>
              </w:rPr>
              <w:t>10-30</w:t>
            </w:r>
            <w:r>
              <w:rPr>
                <w:spacing w:val="-37"/>
              </w:rPr>
              <w:t xml:space="preserve"> </w:t>
            </w:r>
            <w:r>
              <w:rPr>
                <w:spacing w:val="-5"/>
              </w:rPr>
              <w:t>人死亡、</w:t>
            </w:r>
            <w:r>
              <w:rPr/>
              <w:t xml:space="preserve"> </w:t>
            </w:r>
            <w:r>
              <w:rPr>
                <w:spacing w:val="-1"/>
              </w:rPr>
              <w:t>50-100</w:t>
            </w:r>
            <w:r>
              <w:rPr>
                <w:spacing w:val="-38"/>
              </w:rPr>
              <w:t xml:space="preserve"> </w:t>
            </w:r>
            <w:r>
              <w:rPr>
                <w:spacing w:val="-1"/>
              </w:rPr>
              <w:t>人重伤</w:t>
            </w:r>
          </w:p>
        </w:tc>
        <w:tc>
          <w:tcPr>
            <w:tcW w:w="2283" w:type="dxa"/>
            <w:vAlign w:val="top"/>
          </w:tcPr>
          <w:p>
            <w:pPr>
              <w:pStyle w:val="TableText"/>
              <w:ind w:left="640" w:right="589" w:hanging="57"/>
              <w:spacing w:before="84" w:line="261" w:lineRule="auto"/>
              <w:rPr/>
            </w:pPr>
            <w:r>
              <w:rPr>
                <w:spacing w:val="-4"/>
              </w:rPr>
              <w:t>3-10</w:t>
            </w:r>
            <w:r>
              <w:rPr>
                <w:spacing w:val="-40"/>
              </w:rPr>
              <w:t xml:space="preserve"> </w:t>
            </w:r>
            <w:r>
              <w:rPr>
                <w:spacing w:val="-4"/>
              </w:rPr>
              <w:t>人死亡、</w:t>
            </w:r>
            <w:r>
              <w:rPr/>
              <w:t xml:space="preserve"> </w:t>
            </w:r>
            <w:r>
              <w:rPr>
                <w:spacing w:val="-3"/>
              </w:rPr>
              <w:t>10-50</w:t>
            </w:r>
            <w:r>
              <w:rPr>
                <w:spacing w:val="-38"/>
              </w:rPr>
              <w:t xml:space="preserve"> </w:t>
            </w:r>
            <w:r>
              <w:rPr>
                <w:spacing w:val="-3"/>
              </w:rPr>
              <w:t>人重伤</w:t>
            </w:r>
          </w:p>
        </w:tc>
        <w:tc>
          <w:tcPr>
            <w:tcW w:w="1528" w:type="dxa"/>
            <w:vAlign w:val="top"/>
            <w:tcBorders>
              <w:right w:val="single" w:color="000000" w:sz="6" w:space="0"/>
            </w:tcBorders>
          </w:tcPr>
          <w:p>
            <w:pPr>
              <w:pStyle w:val="TableText"/>
              <w:ind w:left="217" w:right="184" w:hanging="57"/>
              <w:spacing w:before="84" w:line="261" w:lineRule="auto"/>
              <w:rPr/>
            </w:pPr>
            <w:r>
              <w:rPr>
                <w:spacing w:val="-7"/>
              </w:rPr>
              <w:t>3</w:t>
            </w:r>
            <w:r>
              <w:rPr>
                <w:spacing w:val="-43"/>
              </w:rPr>
              <w:t xml:space="preserve"> </w:t>
            </w:r>
            <w:r>
              <w:rPr>
                <w:spacing w:val="-7"/>
              </w:rPr>
              <w:t>人以下死亡，</w:t>
            </w:r>
            <w:r>
              <w:rPr/>
              <w:t xml:space="preserve"> </w:t>
            </w:r>
            <w:r>
              <w:rPr>
                <w:spacing w:val="-4"/>
              </w:rPr>
              <w:t>10</w:t>
            </w:r>
            <w:r>
              <w:rPr>
                <w:spacing w:val="-40"/>
              </w:rPr>
              <w:t xml:space="preserve"> </w:t>
            </w:r>
            <w:r>
              <w:rPr>
                <w:spacing w:val="-4"/>
              </w:rPr>
              <w:t>人以下重伤</w:t>
            </w:r>
          </w:p>
        </w:tc>
      </w:tr>
      <w:tr>
        <w:trPr>
          <w:trHeight w:val="603" w:hRule="atLeast"/>
        </w:trPr>
        <w:tc>
          <w:tcPr>
            <w:tcW w:w="624" w:type="dxa"/>
            <w:vAlign w:val="top"/>
            <w:tcBorders>
              <w:left w:val="single" w:color="000000" w:sz="6" w:space="0"/>
            </w:tcBorders>
          </w:tcPr>
          <w:p>
            <w:pPr>
              <w:pStyle w:val="TableText"/>
              <w:ind w:left="261"/>
              <w:spacing w:before="237" w:line="261" w:lineRule="exact"/>
              <w:rPr/>
            </w:pPr>
            <w:r>
              <w:rPr>
                <w:position w:val="1"/>
              </w:rPr>
              <w:t>2</w:t>
            </w:r>
          </w:p>
        </w:tc>
        <w:tc>
          <w:tcPr>
            <w:tcW w:w="2056" w:type="dxa"/>
            <w:vAlign w:val="top"/>
          </w:tcPr>
          <w:p>
            <w:pPr>
              <w:pStyle w:val="TableText"/>
              <w:ind w:left="482"/>
              <w:spacing w:before="241" w:line="211" w:lineRule="auto"/>
              <w:rPr/>
            </w:pPr>
            <w:r>
              <w:rPr>
                <w:spacing w:val="-1"/>
              </w:rPr>
              <w:t>洪涝受灾人口</w:t>
            </w:r>
          </w:p>
        </w:tc>
        <w:tc>
          <w:tcPr>
            <w:tcW w:w="2034" w:type="dxa"/>
            <w:vAlign w:val="top"/>
          </w:tcPr>
          <w:p>
            <w:pPr>
              <w:pStyle w:val="TableText"/>
              <w:ind w:left="490"/>
              <w:spacing w:before="240" w:line="213" w:lineRule="auto"/>
              <w:rPr/>
            </w:pPr>
            <w:r>
              <w:rPr>
                <w:spacing w:val="-4"/>
              </w:rPr>
              <w:t>国家标准修正</w:t>
            </w:r>
          </w:p>
        </w:tc>
        <w:tc>
          <w:tcPr>
            <w:tcW w:w="1423" w:type="dxa"/>
            <w:vAlign w:val="top"/>
          </w:tcPr>
          <w:p>
            <w:pPr>
              <w:pStyle w:val="TableText"/>
              <w:ind w:left="257"/>
              <w:spacing w:before="90" w:line="212" w:lineRule="auto"/>
              <w:rPr/>
            </w:pPr>
            <w:r>
              <w:rPr>
                <w:spacing w:val="-1"/>
              </w:rPr>
              <w:t>受灾人口占</w:t>
            </w:r>
          </w:p>
          <w:p>
            <w:pPr>
              <w:pStyle w:val="TableText"/>
              <w:ind w:left="258"/>
              <w:spacing w:before="93" w:line="207" w:lineRule="auto"/>
              <w:rPr/>
            </w:pPr>
            <w:r>
              <w:rPr>
                <w:spacing w:val="-1"/>
              </w:rPr>
              <w:t>全县总人口</w:t>
            </w:r>
          </w:p>
        </w:tc>
        <w:tc>
          <w:tcPr>
            <w:tcW w:w="2021" w:type="dxa"/>
            <w:vAlign w:val="top"/>
          </w:tcPr>
          <w:p>
            <w:pPr>
              <w:pStyle w:val="TableText"/>
              <w:ind w:left="670"/>
              <w:spacing w:before="237" w:line="243" w:lineRule="exact"/>
              <w:rPr/>
            </w:pPr>
            <w:r>
              <w:rPr>
                <w:spacing w:val="10"/>
                <w:position w:val="1"/>
              </w:rPr>
              <w:t>30%以上</w:t>
            </w:r>
          </w:p>
        </w:tc>
        <w:tc>
          <w:tcPr>
            <w:tcW w:w="1927" w:type="dxa"/>
            <w:vAlign w:val="top"/>
          </w:tcPr>
          <w:p>
            <w:pPr>
              <w:pStyle w:val="TableText"/>
              <w:ind w:left="587"/>
              <w:spacing w:before="237" w:line="260" w:lineRule="exact"/>
              <w:rPr/>
            </w:pPr>
            <w:r>
              <w:rPr>
                <w:spacing w:val="17"/>
                <w:position w:val="2"/>
              </w:rPr>
              <w:t>20%-30%</w:t>
            </w:r>
          </w:p>
        </w:tc>
        <w:tc>
          <w:tcPr>
            <w:tcW w:w="2283" w:type="dxa"/>
            <w:vAlign w:val="top"/>
          </w:tcPr>
          <w:p>
            <w:pPr>
              <w:pStyle w:val="TableText"/>
              <w:ind w:left="785"/>
              <w:spacing w:before="237" w:line="260" w:lineRule="exact"/>
              <w:rPr/>
            </w:pPr>
            <w:r>
              <w:rPr>
                <w:spacing w:val="14"/>
                <w:position w:val="1"/>
              </w:rPr>
              <w:t>10%-20%</w:t>
            </w:r>
          </w:p>
        </w:tc>
        <w:tc>
          <w:tcPr>
            <w:tcW w:w="1528" w:type="dxa"/>
            <w:vAlign w:val="top"/>
            <w:tcBorders>
              <w:right w:val="single" w:color="000000" w:sz="6" w:space="0"/>
            </w:tcBorders>
          </w:tcPr>
          <w:p>
            <w:pPr>
              <w:pStyle w:val="TableText"/>
              <w:ind w:left="436"/>
              <w:spacing w:before="237" w:line="242" w:lineRule="exact"/>
              <w:rPr/>
            </w:pPr>
            <w:r>
              <w:rPr>
                <w:spacing w:val="7"/>
                <w:position w:val="1"/>
              </w:rPr>
              <w:t>10%以下</w:t>
            </w:r>
          </w:p>
        </w:tc>
      </w:tr>
      <w:tr>
        <w:trPr>
          <w:trHeight w:val="603" w:hRule="atLeast"/>
        </w:trPr>
        <w:tc>
          <w:tcPr>
            <w:tcW w:w="624" w:type="dxa"/>
            <w:vAlign w:val="top"/>
            <w:tcBorders>
              <w:left w:val="single" w:color="000000" w:sz="6" w:space="0"/>
            </w:tcBorders>
          </w:tcPr>
          <w:p>
            <w:pPr>
              <w:pStyle w:val="TableText"/>
              <w:ind w:left="264"/>
              <w:spacing w:before="238" w:line="260" w:lineRule="exact"/>
              <w:rPr/>
            </w:pPr>
            <w:r>
              <w:rPr>
                <w:position w:val="2"/>
              </w:rPr>
              <w:t>3</w:t>
            </w:r>
          </w:p>
        </w:tc>
        <w:tc>
          <w:tcPr>
            <w:tcW w:w="2056" w:type="dxa"/>
            <w:vAlign w:val="top"/>
          </w:tcPr>
          <w:p>
            <w:pPr>
              <w:pStyle w:val="TableText"/>
              <w:ind w:left="301"/>
              <w:spacing w:before="243" w:line="210" w:lineRule="auto"/>
              <w:rPr/>
            </w:pPr>
            <w:r>
              <w:rPr>
                <w:spacing w:val="-1"/>
              </w:rPr>
              <w:t>城乡饮水困难人口</w:t>
            </w:r>
          </w:p>
        </w:tc>
        <w:tc>
          <w:tcPr>
            <w:tcW w:w="2034" w:type="dxa"/>
            <w:vAlign w:val="top"/>
          </w:tcPr>
          <w:p>
            <w:pPr>
              <w:pStyle w:val="TableText"/>
              <w:ind w:left="490"/>
              <w:spacing w:before="241" w:line="213" w:lineRule="auto"/>
              <w:rPr/>
            </w:pPr>
            <w:r>
              <w:rPr>
                <w:spacing w:val="-4"/>
              </w:rPr>
              <w:t>国家标准修正</w:t>
            </w:r>
          </w:p>
        </w:tc>
        <w:tc>
          <w:tcPr>
            <w:tcW w:w="1423" w:type="dxa"/>
            <w:vAlign w:val="top"/>
          </w:tcPr>
          <w:p>
            <w:pPr>
              <w:pStyle w:val="TableText"/>
              <w:ind w:left="165"/>
              <w:spacing w:before="94" w:line="210" w:lineRule="auto"/>
              <w:rPr/>
            </w:pPr>
            <w:r>
              <w:rPr>
                <w:spacing w:val="-1"/>
              </w:rPr>
              <w:t>饮水困难人口</w:t>
            </w:r>
          </w:p>
          <w:p>
            <w:pPr>
              <w:pStyle w:val="TableText"/>
              <w:ind w:left="191"/>
              <w:spacing w:before="94" w:line="204" w:lineRule="auto"/>
              <w:rPr/>
            </w:pPr>
            <w:r>
              <w:rPr>
                <w:spacing w:val="-5"/>
              </w:rPr>
              <w:t>占全县总人口</w:t>
            </w:r>
          </w:p>
        </w:tc>
        <w:tc>
          <w:tcPr>
            <w:tcW w:w="2021" w:type="dxa"/>
            <w:vAlign w:val="top"/>
          </w:tcPr>
          <w:p>
            <w:pPr>
              <w:pStyle w:val="TableText"/>
              <w:ind w:left="667"/>
              <w:spacing w:before="238" w:line="243" w:lineRule="exact"/>
              <w:rPr/>
            </w:pPr>
            <w:r>
              <w:rPr>
                <w:spacing w:val="10"/>
                <w:position w:val="1"/>
              </w:rPr>
              <w:t>60%以上</w:t>
            </w:r>
          </w:p>
        </w:tc>
        <w:tc>
          <w:tcPr>
            <w:tcW w:w="1927" w:type="dxa"/>
            <w:vAlign w:val="top"/>
          </w:tcPr>
          <w:p>
            <w:pPr>
              <w:pStyle w:val="TableText"/>
              <w:ind w:left="590"/>
              <w:spacing w:before="238" w:line="260" w:lineRule="exact"/>
              <w:rPr/>
            </w:pPr>
            <w:r>
              <w:rPr>
                <w:spacing w:val="16"/>
                <w:position w:val="2"/>
              </w:rPr>
              <w:t>30%-60%</w:t>
            </w:r>
          </w:p>
        </w:tc>
        <w:tc>
          <w:tcPr>
            <w:tcW w:w="2283" w:type="dxa"/>
            <w:vAlign w:val="top"/>
          </w:tcPr>
          <w:p>
            <w:pPr>
              <w:pStyle w:val="TableText"/>
              <w:ind w:left="785"/>
              <w:spacing w:before="238" w:line="260" w:lineRule="exact"/>
              <w:rPr/>
            </w:pPr>
            <w:r>
              <w:rPr>
                <w:spacing w:val="14"/>
                <w:position w:val="1"/>
              </w:rPr>
              <w:t>15%-30%</w:t>
            </w:r>
          </w:p>
        </w:tc>
        <w:tc>
          <w:tcPr>
            <w:tcW w:w="1528" w:type="dxa"/>
            <w:vAlign w:val="top"/>
            <w:tcBorders>
              <w:right w:val="single" w:color="000000" w:sz="6" w:space="0"/>
            </w:tcBorders>
          </w:tcPr>
          <w:p>
            <w:pPr>
              <w:pStyle w:val="TableText"/>
              <w:ind w:left="436"/>
              <w:spacing w:before="238" w:line="242" w:lineRule="exact"/>
              <w:rPr/>
            </w:pPr>
            <w:r>
              <w:rPr>
                <w:spacing w:val="7"/>
                <w:position w:val="1"/>
              </w:rPr>
              <w:t>15%以下</w:t>
            </w:r>
          </w:p>
        </w:tc>
      </w:tr>
      <w:tr>
        <w:trPr>
          <w:trHeight w:val="603" w:hRule="atLeast"/>
        </w:trPr>
        <w:tc>
          <w:tcPr>
            <w:tcW w:w="624" w:type="dxa"/>
            <w:vAlign w:val="top"/>
            <w:tcBorders>
              <w:left w:val="single" w:color="000000" w:sz="6" w:space="0"/>
            </w:tcBorders>
          </w:tcPr>
          <w:p>
            <w:pPr>
              <w:pStyle w:val="TableText"/>
              <w:ind w:left="258"/>
              <w:spacing w:before="239" w:line="262" w:lineRule="exact"/>
              <w:rPr/>
            </w:pPr>
            <w:r>
              <w:rPr>
                <w:position w:val="1"/>
              </w:rPr>
              <w:t>4</w:t>
            </w:r>
          </w:p>
        </w:tc>
        <w:tc>
          <w:tcPr>
            <w:tcW w:w="2056" w:type="dxa"/>
            <w:vAlign w:val="top"/>
          </w:tcPr>
          <w:p>
            <w:pPr>
              <w:pStyle w:val="TableText"/>
              <w:ind w:left="481"/>
              <w:spacing w:before="244" w:line="210" w:lineRule="auto"/>
              <w:rPr/>
            </w:pPr>
            <w:r>
              <w:rPr>
                <w:spacing w:val="-1"/>
              </w:rPr>
              <w:t>城市干旱缺水</w:t>
            </w:r>
          </w:p>
        </w:tc>
        <w:tc>
          <w:tcPr>
            <w:tcW w:w="2034" w:type="dxa"/>
            <w:vAlign w:val="top"/>
          </w:tcPr>
          <w:p>
            <w:pPr>
              <w:pStyle w:val="TableText"/>
              <w:ind w:left="490"/>
              <w:spacing w:before="243" w:line="213" w:lineRule="auto"/>
              <w:rPr/>
            </w:pPr>
            <w:r>
              <w:rPr>
                <w:spacing w:val="-4"/>
              </w:rPr>
              <w:t>国家标准修正</w:t>
            </w:r>
          </w:p>
        </w:tc>
        <w:tc>
          <w:tcPr>
            <w:tcW w:w="1423" w:type="dxa"/>
            <w:vAlign w:val="top"/>
          </w:tcPr>
          <w:p>
            <w:pPr>
              <w:pStyle w:val="TableText"/>
              <w:ind w:left="167" w:right="170"/>
              <w:spacing w:before="93" w:line="256" w:lineRule="auto"/>
              <w:rPr/>
            </w:pPr>
            <w:r>
              <w:rPr>
                <w:spacing w:val="-1"/>
              </w:rPr>
              <w:t>城市供水低于</w:t>
            </w:r>
            <w:r>
              <w:rPr>
                <w:spacing w:val="-1"/>
              </w:rPr>
              <w:t>正常供水比例</w:t>
            </w:r>
          </w:p>
        </w:tc>
        <w:tc>
          <w:tcPr>
            <w:tcW w:w="2021" w:type="dxa"/>
            <w:vAlign w:val="top"/>
          </w:tcPr>
          <w:p>
            <w:pPr>
              <w:pStyle w:val="TableText"/>
              <w:ind w:left="664"/>
              <w:spacing w:before="239" w:line="244" w:lineRule="exact"/>
              <w:rPr/>
            </w:pPr>
            <w:r>
              <w:rPr>
                <w:spacing w:val="11"/>
                <w:position w:val="1"/>
              </w:rPr>
              <w:t>40%以上</w:t>
            </w:r>
          </w:p>
        </w:tc>
        <w:tc>
          <w:tcPr>
            <w:tcW w:w="1927" w:type="dxa"/>
            <w:vAlign w:val="top"/>
          </w:tcPr>
          <w:p>
            <w:pPr>
              <w:pStyle w:val="TableText"/>
              <w:ind w:left="590"/>
              <w:spacing w:before="239" w:line="261" w:lineRule="exact"/>
              <w:rPr/>
            </w:pPr>
            <w:r>
              <w:rPr>
                <w:spacing w:val="16"/>
                <w:position w:val="2"/>
              </w:rPr>
              <w:t>30%-20%</w:t>
            </w:r>
          </w:p>
        </w:tc>
        <w:tc>
          <w:tcPr>
            <w:tcW w:w="2283" w:type="dxa"/>
            <w:vAlign w:val="top"/>
          </w:tcPr>
          <w:p>
            <w:pPr>
              <w:pStyle w:val="TableText"/>
              <w:ind w:left="773"/>
              <w:spacing w:before="239" w:line="261" w:lineRule="exact"/>
              <w:rPr/>
            </w:pPr>
            <w:r>
              <w:rPr>
                <w:spacing w:val="16"/>
                <w:position w:val="2"/>
              </w:rPr>
              <w:t>30%-20%</w:t>
            </w:r>
          </w:p>
        </w:tc>
        <w:tc>
          <w:tcPr>
            <w:tcW w:w="1528" w:type="dxa"/>
            <w:vAlign w:val="top"/>
            <w:tcBorders>
              <w:right w:val="single" w:color="000000" w:sz="6" w:space="0"/>
            </w:tcBorders>
          </w:tcPr>
          <w:p>
            <w:pPr>
              <w:pStyle w:val="TableText"/>
              <w:ind w:left="421"/>
              <w:spacing w:before="239" w:line="242" w:lineRule="exact"/>
              <w:rPr/>
            </w:pPr>
            <w:r>
              <w:rPr>
                <w:spacing w:val="10"/>
                <w:position w:val="1"/>
              </w:rPr>
              <w:t>20%以下</w:t>
            </w:r>
          </w:p>
        </w:tc>
      </w:tr>
      <w:tr>
        <w:trPr>
          <w:trHeight w:val="903" w:hRule="atLeast"/>
        </w:trPr>
        <w:tc>
          <w:tcPr>
            <w:tcW w:w="624" w:type="dxa"/>
            <w:vAlign w:val="top"/>
            <w:tcBorders>
              <w:left w:val="single" w:color="000000" w:sz="6" w:space="0"/>
            </w:tcBorders>
          </w:tcPr>
          <w:p>
            <w:pPr>
              <w:spacing w:line="331" w:lineRule="auto"/>
              <w:rPr>
                <w:rFonts w:ascii="Arial"/>
                <w:sz w:val="21"/>
              </w:rPr>
            </w:pPr>
            <w:r/>
          </w:p>
          <w:p>
            <w:pPr>
              <w:pStyle w:val="TableText"/>
              <w:ind w:left="262"/>
              <w:spacing w:before="59" w:line="260" w:lineRule="exact"/>
              <w:rPr/>
            </w:pPr>
            <w:r>
              <w:rPr>
                <w:position w:val="2"/>
              </w:rPr>
              <w:t>5</w:t>
            </w:r>
          </w:p>
        </w:tc>
        <w:tc>
          <w:tcPr>
            <w:tcW w:w="2056" w:type="dxa"/>
            <w:vAlign w:val="top"/>
          </w:tcPr>
          <w:p>
            <w:pPr>
              <w:spacing w:line="336" w:lineRule="auto"/>
              <w:rPr>
                <w:rFonts w:ascii="Arial"/>
                <w:sz w:val="21"/>
              </w:rPr>
            </w:pPr>
            <w:r/>
          </w:p>
          <w:p>
            <w:pPr>
              <w:pStyle w:val="TableText"/>
              <w:ind w:left="387"/>
              <w:spacing w:before="58" w:line="212" w:lineRule="auto"/>
              <w:rPr/>
            </w:pPr>
            <w:r>
              <w:rPr>
                <w:spacing w:val="-1"/>
              </w:rPr>
              <w:t>农作物受灾灾害</w:t>
            </w:r>
          </w:p>
        </w:tc>
        <w:tc>
          <w:tcPr>
            <w:tcW w:w="2034" w:type="dxa"/>
            <w:vAlign w:val="top"/>
          </w:tcPr>
          <w:p>
            <w:pPr>
              <w:spacing w:line="336" w:lineRule="auto"/>
              <w:rPr>
                <w:rFonts w:ascii="Arial"/>
                <w:sz w:val="21"/>
              </w:rPr>
            </w:pPr>
            <w:r/>
          </w:p>
          <w:p>
            <w:pPr>
              <w:pStyle w:val="TableText"/>
              <w:ind w:left="670"/>
              <w:spacing w:before="58" w:line="211" w:lineRule="auto"/>
              <w:rPr/>
            </w:pPr>
            <w:r>
              <w:rPr>
                <w:spacing w:val="-6"/>
              </w:rPr>
              <w:t>国家标准</w:t>
            </w:r>
          </w:p>
        </w:tc>
        <w:tc>
          <w:tcPr>
            <w:tcW w:w="1423" w:type="dxa"/>
            <w:vAlign w:val="top"/>
          </w:tcPr>
          <w:p>
            <w:pPr>
              <w:pStyle w:val="TableText"/>
              <w:ind w:left="254"/>
              <w:spacing w:before="96" w:line="212" w:lineRule="auto"/>
              <w:rPr/>
            </w:pPr>
            <w:r>
              <w:rPr>
                <w:spacing w:val="-1"/>
              </w:rPr>
              <w:t>农作物受灾</w:t>
            </w:r>
          </w:p>
          <w:p>
            <w:pPr>
              <w:pStyle w:val="TableText"/>
              <w:ind w:left="345" w:right="258" w:hanging="81"/>
              <w:spacing w:before="94" w:line="254" w:lineRule="auto"/>
              <w:rPr/>
            </w:pPr>
            <w:r>
              <w:rPr>
                <w:spacing w:val="-2"/>
              </w:rPr>
              <w:t>面积占全县</w:t>
            </w:r>
            <w:r>
              <w:rPr/>
              <w:t>播种面积</w:t>
            </w:r>
          </w:p>
        </w:tc>
        <w:tc>
          <w:tcPr>
            <w:tcW w:w="2021" w:type="dxa"/>
            <w:vAlign w:val="top"/>
          </w:tcPr>
          <w:p>
            <w:pPr>
              <w:spacing w:line="331" w:lineRule="auto"/>
              <w:rPr>
                <w:rFonts w:ascii="Arial"/>
                <w:sz w:val="21"/>
              </w:rPr>
            </w:pPr>
            <w:r/>
          </w:p>
          <w:p>
            <w:pPr>
              <w:pStyle w:val="TableText"/>
              <w:ind w:left="667"/>
              <w:spacing w:before="59" w:line="243" w:lineRule="exact"/>
              <w:rPr/>
            </w:pPr>
            <w:r>
              <w:rPr>
                <w:spacing w:val="10"/>
                <w:position w:val="1"/>
              </w:rPr>
              <w:t>60%以上</w:t>
            </w:r>
          </w:p>
        </w:tc>
        <w:tc>
          <w:tcPr>
            <w:tcW w:w="1927" w:type="dxa"/>
            <w:vAlign w:val="top"/>
          </w:tcPr>
          <w:p>
            <w:pPr>
              <w:spacing w:line="331" w:lineRule="auto"/>
              <w:rPr>
                <w:rFonts w:ascii="Arial"/>
                <w:sz w:val="21"/>
              </w:rPr>
            </w:pPr>
            <w:r/>
          </w:p>
          <w:p>
            <w:pPr>
              <w:pStyle w:val="TableText"/>
              <w:ind w:left="590"/>
              <w:spacing w:before="59" w:line="260" w:lineRule="exact"/>
              <w:rPr/>
            </w:pPr>
            <w:r>
              <w:rPr>
                <w:spacing w:val="16"/>
                <w:position w:val="2"/>
              </w:rPr>
              <w:t>30%-60%</w:t>
            </w:r>
          </w:p>
        </w:tc>
        <w:tc>
          <w:tcPr>
            <w:tcW w:w="2283" w:type="dxa"/>
            <w:vAlign w:val="top"/>
          </w:tcPr>
          <w:p>
            <w:pPr>
              <w:spacing w:line="331" w:lineRule="auto"/>
              <w:rPr>
                <w:rFonts w:ascii="Arial"/>
                <w:sz w:val="21"/>
              </w:rPr>
            </w:pPr>
            <w:r/>
          </w:p>
          <w:p>
            <w:pPr>
              <w:pStyle w:val="TableText"/>
              <w:ind w:left="785"/>
              <w:spacing w:before="59" w:line="260" w:lineRule="exact"/>
              <w:rPr/>
            </w:pPr>
            <w:r>
              <w:rPr>
                <w:spacing w:val="14"/>
                <w:position w:val="1"/>
              </w:rPr>
              <w:t>15%-30%</w:t>
            </w:r>
          </w:p>
        </w:tc>
        <w:tc>
          <w:tcPr>
            <w:tcW w:w="1528" w:type="dxa"/>
            <w:vAlign w:val="top"/>
            <w:tcBorders>
              <w:right w:val="single" w:color="000000" w:sz="6" w:space="0"/>
            </w:tcBorders>
          </w:tcPr>
          <w:p>
            <w:pPr>
              <w:spacing w:line="331" w:lineRule="auto"/>
              <w:rPr>
                <w:rFonts w:ascii="Arial"/>
                <w:sz w:val="21"/>
              </w:rPr>
            </w:pPr>
            <w:r/>
          </w:p>
          <w:p>
            <w:pPr>
              <w:pStyle w:val="TableText"/>
              <w:ind w:left="436"/>
              <w:spacing w:before="59" w:line="242" w:lineRule="exact"/>
              <w:rPr/>
            </w:pPr>
            <w:r>
              <w:rPr>
                <w:spacing w:val="7"/>
                <w:position w:val="1"/>
              </w:rPr>
              <w:t>15%以下</w:t>
            </w:r>
          </w:p>
        </w:tc>
      </w:tr>
      <w:tr>
        <w:trPr>
          <w:trHeight w:val="406" w:hRule="atLeast"/>
        </w:trPr>
        <w:tc>
          <w:tcPr>
            <w:tcW w:w="624" w:type="dxa"/>
            <w:vAlign w:val="top"/>
            <w:tcBorders>
              <w:left w:val="single" w:color="000000" w:sz="6" w:space="0"/>
            </w:tcBorders>
          </w:tcPr>
          <w:p>
            <w:pPr>
              <w:pStyle w:val="TableText"/>
              <w:ind w:left="262"/>
              <w:spacing w:before="146" w:line="249" w:lineRule="exact"/>
              <w:rPr/>
            </w:pPr>
            <w:r>
              <w:rPr>
                <w:position w:val="1"/>
              </w:rPr>
              <w:t>6</w:t>
            </w:r>
          </w:p>
        </w:tc>
        <w:tc>
          <w:tcPr>
            <w:tcW w:w="2056" w:type="dxa"/>
            <w:vAlign w:val="top"/>
          </w:tcPr>
          <w:p>
            <w:pPr>
              <w:pStyle w:val="TableText"/>
              <w:ind w:left="661"/>
              <w:spacing w:before="151" w:line="211" w:lineRule="auto"/>
              <w:rPr/>
            </w:pPr>
            <w:r>
              <w:rPr>
                <w:spacing w:val="-1"/>
              </w:rPr>
              <w:t>河道洪水</w:t>
            </w:r>
          </w:p>
        </w:tc>
        <w:tc>
          <w:tcPr>
            <w:tcW w:w="2034" w:type="dxa"/>
            <w:vAlign w:val="top"/>
          </w:tcPr>
          <w:p>
            <w:pPr>
              <w:pStyle w:val="TableText"/>
              <w:ind w:left="180"/>
              <w:spacing w:before="146" w:line="241" w:lineRule="exact"/>
              <w:rPr/>
            </w:pPr>
            <w:r>
              <w:rPr>
                <w:spacing w:val="-2"/>
                <w:position w:val="1"/>
              </w:rPr>
              <w:t>2017</w:t>
            </w:r>
            <w:r>
              <w:rPr>
                <w:spacing w:val="-31"/>
                <w:position w:val="1"/>
              </w:rPr>
              <w:t xml:space="preserve"> </w:t>
            </w:r>
            <w:r>
              <w:rPr>
                <w:spacing w:val="-2"/>
                <w:position w:val="1"/>
              </w:rPr>
              <w:t>年防汛抗旱预案</w:t>
            </w:r>
          </w:p>
        </w:tc>
        <w:tc>
          <w:tcPr>
            <w:tcW w:w="1423" w:type="dxa"/>
            <w:vAlign w:val="top"/>
          </w:tcPr>
          <w:p>
            <w:pPr>
              <w:pStyle w:val="TableText"/>
              <w:ind w:left="438"/>
              <w:spacing w:before="151" w:line="211" w:lineRule="auto"/>
              <w:rPr/>
            </w:pPr>
            <w:r>
              <w:rPr>
                <w:spacing w:val="-2"/>
              </w:rPr>
              <w:t>重现期</w:t>
            </w:r>
          </w:p>
        </w:tc>
        <w:tc>
          <w:tcPr>
            <w:tcW w:w="2021" w:type="dxa"/>
            <w:vAlign w:val="top"/>
          </w:tcPr>
          <w:p>
            <w:pPr>
              <w:pStyle w:val="TableText"/>
              <w:ind w:left="448"/>
              <w:spacing w:before="146" w:line="241" w:lineRule="exact"/>
              <w:rPr/>
            </w:pPr>
            <w:r>
              <w:rPr>
                <w:spacing w:val="-2"/>
                <w:position w:val="1"/>
              </w:rPr>
              <w:t>20</w:t>
            </w:r>
            <w:r>
              <w:rPr>
                <w:spacing w:val="-39"/>
                <w:position w:val="1"/>
              </w:rPr>
              <w:t xml:space="preserve"> </w:t>
            </w:r>
            <w:r>
              <w:rPr>
                <w:spacing w:val="-2"/>
                <w:position w:val="1"/>
              </w:rPr>
              <w:t>年一遇以上</w:t>
            </w:r>
          </w:p>
        </w:tc>
        <w:tc>
          <w:tcPr>
            <w:tcW w:w="1927" w:type="dxa"/>
            <w:vAlign w:val="top"/>
          </w:tcPr>
          <w:p>
            <w:pPr>
              <w:pStyle w:val="TableText"/>
              <w:ind w:left="460"/>
              <w:spacing w:before="146" w:line="241" w:lineRule="exact"/>
              <w:rPr/>
            </w:pPr>
            <w:r>
              <w:rPr>
                <w:spacing w:val="-3"/>
                <w:position w:val="1"/>
              </w:rPr>
              <w:t>10-20</w:t>
            </w:r>
            <w:r>
              <w:rPr>
                <w:spacing w:val="-38"/>
                <w:position w:val="1"/>
              </w:rPr>
              <w:t xml:space="preserve"> </w:t>
            </w:r>
            <w:r>
              <w:rPr>
                <w:spacing w:val="-3"/>
                <w:position w:val="1"/>
              </w:rPr>
              <w:t>年一遇</w:t>
            </w:r>
          </w:p>
        </w:tc>
        <w:tc>
          <w:tcPr>
            <w:tcW w:w="2283" w:type="dxa"/>
            <w:vAlign w:val="top"/>
          </w:tcPr>
          <w:p>
            <w:pPr>
              <w:pStyle w:val="TableText"/>
              <w:ind w:left="672"/>
              <w:spacing w:before="146" w:line="241" w:lineRule="exact"/>
              <w:rPr/>
            </w:pPr>
            <w:r>
              <w:rPr>
                <w:spacing w:val="-1"/>
                <w:position w:val="1"/>
              </w:rPr>
              <w:t>5-10</w:t>
            </w:r>
            <w:r>
              <w:rPr>
                <w:spacing w:val="-40"/>
                <w:position w:val="1"/>
              </w:rPr>
              <w:t xml:space="preserve"> </w:t>
            </w:r>
            <w:r>
              <w:rPr>
                <w:spacing w:val="-1"/>
                <w:position w:val="1"/>
              </w:rPr>
              <w:t>年一遇</w:t>
            </w:r>
          </w:p>
        </w:tc>
        <w:tc>
          <w:tcPr>
            <w:tcW w:w="1528" w:type="dxa"/>
            <w:vAlign w:val="top"/>
            <w:tcBorders>
              <w:right w:val="single" w:color="000000" w:sz="6" w:space="0"/>
            </w:tcBorders>
          </w:tcPr>
          <w:p>
            <w:pPr>
              <w:pStyle w:val="TableText"/>
              <w:ind w:left="249"/>
              <w:spacing w:before="146" w:line="241" w:lineRule="exact"/>
              <w:rPr/>
            </w:pPr>
            <w:r>
              <w:rPr>
                <w:spacing w:val="-2"/>
                <w:position w:val="1"/>
              </w:rPr>
              <w:t>5</w:t>
            </w:r>
            <w:r>
              <w:rPr>
                <w:spacing w:val="-40"/>
                <w:position w:val="1"/>
              </w:rPr>
              <w:t xml:space="preserve"> </w:t>
            </w:r>
            <w:r>
              <w:rPr>
                <w:spacing w:val="-2"/>
                <w:position w:val="1"/>
              </w:rPr>
              <w:t>年一遇以下</w:t>
            </w:r>
          </w:p>
        </w:tc>
      </w:tr>
      <w:tr>
        <w:trPr>
          <w:trHeight w:val="406" w:hRule="atLeast"/>
        </w:trPr>
        <w:tc>
          <w:tcPr>
            <w:tcW w:w="624" w:type="dxa"/>
            <w:vAlign w:val="top"/>
            <w:tcBorders>
              <w:left w:val="single" w:color="000000" w:sz="6" w:space="0"/>
            </w:tcBorders>
          </w:tcPr>
          <w:p>
            <w:pPr>
              <w:pStyle w:val="TableText"/>
              <w:ind w:left="260"/>
              <w:spacing w:before="145" w:line="251" w:lineRule="exact"/>
              <w:rPr/>
            </w:pPr>
            <w:r>
              <w:rPr>
                <w:position w:val="1"/>
              </w:rPr>
              <w:t>7</w:t>
            </w:r>
          </w:p>
        </w:tc>
        <w:tc>
          <w:tcPr>
            <w:tcW w:w="2056" w:type="dxa"/>
            <w:vAlign w:val="top"/>
          </w:tcPr>
          <w:p>
            <w:pPr>
              <w:pStyle w:val="TableText"/>
              <w:ind w:left="121"/>
              <w:spacing w:before="148" w:line="213" w:lineRule="auto"/>
              <w:rPr/>
            </w:pPr>
            <w:r>
              <w:rPr>
                <w:spacing w:val="-1"/>
              </w:rPr>
              <w:t>一条或多条山洪沟洪水</w:t>
            </w:r>
          </w:p>
        </w:tc>
        <w:tc>
          <w:tcPr>
            <w:tcW w:w="2034" w:type="dxa"/>
            <w:vAlign w:val="top"/>
          </w:tcPr>
          <w:p>
            <w:pPr>
              <w:pStyle w:val="TableText"/>
              <w:ind w:left="180"/>
              <w:spacing w:before="145" w:line="241" w:lineRule="exact"/>
              <w:rPr/>
            </w:pPr>
            <w:r>
              <w:rPr>
                <w:spacing w:val="-2"/>
                <w:position w:val="1"/>
              </w:rPr>
              <w:t>2017</w:t>
            </w:r>
            <w:r>
              <w:rPr>
                <w:spacing w:val="-31"/>
                <w:position w:val="1"/>
              </w:rPr>
              <w:t xml:space="preserve"> </w:t>
            </w:r>
            <w:r>
              <w:rPr>
                <w:spacing w:val="-2"/>
                <w:position w:val="1"/>
              </w:rPr>
              <w:t>年防汛抗旱预案</w:t>
            </w:r>
          </w:p>
        </w:tc>
        <w:tc>
          <w:tcPr>
            <w:tcW w:w="1423" w:type="dxa"/>
            <w:vAlign w:val="top"/>
          </w:tcPr>
          <w:p>
            <w:pPr>
              <w:pStyle w:val="TableText"/>
              <w:ind w:left="438"/>
              <w:spacing w:before="150" w:line="211" w:lineRule="auto"/>
              <w:rPr/>
            </w:pPr>
            <w:r>
              <w:rPr>
                <w:spacing w:val="-2"/>
              </w:rPr>
              <w:t>重现期</w:t>
            </w:r>
          </w:p>
        </w:tc>
        <w:tc>
          <w:tcPr>
            <w:tcW w:w="2021" w:type="dxa"/>
            <w:vAlign w:val="top"/>
          </w:tcPr>
          <w:p>
            <w:pPr>
              <w:pStyle w:val="TableText"/>
              <w:ind w:left="417"/>
              <w:spacing w:before="145" w:line="241" w:lineRule="exact"/>
              <w:rPr/>
            </w:pPr>
            <w:r>
              <w:rPr>
                <w:spacing w:val="-4"/>
                <w:position w:val="1"/>
              </w:rPr>
              <w:t>100</w:t>
            </w:r>
            <w:r>
              <w:rPr>
                <w:spacing w:val="-37"/>
                <w:position w:val="1"/>
              </w:rPr>
              <w:t xml:space="preserve"> </w:t>
            </w:r>
            <w:r>
              <w:rPr>
                <w:spacing w:val="-4"/>
                <w:position w:val="1"/>
              </w:rPr>
              <w:t>年一遇以上</w:t>
            </w:r>
          </w:p>
        </w:tc>
        <w:tc>
          <w:tcPr>
            <w:tcW w:w="1927" w:type="dxa"/>
            <w:vAlign w:val="top"/>
          </w:tcPr>
          <w:p>
            <w:pPr>
              <w:pStyle w:val="TableText"/>
              <w:ind w:left="401"/>
              <w:spacing w:before="145" w:line="241" w:lineRule="exact"/>
              <w:rPr/>
            </w:pPr>
            <w:r>
              <w:rPr>
                <w:spacing w:val="-1"/>
                <w:position w:val="1"/>
              </w:rPr>
              <w:t>50-100</w:t>
            </w:r>
            <w:r>
              <w:rPr>
                <w:spacing w:val="-37"/>
                <w:position w:val="1"/>
              </w:rPr>
              <w:t xml:space="preserve"> </w:t>
            </w:r>
            <w:r>
              <w:rPr>
                <w:spacing w:val="-1"/>
                <w:position w:val="1"/>
              </w:rPr>
              <w:t>年一遇</w:t>
            </w:r>
          </w:p>
        </w:tc>
        <w:tc>
          <w:tcPr>
            <w:tcW w:w="2283" w:type="dxa"/>
            <w:vAlign w:val="top"/>
          </w:tcPr>
          <w:p>
            <w:pPr>
              <w:pStyle w:val="TableText"/>
              <w:ind w:left="626"/>
              <w:spacing w:before="145" w:line="241" w:lineRule="exact"/>
              <w:rPr/>
            </w:pPr>
            <w:r>
              <w:rPr>
                <w:spacing w:val="-1"/>
                <w:position w:val="1"/>
              </w:rPr>
              <w:t>20-50</w:t>
            </w:r>
            <w:r>
              <w:rPr>
                <w:spacing w:val="-39"/>
                <w:position w:val="1"/>
              </w:rPr>
              <w:t xml:space="preserve"> </w:t>
            </w:r>
            <w:r>
              <w:rPr>
                <w:spacing w:val="-1"/>
                <w:position w:val="1"/>
              </w:rPr>
              <w:t>年一遇</w:t>
            </w:r>
          </w:p>
        </w:tc>
        <w:tc>
          <w:tcPr>
            <w:tcW w:w="1528" w:type="dxa"/>
            <w:vAlign w:val="top"/>
            <w:tcBorders>
              <w:right w:val="single" w:color="000000" w:sz="6" w:space="0"/>
            </w:tcBorders>
          </w:tcPr>
          <w:p>
            <w:pPr>
              <w:pStyle w:val="TableText"/>
              <w:ind w:left="203"/>
              <w:spacing w:before="145" w:line="241" w:lineRule="exact"/>
              <w:rPr/>
            </w:pPr>
            <w:r>
              <w:rPr>
                <w:spacing w:val="-2"/>
                <w:position w:val="1"/>
              </w:rPr>
              <w:t>20</w:t>
            </w:r>
            <w:r>
              <w:rPr>
                <w:spacing w:val="-39"/>
                <w:position w:val="1"/>
              </w:rPr>
              <w:t xml:space="preserve"> </w:t>
            </w:r>
            <w:r>
              <w:rPr>
                <w:spacing w:val="-2"/>
                <w:position w:val="1"/>
              </w:rPr>
              <w:t>年一遇以下</w:t>
            </w:r>
          </w:p>
        </w:tc>
      </w:tr>
      <w:tr>
        <w:trPr>
          <w:trHeight w:val="604" w:hRule="atLeast"/>
        </w:trPr>
        <w:tc>
          <w:tcPr>
            <w:tcW w:w="624" w:type="dxa"/>
            <w:vAlign w:val="top"/>
            <w:tcBorders>
              <w:left w:val="single" w:color="000000" w:sz="6" w:space="0"/>
            </w:tcBorders>
          </w:tcPr>
          <w:p>
            <w:pPr>
              <w:pStyle w:val="TableText"/>
              <w:ind w:left="263"/>
              <w:spacing w:before="245" w:line="261" w:lineRule="exact"/>
              <w:rPr/>
            </w:pPr>
            <w:r>
              <w:rPr>
                <w:position w:val="2"/>
              </w:rPr>
              <w:t>8</w:t>
            </w:r>
          </w:p>
        </w:tc>
        <w:tc>
          <w:tcPr>
            <w:tcW w:w="2056" w:type="dxa"/>
            <w:vAlign w:val="top"/>
          </w:tcPr>
          <w:p>
            <w:pPr>
              <w:pStyle w:val="TableText"/>
              <w:ind w:left="98"/>
              <w:spacing w:before="249" w:line="215" w:lineRule="auto"/>
              <w:rPr/>
            </w:pPr>
            <w:r>
              <w:rPr>
                <w:spacing w:val="-11"/>
              </w:rPr>
              <w:t>水库垮坝、重点堤防溃决</w:t>
            </w:r>
          </w:p>
        </w:tc>
        <w:tc>
          <w:tcPr>
            <w:tcW w:w="2034" w:type="dxa"/>
            <w:vAlign w:val="top"/>
          </w:tcPr>
          <w:p>
            <w:pPr>
              <w:pStyle w:val="TableText"/>
              <w:ind w:left="180"/>
              <w:spacing w:before="245" w:line="241" w:lineRule="exact"/>
              <w:rPr/>
            </w:pPr>
            <w:r>
              <w:rPr>
                <w:spacing w:val="-2"/>
                <w:position w:val="1"/>
              </w:rPr>
              <w:t>2017</w:t>
            </w:r>
            <w:r>
              <w:rPr>
                <w:spacing w:val="-31"/>
                <w:position w:val="1"/>
              </w:rPr>
              <w:t xml:space="preserve"> </w:t>
            </w:r>
            <w:r>
              <w:rPr>
                <w:spacing w:val="-2"/>
                <w:position w:val="1"/>
              </w:rPr>
              <w:t>年防汛抗旱预案</w:t>
            </w:r>
          </w:p>
        </w:tc>
        <w:tc>
          <w:tcPr>
            <w:tcW w:w="1423" w:type="dxa"/>
            <w:vAlign w:val="top"/>
          </w:tcPr>
          <w:p>
            <w:pPr>
              <w:rPr>
                <w:rFonts w:ascii="Arial"/>
                <w:sz w:val="21"/>
              </w:rPr>
            </w:pPr>
            <w:r/>
          </w:p>
        </w:tc>
        <w:tc>
          <w:tcPr>
            <w:tcW w:w="2021" w:type="dxa"/>
            <w:vAlign w:val="top"/>
          </w:tcPr>
          <w:p>
            <w:pPr>
              <w:pStyle w:val="TableText"/>
              <w:ind w:left="648" w:right="376" w:hanging="252"/>
              <w:spacing w:before="102" w:line="252" w:lineRule="auto"/>
              <w:rPr/>
            </w:pPr>
            <w:r>
              <w:rPr>
                <w:spacing w:val="-4"/>
              </w:rPr>
              <w:t>中型、重点小型</w:t>
            </w:r>
            <w:r>
              <w:rPr>
                <w:spacing w:val="-1"/>
              </w:rPr>
              <w:t>水库垮坝</w:t>
            </w:r>
          </w:p>
        </w:tc>
        <w:tc>
          <w:tcPr>
            <w:tcW w:w="1927" w:type="dxa"/>
            <w:vAlign w:val="top"/>
          </w:tcPr>
          <w:p>
            <w:pPr>
              <w:pStyle w:val="TableText"/>
              <w:ind w:left="243" w:right="146" w:hanging="88"/>
              <w:spacing w:before="100" w:line="253" w:lineRule="auto"/>
              <w:rPr/>
            </w:pPr>
            <w:r>
              <w:rPr>
                <w:spacing w:val="-1"/>
              </w:rPr>
              <w:t>小型水库垮坝，清水</w:t>
            </w:r>
            <w:r>
              <w:rPr>
                <w:spacing w:val="-1"/>
              </w:rPr>
              <w:t>河等重点堤防溃决</w:t>
            </w:r>
          </w:p>
        </w:tc>
        <w:tc>
          <w:tcPr>
            <w:tcW w:w="2283" w:type="dxa"/>
            <w:vAlign w:val="top"/>
          </w:tcPr>
          <w:p>
            <w:pPr>
              <w:pStyle w:val="TableText"/>
              <w:ind w:left="440" w:right="413" w:hanging="16"/>
              <w:spacing w:before="102" w:line="252" w:lineRule="auto"/>
              <w:rPr/>
            </w:pPr>
            <w:r>
              <w:rPr>
                <w:spacing w:val="-1"/>
              </w:rPr>
              <w:t>重点骨干坝垮坝，</w:t>
            </w:r>
            <w:r>
              <w:rPr>
                <w:spacing w:val="-3"/>
              </w:rPr>
              <w:t>中小河流堤防溃决</w:t>
            </w:r>
          </w:p>
        </w:tc>
        <w:tc>
          <w:tcPr>
            <w:tcW w:w="1528" w:type="dxa"/>
            <w:vAlign w:val="top"/>
            <w:tcBorders>
              <w:right w:val="single" w:color="000000" w:sz="6" w:space="0"/>
            </w:tcBorders>
          </w:tcPr>
          <w:p>
            <w:pPr>
              <w:pStyle w:val="TableText"/>
              <w:ind w:left="318" w:right="124" w:hanging="182"/>
              <w:spacing w:before="100" w:line="253" w:lineRule="auto"/>
              <w:rPr/>
            </w:pPr>
            <w:r>
              <w:rPr>
                <w:spacing w:val="-1"/>
              </w:rPr>
              <w:t>塘坝垮坝，山洪</w:t>
            </w:r>
            <w:r>
              <w:rPr>
                <w:spacing w:val="-2"/>
              </w:rPr>
              <w:t>沟堤防溃决</w:t>
            </w:r>
          </w:p>
        </w:tc>
      </w:tr>
      <w:tr>
        <w:trPr>
          <w:trHeight w:val="583" w:hRule="atLeast"/>
        </w:trPr>
        <w:tc>
          <w:tcPr>
            <w:tcW w:w="624" w:type="dxa"/>
            <w:vAlign w:val="top"/>
            <w:tcBorders>
              <w:left w:val="single" w:color="000000" w:sz="6" w:space="0"/>
              <w:bottom w:val="single" w:color="000000" w:sz="6" w:space="0"/>
            </w:tcBorders>
          </w:tcPr>
          <w:p>
            <w:pPr>
              <w:pStyle w:val="TableText"/>
              <w:ind w:left="261"/>
              <w:spacing w:before="229" w:line="260" w:lineRule="exact"/>
              <w:rPr/>
            </w:pPr>
            <w:r>
              <w:rPr>
                <w:position w:val="2"/>
              </w:rPr>
              <w:t>9</w:t>
            </w:r>
          </w:p>
        </w:tc>
        <w:tc>
          <w:tcPr>
            <w:tcW w:w="2056" w:type="dxa"/>
            <w:vAlign w:val="top"/>
            <w:tcBorders>
              <w:bottom w:val="single" w:color="000000" w:sz="6" w:space="0"/>
            </w:tcBorders>
          </w:tcPr>
          <w:p>
            <w:pPr>
              <w:pStyle w:val="TableText"/>
              <w:ind w:left="482"/>
              <w:spacing w:before="232" w:line="214" w:lineRule="auto"/>
              <w:rPr/>
            </w:pPr>
            <w:r>
              <w:rPr>
                <w:spacing w:val="-1"/>
              </w:rPr>
              <w:t>直接经济损失</w:t>
            </w:r>
          </w:p>
        </w:tc>
        <w:tc>
          <w:tcPr>
            <w:tcW w:w="2034" w:type="dxa"/>
            <w:vAlign w:val="top"/>
            <w:tcBorders>
              <w:bottom w:val="single" w:color="000000" w:sz="6" w:space="0"/>
            </w:tcBorders>
          </w:tcPr>
          <w:p>
            <w:pPr>
              <w:pStyle w:val="TableText"/>
              <w:ind w:left="130"/>
              <w:spacing w:before="232" w:line="213" w:lineRule="auto"/>
              <w:rPr/>
            </w:pPr>
            <w:r>
              <w:rPr>
                <w:spacing w:val="-3"/>
              </w:rPr>
              <w:t>国家和自治区标准修正</w:t>
            </w:r>
          </w:p>
        </w:tc>
        <w:tc>
          <w:tcPr>
            <w:tcW w:w="1423" w:type="dxa"/>
            <w:vAlign w:val="top"/>
            <w:tcBorders>
              <w:bottom w:val="single" w:color="000000" w:sz="6" w:space="0"/>
            </w:tcBorders>
          </w:tcPr>
          <w:p>
            <w:pPr>
              <w:pStyle w:val="TableText"/>
              <w:ind w:left="524"/>
              <w:spacing w:before="231" w:line="216" w:lineRule="auto"/>
              <w:rPr/>
            </w:pPr>
            <w:r>
              <w:rPr>
                <w:spacing w:val="-1"/>
              </w:rPr>
              <w:t>亿元</w:t>
            </w:r>
          </w:p>
        </w:tc>
        <w:tc>
          <w:tcPr>
            <w:tcW w:w="2021" w:type="dxa"/>
            <w:vAlign w:val="top"/>
            <w:tcBorders>
              <w:bottom w:val="single" w:color="000000" w:sz="6" w:space="0"/>
            </w:tcBorders>
          </w:tcPr>
          <w:p>
            <w:pPr>
              <w:pStyle w:val="TableText"/>
              <w:ind w:left="554"/>
              <w:spacing w:before="229" w:line="241" w:lineRule="exact"/>
              <w:rPr/>
            </w:pPr>
            <w:r>
              <w:rPr>
                <w:spacing w:val="-4"/>
                <w:position w:val="1"/>
              </w:rPr>
              <w:t>10</w:t>
            </w:r>
            <w:r>
              <w:rPr>
                <w:spacing w:val="-46"/>
                <w:position w:val="1"/>
              </w:rPr>
              <w:t xml:space="preserve"> </w:t>
            </w:r>
            <w:r>
              <w:rPr>
                <w:spacing w:val="-4"/>
                <w:position w:val="1"/>
              </w:rPr>
              <w:t>亿元以上</w:t>
            </w:r>
          </w:p>
        </w:tc>
        <w:tc>
          <w:tcPr>
            <w:tcW w:w="1927" w:type="dxa"/>
            <w:vAlign w:val="top"/>
            <w:tcBorders>
              <w:bottom w:val="single" w:color="000000" w:sz="6" w:space="0"/>
            </w:tcBorders>
          </w:tcPr>
          <w:p>
            <w:pPr>
              <w:pStyle w:val="TableText"/>
              <w:ind w:left="581"/>
              <w:spacing w:before="229" w:line="241" w:lineRule="exact"/>
              <w:rPr/>
            </w:pPr>
            <w:r>
              <w:rPr>
                <w:spacing w:val="-1"/>
                <w:position w:val="1"/>
              </w:rPr>
              <w:t>5-10</w:t>
            </w:r>
            <w:r>
              <w:rPr>
                <w:spacing w:val="-41"/>
                <w:position w:val="1"/>
              </w:rPr>
              <w:t xml:space="preserve"> </w:t>
            </w:r>
            <w:r>
              <w:rPr>
                <w:spacing w:val="-1"/>
                <w:position w:val="1"/>
              </w:rPr>
              <w:t>亿元</w:t>
            </w:r>
          </w:p>
        </w:tc>
        <w:tc>
          <w:tcPr>
            <w:tcW w:w="2283" w:type="dxa"/>
            <w:vAlign w:val="top"/>
            <w:tcBorders>
              <w:bottom w:val="single" w:color="000000" w:sz="6" w:space="0"/>
            </w:tcBorders>
          </w:tcPr>
          <w:p>
            <w:pPr>
              <w:pStyle w:val="TableText"/>
              <w:ind w:left="818"/>
              <w:spacing w:before="229" w:line="241" w:lineRule="exact"/>
              <w:rPr/>
            </w:pPr>
            <w:r>
              <w:rPr>
                <w:spacing w:val="-3"/>
                <w:position w:val="1"/>
              </w:rPr>
              <w:t>1-5</w:t>
            </w:r>
            <w:r>
              <w:rPr>
                <w:spacing w:val="-42"/>
                <w:position w:val="1"/>
              </w:rPr>
              <w:t xml:space="preserve"> </w:t>
            </w:r>
            <w:r>
              <w:rPr>
                <w:spacing w:val="-3"/>
                <w:position w:val="1"/>
              </w:rPr>
              <w:t>亿元</w:t>
            </w:r>
          </w:p>
        </w:tc>
        <w:tc>
          <w:tcPr>
            <w:tcW w:w="1528" w:type="dxa"/>
            <w:vAlign w:val="top"/>
            <w:tcBorders>
              <w:bottom w:val="single" w:color="000000" w:sz="6" w:space="0"/>
              <w:right w:val="single" w:color="000000" w:sz="6" w:space="0"/>
            </w:tcBorders>
          </w:tcPr>
          <w:p>
            <w:pPr>
              <w:pStyle w:val="TableText"/>
              <w:ind w:left="352"/>
              <w:spacing w:before="229" w:line="241" w:lineRule="exact"/>
              <w:rPr/>
            </w:pPr>
            <w:r>
              <w:rPr>
                <w:spacing w:val="-5"/>
                <w:position w:val="1"/>
              </w:rPr>
              <w:t>1</w:t>
            </w:r>
            <w:r>
              <w:rPr>
                <w:spacing w:val="-42"/>
                <w:position w:val="1"/>
              </w:rPr>
              <w:t xml:space="preserve"> </w:t>
            </w:r>
            <w:r>
              <w:rPr>
                <w:spacing w:val="-5"/>
                <w:position w:val="1"/>
              </w:rPr>
              <w:t>亿元以下</w:t>
            </w:r>
          </w:p>
        </w:tc>
      </w:tr>
    </w:tbl>
    <w:p>
      <w:pPr>
        <w:ind w:left="131" w:right="100" w:firstLine="418"/>
        <w:spacing w:before="77" w:line="294" w:lineRule="auto"/>
        <w:rPr>
          <w:rFonts w:ascii="KaiTi" w:hAnsi="KaiTi" w:eastAsia="KaiTi" w:cs="KaiTi"/>
          <w:sz w:val="20"/>
          <w:szCs w:val="20"/>
        </w:rPr>
      </w:pPr>
      <w:r>
        <w:rPr>
          <w:rFonts w:ascii="KaiTi" w:hAnsi="KaiTi" w:eastAsia="KaiTi" w:cs="KaiTi"/>
          <w:sz w:val="20"/>
          <w:szCs w:val="20"/>
          <w:spacing w:val="6"/>
        </w:rPr>
        <w:t>备注：1、水旱灾害分级标准主要参考了《洪涝灾情评估标准（</w:t>
      </w:r>
      <w:r>
        <w:rPr>
          <w:rFonts w:ascii="KaiTi" w:hAnsi="KaiTi" w:eastAsia="KaiTi" w:cs="KaiTi"/>
          <w:sz w:val="20"/>
          <w:szCs w:val="20"/>
          <w:spacing w:val="-53"/>
        </w:rPr>
        <w:t xml:space="preserve"> </w:t>
      </w:r>
      <w:r>
        <w:rPr>
          <w:rFonts w:ascii="KaiTi" w:hAnsi="KaiTi" w:eastAsia="KaiTi" w:cs="KaiTi"/>
          <w:sz w:val="20"/>
          <w:szCs w:val="20"/>
        </w:rPr>
        <w:t>SL</w:t>
      </w:r>
      <w:r>
        <w:rPr>
          <w:rFonts w:ascii="KaiTi" w:hAnsi="KaiTi" w:eastAsia="KaiTi" w:cs="KaiTi"/>
          <w:sz w:val="20"/>
          <w:szCs w:val="20"/>
          <w:spacing w:val="6"/>
        </w:rPr>
        <w:t>579-2012）</w:t>
      </w:r>
      <w:r>
        <w:rPr>
          <w:rFonts w:ascii="KaiTi" w:hAnsi="KaiTi" w:eastAsia="KaiTi" w:cs="KaiTi"/>
          <w:sz w:val="20"/>
          <w:szCs w:val="20"/>
          <w:spacing w:val="-55"/>
        </w:rPr>
        <w:t xml:space="preserve"> </w:t>
      </w:r>
      <w:r>
        <w:rPr>
          <w:rFonts w:ascii="KaiTi" w:hAnsi="KaiTi" w:eastAsia="KaiTi" w:cs="KaiTi"/>
          <w:sz w:val="20"/>
          <w:szCs w:val="20"/>
          <w:spacing w:val="6"/>
        </w:rPr>
        <w:t>》、《旱情等级标准（</w:t>
      </w:r>
      <w:r>
        <w:rPr>
          <w:rFonts w:ascii="KaiTi" w:hAnsi="KaiTi" w:eastAsia="KaiTi" w:cs="KaiTi"/>
          <w:sz w:val="20"/>
          <w:szCs w:val="20"/>
          <w:spacing w:val="-54"/>
        </w:rPr>
        <w:t xml:space="preserve"> </w:t>
      </w:r>
      <w:r>
        <w:rPr>
          <w:rFonts w:ascii="KaiTi" w:hAnsi="KaiTi" w:eastAsia="KaiTi" w:cs="KaiTi"/>
          <w:sz w:val="20"/>
          <w:szCs w:val="20"/>
        </w:rPr>
        <w:t>SL</w:t>
      </w:r>
      <w:r>
        <w:rPr>
          <w:rFonts w:ascii="KaiTi" w:hAnsi="KaiTi" w:eastAsia="KaiTi" w:cs="KaiTi"/>
          <w:sz w:val="20"/>
          <w:szCs w:val="20"/>
          <w:spacing w:val="-37"/>
        </w:rPr>
        <w:t xml:space="preserve"> </w:t>
      </w:r>
      <w:r>
        <w:rPr>
          <w:rFonts w:ascii="KaiTi" w:hAnsi="KaiTi" w:eastAsia="KaiTi" w:cs="KaiTi"/>
          <w:sz w:val="20"/>
          <w:szCs w:val="20"/>
          <w:spacing w:val="6"/>
        </w:rPr>
        <w:t>424－2008）</w:t>
      </w:r>
      <w:r>
        <w:rPr>
          <w:rFonts w:ascii="KaiTi" w:hAnsi="KaiTi" w:eastAsia="KaiTi" w:cs="KaiTi"/>
          <w:sz w:val="20"/>
          <w:szCs w:val="20"/>
          <w:spacing w:val="-56"/>
        </w:rPr>
        <w:t xml:space="preserve"> </w:t>
      </w:r>
      <w:r>
        <w:rPr>
          <w:rFonts w:ascii="KaiTi" w:hAnsi="KaiTi" w:eastAsia="KaiTi" w:cs="KaiTi"/>
          <w:sz w:val="20"/>
          <w:szCs w:val="20"/>
          <w:spacing w:val="6"/>
        </w:rPr>
        <w:t>》、《宁夏回族自治区突发事</w:t>
      </w:r>
      <w:r>
        <w:rPr>
          <w:rFonts w:ascii="KaiTi" w:hAnsi="KaiTi" w:eastAsia="KaiTi" w:cs="KaiTi"/>
          <w:sz w:val="20"/>
          <w:szCs w:val="20"/>
          <w:spacing w:val="8"/>
        </w:rPr>
        <w:t>件总体应急预案》和《宁夏水旱灾害分级标准》。</w:t>
      </w:r>
    </w:p>
    <w:p>
      <w:pPr>
        <w:ind w:left="138" w:right="122" w:firstLine="413"/>
        <w:spacing w:before="3" w:line="266" w:lineRule="auto"/>
        <w:rPr>
          <w:rFonts w:ascii="KaiTi" w:hAnsi="KaiTi" w:eastAsia="KaiTi" w:cs="KaiTi"/>
          <w:sz w:val="20"/>
          <w:szCs w:val="20"/>
        </w:rPr>
      </w:pPr>
      <w:r>
        <w:rPr>
          <w:rFonts w:ascii="KaiTi" w:hAnsi="KaiTi" w:eastAsia="KaiTi" w:cs="KaiTi"/>
          <w:sz w:val="20"/>
          <w:szCs w:val="20"/>
          <w:spacing w:val="7"/>
        </w:rPr>
        <w:t>2、我市各县（</w:t>
      </w:r>
      <w:r>
        <w:rPr>
          <w:rFonts w:ascii="KaiTi" w:hAnsi="KaiTi" w:eastAsia="KaiTi" w:cs="KaiTi"/>
          <w:sz w:val="20"/>
          <w:szCs w:val="20"/>
          <w:spacing w:val="-31"/>
        </w:rPr>
        <w:t xml:space="preserve"> </w:t>
      </w:r>
      <w:r>
        <w:rPr>
          <w:rFonts w:ascii="KaiTi" w:hAnsi="KaiTi" w:eastAsia="KaiTi" w:cs="KaiTi"/>
          <w:sz w:val="20"/>
          <w:szCs w:val="20"/>
          <w:spacing w:val="7"/>
        </w:rPr>
        <w:t>区</w:t>
      </w:r>
      <w:r>
        <w:rPr>
          <w:rFonts w:ascii="KaiTi" w:hAnsi="KaiTi" w:eastAsia="KaiTi" w:cs="KaiTi"/>
          <w:sz w:val="20"/>
          <w:szCs w:val="20"/>
          <w:spacing w:val="-41"/>
        </w:rPr>
        <w:t xml:space="preserve"> </w:t>
      </w:r>
      <w:r>
        <w:rPr>
          <w:rFonts w:ascii="KaiTi" w:hAnsi="KaiTi" w:eastAsia="KaiTi" w:cs="KaiTi"/>
          <w:sz w:val="20"/>
          <w:szCs w:val="20"/>
          <w:spacing w:val="7"/>
        </w:rPr>
        <w:t>）国土面积和总人口相对于全国水</w:t>
      </w:r>
      <w:r>
        <w:rPr>
          <w:rFonts w:ascii="KaiTi" w:hAnsi="KaiTi" w:eastAsia="KaiTi" w:cs="KaiTi"/>
          <w:sz w:val="20"/>
          <w:szCs w:val="20"/>
          <w:spacing w:val="6"/>
        </w:rPr>
        <w:t>平，均较少，对水旱灾害受灾人口比例指标进行调整。我市位于西北干旱和半干旱地区，常年</w:t>
      </w:r>
      <w:r>
        <w:rPr>
          <w:rFonts w:ascii="KaiTi" w:hAnsi="KaiTi" w:eastAsia="KaiTi" w:cs="KaiTi"/>
          <w:sz w:val="20"/>
          <w:szCs w:val="20"/>
          <w:spacing w:val="10"/>
        </w:rPr>
        <w:t>干旱少雨，对城市供水和农作物受旱指标进行调整。在国家标准和自治区突发事件应急</w:t>
      </w:r>
      <w:r>
        <w:rPr>
          <w:rFonts w:ascii="KaiTi" w:hAnsi="KaiTi" w:eastAsia="KaiTi" w:cs="KaiTi"/>
          <w:sz w:val="20"/>
          <w:szCs w:val="20"/>
          <w:spacing w:val="9"/>
        </w:rPr>
        <w:t>预案中，直接经济损失指标差距较大，本预案进行了调整。</w:t>
      </w:r>
    </w:p>
    <w:p>
      <w:pPr>
        <w:ind w:left="552"/>
        <w:spacing w:before="61" w:line="238" w:lineRule="auto"/>
        <w:rPr>
          <w:rFonts w:ascii="KaiTi" w:hAnsi="KaiTi" w:eastAsia="KaiTi" w:cs="KaiTi"/>
          <w:sz w:val="20"/>
          <w:szCs w:val="20"/>
        </w:rPr>
      </w:pPr>
      <w:r>
        <w:rPr>
          <w:rFonts w:ascii="KaiTi" w:hAnsi="KaiTi" w:eastAsia="KaiTi" w:cs="KaiTi"/>
          <w:sz w:val="20"/>
          <w:szCs w:val="20"/>
          <w:spacing w:val="9"/>
        </w:rPr>
        <w:t>3、干旱灾害以农作物受旱面积、城乡饮水困难人数两个指标评价，干旱受灾人口不再列为评价指标。</w:t>
      </w:r>
    </w:p>
    <w:p>
      <w:pPr>
        <w:spacing w:line="238" w:lineRule="auto"/>
        <w:sectPr>
          <w:headerReference w:type="default" r:id="rId717"/>
          <w:footerReference w:type="default" r:id="rId718"/>
          <w:pgSz w:w="16839" w:h="11906"/>
          <w:pgMar w:top="1772" w:right="1463" w:bottom="1620" w:left="1463" w:header="1428" w:footer="1227" w:gutter="0"/>
        </w:sectPr>
        <w:rPr>
          <w:rFonts w:ascii="KaiTi" w:hAnsi="KaiTi" w:eastAsia="KaiTi" w:cs="KaiTi"/>
          <w:sz w:val="20"/>
          <w:szCs w:val="20"/>
        </w:rPr>
      </w:pPr>
    </w:p>
    <w:p>
      <w:pPr>
        <w:spacing w:before="68"/>
        <w:rPr/>
      </w:pPr>
      <w:r>
        <w:drawing>
          <wp:anchor distT="0" distB="0" distL="0" distR="0" simplePos="0" relativeHeight="25229824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440" name="IM 1440"/>
            <wp:cNvGraphicFramePr/>
            <a:graphic>
              <a:graphicData uri="http://schemas.openxmlformats.org/drawingml/2006/picture">
                <pic:pic>
                  <pic:nvPicPr>
                    <pic:cNvPr id="1440" name="IM 1440"/>
                    <pic:cNvPicPr/>
                  </pic:nvPicPr>
                  <pic:blipFill>
                    <a:blip r:embed="rId722"/>
                    <a:stretch>
                      <a:fillRect/>
                    </a:stretch>
                  </pic:blipFill>
                  <pic:spPr>
                    <a:xfrm rot="0">
                      <a:off x="0" y="0"/>
                      <a:ext cx="5579745" cy="7620"/>
                    </a:xfrm>
                    <a:prstGeom prst="rect">
                      <a:avLst/>
                    </a:prstGeom>
                  </pic:spPr>
                </pic:pic>
              </a:graphicData>
            </a:graphic>
          </wp:anchor>
        </w:drawing>
      </w:r>
      <w:r/>
    </w:p>
    <w:p>
      <w:pPr>
        <w:sectPr>
          <w:headerReference w:type="default" r:id="rId720"/>
          <w:footerReference w:type="default" r:id="rId721"/>
          <w:pgSz w:w="11906" w:h="16839"/>
          <w:pgMar w:top="1766" w:right="1458" w:bottom="1551" w:left="1576" w:header="1428" w:footer="1172" w:gutter="0"/>
          <w:cols w:equalWidth="0" w:num="1">
            <w:col w:w="8872" w:space="0"/>
          </w:cols>
        </w:sectPr>
        <w:rPr/>
      </w:pPr>
    </w:p>
    <w:p>
      <w:pPr>
        <w:pStyle w:val="BodyText"/>
        <w:ind w:left="16" w:right="208" w:firstLine="425"/>
        <w:spacing w:before="47" w:line="370" w:lineRule="auto"/>
        <w:jc w:val="both"/>
        <w:rPr/>
      </w:pPr>
      <w:r>
        <w:rPr>
          <w:rFonts w:ascii="Times New Roman" w:hAnsi="Times New Roman" w:eastAsia="Times New Roman" w:cs="Times New Roman"/>
          <w:spacing w:val="-1"/>
        </w:rPr>
        <w:t>3.2.2 </w:t>
      </w:r>
      <w:r>
        <w:rPr>
          <w:spacing w:val="-1"/>
        </w:rPr>
        <w:t>洪水灾害。根据《水文情报预报规范》</w:t>
      </w:r>
      <w:r>
        <w:rPr>
          <w:spacing w:val="13"/>
        </w:rPr>
        <w:t xml:space="preserve"> </w:t>
      </w:r>
      <w:r>
        <w:rPr>
          <w:rFonts w:ascii="Times New Roman" w:hAnsi="Times New Roman" w:eastAsia="Times New Roman" w:cs="Times New Roman"/>
        </w:rPr>
        <w:t>GB</w:t>
      </w:r>
      <w:r>
        <w:rPr>
          <w:rFonts w:ascii="Times New Roman" w:hAnsi="Times New Roman" w:eastAsia="Times New Roman" w:cs="Times New Roman"/>
          <w:spacing w:val="6"/>
        </w:rPr>
        <w:t>/T22482-2008 </w:t>
      </w:r>
      <w:r>
        <w:rPr>
          <w:rFonts w:ascii="FangSong" w:hAnsi="FangSong" w:eastAsia="FangSong" w:cs="FangSong"/>
          <w:spacing w:val="-35"/>
        </w:rPr>
        <w:t>）</w:t>
      </w:r>
      <w:r>
        <w:rPr>
          <w:spacing w:val="-35"/>
        </w:rPr>
        <w:t>，</w:t>
      </w:r>
      <w:r>
        <w:rPr>
          <w:spacing w:val="6"/>
        </w:rPr>
        <w:t>将由洪水、地震、恐怖活</w:t>
      </w:r>
      <w:r>
        <w:rPr>
          <w:spacing w:val="7"/>
        </w:rPr>
        <w:t>动等引发的水库垮坝、堤防决口、渠道坍塌等</w:t>
      </w:r>
      <w:r>
        <w:rPr>
          <w:spacing w:val="7"/>
        </w:rPr>
        <w:t>洪水灾害突发事件分为小洪水、中洪水、大洪</w:t>
      </w:r>
      <w:r>
        <w:rPr>
          <w:spacing w:val="9"/>
        </w:rPr>
        <w:t>水、特大洪水四个级别。其中分级标准为：</w:t>
      </w:r>
    </w:p>
    <w:p>
      <w:pPr>
        <w:pStyle w:val="BodyText"/>
        <w:ind w:left="16" w:right="252" w:firstLine="412"/>
        <w:spacing w:before="3" w:line="344"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）小洪水。清水河、泾河、葫芦河等</w:t>
      </w:r>
      <w:r>
        <w:rPr>
          <w:spacing w:val="7"/>
        </w:rPr>
        <w:t>流域支流发生小洪水。重点防洪堤及中型水库</w:t>
      </w:r>
      <w:r>
        <w:rPr>
          <w:spacing w:val="7"/>
        </w:rPr>
        <w:t>出现沉陷裂缝，建筑物漏水，山洪沟发生小洪</w:t>
      </w:r>
      <w:r>
        <w:rPr>
          <w:spacing w:val="7"/>
        </w:rPr>
        <w:t>水。六盘山、月亮山、云雾山区及主要交通干</w:t>
      </w:r>
      <w:r>
        <w:rPr>
          <w:spacing w:val="2"/>
        </w:rPr>
        <w:t>线发生小洪水。洪水要素重现期小于</w:t>
      </w:r>
      <w:r>
        <w:rPr>
          <w:spacing w:val="-54"/>
        </w:rPr>
        <w:t xml:space="preserve"> </w:t>
      </w:r>
      <w:r>
        <w:rPr>
          <w:rFonts w:ascii="Times New Roman" w:hAnsi="Times New Roman" w:eastAsia="Times New Roman" w:cs="Times New Roman"/>
          <w:spacing w:val="2"/>
        </w:rPr>
        <w:t>5</w:t>
      </w:r>
      <w:r>
        <w:rPr>
          <w:rFonts w:ascii="Times New Roman" w:hAnsi="Times New Roman" w:eastAsia="Times New Roman" w:cs="Times New Roman"/>
          <w:spacing w:val="-16"/>
        </w:rPr>
        <w:t xml:space="preserve"> </w:t>
      </w:r>
      <w:r>
        <w:rPr>
          <w:spacing w:val="2"/>
        </w:rPr>
        <w:t>年一遇。</w:t>
      </w:r>
    </w:p>
    <w:p>
      <w:pPr>
        <w:pStyle w:val="BodyText"/>
        <w:ind w:left="18" w:right="252" w:firstLine="409"/>
        <w:spacing w:before="162" w:line="337" w:lineRule="auto"/>
        <w:rPr/>
      </w:pPr>
      <w:r>
        <w:rPr>
          <w:spacing w:val="9"/>
        </w:rPr>
        <w:t>（</w:t>
      </w:r>
      <w:r>
        <w:rPr>
          <w:rFonts w:ascii="Times New Roman" w:hAnsi="Times New Roman" w:eastAsia="Times New Roman" w:cs="Times New Roman"/>
          <w:spacing w:val="9"/>
        </w:rPr>
        <w:t>2 </w:t>
      </w:r>
      <w:r>
        <w:rPr>
          <w:spacing w:val="9"/>
        </w:rPr>
        <w:t>）中洪水。清水河、泾河、葫芦河等</w:t>
      </w:r>
      <w:r>
        <w:rPr>
          <w:spacing w:val="7"/>
        </w:rPr>
        <w:t>流域支流及六盘山、月亮山、云雾山山区局部</w:t>
      </w:r>
      <w:r>
        <w:rPr>
          <w:spacing w:val="7"/>
        </w:rPr>
        <w:t>发生中洪水。水库、坝出现重大险情。山洪沟</w:t>
      </w:r>
      <w:r>
        <w:rPr>
          <w:spacing w:val="4"/>
        </w:rPr>
        <w:t>发生中洪水。洪水要素重现期</w:t>
      </w:r>
      <w:r>
        <w:rPr>
          <w:spacing w:val="-29"/>
        </w:rPr>
        <w:t xml:space="preserve"> </w:t>
      </w:r>
      <w:r>
        <w:rPr>
          <w:rFonts w:ascii="Times New Roman" w:hAnsi="Times New Roman" w:eastAsia="Times New Roman" w:cs="Times New Roman"/>
          <w:spacing w:val="4"/>
        </w:rPr>
        <w:t>5 </w:t>
      </w:r>
      <w:r>
        <w:rPr>
          <w:spacing w:val="4"/>
        </w:rPr>
        <w:t>至</w:t>
      </w:r>
      <w:r>
        <w:rPr>
          <w:spacing w:val="-43"/>
        </w:rPr>
        <w:t xml:space="preserve"> </w:t>
      </w:r>
      <w:r>
        <w:rPr>
          <w:rFonts w:ascii="Times New Roman" w:hAnsi="Times New Roman" w:eastAsia="Times New Roman" w:cs="Times New Roman"/>
          <w:spacing w:val="4"/>
        </w:rPr>
        <w:t>20 </w:t>
      </w:r>
      <w:r>
        <w:rPr>
          <w:spacing w:val="4"/>
        </w:rPr>
        <w:t>年一遇。</w:t>
      </w:r>
    </w:p>
    <w:p>
      <w:pPr>
        <w:pStyle w:val="BodyText"/>
        <w:ind w:left="16" w:right="309" w:firstLine="412"/>
        <w:spacing w:before="161" w:line="345"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）大洪水。清水河、泾河、葫芦河和</w:t>
      </w:r>
      <w:r>
        <w:rPr>
          <w:spacing w:val="18"/>
        </w:rPr>
        <w:t>主要山洪沟发生大洪水。各河道堤防发生决</w:t>
      </w:r>
      <w:r>
        <w:rPr>
          <w:spacing w:val="8"/>
        </w:rPr>
        <w:t>口。一般小型水库、塘坝、骨干坝发生垮坝。</w:t>
      </w:r>
      <w:r>
        <w:rPr>
          <w:spacing w:val="7"/>
        </w:rPr>
        <w:t>城镇及主要交通干线发生暴雨引发大洪水。洪</w:t>
      </w:r>
      <w:r>
        <w:rPr>
          <w:spacing w:val="6"/>
        </w:rPr>
        <w:t>水要素的重现期</w:t>
      </w:r>
      <w:r>
        <w:rPr>
          <w:spacing w:val="-35"/>
        </w:rPr>
        <w:t xml:space="preserve"> </w:t>
      </w:r>
      <w:r>
        <w:rPr>
          <w:rFonts w:ascii="Times New Roman" w:hAnsi="Times New Roman" w:eastAsia="Times New Roman" w:cs="Times New Roman"/>
          <w:spacing w:val="6"/>
        </w:rPr>
        <w:t>20 </w:t>
      </w:r>
      <w:r>
        <w:rPr>
          <w:spacing w:val="6"/>
        </w:rPr>
        <w:t>年至</w:t>
      </w:r>
      <w:r>
        <w:rPr>
          <w:spacing w:val="-35"/>
        </w:rPr>
        <w:t xml:space="preserve"> </w:t>
      </w:r>
      <w:r>
        <w:rPr>
          <w:rFonts w:ascii="Times New Roman" w:hAnsi="Times New Roman" w:eastAsia="Times New Roman" w:cs="Times New Roman"/>
          <w:spacing w:val="6"/>
        </w:rPr>
        <w:t>50 </w:t>
      </w:r>
      <w:r>
        <w:rPr>
          <w:spacing w:val="6"/>
        </w:rPr>
        <w:t>年一遇。</w:t>
      </w:r>
    </w:p>
    <w:p>
      <w:pPr>
        <w:pStyle w:val="BodyText"/>
        <w:ind w:left="17" w:right="329" w:firstLine="410"/>
        <w:spacing w:before="162" w:line="345"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）特大洪水。中型及重点小型水库发</w:t>
      </w:r>
      <w:r>
        <w:rPr>
          <w:spacing w:val="7"/>
        </w:rPr>
        <w:t>生垮坝。清水河、泾河、葫芦河干流发生特大</w:t>
      </w:r>
      <w:r>
        <w:rPr>
          <w:spacing w:val="7"/>
        </w:rPr>
        <w:t>洪水。六盘山、月亮山、云雾山区及沿线发生</w:t>
      </w:r>
      <w:r>
        <w:rPr>
          <w:spacing w:val="10"/>
        </w:rPr>
        <w:t>特大暴雨山洪。洪水要素的重现期大于</w:t>
      </w:r>
      <w:r>
        <w:rPr>
          <w:spacing w:val="-17"/>
        </w:rPr>
        <w:t xml:space="preserve"> </w:t>
      </w:r>
      <w:r>
        <w:rPr>
          <w:rFonts w:ascii="Times New Roman" w:hAnsi="Times New Roman" w:eastAsia="Times New Roman" w:cs="Times New Roman"/>
          <w:spacing w:val="10"/>
        </w:rPr>
        <w:t>50 </w:t>
      </w:r>
      <w:r>
        <w:rPr>
          <w:spacing w:val="10"/>
        </w:rPr>
        <w:t>年</w:t>
      </w:r>
      <w:r>
        <w:rPr>
          <w:spacing w:val="7"/>
        </w:rPr>
        <w:t>一遇的洪水。</w:t>
      </w:r>
    </w:p>
    <w:p>
      <w:pPr>
        <w:ind w:left="441"/>
        <w:spacing w:before="163" w:line="268" w:lineRule="exact"/>
        <w:rPr>
          <w:rFonts w:ascii="KaiTi" w:hAnsi="KaiTi" w:eastAsia="KaiTi" w:cs="KaiTi"/>
          <w:sz w:val="20"/>
          <w:szCs w:val="20"/>
        </w:rPr>
      </w:pPr>
      <w:r>
        <w:rPr>
          <w:rFonts w:ascii="Times New Roman" w:hAnsi="Times New Roman" w:eastAsia="Times New Roman" w:cs="Times New Roman"/>
          <w:sz w:val="20"/>
          <w:szCs w:val="20"/>
          <w:spacing w:val="4"/>
          <w:position w:val="1"/>
        </w:rPr>
        <w:t>3.3  </w:t>
      </w:r>
      <w:r>
        <w:rPr>
          <w:rFonts w:ascii="KaiTi" w:hAnsi="KaiTi" w:eastAsia="KaiTi" w:cs="KaiTi"/>
          <w:sz w:val="20"/>
          <w:szCs w:val="20"/>
          <w:spacing w:val="4"/>
          <w:position w:val="1"/>
        </w:rPr>
        <w:t>信息报告。</w:t>
      </w:r>
    </w:p>
    <w:p>
      <w:pPr>
        <w:pStyle w:val="BodyText"/>
        <w:ind w:left="15" w:right="327" w:firstLine="426"/>
        <w:spacing w:before="143" w:line="356" w:lineRule="auto"/>
        <w:jc w:val="both"/>
        <w:rPr/>
      </w:pPr>
      <w:r>
        <w:rPr>
          <w:rFonts w:ascii="Times New Roman" w:hAnsi="Times New Roman" w:eastAsia="Times New Roman" w:cs="Times New Roman"/>
          <w:spacing w:val="3"/>
        </w:rPr>
        <w:t>3.3.1 </w:t>
      </w:r>
      <w:r>
        <w:rPr>
          <w:spacing w:val="3"/>
        </w:rPr>
        <w:t>信息报告程序。凡可能引发水旱灾害</w:t>
      </w:r>
      <w:r>
        <w:rPr>
          <w:spacing w:val="18"/>
        </w:rPr>
        <w:t>突发事件的信息和可能引发水旱灾害突发事</w:t>
      </w:r>
      <w:r>
        <w:rPr>
          <w:spacing w:val="7"/>
        </w:rPr>
        <w:t>件的内幕性、预警性、行动性信息，都属报告</w:t>
      </w:r>
      <w:r>
        <w:rPr>
          <w:spacing w:val="7"/>
        </w:rPr>
        <w:t>内容。最先发现或接到此类信息报告的单位或</w:t>
      </w:r>
      <w:r>
        <w:rPr>
          <w:spacing w:val="11"/>
        </w:rPr>
        <w:t>个人应在</w:t>
      </w:r>
      <w:r>
        <w:rPr>
          <w:spacing w:val="-33"/>
        </w:rPr>
        <w:t xml:space="preserve"> </w:t>
      </w:r>
      <w:r>
        <w:rPr>
          <w:rFonts w:ascii="Times New Roman" w:hAnsi="Times New Roman" w:eastAsia="Times New Roman" w:cs="Times New Roman"/>
          <w:spacing w:val="11"/>
        </w:rPr>
        <w:t>30 </w:t>
      </w:r>
      <w:r>
        <w:rPr>
          <w:spacing w:val="11"/>
        </w:rPr>
        <w:t>分钟内向固原市相关部门或市应</w:t>
      </w:r>
      <w:r>
        <w:rPr>
          <w:spacing w:val="7"/>
        </w:rPr>
        <w:t>急管理指挥部报告情况，任何单位或个人不得</w:t>
      </w:r>
      <w:r>
        <w:rPr>
          <w:spacing w:val="8"/>
        </w:rPr>
        <w:t>拖延或借故不报。</w:t>
      </w:r>
    </w:p>
    <w:p>
      <w:pPr>
        <w:spacing w:line="14" w:lineRule="auto"/>
        <w:rPr>
          <w:rFonts w:ascii="Arial"/>
          <w:sz w:val="2"/>
        </w:rPr>
      </w:pPr>
      <w:r>
        <w:rPr>
          <w:rFonts w:ascii="Arial" w:hAnsi="Arial" w:eastAsia="Arial" w:cs="Arial"/>
          <w:sz w:val="2"/>
          <w:szCs w:val="2"/>
        </w:rPr>
        <w:br w:type="column"/>
      </w:r>
    </w:p>
    <w:p>
      <w:pPr>
        <w:pStyle w:val="BodyText"/>
        <w:ind w:right="132" w:firstLine="423"/>
        <w:spacing w:before="58" w:line="374" w:lineRule="auto"/>
        <w:rPr/>
      </w:pPr>
      <w:r>
        <w:rPr>
          <w:spacing w:val="6"/>
        </w:rPr>
        <w:t>市应急管理指挥部接到信息报告后，要尽</w:t>
      </w:r>
      <w:r>
        <w:rPr>
          <w:spacing w:val="7"/>
        </w:rPr>
        <w:t>快组织有关专家进行会商或分析研判，对发生</w:t>
      </w:r>
      <w:r>
        <w:rPr>
          <w:spacing w:val="18"/>
        </w:rPr>
        <w:t>和可能引发一般和较大级别的水旱灾害突发</w:t>
      </w:r>
      <w:r>
        <w:rPr>
          <w:spacing w:val="7"/>
        </w:rPr>
        <w:t>事件的监测预测预警信息，向市应急管理指挥</w:t>
      </w:r>
      <w:r>
        <w:rPr>
          <w:spacing w:val="7"/>
        </w:rPr>
        <w:t>部成员单位通报，督促和指导按照相关应急预</w:t>
      </w:r>
      <w:r>
        <w:rPr>
          <w:spacing w:val="7"/>
        </w:rPr>
        <w:t>案做好处置工作，并上报市委、市政府；对可</w:t>
      </w:r>
      <w:r>
        <w:rPr>
          <w:spacing w:val="7"/>
        </w:rPr>
        <w:t>能引发重大、特别重大级别的水旱灾害突发事</w:t>
      </w:r>
      <w:r>
        <w:rPr>
          <w:spacing w:val="7"/>
        </w:rPr>
        <w:t>件的监测预测预警信息，市应急管理指挥部要</w:t>
      </w:r>
      <w:r>
        <w:rPr>
          <w:spacing w:val="7"/>
        </w:rPr>
        <w:t>及时报告市委、市政府。按照《宁夏回族自治</w:t>
      </w:r>
      <w:r>
        <w:rPr>
          <w:spacing w:val="4"/>
        </w:rPr>
        <w:t>区突发事件预警信息发布管理办法》，</w:t>
      </w:r>
      <w:r>
        <w:rPr>
          <w:spacing w:val="-36"/>
        </w:rPr>
        <w:t xml:space="preserve"> </w:t>
      </w:r>
      <w:r>
        <w:rPr>
          <w:spacing w:val="4"/>
        </w:rPr>
        <w:t>提出预</w:t>
      </w:r>
      <w:r>
        <w:rPr>
          <w:spacing w:val="9"/>
        </w:rPr>
        <w:t>警信息发布方案，并配合做好预警信息发布</w:t>
      </w:r>
    </w:p>
    <w:p>
      <w:pPr>
        <w:pStyle w:val="BodyText"/>
        <w:ind w:left="2"/>
        <w:spacing w:line="276" w:lineRule="exact"/>
        <w:rPr/>
      </w:pPr>
      <w:r>
        <w:rPr>
          <w:spacing w:val="4"/>
          <w:position w:val="1"/>
        </w:rPr>
        <w:t>工作。</w:t>
      </w:r>
      <w:r>
        <w:rPr>
          <w:rFonts w:ascii="Times New Roman" w:hAnsi="Times New Roman" w:eastAsia="Times New Roman" w:cs="Times New Roman"/>
          <w:spacing w:val="4"/>
          <w:position w:val="1"/>
        </w:rPr>
        <w:t>3.3.2 </w:t>
      </w:r>
      <w:r>
        <w:rPr>
          <w:spacing w:val="4"/>
          <w:position w:val="1"/>
        </w:rPr>
        <w:t>信息报告内容。主要包括</w:t>
      </w:r>
      <w:r>
        <w:rPr>
          <w:spacing w:val="-3"/>
          <w:position w:val="1"/>
        </w:rPr>
        <w:t>：（</w:t>
      </w:r>
      <w:r>
        <w:rPr>
          <w:spacing w:val="-47"/>
          <w:position w:val="1"/>
        </w:rPr>
        <w:t xml:space="preserve"> </w:t>
      </w:r>
      <w:r>
        <w:rPr>
          <w:rFonts w:ascii="Times New Roman" w:hAnsi="Times New Roman" w:eastAsia="Times New Roman" w:cs="Times New Roman"/>
          <w:spacing w:val="4"/>
          <w:position w:val="1"/>
        </w:rPr>
        <w:t>1</w:t>
      </w:r>
      <w:r>
        <w:rPr>
          <w:rFonts w:ascii="Times New Roman" w:hAnsi="Times New Roman" w:eastAsia="Times New Roman" w:cs="Times New Roman"/>
          <w:spacing w:val="-21"/>
          <w:position w:val="1"/>
        </w:rPr>
        <w:t xml:space="preserve"> </w:t>
      </w:r>
      <w:r>
        <w:rPr>
          <w:spacing w:val="4"/>
          <w:position w:val="1"/>
        </w:rPr>
        <w:t>）</w:t>
      </w:r>
    </w:p>
    <w:p>
      <w:pPr>
        <w:pStyle w:val="BodyText"/>
        <w:ind w:left="19" w:hanging="19"/>
        <w:spacing w:before="132" w:line="357" w:lineRule="auto"/>
        <w:rPr/>
      </w:pPr>
      <w:r>
        <w:rPr>
          <w:spacing w:val="11"/>
        </w:rPr>
        <w:t>水旱灾害发生的时间、地点、简要经过</w:t>
      </w:r>
      <w:r>
        <w:rPr>
          <w:spacing w:val="-10"/>
        </w:rPr>
        <w:t>；（</w:t>
      </w:r>
      <w:r>
        <w:rPr>
          <w:spacing w:val="-37"/>
        </w:rPr>
        <w:t xml:space="preserve"> </w:t>
      </w:r>
      <w:r>
        <w:rPr>
          <w:rFonts w:ascii="Times New Roman" w:hAnsi="Times New Roman" w:eastAsia="Times New Roman" w:cs="Times New Roman"/>
          <w:spacing w:val="11"/>
        </w:rPr>
        <w:t>2</w:t>
      </w:r>
      <w:r>
        <w:rPr>
          <w:rFonts w:ascii="Times New Roman" w:hAnsi="Times New Roman" w:eastAsia="Times New Roman" w:cs="Times New Roman"/>
        </w:rPr>
        <w:t xml:space="preserve">    </w:t>
      </w:r>
      <w:r>
        <w:rPr>
          <w:spacing w:val="8"/>
        </w:rPr>
        <w:t>) 可能造成的危害程度、影响范围、伤亡人数</w:t>
      </w:r>
      <w:r>
        <w:rPr>
          <w:spacing w:val="3"/>
        </w:rPr>
        <w:t xml:space="preserve">  </w:t>
      </w:r>
      <w:r>
        <w:rPr>
          <w:spacing w:val="7"/>
        </w:rPr>
        <w:t>、直接经济损失</w:t>
      </w:r>
      <w:r>
        <w:rPr>
          <w:spacing w:val="-2"/>
        </w:rPr>
        <w:t>；（</w:t>
      </w:r>
      <w:r>
        <w:rPr>
          <w:rFonts w:ascii="Times New Roman" w:hAnsi="Times New Roman" w:eastAsia="Times New Roman" w:cs="Times New Roman"/>
          <w:spacing w:val="7"/>
        </w:rPr>
        <w:t>3</w:t>
      </w:r>
      <w:r>
        <w:rPr>
          <w:spacing w:val="7"/>
        </w:rPr>
        <w:t>）已采取的应急处置措施</w:t>
      </w:r>
      <w:r>
        <w:rPr/>
        <w:t xml:space="preserve"> </w:t>
      </w:r>
      <w:r>
        <w:rPr>
          <w:spacing w:val="-6"/>
          <w:position w:val="5"/>
        </w:rPr>
        <w:t>,</w:t>
      </w:r>
      <w:r>
        <w:rPr>
          <w:spacing w:val="-10"/>
          <w:position w:val="5"/>
        </w:rPr>
        <w:t xml:space="preserve"> </w:t>
      </w:r>
      <w:r>
        <w:rPr>
          <w:spacing w:val="-6"/>
        </w:rPr>
        <w:t>目前事件处置进展情况，下一步拟采取的措施。</w:t>
      </w:r>
    </w:p>
    <w:p>
      <w:pPr>
        <w:pStyle w:val="BodyText"/>
        <w:ind w:right="129" w:firstLine="426"/>
        <w:spacing w:before="24" w:line="374" w:lineRule="auto"/>
        <w:jc w:val="both"/>
        <w:rPr/>
      </w:pPr>
      <w:r>
        <w:rPr>
          <w:rFonts w:ascii="Times New Roman" w:hAnsi="Times New Roman" w:eastAsia="Times New Roman" w:cs="Times New Roman"/>
        </w:rPr>
        <w:t>3.3.3 </w:t>
      </w:r>
      <w:r>
        <w:rPr/>
        <w:t>联络员报告制度。按照《</w:t>
      </w:r>
      <w:r>
        <w:rPr>
          <w:spacing w:val="-28"/>
        </w:rPr>
        <w:t xml:space="preserve"> </w:t>
      </w:r>
      <w:r>
        <w:rPr/>
        <w:t>自治区政府</w:t>
      </w:r>
      <w:r>
        <w:rPr>
          <w:spacing w:val="18"/>
        </w:rPr>
        <w:t>办公厅关于建立突发事件应急处置工作的通</w:t>
      </w:r>
      <w:r>
        <w:rPr>
          <w:spacing w:val="8"/>
        </w:rPr>
        <w:t>知》（宁政办﹝</w:t>
      </w:r>
      <w:r>
        <w:rPr>
          <w:rFonts w:ascii="Times New Roman" w:hAnsi="Times New Roman" w:eastAsia="Times New Roman" w:cs="Times New Roman"/>
          <w:spacing w:val="8"/>
        </w:rPr>
        <w:t>2016</w:t>
      </w:r>
      <w:r>
        <w:rPr>
          <w:rFonts w:ascii="Times New Roman" w:hAnsi="Times New Roman" w:eastAsia="Times New Roman" w:cs="Times New Roman"/>
          <w:spacing w:val="54"/>
        </w:rPr>
        <w:t xml:space="preserve"> </w:t>
      </w:r>
      <w:r>
        <w:rPr>
          <w:spacing w:val="8"/>
        </w:rPr>
        <w:t>)</w:t>
      </w:r>
      <w:r>
        <w:rPr>
          <w:rFonts w:ascii="Times New Roman" w:hAnsi="Times New Roman" w:eastAsia="Times New Roman" w:cs="Times New Roman"/>
          <w:spacing w:val="8"/>
        </w:rPr>
        <w:t>164 </w:t>
      </w:r>
      <w:r>
        <w:rPr>
          <w:spacing w:val="8"/>
        </w:rPr>
        <w:t>号）要求，水旱灾</w:t>
      </w:r>
      <w:r>
        <w:rPr>
          <w:spacing w:val="7"/>
        </w:rPr>
        <w:t>害发生后，各县区政府和市应急管理指挥部各</w:t>
      </w:r>
      <w:r>
        <w:rPr>
          <w:spacing w:val="18"/>
        </w:rPr>
        <w:t>成员单位在向市政府首报突发事件信息的同</w:t>
      </w:r>
      <w:r>
        <w:rPr>
          <w:spacing w:val="7"/>
        </w:rPr>
        <w:t>时，报告联络员姓名（分管副职）、职务、联</w:t>
      </w:r>
      <w:r>
        <w:rPr>
          <w:spacing w:val="7"/>
        </w:rPr>
        <w:t>系方式、突发事件、到达现场时间或拟到达现</w:t>
      </w:r>
      <w:r>
        <w:rPr>
          <w:spacing w:val="7"/>
        </w:rPr>
        <w:t>场时间。如在应急处置过程中更换联络员，要</w:t>
      </w:r>
      <w:r>
        <w:rPr>
          <w:spacing w:val="7"/>
        </w:rPr>
        <w:t>及时报备。</w:t>
      </w:r>
    </w:p>
    <w:p>
      <w:pPr>
        <w:pStyle w:val="BodyText"/>
        <w:ind w:right="132" w:firstLine="420"/>
        <w:spacing w:before="11" w:line="374" w:lineRule="auto"/>
        <w:jc w:val="both"/>
        <w:rPr/>
      </w:pPr>
      <w:r>
        <w:rPr>
          <w:spacing w:val="7"/>
        </w:rPr>
        <w:t>应急联络员包括：水旱灾害发生地县区政</w:t>
      </w:r>
      <w:r>
        <w:rPr>
          <w:spacing w:val="7"/>
        </w:rPr>
        <w:t>府赶赴现场指挥先期处置工作的主要领导、分</w:t>
      </w:r>
      <w:r>
        <w:rPr>
          <w:spacing w:val="7"/>
        </w:rPr>
        <w:t>管领导和随同前往的应急管理部门负责人；市</w:t>
      </w:r>
      <w:r>
        <w:rPr>
          <w:spacing w:val="18"/>
        </w:rPr>
        <w:t>应急管理指挥部各成员和成员单位负责人及</w:t>
      </w:r>
      <w:r>
        <w:rPr>
          <w:spacing w:val="7"/>
        </w:rPr>
        <w:t>指挥部办公室主任；赶赴现场的有关部门、单</w:t>
      </w:r>
      <w:r>
        <w:rPr>
          <w:spacing w:val="8"/>
        </w:rPr>
        <w:t>位领导和应急工作机构负责人。</w:t>
      </w:r>
    </w:p>
    <w:p>
      <w:pPr>
        <w:pStyle w:val="BodyText"/>
        <w:ind w:left="426"/>
        <w:spacing w:line="221" w:lineRule="auto"/>
        <w:rPr/>
      </w:pPr>
      <w:r>
        <w:rPr>
          <w:rFonts w:ascii="Times New Roman" w:hAnsi="Times New Roman" w:eastAsia="Times New Roman" w:cs="Times New Roman"/>
          <w:spacing w:val="8"/>
        </w:rPr>
        <w:t>3.4  </w:t>
      </w:r>
      <w:r>
        <w:rPr>
          <w:rFonts w:ascii="KaiTi" w:hAnsi="KaiTi" w:eastAsia="KaiTi" w:cs="KaiTi"/>
          <w:spacing w:val="8"/>
        </w:rPr>
        <w:t>预警信息发布。</w:t>
      </w:r>
      <w:r>
        <w:rPr>
          <w:spacing w:val="8"/>
        </w:rPr>
        <w:t>按照《宁夏回族自治</w:t>
      </w:r>
    </w:p>
    <w:p>
      <w:pPr>
        <w:spacing w:line="221" w:lineRule="auto"/>
        <w:sectPr>
          <w:type w:val="continuous"/>
          <w:pgSz w:w="11906" w:h="16839"/>
          <w:pgMar w:top="1766" w:right="1458" w:bottom="1551" w:left="1576" w:header="1428" w:footer="1172" w:gutter="0"/>
          <w:cols w:equalWidth="0" w:num="2">
            <w:col w:w="4493" w:space="100"/>
            <w:col w:w="4280" w:space="0"/>
          </w:cols>
        </w:sectPr>
        <w:rPr/>
      </w:pPr>
    </w:p>
    <w:p>
      <w:pPr>
        <w:spacing w:before="9"/>
        <w:rPr/>
      </w:pPr>
      <w:r>
        <w:drawing>
          <wp:anchor distT="0" distB="0" distL="0" distR="0" simplePos="0" relativeHeight="252303360" behindDoc="0" locked="0" layoutInCell="0" allowOverlap="1">
            <wp:simplePos x="0" y="0"/>
            <wp:positionH relativeFrom="page">
              <wp:posOffset>1008380</wp:posOffset>
            </wp:positionH>
            <wp:positionV relativeFrom="page">
              <wp:posOffset>1186180</wp:posOffset>
            </wp:positionV>
            <wp:extent cx="5579745" cy="7619"/>
            <wp:effectExtent l="0" t="0" r="0" b="0"/>
            <wp:wrapNone/>
            <wp:docPr id="1446" name="IM 1446"/>
            <wp:cNvGraphicFramePr/>
            <a:graphic>
              <a:graphicData uri="http://schemas.openxmlformats.org/drawingml/2006/picture">
                <pic:pic>
                  <pic:nvPicPr>
                    <pic:cNvPr id="1446" name="IM 1446"/>
                    <pic:cNvPicPr/>
                  </pic:nvPicPr>
                  <pic:blipFill>
                    <a:blip r:embed="rId725"/>
                    <a:stretch>
                      <a:fillRect/>
                    </a:stretch>
                  </pic:blipFill>
                  <pic:spPr>
                    <a:xfrm rot="0">
                      <a:off x="0" y="0"/>
                      <a:ext cx="5579745" cy="7619"/>
                    </a:xfrm>
                    <a:prstGeom prst="rect">
                      <a:avLst/>
                    </a:prstGeom>
                  </pic:spPr>
                </pic:pic>
              </a:graphicData>
            </a:graphic>
          </wp:anchor>
        </w:drawing>
      </w:r>
      <w:r/>
    </w:p>
    <w:p>
      <w:pPr>
        <w:sectPr>
          <w:headerReference w:type="default" r:id="rId723"/>
          <w:footerReference w:type="default" r:id="rId724"/>
          <w:pgSz w:w="11906" w:h="16839"/>
          <w:pgMar w:top="1828" w:right="1373" w:bottom="1556" w:left="1567" w:header="1428" w:footer="1172" w:gutter="0"/>
          <w:cols w:equalWidth="0" w:num="1">
            <w:col w:w="8966" w:space="0"/>
          </w:cols>
        </w:sectPr>
        <w:rPr/>
      </w:pPr>
    </w:p>
    <w:p>
      <w:pPr>
        <w:pStyle w:val="BodyText"/>
        <w:ind w:left="25" w:right="329" w:firstLine="16"/>
        <w:spacing w:before="52" w:line="372" w:lineRule="auto"/>
        <w:jc w:val="both"/>
        <w:rPr/>
      </w:pPr>
      <w:r>
        <w:rPr>
          <w:spacing w:val="6"/>
        </w:rPr>
        <w:t>区突发事件预警信息发布管理办法》（宁政办</w:t>
      </w:r>
      <w:r>
        <w:rPr>
          <w:spacing w:val="8"/>
        </w:rPr>
        <w:t>﹝</w:t>
      </w:r>
      <w:r>
        <w:rPr>
          <w:rFonts w:ascii="Times New Roman" w:hAnsi="Times New Roman" w:eastAsia="Times New Roman" w:cs="Times New Roman"/>
          <w:spacing w:val="8"/>
        </w:rPr>
        <w:t>2015</w:t>
      </w:r>
      <w:r>
        <w:rPr>
          <w:rFonts w:ascii="Times New Roman" w:hAnsi="Times New Roman" w:eastAsia="Times New Roman" w:cs="Times New Roman"/>
          <w:spacing w:val="53"/>
        </w:rPr>
        <w:t xml:space="preserve"> </w:t>
      </w:r>
      <w:r>
        <w:rPr>
          <w:spacing w:val="8"/>
        </w:rPr>
        <w:t>)</w:t>
      </w:r>
      <w:r>
        <w:rPr>
          <w:rFonts w:ascii="Times New Roman" w:hAnsi="Times New Roman" w:eastAsia="Times New Roman" w:cs="Times New Roman"/>
          <w:spacing w:val="8"/>
        </w:rPr>
        <w:t>178 </w:t>
      </w:r>
      <w:r>
        <w:rPr>
          <w:spacing w:val="8"/>
        </w:rPr>
        <w:t>号）要求，预警信息由县级以上</w:t>
      </w:r>
      <w:r>
        <w:rPr>
          <w:spacing w:val="7"/>
        </w:rPr>
        <w:t>政府或其授权的部门或单位发布。固原市暴雨</w:t>
      </w:r>
      <w:r>
        <w:rPr>
          <w:spacing w:val="7"/>
        </w:rPr>
        <w:t>预警信息由市气象局发布；洪水预警信息由市</w:t>
      </w:r>
      <w:r>
        <w:rPr>
          <w:spacing w:val="7"/>
        </w:rPr>
        <w:t>水务局发布；山洪灾害气象风险预警信息由市</w:t>
      </w:r>
      <w:r>
        <w:rPr>
          <w:spacing w:val="7"/>
        </w:rPr>
        <w:t>水务局联合市气象局发布；干旱气象风险预警</w:t>
      </w:r>
      <w:r>
        <w:rPr>
          <w:spacing w:val="18"/>
        </w:rPr>
        <w:t>信息由市水务局或市农业农村局联合市气象</w:t>
      </w:r>
      <w:r>
        <w:rPr>
          <w:spacing w:val="7"/>
        </w:rPr>
        <w:t>局发布；地质灾害气象风险预警信息由市自然</w:t>
      </w:r>
      <w:r>
        <w:rPr>
          <w:spacing w:val="8"/>
        </w:rPr>
        <w:t>资源局联合市气象局发布。</w:t>
      </w:r>
    </w:p>
    <w:p>
      <w:pPr>
        <w:pStyle w:val="BodyText"/>
        <w:ind w:left="17" w:right="329" w:firstLine="433"/>
        <w:spacing w:before="6" w:line="370" w:lineRule="auto"/>
        <w:jc w:val="both"/>
        <w:rPr/>
      </w:pPr>
      <w:r>
        <w:rPr>
          <w:rFonts w:ascii="Times New Roman" w:hAnsi="Times New Roman" w:eastAsia="Times New Roman" w:cs="Times New Roman"/>
          <w:spacing w:val="8"/>
        </w:rPr>
        <w:t>3.5  </w:t>
      </w:r>
      <w:r>
        <w:rPr>
          <w:rFonts w:ascii="KaiTi" w:hAnsi="KaiTi" w:eastAsia="KaiTi" w:cs="KaiTi"/>
          <w:spacing w:val="8"/>
        </w:rPr>
        <w:t>预警行动。</w:t>
      </w:r>
      <w:r>
        <w:rPr>
          <w:spacing w:val="8"/>
        </w:rPr>
        <w:t>市有关部门或单位，各县</w:t>
      </w:r>
      <w:r>
        <w:rPr>
          <w:spacing w:val="7"/>
        </w:rPr>
        <w:t>（区）政府和乡镇政府及有关部门或单位接到</w:t>
      </w:r>
      <w:r>
        <w:rPr>
          <w:spacing w:val="7"/>
        </w:rPr>
        <w:t>预警信息后，应按各自应急预案和相关规定采</w:t>
      </w:r>
      <w:r>
        <w:rPr>
          <w:spacing w:val="7"/>
        </w:rPr>
        <w:t>取有效措施，做好防范应对工作，努力避免或</w:t>
      </w:r>
      <w:r>
        <w:rPr>
          <w:spacing w:val="9"/>
        </w:rPr>
        <w:t>减轻水旱灾害损失。</w:t>
      </w:r>
    </w:p>
    <w:p>
      <w:pPr>
        <w:pStyle w:val="BodyText"/>
        <w:ind w:left="26" w:right="327" w:firstLine="419"/>
        <w:spacing w:before="13" w:line="359" w:lineRule="auto"/>
        <w:jc w:val="both"/>
        <w:rPr/>
      </w:pPr>
      <w:r>
        <w:rPr>
          <w:spacing w:val="-4"/>
        </w:rPr>
        <w:t>村（居）民委员会、其他基层组织和村（社</w:t>
      </w:r>
      <w:r>
        <w:rPr>
          <w:spacing w:val="7"/>
        </w:rPr>
        <w:t>区）接到预警信息后，应当进行宣传动员，组</w:t>
      </w:r>
      <w:r>
        <w:rPr>
          <w:spacing w:val="8"/>
        </w:rPr>
        <w:t>织群众做好防范应对工作。</w:t>
      </w:r>
    </w:p>
    <w:p>
      <w:pPr>
        <w:ind w:left="446"/>
        <w:spacing w:before="39"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4</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5"/>
        </w:rPr>
        <w:t>应急处置</w:t>
      </w:r>
    </w:p>
    <w:p>
      <w:pPr>
        <w:pStyle w:val="BodyText"/>
        <w:ind w:left="25" w:right="265" w:firstLine="419"/>
        <w:spacing w:before="101" w:line="358" w:lineRule="auto"/>
        <w:rPr/>
      </w:pPr>
      <w:r>
        <w:rPr>
          <w:rFonts w:ascii="Times New Roman" w:hAnsi="Times New Roman" w:eastAsia="Times New Roman" w:cs="Times New Roman"/>
          <w:spacing w:val="7"/>
        </w:rPr>
        <w:t>4.</w:t>
      </w:r>
      <w:r>
        <w:rPr>
          <w:rFonts w:ascii="Times New Roman" w:hAnsi="Times New Roman" w:eastAsia="Times New Roman" w:cs="Times New Roman"/>
          <w:spacing w:val="-22"/>
        </w:rPr>
        <w:t xml:space="preserve"> </w:t>
      </w:r>
      <w:r>
        <w:rPr>
          <w:rFonts w:ascii="Times New Roman" w:hAnsi="Times New Roman" w:eastAsia="Times New Roman" w:cs="Times New Roman"/>
          <w:spacing w:val="7"/>
        </w:rPr>
        <w:t>1  </w:t>
      </w:r>
      <w:r>
        <w:rPr>
          <w:rFonts w:ascii="KaiTi" w:hAnsi="KaiTi" w:eastAsia="KaiTi" w:cs="KaiTi"/>
          <w:spacing w:val="7"/>
        </w:rPr>
        <w:t>先期处置。</w:t>
      </w:r>
      <w:r>
        <w:rPr>
          <w:spacing w:val="7"/>
        </w:rPr>
        <w:t>当水旱灾害达到预警级别</w:t>
      </w:r>
      <w:r>
        <w:rPr>
          <w:spacing w:val="7"/>
        </w:rPr>
        <w:t>时，应立即启动应急响应，必要时成立现场指</w:t>
      </w:r>
      <w:r>
        <w:rPr>
          <w:spacing w:val="7"/>
        </w:rPr>
        <w:t>挥部。在采取紧急措施的同时，向市应急管理</w:t>
      </w:r>
      <w:r>
        <w:rPr>
          <w:spacing w:val="7"/>
        </w:rPr>
        <w:t>指挥部报告。根据现场情况，及时收集、掌握</w:t>
      </w:r>
      <w:r>
        <w:rPr>
          <w:spacing w:val="7"/>
        </w:rPr>
        <w:t>相关信息，判明事件性质和危害程度，并及时</w:t>
      </w:r>
      <w:r>
        <w:rPr>
          <w:spacing w:val="7"/>
        </w:rPr>
        <w:t>上报事态的发展变化情况。对特大、重大、较</w:t>
      </w:r>
      <w:r>
        <w:rPr>
          <w:spacing w:val="7"/>
        </w:rPr>
        <w:t>大突发水旱灾害事件或者有向特大、重大、较</w:t>
      </w:r>
      <w:r>
        <w:rPr>
          <w:spacing w:val="7"/>
        </w:rPr>
        <w:t>大突发水旱灾害趋势发展的，水旱灾害发生地</w:t>
      </w:r>
      <w:r>
        <w:rPr>
          <w:spacing w:val="-2"/>
        </w:rPr>
        <w:t>县（</w:t>
      </w:r>
      <w:r>
        <w:rPr>
          <w:spacing w:val="-50"/>
        </w:rPr>
        <w:t xml:space="preserve"> </w:t>
      </w:r>
      <w:r>
        <w:rPr>
          <w:spacing w:val="-2"/>
        </w:rPr>
        <w:t>区）政府和相关单位要第一时间赶赴现场，</w:t>
      </w:r>
      <w:r>
        <w:rPr>
          <w:spacing w:val="8"/>
        </w:rPr>
        <w:t>组织开展先期处置工作。</w:t>
      </w:r>
    </w:p>
    <w:p>
      <w:pPr>
        <w:pStyle w:val="BodyText"/>
        <w:ind w:left="24" w:right="324" w:firstLine="420"/>
        <w:spacing w:before="163" w:line="322" w:lineRule="auto"/>
        <w:rPr/>
      </w:pPr>
      <w:r>
        <w:rPr>
          <w:rFonts w:ascii="Times New Roman" w:hAnsi="Times New Roman" w:eastAsia="Times New Roman" w:cs="Times New Roman"/>
          <w:spacing w:val="8"/>
        </w:rPr>
        <w:t>4.2  </w:t>
      </w:r>
      <w:r>
        <w:rPr>
          <w:rFonts w:ascii="KaiTi" w:hAnsi="KaiTi" w:eastAsia="KaiTi" w:cs="KaiTi"/>
          <w:spacing w:val="8"/>
        </w:rPr>
        <w:t>响应分级。</w:t>
      </w:r>
      <w:r>
        <w:rPr>
          <w:spacing w:val="8"/>
        </w:rPr>
        <w:t>根据水旱灾害分级情况，</w:t>
      </w:r>
      <w:r>
        <w:rPr>
          <w:spacing w:val="6"/>
        </w:rPr>
        <w:t>将水旱灾害应急响应分为</w:t>
      </w:r>
      <w:r>
        <w:rPr>
          <w:spacing w:val="-25"/>
        </w:rPr>
        <w:t xml:space="preserve"> </w:t>
      </w:r>
      <w:r>
        <w:rPr>
          <w:rFonts w:ascii="Times New Roman" w:hAnsi="Times New Roman" w:eastAsia="Times New Roman" w:cs="Times New Roman"/>
          <w:spacing w:val="6"/>
        </w:rPr>
        <w:t>I </w:t>
      </w:r>
      <w:r>
        <w:rPr>
          <w:spacing w:val="6"/>
        </w:rPr>
        <w:t>级、</w:t>
      </w:r>
      <w:r>
        <w:rPr>
          <w:rFonts w:ascii="Times New Roman" w:hAnsi="Times New Roman" w:eastAsia="Times New Roman" w:cs="Times New Roman"/>
        </w:rPr>
        <w:t>II</w:t>
      </w:r>
      <w:r>
        <w:rPr>
          <w:rFonts w:ascii="Times New Roman" w:hAnsi="Times New Roman" w:eastAsia="Times New Roman" w:cs="Times New Roman"/>
          <w:spacing w:val="6"/>
        </w:rPr>
        <w:t xml:space="preserve"> </w:t>
      </w:r>
      <w:r>
        <w:rPr>
          <w:spacing w:val="6"/>
        </w:rPr>
        <w:t>级、</w:t>
      </w:r>
      <w:r>
        <w:rPr>
          <w:rFonts w:ascii="Times New Roman" w:hAnsi="Times New Roman" w:eastAsia="Times New Roman" w:cs="Times New Roman"/>
        </w:rPr>
        <w:t>III</w:t>
      </w:r>
      <w:r>
        <w:rPr>
          <w:rFonts w:ascii="Times New Roman" w:hAnsi="Times New Roman" w:eastAsia="Times New Roman" w:cs="Times New Roman"/>
          <w:spacing w:val="6"/>
        </w:rPr>
        <w:t xml:space="preserve"> </w:t>
      </w:r>
      <w:r>
        <w:rPr>
          <w:spacing w:val="6"/>
        </w:rPr>
        <w:t>级和</w:t>
      </w:r>
      <w:r>
        <w:rPr>
          <w:rFonts w:ascii="Times New Roman" w:hAnsi="Times New Roman" w:eastAsia="Times New Roman" w:cs="Times New Roman"/>
        </w:rPr>
        <w:t>IV</w:t>
      </w:r>
      <w:r>
        <w:rPr>
          <w:rFonts w:ascii="Times New Roman" w:hAnsi="Times New Roman" w:eastAsia="Times New Roman" w:cs="Times New Roman"/>
          <w:spacing w:val="12"/>
        </w:rPr>
        <w:t xml:space="preserve"> </w:t>
      </w:r>
      <w:r>
        <w:rPr>
          <w:spacing w:val="3"/>
        </w:rPr>
        <w:t>级。</w:t>
      </w:r>
    </w:p>
    <w:p>
      <w:pPr>
        <w:pStyle w:val="BodyText"/>
        <w:ind w:left="437"/>
        <w:spacing w:before="167" w:line="221" w:lineRule="auto"/>
        <w:rPr/>
      </w:pPr>
      <w:r>
        <w:rPr>
          <w:spacing w:val="1"/>
        </w:rPr>
        <w:t>（</w:t>
      </w:r>
      <w:r>
        <w:rPr>
          <w:spacing w:val="-33"/>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1"/>
        </w:rPr>
        <w:t xml:space="preserve"> </w:t>
      </w:r>
      <w:r>
        <w:rPr>
          <w:spacing w:val="1"/>
        </w:rPr>
        <w:t>）</w:t>
      </w:r>
      <w:r>
        <w:rPr>
          <w:rFonts w:ascii="Times New Roman" w:hAnsi="Times New Roman" w:eastAsia="Times New Roman" w:cs="Times New Roman"/>
          <w:spacing w:val="1"/>
        </w:rPr>
        <w:t>I </w:t>
      </w:r>
      <w:r>
        <w:rPr>
          <w:spacing w:val="1"/>
        </w:rPr>
        <w:t>级响应：可能或已经发生特别重大</w:t>
      </w:r>
    </w:p>
    <w:p>
      <w:pPr>
        <w:spacing w:line="14" w:lineRule="auto"/>
        <w:rPr>
          <w:rFonts w:ascii="Arial"/>
          <w:sz w:val="2"/>
        </w:rPr>
      </w:pPr>
      <w:r>
        <w:rPr>
          <w:rFonts w:ascii="Arial" w:hAnsi="Arial" w:eastAsia="Arial" w:cs="Arial"/>
          <w:sz w:val="2"/>
          <w:szCs w:val="2"/>
        </w:rPr>
        <w:br w:type="column"/>
      </w:r>
    </w:p>
    <w:p>
      <w:pPr>
        <w:pStyle w:val="BodyText"/>
        <w:spacing w:before="51" w:line="222" w:lineRule="auto"/>
        <w:rPr/>
      </w:pPr>
      <w:r>
        <w:rPr>
          <w:spacing w:val="7"/>
        </w:rPr>
        <w:t>水旱灾害（特大洪水）时，市应急管理指挥部</w:t>
      </w:r>
    </w:p>
    <w:p>
      <w:pPr>
        <w:pStyle w:val="BodyText"/>
        <w:ind w:left="4"/>
        <w:spacing w:before="164" w:line="222" w:lineRule="auto"/>
        <w:rPr/>
      </w:pPr>
      <w:r>
        <w:rPr>
          <w:spacing w:val="7"/>
        </w:rPr>
        <w:t>办公室组织指挥部成员单位、专家组紧急会商</w:t>
      </w:r>
    </w:p>
    <w:p>
      <w:pPr>
        <w:pStyle w:val="BodyText"/>
        <w:spacing w:before="162" w:line="221" w:lineRule="auto"/>
        <w:rPr/>
      </w:pPr>
      <w:r>
        <w:rPr>
          <w:spacing w:val="18"/>
        </w:rPr>
        <w:t>对灾害影响及其发展趋势进行分析研判后向</w:t>
      </w:r>
    </w:p>
    <w:p>
      <w:pPr>
        <w:pStyle w:val="BodyText"/>
        <w:ind w:left="3"/>
        <w:spacing w:before="164" w:line="219" w:lineRule="auto"/>
        <w:rPr/>
      </w:pPr>
      <w:r>
        <w:rPr>
          <w:spacing w:val="7"/>
        </w:rPr>
        <w:t>市委、市政府报告。由市政府向自治区党委、</w:t>
      </w:r>
    </w:p>
    <w:p>
      <w:pPr>
        <w:pStyle w:val="BodyText"/>
        <w:ind w:left="2"/>
        <w:spacing w:before="165" w:line="223" w:lineRule="auto"/>
        <w:rPr/>
      </w:pPr>
      <w:r>
        <w:rPr>
          <w:spacing w:val="8"/>
        </w:rPr>
        <w:t>政府报告并提出启动</w:t>
      </w:r>
      <w:r>
        <w:rPr>
          <w:spacing w:val="-43"/>
        </w:rPr>
        <w:t xml:space="preserve"> </w:t>
      </w:r>
      <w:r>
        <w:rPr>
          <w:rFonts w:ascii="Times New Roman" w:hAnsi="Times New Roman" w:eastAsia="Times New Roman" w:cs="Times New Roman"/>
          <w:spacing w:val="8"/>
        </w:rPr>
        <w:t>I </w:t>
      </w:r>
      <w:r>
        <w:rPr>
          <w:spacing w:val="8"/>
        </w:rPr>
        <w:t>级响应建议，经批准，</w:t>
      </w:r>
    </w:p>
    <w:p>
      <w:pPr>
        <w:pStyle w:val="BodyText"/>
        <w:ind w:left="2" w:firstLine="23"/>
        <w:spacing w:before="120" w:line="392" w:lineRule="auto"/>
        <w:rPr/>
      </w:pPr>
      <w:r>
        <w:rPr>
          <w:spacing w:val="5"/>
        </w:rPr>
        <w:t>由</w:t>
      </w:r>
      <w:r>
        <w:rPr>
          <w:spacing w:val="-48"/>
        </w:rPr>
        <w:t xml:space="preserve"> </w:t>
      </w:r>
      <w:r>
        <w:rPr>
          <w:spacing w:val="5"/>
        </w:rPr>
        <w:t>自治区政府宣布启动</w:t>
      </w:r>
      <w:r>
        <w:rPr>
          <w:spacing w:val="-42"/>
        </w:rPr>
        <w:t xml:space="preserve"> </w:t>
      </w:r>
      <w:r>
        <w:rPr>
          <w:rFonts w:ascii="Times New Roman" w:hAnsi="Times New Roman" w:eastAsia="Times New Roman" w:cs="Times New Roman"/>
          <w:spacing w:val="5"/>
        </w:rPr>
        <w:t>I </w:t>
      </w:r>
      <w:r>
        <w:rPr>
          <w:spacing w:val="5"/>
        </w:rPr>
        <w:t>级响应，启动自治区防</w:t>
      </w:r>
      <w:r>
        <w:rPr>
          <w:spacing w:val="18"/>
        </w:rPr>
        <w:t>汛抗旱应急预案。在自治区政府的统一领导</w:t>
      </w:r>
    </w:p>
    <w:p>
      <w:pPr>
        <w:pStyle w:val="BodyText"/>
        <w:ind w:left="1" w:right="193"/>
        <w:spacing w:before="3" w:line="372" w:lineRule="auto"/>
        <w:rPr/>
      </w:pPr>
      <w:r>
        <w:rPr>
          <w:spacing w:val="6"/>
        </w:rPr>
        <w:t>下，市应急管理指挥部和有关县（</w:t>
      </w:r>
      <w:r>
        <w:rPr>
          <w:spacing w:val="-53"/>
        </w:rPr>
        <w:t xml:space="preserve"> </w:t>
      </w:r>
      <w:r>
        <w:rPr>
          <w:spacing w:val="6"/>
        </w:rPr>
        <w:t>区）单位、</w:t>
      </w:r>
      <w:r>
        <w:rPr>
          <w:spacing w:val="7"/>
        </w:rPr>
        <w:t>部门组织开展应急处置各项工作；视情况，市</w:t>
      </w:r>
      <w:r>
        <w:rPr>
          <w:spacing w:val="7"/>
        </w:rPr>
        <w:t>政府和市应急管理指挥部可向区政府、区应急</w:t>
      </w:r>
      <w:r>
        <w:rPr>
          <w:spacing w:val="18"/>
        </w:rPr>
        <w:t>管理指挥部或有关厅局提出支援或委派工作</w:t>
      </w:r>
      <w:r>
        <w:rPr>
          <w:spacing w:val="8"/>
        </w:rPr>
        <w:t>组来固指导防汛应急处置工作。</w:t>
      </w:r>
    </w:p>
    <w:p>
      <w:pPr>
        <w:pStyle w:val="BodyText"/>
        <w:ind w:right="214" w:firstLine="413"/>
        <w:spacing w:before="1" w:line="358" w:lineRule="auto"/>
        <w:rPr/>
      </w:pPr>
      <w:r>
        <w:rPr>
          <w:spacing w:val="12"/>
        </w:rPr>
        <w:t>（</w:t>
      </w:r>
      <w:r>
        <w:rPr>
          <w:rFonts w:ascii="Times New Roman" w:hAnsi="Times New Roman" w:eastAsia="Times New Roman" w:cs="Times New Roman"/>
          <w:spacing w:val="12"/>
        </w:rPr>
        <w:t>2</w:t>
      </w:r>
      <w:r>
        <w:rPr>
          <w:rFonts w:ascii="Times New Roman" w:hAnsi="Times New Roman" w:eastAsia="Times New Roman" w:cs="Times New Roman"/>
          <w:spacing w:val="-14"/>
        </w:rPr>
        <w:t xml:space="preserve"> </w:t>
      </w:r>
      <w:r>
        <w:rPr>
          <w:spacing w:val="12"/>
        </w:rPr>
        <w:t>）</w:t>
      </w:r>
      <w:r>
        <w:rPr>
          <w:rFonts w:ascii="Times New Roman" w:hAnsi="Times New Roman" w:eastAsia="Times New Roman" w:cs="Times New Roman"/>
        </w:rPr>
        <w:t>II</w:t>
      </w:r>
      <w:r>
        <w:rPr>
          <w:rFonts w:ascii="Times New Roman" w:hAnsi="Times New Roman" w:eastAsia="Times New Roman" w:cs="Times New Roman"/>
          <w:spacing w:val="12"/>
        </w:rPr>
        <w:t xml:space="preserve"> </w:t>
      </w:r>
      <w:r>
        <w:rPr>
          <w:spacing w:val="12"/>
        </w:rPr>
        <w:t>级响应：可能或已经发生重大水</w:t>
      </w:r>
      <w:r>
        <w:rPr>
          <w:spacing w:val="7"/>
        </w:rPr>
        <w:t>旱灾害（大洪水）时，市应急管理指挥部办公</w:t>
      </w:r>
      <w:r>
        <w:rPr>
          <w:spacing w:val="7"/>
        </w:rPr>
        <w:t>室组织指挥部成员单位、专家组紧急会商或对</w:t>
      </w:r>
      <w:r>
        <w:rPr>
          <w:spacing w:val="18"/>
        </w:rPr>
        <w:t>灾害影响及其发展趋势进行分析研判后向市</w:t>
      </w:r>
      <w:r>
        <w:rPr>
          <w:spacing w:val="7"/>
        </w:rPr>
        <w:t>委、市政府报告。由市政府向自治区政府提出</w:t>
      </w:r>
      <w:r>
        <w:rPr>
          <w:spacing w:val="5"/>
        </w:rPr>
        <w:t>启动</w:t>
      </w:r>
      <w:r>
        <w:rPr>
          <w:spacing w:val="-37"/>
        </w:rPr>
        <w:t xml:space="preserve"> </w:t>
      </w:r>
      <w:r>
        <w:rPr>
          <w:rFonts w:ascii="Times New Roman" w:hAnsi="Times New Roman" w:eastAsia="Times New Roman" w:cs="Times New Roman"/>
        </w:rPr>
        <w:t>II</w:t>
      </w:r>
      <w:r>
        <w:rPr>
          <w:rFonts w:ascii="Times New Roman" w:hAnsi="Times New Roman" w:eastAsia="Times New Roman" w:cs="Times New Roman"/>
          <w:spacing w:val="5"/>
        </w:rPr>
        <w:t xml:space="preserve"> </w:t>
      </w:r>
      <w:r>
        <w:rPr>
          <w:spacing w:val="5"/>
        </w:rPr>
        <w:t>级响应建议，经批准，由自治区政府宣</w:t>
      </w:r>
      <w:r>
        <w:rPr>
          <w:spacing w:val="5"/>
        </w:rPr>
        <w:t>布启动</w:t>
      </w:r>
      <w:r>
        <w:rPr>
          <w:spacing w:val="-37"/>
        </w:rPr>
        <w:t xml:space="preserve"> </w:t>
      </w:r>
      <w:r>
        <w:rPr>
          <w:rFonts w:ascii="Times New Roman" w:hAnsi="Times New Roman" w:eastAsia="Times New Roman" w:cs="Times New Roman"/>
        </w:rPr>
        <w:t>II</w:t>
      </w:r>
      <w:r>
        <w:rPr>
          <w:rFonts w:ascii="Times New Roman" w:hAnsi="Times New Roman" w:eastAsia="Times New Roman" w:cs="Times New Roman"/>
          <w:spacing w:val="5"/>
        </w:rPr>
        <w:t xml:space="preserve"> </w:t>
      </w:r>
      <w:r>
        <w:rPr>
          <w:spacing w:val="5"/>
        </w:rPr>
        <w:t>级响应决定，并发布启动自治区级应</w:t>
      </w:r>
      <w:r>
        <w:rPr>
          <w:spacing w:val="17"/>
        </w:rPr>
        <w:t>急响应程序的命令。市应急管理指挥部统一</w:t>
      </w:r>
      <w:r>
        <w:rPr>
          <w:spacing w:val="7"/>
        </w:rPr>
        <w:t>领导、指挥有关县（区）政府和部门按照职责</w:t>
      </w:r>
      <w:r>
        <w:rPr>
          <w:spacing w:val="8"/>
        </w:rPr>
        <w:t>分工开展水旱灾害应对工作。</w:t>
      </w:r>
    </w:p>
    <w:p>
      <w:pPr>
        <w:pStyle w:val="BodyText"/>
        <w:ind w:right="214" w:firstLine="413"/>
        <w:spacing w:before="165" w:line="356" w:lineRule="auto"/>
        <w:rPr/>
      </w:pPr>
      <w:r>
        <w:rPr>
          <w:spacing w:val="8"/>
        </w:rPr>
        <w:t>（</w:t>
      </w:r>
      <w:r>
        <w:rPr>
          <w:rFonts w:ascii="Times New Roman" w:hAnsi="Times New Roman" w:eastAsia="Times New Roman" w:cs="Times New Roman"/>
          <w:spacing w:val="8"/>
        </w:rPr>
        <w:t>3</w:t>
      </w:r>
      <w:r>
        <w:rPr>
          <w:rFonts w:ascii="Times New Roman" w:hAnsi="Times New Roman" w:eastAsia="Times New Roman" w:cs="Times New Roman"/>
          <w:spacing w:val="-9"/>
        </w:rPr>
        <w:t xml:space="preserve"> </w:t>
      </w:r>
      <w:r>
        <w:rPr>
          <w:spacing w:val="8"/>
        </w:rPr>
        <w:t>）</w:t>
      </w:r>
      <w:r>
        <w:rPr>
          <w:rFonts w:ascii="Times New Roman" w:hAnsi="Times New Roman" w:eastAsia="Times New Roman" w:cs="Times New Roman"/>
        </w:rPr>
        <w:t>III</w:t>
      </w:r>
      <w:r>
        <w:rPr>
          <w:rFonts w:ascii="Times New Roman" w:hAnsi="Times New Roman" w:eastAsia="Times New Roman" w:cs="Times New Roman"/>
          <w:spacing w:val="8"/>
        </w:rPr>
        <w:t xml:space="preserve"> </w:t>
      </w:r>
      <w:r>
        <w:rPr>
          <w:spacing w:val="8"/>
        </w:rPr>
        <w:t>级响应：可能或已经发生发生较</w:t>
      </w:r>
      <w:r>
        <w:rPr>
          <w:spacing w:val="4"/>
        </w:rPr>
        <w:t>大水旱灾害（</w:t>
      </w:r>
      <w:r>
        <w:rPr>
          <w:spacing w:val="-34"/>
        </w:rPr>
        <w:t xml:space="preserve"> </w:t>
      </w:r>
      <w:r>
        <w:rPr>
          <w:spacing w:val="4"/>
        </w:rPr>
        <w:t>中洪水）时，水旱灾害发生地县</w:t>
      </w:r>
      <w:r>
        <w:rPr>
          <w:spacing w:val="18"/>
        </w:rPr>
        <w:t>区政府或其应急管理指挥部组织各成员单位</w:t>
      </w:r>
      <w:r>
        <w:rPr>
          <w:spacing w:val="7"/>
        </w:rPr>
        <w:t>和专家进行分析研判，对水旱灾害及其发展趋</w:t>
      </w:r>
      <w:r>
        <w:rPr>
          <w:spacing w:val="10"/>
        </w:rPr>
        <w:t>势进行研判，由市政府宣布启动</w:t>
      </w:r>
      <w:r>
        <w:rPr>
          <w:spacing w:val="-33"/>
        </w:rPr>
        <w:t xml:space="preserve"> </w:t>
      </w:r>
      <w:r>
        <w:rPr>
          <w:rFonts w:ascii="Times New Roman" w:hAnsi="Times New Roman" w:eastAsia="Times New Roman" w:cs="Times New Roman"/>
        </w:rPr>
        <w:t>III</w:t>
      </w:r>
      <w:r>
        <w:rPr>
          <w:rFonts w:ascii="Times New Roman" w:hAnsi="Times New Roman" w:eastAsia="Times New Roman" w:cs="Times New Roman"/>
          <w:spacing w:val="10"/>
        </w:rPr>
        <w:t xml:space="preserve"> </w:t>
      </w:r>
      <w:r>
        <w:rPr>
          <w:spacing w:val="10"/>
        </w:rPr>
        <w:t>级响应</w:t>
      </w:r>
      <w:r>
        <w:rPr>
          <w:spacing w:val="-59"/>
        </w:rPr>
        <w:t xml:space="preserve"> </w:t>
      </w:r>
      <w:r>
        <w:rPr>
          <w:spacing w:val="10"/>
        </w:rPr>
        <w:t>，</w:t>
      </w:r>
      <w:r>
        <w:rPr>
          <w:spacing w:val="7"/>
        </w:rPr>
        <w:t>并发布启动市级应急程序的命令。必要时，市</w:t>
      </w:r>
      <w:r>
        <w:rPr>
          <w:spacing w:val="7"/>
        </w:rPr>
        <w:t>应急管理指挥部派出工作组赶赴受灾现场，指</w:t>
      </w:r>
      <w:r>
        <w:rPr>
          <w:spacing w:val="18"/>
        </w:rPr>
        <w:t>导水旱灾害发生地政府开展水旱灾害应急处</w:t>
      </w:r>
      <w:r>
        <w:rPr>
          <w:spacing w:val="6"/>
        </w:rPr>
        <w:t>置工作。</w:t>
      </w:r>
    </w:p>
    <w:p>
      <w:pPr>
        <w:pStyle w:val="BodyText"/>
        <w:ind w:left="413"/>
        <w:spacing w:before="163" w:line="221" w:lineRule="auto"/>
        <w:rPr/>
      </w:pPr>
      <w:r>
        <w:rPr>
          <w:spacing w:val="10"/>
        </w:rPr>
        <w:t>（</w:t>
      </w:r>
      <w:r>
        <w:rPr>
          <w:rFonts w:ascii="Times New Roman" w:hAnsi="Times New Roman" w:eastAsia="Times New Roman" w:cs="Times New Roman"/>
          <w:spacing w:val="10"/>
        </w:rPr>
        <w:t>4</w:t>
      </w:r>
      <w:r>
        <w:rPr>
          <w:rFonts w:ascii="Times New Roman" w:hAnsi="Times New Roman" w:eastAsia="Times New Roman" w:cs="Times New Roman"/>
          <w:spacing w:val="-8"/>
        </w:rPr>
        <w:t xml:space="preserve"> </w:t>
      </w:r>
      <w:r>
        <w:rPr>
          <w:spacing w:val="10"/>
        </w:rPr>
        <w:t>）</w:t>
      </w:r>
      <w:r>
        <w:rPr>
          <w:rFonts w:ascii="Times New Roman" w:hAnsi="Times New Roman" w:eastAsia="Times New Roman" w:cs="Times New Roman"/>
          <w:spacing w:val="10"/>
        </w:rPr>
        <w:t>Ⅳ</w:t>
      </w:r>
      <w:r>
        <w:rPr>
          <w:spacing w:val="10"/>
        </w:rPr>
        <w:t>级响应：可能或已经发生一般水</w:t>
      </w:r>
    </w:p>
    <w:p>
      <w:pPr>
        <w:spacing w:line="221" w:lineRule="auto"/>
        <w:sectPr>
          <w:type w:val="continuous"/>
          <w:pgSz w:w="11906" w:h="16839"/>
          <w:pgMar w:top="1828" w:right="1373" w:bottom="1556" w:left="1567" w:header="1428" w:footer="1172" w:gutter="0"/>
          <w:cols w:equalWidth="0" w:num="2">
            <w:col w:w="4502" w:space="100"/>
            <w:col w:w="4365" w:space="0"/>
          </w:cols>
        </w:sectPr>
        <w:rPr/>
      </w:pPr>
    </w:p>
    <w:p>
      <w:pPr>
        <w:spacing w:before="70"/>
        <w:rPr/>
      </w:pPr>
      <w:r>
        <w:drawing>
          <wp:anchor distT="0" distB="0" distL="0" distR="0" simplePos="0" relativeHeight="25230848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450" name="IM 1450"/>
            <wp:cNvGraphicFramePr/>
            <a:graphic>
              <a:graphicData uri="http://schemas.openxmlformats.org/drawingml/2006/picture">
                <pic:pic>
                  <pic:nvPicPr>
                    <pic:cNvPr id="1450" name="IM 1450"/>
                    <pic:cNvPicPr/>
                  </pic:nvPicPr>
                  <pic:blipFill>
                    <a:blip r:embed="rId727"/>
                    <a:stretch>
                      <a:fillRect/>
                    </a:stretch>
                  </pic:blipFill>
                  <pic:spPr>
                    <a:xfrm rot="0">
                      <a:off x="0" y="0"/>
                      <a:ext cx="5579745" cy="7620"/>
                    </a:xfrm>
                    <a:prstGeom prst="rect">
                      <a:avLst/>
                    </a:prstGeom>
                  </pic:spPr>
                </pic:pic>
              </a:graphicData>
            </a:graphic>
          </wp:anchor>
        </w:drawing>
      </w:r>
      <w:r/>
    </w:p>
    <w:p>
      <w:pPr>
        <w:sectPr>
          <w:headerReference w:type="default" r:id="rId668"/>
          <w:footerReference w:type="default" r:id="rId726"/>
          <w:pgSz w:w="11906" w:h="16839"/>
          <w:pgMar w:top="1766" w:right="1509" w:bottom="1551" w:left="1576" w:header="1428" w:footer="1172" w:gutter="0"/>
          <w:cols w:equalWidth="0" w:num="1">
            <w:col w:w="8821" w:space="0"/>
          </w:cols>
        </w:sectPr>
        <w:rPr/>
      </w:pPr>
    </w:p>
    <w:p>
      <w:pPr>
        <w:pStyle w:val="BodyText"/>
        <w:ind w:left="16" w:right="295" w:firstLine="1"/>
        <w:spacing w:before="49" w:line="373" w:lineRule="auto"/>
        <w:jc w:val="both"/>
        <w:rPr/>
      </w:pPr>
      <w:r>
        <w:rPr>
          <w:spacing w:val="7"/>
        </w:rPr>
        <w:t>旱灾害（小洪水）时，水旱灾害发生地县级政</w:t>
      </w:r>
      <w:r>
        <w:rPr>
          <w:spacing w:val="18"/>
        </w:rPr>
        <w:t>府或其应急管理指挥部组织各成员单位和专</w:t>
      </w:r>
      <w:r>
        <w:rPr>
          <w:spacing w:val="7"/>
        </w:rPr>
        <w:t>家进行分析研判，对水旱灾害及其发展趋势进</w:t>
      </w:r>
      <w:r>
        <w:rPr>
          <w:spacing w:val="7"/>
        </w:rPr>
        <w:t>行研判，由水旱灾害发生地县区政府宣布启动</w:t>
      </w:r>
      <w:r>
        <w:rPr>
          <w:rFonts w:ascii="Times New Roman" w:hAnsi="Times New Roman" w:eastAsia="Times New Roman" w:cs="Times New Roman"/>
          <w:spacing w:val="8"/>
        </w:rPr>
        <w:t>Ⅳ</w:t>
      </w:r>
      <w:r>
        <w:rPr>
          <w:spacing w:val="8"/>
        </w:rPr>
        <w:t>级响应，并发布启动县级应急响应的命令。</w:t>
      </w:r>
      <w:r>
        <w:rPr>
          <w:spacing w:val="7"/>
        </w:rPr>
        <w:t>必要时，市应急管理指挥部派出工作组赶赴受</w:t>
      </w:r>
      <w:r>
        <w:rPr>
          <w:spacing w:val="7"/>
        </w:rPr>
        <w:t>灾现场，指导事发县区政府开展水旱灾害应急</w:t>
      </w:r>
      <w:r>
        <w:rPr>
          <w:spacing w:val="6"/>
        </w:rPr>
        <w:t>处置工作。</w:t>
      </w:r>
    </w:p>
    <w:p>
      <w:pPr>
        <w:pStyle w:val="BodyText"/>
        <w:ind w:left="16" w:right="327" w:firstLine="420"/>
        <w:spacing w:before="1" w:line="369" w:lineRule="auto"/>
        <w:jc w:val="both"/>
        <w:rPr/>
      </w:pPr>
      <w:r>
        <w:rPr>
          <w:spacing w:val="7"/>
        </w:rPr>
        <w:t>水旱灾害应急响应启动后，可视灾情及其</w:t>
      </w:r>
      <w:r>
        <w:rPr>
          <w:spacing w:val="7"/>
        </w:rPr>
        <w:t>情况对响应级别及时进行相应调整，避免响应</w:t>
      </w:r>
      <w:r>
        <w:rPr>
          <w:spacing w:val="8"/>
        </w:rPr>
        <w:t>不足或响应过度。</w:t>
      </w:r>
    </w:p>
    <w:p>
      <w:pPr>
        <w:pStyle w:val="BodyText"/>
        <w:ind w:left="21" w:right="327" w:firstLine="414"/>
        <w:spacing w:before="1" w:line="376" w:lineRule="auto"/>
        <w:rPr/>
      </w:pPr>
      <w:r>
        <w:rPr>
          <w:rFonts w:ascii="Times New Roman" w:hAnsi="Times New Roman" w:eastAsia="Times New Roman" w:cs="Times New Roman"/>
          <w:spacing w:val="8"/>
        </w:rPr>
        <w:t>4.3  </w:t>
      </w:r>
      <w:r>
        <w:rPr>
          <w:rFonts w:ascii="KaiTi" w:hAnsi="KaiTi" w:eastAsia="KaiTi" w:cs="KaiTi"/>
          <w:spacing w:val="8"/>
        </w:rPr>
        <w:t>响应措施。</w:t>
      </w:r>
      <w:r>
        <w:rPr>
          <w:spacing w:val="8"/>
        </w:rPr>
        <w:t>各级各部门应根据水旱灾</w:t>
      </w:r>
      <w:r>
        <w:rPr>
          <w:spacing w:val="8"/>
        </w:rPr>
        <w:t>害发展情况和需要采取以下措施：</w:t>
      </w:r>
    </w:p>
    <w:p>
      <w:pPr>
        <w:pStyle w:val="BodyText"/>
        <w:ind w:left="16" w:right="327" w:firstLine="412"/>
        <w:spacing w:before="7" w:line="357"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）搜救人员。立即组织应急救援队伍</w:t>
      </w:r>
      <w:r>
        <w:rPr>
          <w:spacing w:val="7"/>
        </w:rPr>
        <w:t>和广大群众开展自救互救，组织协调固原军分</w:t>
      </w:r>
      <w:r>
        <w:rPr>
          <w:spacing w:val="7"/>
        </w:rPr>
        <w:t>区、武警固原支队、市消防救援支（大）队等</w:t>
      </w:r>
      <w:r>
        <w:rPr>
          <w:spacing w:val="7"/>
        </w:rPr>
        <w:t>各方面救援力量，调配水上救援设备，按照任</w:t>
      </w:r>
      <w:r>
        <w:rPr>
          <w:spacing w:val="7"/>
        </w:rPr>
        <w:t>务分工，开展救援工作。现场指挥根据现场实</w:t>
      </w:r>
      <w:r>
        <w:rPr>
          <w:spacing w:val="7"/>
        </w:rPr>
        <w:t>际情况，指挥现场救援队伍实施救援工作。现</w:t>
      </w:r>
      <w:r>
        <w:rPr>
          <w:spacing w:val="15"/>
        </w:rPr>
        <w:t>场救援队伍要服从指挥调度</w:t>
      </w:r>
      <w:r>
        <w:rPr>
          <w:spacing w:val="-40"/>
        </w:rPr>
        <w:t xml:space="preserve"> </w:t>
      </w:r>
      <w:r>
        <w:rPr>
          <w:spacing w:val="15"/>
        </w:rPr>
        <w:t>，加强衔接和配</w:t>
      </w:r>
      <w:r>
        <w:rPr>
          <w:spacing w:val="8"/>
        </w:rPr>
        <w:t>合，做好自身安全防护。</w:t>
      </w:r>
    </w:p>
    <w:p>
      <w:pPr>
        <w:pStyle w:val="BodyText"/>
        <w:ind w:left="16" w:right="327" w:firstLine="411"/>
        <w:spacing w:before="160" w:line="363"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）工程抢险抢修。出现水旱灾害或水</w:t>
      </w:r>
      <w:r>
        <w:rPr>
          <w:spacing w:val="7"/>
        </w:rPr>
        <w:t>利防洪工程发生重大险情时，水旱灾害发生地</w:t>
      </w:r>
      <w:r>
        <w:rPr>
          <w:spacing w:val="7"/>
        </w:rPr>
        <w:t>县区政府根据事件的性质、影响范围、危害程</w:t>
      </w:r>
      <w:r>
        <w:rPr>
          <w:spacing w:val="7"/>
        </w:rPr>
        <w:t>度等，迅速对事件进行控制，组织开展防洪抢</w:t>
      </w:r>
      <w:r>
        <w:rPr>
          <w:spacing w:val="7"/>
        </w:rPr>
        <w:t>险和抗旱救灾工作，并立即向市应急管理指挥</w:t>
      </w:r>
      <w:r>
        <w:rPr>
          <w:spacing w:val="7"/>
        </w:rPr>
        <w:t>部报告。重要堤防的险情抢护、决口堵复和水</w:t>
      </w:r>
      <w:r>
        <w:rPr>
          <w:spacing w:val="7"/>
        </w:rPr>
        <w:t>库重大险情的处置应按照抢险预案进行。抢通</w:t>
      </w:r>
      <w:r>
        <w:rPr>
          <w:spacing w:val="7"/>
        </w:rPr>
        <w:t>修复因灾损毁的机场、铁路、公路、桥梁、隧</w:t>
      </w:r>
      <w:r>
        <w:rPr>
          <w:spacing w:val="7"/>
        </w:rPr>
        <w:t>道等交通设施，协调运力，优先保证应急抢险</w:t>
      </w:r>
      <w:r>
        <w:rPr>
          <w:spacing w:val="7"/>
        </w:rPr>
        <w:t>救援人员、救灾物资和伤病人员运输需要。抢</w:t>
      </w:r>
      <w:r>
        <w:rPr>
          <w:spacing w:val="7"/>
        </w:rPr>
        <w:t>修供电、供水、供气、通信、广播电视等基础</w:t>
      </w:r>
    </w:p>
    <w:p>
      <w:pPr>
        <w:spacing w:line="14" w:lineRule="auto"/>
        <w:rPr>
          <w:rFonts w:ascii="Arial"/>
          <w:sz w:val="2"/>
        </w:rPr>
      </w:pPr>
      <w:r>
        <w:rPr>
          <w:rFonts w:ascii="Arial" w:hAnsi="Arial" w:eastAsia="Arial" w:cs="Arial"/>
          <w:sz w:val="2"/>
          <w:szCs w:val="2"/>
        </w:rPr>
        <w:br w:type="column"/>
      </w:r>
    </w:p>
    <w:p>
      <w:pPr>
        <w:pStyle w:val="BodyText"/>
        <w:spacing w:before="51" w:line="223" w:lineRule="auto"/>
        <w:rPr/>
      </w:pPr>
      <w:r>
        <w:rPr/>
        <w:t>设施，保障灾区群众基本生活需要和应急需要。</w:t>
      </w:r>
    </w:p>
    <w:p>
      <w:pPr>
        <w:pStyle w:val="BodyText"/>
        <w:ind w:left="3" w:right="51" w:firstLine="419"/>
        <w:spacing w:before="167" w:line="376" w:lineRule="auto"/>
        <w:jc w:val="both"/>
        <w:rPr/>
      </w:pPr>
      <w:r>
        <w:rPr>
          <w:spacing w:val="19"/>
        </w:rPr>
        <w:t>对历史上的重点险工险段或易出险的水</w:t>
      </w:r>
      <w:r>
        <w:rPr>
          <w:spacing w:val="7"/>
        </w:rPr>
        <w:t>利工程设施，水务部门应提前编制工程应急抢</w:t>
      </w:r>
      <w:r>
        <w:rPr>
          <w:spacing w:val="8"/>
        </w:rPr>
        <w:t>险预案，以备紧急情况下因险施策。必要时，</w:t>
      </w:r>
      <w:r>
        <w:rPr>
          <w:spacing w:val="7"/>
        </w:rPr>
        <w:t>市应急管理指挥部应派专家组赶赴现场，研究</w:t>
      </w:r>
      <w:r>
        <w:rPr>
          <w:spacing w:val="-2"/>
        </w:rPr>
        <w:t>优化除险方案，指导防洪抢险和抗旱救灾工作。</w:t>
      </w:r>
    </w:p>
    <w:p>
      <w:pPr>
        <w:pStyle w:val="BodyText"/>
        <w:ind w:right="3" w:firstLine="413"/>
        <w:spacing w:before="2" w:line="357"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）安置受灾群众。应急管理部门及时</w:t>
      </w:r>
      <w:r>
        <w:rPr>
          <w:spacing w:val="7"/>
        </w:rPr>
        <w:t>采取有效措施，转移安置受困群众，开放应急</w:t>
      </w:r>
      <w:r>
        <w:rPr>
          <w:spacing w:val="7"/>
        </w:rPr>
        <w:t>避难场所，组织筹集和调运各类救灾物资，解</w:t>
      </w:r>
      <w:r>
        <w:rPr>
          <w:spacing w:val="10"/>
        </w:rPr>
        <w:t>决受灾群众吃饭、饮水、穿衣、住宿等问题。</w:t>
      </w:r>
      <w:r>
        <w:rPr>
          <w:spacing w:val="1"/>
        </w:rPr>
        <w:t>救灾物资优先保证学校、医院、福利院的需要。</w:t>
      </w:r>
      <w:r>
        <w:rPr>
          <w:spacing w:val="7"/>
        </w:rPr>
        <w:t>优先安置孤儿、孤老和残疾人员，确保其基本</w:t>
      </w:r>
      <w:r>
        <w:rPr>
          <w:spacing w:val="7"/>
        </w:rPr>
        <w:t>生活。鼓励采取投亲靠友等方式，广泛动员社</w:t>
      </w:r>
      <w:r>
        <w:rPr>
          <w:spacing w:val="8"/>
        </w:rPr>
        <w:t>会力量安置受灾群众。</w:t>
      </w:r>
    </w:p>
    <w:p>
      <w:pPr>
        <w:pStyle w:val="BodyText"/>
        <w:ind w:left="2" w:right="57" w:firstLine="412"/>
        <w:spacing w:before="171" w:line="359" w:lineRule="auto"/>
        <w:rPr/>
      </w:pPr>
      <w:r>
        <w:rPr>
          <w:spacing w:val="9"/>
        </w:rPr>
        <w:t>（</w:t>
      </w:r>
      <w:r>
        <w:rPr>
          <w:rFonts w:ascii="Times New Roman" w:hAnsi="Times New Roman" w:eastAsia="Times New Roman" w:cs="Times New Roman"/>
          <w:spacing w:val="9"/>
        </w:rPr>
        <w:t>4 </w:t>
      </w:r>
      <w:r>
        <w:rPr>
          <w:spacing w:val="9"/>
        </w:rPr>
        <w:t>）医疗救治和卫生防疫。市卫生健康</w:t>
      </w:r>
      <w:r>
        <w:rPr>
          <w:spacing w:val="7"/>
        </w:rPr>
        <w:t>委员会统筹辖区和周边地区医疗资源，全力开</w:t>
      </w:r>
      <w:r>
        <w:rPr>
          <w:spacing w:val="7"/>
        </w:rPr>
        <w:t>展医疗救治工作。及时对灾区水源进行检测消</w:t>
      </w:r>
      <w:r>
        <w:rPr>
          <w:spacing w:val="8"/>
        </w:rPr>
        <w:t>毒，加强饮用水卫生监督，做好遇难者遗体、</w:t>
      </w:r>
      <w:r>
        <w:rPr>
          <w:spacing w:val="7"/>
        </w:rPr>
        <w:t>死亡动物、医疗废弃物、生活垃圾、粪便等消</w:t>
      </w:r>
      <w:r>
        <w:rPr>
          <w:spacing w:val="8"/>
        </w:rPr>
        <w:t>毒和无害化处理。加强消化道传染病、鼠疫、</w:t>
      </w:r>
      <w:r>
        <w:rPr>
          <w:spacing w:val="7"/>
        </w:rPr>
        <w:t>狂犬病等传染病的监测、防控和处理，及时接</w:t>
      </w:r>
      <w:r>
        <w:rPr>
          <w:spacing w:val="7"/>
        </w:rPr>
        <w:t>种疫苗。实行重大传染病和突发卫生事件日报</w:t>
      </w:r>
      <w:r>
        <w:rPr>
          <w:spacing w:val="6"/>
        </w:rPr>
        <w:t>告制度。</w:t>
      </w:r>
    </w:p>
    <w:p>
      <w:pPr>
        <w:pStyle w:val="BodyText"/>
        <w:ind w:firstLine="414"/>
        <w:spacing w:before="169" w:line="356" w:lineRule="auto"/>
        <w:rPr/>
      </w:pPr>
      <w:r>
        <w:rPr>
          <w:spacing w:val="5"/>
        </w:rPr>
        <w:t>（</w:t>
      </w:r>
      <w:r>
        <w:rPr>
          <w:spacing w:val="-46"/>
        </w:rPr>
        <w:t xml:space="preserve"> </w:t>
      </w:r>
      <w:r>
        <w:rPr>
          <w:rFonts w:ascii="Times New Roman" w:hAnsi="Times New Roman" w:eastAsia="Times New Roman" w:cs="Times New Roman"/>
          <w:spacing w:val="5"/>
        </w:rPr>
        <w:t>5 </w:t>
      </w:r>
      <w:r>
        <w:rPr>
          <w:spacing w:val="5"/>
        </w:rPr>
        <w:t>）防御次生灾害。水务、</w:t>
      </w:r>
      <w:r>
        <w:rPr>
          <w:spacing w:val="-55"/>
        </w:rPr>
        <w:t xml:space="preserve"> </w:t>
      </w:r>
      <w:r>
        <w:rPr>
          <w:spacing w:val="5"/>
        </w:rPr>
        <w:t>自然资源、</w:t>
      </w:r>
      <w:r>
        <w:rPr>
          <w:spacing w:val="1"/>
        </w:rPr>
        <w:t>气象等部门加强监测预警，防范因暴雨、洪水、</w:t>
      </w:r>
      <w:r>
        <w:rPr>
          <w:spacing w:val="18"/>
        </w:rPr>
        <w:t>干旱等自然灾害引发的次生灾害造成新的人</w:t>
      </w:r>
      <w:r>
        <w:rPr>
          <w:spacing w:val="10"/>
        </w:rPr>
        <w:t>员伤亡和更大损失。组织专家对水库、堤坝、</w:t>
      </w:r>
      <w:r>
        <w:rPr>
          <w:spacing w:val="18"/>
        </w:rPr>
        <w:t>堰塞湖、地质灾害易发区等地区开展险情排</w:t>
      </w:r>
      <w:r>
        <w:rPr>
          <w:spacing w:val="7"/>
        </w:rPr>
        <w:t>查、评估和除险加固等工作，必要时组织危险</w:t>
      </w:r>
      <w:r>
        <w:rPr>
          <w:spacing w:val="7"/>
        </w:rPr>
        <w:t>地区人员疏散转移。加强危险化学品生产储存</w:t>
      </w:r>
      <w:r>
        <w:rPr>
          <w:spacing w:val="7"/>
        </w:rPr>
        <w:t>设备、输油气管道、输配电线路、军工科研生</w:t>
      </w:r>
      <w:r>
        <w:rPr>
          <w:spacing w:val="7"/>
        </w:rPr>
        <w:t>产重点设施的受损情况排除，及时采取安全防</w:t>
      </w:r>
    </w:p>
    <w:p>
      <w:pPr>
        <w:spacing w:line="356" w:lineRule="auto"/>
        <w:sectPr>
          <w:type w:val="continuous"/>
          <w:pgSz w:w="11906" w:h="16839"/>
          <w:pgMar w:top="1766" w:right="1509" w:bottom="1551" w:left="1576" w:header="1428" w:footer="1172" w:gutter="0"/>
          <w:cols w:equalWidth="0" w:num="2">
            <w:col w:w="4491" w:space="100"/>
            <w:col w:w="4230" w:space="0"/>
          </w:cols>
        </w:sectPr>
        <w:rPr/>
      </w:pPr>
    </w:p>
    <w:p>
      <w:pPr>
        <w:spacing w:before="22"/>
        <w:rPr/>
      </w:pPr>
      <w:r>
        <w:drawing>
          <wp:anchor distT="0" distB="0" distL="0" distR="0" simplePos="0" relativeHeight="252313600" behindDoc="0" locked="0" layoutInCell="0" allowOverlap="1">
            <wp:simplePos x="0" y="0"/>
            <wp:positionH relativeFrom="page">
              <wp:posOffset>1008380</wp:posOffset>
            </wp:positionH>
            <wp:positionV relativeFrom="page">
              <wp:posOffset>1186180</wp:posOffset>
            </wp:positionV>
            <wp:extent cx="5579745" cy="7619"/>
            <wp:effectExtent l="0" t="0" r="0" b="0"/>
            <wp:wrapNone/>
            <wp:docPr id="1456" name="IM 1456"/>
            <wp:cNvGraphicFramePr/>
            <a:graphic>
              <a:graphicData uri="http://schemas.openxmlformats.org/drawingml/2006/picture">
                <pic:pic>
                  <pic:nvPicPr>
                    <pic:cNvPr id="1456" name="IM 1456"/>
                    <pic:cNvPicPr/>
                  </pic:nvPicPr>
                  <pic:blipFill>
                    <a:blip r:embed="rId730"/>
                    <a:stretch>
                      <a:fillRect/>
                    </a:stretch>
                  </pic:blipFill>
                  <pic:spPr>
                    <a:xfrm rot="0">
                      <a:off x="0" y="0"/>
                      <a:ext cx="5579745" cy="7619"/>
                    </a:xfrm>
                    <a:prstGeom prst="rect">
                      <a:avLst/>
                    </a:prstGeom>
                  </pic:spPr>
                </pic:pic>
              </a:graphicData>
            </a:graphic>
          </wp:anchor>
        </w:drawing>
      </w:r>
      <w:r/>
    </w:p>
    <w:p>
      <w:pPr>
        <w:sectPr>
          <w:headerReference w:type="default" r:id="rId728"/>
          <w:footerReference w:type="default" r:id="rId729"/>
          <w:pgSz w:w="11906" w:h="16839"/>
          <w:pgMar w:top="1828" w:right="1489" w:bottom="1556" w:left="1567" w:header="1428" w:footer="1172" w:gutter="0"/>
          <w:cols w:equalWidth="0" w:num="1">
            <w:col w:w="8850" w:space="0"/>
          </w:cols>
        </w:sectPr>
        <w:rPr/>
      </w:pPr>
    </w:p>
    <w:p>
      <w:pPr>
        <w:pStyle w:val="BodyText"/>
        <w:ind w:left="29"/>
        <w:spacing w:before="42" w:line="222" w:lineRule="auto"/>
        <w:rPr/>
      </w:pPr>
      <w:r>
        <w:rPr>
          <w:spacing w:val="8"/>
        </w:rPr>
        <w:t>范措施，排除安全隐患。</w:t>
      </w:r>
    </w:p>
    <w:p>
      <w:pPr>
        <w:pStyle w:val="BodyText"/>
        <w:ind w:left="24" w:right="263" w:firstLine="413"/>
        <w:spacing w:before="161" w:line="351" w:lineRule="auto"/>
        <w:rPr/>
      </w:pPr>
      <w:r>
        <w:rPr>
          <w:spacing w:val="11"/>
        </w:rPr>
        <w:t>（</w:t>
      </w:r>
      <w:r>
        <w:rPr>
          <w:rFonts w:ascii="Times New Roman" w:hAnsi="Times New Roman" w:eastAsia="Times New Roman" w:cs="Times New Roman"/>
          <w:spacing w:val="11"/>
        </w:rPr>
        <w:t>6</w:t>
      </w:r>
      <w:r>
        <w:rPr>
          <w:rFonts w:ascii="Times New Roman" w:hAnsi="Times New Roman" w:eastAsia="Times New Roman" w:cs="Times New Roman"/>
          <w:spacing w:val="-18"/>
        </w:rPr>
        <w:t xml:space="preserve"> </w:t>
      </w:r>
      <w:r>
        <w:rPr>
          <w:spacing w:val="11"/>
        </w:rPr>
        <w:t>）维护社会治安。公安机关严厉打击</w:t>
      </w:r>
      <w:r>
        <w:rPr>
          <w:spacing w:val="7"/>
        </w:rPr>
        <w:t>盗窃、抢劫、哄抢救灾物资、借机传播谣言制</w:t>
      </w:r>
      <w:r>
        <w:rPr>
          <w:spacing w:val="7"/>
        </w:rPr>
        <w:t>造社会恐慌等违法犯罪行为；在受灾群众安置</w:t>
      </w:r>
      <w:r>
        <w:rPr>
          <w:spacing w:val="7"/>
        </w:rPr>
        <w:t>点、救灾物资存放点等重点地区，增设临时警</w:t>
      </w:r>
      <w:r>
        <w:rPr/>
        <w:t>务站，加强治安巡逻，增强灾区群众的安全感；</w:t>
      </w:r>
      <w:r>
        <w:rPr>
          <w:spacing w:val="7"/>
        </w:rPr>
        <w:t>加强对党政机关、要害部门、金融单位、储备</w:t>
      </w:r>
      <w:r>
        <w:rPr>
          <w:spacing w:val="7"/>
        </w:rPr>
        <w:t>仓库、监狱等重要场所的警戒，做好涉灾矛盾</w:t>
      </w:r>
      <w:r>
        <w:rPr>
          <w:spacing w:val="9"/>
        </w:rPr>
        <w:t>纠纷化解和法律服务工作，维护社会稳定。</w:t>
      </w:r>
    </w:p>
    <w:p>
      <w:pPr>
        <w:pStyle w:val="BodyText"/>
        <w:ind w:left="24" w:right="249" w:firstLine="413"/>
        <w:spacing w:before="157" w:line="360" w:lineRule="auto"/>
        <w:rPr/>
      </w:pPr>
      <w:r>
        <w:rPr>
          <w:spacing w:val="8"/>
        </w:rPr>
        <w:t>（</w:t>
      </w:r>
      <w:r>
        <w:rPr>
          <w:rFonts w:ascii="Times New Roman" w:hAnsi="Times New Roman" w:eastAsia="Times New Roman" w:cs="Times New Roman"/>
          <w:spacing w:val="8"/>
        </w:rPr>
        <w:t>7</w:t>
      </w:r>
      <w:r>
        <w:rPr>
          <w:rFonts w:ascii="Times New Roman" w:hAnsi="Times New Roman" w:eastAsia="Times New Roman" w:cs="Times New Roman"/>
          <w:spacing w:val="-5"/>
        </w:rPr>
        <w:t xml:space="preserve"> </w:t>
      </w:r>
      <w:r>
        <w:rPr>
          <w:spacing w:val="8"/>
        </w:rPr>
        <w:t>）社会动员。发生水旱灾害时</w:t>
      </w:r>
      <w:r>
        <w:rPr>
          <w:spacing w:val="-59"/>
        </w:rPr>
        <w:t xml:space="preserve"> </w:t>
      </w:r>
      <w:r>
        <w:rPr>
          <w:spacing w:val="8"/>
        </w:rPr>
        <w:t>，当地</w:t>
      </w:r>
      <w:r>
        <w:rPr>
          <w:spacing w:val="7"/>
        </w:rPr>
        <w:t>政府根据水旱灾害的性质、影响范围、危害程</w:t>
      </w:r>
      <w:r>
        <w:rPr>
          <w:spacing w:val="11"/>
        </w:rPr>
        <w:t>度等，对重点地区和重要部分实施紧急控制，</w:t>
      </w:r>
      <w:r>
        <w:rPr>
          <w:spacing w:val="7"/>
        </w:rPr>
        <w:t>防治事态及其危害的进一步扩大。加强志愿者</w:t>
      </w:r>
      <w:r>
        <w:rPr>
          <w:spacing w:val="7"/>
        </w:rPr>
        <w:t>服务管理，引导志愿者有序参与抗洪抢险、抗</w:t>
      </w:r>
      <w:r>
        <w:rPr>
          <w:spacing w:val="7"/>
        </w:rPr>
        <w:t>旱救灾工作。必要时可广泛调动社会力量参与</w:t>
      </w:r>
      <w:r>
        <w:rPr>
          <w:spacing w:val="10"/>
        </w:rPr>
        <w:t>水旱灾害事件的处置，紧急情况下依法征用、</w:t>
      </w:r>
      <w:r>
        <w:rPr>
          <w:spacing w:val="1"/>
        </w:rPr>
        <w:t>调用车辆、物资、人员等，全力投入抗洪抢险、</w:t>
      </w:r>
      <w:r>
        <w:rPr>
          <w:spacing w:val="7"/>
        </w:rPr>
        <w:t>抗旱救灾工作。</w:t>
      </w:r>
    </w:p>
    <w:p>
      <w:pPr>
        <w:pStyle w:val="BodyText"/>
        <w:ind w:left="25" w:right="249" w:firstLine="412"/>
        <w:spacing w:before="166" w:line="355" w:lineRule="auto"/>
        <w:rPr/>
      </w:pPr>
      <w:r>
        <w:rPr>
          <w:spacing w:val="8"/>
        </w:rPr>
        <w:t>（</w:t>
      </w:r>
      <w:r>
        <w:rPr>
          <w:spacing w:val="-45"/>
        </w:rPr>
        <w:t xml:space="preserve"> </w:t>
      </w:r>
      <w:r>
        <w:rPr>
          <w:rFonts w:ascii="Times New Roman" w:hAnsi="Times New Roman" w:eastAsia="Times New Roman" w:cs="Times New Roman"/>
          <w:spacing w:val="8"/>
        </w:rPr>
        <w:t>8</w:t>
      </w:r>
      <w:r>
        <w:rPr>
          <w:rFonts w:ascii="Times New Roman" w:hAnsi="Times New Roman" w:eastAsia="Times New Roman" w:cs="Times New Roman"/>
          <w:spacing w:val="-19"/>
        </w:rPr>
        <w:t xml:space="preserve"> </w:t>
      </w:r>
      <w:r>
        <w:rPr>
          <w:spacing w:val="8"/>
        </w:rPr>
        <w:t>）信息发布及舆情引导。按照分级响</w:t>
      </w:r>
      <w:r>
        <w:rPr>
          <w:spacing w:val="4"/>
        </w:rPr>
        <w:t>应原则，水旱灾害信息由市、县（</w:t>
      </w:r>
      <w:r>
        <w:rPr>
          <w:spacing w:val="-35"/>
        </w:rPr>
        <w:t xml:space="preserve"> </w:t>
      </w:r>
      <w:r>
        <w:rPr>
          <w:spacing w:val="4"/>
        </w:rPr>
        <w:t>区）政府新</w:t>
      </w:r>
      <w:r>
        <w:rPr>
          <w:spacing w:val="7"/>
        </w:rPr>
        <w:t>闻发言人负责发布，较大以上水旱灾害信息发</w:t>
      </w:r>
      <w:r>
        <w:rPr>
          <w:spacing w:val="4"/>
        </w:rPr>
        <w:t>布工作以市政府名义，一般事件以县（</w:t>
      </w:r>
      <w:r>
        <w:rPr>
          <w:spacing w:val="-35"/>
        </w:rPr>
        <w:t xml:space="preserve"> </w:t>
      </w:r>
      <w:r>
        <w:rPr>
          <w:spacing w:val="4"/>
        </w:rPr>
        <w:t>区）级</w:t>
      </w:r>
      <w:r>
        <w:rPr>
          <w:spacing w:val="1"/>
        </w:rPr>
        <w:t>政府名义发布。信息发布要统一、及时、准确、</w:t>
      </w:r>
      <w:r>
        <w:rPr>
          <w:spacing w:val="7"/>
        </w:rPr>
        <w:t>客观。宣传、公安、网信等部门要密切关注舆</w:t>
      </w:r>
      <w:r>
        <w:rPr>
          <w:spacing w:val="9"/>
        </w:rPr>
        <w:t>情信息，及时做好舆情管控、引导工作。</w:t>
      </w:r>
    </w:p>
    <w:p>
      <w:pPr>
        <w:pStyle w:val="BodyText"/>
        <w:ind w:left="24" w:right="310" w:firstLine="421"/>
        <w:spacing w:before="167" w:line="376" w:lineRule="auto"/>
        <w:jc w:val="both"/>
        <w:rPr/>
      </w:pPr>
      <w:r>
        <w:rPr>
          <w:spacing w:val="19"/>
        </w:rPr>
        <w:t>信息发布主要内容包括水旱灾害的种类</w:t>
      </w:r>
      <w:r>
        <w:rPr>
          <w:spacing w:val="7"/>
        </w:rPr>
        <w:t>及其次生灾害的监测和预警情况，事件发生时</w:t>
      </w:r>
      <w:r>
        <w:rPr>
          <w:spacing w:val="7"/>
        </w:rPr>
        <w:t>间、地点、人员伤亡和财产损失情况，抢险救</w:t>
      </w:r>
      <w:r>
        <w:rPr>
          <w:spacing w:val="8"/>
        </w:rPr>
        <w:t>援工作进展情况、事件责任单位基本情况等。</w:t>
      </w:r>
      <w:r>
        <w:rPr>
          <w:spacing w:val="7"/>
        </w:rPr>
        <w:t>发布形式主要包括权威发布、提供新闻稿、组</w:t>
      </w:r>
      <w:r>
        <w:rPr>
          <w:spacing w:val="9"/>
        </w:rPr>
        <w:t>织报道、接受记者采访、举行新闻发布会。</w:t>
      </w:r>
    </w:p>
    <w:p>
      <w:pPr>
        <w:pStyle w:val="BodyText"/>
        <w:ind w:left="445"/>
        <w:spacing w:line="264" w:lineRule="exact"/>
        <w:rPr/>
      </w:pPr>
      <w:r>
        <w:rPr>
          <w:rFonts w:ascii="Times New Roman" w:hAnsi="Times New Roman" w:eastAsia="Times New Roman" w:cs="Times New Roman"/>
          <w:spacing w:val="8"/>
          <w:position w:val="1"/>
        </w:rPr>
        <w:t>4.4  </w:t>
      </w:r>
      <w:r>
        <w:rPr>
          <w:rFonts w:ascii="KaiTi" w:hAnsi="KaiTi" w:eastAsia="KaiTi" w:cs="KaiTi"/>
          <w:spacing w:val="8"/>
          <w:position w:val="1"/>
        </w:rPr>
        <w:t>响应终止。</w:t>
      </w:r>
      <w:r>
        <w:rPr>
          <w:spacing w:val="8"/>
          <w:position w:val="1"/>
        </w:rPr>
        <w:t>应对水旱灾害工作基本结</w:t>
      </w:r>
    </w:p>
    <w:p>
      <w:pPr>
        <w:spacing w:line="14" w:lineRule="auto"/>
        <w:rPr>
          <w:rFonts w:ascii="Arial"/>
          <w:sz w:val="2"/>
        </w:rPr>
      </w:pPr>
      <w:r>
        <w:rPr>
          <w:rFonts w:ascii="Arial" w:hAnsi="Arial" w:eastAsia="Arial" w:cs="Arial"/>
          <w:sz w:val="2"/>
          <w:szCs w:val="2"/>
        </w:rPr>
        <w:br w:type="column"/>
      </w:r>
    </w:p>
    <w:p>
      <w:pPr>
        <w:pStyle w:val="BodyText"/>
        <w:ind w:right="18"/>
        <w:spacing w:before="40" w:line="375" w:lineRule="auto"/>
        <w:jc w:val="both"/>
        <w:rPr/>
      </w:pPr>
      <w:r>
        <w:rPr>
          <w:spacing w:val="7"/>
        </w:rPr>
        <w:t>束、紧急转移和安置工作基本完成、次生灾害</w:t>
      </w:r>
      <w:r>
        <w:rPr>
          <w:spacing w:val="7"/>
        </w:rPr>
        <w:t>的后果基本消除，以及交通、电力、通信和供</w:t>
      </w:r>
      <w:r>
        <w:rPr>
          <w:spacing w:val="18"/>
        </w:rPr>
        <w:t>水等基本抢修抢通、群众生活秩序基本恢复</w:t>
      </w:r>
      <w:r>
        <w:rPr>
          <w:spacing w:val="8"/>
        </w:rPr>
        <w:t>后，按照</w:t>
      </w:r>
      <w:r>
        <w:rPr>
          <w:rFonts w:ascii="Times New Roman" w:hAnsi="Times New Roman" w:eastAsia="Times New Roman" w:cs="Times New Roman"/>
          <w:spacing w:val="8"/>
        </w:rPr>
        <w:t>“</w:t>
      </w:r>
      <w:r>
        <w:rPr>
          <w:spacing w:val="8"/>
        </w:rPr>
        <w:t>应急响应启动与解除主体相一致</w:t>
      </w:r>
      <w:r>
        <w:rPr>
          <w:rFonts w:ascii="Times New Roman" w:hAnsi="Times New Roman" w:eastAsia="Times New Roman" w:cs="Times New Roman"/>
          <w:spacing w:val="8"/>
        </w:rPr>
        <w:t>”</w:t>
      </w:r>
      <w:r>
        <w:rPr>
          <w:spacing w:val="8"/>
        </w:rPr>
        <w:t>的</w:t>
      </w:r>
      <w:r>
        <w:rPr>
          <w:spacing w:val="-8"/>
        </w:rPr>
        <w:t>原则，由应急响应启动机关宣布终止响应的决定。</w:t>
      </w:r>
    </w:p>
    <w:p>
      <w:pPr>
        <w:ind w:left="423"/>
        <w:spacing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5</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后期处置</w:t>
      </w:r>
    </w:p>
    <w:p>
      <w:pPr>
        <w:pStyle w:val="BodyText"/>
        <w:ind w:right="101" w:firstLine="426"/>
        <w:spacing w:before="105" w:line="351" w:lineRule="auto"/>
        <w:rPr/>
      </w:pPr>
      <w:r>
        <w:rPr>
          <w:rFonts w:ascii="Times New Roman" w:hAnsi="Times New Roman" w:eastAsia="Times New Roman" w:cs="Times New Roman"/>
          <w:spacing w:val="6"/>
        </w:rPr>
        <w:t>5.</w:t>
      </w:r>
      <w:r>
        <w:rPr>
          <w:rFonts w:ascii="Times New Roman" w:hAnsi="Times New Roman" w:eastAsia="Times New Roman" w:cs="Times New Roman"/>
          <w:spacing w:val="-8"/>
        </w:rPr>
        <w:t xml:space="preserve"> </w:t>
      </w:r>
      <w:r>
        <w:rPr>
          <w:rFonts w:ascii="Times New Roman" w:hAnsi="Times New Roman" w:eastAsia="Times New Roman" w:cs="Times New Roman"/>
          <w:spacing w:val="6"/>
        </w:rPr>
        <w:t>1  </w:t>
      </w:r>
      <w:r>
        <w:rPr>
          <w:rFonts w:ascii="KaiTi" w:hAnsi="KaiTi" w:eastAsia="KaiTi" w:cs="KaiTi"/>
          <w:spacing w:val="6"/>
        </w:rPr>
        <w:t>善后处置。</w:t>
      </w:r>
      <w:r>
        <w:rPr>
          <w:spacing w:val="6"/>
        </w:rPr>
        <w:t>水旱灾害应急处置工作结</w:t>
      </w:r>
      <w:r>
        <w:rPr>
          <w:spacing w:val="7"/>
        </w:rPr>
        <w:t>束后，水旱灾害发生地县区政府和应急管理指</w:t>
      </w:r>
      <w:r>
        <w:rPr>
          <w:spacing w:val="7"/>
        </w:rPr>
        <w:t>挥部有关成员单位根据各自职责，开展善后处</w:t>
      </w:r>
      <w:r>
        <w:rPr>
          <w:spacing w:val="7"/>
        </w:rPr>
        <w:t>置工作，包括人员安置、救灾物资供应、卫生</w:t>
      </w:r>
      <w:r>
        <w:rPr>
          <w:spacing w:val="7"/>
        </w:rPr>
        <w:t>防疫、治安管理、工程修复、恢复生产、灾后</w:t>
      </w:r>
      <w:r>
        <w:rPr>
          <w:spacing w:val="8"/>
        </w:rPr>
        <w:t>重建等善后工作。</w:t>
      </w:r>
    </w:p>
    <w:p>
      <w:pPr>
        <w:pStyle w:val="BodyText"/>
        <w:ind w:right="20" w:firstLine="425"/>
        <w:spacing w:before="165" w:line="325" w:lineRule="auto"/>
        <w:rPr/>
      </w:pPr>
      <w:r>
        <w:rPr>
          <w:rFonts w:ascii="Times New Roman" w:hAnsi="Times New Roman" w:eastAsia="Times New Roman" w:cs="Times New Roman"/>
          <w:spacing w:val="7"/>
        </w:rPr>
        <w:t>5.2</w:t>
      </w:r>
      <w:r>
        <w:rPr>
          <w:rFonts w:ascii="Times New Roman" w:hAnsi="Times New Roman" w:eastAsia="Times New Roman" w:cs="Times New Roman"/>
          <w:spacing w:val="17"/>
          <w:w w:val="101"/>
        </w:rPr>
        <w:t xml:space="preserve">  </w:t>
      </w:r>
      <w:r>
        <w:rPr>
          <w:rFonts w:ascii="KaiTi" w:hAnsi="KaiTi" w:eastAsia="KaiTi" w:cs="KaiTi"/>
          <w:spacing w:val="7"/>
        </w:rPr>
        <w:t>灾害调查与评估。</w:t>
      </w:r>
      <w:r>
        <w:rPr>
          <w:spacing w:val="7"/>
        </w:rPr>
        <w:t>水旱灾害调查评估</w:t>
      </w:r>
      <w:r>
        <w:rPr>
          <w:spacing w:val="1"/>
        </w:rPr>
        <w:t>报告包括灾区概况、分类受灾情况、灾情评估、</w:t>
      </w:r>
      <w:r>
        <w:rPr>
          <w:spacing w:val="7"/>
        </w:rPr>
        <w:t>结论和附件。</w:t>
      </w:r>
    </w:p>
    <w:p>
      <w:pPr>
        <w:pStyle w:val="BodyText"/>
        <w:ind w:right="101" w:firstLine="422"/>
        <w:spacing w:before="170" w:line="371" w:lineRule="auto"/>
        <w:jc w:val="both"/>
        <w:rPr/>
      </w:pPr>
      <w:r>
        <w:rPr>
          <w:spacing w:val="6"/>
        </w:rPr>
        <w:t>特别重大及重大水旱灾害，由市应急管理</w:t>
      </w:r>
      <w:r>
        <w:rPr>
          <w:spacing w:val="7"/>
        </w:rPr>
        <w:t>指挥部组织相关部门进行调查评估；较大及较</w:t>
      </w:r>
      <w:r>
        <w:rPr>
          <w:spacing w:val="4"/>
        </w:rPr>
        <w:t>大以下水旱灾害，由各县（</w:t>
      </w:r>
      <w:r>
        <w:rPr>
          <w:spacing w:val="-36"/>
        </w:rPr>
        <w:t xml:space="preserve"> </w:t>
      </w:r>
      <w:r>
        <w:rPr>
          <w:spacing w:val="4"/>
        </w:rPr>
        <w:t>区）应急管理指挥</w:t>
      </w:r>
      <w:r>
        <w:rPr>
          <w:spacing w:val="7"/>
        </w:rPr>
        <w:t>部进行调查。</w:t>
      </w:r>
    </w:p>
    <w:p>
      <w:pPr>
        <w:pStyle w:val="BodyText"/>
        <w:ind w:right="101" w:firstLine="420"/>
        <w:spacing w:before="24" w:line="372" w:lineRule="auto"/>
        <w:jc w:val="both"/>
        <w:rPr/>
      </w:pPr>
      <w:r>
        <w:rPr>
          <w:spacing w:val="7"/>
        </w:rPr>
        <w:t>水旱灾害善后处置工作结束后，水旱灾害</w:t>
      </w:r>
      <w:r>
        <w:rPr>
          <w:spacing w:val="4"/>
        </w:rPr>
        <w:t>发生地县（</w:t>
      </w:r>
      <w:r>
        <w:rPr>
          <w:spacing w:val="-35"/>
        </w:rPr>
        <w:t xml:space="preserve"> </w:t>
      </w:r>
      <w:r>
        <w:rPr>
          <w:spacing w:val="4"/>
        </w:rPr>
        <w:t>区）政府要总结经验教训，提出改</w:t>
      </w:r>
      <w:r>
        <w:rPr>
          <w:spacing w:val="7"/>
        </w:rPr>
        <w:t>进工作的建议，形成处置水旱灾害事件专项工</w:t>
      </w:r>
      <w:r>
        <w:rPr>
          <w:spacing w:val="9"/>
        </w:rPr>
        <w:t>作报告，报自治区和市应急管理指挥部。</w:t>
      </w:r>
    </w:p>
    <w:p>
      <w:pPr>
        <w:pStyle w:val="BodyText"/>
        <w:ind w:right="36" w:firstLine="422"/>
        <w:spacing w:before="20" w:line="373" w:lineRule="auto"/>
        <w:jc w:val="both"/>
        <w:rPr/>
      </w:pPr>
      <w:r>
        <w:rPr>
          <w:spacing w:val="19"/>
        </w:rPr>
        <w:t>市应急管理指挥部要根据水旱灾害发生</w:t>
      </w:r>
      <w:r>
        <w:rPr>
          <w:spacing w:val="7"/>
        </w:rPr>
        <w:t>地县（区）政府提交的处置突发事件专项工作</w:t>
      </w:r>
      <w:r>
        <w:rPr/>
        <w:t>报告，组织分析、研究，提出改进工作的意见，</w:t>
      </w:r>
      <w:r>
        <w:rPr>
          <w:spacing w:val="9"/>
        </w:rPr>
        <w:t>形成工作专报报市政府，并抄送成员单位。</w:t>
      </w:r>
    </w:p>
    <w:p>
      <w:pPr>
        <w:ind w:left="424"/>
        <w:spacing w:before="8"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6</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保障措施</w:t>
      </w:r>
    </w:p>
    <w:p>
      <w:pPr>
        <w:pStyle w:val="BodyText"/>
        <w:ind w:right="78" w:firstLine="424"/>
        <w:spacing w:before="101" w:line="331" w:lineRule="auto"/>
        <w:jc w:val="both"/>
        <w:rPr/>
      </w:pPr>
      <w:r>
        <w:rPr>
          <w:rFonts w:ascii="Times New Roman" w:hAnsi="Times New Roman" w:eastAsia="Times New Roman" w:cs="Times New Roman"/>
          <w:spacing w:val="6"/>
        </w:rPr>
        <w:t>6.</w:t>
      </w:r>
      <w:r>
        <w:rPr>
          <w:rFonts w:ascii="Times New Roman" w:hAnsi="Times New Roman" w:eastAsia="Times New Roman" w:cs="Times New Roman"/>
          <w:spacing w:val="-7"/>
        </w:rPr>
        <w:t xml:space="preserve"> </w:t>
      </w:r>
      <w:r>
        <w:rPr>
          <w:rFonts w:ascii="Times New Roman" w:hAnsi="Times New Roman" w:eastAsia="Times New Roman" w:cs="Times New Roman"/>
          <w:spacing w:val="6"/>
        </w:rPr>
        <w:t>1  </w:t>
      </w:r>
      <w:r>
        <w:rPr>
          <w:rFonts w:ascii="KaiTi" w:hAnsi="KaiTi" w:eastAsia="KaiTi" w:cs="KaiTi"/>
          <w:spacing w:val="6"/>
        </w:rPr>
        <w:t>信息保障。</w:t>
      </w:r>
      <w:r>
        <w:rPr>
          <w:spacing w:val="6"/>
        </w:rPr>
        <w:t>市应急管理指挥部负责建</w:t>
      </w:r>
      <w:r>
        <w:rPr>
          <w:spacing w:val="8"/>
        </w:rPr>
        <w:t>立健全水旱隐患信息和救援力量信息数据库；</w:t>
      </w:r>
      <w:r>
        <w:rPr>
          <w:spacing w:val="18"/>
        </w:rPr>
        <w:t>建立健全各类水旱灾害突发事件预警指数和</w:t>
      </w:r>
      <w:r>
        <w:rPr>
          <w:spacing w:val="8"/>
        </w:rPr>
        <w:t>等级标准；规范事故信息获取、分析、发布、</w:t>
      </w:r>
    </w:p>
    <w:p>
      <w:pPr>
        <w:spacing w:line="331" w:lineRule="auto"/>
        <w:sectPr>
          <w:type w:val="continuous"/>
          <w:pgSz w:w="11906" w:h="16839"/>
          <w:pgMar w:top="1828" w:right="1489" w:bottom="1556" w:left="1567" w:header="1428" w:footer="1172" w:gutter="0"/>
          <w:cols w:equalWidth="0" w:num="2">
            <w:col w:w="4502" w:space="100"/>
            <w:col w:w="4248" w:space="0"/>
          </w:cols>
        </w:sectPr>
        <w:rPr/>
      </w:pPr>
    </w:p>
    <w:p>
      <w:pPr>
        <w:spacing w:before="53"/>
        <w:rPr/>
      </w:pPr>
      <w:r>
        <w:drawing>
          <wp:anchor distT="0" distB="0" distL="0" distR="0" simplePos="0" relativeHeight="25231872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460" name="IM 1460"/>
            <wp:cNvGraphicFramePr/>
            <a:graphic>
              <a:graphicData uri="http://schemas.openxmlformats.org/drawingml/2006/picture">
                <pic:pic>
                  <pic:nvPicPr>
                    <pic:cNvPr id="1460" name="IM 1460"/>
                    <pic:cNvPicPr/>
                  </pic:nvPicPr>
                  <pic:blipFill>
                    <a:blip r:embed="rId732"/>
                    <a:stretch>
                      <a:fillRect/>
                    </a:stretch>
                  </pic:blipFill>
                  <pic:spPr>
                    <a:xfrm rot="0">
                      <a:off x="0" y="0"/>
                      <a:ext cx="5579745" cy="7620"/>
                    </a:xfrm>
                    <a:prstGeom prst="rect">
                      <a:avLst/>
                    </a:prstGeom>
                  </pic:spPr>
                </pic:pic>
              </a:graphicData>
            </a:graphic>
          </wp:anchor>
        </w:drawing>
      </w:r>
      <w:r/>
    </w:p>
    <w:p>
      <w:pPr>
        <w:sectPr>
          <w:headerReference w:type="default" r:id="rId647"/>
          <w:footerReference w:type="default" r:id="rId731"/>
          <w:pgSz w:w="11906" w:h="16839"/>
          <w:pgMar w:top="1766" w:right="1530" w:bottom="1551" w:left="1576" w:header="1428" w:footer="1172" w:gutter="0"/>
          <w:cols w:equalWidth="0" w:num="1">
            <w:col w:w="8800" w:space="0"/>
          </w:cols>
        </w:sectPr>
        <w:rPr/>
      </w:pPr>
    </w:p>
    <w:p>
      <w:pPr>
        <w:pStyle w:val="BodyText"/>
        <w:ind w:left="18" w:right="289"/>
        <w:spacing w:before="69" w:line="371" w:lineRule="auto"/>
        <w:jc w:val="both"/>
        <w:rPr/>
      </w:pPr>
      <w:r>
        <w:rPr>
          <w:spacing w:val="7"/>
        </w:rPr>
        <w:t>报送格式和程序。市级有关部门负责相关信息</w:t>
      </w:r>
      <w:r>
        <w:rPr>
          <w:spacing w:val="7"/>
        </w:rPr>
        <w:t>收集、分析、处理，定期向市应急管理指挥部</w:t>
      </w:r>
      <w:r>
        <w:rPr>
          <w:spacing w:val="7"/>
        </w:rPr>
        <w:t>报送事故信息、重要信息和变更要求，确保信</w:t>
      </w:r>
      <w:r>
        <w:rPr>
          <w:spacing w:val="8"/>
        </w:rPr>
        <w:t>息共享，以便随时调用。</w:t>
      </w:r>
    </w:p>
    <w:p>
      <w:pPr>
        <w:pStyle w:val="BodyText"/>
        <w:ind w:left="16" w:right="289" w:firstLine="424"/>
        <w:spacing w:before="1" w:line="319" w:lineRule="auto"/>
        <w:rPr/>
      </w:pPr>
      <w:r>
        <w:rPr>
          <w:rFonts w:ascii="Times New Roman" w:hAnsi="Times New Roman" w:eastAsia="Times New Roman" w:cs="Times New Roman"/>
          <w:spacing w:val="8"/>
        </w:rPr>
        <w:t>6.2  </w:t>
      </w:r>
      <w:r>
        <w:rPr>
          <w:rFonts w:ascii="KaiTi" w:hAnsi="KaiTi" w:eastAsia="KaiTi" w:cs="KaiTi"/>
          <w:spacing w:val="8"/>
        </w:rPr>
        <w:t>通信保障。</w:t>
      </w:r>
      <w:r>
        <w:rPr>
          <w:spacing w:val="8"/>
        </w:rPr>
        <w:t>市工业和信息化部门负责</w:t>
      </w:r>
      <w:r>
        <w:rPr>
          <w:spacing w:val="18"/>
        </w:rPr>
        <w:t>组织协调电力运营企业提供应急通信保障及</w:t>
      </w:r>
      <w:r>
        <w:rPr>
          <w:spacing w:val="7"/>
        </w:rPr>
        <w:t>服务工作。各级、各类专业应急救援队伍的通</w:t>
      </w:r>
      <w:r>
        <w:rPr>
          <w:spacing w:val="9"/>
        </w:rPr>
        <w:t>信联系要随时保持畅通，并提供备用方案。</w:t>
      </w:r>
    </w:p>
    <w:p>
      <w:pPr>
        <w:pStyle w:val="BodyText"/>
        <w:ind w:left="16" w:right="179" w:firstLine="425"/>
        <w:spacing w:before="136" w:line="330" w:lineRule="auto"/>
        <w:rPr/>
      </w:pPr>
      <w:r>
        <w:rPr>
          <w:rFonts w:ascii="Times New Roman" w:hAnsi="Times New Roman" w:eastAsia="Times New Roman" w:cs="Times New Roman"/>
          <w:spacing w:val="8"/>
        </w:rPr>
        <w:t>6.3  </w:t>
      </w:r>
      <w:r>
        <w:rPr>
          <w:rFonts w:ascii="KaiTi" w:hAnsi="KaiTi" w:eastAsia="KaiTi" w:cs="KaiTi"/>
          <w:spacing w:val="8"/>
        </w:rPr>
        <w:t>应急队伍保障。</w:t>
      </w:r>
      <w:r>
        <w:rPr>
          <w:spacing w:val="8"/>
        </w:rPr>
        <w:t>任何单位和个人都有</w:t>
      </w:r>
      <w:r>
        <w:rPr/>
        <w:t>依法参加水旱灾害应急抢险的义务。各县（</w:t>
      </w:r>
      <w:r>
        <w:rPr>
          <w:spacing w:val="-45"/>
        </w:rPr>
        <w:t xml:space="preserve"> </w:t>
      </w:r>
      <w:r>
        <w:rPr/>
        <w:t>区）</w:t>
      </w:r>
      <w:r>
        <w:rPr>
          <w:spacing w:val="7"/>
        </w:rPr>
        <w:t>和市水务、城管部门应针对本地区水旱灾害特</w:t>
      </w:r>
      <w:r>
        <w:rPr>
          <w:spacing w:val="7"/>
        </w:rPr>
        <w:t>点，建立专业防汛抢险救援队伍。防汛应急抢</w:t>
      </w:r>
      <w:r>
        <w:rPr>
          <w:spacing w:val="7"/>
        </w:rPr>
        <w:t>险救援队伍分为：专业应急抢险救援队伍、非</w:t>
      </w:r>
      <w:r>
        <w:rPr>
          <w:spacing w:val="-8"/>
        </w:rPr>
        <w:t>专业应急抢险救援队伍、群众应急抢险救援队伍。</w:t>
      </w:r>
    </w:p>
    <w:p>
      <w:pPr>
        <w:pStyle w:val="BodyText"/>
        <w:ind w:left="18" w:right="289" w:firstLine="434"/>
        <w:spacing w:before="140" w:line="351" w:lineRule="auto"/>
        <w:jc w:val="both"/>
        <w:rPr/>
      </w:pPr>
      <w:r>
        <w:rPr>
          <w:spacing w:val="6"/>
        </w:rPr>
        <w:t>当发生一般及较大水旱灾害后，由事发地</w:t>
      </w:r>
      <w:r>
        <w:rPr>
          <w:spacing w:val="7"/>
        </w:rPr>
        <w:t>县级应急管理指挥部根据事件性质，指挥本地</w:t>
      </w:r>
      <w:r>
        <w:rPr>
          <w:spacing w:val="8"/>
        </w:rPr>
        <w:t>防汛应急抢险救援队伍进行应急处置。</w:t>
      </w:r>
    </w:p>
    <w:p>
      <w:pPr>
        <w:pStyle w:val="BodyText"/>
        <w:ind w:left="16" w:right="289" w:firstLine="436"/>
        <w:spacing w:before="5" w:line="348" w:lineRule="auto"/>
        <w:jc w:val="both"/>
        <w:rPr/>
      </w:pPr>
      <w:r>
        <w:rPr>
          <w:spacing w:val="6"/>
        </w:rPr>
        <w:t>当发生重大水旱灾害后，由事发地应急管</w:t>
      </w:r>
      <w:r>
        <w:rPr>
          <w:spacing w:val="7"/>
        </w:rPr>
        <w:t>理指挥部根据事件性质，调用和指挥辖区防汛</w:t>
      </w:r>
      <w:r>
        <w:rPr>
          <w:spacing w:val="7"/>
        </w:rPr>
        <w:t>应急抢险队伍进行应急处置。必要时，市应急</w:t>
      </w:r>
      <w:r>
        <w:rPr>
          <w:spacing w:val="7"/>
        </w:rPr>
        <w:t>管理指挥部派出工作组赴受灾现场，指导水旱</w:t>
      </w:r>
      <w:r>
        <w:rPr>
          <w:spacing w:val="7"/>
        </w:rPr>
        <w:t>灾害发生地县（区）政府开展水旱灾害应急处</w:t>
      </w:r>
      <w:r>
        <w:rPr>
          <w:spacing w:val="6"/>
        </w:rPr>
        <w:t>置工作。</w:t>
      </w:r>
    </w:p>
    <w:p>
      <w:pPr>
        <w:pStyle w:val="BodyText"/>
        <w:ind w:left="16" w:right="289" w:firstLine="436"/>
        <w:spacing w:before="11" w:line="349" w:lineRule="auto"/>
        <w:jc w:val="both"/>
        <w:rPr/>
      </w:pPr>
      <w:r>
        <w:rPr>
          <w:spacing w:val="6"/>
        </w:rPr>
        <w:t>当发生特别重大水旱灾害后，由市应急管</w:t>
      </w:r>
      <w:r>
        <w:rPr>
          <w:spacing w:val="4"/>
        </w:rPr>
        <w:t>理指挥部组织有关县（</w:t>
      </w:r>
      <w:r>
        <w:rPr>
          <w:spacing w:val="-35"/>
        </w:rPr>
        <w:t xml:space="preserve"> </w:t>
      </w:r>
      <w:r>
        <w:rPr>
          <w:spacing w:val="4"/>
        </w:rPr>
        <w:t>区）政府及相关部门和</w:t>
      </w:r>
      <w:r>
        <w:rPr>
          <w:spacing w:val="7"/>
        </w:rPr>
        <w:t>单位开展应急处置工作，统一协调指挥防汛应</w:t>
      </w:r>
      <w:r>
        <w:rPr>
          <w:spacing w:val="7"/>
        </w:rPr>
        <w:t>急救援队伍。必要时，市应急管理指挥部可向</w:t>
      </w:r>
      <w:r>
        <w:rPr>
          <w:spacing w:val="18"/>
        </w:rPr>
        <w:t>自治区应急管理指挥部提出支援或委派工作</w:t>
      </w:r>
      <w:r>
        <w:rPr>
          <w:spacing w:val="8"/>
        </w:rPr>
        <w:t>组来固原指导应急处置工作。</w:t>
      </w:r>
    </w:p>
    <w:p>
      <w:pPr>
        <w:pStyle w:val="BodyText"/>
        <w:ind w:left="16" w:right="160" w:firstLine="420"/>
        <w:spacing w:before="11" w:line="318" w:lineRule="auto"/>
        <w:jc w:val="both"/>
        <w:rPr/>
      </w:pPr>
      <w:r>
        <w:rPr/>
        <w:t>驻固部队、市消防救援支队、各县（</w:t>
      </w:r>
      <w:r>
        <w:rPr>
          <w:spacing w:val="-46"/>
        </w:rPr>
        <w:t xml:space="preserve"> </w:t>
      </w:r>
      <w:r>
        <w:rPr/>
        <w:t>区）、</w:t>
      </w:r>
      <w:r>
        <w:rPr>
          <w:spacing w:val="18"/>
        </w:rPr>
        <w:t>各部门专业应急抢险队伍是抗洪抢险的重要</w:t>
      </w:r>
      <w:r>
        <w:rPr>
          <w:spacing w:val="4"/>
        </w:rPr>
        <w:t>力量。在防汛应急救援期间，县（</w:t>
      </w:r>
      <w:r>
        <w:rPr>
          <w:spacing w:val="-35"/>
        </w:rPr>
        <w:t xml:space="preserve"> </w:t>
      </w:r>
      <w:r>
        <w:rPr>
          <w:spacing w:val="4"/>
        </w:rPr>
        <w:t>区）政府和</w:t>
      </w:r>
      <w:r>
        <w:rPr>
          <w:spacing w:val="18"/>
        </w:rPr>
        <w:t>应急管理指挥部应组织动员社会公众力量投</w:t>
      </w:r>
      <w:r>
        <w:rPr>
          <w:spacing w:val="8"/>
        </w:rPr>
        <w:t>入防汛救灾工作。</w:t>
      </w:r>
    </w:p>
    <w:p>
      <w:pPr>
        <w:spacing w:line="14" w:lineRule="auto"/>
        <w:rPr>
          <w:rFonts w:ascii="Arial"/>
          <w:sz w:val="2"/>
        </w:rPr>
      </w:pPr>
      <w:r>
        <w:rPr>
          <w:rFonts w:ascii="Arial" w:hAnsi="Arial" w:eastAsia="Arial" w:cs="Arial"/>
          <w:sz w:val="2"/>
          <w:szCs w:val="2"/>
        </w:rPr>
        <w:br w:type="column"/>
      </w:r>
    </w:p>
    <w:p>
      <w:pPr>
        <w:pStyle w:val="BodyText"/>
        <w:ind w:left="39" w:right="59" w:firstLine="427"/>
        <w:spacing w:before="47" w:line="351" w:lineRule="auto"/>
        <w:jc w:val="both"/>
        <w:rPr/>
      </w:pPr>
      <w:r>
        <w:rPr>
          <w:rFonts w:ascii="Times New Roman" w:hAnsi="Times New Roman" w:eastAsia="Times New Roman" w:cs="Times New Roman"/>
          <w:spacing w:val="8"/>
        </w:rPr>
        <w:t>6.4  </w:t>
      </w:r>
      <w:r>
        <w:rPr>
          <w:rFonts w:ascii="KaiTi" w:hAnsi="KaiTi" w:eastAsia="KaiTi" w:cs="KaiTi"/>
          <w:spacing w:val="8"/>
        </w:rPr>
        <w:t>物资保障。</w:t>
      </w:r>
      <w:r>
        <w:rPr>
          <w:spacing w:val="8"/>
        </w:rPr>
        <w:t>县级以上政府应当建立防</w:t>
      </w:r>
      <w:r>
        <w:rPr>
          <w:spacing w:val="7"/>
        </w:rPr>
        <w:t>汛抗旱应急抢险救援物资储备仓库，按照规定</w:t>
      </w:r>
      <w:r>
        <w:rPr>
          <w:spacing w:val="7"/>
        </w:rPr>
        <w:t>储备必要的物资，并定期补充更新。防汛抗旱</w:t>
      </w:r>
      <w:r>
        <w:rPr>
          <w:spacing w:val="7"/>
        </w:rPr>
        <w:t>应急抢险救援物资实行分级储备、分级管理和</w:t>
      </w:r>
      <w:r>
        <w:rPr>
          <w:spacing w:val="7"/>
        </w:rPr>
        <w:t>分级负担制度。水旱灾害应急抢险救援物资可</w:t>
      </w:r>
      <w:r>
        <w:rPr>
          <w:spacing w:val="7"/>
        </w:rPr>
        <w:t>以由政府自行储备，也可以委托企业或者其他</w:t>
      </w:r>
      <w:r>
        <w:rPr>
          <w:spacing w:val="8"/>
        </w:rPr>
        <w:t>组织代为储备。</w:t>
      </w:r>
    </w:p>
    <w:p>
      <w:pPr>
        <w:pStyle w:val="BodyText"/>
        <w:ind w:left="39" w:right="59" w:firstLine="436"/>
        <w:spacing w:before="10" w:line="350" w:lineRule="auto"/>
        <w:jc w:val="both"/>
        <w:rPr/>
      </w:pPr>
      <w:r>
        <w:rPr>
          <w:spacing w:val="6"/>
        </w:rPr>
        <w:t>防汛抗旱指挥机构、重点防洪工程管理单</w:t>
      </w:r>
      <w:r>
        <w:rPr>
          <w:spacing w:val="18"/>
        </w:rPr>
        <w:t>位以及受洪水威胁的其他单位应当制定应急</w:t>
      </w:r>
      <w:r>
        <w:rPr>
          <w:spacing w:val="7"/>
        </w:rPr>
        <w:t>抢险救援物资储备计划，根据本地区、本行业</w:t>
      </w:r>
      <w:r>
        <w:rPr>
          <w:spacing w:val="7"/>
        </w:rPr>
        <w:t>灾害特点、人口数量和分布情况，按规范储备</w:t>
      </w:r>
      <w:r>
        <w:rPr>
          <w:spacing w:val="7"/>
        </w:rPr>
        <w:t>防汛抢险物资，并建立应急抢险救援物资与应</w:t>
      </w:r>
      <w:r>
        <w:rPr>
          <w:spacing w:val="7"/>
        </w:rPr>
        <w:t>急抢险救援队伍的对接机制，同时做好生产流</w:t>
      </w:r>
      <w:r>
        <w:rPr>
          <w:spacing w:val="7"/>
        </w:rPr>
        <w:t>程和生产能力储备的有关工作。市应急管理指</w:t>
      </w:r>
      <w:r>
        <w:rPr>
          <w:spacing w:val="7"/>
        </w:rPr>
        <w:t>挥部按照应急物资共用共享和协调机制，组织</w:t>
      </w:r>
      <w:r>
        <w:rPr>
          <w:spacing w:val="7"/>
        </w:rPr>
        <w:t>协调重要物资的储备、调拨和紧急配送。同时</w:t>
      </w:r>
      <w:r>
        <w:rPr>
          <w:spacing w:val="7"/>
        </w:rPr>
        <w:t>承担中央、自治区救灾物资的管理、分配和监</w:t>
      </w:r>
      <w:r>
        <w:rPr>
          <w:spacing w:val="7"/>
        </w:rPr>
        <w:t>督使用工作。各级防汛物资管理部门应及时掌</w:t>
      </w:r>
      <w:r>
        <w:rPr>
          <w:spacing w:val="7"/>
        </w:rPr>
        <w:t>握新材料、新设备的应用情况，及时调整储备</w:t>
      </w:r>
      <w:r>
        <w:rPr>
          <w:spacing w:val="8"/>
        </w:rPr>
        <w:t>物资品种，提高科技含量。</w:t>
      </w:r>
    </w:p>
    <w:p>
      <w:pPr>
        <w:pStyle w:val="BodyText"/>
        <w:ind w:left="40" w:right="52" w:firstLine="436"/>
        <w:spacing w:before="3" w:line="349" w:lineRule="auto"/>
        <w:jc w:val="both"/>
        <w:rPr/>
      </w:pPr>
      <w:r>
        <w:rPr>
          <w:spacing w:val="6"/>
        </w:rPr>
        <w:t>当灾情发生时，各级各部门物资的调配工</w:t>
      </w:r>
      <w:r>
        <w:rPr>
          <w:spacing w:val="7"/>
        </w:rPr>
        <w:t>作，原则上按照职责由各级应急指挥机构负责</w:t>
      </w:r>
      <w:r>
        <w:rPr>
          <w:spacing w:val="7"/>
        </w:rPr>
        <w:t>调用。严重缺水地区应当建立应急供水机制，</w:t>
      </w:r>
      <w:r>
        <w:rPr>
          <w:spacing w:val="8"/>
        </w:rPr>
        <w:t>建设应急供水备用水源。</w:t>
      </w:r>
    </w:p>
    <w:p>
      <w:pPr>
        <w:pStyle w:val="BodyText"/>
        <w:ind w:left="42" w:right="39" w:firstLine="424"/>
        <w:spacing w:before="1" w:line="351" w:lineRule="auto"/>
        <w:jc w:val="both"/>
        <w:rPr/>
      </w:pPr>
      <w:r>
        <w:rPr>
          <w:rFonts w:ascii="Times New Roman" w:hAnsi="Times New Roman" w:eastAsia="Times New Roman" w:cs="Times New Roman"/>
          <w:spacing w:val="5"/>
        </w:rPr>
        <w:t>6.5  </w:t>
      </w:r>
      <w:r>
        <w:rPr>
          <w:rFonts w:ascii="KaiTi" w:hAnsi="KaiTi" w:eastAsia="KaiTi" w:cs="KaiTi"/>
          <w:spacing w:val="5"/>
        </w:rPr>
        <w:t>经费保障。</w:t>
      </w:r>
      <w:r>
        <w:rPr>
          <w:spacing w:val="5"/>
        </w:rPr>
        <w:t>市县（</w:t>
      </w:r>
      <w:r>
        <w:rPr>
          <w:spacing w:val="-36"/>
        </w:rPr>
        <w:t xml:space="preserve"> </w:t>
      </w:r>
      <w:r>
        <w:rPr>
          <w:spacing w:val="5"/>
        </w:rPr>
        <w:t>区）政府应当将防</w:t>
      </w:r>
      <w:r>
        <w:rPr>
          <w:spacing w:val="7"/>
        </w:rPr>
        <w:t>汛抗旱应急抢险资金列入本级预算，用于支持</w:t>
      </w:r>
      <w:r>
        <w:rPr>
          <w:spacing w:val="7"/>
        </w:rPr>
        <w:t>防汛抢险、应急抗旱以及工程修复补助。如遇</w:t>
      </w:r>
      <w:r>
        <w:rPr>
          <w:spacing w:val="7"/>
        </w:rPr>
        <w:t>重大险情、灾情，资金有困难的，可申请中央</w:t>
      </w:r>
      <w:r>
        <w:rPr>
          <w:spacing w:val="6"/>
        </w:rPr>
        <w:t>特大防汛抗旱补助费、</w:t>
      </w:r>
      <w:r>
        <w:rPr>
          <w:spacing w:val="-57"/>
        </w:rPr>
        <w:t xml:space="preserve"> </w:t>
      </w:r>
      <w:r>
        <w:rPr>
          <w:spacing w:val="6"/>
        </w:rPr>
        <w:t>自治区防汛维修资金。</w:t>
      </w:r>
    </w:p>
    <w:p>
      <w:pPr>
        <w:pStyle w:val="BodyText"/>
        <w:ind w:right="36" w:firstLine="460"/>
        <w:spacing w:before="4" w:line="338" w:lineRule="auto"/>
        <w:jc w:val="both"/>
        <w:rPr/>
      </w:pPr>
      <w:r>
        <w:rPr>
          <w:spacing w:val="8"/>
        </w:rPr>
        <w:t>对抢险救灾过程中调用的应急抢险队伍、</w:t>
      </w:r>
      <w:r>
        <w:rPr>
          <w:spacing w:val="9"/>
        </w:rPr>
        <w:t>物资、设备、车辆等所发生的抢险费用，采取</w:t>
      </w:r>
      <w:r>
        <w:rPr>
          <w:rFonts w:ascii="Times New Roman" w:hAnsi="Times New Roman" w:eastAsia="Times New Roman" w:cs="Times New Roman"/>
          <w:spacing w:val="10"/>
        </w:rPr>
        <w:t>“</w:t>
      </w:r>
      <w:r>
        <w:rPr>
          <w:spacing w:val="10"/>
        </w:rPr>
        <w:t>先用后补</w:t>
      </w:r>
      <w:r>
        <w:rPr>
          <w:rFonts w:ascii="Times New Roman" w:hAnsi="Times New Roman" w:eastAsia="Times New Roman" w:cs="Times New Roman"/>
          <w:spacing w:val="10"/>
        </w:rPr>
        <w:t>”</w:t>
      </w:r>
      <w:r>
        <w:rPr>
          <w:spacing w:val="10"/>
        </w:rPr>
        <w:t>的方式予以经费补偿。抢险救</w:t>
      </w:r>
      <w:r>
        <w:rPr>
          <w:spacing w:val="9"/>
        </w:rPr>
        <w:t>灾结</w:t>
      </w:r>
      <w:r>
        <w:rPr>
          <w:spacing w:val="10"/>
        </w:rPr>
        <w:t>束后，本着</w:t>
      </w:r>
      <w:r>
        <w:rPr>
          <w:rFonts w:ascii="Times New Roman" w:hAnsi="Times New Roman" w:eastAsia="Times New Roman" w:cs="Times New Roman"/>
          <w:spacing w:val="10"/>
        </w:rPr>
        <w:t>“</w:t>
      </w:r>
      <w:r>
        <w:rPr>
          <w:spacing w:val="10"/>
        </w:rPr>
        <w:t>谁用谁负责</w:t>
      </w:r>
      <w:r>
        <w:rPr>
          <w:rFonts w:ascii="Times New Roman" w:hAnsi="Times New Roman" w:eastAsia="Times New Roman" w:cs="Times New Roman"/>
          <w:spacing w:val="10"/>
        </w:rPr>
        <w:t>”</w:t>
      </w:r>
      <w:r>
        <w:rPr>
          <w:spacing w:val="10"/>
        </w:rPr>
        <w:t>的原则由水旱灾</w:t>
      </w:r>
      <w:r>
        <w:rPr>
          <w:spacing w:val="9"/>
        </w:rPr>
        <w:t>害发</w:t>
      </w:r>
      <w:r>
        <w:rPr>
          <w:spacing w:val="11"/>
        </w:rPr>
        <w:t>生地所在县级政府依法给予相应补偿。</w:t>
      </w:r>
    </w:p>
    <w:p>
      <w:pPr>
        <w:spacing w:line="338" w:lineRule="auto"/>
        <w:sectPr>
          <w:type w:val="continuous"/>
          <w:pgSz w:w="11906" w:h="16839"/>
          <w:pgMar w:top="1766" w:right="1530" w:bottom="1551" w:left="1576" w:header="1428" w:footer="1172" w:gutter="0"/>
          <w:cols w:equalWidth="0" w:num="2">
            <w:col w:w="4453" w:space="100"/>
            <w:col w:w="4247" w:space="0"/>
          </w:cols>
        </w:sectPr>
        <w:rPr/>
      </w:pPr>
    </w:p>
    <w:p>
      <w:pPr>
        <w:spacing w:before="16"/>
        <w:rPr/>
      </w:pPr>
      <w:r/>
    </w:p>
    <w:p>
      <w:pPr>
        <w:sectPr>
          <w:headerReference w:type="default" r:id="rId728"/>
          <w:footerReference w:type="default" r:id="rId733"/>
          <w:pgSz w:w="11906" w:h="16839"/>
          <w:pgMar w:top="1828" w:right="1489" w:bottom="1556" w:left="1567" w:header="1428" w:footer="1172" w:gutter="0"/>
          <w:cols w:equalWidth="0" w:num="1">
            <w:col w:w="8850" w:space="0"/>
          </w:cols>
        </w:sectPr>
        <w:rPr/>
      </w:pPr>
    </w:p>
    <w:p>
      <w:pPr>
        <w:pStyle w:val="BodyText"/>
        <w:ind w:left="28" w:right="328" w:firstLine="416"/>
        <w:spacing w:before="39" w:line="369" w:lineRule="auto"/>
        <w:jc w:val="both"/>
        <w:rPr/>
      </w:pPr>
      <w:r>
        <w:rPr>
          <w:spacing w:val="19"/>
        </w:rPr>
        <w:t>鼓励在水旱灾害易发地区建立和推行灾</w:t>
      </w:r>
      <w:r>
        <w:rPr>
          <w:spacing w:val="7"/>
        </w:rPr>
        <w:t>害保险制度。鼓励采取多种形式向水旱灾害发</w:t>
      </w:r>
      <w:r>
        <w:rPr>
          <w:spacing w:val="7"/>
        </w:rPr>
        <w:t>生地区捐助。</w:t>
      </w:r>
    </w:p>
    <w:p>
      <w:pPr>
        <w:pStyle w:val="BodyText"/>
        <w:ind w:left="24" w:right="321" w:firstLine="426"/>
        <w:spacing w:before="4" w:line="368" w:lineRule="auto"/>
        <w:jc w:val="both"/>
        <w:rPr/>
      </w:pPr>
      <w:r>
        <w:rPr>
          <w:rFonts w:ascii="Times New Roman" w:hAnsi="Times New Roman" w:eastAsia="Times New Roman" w:cs="Times New Roman"/>
          <w:spacing w:val="8"/>
        </w:rPr>
        <w:t>6.6  </w:t>
      </w:r>
      <w:r>
        <w:rPr>
          <w:rFonts w:ascii="KaiTi" w:hAnsi="KaiTi" w:eastAsia="KaiTi" w:cs="KaiTi"/>
          <w:spacing w:val="8"/>
        </w:rPr>
        <w:t>技术保障。</w:t>
      </w:r>
      <w:r>
        <w:rPr>
          <w:spacing w:val="8"/>
        </w:rPr>
        <w:t>市水务部门要健全完善水</w:t>
      </w:r>
      <w:r>
        <w:rPr>
          <w:spacing w:val="7"/>
        </w:rPr>
        <w:t>情旱情监测预警系统，组织编制重要河湖、重</w:t>
      </w:r>
      <w:r>
        <w:rPr>
          <w:spacing w:val="18"/>
        </w:rPr>
        <w:t>要水利工程防御洪水防御旱灾及应急水量调</w:t>
      </w:r>
      <w:r>
        <w:rPr>
          <w:spacing w:val="7"/>
        </w:rPr>
        <w:t>度方案，承担防御洪水应急抢险的技术支撑工</w:t>
      </w:r>
      <w:r>
        <w:rPr>
          <w:spacing w:val="4"/>
        </w:rPr>
        <w:t>作。市县（</w:t>
      </w:r>
      <w:r>
        <w:rPr>
          <w:spacing w:val="-34"/>
        </w:rPr>
        <w:t xml:space="preserve"> </w:t>
      </w:r>
      <w:r>
        <w:rPr>
          <w:spacing w:val="4"/>
        </w:rPr>
        <w:t>区）应急管理指挥机构应成立抗洪</w:t>
      </w:r>
      <w:r>
        <w:rPr>
          <w:spacing w:val="7"/>
        </w:rPr>
        <w:t>抢险、抗旱救灾专家库，当发生水旱灾害时，</w:t>
      </w:r>
      <w:r>
        <w:rPr>
          <w:spacing w:val="7"/>
        </w:rPr>
        <w:t>统一调派专家参加会商，或赶赴发生工程险情</w:t>
      </w:r>
      <w:r>
        <w:rPr>
          <w:spacing w:val="7"/>
        </w:rPr>
        <w:t>的现场指导抢险，以及指导各地抗洪抢险、抗</w:t>
      </w:r>
      <w:r>
        <w:rPr>
          <w:spacing w:val="7"/>
        </w:rPr>
        <w:t>旱救灾工作。</w:t>
      </w:r>
    </w:p>
    <w:p>
      <w:pPr>
        <w:ind w:left="449"/>
        <w:spacing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7</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4"/>
        </w:rPr>
        <w:t>预案管理</w:t>
      </w:r>
    </w:p>
    <w:p>
      <w:pPr>
        <w:pStyle w:val="BodyText"/>
        <w:ind w:left="26" w:right="328" w:firstLine="422"/>
        <w:spacing w:before="100" w:line="368" w:lineRule="auto"/>
        <w:jc w:val="both"/>
        <w:rPr/>
      </w:pPr>
      <w:r>
        <w:rPr>
          <w:rFonts w:ascii="Times New Roman" w:hAnsi="Times New Roman" w:eastAsia="Times New Roman" w:cs="Times New Roman"/>
          <w:spacing w:val="6"/>
        </w:rPr>
        <w:t>7.</w:t>
      </w:r>
      <w:r>
        <w:rPr>
          <w:rFonts w:ascii="Times New Roman" w:hAnsi="Times New Roman" w:eastAsia="Times New Roman" w:cs="Times New Roman"/>
          <w:spacing w:val="-25"/>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5"/>
          <w:w w:val="101"/>
        </w:rPr>
        <w:t xml:space="preserve">  </w:t>
      </w:r>
      <w:r>
        <w:rPr>
          <w:rFonts w:ascii="KaiTi" w:hAnsi="KaiTi" w:eastAsia="KaiTi" w:cs="KaiTi"/>
          <w:spacing w:val="6"/>
        </w:rPr>
        <w:t>宣传培训。</w:t>
      </w:r>
      <w:r>
        <w:rPr>
          <w:spacing w:val="6"/>
        </w:rPr>
        <w:t>县级以上政府及其有关部</w:t>
      </w:r>
      <w:r>
        <w:rPr>
          <w:spacing w:val="7"/>
        </w:rPr>
        <w:t>门根据区域水旱灾害特点，有针对性地开展避</w:t>
      </w:r>
      <w:r>
        <w:rPr>
          <w:spacing w:val="7"/>
        </w:rPr>
        <w:t>险救援、减灾救灾、法律知识普及和宣教，动</w:t>
      </w:r>
      <w:r>
        <w:rPr>
          <w:spacing w:val="7"/>
        </w:rPr>
        <w:t>员社会公众积极参与应对水旱灾害事件，提高</w:t>
      </w:r>
      <w:r>
        <w:rPr>
          <w:spacing w:val="8"/>
        </w:rPr>
        <w:t>全社会应对灾害能力。</w:t>
      </w:r>
    </w:p>
    <w:p>
      <w:pPr>
        <w:pStyle w:val="BodyText"/>
        <w:ind w:left="27" w:right="328" w:firstLine="418"/>
        <w:spacing w:before="6" w:line="370" w:lineRule="auto"/>
        <w:rPr/>
      </w:pPr>
      <w:r>
        <w:rPr>
          <w:spacing w:val="6"/>
        </w:rPr>
        <w:t>建立健全应急管理培训制度，组织应急管</w:t>
      </w:r>
      <w:r>
        <w:rPr>
          <w:spacing w:val="7"/>
        </w:rPr>
        <w:t>理人员、抢险救灾队伍、志愿者等进行应急知</w:t>
      </w:r>
    </w:p>
    <w:p>
      <w:pPr>
        <w:spacing w:line="14" w:lineRule="auto"/>
        <w:rPr>
          <w:rFonts w:ascii="Arial"/>
          <w:sz w:val="2"/>
        </w:rPr>
      </w:pPr>
      <w:r>
        <w:rPr>
          <w:rFonts w:ascii="Arial" w:hAnsi="Arial" w:eastAsia="Arial" w:cs="Arial"/>
          <w:sz w:val="2"/>
          <w:szCs w:val="2"/>
        </w:rPr>
        <w:br w:type="column"/>
      </w:r>
    </w:p>
    <w:p>
      <w:pPr>
        <w:pStyle w:val="BodyText"/>
        <w:spacing w:before="43" w:line="217" w:lineRule="auto"/>
        <w:rPr/>
      </w:pPr>
      <w:r>
        <w:rPr>
          <w:spacing w:val="8"/>
        </w:rPr>
        <w:t>识和技能培训。</w:t>
      </w:r>
    </w:p>
    <w:p>
      <w:pPr>
        <w:pStyle w:val="BodyText"/>
        <w:ind w:right="101" w:firstLine="425"/>
        <w:spacing w:before="159" w:line="369" w:lineRule="auto"/>
        <w:jc w:val="both"/>
        <w:rPr/>
      </w:pPr>
      <w:r>
        <w:rPr>
          <w:rFonts w:ascii="Times New Roman" w:hAnsi="Times New Roman" w:eastAsia="Times New Roman" w:cs="Times New Roman"/>
          <w:spacing w:val="8"/>
        </w:rPr>
        <w:t>7.2  </w:t>
      </w:r>
      <w:r>
        <w:rPr>
          <w:rFonts w:ascii="KaiTi" w:hAnsi="KaiTi" w:eastAsia="KaiTi" w:cs="KaiTi"/>
          <w:spacing w:val="8"/>
        </w:rPr>
        <w:t>预案演练。</w:t>
      </w:r>
      <w:r>
        <w:rPr>
          <w:spacing w:val="8"/>
        </w:rPr>
        <w:t>市应急管理局负责监督指</w:t>
      </w:r>
      <w:r>
        <w:rPr>
          <w:spacing w:val="7"/>
        </w:rPr>
        <w:t>导各相关预案的应急演练。各单位定期组织跨</w:t>
      </w:r>
      <w:r>
        <w:rPr>
          <w:spacing w:val="7"/>
        </w:rPr>
        <w:t>部门、跨区域的综合性应急救援演练，提高队</w:t>
      </w:r>
      <w:r>
        <w:rPr>
          <w:spacing w:val="7"/>
        </w:rPr>
        <w:t>伍快速反应和协同作战能力，确保完成抢险救</w:t>
      </w:r>
      <w:r>
        <w:rPr>
          <w:spacing w:val="6"/>
        </w:rPr>
        <w:t>援任务。</w:t>
      </w:r>
    </w:p>
    <w:p>
      <w:pPr>
        <w:pStyle w:val="BodyText"/>
        <w:ind w:left="4" w:right="94" w:firstLine="438"/>
        <w:spacing w:before="4" w:line="368" w:lineRule="auto"/>
        <w:jc w:val="both"/>
        <w:rPr/>
      </w:pPr>
      <w:r>
        <w:rPr>
          <w:spacing w:val="4"/>
        </w:rPr>
        <w:t>固原市至少每年组织</w:t>
      </w:r>
      <w:r>
        <w:rPr>
          <w:spacing w:val="-16"/>
        </w:rPr>
        <w:t xml:space="preserve"> </w:t>
      </w:r>
      <w:r>
        <w:rPr>
          <w:rFonts w:ascii="Times New Roman" w:hAnsi="Times New Roman" w:eastAsia="Times New Roman" w:cs="Times New Roman"/>
          <w:spacing w:val="4"/>
        </w:rPr>
        <w:t>1 </w:t>
      </w:r>
      <w:r>
        <w:rPr>
          <w:spacing w:val="4"/>
        </w:rPr>
        <w:t>次应急预案演练，</w:t>
      </w:r>
      <w:r>
        <w:rPr>
          <w:spacing w:val="7"/>
        </w:rPr>
        <w:t>提高本部门、本地区水旱灾害突发事件应急处</w:t>
      </w:r>
      <w:r>
        <w:rPr>
          <w:spacing w:val="5"/>
        </w:rPr>
        <w:t>置能力。</w:t>
      </w:r>
    </w:p>
    <w:p>
      <w:pPr>
        <w:pStyle w:val="BodyText"/>
        <w:ind w:right="94" w:firstLine="426"/>
        <w:spacing w:before="1" w:line="365" w:lineRule="auto"/>
        <w:jc w:val="both"/>
        <w:rPr/>
      </w:pPr>
      <w:r>
        <w:rPr>
          <w:rFonts w:ascii="Times New Roman" w:hAnsi="Times New Roman" w:eastAsia="Times New Roman" w:cs="Times New Roman"/>
          <w:spacing w:val="8"/>
        </w:rPr>
        <w:t>7.3  </w:t>
      </w:r>
      <w:r>
        <w:rPr>
          <w:rFonts w:ascii="KaiTi" w:hAnsi="KaiTi" w:eastAsia="KaiTi" w:cs="KaiTi"/>
          <w:spacing w:val="8"/>
        </w:rPr>
        <w:t>预案修订。</w:t>
      </w:r>
      <w:r>
        <w:rPr>
          <w:spacing w:val="8"/>
        </w:rPr>
        <w:t>市应急管理指挥部办公室</w:t>
      </w:r>
      <w:r>
        <w:rPr>
          <w:spacing w:val="7"/>
        </w:rPr>
        <w:t>会同有关部门制订本预案，经市政府审批后，</w:t>
      </w:r>
      <w:r>
        <w:rPr>
          <w:spacing w:val="8"/>
        </w:rPr>
        <w:t>由市政府办公室印发。</w:t>
      </w:r>
    </w:p>
    <w:p>
      <w:pPr>
        <w:pStyle w:val="BodyText"/>
        <w:ind w:left="2" w:right="101" w:firstLine="420"/>
        <w:spacing w:before="11" w:line="365" w:lineRule="auto"/>
        <w:jc w:val="both"/>
        <w:rPr/>
      </w:pPr>
      <w:r>
        <w:rPr>
          <w:spacing w:val="6"/>
        </w:rPr>
        <w:t>各县（区）应急管理指挥部办公室组织制</w:t>
      </w:r>
      <w:r>
        <w:rPr>
          <w:spacing w:val="7"/>
        </w:rPr>
        <w:t>订本行政区域防汛抗旱应急预案，报本级政府</w:t>
      </w:r>
      <w:r>
        <w:rPr>
          <w:spacing w:val="4"/>
        </w:rPr>
        <w:t>备案。</w:t>
      </w:r>
    </w:p>
    <w:p>
      <w:pPr>
        <w:pStyle w:val="BodyText"/>
        <w:ind w:left="3" w:right="101" w:firstLine="419"/>
        <w:spacing w:before="18" w:line="366" w:lineRule="auto"/>
        <w:jc w:val="both"/>
        <w:rPr/>
      </w:pPr>
      <w:r>
        <w:rPr>
          <w:spacing w:val="19"/>
        </w:rPr>
        <w:t>各级应急管理指挥部办公室要根据预案</w:t>
      </w:r>
      <w:r>
        <w:rPr>
          <w:spacing w:val="7"/>
        </w:rPr>
        <w:t>演练时发现的问题、机构变化等情况，适时组</w:t>
      </w:r>
      <w:r>
        <w:rPr>
          <w:spacing w:val="8"/>
        </w:rPr>
        <w:t>织修订完善本预案。</w:t>
      </w:r>
    </w:p>
    <w:p>
      <w:pPr>
        <w:ind w:left="425"/>
        <w:spacing w:before="1"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8    附件</w:t>
      </w:r>
    </w:p>
    <w:p>
      <w:pPr>
        <w:spacing w:line="217" w:lineRule="auto"/>
        <w:sectPr>
          <w:type w:val="continuous"/>
          <w:pgSz w:w="11906" w:h="16839"/>
          <w:pgMar w:top="1828" w:right="1489" w:bottom="1556" w:left="1567" w:header="1428" w:footer="1172" w:gutter="0"/>
          <w:cols w:equalWidth="0" w:num="2">
            <w:col w:w="4501" w:space="100"/>
            <w:col w:w="4250" w:space="0"/>
          </w:cols>
        </w:sectPr>
        <w:rPr>
          <w:rFonts w:ascii="Microsoft YaHei" w:hAnsi="Microsoft YaHei" w:eastAsia="Microsoft YaHei" w:cs="Microsoft YaHei"/>
          <w:sz w:val="20"/>
          <w:szCs w:val="20"/>
        </w:rPr>
      </w:pPr>
    </w:p>
    <w:p>
      <w:pPr>
        <w:ind w:left="2127"/>
        <w:spacing w:before="326" w:line="209" w:lineRule="auto"/>
        <w:rPr>
          <w:rFonts w:ascii="Microsoft YaHei" w:hAnsi="Microsoft YaHei" w:eastAsia="Microsoft YaHei" w:cs="Microsoft YaHei"/>
          <w:sz w:val="24"/>
          <w:szCs w:val="24"/>
        </w:rPr>
      </w:pPr>
      <w:r>
        <w:drawing>
          <wp:anchor distT="0" distB="0" distL="0" distR="0" simplePos="0" relativeHeight="252331008" behindDoc="0" locked="0" layoutInCell="1" allowOverlap="1">
            <wp:simplePos x="0" y="0"/>
            <wp:positionH relativeFrom="column">
              <wp:posOffset>13334</wp:posOffset>
            </wp:positionH>
            <wp:positionV relativeFrom="paragraph">
              <wp:posOffset>-5244796</wp:posOffset>
            </wp:positionV>
            <wp:extent cx="5579745" cy="7619"/>
            <wp:effectExtent l="0" t="0" r="0" b="0"/>
            <wp:wrapNone/>
            <wp:docPr id="1464" name="IM 1464"/>
            <wp:cNvGraphicFramePr/>
            <a:graphic>
              <a:graphicData uri="http://schemas.openxmlformats.org/drawingml/2006/picture">
                <pic:pic>
                  <pic:nvPicPr>
                    <pic:cNvPr id="1464" name="IM 1464"/>
                    <pic:cNvPicPr/>
                  </pic:nvPicPr>
                  <pic:blipFill>
                    <a:blip r:embed="rId734"/>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4"/>
          <w:szCs w:val="24"/>
          <w:spacing w:val="-2"/>
        </w:rPr>
        <w:t>8.1  固原市防汛抗旱应急指挥部组织机构图</w:t>
      </w:r>
    </w:p>
    <w:p>
      <w:pPr>
        <w:pStyle w:val="BodyText"/>
        <w:ind w:left="2116"/>
        <w:spacing w:before="197" w:line="277" w:lineRule="exact"/>
        <w:rPr/>
      </w:pPr>
      <w:r>
        <w:drawing>
          <wp:anchor distT="0" distB="0" distL="0" distR="0" simplePos="0" relativeHeight="252323840" behindDoc="1" locked="0" layoutInCell="1" allowOverlap="1">
            <wp:simplePos x="0" y="0"/>
            <wp:positionH relativeFrom="column">
              <wp:posOffset>334009</wp:posOffset>
            </wp:positionH>
            <wp:positionV relativeFrom="paragraph">
              <wp:posOffset>65483</wp:posOffset>
            </wp:positionV>
            <wp:extent cx="4572000" cy="2614930"/>
            <wp:effectExtent l="0" t="0" r="0" b="0"/>
            <wp:wrapNone/>
            <wp:docPr id="1466" name="IM 1466"/>
            <wp:cNvGraphicFramePr/>
            <a:graphic>
              <a:graphicData uri="http://schemas.openxmlformats.org/drawingml/2006/picture">
                <pic:pic>
                  <pic:nvPicPr>
                    <pic:cNvPr id="1466" name="IM 1466"/>
                    <pic:cNvPicPr/>
                  </pic:nvPicPr>
                  <pic:blipFill>
                    <a:blip r:embed="rId735"/>
                    <a:stretch>
                      <a:fillRect/>
                    </a:stretch>
                  </pic:blipFill>
                  <pic:spPr>
                    <a:xfrm rot="0">
                      <a:off x="0" y="0"/>
                      <a:ext cx="4572000" cy="2614930"/>
                    </a:xfrm>
                    <a:prstGeom prst="rect">
                      <a:avLst/>
                    </a:prstGeom>
                  </pic:spPr>
                </pic:pic>
              </a:graphicData>
            </a:graphic>
          </wp:anchor>
        </w:drawing>
      </w:r>
      <w:r>
        <w:rPr>
          <w:spacing w:val="9"/>
          <w:position w:val="1"/>
        </w:rPr>
        <w:t>指 挥 长：固原市政府分管水务工作的副市长</w:t>
      </w:r>
    </w:p>
    <w:p>
      <w:pPr>
        <w:spacing w:line="318" w:lineRule="auto"/>
        <w:rPr>
          <w:rFonts w:ascii="Arial"/>
          <w:sz w:val="21"/>
        </w:rPr>
      </w:pPr>
      <w:r/>
    </w:p>
    <w:p>
      <w:pPr>
        <w:pStyle w:val="BodyText"/>
        <w:ind w:left="2450"/>
        <w:spacing w:before="65" w:line="278" w:lineRule="exact"/>
        <w:rPr/>
      </w:pPr>
      <w:r>
        <w:rPr>
          <w:spacing w:val="9"/>
          <w:position w:val="1"/>
        </w:rPr>
        <w:t>副指挥长：分管城市管理工作的副市长</w:t>
      </w:r>
    </w:p>
    <w:p>
      <w:pPr>
        <w:spacing w:line="326" w:lineRule="auto"/>
        <w:rPr>
          <w:rFonts w:ascii="Arial"/>
          <w:sz w:val="21"/>
        </w:rPr>
      </w:pPr>
      <w:r/>
    </w:p>
    <w:p>
      <w:pPr>
        <w:spacing w:line="326" w:lineRule="auto"/>
        <w:rPr>
          <w:rFonts w:ascii="Arial"/>
          <w:sz w:val="21"/>
        </w:rPr>
      </w:pPr>
      <w:r/>
    </w:p>
    <w:p>
      <w:pPr>
        <w:pStyle w:val="BodyText"/>
        <w:ind w:left="877"/>
        <w:spacing w:before="65" w:line="195" w:lineRule="auto"/>
        <w:rPr/>
      </w:pPr>
      <w:r>
        <w:pict>
          <v:shape id="_x0000_s16" style="position:absolute;margin-left:38.4398pt;margin-top:55.0176pt;mso-position-vertical-relative:text;mso-position-horizontal-relative:text;width:14.35pt;height:59.4pt;z-index:252326912;" filled="false" stroked="false" type="#_x0000_t202">
            <v:fill on="false"/>
            <v:stroke on="false"/>
            <v:path/>
            <v:imagedata o:title=""/>
            <o:lock v:ext="edit" aspectratio="false"/>
            <v:textbox inset="0mm,0mm,0mm,0mm" style="layout-flow:vertical-ideographic;">
              <w:txbxContent>
                <w:p>
                  <w:pPr>
                    <w:pStyle w:val="BodyText"/>
                    <w:ind w:left="20"/>
                    <w:spacing w:before="19" w:line="221" w:lineRule="auto"/>
                    <w:rPr/>
                  </w:pPr>
                  <w:r>
                    <w:rPr>
                      <w:spacing w:val="32"/>
                    </w:rPr>
                    <w:t>抢险救援组</w:t>
                  </w:r>
                </w:p>
              </w:txbxContent>
            </v:textbox>
          </v:shape>
        </w:pict>
      </w:r>
      <w:r>
        <w:pict>
          <v:shape id="_x0000_s18" style="position:absolute;margin-left:100.243pt;margin-top:55.3831pt;mso-position-vertical-relative:text;mso-position-horizontal-relative:text;width:14.3pt;height:59.3pt;z-index:252329984;" filled="false" stroked="false" type="#_x0000_t202">
            <v:fill on="false"/>
            <v:stroke on="false"/>
            <v:path/>
            <v:imagedata o:title=""/>
            <o:lock v:ext="edit" aspectratio="false"/>
            <v:textbox inset="0mm,0mm,0mm,0mm" style="layout-flow:vertical-ideographic;">
              <w:txbxContent>
                <w:p>
                  <w:pPr>
                    <w:pStyle w:val="BodyText"/>
                    <w:ind w:left="20"/>
                    <w:spacing w:before="19" w:line="221" w:lineRule="auto"/>
                    <w:rPr/>
                  </w:pPr>
                  <w:r>
                    <w:rPr>
                      <w:spacing w:val="32"/>
                    </w:rPr>
                    <w:t>监测预警组</w:t>
                  </w:r>
                </w:p>
              </w:txbxContent>
            </v:textbox>
          </v:shape>
        </w:pict>
      </w:r>
      <w:r>
        <w:pict>
          <v:shape id="_x0000_s20" style="position:absolute;margin-left:165.28pt;margin-top:56.7921pt;mso-position-vertical-relative:text;mso-position-horizontal-relative:text;width:14.35pt;height:59.05pt;z-index:252328960;" filled="false" stroked="false" type="#_x0000_t202">
            <v:fill on="false"/>
            <v:stroke on="false"/>
            <v:path/>
            <v:imagedata o:title=""/>
            <o:lock v:ext="edit" aspectratio="false"/>
            <v:textbox inset="0mm,0mm,0mm,0mm" style="layout-flow:vertical-ideographic;">
              <w:txbxContent>
                <w:p>
                  <w:pPr>
                    <w:pStyle w:val="BodyText"/>
                    <w:ind w:left="20"/>
                    <w:spacing w:before="19" w:line="221" w:lineRule="auto"/>
                    <w:rPr/>
                  </w:pPr>
                  <w:r>
                    <w:rPr>
                      <w:spacing w:val="31"/>
                    </w:rPr>
                    <w:t>医疗救治组</w:t>
                  </w:r>
                </w:p>
              </w:txbxContent>
            </v:textbox>
          </v:shape>
        </w:pict>
      </w:r>
      <w:r>
        <w:pict>
          <v:shape id="_x0000_s22" style="position:absolute;margin-left:224.8pt;margin-top:56.6859pt;mso-position-vertical-relative:text;mso-position-horizontal-relative:text;width:14.35pt;height:59.65pt;z-index:252324864;" filled="false" stroked="false" type="#_x0000_t202">
            <v:fill on="false"/>
            <v:stroke on="false"/>
            <v:path/>
            <v:imagedata o:title=""/>
            <o:lock v:ext="edit" aspectratio="false"/>
            <v:textbox inset="0mm,0mm,0mm,0mm" style="layout-flow:vertical-ideographic;">
              <w:txbxContent>
                <w:p>
                  <w:pPr>
                    <w:pStyle w:val="BodyText"/>
                    <w:ind w:left="20"/>
                    <w:spacing w:before="19" w:line="221" w:lineRule="auto"/>
                    <w:rPr/>
                  </w:pPr>
                  <w:r>
                    <w:rPr>
                      <w:spacing w:val="33"/>
                    </w:rPr>
                    <w:t>资金保障组</w:t>
                  </w:r>
                </w:p>
              </w:txbxContent>
            </v:textbox>
          </v:shape>
        </w:pict>
      </w:r>
      <w:r>
        <w:pict>
          <v:shape id="_x0000_s24" style="position:absolute;margin-left:361.243pt;margin-top:54.9381pt;mso-position-vertical-relative:text;mso-position-horizontal-relative:text;width:14.3pt;height:59.6pt;z-index:252327936;" filled="false" stroked="false" type="#_x0000_t202">
            <v:fill on="false"/>
            <v:stroke on="false"/>
            <v:path/>
            <v:imagedata o:title=""/>
            <o:lock v:ext="edit" aspectratio="false"/>
            <v:textbox inset="0mm,0mm,0mm,0mm" style="layout-flow:vertical-ideographic;">
              <w:txbxContent>
                <w:p>
                  <w:pPr>
                    <w:pStyle w:val="BodyText"/>
                    <w:ind w:left="20"/>
                    <w:spacing w:before="19" w:line="221" w:lineRule="auto"/>
                    <w:rPr/>
                  </w:pPr>
                  <w:r>
                    <w:rPr>
                      <w:spacing w:val="33"/>
                    </w:rPr>
                    <w:t>善后处理组</w:t>
                  </w:r>
                </w:p>
              </w:txbxContent>
            </v:textbox>
          </v:shape>
        </w:pict>
      </w:r>
      <w:r>
        <w:pict>
          <v:shape id="_x0000_s26" style="position:absolute;margin-left:291.319pt;margin-top:55.9035pt;mso-position-vertical-relative:text;mso-position-horizontal-relative:text;width:14.3pt;height:59.5pt;z-index:252325888;" filled="false" stroked="false" type="#_x0000_t202">
            <v:fill on="false"/>
            <v:stroke on="false"/>
            <v:path/>
            <v:imagedata o:title=""/>
            <o:lock v:ext="edit" aspectratio="false"/>
            <v:textbox inset="0mm,0mm,0mm,0mm" style="layout-flow:vertical-ideographic;">
              <w:txbxContent>
                <w:p>
                  <w:pPr>
                    <w:pStyle w:val="BodyText"/>
                    <w:ind w:left="20"/>
                    <w:spacing w:before="19" w:line="220" w:lineRule="auto"/>
                    <w:rPr/>
                  </w:pPr>
                  <w:r>
                    <w:rPr>
                      <w:spacing w:val="33"/>
                    </w:rPr>
                    <w:t>新闻宣传组</w:t>
                  </w:r>
                </w:p>
              </w:txbxContent>
            </v:textbox>
          </v:shape>
        </w:pict>
      </w:r>
      <w:r>
        <w:drawing>
          <wp:anchor distT="0" distB="0" distL="0" distR="0" simplePos="0" relativeHeight="252332032" behindDoc="0" locked="0" layoutInCell="1" allowOverlap="1">
            <wp:simplePos x="0" y="0"/>
            <wp:positionH relativeFrom="column">
              <wp:posOffset>586739</wp:posOffset>
            </wp:positionH>
            <wp:positionV relativeFrom="paragraph">
              <wp:posOffset>459703</wp:posOffset>
            </wp:positionV>
            <wp:extent cx="4104005" cy="7619"/>
            <wp:effectExtent l="0" t="0" r="0" b="0"/>
            <wp:wrapNone/>
            <wp:docPr id="1468" name="IM 1468"/>
            <wp:cNvGraphicFramePr/>
            <a:graphic>
              <a:graphicData uri="http://schemas.openxmlformats.org/drawingml/2006/picture">
                <pic:pic>
                  <pic:nvPicPr>
                    <pic:cNvPr id="1468" name="IM 1468"/>
                    <pic:cNvPicPr/>
                  </pic:nvPicPr>
                  <pic:blipFill>
                    <a:blip r:embed="rId736"/>
                    <a:stretch>
                      <a:fillRect/>
                    </a:stretch>
                  </pic:blipFill>
                  <pic:spPr>
                    <a:xfrm rot="0">
                      <a:off x="0" y="0"/>
                      <a:ext cx="4104005" cy="7619"/>
                    </a:xfrm>
                    <a:prstGeom prst="rect">
                      <a:avLst/>
                    </a:prstGeom>
                  </pic:spPr>
                </pic:pic>
              </a:graphicData>
            </a:graphic>
          </wp:anchor>
        </w:drawing>
      </w:r>
      <w:r>
        <w:rPr>
          <w:spacing w:val="7"/>
          <w:position w:val="-2"/>
        </w:rPr>
        <w:t>应急救援办公室            </w:t>
      </w:r>
      <w:r>
        <w:rPr>
          <w:spacing w:val="6"/>
          <w:position w:val="-2"/>
        </w:rPr>
        <w:t xml:space="preserve">                     </w:t>
      </w:r>
      <w:r>
        <w:rPr>
          <w:spacing w:val="6"/>
          <w:position w:val="2"/>
        </w:rPr>
        <w:t>应急处置工作组</w:t>
      </w:r>
    </w:p>
    <w:p>
      <w:pPr>
        <w:spacing w:line="195" w:lineRule="auto"/>
        <w:sectPr>
          <w:type w:val="continuous"/>
          <w:pgSz w:w="11906" w:h="16839"/>
          <w:pgMar w:top="1828" w:right="1489" w:bottom="1556" w:left="1567" w:header="1428" w:footer="1172" w:gutter="0"/>
          <w:cols w:equalWidth="0" w:num="1">
            <w:col w:w="8850" w:space="0"/>
          </w:cols>
        </w:sectPr>
        <w:rPr/>
      </w:pPr>
    </w:p>
    <w:p>
      <w:pPr>
        <w:ind w:left="1902"/>
        <w:spacing w:before="306" w:line="209" w:lineRule="auto"/>
        <w:rPr>
          <w:rFonts w:ascii="Microsoft YaHei" w:hAnsi="Microsoft YaHei" w:eastAsia="Microsoft YaHei" w:cs="Microsoft YaHei"/>
          <w:sz w:val="24"/>
          <w:szCs w:val="24"/>
        </w:rPr>
      </w:pPr>
      <w:r>
        <w:drawing>
          <wp:anchor distT="0" distB="0" distL="0" distR="0" simplePos="0" relativeHeight="252345344"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474" name="IM 1474"/>
            <wp:cNvGraphicFramePr/>
            <a:graphic>
              <a:graphicData uri="http://schemas.openxmlformats.org/drawingml/2006/picture">
                <pic:pic>
                  <pic:nvPicPr>
                    <pic:cNvPr id="1474" name="IM 1474"/>
                    <pic:cNvPicPr/>
                  </pic:nvPicPr>
                  <pic:blipFill>
                    <a:blip r:embed="rId739"/>
                    <a:stretch>
                      <a:fillRect/>
                    </a:stretch>
                  </pic:blipFill>
                  <pic:spPr>
                    <a:xfrm rot="0">
                      <a:off x="0" y="0"/>
                      <a:ext cx="5579745" cy="7620"/>
                    </a:xfrm>
                    <a:prstGeom prst="rect">
                      <a:avLst/>
                    </a:prstGeom>
                  </pic:spPr>
                </pic:pic>
              </a:graphicData>
            </a:graphic>
          </wp:anchor>
        </w:drawing>
      </w:r>
      <w:r>
        <w:rPr>
          <w:rFonts w:ascii="Microsoft YaHei" w:hAnsi="Microsoft YaHei" w:eastAsia="Microsoft YaHei" w:cs="Microsoft YaHei"/>
          <w:sz w:val="24"/>
          <w:szCs w:val="24"/>
          <w:spacing w:val="-2"/>
        </w:rPr>
        <w:t>8.2</w:t>
      </w:r>
      <w:r>
        <w:rPr>
          <w:rFonts w:ascii="Microsoft YaHei" w:hAnsi="Microsoft YaHei" w:eastAsia="Microsoft YaHei" w:cs="Microsoft YaHei"/>
          <w:sz w:val="24"/>
          <w:szCs w:val="24"/>
          <w:spacing w:val="19"/>
        </w:rPr>
        <w:t xml:space="preserve">   </w:t>
      </w:r>
      <w:r>
        <w:rPr>
          <w:rFonts w:ascii="Microsoft YaHei" w:hAnsi="Microsoft YaHei" w:eastAsia="Microsoft YaHei" w:cs="Microsoft YaHei"/>
          <w:sz w:val="24"/>
          <w:szCs w:val="24"/>
          <w:spacing w:val="-2"/>
        </w:rPr>
        <w:t>固原市水旱灾害突发事件应急救援工作流程图</w:t>
      </w:r>
    </w:p>
    <w:p>
      <w:pPr>
        <w:spacing w:line="358" w:lineRule="auto"/>
        <w:rPr>
          <w:rFonts w:ascii="Arial"/>
          <w:sz w:val="21"/>
        </w:rPr>
      </w:pPr>
      <w:r/>
    </w:p>
    <w:p>
      <w:pPr>
        <w:pStyle w:val="BodyText"/>
        <w:ind w:left="3764"/>
        <w:spacing w:before="65" w:line="218" w:lineRule="auto"/>
        <w:rPr/>
      </w:pPr>
      <w:r>
        <w:drawing>
          <wp:anchor distT="0" distB="0" distL="0" distR="0" simplePos="0" relativeHeight="252335104" behindDoc="1" locked="0" layoutInCell="1" allowOverlap="1">
            <wp:simplePos x="0" y="0"/>
            <wp:positionH relativeFrom="column">
              <wp:posOffset>0</wp:posOffset>
            </wp:positionH>
            <wp:positionV relativeFrom="paragraph">
              <wp:posOffset>-24605</wp:posOffset>
            </wp:positionV>
            <wp:extent cx="5636260" cy="7743189"/>
            <wp:effectExtent l="0" t="0" r="0" b="0"/>
            <wp:wrapNone/>
            <wp:docPr id="1476" name="IM 1476"/>
            <wp:cNvGraphicFramePr/>
            <a:graphic>
              <a:graphicData uri="http://schemas.openxmlformats.org/drawingml/2006/picture">
                <pic:pic>
                  <pic:nvPicPr>
                    <pic:cNvPr id="1476" name="IM 1476"/>
                    <pic:cNvPicPr/>
                  </pic:nvPicPr>
                  <pic:blipFill>
                    <a:blip r:embed="rId740"/>
                    <a:stretch>
                      <a:fillRect/>
                    </a:stretch>
                  </pic:blipFill>
                  <pic:spPr>
                    <a:xfrm rot="0">
                      <a:off x="0" y="0"/>
                      <a:ext cx="5636260" cy="7743189"/>
                    </a:xfrm>
                    <a:prstGeom prst="rect">
                      <a:avLst/>
                    </a:prstGeom>
                  </pic:spPr>
                </pic:pic>
              </a:graphicData>
            </a:graphic>
          </wp:anchor>
        </w:drawing>
      </w:r>
      <w:r>
        <w:rPr>
          <w:spacing w:val="9"/>
        </w:rPr>
        <w:t>水旱灾害发生后</w:t>
      </w:r>
    </w:p>
    <w:p>
      <w:pPr>
        <w:spacing w:line="359" w:lineRule="auto"/>
        <w:rPr>
          <w:rFonts w:ascii="Arial"/>
          <w:sz w:val="21"/>
        </w:rPr>
      </w:pPr>
      <w:r/>
    </w:p>
    <w:p>
      <w:pPr>
        <w:spacing w:line="359" w:lineRule="auto"/>
        <w:rPr>
          <w:rFonts w:ascii="Arial"/>
          <w:sz w:val="21"/>
        </w:rPr>
      </w:pPr>
      <w:r/>
    </w:p>
    <w:p>
      <w:pPr>
        <w:pStyle w:val="BodyText"/>
        <w:ind w:left="2239"/>
        <w:spacing w:before="65" w:line="218" w:lineRule="auto"/>
        <w:rPr/>
      </w:pPr>
      <w:r>
        <w:rPr>
          <w:spacing w:val="8"/>
        </w:rPr>
        <w:t>上报市应急管理局          事发地人民政府先期处理</w:t>
      </w:r>
    </w:p>
    <w:p>
      <w:pPr>
        <w:spacing w:line="359" w:lineRule="auto"/>
        <w:rPr>
          <w:rFonts w:ascii="Arial"/>
          <w:sz w:val="21"/>
        </w:rPr>
      </w:pPr>
      <w:r/>
    </w:p>
    <w:p>
      <w:pPr>
        <w:spacing w:line="360" w:lineRule="auto"/>
        <w:rPr>
          <w:rFonts w:ascii="Arial"/>
          <w:sz w:val="21"/>
        </w:rPr>
      </w:pPr>
      <w:r/>
    </w:p>
    <w:p>
      <w:pPr>
        <w:pStyle w:val="BodyText"/>
        <w:ind w:left="797"/>
        <w:spacing w:before="65" w:line="218" w:lineRule="auto"/>
        <w:rPr/>
      </w:pPr>
      <w:r>
        <w:rPr>
          <w:spacing w:val="9"/>
        </w:rPr>
        <w:t>上报市委、市政府</w:t>
      </w:r>
      <w:r>
        <w:rPr>
          <w:spacing w:val="3"/>
        </w:rPr>
        <w:t xml:space="preserve">              </w:t>
      </w:r>
      <w:r>
        <w:rPr>
          <w:spacing w:val="9"/>
        </w:rPr>
        <w:t>报市应急指挥部</w:t>
      </w:r>
    </w:p>
    <w:p>
      <w:pPr>
        <w:spacing w:line="343" w:lineRule="auto"/>
        <w:rPr>
          <w:rFonts w:ascii="Arial"/>
          <w:sz w:val="21"/>
        </w:rPr>
      </w:pPr>
      <w:r/>
    </w:p>
    <w:p>
      <w:pPr>
        <w:spacing w:line="344" w:lineRule="auto"/>
        <w:rPr>
          <w:rFonts w:ascii="Arial"/>
          <w:sz w:val="21"/>
        </w:rPr>
      </w:pPr>
      <w:r/>
    </w:p>
    <w:p>
      <w:pPr>
        <w:pStyle w:val="BodyText"/>
        <w:ind w:left="4034"/>
        <w:spacing w:before="65" w:line="219" w:lineRule="auto"/>
        <w:rPr/>
      </w:pPr>
      <w:r>
        <w:rPr>
          <w:spacing w:val="8"/>
        </w:rPr>
        <w:t>判断响应级别</w:t>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BodyText"/>
        <w:ind w:left="563" w:right="5880" w:hanging="396"/>
        <w:spacing w:before="65" w:line="223" w:lineRule="auto"/>
        <w:rPr/>
      </w:pPr>
      <w:r>
        <w:pict>
          <v:shape id="_x0000_s28" style="position:absolute;margin-left:172.125pt;margin-top:3.54093pt;mso-position-vertical-relative:text;mso-position-horizontal-relative:text;width:121.85pt;height:14pt;z-index:252337152;" filled="false" stroked="false" type="#_x0000_t202">
            <v:fill on="false"/>
            <v:stroke on="false"/>
            <v:path/>
            <v:imagedata o:title=""/>
            <o:lock v:ext="edit" aspectratio="false"/>
            <v:textbox inset="0mm,0mm,0mm,0mm">
              <w:txbxContent>
                <w:p>
                  <w:pPr>
                    <w:pStyle w:val="BodyText"/>
                    <w:ind w:left="20"/>
                    <w:spacing w:before="19" w:line="221" w:lineRule="auto"/>
                    <w:rPr/>
                  </w:pPr>
                  <w:r>
                    <w:rPr>
                      <w:spacing w:val="-1"/>
                    </w:rPr>
                    <w:t>Ⅲ级，成立市级现场指挥部</w:t>
                  </w:r>
                </w:p>
              </w:txbxContent>
            </v:textbox>
          </v:shape>
        </w:pict>
      </w:r>
      <w:r>
        <w:pict>
          <v:shape id="_x0000_s30" style="position:absolute;margin-left:317.961pt;margin-top:3.8588pt;mso-position-vertical-relative:text;mso-position-horizontal-relative:text;width:116.5pt;height:26.15pt;z-index:252336128;" filled="false" stroked="false" type="#_x0000_t202">
            <v:fill on="false"/>
            <v:stroke on="false"/>
            <v:path/>
            <v:imagedata o:title=""/>
            <o:lock v:ext="edit" aspectratio="false"/>
            <v:textbox inset="0mm,0mm,0mm,0mm">
              <w:txbxContent>
                <w:p>
                  <w:pPr>
                    <w:pStyle w:val="BodyText"/>
                    <w:ind w:left="630" w:right="20" w:hanging="611"/>
                    <w:spacing w:before="19" w:line="223" w:lineRule="auto"/>
                    <w:rPr/>
                  </w:pPr>
                  <w:r>
                    <w:rPr>
                      <w:spacing w:val="3"/>
                    </w:rPr>
                    <w:t>Ⅳ级，由事发地县（</w:t>
                  </w:r>
                  <w:r>
                    <w:rPr>
                      <w:spacing w:val="-45"/>
                    </w:rPr>
                    <w:t xml:space="preserve"> </w:t>
                  </w:r>
                  <w:r>
                    <w:rPr>
                      <w:spacing w:val="3"/>
                    </w:rPr>
                    <w:t>区）</w:t>
                  </w:r>
                  <w:r>
                    <w:rPr>
                      <w:spacing w:val="8"/>
                    </w:rPr>
                    <w:t>成立指挥部</w:t>
                  </w:r>
                </w:p>
              </w:txbxContent>
            </v:textbox>
          </v:shape>
        </w:pict>
      </w:r>
      <w:r>
        <w:rPr>
          <w:spacing w:val="-12"/>
        </w:rPr>
        <w:t>I、II</w:t>
      </w:r>
      <w:r>
        <w:rPr>
          <w:spacing w:val="-42"/>
        </w:rPr>
        <w:t xml:space="preserve"> </w:t>
      </w:r>
      <w:r>
        <w:rPr>
          <w:spacing w:val="-12"/>
        </w:rPr>
        <w:t>级，报告自治区党委、政府，</w:t>
      </w:r>
      <w:r>
        <w:rPr>
          <w:spacing w:val="9"/>
        </w:rPr>
        <w:t>成立自治区救援指挥部</w:t>
      </w:r>
    </w:p>
    <w:p>
      <w:pPr>
        <w:spacing w:line="249" w:lineRule="auto"/>
        <w:rPr>
          <w:rFonts w:ascii="Arial"/>
          <w:sz w:val="21"/>
        </w:rPr>
      </w:pPr>
      <w:r/>
    </w:p>
    <w:p>
      <w:pPr>
        <w:spacing w:line="250" w:lineRule="auto"/>
        <w:rPr>
          <w:rFonts w:ascii="Arial"/>
          <w:sz w:val="21"/>
        </w:rPr>
      </w:pPr>
      <w:r/>
    </w:p>
    <w:p>
      <w:pPr>
        <w:pStyle w:val="BodyText"/>
        <w:ind w:left="926"/>
        <w:spacing w:before="66" w:line="305" w:lineRule="exact"/>
        <w:rPr/>
      </w:pPr>
      <w:r>
        <w:rPr>
          <w:spacing w:val="7"/>
          <w:position w:val="3"/>
        </w:rPr>
        <w:t>启动自治区预案</w:t>
      </w:r>
      <w:r>
        <w:rPr>
          <w:spacing w:val="2"/>
          <w:position w:val="3"/>
        </w:rPr>
        <w:t xml:space="preserve">                </w:t>
      </w:r>
      <w:r>
        <w:rPr>
          <w:spacing w:val="7"/>
          <w:position w:val="1"/>
        </w:rPr>
        <w:t>启动市级预案</w:t>
      </w:r>
      <w:r>
        <w:rPr>
          <w:position w:val="1"/>
        </w:rPr>
        <w:t xml:space="preserve">             </w:t>
      </w:r>
      <w:r>
        <w:rPr>
          <w:spacing w:val="7"/>
        </w:rPr>
        <w:t>启动县（</w:t>
      </w:r>
      <w:r>
        <w:rPr>
          <w:spacing w:val="-42"/>
        </w:rPr>
        <w:t xml:space="preserve"> </w:t>
      </w:r>
      <w:r>
        <w:rPr>
          <w:spacing w:val="7"/>
        </w:rPr>
        <w:t>区）级预案</w:t>
      </w:r>
    </w:p>
    <w:p>
      <w:pPr>
        <w:spacing w:line="275" w:lineRule="auto"/>
        <w:rPr>
          <w:rFonts w:ascii="Arial"/>
          <w:sz w:val="21"/>
        </w:rPr>
      </w:pPr>
      <w:r/>
    </w:p>
    <w:p>
      <w:pPr>
        <w:spacing w:line="276" w:lineRule="auto"/>
        <w:rPr>
          <w:rFonts w:ascii="Arial"/>
          <w:sz w:val="21"/>
        </w:rPr>
      </w:pPr>
      <w:r/>
    </w:p>
    <w:p>
      <w:pPr>
        <w:pStyle w:val="BodyText"/>
        <w:ind w:left="5737"/>
        <w:spacing w:before="66" w:line="218" w:lineRule="auto"/>
        <w:rPr/>
      </w:pPr>
      <w:r>
        <w:rPr>
          <w:spacing w:val="8"/>
        </w:rPr>
        <w:t>应急处置</w:t>
      </w:r>
    </w:p>
    <w:p>
      <w:pPr>
        <w:spacing w:line="250" w:lineRule="auto"/>
        <w:rPr>
          <w:rFonts w:ascii="Arial"/>
          <w:sz w:val="21"/>
        </w:rPr>
      </w:pPr>
      <w:r/>
    </w:p>
    <w:p>
      <w:pPr>
        <w:spacing w:line="250" w:lineRule="auto"/>
        <w:rPr>
          <w:rFonts w:ascii="Arial"/>
          <w:sz w:val="21"/>
        </w:rPr>
      </w:pPr>
      <w:r>
        <w:drawing>
          <wp:anchor distT="0" distB="0" distL="0" distR="0" simplePos="0" relativeHeight="252333056" behindDoc="1" locked="0" layoutInCell="1" allowOverlap="1">
            <wp:simplePos x="0" y="0"/>
            <wp:positionH relativeFrom="column">
              <wp:posOffset>913434</wp:posOffset>
            </wp:positionH>
            <wp:positionV relativeFrom="paragraph">
              <wp:posOffset>49919</wp:posOffset>
            </wp:positionV>
            <wp:extent cx="4530750" cy="26035"/>
            <wp:effectExtent l="0" t="0" r="0" b="0"/>
            <wp:wrapNone/>
            <wp:docPr id="1478" name="IM 1478"/>
            <wp:cNvGraphicFramePr/>
            <a:graphic>
              <a:graphicData uri="http://schemas.openxmlformats.org/drawingml/2006/picture">
                <pic:pic>
                  <pic:nvPicPr>
                    <pic:cNvPr id="1478" name="IM 1478"/>
                    <pic:cNvPicPr/>
                  </pic:nvPicPr>
                  <pic:blipFill>
                    <a:blip r:embed="rId741"/>
                    <a:stretch>
                      <a:fillRect/>
                    </a:stretch>
                  </pic:blipFill>
                  <pic:spPr>
                    <a:xfrm rot="0">
                      <a:off x="0" y="0"/>
                      <a:ext cx="4530750" cy="26035"/>
                    </a:xfrm>
                    <a:prstGeom prst="rect">
                      <a:avLst/>
                    </a:prstGeom>
                  </pic:spPr>
                </pic:pic>
              </a:graphicData>
            </a:graphic>
          </wp:anchor>
        </w:drawing>
      </w:r>
      <w:r/>
    </w:p>
    <w:p>
      <w:pPr>
        <w:spacing w:line="250" w:lineRule="auto"/>
        <w:rPr>
          <w:rFonts w:ascii="Arial"/>
          <w:sz w:val="21"/>
        </w:rPr>
      </w:pPr>
      <w:r/>
    </w:p>
    <w:p>
      <w:pPr>
        <w:pStyle w:val="BodyText"/>
        <w:ind w:left="3950"/>
        <w:spacing w:before="65" w:line="221" w:lineRule="auto"/>
        <w:rPr/>
      </w:pPr>
      <w:r>
        <w:pict>
          <v:shape id="_x0000_s32" style="position:absolute;margin-left:412.864pt;margin-top:-0.936407pt;mso-position-vertical-relative:text;mso-position-horizontal-relative:text;width:22.7pt;height:38.1pt;z-index:252340224;" filled="false" stroked="false" type="#_x0000_t202">
            <v:fill on="false"/>
            <v:stroke on="false"/>
            <v:path/>
            <v:imagedata o:title=""/>
            <o:lock v:ext="edit" aspectratio="false"/>
            <v:textbox inset="0mm,0mm,0mm,0mm">
              <w:txbxContent>
                <w:p>
                  <w:pPr>
                    <w:pStyle w:val="BodyText"/>
                    <w:ind w:left="20"/>
                    <w:spacing w:before="19" w:line="221" w:lineRule="auto"/>
                    <w:rPr/>
                  </w:pPr>
                  <w:r>
                    <w:rPr>
                      <w:spacing w:val="6"/>
                    </w:rPr>
                    <w:t>善后</w:t>
                  </w:r>
                </w:p>
                <w:p>
                  <w:pPr>
                    <w:pStyle w:val="BodyText"/>
                    <w:ind w:left="20"/>
                    <w:spacing w:before="4" w:line="216" w:lineRule="auto"/>
                    <w:rPr/>
                  </w:pPr>
                  <w:r>
                    <w:rPr>
                      <w:spacing w:val="6"/>
                    </w:rPr>
                    <w:t>处理</w:t>
                  </w:r>
                </w:p>
                <w:p>
                  <w:pPr>
                    <w:pStyle w:val="BodyText"/>
                    <w:ind w:left="125"/>
                    <w:spacing w:before="10" w:line="215" w:lineRule="auto"/>
                    <w:rPr/>
                  </w:pPr>
                  <w:r>
                    <w:rPr>
                      <w:spacing w:val="4"/>
                    </w:rPr>
                    <w:t>组</w:t>
                  </w:r>
                </w:p>
              </w:txbxContent>
            </v:textbox>
          </v:shape>
        </w:pict>
      </w:r>
      <w:r>
        <w:pict>
          <v:shape id="_x0000_s34" style="position:absolute;margin-left:342.459pt;margin-top:0.029047pt;mso-position-vertical-relative:text;mso-position-horizontal-relative:text;width:22.8pt;height:37.95pt;z-index:252339200;" filled="false" stroked="false" type="#_x0000_t202">
            <v:fill on="false"/>
            <v:stroke on="false"/>
            <v:path/>
            <v:imagedata o:title=""/>
            <o:lock v:ext="edit" aspectratio="false"/>
            <v:textbox inset="0mm,0mm,0mm,0mm">
              <w:txbxContent>
                <w:p>
                  <w:pPr>
                    <w:pStyle w:val="BodyText"/>
                    <w:ind w:left="20"/>
                    <w:spacing w:before="20" w:line="215" w:lineRule="auto"/>
                    <w:rPr/>
                  </w:pPr>
                  <w:r>
                    <w:rPr>
                      <w:spacing w:val="7"/>
                    </w:rPr>
                    <w:t>新闻</w:t>
                  </w:r>
                </w:p>
                <w:p>
                  <w:pPr>
                    <w:pStyle w:val="BodyText"/>
                    <w:ind w:left="20"/>
                    <w:spacing w:before="2" w:line="222" w:lineRule="auto"/>
                    <w:rPr/>
                  </w:pPr>
                  <w:r>
                    <w:rPr>
                      <w:spacing w:val="7"/>
                    </w:rPr>
                    <w:t>传播</w:t>
                  </w:r>
                </w:p>
                <w:p>
                  <w:pPr>
                    <w:pStyle w:val="BodyText"/>
                    <w:ind w:left="127"/>
                    <w:spacing w:before="9" w:line="215" w:lineRule="auto"/>
                    <w:rPr/>
                  </w:pPr>
                  <w:r>
                    <w:rPr>
                      <w:spacing w:val="4"/>
                    </w:rPr>
                    <w:t>组</w:t>
                  </w:r>
                </w:p>
              </w:txbxContent>
            </v:textbox>
          </v:shape>
        </w:pict>
      </w:r>
      <w:r>
        <w:pict>
          <v:shape id="_x0000_s36" style="position:absolute;margin-left:268.78pt;margin-top:2.42358pt;mso-position-vertical-relative:text;mso-position-horizontal-relative:text;width:22.8pt;height:38.1pt;z-index:252338176;" filled="false" stroked="false" type="#_x0000_t202">
            <v:fill on="false"/>
            <v:stroke on="false"/>
            <v:path/>
            <v:imagedata o:title=""/>
            <o:lock v:ext="edit" aspectratio="false"/>
            <v:textbox inset="0mm,0mm,0mm,0mm">
              <w:txbxContent>
                <w:p>
                  <w:pPr>
                    <w:pStyle w:val="BodyText"/>
                    <w:ind w:left="20"/>
                    <w:spacing w:before="20" w:line="220" w:lineRule="auto"/>
                    <w:rPr/>
                  </w:pPr>
                  <w:r>
                    <w:rPr>
                      <w:spacing w:val="7"/>
                    </w:rPr>
                    <w:t>抢险</w:t>
                  </w:r>
                </w:p>
                <w:p>
                  <w:pPr>
                    <w:pStyle w:val="BodyText"/>
                    <w:ind w:left="21"/>
                    <w:spacing w:before="1" w:line="219" w:lineRule="auto"/>
                    <w:rPr/>
                  </w:pPr>
                  <w:r>
                    <w:rPr>
                      <w:spacing w:val="6"/>
                    </w:rPr>
                    <w:t>救援</w:t>
                  </w:r>
                </w:p>
                <w:p>
                  <w:pPr>
                    <w:pStyle w:val="BodyText"/>
                    <w:ind w:left="124"/>
                    <w:spacing w:before="11" w:line="215" w:lineRule="auto"/>
                    <w:rPr/>
                  </w:pPr>
                  <w:r>
                    <w:rPr>
                      <w:spacing w:val="4"/>
                    </w:rPr>
                    <w:t>组</w:t>
                  </w:r>
                </w:p>
              </w:txbxContent>
            </v:textbox>
          </v:shape>
        </w:pict>
      </w:r>
      <w:r>
        <w:pict>
          <v:shape id="_x0000_s38" style="position:absolute;margin-left:127.624pt;margin-top:2.58538pt;mso-position-vertical-relative:text;mso-position-horizontal-relative:text;width:22.7pt;height:38.05pt;z-index:252341248;" filled="false" stroked="false" type="#_x0000_t202">
            <v:fill on="false"/>
            <v:stroke on="false"/>
            <v:path/>
            <v:imagedata o:title=""/>
            <o:lock v:ext="edit" aspectratio="false"/>
            <v:textbox inset="0mm,0mm,0mm,0mm">
              <w:txbxContent>
                <w:p>
                  <w:pPr>
                    <w:pStyle w:val="BodyText"/>
                    <w:ind w:left="32"/>
                    <w:spacing w:before="19" w:line="219" w:lineRule="auto"/>
                    <w:rPr/>
                  </w:pPr>
                  <w:r>
                    <w:rPr/>
                    <w:t>医疗</w:t>
                  </w:r>
                </w:p>
                <w:p>
                  <w:pPr>
                    <w:pStyle w:val="BodyText"/>
                    <w:ind w:left="20"/>
                    <w:spacing w:before="2" w:line="220" w:lineRule="auto"/>
                    <w:rPr/>
                  </w:pPr>
                  <w:r>
                    <w:rPr>
                      <w:spacing w:val="6"/>
                    </w:rPr>
                    <w:t>救治</w:t>
                  </w:r>
                </w:p>
                <w:p>
                  <w:pPr>
                    <w:pStyle w:val="BodyText"/>
                    <w:ind w:left="123"/>
                    <w:spacing w:before="9" w:line="215" w:lineRule="auto"/>
                    <w:rPr/>
                  </w:pPr>
                  <w:r>
                    <w:rPr>
                      <w:spacing w:val="4"/>
                    </w:rPr>
                    <w:t>组</w:t>
                  </w:r>
                </w:p>
              </w:txbxContent>
            </v:textbox>
          </v:shape>
        </w:pict>
      </w:r>
      <w:r>
        <w:pict>
          <v:shape id="_x0000_s40" style="position:absolute;margin-left:60.9822pt;margin-top:2.9811pt;mso-position-vertical-relative:text;mso-position-horizontal-relative:text;width:22.75pt;height:37.9pt;z-index:252342272;" filled="false" stroked="false" type="#_x0000_t202">
            <v:fill on="false"/>
            <v:stroke on="false"/>
            <v:path/>
            <v:imagedata o:title=""/>
            <o:lock v:ext="edit" aspectratio="false"/>
            <v:textbox inset="0mm,0mm,0mm,0mm">
              <w:txbxContent>
                <w:p>
                  <w:pPr>
                    <w:pStyle w:val="BodyText"/>
                    <w:ind w:left="20"/>
                    <w:spacing w:before="19" w:line="213" w:lineRule="auto"/>
                    <w:rPr/>
                  </w:pPr>
                  <w:r>
                    <w:rPr>
                      <w:spacing w:val="7"/>
                    </w:rPr>
                    <w:t>监测</w:t>
                  </w:r>
                </w:p>
                <w:p>
                  <w:pPr>
                    <w:pStyle w:val="BodyText"/>
                    <w:ind w:left="24"/>
                    <w:spacing w:before="5" w:line="221" w:lineRule="auto"/>
                    <w:rPr/>
                  </w:pPr>
                  <w:r>
                    <w:rPr>
                      <w:spacing w:val="4"/>
                    </w:rPr>
                    <w:t>预警</w:t>
                  </w:r>
                </w:p>
                <w:p>
                  <w:pPr>
                    <w:pStyle w:val="BodyText"/>
                    <w:ind w:left="124"/>
                    <w:spacing w:before="9" w:line="215" w:lineRule="auto"/>
                    <w:rPr/>
                  </w:pPr>
                  <w:r>
                    <w:rPr>
                      <w:spacing w:val="4"/>
                    </w:rPr>
                    <w:t>组</w:t>
                  </w:r>
                </w:p>
              </w:txbxContent>
            </v:textbox>
          </v:shape>
        </w:pict>
      </w:r>
      <w:r>
        <w:rPr>
          <w:spacing w:val="4"/>
        </w:rPr>
        <w:t>资金</w:t>
      </w:r>
    </w:p>
    <w:p>
      <w:pPr>
        <w:pStyle w:val="BodyText"/>
        <w:ind w:left="3943"/>
        <w:spacing w:before="1" w:line="221" w:lineRule="auto"/>
        <w:rPr/>
      </w:pPr>
      <w:r>
        <w:rPr>
          <w:spacing w:val="7"/>
        </w:rPr>
        <w:t>保障</w:t>
      </w:r>
    </w:p>
    <w:p>
      <w:pPr>
        <w:pStyle w:val="BodyText"/>
        <w:ind w:left="4050"/>
        <w:spacing w:before="10" w:line="215" w:lineRule="auto"/>
        <w:rPr/>
      </w:pPr>
      <w:r>
        <w:rPr>
          <w:spacing w:val="4"/>
        </w:rPr>
        <w:t>组</w:t>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drawing>
          <wp:anchor distT="0" distB="0" distL="0" distR="0" simplePos="0" relativeHeight="252334080" behindDoc="1" locked="0" layoutInCell="1" allowOverlap="1">
            <wp:simplePos x="0" y="0"/>
            <wp:positionH relativeFrom="column">
              <wp:posOffset>913447</wp:posOffset>
            </wp:positionH>
            <wp:positionV relativeFrom="paragraph">
              <wp:posOffset>54162</wp:posOffset>
            </wp:positionV>
            <wp:extent cx="4476127" cy="15240"/>
            <wp:effectExtent l="0" t="0" r="0" b="0"/>
            <wp:wrapNone/>
            <wp:docPr id="1480" name="IM 1480"/>
            <wp:cNvGraphicFramePr/>
            <a:graphic>
              <a:graphicData uri="http://schemas.openxmlformats.org/drawingml/2006/picture">
                <pic:pic>
                  <pic:nvPicPr>
                    <pic:cNvPr id="1480" name="IM 1480"/>
                    <pic:cNvPicPr/>
                  </pic:nvPicPr>
                  <pic:blipFill>
                    <a:blip r:embed="rId742"/>
                    <a:stretch>
                      <a:fillRect/>
                    </a:stretch>
                  </pic:blipFill>
                  <pic:spPr>
                    <a:xfrm rot="0">
                      <a:off x="0" y="0"/>
                      <a:ext cx="4476127" cy="15240"/>
                    </a:xfrm>
                    <a:prstGeom prst="rect">
                      <a:avLst/>
                    </a:prstGeom>
                  </pic:spPr>
                </pic:pic>
              </a:graphicData>
            </a:graphic>
          </wp:anchor>
        </w:drawing>
      </w:r>
      <w:r/>
    </w:p>
    <w:p>
      <w:pPr>
        <w:spacing w:line="243" w:lineRule="auto"/>
        <w:rPr>
          <w:rFonts w:ascii="Arial"/>
          <w:sz w:val="21"/>
        </w:rPr>
      </w:pPr>
      <w:r>
        <w:pict>
          <v:shape id="_x0000_s42" style="position:absolute;margin-left:64.4822pt;margin-top:11.0128pt;mso-position-vertical-relative:text;mso-position-horizontal-relative:text;width:14.45pt;height:47.95pt;z-index:252343296;" filled="false" stroked="false" type="#_x0000_t202">
            <v:fill on="false"/>
            <v:stroke on="false"/>
            <v:path/>
            <v:imagedata o:title=""/>
            <o:lock v:ext="edit" aspectratio="false"/>
            <v:textbox inset="0mm,0mm,0mm,0mm" style="layout-flow:vertical-ideographic;">
              <w:txbxContent>
                <w:p>
                  <w:pPr>
                    <w:pStyle w:val="BodyText"/>
                    <w:ind w:left="20"/>
                    <w:spacing w:before="19" w:line="223" w:lineRule="auto"/>
                    <w:rPr/>
                  </w:pPr>
                  <w:r>
                    <w:rPr>
                      <w:spacing w:val="31"/>
                    </w:rPr>
                    <w:t>请求支援</w:t>
                  </w:r>
                </w:p>
              </w:txbxContent>
            </v:textbox>
          </v:shape>
        </w:pict>
      </w:r>
      <w:r>
        <w:pict>
          <v:shape id="_x0000_s44" style="position:absolute;margin-left:119.448pt;margin-top:12.1087pt;mso-position-vertical-relative:text;mso-position-horizontal-relative:text;width:14.3pt;height:47.85pt;z-index:252344320;" filled="false" stroked="false" type="#_x0000_t202">
            <v:fill on="false"/>
            <v:stroke on="false"/>
            <v:path/>
            <v:imagedata o:title=""/>
            <o:lock v:ext="edit" aspectratio="false"/>
            <v:textbox inset="0mm,0mm,0mm,0mm" style="layout-flow:vertical-ideographic;">
              <w:txbxContent>
                <w:p>
                  <w:pPr>
                    <w:pStyle w:val="BodyText"/>
                    <w:ind w:left="20"/>
                    <w:spacing w:before="19" w:line="221" w:lineRule="auto"/>
                    <w:rPr/>
                  </w:pPr>
                  <w:r>
                    <w:rPr>
                      <w:spacing w:val="30"/>
                    </w:rPr>
                    <w:t>扩大应急</w:t>
                  </w:r>
                </w:p>
              </w:txbxContent>
            </v:textbox>
          </v:shape>
        </w:pict>
      </w:r>
      <w:r/>
    </w:p>
    <w:p>
      <w:pPr>
        <w:spacing w:line="243" w:lineRule="auto"/>
        <w:rPr>
          <w:rFonts w:ascii="Arial"/>
          <w:sz w:val="21"/>
        </w:rPr>
      </w:pPr>
      <w:r/>
    </w:p>
    <w:p>
      <w:pPr>
        <w:pStyle w:val="BodyText"/>
        <w:ind w:left="4483" w:right="3894" w:hanging="420"/>
        <w:spacing w:before="65" w:line="225" w:lineRule="auto"/>
        <w:rPr/>
      </w:pPr>
      <w:r>
        <w:pict>
          <v:shape id="_x0000_s46" style="position:absolute;margin-left:153.898pt;margin-top:-1.48921pt;mso-position-vertical-relative:text;mso-position-horizontal-relative:text;width:12.15pt;height:13.15pt;z-index:252346368;" filled="false" stroked="false" type="#_x0000_t202">
            <v:fill on="false"/>
            <v:stroke on="false"/>
            <v:path/>
            <v:imagedata o:title=""/>
            <o:lock v:ext="edit" aspectratio="false"/>
            <v:textbox inset="0mm,0mm,0mm,0mm">
              <w:txbxContent>
                <w:p>
                  <w:pPr>
                    <w:pStyle w:val="BodyText"/>
                    <w:ind w:left="20"/>
                    <w:spacing w:before="20" w:line="205" w:lineRule="auto"/>
                    <w:rPr/>
                  </w:pPr>
                  <w:r>
                    <w:rPr>
                      <w:spacing w:val="2"/>
                    </w:rPr>
                    <w:t>否</w:t>
                  </w:r>
                </w:p>
              </w:txbxContent>
            </v:textbox>
          </v:shape>
        </w:pict>
      </w:r>
      <w:r>
        <w:rPr>
          <w:spacing w:val="8"/>
        </w:rPr>
        <w:t>事态是否控</w:t>
      </w:r>
      <w:r>
        <w:rPr>
          <w:spacing w:val="4"/>
        </w:rPr>
        <w:t>制</w:t>
      </w:r>
    </w:p>
    <w:p>
      <w:pPr>
        <w:spacing w:line="345" w:lineRule="auto"/>
        <w:rPr>
          <w:rFonts w:ascii="Arial"/>
          <w:sz w:val="21"/>
        </w:rPr>
      </w:pPr>
      <w:r/>
    </w:p>
    <w:p>
      <w:pPr>
        <w:pStyle w:val="BodyText"/>
        <w:ind w:left="4174" w:right="3849" w:firstLine="773"/>
        <w:spacing w:before="66" w:line="384" w:lineRule="auto"/>
        <w:rPr/>
      </w:pPr>
      <w:r>
        <w:rPr>
          <w:spacing w:val="4"/>
        </w:rPr>
        <w:t>是</w:t>
      </w:r>
      <w:r>
        <w:rPr>
          <w:spacing w:val="8"/>
        </w:rPr>
        <w:t>应急恢复</w:t>
      </w:r>
    </w:p>
    <w:p>
      <w:pPr>
        <w:spacing w:line="261" w:lineRule="auto"/>
        <w:rPr>
          <w:rFonts w:ascii="Arial"/>
          <w:sz w:val="21"/>
        </w:rPr>
      </w:pPr>
      <w:r/>
    </w:p>
    <w:p>
      <w:pPr>
        <w:pStyle w:val="BodyText"/>
        <w:ind w:left="4174"/>
        <w:spacing w:before="65" w:line="222" w:lineRule="auto"/>
        <w:rPr/>
      </w:pPr>
      <w:r>
        <w:rPr>
          <w:spacing w:val="8"/>
        </w:rPr>
        <w:t>应急结束</w:t>
      </w:r>
    </w:p>
    <w:p>
      <w:pPr>
        <w:spacing w:line="222" w:lineRule="auto"/>
        <w:sectPr>
          <w:headerReference w:type="default" r:id="rId737"/>
          <w:footerReference w:type="default" r:id="rId738"/>
          <w:pgSz w:w="11906" w:h="16839"/>
          <w:pgMar w:top="1766" w:right="1530" w:bottom="1551" w:left="1372" w:header="1428" w:footer="1172" w:gutter="0"/>
        </w:sectPr>
        <w:rPr/>
      </w:pPr>
    </w:p>
    <w:p>
      <w:pPr>
        <w:spacing w:line="296" w:lineRule="auto"/>
        <w:rPr>
          <w:rFonts w:ascii="Arial"/>
          <w:sz w:val="21"/>
        </w:rPr>
      </w:pPr>
      <w:r>
        <w:drawing>
          <wp:anchor distT="0" distB="0" distL="0" distR="0" simplePos="0" relativeHeight="252347392" behindDoc="0" locked="0" layoutInCell="1" allowOverlap="1">
            <wp:simplePos x="0" y="0"/>
            <wp:positionH relativeFrom="column">
              <wp:posOffset>13334</wp:posOffset>
            </wp:positionH>
            <wp:positionV relativeFrom="paragraph">
              <wp:posOffset>26109</wp:posOffset>
            </wp:positionV>
            <wp:extent cx="5579745" cy="7619"/>
            <wp:effectExtent l="0" t="0" r="0" b="0"/>
            <wp:wrapNone/>
            <wp:docPr id="1486" name="IM 1486"/>
            <wp:cNvGraphicFramePr/>
            <a:graphic>
              <a:graphicData uri="http://schemas.openxmlformats.org/drawingml/2006/picture">
                <pic:pic>
                  <pic:nvPicPr>
                    <pic:cNvPr id="1486" name="IM 1486"/>
                    <pic:cNvPicPr/>
                  </pic:nvPicPr>
                  <pic:blipFill>
                    <a:blip r:embed="rId745"/>
                    <a:stretch>
                      <a:fillRect/>
                    </a:stretch>
                  </pic:blipFill>
                  <pic:spPr>
                    <a:xfrm rot="0">
                      <a:off x="0" y="0"/>
                      <a:ext cx="5579745" cy="7619"/>
                    </a:xfrm>
                    <a:prstGeom prst="rect">
                      <a:avLst/>
                    </a:prstGeom>
                  </pic:spPr>
                </pic:pic>
              </a:graphicData>
            </a:graphic>
          </wp:anchor>
        </w:drawing>
      </w:r>
      <w:r/>
    </w:p>
    <w:p>
      <w:pPr>
        <w:spacing w:line="296" w:lineRule="auto"/>
        <w:rPr>
          <w:rFonts w:ascii="Arial"/>
          <w:sz w:val="21"/>
        </w:rPr>
      </w:pPr>
      <w:r/>
    </w:p>
    <w:p>
      <w:pPr>
        <w:ind w:left="2433"/>
        <w:spacing w:before="185" w:line="185"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6"/>
        </w:rPr>
        <w:t>固原市地震应急预案</w:t>
      </w:r>
    </w:p>
    <w:p>
      <w:pPr>
        <w:spacing w:before="38"/>
        <w:rPr/>
      </w:pPr>
      <w:r/>
    </w:p>
    <w:p>
      <w:pPr>
        <w:spacing w:before="37"/>
        <w:rPr/>
      </w:pPr>
      <w:r/>
    </w:p>
    <w:p>
      <w:pPr>
        <w:sectPr>
          <w:headerReference w:type="default" r:id="rId743"/>
          <w:footerReference w:type="default" r:id="rId744"/>
          <w:pgSz w:w="11906" w:h="16839"/>
          <w:pgMar w:top="1828" w:right="1489" w:bottom="1556" w:left="1567" w:header="1428" w:footer="1172" w:gutter="0"/>
          <w:cols w:equalWidth="0" w:num="1">
            <w:col w:w="8850" w:space="0"/>
          </w:cols>
        </w:sectPr>
        <w:rPr/>
      </w:pPr>
    </w:p>
    <w:p>
      <w:pPr>
        <w:ind w:left="462"/>
        <w:spacing w:before="48"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1</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7"/>
        </w:rPr>
        <w:t>总则</w:t>
      </w:r>
    </w:p>
    <w:p>
      <w:pPr>
        <w:pStyle w:val="BodyText"/>
        <w:ind w:left="25" w:right="327" w:firstLine="441"/>
        <w:spacing w:before="83" w:line="345" w:lineRule="auto"/>
        <w:rPr/>
      </w:pPr>
      <w:r>
        <w:rPr>
          <w:rFonts w:ascii="Times New Roman" w:hAnsi="Times New Roman" w:eastAsia="Times New Roman" w:cs="Times New Roman"/>
          <w:spacing w:val="3"/>
        </w:rPr>
        <w:t>1.</w:t>
      </w:r>
      <w:r>
        <w:rPr>
          <w:rFonts w:ascii="Times New Roman" w:hAnsi="Times New Roman" w:eastAsia="Times New Roman" w:cs="Times New Roman"/>
          <w:spacing w:val="-9"/>
        </w:rPr>
        <w:t xml:space="preserve"> </w:t>
      </w:r>
      <w:r>
        <w:rPr>
          <w:rFonts w:ascii="Times New Roman" w:hAnsi="Times New Roman" w:eastAsia="Times New Roman" w:cs="Times New Roman"/>
          <w:spacing w:val="3"/>
        </w:rPr>
        <w:t>1  </w:t>
      </w:r>
      <w:r>
        <w:rPr>
          <w:rFonts w:ascii="KaiTi" w:hAnsi="KaiTi" w:eastAsia="KaiTi" w:cs="KaiTi"/>
          <w:spacing w:val="3"/>
        </w:rPr>
        <w:t>编制</w:t>
      </w:r>
      <w:r>
        <w:rPr>
          <w:rFonts w:ascii="KaiTi" w:hAnsi="KaiTi" w:eastAsia="KaiTi" w:cs="KaiTi"/>
          <w:spacing w:val="-50"/>
        </w:rPr>
        <w:t xml:space="preserve"> </w:t>
      </w:r>
      <w:r>
        <w:rPr>
          <w:rFonts w:ascii="KaiTi" w:hAnsi="KaiTi" w:eastAsia="KaiTi" w:cs="KaiTi"/>
          <w:spacing w:val="3"/>
        </w:rPr>
        <w:t>目的。</w:t>
      </w:r>
      <w:r>
        <w:rPr>
          <w:spacing w:val="3"/>
        </w:rPr>
        <w:t>为深入贯彻习近平新时代</w:t>
      </w:r>
      <w:r>
        <w:rPr>
          <w:spacing w:val="7"/>
        </w:rPr>
        <w:t>中国特色社会主义思想和党的十九大精神，全</w:t>
      </w:r>
      <w:r>
        <w:rPr>
          <w:spacing w:val="18"/>
        </w:rPr>
        <w:t>面落实习近平总书记关于防灾减灾救灾和提</w:t>
      </w:r>
      <w:r>
        <w:rPr>
          <w:spacing w:val="7"/>
        </w:rPr>
        <w:t>高自然灾害防治能力重要论述精神，建立健全</w:t>
      </w:r>
      <w:r>
        <w:rPr>
          <w:spacing w:val="7"/>
        </w:rPr>
        <w:t>地震应急体制机制，强化救援力量的统筹使用</w:t>
      </w:r>
      <w:r>
        <w:rPr>
          <w:spacing w:val="7"/>
        </w:rPr>
        <w:t>和调配，科学依法统一、有力有序有效地实施</w:t>
      </w:r>
      <w:r>
        <w:rPr>
          <w:spacing w:val="7"/>
        </w:rPr>
        <w:t>地震应急，最大限度地减少人员伤亡、减轻经</w:t>
      </w:r>
      <w:r>
        <w:rPr>
          <w:spacing w:val="7"/>
        </w:rPr>
        <w:t>济损失和社会影响，维护社会正常秩序，制订</w:t>
      </w:r>
      <w:r>
        <w:rPr>
          <w:spacing w:val="6"/>
        </w:rPr>
        <w:t>本预案。</w:t>
      </w:r>
    </w:p>
    <w:p>
      <w:pPr>
        <w:pStyle w:val="BodyText"/>
        <w:ind w:left="9" w:right="267" w:firstLine="457"/>
        <w:spacing w:before="151" w:line="345" w:lineRule="auto"/>
        <w:rPr/>
      </w:pPr>
      <w:r>
        <w:rPr>
          <w:rFonts w:ascii="Times New Roman" w:hAnsi="Times New Roman" w:eastAsia="Times New Roman" w:cs="Times New Roman"/>
          <w:spacing w:val="7"/>
        </w:rPr>
        <w:t>1.2  </w:t>
      </w:r>
      <w:r>
        <w:rPr>
          <w:rFonts w:ascii="KaiTi" w:hAnsi="KaiTi" w:eastAsia="KaiTi" w:cs="KaiTi"/>
          <w:spacing w:val="7"/>
        </w:rPr>
        <w:t>编制依据。</w:t>
      </w:r>
      <w:r>
        <w:rPr>
          <w:spacing w:val="7"/>
        </w:rPr>
        <w:t>《中华人民共和国突发事</w:t>
      </w:r>
      <w:r>
        <w:rPr>
          <w:spacing w:val="-2"/>
        </w:rPr>
        <w:t>件应对法》《中华人民共和国防震减灾法》《国</w:t>
      </w:r>
      <w:r>
        <w:rPr>
          <w:spacing w:val="8"/>
        </w:rPr>
        <w:t>家地震应急预案》《宁夏回族自治区突发事件</w:t>
      </w:r>
      <w:r>
        <w:rPr>
          <w:spacing w:val="11"/>
        </w:rPr>
        <w:t>应对条例》《宁夏回族自治区防震减灾条例》</w:t>
      </w:r>
      <w:r>
        <w:rPr>
          <w:spacing w:val="2"/>
        </w:rPr>
        <w:t xml:space="preserve"> </w:t>
      </w:r>
      <w:r>
        <w:rPr>
          <w:spacing w:val="8"/>
        </w:rPr>
        <w:t>《宁夏回族自治区地震事件应急预案》《固原</w:t>
      </w:r>
      <w:r>
        <w:rPr>
          <w:spacing w:val="8"/>
        </w:rPr>
        <w:t>市防灾减灾救灾责任规定》《固原市突发事件</w:t>
      </w:r>
      <w:r>
        <w:rPr>
          <w:spacing w:val="10"/>
        </w:rPr>
        <w:t>总体应急预案》等。</w:t>
      </w:r>
    </w:p>
    <w:p>
      <w:pPr>
        <w:pStyle w:val="BodyText"/>
        <w:ind w:left="25" w:right="327" w:firstLine="440"/>
        <w:spacing w:before="117" w:line="325" w:lineRule="auto"/>
        <w:rPr/>
      </w:pPr>
      <w:r>
        <w:rPr>
          <w:rFonts w:ascii="Times New Roman" w:hAnsi="Times New Roman" w:eastAsia="Times New Roman" w:cs="Times New Roman"/>
          <w:spacing w:val="7"/>
        </w:rPr>
        <w:t>1.3  </w:t>
      </w:r>
      <w:r>
        <w:rPr>
          <w:rFonts w:ascii="KaiTi" w:hAnsi="KaiTi" w:eastAsia="KaiTi" w:cs="KaiTi"/>
          <w:spacing w:val="7"/>
        </w:rPr>
        <w:t>适用范围。</w:t>
      </w:r>
      <w:r>
        <w:rPr>
          <w:spacing w:val="7"/>
        </w:rPr>
        <w:t>本预案适用于固原境内发</w:t>
      </w:r>
      <w:r>
        <w:rPr>
          <w:spacing w:val="7"/>
        </w:rPr>
        <w:t>生的地震灾害事件、强有感地震事件、地震传</w:t>
      </w:r>
      <w:r>
        <w:rPr>
          <w:spacing w:val="7"/>
        </w:rPr>
        <w:t>言事件，以及毗邻地区发生地震，对固原境内</w:t>
      </w:r>
      <w:r>
        <w:rPr>
          <w:spacing w:val="9"/>
        </w:rPr>
        <w:t>造成一定影响的地震事件的应急处置工作。</w:t>
      </w:r>
    </w:p>
    <w:p>
      <w:pPr>
        <w:pStyle w:val="BodyText"/>
        <w:ind w:left="25" w:right="244" w:firstLine="441"/>
        <w:spacing w:before="146" w:line="339" w:lineRule="auto"/>
        <w:rPr/>
      </w:pPr>
      <w:r>
        <w:rPr>
          <w:rFonts w:ascii="Times New Roman" w:hAnsi="Times New Roman" w:eastAsia="Times New Roman" w:cs="Times New Roman"/>
          <w:spacing w:val="7"/>
        </w:rPr>
        <w:t>1.4  </w:t>
      </w:r>
      <w:r>
        <w:rPr>
          <w:rFonts w:ascii="KaiTi" w:hAnsi="KaiTi" w:eastAsia="KaiTi" w:cs="KaiTi"/>
          <w:spacing w:val="7"/>
        </w:rPr>
        <w:t>工作原则。</w:t>
      </w:r>
      <w:r>
        <w:rPr>
          <w:spacing w:val="7"/>
        </w:rPr>
        <w:t>抗震救灾工作坚持统一领</w:t>
      </w:r>
      <w:r>
        <w:rPr>
          <w:spacing w:val="7"/>
        </w:rPr>
        <w:t>导、军地联动，分级负责、属地为主，资源共</w:t>
      </w:r>
      <w:r>
        <w:rPr>
          <w:spacing w:val="7"/>
        </w:rPr>
        <w:t>享、快速反应的工作原则。本预案印发后，即</w:t>
      </w:r>
      <w:r>
        <w:rPr>
          <w:spacing w:val="7"/>
        </w:rPr>
        <w:t>已启动实施，相关的指挥机构、组织体系即已</w:t>
      </w:r>
      <w:r>
        <w:rPr>
          <w:spacing w:val="7"/>
        </w:rPr>
        <w:t>建立（发生工作和人员等变动的，继任人员自</w:t>
      </w:r>
      <w:r>
        <w:rPr>
          <w:spacing w:val="1"/>
        </w:rPr>
        <w:t>动充任）。地震灾害发生后，各县（区）政府、</w:t>
      </w:r>
      <w:r>
        <w:rPr>
          <w:spacing w:val="7"/>
        </w:rPr>
        <w:t>市直有关部门（单位）应根据本预案要求，在</w:t>
      </w:r>
      <w:r>
        <w:rPr>
          <w:spacing w:val="7"/>
        </w:rPr>
        <w:t>市抗震救灾指挥部的统一指挥下，调动各方力</w:t>
      </w:r>
    </w:p>
    <w:p>
      <w:pPr>
        <w:spacing w:line="14" w:lineRule="auto"/>
        <w:rPr>
          <w:rFonts w:ascii="Arial"/>
          <w:sz w:val="2"/>
        </w:rPr>
      </w:pPr>
      <w:r>
        <w:rPr>
          <w:rFonts w:ascii="Arial" w:hAnsi="Arial" w:eastAsia="Arial" w:cs="Arial"/>
          <w:sz w:val="2"/>
          <w:szCs w:val="2"/>
        </w:rPr>
        <w:br w:type="column"/>
      </w:r>
    </w:p>
    <w:p>
      <w:pPr>
        <w:pStyle w:val="BodyText"/>
        <w:ind w:left="3" w:right="78"/>
        <w:spacing w:before="61" w:line="358" w:lineRule="auto"/>
        <w:jc w:val="both"/>
        <w:rPr/>
      </w:pPr>
      <w:r>
        <w:rPr>
          <w:spacing w:val="7"/>
        </w:rPr>
        <w:t>量，迅速处置本辖区内地震灾害事件。市政府</w:t>
      </w:r>
      <w:r>
        <w:rPr>
          <w:spacing w:val="7"/>
        </w:rPr>
        <w:t>是应对辖区内特别重大、重大地震灾害的先期</w:t>
      </w:r>
      <w:r>
        <w:rPr>
          <w:spacing w:val="8"/>
        </w:rPr>
        <w:t>处置主体和应对辖区内较大地震灾害的主体，</w:t>
      </w:r>
      <w:r>
        <w:rPr>
          <w:spacing w:val="5"/>
        </w:rPr>
        <w:t>县（</w:t>
      </w:r>
      <w:r>
        <w:rPr>
          <w:spacing w:val="-33"/>
        </w:rPr>
        <w:t xml:space="preserve"> </w:t>
      </w:r>
      <w:r>
        <w:rPr>
          <w:spacing w:val="5"/>
        </w:rPr>
        <w:t>区）政府是应对辖区内特别重大、重大、</w:t>
      </w:r>
      <w:r>
        <w:rPr>
          <w:spacing w:val="18"/>
        </w:rPr>
        <w:t>较大地震灾害的先期处置主体和应对辖区一</w:t>
      </w:r>
      <w:r>
        <w:rPr>
          <w:spacing w:val="8"/>
        </w:rPr>
        <w:t>般地震灾害的主体。</w:t>
      </w:r>
    </w:p>
    <w:p>
      <w:pPr>
        <w:ind w:left="424"/>
        <w:spacing w:before="15"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2</w:t>
      </w:r>
      <w:r>
        <w:rPr>
          <w:rFonts w:ascii="Microsoft YaHei" w:hAnsi="Microsoft YaHei" w:eastAsia="Microsoft YaHei" w:cs="Microsoft YaHei"/>
          <w:sz w:val="20"/>
          <w:szCs w:val="20"/>
          <w:spacing w:val="15"/>
          <w:w w:val="101"/>
        </w:rPr>
        <w:t xml:space="preserve">   </w:t>
      </w:r>
      <w:r>
        <w:rPr>
          <w:rFonts w:ascii="Microsoft YaHei" w:hAnsi="Microsoft YaHei" w:eastAsia="Microsoft YaHei" w:cs="Microsoft YaHei"/>
          <w:sz w:val="20"/>
          <w:szCs w:val="20"/>
          <w:spacing w:val="3"/>
        </w:rPr>
        <w:t>组织体系</w:t>
      </w:r>
    </w:p>
    <w:p>
      <w:pPr>
        <w:pStyle w:val="BodyText"/>
        <w:ind w:left="3" w:right="53" w:firstLine="419"/>
        <w:spacing w:before="123" w:line="360" w:lineRule="auto"/>
        <w:jc w:val="both"/>
        <w:rPr/>
      </w:pPr>
      <w:r>
        <w:rPr>
          <w:rFonts w:ascii="Times New Roman" w:hAnsi="Times New Roman" w:eastAsia="Times New Roman" w:cs="Times New Roman"/>
          <w:spacing w:val="8"/>
        </w:rPr>
        <w:t>2.1  </w:t>
      </w:r>
      <w:r>
        <w:rPr>
          <w:rFonts w:ascii="KaiTi" w:hAnsi="KaiTi" w:eastAsia="KaiTi" w:cs="KaiTi"/>
          <w:spacing w:val="8"/>
        </w:rPr>
        <w:t>市抗震救灾指挥部。</w:t>
      </w:r>
      <w:r>
        <w:rPr>
          <w:spacing w:val="8"/>
        </w:rPr>
        <w:t>在市委、市政府</w:t>
      </w:r>
      <w:r>
        <w:rPr>
          <w:spacing w:val="9"/>
        </w:rPr>
        <w:t>的领导下，市抗震救灾指挥部负责领导、组织</w:t>
      </w:r>
      <w:r>
        <w:rPr>
          <w:spacing w:val="12"/>
        </w:rPr>
        <w:t xml:space="preserve"> </w:t>
      </w:r>
      <w:r>
        <w:rPr>
          <w:spacing w:val="7"/>
        </w:rPr>
        <w:t>、协调日常地震应急管理工作，统一指挥地震</w:t>
      </w:r>
      <w:r>
        <w:rPr>
          <w:spacing w:val="9"/>
        </w:rPr>
        <w:t>灾害及其次生、衍生灾害的应急处置工作。</w:t>
      </w:r>
    </w:p>
    <w:p>
      <w:pPr>
        <w:pStyle w:val="BodyText"/>
        <w:ind w:left="3" w:right="94" w:firstLine="421"/>
        <w:spacing w:before="5" w:line="360" w:lineRule="auto"/>
        <w:jc w:val="both"/>
        <w:rPr/>
      </w:pPr>
      <w:r>
        <w:rPr>
          <w:spacing w:val="7"/>
        </w:rPr>
        <w:t>发生重大或特别重大突发地震灾害事件，</w:t>
      </w:r>
      <w:r>
        <w:rPr>
          <w:spacing w:val="7"/>
        </w:rPr>
        <w:t>或者出现复杂情况，超出市抗震救灾指挥部处</w:t>
      </w:r>
      <w:r>
        <w:rPr>
          <w:spacing w:val="7"/>
        </w:rPr>
        <w:t>置能力和工作职责时，由市政府负责指挥应对</w:t>
      </w:r>
      <w:r>
        <w:rPr>
          <w:spacing w:val="6"/>
        </w:rPr>
        <w:t>处置工作。</w:t>
      </w:r>
    </w:p>
    <w:p>
      <w:pPr>
        <w:pStyle w:val="BodyText"/>
        <w:ind w:left="423"/>
        <w:spacing w:line="218" w:lineRule="auto"/>
        <w:rPr/>
      </w:pPr>
      <w:r>
        <w:rPr>
          <w:rFonts w:ascii="Times New Roman" w:hAnsi="Times New Roman" w:eastAsia="Times New Roman" w:cs="Times New Roman"/>
          <w:spacing w:val="3"/>
        </w:rPr>
        <w:t>2.</w:t>
      </w:r>
      <w:r>
        <w:rPr>
          <w:rFonts w:ascii="Times New Roman" w:hAnsi="Times New Roman" w:eastAsia="Times New Roman" w:cs="Times New Roman"/>
          <w:spacing w:val="-23"/>
        </w:rPr>
        <w:t xml:space="preserve"> </w:t>
      </w:r>
      <w:r>
        <w:rPr>
          <w:rFonts w:ascii="Times New Roman" w:hAnsi="Times New Roman" w:eastAsia="Times New Roman" w:cs="Times New Roman"/>
          <w:spacing w:val="3"/>
        </w:rPr>
        <w:t>1.1 </w:t>
      </w:r>
      <w:r>
        <w:rPr>
          <w:spacing w:val="3"/>
        </w:rPr>
        <w:t>指挥部组成。</w:t>
      </w:r>
    </w:p>
    <w:p>
      <w:pPr>
        <w:pStyle w:val="BodyText"/>
        <w:ind w:left="425"/>
        <w:spacing w:before="149" w:line="277" w:lineRule="exact"/>
        <w:rPr/>
      </w:pPr>
      <w:r>
        <w:rPr>
          <w:spacing w:val="9"/>
          <w:position w:val="1"/>
        </w:rPr>
        <w:t>指挥长：市政府分管应急工作的副市长</w:t>
      </w:r>
    </w:p>
    <w:p>
      <w:pPr>
        <w:pStyle w:val="BodyText"/>
        <w:ind w:left="430"/>
        <w:spacing w:before="112" w:line="277" w:lineRule="exact"/>
        <w:rPr/>
      </w:pPr>
      <w:r>
        <w:rPr>
          <w:spacing w:val="9"/>
          <w:position w:val="1"/>
        </w:rPr>
        <w:t>常务副指挥长：分管地震工作的副市长</w:t>
      </w:r>
    </w:p>
    <w:p>
      <w:pPr>
        <w:pStyle w:val="BodyText"/>
        <w:ind w:right="101" w:firstLine="428"/>
        <w:spacing w:before="114" w:line="358" w:lineRule="auto"/>
        <w:jc w:val="both"/>
        <w:rPr/>
      </w:pPr>
      <w:r>
        <w:rPr>
          <w:spacing w:val="6"/>
        </w:rPr>
        <w:t>副指挥长：市政府副秘书长、市公安局副</w:t>
      </w:r>
      <w:r>
        <w:rPr>
          <w:spacing w:val="7"/>
        </w:rPr>
        <w:t>局长、市应急管理局局长、固原军分区战备建</w:t>
      </w:r>
      <w:r>
        <w:rPr>
          <w:spacing w:val="7"/>
        </w:rPr>
        <w:t>设处处长、武警固原支队支队长、市气象局局</w:t>
      </w:r>
      <w:r>
        <w:rPr>
          <w:spacing w:val="9"/>
        </w:rPr>
        <w:t>长、地震局局长、消防救援支队支队长</w:t>
      </w:r>
    </w:p>
    <w:p>
      <w:pPr>
        <w:pStyle w:val="BodyText"/>
        <w:ind w:left="3" w:right="18" w:firstLine="420"/>
        <w:spacing w:before="8" w:line="336" w:lineRule="auto"/>
        <w:jc w:val="both"/>
        <w:rPr/>
      </w:pPr>
      <w:r>
        <w:rPr>
          <w:spacing w:val="6"/>
        </w:rPr>
        <w:t>成员单位：政府办公室（外事办）、发展</w:t>
      </w:r>
      <w:r>
        <w:rPr>
          <w:spacing w:val="7"/>
        </w:rPr>
        <w:t>和改革委员会、教育体育局、科技局、工业和</w:t>
      </w:r>
      <w:r>
        <w:rPr>
          <w:spacing w:val="1"/>
        </w:rPr>
        <w:t>信息化局、宗教局、公安局、民政局、司法局、</w:t>
      </w:r>
      <w:r>
        <w:rPr>
          <w:spacing w:val="7"/>
        </w:rPr>
        <w:t>财政局、自然资源局、生态环境局、住房和城</w:t>
      </w:r>
      <w:r>
        <w:rPr>
          <w:spacing w:val="1"/>
        </w:rPr>
        <w:t>乡建设局、交通运输局、水务局、农业农村局、</w:t>
      </w:r>
      <w:r>
        <w:rPr>
          <w:spacing w:val="7"/>
        </w:rPr>
        <w:t>商务投资局、文化旅游广播电视局、卫生健康</w:t>
      </w:r>
      <w:r>
        <w:rPr>
          <w:spacing w:val="9"/>
        </w:rPr>
        <w:t>委员会、应急管理局、市场监管局、国资委，</w:t>
      </w:r>
    </w:p>
    <w:p>
      <w:pPr>
        <w:spacing w:line="336" w:lineRule="auto"/>
        <w:sectPr>
          <w:type w:val="continuous"/>
          <w:pgSz w:w="11906" w:h="16839"/>
          <w:pgMar w:top="1828" w:right="1489" w:bottom="1556" w:left="1567" w:header="1428" w:footer="1172" w:gutter="0"/>
          <w:cols w:equalWidth="0" w:num="2">
            <w:col w:w="4500" w:space="100"/>
            <w:col w:w="4251" w:space="0"/>
          </w:cols>
        </w:sectPr>
        <w:rPr/>
      </w:pPr>
    </w:p>
    <w:p>
      <w:pPr>
        <w:spacing w:before="63"/>
        <w:rPr/>
      </w:pPr>
      <w:r>
        <w:drawing>
          <wp:anchor distT="0" distB="0" distL="0" distR="0" simplePos="0" relativeHeight="252358656"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490" name="IM 1490"/>
            <wp:cNvGraphicFramePr/>
            <a:graphic>
              <a:graphicData uri="http://schemas.openxmlformats.org/drawingml/2006/picture">
                <pic:pic>
                  <pic:nvPicPr>
                    <pic:cNvPr id="1490" name="IM 1490"/>
                    <pic:cNvPicPr/>
                  </pic:nvPicPr>
                  <pic:blipFill>
                    <a:blip r:embed="rId747"/>
                    <a:stretch>
                      <a:fillRect/>
                    </a:stretch>
                  </pic:blipFill>
                  <pic:spPr>
                    <a:xfrm rot="0">
                      <a:off x="0" y="0"/>
                      <a:ext cx="5579745" cy="7620"/>
                    </a:xfrm>
                    <a:prstGeom prst="rect">
                      <a:avLst/>
                    </a:prstGeom>
                  </pic:spPr>
                </pic:pic>
              </a:graphicData>
            </a:graphic>
          </wp:anchor>
        </w:drawing>
      </w:r>
      <w:r/>
    </w:p>
    <w:p>
      <w:pPr>
        <w:sectPr>
          <w:headerReference w:type="default" r:id="rId668"/>
          <w:footerReference w:type="default" r:id="rId746"/>
          <w:pgSz w:w="11906" w:h="16839"/>
          <w:pgMar w:top="1766" w:right="1509" w:bottom="1551" w:left="1576" w:header="1428" w:footer="1172" w:gutter="0"/>
          <w:cols w:equalWidth="0" w:num="1">
            <w:col w:w="8821" w:space="0"/>
          </w:cols>
        </w:sectPr>
        <w:rPr/>
      </w:pPr>
    </w:p>
    <w:p>
      <w:pPr>
        <w:pStyle w:val="BodyText"/>
        <w:ind w:left="16" w:right="308" w:firstLine="1"/>
        <w:spacing w:before="49" w:line="360" w:lineRule="auto"/>
        <w:jc w:val="both"/>
        <w:rPr/>
      </w:pPr>
      <w:r>
        <w:rPr>
          <w:spacing w:val="7"/>
        </w:rPr>
        <w:t>统计局，银保监分局、气象局、地震局、消防</w:t>
      </w:r>
      <w:r>
        <w:rPr>
          <w:spacing w:val="7"/>
        </w:rPr>
        <w:t>救援支队，粮食储备局、林草中心、固原车务</w:t>
      </w:r>
      <w:r>
        <w:rPr>
          <w:spacing w:val="18"/>
        </w:rPr>
        <w:t>段以及市应急管理指挥部根据工作需要确定</w:t>
      </w:r>
      <w:r>
        <w:rPr>
          <w:spacing w:val="8"/>
        </w:rPr>
        <w:t>的非政府职能部门（单位）的负责同志组成。</w:t>
      </w:r>
    </w:p>
    <w:p>
      <w:pPr>
        <w:pStyle w:val="BodyText"/>
        <w:ind w:left="15" w:right="328" w:firstLine="438"/>
        <w:spacing w:before="2" w:line="359" w:lineRule="auto"/>
        <w:jc w:val="both"/>
        <w:rPr/>
      </w:pPr>
      <w:r>
        <w:rPr>
          <w:spacing w:val="4"/>
        </w:rPr>
        <w:t>以上成员单位设联络员</w:t>
      </w:r>
      <w:r>
        <w:rPr>
          <w:spacing w:val="-19"/>
        </w:rPr>
        <w:t xml:space="preserve"> </w:t>
      </w:r>
      <w:r>
        <w:rPr>
          <w:rFonts w:ascii="Times New Roman" w:hAnsi="Times New Roman" w:eastAsia="Times New Roman" w:cs="Times New Roman"/>
          <w:spacing w:val="4"/>
        </w:rPr>
        <w:t>1 </w:t>
      </w:r>
      <w:r>
        <w:rPr>
          <w:spacing w:val="4"/>
        </w:rPr>
        <w:t>名，由单位职能</w:t>
      </w:r>
      <w:r>
        <w:rPr>
          <w:spacing w:val="7"/>
        </w:rPr>
        <w:t>科室负责同志担任。根据工作需要，可增加有</w:t>
      </w:r>
      <w:r>
        <w:rPr>
          <w:spacing w:val="9"/>
        </w:rPr>
        <w:t>关部门和单位主要负责同志参加。</w:t>
      </w:r>
    </w:p>
    <w:p>
      <w:pPr>
        <w:pStyle w:val="BodyText"/>
        <w:ind w:left="437"/>
        <w:spacing w:line="220" w:lineRule="auto"/>
        <w:rPr/>
      </w:pPr>
      <w:r>
        <w:rPr>
          <w:rFonts w:ascii="Times New Roman" w:hAnsi="Times New Roman" w:eastAsia="Times New Roman" w:cs="Times New Roman"/>
          <w:spacing w:val="4"/>
        </w:rPr>
        <w:t>2.</w:t>
      </w:r>
      <w:r>
        <w:rPr>
          <w:rFonts w:ascii="Times New Roman" w:hAnsi="Times New Roman" w:eastAsia="Times New Roman" w:cs="Times New Roman"/>
          <w:spacing w:val="-23"/>
        </w:rPr>
        <w:t xml:space="preserve"> </w:t>
      </w:r>
      <w:r>
        <w:rPr>
          <w:rFonts w:ascii="Times New Roman" w:hAnsi="Times New Roman" w:eastAsia="Times New Roman" w:cs="Times New Roman"/>
          <w:spacing w:val="4"/>
        </w:rPr>
        <w:t>1.2 </w:t>
      </w:r>
      <w:r>
        <w:rPr>
          <w:spacing w:val="4"/>
        </w:rPr>
        <w:t>指挥部主要职责。</w:t>
      </w:r>
    </w:p>
    <w:p>
      <w:pPr>
        <w:pStyle w:val="BodyText"/>
        <w:ind w:left="24" w:right="218" w:firstLine="404"/>
        <w:spacing w:before="149" w:line="307" w:lineRule="auto"/>
        <w:rPr/>
      </w:pPr>
      <w:r>
        <w:rPr>
          <w:spacing w:val="3"/>
        </w:rPr>
        <w:t>（</w:t>
      </w:r>
      <w:r>
        <w:rPr>
          <w:spacing w:val="-43"/>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1"/>
        </w:rPr>
        <w:t xml:space="preserve"> </w:t>
      </w:r>
      <w:r>
        <w:rPr>
          <w:spacing w:val="3"/>
        </w:rPr>
        <w:t>）组织、督促市政府有关部门（单位）</w:t>
      </w:r>
      <w:r>
        <w:rPr>
          <w:spacing w:val="6"/>
        </w:rPr>
        <w:t>和县（</w:t>
      </w:r>
      <w:r>
        <w:rPr>
          <w:spacing w:val="-52"/>
        </w:rPr>
        <w:t xml:space="preserve"> </w:t>
      </w:r>
      <w:r>
        <w:rPr>
          <w:spacing w:val="6"/>
        </w:rPr>
        <w:t>区）政府实施地震事件应急预案。</w:t>
      </w:r>
    </w:p>
    <w:p>
      <w:pPr>
        <w:pStyle w:val="BodyText"/>
        <w:ind w:left="15" w:right="248" w:firstLine="413"/>
        <w:spacing w:before="114" w:line="315" w:lineRule="auto"/>
        <w:rPr/>
      </w:pPr>
      <w:r>
        <w:rPr>
          <w:spacing w:val="4"/>
        </w:rPr>
        <w:t>（</w:t>
      </w:r>
      <w:r>
        <w:rPr>
          <w:rFonts w:ascii="Times New Roman" w:hAnsi="Times New Roman" w:eastAsia="Times New Roman" w:cs="Times New Roman"/>
          <w:spacing w:val="4"/>
        </w:rPr>
        <w:t>2</w:t>
      </w:r>
      <w:r>
        <w:rPr>
          <w:rFonts w:ascii="Times New Roman" w:hAnsi="Times New Roman" w:eastAsia="Times New Roman" w:cs="Times New Roman"/>
          <w:spacing w:val="-13"/>
        </w:rPr>
        <w:t xml:space="preserve"> </w:t>
      </w:r>
      <w:r>
        <w:rPr>
          <w:spacing w:val="4"/>
        </w:rPr>
        <w:t>）根据震情和工作需要，部署、监督、</w:t>
      </w:r>
      <w:r>
        <w:rPr>
          <w:spacing w:val="7"/>
        </w:rPr>
        <w:t>检查全市地震应急准备与风险防范工作，并督</w:t>
      </w:r>
      <w:r>
        <w:rPr>
          <w:spacing w:val="6"/>
        </w:rPr>
        <w:t>促落实。</w:t>
      </w:r>
    </w:p>
    <w:p>
      <w:pPr>
        <w:pStyle w:val="BodyText"/>
        <w:ind w:left="16" w:right="331" w:firstLine="411"/>
        <w:spacing w:before="145" w:line="292" w:lineRule="auto"/>
        <w:rPr/>
      </w:pPr>
      <w:r>
        <w:rPr>
          <w:spacing w:val="8"/>
        </w:rPr>
        <w:t>（</w:t>
      </w:r>
      <w:r>
        <w:rPr>
          <w:rFonts w:ascii="Times New Roman" w:hAnsi="Times New Roman" w:eastAsia="Times New Roman" w:cs="Times New Roman"/>
          <w:spacing w:val="8"/>
        </w:rPr>
        <w:t>3</w:t>
      </w:r>
      <w:r>
        <w:rPr>
          <w:rFonts w:ascii="Times New Roman" w:hAnsi="Times New Roman" w:eastAsia="Times New Roman" w:cs="Times New Roman"/>
          <w:spacing w:val="-5"/>
        </w:rPr>
        <w:t xml:space="preserve"> </w:t>
      </w:r>
      <w:r>
        <w:rPr>
          <w:spacing w:val="8"/>
        </w:rPr>
        <w:t>）在市委、市政府领导下</w:t>
      </w:r>
      <w:r>
        <w:rPr>
          <w:spacing w:val="-59"/>
        </w:rPr>
        <w:t xml:space="preserve"> </w:t>
      </w:r>
      <w:r>
        <w:rPr>
          <w:spacing w:val="8"/>
        </w:rPr>
        <w:t>，开展抗震</w:t>
      </w:r>
      <w:r>
        <w:rPr>
          <w:spacing w:val="6"/>
        </w:rPr>
        <w:t>救灾工作。</w:t>
      </w:r>
    </w:p>
    <w:p>
      <w:pPr>
        <w:pStyle w:val="BodyText"/>
        <w:ind w:left="437"/>
        <w:spacing w:before="152" w:line="219" w:lineRule="auto"/>
        <w:rPr/>
      </w:pPr>
      <w:r>
        <w:rPr>
          <w:rFonts w:ascii="Times New Roman" w:hAnsi="Times New Roman" w:eastAsia="Times New Roman" w:cs="Times New Roman"/>
          <w:spacing w:val="4"/>
        </w:rPr>
        <w:t>2.</w:t>
      </w:r>
      <w:r>
        <w:rPr>
          <w:rFonts w:ascii="Times New Roman" w:hAnsi="Times New Roman" w:eastAsia="Times New Roman" w:cs="Times New Roman"/>
          <w:spacing w:val="-18"/>
        </w:rPr>
        <w:t xml:space="preserve"> </w:t>
      </w:r>
      <w:r>
        <w:rPr>
          <w:rFonts w:ascii="Times New Roman" w:hAnsi="Times New Roman" w:eastAsia="Times New Roman" w:cs="Times New Roman"/>
          <w:spacing w:val="4"/>
        </w:rPr>
        <w:t>1.3 </w:t>
      </w:r>
      <w:r>
        <w:rPr>
          <w:spacing w:val="4"/>
        </w:rPr>
        <w:t>指挥部下设工作组。</w:t>
      </w:r>
    </w:p>
    <w:p>
      <w:pPr>
        <w:pStyle w:val="BodyText"/>
        <w:ind w:left="16" w:right="299" w:firstLine="421"/>
        <w:spacing w:before="156" w:line="364" w:lineRule="auto"/>
        <w:rPr/>
      </w:pPr>
      <w:r>
        <w:rPr>
          <w:spacing w:val="19"/>
        </w:rPr>
        <w:t>市抗震救灾指挥部按照职责分工和协同</w:t>
      </w:r>
      <w:r>
        <w:rPr>
          <w:spacing w:val="7"/>
        </w:rPr>
        <w:t>联动工作需要，将各成员单位按照职责分组开</w:t>
      </w:r>
      <w:r>
        <w:rPr>
          <w:spacing w:val="-2"/>
        </w:rPr>
        <w:t>展地震灾害事件及其次生灾害的应急处置工作。</w:t>
      </w:r>
    </w:p>
    <w:p>
      <w:pPr>
        <w:pStyle w:val="BodyText"/>
        <w:ind w:left="428"/>
        <w:spacing w:line="278" w:lineRule="exact"/>
        <w:rPr/>
      </w:pPr>
      <w:r>
        <w:rPr>
          <w:spacing w:val="1"/>
          <w:position w:val="1"/>
        </w:rPr>
        <w:t>（</w:t>
      </w:r>
      <w:r>
        <w:rPr>
          <w:spacing w:val="-45"/>
          <w:position w:val="1"/>
        </w:rPr>
        <w:t xml:space="preserve"> </w:t>
      </w:r>
      <w:r>
        <w:rPr>
          <w:rFonts w:ascii="Times New Roman" w:hAnsi="Times New Roman" w:eastAsia="Times New Roman" w:cs="Times New Roman"/>
          <w:spacing w:val="1"/>
          <w:position w:val="1"/>
        </w:rPr>
        <w:t>1</w:t>
      </w:r>
      <w:r>
        <w:rPr>
          <w:rFonts w:ascii="Times New Roman" w:hAnsi="Times New Roman" w:eastAsia="Times New Roman" w:cs="Times New Roman"/>
          <w:spacing w:val="-21"/>
          <w:position w:val="1"/>
        </w:rPr>
        <w:t xml:space="preserve"> </w:t>
      </w:r>
      <w:r>
        <w:rPr>
          <w:spacing w:val="1"/>
          <w:position w:val="1"/>
        </w:rPr>
        <w:t>）抢险救援工作组。</w:t>
      </w:r>
    </w:p>
    <w:p>
      <w:pPr>
        <w:pStyle w:val="BodyText"/>
        <w:ind w:left="436"/>
        <w:spacing w:before="118" w:line="278" w:lineRule="exact"/>
        <w:rPr/>
      </w:pPr>
      <w:r>
        <w:rPr>
          <w:spacing w:val="9"/>
          <w:position w:val="1"/>
        </w:rPr>
        <w:t>组长单位：市地震局</w:t>
      </w:r>
    </w:p>
    <w:p>
      <w:pPr>
        <w:pStyle w:val="BodyText"/>
        <w:ind w:left="16" w:right="328" w:firstLine="426"/>
        <w:spacing w:before="118" w:line="347" w:lineRule="auto"/>
        <w:rPr/>
      </w:pPr>
      <w:r>
        <w:rPr>
          <w:spacing w:val="6"/>
        </w:rPr>
        <w:t>副组长单位：由市应急管理指挥部根据工</w:t>
      </w:r>
      <w:r>
        <w:rPr>
          <w:spacing w:val="7"/>
        </w:rPr>
        <w:t>作需要确定。</w:t>
      </w:r>
    </w:p>
    <w:p>
      <w:pPr>
        <w:pStyle w:val="BodyText"/>
        <w:ind w:left="16" w:right="248" w:firstLine="420"/>
        <w:spacing w:before="38" w:line="366" w:lineRule="auto"/>
        <w:jc w:val="both"/>
        <w:rPr/>
      </w:pPr>
      <w:r>
        <w:rPr/>
        <w:t>成员单位：市公安局、住房和城乡建设局、</w:t>
      </w:r>
      <w:r>
        <w:rPr>
          <w:spacing w:val="11"/>
        </w:rPr>
        <w:t>交通运输局、武警固原支队、消防救援支队，</w:t>
      </w:r>
      <w:r>
        <w:rPr>
          <w:spacing w:val="18"/>
        </w:rPr>
        <w:t>由市应急管理指挥部工作应急救援工作需要</w:t>
      </w:r>
      <w:r>
        <w:rPr>
          <w:spacing w:val="8"/>
        </w:rPr>
        <w:t>确定的非政府职能部门（单位）。</w:t>
      </w:r>
    </w:p>
    <w:p>
      <w:pPr>
        <w:pStyle w:val="BodyText"/>
        <w:ind w:left="18" w:right="319" w:firstLine="426"/>
        <w:spacing w:before="3" w:line="363" w:lineRule="auto"/>
        <w:jc w:val="both"/>
        <w:rPr/>
      </w:pPr>
      <w:r>
        <w:rPr>
          <w:spacing w:val="6"/>
        </w:rPr>
        <w:t>主要职责：制订实施抢险救灾力量配置方</w:t>
      </w:r>
      <w:r>
        <w:rPr>
          <w:spacing w:val="7"/>
        </w:rPr>
        <w:t>案，调配救援队伍和装备，搜救被困群众和受</w:t>
      </w:r>
      <w:r>
        <w:rPr>
          <w:spacing w:val="7"/>
        </w:rPr>
        <w:t>伤人员；组织救援人员和物资进行空运空投；</w:t>
      </w:r>
      <w:r>
        <w:rPr>
          <w:spacing w:val="7"/>
        </w:rPr>
        <w:t>清理灾区现场。</w:t>
      </w:r>
    </w:p>
    <w:p>
      <w:pPr>
        <w:pStyle w:val="BodyText"/>
        <w:ind w:left="16" w:right="328" w:firstLine="421"/>
        <w:spacing w:before="7" w:line="337" w:lineRule="auto"/>
        <w:rPr/>
      </w:pPr>
      <w:r>
        <w:rPr>
          <w:spacing w:val="6"/>
        </w:rPr>
        <w:t>市应急管理局：负责组织协调本市各方面</w:t>
      </w:r>
      <w:r>
        <w:rPr>
          <w:spacing w:val="7"/>
        </w:rPr>
        <w:t>救援力量。协调派遣市地震灾害紧急救援队和</w:t>
      </w:r>
    </w:p>
    <w:p>
      <w:pPr>
        <w:spacing w:line="14" w:lineRule="auto"/>
        <w:rPr>
          <w:rFonts w:ascii="Arial"/>
          <w:sz w:val="2"/>
        </w:rPr>
      </w:pPr>
      <w:r>
        <w:rPr>
          <w:rFonts w:ascii="Arial" w:hAnsi="Arial" w:eastAsia="Arial" w:cs="Arial"/>
          <w:sz w:val="2"/>
          <w:szCs w:val="2"/>
        </w:rPr>
        <w:br w:type="column"/>
      </w:r>
    </w:p>
    <w:p>
      <w:pPr>
        <w:pStyle w:val="BodyText"/>
        <w:ind w:right="80" w:firstLine="3"/>
        <w:spacing w:before="48" w:line="363" w:lineRule="auto"/>
        <w:jc w:val="both"/>
        <w:rPr/>
      </w:pPr>
      <w:r>
        <w:rPr>
          <w:spacing w:val="4"/>
        </w:rPr>
        <w:t>县（</w:t>
      </w:r>
      <w:r>
        <w:rPr>
          <w:spacing w:val="-37"/>
        </w:rPr>
        <w:t xml:space="preserve"> </w:t>
      </w:r>
      <w:r>
        <w:rPr>
          <w:spacing w:val="4"/>
        </w:rPr>
        <w:t>区）地震灾害紧急救援队；接洽、安排国</w:t>
      </w:r>
      <w:r>
        <w:rPr>
          <w:spacing w:val="7"/>
        </w:rPr>
        <w:t>内外派遣的紧急救援队伍；协调现场各救援队</w:t>
      </w:r>
      <w:r>
        <w:rPr>
          <w:spacing w:val="7"/>
        </w:rPr>
        <w:t>伍之间的衔接和配合，确保现场救援行动有序</w:t>
      </w:r>
      <w:r>
        <w:rPr>
          <w:spacing w:val="7"/>
        </w:rPr>
        <w:t>有效开展。</w:t>
      </w:r>
    </w:p>
    <w:p>
      <w:pPr>
        <w:pStyle w:val="BodyText"/>
        <w:ind w:left="1" w:right="57" w:firstLine="422"/>
        <w:spacing w:before="6" w:line="366" w:lineRule="auto"/>
        <w:jc w:val="both"/>
        <w:rPr/>
      </w:pPr>
      <w:r>
        <w:rPr>
          <w:spacing w:val="6"/>
        </w:rPr>
        <w:t>市公安局、消防救援支队、驻固部队：负</w:t>
      </w:r>
      <w:r>
        <w:rPr>
          <w:spacing w:val="7"/>
        </w:rPr>
        <w:t>责灾区人员搜救工作。组织抢险救援队伍，调</w:t>
      </w:r>
      <w:r>
        <w:rPr>
          <w:spacing w:val="8"/>
        </w:rPr>
        <w:t>运千斤顶、生命探测仪、剪扩钳、救援顶杆、</w:t>
      </w:r>
      <w:r>
        <w:rPr>
          <w:spacing w:val="7"/>
        </w:rPr>
        <w:t>动力切割机等便携式救援装备，迅速赶赴灾区</w:t>
      </w:r>
      <w:r>
        <w:rPr>
          <w:spacing w:val="15"/>
        </w:rPr>
        <w:t>搜救被压埋幸存者和被困人员</w:t>
      </w:r>
      <w:r>
        <w:rPr>
          <w:spacing w:val="-40"/>
        </w:rPr>
        <w:t xml:space="preserve"> </w:t>
      </w:r>
      <w:r>
        <w:rPr>
          <w:spacing w:val="15"/>
        </w:rPr>
        <w:t>，清理灾区现</w:t>
      </w:r>
      <w:r>
        <w:rPr>
          <w:spacing w:val="8"/>
        </w:rPr>
        <w:t>场，协助转移受灾群众。</w:t>
      </w:r>
    </w:p>
    <w:p>
      <w:pPr>
        <w:pStyle w:val="BodyText"/>
        <w:ind w:left="1" w:firstLine="422"/>
        <w:spacing w:before="3" w:line="364" w:lineRule="auto"/>
        <w:jc w:val="both"/>
        <w:rPr/>
      </w:pPr>
      <w:r>
        <w:rPr>
          <w:spacing w:val="6"/>
        </w:rPr>
        <w:t>市交通运输局、住房和城乡建设局：负责</w:t>
      </w:r>
      <w:r>
        <w:rPr>
          <w:spacing w:val="18"/>
        </w:rPr>
        <w:t>大型救援装备的组织调运及配合做好灾区人</w:t>
      </w:r>
      <w:r>
        <w:rPr>
          <w:spacing w:val="1"/>
        </w:rPr>
        <w:t>员搜救工作。组织调运吊车、起重机、挖掘机、</w:t>
      </w:r>
      <w:r>
        <w:rPr>
          <w:spacing w:val="8"/>
        </w:rPr>
        <w:t>装载机等大型救援装备。</w:t>
      </w:r>
    </w:p>
    <w:p>
      <w:pPr>
        <w:pStyle w:val="BodyText"/>
        <w:ind w:left="3" w:right="80" w:firstLine="418"/>
        <w:spacing w:before="3" w:line="348" w:lineRule="auto"/>
        <w:rPr/>
      </w:pPr>
      <w:r>
        <w:rPr>
          <w:spacing w:val="7"/>
        </w:rPr>
        <w:t>其他非政府职能部门（单位）根据职责分</w:t>
      </w:r>
      <w:r>
        <w:rPr>
          <w:spacing w:val="8"/>
        </w:rPr>
        <w:t>工，承担相应的应急救援任务。</w:t>
      </w:r>
    </w:p>
    <w:p>
      <w:pPr>
        <w:pStyle w:val="BodyText"/>
        <w:ind w:left="413"/>
        <w:spacing w:before="38" w:line="277" w:lineRule="exact"/>
        <w:rPr/>
      </w:pPr>
      <w:r>
        <w:rPr>
          <w:spacing w:val="6"/>
          <w:position w:val="1"/>
        </w:rPr>
        <w:t>（</w:t>
      </w:r>
      <w:r>
        <w:rPr>
          <w:rFonts w:ascii="Times New Roman" w:hAnsi="Times New Roman" w:eastAsia="Times New Roman" w:cs="Times New Roman"/>
          <w:spacing w:val="6"/>
          <w:position w:val="1"/>
        </w:rPr>
        <w:t>2</w:t>
      </w:r>
      <w:r>
        <w:rPr>
          <w:rFonts w:ascii="Times New Roman" w:hAnsi="Times New Roman" w:eastAsia="Times New Roman" w:cs="Times New Roman"/>
          <w:spacing w:val="-13"/>
          <w:position w:val="1"/>
        </w:rPr>
        <w:t xml:space="preserve"> </w:t>
      </w:r>
      <w:r>
        <w:rPr>
          <w:spacing w:val="6"/>
          <w:position w:val="1"/>
        </w:rPr>
        <w:t>）群众生活保障工作组。</w:t>
      </w:r>
    </w:p>
    <w:p>
      <w:pPr>
        <w:pStyle w:val="BodyText"/>
        <w:ind w:left="422"/>
        <w:spacing w:before="118" w:line="278" w:lineRule="exact"/>
        <w:rPr/>
      </w:pPr>
      <w:r>
        <w:rPr>
          <w:spacing w:val="9"/>
          <w:position w:val="1"/>
        </w:rPr>
        <w:t>组长单位：市应急管理局</w:t>
      </w:r>
    </w:p>
    <w:p>
      <w:pPr>
        <w:pStyle w:val="BodyText"/>
        <w:ind w:right="80" w:firstLine="428"/>
        <w:spacing w:before="118" w:line="347" w:lineRule="auto"/>
        <w:rPr/>
      </w:pPr>
      <w:r>
        <w:rPr>
          <w:spacing w:val="6"/>
        </w:rPr>
        <w:t>副组长单位：市发展和改革委员会、粮食</w:t>
      </w:r>
      <w:r>
        <w:rPr>
          <w:spacing w:val="9"/>
        </w:rPr>
        <w:t>储备局、商务投资局</w:t>
      </w:r>
    </w:p>
    <w:p>
      <w:pPr>
        <w:pStyle w:val="BodyText"/>
        <w:ind w:left="3" w:right="16" w:firstLine="419"/>
        <w:spacing w:before="38" w:line="366" w:lineRule="auto"/>
        <w:jc w:val="both"/>
        <w:rPr/>
      </w:pPr>
      <w:r>
        <w:rPr>
          <w:spacing w:val="6"/>
        </w:rPr>
        <w:t>成员单位：市工业和信息化局、教育体育</w:t>
      </w:r>
      <w:r>
        <w:rPr/>
        <w:t>局、审计局、住房和城乡建设局、城市管理局，</w:t>
      </w:r>
      <w:r>
        <w:rPr>
          <w:spacing w:val="18"/>
        </w:rPr>
        <w:t>由市应急管理指挥部根据需要确定的非政府</w:t>
      </w:r>
      <w:r>
        <w:rPr>
          <w:spacing w:val="-1"/>
        </w:rPr>
        <w:t>职能部门（部门）。</w:t>
      </w:r>
    </w:p>
    <w:p>
      <w:pPr>
        <w:pStyle w:val="BodyText"/>
        <w:ind w:right="80" w:firstLine="429"/>
        <w:spacing w:before="2" w:line="364" w:lineRule="auto"/>
        <w:jc w:val="both"/>
        <w:rPr/>
      </w:pPr>
      <w:r>
        <w:rPr>
          <w:spacing w:val="6"/>
        </w:rPr>
        <w:t>主要职责：制订并实施受灾群众救助工作</w:t>
      </w:r>
      <w:r>
        <w:rPr>
          <w:spacing w:val="15"/>
        </w:rPr>
        <w:t>方案以及相应的资金物资保障措施</w:t>
      </w:r>
      <w:r>
        <w:rPr>
          <w:spacing w:val="-39"/>
        </w:rPr>
        <w:t xml:space="preserve"> </w:t>
      </w:r>
      <w:r>
        <w:rPr>
          <w:spacing w:val="15"/>
        </w:rPr>
        <w:t>；组织调</w:t>
      </w:r>
      <w:r>
        <w:rPr>
          <w:spacing w:val="7"/>
        </w:rPr>
        <w:t>集、转运帐篷和灾区生活必需品等抗震救灾物</w:t>
      </w:r>
      <w:r>
        <w:rPr>
          <w:spacing w:val="7"/>
        </w:rPr>
        <w:t>资；指导有关地区做好受灾群众的紧急转移和</w:t>
      </w:r>
      <w:r>
        <w:rPr>
          <w:spacing w:val="15"/>
        </w:rPr>
        <w:t>安置工作</w:t>
      </w:r>
      <w:r>
        <w:rPr>
          <w:spacing w:val="-39"/>
        </w:rPr>
        <w:t xml:space="preserve"> </w:t>
      </w:r>
      <w:r>
        <w:rPr>
          <w:spacing w:val="15"/>
        </w:rPr>
        <w:t>，保障灾区群众基本生活和市场供</w:t>
      </w:r>
      <w:r>
        <w:rPr>
          <w:spacing w:val="7"/>
        </w:rPr>
        <w:t>应；组织和统筹安排非政府组织和志愿者队伍</w:t>
      </w:r>
      <w:r>
        <w:rPr>
          <w:spacing w:val="7"/>
        </w:rPr>
        <w:t>参与灾民救助和帮扶等工作；负责抗震救灾款</w:t>
      </w:r>
      <w:r>
        <w:rPr>
          <w:spacing w:val="8"/>
        </w:rPr>
        <w:t>物的监管与审计。</w:t>
      </w:r>
    </w:p>
    <w:p>
      <w:pPr>
        <w:pStyle w:val="BodyText"/>
        <w:ind w:left="423"/>
        <w:spacing w:before="10" w:line="221" w:lineRule="auto"/>
        <w:rPr/>
      </w:pPr>
      <w:r>
        <w:rPr>
          <w:spacing w:val="9"/>
        </w:rPr>
        <w:t>市应急管理局、粮食储备局：负责组织、</w:t>
      </w:r>
    </w:p>
    <w:p>
      <w:pPr>
        <w:spacing w:line="221" w:lineRule="auto"/>
        <w:sectPr>
          <w:type w:val="continuous"/>
          <w:pgSz w:w="11906" w:h="16839"/>
          <w:pgMar w:top="1766" w:right="1509" w:bottom="1551" w:left="1576" w:header="1428" w:footer="1172" w:gutter="0"/>
          <w:cols w:equalWidth="0" w:num="2">
            <w:col w:w="4492" w:space="100"/>
            <w:col w:w="4229" w:space="0"/>
          </w:cols>
        </w:sectPr>
        <w:rPr/>
      </w:pPr>
    </w:p>
    <w:p>
      <w:pPr>
        <w:spacing w:before="10"/>
        <w:rPr/>
      </w:pPr>
      <w:r>
        <w:drawing>
          <wp:anchor distT="0" distB="0" distL="0" distR="0" simplePos="0" relativeHeight="252369920" behindDoc="0" locked="0" layoutInCell="0" allowOverlap="1">
            <wp:simplePos x="0" y="0"/>
            <wp:positionH relativeFrom="page">
              <wp:posOffset>1008380</wp:posOffset>
            </wp:positionH>
            <wp:positionV relativeFrom="page">
              <wp:posOffset>1186180</wp:posOffset>
            </wp:positionV>
            <wp:extent cx="5579745" cy="7619"/>
            <wp:effectExtent l="0" t="0" r="0" b="0"/>
            <wp:wrapNone/>
            <wp:docPr id="1494" name="IM 1494"/>
            <wp:cNvGraphicFramePr/>
            <a:graphic>
              <a:graphicData uri="http://schemas.openxmlformats.org/drawingml/2006/picture">
                <pic:pic>
                  <pic:nvPicPr>
                    <pic:cNvPr id="1494" name="IM 1494"/>
                    <pic:cNvPicPr/>
                  </pic:nvPicPr>
                  <pic:blipFill>
                    <a:blip r:embed="rId749"/>
                    <a:stretch>
                      <a:fillRect/>
                    </a:stretch>
                  </pic:blipFill>
                  <pic:spPr>
                    <a:xfrm rot="0">
                      <a:off x="0" y="0"/>
                      <a:ext cx="5579745" cy="7619"/>
                    </a:xfrm>
                    <a:prstGeom prst="rect">
                      <a:avLst/>
                    </a:prstGeom>
                  </pic:spPr>
                </pic:pic>
              </a:graphicData>
            </a:graphic>
          </wp:anchor>
        </w:drawing>
      </w:r>
      <w:r/>
    </w:p>
    <w:p>
      <w:pPr>
        <w:sectPr>
          <w:headerReference w:type="default" r:id="rId728"/>
          <w:footerReference w:type="default" r:id="rId748"/>
          <w:pgSz w:w="11906" w:h="16839"/>
          <w:pgMar w:top="1828" w:right="1489" w:bottom="1556" w:left="1567" w:header="1428" w:footer="1172" w:gutter="0"/>
          <w:cols w:equalWidth="0" w:num="1">
            <w:col w:w="8850" w:space="0"/>
          </w:cols>
        </w:sectPr>
        <w:rPr/>
      </w:pPr>
    </w:p>
    <w:p>
      <w:pPr>
        <w:pStyle w:val="BodyText"/>
        <w:ind w:left="25" w:right="248"/>
        <w:spacing w:before="43" w:line="359" w:lineRule="auto"/>
        <w:jc w:val="both"/>
        <w:rPr/>
      </w:pPr>
      <w:r>
        <w:rPr>
          <w:spacing w:val="7"/>
        </w:rPr>
        <w:t>协调、指导做好受灾群众过渡期基本生活保障</w:t>
      </w:r>
      <w:r>
        <w:rPr>
          <w:spacing w:val="7"/>
        </w:rPr>
        <w:t>工作。协调调运固原及周边地区代储和自储的</w:t>
      </w:r>
      <w:r>
        <w:rPr>
          <w:spacing w:val="7"/>
        </w:rPr>
        <w:t>帐篷、棉被褥、衣服、食品、饮用水等救灾物</w:t>
      </w:r>
      <w:r>
        <w:rPr>
          <w:spacing w:val="1"/>
        </w:rPr>
        <w:t>资送往灾区，转移安置受灾群众；申请、管理、</w:t>
      </w:r>
      <w:r>
        <w:rPr>
          <w:spacing w:val="15"/>
        </w:rPr>
        <w:t>分配救灾物资和资金</w:t>
      </w:r>
      <w:r>
        <w:rPr>
          <w:spacing w:val="-40"/>
        </w:rPr>
        <w:t xml:space="preserve"> </w:t>
      </w:r>
      <w:r>
        <w:rPr>
          <w:spacing w:val="15"/>
        </w:rPr>
        <w:t>，组织指导救灾捐赠工</w:t>
      </w:r>
      <w:r>
        <w:rPr>
          <w:spacing w:val="10"/>
        </w:rPr>
        <w:t>作，接受、分配社会资金物资；在受灾村镇、</w:t>
      </w:r>
      <w:r>
        <w:rPr>
          <w:spacing w:val="8"/>
        </w:rPr>
        <w:t>街道设置临时场所发放生活用品。</w:t>
      </w:r>
    </w:p>
    <w:p>
      <w:pPr>
        <w:pStyle w:val="BodyText"/>
        <w:ind w:left="25" w:right="329" w:firstLine="421"/>
        <w:spacing w:before="1" w:line="353" w:lineRule="auto"/>
        <w:jc w:val="both"/>
        <w:rPr/>
      </w:pPr>
      <w:r>
        <w:rPr>
          <w:spacing w:val="6"/>
        </w:rPr>
        <w:t>市发展和改革委员会、商务投资局：负责</w:t>
      </w:r>
      <w:r>
        <w:rPr>
          <w:spacing w:val="7"/>
        </w:rPr>
        <w:t>组织调运食品等生活必需品，保障灾区消费品</w:t>
      </w:r>
      <w:r>
        <w:rPr>
          <w:spacing w:val="7"/>
        </w:rPr>
        <w:t>的市场供应。加强日常生活必需品的监测监管</w:t>
      </w:r>
      <w:r>
        <w:rPr>
          <w:spacing w:val="7"/>
        </w:rPr>
        <w:t>力度，准确掌握日常库存商品，保证突发事件</w:t>
      </w:r>
      <w:r>
        <w:rPr>
          <w:spacing w:val="7"/>
        </w:rPr>
        <w:t>发生后重要商品的正常供应。负责灾区市场价</w:t>
      </w:r>
      <w:r>
        <w:rPr>
          <w:spacing w:val="9"/>
        </w:rPr>
        <w:t>格监管，采取措施维护灾区市场物价秩序。</w:t>
      </w:r>
    </w:p>
    <w:p>
      <w:pPr>
        <w:pStyle w:val="BodyText"/>
        <w:ind w:left="25" w:right="329" w:firstLine="422"/>
        <w:spacing w:before="50" w:line="365" w:lineRule="auto"/>
        <w:jc w:val="both"/>
        <w:rPr/>
      </w:pPr>
      <w:r>
        <w:rPr>
          <w:spacing w:val="6"/>
        </w:rPr>
        <w:t>市住房和城乡建设局、城市管理局：负责</w:t>
      </w:r>
      <w:r>
        <w:rPr>
          <w:spacing w:val="7"/>
        </w:rPr>
        <w:t>落实满足基本需要的安置场所。开放应急避难</w:t>
      </w:r>
      <w:r>
        <w:rPr>
          <w:spacing w:val="7"/>
        </w:rPr>
        <w:t>场所，提供临时安置场所，根据需要调运、安</w:t>
      </w:r>
      <w:r>
        <w:rPr>
          <w:spacing w:val="7"/>
        </w:rPr>
        <w:t>装活动板房和简易房，解决供水、移动厕所等</w:t>
      </w:r>
      <w:r>
        <w:rPr>
          <w:spacing w:val="6"/>
        </w:rPr>
        <w:t>配套设施。</w:t>
      </w:r>
    </w:p>
    <w:p>
      <w:pPr>
        <w:pStyle w:val="BodyText"/>
        <w:ind w:left="30" w:right="309" w:firstLine="416"/>
        <w:spacing w:before="2" w:line="364" w:lineRule="auto"/>
        <w:rPr/>
      </w:pPr>
      <w:r>
        <w:rPr>
          <w:spacing w:val="8"/>
        </w:rPr>
        <w:t>市发展和改革委员会、工业和信息化局：</w:t>
      </w:r>
      <w:r>
        <w:rPr>
          <w:spacing w:val="8"/>
        </w:rPr>
        <w:t>负责协调灾区重要消费品的生产、供需衔接。</w:t>
      </w:r>
    </w:p>
    <w:p>
      <w:pPr>
        <w:pStyle w:val="BodyText"/>
        <w:ind w:left="25" w:right="329" w:firstLine="421"/>
        <w:spacing w:before="2" w:line="347" w:lineRule="auto"/>
        <w:rPr/>
      </w:pPr>
      <w:r>
        <w:rPr>
          <w:spacing w:val="19"/>
        </w:rPr>
        <w:t>市教育体育局：负责组织在校师生的抢</w:t>
      </w:r>
      <w:r>
        <w:rPr>
          <w:spacing w:val="8"/>
        </w:rPr>
        <w:t>救、临时安置和复课等工作。</w:t>
      </w:r>
    </w:p>
    <w:p>
      <w:pPr>
        <w:pStyle w:val="BodyText"/>
        <w:ind w:left="413"/>
        <w:spacing w:before="41" w:line="277" w:lineRule="exact"/>
        <w:rPr/>
      </w:pPr>
      <w:r>
        <w:rPr>
          <w:spacing w:val="-7"/>
          <w:position w:val="1"/>
        </w:rPr>
        <w:t>市审计局：负责抗震救灾款物的监管与审计。</w:t>
      </w:r>
    </w:p>
    <w:p>
      <w:pPr>
        <w:pStyle w:val="BodyText"/>
        <w:ind w:left="26" w:right="300" w:firstLine="418"/>
        <w:spacing w:before="118" w:line="348" w:lineRule="auto"/>
        <w:rPr/>
      </w:pPr>
      <w:r>
        <w:rPr>
          <w:spacing w:val="7"/>
        </w:rPr>
        <w:t>其他非政府职能部门（单位）根据职责分</w:t>
      </w:r>
      <w:r>
        <w:rPr>
          <w:spacing w:val="-2"/>
        </w:rPr>
        <w:t>工和指挥部的要求，承担相应的应急救援任务。</w:t>
      </w:r>
    </w:p>
    <w:p>
      <w:pPr>
        <w:pStyle w:val="BodyText"/>
        <w:ind w:left="437"/>
        <w:spacing w:before="39" w:line="277" w:lineRule="exact"/>
        <w:rPr/>
      </w:pPr>
      <w:r>
        <w:rPr>
          <w:spacing w:val="7"/>
          <w:position w:val="1"/>
        </w:rPr>
        <w:t>（</w:t>
      </w:r>
      <w:r>
        <w:rPr>
          <w:rFonts w:ascii="Times New Roman" w:hAnsi="Times New Roman" w:eastAsia="Times New Roman" w:cs="Times New Roman"/>
          <w:spacing w:val="7"/>
          <w:position w:val="1"/>
        </w:rPr>
        <w:t>3</w:t>
      </w:r>
      <w:r>
        <w:rPr>
          <w:rFonts w:ascii="Times New Roman" w:hAnsi="Times New Roman" w:eastAsia="Times New Roman" w:cs="Times New Roman"/>
          <w:spacing w:val="-16"/>
          <w:position w:val="1"/>
        </w:rPr>
        <w:t xml:space="preserve"> </w:t>
      </w:r>
      <w:r>
        <w:rPr>
          <w:spacing w:val="7"/>
          <w:position w:val="1"/>
        </w:rPr>
        <w:t>）医疗救治和卫生防疫工作组。</w:t>
      </w:r>
    </w:p>
    <w:p>
      <w:pPr>
        <w:pStyle w:val="BodyText"/>
        <w:ind w:left="501"/>
        <w:spacing w:before="119" w:line="276" w:lineRule="exact"/>
        <w:rPr/>
      </w:pPr>
      <w:r>
        <w:rPr>
          <w:spacing w:val="9"/>
          <w:position w:val="1"/>
        </w:rPr>
        <w:t>组长单位：市卫生健康委员会</w:t>
      </w:r>
    </w:p>
    <w:p>
      <w:pPr>
        <w:pStyle w:val="BodyText"/>
        <w:ind w:left="451"/>
        <w:spacing w:before="120" w:line="277" w:lineRule="exact"/>
        <w:rPr/>
      </w:pPr>
      <w:r>
        <w:rPr>
          <w:spacing w:val="9"/>
          <w:position w:val="1"/>
        </w:rPr>
        <w:t>副组长单位：市场监管局</w:t>
      </w:r>
    </w:p>
    <w:p>
      <w:pPr>
        <w:pStyle w:val="BodyText"/>
        <w:ind w:left="445"/>
        <w:spacing w:before="119" w:line="276" w:lineRule="exact"/>
        <w:rPr/>
      </w:pPr>
      <w:r>
        <w:rPr>
          <w:spacing w:val="6"/>
          <w:position w:val="1"/>
        </w:rPr>
        <w:t>成  员单位：市生态环境局、农业农村局</w:t>
      </w:r>
    </w:p>
    <w:p>
      <w:pPr>
        <w:pStyle w:val="BodyText"/>
        <w:ind w:left="29" w:right="329" w:firstLine="424"/>
        <w:spacing w:before="121" w:line="347" w:lineRule="auto"/>
        <w:jc w:val="both"/>
        <w:rPr/>
      </w:pPr>
      <w:r>
        <w:rPr>
          <w:spacing w:val="6"/>
        </w:rPr>
        <w:t>主要职责：组派医疗卫生救援队伍，调集</w:t>
      </w:r>
      <w:r>
        <w:rPr>
          <w:spacing w:val="7"/>
        </w:rPr>
        <w:t>医疗器械、药品等物资，对受伤人员进行救治</w:t>
      </w:r>
      <w:r>
        <w:rPr>
          <w:spacing w:val="7"/>
        </w:rPr>
        <w:t>和转移；检查、监测灾区饮用水源和食品，防</w:t>
      </w:r>
      <w:r>
        <w:rPr>
          <w:spacing w:val="7"/>
        </w:rPr>
        <w:t>范和控制各种传染病等疫病的暴发流行；做好</w:t>
      </w:r>
    </w:p>
    <w:p>
      <w:pPr>
        <w:spacing w:line="14" w:lineRule="auto"/>
        <w:rPr>
          <w:rFonts w:ascii="Arial"/>
          <w:sz w:val="2"/>
        </w:rPr>
      </w:pPr>
      <w:r>
        <w:rPr>
          <w:rFonts w:ascii="Arial" w:hAnsi="Arial" w:eastAsia="Arial" w:cs="Arial"/>
          <w:sz w:val="2"/>
          <w:szCs w:val="2"/>
        </w:rPr>
        <w:br w:type="column"/>
      </w:r>
    </w:p>
    <w:p>
      <w:pPr>
        <w:pStyle w:val="BodyText"/>
        <w:ind w:right="101" w:firstLine="3"/>
        <w:spacing w:before="40" w:line="365" w:lineRule="auto"/>
        <w:jc w:val="both"/>
        <w:rPr/>
      </w:pPr>
      <w:r>
        <w:rPr>
          <w:spacing w:val="7"/>
        </w:rPr>
        <w:t>伤员、灾区群众和救援人员的医疗服务与心理</w:t>
      </w:r>
      <w:r>
        <w:rPr>
          <w:spacing w:val="7"/>
        </w:rPr>
        <w:t>援助；制定实施灾后动物防疫方案，根据当地</w:t>
      </w:r>
      <w:r>
        <w:rPr>
          <w:spacing w:val="18"/>
        </w:rPr>
        <w:t>动物疫病流行情况开展相应重大动物疫病和</w:t>
      </w:r>
      <w:r>
        <w:rPr>
          <w:spacing w:val="8"/>
        </w:rPr>
        <w:t>人畜共患病防控。</w:t>
      </w:r>
    </w:p>
    <w:p>
      <w:pPr>
        <w:pStyle w:val="BodyText"/>
        <w:ind w:right="78" w:firstLine="423"/>
        <w:spacing w:before="8" w:line="365" w:lineRule="auto"/>
        <w:jc w:val="both"/>
        <w:rPr/>
      </w:pPr>
      <w:r>
        <w:rPr>
          <w:spacing w:val="6"/>
        </w:rPr>
        <w:t>市卫生健康委员会：负责灾区受伤群众医</w:t>
      </w:r>
      <w:r>
        <w:rPr>
          <w:spacing w:val="7"/>
        </w:rPr>
        <w:t>疗救治、服务和卫生防疫工作。协调组织应急</w:t>
      </w:r>
      <w:r>
        <w:rPr>
          <w:spacing w:val="7"/>
        </w:rPr>
        <w:t>医疗队伍赶赴现场，抢救受伤群众，必要时建</w:t>
      </w:r>
      <w:r>
        <w:rPr>
          <w:spacing w:val="7"/>
        </w:rPr>
        <w:t>立战地医院或医疗点，实施现场救治；加强救</w:t>
      </w:r>
      <w:r>
        <w:rPr>
          <w:spacing w:val="7"/>
        </w:rPr>
        <w:t>护车、医疗器械、药品和血浆的组织调度，确</w:t>
      </w:r>
      <w:r>
        <w:rPr>
          <w:spacing w:val="7"/>
        </w:rPr>
        <w:t>保被救人员得到及时医治，最大限度减少伤员</w:t>
      </w:r>
      <w:r>
        <w:rPr>
          <w:spacing w:val="7"/>
        </w:rPr>
        <w:t>致死、致残；统筹周边地区的医疗资源，根据</w:t>
      </w:r>
      <w:r>
        <w:rPr>
          <w:spacing w:val="8"/>
        </w:rPr>
        <w:t>需要分流重伤员，实施异地救治；做好伤员、</w:t>
      </w:r>
      <w:r>
        <w:rPr>
          <w:spacing w:val="8"/>
        </w:rPr>
        <w:t>灾区群众和救援人员的医疗服务与心理救援；</w:t>
      </w:r>
      <w:r>
        <w:rPr>
          <w:spacing w:val="7"/>
        </w:rPr>
        <w:t>加强灾区卫生防疫工作，防范和控制各种传染</w:t>
      </w:r>
      <w:r>
        <w:rPr>
          <w:spacing w:val="7"/>
        </w:rPr>
        <w:t>病的暴发流行，做好灾区学校、灾民安置场所</w:t>
      </w:r>
      <w:r>
        <w:rPr>
          <w:spacing w:val="7"/>
        </w:rPr>
        <w:t>的消毒工作；实行重大传染病和突发卫生事件</w:t>
      </w:r>
      <w:r>
        <w:rPr>
          <w:spacing w:val="7"/>
        </w:rPr>
        <w:t>每日报告制度；开展传染病等突发公共卫生事</w:t>
      </w:r>
      <w:r>
        <w:rPr>
          <w:spacing w:val="8"/>
        </w:rPr>
        <w:t>件防治知识宣传。</w:t>
      </w:r>
    </w:p>
    <w:p>
      <w:pPr>
        <w:pStyle w:val="BodyText"/>
        <w:ind w:right="18" w:firstLine="422"/>
        <w:spacing w:before="2" w:line="346" w:lineRule="auto"/>
        <w:rPr/>
      </w:pPr>
      <w:r>
        <w:rPr>
          <w:spacing w:val="6"/>
        </w:rPr>
        <w:t>市农业农村局：联合有关部门做好生物疫</w:t>
      </w:r>
      <w:r>
        <w:rPr>
          <w:spacing w:val="-8"/>
        </w:rPr>
        <w:t>情防疫、死亡动物无害化处理和消毒灭源等工作。</w:t>
      </w:r>
    </w:p>
    <w:p>
      <w:pPr>
        <w:pStyle w:val="BodyText"/>
        <w:ind w:left="2" w:right="78" w:firstLine="420"/>
        <w:spacing w:before="42" w:line="365" w:lineRule="auto"/>
        <w:rPr/>
      </w:pPr>
      <w:r>
        <w:rPr>
          <w:spacing w:val="6"/>
        </w:rPr>
        <w:t>市生态环境局、卫生健康委员会、市场监</w:t>
      </w:r>
      <w:r>
        <w:rPr>
          <w:spacing w:val="8"/>
        </w:rPr>
        <w:t>管局：负责检查、监测灾区饮用水源、食品、</w:t>
      </w:r>
      <w:r>
        <w:rPr>
          <w:spacing w:val="9"/>
        </w:rPr>
        <w:t>药品，确保灾民饮水、食品和药品安全。</w:t>
      </w:r>
    </w:p>
    <w:p>
      <w:pPr>
        <w:pStyle w:val="BodyText"/>
        <w:ind w:left="421" w:right="367" w:hanging="8"/>
        <w:spacing w:line="364" w:lineRule="auto"/>
        <w:rPr/>
      </w:pPr>
      <w:r>
        <w:rPr>
          <w:spacing w:val="8"/>
        </w:rPr>
        <w:t>（</w:t>
      </w:r>
      <w:r>
        <w:rPr>
          <w:rFonts w:ascii="Times New Roman" w:hAnsi="Times New Roman" w:eastAsia="Times New Roman" w:cs="Times New Roman"/>
          <w:spacing w:val="8"/>
        </w:rPr>
        <w:t>4</w:t>
      </w:r>
      <w:r>
        <w:rPr>
          <w:rFonts w:ascii="Times New Roman" w:hAnsi="Times New Roman" w:eastAsia="Times New Roman" w:cs="Times New Roman"/>
          <w:spacing w:val="-20"/>
        </w:rPr>
        <w:t xml:space="preserve"> </w:t>
      </w:r>
      <w:r>
        <w:rPr>
          <w:spacing w:val="8"/>
        </w:rPr>
        <w:t>）基础设施保障和生产恢复工作组</w:t>
      </w:r>
      <w:r>
        <w:rPr>
          <w:spacing w:val="9"/>
        </w:rPr>
        <w:t>组长单位：市发展和改革委员会</w:t>
      </w:r>
    </w:p>
    <w:p>
      <w:pPr>
        <w:pStyle w:val="BodyText"/>
        <w:ind w:left="427"/>
        <w:spacing w:before="2" w:line="278" w:lineRule="exact"/>
        <w:rPr/>
      </w:pPr>
      <w:r>
        <w:rPr>
          <w:spacing w:val="6"/>
          <w:position w:val="1"/>
        </w:rPr>
        <w:t>副组长单位：市交通运输局、城市管理局</w:t>
      </w:r>
    </w:p>
    <w:p>
      <w:pPr>
        <w:pStyle w:val="BodyText"/>
        <w:ind w:left="2" w:right="36" w:firstLine="419"/>
        <w:spacing w:before="116" w:line="366" w:lineRule="auto"/>
        <w:rPr/>
      </w:pPr>
      <w:r>
        <w:rPr>
          <w:spacing w:val="6"/>
        </w:rPr>
        <w:t>成员单位：市工业和信息化局、交通运输</w:t>
      </w:r>
      <w:r>
        <w:rPr>
          <w:spacing w:val="7"/>
        </w:rPr>
        <w:t>局、文化旅游广播电视局、道路运输综合执法</w:t>
      </w:r>
      <w:r>
        <w:rPr/>
        <w:t>支队、公路管理中心固原分中心、固原车务段，</w:t>
      </w:r>
      <w:r>
        <w:rPr>
          <w:spacing w:val="18"/>
        </w:rPr>
        <w:t>由市应急管理指挥部工作应急救援工作需要</w:t>
      </w:r>
      <w:r>
        <w:rPr>
          <w:spacing w:val="2"/>
        </w:rPr>
        <w:t>确定的非政府职能部门（单位）。</w:t>
      </w:r>
    </w:p>
    <w:p>
      <w:pPr>
        <w:pStyle w:val="BodyText"/>
        <w:ind w:left="2" w:right="101" w:firstLine="427"/>
        <w:spacing w:before="1" w:line="293" w:lineRule="auto"/>
        <w:rPr/>
      </w:pPr>
      <w:r>
        <w:rPr>
          <w:spacing w:val="6"/>
        </w:rPr>
        <w:t>主要职责：组织抢修维护铁路、公路、桥</w:t>
      </w:r>
      <w:r>
        <w:rPr>
          <w:spacing w:val="7"/>
        </w:rPr>
        <w:t>梁、隧道等交通设施和供电、供水、供热、防</w:t>
      </w:r>
    </w:p>
    <w:p>
      <w:pPr>
        <w:spacing w:line="293" w:lineRule="auto"/>
        <w:sectPr>
          <w:type w:val="continuous"/>
          <w:pgSz w:w="11906" w:h="16839"/>
          <w:pgMar w:top="1828" w:right="1489" w:bottom="1556" w:left="1567" w:header="1428" w:footer="1172" w:gutter="0"/>
          <w:cols w:equalWidth="0" w:num="2">
            <w:col w:w="4502" w:space="100"/>
            <w:col w:w="4249" w:space="0"/>
          </w:cols>
        </w:sectPr>
        <w:rPr/>
      </w:pPr>
    </w:p>
    <w:p>
      <w:pPr>
        <w:spacing w:before="72"/>
        <w:rPr/>
      </w:pPr>
      <w:r>
        <w:drawing>
          <wp:anchor distT="0" distB="0" distL="0" distR="0" simplePos="0" relativeHeight="252381184"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500" name="IM 1500"/>
            <wp:cNvGraphicFramePr/>
            <a:graphic>
              <a:graphicData uri="http://schemas.openxmlformats.org/drawingml/2006/picture">
                <pic:pic>
                  <pic:nvPicPr>
                    <pic:cNvPr id="1500" name="IM 1500"/>
                    <pic:cNvPicPr/>
                  </pic:nvPicPr>
                  <pic:blipFill>
                    <a:blip r:embed="rId752"/>
                    <a:stretch>
                      <a:fillRect/>
                    </a:stretch>
                  </pic:blipFill>
                  <pic:spPr>
                    <a:xfrm rot="0">
                      <a:off x="0" y="0"/>
                      <a:ext cx="5579745" cy="7620"/>
                    </a:xfrm>
                    <a:prstGeom prst="rect">
                      <a:avLst/>
                    </a:prstGeom>
                  </pic:spPr>
                </pic:pic>
              </a:graphicData>
            </a:graphic>
          </wp:anchor>
        </w:drawing>
      </w:r>
      <w:r/>
    </w:p>
    <w:p>
      <w:pPr>
        <w:sectPr>
          <w:headerReference w:type="default" r:id="rId750"/>
          <w:footerReference w:type="default" r:id="rId751"/>
          <w:pgSz w:w="11906" w:h="16839"/>
          <w:pgMar w:top="1766" w:right="1507" w:bottom="1551" w:left="1576" w:header="1428" w:footer="1172" w:gutter="0"/>
          <w:cols w:equalWidth="0" w:num="1">
            <w:col w:w="8823" w:space="0"/>
          </w:cols>
        </w:sectPr>
        <w:rPr/>
      </w:pPr>
    </w:p>
    <w:p>
      <w:pPr>
        <w:pStyle w:val="BodyText"/>
        <w:ind w:left="15" w:right="322" w:firstLine="3"/>
        <w:spacing w:before="43" w:line="360" w:lineRule="auto"/>
        <w:jc w:val="both"/>
        <w:rPr/>
      </w:pPr>
      <w:r>
        <w:rPr>
          <w:spacing w:val="7"/>
        </w:rPr>
        <w:t>洪、通信、广播电视等设施；组织生产、调运</w:t>
      </w:r>
      <w:r>
        <w:rPr>
          <w:spacing w:val="7"/>
        </w:rPr>
        <w:t>抢险救援产品，调运生产物资和装备，保障灾</w:t>
      </w:r>
      <w:r>
        <w:rPr>
          <w:spacing w:val="7"/>
        </w:rPr>
        <w:t>区抢险应急物资供应；协调运力优先保证应急</w:t>
      </w:r>
      <w:r>
        <w:rPr>
          <w:spacing w:val="9"/>
        </w:rPr>
        <w:t>抢险救援人员和救灾物资的运输需要。</w:t>
      </w:r>
    </w:p>
    <w:p>
      <w:pPr>
        <w:pStyle w:val="BodyText"/>
        <w:ind w:left="15" w:right="322" w:firstLine="423"/>
        <w:spacing w:before="17" w:line="341" w:lineRule="auto"/>
        <w:rPr/>
      </w:pPr>
      <w:r>
        <w:rPr>
          <w:spacing w:val="6"/>
        </w:rPr>
        <w:t>市发展和改革委员会：协调基础设施抢修</w:t>
      </w:r>
      <w:r>
        <w:rPr>
          <w:spacing w:val="8"/>
        </w:rPr>
        <w:t>及装备的调运工作。</w:t>
      </w:r>
    </w:p>
    <w:p>
      <w:pPr>
        <w:pStyle w:val="BodyText"/>
        <w:ind w:left="16" w:right="322" w:firstLine="422"/>
        <w:spacing w:before="39" w:line="347" w:lineRule="auto"/>
        <w:jc w:val="both"/>
        <w:rPr/>
      </w:pPr>
      <w:r>
        <w:rPr>
          <w:spacing w:val="6"/>
        </w:rPr>
        <w:t>市城市管理局及相关职能部门：负责迅速</w:t>
      </w:r>
      <w:r>
        <w:rPr>
          <w:spacing w:val="7"/>
        </w:rPr>
        <w:t>组织救灾人员，对供热、供排水等基础设施进</w:t>
      </w:r>
      <w:r>
        <w:rPr>
          <w:spacing w:val="7"/>
        </w:rPr>
        <w:t>行抢修恢复。</w:t>
      </w:r>
    </w:p>
    <w:p>
      <w:pPr>
        <w:pStyle w:val="BodyText"/>
        <w:ind w:left="15" w:right="299" w:firstLine="423"/>
        <w:spacing w:before="48" w:line="359" w:lineRule="auto"/>
        <w:jc w:val="both"/>
        <w:rPr/>
      </w:pPr>
      <w:r>
        <w:rPr>
          <w:spacing w:val="8"/>
        </w:rPr>
        <w:t>市交通运输局、道路运输综合执法支队、</w:t>
      </w:r>
      <w:r>
        <w:rPr>
          <w:spacing w:val="7"/>
        </w:rPr>
        <w:t>公路管理中心固原分中心、固原车务段、固原</w:t>
      </w:r>
      <w:r>
        <w:rPr>
          <w:spacing w:val="7"/>
        </w:rPr>
        <w:t>机场：负责灾区交通保障工作。组织对被毁机</w:t>
      </w:r>
      <w:r>
        <w:rPr>
          <w:spacing w:val="7"/>
        </w:rPr>
        <w:t>场、铁路、公路、桥梁、隧道和相关设施的抢</w:t>
      </w:r>
      <w:r>
        <w:rPr>
          <w:spacing w:val="7"/>
        </w:rPr>
        <w:t>修恢复，确保灾区交通畅通；协调运力优先保</w:t>
      </w:r>
      <w:r>
        <w:rPr>
          <w:spacing w:val="7"/>
        </w:rPr>
        <w:t>证应急抢险救援人员、救灾物资和伤病人员的</w:t>
      </w:r>
      <w:r>
        <w:rPr>
          <w:spacing w:val="-5"/>
        </w:rPr>
        <w:t>运输需要，协调转移灾民所需的交通运输工具。</w:t>
      </w:r>
    </w:p>
    <w:p>
      <w:pPr>
        <w:pStyle w:val="BodyText"/>
        <w:ind w:left="17" w:right="322" w:firstLine="420"/>
        <w:spacing w:before="6" w:line="362" w:lineRule="auto"/>
        <w:jc w:val="both"/>
        <w:rPr/>
      </w:pPr>
      <w:r>
        <w:rPr>
          <w:spacing w:val="19"/>
        </w:rPr>
        <w:t>市工业和信息化局、文化旅游广播电视</w:t>
      </w:r>
      <w:r>
        <w:rPr>
          <w:spacing w:val="7"/>
        </w:rPr>
        <w:t>局、电信公司、移动公司、联通公司：负责应</w:t>
      </w:r>
      <w:r>
        <w:rPr>
          <w:spacing w:val="7"/>
        </w:rPr>
        <w:t>急通信保障。组织抢险人员做好广播电视及各</w:t>
      </w:r>
      <w:r>
        <w:rPr>
          <w:spacing w:val="8"/>
        </w:rPr>
        <w:t>自通信基础设施的抢修恢复。</w:t>
      </w:r>
    </w:p>
    <w:p>
      <w:pPr>
        <w:pStyle w:val="BodyText"/>
        <w:ind w:left="17" w:right="322" w:firstLine="418"/>
        <w:spacing w:before="14" w:line="348" w:lineRule="auto"/>
        <w:rPr/>
      </w:pPr>
      <w:r>
        <w:rPr>
          <w:spacing w:val="7"/>
        </w:rPr>
        <w:t>其他非政府职能部门（单位）根据职责分</w:t>
      </w:r>
      <w:r>
        <w:rPr>
          <w:spacing w:val="-5"/>
        </w:rPr>
        <w:t>工和指挥部的要求，承担相应的应急救援任务。</w:t>
      </w:r>
    </w:p>
    <w:p>
      <w:pPr>
        <w:pStyle w:val="BodyText"/>
        <w:ind w:left="16" w:right="325" w:firstLine="412"/>
        <w:spacing w:before="38" w:line="347" w:lineRule="auto"/>
        <w:rPr/>
      </w:pPr>
      <w:r>
        <w:rPr>
          <w:spacing w:val="8"/>
        </w:rPr>
        <w:t>（</w:t>
      </w:r>
      <w:r>
        <w:rPr>
          <w:spacing w:val="-45"/>
        </w:rPr>
        <w:t xml:space="preserve"> </w:t>
      </w:r>
      <w:r>
        <w:rPr>
          <w:rFonts w:ascii="Times New Roman" w:hAnsi="Times New Roman" w:eastAsia="Times New Roman" w:cs="Times New Roman"/>
          <w:spacing w:val="8"/>
        </w:rPr>
        <w:t>5</w:t>
      </w:r>
      <w:r>
        <w:rPr>
          <w:rFonts w:ascii="Times New Roman" w:hAnsi="Times New Roman" w:eastAsia="Times New Roman" w:cs="Times New Roman"/>
          <w:spacing w:val="-19"/>
        </w:rPr>
        <w:t xml:space="preserve"> </w:t>
      </w:r>
      <w:r>
        <w:rPr>
          <w:spacing w:val="8"/>
        </w:rPr>
        <w:t>）救灾捐赠和涉外与涉港澳台事务工</w:t>
      </w:r>
      <w:r>
        <w:rPr>
          <w:spacing w:val="4"/>
        </w:rPr>
        <w:t>作组。</w:t>
      </w:r>
    </w:p>
    <w:p>
      <w:pPr>
        <w:pStyle w:val="BodyText"/>
        <w:ind w:left="436"/>
        <w:spacing w:before="40" w:line="277" w:lineRule="exact"/>
        <w:rPr/>
      </w:pPr>
      <w:r>
        <w:rPr>
          <w:spacing w:val="9"/>
          <w:position w:val="1"/>
        </w:rPr>
        <w:t>组长单位：市政府办</w:t>
      </w:r>
    </w:p>
    <w:p>
      <w:pPr>
        <w:pStyle w:val="BodyText"/>
        <w:ind w:left="442"/>
        <w:spacing w:before="119" w:line="278" w:lineRule="exact"/>
        <w:rPr/>
      </w:pPr>
      <w:r>
        <w:rPr>
          <w:spacing w:val="8"/>
          <w:position w:val="1"/>
        </w:rPr>
        <w:t>副组长单位：市应急管理局</w:t>
      </w:r>
    </w:p>
    <w:p>
      <w:pPr>
        <w:pStyle w:val="BodyText"/>
        <w:ind w:left="15" w:right="322" w:firstLine="421"/>
        <w:spacing w:before="117" w:line="366" w:lineRule="auto"/>
        <w:jc w:val="both"/>
        <w:rPr/>
      </w:pPr>
      <w:r>
        <w:rPr>
          <w:spacing w:val="6"/>
        </w:rPr>
        <w:t>成员单位：市民政局、文化旅游广播电视</w:t>
      </w:r>
      <w:r>
        <w:rPr>
          <w:spacing w:val="7"/>
        </w:rPr>
        <w:t>局、外事办、由市应急管理指挥部根据工作需</w:t>
      </w:r>
      <w:r>
        <w:rPr>
          <w:spacing w:val="3"/>
        </w:rPr>
        <w:t>要确定的非政府职能部门（单位）。</w:t>
      </w:r>
    </w:p>
    <w:p>
      <w:pPr>
        <w:pStyle w:val="BodyText"/>
        <w:ind w:left="16" w:right="322" w:firstLine="428"/>
        <w:spacing w:before="2" w:line="360" w:lineRule="auto"/>
        <w:jc w:val="both"/>
        <w:rPr/>
      </w:pPr>
      <w:r>
        <w:rPr>
          <w:spacing w:val="6"/>
        </w:rPr>
        <w:t>主要职责：接受和安排国内外捐赠，协调</w:t>
      </w:r>
      <w:r>
        <w:rPr>
          <w:spacing w:val="7"/>
        </w:rPr>
        <w:t>国内外专业救援队现场救援行动，处理其他涉</w:t>
      </w:r>
      <w:r>
        <w:rPr>
          <w:spacing w:val="8"/>
        </w:rPr>
        <w:t>外事务和涉港澳台事务。</w:t>
      </w:r>
    </w:p>
    <w:p>
      <w:pPr>
        <w:pStyle w:val="BodyText"/>
        <w:ind w:left="438"/>
        <w:spacing w:before="16" w:line="277" w:lineRule="exact"/>
        <w:rPr/>
      </w:pPr>
      <w:r>
        <w:rPr>
          <w:spacing w:val="6"/>
          <w:position w:val="1"/>
        </w:rPr>
        <w:t>市政府办、应急管理局、民政局：负责救</w:t>
      </w:r>
    </w:p>
    <w:p>
      <w:pPr>
        <w:spacing w:line="14" w:lineRule="auto"/>
        <w:rPr>
          <w:rFonts w:ascii="Arial"/>
          <w:sz w:val="2"/>
        </w:rPr>
      </w:pPr>
      <w:r>
        <w:rPr>
          <w:rFonts w:ascii="Arial" w:hAnsi="Arial" w:eastAsia="Arial" w:cs="Arial"/>
          <w:sz w:val="2"/>
          <w:szCs w:val="2"/>
        </w:rPr>
        <w:br w:type="column"/>
      </w:r>
    </w:p>
    <w:p>
      <w:pPr>
        <w:pStyle w:val="BodyText"/>
        <w:ind w:right="80" w:firstLine="9"/>
        <w:spacing w:before="41" w:line="364" w:lineRule="auto"/>
        <w:jc w:val="both"/>
        <w:rPr/>
      </w:pPr>
      <w:r>
        <w:rPr>
          <w:spacing w:val="7"/>
        </w:rPr>
        <w:t>灾援助的统一管理。视灾情开展为灾区人民捐</w:t>
      </w:r>
      <w:r>
        <w:rPr>
          <w:spacing w:val="7"/>
        </w:rPr>
        <w:t>款捐物活动，加强救灾捐赠的组织发动，呼吁</w:t>
      </w:r>
      <w:r>
        <w:rPr>
          <w:spacing w:val="7"/>
        </w:rPr>
        <w:t>国际社会提供紧急援助；必要时组织非灾区县</w:t>
      </w:r>
      <w:r>
        <w:rPr>
          <w:spacing w:val="5"/>
        </w:rPr>
        <w:t>（</w:t>
      </w:r>
      <w:r>
        <w:rPr>
          <w:spacing w:val="-45"/>
        </w:rPr>
        <w:t xml:space="preserve"> </w:t>
      </w:r>
      <w:r>
        <w:rPr>
          <w:spacing w:val="5"/>
        </w:rPr>
        <w:t>区）政府，通过提供人力、物力、财力、智</w:t>
      </w:r>
      <w:r>
        <w:rPr>
          <w:spacing w:val="7"/>
        </w:rPr>
        <w:t>力等形式，对灾区进行对口支援。广泛动员群</w:t>
      </w:r>
      <w:r>
        <w:rPr>
          <w:spacing w:val="9"/>
        </w:rPr>
        <w:t>众，鼓励采取投亲靠友等方式安置灾民。</w:t>
      </w:r>
    </w:p>
    <w:p>
      <w:pPr>
        <w:pStyle w:val="BodyText"/>
        <w:ind w:left="8" w:right="83" w:firstLine="421"/>
        <w:spacing w:before="1" w:line="366" w:lineRule="auto"/>
        <w:jc w:val="both"/>
        <w:rPr/>
      </w:pPr>
      <w:r>
        <w:rPr>
          <w:spacing w:val="6"/>
        </w:rPr>
        <w:t>市文化旅游广播电视局、外事办：负责旅</w:t>
      </w:r>
      <w:r>
        <w:rPr>
          <w:spacing w:val="7"/>
        </w:rPr>
        <w:t>游和涉外救援处置工作。发布针对赴灾区和途</w:t>
      </w:r>
      <w:r>
        <w:rPr>
          <w:spacing w:val="7"/>
        </w:rPr>
        <w:t>经灾区旅游的预警信息；做好旅游景区及游客</w:t>
      </w:r>
      <w:r>
        <w:rPr>
          <w:spacing w:val="7"/>
        </w:rPr>
        <w:t>的地震救援处置工作，参与协调处理处于灾区</w:t>
      </w:r>
      <w:r>
        <w:rPr>
          <w:spacing w:val="7"/>
        </w:rPr>
        <w:t>的境外来固原旅游团队人员的安置；处理抗震</w:t>
      </w:r>
      <w:r>
        <w:rPr>
          <w:spacing w:val="7"/>
        </w:rPr>
        <w:t>救灾涉外、涉港澳台事务，协调安排境外救援</w:t>
      </w:r>
      <w:r>
        <w:rPr>
          <w:spacing w:val="9"/>
        </w:rPr>
        <w:t>队在灾区开展救援行动，并做好相关保障。</w:t>
      </w:r>
    </w:p>
    <w:p>
      <w:pPr>
        <w:pStyle w:val="BodyText"/>
        <w:ind w:left="9" w:right="83" w:firstLine="418"/>
        <w:spacing w:before="2" w:line="347" w:lineRule="auto"/>
        <w:rPr/>
      </w:pPr>
      <w:r>
        <w:rPr>
          <w:spacing w:val="7"/>
        </w:rPr>
        <w:t>其他非政府职能部门（单位）根据职责分</w:t>
      </w:r>
      <w:r>
        <w:rPr>
          <w:spacing w:val="-5"/>
        </w:rPr>
        <w:t>工好指挥部的要求，承担相应的应急救援任务。</w:t>
      </w:r>
    </w:p>
    <w:p>
      <w:pPr>
        <w:pStyle w:val="BodyText"/>
        <w:ind w:left="427" w:hanging="8"/>
        <w:spacing w:before="37" w:line="365" w:lineRule="auto"/>
        <w:rPr/>
      </w:pPr>
      <w:r>
        <w:rPr>
          <w:spacing w:val="-6"/>
        </w:rPr>
        <w:t>（</w:t>
      </w:r>
      <w:r>
        <w:rPr>
          <w:rFonts w:ascii="Times New Roman" w:hAnsi="Times New Roman" w:eastAsia="Times New Roman" w:cs="Times New Roman"/>
          <w:spacing w:val="-6"/>
        </w:rPr>
        <w:t>6</w:t>
      </w:r>
      <w:r>
        <w:rPr>
          <w:rFonts w:ascii="Times New Roman" w:hAnsi="Times New Roman" w:eastAsia="Times New Roman" w:cs="Times New Roman"/>
          <w:spacing w:val="-14"/>
        </w:rPr>
        <w:t xml:space="preserve"> </w:t>
      </w:r>
      <w:r>
        <w:rPr>
          <w:spacing w:val="-6"/>
        </w:rPr>
        <w:t>）地震监测和次生灾害防范处置工作组。</w:t>
      </w:r>
      <w:r>
        <w:rPr>
          <w:spacing w:val="9"/>
        </w:rPr>
        <w:t>组长单位：市地震局</w:t>
      </w:r>
    </w:p>
    <w:p>
      <w:pPr>
        <w:pStyle w:val="BodyText"/>
        <w:ind w:left="434"/>
        <w:spacing w:before="2" w:line="278" w:lineRule="exact"/>
        <w:rPr/>
      </w:pPr>
      <w:r>
        <w:rPr>
          <w:spacing w:val="9"/>
          <w:position w:val="1"/>
        </w:rPr>
        <w:t>副组长单位：应急管理局</w:t>
      </w:r>
    </w:p>
    <w:p>
      <w:pPr>
        <w:pStyle w:val="BodyText"/>
        <w:ind w:left="7" w:right="60" w:firstLine="420"/>
        <w:spacing w:before="116" w:line="366" w:lineRule="auto"/>
        <w:jc w:val="both"/>
        <w:rPr/>
      </w:pPr>
      <w:r>
        <w:rPr>
          <w:spacing w:val="8"/>
        </w:rPr>
        <w:t>成员单位：市生态环境局、交通运输局、</w:t>
      </w:r>
      <w:r>
        <w:rPr>
          <w:spacing w:val="7"/>
        </w:rPr>
        <w:t>水务局、气象局、消防支队、固原地震台，市</w:t>
      </w:r>
      <w:r>
        <w:rPr>
          <w:spacing w:val="18"/>
        </w:rPr>
        <w:t>应急管理指挥部根据应急救援工作需要确定</w:t>
      </w:r>
      <w:r>
        <w:rPr>
          <w:spacing w:val="1"/>
        </w:rPr>
        <w:t>的非政府职能部门（单位）。</w:t>
      </w:r>
    </w:p>
    <w:p>
      <w:pPr>
        <w:pStyle w:val="BodyText"/>
        <w:ind w:left="6" w:right="16" w:firstLine="429"/>
        <w:spacing w:before="11" w:line="349" w:lineRule="auto"/>
        <w:jc w:val="both"/>
        <w:rPr/>
      </w:pPr>
      <w:r>
        <w:rPr>
          <w:spacing w:val="6"/>
        </w:rPr>
        <w:t>主要职责：密切监视震情发展，做好余震</w:t>
      </w:r>
      <w:r>
        <w:rPr>
          <w:spacing w:val="7"/>
        </w:rPr>
        <w:t>防范；及时组织扑救火灾，处置危险化学品泄</w:t>
      </w:r>
      <w:r>
        <w:rPr>
          <w:spacing w:val="7"/>
        </w:rPr>
        <w:t>漏事故，做好灾区防火以及灾区安全生产隐患</w:t>
      </w:r>
      <w:r>
        <w:rPr>
          <w:spacing w:val="7"/>
        </w:rPr>
        <w:t>和环境风险排查、防范工作；加强震区灾害性</w:t>
      </w:r>
      <w:r>
        <w:rPr>
          <w:spacing w:val="7"/>
        </w:rPr>
        <w:t>天气监测，做好灾害性天气的预报和气象灾害</w:t>
      </w:r>
      <w:r>
        <w:rPr>
          <w:spacing w:val="7"/>
        </w:rPr>
        <w:t>的预警预报服务及防范工作；对重大地质、水</w:t>
      </w:r>
      <w:r>
        <w:rPr>
          <w:spacing w:val="15"/>
        </w:rPr>
        <w:t>利灾害隐患进行监测预警</w:t>
      </w:r>
      <w:r>
        <w:rPr>
          <w:spacing w:val="-39"/>
        </w:rPr>
        <w:t xml:space="preserve"> </w:t>
      </w:r>
      <w:r>
        <w:rPr>
          <w:spacing w:val="15"/>
        </w:rPr>
        <w:t>，一旦发生山体崩</w:t>
      </w:r>
      <w:r>
        <w:rPr/>
        <w:t>塌、滑坡、泥石流、堰塞湖、地面塌陷等险情，</w:t>
      </w:r>
      <w:r>
        <w:rPr>
          <w:spacing w:val="7"/>
        </w:rPr>
        <w:t>及时组织疏散群众；加强河湖水质监测和危险</w:t>
      </w:r>
      <w:r>
        <w:rPr>
          <w:spacing w:val="7"/>
        </w:rPr>
        <w:t>化学品等污染物防控，保障灾区水库安全和饮</w:t>
      </w:r>
      <w:r>
        <w:rPr>
          <w:spacing w:val="9"/>
        </w:rPr>
        <w:t>用水源安全；对易于发生次生灾害的危险源、</w:t>
      </w:r>
    </w:p>
    <w:p>
      <w:pPr>
        <w:spacing w:line="349" w:lineRule="auto"/>
        <w:sectPr>
          <w:type w:val="continuous"/>
          <w:pgSz w:w="11906" w:h="16839"/>
          <w:pgMar w:top="1766" w:right="1507" w:bottom="1551" w:left="1576" w:header="1428" w:footer="1172" w:gutter="0"/>
          <w:cols w:equalWidth="0" w:num="2">
            <w:col w:w="4486" w:space="100"/>
            <w:col w:w="4238" w:space="0"/>
          </w:cols>
        </w:sectPr>
        <w:rPr/>
      </w:pPr>
    </w:p>
    <w:p>
      <w:pPr>
        <w:spacing w:before="10"/>
        <w:rPr/>
      </w:pPr>
      <w:r>
        <w:drawing>
          <wp:anchor distT="0" distB="0" distL="0" distR="0" simplePos="0" relativeHeight="252392448" behindDoc="0" locked="0" layoutInCell="0" allowOverlap="1">
            <wp:simplePos x="0" y="0"/>
            <wp:positionH relativeFrom="page">
              <wp:posOffset>1008380</wp:posOffset>
            </wp:positionH>
            <wp:positionV relativeFrom="page">
              <wp:posOffset>1186180</wp:posOffset>
            </wp:positionV>
            <wp:extent cx="5579745" cy="7619"/>
            <wp:effectExtent l="0" t="0" r="0" b="0"/>
            <wp:wrapNone/>
            <wp:docPr id="1504" name="IM 1504"/>
            <wp:cNvGraphicFramePr/>
            <a:graphic>
              <a:graphicData uri="http://schemas.openxmlformats.org/drawingml/2006/picture">
                <pic:pic>
                  <pic:nvPicPr>
                    <pic:cNvPr id="1504" name="IM 1504"/>
                    <pic:cNvPicPr/>
                  </pic:nvPicPr>
                  <pic:blipFill>
                    <a:blip r:embed="rId754"/>
                    <a:stretch>
                      <a:fillRect/>
                    </a:stretch>
                  </pic:blipFill>
                  <pic:spPr>
                    <a:xfrm rot="0">
                      <a:off x="0" y="0"/>
                      <a:ext cx="5579745" cy="7619"/>
                    </a:xfrm>
                    <a:prstGeom prst="rect">
                      <a:avLst/>
                    </a:prstGeom>
                  </pic:spPr>
                </pic:pic>
              </a:graphicData>
            </a:graphic>
          </wp:anchor>
        </w:drawing>
      </w:r>
      <w:r/>
    </w:p>
    <w:p>
      <w:pPr>
        <w:sectPr>
          <w:headerReference w:type="default" r:id="rId728"/>
          <w:footerReference w:type="default" r:id="rId753"/>
          <w:pgSz w:w="11906" w:h="16839"/>
          <w:pgMar w:top="1828" w:right="1489" w:bottom="1556" w:left="1567" w:header="1428" w:footer="1172" w:gutter="0"/>
          <w:cols w:equalWidth="0" w:num="1">
            <w:col w:w="8850" w:space="0"/>
          </w:cols>
        </w:sectPr>
        <w:rPr/>
      </w:pPr>
    </w:p>
    <w:p>
      <w:pPr>
        <w:pStyle w:val="BodyText"/>
        <w:ind w:left="25" w:right="328" w:firstLine="1"/>
        <w:spacing w:before="46" w:line="360" w:lineRule="auto"/>
        <w:jc w:val="both"/>
        <w:rPr/>
      </w:pPr>
      <w:r>
        <w:rPr>
          <w:spacing w:val="7"/>
        </w:rPr>
        <w:t>重要目标物、重大关键基础设施，采取紧急处</w:t>
      </w:r>
      <w:r>
        <w:rPr>
          <w:spacing w:val="7"/>
        </w:rPr>
        <w:t>置措施并加强监控；加强灾区环境监测，清理</w:t>
      </w:r>
      <w:r>
        <w:rPr>
          <w:spacing w:val="7"/>
        </w:rPr>
        <w:t>处置危险化学品和危险废物，搜索并安全处置</w:t>
      </w:r>
      <w:r>
        <w:rPr>
          <w:spacing w:val="8"/>
        </w:rPr>
        <w:t>被掩埋的放射源。</w:t>
      </w:r>
    </w:p>
    <w:p>
      <w:pPr>
        <w:pStyle w:val="BodyText"/>
        <w:ind w:left="25" w:right="261" w:firstLine="422"/>
        <w:spacing w:before="13" w:line="360" w:lineRule="auto"/>
        <w:jc w:val="both"/>
        <w:rPr/>
      </w:pPr>
      <w:r>
        <w:rPr>
          <w:spacing w:val="6"/>
        </w:rPr>
        <w:t>市自然资源局：负责地质灾害险情的排查</w:t>
      </w:r>
      <w:r>
        <w:rPr>
          <w:spacing w:val="7"/>
        </w:rPr>
        <w:t>与应急处置工作。提供灾区影像、现状地质灾</w:t>
      </w:r>
      <w:r>
        <w:rPr>
          <w:spacing w:val="7"/>
        </w:rPr>
        <w:t>害隐患点分布资料，根据救灾需求制作专题地</w:t>
      </w:r>
      <w:r>
        <w:rPr>
          <w:spacing w:val="7"/>
        </w:rPr>
        <w:t>图；对地震可能引发的次生地质灾害进行动态</w:t>
      </w:r>
      <w:r>
        <w:rPr/>
        <w:t>监测，组织开展地质灾害灾情、险情应急调查；</w:t>
      </w:r>
      <w:r>
        <w:rPr>
          <w:spacing w:val="7"/>
        </w:rPr>
        <w:t>对重大地质灾害隐患进行监测预警，制定并落</w:t>
      </w:r>
      <w:r>
        <w:rPr>
          <w:spacing w:val="7"/>
        </w:rPr>
        <w:t>实防范措施。</w:t>
      </w:r>
    </w:p>
    <w:p>
      <w:pPr>
        <w:pStyle w:val="BodyText"/>
        <w:ind w:left="24" w:right="328" w:firstLine="423"/>
        <w:spacing w:before="4" w:line="358" w:lineRule="auto"/>
        <w:jc w:val="both"/>
        <w:rPr/>
      </w:pPr>
      <w:r>
        <w:rPr>
          <w:spacing w:val="6"/>
        </w:rPr>
        <w:t>市地震局、固原地震台：负责收集和汇总</w:t>
      </w:r>
      <w:r>
        <w:rPr>
          <w:spacing w:val="7"/>
        </w:rPr>
        <w:t>震情信息。配合宁夏地震局现场工作队，开展</w:t>
      </w:r>
      <w:r>
        <w:rPr>
          <w:spacing w:val="7"/>
        </w:rPr>
        <w:t>地震监测，密切监视震情发展；做好地震趋势</w:t>
      </w:r>
      <w:r>
        <w:rPr>
          <w:spacing w:val="9"/>
        </w:rPr>
        <w:t>判定，对地震灾情进行快速评估。</w:t>
      </w:r>
    </w:p>
    <w:p>
      <w:pPr>
        <w:pStyle w:val="BodyText"/>
        <w:ind w:left="26" w:right="328" w:firstLine="420"/>
        <w:spacing w:before="5" w:line="359" w:lineRule="auto"/>
        <w:jc w:val="both"/>
        <w:rPr/>
      </w:pPr>
      <w:r>
        <w:rPr>
          <w:spacing w:val="6"/>
        </w:rPr>
        <w:t>市应急管理局：负责和有关部门督导灾区</w:t>
      </w:r>
      <w:r>
        <w:rPr>
          <w:spacing w:val="7"/>
        </w:rPr>
        <w:t>易于发生次生灾害的地区、行业和设施加强监</w:t>
      </w:r>
      <w:r>
        <w:rPr>
          <w:spacing w:val="7"/>
        </w:rPr>
        <w:t>控并采取紧急处置措施；指导灾区做好安全生</w:t>
      </w:r>
      <w:r>
        <w:rPr>
          <w:spacing w:val="9"/>
        </w:rPr>
        <w:t>产隐患排查、防范和紧急处置工作。</w:t>
      </w:r>
    </w:p>
    <w:p>
      <w:pPr>
        <w:pStyle w:val="BodyText"/>
        <w:ind w:left="25" w:right="328" w:firstLine="421"/>
        <w:spacing w:before="7" w:line="347" w:lineRule="auto"/>
        <w:rPr/>
      </w:pPr>
      <w:r>
        <w:rPr>
          <w:spacing w:val="6"/>
        </w:rPr>
        <w:t>市交通运输局：协助对公路地质灾害险情</w:t>
      </w:r>
      <w:r>
        <w:rPr>
          <w:spacing w:val="8"/>
        </w:rPr>
        <w:t>进行动态监控和紧急处置。</w:t>
      </w:r>
    </w:p>
    <w:p>
      <w:pPr>
        <w:pStyle w:val="BodyText"/>
        <w:ind w:left="28" w:right="328" w:firstLine="419"/>
        <w:spacing w:before="39" w:line="366" w:lineRule="auto"/>
        <w:jc w:val="both"/>
        <w:rPr/>
      </w:pPr>
      <w:r>
        <w:rPr>
          <w:spacing w:val="6"/>
        </w:rPr>
        <w:t>市水务局：负责组织对地震引发的库、坝</w:t>
      </w:r>
      <w:r>
        <w:rPr>
          <w:spacing w:val="7"/>
        </w:rPr>
        <w:t>等洪水灾害进行动态监控和紧急处置。对出现</w:t>
      </w:r>
      <w:r>
        <w:rPr>
          <w:spacing w:val="18"/>
        </w:rPr>
        <w:t>险情的库、坝等水利设施进行抢险和除险加</w:t>
      </w:r>
      <w:r>
        <w:rPr>
          <w:spacing w:val="7"/>
        </w:rPr>
        <w:t>固；对地震造成的堰塞湖进行严密监视，并提</w:t>
      </w:r>
      <w:r>
        <w:rPr>
          <w:spacing w:val="8"/>
        </w:rPr>
        <w:t>出处置方案，防止次生灾害发生。</w:t>
      </w:r>
    </w:p>
    <w:p>
      <w:pPr>
        <w:pStyle w:val="BodyText"/>
        <w:ind w:left="25" w:right="328" w:firstLine="422"/>
        <w:spacing w:before="3" w:line="360" w:lineRule="auto"/>
        <w:jc w:val="both"/>
        <w:rPr/>
      </w:pPr>
      <w:r>
        <w:rPr>
          <w:spacing w:val="6"/>
        </w:rPr>
        <w:t>市生态环境局：负责对灾区环境质量的监</w:t>
      </w:r>
      <w:r>
        <w:rPr>
          <w:spacing w:val="18"/>
        </w:rPr>
        <w:t>测和环境安全隐患排查工作。加强对水质污</w:t>
      </w:r>
      <w:r>
        <w:rPr>
          <w:spacing w:val="7"/>
        </w:rPr>
        <w:t>染、危险化学品泄漏等监测，提出减轻或消除</w:t>
      </w:r>
      <w:r>
        <w:rPr>
          <w:spacing w:val="9"/>
        </w:rPr>
        <w:t>环境污染危害的建议，防止灾害扩展。</w:t>
      </w:r>
    </w:p>
    <w:p>
      <w:pPr>
        <w:pStyle w:val="BodyText"/>
        <w:ind w:left="25" w:right="328" w:firstLine="422"/>
        <w:spacing w:before="19" w:line="336" w:lineRule="auto"/>
        <w:jc w:val="both"/>
        <w:rPr/>
      </w:pPr>
      <w:r>
        <w:rPr>
          <w:spacing w:val="6"/>
        </w:rPr>
        <w:t>市气象局：负责开展灾区气象动态监测服</w:t>
      </w:r>
      <w:r>
        <w:rPr>
          <w:spacing w:val="7"/>
        </w:rPr>
        <w:t>务。及时发布灾区中短期天气预报和灾害性天</w:t>
      </w:r>
      <w:r>
        <w:rPr>
          <w:spacing w:val="7"/>
        </w:rPr>
        <w:t>气预报预警，根据已经出现或有可能出现的气</w:t>
      </w:r>
    </w:p>
    <w:p>
      <w:pPr>
        <w:spacing w:line="14" w:lineRule="auto"/>
        <w:rPr>
          <w:rFonts w:ascii="Arial"/>
          <w:sz w:val="2"/>
        </w:rPr>
      </w:pPr>
      <w:r>
        <w:rPr>
          <w:rFonts w:ascii="Arial" w:hAnsi="Arial" w:eastAsia="Arial" w:cs="Arial"/>
          <w:sz w:val="2"/>
          <w:szCs w:val="2"/>
        </w:rPr>
        <w:br w:type="column"/>
      </w:r>
    </w:p>
    <w:p>
      <w:pPr>
        <w:pStyle w:val="BodyText"/>
        <w:ind w:left="3" w:right="101"/>
        <w:spacing w:before="39" w:line="365" w:lineRule="auto"/>
        <w:rPr/>
      </w:pPr>
      <w:r>
        <w:rPr>
          <w:spacing w:val="7"/>
        </w:rPr>
        <w:t>象灾害提出应急处置建议；视情况组织实施人</w:t>
      </w:r>
      <w:r>
        <w:rPr>
          <w:spacing w:val="8"/>
        </w:rPr>
        <w:t>工影响天气作业。</w:t>
      </w:r>
    </w:p>
    <w:p>
      <w:pPr>
        <w:pStyle w:val="BodyText"/>
        <w:ind w:left="3" w:right="101" w:firstLine="418"/>
        <w:spacing w:before="1" w:line="347" w:lineRule="auto"/>
        <w:rPr/>
      </w:pPr>
      <w:r>
        <w:rPr>
          <w:spacing w:val="7"/>
        </w:rPr>
        <w:t>其他非政府职能部门（单位）根据职责分</w:t>
      </w:r>
      <w:r>
        <w:rPr>
          <w:spacing w:val="-5"/>
        </w:rPr>
        <w:t>工和指挥部的要求，承担相应的应急救援任务。</w:t>
      </w:r>
    </w:p>
    <w:p>
      <w:pPr>
        <w:pStyle w:val="BodyText"/>
        <w:ind w:left="413"/>
        <w:spacing w:before="38" w:line="278" w:lineRule="exact"/>
        <w:rPr/>
      </w:pPr>
      <w:r>
        <w:rPr>
          <w:spacing w:val="6"/>
          <w:position w:val="1"/>
        </w:rPr>
        <w:t>（</w:t>
      </w:r>
      <w:r>
        <w:rPr>
          <w:rFonts w:ascii="Times New Roman" w:hAnsi="Times New Roman" w:eastAsia="Times New Roman" w:cs="Times New Roman"/>
          <w:spacing w:val="6"/>
          <w:position w:val="1"/>
        </w:rPr>
        <w:t>7</w:t>
      </w:r>
      <w:r>
        <w:rPr>
          <w:rFonts w:ascii="Times New Roman" w:hAnsi="Times New Roman" w:eastAsia="Times New Roman" w:cs="Times New Roman"/>
          <w:spacing w:val="-15"/>
          <w:position w:val="1"/>
        </w:rPr>
        <w:t xml:space="preserve"> </w:t>
      </w:r>
      <w:r>
        <w:rPr>
          <w:spacing w:val="6"/>
          <w:position w:val="1"/>
        </w:rPr>
        <w:t>）治安保卫工作组</w:t>
      </w:r>
    </w:p>
    <w:p>
      <w:pPr>
        <w:pStyle w:val="BodyText"/>
        <w:ind w:left="422"/>
        <w:spacing w:before="118" w:line="278" w:lineRule="exact"/>
        <w:rPr/>
      </w:pPr>
      <w:r>
        <w:rPr>
          <w:spacing w:val="9"/>
          <w:position w:val="1"/>
        </w:rPr>
        <w:t>组长单位：市公安局</w:t>
      </w:r>
    </w:p>
    <w:p>
      <w:pPr>
        <w:pStyle w:val="BodyText"/>
        <w:ind w:left="428"/>
        <w:spacing w:before="118" w:line="278" w:lineRule="exact"/>
        <w:rPr/>
      </w:pPr>
      <w:r>
        <w:rPr>
          <w:spacing w:val="8"/>
          <w:position w:val="1"/>
        </w:rPr>
        <w:t>副组长单位：市交通运输局</w:t>
      </w:r>
    </w:p>
    <w:p>
      <w:pPr>
        <w:pStyle w:val="BodyText"/>
        <w:ind w:right="101" w:firstLine="421"/>
        <w:spacing w:before="116" w:line="366" w:lineRule="auto"/>
        <w:jc w:val="both"/>
        <w:rPr/>
      </w:pPr>
      <w:r>
        <w:rPr>
          <w:spacing w:val="6"/>
        </w:rPr>
        <w:t>成员单位：消防救援支队、固原道路运输</w:t>
      </w:r>
      <w:r>
        <w:rPr>
          <w:spacing w:val="7"/>
        </w:rPr>
        <w:t>综合执法支队，由市应急管理指挥部根据工作</w:t>
      </w:r>
      <w:r>
        <w:rPr>
          <w:spacing w:val="8"/>
        </w:rPr>
        <w:t>需要确定的非政府职能部门（单位）。</w:t>
      </w:r>
    </w:p>
    <w:p>
      <w:pPr>
        <w:pStyle w:val="BodyText"/>
        <w:ind w:right="20" w:firstLine="430"/>
        <w:spacing w:before="8" w:line="364" w:lineRule="auto"/>
        <w:jc w:val="both"/>
        <w:rPr/>
      </w:pPr>
      <w:r>
        <w:rPr>
          <w:spacing w:val="6"/>
        </w:rPr>
        <w:t>主要职责：组织灾区加强治安管理和安全</w:t>
      </w:r>
      <w:r>
        <w:rPr>
          <w:spacing w:val="1"/>
        </w:rPr>
        <w:t>保卫工作，严密防范、严厉打击趁机进行盗窃、</w:t>
      </w:r>
      <w:r>
        <w:rPr>
          <w:spacing w:val="7"/>
        </w:rPr>
        <w:t>抢劫、哄抢救灾物资、以赈灾募捐名义诈骗敛</w:t>
      </w:r>
      <w:r>
        <w:rPr>
          <w:spacing w:val="7"/>
        </w:rPr>
        <w:t>取不义之财、借机传播各种谣言制造社会恐慌</w:t>
      </w:r>
      <w:r>
        <w:rPr>
          <w:spacing w:val="7"/>
        </w:rPr>
        <w:t>等违法犯罪活动，维护社会治安和道路交通秩</w:t>
      </w:r>
      <w:r>
        <w:rPr>
          <w:spacing w:val="10"/>
        </w:rPr>
        <w:t>序；加强对党政机关、要害部门、金融单位、</w:t>
      </w:r>
      <w:r>
        <w:rPr>
          <w:spacing w:val="7"/>
        </w:rPr>
        <w:t>储备仓库、监狱等重要场所的警戒；做好涉灾</w:t>
      </w:r>
      <w:r>
        <w:rPr>
          <w:spacing w:val="7"/>
        </w:rPr>
        <w:t>矛盾纠纷化解和法律服务工作，切实维护社会</w:t>
      </w:r>
      <w:r>
        <w:rPr>
          <w:spacing w:val="5"/>
        </w:rPr>
        <w:t>稳定。</w:t>
      </w:r>
    </w:p>
    <w:p>
      <w:pPr>
        <w:pStyle w:val="BodyText"/>
        <w:ind w:left="1" w:right="20" w:firstLine="422"/>
        <w:spacing w:before="8" w:line="366" w:lineRule="auto"/>
        <w:jc w:val="both"/>
        <w:rPr/>
      </w:pPr>
      <w:r>
        <w:rPr>
          <w:spacing w:val="6"/>
        </w:rPr>
        <w:t>市公安局，驻固部队：负责灾区治安管理</w:t>
      </w:r>
      <w:r>
        <w:rPr>
          <w:spacing w:val="1"/>
        </w:rPr>
        <w:t>和安全保卫工作。加强对党政机关、要害部门、</w:t>
      </w:r>
      <w:r>
        <w:rPr>
          <w:spacing w:val="7"/>
        </w:rPr>
        <w:t>金融单位、储备仓库、救济物品集散点、监狱</w:t>
      </w:r>
      <w:r>
        <w:rPr>
          <w:spacing w:val="7"/>
        </w:rPr>
        <w:t>等重要目标的警戒；抢救埋压的重要设备、物</w:t>
      </w:r>
      <w:r>
        <w:rPr>
          <w:spacing w:val="7"/>
        </w:rPr>
        <w:t>品、档案及易燃易爆危险品等；严密防范、严</w:t>
      </w:r>
      <w:r>
        <w:rPr>
          <w:spacing w:val="10"/>
        </w:rPr>
        <w:t>厉打击趁机进行盗窃、抢劫、哄抢救灾物资、</w:t>
      </w:r>
      <w:r>
        <w:rPr>
          <w:spacing w:val="7"/>
        </w:rPr>
        <w:t>以赈灾募捐名义诈骗、借机传播各种谣言制造</w:t>
      </w:r>
      <w:r>
        <w:rPr>
          <w:spacing w:val="7"/>
        </w:rPr>
        <w:t>社会恐慌等违法犯罪行为；指导企业做好民爆</w:t>
      </w:r>
      <w:r>
        <w:rPr>
          <w:spacing w:val="8"/>
        </w:rPr>
        <w:t>物品的管理或转移。</w:t>
      </w:r>
    </w:p>
    <w:p>
      <w:pPr>
        <w:pStyle w:val="BodyText"/>
        <w:ind w:left="1" w:right="101" w:firstLine="422"/>
        <w:spacing w:before="1" w:line="330" w:lineRule="auto"/>
        <w:jc w:val="both"/>
        <w:rPr/>
      </w:pPr>
      <w:r>
        <w:rPr>
          <w:spacing w:val="6"/>
        </w:rPr>
        <w:t>市公安局、交通运输局、固原道路运输综</w:t>
      </w:r>
      <w:r>
        <w:rPr>
          <w:spacing w:val="7"/>
        </w:rPr>
        <w:t>合执法支队：负责维护灾区道路交通秩序。加</w:t>
      </w:r>
      <w:r>
        <w:rPr>
          <w:spacing w:val="7"/>
        </w:rPr>
        <w:t>强值勤和指挥引导，实施交通管制，限制非灾</w:t>
      </w:r>
      <w:r>
        <w:rPr>
          <w:spacing w:val="7"/>
        </w:rPr>
        <w:t>区和非救灾人员、车辆进入灾区，确保专业救</w:t>
      </w:r>
      <w:r>
        <w:rPr>
          <w:spacing w:val="10"/>
        </w:rPr>
        <w:t>援队伍优先进入灾区</w:t>
      </w:r>
      <w:r>
        <w:rPr>
          <w:spacing w:val="-44"/>
        </w:rPr>
        <w:t xml:space="preserve"> </w:t>
      </w:r>
      <w:r>
        <w:rPr>
          <w:spacing w:val="10"/>
        </w:rPr>
        <w:t>；开设应急救援</w:t>
      </w:r>
      <w:r>
        <w:rPr>
          <w:rFonts w:ascii="Times New Roman" w:hAnsi="Times New Roman" w:eastAsia="Times New Roman" w:cs="Times New Roman"/>
          <w:spacing w:val="10"/>
        </w:rPr>
        <w:t>“</w:t>
      </w:r>
      <w:r>
        <w:rPr>
          <w:spacing w:val="10"/>
        </w:rPr>
        <w:t>绿色通</w:t>
      </w:r>
    </w:p>
    <w:p>
      <w:pPr>
        <w:spacing w:line="330" w:lineRule="auto"/>
        <w:sectPr>
          <w:type w:val="continuous"/>
          <w:pgSz w:w="11906" w:h="16839"/>
          <w:pgMar w:top="1828" w:right="1489" w:bottom="1556" w:left="1567" w:header="1428" w:footer="1172" w:gutter="0"/>
          <w:cols w:equalWidth="0" w:num="2">
            <w:col w:w="4501" w:space="100"/>
            <w:col w:w="4250" w:space="0"/>
          </w:cols>
        </w:sectPr>
        <w:rPr/>
      </w:pPr>
    </w:p>
    <w:p>
      <w:pPr>
        <w:spacing w:before="63"/>
        <w:rPr/>
      </w:pPr>
      <w:r>
        <w:drawing>
          <wp:anchor distT="0" distB="0" distL="0" distR="0" simplePos="0" relativeHeight="252403712"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508" name="IM 1508"/>
            <wp:cNvGraphicFramePr/>
            <a:graphic>
              <a:graphicData uri="http://schemas.openxmlformats.org/drawingml/2006/picture">
                <pic:pic>
                  <pic:nvPicPr>
                    <pic:cNvPr id="1508" name="IM 1508"/>
                    <pic:cNvPicPr/>
                  </pic:nvPicPr>
                  <pic:blipFill>
                    <a:blip r:embed="rId756"/>
                    <a:stretch>
                      <a:fillRect/>
                    </a:stretch>
                  </pic:blipFill>
                  <pic:spPr>
                    <a:xfrm rot="0">
                      <a:off x="0" y="0"/>
                      <a:ext cx="5579745" cy="7620"/>
                    </a:xfrm>
                    <a:prstGeom prst="rect">
                      <a:avLst/>
                    </a:prstGeom>
                  </pic:spPr>
                </pic:pic>
              </a:graphicData>
            </a:graphic>
          </wp:anchor>
        </w:drawing>
      </w:r>
      <w:r/>
    </w:p>
    <w:p>
      <w:pPr>
        <w:sectPr>
          <w:headerReference w:type="default" r:id="rId750"/>
          <w:footerReference w:type="default" r:id="rId755"/>
          <w:pgSz w:w="11906" w:h="16839"/>
          <w:pgMar w:top="1766" w:right="1507" w:bottom="1551" w:left="1576" w:header="1428" w:footer="1172" w:gutter="0"/>
          <w:cols w:equalWidth="0" w:num="1">
            <w:col w:w="8823" w:space="0"/>
          </w:cols>
        </w:sectPr>
        <w:rPr/>
      </w:pPr>
    </w:p>
    <w:p>
      <w:pPr>
        <w:pStyle w:val="BodyText"/>
        <w:ind w:left="17"/>
        <w:spacing w:before="51" w:line="223" w:lineRule="auto"/>
        <w:rPr/>
      </w:pPr>
      <w:r>
        <w:rPr>
          <w:spacing w:val="6"/>
        </w:rPr>
        <w:t>道</w:t>
      </w:r>
      <w:r>
        <w:rPr>
          <w:rFonts w:ascii="Times New Roman" w:hAnsi="Times New Roman" w:eastAsia="Times New Roman" w:cs="Times New Roman"/>
          <w:spacing w:val="6"/>
        </w:rPr>
        <w:t>”</w:t>
      </w:r>
      <w:r>
        <w:rPr>
          <w:rFonts w:ascii="Times New Roman" w:hAnsi="Times New Roman" w:eastAsia="Times New Roman" w:cs="Times New Roman"/>
          <w:spacing w:val="-10"/>
        </w:rPr>
        <w:t xml:space="preserve"> </w:t>
      </w:r>
      <w:r>
        <w:rPr>
          <w:spacing w:val="6"/>
        </w:rPr>
        <w:t>，保障应急救援工作顺利开展。</w:t>
      </w:r>
    </w:p>
    <w:p>
      <w:pPr>
        <w:pStyle w:val="BodyText"/>
        <w:ind w:left="436" w:right="404" w:hanging="8"/>
        <w:spacing w:before="148" w:line="358" w:lineRule="auto"/>
        <w:rPr/>
      </w:pPr>
      <w:r>
        <w:rPr>
          <w:spacing w:val="-6"/>
        </w:rPr>
        <w:t>（</w:t>
      </w:r>
      <w:r>
        <w:rPr>
          <w:spacing w:val="-59"/>
        </w:rPr>
        <w:t xml:space="preserve"> </w:t>
      </w:r>
      <w:r>
        <w:rPr>
          <w:rFonts w:ascii="Times New Roman" w:hAnsi="Times New Roman" w:eastAsia="Times New Roman" w:cs="Times New Roman"/>
          <w:spacing w:val="-6"/>
        </w:rPr>
        <w:t>8</w:t>
      </w:r>
      <w:r>
        <w:rPr>
          <w:rFonts w:ascii="Times New Roman" w:hAnsi="Times New Roman" w:eastAsia="Times New Roman" w:cs="Times New Roman"/>
          <w:spacing w:val="-21"/>
        </w:rPr>
        <w:t xml:space="preserve"> </w:t>
      </w:r>
      <w:r>
        <w:rPr>
          <w:spacing w:val="-6"/>
        </w:rPr>
        <w:t>）地震灾害调查和灾情损失评估工作组</w:t>
      </w:r>
      <w:r>
        <w:rPr>
          <w:spacing w:val="9"/>
        </w:rPr>
        <w:t>组长单位：市应急管理局</w:t>
      </w:r>
    </w:p>
    <w:p>
      <w:pPr>
        <w:pStyle w:val="BodyText"/>
        <w:ind w:left="442"/>
        <w:spacing w:before="4" w:line="278" w:lineRule="exact"/>
        <w:rPr/>
      </w:pPr>
      <w:r>
        <w:rPr>
          <w:spacing w:val="-4"/>
          <w:position w:val="1"/>
        </w:rPr>
        <w:t>副组长单位：市地震局、住房和城乡建设局</w:t>
      </w:r>
    </w:p>
    <w:p>
      <w:pPr>
        <w:pStyle w:val="BodyText"/>
        <w:ind w:left="16" w:right="304" w:firstLine="420"/>
        <w:spacing w:before="112" w:line="356" w:lineRule="auto"/>
        <w:rPr/>
      </w:pPr>
      <w:r>
        <w:rPr>
          <w:spacing w:val="6"/>
        </w:rPr>
        <w:t>成员单位：市统计局、有关抗震救灾指挥</w:t>
      </w:r>
      <w:r>
        <w:rPr>
          <w:spacing w:val="8"/>
        </w:rPr>
        <w:t>部成员单位、人保财险公司、人寿保险公司、</w:t>
      </w:r>
      <w:r>
        <w:rPr>
          <w:spacing w:val="9"/>
        </w:rPr>
        <w:t>太平洋财险公司</w:t>
      </w:r>
    </w:p>
    <w:p>
      <w:pPr>
        <w:pStyle w:val="BodyText"/>
        <w:ind w:left="15" w:right="327" w:firstLine="429"/>
        <w:spacing w:before="10" w:line="361" w:lineRule="auto"/>
        <w:jc w:val="both"/>
        <w:rPr/>
      </w:pPr>
      <w:r>
        <w:rPr>
          <w:spacing w:val="6"/>
        </w:rPr>
        <w:t>主要职责：开展地震烈度、发震构造、灾</w:t>
      </w:r>
      <w:r>
        <w:rPr>
          <w:spacing w:val="7"/>
        </w:rPr>
        <w:t>区范围、建构筑物和基础设施破坏程度、工程</w:t>
      </w:r>
      <w:r>
        <w:rPr>
          <w:spacing w:val="7"/>
        </w:rPr>
        <w:t>结构震害特征、人员伤亡数量、地震宏观异常</w:t>
      </w:r>
      <w:r>
        <w:rPr>
          <w:spacing w:val="7"/>
        </w:rPr>
        <w:t>现象、地震社会影响和各种地震地质灾害等调</w:t>
      </w:r>
      <w:r>
        <w:rPr>
          <w:spacing w:val="7"/>
        </w:rPr>
        <w:t>查，对地震灾害损失进行评估；组织开展灾区</w:t>
      </w:r>
      <w:r>
        <w:rPr>
          <w:spacing w:val="7"/>
        </w:rPr>
        <w:t>房屋安全性鉴定工作；指导灾区做好保险理赔</w:t>
      </w:r>
      <w:r>
        <w:rPr>
          <w:spacing w:val="6"/>
        </w:rPr>
        <w:t>和给付。</w:t>
      </w:r>
    </w:p>
    <w:p>
      <w:pPr>
        <w:pStyle w:val="BodyText"/>
        <w:ind w:left="15" w:right="304" w:firstLine="423"/>
        <w:spacing w:before="1" w:line="365" w:lineRule="auto"/>
        <w:jc w:val="both"/>
        <w:rPr/>
      </w:pPr>
      <w:r>
        <w:rPr>
          <w:spacing w:val="6"/>
        </w:rPr>
        <w:t>市应急管理局、地震局、住房和城乡建设</w:t>
      </w:r>
      <w:r>
        <w:rPr>
          <w:spacing w:val="7"/>
        </w:rPr>
        <w:t>局：负责对地震灾害损失进行调查和评估。组</w:t>
      </w:r>
      <w:r>
        <w:rPr>
          <w:spacing w:val="18"/>
        </w:rPr>
        <w:t>织有关专业技术人员开展地震烈度、发震构</w:t>
      </w:r>
      <w:r>
        <w:rPr>
          <w:spacing w:val="7"/>
        </w:rPr>
        <w:t>造、灾区范围、受灾人口、成灾人口、人员伤</w:t>
      </w:r>
      <w:r>
        <w:rPr>
          <w:spacing w:val="8"/>
        </w:rPr>
        <w:t>亡数量、地震宏观异常现象、环境影响程度、</w:t>
      </w:r>
      <w:r>
        <w:rPr>
          <w:spacing w:val="7"/>
        </w:rPr>
        <w:t>地震社会影响和各种地震地质灾害等调查；分</w:t>
      </w:r>
      <w:r>
        <w:rPr>
          <w:spacing w:val="7"/>
        </w:rPr>
        <w:t>析工程结构震害特征，了解建构筑物和基础设</w:t>
      </w:r>
      <w:r>
        <w:rPr>
          <w:spacing w:val="8"/>
        </w:rPr>
        <w:t>施破坏程度，开展灾区房屋安全性鉴定工作；</w:t>
      </w:r>
      <w:r>
        <w:rPr>
          <w:spacing w:val="7"/>
        </w:rPr>
        <w:t>组织召开地震灾害损失评定会议，向市政府提</w:t>
      </w:r>
      <w:r>
        <w:rPr>
          <w:spacing w:val="7"/>
        </w:rPr>
        <w:t>交评估结果。</w:t>
      </w:r>
    </w:p>
    <w:p>
      <w:pPr>
        <w:pStyle w:val="BodyText"/>
        <w:ind w:left="16" w:right="321" w:firstLine="421"/>
        <w:spacing w:before="2" w:line="361" w:lineRule="auto"/>
        <w:jc w:val="both"/>
        <w:rPr/>
      </w:pPr>
      <w:r>
        <w:rPr>
          <w:spacing w:val="7"/>
        </w:rPr>
        <w:t>市统计局：负责提供灾区基础统计数据，</w:t>
      </w:r>
      <w:r>
        <w:rPr>
          <w:spacing w:val="7"/>
        </w:rPr>
        <w:t>做好灾后主要经济指标统计，协助地震灾害损</w:t>
      </w:r>
      <w:r>
        <w:rPr>
          <w:spacing w:val="6"/>
        </w:rPr>
        <w:t>失评估。</w:t>
      </w:r>
    </w:p>
    <w:p>
      <w:pPr>
        <w:pStyle w:val="BodyText"/>
        <w:ind w:left="16" w:right="304" w:firstLine="420"/>
        <w:spacing w:before="16" w:line="365" w:lineRule="auto"/>
        <w:jc w:val="both"/>
        <w:rPr/>
      </w:pPr>
      <w:r>
        <w:rPr>
          <w:spacing w:val="6"/>
        </w:rPr>
        <w:t>有关抗震救灾指挥部成员单位：按职责负</w:t>
      </w:r>
      <w:r>
        <w:rPr>
          <w:spacing w:val="7"/>
        </w:rPr>
        <w:t>责调查评估核报地质、建设、交通、工矿、商</w:t>
      </w:r>
      <w:r>
        <w:rPr>
          <w:spacing w:val="8"/>
        </w:rPr>
        <w:t>贸、农牧、林业、水利、教育、卫生、地震、</w:t>
      </w:r>
      <w:r>
        <w:rPr>
          <w:spacing w:val="7"/>
        </w:rPr>
        <w:t>气象、广电、通信、电力、石油等行业和企业</w:t>
      </w:r>
      <w:r>
        <w:rPr>
          <w:spacing w:val="7"/>
        </w:rPr>
        <w:t>灾害损失情况。</w:t>
      </w:r>
    </w:p>
    <w:p>
      <w:pPr>
        <w:pStyle w:val="BodyText"/>
        <w:ind w:left="436"/>
        <w:spacing w:before="7" w:line="221" w:lineRule="auto"/>
        <w:rPr/>
      </w:pPr>
      <w:r>
        <w:rPr>
          <w:spacing w:val="7"/>
        </w:rPr>
        <w:t>人保财险公司、人寿保险公司、太平洋财</w:t>
      </w:r>
    </w:p>
    <w:p>
      <w:pPr>
        <w:spacing w:line="14" w:lineRule="auto"/>
        <w:rPr>
          <w:rFonts w:ascii="Arial"/>
          <w:sz w:val="2"/>
        </w:rPr>
      </w:pPr>
      <w:r>
        <w:rPr>
          <w:rFonts w:ascii="Arial" w:hAnsi="Arial" w:eastAsia="Arial" w:cs="Arial"/>
          <w:sz w:val="2"/>
          <w:szCs w:val="2"/>
        </w:rPr>
        <w:br w:type="column"/>
      </w:r>
    </w:p>
    <w:p>
      <w:pPr>
        <w:pStyle w:val="BodyText"/>
        <w:spacing w:before="46" w:line="277" w:lineRule="exact"/>
        <w:jc w:val="right"/>
        <w:rPr/>
      </w:pPr>
      <w:r>
        <w:rPr>
          <w:spacing w:val="-9"/>
          <w:position w:val="1"/>
        </w:rPr>
        <w:t>险公司：依法做好灾区有关保险理赔和给付工作。</w:t>
      </w:r>
    </w:p>
    <w:p>
      <w:pPr>
        <w:pStyle w:val="BodyText"/>
        <w:ind w:left="414"/>
        <w:spacing w:before="119" w:line="276" w:lineRule="exact"/>
        <w:rPr/>
      </w:pPr>
      <w:r>
        <w:rPr>
          <w:spacing w:val="7"/>
          <w:position w:val="1"/>
        </w:rPr>
        <w:t>（</w:t>
      </w:r>
      <w:r>
        <w:rPr>
          <w:rFonts w:ascii="Times New Roman" w:hAnsi="Times New Roman" w:eastAsia="Times New Roman" w:cs="Times New Roman"/>
          <w:spacing w:val="7"/>
          <w:position w:val="1"/>
        </w:rPr>
        <w:t>9</w:t>
      </w:r>
      <w:r>
        <w:rPr>
          <w:rFonts w:ascii="Times New Roman" w:hAnsi="Times New Roman" w:eastAsia="Times New Roman" w:cs="Times New Roman"/>
          <w:spacing w:val="-9"/>
          <w:position w:val="1"/>
        </w:rPr>
        <w:t xml:space="preserve"> </w:t>
      </w:r>
      <w:r>
        <w:rPr>
          <w:spacing w:val="7"/>
          <w:position w:val="1"/>
        </w:rPr>
        <w:t>）信息发布及宣传报道工作组</w:t>
      </w:r>
    </w:p>
    <w:p>
      <w:pPr>
        <w:pStyle w:val="BodyText"/>
        <w:ind w:left="2" w:right="83" w:firstLine="420"/>
        <w:spacing w:before="118" w:line="347" w:lineRule="auto"/>
        <w:rPr/>
      </w:pPr>
      <w:r>
        <w:rPr>
          <w:spacing w:val="6"/>
        </w:rPr>
        <w:t>组长单位：由市应急管理指挥部根据工作</w:t>
      </w:r>
      <w:r>
        <w:rPr>
          <w:spacing w:val="8"/>
        </w:rPr>
        <w:t>需要确定</w:t>
      </w:r>
    </w:p>
    <w:p>
      <w:pPr>
        <w:pStyle w:val="BodyText"/>
        <w:ind w:left="428"/>
        <w:spacing w:before="41" w:line="277" w:lineRule="exact"/>
        <w:rPr/>
      </w:pPr>
      <w:r>
        <w:rPr>
          <w:spacing w:val="9"/>
          <w:position w:val="1"/>
        </w:rPr>
        <w:t>副组长单位：市文化旅游广播电视局</w:t>
      </w:r>
    </w:p>
    <w:p>
      <w:pPr>
        <w:pStyle w:val="BodyText"/>
        <w:ind w:left="3" w:right="30" w:firstLine="419"/>
        <w:spacing w:before="117" w:line="366" w:lineRule="auto"/>
        <w:jc w:val="both"/>
        <w:rPr/>
      </w:pPr>
      <w:r>
        <w:rPr>
          <w:spacing w:val="9"/>
        </w:rPr>
        <w:t>成员单位：固原日报社、市应急管理局、</w:t>
      </w:r>
      <w:r>
        <w:rPr>
          <w:spacing w:val="7"/>
        </w:rPr>
        <w:t>地震局、气象局、外事办，市应急管理指挥部</w:t>
      </w:r>
      <w:r>
        <w:rPr>
          <w:spacing w:val="9"/>
        </w:rPr>
        <w:t>根据工作需要确定的非政府职能部门（单位）</w:t>
      </w:r>
    </w:p>
    <w:p>
      <w:pPr>
        <w:pStyle w:val="BodyText"/>
        <w:ind w:left="2" w:right="16" w:firstLine="428"/>
        <w:spacing w:line="363" w:lineRule="auto"/>
        <w:jc w:val="both"/>
        <w:rPr/>
      </w:pPr>
      <w:r>
        <w:rPr>
          <w:spacing w:val="6"/>
        </w:rPr>
        <w:t>主要职责：组织震情灾情和抗震救灾信息</w:t>
      </w:r>
      <w:r>
        <w:rPr>
          <w:spacing w:val="7"/>
        </w:rPr>
        <w:t>发布，及时准确发布灾情；指导做好抗震救灾</w:t>
      </w:r>
      <w:r>
        <w:rPr/>
        <w:t>宣传报道，加强舆情收集分析，正确引导舆论；</w:t>
      </w:r>
      <w:r>
        <w:rPr>
          <w:spacing w:val="9"/>
        </w:rPr>
        <w:t>按规定组织安排境外新闻媒体进行采访报道。</w:t>
      </w:r>
    </w:p>
    <w:p>
      <w:pPr>
        <w:pStyle w:val="BodyText"/>
        <w:ind w:left="1" w:right="78" w:firstLine="423"/>
        <w:spacing w:before="9" w:line="366" w:lineRule="auto"/>
        <w:jc w:val="both"/>
        <w:rPr/>
      </w:pPr>
      <w:r>
        <w:rPr>
          <w:spacing w:val="9"/>
        </w:rPr>
        <w:t>市文化旅游广电局及相关部门（单位</w:t>
      </w:r>
      <w:r>
        <w:rPr>
          <w:spacing w:val="-8"/>
        </w:rPr>
        <w:t>）：</w:t>
      </w:r>
      <w:r>
        <w:rPr>
          <w:spacing w:val="7"/>
        </w:rPr>
        <w:t>负责部署、组织和落实地震应急期间新闻报道</w:t>
      </w:r>
      <w:r>
        <w:rPr>
          <w:spacing w:val="7"/>
        </w:rPr>
        <w:t>和宣传工作。组织抗震救灾新闻发布会，受权</w:t>
      </w:r>
      <w:r>
        <w:rPr>
          <w:spacing w:val="7"/>
        </w:rPr>
        <w:t>发布地震震情灾情和抗震救灾信息；负责审核</w:t>
      </w:r>
      <w:r>
        <w:rPr>
          <w:spacing w:val="7"/>
        </w:rPr>
        <w:t>抗震救灾新闻通稿，加强媒体管理，按规定组</w:t>
      </w:r>
      <w:r>
        <w:rPr>
          <w:spacing w:val="7"/>
        </w:rPr>
        <w:t>织安排境内外新闻媒体进行采访报道；高度重</w:t>
      </w:r>
      <w:r>
        <w:rPr>
          <w:spacing w:val="9"/>
        </w:rPr>
        <w:t>视舆情收集分析，及时正确引导舆论。</w:t>
      </w:r>
    </w:p>
    <w:p>
      <w:pPr>
        <w:pStyle w:val="BodyText"/>
        <w:ind w:left="3" w:right="83" w:firstLine="440"/>
        <w:spacing w:before="2" w:line="357" w:lineRule="auto"/>
        <w:jc w:val="both"/>
        <w:rPr/>
      </w:pPr>
      <w:r>
        <w:rPr>
          <w:spacing w:val="5"/>
        </w:rPr>
        <w:t>固原日报社、市应急管理局、地震局、气</w:t>
      </w:r>
      <w:r>
        <w:rPr>
          <w:spacing w:val="7"/>
        </w:rPr>
        <w:t>象局：发布震情灾情信息，宣传报道抢险救灾</w:t>
      </w:r>
      <w:r>
        <w:rPr>
          <w:spacing w:val="8"/>
        </w:rPr>
        <w:t>工作以及开展防震减灾主题宣传活动。</w:t>
      </w:r>
    </w:p>
    <w:p>
      <w:pPr>
        <w:pStyle w:val="BodyText"/>
        <w:ind w:right="83" w:firstLine="423"/>
        <w:spacing w:before="24" w:line="360" w:lineRule="auto"/>
        <w:jc w:val="both"/>
        <w:rPr/>
      </w:pPr>
      <w:r>
        <w:rPr>
          <w:spacing w:val="6"/>
        </w:rPr>
        <w:t>市外事办：负责涉外宣传。统一涉外表态</w:t>
      </w:r>
      <w:r>
        <w:rPr>
          <w:spacing w:val="7"/>
        </w:rPr>
        <w:t>口径；做好外国记者、港澳台记者到灾区的采</w:t>
      </w:r>
      <w:r>
        <w:rPr>
          <w:spacing w:val="8"/>
        </w:rPr>
        <w:t>访管理和服务工作。</w:t>
      </w:r>
    </w:p>
    <w:p>
      <w:pPr>
        <w:pStyle w:val="BodyText"/>
        <w:ind w:right="80" w:firstLine="423"/>
        <w:spacing w:before="20" w:line="365" w:lineRule="auto"/>
        <w:jc w:val="both"/>
        <w:rPr/>
      </w:pPr>
      <w:r>
        <w:rPr>
          <w:rFonts w:ascii="Times New Roman" w:hAnsi="Times New Roman" w:eastAsia="Times New Roman" w:cs="Times New Roman"/>
          <w:spacing w:val="10"/>
        </w:rPr>
        <w:t>2.2</w:t>
      </w:r>
      <w:r>
        <w:rPr>
          <w:rFonts w:ascii="Times New Roman" w:hAnsi="Times New Roman" w:eastAsia="Times New Roman" w:cs="Times New Roman"/>
          <w:spacing w:val="36"/>
          <w:w w:val="101"/>
        </w:rPr>
        <w:t xml:space="preserve"> </w:t>
      </w:r>
      <w:r>
        <w:rPr>
          <w:rFonts w:ascii="KaiTi" w:hAnsi="KaiTi" w:eastAsia="KaiTi" w:cs="KaiTi"/>
          <w:spacing w:val="10"/>
        </w:rPr>
        <w:t>市抗震救灾指挥部办公室。</w:t>
      </w:r>
      <w:r>
        <w:rPr>
          <w:spacing w:val="10"/>
        </w:rPr>
        <w:t>指挥部办</w:t>
      </w:r>
      <w:r>
        <w:rPr>
          <w:spacing w:val="7"/>
        </w:rPr>
        <w:t>公室设在市应急管理局，应急管理局局长兼任</w:t>
      </w:r>
      <w:r>
        <w:rPr>
          <w:spacing w:val="7"/>
        </w:rPr>
        <w:t>办公室主任，地震局局长兼任办公室常务副主</w:t>
      </w:r>
      <w:r>
        <w:rPr>
          <w:spacing w:val="7"/>
        </w:rPr>
        <w:t>任，负责地震灾害防治的日常管理工作。指挥</w:t>
      </w:r>
      <w:r>
        <w:rPr>
          <w:spacing w:val="7"/>
        </w:rPr>
        <w:t>部成员单位负责人、联络员不得关闭移动通讯</w:t>
      </w:r>
      <w:r>
        <w:rPr>
          <w:spacing w:val="7"/>
        </w:rPr>
        <w:t>工具；指挥部成员单位负责人、联络员及其电</w:t>
      </w:r>
      <w:r>
        <w:rPr>
          <w:spacing w:val="9"/>
        </w:rPr>
        <w:t>话号码变更的，及时报办公室备案。</w:t>
      </w:r>
    </w:p>
    <w:p>
      <w:pPr>
        <w:pStyle w:val="BodyText"/>
        <w:ind w:left="424"/>
        <w:spacing w:before="1" w:line="221" w:lineRule="auto"/>
        <w:rPr/>
      </w:pPr>
      <w:r>
        <w:rPr>
          <w:spacing w:val="6"/>
        </w:rPr>
        <w:t>市抗震救灾指挥部办公室主要职责：在市</w:t>
      </w:r>
    </w:p>
    <w:p>
      <w:pPr>
        <w:spacing w:line="221" w:lineRule="auto"/>
        <w:sectPr>
          <w:type w:val="continuous"/>
          <w:pgSz w:w="11906" w:h="16839"/>
          <w:pgMar w:top="1766" w:right="1507" w:bottom="1551" w:left="1576" w:header="1428" w:footer="1172" w:gutter="0"/>
          <w:cols w:equalWidth="0" w:num="2">
            <w:col w:w="4491" w:space="100"/>
            <w:col w:w="4233" w:space="0"/>
          </w:cols>
        </w:sectPr>
        <w:rPr/>
      </w:pPr>
    </w:p>
    <w:p>
      <w:pPr>
        <w:spacing w:before="2"/>
        <w:rPr/>
      </w:pPr>
      <w:r>
        <w:drawing>
          <wp:anchor distT="0" distB="0" distL="0" distR="0" simplePos="0" relativeHeight="252414976" behindDoc="0" locked="0" layoutInCell="0" allowOverlap="1">
            <wp:simplePos x="0" y="0"/>
            <wp:positionH relativeFrom="page">
              <wp:posOffset>1008380</wp:posOffset>
            </wp:positionH>
            <wp:positionV relativeFrom="page">
              <wp:posOffset>1186180</wp:posOffset>
            </wp:positionV>
            <wp:extent cx="5579745" cy="7619"/>
            <wp:effectExtent l="0" t="0" r="0" b="0"/>
            <wp:wrapNone/>
            <wp:docPr id="1512" name="IM 1512"/>
            <wp:cNvGraphicFramePr/>
            <a:graphic>
              <a:graphicData uri="http://schemas.openxmlformats.org/drawingml/2006/picture">
                <pic:pic>
                  <pic:nvPicPr>
                    <pic:cNvPr id="1512" name="IM 1512"/>
                    <pic:cNvPicPr/>
                  </pic:nvPicPr>
                  <pic:blipFill>
                    <a:blip r:embed="rId758"/>
                    <a:stretch>
                      <a:fillRect/>
                    </a:stretch>
                  </pic:blipFill>
                  <pic:spPr>
                    <a:xfrm rot="0">
                      <a:off x="0" y="0"/>
                      <a:ext cx="5579745" cy="7619"/>
                    </a:xfrm>
                    <a:prstGeom prst="rect">
                      <a:avLst/>
                    </a:prstGeom>
                  </pic:spPr>
                </pic:pic>
              </a:graphicData>
            </a:graphic>
          </wp:anchor>
        </w:drawing>
      </w:r>
      <w:r/>
    </w:p>
    <w:p>
      <w:pPr>
        <w:sectPr>
          <w:headerReference w:type="default" r:id="rId743"/>
          <w:footerReference w:type="default" r:id="rId757"/>
          <w:pgSz w:w="11906" w:h="16839"/>
          <w:pgMar w:top="1828" w:right="1489" w:bottom="1556" w:left="1567" w:header="1428" w:footer="1172" w:gutter="0"/>
          <w:cols w:equalWidth="0" w:num="1">
            <w:col w:w="8850" w:space="0"/>
          </w:cols>
        </w:sectPr>
        <w:rPr/>
      </w:pPr>
    </w:p>
    <w:p>
      <w:pPr>
        <w:pStyle w:val="BodyText"/>
        <w:ind w:left="24" w:right="248" w:firstLine="3"/>
        <w:spacing w:before="53" w:line="359" w:lineRule="auto"/>
        <w:jc w:val="both"/>
        <w:rPr/>
      </w:pPr>
      <w:r>
        <w:rPr>
          <w:spacing w:val="7"/>
        </w:rPr>
        <w:t>委、政府统一领导下，按照市抗震救灾指挥部</w:t>
      </w:r>
      <w:r>
        <w:rPr>
          <w:spacing w:val="7"/>
        </w:rPr>
        <w:t>的工作部署，管理全市地震灾害事件。协调组</w:t>
      </w:r>
      <w:r>
        <w:rPr>
          <w:spacing w:val="7"/>
        </w:rPr>
        <w:t>织成员单位排查和监控地震灾害风险隐患；落</w:t>
      </w:r>
      <w:r>
        <w:rPr>
          <w:spacing w:val="7"/>
        </w:rPr>
        <w:t>实地震灾害预防、预警措施；编制和执行相关</w:t>
      </w:r>
      <w:r>
        <w:rPr>
          <w:spacing w:val="7"/>
        </w:rPr>
        <w:t>应急预案；依据全市应急体系总体规划落实应</w:t>
      </w:r>
      <w:r>
        <w:rPr>
          <w:spacing w:val="7"/>
        </w:rPr>
        <w:t>急体系建设任务和目标、协调开展重大以上地</w:t>
      </w:r>
      <w:r>
        <w:rPr>
          <w:spacing w:val="1"/>
        </w:rPr>
        <w:t>震灾害事件的预警预防、预案演练、应急处置、</w:t>
      </w:r>
      <w:r>
        <w:rPr>
          <w:spacing w:val="7"/>
        </w:rPr>
        <w:t>调查评估、信息发布、应急保障、宣传培训等</w:t>
      </w:r>
      <w:r>
        <w:rPr>
          <w:spacing w:val="4"/>
        </w:rPr>
        <w:t>工作；指导、监督各县（</w:t>
      </w:r>
      <w:r>
        <w:rPr>
          <w:spacing w:val="-34"/>
        </w:rPr>
        <w:t xml:space="preserve"> </w:t>
      </w:r>
      <w:r>
        <w:rPr>
          <w:spacing w:val="4"/>
        </w:rPr>
        <w:t>区）和成员单位加强</w:t>
      </w:r>
      <w:r>
        <w:rPr>
          <w:spacing w:val="7"/>
        </w:rPr>
        <w:t>地震应急管理工作；总结评估地震应急管理工</w:t>
      </w:r>
      <w:r>
        <w:rPr>
          <w:spacing w:val="4"/>
        </w:rPr>
        <w:t>作和地震灾害处置工作；指导各县（</w:t>
      </w:r>
      <w:r>
        <w:rPr>
          <w:spacing w:val="-34"/>
        </w:rPr>
        <w:t xml:space="preserve"> </w:t>
      </w:r>
      <w:r>
        <w:rPr>
          <w:spacing w:val="4"/>
        </w:rPr>
        <w:t>区）地震</w:t>
      </w:r>
      <w:r>
        <w:rPr>
          <w:spacing w:val="7"/>
        </w:rPr>
        <w:t>应急指挥机构做好地震灾害事件应对工作；承</w:t>
      </w:r>
      <w:r>
        <w:rPr>
          <w:spacing w:val="9"/>
        </w:rPr>
        <w:t>担市抗震救灾指挥部交办的其他工作。</w:t>
      </w:r>
    </w:p>
    <w:p>
      <w:pPr>
        <w:pStyle w:val="BodyText"/>
        <w:ind w:left="23" w:right="306" w:firstLine="423"/>
        <w:spacing w:before="15" w:line="365" w:lineRule="auto"/>
        <w:jc w:val="both"/>
        <w:rPr/>
      </w:pPr>
      <w:r>
        <w:rPr>
          <w:spacing w:val="6"/>
        </w:rPr>
        <w:t>接到监测、预测和预警信息，或发生地震</w:t>
      </w:r>
      <w:r>
        <w:rPr>
          <w:spacing w:val="7"/>
        </w:rPr>
        <w:t>灾害事件后，市抗震救灾指挥部办公室要立即</w:t>
      </w:r>
      <w:r>
        <w:rPr>
          <w:spacing w:val="18"/>
        </w:rPr>
        <w:t>组织各成员单位开展会商或分析研判灾害发</w:t>
      </w:r>
      <w:r>
        <w:rPr>
          <w:spacing w:val="8"/>
        </w:rPr>
        <w:t>展趋势、灾害影响程度和范围；及时向市委、</w:t>
      </w:r>
      <w:r>
        <w:rPr>
          <w:spacing w:val="7"/>
        </w:rPr>
        <w:t>市政府、市抗震救灾指挥部报告情况，提出启</w:t>
      </w:r>
      <w:r>
        <w:rPr>
          <w:spacing w:val="18"/>
        </w:rPr>
        <w:t>动或终止应急响应级别和处置措施等工作建</w:t>
      </w:r>
      <w:r>
        <w:rPr>
          <w:spacing w:val="7"/>
        </w:rPr>
        <w:t>议；根据市抗震救灾指挥部的决定，协调组织</w:t>
      </w:r>
      <w:r>
        <w:rPr>
          <w:spacing w:val="8"/>
        </w:rPr>
        <w:t>各成员单位到指定地点集结或赶赴地震现场；</w:t>
      </w:r>
      <w:r>
        <w:rPr>
          <w:spacing w:val="7"/>
        </w:rPr>
        <w:t>落实地震灾害应急处置工作中综合协调、信息</w:t>
      </w:r>
      <w:r>
        <w:rPr>
          <w:spacing w:val="8"/>
        </w:rPr>
        <w:t>报送和值守应急工作。</w:t>
      </w:r>
    </w:p>
    <w:p>
      <w:pPr>
        <w:pStyle w:val="BodyText"/>
        <w:ind w:left="25" w:right="309" w:firstLine="421"/>
        <w:spacing w:before="3" w:line="337" w:lineRule="auto"/>
        <w:rPr/>
      </w:pPr>
      <w:r>
        <w:rPr>
          <w:rFonts w:ascii="Times New Roman" w:hAnsi="Times New Roman" w:eastAsia="Times New Roman" w:cs="Times New Roman"/>
          <w:spacing w:val="5"/>
        </w:rPr>
        <w:t>2.3  </w:t>
      </w:r>
      <w:r>
        <w:rPr>
          <w:rFonts w:ascii="KaiTi" w:hAnsi="KaiTi" w:eastAsia="KaiTi" w:cs="KaiTi"/>
          <w:spacing w:val="5"/>
        </w:rPr>
        <w:t>县（</w:t>
      </w:r>
      <w:r>
        <w:rPr>
          <w:rFonts w:ascii="KaiTi" w:hAnsi="KaiTi" w:eastAsia="KaiTi" w:cs="KaiTi"/>
          <w:spacing w:val="-31"/>
        </w:rPr>
        <w:t xml:space="preserve"> </w:t>
      </w:r>
      <w:r>
        <w:rPr>
          <w:rFonts w:ascii="KaiTi" w:hAnsi="KaiTi" w:eastAsia="KaiTi" w:cs="KaiTi"/>
          <w:spacing w:val="5"/>
        </w:rPr>
        <w:t>区）地震应急指挥机构。</w:t>
      </w:r>
      <w:r>
        <w:rPr>
          <w:spacing w:val="5"/>
        </w:rPr>
        <w:t>县区政</w:t>
      </w:r>
      <w:r>
        <w:rPr>
          <w:spacing w:val="8"/>
        </w:rPr>
        <w:t>府比照市抗震救灾指挥部模式成立指挥机构，</w:t>
      </w:r>
      <w:r>
        <w:rPr>
          <w:spacing w:val="4"/>
        </w:rPr>
        <w:t>负责统一领导、指挥和协调本县（</w:t>
      </w:r>
      <w:r>
        <w:rPr>
          <w:spacing w:val="-35"/>
        </w:rPr>
        <w:t xml:space="preserve"> </w:t>
      </w:r>
      <w:r>
        <w:rPr>
          <w:spacing w:val="4"/>
        </w:rPr>
        <w:t>区）的抗震</w:t>
      </w:r>
      <w:r>
        <w:rPr>
          <w:spacing w:val="7"/>
        </w:rPr>
        <w:t>救灾工作。有关部门和单位按照职责分工，各</w:t>
      </w:r>
      <w:r>
        <w:rPr>
          <w:spacing w:val="8"/>
        </w:rPr>
        <w:t>负其责，密切配合，共同做好抗震救灾工作。</w:t>
      </w:r>
    </w:p>
    <w:p>
      <w:pPr>
        <w:pStyle w:val="BodyText"/>
        <w:ind w:left="22" w:right="306" w:firstLine="423"/>
        <w:spacing w:before="149" w:line="338" w:lineRule="auto"/>
        <w:rPr/>
      </w:pPr>
      <w:r>
        <w:rPr>
          <w:rFonts w:ascii="Times New Roman" w:hAnsi="Times New Roman" w:eastAsia="Times New Roman" w:cs="Times New Roman"/>
          <w:spacing w:val="8"/>
        </w:rPr>
        <w:t>2.4  </w:t>
      </w:r>
      <w:r>
        <w:rPr>
          <w:rFonts w:ascii="KaiTi" w:hAnsi="KaiTi" w:eastAsia="KaiTi" w:cs="KaiTi"/>
          <w:spacing w:val="8"/>
        </w:rPr>
        <w:t>专家组。</w:t>
      </w:r>
      <w:r>
        <w:rPr>
          <w:spacing w:val="8"/>
        </w:rPr>
        <w:t>市抗震救灾指挥部设立专家</w:t>
      </w:r>
      <w:r>
        <w:rPr>
          <w:spacing w:val="7"/>
        </w:rPr>
        <w:t>组，由市工业和信息化、公安、住房和城乡建</w:t>
      </w:r>
      <w:r>
        <w:rPr>
          <w:spacing w:val="8"/>
        </w:rPr>
        <w:t>设、民政、自然资源、医疗卫生、交通运输、</w:t>
      </w:r>
      <w:r>
        <w:rPr>
          <w:spacing w:val="7"/>
        </w:rPr>
        <w:t>生态环境、水利、应急管理、通信、电力、消</w:t>
      </w:r>
      <w:r>
        <w:rPr>
          <w:spacing w:val="7"/>
        </w:rPr>
        <w:t>防、地震、气象等部门及高校专家组成，主要</w:t>
      </w:r>
    </w:p>
    <w:p>
      <w:pPr>
        <w:spacing w:line="14" w:lineRule="auto"/>
        <w:rPr>
          <w:rFonts w:ascii="Arial"/>
          <w:sz w:val="2"/>
        </w:rPr>
      </w:pPr>
      <w:r>
        <w:rPr>
          <w:rFonts w:ascii="Arial" w:hAnsi="Arial" w:eastAsia="Arial" w:cs="Arial"/>
          <w:sz w:val="2"/>
          <w:szCs w:val="2"/>
        </w:rPr>
        <w:br w:type="column"/>
      </w:r>
    </w:p>
    <w:p>
      <w:pPr>
        <w:pStyle w:val="BodyText"/>
        <w:ind w:left="5"/>
        <w:spacing w:before="46" w:line="279" w:lineRule="exact"/>
        <w:rPr/>
      </w:pPr>
      <w:r>
        <w:rPr>
          <w:spacing w:val="5"/>
          <w:position w:val="1"/>
        </w:rPr>
        <w:t>职责是：</w:t>
      </w:r>
    </w:p>
    <w:p>
      <w:pPr>
        <w:pStyle w:val="BodyText"/>
        <w:ind w:left="1" w:right="103" w:firstLine="411"/>
        <w:spacing w:before="116" w:line="297"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）承担地震应急管理、抗震救灾决策</w:t>
      </w:r>
      <w:r>
        <w:rPr>
          <w:spacing w:val="6"/>
        </w:rPr>
        <w:t>技术咨询；</w:t>
      </w:r>
    </w:p>
    <w:p>
      <w:pPr>
        <w:pStyle w:val="BodyText"/>
        <w:ind w:left="413"/>
        <w:spacing w:before="148" w:line="278" w:lineRule="exact"/>
        <w:rPr/>
      </w:pPr>
      <w:r>
        <w:rPr>
          <w:spacing w:val="5"/>
          <w:position w:val="1"/>
        </w:rPr>
        <w:t>（</w:t>
      </w:r>
      <w:r>
        <w:rPr>
          <w:rFonts w:ascii="Times New Roman" w:hAnsi="Times New Roman" w:eastAsia="Times New Roman" w:cs="Times New Roman"/>
          <w:spacing w:val="5"/>
          <w:position w:val="1"/>
        </w:rPr>
        <w:t>2 </w:t>
      </w:r>
      <w:r>
        <w:rPr>
          <w:spacing w:val="5"/>
          <w:position w:val="1"/>
        </w:rPr>
        <w:t>）向指挥部提出处置措施建议；</w:t>
      </w:r>
    </w:p>
    <w:p>
      <w:pPr>
        <w:pStyle w:val="BodyText"/>
        <w:ind w:right="103" w:firstLine="413"/>
        <w:spacing w:before="119" w:line="294"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）受指挥部委托对有关处置方案进行</w:t>
      </w:r>
      <w:r>
        <w:rPr>
          <w:spacing w:val="7"/>
        </w:rPr>
        <w:t>综合评估。</w:t>
      </w:r>
    </w:p>
    <w:p>
      <w:pPr>
        <w:ind w:left="424"/>
        <w:spacing w:before="164" w:line="18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3</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预报预警</w:t>
      </w:r>
    </w:p>
    <w:p>
      <w:pPr>
        <w:pStyle w:val="BodyText"/>
        <w:ind w:left="1" w:right="81" w:firstLine="424"/>
        <w:spacing w:before="131" w:line="351" w:lineRule="auto"/>
        <w:rPr/>
      </w:pPr>
      <w:r>
        <w:rPr>
          <w:rFonts w:ascii="Times New Roman" w:hAnsi="Times New Roman" w:eastAsia="Times New Roman" w:cs="Times New Roman"/>
          <w:spacing w:val="8"/>
        </w:rPr>
        <w:t>3.1  </w:t>
      </w:r>
      <w:r>
        <w:rPr>
          <w:rFonts w:ascii="KaiTi" w:hAnsi="KaiTi" w:eastAsia="KaiTi" w:cs="KaiTi"/>
          <w:spacing w:val="8"/>
        </w:rPr>
        <w:t>监测预报。</w:t>
      </w:r>
      <w:r>
        <w:rPr>
          <w:spacing w:val="8"/>
        </w:rPr>
        <w:t>市地震局负责监测、收集</w:t>
      </w:r>
      <w:r>
        <w:rPr>
          <w:spacing w:val="7"/>
        </w:rPr>
        <w:t>和管理全市及邻近市、县（区）各类地震观测</w:t>
      </w:r>
      <w:r>
        <w:rPr>
          <w:spacing w:val="7"/>
        </w:rPr>
        <w:t>数据，向市委、市政府和市抗震救灾指挥部提</w:t>
      </w:r>
      <w:r>
        <w:rPr>
          <w:spacing w:val="17"/>
        </w:rPr>
        <w:t>出年度防震减灾工作意见。固原地震台、各</w:t>
      </w:r>
      <w:r>
        <w:rPr>
          <w:spacing w:val="-3"/>
        </w:rPr>
        <w:t>县（区）地震局和各观测站点要加强震情跟踪监</w:t>
      </w:r>
      <w:r>
        <w:rPr>
          <w:spacing w:val="7"/>
        </w:rPr>
        <w:t>测、预测预报和群测群防工作，及时对地震预</w:t>
      </w:r>
      <w:r>
        <w:rPr>
          <w:spacing w:val="18"/>
        </w:rPr>
        <w:t>测意见和可能与地震有关的异常现象进行核</w:t>
      </w:r>
      <w:r>
        <w:rPr>
          <w:spacing w:val="8"/>
        </w:rPr>
        <w:t>实，提出综合分析研判意见上报宁夏地震局。</w:t>
      </w:r>
      <w:r>
        <w:rPr>
          <w:spacing w:val="7"/>
        </w:rPr>
        <w:t>根据自治区政府发布的临震预报，组织预报区</w:t>
      </w:r>
      <w:r>
        <w:rPr>
          <w:spacing w:val="8"/>
        </w:rPr>
        <w:t>加强应急防范措施。</w:t>
      </w:r>
    </w:p>
    <w:p>
      <w:pPr>
        <w:pStyle w:val="BodyText"/>
        <w:ind w:right="78" w:firstLine="426"/>
        <w:spacing w:before="153" w:line="330" w:lineRule="auto"/>
        <w:rPr/>
      </w:pPr>
      <w:r>
        <w:rPr>
          <w:rFonts w:ascii="Times New Roman" w:hAnsi="Times New Roman" w:eastAsia="Times New Roman" w:cs="Times New Roman"/>
          <w:spacing w:val="8"/>
        </w:rPr>
        <w:t>3.2  </w:t>
      </w:r>
      <w:r>
        <w:rPr>
          <w:rFonts w:ascii="KaiTi" w:hAnsi="KaiTi" w:eastAsia="KaiTi" w:cs="KaiTi"/>
          <w:spacing w:val="8"/>
        </w:rPr>
        <w:t>分级标准。</w:t>
      </w:r>
      <w:r>
        <w:rPr>
          <w:spacing w:val="8"/>
        </w:rPr>
        <w:t>报告市委、市政府和市抗</w:t>
      </w:r>
      <w:r>
        <w:rPr>
          <w:spacing w:val="8"/>
        </w:rPr>
        <w:t>震救灾指挥部的信息要按照地震灾害的性质、</w:t>
      </w:r>
      <w:r>
        <w:rPr>
          <w:spacing w:val="7"/>
        </w:rPr>
        <w:t>社会危害程度、可控性和影响范围等因素，注</w:t>
      </w:r>
      <w:r>
        <w:rPr>
          <w:spacing w:val="9"/>
        </w:rPr>
        <w:t>明可能引发地震灾害事件的级别。</w:t>
      </w:r>
    </w:p>
    <w:p>
      <w:pPr>
        <w:pStyle w:val="BodyText"/>
        <w:ind w:left="2" w:right="20" w:firstLine="420"/>
        <w:spacing w:before="160" w:line="363" w:lineRule="auto"/>
        <w:rPr/>
      </w:pPr>
      <w:r>
        <w:rPr/>
        <w:t>地震灾害事件分为特别重大、重大、较大、</w:t>
      </w:r>
      <w:r>
        <w:rPr>
          <w:spacing w:val="8"/>
        </w:rPr>
        <w:t>一般四个级别。其分级标准为：</w:t>
      </w:r>
    </w:p>
    <w:p>
      <w:pPr>
        <w:pStyle w:val="BodyText"/>
        <w:ind w:right="98" w:firstLine="413"/>
        <w:spacing w:before="2" w:line="363" w:lineRule="auto"/>
        <w:jc w:val="both"/>
        <w:rPr/>
      </w:pPr>
      <w:r>
        <w:rPr>
          <w:spacing w:val="6"/>
        </w:rPr>
        <w:t>（</w:t>
      </w:r>
      <w:r>
        <w:rPr>
          <w:spacing w:val="-35"/>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6"/>
        </w:rPr>
        <w:t xml:space="preserve"> </w:t>
      </w:r>
      <w:r>
        <w:rPr>
          <w:spacing w:val="6"/>
        </w:rPr>
        <w:t>）特别重大地震灾害是指造成</w:t>
      </w:r>
      <w:r>
        <w:rPr>
          <w:spacing w:val="-34"/>
        </w:rPr>
        <w:t xml:space="preserve"> </w:t>
      </w:r>
      <w:r>
        <w:rPr>
          <w:rFonts w:ascii="Times New Roman" w:hAnsi="Times New Roman" w:eastAsia="Times New Roman" w:cs="Times New Roman"/>
          <w:spacing w:val="6"/>
        </w:rPr>
        <w:t>300 </w:t>
      </w:r>
      <w:r>
        <w:rPr>
          <w:spacing w:val="6"/>
        </w:rPr>
        <w:t>人</w:t>
      </w:r>
      <w:r>
        <w:rPr>
          <w:spacing w:val="8"/>
        </w:rPr>
        <w:t>以上死亡（含失踪</w:t>
      </w:r>
      <w:r>
        <w:rPr>
          <w:spacing w:val="1"/>
        </w:rPr>
        <w:t>），</w:t>
      </w:r>
      <w:r>
        <w:rPr>
          <w:spacing w:val="8"/>
        </w:rPr>
        <w:t>或者造成特别严重经济</w:t>
      </w:r>
      <w:r>
        <w:rPr>
          <w:spacing w:val="11"/>
        </w:rPr>
        <w:t>损失的地震灾害。当人口较密集地区发生</w:t>
      </w:r>
      <w:r>
        <w:rPr>
          <w:spacing w:val="-34"/>
        </w:rPr>
        <w:t xml:space="preserve"> </w:t>
      </w:r>
      <w:r>
        <w:rPr>
          <w:rFonts w:ascii="Times New Roman" w:hAnsi="Times New Roman" w:eastAsia="Times New Roman" w:cs="Times New Roman"/>
          <w:spacing w:val="11"/>
        </w:rPr>
        <w:t>7.0</w:t>
      </w:r>
      <w:r>
        <w:rPr>
          <w:spacing w:val="8"/>
        </w:rPr>
        <w:t>级以上地震，人口密集地区发生</w:t>
      </w:r>
      <w:r>
        <w:rPr>
          <w:spacing w:val="-28"/>
        </w:rPr>
        <w:t xml:space="preserve"> </w:t>
      </w:r>
      <w:r>
        <w:rPr>
          <w:rFonts w:ascii="Times New Roman" w:hAnsi="Times New Roman" w:eastAsia="Times New Roman" w:cs="Times New Roman"/>
          <w:spacing w:val="8"/>
        </w:rPr>
        <w:t>6.0 </w:t>
      </w:r>
      <w:r>
        <w:rPr>
          <w:spacing w:val="8"/>
        </w:rPr>
        <w:t>级以上地</w:t>
      </w:r>
      <w:r>
        <w:rPr>
          <w:spacing w:val="9"/>
        </w:rPr>
        <w:t>震，初判为特别重大地震灾害。</w:t>
      </w:r>
    </w:p>
    <w:p>
      <w:pPr>
        <w:pStyle w:val="BodyText"/>
        <w:ind w:left="1" w:right="78" w:firstLine="411"/>
        <w:spacing w:before="10" w:line="331" w:lineRule="auto"/>
        <w:jc w:val="both"/>
        <w:rPr/>
      </w:pPr>
      <w:r>
        <w:rPr>
          <w:spacing w:val="5"/>
        </w:rPr>
        <w:t>（</w:t>
      </w:r>
      <w:r>
        <w:rPr>
          <w:rFonts w:ascii="Times New Roman" w:hAnsi="Times New Roman" w:eastAsia="Times New Roman" w:cs="Times New Roman"/>
          <w:spacing w:val="5"/>
        </w:rPr>
        <w:t>2</w:t>
      </w:r>
      <w:r>
        <w:rPr>
          <w:rFonts w:ascii="Times New Roman" w:hAnsi="Times New Roman" w:eastAsia="Times New Roman" w:cs="Times New Roman"/>
          <w:spacing w:val="-9"/>
        </w:rPr>
        <w:t xml:space="preserve"> </w:t>
      </w:r>
      <w:r>
        <w:rPr>
          <w:spacing w:val="5"/>
        </w:rPr>
        <w:t>）重大地震灾害是指造成</w:t>
      </w:r>
      <w:r>
        <w:rPr>
          <w:spacing w:val="-35"/>
        </w:rPr>
        <w:t xml:space="preserve"> </w:t>
      </w:r>
      <w:r>
        <w:rPr>
          <w:rFonts w:ascii="Times New Roman" w:hAnsi="Times New Roman" w:eastAsia="Times New Roman" w:cs="Times New Roman"/>
          <w:spacing w:val="5"/>
        </w:rPr>
        <w:t>50 </w:t>
      </w:r>
      <w:r>
        <w:rPr>
          <w:spacing w:val="5"/>
        </w:rPr>
        <w:t>人以上、</w:t>
      </w:r>
      <w:r>
        <w:rPr/>
        <w:t xml:space="preserve"> </w:t>
      </w:r>
      <w:r>
        <w:rPr>
          <w:rFonts w:ascii="Times New Roman" w:hAnsi="Times New Roman" w:eastAsia="Times New Roman" w:cs="Times New Roman"/>
          <w:spacing w:val="8"/>
        </w:rPr>
        <w:t>300 </w:t>
      </w:r>
      <w:r>
        <w:rPr>
          <w:spacing w:val="8"/>
        </w:rPr>
        <w:t>人以下死亡（含失踪）或者造成严重经济</w:t>
      </w:r>
      <w:r>
        <w:rPr>
          <w:spacing w:val="25"/>
        </w:rPr>
        <w:t>损失的地震灾害</w:t>
      </w:r>
      <w:r>
        <w:rPr>
          <w:spacing w:val="-49"/>
        </w:rPr>
        <w:t xml:space="preserve"> </w:t>
      </w:r>
      <w:r>
        <w:rPr>
          <w:spacing w:val="25"/>
        </w:rPr>
        <w:t>。</w:t>
      </w:r>
      <w:r>
        <w:rPr>
          <w:spacing w:val="-57"/>
        </w:rPr>
        <w:t xml:space="preserve"> </w:t>
      </w:r>
      <w:r>
        <w:rPr>
          <w:spacing w:val="25"/>
        </w:rPr>
        <w:t>当人口较密集地区发生</w:t>
      </w:r>
      <w:r>
        <w:rPr>
          <w:rFonts w:ascii="Times New Roman" w:hAnsi="Times New Roman" w:eastAsia="Times New Roman" w:cs="Times New Roman"/>
          <w:spacing w:val="7"/>
        </w:rPr>
        <w:t>6.0—6.9 </w:t>
      </w:r>
      <w:r>
        <w:rPr>
          <w:spacing w:val="7"/>
        </w:rPr>
        <w:t>级地震</w:t>
      </w:r>
      <w:r>
        <w:rPr>
          <w:spacing w:val="-56"/>
        </w:rPr>
        <w:t xml:space="preserve"> </w:t>
      </w:r>
      <w:r>
        <w:rPr>
          <w:spacing w:val="7"/>
        </w:rPr>
        <w:t>，人口密集地区发生</w:t>
      </w:r>
      <w:r>
        <w:rPr>
          <w:spacing w:val="-35"/>
        </w:rPr>
        <w:t xml:space="preserve"> </w:t>
      </w:r>
      <w:r>
        <w:rPr>
          <w:rFonts w:ascii="Times New Roman" w:hAnsi="Times New Roman" w:eastAsia="Times New Roman" w:cs="Times New Roman"/>
          <w:spacing w:val="7"/>
        </w:rPr>
        <w:t>5.0—5.9</w:t>
      </w:r>
      <w:r>
        <w:rPr>
          <w:spacing w:val="8"/>
        </w:rPr>
        <w:t>级地震，初判为重大地震灾害。</w:t>
      </w:r>
    </w:p>
    <w:p>
      <w:pPr>
        <w:spacing w:line="331" w:lineRule="auto"/>
        <w:sectPr>
          <w:type w:val="continuous"/>
          <w:pgSz w:w="11906" w:h="16839"/>
          <w:pgMar w:top="1828" w:right="1489" w:bottom="1556" w:left="1567" w:header="1428" w:footer="1172" w:gutter="0"/>
          <w:cols w:equalWidth="0" w:num="2">
            <w:col w:w="4502" w:space="100"/>
            <w:col w:w="4249" w:space="0"/>
          </w:cols>
        </w:sectPr>
        <w:rPr/>
      </w:pPr>
    </w:p>
    <w:p>
      <w:pPr>
        <w:spacing w:before="60"/>
        <w:rPr/>
      </w:pPr>
      <w:r>
        <w:drawing>
          <wp:anchor distT="0" distB="0" distL="0" distR="0" simplePos="0" relativeHeight="25242624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516" name="IM 1516"/>
            <wp:cNvGraphicFramePr/>
            <a:graphic>
              <a:graphicData uri="http://schemas.openxmlformats.org/drawingml/2006/picture">
                <pic:pic>
                  <pic:nvPicPr>
                    <pic:cNvPr id="1516" name="IM 1516"/>
                    <pic:cNvPicPr/>
                  </pic:nvPicPr>
                  <pic:blipFill>
                    <a:blip r:embed="rId760"/>
                    <a:stretch>
                      <a:fillRect/>
                    </a:stretch>
                  </pic:blipFill>
                  <pic:spPr>
                    <a:xfrm rot="0">
                      <a:off x="0" y="0"/>
                      <a:ext cx="5579745" cy="7620"/>
                    </a:xfrm>
                    <a:prstGeom prst="rect">
                      <a:avLst/>
                    </a:prstGeom>
                  </pic:spPr>
                </pic:pic>
              </a:graphicData>
            </a:graphic>
          </wp:anchor>
        </w:drawing>
      </w:r>
      <w:r/>
    </w:p>
    <w:p>
      <w:pPr>
        <w:sectPr>
          <w:headerReference w:type="default" r:id="rId641"/>
          <w:footerReference w:type="default" r:id="rId759"/>
          <w:pgSz w:w="11906" w:h="16839"/>
          <w:pgMar w:top="1766" w:right="1480" w:bottom="1551" w:left="1576" w:header="1428" w:footer="1172" w:gutter="0"/>
          <w:cols w:equalWidth="0" w:num="1">
            <w:col w:w="8850" w:space="0"/>
          </w:cols>
        </w:sectPr>
        <w:rPr/>
      </w:pPr>
    </w:p>
    <w:p>
      <w:pPr>
        <w:pStyle w:val="BodyText"/>
        <w:ind w:left="16" w:right="299" w:firstLine="411"/>
        <w:spacing w:before="47" w:line="358" w:lineRule="auto"/>
        <w:jc w:val="both"/>
        <w:rPr/>
      </w:pPr>
      <w:r>
        <w:rPr>
          <w:spacing w:val="5"/>
        </w:rPr>
        <w:t>（</w:t>
      </w:r>
      <w:r>
        <w:rPr>
          <w:rFonts w:ascii="Times New Roman" w:hAnsi="Times New Roman" w:eastAsia="Times New Roman" w:cs="Times New Roman"/>
          <w:spacing w:val="5"/>
        </w:rPr>
        <w:t>3</w:t>
      </w:r>
      <w:r>
        <w:rPr>
          <w:rFonts w:ascii="Times New Roman" w:hAnsi="Times New Roman" w:eastAsia="Times New Roman" w:cs="Times New Roman"/>
          <w:spacing w:val="-21"/>
        </w:rPr>
        <w:t xml:space="preserve"> </w:t>
      </w:r>
      <w:r>
        <w:rPr>
          <w:spacing w:val="5"/>
        </w:rPr>
        <w:t>）较大地震灾害是指造成</w:t>
      </w:r>
      <w:r>
        <w:rPr>
          <w:spacing w:val="-23"/>
        </w:rPr>
        <w:t xml:space="preserve"> </w:t>
      </w:r>
      <w:r>
        <w:rPr>
          <w:rFonts w:ascii="Times New Roman" w:hAnsi="Times New Roman" w:eastAsia="Times New Roman" w:cs="Times New Roman"/>
          <w:spacing w:val="5"/>
        </w:rPr>
        <w:t>10 </w:t>
      </w:r>
      <w:r>
        <w:rPr>
          <w:spacing w:val="5"/>
        </w:rPr>
        <w:t>人以上、</w:t>
      </w:r>
      <w:r>
        <w:rPr/>
        <w:t xml:space="preserve"> </w:t>
      </w:r>
      <w:r>
        <w:rPr>
          <w:rFonts w:ascii="Times New Roman" w:hAnsi="Times New Roman" w:eastAsia="Times New Roman" w:cs="Times New Roman"/>
          <w:spacing w:val="4"/>
        </w:rPr>
        <w:t>50 </w:t>
      </w:r>
      <w:r>
        <w:rPr>
          <w:spacing w:val="4"/>
        </w:rPr>
        <w:t>人以下死亡（含失踪）或者造成较重经济损</w:t>
      </w:r>
      <w:r>
        <w:rPr>
          <w:spacing w:val="36"/>
        </w:rPr>
        <w:t>失的地震灾害</w:t>
      </w:r>
      <w:r>
        <w:rPr>
          <w:spacing w:val="-25"/>
        </w:rPr>
        <w:t xml:space="preserve"> </w:t>
      </w:r>
      <w:r>
        <w:rPr>
          <w:spacing w:val="36"/>
        </w:rPr>
        <w:t>。</w:t>
      </w:r>
      <w:r>
        <w:rPr>
          <w:spacing w:val="-43"/>
        </w:rPr>
        <w:t xml:space="preserve"> </w:t>
      </w:r>
      <w:r>
        <w:rPr>
          <w:spacing w:val="36"/>
        </w:rPr>
        <w:t>当人口较密集地区发生</w:t>
      </w:r>
      <w:r>
        <w:rPr>
          <w:rFonts w:ascii="Times New Roman" w:hAnsi="Times New Roman" w:eastAsia="Times New Roman" w:cs="Times New Roman"/>
          <w:spacing w:val="7"/>
        </w:rPr>
        <w:t>5.0—5.9 </w:t>
      </w:r>
      <w:r>
        <w:rPr>
          <w:spacing w:val="7"/>
        </w:rPr>
        <w:t>级地震</w:t>
      </w:r>
      <w:r>
        <w:rPr>
          <w:spacing w:val="-52"/>
        </w:rPr>
        <w:t xml:space="preserve"> </w:t>
      </w:r>
      <w:r>
        <w:rPr>
          <w:spacing w:val="7"/>
        </w:rPr>
        <w:t>，人口密集地区发生</w:t>
      </w:r>
      <w:r>
        <w:rPr>
          <w:spacing w:val="-39"/>
        </w:rPr>
        <w:t xml:space="preserve"> </w:t>
      </w:r>
      <w:r>
        <w:rPr>
          <w:rFonts w:ascii="Times New Roman" w:hAnsi="Times New Roman" w:eastAsia="Times New Roman" w:cs="Times New Roman"/>
          <w:spacing w:val="7"/>
        </w:rPr>
        <w:t>4.5—4.9</w:t>
      </w:r>
      <w:r>
        <w:rPr>
          <w:spacing w:val="8"/>
        </w:rPr>
        <w:t>级地震，初判为较大地震灾害。</w:t>
      </w:r>
    </w:p>
    <w:p>
      <w:pPr>
        <w:pStyle w:val="BodyText"/>
        <w:ind w:left="17" w:right="320" w:firstLine="410"/>
        <w:spacing w:before="11" w:line="344" w:lineRule="auto"/>
        <w:jc w:val="both"/>
        <w:rPr/>
      </w:pPr>
      <w:r>
        <w:rPr>
          <w:spacing w:val="4"/>
        </w:rPr>
        <w:t>（</w:t>
      </w:r>
      <w:r>
        <w:rPr>
          <w:rFonts w:ascii="Times New Roman" w:hAnsi="Times New Roman" w:eastAsia="Times New Roman" w:cs="Times New Roman"/>
          <w:spacing w:val="4"/>
        </w:rPr>
        <w:t>4</w:t>
      </w:r>
      <w:r>
        <w:rPr>
          <w:rFonts w:ascii="Times New Roman" w:hAnsi="Times New Roman" w:eastAsia="Times New Roman" w:cs="Times New Roman"/>
          <w:spacing w:val="-21"/>
        </w:rPr>
        <w:t xml:space="preserve"> </w:t>
      </w:r>
      <w:r>
        <w:rPr>
          <w:spacing w:val="4"/>
        </w:rPr>
        <w:t>）一般地震灾害是指造成</w:t>
      </w:r>
      <w:r>
        <w:rPr>
          <w:spacing w:val="-23"/>
        </w:rPr>
        <w:t xml:space="preserve"> </w:t>
      </w:r>
      <w:r>
        <w:rPr>
          <w:rFonts w:ascii="Times New Roman" w:hAnsi="Times New Roman" w:eastAsia="Times New Roman" w:cs="Times New Roman"/>
          <w:spacing w:val="4"/>
        </w:rPr>
        <w:t>10 </w:t>
      </w:r>
      <w:r>
        <w:rPr>
          <w:spacing w:val="4"/>
        </w:rPr>
        <w:t>人以下死</w:t>
      </w:r>
      <w:r>
        <w:rPr>
          <w:spacing w:val="7"/>
        </w:rPr>
        <w:t>亡或者造成一定经济损失的地震灾害。当人口</w:t>
      </w:r>
      <w:r>
        <w:rPr>
          <w:spacing w:val="6"/>
        </w:rPr>
        <w:t>较密集地区发生</w:t>
      </w:r>
      <w:r>
        <w:rPr>
          <w:spacing w:val="-44"/>
        </w:rPr>
        <w:t xml:space="preserve"> </w:t>
      </w:r>
      <w:r>
        <w:rPr>
          <w:rFonts w:ascii="Times New Roman" w:hAnsi="Times New Roman" w:eastAsia="Times New Roman" w:cs="Times New Roman"/>
          <w:spacing w:val="6"/>
        </w:rPr>
        <w:t>4.5—4.9 </w:t>
      </w:r>
      <w:r>
        <w:rPr>
          <w:spacing w:val="6"/>
        </w:rPr>
        <w:t>级地震，初</w:t>
      </w:r>
      <w:r>
        <w:rPr>
          <w:spacing w:val="5"/>
        </w:rPr>
        <w:t>判为一般</w:t>
      </w:r>
      <w:r>
        <w:rPr>
          <w:spacing w:val="6"/>
        </w:rPr>
        <w:t>地震灾害。</w:t>
      </w:r>
    </w:p>
    <w:p>
      <w:pPr>
        <w:ind w:left="584"/>
        <w:spacing w:line="215" w:lineRule="auto"/>
        <w:rPr>
          <w:rFonts w:ascii="SimHei" w:hAnsi="SimHei" w:eastAsia="SimHei" w:cs="SimHei"/>
          <w:sz w:val="28"/>
          <w:szCs w:val="28"/>
        </w:rPr>
      </w:pPr>
      <w:r>
        <w:rPr>
          <w:rFonts w:ascii="SimHei" w:hAnsi="SimHei" w:eastAsia="SimHei" w:cs="SimHei"/>
          <w:sz w:val="28"/>
          <w:szCs w:val="28"/>
          <w:spacing w:val="-2"/>
        </w:rPr>
        <w:t>地震灾害分级标准表</w:t>
      </w:r>
    </w:p>
    <w:p>
      <w:pPr>
        <w:ind w:firstLine="10"/>
        <w:spacing w:line="4682" w:lineRule="exact"/>
        <w:rPr/>
      </w:pPr>
      <w:r>
        <w:rPr>
          <w:position w:val="-93"/>
        </w:rPr>
        <w:drawing>
          <wp:inline distT="0" distB="0" distL="0" distR="0">
            <wp:extent cx="2639567" cy="2973323"/>
            <wp:effectExtent l="0" t="0" r="0" b="0"/>
            <wp:docPr id="1518" name="IM 1518"/>
            <wp:cNvGraphicFramePr/>
            <a:graphic>
              <a:graphicData uri="http://schemas.openxmlformats.org/drawingml/2006/picture">
                <pic:pic>
                  <pic:nvPicPr>
                    <pic:cNvPr id="1518" name="IM 1518"/>
                    <pic:cNvPicPr/>
                  </pic:nvPicPr>
                  <pic:blipFill>
                    <a:blip r:embed="rId761"/>
                    <a:stretch>
                      <a:fillRect/>
                    </a:stretch>
                  </pic:blipFill>
                  <pic:spPr>
                    <a:xfrm rot="0">
                      <a:off x="0" y="0"/>
                      <a:ext cx="2639567" cy="2973323"/>
                    </a:xfrm>
                    <a:prstGeom prst="rect">
                      <a:avLst/>
                    </a:prstGeom>
                  </pic:spPr>
                </pic:pic>
              </a:graphicData>
            </a:graphic>
          </wp:inline>
        </w:drawing>
      </w:r>
    </w:p>
    <w:p>
      <w:pPr>
        <w:pStyle w:val="BodyText"/>
        <w:ind w:left="19" w:right="322" w:firstLine="422"/>
        <w:spacing w:before="248" w:line="371" w:lineRule="auto"/>
        <w:rPr/>
      </w:pPr>
      <w:r>
        <w:rPr>
          <w:rFonts w:ascii="Times New Roman" w:hAnsi="Times New Roman" w:eastAsia="Times New Roman" w:cs="Times New Roman"/>
          <w:spacing w:val="8"/>
        </w:rPr>
        <w:t>3.3  </w:t>
      </w:r>
      <w:r>
        <w:rPr>
          <w:rFonts w:ascii="KaiTi" w:hAnsi="KaiTi" w:eastAsia="KaiTi" w:cs="KaiTi"/>
          <w:spacing w:val="8"/>
        </w:rPr>
        <w:t>预警信息报告与发布。</w:t>
      </w:r>
      <w:r>
        <w:rPr>
          <w:spacing w:val="8"/>
        </w:rPr>
        <w:t>依据地震的紧</w:t>
      </w:r>
      <w:r>
        <w:rPr>
          <w:spacing w:val="6"/>
        </w:rPr>
        <w:t>迫程度，分为</w:t>
      </w:r>
      <w:r>
        <w:rPr>
          <w:spacing w:val="-39"/>
        </w:rPr>
        <w:t xml:space="preserve"> </w:t>
      </w:r>
      <w:r>
        <w:rPr>
          <w:rFonts w:ascii="Times New Roman" w:hAnsi="Times New Roman" w:eastAsia="Times New Roman" w:cs="Times New Roman"/>
          <w:spacing w:val="6"/>
        </w:rPr>
        <w:t>3 </w:t>
      </w:r>
      <w:r>
        <w:rPr>
          <w:spacing w:val="6"/>
        </w:rPr>
        <w:t>类：</w:t>
      </w:r>
    </w:p>
    <w:p>
      <w:pPr>
        <w:pStyle w:val="BodyText"/>
        <w:ind w:left="17" w:right="320" w:firstLine="440"/>
        <w:spacing w:before="1" w:line="369" w:lineRule="auto"/>
        <w:jc w:val="both"/>
        <w:rPr/>
      </w:pPr>
      <w:r>
        <w:rPr>
          <w:spacing w:val="6"/>
        </w:rPr>
        <w:t>中期预警，</w:t>
      </w:r>
      <w:r>
        <w:rPr>
          <w:rFonts w:ascii="Times New Roman" w:hAnsi="Times New Roman" w:eastAsia="Times New Roman" w:cs="Times New Roman"/>
          <w:spacing w:val="6"/>
        </w:rPr>
        <w:t>“</w:t>
      </w:r>
      <w:r>
        <w:rPr>
          <w:spacing w:val="6"/>
        </w:rPr>
        <w:t>地震重点危险区划分</w:t>
      </w:r>
      <w:r>
        <w:rPr>
          <w:rFonts w:ascii="Times New Roman" w:hAnsi="Times New Roman" w:eastAsia="Times New Roman" w:cs="Times New Roman"/>
          <w:spacing w:val="6"/>
        </w:rPr>
        <w:t>”——</w:t>
      </w:r>
      <w:r>
        <w:rPr>
          <w:spacing w:val="6"/>
        </w:rPr>
        <w:t>对</w:t>
      </w:r>
      <w:r>
        <w:rPr>
          <w:spacing w:val="6"/>
        </w:rPr>
        <w:t>未来</w:t>
      </w:r>
      <w:r>
        <w:rPr>
          <w:spacing w:val="-35"/>
        </w:rPr>
        <w:t xml:space="preserve"> </w:t>
      </w:r>
      <w:r>
        <w:rPr>
          <w:rFonts w:ascii="Times New Roman" w:hAnsi="Times New Roman" w:eastAsia="Times New Roman" w:cs="Times New Roman"/>
          <w:spacing w:val="6"/>
        </w:rPr>
        <w:t>1 </w:t>
      </w:r>
      <w:r>
        <w:rPr>
          <w:spacing w:val="6"/>
        </w:rPr>
        <w:t>年或稍长时间内可能发生</w:t>
      </w:r>
      <w:r>
        <w:rPr>
          <w:spacing w:val="-49"/>
        </w:rPr>
        <w:t xml:space="preserve"> </w:t>
      </w:r>
      <w:r>
        <w:rPr>
          <w:rFonts w:ascii="Times New Roman" w:hAnsi="Times New Roman" w:eastAsia="Times New Roman" w:cs="Times New Roman"/>
          <w:spacing w:val="6"/>
        </w:rPr>
        <w:t>5 </w:t>
      </w:r>
      <w:r>
        <w:rPr>
          <w:spacing w:val="6"/>
        </w:rPr>
        <w:t>级以上</w:t>
      </w:r>
      <w:r>
        <w:rPr>
          <w:spacing w:val="5"/>
        </w:rPr>
        <w:t>地震</w:t>
      </w:r>
      <w:r>
        <w:rPr>
          <w:spacing w:val="8"/>
        </w:rPr>
        <w:t>的区域作出划分；</w:t>
      </w:r>
    </w:p>
    <w:p>
      <w:pPr>
        <w:pStyle w:val="BodyText"/>
        <w:ind w:left="38" w:right="313" w:firstLine="399"/>
        <w:spacing w:before="2" w:line="368" w:lineRule="auto"/>
        <w:rPr/>
      </w:pPr>
      <w:r>
        <w:rPr>
          <w:spacing w:val="6"/>
        </w:rPr>
        <w:t>短期预警，</w:t>
      </w:r>
      <w:r>
        <w:rPr>
          <w:rFonts w:ascii="Times New Roman" w:hAnsi="Times New Roman" w:eastAsia="Times New Roman" w:cs="Times New Roman"/>
          <w:spacing w:val="6"/>
        </w:rPr>
        <w:t>“</w:t>
      </w:r>
      <w:r>
        <w:rPr>
          <w:spacing w:val="6"/>
        </w:rPr>
        <w:t>地震短期预报</w:t>
      </w:r>
      <w:r>
        <w:rPr>
          <w:rFonts w:ascii="Times New Roman" w:hAnsi="Times New Roman" w:eastAsia="Times New Roman" w:cs="Times New Roman"/>
          <w:spacing w:val="6"/>
        </w:rPr>
        <w:t>”——</w:t>
      </w:r>
      <w:r>
        <w:rPr>
          <w:spacing w:val="6"/>
        </w:rPr>
        <w:t>对</w:t>
      </w:r>
      <w:r>
        <w:rPr>
          <w:spacing w:val="-22"/>
        </w:rPr>
        <w:t xml:space="preserve"> </w:t>
      </w:r>
      <w:r>
        <w:rPr>
          <w:rFonts w:ascii="Times New Roman" w:hAnsi="Times New Roman" w:eastAsia="Times New Roman" w:cs="Times New Roman"/>
          <w:spacing w:val="6"/>
        </w:rPr>
        <w:t>3 </w:t>
      </w:r>
      <w:r>
        <w:rPr>
          <w:spacing w:val="6"/>
        </w:rPr>
        <w:t>个月</w:t>
      </w:r>
      <w:r>
        <w:rPr>
          <w:spacing w:val="6"/>
        </w:rPr>
        <w:t>内将发生地震的时间、地点、震级作出预报；</w:t>
      </w:r>
    </w:p>
    <w:p>
      <w:pPr>
        <w:pStyle w:val="BodyText"/>
        <w:ind w:left="38" w:right="245" w:firstLine="410"/>
        <w:spacing w:before="2" w:line="369" w:lineRule="auto"/>
        <w:rPr/>
      </w:pPr>
      <w:r>
        <w:rPr>
          <w:spacing w:val="5"/>
        </w:rPr>
        <w:t>临震预警</w:t>
      </w:r>
      <w:r>
        <w:rPr>
          <w:spacing w:val="-52"/>
        </w:rPr>
        <w:t xml:space="preserve"> </w:t>
      </w:r>
      <w:r>
        <w:rPr>
          <w:spacing w:val="5"/>
        </w:rPr>
        <w:t>，</w:t>
      </w:r>
      <w:r>
        <w:rPr>
          <w:rFonts w:ascii="Times New Roman" w:hAnsi="Times New Roman" w:eastAsia="Times New Roman" w:cs="Times New Roman"/>
          <w:spacing w:val="5"/>
        </w:rPr>
        <w:t>“</w:t>
      </w:r>
      <w:r>
        <w:rPr>
          <w:spacing w:val="5"/>
        </w:rPr>
        <w:t>地震临震预报</w:t>
      </w:r>
      <w:r>
        <w:rPr>
          <w:rFonts w:ascii="Times New Roman" w:hAnsi="Times New Roman" w:eastAsia="Times New Roman" w:cs="Times New Roman"/>
          <w:spacing w:val="5"/>
        </w:rPr>
        <w:t>”——</w:t>
      </w:r>
      <w:r>
        <w:rPr>
          <w:spacing w:val="5"/>
        </w:rPr>
        <w:t>对</w:t>
      </w:r>
      <w:r>
        <w:rPr>
          <w:spacing w:val="-16"/>
        </w:rPr>
        <w:t xml:space="preserve"> </w:t>
      </w:r>
      <w:r>
        <w:rPr>
          <w:rFonts w:ascii="Times New Roman" w:hAnsi="Times New Roman" w:eastAsia="Times New Roman" w:cs="Times New Roman"/>
          <w:spacing w:val="5"/>
        </w:rPr>
        <w:t>10  </w:t>
      </w:r>
      <w:r>
        <w:rPr>
          <w:spacing w:val="5"/>
        </w:rPr>
        <w:t>日</w:t>
      </w:r>
      <w:r>
        <w:rPr/>
        <w:t>内将要发生地震的时间、地点、震级作出预报。</w:t>
      </w:r>
    </w:p>
    <w:p>
      <w:pPr>
        <w:pStyle w:val="BodyText"/>
        <w:ind w:left="20" w:right="322" w:firstLine="417"/>
        <w:spacing w:before="1" w:line="278" w:lineRule="auto"/>
        <w:rPr/>
      </w:pPr>
      <w:r>
        <w:rPr>
          <w:spacing w:val="6"/>
        </w:rPr>
        <w:t>全国性的地震重点危险区划分，由国务院</w:t>
      </w:r>
      <w:r>
        <w:rPr>
          <w:spacing w:val="7"/>
        </w:rPr>
        <w:t>办公厅确定；区内地震短期和临震预报，由自</w:t>
      </w:r>
    </w:p>
    <w:p>
      <w:pPr>
        <w:spacing w:line="14" w:lineRule="auto"/>
        <w:rPr>
          <w:rFonts w:ascii="Arial"/>
          <w:sz w:val="2"/>
        </w:rPr>
      </w:pPr>
      <w:r>
        <w:rPr>
          <w:rFonts w:ascii="Arial" w:hAnsi="Arial" w:eastAsia="Arial" w:cs="Arial"/>
          <w:sz w:val="2"/>
          <w:szCs w:val="2"/>
        </w:rPr>
        <w:br w:type="column"/>
      </w:r>
    </w:p>
    <w:p>
      <w:pPr>
        <w:pStyle w:val="BodyText"/>
        <w:ind w:left="7" w:right="107" w:firstLine="3"/>
        <w:spacing w:before="59" w:line="368" w:lineRule="auto"/>
        <w:jc w:val="both"/>
        <w:rPr/>
      </w:pPr>
      <w:r>
        <w:rPr>
          <w:spacing w:val="7"/>
        </w:rPr>
        <w:t>治区政府采取一定方式发布；已经发布地震短</w:t>
      </w:r>
      <w:r>
        <w:rPr>
          <w:spacing w:val="7"/>
        </w:rPr>
        <w:t>期预报的地区，如果发现明显临震异常，在紧</w:t>
      </w:r>
      <w:r>
        <w:rPr>
          <w:spacing w:val="11"/>
        </w:rPr>
        <w:t>急情况下，县（区）政府可以发布</w:t>
      </w:r>
      <w:r>
        <w:rPr>
          <w:spacing w:val="-34"/>
        </w:rPr>
        <w:t xml:space="preserve"> </w:t>
      </w:r>
      <w:r>
        <w:rPr>
          <w:rFonts w:ascii="Times New Roman" w:hAnsi="Times New Roman" w:eastAsia="Times New Roman" w:cs="Times New Roman"/>
          <w:spacing w:val="11"/>
        </w:rPr>
        <w:t>48 </w:t>
      </w:r>
      <w:r>
        <w:rPr>
          <w:spacing w:val="11"/>
        </w:rPr>
        <w:t>小时之</w:t>
      </w:r>
      <w:r>
        <w:rPr>
          <w:spacing w:val="7"/>
        </w:rPr>
        <w:t>内的临震预报，并同时向市委、市政府、宁夏</w:t>
      </w:r>
      <w:r>
        <w:rPr>
          <w:spacing w:val="9"/>
        </w:rPr>
        <w:t>地震局及市应急管理局、地震局报告。</w:t>
      </w:r>
    </w:p>
    <w:p>
      <w:pPr>
        <w:ind w:left="433"/>
        <w:spacing w:line="265" w:lineRule="exact"/>
        <w:rPr>
          <w:rFonts w:ascii="KaiTi" w:hAnsi="KaiTi" w:eastAsia="KaiTi" w:cs="KaiTi"/>
          <w:sz w:val="20"/>
          <w:szCs w:val="20"/>
        </w:rPr>
      </w:pPr>
      <w:r>
        <w:rPr>
          <w:rFonts w:ascii="Times New Roman" w:hAnsi="Times New Roman" w:eastAsia="Times New Roman" w:cs="Times New Roman"/>
          <w:sz w:val="20"/>
          <w:szCs w:val="20"/>
          <w:spacing w:val="4"/>
          <w:position w:val="1"/>
        </w:rPr>
        <w:t>3.4  </w:t>
      </w:r>
      <w:r>
        <w:rPr>
          <w:rFonts w:ascii="KaiTi" w:hAnsi="KaiTi" w:eastAsia="KaiTi" w:cs="KaiTi"/>
          <w:sz w:val="20"/>
          <w:szCs w:val="20"/>
          <w:spacing w:val="4"/>
          <w:position w:val="1"/>
        </w:rPr>
        <w:t>预警行动。</w:t>
      </w:r>
    </w:p>
    <w:p>
      <w:pPr>
        <w:pStyle w:val="BodyText"/>
        <w:ind w:left="10" w:right="110" w:firstLine="409"/>
        <w:spacing w:before="117" w:line="320" w:lineRule="auto"/>
        <w:rPr/>
      </w:pPr>
      <w:r>
        <w:rPr>
          <w:spacing w:val="6"/>
        </w:rPr>
        <w:t>（</w:t>
      </w:r>
      <w:r>
        <w:rPr>
          <w:spacing w:val="-34"/>
        </w:rPr>
        <w:t xml:space="preserve"> </w:t>
      </w:r>
      <w:r>
        <w:rPr>
          <w:rFonts w:ascii="Times New Roman" w:hAnsi="Times New Roman" w:eastAsia="Times New Roman" w:cs="Times New Roman"/>
          <w:spacing w:val="6"/>
        </w:rPr>
        <w:t>1 </w:t>
      </w:r>
      <w:r>
        <w:rPr>
          <w:spacing w:val="6"/>
        </w:rPr>
        <w:t>）中期预警行动。市抗震救灾指挥部</w:t>
      </w:r>
      <w:r>
        <w:rPr>
          <w:spacing w:val="7"/>
        </w:rPr>
        <w:t>根据国务院发布的中期预报意见（年度地震重</w:t>
      </w:r>
      <w:r>
        <w:rPr>
          <w:spacing w:val="8"/>
        </w:rPr>
        <w:t>点危险区</w:t>
      </w:r>
      <w:r>
        <w:rPr>
          <w:spacing w:val="-1"/>
        </w:rPr>
        <w:t>），</w:t>
      </w:r>
      <w:r>
        <w:rPr>
          <w:spacing w:val="8"/>
        </w:rPr>
        <w:t>部署全市防震减灾工作，实施有</w:t>
      </w:r>
      <w:r>
        <w:rPr>
          <w:spacing w:val="9"/>
        </w:rPr>
        <w:t>重点的地震灾害防御措施和应急救援准备。</w:t>
      </w:r>
    </w:p>
    <w:p>
      <w:pPr>
        <w:pStyle w:val="BodyText"/>
        <w:ind w:right="103" w:firstLine="420"/>
        <w:spacing w:before="134" w:line="333"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）短期预警行动。市地震局组织各县</w:t>
      </w:r>
      <w:r>
        <w:rPr>
          <w:spacing w:val="7"/>
        </w:rPr>
        <w:t>（区）地震部门，加强对全市特别是地震重点</w:t>
      </w:r>
      <w:r>
        <w:rPr>
          <w:spacing w:val="8"/>
        </w:rPr>
        <w:t>危险区的震情跟踪监视，依据震情发展变化，</w:t>
      </w:r>
      <w:r>
        <w:rPr>
          <w:spacing w:val="7"/>
        </w:rPr>
        <w:t>及时提出短期预测意见，报告市政府，市政府</w:t>
      </w:r>
      <w:r>
        <w:rPr>
          <w:spacing w:val="7"/>
        </w:rPr>
        <w:t>决策发布地震短期预警。市抗震救灾指挥部成</w:t>
      </w:r>
      <w:r>
        <w:rPr>
          <w:spacing w:val="5"/>
        </w:rPr>
        <w:t>员单位及短期预警区所在县（</w:t>
      </w:r>
      <w:r>
        <w:rPr>
          <w:spacing w:val="-47"/>
        </w:rPr>
        <w:t xml:space="preserve"> </w:t>
      </w:r>
      <w:r>
        <w:rPr>
          <w:spacing w:val="5"/>
        </w:rPr>
        <w:t>区）政府，加强</w:t>
      </w:r>
      <w:r>
        <w:rPr>
          <w:spacing w:val="9"/>
        </w:rPr>
        <w:t>地震灾害防御和应急救援准备。</w:t>
      </w:r>
    </w:p>
    <w:p>
      <w:pPr>
        <w:pStyle w:val="BodyText"/>
        <w:ind w:left="7" w:firstLine="412"/>
        <w:spacing w:before="134" w:line="333" w:lineRule="auto"/>
        <w:rPr/>
      </w:pPr>
      <w:r>
        <w:rPr>
          <w:spacing w:val="-7"/>
        </w:rPr>
        <w:t>（</w:t>
      </w:r>
      <w:r>
        <w:rPr>
          <w:rFonts w:ascii="Times New Roman" w:hAnsi="Times New Roman" w:eastAsia="Times New Roman" w:cs="Times New Roman"/>
          <w:spacing w:val="-7"/>
        </w:rPr>
        <w:t>3</w:t>
      </w:r>
      <w:r>
        <w:rPr>
          <w:rFonts w:ascii="Times New Roman" w:hAnsi="Times New Roman" w:eastAsia="Times New Roman" w:cs="Times New Roman"/>
          <w:spacing w:val="-15"/>
        </w:rPr>
        <w:t xml:space="preserve"> </w:t>
      </w:r>
      <w:r>
        <w:rPr>
          <w:spacing w:val="-7"/>
        </w:rPr>
        <w:t>）临震预警行动。市地震局组织县（</w:t>
      </w:r>
      <w:r>
        <w:rPr>
          <w:spacing w:val="-52"/>
        </w:rPr>
        <w:t xml:space="preserve"> </w:t>
      </w:r>
      <w:r>
        <w:rPr>
          <w:spacing w:val="-7"/>
        </w:rPr>
        <w:t>区）</w:t>
      </w:r>
      <w:r>
        <w:rPr>
          <w:spacing w:val="7"/>
        </w:rPr>
        <w:t>地震部门，强化对地震短期预警区域的震情跟</w:t>
      </w:r>
      <w:r>
        <w:rPr>
          <w:spacing w:val="7"/>
        </w:rPr>
        <w:t>踪工作，依据震情发展变化，及时提出临震预</w:t>
      </w:r>
      <w:r>
        <w:rPr>
          <w:spacing w:val="7"/>
        </w:rPr>
        <w:t>测意见，报告市政府。市政府决策发布临震预</w:t>
      </w:r>
      <w:r>
        <w:rPr>
          <w:spacing w:val="7"/>
        </w:rPr>
        <w:t>警，宣布进入临震应急期。市抗震救灾指挥部</w:t>
      </w:r>
      <w:r>
        <w:rPr>
          <w:spacing w:val="8"/>
        </w:rPr>
        <w:t>成员单位及临震预警区所在的县（</w:t>
      </w:r>
      <w:r>
        <w:rPr>
          <w:spacing w:val="-39"/>
        </w:rPr>
        <w:t xml:space="preserve"> </w:t>
      </w:r>
      <w:r>
        <w:rPr>
          <w:spacing w:val="8"/>
        </w:rPr>
        <w:t>区）政府，</w:t>
      </w:r>
      <w:r>
        <w:rPr/>
        <w:t>进一步强化地震灾害防御措施和应急救援准备。</w:t>
      </w:r>
    </w:p>
    <w:p>
      <w:pPr>
        <w:ind w:left="429"/>
        <w:spacing w:before="132"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4</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5"/>
        </w:rPr>
        <w:t>应急处置</w:t>
      </w:r>
    </w:p>
    <w:p>
      <w:pPr>
        <w:ind w:left="427"/>
        <w:spacing w:before="77" w:line="267" w:lineRule="exact"/>
        <w:rPr>
          <w:rFonts w:ascii="KaiTi" w:hAnsi="KaiTi" w:eastAsia="KaiTi" w:cs="KaiTi"/>
          <w:sz w:val="20"/>
          <w:szCs w:val="20"/>
        </w:rPr>
      </w:pPr>
      <w:r>
        <w:rPr>
          <w:rFonts w:ascii="Times New Roman" w:hAnsi="Times New Roman" w:eastAsia="Times New Roman" w:cs="Times New Roman"/>
          <w:sz w:val="20"/>
          <w:szCs w:val="20"/>
          <w:spacing w:val="2"/>
          <w:position w:val="1"/>
        </w:rPr>
        <w:t>4.</w:t>
      </w:r>
      <w:r>
        <w:rPr>
          <w:rFonts w:ascii="Times New Roman" w:hAnsi="Times New Roman" w:eastAsia="Times New Roman" w:cs="Times New Roman"/>
          <w:sz w:val="20"/>
          <w:szCs w:val="20"/>
          <w:spacing w:val="-20"/>
          <w:position w:val="1"/>
        </w:rPr>
        <w:t xml:space="preserve"> </w:t>
      </w:r>
      <w:r>
        <w:rPr>
          <w:rFonts w:ascii="Times New Roman" w:hAnsi="Times New Roman" w:eastAsia="Times New Roman" w:cs="Times New Roman"/>
          <w:sz w:val="20"/>
          <w:szCs w:val="20"/>
          <w:spacing w:val="2"/>
          <w:position w:val="1"/>
        </w:rPr>
        <w:t>1  </w:t>
      </w:r>
      <w:r>
        <w:rPr>
          <w:rFonts w:ascii="KaiTi" w:hAnsi="KaiTi" w:eastAsia="KaiTi" w:cs="KaiTi"/>
          <w:sz w:val="20"/>
          <w:szCs w:val="20"/>
          <w:spacing w:val="2"/>
          <w:position w:val="1"/>
        </w:rPr>
        <w:t>信息报告。</w:t>
      </w:r>
    </w:p>
    <w:p>
      <w:pPr>
        <w:pStyle w:val="BodyText"/>
        <w:ind w:left="9" w:right="103" w:firstLine="410"/>
        <w:spacing w:before="112" w:line="334" w:lineRule="auto"/>
        <w:jc w:val="both"/>
        <w:rPr/>
      </w:pPr>
      <w:r>
        <w:rPr>
          <w:spacing w:val="-1"/>
        </w:rPr>
        <w:t>（</w:t>
      </w:r>
      <w:r>
        <w:rPr>
          <w:spacing w:val="-37"/>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0"/>
        </w:rPr>
        <w:t xml:space="preserve"> </w:t>
      </w:r>
      <w:r>
        <w:rPr>
          <w:spacing w:val="-1"/>
        </w:rPr>
        <w:t>）震情速报。固原境内发生</w:t>
      </w:r>
      <w:r>
        <w:rPr>
          <w:spacing w:val="-37"/>
        </w:rPr>
        <w:t xml:space="preserve"> </w:t>
      </w:r>
      <w:r>
        <w:rPr>
          <w:rFonts w:ascii="Times New Roman" w:hAnsi="Times New Roman" w:eastAsia="Times New Roman" w:cs="Times New Roman"/>
          <w:spacing w:val="-1"/>
        </w:rPr>
        <w:t>3.0 </w:t>
      </w:r>
      <w:r>
        <w:rPr>
          <w:spacing w:val="-1"/>
        </w:rPr>
        <w:t>级以上</w:t>
      </w:r>
      <w:r>
        <w:rPr>
          <w:spacing w:val="7"/>
        </w:rPr>
        <w:t>地震后，根据宁夏地震局地震正式速报结果，</w:t>
      </w:r>
    </w:p>
    <w:p>
      <w:pPr>
        <w:pStyle w:val="BodyText"/>
        <w:ind w:left="6" w:right="6" w:firstLine="3"/>
        <w:spacing w:before="39" w:line="331" w:lineRule="auto"/>
        <w:jc w:val="both"/>
        <w:rPr/>
      </w:pPr>
      <w:r>
        <w:rPr>
          <w:spacing w:val="10"/>
        </w:rPr>
        <w:t>市地震局在</w:t>
      </w:r>
      <w:r>
        <w:rPr>
          <w:spacing w:val="-17"/>
        </w:rPr>
        <w:t xml:space="preserve"> </w:t>
      </w:r>
      <w:r>
        <w:rPr>
          <w:rFonts w:ascii="Times New Roman" w:hAnsi="Times New Roman" w:eastAsia="Times New Roman" w:cs="Times New Roman"/>
          <w:spacing w:val="10"/>
        </w:rPr>
        <w:t>30 </w:t>
      </w:r>
      <w:r>
        <w:rPr>
          <w:spacing w:val="10"/>
        </w:rPr>
        <w:t>分钟内及时将初步测定的地震</w:t>
      </w:r>
      <w:r>
        <w:rPr>
          <w:spacing w:val="2"/>
        </w:rPr>
        <w:t>参数报市委办、市政府办，市委、市政府主要领</w:t>
      </w:r>
      <w:r>
        <w:rPr>
          <w:spacing w:val="7"/>
        </w:rPr>
        <w:t>导、分管领导、秘书长、市委值班室、市应急</w:t>
      </w:r>
      <w:r>
        <w:rPr>
          <w:spacing w:val="8"/>
        </w:rPr>
        <w:t>管理局，发生</w:t>
      </w:r>
      <w:r>
        <w:rPr>
          <w:spacing w:val="-30"/>
        </w:rPr>
        <w:t xml:space="preserve"> </w:t>
      </w:r>
      <w:r>
        <w:rPr>
          <w:rFonts w:ascii="Times New Roman" w:hAnsi="Times New Roman" w:eastAsia="Times New Roman" w:cs="Times New Roman"/>
          <w:spacing w:val="8"/>
        </w:rPr>
        <w:t>4.5 </w:t>
      </w:r>
      <w:r>
        <w:rPr>
          <w:spacing w:val="8"/>
        </w:rPr>
        <w:t>级以上地震，同时通报市抗</w:t>
      </w:r>
      <w:r>
        <w:rPr>
          <w:spacing w:val="9"/>
        </w:rPr>
        <w:t>震救灾指挥部成员单位，并及时续报有关情况</w:t>
      </w:r>
      <w:r>
        <w:rPr>
          <w:spacing w:val="11"/>
        </w:rPr>
        <w:t xml:space="preserve"> </w:t>
      </w:r>
      <w:r>
        <w:rPr>
          <w:spacing w:val="9"/>
        </w:rPr>
        <w:t>。</w:t>
      </w:r>
      <w:r>
        <w:rPr>
          <w:spacing w:val="99"/>
        </w:rPr>
        <w:t xml:space="preserve"> </w:t>
      </w:r>
      <w:r>
        <w:rPr>
          <w:spacing w:val="9"/>
        </w:rPr>
        <w:t>（</w:t>
      </w:r>
      <w:r>
        <w:rPr>
          <w:rFonts w:ascii="Times New Roman" w:hAnsi="Times New Roman" w:eastAsia="Times New Roman" w:cs="Times New Roman"/>
          <w:spacing w:val="9"/>
        </w:rPr>
        <w:t>2</w:t>
      </w:r>
      <w:r>
        <w:rPr>
          <w:rFonts w:ascii="Times New Roman" w:hAnsi="Times New Roman" w:eastAsia="Times New Roman" w:cs="Times New Roman"/>
          <w:spacing w:val="-18"/>
        </w:rPr>
        <w:t xml:space="preserve"> </w:t>
      </w:r>
      <w:r>
        <w:rPr>
          <w:spacing w:val="9"/>
        </w:rPr>
        <w:t>）灾情报告。地震灾害发生后</w:t>
      </w:r>
      <w:r>
        <w:rPr>
          <w:spacing w:val="-59"/>
        </w:rPr>
        <w:t xml:space="preserve"> </w:t>
      </w:r>
      <w:r>
        <w:rPr>
          <w:spacing w:val="9"/>
        </w:rPr>
        <w:t>，灾区</w:t>
      </w:r>
    </w:p>
    <w:p>
      <w:pPr>
        <w:spacing w:line="331" w:lineRule="auto"/>
        <w:sectPr>
          <w:type w:val="continuous"/>
          <w:pgSz w:w="11906" w:h="16839"/>
          <w:pgMar w:top="1766" w:right="1480" w:bottom="1551" w:left="1576" w:header="1428" w:footer="1172" w:gutter="0"/>
          <w:cols w:equalWidth="0" w:num="2">
            <w:col w:w="4486" w:space="100"/>
            <w:col w:w="4265" w:space="0"/>
          </w:cols>
        </w:sectPr>
        <w:rPr/>
      </w:pPr>
    </w:p>
    <w:p>
      <w:pPr>
        <w:spacing w:before="2"/>
        <w:rPr/>
      </w:pPr>
      <w:r>
        <w:drawing>
          <wp:anchor distT="0" distB="0" distL="0" distR="0" simplePos="0" relativeHeight="252437504" behindDoc="0" locked="0" layoutInCell="0" allowOverlap="1">
            <wp:simplePos x="0" y="0"/>
            <wp:positionH relativeFrom="page">
              <wp:posOffset>1008380</wp:posOffset>
            </wp:positionH>
            <wp:positionV relativeFrom="page">
              <wp:posOffset>1186180</wp:posOffset>
            </wp:positionV>
            <wp:extent cx="5579745" cy="7619"/>
            <wp:effectExtent l="0" t="0" r="0" b="0"/>
            <wp:wrapNone/>
            <wp:docPr id="1522" name="IM 1522"/>
            <wp:cNvGraphicFramePr/>
            <a:graphic>
              <a:graphicData uri="http://schemas.openxmlformats.org/drawingml/2006/picture">
                <pic:pic>
                  <pic:nvPicPr>
                    <pic:cNvPr id="1522" name="IM 1522"/>
                    <pic:cNvPicPr/>
                  </pic:nvPicPr>
                  <pic:blipFill>
                    <a:blip r:embed="rId763"/>
                    <a:stretch>
                      <a:fillRect/>
                    </a:stretch>
                  </pic:blipFill>
                  <pic:spPr>
                    <a:xfrm rot="0">
                      <a:off x="0" y="0"/>
                      <a:ext cx="5579745" cy="7619"/>
                    </a:xfrm>
                    <a:prstGeom prst="rect">
                      <a:avLst/>
                    </a:prstGeom>
                  </pic:spPr>
                </pic:pic>
              </a:graphicData>
            </a:graphic>
          </wp:anchor>
        </w:drawing>
      </w:r>
      <w:r/>
    </w:p>
    <w:p>
      <w:pPr>
        <w:sectPr>
          <w:headerReference w:type="default" r:id="rId743"/>
          <w:footerReference w:type="default" r:id="rId762"/>
          <w:pgSz w:w="11906" w:h="16839"/>
          <w:pgMar w:top="1828" w:right="1489" w:bottom="1556" w:left="1567" w:header="1428" w:footer="1172" w:gutter="0"/>
          <w:cols w:equalWidth="0" w:num="1">
            <w:col w:w="8850" w:space="0"/>
          </w:cols>
        </w:sectPr>
        <w:rPr/>
      </w:pPr>
    </w:p>
    <w:p>
      <w:pPr>
        <w:pStyle w:val="BodyText"/>
        <w:ind w:left="24" w:right="329"/>
        <w:spacing w:before="40" w:line="351" w:lineRule="auto"/>
        <w:jc w:val="both"/>
        <w:rPr/>
      </w:pPr>
      <w:r>
        <w:rPr>
          <w:spacing w:val="8"/>
        </w:rPr>
        <w:t>所在县（区）政府迅速调查了解灾情，震后</w:t>
      </w:r>
      <w:r>
        <w:rPr>
          <w:spacing w:val="-19"/>
        </w:rPr>
        <w:t xml:space="preserve"> </w:t>
      </w:r>
      <w:r>
        <w:rPr>
          <w:rFonts w:ascii="Times New Roman" w:hAnsi="Times New Roman" w:eastAsia="Times New Roman" w:cs="Times New Roman"/>
          <w:spacing w:val="8"/>
        </w:rPr>
        <w:t>1</w:t>
      </w:r>
      <w:r>
        <w:rPr>
          <w:spacing w:val="7"/>
        </w:rPr>
        <w:t>小时内向市委、市政府报告灾情损失，并抄送</w:t>
      </w:r>
      <w:r>
        <w:rPr>
          <w:spacing w:val="7"/>
        </w:rPr>
        <w:t>市应急管理局、地震局，必要时可越级上报，</w:t>
      </w:r>
      <w:r>
        <w:rPr>
          <w:spacing w:val="7"/>
        </w:rPr>
        <w:t>并按市政府要求及时续报有关情况；市公安、</w:t>
      </w:r>
      <w:r>
        <w:rPr>
          <w:spacing w:val="7"/>
        </w:rPr>
        <w:t>交通、水务、建设、教育、卫生、通信、电力</w:t>
      </w:r>
      <w:r>
        <w:rPr>
          <w:spacing w:val="7"/>
        </w:rPr>
        <w:t>等有关部门迅速了解震情灾情，及时报市委、</w:t>
      </w:r>
      <w:r>
        <w:rPr>
          <w:spacing w:val="9"/>
        </w:rPr>
        <w:t>市政府，并抄送市应急管理局和地震局。</w:t>
      </w:r>
    </w:p>
    <w:p>
      <w:pPr>
        <w:pStyle w:val="BodyText"/>
        <w:ind w:left="26" w:right="329" w:firstLine="420"/>
        <w:spacing w:before="1" w:line="350" w:lineRule="auto"/>
        <w:jc w:val="both"/>
        <w:rPr/>
      </w:pPr>
      <w:r>
        <w:rPr>
          <w:spacing w:val="19"/>
        </w:rPr>
        <w:t>市抗震救灾指挥部办公室及时汇总灾情</w:t>
      </w:r>
      <w:r>
        <w:rPr>
          <w:spacing w:val="7"/>
        </w:rPr>
        <w:t>等情况，报市委、市政府、自治区抗震救灾指</w:t>
      </w:r>
      <w:r>
        <w:rPr>
          <w:spacing w:val="7"/>
        </w:rPr>
        <w:t>挥部办公室和宁夏地震局，同时向宣传部门通</w:t>
      </w:r>
      <w:r>
        <w:rPr>
          <w:spacing w:val="5"/>
        </w:rPr>
        <w:t>报情况。</w:t>
      </w:r>
    </w:p>
    <w:p>
      <w:pPr>
        <w:pStyle w:val="BodyText"/>
        <w:ind w:left="24" w:right="306" w:firstLine="423"/>
        <w:spacing w:before="3" w:line="348" w:lineRule="auto"/>
        <w:jc w:val="both"/>
        <w:rPr/>
      </w:pPr>
      <w:r>
        <w:rPr>
          <w:spacing w:val="6"/>
        </w:rPr>
        <w:t>发现因地震伤亡、失踪或被困人员有港澳</w:t>
      </w:r>
      <w:r>
        <w:rPr>
          <w:spacing w:val="6"/>
        </w:rPr>
        <w:t>台人员或外国人，县（</w:t>
      </w:r>
      <w:r>
        <w:rPr>
          <w:spacing w:val="-51"/>
        </w:rPr>
        <w:t xml:space="preserve"> </w:t>
      </w:r>
      <w:r>
        <w:rPr>
          <w:spacing w:val="6"/>
        </w:rPr>
        <w:t>区）政府及有关部门、</w:t>
      </w:r>
      <w:r>
        <w:rPr>
          <w:spacing w:val="18"/>
        </w:rPr>
        <w:t>邀请单位要迅速核实并上报市外事办公室并</w:t>
      </w:r>
      <w:r>
        <w:rPr>
          <w:spacing w:val="7"/>
        </w:rPr>
        <w:t>抄送市应急管理局。接到报告的部门按照规定</w:t>
      </w:r>
      <w:r>
        <w:rPr>
          <w:spacing w:val="8"/>
        </w:rPr>
        <w:t>向自治区有关部门上报。</w:t>
      </w:r>
    </w:p>
    <w:p>
      <w:pPr>
        <w:pStyle w:val="BodyText"/>
        <w:ind w:left="24" w:right="329" w:firstLine="413"/>
        <w:spacing w:before="5" w:line="353" w:lineRule="auto"/>
        <w:jc w:val="both"/>
        <w:rPr/>
      </w:pPr>
      <w:r>
        <w:rPr>
          <w:spacing w:val="6"/>
        </w:rPr>
        <w:t>（</w:t>
      </w:r>
      <w:r>
        <w:rPr>
          <w:rFonts w:ascii="Times New Roman" w:hAnsi="Times New Roman" w:eastAsia="Times New Roman" w:cs="Times New Roman"/>
          <w:spacing w:val="6"/>
        </w:rPr>
        <w:t>3</w:t>
      </w:r>
      <w:r>
        <w:rPr>
          <w:rFonts w:ascii="Times New Roman" w:hAnsi="Times New Roman" w:eastAsia="Times New Roman" w:cs="Times New Roman"/>
          <w:spacing w:val="-12"/>
        </w:rPr>
        <w:t xml:space="preserve"> </w:t>
      </w:r>
      <w:r>
        <w:rPr>
          <w:spacing w:val="6"/>
        </w:rPr>
        <w:t>）按照《</w:t>
      </w:r>
      <w:r>
        <w:rPr>
          <w:spacing w:val="-16"/>
        </w:rPr>
        <w:t xml:space="preserve"> </w:t>
      </w:r>
      <w:r>
        <w:rPr>
          <w:spacing w:val="6"/>
        </w:rPr>
        <w:t>自治区政府办公厅关于建立</w:t>
      </w:r>
      <w:r>
        <w:rPr>
          <w:spacing w:val="18"/>
        </w:rPr>
        <w:t>突发事件应急处置工作联络员报告制度的通</w:t>
      </w:r>
      <w:r>
        <w:rPr>
          <w:spacing w:val="6"/>
        </w:rPr>
        <w:t>知》（宁政办发〔</w:t>
      </w:r>
      <w:r>
        <w:rPr>
          <w:rFonts w:ascii="Times New Roman" w:hAnsi="Times New Roman" w:eastAsia="Times New Roman" w:cs="Times New Roman"/>
          <w:spacing w:val="6"/>
        </w:rPr>
        <w:t>2016 </w:t>
      </w:r>
      <w:r>
        <w:rPr>
          <w:spacing w:val="6"/>
        </w:rPr>
        <w:t>〕</w:t>
      </w:r>
      <w:r>
        <w:rPr>
          <w:rFonts w:ascii="Times New Roman" w:hAnsi="Times New Roman" w:eastAsia="Times New Roman" w:cs="Times New Roman"/>
          <w:spacing w:val="6"/>
        </w:rPr>
        <w:t>164 </w:t>
      </w:r>
      <w:r>
        <w:rPr>
          <w:spacing w:val="6"/>
        </w:rPr>
        <w:t>号）要</w:t>
      </w:r>
      <w:r>
        <w:rPr>
          <w:spacing w:val="5"/>
        </w:rPr>
        <w:t>求，地震</w:t>
      </w:r>
      <w:r>
        <w:rPr>
          <w:spacing w:val="7"/>
        </w:rPr>
        <w:t>灾害发生后，县区政府和市抗震救灾指挥部各</w:t>
      </w:r>
      <w:r>
        <w:rPr>
          <w:spacing w:val="18"/>
        </w:rPr>
        <w:t>成员单位在向市政府首报突发事件信息的同</w:t>
      </w:r>
      <w:r>
        <w:rPr>
          <w:spacing w:val="7"/>
        </w:rPr>
        <w:t>时，要按照上述规定的联络员范围报告联络员</w:t>
      </w:r>
      <w:r>
        <w:rPr>
          <w:spacing w:val="7"/>
        </w:rPr>
        <w:t>姓名、职务、联系方式、出发时间、到达现场</w:t>
      </w:r>
      <w:r>
        <w:rPr>
          <w:spacing w:val="7"/>
        </w:rPr>
        <w:t>时间或拟到达现场时间。如在应急处置过程中</w:t>
      </w:r>
      <w:r>
        <w:rPr>
          <w:spacing w:val="8"/>
        </w:rPr>
        <w:t>更换联络员，要及时报备。</w:t>
      </w:r>
    </w:p>
    <w:p>
      <w:pPr>
        <w:pStyle w:val="BodyText"/>
        <w:ind w:left="25" w:right="306" w:firstLine="420"/>
        <w:spacing w:before="5" w:line="352" w:lineRule="auto"/>
        <w:jc w:val="both"/>
        <w:rPr/>
      </w:pPr>
      <w:r>
        <w:rPr>
          <w:spacing w:val="7"/>
        </w:rPr>
        <w:t>应急处置联络员包括：地震灾害发生地县</w:t>
      </w:r>
      <w:r>
        <w:rPr>
          <w:spacing w:val="18"/>
        </w:rPr>
        <w:t>区政府赶赴现场指挥先期处置工作的主要领</w:t>
      </w:r>
      <w:r>
        <w:rPr>
          <w:spacing w:val="7"/>
        </w:rPr>
        <w:t>导、分管领导和随同前往的县区政府办公室负</w:t>
      </w:r>
      <w:r>
        <w:rPr>
          <w:spacing w:val="7"/>
        </w:rPr>
        <w:t>责人；市抗震救灾指挥部各成员单位负责人及</w:t>
      </w:r>
      <w:r>
        <w:rPr>
          <w:spacing w:val="8"/>
        </w:rPr>
        <w:t>指挥部办公室主任；赶赴现场的市有关部门、</w:t>
      </w:r>
      <w:r>
        <w:rPr>
          <w:spacing w:val="18"/>
        </w:rPr>
        <w:t>单位领导和应急工作机构负责人均为地震灾</w:t>
      </w:r>
      <w:r>
        <w:rPr>
          <w:spacing w:val="8"/>
        </w:rPr>
        <w:t>害应急处置联络员。</w:t>
      </w:r>
    </w:p>
    <w:p>
      <w:pPr>
        <w:pStyle w:val="BodyText"/>
        <w:ind w:left="30" w:right="329" w:firstLine="414"/>
        <w:spacing w:before="2" w:line="284" w:lineRule="auto"/>
        <w:rPr/>
      </w:pPr>
      <w:r>
        <w:rPr>
          <w:rFonts w:ascii="Times New Roman" w:hAnsi="Times New Roman" w:eastAsia="Times New Roman" w:cs="Times New Roman"/>
          <w:spacing w:val="8"/>
        </w:rPr>
        <w:t>4.2  </w:t>
      </w:r>
      <w:r>
        <w:rPr>
          <w:rFonts w:ascii="KaiTi" w:hAnsi="KaiTi" w:eastAsia="KaiTi" w:cs="KaiTi"/>
          <w:spacing w:val="8"/>
        </w:rPr>
        <w:t>先期处置。</w:t>
      </w:r>
      <w:r>
        <w:rPr>
          <w:spacing w:val="8"/>
        </w:rPr>
        <w:t>地震灾害发生后，地震灾</w:t>
      </w:r>
      <w:r>
        <w:rPr>
          <w:spacing w:val="17"/>
        </w:rPr>
        <w:t>害发生地政府和相关单位要第一时间赶到现</w:t>
      </w:r>
    </w:p>
    <w:p>
      <w:pPr>
        <w:spacing w:line="14" w:lineRule="auto"/>
        <w:rPr>
          <w:rFonts w:ascii="Arial"/>
          <w:sz w:val="2"/>
        </w:rPr>
      </w:pPr>
      <w:r>
        <w:rPr>
          <w:rFonts w:ascii="Arial" w:hAnsi="Arial" w:eastAsia="Arial" w:cs="Arial"/>
          <w:sz w:val="2"/>
          <w:szCs w:val="2"/>
        </w:rPr>
        <w:br w:type="column"/>
      </w:r>
    </w:p>
    <w:p>
      <w:pPr>
        <w:pStyle w:val="BodyText"/>
        <w:spacing w:before="41" w:line="222" w:lineRule="auto"/>
        <w:jc w:val="right"/>
        <w:rPr/>
      </w:pPr>
      <w:r>
        <w:rPr>
          <w:spacing w:val="-8"/>
        </w:rPr>
        <w:t>场，按照相关应急预案，组织开展先期处置工作。</w:t>
      </w:r>
    </w:p>
    <w:p>
      <w:pPr>
        <w:pStyle w:val="BodyText"/>
        <w:ind w:right="15" w:firstLine="420"/>
        <w:spacing w:before="138" w:line="351" w:lineRule="auto"/>
        <w:rPr/>
      </w:pPr>
      <w:r>
        <w:rPr>
          <w:rFonts w:ascii="Times New Roman" w:hAnsi="Times New Roman" w:eastAsia="Times New Roman" w:cs="Times New Roman"/>
          <w:spacing w:val="9"/>
        </w:rPr>
        <w:t>4.3  </w:t>
      </w:r>
      <w:r>
        <w:rPr>
          <w:rFonts w:ascii="KaiTi" w:hAnsi="KaiTi" w:eastAsia="KaiTi" w:cs="KaiTi"/>
          <w:spacing w:val="9"/>
        </w:rPr>
        <w:t>响应启动。</w:t>
      </w:r>
      <w:r>
        <w:rPr>
          <w:spacing w:val="9"/>
        </w:rPr>
        <w:t>按照地震灾害的可控性、</w:t>
      </w:r>
      <w:r>
        <w:rPr>
          <w:spacing w:val="7"/>
        </w:rPr>
        <w:t>严重程度和影响范围，应急响应分为</w:t>
      </w:r>
      <w:r>
        <w:rPr>
          <w:rFonts w:ascii="Times New Roman" w:hAnsi="Times New Roman" w:eastAsia="Times New Roman" w:cs="Times New Roman"/>
          <w:spacing w:val="7"/>
        </w:rPr>
        <w:t>Ⅳ</w:t>
      </w:r>
      <w:r>
        <w:rPr>
          <w:spacing w:val="7"/>
        </w:rPr>
        <w:t>级、</w:t>
      </w:r>
      <w:r>
        <w:rPr>
          <w:rFonts w:ascii="Times New Roman" w:hAnsi="Times New Roman" w:eastAsia="Times New Roman" w:cs="Times New Roman"/>
          <w:spacing w:val="7"/>
        </w:rPr>
        <w:t>Ⅲ</w:t>
      </w:r>
      <w:r>
        <w:rPr>
          <w:spacing w:val="1"/>
        </w:rPr>
        <w:t>级、</w:t>
      </w:r>
      <w:r>
        <w:rPr>
          <w:rFonts w:ascii="Times New Roman" w:hAnsi="Times New Roman" w:eastAsia="Times New Roman" w:cs="Times New Roman"/>
          <w:spacing w:val="1"/>
        </w:rPr>
        <w:t>Ⅱ</w:t>
      </w:r>
      <w:r>
        <w:rPr>
          <w:spacing w:val="1"/>
        </w:rPr>
        <w:t>级、</w:t>
      </w:r>
      <w:r>
        <w:rPr>
          <w:rFonts w:ascii="Times New Roman" w:hAnsi="Times New Roman" w:eastAsia="Times New Roman" w:cs="Times New Roman"/>
          <w:spacing w:val="1"/>
        </w:rPr>
        <w:t>Ⅰ</w:t>
      </w:r>
      <w:r>
        <w:rPr>
          <w:spacing w:val="1"/>
        </w:rPr>
        <w:t>级四级，依次分别对应一般、较大、</w:t>
      </w:r>
      <w:r>
        <w:rPr>
          <w:spacing w:val="8"/>
        </w:rPr>
        <w:t>重大、特别重大地震灾害。</w:t>
      </w:r>
    </w:p>
    <w:p>
      <w:pPr>
        <w:pStyle w:val="BodyText"/>
        <w:ind w:right="101" w:firstLine="421"/>
        <w:spacing w:before="7" w:line="352" w:lineRule="auto"/>
        <w:jc w:val="both"/>
        <w:rPr/>
      </w:pPr>
      <w:r>
        <w:rPr>
          <w:spacing w:val="6"/>
        </w:rPr>
        <w:t>地震应急响应启动后，可视灾情及其发展</w:t>
      </w:r>
      <w:r>
        <w:rPr>
          <w:spacing w:val="7"/>
        </w:rPr>
        <w:t>情况对响应级别及时进行相应调整，避免响应</w:t>
      </w:r>
      <w:r>
        <w:rPr>
          <w:spacing w:val="7"/>
        </w:rPr>
        <w:t>不足或响应过度。地震灾害有扩大趋势或已扩</w:t>
      </w:r>
      <w:r>
        <w:rPr>
          <w:spacing w:val="7"/>
        </w:rPr>
        <w:t>大，需要启动高级别应急响应时，应及时报告</w:t>
      </w:r>
      <w:r>
        <w:rPr>
          <w:spacing w:val="8"/>
        </w:rPr>
        <w:t>自治区抗震救灾指挥部。</w:t>
      </w:r>
    </w:p>
    <w:p>
      <w:pPr>
        <w:pStyle w:val="BodyText"/>
        <w:ind w:right="36" w:firstLine="413"/>
        <w:spacing w:before="6" w:line="352" w:lineRule="auto"/>
        <w:jc w:val="both"/>
        <w:rPr/>
      </w:pPr>
      <w:r>
        <w:rPr>
          <w:spacing w:val="-3"/>
        </w:rPr>
        <w:t>（</w:t>
      </w:r>
      <w:r>
        <w:rPr>
          <w:spacing w:val="-39"/>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0"/>
        </w:rPr>
        <w:t xml:space="preserve"> </w:t>
      </w:r>
      <w:r>
        <w:rPr>
          <w:spacing w:val="-3"/>
        </w:rPr>
        <w:t>）</w:t>
      </w:r>
      <w:r>
        <w:rPr>
          <w:rFonts w:ascii="Times New Roman" w:hAnsi="Times New Roman" w:eastAsia="Times New Roman" w:cs="Times New Roman"/>
          <w:spacing w:val="-3"/>
        </w:rPr>
        <w:t>Ⅰ</w:t>
      </w:r>
      <w:r>
        <w:rPr>
          <w:spacing w:val="-3"/>
        </w:rPr>
        <w:t>级响应。初判为特别重大地震灾害，</w:t>
      </w:r>
      <w:r>
        <w:rPr>
          <w:spacing w:val="18"/>
        </w:rPr>
        <w:t>市抗震救灾指挥部办公室组织全体或部分指</w:t>
      </w:r>
      <w:r>
        <w:rPr>
          <w:spacing w:val="7"/>
        </w:rPr>
        <w:t>挥部成员单位，紧急会商或对事件影响及其发</w:t>
      </w:r>
      <w:r>
        <w:rPr>
          <w:spacing w:val="7"/>
        </w:rPr>
        <w:t>展趋势进行分析研判后，向市政府提出响应级</w:t>
      </w:r>
      <w:r>
        <w:rPr>
          <w:spacing w:val="6"/>
        </w:rPr>
        <w:t>别建议。经批准，由市政府宣布启动</w:t>
      </w:r>
      <w:r>
        <w:rPr>
          <w:rFonts w:ascii="Times New Roman" w:hAnsi="Times New Roman" w:eastAsia="Times New Roman" w:cs="Times New Roman"/>
          <w:spacing w:val="6"/>
        </w:rPr>
        <w:t>Ⅰ</w:t>
      </w:r>
      <w:r>
        <w:rPr>
          <w:spacing w:val="6"/>
        </w:rPr>
        <w:t>级响应，</w:t>
      </w:r>
      <w:r>
        <w:rPr>
          <w:spacing w:val="7"/>
        </w:rPr>
        <w:t>并向有关单位发布。必要时，市政府直接决定</w:t>
      </w:r>
      <w:r>
        <w:rPr>
          <w:spacing w:val="6"/>
        </w:rPr>
        <w:t>启动</w:t>
      </w:r>
      <w:r>
        <w:rPr>
          <w:rFonts w:ascii="Times New Roman" w:hAnsi="Times New Roman" w:eastAsia="Times New Roman" w:cs="Times New Roman"/>
          <w:spacing w:val="6"/>
        </w:rPr>
        <w:t>Ⅰ</w:t>
      </w:r>
      <w:r>
        <w:rPr>
          <w:spacing w:val="6"/>
        </w:rPr>
        <w:t>级响应。</w:t>
      </w:r>
    </w:p>
    <w:p>
      <w:pPr>
        <w:pStyle w:val="BodyText"/>
        <w:ind w:left="2" w:right="32" w:firstLine="420"/>
        <w:spacing w:before="5" w:line="350" w:lineRule="auto"/>
        <w:jc w:val="both"/>
        <w:rPr/>
      </w:pPr>
      <w:r>
        <w:rPr>
          <w:spacing w:val="19"/>
        </w:rPr>
        <w:t>在自治区政府的统一领导、指挥和协调</w:t>
      </w:r>
      <w:r>
        <w:rPr>
          <w:spacing w:val="4"/>
        </w:rPr>
        <w:t>下，由市政府组织有关县（</w:t>
      </w:r>
      <w:r>
        <w:rPr>
          <w:spacing w:val="-34"/>
        </w:rPr>
        <w:t xml:space="preserve"> </w:t>
      </w:r>
      <w:r>
        <w:rPr>
          <w:spacing w:val="4"/>
        </w:rPr>
        <w:t>区）、部门、单位</w:t>
      </w:r>
      <w:r>
        <w:rPr>
          <w:spacing w:val="7"/>
        </w:rPr>
        <w:t>开展应急处置各项工作；视情况，市政府请求</w:t>
      </w:r>
      <w:r>
        <w:rPr>
          <w:spacing w:val="18"/>
        </w:rPr>
        <w:t>自治区政府向国务院抗震救灾指挥机构提出</w:t>
      </w:r>
      <w:r>
        <w:rPr>
          <w:spacing w:val="-3"/>
        </w:rPr>
        <w:t>实施国家地震应急</w:t>
      </w:r>
      <w:r>
        <w:rPr>
          <w:rFonts w:ascii="Times New Roman" w:hAnsi="Times New Roman" w:eastAsia="Times New Roman" w:cs="Times New Roman"/>
          <w:spacing w:val="-3"/>
        </w:rPr>
        <w:t>Ⅰ</w:t>
      </w:r>
      <w:r>
        <w:rPr>
          <w:spacing w:val="-3"/>
        </w:rPr>
        <w:t>级响应，开展全国抗震救灾。</w:t>
      </w:r>
    </w:p>
    <w:p>
      <w:pPr>
        <w:pStyle w:val="BodyText"/>
        <w:ind w:right="98" w:firstLine="413"/>
        <w:spacing w:before="5" w:line="353" w:lineRule="auto"/>
        <w:jc w:val="both"/>
        <w:rPr/>
      </w:pPr>
      <w:r>
        <w:rPr>
          <w:spacing w:val="4"/>
        </w:rPr>
        <w:t>（</w:t>
      </w:r>
      <w:r>
        <w:rPr>
          <w:rFonts w:ascii="Times New Roman" w:hAnsi="Times New Roman" w:eastAsia="Times New Roman" w:cs="Times New Roman"/>
          <w:spacing w:val="4"/>
        </w:rPr>
        <w:t>2</w:t>
      </w:r>
      <w:r>
        <w:rPr>
          <w:rFonts w:ascii="Times New Roman" w:hAnsi="Times New Roman" w:eastAsia="Times New Roman" w:cs="Times New Roman"/>
          <w:spacing w:val="-20"/>
        </w:rPr>
        <w:t xml:space="preserve"> </w:t>
      </w:r>
      <w:r>
        <w:rPr>
          <w:spacing w:val="4"/>
        </w:rPr>
        <w:t>）</w:t>
      </w:r>
      <w:r>
        <w:rPr>
          <w:rFonts w:ascii="Times New Roman" w:hAnsi="Times New Roman" w:eastAsia="Times New Roman" w:cs="Times New Roman"/>
          <w:spacing w:val="4"/>
        </w:rPr>
        <w:t>Ⅱ</w:t>
      </w:r>
      <w:r>
        <w:rPr>
          <w:spacing w:val="4"/>
        </w:rPr>
        <w:t>级响应。初判为重大地震灾害，市</w:t>
      </w:r>
      <w:r>
        <w:rPr>
          <w:spacing w:val="18"/>
        </w:rPr>
        <w:t>抗震救灾指挥部办公室组织全体或部分指挥</w:t>
      </w:r>
      <w:r>
        <w:rPr>
          <w:spacing w:val="7"/>
        </w:rPr>
        <w:t>部成员单位，紧急会商或对事件影响及其发展</w:t>
      </w:r>
      <w:r>
        <w:rPr>
          <w:spacing w:val="7"/>
        </w:rPr>
        <w:t>趋势进行分析研判后，向市政府提出响应级别</w:t>
      </w:r>
      <w:r>
        <w:rPr>
          <w:spacing w:val="8"/>
        </w:rPr>
        <w:t>建议，经批准</w:t>
      </w:r>
      <w:r>
        <w:rPr>
          <w:spacing w:val="-41"/>
        </w:rPr>
        <w:t xml:space="preserve"> </w:t>
      </w:r>
      <w:r>
        <w:rPr>
          <w:spacing w:val="8"/>
        </w:rPr>
        <w:t>，由市政府宣布启动</w:t>
      </w:r>
      <w:r>
        <w:rPr>
          <w:rFonts w:ascii="Times New Roman" w:hAnsi="Times New Roman" w:eastAsia="Times New Roman" w:cs="Times New Roman"/>
          <w:spacing w:val="8"/>
        </w:rPr>
        <w:t>Ⅱ</w:t>
      </w:r>
      <w:r>
        <w:rPr>
          <w:spacing w:val="8"/>
        </w:rPr>
        <w:t>级响应，</w:t>
      </w:r>
      <w:r>
        <w:rPr>
          <w:spacing w:val="8"/>
        </w:rPr>
        <w:t>并向有关单位发布。</w:t>
      </w:r>
    </w:p>
    <w:p>
      <w:pPr>
        <w:pStyle w:val="BodyText"/>
        <w:ind w:right="81" w:firstLine="423"/>
        <w:spacing w:before="2" w:line="325" w:lineRule="auto"/>
        <w:jc w:val="both"/>
        <w:rPr/>
      </w:pPr>
      <w:r>
        <w:rPr>
          <w:spacing w:val="6"/>
        </w:rPr>
        <w:t>在自治区抗震救灾指挥部的统一领导、指</w:t>
      </w:r>
      <w:r>
        <w:rPr>
          <w:spacing w:val="4"/>
        </w:rPr>
        <w:t>挥和协调下，由市政府组织有关县（</w:t>
      </w:r>
      <w:r>
        <w:rPr>
          <w:spacing w:val="-34"/>
        </w:rPr>
        <w:t xml:space="preserve"> </w:t>
      </w:r>
      <w:r>
        <w:rPr>
          <w:spacing w:val="4"/>
        </w:rPr>
        <w:t>区）、部</w:t>
      </w:r>
      <w:r>
        <w:rPr>
          <w:spacing w:val="7"/>
        </w:rPr>
        <w:t>门、单位开展应急处置各项工作；视情况，市</w:t>
      </w:r>
      <w:r>
        <w:rPr>
          <w:spacing w:val="18"/>
        </w:rPr>
        <w:t>政府请求自治区抗震救灾指挥部向国务院抗</w:t>
      </w:r>
      <w:r>
        <w:rPr>
          <w:spacing w:val="21"/>
        </w:rPr>
        <w:t>震救灾指挥部提出实施国家地震应急</w:t>
      </w:r>
      <w:r>
        <w:rPr>
          <w:rFonts w:ascii="Times New Roman" w:hAnsi="Times New Roman" w:eastAsia="Times New Roman" w:cs="Times New Roman"/>
          <w:spacing w:val="21"/>
        </w:rPr>
        <w:t>Ⅱ</w:t>
      </w:r>
      <w:r>
        <w:rPr>
          <w:spacing w:val="21"/>
        </w:rPr>
        <w:t>级响</w:t>
      </w:r>
      <w:r>
        <w:rPr>
          <w:spacing w:val="8"/>
        </w:rPr>
        <w:t>应、支援或委派工作组来固原指导应急处置。</w:t>
      </w:r>
    </w:p>
    <w:p>
      <w:pPr>
        <w:spacing w:line="325" w:lineRule="auto"/>
        <w:sectPr>
          <w:type w:val="continuous"/>
          <w:pgSz w:w="11906" w:h="16839"/>
          <w:pgMar w:top="1828" w:right="1489" w:bottom="1556" w:left="1567" w:header="1428" w:footer="1172" w:gutter="0"/>
          <w:cols w:equalWidth="0" w:num="2">
            <w:col w:w="4502" w:space="100"/>
            <w:col w:w="4249" w:space="0"/>
          </w:cols>
        </w:sectPr>
        <w:rPr/>
      </w:pPr>
    </w:p>
    <w:p>
      <w:pPr>
        <w:spacing w:before="51"/>
        <w:rPr/>
      </w:pPr>
      <w:r>
        <w:drawing>
          <wp:anchor distT="0" distB="0" distL="0" distR="0" simplePos="0" relativeHeight="252448768"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526" name="IM 1526"/>
            <wp:cNvGraphicFramePr/>
            <a:graphic>
              <a:graphicData uri="http://schemas.openxmlformats.org/drawingml/2006/picture">
                <pic:pic>
                  <pic:nvPicPr>
                    <pic:cNvPr id="1526" name="IM 1526"/>
                    <pic:cNvPicPr/>
                  </pic:nvPicPr>
                  <pic:blipFill>
                    <a:blip r:embed="rId765"/>
                    <a:stretch>
                      <a:fillRect/>
                    </a:stretch>
                  </pic:blipFill>
                  <pic:spPr>
                    <a:xfrm rot="0">
                      <a:off x="0" y="0"/>
                      <a:ext cx="5579745" cy="7620"/>
                    </a:xfrm>
                    <a:prstGeom prst="rect">
                      <a:avLst/>
                    </a:prstGeom>
                  </pic:spPr>
                </pic:pic>
              </a:graphicData>
            </a:graphic>
          </wp:anchor>
        </w:drawing>
      </w:r>
      <w:r/>
    </w:p>
    <w:p>
      <w:pPr>
        <w:sectPr>
          <w:headerReference w:type="default" r:id="rId641"/>
          <w:footerReference w:type="default" r:id="rId764"/>
          <w:pgSz w:w="11906" w:h="16839"/>
          <w:pgMar w:top="1766" w:right="1480" w:bottom="1551" w:left="1576" w:header="1428" w:footer="1172" w:gutter="0"/>
          <w:cols w:equalWidth="0" w:num="1">
            <w:col w:w="8850" w:space="0"/>
          </w:cols>
        </w:sectPr>
        <w:rPr/>
      </w:pPr>
    </w:p>
    <w:p>
      <w:pPr>
        <w:pStyle w:val="BodyText"/>
        <w:ind w:left="18" w:right="327" w:firstLine="409"/>
        <w:spacing w:before="48" w:line="350" w:lineRule="auto"/>
        <w:jc w:val="both"/>
        <w:rPr/>
      </w:pPr>
      <w:r>
        <w:rPr>
          <w:spacing w:val="9"/>
        </w:rPr>
        <w:t>（</w:t>
      </w:r>
      <w:r>
        <w:rPr>
          <w:rFonts w:ascii="Times New Roman" w:hAnsi="Times New Roman" w:eastAsia="Times New Roman" w:cs="Times New Roman"/>
          <w:spacing w:val="9"/>
        </w:rPr>
        <w:t>3</w:t>
      </w:r>
      <w:r>
        <w:rPr>
          <w:rFonts w:ascii="Times New Roman" w:hAnsi="Times New Roman" w:eastAsia="Times New Roman" w:cs="Times New Roman"/>
          <w:spacing w:val="-14"/>
        </w:rPr>
        <w:t xml:space="preserve"> </w:t>
      </w:r>
      <w:r>
        <w:rPr>
          <w:spacing w:val="9"/>
        </w:rPr>
        <w:t>）</w:t>
      </w:r>
      <w:r>
        <w:rPr>
          <w:rFonts w:ascii="Times New Roman" w:hAnsi="Times New Roman" w:eastAsia="Times New Roman" w:cs="Times New Roman"/>
          <w:spacing w:val="9"/>
        </w:rPr>
        <w:t>Ⅲ</w:t>
      </w:r>
      <w:r>
        <w:rPr>
          <w:spacing w:val="9"/>
        </w:rPr>
        <w:t>级响应。初判为较大地震灾害</w:t>
      </w:r>
      <w:r>
        <w:rPr>
          <w:spacing w:val="-56"/>
        </w:rPr>
        <w:t xml:space="preserve"> </w:t>
      </w:r>
      <w:r>
        <w:rPr>
          <w:spacing w:val="9"/>
        </w:rPr>
        <w:t>，</w:t>
      </w:r>
      <w:r>
        <w:rPr>
          <w:spacing w:val="18"/>
        </w:rPr>
        <w:t>市抗震救灾指挥部办公室提出启动</w:t>
      </w:r>
      <w:r>
        <w:rPr>
          <w:rFonts w:ascii="Times New Roman" w:hAnsi="Times New Roman" w:eastAsia="Times New Roman" w:cs="Times New Roman"/>
          <w:spacing w:val="18"/>
        </w:rPr>
        <w:t>Ⅲ</w:t>
      </w:r>
      <w:r>
        <w:rPr>
          <w:spacing w:val="18"/>
        </w:rPr>
        <w:t>级应急</w:t>
      </w:r>
      <w:r>
        <w:rPr>
          <w:spacing w:val="7"/>
        </w:rPr>
        <w:t>响应和应急措施的建议，由市政府决定启动</w:t>
      </w:r>
      <w:r>
        <w:rPr>
          <w:rFonts w:ascii="Times New Roman" w:hAnsi="Times New Roman" w:eastAsia="Times New Roman" w:cs="Times New Roman"/>
          <w:spacing w:val="7"/>
        </w:rPr>
        <w:t>Ⅲ</w:t>
      </w:r>
      <w:r>
        <w:rPr>
          <w:spacing w:val="8"/>
        </w:rPr>
        <w:t>级应急响应，并向有关单位发布。</w:t>
      </w:r>
    </w:p>
    <w:p>
      <w:pPr>
        <w:pStyle w:val="BodyText"/>
        <w:ind w:left="16" w:right="328" w:firstLine="421"/>
        <w:spacing w:before="9" w:line="350" w:lineRule="auto"/>
        <w:jc w:val="both"/>
        <w:rPr/>
      </w:pPr>
      <w:r>
        <w:rPr>
          <w:spacing w:val="19"/>
        </w:rPr>
        <w:t>在自治区抗震救灾指挥部的指导和支持</w:t>
      </w:r>
      <w:r>
        <w:rPr>
          <w:spacing w:val="7"/>
        </w:rPr>
        <w:t>下，由市政府统一领导、指挥市抗震救灾指挥</w:t>
      </w:r>
      <w:r>
        <w:rPr>
          <w:spacing w:val="7"/>
        </w:rPr>
        <w:t>部和有关县区、部门、单位组织开展抗震救灾</w:t>
      </w:r>
      <w:r>
        <w:rPr>
          <w:spacing w:val="7"/>
        </w:rPr>
        <w:t>工作。必要时，市政府请求自治区抗震救灾指</w:t>
      </w:r>
      <w:r>
        <w:rPr>
          <w:spacing w:val="7"/>
        </w:rPr>
        <w:t>挥部派出工作组，赶赴地震灾害现场，指导开</w:t>
      </w:r>
      <w:r>
        <w:rPr>
          <w:spacing w:val="8"/>
        </w:rPr>
        <w:t>展相关应急处置工作。</w:t>
      </w:r>
    </w:p>
    <w:p>
      <w:pPr>
        <w:pStyle w:val="BodyText"/>
        <w:ind w:left="16" w:right="248" w:firstLine="412"/>
        <w:spacing w:line="350" w:lineRule="auto"/>
        <w:jc w:val="both"/>
        <w:rPr/>
      </w:pPr>
      <w:r>
        <w:rPr>
          <w:spacing w:val="12"/>
        </w:rPr>
        <w:t>（</w:t>
      </w:r>
      <w:r>
        <w:rPr>
          <w:rFonts w:ascii="Times New Roman" w:hAnsi="Times New Roman" w:eastAsia="Times New Roman" w:cs="Times New Roman"/>
          <w:spacing w:val="12"/>
        </w:rPr>
        <w:t>4</w:t>
      </w:r>
      <w:r>
        <w:rPr>
          <w:rFonts w:ascii="Times New Roman" w:hAnsi="Times New Roman" w:eastAsia="Times New Roman" w:cs="Times New Roman"/>
          <w:spacing w:val="-16"/>
        </w:rPr>
        <w:t xml:space="preserve"> </w:t>
      </w:r>
      <w:r>
        <w:rPr>
          <w:spacing w:val="12"/>
        </w:rPr>
        <w:t>）</w:t>
      </w:r>
      <w:r>
        <w:rPr>
          <w:rFonts w:ascii="Times New Roman" w:hAnsi="Times New Roman" w:eastAsia="Times New Roman" w:cs="Times New Roman"/>
          <w:spacing w:val="12"/>
        </w:rPr>
        <w:t>Ⅳ</w:t>
      </w:r>
      <w:r>
        <w:rPr>
          <w:spacing w:val="12"/>
        </w:rPr>
        <w:t>级响应。初判为一般地震灾害，</w:t>
      </w:r>
      <w:r>
        <w:rPr>
          <w:spacing w:val="18"/>
        </w:rPr>
        <w:t>发生地震灾害的县区抗震救灾指挥部提出启</w:t>
      </w:r>
      <w:r>
        <w:rPr>
          <w:spacing w:val="6"/>
        </w:rPr>
        <w:t>动</w:t>
      </w:r>
      <w:r>
        <w:rPr>
          <w:rFonts w:ascii="Times New Roman" w:hAnsi="Times New Roman" w:eastAsia="Times New Roman" w:cs="Times New Roman"/>
          <w:spacing w:val="6"/>
        </w:rPr>
        <w:t>Ⅳ</w:t>
      </w:r>
      <w:r>
        <w:rPr>
          <w:spacing w:val="6"/>
        </w:rPr>
        <w:t>级应急响应和应急措施的建议，由县区政</w:t>
      </w:r>
      <w:r>
        <w:rPr>
          <w:spacing w:val="-9"/>
        </w:rPr>
        <w:t>府决定启动</w:t>
      </w:r>
      <w:r>
        <w:rPr>
          <w:rFonts w:ascii="Times New Roman" w:hAnsi="Times New Roman" w:eastAsia="Times New Roman" w:cs="Times New Roman"/>
          <w:spacing w:val="-9"/>
        </w:rPr>
        <w:t>Ⅳ</w:t>
      </w:r>
      <w:r>
        <w:rPr>
          <w:spacing w:val="-9"/>
        </w:rPr>
        <w:t>级应急响应，并向各有关单位发布。</w:t>
      </w:r>
    </w:p>
    <w:p>
      <w:pPr>
        <w:pStyle w:val="BodyText"/>
        <w:ind w:left="17" w:right="328" w:firstLine="420"/>
        <w:spacing w:before="6" w:line="351" w:lineRule="auto"/>
        <w:jc w:val="both"/>
        <w:rPr/>
      </w:pPr>
      <w:r>
        <w:rPr>
          <w:spacing w:val="6"/>
        </w:rPr>
        <w:t>在市抗震救灾指挥部的指导和支持下，灾</w:t>
      </w:r>
      <w:r>
        <w:rPr>
          <w:spacing w:val="7"/>
        </w:rPr>
        <w:t>区所在县区抗震救灾指挥机构领导、指挥和协</w:t>
      </w:r>
      <w:r>
        <w:rPr>
          <w:spacing w:val="7"/>
        </w:rPr>
        <w:t>调抗震救灾工作，市抗震救灾指挥部组织对灾</w:t>
      </w:r>
      <w:r>
        <w:rPr>
          <w:spacing w:val="7"/>
        </w:rPr>
        <w:t>区进行支援。必要时，请求自治区抗震救灾指</w:t>
      </w:r>
      <w:r>
        <w:rPr>
          <w:spacing w:val="8"/>
        </w:rPr>
        <w:t>挥部成员单位给予一定支持。</w:t>
      </w:r>
    </w:p>
    <w:p>
      <w:pPr>
        <w:ind w:left="539"/>
        <w:spacing w:before="125" w:line="221" w:lineRule="auto"/>
        <w:rPr>
          <w:rFonts w:ascii="SimHei" w:hAnsi="SimHei" w:eastAsia="SimHei" w:cs="SimHei"/>
          <w:sz w:val="24"/>
          <w:szCs w:val="24"/>
        </w:rPr>
      </w:pPr>
      <w:r>
        <w:rPr>
          <w:rFonts w:ascii="SimHei" w:hAnsi="SimHei" w:eastAsia="SimHei" w:cs="SimHei"/>
          <w:sz w:val="24"/>
          <w:szCs w:val="24"/>
          <w:spacing w:val="-1"/>
        </w:rPr>
        <w:t>地震灾害事件分级处置一览表</w:t>
      </w:r>
    </w:p>
    <w:p>
      <w:pPr>
        <w:spacing w:line="34" w:lineRule="exact"/>
        <w:rPr/>
      </w:pPr>
      <w:r/>
    </w:p>
    <w:tbl>
      <w:tblPr>
        <w:tblStyle w:val="TableNormal"/>
        <w:tblW w:w="3973" w:type="dxa"/>
        <w:tblInd w:w="10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54"/>
        <w:gridCol w:w="581"/>
        <w:gridCol w:w="905"/>
        <w:gridCol w:w="1333"/>
      </w:tblGrid>
      <w:tr>
        <w:trPr>
          <w:trHeight w:val="798" w:hRule="atLeast"/>
        </w:trPr>
        <w:tc>
          <w:tcPr>
            <w:tcW w:w="1154" w:type="dxa"/>
            <w:vAlign w:val="top"/>
          </w:tcPr>
          <w:p>
            <w:pPr>
              <w:pStyle w:val="TableText"/>
              <w:ind w:left="281" w:right="274" w:hanging="3"/>
              <w:spacing w:before="183" w:line="253" w:lineRule="auto"/>
              <w:rPr>
                <w:sz w:val="19"/>
                <w:szCs w:val="19"/>
              </w:rPr>
            </w:pPr>
            <w:r>
              <w:rPr>
                <w:sz w:val="19"/>
                <w:szCs w:val="19"/>
                <w:spacing w:val="8"/>
              </w:rPr>
              <w:t>地震灾</w:t>
            </w:r>
            <w:r>
              <w:rPr>
                <w:sz w:val="19"/>
                <w:szCs w:val="19"/>
                <w:spacing w:val="7"/>
              </w:rPr>
              <w:t>害事件</w:t>
            </w:r>
          </w:p>
        </w:tc>
        <w:tc>
          <w:tcPr>
            <w:tcW w:w="581" w:type="dxa"/>
            <w:vAlign w:val="top"/>
          </w:tcPr>
          <w:p>
            <w:pPr>
              <w:pStyle w:val="TableText"/>
              <w:ind w:left="92" w:right="90" w:firstLine="10"/>
              <w:spacing w:before="180" w:line="255" w:lineRule="auto"/>
              <w:rPr>
                <w:sz w:val="19"/>
                <w:szCs w:val="19"/>
              </w:rPr>
            </w:pPr>
            <w:r>
              <w:rPr>
                <w:sz w:val="19"/>
                <w:szCs w:val="19"/>
                <w:spacing w:val="1"/>
              </w:rPr>
              <w:t>响应</w:t>
            </w:r>
            <w:r>
              <w:rPr>
                <w:sz w:val="19"/>
                <w:szCs w:val="19"/>
                <w:spacing w:val="6"/>
              </w:rPr>
              <w:t>级别</w:t>
            </w:r>
          </w:p>
        </w:tc>
        <w:tc>
          <w:tcPr>
            <w:tcW w:w="905" w:type="dxa"/>
            <w:vAlign w:val="top"/>
          </w:tcPr>
          <w:p>
            <w:pPr>
              <w:pStyle w:val="TableText"/>
              <w:ind w:left="55" w:right="49" w:hanging="1"/>
              <w:spacing w:before="181" w:line="254" w:lineRule="auto"/>
              <w:rPr>
                <w:sz w:val="19"/>
                <w:szCs w:val="19"/>
              </w:rPr>
            </w:pPr>
            <w:r>
              <w:rPr>
                <w:sz w:val="19"/>
                <w:szCs w:val="19"/>
                <w:spacing w:val="8"/>
              </w:rPr>
              <w:t>应急处置</w:t>
            </w:r>
            <w:r>
              <w:rPr>
                <w:sz w:val="19"/>
                <w:szCs w:val="19"/>
                <w:spacing w:val="8"/>
              </w:rPr>
              <w:t>领导机构</w:t>
            </w:r>
          </w:p>
        </w:tc>
        <w:tc>
          <w:tcPr>
            <w:tcW w:w="1333" w:type="dxa"/>
            <w:vAlign w:val="top"/>
          </w:tcPr>
          <w:p>
            <w:pPr>
              <w:pStyle w:val="TableText"/>
              <w:ind w:left="368" w:right="365"/>
              <w:spacing w:before="180" w:line="254" w:lineRule="auto"/>
              <w:rPr>
                <w:sz w:val="19"/>
                <w:szCs w:val="19"/>
              </w:rPr>
            </w:pPr>
            <w:r>
              <w:rPr>
                <w:sz w:val="19"/>
                <w:szCs w:val="19"/>
                <w:spacing w:val="7"/>
              </w:rPr>
              <w:t>指导支</w:t>
            </w:r>
            <w:r>
              <w:rPr>
                <w:sz w:val="19"/>
                <w:szCs w:val="19"/>
                <w:spacing w:val="8"/>
              </w:rPr>
              <w:t>持机构</w:t>
            </w:r>
          </w:p>
        </w:tc>
      </w:tr>
      <w:tr>
        <w:trPr>
          <w:trHeight w:val="780" w:hRule="atLeast"/>
        </w:trPr>
        <w:tc>
          <w:tcPr>
            <w:tcW w:w="1154" w:type="dxa"/>
            <w:vAlign w:val="top"/>
          </w:tcPr>
          <w:p>
            <w:pPr>
              <w:pStyle w:val="TableText"/>
              <w:ind w:left="77" w:right="75" w:firstLine="3"/>
              <w:spacing w:before="169" w:line="254" w:lineRule="auto"/>
              <w:rPr>
                <w:sz w:val="19"/>
                <w:szCs w:val="19"/>
              </w:rPr>
            </w:pPr>
            <w:r>
              <w:rPr>
                <w:sz w:val="19"/>
                <w:szCs w:val="19"/>
                <w:spacing w:val="8"/>
              </w:rPr>
              <w:t>特别重大地</w:t>
            </w:r>
            <w:r>
              <w:rPr>
                <w:sz w:val="19"/>
                <w:szCs w:val="19"/>
                <w:spacing w:val="9"/>
              </w:rPr>
              <w:t>震灾害事件</w:t>
            </w:r>
          </w:p>
        </w:tc>
        <w:tc>
          <w:tcPr>
            <w:tcW w:w="581" w:type="dxa"/>
            <w:vAlign w:val="top"/>
          </w:tcPr>
          <w:p>
            <w:pPr>
              <w:pStyle w:val="TableText"/>
              <w:ind w:left="157"/>
              <w:spacing w:before="294" w:line="267" w:lineRule="exact"/>
              <w:rPr>
                <w:sz w:val="19"/>
                <w:szCs w:val="19"/>
              </w:rPr>
            </w:pPr>
            <w:r>
              <w:rPr>
                <w:sz w:val="19"/>
                <w:szCs w:val="19"/>
                <w:spacing w:val="-26"/>
                <w:position w:val="1"/>
              </w:rPr>
              <w:t>Ⅰ级</w:t>
            </w:r>
          </w:p>
        </w:tc>
        <w:tc>
          <w:tcPr>
            <w:tcW w:w="905" w:type="dxa"/>
            <w:vAlign w:val="top"/>
          </w:tcPr>
          <w:p>
            <w:pPr>
              <w:pStyle w:val="TableText"/>
              <w:ind w:left="154" w:right="150" w:firstLine="37"/>
              <w:spacing w:before="171" w:line="252" w:lineRule="auto"/>
              <w:rPr>
                <w:sz w:val="19"/>
                <w:szCs w:val="19"/>
              </w:rPr>
            </w:pPr>
            <w:r>
              <w:rPr>
                <w:sz w:val="19"/>
                <w:szCs w:val="19"/>
                <w:spacing w:val="-5"/>
              </w:rPr>
              <w:t>自治区</w:t>
            </w:r>
            <w:r>
              <w:rPr>
                <w:sz w:val="19"/>
                <w:szCs w:val="19"/>
                <w:spacing w:val="5"/>
              </w:rPr>
              <w:t>政</w:t>
            </w:r>
            <w:r>
              <w:rPr>
                <w:sz w:val="19"/>
                <w:szCs w:val="19"/>
                <w:spacing w:val="7"/>
              </w:rPr>
              <w:t xml:space="preserve">  </w:t>
            </w:r>
            <w:r>
              <w:rPr>
                <w:sz w:val="19"/>
                <w:szCs w:val="19"/>
                <w:spacing w:val="5"/>
              </w:rPr>
              <w:t>府</w:t>
            </w:r>
          </w:p>
        </w:tc>
        <w:tc>
          <w:tcPr>
            <w:tcW w:w="1333" w:type="dxa"/>
            <w:vAlign w:val="top"/>
          </w:tcPr>
          <w:p>
            <w:pPr>
              <w:pStyle w:val="TableText"/>
              <w:ind w:left="67" w:right="65" w:firstLine="120"/>
              <w:spacing w:before="170" w:line="253" w:lineRule="auto"/>
              <w:rPr>
                <w:sz w:val="19"/>
                <w:szCs w:val="19"/>
              </w:rPr>
            </w:pPr>
            <w:r>
              <w:rPr>
                <w:sz w:val="19"/>
                <w:szCs w:val="19"/>
                <w:spacing w:val="4"/>
              </w:rPr>
              <w:t>国务院抗震</w:t>
            </w:r>
            <w:r>
              <w:rPr>
                <w:sz w:val="19"/>
                <w:szCs w:val="19"/>
                <w:spacing w:val="9"/>
              </w:rPr>
              <w:t>救灾指挥机构</w:t>
            </w:r>
          </w:p>
        </w:tc>
      </w:tr>
      <w:tr>
        <w:trPr>
          <w:trHeight w:val="784" w:hRule="atLeast"/>
        </w:trPr>
        <w:tc>
          <w:tcPr>
            <w:tcW w:w="1154" w:type="dxa"/>
            <w:vAlign w:val="top"/>
          </w:tcPr>
          <w:p>
            <w:pPr>
              <w:pStyle w:val="TableText"/>
              <w:ind w:left="178" w:right="176"/>
              <w:spacing w:before="172" w:line="256" w:lineRule="auto"/>
              <w:rPr>
                <w:sz w:val="19"/>
                <w:szCs w:val="19"/>
              </w:rPr>
            </w:pPr>
            <w:r>
              <w:rPr>
                <w:sz w:val="19"/>
                <w:szCs w:val="19"/>
                <w:spacing w:val="8"/>
              </w:rPr>
              <w:t>重大地震</w:t>
            </w:r>
            <w:r>
              <w:rPr>
                <w:sz w:val="19"/>
                <w:szCs w:val="19"/>
                <w:spacing w:val="8"/>
              </w:rPr>
              <w:t>灾害事件</w:t>
            </w:r>
          </w:p>
        </w:tc>
        <w:tc>
          <w:tcPr>
            <w:tcW w:w="581" w:type="dxa"/>
            <w:vAlign w:val="top"/>
          </w:tcPr>
          <w:p>
            <w:pPr>
              <w:spacing w:line="244" w:lineRule="auto"/>
              <w:rPr>
                <w:rFonts w:ascii="Arial"/>
                <w:sz w:val="21"/>
              </w:rPr>
            </w:pPr>
            <w:r/>
          </w:p>
          <w:p>
            <w:pPr>
              <w:pStyle w:val="TableText"/>
              <w:ind w:left="134"/>
              <w:spacing w:before="62" w:line="213" w:lineRule="auto"/>
              <w:rPr>
                <w:sz w:val="19"/>
                <w:szCs w:val="19"/>
              </w:rPr>
            </w:pPr>
            <w:r>
              <w:rPr>
                <w:sz w:val="19"/>
                <w:szCs w:val="19"/>
                <w:spacing w:val="-15"/>
              </w:rPr>
              <w:t>Ⅱ级</w:t>
            </w:r>
          </w:p>
        </w:tc>
        <w:tc>
          <w:tcPr>
            <w:tcW w:w="905" w:type="dxa"/>
            <w:vAlign w:val="top"/>
          </w:tcPr>
          <w:p>
            <w:pPr>
              <w:pStyle w:val="TableText"/>
              <w:ind w:left="191"/>
              <w:spacing w:before="43" w:line="220" w:lineRule="auto"/>
              <w:rPr>
                <w:sz w:val="19"/>
                <w:szCs w:val="19"/>
              </w:rPr>
            </w:pPr>
            <w:r>
              <w:rPr>
                <w:sz w:val="19"/>
                <w:szCs w:val="19"/>
                <w:spacing w:val="-5"/>
              </w:rPr>
              <w:t>自治区</w:t>
            </w:r>
          </w:p>
          <w:p>
            <w:pPr>
              <w:pStyle w:val="TableText"/>
              <w:ind w:left="53"/>
              <w:spacing w:before="33" w:line="219" w:lineRule="auto"/>
              <w:rPr>
                <w:sz w:val="19"/>
                <w:szCs w:val="19"/>
              </w:rPr>
            </w:pPr>
            <w:r>
              <w:rPr>
                <w:sz w:val="19"/>
                <w:szCs w:val="19"/>
                <w:spacing w:val="9"/>
              </w:rPr>
              <w:t>抗震救灾</w:t>
            </w:r>
          </w:p>
          <w:p>
            <w:pPr>
              <w:pStyle w:val="TableText"/>
              <w:ind w:left="155"/>
              <w:spacing w:before="34" w:line="204" w:lineRule="auto"/>
              <w:rPr>
                <w:sz w:val="19"/>
                <w:szCs w:val="19"/>
              </w:rPr>
            </w:pPr>
            <w:r>
              <w:rPr>
                <w:sz w:val="19"/>
                <w:szCs w:val="19"/>
                <w:spacing w:val="7"/>
              </w:rPr>
              <w:t>指挥部</w:t>
            </w:r>
          </w:p>
        </w:tc>
        <w:tc>
          <w:tcPr>
            <w:tcW w:w="1333" w:type="dxa"/>
            <w:vAlign w:val="top"/>
          </w:tcPr>
          <w:p>
            <w:pPr>
              <w:pStyle w:val="TableText"/>
              <w:ind w:left="67" w:right="65" w:firstLine="120"/>
              <w:spacing w:before="171" w:line="256" w:lineRule="auto"/>
              <w:rPr>
                <w:sz w:val="19"/>
                <w:szCs w:val="19"/>
              </w:rPr>
            </w:pPr>
            <w:r>
              <w:rPr>
                <w:sz w:val="19"/>
                <w:szCs w:val="19"/>
                <w:spacing w:val="4"/>
              </w:rPr>
              <w:t>国务院抗震</w:t>
            </w:r>
            <w:r>
              <w:rPr>
                <w:sz w:val="19"/>
                <w:szCs w:val="19"/>
                <w:spacing w:val="9"/>
              </w:rPr>
              <w:t>救灾指挥机构</w:t>
            </w:r>
          </w:p>
        </w:tc>
      </w:tr>
      <w:tr>
        <w:trPr>
          <w:trHeight w:val="1059" w:hRule="atLeast"/>
        </w:trPr>
        <w:tc>
          <w:tcPr>
            <w:tcW w:w="1154" w:type="dxa"/>
            <w:vAlign w:val="top"/>
          </w:tcPr>
          <w:p>
            <w:pPr>
              <w:spacing w:line="248" w:lineRule="auto"/>
              <w:rPr>
                <w:rFonts w:ascii="Arial"/>
                <w:sz w:val="21"/>
              </w:rPr>
            </w:pPr>
            <w:r/>
          </w:p>
          <w:p>
            <w:pPr>
              <w:pStyle w:val="TableText"/>
              <w:ind w:left="178" w:right="176"/>
              <w:spacing w:before="62" w:line="254" w:lineRule="auto"/>
              <w:rPr>
                <w:sz w:val="19"/>
                <w:szCs w:val="19"/>
              </w:rPr>
            </w:pPr>
            <w:r>
              <w:rPr>
                <w:sz w:val="19"/>
                <w:szCs w:val="19"/>
                <w:spacing w:val="8"/>
              </w:rPr>
              <w:t>较大地震</w:t>
            </w:r>
            <w:r>
              <w:rPr>
                <w:sz w:val="19"/>
                <w:szCs w:val="19"/>
                <w:spacing w:val="8"/>
              </w:rPr>
              <w:t>灾害事件</w:t>
            </w:r>
          </w:p>
        </w:tc>
        <w:tc>
          <w:tcPr>
            <w:tcW w:w="581" w:type="dxa"/>
            <w:vAlign w:val="top"/>
          </w:tcPr>
          <w:p>
            <w:pPr>
              <w:spacing w:line="380" w:lineRule="auto"/>
              <w:rPr>
                <w:rFonts w:ascii="Arial"/>
                <w:sz w:val="21"/>
              </w:rPr>
            </w:pPr>
            <w:r/>
          </w:p>
          <w:p>
            <w:pPr>
              <w:pStyle w:val="TableText"/>
              <w:ind w:left="118"/>
              <w:spacing w:before="62" w:line="213" w:lineRule="auto"/>
              <w:rPr>
                <w:sz w:val="19"/>
                <w:szCs w:val="19"/>
              </w:rPr>
            </w:pPr>
            <w:r>
              <w:rPr>
                <w:sz w:val="19"/>
                <w:szCs w:val="19"/>
                <w:spacing w:val="-7"/>
              </w:rPr>
              <w:t>Ⅲ级</w:t>
            </w:r>
          </w:p>
        </w:tc>
        <w:tc>
          <w:tcPr>
            <w:tcW w:w="905" w:type="dxa"/>
            <w:vAlign w:val="top"/>
          </w:tcPr>
          <w:p>
            <w:pPr>
              <w:pStyle w:val="TableText"/>
              <w:ind w:left="53" w:right="49" w:hanging="1"/>
              <w:spacing w:before="180" w:line="253" w:lineRule="auto"/>
              <w:rPr>
                <w:sz w:val="19"/>
                <w:szCs w:val="19"/>
              </w:rPr>
            </w:pPr>
            <w:r>
              <w:rPr>
                <w:sz w:val="19"/>
                <w:szCs w:val="19"/>
                <w:spacing w:val="9"/>
              </w:rPr>
              <w:t>设区的市</w:t>
            </w:r>
            <w:r>
              <w:rPr>
                <w:sz w:val="19"/>
                <w:szCs w:val="19"/>
                <w:spacing w:val="9"/>
              </w:rPr>
              <w:t>抗震救灾</w:t>
            </w:r>
          </w:p>
          <w:p>
            <w:pPr>
              <w:pStyle w:val="TableText"/>
              <w:ind w:left="57"/>
              <w:spacing w:line="216" w:lineRule="auto"/>
              <w:rPr>
                <w:sz w:val="19"/>
                <w:szCs w:val="19"/>
              </w:rPr>
            </w:pPr>
            <w:r>
              <w:rPr>
                <w:sz w:val="19"/>
                <w:szCs w:val="19"/>
                <w:spacing w:val="8"/>
              </w:rPr>
              <w:t>指挥机构</w:t>
            </w:r>
          </w:p>
        </w:tc>
        <w:tc>
          <w:tcPr>
            <w:tcW w:w="1333" w:type="dxa"/>
            <w:vAlign w:val="top"/>
          </w:tcPr>
          <w:p>
            <w:pPr>
              <w:spacing w:line="248" w:lineRule="auto"/>
              <w:rPr>
                <w:rFonts w:ascii="Arial"/>
                <w:sz w:val="21"/>
              </w:rPr>
            </w:pPr>
            <w:r/>
          </w:p>
          <w:p>
            <w:pPr>
              <w:pStyle w:val="TableText"/>
              <w:ind w:left="167" w:right="165" w:firstLine="38"/>
              <w:spacing w:before="62" w:line="253" w:lineRule="auto"/>
              <w:rPr>
                <w:sz w:val="19"/>
                <w:szCs w:val="19"/>
              </w:rPr>
            </w:pPr>
            <w:r>
              <w:rPr>
                <w:sz w:val="19"/>
                <w:szCs w:val="19"/>
                <w:spacing w:val="1"/>
              </w:rPr>
              <w:t>自治区抗震</w:t>
            </w:r>
            <w:r>
              <w:rPr>
                <w:sz w:val="19"/>
                <w:szCs w:val="19"/>
                <w:spacing w:val="8"/>
              </w:rPr>
              <w:t>救灾指挥部</w:t>
            </w:r>
          </w:p>
        </w:tc>
      </w:tr>
      <w:tr>
        <w:trPr>
          <w:trHeight w:val="1412" w:hRule="atLeast"/>
        </w:trPr>
        <w:tc>
          <w:tcPr>
            <w:tcW w:w="1154" w:type="dxa"/>
            <w:vAlign w:val="top"/>
          </w:tcPr>
          <w:p>
            <w:pPr>
              <w:spacing w:line="422" w:lineRule="auto"/>
              <w:rPr>
                <w:rFonts w:ascii="Arial"/>
                <w:sz w:val="21"/>
              </w:rPr>
            </w:pPr>
            <w:r/>
          </w:p>
          <w:p>
            <w:pPr>
              <w:pStyle w:val="TableText"/>
              <w:ind w:left="178" w:right="176"/>
              <w:spacing w:before="62" w:line="256" w:lineRule="auto"/>
              <w:rPr>
                <w:sz w:val="19"/>
                <w:szCs w:val="19"/>
              </w:rPr>
            </w:pPr>
            <w:r>
              <w:rPr>
                <w:sz w:val="19"/>
                <w:szCs w:val="19"/>
                <w:spacing w:val="8"/>
              </w:rPr>
              <w:t>一般地震</w:t>
            </w:r>
            <w:r>
              <w:rPr>
                <w:sz w:val="19"/>
                <w:szCs w:val="19"/>
                <w:spacing w:val="8"/>
              </w:rPr>
              <w:t>灾害事件</w:t>
            </w:r>
          </w:p>
        </w:tc>
        <w:tc>
          <w:tcPr>
            <w:tcW w:w="581" w:type="dxa"/>
            <w:vAlign w:val="top"/>
          </w:tcPr>
          <w:p>
            <w:pPr>
              <w:spacing w:line="277" w:lineRule="auto"/>
              <w:rPr>
                <w:rFonts w:ascii="Arial"/>
                <w:sz w:val="21"/>
              </w:rPr>
            </w:pPr>
            <w:r/>
          </w:p>
          <w:p>
            <w:pPr>
              <w:spacing w:line="277" w:lineRule="auto"/>
              <w:rPr>
                <w:rFonts w:ascii="Arial"/>
                <w:sz w:val="21"/>
              </w:rPr>
            </w:pPr>
            <w:r/>
          </w:p>
          <w:p>
            <w:pPr>
              <w:pStyle w:val="TableText"/>
              <w:ind w:left="107"/>
              <w:spacing w:before="62" w:line="213" w:lineRule="auto"/>
              <w:rPr>
                <w:sz w:val="19"/>
                <w:szCs w:val="19"/>
              </w:rPr>
            </w:pPr>
            <w:r>
              <w:rPr>
                <w:sz w:val="19"/>
                <w:szCs w:val="19"/>
                <w:spacing w:val="-2"/>
              </w:rPr>
              <w:t>Ⅳ级</w:t>
            </w:r>
          </w:p>
        </w:tc>
        <w:tc>
          <w:tcPr>
            <w:tcW w:w="905" w:type="dxa"/>
            <w:vAlign w:val="top"/>
          </w:tcPr>
          <w:p>
            <w:pPr>
              <w:spacing w:line="288" w:lineRule="auto"/>
              <w:rPr>
                <w:rFonts w:ascii="Arial"/>
                <w:sz w:val="21"/>
              </w:rPr>
            </w:pPr>
            <w:r/>
          </w:p>
          <w:p>
            <w:pPr>
              <w:pStyle w:val="TableText"/>
              <w:ind w:left="53" w:right="45" w:firstLine="2"/>
              <w:spacing w:before="62" w:line="252" w:lineRule="auto"/>
              <w:jc w:val="both"/>
              <w:rPr>
                <w:sz w:val="19"/>
                <w:szCs w:val="19"/>
              </w:rPr>
            </w:pPr>
            <w:r>
              <w:rPr>
                <w:sz w:val="19"/>
                <w:szCs w:val="19"/>
                <w:spacing w:val="-3"/>
              </w:rPr>
              <w:t>县（</w:t>
            </w:r>
            <w:r>
              <w:rPr>
                <w:sz w:val="19"/>
                <w:szCs w:val="19"/>
                <w:spacing w:val="-47"/>
              </w:rPr>
              <w:t xml:space="preserve"> </w:t>
            </w:r>
            <w:r>
              <w:rPr>
                <w:sz w:val="19"/>
                <w:szCs w:val="19"/>
                <w:spacing w:val="-3"/>
              </w:rPr>
              <w:t>区）</w:t>
            </w:r>
            <w:r>
              <w:rPr>
                <w:sz w:val="19"/>
                <w:szCs w:val="19"/>
                <w:spacing w:val="9"/>
              </w:rPr>
              <w:t>抗震救灾</w:t>
            </w:r>
            <w:r>
              <w:rPr>
                <w:sz w:val="19"/>
                <w:szCs w:val="19"/>
                <w:spacing w:val="9"/>
              </w:rPr>
              <w:t>指挥机构</w:t>
            </w:r>
          </w:p>
        </w:tc>
        <w:tc>
          <w:tcPr>
            <w:tcW w:w="1333" w:type="dxa"/>
            <w:vAlign w:val="top"/>
          </w:tcPr>
          <w:p>
            <w:pPr>
              <w:pStyle w:val="TableText"/>
              <w:ind w:left="164"/>
              <w:spacing w:before="98" w:line="218" w:lineRule="auto"/>
              <w:rPr>
                <w:sz w:val="19"/>
                <w:szCs w:val="19"/>
              </w:rPr>
            </w:pPr>
            <w:r>
              <w:rPr>
                <w:sz w:val="19"/>
                <w:szCs w:val="19"/>
                <w:spacing w:val="9"/>
              </w:rPr>
              <w:t>设区市抗震</w:t>
            </w:r>
          </w:p>
          <w:p>
            <w:pPr>
              <w:pStyle w:val="TableText"/>
              <w:spacing w:before="34" w:line="218" w:lineRule="auto"/>
              <w:jc w:val="right"/>
              <w:rPr>
                <w:sz w:val="19"/>
                <w:szCs w:val="19"/>
              </w:rPr>
            </w:pPr>
            <w:r>
              <w:rPr>
                <w:sz w:val="19"/>
                <w:szCs w:val="19"/>
                <w:spacing w:val="-3"/>
              </w:rPr>
              <w:t>救灾指挥机构、</w:t>
            </w:r>
          </w:p>
          <w:p>
            <w:pPr>
              <w:pStyle w:val="TableText"/>
              <w:ind w:left="205"/>
              <w:spacing w:before="35" w:line="220" w:lineRule="auto"/>
              <w:rPr>
                <w:sz w:val="19"/>
                <w:szCs w:val="19"/>
              </w:rPr>
            </w:pPr>
            <w:r>
              <w:rPr>
                <w:sz w:val="19"/>
                <w:szCs w:val="19"/>
                <w:spacing w:val="1"/>
              </w:rPr>
              <w:t>自治区抗震</w:t>
            </w:r>
          </w:p>
          <w:p>
            <w:pPr>
              <w:pStyle w:val="TableText"/>
              <w:ind w:left="267" w:right="165" w:hanging="100"/>
              <w:spacing w:before="35" w:line="254" w:lineRule="auto"/>
              <w:rPr>
                <w:sz w:val="19"/>
                <w:szCs w:val="19"/>
              </w:rPr>
            </w:pPr>
            <w:r>
              <w:rPr>
                <w:sz w:val="19"/>
                <w:szCs w:val="19"/>
                <w:spacing w:val="8"/>
              </w:rPr>
              <w:t>救灾指挥部</w:t>
            </w:r>
            <w:r>
              <w:rPr>
                <w:sz w:val="19"/>
                <w:szCs w:val="19"/>
                <w:spacing w:val="8"/>
              </w:rPr>
              <w:t>成员单位</w:t>
            </w:r>
          </w:p>
        </w:tc>
      </w:tr>
    </w:tbl>
    <w:p>
      <w:pPr>
        <w:ind w:left="436"/>
        <w:spacing w:before="123" w:line="210" w:lineRule="auto"/>
        <w:rPr>
          <w:rFonts w:ascii="KaiTi" w:hAnsi="KaiTi" w:eastAsia="KaiTi" w:cs="KaiTi"/>
          <w:sz w:val="20"/>
          <w:szCs w:val="20"/>
        </w:rPr>
      </w:pPr>
      <w:r>
        <w:rPr>
          <w:rFonts w:ascii="Times New Roman" w:hAnsi="Times New Roman" w:eastAsia="Times New Roman" w:cs="Times New Roman"/>
          <w:sz w:val="20"/>
          <w:szCs w:val="20"/>
          <w:spacing w:val="5"/>
        </w:rPr>
        <w:t>4.4  </w:t>
      </w:r>
      <w:r>
        <w:rPr>
          <w:rFonts w:ascii="KaiTi" w:hAnsi="KaiTi" w:eastAsia="KaiTi" w:cs="KaiTi"/>
          <w:sz w:val="20"/>
          <w:szCs w:val="20"/>
          <w:spacing w:val="5"/>
        </w:rPr>
        <w:t>响应措施。</w:t>
      </w:r>
    </w:p>
    <w:p>
      <w:pPr>
        <w:spacing w:line="14" w:lineRule="auto"/>
        <w:rPr>
          <w:rFonts w:ascii="Arial"/>
          <w:sz w:val="2"/>
        </w:rPr>
      </w:pPr>
      <w:r>
        <w:rPr>
          <w:rFonts w:ascii="Arial" w:hAnsi="Arial" w:eastAsia="Arial" w:cs="Arial"/>
          <w:sz w:val="2"/>
          <w:szCs w:val="2"/>
        </w:rPr>
        <w:br w:type="column"/>
      </w:r>
    </w:p>
    <w:p>
      <w:pPr>
        <w:pStyle w:val="BodyText"/>
        <w:ind w:left="413"/>
        <w:spacing w:before="46" w:line="278" w:lineRule="exact"/>
        <w:rPr/>
      </w:pPr>
      <w:r>
        <w:rPr>
          <w:spacing w:val="4"/>
          <w:position w:val="1"/>
        </w:rPr>
        <w:t>（</w:t>
      </w:r>
      <w:r>
        <w:rPr>
          <w:spacing w:val="-35"/>
          <w:position w:val="1"/>
        </w:rPr>
        <w:t xml:space="preserve"> </w:t>
      </w:r>
      <w:r>
        <w:rPr>
          <w:rFonts w:ascii="Times New Roman" w:hAnsi="Times New Roman" w:eastAsia="Times New Roman" w:cs="Times New Roman"/>
          <w:spacing w:val="4"/>
          <w:position w:val="1"/>
        </w:rPr>
        <w:t>1</w:t>
      </w:r>
      <w:r>
        <w:rPr>
          <w:rFonts w:ascii="Times New Roman" w:hAnsi="Times New Roman" w:eastAsia="Times New Roman" w:cs="Times New Roman"/>
          <w:spacing w:val="-21"/>
          <w:position w:val="1"/>
        </w:rPr>
        <w:t xml:space="preserve"> </w:t>
      </w:r>
      <w:r>
        <w:rPr>
          <w:spacing w:val="4"/>
          <w:position w:val="1"/>
        </w:rPr>
        <w:t>）市抗震救灾指挥部紧急处置措施。</w:t>
      </w:r>
    </w:p>
    <w:p>
      <w:pPr>
        <w:pStyle w:val="BodyText"/>
        <w:ind w:right="110" w:firstLine="424"/>
        <w:spacing w:before="102" w:line="350" w:lineRule="auto"/>
        <w:rPr/>
      </w:pPr>
      <w:r>
        <w:rPr>
          <w:spacing w:val="6"/>
        </w:rPr>
        <w:t>特别重大地震灾害：指挥长（或常务副指</w:t>
      </w:r>
      <w:r>
        <w:rPr>
          <w:spacing w:val="7"/>
        </w:rPr>
        <w:t>挥长）立即主持召开市抗震救灾指挥部紧急会</w:t>
      </w:r>
      <w:r>
        <w:rPr>
          <w:spacing w:val="7"/>
        </w:rPr>
        <w:t>议（在常规通讯中断的情况下，各成员单位负</w:t>
      </w:r>
      <w:r>
        <w:rPr>
          <w:spacing w:val="8"/>
        </w:rPr>
        <w:t>责人自行到市应急指挥大厅参加会议</w:t>
      </w:r>
      <w:r>
        <w:rPr>
          <w:spacing w:val="1"/>
        </w:rPr>
        <w:t>），</w:t>
      </w:r>
      <w:r>
        <w:rPr>
          <w:spacing w:val="8"/>
        </w:rPr>
        <w:t>听取</w:t>
      </w:r>
      <w:r>
        <w:rPr>
          <w:spacing w:val="7"/>
        </w:rPr>
        <w:t>指挥部办公室震情、灾情初步通报；适时向社</w:t>
      </w:r>
      <w:r>
        <w:rPr>
          <w:spacing w:val="7"/>
        </w:rPr>
        <w:t>会公告灾情和抗震救灾工作进展情况；向成员</w:t>
      </w:r>
      <w:r>
        <w:rPr>
          <w:spacing w:val="7"/>
        </w:rPr>
        <w:t>单位下达地震应急指令，要求迅速赶赴灾区投</w:t>
      </w:r>
      <w:r>
        <w:rPr>
          <w:spacing w:val="7"/>
        </w:rPr>
        <w:t>入抗震救灾；各应急工作组按照职责自动开展</w:t>
      </w:r>
      <w:r>
        <w:rPr>
          <w:spacing w:val="7"/>
        </w:rPr>
        <w:t>先期工作，落实各项应急措施，并积极与国务</w:t>
      </w:r>
      <w:r>
        <w:rPr>
          <w:spacing w:val="7"/>
        </w:rPr>
        <w:t>院、自治区相关部门和专业救援队伍联系，做</w:t>
      </w:r>
      <w:r>
        <w:rPr>
          <w:spacing w:val="7"/>
        </w:rPr>
        <w:t>好协调配合和服务工作；向国务院、自治区提</w:t>
      </w:r>
      <w:r>
        <w:rPr>
          <w:spacing w:val="8"/>
        </w:rPr>
        <w:t>出需支援的具体事项。</w:t>
      </w:r>
    </w:p>
    <w:p>
      <w:pPr>
        <w:pStyle w:val="BodyText"/>
        <w:ind w:left="1" w:firstLine="422"/>
        <w:spacing w:before="7" w:line="351" w:lineRule="auto"/>
        <w:jc w:val="both"/>
        <w:rPr/>
      </w:pPr>
      <w:r>
        <w:rPr>
          <w:spacing w:val="1"/>
        </w:rPr>
        <w:t>重大地震灾害：指挥长（或常务副指挥长）</w:t>
      </w:r>
      <w:r>
        <w:rPr>
          <w:spacing w:val="7"/>
        </w:rPr>
        <w:t>立即主持召开市抗震救灾指挥部紧急会议（在</w:t>
      </w:r>
      <w:r>
        <w:rPr>
          <w:spacing w:val="7"/>
        </w:rPr>
        <w:t>常规通讯中断的情况下，各成员单位负责人自</w:t>
      </w:r>
      <w:r>
        <w:rPr>
          <w:spacing w:val="8"/>
        </w:rPr>
        <w:t>行到市应急指挥大厅参加会议</w:t>
      </w:r>
      <w:r>
        <w:rPr/>
        <w:t>），</w:t>
      </w:r>
      <w:r>
        <w:rPr>
          <w:spacing w:val="8"/>
        </w:rPr>
        <w:t>听取指挥部</w:t>
      </w:r>
      <w:r>
        <w:rPr>
          <w:spacing w:val="7"/>
        </w:rPr>
        <w:t>办公室震情、灾情初步通报；适时向社会公告</w:t>
      </w:r>
      <w:r>
        <w:rPr>
          <w:spacing w:val="7"/>
        </w:rPr>
        <w:t>灾情和抗震救灾工作进展情况；向成员单位下</w:t>
      </w:r>
      <w:r>
        <w:rPr>
          <w:spacing w:val="7"/>
        </w:rPr>
        <w:t>达地震应急指令，要求迅速赶赴灾区投入抗震</w:t>
      </w:r>
      <w:r>
        <w:rPr>
          <w:spacing w:val="7"/>
        </w:rPr>
        <w:t>救灾；各应急工作组按照职责自动开展先期工</w:t>
      </w:r>
      <w:r>
        <w:rPr>
          <w:spacing w:val="7"/>
        </w:rPr>
        <w:t>作，落实各项应急措施，并积极与自治区相关</w:t>
      </w:r>
      <w:r>
        <w:rPr>
          <w:spacing w:val="7"/>
        </w:rPr>
        <w:t>部门和专业救援队伍联系，做好协调配合和服</w:t>
      </w:r>
      <w:r>
        <w:rPr>
          <w:spacing w:val="9"/>
        </w:rPr>
        <w:t>务工作；向自治区提出需支援的具体事项。</w:t>
      </w:r>
    </w:p>
    <w:p>
      <w:pPr>
        <w:pStyle w:val="BodyText"/>
        <w:ind w:firstLine="422"/>
        <w:spacing w:before="8" w:line="347" w:lineRule="auto"/>
        <w:jc w:val="both"/>
        <w:rPr/>
      </w:pPr>
      <w:r>
        <w:rPr>
          <w:spacing w:val="1"/>
        </w:rPr>
        <w:t>较大地震灾害：指挥长（或常务副指挥长）</w:t>
      </w:r>
      <w:r>
        <w:rPr>
          <w:spacing w:val="7"/>
        </w:rPr>
        <w:t>立即主持召开市抗震救灾指挥部紧急会议（在</w:t>
      </w:r>
      <w:r>
        <w:rPr>
          <w:spacing w:val="7"/>
        </w:rPr>
        <w:t>常规通讯中断的情况下，各成员单位负责人自</w:t>
      </w:r>
      <w:r>
        <w:rPr>
          <w:spacing w:val="9"/>
        </w:rPr>
        <w:t>行到市应急指挥大厅参加会议</w:t>
      </w:r>
      <w:r>
        <w:rPr>
          <w:spacing w:val="-8"/>
        </w:rPr>
        <w:t>），</w:t>
      </w:r>
      <w:r>
        <w:rPr>
          <w:spacing w:val="9"/>
        </w:rPr>
        <w:t>根据受灾范</w:t>
      </w:r>
      <w:r>
        <w:rPr>
          <w:spacing w:val="7"/>
        </w:rPr>
        <w:t>围、程度确定应急规模；部署地震应急和抢险</w:t>
      </w:r>
      <w:r>
        <w:rPr>
          <w:spacing w:val="7"/>
        </w:rPr>
        <w:t>救灾工作；向成员单位和灾区县区下达地震应</w:t>
      </w:r>
      <w:r>
        <w:rPr>
          <w:spacing w:val="7"/>
        </w:rPr>
        <w:t>急指令，要求立即进入应急状态，迅速投入抗</w:t>
      </w:r>
      <w:r>
        <w:rPr>
          <w:spacing w:val="7"/>
        </w:rPr>
        <w:t>震救灾；适时向社会公告灾情和抗震救灾工作</w:t>
      </w:r>
      <w:r>
        <w:rPr>
          <w:spacing w:val="7"/>
        </w:rPr>
        <w:t>进展情况；在本市救援力量和救援物资可能不</w:t>
      </w:r>
      <w:r>
        <w:rPr>
          <w:spacing w:val="7"/>
        </w:rPr>
        <w:t>能满足抗震救灾需要时，及早请求自治区有关</w:t>
      </w:r>
    </w:p>
    <w:p>
      <w:pPr>
        <w:spacing w:line="347" w:lineRule="auto"/>
        <w:sectPr>
          <w:type w:val="continuous"/>
          <w:pgSz w:w="11906" w:h="16839"/>
          <w:pgMar w:top="1766" w:right="1480" w:bottom="1551" w:left="1576" w:header="1428" w:footer="1172" w:gutter="0"/>
          <w:cols w:equalWidth="0" w:num="2">
            <w:col w:w="4492" w:space="100"/>
            <w:col w:w="4259" w:space="0"/>
          </w:cols>
        </w:sectPr>
        <w:rPr/>
      </w:pPr>
    </w:p>
    <w:p>
      <w:pPr>
        <w:spacing w:line="241" w:lineRule="exact"/>
        <w:rPr/>
      </w:pPr>
      <w:r>
        <w:drawing>
          <wp:anchor distT="0" distB="0" distL="0" distR="0" simplePos="0" relativeHeight="252460032" behindDoc="0" locked="0" layoutInCell="0" allowOverlap="1">
            <wp:simplePos x="0" y="0"/>
            <wp:positionH relativeFrom="page">
              <wp:posOffset>1008380</wp:posOffset>
            </wp:positionH>
            <wp:positionV relativeFrom="page">
              <wp:posOffset>1186180</wp:posOffset>
            </wp:positionV>
            <wp:extent cx="5579745" cy="7619"/>
            <wp:effectExtent l="0" t="0" r="0" b="0"/>
            <wp:wrapNone/>
            <wp:docPr id="1530" name="IM 1530"/>
            <wp:cNvGraphicFramePr/>
            <a:graphic>
              <a:graphicData uri="http://schemas.openxmlformats.org/drawingml/2006/picture">
                <pic:pic>
                  <pic:nvPicPr>
                    <pic:cNvPr id="1530" name="IM 1530"/>
                    <pic:cNvPicPr/>
                  </pic:nvPicPr>
                  <pic:blipFill>
                    <a:blip r:embed="rId767"/>
                    <a:stretch>
                      <a:fillRect/>
                    </a:stretch>
                  </pic:blipFill>
                  <pic:spPr>
                    <a:xfrm rot="0">
                      <a:off x="0" y="0"/>
                      <a:ext cx="5579745" cy="7619"/>
                    </a:xfrm>
                    <a:prstGeom prst="rect">
                      <a:avLst/>
                    </a:prstGeom>
                  </pic:spPr>
                </pic:pic>
              </a:graphicData>
            </a:graphic>
          </wp:anchor>
        </w:drawing>
      </w:r>
      <w:r/>
    </w:p>
    <w:p>
      <w:pPr>
        <w:spacing w:line="241" w:lineRule="exact"/>
        <w:sectPr>
          <w:headerReference w:type="default" r:id="rId728"/>
          <w:footerReference w:type="default" r:id="rId766"/>
          <w:pgSz w:w="11906" w:h="16839"/>
          <w:pgMar w:top="1828" w:right="1489" w:bottom="1556" w:left="1567" w:header="1428" w:footer="1172" w:gutter="0"/>
          <w:cols w:equalWidth="0" w:num="1">
            <w:col w:w="8850" w:space="0"/>
          </w:cols>
        </w:sectPr>
        <w:rPr/>
      </w:pPr>
    </w:p>
    <w:p>
      <w:pPr>
        <w:pStyle w:val="BodyText"/>
        <w:ind w:left="25"/>
        <w:spacing w:before="40" w:line="222" w:lineRule="auto"/>
        <w:rPr/>
      </w:pPr>
      <w:r>
        <w:rPr>
          <w:spacing w:val="8"/>
        </w:rPr>
        <w:t>部门提供具体的紧急支持事项。</w:t>
      </w:r>
    </w:p>
    <w:p>
      <w:pPr>
        <w:pStyle w:val="BodyText"/>
        <w:ind w:left="24" w:right="329" w:firstLine="422"/>
        <w:spacing w:before="139" w:line="350" w:lineRule="auto"/>
        <w:jc w:val="both"/>
        <w:rPr/>
      </w:pPr>
      <w:r>
        <w:rPr>
          <w:spacing w:val="6"/>
        </w:rPr>
        <w:t>一般地震灾害：指导、协助县区开展抗震</w:t>
      </w:r>
      <w:r>
        <w:rPr>
          <w:spacing w:val="7"/>
        </w:rPr>
        <w:t>救灾各项工作；根据应对工作实际需要和县区</w:t>
      </w:r>
      <w:r>
        <w:rPr>
          <w:spacing w:val="7"/>
        </w:rPr>
        <w:t>抗震救灾指挥部请求，协调派遣专业技术力量</w:t>
      </w:r>
      <w:r>
        <w:rPr>
          <w:spacing w:val="7"/>
        </w:rPr>
        <w:t>和救援队伍，调运救灾物资装备，必要时请求</w:t>
      </w:r>
      <w:r>
        <w:rPr>
          <w:spacing w:val="8"/>
        </w:rPr>
        <w:t>自治区有关部门予以支持。</w:t>
      </w:r>
    </w:p>
    <w:p>
      <w:pPr>
        <w:pStyle w:val="BodyText"/>
        <w:ind w:left="25" w:right="332" w:firstLine="412"/>
        <w:spacing w:before="1" w:line="335"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）市抗震救灾指挥部办公室紧急处置</w:t>
      </w:r>
      <w:r>
        <w:rPr>
          <w:spacing w:val="4"/>
        </w:rPr>
        <w:t>措施。</w:t>
      </w:r>
    </w:p>
    <w:p>
      <w:pPr>
        <w:pStyle w:val="BodyText"/>
        <w:ind w:left="24" w:right="329" w:firstLine="423"/>
        <w:spacing w:before="44" w:line="356" w:lineRule="auto"/>
        <w:jc w:val="both"/>
        <w:rPr/>
      </w:pPr>
      <w:r>
        <w:rPr>
          <w:spacing w:val="6"/>
        </w:rPr>
        <w:t>特别重大地震、重大地震灾害：根据自治</w:t>
      </w:r>
      <w:r>
        <w:rPr>
          <w:spacing w:val="7"/>
        </w:rPr>
        <w:t>区抗震救灾指挥机构、市抗震救灾指挥部的决</w:t>
      </w:r>
      <w:r>
        <w:rPr>
          <w:spacing w:val="7"/>
        </w:rPr>
        <w:t>定，组织召开市抗震救灾指挥部紧急会议，组</w:t>
      </w:r>
      <w:r>
        <w:rPr>
          <w:spacing w:val="18"/>
        </w:rPr>
        <w:t>织各成员单位开展会商或分析研判灾害发展</w:t>
      </w:r>
      <w:r>
        <w:rPr>
          <w:spacing w:val="7"/>
        </w:rPr>
        <w:t>趋势、灾害影响程度和范围；根据收集到资料</w:t>
      </w:r>
      <w:r>
        <w:rPr>
          <w:spacing w:val="7"/>
        </w:rPr>
        <w:t>初步通报震情、灾情；了解灾情和抗震救灾工</w:t>
      </w:r>
      <w:r>
        <w:rPr>
          <w:spacing w:val="7"/>
        </w:rPr>
        <w:t>作进展情况，并及时向市委、市政府、市抗震</w:t>
      </w:r>
      <w:r>
        <w:rPr>
          <w:spacing w:val="7"/>
        </w:rPr>
        <w:t>救灾指挥部报告，提出启动或终止应急响应级</w:t>
      </w:r>
      <w:r>
        <w:rPr>
          <w:spacing w:val="7"/>
        </w:rPr>
        <w:t>别和处置措施等工作建议；向成员单位传达抗</w:t>
      </w:r>
      <w:r>
        <w:rPr>
          <w:spacing w:val="7"/>
        </w:rPr>
        <w:t>震救灾指挥部地震应急指令，要求各成员单位</w:t>
      </w:r>
      <w:r>
        <w:rPr>
          <w:spacing w:val="7"/>
        </w:rPr>
        <w:t>迅速赶赴灾区投入抗震救灾；负责起草、发送</w:t>
      </w:r>
      <w:r>
        <w:rPr>
          <w:spacing w:val="9"/>
        </w:rPr>
        <w:t>指挥部文件、简报和值守应急工作。</w:t>
      </w:r>
    </w:p>
    <w:p>
      <w:pPr>
        <w:pStyle w:val="BodyText"/>
        <w:ind w:left="25" w:right="329" w:firstLine="421"/>
        <w:spacing w:before="2" w:line="353" w:lineRule="auto"/>
        <w:jc w:val="both"/>
        <w:rPr/>
      </w:pPr>
      <w:r>
        <w:rPr>
          <w:spacing w:val="6"/>
        </w:rPr>
        <w:t>较大地震灾害：组织及时收集、汇总、上</w:t>
      </w:r>
      <w:r>
        <w:rPr>
          <w:spacing w:val="7"/>
        </w:rPr>
        <w:t>报震情、灾情等信息和抗震救灾进展情况；配</w:t>
      </w:r>
      <w:r>
        <w:rPr>
          <w:spacing w:val="7"/>
        </w:rPr>
        <w:t>合灾区现场指挥部开展抗震救灾各项工作；负</w:t>
      </w:r>
      <w:r>
        <w:rPr>
          <w:spacing w:val="8"/>
        </w:rPr>
        <w:t>责起草、发送指挥部文件、简报。</w:t>
      </w:r>
    </w:p>
    <w:p>
      <w:pPr>
        <w:pStyle w:val="BodyText"/>
        <w:ind w:left="25" w:right="306" w:firstLine="421"/>
        <w:spacing w:before="11" w:line="349" w:lineRule="auto"/>
        <w:jc w:val="both"/>
        <w:rPr/>
      </w:pPr>
      <w:r>
        <w:rPr>
          <w:spacing w:val="6"/>
        </w:rPr>
        <w:t>一般地震灾害：及时收集、汇总、上报震</w:t>
      </w:r>
      <w:r>
        <w:rPr>
          <w:spacing w:val="8"/>
        </w:rPr>
        <w:t>情、灾情等信息和抗震救灾进展情况；指导、</w:t>
      </w:r>
      <w:r>
        <w:rPr>
          <w:spacing w:val="4"/>
        </w:rPr>
        <w:t>协助县（</w:t>
      </w:r>
      <w:r>
        <w:rPr>
          <w:spacing w:val="-35"/>
        </w:rPr>
        <w:t xml:space="preserve"> </w:t>
      </w:r>
      <w:r>
        <w:rPr>
          <w:spacing w:val="4"/>
        </w:rPr>
        <w:t>区）开展抗震救灾各项工作；负责起</w:t>
      </w:r>
      <w:r>
        <w:rPr>
          <w:spacing w:val="8"/>
        </w:rPr>
        <w:t>草、发送指挥部文件、简报。</w:t>
      </w:r>
    </w:p>
    <w:p>
      <w:pPr>
        <w:pStyle w:val="BodyText"/>
        <w:ind w:left="24" w:right="252" w:firstLine="413"/>
        <w:spacing w:before="29" w:line="340" w:lineRule="auto"/>
        <w:jc w:val="both"/>
        <w:rPr/>
      </w:pPr>
      <w:r>
        <w:rPr>
          <w:spacing w:val="4"/>
        </w:rPr>
        <w:t>（</w:t>
      </w:r>
      <w:r>
        <w:rPr>
          <w:rFonts w:ascii="Times New Roman" w:hAnsi="Times New Roman" w:eastAsia="Times New Roman" w:cs="Times New Roman"/>
          <w:spacing w:val="4"/>
        </w:rPr>
        <w:t>3</w:t>
      </w:r>
      <w:r>
        <w:rPr>
          <w:rFonts w:ascii="Times New Roman" w:hAnsi="Times New Roman" w:eastAsia="Times New Roman" w:cs="Times New Roman"/>
          <w:spacing w:val="-16"/>
        </w:rPr>
        <w:t xml:space="preserve"> </w:t>
      </w:r>
      <w:r>
        <w:rPr>
          <w:spacing w:val="4"/>
        </w:rPr>
        <w:t>）各成员单位或工作组紧急处置措施。</w:t>
      </w:r>
      <w:r>
        <w:rPr>
          <w:spacing w:val="7"/>
        </w:rPr>
        <w:t>特别重大地震、重大地震、较大地震、一般地</w:t>
      </w:r>
      <w:r>
        <w:rPr>
          <w:spacing w:val="7"/>
        </w:rPr>
        <w:t>震灾害：成员单位接到地震应急指令后，迅速</w:t>
      </w:r>
      <w:r>
        <w:rPr>
          <w:spacing w:val="7"/>
        </w:rPr>
        <w:t>赶赴灾区投入抗震救灾。各应急工作组按照职</w:t>
      </w:r>
      <w:r>
        <w:rPr>
          <w:spacing w:val="7"/>
        </w:rPr>
        <w:t>责自动开展先期工作，并积极与自治区相关部</w:t>
      </w:r>
      <w:r>
        <w:rPr>
          <w:spacing w:val="7"/>
        </w:rPr>
        <w:t>门和专业救援队伍联系，做好协调配合和服务</w:t>
      </w:r>
    </w:p>
    <w:p>
      <w:pPr>
        <w:spacing w:line="14" w:lineRule="auto"/>
        <w:rPr>
          <w:rFonts w:ascii="Arial"/>
          <w:sz w:val="2"/>
        </w:rPr>
      </w:pPr>
      <w:r>
        <w:rPr>
          <w:rFonts w:ascii="Arial" w:hAnsi="Arial" w:eastAsia="Arial" w:cs="Arial"/>
          <w:sz w:val="2"/>
          <w:szCs w:val="2"/>
        </w:rPr>
        <w:br w:type="column"/>
      </w:r>
    </w:p>
    <w:p>
      <w:pPr>
        <w:pStyle w:val="BodyText"/>
        <w:ind w:right="101" w:firstLine="1"/>
        <w:spacing w:before="48" w:line="356" w:lineRule="auto"/>
        <w:jc w:val="both"/>
        <w:rPr/>
      </w:pPr>
      <w:r>
        <w:rPr>
          <w:spacing w:val="15"/>
        </w:rPr>
        <w:t>工作</w:t>
      </w:r>
      <w:r>
        <w:rPr>
          <w:spacing w:val="-42"/>
        </w:rPr>
        <w:t xml:space="preserve"> </w:t>
      </w:r>
      <w:r>
        <w:rPr>
          <w:spacing w:val="15"/>
        </w:rPr>
        <w:t>，协助地震灾害发生地政府进行搜救人</w:t>
      </w:r>
      <w:r>
        <w:rPr>
          <w:spacing w:val="7"/>
        </w:rPr>
        <w:t>员、医疗救治和卫生防疫、安置受灾群众、抢</w:t>
      </w:r>
      <w:r>
        <w:rPr>
          <w:spacing w:val="7"/>
        </w:rPr>
        <w:t>修基础设施、现场监测、防御次生灾害、维护</w:t>
      </w:r>
      <w:r>
        <w:rPr>
          <w:spacing w:val="7"/>
        </w:rPr>
        <w:t>社会治安、涉外事务管理、灾害调查与评估等</w:t>
      </w:r>
      <w:r>
        <w:rPr>
          <w:spacing w:val="4"/>
        </w:rPr>
        <w:t>工作。</w:t>
      </w:r>
    </w:p>
    <w:p>
      <w:pPr>
        <w:pStyle w:val="BodyText"/>
        <w:ind w:left="3" w:right="101" w:firstLine="416"/>
        <w:spacing w:line="355" w:lineRule="auto"/>
        <w:jc w:val="both"/>
        <w:rPr/>
      </w:pPr>
      <w:r>
        <w:rPr>
          <w:rFonts w:ascii="Times New Roman" w:hAnsi="Times New Roman" w:eastAsia="Times New Roman" w:cs="Times New Roman"/>
          <w:spacing w:val="8"/>
        </w:rPr>
        <w:t>4.5  </w:t>
      </w:r>
      <w:r>
        <w:rPr>
          <w:rFonts w:ascii="KaiTi" w:hAnsi="KaiTi" w:eastAsia="KaiTi" w:cs="KaiTi"/>
          <w:spacing w:val="8"/>
        </w:rPr>
        <w:t>现场处置。</w:t>
      </w:r>
      <w:r>
        <w:rPr>
          <w:spacing w:val="8"/>
        </w:rPr>
        <w:t>由地震灾害发生地政府协</w:t>
      </w:r>
      <w:r>
        <w:rPr>
          <w:spacing w:val="7"/>
        </w:rPr>
        <w:t>助配合或组织设立抗震救灾现场指挥部，负责</w:t>
      </w:r>
      <w:r>
        <w:rPr>
          <w:spacing w:val="8"/>
        </w:rPr>
        <w:t>指挥现场的应急处置工作。</w:t>
      </w:r>
    </w:p>
    <w:p>
      <w:pPr>
        <w:pStyle w:val="BodyText"/>
        <w:ind w:right="101" w:firstLine="412"/>
        <w:spacing w:before="3" w:line="339"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）搜救人员。立即组织基层应急队伍</w:t>
      </w:r>
      <w:r>
        <w:rPr>
          <w:spacing w:val="7"/>
        </w:rPr>
        <w:t>和广大群众开展自救互救，同时组织协调驻固</w:t>
      </w:r>
      <w:r>
        <w:rPr>
          <w:spacing w:val="7"/>
        </w:rPr>
        <w:t>部队、地震、消防、建筑和市政等各方面救援</w:t>
      </w:r>
      <w:r>
        <w:rPr>
          <w:spacing w:val="7"/>
        </w:rPr>
        <w:t>力量，调配大型吊车、起重机、千斤顶、生命</w:t>
      </w:r>
      <w:r>
        <w:rPr>
          <w:spacing w:val="7"/>
        </w:rPr>
        <w:t>探测仪等救援装备，抢救被掩埋人员。现场救</w:t>
      </w:r>
      <w:r>
        <w:rPr>
          <w:spacing w:val="7"/>
        </w:rPr>
        <w:t>援队伍之间加强衔接和配合，合理划分责任区</w:t>
      </w:r>
      <w:r>
        <w:rPr>
          <w:spacing w:val="7"/>
        </w:rPr>
        <w:t>边界，遇有危险时及时传递警报，做好自身安</w:t>
      </w:r>
      <w:r>
        <w:rPr>
          <w:spacing w:val="6"/>
        </w:rPr>
        <w:t>全防护。</w:t>
      </w:r>
    </w:p>
    <w:p>
      <w:pPr>
        <w:pStyle w:val="BodyText"/>
        <w:ind w:right="101" w:firstLine="413"/>
        <w:spacing w:before="140" w:line="342"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）迅速开展医疗救治。协调组织应急</w:t>
      </w:r>
      <w:r>
        <w:rPr>
          <w:spacing w:val="7"/>
        </w:rPr>
        <w:t>医疗队伍赶赴现场，抢救受伤群众，必要时建</w:t>
      </w:r>
      <w:r>
        <w:rPr>
          <w:spacing w:val="7"/>
        </w:rPr>
        <w:t>立战地医院或医疗点，实施现场救治。加强救</w:t>
      </w:r>
      <w:r>
        <w:rPr>
          <w:spacing w:val="7"/>
        </w:rPr>
        <w:t>护车、医疗器械、药品和血浆的组织调度，特</w:t>
      </w:r>
      <w:r>
        <w:rPr>
          <w:spacing w:val="7"/>
        </w:rPr>
        <w:t>别是加大对重灾区及偏远地区医疗器械、药品</w:t>
      </w:r>
      <w:r>
        <w:rPr>
          <w:spacing w:val="7"/>
        </w:rPr>
        <w:t>供应，确保被救人员得到及时医治，最大程度</w:t>
      </w:r>
      <w:r>
        <w:rPr>
          <w:spacing w:val="7"/>
        </w:rPr>
        <w:t>减少伤员致死、致残。统筹周边地区的医疗资</w:t>
      </w:r>
      <w:r>
        <w:rPr>
          <w:spacing w:val="7"/>
        </w:rPr>
        <w:t>源，根据需要分流重伤员，实施异地救治。开</w:t>
      </w:r>
      <w:r>
        <w:rPr>
          <w:spacing w:val="8"/>
        </w:rPr>
        <w:t>展灾后心理援助。</w:t>
      </w:r>
    </w:p>
    <w:p>
      <w:pPr>
        <w:pStyle w:val="BodyText"/>
        <w:ind w:right="20" w:firstLine="421"/>
        <w:spacing w:before="152" w:line="354" w:lineRule="auto"/>
        <w:jc w:val="both"/>
        <w:rPr/>
      </w:pPr>
      <w:r>
        <w:rPr>
          <w:spacing w:val="6"/>
        </w:rPr>
        <w:t>加强灾区卫生防疫。及时对灾区水源进行</w:t>
      </w:r>
      <w:r>
        <w:rPr>
          <w:spacing w:val="7"/>
        </w:rPr>
        <w:t>监测消毒，加强食品和饮用水卫生监督；妥善</w:t>
      </w:r>
      <w:r>
        <w:rPr>
          <w:spacing w:val="1"/>
        </w:rPr>
        <w:t>处置遇难者遗体，做好死亡动物、医疗废弃物、</w:t>
      </w:r>
      <w:r>
        <w:rPr>
          <w:spacing w:val="7"/>
        </w:rPr>
        <w:t>生活垃圾、粪便等消毒和无害化处理；加强鼠</w:t>
      </w:r>
      <w:r>
        <w:rPr>
          <w:spacing w:val="7"/>
        </w:rPr>
        <w:t>疫、狂犬病等传染病的防控工作，适时开展应</w:t>
      </w:r>
      <w:r>
        <w:rPr>
          <w:spacing w:val="7"/>
        </w:rPr>
        <w:t>急预防；实行重大传染病和突发公共卫生事件</w:t>
      </w:r>
      <w:r>
        <w:rPr>
          <w:spacing w:val="7"/>
        </w:rPr>
        <w:t>每日报告制度。</w:t>
      </w:r>
    </w:p>
    <w:p>
      <w:pPr>
        <w:pStyle w:val="BodyText"/>
        <w:ind w:left="1" w:right="36" w:firstLine="411"/>
        <w:spacing w:before="5" w:line="286" w:lineRule="auto"/>
        <w:rPr/>
      </w:pPr>
      <w:r>
        <w:rPr>
          <w:spacing w:val="3"/>
        </w:rPr>
        <w:t>（</w:t>
      </w:r>
      <w:r>
        <w:rPr>
          <w:rFonts w:ascii="Times New Roman" w:hAnsi="Times New Roman" w:eastAsia="Times New Roman" w:cs="Times New Roman"/>
          <w:spacing w:val="3"/>
        </w:rPr>
        <w:t>3</w:t>
      </w:r>
      <w:r>
        <w:rPr>
          <w:rFonts w:ascii="Times New Roman" w:hAnsi="Times New Roman" w:eastAsia="Times New Roman" w:cs="Times New Roman"/>
          <w:spacing w:val="-10"/>
        </w:rPr>
        <w:t xml:space="preserve"> </w:t>
      </w:r>
      <w:r>
        <w:rPr>
          <w:spacing w:val="3"/>
        </w:rPr>
        <w:t>）安置受灾群众。开放应急避难场所，</w:t>
      </w:r>
      <w:r>
        <w:rPr>
          <w:spacing w:val="9"/>
        </w:rPr>
        <w:t>组织筹集和调运食品、饮用水、衣被、帐篷、</w:t>
      </w:r>
    </w:p>
    <w:p>
      <w:pPr>
        <w:spacing w:line="286" w:lineRule="auto"/>
        <w:sectPr>
          <w:type w:val="continuous"/>
          <w:pgSz w:w="11906" w:h="16839"/>
          <w:pgMar w:top="1828" w:right="1489" w:bottom="1556" w:left="1567" w:header="1428" w:footer="1172" w:gutter="0"/>
          <w:cols w:equalWidth="0" w:num="2">
            <w:col w:w="4502" w:space="100"/>
            <w:col w:w="4249" w:space="0"/>
          </w:cols>
        </w:sectPr>
        <w:rPr/>
      </w:pPr>
    </w:p>
    <w:p>
      <w:pPr>
        <w:spacing w:before="62"/>
        <w:rPr/>
      </w:pPr>
      <w:r>
        <w:drawing>
          <wp:anchor distT="0" distB="0" distL="0" distR="0" simplePos="0" relativeHeight="252471296"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534" name="IM 1534"/>
            <wp:cNvGraphicFramePr/>
            <a:graphic>
              <a:graphicData uri="http://schemas.openxmlformats.org/drawingml/2006/picture">
                <pic:pic>
                  <pic:nvPicPr>
                    <pic:cNvPr id="1534" name="IM 1534"/>
                    <pic:cNvPicPr/>
                  </pic:nvPicPr>
                  <pic:blipFill>
                    <a:blip r:embed="rId769"/>
                    <a:stretch>
                      <a:fillRect/>
                    </a:stretch>
                  </pic:blipFill>
                  <pic:spPr>
                    <a:xfrm rot="0">
                      <a:off x="0" y="0"/>
                      <a:ext cx="5579745" cy="7620"/>
                    </a:xfrm>
                    <a:prstGeom prst="rect">
                      <a:avLst/>
                    </a:prstGeom>
                  </pic:spPr>
                </pic:pic>
              </a:graphicData>
            </a:graphic>
          </wp:anchor>
        </w:drawing>
      </w:r>
      <w:r/>
    </w:p>
    <w:p>
      <w:pPr>
        <w:sectPr>
          <w:headerReference w:type="default" r:id="rId668"/>
          <w:footerReference w:type="default" r:id="rId768"/>
          <w:pgSz w:w="11906" w:h="16839"/>
          <w:pgMar w:top="1766" w:right="1509" w:bottom="1551" w:left="1576" w:header="1428" w:footer="1172" w:gutter="0"/>
          <w:cols w:equalWidth="0" w:num="1">
            <w:col w:w="8821" w:space="0"/>
          </w:cols>
        </w:sectPr>
        <w:rPr/>
      </w:pPr>
    </w:p>
    <w:p>
      <w:pPr>
        <w:pStyle w:val="BodyText"/>
        <w:ind w:left="15" w:right="259" w:firstLine="2"/>
        <w:spacing w:before="42" w:line="350" w:lineRule="auto"/>
        <w:jc w:val="both"/>
        <w:rPr/>
      </w:pPr>
      <w:r>
        <w:rPr>
          <w:spacing w:val="15"/>
        </w:rPr>
        <w:t>移动厕所等各类救灾物资</w:t>
      </w:r>
      <w:r>
        <w:rPr>
          <w:spacing w:val="-42"/>
        </w:rPr>
        <w:t xml:space="preserve"> </w:t>
      </w:r>
      <w:r>
        <w:rPr>
          <w:spacing w:val="15"/>
        </w:rPr>
        <w:t>，解决受灾群众吃</w:t>
      </w:r>
      <w:r>
        <w:rPr>
          <w:spacing w:val="10"/>
        </w:rPr>
        <w:t>饭、饮水、穿衣、住处等问题；在受灾村镇、</w:t>
      </w:r>
      <w:r>
        <w:rPr>
          <w:spacing w:val="-3"/>
        </w:rPr>
        <w:t>街道设置生活用品发放点，确保生活用品的有序</w:t>
      </w:r>
      <w:r>
        <w:rPr>
          <w:spacing w:val="-3"/>
        </w:rPr>
        <w:t>发放；根据需要组织生产、调运、安装活动板房</w:t>
      </w:r>
      <w:r>
        <w:rPr>
          <w:spacing w:val="-3"/>
        </w:rPr>
        <w:t>和简易房；在受灾群众集中安置点配备必要的消</w:t>
      </w:r>
      <w:r>
        <w:rPr>
          <w:spacing w:val="-3"/>
        </w:rPr>
        <w:t>防设备器材，严防火灾发生。救灾物资优先保证</w:t>
      </w:r>
      <w:r>
        <w:rPr>
          <w:spacing w:val="-3"/>
        </w:rPr>
        <w:t>学校、医院、福利院的需要；优先安置孤儿、孤</w:t>
      </w:r>
      <w:r>
        <w:rPr>
          <w:spacing w:val="-3"/>
        </w:rPr>
        <w:t>老及残疾人员，确保其基本生活。鼓励采取投亲</w:t>
      </w:r>
      <w:r>
        <w:rPr/>
        <w:t>靠友等方式，广泛动员社会力量安置受灾群众。</w:t>
      </w:r>
      <w:r>
        <w:rPr>
          <w:spacing w:val="-2"/>
        </w:rPr>
        <w:t>做好遇难人员的善后工作，抚慰遇难者家属</w:t>
      </w:r>
      <w:r>
        <w:rPr>
          <w:spacing w:val="-3"/>
        </w:rPr>
        <w:t>；积</w:t>
      </w:r>
      <w:r>
        <w:rPr>
          <w:spacing w:val="2"/>
        </w:rPr>
        <w:t>极创造条件，组织灾区学校复课。</w:t>
      </w:r>
    </w:p>
    <w:p>
      <w:pPr>
        <w:pStyle w:val="BodyText"/>
        <w:ind w:left="15" w:right="246" w:firstLine="413"/>
        <w:spacing w:before="5" w:line="330"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）抢修基础设施。抢通修复因灾损毁</w:t>
      </w:r>
      <w:r>
        <w:rPr>
          <w:spacing w:val="7"/>
        </w:rPr>
        <w:t>的交通设施，协调运力，优先保证应急抢险救</w:t>
      </w:r>
      <w:r>
        <w:rPr>
          <w:spacing w:val="7"/>
        </w:rPr>
        <w:t>援人员、救灾物资和伤病人员的运输需要；抢</w:t>
      </w:r>
      <w:r>
        <w:rPr>
          <w:spacing w:val="11"/>
        </w:rPr>
        <w:t>修供电、供水、通信、广播电视等基础设施，</w:t>
      </w:r>
      <w:r>
        <w:rPr>
          <w:spacing w:val="10"/>
        </w:rPr>
        <w:t>保障灾区群众基本生活需要；协调应急电力、</w:t>
      </w:r>
      <w:r>
        <w:rPr>
          <w:spacing w:val="-8"/>
        </w:rPr>
        <w:t>通信资源，优先保障抗震救灾指挥应急工作需要。</w:t>
      </w:r>
    </w:p>
    <w:p>
      <w:pPr>
        <w:pStyle w:val="BodyText"/>
        <w:ind w:left="15" w:right="306" w:firstLine="413"/>
        <w:spacing w:before="137" w:line="333" w:lineRule="auto"/>
        <w:rPr/>
      </w:pPr>
      <w:r>
        <w:rPr>
          <w:spacing w:val="8"/>
        </w:rPr>
        <w:t>（</w:t>
      </w:r>
      <w:r>
        <w:rPr>
          <w:spacing w:val="-45"/>
        </w:rPr>
        <w:t xml:space="preserve"> </w:t>
      </w:r>
      <w:r>
        <w:rPr>
          <w:rFonts w:ascii="Times New Roman" w:hAnsi="Times New Roman" w:eastAsia="Times New Roman" w:cs="Times New Roman"/>
          <w:spacing w:val="8"/>
        </w:rPr>
        <w:t>5</w:t>
      </w:r>
      <w:r>
        <w:rPr>
          <w:rFonts w:ascii="Times New Roman" w:hAnsi="Times New Roman" w:eastAsia="Times New Roman" w:cs="Times New Roman"/>
          <w:spacing w:val="-19"/>
        </w:rPr>
        <w:t xml:space="preserve"> </w:t>
      </w:r>
      <w:r>
        <w:rPr>
          <w:spacing w:val="8"/>
        </w:rPr>
        <w:t>）加强现场监测。组织布设或恢复地</w:t>
      </w:r>
      <w:r>
        <w:rPr>
          <w:spacing w:val="7"/>
        </w:rPr>
        <w:t>震现场测震、强震和前兆台站，实时跟踪地震</w:t>
      </w:r>
      <w:r>
        <w:rPr>
          <w:spacing w:val="7"/>
        </w:rPr>
        <w:t>序列活动，密切监视震情发展，对震区及全市</w:t>
      </w:r>
      <w:r>
        <w:rPr>
          <w:spacing w:val="7"/>
        </w:rPr>
        <w:t>震情形势进行研判。加强气象监测，密切关注</w:t>
      </w:r>
      <w:r>
        <w:rPr>
          <w:spacing w:val="8"/>
        </w:rPr>
        <w:t>灾区重大气象变化。安排专业力量加强空气、</w:t>
      </w:r>
      <w:r>
        <w:rPr>
          <w:spacing w:val="8"/>
        </w:rPr>
        <w:t>水源、土壤污染监测，减轻或消除污染危害。</w:t>
      </w:r>
    </w:p>
    <w:p>
      <w:pPr>
        <w:pStyle w:val="BodyText"/>
        <w:ind w:left="15" w:right="248" w:firstLine="413"/>
        <w:spacing w:before="141" w:line="338" w:lineRule="auto"/>
        <w:rPr/>
      </w:pPr>
      <w:r>
        <w:rPr>
          <w:spacing w:val="9"/>
        </w:rPr>
        <w:t>（</w:t>
      </w:r>
      <w:r>
        <w:rPr>
          <w:rFonts w:ascii="Times New Roman" w:hAnsi="Times New Roman" w:eastAsia="Times New Roman" w:cs="Times New Roman"/>
          <w:spacing w:val="9"/>
        </w:rPr>
        <w:t>6 </w:t>
      </w:r>
      <w:r>
        <w:rPr>
          <w:spacing w:val="9"/>
        </w:rPr>
        <w:t>）防御次生灾害。加强次生灾害监测</w:t>
      </w:r>
      <w:r>
        <w:rPr>
          <w:spacing w:val="7"/>
        </w:rPr>
        <w:t>预警，防范因强余震和降雨形成的滑坡、泥石</w:t>
      </w:r>
      <w:r>
        <w:rPr>
          <w:spacing w:val="7"/>
        </w:rPr>
        <w:t>流、崩塌等造成新的人员伤亡和交通堵塞；组</w:t>
      </w:r>
      <w:r>
        <w:rPr>
          <w:spacing w:val="1"/>
        </w:rPr>
        <w:t>织专家对水库、堤坝、堰塞湖等开展险情排查、</w:t>
      </w:r>
      <w:r>
        <w:rPr>
          <w:spacing w:val="7"/>
        </w:rPr>
        <w:t>评估和除险加固，必要时组织下游危险地区人</w:t>
      </w:r>
      <w:r>
        <w:rPr>
          <w:spacing w:val="7"/>
        </w:rPr>
        <w:t>员转移；加强危险化学品生产储存设备、输油</w:t>
      </w:r>
      <w:r>
        <w:rPr>
          <w:spacing w:val="7"/>
        </w:rPr>
        <w:t>气管道、输配电线路等重点设施的受损情况排</w:t>
      </w:r>
      <w:r>
        <w:rPr>
          <w:spacing w:val="8"/>
        </w:rPr>
        <w:t>查，及时采取安全防范措施。</w:t>
      </w:r>
    </w:p>
    <w:p>
      <w:pPr>
        <w:pStyle w:val="BodyText"/>
        <w:ind w:left="16" w:right="329" w:firstLine="412"/>
        <w:spacing w:before="141" w:line="312" w:lineRule="auto"/>
        <w:rPr/>
      </w:pPr>
      <w:r>
        <w:rPr>
          <w:spacing w:val="11"/>
        </w:rPr>
        <w:t>（</w:t>
      </w:r>
      <w:r>
        <w:rPr>
          <w:rFonts w:ascii="Times New Roman" w:hAnsi="Times New Roman" w:eastAsia="Times New Roman" w:cs="Times New Roman"/>
          <w:spacing w:val="11"/>
        </w:rPr>
        <w:t>7</w:t>
      </w:r>
      <w:r>
        <w:rPr>
          <w:rFonts w:ascii="Times New Roman" w:hAnsi="Times New Roman" w:eastAsia="Times New Roman" w:cs="Times New Roman"/>
          <w:spacing w:val="-18"/>
        </w:rPr>
        <w:t xml:space="preserve"> </w:t>
      </w:r>
      <w:r>
        <w:rPr>
          <w:spacing w:val="11"/>
        </w:rPr>
        <w:t>）维护社会治安。严厉打击盗窃、抢</w:t>
      </w:r>
      <w:r>
        <w:rPr>
          <w:spacing w:val="7"/>
        </w:rPr>
        <w:t>劫、哄抢救灾物资，借机传播谣言制造社会恐</w:t>
      </w:r>
      <w:r>
        <w:rPr>
          <w:spacing w:val="7"/>
        </w:rPr>
        <w:t>慌等违法犯罪行为；在受灾群众安置点、救灾</w:t>
      </w:r>
    </w:p>
    <w:p>
      <w:pPr>
        <w:spacing w:line="14" w:lineRule="auto"/>
        <w:rPr>
          <w:rFonts w:ascii="Arial"/>
          <w:sz w:val="2"/>
        </w:rPr>
      </w:pPr>
      <w:r>
        <w:rPr>
          <w:rFonts w:ascii="Arial" w:hAnsi="Arial" w:eastAsia="Arial" w:cs="Arial"/>
          <w:sz w:val="2"/>
          <w:szCs w:val="2"/>
        </w:rPr>
        <w:br w:type="column"/>
      </w:r>
    </w:p>
    <w:p>
      <w:pPr>
        <w:pStyle w:val="BodyText"/>
        <w:ind w:right="57" w:firstLine="4"/>
        <w:spacing w:before="43" w:line="354" w:lineRule="auto"/>
        <w:jc w:val="both"/>
        <w:rPr/>
      </w:pPr>
      <w:r>
        <w:rPr>
          <w:spacing w:val="7"/>
        </w:rPr>
        <w:t>物资存放点等重点地区，增设临时警务站，加</w:t>
      </w:r>
      <w:r>
        <w:rPr>
          <w:spacing w:val="7"/>
        </w:rPr>
        <w:t>强治安巡逻，增强灾区群众的安全感；加强对</w:t>
      </w:r>
      <w:r>
        <w:rPr>
          <w:spacing w:val="8"/>
        </w:rPr>
        <w:t>党政机关、要害部门、金融单位、储备仓库、</w:t>
      </w:r>
      <w:r>
        <w:rPr>
          <w:spacing w:val="7"/>
        </w:rPr>
        <w:t>监狱等重要场所的警戒，做好涉灾矛盾纠纷化</w:t>
      </w:r>
      <w:r>
        <w:rPr>
          <w:spacing w:val="9"/>
        </w:rPr>
        <w:t>解和法律服务工作，维护社会稳定。</w:t>
      </w:r>
    </w:p>
    <w:p>
      <w:pPr>
        <w:pStyle w:val="BodyText"/>
        <w:ind w:right="80" w:firstLine="412"/>
        <w:spacing w:before="2" w:line="310" w:lineRule="auto"/>
        <w:rPr/>
      </w:pPr>
      <w:r>
        <w:rPr>
          <w:spacing w:val="8"/>
        </w:rPr>
        <w:t>（</w:t>
      </w:r>
      <w:r>
        <w:rPr>
          <w:spacing w:val="-45"/>
        </w:rPr>
        <w:t xml:space="preserve"> </w:t>
      </w:r>
      <w:r>
        <w:rPr>
          <w:rFonts w:ascii="Times New Roman" w:hAnsi="Times New Roman" w:eastAsia="Times New Roman" w:cs="Times New Roman"/>
          <w:spacing w:val="8"/>
        </w:rPr>
        <w:t>8</w:t>
      </w:r>
      <w:r>
        <w:rPr>
          <w:rFonts w:ascii="Times New Roman" w:hAnsi="Times New Roman" w:eastAsia="Times New Roman" w:cs="Times New Roman"/>
          <w:spacing w:val="-19"/>
        </w:rPr>
        <w:t xml:space="preserve"> </w:t>
      </w:r>
      <w:r>
        <w:rPr>
          <w:spacing w:val="8"/>
        </w:rPr>
        <w:t>）加强涉外事务管理。妥善安置在灾</w:t>
      </w:r>
      <w:r>
        <w:rPr>
          <w:spacing w:val="7"/>
        </w:rPr>
        <w:t>区工作和旅游的国（境）外人员，协调安排国</w:t>
      </w:r>
      <w:r>
        <w:rPr>
          <w:spacing w:val="8"/>
        </w:rPr>
        <w:t>外救援队在灾区开展救援行动。</w:t>
      </w:r>
    </w:p>
    <w:p>
      <w:pPr>
        <w:pStyle w:val="BodyText"/>
        <w:ind w:right="57" w:firstLine="413"/>
        <w:spacing w:before="140" w:line="336" w:lineRule="auto"/>
        <w:rPr/>
      </w:pPr>
      <w:r>
        <w:rPr>
          <w:spacing w:val="11"/>
        </w:rPr>
        <w:t>（</w:t>
      </w:r>
      <w:r>
        <w:rPr>
          <w:rFonts w:ascii="Times New Roman" w:hAnsi="Times New Roman" w:eastAsia="Times New Roman" w:cs="Times New Roman"/>
          <w:spacing w:val="11"/>
        </w:rPr>
        <w:t>9</w:t>
      </w:r>
      <w:r>
        <w:rPr>
          <w:rFonts w:ascii="Times New Roman" w:hAnsi="Times New Roman" w:eastAsia="Times New Roman" w:cs="Times New Roman"/>
          <w:spacing w:val="-18"/>
        </w:rPr>
        <w:t xml:space="preserve"> </w:t>
      </w:r>
      <w:r>
        <w:rPr>
          <w:spacing w:val="11"/>
        </w:rPr>
        <w:t>）开展灾害调查与评估。组织开展地</w:t>
      </w:r>
      <w:r>
        <w:rPr>
          <w:spacing w:val="7"/>
        </w:rPr>
        <w:t>震烈度、发震构造、地震宏观异常现象、工程</w:t>
      </w:r>
      <w:r>
        <w:rPr>
          <w:spacing w:val="7"/>
        </w:rPr>
        <w:t>结构震害特征、地震社会影响和各种地震地质</w:t>
      </w:r>
      <w:r>
        <w:rPr>
          <w:spacing w:val="8"/>
        </w:rPr>
        <w:t>灾害调查等。深入调查灾区范围、受灾人口、</w:t>
      </w:r>
      <w:r>
        <w:rPr>
          <w:spacing w:val="18"/>
        </w:rPr>
        <w:t>人员伤亡数量、建构筑物和基础设施破坏程</w:t>
      </w:r>
      <w:r>
        <w:rPr>
          <w:spacing w:val="7"/>
        </w:rPr>
        <w:t>度、环境影响程度等，组织专家开展灾害损失</w:t>
      </w:r>
      <w:r>
        <w:rPr>
          <w:spacing w:val="5"/>
        </w:rPr>
        <w:t>评估。</w:t>
      </w:r>
    </w:p>
    <w:p>
      <w:pPr>
        <w:pStyle w:val="BodyText"/>
        <w:ind w:right="60" w:firstLine="420"/>
        <w:spacing w:before="144" w:line="354" w:lineRule="auto"/>
        <w:jc w:val="both"/>
        <w:rPr/>
      </w:pPr>
      <w:r>
        <w:rPr>
          <w:rFonts w:ascii="Times New Roman" w:hAnsi="Times New Roman" w:eastAsia="Times New Roman" w:cs="Times New Roman"/>
          <w:spacing w:val="8"/>
        </w:rPr>
        <w:t>4.6  </w:t>
      </w:r>
      <w:r>
        <w:rPr>
          <w:rFonts w:ascii="KaiTi" w:hAnsi="KaiTi" w:eastAsia="KaiTi" w:cs="KaiTi"/>
          <w:spacing w:val="8"/>
        </w:rPr>
        <w:t>信息发布与舆情引导。</w:t>
      </w:r>
      <w:r>
        <w:rPr>
          <w:spacing w:val="8"/>
        </w:rPr>
        <w:t>信息发布与舆</w:t>
      </w:r>
      <w:r>
        <w:rPr>
          <w:spacing w:val="7"/>
        </w:rPr>
        <w:t>情管控与引导严格执行《中共中央宣传部关于</w:t>
      </w:r>
      <w:r>
        <w:rPr>
          <w:spacing w:val="4"/>
        </w:rPr>
        <w:t>规范重特大事故信息发布工作的意见》和《</w:t>
      </w:r>
      <w:r>
        <w:rPr>
          <w:spacing w:val="-35"/>
        </w:rPr>
        <w:t xml:space="preserve"> </w:t>
      </w:r>
      <w:r>
        <w:rPr>
          <w:spacing w:val="4"/>
        </w:rPr>
        <w:t>自</w:t>
      </w:r>
      <w:r>
        <w:rPr>
          <w:spacing w:val="18"/>
        </w:rPr>
        <w:t>治区党委宣传部关于规范重特大事故信息发</w:t>
      </w:r>
      <w:r>
        <w:rPr>
          <w:spacing w:val="8"/>
        </w:rPr>
        <w:t>布及新闻报道工作的实施意见》等有关规定。</w:t>
      </w:r>
    </w:p>
    <w:p>
      <w:pPr>
        <w:pStyle w:val="BodyText"/>
        <w:ind w:left="2" w:firstLine="410"/>
        <w:spacing w:before="4" w:line="350" w:lineRule="auto"/>
        <w:jc w:val="both"/>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）按照分级响应原则</w:t>
      </w:r>
      <w:r>
        <w:rPr>
          <w:spacing w:val="-59"/>
        </w:rPr>
        <w:t xml:space="preserve"> </w:t>
      </w:r>
      <w:r>
        <w:rPr>
          <w:spacing w:val="5"/>
        </w:rPr>
        <w:t>，一般生产安全</w:t>
      </w:r>
      <w:r>
        <w:rPr>
          <w:spacing w:val="8"/>
        </w:rPr>
        <w:t>事故信息发布工作由县（</w:t>
      </w:r>
      <w:r>
        <w:rPr>
          <w:spacing w:val="-42"/>
        </w:rPr>
        <w:t xml:space="preserve"> </w:t>
      </w:r>
      <w:r>
        <w:rPr>
          <w:spacing w:val="8"/>
        </w:rPr>
        <w:t>区）人民政府发布；</w:t>
      </w:r>
      <w:r>
        <w:rPr>
          <w:spacing w:val="18"/>
        </w:rPr>
        <w:t>较大及较大以上生产安全事故信息发布工作</w:t>
      </w:r>
      <w:r>
        <w:rPr>
          <w:spacing w:val="1"/>
        </w:rPr>
        <w:t>由市政府决定。信息发布要统一、及时、准确、</w:t>
      </w:r>
      <w:r>
        <w:rPr>
          <w:spacing w:val="4"/>
        </w:rPr>
        <w:t>客观。</w:t>
      </w:r>
    </w:p>
    <w:p>
      <w:pPr>
        <w:pStyle w:val="BodyText"/>
        <w:ind w:right="76" w:firstLine="422"/>
        <w:spacing w:before="24" w:line="354" w:lineRule="auto"/>
        <w:jc w:val="both"/>
        <w:rPr/>
      </w:pPr>
      <w:r>
        <w:rPr>
          <w:spacing w:val="6"/>
        </w:rPr>
        <w:t>根据事故影响程度和类型，组织有关责任</w:t>
      </w:r>
      <w:r>
        <w:rPr>
          <w:spacing w:val="7"/>
        </w:rPr>
        <w:t>单位、职能部门和专家拟写新闻稿、专家评论</w:t>
      </w:r>
      <w:r>
        <w:rPr>
          <w:spacing w:val="-3"/>
        </w:rPr>
        <w:t>或事故情况公告，报指挥部同意后向媒体发布。</w:t>
      </w:r>
    </w:p>
    <w:p>
      <w:pPr>
        <w:pStyle w:val="BodyText"/>
        <w:ind w:right="80" w:firstLine="423"/>
        <w:spacing w:before="1" w:line="353" w:lineRule="auto"/>
        <w:jc w:val="both"/>
        <w:rPr/>
      </w:pPr>
      <w:r>
        <w:rPr>
          <w:spacing w:val="6"/>
        </w:rPr>
        <w:t>宣传、网信、公安等部门要密切关注舆情</w:t>
      </w:r>
      <w:r>
        <w:rPr>
          <w:spacing w:val="7"/>
        </w:rPr>
        <w:t>信息，及时做好舆情管控、引导工作，防止舆</w:t>
      </w:r>
      <w:r>
        <w:rPr>
          <w:spacing w:val="6"/>
        </w:rPr>
        <w:t>论炒作。</w:t>
      </w:r>
    </w:p>
    <w:p>
      <w:pPr>
        <w:pStyle w:val="BodyText"/>
        <w:ind w:right="80" w:firstLine="412"/>
        <w:spacing w:before="1" w:line="310" w:lineRule="auto"/>
        <w:jc w:val="both"/>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）信息发布主要内容包括：生产安全</w:t>
      </w:r>
      <w:r>
        <w:rPr>
          <w:spacing w:val="7"/>
        </w:rPr>
        <w:t>事故的种类及其次生、衍生灾害的监测和预警</w:t>
      </w:r>
      <w:r>
        <w:rPr>
          <w:spacing w:val="7"/>
        </w:rPr>
        <w:t>情况；事件发生时间、地点、人员伤亡（包括</w:t>
      </w:r>
    </w:p>
    <w:p>
      <w:pPr>
        <w:spacing w:line="310" w:lineRule="auto"/>
        <w:sectPr>
          <w:type w:val="continuous"/>
          <w:pgSz w:w="11906" w:h="16839"/>
          <w:pgMar w:top="1766" w:right="1509" w:bottom="1551" w:left="1576" w:header="1428" w:footer="1172" w:gutter="0"/>
          <w:cols w:equalWidth="0" w:num="2">
            <w:col w:w="4493" w:space="100"/>
            <w:col w:w="4228" w:space="0"/>
          </w:cols>
        </w:sectPr>
        <w:rPr/>
      </w:pPr>
    </w:p>
    <w:p>
      <w:pPr>
        <w:spacing w:line="236" w:lineRule="exact"/>
        <w:rPr/>
      </w:pPr>
      <w:r>
        <w:drawing>
          <wp:anchor distT="0" distB="0" distL="0" distR="0" simplePos="0" relativeHeight="252482560" behindDoc="0" locked="0" layoutInCell="0" allowOverlap="1">
            <wp:simplePos x="0" y="0"/>
            <wp:positionH relativeFrom="page">
              <wp:posOffset>1008380</wp:posOffset>
            </wp:positionH>
            <wp:positionV relativeFrom="page">
              <wp:posOffset>1186180</wp:posOffset>
            </wp:positionV>
            <wp:extent cx="5579745" cy="7619"/>
            <wp:effectExtent l="0" t="0" r="0" b="0"/>
            <wp:wrapNone/>
            <wp:docPr id="1538" name="IM 1538"/>
            <wp:cNvGraphicFramePr/>
            <a:graphic>
              <a:graphicData uri="http://schemas.openxmlformats.org/drawingml/2006/picture">
                <pic:pic>
                  <pic:nvPicPr>
                    <pic:cNvPr id="1538" name="IM 1538"/>
                    <pic:cNvPicPr/>
                  </pic:nvPicPr>
                  <pic:blipFill>
                    <a:blip r:embed="rId771"/>
                    <a:stretch>
                      <a:fillRect/>
                    </a:stretch>
                  </pic:blipFill>
                  <pic:spPr>
                    <a:xfrm rot="0">
                      <a:off x="0" y="0"/>
                      <a:ext cx="5579745" cy="7619"/>
                    </a:xfrm>
                    <a:prstGeom prst="rect">
                      <a:avLst/>
                    </a:prstGeom>
                  </pic:spPr>
                </pic:pic>
              </a:graphicData>
            </a:graphic>
          </wp:anchor>
        </w:drawing>
      </w:r>
      <w:r/>
    </w:p>
    <w:p>
      <w:pPr>
        <w:spacing w:line="236" w:lineRule="exact"/>
        <w:sectPr>
          <w:headerReference w:type="default" r:id="rId743"/>
          <w:footerReference w:type="default" r:id="rId770"/>
          <w:pgSz w:w="11906" w:h="16839"/>
          <w:pgMar w:top="1828" w:right="1489" w:bottom="1556" w:left="1567" w:header="1428" w:footer="1172" w:gutter="0"/>
          <w:cols w:equalWidth="0" w:num="1">
            <w:col w:w="8850" w:space="0"/>
          </w:cols>
        </w:sectPr>
        <w:rPr/>
      </w:pPr>
    </w:p>
    <w:p>
      <w:pPr>
        <w:pStyle w:val="BodyText"/>
        <w:ind w:left="24" w:right="329" w:firstLine="2"/>
        <w:spacing w:before="48" w:line="353" w:lineRule="auto"/>
        <w:jc w:val="both"/>
        <w:rPr/>
      </w:pPr>
      <w:r>
        <w:rPr>
          <w:spacing w:val="7"/>
        </w:rPr>
        <w:t>下落不明人数）和财产损失情况、救援进展情</w:t>
      </w:r>
      <w:r>
        <w:rPr>
          <w:spacing w:val="18"/>
        </w:rPr>
        <w:t>况、事件区域交通管制情况以及临时交通措</w:t>
      </w:r>
      <w:r>
        <w:rPr>
          <w:spacing w:val="9"/>
        </w:rPr>
        <w:t>施；事件责任单位基本情况等。</w:t>
      </w:r>
    </w:p>
    <w:p>
      <w:pPr>
        <w:pStyle w:val="BodyText"/>
        <w:ind w:left="24" w:right="248" w:firstLine="413"/>
        <w:spacing w:before="3" w:line="351" w:lineRule="auto"/>
        <w:jc w:val="both"/>
        <w:rPr/>
      </w:pPr>
      <w:r>
        <w:rPr>
          <w:spacing w:val="4"/>
        </w:rPr>
        <w:t>（</w:t>
      </w:r>
      <w:r>
        <w:rPr>
          <w:rFonts w:ascii="Times New Roman" w:hAnsi="Times New Roman" w:eastAsia="Times New Roman" w:cs="Times New Roman"/>
          <w:spacing w:val="4"/>
        </w:rPr>
        <w:t>3</w:t>
      </w:r>
      <w:r>
        <w:rPr>
          <w:rFonts w:ascii="Times New Roman" w:hAnsi="Times New Roman" w:eastAsia="Times New Roman" w:cs="Times New Roman"/>
          <w:spacing w:val="-13"/>
        </w:rPr>
        <w:t xml:space="preserve"> </w:t>
      </w:r>
      <w:r>
        <w:rPr>
          <w:spacing w:val="4"/>
        </w:rPr>
        <w:t>）信息发布形式主要包括：权威发布、</w:t>
      </w:r>
      <w:r>
        <w:rPr>
          <w:spacing w:val="7"/>
        </w:rPr>
        <w:t>提供新闻稿、组织报道、接受记者采访、举行</w:t>
      </w:r>
      <w:r>
        <w:rPr>
          <w:spacing w:val="7"/>
        </w:rPr>
        <w:t>新闻发布会等。</w:t>
      </w:r>
    </w:p>
    <w:p>
      <w:pPr>
        <w:ind w:left="445"/>
        <w:spacing w:before="12" w:line="265" w:lineRule="exact"/>
        <w:rPr>
          <w:rFonts w:ascii="KaiTi" w:hAnsi="KaiTi" w:eastAsia="KaiTi" w:cs="KaiTi"/>
          <w:sz w:val="20"/>
          <w:szCs w:val="20"/>
        </w:rPr>
      </w:pPr>
      <w:r>
        <w:rPr>
          <w:rFonts w:ascii="Times New Roman" w:hAnsi="Times New Roman" w:eastAsia="Times New Roman" w:cs="Times New Roman"/>
          <w:sz w:val="20"/>
          <w:szCs w:val="20"/>
          <w:spacing w:val="5"/>
          <w:position w:val="1"/>
        </w:rPr>
        <w:t>4.7  </w:t>
      </w:r>
      <w:r>
        <w:rPr>
          <w:rFonts w:ascii="KaiTi" w:hAnsi="KaiTi" w:eastAsia="KaiTi" w:cs="KaiTi"/>
          <w:sz w:val="20"/>
          <w:szCs w:val="20"/>
          <w:spacing w:val="5"/>
          <w:position w:val="1"/>
        </w:rPr>
        <w:t>社会动员。</w:t>
      </w:r>
    </w:p>
    <w:p>
      <w:pPr>
        <w:pStyle w:val="BodyText"/>
        <w:ind w:left="24" w:right="329" w:firstLine="413"/>
        <w:spacing w:before="119" w:line="322"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）市政府或市抗震救灾指挥部根据地</w:t>
      </w:r>
      <w:r>
        <w:rPr>
          <w:spacing w:val="7"/>
        </w:rPr>
        <w:t>震灾害事件的性质、危害程度和范围，广泛调</w:t>
      </w:r>
      <w:r>
        <w:rPr>
          <w:spacing w:val="7"/>
        </w:rPr>
        <w:t>动社会力量参与事件处置，紧急情况下可依法</w:t>
      </w:r>
      <w:r>
        <w:rPr>
          <w:spacing w:val="9"/>
        </w:rPr>
        <w:t>征用、调用车辆、物资、人员等。</w:t>
      </w:r>
    </w:p>
    <w:p>
      <w:pPr>
        <w:pStyle w:val="BodyText"/>
        <w:ind w:left="26" w:right="253" w:firstLine="410"/>
        <w:spacing w:before="138" w:line="329"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5"/>
        </w:rPr>
        <w:t xml:space="preserve"> </w:t>
      </w:r>
      <w:r>
        <w:rPr>
          <w:spacing w:val="8"/>
        </w:rPr>
        <w:t>）地震灾害事件发生后</w:t>
      </w:r>
      <w:r>
        <w:rPr>
          <w:spacing w:val="-59"/>
        </w:rPr>
        <w:t xml:space="preserve"> </w:t>
      </w:r>
      <w:r>
        <w:rPr>
          <w:spacing w:val="8"/>
        </w:rPr>
        <w:t>，地震灾害发</w:t>
      </w:r>
      <w:r>
        <w:rPr>
          <w:spacing w:val="18"/>
        </w:rPr>
        <w:t>生地政府或抗震救灾指挥部组织各方面力量</w:t>
      </w:r>
      <w:r>
        <w:rPr>
          <w:spacing w:val="7"/>
        </w:rPr>
        <w:t>开展应急处置工作，组织基层单位和人员开展</w:t>
      </w:r>
      <w:r>
        <w:rPr>
          <w:spacing w:val="4"/>
        </w:rPr>
        <w:t>自救、互救；邻近的县（</w:t>
      </w:r>
      <w:r>
        <w:rPr>
          <w:spacing w:val="-36"/>
        </w:rPr>
        <w:t xml:space="preserve"> </w:t>
      </w:r>
      <w:r>
        <w:rPr>
          <w:spacing w:val="4"/>
        </w:rPr>
        <w:t>区）政府根据灾情组</w:t>
      </w:r>
      <w:r>
        <w:rPr>
          <w:spacing w:val="-9"/>
        </w:rPr>
        <w:t>织和动员社会力量，对地震灾害发生地提供援助。</w:t>
      </w:r>
    </w:p>
    <w:p>
      <w:pPr>
        <w:pStyle w:val="BodyText"/>
        <w:ind w:left="25" w:right="309" w:firstLine="412"/>
        <w:spacing w:before="140" w:line="322" w:lineRule="auto"/>
        <w:rPr/>
      </w:pPr>
      <w:r>
        <w:rPr/>
        <w:t>（</w:t>
      </w:r>
      <w:r>
        <w:rPr>
          <w:rFonts w:ascii="Times New Roman" w:hAnsi="Times New Roman" w:eastAsia="Times New Roman" w:cs="Times New Roman"/>
        </w:rPr>
        <w:t>3</w:t>
      </w:r>
      <w:r>
        <w:rPr>
          <w:rFonts w:ascii="Times New Roman" w:hAnsi="Times New Roman" w:eastAsia="Times New Roman" w:cs="Times New Roman"/>
          <w:spacing w:val="-17"/>
        </w:rPr>
        <w:t xml:space="preserve"> </w:t>
      </w:r>
      <w:r>
        <w:rPr/>
        <w:t>）鼓励公民、法人和其他组织按照《中</w:t>
      </w:r>
      <w:r>
        <w:rPr>
          <w:spacing w:val="7"/>
        </w:rPr>
        <w:t>华人民共和国公益事业捐赠法》等有关法律法</w:t>
      </w:r>
      <w:r>
        <w:rPr>
          <w:spacing w:val="7"/>
        </w:rPr>
        <w:t>规的规定进行捐赠和援助。审计、监察部门对</w:t>
      </w:r>
      <w:r>
        <w:rPr>
          <w:spacing w:val="8"/>
        </w:rPr>
        <w:t>捐赠资金与物资的使用情况进行审计和监督。</w:t>
      </w:r>
    </w:p>
    <w:p>
      <w:pPr>
        <w:pStyle w:val="BodyText"/>
        <w:ind w:left="23" w:right="329" w:firstLine="413"/>
        <w:spacing w:before="142" w:line="328" w:lineRule="auto"/>
        <w:rPr/>
      </w:pPr>
      <w:r>
        <w:rPr>
          <w:spacing w:val="8"/>
        </w:rPr>
        <w:t>（</w:t>
      </w:r>
      <w:r>
        <w:rPr>
          <w:rFonts w:ascii="Times New Roman" w:hAnsi="Times New Roman" w:eastAsia="Times New Roman" w:cs="Times New Roman"/>
          <w:spacing w:val="8"/>
        </w:rPr>
        <w:t>4</w:t>
      </w:r>
      <w:r>
        <w:rPr>
          <w:rFonts w:ascii="Times New Roman" w:hAnsi="Times New Roman" w:eastAsia="Times New Roman" w:cs="Times New Roman"/>
          <w:spacing w:val="-5"/>
        </w:rPr>
        <w:t xml:space="preserve"> </w:t>
      </w:r>
      <w:r>
        <w:rPr>
          <w:spacing w:val="8"/>
        </w:rPr>
        <w:t>）根据地震突发事件发展情况</w:t>
      </w:r>
      <w:r>
        <w:rPr>
          <w:spacing w:val="-59"/>
        </w:rPr>
        <w:t xml:space="preserve"> </w:t>
      </w:r>
      <w:r>
        <w:rPr>
          <w:spacing w:val="8"/>
        </w:rPr>
        <w:t>，向社</w:t>
      </w:r>
      <w:r>
        <w:rPr>
          <w:spacing w:val="7"/>
        </w:rPr>
        <w:t>会公布志愿服务需求指南，明确专门人员，及</w:t>
      </w:r>
      <w:r>
        <w:rPr>
          <w:spacing w:val="7"/>
        </w:rPr>
        <w:t>时开通志愿服务联系电话，统一接收志愿者组</w:t>
      </w:r>
      <w:r>
        <w:rPr>
          <w:spacing w:val="7"/>
        </w:rPr>
        <w:t>织报名，做好志愿者派遣和相关服务工作，引</w:t>
      </w:r>
      <w:r>
        <w:rPr>
          <w:spacing w:val="8"/>
        </w:rPr>
        <w:t>导志愿者有序参与救援工作。</w:t>
      </w:r>
    </w:p>
    <w:p>
      <w:pPr>
        <w:pStyle w:val="BodyText"/>
        <w:ind w:left="21" w:right="329" w:firstLine="423"/>
        <w:spacing w:before="145" w:line="353" w:lineRule="auto"/>
        <w:jc w:val="both"/>
        <w:rPr/>
      </w:pPr>
      <w:r>
        <w:rPr>
          <w:rFonts w:ascii="Times New Roman" w:hAnsi="Times New Roman" w:eastAsia="Times New Roman" w:cs="Times New Roman"/>
          <w:spacing w:val="8"/>
        </w:rPr>
        <w:t>4.8  </w:t>
      </w:r>
      <w:r>
        <w:rPr>
          <w:rFonts w:ascii="KaiTi" w:hAnsi="KaiTi" w:eastAsia="KaiTi" w:cs="KaiTi"/>
          <w:spacing w:val="8"/>
        </w:rPr>
        <w:t>响应终止。</w:t>
      </w:r>
      <w:r>
        <w:rPr>
          <w:spacing w:val="8"/>
        </w:rPr>
        <w:t>在抗震救灾抢险救援工作</w:t>
      </w:r>
      <w:r>
        <w:rPr>
          <w:spacing w:val="7"/>
        </w:rPr>
        <w:t>基本结束，紧急转移和安置工作基本完成，次</w:t>
      </w:r>
      <w:r>
        <w:rPr>
          <w:spacing w:val="7"/>
        </w:rPr>
        <w:t>生灾害的后果基本消除，以及交通、电力、通</w:t>
      </w:r>
      <w:r>
        <w:rPr>
          <w:spacing w:val="7"/>
        </w:rPr>
        <w:t>信和供水等基本抢修抢通，群众生活秩序基本</w:t>
      </w:r>
      <w:r>
        <w:rPr>
          <w:spacing w:val="10"/>
        </w:rPr>
        <w:t>恢复后</w:t>
      </w:r>
      <w:r>
        <w:rPr>
          <w:spacing w:val="-41"/>
        </w:rPr>
        <w:t xml:space="preserve"> </w:t>
      </w:r>
      <w:r>
        <w:rPr>
          <w:spacing w:val="10"/>
        </w:rPr>
        <w:t>，按照</w:t>
      </w:r>
      <w:r>
        <w:rPr>
          <w:rFonts w:ascii="Times New Roman" w:hAnsi="Times New Roman" w:eastAsia="Times New Roman" w:cs="Times New Roman"/>
          <w:spacing w:val="10"/>
        </w:rPr>
        <w:t>“</w:t>
      </w:r>
      <w:r>
        <w:rPr>
          <w:spacing w:val="10"/>
        </w:rPr>
        <w:t>应急响应启动与解除主体相一</w:t>
      </w:r>
      <w:r>
        <w:rPr>
          <w:spacing w:val="10"/>
        </w:rPr>
        <w:t>致</w:t>
      </w:r>
      <w:r>
        <w:rPr>
          <w:rFonts w:ascii="Times New Roman" w:hAnsi="Times New Roman" w:eastAsia="Times New Roman" w:cs="Times New Roman"/>
          <w:spacing w:val="10"/>
        </w:rPr>
        <w:t>”</w:t>
      </w:r>
      <w:r>
        <w:rPr>
          <w:spacing w:val="10"/>
        </w:rPr>
        <w:t>的原则</w:t>
      </w:r>
      <w:r>
        <w:rPr>
          <w:spacing w:val="-41"/>
        </w:rPr>
        <w:t xml:space="preserve"> </w:t>
      </w:r>
      <w:r>
        <w:rPr>
          <w:spacing w:val="10"/>
        </w:rPr>
        <w:t>，由启动应急响应的原机关决定终</w:t>
      </w:r>
      <w:r>
        <w:rPr>
          <w:spacing w:val="8"/>
        </w:rPr>
        <w:t>止应急响应。</w:t>
      </w:r>
    </w:p>
    <w:p>
      <w:pPr>
        <w:ind w:left="448"/>
        <w:spacing w:before="2"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5</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6"/>
        </w:rPr>
        <w:t>其他地震事件应急</w:t>
      </w:r>
    </w:p>
    <w:p>
      <w:pPr>
        <w:pStyle w:val="BodyText"/>
        <w:ind w:left="451"/>
        <w:spacing w:before="81" w:line="210" w:lineRule="auto"/>
        <w:rPr/>
      </w:pPr>
      <w:r>
        <w:rPr>
          <w:rFonts w:ascii="Times New Roman" w:hAnsi="Times New Roman" w:eastAsia="Times New Roman" w:cs="Times New Roman"/>
          <w:spacing w:val="6"/>
        </w:rPr>
        <w:t>5.</w:t>
      </w:r>
      <w:r>
        <w:rPr>
          <w:rFonts w:ascii="Times New Roman" w:hAnsi="Times New Roman" w:eastAsia="Times New Roman" w:cs="Times New Roman"/>
          <w:spacing w:val="-8"/>
        </w:rPr>
        <w:t xml:space="preserve"> </w:t>
      </w:r>
      <w:r>
        <w:rPr>
          <w:rFonts w:ascii="Times New Roman" w:hAnsi="Times New Roman" w:eastAsia="Times New Roman" w:cs="Times New Roman"/>
          <w:spacing w:val="6"/>
        </w:rPr>
        <w:t>1  </w:t>
      </w:r>
      <w:r>
        <w:rPr>
          <w:rFonts w:ascii="KaiTi" w:hAnsi="KaiTi" w:eastAsia="KaiTi" w:cs="KaiTi"/>
          <w:spacing w:val="6"/>
        </w:rPr>
        <w:t>强有感地震事件应急。</w:t>
      </w:r>
      <w:r>
        <w:rPr>
          <w:spacing w:val="6"/>
        </w:rPr>
        <w:t>当其它地区发</w:t>
      </w:r>
    </w:p>
    <w:p>
      <w:pPr>
        <w:spacing w:line="14" w:lineRule="auto"/>
        <w:rPr>
          <w:rFonts w:ascii="Arial"/>
          <w:sz w:val="2"/>
        </w:rPr>
      </w:pPr>
      <w:r>
        <w:rPr>
          <w:rFonts w:ascii="Arial" w:hAnsi="Arial" w:eastAsia="Arial" w:cs="Arial"/>
          <w:sz w:val="2"/>
          <w:szCs w:val="2"/>
        </w:rPr>
        <w:br w:type="column"/>
      </w:r>
    </w:p>
    <w:p>
      <w:pPr>
        <w:pStyle w:val="BodyText"/>
        <w:ind w:right="101" w:firstLine="3"/>
        <w:spacing w:before="52" w:line="353" w:lineRule="auto"/>
        <w:jc w:val="both"/>
        <w:rPr/>
      </w:pPr>
      <w:r>
        <w:rPr>
          <w:spacing w:val="18"/>
        </w:rPr>
        <w:t>生的地震在我市有强震感并有可能产生较大</w:t>
      </w:r>
      <w:r>
        <w:rPr>
          <w:spacing w:val="7"/>
        </w:rPr>
        <w:t>社会影响时，市地震局收集震情与震情趋势判</w:t>
      </w:r>
      <w:r>
        <w:rPr>
          <w:spacing w:val="7"/>
        </w:rPr>
        <w:t>断意见，适时报告市委、市政府和市抗震救灾</w:t>
      </w:r>
      <w:r>
        <w:rPr>
          <w:spacing w:val="17"/>
        </w:rPr>
        <w:t>指挥部。市抗震救灾指挥部督导有关部门和</w:t>
      </w:r>
      <w:r>
        <w:rPr>
          <w:spacing w:val="-3"/>
        </w:rPr>
        <w:t>县（区）政府做好新闻报道及信息发布工作，保</w:t>
      </w:r>
      <w:r>
        <w:rPr>
          <w:spacing w:val="7"/>
        </w:rPr>
        <w:t>持社会稳定，并将应急情况及时报自治区应急</w:t>
      </w:r>
      <w:r>
        <w:rPr>
          <w:spacing w:val="6"/>
        </w:rPr>
        <w:t>管理厅。</w:t>
      </w:r>
    </w:p>
    <w:p>
      <w:pPr>
        <w:pStyle w:val="BodyText"/>
        <w:ind w:right="94" w:firstLine="427"/>
        <w:spacing w:before="7" w:line="340" w:lineRule="auto"/>
        <w:rPr/>
      </w:pPr>
      <w:r>
        <w:rPr>
          <w:rFonts w:ascii="Times New Roman" w:hAnsi="Times New Roman" w:eastAsia="Times New Roman" w:cs="Times New Roman"/>
          <w:spacing w:val="8"/>
        </w:rPr>
        <w:t>5.2  </w:t>
      </w:r>
      <w:r>
        <w:rPr>
          <w:rFonts w:ascii="KaiTi" w:hAnsi="KaiTi" w:eastAsia="KaiTi" w:cs="KaiTi"/>
          <w:spacing w:val="8"/>
        </w:rPr>
        <w:t>地震传言事件应急。</w:t>
      </w:r>
      <w:r>
        <w:rPr>
          <w:spacing w:val="8"/>
        </w:rPr>
        <w:t>当我市出现地震</w:t>
      </w:r>
      <w:r>
        <w:rPr>
          <w:spacing w:val="18"/>
        </w:rPr>
        <w:t>传言并对社会正常生产生活秩序造成较严重</w:t>
      </w:r>
      <w:r>
        <w:rPr>
          <w:spacing w:val="7"/>
        </w:rPr>
        <w:t>影响时，市地震局及时将有关情况报市政府，</w:t>
      </w:r>
      <w:r>
        <w:rPr>
          <w:spacing w:val="4"/>
        </w:rPr>
        <w:t>视情组织专家分析传言起因。有关县（</w:t>
      </w:r>
      <w:r>
        <w:rPr>
          <w:spacing w:val="-34"/>
        </w:rPr>
        <w:t xml:space="preserve"> </w:t>
      </w:r>
      <w:r>
        <w:rPr>
          <w:spacing w:val="4"/>
        </w:rPr>
        <w:t>区）政</w:t>
      </w:r>
      <w:r>
        <w:rPr>
          <w:spacing w:val="7"/>
        </w:rPr>
        <w:t>府做好新闻报道及信息发布工作，采取措施平</w:t>
      </w:r>
      <w:r>
        <w:rPr>
          <w:spacing w:val="7"/>
        </w:rPr>
        <w:t>息地震传言，并将应急情况及时报市政府、市</w:t>
      </w:r>
      <w:r>
        <w:rPr>
          <w:spacing w:val="7"/>
        </w:rPr>
        <w:t>抗震救灾指挥部办公室。市抗震救灾指挥部办</w:t>
      </w:r>
      <w:r>
        <w:rPr>
          <w:spacing w:val="7"/>
        </w:rPr>
        <w:t>公室要将应急情况及时报自治区政府、自治区</w:t>
      </w:r>
      <w:r>
        <w:rPr>
          <w:spacing w:val="8"/>
        </w:rPr>
        <w:t>应急厅，并抄送宁夏地震局。</w:t>
      </w:r>
    </w:p>
    <w:p>
      <w:pPr>
        <w:pStyle w:val="BodyText"/>
        <w:ind w:right="78" w:firstLine="427"/>
        <w:spacing w:before="138" w:line="336" w:lineRule="auto"/>
        <w:rPr/>
      </w:pPr>
      <w:r>
        <w:rPr>
          <w:rFonts w:ascii="Times New Roman" w:hAnsi="Times New Roman" w:eastAsia="Times New Roman" w:cs="Times New Roman"/>
          <w:spacing w:val="8"/>
        </w:rPr>
        <w:t>5.3  </w:t>
      </w:r>
      <w:r>
        <w:rPr>
          <w:rFonts w:ascii="KaiTi" w:hAnsi="KaiTi" w:eastAsia="KaiTi" w:cs="KaiTi"/>
          <w:spacing w:val="8"/>
        </w:rPr>
        <w:t>邻市地震灾害事件应急。</w:t>
      </w:r>
      <w:r>
        <w:rPr>
          <w:spacing w:val="8"/>
        </w:rPr>
        <w:t>地震发生在</w:t>
      </w:r>
      <w:r>
        <w:rPr>
          <w:spacing w:val="18"/>
        </w:rPr>
        <w:t>邻市但对我市造成震灾损失或严重社会影响</w:t>
      </w:r>
      <w:r>
        <w:rPr>
          <w:spacing w:val="8"/>
        </w:rPr>
        <w:t>时，市抗震救灾指挥部办公室根据震级大小、</w:t>
      </w:r>
      <w:r>
        <w:rPr>
          <w:spacing w:val="7"/>
        </w:rPr>
        <w:t>灾情严重程度，向市抗震救灾指挥部提出启动</w:t>
      </w:r>
      <w:r>
        <w:rPr>
          <w:spacing w:val="7"/>
        </w:rPr>
        <w:t>相应级别的应急响应。经批准后，有关县区政</w:t>
      </w:r>
      <w:r>
        <w:rPr>
          <w:spacing w:val="7"/>
        </w:rPr>
        <w:t>府、部门（单位）按照响应级别开展各项应急</w:t>
      </w:r>
      <w:r>
        <w:rPr>
          <w:spacing w:val="5"/>
        </w:rPr>
        <w:t>工作。</w:t>
      </w:r>
    </w:p>
    <w:p>
      <w:pPr>
        <w:ind w:left="425"/>
        <w:spacing w:before="133"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6</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应急保障</w:t>
      </w:r>
    </w:p>
    <w:p>
      <w:pPr>
        <w:pStyle w:val="BodyText"/>
        <w:ind w:left="4" w:right="94" w:firstLine="421"/>
        <w:spacing w:before="79" w:line="349" w:lineRule="auto"/>
        <w:jc w:val="both"/>
        <w:rPr/>
      </w:pPr>
      <w:r>
        <w:rPr>
          <w:rFonts w:ascii="Times New Roman" w:hAnsi="Times New Roman" w:eastAsia="Times New Roman" w:cs="Times New Roman"/>
          <w:spacing w:val="6"/>
        </w:rPr>
        <w:t>6.</w:t>
      </w:r>
      <w:r>
        <w:rPr>
          <w:rFonts w:ascii="Times New Roman" w:hAnsi="Times New Roman" w:eastAsia="Times New Roman" w:cs="Times New Roman"/>
          <w:spacing w:val="-7"/>
        </w:rPr>
        <w:t xml:space="preserve"> </w:t>
      </w:r>
      <w:r>
        <w:rPr>
          <w:rFonts w:ascii="Times New Roman" w:hAnsi="Times New Roman" w:eastAsia="Times New Roman" w:cs="Times New Roman"/>
          <w:spacing w:val="6"/>
        </w:rPr>
        <w:t>1  </w:t>
      </w:r>
      <w:r>
        <w:rPr>
          <w:rFonts w:ascii="KaiTi" w:hAnsi="KaiTi" w:eastAsia="KaiTi" w:cs="KaiTi"/>
          <w:spacing w:val="6"/>
        </w:rPr>
        <w:t>队伍保障。</w:t>
      </w:r>
      <w:r>
        <w:rPr>
          <w:spacing w:val="6"/>
        </w:rPr>
        <w:t>市政府有关部门、驻固部</w:t>
      </w:r>
      <w:r>
        <w:rPr>
          <w:spacing w:val="7"/>
        </w:rPr>
        <w:t>队、各县区政府加强地震灾害紧急救援、公安</w:t>
      </w:r>
      <w:r>
        <w:rPr>
          <w:spacing w:val="7"/>
        </w:rPr>
        <w:t>消防、陆地搜寻与救护、矿山和危险化学品救</w:t>
      </w:r>
      <w:r>
        <w:rPr>
          <w:spacing w:val="7"/>
        </w:rPr>
        <w:t>护、医疗卫生救援等专业抢险救灾队伍建设，</w:t>
      </w:r>
      <w:r>
        <w:rPr>
          <w:spacing w:val="7"/>
        </w:rPr>
        <w:t>配备必要的物资装备，经常性开展协同演练，</w:t>
      </w:r>
      <w:r>
        <w:rPr>
          <w:spacing w:val="8"/>
        </w:rPr>
        <w:t>提高共同应对地震灾害的能力。</w:t>
      </w:r>
    </w:p>
    <w:p>
      <w:pPr>
        <w:pStyle w:val="BodyText"/>
        <w:ind w:left="1" w:right="101" w:firstLine="420"/>
        <w:spacing w:before="11" w:line="350" w:lineRule="auto"/>
        <w:jc w:val="both"/>
        <w:rPr/>
      </w:pPr>
      <w:r>
        <w:rPr>
          <w:spacing w:val="6"/>
        </w:rPr>
        <w:t>城市供水、供电、供气等生命线工程设施</w:t>
      </w:r>
      <w:r>
        <w:rPr>
          <w:spacing w:val="7"/>
        </w:rPr>
        <w:t>产权单位、管理或者生产经营单位加强抢险抢</w:t>
      </w:r>
      <w:r>
        <w:rPr>
          <w:spacing w:val="7"/>
        </w:rPr>
        <w:t>修队伍建设。</w:t>
      </w:r>
    </w:p>
    <w:p>
      <w:pPr>
        <w:pStyle w:val="BodyText"/>
        <w:ind w:left="430"/>
        <w:spacing w:line="268" w:lineRule="exact"/>
        <w:rPr/>
      </w:pPr>
      <w:r>
        <w:rPr>
          <w:spacing w:val="6"/>
          <w:position w:val="1"/>
        </w:rPr>
        <w:t>乡（镇）政府、街道办事处组织动员社会</w:t>
      </w:r>
    </w:p>
    <w:p>
      <w:pPr>
        <w:spacing w:line="268" w:lineRule="exact"/>
        <w:sectPr>
          <w:type w:val="continuous"/>
          <w:pgSz w:w="11906" w:h="16839"/>
          <w:pgMar w:top="1828" w:right="1489" w:bottom="1556" w:left="1567" w:header="1428" w:footer="1172" w:gutter="0"/>
          <w:cols w:equalWidth="0" w:num="2">
            <w:col w:w="4502" w:space="100"/>
            <w:col w:w="4249" w:space="0"/>
          </w:cols>
        </w:sectPr>
        <w:rPr/>
      </w:pPr>
    </w:p>
    <w:p>
      <w:pPr>
        <w:spacing w:before="51"/>
        <w:rPr/>
      </w:pPr>
      <w:r>
        <w:drawing>
          <wp:anchor distT="0" distB="0" distL="0" distR="0" simplePos="0" relativeHeight="252493824"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542" name="IM 1542"/>
            <wp:cNvGraphicFramePr/>
            <a:graphic>
              <a:graphicData uri="http://schemas.openxmlformats.org/drawingml/2006/picture">
                <pic:pic>
                  <pic:nvPicPr>
                    <pic:cNvPr id="1542" name="IM 1542"/>
                    <pic:cNvPicPr/>
                  </pic:nvPicPr>
                  <pic:blipFill>
                    <a:blip r:embed="rId773"/>
                    <a:stretch>
                      <a:fillRect/>
                    </a:stretch>
                  </pic:blipFill>
                  <pic:spPr>
                    <a:xfrm rot="0">
                      <a:off x="0" y="0"/>
                      <a:ext cx="5579745" cy="7620"/>
                    </a:xfrm>
                    <a:prstGeom prst="rect">
                      <a:avLst/>
                    </a:prstGeom>
                  </pic:spPr>
                </pic:pic>
              </a:graphicData>
            </a:graphic>
          </wp:anchor>
        </w:drawing>
      </w:r>
      <w:r/>
    </w:p>
    <w:p>
      <w:pPr>
        <w:sectPr>
          <w:headerReference w:type="default" r:id="rId647"/>
          <w:footerReference w:type="default" r:id="rId772"/>
          <w:pgSz w:w="11906" w:h="16839"/>
          <w:pgMar w:top="1766" w:right="1530" w:bottom="1551" w:left="1576" w:header="1428" w:footer="1172" w:gutter="0"/>
          <w:cols w:equalWidth="0" w:num="1">
            <w:col w:w="8800" w:space="0"/>
          </w:cols>
        </w:sectPr>
        <w:rPr/>
      </w:pPr>
    </w:p>
    <w:p>
      <w:pPr>
        <w:pStyle w:val="BodyText"/>
        <w:ind w:left="16" w:right="320"/>
        <w:spacing w:before="47" w:line="351" w:lineRule="auto"/>
        <w:jc w:val="both"/>
        <w:rPr/>
      </w:pPr>
      <w:r>
        <w:rPr>
          <w:spacing w:val="7"/>
        </w:rPr>
        <w:t>力量，建立基层地震抢险救灾队伍，加强日常</w:t>
      </w:r>
      <w:r>
        <w:rPr>
          <w:spacing w:val="7"/>
        </w:rPr>
        <w:t>管理和培训。要发挥共青团和红十字会作用，</w:t>
      </w:r>
      <w:r>
        <w:rPr>
          <w:spacing w:val="7"/>
        </w:rPr>
        <w:t>依托社会团体、企事业单位及社区建立地震应</w:t>
      </w:r>
      <w:r>
        <w:rPr>
          <w:spacing w:val="7"/>
        </w:rPr>
        <w:t>急救援志愿者队伍，形成广泛参与地震应急救</w:t>
      </w:r>
      <w:r>
        <w:rPr>
          <w:spacing w:val="7"/>
        </w:rPr>
        <w:t>援的社会力量。</w:t>
      </w:r>
    </w:p>
    <w:p>
      <w:pPr>
        <w:pStyle w:val="BodyText"/>
        <w:ind w:left="16" w:right="327" w:firstLine="421"/>
        <w:spacing w:before="1" w:line="346" w:lineRule="auto"/>
        <w:jc w:val="both"/>
        <w:rPr/>
      </w:pPr>
      <w:r>
        <w:rPr>
          <w:spacing w:val="6"/>
        </w:rPr>
        <w:t>市县（区）应急管理部门要加强地震应急</w:t>
      </w:r>
      <w:r>
        <w:rPr>
          <w:spacing w:val="7"/>
        </w:rPr>
        <w:t>专家队伍建设，科技部门应当支持地震监测预</w:t>
      </w:r>
      <w:r>
        <w:rPr>
          <w:spacing w:val="9"/>
        </w:rPr>
        <w:t>测、建筑物抗震技术等方面的科学研究。</w:t>
      </w:r>
    </w:p>
    <w:p>
      <w:pPr>
        <w:pStyle w:val="BodyText"/>
        <w:ind w:left="16" w:right="327" w:firstLine="425"/>
        <w:spacing w:before="14" w:line="319" w:lineRule="auto"/>
        <w:rPr/>
      </w:pPr>
      <w:r>
        <w:rPr>
          <w:rFonts w:ascii="Times New Roman" w:hAnsi="Times New Roman" w:eastAsia="Times New Roman" w:cs="Times New Roman"/>
          <w:spacing w:val="5"/>
        </w:rPr>
        <w:t>6.2  </w:t>
      </w:r>
      <w:r>
        <w:rPr>
          <w:rFonts w:ascii="KaiTi" w:hAnsi="KaiTi" w:eastAsia="KaiTi" w:cs="KaiTi"/>
          <w:spacing w:val="5"/>
        </w:rPr>
        <w:t>指挥平台保障。</w:t>
      </w:r>
      <w:r>
        <w:rPr>
          <w:spacing w:val="5"/>
        </w:rPr>
        <w:t>市县（</w:t>
      </w:r>
      <w:r>
        <w:rPr>
          <w:spacing w:val="-36"/>
        </w:rPr>
        <w:t xml:space="preserve"> </w:t>
      </w:r>
      <w:r>
        <w:rPr>
          <w:spacing w:val="5"/>
        </w:rPr>
        <w:t>区）地震工作</w:t>
      </w:r>
      <w:r>
        <w:rPr>
          <w:spacing w:val="7"/>
        </w:rPr>
        <w:t>主管部门要积极创造条件，逐步建立健全地震</w:t>
      </w:r>
      <w:r>
        <w:rPr>
          <w:spacing w:val="7"/>
        </w:rPr>
        <w:t>应急指挥技术系统，保障各级政府在抗震救灾</w:t>
      </w:r>
      <w:r>
        <w:rPr>
          <w:spacing w:val="8"/>
        </w:rPr>
        <w:t>中进行及时准确有效指挥。</w:t>
      </w:r>
    </w:p>
    <w:p>
      <w:pPr>
        <w:pStyle w:val="BodyText"/>
        <w:ind w:left="15" w:right="249" w:firstLine="426"/>
        <w:spacing w:before="137" w:line="332" w:lineRule="auto"/>
        <w:rPr/>
      </w:pPr>
      <w:r>
        <w:rPr>
          <w:rFonts w:ascii="Times New Roman" w:hAnsi="Times New Roman" w:eastAsia="Times New Roman" w:cs="Times New Roman"/>
          <w:spacing w:val="8"/>
        </w:rPr>
        <w:t>6.3  </w:t>
      </w:r>
      <w:r>
        <w:rPr>
          <w:rFonts w:ascii="KaiTi" w:hAnsi="KaiTi" w:eastAsia="KaiTi" w:cs="KaiTi"/>
          <w:spacing w:val="8"/>
        </w:rPr>
        <w:t>物资与资金保障。</w:t>
      </w:r>
      <w:r>
        <w:rPr>
          <w:spacing w:val="8"/>
        </w:rPr>
        <w:t>应急、物资储备部</w:t>
      </w:r>
      <w:r>
        <w:rPr>
          <w:spacing w:val="7"/>
        </w:rPr>
        <w:t>门及各县（区）应当建立健全应急物资储备网</w:t>
      </w:r>
      <w:r>
        <w:rPr>
          <w:spacing w:val="7"/>
        </w:rPr>
        <w:t>络和生产、调拨及紧急配送体系，并通过与有</w:t>
      </w:r>
      <w:r>
        <w:rPr>
          <w:spacing w:val="7"/>
        </w:rPr>
        <w:t>关生产经营企业签订协议等方式，保障应急物</w:t>
      </w:r>
      <w:r>
        <w:rPr>
          <w:spacing w:val="1"/>
        </w:rPr>
        <w:t>资、生活必需品和应急处置装备的生产、供给。</w:t>
      </w:r>
    </w:p>
    <w:p>
      <w:pPr>
        <w:pStyle w:val="BodyText"/>
        <w:ind w:left="16" w:right="317" w:firstLine="421"/>
        <w:spacing w:before="103" w:line="351" w:lineRule="auto"/>
        <w:jc w:val="both"/>
        <w:rPr/>
      </w:pPr>
      <w:r>
        <w:rPr>
          <w:spacing w:val="6"/>
        </w:rPr>
        <w:t>市县（区）政府应当在本级财政预算中安</w:t>
      </w:r>
      <w:r>
        <w:rPr>
          <w:spacing w:val="7"/>
        </w:rPr>
        <w:t>排防震减灾专项资金，负责落实和管理救灾资</w:t>
      </w:r>
      <w:r>
        <w:rPr>
          <w:spacing w:val="7"/>
        </w:rPr>
        <w:t>金。地震灾害发生后，做好市本级救灾资金的</w:t>
      </w:r>
      <w:r>
        <w:rPr>
          <w:spacing w:val="7"/>
        </w:rPr>
        <w:t>预算、安排、拨付工作；向自治区财政申请自</w:t>
      </w:r>
      <w:r>
        <w:rPr>
          <w:spacing w:val="7"/>
        </w:rPr>
        <w:t>然灾害生活补助及灾后重建补助等专项资金；</w:t>
      </w:r>
    </w:p>
    <w:p>
      <w:pPr>
        <w:pStyle w:val="BodyText"/>
        <w:ind w:left="16"/>
        <w:spacing w:before="1" w:line="222" w:lineRule="auto"/>
        <w:rPr/>
      </w:pPr>
      <w:r>
        <w:rPr>
          <w:spacing w:val="9"/>
        </w:rPr>
        <w:t>对救灾资金及物资管理使用情况的监督检查。</w:t>
      </w:r>
    </w:p>
    <w:p>
      <w:pPr>
        <w:pStyle w:val="BodyText"/>
        <w:ind w:left="16" w:right="246" w:firstLine="425"/>
        <w:spacing w:before="136" w:line="350" w:lineRule="auto"/>
        <w:jc w:val="both"/>
        <w:rPr/>
      </w:pPr>
      <w:r>
        <w:rPr>
          <w:rFonts w:ascii="Times New Roman" w:hAnsi="Times New Roman" w:eastAsia="Times New Roman" w:cs="Times New Roman"/>
          <w:spacing w:val="5"/>
        </w:rPr>
        <w:t>6.4  </w:t>
      </w:r>
      <w:r>
        <w:rPr>
          <w:rFonts w:ascii="KaiTi" w:hAnsi="KaiTi" w:eastAsia="KaiTi" w:cs="KaiTi"/>
          <w:spacing w:val="5"/>
        </w:rPr>
        <w:t>避难场所保障。</w:t>
      </w:r>
      <w:r>
        <w:rPr>
          <w:spacing w:val="5"/>
        </w:rPr>
        <w:t>市县（</w:t>
      </w:r>
      <w:r>
        <w:rPr>
          <w:spacing w:val="-36"/>
        </w:rPr>
        <w:t xml:space="preserve"> </w:t>
      </w:r>
      <w:r>
        <w:rPr>
          <w:spacing w:val="5"/>
        </w:rPr>
        <w:t>区）政府及其</w:t>
      </w:r>
      <w:r>
        <w:rPr>
          <w:spacing w:val="7"/>
        </w:rPr>
        <w:t>有关部门，利用广场、绿地、公园、学校、体</w:t>
      </w:r>
      <w:r>
        <w:rPr>
          <w:spacing w:val="7"/>
        </w:rPr>
        <w:t>育场馆等公共设施，因地制宜设立地震应急避</w:t>
      </w:r>
      <w:r>
        <w:rPr>
          <w:spacing w:val="1"/>
        </w:rPr>
        <w:t>难场所，统筹安排所必需的交通、通信、供水、</w:t>
      </w:r>
      <w:r>
        <w:rPr>
          <w:spacing w:val="9"/>
        </w:rPr>
        <w:t>供电、排污、物资储备等设备设施。</w:t>
      </w:r>
    </w:p>
    <w:p>
      <w:pPr>
        <w:pStyle w:val="BodyText"/>
        <w:ind w:left="17" w:right="324" w:firstLine="421"/>
        <w:spacing w:before="8" w:line="326" w:lineRule="auto"/>
        <w:jc w:val="both"/>
        <w:rPr/>
      </w:pPr>
      <w:r>
        <w:rPr>
          <w:spacing w:val="6"/>
        </w:rPr>
        <w:t>学校、医院、影剧院、商场、酒店、体育</w:t>
      </w:r>
      <w:r>
        <w:rPr>
          <w:spacing w:val="18"/>
        </w:rPr>
        <w:t>场馆等人员密集场所应设置地震应急疏散通</w:t>
      </w:r>
      <w:r>
        <w:rPr>
          <w:spacing w:val="7"/>
        </w:rPr>
        <w:t>道，配备必要的救生避险设施，保证通道、出</w:t>
      </w:r>
      <w:r>
        <w:rPr>
          <w:spacing w:val="7"/>
        </w:rPr>
        <w:t>口的畅通。有关单位定期检测、维护报警装置</w:t>
      </w:r>
      <w:r>
        <w:rPr>
          <w:spacing w:val="7"/>
        </w:rPr>
        <w:t>和应急救援设施，使其处于良好状态，确保正</w:t>
      </w:r>
      <w:r>
        <w:rPr>
          <w:spacing w:val="6"/>
        </w:rPr>
        <w:t>常使用。</w:t>
      </w:r>
    </w:p>
    <w:p>
      <w:pPr>
        <w:spacing w:line="14" w:lineRule="auto"/>
        <w:rPr>
          <w:rFonts w:ascii="Arial"/>
          <w:sz w:val="2"/>
        </w:rPr>
      </w:pPr>
      <w:r>
        <w:rPr>
          <w:rFonts w:ascii="Arial" w:hAnsi="Arial" w:eastAsia="Arial" w:cs="Arial"/>
          <w:sz w:val="2"/>
          <w:szCs w:val="2"/>
        </w:rPr>
        <w:br w:type="column"/>
      </w:r>
    </w:p>
    <w:p>
      <w:pPr>
        <w:pStyle w:val="BodyText"/>
        <w:ind w:right="59" w:firstLine="428"/>
        <w:spacing w:before="44" w:line="351" w:lineRule="auto"/>
        <w:jc w:val="both"/>
        <w:rPr/>
      </w:pPr>
      <w:r>
        <w:rPr>
          <w:rFonts w:ascii="Times New Roman" w:hAnsi="Times New Roman" w:eastAsia="Times New Roman" w:cs="Times New Roman"/>
          <w:spacing w:val="8"/>
        </w:rPr>
        <w:t>6.5  </w:t>
      </w:r>
      <w:r>
        <w:rPr>
          <w:rFonts w:ascii="KaiTi" w:hAnsi="KaiTi" w:eastAsia="KaiTi" w:cs="KaiTi"/>
          <w:spacing w:val="8"/>
        </w:rPr>
        <w:t>基础设施保障。</w:t>
      </w:r>
      <w:r>
        <w:rPr>
          <w:spacing w:val="8"/>
        </w:rPr>
        <w:t>市相关通信部门（单</w:t>
      </w:r>
      <w:r>
        <w:rPr>
          <w:spacing w:val="7"/>
        </w:rPr>
        <w:t>位）建立健全应急通信工作体系，建立有线和</w:t>
      </w:r>
      <w:r>
        <w:rPr>
          <w:spacing w:val="7"/>
        </w:rPr>
        <w:t>无线相结合、基础通信网络与机动通信系统相</w:t>
      </w:r>
      <w:r>
        <w:rPr>
          <w:spacing w:val="7"/>
        </w:rPr>
        <w:t>配套的应急通信保障系统，确保地震应急救援</w:t>
      </w:r>
      <w:r>
        <w:rPr>
          <w:spacing w:val="7"/>
        </w:rPr>
        <w:t>指挥工作的通信畅通。在基础通信网络等基础</w:t>
      </w:r>
      <w:r>
        <w:rPr>
          <w:spacing w:val="18"/>
        </w:rPr>
        <w:t>设施遭到严重损毁且短时间难以修复的极端</w:t>
      </w:r>
      <w:r>
        <w:rPr>
          <w:spacing w:val="7"/>
        </w:rPr>
        <w:t>情况下，立即启动应急卫星、短波等无线通信</w:t>
      </w:r>
      <w:r>
        <w:rPr>
          <w:spacing w:val="7"/>
        </w:rPr>
        <w:t>系统和终端设备，确保至少有一种以上临时通</w:t>
      </w:r>
      <w:r>
        <w:rPr>
          <w:spacing w:val="8"/>
        </w:rPr>
        <w:t>信手段畅通。</w:t>
      </w:r>
    </w:p>
    <w:p>
      <w:pPr>
        <w:pStyle w:val="BodyText"/>
        <w:ind w:left="5" w:right="52" w:firstLine="420"/>
        <w:spacing w:line="352" w:lineRule="auto"/>
        <w:jc w:val="both"/>
        <w:rPr/>
      </w:pPr>
      <w:r>
        <w:rPr>
          <w:spacing w:val="19"/>
        </w:rPr>
        <w:t>市文化旅游广播电视局建立完善市级应</w:t>
      </w:r>
      <w:r>
        <w:rPr>
          <w:spacing w:val="7"/>
        </w:rPr>
        <w:t>急广播体系，配合完善广播电视传输覆盖网，</w:t>
      </w:r>
      <w:r>
        <w:rPr>
          <w:spacing w:val="-3"/>
        </w:rPr>
        <w:t>确保灾区群众能及时获取政府发布的权威信息。</w:t>
      </w:r>
    </w:p>
    <w:p>
      <w:pPr>
        <w:pStyle w:val="BodyText"/>
        <w:ind w:left="4" w:right="59" w:firstLine="420"/>
        <w:spacing w:line="349" w:lineRule="auto"/>
        <w:jc w:val="both"/>
        <w:rPr/>
      </w:pPr>
      <w:r>
        <w:rPr>
          <w:spacing w:val="6"/>
        </w:rPr>
        <w:t>市公安局、交通运输局、公路管理中心固</w:t>
      </w:r>
      <w:r>
        <w:rPr>
          <w:spacing w:val="7"/>
        </w:rPr>
        <w:t>原分中心、固原车务段等建立健全紧急运输保</w:t>
      </w:r>
      <w:r>
        <w:rPr>
          <w:spacing w:val="8"/>
        </w:rPr>
        <w:t>障体系，建立应急救援</w:t>
      </w:r>
      <w:r>
        <w:rPr>
          <w:rFonts w:ascii="Times New Roman" w:hAnsi="Times New Roman" w:eastAsia="Times New Roman" w:cs="Times New Roman"/>
          <w:spacing w:val="8"/>
        </w:rPr>
        <w:t>“</w:t>
      </w:r>
      <w:r>
        <w:rPr>
          <w:spacing w:val="8"/>
        </w:rPr>
        <w:t>绿色通道</w:t>
      </w:r>
      <w:r>
        <w:rPr>
          <w:rFonts w:ascii="Times New Roman" w:hAnsi="Times New Roman" w:eastAsia="Times New Roman" w:cs="Times New Roman"/>
          <w:spacing w:val="8"/>
        </w:rPr>
        <w:t>”</w:t>
      </w:r>
      <w:r>
        <w:rPr>
          <w:spacing w:val="8"/>
        </w:rPr>
        <w:t>机制。</w:t>
      </w:r>
    </w:p>
    <w:p>
      <w:pPr>
        <w:pStyle w:val="BodyText"/>
        <w:ind w:left="4" w:right="55" w:firstLine="418"/>
        <w:spacing w:before="1" w:line="335" w:lineRule="auto"/>
        <w:rPr/>
      </w:pPr>
      <w:r>
        <w:rPr>
          <w:spacing w:val="7"/>
        </w:rPr>
        <w:t>其他非政府职能部门（单位）按照职责分</w:t>
      </w:r>
      <w:r>
        <w:rPr>
          <w:spacing w:val="-3"/>
        </w:rPr>
        <w:t>工好指挥部的部署，承担相应的应急救援任务。</w:t>
      </w:r>
    </w:p>
    <w:p>
      <w:pPr>
        <w:ind w:left="427"/>
        <w:spacing w:before="27"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7</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恢复重建</w:t>
      </w:r>
    </w:p>
    <w:p>
      <w:pPr>
        <w:pStyle w:val="BodyText"/>
        <w:ind w:right="36" w:firstLine="427"/>
        <w:spacing w:before="75" w:line="333" w:lineRule="auto"/>
        <w:rPr/>
      </w:pPr>
      <w:r>
        <w:rPr>
          <w:rFonts w:ascii="Times New Roman" w:hAnsi="Times New Roman" w:eastAsia="Times New Roman" w:cs="Times New Roman"/>
          <w:spacing w:val="7"/>
        </w:rPr>
        <w:t>7.</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1  </w:t>
      </w:r>
      <w:r>
        <w:rPr>
          <w:rFonts w:ascii="KaiTi" w:hAnsi="KaiTi" w:eastAsia="KaiTi" w:cs="KaiTi"/>
          <w:spacing w:val="7"/>
        </w:rPr>
        <w:t>善后处置。</w:t>
      </w:r>
      <w:r>
        <w:rPr>
          <w:spacing w:val="7"/>
        </w:rPr>
        <w:t>地震灾害应急处置工</w:t>
      </w:r>
      <w:r>
        <w:rPr>
          <w:spacing w:val="6"/>
        </w:rPr>
        <w:t>作结</w:t>
      </w:r>
      <w:r>
        <w:rPr>
          <w:spacing w:val="7"/>
        </w:rPr>
        <w:t>束后，地震灾害发生地政府及有关单位根据各</w:t>
      </w:r>
      <w:r>
        <w:rPr>
          <w:spacing w:val="8"/>
        </w:rPr>
        <w:t>自职责，开展善后处置工作。包括人员安置、</w:t>
      </w:r>
      <w:r>
        <w:rPr>
          <w:spacing w:val="7"/>
        </w:rPr>
        <w:t>抚恤补偿、保险理赔、征用补偿、救援物资供</w:t>
      </w:r>
      <w:r>
        <w:rPr>
          <w:spacing w:val="7"/>
        </w:rPr>
        <w:t>应、环境污染消除、灾后重建、危险源监控和</w:t>
      </w:r>
      <w:r>
        <w:rPr>
          <w:spacing w:val="7"/>
        </w:rPr>
        <w:t>治理等措施，防止造成次生、衍生危害，尽快</w:t>
      </w:r>
      <w:r>
        <w:rPr>
          <w:spacing w:val="9"/>
        </w:rPr>
        <w:t>恢复正常秩序，确保社会稳定。</w:t>
      </w:r>
    </w:p>
    <w:p>
      <w:pPr>
        <w:ind w:left="427"/>
        <w:spacing w:before="137" w:line="241" w:lineRule="auto"/>
        <w:rPr>
          <w:rFonts w:ascii="KaiTi" w:hAnsi="KaiTi" w:eastAsia="KaiTi" w:cs="KaiTi"/>
          <w:sz w:val="20"/>
          <w:szCs w:val="20"/>
        </w:rPr>
      </w:pPr>
      <w:r>
        <w:rPr>
          <w:rFonts w:ascii="Times New Roman" w:hAnsi="Times New Roman" w:eastAsia="Times New Roman" w:cs="Times New Roman"/>
          <w:sz w:val="20"/>
          <w:szCs w:val="20"/>
          <w:spacing w:val="2"/>
        </w:rPr>
        <w:t>7.2</w:t>
      </w:r>
      <w:r>
        <w:rPr>
          <w:rFonts w:ascii="Times New Roman" w:hAnsi="Times New Roman" w:eastAsia="Times New Roman" w:cs="Times New Roman"/>
          <w:sz w:val="20"/>
          <w:szCs w:val="20"/>
          <w:spacing w:val="15"/>
        </w:rPr>
        <w:t xml:space="preserve">  </w:t>
      </w:r>
      <w:r>
        <w:rPr>
          <w:rFonts w:ascii="KaiTi" w:hAnsi="KaiTi" w:eastAsia="KaiTi" w:cs="KaiTi"/>
          <w:sz w:val="20"/>
          <w:szCs w:val="20"/>
          <w:spacing w:val="2"/>
        </w:rPr>
        <w:t>总结评估。</w:t>
      </w:r>
    </w:p>
    <w:p>
      <w:pPr>
        <w:pStyle w:val="BodyText"/>
        <w:ind w:right="59" w:firstLine="414"/>
        <w:spacing w:before="118" w:line="319" w:lineRule="auto"/>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）特大、重大地震灾害</w:t>
      </w:r>
      <w:r>
        <w:rPr>
          <w:spacing w:val="-59"/>
        </w:rPr>
        <w:t xml:space="preserve"> </w:t>
      </w:r>
      <w:r>
        <w:rPr>
          <w:spacing w:val="5"/>
        </w:rPr>
        <w:t>，由自治区抗</w:t>
      </w:r>
      <w:r>
        <w:rPr>
          <w:spacing w:val="7"/>
        </w:rPr>
        <w:t>震救灾指挥部派出调查组进行调查总结；较大</w:t>
      </w:r>
      <w:r>
        <w:rPr>
          <w:spacing w:val="7"/>
        </w:rPr>
        <w:t>及较大以下地震灾害，由市抗震救灾指挥部报</w:t>
      </w:r>
      <w:r>
        <w:rPr>
          <w:spacing w:val="9"/>
        </w:rPr>
        <w:t>请市政府同意组成调查组进行调查。</w:t>
      </w:r>
    </w:p>
    <w:p>
      <w:pPr>
        <w:pStyle w:val="BodyText"/>
        <w:ind w:left="2" w:right="59" w:firstLine="413"/>
        <w:spacing w:before="140" w:line="314"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5"/>
        </w:rPr>
        <w:t xml:space="preserve"> </w:t>
      </w:r>
      <w:r>
        <w:rPr>
          <w:spacing w:val="8"/>
        </w:rPr>
        <w:t>）地震灾害善后处置工作结束后</w:t>
      </w:r>
      <w:r>
        <w:rPr>
          <w:spacing w:val="-59"/>
        </w:rPr>
        <w:t xml:space="preserve"> </w:t>
      </w:r>
      <w:r>
        <w:rPr>
          <w:spacing w:val="8"/>
        </w:rPr>
        <w:t>，地</w:t>
      </w:r>
      <w:r>
        <w:rPr>
          <w:spacing w:val="7"/>
        </w:rPr>
        <w:t>震灾害发生地政府要总结经验教训，提出改进</w:t>
      </w:r>
      <w:r>
        <w:rPr>
          <w:spacing w:val="15"/>
        </w:rPr>
        <w:t>工作的建议</w:t>
      </w:r>
      <w:r>
        <w:rPr>
          <w:spacing w:val="-39"/>
        </w:rPr>
        <w:t xml:space="preserve"> </w:t>
      </w:r>
      <w:r>
        <w:rPr>
          <w:spacing w:val="15"/>
        </w:rPr>
        <w:t>，形成处置地震灾害专项工作报</w:t>
      </w:r>
      <w:r>
        <w:rPr>
          <w:spacing w:val="9"/>
        </w:rPr>
        <w:t>告，报市抗震救灾指挥部办公室。</w:t>
      </w:r>
    </w:p>
    <w:p>
      <w:pPr>
        <w:spacing w:line="314" w:lineRule="auto"/>
        <w:sectPr>
          <w:type w:val="continuous"/>
          <w:pgSz w:w="11906" w:h="16839"/>
          <w:pgMar w:top="1766" w:right="1530" w:bottom="1551" w:left="1576" w:header="1428" w:footer="1172" w:gutter="0"/>
          <w:cols w:equalWidth="0" w:num="2">
            <w:col w:w="4490" w:space="100"/>
            <w:col w:w="4210" w:space="0"/>
          </w:cols>
        </w:sectPr>
        <w:rPr/>
      </w:pPr>
    </w:p>
    <w:p>
      <w:pPr>
        <w:spacing w:line="236" w:lineRule="exact"/>
        <w:rPr/>
      </w:pPr>
      <w:r>
        <w:drawing>
          <wp:anchor distT="0" distB="0" distL="0" distR="0" simplePos="0" relativeHeight="252505088" behindDoc="0" locked="0" layoutInCell="0" allowOverlap="1">
            <wp:simplePos x="0" y="0"/>
            <wp:positionH relativeFrom="page">
              <wp:posOffset>1008380</wp:posOffset>
            </wp:positionH>
            <wp:positionV relativeFrom="page">
              <wp:posOffset>1186180</wp:posOffset>
            </wp:positionV>
            <wp:extent cx="5579745" cy="7619"/>
            <wp:effectExtent l="0" t="0" r="0" b="0"/>
            <wp:wrapNone/>
            <wp:docPr id="1546" name="IM 1546"/>
            <wp:cNvGraphicFramePr/>
            <a:graphic>
              <a:graphicData uri="http://schemas.openxmlformats.org/drawingml/2006/picture">
                <pic:pic>
                  <pic:nvPicPr>
                    <pic:cNvPr id="1546" name="IM 1546"/>
                    <pic:cNvPicPr/>
                  </pic:nvPicPr>
                  <pic:blipFill>
                    <a:blip r:embed="rId775"/>
                    <a:stretch>
                      <a:fillRect/>
                    </a:stretch>
                  </pic:blipFill>
                  <pic:spPr>
                    <a:xfrm rot="0">
                      <a:off x="0" y="0"/>
                      <a:ext cx="5579745" cy="7619"/>
                    </a:xfrm>
                    <a:prstGeom prst="rect">
                      <a:avLst/>
                    </a:prstGeom>
                  </pic:spPr>
                </pic:pic>
              </a:graphicData>
            </a:graphic>
          </wp:anchor>
        </w:drawing>
      </w:r>
      <w:r/>
    </w:p>
    <w:p>
      <w:pPr>
        <w:spacing w:line="236" w:lineRule="exact"/>
        <w:sectPr>
          <w:headerReference w:type="default" r:id="rId728"/>
          <w:footerReference w:type="default" r:id="rId774"/>
          <w:pgSz w:w="11906" w:h="16839"/>
          <w:pgMar w:top="1828" w:right="1489" w:bottom="1556" w:left="1567" w:header="1428" w:footer="1172" w:gutter="0"/>
          <w:cols w:equalWidth="0" w:num="1">
            <w:col w:w="8850" w:space="0"/>
          </w:cols>
        </w:sectPr>
        <w:rPr/>
      </w:pPr>
    </w:p>
    <w:p>
      <w:pPr>
        <w:pStyle w:val="BodyText"/>
        <w:ind w:left="24" w:right="329" w:firstLine="413"/>
        <w:spacing w:before="50" w:line="354" w:lineRule="auto"/>
        <w:jc w:val="both"/>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）市抗震救灾指挥部办公室要根据地</w:t>
      </w:r>
      <w:r>
        <w:rPr>
          <w:spacing w:val="18"/>
        </w:rPr>
        <w:t>震灾害发生地政府提交的处置地震灾害专项</w:t>
      </w:r>
      <w:r>
        <w:rPr>
          <w:spacing w:val="7"/>
        </w:rPr>
        <w:t>工作报告，组织分析、研究，提出改进工作的</w:t>
      </w:r>
      <w:r>
        <w:rPr>
          <w:spacing w:val="7"/>
        </w:rPr>
        <w:t>意见，形成工作专报报市政府，并抄送各成员</w:t>
      </w:r>
      <w:r>
        <w:rPr>
          <w:spacing w:val="5"/>
        </w:rPr>
        <w:t>单位。</w:t>
      </w:r>
    </w:p>
    <w:p>
      <w:pPr>
        <w:pStyle w:val="BodyText"/>
        <w:ind w:left="25" w:right="329" w:firstLine="424"/>
        <w:spacing w:before="6" w:line="352" w:lineRule="auto"/>
        <w:jc w:val="both"/>
        <w:rPr/>
      </w:pPr>
      <w:r>
        <w:rPr>
          <w:rFonts w:ascii="Times New Roman" w:hAnsi="Times New Roman" w:eastAsia="Times New Roman" w:cs="Times New Roman"/>
          <w:spacing w:val="8"/>
        </w:rPr>
        <w:t>7.3  </w:t>
      </w:r>
      <w:r>
        <w:rPr>
          <w:rFonts w:ascii="KaiTi" w:hAnsi="KaiTi" w:eastAsia="KaiTi" w:cs="KaiTi"/>
          <w:spacing w:val="8"/>
        </w:rPr>
        <w:t>恢复重建规划与实施。</w:t>
      </w:r>
      <w:r>
        <w:rPr>
          <w:spacing w:val="8"/>
        </w:rPr>
        <w:t>地震灾害发生</w:t>
      </w:r>
      <w:r>
        <w:rPr>
          <w:spacing w:val="7"/>
        </w:rPr>
        <w:t>后，市政府依据地震灾害损失评估结果，组织</w:t>
      </w:r>
      <w:r>
        <w:rPr>
          <w:spacing w:val="18"/>
        </w:rPr>
        <w:t>市发展和改革委员会等有关部门和地震发生</w:t>
      </w:r>
      <w:r>
        <w:rPr>
          <w:spacing w:val="7"/>
        </w:rPr>
        <w:t>地县（区）政府在充分征求意见和分析论证的</w:t>
      </w:r>
      <w:r>
        <w:rPr>
          <w:spacing w:val="7"/>
        </w:rPr>
        <w:t>基础上，共同编制地震灾后恢复重建规划报自</w:t>
      </w:r>
      <w:r>
        <w:rPr>
          <w:spacing w:val="7"/>
        </w:rPr>
        <w:t>治区有关部门。</w:t>
      </w:r>
    </w:p>
    <w:p>
      <w:pPr>
        <w:pStyle w:val="BodyText"/>
        <w:ind w:left="22" w:right="277" w:firstLine="424"/>
        <w:spacing w:before="6" w:line="354" w:lineRule="auto"/>
        <w:jc w:val="both"/>
        <w:rPr/>
      </w:pPr>
      <w:r>
        <w:rPr>
          <w:spacing w:val="7"/>
        </w:rPr>
        <w:t>市发展和改革委员会、财政局、县（</w:t>
      </w:r>
      <w:r>
        <w:rPr>
          <w:spacing w:val="-51"/>
        </w:rPr>
        <w:t xml:space="preserve"> </w:t>
      </w:r>
      <w:r>
        <w:rPr>
          <w:spacing w:val="7"/>
        </w:rPr>
        <w:t>区）</w:t>
      </w:r>
      <w:r>
        <w:rPr>
          <w:spacing w:val="18"/>
        </w:rPr>
        <w:t>政府应当根据灾后恢复重建规划积极争取国</w:t>
      </w:r>
      <w:r>
        <w:rPr>
          <w:spacing w:val="7"/>
        </w:rPr>
        <w:t>务院和自治区政府的资金支持，有计划、分步</w:t>
      </w:r>
      <w:r>
        <w:rPr>
          <w:spacing w:val="7"/>
        </w:rPr>
        <w:t>骤地组织实施本行政区域灾后恢复重建；市住</w:t>
      </w:r>
      <w:r>
        <w:rPr>
          <w:spacing w:val="7"/>
        </w:rPr>
        <w:t>建、自然资源等部门做好重建城乡规划和工程</w:t>
      </w:r>
      <w:r>
        <w:rPr>
          <w:spacing w:val="10"/>
        </w:rPr>
        <w:t>设计建设管理的指导、协调和监督工作；市、</w:t>
      </w:r>
      <w:r>
        <w:rPr>
          <w:spacing w:val="4"/>
        </w:rPr>
        <w:t>县（</w:t>
      </w:r>
      <w:r>
        <w:rPr>
          <w:spacing w:val="-33"/>
        </w:rPr>
        <w:t xml:space="preserve"> </w:t>
      </w:r>
      <w:r>
        <w:rPr>
          <w:spacing w:val="4"/>
        </w:rPr>
        <w:t>区）政府及其有关部门在办理地震灾后恢</w:t>
      </w:r>
      <w:r>
        <w:rPr>
          <w:spacing w:val="7"/>
        </w:rPr>
        <w:t>复重建项目的规划、用地、建设施工等行政审</w:t>
      </w:r>
      <w:r>
        <w:rPr>
          <w:spacing w:val="7"/>
        </w:rPr>
        <w:t>批事项时，应当简化手续，依法及时予以办理</w:t>
      </w:r>
      <w:r>
        <w:rPr>
          <w:spacing w:val="7"/>
        </w:rPr>
        <w:t>和服务。</w:t>
      </w:r>
    </w:p>
    <w:p>
      <w:pPr>
        <w:ind w:left="449"/>
        <w:spacing w:before="1"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8</w:t>
      </w:r>
      <w:r>
        <w:rPr>
          <w:rFonts w:ascii="Microsoft YaHei" w:hAnsi="Microsoft YaHei" w:eastAsia="Microsoft YaHei" w:cs="Microsoft YaHei"/>
          <w:sz w:val="20"/>
          <w:szCs w:val="20"/>
          <w:spacing w:val="3"/>
        </w:rPr>
        <w:t xml:space="preserve">    </w:t>
      </w:r>
      <w:r>
        <w:rPr>
          <w:rFonts w:ascii="Microsoft YaHei" w:hAnsi="Microsoft YaHei" w:eastAsia="Microsoft YaHei" w:cs="Microsoft YaHei"/>
          <w:sz w:val="20"/>
          <w:szCs w:val="20"/>
          <w:spacing w:val="-3"/>
        </w:rPr>
        <w:t>日常管理</w:t>
      </w:r>
    </w:p>
    <w:p>
      <w:pPr>
        <w:pStyle w:val="BodyText"/>
        <w:ind w:left="25" w:right="329" w:firstLine="429"/>
        <w:spacing w:before="80" w:line="336" w:lineRule="auto"/>
        <w:rPr/>
      </w:pPr>
      <w:r>
        <w:rPr>
          <w:rFonts w:ascii="Times New Roman" w:hAnsi="Times New Roman" w:eastAsia="Times New Roman" w:cs="Times New Roman"/>
          <w:spacing w:val="5"/>
        </w:rPr>
        <w:t>8.</w:t>
      </w:r>
      <w:r>
        <w:rPr>
          <w:rFonts w:ascii="Times New Roman" w:hAnsi="Times New Roman" w:eastAsia="Times New Roman" w:cs="Times New Roman"/>
          <w:spacing w:val="-11"/>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5"/>
          <w:w w:val="101"/>
        </w:rPr>
        <w:t xml:space="preserve">  </w:t>
      </w:r>
      <w:r>
        <w:rPr>
          <w:rFonts w:ascii="KaiTi" w:hAnsi="KaiTi" w:eastAsia="KaiTi" w:cs="KaiTi"/>
          <w:spacing w:val="5"/>
        </w:rPr>
        <w:t>宣教培训。</w:t>
      </w:r>
      <w:r>
        <w:rPr>
          <w:spacing w:val="5"/>
        </w:rPr>
        <w:t>市抗震救灾指挥部成员单</w:t>
      </w:r>
      <w:r>
        <w:rPr>
          <w:spacing w:val="4"/>
        </w:rPr>
        <w:t>位、各县（</w:t>
      </w:r>
      <w:r>
        <w:rPr>
          <w:spacing w:val="-35"/>
        </w:rPr>
        <w:t xml:space="preserve"> </w:t>
      </w:r>
      <w:r>
        <w:rPr>
          <w:spacing w:val="4"/>
        </w:rPr>
        <w:t>区）政府要建立健全地震应急管理</w:t>
      </w:r>
      <w:r>
        <w:rPr>
          <w:spacing w:val="7"/>
        </w:rPr>
        <w:t>培训制度，充分利用广播、电视、互联网、报</w:t>
      </w:r>
      <w:r>
        <w:rPr>
          <w:spacing w:val="7"/>
        </w:rPr>
        <w:t>纸等各种媒体，加大对地震应急管理工作的宣</w:t>
      </w:r>
      <w:r>
        <w:rPr>
          <w:spacing w:val="7"/>
        </w:rPr>
        <w:t>传培训力度，做好地震灾害防范知识的宣传教</w:t>
      </w:r>
      <w:r>
        <w:rPr>
          <w:spacing w:val="7"/>
        </w:rPr>
        <w:t>育工作，不断提高公众的安全意识和自救互救</w:t>
      </w:r>
      <w:r>
        <w:rPr>
          <w:spacing w:val="7"/>
        </w:rPr>
        <w:t>能力。每年宣传教育活动不少于</w:t>
      </w:r>
      <w:r>
        <w:rPr>
          <w:spacing w:val="-23"/>
        </w:rPr>
        <w:t xml:space="preserve"> </w:t>
      </w:r>
      <w:r>
        <w:rPr>
          <w:rFonts w:ascii="Times New Roman" w:hAnsi="Times New Roman" w:eastAsia="Times New Roman" w:cs="Times New Roman"/>
          <w:spacing w:val="7"/>
        </w:rPr>
        <w:t>1 </w:t>
      </w:r>
      <w:r>
        <w:rPr>
          <w:spacing w:val="7"/>
        </w:rPr>
        <w:t>次。</w:t>
      </w:r>
    </w:p>
    <w:p>
      <w:pPr>
        <w:pStyle w:val="BodyText"/>
        <w:ind w:left="30" w:right="329" w:firstLine="423"/>
        <w:spacing w:before="142" w:line="310" w:lineRule="auto"/>
        <w:rPr/>
      </w:pPr>
      <w:r>
        <w:rPr>
          <w:rFonts w:ascii="Times New Roman" w:hAnsi="Times New Roman" w:eastAsia="Times New Roman" w:cs="Times New Roman"/>
          <w:spacing w:val="7"/>
        </w:rPr>
        <w:t>8.2  </w:t>
      </w:r>
      <w:r>
        <w:rPr>
          <w:rFonts w:ascii="KaiTi" w:hAnsi="KaiTi" w:eastAsia="KaiTi" w:cs="KaiTi"/>
          <w:spacing w:val="7"/>
        </w:rPr>
        <w:t>预案演练。</w:t>
      </w:r>
      <w:r>
        <w:rPr>
          <w:spacing w:val="7"/>
        </w:rPr>
        <w:t>市抗震救灾指挥部办公室</w:t>
      </w:r>
      <w:r>
        <w:rPr>
          <w:spacing w:val="7"/>
        </w:rPr>
        <w:t>负责定期组织开展本预案应急演练，每年不少</w:t>
      </w:r>
      <w:r>
        <w:rPr>
          <w:spacing w:val="-5"/>
        </w:rPr>
        <w:t>于</w:t>
      </w:r>
      <w:r>
        <w:rPr>
          <w:spacing w:val="-22"/>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1"/>
        </w:rPr>
        <w:t xml:space="preserve"> </w:t>
      </w:r>
      <w:r>
        <w:rPr>
          <w:spacing w:val="-5"/>
        </w:rPr>
        <w:t>次。</w:t>
      </w:r>
    </w:p>
    <w:p>
      <w:pPr>
        <w:pStyle w:val="BodyText"/>
        <w:ind w:left="26" w:right="329" w:firstLine="427"/>
        <w:spacing w:before="142" w:line="273" w:lineRule="auto"/>
        <w:rPr/>
      </w:pPr>
      <w:r>
        <w:rPr>
          <w:rFonts w:ascii="Times New Roman" w:hAnsi="Times New Roman" w:eastAsia="Times New Roman" w:cs="Times New Roman"/>
          <w:spacing w:val="7"/>
        </w:rPr>
        <w:t>8.3  </w:t>
      </w:r>
      <w:r>
        <w:rPr>
          <w:rFonts w:ascii="KaiTi" w:hAnsi="KaiTi" w:eastAsia="KaiTi" w:cs="KaiTi"/>
          <w:spacing w:val="7"/>
        </w:rPr>
        <w:t>预案管理与更新。</w:t>
      </w:r>
      <w:r>
        <w:rPr>
          <w:spacing w:val="7"/>
        </w:rPr>
        <w:t>本预案由市抗震救</w:t>
      </w:r>
      <w:r>
        <w:rPr>
          <w:spacing w:val="7"/>
        </w:rPr>
        <w:t>灾指挥部办公室会同有关部门制订，报市政府</w:t>
      </w:r>
    </w:p>
    <w:p>
      <w:pPr>
        <w:spacing w:line="14" w:lineRule="auto"/>
        <w:rPr>
          <w:rFonts w:ascii="Arial"/>
          <w:sz w:val="2"/>
        </w:rPr>
      </w:pPr>
      <w:r>
        <w:rPr>
          <w:rFonts w:ascii="Arial" w:hAnsi="Arial" w:eastAsia="Arial" w:cs="Arial"/>
          <w:sz w:val="2"/>
          <w:szCs w:val="2"/>
        </w:rPr>
        <w:br w:type="column"/>
      </w:r>
    </w:p>
    <w:p>
      <w:pPr>
        <w:pStyle w:val="BodyText"/>
        <w:ind w:left="1" w:right="101" w:hanging="1"/>
        <w:spacing w:before="51" w:line="353" w:lineRule="auto"/>
        <w:jc w:val="both"/>
        <w:rPr/>
      </w:pPr>
      <w:r>
        <w:rPr>
          <w:spacing w:val="7"/>
        </w:rPr>
        <w:t>批准后实施，并根据实际情况，适时组织修订</w:t>
      </w:r>
      <w:r>
        <w:rPr>
          <w:spacing w:val="7"/>
        </w:rPr>
        <w:t>完善本预案。预案批准后，市抗震救灾指挥部</w:t>
      </w:r>
      <w:r>
        <w:rPr>
          <w:spacing w:val="-12"/>
        </w:rPr>
        <w:t>办公室会同有关部门组织预案宣传、培训和演练。</w:t>
      </w:r>
    </w:p>
    <w:p>
      <w:pPr>
        <w:pStyle w:val="BodyText"/>
        <w:ind w:right="78" w:firstLine="420"/>
        <w:spacing w:before="4" w:line="349" w:lineRule="auto"/>
        <w:jc w:val="both"/>
        <w:rPr/>
      </w:pPr>
      <w:r>
        <w:rPr>
          <w:spacing w:val="6"/>
        </w:rPr>
        <w:t>各县（区）政府根据本预案要求及时修订</w:t>
      </w:r>
      <w:r>
        <w:rPr>
          <w:spacing w:val="6"/>
        </w:rPr>
        <w:t>本县（</w:t>
      </w:r>
      <w:r>
        <w:rPr>
          <w:spacing w:val="-52"/>
        </w:rPr>
        <w:t xml:space="preserve"> </w:t>
      </w:r>
      <w:r>
        <w:rPr>
          <w:spacing w:val="6"/>
        </w:rPr>
        <w:t>区）地震应急预案，报市应急管理局、</w:t>
      </w:r>
      <w:r>
        <w:rPr>
          <w:spacing w:val="4"/>
        </w:rPr>
        <w:t>地震局备案。市县（</w:t>
      </w:r>
      <w:r>
        <w:rPr>
          <w:spacing w:val="-35"/>
        </w:rPr>
        <w:t xml:space="preserve"> </w:t>
      </w:r>
      <w:r>
        <w:rPr>
          <w:spacing w:val="4"/>
        </w:rPr>
        <w:t>区）有关部门、单位和学</w:t>
      </w:r>
      <w:r>
        <w:rPr>
          <w:spacing w:val="7"/>
        </w:rPr>
        <w:t>校、医院，以及可能发生次生灾害的矿山、危</w:t>
      </w:r>
      <w:r>
        <w:rPr>
          <w:spacing w:val="18"/>
        </w:rPr>
        <w:t>险物品等生产经营单位也要尽快修订地震应</w:t>
      </w:r>
      <w:r>
        <w:rPr>
          <w:spacing w:val="9"/>
        </w:rPr>
        <w:t>急预案，报同级应急管理局、地震局备案。</w:t>
      </w:r>
    </w:p>
    <w:p>
      <w:pPr>
        <w:pStyle w:val="BodyText"/>
        <w:ind w:right="101" w:firstLine="420"/>
        <w:spacing w:before="29" w:line="354" w:lineRule="auto"/>
        <w:jc w:val="both"/>
        <w:rPr/>
      </w:pPr>
      <w:r>
        <w:rPr>
          <w:spacing w:val="7"/>
        </w:rPr>
        <w:t>鼓励村（居）民委员会、社区就抢救压埋</w:t>
      </w:r>
      <w:r>
        <w:rPr>
          <w:spacing w:val="7"/>
        </w:rPr>
        <w:t>人员、紧急医疗救护、临时安置受灾群众、报</w:t>
      </w:r>
      <w:r>
        <w:rPr>
          <w:spacing w:val="7"/>
        </w:rPr>
        <w:t>送灾情信息等制定地震应急处置方案，报乡镇</w:t>
      </w:r>
      <w:r>
        <w:rPr>
          <w:spacing w:val="6"/>
        </w:rPr>
        <w:t>政府备案。</w:t>
      </w:r>
    </w:p>
    <w:p>
      <w:pPr>
        <w:pStyle w:val="BodyText"/>
        <w:ind w:right="101" w:firstLine="430"/>
        <w:spacing w:before="11" w:line="343" w:lineRule="auto"/>
        <w:rPr/>
      </w:pPr>
      <w:r>
        <w:rPr>
          <w:rFonts w:ascii="Times New Roman" w:hAnsi="Times New Roman" w:eastAsia="Times New Roman" w:cs="Times New Roman"/>
          <w:spacing w:val="8"/>
        </w:rPr>
        <w:t>8.4  </w:t>
      </w:r>
      <w:r>
        <w:rPr>
          <w:rFonts w:ascii="KaiTi" w:hAnsi="KaiTi" w:eastAsia="KaiTi" w:cs="KaiTi"/>
          <w:spacing w:val="8"/>
        </w:rPr>
        <w:t>地震应急工作检查。</w:t>
      </w:r>
      <w:r>
        <w:rPr>
          <w:spacing w:val="8"/>
        </w:rPr>
        <w:t>根据工作需</w:t>
      </w:r>
      <w:r>
        <w:rPr>
          <w:spacing w:val="7"/>
        </w:rPr>
        <w:t>要，</w:t>
      </w:r>
      <w:r>
        <w:rPr>
          <w:spacing w:val="7"/>
        </w:rPr>
        <w:t>经市抗震救灾指挥部批准，市抗震救灾指挥部</w:t>
      </w:r>
      <w:r>
        <w:rPr>
          <w:spacing w:val="7"/>
        </w:rPr>
        <w:t>办公室会同有关部门，共同做好全市地震应急</w:t>
      </w:r>
      <w:r>
        <w:rPr>
          <w:spacing w:val="7"/>
        </w:rPr>
        <w:t>工作检查。要对本级政府相关部门，下级政府</w:t>
      </w:r>
      <w:r>
        <w:rPr>
          <w:spacing w:val="7"/>
        </w:rPr>
        <w:t>及其有关部门、单位、重要基础设施和人员密</w:t>
      </w:r>
      <w:r>
        <w:rPr>
          <w:spacing w:val="7"/>
        </w:rPr>
        <w:t>集场所的经营管理单位，以及可能发生次生灾</w:t>
      </w:r>
      <w:r>
        <w:rPr>
          <w:spacing w:val="18"/>
        </w:rPr>
        <w:t>害的生产经营单位和基层组织等地震应急救</w:t>
      </w:r>
      <w:r>
        <w:rPr>
          <w:spacing w:val="7"/>
        </w:rPr>
        <w:t>援预案体系、组织体系、工作机制、社会动员</w:t>
      </w:r>
      <w:r>
        <w:rPr>
          <w:spacing w:val="7"/>
        </w:rPr>
        <w:t>机制、技术体系、队伍、物资装备、基础设施</w:t>
      </w:r>
      <w:r>
        <w:rPr>
          <w:spacing w:val="7"/>
        </w:rPr>
        <w:t>等方面的建设情况，地震应急救援法制及标准</w:t>
      </w:r>
      <w:r>
        <w:rPr>
          <w:spacing w:val="18"/>
        </w:rPr>
        <w:t>的贯彻执行情况和科普宣传教育情况等地震</w:t>
      </w:r>
      <w:r>
        <w:rPr>
          <w:spacing w:val="8"/>
        </w:rPr>
        <w:t>应急工作进行检查。</w:t>
      </w:r>
    </w:p>
    <w:p>
      <w:pPr>
        <w:pStyle w:val="BodyText"/>
        <w:ind w:right="94" w:firstLine="429"/>
        <w:spacing w:before="143" w:line="328" w:lineRule="auto"/>
        <w:rPr/>
      </w:pPr>
      <w:r>
        <w:rPr>
          <w:rFonts w:ascii="Times New Roman" w:hAnsi="Times New Roman" w:eastAsia="Times New Roman" w:cs="Times New Roman"/>
          <w:spacing w:val="7"/>
        </w:rPr>
        <w:t>8.5  </w:t>
      </w:r>
      <w:r>
        <w:rPr>
          <w:rFonts w:ascii="KaiTi" w:hAnsi="KaiTi" w:eastAsia="KaiTi" w:cs="KaiTi"/>
          <w:spacing w:val="7"/>
        </w:rPr>
        <w:t>责任与奖励。</w:t>
      </w:r>
      <w:r>
        <w:rPr>
          <w:spacing w:val="7"/>
        </w:rPr>
        <w:t>对在抗震救灾工作中做</w:t>
      </w:r>
      <w:r>
        <w:rPr>
          <w:spacing w:val="7"/>
        </w:rPr>
        <w:t>出突出贡献的先进集体和个人，按照国家有关</w:t>
      </w:r>
      <w:r>
        <w:rPr>
          <w:spacing w:val="7"/>
        </w:rPr>
        <w:t>规定给予表彰和奖励；对在抗震救灾工作中玩</w:t>
      </w:r>
      <w:r>
        <w:rPr>
          <w:spacing w:val="7"/>
        </w:rPr>
        <w:t>忽职守造成损失的，严重虚报、瞒报灾情的，</w:t>
      </w:r>
      <w:r>
        <w:rPr>
          <w:spacing w:val="8"/>
        </w:rPr>
        <w:t>应依法追究责任。</w:t>
      </w:r>
    </w:p>
    <w:p>
      <w:pPr>
        <w:ind w:left="426"/>
        <w:spacing w:before="134"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9    附则</w:t>
      </w:r>
    </w:p>
    <w:p>
      <w:pPr>
        <w:pStyle w:val="BodyText"/>
        <w:ind w:left="1" w:right="101" w:firstLine="441"/>
        <w:spacing w:before="82" w:line="344" w:lineRule="auto"/>
        <w:rPr/>
      </w:pPr>
      <w:r>
        <w:rPr>
          <w:rFonts w:ascii="KaiTi" w:hAnsi="KaiTi" w:eastAsia="KaiTi" w:cs="KaiTi"/>
          <w:spacing w:val="5"/>
        </w:rPr>
        <w:t>以上、以下的含义。</w:t>
      </w:r>
      <w:r>
        <w:rPr>
          <w:spacing w:val="5"/>
        </w:rPr>
        <w:t>本预案有关数量的表</w:t>
      </w:r>
      <w:r>
        <w:rPr>
          <w:spacing w:val="5"/>
        </w:rPr>
        <w:t>述中，</w:t>
      </w:r>
      <w:r>
        <w:rPr>
          <w:rFonts w:ascii="Times New Roman" w:hAnsi="Times New Roman" w:eastAsia="Times New Roman" w:cs="Times New Roman"/>
          <w:spacing w:val="5"/>
        </w:rPr>
        <w:t>“</w:t>
      </w:r>
      <w:r>
        <w:rPr>
          <w:rFonts w:ascii="Times New Roman" w:hAnsi="Times New Roman" w:eastAsia="Times New Roman" w:cs="Times New Roman"/>
          <w:spacing w:val="-12"/>
        </w:rPr>
        <w:t xml:space="preserve"> </w:t>
      </w:r>
      <w:r>
        <w:rPr>
          <w:spacing w:val="5"/>
        </w:rPr>
        <w:t>以上</w:t>
      </w:r>
      <w:r>
        <w:rPr>
          <w:rFonts w:ascii="Times New Roman" w:hAnsi="Times New Roman" w:eastAsia="Times New Roman" w:cs="Times New Roman"/>
          <w:spacing w:val="5"/>
        </w:rPr>
        <w:t>”</w:t>
      </w:r>
      <w:r>
        <w:rPr>
          <w:spacing w:val="5"/>
        </w:rPr>
        <w:t>含本数，</w:t>
      </w:r>
      <w:r>
        <w:rPr>
          <w:rFonts w:ascii="Times New Roman" w:hAnsi="Times New Roman" w:eastAsia="Times New Roman" w:cs="Times New Roman"/>
          <w:spacing w:val="5"/>
        </w:rPr>
        <w:t>“</w:t>
      </w:r>
      <w:r>
        <w:rPr>
          <w:rFonts w:ascii="Times New Roman" w:hAnsi="Times New Roman" w:eastAsia="Times New Roman" w:cs="Times New Roman"/>
          <w:spacing w:val="-30"/>
        </w:rPr>
        <w:t xml:space="preserve"> </w:t>
      </w:r>
      <w:r>
        <w:rPr>
          <w:spacing w:val="5"/>
        </w:rPr>
        <w:t>以下</w:t>
      </w:r>
      <w:r>
        <w:rPr>
          <w:rFonts w:ascii="Times New Roman" w:hAnsi="Times New Roman" w:eastAsia="Times New Roman" w:cs="Times New Roman"/>
          <w:spacing w:val="5"/>
        </w:rPr>
        <w:t>”</w:t>
      </w:r>
      <w:r>
        <w:rPr>
          <w:spacing w:val="5"/>
        </w:rPr>
        <w:t>不含本数。</w:t>
      </w:r>
    </w:p>
    <w:p>
      <w:pPr>
        <w:spacing w:line="344" w:lineRule="auto"/>
        <w:sectPr>
          <w:type w:val="continuous"/>
          <w:pgSz w:w="11906" w:h="16839"/>
          <w:pgMar w:top="1828" w:right="1489" w:bottom="1556" w:left="1567" w:header="1428" w:footer="1172" w:gutter="0"/>
          <w:cols w:equalWidth="0" w:num="2">
            <w:col w:w="4502" w:space="100"/>
            <w:col w:w="4249" w:space="0"/>
          </w:cols>
        </w:sectPr>
        <w:rPr/>
      </w:pPr>
    </w:p>
    <w:p>
      <w:pPr>
        <w:ind w:left="1546"/>
        <w:spacing w:before="300" w:line="186" w:lineRule="auto"/>
        <w:rPr>
          <w:rFonts w:ascii="Microsoft YaHei" w:hAnsi="Microsoft YaHei" w:eastAsia="Microsoft YaHei" w:cs="Microsoft YaHei"/>
          <w:sz w:val="43"/>
          <w:szCs w:val="43"/>
        </w:rPr>
      </w:pPr>
      <w:r>
        <w:drawing>
          <wp:anchor distT="0" distB="0" distL="0" distR="0" simplePos="0" relativeHeight="252516352" behindDoc="0" locked="0" layoutInCell="1" allowOverlap="1">
            <wp:simplePos x="0" y="0"/>
            <wp:positionH relativeFrom="column">
              <wp:posOffset>7619</wp:posOffset>
            </wp:positionH>
            <wp:positionV relativeFrom="paragraph">
              <wp:posOffset>25272</wp:posOffset>
            </wp:positionV>
            <wp:extent cx="5579745" cy="7620"/>
            <wp:effectExtent l="0" t="0" r="0" b="0"/>
            <wp:wrapNone/>
            <wp:docPr id="1550" name="IM 1550"/>
            <wp:cNvGraphicFramePr/>
            <a:graphic>
              <a:graphicData uri="http://schemas.openxmlformats.org/drawingml/2006/picture">
                <pic:pic>
                  <pic:nvPicPr>
                    <pic:cNvPr id="1550" name="IM 1550"/>
                    <pic:cNvPicPr/>
                  </pic:nvPicPr>
                  <pic:blipFill>
                    <a:blip r:embed="rId777"/>
                    <a:stretch>
                      <a:fillRect/>
                    </a:stretch>
                  </pic:blipFill>
                  <pic:spPr>
                    <a:xfrm rot="0">
                      <a:off x="0" y="0"/>
                      <a:ext cx="5579745" cy="7620"/>
                    </a:xfrm>
                    <a:prstGeom prst="rect">
                      <a:avLst/>
                    </a:prstGeom>
                  </pic:spPr>
                </pic:pic>
              </a:graphicData>
            </a:graphic>
          </wp:anchor>
        </w:drawing>
      </w:r>
      <w:r>
        <w:rPr>
          <w:rFonts w:ascii="Microsoft YaHei" w:hAnsi="Microsoft YaHei" w:eastAsia="Microsoft YaHei" w:cs="Microsoft YaHei"/>
          <w:sz w:val="43"/>
          <w:szCs w:val="43"/>
          <w:spacing w:val="7"/>
        </w:rPr>
        <w:t>固原市森林草原火灾应急预案</w:t>
      </w:r>
    </w:p>
    <w:p>
      <w:pPr>
        <w:spacing w:before="163"/>
        <w:rPr/>
      </w:pPr>
      <w:r/>
    </w:p>
    <w:p>
      <w:pPr>
        <w:sectPr>
          <w:headerReference w:type="default" r:id="rId750"/>
          <w:footerReference w:type="default" r:id="rId776"/>
          <w:pgSz w:w="11906" w:h="16839"/>
          <w:pgMar w:top="1766" w:right="1507" w:bottom="1551" w:left="1576" w:header="1428" w:footer="1172" w:gutter="0"/>
          <w:cols w:equalWidth="0" w:num="1">
            <w:col w:w="8823" w:space="0"/>
          </w:cols>
        </w:sectPr>
        <w:rPr/>
      </w:pPr>
    </w:p>
    <w:p>
      <w:pPr>
        <w:ind w:left="453"/>
        <w:spacing w:before="48"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1</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7"/>
        </w:rPr>
        <w:t>总则</w:t>
      </w:r>
    </w:p>
    <w:p>
      <w:pPr>
        <w:pStyle w:val="BodyText"/>
        <w:ind w:left="16" w:right="321" w:firstLine="441"/>
        <w:spacing w:before="101" w:line="353" w:lineRule="auto"/>
        <w:rPr/>
      </w:pPr>
      <w:r>
        <w:rPr>
          <w:rFonts w:ascii="Times New Roman" w:hAnsi="Times New Roman" w:eastAsia="Times New Roman" w:cs="Times New Roman"/>
          <w:spacing w:val="6"/>
        </w:rPr>
        <w:t>1.</w:t>
      </w:r>
      <w:r>
        <w:rPr>
          <w:rFonts w:ascii="Times New Roman" w:hAnsi="Times New Roman" w:eastAsia="Times New Roman" w:cs="Times New Roman"/>
          <w:spacing w:val="-22"/>
        </w:rPr>
        <w:t xml:space="preserve"> </w:t>
      </w:r>
      <w:r>
        <w:rPr>
          <w:rFonts w:ascii="Times New Roman" w:hAnsi="Times New Roman" w:eastAsia="Times New Roman" w:cs="Times New Roman"/>
          <w:spacing w:val="6"/>
        </w:rPr>
        <w:t>1  </w:t>
      </w:r>
      <w:r>
        <w:rPr>
          <w:rFonts w:ascii="KaiTi" w:hAnsi="KaiTi" w:eastAsia="KaiTi" w:cs="KaiTi"/>
          <w:spacing w:val="6"/>
        </w:rPr>
        <w:t>指导思想。</w:t>
      </w:r>
      <w:r>
        <w:rPr>
          <w:spacing w:val="6"/>
        </w:rPr>
        <w:t>以习近平新时代中国特色</w:t>
      </w:r>
      <w:r>
        <w:rPr>
          <w:spacing w:val="7"/>
        </w:rPr>
        <w:t>社会主义思想为指导，深入贯彻落实习近平总</w:t>
      </w:r>
      <w:r>
        <w:rPr>
          <w:spacing w:val="18"/>
        </w:rPr>
        <w:t>书记关于防灾减灾救灾的重要论述和关于全</w:t>
      </w:r>
      <w:r>
        <w:rPr>
          <w:spacing w:val="7"/>
        </w:rPr>
        <w:t>面做好森林草原防灭火工作的重要指示精神，</w:t>
      </w:r>
      <w:r>
        <w:rPr>
          <w:spacing w:val="7"/>
        </w:rPr>
        <w:t>按照党中央、国务院和区、市党委、政府决策</w:t>
      </w:r>
      <w:r>
        <w:rPr>
          <w:spacing w:val="7"/>
        </w:rPr>
        <w:t>部署，坚持人民至上、生命至上，进一步完善</w:t>
      </w:r>
      <w:r>
        <w:rPr>
          <w:spacing w:val="7"/>
        </w:rPr>
        <w:t>体制机制，依法有力有序有效处置森林草原火</w:t>
      </w:r>
      <w:r>
        <w:rPr>
          <w:spacing w:val="7"/>
        </w:rPr>
        <w:t>灾，最大程度减少人员伤亡和财产损失，保护</w:t>
      </w:r>
      <w:r>
        <w:rPr>
          <w:spacing w:val="8"/>
        </w:rPr>
        <w:t>森林草原资源，维护生态安全。</w:t>
      </w:r>
    </w:p>
    <w:p>
      <w:pPr>
        <w:pStyle w:val="BodyText"/>
        <w:ind w:right="207" w:firstLine="457"/>
        <w:spacing w:before="159" w:line="353" w:lineRule="auto"/>
        <w:rPr/>
      </w:pPr>
      <w:r>
        <w:rPr>
          <w:rFonts w:ascii="Times New Roman" w:hAnsi="Times New Roman" w:eastAsia="Times New Roman" w:cs="Times New Roman"/>
          <w:spacing w:val="3"/>
        </w:rPr>
        <w:t>1.2  </w:t>
      </w:r>
      <w:r>
        <w:rPr>
          <w:rFonts w:ascii="KaiTi" w:hAnsi="KaiTi" w:eastAsia="KaiTi" w:cs="KaiTi"/>
          <w:spacing w:val="3"/>
        </w:rPr>
        <w:t>编制依据。</w:t>
      </w:r>
      <w:r>
        <w:rPr>
          <w:spacing w:val="3"/>
        </w:rPr>
        <w:t>《中华人民共和国森林法》</w:t>
      </w:r>
      <w:r>
        <w:rPr>
          <w:spacing w:val="8"/>
        </w:rPr>
        <w:t xml:space="preserve"> </w:t>
      </w:r>
      <w:r>
        <w:rPr>
          <w:spacing w:val="11"/>
        </w:rPr>
        <w:t>《中华人民共和国草原法》《森林防火条例》</w:t>
      </w:r>
      <w:r>
        <w:rPr>
          <w:spacing w:val="2"/>
        </w:rPr>
        <w:t xml:space="preserve"> </w:t>
      </w:r>
      <w:r>
        <w:rPr>
          <w:spacing w:val="8"/>
        </w:rPr>
        <w:t>《草原防火条例》《国家森林草原火灾应急预</w:t>
      </w:r>
      <w:r>
        <w:rPr>
          <w:spacing w:val="3"/>
        </w:rPr>
        <w:t>案》《宁夏回族自治区森林草原火灾应急预案》</w:t>
      </w:r>
      <w:r>
        <w:rPr>
          <w:spacing w:val="16"/>
        </w:rPr>
        <w:t xml:space="preserve"> </w:t>
      </w:r>
      <w:r>
        <w:rPr>
          <w:spacing w:val="8"/>
        </w:rPr>
        <w:t>《固原市防灾减灾救灾责任规定》《固原市突</w:t>
      </w:r>
      <w:r>
        <w:rPr>
          <w:spacing w:val="10"/>
        </w:rPr>
        <w:t>发事件总体应急预案》等。</w:t>
      </w:r>
    </w:p>
    <w:p>
      <w:pPr>
        <w:pStyle w:val="BodyText"/>
        <w:ind w:left="18" w:right="327" w:firstLine="438"/>
        <w:spacing w:before="133" w:line="332" w:lineRule="auto"/>
        <w:rPr/>
      </w:pPr>
      <w:r>
        <w:rPr>
          <w:rFonts w:ascii="Times New Roman" w:hAnsi="Times New Roman" w:eastAsia="Times New Roman" w:cs="Times New Roman"/>
          <w:spacing w:val="7"/>
        </w:rPr>
        <w:t>1.3  </w:t>
      </w:r>
      <w:r>
        <w:rPr>
          <w:rFonts w:ascii="KaiTi" w:hAnsi="KaiTi" w:eastAsia="KaiTi" w:cs="KaiTi"/>
          <w:spacing w:val="7"/>
        </w:rPr>
        <w:t>适用范围。</w:t>
      </w:r>
      <w:r>
        <w:rPr>
          <w:spacing w:val="7"/>
        </w:rPr>
        <w:t>本预案适用于固原市行政</w:t>
      </w:r>
      <w:r>
        <w:rPr>
          <w:spacing w:val="7"/>
        </w:rPr>
        <w:t>区域内发生的森林和草原火灾应对工作（不包</w:t>
      </w:r>
      <w:r>
        <w:rPr>
          <w:spacing w:val="8"/>
        </w:rPr>
        <w:t>括城市市区发生的林、草地火灾）。</w:t>
      </w:r>
    </w:p>
    <w:p>
      <w:pPr>
        <w:pStyle w:val="BodyText"/>
        <w:ind w:left="17" w:right="263" w:firstLine="439"/>
        <w:spacing w:before="128" w:line="348" w:lineRule="auto"/>
        <w:rPr/>
      </w:pPr>
      <w:r>
        <w:rPr>
          <w:rFonts w:ascii="Times New Roman" w:hAnsi="Times New Roman" w:eastAsia="Times New Roman" w:cs="Times New Roman"/>
          <w:spacing w:val="7"/>
        </w:rPr>
        <w:t>1.4  </w:t>
      </w:r>
      <w:r>
        <w:rPr>
          <w:rFonts w:ascii="KaiTi" w:hAnsi="KaiTi" w:eastAsia="KaiTi" w:cs="KaiTi"/>
          <w:spacing w:val="7"/>
        </w:rPr>
        <w:t>工作原则。</w:t>
      </w:r>
      <w:r>
        <w:rPr>
          <w:spacing w:val="7"/>
        </w:rPr>
        <w:t>森林草原火灾应对工作坚</w:t>
      </w:r>
      <w:r>
        <w:rPr/>
        <w:t>持统一领导、协调联动，分级负责、属地为主，</w:t>
      </w:r>
      <w:r>
        <w:rPr>
          <w:spacing w:val="7"/>
        </w:rPr>
        <w:t>以人为本、科学扑救，快速反应、安全高效的</w:t>
      </w:r>
      <w:r>
        <w:rPr>
          <w:spacing w:val="7"/>
        </w:rPr>
        <w:t>原则。实行地方各级政府首长负责制，森林草</w:t>
      </w:r>
      <w:r>
        <w:rPr>
          <w:spacing w:val="7"/>
        </w:rPr>
        <w:t>原火灾发生后，地方各级人民政府及其有关部</w:t>
      </w:r>
      <w:r>
        <w:rPr>
          <w:spacing w:val="-3"/>
        </w:rPr>
        <w:t>门立即按照任务分工和相关预案开展处置工</w:t>
      </w:r>
      <w:r>
        <w:rPr>
          <w:spacing w:val="-4"/>
        </w:rPr>
        <w:t>作。</w:t>
      </w:r>
    </w:p>
    <w:p>
      <w:pPr>
        <w:pStyle w:val="BodyText"/>
        <w:ind w:left="16" w:right="307" w:firstLine="440"/>
        <w:spacing w:before="165" w:line="343" w:lineRule="auto"/>
        <w:rPr/>
      </w:pPr>
      <w:r>
        <w:rPr>
          <w:rFonts w:ascii="Times New Roman" w:hAnsi="Times New Roman" w:eastAsia="Times New Roman" w:cs="Times New Roman"/>
          <w:spacing w:val="7"/>
        </w:rPr>
        <w:t>1.5</w:t>
      </w:r>
      <w:r>
        <w:rPr>
          <w:rFonts w:ascii="Times New Roman" w:hAnsi="Times New Roman" w:eastAsia="Times New Roman" w:cs="Times New Roman"/>
          <w:spacing w:val="17"/>
          <w:w w:val="101"/>
        </w:rPr>
        <w:t xml:space="preserve">  </w:t>
      </w:r>
      <w:r>
        <w:rPr>
          <w:rFonts w:ascii="KaiTi" w:hAnsi="KaiTi" w:eastAsia="KaiTi" w:cs="KaiTi"/>
          <w:spacing w:val="7"/>
        </w:rPr>
        <w:t>灾害分级。</w:t>
      </w:r>
      <w:r>
        <w:rPr>
          <w:spacing w:val="7"/>
        </w:rPr>
        <w:t>按照受害森林草原面积、</w:t>
      </w:r>
      <w:r>
        <w:rPr>
          <w:spacing w:val="7"/>
        </w:rPr>
        <w:t>伤亡人数和直接经济损失，森林草原火灾分为</w:t>
      </w:r>
      <w:r>
        <w:rPr>
          <w:spacing w:val="7"/>
        </w:rPr>
        <w:t>一般森林草原火灾、较大森林草原火灾、重大</w:t>
      </w:r>
      <w:r>
        <w:rPr>
          <w:spacing w:val="18"/>
        </w:rPr>
        <w:t>森林草原火灾和特别重大森林草原火灾四个</w:t>
      </w:r>
      <w:r>
        <w:rPr>
          <w:spacing w:val="8"/>
        </w:rPr>
        <w:t>等级，具体分级标准按照有关法律法规执行。</w:t>
      </w:r>
    </w:p>
    <w:p>
      <w:pPr>
        <w:spacing w:line="14" w:lineRule="auto"/>
        <w:rPr>
          <w:rFonts w:ascii="Arial"/>
          <w:sz w:val="2"/>
        </w:rPr>
      </w:pPr>
      <w:r>
        <w:rPr>
          <w:rFonts w:ascii="Arial" w:hAnsi="Arial" w:eastAsia="Arial" w:cs="Arial"/>
          <w:sz w:val="2"/>
          <w:szCs w:val="2"/>
        </w:rPr>
        <w:br w:type="column"/>
      </w:r>
    </w:p>
    <w:p>
      <w:pPr>
        <w:ind w:left="424"/>
        <w:spacing w:before="50"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2</w:t>
      </w:r>
      <w:r>
        <w:rPr>
          <w:rFonts w:ascii="Microsoft YaHei" w:hAnsi="Microsoft YaHei" w:eastAsia="Microsoft YaHei" w:cs="Microsoft YaHei"/>
          <w:sz w:val="20"/>
          <w:szCs w:val="20"/>
          <w:spacing w:val="15"/>
          <w:w w:val="101"/>
        </w:rPr>
        <w:t xml:space="preserve">   </w:t>
      </w:r>
      <w:r>
        <w:rPr>
          <w:rFonts w:ascii="Microsoft YaHei" w:hAnsi="Microsoft YaHei" w:eastAsia="Microsoft YaHei" w:cs="Microsoft YaHei"/>
          <w:sz w:val="20"/>
          <w:szCs w:val="20"/>
          <w:spacing w:val="3"/>
        </w:rPr>
        <w:t>主要任务</w:t>
      </w:r>
    </w:p>
    <w:p>
      <w:pPr>
        <w:pStyle w:val="BodyText"/>
        <w:ind w:left="4" w:right="83" w:firstLine="418"/>
        <w:spacing w:before="102" w:line="324" w:lineRule="auto"/>
        <w:rPr/>
      </w:pPr>
      <w:r>
        <w:rPr>
          <w:rFonts w:ascii="Times New Roman" w:hAnsi="Times New Roman" w:eastAsia="Times New Roman" w:cs="Times New Roman"/>
          <w:spacing w:val="7"/>
        </w:rPr>
        <w:t>2.</w:t>
      </w:r>
      <w:r>
        <w:rPr>
          <w:rFonts w:ascii="Times New Roman" w:hAnsi="Times New Roman" w:eastAsia="Times New Roman" w:cs="Times New Roman"/>
          <w:spacing w:val="-23"/>
        </w:rPr>
        <w:t xml:space="preserve"> </w:t>
      </w:r>
      <w:r>
        <w:rPr>
          <w:rFonts w:ascii="Times New Roman" w:hAnsi="Times New Roman" w:eastAsia="Times New Roman" w:cs="Times New Roman"/>
          <w:spacing w:val="7"/>
        </w:rPr>
        <w:t>1  </w:t>
      </w:r>
      <w:r>
        <w:rPr>
          <w:rFonts w:ascii="KaiTi" w:hAnsi="KaiTi" w:eastAsia="KaiTi" w:cs="KaiTi"/>
          <w:spacing w:val="7"/>
        </w:rPr>
        <w:t>组织灭火行动。</w:t>
      </w:r>
      <w:r>
        <w:rPr>
          <w:spacing w:val="7"/>
        </w:rPr>
        <w:t>科学运用各种手段扑</w:t>
      </w:r>
      <w:r>
        <w:rPr>
          <w:spacing w:val="7"/>
        </w:rPr>
        <w:t>打明火、开挖设置防火隔离带、清理火线、看</w:t>
      </w:r>
      <w:r>
        <w:rPr>
          <w:spacing w:val="8"/>
        </w:rPr>
        <w:t>守火场，严防次生灾害发生。</w:t>
      </w:r>
    </w:p>
    <w:p>
      <w:pPr>
        <w:pStyle w:val="BodyText"/>
        <w:ind w:left="3" w:right="83" w:firstLine="419"/>
        <w:spacing w:before="157" w:line="324" w:lineRule="auto"/>
        <w:rPr/>
      </w:pPr>
      <w:r>
        <w:rPr>
          <w:rFonts w:ascii="Times New Roman" w:hAnsi="Times New Roman" w:eastAsia="Times New Roman" w:cs="Times New Roman"/>
          <w:spacing w:val="8"/>
        </w:rPr>
        <w:t>2.2  </w:t>
      </w:r>
      <w:r>
        <w:rPr>
          <w:rFonts w:ascii="KaiTi" w:hAnsi="KaiTi" w:eastAsia="KaiTi" w:cs="KaiTi"/>
          <w:spacing w:val="8"/>
        </w:rPr>
        <w:t>解救疏散人员。</w:t>
      </w:r>
      <w:r>
        <w:rPr>
          <w:spacing w:val="8"/>
        </w:rPr>
        <w:t>组织解救、转移、疏</w:t>
      </w:r>
      <w:r>
        <w:rPr>
          <w:spacing w:val="18"/>
        </w:rPr>
        <w:t>散受威胁群众并及时妥善安置和开展必要的</w:t>
      </w:r>
      <w:r>
        <w:rPr>
          <w:spacing w:val="8"/>
        </w:rPr>
        <w:t>医疗救治</w:t>
      </w:r>
    </w:p>
    <w:p>
      <w:pPr>
        <w:pStyle w:val="BodyText"/>
        <w:ind w:left="43" w:right="83" w:firstLine="380"/>
        <w:spacing w:before="160" w:line="299" w:lineRule="auto"/>
        <w:rPr/>
      </w:pPr>
      <w:r>
        <w:rPr>
          <w:rFonts w:ascii="Times New Roman" w:hAnsi="Times New Roman" w:eastAsia="Times New Roman" w:cs="Times New Roman"/>
          <w:spacing w:val="8"/>
        </w:rPr>
        <w:t>2.3  </w:t>
      </w:r>
      <w:r>
        <w:rPr>
          <w:rFonts w:ascii="KaiTi" w:hAnsi="KaiTi" w:eastAsia="KaiTi" w:cs="KaiTi"/>
          <w:spacing w:val="8"/>
        </w:rPr>
        <w:t>保护重要目标。</w:t>
      </w:r>
      <w:r>
        <w:rPr>
          <w:spacing w:val="8"/>
        </w:rPr>
        <w:t>保护民生和重要军事</w:t>
      </w:r>
      <w:r>
        <w:rPr>
          <w:spacing w:val="5"/>
        </w:rPr>
        <w:t>目标并确保重大危险源安全。</w:t>
      </w:r>
    </w:p>
    <w:p>
      <w:pPr>
        <w:pStyle w:val="BodyText"/>
        <w:ind w:left="3" w:right="83" w:firstLine="419"/>
        <w:spacing w:before="160" w:line="299" w:lineRule="auto"/>
        <w:rPr/>
      </w:pPr>
      <w:r>
        <w:rPr>
          <w:rFonts w:ascii="Times New Roman" w:hAnsi="Times New Roman" w:eastAsia="Times New Roman" w:cs="Times New Roman"/>
          <w:spacing w:val="8"/>
        </w:rPr>
        <w:t>2.4  </w:t>
      </w:r>
      <w:r>
        <w:rPr>
          <w:rFonts w:ascii="KaiTi" w:hAnsi="KaiTi" w:eastAsia="KaiTi" w:cs="KaiTi"/>
          <w:spacing w:val="8"/>
        </w:rPr>
        <w:t>转移重要物资。</w:t>
      </w:r>
      <w:r>
        <w:rPr>
          <w:spacing w:val="8"/>
        </w:rPr>
        <w:t>组织抢救、运送、转</w:t>
      </w:r>
      <w:r>
        <w:rPr>
          <w:spacing w:val="7"/>
        </w:rPr>
        <w:t>移重要物资。</w:t>
      </w:r>
    </w:p>
    <w:p>
      <w:pPr>
        <w:pStyle w:val="BodyText"/>
        <w:ind w:left="3" w:right="63" w:firstLine="420"/>
        <w:spacing w:before="162" w:line="336" w:lineRule="auto"/>
        <w:rPr/>
      </w:pPr>
      <w:r>
        <w:rPr>
          <w:rFonts w:ascii="Times New Roman" w:hAnsi="Times New Roman" w:eastAsia="Times New Roman" w:cs="Times New Roman"/>
          <w:spacing w:val="8"/>
        </w:rPr>
        <w:t>2.5  </w:t>
      </w:r>
      <w:r>
        <w:rPr>
          <w:rFonts w:ascii="KaiTi" w:hAnsi="KaiTi" w:eastAsia="KaiTi" w:cs="KaiTi"/>
          <w:spacing w:val="8"/>
        </w:rPr>
        <w:t>维护社会稳定。</w:t>
      </w:r>
      <w:r>
        <w:rPr>
          <w:spacing w:val="8"/>
        </w:rPr>
        <w:t>加强火灾发生地区及</w:t>
      </w:r>
      <w:r>
        <w:rPr>
          <w:spacing w:val="7"/>
        </w:rPr>
        <w:t>周边社会治安和公共安全工作，严密防范各类</w:t>
      </w:r>
      <w:r>
        <w:rPr>
          <w:spacing w:val="15"/>
        </w:rPr>
        <w:t>违法犯罪行为</w:t>
      </w:r>
      <w:r>
        <w:rPr>
          <w:spacing w:val="-41"/>
        </w:rPr>
        <w:t xml:space="preserve"> </w:t>
      </w:r>
      <w:r>
        <w:rPr>
          <w:spacing w:val="15"/>
        </w:rPr>
        <w:t>，加强重点目标守卫和治安巡</w:t>
      </w:r>
      <w:r>
        <w:rPr>
          <w:spacing w:val="8"/>
        </w:rPr>
        <w:t>逻，维护火灾发生地区及周边社会秩序稳定。</w:t>
      </w:r>
    </w:p>
    <w:p>
      <w:pPr>
        <w:ind w:left="426"/>
        <w:spacing w:before="152"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3</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5"/>
        </w:rPr>
        <w:t>组织指挥体系</w:t>
      </w:r>
    </w:p>
    <w:p>
      <w:pPr>
        <w:pStyle w:val="BodyText"/>
        <w:ind w:right="83" w:firstLine="427"/>
        <w:spacing w:before="100" w:line="371" w:lineRule="auto"/>
        <w:jc w:val="both"/>
        <w:rPr/>
      </w:pPr>
      <w:r>
        <w:rPr>
          <w:rFonts w:ascii="Times New Roman" w:hAnsi="Times New Roman" w:eastAsia="Times New Roman" w:cs="Times New Roman"/>
          <w:spacing w:val="7"/>
        </w:rPr>
        <w:t>3.</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1  </w:t>
      </w:r>
      <w:r>
        <w:rPr>
          <w:rFonts w:ascii="KaiTi" w:hAnsi="KaiTi" w:eastAsia="KaiTi" w:cs="KaiTi"/>
          <w:spacing w:val="7"/>
        </w:rPr>
        <w:t>森林草原防灭火指挥机构。</w:t>
      </w:r>
      <w:r>
        <w:rPr>
          <w:spacing w:val="7"/>
        </w:rPr>
        <w:t>固原</w:t>
      </w:r>
      <w:r>
        <w:rPr>
          <w:spacing w:val="6"/>
        </w:rPr>
        <w:t>市森</w:t>
      </w:r>
      <w:r>
        <w:rPr>
          <w:spacing w:val="7"/>
        </w:rPr>
        <w:t>林草原防灭火指挥部负责组织、协调和指导全</w:t>
      </w:r>
      <w:r>
        <w:rPr>
          <w:spacing w:val="8"/>
        </w:rPr>
        <w:t>市森林草原防灭火工作。</w:t>
      </w:r>
    </w:p>
    <w:p>
      <w:pPr>
        <w:pStyle w:val="BodyText"/>
        <w:ind w:left="425"/>
        <w:spacing w:before="6" w:line="278" w:lineRule="exact"/>
        <w:rPr/>
      </w:pPr>
      <w:r>
        <w:rPr>
          <w:spacing w:val="9"/>
          <w:position w:val="1"/>
        </w:rPr>
        <w:t>指挥长：由市委常委、常务副市长担任</w:t>
      </w:r>
    </w:p>
    <w:p>
      <w:pPr>
        <w:pStyle w:val="BodyText"/>
        <w:ind w:left="2" w:right="83" w:firstLine="428"/>
        <w:spacing w:before="128" w:line="353" w:lineRule="auto"/>
        <w:rPr/>
      </w:pPr>
      <w:r>
        <w:rPr>
          <w:spacing w:val="6"/>
        </w:rPr>
        <w:t>常务副指挥长：由市政府分管自然资源工</w:t>
      </w:r>
      <w:r>
        <w:rPr>
          <w:spacing w:val="9"/>
        </w:rPr>
        <w:t>作的副市长担任</w:t>
      </w:r>
    </w:p>
    <w:p>
      <w:pPr>
        <w:pStyle w:val="BodyText"/>
        <w:ind w:left="3" w:right="76" w:firstLine="425"/>
        <w:spacing w:before="41" w:line="373" w:lineRule="auto"/>
        <w:jc w:val="both"/>
        <w:rPr/>
      </w:pPr>
      <w:r>
        <w:rPr>
          <w:spacing w:val="15"/>
        </w:rPr>
        <w:t>副指挥长：</w:t>
      </w:r>
      <w:r>
        <w:rPr>
          <w:spacing w:val="-37"/>
        </w:rPr>
        <w:t xml:space="preserve"> </w:t>
      </w:r>
      <w:r>
        <w:rPr>
          <w:spacing w:val="15"/>
        </w:rPr>
        <w:t>由市政府副秘书长和市公安</w:t>
      </w:r>
      <w:r>
        <w:rPr>
          <w:spacing w:val="5"/>
        </w:rPr>
        <w:t>局、</w:t>
      </w:r>
      <w:r>
        <w:rPr>
          <w:spacing w:val="-50"/>
        </w:rPr>
        <w:t xml:space="preserve"> </w:t>
      </w:r>
      <w:r>
        <w:rPr>
          <w:spacing w:val="5"/>
        </w:rPr>
        <w:t>自然资源局、农业农村局、应急管理局，</w:t>
      </w:r>
      <w:r>
        <w:rPr>
          <w:spacing w:val="7"/>
        </w:rPr>
        <w:t>固原军分区战备建设处、武警固原支队，市气</w:t>
      </w:r>
      <w:r>
        <w:rPr>
          <w:spacing w:val="7"/>
        </w:rPr>
        <w:t>象局、消防救援支队、林草中心主要负责同志</w:t>
      </w:r>
      <w:r>
        <w:rPr>
          <w:spacing w:val="4"/>
        </w:rPr>
        <w:t>担任。</w:t>
      </w:r>
    </w:p>
    <w:p>
      <w:pPr>
        <w:pStyle w:val="BodyText"/>
        <w:ind w:left="3" w:firstLine="419"/>
        <w:spacing w:before="4" w:line="311" w:lineRule="auto"/>
        <w:jc w:val="both"/>
        <w:rPr/>
      </w:pPr>
      <w:r>
        <w:rPr>
          <w:spacing w:val="7"/>
        </w:rPr>
        <w:t>各县（</w:t>
      </w:r>
      <w:r>
        <w:rPr>
          <w:spacing w:val="-41"/>
        </w:rPr>
        <w:t xml:space="preserve"> </w:t>
      </w:r>
      <w:r>
        <w:rPr>
          <w:spacing w:val="7"/>
        </w:rPr>
        <w:t>区）人民政府按照</w:t>
      </w:r>
      <w:r>
        <w:rPr>
          <w:rFonts w:ascii="Times New Roman" w:hAnsi="Times New Roman" w:eastAsia="Times New Roman" w:cs="Times New Roman"/>
          <w:spacing w:val="7"/>
        </w:rPr>
        <w:t>“</w:t>
      </w:r>
      <w:r>
        <w:rPr>
          <w:spacing w:val="7"/>
        </w:rPr>
        <w:t>上下基本对应</w:t>
      </w:r>
      <w:r>
        <w:rPr>
          <w:rFonts w:ascii="Times New Roman" w:hAnsi="Times New Roman" w:eastAsia="Times New Roman" w:cs="Times New Roman"/>
          <w:spacing w:val="7"/>
        </w:rPr>
        <w:t>”</w:t>
      </w:r>
      <w:r>
        <w:rPr>
          <w:spacing w:val="7"/>
        </w:rPr>
        <w:t>的要求，设立森林草原防灭火指挥部，负责组</w:t>
      </w:r>
      <w:r>
        <w:rPr>
          <w:spacing w:val="-8"/>
        </w:rPr>
        <w:t>织、协调和指导本行政区域森林草原防灭火工作。</w:t>
      </w:r>
    </w:p>
    <w:p>
      <w:pPr>
        <w:spacing w:line="311" w:lineRule="auto"/>
        <w:sectPr>
          <w:type w:val="continuous"/>
          <w:pgSz w:w="11906" w:h="16839"/>
          <w:pgMar w:top="1766" w:right="1507" w:bottom="1551" w:left="1576" w:header="1428" w:footer="1172" w:gutter="0"/>
          <w:cols w:equalWidth="0" w:num="2">
            <w:col w:w="4491" w:space="100"/>
            <w:col w:w="4233" w:space="0"/>
          </w:cols>
        </w:sectPr>
        <w:rPr/>
      </w:pPr>
    </w:p>
    <w:p>
      <w:pPr>
        <w:spacing w:before="11"/>
        <w:rPr/>
      </w:pPr>
      <w:r>
        <w:drawing>
          <wp:anchor distT="0" distB="0" distL="0" distR="0" simplePos="0" relativeHeight="252527616" behindDoc="0" locked="0" layoutInCell="0" allowOverlap="1">
            <wp:simplePos x="0" y="0"/>
            <wp:positionH relativeFrom="page">
              <wp:posOffset>1008380</wp:posOffset>
            </wp:positionH>
            <wp:positionV relativeFrom="page">
              <wp:posOffset>1186180</wp:posOffset>
            </wp:positionV>
            <wp:extent cx="5579745" cy="7619"/>
            <wp:effectExtent l="0" t="0" r="0" b="0"/>
            <wp:wrapNone/>
            <wp:docPr id="1554" name="IM 1554"/>
            <wp:cNvGraphicFramePr/>
            <a:graphic>
              <a:graphicData uri="http://schemas.openxmlformats.org/drawingml/2006/picture">
                <pic:pic>
                  <pic:nvPicPr>
                    <pic:cNvPr id="1554" name="IM 1554"/>
                    <pic:cNvPicPr/>
                  </pic:nvPicPr>
                  <pic:blipFill>
                    <a:blip r:embed="rId779"/>
                    <a:stretch>
                      <a:fillRect/>
                    </a:stretch>
                  </pic:blipFill>
                  <pic:spPr>
                    <a:xfrm rot="0">
                      <a:off x="0" y="0"/>
                      <a:ext cx="5579745" cy="7619"/>
                    </a:xfrm>
                    <a:prstGeom prst="rect">
                      <a:avLst/>
                    </a:prstGeom>
                  </pic:spPr>
                </pic:pic>
              </a:graphicData>
            </a:graphic>
          </wp:anchor>
        </w:drawing>
      </w:r>
      <w:r/>
    </w:p>
    <w:p>
      <w:pPr>
        <w:sectPr>
          <w:headerReference w:type="default" r:id="rId728"/>
          <w:footerReference w:type="default" r:id="rId778"/>
          <w:pgSz w:w="11906" w:h="16839"/>
          <w:pgMar w:top="1828" w:right="1489" w:bottom="1556" w:left="1567" w:header="1428" w:footer="1172" w:gutter="0"/>
          <w:cols w:equalWidth="0" w:num="1">
            <w:col w:w="8850" w:space="0"/>
          </w:cols>
        </w:sectPr>
        <w:rPr/>
      </w:pPr>
    </w:p>
    <w:p>
      <w:pPr>
        <w:pStyle w:val="BodyText"/>
        <w:ind w:left="25" w:right="248" w:firstLine="420"/>
        <w:spacing w:before="46" w:line="375" w:lineRule="auto"/>
        <w:jc w:val="both"/>
        <w:rPr/>
      </w:pPr>
      <w:r>
        <w:rPr/>
        <w:t>成员单位：市政府办公室、发展和改革委、</w:t>
      </w:r>
      <w:r>
        <w:rPr>
          <w:spacing w:val="7"/>
        </w:rPr>
        <w:t>教育体育局、科技局、工业和信息化局、统战</w:t>
      </w:r>
      <w:r>
        <w:rPr>
          <w:spacing w:val="7"/>
        </w:rPr>
        <w:t>部（宗教局）、公安局、民政局、司法局、财</w:t>
      </w:r>
      <w:r>
        <w:rPr>
          <w:spacing w:val="7"/>
        </w:rPr>
        <w:t>政局、自然资源局、生态环境局、住房和城乡</w:t>
      </w:r>
      <w:r>
        <w:rPr>
          <w:spacing w:val="10"/>
        </w:rPr>
        <w:t>建设局、交通运输局、水务局、农业农村局、</w:t>
      </w:r>
      <w:r>
        <w:rPr>
          <w:spacing w:val="7"/>
        </w:rPr>
        <w:t>商务局、文化旅游广电局、卫生健康委、应急</w:t>
      </w:r>
      <w:r>
        <w:rPr>
          <w:spacing w:val="7"/>
        </w:rPr>
        <w:t>管理局、市场监管局、国资委，统计局、银保</w:t>
      </w:r>
      <w:r>
        <w:rPr>
          <w:spacing w:val="7"/>
        </w:rPr>
        <w:t>监局、气象局、地震局、六盘山林业局、消防</w:t>
      </w:r>
      <w:r>
        <w:rPr>
          <w:spacing w:val="7"/>
        </w:rPr>
        <w:t>救援支队，粮食和物资储备局、林草中心，由</w:t>
      </w:r>
      <w:r>
        <w:rPr>
          <w:spacing w:val="18"/>
        </w:rPr>
        <w:t>市应急管理指挥部根据应急救援工作需要确</w:t>
      </w:r>
      <w:r>
        <w:rPr>
          <w:spacing w:val="8"/>
        </w:rPr>
        <w:t>定的非政府职能部门（单位）。</w:t>
      </w:r>
    </w:p>
    <w:p>
      <w:pPr>
        <w:pStyle w:val="BodyText"/>
        <w:ind w:left="26" w:right="329" w:firstLine="440"/>
        <w:spacing w:before="3" w:line="373" w:lineRule="auto"/>
        <w:jc w:val="both"/>
        <w:rPr/>
      </w:pPr>
      <w:r>
        <w:rPr>
          <w:spacing w:val="17"/>
        </w:rPr>
        <w:t>固原市森林草原防灭火指挥部按照职责</w:t>
      </w:r>
      <w:r>
        <w:rPr>
          <w:spacing w:val="7"/>
        </w:rPr>
        <w:t>分工和协同联动工作需要，将各成员按照职责</w:t>
      </w:r>
      <w:r>
        <w:rPr>
          <w:spacing w:val="9"/>
        </w:rPr>
        <w:t>分组开展森林草原火灾的应急处置工作。</w:t>
      </w:r>
    </w:p>
    <w:p>
      <w:pPr>
        <w:ind w:left="450"/>
        <w:rPr>
          <w:rFonts w:ascii="KaiTi" w:hAnsi="KaiTi" w:eastAsia="KaiTi" w:cs="KaiTi"/>
          <w:sz w:val="20"/>
          <w:szCs w:val="20"/>
        </w:rPr>
      </w:pPr>
      <w:r>
        <w:rPr>
          <w:rFonts w:ascii="Times New Roman" w:hAnsi="Times New Roman" w:eastAsia="Times New Roman" w:cs="Times New Roman"/>
          <w:sz w:val="20"/>
          <w:szCs w:val="20"/>
          <w:spacing w:val="5"/>
        </w:rPr>
        <w:t>3.2  </w:t>
      </w:r>
      <w:r>
        <w:rPr>
          <w:rFonts w:ascii="KaiTi" w:hAnsi="KaiTi" w:eastAsia="KaiTi" w:cs="KaiTi"/>
          <w:sz w:val="20"/>
          <w:szCs w:val="20"/>
          <w:spacing w:val="5"/>
        </w:rPr>
        <w:t>各专业工作组。</w:t>
      </w:r>
    </w:p>
    <w:p>
      <w:pPr>
        <w:pStyle w:val="BodyText"/>
        <w:ind w:left="437"/>
        <w:spacing w:before="145" w:line="279" w:lineRule="exact"/>
        <w:rPr/>
      </w:pPr>
      <w:r>
        <w:rPr>
          <w:spacing w:val="-4"/>
          <w:position w:val="1"/>
        </w:rPr>
        <w:t>（</w:t>
      </w:r>
      <w:r>
        <w:rPr>
          <w:spacing w:val="-46"/>
          <w:position w:val="1"/>
        </w:rPr>
        <w:t xml:space="preserve"> </w:t>
      </w:r>
      <w:r>
        <w:rPr>
          <w:rFonts w:ascii="Times New Roman" w:hAnsi="Times New Roman" w:eastAsia="Times New Roman" w:cs="Times New Roman"/>
          <w:spacing w:val="-4"/>
          <w:position w:val="1"/>
        </w:rPr>
        <w:t>1</w:t>
      </w:r>
      <w:r>
        <w:rPr>
          <w:rFonts w:ascii="Times New Roman" w:hAnsi="Times New Roman" w:eastAsia="Times New Roman" w:cs="Times New Roman"/>
          <w:spacing w:val="-21"/>
          <w:position w:val="1"/>
        </w:rPr>
        <w:t xml:space="preserve"> </w:t>
      </w:r>
      <w:r>
        <w:rPr>
          <w:spacing w:val="-4"/>
          <w:position w:val="1"/>
        </w:rPr>
        <w:t>）综合组。</w:t>
      </w:r>
    </w:p>
    <w:p>
      <w:pPr>
        <w:pStyle w:val="BodyText"/>
        <w:ind w:left="445"/>
        <w:spacing w:before="127" w:line="278" w:lineRule="exact"/>
        <w:rPr/>
      </w:pPr>
      <w:r>
        <w:rPr>
          <w:spacing w:val="9"/>
          <w:position w:val="1"/>
        </w:rPr>
        <w:t>组长单位：市应急局</w:t>
      </w:r>
    </w:p>
    <w:p>
      <w:pPr>
        <w:pStyle w:val="BodyText"/>
        <w:ind w:left="445"/>
        <w:spacing w:before="127" w:line="278" w:lineRule="exact"/>
        <w:rPr/>
      </w:pPr>
      <w:r>
        <w:rPr>
          <w:spacing w:val="6"/>
          <w:position w:val="1"/>
        </w:rPr>
        <w:t>成员单位：市自然资源局、气象局，相关</w:t>
      </w:r>
    </w:p>
    <w:p>
      <w:pPr>
        <w:pStyle w:val="BodyText"/>
        <w:ind w:left="27"/>
        <w:spacing w:before="130" w:line="277" w:lineRule="exact"/>
        <w:outlineLvl w:val="0"/>
        <w:rPr/>
      </w:pPr>
      <w:r>
        <w:rPr>
          <w:spacing w:val="4"/>
          <w:position w:val="1"/>
        </w:rPr>
        <w:t>县（</w:t>
      </w:r>
      <w:r>
        <w:rPr>
          <w:spacing w:val="-37"/>
          <w:position w:val="1"/>
        </w:rPr>
        <w:t xml:space="preserve"> </w:t>
      </w:r>
      <w:r>
        <w:rPr>
          <w:spacing w:val="4"/>
          <w:position w:val="1"/>
        </w:rPr>
        <w:t>区）人民政府，由市应急管理指挥部根据</w:t>
      </w:r>
    </w:p>
    <w:p>
      <w:pPr>
        <w:pStyle w:val="BodyText"/>
        <w:ind w:left="25"/>
        <w:spacing w:before="129" w:line="277" w:lineRule="exact"/>
        <w:rPr/>
      </w:pPr>
      <w:r>
        <w:rPr>
          <w:spacing w:val="2"/>
          <w:position w:val="1"/>
        </w:rPr>
        <w:t>救援工作需要确定的非政府职能部门（单位）。</w:t>
      </w:r>
    </w:p>
    <w:p>
      <w:pPr>
        <w:pStyle w:val="BodyText"/>
        <w:ind w:left="24" w:right="320" w:firstLine="429"/>
        <w:spacing w:before="130" w:line="372" w:lineRule="auto"/>
        <w:jc w:val="both"/>
        <w:rPr/>
      </w:pPr>
      <w:r>
        <w:rPr>
          <w:spacing w:val="6"/>
        </w:rPr>
        <w:t>主要职责：传达上级指示、文件精神；及</w:t>
      </w:r>
      <w:r>
        <w:rPr>
          <w:spacing w:val="7"/>
        </w:rPr>
        <w:t>时汇总、报告森林草原火情和扑救进展情况；</w:t>
      </w:r>
      <w:r>
        <w:rPr>
          <w:spacing w:val="7"/>
        </w:rPr>
        <w:t>综合协调内部日常事务，督办重要工作；承办</w:t>
      </w:r>
      <w:r>
        <w:rPr>
          <w:spacing w:val="8"/>
        </w:rPr>
        <w:t>前线指挥部交办的其他事项。</w:t>
      </w:r>
    </w:p>
    <w:p>
      <w:pPr>
        <w:pStyle w:val="BodyText"/>
        <w:ind w:left="437"/>
        <w:spacing w:before="11" w:line="278" w:lineRule="exact"/>
        <w:rPr/>
      </w:pPr>
      <w:r>
        <w:rPr>
          <w:spacing w:val="5"/>
          <w:position w:val="1"/>
        </w:rPr>
        <w:t>（</w:t>
      </w:r>
      <w:r>
        <w:rPr>
          <w:rFonts w:ascii="Times New Roman" w:hAnsi="Times New Roman" w:eastAsia="Times New Roman" w:cs="Times New Roman"/>
          <w:spacing w:val="5"/>
          <w:position w:val="1"/>
        </w:rPr>
        <w:t>2</w:t>
      </w:r>
      <w:r>
        <w:rPr>
          <w:rFonts w:ascii="Times New Roman" w:hAnsi="Times New Roman" w:eastAsia="Times New Roman" w:cs="Times New Roman"/>
          <w:spacing w:val="-20"/>
          <w:position w:val="1"/>
        </w:rPr>
        <w:t xml:space="preserve"> </w:t>
      </w:r>
      <w:r>
        <w:rPr>
          <w:spacing w:val="5"/>
          <w:position w:val="1"/>
        </w:rPr>
        <w:t>）扑救指挥组。</w:t>
      </w:r>
    </w:p>
    <w:p>
      <w:pPr>
        <w:pStyle w:val="BodyText"/>
        <w:ind w:left="448"/>
        <w:spacing w:before="128" w:line="277" w:lineRule="exact"/>
        <w:rPr/>
      </w:pPr>
      <w:r>
        <w:rPr>
          <w:spacing w:val="9"/>
          <w:position w:val="1"/>
        </w:rPr>
        <w:t>牵头单位：市应急局</w:t>
      </w:r>
    </w:p>
    <w:p>
      <w:pPr>
        <w:pStyle w:val="BodyText"/>
        <w:ind w:left="445"/>
        <w:spacing w:before="129" w:line="277" w:lineRule="exact"/>
        <w:rPr/>
      </w:pPr>
      <w:r>
        <w:rPr>
          <w:spacing w:val="6"/>
          <w:position w:val="1"/>
        </w:rPr>
        <w:t>成员单位：市自然资源局、公安局、水务</w:t>
      </w:r>
    </w:p>
    <w:p>
      <w:pPr>
        <w:pStyle w:val="BodyText"/>
        <w:ind w:left="26"/>
        <w:spacing w:before="128" w:line="278" w:lineRule="exact"/>
        <w:outlineLvl w:val="0"/>
        <w:rPr/>
      </w:pPr>
      <w:r>
        <w:rPr>
          <w:spacing w:val="7"/>
          <w:position w:val="1"/>
        </w:rPr>
        <w:t>局、气象局，市消防救援支队和相关县（</w:t>
      </w:r>
      <w:r>
        <w:rPr>
          <w:spacing w:val="-44"/>
          <w:position w:val="1"/>
        </w:rPr>
        <w:t xml:space="preserve"> </w:t>
      </w:r>
      <w:r>
        <w:rPr>
          <w:spacing w:val="7"/>
          <w:position w:val="1"/>
        </w:rPr>
        <w:t>区）</w:t>
      </w:r>
    </w:p>
    <w:p>
      <w:pPr>
        <w:pStyle w:val="BodyText"/>
        <w:ind w:left="26" w:right="329" w:hanging="1"/>
        <w:spacing w:before="133" w:line="373" w:lineRule="auto"/>
        <w:rPr/>
      </w:pPr>
      <w:r>
        <w:rPr>
          <w:spacing w:val="7"/>
        </w:rPr>
        <w:t>人民政府，由市应急管理指挥部根据应急救援</w:t>
      </w:r>
      <w:r>
        <w:rPr>
          <w:spacing w:val="4"/>
        </w:rPr>
        <w:t>工作需要确定的非政府职能部门（单位）。</w:t>
      </w:r>
    </w:p>
    <w:p>
      <w:pPr>
        <w:pStyle w:val="BodyText"/>
        <w:ind w:left="25" w:right="329" w:firstLine="428"/>
        <w:spacing w:before="1" w:line="293" w:lineRule="auto"/>
        <w:rPr/>
      </w:pPr>
      <w:r>
        <w:rPr>
          <w:spacing w:val="6"/>
        </w:rPr>
        <w:t>主要职责：负责掌握火场动态，制定扑火</w:t>
      </w:r>
      <w:r>
        <w:rPr>
          <w:spacing w:val="7"/>
        </w:rPr>
        <w:t>方案；指挥、调派扑火力量；提供火场天气预</w:t>
      </w:r>
    </w:p>
    <w:p>
      <w:pPr>
        <w:spacing w:line="14" w:lineRule="auto"/>
        <w:rPr>
          <w:rFonts w:ascii="Arial"/>
          <w:sz w:val="2"/>
        </w:rPr>
      </w:pPr>
      <w:r>
        <w:rPr>
          <w:rFonts w:ascii="Arial" w:hAnsi="Arial" w:eastAsia="Arial" w:cs="Arial"/>
          <w:sz w:val="2"/>
          <w:szCs w:val="2"/>
        </w:rPr>
        <w:br w:type="column"/>
      </w:r>
    </w:p>
    <w:p>
      <w:pPr>
        <w:pStyle w:val="BodyText"/>
        <w:ind w:left="4" w:right="101" w:hanging="1"/>
        <w:spacing w:before="51" w:line="373" w:lineRule="auto"/>
        <w:jc w:val="both"/>
        <w:rPr/>
      </w:pPr>
      <w:r>
        <w:rPr>
          <w:spacing w:val="7"/>
        </w:rPr>
        <w:t>报和天气实况服务，根据情况组织实施人工影</w:t>
      </w:r>
      <w:r>
        <w:rPr>
          <w:spacing w:val="7"/>
        </w:rPr>
        <w:t>响天气服务；安排部署火场清理、看守；火灾</w:t>
      </w:r>
      <w:r>
        <w:rPr>
          <w:spacing w:val="8"/>
        </w:rPr>
        <w:t>扑灭后，负责火场的检查验收。</w:t>
      </w:r>
    </w:p>
    <w:p>
      <w:pPr>
        <w:pStyle w:val="BodyText"/>
        <w:ind w:left="413"/>
        <w:spacing w:line="278" w:lineRule="exact"/>
        <w:rPr/>
      </w:pPr>
      <w:r>
        <w:rPr>
          <w:spacing w:val="6"/>
          <w:position w:val="1"/>
        </w:rPr>
        <w:t>（</w:t>
      </w:r>
      <w:r>
        <w:rPr>
          <w:rFonts w:ascii="Times New Roman" w:hAnsi="Times New Roman" w:eastAsia="Times New Roman" w:cs="Times New Roman"/>
          <w:spacing w:val="6"/>
          <w:position w:val="1"/>
        </w:rPr>
        <w:t>3</w:t>
      </w:r>
      <w:r>
        <w:rPr>
          <w:rFonts w:ascii="Times New Roman" w:hAnsi="Times New Roman" w:eastAsia="Times New Roman" w:cs="Times New Roman"/>
          <w:spacing w:val="-21"/>
          <w:position w:val="1"/>
        </w:rPr>
        <w:t xml:space="preserve"> </w:t>
      </w:r>
      <w:r>
        <w:rPr>
          <w:spacing w:val="6"/>
          <w:position w:val="1"/>
        </w:rPr>
        <w:t>）人员转移安置组。</w:t>
      </w:r>
    </w:p>
    <w:p>
      <w:pPr>
        <w:pStyle w:val="BodyText"/>
        <w:ind w:right="101" w:firstLine="420"/>
        <w:spacing w:before="126" w:line="355" w:lineRule="auto"/>
        <w:rPr/>
      </w:pPr>
      <w:r>
        <w:rPr>
          <w:spacing w:val="6"/>
        </w:rPr>
        <w:t>组长单位、成员单位：根据火灾现场实际</w:t>
      </w:r>
      <w:r>
        <w:rPr>
          <w:spacing w:val="6"/>
        </w:rPr>
        <w:t>情况确定。</w:t>
      </w:r>
    </w:p>
    <w:p>
      <w:pPr>
        <w:pStyle w:val="BodyText"/>
        <w:ind w:left="3" w:right="101" w:firstLine="426"/>
        <w:spacing w:before="45" w:line="370" w:lineRule="auto"/>
        <w:jc w:val="both"/>
        <w:rPr/>
      </w:pPr>
      <w:r>
        <w:rPr>
          <w:spacing w:val="6"/>
        </w:rPr>
        <w:t>主要职责：负责做好灾民转移、安置和伤</w:t>
      </w:r>
      <w:r>
        <w:rPr>
          <w:spacing w:val="7"/>
        </w:rPr>
        <w:t>亡人员、家属的安抚、抚恤及其他有关善后处</w:t>
      </w:r>
      <w:r>
        <w:rPr>
          <w:spacing w:val="5"/>
        </w:rPr>
        <w:t>理工作。</w:t>
      </w:r>
    </w:p>
    <w:p>
      <w:pPr>
        <w:pStyle w:val="BodyText"/>
        <w:ind w:left="413"/>
        <w:spacing w:before="14" w:line="278" w:lineRule="exact"/>
        <w:rPr/>
      </w:pPr>
      <w:r>
        <w:rPr>
          <w:spacing w:val="5"/>
          <w:position w:val="1"/>
        </w:rPr>
        <w:t>（</w:t>
      </w:r>
      <w:r>
        <w:rPr>
          <w:rFonts w:ascii="Times New Roman" w:hAnsi="Times New Roman" w:eastAsia="Times New Roman" w:cs="Times New Roman"/>
          <w:spacing w:val="5"/>
          <w:position w:val="1"/>
        </w:rPr>
        <w:t>4</w:t>
      </w:r>
      <w:r>
        <w:rPr>
          <w:rFonts w:ascii="Times New Roman" w:hAnsi="Times New Roman" w:eastAsia="Times New Roman" w:cs="Times New Roman"/>
          <w:spacing w:val="-20"/>
          <w:position w:val="1"/>
        </w:rPr>
        <w:t xml:space="preserve"> </w:t>
      </w:r>
      <w:r>
        <w:rPr>
          <w:spacing w:val="5"/>
          <w:position w:val="1"/>
        </w:rPr>
        <w:t>）应急保障组。</w:t>
      </w:r>
    </w:p>
    <w:p>
      <w:pPr>
        <w:pStyle w:val="BodyText"/>
        <w:ind w:left="421"/>
        <w:spacing w:before="128" w:line="277" w:lineRule="exact"/>
        <w:rPr/>
      </w:pPr>
      <w:r>
        <w:rPr>
          <w:spacing w:val="9"/>
          <w:position w:val="1"/>
        </w:rPr>
        <w:t>组长单位：市粮食储备局</w:t>
      </w:r>
    </w:p>
    <w:p>
      <w:pPr>
        <w:pStyle w:val="BodyText"/>
        <w:ind w:left="3" w:right="78" w:firstLine="418"/>
        <w:spacing w:before="130" w:line="368" w:lineRule="auto"/>
        <w:jc w:val="both"/>
        <w:rPr/>
      </w:pPr>
      <w:r>
        <w:rPr>
          <w:spacing w:val="8"/>
        </w:rPr>
        <w:t>成员单位：市工信局、公安局、财政局、</w:t>
      </w:r>
      <w:r>
        <w:rPr>
          <w:spacing w:val="6"/>
        </w:rPr>
        <w:t>民政局、交通运输局、</w:t>
      </w:r>
      <w:r>
        <w:rPr>
          <w:spacing w:val="-54"/>
        </w:rPr>
        <w:t xml:space="preserve"> </w:t>
      </w:r>
      <w:r>
        <w:rPr>
          <w:spacing w:val="6"/>
        </w:rPr>
        <w:t>自然资源局、水务局、</w:t>
      </w:r>
      <w:r>
        <w:rPr>
          <w:spacing w:val="4"/>
        </w:rPr>
        <w:t>商务投资促进局、交警支队和相关县（</w:t>
      </w:r>
      <w:r>
        <w:rPr>
          <w:spacing w:val="-37"/>
        </w:rPr>
        <w:t xml:space="preserve"> </w:t>
      </w:r>
      <w:r>
        <w:rPr>
          <w:spacing w:val="4"/>
        </w:rPr>
        <w:t>区）人</w:t>
      </w:r>
      <w:r>
        <w:rPr>
          <w:spacing w:val="7"/>
        </w:rPr>
        <w:t>民政府</w:t>
      </w:r>
    </w:p>
    <w:p>
      <w:pPr>
        <w:pStyle w:val="BodyText"/>
        <w:ind w:right="101" w:firstLine="429"/>
        <w:spacing w:before="28" w:line="374" w:lineRule="auto"/>
        <w:jc w:val="both"/>
        <w:rPr/>
      </w:pPr>
      <w:r>
        <w:rPr>
          <w:spacing w:val="6"/>
        </w:rPr>
        <w:t>主要职责：负责维护火场交通秩序；协调</w:t>
      </w:r>
      <w:r>
        <w:rPr>
          <w:spacing w:val="7"/>
        </w:rPr>
        <w:t>保障扑火人员、装备和物资的运输需要；根据</w:t>
      </w:r>
      <w:r>
        <w:rPr>
          <w:spacing w:val="7"/>
        </w:rPr>
        <w:t>需要紧急调拨扑火、生活物资，保障油料、电</w:t>
      </w:r>
      <w:r>
        <w:rPr>
          <w:spacing w:val="7"/>
        </w:rPr>
        <w:t>力等供应；做好火场内外应急通信和水源等保</w:t>
      </w:r>
      <w:r>
        <w:rPr>
          <w:spacing w:val="6"/>
        </w:rPr>
        <w:t>障工作。</w:t>
      </w:r>
    </w:p>
    <w:p>
      <w:pPr>
        <w:pStyle w:val="BodyText"/>
        <w:ind w:left="413"/>
        <w:spacing w:before="5" w:line="277" w:lineRule="exact"/>
        <w:rPr/>
      </w:pPr>
      <w:r>
        <w:rPr>
          <w:spacing w:val="5"/>
          <w:position w:val="1"/>
        </w:rPr>
        <w:t>（</w:t>
      </w:r>
      <w:r>
        <w:rPr>
          <w:rFonts w:ascii="Times New Roman" w:hAnsi="Times New Roman" w:eastAsia="Times New Roman" w:cs="Times New Roman"/>
          <w:spacing w:val="5"/>
          <w:position w:val="1"/>
        </w:rPr>
        <w:t>5</w:t>
      </w:r>
      <w:r>
        <w:rPr>
          <w:rFonts w:ascii="Times New Roman" w:hAnsi="Times New Roman" w:eastAsia="Times New Roman" w:cs="Times New Roman"/>
          <w:spacing w:val="-20"/>
          <w:position w:val="1"/>
        </w:rPr>
        <w:t xml:space="preserve"> </w:t>
      </w:r>
      <w:r>
        <w:rPr>
          <w:spacing w:val="5"/>
          <w:position w:val="1"/>
        </w:rPr>
        <w:t>）社会稳定组。</w:t>
      </w:r>
    </w:p>
    <w:p>
      <w:pPr>
        <w:pStyle w:val="BodyText"/>
        <w:ind w:left="421"/>
        <w:spacing w:before="128" w:line="278" w:lineRule="exact"/>
        <w:rPr/>
      </w:pPr>
      <w:r>
        <w:rPr>
          <w:spacing w:val="9"/>
          <w:position w:val="1"/>
        </w:rPr>
        <w:t>组长单位：市公安局</w:t>
      </w:r>
    </w:p>
    <w:p>
      <w:pPr>
        <w:pStyle w:val="BodyText"/>
        <w:ind w:right="101" w:firstLine="421"/>
        <w:spacing w:before="129" w:line="373" w:lineRule="auto"/>
        <w:rPr/>
      </w:pPr>
      <w:r>
        <w:rPr>
          <w:spacing w:val="6"/>
        </w:rPr>
        <w:t>成员单位：市交通运输局、交警支队和相</w:t>
      </w:r>
      <w:r>
        <w:rPr>
          <w:spacing w:val="4"/>
        </w:rPr>
        <w:t>关县（</w:t>
      </w:r>
      <w:r>
        <w:rPr>
          <w:spacing w:val="-51"/>
        </w:rPr>
        <w:t xml:space="preserve"> </w:t>
      </w:r>
      <w:r>
        <w:rPr>
          <w:spacing w:val="4"/>
        </w:rPr>
        <w:t>区）有关部门</w:t>
      </w:r>
    </w:p>
    <w:p>
      <w:pPr>
        <w:pStyle w:val="BodyText"/>
        <w:ind w:left="1" w:right="101" w:firstLine="428"/>
        <w:spacing w:before="3" w:line="370" w:lineRule="auto"/>
        <w:jc w:val="both"/>
        <w:rPr/>
      </w:pPr>
      <w:r>
        <w:rPr>
          <w:spacing w:val="6"/>
        </w:rPr>
        <w:t>主要职责：负责做好当地交通管制，维护</w:t>
      </w:r>
      <w:r>
        <w:rPr>
          <w:spacing w:val="7"/>
        </w:rPr>
        <w:t>火场交通秩序，保障道路畅通；做好人员转移</w:t>
      </w:r>
      <w:r>
        <w:rPr>
          <w:spacing w:val="8"/>
        </w:rPr>
        <w:t>安置点和社会治安维护等工作。</w:t>
      </w:r>
    </w:p>
    <w:p>
      <w:pPr>
        <w:pStyle w:val="BodyText"/>
        <w:ind w:left="413"/>
        <w:spacing w:before="16" w:line="277" w:lineRule="exact"/>
        <w:rPr/>
      </w:pPr>
      <w:r>
        <w:rPr>
          <w:spacing w:val="5"/>
          <w:position w:val="1"/>
        </w:rPr>
        <w:t>（</w:t>
      </w:r>
      <w:r>
        <w:rPr>
          <w:rFonts w:ascii="Times New Roman" w:hAnsi="Times New Roman" w:eastAsia="Times New Roman" w:cs="Times New Roman"/>
          <w:spacing w:val="5"/>
          <w:position w:val="1"/>
        </w:rPr>
        <w:t>6</w:t>
      </w:r>
      <w:r>
        <w:rPr>
          <w:rFonts w:ascii="Times New Roman" w:hAnsi="Times New Roman" w:eastAsia="Times New Roman" w:cs="Times New Roman"/>
          <w:spacing w:val="-20"/>
          <w:position w:val="1"/>
        </w:rPr>
        <w:t xml:space="preserve"> </w:t>
      </w:r>
      <w:r>
        <w:rPr>
          <w:spacing w:val="5"/>
          <w:position w:val="1"/>
        </w:rPr>
        <w:t>）宣传报道组。</w:t>
      </w:r>
    </w:p>
    <w:p>
      <w:pPr>
        <w:pStyle w:val="BodyText"/>
        <w:ind w:right="101" w:firstLine="420"/>
        <w:spacing w:before="128" w:line="355" w:lineRule="auto"/>
        <w:rPr/>
      </w:pPr>
      <w:r>
        <w:rPr>
          <w:spacing w:val="6"/>
        </w:rPr>
        <w:t>组长单位：由市应急管理指挥部根据工作</w:t>
      </w:r>
      <w:r>
        <w:rPr>
          <w:spacing w:val="6"/>
        </w:rPr>
        <w:t>需要确定。</w:t>
      </w:r>
    </w:p>
    <w:p>
      <w:pPr>
        <w:pStyle w:val="BodyText"/>
        <w:ind w:right="101" w:firstLine="420"/>
        <w:spacing w:before="39" w:line="296" w:lineRule="auto"/>
        <w:rPr/>
      </w:pPr>
      <w:r>
        <w:rPr>
          <w:spacing w:val="6"/>
        </w:rPr>
        <w:t>成员单位：市应急局、自然资源局、文化</w:t>
      </w:r>
      <w:r>
        <w:rPr>
          <w:spacing w:val="6"/>
        </w:rPr>
        <w:t>旅游广电局和相关县（</w:t>
      </w:r>
      <w:r>
        <w:rPr>
          <w:spacing w:val="-43"/>
        </w:rPr>
        <w:t xml:space="preserve"> </w:t>
      </w:r>
      <w:r>
        <w:rPr>
          <w:spacing w:val="6"/>
        </w:rPr>
        <w:t>区）有关部门</w:t>
      </w:r>
    </w:p>
    <w:p>
      <w:pPr>
        <w:spacing w:line="296" w:lineRule="auto"/>
        <w:sectPr>
          <w:type w:val="continuous"/>
          <w:pgSz w:w="11906" w:h="16839"/>
          <w:pgMar w:top="1828" w:right="1489" w:bottom="1556" w:left="1567" w:header="1428" w:footer="1172" w:gutter="0"/>
          <w:cols w:equalWidth="0" w:num="2">
            <w:col w:w="4502" w:space="100"/>
            <w:col w:w="4249" w:space="0"/>
          </w:cols>
        </w:sectPr>
        <w:rPr/>
      </w:pPr>
    </w:p>
    <w:p>
      <w:pPr>
        <w:spacing w:before="68"/>
        <w:rPr/>
      </w:pPr>
      <w:r>
        <w:drawing>
          <wp:anchor distT="0" distB="0" distL="0" distR="0" simplePos="0" relativeHeight="25253888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558" name="IM 1558"/>
            <wp:cNvGraphicFramePr/>
            <a:graphic>
              <a:graphicData uri="http://schemas.openxmlformats.org/drawingml/2006/picture">
                <pic:pic>
                  <pic:nvPicPr>
                    <pic:cNvPr id="1558" name="IM 1558"/>
                    <pic:cNvPicPr/>
                  </pic:nvPicPr>
                  <pic:blipFill>
                    <a:blip r:embed="rId781"/>
                    <a:stretch>
                      <a:fillRect/>
                    </a:stretch>
                  </pic:blipFill>
                  <pic:spPr>
                    <a:xfrm rot="0">
                      <a:off x="0" y="0"/>
                      <a:ext cx="5579745" cy="7620"/>
                    </a:xfrm>
                    <a:prstGeom prst="rect">
                      <a:avLst/>
                    </a:prstGeom>
                  </pic:spPr>
                </pic:pic>
              </a:graphicData>
            </a:graphic>
          </wp:anchor>
        </w:drawing>
      </w:r>
      <w:r/>
    </w:p>
    <w:p>
      <w:pPr>
        <w:sectPr>
          <w:headerReference w:type="default" r:id="rId647"/>
          <w:footerReference w:type="default" r:id="rId780"/>
          <w:pgSz w:w="11906" w:h="16839"/>
          <w:pgMar w:top="1766" w:right="1530" w:bottom="1551" w:left="1576" w:header="1428" w:footer="1172" w:gutter="0"/>
          <w:cols w:equalWidth="0" w:num="1">
            <w:col w:w="8800" w:space="0"/>
          </w:cols>
        </w:sectPr>
        <w:rPr/>
      </w:pPr>
    </w:p>
    <w:p>
      <w:pPr>
        <w:pStyle w:val="BodyText"/>
        <w:ind w:left="14" w:right="327" w:firstLine="430"/>
        <w:spacing w:before="47" w:line="364" w:lineRule="auto"/>
        <w:jc w:val="both"/>
        <w:rPr/>
      </w:pPr>
      <w:r>
        <w:rPr>
          <w:spacing w:val="6"/>
        </w:rPr>
        <w:t>主要职责：负责维护现场正常的新闻采访</w:t>
      </w:r>
      <w:r>
        <w:rPr>
          <w:spacing w:val="7"/>
        </w:rPr>
        <w:t>秩序；统一发布森林草原火灾信息；收集分析</w:t>
      </w:r>
      <w:r>
        <w:rPr>
          <w:spacing w:val="9"/>
        </w:rPr>
        <w:t>舆情，正确引导媒体和公众舆论。</w:t>
      </w:r>
    </w:p>
    <w:p>
      <w:pPr>
        <w:pStyle w:val="BodyText"/>
        <w:ind w:left="428"/>
        <w:spacing w:before="17" w:line="278" w:lineRule="exact"/>
        <w:rPr/>
      </w:pPr>
      <w:r>
        <w:rPr>
          <w:spacing w:val="5"/>
          <w:position w:val="1"/>
        </w:rPr>
        <w:t>（</w:t>
      </w:r>
      <w:r>
        <w:rPr>
          <w:rFonts w:ascii="Times New Roman" w:hAnsi="Times New Roman" w:eastAsia="Times New Roman" w:cs="Times New Roman"/>
          <w:spacing w:val="5"/>
          <w:position w:val="1"/>
        </w:rPr>
        <w:t>7</w:t>
      </w:r>
      <w:r>
        <w:rPr>
          <w:rFonts w:ascii="Times New Roman" w:hAnsi="Times New Roman" w:eastAsia="Times New Roman" w:cs="Times New Roman"/>
          <w:spacing w:val="-20"/>
          <w:position w:val="1"/>
        </w:rPr>
        <w:t xml:space="preserve"> </w:t>
      </w:r>
      <w:r>
        <w:rPr>
          <w:spacing w:val="5"/>
          <w:position w:val="1"/>
        </w:rPr>
        <w:t>）医疗救护组。</w:t>
      </w:r>
    </w:p>
    <w:p>
      <w:pPr>
        <w:pStyle w:val="BodyText"/>
        <w:ind w:left="436"/>
        <w:spacing w:before="123" w:line="277" w:lineRule="exact"/>
        <w:rPr/>
      </w:pPr>
      <w:r>
        <w:rPr>
          <w:spacing w:val="9"/>
          <w:position w:val="1"/>
        </w:rPr>
        <w:t>组长单位：市卫生健康委</w:t>
      </w:r>
    </w:p>
    <w:p>
      <w:pPr>
        <w:pStyle w:val="BodyText"/>
        <w:ind w:left="436"/>
        <w:spacing w:before="120" w:line="278" w:lineRule="exact"/>
        <w:rPr/>
      </w:pPr>
      <w:r>
        <w:rPr>
          <w:spacing w:val="6"/>
          <w:position w:val="1"/>
        </w:rPr>
        <w:t>成员单位：相关县（</w:t>
      </w:r>
      <w:r>
        <w:rPr>
          <w:spacing w:val="-47"/>
          <w:position w:val="1"/>
        </w:rPr>
        <w:t xml:space="preserve"> </w:t>
      </w:r>
      <w:r>
        <w:rPr>
          <w:spacing w:val="6"/>
          <w:position w:val="1"/>
        </w:rPr>
        <w:t>区）卫健部门</w:t>
      </w:r>
    </w:p>
    <w:p>
      <w:pPr>
        <w:pStyle w:val="BodyText"/>
        <w:ind w:left="16" w:right="327" w:firstLine="428"/>
        <w:spacing w:before="122" w:line="369" w:lineRule="auto"/>
        <w:jc w:val="both"/>
        <w:rPr/>
      </w:pPr>
      <w:r>
        <w:rPr>
          <w:spacing w:val="6"/>
        </w:rPr>
        <w:t>主要职责：组织调派卫生应急队伍，协调</w:t>
      </w:r>
      <w:r>
        <w:rPr>
          <w:spacing w:val="18"/>
        </w:rPr>
        <w:t>医疗卫生机构开展森林草原火灾伤病员医疗</w:t>
      </w:r>
      <w:r>
        <w:rPr>
          <w:spacing w:val="7"/>
        </w:rPr>
        <w:t>救援、相关区域卫生防疫等工作；根据需要设</w:t>
      </w:r>
      <w:r>
        <w:rPr>
          <w:spacing w:val="7"/>
        </w:rPr>
        <w:t>置临时医疗点或组派巡回医疗队，为抢险扑救</w:t>
      </w:r>
      <w:r>
        <w:rPr>
          <w:spacing w:val="8"/>
        </w:rPr>
        <w:t>人员和群众提供医疗卫生保障。</w:t>
      </w:r>
    </w:p>
    <w:p>
      <w:pPr>
        <w:pStyle w:val="BodyText"/>
        <w:ind w:left="428"/>
        <w:spacing w:before="1" w:line="278" w:lineRule="exact"/>
        <w:rPr/>
      </w:pPr>
      <w:r>
        <w:rPr>
          <w:position w:val="1"/>
        </w:rPr>
        <w:t>（</w:t>
      </w:r>
      <w:r>
        <w:rPr>
          <w:spacing w:val="-54"/>
          <w:position w:val="1"/>
        </w:rPr>
        <w:t xml:space="preserve"> </w:t>
      </w:r>
      <w:r>
        <w:rPr>
          <w:rFonts w:ascii="Times New Roman" w:hAnsi="Times New Roman" w:eastAsia="Times New Roman" w:cs="Times New Roman"/>
          <w:position w:val="1"/>
        </w:rPr>
        <w:t>8</w:t>
      </w:r>
      <w:r>
        <w:rPr>
          <w:rFonts w:ascii="Times New Roman" w:hAnsi="Times New Roman" w:eastAsia="Times New Roman" w:cs="Times New Roman"/>
          <w:spacing w:val="-21"/>
          <w:position w:val="1"/>
        </w:rPr>
        <w:t xml:space="preserve"> </w:t>
      </w:r>
      <w:r>
        <w:rPr>
          <w:position w:val="1"/>
        </w:rPr>
        <w:t>）火案侦破组。</w:t>
      </w:r>
    </w:p>
    <w:p>
      <w:pPr>
        <w:pStyle w:val="BodyText"/>
        <w:ind w:left="436"/>
        <w:spacing w:before="123" w:line="278" w:lineRule="exact"/>
        <w:rPr/>
      </w:pPr>
      <w:r>
        <w:rPr>
          <w:spacing w:val="9"/>
          <w:position w:val="1"/>
        </w:rPr>
        <w:t>组长单位：市公安局</w:t>
      </w:r>
    </w:p>
    <w:p>
      <w:pPr>
        <w:pStyle w:val="BodyText"/>
        <w:ind w:left="408"/>
        <w:spacing w:before="123" w:line="277" w:lineRule="exact"/>
        <w:rPr/>
      </w:pPr>
      <w:r>
        <w:rPr>
          <w:spacing w:val="-5"/>
          <w:position w:val="1"/>
        </w:rPr>
        <w:t>成员单位：各县（区）公安局和基层派出所</w:t>
      </w:r>
    </w:p>
    <w:p>
      <w:pPr>
        <w:pStyle w:val="BodyText"/>
        <w:ind w:left="16" w:right="327" w:firstLine="428"/>
        <w:spacing w:before="128" w:line="357" w:lineRule="auto"/>
        <w:rPr/>
      </w:pPr>
      <w:r>
        <w:rPr>
          <w:spacing w:val="6"/>
        </w:rPr>
        <w:t>主要职责：负责火灾案件侦破、肇事者查</w:t>
      </w:r>
      <w:r>
        <w:rPr>
          <w:spacing w:val="8"/>
        </w:rPr>
        <w:t>处及扑火前指挥部安全保卫工作。</w:t>
      </w:r>
    </w:p>
    <w:p>
      <w:pPr>
        <w:pStyle w:val="BodyText"/>
        <w:ind w:left="428"/>
        <w:spacing w:before="43" w:line="278" w:lineRule="exact"/>
        <w:rPr/>
      </w:pPr>
      <w:r>
        <w:rPr>
          <w:spacing w:val="5"/>
          <w:position w:val="1"/>
        </w:rPr>
        <w:t>（</w:t>
      </w:r>
      <w:r>
        <w:rPr>
          <w:rFonts w:ascii="Times New Roman" w:hAnsi="Times New Roman" w:eastAsia="Times New Roman" w:cs="Times New Roman"/>
          <w:spacing w:val="5"/>
          <w:position w:val="1"/>
        </w:rPr>
        <w:t>9</w:t>
      </w:r>
      <w:r>
        <w:rPr>
          <w:rFonts w:ascii="Times New Roman" w:hAnsi="Times New Roman" w:eastAsia="Times New Roman" w:cs="Times New Roman"/>
          <w:spacing w:val="-20"/>
          <w:position w:val="1"/>
        </w:rPr>
        <w:t xml:space="preserve"> </w:t>
      </w:r>
      <w:r>
        <w:rPr>
          <w:spacing w:val="5"/>
          <w:position w:val="1"/>
        </w:rPr>
        <w:t>）专家指导组。</w:t>
      </w:r>
    </w:p>
    <w:p>
      <w:pPr>
        <w:pStyle w:val="BodyText"/>
        <w:ind w:left="439"/>
        <w:spacing w:before="130" w:line="277" w:lineRule="exact"/>
        <w:rPr/>
      </w:pPr>
      <w:r>
        <w:rPr>
          <w:spacing w:val="9"/>
          <w:position w:val="1"/>
        </w:rPr>
        <w:t>牵头单位：市自然资源局</w:t>
      </w:r>
    </w:p>
    <w:p>
      <w:pPr>
        <w:pStyle w:val="BodyText"/>
        <w:ind w:left="436"/>
        <w:spacing w:before="131" w:line="278" w:lineRule="exact"/>
        <w:rPr/>
      </w:pPr>
      <w:r>
        <w:rPr>
          <w:spacing w:val="9"/>
          <w:position w:val="1"/>
        </w:rPr>
        <w:t>组成单位：市公安局、气象局</w:t>
      </w:r>
    </w:p>
    <w:p>
      <w:pPr>
        <w:pStyle w:val="BodyText"/>
        <w:ind w:left="15" w:right="327" w:firstLine="429"/>
        <w:spacing w:before="129" w:line="375" w:lineRule="auto"/>
        <w:jc w:val="both"/>
        <w:rPr/>
      </w:pPr>
      <w:r>
        <w:rPr>
          <w:spacing w:val="6"/>
        </w:rPr>
        <w:t>主要职责：负责火环境、火行为分析，并</w:t>
      </w:r>
      <w:r>
        <w:rPr>
          <w:spacing w:val="7"/>
        </w:rPr>
        <w:t>对火场态势进行科学研判，提出扑火方案；根</w:t>
      </w:r>
      <w:r>
        <w:rPr>
          <w:spacing w:val="7"/>
        </w:rPr>
        <w:t>据市森林草原防灭火指挥部授权，开展火灾调</w:t>
      </w:r>
      <w:r>
        <w:rPr>
          <w:spacing w:val="9"/>
        </w:rPr>
        <w:t>查、火灾损失评估和处置绩效评价。</w:t>
      </w:r>
    </w:p>
    <w:p>
      <w:pPr>
        <w:ind w:left="441"/>
        <w:spacing w:before="8" w:line="242" w:lineRule="auto"/>
        <w:rPr>
          <w:rFonts w:ascii="KaiTi" w:hAnsi="KaiTi" w:eastAsia="KaiTi" w:cs="KaiTi"/>
          <w:sz w:val="20"/>
          <w:szCs w:val="20"/>
        </w:rPr>
      </w:pPr>
      <w:r>
        <w:rPr>
          <w:rFonts w:ascii="Times New Roman" w:hAnsi="Times New Roman" w:eastAsia="Times New Roman" w:cs="Times New Roman"/>
          <w:sz w:val="20"/>
          <w:szCs w:val="20"/>
          <w:spacing w:val="6"/>
        </w:rPr>
        <w:t>3.3  </w:t>
      </w:r>
      <w:r>
        <w:rPr>
          <w:rFonts w:ascii="KaiTi" w:hAnsi="KaiTi" w:eastAsia="KaiTi" w:cs="KaiTi"/>
          <w:sz w:val="20"/>
          <w:szCs w:val="20"/>
          <w:spacing w:val="6"/>
        </w:rPr>
        <w:t>成员单位主要职责。</w:t>
      </w:r>
    </w:p>
    <w:p>
      <w:pPr>
        <w:pStyle w:val="BodyText"/>
        <w:ind w:left="16" w:right="327" w:firstLine="411"/>
        <w:spacing w:before="147" w:line="338"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）市发展和改革委：负责森林草原防</w:t>
      </w:r>
      <w:r>
        <w:rPr>
          <w:spacing w:val="18"/>
        </w:rPr>
        <w:t>灭火和火灾扑救的基础设施建设和灾后重建</w:t>
      </w:r>
      <w:r>
        <w:rPr>
          <w:spacing w:val="7"/>
        </w:rPr>
        <w:t>项目审批，并将其纳入基本建设计划；协调应</w:t>
      </w:r>
      <w:r>
        <w:rPr>
          <w:spacing w:val="9"/>
        </w:rPr>
        <w:t>急物资的储存、调拨和紧急供应工作。</w:t>
      </w:r>
    </w:p>
    <w:p>
      <w:pPr>
        <w:pStyle w:val="BodyText"/>
        <w:ind w:left="17" w:right="327" w:firstLine="410"/>
        <w:spacing w:before="168" w:line="338"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）市教育体育局：负责组织、指导学</w:t>
      </w:r>
      <w:r>
        <w:rPr>
          <w:spacing w:val="18"/>
        </w:rPr>
        <w:t>校开展森林草原防灭火安全知识和法律法规</w:t>
      </w:r>
      <w:r>
        <w:rPr>
          <w:spacing w:val="7"/>
        </w:rPr>
        <w:t>教育，将森林草原防灭火宣传教育工作纳入学</w:t>
      </w:r>
      <w:r>
        <w:rPr>
          <w:spacing w:val="8"/>
        </w:rPr>
        <w:t>生安全教育范畴。</w:t>
      </w:r>
    </w:p>
    <w:p>
      <w:pPr>
        <w:spacing w:line="14" w:lineRule="auto"/>
        <w:rPr>
          <w:rFonts w:ascii="Arial"/>
          <w:sz w:val="2"/>
        </w:rPr>
      </w:pPr>
      <w:r>
        <w:rPr>
          <w:rFonts w:ascii="Arial" w:hAnsi="Arial" w:eastAsia="Arial" w:cs="Arial"/>
          <w:sz w:val="2"/>
          <w:szCs w:val="2"/>
        </w:rPr>
        <w:br w:type="column"/>
      </w:r>
    </w:p>
    <w:p>
      <w:pPr>
        <w:pStyle w:val="BodyText"/>
        <w:ind w:left="1" w:right="59" w:firstLine="413"/>
        <w:spacing w:before="47" w:line="358"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）市工业和信息化局：负责协调有关</w:t>
      </w:r>
      <w:r>
        <w:rPr>
          <w:spacing w:val="18"/>
        </w:rPr>
        <w:t>单位落实免收森林草原防灭火抢险救灾专用</w:t>
      </w:r>
      <w:r>
        <w:rPr>
          <w:spacing w:val="7"/>
        </w:rPr>
        <w:t>无线电台频率占用费等政策；负责协调森林草</w:t>
      </w:r>
      <w:r>
        <w:rPr>
          <w:spacing w:val="7"/>
        </w:rPr>
        <w:t>原火灾有关抢险救援工业产品的应急保障；根</w:t>
      </w:r>
      <w:r>
        <w:rPr>
          <w:spacing w:val="18"/>
        </w:rPr>
        <w:t>据指挥部指令协调相关单位落实医药储备的</w:t>
      </w:r>
      <w:r>
        <w:rPr>
          <w:spacing w:val="7"/>
        </w:rPr>
        <w:t>紧急调用和火场应急通信保障；完成市森林草</w:t>
      </w:r>
      <w:r>
        <w:rPr>
          <w:spacing w:val="18"/>
        </w:rPr>
        <w:t>原防灭火指挥部交办的其他森林草原防灭火</w:t>
      </w:r>
      <w:r>
        <w:rPr>
          <w:spacing w:val="5"/>
        </w:rPr>
        <w:t>工作。</w:t>
      </w:r>
    </w:p>
    <w:p>
      <w:pPr>
        <w:pStyle w:val="BodyText"/>
        <w:ind w:left="3" w:right="59" w:firstLine="410"/>
        <w:spacing w:before="165" w:line="346"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）市公安局：负责灾区治安管理、安</w:t>
      </w:r>
      <w:r>
        <w:rPr>
          <w:spacing w:val="7"/>
        </w:rPr>
        <w:t>全保卫、火场交通管制和火案侦破等工作，预</w:t>
      </w:r>
      <w:r>
        <w:rPr>
          <w:spacing w:val="18"/>
        </w:rPr>
        <w:t>防和打击各种侵害森林草原安全的违法犯罪</w:t>
      </w:r>
      <w:r>
        <w:rPr>
          <w:spacing w:val="7"/>
        </w:rPr>
        <w:t>活动，维护治安秩序，保障森林草原消防车辆</w:t>
      </w:r>
      <w:r>
        <w:rPr>
          <w:spacing w:val="8"/>
        </w:rPr>
        <w:t>的优先通行工作。</w:t>
      </w:r>
    </w:p>
    <w:p>
      <w:pPr>
        <w:pStyle w:val="BodyText"/>
        <w:ind w:left="1" w:right="36" w:firstLine="413"/>
        <w:spacing w:before="166" w:line="338" w:lineRule="auto"/>
        <w:rPr/>
      </w:pPr>
      <w:r>
        <w:rPr>
          <w:spacing w:val="8"/>
        </w:rPr>
        <w:t>（</w:t>
      </w:r>
      <w:r>
        <w:rPr>
          <w:spacing w:val="-45"/>
        </w:rPr>
        <w:t xml:space="preserve"> </w:t>
      </w:r>
      <w:r>
        <w:rPr>
          <w:rFonts w:ascii="Times New Roman" w:hAnsi="Times New Roman" w:eastAsia="Times New Roman" w:cs="Times New Roman"/>
          <w:spacing w:val="8"/>
        </w:rPr>
        <w:t>5</w:t>
      </w:r>
      <w:r>
        <w:rPr>
          <w:rFonts w:ascii="Times New Roman" w:hAnsi="Times New Roman" w:eastAsia="Times New Roman" w:cs="Times New Roman"/>
          <w:spacing w:val="-19"/>
        </w:rPr>
        <w:t xml:space="preserve"> </w:t>
      </w:r>
      <w:r>
        <w:rPr>
          <w:spacing w:val="8"/>
        </w:rPr>
        <w:t>）市民政局：负责教育、引导公民文</w:t>
      </w:r>
      <w:r>
        <w:rPr>
          <w:spacing w:val="8"/>
        </w:rPr>
        <w:t>明祭祀，做好森林草原防火区及周边的陵园、</w:t>
      </w:r>
      <w:r>
        <w:rPr>
          <w:spacing w:val="7"/>
        </w:rPr>
        <w:t>公墓的火源管理工作；指导火灾发生地民政部</w:t>
      </w:r>
      <w:r>
        <w:rPr>
          <w:spacing w:val="9"/>
        </w:rPr>
        <w:t>门做好受灾群众基本生活救助工作。</w:t>
      </w:r>
    </w:p>
    <w:p>
      <w:pPr>
        <w:pStyle w:val="BodyText"/>
        <w:ind w:right="59" w:firstLine="414"/>
        <w:spacing w:before="167" w:line="351" w:lineRule="auto"/>
        <w:rPr/>
      </w:pPr>
      <w:r>
        <w:rPr>
          <w:spacing w:val="11"/>
        </w:rPr>
        <w:t>（</w:t>
      </w:r>
      <w:r>
        <w:rPr>
          <w:rFonts w:ascii="Times New Roman" w:hAnsi="Times New Roman" w:eastAsia="Times New Roman" w:cs="Times New Roman"/>
          <w:spacing w:val="11"/>
        </w:rPr>
        <w:t>6</w:t>
      </w:r>
      <w:r>
        <w:rPr>
          <w:rFonts w:ascii="Times New Roman" w:hAnsi="Times New Roman" w:eastAsia="Times New Roman" w:cs="Times New Roman"/>
          <w:spacing w:val="-18"/>
        </w:rPr>
        <w:t xml:space="preserve"> </w:t>
      </w:r>
      <w:r>
        <w:rPr>
          <w:spacing w:val="11"/>
        </w:rPr>
        <w:t>）市财政局：负责保障市本级森林草</w:t>
      </w:r>
      <w:r>
        <w:rPr>
          <w:spacing w:val="7"/>
        </w:rPr>
        <w:t>原防灭火工作经费，落实扑救较大森林草原火</w:t>
      </w:r>
      <w:r>
        <w:rPr>
          <w:spacing w:val="7"/>
        </w:rPr>
        <w:t>灾的准备金，及时支付市本级扑救费用，将森</w:t>
      </w:r>
      <w:r>
        <w:rPr>
          <w:spacing w:val="7"/>
        </w:rPr>
        <w:t>林草原防火基础设施、扑火队伍装备、扑火物</w:t>
      </w:r>
      <w:r>
        <w:rPr>
          <w:spacing w:val="7"/>
        </w:rPr>
        <w:t>资储备（供应）以及灾后重建等所需资金列入</w:t>
      </w:r>
      <w:r>
        <w:rPr>
          <w:spacing w:val="7"/>
        </w:rPr>
        <w:t>财政预算。</w:t>
      </w:r>
    </w:p>
    <w:p>
      <w:pPr>
        <w:pStyle w:val="BodyText"/>
        <w:ind w:left="3" w:right="36" w:firstLine="410"/>
        <w:spacing w:before="165" w:line="346" w:lineRule="auto"/>
        <w:rPr/>
      </w:pPr>
      <w:r>
        <w:rPr>
          <w:spacing w:val="11"/>
        </w:rPr>
        <w:t>（</w:t>
      </w:r>
      <w:r>
        <w:rPr>
          <w:rFonts w:ascii="Times New Roman" w:hAnsi="Times New Roman" w:eastAsia="Times New Roman" w:cs="Times New Roman"/>
          <w:spacing w:val="11"/>
        </w:rPr>
        <w:t>7</w:t>
      </w:r>
      <w:r>
        <w:rPr>
          <w:rFonts w:ascii="Times New Roman" w:hAnsi="Times New Roman" w:eastAsia="Times New Roman" w:cs="Times New Roman"/>
          <w:spacing w:val="-18"/>
        </w:rPr>
        <w:t xml:space="preserve"> </w:t>
      </w:r>
      <w:r>
        <w:rPr>
          <w:spacing w:val="11"/>
        </w:rPr>
        <w:t>）市自然资源局：履行森林草原防火</w:t>
      </w:r>
      <w:r>
        <w:rPr>
          <w:spacing w:val="7"/>
        </w:rPr>
        <w:t>工作行业管理责任，具体负责森林草原火灾预</w:t>
      </w:r>
      <w:r>
        <w:rPr>
          <w:spacing w:val="8"/>
        </w:rPr>
        <w:t>防相关工作，指导开展防火巡护、火源管理、</w:t>
      </w:r>
      <w:r>
        <w:rPr>
          <w:spacing w:val="7"/>
        </w:rPr>
        <w:t>日常检查、宣传教育、防火设施建设等，同时</w:t>
      </w:r>
      <w:r>
        <w:rPr>
          <w:spacing w:val="8"/>
        </w:rPr>
        <w:t>负责森林草原火情早期处理相关工作。</w:t>
      </w:r>
    </w:p>
    <w:p>
      <w:pPr>
        <w:pStyle w:val="BodyText"/>
        <w:ind w:left="3" w:right="59" w:firstLine="410"/>
        <w:spacing w:before="165" w:line="330" w:lineRule="auto"/>
        <w:rPr/>
      </w:pPr>
      <w:r>
        <w:rPr>
          <w:spacing w:val="8"/>
        </w:rPr>
        <w:t>（</w:t>
      </w:r>
      <w:r>
        <w:rPr>
          <w:spacing w:val="-45"/>
        </w:rPr>
        <w:t xml:space="preserve"> </w:t>
      </w:r>
      <w:r>
        <w:rPr>
          <w:rFonts w:ascii="Times New Roman" w:hAnsi="Times New Roman" w:eastAsia="Times New Roman" w:cs="Times New Roman"/>
          <w:spacing w:val="8"/>
        </w:rPr>
        <w:t>8</w:t>
      </w:r>
      <w:r>
        <w:rPr>
          <w:rFonts w:ascii="Times New Roman" w:hAnsi="Times New Roman" w:eastAsia="Times New Roman" w:cs="Times New Roman"/>
          <w:spacing w:val="-19"/>
        </w:rPr>
        <w:t xml:space="preserve"> </w:t>
      </w:r>
      <w:r>
        <w:rPr>
          <w:spacing w:val="8"/>
        </w:rPr>
        <w:t>）市生态环境局：负责监督和管理其</w:t>
      </w:r>
      <w:r>
        <w:rPr>
          <w:spacing w:val="7"/>
        </w:rPr>
        <w:t>管辖区单位的森林草原防灭火工作；对受森林</w:t>
      </w:r>
      <w:r>
        <w:rPr>
          <w:spacing w:val="7"/>
        </w:rPr>
        <w:t>草原火灾影响下的环境进行监测、评估，并为</w:t>
      </w:r>
      <w:r>
        <w:rPr>
          <w:spacing w:val="8"/>
        </w:rPr>
        <w:t>灾后安置提供决策依据。</w:t>
      </w:r>
    </w:p>
    <w:p>
      <w:pPr>
        <w:spacing w:line="330" w:lineRule="auto"/>
        <w:sectPr>
          <w:type w:val="continuous"/>
          <w:pgSz w:w="11906" w:h="16839"/>
          <w:pgMar w:top="1766" w:right="1530" w:bottom="1551" w:left="1576" w:header="1428" w:footer="1172" w:gutter="0"/>
          <w:cols w:equalWidth="0" w:num="2">
            <w:col w:w="4491" w:space="100"/>
            <w:col w:w="4209" w:space="0"/>
          </w:cols>
        </w:sectPr>
        <w:rPr/>
      </w:pPr>
    </w:p>
    <w:p>
      <w:pPr>
        <w:spacing w:before="55"/>
        <w:rPr/>
      </w:pPr>
      <w:r>
        <w:drawing>
          <wp:anchor distT="0" distB="0" distL="0" distR="0" simplePos="0" relativeHeight="252550144" behindDoc="0" locked="0" layoutInCell="0" allowOverlap="1">
            <wp:simplePos x="0" y="0"/>
            <wp:positionH relativeFrom="page">
              <wp:posOffset>1008380</wp:posOffset>
            </wp:positionH>
            <wp:positionV relativeFrom="page">
              <wp:posOffset>1186180</wp:posOffset>
            </wp:positionV>
            <wp:extent cx="5579745" cy="7619"/>
            <wp:effectExtent l="0" t="0" r="0" b="0"/>
            <wp:wrapNone/>
            <wp:docPr id="1562" name="IM 1562"/>
            <wp:cNvGraphicFramePr/>
            <a:graphic>
              <a:graphicData uri="http://schemas.openxmlformats.org/drawingml/2006/picture">
                <pic:pic>
                  <pic:nvPicPr>
                    <pic:cNvPr id="1562" name="IM 1562"/>
                    <pic:cNvPicPr/>
                  </pic:nvPicPr>
                  <pic:blipFill>
                    <a:blip r:embed="rId783"/>
                    <a:stretch>
                      <a:fillRect/>
                    </a:stretch>
                  </pic:blipFill>
                  <pic:spPr>
                    <a:xfrm rot="0">
                      <a:off x="0" y="0"/>
                      <a:ext cx="5579745" cy="7619"/>
                    </a:xfrm>
                    <a:prstGeom prst="rect">
                      <a:avLst/>
                    </a:prstGeom>
                  </pic:spPr>
                </pic:pic>
              </a:graphicData>
            </a:graphic>
          </wp:anchor>
        </w:drawing>
      </w:r>
      <w:r/>
    </w:p>
    <w:p>
      <w:pPr>
        <w:sectPr>
          <w:headerReference w:type="default" r:id="rId743"/>
          <w:footerReference w:type="default" r:id="rId782"/>
          <w:pgSz w:w="11906" w:h="16839"/>
          <w:pgMar w:top="1828" w:right="1489" w:bottom="1556" w:left="1567" w:header="1428" w:footer="1172" w:gutter="0"/>
          <w:cols w:equalWidth="0" w:num="1">
            <w:col w:w="8850" w:space="0"/>
          </w:cols>
        </w:sectPr>
        <w:rPr/>
      </w:pPr>
    </w:p>
    <w:p>
      <w:pPr>
        <w:pStyle w:val="BodyText"/>
        <w:ind w:left="25" w:right="327" w:firstLine="411"/>
        <w:spacing w:before="2" w:line="351" w:lineRule="auto"/>
        <w:rPr/>
      </w:pPr>
      <w:r>
        <w:rPr>
          <w:spacing w:val="12"/>
        </w:rPr>
        <w:t>（</w:t>
      </w:r>
      <w:r>
        <w:rPr>
          <w:rFonts w:ascii="Times New Roman" w:hAnsi="Times New Roman" w:eastAsia="Times New Roman" w:cs="Times New Roman"/>
          <w:spacing w:val="12"/>
        </w:rPr>
        <w:t>9</w:t>
      </w:r>
      <w:r>
        <w:rPr>
          <w:spacing w:val="12"/>
        </w:rPr>
        <w:t>）市住房和城乡建设局：协助市应急</w:t>
      </w:r>
      <w:r>
        <w:rPr>
          <w:spacing w:val="7"/>
        </w:rPr>
        <w:t>管理指挥部制定火场应急供水、应急照明、应</w:t>
      </w:r>
      <w:r>
        <w:rPr>
          <w:spacing w:val="7"/>
        </w:rPr>
        <w:t>急除险方案；负责对林曹区周边建（构）筑物</w:t>
      </w:r>
      <w:r>
        <w:rPr>
          <w:spacing w:val="7"/>
        </w:rPr>
        <w:t>进行安全评估并组织安全隐患排查整治；根据</w:t>
      </w:r>
      <w:r>
        <w:rPr>
          <w:spacing w:val="18"/>
        </w:rPr>
        <w:t>指挥部指令组织住建系统相关人员和装备参</w:t>
      </w:r>
      <w:r>
        <w:rPr>
          <w:spacing w:val="7"/>
        </w:rPr>
        <w:t>与森林草原火灾应急救援工作；完成市应急管</w:t>
      </w:r>
      <w:r>
        <w:rPr>
          <w:spacing w:val="7"/>
        </w:rPr>
        <w:t>理指挥部和市委、市政府交办的其他森林草原</w:t>
      </w:r>
      <w:r>
        <w:rPr>
          <w:spacing w:val="7"/>
        </w:rPr>
        <w:t>防灭火工作任务。</w:t>
      </w:r>
    </w:p>
    <w:p>
      <w:pPr>
        <w:pStyle w:val="BodyText"/>
        <w:ind w:left="25" w:right="318" w:firstLine="412"/>
        <w:spacing w:before="163" w:line="353" w:lineRule="auto"/>
        <w:rPr/>
      </w:pPr>
      <w:r>
        <w:rPr>
          <w:spacing w:val="2"/>
        </w:rPr>
        <w:t>（</w:t>
      </w:r>
      <w:r>
        <w:rPr>
          <w:spacing w:val="-34"/>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21"/>
        </w:rPr>
        <w:t xml:space="preserve"> </w:t>
      </w:r>
      <w:r>
        <w:rPr>
          <w:spacing w:val="2"/>
        </w:rPr>
        <w:t>）市交通运输局：负责组织、指导和</w:t>
      </w:r>
      <w:r>
        <w:rPr>
          <w:spacing w:val="7"/>
        </w:rPr>
        <w:t>监督公路用地范围内的森林草原防灭火工作；</w:t>
      </w:r>
      <w:r>
        <w:rPr>
          <w:spacing w:val="18"/>
        </w:rPr>
        <w:t>做好森林草原火灾扑救人员和扑救物资等应</w:t>
      </w:r>
      <w:r>
        <w:rPr>
          <w:spacing w:val="7"/>
        </w:rPr>
        <w:t>急运输保障；配合做好森林草原防火道路基础</w:t>
      </w:r>
      <w:r>
        <w:rPr>
          <w:spacing w:val="7"/>
        </w:rPr>
        <w:t>信息采集及规划建设工作；协调执行扑救森林</w:t>
      </w:r>
      <w:r>
        <w:rPr>
          <w:spacing w:val="18"/>
        </w:rPr>
        <w:t>草原火灾任务的森林草原消防专用车辆免缴</w:t>
      </w:r>
      <w:r>
        <w:rPr>
          <w:spacing w:val="8"/>
        </w:rPr>
        <w:t>车辆通行费工作。</w:t>
      </w:r>
    </w:p>
    <w:p>
      <w:pPr>
        <w:pStyle w:val="BodyText"/>
        <w:ind w:left="26" w:right="327" w:firstLine="410"/>
        <w:spacing w:before="163" w:line="337" w:lineRule="auto"/>
        <w:rPr/>
      </w:pPr>
      <w:r>
        <w:rPr>
          <w:spacing w:val="2"/>
        </w:rPr>
        <w:t>（</w:t>
      </w:r>
      <w:r>
        <w:rPr>
          <w:spacing w:val="-35"/>
        </w:rPr>
        <w:t xml:space="preserve"> </w:t>
      </w:r>
      <w:r>
        <w:rPr>
          <w:rFonts w:ascii="Times New Roman" w:hAnsi="Times New Roman" w:eastAsia="Times New Roman" w:cs="Times New Roman"/>
          <w:spacing w:val="2"/>
        </w:rPr>
        <w:t>11</w:t>
      </w:r>
      <w:r>
        <w:rPr>
          <w:rFonts w:ascii="Times New Roman" w:hAnsi="Times New Roman" w:eastAsia="Times New Roman" w:cs="Times New Roman"/>
          <w:spacing w:val="-20"/>
        </w:rPr>
        <w:t xml:space="preserve"> </w:t>
      </w:r>
      <w:r>
        <w:rPr>
          <w:spacing w:val="2"/>
        </w:rPr>
        <w:t>）市水务局：做好火灾扑救水源保障</w:t>
      </w:r>
      <w:r>
        <w:rPr>
          <w:spacing w:val="7"/>
        </w:rPr>
        <w:t>工作；参与森林火灾扑救增援工作；完成市应</w:t>
      </w:r>
      <w:r>
        <w:rPr>
          <w:spacing w:val="7"/>
        </w:rPr>
        <w:t>急管理指挥部和市委、市政府交办的其他森林</w:t>
      </w:r>
      <w:r>
        <w:rPr>
          <w:spacing w:val="8"/>
        </w:rPr>
        <w:t>草原防灭火工作任务。</w:t>
      </w:r>
    </w:p>
    <w:p>
      <w:pPr>
        <w:pStyle w:val="BodyText"/>
        <w:ind w:left="26" w:right="304" w:firstLine="410"/>
        <w:spacing w:before="163" w:line="324" w:lineRule="auto"/>
        <w:rPr/>
      </w:pPr>
      <w:r>
        <w:rPr>
          <w:spacing w:val="3"/>
        </w:rPr>
        <w:t>（</w:t>
      </w:r>
      <w:r>
        <w:rPr>
          <w:spacing w:val="-30"/>
        </w:rPr>
        <w:t xml:space="preserve"> </w:t>
      </w:r>
      <w:r>
        <w:rPr>
          <w:rFonts w:ascii="Times New Roman" w:hAnsi="Times New Roman" w:eastAsia="Times New Roman" w:cs="Times New Roman"/>
          <w:spacing w:val="3"/>
        </w:rPr>
        <w:t>12</w:t>
      </w:r>
      <w:r>
        <w:rPr>
          <w:rFonts w:ascii="Times New Roman" w:hAnsi="Times New Roman" w:eastAsia="Times New Roman" w:cs="Times New Roman"/>
          <w:spacing w:val="-21"/>
        </w:rPr>
        <w:t xml:space="preserve"> </w:t>
      </w:r>
      <w:r>
        <w:rPr>
          <w:spacing w:val="3"/>
        </w:rPr>
        <w:t>）市农业农村局：负责指导、监督、</w:t>
      </w:r>
      <w:r>
        <w:rPr>
          <w:spacing w:val="7"/>
        </w:rPr>
        <w:t>管理野外农事用火；协同做好农村森林草原火</w:t>
      </w:r>
      <w:r>
        <w:rPr>
          <w:spacing w:val="7"/>
        </w:rPr>
        <w:t>灾预防工作。</w:t>
      </w:r>
    </w:p>
    <w:p>
      <w:pPr>
        <w:pStyle w:val="BodyText"/>
        <w:ind w:left="30" w:right="327" w:firstLine="406"/>
        <w:spacing w:before="160" w:line="336" w:lineRule="auto"/>
        <w:rPr/>
      </w:pPr>
      <w:r>
        <w:rPr>
          <w:spacing w:val="2"/>
        </w:rPr>
        <w:t>（</w:t>
      </w:r>
      <w:r>
        <w:rPr>
          <w:spacing w:val="-35"/>
        </w:rPr>
        <w:t xml:space="preserve"> </w:t>
      </w:r>
      <w:r>
        <w:rPr>
          <w:rFonts w:ascii="Times New Roman" w:hAnsi="Times New Roman" w:eastAsia="Times New Roman" w:cs="Times New Roman"/>
          <w:spacing w:val="2"/>
        </w:rPr>
        <w:t>13</w:t>
      </w:r>
      <w:r>
        <w:rPr>
          <w:rFonts w:ascii="Times New Roman" w:hAnsi="Times New Roman" w:eastAsia="Times New Roman" w:cs="Times New Roman"/>
          <w:spacing w:val="-20"/>
        </w:rPr>
        <w:t xml:space="preserve"> </w:t>
      </w:r>
      <w:r>
        <w:rPr>
          <w:spacing w:val="2"/>
        </w:rPr>
        <w:t>）市商务投资局：组织实施生活必需</w:t>
      </w:r>
      <w:r>
        <w:rPr>
          <w:spacing w:val="7"/>
        </w:rPr>
        <w:t>品市场调控，保障森林草原火灾发生时所需生</w:t>
      </w:r>
      <w:r>
        <w:rPr>
          <w:spacing w:val="6"/>
        </w:rPr>
        <w:t>活必需品供应。</w:t>
      </w:r>
    </w:p>
    <w:p>
      <w:pPr>
        <w:pStyle w:val="BodyText"/>
        <w:ind w:left="24" w:right="327" w:firstLine="413"/>
        <w:spacing w:before="131" w:line="353" w:lineRule="auto"/>
        <w:rPr/>
      </w:pPr>
      <w:r>
        <w:rPr>
          <w:spacing w:val="2"/>
        </w:rPr>
        <w:t>（</w:t>
      </w:r>
      <w:r>
        <w:rPr>
          <w:spacing w:val="-35"/>
        </w:rPr>
        <w:t xml:space="preserve"> </w:t>
      </w:r>
      <w:r>
        <w:rPr>
          <w:rFonts w:ascii="Times New Roman" w:hAnsi="Times New Roman" w:eastAsia="Times New Roman" w:cs="Times New Roman"/>
          <w:spacing w:val="2"/>
        </w:rPr>
        <w:t>14</w:t>
      </w:r>
      <w:r>
        <w:rPr>
          <w:rFonts w:ascii="Times New Roman" w:hAnsi="Times New Roman" w:eastAsia="Times New Roman" w:cs="Times New Roman"/>
          <w:spacing w:val="-20"/>
        </w:rPr>
        <w:t xml:space="preserve"> </w:t>
      </w:r>
      <w:r>
        <w:rPr>
          <w:spacing w:val="2"/>
        </w:rPr>
        <w:t>）市文化旅游广电局：配合自然资源</w:t>
      </w:r>
      <w:r>
        <w:rPr>
          <w:spacing w:val="18"/>
        </w:rPr>
        <w:t>部门督促和指导有森林防灭火任务的旅游景</w:t>
      </w:r>
      <w:r>
        <w:rPr>
          <w:spacing w:val="7"/>
        </w:rPr>
        <w:t>区建立森林草原防灭火责任制、配备设施和设</w:t>
      </w:r>
      <w:r>
        <w:rPr>
          <w:spacing w:val="7"/>
        </w:rPr>
        <w:t>备情况，做好预防和应急准备工作；对进入其</w:t>
      </w:r>
      <w:r>
        <w:rPr>
          <w:spacing w:val="18"/>
        </w:rPr>
        <w:t>经营范围的导游和游客进行森林草原防灭火</w:t>
      </w:r>
      <w:r>
        <w:rPr>
          <w:spacing w:val="7"/>
        </w:rPr>
        <w:t>宣传教育管理；做好森林草原防火宣传报道相</w:t>
      </w:r>
      <w:r>
        <w:rPr>
          <w:spacing w:val="6"/>
        </w:rPr>
        <w:t>关工作。</w:t>
      </w:r>
    </w:p>
    <w:p>
      <w:pPr>
        <w:spacing w:line="14" w:lineRule="auto"/>
        <w:rPr>
          <w:rFonts w:ascii="Arial"/>
          <w:sz w:val="2"/>
        </w:rPr>
      </w:pPr>
      <w:r>
        <w:rPr>
          <w:rFonts w:ascii="Arial" w:hAnsi="Arial" w:eastAsia="Arial" w:cs="Arial"/>
          <w:sz w:val="2"/>
          <w:szCs w:val="2"/>
        </w:rPr>
        <w:br w:type="column"/>
      </w:r>
    </w:p>
    <w:p>
      <w:pPr>
        <w:pStyle w:val="BodyText"/>
        <w:ind w:left="2" w:right="18" w:firstLine="412"/>
        <w:spacing w:before="2" w:line="338" w:lineRule="auto"/>
        <w:rPr/>
      </w:pPr>
      <w:r>
        <w:rPr>
          <w:spacing w:val="2"/>
        </w:rPr>
        <w:t>（</w:t>
      </w:r>
      <w:r>
        <w:rPr>
          <w:spacing w:val="-35"/>
        </w:rPr>
        <w:t xml:space="preserve"> </w:t>
      </w:r>
      <w:r>
        <w:rPr>
          <w:rFonts w:ascii="Times New Roman" w:hAnsi="Times New Roman" w:eastAsia="Times New Roman" w:cs="Times New Roman"/>
          <w:spacing w:val="2"/>
        </w:rPr>
        <w:t>15</w:t>
      </w:r>
      <w:r>
        <w:rPr>
          <w:rFonts w:ascii="Times New Roman" w:hAnsi="Times New Roman" w:eastAsia="Times New Roman" w:cs="Times New Roman"/>
          <w:spacing w:val="-20"/>
        </w:rPr>
        <w:t xml:space="preserve"> </w:t>
      </w:r>
      <w:r>
        <w:rPr>
          <w:spacing w:val="2"/>
        </w:rPr>
        <w:t>）市卫生健康委：负责组建医疗卫生</w:t>
      </w:r>
      <w:r>
        <w:rPr>
          <w:spacing w:val="7"/>
        </w:rPr>
        <w:t>应急专业技术队伍，根据需要及时赴火灾现场</w:t>
      </w:r>
      <w:r>
        <w:rPr>
          <w:spacing w:val="18"/>
        </w:rPr>
        <w:t>开展医疗救治、疾病预防控制等卫生应急工</w:t>
      </w:r>
      <w:r>
        <w:rPr>
          <w:spacing w:val="-8"/>
        </w:rPr>
        <w:t>作；组织医务人员参加森林草原防灭火演练工作。</w:t>
      </w:r>
    </w:p>
    <w:p>
      <w:pPr>
        <w:pStyle w:val="BodyText"/>
        <w:ind w:left="3" w:right="20" w:firstLine="411"/>
        <w:spacing w:before="157" w:line="325" w:lineRule="auto"/>
        <w:rPr/>
      </w:pPr>
      <w:r>
        <w:rPr>
          <w:spacing w:val="2"/>
        </w:rPr>
        <w:t>（</w:t>
      </w:r>
      <w:r>
        <w:rPr>
          <w:spacing w:val="-35"/>
        </w:rPr>
        <w:t xml:space="preserve"> </w:t>
      </w:r>
      <w:r>
        <w:rPr>
          <w:rFonts w:ascii="Times New Roman" w:hAnsi="Times New Roman" w:eastAsia="Times New Roman" w:cs="Times New Roman"/>
          <w:spacing w:val="2"/>
        </w:rPr>
        <w:t>16</w:t>
      </w:r>
      <w:r>
        <w:rPr>
          <w:rFonts w:ascii="Times New Roman" w:hAnsi="Times New Roman" w:eastAsia="Times New Roman" w:cs="Times New Roman"/>
          <w:spacing w:val="-20"/>
        </w:rPr>
        <w:t xml:space="preserve"> </w:t>
      </w:r>
      <w:r>
        <w:rPr>
          <w:spacing w:val="2"/>
        </w:rPr>
        <w:t>）市应急管理局：履行市森林草原防</w:t>
      </w:r>
      <w:r>
        <w:rPr>
          <w:spacing w:val="1"/>
        </w:rPr>
        <w:t>灭火指挥部办公室职责，负责林（草）区煤矿、</w:t>
      </w:r>
      <w:r>
        <w:rPr>
          <w:spacing w:val="9"/>
        </w:rPr>
        <w:t>非煤矿山生产企业的生产安全监督管理工作。</w:t>
      </w:r>
    </w:p>
    <w:p>
      <w:pPr>
        <w:pStyle w:val="BodyText"/>
        <w:ind w:right="101" w:firstLine="414"/>
        <w:spacing w:before="165" w:line="344" w:lineRule="auto"/>
        <w:rPr/>
      </w:pPr>
      <w:r>
        <w:rPr>
          <w:spacing w:val="4"/>
        </w:rPr>
        <w:t>（</w:t>
      </w:r>
      <w:r>
        <w:rPr>
          <w:spacing w:val="-43"/>
        </w:rPr>
        <w:t xml:space="preserve"> </w:t>
      </w:r>
      <w:r>
        <w:rPr>
          <w:rFonts w:ascii="Times New Roman" w:hAnsi="Times New Roman" w:eastAsia="Times New Roman" w:cs="Times New Roman"/>
          <w:spacing w:val="4"/>
        </w:rPr>
        <w:t>17</w:t>
      </w:r>
      <w:r>
        <w:rPr>
          <w:spacing w:val="4"/>
        </w:rPr>
        <w:t>）市城市管理局：做好管辖范围内山</w:t>
      </w:r>
      <w:r>
        <w:rPr>
          <w:spacing w:val="7"/>
        </w:rPr>
        <w:t>林的森林防灭火工作，根据市应急管理指挥部</w:t>
      </w:r>
      <w:r>
        <w:rPr>
          <w:spacing w:val="18"/>
        </w:rPr>
        <w:t>要求做好相应的森林草原防灭火应急救援工</w:t>
      </w:r>
      <w:r>
        <w:rPr>
          <w:spacing w:val="7"/>
        </w:rPr>
        <w:t>作；完成市应急管理指挥部和市委、市政府交</w:t>
      </w:r>
      <w:r>
        <w:rPr>
          <w:spacing w:val="9"/>
        </w:rPr>
        <w:t>办的其他森林草原防灭火工作任务。</w:t>
      </w:r>
    </w:p>
    <w:p>
      <w:pPr>
        <w:pStyle w:val="BodyText"/>
        <w:ind w:left="6" w:right="101" w:firstLine="408"/>
        <w:spacing w:before="165" w:line="299" w:lineRule="auto"/>
        <w:rPr/>
      </w:pPr>
      <w:r>
        <w:rPr>
          <w:spacing w:val="2"/>
        </w:rPr>
        <w:t>（</w:t>
      </w:r>
      <w:r>
        <w:rPr>
          <w:spacing w:val="-35"/>
        </w:rPr>
        <w:t xml:space="preserve"> </w:t>
      </w:r>
      <w:r>
        <w:rPr>
          <w:rFonts w:ascii="Times New Roman" w:hAnsi="Times New Roman" w:eastAsia="Times New Roman" w:cs="Times New Roman"/>
          <w:spacing w:val="2"/>
        </w:rPr>
        <w:t>18</w:t>
      </w:r>
      <w:r>
        <w:rPr>
          <w:rFonts w:ascii="Times New Roman" w:hAnsi="Times New Roman" w:eastAsia="Times New Roman" w:cs="Times New Roman"/>
          <w:spacing w:val="-20"/>
        </w:rPr>
        <w:t xml:space="preserve"> </w:t>
      </w:r>
      <w:r>
        <w:rPr>
          <w:spacing w:val="2"/>
        </w:rPr>
        <w:t>）市粮食储备局：负责森林草原火灾</w:t>
      </w:r>
      <w:r>
        <w:rPr>
          <w:spacing w:val="8"/>
        </w:rPr>
        <w:t>扑救所需粮油供应工作。</w:t>
      </w:r>
    </w:p>
    <w:p>
      <w:pPr>
        <w:pStyle w:val="BodyText"/>
        <w:ind w:left="2" w:right="101" w:firstLine="412"/>
        <w:spacing w:before="164" w:line="345" w:lineRule="auto"/>
        <w:rPr/>
      </w:pPr>
      <w:r>
        <w:rPr>
          <w:spacing w:val="2"/>
        </w:rPr>
        <w:t>（</w:t>
      </w:r>
      <w:r>
        <w:rPr>
          <w:spacing w:val="-34"/>
        </w:rPr>
        <w:t xml:space="preserve"> </w:t>
      </w:r>
      <w:r>
        <w:rPr>
          <w:rFonts w:ascii="Times New Roman" w:hAnsi="Times New Roman" w:eastAsia="Times New Roman" w:cs="Times New Roman"/>
          <w:spacing w:val="2"/>
        </w:rPr>
        <w:t>19</w:t>
      </w:r>
      <w:r>
        <w:rPr>
          <w:rFonts w:ascii="Times New Roman" w:hAnsi="Times New Roman" w:eastAsia="Times New Roman" w:cs="Times New Roman"/>
          <w:spacing w:val="-21"/>
        </w:rPr>
        <w:t xml:space="preserve"> </w:t>
      </w:r>
      <w:r>
        <w:rPr>
          <w:spacing w:val="2"/>
        </w:rPr>
        <w:t>）市气象局：负责做好林（草）火卫</w:t>
      </w:r>
      <w:r>
        <w:rPr>
          <w:spacing w:val="7"/>
        </w:rPr>
        <w:t>星监测、森林草原火险天气等级预测预报及预</w:t>
      </w:r>
      <w:r>
        <w:rPr>
          <w:spacing w:val="7"/>
        </w:rPr>
        <w:t>警发布工作；提供森林草原火险天气预测预报</w:t>
      </w:r>
      <w:r>
        <w:rPr>
          <w:spacing w:val="7"/>
        </w:rPr>
        <w:t>服务；及时提供火场区域天气预报和相关气象</w:t>
      </w:r>
      <w:r>
        <w:rPr>
          <w:spacing w:val="9"/>
        </w:rPr>
        <w:t>信息，并根据需要适时开展人工增雨作业。</w:t>
      </w:r>
    </w:p>
    <w:p>
      <w:pPr>
        <w:pStyle w:val="BodyText"/>
        <w:ind w:left="1" w:right="78" w:firstLine="413"/>
        <w:spacing w:before="165" w:line="356" w:lineRule="auto"/>
        <w:rPr/>
      </w:pPr>
      <w:r>
        <w:rPr>
          <w:spacing w:val="5"/>
        </w:rPr>
        <w:t>（</w:t>
      </w:r>
      <w:r>
        <w:rPr>
          <w:rFonts w:ascii="Times New Roman" w:hAnsi="Times New Roman" w:eastAsia="Times New Roman" w:cs="Times New Roman"/>
          <w:spacing w:val="5"/>
        </w:rPr>
        <w:t>20</w:t>
      </w:r>
      <w:r>
        <w:rPr>
          <w:rFonts w:ascii="Times New Roman" w:hAnsi="Times New Roman" w:eastAsia="Times New Roman" w:cs="Times New Roman"/>
          <w:spacing w:val="-12"/>
        </w:rPr>
        <w:t xml:space="preserve"> </w:t>
      </w:r>
      <w:r>
        <w:rPr>
          <w:spacing w:val="5"/>
        </w:rPr>
        <w:t>）六盘山林业局：负责履行森林草原</w:t>
      </w:r>
      <w:r>
        <w:rPr>
          <w:spacing w:val="7"/>
        </w:rPr>
        <w:t>防灭火工作行业管理责任，组织、指导开展防</w:t>
      </w:r>
      <w:r>
        <w:rPr>
          <w:spacing w:val="7"/>
        </w:rPr>
        <w:t>火巡护、火源管理、防火设施建设、火情早期</w:t>
      </w:r>
      <w:r>
        <w:rPr>
          <w:spacing w:val="7"/>
        </w:rPr>
        <w:t>处理等工作并监督检查；组织指导国有林场林</w:t>
      </w:r>
      <w:r>
        <w:rPr>
          <w:spacing w:val="8"/>
        </w:rPr>
        <w:t>区灭火专业队伍建设、宣传教育、预警监测、</w:t>
      </w:r>
      <w:r>
        <w:rPr>
          <w:spacing w:val="7"/>
        </w:rPr>
        <w:t>督促检查等工作；负责落实综合防灾减灾救灾</w:t>
      </w:r>
      <w:r>
        <w:rPr>
          <w:spacing w:val="7"/>
        </w:rPr>
        <w:t>规划有关要求，组织编制森林草原火灾防治规</w:t>
      </w:r>
      <w:r>
        <w:rPr>
          <w:spacing w:val="8"/>
        </w:rPr>
        <w:t>划和防护标准并指导实施；</w:t>
      </w:r>
    </w:p>
    <w:p>
      <w:pPr>
        <w:pStyle w:val="BodyText"/>
        <w:ind w:left="3" w:right="81" w:firstLine="410"/>
        <w:spacing w:before="158" w:line="325" w:lineRule="auto"/>
        <w:rPr/>
      </w:pPr>
      <w:r>
        <w:rPr>
          <w:spacing w:val="5"/>
        </w:rPr>
        <w:t>（</w:t>
      </w:r>
      <w:r>
        <w:rPr>
          <w:rFonts w:ascii="Times New Roman" w:hAnsi="Times New Roman" w:eastAsia="Times New Roman" w:cs="Times New Roman"/>
          <w:spacing w:val="5"/>
        </w:rPr>
        <w:t>21</w:t>
      </w:r>
      <w:r>
        <w:rPr>
          <w:rFonts w:ascii="Times New Roman" w:hAnsi="Times New Roman" w:eastAsia="Times New Roman" w:cs="Times New Roman"/>
          <w:spacing w:val="-12"/>
        </w:rPr>
        <w:t xml:space="preserve"> </w:t>
      </w:r>
      <w:r>
        <w:rPr>
          <w:spacing w:val="5"/>
        </w:rPr>
        <w:t>）市消防救援支队：负责做好日常火</w:t>
      </w:r>
      <w:r>
        <w:rPr>
          <w:spacing w:val="7"/>
        </w:rPr>
        <w:t>灾扑救应急准备和城市区的林木防火工作，组</w:t>
      </w:r>
      <w:r>
        <w:rPr>
          <w:spacing w:val="8"/>
        </w:rPr>
        <w:t>织专职消防力量支援森林草原火灾扑救工作。</w:t>
      </w:r>
    </w:p>
    <w:p>
      <w:pPr>
        <w:pStyle w:val="BodyText"/>
        <w:ind w:left="2" w:right="20" w:firstLine="412"/>
        <w:spacing w:before="157" w:line="280" w:lineRule="auto"/>
        <w:rPr/>
      </w:pPr>
      <w:r>
        <w:rPr>
          <w:spacing w:val="-1"/>
        </w:rPr>
        <w:t>（</w:t>
      </w:r>
      <w:r>
        <w:rPr>
          <w:rFonts w:ascii="Times New Roman" w:hAnsi="Times New Roman" w:eastAsia="Times New Roman" w:cs="Times New Roman"/>
          <w:spacing w:val="-1"/>
        </w:rPr>
        <w:t>22</w:t>
      </w:r>
      <w:r>
        <w:rPr>
          <w:rFonts w:ascii="Times New Roman" w:hAnsi="Times New Roman" w:eastAsia="Times New Roman" w:cs="Times New Roman"/>
          <w:spacing w:val="-17"/>
        </w:rPr>
        <w:t xml:space="preserve"> </w:t>
      </w:r>
      <w:r>
        <w:rPr>
          <w:spacing w:val="-1"/>
        </w:rPr>
        <w:t>）兰州铁路局固原车务段：负责组织、</w:t>
      </w:r>
      <w:r>
        <w:rPr>
          <w:spacing w:val="18"/>
        </w:rPr>
        <w:t>监督其经营单位做好所属林地森林草原防灭</w:t>
      </w:r>
    </w:p>
    <w:p>
      <w:pPr>
        <w:spacing w:line="280" w:lineRule="auto"/>
        <w:sectPr>
          <w:type w:val="continuous"/>
          <w:pgSz w:w="11906" w:h="16839"/>
          <w:pgMar w:top="1828" w:right="1489" w:bottom="1556" w:left="1567" w:header="1428" w:footer="1172" w:gutter="0"/>
          <w:cols w:equalWidth="0" w:num="2">
            <w:col w:w="4500" w:space="100"/>
            <w:col w:w="4251" w:space="0"/>
          </w:cols>
        </w:sectPr>
        <w:rPr/>
      </w:pPr>
    </w:p>
    <w:p>
      <w:pPr>
        <w:spacing w:before="76"/>
        <w:rPr/>
      </w:pPr>
      <w:r>
        <w:drawing>
          <wp:anchor distT="0" distB="0" distL="0" distR="0" simplePos="0" relativeHeight="252561408"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566" name="IM 1566"/>
            <wp:cNvGraphicFramePr/>
            <a:graphic>
              <a:graphicData uri="http://schemas.openxmlformats.org/drawingml/2006/picture">
                <pic:pic>
                  <pic:nvPicPr>
                    <pic:cNvPr id="1566" name="IM 1566"/>
                    <pic:cNvPicPr/>
                  </pic:nvPicPr>
                  <pic:blipFill>
                    <a:blip r:embed="rId785"/>
                    <a:stretch>
                      <a:fillRect/>
                    </a:stretch>
                  </pic:blipFill>
                  <pic:spPr>
                    <a:xfrm rot="0">
                      <a:off x="0" y="0"/>
                      <a:ext cx="5579745" cy="7620"/>
                    </a:xfrm>
                    <a:prstGeom prst="rect">
                      <a:avLst/>
                    </a:prstGeom>
                  </pic:spPr>
                </pic:pic>
              </a:graphicData>
            </a:graphic>
          </wp:anchor>
        </w:drawing>
      </w:r>
      <w:r/>
    </w:p>
    <w:p>
      <w:pPr>
        <w:sectPr>
          <w:headerReference w:type="default" r:id="rId647"/>
          <w:footerReference w:type="default" r:id="rId784"/>
          <w:pgSz w:w="11906" w:h="16839"/>
          <w:pgMar w:top="1766" w:right="1530" w:bottom="1551" w:left="1576" w:header="1428" w:footer="1172" w:gutter="0"/>
          <w:cols w:equalWidth="0" w:num="1">
            <w:col w:w="8800" w:space="0"/>
          </w:cols>
        </w:sectPr>
        <w:rPr/>
      </w:pPr>
    </w:p>
    <w:p>
      <w:pPr>
        <w:pStyle w:val="BodyText"/>
        <w:ind w:left="13" w:right="329" w:firstLine="3"/>
        <w:spacing w:before="43" w:line="368" w:lineRule="auto"/>
        <w:jc w:val="both"/>
        <w:rPr/>
      </w:pPr>
      <w:r>
        <w:rPr>
          <w:spacing w:val="7"/>
        </w:rPr>
        <w:t>火工作，并配合做好铁路沿线与森林草原防火</w:t>
      </w:r>
      <w:r>
        <w:rPr>
          <w:spacing w:val="7"/>
        </w:rPr>
        <w:t>区接壤区的防火工作；组织、协调优先运送森</w:t>
      </w:r>
      <w:r>
        <w:rPr>
          <w:spacing w:val="9"/>
        </w:rPr>
        <w:t>林草原火灾扑救人员、装备和物资。</w:t>
      </w:r>
    </w:p>
    <w:p>
      <w:pPr>
        <w:pStyle w:val="BodyText"/>
        <w:ind w:left="19" w:right="329" w:firstLine="416"/>
        <w:spacing w:line="352" w:lineRule="auto"/>
        <w:rPr/>
      </w:pPr>
      <w:r>
        <w:rPr>
          <w:spacing w:val="7"/>
        </w:rPr>
        <w:t>其他部门（单位）按照职责分工和市应急</w:t>
      </w:r>
      <w:r>
        <w:rPr>
          <w:spacing w:val="9"/>
        </w:rPr>
        <w:t>管理指挥部的部署，承担相关防灭火工作。</w:t>
      </w:r>
    </w:p>
    <w:p>
      <w:pPr>
        <w:pStyle w:val="BodyText"/>
        <w:ind w:left="16" w:right="309" w:firstLine="425"/>
        <w:spacing w:before="34" w:line="370" w:lineRule="auto"/>
        <w:jc w:val="both"/>
        <w:rPr/>
      </w:pPr>
      <w:r>
        <w:rPr>
          <w:rFonts w:ascii="Times New Roman" w:hAnsi="Times New Roman" w:eastAsia="Times New Roman" w:cs="Times New Roman"/>
          <w:spacing w:val="17"/>
        </w:rPr>
        <w:t>3.4</w:t>
      </w:r>
      <w:r>
        <w:rPr>
          <w:rFonts w:ascii="Times New Roman" w:hAnsi="Times New Roman" w:eastAsia="Times New Roman" w:cs="Times New Roman"/>
          <w:spacing w:val="4"/>
        </w:rPr>
        <w:t xml:space="preserve">   </w:t>
      </w:r>
      <w:r>
        <w:rPr>
          <w:rFonts w:ascii="KaiTi" w:hAnsi="KaiTi" w:eastAsia="KaiTi" w:cs="KaiTi"/>
          <w:spacing w:val="17"/>
        </w:rPr>
        <w:t>固原市森林草原防灭火指挥部办公</w:t>
      </w:r>
      <w:r>
        <w:rPr>
          <w:rFonts w:ascii="KaiTi" w:hAnsi="KaiTi" w:eastAsia="KaiTi" w:cs="KaiTi"/>
          <w:spacing w:val="7"/>
        </w:rPr>
        <w:t>室。</w:t>
      </w:r>
      <w:r>
        <w:rPr>
          <w:spacing w:val="7"/>
        </w:rPr>
        <w:t>市森林草原防灭火指挥部办公室是市森林</w:t>
      </w:r>
      <w:r>
        <w:rPr>
          <w:spacing w:val="7"/>
        </w:rPr>
        <w:t>草原防灭火指挥部的日常工作机构，设在市应</w:t>
      </w:r>
      <w:r>
        <w:rPr>
          <w:spacing w:val="15"/>
        </w:rPr>
        <w:t>急管理局</w:t>
      </w:r>
      <w:r>
        <w:rPr>
          <w:spacing w:val="-40"/>
        </w:rPr>
        <w:t xml:space="preserve"> </w:t>
      </w:r>
      <w:r>
        <w:rPr>
          <w:spacing w:val="15"/>
        </w:rPr>
        <w:t>，市应急管理局局长兼任办公室主</w:t>
      </w:r>
      <w:r>
        <w:rPr>
          <w:spacing w:val="15"/>
        </w:rPr>
        <w:t>任</w:t>
      </w:r>
      <w:r>
        <w:rPr>
          <w:spacing w:val="-40"/>
        </w:rPr>
        <w:t xml:space="preserve"> </w:t>
      </w:r>
      <w:r>
        <w:rPr>
          <w:spacing w:val="15"/>
        </w:rPr>
        <w:t>，市自然资源局局长兼任办公室常务副主</w:t>
      </w:r>
      <w:r>
        <w:rPr>
          <w:spacing w:val="8"/>
        </w:rPr>
        <w:t>任，负责森林草原火灾防治的日常管理工作。</w:t>
      </w:r>
      <w:r>
        <w:rPr>
          <w:spacing w:val="7"/>
        </w:rPr>
        <w:t>必要时，市自然资源局可以按程序，提请以市</w:t>
      </w:r>
      <w:r>
        <w:rPr>
          <w:spacing w:val="18"/>
        </w:rPr>
        <w:t>森林草原防灭火指挥部名义部署相关防火工</w:t>
      </w:r>
      <w:r>
        <w:rPr>
          <w:spacing w:val="6"/>
        </w:rPr>
        <w:t>作。办公室常设值班电话为</w:t>
      </w:r>
      <w:r>
        <w:rPr>
          <w:spacing w:val="-26"/>
        </w:rPr>
        <w:t xml:space="preserve"> </w:t>
      </w:r>
      <w:r>
        <w:rPr>
          <w:rFonts w:ascii="Times New Roman" w:hAnsi="Times New Roman" w:eastAsia="Times New Roman" w:cs="Times New Roman"/>
          <w:spacing w:val="6"/>
        </w:rPr>
        <w:t>0954-2088154</w:t>
      </w:r>
      <w:r>
        <w:rPr>
          <w:spacing w:val="6"/>
        </w:rPr>
        <w:t>。</w:t>
      </w:r>
    </w:p>
    <w:p>
      <w:pPr>
        <w:pStyle w:val="BodyText"/>
        <w:ind w:left="14" w:right="248" w:firstLine="443"/>
        <w:spacing w:before="2" w:line="368" w:lineRule="auto"/>
        <w:jc w:val="both"/>
        <w:rPr/>
      </w:pPr>
      <w:r>
        <w:rPr>
          <w:spacing w:val="17"/>
        </w:rPr>
        <w:t>固原市森林草原防灭火指挥部办公室主</w:t>
      </w:r>
      <w:r>
        <w:rPr>
          <w:spacing w:val="11"/>
        </w:rPr>
        <w:t>要职责：在市应急管理指挥部的统一领导下，</w:t>
      </w:r>
      <w:r>
        <w:rPr>
          <w:spacing w:val="7"/>
        </w:rPr>
        <w:t>按照市森林草原防灭火指挥部的工作部署，分</w:t>
      </w:r>
      <w:r>
        <w:rPr>
          <w:spacing w:val="7"/>
        </w:rPr>
        <w:t>类管理森林草原火灾。协调组织成员单位履行</w:t>
      </w:r>
      <w:r>
        <w:rPr>
          <w:spacing w:val="7"/>
        </w:rPr>
        <w:t>森林草原防灭火成员单位职责；落实森林草原</w:t>
      </w:r>
      <w:r>
        <w:rPr>
          <w:spacing w:val="7"/>
        </w:rPr>
        <w:t>火灾预防、预警措施；编制和执行森林草原火</w:t>
      </w:r>
      <w:r>
        <w:rPr>
          <w:spacing w:val="1"/>
        </w:rPr>
        <w:t>灾应急预案；指导、监督相关单位和基层组织、</w:t>
      </w:r>
      <w:r>
        <w:rPr>
          <w:spacing w:val="7"/>
        </w:rPr>
        <w:t>单位加强森林草原火灾应急管理工作；总结评</w:t>
      </w:r>
      <w:r>
        <w:rPr>
          <w:spacing w:val="7"/>
        </w:rPr>
        <w:t>估森林草原火灾应急管理工作和处置工作；指</w:t>
      </w:r>
      <w:r>
        <w:rPr>
          <w:spacing w:val="7"/>
        </w:rPr>
        <w:t>导县（区）森林防火指挥机构做好森林火灾的</w:t>
      </w:r>
      <w:r>
        <w:rPr>
          <w:spacing w:val="7"/>
        </w:rPr>
        <w:t>应对工作；承担市应急管理指挥部交办的其他</w:t>
      </w:r>
      <w:r>
        <w:rPr>
          <w:spacing w:val="5"/>
        </w:rPr>
        <w:t>工作。</w:t>
      </w:r>
    </w:p>
    <w:p>
      <w:pPr>
        <w:pStyle w:val="BodyText"/>
        <w:ind w:left="16" w:right="329" w:firstLine="421"/>
        <w:spacing w:before="11" w:line="343" w:lineRule="auto"/>
        <w:jc w:val="both"/>
        <w:rPr/>
      </w:pPr>
      <w:r>
        <w:rPr>
          <w:spacing w:val="6"/>
        </w:rPr>
        <w:t>接到森林草原火灾火情报告，或发生较大</w:t>
      </w:r>
      <w:r>
        <w:rPr>
          <w:spacing w:val="7"/>
        </w:rPr>
        <w:t>以上级别森林草原火灾后，市森林草原防灭火</w:t>
      </w:r>
      <w:r>
        <w:rPr>
          <w:spacing w:val="18"/>
        </w:rPr>
        <w:t>指挥部办公室要立即组织各成员单位开展会</w:t>
      </w:r>
      <w:r>
        <w:rPr>
          <w:spacing w:val="7"/>
        </w:rPr>
        <w:t>商或分析研判森林草原火灾发展趋势、影响程</w:t>
      </w:r>
      <w:r>
        <w:rPr>
          <w:spacing w:val="7"/>
        </w:rPr>
        <w:t>度和范围；及时向市委、市政府和市森林草原</w:t>
      </w:r>
      <w:r>
        <w:rPr>
          <w:spacing w:val="7"/>
        </w:rPr>
        <w:t>防灭火指挥部报告情况，提出启动或终止应急</w:t>
      </w:r>
      <w:r>
        <w:rPr>
          <w:spacing w:val="4"/>
        </w:rPr>
        <w:t>响</w:t>
      </w:r>
    </w:p>
    <w:p>
      <w:pPr>
        <w:spacing w:line="14" w:lineRule="auto"/>
        <w:rPr>
          <w:rFonts w:ascii="Arial"/>
          <w:sz w:val="2"/>
        </w:rPr>
      </w:pPr>
      <w:r>
        <w:rPr>
          <w:rFonts w:ascii="Arial" w:hAnsi="Arial" w:eastAsia="Arial" w:cs="Arial"/>
          <w:sz w:val="2"/>
          <w:szCs w:val="2"/>
        </w:rPr>
        <w:br w:type="column"/>
      </w:r>
    </w:p>
    <w:p>
      <w:pPr>
        <w:pStyle w:val="BodyText"/>
        <w:ind w:right="59"/>
        <w:spacing w:before="38" w:line="369" w:lineRule="auto"/>
        <w:jc w:val="both"/>
        <w:rPr/>
      </w:pPr>
      <w:r>
        <w:rPr>
          <w:spacing w:val="7"/>
        </w:rPr>
        <w:t>应级别和处置措施等工作建议；根据市森林草</w:t>
      </w:r>
      <w:r>
        <w:rPr>
          <w:spacing w:val="7"/>
        </w:rPr>
        <w:t>原防灭火指挥部的决定，协调组织各成员单位</w:t>
      </w:r>
      <w:r>
        <w:rPr>
          <w:spacing w:val="7"/>
        </w:rPr>
        <w:t>到指定地点集结或赶赴森林草原火灾现场；落</w:t>
      </w:r>
      <w:r>
        <w:rPr>
          <w:spacing w:val="7"/>
        </w:rPr>
        <w:t>实森林草原火灾处置工作中综合协调、信息报</w:t>
      </w:r>
      <w:r>
        <w:rPr>
          <w:spacing w:val="8"/>
        </w:rPr>
        <w:t>送和值守应急工作。</w:t>
      </w:r>
    </w:p>
    <w:p>
      <w:pPr>
        <w:pStyle w:val="BodyText"/>
        <w:ind w:left="1" w:right="39" w:firstLine="424"/>
        <w:spacing w:before="3" w:line="367" w:lineRule="auto"/>
        <w:jc w:val="both"/>
        <w:rPr/>
      </w:pPr>
      <w:r>
        <w:rPr>
          <w:rFonts w:ascii="Times New Roman" w:hAnsi="Times New Roman" w:eastAsia="Times New Roman" w:cs="Times New Roman"/>
          <w:spacing w:val="8"/>
        </w:rPr>
        <w:t>3.5  </w:t>
      </w:r>
      <w:r>
        <w:rPr>
          <w:rFonts w:ascii="KaiTi" w:hAnsi="KaiTi" w:eastAsia="KaiTi" w:cs="KaiTi"/>
          <w:spacing w:val="8"/>
        </w:rPr>
        <w:t>专家组。</w:t>
      </w:r>
      <w:r>
        <w:rPr>
          <w:spacing w:val="8"/>
        </w:rPr>
        <w:t>市森林草原防灭火指挥部根</w:t>
      </w:r>
      <w:r>
        <w:rPr>
          <w:spacing w:val="7"/>
        </w:rPr>
        <w:t>据工作需要建立本级专家组，对森林草原火灾</w:t>
      </w:r>
      <w:r>
        <w:rPr>
          <w:spacing w:val="7"/>
        </w:rPr>
        <w:t>预防、科学灭火组织指挥、力量调动使用、灭</w:t>
      </w:r>
      <w:r>
        <w:rPr>
          <w:spacing w:val="8"/>
        </w:rPr>
        <w:t>火措施、火灾调查评估规划等提出咨询意见。</w:t>
      </w:r>
    </w:p>
    <w:p>
      <w:pPr>
        <w:ind w:left="422"/>
        <w:spacing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4</w:t>
      </w:r>
      <w:r>
        <w:rPr>
          <w:rFonts w:ascii="Microsoft YaHei" w:hAnsi="Microsoft YaHei" w:eastAsia="Microsoft YaHei" w:cs="Microsoft YaHei"/>
          <w:sz w:val="20"/>
          <w:szCs w:val="20"/>
          <w:spacing w:val="14"/>
        </w:rPr>
        <w:t xml:space="preserve">   </w:t>
      </w:r>
      <w:r>
        <w:rPr>
          <w:rFonts w:ascii="Microsoft YaHei" w:hAnsi="Microsoft YaHei" w:eastAsia="Microsoft YaHei" w:cs="Microsoft YaHei"/>
          <w:sz w:val="20"/>
          <w:szCs w:val="20"/>
          <w:spacing w:val="4"/>
        </w:rPr>
        <w:t>处置力量</w:t>
      </w:r>
    </w:p>
    <w:p>
      <w:pPr>
        <w:pStyle w:val="BodyText"/>
        <w:ind w:right="59" w:firstLine="420"/>
        <w:spacing w:before="98" w:line="345" w:lineRule="auto"/>
        <w:rPr/>
      </w:pPr>
      <w:r>
        <w:rPr>
          <w:rFonts w:ascii="Times New Roman" w:hAnsi="Times New Roman" w:eastAsia="Times New Roman" w:cs="Times New Roman"/>
          <w:spacing w:val="7"/>
        </w:rPr>
        <w:t>4.</w:t>
      </w:r>
      <w:r>
        <w:rPr>
          <w:rFonts w:ascii="Times New Roman" w:hAnsi="Times New Roman" w:eastAsia="Times New Roman" w:cs="Times New Roman"/>
          <w:spacing w:val="-22"/>
        </w:rPr>
        <w:t xml:space="preserve"> </w:t>
      </w:r>
      <w:r>
        <w:rPr>
          <w:rFonts w:ascii="Times New Roman" w:hAnsi="Times New Roman" w:eastAsia="Times New Roman" w:cs="Times New Roman"/>
          <w:spacing w:val="7"/>
        </w:rPr>
        <w:t>1  </w:t>
      </w:r>
      <w:r>
        <w:rPr>
          <w:rFonts w:ascii="KaiTi" w:hAnsi="KaiTi" w:eastAsia="KaiTi" w:cs="KaiTi"/>
          <w:spacing w:val="7"/>
        </w:rPr>
        <w:t>力量编成。</w:t>
      </w:r>
      <w:r>
        <w:rPr>
          <w:spacing w:val="7"/>
        </w:rPr>
        <w:t>扑救森林草原火灾以地方</w:t>
      </w:r>
      <w:r>
        <w:rPr>
          <w:spacing w:val="7"/>
        </w:rPr>
        <w:t>专业防扑火队伍、国家综合性消防救援队伍等</w:t>
      </w:r>
      <w:r>
        <w:rPr>
          <w:spacing w:val="7"/>
        </w:rPr>
        <w:t>受过专业培训的扑火力量为主，部队及民兵预</w:t>
      </w:r>
      <w:r>
        <w:rPr>
          <w:spacing w:val="7"/>
        </w:rPr>
        <w:t>备役支援力量为辅，社会救援力量为补充。必</w:t>
      </w:r>
      <w:r>
        <w:rPr>
          <w:spacing w:val="7"/>
        </w:rPr>
        <w:t>要时可动员当地林区职工、机关干部及当地群</w:t>
      </w:r>
      <w:r>
        <w:rPr>
          <w:spacing w:val="8"/>
        </w:rPr>
        <w:t>众等力量协助做好扑救工作。</w:t>
      </w:r>
    </w:p>
    <w:p>
      <w:pPr>
        <w:pStyle w:val="BodyText"/>
        <w:ind w:right="59" w:firstLine="420"/>
        <w:spacing w:before="156" w:line="356" w:lineRule="auto"/>
        <w:rPr/>
      </w:pPr>
      <w:r>
        <w:rPr>
          <w:rFonts w:ascii="Times New Roman" w:hAnsi="Times New Roman" w:eastAsia="Times New Roman" w:cs="Times New Roman"/>
          <w:spacing w:val="8"/>
        </w:rPr>
        <w:t>4.2  </w:t>
      </w:r>
      <w:r>
        <w:rPr>
          <w:rFonts w:ascii="KaiTi" w:hAnsi="KaiTi" w:eastAsia="KaiTi" w:cs="KaiTi"/>
          <w:spacing w:val="8"/>
        </w:rPr>
        <w:t>力量调动。</w:t>
      </w:r>
      <w:r>
        <w:rPr>
          <w:spacing w:val="8"/>
        </w:rPr>
        <w:t>根据森林草原火灾应对需</w:t>
      </w:r>
      <w:r>
        <w:rPr>
          <w:spacing w:val="7"/>
        </w:rPr>
        <w:t>要，应首先调动属地扑火力量，邻近力量作为</w:t>
      </w:r>
      <w:r>
        <w:rPr>
          <w:spacing w:val="4"/>
        </w:rPr>
        <w:t>增援力量。跨县（</w:t>
      </w:r>
      <w:r>
        <w:rPr>
          <w:spacing w:val="-34"/>
        </w:rPr>
        <w:t xml:space="preserve"> </w:t>
      </w:r>
      <w:r>
        <w:rPr>
          <w:spacing w:val="4"/>
        </w:rPr>
        <w:t>区）调动地方专业防扑火队</w:t>
      </w:r>
      <w:r>
        <w:rPr>
          <w:spacing w:val="7"/>
        </w:rPr>
        <w:t>伍增援扑火时，由市森林草原防灭火指挥部统</w:t>
      </w:r>
      <w:r>
        <w:rPr>
          <w:spacing w:val="4"/>
        </w:rPr>
        <w:t>筹协调，由调出县（</w:t>
      </w:r>
      <w:r>
        <w:rPr>
          <w:spacing w:val="-34"/>
        </w:rPr>
        <w:t xml:space="preserve"> </w:t>
      </w:r>
      <w:r>
        <w:rPr>
          <w:spacing w:val="4"/>
        </w:rPr>
        <w:t>区）森林草原防灭火指挥</w:t>
      </w:r>
      <w:r>
        <w:rPr>
          <w:spacing w:val="4"/>
        </w:rPr>
        <w:t>机构组织实施，调入县（</w:t>
      </w:r>
      <w:r>
        <w:rPr>
          <w:spacing w:val="-34"/>
        </w:rPr>
        <w:t xml:space="preserve"> </w:t>
      </w:r>
      <w:r>
        <w:rPr>
          <w:spacing w:val="4"/>
        </w:rPr>
        <w:t>区）负责对接及相关</w:t>
      </w:r>
      <w:r>
        <w:rPr>
          <w:spacing w:val="7"/>
        </w:rPr>
        <w:t>保障。跨市调动国家综合性消防救援队伍增援</w:t>
      </w:r>
      <w:r>
        <w:rPr>
          <w:spacing w:val="7"/>
        </w:rPr>
        <w:t>扑火时，市人民政府或者应急管理部门向应急</w:t>
      </w:r>
      <w:r>
        <w:rPr>
          <w:spacing w:val="7"/>
        </w:rPr>
        <w:t>厅提出申请，按有关规定和权限逐级报批。需</w:t>
      </w:r>
      <w:r>
        <w:rPr>
          <w:spacing w:val="7"/>
        </w:rPr>
        <w:t>要部队参与扑火时，由市政府或市森林草原防</w:t>
      </w:r>
      <w:r>
        <w:rPr>
          <w:spacing w:val="9"/>
        </w:rPr>
        <w:t>灭火指挥部向固原军分区提出用兵需求。</w:t>
      </w:r>
    </w:p>
    <w:p>
      <w:pPr>
        <w:ind w:left="423"/>
        <w:spacing w:before="152"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5</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6"/>
        </w:rPr>
        <w:t>预警和信息发布</w:t>
      </w:r>
    </w:p>
    <w:p>
      <w:pPr>
        <w:pStyle w:val="BodyText"/>
        <w:ind w:left="1" w:right="36" w:firstLine="425"/>
        <w:spacing w:before="112" w:line="388" w:lineRule="auto"/>
        <w:rPr/>
      </w:pPr>
      <w:r>
        <w:rPr>
          <w:rFonts w:ascii="Times New Roman" w:hAnsi="Times New Roman" w:eastAsia="Times New Roman" w:cs="Times New Roman"/>
          <w:spacing w:val="7"/>
        </w:rPr>
        <w:t>5.</w:t>
      </w:r>
      <w:r>
        <w:rPr>
          <w:rFonts w:ascii="Times New Roman" w:hAnsi="Times New Roman" w:eastAsia="Times New Roman" w:cs="Times New Roman"/>
          <w:spacing w:val="-15"/>
        </w:rPr>
        <w:t xml:space="preserve"> </w:t>
      </w:r>
      <w:r>
        <w:rPr>
          <w:rFonts w:ascii="Times New Roman" w:hAnsi="Times New Roman" w:eastAsia="Times New Roman" w:cs="Times New Roman"/>
          <w:spacing w:val="7"/>
        </w:rPr>
        <w:t>1  </w:t>
      </w:r>
      <w:r>
        <w:rPr>
          <w:rFonts w:ascii="KaiTi" w:hAnsi="KaiTi" w:eastAsia="KaiTi" w:cs="KaiTi"/>
          <w:spacing w:val="7"/>
        </w:rPr>
        <w:t>预警分级。</w:t>
      </w:r>
      <w:r>
        <w:rPr>
          <w:spacing w:val="7"/>
        </w:rPr>
        <w:t>根据森林草原火险指标、</w:t>
      </w:r>
      <w:r>
        <w:rPr>
          <w:spacing w:val="7"/>
        </w:rPr>
        <w:t>火行为特征和可能造成的危害程度，将森林草</w:t>
      </w:r>
      <w:r>
        <w:rPr>
          <w:spacing w:val="8"/>
        </w:rPr>
        <w:t>原火险预警级别划分为极度危险、高度危险、</w:t>
      </w:r>
      <w:r>
        <w:rPr>
          <w:spacing w:val="7"/>
        </w:rPr>
        <w:t>较高危险、中度危险四个等级，由高到低依次</w:t>
      </w:r>
    </w:p>
    <w:p>
      <w:pPr>
        <w:spacing w:line="388" w:lineRule="auto"/>
        <w:sectPr>
          <w:type w:val="continuous"/>
          <w:pgSz w:w="11906" w:h="16839"/>
          <w:pgMar w:top="1766" w:right="1530" w:bottom="1551" w:left="1576" w:header="1428" w:footer="1172" w:gutter="0"/>
          <w:cols w:equalWidth="0" w:num="2">
            <w:col w:w="4493" w:space="100"/>
            <w:col w:w="4207" w:space="0"/>
          </w:cols>
        </w:sectPr>
        <w:rPr/>
      </w:pPr>
    </w:p>
    <w:p>
      <w:pPr>
        <w:spacing w:before="23"/>
        <w:rPr/>
      </w:pPr>
      <w:r>
        <w:drawing>
          <wp:anchor distT="0" distB="0" distL="0" distR="0" simplePos="0" relativeHeight="252572672" behindDoc="0" locked="0" layoutInCell="0" allowOverlap="1">
            <wp:simplePos x="0" y="0"/>
            <wp:positionH relativeFrom="page">
              <wp:posOffset>1008380</wp:posOffset>
            </wp:positionH>
            <wp:positionV relativeFrom="page">
              <wp:posOffset>1186180</wp:posOffset>
            </wp:positionV>
            <wp:extent cx="5579745" cy="7619"/>
            <wp:effectExtent l="0" t="0" r="0" b="0"/>
            <wp:wrapNone/>
            <wp:docPr id="1572" name="IM 1572"/>
            <wp:cNvGraphicFramePr/>
            <a:graphic>
              <a:graphicData uri="http://schemas.openxmlformats.org/drawingml/2006/picture">
                <pic:pic>
                  <pic:nvPicPr>
                    <pic:cNvPr id="1572" name="IM 1572"/>
                    <pic:cNvPicPr/>
                  </pic:nvPicPr>
                  <pic:blipFill>
                    <a:blip r:embed="rId788"/>
                    <a:stretch>
                      <a:fillRect/>
                    </a:stretch>
                  </pic:blipFill>
                  <pic:spPr>
                    <a:xfrm rot="0">
                      <a:off x="0" y="0"/>
                      <a:ext cx="5579745" cy="7619"/>
                    </a:xfrm>
                    <a:prstGeom prst="rect">
                      <a:avLst/>
                    </a:prstGeom>
                  </pic:spPr>
                </pic:pic>
              </a:graphicData>
            </a:graphic>
          </wp:anchor>
        </w:drawing>
      </w:r>
      <w:r/>
    </w:p>
    <w:p>
      <w:pPr>
        <w:sectPr>
          <w:headerReference w:type="default" r:id="rId786"/>
          <w:footerReference w:type="default" r:id="rId787"/>
          <w:pgSz w:w="11906" w:h="16839"/>
          <w:pgMar w:top="1828" w:right="1478" w:bottom="1556" w:left="1567" w:header="1428" w:footer="1172" w:gutter="0"/>
          <w:cols w:equalWidth="0" w:num="1">
            <w:col w:w="8861" w:space="0"/>
          </w:cols>
        </w:sectPr>
        <w:rPr/>
      </w:pPr>
    </w:p>
    <w:p>
      <w:pPr>
        <w:pStyle w:val="BodyText"/>
        <w:ind w:left="29" w:right="322" w:hanging="3"/>
        <w:spacing w:before="49" w:line="387" w:lineRule="auto"/>
        <w:rPr/>
      </w:pPr>
      <w:r>
        <w:rPr>
          <w:spacing w:val="7"/>
        </w:rPr>
        <w:t>用红色、橙色、黄色和蓝色表示，具体分级标</w:t>
      </w:r>
      <w:r>
        <w:rPr>
          <w:spacing w:val="8"/>
        </w:rPr>
        <w:t>准按照有关规定执行。</w:t>
      </w:r>
    </w:p>
    <w:p>
      <w:pPr>
        <w:pStyle w:val="BodyText"/>
        <w:ind w:left="22" w:right="299" w:firstLine="429"/>
        <w:spacing w:before="6" w:line="369" w:lineRule="auto"/>
        <w:rPr/>
      </w:pPr>
      <w:r>
        <w:rPr>
          <w:rFonts w:ascii="Times New Roman" w:hAnsi="Times New Roman" w:eastAsia="Times New Roman" w:cs="Times New Roman"/>
          <w:spacing w:val="8"/>
        </w:rPr>
        <w:t>5.2  </w:t>
      </w:r>
      <w:r>
        <w:rPr>
          <w:rFonts w:ascii="KaiTi" w:hAnsi="KaiTi" w:eastAsia="KaiTi" w:cs="KaiTi"/>
          <w:spacing w:val="8"/>
        </w:rPr>
        <w:t>预警信息发布。</w:t>
      </w:r>
      <w:r>
        <w:rPr>
          <w:spacing w:val="8"/>
        </w:rPr>
        <w:t>由市森林草原防灭火</w:t>
      </w:r>
      <w:r>
        <w:rPr>
          <w:spacing w:val="7"/>
        </w:rPr>
        <w:t>指挥部办公室组织，自然资源、公安和气象部</w:t>
      </w:r>
      <w:r>
        <w:rPr>
          <w:spacing w:val="15"/>
        </w:rPr>
        <w:t>门加强会商</w:t>
      </w:r>
      <w:r>
        <w:rPr>
          <w:spacing w:val="-38"/>
        </w:rPr>
        <w:t xml:space="preserve"> </w:t>
      </w:r>
      <w:r>
        <w:rPr>
          <w:spacing w:val="15"/>
        </w:rPr>
        <w:t>，联合制作森林草原火险预警信</w:t>
      </w:r>
      <w:r>
        <w:rPr>
          <w:spacing w:val="8"/>
        </w:rPr>
        <w:t>息，并通过预警信息发布平台和广播、电视、</w:t>
      </w:r>
      <w:r>
        <w:rPr>
          <w:spacing w:val="7"/>
        </w:rPr>
        <w:t>报刊、网络、微信公众号以及应急广播等方式</w:t>
      </w:r>
      <w:r>
        <w:rPr>
          <w:spacing w:val="7"/>
        </w:rPr>
        <w:t>向涉险区域相关部门和社会公众发布。市森林</w:t>
      </w:r>
      <w:r>
        <w:rPr>
          <w:spacing w:val="7"/>
        </w:rPr>
        <w:t>草原防灭火指挥部办公室适时向各县（区）森</w:t>
      </w:r>
      <w:r>
        <w:rPr>
          <w:spacing w:val="7"/>
        </w:rPr>
        <w:t>林草原防灭火指挥机构发送预警信息，提出工</w:t>
      </w:r>
      <w:r>
        <w:rPr>
          <w:spacing w:val="7"/>
        </w:rPr>
        <w:t>作要求。</w:t>
      </w:r>
    </w:p>
    <w:p>
      <w:pPr>
        <w:pStyle w:val="BodyText"/>
        <w:ind w:left="22" w:right="322" w:firstLine="429"/>
        <w:spacing w:before="182" w:line="377" w:lineRule="auto"/>
        <w:rPr/>
      </w:pPr>
      <w:r>
        <w:rPr>
          <w:rFonts w:ascii="Times New Roman" w:hAnsi="Times New Roman" w:eastAsia="Times New Roman" w:cs="Times New Roman"/>
          <w:spacing w:val="8"/>
        </w:rPr>
        <w:t>5.3  </w:t>
      </w:r>
      <w:r>
        <w:rPr>
          <w:rFonts w:ascii="KaiTi" w:hAnsi="KaiTi" w:eastAsia="KaiTi" w:cs="KaiTi"/>
          <w:spacing w:val="8"/>
        </w:rPr>
        <w:t>预警响应。</w:t>
      </w:r>
      <w:r>
        <w:rPr>
          <w:spacing w:val="8"/>
        </w:rPr>
        <w:t>当发布蓝色、黄色预警信</w:t>
      </w:r>
      <w:r>
        <w:rPr>
          <w:spacing w:val="7"/>
        </w:rPr>
        <w:t>息后，预警地区县级人民政府及其有关部门密</w:t>
      </w:r>
      <w:r>
        <w:rPr>
          <w:spacing w:val="7"/>
        </w:rPr>
        <w:t>切关注天气情况和森林草原火险预警变化，加</w:t>
      </w:r>
      <w:r>
        <w:rPr>
          <w:spacing w:val="7"/>
        </w:rPr>
        <w:t>强森林草原防火巡护、卫星林火监测和嘹望监</w:t>
      </w:r>
      <w:r>
        <w:rPr>
          <w:spacing w:val="7"/>
        </w:rPr>
        <w:t>测，做好预警信息发布和森林草原防火宣传工</w:t>
      </w:r>
      <w:r>
        <w:rPr>
          <w:spacing w:val="7"/>
        </w:rPr>
        <w:t>作，加强火源管理，落实防火装备、物资等各</w:t>
      </w:r>
      <w:r>
        <w:rPr>
          <w:spacing w:val="7"/>
        </w:rPr>
        <w:t>项扑火准备，当地专（兼）职扑火队伍进入待</w:t>
      </w:r>
      <w:r>
        <w:rPr>
          <w:spacing w:val="7"/>
        </w:rPr>
        <w:t>命状态。当发布橙色、红色预警信息后，预警</w:t>
      </w:r>
      <w:r>
        <w:rPr>
          <w:spacing w:val="7"/>
        </w:rPr>
        <w:t>地区县级人民政府及其有关部门在蓝色、黄色</w:t>
      </w:r>
      <w:r>
        <w:rPr>
          <w:spacing w:val="7"/>
        </w:rPr>
        <w:t>预警响应措施的基础上，进一步加强野外火源</w:t>
      </w:r>
      <w:r>
        <w:rPr>
          <w:spacing w:val="7"/>
        </w:rPr>
        <w:t>管理，开展森林草原防火检查，加大预警信息</w:t>
      </w:r>
      <w:r>
        <w:rPr>
          <w:spacing w:val="7"/>
        </w:rPr>
        <w:t>播报频次，做好物资调拨准备，地方专业防扑</w:t>
      </w:r>
      <w:r>
        <w:rPr>
          <w:spacing w:val="7"/>
        </w:rPr>
        <w:t>火队伍、国家综合性消防救援队伍视情对力量</w:t>
      </w:r>
      <w:r>
        <w:rPr>
          <w:spacing w:val="7"/>
        </w:rPr>
        <w:t>部署进行调整，靠前驻防。各级森林草原防灭</w:t>
      </w:r>
      <w:r>
        <w:rPr>
          <w:spacing w:val="18"/>
        </w:rPr>
        <w:t>火指挥机构视情对预警地区森林草原防灭火</w:t>
      </w:r>
      <w:r>
        <w:rPr>
          <w:spacing w:val="8"/>
        </w:rPr>
        <w:t>工作进行督促和指导。</w:t>
      </w:r>
    </w:p>
    <w:p>
      <w:pPr>
        <w:ind w:left="449"/>
        <w:spacing w:before="172"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6</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6"/>
        </w:rPr>
        <w:t>应急响应与处置</w:t>
      </w:r>
    </w:p>
    <w:p>
      <w:pPr>
        <w:pStyle w:val="BodyText"/>
        <w:ind w:left="25" w:right="322" w:firstLine="425"/>
        <w:spacing w:before="119" w:line="332" w:lineRule="auto"/>
        <w:jc w:val="both"/>
        <w:rPr/>
      </w:pPr>
      <w:r>
        <w:rPr>
          <w:rFonts w:ascii="Times New Roman" w:hAnsi="Times New Roman" w:eastAsia="Times New Roman" w:cs="Times New Roman"/>
          <w:spacing w:val="6"/>
        </w:rPr>
        <w:t>6.</w:t>
      </w:r>
      <w:r>
        <w:rPr>
          <w:rFonts w:ascii="Times New Roman" w:hAnsi="Times New Roman" w:eastAsia="Times New Roman" w:cs="Times New Roman"/>
          <w:spacing w:val="-7"/>
        </w:rPr>
        <w:t xml:space="preserve"> </w:t>
      </w:r>
      <w:r>
        <w:rPr>
          <w:rFonts w:ascii="Times New Roman" w:hAnsi="Times New Roman" w:eastAsia="Times New Roman" w:cs="Times New Roman"/>
          <w:spacing w:val="6"/>
        </w:rPr>
        <w:t>1  </w:t>
      </w:r>
      <w:r>
        <w:rPr>
          <w:rFonts w:ascii="KaiTi" w:hAnsi="KaiTi" w:eastAsia="KaiTi" w:cs="KaiTi"/>
          <w:spacing w:val="6"/>
        </w:rPr>
        <w:t>信息报告。</w:t>
      </w:r>
      <w:r>
        <w:rPr>
          <w:spacing w:val="6"/>
        </w:rPr>
        <w:t>对特别重大、重大、较大</w:t>
      </w:r>
      <w:r>
        <w:rPr>
          <w:spacing w:val="18"/>
        </w:rPr>
        <w:t>和一般突发森林草原火灾或者有重要保护目</w:t>
      </w:r>
      <w:r>
        <w:rPr>
          <w:spacing w:val="18"/>
        </w:rPr>
        <w:t>标区域的森林草原火灾、可能演化为特别重</w:t>
      </w:r>
    </w:p>
    <w:p>
      <w:pPr>
        <w:spacing w:line="14" w:lineRule="auto"/>
        <w:rPr>
          <w:rFonts w:ascii="Arial"/>
          <w:sz w:val="2"/>
        </w:rPr>
      </w:pPr>
      <w:r>
        <w:rPr>
          <w:rFonts w:ascii="Arial" w:hAnsi="Arial" w:eastAsia="Arial" w:cs="Arial"/>
          <w:sz w:val="2"/>
          <w:szCs w:val="2"/>
        </w:rPr>
        <w:br w:type="column"/>
      </w:r>
    </w:p>
    <w:p>
      <w:pPr>
        <w:pStyle w:val="BodyText"/>
        <w:ind w:left="6" w:firstLine="6"/>
        <w:spacing w:before="44" w:line="388" w:lineRule="auto"/>
        <w:jc w:val="both"/>
        <w:rPr/>
      </w:pPr>
      <w:r>
        <w:rPr>
          <w:spacing w:val="2"/>
        </w:rPr>
        <w:t>大、重大、较大的森林草原火灾，事发县（区）</w:t>
      </w:r>
      <w:r>
        <w:rPr>
          <w:spacing w:val="7"/>
        </w:rPr>
        <w:t>政府和各级行业主管部门、责任单位及应急工</w:t>
      </w:r>
      <w:r>
        <w:rPr>
          <w:spacing w:val="7"/>
        </w:rPr>
        <w:t>作机构接到事件报告后，要严格按照有关法律</w:t>
      </w:r>
      <w:r>
        <w:rPr>
          <w:spacing w:val="7"/>
        </w:rPr>
        <w:t>法规和相关规定，及时向市森林草原防灭火办</w:t>
      </w:r>
      <w:r>
        <w:rPr>
          <w:spacing w:val="9"/>
        </w:rPr>
        <w:t>公室和市委、市政府值班室报告信息。</w:t>
      </w:r>
    </w:p>
    <w:p>
      <w:pPr>
        <w:pStyle w:val="BodyText"/>
        <w:ind w:left="6" w:right="31" w:firstLine="421"/>
        <w:spacing w:before="3" w:line="387" w:lineRule="auto"/>
        <w:jc w:val="both"/>
        <w:rPr/>
      </w:pPr>
      <w:r>
        <w:rPr>
          <w:spacing w:val="10"/>
        </w:rPr>
        <w:t>信息报告内容主要包括：初判火灾等级、</w:t>
      </w:r>
      <w:r>
        <w:rPr>
          <w:spacing w:val="10"/>
        </w:rPr>
        <w:t>起火时间、起火地点、起火原因、火情态势、</w:t>
      </w:r>
      <w:r>
        <w:rPr>
          <w:spacing w:val="10"/>
        </w:rPr>
        <w:t>扑火人员、扑火装备、扑救情况、损失情况、</w:t>
      </w:r>
      <w:r>
        <w:rPr>
          <w:spacing w:val="1"/>
        </w:rPr>
        <w:t>地形地貌、可燃物情况、重要目标、火场天气、</w:t>
      </w:r>
      <w:r>
        <w:rPr>
          <w:spacing w:val="7"/>
        </w:rPr>
        <w:t>水源等情况。</w:t>
      </w:r>
    </w:p>
    <w:p>
      <w:pPr>
        <w:pStyle w:val="BodyText"/>
        <w:ind w:right="29" w:firstLine="433"/>
        <w:spacing w:before="5" w:line="364" w:lineRule="auto"/>
        <w:rPr/>
      </w:pPr>
      <w:r>
        <w:rPr>
          <w:rFonts w:ascii="Times New Roman" w:hAnsi="Times New Roman" w:eastAsia="Times New Roman" w:cs="Times New Roman"/>
          <w:spacing w:val="8"/>
        </w:rPr>
        <w:t>6.2  </w:t>
      </w:r>
      <w:r>
        <w:rPr>
          <w:rFonts w:ascii="KaiTi" w:hAnsi="KaiTi" w:eastAsia="KaiTi" w:cs="KaiTi"/>
          <w:spacing w:val="8"/>
        </w:rPr>
        <w:t>先期处置。</w:t>
      </w:r>
      <w:r>
        <w:rPr>
          <w:spacing w:val="8"/>
        </w:rPr>
        <w:t>对特别重大、重大、较大</w:t>
      </w:r>
      <w:r>
        <w:rPr>
          <w:spacing w:val="18"/>
        </w:rPr>
        <w:t>和一般突发森林草原火灾或者有重要保护目</w:t>
      </w:r>
      <w:r>
        <w:rPr>
          <w:spacing w:val="18"/>
        </w:rPr>
        <w:t>标区域的森林草原火灾、可能演化为特别重</w:t>
      </w:r>
      <w:r>
        <w:rPr>
          <w:spacing w:val="7"/>
        </w:rPr>
        <w:t>大、重大、较大的森林草原火灾，火灾发生县</w:t>
      </w:r>
      <w:r>
        <w:rPr>
          <w:spacing w:val="7"/>
        </w:rPr>
        <w:t>（区）政府森林草原防灭火指挥机构要第一时</w:t>
      </w:r>
      <w:r>
        <w:rPr>
          <w:spacing w:val="7"/>
        </w:rPr>
        <w:t>间赶到现场，成立前线指挥部，启动本级森林</w:t>
      </w:r>
      <w:r>
        <w:rPr>
          <w:spacing w:val="-8"/>
        </w:rPr>
        <w:t>草原火灾应急处置预案，组织开展先期处置工作。</w:t>
      </w:r>
    </w:p>
    <w:p>
      <w:pPr>
        <w:pStyle w:val="BodyText"/>
        <w:ind w:left="9" w:right="99" w:firstLine="423"/>
        <w:spacing w:before="173" w:line="347" w:lineRule="auto"/>
        <w:rPr/>
      </w:pPr>
      <w:r>
        <w:rPr>
          <w:rFonts w:ascii="Times New Roman" w:hAnsi="Times New Roman" w:eastAsia="Times New Roman" w:cs="Times New Roman"/>
          <w:spacing w:val="8"/>
        </w:rPr>
        <w:t>6.3  </w:t>
      </w:r>
      <w:r>
        <w:rPr>
          <w:rFonts w:ascii="KaiTi" w:hAnsi="KaiTi" w:eastAsia="KaiTi" w:cs="KaiTi"/>
          <w:spacing w:val="8"/>
        </w:rPr>
        <w:t>分级响应。</w:t>
      </w:r>
      <w:r>
        <w:rPr>
          <w:spacing w:val="8"/>
        </w:rPr>
        <w:t>根据森林草原火灾分级标</w:t>
      </w:r>
      <w:r>
        <w:rPr>
          <w:spacing w:val="8"/>
        </w:rPr>
        <w:t>准，响应分为</w:t>
      </w:r>
      <w:r>
        <w:rPr>
          <w:rFonts w:ascii="Times New Roman" w:hAnsi="Times New Roman" w:eastAsia="Times New Roman" w:cs="Times New Roman"/>
          <w:spacing w:val="8"/>
        </w:rPr>
        <w:t>Ⅰ</w:t>
      </w:r>
      <w:r>
        <w:rPr>
          <w:spacing w:val="8"/>
        </w:rPr>
        <w:t>级响应、</w:t>
      </w:r>
      <w:r>
        <w:rPr>
          <w:rFonts w:ascii="Times New Roman" w:hAnsi="Times New Roman" w:eastAsia="Times New Roman" w:cs="Times New Roman"/>
          <w:spacing w:val="8"/>
        </w:rPr>
        <w:t>Ⅱ</w:t>
      </w:r>
      <w:r>
        <w:rPr>
          <w:spacing w:val="8"/>
        </w:rPr>
        <w:t>级响应、</w:t>
      </w:r>
      <w:r>
        <w:rPr>
          <w:rFonts w:ascii="Times New Roman" w:hAnsi="Times New Roman" w:eastAsia="Times New Roman" w:cs="Times New Roman"/>
          <w:spacing w:val="8"/>
        </w:rPr>
        <w:t>Ⅲ</w:t>
      </w:r>
      <w:r>
        <w:rPr>
          <w:spacing w:val="8"/>
        </w:rPr>
        <w:t>级响应、</w:t>
      </w:r>
      <w:r>
        <w:rPr>
          <w:spacing w:val="1"/>
        </w:rPr>
        <w:t xml:space="preserve"> </w:t>
      </w:r>
      <w:r>
        <w:rPr>
          <w:rFonts w:ascii="Times New Roman" w:hAnsi="Times New Roman" w:eastAsia="Times New Roman" w:cs="Times New Roman"/>
          <w:spacing w:val="6"/>
        </w:rPr>
        <w:t>Ⅳ</w:t>
      </w:r>
      <w:r>
        <w:rPr>
          <w:spacing w:val="6"/>
        </w:rPr>
        <w:t>级响应，依次分别对应特别重大、重大、较</w:t>
      </w:r>
      <w:r>
        <w:rPr>
          <w:spacing w:val="8"/>
        </w:rPr>
        <w:t>大、一般级别的森林草原火灾。</w:t>
      </w:r>
    </w:p>
    <w:p>
      <w:pPr>
        <w:pStyle w:val="BodyText"/>
        <w:ind w:left="6" w:right="105" w:firstLine="420"/>
        <w:spacing w:before="184" w:line="387" w:lineRule="auto"/>
        <w:jc w:val="both"/>
        <w:rPr/>
      </w:pPr>
      <w:r>
        <w:rPr>
          <w:spacing w:val="7"/>
        </w:rPr>
        <w:t>应急响应启动后，可视森林草原火灾发展</w:t>
      </w:r>
      <w:r>
        <w:rPr>
          <w:spacing w:val="7"/>
        </w:rPr>
        <w:t>及其情况变化对响应级别及时进行相应调整，</w:t>
      </w:r>
      <w:r>
        <w:rPr>
          <w:spacing w:val="7"/>
        </w:rPr>
        <w:t>避免响应不足或响应过度造成损失。森林草原</w:t>
      </w:r>
      <w:r>
        <w:rPr>
          <w:spacing w:val="7"/>
        </w:rPr>
        <w:t>火灾有扩大趋势或已扩大，需启动高级别应急</w:t>
      </w:r>
      <w:r>
        <w:rPr>
          <w:spacing w:val="7"/>
        </w:rPr>
        <w:t>响应时，应及时报告上一级森林草原防灭火指</w:t>
      </w:r>
      <w:r>
        <w:rPr>
          <w:spacing w:val="6"/>
        </w:rPr>
        <w:t>挥机构。</w:t>
      </w:r>
    </w:p>
    <w:p>
      <w:pPr>
        <w:pStyle w:val="BodyText"/>
        <w:ind w:left="433"/>
        <w:spacing w:before="5" w:line="218" w:lineRule="auto"/>
        <w:rPr/>
      </w:pPr>
      <w:r>
        <w:rPr>
          <w:rFonts w:ascii="Times New Roman" w:hAnsi="Times New Roman" w:eastAsia="Times New Roman" w:cs="Times New Roman"/>
          <w:spacing w:val="2"/>
        </w:rPr>
        <w:t>6.3.</w:t>
      </w:r>
      <w:r>
        <w:rPr>
          <w:rFonts w:ascii="Times New Roman" w:hAnsi="Times New Roman" w:eastAsia="Times New Roman" w:cs="Times New Roman"/>
          <w:spacing w:val="-23"/>
        </w:rPr>
        <w:t xml:space="preserve"> </w:t>
      </w:r>
      <w:r>
        <w:rPr>
          <w:rFonts w:ascii="Times New Roman" w:hAnsi="Times New Roman" w:eastAsia="Times New Roman" w:cs="Times New Roman"/>
          <w:spacing w:val="2"/>
        </w:rPr>
        <w:t>1Ⅳ</w:t>
      </w:r>
      <w:r>
        <w:rPr>
          <w:spacing w:val="2"/>
        </w:rPr>
        <w:t>级响应。</w:t>
      </w:r>
    </w:p>
    <w:p>
      <w:pPr>
        <w:pStyle w:val="BodyText"/>
        <w:ind w:left="11" w:right="112" w:firstLine="408"/>
        <w:spacing w:before="178" w:line="308" w:lineRule="auto"/>
        <w:rPr/>
      </w:pPr>
      <w:r>
        <w:rPr>
          <w:spacing w:val="6"/>
        </w:rPr>
        <w:t>（</w:t>
      </w:r>
      <w:r>
        <w:rPr>
          <w:spacing w:val="-39"/>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6"/>
        </w:rPr>
        <w:t xml:space="preserve"> </w:t>
      </w:r>
      <w:r>
        <w:rPr>
          <w:spacing w:val="6"/>
        </w:rPr>
        <w:t>）过火面积超过</w:t>
      </w:r>
      <w:r>
        <w:rPr>
          <w:spacing w:val="-32"/>
        </w:rPr>
        <w:t xml:space="preserve"> </w:t>
      </w:r>
      <w:r>
        <w:rPr>
          <w:rFonts w:ascii="Times New Roman" w:hAnsi="Times New Roman" w:eastAsia="Times New Roman" w:cs="Times New Roman"/>
          <w:spacing w:val="6"/>
        </w:rPr>
        <w:t>500 </w:t>
      </w:r>
      <w:r>
        <w:rPr>
          <w:spacing w:val="6"/>
        </w:rPr>
        <w:t>公顷的森林火灾</w:t>
      </w:r>
      <w:r>
        <w:rPr>
          <w:spacing w:val="7"/>
        </w:rPr>
        <w:t>或者过火面积超过</w:t>
      </w:r>
      <w:r>
        <w:rPr>
          <w:spacing w:val="-34"/>
        </w:rPr>
        <w:t xml:space="preserve"> </w:t>
      </w:r>
      <w:r>
        <w:rPr>
          <w:rFonts w:ascii="Times New Roman" w:hAnsi="Times New Roman" w:eastAsia="Times New Roman" w:cs="Times New Roman"/>
          <w:spacing w:val="7"/>
        </w:rPr>
        <w:t>5000 </w:t>
      </w:r>
      <w:r>
        <w:rPr>
          <w:spacing w:val="7"/>
        </w:rPr>
        <w:t>公顷的草原火灾；</w:t>
      </w:r>
    </w:p>
    <w:p>
      <w:pPr>
        <w:pStyle w:val="BodyText"/>
        <w:ind w:left="420"/>
        <w:spacing w:before="173" w:line="221" w:lineRule="auto"/>
        <w:rPr>
          <w:rFonts w:ascii="Times New Roman" w:hAnsi="Times New Roman" w:eastAsia="Times New Roman" w:cs="Times New Roman"/>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2"/>
        </w:rPr>
        <w:t xml:space="preserve"> </w:t>
      </w:r>
      <w:r>
        <w:rPr>
          <w:spacing w:val="8"/>
        </w:rPr>
        <w:t>）造成</w:t>
      </w:r>
      <w:r>
        <w:rPr>
          <w:spacing w:val="-13"/>
        </w:rPr>
        <w:t xml:space="preserve"> </w:t>
      </w:r>
      <w:r>
        <w:rPr>
          <w:rFonts w:ascii="Times New Roman" w:hAnsi="Times New Roman" w:eastAsia="Times New Roman" w:cs="Times New Roman"/>
          <w:spacing w:val="8"/>
        </w:rPr>
        <w:t>1 </w:t>
      </w:r>
      <w:r>
        <w:rPr>
          <w:spacing w:val="8"/>
        </w:rPr>
        <w:t>人以上</w:t>
      </w:r>
      <w:r>
        <w:rPr>
          <w:spacing w:val="-29"/>
        </w:rPr>
        <w:t xml:space="preserve"> </w:t>
      </w:r>
      <w:r>
        <w:rPr>
          <w:rFonts w:ascii="Times New Roman" w:hAnsi="Times New Roman" w:eastAsia="Times New Roman" w:cs="Times New Roman"/>
          <w:spacing w:val="8"/>
        </w:rPr>
        <w:t>3 </w:t>
      </w:r>
      <w:r>
        <w:rPr>
          <w:spacing w:val="8"/>
        </w:rPr>
        <w:t>人以下死亡或者</w:t>
      </w:r>
      <w:r>
        <w:rPr>
          <w:spacing w:val="-14"/>
        </w:rPr>
        <w:t xml:space="preserve"> </w:t>
      </w:r>
      <w:r>
        <w:rPr>
          <w:rFonts w:ascii="Times New Roman" w:hAnsi="Times New Roman" w:eastAsia="Times New Roman" w:cs="Times New Roman"/>
          <w:spacing w:val="8"/>
        </w:rPr>
        <w:t>1</w:t>
      </w:r>
    </w:p>
    <w:p>
      <w:pPr>
        <w:spacing w:line="221" w:lineRule="auto"/>
        <w:sectPr>
          <w:type w:val="continuous"/>
          <w:pgSz w:w="11906" w:h="16839"/>
          <w:pgMar w:top="1828" w:right="1478" w:bottom="1556" w:left="1567" w:header="1428" w:footer="1172" w:gutter="0"/>
          <w:cols w:equalWidth="0" w:num="2">
            <w:col w:w="4495" w:space="100"/>
            <w:col w:w="4267" w:space="0"/>
          </w:cols>
        </w:sectPr>
        <w:rPr>
          <w:rFonts w:ascii="Times New Roman" w:hAnsi="Times New Roman" w:eastAsia="Times New Roman" w:cs="Times New Roman"/>
        </w:rPr>
      </w:pPr>
    </w:p>
    <w:p>
      <w:pPr>
        <w:spacing w:before="95"/>
        <w:rPr/>
      </w:pPr>
      <w:r>
        <w:drawing>
          <wp:anchor distT="0" distB="0" distL="0" distR="0" simplePos="0" relativeHeight="252583936"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578" name="IM 1578"/>
            <wp:cNvGraphicFramePr/>
            <a:graphic>
              <a:graphicData uri="http://schemas.openxmlformats.org/drawingml/2006/picture">
                <pic:pic>
                  <pic:nvPicPr>
                    <pic:cNvPr id="1578" name="IM 1578"/>
                    <pic:cNvPicPr/>
                  </pic:nvPicPr>
                  <pic:blipFill>
                    <a:blip r:embed="rId791"/>
                    <a:stretch>
                      <a:fillRect/>
                    </a:stretch>
                  </pic:blipFill>
                  <pic:spPr>
                    <a:xfrm rot="0">
                      <a:off x="0" y="0"/>
                      <a:ext cx="5579745" cy="7620"/>
                    </a:xfrm>
                    <a:prstGeom prst="rect">
                      <a:avLst/>
                    </a:prstGeom>
                  </pic:spPr>
                </pic:pic>
              </a:graphicData>
            </a:graphic>
          </wp:anchor>
        </w:drawing>
      </w:r>
      <w:r/>
    </w:p>
    <w:p>
      <w:pPr>
        <w:sectPr>
          <w:headerReference w:type="default" r:id="rId789"/>
          <w:footerReference w:type="default" r:id="rId790"/>
          <w:pgSz w:w="11906" w:h="16839"/>
          <w:pgMar w:top="1766" w:right="1523" w:bottom="1551" w:left="1576" w:header="1428" w:footer="1172" w:gutter="0"/>
          <w:cols w:equalWidth="0" w:num="1">
            <w:col w:w="8807" w:space="0"/>
          </w:cols>
        </w:sectPr>
        <w:rPr/>
      </w:pPr>
    </w:p>
    <w:p>
      <w:pPr>
        <w:pStyle w:val="BodyText"/>
        <w:ind w:left="16"/>
        <w:spacing w:before="41" w:line="225" w:lineRule="auto"/>
        <w:rPr/>
      </w:pPr>
      <w:r>
        <w:rPr>
          <w:spacing w:val="6"/>
        </w:rPr>
        <w:t>人以上</w:t>
      </w:r>
      <w:r>
        <w:rPr>
          <w:spacing w:val="-8"/>
        </w:rPr>
        <w:t xml:space="preserve"> </w:t>
      </w:r>
      <w:r>
        <w:rPr>
          <w:rFonts w:ascii="Times New Roman" w:hAnsi="Times New Roman" w:eastAsia="Times New Roman" w:cs="Times New Roman"/>
          <w:spacing w:val="6"/>
        </w:rPr>
        <w:t>10 </w:t>
      </w:r>
      <w:r>
        <w:rPr>
          <w:spacing w:val="6"/>
        </w:rPr>
        <w:t>人以下重伤的森林草原火灾；</w:t>
      </w:r>
    </w:p>
    <w:p>
      <w:pPr>
        <w:pStyle w:val="BodyText"/>
        <w:ind w:left="15" w:right="332" w:firstLine="413"/>
        <w:spacing w:before="172" w:line="308" w:lineRule="auto"/>
        <w:rPr/>
      </w:pPr>
      <w:r>
        <w:rPr>
          <w:spacing w:val="8"/>
        </w:rPr>
        <w:t>（</w:t>
      </w:r>
      <w:r>
        <w:rPr>
          <w:rFonts w:ascii="Times New Roman" w:hAnsi="Times New Roman" w:eastAsia="Times New Roman" w:cs="Times New Roman"/>
          <w:spacing w:val="8"/>
        </w:rPr>
        <w:t>3</w:t>
      </w:r>
      <w:r>
        <w:rPr>
          <w:rFonts w:ascii="Times New Roman" w:hAnsi="Times New Roman" w:eastAsia="Times New Roman" w:cs="Times New Roman"/>
          <w:spacing w:val="-5"/>
        </w:rPr>
        <w:t xml:space="preserve"> </w:t>
      </w:r>
      <w:r>
        <w:rPr>
          <w:spacing w:val="8"/>
        </w:rPr>
        <w:t>）舆情高度关注</w:t>
      </w:r>
      <w:r>
        <w:rPr>
          <w:spacing w:val="-59"/>
        </w:rPr>
        <w:t xml:space="preserve"> </w:t>
      </w:r>
      <w:r>
        <w:rPr>
          <w:spacing w:val="8"/>
        </w:rPr>
        <w:t>，区、市党委、政府</w:t>
      </w:r>
      <w:r>
        <w:rPr>
          <w:spacing w:val="8"/>
        </w:rPr>
        <w:t>要求核查的森林草原火灾；</w:t>
      </w:r>
    </w:p>
    <w:p>
      <w:pPr>
        <w:pStyle w:val="BodyText"/>
        <w:ind w:left="27" w:right="330" w:firstLine="400"/>
        <w:spacing w:before="171" w:line="335" w:lineRule="auto"/>
        <w:rPr/>
      </w:pPr>
      <w:r>
        <w:rPr>
          <w:spacing w:val="7"/>
        </w:rPr>
        <w:t>（</w:t>
      </w:r>
      <w:r>
        <w:rPr>
          <w:rFonts w:ascii="Times New Roman" w:hAnsi="Times New Roman" w:eastAsia="Times New Roman" w:cs="Times New Roman"/>
          <w:spacing w:val="7"/>
        </w:rPr>
        <w:t>4</w:t>
      </w:r>
      <w:r>
        <w:rPr>
          <w:rFonts w:ascii="Times New Roman" w:hAnsi="Times New Roman" w:eastAsia="Times New Roman" w:cs="Times New Roman"/>
          <w:spacing w:val="-7"/>
        </w:rPr>
        <w:t xml:space="preserve"> </w:t>
      </w:r>
      <w:r>
        <w:rPr>
          <w:spacing w:val="7"/>
        </w:rPr>
        <w:t>）发生在敏感时段、敏感地区，</w:t>
      </w:r>
      <w:r>
        <w:rPr>
          <w:rFonts w:ascii="Times New Roman" w:hAnsi="Times New Roman" w:eastAsia="Times New Roman" w:cs="Times New Roman"/>
          <w:spacing w:val="7"/>
        </w:rPr>
        <w:t>24 </w:t>
      </w:r>
      <w:r>
        <w:rPr>
          <w:spacing w:val="7"/>
        </w:rPr>
        <w:t>小</w:t>
      </w:r>
      <w:r>
        <w:rPr>
          <w:spacing w:val="6"/>
        </w:rPr>
        <w:t>时尚未得到有效控制、发展态势持续蔓延扩大</w:t>
      </w:r>
      <w:r>
        <w:rPr>
          <w:spacing w:val="6"/>
        </w:rPr>
        <w:t>的森林草原火灾；</w:t>
      </w:r>
    </w:p>
    <w:p>
      <w:pPr>
        <w:pStyle w:val="BodyText"/>
        <w:ind w:left="18" w:right="322" w:firstLine="409"/>
        <w:spacing w:before="172" w:line="308" w:lineRule="auto"/>
        <w:rPr/>
      </w:pPr>
      <w:r>
        <w:rPr>
          <w:spacing w:val="7"/>
        </w:rPr>
        <w:t>（</w:t>
      </w:r>
      <w:r>
        <w:rPr>
          <w:spacing w:val="-44"/>
        </w:rPr>
        <w:t xml:space="preserve"> </w:t>
      </w:r>
      <w:r>
        <w:rPr>
          <w:rFonts w:ascii="Times New Roman" w:hAnsi="Times New Roman" w:eastAsia="Times New Roman" w:cs="Times New Roman"/>
          <w:spacing w:val="7"/>
        </w:rPr>
        <w:t>5</w:t>
      </w:r>
      <w:r>
        <w:rPr>
          <w:rFonts w:ascii="Times New Roman" w:hAnsi="Times New Roman" w:eastAsia="Times New Roman" w:cs="Times New Roman"/>
          <w:spacing w:val="-18"/>
        </w:rPr>
        <w:t xml:space="preserve"> </w:t>
      </w:r>
      <w:r>
        <w:rPr>
          <w:spacing w:val="7"/>
        </w:rPr>
        <w:t>）发生距县、区界</w:t>
      </w:r>
      <w:r>
        <w:rPr>
          <w:spacing w:val="-30"/>
        </w:rPr>
        <w:t xml:space="preserve"> </w:t>
      </w:r>
      <w:r>
        <w:rPr>
          <w:rFonts w:ascii="Times New Roman" w:hAnsi="Times New Roman" w:eastAsia="Times New Roman" w:cs="Times New Roman"/>
          <w:spacing w:val="7"/>
        </w:rPr>
        <w:t>5 </w:t>
      </w:r>
      <w:r>
        <w:rPr>
          <w:spacing w:val="7"/>
        </w:rPr>
        <w:t>公里以内且对邻</w:t>
      </w:r>
      <w:r>
        <w:rPr>
          <w:spacing w:val="-5"/>
        </w:rPr>
        <w:t>县、区森林草原资源构成一定威胁的森林火灾；</w:t>
      </w:r>
    </w:p>
    <w:p>
      <w:pPr>
        <w:pStyle w:val="BodyText"/>
        <w:ind w:left="13" w:right="330" w:firstLine="414"/>
        <w:spacing w:before="172" w:line="305" w:lineRule="auto"/>
        <w:rPr/>
      </w:pPr>
      <w:r>
        <w:rPr>
          <w:spacing w:val="8"/>
        </w:rPr>
        <w:t>（</w:t>
      </w:r>
      <w:r>
        <w:rPr>
          <w:rFonts w:ascii="Times New Roman" w:hAnsi="Times New Roman" w:eastAsia="Times New Roman" w:cs="Times New Roman"/>
          <w:spacing w:val="8"/>
        </w:rPr>
        <w:t>6 </w:t>
      </w:r>
      <w:r>
        <w:rPr>
          <w:spacing w:val="8"/>
        </w:rPr>
        <w:t>）同时发生</w:t>
      </w:r>
      <w:r>
        <w:rPr>
          <w:spacing w:val="-27"/>
        </w:rPr>
        <w:t xml:space="preserve"> </w:t>
      </w:r>
      <w:r>
        <w:rPr>
          <w:rFonts w:ascii="Times New Roman" w:hAnsi="Times New Roman" w:eastAsia="Times New Roman" w:cs="Times New Roman"/>
          <w:spacing w:val="8"/>
        </w:rPr>
        <w:t>2 </w:t>
      </w:r>
      <w:r>
        <w:rPr>
          <w:spacing w:val="8"/>
        </w:rPr>
        <w:t>起以上危险性较大的森</w:t>
      </w:r>
      <w:r>
        <w:rPr>
          <w:spacing w:val="8"/>
        </w:rPr>
        <w:t>林草原火灾。</w:t>
      </w:r>
    </w:p>
    <w:p>
      <w:pPr>
        <w:pStyle w:val="BodyText"/>
        <w:ind w:left="16" w:right="277" w:firstLine="420"/>
        <w:spacing w:before="184" w:line="386" w:lineRule="auto"/>
        <w:jc w:val="both"/>
        <w:rPr/>
      </w:pPr>
      <w:r>
        <w:rPr>
          <w:spacing w:val="7"/>
        </w:rPr>
        <w:t>符合上述条件之一时，火灾发生县（</w:t>
      </w:r>
      <w:r>
        <w:rPr>
          <w:spacing w:val="-49"/>
        </w:rPr>
        <w:t xml:space="preserve"> </w:t>
      </w:r>
      <w:r>
        <w:rPr>
          <w:spacing w:val="7"/>
        </w:rPr>
        <w:t>区）</w:t>
      </w:r>
      <w:r>
        <w:rPr>
          <w:spacing w:val="18"/>
        </w:rPr>
        <w:t>政府或森林草原防灭火指挥机构组织各成员</w:t>
      </w:r>
      <w:r>
        <w:rPr>
          <w:spacing w:val="7"/>
        </w:rPr>
        <w:t>单位和专家进行分析研判，对森林草原火灾影</w:t>
      </w:r>
      <w:r>
        <w:rPr>
          <w:spacing w:val="7"/>
        </w:rPr>
        <w:t>响及其蔓延趋势进行综合评估后，由县（</w:t>
      </w:r>
      <w:r>
        <w:rPr>
          <w:spacing w:val="-43"/>
        </w:rPr>
        <w:t xml:space="preserve"> </w:t>
      </w:r>
      <w:r>
        <w:rPr>
          <w:spacing w:val="7"/>
        </w:rPr>
        <w:t>区）</w:t>
      </w:r>
      <w:r>
        <w:rPr>
          <w:spacing w:val="17"/>
        </w:rPr>
        <w:t>森林草原防灭火指挥机构决定启动</w:t>
      </w:r>
      <w:r>
        <w:rPr>
          <w:rFonts w:ascii="Times New Roman" w:hAnsi="Times New Roman" w:eastAsia="Times New Roman" w:cs="Times New Roman"/>
          <w:spacing w:val="17"/>
        </w:rPr>
        <w:t>Ⅳ</w:t>
      </w:r>
      <w:r>
        <w:rPr>
          <w:spacing w:val="17"/>
        </w:rPr>
        <w:t>级应急</w:t>
      </w:r>
      <w:r>
        <w:rPr>
          <w:spacing w:val="7"/>
        </w:rPr>
        <w:t>响应，并向各有关单位发布启动相关应急程序</w:t>
      </w:r>
      <w:r>
        <w:rPr>
          <w:spacing w:val="7"/>
        </w:rPr>
        <w:t>的命令。必要时，市森林草原防灭火指挥机构</w:t>
      </w:r>
      <w:r>
        <w:rPr>
          <w:spacing w:val="4"/>
        </w:rPr>
        <w:t>派出工作组赶赴事件现场，指导县（</w:t>
      </w:r>
      <w:r>
        <w:rPr>
          <w:spacing w:val="-35"/>
        </w:rPr>
        <w:t xml:space="preserve"> </w:t>
      </w:r>
      <w:r>
        <w:rPr>
          <w:spacing w:val="4"/>
        </w:rPr>
        <w:t>区）开展</w:t>
      </w:r>
      <w:r>
        <w:rPr>
          <w:spacing w:val="8"/>
        </w:rPr>
        <w:t>相关应急处置工作。</w:t>
      </w:r>
    </w:p>
    <w:p>
      <w:pPr>
        <w:pStyle w:val="BodyText"/>
        <w:ind w:left="441"/>
        <w:spacing w:before="18" w:line="218" w:lineRule="auto"/>
        <w:rPr/>
      </w:pPr>
      <w:r>
        <w:rPr>
          <w:rFonts w:ascii="Times New Roman" w:hAnsi="Times New Roman" w:eastAsia="Times New Roman" w:cs="Times New Roman"/>
          <w:spacing w:val="4"/>
        </w:rPr>
        <w:t>6.3.2Ⅲ</w:t>
      </w:r>
      <w:r>
        <w:rPr>
          <w:spacing w:val="4"/>
        </w:rPr>
        <w:t>级响应。</w:t>
      </w:r>
    </w:p>
    <w:p>
      <w:pPr>
        <w:pStyle w:val="BodyText"/>
        <w:ind w:left="20" w:right="330" w:firstLine="408"/>
        <w:spacing w:before="178" w:line="308" w:lineRule="auto"/>
        <w:rPr/>
      </w:pPr>
      <w:r>
        <w:rPr>
          <w:spacing w:val="1"/>
        </w:rPr>
        <w:t>（</w:t>
      </w:r>
      <w:r>
        <w:rPr>
          <w:spacing w:val="-45"/>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0"/>
        </w:rPr>
        <w:t xml:space="preserve"> </w:t>
      </w:r>
      <w:r>
        <w:rPr>
          <w:spacing w:val="1"/>
        </w:rPr>
        <w:t>）过火面积超过</w:t>
      </w:r>
      <w:r>
        <w:rPr>
          <w:spacing w:val="-23"/>
        </w:rPr>
        <w:t xml:space="preserve"> </w:t>
      </w:r>
      <w:r>
        <w:rPr>
          <w:rFonts w:ascii="Times New Roman" w:hAnsi="Times New Roman" w:eastAsia="Times New Roman" w:cs="Times New Roman"/>
          <w:spacing w:val="1"/>
        </w:rPr>
        <w:t>1000 </w:t>
      </w:r>
      <w:r>
        <w:rPr>
          <w:spacing w:val="1"/>
        </w:rPr>
        <w:t>公顷的森林火灾</w:t>
      </w:r>
      <w:r>
        <w:rPr>
          <w:spacing w:val="7"/>
        </w:rPr>
        <w:t>或者过火面积超过</w:t>
      </w:r>
      <w:r>
        <w:rPr>
          <w:spacing w:val="-34"/>
        </w:rPr>
        <w:t xml:space="preserve"> </w:t>
      </w:r>
      <w:r>
        <w:rPr>
          <w:rFonts w:ascii="Times New Roman" w:hAnsi="Times New Roman" w:eastAsia="Times New Roman" w:cs="Times New Roman"/>
          <w:spacing w:val="7"/>
        </w:rPr>
        <w:t>8000 </w:t>
      </w:r>
      <w:r>
        <w:rPr>
          <w:spacing w:val="7"/>
        </w:rPr>
        <w:t>公顷的草原火灾；</w:t>
      </w:r>
    </w:p>
    <w:p>
      <w:pPr>
        <w:pStyle w:val="BodyText"/>
        <w:ind w:left="16" w:right="326" w:firstLine="412"/>
        <w:spacing w:before="173" w:line="308" w:lineRule="auto"/>
        <w:rPr/>
      </w:pPr>
      <w:r>
        <w:rPr>
          <w:spacing w:val="-1"/>
        </w:rPr>
        <w:t>（</w:t>
      </w:r>
      <w:r>
        <w:rPr>
          <w:rFonts w:ascii="Times New Roman" w:hAnsi="Times New Roman" w:eastAsia="Times New Roman" w:cs="Times New Roman"/>
          <w:spacing w:val="-1"/>
        </w:rPr>
        <w:t>2</w:t>
      </w:r>
      <w:r>
        <w:rPr>
          <w:rFonts w:ascii="Times New Roman" w:hAnsi="Times New Roman" w:eastAsia="Times New Roman" w:cs="Times New Roman"/>
          <w:spacing w:val="-9"/>
        </w:rPr>
        <w:t xml:space="preserve"> </w:t>
      </w:r>
      <w:r>
        <w:rPr>
          <w:spacing w:val="-1"/>
        </w:rPr>
        <w:t>）造成</w:t>
      </w:r>
      <w:r>
        <w:rPr>
          <w:spacing w:val="-42"/>
        </w:rPr>
        <w:t xml:space="preserve"> </w:t>
      </w:r>
      <w:r>
        <w:rPr>
          <w:rFonts w:ascii="Times New Roman" w:hAnsi="Times New Roman" w:eastAsia="Times New Roman" w:cs="Times New Roman"/>
          <w:spacing w:val="-1"/>
        </w:rPr>
        <w:t>3 </w:t>
      </w:r>
      <w:r>
        <w:rPr>
          <w:spacing w:val="-1"/>
        </w:rPr>
        <w:t>人以上</w:t>
      </w:r>
      <w:r>
        <w:rPr>
          <w:spacing w:val="-20"/>
        </w:rPr>
        <w:t xml:space="preserve"> </w:t>
      </w:r>
      <w:r>
        <w:rPr>
          <w:rFonts w:ascii="Times New Roman" w:hAnsi="Times New Roman" w:eastAsia="Times New Roman" w:cs="Times New Roman"/>
          <w:spacing w:val="-1"/>
        </w:rPr>
        <w:t>10 </w:t>
      </w:r>
      <w:r>
        <w:rPr>
          <w:spacing w:val="-1"/>
        </w:rPr>
        <w:t>人以下死亡或者</w:t>
      </w:r>
      <w:r>
        <w:rPr>
          <w:spacing w:val="-21"/>
        </w:rPr>
        <w:t xml:space="preserve"> </w:t>
      </w:r>
      <w:r>
        <w:rPr>
          <w:rFonts w:ascii="Times New Roman" w:hAnsi="Times New Roman" w:eastAsia="Times New Roman" w:cs="Times New Roman"/>
          <w:spacing w:val="-1"/>
        </w:rPr>
        <w:t>10</w:t>
      </w:r>
      <w:r>
        <w:rPr>
          <w:spacing w:val="7"/>
        </w:rPr>
        <w:t>人以上</w:t>
      </w:r>
      <w:r>
        <w:rPr>
          <w:spacing w:val="-27"/>
        </w:rPr>
        <w:t xml:space="preserve"> </w:t>
      </w:r>
      <w:r>
        <w:rPr>
          <w:rFonts w:ascii="Times New Roman" w:hAnsi="Times New Roman" w:eastAsia="Times New Roman" w:cs="Times New Roman"/>
          <w:spacing w:val="7"/>
        </w:rPr>
        <w:t>50 </w:t>
      </w:r>
      <w:r>
        <w:rPr>
          <w:spacing w:val="7"/>
        </w:rPr>
        <w:t>人以下重伤的森林草原火灾；</w:t>
      </w:r>
    </w:p>
    <w:p>
      <w:pPr>
        <w:pStyle w:val="BodyText"/>
        <w:ind w:left="27" w:right="330" w:firstLine="400"/>
        <w:spacing w:before="172" w:line="308" w:lineRule="auto"/>
        <w:rPr/>
      </w:pPr>
      <w:r>
        <w:rPr>
          <w:spacing w:val="7"/>
        </w:rPr>
        <w:t>（</w:t>
      </w:r>
      <w:r>
        <w:rPr>
          <w:rFonts w:ascii="Times New Roman" w:hAnsi="Times New Roman" w:eastAsia="Times New Roman" w:cs="Times New Roman"/>
          <w:spacing w:val="7"/>
        </w:rPr>
        <w:t>3</w:t>
      </w:r>
      <w:r>
        <w:rPr>
          <w:rFonts w:ascii="Times New Roman" w:hAnsi="Times New Roman" w:eastAsia="Times New Roman" w:cs="Times New Roman"/>
          <w:spacing w:val="-7"/>
        </w:rPr>
        <w:t xml:space="preserve"> </w:t>
      </w:r>
      <w:r>
        <w:rPr>
          <w:spacing w:val="7"/>
        </w:rPr>
        <w:t>）发生在敏感时段、敏感地区，</w:t>
      </w:r>
      <w:r>
        <w:rPr>
          <w:rFonts w:ascii="Times New Roman" w:hAnsi="Times New Roman" w:eastAsia="Times New Roman" w:cs="Times New Roman"/>
          <w:spacing w:val="7"/>
        </w:rPr>
        <w:t>48 </w:t>
      </w:r>
      <w:r>
        <w:rPr>
          <w:spacing w:val="7"/>
        </w:rPr>
        <w:t>小</w:t>
      </w:r>
      <w:r>
        <w:rPr>
          <w:spacing w:val="8"/>
        </w:rPr>
        <w:t>时尚未扑灭明火的森林草原火灾；</w:t>
      </w:r>
    </w:p>
    <w:p>
      <w:pPr>
        <w:pStyle w:val="BodyText"/>
        <w:ind w:left="436" w:right="252" w:hanging="8"/>
        <w:spacing w:before="172" w:line="307" w:lineRule="auto"/>
        <w:rPr/>
      </w:pPr>
      <w:r>
        <w:rPr>
          <w:spacing w:val="4"/>
        </w:rPr>
        <w:t>（</w:t>
      </w:r>
      <w:r>
        <w:rPr>
          <w:rFonts w:ascii="Times New Roman" w:hAnsi="Times New Roman" w:eastAsia="Times New Roman" w:cs="Times New Roman"/>
          <w:spacing w:val="4"/>
        </w:rPr>
        <w:t>4</w:t>
      </w:r>
      <w:r>
        <w:rPr>
          <w:rFonts w:ascii="Times New Roman" w:hAnsi="Times New Roman" w:eastAsia="Times New Roman" w:cs="Times New Roman"/>
          <w:spacing w:val="-16"/>
        </w:rPr>
        <w:t xml:space="preserve"> </w:t>
      </w:r>
      <w:r>
        <w:rPr>
          <w:spacing w:val="4"/>
        </w:rPr>
        <w:t>）自治区外森林火灾蔓延至我市境内。</w:t>
      </w:r>
      <w:r>
        <w:rPr>
          <w:spacing w:val="6"/>
        </w:rPr>
        <w:t>符合上述条件之一时，市政府或市森林草</w:t>
      </w:r>
    </w:p>
    <w:p>
      <w:pPr>
        <w:pStyle w:val="BodyText"/>
        <w:ind w:left="16" w:right="330" w:firstLine="1"/>
        <w:spacing w:before="179" w:line="321" w:lineRule="auto"/>
        <w:jc w:val="both"/>
        <w:rPr/>
      </w:pPr>
      <w:r>
        <w:rPr>
          <w:spacing w:val="18"/>
        </w:rPr>
        <w:t>原防灭火指挥机构组织各成员单位和专家进</w:t>
      </w:r>
      <w:r>
        <w:rPr>
          <w:spacing w:val="7"/>
        </w:rPr>
        <w:t>行分析研判，对森林草原火灾及其蔓延趋势进</w:t>
      </w:r>
      <w:r>
        <w:rPr>
          <w:spacing w:val="7"/>
        </w:rPr>
        <w:t>行综合评估后，由市政府或市森林草原防灭火</w:t>
      </w:r>
    </w:p>
    <w:p>
      <w:pPr>
        <w:spacing w:line="14" w:lineRule="auto"/>
        <w:rPr>
          <w:rFonts w:ascii="Arial"/>
          <w:sz w:val="2"/>
        </w:rPr>
      </w:pPr>
      <w:r>
        <w:rPr>
          <w:rFonts w:ascii="Arial" w:hAnsi="Arial" w:eastAsia="Arial" w:cs="Arial"/>
          <w:sz w:val="2"/>
          <w:szCs w:val="2"/>
        </w:rPr>
        <w:br w:type="column"/>
      </w:r>
    </w:p>
    <w:p>
      <w:pPr>
        <w:pStyle w:val="BodyText"/>
        <w:ind w:right="60" w:firstLine="3"/>
        <w:spacing w:before="40" w:line="388" w:lineRule="auto"/>
        <w:jc w:val="both"/>
        <w:rPr/>
      </w:pPr>
      <w:r>
        <w:rPr>
          <w:spacing w:val="7"/>
        </w:rPr>
        <w:t>指挥机构决定启动</w:t>
      </w:r>
      <w:r>
        <w:rPr>
          <w:rFonts w:ascii="Times New Roman" w:hAnsi="Times New Roman" w:eastAsia="Times New Roman" w:cs="Times New Roman"/>
          <w:spacing w:val="7"/>
        </w:rPr>
        <w:t>Ⅲ</w:t>
      </w:r>
      <w:r>
        <w:rPr>
          <w:spacing w:val="7"/>
        </w:rPr>
        <w:t>级应急响应，并向各有关</w:t>
      </w:r>
      <w:r>
        <w:rPr>
          <w:spacing w:val="7"/>
        </w:rPr>
        <w:t>单位发布启动相关应急程序的命令。必要时，</w:t>
      </w:r>
      <w:r>
        <w:rPr>
          <w:spacing w:val="18"/>
        </w:rPr>
        <w:t>市政府或市森林草原防灭火指挥部向自治区</w:t>
      </w:r>
      <w:r>
        <w:rPr>
          <w:spacing w:val="18"/>
        </w:rPr>
        <w:t>政府或应急厅提出支援或委派工作组来固原</w:t>
      </w:r>
      <w:r>
        <w:rPr>
          <w:spacing w:val="8"/>
        </w:rPr>
        <w:t>指导应急处置工作。</w:t>
      </w:r>
    </w:p>
    <w:p>
      <w:pPr>
        <w:pStyle w:val="BodyText"/>
        <w:ind w:left="425"/>
        <w:spacing w:line="218" w:lineRule="auto"/>
        <w:rPr/>
      </w:pPr>
      <w:r>
        <w:rPr>
          <w:rFonts w:ascii="Times New Roman" w:hAnsi="Times New Roman" w:eastAsia="Times New Roman" w:cs="Times New Roman"/>
          <w:spacing w:val="4"/>
        </w:rPr>
        <w:t>6.3.3Ⅱ</w:t>
      </w:r>
      <w:r>
        <w:rPr>
          <w:spacing w:val="4"/>
        </w:rPr>
        <w:t>级响应。</w:t>
      </w:r>
    </w:p>
    <w:p>
      <w:pPr>
        <w:pStyle w:val="BodyText"/>
        <w:ind w:left="1" w:right="57" w:firstLine="410"/>
        <w:spacing w:before="177" w:line="308" w:lineRule="auto"/>
        <w:rPr/>
      </w:pPr>
      <w:r>
        <w:rPr>
          <w:spacing w:val="5"/>
        </w:rPr>
        <w:t>（</w:t>
      </w:r>
      <w:r>
        <w:rPr>
          <w:spacing w:val="-36"/>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6"/>
        </w:rPr>
        <w:t xml:space="preserve"> </w:t>
      </w:r>
      <w:r>
        <w:rPr>
          <w:spacing w:val="5"/>
        </w:rPr>
        <w:t>）过火面积超过</w:t>
      </w:r>
      <w:r>
        <w:rPr>
          <w:spacing w:val="-18"/>
        </w:rPr>
        <w:t xml:space="preserve"> </w:t>
      </w:r>
      <w:r>
        <w:rPr>
          <w:rFonts w:ascii="Times New Roman" w:hAnsi="Times New Roman" w:eastAsia="Times New Roman" w:cs="Times New Roman"/>
          <w:spacing w:val="5"/>
        </w:rPr>
        <w:t>10000 </w:t>
      </w:r>
      <w:r>
        <w:rPr>
          <w:spacing w:val="5"/>
        </w:rPr>
        <w:t>公顷的森林火</w:t>
      </w:r>
      <w:r>
        <w:rPr>
          <w:spacing w:val="5"/>
        </w:rPr>
        <w:t>灾或者过火面积超过</w:t>
      </w:r>
      <w:r>
        <w:rPr>
          <w:spacing w:val="-12"/>
        </w:rPr>
        <w:t xml:space="preserve"> </w:t>
      </w:r>
      <w:r>
        <w:rPr>
          <w:rFonts w:ascii="Times New Roman" w:hAnsi="Times New Roman" w:eastAsia="Times New Roman" w:cs="Times New Roman"/>
          <w:spacing w:val="5"/>
        </w:rPr>
        <w:t>15000 </w:t>
      </w:r>
      <w:r>
        <w:rPr>
          <w:spacing w:val="5"/>
        </w:rPr>
        <w:t>公顷的草原火灾；</w:t>
      </w:r>
    </w:p>
    <w:p>
      <w:pPr>
        <w:pStyle w:val="BodyText"/>
        <w:ind w:left="6" w:right="64" w:firstLine="405"/>
        <w:spacing w:before="172" w:line="308" w:lineRule="auto"/>
        <w:rPr/>
      </w:pPr>
      <w:r>
        <w:rPr>
          <w:spacing w:val="7"/>
        </w:rPr>
        <w:t>（</w:t>
      </w:r>
      <w:r>
        <w:rPr>
          <w:rFonts w:ascii="Times New Roman" w:hAnsi="Times New Roman" w:eastAsia="Times New Roman" w:cs="Times New Roman"/>
          <w:spacing w:val="7"/>
        </w:rPr>
        <w:t>2</w:t>
      </w:r>
      <w:r>
        <w:rPr>
          <w:rFonts w:ascii="Times New Roman" w:hAnsi="Times New Roman" w:eastAsia="Times New Roman" w:cs="Times New Roman"/>
          <w:spacing w:val="-10"/>
        </w:rPr>
        <w:t xml:space="preserve"> </w:t>
      </w:r>
      <w:r>
        <w:rPr>
          <w:spacing w:val="7"/>
        </w:rPr>
        <w:t>）造成</w:t>
      </w:r>
      <w:r>
        <w:rPr>
          <w:spacing w:val="-18"/>
        </w:rPr>
        <w:t xml:space="preserve"> </w:t>
      </w:r>
      <w:r>
        <w:rPr>
          <w:rFonts w:ascii="Times New Roman" w:hAnsi="Times New Roman" w:eastAsia="Times New Roman" w:cs="Times New Roman"/>
          <w:spacing w:val="7"/>
        </w:rPr>
        <w:t>10 </w:t>
      </w:r>
      <w:r>
        <w:rPr>
          <w:spacing w:val="7"/>
        </w:rPr>
        <w:t>人以上</w:t>
      </w:r>
      <w:r>
        <w:rPr>
          <w:spacing w:val="-34"/>
        </w:rPr>
        <w:t xml:space="preserve"> </w:t>
      </w:r>
      <w:r>
        <w:rPr>
          <w:rFonts w:ascii="Times New Roman" w:hAnsi="Times New Roman" w:eastAsia="Times New Roman" w:cs="Times New Roman"/>
          <w:spacing w:val="7"/>
        </w:rPr>
        <w:t>30 </w:t>
      </w:r>
      <w:r>
        <w:rPr>
          <w:spacing w:val="7"/>
        </w:rPr>
        <w:t>人以下死亡或者</w:t>
      </w:r>
      <w:r>
        <w:rPr>
          <w:rFonts w:ascii="Times New Roman" w:hAnsi="Times New Roman" w:eastAsia="Times New Roman" w:cs="Times New Roman"/>
          <w:spacing w:val="6"/>
        </w:rPr>
        <w:t>50 </w:t>
      </w:r>
      <w:r>
        <w:rPr>
          <w:spacing w:val="6"/>
        </w:rPr>
        <w:t>人以上</w:t>
      </w:r>
      <w:r>
        <w:rPr>
          <w:spacing w:val="-21"/>
        </w:rPr>
        <w:t xml:space="preserve"> </w:t>
      </w:r>
      <w:r>
        <w:rPr>
          <w:rFonts w:ascii="Times New Roman" w:hAnsi="Times New Roman" w:eastAsia="Times New Roman" w:cs="Times New Roman"/>
          <w:spacing w:val="6"/>
        </w:rPr>
        <w:t>100 </w:t>
      </w:r>
      <w:r>
        <w:rPr>
          <w:spacing w:val="6"/>
        </w:rPr>
        <w:t>人以下重伤的森林草原火灾；</w:t>
      </w:r>
    </w:p>
    <w:p>
      <w:pPr>
        <w:pStyle w:val="BodyText"/>
        <w:ind w:left="11" w:right="66" w:firstLine="400"/>
        <w:spacing w:before="173" w:line="308" w:lineRule="auto"/>
        <w:rPr/>
      </w:pPr>
      <w:r>
        <w:rPr>
          <w:spacing w:val="7"/>
        </w:rPr>
        <w:t>（</w:t>
      </w:r>
      <w:r>
        <w:rPr>
          <w:rFonts w:ascii="Times New Roman" w:hAnsi="Times New Roman" w:eastAsia="Times New Roman" w:cs="Times New Roman"/>
          <w:spacing w:val="7"/>
        </w:rPr>
        <w:t>3</w:t>
      </w:r>
      <w:r>
        <w:rPr>
          <w:rFonts w:ascii="Times New Roman" w:hAnsi="Times New Roman" w:eastAsia="Times New Roman" w:cs="Times New Roman"/>
          <w:spacing w:val="-7"/>
        </w:rPr>
        <w:t xml:space="preserve"> </w:t>
      </w:r>
      <w:r>
        <w:rPr>
          <w:spacing w:val="7"/>
        </w:rPr>
        <w:t>）发生在敏感时段、敏感地区，</w:t>
      </w:r>
      <w:r>
        <w:rPr>
          <w:rFonts w:ascii="Times New Roman" w:hAnsi="Times New Roman" w:eastAsia="Times New Roman" w:cs="Times New Roman"/>
          <w:spacing w:val="7"/>
        </w:rPr>
        <w:t>72 </w:t>
      </w:r>
      <w:r>
        <w:rPr>
          <w:spacing w:val="7"/>
        </w:rPr>
        <w:t>小</w:t>
      </w:r>
      <w:r>
        <w:rPr>
          <w:spacing w:val="8"/>
        </w:rPr>
        <w:t>时未得到有效控制的森林草原火灾；</w:t>
      </w:r>
    </w:p>
    <w:p>
      <w:pPr>
        <w:pStyle w:val="BodyText"/>
        <w:ind w:left="2" w:right="69" w:firstLine="409"/>
        <w:spacing w:before="172" w:line="307"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）自治区境外森林草原火灾蔓延至我</w:t>
      </w:r>
      <w:r>
        <w:rPr>
          <w:spacing w:val="7"/>
        </w:rPr>
        <w:t>市境内，</w:t>
      </w:r>
      <w:r>
        <w:rPr>
          <w:rFonts w:ascii="Times New Roman" w:hAnsi="Times New Roman" w:eastAsia="Times New Roman" w:cs="Times New Roman"/>
          <w:spacing w:val="7"/>
        </w:rPr>
        <w:t>72 </w:t>
      </w:r>
      <w:r>
        <w:rPr>
          <w:spacing w:val="7"/>
        </w:rPr>
        <w:t>小时未得到有效控制。</w:t>
      </w:r>
    </w:p>
    <w:p>
      <w:pPr>
        <w:pStyle w:val="BodyText"/>
        <w:ind w:left="2" w:right="66" w:firstLine="418"/>
        <w:spacing w:before="177" w:line="388" w:lineRule="auto"/>
        <w:jc w:val="both"/>
        <w:rPr/>
      </w:pPr>
      <w:r>
        <w:rPr>
          <w:spacing w:val="6"/>
        </w:rPr>
        <w:t>符合上述条件之一时，经报请自治区森林</w:t>
      </w:r>
      <w:r>
        <w:rPr>
          <w:spacing w:val="7"/>
        </w:rPr>
        <w:t>草原防灭火指挥部办公室分析评估，认定灾情</w:t>
      </w:r>
      <w:r>
        <w:rPr>
          <w:spacing w:val="7"/>
        </w:rPr>
        <w:t>达到启动标准并提出建议，由自治区森林草原</w:t>
      </w:r>
      <w:r>
        <w:rPr>
          <w:spacing w:val="10"/>
        </w:rPr>
        <w:t>防灭火指挥部总指挥决定启动</w:t>
      </w:r>
      <w:r>
        <w:rPr>
          <w:rFonts w:ascii="Times New Roman" w:hAnsi="Times New Roman" w:eastAsia="Times New Roman" w:cs="Times New Roman"/>
          <w:spacing w:val="10"/>
        </w:rPr>
        <w:t>Ⅱ</w:t>
      </w:r>
      <w:r>
        <w:rPr>
          <w:spacing w:val="10"/>
        </w:rPr>
        <w:t>级响应，组织</w:t>
      </w:r>
      <w:r>
        <w:rPr>
          <w:spacing w:val="8"/>
        </w:rPr>
        <w:t>开展应急处置工作。</w:t>
      </w:r>
    </w:p>
    <w:p>
      <w:pPr>
        <w:pStyle w:val="BodyText"/>
        <w:ind w:left="425"/>
        <w:spacing w:before="3" w:line="218" w:lineRule="auto"/>
        <w:rPr/>
      </w:pPr>
      <w:r>
        <w:rPr>
          <w:rFonts w:ascii="Times New Roman" w:hAnsi="Times New Roman" w:eastAsia="Times New Roman" w:cs="Times New Roman"/>
          <w:spacing w:val="4"/>
        </w:rPr>
        <w:t>6.3.4Ⅰ</w:t>
      </w:r>
      <w:r>
        <w:rPr>
          <w:spacing w:val="4"/>
        </w:rPr>
        <w:t>级响应。</w:t>
      </w:r>
    </w:p>
    <w:p>
      <w:pPr>
        <w:pStyle w:val="BodyText"/>
        <w:ind w:left="1" w:firstLine="410"/>
        <w:spacing w:before="177" w:line="308" w:lineRule="auto"/>
        <w:rPr/>
      </w:pPr>
      <w:r>
        <w:rPr>
          <w:spacing w:val="1"/>
        </w:rPr>
        <w:t>（</w:t>
      </w:r>
      <w:r>
        <w:rPr>
          <w:spacing w:val="-46"/>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0"/>
        </w:rPr>
        <w:t xml:space="preserve"> </w:t>
      </w:r>
      <w:r>
        <w:rPr>
          <w:spacing w:val="1"/>
        </w:rPr>
        <w:t>）过火面积超过</w:t>
      </w:r>
      <w:r>
        <w:rPr>
          <w:spacing w:val="-21"/>
        </w:rPr>
        <w:t xml:space="preserve"> </w:t>
      </w:r>
      <w:r>
        <w:rPr>
          <w:rFonts w:ascii="Times New Roman" w:hAnsi="Times New Roman" w:eastAsia="Times New Roman" w:cs="Times New Roman"/>
          <w:spacing w:val="1"/>
        </w:rPr>
        <w:t>100000 </w:t>
      </w:r>
      <w:r>
        <w:rPr>
          <w:spacing w:val="1"/>
        </w:rPr>
        <w:t>公顷的森林火</w:t>
      </w:r>
      <w:r>
        <w:rPr>
          <w:spacing w:val="5"/>
        </w:rPr>
        <w:t>灾或者过火面积超过</w:t>
      </w:r>
      <w:r>
        <w:rPr>
          <w:spacing w:val="-35"/>
        </w:rPr>
        <w:t xml:space="preserve"> </w:t>
      </w:r>
      <w:r>
        <w:rPr>
          <w:rFonts w:ascii="Times New Roman" w:hAnsi="Times New Roman" w:eastAsia="Times New Roman" w:cs="Times New Roman"/>
          <w:spacing w:val="5"/>
        </w:rPr>
        <w:t>150000</w:t>
      </w:r>
      <w:r>
        <w:rPr>
          <w:rFonts w:ascii="Times New Roman" w:hAnsi="Times New Roman" w:eastAsia="Times New Roman" w:cs="Times New Roman"/>
          <w:spacing w:val="-20"/>
        </w:rPr>
        <w:t xml:space="preserve"> </w:t>
      </w:r>
      <w:r>
        <w:rPr>
          <w:spacing w:val="5"/>
        </w:rPr>
        <w:t>公顷的草原火灾；</w:t>
      </w:r>
    </w:p>
    <w:p>
      <w:pPr>
        <w:pStyle w:val="BodyText"/>
        <w:ind w:left="2" w:right="64" w:firstLine="409"/>
        <w:spacing w:before="173" w:line="308" w:lineRule="auto"/>
        <w:rPr/>
      </w:pPr>
      <w:r>
        <w:rPr>
          <w:spacing w:val="3"/>
        </w:rPr>
        <w:t>（</w:t>
      </w:r>
      <w:r>
        <w:rPr>
          <w:rFonts w:ascii="Times New Roman" w:hAnsi="Times New Roman" w:eastAsia="Times New Roman" w:cs="Times New Roman"/>
          <w:spacing w:val="3"/>
        </w:rPr>
        <w:t>2</w:t>
      </w:r>
      <w:r>
        <w:rPr>
          <w:rFonts w:ascii="Times New Roman" w:hAnsi="Times New Roman" w:eastAsia="Times New Roman" w:cs="Times New Roman"/>
          <w:spacing w:val="-21"/>
        </w:rPr>
        <w:t xml:space="preserve"> </w:t>
      </w:r>
      <w:r>
        <w:rPr>
          <w:spacing w:val="3"/>
        </w:rPr>
        <w:t>）造成</w:t>
      </w:r>
      <w:r>
        <w:rPr>
          <w:spacing w:val="-36"/>
        </w:rPr>
        <w:t xml:space="preserve"> </w:t>
      </w:r>
      <w:r>
        <w:rPr>
          <w:rFonts w:ascii="Times New Roman" w:hAnsi="Times New Roman" w:eastAsia="Times New Roman" w:cs="Times New Roman"/>
          <w:spacing w:val="3"/>
        </w:rPr>
        <w:t>30 </w:t>
      </w:r>
      <w:r>
        <w:rPr>
          <w:spacing w:val="3"/>
        </w:rPr>
        <w:t>人以上死亡或者</w:t>
      </w:r>
      <w:r>
        <w:rPr>
          <w:spacing w:val="-21"/>
        </w:rPr>
        <w:t xml:space="preserve"> </w:t>
      </w:r>
      <w:r>
        <w:rPr>
          <w:rFonts w:ascii="Times New Roman" w:hAnsi="Times New Roman" w:eastAsia="Times New Roman" w:cs="Times New Roman"/>
          <w:spacing w:val="3"/>
        </w:rPr>
        <w:t>100 </w:t>
      </w:r>
      <w:r>
        <w:rPr>
          <w:spacing w:val="2"/>
        </w:rPr>
        <w:t>人以上</w:t>
      </w:r>
      <w:r>
        <w:rPr>
          <w:spacing w:val="8"/>
        </w:rPr>
        <w:t>重伤的森林草原火灾；</w:t>
      </w:r>
    </w:p>
    <w:p>
      <w:pPr>
        <w:pStyle w:val="BodyText"/>
        <w:ind w:right="2" w:firstLine="411"/>
        <w:spacing w:before="173" w:line="308" w:lineRule="auto"/>
        <w:rPr/>
      </w:pPr>
      <w:r>
        <w:rPr>
          <w:spacing w:val="3"/>
        </w:rPr>
        <w:t>（</w:t>
      </w:r>
      <w:r>
        <w:rPr>
          <w:rFonts w:ascii="Times New Roman" w:hAnsi="Times New Roman" w:eastAsia="Times New Roman" w:cs="Times New Roman"/>
          <w:spacing w:val="3"/>
        </w:rPr>
        <w:t>3</w:t>
      </w:r>
      <w:r>
        <w:rPr>
          <w:rFonts w:ascii="Times New Roman" w:hAnsi="Times New Roman" w:eastAsia="Times New Roman" w:cs="Times New Roman"/>
          <w:spacing w:val="-10"/>
        </w:rPr>
        <w:t xml:space="preserve"> </w:t>
      </w:r>
      <w:r>
        <w:rPr>
          <w:spacing w:val="3"/>
        </w:rPr>
        <w:t>）国土安全和社会稳定受到严重威胁，</w:t>
      </w:r>
      <w:r>
        <w:rPr>
          <w:spacing w:val="9"/>
        </w:rPr>
        <w:t>有关行业遭受重创，经济损失特别巨大；</w:t>
      </w:r>
    </w:p>
    <w:p>
      <w:pPr>
        <w:pStyle w:val="BodyText"/>
        <w:ind w:left="1" w:right="69" w:firstLine="410"/>
        <w:spacing w:before="173" w:line="305"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）市本级已经没有能力和条件有效控</w:t>
      </w:r>
      <w:r>
        <w:rPr>
          <w:spacing w:val="7"/>
        </w:rPr>
        <w:t>制火场蔓延。</w:t>
      </w:r>
    </w:p>
    <w:p>
      <w:pPr>
        <w:pStyle w:val="BodyText"/>
        <w:ind w:left="2" w:right="66" w:firstLine="418"/>
        <w:spacing w:before="182" w:line="321" w:lineRule="auto"/>
        <w:jc w:val="both"/>
        <w:rPr/>
      </w:pPr>
      <w:r>
        <w:rPr>
          <w:spacing w:val="6"/>
        </w:rPr>
        <w:t>符合上述条件之一时，经报请自治区森林</w:t>
      </w:r>
      <w:r>
        <w:rPr>
          <w:spacing w:val="7"/>
        </w:rPr>
        <w:t>草原防灭火指挥部办公室分析评估，认定灾情</w:t>
      </w:r>
      <w:r>
        <w:rPr>
          <w:spacing w:val="7"/>
        </w:rPr>
        <w:t>达到启动标准并提出建议，由自治区森林草原</w:t>
      </w:r>
    </w:p>
    <w:p>
      <w:pPr>
        <w:spacing w:line="321" w:lineRule="auto"/>
        <w:sectPr>
          <w:type w:val="continuous"/>
          <w:pgSz w:w="11906" w:h="16839"/>
          <w:pgMar w:top="1766" w:right="1523" w:bottom="1551" w:left="1576" w:header="1428" w:footer="1172" w:gutter="0"/>
          <w:cols w:equalWidth="0" w:num="2">
            <w:col w:w="4493" w:space="100"/>
            <w:col w:w="4214" w:space="0"/>
          </w:cols>
        </w:sectPr>
        <w:rPr/>
      </w:pPr>
    </w:p>
    <w:p>
      <w:pPr>
        <w:spacing w:before="33"/>
        <w:rPr/>
      </w:pPr>
      <w:r>
        <w:drawing>
          <wp:anchor distT="0" distB="0" distL="0" distR="0" simplePos="0" relativeHeight="252595200" behindDoc="0" locked="0" layoutInCell="0" allowOverlap="1">
            <wp:simplePos x="0" y="0"/>
            <wp:positionH relativeFrom="page">
              <wp:posOffset>1008380</wp:posOffset>
            </wp:positionH>
            <wp:positionV relativeFrom="page">
              <wp:posOffset>1186180</wp:posOffset>
            </wp:positionV>
            <wp:extent cx="5579745" cy="7619"/>
            <wp:effectExtent l="0" t="0" r="0" b="0"/>
            <wp:wrapNone/>
            <wp:docPr id="1582" name="IM 1582"/>
            <wp:cNvGraphicFramePr/>
            <a:graphic>
              <a:graphicData uri="http://schemas.openxmlformats.org/drawingml/2006/picture">
                <pic:pic>
                  <pic:nvPicPr>
                    <pic:cNvPr id="1582" name="IM 1582"/>
                    <pic:cNvPicPr/>
                  </pic:nvPicPr>
                  <pic:blipFill>
                    <a:blip r:embed="rId793"/>
                    <a:stretch>
                      <a:fillRect/>
                    </a:stretch>
                  </pic:blipFill>
                  <pic:spPr>
                    <a:xfrm rot="0">
                      <a:off x="0" y="0"/>
                      <a:ext cx="5579745" cy="7619"/>
                    </a:xfrm>
                    <a:prstGeom prst="rect">
                      <a:avLst/>
                    </a:prstGeom>
                  </pic:spPr>
                </pic:pic>
              </a:graphicData>
            </a:graphic>
          </wp:anchor>
        </w:drawing>
      </w:r>
      <w:r/>
    </w:p>
    <w:p>
      <w:pPr>
        <w:sectPr>
          <w:headerReference w:type="default" r:id="rId728"/>
          <w:footerReference w:type="default" r:id="rId792"/>
          <w:pgSz w:w="11906" w:h="16839"/>
          <w:pgMar w:top="1828" w:right="1489" w:bottom="1556" w:left="1567" w:header="1428" w:footer="1172" w:gutter="0"/>
          <w:cols w:equalWidth="0" w:num="1">
            <w:col w:w="8850" w:space="0"/>
          </w:cols>
        </w:sectPr>
        <w:rPr/>
      </w:pPr>
    </w:p>
    <w:p>
      <w:pPr>
        <w:pStyle w:val="BodyText"/>
        <w:ind w:left="29" w:right="325" w:firstLine="10"/>
        <w:spacing w:before="44" w:line="385" w:lineRule="auto"/>
        <w:rPr/>
      </w:pPr>
      <w:r>
        <w:rPr>
          <w:spacing w:val="7"/>
        </w:rPr>
        <w:t>防灭火指挥部总指挥决定启动</w:t>
      </w:r>
      <w:r>
        <w:rPr>
          <w:spacing w:val="-32"/>
        </w:rPr>
        <w:t xml:space="preserve"> </w:t>
      </w:r>
      <w:r>
        <w:rPr>
          <w:rFonts w:ascii="Times New Roman" w:hAnsi="Times New Roman" w:eastAsia="Times New Roman" w:cs="Times New Roman"/>
          <w:spacing w:val="7"/>
        </w:rPr>
        <w:t>I </w:t>
      </w:r>
      <w:r>
        <w:rPr>
          <w:spacing w:val="7"/>
        </w:rPr>
        <w:t>级响应，组织</w:t>
      </w:r>
      <w:r>
        <w:rPr>
          <w:spacing w:val="7"/>
        </w:rPr>
        <w:t>开展应急处置工作。</w:t>
      </w:r>
    </w:p>
    <w:p>
      <w:pPr>
        <w:ind w:left="450"/>
        <w:spacing w:line="264" w:lineRule="exact"/>
        <w:rPr>
          <w:rFonts w:ascii="KaiTi" w:hAnsi="KaiTi" w:eastAsia="KaiTi" w:cs="KaiTi"/>
          <w:sz w:val="20"/>
          <w:szCs w:val="20"/>
        </w:rPr>
      </w:pPr>
      <w:r>
        <w:rPr>
          <w:rFonts w:ascii="Times New Roman" w:hAnsi="Times New Roman" w:eastAsia="Times New Roman" w:cs="Times New Roman"/>
          <w:sz w:val="20"/>
          <w:szCs w:val="20"/>
          <w:spacing w:val="4"/>
          <w:position w:val="1"/>
        </w:rPr>
        <w:t>6.4  </w:t>
      </w:r>
      <w:r>
        <w:rPr>
          <w:rFonts w:ascii="KaiTi" w:hAnsi="KaiTi" w:eastAsia="KaiTi" w:cs="KaiTi"/>
          <w:sz w:val="20"/>
          <w:szCs w:val="20"/>
          <w:spacing w:val="4"/>
          <w:position w:val="1"/>
        </w:rPr>
        <w:t>响应措施。</w:t>
      </w:r>
    </w:p>
    <w:p>
      <w:pPr>
        <w:pStyle w:val="BodyText"/>
        <w:ind w:left="22" w:right="317" w:firstLine="414"/>
        <w:spacing w:before="153" w:line="377" w:lineRule="auto"/>
        <w:rPr/>
      </w:pPr>
      <w:r>
        <w:rPr>
          <w:spacing w:val="6"/>
        </w:rPr>
        <w:t>（</w:t>
      </w:r>
      <w:r>
        <w:rPr>
          <w:spacing w:val="-34"/>
        </w:rPr>
        <w:t xml:space="preserve"> </w:t>
      </w:r>
      <w:r>
        <w:rPr>
          <w:rFonts w:ascii="Times New Roman" w:hAnsi="Times New Roman" w:eastAsia="Times New Roman" w:cs="Times New Roman"/>
          <w:spacing w:val="6"/>
        </w:rPr>
        <w:t>1 </w:t>
      </w:r>
      <w:r>
        <w:rPr>
          <w:spacing w:val="6"/>
        </w:rPr>
        <w:t>）固原市森林草原防灭火指挥部紧急</w:t>
      </w:r>
      <w:r>
        <w:rPr>
          <w:spacing w:val="7"/>
        </w:rPr>
        <w:t>处置措施。启动</w:t>
      </w:r>
      <w:r>
        <w:rPr>
          <w:rFonts w:ascii="Times New Roman" w:hAnsi="Times New Roman" w:eastAsia="Times New Roman" w:cs="Times New Roman"/>
          <w:spacing w:val="7"/>
        </w:rPr>
        <w:t>Ⅰ</w:t>
      </w:r>
      <w:r>
        <w:rPr>
          <w:spacing w:val="7"/>
        </w:rPr>
        <w:t>级、</w:t>
      </w:r>
      <w:r>
        <w:rPr>
          <w:rFonts w:ascii="Times New Roman" w:hAnsi="Times New Roman" w:eastAsia="Times New Roman" w:cs="Times New Roman"/>
          <w:spacing w:val="7"/>
        </w:rPr>
        <w:t>Ⅱ</w:t>
      </w:r>
      <w:r>
        <w:rPr>
          <w:spacing w:val="7"/>
        </w:rPr>
        <w:t>级响应后，市森林草原</w:t>
      </w:r>
      <w:r>
        <w:rPr>
          <w:spacing w:val="18"/>
        </w:rPr>
        <w:t>防灭火指挥部根据自治区森防指部署要求开</w:t>
      </w:r>
      <w:r>
        <w:rPr>
          <w:spacing w:val="7"/>
        </w:rPr>
        <w:t>展火灾应急处置工作。启动</w:t>
      </w:r>
      <w:r>
        <w:rPr>
          <w:rFonts w:ascii="Times New Roman" w:hAnsi="Times New Roman" w:eastAsia="Times New Roman" w:cs="Times New Roman"/>
          <w:spacing w:val="7"/>
        </w:rPr>
        <w:t>Ⅲ</w:t>
      </w:r>
      <w:r>
        <w:rPr>
          <w:spacing w:val="7"/>
        </w:rPr>
        <w:t>级响应后，市森</w:t>
      </w:r>
      <w:r>
        <w:rPr>
          <w:spacing w:val="18"/>
        </w:rPr>
        <w:t>林草原防灭火指挥部立即按照本级森林草原</w:t>
      </w:r>
      <w:r>
        <w:rPr>
          <w:spacing w:val="7"/>
        </w:rPr>
        <w:t>火灾应急预案开展应急处置工作。根据森林草</w:t>
      </w:r>
      <w:r>
        <w:rPr>
          <w:spacing w:val="7"/>
        </w:rPr>
        <w:t>原火灾位置、范围以及风力、风向、火势、火</w:t>
      </w:r>
      <w:r>
        <w:rPr>
          <w:spacing w:val="7"/>
        </w:rPr>
        <w:t>灾现场天气、地理条件，合理确定扑救方案，</w:t>
      </w:r>
      <w:r>
        <w:rPr>
          <w:spacing w:val="7"/>
        </w:rPr>
        <w:t>划分扑救地段，确定扑救责任人，并指定负责</w:t>
      </w:r>
      <w:r>
        <w:rPr>
          <w:spacing w:val="18"/>
        </w:rPr>
        <w:t>人及时到达森林草原火灾前线指挥部指挥森</w:t>
      </w:r>
      <w:r>
        <w:rPr>
          <w:spacing w:val="7"/>
        </w:rPr>
        <w:t>林草原火灾的扑救。启动</w:t>
      </w:r>
      <w:r>
        <w:rPr>
          <w:rFonts w:ascii="Times New Roman" w:hAnsi="Times New Roman" w:eastAsia="Times New Roman" w:cs="Times New Roman"/>
          <w:spacing w:val="7"/>
        </w:rPr>
        <w:t>Ⅳ</w:t>
      </w:r>
      <w:r>
        <w:rPr>
          <w:spacing w:val="7"/>
        </w:rPr>
        <w:t>级响应后，由森林</w:t>
      </w:r>
      <w:r>
        <w:rPr>
          <w:spacing w:val="4"/>
        </w:rPr>
        <w:t>草原火灾发生县（</w:t>
      </w:r>
      <w:r>
        <w:rPr>
          <w:spacing w:val="-33"/>
        </w:rPr>
        <w:t xml:space="preserve"> </w:t>
      </w:r>
      <w:r>
        <w:rPr>
          <w:spacing w:val="4"/>
        </w:rPr>
        <w:t>区）政府启动本级森林草原</w:t>
      </w:r>
      <w:r>
        <w:rPr>
          <w:spacing w:val="7"/>
        </w:rPr>
        <w:t>火灾应急处置预案，市森林草原防灭火指挥部</w:t>
      </w:r>
      <w:r>
        <w:rPr>
          <w:spacing w:val="7"/>
        </w:rPr>
        <w:t>办公室密切关注森林草原火灾发展趋势，如级</w:t>
      </w:r>
      <w:r>
        <w:rPr>
          <w:spacing w:val="8"/>
        </w:rPr>
        <w:t>别不断增高，应采取</w:t>
      </w:r>
      <w:r>
        <w:rPr>
          <w:rFonts w:ascii="Times New Roman" w:hAnsi="Times New Roman" w:eastAsia="Times New Roman" w:cs="Times New Roman"/>
          <w:spacing w:val="8"/>
        </w:rPr>
        <w:t>Ⅲ</w:t>
      </w:r>
      <w:r>
        <w:rPr>
          <w:spacing w:val="8"/>
        </w:rPr>
        <w:t>级响应标准处置措施。</w:t>
      </w:r>
    </w:p>
    <w:p>
      <w:pPr>
        <w:pStyle w:val="BodyText"/>
        <w:ind w:left="22" w:right="325" w:firstLine="414"/>
        <w:spacing w:before="172" w:line="373"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）市森林草原防灭火指挥部办公室紧</w:t>
      </w:r>
      <w:r>
        <w:rPr>
          <w:spacing w:val="7"/>
        </w:rPr>
        <w:t>急处置措施。启动</w:t>
      </w:r>
      <w:r>
        <w:rPr>
          <w:rFonts w:ascii="Times New Roman" w:hAnsi="Times New Roman" w:eastAsia="Times New Roman" w:cs="Times New Roman"/>
          <w:spacing w:val="7"/>
        </w:rPr>
        <w:t>Ⅰ</w:t>
      </w:r>
      <w:r>
        <w:rPr>
          <w:spacing w:val="7"/>
        </w:rPr>
        <w:t>级、</w:t>
      </w:r>
      <w:r>
        <w:rPr>
          <w:rFonts w:ascii="Times New Roman" w:hAnsi="Times New Roman" w:eastAsia="Times New Roman" w:cs="Times New Roman"/>
          <w:spacing w:val="7"/>
        </w:rPr>
        <w:t>Ⅱ</w:t>
      </w:r>
      <w:r>
        <w:rPr>
          <w:spacing w:val="7"/>
        </w:rPr>
        <w:t>级、</w:t>
      </w:r>
      <w:r>
        <w:rPr>
          <w:rFonts w:ascii="Times New Roman" w:hAnsi="Times New Roman" w:eastAsia="Times New Roman" w:cs="Times New Roman"/>
          <w:spacing w:val="7"/>
        </w:rPr>
        <w:t>Ⅲ</w:t>
      </w:r>
      <w:r>
        <w:rPr>
          <w:spacing w:val="7"/>
        </w:rPr>
        <w:t>级响应后，市</w:t>
      </w:r>
      <w:r>
        <w:rPr>
          <w:spacing w:val="18"/>
        </w:rPr>
        <w:t>森林草原防灭火指挥部办公室及时向自治区</w:t>
      </w:r>
      <w:r>
        <w:rPr>
          <w:spacing w:val="7"/>
        </w:rPr>
        <w:t>森防指办公室报告相关情况，请求就近调动人</w:t>
      </w:r>
      <w:r>
        <w:rPr>
          <w:spacing w:val="7"/>
        </w:rPr>
        <w:t>员和物资进行支援；向全市通报火情，跟踪森</w:t>
      </w:r>
      <w:r>
        <w:rPr>
          <w:spacing w:val="7"/>
        </w:rPr>
        <w:t>林草原火灾扑救情况，做好信息的收集报送和</w:t>
      </w:r>
      <w:r>
        <w:rPr>
          <w:spacing w:val="7"/>
        </w:rPr>
        <w:t>传达工作。启动</w:t>
      </w:r>
      <w:r>
        <w:rPr>
          <w:rFonts w:ascii="Times New Roman" w:hAnsi="Times New Roman" w:eastAsia="Times New Roman" w:cs="Times New Roman"/>
          <w:spacing w:val="7"/>
        </w:rPr>
        <w:t>Ⅳ</w:t>
      </w:r>
      <w:r>
        <w:rPr>
          <w:spacing w:val="7"/>
        </w:rPr>
        <w:t>级响应后，市森林草原防灭</w:t>
      </w:r>
      <w:r>
        <w:rPr>
          <w:spacing w:val="18"/>
        </w:rPr>
        <w:t>火指挥部办公室向市森林草原防灭火指挥部</w:t>
      </w:r>
      <w:r>
        <w:rPr>
          <w:spacing w:val="7"/>
        </w:rPr>
        <w:t>成员及火灾发生地周边区域通报火情，根据需</w:t>
      </w:r>
      <w:r>
        <w:rPr>
          <w:spacing w:val="18"/>
        </w:rPr>
        <w:t>要组织协调跨区域跨部门的森林草原防扑火</w:t>
      </w:r>
      <w:r>
        <w:rPr>
          <w:spacing w:val="7"/>
        </w:rPr>
        <w:t>联动工作；掌握火情动态、火场前线扑火力量</w:t>
      </w:r>
      <w:r>
        <w:rPr>
          <w:spacing w:val="7"/>
        </w:rPr>
        <w:t>部署、火场地理信息、气象和扑火情况，指导</w:t>
      </w:r>
      <w:r>
        <w:rPr>
          <w:spacing w:val="7"/>
        </w:rPr>
        <w:t>事发地做好扑火工作；传达落实有关领导的指</w:t>
      </w:r>
    </w:p>
    <w:p>
      <w:pPr>
        <w:spacing w:line="14" w:lineRule="auto"/>
        <w:rPr>
          <w:rFonts w:ascii="Arial"/>
          <w:sz w:val="2"/>
        </w:rPr>
      </w:pPr>
      <w:r>
        <w:rPr>
          <w:rFonts w:ascii="Arial" w:hAnsi="Arial" w:eastAsia="Arial" w:cs="Arial"/>
          <w:sz w:val="2"/>
          <w:szCs w:val="2"/>
        </w:rPr>
        <w:br w:type="column"/>
      </w:r>
    </w:p>
    <w:p>
      <w:pPr>
        <w:pStyle w:val="BodyText"/>
        <w:ind w:left="1"/>
        <w:spacing w:before="39" w:line="226" w:lineRule="auto"/>
        <w:rPr/>
      </w:pPr>
      <w:r>
        <w:rPr>
          <w:spacing w:val="9"/>
        </w:rPr>
        <w:t>示批示；做好火灾信息收集上报工作。</w:t>
      </w:r>
    </w:p>
    <w:p>
      <w:pPr>
        <w:pStyle w:val="BodyText"/>
        <w:ind w:right="23" w:firstLine="414"/>
        <w:spacing w:before="174" w:line="388" w:lineRule="auto"/>
        <w:jc w:val="both"/>
        <w:rPr/>
      </w:pPr>
      <w:r>
        <w:rPr>
          <w:spacing w:val="4"/>
        </w:rPr>
        <w:t>（</w:t>
      </w:r>
      <w:r>
        <w:rPr>
          <w:rFonts w:ascii="Times New Roman" w:hAnsi="Times New Roman" w:eastAsia="Times New Roman" w:cs="Times New Roman"/>
          <w:spacing w:val="4"/>
        </w:rPr>
        <w:t>3</w:t>
      </w:r>
      <w:r>
        <w:rPr>
          <w:rFonts w:ascii="Times New Roman" w:hAnsi="Times New Roman" w:eastAsia="Times New Roman" w:cs="Times New Roman"/>
          <w:spacing w:val="-16"/>
        </w:rPr>
        <w:t xml:space="preserve"> </w:t>
      </w:r>
      <w:r>
        <w:rPr>
          <w:spacing w:val="4"/>
        </w:rPr>
        <w:t>）各成员单位或工作组紧急处置措施。</w:t>
      </w:r>
      <w:r>
        <w:rPr>
          <w:spacing w:val="7"/>
        </w:rPr>
        <w:t>启动</w:t>
      </w:r>
      <w:r>
        <w:rPr>
          <w:rFonts w:ascii="Times New Roman" w:hAnsi="Times New Roman" w:eastAsia="Times New Roman" w:cs="Times New Roman"/>
          <w:spacing w:val="7"/>
        </w:rPr>
        <w:t>Ⅰ</w:t>
      </w:r>
      <w:r>
        <w:rPr>
          <w:spacing w:val="7"/>
        </w:rPr>
        <w:t>级、</w:t>
      </w:r>
      <w:r>
        <w:rPr>
          <w:rFonts w:ascii="Times New Roman" w:hAnsi="Times New Roman" w:eastAsia="Times New Roman" w:cs="Times New Roman"/>
          <w:spacing w:val="7"/>
        </w:rPr>
        <w:t>Ⅱ</w:t>
      </w:r>
      <w:r>
        <w:rPr>
          <w:spacing w:val="7"/>
        </w:rPr>
        <w:t>级、</w:t>
      </w:r>
      <w:r>
        <w:rPr>
          <w:rFonts w:ascii="Times New Roman" w:hAnsi="Times New Roman" w:eastAsia="Times New Roman" w:cs="Times New Roman"/>
          <w:spacing w:val="7"/>
        </w:rPr>
        <w:t>Ⅲ</w:t>
      </w:r>
      <w:r>
        <w:rPr>
          <w:spacing w:val="7"/>
        </w:rPr>
        <w:t>级响应后，市森林草原防灭</w:t>
      </w:r>
      <w:r>
        <w:rPr>
          <w:spacing w:val="7"/>
        </w:rPr>
        <w:t>火指挥部各成员单位，按照总指挥的命令及职</w:t>
      </w:r>
      <w:r>
        <w:rPr>
          <w:spacing w:val="7"/>
        </w:rPr>
        <w:t>责，立即开展森林草原火灾预防、扑救及保障</w:t>
      </w:r>
      <w:r>
        <w:rPr>
          <w:spacing w:val="7"/>
        </w:rPr>
        <w:t>工作。启动</w:t>
      </w:r>
      <w:r>
        <w:rPr>
          <w:rFonts w:ascii="Times New Roman" w:hAnsi="Times New Roman" w:eastAsia="Times New Roman" w:cs="Times New Roman"/>
          <w:spacing w:val="7"/>
        </w:rPr>
        <w:t>Ⅳ</w:t>
      </w:r>
      <w:r>
        <w:rPr>
          <w:spacing w:val="7"/>
        </w:rPr>
        <w:t>级响应后，接到火情通报的市森</w:t>
      </w:r>
      <w:r>
        <w:rPr>
          <w:spacing w:val="15"/>
        </w:rPr>
        <w:t>林草原防灭火指挥部成员单位</w:t>
      </w:r>
      <w:r>
        <w:rPr>
          <w:spacing w:val="-38"/>
        </w:rPr>
        <w:t xml:space="preserve"> </w:t>
      </w:r>
      <w:r>
        <w:rPr>
          <w:spacing w:val="15"/>
        </w:rPr>
        <w:t>，按照职责分</w:t>
      </w:r>
      <w:r>
        <w:rPr>
          <w:spacing w:val="7"/>
        </w:rPr>
        <w:t>工，做好森林草原火灾的预防及扑救等应急准</w:t>
      </w:r>
      <w:r>
        <w:rPr>
          <w:spacing w:val="7"/>
        </w:rPr>
        <w:t>备工作。</w:t>
      </w:r>
    </w:p>
    <w:p>
      <w:pPr>
        <w:pStyle w:val="BodyText"/>
        <w:ind w:right="101" w:firstLine="428"/>
        <w:spacing w:before="6" w:line="372" w:lineRule="auto"/>
        <w:rPr/>
      </w:pPr>
      <w:r>
        <w:rPr>
          <w:rFonts w:ascii="Times New Roman" w:hAnsi="Times New Roman" w:eastAsia="Times New Roman" w:cs="Times New Roman"/>
          <w:spacing w:val="8"/>
        </w:rPr>
        <w:t>6.5  </w:t>
      </w:r>
      <w:r>
        <w:rPr>
          <w:rFonts w:ascii="KaiTi" w:hAnsi="KaiTi" w:eastAsia="KaiTi" w:cs="KaiTi"/>
          <w:spacing w:val="8"/>
        </w:rPr>
        <w:t>现场处置。</w:t>
      </w:r>
      <w:r>
        <w:rPr>
          <w:spacing w:val="8"/>
        </w:rPr>
        <w:t>由事发地所在政府设立森</w:t>
      </w:r>
      <w:r>
        <w:rPr>
          <w:spacing w:val="7"/>
        </w:rPr>
        <w:t>林草原火灾前线指挥部，具体负责指挥森林草</w:t>
      </w:r>
      <w:r>
        <w:rPr>
          <w:spacing w:val="7"/>
        </w:rPr>
        <w:t>原火灾现场的应急处置工作，及时准确报送火</w:t>
      </w:r>
      <w:r>
        <w:rPr>
          <w:spacing w:val="7"/>
        </w:rPr>
        <w:t>情，接受和执行本级指挥部扑救命令。具体包</w:t>
      </w:r>
      <w:r>
        <w:rPr>
          <w:spacing w:val="7"/>
        </w:rPr>
        <w:t>括：侦查火场、分析研判火情、掌握火灾蔓延</w:t>
      </w:r>
      <w:r>
        <w:rPr>
          <w:spacing w:val="7"/>
        </w:rPr>
        <w:t>趋势、制定合理扑救方案、集结调度队伍、组</w:t>
      </w:r>
      <w:r>
        <w:rPr>
          <w:spacing w:val="7"/>
        </w:rPr>
        <w:t>织扑救、转移安置伤员、重要目标保护、疏散</w:t>
      </w:r>
      <w:r>
        <w:rPr>
          <w:spacing w:val="7"/>
        </w:rPr>
        <w:t>撤离、交通管制、维护社会治安、火场清理等</w:t>
      </w:r>
      <w:r>
        <w:rPr>
          <w:spacing w:val="7"/>
        </w:rPr>
        <w:t>森林草原火灾处置工作。必要时，市森林草原</w:t>
      </w:r>
      <w:r>
        <w:rPr>
          <w:spacing w:val="7"/>
        </w:rPr>
        <w:t>防灭火指挥部派出工作组赶赴火灾现场，指导</w:t>
      </w:r>
      <w:r>
        <w:rPr>
          <w:spacing w:val="8"/>
        </w:rPr>
        <w:t>应急处置工作。</w:t>
      </w:r>
    </w:p>
    <w:p>
      <w:pPr>
        <w:pStyle w:val="BodyText"/>
        <w:ind w:left="2" w:right="101" w:firstLine="425"/>
        <w:spacing w:before="179" w:line="361" w:lineRule="auto"/>
        <w:rPr/>
      </w:pPr>
      <w:r>
        <w:rPr>
          <w:rFonts w:ascii="Times New Roman" w:hAnsi="Times New Roman" w:eastAsia="Times New Roman" w:cs="Times New Roman"/>
          <w:spacing w:val="8"/>
        </w:rPr>
        <w:t>6.6  </w:t>
      </w:r>
      <w:r>
        <w:rPr>
          <w:rFonts w:ascii="KaiTi" w:hAnsi="KaiTi" w:eastAsia="KaiTi" w:cs="KaiTi"/>
          <w:spacing w:val="8"/>
        </w:rPr>
        <w:t>信息发布。</w:t>
      </w:r>
      <w:r>
        <w:rPr>
          <w:spacing w:val="8"/>
        </w:rPr>
        <w:t>信息发布与舆情管控与引</w:t>
      </w:r>
      <w:r>
        <w:rPr>
          <w:spacing w:val="7"/>
        </w:rPr>
        <w:t>导严格执行《中共中央宣传部关于规范重特大</w:t>
      </w:r>
      <w:r>
        <w:rPr>
          <w:spacing w:val="4"/>
        </w:rPr>
        <w:t>事故信息发布工作的意见》和《</w:t>
      </w:r>
      <w:r>
        <w:rPr>
          <w:spacing w:val="-35"/>
        </w:rPr>
        <w:t xml:space="preserve"> </w:t>
      </w:r>
      <w:r>
        <w:rPr>
          <w:spacing w:val="4"/>
        </w:rPr>
        <w:t>自治区党委宣</w:t>
      </w:r>
      <w:r>
        <w:rPr>
          <w:spacing w:val="18"/>
        </w:rPr>
        <w:t>传部关于规范重特大事故信息发布及新闻报</w:t>
      </w:r>
      <w:r>
        <w:rPr>
          <w:spacing w:val="8"/>
        </w:rPr>
        <w:t>道工作的实施意见》等有关规定。</w:t>
      </w:r>
    </w:p>
    <w:p>
      <w:pPr>
        <w:pStyle w:val="BodyText"/>
        <w:ind w:left="3" w:right="20" w:firstLine="410"/>
        <w:spacing w:before="143" w:line="383" w:lineRule="auto"/>
        <w:jc w:val="both"/>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）按照分级响应原则</w:t>
      </w:r>
      <w:r>
        <w:rPr>
          <w:spacing w:val="-59"/>
        </w:rPr>
        <w:t xml:space="preserve"> </w:t>
      </w:r>
      <w:r>
        <w:rPr>
          <w:spacing w:val="5"/>
        </w:rPr>
        <w:t>，一般生产安全</w:t>
      </w:r>
      <w:r>
        <w:rPr>
          <w:spacing w:val="8"/>
        </w:rPr>
        <w:t>事故信息发布工作由县（</w:t>
      </w:r>
      <w:r>
        <w:rPr>
          <w:spacing w:val="-42"/>
        </w:rPr>
        <w:t xml:space="preserve"> </w:t>
      </w:r>
      <w:r>
        <w:rPr>
          <w:spacing w:val="8"/>
        </w:rPr>
        <w:t>区）人民政府发布；</w:t>
      </w:r>
      <w:r>
        <w:rPr>
          <w:spacing w:val="18"/>
        </w:rPr>
        <w:t>较大及较大以上生产安全事故信息发布工作</w:t>
      </w:r>
      <w:r>
        <w:rPr>
          <w:spacing w:val="1"/>
        </w:rPr>
        <w:t>由市政府决定。信息发布要统一、及时、准确、</w:t>
      </w:r>
      <w:r>
        <w:rPr>
          <w:spacing w:val="4"/>
        </w:rPr>
        <w:t>客观。</w:t>
      </w:r>
    </w:p>
    <w:p>
      <w:pPr>
        <w:pStyle w:val="BodyText"/>
        <w:ind w:left="424"/>
        <w:spacing w:before="28" w:line="190" w:lineRule="auto"/>
        <w:rPr/>
      </w:pPr>
      <w:r>
        <w:rPr>
          <w:spacing w:val="6"/>
        </w:rPr>
        <w:t>根据事故影响程度和类型，组织有关责任</w:t>
      </w:r>
    </w:p>
    <w:p>
      <w:pPr>
        <w:spacing w:line="190" w:lineRule="auto"/>
        <w:sectPr>
          <w:type w:val="continuous"/>
          <w:pgSz w:w="11906" w:h="16839"/>
          <w:pgMar w:top="1828" w:right="1489" w:bottom="1556" w:left="1567" w:header="1428" w:footer="1172" w:gutter="0"/>
          <w:cols w:equalWidth="0" w:num="2">
            <w:col w:w="4500" w:space="100"/>
            <w:col w:w="4251" w:space="0"/>
          </w:cols>
        </w:sectPr>
        <w:rPr/>
      </w:pPr>
    </w:p>
    <w:p>
      <w:pPr>
        <w:spacing w:before="92"/>
        <w:rPr/>
      </w:pPr>
      <w:r>
        <w:drawing>
          <wp:anchor distT="0" distB="0" distL="0" distR="0" simplePos="0" relativeHeight="252606464"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588" name="IM 1588"/>
            <wp:cNvGraphicFramePr/>
            <a:graphic>
              <a:graphicData uri="http://schemas.openxmlformats.org/drawingml/2006/picture">
                <pic:pic>
                  <pic:nvPicPr>
                    <pic:cNvPr id="1588" name="IM 1588"/>
                    <pic:cNvPicPr/>
                  </pic:nvPicPr>
                  <pic:blipFill>
                    <a:blip r:embed="rId796"/>
                    <a:stretch>
                      <a:fillRect/>
                    </a:stretch>
                  </pic:blipFill>
                  <pic:spPr>
                    <a:xfrm rot="0">
                      <a:off x="0" y="0"/>
                      <a:ext cx="5579745" cy="7620"/>
                    </a:xfrm>
                    <a:prstGeom prst="rect">
                      <a:avLst/>
                    </a:prstGeom>
                  </pic:spPr>
                </pic:pic>
              </a:graphicData>
            </a:graphic>
          </wp:anchor>
        </w:drawing>
      </w:r>
      <w:r/>
    </w:p>
    <w:p>
      <w:pPr>
        <w:sectPr>
          <w:headerReference w:type="default" r:id="rId794"/>
          <w:footerReference w:type="default" r:id="rId795"/>
          <w:pgSz w:w="11906" w:h="16839"/>
          <w:pgMar w:top="1766" w:right="1526" w:bottom="1551" w:left="1576" w:header="1428" w:footer="1172" w:gutter="0"/>
          <w:cols w:equalWidth="0" w:num="1">
            <w:col w:w="8804" w:space="0"/>
          </w:cols>
        </w:sectPr>
        <w:rPr/>
      </w:pPr>
    </w:p>
    <w:p>
      <w:pPr>
        <w:pStyle w:val="BodyText"/>
        <w:ind w:left="19" w:right="298" w:hanging="3"/>
        <w:spacing w:before="45" w:line="387" w:lineRule="auto"/>
        <w:rPr/>
      </w:pPr>
      <w:r>
        <w:rPr>
          <w:spacing w:val="7"/>
        </w:rPr>
        <w:t>单位、职能部门和专家拟写新闻稿、专家评论</w:t>
      </w:r>
      <w:r>
        <w:rPr>
          <w:spacing w:val="-2"/>
        </w:rPr>
        <w:t>或事故情况公告，报指挥部同意后向媒体发布。</w:t>
      </w:r>
    </w:p>
    <w:p>
      <w:pPr>
        <w:pStyle w:val="BodyText"/>
        <w:ind w:left="15" w:right="327" w:firstLine="423"/>
        <w:spacing w:before="2" w:line="386" w:lineRule="auto"/>
        <w:jc w:val="both"/>
        <w:rPr/>
      </w:pPr>
      <w:r>
        <w:rPr>
          <w:spacing w:val="6"/>
        </w:rPr>
        <w:t>宣传、网信、公安等部门要密切关注舆情</w:t>
      </w:r>
      <w:r>
        <w:rPr>
          <w:spacing w:val="7"/>
        </w:rPr>
        <w:t>信息，及时做好舆情管控、引导工作，防止舆</w:t>
      </w:r>
      <w:r>
        <w:rPr>
          <w:spacing w:val="6"/>
        </w:rPr>
        <w:t>论炒作。</w:t>
      </w:r>
    </w:p>
    <w:p>
      <w:pPr>
        <w:pStyle w:val="BodyText"/>
        <w:ind w:left="15" w:right="327" w:firstLine="413"/>
        <w:spacing w:line="361"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）信息发布主要内容包括：生产安全</w:t>
      </w:r>
      <w:r>
        <w:rPr>
          <w:spacing w:val="7"/>
        </w:rPr>
        <w:t>事故的种类及其次生、衍生灾害的监测和预警</w:t>
      </w:r>
      <w:r>
        <w:rPr>
          <w:spacing w:val="7"/>
        </w:rPr>
        <w:t>情况；事件发生时间、地点、人员伤亡（包括</w:t>
      </w:r>
      <w:r>
        <w:rPr>
          <w:spacing w:val="7"/>
        </w:rPr>
        <w:t>下落不明人数）和财产损失情况、救援进展情</w:t>
      </w:r>
      <w:r>
        <w:rPr>
          <w:spacing w:val="18"/>
        </w:rPr>
        <w:t>况、事件区域交通管制情况以及临时交通措</w:t>
      </w:r>
      <w:r>
        <w:rPr>
          <w:spacing w:val="9"/>
        </w:rPr>
        <w:t>施；事件责任单位基本情况等。</w:t>
      </w:r>
    </w:p>
    <w:p>
      <w:pPr>
        <w:pStyle w:val="BodyText"/>
        <w:ind w:left="15" w:right="247" w:firstLine="413"/>
        <w:spacing w:before="173" w:line="333" w:lineRule="auto"/>
        <w:rPr/>
      </w:pPr>
      <w:r>
        <w:rPr>
          <w:spacing w:val="4"/>
        </w:rPr>
        <w:t>（</w:t>
      </w:r>
      <w:r>
        <w:rPr>
          <w:rFonts w:ascii="Times New Roman" w:hAnsi="Times New Roman" w:eastAsia="Times New Roman" w:cs="Times New Roman"/>
          <w:spacing w:val="4"/>
        </w:rPr>
        <w:t>3</w:t>
      </w:r>
      <w:r>
        <w:rPr>
          <w:rFonts w:ascii="Times New Roman" w:hAnsi="Times New Roman" w:eastAsia="Times New Roman" w:cs="Times New Roman"/>
          <w:spacing w:val="-13"/>
        </w:rPr>
        <w:t xml:space="preserve"> </w:t>
      </w:r>
      <w:r>
        <w:rPr>
          <w:spacing w:val="4"/>
        </w:rPr>
        <w:t>）信息发布形式主要包括：权威发布、</w:t>
      </w:r>
      <w:r>
        <w:rPr>
          <w:spacing w:val="7"/>
        </w:rPr>
        <w:t>提供新闻稿、组织报道、接受记者采访、举行</w:t>
      </w:r>
      <w:r>
        <w:rPr>
          <w:spacing w:val="7"/>
        </w:rPr>
        <w:t>新闻发布会等。</w:t>
      </w:r>
    </w:p>
    <w:p>
      <w:pPr>
        <w:ind w:left="441"/>
        <w:spacing w:before="177" w:line="265" w:lineRule="exact"/>
        <w:rPr>
          <w:rFonts w:ascii="KaiTi" w:hAnsi="KaiTi" w:eastAsia="KaiTi" w:cs="KaiTi"/>
          <w:sz w:val="20"/>
          <w:szCs w:val="20"/>
        </w:rPr>
      </w:pPr>
      <w:r>
        <w:rPr>
          <w:rFonts w:ascii="Times New Roman" w:hAnsi="Times New Roman" w:eastAsia="Times New Roman" w:cs="Times New Roman"/>
          <w:sz w:val="20"/>
          <w:szCs w:val="20"/>
          <w:spacing w:val="4"/>
          <w:position w:val="1"/>
        </w:rPr>
        <w:t>6.7  </w:t>
      </w:r>
      <w:r>
        <w:rPr>
          <w:rFonts w:ascii="KaiTi" w:hAnsi="KaiTi" w:eastAsia="KaiTi" w:cs="KaiTi"/>
          <w:sz w:val="20"/>
          <w:szCs w:val="20"/>
          <w:spacing w:val="4"/>
          <w:position w:val="1"/>
        </w:rPr>
        <w:t>社会动员。</w:t>
      </w:r>
    </w:p>
    <w:p>
      <w:pPr>
        <w:pStyle w:val="BodyText"/>
        <w:ind w:left="16" w:right="327" w:firstLine="411"/>
        <w:spacing w:before="155" w:line="355"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）森林草原火灾发生地各级政府或市</w:t>
      </w:r>
      <w:r>
        <w:rPr>
          <w:spacing w:val="18"/>
        </w:rPr>
        <w:t>森林草原防灭火指挥部根据森林草原火灾的</w:t>
      </w:r>
      <w:r>
        <w:rPr>
          <w:spacing w:val="7"/>
        </w:rPr>
        <w:t>级别、危害程度和范围，广泛调动社会力量参</w:t>
      </w:r>
      <w:r>
        <w:rPr>
          <w:spacing w:val="7"/>
        </w:rPr>
        <w:t>与森林草原火灾处置工作，紧急情况下可依法</w:t>
      </w:r>
      <w:r>
        <w:rPr>
          <w:spacing w:val="8"/>
        </w:rPr>
        <w:t>征用和调用车辆、物资、人员等。</w:t>
      </w:r>
    </w:p>
    <w:p>
      <w:pPr>
        <w:pStyle w:val="BodyText"/>
        <w:ind w:left="16" w:right="327" w:firstLine="411"/>
        <w:spacing w:before="176" w:line="355"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5"/>
        </w:rPr>
        <w:t xml:space="preserve"> </w:t>
      </w:r>
      <w:r>
        <w:rPr>
          <w:spacing w:val="8"/>
        </w:rPr>
        <w:t>）森林草原火灾发生后</w:t>
      </w:r>
      <w:r>
        <w:rPr>
          <w:spacing w:val="-59"/>
        </w:rPr>
        <w:t xml:space="preserve"> </w:t>
      </w:r>
      <w:r>
        <w:rPr>
          <w:spacing w:val="8"/>
        </w:rPr>
        <w:t>，火灾发生地</w:t>
      </w:r>
      <w:r>
        <w:rPr>
          <w:spacing w:val="18"/>
        </w:rPr>
        <w:t>各级政府或森林草原防灭火指挥机构组织各</w:t>
      </w:r>
      <w:r>
        <w:rPr>
          <w:spacing w:val="7"/>
        </w:rPr>
        <w:t>方面应急扑火力量开展应急处置工作；邻近的</w:t>
      </w:r>
      <w:r>
        <w:rPr>
          <w:spacing w:val="4"/>
        </w:rPr>
        <w:t>县（</w:t>
      </w:r>
      <w:r>
        <w:rPr>
          <w:spacing w:val="-36"/>
        </w:rPr>
        <w:t xml:space="preserve"> </w:t>
      </w:r>
      <w:r>
        <w:rPr>
          <w:spacing w:val="4"/>
        </w:rPr>
        <w:t>区）政府根据森林草原火灾蔓延趋势及时</w:t>
      </w:r>
      <w:r>
        <w:rPr>
          <w:spacing w:val="6"/>
        </w:rPr>
        <w:t>提供援助。</w:t>
      </w:r>
    </w:p>
    <w:p>
      <w:pPr>
        <w:pStyle w:val="BodyText"/>
        <w:ind w:left="16" w:right="327" w:firstLine="425"/>
        <w:spacing w:before="180" w:line="386" w:lineRule="auto"/>
        <w:jc w:val="both"/>
        <w:rPr/>
      </w:pPr>
      <w:r>
        <w:rPr>
          <w:rFonts w:ascii="Times New Roman" w:hAnsi="Times New Roman" w:eastAsia="Times New Roman" w:cs="Times New Roman"/>
          <w:spacing w:val="8"/>
        </w:rPr>
        <w:t>6.8  </w:t>
      </w:r>
      <w:r>
        <w:rPr>
          <w:rFonts w:ascii="KaiTi" w:hAnsi="KaiTi" w:eastAsia="KaiTi" w:cs="KaiTi"/>
          <w:spacing w:val="8"/>
        </w:rPr>
        <w:t>响应终止。</w:t>
      </w:r>
      <w:r>
        <w:rPr>
          <w:spacing w:val="8"/>
        </w:rPr>
        <w:t>应对森林草原火灾工作结</w:t>
      </w:r>
      <w:r>
        <w:rPr>
          <w:spacing w:val="7"/>
        </w:rPr>
        <w:t>束、火场清理验收合格、次生灾害的后果基本</w:t>
      </w:r>
      <w:r>
        <w:rPr>
          <w:spacing w:val="10"/>
        </w:rPr>
        <w:t>消除后</w:t>
      </w:r>
      <w:r>
        <w:rPr>
          <w:spacing w:val="-44"/>
        </w:rPr>
        <w:t xml:space="preserve"> </w:t>
      </w:r>
      <w:r>
        <w:rPr>
          <w:spacing w:val="10"/>
        </w:rPr>
        <w:t>，按照</w:t>
      </w:r>
      <w:r>
        <w:rPr>
          <w:rFonts w:ascii="Times New Roman" w:hAnsi="Times New Roman" w:eastAsia="Times New Roman" w:cs="Times New Roman"/>
          <w:spacing w:val="10"/>
        </w:rPr>
        <w:t>“</w:t>
      </w:r>
      <w:r>
        <w:rPr>
          <w:spacing w:val="10"/>
        </w:rPr>
        <w:t>应急响应启动与解除主体相一</w:t>
      </w:r>
      <w:r>
        <w:rPr>
          <w:spacing w:val="10"/>
        </w:rPr>
        <w:t>致</w:t>
      </w:r>
      <w:r>
        <w:rPr>
          <w:rFonts w:ascii="Times New Roman" w:hAnsi="Times New Roman" w:eastAsia="Times New Roman" w:cs="Times New Roman"/>
          <w:spacing w:val="10"/>
        </w:rPr>
        <w:t>”</w:t>
      </w:r>
      <w:r>
        <w:rPr>
          <w:spacing w:val="10"/>
        </w:rPr>
        <w:t>的原则</w:t>
      </w:r>
      <w:r>
        <w:rPr>
          <w:spacing w:val="-44"/>
        </w:rPr>
        <w:t xml:space="preserve"> </w:t>
      </w:r>
      <w:r>
        <w:rPr>
          <w:spacing w:val="10"/>
        </w:rPr>
        <w:t>，由应急响应启动机构研究决定终</w:t>
      </w:r>
      <w:r>
        <w:rPr>
          <w:spacing w:val="6"/>
        </w:rPr>
        <w:t>止响应。</w:t>
      </w:r>
    </w:p>
    <w:p>
      <w:pPr>
        <w:ind w:left="440"/>
        <w:spacing w:before="1" w:line="17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7</w:t>
      </w:r>
      <w:r>
        <w:rPr>
          <w:rFonts w:ascii="Microsoft YaHei" w:hAnsi="Microsoft YaHei" w:eastAsia="Microsoft YaHei" w:cs="Microsoft YaHei"/>
          <w:sz w:val="20"/>
          <w:szCs w:val="20"/>
          <w:spacing w:val="14"/>
        </w:rPr>
        <w:t xml:space="preserve">   </w:t>
      </w:r>
      <w:r>
        <w:rPr>
          <w:rFonts w:ascii="Microsoft YaHei" w:hAnsi="Microsoft YaHei" w:eastAsia="Microsoft YaHei" w:cs="Microsoft YaHei"/>
          <w:sz w:val="20"/>
          <w:szCs w:val="20"/>
          <w:spacing w:val="3"/>
        </w:rPr>
        <w:t>综合保障</w:t>
      </w:r>
    </w:p>
    <w:p>
      <w:pPr>
        <w:spacing w:line="14" w:lineRule="auto"/>
        <w:rPr>
          <w:rFonts w:ascii="Arial"/>
          <w:sz w:val="2"/>
        </w:rPr>
      </w:pPr>
      <w:r>
        <w:rPr>
          <w:rFonts w:ascii="Arial" w:hAnsi="Arial" w:eastAsia="Arial" w:cs="Arial"/>
          <w:sz w:val="2"/>
          <w:szCs w:val="2"/>
        </w:rPr>
        <w:br w:type="column"/>
      </w:r>
    </w:p>
    <w:p>
      <w:pPr>
        <w:pStyle w:val="BodyText"/>
        <w:ind w:left="1" w:right="64" w:firstLine="425"/>
        <w:spacing w:before="36" w:line="361" w:lineRule="auto"/>
        <w:rPr/>
      </w:pPr>
      <w:r>
        <w:rPr>
          <w:rFonts w:ascii="Times New Roman" w:hAnsi="Times New Roman" w:eastAsia="Times New Roman" w:cs="Times New Roman"/>
          <w:spacing w:val="7"/>
        </w:rPr>
        <w:t>7.</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1  </w:t>
      </w:r>
      <w:r>
        <w:rPr>
          <w:rFonts w:ascii="KaiTi" w:hAnsi="KaiTi" w:eastAsia="KaiTi" w:cs="KaiTi"/>
          <w:spacing w:val="7"/>
        </w:rPr>
        <w:t>队伍保障。</w:t>
      </w:r>
      <w:r>
        <w:rPr>
          <w:spacing w:val="7"/>
        </w:rPr>
        <w:t>加强各类森林草原消</w:t>
      </w:r>
      <w:r>
        <w:rPr>
          <w:spacing w:val="6"/>
        </w:rPr>
        <w:t>防队</w:t>
      </w:r>
      <w:r>
        <w:rPr>
          <w:spacing w:val="7"/>
        </w:rPr>
        <w:t>伍建设，对森林草原消防队伍进行定期、不定</w:t>
      </w:r>
      <w:r>
        <w:rPr>
          <w:spacing w:val="7"/>
        </w:rPr>
        <w:t>期培训与考核，严格管理扑火队员和物资、装</w:t>
      </w:r>
      <w:r>
        <w:rPr>
          <w:spacing w:val="7"/>
        </w:rPr>
        <w:t>备；适时增加扑火队伍人员数量，及时更新相</w:t>
      </w:r>
      <w:r>
        <w:rPr>
          <w:spacing w:val="7"/>
        </w:rPr>
        <w:t>关物资、装备，确保随时处于良好的应急备战</w:t>
      </w:r>
      <w:r>
        <w:rPr>
          <w:spacing w:val="6"/>
        </w:rPr>
        <w:t>状态等。</w:t>
      </w:r>
    </w:p>
    <w:p>
      <w:pPr>
        <w:pStyle w:val="BodyText"/>
        <w:ind w:firstLine="426"/>
        <w:spacing w:before="173" w:line="361" w:lineRule="auto"/>
        <w:rPr/>
      </w:pPr>
      <w:r>
        <w:rPr>
          <w:rFonts w:ascii="Times New Roman" w:hAnsi="Times New Roman" w:eastAsia="Times New Roman" w:cs="Times New Roman"/>
          <w:spacing w:val="8"/>
        </w:rPr>
        <w:t>7.2  </w:t>
      </w:r>
      <w:r>
        <w:rPr>
          <w:rFonts w:ascii="KaiTi" w:hAnsi="KaiTi" w:eastAsia="KaiTi" w:cs="KaiTi"/>
          <w:spacing w:val="8"/>
        </w:rPr>
        <w:t>经费保障。</w:t>
      </w:r>
      <w:r>
        <w:rPr>
          <w:spacing w:val="8"/>
        </w:rPr>
        <w:t>各级财政部门要根据《森</w:t>
      </w:r>
      <w:r>
        <w:rPr>
          <w:spacing w:val="7"/>
        </w:rPr>
        <w:t>林防火条例》《草原防火条例》《固原市突发</w:t>
      </w:r>
      <w:r>
        <w:rPr>
          <w:spacing w:val="7"/>
        </w:rPr>
        <w:t>公共事件总体应急预案》相关规定，将预防与</w:t>
      </w:r>
      <w:r>
        <w:rPr>
          <w:spacing w:val="7"/>
        </w:rPr>
        <w:t>应对森林草原火灾所需经费，列入政府年度财</w:t>
      </w:r>
      <w:r>
        <w:rPr/>
        <w:t>政预算。应对森林草原火灾时，根据实际情况，</w:t>
      </w:r>
      <w:r>
        <w:rPr>
          <w:spacing w:val="8"/>
        </w:rPr>
        <w:t>给予必要的财政保障。</w:t>
      </w:r>
    </w:p>
    <w:p>
      <w:pPr>
        <w:pStyle w:val="BodyText"/>
        <w:ind w:right="41" w:firstLine="426"/>
        <w:spacing w:before="177" w:line="355" w:lineRule="auto"/>
        <w:rPr/>
      </w:pPr>
      <w:r>
        <w:rPr>
          <w:rFonts w:ascii="Times New Roman" w:hAnsi="Times New Roman" w:eastAsia="Times New Roman" w:cs="Times New Roman"/>
          <w:spacing w:val="8"/>
        </w:rPr>
        <w:t>7.3  </w:t>
      </w:r>
      <w:r>
        <w:rPr>
          <w:rFonts w:ascii="KaiTi" w:hAnsi="KaiTi" w:eastAsia="KaiTi" w:cs="KaiTi"/>
          <w:spacing w:val="8"/>
        </w:rPr>
        <w:t>物资保障。</w:t>
      </w:r>
      <w:r>
        <w:rPr>
          <w:spacing w:val="8"/>
        </w:rPr>
        <w:t>各级森林草原防灭火物资</w:t>
      </w:r>
      <w:r>
        <w:rPr>
          <w:spacing w:val="7"/>
        </w:rPr>
        <w:t>储备库应当按照《森林消防物资储备库建设和</w:t>
      </w:r>
      <w:r>
        <w:rPr>
          <w:spacing w:val="8"/>
        </w:rPr>
        <w:t>物资储备管理规范》要求，储备风力灭火机、</w:t>
      </w:r>
      <w:r>
        <w:rPr>
          <w:spacing w:val="8"/>
        </w:rPr>
        <w:t>油锯、割灌机、</w:t>
      </w:r>
      <w:r>
        <w:rPr>
          <w:rFonts w:ascii="Times New Roman" w:hAnsi="Times New Roman" w:eastAsia="Times New Roman" w:cs="Times New Roman"/>
          <w:spacing w:val="8"/>
        </w:rPr>
        <w:t>2 </w:t>
      </w:r>
      <w:r>
        <w:rPr>
          <w:spacing w:val="8"/>
        </w:rPr>
        <w:t>号</w:t>
      </w:r>
      <w:r>
        <w:rPr>
          <w:spacing w:val="-27"/>
        </w:rPr>
        <w:t xml:space="preserve"> </w:t>
      </w:r>
      <w:r>
        <w:rPr>
          <w:rFonts w:ascii="Times New Roman" w:hAnsi="Times New Roman" w:eastAsia="Times New Roman" w:cs="Times New Roman"/>
          <w:spacing w:val="8"/>
        </w:rPr>
        <w:t>3 </w:t>
      </w:r>
      <w:r>
        <w:rPr>
          <w:spacing w:val="8"/>
        </w:rPr>
        <w:t>号扑火工具、森林消防</w:t>
      </w:r>
      <w:r>
        <w:rPr>
          <w:spacing w:val="8"/>
        </w:rPr>
        <w:t>泵、灭火水枪等扑火物资。</w:t>
      </w:r>
    </w:p>
    <w:p>
      <w:pPr>
        <w:pStyle w:val="BodyText"/>
        <w:ind w:left="2" w:right="64" w:firstLine="424"/>
        <w:spacing w:before="176" w:line="333" w:lineRule="auto"/>
        <w:rPr/>
      </w:pPr>
      <w:r>
        <w:rPr>
          <w:rFonts w:ascii="Times New Roman" w:hAnsi="Times New Roman" w:eastAsia="Times New Roman" w:cs="Times New Roman"/>
          <w:spacing w:val="8"/>
        </w:rPr>
        <w:t>7.4  </w:t>
      </w:r>
      <w:r>
        <w:rPr>
          <w:rFonts w:ascii="KaiTi" w:hAnsi="KaiTi" w:eastAsia="KaiTi" w:cs="KaiTi"/>
          <w:spacing w:val="8"/>
        </w:rPr>
        <w:t>通信保障。</w:t>
      </w:r>
      <w:r>
        <w:rPr>
          <w:spacing w:val="8"/>
        </w:rPr>
        <w:t>通信管理部门应根据火情</w:t>
      </w:r>
      <w:r>
        <w:rPr>
          <w:spacing w:val="7"/>
        </w:rPr>
        <w:t>需要，及时提供应急通信保障，确保森林草原</w:t>
      </w:r>
      <w:r>
        <w:rPr>
          <w:spacing w:val="8"/>
        </w:rPr>
        <w:t>火灾扑救工作顺利开展。</w:t>
      </w:r>
    </w:p>
    <w:p>
      <w:pPr>
        <w:pStyle w:val="BodyText"/>
        <w:ind w:left="3" w:right="64" w:firstLine="422"/>
        <w:spacing w:before="178" w:line="333" w:lineRule="auto"/>
        <w:rPr/>
      </w:pPr>
      <w:r>
        <w:rPr>
          <w:rFonts w:ascii="Times New Roman" w:hAnsi="Times New Roman" w:eastAsia="Times New Roman" w:cs="Times New Roman"/>
          <w:spacing w:val="8"/>
        </w:rPr>
        <w:t>7.5  </w:t>
      </w:r>
      <w:r>
        <w:rPr>
          <w:rFonts w:ascii="KaiTi" w:hAnsi="KaiTi" w:eastAsia="KaiTi" w:cs="KaiTi"/>
          <w:spacing w:val="8"/>
        </w:rPr>
        <w:t>治安保障。</w:t>
      </w:r>
      <w:r>
        <w:rPr>
          <w:spacing w:val="8"/>
        </w:rPr>
        <w:t>公安部门要对森林草原火</w:t>
      </w:r>
      <w:r>
        <w:rPr>
          <w:spacing w:val="18"/>
        </w:rPr>
        <w:t>灾应急处置中的重要目标和危险区域实施治</w:t>
      </w:r>
      <w:r>
        <w:rPr>
          <w:spacing w:val="8"/>
        </w:rPr>
        <w:t>安、警戒和交通道路管制。</w:t>
      </w:r>
    </w:p>
    <w:p>
      <w:pPr>
        <w:pStyle w:val="BodyText"/>
        <w:ind w:left="3" w:right="64" w:firstLine="423"/>
        <w:spacing w:before="178" w:line="333" w:lineRule="auto"/>
        <w:rPr/>
      </w:pPr>
      <w:r>
        <w:rPr>
          <w:rFonts w:ascii="Times New Roman" w:hAnsi="Times New Roman" w:eastAsia="Times New Roman" w:cs="Times New Roman"/>
          <w:spacing w:val="6"/>
        </w:rPr>
        <w:t>7.6</w:t>
      </w:r>
      <w:r>
        <w:rPr>
          <w:rFonts w:ascii="Times New Roman" w:hAnsi="Times New Roman" w:eastAsia="Times New Roman" w:cs="Times New Roman"/>
          <w:spacing w:val="28"/>
        </w:rPr>
        <w:t xml:space="preserve">  </w:t>
      </w:r>
      <w:r>
        <w:rPr>
          <w:rFonts w:ascii="KaiTi" w:hAnsi="KaiTi" w:eastAsia="KaiTi" w:cs="KaiTi"/>
          <w:spacing w:val="6"/>
        </w:rPr>
        <w:t>医疗保障。</w:t>
      </w:r>
      <w:r>
        <w:rPr>
          <w:spacing w:val="6"/>
        </w:rPr>
        <w:t>各级卫生健康部门要按照</w:t>
      </w:r>
      <w:r>
        <w:rPr>
          <w:spacing w:val="7"/>
        </w:rPr>
        <w:t>森林草原火灾应急预案要求，做好医疗卫生应</w:t>
      </w:r>
      <w:r>
        <w:rPr>
          <w:spacing w:val="8"/>
        </w:rPr>
        <w:t>急的各项保障措施。</w:t>
      </w:r>
    </w:p>
    <w:p>
      <w:pPr>
        <w:pStyle w:val="BodyText"/>
        <w:ind w:left="2" w:right="64" w:firstLine="424"/>
        <w:spacing w:before="177" w:line="354" w:lineRule="auto"/>
        <w:rPr/>
      </w:pPr>
      <w:r>
        <w:rPr>
          <w:rFonts w:ascii="Times New Roman" w:hAnsi="Times New Roman" w:eastAsia="Times New Roman" w:cs="Times New Roman"/>
          <w:spacing w:val="8"/>
        </w:rPr>
        <w:t>7.7  </w:t>
      </w:r>
      <w:r>
        <w:rPr>
          <w:rFonts w:ascii="KaiTi" w:hAnsi="KaiTi" w:eastAsia="KaiTi" w:cs="KaiTi"/>
          <w:spacing w:val="8"/>
        </w:rPr>
        <w:t>技术保障。</w:t>
      </w:r>
      <w:r>
        <w:rPr>
          <w:spacing w:val="8"/>
        </w:rPr>
        <w:t>各级气象部门为扑火工作</w:t>
      </w:r>
      <w:r>
        <w:rPr>
          <w:spacing w:val="7"/>
        </w:rPr>
        <w:t>提供火场气象服务，包括火场天气实况、天气</w:t>
      </w:r>
      <w:r>
        <w:rPr>
          <w:spacing w:val="7"/>
        </w:rPr>
        <w:t>预报、高火险警报、人工降雨等技术保障；各</w:t>
      </w:r>
      <w:r>
        <w:rPr>
          <w:spacing w:val="18"/>
        </w:rPr>
        <w:t>级森林草原防灭火专家组为扑火工作提供技</w:t>
      </w:r>
      <w:r>
        <w:rPr>
          <w:spacing w:val="6"/>
        </w:rPr>
        <w:t>术支撑。</w:t>
      </w:r>
    </w:p>
    <w:p>
      <w:pPr>
        <w:spacing w:line="354" w:lineRule="auto"/>
        <w:sectPr>
          <w:type w:val="continuous"/>
          <w:pgSz w:w="11906" w:h="16839"/>
          <w:pgMar w:top="1766" w:right="1526" w:bottom="1551" w:left="1576" w:header="1428" w:footer="1172" w:gutter="0"/>
          <w:cols w:equalWidth="0" w:num="2">
            <w:col w:w="4491" w:space="100"/>
            <w:col w:w="4214" w:space="0"/>
          </w:cols>
        </w:sectPr>
        <w:rPr/>
      </w:pPr>
    </w:p>
    <w:p>
      <w:pPr>
        <w:spacing w:before="45"/>
        <w:rPr/>
      </w:pPr>
      <w:r>
        <w:drawing>
          <wp:anchor distT="0" distB="0" distL="0" distR="0" simplePos="0" relativeHeight="252617728" behindDoc="0" locked="0" layoutInCell="0" allowOverlap="1">
            <wp:simplePos x="0" y="0"/>
            <wp:positionH relativeFrom="page">
              <wp:posOffset>1008380</wp:posOffset>
            </wp:positionH>
            <wp:positionV relativeFrom="page">
              <wp:posOffset>1186180</wp:posOffset>
            </wp:positionV>
            <wp:extent cx="5579745" cy="7619"/>
            <wp:effectExtent l="0" t="0" r="0" b="0"/>
            <wp:wrapNone/>
            <wp:docPr id="1592" name="IM 1592"/>
            <wp:cNvGraphicFramePr/>
            <a:graphic>
              <a:graphicData uri="http://schemas.openxmlformats.org/drawingml/2006/picture">
                <pic:pic>
                  <pic:nvPicPr>
                    <pic:cNvPr id="1592" name="IM 1592"/>
                    <pic:cNvPicPr/>
                  </pic:nvPicPr>
                  <pic:blipFill>
                    <a:blip r:embed="rId798"/>
                    <a:stretch>
                      <a:fillRect/>
                    </a:stretch>
                  </pic:blipFill>
                  <pic:spPr>
                    <a:xfrm rot="0">
                      <a:off x="0" y="0"/>
                      <a:ext cx="5579745" cy="7619"/>
                    </a:xfrm>
                    <a:prstGeom prst="rect">
                      <a:avLst/>
                    </a:prstGeom>
                  </pic:spPr>
                </pic:pic>
              </a:graphicData>
            </a:graphic>
          </wp:anchor>
        </w:drawing>
      </w:r>
      <w:r/>
    </w:p>
    <w:p>
      <w:pPr>
        <w:sectPr>
          <w:headerReference w:type="default" r:id="rId728"/>
          <w:footerReference w:type="default" r:id="rId797"/>
          <w:pgSz w:w="11906" w:h="16839"/>
          <w:pgMar w:top="1828" w:right="1489" w:bottom="1556" w:left="1567" w:header="1428" w:footer="1172" w:gutter="0"/>
          <w:cols w:equalWidth="0" w:num="1">
            <w:col w:w="8850" w:space="0"/>
          </w:cols>
        </w:sectPr>
        <w:rPr/>
      </w:pPr>
    </w:p>
    <w:p>
      <w:pPr>
        <w:pStyle w:val="BodyText"/>
        <w:ind w:left="29" w:right="327" w:firstLine="420"/>
        <w:spacing w:before="46" w:line="409" w:lineRule="auto"/>
        <w:jc w:val="both"/>
        <w:rPr/>
      </w:pPr>
      <w:r>
        <w:rPr>
          <w:rFonts w:ascii="Times New Roman" w:hAnsi="Times New Roman" w:eastAsia="Times New Roman" w:cs="Times New Roman"/>
          <w:spacing w:val="8"/>
        </w:rPr>
        <w:t>7.8  </w:t>
      </w:r>
      <w:r>
        <w:rPr>
          <w:rFonts w:ascii="KaiTi" w:hAnsi="KaiTi" w:eastAsia="KaiTi" w:cs="KaiTi"/>
          <w:spacing w:val="8"/>
        </w:rPr>
        <w:t>交通运输保障。</w:t>
      </w:r>
      <w:r>
        <w:rPr>
          <w:spacing w:val="8"/>
        </w:rPr>
        <w:t>铁路、交通、民航部</w:t>
      </w:r>
      <w:r>
        <w:rPr>
          <w:spacing w:val="7"/>
        </w:rPr>
        <w:t>门确保扑火人员、扑火机具、扑火设备及救援</w:t>
      </w:r>
      <w:r>
        <w:rPr>
          <w:spacing w:val="15"/>
        </w:rPr>
        <w:t>物资快速运输</w:t>
      </w:r>
      <w:r>
        <w:rPr>
          <w:spacing w:val="-44"/>
        </w:rPr>
        <w:t xml:space="preserve"> </w:t>
      </w:r>
      <w:r>
        <w:rPr>
          <w:spacing w:val="15"/>
        </w:rPr>
        <w:t>，确保救灾物资和人员能够及</w:t>
      </w:r>
      <w:r>
        <w:rPr>
          <w:spacing w:val="7"/>
        </w:rPr>
        <w:t>时、安全送达。</w:t>
      </w:r>
    </w:p>
    <w:p>
      <w:pPr>
        <w:ind w:left="449"/>
        <w:spacing w:before="5"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8</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4"/>
        </w:rPr>
        <w:t>后期处置</w:t>
      </w:r>
    </w:p>
    <w:p>
      <w:pPr>
        <w:pStyle w:val="BodyText"/>
        <w:ind w:left="24" w:right="327" w:firstLine="430"/>
        <w:spacing w:before="144" w:line="380" w:lineRule="auto"/>
        <w:rPr/>
      </w:pPr>
      <w:r>
        <w:rPr>
          <w:rFonts w:ascii="Times New Roman" w:hAnsi="Times New Roman" w:eastAsia="Times New Roman" w:cs="Times New Roman"/>
          <w:spacing w:val="6"/>
        </w:rPr>
        <w:t>8.</w:t>
      </w:r>
      <w:r>
        <w:rPr>
          <w:rFonts w:ascii="Times New Roman" w:hAnsi="Times New Roman" w:eastAsia="Times New Roman" w:cs="Times New Roman"/>
          <w:spacing w:val="-11"/>
        </w:rPr>
        <w:t xml:space="preserve"> </w:t>
      </w:r>
      <w:r>
        <w:rPr>
          <w:rFonts w:ascii="Times New Roman" w:hAnsi="Times New Roman" w:eastAsia="Times New Roman" w:cs="Times New Roman"/>
          <w:spacing w:val="6"/>
        </w:rPr>
        <w:t>1  </w:t>
      </w:r>
      <w:r>
        <w:rPr>
          <w:rFonts w:ascii="KaiTi" w:hAnsi="KaiTi" w:eastAsia="KaiTi" w:cs="KaiTi"/>
          <w:spacing w:val="6"/>
        </w:rPr>
        <w:t>火灾评估。</w:t>
      </w:r>
      <w:r>
        <w:rPr>
          <w:spacing w:val="6"/>
        </w:rPr>
        <w:t>县级以上地方人民政府组</w:t>
      </w:r>
      <w:r>
        <w:rPr>
          <w:spacing w:val="7"/>
        </w:rPr>
        <w:t>织有关部门对森林草原火灾发生原因、肇事者</w:t>
      </w:r>
      <w:r>
        <w:rPr>
          <w:spacing w:val="7"/>
        </w:rPr>
        <w:t>及受害森林草原面积和蓄积、人员伤亡、其他</w:t>
      </w:r>
      <w:r>
        <w:rPr>
          <w:spacing w:val="7"/>
        </w:rPr>
        <w:t>经济损失等情况进行调查和评估。必要时，上</w:t>
      </w:r>
      <w:r>
        <w:rPr>
          <w:spacing w:val="18"/>
        </w:rPr>
        <w:t>一级森林草原防灭火指挥机构可发督办函督</w:t>
      </w:r>
      <w:r>
        <w:rPr>
          <w:spacing w:val="9"/>
        </w:rPr>
        <w:t>导落实或者提级开展调查和评估。</w:t>
      </w:r>
    </w:p>
    <w:p>
      <w:pPr>
        <w:pStyle w:val="BodyText"/>
        <w:ind w:left="24" w:right="327" w:firstLine="430"/>
        <w:spacing w:before="205" w:line="365" w:lineRule="auto"/>
        <w:rPr/>
      </w:pPr>
      <w:r>
        <w:rPr>
          <w:rFonts w:ascii="Times New Roman" w:hAnsi="Times New Roman" w:eastAsia="Times New Roman" w:cs="Times New Roman"/>
          <w:spacing w:val="10"/>
        </w:rPr>
        <w:t>8.2</w:t>
      </w:r>
      <w:r>
        <w:rPr>
          <w:rFonts w:ascii="Times New Roman" w:hAnsi="Times New Roman" w:eastAsia="Times New Roman" w:cs="Times New Roman"/>
          <w:spacing w:val="26"/>
        </w:rPr>
        <w:t xml:space="preserve"> </w:t>
      </w:r>
      <w:r>
        <w:rPr>
          <w:rFonts w:ascii="KaiTi" w:hAnsi="KaiTi" w:eastAsia="KaiTi" w:cs="KaiTi"/>
          <w:spacing w:val="10"/>
        </w:rPr>
        <w:t>火因火案查处。</w:t>
      </w:r>
      <w:r>
        <w:rPr>
          <w:spacing w:val="10"/>
        </w:rPr>
        <w:t>各级人民政府组织有</w:t>
      </w:r>
      <w:r>
        <w:rPr>
          <w:spacing w:val="7"/>
        </w:rPr>
        <w:t>关部门对森林草原火灾发生原因及时取证、深</w:t>
      </w:r>
      <w:r>
        <w:rPr>
          <w:spacing w:val="7"/>
        </w:rPr>
        <w:t>入调查，依法查处涉火案件，打击涉火违法犯</w:t>
      </w:r>
      <w:r>
        <w:rPr>
          <w:spacing w:val="8"/>
        </w:rPr>
        <w:t>罪行为，严惩火灾肇事者。</w:t>
      </w:r>
    </w:p>
    <w:p>
      <w:pPr>
        <w:pStyle w:val="BodyText"/>
        <w:ind w:left="24" w:right="327" w:firstLine="430"/>
        <w:spacing w:before="199" w:line="374" w:lineRule="auto"/>
        <w:rPr/>
      </w:pPr>
      <w:r>
        <w:rPr>
          <w:rFonts w:ascii="Times New Roman" w:hAnsi="Times New Roman" w:eastAsia="Times New Roman" w:cs="Times New Roman"/>
          <w:spacing w:val="7"/>
        </w:rPr>
        <w:t>8.3  </w:t>
      </w:r>
      <w:r>
        <w:rPr>
          <w:rFonts w:ascii="KaiTi" w:hAnsi="KaiTi" w:eastAsia="KaiTi" w:cs="KaiTi"/>
          <w:spacing w:val="7"/>
        </w:rPr>
        <w:t>约谈整改。</w:t>
      </w:r>
      <w:r>
        <w:rPr>
          <w:spacing w:val="7"/>
        </w:rPr>
        <w:t>对森林草原防灭火工作不</w:t>
      </w:r>
      <w:r>
        <w:rPr>
          <w:spacing w:val="5"/>
        </w:rPr>
        <w:t>力导致人为火灾多发频发的县（</w:t>
      </w:r>
      <w:r>
        <w:rPr>
          <w:spacing w:val="-50"/>
        </w:rPr>
        <w:t xml:space="preserve"> </w:t>
      </w:r>
      <w:r>
        <w:rPr>
          <w:spacing w:val="5"/>
        </w:rPr>
        <w:t>区</w:t>
      </w:r>
      <w:r>
        <w:rPr>
          <w:spacing w:val="3"/>
        </w:rPr>
        <w:t>），</w:t>
      </w:r>
      <w:r>
        <w:rPr>
          <w:spacing w:val="5"/>
        </w:rPr>
        <w:t>市人民</w:t>
      </w:r>
      <w:r>
        <w:rPr>
          <w:spacing w:val="18"/>
        </w:rPr>
        <w:t>政府及其有关部门应及时约谈县级人民政府</w:t>
      </w:r>
      <w:r>
        <w:rPr>
          <w:spacing w:val="7"/>
        </w:rPr>
        <w:t>及其有关部门主要负责人，要求其采取措施及</w:t>
      </w:r>
      <w:r>
        <w:rPr>
          <w:spacing w:val="6"/>
        </w:rPr>
        <w:t>时整改。</w:t>
      </w:r>
    </w:p>
    <w:p>
      <w:pPr>
        <w:pStyle w:val="BodyText"/>
        <w:ind w:left="27" w:right="250" w:firstLine="427"/>
        <w:spacing w:before="207" w:line="392" w:lineRule="auto"/>
        <w:rPr/>
      </w:pPr>
      <w:r>
        <w:rPr>
          <w:rFonts w:ascii="Times New Roman" w:hAnsi="Times New Roman" w:eastAsia="Times New Roman" w:cs="Times New Roman"/>
          <w:spacing w:val="7"/>
        </w:rPr>
        <w:t>8.4  </w:t>
      </w:r>
      <w:r>
        <w:rPr>
          <w:rFonts w:ascii="KaiTi" w:hAnsi="KaiTi" w:eastAsia="KaiTi" w:cs="KaiTi"/>
          <w:spacing w:val="7"/>
        </w:rPr>
        <w:t>责任追究。</w:t>
      </w:r>
      <w:r>
        <w:rPr>
          <w:spacing w:val="7"/>
        </w:rPr>
        <w:t>为严明工作纪律，切实压</w:t>
      </w:r>
      <w:r>
        <w:rPr>
          <w:spacing w:val="7"/>
        </w:rPr>
        <w:t>实压紧各级各方面责任，对森林草原火灾预防</w:t>
      </w:r>
      <w:r>
        <w:rPr>
          <w:spacing w:val="10"/>
        </w:rPr>
        <w:t>和扑教工作中责任不落实、发现隐患不作为、</w:t>
      </w:r>
      <w:r>
        <w:rPr>
          <w:spacing w:val="7"/>
        </w:rPr>
        <w:t>发生事故隐瞒不报、处置不得力等失职渎职行</w:t>
      </w:r>
      <w:r>
        <w:rPr>
          <w:spacing w:val="7"/>
        </w:rPr>
        <w:t>为，依据有关法律法规迫究属地责任、部门监</w:t>
      </w:r>
      <w:r>
        <w:rPr>
          <w:spacing w:val="7"/>
        </w:rPr>
        <w:t>管责任、经营主体责任、火源管理责任和组织</w:t>
      </w:r>
      <w:r>
        <w:rPr>
          <w:spacing w:val="7"/>
        </w:rPr>
        <w:t>扑救责任。有关责任追究按照《中华人民共和</w:t>
      </w:r>
      <w:r>
        <w:rPr>
          <w:spacing w:val="1"/>
        </w:rPr>
        <w:t>国监察法》等法律法规规定的权限、程序实施。</w:t>
      </w:r>
    </w:p>
    <w:p>
      <w:pPr>
        <w:pStyle w:val="BodyText"/>
        <w:ind w:left="454"/>
        <w:spacing w:before="168" w:line="241" w:lineRule="auto"/>
        <w:rPr/>
      </w:pPr>
      <w:r>
        <w:rPr>
          <w:rFonts w:ascii="Times New Roman" w:hAnsi="Times New Roman" w:eastAsia="Times New Roman" w:cs="Times New Roman"/>
          <w:spacing w:val="7"/>
        </w:rPr>
        <w:t>8.5  </w:t>
      </w:r>
      <w:r>
        <w:rPr>
          <w:rFonts w:ascii="KaiTi" w:hAnsi="KaiTi" w:eastAsia="KaiTi" w:cs="KaiTi"/>
          <w:spacing w:val="7"/>
        </w:rPr>
        <w:t>工作总结。</w:t>
      </w:r>
      <w:r>
        <w:rPr>
          <w:spacing w:val="7"/>
        </w:rPr>
        <w:t>各级森林草原防灭火指挥</w:t>
      </w:r>
    </w:p>
    <w:p>
      <w:pPr>
        <w:spacing w:line="14" w:lineRule="auto"/>
        <w:rPr>
          <w:rFonts w:ascii="Arial"/>
          <w:sz w:val="2"/>
        </w:rPr>
      </w:pPr>
      <w:r>
        <w:rPr>
          <w:rFonts w:ascii="Arial" w:hAnsi="Arial" w:eastAsia="Arial" w:cs="Arial"/>
          <w:sz w:val="2"/>
          <w:szCs w:val="2"/>
        </w:rPr>
        <w:br w:type="column"/>
      </w:r>
    </w:p>
    <w:p>
      <w:pPr>
        <w:pStyle w:val="BodyText"/>
        <w:ind w:right="81" w:firstLine="4"/>
        <w:spacing w:before="52" w:line="409" w:lineRule="auto"/>
        <w:jc w:val="both"/>
        <w:rPr/>
      </w:pPr>
      <w:r>
        <w:rPr>
          <w:spacing w:val="7"/>
        </w:rPr>
        <w:t>机构及时总结、分析火灾发生的原因和应吸取</w:t>
      </w:r>
      <w:r>
        <w:rPr>
          <w:spacing w:val="7"/>
        </w:rPr>
        <w:t>的经验教训，提出改进措施。党中央、国务院</w:t>
      </w:r>
      <w:r>
        <w:rPr>
          <w:spacing w:val="7"/>
        </w:rPr>
        <w:t>以及区、市党委、政府领导同志有重要指示批</w:t>
      </w:r>
      <w:r>
        <w:rPr>
          <w:spacing w:val="7"/>
        </w:rPr>
        <w:t>示的森林草原火灾和重大森林草原火灾，以及</w:t>
      </w:r>
      <w:r>
        <w:rPr>
          <w:spacing w:val="18"/>
        </w:rPr>
        <w:t>引起社会广泛关注和产生严重影响的较大森</w:t>
      </w:r>
      <w:r>
        <w:rPr>
          <w:spacing w:val="7"/>
        </w:rPr>
        <w:t>林草原火灾，扑救工作结束后，市森林草原防</w:t>
      </w:r>
      <w:r>
        <w:rPr>
          <w:spacing w:val="8"/>
        </w:rPr>
        <w:t>灭火指挥部向市政府报送火灾扑救工作总结。</w:t>
      </w:r>
    </w:p>
    <w:p>
      <w:pPr>
        <w:pStyle w:val="BodyText"/>
        <w:ind w:left="2" w:right="92" w:firstLine="429"/>
        <w:spacing w:before="1" w:line="394" w:lineRule="auto"/>
        <w:jc w:val="both"/>
        <w:rPr/>
      </w:pPr>
      <w:r>
        <w:rPr>
          <w:rFonts w:ascii="Times New Roman" w:hAnsi="Times New Roman" w:eastAsia="Times New Roman" w:cs="Times New Roman"/>
          <w:spacing w:val="7"/>
        </w:rPr>
        <w:t>8.6  </w:t>
      </w:r>
      <w:r>
        <w:rPr>
          <w:rFonts w:ascii="KaiTi" w:hAnsi="KaiTi" w:eastAsia="KaiTi" w:cs="KaiTi"/>
          <w:spacing w:val="7"/>
        </w:rPr>
        <w:t>表彰奖励。</w:t>
      </w:r>
      <w:r>
        <w:rPr>
          <w:spacing w:val="7"/>
        </w:rPr>
        <w:t>根据有关规定，对在扑火</w:t>
      </w:r>
      <w:r>
        <w:rPr>
          <w:spacing w:val="7"/>
        </w:rPr>
        <w:t>工作中贡献突出的单位、个人给予表彰奖励；</w:t>
      </w:r>
      <w:r>
        <w:rPr>
          <w:spacing w:val="7"/>
        </w:rPr>
        <w:t>对扑火工作中牺牲人员符合评定烈士条件的，</w:t>
      </w:r>
      <w:r>
        <w:rPr>
          <w:spacing w:val="8"/>
        </w:rPr>
        <w:t>按有关规定办理。</w:t>
      </w:r>
    </w:p>
    <w:p>
      <w:pPr>
        <w:ind w:left="428"/>
        <w:spacing w:before="4"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9    附则</w:t>
      </w:r>
    </w:p>
    <w:p>
      <w:pPr>
        <w:pStyle w:val="BodyText"/>
        <w:ind w:left="2" w:right="101" w:firstLine="425"/>
        <w:spacing w:before="128" w:line="339" w:lineRule="auto"/>
        <w:rPr/>
      </w:pPr>
      <w:r>
        <w:rPr>
          <w:rFonts w:ascii="Times New Roman" w:hAnsi="Times New Roman" w:eastAsia="Times New Roman" w:cs="Times New Roman"/>
          <w:spacing w:val="7"/>
        </w:rPr>
        <w:t>9.</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1  </w:t>
      </w:r>
      <w:r>
        <w:rPr>
          <w:rFonts w:ascii="KaiTi" w:hAnsi="KaiTi" w:eastAsia="KaiTi" w:cs="KaiTi"/>
          <w:spacing w:val="7"/>
        </w:rPr>
        <w:t>预案演练。</w:t>
      </w:r>
      <w:r>
        <w:rPr>
          <w:spacing w:val="7"/>
        </w:rPr>
        <w:t>由市森林草原防灭火</w:t>
      </w:r>
      <w:r>
        <w:rPr>
          <w:spacing w:val="6"/>
        </w:rPr>
        <w:t>指挥</w:t>
      </w:r>
      <w:r>
        <w:rPr>
          <w:spacing w:val="7"/>
        </w:rPr>
        <w:t>部办公室牵头，有关单位参与，定期组织开展</w:t>
      </w:r>
      <w:r>
        <w:rPr>
          <w:spacing w:val="8"/>
        </w:rPr>
        <w:t>本预案应急演练。</w:t>
      </w:r>
    </w:p>
    <w:p>
      <w:pPr>
        <w:ind w:left="427"/>
        <w:spacing w:before="186" w:line="241" w:lineRule="auto"/>
        <w:rPr>
          <w:rFonts w:ascii="KaiTi" w:hAnsi="KaiTi" w:eastAsia="KaiTi" w:cs="KaiTi"/>
          <w:sz w:val="20"/>
          <w:szCs w:val="20"/>
        </w:rPr>
      </w:pPr>
      <w:r>
        <w:rPr>
          <w:rFonts w:ascii="Times New Roman" w:hAnsi="Times New Roman" w:eastAsia="Times New Roman" w:cs="Times New Roman"/>
          <w:sz w:val="20"/>
          <w:szCs w:val="20"/>
          <w:spacing w:val="5"/>
        </w:rPr>
        <w:t>9.2  </w:t>
      </w:r>
      <w:r>
        <w:rPr>
          <w:rFonts w:ascii="KaiTi" w:hAnsi="KaiTi" w:eastAsia="KaiTi" w:cs="KaiTi"/>
          <w:sz w:val="20"/>
          <w:szCs w:val="20"/>
          <w:spacing w:val="5"/>
        </w:rPr>
        <w:t>预案管理与更新。</w:t>
      </w:r>
    </w:p>
    <w:p>
      <w:pPr>
        <w:pStyle w:val="BodyText"/>
        <w:ind w:left="6" w:right="101" w:firstLine="408"/>
        <w:spacing w:before="170" w:line="339"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）本预案由市森林草原防灭火指挥部</w:t>
      </w:r>
      <w:r>
        <w:rPr>
          <w:spacing w:val="7"/>
        </w:rPr>
        <w:t>办公室制定，经市政府审批后，由市政府办公</w:t>
      </w:r>
      <w:r>
        <w:rPr>
          <w:spacing w:val="5"/>
        </w:rPr>
        <w:t>室印发。</w:t>
      </w:r>
    </w:p>
    <w:p>
      <w:pPr>
        <w:pStyle w:val="BodyText"/>
        <w:ind w:left="1" w:right="101" w:firstLine="413"/>
        <w:spacing w:before="186" w:line="354"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16"/>
        </w:rPr>
        <w:t xml:space="preserve"> </w:t>
      </w:r>
      <w:r>
        <w:rPr>
          <w:spacing w:val="8"/>
        </w:rPr>
        <w:t>）各县（</w:t>
      </w:r>
      <w:r>
        <w:rPr>
          <w:spacing w:val="-48"/>
        </w:rPr>
        <w:t xml:space="preserve"> </w:t>
      </w:r>
      <w:r>
        <w:rPr>
          <w:spacing w:val="8"/>
        </w:rPr>
        <w:t>区）政府及各级各有关单位</w:t>
      </w:r>
      <w:r>
        <w:rPr>
          <w:spacing w:val="7"/>
        </w:rPr>
        <w:t>要按照本预案的规定履行职责，制定、完善相</w:t>
      </w:r>
      <w:r>
        <w:rPr>
          <w:spacing w:val="7"/>
        </w:rPr>
        <w:t>应的应急预案后，报市森林草原防灭火指挥部</w:t>
      </w:r>
      <w:r>
        <w:rPr>
          <w:spacing w:val="7"/>
        </w:rPr>
        <w:t>办公室备案。</w:t>
      </w:r>
    </w:p>
    <w:p>
      <w:pPr>
        <w:pStyle w:val="BodyText"/>
        <w:ind w:left="2" w:right="18" w:firstLine="412"/>
        <w:spacing w:before="187" w:line="340"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）市森林草原防灭火指挥部办公室要</w:t>
      </w:r>
      <w:r>
        <w:rPr>
          <w:spacing w:val="18"/>
        </w:rPr>
        <w:t>根据森林草原火灾应急预案演练时发现的问</w:t>
      </w:r>
      <w:r>
        <w:rPr>
          <w:spacing w:val="-8"/>
        </w:rPr>
        <w:t>题、机构变化等情况，适时组织修订完善本预案。</w:t>
      </w:r>
    </w:p>
    <w:p>
      <w:pPr>
        <w:pStyle w:val="BodyText"/>
        <w:ind w:left="3" w:right="101" w:firstLine="424"/>
        <w:spacing w:before="186" w:line="394" w:lineRule="auto"/>
        <w:jc w:val="both"/>
        <w:rPr/>
      </w:pPr>
      <w:r>
        <w:rPr>
          <w:rFonts w:ascii="Times New Roman" w:hAnsi="Times New Roman" w:eastAsia="Times New Roman" w:cs="Times New Roman"/>
          <w:spacing w:val="8"/>
        </w:rPr>
        <w:t>9.3  </w:t>
      </w:r>
      <w:r>
        <w:rPr>
          <w:rFonts w:ascii="KaiTi" w:hAnsi="KaiTi" w:eastAsia="KaiTi" w:cs="KaiTi"/>
          <w:spacing w:val="8"/>
        </w:rPr>
        <w:t>以上、以下、以内、以外的含义。</w:t>
      </w:r>
      <w:r>
        <w:rPr>
          <w:spacing w:val="8"/>
        </w:rPr>
        <w:t>本</w:t>
      </w:r>
      <w:r>
        <w:rPr>
          <w:spacing w:val="13"/>
        </w:rPr>
        <w:t>预案有关数量的表述中</w:t>
      </w:r>
      <w:r>
        <w:rPr>
          <w:spacing w:val="-50"/>
        </w:rPr>
        <w:t xml:space="preserve"> </w:t>
      </w:r>
      <w:r>
        <w:rPr>
          <w:spacing w:val="13"/>
        </w:rPr>
        <w:t>，</w:t>
      </w:r>
      <w:r>
        <w:rPr>
          <w:rFonts w:ascii="Times New Roman" w:hAnsi="Times New Roman" w:eastAsia="Times New Roman" w:cs="Times New Roman"/>
          <w:spacing w:val="13"/>
        </w:rPr>
        <w:t>“</w:t>
      </w:r>
      <w:r>
        <w:rPr>
          <w:rFonts w:ascii="Times New Roman" w:hAnsi="Times New Roman" w:eastAsia="Times New Roman" w:cs="Times New Roman"/>
          <w:spacing w:val="-18"/>
        </w:rPr>
        <w:t xml:space="preserve"> </w:t>
      </w:r>
      <w:r>
        <w:rPr>
          <w:spacing w:val="13"/>
        </w:rPr>
        <w:t>以上</w:t>
      </w:r>
      <w:r>
        <w:rPr>
          <w:rFonts w:ascii="Times New Roman" w:hAnsi="Times New Roman" w:eastAsia="Times New Roman" w:cs="Times New Roman"/>
          <w:spacing w:val="13"/>
        </w:rPr>
        <w:t>”“</w:t>
      </w:r>
      <w:r>
        <w:rPr>
          <w:rFonts w:ascii="Times New Roman" w:hAnsi="Times New Roman" w:eastAsia="Times New Roman" w:cs="Times New Roman"/>
          <w:spacing w:val="-16"/>
        </w:rPr>
        <w:t xml:space="preserve"> </w:t>
      </w:r>
      <w:r>
        <w:rPr>
          <w:spacing w:val="13"/>
        </w:rPr>
        <w:t>以内</w:t>
      </w:r>
      <w:r>
        <w:rPr>
          <w:rFonts w:ascii="Times New Roman" w:hAnsi="Times New Roman" w:eastAsia="Times New Roman" w:cs="Times New Roman"/>
          <w:spacing w:val="13"/>
        </w:rPr>
        <w:t>”</w:t>
      </w:r>
      <w:r>
        <w:rPr>
          <w:spacing w:val="13"/>
        </w:rPr>
        <w:t>含本</w:t>
      </w:r>
      <w:r>
        <w:rPr>
          <w:spacing w:val="4"/>
        </w:rPr>
        <w:t>数，</w:t>
      </w:r>
      <w:r>
        <w:rPr>
          <w:rFonts w:ascii="Times New Roman" w:hAnsi="Times New Roman" w:eastAsia="Times New Roman" w:cs="Times New Roman"/>
          <w:spacing w:val="4"/>
        </w:rPr>
        <w:t>“</w:t>
      </w:r>
      <w:r>
        <w:rPr>
          <w:rFonts w:ascii="Times New Roman" w:hAnsi="Times New Roman" w:eastAsia="Times New Roman" w:cs="Times New Roman"/>
          <w:spacing w:val="-23"/>
        </w:rPr>
        <w:t xml:space="preserve"> </w:t>
      </w:r>
      <w:r>
        <w:rPr>
          <w:spacing w:val="4"/>
        </w:rPr>
        <w:t>以下</w:t>
      </w:r>
      <w:r>
        <w:rPr>
          <w:rFonts w:ascii="Times New Roman" w:hAnsi="Times New Roman" w:eastAsia="Times New Roman" w:cs="Times New Roman"/>
          <w:spacing w:val="4"/>
        </w:rPr>
        <w:t>”“</w:t>
      </w:r>
      <w:r>
        <w:rPr>
          <w:rFonts w:ascii="Times New Roman" w:hAnsi="Times New Roman" w:eastAsia="Times New Roman" w:cs="Times New Roman"/>
          <w:spacing w:val="-28"/>
        </w:rPr>
        <w:t xml:space="preserve"> </w:t>
      </w:r>
      <w:r>
        <w:rPr>
          <w:spacing w:val="4"/>
        </w:rPr>
        <w:t>以外</w:t>
      </w:r>
      <w:r>
        <w:rPr>
          <w:rFonts w:ascii="Times New Roman" w:hAnsi="Times New Roman" w:eastAsia="Times New Roman" w:cs="Times New Roman"/>
          <w:spacing w:val="4"/>
        </w:rPr>
        <w:t>”</w:t>
      </w:r>
      <w:r>
        <w:rPr>
          <w:spacing w:val="4"/>
        </w:rPr>
        <w:t>不含本数。</w:t>
      </w:r>
    </w:p>
    <w:p>
      <w:pPr>
        <w:ind w:left="439"/>
        <w:spacing w:before="3" w:line="17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10    附件</w:t>
      </w:r>
    </w:p>
    <w:p>
      <w:pPr>
        <w:spacing w:line="172" w:lineRule="auto"/>
        <w:sectPr>
          <w:type w:val="continuous"/>
          <w:pgSz w:w="11906" w:h="16839"/>
          <w:pgMar w:top="1828" w:right="1489" w:bottom="1556" w:left="1567" w:header="1428" w:footer="1172" w:gutter="0"/>
          <w:cols w:equalWidth="0" w:num="2">
            <w:col w:w="4500" w:space="100"/>
            <w:col w:w="4251" w:space="0"/>
          </w:cols>
        </w:sectPr>
        <w:rPr>
          <w:rFonts w:ascii="Microsoft YaHei" w:hAnsi="Microsoft YaHei" w:eastAsia="Microsoft YaHei" w:cs="Microsoft YaHei"/>
          <w:sz w:val="20"/>
          <w:szCs w:val="20"/>
        </w:rPr>
      </w:pPr>
    </w:p>
    <w:p>
      <w:pPr>
        <w:ind w:left="512"/>
        <w:spacing w:before="292" w:line="209" w:lineRule="auto"/>
        <w:rPr>
          <w:rFonts w:ascii="Microsoft YaHei" w:hAnsi="Microsoft YaHei" w:eastAsia="Microsoft YaHei" w:cs="Microsoft YaHei"/>
          <w:sz w:val="24"/>
          <w:szCs w:val="24"/>
        </w:rPr>
      </w:pPr>
      <w:r>
        <w:drawing>
          <wp:anchor distT="0" distB="0" distL="0" distR="0" simplePos="0" relativeHeight="252628992" behindDoc="0" locked="0" layoutInCell="0" allowOverlap="1">
            <wp:simplePos x="0" y="0"/>
            <wp:positionH relativeFrom="page">
              <wp:posOffset>1008380</wp:posOffset>
            </wp:positionH>
            <wp:positionV relativeFrom="page">
              <wp:posOffset>1147445</wp:posOffset>
            </wp:positionV>
            <wp:extent cx="8712200" cy="7620"/>
            <wp:effectExtent l="0" t="0" r="0" b="0"/>
            <wp:wrapNone/>
            <wp:docPr id="1598" name="IM 1598"/>
            <wp:cNvGraphicFramePr/>
            <a:graphic>
              <a:graphicData uri="http://schemas.openxmlformats.org/drawingml/2006/picture">
                <pic:pic>
                  <pic:nvPicPr>
                    <pic:cNvPr id="1598" name="IM 1598"/>
                    <pic:cNvPicPr/>
                  </pic:nvPicPr>
                  <pic:blipFill>
                    <a:blip r:embed="rId801"/>
                    <a:stretch>
                      <a:fillRect/>
                    </a:stretch>
                  </pic:blipFill>
                  <pic:spPr>
                    <a:xfrm rot="0">
                      <a:off x="0" y="0"/>
                      <a:ext cx="8712200" cy="7620"/>
                    </a:xfrm>
                    <a:prstGeom prst="rect">
                      <a:avLst/>
                    </a:prstGeom>
                  </pic:spPr>
                </pic:pic>
              </a:graphicData>
            </a:graphic>
          </wp:anchor>
        </w:drawing>
      </w:r>
      <w:r>
        <w:rPr>
          <w:rFonts w:ascii="Microsoft YaHei" w:hAnsi="Microsoft YaHei" w:eastAsia="Microsoft YaHei" w:cs="Microsoft YaHei"/>
          <w:sz w:val="24"/>
          <w:szCs w:val="24"/>
          <w:spacing w:val="-3"/>
        </w:rPr>
        <w:t>10.1  固原市森林草原防火应急管理组织机构图</w:t>
      </w:r>
    </w:p>
    <w:p>
      <w:pPr>
        <w:spacing w:line="428" w:lineRule="auto"/>
        <w:rPr>
          <w:rFonts w:ascii="Arial"/>
          <w:sz w:val="21"/>
        </w:rPr>
      </w:pPr>
      <w:r/>
    </w:p>
    <w:p>
      <w:pPr>
        <w:ind w:firstLine="743"/>
        <w:spacing w:line="6643" w:lineRule="exact"/>
        <w:rPr/>
      </w:pPr>
      <w:r>
        <w:rPr>
          <w:position w:val="-132"/>
        </w:rPr>
        <w:drawing>
          <wp:inline distT="0" distB="0" distL="0" distR="0">
            <wp:extent cx="7400544" cy="4218432"/>
            <wp:effectExtent l="0" t="0" r="0" b="0"/>
            <wp:docPr id="1600" name="IM 1600"/>
            <wp:cNvGraphicFramePr/>
            <a:graphic>
              <a:graphicData uri="http://schemas.openxmlformats.org/drawingml/2006/picture">
                <pic:pic>
                  <pic:nvPicPr>
                    <pic:cNvPr id="1600" name="IM 1600"/>
                    <pic:cNvPicPr/>
                  </pic:nvPicPr>
                  <pic:blipFill>
                    <a:blip r:embed="rId802"/>
                    <a:stretch>
                      <a:fillRect/>
                    </a:stretch>
                  </pic:blipFill>
                  <pic:spPr>
                    <a:xfrm rot="0">
                      <a:off x="0" y="0"/>
                      <a:ext cx="7400544" cy="4218432"/>
                    </a:xfrm>
                    <a:prstGeom prst="rect">
                      <a:avLst/>
                    </a:prstGeom>
                  </pic:spPr>
                </pic:pic>
              </a:graphicData>
            </a:graphic>
          </wp:inline>
        </w:drawing>
      </w:r>
    </w:p>
    <w:p>
      <w:pPr>
        <w:spacing w:line="6643" w:lineRule="exact"/>
        <w:sectPr>
          <w:headerReference w:type="default" r:id="rId799"/>
          <w:footerReference w:type="default" r:id="rId800"/>
          <w:pgSz w:w="16839" w:h="11906"/>
          <w:pgMar w:top="1767" w:right="1474" w:bottom="1971" w:left="1579" w:header="1428" w:footer="1568" w:gutter="0"/>
        </w:sectPr>
        <w:rPr/>
      </w:pPr>
    </w:p>
    <w:p>
      <w:pPr>
        <w:spacing w:line="350" w:lineRule="auto"/>
        <w:rPr>
          <w:rFonts w:ascii="Arial"/>
          <w:sz w:val="21"/>
        </w:rPr>
      </w:pPr>
      <w:r>
        <w:drawing>
          <wp:anchor distT="0" distB="0" distL="0" distR="0" simplePos="0" relativeHeight="252641280" behindDoc="0" locked="0" layoutInCell="0" allowOverlap="1">
            <wp:simplePos x="0" y="0"/>
            <wp:positionH relativeFrom="page">
              <wp:posOffset>1008380</wp:posOffset>
            </wp:positionH>
            <wp:positionV relativeFrom="page">
              <wp:posOffset>1124584</wp:posOffset>
            </wp:positionV>
            <wp:extent cx="8712200" cy="7620"/>
            <wp:effectExtent l="0" t="0" r="0" b="0"/>
            <wp:wrapNone/>
            <wp:docPr id="1606" name="IM 1606"/>
            <wp:cNvGraphicFramePr/>
            <a:graphic>
              <a:graphicData uri="http://schemas.openxmlformats.org/drawingml/2006/picture">
                <pic:pic>
                  <pic:nvPicPr>
                    <pic:cNvPr id="1606" name="IM 1606"/>
                    <pic:cNvPicPr/>
                  </pic:nvPicPr>
                  <pic:blipFill>
                    <a:blip r:embed="rId805"/>
                    <a:stretch>
                      <a:fillRect/>
                    </a:stretch>
                  </pic:blipFill>
                  <pic:spPr>
                    <a:xfrm rot="0">
                      <a:off x="0" y="0"/>
                      <a:ext cx="8712200" cy="7620"/>
                    </a:xfrm>
                    <a:prstGeom prst="rect">
                      <a:avLst/>
                    </a:prstGeom>
                  </pic:spPr>
                </pic:pic>
              </a:graphicData>
            </a:graphic>
          </wp:anchor>
        </w:drawing>
      </w:r>
      <w:r/>
    </w:p>
    <w:p>
      <w:pPr>
        <w:ind w:left="837"/>
        <w:spacing w:before="103" w:line="210" w:lineRule="auto"/>
        <w:rPr>
          <w:rFonts w:ascii="Microsoft YaHei" w:hAnsi="Microsoft YaHei" w:eastAsia="Microsoft YaHei" w:cs="Microsoft YaHei"/>
          <w:sz w:val="24"/>
          <w:szCs w:val="24"/>
        </w:rPr>
      </w:pPr>
      <w:r>
        <w:drawing>
          <wp:anchor distT="0" distB="0" distL="0" distR="0" simplePos="0" relativeHeight="252640256" behindDoc="1" locked="0" layoutInCell="1" allowOverlap="1">
            <wp:simplePos x="0" y="0"/>
            <wp:positionH relativeFrom="column">
              <wp:posOffset>0</wp:posOffset>
            </wp:positionH>
            <wp:positionV relativeFrom="paragraph">
              <wp:posOffset>87652</wp:posOffset>
            </wp:positionV>
            <wp:extent cx="8919971" cy="4748783"/>
            <wp:effectExtent l="0" t="0" r="0" b="0"/>
            <wp:wrapNone/>
            <wp:docPr id="1608" name="IM 1608"/>
            <wp:cNvGraphicFramePr/>
            <a:graphic>
              <a:graphicData uri="http://schemas.openxmlformats.org/drawingml/2006/picture">
                <pic:pic>
                  <pic:nvPicPr>
                    <pic:cNvPr id="1608" name="IM 1608"/>
                    <pic:cNvPicPr/>
                  </pic:nvPicPr>
                  <pic:blipFill>
                    <a:blip r:embed="rId806"/>
                    <a:stretch>
                      <a:fillRect/>
                    </a:stretch>
                  </pic:blipFill>
                  <pic:spPr>
                    <a:xfrm rot="0">
                      <a:off x="0" y="0"/>
                      <a:ext cx="8919971" cy="4748783"/>
                    </a:xfrm>
                    <a:prstGeom prst="rect">
                      <a:avLst/>
                    </a:prstGeom>
                  </pic:spPr>
                </pic:pic>
              </a:graphicData>
            </a:graphic>
          </wp:anchor>
        </w:drawing>
      </w:r>
      <w:r>
        <w:rPr>
          <w:rFonts w:ascii="Microsoft YaHei" w:hAnsi="Microsoft YaHei" w:eastAsia="Microsoft YaHei" w:cs="Microsoft YaHei"/>
          <w:sz w:val="24"/>
          <w:szCs w:val="24"/>
          <w:spacing w:val="-3"/>
        </w:rPr>
        <w:t>10.2  固原市森林草原防火应急管理工作流程图</w:t>
      </w:r>
    </w:p>
    <w:p>
      <w:pPr>
        <w:spacing w:line="210" w:lineRule="auto"/>
        <w:sectPr>
          <w:headerReference w:type="default" r:id="rId803"/>
          <w:footerReference w:type="default" r:id="rId804"/>
          <w:pgSz w:w="16839" w:h="11906"/>
          <w:pgMar w:top="1772" w:right="1486" w:bottom="1980" w:left="1195" w:header="1428" w:footer="1568" w:gutter="0"/>
        </w:sectPr>
        <w:rPr>
          <w:rFonts w:ascii="Microsoft YaHei" w:hAnsi="Microsoft YaHei" w:eastAsia="Microsoft YaHei" w:cs="Microsoft YaHei"/>
          <w:sz w:val="24"/>
          <w:szCs w:val="24"/>
        </w:rPr>
      </w:pPr>
    </w:p>
    <w:p>
      <w:pPr>
        <w:spacing w:line="333" w:lineRule="auto"/>
        <w:rPr>
          <w:rFonts w:ascii="Arial"/>
          <w:sz w:val="21"/>
        </w:rPr>
      </w:pPr>
      <w:r>
        <w:drawing>
          <wp:anchor distT="0" distB="0" distL="0" distR="0" simplePos="0" relativeHeight="252652544" behindDoc="0" locked="0" layoutInCell="1" allowOverlap="1">
            <wp:simplePos x="0" y="0"/>
            <wp:positionH relativeFrom="column">
              <wp:posOffset>7517</wp:posOffset>
            </wp:positionH>
            <wp:positionV relativeFrom="paragraph">
              <wp:posOffset>26089</wp:posOffset>
            </wp:positionV>
            <wp:extent cx="5579745" cy="7620"/>
            <wp:effectExtent l="0" t="0" r="0" b="0"/>
            <wp:wrapNone/>
            <wp:docPr id="1614" name="IM 1614"/>
            <wp:cNvGraphicFramePr/>
            <a:graphic>
              <a:graphicData uri="http://schemas.openxmlformats.org/drawingml/2006/picture">
                <pic:pic>
                  <pic:nvPicPr>
                    <pic:cNvPr id="1614" name="IM 1614"/>
                    <pic:cNvPicPr/>
                  </pic:nvPicPr>
                  <pic:blipFill>
                    <a:blip r:embed="rId809"/>
                    <a:stretch>
                      <a:fillRect/>
                    </a:stretch>
                  </pic:blipFill>
                  <pic:spPr>
                    <a:xfrm rot="0">
                      <a:off x="0" y="0"/>
                      <a:ext cx="5579745" cy="7620"/>
                    </a:xfrm>
                    <a:prstGeom prst="rect">
                      <a:avLst/>
                    </a:prstGeom>
                  </pic:spPr>
                </pic:pic>
              </a:graphicData>
            </a:graphic>
          </wp:anchor>
        </w:drawing>
      </w:r>
      <w:r/>
    </w:p>
    <w:p>
      <w:pPr>
        <w:spacing w:line="334" w:lineRule="auto"/>
        <w:rPr>
          <w:rFonts w:ascii="Arial"/>
          <w:sz w:val="21"/>
        </w:rPr>
      </w:pPr>
      <w:r/>
    </w:p>
    <w:p>
      <w:pPr>
        <w:ind w:left="1546"/>
        <w:spacing w:before="185" w:line="215"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7"/>
        </w:rPr>
        <w:t>固原市自然灾害救助应急预案</w:t>
      </w:r>
    </w:p>
    <w:p>
      <w:pPr>
        <w:spacing w:before="14"/>
        <w:rPr/>
      </w:pPr>
      <w:r/>
    </w:p>
    <w:p>
      <w:pPr>
        <w:spacing w:before="14"/>
        <w:rPr/>
      </w:pPr>
      <w:r/>
    </w:p>
    <w:p>
      <w:pPr>
        <w:sectPr>
          <w:headerReference w:type="default" r:id="rId807"/>
          <w:footerReference w:type="default" r:id="rId808"/>
          <w:pgSz w:w="11906" w:h="16839"/>
          <w:pgMar w:top="1766" w:right="1475" w:bottom="1575" w:left="1576" w:header="1428" w:footer="1172" w:gutter="0"/>
          <w:cols w:equalWidth="0" w:num="1">
            <w:col w:w="8855" w:space="0"/>
          </w:cols>
        </w:sectPr>
        <w:rPr/>
      </w:pPr>
    </w:p>
    <w:p>
      <w:pPr>
        <w:ind w:left="453"/>
        <w:spacing w:before="48"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1</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7"/>
        </w:rPr>
        <w:t>总则</w:t>
      </w:r>
    </w:p>
    <w:p>
      <w:pPr>
        <w:pStyle w:val="BodyText"/>
        <w:ind w:left="15" w:right="314" w:firstLine="441"/>
        <w:spacing w:before="97" w:line="345" w:lineRule="auto"/>
        <w:rPr/>
      </w:pPr>
      <w:r>
        <w:rPr>
          <w:rFonts w:ascii="Times New Roman" w:hAnsi="Times New Roman" w:eastAsia="Times New Roman" w:cs="Times New Roman"/>
          <w:spacing w:val="3"/>
        </w:rPr>
        <w:t>1.</w:t>
      </w:r>
      <w:r>
        <w:rPr>
          <w:rFonts w:ascii="Times New Roman" w:hAnsi="Times New Roman" w:eastAsia="Times New Roman" w:cs="Times New Roman"/>
          <w:spacing w:val="-9"/>
        </w:rPr>
        <w:t xml:space="preserve"> </w:t>
      </w:r>
      <w:r>
        <w:rPr>
          <w:rFonts w:ascii="Times New Roman" w:hAnsi="Times New Roman" w:eastAsia="Times New Roman" w:cs="Times New Roman"/>
          <w:spacing w:val="3"/>
        </w:rPr>
        <w:t>1  </w:t>
      </w:r>
      <w:r>
        <w:rPr>
          <w:rFonts w:ascii="KaiTi" w:hAnsi="KaiTi" w:eastAsia="KaiTi" w:cs="KaiTi"/>
          <w:spacing w:val="3"/>
        </w:rPr>
        <w:t>编制</w:t>
      </w:r>
      <w:r>
        <w:rPr>
          <w:rFonts w:ascii="KaiTi" w:hAnsi="KaiTi" w:eastAsia="KaiTi" w:cs="KaiTi"/>
          <w:spacing w:val="-50"/>
        </w:rPr>
        <w:t xml:space="preserve"> </w:t>
      </w:r>
      <w:r>
        <w:rPr>
          <w:rFonts w:ascii="KaiTi" w:hAnsi="KaiTi" w:eastAsia="KaiTi" w:cs="KaiTi"/>
          <w:spacing w:val="3"/>
        </w:rPr>
        <w:t>目的。</w:t>
      </w:r>
      <w:r>
        <w:rPr>
          <w:spacing w:val="3"/>
        </w:rPr>
        <w:t>为建立健全应对突发自然</w:t>
      </w:r>
      <w:r>
        <w:rPr>
          <w:spacing w:val="7"/>
        </w:rPr>
        <w:t>灾害紧急救助体系和运行机制，规范紧急救助</w:t>
      </w:r>
      <w:r>
        <w:rPr>
          <w:spacing w:val="7"/>
        </w:rPr>
        <w:t>行为，提高紧急救助能力，迅速、有序、高效</w:t>
      </w:r>
      <w:r>
        <w:rPr>
          <w:spacing w:val="7"/>
        </w:rPr>
        <w:t>地实施紧急救助，最大程度地减少人民群众的</w:t>
      </w:r>
      <w:r>
        <w:rPr>
          <w:spacing w:val="7"/>
        </w:rPr>
        <w:t>生命财产损失，维护灾区社会稳定，制定本应</w:t>
      </w:r>
      <w:r>
        <w:rPr>
          <w:spacing w:val="6"/>
        </w:rPr>
        <w:t>急预案。</w:t>
      </w:r>
    </w:p>
    <w:p>
      <w:pPr>
        <w:pStyle w:val="BodyText"/>
        <w:ind w:left="14" w:right="291" w:firstLine="442"/>
        <w:spacing w:before="157" w:line="356" w:lineRule="auto"/>
        <w:rPr/>
      </w:pPr>
      <w:r>
        <w:rPr>
          <w:rFonts w:ascii="Times New Roman" w:hAnsi="Times New Roman" w:eastAsia="Times New Roman" w:cs="Times New Roman"/>
          <w:spacing w:val="7"/>
        </w:rPr>
        <w:t>1.2  </w:t>
      </w:r>
      <w:r>
        <w:rPr>
          <w:rFonts w:ascii="KaiTi" w:hAnsi="KaiTi" w:eastAsia="KaiTi" w:cs="KaiTi"/>
          <w:spacing w:val="7"/>
        </w:rPr>
        <w:t>工作原则。</w:t>
      </w:r>
      <w:r>
        <w:rPr>
          <w:spacing w:val="7"/>
        </w:rPr>
        <w:t>实行行政首长负责制，统</w:t>
      </w:r>
      <w:r>
        <w:rPr>
          <w:spacing w:val="7"/>
        </w:rPr>
        <w:t>一指挥，属地管理，分级分部门负责，社会动</w:t>
      </w:r>
      <w:r>
        <w:rPr>
          <w:spacing w:val="7"/>
        </w:rPr>
        <w:t>员，军地联防，全民参与，强化资源整合，形</w:t>
      </w:r>
      <w:r>
        <w:rPr>
          <w:spacing w:val="7"/>
        </w:rPr>
        <w:t>成工作合力。自然灾害救助并举，工程和非工</w:t>
      </w:r>
      <w:r>
        <w:rPr>
          <w:spacing w:val="15"/>
        </w:rPr>
        <w:t>程措施相结合</w:t>
      </w:r>
      <w:r>
        <w:rPr>
          <w:spacing w:val="-39"/>
        </w:rPr>
        <w:t xml:space="preserve"> </w:t>
      </w:r>
      <w:r>
        <w:rPr>
          <w:spacing w:val="15"/>
        </w:rPr>
        <w:t>，确保防洪安全和城乡供水安</w:t>
      </w:r>
      <w:r>
        <w:rPr>
          <w:spacing w:val="8"/>
        </w:rPr>
        <w:t>全、粮食生产安全。防汛工作立足于防大汛、</w:t>
      </w:r>
      <w:r>
        <w:rPr>
          <w:spacing w:val="7"/>
        </w:rPr>
        <w:t>抗大洪、抢大险、救大灾；安全第一，常备不</w:t>
      </w:r>
      <w:r>
        <w:rPr>
          <w:spacing w:val="7"/>
        </w:rPr>
        <w:t>懈，以防为主，全力抢险。抗旱工作以水资源</w:t>
      </w:r>
      <w:r>
        <w:rPr>
          <w:spacing w:val="7"/>
        </w:rPr>
        <w:t>承载能力为基础，实行先生活、后生产，科学</w:t>
      </w:r>
      <w:r>
        <w:rPr>
          <w:spacing w:val="7"/>
        </w:rPr>
        <w:t>调度，优化配置，确保城乡生活、生产、生态</w:t>
      </w:r>
      <w:r>
        <w:rPr>
          <w:spacing w:val="7"/>
        </w:rPr>
        <w:t>用水需求。</w:t>
      </w:r>
    </w:p>
    <w:p>
      <w:pPr>
        <w:pStyle w:val="BodyText"/>
        <w:ind w:right="196" w:firstLine="457"/>
        <w:spacing w:before="163" w:line="354" w:lineRule="auto"/>
        <w:rPr/>
      </w:pPr>
      <w:r>
        <w:rPr>
          <w:rFonts w:ascii="Times New Roman" w:hAnsi="Times New Roman" w:eastAsia="Times New Roman" w:cs="Times New Roman"/>
          <w:spacing w:val="7"/>
        </w:rPr>
        <w:t>1.3  </w:t>
      </w:r>
      <w:r>
        <w:rPr>
          <w:rFonts w:ascii="KaiTi" w:hAnsi="KaiTi" w:eastAsia="KaiTi" w:cs="KaiTi"/>
          <w:spacing w:val="7"/>
        </w:rPr>
        <w:t>编制依据。</w:t>
      </w:r>
      <w:r>
        <w:rPr>
          <w:spacing w:val="7"/>
        </w:rPr>
        <w:t>《中华人民共和国突发事</w:t>
      </w:r>
      <w:r>
        <w:rPr>
          <w:spacing w:val="8"/>
        </w:rPr>
        <w:t>件应对法》《中华人民共和国水法》《中华人</w:t>
      </w:r>
      <w:r>
        <w:rPr>
          <w:spacing w:val="8"/>
        </w:rPr>
        <w:t>民共和国防洪法》《中华人民共和国河道管理</w:t>
      </w:r>
      <w:r>
        <w:rPr>
          <w:spacing w:val="8"/>
        </w:rPr>
        <w:t>条例》《中华人民共和国防汛条例》《中华人</w:t>
      </w:r>
      <w:r>
        <w:rPr>
          <w:spacing w:val="8"/>
        </w:rPr>
        <w:t>民共和国抗旱条例》《中华人民共和国公益事</w:t>
      </w:r>
      <w:r>
        <w:rPr>
          <w:spacing w:val="5"/>
        </w:rPr>
        <w:t>业捐赠法》《中华人民共和国慈善法》《</w:t>
      </w:r>
      <w:r>
        <w:rPr>
          <w:spacing w:val="-39"/>
        </w:rPr>
        <w:t xml:space="preserve"> </w:t>
      </w:r>
      <w:r>
        <w:rPr>
          <w:spacing w:val="5"/>
        </w:rPr>
        <w:t>自然</w:t>
      </w:r>
      <w:r>
        <w:rPr>
          <w:spacing w:val="3"/>
        </w:rPr>
        <w:t>灾害救助条例》《国家自然灾害救助应急预案》</w:t>
      </w:r>
      <w:r>
        <w:rPr>
          <w:spacing w:val="16"/>
        </w:rPr>
        <w:t xml:space="preserve"> </w:t>
      </w:r>
      <w:r>
        <w:rPr>
          <w:spacing w:val="8"/>
        </w:rPr>
        <w:t>《宁夏回族自治区突发事件应对条例》《宁夏</w:t>
      </w:r>
      <w:r>
        <w:rPr>
          <w:spacing w:val="8"/>
        </w:rPr>
        <w:t>自治区政府办公厅关于印发《宁夏回族自治区</w:t>
      </w:r>
      <w:r>
        <w:rPr>
          <w:spacing w:val="11"/>
        </w:rPr>
        <w:t>自然灾害救助应急预案》等</w:t>
      </w:r>
      <w:r>
        <w:rPr>
          <w:spacing w:val="-18"/>
        </w:rPr>
        <w:t xml:space="preserve"> </w:t>
      </w:r>
      <w:r>
        <w:rPr>
          <w:rFonts w:ascii="Times New Roman" w:hAnsi="Times New Roman" w:eastAsia="Times New Roman" w:cs="Times New Roman"/>
          <w:spacing w:val="11"/>
        </w:rPr>
        <w:t>17 </w:t>
      </w:r>
      <w:r>
        <w:rPr>
          <w:spacing w:val="11"/>
        </w:rPr>
        <w:t>部自治区</w:t>
      </w:r>
      <w:r>
        <w:rPr>
          <w:spacing w:val="10"/>
        </w:rPr>
        <w:t>专项</w:t>
      </w:r>
    </w:p>
    <w:p>
      <w:pPr>
        <w:spacing w:line="14" w:lineRule="auto"/>
        <w:rPr>
          <w:rFonts w:ascii="Arial"/>
          <w:sz w:val="2"/>
        </w:rPr>
      </w:pPr>
      <w:r>
        <w:rPr>
          <w:rFonts w:ascii="Arial" w:hAnsi="Arial" w:eastAsia="Arial" w:cs="Arial"/>
          <w:sz w:val="2"/>
          <w:szCs w:val="2"/>
        </w:rPr>
        <w:br w:type="column"/>
      </w:r>
    </w:p>
    <w:p>
      <w:pPr>
        <w:pStyle w:val="BodyText"/>
        <w:ind w:firstLine="15"/>
        <w:spacing w:before="55" w:line="368" w:lineRule="auto"/>
        <w:jc w:val="both"/>
        <w:rPr/>
      </w:pPr>
      <w:r>
        <w:rPr>
          <w:spacing w:val="4"/>
        </w:rPr>
        <w:t>应急预案的通知》（宁政办发〔</w:t>
      </w:r>
      <w:r>
        <w:rPr>
          <w:rFonts w:ascii="Times New Roman" w:hAnsi="Times New Roman" w:eastAsia="Times New Roman" w:cs="Times New Roman"/>
          <w:spacing w:val="4"/>
        </w:rPr>
        <w:t>2017</w:t>
      </w:r>
      <w:r>
        <w:rPr>
          <w:spacing w:val="4"/>
        </w:rPr>
        <w:t>〕</w:t>
      </w:r>
      <w:r>
        <w:rPr>
          <w:rFonts w:ascii="Times New Roman" w:hAnsi="Times New Roman" w:eastAsia="Times New Roman" w:cs="Times New Roman"/>
          <w:spacing w:val="4"/>
        </w:rPr>
        <w:t>127 </w:t>
      </w:r>
      <w:r>
        <w:rPr>
          <w:spacing w:val="4"/>
        </w:rPr>
        <w:t>号）</w:t>
      </w:r>
      <w:r>
        <w:rPr>
          <w:spacing w:val="10"/>
        </w:rPr>
        <w:t xml:space="preserve"> </w:t>
      </w:r>
      <w:r>
        <w:rPr>
          <w:spacing w:val="8"/>
        </w:rPr>
        <w:t>《宁夏回族自治区应急管理条例》《固原市突</w:t>
      </w:r>
      <w:r>
        <w:rPr>
          <w:spacing w:val="11"/>
        </w:rPr>
        <w:t>发事件总体应急预案》等</w:t>
      </w:r>
    </w:p>
    <w:p>
      <w:pPr>
        <w:pStyle w:val="BodyText"/>
        <w:ind w:left="17" w:right="91" w:firstLine="439"/>
        <w:spacing w:before="6" w:line="369" w:lineRule="auto"/>
        <w:jc w:val="both"/>
        <w:rPr/>
      </w:pPr>
      <w:r>
        <w:rPr>
          <w:rFonts w:ascii="Times New Roman" w:hAnsi="Times New Roman" w:eastAsia="Times New Roman" w:cs="Times New Roman"/>
          <w:spacing w:val="7"/>
        </w:rPr>
        <w:t>1.4  </w:t>
      </w:r>
      <w:r>
        <w:rPr>
          <w:rFonts w:ascii="KaiTi" w:hAnsi="KaiTi" w:eastAsia="KaiTi" w:cs="KaiTi"/>
          <w:spacing w:val="7"/>
        </w:rPr>
        <w:t>适用范围。</w:t>
      </w:r>
      <w:r>
        <w:rPr>
          <w:spacing w:val="7"/>
        </w:rPr>
        <w:t>本预案适用于固原市行政</w:t>
      </w:r>
      <w:r>
        <w:rPr>
          <w:spacing w:val="8"/>
        </w:rPr>
        <w:t>区域内发生的干旱、洪涝、风雹、低温冷冻、</w:t>
      </w:r>
      <w:r>
        <w:rPr>
          <w:spacing w:val="7"/>
        </w:rPr>
        <w:t>雪灾、沙尘暴等气象灾害，地震灾害，山体崩</w:t>
      </w:r>
      <w:r>
        <w:rPr>
          <w:spacing w:val="7"/>
        </w:rPr>
        <w:t>塌、滑坡、泥石流等地质灾害，森林草原火灾</w:t>
      </w:r>
      <w:r>
        <w:rPr>
          <w:spacing w:val="8"/>
        </w:rPr>
        <w:t>和重大生物灾害等自然灾害的应急救助工作。</w:t>
      </w:r>
    </w:p>
    <w:p>
      <w:pPr>
        <w:pStyle w:val="BodyText"/>
        <w:ind w:left="15" w:right="114" w:firstLine="441"/>
        <w:spacing w:before="2" w:line="369" w:lineRule="auto"/>
        <w:jc w:val="both"/>
        <w:rPr/>
      </w:pPr>
      <w:r>
        <w:rPr>
          <w:spacing w:val="17"/>
        </w:rPr>
        <w:t>固原市毗邻地区发生自然灾害并对我市</w:t>
      </w:r>
      <w:r>
        <w:rPr>
          <w:spacing w:val="7"/>
        </w:rPr>
        <w:t>造成重大影响时，按照本预案开展我市行政区</w:t>
      </w:r>
      <w:r>
        <w:rPr>
          <w:spacing w:val="7"/>
        </w:rPr>
        <w:t>域内应急救助工作。发生其他突发事件，根据</w:t>
      </w:r>
      <w:r>
        <w:rPr>
          <w:spacing w:val="9"/>
        </w:rPr>
        <w:t>需要可参照本预案开展应急救助工作。</w:t>
      </w:r>
    </w:p>
    <w:p>
      <w:pPr>
        <w:ind w:left="438"/>
        <w:spacing w:before="5" w:line="18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2</w:t>
      </w:r>
      <w:r>
        <w:rPr>
          <w:rFonts w:ascii="Microsoft YaHei" w:hAnsi="Microsoft YaHei" w:eastAsia="Microsoft YaHei" w:cs="Microsoft YaHei"/>
          <w:sz w:val="20"/>
          <w:szCs w:val="20"/>
          <w:spacing w:val="14"/>
          <w:w w:val="101"/>
        </w:rPr>
        <w:t xml:space="preserve">   </w:t>
      </w:r>
      <w:r>
        <w:rPr>
          <w:rFonts w:ascii="Microsoft YaHei" w:hAnsi="Microsoft YaHei" w:eastAsia="Microsoft YaHei" w:cs="Microsoft YaHei"/>
          <w:sz w:val="20"/>
          <w:szCs w:val="20"/>
          <w:spacing w:val="7"/>
        </w:rPr>
        <w:t>组织指挥体系及职责</w:t>
      </w:r>
    </w:p>
    <w:p>
      <w:pPr>
        <w:pStyle w:val="BodyText"/>
        <w:ind w:left="15" w:right="115" w:firstLine="422"/>
        <w:spacing w:before="138" w:line="368" w:lineRule="auto"/>
        <w:rPr/>
      </w:pPr>
      <w:r>
        <w:rPr>
          <w:spacing w:val="6"/>
        </w:rPr>
        <w:t>在市委，市政府的安排部署下，市应急管</w:t>
      </w:r>
      <w:r>
        <w:rPr>
          <w:spacing w:val="7"/>
        </w:rPr>
        <w:t>理指挥部负责组织、指挥、协调本行政区域内</w:t>
      </w:r>
      <w:r>
        <w:rPr>
          <w:spacing w:val="7"/>
        </w:rPr>
        <w:t>的自然灾害救助工作；根据灾情判定意见和确</w:t>
      </w:r>
      <w:r>
        <w:rPr>
          <w:spacing w:val="7"/>
        </w:rPr>
        <w:t>定应急响应规模，指挥成员单位及各应急工作</w:t>
      </w:r>
      <w:r>
        <w:rPr>
          <w:spacing w:val="7"/>
        </w:rPr>
        <w:t>组按照应急响应级别开展工作；及时向市委、</w:t>
      </w:r>
      <w:r>
        <w:rPr>
          <w:spacing w:val="7"/>
        </w:rPr>
        <w:t>市政府上报灾情；领导、指导县（区）防灾减</w:t>
      </w:r>
      <w:r>
        <w:rPr>
          <w:spacing w:val="7"/>
        </w:rPr>
        <w:t>灾工作；承担市政府和自治区应急管理指挥</w:t>
      </w:r>
      <w:r>
        <w:rPr>
          <w:spacing w:val="1"/>
        </w:rPr>
        <w:t xml:space="preserve"> </w:t>
      </w:r>
      <w:r>
        <w:rPr>
          <w:spacing w:val="8"/>
        </w:rPr>
        <w:t>部交办的其他事项。</w:t>
      </w:r>
    </w:p>
    <w:p>
      <w:pPr>
        <w:ind w:left="437"/>
        <w:spacing w:before="6" w:line="242" w:lineRule="auto"/>
        <w:rPr>
          <w:rFonts w:ascii="KaiTi" w:hAnsi="KaiTi" w:eastAsia="KaiTi" w:cs="KaiTi"/>
          <w:sz w:val="20"/>
          <w:szCs w:val="20"/>
        </w:rPr>
      </w:pPr>
      <w:r>
        <w:rPr>
          <w:rFonts w:ascii="Times New Roman" w:hAnsi="Times New Roman" w:eastAsia="Times New Roman" w:cs="Times New Roman"/>
          <w:sz w:val="20"/>
          <w:szCs w:val="20"/>
          <w:spacing w:val="5"/>
        </w:rPr>
        <w:t>2.</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5"/>
        </w:rPr>
        <w:t>1  </w:t>
      </w:r>
      <w:r>
        <w:rPr>
          <w:rFonts w:ascii="KaiTi" w:hAnsi="KaiTi" w:eastAsia="KaiTi" w:cs="KaiTi"/>
          <w:sz w:val="20"/>
          <w:szCs w:val="20"/>
          <w:spacing w:val="5"/>
        </w:rPr>
        <w:t>应急组织机构与职责。</w:t>
      </w:r>
    </w:p>
    <w:p>
      <w:pPr>
        <w:pStyle w:val="BodyText"/>
        <w:ind w:left="437"/>
        <w:spacing w:before="144" w:line="216" w:lineRule="auto"/>
        <w:rPr/>
      </w:pPr>
      <w:r>
        <w:rPr>
          <w:rFonts w:ascii="Times New Roman" w:hAnsi="Times New Roman" w:eastAsia="Times New Roman" w:cs="Times New Roman"/>
          <w:spacing w:val="3"/>
        </w:rPr>
        <w:t>2.</w:t>
      </w:r>
      <w:r>
        <w:rPr>
          <w:rFonts w:ascii="Times New Roman" w:hAnsi="Times New Roman" w:eastAsia="Times New Roman" w:cs="Times New Roman"/>
          <w:spacing w:val="-17"/>
        </w:rPr>
        <w:t xml:space="preserve"> </w:t>
      </w:r>
      <w:r>
        <w:rPr>
          <w:rFonts w:ascii="Times New Roman" w:hAnsi="Times New Roman" w:eastAsia="Times New Roman" w:cs="Times New Roman"/>
          <w:spacing w:val="3"/>
        </w:rPr>
        <w:t>1.1 </w:t>
      </w:r>
      <w:r>
        <w:rPr>
          <w:spacing w:val="3"/>
        </w:rPr>
        <w:t>应急组织机构。</w:t>
      </w:r>
    </w:p>
    <w:p>
      <w:pPr>
        <w:pStyle w:val="BodyText"/>
        <w:ind w:left="18" w:right="114" w:firstLine="420"/>
        <w:spacing w:before="158" w:line="351" w:lineRule="auto"/>
        <w:rPr/>
      </w:pPr>
      <w:r>
        <w:rPr>
          <w:spacing w:val="6"/>
        </w:rPr>
        <w:t>指 挥 长：市政府分管应急管理工作的副</w:t>
      </w:r>
      <w:r>
        <w:rPr>
          <w:spacing w:val="6"/>
        </w:rPr>
        <w:t>市长</w:t>
      </w:r>
    </w:p>
    <w:p>
      <w:pPr>
        <w:pStyle w:val="BodyText"/>
        <w:ind w:left="442"/>
        <w:spacing w:before="42" w:line="277" w:lineRule="exact"/>
        <w:rPr/>
      </w:pPr>
      <w:r>
        <w:rPr>
          <w:spacing w:val="6"/>
          <w:position w:val="1"/>
        </w:rPr>
        <w:t>副指挥长：市政府分管相关工作的副市长</w:t>
      </w:r>
    </w:p>
    <w:p>
      <w:pPr>
        <w:pStyle w:val="BodyText"/>
        <w:ind w:left="19" w:right="34" w:firstLine="417"/>
        <w:spacing w:before="125" w:line="294" w:lineRule="auto"/>
        <w:rPr/>
      </w:pPr>
      <w:r>
        <w:rPr>
          <w:spacing w:val="6"/>
        </w:rPr>
        <w:t>成员单位：发展和改革委员会、工业和信</w:t>
      </w:r>
      <w:r>
        <w:rPr>
          <w:spacing w:val="1"/>
        </w:rPr>
        <w:t>息化局、教育和体育局、科学技术局、公安局、</w:t>
      </w:r>
    </w:p>
    <w:p>
      <w:pPr>
        <w:spacing w:line="294" w:lineRule="auto"/>
        <w:sectPr>
          <w:type w:val="continuous"/>
          <w:pgSz w:w="11906" w:h="16839"/>
          <w:pgMar w:top="1766" w:right="1475" w:bottom="1575" w:left="1576" w:header="1428" w:footer="1172" w:gutter="0"/>
          <w:cols w:equalWidth="0" w:num="2">
            <w:col w:w="4477" w:space="100"/>
            <w:col w:w="4278" w:space="0"/>
          </w:cols>
        </w:sectPr>
        <w:rPr/>
      </w:pPr>
    </w:p>
    <w:p>
      <w:pPr>
        <w:spacing w:before="75"/>
        <w:rPr/>
      </w:pPr>
      <w:r>
        <w:drawing>
          <wp:anchor distT="0" distB="0" distL="0" distR="0" simplePos="0" relativeHeight="252663808"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620" name="IM 1620"/>
            <wp:cNvGraphicFramePr/>
            <a:graphic>
              <a:graphicData uri="http://schemas.openxmlformats.org/drawingml/2006/picture">
                <pic:pic>
                  <pic:nvPicPr>
                    <pic:cNvPr id="1620" name="IM 1620"/>
                    <pic:cNvPicPr/>
                  </pic:nvPicPr>
                  <pic:blipFill>
                    <a:blip r:embed="rId812"/>
                    <a:stretch>
                      <a:fillRect/>
                    </a:stretch>
                  </pic:blipFill>
                  <pic:spPr>
                    <a:xfrm rot="0">
                      <a:off x="0" y="0"/>
                      <a:ext cx="5579745" cy="7620"/>
                    </a:xfrm>
                    <a:prstGeom prst="rect">
                      <a:avLst/>
                    </a:prstGeom>
                  </pic:spPr>
                </pic:pic>
              </a:graphicData>
            </a:graphic>
          </wp:anchor>
        </w:drawing>
      </w:r>
      <w:r/>
    </w:p>
    <w:p>
      <w:pPr>
        <w:sectPr>
          <w:headerReference w:type="default" r:id="rId810"/>
          <w:footerReference w:type="default" r:id="rId811"/>
          <w:pgSz w:w="11906" w:h="16839"/>
          <w:pgMar w:top="1772" w:right="1489" w:bottom="1584" w:left="1567" w:header="1428" w:footer="1172" w:gutter="0"/>
          <w:cols w:equalWidth="0" w:num="1">
            <w:col w:w="8850" w:space="0"/>
          </w:cols>
        </w:sectPr>
        <w:rPr/>
      </w:pPr>
    </w:p>
    <w:p>
      <w:pPr>
        <w:pStyle w:val="BodyText"/>
        <w:ind w:left="25" w:right="327" w:firstLine="19"/>
        <w:spacing w:before="41" w:line="373" w:lineRule="auto"/>
        <w:jc w:val="both"/>
        <w:rPr/>
      </w:pPr>
      <w:r>
        <w:rPr>
          <w:spacing w:val="6"/>
        </w:rPr>
        <w:t>民政局、财政局、人力资源社会保障局、自然</w:t>
      </w:r>
      <w:r>
        <w:rPr>
          <w:spacing w:val="7"/>
        </w:rPr>
        <w:t>资源局、生态环境局、住房和城乡建设局、交</w:t>
      </w:r>
      <w:r>
        <w:rPr>
          <w:spacing w:val="7"/>
        </w:rPr>
        <w:t>通运输局、水务局、农业农村局、文化旅游广</w:t>
      </w:r>
      <w:r>
        <w:rPr>
          <w:spacing w:val="7"/>
        </w:rPr>
        <w:t>播电视局、卫生健康委员会、市场监管局、市</w:t>
      </w:r>
      <w:r>
        <w:rPr>
          <w:spacing w:val="7"/>
        </w:rPr>
        <w:t>应急管理局、市消防支队、气象局、固原水文</w:t>
      </w:r>
      <w:r>
        <w:rPr>
          <w:spacing w:val="5"/>
        </w:rPr>
        <w:t>分局、市地震局、各县（</w:t>
      </w:r>
      <w:r>
        <w:rPr>
          <w:spacing w:val="-53"/>
        </w:rPr>
        <w:t xml:space="preserve"> </w:t>
      </w:r>
      <w:r>
        <w:rPr>
          <w:spacing w:val="5"/>
        </w:rPr>
        <w:t>区）政府，市应急管</w:t>
      </w:r>
      <w:r>
        <w:rPr>
          <w:spacing w:val="18"/>
        </w:rPr>
        <w:t>理指挥部根据工作需要确定的非政府职能部</w:t>
      </w:r>
      <w:r>
        <w:rPr>
          <w:spacing w:val="5"/>
        </w:rPr>
        <w:t>门（单位）。</w:t>
      </w:r>
    </w:p>
    <w:p>
      <w:pPr>
        <w:pStyle w:val="BodyText"/>
        <w:ind w:left="25" w:right="227" w:firstLine="421"/>
        <w:spacing w:before="8" w:line="372" w:lineRule="auto"/>
        <w:rPr/>
      </w:pPr>
      <w:r>
        <w:rPr>
          <w:rFonts w:ascii="Times New Roman" w:hAnsi="Times New Roman" w:eastAsia="Times New Roman" w:cs="Times New Roman"/>
          <w:spacing w:val="8"/>
        </w:rPr>
        <w:t>2.1.2 </w:t>
      </w:r>
      <w:r>
        <w:rPr>
          <w:spacing w:val="8"/>
        </w:rPr>
        <w:t>工作职责。在市委，市政府的领导下</w:t>
      </w:r>
      <w:r>
        <w:rPr>
          <w:spacing w:val="1"/>
        </w:rPr>
        <w:t xml:space="preserve"> </w:t>
      </w:r>
      <w:r>
        <w:rPr>
          <w:spacing w:val="15"/>
        </w:rPr>
        <w:t>,</w:t>
      </w:r>
      <w:r>
        <w:rPr>
          <w:spacing w:val="50"/>
        </w:rPr>
        <w:t xml:space="preserve"> </w:t>
      </w:r>
      <w:r>
        <w:rPr>
          <w:spacing w:val="15"/>
        </w:rPr>
        <w:t>安排部署全市自然灾害救助和抢险救灾应</w:t>
      </w:r>
      <w:r>
        <w:rPr>
          <w:spacing w:val="7"/>
        </w:rPr>
        <w:t>急工作；掌握灾情，及时提出自然灾害救助工</w:t>
      </w:r>
      <w:r>
        <w:rPr>
          <w:spacing w:val="17"/>
        </w:rPr>
        <w:t>作具体部署，组织指挥抗洪抢险及抗旱减灾</w:t>
      </w:r>
      <w:r>
        <w:rPr>
          <w:spacing w:val="7"/>
        </w:rPr>
        <w:t>工作。调配自然灾害救助物资和队伍，做好自</w:t>
      </w:r>
      <w:r>
        <w:rPr>
          <w:spacing w:val="7"/>
        </w:rPr>
        <w:t>然灾害救助物资的储备管理和队伍建设，组织</w:t>
      </w:r>
      <w:r>
        <w:rPr>
          <w:spacing w:val="9"/>
        </w:rPr>
        <w:t>做好灾后处置。当灾情超过处置权限和能力时</w:t>
      </w:r>
      <w:r>
        <w:rPr>
          <w:spacing w:val="13"/>
        </w:rPr>
        <w:t xml:space="preserve"> </w:t>
      </w:r>
      <w:r>
        <w:rPr/>
        <w:t>,</w:t>
      </w:r>
      <w:r>
        <w:rPr>
          <w:spacing w:val="48"/>
        </w:rPr>
        <w:t xml:space="preserve"> </w:t>
      </w:r>
      <w:r>
        <w:rPr/>
        <w:t>及时向自治区党委、政府报告，由自治区党委 </w:t>
      </w:r>
      <w:r>
        <w:rPr>
          <w:spacing w:val="17"/>
        </w:rPr>
        <w:t>、政府统一领导和指挥市专项应急管理指挥</w:t>
      </w:r>
      <w:r>
        <w:rPr>
          <w:spacing w:val="7"/>
        </w:rPr>
        <w:t>部和有关县（区）、部门（单位）开展应急处</w:t>
      </w:r>
      <w:r>
        <w:rPr>
          <w:spacing w:val="5"/>
        </w:rPr>
        <w:t>置工作。</w:t>
      </w:r>
    </w:p>
    <w:p>
      <w:pPr>
        <w:pStyle w:val="BodyText"/>
        <w:ind w:left="24" w:right="220" w:firstLine="421"/>
        <w:spacing w:before="4" w:line="359" w:lineRule="auto"/>
        <w:jc w:val="both"/>
        <w:rPr/>
      </w:pPr>
      <w:r>
        <w:rPr>
          <w:rFonts w:ascii="Times New Roman" w:hAnsi="Times New Roman" w:eastAsia="Times New Roman" w:cs="Times New Roman"/>
          <w:spacing w:val="8"/>
        </w:rPr>
        <w:t>2.2  </w:t>
      </w:r>
      <w:r>
        <w:rPr>
          <w:rFonts w:ascii="KaiTi" w:hAnsi="KaiTi" w:eastAsia="KaiTi" w:cs="KaiTi"/>
          <w:spacing w:val="8"/>
        </w:rPr>
        <w:t>事故现场工作（督导）组职责。</w:t>
      </w:r>
      <w:r>
        <w:rPr>
          <w:spacing w:val="8"/>
        </w:rPr>
        <w:t>按自</w:t>
      </w:r>
      <w:r>
        <w:rPr/>
        <w:t>然灾害救助等级和分级响应原则，由市县（</w:t>
      </w:r>
      <w:r>
        <w:rPr>
          <w:spacing w:val="-44"/>
        </w:rPr>
        <w:t xml:space="preserve"> </w:t>
      </w:r>
      <w:r>
        <w:rPr/>
        <w:t>区）</w:t>
      </w:r>
      <w:r>
        <w:rPr>
          <w:spacing w:val="7"/>
        </w:rPr>
        <w:t>政府组成现场应急救援指挥部，指挥长由市政</w:t>
      </w:r>
      <w:r>
        <w:rPr>
          <w:spacing w:val="7"/>
        </w:rPr>
        <w:t>府分管副市长担任，副指挥长由市政府分管相</w:t>
      </w:r>
      <w:r>
        <w:rPr>
          <w:spacing w:val="4"/>
        </w:rPr>
        <w:t>关工作的副市长、事发地县（</w:t>
      </w:r>
      <w:r>
        <w:rPr>
          <w:spacing w:val="-34"/>
        </w:rPr>
        <w:t xml:space="preserve"> </w:t>
      </w:r>
      <w:r>
        <w:rPr>
          <w:spacing w:val="4"/>
        </w:rPr>
        <w:t>区）政府主要负</w:t>
      </w:r>
      <w:r>
        <w:rPr>
          <w:spacing w:val="7"/>
        </w:rPr>
        <w:t>责人担任，全面负责应急指挥工作。按照有关</w:t>
      </w:r>
      <w:r>
        <w:rPr>
          <w:spacing w:val="7"/>
        </w:rPr>
        <w:t>规定，由熟悉事故现场情况的有关领导具体负</w:t>
      </w:r>
      <w:r>
        <w:rPr>
          <w:spacing w:val="7"/>
        </w:rPr>
        <w:t>责现场救援指挥。现场应急救援指挥部负责指</w:t>
      </w:r>
      <w:r>
        <w:rPr>
          <w:spacing w:val="18"/>
        </w:rPr>
        <w:t>挥所有参与应急救援的队伍和人员实施应急</w:t>
      </w:r>
      <w:r>
        <w:rPr>
          <w:spacing w:val="7"/>
        </w:rPr>
        <w:t>救援，并及时向市应急管理指挥部报告事故及</w:t>
      </w:r>
      <w:r>
        <w:rPr>
          <w:spacing w:val="7"/>
        </w:rPr>
        <w:t>救援情况，需要外部力量增援的，报请市应急</w:t>
      </w:r>
      <w:r>
        <w:rPr>
          <w:spacing w:val="7"/>
        </w:rPr>
        <w:t>管理指挥部协调，并说明需要的救援力量、救</w:t>
      </w:r>
      <w:r>
        <w:rPr>
          <w:spacing w:val="7"/>
        </w:rPr>
        <w:t>援装备等情况。</w:t>
      </w:r>
    </w:p>
    <w:p>
      <w:pPr>
        <w:spacing w:line="14" w:lineRule="auto"/>
        <w:rPr>
          <w:rFonts w:ascii="Arial"/>
          <w:sz w:val="2"/>
        </w:rPr>
      </w:pPr>
      <w:r>
        <w:rPr>
          <w:rFonts w:ascii="Arial" w:hAnsi="Arial" w:eastAsia="Arial" w:cs="Arial"/>
          <w:sz w:val="2"/>
          <w:szCs w:val="2"/>
        </w:rPr>
        <w:br w:type="column"/>
      </w:r>
    </w:p>
    <w:p>
      <w:pPr>
        <w:pStyle w:val="BodyText"/>
        <w:ind w:right="81" w:firstLine="436"/>
        <w:spacing w:before="44" w:line="372" w:lineRule="auto"/>
        <w:jc w:val="both"/>
        <w:rPr/>
      </w:pPr>
      <w:r>
        <w:rPr>
          <w:spacing w:val="6"/>
        </w:rPr>
        <w:t>当自然灾害救助涉及多个领域、跨多个地</w:t>
      </w:r>
      <w:r>
        <w:rPr>
          <w:spacing w:val="7"/>
        </w:rPr>
        <w:t>区或影响特别重大时，由市应急管理指挥部成</w:t>
      </w:r>
      <w:r>
        <w:rPr>
          <w:spacing w:val="8"/>
        </w:rPr>
        <w:t>立现场工作组，负责应急救援协调指挥工作。</w:t>
      </w:r>
      <w:r>
        <w:rPr>
          <w:spacing w:val="7"/>
        </w:rPr>
        <w:t>现场工作组是按照市应急管理指挥部要求，成</w:t>
      </w:r>
      <w:r>
        <w:rPr>
          <w:spacing w:val="7"/>
        </w:rPr>
        <w:t>立并派往事发现场的临时工作机构。组长由市</w:t>
      </w:r>
      <w:r>
        <w:rPr>
          <w:spacing w:val="7"/>
        </w:rPr>
        <w:t>政府分管应急管理工作的副市长担任，由市应</w:t>
      </w:r>
      <w:r>
        <w:rPr>
          <w:spacing w:val="18"/>
        </w:rPr>
        <w:t>急管理指挥部应急处置工作组主要成员单位</w:t>
      </w:r>
      <w:r>
        <w:rPr>
          <w:spacing w:val="6"/>
        </w:rPr>
        <w:t>人员组成。</w:t>
      </w:r>
    </w:p>
    <w:p>
      <w:pPr>
        <w:pStyle w:val="BodyText"/>
        <w:ind w:left="428"/>
        <w:spacing w:line="279" w:lineRule="exact"/>
        <w:rPr/>
      </w:pPr>
      <w:r>
        <w:rPr>
          <w:spacing w:val="5"/>
          <w:position w:val="1"/>
        </w:rPr>
        <w:t>主要职责：</w:t>
      </w:r>
    </w:p>
    <w:p>
      <w:pPr>
        <w:pStyle w:val="BodyText"/>
        <w:ind w:left="4" w:right="103" w:firstLine="407"/>
        <w:spacing w:before="123" w:line="299" w:lineRule="auto"/>
        <w:rPr/>
      </w:pPr>
      <w:r>
        <w:rPr>
          <w:spacing w:val="5"/>
        </w:rPr>
        <w:t>（</w:t>
      </w:r>
      <w:r>
        <w:rPr>
          <w:spacing w:val="-44"/>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）指导自然灾害发生地县（</w:t>
      </w:r>
      <w:r>
        <w:rPr>
          <w:spacing w:val="-48"/>
        </w:rPr>
        <w:t xml:space="preserve"> </w:t>
      </w:r>
      <w:r>
        <w:rPr>
          <w:spacing w:val="5"/>
        </w:rPr>
        <w:t>区）政府</w:t>
      </w:r>
      <w:r>
        <w:rPr>
          <w:spacing w:val="7"/>
        </w:rPr>
        <w:t>开展救援行动。</w:t>
      </w:r>
    </w:p>
    <w:p>
      <w:pPr>
        <w:pStyle w:val="BodyText"/>
        <w:ind w:right="101" w:firstLine="412"/>
        <w:spacing w:before="163" w:line="323" w:lineRule="auto"/>
        <w:rPr/>
      </w:pPr>
      <w:r>
        <w:rPr>
          <w:spacing w:val="6"/>
        </w:rPr>
        <w:t>（</w:t>
      </w:r>
      <w:r>
        <w:rPr>
          <w:rFonts w:ascii="Times New Roman" w:hAnsi="Times New Roman" w:eastAsia="Times New Roman" w:cs="Times New Roman"/>
          <w:spacing w:val="6"/>
        </w:rPr>
        <w:t>2 </w:t>
      </w:r>
      <w:r>
        <w:rPr>
          <w:spacing w:val="6"/>
        </w:rPr>
        <w:t>）当自然灾害发生地县（</w:t>
      </w:r>
      <w:r>
        <w:rPr>
          <w:spacing w:val="-34"/>
        </w:rPr>
        <w:t xml:space="preserve"> </w:t>
      </w:r>
      <w:r>
        <w:rPr>
          <w:spacing w:val="6"/>
        </w:rPr>
        <w:t>区）应急救</w:t>
      </w:r>
      <w:r>
        <w:rPr>
          <w:spacing w:val="7"/>
        </w:rPr>
        <w:t>援力量不足时，调派市级救援队伍、人员和专</w:t>
      </w:r>
      <w:r>
        <w:rPr>
          <w:spacing w:val="8"/>
        </w:rPr>
        <w:t>家赴现场进行救援工作。</w:t>
      </w:r>
    </w:p>
    <w:p>
      <w:pPr>
        <w:pStyle w:val="BodyText"/>
        <w:ind w:right="101" w:firstLine="411"/>
        <w:spacing w:before="159" w:line="336"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）协调其他有关部门、救援机构和专</w:t>
      </w:r>
      <w:r>
        <w:rPr>
          <w:spacing w:val="7"/>
        </w:rPr>
        <w:t>家，做好应急救援准备工作。根据事故类别和</w:t>
      </w:r>
      <w:r>
        <w:rPr>
          <w:spacing w:val="7"/>
        </w:rPr>
        <w:t>救援情况，调集抢险救援物资，必要时，协调</w:t>
      </w:r>
      <w:r>
        <w:rPr>
          <w:spacing w:val="9"/>
        </w:rPr>
        <w:t>固原军分区和武警固原支队给予支持。</w:t>
      </w:r>
    </w:p>
    <w:p>
      <w:pPr>
        <w:pStyle w:val="BodyText"/>
        <w:ind w:left="1" w:right="25" w:firstLine="419"/>
        <w:spacing w:before="160" w:line="372" w:lineRule="auto"/>
        <w:jc w:val="both"/>
        <w:rPr/>
      </w:pPr>
      <w:r>
        <w:rPr>
          <w:rFonts w:ascii="Times New Roman" w:hAnsi="Times New Roman" w:eastAsia="Times New Roman" w:cs="Times New Roman"/>
          <w:spacing w:val="8"/>
        </w:rPr>
        <w:t>2.3  </w:t>
      </w:r>
      <w:r>
        <w:rPr>
          <w:rFonts w:ascii="KaiTi" w:hAnsi="KaiTi" w:eastAsia="KaiTi" w:cs="KaiTi"/>
          <w:spacing w:val="8"/>
        </w:rPr>
        <w:t>应急救援办公室。</w:t>
      </w:r>
      <w:r>
        <w:rPr>
          <w:spacing w:val="8"/>
        </w:rPr>
        <w:t>市应急管理指挥部</w:t>
      </w:r>
      <w:r>
        <w:rPr>
          <w:spacing w:val="7"/>
        </w:rPr>
        <w:t>办公室设在市应管理局，市应急管理局局长兼</w:t>
      </w:r>
      <w:r>
        <w:rPr/>
        <w:t>任办公室主任，常设值班电话为</w:t>
      </w:r>
      <w:r>
        <w:rPr>
          <w:spacing w:val="-45"/>
        </w:rPr>
        <w:t xml:space="preserve"> </w:t>
      </w:r>
      <w:r>
        <w:rPr>
          <w:rFonts w:ascii="Times New Roman" w:hAnsi="Times New Roman" w:eastAsia="Times New Roman" w:cs="Times New Roman"/>
        </w:rPr>
        <w:t>0954-208815</w:t>
      </w:r>
      <w:r>
        <w:rPr>
          <w:rFonts w:ascii="Times New Roman" w:hAnsi="Times New Roman" w:eastAsia="Times New Roman" w:cs="Times New Roman"/>
          <w:spacing w:val="-1"/>
        </w:rPr>
        <w:t>4</w:t>
      </w:r>
      <w:r>
        <w:rPr>
          <w:spacing w:val="-1"/>
        </w:rPr>
        <w:t>。</w:t>
      </w:r>
    </w:p>
    <w:p>
      <w:pPr>
        <w:pStyle w:val="BodyText"/>
        <w:ind w:right="78" w:firstLine="428"/>
        <w:spacing w:before="4" w:line="373" w:lineRule="auto"/>
        <w:jc w:val="both"/>
        <w:rPr/>
      </w:pPr>
      <w:r>
        <w:rPr>
          <w:spacing w:val="6"/>
        </w:rPr>
        <w:t>主要职责：履行应急值班值守、信息汇总</w:t>
      </w:r>
      <w:r>
        <w:rPr>
          <w:spacing w:val="7"/>
        </w:rPr>
        <w:t>和综合协调；协调组织成员单位排查、治理和</w:t>
      </w:r>
      <w:r>
        <w:rPr>
          <w:spacing w:val="8"/>
        </w:rPr>
        <w:t>监控自然灾害隐患；督促落实自然灾害预防、</w:t>
      </w:r>
      <w:r>
        <w:rPr>
          <w:spacing w:val="7"/>
        </w:rPr>
        <w:t>预警措施；组织编制、修订市自然灾害救助应</w:t>
      </w:r>
      <w:r>
        <w:rPr>
          <w:spacing w:val="7"/>
        </w:rPr>
        <w:t>急预案，指导应急预案体系建设；协调特别重</w:t>
      </w:r>
      <w:r>
        <w:rPr>
          <w:spacing w:val="7"/>
        </w:rPr>
        <w:t>大、重大、较大自然灾害救助的预防预警、应</w:t>
      </w:r>
      <w:r>
        <w:rPr>
          <w:spacing w:val="7"/>
        </w:rPr>
        <w:t>急演练、应急处置、调查评估、信息发布、应</w:t>
      </w:r>
      <w:r>
        <w:rPr>
          <w:spacing w:val="8"/>
        </w:rPr>
        <w:t>急保障和宣传培训等工作。</w:t>
      </w:r>
    </w:p>
    <w:p>
      <w:pPr>
        <w:pStyle w:val="BodyText"/>
        <w:ind w:left="2" w:right="94" w:firstLine="418"/>
        <w:spacing w:line="314" w:lineRule="auto"/>
        <w:jc w:val="both"/>
        <w:rPr/>
      </w:pPr>
      <w:r>
        <w:rPr>
          <w:rFonts w:ascii="Times New Roman" w:hAnsi="Times New Roman" w:eastAsia="Times New Roman" w:cs="Times New Roman"/>
          <w:spacing w:val="8"/>
        </w:rPr>
        <w:t>2.4  </w:t>
      </w:r>
      <w:r>
        <w:rPr>
          <w:rFonts w:ascii="KaiTi" w:hAnsi="KaiTi" w:eastAsia="KaiTi" w:cs="KaiTi"/>
          <w:spacing w:val="8"/>
        </w:rPr>
        <w:t>应急处置工作组。</w:t>
      </w:r>
      <w:r>
        <w:rPr>
          <w:spacing w:val="8"/>
        </w:rPr>
        <w:t>当固原市行政区域</w:t>
      </w:r>
      <w:r>
        <w:rPr>
          <w:spacing w:val="7"/>
        </w:rPr>
        <w:t>内发生自然灾害，启动应急响应时，市应急管</w:t>
      </w:r>
      <w:r>
        <w:rPr>
          <w:spacing w:val="7"/>
        </w:rPr>
        <w:t>理指挥部按照职责分工和协同联动工作需要，</w:t>
      </w:r>
    </w:p>
    <w:p>
      <w:pPr>
        <w:spacing w:line="314" w:lineRule="auto"/>
        <w:sectPr>
          <w:type w:val="continuous"/>
          <w:pgSz w:w="11906" w:h="16839"/>
          <w:pgMar w:top="1772" w:right="1489" w:bottom="1584" w:left="1567" w:header="1428" w:footer="1172" w:gutter="0"/>
          <w:cols w:equalWidth="0" w:num="2">
            <w:col w:w="4502" w:space="100"/>
            <w:col w:w="4248" w:space="0"/>
          </w:cols>
        </w:sectPr>
        <w:rPr/>
      </w:pPr>
    </w:p>
    <w:p>
      <w:pPr>
        <w:spacing w:before="72"/>
        <w:rPr/>
      </w:pPr>
      <w:r>
        <w:drawing>
          <wp:anchor distT="0" distB="0" distL="0" distR="0" simplePos="0" relativeHeight="252675072"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626" name="IM 1626"/>
            <wp:cNvGraphicFramePr/>
            <a:graphic>
              <a:graphicData uri="http://schemas.openxmlformats.org/drawingml/2006/picture">
                <pic:pic>
                  <pic:nvPicPr>
                    <pic:cNvPr id="1626" name="IM 1626"/>
                    <pic:cNvPicPr/>
                  </pic:nvPicPr>
                  <pic:blipFill>
                    <a:blip r:embed="rId815"/>
                    <a:stretch>
                      <a:fillRect/>
                    </a:stretch>
                  </pic:blipFill>
                  <pic:spPr>
                    <a:xfrm rot="0">
                      <a:off x="0" y="0"/>
                      <a:ext cx="5579745" cy="7620"/>
                    </a:xfrm>
                    <a:prstGeom prst="rect">
                      <a:avLst/>
                    </a:prstGeom>
                  </pic:spPr>
                </pic:pic>
              </a:graphicData>
            </a:graphic>
          </wp:anchor>
        </w:drawing>
      </w:r>
      <w:r/>
    </w:p>
    <w:p>
      <w:pPr>
        <w:sectPr>
          <w:headerReference w:type="default" r:id="rId813"/>
          <w:footerReference w:type="default" r:id="rId814"/>
          <w:pgSz w:w="11906" w:h="16839"/>
          <w:pgMar w:top="1766" w:right="1517" w:bottom="1575" w:left="1579" w:header="1428" w:footer="1172" w:gutter="0"/>
          <w:cols w:equalWidth="0" w:num="1">
            <w:col w:w="8809" w:space="0"/>
          </w:cols>
        </w:sectPr>
        <w:rPr/>
      </w:pPr>
    </w:p>
    <w:p>
      <w:pPr>
        <w:pStyle w:val="BodyText"/>
        <w:ind w:left="13" w:right="308"/>
        <w:spacing w:before="53" w:line="374" w:lineRule="auto"/>
        <w:jc w:val="both"/>
        <w:rPr/>
      </w:pPr>
      <w:r>
        <w:rPr>
          <w:spacing w:val="7"/>
        </w:rPr>
        <w:t>成立专业工作组，分组开展自然灾害救助应急</w:t>
      </w:r>
      <w:r>
        <w:rPr>
          <w:spacing w:val="7"/>
        </w:rPr>
        <w:t>处置工作。各工作组成员单位可根据工作实际</w:t>
      </w:r>
      <w:r>
        <w:rPr>
          <w:spacing w:val="8"/>
        </w:rPr>
        <w:t>进行调整增补，按照组长单位要求做好工作。</w:t>
      </w:r>
    </w:p>
    <w:p>
      <w:pPr>
        <w:pStyle w:val="BodyText"/>
        <w:ind w:left="14" w:right="328" w:firstLine="418"/>
        <w:spacing w:before="1" w:line="374" w:lineRule="auto"/>
        <w:rPr/>
      </w:pPr>
      <w:r>
        <w:rPr>
          <w:spacing w:val="9"/>
        </w:rPr>
        <w:t>应急响应期间</w:t>
      </w:r>
      <w:r>
        <w:rPr>
          <w:spacing w:val="-56"/>
        </w:rPr>
        <w:t xml:space="preserve"> </w:t>
      </w:r>
      <w:r>
        <w:rPr>
          <w:spacing w:val="9"/>
        </w:rPr>
        <w:t>，各工作组实行</w:t>
      </w:r>
      <w:r>
        <w:rPr>
          <w:spacing w:val="-40"/>
        </w:rPr>
        <w:t xml:space="preserve"> </w:t>
      </w:r>
      <w:r>
        <w:rPr>
          <w:rFonts w:ascii="Times New Roman" w:hAnsi="Times New Roman" w:eastAsia="Times New Roman" w:cs="Times New Roman"/>
          <w:spacing w:val="9"/>
        </w:rPr>
        <w:t>24 </w:t>
      </w:r>
      <w:r>
        <w:rPr>
          <w:spacing w:val="9"/>
        </w:rPr>
        <w:t>小时值</w:t>
      </w:r>
      <w:r>
        <w:rPr>
          <w:spacing w:val="6"/>
        </w:rPr>
        <w:t>班值守。</w:t>
      </w:r>
    </w:p>
    <w:p>
      <w:pPr>
        <w:pStyle w:val="BodyText"/>
        <w:ind w:left="433"/>
        <w:spacing w:line="219" w:lineRule="auto"/>
        <w:rPr/>
      </w:pPr>
      <w:r>
        <w:rPr>
          <w:rFonts w:ascii="Times New Roman" w:hAnsi="Times New Roman" w:eastAsia="Times New Roman" w:cs="Times New Roman"/>
          <w:spacing w:val="5"/>
        </w:rPr>
        <w:t>2.4.1 </w:t>
      </w:r>
      <w:r>
        <w:rPr>
          <w:spacing w:val="5"/>
        </w:rPr>
        <w:t>抢险救援组。</w:t>
      </w:r>
    </w:p>
    <w:p>
      <w:pPr>
        <w:pStyle w:val="BodyText"/>
        <w:ind w:left="10" w:right="328" w:firstLine="423"/>
        <w:spacing w:before="166" w:line="369" w:lineRule="auto"/>
        <w:rPr/>
      </w:pPr>
      <w:r>
        <w:rPr>
          <w:spacing w:val="4"/>
        </w:rPr>
        <w:t>组长单位：事发地县（</w:t>
      </w:r>
      <w:r>
        <w:rPr>
          <w:spacing w:val="-48"/>
        </w:rPr>
        <w:t xml:space="preserve"> </w:t>
      </w:r>
      <w:r>
        <w:rPr>
          <w:spacing w:val="4"/>
        </w:rPr>
        <w:t>区）政府，市自然</w:t>
      </w:r>
      <w:r>
        <w:rPr>
          <w:spacing w:val="7"/>
        </w:rPr>
        <w:t>资源局、水务局、文化旅游广播电视局、农业</w:t>
      </w:r>
      <w:r>
        <w:rPr>
          <w:spacing w:val="8"/>
        </w:rPr>
        <w:t>农村局、地震局。</w:t>
      </w:r>
    </w:p>
    <w:p>
      <w:pPr>
        <w:pStyle w:val="BodyText"/>
        <w:ind w:left="11" w:right="248" w:firstLine="421"/>
        <w:spacing w:before="14" w:line="375" w:lineRule="auto"/>
        <w:jc w:val="both"/>
        <w:rPr/>
      </w:pPr>
      <w:r>
        <w:rPr/>
        <w:t>成员单位：市发展和改革委、教育体育局、</w:t>
      </w:r>
      <w:r>
        <w:rPr>
          <w:spacing w:val="7"/>
        </w:rPr>
        <w:t>科学技术局、工业和信息化局、公安局、民政</w:t>
      </w:r>
      <w:r>
        <w:rPr>
          <w:spacing w:val="7"/>
        </w:rPr>
        <w:t>局、财政局、自然资源局、生态环境局、住房</w:t>
      </w:r>
      <w:r>
        <w:rPr>
          <w:spacing w:val="7"/>
        </w:rPr>
        <w:t>和城乡建设局、交通运输局、水务局、农业农</w:t>
      </w:r>
      <w:r>
        <w:rPr>
          <w:spacing w:val="7"/>
        </w:rPr>
        <w:t>村局、商务投资局、文化旅游广电局、卫生健</w:t>
      </w:r>
      <w:r>
        <w:rPr>
          <w:spacing w:val="7"/>
        </w:rPr>
        <w:t>康委、应急管理局、市场监管局、国资委（金</w:t>
      </w:r>
      <w:r>
        <w:rPr>
          <w:spacing w:val="10"/>
        </w:rPr>
        <w:t>融局）、统计局、城市管理局、粮食储备局、</w:t>
      </w:r>
      <w:r>
        <w:rPr>
          <w:spacing w:val="7"/>
        </w:rPr>
        <w:t>人防办、开发区管委会、六盘山林业局、地震</w:t>
      </w:r>
      <w:r>
        <w:rPr>
          <w:spacing w:val="10"/>
        </w:rPr>
        <w:t>局、气象局、宁夏公路管理中心固原分中心、</w:t>
      </w:r>
      <w:r>
        <w:rPr>
          <w:spacing w:val="8"/>
        </w:rPr>
        <w:t>市消防救援支队，各县（</w:t>
      </w:r>
      <w:r>
        <w:rPr>
          <w:spacing w:val="-38"/>
        </w:rPr>
        <w:t xml:space="preserve"> </w:t>
      </w:r>
      <w:r>
        <w:rPr>
          <w:spacing w:val="8"/>
        </w:rPr>
        <w:t>区）政府负责同志，</w:t>
      </w:r>
      <w:r>
        <w:rPr>
          <w:spacing w:val="18"/>
        </w:rPr>
        <w:t>市应急管理指挥部根据工作需要确定的非政</w:t>
      </w:r>
      <w:r>
        <w:rPr>
          <w:spacing w:val="7"/>
        </w:rPr>
        <w:t>府职能部门（单位）。</w:t>
      </w:r>
    </w:p>
    <w:p>
      <w:pPr>
        <w:pStyle w:val="BodyText"/>
        <w:ind w:left="14" w:right="319" w:firstLine="426"/>
        <w:spacing w:line="373" w:lineRule="auto"/>
        <w:jc w:val="both"/>
        <w:rPr/>
      </w:pPr>
      <w:r>
        <w:rPr>
          <w:spacing w:val="6"/>
        </w:rPr>
        <w:t>主要职责：制订实施抢险救灾力量配置方</w:t>
      </w:r>
      <w:r>
        <w:rPr>
          <w:spacing w:val="7"/>
        </w:rPr>
        <w:t>案，调配救援队伍和装备，搜救被困群众和受</w:t>
      </w:r>
      <w:r>
        <w:rPr>
          <w:spacing w:val="7"/>
        </w:rPr>
        <w:t>伤人员；组织救援人员和物资进行空运空投；</w:t>
      </w:r>
      <w:r>
        <w:rPr>
          <w:spacing w:val="7"/>
        </w:rPr>
        <w:t>清理灾区现场。</w:t>
      </w:r>
    </w:p>
    <w:p>
      <w:pPr>
        <w:pStyle w:val="BodyText"/>
        <w:ind w:left="433"/>
        <w:spacing w:before="13" w:line="220" w:lineRule="auto"/>
        <w:rPr/>
      </w:pPr>
      <w:r>
        <w:rPr>
          <w:rFonts w:ascii="Times New Roman" w:hAnsi="Times New Roman" w:eastAsia="Times New Roman" w:cs="Times New Roman"/>
          <w:spacing w:val="6"/>
        </w:rPr>
        <w:t>2.4.2</w:t>
      </w:r>
      <w:r>
        <w:rPr>
          <w:rFonts w:ascii="Times New Roman" w:hAnsi="Times New Roman" w:eastAsia="Times New Roman" w:cs="Times New Roman"/>
          <w:spacing w:val="24"/>
          <w:w w:val="101"/>
        </w:rPr>
        <w:t xml:space="preserve"> </w:t>
      </w:r>
      <w:r>
        <w:rPr>
          <w:spacing w:val="6"/>
        </w:rPr>
        <w:t>医疗救治和卫生防疫工作组。</w:t>
      </w:r>
    </w:p>
    <w:p>
      <w:pPr>
        <w:pStyle w:val="BodyText"/>
        <w:ind w:left="433"/>
        <w:spacing w:before="163" w:line="277" w:lineRule="exact"/>
        <w:rPr/>
      </w:pPr>
      <w:r>
        <w:rPr>
          <w:spacing w:val="9"/>
          <w:position w:val="1"/>
        </w:rPr>
        <w:t>组长单位：市卫生健康委员会</w:t>
      </w:r>
    </w:p>
    <w:p>
      <w:pPr>
        <w:pStyle w:val="BodyText"/>
        <w:ind w:left="14" w:right="328" w:firstLine="419"/>
        <w:spacing w:before="129" w:line="359" w:lineRule="auto"/>
        <w:jc w:val="both"/>
        <w:rPr/>
      </w:pPr>
      <w:r>
        <w:rPr>
          <w:spacing w:val="6"/>
        </w:rPr>
        <w:t>成员单位：市人民医院、中医院、事故发</w:t>
      </w:r>
      <w:r>
        <w:rPr>
          <w:spacing w:val="4"/>
        </w:rPr>
        <w:t>生地县（</w:t>
      </w:r>
      <w:r>
        <w:rPr>
          <w:spacing w:val="-37"/>
        </w:rPr>
        <w:t xml:space="preserve"> </w:t>
      </w:r>
      <w:r>
        <w:rPr>
          <w:spacing w:val="4"/>
        </w:rPr>
        <w:t>区）医疗卫生机构，市场监管局、交</w:t>
      </w:r>
      <w:r>
        <w:rPr>
          <w:spacing w:val="8"/>
        </w:rPr>
        <w:t>通运输局、生态环境局、农业农村局。</w:t>
      </w:r>
    </w:p>
    <w:p>
      <w:pPr>
        <w:pStyle w:val="BodyText"/>
        <w:ind w:left="26" w:right="328" w:firstLine="415"/>
        <w:spacing w:before="52" w:line="298" w:lineRule="auto"/>
        <w:rPr/>
      </w:pPr>
      <w:r>
        <w:rPr>
          <w:spacing w:val="6"/>
        </w:rPr>
        <w:t>主要职责：组派医疗卫生救援队伍，调集</w:t>
      </w:r>
      <w:r>
        <w:rPr>
          <w:spacing w:val="6"/>
        </w:rPr>
        <w:t>医疗器械、药品等物资，对受伤人员进行救治</w:t>
      </w:r>
    </w:p>
    <w:p>
      <w:pPr>
        <w:spacing w:line="14" w:lineRule="auto"/>
        <w:rPr>
          <w:rFonts w:ascii="Arial"/>
          <w:sz w:val="2"/>
        </w:rPr>
      </w:pPr>
      <w:r>
        <w:rPr>
          <w:rFonts w:ascii="Arial" w:hAnsi="Arial" w:eastAsia="Arial" w:cs="Arial"/>
          <w:sz w:val="2"/>
          <w:szCs w:val="2"/>
        </w:rPr>
        <w:br w:type="column"/>
      </w:r>
    </w:p>
    <w:p>
      <w:pPr>
        <w:pStyle w:val="BodyText"/>
        <w:ind w:left="5" w:right="43" w:firstLine="4"/>
        <w:spacing w:before="45" w:line="371" w:lineRule="auto"/>
        <w:jc w:val="both"/>
        <w:rPr/>
      </w:pPr>
      <w:r>
        <w:rPr>
          <w:spacing w:val="6"/>
        </w:rPr>
        <w:t>和转移；检查、监测灾区饮用水源和食品、药</w:t>
      </w:r>
      <w:r>
        <w:rPr>
          <w:spacing w:val="7"/>
        </w:rPr>
        <w:t>品安全，防范和控制各种传染病等疫病的暴发</w:t>
      </w:r>
      <w:r>
        <w:rPr>
          <w:spacing w:val="7"/>
        </w:rPr>
        <w:t>流行；做好伤员、灾区群众和救援人员的医疗</w:t>
      </w:r>
      <w:r>
        <w:rPr>
          <w:spacing w:val="7"/>
        </w:rPr>
        <w:t>服务与心理援助；联合有关部门做好生物疫情</w:t>
      </w:r>
      <w:r>
        <w:rPr>
          <w:spacing w:val="-2"/>
        </w:rPr>
        <w:t>防疫、死亡动物无害化处理和消毒灭源等工作。</w:t>
      </w:r>
    </w:p>
    <w:p>
      <w:pPr>
        <w:pStyle w:val="BodyText"/>
        <w:ind w:left="422"/>
        <w:spacing w:before="22" w:line="222" w:lineRule="auto"/>
        <w:rPr/>
      </w:pPr>
      <w:r>
        <w:rPr>
          <w:rFonts w:ascii="Times New Roman" w:hAnsi="Times New Roman" w:eastAsia="Times New Roman" w:cs="Times New Roman"/>
          <w:spacing w:val="5"/>
        </w:rPr>
        <w:t>2.4.3 </w:t>
      </w:r>
      <w:r>
        <w:rPr>
          <w:spacing w:val="5"/>
        </w:rPr>
        <w:t>资金保障组。</w:t>
      </w:r>
    </w:p>
    <w:p>
      <w:pPr>
        <w:pStyle w:val="BodyText"/>
        <w:ind w:left="422"/>
        <w:spacing w:before="164" w:line="277" w:lineRule="exact"/>
        <w:rPr/>
      </w:pPr>
      <w:r>
        <w:rPr>
          <w:spacing w:val="2"/>
          <w:position w:val="1"/>
        </w:rPr>
        <w:t>组长单位：</w:t>
      </w:r>
      <w:r>
        <w:rPr>
          <w:spacing w:val="-60"/>
          <w:position w:val="1"/>
        </w:rPr>
        <w:t xml:space="preserve"> </w:t>
      </w:r>
      <w:r>
        <w:rPr>
          <w:spacing w:val="2"/>
          <w:position w:val="1"/>
        </w:rPr>
        <w:t>自然灾害发生地县（</w:t>
      </w:r>
      <w:r>
        <w:rPr>
          <w:spacing w:val="-52"/>
          <w:position w:val="1"/>
        </w:rPr>
        <w:t xml:space="preserve"> </w:t>
      </w:r>
      <w:r>
        <w:rPr>
          <w:spacing w:val="2"/>
          <w:position w:val="1"/>
        </w:rPr>
        <w:t>区）政府</w:t>
      </w:r>
    </w:p>
    <w:p>
      <w:pPr>
        <w:pStyle w:val="BodyText"/>
        <w:ind w:right="72" w:firstLine="422"/>
        <w:spacing w:before="128" w:line="373" w:lineRule="auto"/>
        <w:jc w:val="both"/>
        <w:rPr/>
      </w:pPr>
      <w:r>
        <w:rPr>
          <w:spacing w:val="4"/>
        </w:rPr>
        <w:t>成员单位：市县（</w:t>
      </w:r>
      <w:r>
        <w:rPr>
          <w:spacing w:val="-48"/>
        </w:rPr>
        <w:t xml:space="preserve"> </w:t>
      </w:r>
      <w:r>
        <w:rPr>
          <w:spacing w:val="4"/>
        </w:rPr>
        <w:t>区）财政局、发展和改</w:t>
      </w:r>
      <w:r>
        <w:rPr>
          <w:spacing w:val="7"/>
        </w:rPr>
        <w:t>革委员会、工业和信息化局、教育体育局、住</w:t>
      </w:r>
      <w:r>
        <w:rPr>
          <w:spacing w:val="7"/>
        </w:rPr>
        <w:t>房和城乡建设局、商务投资局、水务局、粮食</w:t>
      </w:r>
      <w:r>
        <w:rPr>
          <w:spacing w:val="6"/>
        </w:rPr>
        <w:t>储备局。</w:t>
      </w:r>
    </w:p>
    <w:p>
      <w:pPr>
        <w:pStyle w:val="BodyText"/>
        <w:ind w:left="1" w:right="52" w:firstLine="428"/>
        <w:spacing w:before="7" w:line="372" w:lineRule="auto"/>
        <w:jc w:val="both"/>
        <w:rPr/>
      </w:pPr>
      <w:r>
        <w:rPr>
          <w:spacing w:val="6"/>
        </w:rPr>
        <w:t>主要职责：制订并实施受灾群众救助工作</w:t>
      </w:r>
      <w:r>
        <w:rPr>
          <w:spacing w:val="15"/>
        </w:rPr>
        <w:t>方案以及相应的资金物资保障措施</w:t>
      </w:r>
      <w:r>
        <w:rPr>
          <w:spacing w:val="-40"/>
        </w:rPr>
        <w:t xml:space="preserve"> </w:t>
      </w:r>
      <w:r>
        <w:rPr>
          <w:spacing w:val="15"/>
        </w:rPr>
        <w:t>；组织调</w:t>
      </w:r>
      <w:r>
        <w:rPr>
          <w:spacing w:val="8"/>
        </w:rPr>
        <w:t>集、转运帐篷和灾区生活必需品等救灾物资；</w:t>
      </w:r>
      <w:r>
        <w:rPr>
          <w:spacing w:val="18"/>
        </w:rPr>
        <w:t>指导有关地区做好受灾群众的紧急转移和安</w:t>
      </w:r>
      <w:r>
        <w:rPr>
          <w:spacing w:val="8"/>
        </w:rPr>
        <w:t>置工作，保障灾区群众基本生活和市场供应。</w:t>
      </w:r>
    </w:p>
    <w:p>
      <w:pPr>
        <w:pStyle w:val="BodyText"/>
        <w:ind w:left="422"/>
        <w:spacing w:before="18" w:line="222" w:lineRule="auto"/>
        <w:rPr/>
      </w:pPr>
      <w:r>
        <w:rPr>
          <w:rFonts w:ascii="Times New Roman" w:hAnsi="Times New Roman" w:eastAsia="Times New Roman" w:cs="Times New Roman"/>
          <w:spacing w:val="7"/>
        </w:rPr>
        <w:t>2.4.4 </w:t>
      </w:r>
      <w:r>
        <w:rPr>
          <w:spacing w:val="7"/>
        </w:rPr>
        <w:t>基础设施保障和生产恢复组。</w:t>
      </w:r>
    </w:p>
    <w:p>
      <w:pPr>
        <w:pStyle w:val="BodyText"/>
        <w:ind w:left="422"/>
        <w:spacing w:before="162" w:line="277" w:lineRule="exact"/>
        <w:rPr/>
      </w:pPr>
      <w:r>
        <w:rPr>
          <w:spacing w:val="9"/>
          <w:position w:val="1"/>
        </w:rPr>
        <w:t>组长单位：市发展和改革委员会</w:t>
      </w:r>
    </w:p>
    <w:p>
      <w:pPr>
        <w:pStyle w:val="BodyText"/>
        <w:ind w:left="2" w:right="52" w:firstLine="420"/>
        <w:spacing w:before="133" w:line="374" w:lineRule="auto"/>
        <w:jc w:val="both"/>
        <w:rPr/>
      </w:pPr>
      <w:r>
        <w:rPr>
          <w:spacing w:val="6"/>
        </w:rPr>
        <w:t>成员单位：市住房和城乡建设局、工业和</w:t>
      </w:r>
      <w:r>
        <w:rPr>
          <w:spacing w:val="7"/>
        </w:rPr>
        <w:t>信息化局、交通运输局、宁夏公路管理中心固</w:t>
      </w:r>
      <w:r>
        <w:rPr>
          <w:spacing w:val="7"/>
        </w:rPr>
        <w:t>原分中心、固原车务段，市应急管理指挥部根</w:t>
      </w:r>
      <w:r>
        <w:rPr>
          <w:spacing w:val="8"/>
        </w:rPr>
        <w:t>据工作需要确定的非政府职能部门（单位）。</w:t>
      </w:r>
    </w:p>
    <w:p>
      <w:pPr>
        <w:pStyle w:val="BodyText"/>
        <w:ind w:right="72" w:firstLine="429"/>
        <w:spacing w:before="3" w:line="372" w:lineRule="auto"/>
        <w:jc w:val="both"/>
        <w:rPr/>
      </w:pPr>
      <w:r>
        <w:rPr>
          <w:spacing w:val="6"/>
        </w:rPr>
        <w:t>主要职责：组织抢修维护铁路、公路、桥</w:t>
      </w:r>
      <w:r>
        <w:rPr>
          <w:spacing w:val="7"/>
        </w:rPr>
        <w:t>梁、隧道等交通设施和供电、供水、供气、防</w:t>
      </w:r>
      <w:r>
        <w:rPr>
          <w:spacing w:val="7"/>
        </w:rPr>
        <w:t>洪、通信、广播电视等设施；组织生产、调运</w:t>
      </w:r>
      <w:r>
        <w:rPr>
          <w:spacing w:val="7"/>
        </w:rPr>
        <w:t>抢险救援产品，调运生产物资和装备，保障灾</w:t>
      </w:r>
      <w:r>
        <w:rPr>
          <w:spacing w:val="7"/>
        </w:rPr>
        <w:t>区抢险应急物资供应；协调优先保证应急抢险</w:t>
      </w:r>
      <w:r>
        <w:rPr>
          <w:spacing w:val="9"/>
        </w:rPr>
        <w:t>救援人员和救灾物资的运输需要。</w:t>
      </w:r>
    </w:p>
    <w:p>
      <w:pPr>
        <w:pStyle w:val="BodyText"/>
        <w:ind w:left="422"/>
        <w:spacing w:before="18" w:line="374" w:lineRule="auto"/>
        <w:rPr/>
      </w:pPr>
      <w:r>
        <w:rPr>
          <w:rFonts w:ascii="Times New Roman" w:hAnsi="Times New Roman" w:eastAsia="Times New Roman" w:cs="Times New Roman"/>
          <w:spacing w:val="6"/>
        </w:rPr>
        <w:t>2.4.5 </w:t>
      </w:r>
      <w:r>
        <w:rPr>
          <w:spacing w:val="6"/>
        </w:rPr>
        <w:t>救灾捐赠和涉外与涉港澳台事务组。</w:t>
      </w:r>
      <w:r>
        <w:rPr>
          <w:spacing w:val="9"/>
        </w:rPr>
        <w:t>组长单位：市民政局</w:t>
      </w:r>
    </w:p>
    <w:p>
      <w:pPr>
        <w:pStyle w:val="BodyText"/>
        <w:ind w:left="3" w:right="8" w:firstLine="418"/>
        <w:spacing w:before="2" w:line="297" w:lineRule="auto"/>
        <w:rPr/>
      </w:pPr>
      <w:r>
        <w:rPr>
          <w:spacing w:val="-1"/>
        </w:rPr>
        <w:t>成员单位：市应急管理局、市粮食储备局，</w:t>
      </w:r>
      <w:r>
        <w:rPr>
          <w:spacing w:val="18"/>
        </w:rPr>
        <w:t>市应急管理指挥部根据工作需要确定的非政</w:t>
      </w:r>
    </w:p>
    <w:p>
      <w:pPr>
        <w:spacing w:line="297" w:lineRule="auto"/>
        <w:sectPr>
          <w:type w:val="continuous"/>
          <w:pgSz w:w="11906" w:h="16839"/>
          <w:pgMar w:top="1766" w:right="1517" w:bottom="1575" w:left="1579" w:header="1428" w:footer="1172" w:gutter="0"/>
          <w:cols w:equalWidth="0" w:num="2">
            <w:col w:w="4488" w:space="100"/>
            <w:col w:w="4221" w:space="0"/>
          </w:cols>
        </w:sectPr>
        <w:rPr/>
      </w:pPr>
    </w:p>
    <w:p>
      <w:pPr>
        <w:spacing w:before="67"/>
        <w:rPr/>
      </w:pPr>
      <w:r>
        <w:drawing>
          <wp:anchor distT="0" distB="0" distL="0" distR="0" simplePos="0" relativeHeight="252686336"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632" name="IM 1632"/>
            <wp:cNvGraphicFramePr/>
            <a:graphic>
              <a:graphicData uri="http://schemas.openxmlformats.org/drawingml/2006/picture">
                <pic:pic>
                  <pic:nvPicPr>
                    <pic:cNvPr id="1632" name="IM 1632"/>
                    <pic:cNvPicPr/>
                  </pic:nvPicPr>
                  <pic:blipFill>
                    <a:blip r:embed="rId818"/>
                    <a:stretch>
                      <a:fillRect/>
                    </a:stretch>
                  </pic:blipFill>
                  <pic:spPr>
                    <a:xfrm rot="0">
                      <a:off x="0" y="0"/>
                      <a:ext cx="5579745" cy="7620"/>
                    </a:xfrm>
                    <a:prstGeom prst="rect">
                      <a:avLst/>
                    </a:prstGeom>
                  </pic:spPr>
                </pic:pic>
              </a:graphicData>
            </a:graphic>
          </wp:anchor>
        </w:drawing>
      </w:r>
      <w:r/>
    </w:p>
    <w:p>
      <w:pPr>
        <w:sectPr>
          <w:headerReference w:type="default" r:id="rId816"/>
          <w:footerReference w:type="default" r:id="rId817"/>
          <w:pgSz w:w="11906" w:h="16839"/>
          <w:pgMar w:top="1772" w:right="1489" w:bottom="1584" w:left="1567" w:header="1428" w:footer="1172" w:gutter="0"/>
          <w:cols w:equalWidth="0" w:num="1">
            <w:col w:w="8850" w:space="0"/>
          </w:cols>
        </w:sectPr>
        <w:rPr/>
      </w:pPr>
    </w:p>
    <w:p>
      <w:pPr>
        <w:pStyle w:val="BodyText"/>
        <w:ind w:left="25"/>
        <w:spacing w:before="47" w:line="277" w:lineRule="exact"/>
        <w:rPr/>
      </w:pPr>
      <w:r>
        <w:rPr>
          <w:spacing w:val="7"/>
          <w:position w:val="1"/>
        </w:rPr>
        <w:t>府职能部门（单位）。</w:t>
      </w:r>
    </w:p>
    <w:p>
      <w:pPr>
        <w:pStyle w:val="BodyText"/>
        <w:ind w:left="26" w:right="320" w:firstLine="427"/>
        <w:spacing w:before="129" w:line="373" w:lineRule="auto"/>
        <w:jc w:val="both"/>
        <w:rPr/>
      </w:pPr>
      <w:r>
        <w:rPr>
          <w:spacing w:val="6"/>
        </w:rPr>
        <w:t>主要职责：负责组织和统筹安排非政府组</w:t>
      </w:r>
      <w:r>
        <w:rPr>
          <w:spacing w:val="7"/>
        </w:rPr>
        <w:t>织和志愿者队伍参与灾民救助和帮扶等工作；</w:t>
      </w:r>
      <w:r>
        <w:rPr>
          <w:spacing w:val="7"/>
        </w:rPr>
        <w:t>接受和安排国内外捐赠，协调国内外专业救援</w:t>
      </w:r>
      <w:r>
        <w:rPr>
          <w:spacing w:val="7"/>
        </w:rPr>
        <w:t>队现场救援行动，处理其他涉外事务和涉港澳</w:t>
      </w:r>
      <w:r>
        <w:rPr>
          <w:spacing w:val="6"/>
        </w:rPr>
        <w:t>台事务。</w:t>
      </w:r>
    </w:p>
    <w:p>
      <w:pPr>
        <w:pStyle w:val="BodyText"/>
        <w:ind w:left="446"/>
        <w:spacing w:before="12" w:line="220" w:lineRule="auto"/>
        <w:rPr/>
      </w:pPr>
      <w:r>
        <w:rPr>
          <w:rFonts w:ascii="Times New Roman" w:hAnsi="Times New Roman" w:eastAsia="Times New Roman" w:cs="Times New Roman"/>
          <w:spacing w:val="7"/>
        </w:rPr>
        <w:t>2.4.6 </w:t>
      </w:r>
      <w:r>
        <w:rPr>
          <w:spacing w:val="7"/>
        </w:rPr>
        <w:t>灾害调查和灾情损失评估组。</w:t>
      </w:r>
    </w:p>
    <w:p>
      <w:pPr>
        <w:pStyle w:val="BodyText"/>
        <w:ind w:left="445"/>
        <w:spacing w:before="164" w:line="278" w:lineRule="exact"/>
        <w:rPr/>
      </w:pPr>
      <w:r>
        <w:rPr>
          <w:spacing w:val="9"/>
          <w:position w:val="1"/>
        </w:rPr>
        <w:t>组长单位：市应急管理局</w:t>
      </w:r>
    </w:p>
    <w:p>
      <w:pPr>
        <w:pStyle w:val="BodyText"/>
        <w:ind w:left="17" w:right="248" w:firstLine="428"/>
        <w:spacing w:before="127" w:line="375" w:lineRule="auto"/>
        <w:jc w:val="both"/>
        <w:rPr/>
      </w:pPr>
      <w:r>
        <w:rPr/>
        <w:t>成员单位：市统计局、住房和城乡建设局、</w:t>
      </w:r>
      <w:r>
        <w:rPr>
          <w:spacing w:val="8"/>
        </w:rPr>
        <w:t>农业农村局、</w:t>
      </w:r>
      <w:r>
        <w:rPr>
          <w:spacing w:val="-45"/>
        </w:rPr>
        <w:t xml:space="preserve"> </w:t>
      </w:r>
      <w:r>
        <w:rPr>
          <w:spacing w:val="8"/>
        </w:rPr>
        <w:t>自然资源局、地震局、气象局、</w:t>
      </w:r>
      <w:r>
        <w:rPr>
          <w:spacing w:val="7"/>
        </w:rPr>
        <w:t>有关市应急管理指挥部成员单位，市应急管理</w:t>
      </w:r>
      <w:r>
        <w:rPr>
          <w:spacing w:val="18"/>
        </w:rPr>
        <w:t>指挥部根据工作需要确定的非政府职能部门</w:t>
      </w:r>
      <w:r>
        <w:rPr>
          <w:spacing w:val="6"/>
        </w:rPr>
        <w:t>（单位）。</w:t>
      </w:r>
    </w:p>
    <w:p>
      <w:pPr>
        <w:pStyle w:val="BodyText"/>
        <w:ind w:left="25" w:right="248" w:firstLine="428"/>
        <w:spacing w:before="1" w:line="374" w:lineRule="auto"/>
        <w:jc w:val="both"/>
        <w:rPr/>
      </w:pPr>
      <w:r>
        <w:rPr>
          <w:spacing w:val="-1"/>
        </w:rPr>
        <w:t>主要职责：负责开展受灾程度、受灾范围、</w:t>
      </w:r>
      <w:r>
        <w:rPr>
          <w:spacing w:val="18"/>
        </w:rPr>
        <w:t>建构筑物和基础设施破坏程度、人员伤亡数</w:t>
      </w:r>
      <w:r>
        <w:rPr>
          <w:spacing w:val="11"/>
        </w:rPr>
        <w:t>量、社会影响等调查，对灾害损失进行评估；</w:t>
      </w:r>
      <w:r>
        <w:rPr>
          <w:spacing w:val="7"/>
        </w:rPr>
        <w:t>组织开展灾区房屋安全性鉴定工作；指导灾区</w:t>
      </w:r>
      <w:r>
        <w:rPr>
          <w:spacing w:val="8"/>
        </w:rPr>
        <w:t>做好保险理赔和给付。</w:t>
      </w:r>
    </w:p>
    <w:p>
      <w:pPr>
        <w:pStyle w:val="BodyText"/>
        <w:ind w:left="446"/>
        <w:spacing w:before="8" w:line="221" w:lineRule="auto"/>
        <w:rPr/>
      </w:pPr>
      <w:r>
        <w:rPr>
          <w:rFonts w:ascii="Times New Roman" w:hAnsi="Times New Roman" w:eastAsia="Times New Roman" w:cs="Times New Roman"/>
          <w:spacing w:val="5"/>
        </w:rPr>
        <w:t>2.4.7 </w:t>
      </w:r>
      <w:r>
        <w:rPr>
          <w:spacing w:val="5"/>
        </w:rPr>
        <w:t>治安保卫组。</w:t>
      </w:r>
    </w:p>
    <w:p>
      <w:pPr>
        <w:pStyle w:val="BodyText"/>
        <w:ind w:left="445"/>
        <w:spacing w:before="161" w:line="278" w:lineRule="exact"/>
        <w:rPr/>
      </w:pPr>
      <w:r>
        <w:rPr>
          <w:spacing w:val="9"/>
          <w:position w:val="1"/>
        </w:rPr>
        <w:t>组长单位：市公安局</w:t>
      </w:r>
    </w:p>
    <w:p>
      <w:pPr>
        <w:pStyle w:val="BodyText"/>
        <w:ind w:left="25" w:right="329" w:firstLine="420"/>
        <w:spacing w:before="128" w:line="375" w:lineRule="auto"/>
        <w:jc w:val="both"/>
        <w:rPr/>
      </w:pPr>
      <w:r>
        <w:rPr>
          <w:spacing w:val="6"/>
        </w:rPr>
        <w:t>成员单位：市司法局、教育体育局，人民</w:t>
      </w:r>
      <w:r>
        <w:rPr>
          <w:spacing w:val="7"/>
        </w:rPr>
        <w:t>银行固原中心支行、银保监局、信访局，市应</w:t>
      </w:r>
      <w:r>
        <w:rPr>
          <w:spacing w:val="18"/>
        </w:rPr>
        <w:t>急管理指挥部根据工作需要确定的非政府职</w:t>
      </w:r>
      <w:r>
        <w:rPr>
          <w:spacing w:val="6"/>
        </w:rPr>
        <w:t>能部门（单位）。</w:t>
      </w:r>
    </w:p>
    <w:p>
      <w:pPr>
        <w:pStyle w:val="BodyText"/>
        <w:ind w:left="23" w:right="248" w:firstLine="430"/>
        <w:spacing w:before="7" w:line="351" w:lineRule="auto"/>
        <w:jc w:val="both"/>
        <w:rPr/>
      </w:pPr>
      <w:r>
        <w:rPr>
          <w:spacing w:val="6"/>
        </w:rPr>
        <w:t>主要职责：组织灾区加强治安管理和安全</w:t>
      </w:r>
      <w:r>
        <w:rPr>
          <w:spacing w:val="1"/>
        </w:rPr>
        <w:t>保卫工作，严密防范、严厉打击趁机进行盗窃、</w:t>
      </w:r>
      <w:r>
        <w:rPr>
          <w:spacing w:val="7"/>
        </w:rPr>
        <w:t>抢劫、哄抢救灾物资、以赈灾募捐名义诈骗敛</w:t>
      </w:r>
      <w:r>
        <w:rPr>
          <w:spacing w:val="7"/>
        </w:rPr>
        <w:t>取不义之财、借机传播各种谣言制造社会恐慌</w:t>
      </w:r>
      <w:r>
        <w:rPr>
          <w:spacing w:val="7"/>
        </w:rPr>
        <w:t>等违法犯罪活动，维护社会治安和道路交通秩</w:t>
      </w:r>
      <w:r>
        <w:rPr>
          <w:spacing w:val="10"/>
        </w:rPr>
        <w:t>序；加强对党政机关、要害部门、金融单位、</w:t>
      </w:r>
      <w:r>
        <w:rPr>
          <w:spacing w:val="7"/>
        </w:rPr>
        <w:t>储备仓库、监狱等重要场所的警戒；做好涉灾</w:t>
      </w:r>
      <w:r>
        <w:rPr>
          <w:spacing w:val="7"/>
        </w:rPr>
        <w:t>矛盾纠纷化解和法律服务工作，切实维护社会</w:t>
      </w:r>
    </w:p>
    <w:p>
      <w:pPr>
        <w:spacing w:line="14" w:lineRule="auto"/>
        <w:rPr>
          <w:rFonts w:ascii="Arial"/>
          <w:sz w:val="2"/>
        </w:rPr>
      </w:pPr>
      <w:r>
        <w:rPr>
          <w:rFonts w:ascii="Arial" w:hAnsi="Arial" w:eastAsia="Arial" w:cs="Arial"/>
          <w:sz w:val="2"/>
          <w:szCs w:val="2"/>
        </w:rPr>
        <w:br w:type="column"/>
      </w:r>
    </w:p>
    <w:p>
      <w:pPr>
        <w:pStyle w:val="BodyText"/>
        <w:spacing w:before="52" w:line="218" w:lineRule="auto"/>
        <w:rPr/>
      </w:pPr>
      <w:r>
        <w:rPr>
          <w:spacing w:val="4"/>
        </w:rPr>
        <w:t>稳定。</w:t>
      </w:r>
    </w:p>
    <w:p>
      <w:pPr>
        <w:pStyle w:val="BodyText"/>
        <w:ind w:left="421"/>
        <w:spacing w:before="166" w:line="222" w:lineRule="auto"/>
        <w:rPr/>
      </w:pPr>
      <w:r>
        <w:rPr>
          <w:rFonts w:ascii="Times New Roman" w:hAnsi="Times New Roman" w:eastAsia="Times New Roman" w:cs="Times New Roman"/>
          <w:spacing w:val="5"/>
        </w:rPr>
        <w:t>2.4.8 </w:t>
      </w:r>
      <w:r>
        <w:rPr>
          <w:spacing w:val="5"/>
        </w:rPr>
        <w:t>新闻宣传组。</w:t>
      </w:r>
    </w:p>
    <w:p>
      <w:pPr>
        <w:pStyle w:val="BodyText"/>
        <w:ind w:right="101" w:firstLine="420"/>
        <w:spacing w:before="161" w:line="355" w:lineRule="auto"/>
        <w:rPr/>
      </w:pPr>
      <w:r>
        <w:rPr>
          <w:spacing w:val="6"/>
        </w:rPr>
        <w:t>组长单位：由市应急管理指挥部根据工作</w:t>
      </w:r>
      <w:r>
        <w:rPr>
          <w:spacing w:val="8"/>
        </w:rPr>
        <w:t>需要确定</w:t>
      </w:r>
    </w:p>
    <w:p>
      <w:pPr>
        <w:pStyle w:val="BodyText"/>
        <w:ind w:left="17" w:right="101" w:firstLine="403"/>
        <w:spacing w:before="42" w:line="371" w:lineRule="auto"/>
        <w:jc w:val="both"/>
        <w:rPr/>
      </w:pPr>
      <w:r>
        <w:rPr>
          <w:spacing w:val="6"/>
        </w:rPr>
        <w:t>成员单位：市应急管理局、文化旅游广播</w:t>
      </w:r>
      <w:r>
        <w:rPr>
          <w:spacing w:val="6"/>
        </w:rPr>
        <w:t>电视局、固原电视台、固原日报社、广播电视</w:t>
      </w:r>
      <w:r>
        <w:rPr>
          <w:spacing w:val="7"/>
        </w:rPr>
        <w:t>台和网络等相关媒体单位。</w:t>
      </w:r>
    </w:p>
    <w:p>
      <w:pPr>
        <w:pStyle w:val="BodyText"/>
        <w:ind w:left="2" w:right="101" w:firstLine="427"/>
        <w:spacing w:before="16" w:line="373" w:lineRule="auto"/>
        <w:jc w:val="both"/>
        <w:rPr/>
      </w:pPr>
      <w:r>
        <w:rPr>
          <w:spacing w:val="6"/>
        </w:rPr>
        <w:t>主要职责：跟踪自然灾害发展动态，及时</w:t>
      </w:r>
      <w:r>
        <w:rPr>
          <w:spacing w:val="7"/>
        </w:rPr>
        <w:t>收集生态环境、公安、卫生医疗等部门的救援</w:t>
      </w:r>
      <w:r>
        <w:rPr>
          <w:spacing w:val="7"/>
        </w:rPr>
        <w:t>工作情况，组织召开新闻发布会，统一对外发</w:t>
      </w:r>
      <w:r>
        <w:rPr>
          <w:spacing w:val="7"/>
        </w:rPr>
        <w:t>布自然灾害发展和抢险救灾进展情况，及时引</w:t>
      </w:r>
      <w:r>
        <w:rPr>
          <w:spacing w:val="8"/>
        </w:rPr>
        <w:t>导处置过程舆情。</w:t>
      </w:r>
    </w:p>
    <w:p>
      <w:pPr>
        <w:ind w:left="424"/>
        <w:spacing w:before="1"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3</w:t>
      </w:r>
      <w:r>
        <w:rPr>
          <w:rFonts w:ascii="Microsoft YaHei" w:hAnsi="Microsoft YaHei" w:eastAsia="Microsoft YaHei" w:cs="Microsoft YaHei"/>
          <w:sz w:val="20"/>
          <w:szCs w:val="20"/>
          <w:spacing w:val="14"/>
        </w:rPr>
        <w:t xml:space="preserve">   </w:t>
      </w:r>
      <w:r>
        <w:rPr>
          <w:rFonts w:ascii="Microsoft YaHei" w:hAnsi="Microsoft YaHei" w:eastAsia="Microsoft YaHei" w:cs="Microsoft YaHei"/>
          <w:sz w:val="20"/>
          <w:szCs w:val="20"/>
          <w:spacing w:val="6"/>
        </w:rPr>
        <w:t>信息报告与预警</w:t>
      </w:r>
    </w:p>
    <w:p>
      <w:pPr>
        <w:pStyle w:val="BodyText"/>
        <w:ind w:right="101" w:firstLine="423"/>
        <w:spacing w:before="106" w:line="375" w:lineRule="auto"/>
        <w:rPr/>
      </w:pPr>
      <w:r>
        <w:rPr>
          <w:spacing w:val="19"/>
        </w:rPr>
        <w:t>市应急管理局会同有关部门建立统一的</w:t>
      </w:r>
      <w:r>
        <w:rPr>
          <w:spacing w:val="7"/>
        </w:rPr>
        <w:t>应急管理信息平台，建立监测预警和灾情报告</w:t>
      </w:r>
      <w:r>
        <w:rPr>
          <w:spacing w:val="15"/>
        </w:rPr>
        <w:t>制度</w:t>
      </w:r>
      <w:r>
        <w:rPr>
          <w:spacing w:val="-39"/>
        </w:rPr>
        <w:t xml:space="preserve"> </w:t>
      </w:r>
      <w:r>
        <w:rPr>
          <w:spacing w:val="15"/>
        </w:rPr>
        <w:t>，健全自然灾害信息资源获取和共享机</w:t>
      </w:r>
      <w:r>
        <w:rPr>
          <w:spacing w:val="7"/>
        </w:rPr>
        <w:t>制，依法统一发布灾情，开展多灾种和灾害链</w:t>
      </w:r>
      <w:r>
        <w:rPr>
          <w:spacing w:val="7"/>
        </w:rPr>
        <w:t>综合监测预警。</w:t>
      </w:r>
    </w:p>
    <w:p>
      <w:pPr>
        <w:pStyle w:val="BodyText"/>
        <w:ind w:right="20" w:firstLine="426"/>
        <w:spacing w:before="2" w:line="343" w:lineRule="auto"/>
        <w:rPr/>
      </w:pPr>
      <w:r>
        <w:rPr>
          <w:rFonts w:ascii="Times New Roman" w:hAnsi="Times New Roman" w:eastAsia="Times New Roman" w:cs="Times New Roman"/>
          <w:spacing w:val="7"/>
        </w:rPr>
        <w:t>3.</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1  </w:t>
      </w:r>
      <w:r>
        <w:rPr>
          <w:rFonts w:ascii="KaiTi" w:hAnsi="KaiTi" w:eastAsia="KaiTi" w:cs="KaiTi"/>
          <w:spacing w:val="7"/>
        </w:rPr>
        <w:t>监测预报。</w:t>
      </w:r>
      <w:r>
        <w:rPr>
          <w:spacing w:val="7"/>
        </w:rPr>
        <w:t>市应急管理指挥部各</w:t>
      </w:r>
      <w:r>
        <w:rPr>
          <w:spacing w:val="6"/>
        </w:rPr>
        <w:t>成员</w:t>
      </w:r>
      <w:r>
        <w:rPr>
          <w:spacing w:val="11"/>
        </w:rPr>
        <w:t>单位，各县区加强对重大危险源的监测监控，</w:t>
      </w:r>
      <w:r>
        <w:rPr>
          <w:spacing w:val="18"/>
        </w:rPr>
        <w:t>及时对可能引发自然灾害的风险隐患进行排</w:t>
      </w:r>
      <w:r>
        <w:rPr>
          <w:spacing w:val="1"/>
        </w:rPr>
        <w:t>查整治，不能消除隐患的，要及时上报区党委、</w:t>
      </w:r>
      <w:r>
        <w:rPr>
          <w:spacing w:val="8"/>
        </w:rPr>
        <w:t>政府和市应急管理指挥部。</w:t>
      </w:r>
    </w:p>
    <w:p>
      <w:pPr>
        <w:pStyle w:val="BodyText"/>
        <w:ind w:left="1" w:right="101" w:firstLine="424"/>
        <w:spacing w:before="164" w:line="346" w:lineRule="auto"/>
        <w:rPr/>
      </w:pPr>
      <w:r>
        <w:rPr>
          <w:rFonts w:ascii="Times New Roman" w:hAnsi="Times New Roman" w:eastAsia="Times New Roman" w:cs="Times New Roman"/>
          <w:spacing w:val="8"/>
        </w:rPr>
        <w:t>3.2  </w:t>
      </w:r>
      <w:r>
        <w:rPr>
          <w:rFonts w:ascii="KaiTi" w:hAnsi="KaiTi" w:eastAsia="KaiTi" w:cs="KaiTi"/>
          <w:spacing w:val="8"/>
        </w:rPr>
        <w:t>分级标准。</w:t>
      </w:r>
      <w:r>
        <w:rPr>
          <w:spacing w:val="8"/>
        </w:rPr>
        <w:t>根据自然灾害事件性质、</w:t>
      </w:r>
      <w:r>
        <w:rPr>
          <w:spacing w:val="7"/>
        </w:rPr>
        <w:t>危害程度、设计范围，自然灾害划分为特别重</w:t>
      </w:r>
      <w:r>
        <w:rPr>
          <w:spacing w:val="9"/>
        </w:rPr>
        <w:t>大（</w:t>
      </w:r>
      <w:r>
        <w:rPr>
          <w:rFonts w:ascii="Times New Roman" w:hAnsi="Times New Roman" w:eastAsia="Times New Roman" w:cs="Times New Roman"/>
          <w:spacing w:val="9"/>
        </w:rPr>
        <w:t>I </w:t>
      </w:r>
      <w:r>
        <w:rPr>
          <w:spacing w:val="9"/>
        </w:rPr>
        <w:t>级）、重大（</w:t>
      </w:r>
      <w:r>
        <w:rPr>
          <w:rFonts w:ascii="Times New Roman" w:hAnsi="Times New Roman" w:eastAsia="Times New Roman" w:cs="Times New Roman"/>
        </w:rPr>
        <w:t>II</w:t>
      </w:r>
      <w:r>
        <w:rPr>
          <w:rFonts w:ascii="Times New Roman" w:hAnsi="Times New Roman" w:eastAsia="Times New Roman" w:cs="Times New Roman"/>
          <w:spacing w:val="9"/>
        </w:rPr>
        <w:t xml:space="preserve"> </w:t>
      </w:r>
      <w:r>
        <w:rPr>
          <w:spacing w:val="9"/>
        </w:rPr>
        <w:t>级）、较大（</w:t>
      </w:r>
      <w:r>
        <w:rPr>
          <w:rFonts w:ascii="Times New Roman" w:hAnsi="Times New Roman" w:eastAsia="Times New Roman" w:cs="Times New Roman"/>
        </w:rPr>
        <w:t>III</w:t>
      </w:r>
      <w:r>
        <w:rPr>
          <w:rFonts w:ascii="Times New Roman" w:hAnsi="Times New Roman" w:eastAsia="Times New Roman" w:cs="Times New Roman"/>
          <w:spacing w:val="9"/>
        </w:rPr>
        <w:t xml:space="preserve"> </w:t>
      </w:r>
      <w:r>
        <w:rPr>
          <w:spacing w:val="9"/>
        </w:rPr>
        <w:t>级）、</w:t>
      </w:r>
      <w:r>
        <w:rPr>
          <w:spacing w:val="8"/>
        </w:rPr>
        <w:t>一般（</w:t>
      </w:r>
      <w:r>
        <w:rPr>
          <w:rFonts w:ascii="Times New Roman" w:hAnsi="Times New Roman" w:eastAsia="Times New Roman" w:cs="Times New Roman"/>
        </w:rPr>
        <w:t>IV</w:t>
      </w:r>
      <w:r>
        <w:rPr>
          <w:rFonts w:ascii="Times New Roman" w:hAnsi="Times New Roman" w:eastAsia="Times New Roman" w:cs="Times New Roman"/>
          <w:spacing w:val="8"/>
        </w:rPr>
        <w:t xml:space="preserve"> </w:t>
      </w:r>
      <w:r>
        <w:rPr>
          <w:spacing w:val="8"/>
        </w:rPr>
        <w:t>级）四级。</w:t>
      </w:r>
    </w:p>
    <w:p>
      <w:pPr>
        <w:pStyle w:val="BodyText"/>
        <w:ind w:right="34" w:firstLine="425"/>
        <w:spacing w:before="127" w:line="338" w:lineRule="auto"/>
        <w:jc w:val="both"/>
        <w:rPr/>
      </w:pPr>
      <w:r>
        <w:rPr>
          <w:rFonts w:ascii="Times New Roman" w:hAnsi="Times New Roman" w:eastAsia="Times New Roman" w:cs="Times New Roman"/>
          <w:spacing w:val="6"/>
        </w:rPr>
        <w:t>3.2.1 </w:t>
      </w:r>
      <w:r>
        <w:rPr>
          <w:spacing w:val="6"/>
        </w:rPr>
        <w:t>特别重大自然灾害（</w:t>
      </w:r>
      <w:r>
        <w:rPr>
          <w:rFonts w:ascii="Times New Roman" w:hAnsi="Times New Roman" w:eastAsia="Times New Roman" w:cs="Times New Roman"/>
          <w:spacing w:val="6"/>
        </w:rPr>
        <w:t>I </w:t>
      </w:r>
      <w:r>
        <w:rPr>
          <w:spacing w:val="6"/>
        </w:rPr>
        <w:t>级）。是指在</w:t>
      </w:r>
      <w:r>
        <w:rPr>
          <w:spacing w:val="11"/>
        </w:rPr>
        <w:t>本行政区域内一次灾害过程出现死亡</w:t>
      </w:r>
      <w:r>
        <w:rPr>
          <w:spacing w:val="-36"/>
        </w:rPr>
        <w:t xml:space="preserve"> </w:t>
      </w:r>
      <w:r>
        <w:rPr>
          <w:rFonts w:ascii="Times New Roman" w:hAnsi="Times New Roman" w:eastAsia="Times New Roman" w:cs="Times New Roman"/>
          <w:spacing w:val="11"/>
        </w:rPr>
        <w:t>20 </w:t>
      </w:r>
      <w:r>
        <w:rPr>
          <w:spacing w:val="11"/>
        </w:rPr>
        <w:t>人以</w:t>
      </w:r>
      <w:r>
        <w:rPr>
          <w:spacing w:val="5"/>
        </w:rPr>
        <w:t>上，或紧急转移安置、需要紧急生活救助</w:t>
      </w:r>
      <w:r>
        <w:rPr>
          <w:spacing w:val="-8"/>
        </w:rPr>
        <w:t xml:space="preserve"> </w:t>
      </w:r>
      <w:r>
        <w:rPr>
          <w:rFonts w:ascii="Times New Roman" w:hAnsi="Times New Roman" w:eastAsia="Times New Roman" w:cs="Times New Roman"/>
          <w:spacing w:val="5"/>
        </w:rPr>
        <w:t>1 </w:t>
      </w:r>
      <w:r>
        <w:rPr>
          <w:spacing w:val="5"/>
        </w:rPr>
        <w:t>万</w:t>
      </w:r>
      <w:r>
        <w:rPr>
          <w:spacing w:val="-2"/>
        </w:rPr>
        <w:t>人以上，或倒塌、严重损坏房屋</w:t>
      </w:r>
      <w:r>
        <w:rPr>
          <w:spacing w:val="-40"/>
        </w:rPr>
        <w:t xml:space="preserve"> </w:t>
      </w:r>
      <w:r>
        <w:rPr>
          <w:rFonts w:ascii="Times New Roman" w:hAnsi="Times New Roman" w:eastAsia="Times New Roman" w:cs="Times New Roman"/>
          <w:spacing w:val="-2"/>
        </w:rPr>
        <w:t>0.85 </w:t>
      </w:r>
      <w:r>
        <w:rPr>
          <w:spacing w:val="-2"/>
        </w:rPr>
        <w:t>万间以上，</w:t>
      </w:r>
      <w:r>
        <w:rPr>
          <w:spacing w:val="7"/>
        </w:rPr>
        <w:t>或干旱灾害造成某一区域缺粮、缺水等生活困</w:t>
      </w:r>
    </w:p>
    <w:p>
      <w:pPr>
        <w:spacing w:line="338" w:lineRule="auto"/>
        <w:sectPr>
          <w:type w:val="continuous"/>
          <w:pgSz w:w="11906" w:h="16839"/>
          <w:pgMar w:top="1772" w:right="1489" w:bottom="1584" w:left="1567" w:header="1428" w:footer="1172" w:gutter="0"/>
          <w:cols w:equalWidth="0" w:num="2">
            <w:col w:w="4502" w:space="100"/>
            <w:col w:w="4249" w:space="0"/>
          </w:cols>
        </w:sectPr>
        <w:rPr/>
      </w:pPr>
    </w:p>
    <w:p>
      <w:pPr>
        <w:spacing w:before="84"/>
        <w:rPr/>
      </w:pPr>
      <w:r>
        <w:drawing>
          <wp:anchor distT="0" distB="0" distL="0" distR="0" simplePos="0" relativeHeight="25269760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638" name="IM 1638"/>
            <wp:cNvGraphicFramePr/>
            <a:graphic>
              <a:graphicData uri="http://schemas.openxmlformats.org/drawingml/2006/picture">
                <pic:pic>
                  <pic:nvPicPr>
                    <pic:cNvPr id="1638" name="IM 1638"/>
                    <pic:cNvPicPr/>
                  </pic:nvPicPr>
                  <pic:blipFill>
                    <a:blip r:embed="rId821"/>
                    <a:stretch>
                      <a:fillRect/>
                    </a:stretch>
                  </pic:blipFill>
                  <pic:spPr>
                    <a:xfrm rot="0">
                      <a:off x="0" y="0"/>
                      <a:ext cx="5579745" cy="7620"/>
                    </a:xfrm>
                    <a:prstGeom prst="rect">
                      <a:avLst/>
                    </a:prstGeom>
                  </pic:spPr>
                </pic:pic>
              </a:graphicData>
            </a:graphic>
          </wp:anchor>
        </w:drawing>
      </w:r>
      <w:r/>
    </w:p>
    <w:p>
      <w:pPr>
        <w:sectPr>
          <w:headerReference w:type="default" r:id="rId819"/>
          <w:footerReference w:type="default" r:id="rId820"/>
          <w:pgSz w:w="11906" w:h="16839"/>
          <w:pgMar w:top="1766" w:right="1523" w:bottom="1575" w:left="1579" w:header="1428" w:footer="1172" w:gutter="0"/>
          <w:cols w:equalWidth="0" w:num="1">
            <w:col w:w="8803" w:space="0"/>
          </w:cols>
        </w:sectPr>
        <w:rPr/>
      </w:pPr>
    </w:p>
    <w:p>
      <w:pPr>
        <w:pStyle w:val="BodyText"/>
        <w:ind w:left="15" w:right="287" w:hanging="3"/>
        <w:spacing w:before="41" w:line="370" w:lineRule="auto"/>
        <w:rPr/>
      </w:pPr>
      <w:r>
        <w:rPr>
          <w:spacing w:val="7"/>
        </w:rPr>
        <w:t>难，需要政府救助人数占农业人口</w:t>
      </w:r>
      <w:r>
        <w:rPr>
          <w:spacing w:val="-26"/>
        </w:rPr>
        <w:t xml:space="preserve"> </w:t>
      </w:r>
      <w:r>
        <w:rPr>
          <w:rFonts w:ascii="Times New Roman" w:hAnsi="Times New Roman" w:eastAsia="Times New Roman" w:cs="Times New Roman"/>
          <w:spacing w:val="7"/>
        </w:rPr>
        <w:t>35%</w:t>
      </w:r>
      <w:r>
        <w:rPr>
          <w:spacing w:val="7"/>
        </w:rPr>
        <w:t>以上、</w:t>
      </w:r>
      <w:r>
        <w:rPr>
          <w:spacing w:val="7"/>
        </w:rPr>
        <w:t>或</w:t>
      </w:r>
      <w:r>
        <w:rPr>
          <w:spacing w:val="-45"/>
        </w:rPr>
        <w:t xml:space="preserve"> </w:t>
      </w:r>
      <w:r>
        <w:rPr>
          <w:rFonts w:ascii="Times New Roman" w:hAnsi="Times New Roman" w:eastAsia="Times New Roman" w:cs="Times New Roman"/>
          <w:spacing w:val="7"/>
        </w:rPr>
        <w:t>45 </w:t>
      </w:r>
      <w:r>
        <w:rPr>
          <w:spacing w:val="7"/>
        </w:rPr>
        <w:t>万人以上的自然灾害。</w:t>
      </w:r>
    </w:p>
    <w:p>
      <w:pPr>
        <w:pStyle w:val="BodyText"/>
        <w:ind w:left="12" w:right="324" w:firstLine="425"/>
        <w:spacing w:before="2" w:line="351" w:lineRule="auto"/>
        <w:rPr/>
      </w:pPr>
      <w:r>
        <w:rPr>
          <w:rFonts w:ascii="Times New Roman" w:hAnsi="Times New Roman" w:eastAsia="Times New Roman" w:cs="Times New Roman"/>
          <w:spacing w:val="4"/>
        </w:rPr>
        <w:t>3.2.2 </w:t>
      </w:r>
      <w:r>
        <w:rPr>
          <w:spacing w:val="4"/>
        </w:rPr>
        <w:t>重大自然灾害（</w:t>
      </w:r>
      <w:r>
        <w:rPr>
          <w:rFonts w:ascii="Times New Roman" w:hAnsi="Times New Roman" w:eastAsia="Times New Roman" w:cs="Times New Roman"/>
        </w:rPr>
        <w:t>II</w:t>
      </w:r>
      <w:r>
        <w:rPr>
          <w:rFonts w:ascii="Times New Roman" w:hAnsi="Times New Roman" w:eastAsia="Times New Roman" w:cs="Times New Roman"/>
          <w:spacing w:val="4"/>
        </w:rPr>
        <w:t xml:space="preserve"> </w:t>
      </w:r>
      <w:r>
        <w:rPr>
          <w:spacing w:val="4"/>
        </w:rPr>
        <w:t>级）。是指在本行</w:t>
      </w:r>
      <w:r>
        <w:rPr>
          <w:spacing w:val="7"/>
        </w:rPr>
        <w:t>政区域内一次灾害过程出现死亡</w:t>
      </w:r>
      <w:r>
        <w:rPr>
          <w:spacing w:val="-20"/>
        </w:rPr>
        <w:t xml:space="preserve"> </w:t>
      </w:r>
      <w:r>
        <w:rPr>
          <w:rFonts w:ascii="Times New Roman" w:hAnsi="Times New Roman" w:eastAsia="Times New Roman" w:cs="Times New Roman"/>
          <w:spacing w:val="7"/>
        </w:rPr>
        <w:t>15 </w:t>
      </w:r>
      <w:r>
        <w:rPr>
          <w:spacing w:val="7"/>
        </w:rPr>
        <w:t>人以上</w:t>
      </w:r>
      <w:r>
        <w:rPr>
          <w:spacing w:val="-40"/>
        </w:rPr>
        <w:t xml:space="preserve"> </w:t>
      </w:r>
      <w:r>
        <w:rPr>
          <w:rFonts w:ascii="Times New Roman" w:hAnsi="Times New Roman" w:eastAsia="Times New Roman" w:cs="Times New Roman"/>
          <w:spacing w:val="7"/>
        </w:rPr>
        <w:t>20</w:t>
      </w:r>
      <w:r>
        <w:rPr>
          <w:spacing w:val="7"/>
        </w:rPr>
        <w:t>人以下，或紧急转移安置、需要紧急生活救助</w:t>
      </w:r>
      <w:r>
        <w:rPr>
          <w:rFonts w:ascii="Times New Roman" w:hAnsi="Times New Roman" w:eastAsia="Times New Roman" w:cs="Times New Roman"/>
          <w:spacing w:val="9"/>
        </w:rPr>
        <w:t>0.8 </w:t>
      </w:r>
      <w:r>
        <w:rPr>
          <w:spacing w:val="9"/>
        </w:rPr>
        <w:t>万人以上</w:t>
      </w:r>
      <w:r>
        <w:rPr>
          <w:spacing w:val="-12"/>
        </w:rPr>
        <w:t xml:space="preserve"> </w:t>
      </w:r>
      <w:r>
        <w:rPr>
          <w:rFonts w:ascii="Times New Roman" w:hAnsi="Times New Roman" w:eastAsia="Times New Roman" w:cs="Times New Roman"/>
          <w:spacing w:val="9"/>
        </w:rPr>
        <w:t>1 </w:t>
      </w:r>
      <w:r>
        <w:rPr>
          <w:spacing w:val="9"/>
        </w:rPr>
        <w:t>万人以下，或倒塌、严重损坏</w:t>
      </w:r>
      <w:r>
        <w:rPr>
          <w:spacing w:val="3"/>
        </w:rPr>
        <w:t>房屋</w:t>
      </w:r>
      <w:r>
        <w:rPr>
          <w:spacing w:val="-28"/>
        </w:rPr>
        <w:t xml:space="preserve"> </w:t>
      </w:r>
      <w:r>
        <w:rPr>
          <w:rFonts w:ascii="Times New Roman" w:hAnsi="Times New Roman" w:eastAsia="Times New Roman" w:cs="Times New Roman"/>
          <w:spacing w:val="3"/>
        </w:rPr>
        <w:t>0.55 </w:t>
      </w:r>
      <w:r>
        <w:rPr>
          <w:spacing w:val="3"/>
        </w:rPr>
        <w:t>万间以上、</w:t>
      </w:r>
      <w:r>
        <w:rPr>
          <w:rFonts w:ascii="Times New Roman" w:hAnsi="Times New Roman" w:eastAsia="Times New Roman" w:cs="Times New Roman"/>
          <w:spacing w:val="3"/>
        </w:rPr>
        <w:t>0.85 </w:t>
      </w:r>
      <w:r>
        <w:rPr>
          <w:spacing w:val="3"/>
        </w:rPr>
        <w:t>万间以下，或干旱灾</w:t>
      </w:r>
      <w:r>
        <w:rPr>
          <w:spacing w:val="7"/>
        </w:rPr>
        <w:t>害造成某一区域缺粮、缺水等生活困难，需要</w:t>
      </w:r>
      <w:r>
        <w:rPr>
          <w:spacing w:val="9"/>
        </w:rPr>
        <w:t>政府救助人数占农业人口</w:t>
      </w:r>
      <w:r>
        <w:rPr>
          <w:spacing w:val="-31"/>
        </w:rPr>
        <w:t xml:space="preserve"> </w:t>
      </w:r>
      <w:r>
        <w:rPr>
          <w:rFonts w:ascii="Times New Roman" w:hAnsi="Times New Roman" w:eastAsia="Times New Roman" w:cs="Times New Roman"/>
          <w:spacing w:val="9"/>
        </w:rPr>
        <w:t>30%</w:t>
      </w:r>
      <w:r>
        <w:rPr>
          <w:spacing w:val="9"/>
        </w:rPr>
        <w:t>以上或</w:t>
      </w:r>
      <w:r>
        <w:rPr>
          <w:spacing w:val="-36"/>
        </w:rPr>
        <w:t xml:space="preserve"> </w:t>
      </w:r>
      <w:r>
        <w:rPr>
          <w:rFonts w:ascii="Times New Roman" w:hAnsi="Times New Roman" w:eastAsia="Times New Roman" w:cs="Times New Roman"/>
          <w:spacing w:val="9"/>
        </w:rPr>
        <w:t>38 </w:t>
      </w:r>
      <w:r>
        <w:rPr>
          <w:spacing w:val="9"/>
        </w:rPr>
        <w:t>万人</w:t>
      </w:r>
      <w:r>
        <w:rPr>
          <w:spacing w:val="8"/>
        </w:rPr>
        <w:t>以上的自然灾害。</w:t>
      </w:r>
    </w:p>
    <w:p>
      <w:pPr>
        <w:pStyle w:val="BodyText"/>
        <w:ind w:left="11" w:right="265" w:firstLine="426"/>
        <w:spacing w:before="159" w:line="356" w:lineRule="auto"/>
        <w:rPr/>
      </w:pPr>
      <w:r>
        <w:rPr>
          <w:rFonts w:ascii="Times New Roman" w:hAnsi="Times New Roman" w:eastAsia="Times New Roman" w:cs="Times New Roman"/>
          <w:spacing w:val="6"/>
        </w:rPr>
        <w:t>3.2.3 </w:t>
      </w:r>
      <w:r>
        <w:rPr>
          <w:spacing w:val="6"/>
        </w:rPr>
        <w:t>较大自然灾害（</w:t>
      </w:r>
      <w:r>
        <w:rPr>
          <w:spacing w:val="-46"/>
        </w:rPr>
        <w:t xml:space="preserve"> </w:t>
      </w:r>
      <w:r>
        <w:rPr>
          <w:rFonts w:ascii="Times New Roman" w:hAnsi="Times New Roman" w:eastAsia="Times New Roman" w:cs="Times New Roman"/>
        </w:rPr>
        <w:t>III</w:t>
      </w:r>
      <w:r>
        <w:rPr>
          <w:rFonts w:ascii="Times New Roman" w:hAnsi="Times New Roman" w:eastAsia="Times New Roman" w:cs="Times New Roman"/>
          <w:spacing w:val="6"/>
        </w:rPr>
        <w:t xml:space="preserve"> </w:t>
      </w:r>
      <w:r>
        <w:rPr>
          <w:spacing w:val="6"/>
        </w:rPr>
        <w:t>级）</w:t>
      </w:r>
      <w:r>
        <w:rPr>
          <w:spacing w:val="-58"/>
        </w:rPr>
        <w:t xml:space="preserve"> </w:t>
      </w:r>
      <w:r>
        <w:rPr>
          <w:spacing w:val="6"/>
        </w:rPr>
        <w:t>。是指在本</w:t>
      </w:r>
      <w:r>
        <w:rPr>
          <w:spacing w:val="6"/>
        </w:rPr>
        <w:t>行政区域内一次灾害过程出现死亡</w:t>
      </w:r>
      <w:r>
        <w:rPr>
          <w:spacing w:val="-47"/>
        </w:rPr>
        <w:t xml:space="preserve"> </w:t>
      </w:r>
      <w:r>
        <w:rPr>
          <w:rFonts w:ascii="Times New Roman" w:hAnsi="Times New Roman" w:eastAsia="Times New Roman" w:cs="Times New Roman"/>
          <w:spacing w:val="6"/>
        </w:rPr>
        <w:t>10</w:t>
      </w:r>
      <w:r>
        <w:rPr>
          <w:rFonts w:ascii="Times New Roman" w:hAnsi="Times New Roman" w:eastAsia="Times New Roman" w:cs="Times New Roman"/>
          <w:spacing w:val="-19"/>
        </w:rPr>
        <w:t xml:space="preserve"> </w:t>
      </w:r>
      <w:r>
        <w:rPr>
          <w:spacing w:val="6"/>
        </w:rPr>
        <w:t>人以上，</w:t>
      </w:r>
      <w:r>
        <w:rPr/>
        <w:t xml:space="preserve"> </w:t>
      </w:r>
      <w:r>
        <w:rPr>
          <w:rFonts w:ascii="Times New Roman" w:hAnsi="Times New Roman" w:eastAsia="Times New Roman" w:cs="Times New Roman"/>
          <w:spacing w:val="4"/>
        </w:rPr>
        <w:t>15 </w:t>
      </w:r>
      <w:r>
        <w:rPr>
          <w:spacing w:val="4"/>
        </w:rPr>
        <w:t>人以下，或紧急转移安置、需要紧急生活救</w:t>
      </w:r>
      <w:r>
        <w:rPr>
          <w:spacing w:val="7"/>
        </w:rPr>
        <w:t>助</w:t>
      </w:r>
      <w:r>
        <w:rPr>
          <w:spacing w:val="-26"/>
        </w:rPr>
        <w:t xml:space="preserve"> </w:t>
      </w:r>
      <w:r>
        <w:rPr>
          <w:rFonts w:ascii="Times New Roman" w:hAnsi="Times New Roman" w:eastAsia="Times New Roman" w:cs="Times New Roman"/>
          <w:spacing w:val="7"/>
        </w:rPr>
        <w:t>0.5 </w:t>
      </w:r>
      <w:r>
        <w:rPr>
          <w:spacing w:val="7"/>
        </w:rPr>
        <w:t>万人以上</w:t>
      </w:r>
      <w:r>
        <w:rPr>
          <w:spacing w:val="-35"/>
        </w:rPr>
        <w:t xml:space="preserve"> </w:t>
      </w:r>
      <w:r>
        <w:rPr>
          <w:rFonts w:ascii="Times New Roman" w:hAnsi="Times New Roman" w:eastAsia="Times New Roman" w:cs="Times New Roman"/>
          <w:spacing w:val="7"/>
        </w:rPr>
        <w:t>0.8 </w:t>
      </w:r>
      <w:r>
        <w:rPr>
          <w:spacing w:val="7"/>
        </w:rPr>
        <w:t>万人以下</w:t>
      </w:r>
      <w:r>
        <w:rPr>
          <w:spacing w:val="-59"/>
        </w:rPr>
        <w:t xml:space="preserve"> </w:t>
      </w:r>
      <w:r>
        <w:rPr>
          <w:spacing w:val="7"/>
        </w:rPr>
        <w:t>，或倒塌、严重</w:t>
      </w:r>
      <w:r>
        <w:rPr>
          <w:spacing w:val="5"/>
        </w:rPr>
        <w:t>损坏房屋</w:t>
      </w:r>
      <w:r>
        <w:rPr>
          <w:spacing w:val="-37"/>
        </w:rPr>
        <w:t xml:space="preserve"> </w:t>
      </w:r>
      <w:r>
        <w:rPr>
          <w:rFonts w:ascii="Times New Roman" w:hAnsi="Times New Roman" w:eastAsia="Times New Roman" w:cs="Times New Roman"/>
          <w:spacing w:val="5"/>
        </w:rPr>
        <w:t>0.3 </w:t>
      </w:r>
      <w:r>
        <w:rPr>
          <w:spacing w:val="5"/>
        </w:rPr>
        <w:t>万间以上</w:t>
      </w:r>
      <w:r>
        <w:rPr>
          <w:spacing w:val="-40"/>
        </w:rPr>
        <w:t xml:space="preserve"> </w:t>
      </w:r>
      <w:r>
        <w:rPr>
          <w:rFonts w:ascii="Times New Roman" w:hAnsi="Times New Roman" w:eastAsia="Times New Roman" w:cs="Times New Roman"/>
          <w:spacing w:val="5"/>
        </w:rPr>
        <w:t>0.55 </w:t>
      </w:r>
      <w:r>
        <w:rPr>
          <w:spacing w:val="5"/>
        </w:rPr>
        <w:t>万间以下，或干旱</w:t>
      </w:r>
      <w:r>
        <w:rPr>
          <w:spacing w:val="7"/>
        </w:rPr>
        <w:t>灾害造成某一区域缺粮、缺水等生活困难，需</w:t>
      </w:r>
      <w:r>
        <w:rPr>
          <w:spacing w:val="12"/>
        </w:rPr>
        <w:t>要政府救助人数占农业人口</w:t>
      </w:r>
      <w:r>
        <w:rPr>
          <w:rFonts w:ascii="Times New Roman" w:hAnsi="Times New Roman" w:eastAsia="Times New Roman" w:cs="Times New Roman"/>
          <w:spacing w:val="12"/>
        </w:rPr>
        <w:t>25%</w:t>
      </w:r>
      <w:r>
        <w:rPr>
          <w:spacing w:val="12"/>
        </w:rPr>
        <w:t>以上或</w:t>
      </w:r>
      <w:r>
        <w:rPr>
          <w:spacing w:val="-32"/>
        </w:rPr>
        <w:t xml:space="preserve"> </w:t>
      </w:r>
      <w:r>
        <w:rPr>
          <w:rFonts w:ascii="Times New Roman" w:hAnsi="Times New Roman" w:eastAsia="Times New Roman" w:cs="Times New Roman"/>
          <w:spacing w:val="12"/>
        </w:rPr>
        <w:t>32 </w:t>
      </w:r>
      <w:r>
        <w:rPr>
          <w:spacing w:val="12"/>
        </w:rPr>
        <w:t>万</w:t>
      </w:r>
      <w:r>
        <w:rPr>
          <w:spacing w:val="8"/>
        </w:rPr>
        <w:t>人以上的自然灾害。</w:t>
      </w:r>
    </w:p>
    <w:p>
      <w:pPr>
        <w:pStyle w:val="BodyText"/>
        <w:ind w:left="12" w:right="320" w:firstLine="425"/>
        <w:spacing w:before="164" w:line="356" w:lineRule="auto"/>
        <w:rPr/>
      </w:pPr>
      <w:r>
        <w:rPr>
          <w:rFonts w:ascii="Times New Roman" w:hAnsi="Times New Roman" w:eastAsia="Times New Roman" w:cs="Times New Roman"/>
          <w:spacing w:val="8"/>
        </w:rPr>
        <w:t>3.2.4 </w:t>
      </w:r>
      <w:r>
        <w:rPr>
          <w:spacing w:val="8"/>
        </w:rPr>
        <w:t>一般自然灾害（</w:t>
      </w:r>
      <w:r>
        <w:rPr>
          <w:rFonts w:ascii="Times New Roman" w:hAnsi="Times New Roman" w:eastAsia="Times New Roman" w:cs="Times New Roman"/>
        </w:rPr>
        <w:t>IV</w:t>
      </w:r>
      <w:r>
        <w:rPr>
          <w:rFonts w:ascii="Times New Roman" w:hAnsi="Times New Roman" w:eastAsia="Times New Roman" w:cs="Times New Roman"/>
          <w:spacing w:val="8"/>
        </w:rPr>
        <w:t xml:space="preserve"> </w:t>
      </w:r>
      <w:r>
        <w:rPr>
          <w:spacing w:val="8"/>
        </w:rPr>
        <w:t>级）</w:t>
      </w:r>
      <w:r>
        <w:rPr>
          <w:spacing w:val="-57"/>
        </w:rPr>
        <w:t xml:space="preserve"> </w:t>
      </w:r>
      <w:r>
        <w:rPr>
          <w:spacing w:val="8"/>
        </w:rPr>
        <w:t>。是指在本</w:t>
      </w:r>
      <w:r>
        <w:rPr>
          <w:spacing w:val="6"/>
        </w:rPr>
        <w:t>行政区域内一次灾害过程出现死亡</w:t>
      </w:r>
      <w:r>
        <w:rPr>
          <w:spacing w:val="-22"/>
        </w:rPr>
        <w:t xml:space="preserve"> </w:t>
      </w:r>
      <w:r>
        <w:rPr>
          <w:rFonts w:ascii="Times New Roman" w:hAnsi="Times New Roman" w:eastAsia="Times New Roman" w:cs="Times New Roman"/>
          <w:spacing w:val="6"/>
        </w:rPr>
        <w:t>5 </w:t>
      </w:r>
      <w:r>
        <w:rPr>
          <w:spacing w:val="6"/>
        </w:rPr>
        <w:t>人以上，</w:t>
      </w:r>
      <w:r>
        <w:rPr/>
        <w:t xml:space="preserve"> </w:t>
      </w:r>
      <w:r>
        <w:rPr>
          <w:rFonts w:ascii="Times New Roman" w:hAnsi="Times New Roman" w:eastAsia="Times New Roman" w:cs="Times New Roman"/>
          <w:spacing w:val="4"/>
        </w:rPr>
        <w:t>10 </w:t>
      </w:r>
      <w:r>
        <w:rPr>
          <w:spacing w:val="4"/>
        </w:rPr>
        <w:t>人以下，或紧急转移安置、需要紧急生活救</w:t>
      </w:r>
      <w:r>
        <w:rPr>
          <w:spacing w:val="3"/>
        </w:rPr>
        <w:t>助</w:t>
      </w:r>
      <w:r>
        <w:rPr>
          <w:spacing w:val="-25"/>
        </w:rPr>
        <w:t xml:space="preserve"> </w:t>
      </w:r>
      <w:r>
        <w:rPr>
          <w:rFonts w:ascii="Times New Roman" w:hAnsi="Times New Roman" w:eastAsia="Times New Roman" w:cs="Times New Roman"/>
          <w:spacing w:val="3"/>
        </w:rPr>
        <w:t>0.3 </w:t>
      </w:r>
      <w:r>
        <w:rPr>
          <w:spacing w:val="3"/>
        </w:rPr>
        <w:t>万人以上，</w:t>
      </w:r>
      <w:r>
        <w:rPr>
          <w:rFonts w:ascii="Times New Roman" w:hAnsi="Times New Roman" w:eastAsia="Times New Roman" w:cs="Times New Roman"/>
          <w:spacing w:val="3"/>
        </w:rPr>
        <w:t>0.5 </w:t>
      </w:r>
      <w:r>
        <w:rPr>
          <w:spacing w:val="3"/>
        </w:rPr>
        <w:t>万人以下，或倒塌、严重</w:t>
      </w:r>
      <w:r>
        <w:rPr>
          <w:spacing w:val="6"/>
        </w:rPr>
        <w:t>损坏房屋</w:t>
      </w:r>
      <w:r>
        <w:rPr>
          <w:spacing w:val="-28"/>
        </w:rPr>
        <w:t xml:space="preserve"> </w:t>
      </w:r>
      <w:r>
        <w:rPr>
          <w:rFonts w:ascii="Times New Roman" w:hAnsi="Times New Roman" w:eastAsia="Times New Roman" w:cs="Times New Roman"/>
          <w:spacing w:val="6"/>
        </w:rPr>
        <w:t>0.</w:t>
      </w:r>
      <w:r>
        <w:rPr>
          <w:rFonts w:ascii="Times New Roman" w:hAnsi="Times New Roman" w:eastAsia="Times New Roman" w:cs="Times New Roman"/>
          <w:spacing w:val="-25"/>
        </w:rPr>
        <w:t xml:space="preserve"> </w:t>
      </w:r>
      <w:r>
        <w:rPr>
          <w:rFonts w:ascii="Times New Roman" w:hAnsi="Times New Roman" w:eastAsia="Times New Roman" w:cs="Times New Roman"/>
          <w:spacing w:val="6"/>
        </w:rPr>
        <w:t>15 </w:t>
      </w:r>
      <w:r>
        <w:rPr>
          <w:spacing w:val="6"/>
        </w:rPr>
        <w:t>万间以上，</w:t>
      </w:r>
      <w:r>
        <w:rPr>
          <w:rFonts w:ascii="Times New Roman" w:hAnsi="Times New Roman" w:eastAsia="Times New Roman" w:cs="Times New Roman"/>
          <w:spacing w:val="6"/>
        </w:rPr>
        <w:t>0.3 </w:t>
      </w:r>
      <w:r>
        <w:rPr>
          <w:spacing w:val="6"/>
        </w:rPr>
        <w:t>万间以下，或干</w:t>
      </w:r>
      <w:r>
        <w:rPr>
          <w:spacing w:val="7"/>
        </w:rPr>
        <w:t>旱灾害造成某一区域缺粮、缺水等生活困难，</w:t>
      </w:r>
      <w:r>
        <w:rPr>
          <w:spacing w:val="13"/>
        </w:rPr>
        <w:t>需要政府救助人数占农业人口</w:t>
      </w:r>
      <w:r>
        <w:rPr>
          <w:spacing w:val="-25"/>
        </w:rPr>
        <w:t xml:space="preserve"> </w:t>
      </w:r>
      <w:r>
        <w:rPr>
          <w:rFonts w:ascii="Times New Roman" w:hAnsi="Times New Roman" w:eastAsia="Times New Roman" w:cs="Times New Roman"/>
          <w:spacing w:val="13"/>
        </w:rPr>
        <w:t>20%</w:t>
      </w:r>
      <w:r>
        <w:rPr>
          <w:spacing w:val="13"/>
        </w:rPr>
        <w:t>以上</w:t>
      </w:r>
      <w:r>
        <w:rPr>
          <w:spacing w:val="-54"/>
        </w:rPr>
        <w:t xml:space="preserve"> </w:t>
      </w:r>
      <w:r>
        <w:rPr>
          <w:spacing w:val="13"/>
        </w:rPr>
        <w:t>，或</w:t>
      </w:r>
      <w:r>
        <w:rPr>
          <w:rFonts w:ascii="Times New Roman" w:hAnsi="Times New Roman" w:eastAsia="Times New Roman" w:cs="Times New Roman"/>
          <w:spacing w:val="7"/>
        </w:rPr>
        <w:t>25 </w:t>
      </w:r>
      <w:r>
        <w:rPr>
          <w:spacing w:val="7"/>
        </w:rPr>
        <w:t>万人以上的自然灾害。</w:t>
      </w:r>
    </w:p>
    <w:p>
      <w:pPr>
        <w:ind w:left="437"/>
        <w:spacing w:before="162" w:line="268" w:lineRule="exact"/>
        <w:rPr>
          <w:rFonts w:ascii="KaiTi" w:hAnsi="KaiTi" w:eastAsia="KaiTi" w:cs="KaiTi"/>
          <w:sz w:val="20"/>
          <w:szCs w:val="20"/>
        </w:rPr>
      </w:pPr>
      <w:r>
        <w:rPr>
          <w:rFonts w:ascii="Times New Roman" w:hAnsi="Times New Roman" w:eastAsia="Times New Roman" w:cs="Times New Roman"/>
          <w:sz w:val="20"/>
          <w:szCs w:val="20"/>
          <w:spacing w:val="4"/>
          <w:position w:val="1"/>
        </w:rPr>
        <w:t>3.3  </w:t>
      </w:r>
      <w:r>
        <w:rPr>
          <w:rFonts w:ascii="KaiTi" w:hAnsi="KaiTi" w:eastAsia="KaiTi" w:cs="KaiTi"/>
          <w:sz w:val="20"/>
          <w:szCs w:val="20"/>
          <w:spacing w:val="4"/>
          <w:position w:val="1"/>
        </w:rPr>
        <w:t>信息报告。</w:t>
      </w:r>
    </w:p>
    <w:p>
      <w:pPr>
        <w:pStyle w:val="BodyText"/>
        <w:ind w:left="12" w:right="327" w:firstLine="425"/>
        <w:spacing w:before="142" w:line="352" w:lineRule="auto"/>
        <w:jc w:val="both"/>
        <w:rPr/>
      </w:pPr>
      <w:r>
        <w:rPr>
          <w:rFonts w:ascii="Times New Roman" w:hAnsi="Times New Roman" w:eastAsia="Times New Roman" w:cs="Times New Roman"/>
          <w:spacing w:val="3"/>
        </w:rPr>
        <w:t>3.3.1 </w:t>
      </w:r>
      <w:r>
        <w:rPr>
          <w:spacing w:val="3"/>
        </w:rPr>
        <w:t>信息报告程序。凡可能引发自然灾害</w:t>
      </w:r>
      <w:r>
        <w:rPr>
          <w:spacing w:val="18"/>
        </w:rPr>
        <w:t>救助的信息和可能引发自然灾害救助的内幕</w:t>
      </w:r>
      <w:r>
        <w:rPr>
          <w:spacing w:val="7"/>
        </w:rPr>
        <w:t>性、预警性、行动性信息，都属报告内容。最</w:t>
      </w:r>
      <w:r>
        <w:rPr>
          <w:spacing w:val="14"/>
        </w:rPr>
        <w:t>先发现或接到信息报告的单位或个人应在</w:t>
      </w:r>
      <w:r>
        <w:rPr>
          <w:spacing w:val="-34"/>
        </w:rPr>
        <w:t xml:space="preserve"> </w:t>
      </w:r>
      <w:r>
        <w:rPr>
          <w:rFonts w:ascii="Times New Roman" w:hAnsi="Times New Roman" w:eastAsia="Times New Roman" w:cs="Times New Roman"/>
          <w:spacing w:val="14"/>
        </w:rPr>
        <w:t>30</w:t>
      </w:r>
      <w:r>
        <w:rPr>
          <w:spacing w:val="7"/>
        </w:rPr>
        <w:t>分钟内向上级业务主管部门、市应急管理指挥</w:t>
      </w:r>
    </w:p>
    <w:p>
      <w:pPr>
        <w:spacing w:line="14" w:lineRule="auto"/>
        <w:rPr>
          <w:rFonts w:ascii="Arial"/>
          <w:sz w:val="2"/>
        </w:rPr>
      </w:pPr>
      <w:r>
        <w:rPr>
          <w:rFonts w:ascii="Arial" w:hAnsi="Arial" w:eastAsia="Arial" w:cs="Arial"/>
          <w:sz w:val="2"/>
          <w:szCs w:val="2"/>
        </w:rPr>
        <w:br w:type="column"/>
      </w:r>
    </w:p>
    <w:p>
      <w:pPr>
        <w:pStyle w:val="BodyText"/>
        <w:ind w:right="66" w:firstLine="1"/>
        <w:spacing w:before="39" w:line="374" w:lineRule="auto"/>
        <w:rPr/>
      </w:pPr>
      <w:r>
        <w:rPr>
          <w:spacing w:val="7"/>
        </w:rPr>
        <w:t>部、市委办、市政府办报告情况，任何单位或</w:t>
      </w:r>
      <w:r>
        <w:rPr>
          <w:spacing w:val="8"/>
        </w:rPr>
        <w:t>个人不得拖延或借故不报。</w:t>
      </w:r>
    </w:p>
    <w:p>
      <w:pPr>
        <w:pStyle w:val="BodyText"/>
        <w:ind w:right="37" w:firstLine="423"/>
        <w:spacing w:before="4" w:line="374" w:lineRule="auto"/>
        <w:jc w:val="both"/>
        <w:rPr/>
      </w:pPr>
      <w:r>
        <w:rPr>
          <w:spacing w:val="6"/>
        </w:rPr>
        <w:t>市应急管理指挥部接到信息报告后，要尽</w:t>
      </w:r>
      <w:r>
        <w:rPr>
          <w:spacing w:val="7"/>
        </w:rPr>
        <w:t>快组织有关专家进行会商或分析研判，对发生</w:t>
      </w:r>
      <w:r>
        <w:rPr>
          <w:spacing w:val="18"/>
        </w:rPr>
        <w:t>和可能引发一般和较大级别的自然灾害救助</w:t>
      </w:r>
      <w:r>
        <w:rPr>
          <w:spacing w:val="7"/>
        </w:rPr>
        <w:t>的监测预测预警信息，向市应急管理指挥部成</w:t>
      </w:r>
      <w:r>
        <w:rPr>
          <w:spacing w:val="7"/>
        </w:rPr>
        <w:t>员单位通报，督促和指导按照相关应急预案做</w:t>
      </w:r>
      <w:r>
        <w:rPr>
          <w:spacing w:val="7"/>
        </w:rPr>
        <w:t>好处置工作，并上报自治区党委、政府；对可</w:t>
      </w:r>
      <w:r>
        <w:rPr>
          <w:spacing w:val="7"/>
        </w:rPr>
        <w:t>能引发重大、特别重大级别的自然灾害救助的</w:t>
      </w:r>
      <w:r>
        <w:rPr>
          <w:spacing w:val="7"/>
        </w:rPr>
        <w:t>监测预测预警信息，市应急管理指挥部要及时</w:t>
      </w:r>
      <w:r>
        <w:rPr>
          <w:spacing w:val="7"/>
        </w:rPr>
        <w:t>报告自治区党委、政府，并上报国务院，必要</w:t>
      </w:r>
      <w:r>
        <w:rPr>
          <w:spacing w:val="7"/>
        </w:rPr>
        <w:t>时由国务院负责应对。按照《宁夏回族自治区</w:t>
      </w:r>
      <w:r>
        <w:rPr>
          <w:spacing w:val="7"/>
        </w:rPr>
        <w:t>突发事件预警信息发布管理办法》，提出预警</w:t>
      </w:r>
      <w:r>
        <w:rPr>
          <w:spacing w:val="-2"/>
        </w:rPr>
        <w:t>信息发布方案，并配合做好预警信息发布工作。</w:t>
      </w:r>
    </w:p>
    <w:p>
      <w:pPr>
        <w:pStyle w:val="BodyText"/>
        <w:ind w:left="2" w:firstLine="423"/>
        <w:spacing w:before="4" w:line="344" w:lineRule="auto"/>
        <w:rPr/>
      </w:pPr>
      <w:r>
        <w:rPr>
          <w:rFonts w:ascii="Times New Roman" w:hAnsi="Times New Roman" w:eastAsia="Times New Roman" w:cs="Times New Roman"/>
          <w:spacing w:val="3"/>
        </w:rPr>
        <w:t>3.3.2 </w:t>
      </w:r>
      <w:r>
        <w:rPr>
          <w:spacing w:val="3"/>
        </w:rPr>
        <w:t>信息报告内容。主要包括：自然灾害</w:t>
      </w:r>
      <w:r>
        <w:rPr>
          <w:spacing w:val="7"/>
        </w:rPr>
        <w:t>发生的时间、地点、简要经过；可能造成的危</w:t>
      </w:r>
      <w:r>
        <w:rPr/>
        <w:t>害程度、影响范围、伤亡人数、直接经济损失；</w:t>
      </w:r>
      <w:r>
        <w:rPr>
          <w:spacing w:val="10"/>
        </w:rPr>
        <w:t>已采取的应急处置措施，事故处置进展情况，</w:t>
      </w:r>
      <w:r>
        <w:rPr>
          <w:spacing w:val="8"/>
        </w:rPr>
        <w:t>下一步拟采取的措施。</w:t>
      </w:r>
    </w:p>
    <w:p>
      <w:pPr>
        <w:pStyle w:val="BodyText"/>
        <w:ind w:left="2" w:right="62" w:firstLine="423"/>
        <w:spacing w:before="163" w:line="337" w:lineRule="auto"/>
        <w:rPr/>
      </w:pPr>
      <w:r>
        <w:rPr>
          <w:rFonts w:ascii="Times New Roman" w:hAnsi="Times New Roman" w:eastAsia="Times New Roman" w:cs="Times New Roman"/>
          <w:spacing w:val="3"/>
        </w:rPr>
        <w:t>3.3.3 </w:t>
      </w:r>
      <w:r>
        <w:rPr>
          <w:spacing w:val="3"/>
        </w:rPr>
        <w:t>预警信息发布。按照《宁夏回族自治</w:t>
      </w:r>
      <w:r>
        <w:rPr>
          <w:spacing w:val="7"/>
        </w:rPr>
        <w:t>区突发事件预警信息发布管理办法》（宁政办</w:t>
      </w:r>
      <w:r>
        <w:rPr>
          <w:spacing w:val="8"/>
        </w:rPr>
        <w:t>﹝</w:t>
      </w:r>
      <w:r>
        <w:rPr>
          <w:rFonts w:ascii="Times New Roman" w:hAnsi="Times New Roman" w:eastAsia="Times New Roman" w:cs="Times New Roman"/>
          <w:spacing w:val="8"/>
        </w:rPr>
        <w:t>2015</w:t>
      </w:r>
      <w:r>
        <w:rPr>
          <w:rFonts w:ascii="Times New Roman" w:hAnsi="Times New Roman" w:eastAsia="Times New Roman" w:cs="Times New Roman"/>
          <w:spacing w:val="51"/>
          <w:w w:val="101"/>
        </w:rPr>
        <w:t xml:space="preserve"> </w:t>
      </w:r>
      <w:r>
        <w:rPr>
          <w:spacing w:val="8"/>
        </w:rPr>
        <w:t>)</w:t>
      </w:r>
      <w:r>
        <w:rPr>
          <w:rFonts w:ascii="Times New Roman" w:hAnsi="Times New Roman" w:eastAsia="Times New Roman" w:cs="Times New Roman"/>
          <w:spacing w:val="8"/>
        </w:rPr>
        <w:t>178 </w:t>
      </w:r>
      <w:r>
        <w:rPr>
          <w:spacing w:val="8"/>
        </w:rPr>
        <w:t>号）要求，预警信息由县级以上</w:t>
      </w:r>
      <w:r>
        <w:rPr>
          <w:spacing w:val="8"/>
        </w:rPr>
        <w:t>政府或其授权的部门或单位发布。</w:t>
      </w:r>
    </w:p>
    <w:p>
      <w:pPr>
        <w:pStyle w:val="BodyText"/>
        <w:ind w:right="14" w:firstLine="425"/>
        <w:spacing w:before="161" w:line="372" w:lineRule="auto"/>
        <w:jc w:val="both"/>
        <w:rPr/>
      </w:pPr>
      <w:r>
        <w:rPr>
          <w:rFonts w:ascii="Times New Roman" w:hAnsi="Times New Roman" w:eastAsia="Times New Roman" w:cs="Times New Roman"/>
          <w:spacing w:val="7"/>
        </w:rPr>
        <w:t>3.4  </w:t>
      </w:r>
      <w:r>
        <w:rPr>
          <w:rFonts w:ascii="KaiTi" w:hAnsi="KaiTi" w:eastAsia="KaiTi" w:cs="KaiTi"/>
          <w:spacing w:val="7"/>
        </w:rPr>
        <w:t>预警行动。</w:t>
      </w:r>
      <w:r>
        <w:rPr>
          <w:spacing w:val="7"/>
        </w:rPr>
        <w:t>市有关部门（单位</w:t>
      </w:r>
      <w:r>
        <w:rPr>
          <w:spacing w:val="-7"/>
        </w:rPr>
        <w:t>）</w:t>
      </w:r>
      <w:r>
        <w:rPr>
          <w:spacing w:val="-49"/>
        </w:rPr>
        <w:t xml:space="preserve"> </w:t>
      </w:r>
      <w:r>
        <w:rPr>
          <w:spacing w:val="-7"/>
        </w:rPr>
        <w:t>，</w:t>
      </w:r>
      <w:r>
        <w:rPr>
          <w:spacing w:val="7"/>
        </w:rPr>
        <w:t>各</w:t>
      </w:r>
      <w:r>
        <w:rPr>
          <w:spacing w:val="7"/>
        </w:rPr>
        <w:t>县（</w:t>
      </w:r>
      <w:r>
        <w:rPr>
          <w:spacing w:val="-43"/>
        </w:rPr>
        <w:t xml:space="preserve"> </w:t>
      </w:r>
      <w:r>
        <w:rPr>
          <w:spacing w:val="7"/>
        </w:rPr>
        <w:t>区）政府、乡镇政府及有关部门（单位）</w:t>
      </w:r>
      <w:r>
        <w:rPr>
          <w:spacing w:val="7"/>
        </w:rPr>
        <w:t>接到预警信息后，应按各自应急预案和相关规</w:t>
      </w:r>
      <w:r>
        <w:rPr>
          <w:spacing w:val="7"/>
        </w:rPr>
        <w:t>定采取有效措施，做好防范应对工作，努力避</w:t>
      </w:r>
      <w:r>
        <w:rPr>
          <w:spacing w:val="8"/>
        </w:rPr>
        <w:t>免或减轻自然灾害损失。</w:t>
      </w:r>
    </w:p>
    <w:p>
      <w:pPr>
        <w:pStyle w:val="BodyText"/>
        <w:ind w:left="2" w:right="66" w:firstLine="419"/>
        <w:spacing w:before="18" w:line="370" w:lineRule="auto"/>
        <w:jc w:val="both"/>
        <w:rPr/>
      </w:pPr>
      <w:r>
        <w:rPr>
          <w:spacing w:val="6"/>
        </w:rPr>
        <w:t>村（居）民委员会、其他基层组织和村社</w:t>
      </w:r>
      <w:r>
        <w:rPr>
          <w:spacing w:val="7"/>
        </w:rPr>
        <w:t>区接到预警信息后，应当进行宣传动员，组织</w:t>
      </w:r>
      <w:r>
        <w:rPr>
          <w:spacing w:val="8"/>
        </w:rPr>
        <w:t>群众做好防范应对工作。</w:t>
      </w:r>
    </w:p>
    <w:p>
      <w:pPr>
        <w:ind w:left="422"/>
        <w:spacing w:before="8" w:line="17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4</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5"/>
        </w:rPr>
        <w:t>应急处置</w:t>
      </w:r>
    </w:p>
    <w:p>
      <w:pPr>
        <w:spacing w:line="172" w:lineRule="auto"/>
        <w:sectPr>
          <w:type w:val="continuous"/>
          <w:pgSz w:w="11906" w:h="16839"/>
          <w:pgMar w:top="1766" w:right="1523" w:bottom="1575" w:left="1579" w:header="1428" w:footer="1172" w:gutter="0"/>
          <w:cols w:equalWidth="0" w:num="2">
            <w:col w:w="4489" w:space="100"/>
            <w:col w:w="4215" w:space="0"/>
          </w:cols>
        </w:sectPr>
        <w:rPr>
          <w:rFonts w:ascii="Microsoft YaHei" w:hAnsi="Microsoft YaHei" w:eastAsia="Microsoft YaHei" w:cs="Microsoft YaHei"/>
          <w:sz w:val="20"/>
          <w:szCs w:val="20"/>
        </w:rPr>
      </w:pPr>
    </w:p>
    <w:p>
      <w:pPr>
        <w:spacing w:before="67"/>
        <w:rPr/>
      </w:pPr>
      <w:r>
        <w:drawing>
          <wp:anchor distT="0" distB="0" distL="0" distR="0" simplePos="0" relativeHeight="252708864"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642" name="IM 1642"/>
            <wp:cNvGraphicFramePr/>
            <a:graphic>
              <a:graphicData uri="http://schemas.openxmlformats.org/drawingml/2006/picture">
                <pic:pic>
                  <pic:nvPicPr>
                    <pic:cNvPr id="1642" name="IM 1642"/>
                    <pic:cNvPicPr/>
                  </pic:nvPicPr>
                  <pic:blipFill>
                    <a:blip r:embed="rId823"/>
                    <a:stretch>
                      <a:fillRect/>
                    </a:stretch>
                  </pic:blipFill>
                  <pic:spPr>
                    <a:xfrm rot="0">
                      <a:off x="0" y="0"/>
                      <a:ext cx="5579745" cy="7620"/>
                    </a:xfrm>
                    <a:prstGeom prst="rect">
                      <a:avLst/>
                    </a:prstGeom>
                  </pic:spPr>
                </pic:pic>
              </a:graphicData>
            </a:graphic>
          </wp:anchor>
        </w:drawing>
      </w:r>
      <w:r/>
    </w:p>
    <w:p>
      <w:pPr>
        <w:sectPr>
          <w:headerReference w:type="default" r:id="rId816"/>
          <w:footerReference w:type="default" r:id="rId822"/>
          <w:pgSz w:w="11906" w:h="16839"/>
          <w:pgMar w:top="1772" w:right="1489" w:bottom="1584" w:left="1567" w:header="1428" w:footer="1172" w:gutter="0"/>
          <w:cols w:equalWidth="0" w:num="1">
            <w:col w:w="8850" w:space="0"/>
          </w:cols>
        </w:sectPr>
        <w:rPr/>
      </w:pPr>
    </w:p>
    <w:p>
      <w:pPr>
        <w:pStyle w:val="BodyText"/>
        <w:ind w:left="25" w:right="266" w:firstLine="419"/>
        <w:spacing w:before="48" w:line="361" w:lineRule="auto"/>
        <w:rPr/>
      </w:pPr>
      <w:r>
        <w:rPr>
          <w:rFonts w:ascii="Times New Roman" w:hAnsi="Times New Roman" w:eastAsia="Times New Roman" w:cs="Times New Roman"/>
          <w:spacing w:val="7"/>
        </w:rPr>
        <w:t>4.</w:t>
      </w:r>
      <w:r>
        <w:rPr>
          <w:rFonts w:ascii="Times New Roman" w:hAnsi="Times New Roman" w:eastAsia="Times New Roman" w:cs="Times New Roman"/>
          <w:spacing w:val="-22"/>
        </w:rPr>
        <w:t xml:space="preserve"> </w:t>
      </w:r>
      <w:r>
        <w:rPr>
          <w:rFonts w:ascii="Times New Roman" w:hAnsi="Times New Roman" w:eastAsia="Times New Roman" w:cs="Times New Roman"/>
          <w:spacing w:val="7"/>
        </w:rPr>
        <w:t>1  </w:t>
      </w:r>
      <w:r>
        <w:rPr>
          <w:rFonts w:ascii="KaiTi" w:hAnsi="KaiTi" w:eastAsia="KaiTi" w:cs="KaiTi"/>
          <w:spacing w:val="7"/>
        </w:rPr>
        <w:t>先期处置。</w:t>
      </w:r>
      <w:r>
        <w:rPr>
          <w:spacing w:val="7"/>
        </w:rPr>
        <w:t>当自然灾害达到预警级别</w:t>
      </w:r>
      <w:r>
        <w:rPr>
          <w:spacing w:val="7"/>
        </w:rPr>
        <w:t>时，应立即启动应急响应，必要时成立现场指</w:t>
      </w:r>
      <w:r>
        <w:rPr>
          <w:spacing w:val="7"/>
        </w:rPr>
        <w:t>挥部。在采取紧急措施的同时，向市应急管理</w:t>
      </w:r>
      <w:r>
        <w:rPr>
          <w:spacing w:val="7"/>
        </w:rPr>
        <w:t>指挥部报告。根据现场情况，及时收集、掌握</w:t>
      </w:r>
      <w:r>
        <w:rPr>
          <w:spacing w:val="7"/>
        </w:rPr>
        <w:t>相关信息，判明事件性质和危害程度，并及时</w:t>
      </w:r>
      <w:r>
        <w:rPr>
          <w:spacing w:val="7"/>
        </w:rPr>
        <w:t>上报事态的发展变化情况。对特大、重大、较</w:t>
      </w:r>
      <w:r>
        <w:rPr>
          <w:spacing w:val="7"/>
        </w:rPr>
        <w:t>大突发自然灾害事件或者有向特大、重大、较</w:t>
      </w:r>
      <w:r>
        <w:rPr>
          <w:spacing w:val="7"/>
        </w:rPr>
        <w:t>大突发自然灾害趋势发展的，自然灾害发生地</w:t>
      </w:r>
      <w:r>
        <w:rPr>
          <w:spacing w:val="-2"/>
        </w:rPr>
        <w:t>县（</w:t>
      </w:r>
      <w:r>
        <w:rPr>
          <w:spacing w:val="-50"/>
        </w:rPr>
        <w:t xml:space="preserve"> </w:t>
      </w:r>
      <w:r>
        <w:rPr>
          <w:spacing w:val="-2"/>
        </w:rPr>
        <w:t>区）政府和相关单位要第一时间赶赴现场，</w:t>
      </w:r>
      <w:r>
        <w:rPr>
          <w:spacing w:val="7"/>
        </w:rPr>
        <w:t>组织开展先期处置工作，并向市指挥部上传视</w:t>
      </w:r>
      <w:r>
        <w:rPr>
          <w:spacing w:val="6"/>
        </w:rPr>
        <w:t>图信息。</w:t>
      </w:r>
    </w:p>
    <w:p>
      <w:pPr>
        <w:pStyle w:val="BodyText"/>
        <w:ind w:left="24" w:right="325" w:firstLine="420"/>
        <w:spacing w:before="161" w:line="324" w:lineRule="auto"/>
        <w:rPr/>
      </w:pPr>
      <w:r>
        <w:rPr>
          <w:rFonts w:ascii="Times New Roman" w:hAnsi="Times New Roman" w:eastAsia="Times New Roman" w:cs="Times New Roman"/>
          <w:spacing w:val="8"/>
        </w:rPr>
        <w:t>4.2  </w:t>
      </w:r>
      <w:r>
        <w:rPr>
          <w:rFonts w:ascii="KaiTi" w:hAnsi="KaiTi" w:eastAsia="KaiTi" w:cs="KaiTi"/>
          <w:spacing w:val="8"/>
        </w:rPr>
        <w:t>响应分级。</w:t>
      </w:r>
      <w:r>
        <w:rPr>
          <w:spacing w:val="8"/>
        </w:rPr>
        <w:t>根据自然灾害分级情况，</w:t>
      </w:r>
      <w:r>
        <w:rPr>
          <w:spacing w:val="6"/>
        </w:rPr>
        <w:t>将自然灾害应急响应分为</w:t>
      </w:r>
      <w:r>
        <w:rPr>
          <w:spacing w:val="-25"/>
        </w:rPr>
        <w:t xml:space="preserve"> </w:t>
      </w:r>
      <w:r>
        <w:rPr>
          <w:rFonts w:ascii="Times New Roman" w:hAnsi="Times New Roman" w:eastAsia="Times New Roman" w:cs="Times New Roman"/>
          <w:spacing w:val="6"/>
        </w:rPr>
        <w:t>I </w:t>
      </w:r>
      <w:r>
        <w:rPr>
          <w:spacing w:val="6"/>
        </w:rPr>
        <w:t>级、</w:t>
      </w:r>
      <w:r>
        <w:rPr>
          <w:rFonts w:ascii="Times New Roman" w:hAnsi="Times New Roman" w:eastAsia="Times New Roman" w:cs="Times New Roman"/>
        </w:rPr>
        <w:t>II</w:t>
      </w:r>
      <w:r>
        <w:rPr>
          <w:rFonts w:ascii="Times New Roman" w:hAnsi="Times New Roman" w:eastAsia="Times New Roman" w:cs="Times New Roman"/>
          <w:spacing w:val="6"/>
        </w:rPr>
        <w:t xml:space="preserve"> </w:t>
      </w:r>
      <w:r>
        <w:rPr>
          <w:spacing w:val="6"/>
        </w:rPr>
        <w:t>级、</w:t>
      </w:r>
      <w:r>
        <w:rPr>
          <w:rFonts w:ascii="Times New Roman" w:hAnsi="Times New Roman" w:eastAsia="Times New Roman" w:cs="Times New Roman"/>
        </w:rPr>
        <w:t>III</w:t>
      </w:r>
      <w:r>
        <w:rPr>
          <w:rFonts w:ascii="Times New Roman" w:hAnsi="Times New Roman" w:eastAsia="Times New Roman" w:cs="Times New Roman"/>
          <w:spacing w:val="6"/>
        </w:rPr>
        <w:t xml:space="preserve"> </w:t>
      </w:r>
      <w:r>
        <w:rPr>
          <w:spacing w:val="6"/>
        </w:rPr>
        <w:t>级和</w:t>
      </w:r>
      <w:r>
        <w:rPr>
          <w:rFonts w:ascii="Times New Roman" w:hAnsi="Times New Roman" w:eastAsia="Times New Roman" w:cs="Times New Roman"/>
        </w:rPr>
        <w:t>IV</w:t>
      </w:r>
      <w:r>
        <w:rPr>
          <w:rFonts w:ascii="Times New Roman" w:hAnsi="Times New Roman" w:eastAsia="Times New Roman" w:cs="Times New Roman"/>
          <w:spacing w:val="12"/>
        </w:rPr>
        <w:t xml:space="preserve"> </w:t>
      </w:r>
      <w:r>
        <w:rPr>
          <w:spacing w:val="3"/>
        </w:rPr>
        <w:t>级。</w:t>
      </w:r>
    </w:p>
    <w:p>
      <w:pPr>
        <w:pStyle w:val="BodyText"/>
        <w:ind w:left="25" w:right="249" w:firstLine="412"/>
        <w:spacing w:before="167" w:line="361" w:lineRule="auto"/>
        <w:rPr/>
      </w:pPr>
      <w:r>
        <w:rPr>
          <w:spacing w:val="1"/>
        </w:rPr>
        <w:t>（</w:t>
      </w:r>
      <w:r>
        <w:rPr>
          <w:spacing w:val="-33"/>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1"/>
        </w:rPr>
        <w:t xml:space="preserve"> </w:t>
      </w:r>
      <w:r>
        <w:rPr>
          <w:spacing w:val="1"/>
        </w:rPr>
        <w:t>）</w:t>
      </w:r>
      <w:r>
        <w:rPr>
          <w:rFonts w:ascii="Times New Roman" w:hAnsi="Times New Roman" w:eastAsia="Times New Roman" w:cs="Times New Roman"/>
          <w:spacing w:val="1"/>
        </w:rPr>
        <w:t>I </w:t>
      </w:r>
      <w:r>
        <w:rPr>
          <w:spacing w:val="1"/>
        </w:rPr>
        <w:t>级响应：可能或已经发生特别重大</w:t>
      </w:r>
      <w:r>
        <w:rPr>
          <w:spacing w:val="7"/>
        </w:rPr>
        <w:t>自然灾害时，市应急管理指挥部办公室组织指</w:t>
      </w:r>
      <w:r>
        <w:rPr>
          <w:spacing w:val="7"/>
        </w:rPr>
        <w:t>挥部成员单位、专家组紧急会商对灾害影响及</w:t>
      </w:r>
      <w:r>
        <w:rPr>
          <w:spacing w:val="7"/>
        </w:rPr>
        <w:t>其发展趋势进行分析研判后，由市应急管理指</w:t>
      </w:r>
      <w:r>
        <w:rPr>
          <w:spacing w:val="7"/>
        </w:rPr>
        <w:t>挥部向市政府提出启动</w:t>
      </w:r>
      <w:r>
        <w:rPr>
          <w:rFonts w:ascii="Times New Roman" w:hAnsi="Times New Roman" w:eastAsia="Times New Roman" w:cs="Times New Roman"/>
          <w:spacing w:val="7"/>
        </w:rPr>
        <w:t>Ⅰ</w:t>
      </w:r>
      <w:r>
        <w:rPr>
          <w:spacing w:val="7"/>
        </w:rPr>
        <w:t>级响应建议，经批准，</w:t>
      </w:r>
      <w:r>
        <w:rPr>
          <w:spacing w:val="8"/>
        </w:rPr>
        <w:t>由市政府宣布启动</w:t>
      </w:r>
      <w:r>
        <w:rPr>
          <w:spacing w:val="-40"/>
        </w:rPr>
        <w:t xml:space="preserve"> </w:t>
      </w:r>
      <w:r>
        <w:rPr>
          <w:rFonts w:ascii="Times New Roman" w:hAnsi="Times New Roman" w:eastAsia="Times New Roman" w:cs="Times New Roman"/>
          <w:spacing w:val="8"/>
        </w:rPr>
        <w:t>I </w:t>
      </w:r>
      <w:r>
        <w:rPr>
          <w:spacing w:val="8"/>
        </w:rPr>
        <w:t>级响应。市政府统一领导</w:t>
      </w:r>
      <w:r>
        <w:rPr>
          <w:spacing w:val="-2"/>
        </w:rPr>
        <w:t>和指挥市应急管理指挥部和有关县（</w:t>
      </w:r>
      <w:r>
        <w:rPr>
          <w:spacing w:val="-32"/>
        </w:rPr>
        <w:t xml:space="preserve"> </w:t>
      </w:r>
      <w:r>
        <w:rPr>
          <w:spacing w:val="-2"/>
        </w:rPr>
        <w:t>区）单位、</w:t>
      </w:r>
      <w:r>
        <w:rPr>
          <w:spacing w:val="7"/>
        </w:rPr>
        <w:t>部门组织开展应急处置各项工作；视情况，市</w:t>
      </w:r>
      <w:r>
        <w:rPr>
          <w:spacing w:val="7"/>
        </w:rPr>
        <w:t>政府和市应急管理指挥部可向自治区政府、自</w:t>
      </w:r>
      <w:r>
        <w:rPr>
          <w:spacing w:val="18"/>
        </w:rPr>
        <w:t>治区应急管理指挥部或有关厅局提出支援或</w:t>
      </w:r>
      <w:r>
        <w:rPr>
          <w:spacing w:val="9"/>
        </w:rPr>
        <w:t>委派工作组来固原指导防汛应急处置工作。</w:t>
      </w:r>
    </w:p>
    <w:p>
      <w:pPr>
        <w:pStyle w:val="BodyText"/>
        <w:ind w:left="25" w:right="307" w:firstLine="411"/>
        <w:spacing w:before="162" w:line="353" w:lineRule="auto"/>
        <w:rPr/>
      </w:pPr>
      <w:r>
        <w:rPr>
          <w:spacing w:val="3"/>
        </w:rPr>
        <w:t>（</w:t>
      </w:r>
      <w:r>
        <w:rPr>
          <w:rFonts w:ascii="Times New Roman" w:hAnsi="Times New Roman" w:eastAsia="Times New Roman" w:cs="Times New Roman"/>
          <w:spacing w:val="3"/>
        </w:rPr>
        <w:t>2</w:t>
      </w:r>
      <w:r>
        <w:rPr>
          <w:rFonts w:ascii="Times New Roman" w:hAnsi="Times New Roman" w:eastAsia="Times New Roman" w:cs="Times New Roman"/>
          <w:spacing w:val="-4"/>
        </w:rPr>
        <w:t xml:space="preserve"> </w:t>
      </w:r>
      <w:r>
        <w:rPr>
          <w:spacing w:val="3"/>
        </w:rPr>
        <w:t>）</w:t>
      </w:r>
      <w:r>
        <w:rPr>
          <w:rFonts w:ascii="Times New Roman" w:hAnsi="Times New Roman" w:eastAsia="Times New Roman" w:cs="Times New Roman"/>
          <w:spacing w:val="3"/>
        </w:rPr>
        <w:t>Ⅱ</w:t>
      </w:r>
      <w:r>
        <w:rPr>
          <w:spacing w:val="3"/>
        </w:rPr>
        <w:t>级响应：可能或已经发生重大自然</w:t>
      </w:r>
      <w:r>
        <w:rPr>
          <w:spacing w:val="7"/>
        </w:rPr>
        <w:t>灾害时，市应急管理指挥部办公室组织指挥部</w:t>
      </w:r>
      <w:r>
        <w:rPr>
          <w:spacing w:val="7"/>
        </w:rPr>
        <w:t>成员单位、专家组紧急会商或对灾害影响及其</w:t>
      </w:r>
      <w:r>
        <w:rPr>
          <w:spacing w:val="7"/>
        </w:rPr>
        <w:t>发展趋势进行分析研判后，向市应急管理指挥</w:t>
      </w:r>
      <w:r>
        <w:rPr>
          <w:spacing w:val="5"/>
        </w:rPr>
        <w:t>部提出启动</w:t>
      </w:r>
      <w:r>
        <w:rPr>
          <w:spacing w:val="-37"/>
        </w:rPr>
        <w:t xml:space="preserve"> </w:t>
      </w:r>
      <w:r>
        <w:rPr>
          <w:rFonts w:ascii="Times New Roman" w:hAnsi="Times New Roman" w:eastAsia="Times New Roman" w:cs="Times New Roman"/>
        </w:rPr>
        <w:t>II</w:t>
      </w:r>
      <w:r>
        <w:rPr>
          <w:rFonts w:ascii="Times New Roman" w:hAnsi="Times New Roman" w:eastAsia="Times New Roman" w:cs="Times New Roman"/>
          <w:spacing w:val="5"/>
        </w:rPr>
        <w:t xml:space="preserve"> </w:t>
      </w:r>
      <w:r>
        <w:rPr>
          <w:spacing w:val="5"/>
        </w:rPr>
        <w:t>级响应建议。由市应急管理指挥</w:t>
      </w:r>
      <w:r>
        <w:rPr>
          <w:spacing w:val="5"/>
        </w:rPr>
        <w:t>部宣布启动</w:t>
      </w:r>
      <w:r>
        <w:rPr>
          <w:spacing w:val="-37"/>
        </w:rPr>
        <w:t xml:space="preserve"> </w:t>
      </w:r>
      <w:r>
        <w:rPr>
          <w:rFonts w:ascii="Times New Roman" w:hAnsi="Times New Roman" w:eastAsia="Times New Roman" w:cs="Times New Roman"/>
        </w:rPr>
        <w:t>II</w:t>
      </w:r>
      <w:r>
        <w:rPr>
          <w:rFonts w:ascii="Times New Roman" w:hAnsi="Times New Roman" w:eastAsia="Times New Roman" w:cs="Times New Roman"/>
          <w:spacing w:val="5"/>
        </w:rPr>
        <w:t xml:space="preserve"> </w:t>
      </w:r>
      <w:r>
        <w:rPr>
          <w:spacing w:val="5"/>
        </w:rPr>
        <w:t>级响应决定，并发布启动相应应</w:t>
      </w:r>
      <w:r>
        <w:rPr>
          <w:spacing w:val="8"/>
        </w:rPr>
        <w:t>急程序的命令。市应急管理指挥部统一领导、</w:t>
      </w:r>
    </w:p>
    <w:p>
      <w:pPr>
        <w:spacing w:line="14" w:lineRule="auto"/>
        <w:rPr>
          <w:rFonts w:ascii="Arial"/>
          <w:sz w:val="2"/>
        </w:rPr>
      </w:pPr>
      <w:r>
        <w:rPr>
          <w:rFonts w:ascii="Arial" w:hAnsi="Arial" w:eastAsia="Arial" w:cs="Arial"/>
          <w:sz w:val="2"/>
          <w:szCs w:val="2"/>
        </w:rPr>
        <w:br w:type="column"/>
      </w:r>
    </w:p>
    <w:p>
      <w:pPr>
        <w:pStyle w:val="BodyText"/>
        <w:ind w:right="101" w:firstLine="2"/>
        <w:spacing w:before="47" w:line="355" w:lineRule="auto"/>
        <w:rPr/>
      </w:pPr>
      <w:r>
        <w:rPr>
          <w:spacing w:val="4"/>
        </w:rPr>
        <w:t>指挥有关县（</w:t>
      </w:r>
      <w:r>
        <w:rPr>
          <w:spacing w:val="-38"/>
        </w:rPr>
        <w:t xml:space="preserve"> </w:t>
      </w:r>
      <w:r>
        <w:rPr>
          <w:spacing w:val="4"/>
        </w:rPr>
        <w:t>区）政府和部门按照职责分工开</w:t>
      </w:r>
      <w:r>
        <w:rPr>
          <w:spacing w:val="8"/>
        </w:rPr>
        <w:t>展自然灾害应对工作。</w:t>
      </w:r>
    </w:p>
    <w:p>
      <w:pPr>
        <w:pStyle w:val="BodyText"/>
        <w:ind w:right="98" w:firstLine="412"/>
        <w:spacing w:before="39" w:line="358"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5"/>
        </w:rPr>
        <w:t xml:space="preserve"> </w:t>
      </w:r>
      <w:r>
        <w:rPr>
          <w:spacing w:val="11"/>
        </w:rPr>
        <w:t>）</w:t>
      </w:r>
      <w:r>
        <w:rPr>
          <w:rFonts w:ascii="Times New Roman" w:hAnsi="Times New Roman" w:eastAsia="Times New Roman" w:cs="Times New Roman"/>
          <w:spacing w:val="11"/>
        </w:rPr>
        <w:t>Ⅲ</w:t>
      </w:r>
      <w:r>
        <w:rPr>
          <w:spacing w:val="11"/>
        </w:rPr>
        <w:t>级响应：可能或已经发生较大自</w:t>
      </w:r>
      <w:r>
        <w:rPr>
          <w:spacing w:val="4"/>
        </w:rPr>
        <w:t>然灾害时，自然灾害发生地县（</w:t>
      </w:r>
      <w:r>
        <w:rPr>
          <w:spacing w:val="-35"/>
        </w:rPr>
        <w:t xml:space="preserve"> </w:t>
      </w:r>
      <w:r>
        <w:rPr>
          <w:spacing w:val="4"/>
        </w:rPr>
        <w:t>区）政府或其</w:t>
      </w:r>
      <w:r>
        <w:rPr>
          <w:spacing w:val="18"/>
        </w:rPr>
        <w:t>应急管理指挥部组织各成员单位和专家进行</w:t>
      </w:r>
      <w:r>
        <w:rPr>
          <w:spacing w:val="15"/>
        </w:rPr>
        <w:t>分析研判</w:t>
      </w:r>
      <w:r>
        <w:rPr>
          <w:spacing w:val="-40"/>
        </w:rPr>
        <w:t xml:space="preserve"> </w:t>
      </w:r>
      <w:r>
        <w:rPr>
          <w:spacing w:val="15"/>
        </w:rPr>
        <w:t>，对自然灾害及其发展趋势进行研</w:t>
      </w:r>
      <w:r>
        <w:rPr>
          <w:spacing w:val="4"/>
        </w:rPr>
        <w:t>判，由自然灾害发生地县（</w:t>
      </w:r>
      <w:r>
        <w:rPr>
          <w:spacing w:val="-35"/>
        </w:rPr>
        <w:t xml:space="preserve"> </w:t>
      </w:r>
      <w:r>
        <w:rPr>
          <w:spacing w:val="4"/>
        </w:rPr>
        <w:t>区）政府或其应急</w:t>
      </w:r>
      <w:r>
        <w:rPr>
          <w:spacing w:val="10"/>
        </w:rPr>
        <w:t>管理指挥部宣布启动</w:t>
      </w:r>
      <w:r>
        <w:rPr>
          <w:spacing w:val="-34"/>
        </w:rPr>
        <w:t xml:space="preserve"> </w:t>
      </w:r>
      <w:r>
        <w:rPr>
          <w:rFonts w:ascii="Times New Roman" w:hAnsi="Times New Roman" w:eastAsia="Times New Roman" w:cs="Times New Roman"/>
        </w:rPr>
        <w:t>III</w:t>
      </w:r>
      <w:r>
        <w:rPr>
          <w:rFonts w:ascii="Times New Roman" w:hAnsi="Times New Roman" w:eastAsia="Times New Roman" w:cs="Times New Roman"/>
          <w:spacing w:val="10"/>
        </w:rPr>
        <w:t xml:space="preserve"> </w:t>
      </w:r>
      <w:r>
        <w:rPr>
          <w:spacing w:val="10"/>
        </w:rPr>
        <w:t>级响应</w:t>
      </w:r>
      <w:r>
        <w:rPr>
          <w:spacing w:val="-59"/>
        </w:rPr>
        <w:t xml:space="preserve"> </w:t>
      </w:r>
      <w:r>
        <w:rPr>
          <w:spacing w:val="10"/>
        </w:rPr>
        <w:t>，并发布启动</w:t>
      </w:r>
      <w:r>
        <w:rPr>
          <w:spacing w:val="7"/>
        </w:rPr>
        <w:t>相应应急程序的命令。必要时，市应急管理指</w:t>
      </w:r>
      <w:r>
        <w:rPr>
          <w:spacing w:val="7"/>
        </w:rPr>
        <w:t>挥部派出工作组赶赴受灾现场，指导自然灾害</w:t>
      </w:r>
      <w:r>
        <w:rPr>
          <w:spacing w:val="9"/>
        </w:rPr>
        <w:t>发生地政府开展自然灾害应急处置工作。</w:t>
      </w:r>
    </w:p>
    <w:p>
      <w:pPr>
        <w:pStyle w:val="BodyText"/>
        <w:ind w:right="98" w:firstLine="412"/>
        <w:spacing w:before="164" w:line="358" w:lineRule="auto"/>
        <w:rPr/>
      </w:pPr>
      <w:r>
        <w:rPr>
          <w:spacing w:val="10"/>
        </w:rPr>
        <w:t>（</w:t>
      </w:r>
      <w:r>
        <w:rPr>
          <w:rFonts w:ascii="Times New Roman" w:hAnsi="Times New Roman" w:eastAsia="Times New Roman" w:cs="Times New Roman"/>
          <w:spacing w:val="10"/>
        </w:rPr>
        <w:t>4</w:t>
      </w:r>
      <w:r>
        <w:rPr>
          <w:rFonts w:ascii="Times New Roman" w:hAnsi="Times New Roman" w:eastAsia="Times New Roman" w:cs="Times New Roman"/>
          <w:spacing w:val="-8"/>
        </w:rPr>
        <w:t xml:space="preserve"> </w:t>
      </w:r>
      <w:r>
        <w:rPr>
          <w:spacing w:val="10"/>
        </w:rPr>
        <w:t>）</w:t>
      </w:r>
      <w:r>
        <w:rPr>
          <w:rFonts w:ascii="Times New Roman" w:hAnsi="Times New Roman" w:eastAsia="Times New Roman" w:cs="Times New Roman"/>
          <w:spacing w:val="10"/>
        </w:rPr>
        <w:t>Ⅳ</w:t>
      </w:r>
      <w:r>
        <w:rPr>
          <w:spacing w:val="10"/>
        </w:rPr>
        <w:t>级响应：可能或已经发生一般自</w:t>
      </w:r>
      <w:r>
        <w:rPr>
          <w:spacing w:val="4"/>
        </w:rPr>
        <w:t>然灾害时，自然灾害发生地县（</w:t>
      </w:r>
      <w:r>
        <w:rPr>
          <w:spacing w:val="-35"/>
        </w:rPr>
        <w:t xml:space="preserve"> </w:t>
      </w:r>
      <w:r>
        <w:rPr>
          <w:spacing w:val="4"/>
        </w:rPr>
        <w:t>区）级政府或</w:t>
      </w:r>
      <w:r>
        <w:rPr>
          <w:spacing w:val="18"/>
        </w:rPr>
        <w:t>其应急管理指挥部组织各成员单位和专家进</w:t>
      </w:r>
      <w:r>
        <w:rPr>
          <w:spacing w:val="7"/>
        </w:rPr>
        <w:t>行分析研判，对自然灾害及其发展趋势进行研</w:t>
      </w:r>
      <w:r>
        <w:rPr>
          <w:spacing w:val="4"/>
        </w:rPr>
        <w:t>判，由自然灾害发生地县（</w:t>
      </w:r>
      <w:r>
        <w:rPr>
          <w:spacing w:val="-35"/>
        </w:rPr>
        <w:t xml:space="preserve"> </w:t>
      </w:r>
      <w:r>
        <w:rPr>
          <w:spacing w:val="4"/>
        </w:rPr>
        <w:t>区）政府或其应急</w:t>
      </w:r>
      <w:r>
        <w:rPr>
          <w:spacing w:val="6"/>
        </w:rPr>
        <w:t>管理指挥部宣布启动</w:t>
      </w:r>
      <w:r>
        <w:rPr>
          <w:rFonts w:ascii="Times New Roman" w:hAnsi="Times New Roman" w:eastAsia="Times New Roman" w:cs="Times New Roman"/>
          <w:spacing w:val="6"/>
        </w:rPr>
        <w:t>Ⅳ</w:t>
      </w:r>
      <w:r>
        <w:rPr>
          <w:spacing w:val="6"/>
        </w:rPr>
        <w:t>级响应，并发布启动相</w:t>
      </w:r>
      <w:r>
        <w:rPr>
          <w:spacing w:val="7"/>
        </w:rPr>
        <w:t>应应急响应的命令。必要时，市应急管理指挥</w:t>
      </w:r>
      <w:r>
        <w:rPr>
          <w:spacing w:val="7"/>
        </w:rPr>
        <w:t>部派出工作组赶赴受灾现场，指导事发地县区</w:t>
      </w:r>
      <w:r>
        <w:rPr>
          <w:spacing w:val="8"/>
        </w:rPr>
        <w:t>政府开展自然灾害应急处置工作。</w:t>
      </w:r>
    </w:p>
    <w:p>
      <w:pPr>
        <w:pStyle w:val="BodyText"/>
        <w:ind w:right="101" w:firstLine="460"/>
        <w:spacing w:before="168" w:line="373" w:lineRule="auto"/>
        <w:jc w:val="both"/>
        <w:rPr/>
      </w:pPr>
      <w:r>
        <w:rPr>
          <w:spacing w:val="4"/>
        </w:rPr>
        <w:t>自然灾害应急响应启动后，可视灾情及其</w:t>
      </w:r>
      <w:r>
        <w:rPr>
          <w:spacing w:val="7"/>
        </w:rPr>
        <w:t>情况对响应级别及时进行相应调整，避免响应</w:t>
      </w:r>
      <w:r>
        <w:rPr>
          <w:spacing w:val="8"/>
        </w:rPr>
        <w:t>不足或响应过度。</w:t>
      </w:r>
    </w:p>
    <w:p>
      <w:pPr>
        <w:ind w:left="420"/>
        <w:spacing w:line="265" w:lineRule="exact"/>
        <w:rPr>
          <w:rFonts w:ascii="KaiTi" w:hAnsi="KaiTi" w:eastAsia="KaiTi" w:cs="KaiTi"/>
          <w:sz w:val="20"/>
          <w:szCs w:val="20"/>
        </w:rPr>
      </w:pPr>
      <w:r>
        <w:rPr>
          <w:rFonts w:ascii="Times New Roman" w:hAnsi="Times New Roman" w:eastAsia="Times New Roman" w:cs="Times New Roman"/>
          <w:sz w:val="20"/>
          <w:szCs w:val="20"/>
          <w:spacing w:val="5"/>
          <w:position w:val="1"/>
        </w:rPr>
        <w:t>4.3  </w:t>
      </w:r>
      <w:r>
        <w:rPr>
          <w:rFonts w:ascii="KaiTi" w:hAnsi="KaiTi" w:eastAsia="KaiTi" w:cs="KaiTi"/>
          <w:sz w:val="20"/>
          <w:szCs w:val="20"/>
          <w:spacing w:val="5"/>
          <w:position w:val="1"/>
        </w:rPr>
        <w:t>响应措施。</w:t>
      </w:r>
    </w:p>
    <w:p>
      <w:pPr>
        <w:pStyle w:val="BodyText"/>
        <w:ind w:right="98" w:firstLine="420"/>
        <w:spacing w:before="151" w:line="373" w:lineRule="auto"/>
        <w:rPr/>
      </w:pPr>
      <w:r>
        <w:rPr>
          <w:rFonts w:ascii="Times New Roman" w:hAnsi="Times New Roman" w:eastAsia="Times New Roman" w:cs="Times New Roman"/>
          <w:spacing w:val="7"/>
        </w:rPr>
        <w:t>4.3.1 I </w:t>
      </w:r>
      <w:r>
        <w:rPr>
          <w:spacing w:val="7"/>
        </w:rPr>
        <w:t>级响应措施。市应急管理指挥部总</w:t>
      </w:r>
      <w:r>
        <w:rPr>
          <w:spacing w:val="7"/>
        </w:rPr>
        <w:t>指挥统一组织、领导、协调市级自然灾害救助</w:t>
      </w:r>
      <w:r>
        <w:rPr>
          <w:spacing w:val="4"/>
        </w:rPr>
        <w:t>工作，指导支持受灾县（</w:t>
      </w:r>
      <w:r>
        <w:rPr>
          <w:spacing w:val="-35"/>
        </w:rPr>
        <w:t xml:space="preserve"> </w:t>
      </w:r>
      <w:r>
        <w:rPr>
          <w:spacing w:val="4"/>
        </w:rPr>
        <w:t>区）自然灾害救助工</w:t>
      </w:r>
      <w:r>
        <w:rPr>
          <w:spacing w:val="7"/>
        </w:rPr>
        <w:t>作。市应急管理指挥部及成员单位视情况采取</w:t>
      </w:r>
      <w:r>
        <w:rPr>
          <w:spacing w:val="6"/>
        </w:rPr>
        <w:t>以下措施：</w:t>
      </w:r>
    </w:p>
    <w:p>
      <w:pPr>
        <w:pStyle w:val="BodyText"/>
        <w:ind w:right="36" w:firstLine="411"/>
        <w:spacing w:line="324" w:lineRule="auto"/>
        <w:jc w:val="both"/>
        <w:rPr/>
      </w:pPr>
      <w:r>
        <w:rPr/>
        <w:t>（</w:t>
      </w:r>
      <w:r>
        <w:rPr>
          <w:spacing w:val="-32"/>
        </w:rPr>
        <w:t xml:space="preserve"> </w:t>
      </w:r>
      <w:r>
        <w:rPr>
          <w:rFonts w:ascii="Times New Roman" w:hAnsi="Times New Roman" w:eastAsia="Times New Roman" w:cs="Times New Roman"/>
        </w:rPr>
        <w:t>1</w:t>
      </w:r>
      <w:r>
        <w:rPr>
          <w:rFonts w:ascii="Times New Roman" w:hAnsi="Times New Roman" w:eastAsia="Times New Roman" w:cs="Times New Roman"/>
          <w:spacing w:val="-21"/>
        </w:rPr>
        <w:t xml:space="preserve"> </w:t>
      </w:r>
      <w:r>
        <w:rPr/>
        <w:t>）市应急管理指挥部召开灾情会商会，</w:t>
      </w:r>
      <w:r>
        <w:rPr>
          <w:spacing w:val="7"/>
        </w:rPr>
        <w:t>市应急管理指挥部各成员单位、专家组成员及</w:t>
      </w:r>
      <w:r>
        <w:rPr>
          <w:spacing w:val="4"/>
        </w:rPr>
        <w:t>有关受灾县（</w:t>
      </w:r>
      <w:r>
        <w:rPr>
          <w:spacing w:val="-36"/>
        </w:rPr>
        <w:t xml:space="preserve"> </w:t>
      </w:r>
      <w:r>
        <w:rPr>
          <w:spacing w:val="4"/>
        </w:rPr>
        <w:t>区）参加，分析、评估灾害损失</w:t>
      </w:r>
    </w:p>
    <w:p>
      <w:pPr>
        <w:spacing w:line="324" w:lineRule="auto"/>
        <w:sectPr>
          <w:type w:val="continuous"/>
          <w:pgSz w:w="11906" w:h="16839"/>
          <w:pgMar w:top="1772" w:right="1489" w:bottom="1584" w:left="1567" w:header="1428" w:footer="1172" w:gutter="0"/>
          <w:cols w:equalWidth="0" w:num="2">
            <w:col w:w="4502" w:space="100"/>
            <w:col w:w="4248" w:space="0"/>
          </w:cols>
        </w:sectPr>
        <w:rPr/>
      </w:pPr>
    </w:p>
    <w:p>
      <w:pPr>
        <w:spacing w:before="83"/>
        <w:rPr/>
      </w:pPr>
      <w:r>
        <w:drawing>
          <wp:anchor distT="0" distB="0" distL="0" distR="0" simplePos="0" relativeHeight="252720128"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646" name="IM 1646"/>
            <wp:cNvGraphicFramePr/>
            <a:graphic>
              <a:graphicData uri="http://schemas.openxmlformats.org/drawingml/2006/picture">
                <pic:pic>
                  <pic:nvPicPr>
                    <pic:cNvPr id="1646" name="IM 1646"/>
                    <pic:cNvPicPr/>
                  </pic:nvPicPr>
                  <pic:blipFill>
                    <a:blip r:embed="rId825"/>
                    <a:stretch>
                      <a:fillRect/>
                    </a:stretch>
                  </pic:blipFill>
                  <pic:spPr>
                    <a:xfrm rot="0">
                      <a:off x="0" y="0"/>
                      <a:ext cx="5579745" cy="7620"/>
                    </a:xfrm>
                    <a:prstGeom prst="rect">
                      <a:avLst/>
                    </a:prstGeom>
                  </pic:spPr>
                </pic:pic>
              </a:graphicData>
            </a:graphic>
          </wp:anchor>
        </w:drawing>
      </w:r>
      <w:r/>
    </w:p>
    <w:p>
      <w:pPr>
        <w:sectPr>
          <w:headerReference w:type="default" r:id="rId819"/>
          <w:footerReference w:type="default" r:id="rId824"/>
          <w:pgSz w:w="11906" w:h="16839"/>
          <w:pgMar w:top="1766" w:right="1523" w:bottom="1575" w:left="1579" w:header="1428" w:footer="1172" w:gutter="0"/>
          <w:cols w:equalWidth="0" w:num="1">
            <w:col w:w="8803" w:space="0"/>
          </w:cols>
        </w:sectPr>
        <w:rPr/>
      </w:pPr>
    </w:p>
    <w:p>
      <w:pPr>
        <w:pStyle w:val="BodyText"/>
        <w:ind w:left="28" w:right="328" w:hanging="16"/>
        <w:spacing w:before="42" w:line="372" w:lineRule="auto"/>
        <w:rPr/>
      </w:pPr>
      <w:r>
        <w:rPr>
          <w:spacing w:val="7"/>
        </w:rPr>
        <w:t>情况，对灾害的发展进行预测，对指导支持灾</w:t>
      </w:r>
      <w:r>
        <w:rPr>
          <w:spacing w:val="7"/>
        </w:rPr>
        <w:t>区减灾救灾重大事项作出决定。</w:t>
      </w:r>
    </w:p>
    <w:p>
      <w:pPr>
        <w:pStyle w:val="BodyText"/>
        <w:ind w:left="13" w:right="264" w:firstLine="411"/>
        <w:spacing w:before="4" w:line="349" w:lineRule="auto"/>
        <w:rPr/>
      </w:pPr>
      <w:r>
        <w:rPr>
          <w:spacing w:val="3"/>
        </w:rPr>
        <w:t>（</w:t>
      </w:r>
      <w:r>
        <w:rPr>
          <w:rFonts w:ascii="Times New Roman" w:hAnsi="Times New Roman" w:eastAsia="Times New Roman" w:cs="Times New Roman"/>
          <w:spacing w:val="3"/>
        </w:rPr>
        <w:t>2</w:t>
      </w:r>
      <w:r>
        <w:rPr>
          <w:rFonts w:ascii="Times New Roman" w:hAnsi="Times New Roman" w:eastAsia="Times New Roman" w:cs="Times New Roman"/>
          <w:spacing w:val="-10"/>
        </w:rPr>
        <w:t xml:space="preserve"> </w:t>
      </w:r>
      <w:r>
        <w:rPr>
          <w:spacing w:val="3"/>
        </w:rPr>
        <w:t>）根据灾区政府申请和救灾工作需要，</w:t>
      </w:r>
      <w:r>
        <w:rPr>
          <w:spacing w:val="7"/>
        </w:rPr>
        <w:t>市财政局、应急管理局及时下拨自然灾害生活</w:t>
      </w:r>
      <w:r>
        <w:rPr>
          <w:spacing w:val="7"/>
        </w:rPr>
        <w:t>救助资金。市应急管理局紧急调拨生活救助物</w:t>
      </w:r>
      <w:r>
        <w:rPr>
          <w:spacing w:val="7"/>
        </w:rPr>
        <w:t>资，指导、监督基层救灾应急措施的落实和救</w:t>
      </w:r>
      <w:r>
        <w:rPr>
          <w:spacing w:val="7"/>
        </w:rPr>
        <w:t>灾款物的发放；交通、铁路、民航等部门和单</w:t>
      </w:r>
      <w:r>
        <w:rPr>
          <w:spacing w:val="9"/>
        </w:rPr>
        <w:t>位协调指导开展救灾物资、人员运输工作。</w:t>
      </w:r>
    </w:p>
    <w:p>
      <w:pPr>
        <w:pStyle w:val="BodyText"/>
        <w:ind w:left="12" w:right="328" w:firstLine="412"/>
        <w:spacing w:before="162" w:line="345"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）市应急管理指挥部负责人会同有关</w:t>
      </w:r>
      <w:r>
        <w:rPr>
          <w:spacing w:val="7"/>
        </w:rPr>
        <w:t>部门负责人赴灾区慰问受灾群众，了解救灾工</w:t>
      </w:r>
      <w:r>
        <w:rPr>
          <w:spacing w:val="7"/>
        </w:rPr>
        <w:t>作进展情况及灾区需求，帮助指导灾区开展救</w:t>
      </w:r>
      <w:r>
        <w:rPr>
          <w:spacing w:val="7"/>
        </w:rPr>
        <w:t>灾工作。市应急管理指挥部办公室立即组织工</w:t>
      </w:r>
      <w:r>
        <w:rPr>
          <w:spacing w:val="8"/>
        </w:rPr>
        <w:t>作组赴灾区查核灾情。</w:t>
      </w:r>
    </w:p>
    <w:p>
      <w:pPr>
        <w:pStyle w:val="BodyText"/>
        <w:ind w:left="11" w:right="328" w:firstLine="413"/>
        <w:spacing w:before="163" w:line="362" w:lineRule="auto"/>
        <w:rPr/>
      </w:pPr>
      <w:r>
        <w:rPr>
          <w:spacing w:val="12"/>
        </w:rPr>
        <w:t>（</w:t>
      </w:r>
      <w:r>
        <w:rPr>
          <w:rFonts w:ascii="Times New Roman" w:hAnsi="Times New Roman" w:eastAsia="Times New Roman" w:cs="Times New Roman"/>
          <w:spacing w:val="12"/>
        </w:rPr>
        <w:t>4</w:t>
      </w:r>
      <w:r>
        <w:rPr>
          <w:spacing w:val="12"/>
        </w:rPr>
        <w:t>）市应急管理指挥部办公室及时掌握</w:t>
      </w:r>
      <w:r>
        <w:rPr>
          <w:spacing w:val="7"/>
        </w:rPr>
        <w:t>灾情和救灾工作动态信息，适时组织灾情会商</w:t>
      </w:r>
      <w:r>
        <w:rPr>
          <w:spacing w:val="7"/>
        </w:rPr>
        <w:t>评估，按照有关规定统一发布灾情，及时发布</w:t>
      </w:r>
      <w:r>
        <w:rPr>
          <w:spacing w:val="7"/>
        </w:rPr>
        <w:t>灾区需求。市应急管理指挥部有关成员单位做</w:t>
      </w:r>
      <w:r>
        <w:rPr>
          <w:spacing w:val="18"/>
        </w:rPr>
        <w:t>好灾情、灾区需求及救灾工作动态等信息共</w:t>
      </w:r>
      <w:r>
        <w:rPr>
          <w:spacing w:val="6"/>
        </w:rPr>
        <w:t>享，每日</w:t>
      </w:r>
      <w:r>
        <w:rPr>
          <w:spacing w:val="-36"/>
        </w:rPr>
        <w:t xml:space="preserve"> </w:t>
      </w:r>
      <w:r>
        <w:rPr>
          <w:rFonts w:ascii="Times New Roman" w:hAnsi="Times New Roman" w:eastAsia="Times New Roman" w:cs="Times New Roman"/>
          <w:spacing w:val="6"/>
        </w:rPr>
        <w:t>9</w:t>
      </w:r>
      <w:r>
        <w:rPr>
          <w:spacing w:val="6"/>
        </w:rPr>
        <w:t>：</w:t>
      </w:r>
      <w:r>
        <w:rPr>
          <w:rFonts w:ascii="Times New Roman" w:hAnsi="Times New Roman" w:eastAsia="Times New Roman" w:cs="Times New Roman"/>
          <w:spacing w:val="6"/>
        </w:rPr>
        <w:t>00 </w:t>
      </w:r>
      <w:r>
        <w:rPr>
          <w:spacing w:val="6"/>
        </w:rPr>
        <w:t>前向市应急管理指挥部办公室</w:t>
      </w:r>
      <w:r>
        <w:rPr>
          <w:spacing w:val="7"/>
        </w:rPr>
        <w:t>通报有关情况。受灾县（区）政府或应急管理</w:t>
      </w:r>
      <w:r>
        <w:rPr>
          <w:spacing w:val="8"/>
        </w:rPr>
        <w:t>部门每日</w:t>
      </w:r>
      <w:r>
        <w:rPr>
          <w:spacing w:val="-20"/>
        </w:rPr>
        <w:t xml:space="preserve"> </w:t>
      </w:r>
      <w:r>
        <w:rPr>
          <w:rFonts w:ascii="Times New Roman" w:hAnsi="Times New Roman" w:eastAsia="Times New Roman" w:cs="Times New Roman"/>
          <w:spacing w:val="8"/>
        </w:rPr>
        <w:t>10</w:t>
      </w:r>
      <w:r>
        <w:rPr>
          <w:rFonts w:ascii="Times New Roman" w:hAnsi="Times New Roman" w:eastAsia="Times New Roman" w:cs="Times New Roman"/>
          <w:spacing w:val="-10"/>
        </w:rPr>
        <w:t xml:space="preserve"> </w:t>
      </w:r>
      <w:r>
        <w:rPr>
          <w:spacing w:val="8"/>
        </w:rPr>
        <w:t>：</w:t>
      </w:r>
      <w:r>
        <w:rPr>
          <w:rFonts w:ascii="Times New Roman" w:hAnsi="Times New Roman" w:eastAsia="Times New Roman" w:cs="Times New Roman"/>
          <w:spacing w:val="8"/>
        </w:rPr>
        <w:t>00 </w:t>
      </w:r>
      <w:r>
        <w:rPr>
          <w:spacing w:val="8"/>
        </w:rPr>
        <w:t>前向市应急管理指挥部办公</w:t>
      </w:r>
      <w:r>
        <w:rPr>
          <w:spacing w:val="7"/>
        </w:rPr>
        <w:t>室报告灾情和救灾工作动态，重大情况随时报</w:t>
      </w:r>
      <w:r>
        <w:rPr>
          <w:spacing w:val="18"/>
        </w:rPr>
        <w:t>告。市应急管理指挥部办公室执行零报告制</w:t>
      </w:r>
      <w:r>
        <w:rPr>
          <w:spacing w:val="8"/>
        </w:rPr>
        <w:t>度，每日</w:t>
      </w:r>
      <w:r>
        <w:rPr>
          <w:spacing w:val="-20"/>
        </w:rPr>
        <w:t xml:space="preserve"> </w:t>
      </w:r>
      <w:r>
        <w:rPr>
          <w:rFonts w:ascii="Times New Roman" w:hAnsi="Times New Roman" w:eastAsia="Times New Roman" w:cs="Times New Roman"/>
          <w:spacing w:val="8"/>
        </w:rPr>
        <w:t>11</w:t>
      </w:r>
      <w:r>
        <w:rPr>
          <w:rFonts w:ascii="Times New Roman" w:hAnsi="Times New Roman" w:eastAsia="Times New Roman" w:cs="Times New Roman"/>
          <w:spacing w:val="-10"/>
        </w:rPr>
        <w:t xml:space="preserve"> </w:t>
      </w:r>
      <w:r>
        <w:rPr>
          <w:spacing w:val="8"/>
        </w:rPr>
        <w:t>：</w:t>
      </w:r>
      <w:r>
        <w:rPr>
          <w:rFonts w:ascii="Times New Roman" w:hAnsi="Times New Roman" w:eastAsia="Times New Roman" w:cs="Times New Roman"/>
          <w:spacing w:val="8"/>
        </w:rPr>
        <w:t>00 </w:t>
      </w:r>
      <w:r>
        <w:rPr>
          <w:spacing w:val="8"/>
        </w:rPr>
        <w:t>前汇总灾害信息，报自治区</w:t>
      </w:r>
      <w:r>
        <w:rPr>
          <w:spacing w:val="8"/>
        </w:rPr>
        <w:t>应急管理厅和市委、市政府。</w:t>
      </w:r>
    </w:p>
    <w:p>
      <w:pPr>
        <w:pStyle w:val="BodyText"/>
        <w:ind w:left="13" w:right="308" w:firstLine="411"/>
        <w:spacing w:before="165" w:line="300" w:lineRule="auto"/>
        <w:rPr/>
      </w:pPr>
      <w:r>
        <w:rPr>
          <w:spacing w:val="8"/>
        </w:rPr>
        <w:t>（</w:t>
      </w:r>
      <w:r>
        <w:rPr>
          <w:spacing w:val="-45"/>
        </w:rPr>
        <w:t xml:space="preserve"> </w:t>
      </w:r>
      <w:r>
        <w:rPr>
          <w:rFonts w:ascii="Times New Roman" w:hAnsi="Times New Roman" w:eastAsia="Times New Roman" w:cs="Times New Roman"/>
          <w:spacing w:val="8"/>
        </w:rPr>
        <w:t>5</w:t>
      </w:r>
      <w:r>
        <w:rPr>
          <w:rFonts w:ascii="Times New Roman" w:hAnsi="Times New Roman" w:eastAsia="Times New Roman" w:cs="Times New Roman"/>
          <w:spacing w:val="-19"/>
        </w:rPr>
        <w:t xml:space="preserve"> </w:t>
      </w:r>
      <w:r>
        <w:rPr>
          <w:spacing w:val="8"/>
        </w:rPr>
        <w:t>）公安部门加强灾区社会治安和道路</w:t>
      </w:r>
      <w:r>
        <w:rPr>
          <w:spacing w:val="8"/>
        </w:rPr>
        <w:t>交通应急管理，协助组织灾区群众紧急转移。</w:t>
      </w:r>
    </w:p>
    <w:p>
      <w:pPr>
        <w:pStyle w:val="BodyText"/>
        <w:ind w:left="13" w:right="321" w:firstLine="411"/>
        <w:spacing w:before="162" w:line="324" w:lineRule="auto"/>
        <w:rPr/>
      </w:pPr>
      <w:r>
        <w:rPr>
          <w:spacing w:val="8"/>
        </w:rPr>
        <w:t>（</w:t>
      </w:r>
      <w:r>
        <w:rPr>
          <w:rFonts w:ascii="Times New Roman" w:hAnsi="Times New Roman" w:eastAsia="Times New Roman" w:cs="Times New Roman"/>
          <w:spacing w:val="8"/>
        </w:rPr>
        <w:t>6</w:t>
      </w:r>
      <w:r>
        <w:rPr>
          <w:rFonts w:ascii="Times New Roman" w:hAnsi="Times New Roman" w:eastAsia="Times New Roman" w:cs="Times New Roman"/>
          <w:spacing w:val="-5"/>
        </w:rPr>
        <w:t xml:space="preserve"> </w:t>
      </w:r>
      <w:r>
        <w:rPr>
          <w:spacing w:val="8"/>
        </w:rPr>
        <w:t>）驻固部队根据军地联动机制</w:t>
      </w:r>
      <w:r>
        <w:rPr>
          <w:spacing w:val="-59"/>
        </w:rPr>
        <w:t xml:space="preserve"> </w:t>
      </w:r>
      <w:r>
        <w:rPr>
          <w:spacing w:val="8"/>
        </w:rPr>
        <w:t>，组织</w:t>
      </w:r>
      <w:r>
        <w:rPr>
          <w:spacing w:val="7"/>
        </w:rPr>
        <w:t>协调武警、民兵、预备役部队参加抢险救灾，</w:t>
      </w:r>
      <w:r>
        <w:rPr>
          <w:spacing w:val="9"/>
        </w:rPr>
        <w:t>必要时协助地方运送、发放救灾物资。</w:t>
      </w:r>
    </w:p>
    <w:p>
      <w:pPr>
        <w:pStyle w:val="BodyText"/>
        <w:ind w:left="14" w:right="248" w:firstLine="409"/>
        <w:spacing w:before="165" w:line="298" w:lineRule="auto"/>
        <w:rPr/>
      </w:pPr>
      <w:r>
        <w:rPr>
          <w:spacing w:val="4"/>
        </w:rPr>
        <w:t>（</w:t>
      </w:r>
      <w:r>
        <w:rPr>
          <w:rFonts w:ascii="Times New Roman" w:hAnsi="Times New Roman" w:eastAsia="Times New Roman" w:cs="Times New Roman"/>
          <w:spacing w:val="4"/>
        </w:rPr>
        <w:t>7</w:t>
      </w:r>
      <w:r>
        <w:rPr>
          <w:rFonts w:ascii="Times New Roman" w:hAnsi="Times New Roman" w:eastAsia="Times New Roman" w:cs="Times New Roman"/>
          <w:spacing w:val="-13"/>
        </w:rPr>
        <w:t xml:space="preserve"> </w:t>
      </w:r>
      <w:r>
        <w:rPr>
          <w:spacing w:val="4"/>
        </w:rPr>
        <w:t>）市发展和改革委员会、农业农村局、</w:t>
      </w:r>
      <w:r>
        <w:rPr>
          <w:spacing w:val="7"/>
        </w:rPr>
        <w:t>商务投资局保障灾区市场供应和价格稳定；市</w:t>
      </w:r>
    </w:p>
    <w:p>
      <w:pPr>
        <w:spacing w:line="14" w:lineRule="auto"/>
        <w:rPr>
          <w:rFonts w:ascii="Arial"/>
          <w:sz w:val="2"/>
        </w:rPr>
      </w:pPr>
      <w:r>
        <w:rPr>
          <w:rFonts w:ascii="Arial" w:hAnsi="Arial" w:eastAsia="Arial" w:cs="Arial"/>
          <w:sz w:val="2"/>
          <w:szCs w:val="2"/>
        </w:rPr>
        <w:br w:type="column"/>
      </w:r>
    </w:p>
    <w:p>
      <w:pPr>
        <w:pStyle w:val="BodyText"/>
        <w:ind w:firstLine="3"/>
        <w:spacing w:before="32" w:line="375" w:lineRule="auto"/>
        <w:jc w:val="both"/>
        <w:rPr/>
      </w:pPr>
      <w:r>
        <w:rPr>
          <w:spacing w:val="18"/>
        </w:rPr>
        <w:t>工业和信息化局组织基础电信运营企业做好</w:t>
      </w:r>
      <w:r>
        <w:rPr>
          <w:spacing w:val="7"/>
        </w:rPr>
        <w:t>应急通信保障工作，负责协调灾区煤电油运及</w:t>
      </w:r>
      <w:r>
        <w:rPr/>
        <w:t>重要原料、重要消费品的生产、供需衔接工作；</w:t>
      </w:r>
      <w:r>
        <w:rPr>
          <w:spacing w:val="18"/>
        </w:rPr>
        <w:t>市住房和城乡建设局指导灾区灾后房屋建筑</w:t>
      </w:r>
      <w:r>
        <w:rPr>
          <w:spacing w:val="10"/>
        </w:rPr>
        <w:t>和市政基础设施工程的安全应急评估等工作；</w:t>
      </w:r>
      <w:r>
        <w:rPr>
          <w:spacing w:val="7"/>
        </w:rPr>
        <w:t>市水务局指导灾区防洪工程抢险、水利工程修</w:t>
      </w:r>
      <w:r>
        <w:rPr>
          <w:spacing w:val="7"/>
        </w:rPr>
        <w:t>复、水利行业供水和乡镇应急供水工作；市卫</w:t>
      </w:r>
      <w:r>
        <w:rPr>
          <w:spacing w:val="18"/>
        </w:rPr>
        <w:t>生健康委员会及时组织医疗卫生队伍赴灾区</w:t>
      </w:r>
      <w:r>
        <w:rPr>
          <w:spacing w:val="7"/>
        </w:rPr>
        <w:t>协助开展医疗救治、卫生防疫和心理援助等工</w:t>
      </w:r>
      <w:r>
        <w:rPr>
          <w:spacing w:val="7"/>
        </w:rPr>
        <w:t>作；市科学技术局提供科技方面的综合咨询建</w:t>
      </w:r>
      <w:r>
        <w:rPr>
          <w:spacing w:val="7"/>
        </w:rPr>
        <w:t>议，协调适用于灾区救援的科技成果支持救灾</w:t>
      </w:r>
      <w:r>
        <w:rPr>
          <w:spacing w:val="10"/>
        </w:rPr>
        <w:t>工作；市自然资源局准备灾区地理信息数据，</w:t>
      </w:r>
      <w:r>
        <w:rPr>
          <w:spacing w:val="7"/>
        </w:rPr>
        <w:t>组织灾区现场影像获取等应急测绘，开展灾情</w:t>
      </w:r>
      <w:r>
        <w:rPr>
          <w:spacing w:val="9"/>
        </w:rPr>
        <w:t>监测和空间分析，提供应急测绘保障服务。</w:t>
      </w:r>
    </w:p>
    <w:p>
      <w:pPr>
        <w:pStyle w:val="BodyText"/>
        <w:ind w:left="2" w:right="69" w:firstLine="411"/>
        <w:spacing w:before="4" w:line="336" w:lineRule="auto"/>
        <w:rPr/>
      </w:pPr>
      <w:r>
        <w:rPr>
          <w:spacing w:val="10"/>
        </w:rPr>
        <w:t>（</w:t>
      </w:r>
      <w:r>
        <w:rPr>
          <w:spacing w:val="-50"/>
        </w:rPr>
        <w:t xml:space="preserve"> </w:t>
      </w:r>
      <w:r>
        <w:rPr>
          <w:rFonts w:ascii="Times New Roman" w:hAnsi="Times New Roman" w:eastAsia="Times New Roman" w:cs="Times New Roman"/>
          <w:spacing w:val="10"/>
        </w:rPr>
        <w:t>8</w:t>
      </w:r>
      <w:r>
        <w:rPr>
          <w:spacing w:val="10"/>
        </w:rPr>
        <w:t>）文化旅广播电视局及相关部门（单</w:t>
      </w:r>
      <w:r>
        <w:rPr>
          <w:spacing w:val="7"/>
        </w:rPr>
        <w:t>位）根据市委、市政府的安排部署，组织相关</w:t>
      </w:r>
      <w:r>
        <w:rPr>
          <w:spacing w:val="17"/>
        </w:rPr>
        <w:t>部门做好新闻宣传和特别重大自然灾害灾情</w:t>
      </w:r>
      <w:r>
        <w:rPr>
          <w:spacing w:val="7"/>
        </w:rPr>
        <w:t>信息发布等工作。</w:t>
      </w:r>
    </w:p>
    <w:p>
      <w:pPr>
        <w:pStyle w:val="BodyText"/>
        <w:ind w:firstLine="413"/>
        <w:spacing w:before="163" w:line="337" w:lineRule="auto"/>
        <w:rPr/>
      </w:pPr>
      <w:r>
        <w:rPr>
          <w:spacing w:val="3"/>
        </w:rPr>
        <w:t>（</w:t>
      </w:r>
      <w:r>
        <w:rPr>
          <w:rFonts w:ascii="Times New Roman" w:hAnsi="Times New Roman" w:eastAsia="Times New Roman" w:cs="Times New Roman"/>
          <w:spacing w:val="3"/>
        </w:rPr>
        <w:t>9</w:t>
      </w:r>
      <w:r>
        <w:rPr>
          <w:rFonts w:ascii="Times New Roman" w:hAnsi="Times New Roman" w:eastAsia="Times New Roman" w:cs="Times New Roman"/>
          <w:spacing w:val="-7"/>
        </w:rPr>
        <w:t xml:space="preserve"> </w:t>
      </w:r>
      <w:r>
        <w:rPr>
          <w:spacing w:val="3"/>
        </w:rPr>
        <w:t>）市民政局向社会发布救灾捐赠公告；</w:t>
      </w:r>
      <w:r>
        <w:rPr>
          <w:spacing w:val="7"/>
        </w:rPr>
        <w:t>会同公益性社会组织开展向灾区捐赠活动，参</w:t>
      </w:r>
      <w:r>
        <w:rPr>
          <w:spacing w:val="7"/>
        </w:rPr>
        <w:t>与灾害救助工作；指导固原红十字会和慈善总</w:t>
      </w:r>
      <w:r>
        <w:rPr>
          <w:spacing w:val="9"/>
        </w:rPr>
        <w:t>会等组织使用接收的捐赠资金。</w:t>
      </w:r>
    </w:p>
    <w:p>
      <w:pPr>
        <w:pStyle w:val="BodyText"/>
        <w:ind w:right="66" w:firstLine="413"/>
        <w:spacing w:before="161" w:line="345" w:lineRule="auto"/>
        <w:rPr/>
      </w:pPr>
      <w:r>
        <w:rPr>
          <w:spacing w:val="2"/>
        </w:rPr>
        <w:t>（</w:t>
      </w:r>
      <w:r>
        <w:rPr>
          <w:spacing w:val="-35"/>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20"/>
        </w:rPr>
        <w:t xml:space="preserve"> </w:t>
      </w:r>
      <w:r>
        <w:rPr>
          <w:spacing w:val="2"/>
        </w:rPr>
        <w:t>）灾情稳定后，根据市政府或自治区</w:t>
      </w:r>
      <w:r>
        <w:rPr>
          <w:spacing w:val="7"/>
        </w:rPr>
        <w:t>应急厅关于灾害评估工作的有关要求，市应急</w:t>
      </w:r>
      <w:r>
        <w:rPr>
          <w:spacing w:val="18"/>
        </w:rPr>
        <w:t>管理指挥部组织有关部门组织开展灾害损失</w:t>
      </w:r>
      <w:r>
        <w:rPr>
          <w:spacing w:val="7"/>
        </w:rPr>
        <w:t>综合评估工作。按照有关规定统一发布自然灾</w:t>
      </w:r>
      <w:r>
        <w:rPr>
          <w:spacing w:val="7"/>
        </w:rPr>
        <w:t>害损失情况。</w:t>
      </w:r>
    </w:p>
    <w:p>
      <w:pPr>
        <w:pStyle w:val="BodyText"/>
        <w:ind w:left="6" w:right="66" w:firstLine="407"/>
        <w:spacing w:before="163" w:line="300" w:lineRule="auto"/>
        <w:rPr/>
      </w:pPr>
      <w:r>
        <w:rPr>
          <w:spacing w:val="2"/>
        </w:rPr>
        <w:t>（</w:t>
      </w:r>
      <w:r>
        <w:rPr>
          <w:spacing w:val="-35"/>
        </w:rPr>
        <w:t xml:space="preserve"> </w:t>
      </w:r>
      <w:r>
        <w:rPr>
          <w:rFonts w:ascii="Times New Roman" w:hAnsi="Times New Roman" w:eastAsia="Times New Roman" w:cs="Times New Roman"/>
          <w:spacing w:val="2"/>
        </w:rPr>
        <w:t>11</w:t>
      </w:r>
      <w:r>
        <w:rPr>
          <w:rFonts w:ascii="Times New Roman" w:hAnsi="Times New Roman" w:eastAsia="Times New Roman" w:cs="Times New Roman"/>
          <w:spacing w:val="-20"/>
        </w:rPr>
        <w:t xml:space="preserve"> </w:t>
      </w:r>
      <w:r>
        <w:rPr>
          <w:spacing w:val="2"/>
        </w:rPr>
        <w:t>）市应急管理指挥部其他成员单位按</w:t>
      </w:r>
      <w:r>
        <w:rPr>
          <w:spacing w:val="8"/>
        </w:rPr>
        <w:t>照职责分工，做好有关工作。</w:t>
      </w:r>
    </w:p>
    <w:p>
      <w:pPr>
        <w:pStyle w:val="BodyText"/>
        <w:ind w:right="64" w:firstLine="420"/>
        <w:spacing w:before="168" w:line="322" w:lineRule="auto"/>
        <w:jc w:val="both"/>
        <w:rPr/>
      </w:pPr>
      <w:r>
        <w:rPr>
          <w:rFonts w:ascii="Times New Roman" w:hAnsi="Times New Roman" w:eastAsia="Times New Roman" w:cs="Times New Roman"/>
          <w:spacing w:val="9"/>
        </w:rPr>
        <w:t>4.3.2Ⅱ</w:t>
      </w:r>
      <w:r>
        <w:rPr>
          <w:spacing w:val="9"/>
        </w:rPr>
        <w:t>级响应措施。市应急管理指挥部办</w:t>
      </w:r>
      <w:r>
        <w:rPr>
          <w:spacing w:val="7"/>
        </w:rPr>
        <w:t>公室组织协调市级自然灾害救助工作，指导支</w:t>
      </w:r>
      <w:r>
        <w:rPr>
          <w:spacing w:val="4"/>
        </w:rPr>
        <w:t>持受灾县（</w:t>
      </w:r>
      <w:r>
        <w:rPr>
          <w:spacing w:val="-34"/>
        </w:rPr>
        <w:t xml:space="preserve"> </w:t>
      </w:r>
      <w:r>
        <w:rPr>
          <w:spacing w:val="4"/>
        </w:rPr>
        <w:t>区）开展自然灾害救助工作。市应</w:t>
      </w:r>
    </w:p>
    <w:p>
      <w:pPr>
        <w:spacing w:line="322" w:lineRule="auto"/>
        <w:sectPr>
          <w:type w:val="continuous"/>
          <w:pgSz w:w="11906" w:h="16839"/>
          <w:pgMar w:top="1766" w:right="1523" w:bottom="1575" w:left="1579" w:header="1428" w:footer="1172" w:gutter="0"/>
          <w:cols w:equalWidth="0" w:num="2">
            <w:col w:w="4488" w:space="100"/>
            <w:col w:w="4215" w:space="0"/>
          </w:cols>
        </w:sectPr>
        <w:rPr/>
      </w:pPr>
    </w:p>
    <w:p>
      <w:pPr>
        <w:spacing w:before="67"/>
        <w:rPr/>
      </w:pPr>
      <w:r>
        <w:drawing>
          <wp:anchor distT="0" distB="0" distL="0" distR="0" simplePos="0" relativeHeight="252731392"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652" name="IM 1652"/>
            <wp:cNvGraphicFramePr/>
            <a:graphic>
              <a:graphicData uri="http://schemas.openxmlformats.org/drawingml/2006/picture">
                <pic:pic>
                  <pic:nvPicPr>
                    <pic:cNvPr id="1652" name="IM 1652"/>
                    <pic:cNvPicPr/>
                  </pic:nvPicPr>
                  <pic:blipFill>
                    <a:blip r:embed="rId828"/>
                    <a:stretch>
                      <a:fillRect/>
                    </a:stretch>
                  </pic:blipFill>
                  <pic:spPr>
                    <a:xfrm rot="0">
                      <a:off x="0" y="0"/>
                      <a:ext cx="5579745" cy="7620"/>
                    </a:xfrm>
                    <a:prstGeom prst="rect">
                      <a:avLst/>
                    </a:prstGeom>
                  </pic:spPr>
                </pic:pic>
              </a:graphicData>
            </a:graphic>
          </wp:anchor>
        </w:drawing>
      </w:r>
      <w:r/>
    </w:p>
    <w:p>
      <w:pPr>
        <w:sectPr>
          <w:headerReference w:type="default" r:id="rId826"/>
          <w:footerReference w:type="default" r:id="rId827"/>
          <w:pgSz w:w="11906" w:h="16839"/>
          <w:pgMar w:top="1772" w:right="1381" w:bottom="1584" w:left="1567" w:header="1428" w:footer="1172" w:gutter="0"/>
          <w:cols w:equalWidth="0" w:num="1">
            <w:col w:w="8958" w:space="0"/>
          </w:cols>
        </w:sectPr>
        <w:rPr/>
      </w:pPr>
    </w:p>
    <w:p>
      <w:pPr>
        <w:pStyle w:val="BodyText"/>
        <w:ind w:left="29"/>
        <w:spacing w:before="47" w:line="277" w:lineRule="exact"/>
        <w:rPr/>
      </w:pPr>
      <w:r>
        <w:rPr>
          <w:position w:val="1"/>
        </w:rPr>
        <w:t>急管理指挥部及成员单位视情况采取以下措</w:t>
      </w:r>
      <w:r>
        <w:rPr>
          <w:spacing w:val="-1"/>
          <w:position w:val="1"/>
        </w:rPr>
        <w:t>施：</w:t>
      </w:r>
    </w:p>
    <w:p>
      <w:pPr>
        <w:pStyle w:val="BodyText"/>
        <w:ind w:left="25" w:right="302" w:firstLine="412"/>
        <w:spacing w:before="128" w:line="325"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）市应急管理指挥部办公室主任主持</w:t>
      </w:r>
      <w:r>
        <w:rPr>
          <w:spacing w:val="8"/>
        </w:rPr>
        <w:t>召开灾情会商会，分析、评估灾害损失情况，</w:t>
      </w:r>
      <w:r>
        <w:rPr>
          <w:spacing w:val="8"/>
        </w:rPr>
        <w:t>对灾害的发展进行研判，制定救灾支持措施。</w:t>
      </w:r>
    </w:p>
    <w:p>
      <w:pPr>
        <w:pStyle w:val="BodyText"/>
        <w:ind w:left="25" w:right="258" w:firstLine="411"/>
        <w:spacing w:before="158" w:line="350" w:lineRule="auto"/>
        <w:rPr/>
      </w:pPr>
      <w:r>
        <w:rPr>
          <w:spacing w:val="3"/>
        </w:rPr>
        <w:t>（</w:t>
      </w:r>
      <w:r>
        <w:rPr>
          <w:rFonts w:ascii="Times New Roman" w:hAnsi="Times New Roman" w:eastAsia="Times New Roman" w:cs="Times New Roman"/>
          <w:spacing w:val="3"/>
        </w:rPr>
        <w:t>2</w:t>
      </w:r>
      <w:r>
        <w:rPr>
          <w:rFonts w:ascii="Times New Roman" w:hAnsi="Times New Roman" w:eastAsia="Times New Roman" w:cs="Times New Roman"/>
          <w:spacing w:val="-10"/>
        </w:rPr>
        <w:t xml:space="preserve"> </w:t>
      </w:r>
      <w:r>
        <w:rPr>
          <w:spacing w:val="3"/>
        </w:rPr>
        <w:t>）根据灾区政府申请和救灾工作需要，</w:t>
      </w:r>
      <w:r>
        <w:rPr>
          <w:spacing w:val="7"/>
        </w:rPr>
        <w:t>市财政局、应急管理局及时下拨自然灾害生活</w:t>
      </w:r>
      <w:r>
        <w:rPr>
          <w:spacing w:val="7"/>
        </w:rPr>
        <w:t>救助资金；市应急管理局紧急调拨生活救助物</w:t>
      </w:r>
      <w:r>
        <w:rPr>
          <w:spacing w:val="7"/>
        </w:rPr>
        <w:t>资，指导、监督基层救灾应急措施的落实和救</w:t>
      </w:r>
      <w:r>
        <w:rPr>
          <w:spacing w:val="7"/>
        </w:rPr>
        <w:t>灾款物的发放；交通、铁路、民航等部门和单</w:t>
      </w:r>
      <w:r>
        <w:rPr>
          <w:spacing w:val="9"/>
        </w:rPr>
        <w:t>位协调指导开展救灾物资、人员运输工作。</w:t>
      </w:r>
    </w:p>
    <w:p>
      <w:pPr>
        <w:pStyle w:val="BodyText"/>
        <w:ind w:left="26" w:right="293" w:firstLine="410"/>
        <w:spacing w:before="162" w:line="345" w:lineRule="auto"/>
        <w:rPr/>
      </w:pPr>
      <w:r>
        <w:rPr>
          <w:spacing w:val="8"/>
        </w:rPr>
        <w:t>（</w:t>
      </w:r>
      <w:r>
        <w:rPr>
          <w:rFonts w:ascii="Times New Roman" w:hAnsi="Times New Roman" w:eastAsia="Times New Roman" w:cs="Times New Roman"/>
          <w:spacing w:val="8"/>
        </w:rPr>
        <w:t>3</w:t>
      </w:r>
      <w:r>
        <w:rPr>
          <w:rFonts w:ascii="Times New Roman" w:hAnsi="Times New Roman" w:eastAsia="Times New Roman" w:cs="Times New Roman"/>
          <w:spacing w:val="-5"/>
        </w:rPr>
        <w:t xml:space="preserve"> </w:t>
      </w:r>
      <w:r>
        <w:rPr>
          <w:spacing w:val="8"/>
        </w:rPr>
        <w:t>）市应急管理指挥部副总指挥</w:t>
      </w:r>
      <w:r>
        <w:rPr>
          <w:spacing w:val="-59"/>
        </w:rPr>
        <w:t xml:space="preserve"> </w:t>
      </w:r>
      <w:r>
        <w:rPr>
          <w:spacing w:val="8"/>
        </w:rPr>
        <w:t>，市应</w:t>
      </w:r>
      <w:r>
        <w:rPr>
          <w:spacing w:val="7"/>
        </w:rPr>
        <w:t>急管理指挥部办公室主任、副主任会同有关部</w:t>
      </w:r>
      <w:r>
        <w:rPr>
          <w:spacing w:val="7"/>
        </w:rPr>
        <w:t>门赴灾区慰问受灾群众，了解救灾工作进展情</w:t>
      </w:r>
      <w:r>
        <w:rPr>
          <w:spacing w:val="8"/>
        </w:rPr>
        <w:t>况及灾区需求，帮助指导灾区开展救灾工作。</w:t>
      </w:r>
      <w:r>
        <w:rPr>
          <w:spacing w:val="-2"/>
        </w:rPr>
        <w:t>市应急管理局立即组织工作组赴灾区查核灾情。</w:t>
      </w:r>
    </w:p>
    <w:p>
      <w:pPr>
        <w:pStyle w:val="BodyText"/>
        <w:ind w:left="25" w:right="315" w:firstLine="412"/>
        <w:spacing w:before="161" w:line="360" w:lineRule="auto"/>
        <w:rPr/>
      </w:pPr>
      <w:r>
        <w:rPr>
          <w:spacing w:val="12"/>
        </w:rPr>
        <w:t>（</w:t>
      </w:r>
      <w:r>
        <w:rPr>
          <w:rFonts w:ascii="Times New Roman" w:hAnsi="Times New Roman" w:eastAsia="Times New Roman" w:cs="Times New Roman"/>
          <w:spacing w:val="12"/>
        </w:rPr>
        <w:t>4</w:t>
      </w:r>
      <w:r>
        <w:rPr>
          <w:spacing w:val="12"/>
        </w:rPr>
        <w:t>）市应急管理指挥部办公室及时掌握</w:t>
      </w:r>
      <w:r>
        <w:rPr>
          <w:spacing w:val="18"/>
        </w:rPr>
        <w:t>灾情和救灾工作动态信息，适时组织灾情会</w:t>
      </w:r>
      <w:r>
        <w:rPr>
          <w:spacing w:val="7"/>
        </w:rPr>
        <w:t>商，按照有关规定统一发布灾情，及时发布灾</w:t>
      </w:r>
      <w:r>
        <w:rPr>
          <w:spacing w:val="7"/>
        </w:rPr>
        <w:t>区需求。市应急管理指挥部有关成员单位做好</w:t>
      </w:r>
      <w:r>
        <w:rPr>
          <w:spacing w:val="7"/>
        </w:rPr>
        <w:t>灾情、灾区需求及救灾工作动态等信息共享，</w:t>
      </w:r>
      <w:r>
        <w:rPr>
          <w:spacing w:val="12"/>
        </w:rPr>
        <w:t>每日</w:t>
      </w:r>
      <w:r>
        <w:rPr>
          <w:spacing w:val="-25"/>
        </w:rPr>
        <w:t xml:space="preserve"> </w:t>
      </w:r>
      <w:r>
        <w:rPr>
          <w:rFonts w:ascii="Times New Roman" w:hAnsi="Times New Roman" w:eastAsia="Times New Roman" w:cs="Times New Roman"/>
          <w:spacing w:val="12"/>
        </w:rPr>
        <w:t>9:00 </w:t>
      </w:r>
      <w:r>
        <w:rPr>
          <w:spacing w:val="12"/>
        </w:rPr>
        <w:t>前向市应急管理指挥部办公室通报</w:t>
      </w:r>
      <w:r>
        <w:rPr>
          <w:spacing w:val="7"/>
        </w:rPr>
        <w:t>有关情况。受灾县（区）政府或应急管理部门</w:t>
      </w:r>
      <w:r>
        <w:rPr>
          <w:spacing w:val="7"/>
        </w:rPr>
        <w:t>每日</w:t>
      </w:r>
      <w:r>
        <w:rPr>
          <w:spacing w:val="-19"/>
        </w:rPr>
        <w:t xml:space="preserve"> </w:t>
      </w:r>
      <w:r>
        <w:rPr>
          <w:rFonts w:ascii="Times New Roman" w:hAnsi="Times New Roman" w:eastAsia="Times New Roman" w:cs="Times New Roman"/>
          <w:spacing w:val="7"/>
        </w:rPr>
        <w:t>10:00 </w:t>
      </w:r>
      <w:r>
        <w:rPr>
          <w:spacing w:val="7"/>
        </w:rPr>
        <w:t>前向市应急管理指挥部办公室报告</w:t>
      </w:r>
      <w:r>
        <w:rPr>
          <w:spacing w:val="7"/>
        </w:rPr>
        <w:t>灾情和救灾工作动态，重大情况随时报告。市</w:t>
      </w:r>
      <w:r>
        <w:rPr>
          <w:spacing w:val="7"/>
        </w:rPr>
        <w:t>应急管理指挥部办公室执行零报告制度，每日</w:t>
      </w:r>
    </w:p>
    <w:p>
      <w:pPr>
        <w:pStyle w:val="BodyText"/>
        <w:ind w:left="33" w:right="322" w:firstLine="12"/>
        <w:spacing w:before="166" w:line="373" w:lineRule="auto"/>
        <w:rPr/>
      </w:pPr>
      <w:r>
        <w:rPr>
          <w:rFonts w:ascii="Times New Roman" w:hAnsi="Times New Roman" w:eastAsia="Times New Roman" w:cs="Times New Roman"/>
          <w:spacing w:val="9"/>
        </w:rPr>
        <w:t>11:00 </w:t>
      </w:r>
      <w:r>
        <w:rPr>
          <w:spacing w:val="9"/>
        </w:rPr>
        <w:t>前汇总灾害信息，报自治区应急管理厅</w:t>
      </w:r>
      <w:r>
        <w:rPr>
          <w:spacing w:val="7"/>
        </w:rPr>
        <w:t>和市委、市政府。</w:t>
      </w:r>
    </w:p>
    <w:p>
      <w:pPr>
        <w:pStyle w:val="BodyText"/>
        <w:ind w:left="25" w:right="302" w:firstLine="411"/>
        <w:spacing w:line="300" w:lineRule="auto"/>
        <w:rPr/>
      </w:pPr>
      <w:r>
        <w:rPr>
          <w:spacing w:val="8"/>
        </w:rPr>
        <w:t>（</w:t>
      </w:r>
      <w:r>
        <w:rPr>
          <w:spacing w:val="-45"/>
        </w:rPr>
        <w:t xml:space="preserve"> </w:t>
      </w:r>
      <w:r>
        <w:rPr>
          <w:rFonts w:ascii="Times New Roman" w:hAnsi="Times New Roman" w:eastAsia="Times New Roman" w:cs="Times New Roman"/>
          <w:spacing w:val="8"/>
        </w:rPr>
        <w:t>5</w:t>
      </w:r>
      <w:r>
        <w:rPr>
          <w:rFonts w:ascii="Times New Roman" w:hAnsi="Times New Roman" w:eastAsia="Times New Roman" w:cs="Times New Roman"/>
          <w:spacing w:val="-19"/>
        </w:rPr>
        <w:t xml:space="preserve"> </w:t>
      </w:r>
      <w:r>
        <w:rPr>
          <w:spacing w:val="8"/>
        </w:rPr>
        <w:t>）公安部门加强灾区社会治安和道路</w:t>
      </w:r>
      <w:r>
        <w:rPr>
          <w:spacing w:val="8"/>
        </w:rPr>
        <w:t>交通应急管理，协助组织灾区群众紧急转移。</w:t>
      </w:r>
    </w:p>
    <w:p>
      <w:pPr>
        <w:pStyle w:val="BodyText"/>
        <w:ind w:left="25" w:right="315" w:firstLine="411"/>
        <w:spacing w:before="161" w:line="324" w:lineRule="auto"/>
        <w:rPr/>
      </w:pPr>
      <w:r>
        <w:rPr>
          <w:spacing w:val="11"/>
        </w:rPr>
        <w:t>（</w:t>
      </w:r>
      <w:r>
        <w:rPr>
          <w:rFonts w:ascii="Times New Roman" w:hAnsi="Times New Roman" w:eastAsia="Times New Roman" w:cs="Times New Roman"/>
          <w:spacing w:val="11"/>
        </w:rPr>
        <w:t>6</w:t>
      </w:r>
      <w:r>
        <w:rPr>
          <w:rFonts w:ascii="Times New Roman" w:hAnsi="Times New Roman" w:eastAsia="Times New Roman" w:cs="Times New Roman"/>
          <w:spacing w:val="-8"/>
        </w:rPr>
        <w:t xml:space="preserve"> </w:t>
      </w:r>
      <w:r>
        <w:rPr>
          <w:spacing w:val="11"/>
        </w:rPr>
        <w:t>）驻固部队根据有关军地联动机制，</w:t>
      </w:r>
      <w:r>
        <w:rPr>
          <w:spacing w:val="7"/>
        </w:rPr>
        <w:t>组织协调武警、民兵、预备役部队参加救灾，</w:t>
      </w:r>
      <w:r>
        <w:rPr>
          <w:spacing w:val="9"/>
        </w:rPr>
        <w:t>必要时协助地方运送、发放救灾物资。</w:t>
      </w:r>
    </w:p>
    <w:p>
      <w:pPr>
        <w:spacing w:line="14" w:lineRule="auto"/>
        <w:rPr>
          <w:rFonts w:ascii="Arial"/>
          <w:sz w:val="2"/>
        </w:rPr>
      </w:pPr>
      <w:r>
        <w:rPr>
          <w:rFonts w:ascii="Arial" w:hAnsi="Arial" w:eastAsia="Arial" w:cs="Arial"/>
          <w:sz w:val="2"/>
          <w:szCs w:val="2"/>
        </w:rPr>
        <w:br w:type="column"/>
      </w:r>
    </w:p>
    <w:p>
      <w:pPr>
        <w:pStyle w:val="BodyText"/>
        <w:ind w:left="7" w:right="202" w:firstLine="412"/>
        <w:spacing w:before="42" w:line="356" w:lineRule="auto"/>
        <w:rPr/>
      </w:pPr>
      <w:r>
        <w:rPr>
          <w:spacing w:val="11"/>
        </w:rPr>
        <w:t>（</w:t>
      </w:r>
      <w:r>
        <w:rPr>
          <w:rFonts w:ascii="Times New Roman" w:hAnsi="Times New Roman" w:eastAsia="Times New Roman" w:cs="Times New Roman"/>
          <w:spacing w:val="11"/>
        </w:rPr>
        <w:t>7</w:t>
      </w:r>
      <w:r>
        <w:rPr>
          <w:rFonts w:ascii="Times New Roman" w:hAnsi="Times New Roman" w:eastAsia="Times New Roman" w:cs="Times New Roman"/>
          <w:spacing w:val="-8"/>
        </w:rPr>
        <w:t xml:space="preserve"> </w:t>
      </w:r>
      <w:r>
        <w:rPr>
          <w:spacing w:val="11"/>
        </w:rPr>
        <w:t>）市水务局指导灾区防洪工程抢险、</w:t>
      </w:r>
      <w:r>
        <w:rPr>
          <w:spacing w:val="7"/>
        </w:rPr>
        <w:t>水利工程修复、水利行业供水和乡镇应急供水</w:t>
      </w:r>
      <w:r>
        <w:rPr>
          <w:spacing w:val="7"/>
        </w:rPr>
        <w:t>工作；市卫生和健康委员会及时组织医疗卫生</w:t>
      </w:r>
      <w:r>
        <w:rPr>
          <w:spacing w:val="7"/>
        </w:rPr>
        <w:t>队伍赴灾区协助开展医疗救治、卫生防疫和心</w:t>
      </w:r>
      <w:r>
        <w:rPr>
          <w:spacing w:val="7"/>
        </w:rPr>
        <w:t>理援助等工作；市自然资源局准备灾区地理信</w:t>
      </w:r>
      <w:r>
        <w:rPr>
          <w:spacing w:val="7"/>
        </w:rPr>
        <w:t>息数据，组织灾区现场影像获取等应急测绘，</w:t>
      </w:r>
      <w:r>
        <w:rPr>
          <w:spacing w:val="7"/>
        </w:rPr>
        <w:t>开展灾情监测和空间分析，提供应急测绘保障</w:t>
      </w:r>
      <w:r>
        <w:rPr>
          <w:spacing w:val="4"/>
        </w:rPr>
        <w:t>服务。</w:t>
      </w:r>
    </w:p>
    <w:p>
      <w:pPr>
        <w:pStyle w:val="BodyText"/>
        <w:ind w:firstLine="420"/>
        <w:spacing w:before="167" w:line="324" w:lineRule="auto"/>
        <w:rPr/>
      </w:pPr>
      <w:r>
        <w:rPr>
          <w:spacing w:val="8"/>
        </w:rPr>
        <w:t>（</w:t>
      </w:r>
      <w:r>
        <w:rPr>
          <w:spacing w:val="-45"/>
        </w:rPr>
        <w:t xml:space="preserve"> </w:t>
      </w:r>
      <w:r>
        <w:rPr>
          <w:rFonts w:ascii="Times New Roman" w:hAnsi="Times New Roman" w:eastAsia="Times New Roman" w:cs="Times New Roman"/>
          <w:spacing w:val="8"/>
        </w:rPr>
        <w:t>8</w:t>
      </w:r>
      <w:r>
        <w:rPr>
          <w:rFonts w:ascii="Times New Roman" w:hAnsi="Times New Roman" w:eastAsia="Times New Roman" w:cs="Times New Roman"/>
          <w:spacing w:val="-19"/>
        </w:rPr>
        <w:t xml:space="preserve"> </w:t>
      </w:r>
      <w:r>
        <w:rPr>
          <w:spacing w:val="8"/>
        </w:rPr>
        <w:t>）文化旅游广播电视局及其相关部门</w:t>
      </w:r>
      <w:r>
        <w:rPr/>
        <w:t xml:space="preserve"> </w:t>
      </w:r>
      <w:r>
        <w:rPr>
          <w:spacing w:val="7"/>
        </w:rPr>
        <w:t>（单位）根据市委、市政府的安排部署，组织相</w:t>
      </w:r>
      <w:r>
        <w:rPr>
          <w:spacing w:val="18"/>
        </w:rPr>
        <w:t>关部门做好新闻宣传和重大自然灾害灾情信</w:t>
      </w:r>
    </w:p>
    <w:p>
      <w:pPr>
        <w:pStyle w:val="BodyText"/>
        <w:ind w:left="10"/>
        <w:spacing w:before="166" w:line="220" w:lineRule="auto"/>
        <w:rPr/>
      </w:pPr>
      <w:r>
        <w:rPr>
          <w:spacing w:val="7"/>
        </w:rPr>
        <w:t>息发布等工作。</w:t>
      </w:r>
    </w:p>
    <w:p>
      <w:pPr>
        <w:pStyle w:val="BodyText"/>
        <w:ind w:left="6" w:right="142" w:firstLine="413"/>
        <w:spacing w:before="165" w:line="324" w:lineRule="auto"/>
        <w:rPr/>
      </w:pPr>
      <w:r>
        <w:rPr>
          <w:spacing w:val="3"/>
        </w:rPr>
        <w:t>（</w:t>
      </w:r>
      <w:r>
        <w:rPr>
          <w:rFonts w:ascii="Times New Roman" w:hAnsi="Times New Roman" w:eastAsia="Times New Roman" w:cs="Times New Roman"/>
          <w:spacing w:val="3"/>
        </w:rPr>
        <w:t>9</w:t>
      </w:r>
      <w:r>
        <w:rPr>
          <w:rFonts w:ascii="Times New Roman" w:hAnsi="Times New Roman" w:eastAsia="Times New Roman" w:cs="Times New Roman"/>
          <w:spacing w:val="-7"/>
        </w:rPr>
        <w:t xml:space="preserve"> </w:t>
      </w:r>
      <w:r>
        <w:rPr>
          <w:spacing w:val="3"/>
        </w:rPr>
        <w:t>）市民政局向社会发布救灾捐赠公告；</w:t>
      </w:r>
      <w:r>
        <w:rPr>
          <w:spacing w:val="7"/>
        </w:rPr>
        <w:t>会同公益性社会组织开展向灾区捐赠活动；指</w:t>
      </w:r>
      <w:r>
        <w:rPr>
          <w:spacing w:val="9"/>
        </w:rPr>
        <w:t>导社会力量参与灾害救助工作。</w:t>
      </w:r>
    </w:p>
    <w:p>
      <w:pPr>
        <w:pStyle w:val="BodyText"/>
        <w:ind w:left="12" w:right="189" w:firstLine="407"/>
        <w:spacing w:before="164" w:line="300" w:lineRule="auto"/>
        <w:rPr/>
      </w:pPr>
      <w:r>
        <w:rPr>
          <w:spacing w:val="2"/>
        </w:rPr>
        <w:t>（</w:t>
      </w:r>
      <w:r>
        <w:rPr>
          <w:spacing w:val="-35"/>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20"/>
        </w:rPr>
        <w:t xml:space="preserve"> </w:t>
      </w:r>
      <w:r>
        <w:rPr>
          <w:spacing w:val="2"/>
        </w:rPr>
        <w:t>）市应急管理指挥部其他成员单位按</w:t>
      </w:r>
      <w:r>
        <w:rPr>
          <w:spacing w:val="8"/>
        </w:rPr>
        <w:t>照职责分工好指挥部的部署，做好有关工作。</w:t>
      </w:r>
    </w:p>
    <w:p>
      <w:pPr>
        <w:pStyle w:val="BodyText"/>
        <w:ind w:left="8" w:right="204" w:firstLine="419"/>
        <w:spacing w:before="165" w:line="374" w:lineRule="auto"/>
        <w:jc w:val="both"/>
        <w:rPr/>
      </w:pPr>
      <w:r>
        <w:rPr>
          <w:rFonts w:ascii="Times New Roman" w:hAnsi="Times New Roman" w:eastAsia="Times New Roman" w:cs="Times New Roman"/>
          <w:spacing w:val="3"/>
        </w:rPr>
        <w:t>4.3.3</w:t>
      </w:r>
      <w:r>
        <w:rPr>
          <w:rFonts w:ascii="Times New Roman" w:hAnsi="Times New Roman" w:eastAsia="Times New Roman" w:cs="Times New Roman"/>
        </w:rPr>
        <w:t>III</w:t>
      </w:r>
      <w:r>
        <w:rPr>
          <w:rFonts w:ascii="Times New Roman" w:hAnsi="Times New Roman" w:eastAsia="Times New Roman" w:cs="Times New Roman"/>
          <w:spacing w:val="3"/>
        </w:rPr>
        <w:t xml:space="preserve"> </w:t>
      </w:r>
      <w:r>
        <w:rPr>
          <w:spacing w:val="3"/>
        </w:rPr>
        <w:t>级响应措施。市应急管理指挥部副</w:t>
      </w:r>
      <w:r>
        <w:rPr>
          <w:spacing w:val="7"/>
        </w:rPr>
        <w:t>总指挥，应急管理指挥部办公室主任组织协调</w:t>
      </w:r>
      <w:r>
        <w:rPr>
          <w:spacing w:val="7"/>
        </w:rPr>
        <w:t>安排自然灾害救助工作，市应急管理指挥部及</w:t>
      </w:r>
      <w:r>
        <w:rPr>
          <w:spacing w:val="8"/>
        </w:rPr>
        <w:t>成员单位视情况采取以下措施：</w:t>
      </w:r>
    </w:p>
    <w:p>
      <w:pPr>
        <w:pStyle w:val="BodyText"/>
        <w:ind w:left="6" w:right="208" w:firstLine="413"/>
        <w:spacing w:before="3" w:line="337"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）市应急管理指挥部办公室召开灾情</w:t>
      </w:r>
      <w:r>
        <w:rPr>
          <w:spacing w:val="7"/>
        </w:rPr>
        <w:t>会商会，分析、评估灾害损失情况，对灾害的</w:t>
      </w:r>
      <w:r>
        <w:rPr>
          <w:spacing w:val="7"/>
        </w:rPr>
        <w:t>发展进行预测，研究落实对灾区的救灾支持措</w:t>
      </w:r>
      <w:r>
        <w:rPr>
          <w:spacing w:val="9"/>
        </w:rPr>
        <w:t>施，并及时上报市委、市政府。</w:t>
      </w:r>
    </w:p>
    <w:p>
      <w:pPr>
        <w:pStyle w:val="BodyText"/>
        <w:ind w:left="8" w:right="144" w:firstLine="411"/>
        <w:spacing w:before="160" w:line="350" w:lineRule="auto"/>
        <w:rPr/>
      </w:pPr>
      <w:r>
        <w:rPr>
          <w:spacing w:val="3"/>
        </w:rPr>
        <w:t>（</w:t>
      </w:r>
      <w:r>
        <w:rPr>
          <w:rFonts w:ascii="Times New Roman" w:hAnsi="Times New Roman" w:eastAsia="Times New Roman" w:cs="Times New Roman"/>
          <w:spacing w:val="3"/>
        </w:rPr>
        <w:t>2</w:t>
      </w:r>
      <w:r>
        <w:rPr>
          <w:rFonts w:ascii="Times New Roman" w:hAnsi="Times New Roman" w:eastAsia="Times New Roman" w:cs="Times New Roman"/>
          <w:spacing w:val="-10"/>
        </w:rPr>
        <w:t xml:space="preserve"> </w:t>
      </w:r>
      <w:r>
        <w:rPr>
          <w:spacing w:val="3"/>
        </w:rPr>
        <w:t>）根据灾区政府申请和救灾工作需要，</w:t>
      </w:r>
      <w:r>
        <w:rPr>
          <w:spacing w:val="7"/>
        </w:rPr>
        <w:t>市财政局、应急管理局及时下拨自然灾害生活</w:t>
      </w:r>
      <w:r>
        <w:rPr>
          <w:spacing w:val="7"/>
        </w:rPr>
        <w:t>救助资金。市应急管理局紧急调拨生活救助物</w:t>
      </w:r>
      <w:r>
        <w:rPr>
          <w:spacing w:val="7"/>
        </w:rPr>
        <w:t>资，指导、监督基层救灾应急措施的落实和救</w:t>
      </w:r>
      <w:r>
        <w:rPr>
          <w:spacing w:val="7"/>
        </w:rPr>
        <w:t>灾款物的发放；交通、铁路、民航等部门和单</w:t>
      </w:r>
      <w:r>
        <w:rPr>
          <w:spacing w:val="9"/>
        </w:rPr>
        <w:t>位协调指导开展救灾物资、人员运输工作。</w:t>
      </w:r>
    </w:p>
    <w:p>
      <w:pPr>
        <w:pStyle w:val="BodyText"/>
        <w:ind w:left="420"/>
        <w:spacing w:before="163" w:line="221"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）市应急管理局组织工作组赴灾区查</w:t>
      </w:r>
    </w:p>
    <w:p>
      <w:pPr>
        <w:spacing w:line="221" w:lineRule="auto"/>
        <w:sectPr>
          <w:type w:val="continuous"/>
          <w:pgSz w:w="11906" w:h="16839"/>
          <w:pgMar w:top="1772" w:right="1381" w:bottom="1584" w:left="1567" w:header="1428" w:footer="1172" w:gutter="0"/>
          <w:cols w:equalWidth="0" w:num="2">
            <w:col w:w="4495" w:space="100"/>
            <w:col w:w="4364" w:space="0"/>
          </w:cols>
        </w:sectPr>
        <w:rPr/>
      </w:pPr>
    </w:p>
    <w:p>
      <w:pPr>
        <w:spacing w:before="84"/>
        <w:rPr/>
      </w:pPr>
      <w:r>
        <w:drawing>
          <wp:anchor distT="0" distB="0" distL="0" distR="0" simplePos="0" relativeHeight="252742656"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656" name="IM 1656"/>
            <wp:cNvGraphicFramePr/>
            <a:graphic>
              <a:graphicData uri="http://schemas.openxmlformats.org/drawingml/2006/picture">
                <pic:pic>
                  <pic:nvPicPr>
                    <pic:cNvPr id="1656" name="IM 1656"/>
                    <pic:cNvPicPr/>
                  </pic:nvPicPr>
                  <pic:blipFill>
                    <a:blip r:embed="rId830"/>
                    <a:stretch>
                      <a:fillRect/>
                    </a:stretch>
                  </pic:blipFill>
                  <pic:spPr>
                    <a:xfrm rot="0">
                      <a:off x="0" y="0"/>
                      <a:ext cx="5579745" cy="7620"/>
                    </a:xfrm>
                    <a:prstGeom prst="rect">
                      <a:avLst/>
                    </a:prstGeom>
                  </pic:spPr>
                </pic:pic>
              </a:graphicData>
            </a:graphic>
          </wp:anchor>
        </w:drawing>
      </w:r>
      <w:r/>
    </w:p>
    <w:p>
      <w:pPr>
        <w:sectPr>
          <w:headerReference w:type="default" r:id="rId561"/>
          <w:footerReference w:type="default" r:id="rId829"/>
          <w:pgSz w:w="11906" w:h="16839"/>
          <w:pgMar w:top="1766" w:right="1480" w:bottom="1575" w:left="1579" w:header="1428" w:footer="1172" w:gutter="0"/>
          <w:cols w:equalWidth="0" w:num="1">
            <w:col w:w="8846" w:space="0"/>
          </w:cols>
        </w:sectPr>
        <w:rPr/>
      </w:pPr>
    </w:p>
    <w:p>
      <w:pPr>
        <w:pStyle w:val="BodyText"/>
        <w:ind w:left="14" w:right="309" w:firstLine="1"/>
        <w:spacing w:before="41" w:line="372" w:lineRule="auto"/>
        <w:rPr/>
      </w:pPr>
      <w:r>
        <w:rPr>
          <w:spacing w:val="7"/>
        </w:rPr>
        <w:t>核灾情，慰问受灾群众，了解救灾工作进展情</w:t>
      </w:r>
      <w:r>
        <w:rPr>
          <w:spacing w:val="8"/>
        </w:rPr>
        <w:t>况及灾区需求，帮助指导灾区开展救灾工作。</w:t>
      </w:r>
    </w:p>
    <w:p>
      <w:pPr>
        <w:pStyle w:val="BodyText"/>
        <w:ind w:left="11" w:right="327" w:firstLine="413"/>
        <w:spacing w:before="9" w:line="374" w:lineRule="auto"/>
        <w:jc w:val="both"/>
        <w:rPr/>
      </w:pPr>
      <w:r>
        <w:rPr>
          <w:spacing w:val="12"/>
        </w:rPr>
        <w:t>（</w:t>
      </w:r>
      <w:r>
        <w:rPr>
          <w:rFonts w:ascii="Times New Roman" w:hAnsi="Times New Roman" w:eastAsia="Times New Roman" w:cs="Times New Roman"/>
          <w:spacing w:val="12"/>
        </w:rPr>
        <w:t>4</w:t>
      </w:r>
      <w:r>
        <w:rPr>
          <w:spacing w:val="12"/>
        </w:rPr>
        <w:t>）市应急管理指挥部办公室及时掌握</w:t>
      </w:r>
      <w:r>
        <w:rPr>
          <w:spacing w:val="7"/>
        </w:rPr>
        <w:t>灾情和救灾工作动态信息，适时组织灾情会商</w:t>
      </w:r>
      <w:r>
        <w:rPr>
          <w:spacing w:val="7"/>
        </w:rPr>
        <w:t>评估，按照有关规定统一发布灾情，及时发布</w:t>
      </w:r>
      <w:r>
        <w:rPr>
          <w:spacing w:val="7"/>
        </w:rPr>
        <w:t>灾区需求。市应急管理指挥部有关成员单位做</w:t>
      </w:r>
      <w:r>
        <w:rPr>
          <w:spacing w:val="18"/>
        </w:rPr>
        <w:t>好灾情、灾区需求及救灾工作动态等信息共</w:t>
      </w:r>
      <w:r>
        <w:rPr>
          <w:spacing w:val="12"/>
        </w:rPr>
        <w:t>享，每日</w:t>
      </w:r>
      <w:r>
        <w:rPr>
          <w:spacing w:val="-21"/>
        </w:rPr>
        <w:t xml:space="preserve"> </w:t>
      </w:r>
      <w:r>
        <w:rPr>
          <w:rFonts w:ascii="Times New Roman" w:hAnsi="Times New Roman" w:eastAsia="Times New Roman" w:cs="Times New Roman"/>
          <w:spacing w:val="12"/>
        </w:rPr>
        <w:t>9:00 </w:t>
      </w:r>
      <w:r>
        <w:rPr>
          <w:spacing w:val="12"/>
        </w:rPr>
        <w:t>前向市应急管理指挥部办公室</w:t>
      </w:r>
      <w:r>
        <w:rPr>
          <w:spacing w:val="7"/>
        </w:rPr>
        <w:t>通报有关情况。受灾地区政府或应急管理部门</w:t>
      </w:r>
      <w:r>
        <w:rPr>
          <w:spacing w:val="7"/>
        </w:rPr>
        <w:t>每日</w:t>
      </w:r>
      <w:r>
        <w:rPr>
          <w:spacing w:val="-18"/>
        </w:rPr>
        <w:t xml:space="preserve"> </w:t>
      </w:r>
      <w:r>
        <w:rPr>
          <w:rFonts w:ascii="Times New Roman" w:hAnsi="Times New Roman" w:eastAsia="Times New Roman" w:cs="Times New Roman"/>
          <w:spacing w:val="7"/>
        </w:rPr>
        <w:t>10:00 </w:t>
      </w:r>
      <w:r>
        <w:rPr>
          <w:spacing w:val="7"/>
        </w:rPr>
        <w:t>前向市应急管理指挥部办公室报告</w:t>
      </w:r>
      <w:r>
        <w:rPr>
          <w:spacing w:val="7"/>
        </w:rPr>
        <w:t>灾情和救灾工作动态，重大情况随时报告。市</w:t>
      </w:r>
      <w:r>
        <w:rPr>
          <w:spacing w:val="7"/>
        </w:rPr>
        <w:t>应急管理指挥部办公室执行零报告制度，每日</w:t>
      </w:r>
      <w:r>
        <w:rPr>
          <w:rFonts w:ascii="Times New Roman" w:hAnsi="Times New Roman" w:eastAsia="Times New Roman" w:cs="Times New Roman"/>
          <w:spacing w:val="10"/>
        </w:rPr>
        <w:t>11:00 </w:t>
      </w:r>
      <w:r>
        <w:rPr>
          <w:spacing w:val="10"/>
        </w:rPr>
        <w:t>前汇总灾害信息，报自治区应急管理厅</w:t>
      </w:r>
      <w:r>
        <w:rPr>
          <w:spacing w:val="8"/>
        </w:rPr>
        <w:t>和市委、市政府。</w:t>
      </w:r>
    </w:p>
    <w:p>
      <w:pPr>
        <w:pStyle w:val="BodyText"/>
        <w:ind w:left="12" w:right="329" w:firstLine="412"/>
        <w:spacing w:before="5" w:line="349" w:lineRule="auto"/>
        <w:rPr/>
      </w:pPr>
      <w:r>
        <w:rPr>
          <w:spacing w:val="9"/>
        </w:rPr>
        <w:t>（</w:t>
      </w:r>
      <w:r>
        <w:rPr>
          <w:spacing w:val="-60"/>
        </w:rPr>
        <w:t xml:space="preserve"> </w:t>
      </w:r>
      <w:r>
        <w:rPr>
          <w:rFonts w:ascii="Times New Roman" w:hAnsi="Times New Roman" w:eastAsia="Times New Roman" w:cs="Times New Roman"/>
          <w:spacing w:val="9"/>
        </w:rPr>
        <w:t>5</w:t>
      </w:r>
      <w:r>
        <w:rPr>
          <w:rFonts w:ascii="Times New Roman" w:hAnsi="Times New Roman" w:eastAsia="Times New Roman" w:cs="Times New Roman"/>
          <w:spacing w:val="-19"/>
        </w:rPr>
        <w:t xml:space="preserve"> </w:t>
      </w:r>
      <w:r>
        <w:rPr>
          <w:spacing w:val="9"/>
        </w:rPr>
        <w:t>）市水务局指导灾区防洪工程抢险、</w:t>
      </w:r>
      <w:r>
        <w:rPr>
          <w:spacing w:val="7"/>
        </w:rPr>
        <w:t>水利工程修复、水利行业供水和乡镇应急供水</w:t>
      </w:r>
      <w:r>
        <w:rPr>
          <w:spacing w:val="7"/>
        </w:rPr>
        <w:t>工作。市卫生和健康委员会指导受灾地区做好</w:t>
      </w:r>
      <w:r>
        <w:rPr>
          <w:spacing w:val="7"/>
        </w:rPr>
        <w:t>医疗救治、卫生防疫和心理援助等工作。根据</w:t>
      </w:r>
      <w:r>
        <w:rPr>
          <w:spacing w:val="7"/>
        </w:rPr>
        <w:t>需要，及时调派卫生队伍赴灾区协助开展卫生</w:t>
      </w:r>
      <w:r>
        <w:rPr>
          <w:spacing w:val="6"/>
        </w:rPr>
        <w:t>应急工作。</w:t>
      </w:r>
    </w:p>
    <w:p>
      <w:pPr>
        <w:pStyle w:val="BodyText"/>
        <w:ind w:left="18" w:right="332" w:firstLine="406"/>
        <w:spacing w:before="162" w:line="299" w:lineRule="auto"/>
        <w:rPr/>
      </w:pPr>
      <w:r>
        <w:rPr>
          <w:spacing w:val="11"/>
        </w:rPr>
        <w:t>（</w:t>
      </w:r>
      <w:r>
        <w:rPr>
          <w:rFonts w:ascii="Times New Roman" w:hAnsi="Times New Roman" w:eastAsia="Times New Roman" w:cs="Times New Roman"/>
          <w:spacing w:val="11"/>
        </w:rPr>
        <w:t>6</w:t>
      </w:r>
      <w:r>
        <w:rPr>
          <w:rFonts w:ascii="Times New Roman" w:hAnsi="Times New Roman" w:eastAsia="Times New Roman" w:cs="Times New Roman"/>
          <w:spacing w:val="-18"/>
        </w:rPr>
        <w:t xml:space="preserve"> </w:t>
      </w:r>
      <w:r>
        <w:rPr>
          <w:spacing w:val="11"/>
        </w:rPr>
        <w:t>）市应急管理局指导社会力量参与灾</w:t>
      </w:r>
      <w:r>
        <w:rPr>
          <w:spacing w:val="6"/>
        </w:rPr>
        <w:t>害救助工作。</w:t>
      </w:r>
    </w:p>
    <w:p>
      <w:pPr>
        <w:pStyle w:val="BodyText"/>
        <w:ind w:left="11" w:right="332" w:firstLine="413"/>
        <w:spacing w:before="163" w:line="299" w:lineRule="auto"/>
        <w:rPr/>
      </w:pPr>
      <w:r>
        <w:rPr>
          <w:spacing w:val="8"/>
        </w:rPr>
        <w:t>（</w:t>
      </w:r>
      <w:r>
        <w:rPr>
          <w:rFonts w:ascii="Times New Roman" w:hAnsi="Times New Roman" w:eastAsia="Times New Roman" w:cs="Times New Roman"/>
          <w:spacing w:val="8"/>
        </w:rPr>
        <w:t>7</w:t>
      </w:r>
      <w:r>
        <w:rPr>
          <w:rFonts w:ascii="Times New Roman" w:hAnsi="Times New Roman" w:eastAsia="Times New Roman" w:cs="Times New Roman"/>
          <w:spacing w:val="-5"/>
        </w:rPr>
        <w:t xml:space="preserve"> </w:t>
      </w:r>
      <w:r>
        <w:rPr>
          <w:spacing w:val="8"/>
        </w:rPr>
        <w:t>）灾情稳定后</w:t>
      </w:r>
      <w:r>
        <w:rPr>
          <w:spacing w:val="-59"/>
        </w:rPr>
        <w:t xml:space="preserve"> </w:t>
      </w:r>
      <w:r>
        <w:rPr>
          <w:spacing w:val="8"/>
        </w:rPr>
        <w:t>，市应急管理指挥部办</w:t>
      </w:r>
      <w:r>
        <w:rPr>
          <w:spacing w:val="9"/>
        </w:rPr>
        <w:t>公室视情指导受灾地评估、核定灾情。</w:t>
      </w:r>
    </w:p>
    <w:p>
      <w:pPr>
        <w:pStyle w:val="BodyText"/>
        <w:ind w:left="17" w:right="332" w:firstLine="407"/>
        <w:spacing w:before="167" w:line="300" w:lineRule="auto"/>
        <w:rPr/>
      </w:pPr>
      <w:r>
        <w:rPr>
          <w:spacing w:val="8"/>
        </w:rPr>
        <w:t>（</w:t>
      </w:r>
      <w:r>
        <w:rPr>
          <w:spacing w:val="-45"/>
        </w:rPr>
        <w:t xml:space="preserve"> </w:t>
      </w:r>
      <w:r>
        <w:rPr>
          <w:rFonts w:ascii="Times New Roman" w:hAnsi="Times New Roman" w:eastAsia="Times New Roman" w:cs="Times New Roman"/>
          <w:spacing w:val="8"/>
        </w:rPr>
        <w:t>8</w:t>
      </w:r>
      <w:r>
        <w:rPr>
          <w:rFonts w:ascii="Times New Roman" w:hAnsi="Times New Roman" w:eastAsia="Times New Roman" w:cs="Times New Roman"/>
          <w:spacing w:val="-19"/>
        </w:rPr>
        <w:t xml:space="preserve"> </w:t>
      </w:r>
      <w:r>
        <w:rPr>
          <w:spacing w:val="8"/>
        </w:rPr>
        <w:t>）市应急管理指挥部其他成员单位按</w:t>
      </w:r>
      <w:r>
        <w:rPr>
          <w:spacing w:val="8"/>
        </w:rPr>
        <w:t>照职责分工，做好有关工作。</w:t>
      </w:r>
    </w:p>
    <w:p>
      <w:pPr>
        <w:pStyle w:val="BodyText"/>
        <w:ind w:left="12" w:right="327" w:firstLine="420"/>
        <w:spacing w:before="165" w:line="374" w:lineRule="auto"/>
        <w:jc w:val="both"/>
        <w:rPr/>
      </w:pPr>
      <w:r>
        <w:rPr>
          <w:rFonts w:ascii="Times New Roman" w:hAnsi="Times New Roman" w:eastAsia="Times New Roman" w:cs="Times New Roman"/>
          <w:spacing w:val="13"/>
        </w:rPr>
        <w:t>4.3.4</w:t>
      </w:r>
      <w:r>
        <w:rPr>
          <w:rFonts w:ascii="Times New Roman" w:hAnsi="Times New Roman" w:eastAsia="Times New Roman" w:cs="Times New Roman"/>
        </w:rPr>
        <w:t>IV</w:t>
      </w:r>
      <w:r>
        <w:rPr>
          <w:rFonts w:ascii="Times New Roman" w:hAnsi="Times New Roman" w:eastAsia="Times New Roman" w:cs="Times New Roman"/>
          <w:spacing w:val="19"/>
          <w:w w:val="101"/>
        </w:rPr>
        <w:t xml:space="preserve"> </w:t>
      </w:r>
      <w:r>
        <w:rPr>
          <w:spacing w:val="13"/>
        </w:rPr>
        <w:t>级响应措施。市应急管理指挥部</w:t>
      </w:r>
      <w:r>
        <w:rPr>
          <w:spacing w:val="7"/>
        </w:rPr>
        <w:t>办公室负责有关协调指导工作。抗灾救灾工作</w:t>
      </w:r>
      <w:r>
        <w:rPr>
          <w:spacing w:val="4"/>
        </w:rPr>
        <w:t>主要由灾害发生地县（</w:t>
      </w:r>
      <w:r>
        <w:rPr>
          <w:spacing w:val="-35"/>
        </w:rPr>
        <w:t xml:space="preserve"> </w:t>
      </w:r>
      <w:r>
        <w:rPr>
          <w:spacing w:val="4"/>
        </w:rPr>
        <w:t>区）政府组织实施。市</w:t>
      </w:r>
      <w:r>
        <w:rPr>
          <w:spacing w:val="18"/>
        </w:rPr>
        <w:t>应急管理指挥部办公室及市应急管理指挥部</w:t>
      </w:r>
      <w:r>
        <w:rPr>
          <w:spacing w:val="8"/>
        </w:rPr>
        <w:t>成员单位视情况采取以下措施：</w:t>
      </w:r>
    </w:p>
    <w:p>
      <w:pPr>
        <w:pStyle w:val="BodyText"/>
        <w:ind w:left="424"/>
        <w:spacing w:before="1" w:line="221"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）市应急管理指挥部办公室及时组织</w:t>
      </w:r>
    </w:p>
    <w:p>
      <w:pPr>
        <w:spacing w:line="14" w:lineRule="auto"/>
        <w:rPr>
          <w:rFonts w:ascii="Arial"/>
          <w:sz w:val="2"/>
        </w:rPr>
      </w:pPr>
      <w:r>
        <w:rPr>
          <w:rFonts w:ascii="Arial" w:hAnsi="Arial" w:eastAsia="Arial" w:cs="Arial"/>
          <w:sz w:val="2"/>
          <w:szCs w:val="2"/>
        </w:rPr>
        <w:br w:type="column"/>
      </w:r>
    </w:p>
    <w:p>
      <w:pPr>
        <w:pStyle w:val="BodyText"/>
        <w:ind w:right="110" w:firstLine="2"/>
        <w:spacing w:before="37" w:line="374" w:lineRule="auto"/>
        <w:jc w:val="both"/>
        <w:rPr/>
      </w:pPr>
      <w:r>
        <w:rPr>
          <w:spacing w:val="18"/>
        </w:rPr>
        <w:t>市应急管理指挥部有关成员单位及受灾地区</w:t>
      </w:r>
      <w:r>
        <w:rPr>
          <w:spacing w:val="7"/>
        </w:rPr>
        <w:t>召开会商会，分析灾情，对灾区抗灾救灾工作</w:t>
      </w:r>
      <w:r>
        <w:rPr>
          <w:spacing w:val="7"/>
        </w:rPr>
        <w:t>作出决定。及时向市政府、自治区应急厅上报</w:t>
      </w:r>
      <w:r>
        <w:rPr>
          <w:spacing w:val="4"/>
        </w:rPr>
        <w:t>灾情。</w:t>
      </w:r>
    </w:p>
    <w:p>
      <w:pPr>
        <w:pStyle w:val="BodyText"/>
        <w:ind w:left="1" w:right="103" w:firstLine="411"/>
        <w:spacing w:before="2" w:line="370" w:lineRule="auto"/>
        <w:jc w:val="both"/>
        <w:rPr/>
      </w:pPr>
      <w:r>
        <w:rPr>
          <w:spacing w:val="9"/>
        </w:rPr>
        <w:t>（</w:t>
      </w:r>
      <w:r>
        <w:rPr>
          <w:rFonts w:ascii="Times New Roman" w:hAnsi="Times New Roman" w:eastAsia="Times New Roman" w:cs="Times New Roman"/>
          <w:spacing w:val="9"/>
        </w:rPr>
        <w:t>2 </w:t>
      </w:r>
      <w:r>
        <w:rPr>
          <w:spacing w:val="9"/>
        </w:rPr>
        <w:t>）由市应急管理指挥部有关成员单位</w:t>
      </w:r>
      <w:r>
        <w:rPr>
          <w:spacing w:val="7"/>
        </w:rPr>
        <w:t>组成工作组赴灾区慰问受灾群众，核查灾情，</w:t>
      </w:r>
      <w:r>
        <w:rPr>
          <w:spacing w:val="8"/>
        </w:rPr>
        <w:t>帮助指导灾区开展救灾工作。</w:t>
      </w:r>
    </w:p>
    <w:p>
      <w:pPr>
        <w:pStyle w:val="BodyText"/>
        <w:ind w:right="103" w:firstLine="413"/>
        <w:spacing w:before="14" w:line="374" w:lineRule="auto"/>
        <w:rPr/>
      </w:pPr>
      <w:r>
        <w:rPr>
          <w:spacing w:val="12"/>
        </w:rPr>
        <w:t>（</w:t>
      </w:r>
      <w:r>
        <w:rPr>
          <w:rFonts w:ascii="Times New Roman" w:hAnsi="Times New Roman" w:eastAsia="Times New Roman" w:cs="Times New Roman"/>
          <w:spacing w:val="12"/>
        </w:rPr>
        <w:t>3</w:t>
      </w:r>
      <w:r>
        <w:rPr>
          <w:spacing w:val="12"/>
        </w:rPr>
        <w:t>）市应急管理指挥部办公室及时掌握</w:t>
      </w:r>
      <w:r>
        <w:rPr>
          <w:spacing w:val="18"/>
        </w:rPr>
        <w:t>并按照有关规定统一发布灾情和救灾工作动</w:t>
      </w:r>
      <w:r>
        <w:rPr>
          <w:spacing w:val="7"/>
        </w:rPr>
        <w:t>态信息。市应急管理指挥部有关成员单位做好</w:t>
      </w:r>
      <w:r>
        <w:rPr>
          <w:spacing w:val="7"/>
        </w:rPr>
        <w:t>灾情、灾区需求及救灾工作动态等信息共享，</w:t>
      </w:r>
    </w:p>
    <w:p>
      <w:pPr>
        <w:pStyle w:val="BodyText"/>
        <w:ind w:right="5" w:firstLine="4"/>
        <w:spacing w:before="3" w:line="386" w:lineRule="auto"/>
        <w:rPr/>
      </w:pPr>
      <w:r>
        <w:rPr>
          <w:spacing w:val="12"/>
        </w:rPr>
        <w:t>每日</w:t>
      </w:r>
      <w:r>
        <w:rPr>
          <w:spacing w:val="-29"/>
        </w:rPr>
        <w:t xml:space="preserve"> </w:t>
      </w:r>
      <w:r>
        <w:rPr>
          <w:rFonts w:ascii="Times New Roman" w:hAnsi="Times New Roman" w:eastAsia="Times New Roman" w:cs="Times New Roman"/>
          <w:spacing w:val="12"/>
        </w:rPr>
        <w:t>9:00 </w:t>
      </w:r>
      <w:r>
        <w:rPr>
          <w:spacing w:val="12"/>
        </w:rPr>
        <w:t>前向市应急管理指挥部办公室通报</w:t>
      </w:r>
      <w:r>
        <w:rPr>
          <w:spacing w:val="7"/>
        </w:rPr>
        <w:t>有关情况。受灾县（区）政府或应急管理部门</w:t>
      </w:r>
      <w:r>
        <w:rPr>
          <w:spacing w:val="7"/>
        </w:rPr>
        <w:t>每日</w:t>
      </w:r>
      <w:r>
        <w:rPr>
          <w:spacing w:val="-19"/>
        </w:rPr>
        <w:t xml:space="preserve"> </w:t>
      </w:r>
      <w:r>
        <w:rPr>
          <w:rFonts w:ascii="Times New Roman" w:hAnsi="Times New Roman" w:eastAsia="Times New Roman" w:cs="Times New Roman"/>
          <w:spacing w:val="7"/>
        </w:rPr>
        <w:t>10:00 </w:t>
      </w:r>
      <w:r>
        <w:rPr>
          <w:spacing w:val="7"/>
        </w:rPr>
        <w:t>前向市应急管理指挥部办公室报告</w:t>
      </w:r>
      <w:r>
        <w:rPr>
          <w:spacing w:val="7"/>
        </w:rPr>
        <w:t>灾情和救灾工作动态，重大情况随时报告。市</w:t>
      </w:r>
      <w:r>
        <w:rPr>
          <w:spacing w:val="7"/>
        </w:rPr>
        <w:t>应急管理指挥部办公室执行零报告制度，每日</w:t>
      </w:r>
      <w:r>
        <w:rPr>
          <w:rFonts w:ascii="Times New Roman" w:hAnsi="Times New Roman" w:eastAsia="Times New Roman" w:cs="Times New Roman"/>
          <w:spacing w:val="7"/>
          <w:position w:val="-1"/>
        </w:rPr>
        <w:t>1</w:t>
      </w:r>
      <w:r>
        <w:rPr>
          <w:rFonts w:ascii="Times New Roman" w:hAnsi="Times New Roman" w:eastAsia="Times New Roman" w:cs="Times New Roman"/>
          <w:spacing w:val="2"/>
          <w:position w:val="-1"/>
        </w:rPr>
        <w:t xml:space="preserve"> </w:t>
      </w:r>
      <w:r>
        <w:rPr>
          <w:rFonts w:ascii="Times New Roman" w:hAnsi="Times New Roman" w:eastAsia="Times New Roman" w:cs="Times New Roman"/>
          <w:spacing w:val="5"/>
        </w:rPr>
        <w:t>1:00 </w:t>
      </w:r>
      <w:r>
        <w:rPr>
          <w:spacing w:val="5"/>
        </w:rPr>
        <w:t>前汇总灾害信息，报应急管理厅和市委、</w:t>
      </w:r>
    </w:p>
    <w:p>
      <w:pPr>
        <w:pStyle w:val="BodyText"/>
        <w:ind w:left="11"/>
        <w:spacing w:line="230" w:lineRule="auto"/>
        <w:rPr/>
      </w:pPr>
      <w:r>
        <w:rPr>
          <w:spacing w:val="3"/>
        </w:rPr>
        <w:t>市政府。</w:t>
      </w:r>
    </w:p>
    <w:p>
      <w:pPr>
        <w:pStyle w:val="BodyText"/>
        <w:ind w:left="3" w:right="45" w:firstLine="409"/>
        <w:spacing w:before="85" w:line="344" w:lineRule="auto"/>
        <w:rPr/>
      </w:pPr>
      <w:r>
        <w:rPr>
          <w:spacing w:val="3"/>
        </w:rPr>
        <w:t>（</w:t>
      </w:r>
      <w:r>
        <w:rPr>
          <w:rFonts w:ascii="Times New Roman" w:hAnsi="Times New Roman" w:eastAsia="Times New Roman" w:cs="Times New Roman"/>
          <w:spacing w:val="3"/>
        </w:rPr>
        <w:t>4</w:t>
      </w:r>
      <w:r>
        <w:rPr>
          <w:rFonts w:ascii="Times New Roman" w:hAnsi="Times New Roman" w:eastAsia="Times New Roman" w:cs="Times New Roman"/>
          <w:spacing w:val="-10"/>
        </w:rPr>
        <w:t xml:space="preserve"> </w:t>
      </w:r>
      <w:r>
        <w:rPr>
          <w:spacing w:val="3"/>
        </w:rPr>
        <w:t>）根据灾区政府申请和救灾工作需要，</w:t>
      </w:r>
      <w:r>
        <w:rPr>
          <w:spacing w:val="7"/>
        </w:rPr>
        <w:t>市财政局、应急管理局及时下拨自然灾害生活</w:t>
      </w:r>
      <w:r>
        <w:rPr>
          <w:spacing w:val="18"/>
        </w:rPr>
        <w:t>补助资金。应急管理局紧急调拨生活救助物</w:t>
      </w:r>
      <w:r>
        <w:rPr>
          <w:spacing w:val="7"/>
        </w:rPr>
        <w:t>资，指导、监督基层救灾应急措施落实和救灾</w:t>
      </w:r>
      <w:r>
        <w:rPr>
          <w:spacing w:val="6"/>
        </w:rPr>
        <w:t>款物发放。</w:t>
      </w:r>
    </w:p>
    <w:p>
      <w:pPr>
        <w:pStyle w:val="BodyText"/>
        <w:ind w:left="1" w:firstLine="411"/>
        <w:spacing w:before="162" w:line="301" w:lineRule="auto"/>
        <w:rPr/>
      </w:pPr>
      <w:r>
        <w:rPr>
          <w:spacing w:val="3"/>
        </w:rPr>
        <w:t>（</w:t>
      </w:r>
      <w:r>
        <w:rPr>
          <w:rFonts w:ascii="Times New Roman" w:hAnsi="Times New Roman" w:eastAsia="Times New Roman" w:cs="Times New Roman"/>
          <w:spacing w:val="3"/>
        </w:rPr>
        <w:t>5</w:t>
      </w:r>
      <w:r>
        <w:rPr>
          <w:rFonts w:ascii="Times New Roman" w:hAnsi="Times New Roman" w:eastAsia="Times New Roman" w:cs="Times New Roman"/>
          <w:spacing w:val="-12"/>
        </w:rPr>
        <w:t xml:space="preserve"> </w:t>
      </w:r>
      <w:r>
        <w:rPr>
          <w:spacing w:val="3"/>
        </w:rPr>
        <w:t>）市卫生健康委员会指导受灾县（</w:t>
      </w:r>
      <w:r>
        <w:rPr>
          <w:spacing w:val="-52"/>
        </w:rPr>
        <w:t xml:space="preserve"> </w:t>
      </w:r>
      <w:r>
        <w:rPr>
          <w:spacing w:val="3"/>
        </w:rPr>
        <w:t>区）</w:t>
      </w:r>
      <w:r>
        <w:rPr>
          <w:spacing w:val="9"/>
        </w:rPr>
        <w:t>做好医疗救治、卫生防病和心理援助等工作。</w:t>
      </w:r>
    </w:p>
    <w:p>
      <w:pPr>
        <w:pStyle w:val="BodyText"/>
        <w:ind w:left="5" w:right="112" w:firstLine="407"/>
        <w:spacing w:before="163" w:line="299" w:lineRule="auto"/>
        <w:rPr/>
      </w:pPr>
      <w:r>
        <w:rPr>
          <w:spacing w:val="11"/>
        </w:rPr>
        <w:t>（</w:t>
      </w:r>
      <w:r>
        <w:rPr>
          <w:rFonts w:ascii="Times New Roman" w:hAnsi="Times New Roman" w:eastAsia="Times New Roman" w:cs="Times New Roman"/>
          <w:spacing w:val="11"/>
        </w:rPr>
        <w:t>6</w:t>
      </w:r>
      <w:r>
        <w:rPr>
          <w:rFonts w:ascii="Times New Roman" w:hAnsi="Times New Roman" w:eastAsia="Times New Roman" w:cs="Times New Roman"/>
          <w:spacing w:val="-18"/>
        </w:rPr>
        <w:t xml:space="preserve"> </w:t>
      </w:r>
      <w:r>
        <w:rPr>
          <w:spacing w:val="11"/>
        </w:rPr>
        <w:t>）市应急管理指挥部其他成员单位按</w:t>
      </w:r>
      <w:r>
        <w:rPr>
          <w:spacing w:val="8"/>
        </w:rPr>
        <w:t>照职责分工做好有关工作。</w:t>
      </w:r>
    </w:p>
    <w:p>
      <w:pPr>
        <w:pStyle w:val="BodyText"/>
        <w:ind w:right="64" w:firstLine="420"/>
        <w:spacing w:before="164" w:line="344" w:lineRule="auto"/>
        <w:jc w:val="both"/>
        <w:rPr>
          <w:rFonts w:ascii="Times New Roman" w:hAnsi="Times New Roman" w:eastAsia="Times New Roman" w:cs="Times New Roman"/>
        </w:rPr>
      </w:pPr>
      <w:r>
        <w:rPr>
          <w:rFonts w:ascii="Times New Roman" w:hAnsi="Times New Roman" w:eastAsia="Times New Roman" w:cs="Times New Roman"/>
          <w:spacing w:val="8"/>
        </w:rPr>
        <w:t>4.4  </w:t>
      </w:r>
      <w:r>
        <w:rPr>
          <w:rFonts w:ascii="KaiTi" w:hAnsi="KaiTi" w:eastAsia="KaiTi" w:cs="KaiTi"/>
          <w:spacing w:val="8"/>
        </w:rPr>
        <w:t>响应终止。</w:t>
      </w:r>
      <w:r>
        <w:rPr>
          <w:spacing w:val="8"/>
        </w:rPr>
        <w:t>应对自然灾害救助工作基</w:t>
      </w:r>
      <w:r>
        <w:rPr>
          <w:spacing w:val="7"/>
        </w:rPr>
        <w:t>本结束、紧急转移和安置工作基本完成、次生</w:t>
      </w:r>
      <w:r>
        <w:rPr>
          <w:spacing w:val="7"/>
        </w:rPr>
        <w:t>灾害的后果基本消除，以及交通、电力、通信</w:t>
      </w:r>
      <w:r>
        <w:rPr>
          <w:spacing w:val="7"/>
        </w:rPr>
        <w:t>和供水等基本抢修抢通、群众生活秩序基本恢</w:t>
      </w:r>
      <w:r>
        <w:rPr>
          <w:spacing w:val="10"/>
        </w:rPr>
        <w:t>复后，按照</w:t>
      </w:r>
      <w:r>
        <w:rPr>
          <w:rFonts w:ascii="Times New Roman" w:hAnsi="Times New Roman" w:eastAsia="Times New Roman" w:cs="Times New Roman"/>
          <w:spacing w:val="10"/>
        </w:rPr>
        <w:t>“</w:t>
      </w:r>
      <w:r>
        <w:rPr>
          <w:spacing w:val="10"/>
        </w:rPr>
        <w:t>应急响应启动与解除主体相一致</w:t>
      </w:r>
      <w:r>
        <w:rPr>
          <w:rFonts w:ascii="Times New Roman" w:hAnsi="Times New Roman" w:eastAsia="Times New Roman" w:cs="Times New Roman"/>
          <w:spacing w:val="10"/>
        </w:rPr>
        <w:t>”</w:t>
      </w:r>
    </w:p>
    <w:p>
      <w:pPr>
        <w:spacing w:line="344" w:lineRule="auto"/>
        <w:sectPr>
          <w:type w:val="continuous"/>
          <w:pgSz w:w="11906" w:h="16839"/>
          <w:pgMar w:top="1766" w:right="1480" w:bottom="1575" w:left="1579" w:header="1428" w:footer="1172" w:gutter="0"/>
          <w:cols w:equalWidth="0" w:num="2">
            <w:col w:w="4489" w:space="100"/>
            <w:col w:w="4258" w:space="0"/>
          </w:cols>
        </w:sectPr>
        <w:rPr>
          <w:rFonts w:ascii="Times New Roman" w:hAnsi="Times New Roman" w:eastAsia="Times New Roman" w:cs="Times New Roman"/>
        </w:rPr>
      </w:pPr>
    </w:p>
    <w:p>
      <w:pPr>
        <w:spacing w:before="67"/>
        <w:rPr/>
      </w:pPr>
      <w:r>
        <w:drawing>
          <wp:anchor distT="0" distB="0" distL="0" distR="0" simplePos="0" relativeHeight="252753920"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660" name="IM 1660"/>
            <wp:cNvGraphicFramePr/>
            <a:graphic>
              <a:graphicData uri="http://schemas.openxmlformats.org/drawingml/2006/picture">
                <pic:pic>
                  <pic:nvPicPr>
                    <pic:cNvPr id="1660" name="IM 1660"/>
                    <pic:cNvPicPr/>
                  </pic:nvPicPr>
                  <pic:blipFill>
                    <a:blip r:embed="rId832"/>
                    <a:stretch>
                      <a:fillRect/>
                    </a:stretch>
                  </pic:blipFill>
                  <pic:spPr>
                    <a:xfrm rot="0">
                      <a:off x="0" y="0"/>
                      <a:ext cx="5579745" cy="7620"/>
                    </a:xfrm>
                    <a:prstGeom prst="rect">
                      <a:avLst/>
                    </a:prstGeom>
                  </pic:spPr>
                </pic:pic>
              </a:graphicData>
            </a:graphic>
          </wp:anchor>
        </w:drawing>
      </w:r>
      <w:r/>
    </w:p>
    <w:p>
      <w:pPr>
        <w:sectPr>
          <w:headerReference w:type="default" r:id="rId816"/>
          <w:footerReference w:type="default" r:id="rId831"/>
          <w:pgSz w:w="11906" w:h="16839"/>
          <w:pgMar w:top="1772" w:right="1489" w:bottom="1584" w:left="1567" w:header="1428" w:footer="1172" w:gutter="0"/>
          <w:cols w:equalWidth="0" w:num="1">
            <w:col w:w="8850" w:space="0"/>
          </w:cols>
        </w:sectPr>
        <w:rPr/>
      </w:pPr>
    </w:p>
    <w:p>
      <w:pPr>
        <w:pStyle w:val="BodyText"/>
        <w:ind w:left="25" w:right="322" w:firstLine="17"/>
        <w:spacing w:before="54" w:line="368" w:lineRule="auto"/>
        <w:rPr/>
      </w:pPr>
      <w:r>
        <w:rPr>
          <w:spacing w:val="6"/>
        </w:rPr>
        <w:t>的原则，由应急响应启动机关宣布终止响应的</w:t>
      </w:r>
      <w:r>
        <w:rPr>
          <w:spacing w:val="4"/>
        </w:rPr>
        <w:t>决定。</w:t>
      </w:r>
    </w:p>
    <w:p>
      <w:pPr>
        <w:ind w:left="448"/>
        <w:spacing w:before="1"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5</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7"/>
        </w:rPr>
        <w:t>灾后救助与恢复重建</w:t>
      </w:r>
    </w:p>
    <w:p>
      <w:pPr>
        <w:pStyle w:val="BodyText"/>
        <w:ind w:left="28" w:right="322" w:firstLine="423"/>
        <w:spacing w:before="101" w:line="375" w:lineRule="auto"/>
        <w:jc w:val="both"/>
        <w:rPr/>
      </w:pPr>
      <w:r>
        <w:rPr>
          <w:rFonts w:ascii="Times New Roman" w:hAnsi="Times New Roman" w:eastAsia="Times New Roman" w:cs="Times New Roman"/>
          <w:spacing w:val="6"/>
        </w:rPr>
        <w:t>5.</w:t>
      </w:r>
      <w:r>
        <w:rPr>
          <w:rFonts w:ascii="Times New Roman" w:hAnsi="Times New Roman" w:eastAsia="Times New Roman" w:cs="Times New Roman"/>
          <w:spacing w:val="-8"/>
        </w:rPr>
        <w:t xml:space="preserve"> </w:t>
      </w:r>
      <w:r>
        <w:rPr>
          <w:rFonts w:ascii="Times New Roman" w:hAnsi="Times New Roman" w:eastAsia="Times New Roman" w:cs="Times New Roman"/>
          <w:spacing w:val="6"/>
        </w:rPr>
        <w:t>1  </w:t>
      </w:r>
      <w:r>
        <w:rPr>
          <w:rFonts w:ascii="KaiTi" w:hAnsi="KaiTi" w:eastAsia="KaiTi" w:cs="KaiTi"/>
          <w:spacing w:val="6"/>
        </w:rPr>
        <w:t>过渡期生活救助。</w:t>
      </w:r>
      <w:r>
        <w:rPr>
          <w:spacing w:val="6"/>
        </w:rPr>
        <w:t>重特大自然灾害发</w:t>
      </w:r>
      <w:r>
        <w:rPr>
          <w:spacing w:val="15"/>
        </w:rPr>
        <w:t>生后</w:t>
      </w:r>
      <w:r>
        <w:rPr>
          <w:spacing w:val="-43"/>
        </w:rPr>
        <w:t xml:space="preserve"> </w:t>
      </w:r>
      <w:r>
        <w:rPr>
          <w:spacing w:val="15"/>
        </w:rPr>
        <w:t>，市应急管理指挥部办公室组织有关部</w:t>
      </w:r>
      <w:r>
        <w:rPr>
          <w:spacing w:val="7"/>
        </w:rPr>
        <w:t>门、专家及灾区应急管理部门评估灾区过渡期</w:t>
      </w:r>
      <w:r>
        <w:rPr>
          <w:spacing w:val="7"/>
        </w:rPr>
        <w:t>生活救助需求情况。</w:t>
      </w:r>
    </w:p>
    <w:p>
      <w:pPr>
        <w:pStyle w:val="BodyText"/>
        <w:ind w:left="25" w:right="322" w:firstLine="421"/>
        <w:spacing w:before="4" w:line="375" w:lineRule="auto"/>
        <w:jc w:val="both"/>
        <w:rPr/>
      </w:pPr>
      <w:r>
        <w:rPr>
          <w:spacing w:val="6"/>
        </w:rPr>
        <w:t>市财政局、应急管理局及时拨付过渡期生</w:t>
      </w:r>
      <w:r>
        <w:rPr>
          <w:spacing w:val="7"/>
        </w:rPr>
        <w:t>活救助资金。市应急管理局指导灾区应急管理</w:t>
      </w:r>
      <w:r>
        <w:rPr>
          <w:spacing w:val="7"/>
        </w:rPr>
        <w:t>部门做好过渡期需生活救助的人员核定、资金</w:t>
      </w:r>
      <w:r>
        <w:rPr>
          <w:spacing w:val="7"/>
        </w:rPr>
        <w:t>发放等工作。</w:t>
      </w:r>
    </w:p>
    <w:p>
      <w:pPr>
        <w:pStyle w:val="BodyText"/>
        <w:ind w:left="25" w:right="315" w:firstLine="422"/>
        <w:spacing w:before="5" w:line="373" w:lineRule="auto"/>
        <w:jc w:val="both"/>
        <w:rPr/>
      </w:pPr>
      <w:r>
        <w:rPr>
          <w:spacing w:val="6"/>
        </w:rPr>
        <w:t>市应急管理局、财政局监督检查灾区过渡</w:t>
      </w:r>
      <w:r>
        <w:rPr>
          <w:spacing w:val="7"/>
        </w:rPr>
        <w:t>期生活救助政策和措施的落实，定期通报灾区</w:t>
      </w:r>
      <w:r>
        <w:rPr>
          <w:spacing w:val="7"/>
        </w:rPr>
        <w:t>救助工作情况。过渡期生活救助工作结束后，</w:t>
      </w:r>
      <w:r>
        <w:rPr>
          <w:spacing w:val="7"/>
        </w:rPr>
        <w:t>各级应急管理部门组织绩效评估，并向自治区</w:t>
      </w:r>
      <w:r>
        <w:rPr>
          <w:spacing w:val="18"/>
        </w:rPr>
        <w:t>应急管理厅上报受灾群众过渡期生活救助情</w:t>
      </w:r>
      <w:r>
        <w:rPr>
          <w:spacing w:val="6"/>
        </w:rPr>
        <w:t>况报告。</w:t>
      </w:r>
    </w:p>
    <w:p>
      <w:pPr>
        <w:pStyle w:val="BodyText"/>
        <w:ind w:left="26" w:right="322" w:firstLine="425"/>
        <w:spacing w:before="3" w:line="372" w:lineRule="auto"/>
        <w:jc w:val="both"/>
        <w:rPr/>
      </w:pPr>
      <w:r>
        <w:rPr>
          <w:rFonts w:ascii="Times New Roman" w:hAnsi="Times New Roman" w:eastAsia="Times New Roman" w:cs="Times New Roman"/>
          <w:spacing w:val="5"/>
        </w:rPr>
        <w:t>5.2  </w:t>
      </w:r>
      <w:r>
        <w:rPr>
          <w:rFonts w:ascii="KaiTi" w:hAnsi="KaiTi" w:eastAsia="KaiTi" w:cs="KaiTi"/>
          <w:spacing w:val="5"/>
        </w:rPr>
        <w:t>冬春救助。</w:t>
      </w:r>
      <w:r>
        <w:rPr>
          <w:rFonts w:ascii="KaiTi" w:hAnsi="KaiTi" w:eastAsia="KaiTi" w:cs="KaiTi"/>
          <w:spacing w:val="-37"/>
        </w:rPr>
        <w:t xml:space="preserve"> </w:t>
      </w:r>
      <w:r>
        <w:rPr>
          <w:spacing w:val="5"/>
        </w:rPr>
        <w:t>自然灾害发生后的当年冬</w:t>
      </w:r>
      <w:r>
        <w:rPr>
          <w:spacing w:val="7"/>
        </w:rPr>
        <w:t>季、次年春季，受灾地区政府为生活困难的受</w:t>
      </w:r>
      <w:r>
        <w:rPr>
          <w:spacing w:val="8"/>
        </w:rPr>
        <w:t>灾人员提供基本生活救助。</w:t>
      </w:r>
    </w:p>
    <w:p>
      <w:pPr>
        <w:pStyle w:val="BodyText"/>
        <w:ind w:left="24" w:right="322" w:firstLine="423"/>
        <w:spacing w:before="9" w:line="374" w:lineRule="auto"/>
        <w:jc w:val="both"/>
        <w:rPr/>
      </w:pPr>
      <w:r>
        <w:rPr>
          <w:spacing w:val="3"/>
        </w:rPr>
        <w:t>县（</w:t>
      </w:r>
      <w:r>
        <w:rPr>
          <w:spacing w:val="-45"/>
        </w:rPr>
        <w:t xml:space="preserve"> </w:t>
      </w:r>
      <w:r>
        <w:rPr>
          <w:spacing w:val="3"/>
        </w:rPr>
        <w:t>区）应急管理部门每年</w:t>
      </w:r>
      <w:r>
        <w:rPr>
          <w:spacing w:val="-39"/>
        </w:rPr>
        <w:t xml:space="preserve"> </w:t>
      </w:r>
      <w:r>
        <w:rPr>
          <w:rFonts w:ascii="Times New Roman" w:hAnsi="Times New Roman" w:eastAsia="Times New Roman" w:cs="Times New Roman"/>
          <w:spacing w:val="3"/>
        </w:rPr>
        <w:t>9 </w:t>
      </w:r>
      <w:r>
        <w:rPr>
          <w:spacing w:val="3"/>
        </w:rPr>
        <w:t>月份开始调</w:t>
      </w:r>
      <w:r>
        <w:rPr>
          <w:spacing w:val="7"/>
        </w:rPr>
        <w:t>查冬春期间受灾群众生活困难情况，建立需政</w:t>
      </w:r>
      <w:r>
        <w:rPr>
          <w:spacing w:val="10"/>
        </w:rPr>
        <w:t>府救助人口台帐。县级应急管理部门在</w:t>
      </w:r>
      <w:r>
        <w:rPr>
          <w:spacing w:val="-14"/>
        </w:rPr>
        <w:t xml:space="preserve"> </w:t>
      </w:r>
      <w:r>
        <w:rPr>
          <w:rFonts w:ascii="Times New Roman" w:hAnsi="Times New Roman" w:eastAsia="Times New Roman" w:cs="Times New Roman"/>
          <w:spacing w:val="10"/>
        </w:rPr>
        <w:t>10 </w:t>
      </w:r>
      <w:r>
        <w:rPr>
          <w:spacing w:val="10"/>
        </w:rPr>
        <w:t>月</w:t>
      </w:r>
      <w:r>
        <w:rPr>
          <w:rFonts w:ascii="Times New Roman" w:hAnsi="Times New Roman" w:eastAsia="Times New Roman" w:cs="Times New Roman"/>
          <w:spacing w:val="12"/>
        </w:rPr>
        <w:t>15</w:t>
      </w:r>
      <w:r>
        <w:rPr>
          <w:rFonts w:ascii="Times New Roman" w:hAnsi="Times New Roman" w:eastAsia="Times New Roman" w:cs="Times New Roman"/>
          <w:spacing w:val="3"/>
        </w:rPr>
        <w:t xml:space="preserve">  </w:t>
      </w:r>
      <w:r>
        <w:rPr>
          <w:spacing w:val="12"/>
        </w:rPr>
        <w:t>日前将需政府救助人口等生活困难情况报</w:t>
      </w:r>
      <w:r>
        <w:rPr>
          <w:spacing w:val="7"/>
        </w:rPr>
        <w:t>市应急管理局。</w:t>
      </w:r>
    </w:p>
    <w:p>
      <w:pPr>
        <w:pStyle w:val="BodyText"/>
        <w:ind w:left="24" w:right="322" w:firstLine="423"/>
        <w:spacing w:before="3" w:line="371" w:lineRule="auto"/>
        <w:jc w:val="both"/>
        <w:rPr/>
      </w:pPr>
      <w:r>
        <w:rPr>
          <w:spacing w:val="4"/>
        </w:rPr>
        <w:t>市应急管理局会同县（</w:t>
      </w:r>
      <w:r>
        <w:rPr>
          <w:spacing w:val="-49"/>
        </w:rPr>
        <w:t xml:space="preserve"> </w:t>
      </w:r>
      <w:r>
        <w:rPr>
          <w:spacing w:val="4"/>
        </w:rPr>
        <w:t>区）应急管理部门</w:t>
      </w:r>
      <w:r>
        <w:rPr>
          <w:spacing w:val="18"/>
        </w:rPr>
        <w:t>不定期组成工作组赴灾区开展生活困难状况</w:t>
      </w:r>
      <w:r>
        <w:rPr>
          <w:spacing w:val="8"/>
        </w:rPr>
        <w:t>评估，核实有关情况。</w:t>
      </w:r>
    </w:p>
    <w:p>
      <w:pPr>
        <w:pStyle w:val="BodyText"/>
        <w:ind w:left="28" w:right="322" w:firstLine="417"/>
        <w:spacing w:before="12" w:line="337" w:lineRule="auto"/>
        <w:jc w:val="both"/>
        <w:rPr/>
      </w:pPr>
      <w:r>
        <w:rPr>
          <w:spacing w:val="4"/>
        </w:rPr>
        <w:t>受灾县（</w:t>
      </w:r>
      <w:r>
        <w:rPr>
          <w:spacing w:val="-48"/>
        </w:rPr>
        <w:t xml:space="preserve"> </w:t>
      </w:r>
      <w:r>
        <w:rPr>
          <w:spacing w:val="4"/>
        </w:rPr>
        <w:t>区）应急管理部门制定冬春受灾</w:t>
      </w:r>
      <w:r>
        <w:rPr>
          <w:spacing w:val="4"/>
        </w:rPr>
        <w:t>困难群众救助工作方案。县（</w:t>
      </w:r>
      <w:r>
        <w:rPr>
          <w:spacing w:val="-38"/>
        </w:rPr>
        <w:t xml:space="preserve"> </w:t>
      </w:r>
      <w:r>
        <w:rPr>
          <w:spacing w:val="4"/>
        </w:rPr>
        <w:t>区）政府或应急</w:t>
      </w:r>
      <w:r>
        <w:rPr>
          <w:spacing w:val="7"/>
        </w:rPr>
        <w:t>管理、财政部门要制定冬春救助对象分类救助</w:t>
      </w:r>
      <w:r>
        <w:rPr>
          <w:spacing w:val="6"/>
        </w:rPr>
        <w:t>实施标准。</w:t>
      </w:r>
    </w:p>
    <w:p>
      <w:pPr>
        <w:spacing w:line="14" w:lineRule="auto"/>
        <w:rPr>
          <w:rFonts w:ascii="Arial"/>
          <w:sz w:val="2"/>
        </w:rPr>
      </w:pPr>
      <w:r>
        <w:rPr>
          <w:rFonts w:ascii="Arial" w:hAnsi="Arial" w:eastAsia="Arial" w:cs="Arial"/>
          <w:sz w:val="2"/>
          <w:szCs w:val="2"/>
        </w:rPr>
        <w:br w:type="column"/>
      </w:r>
    </w:p>
    <w:p>
      <w:pPr>
        <w:pStyle w:val="BodyText"/>
        <w:ind w:left="7" w:right="101" w:firstLine="422"/>
        <w:spacing w:before="46" w:line="374" w:lineRule="auto"/>
        <w:jc w:val="both"/>
        <w:rPr/>
      </w:pPr>
      <w:r>
        <w:rPr>
          <w:spacing w:val="4"/>
        </w:rPr>
        <w:t>市应急管理局根据县（</w:t>
      </w:r>
      <w:r>
        <w:rPr>
          <w:spacing w:val="-49"/>
        </w:rPr>
        <w:t xml:space="preserve"> </w:t>
      </w:r>
      <w:r>
        <w:rPr>
          <w:spacing w:val="4"/>
        </w:rPr>
        <w:t>区）财政部门和应</w:t>
      </w:r>
      <w:r>
        <w:rPr>
          <w:spacing w:val="7"/>
        </w:rPr>
        <w:t>急管理部门请求拨款的请示，结合灾情评估情</w:t>
      </w:r>
      <w:r>
        <w:rPr>
          <w:spacing w:val="7"/>
        </w:rPr>
        <w:t>况，会同市财政局及时下拨本级自然灾害生活</w:t>
      </w:r>
      <w:r>
        <w:rPr>
          <w:spacing w:val="7"/>
        </w:rPr>
        <w:t>救助资金，专项用于帮助解决冬春期间受灾困</w:t>
      </w:r>
      <w:r>
        <w:rPr>
          <w:spacing w:val="9"/>
        </w:rPr>
        <w:t>难群众吃饭、穿衣、取暖等基本生活困难。</w:t>
      </w:r>
    </w:p>
    <w:p>
      <w:pPr>
        <w:pStyle w:val="BodyText"/>
        <w:ind w:left="6" w:right="98" w:firstLine="422"/>
        <w:spacing w:before="5" w:line="374" w:lineRule="auto"/>
        <w:jc w:val="both"/>
        <w:rPr/>
      </w:pPr>
      <w:r>
        <w:rPr>
          <w:spacing w:val="19"/>
        </w:rPr>
        <w:t>受灾困难群众生活救助资金全面实行社</w:t>
      </w:r>
      <w:r>
        <w:rPr>
          <w:spacing w:val="7"/>
        </w:rPr>
        <w:t>会化发放管理制度。对经确认需政府救助的受</w:t>
      </w:r>
      <w:r>
        <w:rPr>
          <w:spacing w:val="4"/>
        </w:rPr>
        <w:t>灾困难群众，由县（</w:t>
      </w:r>
      <w:r>
        <w:rPr>
          <w:spacing w:val="-33"/>
        </w:rPr>
        <w:t xml:space="preserve"> </w:t>
      </w:r>
      <w:r>
        <w:rPr>
          <w:spacing w:val="4"/>
        </w:rPr>
        <w:t>区）应急管理部门统一编</w:t>
      </w:r>
      <w:r>
        <w:rPr>
          <w:spacing w:val="8"/>
        </w:rPr>
        <w:t>制救助花名册，采取</w:t>
      </w:r>
      <w:r>
        <w:rPr>
          <w:rFonts w:ascii="Times New Roman" w:hAnsi="Times New Roman" w:eastAsia="Times New Roman" w:cs="Times New Roman"/>
          <w:spacing w:val="8"/>
        </w:rPr>
        <w:t>“</w:t>
      </w:r>
      <w:r>
        <w:rPr>
          <w:spacing w:val="8"/>
        </w:rPr>
        <w:t>一卡通</w:t>
      </w:r>
      <w:r>
        <w:rPr>
          <w:rFonts w:ascii="Times New Roman" w:hAnsi="Times New Roman" w:eastAsia="Times New Roman" w:cs="Times New Roman"/>
          <w:spacing w:val="8"/>
        </w:rPr>
        <w:t>”</w:t>
      </w:r>
      <w:r>
        <w:rPr>
          <w:spacing w:val="8"/>
        </w:rPr>
        <w:t>发放。款物的发</w:t>
      </w:r>
      <w:r>
        <w:rPr>
          <w:spacing w:val="7"/>
        </w:rPr>
        <w:t>放要在核实底数的基础上，实行村民评议，张</w:t>
      </w:r>
      <w:r>
        <w:rPr>
          <w:spacing w:val="9"/>
        </w:rPr>
        <w:t>榜公布，做到公开、公平、公正。</w:t>
      </w:r>
    </w:p>
    <w:p>
      <w:pPr>
        <w:pStyle w:val="BodyText"/>
        <w:ind w:left="6" w:right="81" w:firstLine="428"/>
        <w:spacing w:before="9" w:line="374" w:lineRule="auto"/>
        <w:jc w:val="both"/>
        <w:rPr/>
      </w:pPr>
      <w:r>
        <w:rPr>
          <w:rFonts w:ascii="Times New Roman" w:hAnsi="Times New Roman" w:eastAsia="Times New Roman" w:cs="Times New Roman"/>
          <w:spacing w:val="8"/>
        </w:rPr>
        <w:t>5.3  </w:t>
      </w:r>
      <w:r>
        <w:rPr>
          <w:rFonts w:ascii="KaiTi" w:hAnsi="KaiTi" w:eastAsia="KaiTi" w:cs="KaiTi"/>
          <w:spacing w:val="8"/>
        </w:rPr>
        <w:t>倒损住房恢复重建。</w:t>
      </w:r>
      <w:r>
        <w:rPr>
          <w:spacing w:val="8"/>
        </w:rPr>
        <w:t>因灾倒损住房恢</w:t>
      </w:r>
      <w:r>
        <w:rPr>
          <w:spacing w:val="12"/>
        </w:rPr>
        <w:t>复重建工作应坚持</w:t>
      </w:r>
      <w:r>
        <w:rPr>
          <w:rFonts w:ascii="Times New Roman" w:hAnsi="Times New Roman" w:eastAsia="Times New Roman" w:cs="Times New Roman"/>
          <w:spacing w:val="12"/>
        </w:rPr>
        <w:t>“</w:t>
      </w:r>
      <w:r>
        <w:rPr>
          <w:spacing w:val="12"/>
        </w:rPr>
        <w:t>政府主导、分级管理、社</w:t>
      </w:r>
      <w:r>
        <w:rPr>
          <w:spacing w:val="8"/>
        </w:rPr>
        <w:t>会互助、生产自救</w:t>
      </w:r>
      <w:r>
        <w:rPr>
          <w:rFonts w:ascii="Times New Roman" w:hAnsi="Times New Roman" w:eastAsia="Times New Roman" w:cs="Times New Roman"/>
          <w:spacing w:val="8"/>
        </w:rPr>
        <w:t>”</w:t>
      </w:r>
      <w:r>
        <w:rPr>
          <w:spacing w:val="8"/>
        </w:rPr>
        <w:t>的原则</w:t>
      </w:r>
      <w:r>
        <w:rPr>
          <w:spacing w:val="-55"/>
        </w:rPr>
        <w:t xml:space="preserve"> </w:t>
      </w:r>
      <w:r>
        <w:rPr>
          <w:spacing w:val="8"/>
        </w:rPr>
        <w:t>，由市县（</w:t>
      </w:r>
      <w:r>
        <w:rPr>
          <w:spacing w:val="-47"/>
        </w:rPr>
        <w:t xml:space="preserve"> </w:t>
      </w:r>
      <w:r>
        <w:rPr>
          <w:spacing w:val="8"/>
        </w:rPr>
        <w:t>区）政</w:t>
      </w:r>
      <w:r>
        <w:rPr>
          <w:spacing w:val="8"/>
        </w:rPr>
        <w:t>府负责，应急管理和有关部门共同组织实施。</w:t>
      </w:r>
      <w:r>
        <w:rPr>
          <w:spacing w:val="7"/>
        </w:rPr>
        <w:t>因灾倒损住房恢复重建采取自建、援建和帮建</w:t>
      </w:r>
      <w:r>
        <w:rPr>
          <w:spacing w:val="7"/>
        </w:rPr>
        <w:t>相结合的方式，以受灾户自建为主。建房资金</w:t>
      </w:r>
      <w:r>
        <w:rPr>
          <w:spacing w:val="7"/>
        </w:rPr>
        <w:t>应通过政府救助、群众互助、亲邻相帮、社会</w:t>
      </w:r>
      <w:r>
        <w:rPr>
          <w:spacing w:val="8"/>
        </w:rPr>
        <w:t>捐助、自行借贷、政策优惠等多种途径解决。</w:t>
      </w:r>
      <w:r>
        <w:rPr>
          <w:spacing w:val="7"/>
        </w:rPr>
        <w:t>房屋规划和设计应因地制宜，合理布局，科学</w:t>
      </w:r>
      <w:r>
        <w:rPr>
          <w:spacing w:val="7"/>
        </w:rPr>
        <w:t>规划，充分考虑灾害因素，积极采用建设部门</w:t>
      </w:r>
      <w:r>
        <w:rPr>
          <w:spacing w:val="7"/>
        </w:rPr>
        <w:t>推荐的通用设计图纸，提高因灾倒损住房重建</w:t>
      </w:r>
      <w:r>
        <w:rPr>
          <w:spacing w:val="8"/>
        </w:rPr>
        <w:t>质量和设防标准。</w:t>
      </w:r>
    </w:p>
    <w:p>
      <w:pPr>
        <w:pStyle w:val="BodyText"/>
        <w:ind w:right="20" w:firstLine="428"/>
        <w:spacing w:before="6" w:line="367" w:lineRule="auto"/>
        <w:jc w:val="both"/>
        <w:rPr/>
      </w:pPr>
      <w:r>
        <w:rPr>
          <w:spacing w:val="6"/>
        </w:rPr>
        <w:t>建立因灾倒塌房屋台帐。灾情稳定后，县</w:t>
      </w:r>
      <w:r>
        <w:rPr>
          <w:spacing w:val="7"/>
        </w:rPr>
        <w:t>（区）应急管理部门立即组织倒损房核定，建</w:t>
      </w:r>
      <w:r>
        <w:rPr>
          <w:spacing w:val="-8"/>
        </w:rPr>
        <w:t>立因灾倒塌房屋台帐，并上报房屋毁损具体情况。</w:t>
      </w:r>
    </w:p>
    <w:p>
      <w:pPr>
        <w:pStyle w:val="BodyText"/>
        <w:ind w:left="7" w:right="23" w:firstLine="421"/>
        <w:spacing w:before="25" w:line="373" w:lineRule="auto"/>
        <w:rPr/>
      </w:pPr>
      <w:r>
        <w:rPr>
          <w:spacing w:val="20"/>
        </w:rPr>
        <w:t>制定因灾倒损住房恢复重建工作方案。</w:t>
      </w:r>
      <w:r>
        <w:rPr>
          <w:spacing w:val="4"/>
        </w:rPr>
        <w:t>市、县（</w:t>
      </w:r>
      <w:r>
        <w:rPr>
          <w:spacing w:val="-35"/>
        </w:rPr>
        <w:t xml:space="preserve"> </w:t>
      </w:r>
      <w:r>
        <w:rPr>
          <w:spacing w:val="4"/>
        </w:rPr>
        <w:t>区）政府根据灾情和自身实际，制定</w:t>
      </w:r>
      <w:r>
        <w:rPr>
          <w:spacing w:val="7"/>
        </w:rPr>
        <w:t>详细的恢复重建工作方案，包括恢复重建工作</w:t>
      </w:r>
      <w:r>
        <w:rPr>
          <w:spacing w:val="7"/>
        </w:rPr>
        <w:t>的指导思想和基本原则、补助范围和标准、补</w:t>
      </w:r>
      <w:r>
        <w:rPr>
          <w:spacing w:val="1"/>
        </w:rPr>
        <w:t>助资金筹集下拨、政策支持、组织实施措施等。</w:t>
      </w:r>
    </w:p>
    <w:p>
      <w:pPr>
        <w:pStyle w:val="BodyText"/>
        <w:ind w:left="430"/>
        <w:spacing w:before="10" w:line="221" w:lineRule="auto"/>
        <w:rPr/>
      </w:pPr>
      <w:r>
        <w:rPr>
          <w:spacing w:val="4"/>
        </w:rPr>
        <w:t>市应急管理局根据县（</w:t>
      </w:r>
      <w:r>
        <w:rPr>
          <w:spacing w:val="-49"/>
        </w:rPr>
        <w:t xml:space="preserve"> </w:t>
      </w:r>
      <w:r>
        <w:rPr>
          <w:spacing w:val="4"/>
        </w:rPr>
        <w:t>区）政府向市政府</w:t>
      </w:r>
    </w:p>
    <w:p>
      <w:pPr>
        <w:spacing w:line="221" w:lineRule="auto"/>
        <w:sectPr>
          <w:type w:val="continuous"/>
          <w:pgSz w:w="11906" w:h="16839"/>
          <w:pgMar w:top="1772" w:right="1489" w:bottom="1584" w:left="1567" w:header="1428" w:footer="1172" w:gutter="0"/>
          <w:cols w:equalWidth="0" w:num="2">
            <w:col w:w="4495" w:space="100"/>
            <w:col w:w="4256" w:space="0"/>
          </w:cols>
        </w:sectPr>
        <w:rPr/>
      </w:pPr>
    </w:p>
    <w:p>
      <w:pPr>
        <w:spacing w:before="83"/>
        <w:rPr/>
      </w:pPr>
      <w:r>
        <w:drawing>
          <wp:anchor distT="0" distB="0" distL="0" distR="0" simplePos="0" relativeHeight="252765184"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664" name="IM 1664"/>
            <wp:cNvGraphicFramePr/>
            <a:graphic>
              <a:graphicData uri="http://schemas.openxmlformats.org/drawingml/2006/picture">
                <pic:pic>
                  <pic:nvPicPr>
                    <pic:cNvPr id="1664" name="IM 1664"/>
                    <pic:cNvPicPr/>
                  </pic:nvPicPr>
                  <pic:blipFill>
                    <a:blip r:embed="rId834"/>
                    <a:stretch>
                      <a:fillRect/>
                    </a:stretch>
                  </pic:blipFill>
                  <pic:spPr>
                    <a:xfrm rot="0">
                      <a:off x="0" y="0"/>
                      <a:ext cx="5579745" cy="7620"/>
                    </a:xfrm>
                    <a:prstGeom prst="rect">
                      <a:avLst/>
                    </a:prstGeom>
                  </pic:spPr>
                </pic:pic>
              </a:graphicData>
            </a:graphic>
          </wp:anchor>
        </w:drawing>
      </w:r>
      <w:r/>
    </w:p>
    <w:p>
      <w:pPr>
        <w:sectPr>
          <w:headerReference w:type="default" r:id="rId561"/>
          <w:footerReference w:type="default" r:id="rId833"/>
          <w:pgSz w:w="11906" w:h="16839"/>
          <w:pgMar w:top="1766" w:right="1480" w:bottom="1575" w:left="1579" w:header="1428" w:footer="1172" w:gutter="0"/>
          <w:cols w:equalWidth="0" w:num="1">
            <w:col w:w="8846" w:space="0"/>
          </w:cols>
        </w:sectPr>
        <w:rPr/>
      </w:pPr>
    </w:p>
    <w:p>
      <w:pPr>
        <w:pStyle w:val="BodyText"/>
        <w:ind w:left="13" w:right="329" w:hanging="3"/>
        <w:spacing w:before="41" w:line="377" w:lineRule="auto"/>
        <w:jc w:val="both"/>
        <w:rPr/>
      </w:pPr>
      <w:r>
        <w:rPr>
          <w:spacing w:val="7"/>
        </w:rPr>
        <w:t>请求拨款的请示，结合灾情评估情况，会同市</w:t>
      </w:r>
      <w:r>
        <w:rPr>
          <w:spacing w:val="7"/>
        </w:rPr>
        <w:t>财政局报经市政府同意后下拨救灾资金，专项</w:t>
      </w:r>
      <w:r>
        <w:rPr>
          <w:spacing w:val="9"/>
        </w:rPr>
        <w:t>用于因灾倒损住房的恢复重建及维修加固。</w:t>
      </w:r>
    </w:p>
    <w:p>
      <w:pPr>
        <w:pStyle w:val="BodyText"/>
        <w:ind w:left="11" w:right="329" w:firstLine="423"/>
        <w:spacing w:line="375" w:lineRule="auto"/>
        <w:jc w:val="both"/>
        <w:rPr/>
      </w:pPr>
      <w:r>
        <w:rPr>
          <w:spacing w:val="6"/>
        </w:rPr>
        <w:t>市应急管理局向灾区派出督查组，督促检</w:t>
      </w:r>
      <w:r>
        <w:rPr>
          <w:spacing w:val="7"/>
        </w:rPr>
        <w:t>查恢复重建工作，定期通报各地救灾资金下拨</w:t>
      </w:r>
      <w:r>
        <w:rPr>
          <w:spacing w:val="8"/>
        </w:rPr>
        <w:t>进度和恢复重建工作进度。</w:t>
      </w:r>
    </w:p>
    <w:p>
      <w:pPr>
        <w:pStyle w:val="BodyText"/>
        <w:ind w:left="13" w:right="329" w:firstLine="419"/>
        <w:spacing w:before="2" w:line="375" w:lineRule="auto"/>
        <w:jc w:val="both"/>
        <w:rPr/>
      </w:pPr>
      <w:r>
        <w:rPr>
          <w:spacing w:val="4"/>
        </w:rPr>
        <w:t>住房重建工作结束后，市、县（</w:t>
      </w:r>
      <w:r>
        <w:rPr>
          <w:spacing w:val="-47"/>
        </w:rPr>
        <w:t xml:space="preserve"> </w:t>
      </w:r>
      <w:r>
        <w:rPr>
          <w:spacing w:val="4"/>
        </w:rPr>
        <w:t>区）应急</w:t>
      </w:r>
      <w:r>
        <w:rPr>
          <w:spacing w:val="7"/>
        </w:rPr>
        <w:t>管理、财政部门应采取实地调查、抽样调查等</w:t>
      </w:r>
      <w:r>
        <w:rPr>
          <w:spacing w:val="7"/>
        </w:rPr>
        <w:t>方式，对本地因灾倒损住房恢复重建补助资金</w:t>
      </w:r>
      <w:r>
        <w:rPr>
          <w:spacing w:val="7"/>
        </w:rPr>
        <w:t>管理使用工作开展绩效评估，并将评估结果报</w:t>
      </w:r>
      <w:r>
        <w:rPr>
          <w:spacing w:val="8"/>
        </w:rPr>
        <w:t>上一级应急管理、财政部门。</w:t>
      </w:r>
    </w:p>
    <w:p>
      <w:pPr>
        <w:pStyle w:val="BodyText"/>
        <w:ind w:left="11" w:right="252" w:firstLine="423"/>
        <w:spacing w:before="5" w:line="377" w:lineRule="auto"/>
        <w:jc w:val="both"/>
        <w:rPr/>
      </w:pPr>
      <w:r>
        <w:rPr>
          <w:spacing w:val="19"/>
        </w:rPr>
        <w:t>市住房和城乡建设部门负责因灾倒损住</w:t>
      </w:r>
      <w:r>
        <w:rPr>
          <w:spacing w:val="7"/>
        </w:rPr>
        <w:t>房恢复重建的技术支持和质量监督等工作。发</w:t>
      </w:r>
      <w:r>
        <w:rPr>
          <w:spacing w:val="7"/>
        </w:rPr>
        <w:t>展和改革、自然资源、市场监督管理、税务等</w:t>
      </w:r>
      <w:r>
        <w:rPr>
          <w:spacing w:val="7"/>
        </w:rPr>
        <w:t>部门制定恢复重建优惠政策，简化手续，减免</w:t>
      </w:r>
      <w:r>
        <w:rPr>
          <w:spacing w:val="-8"/>
        </w:rPr>
        <w:t>税费，平抑物价，确保恢复重建工作的顺利开展。</w:t>
      </w:r>
    </w:p>
    <w:p>
      <w:pPr>
        <w:pStyle w:val="BodyText"/>
        <w:ind w:left="10" w:right="246" w:firstLine="422"/>
        <w:spacing w:before="5" w:line="375" w:lineRule="auto"/>
        <w:jc w:val="both"/>
        <w:rPr/>
      </w:pPr>
      <w:r>
        <w:rPr/>
        <w:t>各级发改、教体、公安、财政、自然资源、</w:t>
      </w:r>
      <w:r>
        <w:rPr>
          <w:spacing w:val="1"/>
        </w:rPr>
        <w:t>住房和城乡建设、交通运输、水务、农业农村、</w:t>
      </w:r>
      <w:r>
        <w:rPr>
          <w:spacing w:val="7"/>
        </w:rPr>
        <w:t>卫生健康委员会、文化旅游广播电视局等部门</w:t>
      </w:r>
      <w:r>
        <w:rPr>
          <w:spacing w:val="11"/>
        </w:rPr>
        <w:t>和电力、通讯企业以及金融机构，各负其责，</w:t>
      </w:r>
      <w:r>
        <w:rPr>
          <w:spacing w:val="7"/>
        </w:rPr>
        <w:t>各执其事，密切配合，形成合力，加快灾区社</w:t>
      </w:r>
      <w:r>
        <w:rPr>
          <w:spacing w:val="7"/>
        </w:rPr>
        <w:t>会事业和基础设施恢复重建步伐，维护灾区社</w:t>
      </w:r>
      <w:r>
        <w:rPr>
          <w:spacing w:val="6"/>
        </w:rPr>
        <w:t>会稳定。</w:t>
      </w:r>
    </w:p>
    <w:p>
      <w:pPr>
        <w:ind w:left="437"/>
        <w:spacing w:before="1"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6</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4"/>
        </w:rPr>
        <w:t>保障措施</w:t>
      </w:r>
    </w:p>
    <w:p>
      <w:pPr>
        <w:pStyle w:val="BodyText"/>
        <w:ind w:left="14" w:right="329" w:firstLine="424"/>
        <w:spacing w:before="103" w:line="376" w:lineRule="auto"/>
        <w:jc w:val="both"/>
        <w:rPr/>
      </w:pPr>
      <w:r>
        <w:rPr>
          <w:rFonts w:ascii="Times New Roman" w:hAnsi="Times New Roman" w:eastAsia="Times New Roman" w:cs="Times New Roman"/>
          <w:spacing w:val="6"/>
        </w:rPr>
        <w:t>6.</w:t>
      </w:r>
      <w:r>
        <w:rPr>
          <w:rFonts w:ascii="Times New Roman" w:hAnsi="Times New Roman" w:eastAsia="Times New Roman" w:cs="Times New Roman"/>
          <w:spacing w:val="-7"/>
        </w:rPr>
        <w:t xml:space="preserve"> </w:t>
      </w:r>
      <w:r>
        <w:rPr>
          <w:rFonts w:ascii="Times New Roman" w:hAnsi="Times New Roman" w:eastAsia="Times New Roman" w:cs="Times New Roman"/>
          <w:spacing w:val="6"/>
        </w:rPr>
        <w:t>1  </w:t>
      </w:r>
      <w:r>
        <w:rPr>
          <w:rFonts w:ascii="KaiTi" w:hAnsi="KaiTi" w:eastAsia="KaiTi" w:cs="KaiTi"/>
          <w:spacing w:val="6"/>
        </w:rPr>
        <w:t>通信和信息保障。</w:t>
      </w:r>
      <w:r>
        <w:rPr>
          <w:spacing w:val="6"/>
        </w:rPr>
        <w:t>通信运营部门应依</w:t>
      </w:r>
      <w:r>
        <w:rPr>
          <w:spacing w:val="7"/>
        </w:rPr>
        <w:t>法保障灾害信息的畅通。自然灾害救助信息网</w:t>
      </w:r>
      <w:r>
        <w:rPr>
          <w:spacing w:val="7"/>
        </w:rPr>
        <w:t>络应以公用通信网为基础，合理组建灾情专用</w:t>
      </w:r>
      <w:r>
        <w:rPr>
          <w:spacing w:val="8"/>
        </w:rPr>
        <w:t>通信网络，确保信息畅通。</w:t>
      </w:r>
    </w:p>
    <w:p>
      <w:pPr>
        <w:pStyle w:val="BodyText"/>
        <w:ind w:left="14" w:right="329" w:firstLine="420"/>
        <w:spacing w:before="6" w:line="376" w:lineRule="auto"/>
        <w:jc w:val="both"/>
        <w:rPr/>
      </w:pPr>
      <w:r>
        <w:rPr>
          <w:spacing w:val="6"/>
        </w:rPr>
        <w:t>充分利用现有资源、设备，开展市级灾情</w:t>
      </w:r>
      <w:r>
        <w:rPr>
          <w:spacing w:val="7"/>
        </w:rPr>
        <w:t>管理系统建设，完善灾情和数据共享平台，完</w:t>
      </w:r>
      <w:r>
        <w:rPr>
          <w:spacing w:val="8"/>
        </w:rPr>
        <w:t>善部门间灾情共享机制。</w:t>
      </w:r>
    </w:p>
    <w:p>
      <w:pPr>
        <w:pStyle w:val="BodyText"/>
        <w:ind w:left="434"/>
        <w:spacing w:before="1" w:line="187" w:lineRule="auto"/>
        <w:rPr/>
      </w:pPr>
      <w:r>
        <w:rPr>
          <w:spacing w:val="19"/>
        </w:rPr>
        <w:t>加强各级政府减灾救灾通讯网络建设和</w:t>
      </w:r>
    </w:p>
    <w:p>
      <w:pPr>
        <w:spacing w:line="14" w:lineRule="auto"/>
        <w:rPr>
          <w:rFonts w:ascii="Arial"/>
          <w:sz w:val="2"/>
        </w:rPr>
      </w:pPr>
      <w:r>
        <w:rPr>
          <w:rFonts w:ascii="Arial" w:hAnsi="Arial" w:eastAsia="Arial" w:cs="Arial"/>
          <w:sz w:val="2"/>
          <w:szCs w:val="2"/>
        </w:rPr>
        <w:br w:type="column"/>
      </w:r>
    </w:p>
    <w:p>
      <w:pPr>
        <w:pStyle w:val="BodyText"/>
        <w:ind w:left="3" w:right="110"/>
        <w:spacing w:before="40" w:line="375" w:lineRule="auto"/>
        <w:rPr/>
      </w:pPr>
      <w:r>
        <w:rPr>
          <w:spacing w:val="7"/>
        </w:rPr>
        <w:t>管理，为减灾救灾提供及时、准确的通信和信</w:t>
      </w:r>
      <w:r>
        <w:rPr>
          <w:spacing w:val="5"/>
        </w:rPr>
        <w:t>息服务。</w:t>
      </w:r>
    </w:p>
    <w:p>
      <w:pPr>
        <w:pStyle w:val="BodyText"/>
        <w:ind w:left="1" w:right="110" w:firstLine="424"/>
        <w:spacing w:before="1" w:line="374" w:lineRule="auto"/>
        <w:jc w:val="both"/>
        <w:rPr/>
      </w:pPr>
      <w:r>
        <w:rPr>
          <w:rFonts w:ascii="Times New Roman" w:hAnsi="Times New Roman" w:eastAsia="Times New Roman" w:cs="Times New Roman"/>
          <w:spacing w:val="8"/>
        </w:rPr>
        <w:t>6.2  </w:t>
      </w:r>
      <w:r>
        <w:rPr>
          <w:rFonts w:ascii="KaiTi" w:hAnsi="KaiTi" w:eastAsia="KaiTi" w:cs="KaiTi"/>
          <w:spacing w:val="8"/>
        </w:rPr>
        <w:t>装备和设施保障。</w:t>
      </w:r>
      <w:r>
        <w:rPr>
          <w:spacing w:val="8"/>
        </w:rPr>
        <w:t>市应急管理指挥部</w:t>
      </w:r>
      <w:r>
        <w:rPr>
          <w:spacing w:val="18"/>
        </w:rPr>
        <w:t>有关成员单位应配备救灾管理工作必需的设</w:t>
      </w:r>
      <w:r>
        <w:rPr>
          <w:spacing w:val="6"/>
        </w:rPr>
        <w:t>备和装备。</w:t>
      </w:r>
    </w:p>
    <w:p>
      <w:pPr>
        <w:pStyle w:val="BodyText"/>
        <w:ind w:right="110" w:firstLine="420"/>
        <w:spacing w:before="10" w:line="377" w:lineRule="auto"/>
        <w:jc w:val="both"/>
        <w:rPr/>
      </w:pPr>
      <w:r>
        <w:rPr>
          <w:spacing w:val="19"/>
        </w:rPr>
        <w:t>各级政府要建立健全自然灾害救助应急</w:t>
      </w:r>
      <w:r>
        <w:rPr>
          <w:spacing w:val="7"/>
        </w:rPr>
        <w:t>指挥技术支撑系统，并为自然灾害救助工作提</w:t>
      </w:r>
      <w:r>
        <w:rPr>
          <w:spacing w:val="9"/>
        </w:rPr>
        <w:t>供必需的交通、通信等设备和装备。</w:t>
      </w:r>
    </w:p>
    <w:p>
      <w:pPr>
        <w:pStyle w:val="BodyText"/>
        <w:ind w:left="3" w:right="103" w:firstLine="418"/>
        <w:spacing w:line="375" w:lineRule="auto"/>
        <w:jc w:val="both"/>
        <w:rPr/>
      </w:pPr>
      <w:r>
        <w:rPr>
          <w:spacing w:val="19"/>
        </w:rPr>
        <w:t>各级政府要根据当地居民人口数量和分</w:t>
      </w:r>
      <w:r>
        <w:rPr>
          <w:spacing w:val="7"/>
        </w:rPr>
        <w:t>布等情况，利用广场、体育场馆等公共设施，</w:t>
      </w:r>
      <w:r>
        <w:rPr>
          <w:spacing w:val="8"/>
        </w:rPr>
        <w:t>统筹规划设立应急避难场所。</w:t>
      </w:r>
    </w:p>
    <w:p>
      <w:pPr>
        <w:pStyle w:val="BodyText"/>
        <w:ind w:firstLine="426"/>
        <w:spacing w:before="6" w:line="372" w:lineRule="auto"/>
        <w:jc w:val="both"/>
        <w:rPr/>
      </w:pPr>
      <w:r>
        <w:rPr>
          <w:rFonts w:ascii="Times New Roman" w:hAnsi="Times New Roman" w:eastAsia="Times New Roman" w:cs="Times New Roman"/>
          <w:spacing w:val="8"/>
        </w:rPr>
        <w:t>6.3  </w:t>
      </w:r>
      <w:r>
        <w:rPr>
          <w:rFonts w:ascii="KaiTi" w:hAnsi="KaiTi" w:eastAsia="KaiTi" w:cs="KaiTi"/>
          <w:spacing w:val="8"/>
        </w:rPr>
        <w:t>应急队伍保障。</w:t>
      </w:r>
      <w:r>
        <w:rPr>
          <w:spacing w:val="8"/>
        </w:rPr>
        <w:t>任何单位和个人都有</w:t>
      </w:r>
      <w:r>
        <w:rPr/>
        <w:t>依法参加自然灾害应急抢险的义务。各县（</w:t>
      </w:r>
      <w:r>
        <w:rPr>
          <w:spacing w:val="-44"/>
        </w:rPr>
        <w:t xml:space="preserve"> </w:t>
      </w:r>
      <w:r>
        <w:rPr/>
        <w:t>区）</w:t>
      </w:r>
      <w:r>
        <w:rPr>
          <w:spacing w:val="7"/>
        </w:rPr>
        <w:t>应针对本地区自然灾害特点，建立专业自然灾</w:t>
      </w:r>
      <w:r>
        <w:rPr>
          <w:spacing w:val="7"/>
        </w:rPr>
        <w:t>害救助抢险救援队伍。自然灾害救助应急抢险</w:t>
      </w:r>
      <w:r>
        <w:rPr>
          <w:spacing w:val="7"/>
        </w:rPr>
        <w:t>救援队伍分为：专业应急抢险救援队伍、非专</w:t>
      </w:r>
      <w:r>
        <w:rPr/>
        <w:t>业应急抢险救援队伍、群众应急抢险救援队伍。</w:t>
      </w:r>
    </w:p>
    <w:p>
      <w:pPr>
        <w:pStyle w:val="BodyText"/>
        <w:ind w:left="1" w:right="110" w:firstLine="435"/>
        <w:spacing w:before="27" w:line="376" w:lineRule="auto"/>
        <w:jc w:val="both"/>
        <w:rPr/>
      </w:pPr>
      <w:r>
        <w:rPr>
          <w:spacing w:val="6"/>
        </w:rPr>
        <w:t>当发生一般及较大自然灾害后，由事发地</w:t>
      </w:r>
      <w:r>
        <w:rPr>
          <w:spacing w:val="7"/>
        </w:rPr>
        <w:t>的县级应急管理指挥部根据事件性质，指挥本</w:t>
      </w:r>
      <w:r>
        <w:rPr>
          <w:spacing w:val="18"/>
        </w:rPr>
        <w:t>地自然灾害救助应急抢险救援队伍进行应急</w:t>
      </w:r>
      <w:r>
        <w:rPr>
          <w:spacing w:val="4"/>
        </w:rPr>
        <w:t>处置。</w:t>
      </w:r>
    </w:p>
    <w:p>
      <w:pPr>
        <w:pStyle w:val="BodyText"/>
        <w:ind w:left="3" w:right="110" w:firstLine="434"/>
        <w:spacing w:before="2" w:line="375" w:lineRule="auto"/>
        <w:jc w:val="both"/>
        <w:rPr/>
      </w:pPr>
      <w:r>
        <w:rPr>
          <w:spacing w:val="6"/>
        </w:rPr>
        <w:t>当发生重大自然灾害后，由事发地的应急</w:t>
      </w:r>
      <w:r>
        <w:rPr>
          <w:spacing w:val="7"/>
        </w:rPr>
        <w:t>管理指挥部根据事件性质，调用和指挥辖区自</w:t>
      </w:r>
      <w:r>
        <w:rPr>
          <w:spacing w:val="7"/>
        </w:rPr>
        <w:t>然灾害救助应急抢险队伍进行应急处置。必要</w:t>
      </w:r>
      <w:r>
        <w:rPr>
          <w:spacing w:val="15"/>
        </w:rPr>
        <w:t>时</w:t>
      </w:r>
      <w:r>
        <w:rPr>
          <w:spacing w:val="-42"/>
        </w:rPr>
        <w:t xml:space="preserve"> </w:t>
      </w:r>
      <w:r>
        <w:rPr>
          <w:spacing w:val="15"/>
        </w:rPr>
        <w:t>，市应急管理指挥部派出工作组赴受灾现</w:t>
      </w:r>
      <w:r>
        <w:rPr>
          <w:spacing w:val="4"/>
        </w:rPr>
        <w:t>场，指导自然灾害发生地县（</w:t>
      </w:r>
      <w:r>
        <w:rPr>
          <w:spacing w:val="-37"/>
        </w:rPr>
        <w:t xml:space="preserve"> </w:t>
      </w:r>
      <w:r>
        <w:rPr>
          <w:spacing w:val="4"/>
        </w:rPr>
        <w:t>区）政府开展自</w:t>
      </w:r>
      <w:r>
        <w:rPr>
          <w:spacing w:val="8"/>
        </w:rPr>
        <w:t>然灾害应急处置工作。</w:t>
      </w:r>
    </w:p>
    <w:p>
      <w:pPr>
        <w:pStyle w:val="BodyText"/>
        <w:ind w:right="110" w:firstLine="436"/>
        <w:spacing w:before="14" w:line="338" w:lineRule="auto"/>
        <w:jc w:val="both"/>
        <w:rPr/>
      </w:pPr>
      <w:r>
        <w:rPr>
          <w:spacing w:val="6"/>
        </w:rPr>
        <w:t>当发生特别重大自然灾害后，由市应急管</w:t>
      </w:r>
      <w:r>
        <w:rPr>
          <w:spacing w:val="4"/>
        </w:rPr>
        <w:t>理指挥部组织有关县（</w:t>
      </w:r>
      <w:r>
        <w:rPr>
          <w:spacing w:val="-35"/>
        </w:rPr>
        <w:t xml:space="preserve"> </w:t>
      </w:r>
      <w:r>
        <w:rPr>
          <w:spacing w:val="4"/>
        </w:rPr>
        <w:t>区）政府及相关部门和</w:t>
      </w:r>
      <w:r>
        <w:rPr>
          <w:spacing w:val="7"/>
        </w:rPr>
        <w:t>单位开展应急处置工作，统一协调指挥自然灾</w:t>
      </w:r>
      <w:r>
        <w:rPr>
          <w:spacing w:val="7"/>
        </w:rPr>
        <w:t>害救助应急救援队伍。必要时，市应急管理指</w:t>
      </w:r>
      <w:r>
        <w:rPr>
          <w:spacing w:val="18"/>
        </w:rPr>
        <w:t>挥部可向自治区应急管理指挥部提出支援或</w:t>
      </w:r>
    </w:p>
    <w:p>
      <w:pPr>
        <w:spacing w:line="338" w:lineRule="auto"/>
        <w:sectPr>
          <w:type w:val="continuous"/>
          <w:pgSz w:w="11906" w:h="16839"/>
          <w:pgMar w:top="1766" w:right="1480" w:bottom="1575" w:left="1579" w:header="1428" w:footer="1172" w:gutter="0"/>
          <w:cols w:equalWidth="0" w:num="2">
            <w:col w:w="4489" w:space="100"/>
            <w:col w:w="4258" w:space="0"/>
          </w:cols>
        </w:sectPr>
        <w:rPr/>
      </w:pPr>
    </w:p>
    <w:p>
      <w:pPr>
        <w:spacing w:before="80"/>
        <w:rPr/>
      </w:pPr>
      <w:r>
        <w:drawing>
          <wp:anchor distT="0" distB="0" distL="0" distR="0" simplePos="0" relativeHeight="252776448"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668" name="IM 1668"/>
            <wp:cNvGraphicFramePr/>
            <a:graphic>
              <a:graphicData uri="http://schemas.openxmlformats.org/drawingml/2006/picture">
                <pic:pic>
                  <pic:nvPicPr>
                    <pic:cNvPr id="1668" name="IM 1668"/>
                    <pic:cNvPicPr/>
                  </pic:nvPicPr>
                  <pic:blipFill>
                    <a:blip r:embed="rId836"/>
                    <a:stretch>
                      <a:fillRect/>
                    </a:stretch>
                  </pic:blipFill>
                  <pic:spPr>
                    <a:xfrm rot="0">
                      <a:off x="0" y="0"/>
                      <a:ext cx="5579745" cy="7620"/>
                    </a:xfrm>
                    <a:prstGeom prst="rect">
                      <a:avLst/>
                    </a:prstGeom>
                  </pic:spPr>
                </pic:pic>
              </a:graphicData>
            </a:graphic>
          </wp:anchor>
        </w:drawing>
      </w:r>
      <w:r/>
    </w:p>
    <w:p>
      <w:pPr>
        <w:sectPr>
          <w:headerReference w:type="default" r:id="rId816"/>
          <w:footerReference w:type="default" r:id="rId835"/>
          <w:pgSz w:w="11906" w:h="16839"/>
          <w:pgMar w:top="1772" w:right="1489" w:bottom="1584" w:left="1567" w:header="1428" w:footer="1172" w:gutter="0"/>
          <w:cols w:equalWidth="0" w:num="1">
            <w:col w:w="8850" w:space="0"/>
          </w:cols>
        </w:sectPr>
        <w:rPr/>
      </w:pPr>
    </w:p>
    <w:p>
      <w:pPr>
        <w:pStyle w:val="BodyText"/>
        <w:ind w:left="28"/>
        <w:spacing w:before="40" w:line="219" w:lineRule="auto"/>
        <w:rPr/>
      </w:pPr>
      <w:r>
        <w:rPr>
          <w:spacing w:val="8"/>
        </w:rPr>
        <w:t>委派工作组来固原指导应急处置工作。</w:t>
      </w:r>
    </w:p>
    <w:p>
      <w:pPr>
        <w:pStyle w:val="BodyText"/>
        <w:ind w:left="25" w:right="200" w:firstLine="419"/>
        <w:spacing w:before="167" w:line="373" w:lineRule="auto"/>
        <w:jc w:val="both"/>
        <w:rPr/>
      </w:pPr>
      <w:r>
        <w:rPr/>
        <w:t>驻固部队、市消防救援队伍、各县（</w:t>
      </w:r>
      <w:r>
        <w:rPr>
          <w:spacing w:val="-46"/>
        </w:rPr>
        <w:t xml:space="preserve"> </w:t>
      </w:r>
      <w:r>
        <w:rPr/>
        <w:t>区）、</w:t>
      </w:r>
      <w:r>
        <w:rPr>
          <w:spacing w:val="18"/>
        </w:rPr>
        <w:t>各部门专业应急抢险队伍是抗洪抢险的重要</w:t>
      </w:r>
      <w:r>
        <w:rPr/>
        <w:t>力量。在自然灾害救助应急救援期间，县（</w:t>
      </w:r>
      <w:r>
        <w:rPr>
          <w:spacing w:val="-46"/>
        </w:rPr>
        <w:t xml:space="preserve"> </w:t>
      </w:r>
      <w:r>
        <w:rPr/>
        <w:t>区）</w:t>
      </w:r>
      <w:r>
        <w:rPr>
          <w:spacing w:val="18"/>
        </w:rPr>
        <w:t>政府和应急管理指挥部应组织动员社会公众</w:t>
      </w:r>
      <w:r>
        <w:rPr>
          <w:spacing w:val="8"/>
        </w:rPr>
        <w:t>力量投入抗旱救灾工作。</w:t>
      </w:r>
    </w:p>
    <w:p>
      <w:pPr>
        <w:pStyle w:val="BodyText"/>
        <w:ind w:left="25" w:right="329" w:firstLine="425"/>
        <w:spacing w:before="17" w:line="376" w:lineRule="auto"/>
        <w:jc w:val="both"/>
        <w:rPr/>
      </w:pPr>
      <w:r>
        <w:rPr>
          <w:rFonts w:ascii="Times New Roman" w:hAnsi="Times New Roman" w:eastAsia="Times New Roman" w:cs="Times New Roman"/>
          <w:spacing w:val="5"/>
        </w:rPr>
        <w:t>6.4  </w:t>
      </w:r>
      <w:r>
        <w:rPr>
          <w:rFonts w:ascii="KaiTi" w:hAnsi="KaiTi" w:eastAsia="KaiTi" w:cs="KaiTi"/>
          <w:spacing w:val="5"/>
        </w:rPr>
        <w:t>物资保障。</w:t>
      </w:r>
      <w:r>
        <w:rPr>
          <w:spacing w:val="5"/>
        </w:rPr>
        <w:t>市县（</w:t>
      </w:r>
      <w:r>
        <w:rPr>
          <w:spacing w:val="-36"/>
        </w:rPr>
        <w:t xml:space="preserve"> </w:t>
      </w:r>
      <w:r>
        <w:rPr>
          <w:spacing w:val="5"/>
        </w:rPr>
        <w:t>区）政府根据自然</w:t>
      </w:r>
      <w:r>
        <w:rPr>
          <w:spacing w:val="7"/>
        </w:rPr>
        <w:t>灾害特点、居民人口数量和分布等情况，按照</w:t>
      </w:r>
      <w:r>
        <w:rPr>
          <w:spacing w:val="7"/>
        </w:rPr>
        <w:t>合理布局、规模适度原则，设立救灾物资储备</w:t>
      </w:r>
      <w:r>
        <w:rPr>
          <w:spacing w:val="7"/>
        </w:rPr>
        <w:t>库，完善救灾物资仓储条件、设施和功能，形</w:t>
      </w:r>
      <w:r>
        <w:rPr>
          <w:spacing w:val="8"/>
        </w:rPr>
        <w:t>成救灾物资储备网络。</w:t>
      </w:r>
    </w:p>
    <w:p>
      <w:pPr>
        <w:pStyle w:val="BodyText"/>
        <w:ind w:left="23" w:right="329" w:firstLine="423"/>
        <w:spacing w:before="1" w:line="377" w:lineRule="auto"/>
        <w:jc w:val="both"/>
        <w:rPr/>
      </w:pPr>
      <w:r>
        <w:rPr>
          <w:spacing w:val="6"/>
        </w:rPr>
        <w:t>市县（区）政府建立健全救灾物资采购和</w:t>
      </w:r>
      <w:r>
        <w:rPr>
          <w:spacing w:val="7"/>
        </w:rPr>
        <w:t>储备制度，制定救灾物资储备规划，合理确定</w:t>
      </w:r>
      <w:r>
        <w:rPr>
          <w:spacing w:val="7"/>
        </w:rPr>
        <w:t>储备品种和规模。采取实物储备、协议储备和</w:t>
      </w:r>
      <w:r>
        <w:rPr>
          <w:spacing w:val="7"/>
        </w:rPr>
        <w:t>能力储备相结合的原则，健全应急采购和供货</w:t>
      </w:r>
      <w:r>
        <w:rPr>
          <w:spacing w:val="9"/>
        </w:rPr>
        <w:t>机制，加大物资储备品种和数量。</w:t>
      </w:r>
    </w:p>
    <w:p>
      <w:pPr>
        <w:pStyle w:val="BodyText"/>
        <w:ind w:left="24" w:right="329" w:firstLine="423"/>
        <w:spacing w:before="5" w:line="376" w:lineRule="auto"/>
        <w:jc w:val="both"/>
        <w:rPr/>
      </w:pPr>
      <w:r>
        <w:rPr>
          <w:spacing w:val="6"/>
        </w:rPr>
        <w:t>市县（区）政府要建立健全救灾物资应急</w:t>
      </w:r>
      <w:r>
        <w:rPr>
          <w:spacing w:val="7"/>
        </w:rPr>
        <w:t>保障和补偿机制。灾害发生后，根据需要，可</w:t>
      </w:r>
      <w:r>
        <w:rPr>
          <w:spacing w:val="18"/>
        </w:rPr>
        <w:t>在本行政区域内紧急调用救灾所需物资、设</w:t>
      </w:r>
      <w:r>
        <w:rPr>
          <w:spacing w:val="7"/>
        </w:rPr>
        <w:t>备、交通运输工具、人力、场地等，并在调用</w:t>
      </w:r>
      <w:r>
        <w:rPr>
          <w:spacing w:val="7"/>
        </w:rPr>
        <w:t>后给予物资补充或经费补助。交通、铁路、民</w:t>
      </w:r>
      <w:r>
        <w:rPr>
          <w:spacing w:val="7"/>
        </w:rPr>
        <w:t>航等部门应开辟救灾物资运输绿色通道，保障</w:t>
      </w:r>
      <w:r>
        <w:rPr>
          <w:spacing w:val="7"/>
        </w:rPr>
        <w:t>救灾物资迅速运往灾害现场。对运送救灾物资</w:t>
      </w:r>
      <w:r>
        <w:rPr>
          <w:spacing w:val="8"/>
        </w:rPr>
        <w:t>的车辆免收路桥通行费用。</w:t>
      </w:r>
    </w:p>
    <w:p>
      <w:pPr>
        <w:pStyle w:val="BodyText"/>
        <w:ind w:left="17" w:right="329" w:firstLine="433"/>
        <w:spacing w:before="2" w:line="357" w:lineRule="auto"/>
        <w:jc w:val="both"/>
        <w:rPr/>
      </w:pPr>
      <w:r>
        <w:rPr>
          <w:rFonts w:ascii="Times New Roman" w:hAnsi="Times New Roman" w:eastAsia="Times New Roman" w:cs="Times New Roman"/>
          <w:spacing w:val="8"/>
        </w:rPr>
        <w:t>6.5  </w:t>
      </w:r>
      <w:r>
        <w:rPr>
          <w:rFonts w:ascii="KaiTi" w:hAnsi="KaiTi" w:eastAsia="KaiTi" w:cs="KaiTi"/>
          <w:spacing w:val="8"/>
        </w:rPr>
        <w:t>经费保障。</w:t>
      </w:r>
      <w:r>
        <w:rPr>
          <w:spacing w:val="8"/>
        </w:rPr>
        <w:t>各级财政、发改、应急管</w:t>
      </w:r>
      <w:r>
        <w:rPr>
          <w:spacing w:val="-5"/>
        </w:rPr>
        <w:t>理等部门应根据《中华人民共和国预算法》</w:t>
      </w:r>
      <w:r>
        <w:rPr>
          <w:spacing w:val="-6"/>
        </w:rPr>
        <w:t>《</w:t>
      </w:r>
      <w:r>
        <w:rPr>
          <w:spacing w:val="-40"/>
        </w:rPr>
        <w:t xml:space="preserve"> </w:t>
      </w:r>
      <w:r>
        <w:rPr>
          <w:spacing w:val="-6"/>
        </w:rPr>
        <w:t>自</w:t>
      </w:r>
      <w:r>
        <w:rPr>
          <w:spacing w:val="7"/>
        </w:rPr>
        <w:t>然灾害救助条例》《固原市自然灾害生活救助</w:t>
      </w:r>
      <w:r>
        <w:rPr>
          <w:spacing w:val="7"/>
        </w:rPr>
        <w:t>资金管理暂行办法》等规定，安排本级自然灾</w:t>
      </w:r>
      <w:r>
        <w:rPr>
          <w:spacing w:val="7"/>
        </w:rPr>
        <w:t>害救助资金和自然灾害救助工作经费预算，并</w:t>
      </w:r>
      <w:r>
        <w:rPr>
          <w:spacing w:val="7"/>
        </w:rPr>
        <w:t>视灾情轻重及时调整。要按照救灾工作分级负</w:t>
      </w:r>
      <w:r>
        <w:rPr>
          <w:spacing w:val="7"/>
        </w:rPr>
        <w:t>责、救灾资金分级负担的原则，建立完善市县</w:t>
      </w:r>
      <w:r>
        <w:rPr>
          <w:spacing w:val="7"/>
        </w:rPr>
        <w:t>（区）救灾资金分担机制，加大救灾资金投入</w:t>
      </w:r>
    </w:p>
    <w:p>
      <w:pPr>
        <w:spacing w:line="14" w:lineRule="auto"/>
        <w:rPr>
          <w:rFonts w:ascii="Arial"/>
          <w:sz w:val="2"/>
        </w:rPr>
      </w:pPr>
      <w:r>
        <w:rPr>
          <w:rFonts w:ascii="Arial" w:hAnsi="Arial" w:eastAsia="Arial" w:cs="Arial"/>
          <w:sz w:val="2"/>
          <w:szCs w:val="2"/>
        </w:rPr>
        <w:br w:type="column"/>
      </w:r>
    </w:p>
    <w:p>
      <w:pPr>
        <w:pStyle w:val="BodyText"/>
        <w:ind w:left="1"/>
        <w:spacing w:before="40" w:line="216" w:lineRule="auto"/>
        <w:rPr/>
      </w:pPr>
      <w:r>
        <w:rPr>
          <w:spacing w:val="4"/>
        </w:rPr>
        <w:t>力度。</w:t>
      </w:r>
    </w:p>
    <w:p>
      <w:pPr>
        <w:pStyle w:val="BodyText"/>
        <w:ind w:left="4" w:right="101" w:firstLine="418"/>
        <w:spacing w:before="166" w:line="376" w:lineRule="auto"/>
        <w:jc w:val="both"/>
        <w:rPr/>
      </w:pPr>
      <w:r>
        <w:rPr>
          <w:spacing w:val="6"/>
        </w:rPr>
        <w:t>市县（区）政府将自然灾害救助工作纳入</w:t>
      </w:r>
      <w:r>
        <w:rPr>
          <w:spacing w:val="7"/>
        </w:rPr>
        <w:t>国民经济和社会发展规划，建立健全与自然灾</w:t>
      </w:r>
      <w:r>
        <w:rPr>
          <w:spacing w:val="7"/>
        </w:rPr>
        <w:t>害救助需求相适应的资金、物资保障机制，将</w:t>
      </w:r>
      <w:r>
        <w:rPr>
          <w:spacing w:val="18"/>
        </w:rPr>
        <w:t>自然灾害救助资金和自然灾害救助工作经费</w:t>
      </w:r>
      <w:r>
        <w:rPr>
          <w:spacing w:val="7"/>
        </w:rPr>
        <w:t>纳入财政预算。</w:t>
      </w:r>
    </w:p>
    <w:p>
      <w:pPr>
        <w:pStyle w:val="BodyText"/>
        <w:ind w:left="1" w:right="101" w:firstLine="420"/>
        <w:spacing w:before="7" w:line="377" w:lineRule="auto"/>
        <w:rPr/>
      </w:pPr>
      <w:r>
        <w:rPr>
          <w:spacing w:val="6"/>
        </w:rPr>
        <w:t>救灾资金纳入国库管理，单独核算，专款</w:t>
      </w:r>
      <w:r>
        <w:rPr>
          <w:spacing w:val="8"/>
        </w:rPr>
        <w:t>专用，保证资金及时拨付。</w:t>
      </w:r>
    </w:p>
    <w:p>
      <w:pPr>
        <w:pStyle w:val="BodyText"/>
        <w:ind w:left="2" w:right="101" w:firstLine="419"/>
        <w:spacing w:before="3" w:line="376" w:lineRule="auto"/>
        <w:jc w:val="both"/>
        <w:rPr/>
      </w:pPr>
      <w:r>
        <w:rPr>
          <w:spacing w:val="6"/>
        </w:rPr>
        <w:t>救灾资金预算不足时，地方各级财政应根</w:t>
      </w:r>
      <w:r>
        <w:rPr>
          <w:spacing w:val="7"/>
        </w:rPr>
        <w:t>据救灾工作需要，报经同级政府同意后，补充</w:t>
      </w:r>
      <w:r>
        <w:rPr>
          <w:spacing w:val="6"/>
        </w:rPr>
        <w:t>安排资金。</w:t>
      </w:r>
    </w:p>
    <w:p>
      <w:pPr>
        <w:pStyle w:val="BodyText"/>
        <w:ind w:left="3" w:right="78" w:firstLine="420"/>
        <w:spacing w:line="375" w:lineRule="auto"/>
        <w:jc w:val="both"/>
        <w:rPr/>
      </w:pPr>
      <w:r>
        <w:rPr>
          <w:spacing w:val="8"/>
        </w:rPr>
        <w:t>市县区政府应根据财力增长、物价变动、</w:t>
      </w:r>
      <w:r>
        <w:rPr>
          <w:spacing w:val="7"/>
        </w:rPr>
        <w:t>居民生活水平实际状况等因素，适时增加救灾</w:t>
      </w:r>
      <w:r>
        <w:rPr>
          <w:spacing w:val="8"/>
        </w:rPr>
        <w:t>资金预算，提高灾害救助水平。</w:t>
      </w:r>
    </w:p>
    <w:p>
      <w:pPr>
        <w:pStyle w:val="BodyText"/>
        <w:ind w:left="1" w:right="101" w:firstLine="424"/>
        <w:spacing w:before="3" w:line="375" w:lineRule="auto"/>
        <w:jc w:val="both"/>
        <w:rPr/>
      </w:pPr>
      <w:r>
        <w:rPr>
          <w:rFonts w:ascii="Times New Roman" w:hAnsi="Times New Roman" w:eastAsia="Times New Roman" w:cs="Times New Roman"/>
          <w:spacing w:val="8"/>
        </w:rPr>
        <w:t>6.6  </w:t>
      </w:r>
      <w:r>
        <w:rPr>
          <w:rFonts w:ascii="KaiTi" w:hAnsi="KaiTi" w:eastAsia="KaiTi" w:cs="KaiTi"/>
          <w:spacing w:val="8"/>
        </w:rPr>
        <w:t>技术保障。</w:t>
      </w:r>
      <w:r>
        <w:rPr>
          <w:spacing w:val="8"/>
        </w:rPr>
        <w:t>建立基于遥感、地理信息</w:t>
      </w:r>
      <w:r>
        <w:rPr>
          <w:spacing w:val="7"/>
        </w:rPr>
        <w:t>系统、模拟仿真、计算机网络等技术的灾害监</w:t>
      </w:r>
      <w:r>
        <w:rPr>
          <w:spacing w:val="7"/>
        </w:rPr>
        <w:t>测预警、分析评估和应急方案优化等决策支持</w:t>
      </w:r>
      <w:r>
        <w:rPr>
          <w:spacing w:val="4"/>
        </w:rPr>
        <w:t>系统。</w:t>
      </w:r>
    </w:p>
    <w:p>
      <w:pPr>
        <w:pStyle w:val="BodyText"/>
        <w:ind w:left="2" w:right="78" w:firstLine="419"/>
        <w:spacing w:before="5" w:line="377" w:lineRule="auto"/>
        <w:jc w:val="both"/>
        <w:rPr/>
      </w:pPr>
      <w:r>
        <w:rPr>
          <w:spacing w:val="6"/>
        </w:rPr>
        <w:t>组织应急管理、自然资源、生态环境、交</w:t>
      </w:r>
      <w:r>
        <w:rPr>
          <w:spacing w:val="8"/>
        </w:rPr>
        <w:t>通运输、水务、农业农村、卫生健康委员会、</w:t>
      </w:r>
      <w:r>
        <w:rPr>
          <w:spacing w:val="7"/>
        </w:rPr>
        <w:t>地震、气象等方面专家及高等院校、科研院所</w:t>
      </w:r>
      <w:r>
        <w:rPr>
          <w:spacing w:val="7"/>
        </w:rPr>
        <w:t>等单位专家开展灾害风险调查，编制自然灾害</w:t>
      </w:r>
      <w:r>
        <w:rPr>
          <w:spacing w:val="9"/>
        </w:rPr>
        <w:t>风险区划图，制定相关技术和管理标准。</w:t>
      </w:r>
    </w:p>
    <w:p>
      <w:pPr>
        <w:pStyle w:val="BodyText"/>
        <w:ind w:right="101" w:firstLine="423"/>
        <w:spacing w:before="1" w:line="376" w:lineRule="auto"/>
        <w:jc w:val="both"/>
        <w:rPr/>
      </w:pPr>
      <w:r>
        <w:rPr>
          <w:spacing w:val="6"/>
        </w:rPr>
        <w:t>支持和鼓励高等院校、科研院所、企事业</w:t>
      </w:r>
      <w:r>
        <w:rPr>
          <w:spacing w:val="18"/>
        </w:rPr>
        <w:t>单位和社会组织等社会力量开展灾害相关领</w:t>
      </w:r>
      <w:r>
        <w:rPr>
          <w:spacing w:val="7"/>
        </w:rPr>
        <w:t>域的科学研究和技术开发，建立合作机制，鼓</w:t>
      </w:r>
      <w:r>
        <w:rPr>
          <w:spacing w:val="9"/>
        </w:rPr>
        <w:t>励参与减灾救灾政策理论研究。</w:t>
      </w:r>
    </w:p>
    <w:p>
      <w:pPr>
        <w:pStyle w:val="BodyText"/>
        <w:ind w:left="4" w:right="94" w:firstLine="416"/>
        <w:spacing w:before="2" w:line="374" w:lineRule="auto"/>
        <w:jc w:val="both"/>
        <w:rPr/>
      </w:pPr>
      <w:r>
        <w:rPr>
          <w:spacing w:val="6"/>
        </w:rPr>
        <w:t>建立社区应急广播体系，加快预警信息发</w:t>
      </w:r>
      <w:r>
        <w:rPr>
          <w:spacing w:val="7"/>
        </w:rPr>
        <w:t>布系统建设，及时向公众发布自然灾害预警，</w:t>
      </w:r>
      <w:r>
        <w:rPr>
          <w:spacing w:val="8"/>
        </w:rPr>
        <w:t>实现灾情预警预报市内全覆盖式传播。</w:t>
      </w:r>
    </w:p>
    <w:p>
      <w:pPr>
        <w:ind w:left="424"/>
        <w:spacing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7</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预案管理</w:t>
      </w:r>
    </w:p>
    <w:p>
      <w:pPr>
        <w:pStyle w:val="BodyText"/>
        <w:ind w:left="425"/>
        <w:spacing w:before="104" w:line="221" w:lineRule="auto"/>
        <w:rPr/>
      </w:pPr>
      <w:r>
        <w:rPr>
          <w:rFonts w:ascii="Times New Roman" w:hAnsi="Times New Roman" w:eastAsia="Times New Roman" w:cs="Times New Roman"/>
          <w:spacing w:val="6"/>
        </w:rPr>
        <w:t>7.</w:t>
      </w:r>
      <w:r>
        <w:rPr>
          <w:rFonts w:ascii="Times New Roman" w:hAnsi="Times New Roman" w:eastAsia="Times New Roman" w:cs="Times New Roman"/>
          <w:spacing w:val="-25"/>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5"/>
          <w:w w:val="101"/>
        </w:rPr>
        <w:t xml:space="preserve">  </w:t>
      </w:r>
      <w:r>
        <w:rPr>
          <w:rFonts w:ascii="KaiTi" w:hAnsi="KaiTi" w:eastAsia="KaiTi" w:cs="KaiTi"/>
          <w:spacing w:val="6"/>
        </w:rPr>
        <w:t>宣传培训。</w:t>
      </w:r>
      <w:r>
        <w:rPr>
          <w:spacing w:val="6"/>
        </w:rPr>
        <w:t>县级以上政府及其有关部</w:t>
      </w:r>
    </w:p>
    <w:p>
      <w:pPr>
        <w:spacing w:line="221" w:lineRule="auto"/>
        <w:sectPr>
          <w:type w:val="continuous"/>
          <w:pgSz w:w="11906" w:h="16839"/>
          <w:pgMar w:top="1772" w:right="1489" w:bottom="1584" w:left="1567" w:header="1428" w:footer="1172" w:gutter="0"/>
          <w:cols w:equalWidth="0" w:num="2">
            <w:col w:w="4502" w:space="100"/>
            <w:col w:w="4249" w:space="0"/>
          </w:cols>
        </w:sectPr>
        <w:rPr/>
      </w:pPr>
    </w:p>
    <w:p>
      <w:pPr>
        <w:spacing w:before="79"/>
        <w:rPr/>
      </w:pPr>
      <w:r/>
    </w:p>
    <w:p>
      <w:pPr>
        <w:sectPr>
          <w:headerReference w:type="default" r:id="rId837"/>
          <w:footerReference w:type="default" r:id="rId838"/>
          <w:pgSz w:w="11906" w:h="16839"/>
          <w:pgMar w:top="1766" w:right="1230" w:bottom="1575" w:left="1501" w:header="1428" w:footer="1172" w:gutter="0"/>
          <w:cols w:equalWidth="0" w:num="1">
            <w:col w:w="9175" w:space="0"/>
          </w:cols>
        </w:sectPr>
        <w:rPr/>
      </w:pPr>
    </w:p>
    <w:p>
      <w:pPr>
        <w:pStyle w:val="BodyText"/>
        <w:ind w:left="92" w:right="328" w:firstLine="18"/>
        <w:spacing w:before="45" w:line="375" w:lineRule="auto"/>
        <w:jc w:val="both"/>
        <w:rPr/>
      </w:pPr>
      <w:r>
        <w:rPr>
          <w:spacing w:val="6"/>
        </w:rPr>
        <w:t>门，根据区域自然灾害特点，有针对性地开展</w:t>
      </w:r>
      <w:r>
        <w:rPr>
          <w:spacing w:val="7"/>
        </w:rPr>
        <w:t>避险救援、减灾救灾、法律知识普及和宣传教</w:t>
      </w:r>
      <w:r>
        <w:rPr>
          <w:spacing w:val="15"/>
        </w:rPr>
        <w:t>育</w:t>
      </w:r>
      <w:r>
        <w:rPr>
          <w:spacing w:val="-42"/>
        </w:rPr>
        <w:t xml:space="preserve"> </w:t>
      </w:r>
      <w:r>
        <w:rPr>
          <w:spacing w:val="15"/>
        </w:rPr>
        <w:t>，动员社会公众积极参与应对自然灾害事</w:t>
      </w:r>
      <w:r>
        <w:rPr>
          <w:spacing w:val="8"/>
        </w:rPr>
        <w:t>件，提高全社会应对能力。</w:t>
      </w:r>
    </w:p>
    <w:p>
      <w:pPr>
        <w:pStyle w:val="BodyText"/>
        <w:ind w:left="89" w:right="328" w:firstLine="422"/>
        <w:spacing w:before="1" w:line="368" w:lineRule="auto"/>
        <w:jc w:val="both"/>
        <w:rPr/>
      </w:pPr>
      <w:r>
        <w:rPr>
          <w:spacing w:val="6"/>
        </w:rPr>
        <w:t>建立健全应急管理培训制度，组织应急管</w:t>
      </w:r>
      <w:r>
        <w:rPr>
          <w:spacing w:val="7"/>
        </w:rPr>
        <w:t>理人员、抢险救灾队伍、志愿者等进行应急知</w:t>
      </w:r>
      <w:r>
        <w:rPr>
          <w:spacing w:val="8"/>
        </w:rPr>
        <w:t>识和技能培训。</w:t>
      </w:r>
    </w:p>
    <w:p>
      <w:pPr>
        <w:pStyle w:val="BodyText"/>
        <w:ind w:left="92" w:right="328" w:firstLine="422"/>
        <w:spacing w:before="3" w:line="369" w:lineRule="auto"/>
        <w:jc w:val="both"/>
        <w:rPr/>
      </w:pPr>
      <w:r>
        <w:rPr>
          <w:rFonts w:ascii="Times New Roman" w:hAnsi="Times New Roman" w:eastAsia="Times New Roman" w:cs="Times New Roman"/>
          <w:spacing w:val="8"/>
        </w:rPr>
        <w:t>7.2  </w:t>
      </w:r>
      <w:r>
        <w:rPr>
          <w:rFonts w:ascii="KaiTi" w:hAnsi="KaiTi" w:eastAsia="KaiTi" w:cs="KaiTi"/>
          <w:spacing w:val="8"/>
        </w:rPr>
        <w:t>预案演练。</w:t>
      </w:r>
      <w:r>
        <w:rPr>
          <w:spacing w:val="8"/>
        </w:rPr>
        <w:t>市应急管理局负责监督指</w:t>
      </w:r>
      <w:r>
        <w:rPr>
          <w:spacing w:val="7"/>
        </w:rPr>
        <w:t>导预案的应急演练工作。各单位定期组织跨部</w:t>
      </w:r>
      <w:r>
        <w:rPr>
          <w:spacing w:val="7"/>
        </w:rPr>
        <w:t>门、跨区域的综合性应急救援演练，提高队伍</w:t>
      </w:r>
      <w:r>
        <w:rPr>
          <w:spacing w:val="7"/>
        </w:rPr>
        <w:t>快速反应和协同作战能力，确保完成抢险救援</w:t>
      </w:r>
      <w:r>
        <w:rPr>
          <w:spacing w:val="4"/>
        </w:rPr>
        <w:t>任务。</w:t>
      </w:r>
    </w:p>
    <w:p>
      <w:pPr>
        <w:spacing w:before="160"/>
        <w:rPr/>
      </w:pPr>
      <w:r/>
    </w:p>
    <w:p>
      <w:pPr>
        <w:spacing w:line="14" w:lineRule="auto"/>
        <w:rPr>
          <w:rFonts w:ascii="Arial"/>
          <w:sz w:val="2"/>
        </w:rPr>
      </w:pPr>
      <w:r>
        <w:rPr>
          <w:rFonts w:ascii="Arial" w:hAnsi="Arial" w:eastAsia="Arial" w:cs="Arial"/>
          <w:sz w:val="2"/>
          <w:szCs w:val="2"/>
        </w:rPr>
        <w:br w:type="column"/>
      </w:r>
    </w:p>
    <w:p>
      <w:pPr>
        <w:pStyle w:val="BodyText"/>
        <w:ind w:left="4" w:right="358" w:firstLine="418"/>
        <w:spacing w:before="39" w:line="368" w:lineRule="auto"/>
        <w:jc w:val="both"/>
        <w:rPr/>
      </w:pPr>
      <w:r>
        <w:rPr>
          <w:spacing w:val="15"/>
        </w:rPr>
        <w:t>相关部门至少每年组织</w:t>
      </w:r>
      <w:r>
        <w:rPr>
          <w:spacing w:val="1"/>
        </w:rPr>
        <w:t xml:space="preserve"> </w:t>
      </w:r>
      <w:r>
        <w:rPr>
          <w:rFonts w:ascii="Times New Roman" w:hAnsi="Times New Roman" w:eastAsia="Times New Roman" w:cs="Times New Roman"/>
          <w:spacing w:val="15"/>
        </w:rPr>
        <w:t>1</w:t>
      </w:r>
      <w:r>
        <w:rPr>
          <w:rFonts w:ascii="Times New Roman" w:hAnsi="Times New Roman" w:eastAsia="Times New Roman" w:cs="Times New Roman"/>
          <w:spacing w:val="20"/>
        </w:rPr>
        <w:t xml:space="preserve"> </w:t>
      </w:r>
      <w:r>
        <w:rPr>
          <w:spacing w:val="15"/>
        </w:rPr>
        <w:t>次应急预案演</w:t>
      </w:r>
      <w:r>
        <w:rPr>
          <w:spacing w:val="7"/>
        </w:rPr>
        <w:t>练，提高本部门、本地区自然灾害救助应急处</w:t>
      </w:r>
      <w:r>
        <w:rPr>
          <w:spacing w:val="5"/>
        </w:rPr>
        <w:t>置能力。</w:t>
      </w:r>
    </w:p>
    <w:p>
      <w:pPr>
        <w:pStyle w:val="BodyText"/>
        <w:ind w:right="353" w:firstLine="426"/>
        <w:spacing w:before="1" w:line="365" w:lineRule="auto"/>
        <w:jc w:val="both"/>
        <w:rPr/>
      </w:pPr>
      <w:r>
        <w:rPr>
          <w:rFonts w:ascii="Times New Roman" w:hAnsi="Times New Roman" w:eastAsia="Times New Roman" w:cs="Times New Roman"/>
          <w:spacing w:val="8"/>
        </w:rPr>
        <w:t>7.3  </w:t>
      </w:r>
      <w:r>
        <w:rPr>
          <w:rFonts w:ascii="KaiTi" w:hAnsi="KaiTi" w:eastAsia="KaiTi" w:cs="KaiTi"/>
          <w:spacing w:val="8"/>
        </w:rPr>
        <w:t>预案修订。</w:t>
      </w:r>
      <w:r>
        <w:rPr>
          <w:spacing w:val="8"/>
        </w:rPr>
        <w:t>市应急管理指挥部办公室</w:t>
      </w:r>
      <w:r>
        <w:rPr>
          <w:spacing w:val="7"/>
        </w:rPr>
        <w:t>会同有关部门制订本预案，经市政府审批后，</w:t>
      </w:r>
      <w:r>
        <w:rPr>
          <w:spacing w:val="8"/>
        </w:rPr>
        <w:t>由市政府办公室印发。</w:t>
      </w:r>
    </w:p>
    <w:p>
      <w:pPr>
        <w:pStyle w:val="BodyText"/>
        <w:ind w:left="3" w:right="360" w:firstLine="419"/>
        <w:spacing w:before="13" w:line="364" w:lineRule="auto"/>
        <w:jc w:val="both"/>
        <w:rPr/>
      </w:pPr>
      <w:r>
        <w:rPr>
          <w:spacing w:val="6"/>
        </w:rPr>
        <w:t>各县（区）应急管理指挥部办公室组织制</w:t>
      </w:r>
      <w:r>
        <w:rPr>
          <w:spacing w:val="7"/>
        </w:rPr>
        <w:t>订本行政区域自然灾害救助应急预案，报本级</w:t>
      </w:r>
      <w:r>
        <w:rPr>
          <w:spacing w:val="6"/>
        </w:rPr>
        <w:t>政府备案。</w:t>
      </w:r>
    </w:p>
    <w:p>
      <w:pPr>
        <w:pStyle w:val="BodyText"/>
        <w:ind w:left="3" w:right="360" w:firstLine="419"/>
        <w:spacing w:before="19" w:line="366" w:lineRule="auto"/>
        <w:jc w:val="both"/>
        <w:rPr/>
      </w:pPr>
      <w:r>
        <w:rPr>
          <w:spacing w:val="19"/>
        </w:rPr>
        <w:t>各级应急管理指挥部办公室要根据预案</w:t>
      </w:r>
      <w:r>
        <w:rPr>
          <w:spacing w:val="7"/>
        </w:rPr>
        <w:t>演练时发现的问题、机构变化等情况，适时组</w:t>
      </w:r>
      <w:r>
        <w:rPr>
          <w:spacing w:val="8"/>
        </w:rPr>
        <w:t>织修订完善本预案。</w:t>
      </w:r>
    </w:p>
    <w:p>
      <w:pPr>
        <w:ind w:left="425"/>
        <w:spacing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8    附件</w:t>
      </w:r>
    </w:p>
    <w:p>
      <w:pPr>
        <w:spacing w:line="217" w:lineRule="auto"/>
        <w:sectPr>
          <w:type w:val="continuous"/>
          <w:pgSz w:w="11906" w:h="16839"/>
          <w:pgMar w:top="1766" w:right="1230" w:bottom="1575" w:left="1501" w:header="1428" w:footer="1172" w:gutter="0"/>
          <w:cols w:equalWidth="0" w:num="2">
            <w:col w:w="4567" w:space="100"/>
            <w:col w:w="4509" w:space="0"/>
          </w:cols>
        </w:sectPr>
        <w:rPr>
          <w:rFonts w:ascii="Microsoft YaHei" w:hAnsi="Microsoft YaHei" w:eastAsia="Microsoft YaHei" w:cs="Microsoft YaHei"/>
          <w:sz w:val="20"/>
          <w:szCs w:val="20"/>
        </w:rPr>
      </w:pPr>
    </w:p>
    <w:p>
      <w:pPr>
        <w:spacing w:line="310" w:lineRule="auto"/>
        <w:rPr>
          <w:rFonts w:ascii="Arial"/>
          <w:sz w:val="21"/>
        </w:rPr>
      </w:pPr>
      <w:r>
        <w:drawing>
          <wp:anchor distT="0" distB="0" distL="0" distR="0" simplePos="0" relativeHeight="252796928" behindDoc="0" locked="0" layoutInCell="1" allowOverlap="1">
            <wp:simplePos x="0" y="0"/>
            <wp:positionH relativeFrom="column">
              <wp:posOffset>55244</wp:posOffset>
            </wp:positionH>
            <wp:positionV relativeFrom="paragraph">
              <wp:posOffset>-3526475</wp:posOffset>
            </wp:positionV>
            <wp:extent cx="5579745" cy="7620"/>
            <wp:effectExtent l="0" t="0" r="0" b="0"/>
            <wp:wrapNone/>
            <wp:docPr id="1674" name="IM 1674"/>
            <wp:cNvGraphicFramePr/>
            <a:graphic>
              <a:graphicData uri="http://schemas.openxmlformats.org/drawingml/2006/picture">
                <pic:pic>
                  <pic:nvPicPr>
                    <pic:cNvPr id="1674" name="IM 1674"/>
                    <pic:cNvPicPr/>
                  </pic:nvPicPr>
                  <pic:blipFill>
                    <a:blip r:embed="rId839"/>
                    <a:stretch>
                      <a:fillRect/>
                    </a:stretch>
                  </pic:blipFill>
                  <pic:spPr>
                    <a:xfrm rot="0">
                      <a:off x="0" y="0"/>
                      <a:ext cx="5579745" cy="7620"/>
                    </a:xfrm>
                    <a:prstGeom prst="rect">
                      <a:avLst/>
                    </a:prstGeom>
                  </pic:spPr>
                </pic:pic>
              </a:graphicData>
            </a:graphic>
          </wp:anchor>
        </w:drawing>
      </w:r>
      <w:r/>
    </w:p>
    <w:p>
      <w:pPr>
        <w:ind w:left="1818"/>
        <w:spacing w:before="121" w:line="210" w:lineRule="auto"/>
        <w:rPr>
          <w:rFonts w:ascii="Microsoft YaHei" w:hAnsi="Microsoft YaHei" w:eastAsia="Microsoft YaHei" w:cs="Microsoft YaHei"/>
          <w:sz w:val="28"/>
          <w:szCs w:val="28"/>
        </w:rPr>
      </w:pPr>
      <w:r>
        <w:rPr>
          <w:rFonts w:ascii="Microsoft YaHei" w:hAnsi="Microsoft YaHei" w:eastAsia="Microsoft YaHei" w:cs="Microsoft YaHei"/>
          <w:sz w:val="28"/>
          <w:szCs w:val="28"/>
          <w:spacing w:val="-2"/>
        </w:rPr>
        <w:t>8.1  固原市自然灾害救助应急指挥部组织机构图</w:t>
      </w:r>
    </w:p>
    <w:p>
      <w:pPr>
        <w:spacing w:line="242" w:lineRule="auto"/>
        <w:rPr>
          <w:rFonts w:ascii="Arial"/>
          <w:sz w:val="21"/>
        </w:rPr>
      </w:pPr>
      <w:r/>
    </w:p>
    <w:p>
      <w:pPr>
        <w:pStyle w:val="BodyText"/>
        <w:ind w:left="2299"/>
        <w:spacing w:before="66" w:line="277" w:lineRule="exact"/>
        <w:rPr/>
      </w:pPr>
      <w:r>
        <w:drawing>
          <wp:anchor distT="0" distB="0" distL="0" distR="0" simplePos="0" relativeHeight="252788736" behindDoc="1" locked="0" layoutInCell="1" allowOverlap="1">
            <wp:simplePos x="0" y="0"/>
            <wp:positionH relativeFrom="column">
              <wp:posOffset>0</wp:posOffset>
            </wp:positionH>
            <wp:positionV relativeFrom="paragraph">
              <wp:posOffset>-48356</wp:posOffset>
            </wp:positionV>
            <wp:extent cx="5826125" cy="3783596"/>
            <wp:effectExtent l="0" t="0" r="0" b="0"/>
            <wp:wrapNone/>
            <wp:docPr id="1676" name="IM 1676"/>
            <wp:cNvGraphicFramePr/>
            <a:graphic>
              <a:graphicData uri="http://schemas.openxmlformats.org/drawingml/2006/picture">
                <pic:pic>
                  <pic:nvPicPr>
                    <pic:cNvPr id="1676" name="IM 1676"/>
                    <pic:cNvPicPr/>
                  </pic:nvPicPr>
                  <pic:blipFill>
                    <a:blip r:embed="rId840"/>
                    <a:stretch>
                      <a:fillRect/>
                    </a:stretch>
                  </pic:blipFill>
                  <pic:spPr>
                    <a:xfrm rot="0">
                      <a:off x="0" y="0"/>
                      <a:ext cx="5826125" cy="3783596"/>
                    </a:xfrm>
                    <a:prstGeom prst="rect">
                      <a:avLst/>
                    </a:prstGeom>
                  </pic:spPr>
                </pic:pic>
              </a:graphicData>
            </a:graphic>
          </wp:anchor>
        </w:drawing>
      </w:r>
      <w:r>
        <w:rPr>
          <w:spacing w:val="9"/>
          <w:position w:val="1"/>
        </w:rPr>
        <w:t>指挥长：市政府分管应急管理工作的副市长</w:t>
      </w:r>
    </w:p>
    <w:p>
      <w:pPr>
        <w:spacing w:line="311" w:lineRule="auto"/>
        <w:rPr>
          <w:rFonts w:ascii="Arial"/>
          <w:sz w:val="21"/>
        </w:rPr>
      </w:pPr>
      <w:r/>
    </w:p>
    <w:p>
      <w:pPr>
        <w:spacing w:line="312" w:lineRule="auto"/>
        <w:rPr>
          <w:rFonts w:ascii="Arial"/>
          <w:sz w:val="21"/>
        </w:rPr>
      </w:pPr>
      <w:r/>
    </w:p>
    <w:p>
      <w:pPr>
        <w:pStyle w:val="BodyText"/>
        <w:ind w:left="2065"/>
        <w:spacing w:before="66" w:line="277" w:lineRule="exact"/>
        <w:rPr/>
      </w:pPr>
      <w:r>
        <w:rPr>
          <w:spacing w:val="9"/>
          <w:position w:val="1"/>
        </w:rPr>
        <w:t>副指挥长：固原市人民政府分管相关工作的副市长</w:t>
      </w:r>
    </w:p>
    <w:p>
      <w:pPr>
        <w:rPr>
          <w:rFonts w:ascii="Arial"/>
          <w:sz w:val="21"/>
        </w:rPr>
      </w:pPr>
      <w:r/>
    </w:p>
    <w:p>
      <w:pPr>
        <w:rPr>
          <w:rFonts w:ascii="Arial"/>
          <w:sz w:val="21"/>
        </w:rPr>
      </w:pPr>
      <w:r/>
    </w:p>
    <w:p>
      <w:pPr>
        <w:rPr>
          <w:rFonts w:ascii="Arial"/>
          <w:sz w:val="21"/>
        </w:rPr>
      </w:pPr>
      <w:r/>
    </w:p>
    <w:p>
      <w:pPr>
        <w:rPr>
          <w:rFonts w:ascii="Arial"/>
          <w:sz w:val="21"/>
        </w:rPr>
      </w:pPr>
      <w:r/>
    </w:p>
    <w:p>
      <w:pPr>
        <w:pStyle w:val="BodyText"/>
        <w:ind w:left="799"/>
        <w:spacing w:before="65" w:line="234" w:lineRule="auto"/>
        <w:rPr/>
      </w:pPr>
      <w:r>
        <w:rPr>
          <w:spacing w:val="7"/>
        </w:rPr>
        <w:t>应急救援办公室                     </w:t>
      </w:r>
      <w:r>
        <w:rPr>
          <w:spacing w:val="6"/>
        </w:rPr>
        <w:t xml:space="preserve">                   应急处置工作组</w:t>
      </w:r>
    </w:p>
    <w:p>
      <w:pPr>
        <w:spacing w:line="309" w:lineRule="auto"/>
        <w:rPr>
          <w:rFonts w:ascii="Arial"/>
          <w:sz w:val="21"/>
        </w:rPr>
      </w:pPr>
      <w:r/>
    </w:p>
    <w:p>
      <w:pPr>
        <w:spacing w:line="309" w:lineRule="auto"/>
        <w:rPr>
          <w:rFonts w:ascii="Arial"/>
          <w:sz w:val="21"/>
        </w:rPr>
      </w:pPr>
      <w:r>
        <w:drawing>
          <wp:anchor distT="0" distB="0" distL="0" distR="0" simplePos="0" relativeHeight="252787712" behindDoc="1" locked="0" layoutInCell="1" allowOverlap="1">
            <wp:simplePos x="0" y="0"/>
            <wp:positionH relativeFrom="column">
              <wp:posOffset>227330</wp:posOffset>
            </wp:positionH>
            <wp:positionV relativeFrom="paragraph">
              <wp:posOffset>73829</wp:posOffset>
            </wp:positionV>
            <wp:extent cx="5400039" cy="7619"/>
            <wp:effectExtent l="0" t="0" r="0" b="0"/>
            <wp:wrapNone/>
            <wp:docPr id="1678" name="IM 1678"/>
            <wp:cNvGraphicFramePr/>
            <a:graphic>
              <a:graphicData uri="http://schemas.openxmlformats.org/drawingml/2006/picture">
                <pic:pic>
                  <pic:nvPicPr>
                    <pic:cNvPr id="1678" name="IM 1678"/>
                    <pic:cNvPicPr/>
                  </pic:nvPicPr>
                  <pic:blipFill>
                    <a:blip r:embed="rId841"/>
                    <a:stretch>
                      <a:fillRect/>
                    </a:stretch>
                  </pic:blipFill>
                  <pic:spPr>
                    <a:xfrm rot="0">
                      <a:off x="0" y="0"/>
                      <a:ext cx="5400039" cy="7619"/>
                    </a:xfrm>
                    <a:prstGeom prst="rect">
                      <a:avLst/>
                    </a:prstGeom>
                  </pic:spPr>
                </pic:pic>
              </a:graphicData>
            </a:graphic>
          </wp:anchor>
        </w:drawing>
      </w:r>
      <w:r/>
    </w:p>
    <w:p>
      <w:pPr>
        <w:spacing w:line="310" w:lineRule="auto"/>
        <w:rPr>
          <w:rFonts w:ascii="Arial"/>
          <w:sz w:val="21"/>
        </w:rPr>
      </w:pPr>
      <w:r/>
    </w:p>
    <w:p>
      <w:pPr>
        <w:pStyle w:val="BodyText"/>
        <w:ind w:left="5136"/>
        <w:spacing w:before="65" w:line="219" w:lineRule="auto"/>
        <w:rPr/>
      </w:pPr>
      <w:r>
        <w:pict>
          <v:shape id="_x0000_s48" style="position:absolute;margin-left:318.354pt;margin-top:2.77334pt;mso-position-vertical-relative:text;mso-position-horizontal-relative:text;width:22.85pt;height:88.85pt;z-index:252789760;" filled="false" stroked="false" type="#_x0000_t202">
            <v:fill on="false"/>
            <v:stroke on="false"/>
            <v:path/>
            <v:imagedata o:title=""/>
            <o:lock v:ext="edit" aspectratio="false"/>
            <v:textbox inset="0mm,0mm,0mm,0mm">
              <w:txbxContent>
                <w:p>
                  <w:pPr>
                    <w:pStyle w:val="BodyText"/>
                    <w:ind w:left="23"/>
                    <w:spacing w:before="19" w:line="219" w:lineRule="auto"/>
                    <w:rPr/>
                  </w:pPr>
                  <w:r>
                    <w:rPr>
                      <w:spacing w:val="6"/>
                    </w:rPr>
                    <w:t>灾害</w:t>
                  </w:r>
                </w:p>
                <w:p>
                  <w:pPr>
                    <w:pStyle w:val="BodyText"/>
                    <w:ind w:left="23"/>
                    <w:spacing w:before="68" w:line="211" w:lineRule="auto"/>
                    <w:rPr/>
                  </w:pPr>
                  <w:r>
                    <w:rPr>
                      <w:spacing w:val="6"/>
                    </w:rPr>
                    <w:t>调查</w:t>
                  </w:r>
                </w:p>
                <w:p>
                  <w:pPr>
                    <w:pStyle w:val="BodyText"/>
                    <w:ind w:left="29"/>
                    <w:spacing w:before="68" w:line="217" w:lineRule="auto"/>
                    <w:rPr/>
                  </w:pPr>
                  <w:r>
                    <w:rPr>
                      <w:spacing w:val="3"/>
                    </w:rPr>
                    <w:t>和灾</w:t>
                  </w:r>
                </w:p>
                <w:p>
                  <w:pPr>
                    <w:pStyle w:val="BodyText"/>
                    <w:ind w:left="21"/>
                    <w:spacing w:before="62" w:line="219" w:lineRule="auto"/>
                    <w:rPr/>
                  </w:pPr>
                  <w:r>
                    <w:rPr>
                      <w:spacing w:val="7"/>
                    </w:rPr>
                    <w:t>情损</w:t>
                  </w:r>
                </w:p>
                <w:p>
                  <w:pPr>
                    <w:pStyle w:val="BodyText"/>
                    <w:ind w:left="22"/>
                    <w:spacing w:before="65" w:line="215" w:lineRule="auto"/>
                    <w:rPr/>
                  </w:pPr>
                  <w:r>
                    <w:rPr>
                      <w:spacing w:val="6"/>
                    </w:rPr>
                    <w:t>失评</w:t>
                  </w:r>
                </w:p>
                <w:p>
                  <w:pPr>
                    <w:pStyle w:val="BodyText"/>
                    <w:ind w:left="20"/>
                    <w:spacing w:before="62" w:line="220" w:lineRule="auto"/>
                    <w:rPr/>
                  </w:pPr>
                  <w:r>
                    <w:rPr>
                      <w:spacing w:val="8"/>
                    </w:rPr>
                    <w:t>估组</w:t>
                  </w:r>
                </w:p>
              </w:txbxContent>
            </v:textbox>
          </v:shape>
        </w:pict>
      </w:r>
      <w:r>
        <w:pict>
          <v:shape id="_x0000_s50" style="position:absolute;margin-left:191.112pt;margin-top:6.77109pt;mso-position-vertical-relative:text;mso-position-horizontal-relative:text;width:22.85pt;height:88.6pt;z-index:252790784;" filled="false" stroked="false" type="#_x0000_t202">
            <v:fill on="false"/>
            <v:stroke on="false"/>
            <v:path/>
            <v:imagedata o:title=""/>
            <o:lock v:ext="edit" aspectratio="false"/>
            <v:textbox inset="0mm,0mm,0mm,0mm">
              <w:txbxContent>
                <w:p>
                  <w:pPr>
                    <w:pStyle w:val="BodyText"/>
                    <w:ind w:left="22"/>
                    <w:spacing w:before="20" w:line="217" w:lineRule="auto"/>
                    <w:rPr/>
                  </w:pPr>
                  <w:r>
                    <w:rPr>
                      <w:spacing w:val="7"/>
                    </w:rPr>
                    <w:t>基础</w:t>
                  </w:r>
                </w:p>
                <w:p>
                  <w:pPr>
                    <w:pStyle w:val="BodyText"/>
                    <w:ind w:left="20"/>
                    <w:spacing w:before="65" w:line="214" w:lineRule="auto"/>
                    <w:rPr/>
                  </w:pPr>
                  <w:r>
                    <w:rPr>
                      <w:spacing w:val="8"/>
                    </w:rPr>
                    <w:t>设施</w:t>
                  </w:r>
                </w:p>
                <w:p>
                  <w:pPr>
                    <w:pStyle w:val="BodyText"/>
                    <w:ind w:left="21"/>
                    <w:spacing w:before="61" w:line="222" w:lineRule="auto"/>
                    <w:rPr/>
                  </w:pPr>
                  <w:r>
                    <w:rPr>
                      <w:spacing w:val="7"/>
                    </w:rPr>
                    <w:t>保障</w:t>
                  </w:r>
                </w:p>
                <w:p>
                  <w:pPr>
                    <w:pStyle w:val="BodyText"/>
                    <w:ind w:left="30"/>
                    <w:spacing w:before="69" w:line="210" w:lineRule="auto"/>
                    <w:rPr/>
                  </w:pPr>
                  <w:r>
                    <w:rPr>
                      <w:spacing w:val="3"/>
                    </w:rPr>
                    <w:t>和生</w:t>
                  </w:r>
                </w:p>
                <w:p>
                  <w:pPr>
                    <w:pStyle w:val="BodyText"/>
                    <w:ind w:left="23"/>
                    <w:spacing w:before="65" w:line="219" w:lineRule="auto"/>
                    <w:rPr/>
                  </w:pPr>
                  <w:r>
                    <w:rPr>
                      <w:spacing w:val="6"/>
                    </w:rPr>
                    <w:t>产恢</w:t>
                  </w:r>
                </w:p>
                <w:p>
                  <w:pPr>
                    <w:pStyle w:val="BodyText"/>
                    <w:ind w:left="28"/>
                    <w:spacing w:before="62" w:line="218" w:lineRule="auto"/>
                    <w:rPr/>
                  </w:pPr>
                  <w:r>
                    <w:rPr>
                      <w:spacing w:val="4"/>
                    </w:rPr>
                    <w:t>复组</w:t>
                  </w:r>
                </w:p>
              </w:txbxContent>
            </v:textbox>
          </v:shape>
        </w:pict>
      </w:r>
      <w:r>
        <w:rPr>
          <w:spacing w:val="6"/>
        </w:rPr>
        <w:t>救灾</w:t>
      </w:r>
    </w:p>
    <w:p>
      <w:pPr>
        <w:pStyle w:val="BodyText"/>
        <w:ind w:left="5138"/>
        <w:spacing w:before="66" w:line="215" w:lineRule="auto"/>
        <w:rPr/>
      </w:pPr>
      <w:r>
        <w:rPr>
          <w:spacing w:val="6"/>
        </w:rPr>
        <w:t>捐赠</w:t>
      </w:r>
    </w:p>
    <w:p>
      <w:pPr>
        <w:pStyle w:val="BodyText"/>
        <w:ind w:left="5144"/>
        <w:spacing w:before="67" w:line="217" w:lineRule="auto"/>
        <w:rPr/>
      </w:pPr>
      <w:r>
        <w:pict>
          <v:shape id="_x0000_s52" style="position:absolute;margin-left:66.599pt;margin-top:-3.15967pt;mso-position-vertical-relative:text;mso-position-horizontal-relative:text;width:22.7pt;height:44.05pt;z-index:252795904;" filled="false" stroked="false" type="#_x0000_t202">
            <v:fill on="false"/>
            <v:stroke on="false"/>
            <v:path/>
            <v:imagedata o:title=""/>
            <o:lock v:ext="edit" aspectratio="false"/>
            <v:textbox inset="0mm,0mm,0mm,0mm">
              <w:txbxContent>
                <w:p>
                  <w:pPr>
                    <w:pStyle w:val="BodyText"/>
                    <w:ind w:left="32"/>
                    <w:spacing w:before="19" w:line="219" w:lineRule="auto"/>
                    <w:rPr/>
                  </w:pPr>
                  <w:r>
                    <w:rPr/>
                    <w:t>医疗</w:t>
                  </w:r>
                </w:p>
                <w:p>
                  <w:pPr>
                    <w:pStyle w:val="BodyText"/>
                    <w:ind w:left="20"/>
                    <w:spacing w:before="62" w:line="220" w:lineRule="auto"/>
                    <w:rPr/>
                  </w:pPr>
                  <w:r>
                    <w:rPr>
                      <w:spacing w:val="6"/>
                    </w:rPr>
                    <w:t>救治</w:t>
                  </w:r>
                </w:p>
                <w:p>
                  <w:pPr>
                    <w:pStyle w:val="BodyText"/>
                    <w:ind w:left="123"/>
                    <w:spacing w:before="69" w:line="215" w:lineRule="auto"/>
                    <w:rPr/>
                  </w:pPr>
                  <w:r>
                    <w:rPr>
                      <w:spacing w:val="4"/>
                    </w:rPr>
                    <w:t>组</w:t>
                  </w:r>
                </w:p>
              </w:txbxContent>
            </v:textbox>
          </v:shape>
        </w:pict>
      </w:r>
      <w:r>
        <w:pict>
          <v:shape id="_x0000_s54" style="position:absolute;margin-left:3.1554pt;margin-top:-2.96141pt;mso-position-vertical-relative:text;mso-position-horizontal-relative:text;width:22.8pt;height:44.1pt;z-index:252792832;" filled="false" stroked="false" type="#_x0000_t202">
            <v:fill on="false"/>
            <v:stroke on="false"/>
            <v:path/>
            <v:imagedata o:title=""/>
            <o:lock v:ext="edit" aspectratio="false"/>
            <v:textbox inset="0mm,0mm,0mm,0mm">
              <w:txbxContent>
                <w:p>
                  <w:pPr>
                    <w:pStyle w:val="BodyText"/>
                    <w:ind w:left="20"/>
                    <w:spacing w:before="20" w:line="220" w:lineRule="auto"/>
                    <w:rPr/>
                  </w:pPr>
                  <w:r>
                    <w:rPr>
                      <w:spacing w:val="7"/>
                    </w:rPr>
                    <w:t>抢险</w:t>
                  </w:r>
                </w:p>
                <w:p>
                  <w:pPr>
                    <w:pStyle w:val="BodyText"/>
                    <w:ind w:left="21"/>
                    <w:spacing w:before="61" w:line="219" w:lineRule="auto"/>
                    <w:rPr/>
                  </w:pPr>
                  <w:r>
                    <w:rPr>
                      <w:spacing w:val="6"/>
                    </w:rPr>
                    <w:t>救援</w:t>
                  </w:r>
                </w:p>
                <w:p>
                  <w:pPr>
                    <w:pStyle w:val="BodyText"/>
                    <w:ind w:left="124"/>
                    <w:spacing w:before="71" w:line="215" w:lineRule="auto"/>
                    <w:rPr/>
                  </w:pPr>
                  <w:r>
                    <w:rPr>
                      <w:spacing w:val="4"/>
                    </w:rPr>
                    <w:t>组</w:t>
                  </w:r>
                </w:p>
              </w:txbxContent>
            </v:textbox>
          </v:shape>
        </w:pict>
      </w:r>
      <w:r>
        <w:pict>
          <v:shape id="_x0000_s56" style="position:absolute;margin-left:375.994pt;margin-top:-2.55969pt;mso-position-vertical-relative:text;mso-position-horizontal-relative:text;width:22.8pt;height:44.05pt;z-index:252793856;" filled="false" stroked="false" type="#_x0000_t202">
            <v:fill on="false"/>
            <v:stroke on="false"/>
            <v:path/>
            <v:imagedata o:title=""/>
            <o:lock v:ext="edit" aspectratio="false"/>
            <v:textbox inset="0mm,0mm,0mm,0mm">
              <w:txbxContent>
                <w:p>
                  <w:pPr>
                    <w:pStyle w:val="BodyText"/>
                    <w:ind w:left="23"/>
                    <w:spacing w:before="19" w:line="221" w:lineRule="auto"/>
                    <w:rPr/>
                  </w:pPr>
                  <w:r>
                    <w:rPr>
                      <w:spacing w:val="5"/>
                    </w:rPr>
                    <w:t>治安</w:t>
                  </w:r>
                </w:p>
                <w:p>
                  <w:pPr>
                    <w:pStyle w:val="BodyText"/>
                    <w:ind w:left="20"/>
                    <w:spacing w:before="60" w:line="220" w:lineRule="auto"/>
                    <w:rPr/>
                  </w:pPr>
                  <w:r>
                    <w:rPr>
                      <w:spacing w:val="7"/>
                    </w:rPr>
                    <w:t>保卫</w:t>
                  </w:r>
                </w:p>
                <w:p>
                  <w:pPr>
                    <w:pStyle w:val="BodyText"/>
                    <w:ind w:left="127"/>
                    <w:spacing w:before="69" w:line="215" w:lineRule="auto"/>
                    <w:rPr/>
                  </w:pPr>
                  <w:r>
                    <w:rPr>
                      <w:spacing w:val="4"/>
                    </w:rPr>
                    <w:t>组</w:t>
                  </w:r>
                </w:p>
              </w:txbxContent>
            </v:textbox>
          </v:shape>
        </w:pict>
      </w:r>
      <w:r>
        <w:pict>
          <v:shape id="_x0000_s58" style="position:absolute;margin-left:431.434pt;margin-top:-2.11604pt;mso-position-vertical-relative:text;mso-position-horizontal-relative:text;width:22.8pt;height:43.95pt;z-index:252794880;" filled="false" stroked="false" type="#_x0000_t202">
            <v:fill on="false"/>
            <v:stroke on="false"/>
            <v:path/>
            <v:imagedata o:title=""/>
            <o:lock v:ext="edit" aspectratio="false"/>
            <v:textbox inset="0mm,0mm,0mm,0mm">
              <w:txbxContent>
                <w:p>
                  <w:pPr>
                    <w:pStyle w:val="BodyText"/>
                    <w:ind w:left="20"/>
                    <w:spacing w:before="20" w:line="215" w:lineRule="auto"/>
                    <w:rPr/>
                  </w:pPr>
                  <w:r>
                    <w:rPr>
                      <w:spacing w:val="7"/>
                    </w:rPr>
                    <w:t>新闻</w:t>
                  </w:r>
                </w:p>
                <w:p>
                  <w:pPr>
                    <w:pStyle w:val="BodyText"/>
                    <w:ind w:left="23"/>
                    <w:spacing w:before="62" w:line="222" w:lineRule="auto"/>
                    <w:rPr/>
                  </w:pPr>
                  <w:r>
                    <w:rPr>
                      <w:spacing w:val="5"/>
                    </w:rPr>
                    <w:t>宣传</w:t>
                  </w:r>
                </w:p>
                <w:p>
                  <w:pPr>
                    <w:pStyle w:val="BodyText"/>
                    <w:ind w:left="127"/>
                    <w:spacing w:before="69" w:line="215" w:lineRule="auto"/>
                    <w:rPr/>
                  </w:pPr>
                  <w:r>
                    <w:rPr>
                      <w:spacing w:val="4"/>
                    </w:rPr>
                    <w:t>组</w:t>
                  </w:r>
                </w:p>
              </w:txbxContent>
            </v:textbox>
          </v:shape>
        </w:pict>
      </w:r>
      <w:r>
        <w:pict>
          <v:shape id="_x0000_s60" style="position:absolute;margin-left:127.715pt;margin-top:-3.25371pt;mso-position-vertical-relative:text;mso-position-horizontal-relative:text;width:22.8pt;height:59.15pt;z-index:252791808;" filled="false" stroked="false" type="#_x0000_t202">
            <v:fill on="false"/>
            <v:stroke on="false"/>
            <v:path/>
            <v:imagedata o:title=""/>
            <o:lock v:ext="edit" aspectratio="false"/>
            <v:textbox inset="0mm,0mm,0mm,0mm">
              <w:txbxContent>
                <w:p>
                  <w:pPr>
                    <w:pStyle w:val="BodyText"/>
                    <w:ind w:left="24"/>
                    <w:spacing w:before="19" w:line="222" w:lineRule="auto"/>
                    <w:rPr/>
                  </w:pPr>
                  <w:r>
                    <w:rPr>
                      <w:spacing w:val="5"/>
                    </w:rPr>
                    <w:t>物资</w:t>
                  </w:r>
                </w:p>
                <w:p>
                  <w:pPr>
                    <w:pStyle w:val="BodyText"/>
                    <w:ind w:left="26"/>
                    <w:spacing w:before="59" w:line="222" w:lineRule="auto"/>
                    <w:rPr/>
                  </w:pPr>
                  <w:r>
                    <w:rPr>
                      <w:spacing w:val="4"/>
                    </w:rPr>
                    <w:t>资金</w:t>
                  </w:r>
                </w:p>
                <w:p>
                  <w:pPr>
                    <w:pStyle w:val="BodyText"/>
                    <w:ind w:left="20"/>
                    <w:spacing w:before="58" w:line="222" w:lineRule="auto"/>
                    <w:rPr/>
                  </w:pPr>
                  <w:r>
                    <w:rPr>
                      <w:spacing w:val="7"/>
                    </w:rPr>
                    <w:t>保障</w:t>
                  </w:r>
                </w:p>
                <w:p>
                  <w:pPr>
                    <w:pStyle w:val="BodyText"/>
                    <w:ind w:left="127"/>
                    <w:spacing w:before="69" w:line="215" w:lineRule="auto"/>
                    <w:rPr/>
                  </w:pPr>
                  <w:r>
                    <w:rPr>
                      <w:spacing w:val="4"/>
                    </w:rPr>
                    <w:t>组</w:t>
                  </w:r>
                </w:p>
              </w:txbxContent>
            </v:textbox>
          </v:shape>
        </w:pict>
      </w:r>
      <w:r>
        <w:rPr>
          <w:spacing w:val="3"/>
        </w:rPr>
        <w:t>和涉</w:t>
      </w:r>
    </w:p>
    <w:p>
      <w:pPr>
        <w:pStyle w:val="BodyText"/>
        <w:ind w:left="5135"/>
        <w:spacing w:before="63" w:line="218" w:lineRule="auto"/>
        <w:rPr/>
      </w:pPr>
      <w:r>
        <w:rPr>
          <w:spacing w:val="7"/>
        </w:rPr>
        <w:t>外与</w:t>
      </w:r>
    </w:p>
    <w:p>
      <w:pPr>
        <w:pStyle w:val="BodyText"/>
        <w:ind w:left="5137"/>
        <w:spacing w:before="66" w:line="217" w:lineRule="auto"/>
        <w:rPr/>
      </w:pPr>
      <w:r>
        <w:rPr>
          <w:spacing w:val="6"/>
        </w:rPr>
        <w:t>港澳</w:t>
      </w:r>
    </w:p>
    <w:p>
      <w:pPr>
        <w:pStyle w:val="BodyText"/>
        <w:ind w:left="5153"/>
        <w:spacing w:before="61" w:line="220" w:lineRule="auto"/>
        <w:rPr/>
      </w:pPr>
      <w:r>
        <w:rPr>
          <w:spacing w:val="-2"/>
        </w:rPr>
        <w:t>台事</w:t>
      </w:r>
    </w:p>
    <w:p>
      <w:pPr>
        <w:pStyle w:val="BodyText"/>
        <w:ind w:left="5136"/>
        <w:spacing w:before="65" w:line="180" w:lineRule="auto"/>
        <w:rPr/>
      </w:pPr>
      <w:r>
        <w:rPr>
          <w:spacing w:val="6"/>
        </w:rPr>
        <w:t>务组</w:t>
      </w:r>
    </w:p>
    <w:p>
      <w:pPr>
        <w:spacing w:line="180" w:lineRule="auto"/>
        <w:sectPr>
          <w:type w:val="continuous"/>
          <w:pgSz w:w="11906" w:h="16839"/>
          <w:pgMar w:top="1766" w:right="1230" w:bottom="1575" w:left="1501" w:header="1428" w:footer="1172" w:gutter="0"/>
          <w:cols w:equalWidth="0" w:num="1">
            <w:col w:w="9175" w:space="0"/>
          </w:cols>
        </w:sectPr>
        <w:rPr/>
      </w:pPr>
    </w:p>
    <w:p>
      <w:pPr>
        <w:spacing w:line="297" w:lineRule="auto"/>
        <w:rPr>
          <w:rFonts w:ascii="Arial"/>
          <w:sz w:val="21"/>
        </w:rPr>
      </w:pPr>
      <w:r>
        <w:drawing>
          <wp:anchor distT="0" distB="0" distL="0" distR="0" simplePos="0" relativeHeight="252813312"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684" name="IM 1684"/>
            <wp:cNvGraphicFramePr/>
            <a:graphic>
              <a:graphicData uri="http://schemas.openxmlformats.org/drawingml/2006/picture">
                <pic:pic>
                  <pic:nvPicPr>
                    <pic:cNvPr id="1684" name="IM 1684"/>
                    <pic:cNvPicPr/>
                  </pic:nvPicPr>
                  <pic:blipFill>
                    <a:blip r:embed="rId844"/>
                    <a:stretch>
                      <a:fillRect/>
                    </a:stretch>
                  </pic:blipFill>
                  <pic:spPr>
                    <a:xfrm rot="0">
                      <a:off x="0" y="0"/>
                      <a:ext cx="5579745" cy="7620"/>
                    </a:xfrm>
                    <a:prstGeom prst="rect">
                      <a:avLst/>
                    </a:prstGeom>
                  </pic:spPr>
                </pic:pic>
              </a:graphicData>
            </a:graphic>
          </wp:anchor>
        </w:drawing>
      </w:r>
      <w:r/>
    </w:p>
    <w:p>
      <w:pPr>
        <w:ind w:left="590"/>
        <w:spacing w:before="120" w:line="210" w:lineRule="auto"/>
        <w:rPr>
          <w:rFonts w:ascii="Microsoft YaHei" w:hAnsi="Microsoft YaHei" w:eastAsia="Microsoft YaHei" w:cs="Microsoft YaHei"/>
          <w:sz w:val="28"/>
          <w:szCs w:val="28"/>
        </w:rPr>
      </w:pPr>
      <w:r>
        <w:rPr>
          <w:rFonts w:ascii="Microsoft YaHei" w:hAnsi="Microsoft YaHei" w:eastAsia="Microsoft YaHei" w:cs="Microsoft YaHei"/>
          <w:sz w:val="28"/>
          <w:szCs w:val="28"/>
          <w:spacing w:val="-2"/>
        </w:rPr>
        <w:t>8.2  固原市自然灾害救助应急救援工作流程图</w:t>
      </w:r>
    </w:p>
    <w:p>
      <w:pPr>
        <w:spacing w:line="427" w:lineRule="auto"/>
        <w:rPr>
          <w:rFonts w:ascii="Arial"/>
          <w:sz w:val="21"/>
        </w:rPr>
      </w:pPr>
      <w:r/>
    </w:p>
    <w:p>
      <w:pPr>
        <w:pStyle w:val="BodyText"/>
        <w:ind w:left="3812"/>
        <w:spacing w:before="65" w:line="219" w:lineRule="auto"/>
        <w:rPr/>
      </w:pPr>
      <w:r>
        <w:drawing>
          <wp:anchor distT="0" distB="0" distL="0" distR="0" simplePos="0" relativeHeight="252803072" behindDoc="1" locked="0" layoutInCell="1" allowOverlap="1">
            <wp:simplePos x="0" y="0"/>
            <wp:positionH relativeFrom="column">
              <wp:posOffset>65087</wp:posOffset>
            </wp:positionH>
            <wp:positionV relativeFrom="paragraph">
              <wp:posOffset>-55155</wp:posOffset>
            </wp:positionV>
            <wp:extent cx="5574029" cy="7371715"/>
            <wp:effectExtent l="0" t="0" r="0" b="0"/>
            <wp:wrapNone/>
            <wp:docPr id="1686" name="IM 1686"/>
            <wp:cNvGraphicFramePr/>
            <a:graphic>
              <a:graphicData uri="http://schemas.openxmlformats.org/drawingml/2006/picture">
                <pic:pic>
                  <pic:nvPicPr>
                    <pic:cNvPr id="1686" name="IM 1686"/>
                    <pic:cNvPicPr/>
                  </pic:nvPicPr>
                  <pic:blipFill>
                    <a:blip r:embed="rId845"/>
                    <a:stretch>
                      <a:fillRect/>
                    </a:stretch>
                  </pic:blipFill>
                  <pic:spPr>
                    <a:xfrm rot="0">
                      <a:off x="0" y="0"/>
                      <a:ext cx="5574029" cy="7371715"/>
                    </a:xfrm>
                    <a:prstGeom prst="rect">
                      <a:avLst/>
                    </a:prstGeom>
                  </pic:spPr>
                </pic:pic>
              </a:graphicData>
            </a:graphic>
          </wp:anchor>
        </w:drawing>
      </w:r>
      <w:r>
        <w:rPr>
          <w:spacing w:val="3"/>
        </w:rPr>
        <w:t>自然灾害发生后</w:t>
      </w:r>
    </w:p>
    <w:p>
      <w:pPr>
        <w:spacing w:line="358" w:lineRule="auto"/>
        <w:rPr>
          <w:rFonts w:ascii="Arial"/>
          <w:sz w:val="21"/>
        </w:rPr>
      </w:pPr>
      <w:r/>
    </w:p>
    <w:p>
      <w:pPr>
        <w:spacing w:line="358" w:lineRule="auto"/>
        <w:rPr>
          <w:rFonts w:ascii="Arial"/>
          <w:sz w:val="21"/>
        </w:rPr>
      </w:pPr>
      <w:r/>
    </w:p>
    <w:p>
      <w:pPr>
        <w:pStyle w:val="BodyText"/>
        <w:ind w:left="2244"/>
        <w:spacing w:before="65" w:line="218" w:lineRule="auto"/>
        <w:rPr/>
      </w:pPr>
      <w:r>
        <w:rPr>
          <w:spacing w:val="8"/>
        </w:rPr>
        <w:t>上报市应急管理局          事发地人民政府先期处理</w:t>
      </w:r>
    </w:p>
    <w:p>
      <w:pPr>
        <w:spacing w:line="358" w:lineRule="auto"/>
        <w:rPr>
          <w:rFonts w:ascii="Arial"/>
          <w:sz w:val="21"/>
        </w:rPr>
      </w:pPr>
      <w:r/>
    </w:p>
    <w:p>
      <w:pPr>
        <w:spacing w:line="359" w:lineRule="auto"/>
        <w:rPr>
          <w:rFonts w:ascii="Arial"/>
          <w:sz w:val="21"/>
        </w:rPr>
      </w:pPr>
      <w:r/>
    </w:p>
    <w:p>
      <w:pPr>
        <w:pStyle w:val="BodyText"/>
        <w:ind w:left="350"/>
        <w:spacing w:before="65" w:line="219" w:lineRule="auto"/>
        <w:rPr/>
      </w:pPr>
      <w:r>
        <w:rPr>
          <w:spacing w:val="9"/>
        </w:rPr>
        <w:t>上报市委、市政府和自治区应急厅</w:t>
      </w:r>
      <w:r>
        <w:rPr>
          <w:spacing w:val="24"/>
        </w:rPr>
        <w:t xml:space="preserve">    </w:t>
      </w:r>
      <w:r>
        <w:rPr>
          <w:spacing w:val="9"/>
        </w:rPr>
        <w:t>报市应急指挥部</w:t>
      </w:r>
    </w:p>
    <w:p>
      <w:pPr>
        <w:spacing w:line="289" w:lineRule="auto"/>
        <w:rPr>
          <w:rFonts w:ascii="Arial"/>
          <w:sz w:val="21"/>
        </w:rPr>
      </w:pPr>
      <w:r/>
    </w:p>
    <w:p>
      <w:pPr>
        <w:spacing w:line="289" w:lineRule="auto"/>
        <w:rPr>
          <w:rFonts w:ascii="Arial"/>
          <w:sz w:val="21"/>
        </w:rPr>
      </w:pPr>
      <w:r/>
    </w:p>
    <w:p>
      <w:pPr>
        <w:pStyle w:val="BodyText"/>
        <w:ind w:left="4038"/>
        <w:spacing w:before="66" w:line="219" w:lineRule="auto"/>
        <w:rPr/>
      </w:pPr>
      <w:r>
        <w:rPr>
          <w:spacing w:val="8"/>
        </w:rPr>
        <w:t>判断响应级别</w:t>
      </w:r>
    </w:p>
    <w:p>
      <w:pPr>
        <w:spacing w:line="290" w:lineRule="auto"/>
        <w:rPr>
          <w:rFonts w:ascii="Arial"/>
          <w:sz w:val="21"/>
        </w:rPr>
      </w:pPr>
      <w:r/>
    </w:p>
    <w:p>
      <w:pPr>
        <w:spacing w:line="290" w:lineRule="auto"/>
        <w:rPr>
          <w:rFonts w:ascii="Arial"/>
          <w:sz w:val="21"/>
        </w:rPr>
      </w:pPr>
      <w:r/>
    </w:p>
    <w:p>
      <w:pPr>
        <w:spacing w:line="291" w:lineRule="auto"/>
        <w:rPr>
          <w:rFonts w:ascii="Arial"/>
          <w:sz w:val="21"/>
        </w:rPr>
      </w:pPr>
      <w:r/>
    </w:p>
    <w:p>
      <w:pPr>
        <w:pStyle w:val="BodyText"/>
        <w:ind w:left="333" w:right="5880" w:firstLine="54"/>
        <w:spacing w:before="65" w:line="266" w:lineRule="auto"/>
        <w:rPr/>
      </w:pPr>
      <w:r>
        <w:pict>
          <v:shape id="_x0000_s62" style="position:absolute;margin-left:318.196pt;margin-top:3.12006pt;mso-position-vertical-relative:text;mso-position-horizontal-relative:text;width:116.65pt;height:29.15pt;z-index:252804096;" filled="false" stroked="false" type="#_x0000_t202">
            <v:fill on="false"/>
            <v:stroke on="false"/>
            <v:path/>
            <v:imagedata o:title=""/>
            <o:lock v:ext="edit" aspectratio="false"/>
            <v:textbox inset="0mm,0mm,0mm,0mm">
              <w:txbxContent>
                <w:p>
                  <w:pPr>
                    <w:pStyle w:val="BodyText"/>
                    <w:ind w:left="634" w:right="20" w:hanging="614"/>
                    <w:spacing w:before="19" w:line="260" w:lineRule="auto"/>
                    <w:rPr/>
                  </w:pPr>
                  <w:r>
                    <w:rPr>
                      <w:spacing w:val="3"/>
                    </w:rPr>
                    <w:t>Ⅳ级，由事发地县（</w:t>
                  </w:r>
                  <w:r>
                    <w:rPr>
                      <w:spacing w:val="-42"/>
                    </w:rPr>
                    <w:t xml:space="preserve"> </w:t>
                  </w:r>
                  <w:r>
                    <w:rPr>
                      <w:spacing w:val="3"/>
                    </w:rPr>
                    <w:t>区）</w:t>
                  </w:r>
                  <w:r>
                    <w:rPr>
                      <w:spacing w:val="8"/>
                    </w:rPr>
                    <w:t>成立指挥部</w:t>
                  </w:r>
                </w:p>
              </w:txbxContent>
            </v:textbox>
          </v:shape>
        </w:pict>
      </w:r>
      <w:r>
        <w:pict>
          <v:shape id="_x0000_s64" style="position:absolute;margin-left:172.48pt;margin-top:3.52118pt;mso-position-vertical-relative:text;mso-position-horizontal-relative:text;width:121.7pt;height:14pt;z-index:252805120;" filled="false" stroked="false" type="#_x0000_t202">
            <v:fill on="false"/>
            <v:stroke on="false"/>
            <v:path/>
            <v:imagedata o:title=""/>
            <o:lock v:ext="edit" aspectratio="false"/>
            <v:textbox inset="0mm,0mm,0mm,0mm">
              <w:txbxContent>
                <w:p>
                  <w:pPr>
                    <w:pStyle w:val="BodyText"/>
                    <w:ind w:left="20"/>
                    <w:spacing w:before="19" w:line="221" w:lineRule="auto"/>
                    <w:rPr/>
                  </w:pPr>
                  <w:r>
                    <w:rPr>
                      <w:spacing w:val="-1"/>
                    </w:rPr>
                    <w:t>Ⅲ级，成立市级现场指挥部</w:t>
                  </w:r>
                </w:p>
              </w:txbxContent>
            </v:textbox>
          </v:shape>
        </w:pict>
      </w:r>
      <w:r>
        <w:rPr>
          <w:spacing w:val="1"/>
        </w:rPr>
        <w:t>I、</w:t>
      </w:r>
      <w:r>
        <w:rPr/>
        <w:t>II</w:t>
      </w:r>
      <w:r>
        <w:rPr>
          <w:spacing w:val="-38"/>
        </w:rPr>
        <w:t xml:space="preserve"> </w:t>
      </w:r>
      <w:r>
        <w:rPr>
          <w:spacing w:val="1"/>
        </w:rPr>
        <w:t>级，报告自治区党委、</w:t>
      </w:r>
      <w:r>
        <w:rPr>
          <w:spacing w:val="5"/>
        </w:rPr>
        <w:t>政府，成立自治区救援指挥部</w:t>
      </w:r>
    </w:p>
    <w:p>
      <w:pPr>
        <w:spacing w:line="418" w:lineRule="auto"/>
        <w:rPr>
          <w:rFonts w:ascii="Arial"/>
          <w:sz w:val="21"/>
        </w:rPr>
      </w:pPr>
      <w:r/>
    </w:p>
    <w:p>
      <w:pPr>
        <w:pStyle w:val="BodyText"/>
        <w:ind w:left="945"/>
        <w:spacing w:before="66" w:line="278" w:lineRule="exact"/>
        <w:rPr/>
      </w:pPr>
      <w:r>
        <w:rPr>
          <w:spacing w:val="7"/>
          <w:position w:val="1"/>
        </w:rPr>
        <w:t>启动自治区预案</w:t>
      </w:r>
      <w:r>
        <w:rPr>
          <w:spacing w:val="1"/>
          <w:position w:val="1"/>
        </w:rPr>
        <w:t xml:space="preserve">                </w:t>
      </w:r>
      <w:r>
        <w:rPr>
          <w:spacing w:val="7"/>
          <w:position w:val="1"/>
        </w:rPr>
        <w:t>启动市级预案</w:t>
      </w:r>
      <w:r>
        <w:rPr>
          <w:position w:val="1"/>
        </w:rPr>
        <w:t xml:space="preserve">             </w:t>
      </w:r>
      <w:r>
        <w:rPr>
          <w:spacing w:val="7"/>
          <w:position w:val="1"/>
        </w:rPr>
        <w:t>启动县（</w:t>
      </w:r>
      <w:r>
        <w:rPr>
          <w:spacing w:val="-38"/>
          <w:position w:val="1"/>
        </w:rPr>
        <w:t xml:space="preserve"> </w:t>
      </w:r>
      <w:r>
        <w:rPr>
          <w:spacing w:val="7"/>
          <w:position w:val="1"/>
        </w:rPr>
        <w:t>区）级预案</w:t>
      </w:r>
    </w:p>
    <w:p>
      <w:pPr>
        <w:spacing w:line="283" w:lineRule="auto"/>
        <w:rPr>
          <w:rFonts w:ascii="Arial"/>
          <w:sz w:val="21"/>
        </w:rPr>
      </w:pPr>
      <w:r/>
    </w:p>
    <w:p>
      <w:pPr>
        <w:spacing w:line="284" w:lineRule="auto"/>
        <w:rPr>
          <w:rFonts w:ascii="Arial"/>
          <w:sz w:val="21"/>
        </w:rPr>
      </w:pPr>
      <w:r/>
    </w:p>
    <w:p>
      <w:pPr>
        <w:pStyle w:val="BodyText"/>
        <w:ind w:left="5741"/>
        <w:spacing w:before="65" w:line="218" w:lineRule="auto"/>
        <w:rPr/>
      </w:pPr>
      <w:r>
        <w:rPr>
          <w:spacing w:val="8"/>
        </w:rPr>
        <w:t>应急处置</w:t>
      </w:r>
    </w:p>
    <w:p>
      <w:pPr>
        <w:spacing w:line="265" w:lineRule="auto"/>
        <w:rPr>
          <w:rFonts w:ascii="Arial"/>
          <w:sz w:val="21"/>
        </w:rPr>
      </w:pPr>
      <w:r/>
    </w:p>
    <w:p>
      <w:pPr>
        <w:spacing w:line="265" w:lineRule="auto"/>
        <w:rPr>
          <w:rFonts w:ascii="Arial"/>
          <w:sz w:val="21"/>
        </w:rPr>
      </w:pPr>
      <w:r>
        <w:drawing>
          <wp:anchor distT="0" distB="0" distL="0" distR="0" simplePos="0" relativeHeight="252801024" behindDoc="1" locked="0" layoutInCell="1" allowOverlap="1">
            <wp:simplePos x="0" y="0"/>
            <wp:positionH relativeFrom="column">
              <wp:posOffset>916927</wp:posOffset>
            </wp:positionH>
            <wp:positionV relativeFrom="paragraph">
              <wp:posOffset>38429</wp:posOffset>
            </wp:positionV>
            <wp:extent cx="4530115" cy="26034"/>
            <wp:effectExtent l="0" t="0" r="0" b="0"/>
            <wp:wrapNone/>
            <wp:docPr id="1688" name="IM 1688"/>
            <wp:cNvGraphicFramePr/>
            <a:graphic>
              <a:graphicData uri="http://schemas.openxmlformats.org/drawingml/2006/picture">
                <pic:pic>
                  <pic:nvPicPr>
                    <pic:cNvPr id="1688" name="IM 1688"/>
                    <pic:cNvPicPr/>
                  </pic:nvPicPr>
                  <pic:blipFill>
                    <a:blip r:embed="rId846"/>
                    <a:stretch>
                      <a:fillRect/>
                    </a:stretch>
                  </pic:blipFill>
                  <pic:spPr>
                    <a:xfrm rot="0">
                      <a:off x="0" y="0"/>
                      <a:ext cx="4530115" cy="26034"/>
                    </a:xfrm>
                    <a:prstGeom prst="rect">
                      <a:avLst/>
                    </a:prstGeom>
                  </pic:spPr>
                </pic:pic>
              </a:graphicData>
            </a:graphic>
          </wp:anchor>
        </w:drawing>
      </w:r>
      <w:r/>
    </w:p>
    <w:p>
      <w:pPr>
        <w:spacing w:line="265" w:lineRule="auto"/>
        <w:rPr>
          <w:rFonts w:ascii="Arial"/>
          <w:sz w:val="21"/>
        </w:rPr>
      </w:pPr>
      <w:r/>
    </w:p>
    <w:p>
      <w:pPr>
        <w:pStyle w:val="BodyText"/>
        <w:ind w:left="3954"/>
        <w:spacing w:before="66" w:line="222" w:lineRule="auto"/>
        <w:rPr/>
      </w:pPr>
      <w:r>
        <w:pict>
          <v:shape id="_x0000_s66" style="position:absolute;margin-left:416.818pt;margin-top:-1.64153pt;mso-position-vertical-relative:text;mso-position-horizontal-relative:text;width:22.7pt;height:44.1pt;z-index:252808192;" filled="false" stroked="false" type="#_x0000_t202">
            <v:fill on="false"/>
            <v:stroke on="false"/>
            <v:path/>
            <v:imagedata o:title=""/>
            <o:lock v:ext="edit" aspectratio="false"/>
            <v:textbox inset="0mm,0mm,0mm,0mm">
              <w:txbxContent>
                <w:p>
                  <w:pPr>
                    <w:pStyle w:val="BodyText"/>
                    <w:ind w:left="20"/>
                    <w:spacing w:before="19" w:line="221" w:lineRule="auto"/>
                    <w:rPr/>
                  </w:pPr>
                  <w:r>
                    <w:rPr>
                      <w:spacing w:val="6"/>
                    </w:rPr>
                    <w:t>善后</w:t>
                  </w:r>
                </w:p>
                <w:p>
                  <w:pPr>
                    <w:pStyle w:val="BodyText"/>
                    <w:ind w:left="20"/>
                    <w:spacing w:before="64" w:line="216" w:lineRule="auto"/>
                    <w:rPr/>
                  </w:pPr>
                  <w:r>
                    <w:rPr>
                      <w:spacing w:val="6"/>
                    </w:rPr>
                    <w:t>处理</w:t>
                  </w:r>
                </w:p>
                <w:p>
                  <w:pPr>
                    <w:pStyle w:val="BodyText"/>
                    <w:ind w:left="125"/>
                    <w:spacing w:before="70" w:line="215" w:lineRule="auto"/>
                    <w:rPr/>
                  </w:pPr>
                  <w:r>
                    <w:rPr>
                      <w:spacing w:val="4"/>
                    </w:rPr>
                    <w:t>组</w:t>
                  </w:r>
                </w:p>
              </w:txbxContent>
            </v:textbox>
          </v:shape>
        </w:pict>
      </w:r>
      <w:r>
        <w:pict>
          <v:shape id="_x0000_s68" style="position:absolute;margin-left:61.2162pt;margin-top:1.55705pt;mso-position-vertical-relative:text;mso-position-horizontal-relative:text;width:22.75pt;height:43.9pt;z-index:252810240;" filled="false" stroked="false" type="#_x0000_t202">
            <v:fill on="false"/>
            <v:stroke on="false"/>
            <v:path/>
            <v:imagedata o:title=""/>
            <o:lock v:ext="edit" aspectratio="false"/>
            <v:textbox inset="0mm,0mm,0mm,0mm">
              <w:txbxContent>
                <w:p>
                  <w:pPr>
                    <w:pStyle w:val="BodyText"/>
                    <w:ind w:left="20"/>
                    <w:spacing w:before="19" w:line="213" w:lineRule="auto"/>
                    <w:rPr/>
                  </w:pPr>
                  <w:r>
                    <w:rPr>
                      <w:spacing w:val="7"/>
                    </w:rPr>
                    <w:t>监测</w:t>
                  </w:r>
                </w:p>
                <w:p>
                  <w:pPr>
                    <w:pStyle w:val="BodyText"/>
                    <w:ind w:left="24"/>
                    <w:spacing w:before="65" w:line="221" w:lineRule="auto"/>
                    <w:rPr/>
                  </w:pPr>
                  <w:r>
                    <w:rPr>
                      <w:spacing w:val="4"/>
                    </w:rPr>
                    <w:t>预警</w:t>
                  </w:r>
                </w:p>
                <w:p>
                  <w:pPr>
                    <w:pStyle w:val="BodyText"/>
                    <w:ind w:left="126"/>
                    <w:spacing w:before="69" w:line="215" w:lineRule="auto"/>
                    <w:rPr/>
                  </w:pPr>
                  <w:r>
                    <w:rPr>
                      <w:spacing w:val="4"/>
                    </w:rPr>
                    <w:t>组</w:t>
                  </w:r>
                </w:p>
              </w:txbxContent>
            </v:textbox>
          </v:shape>
        </w:pict>
      </w:r>
      <w:r>
        <w:pict>
          <v:shape id="_x0000_s70" style="position:absolute;margin-left:127.859pt;margin-top:1.88133pt;mso-position-vertical-relative:text;mso-position-horizontal-relative:text;width:22.7pt;height:44.05pt;z-index:252809216;" filled="false" stroked="false" type="#_x0000_t202">
            <v:fill on="false"/>
            <v:stroke on="false"/>
            <v:path/>
            <v:imagedata o:title=""/>
            <o:lock v:ext="edit" aspectratio="false"/>
            <v:textbox inset="0mm,0mm,0mm,0mm">
              <w:txbxContent>
                <w:p>
                  <w:pPr>
                    <w:pStyle w:val="BodyText"/>
                    <w:ind w:left="32"/>
                    <w:spacing w:before="19" w:line="219" w:lineRule="auto"/>
                    <w:rPr/>
                  </w:pPr>
                  <w:r>
                    <w:rPr/>
                    <w:t>医疗</w:t>
                  </w:r>
                </w:p>
                <w:p>
                  <w:pPr>
                    <w:pStyle w:val="BodyText"/>
                    <w:ind w:left="20"/>
                    <w:spacing w:before="62" w:line="220" w:lineRule="auto"/>
                    <w:rPr/>
                  </w:pPr>
                  <w:r>
                    <w:rPr>
                      <w:spacing w:val="6"/>
                    </w:rPr>
                    <w:t>救治</w:t>
                  </w:r>
                </w:p>
                <w:p>
                  <w:pPr>
                    <w:pStyle w:val="BodyText"/>
                    <w:ind w:left="125"/>
                    <w:spacing w:before="69" w:line="215" w:lineRule="auto"/>
                    <w:rPr/>
                  </w:pPr>
                  <w:r>
                    <w:rPr>
                      <w:spacing w:val="4"/>
                    </w:rPr>
                    <w:t>组</w:t>
                  </w:r>
                </w:p>
              </w:txbxContent>
            </v:textbox>
          </v:shape>
        </w:pict>
      </w:r>
      <w:r>
        <w:pict>
          <v:shape id="_x0000_s72" style="position:absolute;margin-left:342.695pt;margin-top:-0.674949pt;mso-position-vertical-relative:text;mso-position-horizontal-relative:text;width:22.8pt;height:43.95pt;z-index:252807168;" filled="false" stroked="false" type="#_x0000_t202">
            <v:fill on="false"/>
            <v:stroke on="false"/>
            <v:path/>
            <v:imagedata o:title=""/>
            <o:lock v:ext="edit" aspectratio="false"/>
            <v:textbox inset="0mm,0mm,0mm,0mm">
              <w:txbxContent>
                <w:p>
                  <w:pPr>
                    <w:pStyle w:val="BodyText"/>
                    <w:ind w:left="20"/>
                    <w:spacing w:before="20" w:line="215" w:lineRule="auto"/>
                    <w:rPr/>
                  </w:pPr>
                  <w:r>
                    <w:rPr>
                      <w:spacing w:val="7"/>
                    </w:rPr>
                    <w:t>新闻</w:t>
                  </w:r>
                </w:p>
                <w:p>
                  <w:pPr>
                    <w:pStyle w:val="BodyText"/>
                    <w:ind w:left="20"/>
                    <w:spacing w:before="62" w:line="222" w:lineRule="auto"/>
                    <w:rPr/>
                  </w:pPr>
                  <w:r>
                    <w:rPr>
                      <w:spacing w:val="7"/>
                    </w:rPr>
                    <w:t>传播</w:t>
                  </w:r>
                </w:p>
                <w:p>
                  <w:pPr>
                    <w:pStyle w:val="BodyText"/>
                    <w:ind w:left="127"/>
                    <w:spacing w:before="69" w:line="215" w:lineRule="auto"/>
                    <w:rPr/>
                  </w:pPr>
                  <w:r>
                    <w:rPr>
                      <w:spacing w:val="4"/>
                    </w:rPr>
                    <w:t>组</w:t>
                  </w:r>
                </w:p>
              </w:txbxContent>
            </v:textbox>
          </v:shape>
        </w:pict>
      </w:r>
      <w:r>
        <w:pict>
          <v:shape id="_x0000_s74" style="position:absolute;margin-left:269.015pt;margin-top:2.31953pt;mso-position-vertical-relative:text;mso-position-horizontal-relative:text;width:22.8pt;height:44.1pt;z-index:252806144;" filled="false" stroked="false" type="#_x0000_t202">
            <v:fill on="false"/>
            <v:stroke on="false"/>
            <v:path/>
            <v:imagedata o:title=""/>
            <o:lock v:ext="edit" aspectratio="false"/>
            <v:textbox inset="0mm,0mm,0mm,0mm">
              <w:txbxContent>
                <w:p>
                  <w:pPr>
                    <w:pStyle w:val="BodyText"/>
                    <w:ind w:left="20"/>
                    <w:spacing w:before="20" w:line="220" w:lineRule="auto"/>
                    <w:rPr/>
                  </w:pPr>
                  <w:r>
                    <w:rPr>
                      <w:spacing w:val="7"/>
                    </w:rPr>
                    <w:t>抢险</w:t>
                  </w:r>
                </w:p>
                <w:p>
                  <w:pPr>
                    <w:pStyle w:val="BodyText"/>
                    <w:ind w:left="21"/>
                    <w:spacing w:before="61" w:line="219" w:lineRule="auto"/>
                    <w:rPr/>
                  </w:pPr>
                  <w:r>
                    <w:rPr>
                      <w:spacing w:val="6"/>
                    </w:rPr>
                    <w:t>救援</w:t>
                  </w:r>
                </w:p>
                <w:p>
                  <w:pPr>
                    <w:pStyle w:val="BodyText"/>
                    <w:ind w:left="127"/>
                    <w:spacing w:before="71" w:line="215" w:lineRule="auto"/>
                    <w:rPr/>
                  </w:pPr>
                  <w:r>
                    <w:rPr>
                      <w:spacing w:val="4"/>
                    </w:rPr>
                    <w:t>组</w:t>
                  </w:r>
                </w:p>
              </w:txbxContent>
            </v:textbox>
          </v:shape>
        </w:pict>
      </w:r>
      <w:r>
        <w:rPr>
          <w:spacing w:val="4"/>
        </w:rPr>
        <w:t>资金</w:t>
      </w:r>
    </w:p>
    <w:p>
      <w:pPr>
        <w:pStyle w:val="BodyText"/>
        <w:ind w:left="3948"/>
        <w:spacing w:before="58" w:line="222" w:lineRule="auto"/>
        <w:rPr/>
      </w:pPr>
      <w:r>
        <w:rPr>
          <w:spacing w:val="7"/>
        </w:rPr>
        <w:t>保障</w:t>
      </w:r>
    </w:p>
    <w:p>
      <w:pPr>
        <w:pStyle w:val="BodyText"/>
        <w:ind w:left="4055"/>
        <w:spacing w:before="70" w:line="215" w:lineRule="auto"/>
        <w:rPr/>
      </w:pPr>
      <w:r>
        <w:rPr>
          <w:spacing w:val="4"/>
        </w:rPr>
        <w:t>组</w:t>
      </w:r>
    </w:p>
    <w:p>
      <w:pPr>
        <w:spacing w:line="251" w:lineRule="auto"/>
        <w:rPr>
          <w:rFonts w:ascii="Arial"/>
          <w:sz w:val="21"/>
        </w:rPr>
      </w:pPr>
      <w:r/>
    </w:p>
    <w:p>
      <w:pPr>
        <w:spacing w:line="251" w:lineRule="auto"/>
        <w:rPr>
          <w:rFonts w:ascii="Arial"/>
          <w:sz w:val="21"/>
        </w:rPr>
      </w:pPr>
      <w:r>
        <w:drawing>
          <wp:anchor distT="0" distB="0" distL="0" distR="0" simplePos="0" relativeHeight="252802048" behindDoc="1" locked="0" layoutInCell="1" allowOverlap="1">
            <wp:simplePos x="0" y="0"/>
            <wp:positionH relativeFrom="column">
              <wp:posOffset>917575</wp:posOffset>
            </wp:positionH>
            <wp:positionV relativeFrom="paragraph">
              <wp:posOffset>97244</wp:posOffset>
            </wp:positionV>
            <wp:extent cx="4499609" cy="15240"/>
            <wp:effectExtent l="0" t="0" r="0" b="0"/>
            <wp:wrapNone/>
            <wp:docPr id="1690" name="IM 1690"/>
            <wp:cNvGraphicFramePr/>
            <a:graphic>
              <a:graphicData uri="http://schemas.openxmlformats.org/drawingml/2006/picture">
                <pic:pic>
                  <pic:nvPicPr>
                    <pic:cNvPr id="1690" name="IM 1690"/>
                    <pic:cNvPicPr/>
                  </pic:nvPicPr>
                  <pic:blipFill>
                    <a:blip r:embed="rId847"/>
                    <a:stretch>
                      <a:fillRect/>
                    </a:stretch>
                  </pic:blipFill>
                  <pic:spPr>
                    <a:xfrm rot="0">
                      <a:off x="0" y="0"/>
                      <a:ext cx="4499609" cy="15240"/>
                    </a:xfrm>
                    <a:prstGeom prst="rect">
                      <a:avLst/>
                    </a:prstGeom>
                  </pic:spPr>
                </pic:pic>
              </a:graphicData>
            </a:graphic>
          </wp:anchor>
        </w:drawing>
      </w:r>
      <w:r/>
    </w:p>
    <w:p>
      <w:pPr>
        <w:spacing w:line="252" w:lineRule="auto"/>
        <w:rPr>
          <w:rFonts w:ascii="Arial"/>
          <w:sz w:val="21"/>
        </w:rPr>
      </w:pPr>
      <w:r>
        <w:pict>
          <v:shape id="_x0000_s76" style="position:absolute;margin-left:58.5972pt;margin-top:13.0726pt;mso-position-vertical-relative:text;mso-position-horizontal-relative:text;width:14.45pt;height:56.95pt;z-index:252811264;" filled="false" stroked="false" type="#_x0000_t202">
            <v:fill on="false"/>
            <v:stroke on="false"/>
            <v:path/>
            <v:imagedata o:title=""/>
            <o:lock v:ext="edit" aspectratio="false"/>
            <v:textbox inset="0mm,0mm,0mm,0mm" style="layout-flow:vertical-ideographic;">
              <w:txbxContent>
                <w:p>
                  <w:pPr>
                    <w:pStyle w:val="BodyText"/>
                    <w:ind w:left="20"/>
                    <w:spacing w:before="19" w:line="223" w:lineRule="auto"/>
                    <w:rPr/>
                  </w:pPr>
                  <w:r>
                    <w:rPr/>
                    <w:t>请 求 支 援</w:t>
                  </w:r>
                </w:p>
              </w:txbxContent>
            </v:textbox>
          </v:shape>
        </w:pict>
      </w:r>
      <w:r/>
    </w:p>
    <w:p>
      <w:pPr>
        <w:pStyle w:val="BodyText"/>
        <w:ind w:left="2879"/>
        <w:spacing w:before="65" w:line="205" w:lineRule="auto"/>
        <w:rPr/>
      </w:pPr>
      <w:r>
        <w:pict>
          <v:shape id="_x0000_s78" style="position:absolute;margin-left:109.123pt;margin-top:4.73084pt;mso-position-vertical-relative:text;mso-position-horizontal-relative:text;width:14.3pt;height:56.85pt;z-index:252812288;" filled="false" stroked="false" type="#_x0000_t202">
            <v:fill on="false"/>
            <v:stroke on="false"/>
            <v:path/>
            <v:imagedata o:title=""/>
            <o:lock v:ext="edit" aspectratio="false"/>
            <v:textbox inset="0mm,0mm,0mm,0mm" style="layout-flow:vertical-ideographic;">
              <w:txbxContent>
                <w:p>
                  <w:pPr>
                    <w:pStyle w:val="BodyText"/>
                    <w:ind w:left="20"/>
                    <w:spacing w:before="19" w:line="221" w:lineRule="auto"/>
                    <w:rPr/>
                  </w:pPr>
                  <w:r>
                    <w:rPr>
                      <w:spacing w:val="-2"/>
                    </w:rPr>
                    <w:t>扩 大 应</w:t>
                  </w:r>
                  <w:r>
                    <w:rPr>
                      <w:spacing w:val="14"/>
                    </w:rPr>
                    <w:t xml:space="preserve"> </w:t>
                  </w:r>
                  <w:r>
                    <w:rPr>
                      <w:spacing w:val="-2"/>
                    </w:rPr>
                    <w:t>急</w:t>
                  </w:r>
                </w:p>
              </w:txbxContent>
            </v:textbox>
          </v:shape>
        </w:pict>
      </w:r>
      <w:r>
        <w:rPr>
          <w:spacing w:val="2"/>
        </w:rPr>
        <w:t>否</w:t>
      </w:r>
    </w:p>
    <w:p>
      <w:pPr>
        <w:pStyle w:val="BodyText"/>
        <w:ind w:left="3972"/>
        <w:spacing w:before="38" w:line="219" w:lineRule="auto"/>
        <w:rPr/>
      </w:pPr>
      <w:r>
        <w:rPr>
          <w:spacing w:val="8"/>
        </w:rPr>
        <w:t>事态是否控制</w:t>
      </w:r>
    </w:p>
    <w:p>
      <w:pPr>
        <w:spacing w:line="379" w:lineRule="auto"/>
        <w:rPr>
          <w:rFonts w:ascii="Arial"/>
          <w:sz w:val="21"/>
        </w:rPr>
      </w:pPr>
      <w:r/>
    </w:p>
    <w:p>
      <w:pPr>
        <w:pStyle w:val="BodyText"/>
        <w:ind w:left="4698"/>
        <w:spacing w:before="65" w:line="217" w:lineRule="auto"/>
        <w:rPr/>
      </w:pPr>
      <w:r>
        <w:rPr>
          <w:spacing w:val="4"/>
        </w:rPr>
        <w:t>是</w:t>
      </w:r>
    </w:p>
    <w:p>
      <w:pPr>
        <w:pStyle w:val="BodyText"/>
        <w:ind w:left="4179"/>
        <w:spacing w:before="262" w:line="219" w:lineRule="auto"/>
        <w:rPr/>
      </w:pPr>
      <w:r>
        <w:rPr>
          <w:spacing w:val="8"/>
        </w:rPr>
        <w:t>应急恢复</w:t>
      </w:r>
    </w:p>
    <w:p>
      <w:pPr>
        <w:spacing w:line="275" w:lineRule="auto"/>
        <w:rPr>
          <w:rFonts w:ascii="Arial"/>
          <w:sz w:val="21"/>
        </w:rPr>
      </w:pPr>
      <w:r/>
    </w:p>
    <w:p>
      <w:pPr>
        <w:spacing w:line="276" w:lineRule="auto"/>
        <w:rPr>
          <w:rFonts w:ascii="Arial"/>
          <w:sz w:val="21"/>
        </w:rPr>
      </w:pPr>
      <w:r/>
    </w:p>
    <w:p>
      <w:pPr>
        <w:pStyle w:val="BodyText"/>
        <w:ind w:left="4179"/>
        <w:spacing w:before="66" w:line="222" w:lineRule="auto"/>
        <w:rPr/>
      </w:pPr>
      <w:r>
        <w:rPr>
          <w:spacing w:val="8"/>
        </w:rPr>
        <w:t>应急结束</w:t>
      </w:r>
    </w:p>
    <w:p>
      <w:pPr>
        <w:spacing w:line="222" w:lineRule="auto"/>
        <w:sectPr>
          <w:headerReference w:type="default" r:id="rId842"/>
          <w:footerReference w:type="default" r:id="rId843"/>
          <w:pgSz w:w="11906" w:h="16839"/>
          <w:pgMar w:top="1772" w:right="1458" w:bottom="1585" w:left="1567" w:header="1428" w:footer="1172" w:gutter="0"/>
        </w:sectPr>
        <w:rPr/>
      </w:pPr>
    </w:p>
    <w:p>
      <w:pPr>
        <w:spacing w:line="249" w:lineRule="auto"/>
        <w:rPr>
          <w:rFonts w:ascii="Arial"/>
          <w:sz w:val="21"/>
        </w:rPr>
      </w:pPr>
      <w:r>
        <w:drawing>
          <wp:anchor distT="0" distB="0" distL="0" distR="0" simplePos="0" relativeHeight="252815360" behindDoc="0" locked="0" layoutInCell="1" allowOverlap="1">
            <wp:simplePos x="0" y="0"/>
            <wp:positionH relativeFrom="column">
              <wp:posOffset>5393</wp:posOffset>
            </wp:positionH>
            <wp:positionV relativeFrom="paragraph">
              <wp:posOffset>25822</wp:posOffset>
            </wp:positionV>
            <wp:extent cx="5579745" cy="7620"/>
            <wp:effectExtent l="0" t="0" r="0" b="0"/>
            <wp:wrapNone/>
            <wp:docPr id="1694" name="IM 1694"/>
            <wp:cNvGraphicFramePr/>
            <a:graphic>
              <a:graphicData uri="http://schemas.openxmlformats.org/drawingml/2006/picture">
                <pic:pic>
                  <pic:nvPicPr>
                    <pic:cNvPr id="1694" name="IM 1694"/>
                    <pic:cNvPicPr/>
                  </pic:nvPicPr>
                  <pic:blipFill>
                    <a:blip r:embed="rId849"/>
                    <a:stretch>
                      <a:fillRect/>
                    </a:stretch>
                  </pic:blipFill>
                  <pic:spPr>
                    <a:xfrm rot="0">
                      <a:off x="0" y="0"/>
                      <a:ext cx="5579745" cy="7620"/>
                    </a:xfrm>
                    <a:prstGeom prst="rect">
                      <a:avLst/>
                    </a:prstGeom>
                  </pic:spPr>
                </pic:pic>
              </a:graphicData>
            </a:graphic>
          </wp:anchor>
        </w:drawing>
      </w:r>
      <w:r/>
    </w:p>
    <w:p>
      <w:pPr>
        <w:spacing w:line="249" w:lineRule="auto"/>
        <w:rPr>
          <w:rFonts w:ascii="Arial"/>
          <w:sz w:val="21"/>
        </w:rPr>
      </w:pPr>
      <w:r/>
    </w:p>
    <w:p>
      <w:pPr>
        <w:ind w:left="1101"/>
        <w:spacing w:before="184" w:line="215"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8"/>
        </w:rPr>
        <w:t>固原市道路交通事故应急救援预案</w:t>
      </w:r>
    </w:p>
    <w:p>
      <w:pPr>
        <w:spacing w:before="6"/>
        <w:rPr/>
      </w:pPr>
      <w:r/>
    </w:p>
    <w:p>
      <w:pPr>
        <w:spacing w:before="6"/>
        <w:rPr/>
      </w:pPr>
      <w:r/>
    </w:p>
    <w:p>
      <w:pPr>
        <w:sectPr>
          <w:headerReference w:type="default" r:id="rId597"/>
          <w:footerReference w:type="default" r:id="rId848"/>
          <w:pgSz w:w="11906" w:h="16839"/>
          <w:pgMar w:top="1766" w:right="1509" w:bottom="1576" w:left="1579" w:header="1428" w:footer="1172" w:gutter="0"/>
          <w:cols w:equalWidth="0" w:num="1">
            <w:col w:w="8817" w:space="0"/>
          </w:cols>
        </w:sectPr>
        <w:rPr/>
      </w:pPr>
    </w:p>
    <w:p>
      <w:pPr>
        <w:ind w:left="449"/>
        <w:spacing w:before="48"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1</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7"/>
        </w:rPr>
        <w:t>总则</w:t>
      </w:r>
    </w:p>
    <w:p>
      <w:pPr>
        <w:pStyle w:val="BodyText"/>
        <w:ind w:left="13" w:right="265" w:firstLine="440"/>
        <w:spacing w:before="82" w:line="322" w:lineRule="auto"/>
        <w:rPr/>
      </w:pPr>
      <w:r>
        <w:rPr>
          <w:rFonts w:ascii="Times New Roman" w:hAnsi="Times New Roman" w:eastAsia="Times New Roman" w:cs="Times New Roman"/>
          <w:spacing w:val="-1"/>
        </w:rPr>
        <w:t>1.</w:t>
      </w:r>
      <w:r>
        <w:rPr>
          <w:rFonts w:ascii="Times New Roman" w:hAnsi="Times New Roman" w:eastAsia="Times New Roman" w:cs="Times New Roman"/>
          <w:spacing w:val="-10"/>
        </w:rPr>
        <w:t xml:space="preserve"> </w:t>
      </w:r>
      <w:r>
        <w:rPr>
          <w:rFonts w:ascii="Times New Roman" w:hAnsi="Times New Roman" w:eastAsia="Times New Roman" w:cs="Times New Roman"/>
          <w:spacing w:val="-1"/>
        </w:rPr>
        <w:t>1  </w:t>
      </w:r>
      <w:r>
        <w:rPr>
          <w:rFonts w:ascii="KaiTi" w:hAnsi="KaiTi" w:eastAsia="KaiTi" w:cs="KaiTi"/>
          <w:spacing w:val="-1"/>
        </w:rPr>
        <w:t>编制目的。</w:t>
      </w:r>
      <w:r>
        <w:rPr>
          <w:spacing w:val="-1"/>
        </w:rPr>
        <w:t>确保发生道路交通事故后，</w:t>
      </w:r>
      <w:r>
        <w:rPr>
          <w:spacing w:val="7"/>
        </w:rPr>
        <w:t>能够快速反应，全力抢救，妥善处理，最大限</w:t>
      </w:r>
      <w:r>
        <w:rPr>
          <w:spacing w:val="7"/>
        </w:rPr>
        <w:t>度地减少人民群众生命和财产损失，保障公众</w:t>
      </w:r>
      <w:r>
        <w:rPr>
          <w:spacing w:val="8"/>
        </w:rPr>
        <w:t>安全，维护社会稳定。</w:t>
      </w:r>
    </w:p>
    <w:p>
      <w:pPr>
        <w:pStyle w:val="BodyText"/>
        <w:ind w:left="12" w:right="329" w:firstLine="441"/>
        <w:spacing w:before="140" w:line="338" w:lineRule="auto"/>
        <w:rPr/>
      </w:pPr>
      <w:r>
        <w:rPr>
          <w:rFonts w:ascii="Times New Roman" w:hAnsi="Times New Roman" w:eastAsia="Times New Roman" w:cs="Times New Roman"/>
          <w:spacing w:val="7"/>
        </w:rPr>
        <w:t>1.2  </w:t>
      </w:r>
      <w:r>
        <w:rPr>
          <w:rFonts w:ascii="KaiTi" w:hAnsi="KaiTi" w:eastAsia="KaiTi" w:cs="KaiTi"/>
          <w:spacing w:val="7"/>
        </w:rPr>
        <w:t>编制依据。</w:t>
      </w:r>
      <w:r>
        <w:rPr>
          <w:spacing w:val="7"/>
        </w:rPr>
        <w:t>《中华人民共和国道路交</w:t>
      </w:r>
      <w:r>
        <w:rPr>
          <w:spacing w:val="7"/>
        </w:rPr>
        <w:t>通安全法》《中华人民共和国道路交通安全法</w:t>
      </w:r>
      <w:r>
        <w:rPr>
          <w:spacing w:val="7"/>
        </w:rPr>
        <w:t>实施条例》《宁夏回族自治区道路交通安全条</w:t>
      </w:r>
      <w:r>
        <w:rPr>
          <w:spacing w:val="7"/>
        </w:rPr>
        <w:t>例》《宁夏回族自治区道路交通事故社会救助</w:t>
      </w:r>
      <w:r>
        <w:rPr>
          <w:spacing w:val="7"/>
        </w:rPr>
        <w:t>基金管理试行办法》和《固原市突发事件总体</w:t>
      </w:r>
      <w:r>
        <w:rPr>
          <w:spacing w:val="7"/>
        </w:rPr>
        <w:t>应急预案》等。</w:t>
      </w:r>
    </w:p>
    <w:p>
      <w:pPr>
        <w:pStyle w:val="BodyText"/>
        <w:ind w:left="14" w:right="329" w:firstLine="438"/>
        <w:spacing w:before="113" w:line="309" w:lineRule="auto"/>
        <w:rPr/>
      </w:pPr>
      <w:r>
        <w:rPr>
          <w:rFonts w:ascii="Times New Roman" w:hAnsi="Times New Roman" w:eastAsia="Times New Roman" w:cs="Times New Roman"/>
          <w:spacing w:val="7"/>
        </w:rPr>
        <w:t>1.3  </w:t>
      </w:r>
      <w:r>
        <w:rPr>
          <w:rFonts w:ascii="KaiTi" w:hAnsi="KaiTi" w:eastAsia="KaiTi" w:cs="KaiTi"/>
          <w:spacing w:val="7"/>
        </w:rPr>
        <w:t>适用范围。</w:t>
      </w:r>
      <w:r>
        <w:rPr>
          <w:spacing w:val="7"/>
        </w:rPr>
        <w:t>本预案适用于本市道路上</w:t>
      </w:r>
      <w:r>
        <w:rPr>
          <w:spacing w:val="7"/>
        </w:rPr>
        <w:t>发生，需要联合相关部门共同实施救援和处置</w:t>
      </w:r>
      <w:r>
        <w:rPr>
          <w:spacing w:val="7"/>
        </w:rPr>
        <w:t>的道路交通事故。</w:t>
      </w:r>
    </w:p>
    <w:p>
      <w:pPr>
        <w:ind w:left="453"/>
        <w:spacing w:before="141" w:line="241" w:lineRule="auto"/>
        <w:rPr>
          <w:rFonts w:ascii="KaiTi" w:hAnsi="KaiTi" w:eastAsia="KaiTi" w:cs="KaiTi"/>
          <w:sz w:val="20"/>
          <w:szCs w:val="20"/>
        </w:rPr>
      </w:pPr>
      <w:r>
        <w:rPr>
          <w:rFonts w:ascii="Times New Roman" w:hAnsi="Times New Roman" w:eastAsia="Times New Roman" w:cs="Times New Roman"/>
          <w:sz w:val="20"/>
          <w:szCs w:val="20"/>
          <w:spacing w:val="1"/>
        </w:rPr>
        <w:t>1.4</w:t>
      </w:r>
      <w:r>
        <w:rPr>
          <w:rFonts w:ascii="Times New Roman" w:hAnsi="Times New Roman" w:eastAsia="Times New Roman" w:cs="Times New Roman"/>
          <w:sz w:val="20"/>
          <w:szCs w:val="20"/>
          <w:spacing w:val="10"/>
        </w:rPr>
        <w:t xml:space="preserve">  </w:t>
      </w:r>
      <w:r>
        <w:rPr>
          <w:rFonts w:ascii="KaiTi" w:hAnsi="KaiTi" w:eastAsia="KaiTi" w:cs="KaiTi"/>
          <w:sz w:val="20"/>
          <w:szCs w:val="20"/>
          <w:spacing w:val="1"/>
        </w:rPr>
        <w:t>工作原则。</w:t>
      </w:r>
    </w:p>
    <w:p>
      <w:pPr>
        <w:pStyle w:val="BodyText"/>
        <w:ind w:left="12" w:right="329" w:firstLine="412"/>
        <w:spacing w:before="122" w:line="322" w:lineRule="auto"/>
        <w:rPr/>
      </w:pPr>
      <w:r>
        <w:rPr>
          <w:spacing w:val="6"/>
        </w:rPr>
        <w:t>（</w:t>
      </w:r>
      <w:r>
        <w:rPr>
          <w:spacing w:val="-34"/>
        </w:rPr>
        <w:t xml:space="preserve"> </w:t>
      </w:r>
      <w:r>
        <w:rPr>
          <w:rFonts w:ascii="Times New Roman" w:hAnsi="Times New Roman" w:eastAsia="Times New Roman" w:cs="Times New Roman"/>
          <w:spacing w:val="6"/>
        </w:rPr>
        <w:t>1 </w:t>
      </w:r>
      <w:r>
        <w:rPr>
          <w:spacing w:val="6"/>
        </w:rPr>
        <w:t>）以人为本，减少损失。在处置道路</w:t>
      </w:r>
      <w:r>
        <w:rPr>
          <w:spacing w:val="7"/>
        </w:rPr>
        <w:t>交通事故时，坚持以人为本，把保护人民群众</w:t>
      </w:r>
      <w:r>
        <w:rPr>
          <w:spacing w:val="7"/>
        </w:rPr>
        <w:t>生命和财产安全放在首位，把事故损失降到最</w:t>
      </w:r>
      <w:r>
        <w:rPr>
          <w:spacing w:val="6"/>
        </w:rPr>
        <w:t>低限度。</w:t>
      </w:r>
    </w:p>
    <w:p>
      <w:pPr>
        <w:pStyle w:val="BodyText"/>
        <w:ind w:left="13" w:right="329" w:firstLine="411"/>
        <w:spacing w:before="142" w:line="322"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）统一领导，分级负责。在政府的统</w:t>
      </w:r>
      <w:r>
        <w:rPr>
          <w:spacing w:val="7"/>
        </w:rPr>
        <w:t>一领导下，各部门按照处置道路交通事故的职</w:t>
      </w:r>
      <w:r>
        <w:rPr>
          <w:spacing w:val="7"/>
        </w:rPr>
        <w:t>责分工和权限，分级负责，协调有序地开展抢</w:t>
      </w:r>
      <w:r>
        <w:rPr>
          <w:spacing w:val="8"/>
        </w:rPr>
        <w:t>救、事故处理等善后工作。</w:t>
      </w:r>
    </w:p>
    <w:p>
      <w:pPr>
        <w:pStyle w:val="BodyText"/>
        <w:ind w:left="14" w:right="327" w:firstLine="410"/>
        <w:spacing w:before="137" w:line="333" w:lineRule="auto"/>
        <w:rPr/>
      </w:pPr>
      <w:r>
        <w:rPr>
          <w:spacing w:val="6"/>
        </w:rPr>
        <w:t>（</w:t>
      </w:r>
      <w:r>
        <w:rPr>
          <w:rFonts w:ascii="Times New Roman" w:hAnsi="Times New Roman" w:eastAsia="Times New Roman" w:cs="Times New Roman"/>
          <w:spacing w:val="6"/>
        </w:rPr>
        <w:t>3</w:t>
      </w:r>
      <w:r>
        <w:rPr>
          <w:rFonts w:ascii="Times New Roman" w:hAnsi="Times New Roman" w:eastAsia="Times New Roman" w:cs="Times New Roman"/>
          <w:spacing w:val="-18"/>
        </w:rPr>
        <w:t xml:space="preserve"> </w:t>
      </w:r>
      <w:r>
        <w:rPr>
          <w:spacing w:val="6"/>
        </w:rPr>
        <w:t>）预防为主，平战结合。贯彻落实</w:t>
      </w:r>
      <w:r>
        <w:rPr>
          <w:rFonts w:ascii="Times New Roman" w:hAnsi="Times New Roman" w:eastAsia="Times New Roman" w:cs="Times New Roman"/>
          <w:spacing w:val="6"/>
        </w:rPr>
        <w:t>“</w:t>
      </w:r>
      <w:r>
        <w:rPr>
          <w:spacing w:val="6"/>
        </w:rPr>
        <w:t>安</w:t>
      </w:r>
      <w:r>
        <w:rPr>
          <w:spacing w:val="6"/>
        </w:rPr>
        <w:t>全第一</w:t>
      </w:r>
      <w:r>
        <w:rPr>
          <w:spacing w:val="-48"/>
        </w:rPr>
        <w:t xml:space="preserve"> </w:t>
      </w:r>
      <w:r>
        <w:rPr>
          <w:spacing w:val="6"/>
        </w:rPr>
        <w:t>，预防为主</w:t>
      </w:r>
      <w:r>
        <w:rPr>
          <w:spacing w:val="-59"/>
        </w:rPr>
        <w:t xml:space="preserve"> </w:t>
      </w:r>
      <w:r>
        <w:rPr>
          <w:spacing w:val="6"/>
        </w:rPr>
        <w:t>，综合治理</w:t>
      </w:r>
      <w:r>
        <w:rPr>
          <w:rFonts w:ascii="Times New Roman" w:hAnsi="Times New Roman" w:eastAsia="Times New Roman" w:cs="Times New Roman"/>
          <w:spacing w:val="6"/>
        </w:rPr>
        <w:t>”</w:t>
      </w:r>
      <w:r>
        <w:rPr>
          <w:spacing w:val="6"/>
        </w:rPr>
        <w:t>的方针</w:t>
      </w:r>
      <w:r>
        <w:rPr>
          <w:spacing w:val="-58"/>
        </w:rPr>
        <w:t xml:space="preserve"> </w:t>
      </w:r>
      <w:r>
        <w:rPr>
          <w:spacing w:val="6"/>
        </w:rPr>
        <w:t>，坚持</w:t>
      </w:r>
      <w:r>
        <w:rPr>
          <w:spacing w:val="7"/>
        </w:rPr>
        <w:t>事故处置与预防工作相结合，落实预防道路交</w:t>
      </w:r>
      <w:r>
        <w:rPr>
          <w:spacing w:val="7"/>
        </w:rPr>
        <w:t>通事故的各项措施，建立应对道路交通事故的</w:t>
      </w:r>
      <w:r>
        <w:rPr>
          <w:spacing w:val="7"/>
        </w:rPr>
        <w:t>快速反应机制，做到常备不懈，快速反应，处</w:t>
      </w:r>
      <w:r>
        <w:rPr>
          <w:spacing w:val="6"/>
        </w:rPr>
        <w:t>置得当。</w:t>
      </w:r>
    </w:p>
    <w:p>
      <w:pPr>
        <w:ind w:left="434"/>
        <w:spacing w:before="135" w:line="17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2</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5"/>
        </w:rPr>
        <w:t>组织指挥体系</w:t>
      </w:r>
    </w:p>
    <w:p>
      <w:pPr>
        <w:spacing w:line="14" w:lineRule="auto"/>
        <w:rPr>
          <w:rFonts w:ascii="Arial"/>
          <w:sz w:val="2"/>
        </w:rPr>
      </w:pPr>
      <w:r>
        <w:rPr>
          <w:rFonts w:ascii="Arial" w:hAnsi="Arial" w:eastAsia="Arial" w:cs="Arial"/>
          <w:sz w:val="2"/>
          <w:szCs w:val="2"/>
        </w:rPr>
        <w:br w:type="column"/>
      </w:r>
    </w:p>
    <w:p>
      <w:pPr>
        <w:pStyle w:val="BodyText"/>
        <w:ind w:left="2" w:right="80" w:firstLine="419"/>
        <w:spacing w:before="58" w:line="355" w:lineRule="auto"/>
        <w:jc w:val="both"/>
        <w:rPr/>
      </w:pPr>
      <w:r>
        <w:rPr>
          <w:rFonts w:ascii="Times New Roman" w:hAnsi="Times New Roman" w:eastAsia="Times New Roman" w:cs="Times New Roman"/>
          <w:spacing w:val="7"/>
        </w:rPr>
        <w:t>2.1</w:t>
      </w:r>
      <w:r>
        <w:rPr>
          <w:rFonts w:ascii="Times New Roman" w:hAnsi="Times New Roman" w:eastAsia="Times New Roman" w:cs="Times New Roman"/>
          <w:spacing w:val="20"/>
          <w:w w:val="101"/>
        </w:rPr>
        <w:t xml:space="preserve">  </w:t>
      </w:r>
      <w:r>
        <w:rPr>
          <w:rFonts w:ascii="KaiTi" w:hAnsi="KaiTi" w:eastAsia="KaiTi" w:cs="KaiTi"/>
          <w:spacing w:val="7"/>
        </w:rPr>
        <w:t>固原市道路交通事故应急指挥部。</w:t>
      </w:r>
      <w:r>
        <w:rPr>
          <w:spacing w:val="7"/>
        </w:rPr>
        <w:t>市</w:t>
      </w:r>
      <w:r>
        <w:rPr>
          <w:spacing w:val="7"/>
        </w:rPr>
        <w:t>政府突发事件应急管理委员会（以下简称市应</w:t>
      </w:r>
      <w:r>
        <w:rPr>
          <w:spacing w:val="7"/>
        </w:rPr>
        <w:t>急委）下设市道路交通事故应急指挥部。在市</w:t>
      </w:r>
      <w:r>
        <w:rPr>
          <w:spacing w:val="7"/>
        </w:rPr>
        <w:t>委、市政府安排部署下，负责领导、组织、协</w:t>
      </w:r>
      <w:r>
        <w:rPr>
          <w:spacing w:val="7"/>
        </w:rPr>
        <w:t>调市道路交通事故的应急管理工作，统一指挥</w:t>
      </w:r>
      <w:r>
        <w:rPr>
          <w:spacing w:val="7"/>
        </w:rPr>
        <w:t>市道路交通事故及其次生、衍生灾害的应急处</w:t>
      </w:r>
      <w:r>
        <w:rPr>
          <w:spacing w:val="5"/>
        </w:rPr>
        <w:t>置工作。</w:t>
      </w:r>
    </w:p>
    <w:p>
      <w:pPr>
        <w:pStyle w:val="BodyText"/>
        <w:ind w:left="3" w:right="80" w:firstLine="419"/>
        <w:spacing w:before="1" w:line="353" w:lineRule="auto"/>
        <w:jc w:val="both"/>
        <w:rPr/>
      </w:pPr>
      <w:r>
        <w:rPr>
          <w:spacing w:val="6"/>
        </w:rPr>
        <w:t>发生重大或特别重大突发公共事件，或者</w:t>
      </w:r>
      <w:r>
        <w:rPr>
          <w:spacing w:val="7"/>
        </w:rPr>
        <w:t>突发公共事件出现复杂情况，超出单个专项应</w:t>
      </w:r>
      <w:r>
        <w:rPr>
          <w:spacing w:val="7"/>
        </w:rPr>
        <w:t>急指挥机构处置能力和工作职责时，由市应急</w:t>
      </w:r>
      <w:r>
        <w:rPr>
          <w:spacing w:val="8"/>
        </w:rPr>
        <w:t>委负责指挥应对处置工作。</w:t>
      </w:r>
    </w:p>
    <w:p>
      <w:pPr>
        <w:pStyle w:val="BodyText"/>
        <w:ind w:left="420"/>
        <w:spacing w:line="278" w:lineRule="exact"/>
        <w:rPr/>
      </w:pPr>
      <w:r>
        <w:rPr>
          <w:spacing w:val="7"/>
          <w:position w:val="1"/>
        </w:rPr>
        <w:t>其主要职责有：</w:t>
      </w:r>
    </w:p>
    <w:p>
      <w:pPr>
        <w:pStyle w:val="BodyText"/>
        <w:ind w:right="83" w:firstLine="412"/>
        <w:spacing w:before="105" w:line="289"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）统一指挥全市道路交通事故应急救</w:t>
      </w:r>
      <w:r>
        <w:rPr>
          <w:spacing w:val="6"/>
        </w:rPr>
        <w:t>援行动。</w:t>
      </w:r>
    </w:p>
    <w:p>
      <w:pPr>
        <w:pStyle w:val="BodyText"/>
        <w:ind w:left="413"/>
        <w:spacing w:before="142" w:line="277" w:lineRule="exact"/>
        <w:rPr/>
      </w:pPr>
      <w:r>
        <w:rPr>
          <w:spacing w:val="6"/>
          <w:position w:val="1"/>
        </w:rPr>
        <w:t>（</w:t>
      </w:r>
      <w:r>
        <w:rPr>
          <w:rFonts w:ascii="Times New Roman" w:hAnsi="Times New Roman" w:eastAsia="Times New Roman" w:cs="Times New Roman"/>
          <w:spacing w:val="6"/>
          <w:position w:val="1"/>
        </w:rPr>
        <w:t>2</w:t>
      </w:r>
      <w:r>
        <w:rPr>
          <w:rFonts w:ascii="Times New Roman" w:hAnsi="Times New Roman" w:eastAsia="Times New Roman" w:cs="Times New Roman"/>
          <w:spacing w:val="-21"/>
          <w:position w:val="1"/>
        </w:rPr>
        <w:t xml:space="preserve"> </w:t>
      </w:r>
      <w:r>
        <w:rPr>
          <w:spacing w:val="6"/>
          <w:position w:val="1"/>
        </w:rPr>
        <w:t>）负责启动本预案。</w:t>
      </w:r>
    </w:p>
    <w:p>
      <w:pPr>
        <w:pStyle w:val="BodyText"/>
        <w:ind w:left="1" w:right="83" w:firstLine="411"/>
        <w:spacing w:before="106" w:line="289" w:lineRule="auto"/>
        <w:rPr/>
      </w:pPr>
      <w:r>
        <w:rPr>
          <w:spacing w:val="8"/>
        </w:rPr>
        <w:t>（</w:t>
      </w:r>
      <w:r>
        <w:rPr>
          <w:rFonts w:ascii="Times New Roman" w:hAnsi="Times New Roman" w:eastAsia="Times New Roman" w:cs="Times New Roman"/>
          <w:spacing w:val="8"/>
        </w:rPr>
        <w:t>3</w:t>
      </w:r>
      <w:r>
        <w:rPr>
          <w:rFonts w:ascii="Times New Roman" w:hAnsi="Times New Roman" w:eastAsia="Times New Roman" w:cs="Times New Roman"/>
          <w:spacing w:val="-5"/>
        </w:rPr>
        <w:t xml:space="preserve"> </w:t>
      </w:r>
      <w:r>
        <w:rPr>
          <w:spacing w:val="8"/>
        </w:rPr>
        <w:t>）对救援行动作出决策</w:t>
      </w:r>
      <w:r>
        <w:rPr>
          <w:spacing w:val="-59"/>
        </w:rPr>
        <w:t xml:space="preserve"> </w:t>
      </w:r>
      <w:r>
        <w:rPr>
          <w:spacing w:val="8"/>
        </w:rPr>
        <w:t>，下达命令和</w:t>
      </w:r>
      <w:r>
        <w:rPr>
          <w:spacing w:val="6"/>
        </w:rPr>
        <w:t>进行监督。</w:t>
      </w:r>
    </w:p>
    <w:p>
      <w:pPr>
        <w:pStyle w:val="BodyText"/>
        <w:ind w:right="80" w:firstLine="413"/>
        <w:spacing w:before="142" w:line="312" w:lineRule="auto"/>
        <w:rPr/>
      </w:pPr>
      <w:r>
        <w:rPr>
          <w:spacing w:val="8"/>
        </w:rPr>
        <w:t>（</w:t>
      </w:r>
      <w:r>
        <w:rPr>
          <w:rFonts w:ascii="Times New Roman" w:hAnsi="Times New Roman" w:eastAsia="Times New Roman" w:cs="Times New Roman"/>
          <w:spacing w:val="8"/>
        </w:rPr>
        <w:t>4</w:t>
      </w:r>
      <w:r>
        <w:rPr>
          <w:rFonts w:ascii="Times New Roman" w:hAnsi="Times New Roman" w:eastAsia="Times New Roman" w:cs="Times New Roman"/>
          <w:spacing w:val="-5"/>
        </w:rPr>
        <w:t xml:space="preserve"> </w:t>
      </w:r>
      <w:r>
        <w:rPr>
          <w:spacing w:val="8"/>
        </w:rPr>
        <w:t>）协调有关部门和单位参加救援</w:t>
      </w:r>
      <w:r>
        <w:rPr>
          <w:spacing w:val="-59"/>
        </w:rPr>
        <w:t xml:space="preserve"> </w:t>
      </w:r>
      <w:r>
        <w:rPr>
          <w:spacing w:val="8"/>
        </w:rPr>
        <w:t>，紧</w:t>
      </w:r>
      <w:r>
        <w:rPr>
          <w:spacing w:val="7"/>
        </w:rPr>
        <w:t>急指挥调度应急储备物资、交通工具及相关设</w:t>
      </w:r>
      <w:r>
        <w:rPr>
          <w:spacing w:val="6"/>
        </w:rPr>
        <w:t>施设备。</w:t>
      </w:r>
    </w:p>
    <w:p>
      <w:pPr>
        <w:pStyle w:val="BodyText"/>
        <w:ind w:left="2" w:right="16" w:firstLine="410"/>
        <w:spacing w:before="139" w:line="311" w:lineRule="auto"/>
        <w:rPr/>
      </w:pPr>
      <w:r>
        <w:rPr>
          <w:spacing w:val="3"/>
        </w:rPr>
        <w:t>（</w:t>
      </w:r>
      <w:r>
        <w:rPr>
          <w:rFonts w:ascii="Times New Roman" w:hAnsi="Times New Roman" w:eastAsia="Times New Roman" w:cs="Times New Roman"/>
          <w:spacing w:val="3"/>
        </w:rPr>
        <w:t>5</w:t>
      </w:r>
      <w:r>
        <w:rPr>
          <w:rFonts w:ascii="Times New Roman" w:hAnsi="Times New Roman" w:eastAsia="Times New Roman" w:cs="Times New Roman"/>
          <w:spacing w:val="-10"/>
        </w:rPr>
        <w:t xml:space="preserve"> </w:t>
      </w:r>
      <w:r>
        <w:rPr>
          <w:spacing w:val="3"/>
        </w:rPr>
        <w:t>）向市政府报告事故和救援进展情况，</w:t>
      </w:r>
      <w:r>
        <w:rPr>
          <w:spacing w:val="7"/>
        </w:rPr>
        <w:t>必要时由市政府请示自治区政府，请求自治区</w:t>
      </w:r>
      <w:r>
        <w:rPr>
          <w:spacing w:val="8"/>
        </w:rPr>
        <w:t>政府有关部门给予支援。</w:t>
      </w:r>
    </w:p>
    <w:p>
      <w:pPr>
        <w:pStyle w:val="BodyText"/>
        <w:ind w:left="18" w:right="83" w:firstLine="394"/>
        <w:spacing w:before="141" w:line="290" w:lineRule="auto"/>
        <w:rPr/>
      </w:pPr>
      <w:r>
        <w:rPr>
          <w:spacing w:val="11"/>
        </w:rPr>
        <w:t>（</w:t>
      </w:r>
      <w:r>
        <w:rPr>
          <w:rFonts w:ascii="Times New Roman" w:hAnsi="Times New Roman" w:eastAsia="Times New Roman" w:cs="Times New Roman"/>
          <w:spacing w:val="11"/>
        </w:rPr>
        <w:t>6</w:t>
      </w:r>
      <w:r>
        <w:rPr>
          <w:rFonts w:ascii="Times New Roman" w:hAnsi="Times New Roman" w:eastAsia="Times New Roman" w:cs="Times New Roman"/>
          <w:spacing w:val="-18"/>
        </w:rPr>
        <w:t xml:space="preserve"> </w:t>
      </w:r>
      <w:r>
        <w:rPr>
          <w:spacing w:val="11"/>
        </w:rPr>
        <w:t>）研究解决道路交通事故处置过程中</w:t>
      </w:r>
      <w:r>
        <w:rPr>
          <w:spacing w:val="5"/>
        </w:rPr>
        <w:t>的其他重大事项。</w:t>
      </w:r>
    </w:p>
    <w:p>
      <w:pPr>
        <w:pStyle w:val="BodyText"/>
        <w:ind w:left="423"/>
        <w:spacing w:before="140" w:line="278" w:lineRule="exact"/>
        <w:rPr/>
      </w:pPr>
      <w:r>
        <w:rPr>
          <w:spacing w:val="8"/>
          <w:position w:val="1"/>
        </w:rPr>
        <w:t>指 挥 长：分管公安工作的副市长</w:t>
      </w:r>
    </w:p>
    <w:p>
      <w:pPr>
        <w:pStyle w:val="BodyText"/>
        <w:ind w:left="427"/>
        <w:spacing w:before="106" w:line="278" w:lineRule="exact"/>
        <w:rPr/>
      </w:pPr>
      <w:r>
        <w:rPr>
          <w:spacing w:val="9"/>
          <w:position w:val="1"/>
        </w:rPr>
        <w:t>副指挥长：市公安局分管副局长</w:t>
      </w:r>
    </w:p>
    <w:p>
      <w:pPr>
        <w:pStyle w:val="BodyText"/>
        <w:ind w:left="1" w:firstLine="420"/>
        <w:spacing w:before="105" w:line="309" w:lineRule="auto"/>
        <w:jc w:val="both"/>
        <w:rPr/>
      </w:pPr>
      <w:r>
        <w:rPr>
          <w:spacing w:val="6"/>
        </w:rPr>
        <w:t>成员单位：应急管理局、市公安局、消防</w:t>
      </w:r>
      <w:r>
        <w:rPr>
          <w:spacing w:val="1"/>
        </w:rPr>
        <w:t>救援支队、市监察委员会、市卫生健康委员会、</w:t>
      </w:r>
      <w:r>
        <w:rPr>
          <w:spacing w:val="7"/>
        </w:rPr>
        <w:t>市生态环境局、市交通运输局、市民政局、市</w:t>
      </w:r>
    </w:p>
    <w:p>
      <w:pPr>
        <w:spacing w:line="309" w:lineRule="auto"/>
        <w:sectPr>
          <w:type w:val="continuous"/>
          <w:pgSz w:w="11906" w:h="16839"/>
          <w:pgMar w:top="1766" w:right="1509" w:bottom="1576" w:left="1579" w:header="1428" w:footer="1172" w:gutter="0"/>
          <w:cols w:equalWidth="0" w:num="2">
            <w:col w:w="4489" w:space="100"/>
            <w:col w:w="4228" w:space="0"/>
          </w:cols>
        </w:sectPr>
        <w:rPr/>
      </w:pPr>
    </w:p>
    <w:p>
      <w:pPr>
        <w:spacing w:before="59"/>
        <w:rPr/>
      </w:pPr>
      <w:r>
        <w:drawing>
          <wp:anchor distT="0" distB="0" distL="0" distR="0" simplePos="0" relativeHeight="252826624"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698" name="IM 1698"/>
            <wp:cNvGraphicFramePr/>
            <a:graphic>
              <a:graphicData uri="http://schemas.openxmlformats.org/drawingml/2006/picture">
                <pic:pic>
                  <pic:nvPicPr>
                    <pic:cNvPr id="1698" name="IM 1698"/>
                    <pic:cNvPicPr/>
                  </pic:nvPicPr>
                  <pic:blipFill>
                    <a:blip r:embed="rId851"/>
                    <a:stretch>
                      <a:fillRect/>
                    </a:stretch>
                  </pic:blipFill>
                  <pic:spPr>
                    <a:xfrm rot="0">
                      <a:off x="0" y="0"/>
                      <a:ext cx="5579745" cy="7620"/>
                    </a:xfrm>
                    <a:prstGeom prst="rect">
                      <a:avLst/>
                    </a:prstGeom>
                  </pic:spPr>
                </pic:pic>
              </a:graphicData>
            </a:graphic>
          </wp:anchor>
        </w:drawing>
      </w:r>
      <w:r/>
    </w:p>
    <w:p>
      <w:pPr>
        <w:sectPr>
          <w:headerReference w:type="default" r:id="rId816"/>
          <w:footerReference w:type="default" r:id="rId850"/>
          <w:pgSz w:w="11906" w:h="16839"/>
          <w:pgMar w:top="1772" w:right="1489" w:bottom="1562" w:left="1567" w:header="1428" w:footer="1172" w:gutter="0"/>
          <w:cols w:equalWidth="0" w:num="1">
            <w:col w:w="8850" w:space="0"/>
          </w:cols>
        </w:sectPr>
        <w:rPr/>
      </w:pPr>
    </w:p>
    <w:p>
      <w:pPr>
        <w:pStyle w:val="BodyText"/>
        <w:ind w:left="17" w:right="289" w:firstLine="10"/>
        <w:spacing w:before="44" w:line="354" w:lineRule="auto"/>
        <w:jc w:val="both"/>
        <w:rPr/>
      </w:pPr>
      <w:r>
        <w:rPr>
          <w:spacing w:val="7"/>
        </w:rPr>
        <w:t>财政局，应急指挥部根据工作需要确定的非政</w:t>
      </w:r>
      <w:r>
        <w:rPr>
          <w:spacing w:val="7"/>
        </w:rPr>
        <w:t>府职能部门（单位）有关负责人以及事发地县</w:t>
      </w:r>
      <w:r>
        <w:rPr>
          <w:spacing w:val="4"/>
        </w:rPr>
        <w:t>（</w:t>
      </w:r>
      <w:r>
        <w:rPr>
          <w:spacing w:val="-43"/>
        </w:rPr>
        <w:t xml:space="preserve"> </w:t>
      </w:r>
      <w:r>
        <w:rPr>
          <w:spacing w:val="4"/>
        </w:rPr>
        <w:t>区）政府有关负责人。</w:t>
      </w:r>
    </w:p>
    <w:p>
      <w:pPr>
        <w:pStyle w:val="BodyText"/>
        <w:ind w:left="24" w:right="289" w:firstLine="438"/>
        <w:spacing w:before="1" w:line="354" w:lineRule="auto"/>
        <w:jc w:val="both"/>
        <w:rPr/>
      </w:pPr>
      <w:r>
        <w:rPr>
          <w:spacing w:val="4"/>
        </w:rPr>
        <w:t>以上成员单位设联络员</w:t>
      </w:r>
      <w:r>
        <w:rPr>
          <w:spacing w:val="-19"/>
        </w:rPr>
        <w:t xml:space="preserve"> </w:t>
      </w:r>
      <w:r>
        <w:rPr>
          <w:rFonts w:ascii="Times New Roman" w:hAnsi="Times New Roman" w:eastAsia="Times New Roman" w:cs="Times New Roman"/>
          <w:spacing w:val="4"/>
        </w:rPr>
        <w:t>1 </w:t>
      </w:r>
      <w:r>
        <w:rPr>
          <w:spacing w:val="4"/>
        </w:rPr>
        <w:t>名，由单位职能</w:t>
      </w:r>
      <w:r>
        <w:rPr>
          <w:spacing w:val="7"/>
        </w:rPr>
        <w:t>科室负责人担任。根据工作需要，可增加有关</w:t>
      </w:r>
      <w:r>
        <w:rPr>
          <w:spacing w:val="9"/>
        </w:rPr>
        <w:t>部门和单位主要负责同志参加。</w:t>
      </w:r>
    </w:p>
    <w:p>
      <w:pPr>
        <w:pStyle w:val="BodyText"/>
        <w:ind w:left="26" w:right="289" w:firstLine="420"/>
        <w:spacing w:before="2" w:line="353" w:lineRule="auto"/>
        <w:jc w:val="both"/>
        <w:rPr/>
      </w:pPr>
      <w:r>
        <w:rPr>
          <w:spacing w:val="19"/>
        </w:rPr>
        <w:t>市道路交通事故应急指挥部按照职责分</w:t>
      </w:r>
      <w:r>
        <w:rPr>
          <w:spacing w:val="7"/>
        </w:rPr>
        <w:t>工和协同联动工作需要，将各成员单位按照职</w:t>
      </w:r>
      <w:r>
        <w:rPr>
          <w:spacing w:val="7"/>
        </w:rPr>
        <w:t>责分组开展道路交通事故及其次生、衍生灾害</w:t>
      </w:r>
      <w:r>
        <w:rPr>
          <w:spacing w:val="8"/>
        </w:rPr>
        <w:t>的应急处置工作。</w:t>
      </w:r>
    </w:p>
    <w:p>
      <w:pPr>
        <w:pStyle w:val="BodyText"/>
        <w:ind w:left="437"/>
        <w:spacing w:line="278" w:lineRule="exact"/>
        <w:rPr/>
      </w:pPr>
      <w:r>
        <w:rPr>
          <w:spacing w:val="1"/>
          <w:position w:val="1"/>
        </w:rPr>
        <w:t>（</w:t>
      </w:r>
      <w:r>
        <w:rPr>
          <w:spacing w:val="-45"/>
          <w:position w:val="1"/>
        </w:rPr>
        <w:t xml:space="preserve"> </w:t>
      </w:r>
      <w:r>
        <w:rPr>
          <w:rFonts w:ascii="Times New Roman" w:hAnsi="Times New Roman" w:eastAsia="Times New Roman" w:cs="Times New Roman"/>
          <w:spacing w:val="1"/>
          <w:position w:val="1"/>
        </w:rPr>
        <w:t>1</w:t>
      </w:r>
      <w:r>
        <w:rPr>
          <w:rFonts w:ascii="Times New Roman" w:hAnsi="Times New Roman" w:eastAsia="Times New Roman" w:cs="Times New Roman"/>
          <w:spacing w:val="-21"/>
          <w:position w:val="1"/>
        </w:rPr>
        <w:t xml:space="preserve"> </w:t>
      </w:r>
      <w:r>
        <w:rPr>
          <w:spacing w:val="1"/>
          <w:position w:val="1"/>
        </w:rPr>
        <w:t>）综合协调工作组。</w:t>
      </w:r>
    </w:p>
    <w:p>
      <w:pPr>
        <w:pStyle w:val="BodyText"/>
        <w:ind w:left="445" w:right="179"/>
        <w:spacing w:before="105" w:line="354" w:lineRule="auto"/>
        <w:jc w:val="both"/>
        <w:rPr/>
      </w:pPr>
      <w:r>
        <w:rPr>
          <w:spacing w:val="6"/>
        </w:rPr>
        <w:t>组  长：市公安局分管交警工作的副局长</w:t>
      </w:r>
      <w:r>
        <w:rPr>
          <w:spacing w:val="-4"/>
        </w:rPr>
        <w:t>副组长：应急管理指挥部根据工作需要确定</w:t>
      </w:r>
      <w:r>
        <w:rPr>
          <w:spacing w:val="1"/>
        </w:rPr>
        <w:t>成员单位：市公安局及其相关部门（单位）</w:t>
      </w:r>
    </w:p>
    <w:p>
      <w:pPr>
        <w:pStyle w:val="BodyText"/>
        <w:ind w:left="25" w:right="289" w:firstLine="428"/>
        <w:spacing w:before="3" w:line="350" w:lineRule="auto"/>
        <w:jc w:val="both"/>
        <w:rPr/>
      </w:pPr>
      <w:r>
        <w:rPr>
          <w:spacing w:val="6"/>
        </w:rPr>
        <w:t>主要职责：负责传达落实市指挥部和现场</w:t>
      </w:r>
      <w:r>
        <w:rPr>
          <w:spacing w:val="7"/>
        </w:rPr>
        <w:t>救援指挥部指示，收集处理事故处置信息，协</w:t>
      </w:r>
      <w:r>
        <w:rPr>
          <w:spacing w:val="8"/>
        </w:rPr>
        <w:t>调其他工作组开展工作。</w:t>
      </w:r>
    </w:p>
    <w:p>
      <w:pPr>
        <w:pStyle w:val="BodyText"/>
        <w:ind w:left="28" w:right="260" w:firstLine="419"/>
        <w:spacing w:before="13" w:line="337" w:lineRule="auto"/>
        <w:rPr/>
      </w:pPr>
      <w:r>
        <w:rPr>
          <w:spacing w:val="6"/>
        </w:rPr>
        <w:t>市公安局：负责道路交通事故应急救援信</w:t>
      </w:r>
      <w:r>
        <w:rPr>
          <w:spacing w:val="-2"/>
        </w:rPr>
        <w:t>息上传下达和市指挥部各成员单位的联络工作。</w:t>
      </w:r>
    </w:p>
    <w:p>
      <w:pPr>
        <w:pStyle w:val="BodyText"/>
        <w:ind w:left="26" w:right="289" w:firstLine="418"/>
        <w:spacing w:before="38" w:line="338" w:lineRule="auto"/>
        <w:rPr/>
      </w:pPr>
      <w:r>
        <w:rPr>
          <w:spacing w:val="7"/>
        </w:rPr>
        <w:t>其他非政府职能部门（单位）按照职责分</w:t>
      </w:r>
      <w:r>
        <w:rPr>
          <w:spacing w:val="-5"/>
        </w:rPr>
        <w:t>工好指挥部的部署，承担相应的应急救援任务。</w:t>
      </w:r>
    </w:p>
    <w:p>
      <w:pPr>
        <w:pStyle w:val="BodyText"/>
        <w:ind w:left="437"/>
        <w:spacing w:before="36" w:line="278" w:lineRule="exact"/>
        <w:rPr/>
      </w:pPr>
      <w:r>
        <w:rPr>
          <w:spacing w:val="6"/>
          <w:position w:val="1"/>
        </w:rPr>
        <w:t>（</w:t>
      </w:r>
      <w:r>
        <w:rPr>
          <w:rFonts w:ascii="Times New Roman" w:hAnsi="Times New Roman" w:eastAsia="Times New Roman" w:cs="Times New Roman"/>
          <w:spacing w:val="6"/>
          <w:position w:val="1"/>
        </w:rPr>
        <w:t>2</w:t>
      </w:r>
      <w:r>
        <w:rPr>
          <w:rFonts w:ascii="Times New Roman" w:hAnsi="Times New Roman" w:eastAsia="Times New Roman" w:cs="Times New Roman"/>
          <w:spacing w:val="-21"/>
          <w:position w:val="1"/>
        </w:rPr>
        <w:t xml:space="preserve"> </w:t>
      </w:r>
      <w:r>
        <w:rPr>
          <w:spacing w:val="6"/>
          <w:position w:val="1"/>
        </w:rPr>
        <w:t>）事故救援工作组：</w:t>
      </w:r>
    </w:p>
    <w:p>
      <w:pPr>
        <w:pStyle w:val="BodyText"/>
        <w:ind w:left="445"/>
        <w:spacing w:before="106" w:line="278" w:lineRule="exact"/>
        <w:rPr/>
      </w:pPr>
      <w:r>
        <w:rPr>
          <w:spacing w:val="6"/>
          <w:position w:val="1"/>
        </w:rPr>
        <w:t>组  长：由市公安局分管交警局领导担任</w:t>
      </w:r>
    </w:p>
    <w:p>
      <w:pPr>
        <w:pStyle w:val="BodyText"/>
        <w:ind w:left="451"/>
        <w:spacing w:before="106" w:line="278" w:lineRule="exact"/>
        <w:rPr/>
      </w:pPr>
      <w:r>
        <w:rPr>
          <w:spacing w:val="9"/>
          <w:position w:val="1"/>
        </w:rPr>
        <w:t>副组长：由消防救援支队支队长担任</w:t>
      </w:r>
    </w:p>
    <w:p>
      <w:pPr>
        <w:pStyle w:val="BodyText"/>
        <w:ind w:left="25" w:right="289" w:firstLine="420"/>
        <w:spacing w:before="105" w:line="337" w:lineRule="auto"/>
        <w:rPr/>
      </w:pPr>
      <w:r>
        <w:rPr>
          <w:spacing w:val="6"/>
        </w:rPr>
        <w:t>成员单位：市公安局、消防救援支队、市</w:t>
      </w:r>
      <w:r>
        <w:rPr>
          <w:spacing w:val="9"/>
        </w:rPr>
        <w:t>卫生健康委员会、市交通运输局</w:t>
      </w:r>
    </w:p>
    <w:p>
      <w:pPr>
        <w:pStyle w:val="BodyText"/>
        <w:ind w:left="25" w:right="289" w:firstLine="428"/>
        <w:spacing w:before="40" w:line="336" w:lineRule="auto"/>
        <w:rPr/>
      </w:pPr>
      <w:r>
        <w:rPr>
          <w:spacing w:val="16"/>
        </w:rPr>
        <w:t>主要职责：</w:t>
      </w:r>
      <w:r>
        <w:rPr>
          <w:spacing w:val="-56"/>
        </w:rPr>
        <w:t xml:space="preserve"> </w:t>
      </w:r>
      <w:r>
        <w:rPr>
          <w:spacing w:val="16"/>
        </w:rPr>
        <w:t>负责组织事故现场的人员搜</w:t>
      </w:r>
      <w:r>
        <w:rPr>
          <w:spacing w:val="8"/>
        </w:rPr>
        <w:t>救、险情排除等具体救援工作。</w:t>
      </w:r>
    </w:p>
    <w:p>
      <w:pPr>
        <w:pStyle w:val="BodyText"/>
        <w:ind w:left="24" w:right="289" w:firstLine="423"/>
        <w:spacing w:before="41" w:line="332" w:lineRule="auto"/>
        <w:jc w:val="both"/>
        <w:rPr/>
      </w:pPr>
      <w:r>
        <w:rPr>
          <w:spacing w:val="6"/>
        </w:rPr>
        <w:t>市公安局：负责道路交通事故信息上传下</w:t>
      </w:r>
      <w:r>
        <w:rPr>
          <w:spacing w:val="7"/>
        </w:rPr>
        <w:t>达和指挥部各成员单位的联络工作；统一调动</w:t>
      </w:r>
      <w:r>
        <w:rPr>
          <w:spacing w:val="7"/>
        </w:rPr>
        <w:t>警力抢救伤者和财物，指挥和协调现场警戒和</w:t>
      </w:r>
      <w:r>
        <w:rPr>
          <w:spacing w:val="7"/>
        </w:rPr>
        <w:t>保卫、交通管制、清障、维护交通秩序，清理</w:t>
      </w:r>
      <w:r>
        <w:rPr>
          <w:spacing w:val="7"/>
        </w:rPr>
        <w:t>事故现场，保障救援通道畅通；进行道路交通</w:t>
      </w:r>
      <w:r>
        <w:rPr>
          <w:spacing w:val="7"/>
        </w:rPr>
        <w:t>事故现场勘查和调查；组织全市道路交通事故</w:t>
      </w:r>
    </w:p>
    <w:p>
      <w:pPr>
        <w:spacing w:line="14" w:lineRule="auto"/>
        <w:rPr>
          <w:rFonts w:ascii="Arial"/>
          <w:sz w:val="2"/>
        </w:rPr>
      </w:pPr>
      <w:r>
        <w:rPr>
          <w:rFonts w:ascii="Arial" w:hAnsi="Arial" w:eastAsia="Arial" w:cs="Arial"/>
          <w:sz w:val="2"/>
          <w:szCs w:val="2"/>
        </w:rPr>
        <w:br w:type="column"/>
      </w:r>
    </w:p>
    <w:p>
      <w:pPr>
        <w:pStyle w:val="BodyText"/>
        <w:ind w:left="41"/>
        <w:spacing w:before="39" w:line="224" w:lineRule="auto"/>
        <w:rPr/>
      </w:pPr>
      <w:r>
        <w:rPr>
          <w:spacing w:val="9"/>
        </w:rPr>
        <w:t>救援演练，建立道路交通事故救援专家组。</w:t>
      </w:r>
    </w:p>
    <w:p>
      <w:pPr>
        <w:pStyle w:val="BodyText"/>
        <w:ind w:right="98" w:firstLine="463"/>
        <w:spacing w:before="137" w:line="352" w:lineRule="auto"/>
        <w:jc w:val="both"/>
        <w:rPr/>
      </w:pPr>
      <w:r>
        <w:rPr>
          <w:spacing w:val="6"/>
        </w:rPr>
        <w:t>市卫生健康委员会：负责组织医疗卫健单</w:t>
      </w:r>
      <w:r>
        <w:rPr>
          <w:spacing w:val="9"/>
        </w:rPr>
        <w:t>位储备相应的医疗器材和急救药品；开通救援</w:t>
      </w:r>
      <w:r>
        <w:rPr>
          <w:rFonts w:ascii="Times New Roman" w:hAnsi="Times New Roman" w:eastAsia="Times New Roman" w:cs="Times New Roman"/>
          <w:spacing w:val="10"/>
        </w:rPr>
        <w:t>“</w:t>
      </w:r>
      <w:r>
        <w:rPr>
          <w:spacing w:val="10"/>
        </w:rPr>
        <w:t>绿色通道</w:t>
      </w:r>
      <w:r>
        <w:rPr>
          <w:rFonts w:ascii="Times New Roman" w:hAnsi="Times New Roman" w:eastAsia="Times New Roman" w:cs="Times New Roman"/>
          <w:spacing w:val="10"/>
        </w:rPr>
        <w:t>”</w:t>
      </w:r>
      <w:r>
        <w:rPr>
          <w:spacing w:val="10"/>
        </w:rPr>
        <w:t>，负责现场受伤人员的应急医疗救</w:t>
      </w:r>
      <w:r>
        <w:rPr>
          <w:spacing w:val="9"/>
        </w:rPr>
        <w:t>治工作；汇总和上报人员救治情况；组织调集</w:t>
      </w:r>
      <w:r>
        <w:rPr>
          <w:spacing w:val="12"/>
        </w:rPr>
        <w:t>医疗专家参与会诊急救。</w:t>
      </w:r>
    </w:p>
    <w:p>
      <w:pPr>
        <w:pStyle w:val="BodyText"/>
        <w:ind w:left="40" w:right="101" w:firstLine="427"/>
        <w:spacing w:before="15" w:line="336" w:lineRule="auto"/>
        <w:rPr/>
      </w:pPr>
      <w:r>
        <w:rPr>
          <w:spacing w:val="6"/>
        </w:rPr>
        <w:t>消防救援支队：负责组织事故现场的人员</w:t>
      </w:r>
      <w:r>
        <w:rPr>
          <w:spacing w:val="8"/>
        </w:rPr>
        <w:t>搜救、险情排除等具体救援工作。</w:t>
      </w:r>
    </w:p>
    <w:p>
      <w:pPr>
        <w:pStyle w:val="BodyText"/>
        <w:ind w:left="43" w:right="101" w:firstLine="420"/>
        <w:spacing w:before="38" w:line="354" w:lineRule="auto"/>
        <w:jc w:val="both"/>
        <w:rPr/>
      </w:pPr>
      <w:r>
        <w:rPr>
          <w:spacing w:val="6"/>
        </w:rPr>
        <w:t>市交通运输局：负责组织公路交通事故应</w:t>
      </w:r>
      <w:r>
        <w:rPr>
          <w:spacing w:val="7"/>
        </w:rPr>
        <w:t>急救援的运输车辆，运送疏散撤离人员和救援</w:t>
      </w:r>
      <w:r>
        <w:rPr>
          <w:spacing w:val="7"/>
        </w:rPr>
        <w:t>物资，消除塌方、断桥等原因引起的道路交通</w:t>
      </w:r>
      <w:r>
        <w:rPr>
          <w:spacing w:val="7"/>
        </w:rPr>
        <w:t>中断因素，确保道路交通畅通。参与营运车辆</w:t>
      </w:r>
      <w:r>
        <w:rPr>
          <w:spacing w:val="8"/>
        </w:rPr>
        <w:t>发生道路交通事故的调查。</w:t>
      </w:r>
    </w:p>
    <w:p>
      <w:pPr>
        <w:pStyle w:val="BodyText"/>
        <w:ind w:left="453"/>
        <w:spacing w:before="4" w:line="278" w:lineRule="exact"/>
        <w:rPr/>
      </w:pPr>
      <w:r>
        <w:rPr>
          <w:spacing w:val="6"/>
          <w:position w:val="1"/>
        </w:rPr>
        <w:t>（</w:t>
      </w:r>
      <w:r>
        <w:rPr>
          <w:rFonts w:ascii="Times New Roman" w:hAnsi="Times New Roman" w:eastAsia="Times New Roman" w:cs="Times New Roman"/>
          <w:spacing w:val="6"/>
          <w:position w:val="1"/>
        </w:rPr>
        <w:t>3</w:t>
      </w:r>
      <w:r>
        <w:rPr>
          <w:rFonts w:ascii="Times New Roman" w:hAnsi="Times New Roman" w:eastAsia="Times New Roman" w:cs="Times New Roman"/>
          <w:spacing w:val="-21"/>
          <w:position w:val="1"/>
        </w:rPr>
        <w:t xml:space="preserve"> </w:t>
      </w:r>
      <w:r>
        <w:rPr>
          <w:spacing w:val="6"/>
          <w:position w:val="1"/>
        </w:rPr>
        <w:t>）医疗救护工作组。</w:t>
      </w:r>
    </w:p>
    <w:p>
      <w:pPr>
        <w:pStyle w:val="BodyText"/>
        <w:ind w:left="461"/>
        <w:spacing w:before="106" w:line="277" w:lineRule="exact"/>
        <w:rPr/>
      </w:pPr>
      <w:r>
        <w:rPr>
          <w:spacing w:val="9"/>
          <w:position w:val="1"/>
        </w:rPr>
        <w:t>组  长：市卫生健康委员会副主任</w:t>
      </w:r>
    </w:p>
    <w:p>
      <w:pPr>
        <w:pStyle w:val="BodyText"/>
        <w:ind w:left="42" w:right="101" w:firstLine="425"/>
        <w:spacing w:before="107" w:line="353" w:lineRule="auto"/>
        <w:rPr/>
      </w:pPr>
      <w:r>
        <w:rPr>
          <w:spacing w:val="6"/>
        </w:rPr>
        <w:t>副组长：应急指挥部根据工作需要确定的</w:t>
      </w:r>
      <w:r>
        <w:rPr>
          <w:spacing w:val="8"/>
        </w:rPr>
        <w:t>非政府职能部门（单位）相关负责人。</w:t>
      </w:r>
    </w:p>
    <w:p>
      <w:pPr>
        <w:pStyle w:val="BodyText"/>
        <w:ind w:left="43" w:right="101" w:firstLine="418"/>
        <w:spacing w:before="4" w:line="337" w:lineRule="auto"/>
        <w:rPr/>
      </w:pPr>
      <w:r>
        <w:rPr>
          <w:spacing w:val="6"/>
        </w:rPr>
        <w:t>成员单位：市卫生健康委员会，中国人保</w:t>
      </w:r>
      <w:r>
        <w:rPr>
          <w:spacing w:val="9"/>
        </w:rPr>
        <w:t>财险固原分公司</w:t>
      </w:r>
    </w:p>
    <w:p>
      <w:pPr>
        <w:pStyle w:val="BodyText"/>
        <w:ind w:left="40" w:right="92" w:firstLine="428"/>
        <w:spacing w:before="36" w:line="351" w:lineRule="auto"/>
        <w:jc w:val="both"/>
        <w:rPr/>
      </w:pPr>
      <w:r>
        <w:rPr>
          <w:spacing w:val="6"/>
        </w:rPr>
        <w:t>主要职责：负责对伤亡人员的抢救、医护</w:t>
      </w:r>
      <w:r>
        <w:rPr>
          <w:spacing w:val="7"/>
        </w:rPr>
        <w:t>和安置工作，协调有关药品、医疗器具的紧急</w:t>
      </w:r>
      <w:r>
        <w:rPr>
          <w:spacing w:val="7"/>
        </w:rPr>
        <w:t>调配；组织、协调道路交通事故的保险理赔工</w:t>
      </w:r>
      <w:r>
        <w:rPr>
          <w:spacing w:val="7"/>
        </w:rPr>
        <w:t>作，并依法先行支付或垫付伤者的抢救费用；</w:t>
      </w:r>
      <w:r>
        <w:rPr>
          <w:spacing w:val="9"/>
        </w:rPr>
        <w:t>协助公安部门对道路交通事故后果调查。</w:t>
      </w:r>
    </w:p>
    <w:p>
      <w:pPr>
        <w:pStyle w:val="BodyText"/>
        <w:ind w:left="453"/>
        <w:spacing w:before="20" w:line="278" w:lineRule="exact"/>
        <w:rPr/>
      </w:pPr>
      <w:r>
        <w:rPr>
          <w:spacing w:val="6"/>
          <w:position w:val="1"/>
        </w:rPr>
        <w:t>（</w:t>
      </w:r>
      <w:r>
        <w:rPr>
          <w:rFonts w:ascii="Times New Roman" w:hAnsi="Times New Roman" w:eastAsia="Times New Roman" w:cs="Times New Roman"/>
          <w:spacing w:val="6"/>
          <w:position w:val="1"/>
        </w:rPr>
        <w:t>4</w:t>
      </w:r>
      <w:r>
        <w:rPr>
          <w:rFonts w:ascii="Times New Roman" w:hAnsi="Times New Roman" w:eastAsia="Times New Roman" w:cs="Times New Roman"/>
          <w:spacing w:val="-21"/>
          <w:position w:val="1"/>
        </w:rPr>
        <w:t xml:space="preserve"> </w:t>
      </w:r>
      <w:r>
        <w:rPr>
          <w:spacing w:val="6"/>
          <w:position w:val="1"/>
        </w:rPr>
        <w:t>）治安保卫工作组。</w:t>
      </w:r>
    </w:p>
    <w:p>
      <w:pPr>
        <w:pStyle w:val="BodyText"/>
        <w:ind w:left="461"/>
        <w:spacing w:before="106" w:line="278" w:lineRule="exact"/>
        <w:rPr/>
      </w:pPr>
      <w:r>
        <w:rPr>
          <w:spacing w:val="8"/>
          <w:position w:val="1"/>
        </w:rPr>
        <w:t>组  长：市公安局治安支队长</w:t>
      </w:r>
    </w:p>
    <w:p>
      <w:pPr>
        <w:pStyle w:val="BodyText"/>
        <w:ind w:left="467"/>
        <w:spacing w:before="106" w:line="278" w:lineRule="exact"/>
        <w:rPr/>
      </w:pPr>
      <w:r>
        <w:rPr>
          <w:spacing w:val="9"/>
          <w:position w:val="1"/>
        </w:rPr>
        <w:t>副组长：市公安局交警支队长</w:t>
      </w:r>
    </w:p>
    <w:p>
      <w:pPr>
        <w:pStyle w:val="BodyText"/>
        <w:ind w:left="42" w:right="101" w:firstLine="427"/>
        <w:spacing w:before="106" w:line="337" w:lineRule="auto"/>
        <w:rPr/>
      </w:pPr>
      <w:r>
        <w:rPr>
          <w:spacing w:val="6"/>
        </w:rPr>
        <w:t>主要职责：负责事故现场的安全保卫和秩</w:t>
      </w:r>
      <w:r>
        <w:rPr>
          <w:spacing w:val="9"/>
        </w:rPr>
        <w:t>序维护，并协助做好人员疏散工作。</w:t>
      </w:r>
    </w:p>
    <w:p>
      <w:pPr>
        <w:pStyle w:val="BodyText"/>
        <w:ind w:left="453"/>
        <w:spacing w:before="38" w:line="278" w:lineRule="exact"/>
        <w:rPr/>
      </w:pPr>
      <w:r>
        <w:rPr>
          <w:spacing w:val="6"/>
          <w:position w:val="1"/>
        </w:rPr>
        <w:t>（</w:t>
      </w:r>
      <w:r>
        <w:rPr>
          <w:rFonts w:ascii="Times New Roman" w:hAnsi="Times New Roman" w:eastAsia="Times New Roman" w:cs="Times New Roman"/>
          <w:spacing w:val="6"/>
          <w:position w:val="1"/>
        </w:rPr>
        <w:t>5</w:t>
      </w:r>
      <w:r>
        <w:rPr>
          <w:rFonts w:ascii="Times New Roman" w:hAnsi="Times New Roman" w:eastAsia="Times New Roman" w:cs="Times New Roman"/>
          <w:spacing w:val="-21"/>
          <w:position w:val="1"/>
        </w:rPr>
        <w:t xml:space="preserve"> </w:t>
      </w:r>
      <w:r>
        <w:rPr>
          <w:spacing w:val="6"/>
          <w:position w:val="1"/>
        </w:rPr>
        <w:t>）专家咨询工作组：</w:t>
      </w:r>
    </w:p>
    <w:p>
      <w:pPr>
        <w:pStyle w:val="BodyText"/>
        <w:ind w:left="461"/>
        <w:spacing w:before="106" w:line="277" w:lineRule="exact"/>
        <w:rPr/>
      </w:pPr>
      <w:r>
        <w:rPr>
          <w:spacing w:val="9"/>
          <w:position w:val="1"/>
        </w:rPr>
        <w:t>组  长：市公安局分管交警的副局长</w:t>
      </w:r>
    </w:p>
    <w:p>
      <w:pPr>
        <w:pStyle w:val="BodyText"/>
        <w:ind w:left="467"/>
        <w:spacing w:before="107" w:line="277" w:lineRule="exact"/>
        <w:rPr/>
      </w:pPr>
      <w:r>
        <w:rPr>
          <w:spacing w:val="9"/>
          <w:position w:val="1"/>
        </w:rPr>
        <w:t>副组长：市应急管理局副局长</w:t>
      </w:r>
    </w:p>
    <w:p>
      <w:pPr>
        <w:pStyle w:val="BodyText"/>
        <w:ind w:left="461"/>
        <w:spacing w:before="107" w:line="277" w:lineRule="exact"/>
        <w:rPr/>
      </w:pPr>
      <w:r>
        <w:rPr>
          <w:spacing w:val="9"/>
          <w:position w:val="1"/>
        </w:rPr>
        <w:t>成员单位：市公安局、市应急管理局</w:t>
      </w:r>
    </w:p>
    <w:p>
      <w:pPr>
        <w:pStyle w:val="BodyText"/>
        <w:ind w:left="469"/>
        <w:spacing w:before="107" w:line="221" w:lineRule="auto"/>
        <w:rPr/>
      </w:pPr>
      <w:r>
        <w:rPr>
          <w:spacing w:val="6"/>
        </w:rPr>
        <w:t>主要职责：负责指导救援方案的制定，为</w:t>
      </w:r>
    </w:p>
    <w:p>
      <w:pPr>
        <w:spacing w:line="221" w:lineRule="auto"/>
        <w:sectPr>
          <w:type w:val="continuous"/>
          <w:pgSz w:w="11906" w:h="16839"/>
          <w:pgMar w:top="1772" w:right="1489" w:bottom="1562" w:left="1567" w:header="1428" w:footer="1172" w:gutter="0"/>
          <w:cols w:equalWidth="0" w:num="2">
            <w:col w:w="4462" w:space="100"/>
            <w:col w:w="4289" w:space="0"/>
          </w:cols>
        </w:sectPr>
        <w:rPr/>
      </w:pPr>
    </w:p>
    <w:p>
      <w:pPr>
        <w:spacing w:line="122" w:lineRule="exact"/>
        <w:rPr/>
      </w:pPr>
      <w:r>
        <w:drawing>
          <wp:anchor distT="0" distB="0" distL="0" distR="0" simplePos="0" relativeHeight="252837888"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702" name="IM 1702"/>
            <wp:cNvGraphicFramePr/>
            <a:graphic>
              <a:graphicData uri="http://schemas.openxmlformats.org/drawingml/2006/picture">
                <pic:pic>
                  <pic:nvPicPr>
                    <pic:cNvPr id="1702" name="IM 1702"/>
                    <pic:cNvPicPr/>
                  </pic:nvPicPr>
                  <pic:blipFill>
                    <a:blip r:embed="rId853"/>
                    <a:stretch>
                      <a:fillRect/>
                    </a:stretch>
                  </pic:blipFill>
                  <pic:spPr>
                    <a:xfrm rot="0">
                      <a:off x="0" y="0"/>
                      <a:ext cx="5579745" cy="7620"/>
                    </a:xfrm>
                    <a:prstGeom prst="rect">
                      <a:avLst/>
                    </a:prstGeom>
                  </pic:spPr>
                </pic:pic>
              </a:graphicData>
            </a:graphic>
          </wp:anchor>
        </w:drawing>
      </w:r>
      <w:r/>
    </w:p>
    <w:p>
      <w:pPr>
        <w:spacing w:line="122" w:lineRule="exact"/>
        <w:sectPr>
          <w:headerReference w:type="default" r:id="rId597"/>
          <w:footerReference w:type="default" r:id="rId852"/>
          <w:pgSz w:w="11906" w:h="16839"/>
          <w:pgMar w:top="1766" w:right="1509" w:bottom="1575" w:left="1579" w:header="1428" w:footer="1172" w:gutter="0"/>
          <w:cols w:equalWidth="0" w:num="1">
            <w:col w:w="8817" w:space="0"/>
          </w:cols>
        </w:sectPr>
        <w:rPr/>
      </w:pPr>
    </w:p>
    <w:p>
      <w:pPr>
        <w:pStyle w:val="BodyText"/>
        <w:ind w:left="15"/>
        <w:spacing w:before="54" w:line="220" w:lineRule="auto"/>
        <w:rPr/>
      </w:pPr>
      <w:r>
        <w:rPr>
          <w:spacing w:val="8"/>
        </w:rPr>
        <w:t>指挥部决策提供科学依据。</w:t>
      </w:r>
    </w:p>
    <w:p>
      <w:pPr>
        <w:pStyle w:val="BodyText"/>
        <w:ind w:left="424"/>
        <w:spacing w:before="139" w:line="278" w:lineRule="exact"/>
        <w:rPr/>
      </w:pPr>
      <w:r>
        <w:rPr>
          <w:spacing w:val="6"/>
          <w:position w:val="1"/>
        </w:rPr>
        <w:t>（</w:t>
      </w:r>
      <w:r>
        <w:rPr>
          <w:rFonts w:ascii="Times New Roman" w:hAnsi="Times New Roman" w:eastAsia="Times New Roman" w:cs="Times New Roman"/>
          <w:spacing w:val="6"/>
          <w:position w:val="1"/>
        </w:rPr>
        <w:t>6</w:t>
      </w:r>
      <w:r>
        <w:rPr>
          <w:rFonts w:ascii="Times New Roman" w:hAnsi="Times New Roman" w:eastAsia="Times New Roman" w:cs="Times New Roman"/>
          <w:spacing w:val="-21"/>
          <w:position w:val="1"/>
        </w:rPr>
        <w:t xml:space="preserve"> </w:t>
      </w:r>
      <w:r>
        <w:rPr>
          <w:spacing w:val="6"/>
          <w:position w:val="1"/>
        </w:rPr>
        <w:t>）事故调查工作组：</w:t>
      </w:r>
    </w:p>
    <w:p>
      <w:pPr>
        <w:pStyle w:val="BodyText"/>
        <w:ind w:left="433"/>
        <w:spacing w:before="100" w:line="278" w:lineRule="exact"/>
        <w:rPr/>
      </w:pPr>
      <w:r>
        <w:rPr>
          <w:spacing w:val="9"/>
          <w:position w:val="1"/>
        </w:rPr>
        <w:t>组  长：市应急管理局分管副局长</w:t>
      </w:r>
    </w:p>
    <w:p>
      <w:pPr>
        <w:pStyle w:val="BodyText"/>
        <w:ind w:left="14" w:right="306" w:firstLine="424"/>
        <w:spacing w:before="104" w:line="332" w:lineRule="auto"/>
        <w:rPr/>
      </w:pPr>
      <w:r>
        <w:rPr>
          <w:spacing w:val="7"/>
        </w:rPr>
        <w:t>副组长：市公安局分管交警工作副局长、</w:t>
      </w:r>
      <w:r>
        <w:rPr>
          <w:spacing w:val="9"/>
        </w:rPr>
        <w:t>市监察委员会分管副主任</w:t>
      </w:r>
    </w:p>
    <w:p>
      <w:pPr>
        <w:pStyle w:val="BodyText"/>
        <w:ind w:left="12" w:right="329" w:firstLine="420"/>
        <w:spacing w:before="39" w:line="334" w:lineRule="auto"/>
        <w:rPr/>
      </w:pPr>
      <w:r>
        <w:rPr>
          <w:spacing w:val="6"/>
        </w:rPr>
        <w:t>成员单位：市应急管理局、市公安局、市</w:t>
      </w:r>
      <w:r>
        <w:rPr>
          <w:spacing w:val="9"/>
        </w:rPr>
        <w:t>监察委员会等</w:t>
      </w:r>
    </w:p>
    <w:p>
      <w:pPr>
        <w:pStyle w:val="BodyText"/>
        <w:ind w:left="11" w:right="329" w:firstLine="429"/>
        <w:spacing w:before="36" w:line="348" w:lineRule="auto"/>
        <w:jc w:val="both"/>
        <w:rPr/>
      </w:pPr>
      <w:r>
        <w:rPr>
          <w:spacing w:val="6"/>
        </w:rPr>
        <w:t>主要职责：依据道路交通事故调查处理有</w:t>
      </w:r>
      <w:r>
        <w:rPr>
          <w:spacing w:val="7"/>
        </w:rPr>
        <w:t>关规定，负责查清事故原因，查明事故性质和</w:t>
      </w:r>
      <w:r>
        <w:rPr>
          <w:spacing w:val="8"/>
        </w:rPr>
        <w:t>责任，提出处理意见。</w:t>
      </w:r>
    </w:p>
    <w:p>
      <w:pPr>
        <w:pStyle w:val="BodyText"/>
        <w:ind w:left="4" w:right="327" w:firstLine="430"/>
        <w:spacing w:before="8" w:line="351" w:lineRule="auto"/>
        <w:jc w:val="both"/>
        <w:rPr/>
      </w:pPr>
      <w:r>
        <w:rPr>
          <w:spacing w:val="6"/>
        </w:rPr>
        <w:t>市应急管理局：对特别重大道路交通事故</w:t>
      </w:r>
      <w:r>
        <w:rPr>
          <w:spacing w:val="8"/>
        </w:rPr>
        <w:t>（</w:t>
      </w:r>
      <w:r>
        <w:rPr>
          <w:rFonts w:ascii="Times New Roman" w:hAnsi="Times New Roman" w:eastAsia="Times New Roman" w:cs="Times New Roman"/>
          <w:spacing w:val="8"/>
        </w:rPr>
        <w:t>I </w:t>
      </w:r>
      <w:r>
        <w:rPr>
          <w:spacing w:val="8"/>
        </w:rPr>
        <w:t>级）</w:t>
      </w:r>
      <w:r>
        <w:rPr>
          <w:spacing w:val="-54"/>
        </w:rPr>
        <w:t xml:space="preserve"> </w:t>
      </w:r>
      <w:r>
        <w:rPr>
          <w:spacing w:val="8"/>
        </w:rPr>
        <w:t>、重大道路交通事故（</w:t>
      </w:r>
      <w:r>
        <w:rPr>
          <w:rFonts w:ascii="Times New Roman" w:hAnsi="Times New Roman" w:eastAsia="Times New Roman" w:cs="Times New Roman"/>
        </w:rPr>
        <w:t>II</w:t>
      </w:r>
      <w:r>
        <w:rPr>
          <w:rFonts w:ascii="Times New Roman" w:hAnsi="Times New Roman" w:eastAsia="Times New Roman" w:cs="Times New Roman"/>
          <w:spacing w:val="8"/>
        </w:rPr>
        <w:t xml:space="preserve"> </w:t>
      </w:r>
      <w:r>
        <w:rPr>
          <w:spacing w:val="8"/>
        </w:rPr>
        <w:t>级）</w:t>
      </w:r>
      <w:r>
        <w:rPr>
          <w:spacing w:val="-59"/>
        </w:rPr>
        <w:t xml:space="preserve"> </w:t>
      </w:r>
      <w:r>
        <w:rPr>
          <w:spacing w:val="8"/>
        </w:rPr>
        <w:t>、较大</w:t>
      </w:r>
      <w:r>
        <w:rPr>
          <w:spacing w:val="10"/>
        </w:rPr>
        <w:t>道路交通事故 （</w:t>
      </w:r>
      <w:r>
        <w:rPr>
          <w:rFonts w:ascii="Times New Roman" w:hAnsi="Times New Roman" w:eastAsia="Times New Roman" w:cs="Times New Roman"/>
        </w:rPr>
        <w:t>III</w:t>
      </w:r>
      <w:r>
        <w:rPr>
          <w:rFonts w:ascii="Times New Roman" w:hAnsi="Times New Roman" w:eastAsia="Times New Roman" w:cs="Times New Roman"/>
          <w:spacing w:val="10"/>
        </w:rPr>
        <w:t xml:space="preserve"> </w:t>
      </w:r>
      <w:r>
        <w:rPr>
          <w:spacing w:val="10"/>
        </w:rPr>
        <w:t>级）和涉及危险化学品运</w:t>
      </w:r>
      <w:r>
        <w:rPr>
          <w:spacing w:val="7"/>
        </w:rPr>
        <w:t>输道路交通事故，依照有关法律法规成立调查</w:t>
      </w:r>
      <w:r>
        <w:rPr>
          <w:spacing w:val="7"/>
        </w:rPr>
        <w:t>组，按照法定程序组织开展道路交通生产安全</w:t>
      </w:r>
      <w:r>
        <w:rPr>
          <w:spacing w:val="7"/>
        </w:rPr>
        <w:t>事故调查，查明事故起因、确定相关责任，提</w:t>
      </w:r>
      <w:r>
        <w:rPr>
          <w:spacing w:val="7"/>
        </w:rPr>
        <w:t>出处理建议。根据工作需要参与一般道路交通</w:t>
      </w:r>
      <w:r>
        <w:rPr>
          <w:spacing w:val="9"/>
        </w:rPr>
        <w:t>事故（</w:t>
      </w:r>
      <w:r>
        <w:rPr>
          <w:rFonts w:ascii="Times New Roman" w:hAnsi="Times New Roman" w:eastAsia="Times New Roman" w:cs="Times New Roman"/>
        </w:rPr>
        <w:t>IV</w:t>
      </w:r>
      <w:r>
        <w:rPr>
          <w:rFonts w:ascii="Times New Roman" w:hAnsi="Times New Roman" w:eastAsia="Times New Roman" w:cs="Times New Roman"/>
          <w:spacing w:val="9"/>
        </w:rPr>
        <w:t xml:space="preserve"> </w:t>
      </w:r>
      <w:r>
        <w:rPr>
          <w:spacing w:val="9"/>
        </w:rPr>
        <w:t>级）的调查和处理。</w:t>
      </w:r>
    </w:p>
    <w:p>
      <w:pPr>
        <w:pStyle w:val="BodyText"/>
        <w:ind w:left="12" w:right="217" w:firstLine="422"/>
        <w:spacing w:before="5" w:line="349" w:lineRule="auto"/>
        <w:jc w:val="both"/>
        <w:rPr/>
      </w:pPr>
      <w:r>
        <w:rPr>
          <w:spacing w:val="9"/>
        </w:rPr>
        <w:t>市公安局：对一般道路交通事故（</w:t>
      </w:r>
      <w:r>
        <w:rPr>
          <w:rFonts w:ascii="Times New Roman" w:hAnsi="Times New Roman" w:eastAsia="Times New Roman" w:cs="Times New Roman"/>
        </w:rPr>
        <w:t>IV</w:t>
      </w:r>
      <w:r>
        <w:rPr>
          <w:rFonts w:ascii="Times New Roman" w:hAnsi="Times New Roman" w:eastAsia="Times New Roman" w:cs="Times New Roman"/>
          <w:spacing w:val="9"/>
        </w:rPr>
        <w:t xml:space="preserve"> </w:t>
      </w:r>
      <w:r>
        <w:rPr>
          <w:spacing w:val="9"/>
        </w:rPr>
        <w:t>级）</w:t>
      </w:r>
      <w:r>
        <w:rPr>
          <w:spacing w:val="18"/>
        </w:rPr>
        <w:t>依据道路交通事故处理程序规定成立道路交</w:t>
      </w:r>
      <w:r>
        <w:rPr>
          <w:spacing w:val="7"/>
        </w:rPr>
        <w:t>通事故深度调查小组，按照法定程序组织开展</w:t>
      </w:r>
      <w:r>
        <w:rPr>
          <w:spacing w:val="7"/>
        </w:rPr>
        <w:t>事故调查，查明事故起因、划定责任，提出处</w:t>
      </w:r>
      <w:r>
        <w:rPr>
          <w:spacing w:val="7"/>
        </w:rPr>
        <w:t>理意见和建议。</w:t>
      </w:r>
    </w:p>
    <w:p>
      <w:pPr>
        <w:pStyle w:val="BodyText"/>
        <w:ind w:left="15" w:right="252" w:firstLine="419"/>
        <w:spacing w:before="4" w:line="347" w:lineRule="auto"/>
        <w:jc w:val="both"/>
        <w:rPr/>
      </w:pPr>
      <w:r>
        <w:rPr>
          <w:spacing w:val="6"/>
        </w:rPr>
        <w:t>市监察委员会：负责监督有关部门履行职</w:t>
      </w:r>
      <w:r>
        <w:rPr>
          <w:spacing w:val="7"/>
        </w:rPr>
        <w:t>责情况，参与事故的调查处理，依法依纪查处</w:t>
      </w:r>
      <w:r>
        <w:rPr>
          <w:spacing w:val="1"/>
        </w:rPr>
        <w:t>玩忽职守、渎职等行为，并追究相关人员责</w:t>
      </w:r>
      <w:r>
        <w:rPr/>
        <w:t>任。</w:t>
      </w:r>
    </w:p>
    <w:p>
      <w:pPr>
        <w:pStyle w:val="BodyText"/>
        <w:ind w:left="424"/>
        <w:spacing w:before="12" w:line="277" w:lineRule="exact"/>
        <w:rPr/>
      </w:pPr>
      <w:r>
        <w:rPr>
          <w:spacing w:val="6"/>
          <w:position w:val="1"/>
        </w:rPr>
        <w:t>（</w:t>
      </w:r>
      <w:r>
        <w:rPr>
          <w:rFonts w:ascii="Times New Roman" w:hAnsi="Times New Roman" w:eastAsia="Times New Roman" w:cs="Times New Roman"/>
          <w:spacing w:val="6"/>
          <w:position w:val="1"/>
        </w:rPr>
        <w:t>7</w:t>
      </w:r>
      <w:r>
        <w:rPr>
          <w:rFonts w:ascii="Times New Roman" w:hAnsi="Times New Roman" w:eastAsia="Times New Roman" w:cs="Times New Roman"/>
          <w:spacing w:val="-21"/>
          <w:position w:val="1"/>
        </w:rPr>
        <w:t xml:space="preserve"> </w:t>
      </w:r>
      <w:r>
        <w:rPr>
          <w:spacing w:val="6"/>
          <w:position w:val="1"/>
        </w:rPr>
        <w:t>）宣传报道工作组。</w:t>
      </w:r>
    </w:p>
    <w:p>
      <w:pPr>
        <w:pStyle w:val="BodyText"/>
        <w:ind w:left="433"/>
        <w:spacing w:before="104" w:line="278" w:lineRule="exact"/>
        <w:rPr/>
      </w:pPr>
      <w:r>
        <w:rPr>
          <w:spacing w:val="6"/>
          <w:position w:val="1"/>
        </w:rPr>
        <w:t>组  长：由应急指挥部根据工作需要确定</w:t>
      </w:r>
    </w:p>
    <w:p>
      <w:pPr>
        <w:pStyle w:val="BodyText"/>
        <w:ind w:left="439"/>
        <w:spacing w:before="101" w:line="278" w:lineRule="exact"/>
        <w:rPr/>
      </w:pPr>
      <w:r>
        <w:rPr>
          <w:spacing w:val="9"/>
          <w:position w:val="1"/>
        </w:rPr>
        <w:t>副组长：市文化旅游广电局局长</w:t>
      </w:r>
    </w:p>
    <w:p>
      <w:pPr>
        <w:pStyle w:val="BodyText"/>
        <w:ind w:left="32" w:right="329" w:firstLine="400"/>
        <w:spacing w:before="102" w:line="351" w:lineRule="auto"/>
        <w:rPr/>
      </w:pPr>
      <w:r>
        <w:rPr>
          <w:spacing w:val="6"/>
        </w:rPr>
        <w:t>成员单位：市文化旅游广电局及其相关部</w:t>
      </w:r>
      <w:r>
        <w:rPr>
          <w:spacing w:val="5"/>
        </w:rPr>
        <w:t>门（单位）</w:t>
      </w:r>
    </w:p>
    <w:p>
      <w:pPr>
        <w:pStyle w:val="BodyText"/>
        <w:ind w:left="12" w:right="248" w:firstLine="428"/>
        <w:spacing w:before="2" w:line="310" w:lineRule="auto"/>
        <w:jc w:val="both"/>
        <w:rPr/>
      </w:pPr>
      <w:r>
        <w:rPr>
          <w:spacing w:val="6"/>
        </w:rPr>
        <w:t>主要职责：根据道路交通事故应急救援指</w:t>
      </w:r>
      <w:r>
        <w:rPr>
          <w:spacing w:val="15"/>
        </w:rPr>
        <w:t>挥部指示</w:t>
      </w:r>
      <w:r>
        <w:rPr>
          <w:spacing w:val="-40"/>
        </w:rPr>
        <w:t xml:space="preserve"> </w:t>
      </w:r>
      <w:r>
        <w:rPr>
          <w:spacing w:val="15"/>
        </w:rPr>
        <w:t>，负责重大道路交通事故新闻的发</w:t>
      </w:r>
      <w:r>
        <w:rPr>
          <w:spacing w:val="1"/>
        </w:rPr>
        <w:t>布；及时、准确地在相关媒体上发布现场情况、</w:t>
      </w:r>
      <w:r>
        <w:rPr>
          <w:spacing w:val="7"/>
        </w:rPr>
        <w:t>人员伤亡、应急疏散、应急救护和区域警戒的</w:t>
      </w:r>
    </w:p>
    <w:p>
      <w:pPr>
        <w:spacing w:line="14" w:lineRule="auto"/>
        <w:rPr>
          <w:rFonts w:ascii="Arial"/>
          <w:sz w:val="2"/>
        </w:rPr>
      </w:pPr>
      <w:r>
        <w:rPr>
          <w:rFonts w:ascii="Arial" w:hAnsi="Arial" w:eastAsia="Arial" w:cs="Arial"/>
          <w:sz w:val="2"/>
          <w:szCs w:val="2"/>
        </w:rPr>
        <w:br w:type="column"/>
      </w:r>
    </w:p>
    <w:p>
      <w:pPr>
        <w:pStyle w:val="BodyText"/>
        <w:ind w:left="19" w:right="80" w:hanging="16"/>
        <w:spacing w:before="46" w:line="332" w:lineRule="auto"/>
        <w:rPr/>
      </w:pPr>
      <w:r>
        <w:rPr>
          <w:spacing w:val="7"/>
        </w:rPr>
        <w:t>重要公告；负责新闻发布材料的起草，协调新</w:t>
      </w:r>
      <w:r>
        <w:rPr>
          <w:spacing w:val="5"/>
        </w:rPr>
        <w:t>闻记者的采访。</w:t>
      </w:r>
    </w:p>
    <w:p>
      <w:pPr>
        <w:pStyle w:val="BodyText"/>
        <w:ind w:left="413"/>
        <w:spacing w:before="41" w:line="277" w:lineRule="exact"/>
        <w:rPr/>
      </w:pPr>
      <w:r>
        <w:rPr>
          <w:spacing w:val="2"/>
          <w:position w:val="1"/>
        </w:rPr>
        <w:t>（</w:t>
      </w:r>
      <w:r>
        <w:rPr>
          <w:spacing w:val="-56"/>
          <w:position w:val="1"/>
        </w:rPr>
        <w:t xml:space="preserve"> </w:t>
      </w:r>
      <w:r>
        <w:rPr>
          <w:rFonts w:ascii="Times New Roman" w:hAnsi="Times New Roman" w:eastAsia="Times New Roman" w:cs="Times New Roman"/>
          <w:spacing w:val="2"/>
          <w:position w:val="1"/>
        </w:rPr>
        <w:t>8</w:t>
      </w:r>
      <w:r>
        <w:rPr>
          <w:rFonts w:ascii="Times New Roman" w:hAnsi="Times New Roman" w:eastAsia="Times New Roman" w:cs="Times New Roman"/>
          <w:spacing w:val="-21"/>
          <w:position w:val="1"/>
        </w:rPr>
        <w:t xml:space="preserve"> </w:t>
      </w:r>
      <w:r>
        <w:rPr>
          <w:spacing w:val="2"/>
          <w:position w:val="1"/>
        </w:rPr>
        <w:t>）后勤保障工作组。</w:t>
      </w:r>
    </w:p>
    <w:p>
      <w:pPr>
        <w:pStyle w:val="BodyText"/>
        <w:ind w:left="421"/>
        <w:spacing w:before="102" w:line="277" w:lineRule="exact"/>
        <w:rPr/>
      </w:pPr>
      <w:r>
        <w:rPr>
          <w:spacing w:val="8"/>
          <w:position w:val="1"/>
        </w:rPr>
        <w:t>组  长：市民政局分管副局长</w:t>
      </w:r>
    </w:p>
    <w:p>
      <w:pPr>
        <w:pStyle w:val="BodyText"/>
        <w:ind w:left="427"/>
        <w:spacing w:before="101" w:line="278" w:lineRule="exact"/>
        <w:rPr/>
      </w:pPr>
      <w:r>
        <w:rPr>
          <w:spacing w:val="9"/>
          <w:position w:val="1"/>
        </w:rPr>
        <w:t>副组长：市财政局分管副局长</w:t>
      </w:r>
    </w:p>
    <w:p>
      <w:pPr>
        <w:pStyle w:val="BodyText"/>
        <w:ind w:left="421"/>
        <w:spacing w:before="104" w:line="278" w:lineRule="exact"/>
        <w:rPr/>
      </w:pPr>
      <w:r>
        <w:rPr>
          <w:spacing w:val="-4"/>
          <w:position w:val="1"/>
        </w:rPr>
        <w:t>成员单位：市民政局、市财政局、电信公司</w:t>
      </w:r>
    </w:p>
    <w:p>
      <w:pPr>
        <w:pStyle w:val="BodyText"/>
        <w:ind w:left="1" w:right="80" w:firstLine="428"/>
        <w:spacing w:before="102" w:line="332" w:lineRule="auto"/>
        <w:rPr/>
      </w:pPr>
      <w:r>
        <w:rPr>
          <w:spacing w:val="6"/>
        </w:rPr>
        <w:t>主要职责：负责应急救援力量的交通、通</w:t>
      </w:r>
      <w:r>
        <w:rPr>
          <w:spacing w:val="8"/>
        </w:rPr>
        <w:t>信、工作和生活的后勤保障。</w:t>
      </w:r>
    </w:p>
    <w:p>
      <w:pPr>
        <w:pStyle w:val="BodyText"/>
        <w:ind w:firstLine="422"/>
        <w:spacing w:before="43" w:line="347" w:lineRule="auto"/>
        <w:jc w:val="both"/>
        <w:rPr/>
      </w:pPr>
      <w:r>
        <w:rPr>
          <w:spacing w:val="6"/>
        </w:rPr>
        <w:t>市民政局：负责制定伤亡人员的抚恤、救</w:t>
      </w:r>
      <w:r>
        <w:rPr>
          <w:spacing w:val="1"/>
        </w:rPr>
        <w:t>济发放方案，指导、督促落实伤亡人员的抚恤、</w:t>
      </w:r>
      <w:r>
        <w:rPr>
          <w:spacing w:val="7"/>
        </w:rPr>
        <w:t>救济经费发放；协调有关物资和能源的应急供</w:t>
      </w:r>
      <w:r>
        <w:rPr>
          <w:spacing w:val="4"/>
        </w:rPr>
        <w:t>应和保障；会同事故发生地县（</w:t>
      </w:r>
      <w:r>
        <w:rPr>
          <w:spacing w:val="-35"/>
        </w:rPr>
        <w:t xml:space="preserve"> </w:t>
      </w:r>
      <w:r>
        <w:rPr>
          <w:spacing w:val="4"/>
        </w:rPr>
        <w:t>区）政府做好</w:t>
      </w:r>
      <w:r>
        <w:rPr>
          <w:spacing w:val="8"/>
        </w:rPr>
        <w:t>受灾群众的救助等相关善后工作。</w:t>
      </w:r>
    </w:p>
    <w:p>
      <w:pPr>
        <w:pStyle w:val="BodyText"/>
        <w:ind w:right="80" w:firstLine="422"/>
        <w:spacing w:before="16" w:line="335" w:lineRule="auto"/>
        <w:rPr/>
      </w:pPr>
      <w:r>
        <w:rPr>
          <w:spacing w:val="6"/>
        </w:rPr>
        <w:t>市财政局：负责道路交通事故应急救援所</w:t>
      </w:r>
      <w:r>
        <w:rPr>
          <w:spacing w:val="8"/>
        </w:rPr>
        <w:t>需经费保障及相关演练经费保障。</w:t>
      </w:r>
    </w:p>
    <w:p>
      <w:pPr>
        <w:pStyle w:val="BodyText"/>
        <w:ind w:left="2" w:right="80" w:firstLine="418"/>
        <w:spacing w:before="36" w:line="348" w:lineRule="auto"/>
        <w:jc w:val="both"/>
        <w:rPr/>
      </w:pPr>
      <w:r>
        <w:rPr>
          <w:spacing w:val="8"/>
        </w:rPr>
        <w:t>其他市级有关部门（单位</w:t>
      </w:r>
      <w:r>
        <w:rPr>
          <w:spacing w:val="-2"/>
        </w:rPr>
        <w:t>），</w:t>
      </w:r>
      <w:r>
        <w:rPr>
          <w:spacing w:val="8"/>
        </w:rPr>
        <w:t>根据道路交</w:t>
      </w:r>
      <w:r>
        <w:rPr>
          <w:spacing w:val="7"/>
        </w:rPr>
        <w:t>通事故救援工作需要，在指挥部的组织、协调</w:t>
      </w:r>
      <w:r>
        <w:rPr>
          <w:spacing w:val="8"/>
        </w:rPr>
        <w:t>下，做好相关工作。</w:t>
      </w:r>
    </w:p>
    <w:p>
      <w:pPr>
        <w:pStyle w:val="BodyText"/>
        <w:ind w:right="80" w:firstLine="421"/>
        <w:spacing w:before="10" w:line="346" w:lineRule="auto"/>
        <w:jc w:val="both"/>
        <w:rPr/>
      </w:pPr>
      <w:r>
        <w:rPr>
          <w:spacing w:val="4"/>
        </w:rPr>
        <w:t>有关县（</w:t>
      </w:r>
      <w:r>
        <w:rPr>
          <w:spacing w:val="-48"/>
        </w:rPr>
        <w:t xml:space="preserve"> </w:t>
      </w:r>
      <w:r>
        <w:rPr>
          <w:spacing w:val="4"/>
        </w:rPr>
        <w:t>区）政府：协助指挥部实施事故</w:t>
      </w:r>
      <w:r>
        <w:rPr>
          <w:spacing w:val="7"/>
        </w:rPr>
        <w:t>控制，人员救助、人员疏散、秩序维护、救援</w:t>
      </w:r>
      <w:r>
        <w:rPr>
          <w:spacing w:val="9"/>
        </w:rPr>
        <w:t>保障、受灾群众安抚等各项工作。</w:t>
      </w:r>
    </w:p>
    <w:p>
      <w:pPr>
        <w:pStyle w:val="BodyText"/>
        <w:ind w:right="80" w:firstLine="421"/>
        <w:spacing w:before="11" w:line="352" w:lineRule="auto"/>
        <w:rPr/>
      </w:pPr>
      <w:r>
        <w:rPr>
          <w:rFonts w:ascii="Times New Roman" w:hAnsi="Times New Roman" w:eastAsia="Times New Roman" w:cs="Times New Roman"/>
          <w:spacing w:val="8"/>
        </w:rPr>
        <w:t>2.2  </w:t>
      </w:r>
      <w:r>
        <w:rPr>
          <w:rFonts w:ascii="KaiTi" w:hAnsi="KaiTi" w:eastAsia="KaiTi" w:cs="KaiTi"/>
          <w:spacing w:val="8"/>
        </w:rPr>
        <w:t>市道路交通事故应急指挥部办公室。</w:t>
      </w:r>
      <w:r>
        <w:rPr>
          <w:spacing w:val="18"/>
        </w:rPr>
        <w:t>市道路交通事故应急指挥部办公室是市道路</w:t>
      </w:r>
      <w:r>
        <w:rPr>
          <w:spacing w:val="7"/>
        </w:rPr>
        <w:t>交通事故应急指挥部的日常工作机构，设在市</w:t>
      </w:r>
      <w:r>
        <w:rPr>
          <w:spacing w:val="7"/>
        </w:rPr>
        <w:t>公安局，办公室主任由分管副局长担任，办公</w:t>
      </w:r>
      <w:r>
        <w:rPr>
          <w:spacing w:val="7"/>
        </w:rPr>
        <w:t>室副主任由交警支队支队长兼任。办公室常设</w:t>
      </w:r>
      <w:r>
        <w:rPr>
          <w:spacing w:val="6"/>
        </w:rPr>
        <w:t>值班电话为：</w:t>
      </w:r>
      <w:r>
        <w:rPr>
          <w:rFonts w:ascii="Times New Roman" w:hAnsi="Times New Roman" w:eastAsia="Times New Roman" w:cs="Times New Roman"/>
          <w:spacing w:val="6"/>
        </w:rPr>
        <w:t>0954-2084121</w:t>
      </w:r>
      <w:r>
        <w:rPr>
          <w:spacing w:val="6"/>
        </w:rPr>
        <w:t>。</w:t>
      </w:r>
    </w:p>
    <w:p>
      <w:pPr>
        <w:pStyle w:val="BodyText"/>
        <w:ind w:right="80" w:firstLine="422"/>
        <w:spacing w:before="4" w:line="330" w:lineRule="auto"/>
        <w:jc w:val="both"/>
        <w:rPr/>
      </w:pPr>
      <w:r>
        <w:rPr>
          <w:spacing w:val="19"/>
        </w:rPr>
        <w:t>市道路交通事故应急指挥部办公室主要</w:t>
      </w:r>
      <w:r>
        <w:rPr>
          <w:spacing w:val="7"/>
        </w:rPr>
        <w:t>职责：按照市道路交通事故应急指挥部的工作</w:t>
      </w:r>
      <w:r>
        <w:rPr>
          <w:spacing w:val="7"/>
        </w:rPr>
        <w:t>部署，分类管理道路交通事故。协调组织成员</w:t>
      </w:r>
      <w:r>
        <w:rPr>
          <w:spacing w:val="7"/>
        </w:rPr>
        <w:t>单位排查、治理和监控突发事件风险隐患；落</w:t>
      </w:r>
      <w:r>
        <w:rPr>
          <w:spacing w:val="7"/>
        </w:rPr>
        <w:t>实突发事件预防、预警措施；编制和执行相关</w:t>
      </w:r>
      <w:r>
        <w:rPr>
          <w:spacing w:val="7"/>
        </w:rPr>
        <w:t>应急预案；依据自治区应急体系总体规划落实</w:t>
      </w:r>
      <w:r>
        <w:rPr>
          <w:spacing w:val="7"/>
        </w:rPr>
        <w:t>应急体系建设任务和目标、预案演练活动、业</w:t>
      </w:r>
      <w:r>
        <w:rPr>
          <w:spacing w:val="7"/>
        </w:rPr>
        <w:t>务培训和科普宣教工作；指导、监督基层组织</w:t>
      </w:r>
    </w:p>
    <w:p>
      <w:pPr>
        <w:spacing w:line="330" w:lineRule="auto"/>
        <w:sectPr>
          <w:type w:val="continuous"/>
          <w:pgSz w:w="11906" w:h="16839"/>
          <w:pgMar w:top="1766" w:right="1509" w:bottom="1575" w:left="1579" w:header="1428" w:footer="1172" w:gutter="0"/>
          <w:cols w:equalWidth="0" w:num="2">
            <w:col w:w="4489" w:space="100"/>
            <w:col w:w="4228" w:space="0"/>
          </w:cols>
        </w:sectPr>
        <w:rPr/>
      </w:pPr>
    </w:p>
    <w:p>
      <w:pPr>
        <w:spacing w:before="46"/>
        <w:rPr/>
      </w:pPr>
      <w:r>
        <w:drawing>
          <wp:anchor distT="0" distB="0" distL="0" distR="0" simplePos="0" relativeHeight="252849152"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706" name="IM 1706"/>
            <wp:cNvGraphicFramePr/>
            <a:graphic>
              <a:graphicData uri="http://schemas.openxmlformats.org/drawingml/2006/picture">
                <pic:pic>
                  <pic:nvPicPr>
                    <pic:cNvPr id="1706" name="IM 1706"/>
                    <pic:cNvPicPr/>
                  </pic:nvPicPr>
                  <pic:blipFill>
                    <a:blip r:embed="rId855"/>
                    <a:stretch>
                      <a:fillRect/>
                    </a:stretch>
                  </pic:blipFill>
                  <pic:spPr>
                    <a:xfrm rot="0">
                      <a:off x="0" y="0"/>
                      <a:ext cx="5579745" cy="7620"/>
                    </a:xfrm>
                    <a:prstGeom prst="rect">
                      <a:avLst/>
                    </a:prstGeom>
                  </pic:spPr>
                </pic:pic>
              </a:graphicData>
            </a:graphic>
          </wp:anchor>
        </w:drawing>
      </w:r>
      <w:r/>
    </w:p>
    <w:p>
      <w:pPr>
        <w:sectPr>
          <w:headerReference w:type="default" r:id="rId816"/>
          <w:footerReference w:type="default" r:id="rId854"/>
          <w:pgSz w:w="11906" w:h="16839"/>
          <w:pgMar w:top="1772" w:right="1489" w:bottom="1562" w:left="1567" w:header="1428" w:footer="1172" w:gutter="0"/>
          <w:cols w:equalWidth="0" w:num="1">
            <w:col w:w="8850" w:space="0"/>
          </w:cols>
        </w:sectPr>
        <w:rPr/>
      </w:pPr>
    </w:p>
    <w:p>
      <w:pPr>
        <w:pStyle w:val="BodyText"/>
        <w:ind w:left="25" w:right="330" w:firstLine="7"/>
        <w:spacing w:before="54" w:line="348" w:lineRule="auto"/>
        <w:jc w:val="both"/>
        <w:rPr/>
      </w:pPr>
      <w:r>
        <w:rPr>
          <w:spacing w:val="6"/>
        </w:rPr>
        <w:t>和单位加强应急管理工作；总结评估应急管理</w:t>
      </w:r>
      <w:r>
        <w:rPr>
          <w:spacing w:val="4"/>
        </w:rPr>
        <w:t>工作和突发事件处置工作；指导各县（</w:t>
      </w:r>
      <w:r>
        <w:rPr>
          <w:spacing w:val="-36"/>
        </w:rPr>
        <w:t xml:space="preserve"> </w:t>
      </w:r>
      <w:r>
        <w:rPr>
          <w:spacing w:val="4"/>
        </w:rPr>
        <w:t>区）应</w:t>
      </w:r>
      <w:r>
        <w:rPr>
          <w:spacing w:val="18"/>
        </w:rPr>
        <w:t>急委对应的专项应急指挥机构做好相关突发</w:t>
      </w:r>
      <w:r>
        <w:rPr>
          <w:spacing w:val="7"/>
        </w:rPr>
        <w:t>事件应对工作；承担市道路交通事故应急指挥</w:t>
      </w:r>
      <w:r>
        <w:rPr>
          <w:spacing w:val="8"/>
        </w:rPr>
        <w:t>部交办的其他工作。</w:t>
      </w:r>
    </w:p>
    <w:p>
      <w:pPr>
        <w:pStyle w:val="BodyText"/>
        <w:ind w:left="24" w:right="310" w:firstLine="423"/>
        <w:spacing w:before="17" w:line="350" w:lineRule="auto"/>
        <w:jc w:val="both"/>
        <w:rPr/>
      </w:pPr>
      <w:r>
        <w:rPr>
          <w:spacing w:val="6"/>
        </w:rPr>
        <w:t>接到监测、预测和预警信息，或发生较大</w:t>
      </w:r>
      <w:r>
        <w:rPr>
          <w:spacing w:val="7"/>
        </w:rPr>
        <w:t>以上突发事件后，市道路交通事故应急指挥部</w:t>
      </w:r>
      <w:r>
        <w:rPr>
          <w:spacing w:val="18"/>
        </w:rPr>
        <w:t>办公室要立即组织各成员单位开展会商或分</w:t>
      </w:r>
      <w:r>
        <w:rPr>
          <w:spacing w:val="8"/>
        </w:rPr>
        <w:t>析研判灾害发展趋势、灾害影响程度和范围；</w:t>
      </w:r>
      <w:r>
        <w:rPr>
          <w:spacing w:val="7"/>
        </w:rPr>
        <w:t>及时向市委、市政府、市道路交通事故应急指</w:t>
      </w:r>
      <w:r>
        <w:rPr>
          <w:spacing w:val="7"/>
        </w:rPr>
        <w:t>挥部报告情况，提出启动或终止应急响应级别</w:t>
      </w:r>
      <w:r>
        <w:rPr>
          <w:spacing w:val="18"/>
        </w:rPr>
        <w:t>和处置措施等工作建议根据道路交通事故应</w:t>
      </w:r>
      <w:r>
        <w:rPr>
          <w:spacing w:val="7"/>
        </w:rPr>
        <w:t>急指挥部的决定，协调组织各成员单位到指定</w:t>
      </w:r>
      <w:r>
        <w:rPr>
          <w:spacing w:val="7"/>
        </w:rPr>
        <w:t>地点集结或赶赴突发事件现场；落实事件处置</w:t>
      </w:r>
      <w:r>
        <w:rPr>
          <w:spacing w:val="8"/>
        </w:rPr>
        <w:t>工作中综合协调、信息报送和值守应急工作。</w:t>
      </w:r>
    </w:p>
    <w:p>
      <w:pPr>
        <w:pStyle w:val="BodyText"/>
        <w:ind w:left="25" w:right="330" w:firstLine="421"/>
        <w:spacing w:before="1" w:line="319" w:lineRule="auto"/>
        <w:rPr/>
      </w:pPr>
      <w:r>
        <w:rPr>
          <w:rFonts w:ascii="Times New Roman" w:hAnsi="Times New Roman" w:eastAsia="Times New Roman" w:cs="Times New Roman"/>
          <w:spacing w:val="4"/>
        </w:rPr>
        <w:t>2.3  </w:t>
      </w:r>
      <w:r>
        <w:rPr>
          <w:rFonts w:ascii="KaiTi" w:hAnsi="KaiTi" w:eastAsia="KaiTi" w:cs="KaiTi"/>
          <w:spacing w:val="4"/>
        </w:rPr>
        <w:t>各县（</w:t>
      </w:r>
      <w:r>
        <w:rPr>
          <w:rFonts w:ascii="KaiTi" w:hAnsi="KaiTi" w:eastAsia="KaiTi" w:cs="KaiTi"/>
          <w:spacing w:val="-10"/>
        </w:rPr>
        <w:t xml:space="preserve"> </w:t>
      </w:r>
      <w:r>
        <w:rPr>
          <w:rFonts w:ascii="KaiTi" w:hAnsi="KaiTi" w:eastAsia="KaiTi" w:cs="KaiTi"/>
          <w:spacing w:val="4"/>
        </w:rPr>
        <w:t>区）道路交通事故应急指挥机</w:t>
      </w:r>
      <w:r>
        <w:rPr>
          <w:rFonts w:ascii="KaiTi" w:hAnsi="KaiTi" w:eastAsia="KaiTi" w:cs="KaiTi"/>
          <w:spacing w:val="4"/>
        </w:rPr>
        <w:t>构。</w:t>
      </w:r>
      <w:r>
        <w:rPr>
          <w:spacing w:val="4"/>
        </w:rPr>
        <w:t>各县（</w:t>
      </w:r>
      <w:r>
        <w:rPr>
          <w:spacing w:val="-35"/>
        </w:rPr>
        <w:t xml:space="preserve"> </w:t>
      </w:r>
      <w:r>
        <w:rPr>
          <w:spacing w:val="4"/>
        </w:rPr>
        <w:t>区）政府按照市道路交通事故分级</w:t>
      </w:r>
      <w:r>
        <w:rPr>
          <w:spacing w:val="7"/>
        </w:rPr>
        <w:t>标准，参考本预案，建立健全相应的应急指挥</w:t>
      </w:r>
      <w:r>
        <w:rPr>
          <w:spacing w:val="9"/>
        </w:rPr>
        <w:t>机构，组织做好先期处置和应对工作。</w:t>
      </w:r>
    </w:p>
    <w:p>
      <w:pPr>
        <w:pStyle w:val="BodyText"/>
        <w:ind w:left="25" w:right="330" w:firstLine="421"/>
        <w:spacing w:before="137" w:line="308" w:lineRule="auto"/>
        <w:rPr/>
      </w:pPr>
      <w:r>
        <w:rPr>
          <w:rFonts w:ascii="Times New Roman" w:hAnsi="Times New Roman" w:eastAsia="Times New Roman" w:cs="Times New Roman"/>
          <w:spacing w:val="8"/>
        </w:rPr>
        <w:t>2.4  </w:t>
      </w:r>
      <w:r>
        <w:rPr>
          <w:rFonts w:ascii="KaiTi" w:hAnsi="KaiTi" w:eastAsia="KaiTi" w:cs="KaiTi"/>
          <w:spacing w:val="8"/>
        </w:rPr>
        <w:t>专家组。</w:t>
      </w:r>
      <w:r>
        <w:rPr>
          <w:spacing w:val="8"/>
        </w:rPr>
        <w:t>市公安局成立道路交通事故</w:t>
      </w:r>
      <w:r>
        <w:rPr>
          <w:spacing w:val="7"/>
        </w:rPr>
        <w:t>应急专家组，完善相关咨询机制，为道路交通</w:t>
      </w:r>
      <w:r>
        <w:rPr>
          <w:spacing w:val="8"/>
        </w:rPr>
        <w:t>事故应急处置提供技术支持。</w:t>
      </w:r>
    </w:p>
    <w:p>
      <w:pPr>
        <w:ind w:left="449"/>
        <w:spacing w:before="132"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3</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5"/>
        </w:rPr>
        <w:t>预防与预警</w:t>
      </w:r>
    </w:p>
    <w:p>
      <w:pPr>
        <w:pStyle w:val="BodyText"/>
        <w:ind w:left="24" w:right="323" w:firstLine="426"/>
        <w:spacing w:before="77" w:line="325" w:lineRule="auto"/>
        <w:rPr/>
      </w:pPr>
      <w:r>
        <w:rPr>
          <w:rFonts w:ascii="Times New Roman" w:hAnsi="Times New Roman" w:eastAsia="Times New Roman" w:cs="Times New Roman"/>
          <w:spacing w:val="4"/>
        </w:rPr>
        <w:t>3.</w:t>
      </w:r>
      <w:r>
        <w:rPr>
          <w:rFonts w:ascii="Times New Roman" w:hAnsi="Times New Roman" w:eastAsia="Times New Roman" w:cs="Times New Roman"/>
          <w:spacing w:val="-10"/>
        </w:rPr>
        <w:t xml:space="preserve"> </w:t>
      </w:r>
      <w:r>
        <w:rPr>
          <w:rFonts w:ascii="Times New Roman" w:hAnsi="Times New Roman" w:eastAsia="Times New Roman" w:cs="Times New Roman"/>
          <w:spacing w:val="4"/>
        </w:rPr>
        <w:t>1  </w:t>
      </w:r>
      <w:r>
        <w:rPr>
          <w:rFonts w:ascii="KaiTi" w:hAnsi="KaiTi" w:eastAsia="KaiTi" w:cs="KaiTi"/>
          <w:spacing w:val="4"/>
        </w:rPr>
        <w:t>监测预报。</w:t>
      </w:r>
      <w:r>
        <w:rPr>
          <w:spacing w:val="4"/>
        </w:rPr>
        <w:t>市相关单位，各县（</w:t>
      </w:r>
      <w:r>
        <w:rPr>
          <w:spacing w:val="-50"/>
        </w:rPr>
        <w:t xml:space="preserve"> </w:t>
      </w:r>
      <w:r>
        <w:rPr>
          <w:spacing w:val="4"/>
        </w:rPr>
        <w:t>区）</w:t>
      </w:r>
      <w:r>
        <w:rPr>
          <w:spacing w:val="7"/>
        </w:rPr>
        <w:t>要加强对重大危险源的监测监控，及时对可能</w:t>
      </w:r>
      <w:r>
        <w:rPr>
          <w:spacing w:val="7"/>
        </w:rPr>
        <w:t>引发道路交通事故的风险隐患进行排查整改，</w:t>
      </w:r>
      <w:r>
        <w:rPr>
          <w:spacing w:val="7"/>
        </w:rPr>
        <w:t>不能消除隐患的，要及时报告区、市党委、政</w:t>
      </w:r>
      <w:r>
        <w:rPr>
          <w:spacing w:val="9"/>
        </w:rPr>
        <w:t>府和市道路交通事故应急指挥部。</w:t>
      </w:r>
    </w:p>
    <w:p>
      <w:pPr>
        <w:pStyle w:val="BodyText"/>
        <w:ind w:left="25" w:right="244" w:firstLine="424"/>
        <w:spacing w:before="141" w:line="332" w:lineRule="auto"/>
        <w:rPr/>
      </w:pPr>
      <w:r>
        <w:rPr>
          <w:rFonts w:ascii="Times New Roman" w:hAnsi="Times New Roman" w:eastAsia="Times New Roman" w:cs="Times New Roman"/>
          <w:spacing w:val="8"/>
        </w:rPr>
        <w:t>3.2  </w:t>
      </w:r>
      <w:r>
        <w:rPr>
          <w:rFonts w:ascii="KaiTi" w:hAnsi="KaiTi" w:eastAsia="KaiTi" w:cs="KaiTi"/>
          <w:spacing w:val="8"/>
        </w:rPr>
        <w:t>事故分级。</w:t>
      </w:r>
      <w:r>
        <w:rPr>
          <w:spacing w:val="8"/>
        </w:rPr>
        <w:t>根据道路交通事故的严重</w:t>
      </w:r>
      <w:r>
        <w:rPr>
          <w:spacing w:val="7"/>
        </w:rPr>
        <w:t>程度、涉及范围等因素划分为特别重大道路交</w:t>
      </w:r>
      <w:r>
        <w:rPr>
          <w:spacing w:val="6"/>
        </w:rPr>
        <w:t>通事故（</w:t>
      </w:r>
      <w:r>
        <w:rPr>
          <w:rFonts w:ascii="Times New Roman" w:hAnsi="Times New Roman" w:eastAsia="Times New Roman" w:cs="Times New Roman"/>
          <w:spacing w:val="6"/>
        </w:rPr>
        <w:t>I </w:t>
      </w:r>
      <w:r>
        <w:rPr>
          <w:spacing w:val="6"/>
        </w:rPr>
        <w:t>级）、重大道路交通事故（</w:t>
      </w:r>
      <w:r>
        <w:rPr>
          <w:rFonts w:ascii="Times New Roman" w:hAnsi="Times New Roman" w:eastAsia="Times New Roman" w:cs="Times New Roman"/>
        </w:rPr>
        <w:t>II</w:t>
      </w:r>
      <w:r>
        <w:rPr>
          <w:rFonts w:ascii="Times New Roman" w:hAnsi="Times New Roman" w:eastAsia="Times New Roman" w:cs="Times New Roman"/>
          <w:spacing w:val="6"/>
        </w:rPr>
        <w:t xml:space="preserve"> </w:t>
      </w:r>
      <w:r>
        <w:rPr>
          <w:spacing w:val="6"/>
        </w:rPr>
        <w:t>级</w:t>
      </w:r>
      <w:r>
        <w:rPr>
          <w:spacing w:val="5"/>
        </w:rPr>
        <w:t>）、</w:t>
      </w:r>
      <w:r>
        <w:rPr>
          <w:spacing w:val="4"/>
        </w:rPr>
        <w:t>较大道路交通事故（</w:t>
      </w:r>
      <w:r>
        <w:rPr>
          <w:rFonts w:ascii="Times New Roman" w:hAnsi="Times New Roman" w:eastAsia="Times New Roman" w:cs="Times New Roman"/>
        </w:rPr>
        <w:t>III</w:t>
      </w:r>
      <w:r>
        <w:rPr>
          <w:rFonts w:ascii="Times New Roman" w:hAnsi="Times New Roman" w:eastAsia="Times New Roman" w:cs="Times New Roman"/>
          <w:spacing w:val="4"/>
        </w:rPr>
        <w:t xml:space="preserve"> </w:t>
      </w:r>
      <w:r>
        <w:rPr>
          <w:spacing w:val="4"/>
        </w:rPr>
        <w:t>级）和一般道路交通事</w:t>
      </w:r>
      <w:r>
        <w:rPr>
          <w:spacing w:val="8"/>
        </w:rPr>
        <w:t>故（</w:t>
      </w:r>
      <w:r>
        <w:rPr>
          <w:rFonts w:ascii="Times New Roman" w:hAnsi="Times New Roman" w:eastAsia="Times New Roman" w:cs="Times New Roman"/>
        </w:rPr>
        <w:t>IV</w:t>
      </w:r>
      <w:r>
        <w:rPr>
          <w:rFonts w:ascii="Times New Roman" w:hAnsi="Times New Roman" w:eastAsia="Times New Roman" w:cs="Times New Roman"/>
          <w:spacing w:val="8"/>
        </w:rPr>
        <w:t xml:space="preserve"> </w:t>
      </w:r>
      <w:r>
        <w:rPr>
          <w:spacing w:val="8"/>
        </w:rPr>
        <w:t>级）四级。</w:t>
      </w:r>
    </w:p>
    <w:p>
      <w:pPr>
        <w:pStyle w:val="BodyText"/>
        <w:ind w:left="448"/>
        <w:spacing w:before="99" w:line="221" w:lineRule="auto"/>
        <w:rPr/>
      </w:pPr>
      <w:r>
        <w:rPr>
          <w:spacing w:val="10"/>
        </w:rPr>
        <w:t>特别重大道路交通事故（</w:t>
      </w:r>
      <w:r>
        <w:rPr>
          <w:rFonts w:ascii="Times New Roman" w:hAnsi="Times New Roman" w:eastAsia="Times New Roman" w:cs="Times New Roman"/>
          <w:spacing w:val="10"/>
        </w:rPr>
        <w:t>I </w:t>
      </w:r>
      <w:r>
        <w:rPr>
          <w:spacing w:val="10"/>
        </w:rPr>
        <w:t>级</w:t>
      </w:r>
      <w:r>
        <w:rPr>
          <w:spacing w:val="-9"/>
        </w:rPr>
        <w:t>）</w:t>
      </w:r>
      <w:r>
        <w:rPr>
          <w:spacing w:val="-47"/>
        </w:rPr>
        <w:t xml:space="preserve"> </w:t>
      </w:r>
      <w:r>
        <w:rPr>
          <w:spacing w:val="-9"/>
        </w:rPr>
        <w:t>，</w:t>
      </w:r>
      <w:r>
        <w:rPr>
          <w:spacing w:val="10"/>
        </w:rPr>
        <w:t>有下列</w:t>
      </w:r>
    </w:p>
    <w:p>
      <w:pPr>
        <w:spacing w:line="14" w:lineRule="auto"/>
        <w:rPr>
          <w:rFonts w:ascii="Arial"/>
          <w:sz w:val="2"/>
        </w:rPr>
      </w:pPr>
      <w:r>
        <w:rPr>
          <w:rFonts w:ascii="Arial" w:hAnsi="Arial" w:eastAsia="Arial" w:cs="Arial"/>
          <w:sz w:val="2"/>
          <w:szCs w:val="2"/>
        </w:rPr>
        <w:br w:type="column"/>
      </w:r>
    </w:p>
    <w:p>
      <w:pPr>
        <w:pStyle w:val="BodyText"/>
        <w:spacing w:before="46" w:line="278" w:lineRule="exact"/>
        <w:rPr/>
      </w:pPr>
      <w:r>
        <w:rPr>
          <w:spacing w:val="9"/>
          <w:position w:val="1"/>
        </w:rPr>
        <w:t>情况之一的，为特别重大道路交通事故：</w:t>
      </w:r>
    </w:p>
    <w:p>
      <w:pPr>
        <w:pStyle w:val="BodyText"/>
        <w:ind w:left="21" w:right="101" w:firstLine="391"/>
        <w:spacing w:before="104" w:line="289" w:lineRule="auto"/>
        <w:rPr/>
      </w:pPr>
      <w:r>
        <w:rPr>
          <w:spacing w:val="1"/>
        </w:rPr>
        <w:t>（</w:t>
      </w:r>
      <w:r>
        <w:rPr>
          <w:spacing w:val="-30"/>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1"/>
        </w:rPr>
        <w:t xml:space="preserve"> </w:t>
      </w:r>
      <w:r>
        <w:rPr>
          <w:spacing w:val="1"/>
        </w:rPr>
        <w:t>）已经或可能造成</w:t>
      </w:r>
      <w:r>
        <w:rPr>
          <w:spacing w:val="-36"/>
        </w:rPr>
        <w:t xml:space="preserve"> </w:t>
      </w:r>
      <w:r>
        <w:rPr>
          <w:rFonts w:ascii="Times New Roman" w:hAnsi="Times New Roman" w:eastAsia="Times New Roman" w:cs="Times New Roman"/>
          <w:spacing w:val="1"/>
        </w:rPr>
        <w:t>30 </w:t>
      </w:r>
      <w:r>
        <w:rPr>
          <w:spacing w:val="1"/>
        </w:rPr>
        <w:t>人以上死亡，或</w:t>
      </w:r>
      <w:r>
        <w:rPr>
          <w:rFonts w:ascii="Times New Roman" w:hAnsi="Times New Roman" w:eastAsia="Times New Roman" w:cs="Times New Roman"/>
          <w:spacing w:val="4"/>
        </w:rPr>
        <w:t>100 </w:t>
      </w:r>
      <w:r>
        <w:rPr>
          <w:spacing w:val="4"/>
        </w:rPr>
        <w:t>人以上重伤的；</w:t>
      </w:r>
    </w:p>
    <w:p>
      <w:pPr>
        <w:pStyle w:val="BodyText"/>
        <w:ind w:left="18" w:right="36" w:firstLine="393"/>
        <w:spacing w:before="132" w:line="290" w:lineRule="auto"/>
        <w:rPr/>
      </w:pPr>
      <w:r>
        <w:rPr>
          <w:spacing w:val="3"/>
        </w:rPr>
        <w:t>（</w:t>
      </w:r>
      <w:r>
        <w:rPr>
          <w:rFonts w:ascii="Times New Roman" w:hAnsi="Times New Roman" w:eastAsia="Times New Roman" w:cs="Times New Roman"/>
          <w:spacing w:val="3"/>
        </w:rPr>
        <w:t>2</w:t>
      </w:r>
      <w:r>
        <w:rPr>
          <w:rFonts w:ascii="Times New Roman" w:hAnsi="Times New Roman" w:eastAsia="Times New Roman" w:cs="Times New Roman"/>
          <w:spacing w:val="-10"/>
        </w:rPr>
        <w:t xml:space="preserve"> </w:t>
      </w:r>
      <w:r>
        <w:rPr>
          <w:spacing w:val="3"/>
        </w:rPr>
        <w:t>）运载危险品车辆发生道路交通事故，</w:t>
      </w:r>
      <w:r>
        <w:rPr>
          <w:spacing w:val="8"/>
        </w:rPr>
        <w:t>已经或可能造成特别重大危害和损失的；</w:t>
      </w:r>
    </w:p>
    <w:p>
      <w:pPr>
        <w:pStyle w:val="BodyText"/>
        <w:ind w:left="18" w:right="145" w:firstLine="393"/>
        <w:spacing w:before="132" w:line="289" w:lineRule="auto"/>
        <w:rPr/>
      </w:pPr>
      <w:r>
        <w:rPr>
          <w:spacing w:val="7"/>
        </w:rPr>
        <w:t>（</w:t>
      </w:r>
      <w:r>
        <w:rPr>
          <w:rFonts w:ascii="Times New Roman" w:hAnsi="Times New Roman" w:eastAsia="Times New Roman" w:cs="Times New Roman"/>
          <w:spacing w:val="7"/>
        </w:rPr>
        <w:t>3 </w:t>
      </w:r>
      <w:r>
        <w:rPr>
          <w:spacing w:val="7"/>
        </w:rPr>
        <w:t>）因道路交通事故引发不稳定事件，</w:t>
      </w:r>
      <w:r>
        <w:rPr>
          <w:spacing w:val="8"/>
        </w:rPr>
        <w:t>已经或可能造成特别重大危害和损失的；</w:t>
      </w:r>
    </w:p>
    <w:p>
      <w:pPr>
        <w:pStyle w:val="BodyText"/>
        <w:ind w:left="412"/>
        <w:spacing w:before="134" w:line="277" w:lineRule="exact"/>
        <w:rPr/>
      </w:pPr>
      <w:r>
        <w:rPr>
          <w:spacing w:val="7"/>
          <w:position w:val="1"/>
        </w:rPr>
        <w:t>（</w:t>
      </w:r>
      <w:r>
        <w:rPr>
          <w:rFonts w:ascii="Times New Roman" w:hAnsi="Times New Roman" w:eastAsia="Times New Roman" w:cs="Times New Roman"/>
          <w:spacing w:val="7"/>
          <w:position w:val="1"/>
        </w:rPr>
        <w:t>4</w:t>
      </w:r>
      <w:r>
        <w:rPr>
          <w:rFonts w:ascii="Times New Roman" w:hAnsi="Times New Roman" w:eastAsia="Times New Roman" w:cs="Times New Roman"/>
          <w:spacing w:val="-14"/>
          <w:position w:val="1"/>
        </w:rPr>
        <w:t xml:space="preserve"> </w:t>
      </w:r>
      <w:r>
        <w:rPr>
          <w:spacing w:val="7"/>
          <w:position w:val="1"/>
        </w:rPr>
        <w:t>）其他特别严重的道路交通事故。</w:t>
      </w:r>
    </w:p>
    <w:p>
      <w:pPr>
        <w:pStyle w:val="BodyText"/>
        <w:ind w:left="3" w:right="98" w:firstLine="419"/>
        <w:spacing w:before="101" w:line="349" w:lineRule="auto"/>
        <w:rPr/>
      </w:pPr>
      <w:r>
        <w:rPr>
          <w:spacing w:val="8"/>
        </w:rPr>
        <w:t>重大道路交通事故（</w:t>
      </w:r>
      <w:r>
        <w:rPr>
          <w:rFonts w:ascii="Times New Roman" w:hAnsi="Times New Roman" w:eastAsia="Times New Roman" w:cs="Times New Roman"/>
        </w:rPr>
        <w:t>II</w:t>
      </w:r>
      <w:r>
        <w:rPr>
          <w:rFonts w:ascii="Times New Roman" w:hAnsi="Times New Roman" w:eastAsia="Times New Roman" w:cs="Times New Roman"/>
          <w:spacing w:val="8"/>
        </w:rPr>
        <w:t xml:space="preserve"> </w:t>
      </w:r>
      <w:r>
        <w:rPr>
          <w:spacing w:val="8"/>
        </w:rPr>
        <w:t>级</w:t>
      </w:r>
      <w:r>
        <w:rPr>
          <w:spacing w:val="7"/>
        </w:rPr>
        <w:t>），</w:t>
      </w:r>
      <w:r>
        <w:rPr>
          <w:spacing w:val="8"/>
        </w:rPr>
        <w:t>有下列情况</w:t>
      </w:r>
      <w:r>
        <w:rPr>
          <w:spacing w:val="8"/>
        </w:rPr>
        <w:t>之一的，为重大道路交通事故：</w:t>
      </w:r>
    </w:p>
    <w:p>
      <w:pPr>
        <w:pStyle w:val="BodyText"/>
        <w:ind w:left="1" w:right="96" w:firstLine="410"/>
        <w:spacing w:before="5" w:line="289" w:lineRule="auto"/>
        <w:rPr/>
      </w:pPr>
      <w:r>
        <w:rPr>
          <w:spacing w:val="-1"/>
        </w:rPr>
        <w:t>（</w:t>
      </w:r>
      <w:r>
        <w:rPr>
          <w:spacing w:val="-47"/>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1"/>
        </w:rPr>
        <w:t xml:space="preserve"> </w:t>
      </w:r>
      <w:r>
        <w:rPr>
          <w:spacing w:val="-1"/>
        </w:rPr>
        <w:t>）已经或可能造成</w:t>
      </w:r>
      <w:r>
        <w:rPr>
          <w:spacing w:val="-20"/>
        </w:rPr>
        <w:t xml:space="preserve"> </w:t>
      </w:r>
      <w:r>
        <w:rPr>
          <w:rFonts w:ascii="Times New Roman" w:hAnsi="Times New Roman" w:eastAsia="Times New Roman" w:cs="Times New Roman"/>
          <w:spacing w:val="-1"/>
        </w:rPr>
        <w:t>10 </w:t>
      </w:r>
      <w:r>
        <w:rPr>
          <w:spacing w:val="-1"/>
        </w:rPr>
        <w:t>人以上、</w:t>
      </w:r>
      <w:r>
        <w:rPr>
          <w:rFonts w:ascii="Times New Roman" w:hAnsi="Times New Roman" w:eastAsia="Times New Roman" w:cs="Times New Roman"/>
          <w:spacing w:val="-1"/>
        </w:rPr>
        <w:t>30 </w:t>
      </w:r>
      <w:r>
        <w:rPr>
          <w:spacing w:val="-2"/>
        </w:rPr>
        <w:t>人以</w:t>
      </w:r>
      <w:r>
        <w:rPr>
          <w:spacing w:val="7"/>
        </w:rPr>
        <w:t>下死亡，或</w:t>
      </w:r>
      <w:r>
        <w:rPr>
          <w:spacing w:val="-37"/>
        </w:rPr>
        <w:t xml:space="preserve"> </w:t>
      </w:r>
      <w:r>
        <w:rPr>
          <w:rFonts w:ascii="Times New Roman" w:hAnsi="Times New Roman" w:eastAsia="Times New Roman" w:cs="Times New Roman"/>
          <w:spacing w:val="7"/>
        </w:rPr>
        <w:t>50 </w:t>
      </w:r>
      <w:r>
        <w:rPr>
          <w:spacing w:val="7"/>
        </w:rPr>
        <w:t>人以上、</w:t>
      </w:r>
      <w:r>
        <w:rPr>
          <w:rFonts w:ascii="Times New Roman" w:hAnsi="Times New Roman" w:eastAsia="Times New Roman" w:cs="Times New Roman"/>
          <w:spacing w:val="7"/>
        </w:rPr>
        <w:t>100 </w:t>
      </w:r>
      <w:r>
        <w:rPr>
          <w:spacing w:val="7"/>
        </w:rPr>
        <w:t>人以下重伤</w:t>
      </w:r>
      <w:r>
        <w:rPr>
          <w:spacing w:val="6"/>
        </w:rPr>
        <w:t>的；</w:t>
      </w:r>
    </w:p>
    <w:p>
      <w:pPr>
        <w:pStyle w:val="BodyText"/>
        <w:ind w:left="18" w:right="36" w:firstLine="393"/>
        <w:spacing w:before="131" w:line="291" w:lineRule="auto"/>
        <w:rPr/>
      </w:pPr>
      <w:r>
        <w:rPr>
          <w:spacing w:val="3"/>
        </w:rPr>
        <w:t>（</w:t>
      </w:r>
      <w:r>
        <w:rPr>
          <w:rFonts w:ascii="Times New Roman" w:hAnsi="Times New Roman" w:eastAsia="Times New Roman" w:cs="Times New Roman"/>
          <w:spacing w:val="3"/>
        </w:rPr>
        <w:t>2</w:t>
      </w:r>
      <w:r>
        <w:rPr>
          <w:rFonts w:ascii="Times New Roman" w:hAnsi="Times New Roman" w:eastAsia="Times New Roman" w:cs="Times New Roman"/>
          <w:spacing w:val="-10"/>
        </w:rPr>
        <w:t xml:space="preserve"> </w:t>
      </w:r>
      <w:r>
        <w:rPr>
          <w:spacing w:val="3"/>
        </w:rPr>
        <w:t>）运载危险品车辆发生道路交通事故，</w:t>
      </w:r>
      <w:r>
        <w:rPr>
          <w:spacing w:val="7"/>
        </w:rPr>
        <w:t>已经或可能造成重大危害和损失的；</w:t>
      </w:r>
    </w:p>
    <w:p>
      <w:pPr>
        <w:pStyle w:val="BodyText"/>
        <w:ind w:left="18" w:right="145" w:firstLine="393"/>
        <w:spacing w:before="131" w:line="290" w:lineRule="auto"/>
        <w:rPr/>
      </w:pPr>
      <w:r>
        <w:rPr>
          <w:spacing w:val="7"/>
        </w:rPr>
        <w:t>（</w:t>
      </w:r>
      <w:r>
        <w:rPr>
          <w:rFonts w:ascii="Times New Roman" w:hAnsi="Times New Roman" w:eastAsia="Times New Roman" w:cs="Times New Roman"/>
          <w:spacing w:val="7"/>
        </w:rPr>
        <w:t>3 </w:t>
      </w:r>
      <w:r>
        <w:rPr>
          <w:spacing w:val="7"/>
        </w:rPr>
        <w:t>）因道路交通事故引发不稳定事件，</w:t>
      </w:r>
      <w:r>
        <w:rPr>
          <w:spacing w:val="7"/>
        </w:rPr>
        <w:t>已经或可能造成重大危害和损失的；</w:t>
      </w:r>
    </w:p>
    <w:p>
      <w:pPr>
        <w:pStyle w:val="BodyText"/>
        <w:ind w:left="412"/>
        <w:spacing w:before="133" w:line="278" w:lineRule="exact"/>
        <w:rPr/>
      </w:pPr>
      <w:r>
        <w:rPr>
          <w:spacing w:val="7"/>
          <w:position w:val="1"/>
        </w:rPr>
        <w:t>（</w:t>
      </w:r>
      <w:r>
        <w:rPr>
          <w:rFonts w:ascii="Times New Roman" w:hAnsi="Times New Roman" w:eastAsia="Times New Roman" w:cs="Times New Roman"/>
          <w:spacing w:val="7"/>
          <w:position w:val="1"/>
        </w:rPr>
        <w:t>4</w:t>
      </w:r>
      <w:r>
        <w:rPr>
          <w:rFonts w:ascii="Times New Roman" w:hAnsi="Times New Roman" w:eastAsia="Times New Roman" w:cs="Times New Roman"/>
          <w:spacing w:val="-20"/>
          <w:position w:val="1"/>
        </w:rPr>
        <w:t xml:space="preserve"> </w:t>
      </w:r>
      <w:r>
        <w:rPr>
          <w:spacing w:val="7"/>
          <w:position w:val="1"/>
        </w:rPr>
        <w:t>）其他严重的道路交通事故。</w:t>
      </w:r>
    </w:p>
    <w:p>
      <w:pPr>
        <w:pStyle w:val="BodyText"/>
        <w:ind w:left="3" w:right="98" w:firstLine="418"/>
        <w:spacing w:before="101" w:line="349" w:lineRule="auto"/>
        <w:rPr/>
      </w:pPr>
      <w:r>
        <w:rPr>
          <w:spacing w:val="7"/>
        </w:rPr>
        <w:t>较大道路交通事故（</w:t>
      </w:r>
      <w:r>
        <w:rPr>
          <w:rFonts w:ascii="Times New Roman" w:hAnsi="Times New Roman" w:eastAsia="Times New Roman" w:cs="Times New Roman"/>
        </w:rPr>
        <w:t>III</w:t>
      </w:r>
      <w:r>
        <w:rPr>
          <w:rFonts w:ascii="Times New Roman" w:hAnsi="Times New Roman" w:eastAsia="Times New Roman" w:cs="Times New Roman"/>
          <w:spacing w:val="7"/>
        </w:rPr>
        <w:t xml:space="preserve"> </w:t>
      </w:r>
      <w:r>
        <w:rPr>
          <w:spacing w:val="7"/>
        </w:rPr>
        <w:t>级</w:t>
      </w:r>
      <w:r>
        <w:rPr>
          <w:spacing w:val="-18"/>
        </w:rPr>
        <w:t>），</w:t>
      </w:r>
      <w:r>
        <w:rPr>
          <w:spacing w:val="7"/>
        </w:rPr>
        <w:t>有下列情况</w:t>
      </w:r>
      <w:r>
        <w:rPr>
          <w:spacing w:val="8"/>
        </w:rPr>
        <w:t>之一的，为较大道路交通事故：</w:t>
      </w:r>
    </w:p>
    <w:p>
      <w:pPr>
        <w:pStyle w:val="BodyText"/>
        <w:ind w:left="1" w:right="98" w:firstLine="410"/>
        <w:spacing w:before="5" w:line="289" w:lineRule="auto"/>
        <w:rPr/>
      </w:pPr>
      <w:r>
        <w:rPr>
          <w:spacing w:val="3"/>
        </w:rPr>
        <w:t>（</w:t>
      </w:r>
      <w:r>
        <w:rPr>
          <w:spacing w:val="-42"/>
        </w:rPr>
        <w:t xml:space="preserve"> </w:t>
      </w:r>
      <w:r>
        <w:rPr>
          <w:rFonts w:ascii="Times New Roman" w:hAnsi="Times New Roman" w:eastAsia="Times New Roman" w:cs="Times New Roman"/>
          <w:spacing w:val="3"/>
        </w:rPr>
        <w:t>1 </w:t>
      </w:r>
      <w:r>
        <w:rPr>
          <w:spacing w:val="3"/>
        </w:rPr>
        <w:t>）已经或可能造成</w:t>
      </w:r>
      <w:r>
        <w:rPr>
          <w:spacing w:val="-39"/>
        </w:rPr>
        <w:t xml:space="preserve"> </w:t>
      </w:r>
      <w:r>
        <w:rPr>
          <w:rFonts w:ascii="Times New Roman" w:hAnsi="Times New Roman" w:eastAsia="Times New Roman" w:cs="Times New Roman"/>
          <w:spacing w:val="3"/>
        </w:rPr>
        <w:t>3 </w:t>
      </w:r>
      <w:r>
        <w:rPr>
          <w:spacing w:val="3"/>
        </w:rPr>
        <w:t>人以上、</w:t>
      </w:r>
      <w:r>
        <w:rPr>
          <w:rFonts w:ascii="Times New Roman" w:hAnsi="Times New Roman" w:eastAsia="Times New Roman" w:cs="Times New Roman"/>
          <w:spacing w:val="3"/>
        </w:rPr>
        <w:t>10 </w:t>
      </w:r>
      <w:r>
        <w:rPr>
          <w:spacing w:val="3"/>
        </w:rPr>
        <w:t>人以</w:t>
      </w:r>
      <w:r>
        <w:rPr>
          <w:spacing w:val="6"/>
        </w:rPr>
        <w:t>下死亡，或</w:t>
      </w:r>
      <w:r>
        <w:rPr>
          <w:spacing w:val="-13"/>
        </w:rPr>
        <w:t xml:space="preserve"> </w:t>
      </w:r>
      <w:r>
        <w:rPr>
          <w:rFonts w:ascii="Times New Roman" w:hAnsi="Times New Roman" w:eastAsia="Times New Roman" w:cs="Times New Roman"/>
          <w:spacing w:val="6"/>
        </w:rPr>
        <w:t>10 </w:t>
      </w:r>
      <w:r>
        <w:rPr>
          <w:spacing w:val="6"/>
        </w:rPr>
        <w:t>人以上、</w:t>
      </w:r>
      <w:r>
        <w:rPr>
          <w:rFonts w:ascii="Times New Roman" w:hAnsi="Times New Roman" w:eastAsia="Times New Roman" w:cs="Times New Roman"/>
          <w:spacing w:val="6"/>
        </w:rPr>
        <w:t>50 </w:t>
      </w:r>
      <w:r>
        <w:rPr>
          <w:spacing w:val="6"/>
        </w:rPr>
        <w:t>人以下重伤的；</w:t>
      </w:r>
    </w:p>
    <w:p>
      <w:pPr>
        <w:pStyle w:val="BodyText"/>
        <w:ind w:left="18" w:right="36" w:firstLine="393"/>
        <w:spacing w:before="131" w:line="291" w:lineRule="auto"/>
        <w:rPr/>
      </w:pPr>
      <w:r>
        <w:rPr>
          <w:spacing w:val="3"/>
        </w:rPr>
        <w:t>（</w:t>
      </w:r>
      <w:r>
        <w:rPr>
          <w:rFonts w:ascii="Times New Roman" w:hAnsi="Times New Roman" w:eastAsia="Times New Roman" w:cs="Times New Roman"/>
          <w:spacing w:val="3"/>
        </w:rPr>
        <w:t>2</w:t>
      </w:r>
      <w:r>
        <w:rPr>
          <w:rFonts w:ascii="Times New Roman" w:hAnsi="Times New Roman" w:eastAsia="Times New Roman" w:cs="Times New Roman"/>
          <w:spacing w:val="-10"/>
        </w:rPr>
        <w:t xml:space="preserve"> </w:t>
      </w:r>
      <w:r>
        <w:rPr>
          <w:spacing w:val="3"/>
        </w:rPr>
        <w:t>）运载危险品车辆发生道路交通事故，</w:t>
      </w:r>
      <w:r>
        <w:rPr>
          <w:spacing w:val="7"/>
        </w:rPr>
        <w:t>已经或可能造成较大危害和损失的；</w:t>
      </w:r>
    </w:p>
    <w:p>
      <w:pPr>
        <w:pStyle w:val="BodyText"/>
        <w:ind w:left="18" w:right="145" w:firstLine="393"/>
        <w:spacing w:before="130" w:line="290" w:lineRule="auto"/>
        <w:rPr/>
      </w:pPr>
      <w:r>
        <w:rPr>
          <w:spacing w:val="7"/>
        </w:rPr>
        <w:t>（</w:t>
      </w:r>
      <w:r>
        <w:rPr>
          <w:rFonts w:ascii="Times New Roman" w:hAnsi="Times New Roman" w:eastAsia="Times New Roman" w:cs="Times New Roman"/>
          <w:spacing w:val="7"/>
        </w:rPr>
        <w:t>3 </w:t>
      </w:r>
      <w:r>
        <w:rPr>
          <w:spacing w:val="7"/>
        </w:rPr>
        <w:t>）因道路交通事故引发不稳定事件，</w:t>
      </w:r>
      <w:r>
        <w:rPr>
          <w:spacing w:val="7"/>
        </w:rPr>
        <w:t>已经或可能造成较大危害和损失的；</w:t>
      </w:r>
    </w:p>
    <w:p>
      <w:pPr>
        <w:pStyle w:val="BodyText"/>
        <w:ind w:left="412"/>
        <w:spacing w:before="134" w:line="277" w:lineRule="exact"/>
        <w:rPr/>
      </w:pPr>
      <w:r>
        <w:rPr>
          <w:spacing w:val="7"/>
          <w:position w:val="1"/>
        </w:rPr>
        <w:t>（</w:t>
      </w:r>
      <w:r>
        <w:rPr>
          <w:rFonts w:ascii="Times New Roman" w:hAnsi="Times New Roman" w:eastAsia="Times New Roman" w:cs="Times New Roman"/>
          <w:spacing w:val="7"/>
          <w:position w:val="1"/>
        </w:rPr>
        <w:t>4</w:t>
      </w:r>
      <w:r>
        <w:rPr>
          <w:rFonts w:ascii="Times New Roman" w:hAnsi="Times New Roman" w:eastAsia="Times New Roman" w:cs="Times New Roman"/>
          <w:spacing w:val="-16"/>
          <w:position w:val="1"/>
        </w:rPr>
        <w:t xml:space="preserve"> </w:t>
      </w:r>
      <w:r>
        <w:rPr>
          <w:spacing w:val="7"/>
          <w:position w:val="1"/>
        </w:rPr>
        <w:t>）其他较严重的道路交通事故。</w:t>
      </w:r>
    </w:p>
    <w:p>
      <w:pPr>
        <w:pStyle w:val="BodyText"/>
        <w:ind w:left="1" w:right="101" w:firstLine="420"/>
        <w:spacing w:before="102" w:line="349" w:lineRule="auto"/>
        <w:rPr/>
      </w:pPr>
      <w:r>
        <w:rPr>
          <w:spacing w:val="14"/>
        </w:rPr>
        <w:t>一般道路交通事故（</w:t>
      </w:r>
      <w:r>
        <w:rPr>
          <w:rFonts w:ascii="Times New Roman" w:hAnsi="Times New Roman" w:eastAsia="Times New Roman" w:cs="Times New Roman"/>
        </w:rPr>
        <w:t>IV</w:t>
      </w:r>
      <w:r>
        <w:rPr>
          <w:rFonts w:ascii="Times New Roman" w:hAnsi="Times New Roman" w:eastAsia="Times New Roman" w:cs="Times New Roman"/>
          <w:spacing w:val="14"/>
        </w:rPr>
        <w:t xml:space="preserve"> </w:t>
      </w:r>
      <w:r>
        <w:rPr>
          <w:spacing w:val="14"/>
        </w:rPr>
        <w:t>级</w:t>
      </w:r>
      <w:r>
        <w:rPr>
          <w:spacing w:val="-4"/>
        </w:rPr>
        <w:t>）</w:t>
      </w:r>
      <w:r>
        <w:rPr>
          <w:spacing w:val="-40"/>
        </w:rPr>
        <w:t xml:space="preserve"> </w:t>
      </w:r>
      <w:r>
        <w:rPr>
          <w:spacing w:val="-4"/>
        </w:rPr>
        <w:t>，</w:t>
      </w:r>
      <w:r>
        <w:rPr>
          <w:spacing w:val="14"/>
        </w:rPr>
        <w:t>有下列情</w:t>
      </w:r>
      <w:r>
        <w:rPr>
          <w:spacing w:val="8"/>
        </w:rPr>
        <w:t>况之一的，为一般道路交通事故：</w:t>
      </w:r>
    </w:p>
    <w:p>
      <w:pPr>
        <w:pStyle w:val="BodyText"/>
        <w:ind w:right="97" w:firstLine="412"/>
        <w:spacing w:before="5" w:line="289" w:lineRule="auto"/>
        <w:rPr/>
      </w:pPr>
      <w:r>
        <w:rPr>
          <w:spacing w:val="-1"/>
        </w:rPr>
        <w:t>（</w:t>
      </w:r>
      <w:r>
        <w:rPr>
          <w:spacing w:val="-45"/>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1"/>
        </w:rPr>
        <w:t xml:space="preserve"> </w:t>
      </w:r>
      <w:r>
        <w:rPr>
          <w:spacing w:val="-1"/>
        </w:rPr>
        <w:t>）已经或可能造成</w:t>
      </w:r>
      <w:r>
        <w:rPr>
          <w:spacing w:val="-39"/>
        </w:rPr>
        <w:t xml:space="preserve"> </w:t>
      </w:r>
      <w:r>
        <w:rPr>
          <w:rFonts w:ascii="Times New Roman" w:hAnsi="Times New Roman" w:eastAsia="Times New Roman" w:cs="Times New Roman"/>
          <w:spacing w:val="-1"/>
        </w:rPr>
        <w:t>3 </w:t>
      </w:r>
      <w:r>
        <w:rPr>
          <w:spacing w:val="-1"/>
        </w:rPr>
        <w:t>人以下死亡，或</w:t>
      </w:r>
      <w:r>
        <w:rPr>
          <w:spacing w:val="-39"/>
        </w:rPr>
        <w:t xml:space="preserve"> </w:t>
      </w:r>
      <w:r>
        <w:rPr>
          <w:rFonts w:ascii="Times New Roman" w:hAnsi="Times New Roman" w:eastAsia="Times New Roman" w:cs="Times New Roman"/>
          <w:spacing w:val="-1"/>
        </w:rPr>
        <w:t>3</w:t>
      </w:r>
      <w:r>
        <w:rPr>
          <w:spacing w:val="7"/>
        </w:rPr>
        <w:t>人以上、</w:t>
      </w:r>
      <w:r>
        <w:rPr>
          <w:rFonts w:ascii="Times New Roman" w:hAnsi="Times New Roman" w:eastAsia="Times New Roman" w:cs="Times New Roman"/>
          <w:spacing w:val="7"/>
        </w:rPr>
        <w:t>10 </w:t>
      </w:r>
      <w:r>
        <w:rPr>
          <w:spacing w:val="7"/>
        </w:rPr>
        <w:t>人以下重伤的；</w:t>
      </w:r>
    </w:p>
    <w:p>
      <w:pPr>
        <w:pStyle w:val="BodyText"/>
        <w:ind w:left="18" w:right="36" w:firstLine="393"/>
        <w:spacing w:before="131" w:line="291" w:lineRule="auto"/>
        <w:rPr/>
      </w:pPr>
      <w:r>
        <w:rPr>
          <w:spacing w:val="3"/>
        </w:rPr>
        <w:t>（</w:t>
      </w:r>
      <w:r>
        <w:rPr>
          <w:rFonts w:ascii="Times New Roman" w:hAnsi="Times New Roman" w:eastAsia="Times New Roman" w:cs="Times New Roman"/>
          <w:spacing w:val="3"/>
        </w:rPr>
        <w:t>2</w:t>
      </w:r>
      <w:r>
        <w:rPr>
          <w:rFonts w:ascii="Times New Roman" w:hAnsi="Times New Roman" w:eastAsia="Times New Roman" w:cs="Times New Roman"/>
          <w:spacing w:val="-10"/>
        </w:rPr>
        <w:t xml:space="preserve"> </w:t>
      </w:r>
      <w:r>
        <w:rPr>
          <w:spacing w:val="3"/>
        </w:rPr>
        <w:t>）运载危险品车辆发生道路交通事故，</w:t>
      </w:r>
      <w:r>
        <w:rPr>
          <w:spacing w:val="7"/>
        </w:rPr>
        <w:t>已经或可能造成一定危害和损失的；</w:t>
      </w:r>
    </w:p>
    <w:p>
      <w:pPr>
        <w:pStyle w:val="BodyText"/>
        <w:ind w:left="18" w:right="145" w:firstLine="393"/>
        <w:spacing w:before="131" w:line="286" w:lineRule="auto"/>
        <w:rPr/>
      </w:pPr>
      <w:r>
        <w:rPr>
          <w:spacing w:val="7"/>
        </w:rPr>
        <w:t>（</w:t>
      </w:r>
      <w:r>
        <w:rPr>
          <w:rFonts w:ascii="Times New Roman" w:hAnsi="Times New Roman" w:eastAsia="Times New Roman" w:cs="Times New Roman"/>
          <w:spacing w:val="7"/>
        </w:rPr>
        <w:t>3 </w:t>
      </w:r>
      <w:r>
        <w:rPr>
          <w:spacing w:val="7"/>
        </w:rPr>
        <w:t>）因道路交通事故引发不稳定事件，</w:t>
      </w:r>
      <w:r>
        <w:rPr>
          <w:spacing w:val="7"/>
        </w:rPr>
        <w:t>已经或可能造成一定危害和损失的；</w:t>
      </w:r>
    </w:p>
    <w:p>
      <w:pPr>
        <w:spacing w:line="286" w:lineRule="auto"/>
        <w:sectPr>
          <w:type w:val="continuous"/>
          <w:pgSz w:w="11906" w:h="16839"/>
          <w:pgMar w:top="1772" w:right="1489" w:bottom="1562" w:left="1567" w:header="1428" w:footer="1172" w:gutter="0"/>
          <w:cols w:equalWidth="0" w:num="2">
            <w:col w:w="4502" w:space="100"/>
            <w:col w:w="4248" w:space="0"/>
          </w:cols>
        </w:sectPr>
        <w:rPr/>
      </w:pPr>
    </w:p>
    <w:p>
      <w:pPr>
        <w:spacing w:line="122" w:lineRule="exact"/>
        <w:rPr/>
      </w:pPr>
      <w:r>
        <w:drawing>
          <wp:anchor distT="0" distB="0" distL="0" distR="0" simplePos="0" relativeHeight="252860416"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712" name="IM 1712"/>
            <wp:cNvGraphicFramePr/>
            <a:graphic>
              <a:graphicData uri="http://schemas.openxmlformats.org/drawingml/2006/picture">
                <pic:pic>
                  <pic:nvPicPr>
                    <pic:cNvPr id="1712" name="IM 1712"/>
                    <pic:cNvPicPr/>
                  </pic:nvPicPr>
                  <pic:blipFill>
                    <a:blip r:embed="rId858"/>
                    <a:stretch>
                      <a:fillRect/>
                    </a:stretch>
                  </pic:blipFill>
                  <pic:spPr>
                    <a:xfrm rot="0">
                      <a:off x="0" y="0"/>
                      <a:ext cx="5579745" cy="7620"/>
                    </a:xfrm>
                    <a:prstGeom prst="rect">
                      <a:avLst/>
                    </a:prstGeom>
                  </pic:spPr>
                </pic:pic>
              </a:graphicData>
            </a:graphic>
          </wp:anchor>
        </w:drawing>
      </w:r>
      <w:r/>
    </w:p>
    <w:p>
      <w:pPr>
        <w:spacing w:line="122" w:lineRule="exact"/>
        <w:sectPr>
          <w:headerReference w:type="default" r:id="rId856"/>
          <w:footerReference w:type="default" r:id="rId857"/>
          <w:pgSz w:w="11906" w:h="16839"/>
          <w:pgMar w:top="1766" w:right="1530" w:bottom="1575" w:left="1576" w:header="1428" w:footer="1172" w:gutter="0"/>
          <w:cols w:equalWidth="0" w:num="1">
            <w:col w:w="8799" w:space="0"/>
          </w:cols>
        </w:sectPr>
        <w:rPr/>
      </w:pPr>
    </w:p>
    <w:p>
      <w:pPr>
        <w:pStyle w:val="BodyText"/>
        <w:ind w:left="428"/>
        <w:spacing w:before="47" w:line="278" w:lineRule="exact"/>
        <w:rPr/>
      </w:pPr>
      <w:r>
        <w:rPr>
          <w:spacing w:val="7"/>
          <w:position w:val="1"/>
        </w:rPr>
        <w:t>（</w:t>
      </w:r>
      <w:r>
        <w:rPr>
          <w:rFonts w:ascii="Times New Roman" w:hAnsi="Times New Roman" w:eastAsia="Times New Roman" w:cs="Times New Roman"/>
          <w:spacing w:val="7"/>
          <w:position w:val="1"/>
        </w:rPr>
        <w:t>4</w:t>
      </w:r>
      <w:r>
        <w:rPr>
          <w:rFonts w:ascii="Times New Roman" w:hAnsi="Times New Roman" w:eastAsia="Times New Roman" w:cs="Times New Roman"/>
          <w:spacing w:val="-21"/>
          <w:position w:val="1"/>
        </w:rPr>
        <w:t xml:space="preserve"> </w:t>
      </w:r>
      <w:r>
        <w:rPr>
          <w:spacing w:val="7"/>
          <w:position w:val="1"/>
        </w:rPr>
        <w:t>）其他一般道路交通事故。</w:t>
      </w:r>
    </w:p>
    <w:p>
      <w:pPr>
        <w:pStyle w:val="BodyText"/>
        <w:ind w:right="330" w:firstLine="441"/>
        <w:spacing w:before="102" w:line="341" w:lineRule="auto"/>
        <w:rPr/>
      </w:pPr>
      <w:r>
        <w:rPr>
          <w:rFonts w:ascii="Times New Roman" w:hAnsi="Times New Roman" w:eastAsia="Times New Roman" w:cs="Times New Roman"/>
          <w:spacing w:val="8"/>
        </w:rPr>
        <w:t>3.3  </w:t>
      </w:r>
      <w:r>
        <w:rPr>
          <w:rFonts w:ascii="KaiTi" w:hAnsi="KaiTi" w:eastAsia="KaiTi" w:cs="KaiTi"/>
          <w:spacing w:val="8"/>
        </w:rPr>
        <w:t>预警信息报告与发布。</w:t>
      </w:r>
      <w:r>
        <w:rPr>
          <w:spacing w:val="8"/>
        </w:rPr>
        <w:t>市道路交通事</w:t>
      </w:r>
      <w:r>
        <w:rPr>
          <w:spacing w:val="8"/>
        </w:rPr>
        <w:t>故应急指挥部办公室接到信息报告后，要组织</w:t>
      </w:r>
      <w:r>
        <w:rPr>
          <w:spacing w:val="8"/>
        </w:rPr>
        <w:t>会商或进行分析研判，对可能引发一般级别的</w:t>
      </w:r>
      <w:r>
        <w:rPr>
          <w:spacing w:val="8"/>
        </w:rPr>
        <w:t>道路交通事故突发事件的监测预警信息，向指</w:t>
      </w:r>
      <w:r>
        <w:rPr>
          <w:spacing w:val="5"/>
        </w:rPr>
        <w:t>挥部成员单位和有关县（</w:t>
      </w:r>
      <w:r>
        <w:rPr>
          <w:spacing w:val="-39"/>
        </w:rPr>
        <w:t xml:space="preserve"> </w:t>
      </w:r>
      <w:r>
        <w:rPr>
          <w:spacing w:val="5"/>
        </w:rPr>
        <w:t>区）通报，督促和指</w:t>
      </w:r>
      <w:r>
        <w:rPr>
          <w:spacing w:val="8"/>
        </w:rPr>
        <w:t>导按照相应预案做好处置工作；对可能引发特</w:t>
      </w:r>
      <w:r>
        <w:rPr>
          <w:spacing w:val="8"/>
        </w:rPr>
        <w:t>别重大、重大、较大级别的道路交通事故的监</w:t>
      </w:r>
      <w:r>
        <w:rPr>
          <w:spacing w:val="8"/>
        </w:rPr>
        <w:t>测预测预警信息，市相关单位或市道路交通事</w:t>
      </w:r>
      <w:r>
        <w:rPr>
          <w:spacing w:val="16"/>
        </w:rPr>
        <w:t>故应急指挥部要及时报告市应急委</w:t>
      </w:r>
      <w:r>
        <w:rPr>
          <w:spacing w:val="-43"/>
        </w:rPr>
        <w:t xml:space="preserve"> </w:t>
      </w:r>
      <w:r>
        <w:rPr>
          <w:spacing w:val="16"/>
        </w:rPr>
        <w:t>，并按照</w:t>
      </w:r>
      <w:r>
        <w:rPr>
          <w:spacing w:val="19"/>
        </w:rPr>
        <w:t>《宁夏回族自治区突发事件预警信息发布管</w:t>
      </w:r>
      <w:r>
        <w:rPr>
          <w:spacing w:val="8"/>
        </w:rPr>
        <w:t>理办法》，提出预警信息发布方案，并配合做</w:t>
      </w:r>
      <w:r>
        <w:rPr>
          <w:spacing w:val="8"/>
        </w:rPr>
        <w:t>好预警信息发布工作。同时，向市道路交通事</w:t>
      </w:r>
      <w:r>
        <w:rPr>
          <w:spacing w:val="10"/>
        </w:rPr>
        <w:t>故应急指挥部各成员单位通报有关情况。</w:t>
      </w:r>
    </w:p>
    <w:p>
      <w:pPr>
        <w:pStyle w:val="BodyText"/>
        <w:ind w:left="15" w:right="330" w:firstLine="426"/>
        <w:spacing w:before="135" w:line="337" w:lineRule="auto"/>
        <w:rPr/>
      </w:pPr>
      <w:r>
        <w:rPr>
          <w:rFonts w:ascii="Times New Roman" w:hAnsi="Times New Roman" w:eastAsia="Times New Roman" w:cs="Times New Roman"/>
          <w:spacing w:val="8"/>
        </w:rPr>
        <w:t>3.4  </w:t>
      </w:r>
      <w:r>
        <w:rPr>
          <w:rFonts w:ascii="KaiTi" w:hAnsi="KaiTi" w:eastAsia="KaiTi" w:cs="KaiTi"/>
          <w:spacing w:val="8"/>
        </w:rPr>
        <w:t>预警行动。</w:t>
      </w:r>
      <w:r>
        <w:rPr>
          <w:spacing w:val="8"/>
        </w:rPr>
        <w:t>市道路交通事故应急指挥</w:t>
      </w:r>
      <w:r>
        <w:rPr>
          <w:spacing w:val="7"/>
        </w:rPr>
        <w:t>部办公室接到可能导致特别重大、重大、较大</w:t>
      </w:r>
      <w:r>
        <w:rPr>
          <w:spacing w:val="7"/>
        </w:rPr>
        <w:t>道路交通事故突发事件的监测预测信息后，要</w:t>
      </w:r>
      <w:r>
        <w:rPr>
          <w:spacing w:val="7"/>
        </w:rPr>
        <w:t>密切关注事态进展。按照市应急管理指挥部或</w:t>
      </w:r>
      <w:r>
        <w:rPr>
          <w:spacing w:val="18"/>
        </w:rPr>
        <w:t>市道路交通事故应急指挥部的统一安排和部</w:t>
      </w:r>
      <w:r>
        <w:rPr>
          <w:spacing w:val="7"/>
        </w:rPr>
        <w:t>署，组织、协调市道路交通事故应急指挥部成</w:t>
      </w:r>
      <w:r>
        <w:rPr>
          <w:spacing w:val="7"/>
        </w:rPr>
        <w:t>员单位和有关地区，按照预案做好应急准备和</w:t>
      </w:r>
      <w:r>
        <w:rPr>
          <w:spacing w:val="7"/>
        </w:rPr>
        <w:t>预防工作，并及时向市应急管理指挥部和市道</w:t>
      </w:r>
      <w:r>
        <w:rPr>
          <w:spacing w:val="9"/>
        </w:rPr>
        <w:t>路交通事故应急指挥部动态报送有关信息。</w:t>
      </w:r>
    </w:p>
    <w:p>
      <w:pPr>
        <w:ind w:left="437"/>
        <w:spacing w:before="130"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4</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5"/>
        </w:rPr>
        <w:t>应急处置</w:t>
      </w:r>
    </w:p>
    <w:p>
      <w:pPr>
        <w:ind w:left="435"/>
        <w:spacing w:before="77" w:line="268" w:lineRule="exact"/>
        <w:rPr>
          <w:rFonts w:ascii="KaiTi" w:hAnsi="KaiTi" w:eastAsia="KaiTi" w:cs="KaiTi"/>
          <w:sz w:val="20"/>
          <w:szCs w:val="20"/>
        </w:rPr>
      </w:pPr>
      <w:r>
        <w:rPr>
          <w:rFonts w:ascii="Times New Roman" w:hAnsi="Times New Roman" w:eastAsia="Times New Roman" w:cs="Times New Roman"/>
          <w:sz w:val="20"/>
          <w:szCs w:val="20"/>
          <w:spacing w:val="2"/>
          <w:position w:val="1"/>
        </w:rPr>
        <w:t>4.</w:t>
      </w:r>
      <w:r>
        <w:rPr>
          <w:rFonts w:ascii="Times New Roman" w:hAnsi="Times New Roman" w:eastAsia="Times New Roman" w:cs="Times New Roman"/>
          <w:sz w:val="20"/>
          <w:szCs w:val="20"/>
          <w:spacing w:val="-20"/>
          <w:position w:val="1"/>
        </w:rPr>
        <w:t xml:space="preserve"> </w:t>
      </w:r>
      <w:r>
        <w:rPr>
          <w:rFonts w:ascii="Times New Roman" w:hAnsi="Times New Roman" w:eastAsia="Times New Roman" w:cs="Times New Roman"/>
          <w:sz w:val="20"/>
          <w:szCs w:val="20"/>
          <w:spacing w:val="2"/>
          <w:position w:val="1"/>
        </w:rPr>
        <w:t>1  </w:t>
      </w:r>
      <w:r>
        <w:rPr>
          <w:rFonts w:ascii="KaiTi" w:hAnsi="KaiTi" w:eastAsia="KaiTi" w:cs="KaiTi"/>
          <w:sz w:val="20"/>
          <w:szCs w:val="20"/>
          <w:spacing w:val="2"/>
          <w:position w:val="1"/>
        </w:rPr>
        <w:t>信息报告。</w:t>
      </w:r>
    </w:p>
    <w:p>
      <w:pPr>
        <w:pStyle w:val="BodyText"/>
        <w:ind w:left="16" w:right="217" w:firstLine="411"/>
        <w:spacing w:before="109" w:line="351" w:lineRule="auto"/>
        <w:jc w:val="both"/>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）对特别重大、重大、较大道路交通</w:t>
      </w:r>
      <w:r>
        <w:rPr>
          <w:spacing w:val="7"/>
        </w:rPr>
        <w:t>事故或者事故本身比较敏感、可能演化为特别</w:t>
      </w:r>
      <w:r>
        <w:rPr/>
        <w:t>重大、重大、较大的突发事件，事发地县（</w:t>
      </w:r>
      <w:r>
        <w:rPr>
          <w:spacing w:val="-43"/>
        </w:rPr>
        <w:t xml:space="preserve"> </w:t>
      </w:r>
      <w:r>
        <w:rPr/>
        <w:t>区）</w:t>
      </w:r>
      <w:r>
        <w:rPr>
          <w:spacing w:val="7"/>
        </w:rPr>
        <w:t>政府和各行业主管部门、责任单位及应急工作</w:t>
      </w:r>
      <w:r>
        <w:rPr>
          <w:spacing w:val="7"/>
        </w:rPr>
        <w:t>机构到事件报告后，要严格按照有关法律法规</w:t>
      </w:r>
      <w:r>
        <w:rPr>
          <w:spacing w:val="7"/>
        </w:rPr>
        <w:t>和相关规定，及时向自治区、市应急管理指挥</w:t>
      </w:r>
      <w:r>
        <w:rPr>
          <w:spacing w:val="7"/>
        </w:rPr>
        <w:t>部办公室、市道路交通事故应急指挥部办公室</w:t>
      </w:r>
      <w:r>
        <w:rPr>
          <w:spacing w:val="7"/>
        </w:rPr>
        <w:t>和自治区、市委办值班室、政府办值班室报告</w:t>
      </w:r>
      <w:r>
        <w:rPr>
          <w:spacing w:val="4"/>
        </w:rPr>
        <w:t>信息。</w:t>
      </w:r>
    </w:p>
    <w:p>
      <w:pPr>
        <w:pStyle w:val="BodyText"/>
        <w:ind w:left="436"/>
        <w:spacing w:line="221" w:lineRule="auto"/>
        <w:rPr/>
      </w:pPr>
      <w:r>
        <w:rPr>
          <w:spacing w:val="6"/>
        </w:rPr>
        <w:t>信息报告内容主要包括：事件发生单位概</w:t>
      </w:r>
    </w:p>
    <w:p>
      <w:pPr>
        <w:spacing w:line="14" w:lineRule="auto"/>
        <w:rPr>
          <w:rFonts w:ascii="Arial"/>
          <w:sz w:val="2"/>
        </w:rPr>
      </w:pPr>
      <w:r>
        <w:rPr>
          <w:rFonts w:ascii="Arial" w:hAnsi="Arial" w:eastAsia="Arial" w:cs="Arial"/>
          <w:sz w:val="2"/>
          <w:szCs w:val="2"/>
        </w:rPr>
        <w:br w:type="column"/>
      </w:r>
    </w:p>
    <w:p>
      <w:pPr>
        <w:pStyle w:val="BodyText"/>
        <w:ind w:right="59"/>
        <w:spacing w:before="53" w:line="349" w:lineRule="auto"/>
        <w:jc w:val="both"/>
        <w:rPr/>
      </w:pPr>
      <w:r>
        <w:rPr>
          <w:spacing w:val="7"/>
        </w:rPr>
        <w:t>况，事件发生的时间、地点、简要经过，可能</w:t>
      </w:r>
      <w:r>
        <w:rPr>
          <w:spacing w:val="7"/>
        </w:rPr>
        <w:t>造成的危害程度、影响范围、伤亡人数、直接</w:t>
      </w:r>
      <w:r>
        <w:rPr>
          <w:spacing w:val="7"/>
        </w:rPr>
        <w:t>经济损失，已采取的应急处置措施，目前事件</w:t>
      </w:r>
      <w:r>
        <w:rPr>
          <w:spacing w:val="9"/>
        </w:rPr>
        <w:t>处置进展情况，下一步拟采取的措施。</w:t>
      </w:r>
    </w:p>
    <w:p>
      <w:pPr>
        <w:pStyle w:val="BodyText"/>
        <w:ind w:right="36" w:firstLine="412"/>
        <w:spacing w:before="5" w:line="350" w:lineRule="auto"/>
        <w:jc w:val="both"/>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）按照固原市政府办公室《关于建立</w:t>
      </w:r>
      <w:r>
        <w:rPr>
          <w:spacing w:val="18"/>
        </w:rPr>
        <w:t>突发事件应急处置工作联络员报告制度的通</w:t>
      </w:r>
      <w:r>
        <w:rPr>
          <w:spacing w:val="2"/>
        </w:rPr>
        <w:t>知》（</w:t>
      </w:r>
      <w:r>
        <w:rPr>
          <w:spacing w:val="-47"/>
        </w:rPr>
        <w:t xml:space="preserve"> </w:t>
      </w:r>
      <w:r>
        <w:rPr>
          <w:spacing w:val="2"/>
        </w:rPr>
        <w:t>固政办发〔</w:t>
      </w:r>
      <w:r>
        <w:rPr>
          <w:rFonts w:ascii="Times New Roman" w:hAnsi="Times New Roman" w:eastAsia="Times New Roman" w:cs="Times New Roman"/>
          <w:spacing w:val="2"/>
        </w:rPr>
        <w:t>2016</w:t>
      </w:r>
      <w:r>
        <w:rPr>
          <w:spacing w:val="2"/>
        </w:rPr>
        <w:t>〕</w:t>
      </w:r>
      <w:r>
        <w:rPr>
          <w:rFonts w:ascii="Times New Roman" w:hAnsi="Times New Roman" w:eastAsia="Times New Roman" w:cs="Times New Roman"/>
          <w:spacing w:val="2"/>
        </w:rPr>
        <w:t>87 </w:t>
      </w:r>
      <w:r>
        <w:rPr>
          <w:spacing w:val="2"/>
        </w:rPr>
        <w:t>号）要求</w:t>
      </w:r>
      <w:r>
        <w:rPr>
          <w:spacing w:val="1"/>
        </w:rPr>
        <w:t>，事件发</w:t>
      </w:r>
      <w:r>
        <w:rPr>
          <w:spacing w:val="4"/>
        </w:rPr>
        <w:t>生后，各县（</w:t>
      </w:r>
      <w:r>
        <w:rPr>
          <w:spacing w:val="-35"/>
        </w:rPr>
        <w:t xml:space="preserve"> </w:t>
      </w:r>
      <w:r>
        <w:rPr>
          <w:spacing w:val="4"/>
        </w:rPr>
        <w:t>区）政府和市专项指挥部各成员</w:t>
      </w:r>
      <w:r>
        <w:rPr>
          <w:spacing w:val="7"/>
        </w:rPr>
        <w:t>单位在向市政府首报突发事件信息的同时，要</w:t>
      </w:r>
      <w:r>
        <w:rPr>
          <w:spacing w:val="8"/>
        </w:rPr>
        <w:t>按照上述规定的联络员范围报告联络员姓名、</w:t>
      </w:r>
      <w:r>
        <w:rPr>
          <w:spacing w:val="7"/>
        </w:rPr>
        <w:t>职务、联系方式、出发时间、到达现场时间或</w:t>
      </w:r>
      <w:r>
        <w:rPr>
          <w:spacing w:val="18"/>
        </w:rPr>
        <w:t>拟到达现场时间。如在应急过程中更换联络</w:t>
      </w:r>
      <w:r>
        <w:rPr>
          <w:spacing w:val="8"/>
        </w:rPr>
        <w:t>员，要及时报备。</w:t>
      </w:r>
    </w:p>
    <w:p>
      <w:pPr>
        <w:pStyle w:val="BodyText"/>
        <w:ind w:right="59" w:firstLine="419"/>
        <w:spacing w:before="7" w:line="349" w:lineRule="auto"/>
        <w:jc w:val="both"/>
        <w:rPr/>
      </w:pPr>
      <w:r>
        <w:rPr>
          <w:spacing w:val="4"/>
        </w:rPr>
        <w:t>应急处置联络员包括：事发县（</w:t>
      </w:r>
      <w:r>
        <w:rPr>
          <w:spacing w:val="-47"/>
        </w:rPr>
        <w:t xml:space="preserve"> </w:t>
      </w:r>
      <w:r>
        <w:rPr>
          <w:spacing w:val="4"/>
        </w:rPr>
        <w:t>区）政府</w:t>
      </w:r>
      <w:r>
        <w:rPr>
          <w:spacing w:val="7"/>
        </w:rPr>
        <w:t>赶赴现场指挥先期处置工作的主要领导、分管</w:t>
      </w:r>
      <w:r>
        <w:rPr>
          <w:spacing w:val="4"/>
        </w:rPr>
        <w:t>领导和随同前往的县（</w:t>
      </w:r>
      <w:r>
        <w:rPr>
          <w:spacing w:val="-36"/>
        </w:rPr>
        <w:t xml:space="preserve"> </w:t>
      </w:r>
      <w:r>
        <w:rPr>
          <w:spacing w:val="4"/>
        </w:rPr>
        <w:t>区）政府办公室负责人</w:t>
      </w:r>
      <w:r>
        <w:rPr>
          <w:spacing w:val="7"/>
        </w:rPr>
        <w:t>或应急管理指挥部办公室主任；市专项指挥部</w:t>
      </w:r>
      <w:r>
        <w:rPr>
          <w:spacing w:val="18"/>
        </w:rPr>
        <w:t>各成员或成员单位负责人及指挥部办公室主</w:t>
      </w:r>
      <w:r>
        <w:rPr>
          <w:spacing w:val="7"/>
        </w:rPr>
        <w:t>任，赶赴现场的市有关部门、单位领导和应急</w:t>
      </w:r>
      <w:r>
        <w:rPr>
          <w:spacing w:val="8"/>
        </w:rPr>
        <w:t>工作机构负责人。</w:t>
      </w:r>
    </w:p>
    <w:p>
      <w:pPr>
        <w:pStyle w:val="BodyText"/>
        <w:ind w:left="1" w:right="52" w:firstLine="418"/>
        <w:spacing w:before="12" w:line="329" w:lineRule="auto"/>
        <w:rPr/>
      </w:pPr>
      <w:r>
        <w:rPr>
          <w:rFonts w:ascii="Times New Roman" w:hAnsi="Times New Roman" w:eastAsia="Times New Roman" w:cs="Times New Roman"/>
          <w:spacing w:val="8"/>
        </w:rPr>
        <w:t>4.2  </w:t>
      </w:r>
      <w:r>
        <w:rPr>
          <w:rFonts w:ascii="KaiTi" w:hAnsi="KaiTi" w:eastAsia="KaiTi" w:cs="KaiTi"/>
          <w:spacing w:val="8"/>
        </w:rPr>
        <w:t>先期处置。</w:t>
      </w:r>
      <w:r>
        <w:rPr>
          <w:spacing w:val="8"/>
        </w:rPr>
        <w:t>对特别重大、重大、较大</w:t>
      </w:r>
      <w:r>
        <w:rPr>
          <w:spacing w:val="7"/>
        </w:rPr>
        <w:t>道路交通事故或者事故本身比较敏感，可能演</w:t>
      </w:r>
      <w:r>
        <w:rPr>
          <w:spacing w:val="7"/>
        </w:rPr>
        <w:t>化为特别重大、重大、较大的道路交通事故，</w:t>
      </w:r>
      <w:r>
        <w:rPr>
          <w:spacing w:val="4"/>
        </w:rPr>
        <w:t>事发县（</w:t>
      </w:r>
      <w:r>
        <w:rPr>
          <w:spacing w:val="-37"/>
        </w:rPr>
        <w:t xml:space="preserve"> </w:t>
      </w:r>
      <w:r>
        <w:rPr>
          <w:spacing w:val="4"/>
        </w:rPr>
        <w:t>区）政府和相关单位要第一时间赶到</w:t>
      </w:r>
      <w:r>
        <w:rPr>
          <w:spacing w:val="7"/>
        </w:rPr>
        <w:t>现场，按照相关应急预案，组织开展先期处置</w:t>
      </w:r>
      <w:r>
        <w:rPr>
          <w:spacing w:val="4"/>
        </w:rPr>
        <w:t>工作。</w:t>
      </w:r>
    </w:p>
    <w:p>
      <w:pPr>
        <w:pStyle w:val="BodyText"/>
        <w:ind w:right="59" w:firstLine="420"/>
        <w:spacing w:before="138" w:line="319" w:lineRule="auto"/>
        <w:rPr/>
      </w:pPr>
      <w:r>
        <w:rPr>
          <w:rFonts w:ascii="Times New Roman" w:hAnsi="Times New Roman" w:eastAsia="Times New Roman" w:cs="Times New Roman"/>
          <w:spacing w:val="8"/>
        </w:rPr>
        <w:t>4.3  </w:t>
      </w:r>
      <w:r>
        <w:rPr>
          <w:rFonts w:ascii="KaiTi" w:hAnsi="KaiTi" w:eastAsia="KaiTi" w:cs="KaiTi"/>
          <w:spacing w:val="8"/>
        </w:rPr>
        <w:t>分级响应机制。</w:t>
      </w:r>
      <w:r>
        <w:rPr>
          <w:spacing w:val="8"/>
        </w:rPr>
        <w:t>道路交通事故应急响</w:t>
      </w:r>
      <w:r>
        <w:rPr>
          <w:spacing w:val="7"/>
        </w:rPr>
        <w:t>应实行属地为主的原则。事发地政府按照有关</w:t>
      </w:r>
      <w:r>
        <w:rPr>
          <w:spacing w:val="18"/>
        </w:rPr>
        <w:t>规定全面负责本行政区域内道路交通事故的</w:t>
      </w:r>
      <w:r>
        <w:rPr>
          <w:spacing w:val="8"/>
        </w:rPr>
        <w:t>应急救援和处置行动。</w:t>
      </w:r>
    </w:p>
    <w:p>
      <w:pPr>
        <w:pStyle w:val="BodyText"/>
        <w:ind w:left="1" w:right="59" w:firstLine="410"/>
        <w:spacing w:before="136" w:line="325" w:lineRule="auto"/>
        <w:jc w:val="both"/>
        <w:rPr/>
      </w:pPr>
      <w:r>
        <w:rPr>
          <w:spacing w:val="5"/>
        </w:rPr>
        <w:t>（</w:t>
      </w:r>
      <w:r>
        <w:rPr>
          <w:spacing w:val="-48"/>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20"/>
        </w:rPr>
        <w:t xml:space="preserve"> </w:t>
      </w:r>
      <w:r>
        <w:rPr>
          <w:spacing w:val="5"/>
        </w:rPr>
        <w:t>）应对一般道路交通事故（</w:t>
      </w:r>
      <w:r>
        <w:rPr>
          <w:rFonts w:ascii="Times New Roman" w:hAnsi="Times New Roman" w:eastAsia="Times New Roman" w:cs="Times New Roman"/>
        </w:rPr>
        <w:t>IV</w:t>
      </w:r>
      <w:r>
        <w:rPr>
          <w:rFonts w:ascii="Times New Roman" w:hAnsi="Times New Roman" w:eastAsia="Times New Roman" w:cs="Times New Roman"/>
          <w:spacing w:val="5"/>
        </w:rPr>
        <w:t xml:space="preserve"> </w:t>
      </w:r>
      <w:r>
        <w:rPr>
          <w:spacing w:val="5"/>
        </w:rPr>
        <w:t>级），</w:t>
      </w:r>
      <w:r>
        <w:rPr>
          <w:spacing w:val="2"/>
        </w:rPr>
        <w:t>由属地县（</w:t>
      </w:r>
      <w:r>
        <w:rPr>
          <w:spacing w:val="-44"/>
        </w:rPr>
        <w:t xml:space="preserve"> </w:t>
      </w:r>
      <w:r>
        <w:rPr>
          <w:spacing w:val="2"/>
        </w:rPr>
        <w:t>区）指挥部负责人启动县（</w:t>
      </w:r>
      <w:r>
        <w:rPr>
          <w:spacing w:val="-53"/>
        </w:rPr>
        <w:t xml:space="preserve"> </w:t>
      </w:r>
      <w:r>
        <w:rPr>
          <w:spacing w:val="2"/>
        </w:rPr>
        <w:t>区）级</w:t>
      </w:r>
      <w:r>
        <w:rPr>
          <w:spacing w:val="7"/>
        </w:rPr>
        <w:t>道路交通事故应急预案，本预案视情启动，市</w:t>
      </w:r>
      <w:r>
        <w:rPr>
          <w:spacing w:val="7"/>
        </w:rPr>
        <w:t>指挥部视情派出工作组，赴事发地督导应急处</w:t>
      </w:r>
      <w:r>
        <w:rPr>
          <w:spacing w:val="6"/>
        </w:rPr>
        <w:t>置工作。</w:t>
      </w:r>
    </w:p>
    <w:p>
      <w:pPr>
        <w:spacing w:line="325" w:lineRule="auto"/>
        <w:sectPr>
          <w:type w:val="continuous"/>
          <w:pgSz w:w="11906" w:h="16839"/>
          <w:pgMar w:top="1766" w:right="1530" w:bottom="1575" w:left="1576" w:header="1428" w:footer="1172" w:gutter="0"/>
          <w:cols w:equalWidth="0" w:num="2">
            <w:col w:w="4493" w:space="100"/>
            <w:col w:w="4207" w:space="0"/>
          </w:cols>
        </w:sectPr>
        <w:rPr/>
      </w:pPr>
    </w:p>
    <w:p>
      <w:pPr>
        <w:spacing w:before="53"/>
        <w:rPr/>
      </w:pPr>
      <w:r>
        <w:drawing>
          <wp:anchor distT="0" distB="0" distL="0" distR="0" simplePos="0" relativeHeight="252871680"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716" name="IM 1716"/>
            <wp:cNvGraphicFramePr/>
            <a:graphic>
              <a:graphicData uri="http://schemas.openxmlformats.org/drawingml/2006/picture">
                <pic:pic>
                  <pic:nvPicPr>
                    <pic:cNvPr id="1716" name="IM 1716"/>
                    <pic:cNvPicPr/>
                  </pic:nvPicPr>
                  <pic:blipFill>
                    <a:blip r:embed="rId860"/>
                    <a:stretch>
                      <a:fillRect/>
                    </a:stretch>
                  </pic:blipFill>
                  <pic:spPr>
                    <a:xfrm rot="0">
                      <a:off x="0" y="0"/>
                      <a:ext cx="5579745" cy="7620"/>
                    </a:xfrm>
                    <a:prstGeom prst="rect">
                      <a:avLst/>
                    </a:prstGeom>
                  </pic:spPr>
                </pic:pic>
              </a:graphicData>
            </a:graphic>
          </wp:anchor>
        </w:drawing>
      </w:r>
      <w:r/>
    </w:p>
    <w:p>
      <w:pPr>
        <w:sectPr>
          <w:headerReference w:type="default" r:id="rId816"/>
          <w:footerReference w:type="default" r:id="rId859"/>
          <w:pgSz w:w="11906" w:h="16839"/>
          <w:pgMar w:top="1772" w:right="1489" w:bottom="1562" w:left="1567" w:header="1428" w:footer="1172" w:gutter="0"/>
          <w:cols w:equalWidth="0" w:num="1">
            <w:col w:w="8850" w:space="0"/>
          </w:cols>
        </w:sectPr>
        <w:rPr/>
      </w:pPr>
    </w:p>
    <w:p>
      <w:pPr>
        <w:pStyle w:val="BodyText"/>
        <w:ind w:left="25" w:right="309" w:firstLine="412"/>
        <w:spacing w:before="39" w:line="320"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21"/>
        </w:rPr>
        <w:t xml:space="preserve"> </w:t>
      </w:r>
      <w:r>
        <w:rPr>
          <w:spacing w:val="8"/>
        </w:rPr>
        <w:t>）应对较大道路交通事故（</w:t>
      </w:r>
      <w:r>
        <w:rPr>
          <w:rFonts w:ascii="Times New Roman" w:hAnsi="Times New Roman" w:eastAsia="Times New Roman" w:cs="Times New Roman"/>
        </w:rPr>
        <w:t>III</w:t>
      </w:r>
      <w:r>
        <w:rPr>
          <w:rFonts w:ascii="Times New Roman" w:hAnsi="Times New Roman" w:eastAsia="Times New Roman" w:cs="Times New Roman"/>
          <w:spacing w:val="8"/>
        </w:rPr>
        <w:t xml:space="preserve"> </w:t>
      </w:r>
      <w:r>
        <w:rPr>
          <w:spacing w:val="8"/>
        </w:rPr>
        <w:t>级</w:t>
      </w:r>
      <w:r>
        <w:rPr>
          <w:spacing w:val="-1"/>
        </w:rPr>
        <w:t>）</w:t>
      </w:r>
      <w:r>
        <w:rPr>
          <w:spacing w:val="-52"/>
        </w:rPr>
        <w:t xml:space="preserve"> </w:t>
      </w:r>
      <w:r>
        <w:rPr>
          <w:spacing w:val="-1"/>
        </w:rPr>
        <w:t>，</w:t>
      </w:r>
      <w:r>
        <w:rPr>
          <w:spacing w:val="7"/>
        </w:rPr>
        <w:t>市指挥部负责人启动本预案，自治区重大道路</w:t>
      </w:r>
      <w:r>
        <w:rPr>
          <w:spacing w:val="7"/>
        </w:rPr>
        <w:t>交通事故应急预案视情启动，自治区指挥部视</w:t>
      </w:r>
      <w:r>
        <w:rPr>
          <w:spacing w:val="8"/>
        </w:rPr>
        <w:t>情派出工作组，赴事发地督导应急处置工作。</w:t>
      </w:r>
    </w:p>
    <w:p>
      <w:pPr>
        <w:pStyle w:val="BodyText"/>
        <w:ind w:left="24" w:right="217" w:firstLine="413"/>
        <w:spacing w:before="135" w:line="319" w:lineRule="auto"/>
        <w:rPr/>
      </w:pPr>
      <w:r>
        <w:rPr/>
        <w:t>（</w:t>
      </w:r>
      <w:r>
        <w:rPr>
          <w:rFonts w:ascii="Times New Roman" w:hAnsi="Times New Roman" w:eastAsia="Times New Roman" w:cs="Times New Roman"/>
        </w:rPr>
        <w:t>3</w:t>
      </w:r>
      <w:r>
        <w:rPr>
          <w:rFonts w:ascii="Times New Roman" w:hAnsi="Times New Roman" w:eastAsia="Times New Roman" w:cs="Times New Roman"/>
          <w:spacing w:val="-5"/>
        </w:rPr>
        <w:t xml:space="preserve"> </w:t>
      </w:r>
      <w:r>
        <w:rPr/>
        <w:t>）应对特别重大（</w:t>
      </w:r>
      <w:r>
        <w:rPr>
          <w:rFonts w:ascii="Times New Roman" w:hAnsi="Times New Roman" w:eastAsia="Times New Roman" w:cs="Times New Roman"/>
        </w:rPr>
        <w:t>I </w:t>
      </w:r>
      <w:r>
        <w:rPr/>
        <w:t>级）、重大（</w:t>
      </w:r>
      <w:r>
        <w:rPr>
          <w:rFonts w:ascii="Times New Roman" w:hAnsi="Times New Roman" w:eastAsia="Times New Roman" w:cs="Times New Roman"/>
        </w:rPr>
        <w:t>II </w:t>
      </w:r>
      <w:r>
        <w:rPr/>
        <w:t>级）</w:t>
      </w:r>
      <w:r>
        <w:rPr>
          <w:spacing w:val="7"/>
        </w:rPr>
        <w:t>道路交通事故，启动自治区重大道路交通事故</w:t>
      </w:r>
      <w:r>
        <w:rPr>
          <w:spacing w:val="4"/>
        </w:rPr>
        <w:t>应急预案；市、县（</w:t>
      </w:r>
      <w:r>
        <w:rPr>
          <w:spacing w:val="-34"/>
        </w:rPr>
        <w:t xml:space="preserve"> </w:t>
      </w:r>
      <w:r>
        <w:rPr>
          <w:spacing w:val="4"/>
        </w:rPr>
        <w:t>区）市指挥部负责人必须</w:t>
      </w:r>
      <w:r>
        <w:rPr>
          <w:spacing w:val="9"/>
        </w:rPr>
        <w:t>启动本地道路交通事故应急预案。</w:t>
      </w:r>
    </w:p>
    <w:p>
      <w:pPr>
        <w:ind w:left="445"/>
        <w:spacing w:before="137" w:line="265" w:lineRule="exact"/>
        <w:rPr>
          <w:rFonts w:ascii="KaiTi" w:hAnsi="KaiTi" w:eastAsia="KaiTi" w:cs="KaiTi"/>
          <w:sz w:val="20"/>
          <w:szCs w:val="20"/>
        </w:rPr>
      </w:pPr>
      <w:r>
        <w:rPr>
          <w:rFonts w:ascii="Times New Roman" w:hAnsi="Times New Roman" w:eastAsia="Times New Roman" w:cs="Times New Roman"/>
          <w:sz w:val="20"/>
          <w:szCs w:val="20"/>
          <w:spacing w:val="5"/>
          <w:position w:val="1"/>
        </w:rPr>
        <w:t>4.4  </w:t>
      </w:r>
      <w:r>
        <w:rPr>
          <w:rFonts w:ascii="KaiTi" w:hAnsi="KaiTi" w:eastAsia="KaiTi" w:cs="KaiTi"/>
          <w:sz w:val="20"/>
          <w:szCs w:val="20"/>
          <w:spacing w:val="5"/>
          <w:position w:val="1"/>
        </w:rPr>
        <w:t>响应措施。</w:t>
      </w:r>
    </w:p>
    <w:p>
      <w:pPr>
        <w:pStyle w:val="BodyText"/>
        <w:ind w:left="25" w:right="322" w:firstLine="412"/>
        <w:spacing w:before="114" w:line="330" w:lineRule="auto"/>
        <w:rPr/>
      </w:pPr>
      <w:r>
        <w:rPr/>
        <w:t>（</w:t>
      </w:r>
      <w:r>
        <w:rPr>
          <w:spacing w:val="-41"/>
        </w:rPr>
        <w:t xml:space="preserve"> </w:t>
      </w:r>
      <w:r>
        <w:rPr>
          <w:rFonts w:ascii="Times New Roman" w:hAnsi="Times New Roman" w:eastAsia="Times New Roman" w:cs="Times New Roman"/>
        </w:rPr>
        <w:t>1</w:t>
      </w:r>
      <w:r>
        <w:rPr>
          <w:rFonts w:ascii="Times New Roman" w:hAnsi="Times New Roman" w:eastAsia="Times New Roman" w:cs="Times New Roman"/>
          <w:spacing w:val="-21"/>
        </w:rPr>
        <w:t xml:space="preserve"> </w:t>
      </w:r>
      <w:r>
        <w:rPr/>
        <w:t>）</w:t>
      </w:r>
      <w:r>
        <w:rPr>
          <w:rFonts w:ascii="Times New Roman" w:hAnsi="Times New Roman" w:eastAsia="Times New Roman" w:cs="Times New Roman"/>
        </w:rPr>
        <w:t>I </w:t>
      </w:r>
      <w:r>
        <w:rPr/>
        <w:t>级、</w:t>
      </w:r>
      <w:r>
        <w:rPr>
          <w:rFonts w:ascii="Times New Roman" w:hAnsi="Times New Roman" w:eastAsia="Times New Roman" w:cs="Times New Roman"/>
        </w:rPr>
        <w:t>II </w:t>
      </w:r>
      <w:r>
        <w:rPr/>
        <w:t>级、</w:t>
      </w:r>
      <w:r>
        <w:rPr>
          <w:rFonts w:ascii="Times New Roman" w:hAnsi="Times New Roman" w:eastAsia="Times New Roman" w:cs="Times New Roman"/>
        </w:rPr>
        <w:t>III </w:t>
      </w:r>
      <w:r>
        <w:rPr/>
        <w:t>级道路交通事故发生</w:t>
      </w:r>
      <w:r>
        <w:rPr>
          <w:spacing w:val="7"/>
        </w:rPr>
        <w:t>后，市公安局立即核实和确认，将情况报告市</w:t>
      </w:r>
      <w:r>
        <w:rPr>
          <w:spacing w:val="7"/>
        </w:rPr>
        <w:t>政府，向市指挥部提出启动本预案的建议，根</w:t>
      </w:r>
      <w:r>
        <w:rPr>
          <w:spacing w:val="7"/>
        </w:rPr>
        <w:t>据总指挥的指令，由市公安局指挥中心下令，</w:t>
      </w:r>
      <w:r>
        <w:rPr>
          <w:spacing w:val="7"/>
        </w:rPr>
        <w:t>迅速启动本预案。总指挥视情及时主持召开市</w:t>
      </w:r>
      <w:r>
        <w:rPr>
          <w:spacing w:val="-5"/>
        </w:rPr>
        <w:t>指挥部成员单位会议，研究部署应急处置工作。</w:t>
      </w:r>
    </w:p>
    <w:p>
      <w:pPr>
        <w:pStyle w:val="BodyText"/>
        <w:ind w:left="33" w:right="246" w:firstLine="404"/>
        <w:spacing w:before="134" w:line="290"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5"/>
        </w:rPr>
        <w:t xml:space="preserve"> </w:t>
      </w:r>
      <w:r>
        <w:rPr>
          <w:spacing w:val="8"/>
        </w:rPr>
        <w:t>）必要时</w:t>
      </w:r>
      <w:r>
        <w:rPr>
          <w:spacing w:val="-59"/>
        </w:rPr>
        <w:t xml:space="preserve"> </w:t>
      </w:r>
      <w:r>
        <w:rPr>
          <w:spacing w:val="8"/>
        </w:rPr>
        <w:t>，总指挥亲自带领有关人员</w:t>
      </w:r>
      <w:r>
        <w:rPr>
          <w:spacing w:val="-9"/>
        </w:rPr>
        <w:t>和专家赶赴现场，进行现场指挥和参与处置工作。</w:t>
      </w:r>
    </w:p>
    <w:p>
      <w:pPr>
        <w:pStyle w:val="BodyText"/>
        <w:ind w:left="25" w:right="329" w:firstLine="412"/>
        <w:spacing w:before="132" w:line="309"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）开通与现场救援指挥部、各应急行</w:t>
      </w:r>
      <w:r>
        <w:rPr>
          <w:spacing w:val="7"/>
        </w:rPr>
        <w:t>动组的通信联系，随时掌握事故应急处置进展</w:t>
      </w:r>
      <w:r>
        <w:rPr>
          <w:spacing w:val="4"/>
        </w:rPr>
        <w:t>情况。</w:t>
      </w:r>
    </w:p>
    <w:p>
      <w:pPr>
        <w:pStyle w:val="BodyText"/>
        <w:ind w:left="25" w:right="329" w:firstLine="412"/>
        <w:spacing w:before="136" w:line="309"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）根据事态发展和应急处置工作进展</w:t>
      </w:r>
      <w:r>
        <w:rPr>
          <w:spacing w:val="7"/>
        </w:rPr>
        <w:t>情况，市指挥部及时组织协调各成员单位，根</w:t>
      </w:r>
      <w:r>
        <w:rPr>
          <w:spacing w:val="8"/>
        </w:rPr>
        <w:t>据职责分工采取行动。</w:t>
      </w:r>
    </w:p>
    <w:p>
      <w:pPr>
        <w:pStyle w:val="BodyText"/>
        <w:ind w:left="29" w:right="329" w:firstLine="416"/>
        <w:spacing w:before="139" w:line="348" w:lineRule="auto"/>
        <w:jc w:val="both"/>
        <w:rPr/>
      </w:pPr>
      <w:r>
        <w:rPr>
          <w:rFonts w:ascii="Times New Roman" w:hAnsi="Times New Roman" w:eastAsia="Times New Roman" w:cs="Times New Roman"/>
          <w:spacing w:val="8"/>
        </w:rPr>
        <w:t>4.5  </w:t>
      </w:r>
      <w:r>
        <w:rPr>
          <w:rFonts w:ascii="KaiTi" w:hAnsi="KaiTi" w:eastAsia="KaiTi" w:cs="KaiTi"/>
          <w:spacing w:val="8"/>
        </w:rPr>
        <w:t>现场处置。</w:t>
      </w:r>
      <w:r>
        <w:rPr>
          <w:spacing w:val="8"/>
        </w:rPr>
        <w:t>发生道路交通事故需要启</w:t>
      </w:r>
      <w:r>
        <w:rPr>
          <w:spacing w:val="4"/>
        </w:rPr>
        <w:t>动本预案时，市县（</w:t>
      </w:r>
      <w:r>
        <w:rPr>
          <w:spacing w:val="-39"/>
        </w:rPr>
        <w:t xml:space="preserve"> </w:t>
      </w:r>
      <w:r>
        <w:rPr>
          <w:spacing w:val="4"/>
        </w:rPr>
        <w:t>区）应急指挥部分别按权</w:t>
      </w:r>
      <w:r>
        <w:rPr>
          <w:spacing w:val="7"/>
        </w:rPr>
        <w:t>限组织处置，立即派出有关人员赶赴现场，按</w:t>
      </w:r>
      <w:r>
        <w:rPr>
          <w:spacing w:val="7"/>
        </w:rPr>
        <w:t>照各自预案的处置程序规定，协同配合、共同</w:t>
      </w:r>
      <w:r>
        <w:rPr>
          <w:spacing w:val="7"/>
        </w:rPr>
        <w:t>实施应急处置行动。</w:t>
      </w:r>
    </w:p>
    <w:p>
      <w:pPr>
        <w:pStyle w:val="BodyText"/>
        <w:ind w:left="27" w:right="329" w:firstLine="421"/>
        <w:spacing w:before="13" w:line="347" w:lineRule="auto"/>
        <w:jc w:val="both"/>
        <w:rPr/>
      </w:pPr>
      <w:r>
        <w:rPr>
          <w:spacing w:val="6"/>
        </w:rPr>
        <w:t>现场施救：各应急救援队伍接到指示后要</w:t>
      </w:r>
      <w:r>
        <w:rPr>
          <w:spacing w:val="7"/>
        </w:rPr>
        <w:t>快速、果断地进行现场施救，全力控制事故态</w:t>
      </w:r>
      <w:r>
        <w:rPr>
          <w:spacing w:val="8"/>
        </w:rPr>
        <w:t>势，防止事故扩大。</w:t>
      </w:r>
    </w:p>
    <w:p>
      <w:pPr>
        <w:pStyle w:val="BodyText"/>
        <w:ind w:left="25" w:right="329" w:firstLine="412"/>
        <w:spacing w:before="13" w:line="297" w:lineRule="auto"/>
        <w:jc w:val="both"/>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）在急救、医疗部门人员到达现场之</w:t>
      </w:r>
      <w:r>
        <w:rPr>
          <w:spacing w:val="7"/>
        </w:rPr>
        <w:t>前，先期到达事故现场的应急救援力量应当按</w:t>
      </w:r>
      <w:r>
        <w:rPr>
          <w:spacing w:val="15"/>
        </w:rPr>
        <w:t>照救护操作规范</w:t>
      </w:r>
      <w:r>
        <w:rPr>
          <w:spacing w:val="-40"/>
        </w:rPr>
        <w:t xml:space="preserve"> </w:t>
      </w:r>
      <w:r>
        <w:rPr>
          <w:spacing w:val="15"/>
        </w:rPr>
        <w:t>，对伤情危急的伤员进行止</w:t>
      </w:r>
    </w:p>
    <w:p>
      <w:pPr>
        <w:spacing w:line="14" w:lineRule="auto"/>
        <w:rPr>
          <w:rFonts w:ascii="Arial"/>
          <w:sz w:val="2"/>
        </w:rPr>
      </w:pPr>
      <w:r>
        <w:rPr>
          <w:rFonts w:ascii="Arial" w:hAnsi="Arial" w:eastAsia="Arial" w:cs="Arial"/>
          <w:sz w:val="2"/>
          <w:szCs w:val="2"/>
        </w:rPr>
        <w:br w:type="column"/>
      </w:r>
    </w:p>
    <w:p>
      <w:pPr>
        <w:pStyle w:val="BodyText"/>
        <w:ind w:left="2" w:right="101"/>
        <w:spacing w:before="43" w:line="350" w:lineRule="auto"/>
        <w:jc w:val="both"/>
        <w:rPr/>
      </w:pPr>
      <w:r>
        <w:rPr>
          <w:spacing w:val="7"/>
        </w:rPr>
        <w:t>血、包扎等紧急处置。急救、医疗部门人员到</w:t>
      </w:r>
      <w:r>
        <w:rPr>
          <w:spacing w:val="7"/>
        </w:rPr>
        <w:t>达现场后，由急救、医疗人员组织抢救受伤人</w:t>
      </w:r>
      <w:r>
        <w:rPr>
          <w:spacing w:val="18"/>
        </w:rPr>
        <w:t>员。公安机关应急队伍应当积极协助运送伤</w:t>
      </w:r>
      <w:r>
        <w:rPr>
          <w:spacing w:val="8"/>
        </w:rPr>
        <w:t>员，必要时征用过往车辆。</w:t>
      </w:r>
    </w:p>
    <w:p>
      <w:pPr>
        <w:pStyle w:val="BodyText"/>
        <w:ind w:right="94" w:firstLine="413"/>
        <w:spacing w:before="7" w:line="334"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）公安交通管理部门根据现场指挥部</w:t>
      </w:r>
      <w:r>
        <w:rPr>
          <w:spacing w:val="7"/>
        </w:rPr>
        <w:t>的决定，负责在道路上设立警戒区，实施交通</w:t>
      </w:r>
      <w:r>
        <w:rPr>
          <w:spacing w:val="7"/>
        </w:rPr>
        <w:t>管制，禁止无关车辆和人员进入，疏散警戒区</w:t>
      </w:r>
      <w:r>
        <w:rPr>
          <w:spacing w:val="7"/>
        </w:rPr>
        <w:t>内的车辆和人员；在警戒区外围交通要道和交</w:t>
      </w:r>
      <w:r>
        <w:rPr>
          <w:spacing w:val="7"/>
        </w:rPr>
        <w:t>叉路口设立标志，组织交通分流；清理通道，</w:t>
      </w:r>
      <w:r>
        <w:rPr>
          <w:spacing w:val="7"/>
        </w:rPr>
        <w:t>维护交通秩序，保障参加排险、救援车辆、设</w:t>
      </w:r>
      <w:r>
        <w:rPr>
          <w:spacing w:val="7"/>
        </w:rPr>
        <w:t>备顺利进入现场，保护现场，发现、固定并收</w:t>
      </w:r>
      <w:r>
        <w:rPr>
          <w:spacing w:val="8"/>
        </w:rPr>
        <w:t>集现场痕迹物证等相关证据。</w:t>
      </w:r>
    </w:p>
    <w:p>
      <w:pPr>
        <w:pStyle w:val="BodyText"/>
        <w:ind w:right="101" w:firstLine="412"/>
        <w:spacing w:before="135" w:line="326" w:lineRule="auto"/>
        <w:rPr/>
      </w:pPr>
      <w:r>
        <w:rPr>
          <w:spacing w:val="8"/>
        </w:rPr>
        <w:t>（</w:t>
      </w:r>
      <w:r>
        <w:rPr>
          <w:rFonts w:ascii="Times New Roman" w:hAnsi="Times New Roman" w:eastAsia="Times New Roman" w:cs="Times New Roman"/>
          <w:spacing w:val="8"/>
        </w:rPr>
        <w:t>3</w:t>
      </w:r>
      <w:r>
        <w:rPr>
          <w:rFonts w:ascii="Times New Roman" w:hAnsi="Times New Roman" w:eastAsia="Times New Roman" w:cs="Times New Roman"/>
          <w:spacing w:val="-5"/>
        </w:rPr>
        <w:t xml:space="preserve"> </w:t>
      </w:r>
      <w:r>
        <w:rPr>
          <w:spacing w:val="8"/>
        </w:rPr>
        <w:t>）消防救援部门负责破拆车辆</w:t>
      </w:r>
      <w:r>
        <w:rPr>
          <w:spacing w:val="-59"/>
        </w:rPr>
        <w:t xml:space="preserve"> </w:t>
      </w:r>
      <w:r>
        <w:rPr>
          <w:spacing w:val="8"/>
        </w:rPr>
        <w:t>，解救</w:t>
      </w:r>
      <w:r>
        <w:rPr>
          <w:spacing w:val="7"/>
        </w:rPr>
        <w:t>因车辆颠覆、变形被困于车内的人员，对危险</w:t>
      </w:r>
      <w:r>
        <w:rPr>
          <w:spacing w:val="7"/>
        </w:rPr>
        <w:t>化学品运输车辆泄漏事故，进行侦检监测，确</w:t>
      </w:r>
      <w:r>
        <w:rPr>
          <w:spacing w:val="7"/>
        </w:rPr>
        <w:t>定危险品种类泄漏扩散范围，会同有关专家制</w:t>
      </w:r>
      <w:r>
        <w:rPr>
          <w:spacing w:val="8"/>
        </w:rPr>
        <w:t>定和实施排险方案。</w:t>
      </w:r>
    </w:p>
    <w:p>
      <w:pPr>
        <w:pStyle w:val="BodyText"/>
        <w:ind w:left="2" w:right="103" w:firstLine="410"/>
        <w:spacing w:before="136" w:line="287"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）公安机关其他警力负责做好现场治</w:t>
      </w:r>
      <w:r>
        <w:rPr>
          <w:spacing w:val="8"/>
        </w:rPr>
        <w:t>安秩序维护和人员疏散工作。</w:t>
      </w:r>
    </w:p>
    <w:p>
      <w:pPr>
        <w:pStyle w:val="BodyText"/>
        <w:ind w:left="6" w:right="103" w:firstLine="406"/>
        <w:spacing w:before="139" w:line="288" w:lineRule="auto"/>
        <w:rPr/>
      </w:pPr>
      <w:r>
        <w:rPr>
          <w:spacing w:val="6"/>
        </w:rPr>
        <w:t>（</w:t>
      </w:r>
      <w:r>
        <w:rPr>
          <w:spacing w:val="-51"/>
        </w:rPr>
        <w:t xml:space="preserve"> </w:t>
      </w:r>
      <w:r>
        <w:rPr>
          <w:rFonts w:ascii="Times New Roman" w:hAnsi="Times New Roman" w:eastAsia="Times New Roman" w:cs="Times New Roman"/>
          <w:spacing w:val="6"/>
        </w:rPr>
        <w:t>5</w:t>
      </w:r>
      <w:r>
        <w:rPr>
          <w:rFonts w:ascii="Times New Roman" w:hAnsi="Times New Roman" w:eastAsia="Times New Roman" w:cs="Times New Roman"/>
          <w:spacing w:val="-18"/>
        </w:rPr>
        <w:t xml:space="preserve"> </w:t>
      </w:r>
      <w:r>
        <w:rPr>
          <w:spacing w:val="6"/>
        </w:rPr>
        <w:t>）遇有车辆坠河事故</w:t>
      </w:r>
      <w:r>
        <w:rPr>
          <w:spacing w:val="-59"/>
        </w:rPr>
        <w:t xml:space="preserve"> </w:t>
      </w:r>
      <w:r>
        <w:rPr>
          <w:spacing w:val="6"/>
        </w:rPr>
        <w:t>，由事发地政府</w:t>
      </w:r>
      <w:r>
        <w:rPr>
          <w:spacing w:val="8"/>
        </w:rPr>
        <w:t>负责调集专业人员、工具进行营救、打捞。</w:t>
      </w:r>
    </w:p>
    <w:p>
      <w:pPr>
        <w:pStyle w:val="BodyText"/>
        <w:ind w:left="1" w:right="101" w:firstLine="420"/>
        <w:spacing w:before="136" w:line="354" w:lineRule="auto"/>
        <w:jc w:val="both"/>
        <w:rPr/>
      </w:pPr>
      <w:r>
        <w:rPr>
          <w:spacing w:val="6"/>
        </w:rPr>
        <w:t>救护和医疗：卫生健康委员会负责组织开</w:t>
      </w:r>
      <w:r>
        <w:rPr>
          <w:spacing w:val="18"/>
        </w:rPr>
        <w:t>展对事故伤亡人员的紧急医疗救护和现场卫</w:t>
      </w:r>
      <w:r>
        <w:rPr>
          <w:spacing w:val="7"/>
        </w:rPr>
        <w:t>生处置工作，必要时，及时协调有关医疗救护</w:t>
      </w:r>
      <w:r>
        <w:rPr>
          <w:spacing w:val="9"/>
        </w:rPr>
        <w:t>专家、特种药品和特种救治装备进行支援。</w:t>
      </w:r>
    </w:p>
    <w:p>
      <w:pPr>
        <w:pStyle w:val="BodyText"/>
        <w:ind w:left="1" w:right="101" w:firstLine="419"/>
        <w:spacing w:before="1" w:line="368" w:lineRule="auto"/>
        <w:jc w:val="both"/>
        <w:rPr/>
      </w:pPr>
      <w:r>
        <w:rPr>
          <w:spacing w:val="7"/>
        </w:rPr>
        <w:t>应急救援人员的安全防护：现场救援指挥</w:t>
      </w:r>
      <w:r>
        <w:rPr>
          <w:spacing w:val="7"/>
        </w:rPr>
        <w:t>部负责组织采取各种现场安全防护措施，参加</w:t>
      </w:r>
      <w:r>
        <w:rPr>
          <w:spacing w:val="15"/>
        </w:rPr>
        <w:t>现场应急救援的人员</w:t>
      </w:r>
      <w:r>
        <w:rPr>
          <w:spacing w:val="-41"/>
        </w:rPr>
        <w:t xml:space="preserve"> </w:t>
      </w:r>
      <w:r>
        <w:rPr>
          <w:spacing w:val="15"/>
        </w:rPr>
        <w:t>，必须加强个人安全防</w:t>
      </w:r>
      <w:r>
        <w:rPr>
          <w:spacing w:val="7"/>
        </w:rPr>
        <w:t>护。发生载运危险品车辆泄漏事故时，公安交</w:t>
      </w:r>
      <w:r>
        <w:rPr>
          <w:spacing w:val="7"/>
        </w:rPr>
        <w:t>通管理部门设置事故现场警戒线，进入现场人</w:t>
      </w:r>
      <w:r>
        <w:rPr>
          <w:spacing w:val="9"/>
        </w:rPr>
        <w:t>员需穿着防护服，佩戴安全防护用具。</w:t>
      </w:r>
    </w:p>
    <w:p>
      <w:pPr>
        <w:pStyle w:val="BodyText"/>
        <w:ind w:left="1" w:right="94" w:firstLine="420"/>
        <w:spacing w:before="24" w:line="368" w:lineRule="auto"/>
        <w:rPr/>
      </w:pPr>
      <w:r>
        <w:rPr>
          <w:spacing w:val="6"/>
        </w:rPr>
        <w:t>群众的安全防护：现场救援指挥部根据事</w:t>
      </w:r>
      <w:r>
        <w:rPr>
          <w:spacing w:val="7"/>
        </w:rPr>
        <w:t>故具体情况，明确群众安全防护的必要措施，</w:t>
      </w:r>
    </w:p>
    <w:p>
      <w:pPr>
        <w:spacing w:line="368" w:lineRule="auto"/>
        <w:sectPr>
          <w:type w:val="continuous"/>
          <w:pgSz w:w="11906" w:h="16839"/>
          <w:pgMar w:top="1772" w:right="1489" w:bottom="1562" w:left="1567" w:header="1428" w:footer="1172" w:gutter="0"/>
          <w:cols w:equalWidth="0" w:num="2">
            <w:col w:w="4502" w:space="100"/>
            <w:col w:w="4249" w:space="0"/>
          </w:cols>
        </w:sectPr>
        <w:rPr/>
      </w:pPr>
    </w:p>
    <w:p>
      <w:pPr>
        <w:spacing w:line="153" w:lineRule="exact"/>
        <w:rPr/>
      </w:pPr>
      <w:r>
        <w:drawing>
          <wp:anchor distT="0" distB="0" distL="0" distR="0" simplePos="0" relativeHeight="252882944"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720" name="IM 1720"/>
            <wp:cNvGraphicFramePr/>
            <a:graphic>
              <a:graphicData uri="http://schemas.openxmlformats.org/drawingml/2006/picture">
                <pic:pic>
                  <pic:nvPicPr>
                    <pic:cNvPr id="1720" name="IM 1720"/>
                    <pic:cNvPicPr/>
                  </pic:nvPicPr>
                  <pic:blipFill>
                    <a:blip r:embed="rId862"/>
                    <a:stretch>
                      <a:fillRect/>
                    </a:stretch>
                  </pic:blipFill>
                  <pic:spPr>
                    <a:xfrm rot="0">
                      <a:off x="0" y="0"/>
                      <a:ext cx="5579745" cy="7620"/>
                    </a:xfrm>
                    <a:prstGeom prst="rect">
                      <a:avLst/>
                    </a:prstGeom>
                  </pic:spPr>
                </pic:pic>
              </a:graphicData>
            </a:graphic>
          </wp:anchor>
        </w:drawing>
      </w:r>
      <w:r/>
    </w:p>
    <w:p>
      <w:pPr>
        <w:spacing w:line="153" w:lineRule="exact"/>
        <w:sectPr>
          <w:headerReference w:type="default" r:id="rId544"/>
          <w:footerReference w:type="default" r:id="rId861"/>
          <w:pgSz w:w="11906" w:h="16839"/>
          <w:pgMar w:top="1766" w:right="1507" w:bottom="1575" w:left="1579" w:header="1428" w:footer="1172" w:gutter="0"/>
          <w:cols w:equalWidth="0" w:num="1">
            <w:col w:w="8819" w:space="0"/>
          </w:cols>
        </w:sectPr>
        <w:rPr/>
      </w:pPr>
    </w:p>
    <w:p>
      <w:pPr>
        <w:pStyle w:val="BodyText"/>
        <w:ind w:left="11" w:right="327"/>
        <w:spacing w:before="45" w:line="388" w:lineRule="auto"/>
        <w:jc w:val="both"/>
        <w:rPr/>
      </w:pPr>
      <w:r>
        <w:rPr>
          <w:spacing w:val="7"/>
        </w:rPr>
        <w:t>决定应急状态下群众疏散的范围、方式、程序</w:t>
      </w:r>
      <w:r>
        <w:rPr>
          <w:spacing w:val="7"/>
        </w:rPr>
        <w:t>并组织实施，协调卫健部门开展医疗救治、卫</w:t>
      </w:r>
      <w:r>
        <w:rPr>
          <w:spacing w:val="7"/>
        </w:rPr>
        <w:t>健防疫与疾病控制。事发地公安机关根据事故</w:t>
      </w:r>
      <w:r>
        <w:rPr>
          <w:spacing w:val="7"/>
        </w:rPr>
        <w:t>的实际情况，按照事故现场救援指挥部的决定</w:t>
      </w:r>
      <w:r>
        <w:rPr>
          <w:spacing w:val="7"/>
        </w:rPr>
        <w:t>负责设置事故现场警戒，实施交通管制，指挥</w:t>
      </w:r>
      <w:r>
        <w:rPr>
          <w:spacing w:val="7"/>
        </w:rPr>
        <w:t>疏散现场人员，防止事故扩大和蔓延，造成其</w:t>
      </w:r>
      <w:r>
        <w:rPr>
          <w:spacing w:val="7"/>
        </w:rPr>
        <w:t>他人员伤害。</w:t>
      </w:r>
    </w:p>
    <w:p>
      <w:pPr>
        <w:pStyle w:val="BodyText"/>
        <w:ind w:left="12" w:right="321" w:firstLine="416"/>
        <w:spacing w:before="3" w:line="385" w:lineRule="auto"/>
        <w:jc w:val="both"/>
        <w:rPr/>
      </w:pPr>
      <w:r>
        <w:rPr>
          <w:spacing w:val="7"/>
        </w:rPr>
        <w:t>恢复交通：现场人员、车辆施救完毕后，</w:t>
      </w:r>
      <w:r>
        <w:rPr>
          <w:spacing w:val="7"/>
        </w:rPr>
        <w:t>应及时清理现场，修复受损交通设施，恢复正</w:t>
      </w:r>
      <w:r>
        <w:rPr>
          <w:spacing w:val="7"/>
        </w:rPr>
        <w:t>常交通秩序。对隐患一时难以排除的，应及时</w:t>
      </w:r>
      <w:r>
        <w:rPr>
          <w:spacing w:val="9"/>
        </w:rPr>
        <w:t>采取改道分流等措施恢复道路交通。</w:t>
      </w:r>
    </w:p>
    <w:p>
      <w:pPr>
        <w:ind w:left="432"/>
        <w:spacing w:before="8" w:line="264" w:lineRule="exact"/>
        <w:rPr>
          <w:rFonts w:ascii="KaiTi" w:hAnsi="KaiTi" w:eastAsia="KaiTi" w:cs="KaiTi"/>
          <w:sz w:val="20"/>
          <w:szCs w:val="20"/>
        </w:rPr>
      </w:pPr>
      <w:r>
        <w:rPr>
          <w:rFonts w:ascii="Times New Roman" w:hAnsi="Times New Roman" w:eastAsia="Times New Roman" w:cs="Times New Roman"/>
          <w:sz w:val="20"/>
          <w:szCs w:val="20"/>
          <w:spacing w:val="5"/>
          <w:position w:val="1"/>
        </w:rPr>
        <w:t>4.6  </w:t>
      </w:r>
      <w:r>
        <w:rPr>
          <w:rFonts w:ascii="KaiTi" w:hAnsi="KaiTi" w:eastAsia="KaiTi" w:cs="KaiTi"/>
          <w:sz w:val="20"/>
          <w:szCs w:val="20"/>
          <w:spacing w:val="5"/>
          <w:position w:val="1"/>
        </w:rPr>
        <w:t>信息发布。</w:t>
      </w:r>
    </w:p>
    <w:p>
      <w:pPr>
        <w:pStyle w:val="BodyText"/>
        <w:ind w:left="17" w:right="355" w:firstLine="407"/>
        <w:spacing w:before="155" w:line="306" w:lineRule="auto"/>
        <w:rPr/>
      </w:pPr>
      <w:r>
        <w:rPr>
          <w:spacing w:val="6"/>
        </w:rPr>
        <w:t>（</w:t>
      </w:r>
      <w:r>
        <w:rPr>
          <w:spacing w:val="-34"/>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9"/>
        </w:rPr>
        <w:t xml:space="preserve"> </w:t>
      </w:r>
      <w:r>
        <w:rPr>
          <w:spacing w:val="6"/>
        </w:rPr>
        <w:t>）信息发布及新闻报道应坚持及时、</w:t>
      </w:r>
      <w:r>
        <w:rPr>
          <w:spacing w:val="8"/>
        </w:rPr>
        <w:t>准确、客观、全面的原则。</w:t>
      </w:r>
    </w:p>
    <w:p>
      <w:pPr>
        <w:pStyle w:val="BodyText"/>
        <w:ind w:left="13" w:right="247" w:firstLine="411"/>
        <w:spacing w:before="176" w:line="355"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5"/>
        </w:rPr>
        <w:t xml:space="preserve"> </w:t>
      </w:r>
      <w:r>
        <w:rPr>
          <w:spacing w:val="8"/>
        </w:rPr>
        <w:t>）充分发挥媒体的舆论导向作用</w:t>
      </w:r>
      <w:r>
        <w:rPr>
          <w:spacing w:val="-59"/>
        </w:rPr>
        <w:t xml:space="preserve"> </w:t>
      </w:r>
      <w:r>
        <w:rPr>
          <w:spacing w:val="8"/>
        </w:rPr>
        <w:t>，新</w:t>
      </w:r>
      <w:r>
        <w:rPr>
          <w:spacing w:val="18"/>
        </w:rPr>
        <w:t>闻宣传部门应配合道路交通事故应急指挥机</w:t>
      </w:r>
      <w:r>
        <w:rPr>
          <w:spacing w:val="1"/>
        </w:rPr>
        <w:t>构，及时采用授权发布、发新闻稿、组织报道、</w:t>
      </w:r>
      <w:r>
        <w:rPr>
          <w:spacing w:val="11"/>
        </w:rPr>
        <w:t>接受采访、举行新闻发布会等形式发布信息，</w:t>
      </w:r>
      <w:r>
        <w:rPr>
          <w:spacing w:val="6"/>
        </w:rPr>
        <w:t>组织报道。</w:t>
      </w:r>
    </w:p>
    <w:p>
      <w:pPr>
        <w:pStyle w:val="BodyText"/>
        <w:ind w:left="20" w:right="327" w:firstLine="411"/>
        <w:spacing w:before="179" w:line="334" w:lineRule="auto"/>
        <w:rPr/>
      </w:pPr>
      <w:r>
        <w:rPr>
          <w:rFonts w:ascii="Times New Roman" w:hAnsi="Times New Roman" w:eastAsia="Times New Roman" w:cs="Times New Roman"/>
          <w:spacing w:val="8"/>
        </w:rPr>
        <w:t>4.7  </w:t>
      </w:r>
      <w:r>
        <w:rPr>
          <w:rFonts w:ascii="KaiTi" w:hAnsi="KaiTi" w:eastAsia="KaiTi" w:cs="KaiTi"/>
          <w:spacing w:val="8"/>
        </w:rPr>
        <w:t>特殊类型事故处置。</w:t>
      </w:r>
      <w:r>
        <w:rPr>
          <w:spacing w:val="8"/>
        </w:rPr>
        <w:t>因道路交通事故</w:t>
      </w:r>
      <w:r>
        <w:rPr>
          <w:spacing w:val="17"/>
        </w:rPr>
        <w:t>引发重大火灾、危险化学品泄漏等特殊事故</w:t>
      </w:r>
      <w:r>
        <w:rPr>
          <w:spacing w:val="9"/>
        </w:rPr>
        <w:t>时，应及时启动相关应急预案</w:t>
      </w:r>
    </w:p>
    <w:p>
      <w:pPr>
        <w:pStyle w:val="BodyText"/>
        <w:ind w:left="12" w:right="327" w:firstLine="420"/>
        <w:spacing w:before="174" w:line="355" w:lineRule="auto"/>
        <w:rPr/>
      </w:pPr>
      <w:r>
        <w:rPr>
          <w:rFonts w:ascii="Times New Roman" w:hAnsi="Times New Roman" w:eastAsia="Times New Roman" w:cs="Times New Roman"/>
          <w:spacing w:val="8"/>
        </w:rPr>
        <w:t>4.8  </w:t>
      </w:r>
      <w:r>
        <w:rPr>
          <w:rFonts w:ascii="KaiTi" w:hAnsi="KaiTi" w:eastAsia="KaiTi" w:cs="KaiTi"/>
          <w:spacing w:val="8"/>
        </w:rPr>
        <w:t>响应终止。</w:t>
      </w:r>
      <w:r>
        <w:rPr>
          <w:spacing w:val="8"/>
        </w:rPr>
        <w:t>道路交通事故应急救援基</w:t>
      </w:r>
      <w:r>
        <w:rPr>
          <w:spacing w:val="7"/>
        </w:rPr>
        <w:t>本结束、紧急转移和安置工作完成、次生灾害</w:t>
      </w:r>
      <w:r>
        <w:rPr>
          <w:spacing w:val="7"/>
        </w:rPr>
        <w:t>的后果基本消除，交通基本恢复后，市道路交</w:t>
      </w:r>
      <w:r>
        <w:rPr>
          <w:spacing w:val="18"/>
        </w:rPr>
        <w:t>通事故应急救援指挥部办公室会同市道路交</w:t>
      </w:r>
      <w:r>
        <w:rPr>
          <w:spacing w:val="9"/>
        </w:rPr>
        <w:t>通事故应急救援指挥部决定终止应急响应。</w:t>
      </w:r>
    </w:p>
    <w:p>
      <w:pPr>
        <w:pStyle w:val="BodyText"/>
        <w:ind w:left="14" w:right="321" w:firstLine="417"/>
        <w:spacing w:before="181" w:line="385" w:lineRule="auto"/>
        <w:jc w:val="both"/>
        <w:rPr/>
      </w:pPr>
      <w:r>
        <w:rPr>
          <w:spacing w:val="7"/>
        </w:rPr>
        <w:t>应急状态解除后，相关单位应当按照专项</w:t>
      </w:r>
      <w:r>
        <w:rPr>
          <w:spacing w:val="7"/>
        </w:rPr>
        <w:t>预案的要求，及时补充应急救援物资和设备，</w:t>
      </w:r>
      <w:r>
        <w:rPr>
          <w:spacing w:val="8"/>
        </w:rPr>
        <w:t>重新回到应急准备状态。</w:t>
      </w:r>
    </w:p>
    <w:p>
      <w:pPr>
        <w:ind w:left="435"/>
        <w:spacing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5</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应急保障</w:t>
      </w:r>
    </w:p>
    <w:p>
      <w:pPr>
        <w:spacing w:line="14" w:lineRule="auto"/>
        <w:rPr>
          <w:rFonts w:ascii="Arial"/>
          <w:sz w:val="2"/>
        </w:rPr>
      </w:pPr>
      <w:r>
        <w:rPr>
          <w:rFonts w:ascii="Arial" w:hAnsi="Arial" w:eastAsia="Arial" w:cs="Arial"/>
          <w:sz w:val="2"/>
          <w:szCs w:val="2"/>
        </w:rPr>
        <w:br w:type="column"/>
      </w:r>
    </w:p>
    <w:p>
      <w:pPr>
        <w:pStyle w:val="BodyText"/>
        <w:ind w:right="2" w:firstLine="429"/>
        <w:spacing w:before="38" w:line="353" w:lineRule="auto"/>
        <w:rPr/>
      </w:pPr>
      <w:r>
        <w:rPr>
          <w:rFonts w:ascii="Times New Roman" w:hAnsi="Times New Roman" w:eastAsia="Times New Roman" w:cs="Times New Roman"/>
          <w:spacing w:val="6"/>
        </w:rPr>
        <w:t>5.</w:t>
      </w:r>
      <w:r>
        <w:rPr>
          <w:rFonts w:ascii="Times New Roman" w:hAnsi="Times New Roman" w:eastAsia="Times New Roman" w:cs="Times New Roman"/>
          <w:spacing w:val="-8"/>
        </w:rPr>
        <w:t xml:space="preserve"> </w:t>
      </w:r>
      <w:r>
        <w:rPr>
          <w:rFonts w:ascii="Times New Roman" w:hAnsi="Times New Roman" w:eastAsia="Times New Roman" w:cs="Times New Roman"/>
          <w:spacing w:val="6"/>
        </w:rPr>
        <w:t>1  </w:t>
      </w:r>
      <w:r>
        <w:rPr>
          <w:rFonts w:ascii="KaiTi" w:hAnsi="KaiTi" w:eastAsia="KaiTi" w:cs="KaiTi"/>
          <w:spacing w:val="6"/>
        </w:rPr>
        <w:t>通信保障。</w:t>
      </w:r>
      <w:r>
        <w:rPr>
          <w:spacing w:val="6"/>
        </w:rPr>
        <w:t>工信部门协调相关电信运</w:t>
      </w:r>
      <w:r>
        <w:rPr>
          <w:spacing w:val="7"/>
        </w:rPr>
        <w:t>营企业做好应急过程中的通信保障，确保应急</w:t>
      </w:r>
      <w:r>
        <w:rPr>
          <w:spacing w:val="1"/>
        </w:rPr>
        <w:t>救援过程中的语音、数据、图像等信息的传送、</w:t>
      </w:r>
      <w:r>
        <w:rPr>
          <w:spacing w:val="7"/>
        </w:rPr>
        <w:t>应急指挥通信的畅通。在通讯不便的地方，架</w:t>
      </w:r>
      <w:r>
        <w:rPr>
          <w:spacing w:val="7"/>
        </w:rPr>
        <w:t>设通讯设备，保障现场救援指挥部与应急成员</w:t>
      </w:r>
      <w:r>
        <w:rPr>
          <w:spacing w:val="8"/>
        </w:rPr>
        <w:t>单位的通讯联络。</w:t>
      </w:r>
    </w:p>
    <w:p>
      <w:pPr>
        <w:pStyle w:val="BodyText"/>
        <w:ind w:left="1" w:right="83" w:firstLine="427"/>
        <w:spacing w:before="165" w:line="340" w:lineRule="auto"/>
        <w:rPr/>
      </w:pPr>
      <w:r>
        <w:rPr>
          <w:rFonts w:ascii="Times New Roman" w:hAnsi="Times New Roman" w:eastAsia="Times New Roman" w:cs="Times New Roman"/>
          <w:spacing w:val="8"/>
        </w:rPr>
        <w:t>5.2  </w:t>
      </w:r>
      <w:r>
        <w:rPr>
          <w:rFonts w:ascii="KaiTi" w:hAnsi="KaiTi" w:eastAsia="KaiTi" w:cs="KaiTi"/>
          <w:spacing w:val="8"/>
        </w:rPr>
        <w:t>救援装备和应急队伍保障。</w:t>
      </w:r>
      <w:r>
        <w:rPr>
          <w:spacing w:val="8"/>
        </w:rPr>
        <w:t>公安交通</w:t>
      </w:r>
      <w:r>
        <w:rPr>
          <w:spacing w:val="17"/>
        </w:rPr>
        <w:t>管理部门积极组织、协调、促进应急救援队</w:t>
      </w:r>
      <w:r>
        <w:rPr>
          <w:spacing w:val="13"/>
        </w:rPr>
        <w:t>伍培训</w:t>
      </w:r>
      <w:r>
        <w:rPr>
          <w:spacing w:val="-54"/>
        </w:rPr>
        <w:t xml:space="preserve"> </w:t>
      </w:r>
      <w:r>
        <w:rPr>
          <w:spacing w:val="13"/>
        </w:rPr>
        <w:t>，不断提高战斗力</w:t>
      </w:r>
      <w:r>
        <w:rPr>
          <w:spacing w:val="-54"/>
        </w:rPr>
        <w:t xml:space="preserve"> </w:t>
      </w:r>
      <w:r>
        <w:rPr>
          <w:spacing w:val="13"/>
        </w:rPr>
        <w:t>，保证应急状态下</w:t>
      </w:r>
      <w:r>
        <w:rPr>
          <w:spacing w:val="10"/>
        </w:rPr>
        <w:t>的调用。</w:t>
      </w:r>
    </w:p>
    <w:p>
      <w:pPr>
        <w:pStyle w:val="BodyText"/>
        <w:ind w:left="2" w:right="60" w:firstLine="420"/>
        <w:spacing w:before="165" w:line="377" w:lineRule="auto"/>
        <w:jc w:val="both"/>
        <w:rPr/>
      </w:pPr>
      <w:r>
        <w:rPr>
          <w:spacing w:val="6"/>
        </w:rPr>
        <w:t>各县（区）政府根据本地道路交通伤亡事</w:t>
      </w:r>
      <w:r>
        <w:rPr>
          <w:spacing w:val="7"/>
        </w:rPr>
        <w:t>故的特点制定相应的应急救援保障体系，确定</w:t>
      </w:r>
      <w:r>
        <w:rPr>
          <w:spacing w:val="8"/>
        </w:rPr>
        <w:t>机构、人员；明确事故应急设备类型、数量、</w:t>
      </w:r>
      <w:r>
        <w:rPr>
          <w:spacing w:val="7"/>
        </w:rPr>
        <w:t>性能和存放位置，同时制定管理办法，保证应</w:t>
      </w:r>
      <w:r>
        <w:rPr>
          <w:spacing w:val="8"/>
        </w:rPr>
        <w:t>急状态下的迅速调用。</w:t>
      </w:r>
    </w:p>
    <w:p>
      <w:pPr>
        <w:pStyle w:val="BodyText"/>
        <w:ind w:left="1" w:right="83" w:firstLine="427"/>
        <w:spacing w:before="16" w:line="347" w:lineRule="auto"/>
        <w:rPr/>
      </w:pPr>
      <w:r>
        <w:rPr>
          <w:rFonts w:ascii="Times New Roman" w:hAnsi="Times New Roman" w:eastAsia="Times New Roman" w:cs="Times New Roman"/>
          <w:spacing w:val="8"/>
        </w:rPr>
        <w:t>5.3  </w:t>
      </w:r>
      <w:r>
        <w:rPr>
          <w:rFonts w:ascii="KaiTi" w:hAnsi="KaiTi" w:eastAsia="KaiTi" w:cs="KaiTi"/>
          <w:spacing w:val="8"/>
        </w:rPr>
        <w:t>交通运输保障。</w:t>
      </w:r>
      <w:r>
        <w:rPr>
          <w:spacing w:val="8"/>
        </w:rPr>
        <w:t>启动应急预案期间，</w:t>
      </w:r>
      <w:r>
        <w:rPr>
          <w:spacing w:val="7"/>
        </w:rPr>
        <w:t>公安交通管理部门根据需要实施交通管制，道</w:t>
      </w:r>
      <w:r>
        <w:rPr>
          <w:spacing w:val="7"/>
        </w:rPr>
        <w:t>路运输主管部门负责调动道路交通工具，保障</w:t>
      </w:r>
      <w:r>
        <w:rPr>
          <w:spacing w:val="8"/>
        </w:rPr>
        <w:t>应急处置期间的交通运输。</w:t>
      </w:r>
    </w:p>
    <w:p>
      <w:pPr>
        <w:pStyle w:val="BodyText"/>
        <w:ind w:left="3" w:firstLine="425"/>
        <w:spacing w:before="178" w:line="334" w:lineRule="auto"/>
        <w:rPr/>
      </w:pPr>
      <w:r>
        <w:rPr>
          <w:rFonts w:ascii="Times New Roman" w:hAnsi="Times New Roman" w:eastAsia="Times New Roman" w:cs="Times New Roman"/>
          <w:spacing w:val="6"/>
        </w:rPr>
        <w:t>5.4</w:t>
      </w:r>
      <w:r>
        <w:rPr>
          <w:rFonts w:ascii="Times New Roman" w:hAnsi="Times New Roman" w:eastAsia="Times New Roman" w:cs="Times New Roman"/>
          <w:spacing w:val="27"/>
        </w:rPr>
        <w:t xml:space="preserve">  </w:t>
      </w:r>
      <w:r>
        <w:rPr>
          <w:rFonts w:ascii="KaiTi" w:hAnsi="KaiTi" w:eastAsia="KaiTi" w:cs="KaiTi"/>
          <w:spacing w:val="6"/>
        </w:rPr>
        <w:t>医疗卫健保障。</w:t>
      </w:r>
      <w:r>
        <w:rPr>
          <w:spacing w:val="6"/>
        </w:rPr>
        <w:t>各级卫健健康局根据</w:t>
      </w:r>
      <w:r>
        <w:rPr>
          <w:spacing w:val="15"/>
        </w:rPr>
        <w:t>交通事故受伤人员的情况</w:t>
      </w:r>
      <w:r>
        <w:rPr>
          <w:spacing w:val="-41"/>
        </w:rPr>
        <w:t xml:space="preserve"> </w:t>
      </w:r>
      <w:r>
        <w:rPr>
          <w:spacing w:val="15"/>
        </w:rPr>
        <w:t>，协调医疗卫健机</w:t>
      </w:r>
      <w:r>
        <w:rPr>
          <w:spacing w:val="-8"/>
        </w:rPr>
        <w:t>构，调集医疗急救人员，保证受伤人员抢救工作。</w:t>
      </w:r>
    </w:p>
    <w:p>
      <w:pPr>
        <w:pStyle w:val="BodyText"/>
        <w:ind w:left="1" w:right="83" w:firstLine="427"/>
        <w:spacing w:before="171" w:line="365" w:lineRule="auto"/>
        <w:rPr/>
      </w:pPr>
      <w:r>
        <w:rPr>
          <w:rFonts w:ascii="Times New Roman" w:hAnsi="Times New Roman" w:eastAsia="Times New Roman" w:cs="Times New Roman"/>
          <w:spacing w:val="8"/>
        </w:rPr>
        <w:t>5.5  </w:t>
      </w:r>
      <w:r>
        <w:rPr>
          <w:rFonts w:ascii="KaiTi" w:hAnsi="KaiTi" w:eastAsia="KaiTi" w:cs="KaiTi"/>
          <w:spacing w:val="8"/>
        </w:rPr>
        <w:t>治安保障。</w:t>
      </w:r>
      <w:r>
        <w:rPr>
          <w:spacing w:val="8"/>
        </w:rPr>
        <w:t>公安机关安排足够的警力</w:t>
      </w:r>
      <w:r>
        <w:rPr>
          <w:spacing w:val="7"/>
        </w:rPr>
        <w:t>做好应急期间有关场所的治安保卫工作，组织</w:t>
      </w:r>
      <w:r>
        <w:rPr>
          <w:spacing w:val="7"/>
        </w:rPr>
        <w:t>巡逻查控，防止无关人员进入警戒区，协助抢</w:t>
      </w:r>
      <w:r>
        <w:rPr>
          <w:spacing w:val="18"/>
        </w:rPr>
        <w:t>救伤者、疏散危险区的人员迅速撤至安全地</w:t>
      </w:r>
      <w:r>
        <w:rPr>
          <w:spacing w:val="7"/>
        </w:rPr>
        <w:t>带，配合政府利用通告、广播等形式将事故有</w:t>
      </w:r>
      <w:r>
        <w:rPr>
          <w:spacing w:val="15"/>
        </w:rPr>
        <w:t>关情况及处置措施向群众通报</w:t>
      </w:r>
      <w:r>
        <w:rPr>
          <w:spacing w:val="-39"/>
        </w:rPr>
        <w:t xml:space="preserve"> </w:t>
      </w:r>
      <w:r>
        <w:rPr>
          <w:spacing w:val="15"/>
        </w:rPr>
        <w:t>，稳定群众情</w:t>
      </w:r>
      <w:r>
        <w:rPr>
          <w:spacing w:val="9"/>
        </w:rPr>
        <w:t>绪，维护治安秩序和社会稳定。</w:t>
      </w:r>
    </w:p>
    <w:p>
      <w:pPr>
        <w:pStyle w:val="BodyText"/>
        <w:ind w:left="2" w:right="83" w:firstLine="426"/>
        <w:spacing w:before="159" w:line="309" w:lineRule="auto"/>
        <w:rPr/>
      </w:pPr>
      <w:r>
        <w:rPr>
          <w:rFonts w:ascii="Times New Roman" w:hAnsi="Times New Roman" w:eastAsia="Times New Roman" w:cs="Times New Roman"/>
          <w:spacing w:val="8"/>
        </w:rPr>
        <w:t>5.6  </w:t>
      </w:r>
      <w:r>
        <w:rPr>
          <w:rFonts w:ascii="KaiTi" w:hAnsi="KaiTi" w:eastAsia="KaiTi" w:cs="KaiTi"/>
          <w:spacing w:val="8"/>
        </w:rPr>
        <w:t>环境保障。</w:t>
      </w:r>
      <w:r>
        <w:rPr>
          <w:spacing w:val="8"/>
        </w:rPr>
        <w:t>载运危险品车辆发生交通</w:t>
      </w:r>
      <w:r>
        <w:rPr>
          <w:spacing w:val="7"/>
        </w:rPr>
        <w:t>事故造成危险品泄露的，生态环境部门进行环</w:t>
      </w:r>
      <w:r>
        <w:rPr>
          <w:spacing w:val="6"/>
        </w:rPr>
        <w:t>境监测。</w:t>
      </w:r>
    </w:p>
    <w:p>
      <w:pPr>
        <w:spacing w:line="309" w:lineRule="auto"/>
        <w:sectPr>
          <w:type w:val="continuous"/>
          <w:pgSz w:w="11906" w:h="16839"/>
          <w:pgMar w:top="1766" w:right="1507" w:bottom="1575" w:left="1579" w:header="1428" w:footer="1172" w:gutter="0"/>
          <w:cols w:equalWidth="0" w:num="2">
            <w:col w:w="4487" w:space="100"/>
            <w:col w:w="4233" w:space="0"/>
          </w:cols>
        </w:sectPr>
        <w:rPr/>
      </w:pPr>
    </w:p>
    <w:p>
      <w:pPr>
        <w:spacing w:before="54"/>
        <w:rPr/>
      </w:pPr>
      <w:r>
        <w:drawing>
          <wp:anchor distT="0" distB="0" distL="0" distR="0" simplePos="0" relativeHeight="252894208"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724" name="IM 1724"/>
            <wp:cNvGraphicFramePr/>
            <a:graphic>
              <a:graphicData uri="http://schemas.openxmlformats.org/drawingml/2006/picture">
                <pic:pic>
                  <pic:nvPicPr>
                    <pic:cNvPr id="1724" name="IM 1724"/>
                    <pic:cNvPicPr/>
                  </pic:nvPicPr>
                  <pic:blipFill>
                    <a:blip r:embed="rId864"/>
                    <a:stretch>
                      <a:fillRect/>
                    </a:stretch>
                  </pic:blipFill>
                  <pic:spPr>
                    <a:xfrm rot="0">
                      <a:off x="0" y="0"/>
                      <a:ext cx="5579745" cy="7620"/>
                    </a:xfrm>
                    <a:prstGeom prst="rect">
                      <a:avLst/>
                    </a:prstGeom>
                  </pic:spPr>
                </pic:pic>
              </a:graphicData>
            </a:graphic>
          </wp:anchor>
        </w:drawing>
      </w:r>
      <w:r/>
    </w:p>
    <w:p>
      <w:pPr>
        <w:sectPr>
          <w:headerReference w:type="default" r:id="rId816"/>
          <w:footerReference w:type="default" r:id="rId863"/>
          <w:pgSz w:w="11906" w:h="16839"/>
          <w:pgMar w:top="1772" w:right="1489" w:bottom="1562" w:left="1567" w:header="1428" w:footer="1172" w:gutter="0"/>
          <w:cols w:equalWidth="0" w:num="1">
            <w:col w:w="8850" w:space="0"/>
          </w:cols>
        </w:sectPr>
        <w:rPr/>
      </w:pPr>
    </w:p>
    <w:p>
      <w:pPr>
        <w:ind w:left="449"/>
        <w:spacing w:before="49"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6</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4"/>
        </w:rPr>
        <w:t>后期处理</w:t>
      </w:r>
    </w:p>
    <w:p>
      <w:pPr>
        <w:pStyle w:val="BodyText"/>
        <w:ind w:left="25" w:right="306" w:firstLine="425"/>
        <w:spacing w:before="96" w:line="349" w:lineRule="auto"/>
        <w:rPr/>
      </w:pPr>
      <w:r>
        <w:rPr>
          <w:rFonts w:ascii="Times New Roman" w:hAnsi="Times New Roman" w:eastAsia="Times New Roman" w:cs="Times New Roman"/>
          <w:spacing w:val="6"/>
        </w:rPr>
        <w:t>6.</w:t>
      </w:r>
      <w:r>
        <w:rPr>
          <w:rFonts w:ascii="Times New Roman" w:hAnsi="Times New Roman" w:eastAsia="Times New Roman" w:cs="Times New Roman"/>
          <w:spacing w:val="-7"/>
        </w:rPr>
        <w:t xml:space="preserve"> </w:t>
      </w:r>
      <w:r>
        <w:rPr>
          <w:rFonts w:ascii="Times New Roman" w:hAnsi="Times New Roman" w:eastAsia="Times New Roman" w:cs="Times New Roman"/>
          <w:spacing w:val="6"/>
        </w:rPr>
        <w:t>1  </w:t>
      </w:r>
      <w:r>
        <w:rPr>
          <w:rFonts w:ascii="KaiTi" w:hAnsi="KaiTi" w:eastAsia="KaiTi" w:cs="KaiTi"/>
          <w:spacing w:val="6"/>
        </w:rPr>
        <w:t>善后处置。</w:t>
      </w:r>
      <w:r>
        <w:rPr>
          <w:spacing w:val="6"/>
        </w:rPr>
        <w:t>道路交通事故应急处置工</w:t>
      </w:r>
      <w:r>
        <w:rPr>
          <w:spacing w:val="7"/>
        </w:rPr>
        <w:t>作结束后，事发地政府及有关单位根据各自职</w:t>
      </w:r>
      <w:r>
        <w:rPr>
          <w:spacing w:val="7"/>
        </w:rPr>
        <w:t>责，开展善后处置工作。包括人员安置、抚恤</w:t>
      </w:r>
      <w:r>
        <w:rPr>
          <w:spacing w:val="8"/>
        </w:rPr>
        <w:t>补偿、保险理赔、征用补偿、救援物资供应、</w:t>
      </w:r>
      <w:r>
        <w:rPr>
          <w:spacing w:val="7"/>
        </w:rPr>
        <w:t>环境污染消除、灾后重建、危险源监控和治理</w:t>
      </w:r>
      <w:r>
        <w:rPr>
          <w:spacing w:val="7"/>
        </w:rPr>
        <w:t>等措施，防止事件次生、衍生危害，尽快恢复</w:t>
      </w:r>
      <w:r>
        <w:rPr>
          <w:spacing w:val="8"/>
        </w:rPr>
        <w:t>正常秩序，确保社会稳定。</w:t>
      </w:r>
    </w:p>
    <w:p>
      <w:pPr>
        <w:ind w:left="450"/>
        <w:spacing w:before="154" w:line="242" w:lineRule="auto"/>
        <w:rPr>
          <w:rFonts w:ascii="KaiTi" w:hAnsi="KaiTi" w:eastAsia="KaiTi" w:cs="KaiTi"/>
          <w:sz w:val="20"/>
          <w:szCs w:val="20"/>
        </w:rPr>
      </w:pPr>
      <w:r>
        <w:rPr>
          <w:rFonts w:ascii="Times New Roman" w:hAnsi="Times New Roman" w:eastAsia="Times New Roman" w:cs="Times New Roman"/>
          <w:sz w:val="20"/>
          <w:szCs w:val="20"/>
          <w:spacing w:val="3"/>
        </w:rPr>
        <w:t>6.2</w:t>
      </w:r>
      <w:r>
        <w:rPr>
          <w:rFonts w:ascii="Times New Roman" w:hAnsi="Times New Roman" w:eastAsia="Times New Roman" w:cs="Times New Roman"/>
          <w:sz w:val="20"/>
          <w:szCs w:val="20"/>
          <w:spacing w:val="10"/>
        </w:rPr>
        <w:t xml:space="preserve">  </w:t>
      </w:r>
      <w:r>
        <w:rPr>
          <w:rFonts w:ascii="KaiTi" w:hAnsi="KaiTi" w:eastAsia="KaiTi" w:cs="KaiTi"/>
          <w:sz w:val="20"/>
          <w:szCs w:val="20"/>
          <w:spacing w:val="3"/>
        </w:rPr>
        <w:t>事故调查。</w:t>
      </w:r>
    </w:p>
    <w:p>
      <w:pPr>
        <w:pStyle w:val="BodyText"/>
        <w:ind w:left="17" w:right="320" w:firstLine="420"/>
        <w:spacing w:before="139" w:line="358"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）按照国务院《生产安全事故报告和</w:t>
      </w:r>
      <w:r>
        <w:rPr>
          <w:spacing w:val="9"/>
        </w:rPr>
        <w:t>调查处理条例》规定</w:t>
      </w:r>
      <w:r>
        <w:rPr>
          <w:spacing w:val="-48"/>
        </w:rPr>
        <w:t xml:space="preserve"> </w:t>
      </w:r>
      <w:r>
        <w:rPr>
          <w:spacing w:val="9"/>
        </w:rPr>
        <w:t>，一次死亡</w:t>
      </w:r>
      <w:r>
        <w:rPr>
          <w:spacing w:val="-36"/>
        </w:rPr>
        <w:t xml:space="preserve"> </w:t>
      </w:r>
      <w:r>
        <w:rPr>
          <w:rFonts w:ascii="Times New Roman" w:hAnsi="Times New Roman" w:eastAsia="Times New Roman" w:cs="Times New Roman"/>
          <w:spacing w:val="9"/>
        </w:rPr>
        <w:t>30 </w:t>
      </w:r>
      <w:r>
        <w:rPr>
          <w:spacing w:val="9"/>
        </w:rPr>
        <w:t>人以上的</w:t>
      </w:r>
      <w:r>
        <w:rPr>
          <w:spacing w:val="7"/>
        </w:rPr>
        <w:t>道路交通事故，由国务院派出事故调查组进行</w:t>
      </w:r>
      <w:r>
        <w:rPr>
          <w:spacing w:val="13"/>
        </w:rPr>
        <w:t>调查</w:t>
      </w:r>
      <w:r>
        <w:rPr>
          <w:spacing w:val="-47"/>
        </w:rPr>
        <w:t xml:space="preserve"> </w:t>
      </w:r>
      <w:r>
        <w:rPr>
          <w:spacing w:val="13"/>
        </w:rPr>
        <w:t>，</w:t>
      </w:r>
      <w:r>
        <w:rPr>
          <w:spacing w:val="-47"/>
        </w:rPr>
        <w:t xml:space="preserve"> </w:t>
      </w:r>
      <w:r>
        <w:rPr>
          <w:spacing w:val="13"/>
        </w:rPr>
        <w:t>自治区政府及有关部门和相关市、县</w:t>
      </w:r>
      <w:r>
        <w:rPr>
          <w:spacing w:val="1"/>
        </w:rPr>
        <w:t>（</w:t>
      </w:r>
      <w:r>
        <w:rPr>
          <w:spacing w:val="-42"/>
        </w:rPr>
        <w:t xml:space="preserve"> </w:t>
      </w:r>
      <w:r>
        <w:rPr>
          <w:spacing w:val="1"/>
        </w:rPr>
        <w:t>区）政府及有关部门配合调查；一次死亡</w:t>
      </w:r>
      <w:r>
        <w:rPr>
          <w:spacing w:val="-23"/>
        </w:rPr>
        <w:t xml:space="preserve"> </w:t>
      </w:r>
      <w:r>
        <w:rPr>
          <w:rFonts w:ascii="Times New Roman" w:hAnsi="Times New Roman" w:eastAsia="Times New Roman" w:cs="Times New Roman"/>
          <w:spacing w:val="1"/>
        </w:rPr>
        <w:t>10</w:t>
      </w:r>
      <w:r>
        <w:rPr>
          <w:spacing w:val="4"/>
        </w:rPr>
        <w:t>人以上，</w:t>
      </w:r>
      <w:r>
        <w:rPr>
          <w:rFonts w:ascii="Times New Roman" w:hAnsi="Times New Roman" w:eastAsia="Times New Roman" w:cs="Times New Roman"/>
          <w:spacing w:val="4"/>
        </w:rPr>
        <w:t>30 </w:t>
      </w:r>
      <w:r>
        <w:rPr>
          <w:spacing w:val="4"/>
        </w:rPr>
        <w:t>人以下的道路交通事故由自治区政</w:t>
      </w:r>
      <w:r>
        <w:rPr>
          <w:spacing w:val="7"/>
        </w:rPr>
        <w:t>府派出事故调查组进行调查，市政府及有关部</w:t>
      </w:r>
      <w:r>
        <w:rPr>
          <w:spacing w:val="5"/>
        </w:rPr>
        <w:t>门和相关县（</w:t>
      </w:r>
      <w:r>
        <w:rPr>
          <w:spacing w:val="-38"/>
        </w:rPr>
        <w:t xml:space="preserve"> </w:t>
      </w:r>
      <w:r>
        <w:rPr>
          <w:spacing w:val="5"/>
        </w:rPr>
        <w:t>区）政府及有关部门配合调查；</w:t>
      </w:r>
      <w:r>
        <w:rPr>
          <w:spacing w:val="4"/>
        </w:rPr>
        <w:t>一次死亡</w:t>
      </w:r>
      <w:r>
        <w:rPr>
          <w:spacing w:val="-37"/>
        </w:rPr>
        <w:t xml:space="preserve"> </w:t>
      </w:r>
      <w:r>
        <w:rPr>
          <w:rFonts w:ascii="Times New Roman" w:hAnsi="Times New Roman" w:eastAsia="Times New Roman" w:cs="Times New Roman"/>
          <w:spacing w:val="4"/>
        </w:rPr>
        <w:t>3 </w:t>
      </w:r>
      <w:r>
        <w:rPr>
          <w:spacing w:val="4"/>
        </w:rPr>
        <w:t>人以上，</w:t>
      </w:r>
      <w:r>
        <w:rPr>
          <w:rFonts w:ascii="Times New Roman" w:hAnsi="Times New Roman" w:eastAsia="Times New Roman" w:cs="Times New Roman"/>
          <w:spacing w:val="4"/>
        </w:rPr>
        <w:t>10 </w:t>
      </w:r>
      <w:r>
        <w:rPr>
          <w:spacing w:val="4"/>
        </w:rPr>
        <w:t>人以下的道路交通事故</w:t>
      </w:r>
      <w:r>
        <w:rPr>
          <w:spacing w:val="16"/>
        </w:rPr>
        <w:t>由市政府派出事故调查组进行调查</w:t>
      </w:r>
      <w:r>
        <w:rPr>
          <w:spacing w:val="-51"/>
        </w:rPr>
        <w:t xml:space="preserve"> </w:t>
      </w:r>
      <w:r>
        <w:rPr>
          <w:spacing w:val="16"/>
        </w:rPr>
        <w:t>，相关县</w:t>
      </w:r>
      <w:r>
        <w:rPr>
          <w:spacing w:val="6"/>
        </w:rPr>
        <w:t>（</w:t>
      </w:r>
      <w:r>
        <w:rPr>
          <w:spacing w:val="-32"/>
        </w:rPr>
        <w:t xml:space="preserve"> </w:t>
      </w:r>
      <w:r>
        <w:rPr>
          <w:spacing w:val="6"/>
        </w:rPr>
        <w:t>区）政府及有关部门配合调查；一次死亡</w:t>
      </w:r>
      <w:r>
        <w:rPr>
          <w:spacing w:val="-39"/>
        </w:rPr>
        <w:t xml:space="preserve"> </w:t>
      </w:r>
      <w:r>
        <w:rPr>
          <w:rFonts w:ascii="Times New Roman" w:hAnsi="Times New Roman" w:eastAsia="Times New Roman" w:cs="Times New Roman"/>
          <w:spacing w:val="6"/>
        </w:rPr>
        <w:t>3</w:t>
      </w:r>
      <w:r>
        <w:rPr>
          <w:spacing w:val="7"/>
        </w:rPr>
        <w:t>人以下的道路交通事故由相关县（区）政府派</w:t>
      </w:r>
      <w:r>
        <w:rPr>
          <w:spacing w:val="9"/>
        </w:rPr>
        <w:t>出事故调查组进行调查。</w:t>
      </w:r>
    </w:p>
    <w:p>
      <w:pPr>
        <w:pStyle w:val="BodyText"/>
        <w:ind w:left="25" w:right="309" w:firstLine="411"/>
        <w:spacing w:before="157" w:line="321"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）事故调查组按照国家有关法律、法</w:t>
      </w:r>
      <w:r>
        <w:rPr>
          <w:spacing w:val="7"/>
        </w:rPr>
        <w:t>规、规章进行调查、处理，依据有关标准对事</w:t>
      </w:r>
      <w:r>
        <w:rPr>
          <w:spacing w:val="8"/>
        </w:rPr>
        <w:t>故损失作出评估，对责任人员提出处理意见。</w:t>
      </w:r>
    </w:p>
    <w:p>
      <w:pPr>
        <w:pStyle w:val="BodyText"/>
        <w:ind w:left="25" w:right="329" w:firstLine="412"/>
        <w:spacing w:before="159" w:line="332"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）对道路交通事故中暴露出来的有关</w:t>
      </w:r>
      <w:r>
        <w:rPr>
          <w:spacing w:val="7"/>
        </w:rPr>
        <w:t>问题，事发地政府、参与事故处置的有关部门</w:t>
      </w:r>
      <w:r>
        <w:rPr>
          <w:spacing w:val="7"/>
        </w:rPr>
        <w:t>应提出整改措施，尽快消除隐患，防止事故重</w:t>
      </w:r>
      <w:r>
        <w:rPr>
          <w:spacing w:val="6"/>
        </w:rPr>
        <w:t>复发生。</w:t>
      </w:r>
    </w:p>
    <w:p>
      <w:pPr>
        <w:ind w:left="449"/>
        <w:spacing w:before="154"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7</w:t>
      </w:r>
      <w:r>
        <w:rPr>
          <w:rFonts w:ascii="Microsoft YaHei" w:hAnsi="Microsoft YaHei" w:eastAsia="Microsoft YaHei" w:cs="Microsoft YaHei"/>
          <w:sz w:val="20"/>
          <w:szCs w:val="20"/>
          <w:spacing w:val="3"/>
        </w:rPr>
        <w:t xml:space="preserve">    </w:t>
      </w:r>
      <w:r>
        <w:rPr>
          <w:rFonts w:ascii="Microsoft YaHei" w:hAnsi="Microsoft YaHei" w:eastAsia="Microsoft YaHei" w:cs="Microsoft YaHei"/>
          <w:sz w:val="20"/>
          <w:szCs w:val="20"/>
          <w:spacing w:val="-3"/>
        </w:rPr>
        <w:t>日常管理</w:t>
      </w:r>
    </w:p>
    <w:p>
      <w:pPr>
        <w:pStyle w:val="BodyText"/>
        <w:ind w:left="24" w:right="329" w:firstLine="425"/>
        <w:spacing w:before="95" w:line="295" w:lineRule="auto"/>
        <w:rPr/>
      </w:pPr>
      <w:r>
        <w:rPr>
          <w:rFonts w:ascii="Times New Roman" w:hAnsi="Times New Roman" w:eastAsia="Times New Roman" w:cs="Times New Roman"/>
          <w:spacing w:val="6"/>
        </w:rPr>
        <w:t>7.</w:t>
      </w:r>
      <w:r>
        <w:rPr>
          <w:rFonts w:ascii="Times New Roman" w:hAnsi="Times New Roman" w:eastAsia="Times New Roman" w:cs="Times New Roman"/>
          <w:spacing w:val="-25"/>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5"/>
          <w:w w:val="101"/>
        </w:rPr>
        <w:t xml:space="preserve">  </w:t>
      </w:r>
      <w:r>
        <w:rPr>
          <w:rFonts w:ascii="KaiTi" w:hAnsi="KaiTi" w:eastAsia="KaiTi" w:cs="KaiTi"/>
          <w:spacing w:val="6"/>
        </w:rPr>
        <w:t>宣传教育培训。</w:t>
      </w:r>
      <w:r>
        <w:rPr>
          <w:spacing w:val="6"/>
        </w:rPr>
        <w:t>各级政府及有关部门</w:t>
      </w:r>
      <w:r>
        <w:rPr>
          <w:spacing w:val="7"/>
        </w:rPr>
        <w:t>要利用电视、广播、报刊等新闻媒体，广泛宣</w:t>
      </w:r>
    </w:p>
    <w:p>
      <w:pPr>
        <w:spacing w:line="14" w:lineRule="auto"/>
        <w:rPr>
          <w:rFonts w:ascii="Arial"/>
          <w:sz w:val="2"/>
        </w:rPr>
      </w:pPr>
      <w:r>
        <w:rPr>
          <w:rFonts w:ascii="Arial" w:hAnsi="Arial" w:eastAsia="Arial" w:cs="Arial"/>
          <w:sz w:val="2"/>
          <w:szCs w:val="2"/>
        </w:rPr>
        <w:br w:type="column"/>
      </w:r>
    </w:p>
    <w:p>
      <w:pPr>
        <w:pStyle w:val="BodyText"/>
        <w:ind w:right="36"/>
        <w:spacing w:before="56" w:line="369" w:lineRule="auto"/>
        <w:jc w:val="both"/>
        <w:rPr/>
      </w:pPr>
      <w:r>
        <w:rPr>
          <w:spacing w:val="7"/>
        </w:rPr>
        <w:t>传道路交通安全法律、法规和道路交通事故的</w:t>
      </w:r>
      <w:r>
        <w:rPr>
          <w:spacing w:val="7"/>
        </w:rPr>
        <w:t>预防、避险、自救、互救的常识，提高公众守</w:t>
      </w:r>
      <w:r>
        <w:rPr>
          <w:spacing w:val="7"/>
        </w:rPr>
        <w:t>法意识和自我防护能力。各级政府和公安交通</w:t>
      </w:r>
      <w:r>
        <w:rPr>
          <w:spacing w:val="7"/>
        </w:rPr>
        <w:t>管理、交通运输、农业农村（农机）等部门要</w:t>
      </w:r>
      <w:r>
        <w:rPr>
          <w:spacing w:val="7"/>
        </w:rPr>
        <w:t>组织、指导相关单位道路交通事故应急救援队</w:t>
      </w:r>
      <w:r>
        <w:rPr/>
        <w:t>伍的技能培训，在机动车驾驶员培训、考试中，</w:t>
      </w:r>
      <w:r>
        <w:rPr>
          <w:spacing w:val="-5"/>
        </w:rPr>
        <w:t>应当设置应急救援的内容，提高自身救援能力。</w:t>
      </w:r>
    </w:p>
    <w:p>
      <w:pPr>
        <w:pStyle w:val="BodyText"/>
        <w:ind w:right="98" w:firstLine="425"/>
        <w:spacing w:before="2" w:line="321" w:lineRule="auto"/>
        <w:rPr/>
      </w:pPr>
      <w:r>
        <w:rPr>
          <w:rFonts w:ascii="Times New Roman" w:hAnsi="Times New Roman" w:eastAsia="Times New Roman" w:cs="Times New Roman"/>
          <w:spacing w:val="8"/>
        </w:rPr>
        <w:t>7.2  </w:t>
      </w:r>
      <w:r>
        <w:rPr>
          <w:rFonts w:ascii="KaiTi" w:hAnsi="KaiTi" w:eastAsia="KaiTi" w:cs="KaiTi"/>
          <w:spacing w:val="8"/>
        </w:rPr>
        <w:t>演练。</w:t>
      </w:r>
      <w:r>
        <w:rPr>
          <w:spacing w:val="8"/>
        </w:rPr>
        <w:t>各级政府和公安交通管理部门</w:t>
      </w:r>
      <w:r>
        <w:rPr>
          <w:spacing w:val="7"/>
        </w:rPr>
        <w:t>要组织协调相关单位，适时开展处置道路交通</w:t>
      </w:r>
      <w:r>
        <w:rPr>
          <w:spacing w:val="9"/>
        </w:rPr>
        <w:t>事故的演练，提高应急处置能力。</w:t>
      </w:r>
    </w:p>
    <w:p>
      <w:pPr>
        <w:ind w:left="425"/>
        <w:spacing w:before="155" w:line="241" w:lineRule="auto"/>
        <w:rPr>
          <w:rFonts w:ascii="KaiTi" w:hAnsi="KaiTi" w:eastAsia="KaiTi" w:cs="KaiTi"/>
          <w:sz w:val="20"/>
          <w:szCs w:val="20"/>
        </w:rPr>
      </w:pPr>
      <w:r>
        <w:rPr>
          <w:rFonts w:ascii="Times New Roman" w:hAnsi="Times New Roman" w:eastAsia="Times New Roman" w:cs="Times New Roman"/>
          <w:sz w:val="20"/>
          <w:szCs w:val="20"/>
          <w:spacing w:val="6"/>
        </w:rPr>
        <w:t>7.3  </w:t>
      </w:r>
      <w:r>
        <w:rPr>
          <w:rFonts w:ascii="KaiTi" w:hAnsi="KaiTi" w:eastAsia="KaiTi" w:cs="KaiTi"/>
          <w:sz w:val="20"/>
          <w:szCs w:val="20"/>
          <w:spacing w:val="6"/>
        </w:rPr>
        <w:t>预案管理与更新。</w:t>
      </w:r>
    </w:p>
    <w:p>
      <w:pPr>
        <w:pStyle w:val="BodyText"/>
        <w:ind w:left="2" w:right="81" w:firstLine="410"/>
        <w:spacing w:before="136" w:line="298" w:lineRule="auto"/>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）本预案由市公安局制定</w:t>
      </w:r>
      <w:r>
        <w:rPr>
          <w:spacing w:val="-59"/>
        </w:rPr>
        <w:t xml:space="preserve"> </w:t>
      </w:r>
      <w:r>
        <w:rPr>
          <w:spacing w:val="5"/>
        </w:rPr>
        <w:t>，经市人民</w:t>
      </w:r>
      <w:r>
        <w:rPr>
          <w:spacing w:val="8"/>
        </w:rPr>
        <w:t>政府审批后，由市人民政府办公室统一印发。</w:t>
      </w:r>
    </w:p>
    <w:p>
      <w:pPr>
        <w:pStyle w:val="BodyText"/>
        <w:ind w:right="36" w:firstLine="412"/>
        <w:spacing w:before="157" w:line="340"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16"/>
        </w:rPr>
        <w:t xml:space="preserve"> </w:t>
      </w:r>
      <w:r>
        <w:rPr>
          <w:spacing w:val="8"/>
        </w:rPr>
        <w:t>）各县（</w:t>
      </w:r>
      <w:r>
        <w:rPr>
          <w:spacing w:val="-48"/>
        </w:rPr>
        <w:t xml:space="preserve"> </w:t>
      </w:r>
      <w:r>
        <w:rPr>
          <w:spacing w:val="8"/>
        </w:rPr>
        <w:t>区）政府及其有关单位、群</w:t>
      </w:r>
      <w:r>
        <w:rPr>
          <w:spacing w:val="7"/>
        </w:rPr>
        <w:t>众自治组织、企事业单位等要按照本预案的规</w:t>
      </w:r>
      <w:r>
        <w:rPr/>
        <w:t>定履行职责，并制定、完善相应的应急预案后，</w:t>
      </w:r>
      <w:r>
        <w:rPr>
          <w:spacing w:val="18"/>
        </w:rPr>
        <w:t>报市道路交通事故应急救援指挥部办公室和</w:t>
      </w:r>
      <w:r>
        <w:rPr>
          <w:spacing w:val="8"/>
        </w:rPr>
        <w:t>市政府办公室值班室备案。</w:t>
      </w:r>
    </w:p>
    <w:p>
      <w:pPr>
        <w:pStyle w:val="BodyText"/>
        <w:ind w:left="5" w:right="101" w:firstLine="407"/>
        <w:spacing w:before="159" w:line="320"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）市公安局要根据预案演练时发现的</w:t>
      </w:r>
      <w:r>
        <w:rPr>
          <w:spacing w:val="7"/>
        </w:rPr>
        <w:t>问题、机构变化等情况，适时组织修订完善本</w:t>
      </w:r>
      <w:r>
        <w:rPr>
          <w:spacing w:val="3"/>
        </w:rPr>
        <w:t>预案。</w:t>
      </w:r>
    </w:p>
    <w:p>
      <w:pPr>
        <w:pStyle w:val="BodyText"/>
        <w:ind w:right="78" w:firstLine="424"/>
        <w:spacing w:before="159" w:line="369" w:lineRule="auto"/>
        <w:jc w:val="both"/>
        <w:rPr/>
      </w:pPr>
      <w:r>
        <w:rPr>
          <w:rFonts w:ascii="Times New Roman" w:hAnsi="Times New Roman" w:eastAsia="Times New Roman" w:cs="Times New Roman"/>
          <w:spacing w:val="8"/>
        </w:rPr>
        <w:t>7.4  </w:t>
      </w:r>
      <w:r>
        <w:rPr>
          <w:rFonts w:ascii="KaiTi" w:hAnsi="KaiTi" w:eastAsia="KaiTi" w:cs="KaiTi"/>
          <w:spacing w:val="8"/>
        </w:rPr>
        <w:t>奖励与责任。</w:t>
      </w:r>
      <w:r>
        <w:rPr>
          <w:spacing w:val="8"/>
        </w:rPr>
        <w:t>对在实施道路交通事故</w:t>
      </w:r>
      <w:r>
        <w:rPr>
          <w:spacing w:val="8"/>
        </w:rPr>
        <w:t>应急救援和处置行动中反应迅速、表现突出、</w:t>
      </w:r>
      <w:r>
        <w:rPr>
          <w:spacing w:val="7"/>
        </w:rPr>
        <w:t>处置果断、决策正确的单位和个人，依据相关</w:t>
      </w:r>
      <w:r>
        <w:rPr>
          <w:spacing w:val="8"/>
        </w:rPr>
        <w:t>规定给予表彰奖励。</w:t>
      </w:r>
    </w:p>
    <w:p>
      <w:pPr>
        <w:pStyle w:val="BodyText"/>
        <w:ind w:right="94" w:firstLine="439"/>
        <w:spacing w:before="7" w:line="365" w:lineRule="auto"/>
        <w:jc w:val="both"/>
        <w:rPr/>
      </w:pPr>
      <w:r>
        <w:rPr>
          <w:spacing w:val="6"/>
        </w:rPr>
        <w:t>因玩忽职守、贻误时机造成严重后果的，</w:t>
      </w:r>
      <w:r>
        <w:rPr>
          <w:spacing w:val="7"/>
        </w:rPr>
        <w:t>依据有关法律法规和规定，追究有关单位负责</w:t>
      </w:r>
      <w:r>
        <w:rPr>
          <w:spacing w:val="8"/>
        </w:rPr>
        <w:t>人和有关责任人的责任。</w:t>
      </w:r>
    </w:p>
    <w:p>
      <w:pPr>
        <w:ind w:left="424"/>
        <w:spacing w:before="1"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8    附则</w:t>
      </w:r>
    </w:p>
    <w:p>
      <w:pPr>
        <w:pStyle w:val="BodyText"/>
        <w:ind w:left="1" w:right="101" w:firstLine="441"/>
        <w:spacing w:before="96" w:line="359" w:lineRule="auto"/>
        <w:rPr/>
      </w:pPr>
      <w:r>
        <w:rPr>
          <w:rFonts w:ascii="KaiTi" w:hAnsi="KaiTi" w:eastAsia="KaiTi" w:cs="KaiTi"/>
          <w:spacing w:val="5"/>
        </w:rPr>
        <w:t>以上、以下的含义。</w:t>
      </w:r>
      <w:r>
        <w:rPr>
          <w:spacing w:val="5"/>
        </w:rPr>
        <w:t>本预案有关数量的表</w:t>
      </w:r>
      <w:r>
        <w:rPr>
          <w:spacing w:val="5"/>
        </w:rPr>
        <w:t>述中，</w:t>
      </w:r>
      <w:r>
        <w:rPr>
          <w:rFonts w:ascii="Times New Roman" w:hAnsi="Times New Roman" w:eastAsia="Times New Roman" w:cs="Times New Roman"/>
          <w:spacing w:val="5"/>
        </w:rPr>
        <w:t>“</w:t>
      </w:r>
      <w:r>
        <w:rPr>
          <w:rFonts w:ascii="Times New Roman" w:hAnsi="Times New Roman" w:eastAsia="Times New Roman" w:cs="Times New Roman"/>
          <w:spacing w:val="-12"/>
        </w:rPr>
        <w:t xml:space="preserve"> </w:t>
      </w:r>
      <w:r>
        <w:rPr>
          <w:spacing w:val="5"/>
        </w:rPr>
        <w:t>以上</w:t>
      </w:r>
      <w:r>
        <w:rPr>
          <w:rFonts w:ascii="Times New Roman" w:hAnsi="Times New Roman" w:eastAsia="Times New Roman" w:cs="Times New Roman"/>
          <w:spacing w:val="5"/>
        </w:rPr>
        <w:t>”</w:t>
      </w:r>
      <w:r>
        <w:rPr>
          <w:spacing w:val="5"/>
        </w:rPr>
        <w:t>含本数，</w:t>
      </w:r>
      <w:r>
        <w:rPr>
          <w:rFonts w:ascii="Times New Roman" w:hAnsi="Times New Roman" w:eastAsia="Times New Roman" w:cs="Times New Roman"/>
          <w:spacing w:val="5"/>
        </w:rPr>
        <w:t>“</w:t>
      </w:r>
      <w:r>
        <w:rPr>
          <w:rFonts w:ascii="Times New Roman" w:hAnsi="Times New Roman" w:eastAsia="Times New Roman" w:cs="Times New Roman"/>
          <w:spacing w:val="-30"/>
        </w:rPr>
        <w:t xml:space="preserve"> </w:t>
      </w:r>
      <w:r>
        <w:rPr>
          <w:spacing w:val="5"/>
        </w:rPr>
        <w:t>以下</w:t>
      </w:r>
      <w:r>
        <w:rPr>
          <w:rFonts w:ascii="Times New Roman" w:hAnsi="Times New Roman" w:eastAsia="Times New Roman" w:cs="Times New Roman"/>
          <w:spacing w:val="5"/>
        </w:rPr>
        <w:t>”</w:t>
      </w:r>
      <w:r>
        <w:rPr>
          <w:spacing w:val="5"/>
        </w:rPr>
        <w:t>不含本数。</w:t>
      </w:r>
    </w:p>
    <w:p>
      <w:pPr>
        <w:ind w:left="426"/>
        <w:spacing w:before="16" w:line="17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9    附件</w:t>
      </w:r>
    </w:p>
    <w:p>
      <w:pPr>
        <w:spacing w:line="172" w:lineRule="auto"/>
        <w:sectPr>
          <w:type w:val="continuous"/>
          <w:pgSz w:w="11906" w:h="16839"/>
          <w:pgMar w:top="1772" w:right="1489" w:bottom="1562" w:left="1567" w:header="1428" w:footer="1172" w:gutter="0"/>
          <w:cols w:equalWidth="0" w:num="2">
            <w:col w:w="4502" w:space="100"/>
            <w:col w:w="4249" w:space="0"/>
          </w:cols>
        </w:sectPr>
        <w:rPr>
          <w:rFonts w:ascii="Microsoft YaHei" w:hAnsi="Microsoft YaHei" w:eastAsia="Microsoft YaHei" w:cs="Microsoft YaHei"/>
          <w:sz w:val="20"/>
          <w:szCs w:val="20"/>
        </w:rPr>
      </w:pPr>
    </w:p>
    <w:p>
      <w:pPr>
        <w:ind w:left="21"/>
        <w:spacing w:before="97" w:line="210" w:lineRule="auto"/>
        <w:rPr>
          <w:rFonts w:ascii="Microsoft YaHei" w:hAnsi="Microsoft YaHei" w:eastAsia="Microsoft YaHei" w:cs="Microsoft YaHei"/>
          <w:sz w:val="28"/>
          <w:szCs w:val="28"/>
        </w:rPr>
      </w:pPr>
      <w:r>
        <w:drawing>
          <wp:anchor distT="0" distB="0" distL="0" distR="0" simplePos="0" relativeHeight="252905472"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728" name="IM 1728"/>
            <wp:cNvGraphicFramePr/>
            <a:graphic>
              <a:graphicData uri="http://schemas.openxmlformats.org/drawingml/2006/picture">
                <pic:pic>
                  <pic:nvPicPr>
                    <pic:cNvPr id="1728" name="IM 1728"/>
                    <pic:cNvPicPr/>
                  </pic:nvPicPr>
                  <pic:blipFill>
                    <a:blip r:embed="rId866"/>
                    <a:stretch>
                      <a:fillRect/>
                    </a:stretch>
                  </pic:blipFill>
                  <pic:spPr>
                    <a:xfrm rot="0">
                      <a:off x="0" y="0"/>
                      <a:ext cx="5579745" cy="7620"/>
                    </a:xfrm>
                    <a:prstGeom prst="rect">
                      <a:avLst/>
                    </a:prstGeom>
                  </pic:spPr>
                </pic:pic>
              </a:graphicData>
            </a:graphic>
          </wp:anchor>
        </w:drawing>
      </w:r>
      <w:r>
        <w:rPr>
          <w:rFonts w:ascii="Microsoft YaHei" w:hAnsi="Microsoft YaHei" w:eastAsia="Microsoft YaHei" w:cs="Microsoft YaHei"/>
          <w:sz w:val="28"/>
          <w:szCs w:val="28"/>
          <w:spacing w:val="-2"/>
        </w:rPr>
        <w:t>9.1  固原市道路交通事故应急预案指挥处置流程</w:t>
      </w:r>
    </w:p>
    <w:p>
      <w:pPr>
        <w:spacing w:line="305" w:lineRule="auto"/>
        <w:rPr>
          <w:rFonts w:ascii="Arial"/>
          <w:sz w:val="21"/>
        </w:rPr>
      </w:pPr>
      <w:r/>
    </w:p>
    <w:p>
      <w:pPr>
        <w:ind w:firstLine="484"/>
        <w:spacing w:line="12341" w:lineRule="exact"/>
        <w:rPr/>
      </w:pPr>
      <w:r>
        <w:rPr>
          <w:position w:val="-246"/>
        </w:rPr>
        <w:drawing>
          <wp:inline distT="0" distB="0" distL="0" distR="0">
            <wp:extent cx="4927091" cy="7836407"/>
            <wp:effectExtent l="0" t="0" r="0" b="0"/>
            <wp:docPr id="1730" name="IM 1730"/>
            <wp:cNvGraphicFramePr/>
            <a:graphic>
              <a:graphicData uri="http://schemas.openxmlformats.org/drawingml/2006/picture">
                <pic:pic>
                  <pic:nvPicPr>
                    <pic:cNvPr id="1730" name="IM 1730"/>
                    <pic:cNvPicPr/>
                  </pic:nvPicPr>
                  <pic:blipFill>
                    <a:blip r:embed="rId867"/>
                    <a:stretch>
                      <a:fillRect/>
                    </a:stretch>
                  </pic:blipFill>
                  <pic:spPr>
                    <a:xfrm rot="0">
                      <a:off x="0" y="0"/>
                      <a:ext cx="4927091" cy="7836407"/>
                    </a:xfrm>
                    <a:prstGeom prst="rect">
                      <a:avLst/>
                    </a:prstGeom>
                  </pic:spPr>
                </pic:pic>
              </a:graphicData>
            </a:graphic>
          </wp:inline>
        </w:drawing>
      </w:r>
    </w:p>
    <w:p>
      <w:pPr>
        <w:spacing w:line="12341" w:lineRule="exact"/>
        <w:sectPr>
          <w:headerReference w:type="default" r:id="rId549"/>
          <w:footerReference w:type="default" r:id="rId865"/>
          <w:pgSz w:w="11906" w:h="16839"/>
          <w:pgMar w:top="1766" w:right="1530" w:bottom="1575" w:left="1579" w:header="1428" w:footer="1172" w:gutter="0"/>
        </w:sectPr>
        <w:rPr/>
      </w:pPr>
    </w:p>
    <w:p>
      <w:pPr>
        <w:spacing w:line="331" w:lineRule="auto"/>
        <w:rPr>
          <w:rFonts w:ascii="Arial"/>
          <w:sz w:val="21"/>
        </w:rPr>
      </w:pPr>
      <w:r>
        <w:drawing>
          <wp:anchor distT="0" distB="0" distL="0" distR="0" simplePos="0" relativeHeight="252916736" behindDoc="0" locked="0" layoutInCell="1" allowOverlap="1">
            <wp:simplePos x="0" y="0"/>
            <wp:positionH relativeFrom="column">
              <wp:posOffset>13334</wp:posOffset>
            </wp:positionH>
            <wp:positionV relativeFrom="paragraph">
              <wp:posOffset>-152</wp:posOffset>
            </wp:positionV>
            <wp:extent cx="5579745" cy="7620"/>
            <wp:effectExtent l="0" t="0" r="0" b="0"/>
            <wp:wrapNone/>
            <wp:docPr id="1734" name="IM 1734"/>
            <wp:cNvGraphicFramePr/>
            <a:graphic>
              <a:graphicData uri="http://schemas.openxmlformats.org/drawingml/2006/picture">
                <pic:pic>
                  <pic:nvPicPr>
                    <pic:cNvPr id="1734" name="IM 1734"/>
                    <pic:cNvPicPr/>
                  </pic:nvPicPr>
                  <pic:blipFill>
                    <a:blip r:embed="rId869"/>
                    <a:stretch>
                      <a:fillRect/>
                    </a:stretch>
                  </pic:blipFill>
                  <pic:spPr>
                    <a:xfrm rot="0">
                      <a:off x="0" y="0"/>
                      <a:ext cx="5579745" cy="7620"/>
                    </a:xfrm>
                    <a:prstGeom prst="rect">
                      <a:avLst/>
                    </a:prstGeom>
                  </pic:spPr>
                </pic:pic>
              </a:graphicData>
            </a:graphic>
          </wp:anchor>
        </w:drawing>
      </w:r>
      <w:r/>
    </w:p>
    <w:p>
      <w:pPr>
        <w:spacing w:line="331" w:lineRule="auto"/>
        <w:rPr>
          <w:rFonts w:ascii="Arial"/>
          <w:sz w:val="21"/>
        </w:rPr>
      </w:pPr>
      <w:r/>
    </w:p>
    <w:p>
      <w:pPr>
        <w:ind w:left="674"/>
        <w:spacing w:before="185" w:line="215"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8"/>
        </w:rPr>
        <w:t>固原市恶劣天气道路交通安全应急预案</w:t>
      </w:r>
    </w:p>
    <w:p>
      <w:pPr>
        <w:spacing w:before="7"/>
        <w:rPr/>
      </w:pPr>
      <w:r/>
    </w:p>
    <w:p>
      <w:pPr>
        <w:spacing w:before="7"/>
        <w:rPr/>
      </w:pPr>
      <w:r/>
    </w:p>
    <w:p>
      <w:pPr>
        <w:sectPr>
          <w:headerReference w:type="default" r:id="rId810"/>
          <w:footerReference w:type="default" r:id="rId868"/>
          <w:pgSz w:w="11906" w:h="16839"/>
          <w:pgMar w:top="1772" w:right="1489" w:bottom="1562" w:left="1567" w:header="1428" w:footer="1172" w:gutter="0"/>
          <w:cols w:equalWidth="0" w:num="1">
            <w:col w:w="8850" w:space="0"/>
          </w:cols>
        </w:sectPr>
        <w:rPr/>
      </w:pPr>
    </w:p>
    <w:p>
      <w:pPr>
        <w:ind w:left="462"/>
        <w:spacing w:before="48"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1</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7"/>
        </w:rPr>
        <w:t>总则</w:t>
      </w:r>
    </w:p>
    <w:p>
      <w:pPr>
        <w:pStyle w:val="BodyText"/>
        <w:ind w:left="24" w:right="265" w:firstLine="441"/>
        <w:spacing w:before="74" w:line="330" w:lineRule="auto"/>
        <w:rPr/>
      </w:pPr>
      <w:r>
        <w:rPr>
          <w:rFonts w:ascii="Times New Roman" w:hAnsi="Times New Roman" w:eastAsia="Times New Roman" w:cs="Times New Roman"/>
          <w:spacing w:val="3"/>
        </w:rPr>
        <w:t>1.</w:t>
      </w:r>
      <w:r>
        <w:rPr>
          <w:rFonts w:ascii="Times New Roman" w:hAnsi="Times New Roman" w:eastAsia="Times New Roman" w:cs="Times New Roman"/>
          <w:spacing w:val="-9"/>
        </w:rPr>
        <w:t xml:space="preserve"> </w:t>
      </w:r>
      <w:r>
        <w:rPr>
          <w:rFonts w:ascii="Times New Roman" w:hAnsi="Times New Roman" w:eastAsia="Times New Roman" w:cs="Times New Roman"/>
          <w:spacing w:val="3"/>
        </w:rPr>
        <w:t>1  </w:t>
      </w:r>
      <w:r>
        <w:rPr>
          <w:rFonts w:ascii="KaiTi" w:hAnsi="KaiTi" w:eastAsia="KaiTi" w:cs="KaiTi"/>
          <w:spacing w:val="3"/>
        </w:rPr>
        <w:t>编制</w:t>
      </w:r>
      <w:r>
        <w:rPr>
          <w:rFonts w:ascii="KaiTi" w:hAnsi="KaiTi" w:eastAsia="KaiTi" w:cs="KaiTi"/>
          <w:spacing w:val="-50"/>
        </w:rPr>
        <w:t xml:space="preserve"> </w:t>
      </w:r>
      <w:r>
        <w:rPr>
          <w:rFonts w:ascii="KaiTi" w:hAnsi="KaiTi" w:eastAsia="KaiTi" w:cs="KaiTi"/>
          <w:spacing w:val="3"/>
        </w:rPr>
        <w:t>目的。</w:t>
      </w:r>
      <w:r>
        <w:rPr>
          <w:spacing w:val="3"/>
        </w:rPr>
        <w:t>为切实做好恶劣天气情况</w:t>
      </w:r>
      <w:r>
        <w:rPr/>
        <w:t>下的道路交通安全管理，提前预警，及早准备，</w:t>
      </w:r>
      <w:r>
        <w:rPr>
          <w:spacing w:val="7"/>
        </w:rPr>
        <w:t>快速行动，最大限度的预防和减少恶劣天气对</w:t>
      </w:r>
      <w:r>
        <w:rPr>
          <w:spacing w:val="7"/>
        </w:rPr>
        <w:t>道路交通秩序和交通安全带来的不利影响，确</w:t>
      </w:r>
      <w:r>
        <w:rPr/>
        <w:t>保道路交通安全、有序、畅通，保障公众安全，</w:t>
      </w:r>
      <w:r>
        <w:rPr>
          <w:spacing w:val="8"/>
        </w:rPr>
        <w:t>维护社会稳定，制定本预案。</w:t>
      </w:r>
    </w:p>
    <w:p>
      <w:pPr>
        <w:pStyle w:val="BodyText"/>
        <w:ind w:left="9" w:right="211" w:firstLine="457"/>
        <w:spacing w:before="136" w:line="332" w:lineRule="auto"/>
        <w:rPr/>
      </w:pPr>
      <w:r>
        <w:rPr>
          <w:rFonts w:ascii="Times New Roman" w:hAnsi="Times New Roman" w:eastAsia="Times New Roman" w:cs="Times New Roman"/>
          <w:spacing w:val="7"/>
        </w:rPr>
        <w:t>1.2  </w:t>
      </w:r>
      <w:r>
        <w:rPr>
          <w:rFonts w:ascii="KaiTi" w:hAnsi="KaiTi" w:eastAsia="KaiTi" w:cs="KaiTi"/>
          <w:spacing w:val="7"/>
        </w:rPr>
        <w:t>编制依据。</w:t>
      </w:r>
      <w:r>
        <w:rPr>
          <w:spacing w:val="7"/>
        </w:rPr>
        <w:t>依据《中华人民共和国道</w:t>
      </w:r>
      <w:r>
        <w:rPr>
          <w:spacing w:val="3"/>
        </w:rPr>
        <w:t>路交通安全法》《中华人民共和国安全生产法》</w:t>
      </w:r>
      <w:r>
        <w:rPr>
          <w:spacing w:val="16"/>
        </w:rPr>
        <w:t xml:space="preserve"> </w:t>
      </w:r>
      <w:r>
        <w:rPr>
          <w:spacing w:val="11"/>
        </w:rPr>
        <w:t>《中华人民共和国道路交通安全法实施条例》</w:t>
      </w:r>
      <w:r>
        <w:rPr>
          <w:spacing w:val="2"/>
        </w:rPr>
        <w:t xml:space="preserve"> </w:t>
      </w:r>
      <w:r>
        <w:rPr>
          <w:spacing w:val="8"/>
        </w:rPr>
        <w:t>《宁夏回族自治区道路交通安全条例》和《固</w:t>
      </w:r>
      <w:r>
        <w:rPr>
          <w:spacing w:val="10"/>
        </w:rPr>
        <w:t>原市突发公共事件总体应急预案》等。</w:t>
      </w:r>
    </w:p>
    <w:p>
      <w:pPr>
        <w:pStyle w:val="BodyText"/>
        <w:ind w:left="25" w:right="325" w:firstLine="440"/>
        <w:spacing w:before="106" w:line="329" w:lineRule="auto"/>
        <w:rPr/>
      </w:pPr>
      <w:r>
        <w:rPr>
          <w:rFonts w:ascii="Times New Roman" w:hAnsi="Times New Roman" w:eastAsia="Times New Roman" w:cs="Times New Roman"/>
          <w:spacing w:val="7"/>
        </w:rPr>
        <w:t>1.3  </w:t>
      </w:r>
      <w:r>
        <w:rPr>
          <w:rFonts w:ascii="KaiTi" w:hAnsi="KaiTi" w:eastAsia="KaiTi" w:cs="KaiTi"/>
          <w:spacing w:val="7"/>
        </w:rPr>
        <w:t>适用范围。</w:t>
      </w:r>
      <w:r>
        <w:rPr>
          <w:spacing w:val="7"/>
        </w:rPr>
        <w:t>本预案适用于固原市境内</w:t>
      </w:r>
      <w:r>
        <w:rPr>
          <w:spacing w:val="11"/>
        </w:rPr>
        <w:t>冰、雪、雨、大风、雾（能见度小于</w:t>
      </w:r>
      <w:r>
        <w:rPr>
          <w:spacing w:val="-32"/>
        </w:rPr>
        <w:t xml:space="preserve"> </w:t>
      </w:r>
      <w:r>
        <w:rPr>
          <w:rFonts w:ascii="Times New Roman" w:hAnsi="Times New Roman" w:eastAsia="Times New Roman" w:cs="Times New Roman"/>
          <w:spacing w:val="11"/>
        </w:rPr>
        <w:t>50 </w:t>
      </w:r>
      <w:r>
        <w:rPr>
          <w:spacing w:val="11"/>
        </w:rPr>
        <w:t>米）</w:t>
      </w:r>
      <w:r>
        <w:rPr>
          <w:spacing w:val="15"/>
        </w:rPr>
        <w:t>等恶劣天气情况下</w:t>
      </w:r>
      <w:r>
        <w:rPr>
          <w:spacing w:val="-41"/>
        </w:rPr>
        <w:t xml:space="preserve"> </w:t>
      </w:r>
      <w:r>
        <w:rPr>
          <w:spacing w:val="15"/>
        </w:rPr>
        <w:t>，引发重特大道路交通事</w:t>
      </w:r>
      <w:r>
        <w:rPr>
          <w:spacing w:val="7"/>
        </w:rPr>
        <w:t>故、道路严重损毁、山体滑坡、长时间和长距</w:t>
      </w:r>
      <w:r>
        <w:rPr>
          <w:spacing w:val="7"/>
        </w:rPr>
        <w:t>离交通拥堵、驾乘人员大量滞留等危害，需要</w:t>
      </w:r>
      <w:r>
        <w:rPr>
          <w:spacing w:val="9"/>
        </w:rPr>
        <w:t>相关职能部门共同预防和实施救援、处置。</w:t>
      </w:r>
    </w:p>
    <w:p>
      <w:pPr>
        <w:ind w:left="466"/>
        <w:spacing w:before="136" w:line="241" w:lineRule="auto"/>
        <w:rPr>
          <w:rFonts w:ascii="KaiTi" w:hAnsi="KaiTi" w:eastAsia="KaiTi" w:cs="KaiTi"/>
          <w:sz w:val="20"/>
          <w:szCs w:val="20"/>
        </w:rPr>
      </w:pPr>
      <w:r>
        <w:rPr>
          <w:rFonts w:ascii="Times New Roman" w:hAnsi="Times New Roman" w:eastAsia="Times New Roman" w:cs="Times New Roman"/>
          <w:sz w:val="20"/>
          <w:szCs w:val="20"/>
          <w:spacing w:val="1"/>
        </w:rPr>
        <w:t>1.4</w:t>
      </w:r>
      <w:r>
        <w:rPr>
          <w:rFonts w:ascii="Times New Roman" w:hAnsi="Times New Roman" w:eastAsia="Times New Roman" w:cs="Times New Roman"/>
          <w:sz w:val="20"/>
          <w:szCs w:val="20"/>
          <w:spacing w:val="10"/>
        </w:rPr>
        <w:t xml:space="preserve">  </w:t>
      </w:r>
      <w:r>
        <w:rPr>
          <w:rFonts w:ascii="KaiTi" w:hAnsi="KaiTi" w:eastAsia="KaiTi" w:cs="KaiTi"/>
          <w:sz w:val="20"/>
          <w:szCs w:val="20"/>
          <w:spacing w:val="1"/>
        </w:rPr>
        <w:t>工作原则。</w:t>
      </w:r>
    </w:p>
    <w:p>
      <w:pPr>
        <w:pStyle w:val="BodyText"/>
        <w:ind w:left="25" w:right="329" w:firstLine="411"/>
        <w:spacing w:before="119" w:line="320"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）及早准备，提前预警。各相关职能</w:t>
      </w:r>
      <w:r>
        <w:rPr>
          <w:spacing w:val="7"/>
        </w:rPr>
        <w:t>部门应当按照各自的职责分工和权限，根据不</w:t>
      </w:r>
      <w:r>
        <w:rPr>
          <w:spacing w:val="7"/>
        </w:rPr>
        <w:t>同季节对道路交通安全的影响，做好相关准备</w:t>
      </w:r>
      <w:r>
        <w:rPr>
          <w:spacing w:val="9"/>
        </w:rPr>
        <w:t>工作，遇有恶劣天气适时启动预案。</w:t>
      </w:r>
    </w:p>
    <w:p>
      <w:pPr>
        <w:pStyle w:val="BodyText"/>
        <w:ind w:left="25" w:right="252" w:firstLine="412"/>
        <w:spacing w:before="135" w:line="309"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）统一领导，属地负责。按照属地原</w:t>
      </w:r>
      <w:r>
        <w:rPr>
          <w:spacing w:val="7"/>
        </w:rPr>
        <w:t>则，在政府的统一领导下，各相关职能部门分</w:t>
      </w:r>
      <w:r>
        <w:rPr>
          <w:spacing w:val="1"/>
        </w:rPr>
        <w:t>级负责，协调配合，有序地开展相关工作措施。</w:t>
      </w:r>
    </w:p>
    <w:p>
      <w:pPr>
        <w:pStyle w:val="BodyText"/>
        <w:ind w:left="24" w:right="327" w:firstLine="413"/>
        <w:spacing w:before="134" w:line="311" w:lineRule="auto"/>
        <w:rPr/>
      </w:pPr>
      <w:r>
        <w:rPr>
          <w:spacing w:val="6"/>
        </w:rPr>
        <w:t>（</w:t>
      </w:r>
      <w:r>
        <w:rPr>
          <w:rFonts w:ascii="Times New Roman" w:hAnsi="Times New Roman" w:eastAsia="Times New Roman" w:cs="Times New Roman"/>
          <w:spacing w:val="6"/>
        </w:rPr>
        <w:t>3</w:t>
      </w:r>
      <w:r>
        <w:rPr>
          <w:rFonts w:ascii="Times New Roman" w:hAnsi="Times New Roman" w:eastAsia="Times New Roman" w:cs="Times New Roman"/>
          <w:spacing w:val="-18"/>
        </w:rPr>
        <w:t xml:space="preserve"> </w:t>
      </w:r>
      <w:r>
        <w:rPr>
          <w:spacing w:val="6"/>
        </w:rPr>
        <w:t>）预防为主，平战结合。贯彻落实</w:t>
      </w:r>
      <w:r>
        <w:rPr>
          <w:rFonts w:ascii="Times New Roman" w:hAnsi="Times New Roman" w:eastAsia="Times New Roman" w:cs="Times New Roman"/>
          <w:spacing w:val="6"/>
        </w:rPr>
        <w:t>“</w:t>
      </w:r>
      <w:r>
        <w:rPr>
          <w:spacing w:val="6"/>
        </w:rPr>
        <w:t>安</w:t>
      </w:r>
      <w:r>
        <w:rPr>
          <w:spacing w:val="6"/>
        </w:rPr>
        <w:t>全第一</w:t>
      </w:r>
      <w:r>
        <w:rPr>
          <w:spacing w:val="-46"/>
        </w:rPr>
        <w:t xml:space="preserve"> </w:t>
      </w:r>
      <w:r>
        <w:rPr>
          <w:spacing w:val="6"/>
        </w:rPr>
        <w:t>，预防为主</w:t>
      </w:r>
      <w:r>
        <w:rPr>
          <w:spacing w:val="-58"/>
        </w:rPr>
        <w:t xml:space="preserve"> </w:t>
      </w:r>
      <w:r>
        <w:rPr>
          <w:spacing w:val="6"/>
        </w:rPr>
        <w:t>，综合治理</w:t>
      </w:r>
      <w:r>
        <w:rPr>
          <w:rFonts w:ascii="Times New Roman" w:hAnsi="Times New Roman" w:eastAsia="Times New Roman" w:cs="Times New Roman"/>
          <w:spacing w:val="6"/>
        </w:rPr>
        <w:t>”</w:t>
      </w:r>
      <w:r>
        <w:rPr>
          <w:spacing w:val="6"/>
        </w:rPr>
        <w:t>的方针</w:t>
      </w:r>
      <w:r>
        <w:rPr>
          <w:spacing w:val="-59"/>
        </w:rPr>
        <w:t xml:space="preserve"> </w:t>
      </w:r>
      <w:r>
        <w:rPr>
          <w:spacing w:val="6"/>
        </w:rPr>
        <w:t>，落实</w:t>
      </w:r>
      <w:r>
        <w:rPr>
          <w:spacing w:val="18"/>
        </w:rPr>
        <w:t>恶劣天气对道路交通安全影响采取的各项措</w:t>
      </w:r>
      <w:r>
        <w:rPr>
          <w:spacing w:val="7"/>
        </w:rPr>
        <w:t>施，建立应对恶劣天气道路交通安全的快速反</w:t>
      </w:r>
    </w:p>
    <w:p>
      <w:pPr>
        <w:spacing w:line="14" w:lineRule="auto"/>
        <w:rPr>
          <w:rFonts w:ascii="Arial"/>
          <w:sz w:val="2"/>
        </w:rPr>
      </w:pPr>
      <w:r>
        <w:rPr>
          <w:rFonts w:ascii="Arial" w:hAnsi="Arial" w:eastAsia="Arial" w:cs="Arial"/>
          <w:sz w:val="2"/>
          <w:szCs w:val="2"/>
        </w:rPr>
        <w:br w:type="column"/>
      </w:r>
    </w:p>
    <w:p>
      <w:pPr>
        <w:pStyle w:val="BodyText"/>
        <w:spacing w:before="56" w:line="222" w:lineRule="auto"/>
        <w:rPr/>
      </w:pPr>
      <w:r>
        <w:rPr>
          <w:spacing w:val="1"/>
        </w:rPr>
        <w:t>应机制，做到常备不懈，快速反应，处置得当。</w:t>
      </w:r>
    </w:p>
    <w:p>
      <w:pPr>
        <w:ind w:left="423"/>
        <w:spacing w:before="145" w:line="18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2</w:t>
      </w:r>
      <w:r>
        <w:rPr>
          <w:rFonts w:ascii="Microsoft YaHei" w:hAnsi="Microsoft YaHei" w:eastAsia="Microsoft YaHei" w:cs="Microsoft YaHei"/>
          <w:sz w:val="20"/>
          <w:szCs w:val="20"/>
          <w:spacing w:val="15"/>
          <w:w w:val="101"/>
        </w:rPr>
        <w:t xml:space="preserve">   </w:t>
      </w:r>
      <w:r>
        <w:rPr>
          <w:rFonts w:ascii="Microsoft YaHei" w:hAnsi="Microsoft YaHei" w:eastAsia="Microsoft YaHei" w:cs="Microsoft YaHei"/>
          <w:sz w:val="20"/>
          <w:szCs w:val="20"/>
          <w:spacing w:val="5"/>
        </w:rPr>
        <w:t>组织指挥体系</w:t>
      </w:r>
    </w:p>
    <w:p>
      <w:pPr>
        <w:pStyle w:val="BodyText"/>
        <w:ind w:left="2" w:right="101" w:firstLine="419"/>
        <w:spacing w:before="109" w:line="352" w:lineRule="auto"/>
        <w:jc w:val="both"/>
        <w:rPr/>
      </w:pPr>
      <w:r>
        <w:rPr>
          <w:rFonts w:ascii="Times New Roman" w:hAnsi="Times New Roman" w:eastAsia="Times New Roman" w:cs="Times New Roman"/>
          <w:spacing w:val="7"/>
        </w:rPr>
        <w:t>2.1</w:t>
      </w:r>
      <w:r>
        <w:rPr>
          <w:rFonts w:ascii="Times New Roman" w:hAnsi="Times New Roman" w:eastAsia="Times New Roman" w:cs="Times New Roman"/>
          <w:spacing w:val="20"/>
          <w:w w:val="101"/>
        </w:rPr>
        <w:t xml:space="preserve">  </w:t>
      </w:r>
      <w:r>
        <w:rPr>
          <w:rFonts w:ascii="KaiTi" w:hAnsi="KaiTi" w:eastAsia="KaiTi" w:cs="KaiTi"/>
          <w:spacing w:val="7"/>
        </w:rPr>
        <w:t>固原市道路交通事故应急指挥部。</w:t>
      </w:r>
      <w:r>
        <w:rPr>
          <w:spacing w:val="7"/>
        </w:rPr>
        <w:t>市</w:t>
      </w:r>
      <w:r>
        <w:rPr>
          <w:spacing w:val="18"/>
        </w:rPr>
        <w:t>政府设立市道路交通事故应急指挥部。在市</w:t>
      </w:r>
      <w:r>
        <w:rPr>
          <w:spacing w:val="7"/>
        </w:rPr>
        <w:t>委，市政府安排部署下，负责领导、组织、协</w:t>
      </w:r>
      <w:r>
        <w:rPr>
          <w:spacing w:val="7"/>
        </w:rPr>
        <w:t>调市道路交通事故的应急管理工作，统一指挥</w:t>
      </w:r>
      <w:r>
        <w:rPr>
          <w:spacing w:val="7"/>
        </w:rPr>
        <w:t>市道路交通事故及其次生、衍生灾害的应急处</w:t>
      </w:r>
      <w:r>
        <w:rPr>
          <w:spacing w:val="5"/>
        </w:rPr>
        <w:t>置工作。</w:t>
      </w:r>
    </w:p>
    <w:p>
      <w:pPr>
        <w:pStyle w:val="BodyText"/>
        <w:ind w:left="3" w:right="101" w:firstLine="419"/>
        <w:spacing w:before="2" w:line="349" w:lineRule="auto"/>
        <w:jc w:val="both"/>
        <w:rPr/>
      </w:pPr>
      <w:r>
        <w:rPr>
          <w:spacing w:val="6"/>
        </w:rPr>
        <w:t>发生重大或特别重大突发公共事件，或者</w:t>
      </w:r>
      <w:r>
        <w:rPr>
          <w:spacing w:val="7"/>
        </w:rPr>
        <w:t>突发公共事件出现复杂情况，超出单个专项应</w:t>
      </w:r>
      <w:r>
        <w:rPr>
          <w:spacing w:val="7"/>
        </w:rPr>
        <w:t>急指挥机构处置能力和工作职责时，由市应急</w:t>
      </w:r>
      <w:r>
        <w:rPr>
          <w:spacing w:val="8"/>
        </w:rPr>
        <w:t>管理指挥部负责指挥应对处置工作。</w:t>
      </w:r>
    </w:p>
    <w:p>
      <w:pPr>
        <w:pStyle w:val="BodyText"/>
        <w:ind w:left="420"/>
        <w:spacing w:line="278" w:lineRule="exact"/>
        <w:rPr/>
      </w:pPr>
      <w:r>
        <w:rPr>
          <w:spacing w:val="7"/>
          <w:position w:val="1"/>
        </w:rPr>
        <w:t>其主要职责有：</w:t>
      </w:r>
    </w:p>
    <w:p>
      <w:pPr>
        <w:pStyle w:val="BodyText"/>
        <w:spacing w:before="103" w:line="277" w:lineRule="exact"/>
        <w:jc w:val="right"/>
        <w:rPr/>
      </w:pPr>
      <w:r>
        <w:rPr>
          <w:spacing w:val="-9"/>
          <w:position w:val="1"/>
        </w:rPr>
        <w:t>（</w:t>
      </w:r>
      <w:r>
        <w:rPr>
          <w:spacing w:val="-34"/>
          <w:position w:val="1"/>
        </w:rPr>
        <w:t xml:space="preserve"> </w:t>
      </w:r>
      <w:r>
        <w:rPr>
          <w:rFonts w:ascii="Times New Roman" w:hAnsi="Times New Roman" w:eastAsia="Times New Roman" w:cs="Times New Roman"/>
          <w:spacing w:val="-9"/>
          <w:position w:val="1"/>
        </w:rPr>
        <w:t>1</w:t>
      </w:r>
      <w:r>
        <w:rPr>
          <w:rFonts w:ascii="Times New Roman" w:hAnsi="Times New Roman" w:eastAsia="Times New Roman" w:cs="Times New Roman"/>
          <w:spacing w:val="-21"/>
          <w:position w:val="1"/>
        </w:rPr>
        <w:t xml:space="preserve"> </w:t>
      </w:r>
      <w:r>
        <w:rPr>
          <w:spacing w:val="-9"/>
          <w:position w:val="1"/>
        </w:rPr>
        <w:t>）统一指挥全市道路交通安全应急行动。</w:t>
      </w:r>
    </w:p>
    <w:p>
      <w:pPr>
        <w:pStyle w:val="BodyText"/>
        <w:ind w:left="413"/>
        <w:spacing w:before="102" w:line="277" w:lineRule="exact"/>
        <w:rPr/>
      </w:pPr>
      <w:r>
        <w:rPr>
          <w:spacing w:val="6"/>
          <w:position w:val="1"/>
        </w:rPr>
        <w:t>（</w:t>
      </w:r>
      <w:r>
        <w:rPr>
          <w:rFonts w:ascii="Times New Roman" w:hAnsi="Times New Roman" w:eastAsia="Times New Roman" w:cs="Times New Roman"/>
          <w:spacing w:val="6"/>
          <w:position w:val="1"/>
        </w:rPr>
        <w:t>2</w:t>
      </w:r>
      <w:r>
        <w:rPr>
          <w:rFonts w:ascii="Times New Roman" w:hAnsi="Times New Roman" w:eastAsia="Times New Roman" w:cs="Times New Roman"/>
          <w:spacing w:val="-21"/>
          <w:position w:val="1"/>
        </w:rPr>
        <w:t xml:space="preserve"> </w:t>
      </w:r>
      <w:r>
        <w:rPr>
          <w:spacing w:val="6"/>
          <w:position w:val="1"/>
        </w:rPr>
        <w:t>）负责启动本预案。</w:t>
      </w:r>
    </w:p>
    <w:p>
      <w:pPr>
        <w:pStyle w:val="BodyText"/>
        <w:ind w:left="1" w:right="103" w:firstLine="411"/>
        <w:spacing w:before="101" w:line="288" w:lineRule="auto"/>
        <w:rPr/>
      </w:pPr>
      <w:r>
        <w:rPr>
          <w:spacing w:val="8"/>
        </w:rPr>
        <w:t>（</w:t>
      </w:r>
      <w:r>
        <w:rPr>
          <w:rFonts w:ascii="Times New Roman" w:hAnsi="Times New Roman" w:eastAsia="Times New Roman" w:cs="Times New Roman"/>
          <w:spacing w:val="8"/>
        </w:rPr>
        <w:t>3</w:t>
      </w:r>
      <w:r>
        <w:rPr>
          <w:rFonts w:ascii="Times New Roman" w:hAnsi="Times New Roman" w:eastAsia="Times New Roman" w:cs="Times New Roman"/>
          <w:spacing w:val="-5"/>
        </w:rPr>
        <w:t xml:space="preserve"> </w:t>
      </w:r>
      <w:r>
        <w:rPr>
          <w:spacing w:val="8"/>
        </w:rPr>
        <w:t>）对应急行动作出决策</w:t>
      </w:r>
      <w:r>
        <w:rPr>
          <w:spacing w:val="-59"/>
        </w:rPr>
        <w:t xml:space="preserve"> </w:t>
      </w:r>
      <w:r>
        <w:rPr>
          <w:spacing w:val="8"/>
        </w:rPr>
        <w:t>，下达命令和</w:t>
      </w:r>
      <w:r>
        <w:rPr>
          <w:spacing w:val="6"/>
        </w:rPr>
        <w:t>进行监督。</w:t>
      </w:r>
    </w:p>
    <w:p>
      <w:pPr>
        <w:pStyle w:val="BodyText"/>
        <w:ind w:right="101" w:firstLine="413"/>
        <w:spacing w:before="139" w:line="309" w:lineRule="auto"/>
        <w:rPr/>
      </w:pPr>
      <w:r>
        <w:rPr>
          <w:spacing w:val="8"/>
        </w:rPr>
        <w:t>（</w:t>
      </w:r>
      <w:r>
        <w:rPr>
          <w:rFonts w:ascii="Times New Roman" w:hAnsi="Times New Roman" w:eastAsia="Times New Roman" w:cs="Times New Roman"/>
          <w:spacing w:val="8"/>
        </w:rPr>
        <w:t>4</w:t>
      </w:r>
      <w:r>
        <w:rPr>
          <w:rFonts w:ascii="Times New Roman" w:hAnsi="Times New Roman" w:eastAsia="Times New Roman" w:cs="Times New Roman"/>
          <w:spacing w:val="-5"/>
        </w:rPr>
        <w:t xml:space="preserve"> </w:t>
      </w:r>
      <w:r>
        <w:rPr>
          <w:spacing w:val="8"/>
        </w:rPr>
        <w:t>）协调有关部门和单位参加救援</w:t>
      </w:r>
      <w:r>
        <w:rPr>
          <w:spacing w:val="-59"/>
        </w:rPr>
        <w:t xml:space="preserve"> </w:t>
      </w:r>
      <w:r>
        <w:rPr>
          <w:spacing w:val="8"/>
        </w:rPr>
        <w:t>，紧</w:t>
      </w:r>
      <w:r>
        <w:rPr>
          <w:spacing w:val="7"/>
        </w:rPr>
        <w:t>急指挥调度应急储备物资、交通工具及相关设</w:t>
      </w:r>
      <w:r>
        <w:rPr>
          <w:spacing w:val="9"/>
        </w:rPr>
        <w:t>施设备，跨区域警务、勤务的协作。</w:t>
      </w:r>
    </w:p>
    <w:p>
      <w:pPr>
        <w:pStyle w:val="BodyText"/>
        <w:ind w:left="2" w:right="101" w:firstLine="410"/>
        <w:spacing w:before="134" w:line="309" w:lineRule="auto"/>
        <w:rPr/>
      </w:pPr>
      <w:r>
        <w:rPr>
          <w:spacing w:val="7"/>
        </w:rPr>
        <w:t>（</w:t>
      </w:r>
      <w:r>
        <w:rPr>
          <w:spacing w:val="-50"/>
        </w:rPr>
        <w:t xml:space="preserve"> </w:t>
      </w:r>
      <w:r>
        <w:rPr>
          <w:rFonts w:ascii="Times New Roman" w:hAnsi="Times New Roman" w:eastAsia="Times New Roman" w:cs="Times New Roman"/>
          <w:spacing w:val="7"/>
        </w:rPr>
        <w:t>5 </w:t>
      </w:r>
      <w:r>
        <w:rPr>
          <w:spacing w:val="7"/>
        </w:rPr>
        <w:t>）向市政府报告应急工作进展情况，</w:t>
      </w:r>
      <w:r>
        <w:rPr>
          <w:spacing w:val="7"/>
        </w:rPr>
        <w:t>必要时由市政府请示自治区政府，请求自治区</w:t>
      </w:r>
      <w:r>
        <w:rPr>
          <w:spacing w:val="8"/>
        </w:rPr>
        <w:t>政府有关部门给予支援。</w:t>
      </w:r>
    </w:p>
    <w:p>
      <w:pPr>
        <w:pStyle w:val="BodyText"/>
        <w:ind w:left="6" w:right="103" w:firstLine="406"/>
        <w:spacing w:before="136" w:line="287" w:lineRule="auto"/>
        <w:rPr/>
      </w:pPr>
      <w:r>
        <w:rPr>
          <w:spacing w:val="11"/>
        </w:rPr>
        <w:t>（</w:t>
      </w:r>
      <w:r>
        <w:rPr>
          <w:rFonts w:ascii="Times New Roman" w:hAnsi="Times New Roman" w:eastAsia="Times New Roman" w:cs="Times New Roman"/>
          <w:spacing w:val="11"/>
        </w:rPr>
        <w:t>6</w:t>
      </w:r>
      <w:r>
        <w:rPr>
          <w:rFonts w:ascii="Times New Roman" w:hAnsi="Times New Roman" w:eastAsia="Times New Roman" w:cs="Times New Roman"/>
          <w:spacing w:val="-18"/>
        </w:rPr>
        <w:t xml:space="preserve"> </w:t>
      </w:r>
      <w:r>
        <w:rPr>
          <w:spacing w:val="11"/>
        </w:rPr>
        <w:t>）研究解决应急处置过程中的其他重</w:t>
      </w:r>
      <w:r>
        <w:rPr>
          <w:spacing w:val="4"/>
        </w:rPr>
        <w:t>大事项。</w:t>
      </w:r>
    </w:p>
    <w:p>
      <w:pPr>
        <w:pStyle w:val="BodyText"/>
        <w:ind w:left="423"/>
        <w:spacing w:before="139" w:line="278" w:lineRule="exact"/>
        <w:rPr/>
      </w:pPr>
      <w:r>
        <w:rPr>
          <w:spacing w:val="9"/>
          <w:position w:val="1"/>
        </w:rPr>
        <w:t>指挥长：分管公安工作的副市长</w:t>
      </w:r>
    </w:p>
    <w:p>
      <w:pPr>
        <w:pStyle w:val="BodyText"/>
        <w:ind w:left="3" w:right="78" w:firstLine="424"/>
        <w:spacing w:before="102" w:line="333" w:lineRule="auto"/>
        <w:rPr/>
      </w:pPr>
      <w:r>
        <w:rPr>
          <w:spacing w:val="7"/>
        </w:rPr>
        <w:t>副指挥长：市公安局分管交警的副局长、</w:t>
      </w:r>
      <w:r>
        <w:rPr>
          <w:spacing w:val="9"/>
        </w:rPr>
        <w:t>市交通运输局分管副局长</w:t>
      </w:r>
    </w:p>
    <w:p>
      <w:pPr>
        <w:pStyle w:val="BodyText"/>
        <w:ind w:left="1" w:right="101" w:firstLine="420"/>
        <w:spacing w:before="38" w:line="271" w:lineRule="auto"/>
        <w:rPr/>
      </w:pPr>
      <w:r>
        <w:rPr>
          <w:spacing w:val="6"/>
        </w:rPr>
        <w:t>成员单位：市公安局、消防救援支队、市</w:t>
      </w:r>
      <w:r>
        <w:rPr>
          <w:spacing w:val="7"/>
        </w:rPr>
        <w:t>交通运输局、市民政局、市应急管理局、市财</w:t>
      </w:r>
    </w:p>
    <w:p>
      <w:pPr>
        <w:spacing w:line="271" w:lineRule="auto"/>
        <w:sectPr>
          <w:type w:val="continuous"/>
          <w:pgSz w:w="11906" w:h="16839"/>
          <w:pgMar w:top="1772" w:right="1489" w:bottom="1562" w:left="1567" w:header="1428" w:footer="1172" w:gutter="0"/>
          <w:cols w:equalWidth="0" w:num="2">
            <w:col w:w="4502" w:space="100"/>
            <w:col w:w="4249" w:space="0"/>
          </w:cols>
        </w:sectPr>
        <w:rPr/>
      </w:pPr>
    </w:p>
    <w:p>
      <w:pPr>
        <w:spacing w:line="131" w:lineRule="exact"/>
        <w:rPr/>
      </w:pPr>
      <w:r>
        <w:drawing>
          <wp:anchor distT="0" distB="0" distL="0" distR="0" simplePos="0" relativeHeight="25292800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738" name="IM 1738"/>
            <wp:cNvGraphicFramePr/>
            <a:graphic>
              <a:graphicData uri="http://schemas.openxmlformats.org/drawingml/2006/picture">
                <pic:pic>
                  <pic:nvPicPr>
                    <pic:cNvPr id="1738" name="IM 1738"/>
                    <pic:cNvPicPr/>
                  </pic:nvPicPr>
                  <pic:blipFill>
                    <a:blip r:embed="rId871"/>
                    <a:stretch>
                      <a:fillRect/>
                    </a:stretch>
                  </pic:blipFill>
                  <pic:spPr>
                    <a:xfrm rot="0">
                      <a:off x="0" y="0"/>
                      <a:ext cx="5579745" cy="7620"/>
                    </a:xfrm>
                    <a:prstGeom prst="rect">
                      <a:avLst/>
                    </a:prstGeom>
                  </pic:spPr>
                </pic:pic>
              </a:graphicData>
            </a:graphic>
          </wp:anchor>
        </w:drawing>
      </w:r>
      <w:r/>
    </w:p>
    <w:p>
      <w:pPr>
        <w:spacing w:line="131" w:lineRule="exact"/>
        <w:sectPr>
          <w:headerReference w:type="default" r:id="rId549"/>
          <w:footerReference w:type="default" r:id="rId870"/>
          <w:pgSz w:w="11906" w:h="16839"/>
          <w:pgMar w:top="1766" w:right="1530" w:bottom="1575" w:left="1579" w:header="1428" w:footer="1172" w:gutter="0"/>
          <w:cols w:equalWidth="0" w:num="1">
            <w:col w:w="8796" w:space="0"/>
          </w:cols>
        </w:sectPr>
        <w:rPr/>
      </w:pPr>
    </w:p>
    <w:p>
      <w:pPr>
        <w:pStyle w:val="BodyText"/>
        <w:ind w:left="12" w:right="330" w:firstLine="1"/>
        <w:spacing w:before="40" w:line="346" w:lineRule="auto"/>
        <w:jc w:val="both"/>
        <w:rPr/>
      </w:pPr>
      <w:r>
        <w:rPr>
          <w:spacing w:val="7"/>
        </w:rPr>
        <w:t>政局、市卫生健康委员会、市气象局、市文化</w:t>
      </w:r>
      <w:r>
        <w:rPr>
          <w:spacing w:val="7"/>
        </w:rPr>
        <w:t>旅游广电局等部门（单位）有关负责人，市应</w:t>
      </w:r>
      <w:r>
        <w:rPr>
          <w:spacing w:val="18"/>
        </w:rPr>
        <w:t>急指挥部根据工作需要确定的非政府职能部</w:t>
      </w:r>
      <w:r>
        <w:rPr>
          <w:spacing w:val="7"/>
        </w:rPr>
        <w:t>门（单位）以及事发地县、区政府有关负责人</w:t>
      </w:r>
      <w:r>
        <w:rPr>
          <w:spacing w:val="4"/>
        </w:rPr>
        <w:t>组成。</w:t>
      </w:r>
    </w:p>
    <w:p>
      <w:pPr>
        <w:pStyle w:val="BodyText"/>
        <w:ind w:left="14" w:right="330" w:firstLine="420"/>
        <w:spacing w:before="27" w:line="349" w:lineRule="auto"/>
        <w:jc w:val="both"/>
        <w:rPr/>
      </w:pPr>
      <w:r>
        <w:rPr>
          <w:spacing w:val="19"/>
        </w:rPr>
        <w:t>市道路交通安全应急指挥部按照职责分</w:t>
      </w:r>
      <w:r>
        <w:rPr>
          <w:spacing w:val="7"/>
        </w:rPr>
        <w:t>工和协同联动工作需要，将各成员单位按照职</w:t>
      </w:r>
      <w:r>
        <w:rPr>
          <w:spacing w:val="8"/>
        </w:rPr>
        <w:t>责分组开展应急处置工作。</w:t>
      </w:r>
    </w:p>
    <w:p>
      <w:pPr>
        <w:pStyle w:val="BodyText"/>
        <w:ind w:left="424"/>
        <w:spacing w:line="278" w:lineRule="exact"/>
        <w:rPr/>
      </w:pPr>
      <w:r>
        <w:rPr>
          <w:spacing w:val="1"/>
          <w:position w:val="1"/>
        </w:rPr>
        <w:t>（</w:t>
      </w:r>
      <w:r>
        <w:rPr>
          <w:spacing w:val="-45"/>
          <w:position w:val="1"/>
        </w:rPr>
        <w:t xml:space="preserve"> </w:t>
      </w:r>
      <w:r>
        <w:rPr>
          <w:rFonts w:ascii="Times New Roman" w:hAnsi="Times New Roman" w:eastAsia="Times New Roman" w:cs="Times New Roman"/>
          <w:spacing w:val="1"/>
          <w:position w:val="1"/>
        </w:rPr>
        <w:t>1</w:t>
      </w:r>
      <w:r>
        <w:rPr>
          <w:rFonts w:ascii="Times New Roman" w:hAnsi="Times New Roman" w:eastAsia="Times New Roman" w:cs="Times New Roman"/>
          <w:spacing w:val="-21"/>
          <w:position w:val="1"/>
        </w:rPr>
        <w:t xml:space="preserve"> </w:t>
      </w:r>
      <w:r>
        <w:rPr>
          <w:spacing w:val="1"/>
          <w:position w:val="1"/>
        </w:rPr>
        <w:t>）综合协调工作组。</w:t>
      </w:r>
    </w:p>
    <w:p>
      <w:pPr>
        <w:pStyle w:val="BodyText"/>
        <w:ind w:left="433"/>
        <w:spacing w:before="99" w:line="277" w:lineRule="exact"/>
        <w:rPr/>
      </w:pPr>
      <w:r>
        <w:rPr>
          <w:spacing w:val="9"/>
          <w:position w:val="1"/>
        </w:rPr>
        <w:t>组  长：市公安局分管交警的副局长</w:t>
      </w:r>
    </w:p>
    <w:p>
      <w:pPr>
        <w:pStyle w:val="BodyText"/>
        <w:ind w:left="439"/>
        <w:spacing w:before="102" w:line="278" w:lineRule="exact"/>
        <w:rPr/>
      </w:pPr>
      <w:r>
        <w:rPr>
          <w:spacing w:val="-4"/>
          <w:position w:val="1"/>
        </w:rPr>
        <w:t>副组长：由市应急指挥部根据工作需要确定</w:t>
      </w:r>
    </w:p>
    <w:p>
      <w:pPr>
        <w:pStyle w:val="BodyText"/>
        <w:ind w:left="12" w:right="330" w:firstLine="420"/>
        <w:spacing w:before="99" w:line="333" w:lineRule="auto"/>
        <w:rPr/>
      </w:pPr>
      <w:r>
        <w:rPr>
          <w:spacing w:val="6"/>
        </w:rPr>
        <w:t>成员单位：市公安局、市气象局及其相关</w:t>
      </w:r>
      <w:r>
        <w:rPr>
          <w:spacing w:val="7"/>
        </w:rPr>
        <w:t>单位</w:t>
      </w:r>
    </w:p>
    <w:p>
      <w:pPr>
        <w:pStyle w:val="BodyText"/>
        <w:ind w:left="14" w:right="248" w:firstLine="427"/>
        <w:spacing w:before="35" w:line="333" w:lineRule="auto"/>
        <w:rPr/>
      </w:pPr>
      <w:r>
        <w:rPr>
          <w:spacing w:val="6"/>
        </w:rPr>
        <w:t>主要职责：负责传达落实指挥部和现场指</w:t>
      </w:r>
      <w:r>
        <w:rPr>
          <w:spacing w:val="-8"/>
        </w:rPr>
        <w:t>挥部指示，收集信息，协调其他工作组开展工作。</w:t>
      </w:r>
    </w:p>
    <w:p>
      <w:pPr>
        <w:pStyle w:val="BodyText"/>
        <w:ind w:left="17" w:right="330" w:firstLine="417"/>
        <w:spacing w:before="33" w:line="345" w:lineRule="auto"/>
        <w:rPr/>
      </w:pPr>
      <w:r>
        <w:rPr>
          <w:spacing w:val="6"/>
        </w:rPr>
        <w:t>市公安局：负责恶劣天气道路交通安全应</w:t>
      </w:r>
      <w:r>
        <w:rPr>
          <w:spacing w:val="17"/>
        </w:rPr>
        <w:t>急救援信息上传下达和市指挥部各成员单位</w:t>
      </w:r>
      <w:r>
        <w:rPr>
          <w:spacing w:val="6"/>
        </w:rPr>
        <w:t>的联络工作。</w:t>
      </w:r>
    </w:p>
    <w:p>
      <w:pPr>
        <w:pStyle w:val="BodyText"/>
        <w:ind w:left="14" w:right="310" w:firstLine="420"/>
        <w:spacing w:before="14" w:line="331" w:lineRule="auto"/>
        <w:rPr/>
      </w:pPr>
      <w:r>
        <w:rPr>
          <w:spacing w:val="6"/>
        </w:rPr>
        <w:t>市气象局：分析和评估天气对道路交通安</w:t>
      </w:r>
      <w:r>
        <w:rPr>
          <w:spacing w:val="8"/>
        </w:rPr>
        <w:t>全的影响，适时发布道路交通安全预警信息。</w:t>
      </w:r>
    </w:p>
    <w:p>
      <w:pPr>
        <w:pStyle w:val="BodyText"/>
        <w:ind w:left="13" w:right="330" w:firstLine="419"/>
        <w:spacing w:before="44" w:line="347" w:lineRule="auto"/>
        <w:rPr/>
      </w:pPr>
      <w:r>
        <w:rPr>
          <w:spacing w:val="7"/>
        </w:rPr>
        <w:t>其他单位按照职责分工，承担相应的应急</w:t>
      </w:r>
      <w:r>
        <w:rPr>
          <w:spacing w:val="6"/>
        </w:rPr>
        <w:t>救援任务。</w:t>
      </w:r>
    </w:p>
    <w:p>
      <w:pPr>
        <w:pStyle w:val="BodyText"/>
        <w:ind w:left="424"/>
        <w:spacing w:line="277" w:lineRule="exact"/>
        <w:rPr/>
      </w:pPr>
      <w:r>
        <w:rPr>
          <w:spacing w:val="6"/>
          <w:position w:val="1"/>
        </w:rPr>
        <w:t>（</w:t>
      </w:r>
      <w:r>
        <w:rPr>
          <w:rFonts w:ascii="Times New Roman" w:hAnsi="Times New Roman" w:eastAsia="Times New Roman" w:cs="Times New Roman"/>
          <w:spacing w:val="6"/>
          <w:position w:val="1"/>
        </w:rPr>
        <w:t>2</w:t>
      </w:r>
      <w:r>
        <w:rPr>
          <w:rFonts w:ascii="Times New Roman" w:hAnsi="Times New Roman" w:eastAsia="Times New Roman" w:cs="Times New Roman"/>
          <w:spacing w:val="-21"/>
          <w:position w:val="1"/>
        </w:rPr>
        <w:t xml:space="preserve"> </w:t>
      </w:r>
      <w:r>
        <w:rPr>
          <w:spacing w:val="6"/>
          <w:position w:val="1"/>
        </w:rPr>
        <w:t>）现场管控工作组。</w:t>
      </w:r>
    </w:p>
    <w:p>
      <w:pPr>
        <w:pStyle w:val="BodyText"/>
        <w:ind w:left="433"/>
        <w:spacing w:before="99" w:line="278" w:lineRule="exact"/>
        <w:rPr/>
      </w:pPr>
      <w:r>
        <w:rPr>
          <w:spacing w:val="8"/>
          <w:position w:val="1"/>
        </w:rPr>
        <w:t>组  长：市公安局分管副局长</w:t>
      </w:r>
    </w:p>
    <w:p>
      <w:pPr>
        <w:pStyle w:val="BodyText"/>
        <w:ind w:left="439"/>
        <w:spacing w:before="102" w:line="277" w:lineRule="exact"/>
        <w:rPr/>
      </w:pPr>
      <w:r>
        <w:rPr>
          <w:spacing w:val="9"/>
          <w:position w:val="1"/>
        </w:rPr>
        <w:t>副组长：市交通运输局分管副局长</w:t>
      </w:r>
    </w:p>
    <w:p>
      <w:pPr>
        <w:pStyle w:val="BodyText"/>
        <w:ind w:left="28" w:right="330" w:firstLine="405"/>
        <w:spacing w:before="100" w:line="332" w:lineRule="auto"/>
        <w:rPr/>
      </w:pPr>
      <w:r>
        <w:rPr>
          <w:spacing w:val="6"/>
        </w:rPr>
        <w:t>成员单位：市公安局、市交通运输局、消</w:t>
      </w:r>
      <w:r>
        <w:rPr>
          <w:spacing w:val="6"/>
        </w:rPr>
        <w:t>防救援支队</w:t>
      </w:r>
    </w:p>
    <w:p>
      <w:pPr>
        <w:pStyle w:val="BodyText"/>
        <w:ind w:left="14" w:right="330" w:firstLine="427"/>
        <w:spacing w:before="35" w:line="346" w:lineRule="auto"/>
        <w:jc w:val="both"/>
        <w:rPr/>
      </w:pPr>
      <w:r>
        <w:rPr>
          <w:spacing w:val="6"/>
        </w:rPr>
        <w:t>主要职责：负责道路交通管制、疏导，组</w:t>
      </w:r>
      <w:r>
        <w:rPr>
          <w:spacing w:val="7"/>
        </w:rPr>
        <w:t>织人员搜救、险情排除，现场的安全保卫和秩</w:t>
      </w:r>
      <w:r>
        <w:rPr>
          <w:spacing w:val="9"/>
        </w:rPr>
        <w:t>序维护，并协助做好人员疏散工作。</w:t>
      </w:r>
    </w:p>
    <w:p>
      <w:pPr>
        <w:pStyle w:val="BodyText"/>
        <w:ind w:left="12" w:right="323" w:firstLine="422"/>
        <w:spacing w:before="11" w:line="318" w:lineRule="auto"/>
        <w:jc w:val="both"/>
        <w:rPr/>
      </w:pPr>
      <w:r>
        <w:rPr>
          <w:spacing w:val="6"/>
        </w:rPr>
        <w:t>市公安局：负责道路交通事故信息上传下</w:t>
      </w:r>
      <w:r>
        <w:rPr>
          <w:spacing w:val="7"/>
        </w:rPr>
        <w:t>达和指挥部各成员单位的联络工作；统一调动</w:t>
      </w:r>
      <w:r>
        <w:rPr>
          <w:spacing w:val="7"/>
        </w:rPr>
        <w:t>全市警力抢救伤者和财物，指挥和协调现场警</w:t>
      </w:r>
      <w:r>
        <w:rPr>
          <w:spacing w:val="7"/>
        </w:rPr>
        <w:t>戒和保卫、交通管制、清障、维护交通秩序，</w:t>
      </w:r>
      <w:r>
        <w:rPr>
          <w:spacing w:val="7"/>
        </w:rPr>
        <w:t>清理事故现场，保障救援通道畅通；进行道路</w:t>
      </w:r>
    </w:p>
    <w:p>
      <w:pPr>
        <w:spacing w:line="14" w:lineRule="auto"/>
        <w:rPr>
          <w:rFonts w:ascii="Arial"/>
          <w:sz w:val="2"/>
        </w:rPr>
      </w:pPr>
      <w:r>
        <w:rPr>
          <w:rFonts w:ascii="Arial" w:hAnsi="Arial" w:eastAsia="Arial" w:cs="Arial"/>
          <w:sz w:val="2"/>
          <w:szCs w:val="2"/>
        </w:rPr>
        <w:br w:type="column"/>
      </w:r>
    </w:p>
    <w:p>
      <w:pPr>
        <w:pStyle w:val="BodyText"/>
        <w:ind w:right="59"/>
        <w:spacing w:before="38" w:line="348" w:lineRule="auto"/>
        <w:jc w:val="both"/>
        <w:rPr/>
      </w:pPr>
      <w:r>
        <w:rPr>
          <w:spacing w:val="7"/>
        </w:rPr>
        <w:t>交通事故现场勘查和调查；组织全市恶劣天气</w:t>
      </w:r>
      <w:r>
        <w:rPr>
          <w:spacing w:val="7"/>
        </w:rPr>
        <w:t>道路交通安全演练，建立恶劣天气道路交通安</w:t>
      </w:r>
      <w:r>
        <w:rPr>
          <w:spacing w:val="6"/>
        </w:rPr>
        <w:t>全专家组。</w:t>
      </w:r>
    </w:p>
    <w:p>
      <w:pPr>
        <w:pStyle w:val="BodyText"/>
        <w:ind w:right="39" w:firstLine="427"/>
        <w:spacing w:line="330" w:lineRule="auto"/>
        <w:rPr/>
      </w:pPr>
      <w:r>
        <w:rPr>
          <w:spacing w:val="6"/>
        </w:rPr>
        <w:t>消防救援支队：负责组织事故现场的人员</w:t>
      </w:r>
      <w:r>
        <w:rPr>
          <w:spacing w:val="8"/>
        </w:rPr>
        <w:t>搜救、抢救伤者、险情排除等具体救援工作。</w:t>
      </w:r>
    </w:p>
    <w:p>
      <w:pPr>
        <w:pStyle w:val="BodyText"/>
        <w:ind w:left="2" w:right="59" w:firstLine="420"/>
        <w:spacing w:before="42" w:line="348" w:lineRule="auto"/>
        <w:rPr/>
      </w:pPr>
      <w:r>
        <w:rPr>
          <w:spacing w:val="6"/>
        </w:rPr>
        <w:t>市交通运输局：负责组织公路交通事故应</w:t>
      </w:r>
      <w:r>
        <w:rPr>
          <w:spacing w:val="7"/>
        </w:rPr>
        <w:t>急救援的运输车辆，运送疏散撤离人员和救援</w:t>
      </w:r>
      <w:r>
        <w:rPr>
          <w:spacing w:val="7"/>
        </w:rPr>
        <w:t>物资，消除塌方、断桥等原因引起的道路交通</w:t>
      </w:r>
      <w:r>
        <w:rPr>
          <w:spacing w:val="7"/>
        </w:rPr>
        <w:t>中断因素，确保道路交通畅通。参与营运车辆</w:t>
      </w:r>
      <w:r>
        <w:rPr>
          <w:spacing w:val="8"/>
        </w:rPr>
        <w:t>发生道路交通事故的调查。</w:t>
      </w:r>
    </w:p>
    <w:p>
      <w:pPr>
        <w:pStyle w:val="BodyText"/>
        <w:ind w:left="412"/>
        <w:spacing w:before="2" w:line="278" w:lineRule="exact"/>
        <w:rPr/>
      </w:pPr>
      <w:r>
        <w:rPr>
          <w:spacing w:val="6"/>
          <w:position w:val="1"/>
        </w:rPr>
        <w:t>（</w:t>
      </w:r>
      <w:r>
        <w:rPr>
          <w:rFonts w:ascii="Times New Roman" w:hAnsi="Times New Roman" w:eastAsia="Times New Roman" w:cs="Times New Roman"/>
          <w:spacing w:val="6"/>
          <w:position w:val="1"/>
        </w:rPr>
        <w:t>3</w:t>
      </w:r>
      <w:r>
        <w:rPr>
          <w:rFonts w:ascii="Times New Roman" w:hAnsi="Times New Roman" w:eastAsia="Times New Roman" w:cs="Times New Roman"/>
          <w:spacing w:val="-21"/>
          <w:position w:val="1"/>
        </w:rPr>
        <w:t xml:space="preserve"> </w:t>
      </w:r>
      <w:r>
        <w:rPr>
          <w:spacing w:val="6"/>
          <w:position w:val="1"/>
        </w:rPr>
        <w:t>）医疗救护工作组。</w:t>
      </w:r>
    </w:p>
    <w:p>
      <w:pPr>
        <w:pStyle w:val="BodyText"/>
        <w:ind w:left="420" w:right="49"/>
        <w:spacing w:before="101" w:line="348" w:lineRule="auto"/>
        <w:rPr/>
      </w:pPr>
      <w:r>
        <w:rPr>
          <w:spacing w:val="9"/>
        </w:rPr>
        <w:t>组  长：市卫生健康委员会分管副主任</w:t>
      </w:r>
      <w:r>
        <w:rPr>
          <w:spacing w:val="-4"/>
        </w:rPr>
        <w:t>副组长：由市应急指挥部根据工作需要确定</w:t>
      </w:r>
      <w:r>
        <w:rPr>
          <w:spacing w:val="6"/>
        </w:rPr>
        <w:t>成员单位：市卫生健康委员会、中国人保</w:t>
      </w:r>
    </w:p>
    <w:p>
      <w:pPr>
        <w:pStyle w:val="BodyText"/>
        <w:ind w:left="2"/>
        <w:spacing w:before="7" w:line="221" w:lineRule="auto"/>
        <w:rPr/>
      </w:pPr>
      <w:r>
        <w:rPr>
          <w:spacing w:val="9"/>
        </w:rPr>
        <w:t>财险固原分公司</w:t>
      </w:r>
    </w:p>
    <w:p>
      <w:pPr>
        <w:pStyle w:val="BodyText"/>
        <w:ind w:right="59" w:firstLine="428"/>
        <w:spacing w:before="134" w:line="346" w:lineRule="auto"/>
        <w:jc w:val="both"/>
        <w:rPr/>
      </w:pPr>
      <w:r>
        <w:rPr>
          <w:spacing w:val="6"/>
        </w:rPr>
        <w:t>主要职责：负责对伤亡人员的抢救、医护</w:t>
      </w:r>
      <w:r>
        <w:rPr>
          <w:spacing w:val="7"/>
        </w:rPr>
        <w:t>和安置工作，协调有关药品、医疗器具的紧急</w:t>
      </w:r>
      <w:r>
        <w:rPr>
          <w:spacing w:val="7"/>
        </w:rPr>
        <w:t>调配；负责组织、协调恶劣天气道路交通安全</w:t>
      </w:r>
      <w:r>
        <w:rPr>
          <w:spacing w:val="7"/>
        </w:rPr>
        <w:t>的保险理赔工作，并依法先行支付或垫付伤者</w:t>
      </w:r>
      <w:r>
        <w:rPr>
          <w:spacing w:val="7"/>
        </w:rPr>
        <w:t>的抢救费用；协助公安部门对道路交通事故后</w:t>
      </w:r>
      <w:r>
        <w:rPr>
          <w:spacing w:val="6"/>
        </w:rPr>
        <w:t>果调查。</w:t>
      </w:r>
    </w:p>
    <w:p>
      <w:pPr>
        <w:pStyle w:val="BodyText"/>
        <w:ind w:left="412"/>
        <w:spacing w:before="20" w:line="278" w:lineRule="exact"/>
        <w:rPr/>
      </w:pPr>
      <w:r>
        <w:rPr>
          <w:spacing w:val="6"/>
          <w:position w:val="1"/>
        </w:rPr>
        <w:t>（</w:t>
      </w:r>
      <w:r>
        <w:rPr>
          <w:rFonts w:ascii="Times New Roman" w:hAnsi="Times New Roman" w:eastAsia="Times New Roman" w:cs="Times New Roman"/>
          <w:spacing w:val="6"/>
          <w:position w:val="1"/>
        </w:rPr>
        <w:t>4</w:t>
      </w:r>
      <w:r>
        <w:rPr>
          <w:rFonts w:ascii="Times New Roman" w:hAnsi="Times New Roman" w:eastAsia="Times New Roman" w:cs="Times New Roman"/>
          <w:spacing w:val="-21"/>
          <w:position w:val="1"/>
        </w:rPr>
        <w:t xml:space="preserve"> </w:t>
      </w:r>
      <w:r>
        <w:rPr>
          <w:spacing w:val="6"/>
          <w:position w:val="1"/>
        </w:rPr>
        <w:t>）专家咨询工作组。</w:t>
      </w:r>
    </w:p>
    <w:p>
      <w:pPr>
        <w:pStyle w:val="BodyText"/>
        <w:ind w:left="420"/>
        <w:spacing w:before="99" w:line="277" w:lineRule="exact"/>
        <w:rPr/>
      </w:pPr>
      <w:r>
        <w:rPr>
          <w:spacing w:val="8"/>
          <w:position w:val="1"/>
        </w:rPr>
        <w:t>组  长：市公安局分管副局长</w:t>
      </w:r>
    </w:p>
    <w:p>
      <w:pPr>
        <w:pStyle w:val="BodyText"/>
        <w:ind w:left="426"/>
        <w:spacing w:before="102" w:line="278" w:lineRule="exact"/>
        <w:rPr/>
      </w:pPr>
      <w:r>
        <w:rPr>
          <w:spacing w:val="9"/>
          <w:position w:val="1"/>
        </w:rPr>
        <w:t>副组长：市应急管理局分管副局长</w:t>
      </w:r>
    </w:p>
    <w:p>
      <w:pPr>
        <w:pStyle w:val="BodyText"/>
        <w:ind w:left="420"/>
        <w:spacing w:before="99" w:line="277" w:lineRule="exact"/>
        <w:rPr/>
      </w:pPr>
      <w:r>
        <w:rPr>
          <w:spacing w:val="9"/>
          <w:position w:val="1"/>
        </w:rPr>
        <w:t>成员单位：市公安局、市应急管理局</w:t>
      </w:r>
    </w:p>
    <w:p>
      <w:pPr>
        <w:pStyle w:val="BodyText"/>
        <w:ind w:left="3" w:right="59" w:firstLine="425"/>
        <w:spacing w:before="103" w:line="330" w:lineRule="auto"/>
        <w:rPr/>
      </w:pPr>
      <w:r>
        <w:rPr>
          <w:spacing w:val="6"/>
        </w:rPr>
        <w:t>主要职责：负责指导救援方案的制定，为</w:t>
      </w:r>
      <w:r>
        <w:rPr>
          <w:spacing w:val="8"/>
        </w:rPr>
        <w:t>指挥部决策提供科学依据。</w:t>
      </w:r>
    </w:p>
    <w:p>
      <w:pPr>
        <w:pStyle w:val="BodyText"/>
        <w:ind w:left="412"/>
        <w:spacing w:before="40" w:line="277" w:lineRule="exact"/>
        <w:rPr/>
      </w:pPr>
      <w:r>
        <w:rPr>
          <w:spacing w:val="6"/>
          <w:position w:val="1"/>
        </w:rPr>
        <w:t>（</w:t>
      </w:r>
      <w:r>
        <w:rPr>
          <w:rFonts w:ascii="Times New Roman" w:hAnsi="Times New Roman" w:eastAsia="Times New Roman" w:cs="Times New Roman"/>
          <w:spacing w:val="6"/>
          <w:position w:val="1"/>
        </w:rPr>
        <w:t>5</w:t>
      </w:r>
      <w:r>
        <w:rPr>
          <w:rFonts w:ascii="Times New Roman" w:hAnsi="Times New Roman" w:eastAsia="Times New Roman" w:cs="Times New Roman"/>
          <w:spacing w:val="-21"/>
          <w:position w:val="1"/>
        </w:rPr>
        <w:t xml:space="preserve"> </w:t>
      </w:r>
      <w:r>
        <w:rPr>
          <w:spacing w:val="6"/>
          <w:position w:val="1"/>
        </w:rPr>
        <w:t>）宣传报道工作组。</w:t>
      </w:r>
    </w:p>
    <w:p>
      <w:pPr>
        <w:pStyle w:val="BodyText"/>
        <w:ind w:left="425" w:right="49" w:hanging="5"/>
        <w:spacing w:before="100" w:line="349" w:lineRule="auto"/>
        <w:rPr/>
      </w:pPr>
      <w:r>
        <w:rPr>
          <w:spacing w:val="-4"/>
        </w:rPr>
        <w:t>组  长：由市应急指挥部根据工作需要确定</w:t>
      </w:r>
      <w:r>
        <w:rPr>
          <w:spacing w:val="9"/>
        </w:rPr>
        <w:t>副组长：市文化旅游广电局分管副局长</w:t>
      </w:r>
    </w:p>
    <w:p>
      <w:pPr>
        <w:pStyle w:val="BodyText"/>
        <w:ind w:left="20" w:right="59" w:firstLine="400"/>
        <w:spacing w:before="2" w:line="348" w:lineRule="auto"/>
        <w:rPr/>
      </w:pPr>
      <w:r>
        <w:rPr>
          <w:spacing w:val="6"/>
        </w:rPr>
        <w:t>成员单位：市文化旅游广电局及其相关部</w:t>
      </w:r>
      <w:r>
        <w:rPr>
          <w:spacing w:val="5"/>
        </w:rPr>
        <w:t>门（单位）</w:t>
      </w:r>
    </w:p>
    <w:p>
      <w:pPr>
        <w:pStyle w:val="BodyText"/>
        <w:ind w:right="59" w:firstLine="428"/>
        <w:spacing w:line="302" w:lineRule="auto"/>
        <w:jc w:val="both"/>
        <w:rPr/>
      </w:pPr>
      <w:r>
        <w:rPr>
          <w:spacing w:val="6"/>
        </w:rPr>
        <w:t>主要职责：根据市恶劣天气道路交通安全</w:t>
      </w:r>
      <w:r>
        <w:rPr>
          <w:spacing w:val="7"/>
        </w:rPr>
        <w:t>应急指挥部指示，负责恶劣天气道路交通安全</w:t>
      </w:r>
      <w:r>
        <w:rPr>
          <w:spacing w:val="7"/>
        </w:rPr>
        <w:t>应急新闻的发布；及时、准确地在相关媒体上</w:t>
      </w:r>
    </w:p>
    <w:p>
      <w:pPr>
        <w:spacing w:line="302" w:lineRule="auto"/>
        <w:sectPr>
          <w:type w:val="continuous"/>
          <w:pgSz w:w="11906" w:h="16839"/>
          <w:pgMar w:top="1766" w:right="1530" w:bottom="1575" w:left="1579" w:header="1428" w:footer="1172" w:gutter="0"/>
          <w:cols w:equalWidth="0" w:num="2">
            <w:col w:w="4490" w:space="100"/>
            <w:col w:w="4207" w:space="0"/>
          </w:cols>
        </w:sectPr>
        <w:rPr/>
      </w:pPr>
    </w:p>
    <w:p>
      <w:pPr>
        <w:spacing w:before="52"/>
        <w:rPr/>
      </w:pPr>
      <w:r>
        <w:drawing>
          <wp:anchor distT="0" distB="0" distL="0" distR="0" simplePos="0" relativeHeight="252939264"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742" name="IM 1742"/>
            <wp:cNvGraphicFramePr/>
            <a:graphic>
              <a:graphicData uri="http://schemas.openxmlformats.org/drawingml/2006/picture">
                <pic:pic>
                  <pic:nvPicPr>
                    <pic:cNvPr id="1742" name="IM 1742"/>
                    <pic:cNvPicPr/>
                  </pic:nvPicPr>
                  <pic:blipFill>
                    <a:blip r:embed="rId873"/>
                    <a:stretch>
                      <a:fillRect/>
                    </a:stretch>
                  </pic:blipFill>
                  <pic:spPr>
                    <a:xfrm rot="0">
                      <a:off x="0" y="0"/>
                      <a:ext cx="5579745" cy="7620"/>
                    </a:xfrm>
                    <a:prstGeom prst="rect">
                      <a:avLst/>
                    </a:prstGeom>
                  </pic:spPr>
                </pic:pic>
              </a:graphicData>
            </a:graphic>
          </wp:anchor>
        </w:drawing>
      </w:r>
      <w:r/>
    </w:p>
    <w:p>
      <w:pPr>
        <w:sectPr>
          <w:headerReference w:type="default" r:id="rId816"/>
          <w:footerReference w:type="default" r:id="rId872"/>
          <w:pgSz w:w="11906" w:h="16839"/>
          <w:pgMar w:top="1772" w:right="1489" w:bottom="1562" w:left="1567" w:header="1428" w:footer="1172" w:gutter="0"/>
          <w:cols w:equalWidth="0" w:num="1">
            <w:col w:w="8850" w:space="0"/>
          </w:cols>
        </w:sectPr>
        <w:rPr/>
      </w:pPr>
    </w:p>
    <w:p>
      <w:pPr>
        <w:pStyle w:val="BodyText"/>
        <w:ind w:left="29" w:right="328" w:hanging="2"/>
        <w:spacing w:before="40" w:line="342" w:lineRule="auto"/>
        <w:jc w:val="both"/>
        <w:rPr/>
      </w:pPr>
      <w:r>
        <w:rPr>
          <w:spacing w:val="7"/>
        </w:rPr>
        <w:t>发布现场情况、人员伤亡、应急疏散、应急救</w:t>
      </w:r>
      <w:r>
        <w:rPr>
          <w:spacing w:val="7"/>
        </w:rPr>
        <w:t>护和区域警戒的重要公告；负责新闻发布材料</w:t>
      </w:r>
      <w:r>
        <w:rPr>
          <w:spacing w:val="8"/>
        </w:rPr>
        <w:t>的起草，协调新闻记者的采访。</w:t>
      </w:r>
    </w:p>
    <w:p>
      <w:pPr>
        <w:pStyle w:val="BodyText"/>
        <w:ind w:left="24" w:right="328" w:firstLine="421"/>
        <w:spacing w:before="28" w:line="341" w:lineRule="auto"/>
        <w:jc w:val="both"/>
        <w:rPr/>
      </w:pPr>
      <w:r>
        <w:rPr>
          <w:spacing w:val="6"/>
        </w:rPr>
        <w:t>组织固原报社、固原广播电视台等新闻媒</w:t>
      </w:r>
      <w:r>
        <w:rPr>
          <w:spacing w:val="7"/>
        </w:rPr>
        <w:t>体人员组成，负责新闻发布材料的起草，协调</w:t>
      </w:r>
      <w:r>
        <w:rPr>
          <w:spacing w:val="8"/>
        </w:rPr>
        <w:t>新闻记者的采访。</w:t>
      </w:r>
    </w:p>
    <w:p>
      <w:pPr>
        <w:pStyle w:val="BodyText"/>
        <w:ind w:left="437"/>
        <w:spacing w:before="28" w:line="277" w:lineRule="exact"/>
        <w:rPr/>
      </w:pPr>
      <w:r>
        <w:rPr>
          <w:spacing w:val="6"/>
          <w:position w:val="1"/>
        </w:rPr>
        <w:t>（</w:t>
      </w:r>
      <w:r>
        <w:rPr>
          <w:rFonts w:ascii="Times New Roman" w:hAnsi="Times New Roman" w:eastAsia="Times New Roman" w:cs="Times New Roman"/>
          <w:spacing w:val="6"/>
          <w:position w:val="1"/>
        </w:rPr>
        <w:t>6</w:t>
      </w:r>
      <w:r>
        <w:rPr>
          <w:rFonts w:ascii="Times New Roman" w:hAnsi="Times New Roman" w:eastAsia="Times New Roman" w:cs="Times New Roman"/>
          <w:spacing w:val="-21"/>
          <w:position w:val="1"/>
        </w:rPr>
        <w:t xml:space="preserve"> </w:t>
      </w:r>
      <w:r>
        <w:rPr>
          <w:spacing w:val="6"/>
          <w:position w:val="1"/>
        </w:rPr>
        <w:t>）后勤保障工作组。</w:t>
      </w:r>
    </w:p>
    <w:p>
      <w:pPr>
        <w:pStyle w:val="BodyText"/>
        <w:ind w:left="445"/>
        <w:spacing w:before="102" w:line="277" w:lineRule="exact"/>
        <w:rPr/>
      </w:pPr>
      <w:r>
        <w:rPr>
          <w:spacing w:val="8"/>
          <w:position w:val="1"/>
        </w:rPr>
        <w:t>组  长：市民政局分管副局长</w:t>
      </w:r>
    </w:p>
    <w:p>
      <w:pPr>
        <w:pStyle w:val="BodyText"/>
        <w:ind w:left="451"/>
        <w:spacing w:before="101" w:line="278" w:lineRule="exact"/>
        <w:rPr/>
      </w:pPr>
      <w:r>
        <w:rPr>
          <w:spacing w:val="9"/>
          <w:position w:val="1"/>
        </w:rPr>
        <w:t>副组长：市财政局分管副局长</w:t>
      </w:r>
    </w:p>
    <w:p>
      <w:pPr>
        <w:pStyle w:val="BodyText"/>
        <w:ind w:left="26" w:right="328" w:firstLine="419"/>
        <w:spacing w:before="104" w:line="335" w:lineRule="auto"/>
        <w:rPr/>
      </w:pPr>
      <w:r>
        <w:rPr>
          <w:spacing w:val="6"/>
        </w:rPr>
        <w:t>成员单位：市民政局、市财政局及其相关</w:t>
      </w:r>
      <w:r>
        <w:rPr>
          <w:spacing w:val="8"/>
        </w:rPr>
        <w:t>通信企业</w:t>
      </w:r>
    </w:p>
    <w:p>
      <w:pPr>
        <w:pStyle w:val="BodyText"/>
        <w:ind w:left="25" w:right="328" w:firstLine="428"/>
        <w:spacing w:before="39" w:line="335" w:lineRule="auto"/>
        <w:rPr/>
      </w:pPr>
      <w:r>
        <w:rPr>
          <w:spacing w:val="6"/>
        </w:rPr>
        <w:t>主要职责：负责应急救援力量的交通、通</w:t>
      </w:r>
      <w:r>
        <w:rPr>
          <w:spacing w:val="8"/>
        </w:rPr>
        <w:t>信、工作和生活的后勤保障。</w:t>
      </w:r>
    </w:p>
    <w:p>
      <w:pPr>
        <w:pStyle w:val="BodyText"/>
        <w:ind w:left="25" w:right="248" w:firstLine="422"/>
        <w:spacing w:before="36" w:line="350" w:lineRule="auto"/>
        <w:jc w:val="both"/>
        <w:rPr/>
      </w:pPr>
      <w:r>
        <w:rPr>
          <w:spacing w:val="6"/>
        </w:rPr>
        <w:t>市民政局：负责制定伤亡人员的抚恤、救</w:t>
      </w:r>
      <w:r>
        <w:rPr>
          <w:spacing w:val="1"/>
        </w:rPr>
        <w:t>济发放方案，指导、督促落实伤亡人员的抚恤、</w:t>
      </w:r>
      <w:r>
        <w:rPr>
          <w:spacing w:val="7"/>
        </w:rPr>
        <w:t>救济经费发放；协调有关物资和能源的应急供</w:t>
      </w:r>
      <w:r>
        <w:rPr>
          <w:spacing w:val="4"/>
        </w:rPr>
        <w:t>应和保障；会同事故发生地县（</w:t>
      </w:r>
      <w:r>
        <w:rPr>
          <w:spacing w:val="-35"/>
        </w:rPr>
        <w:t xml:space="preserve"> </w:t>
      </w:r>
      <w:r>
        <w:rPr>
          <w:spacing w:val="4"/>
        </w:rPr>
        <w:t>区）政府做好</w:t>
      </w:r>
      <w:r>
        <w:rPr>
          <w:spacing w:val="8"/>
        </w:rPr>
        <w:t>受灾群众的救助等相关善后工作。</w:t>
      </w:r>
    </w:p>
    <w:p>
      <w:pPr>
        <w:pStyle w:val="BodyText"/>
        <w:ind w:left="29" w:right="328" w:firstLine="417"/>
        <w:spacing w:before="16" w:line="335" w:lineRule="auto"/>
        <w:rPr/>
      </w:pPr>
      <w:r>
        <w:rPr>
          <w:spacing w:val="6"/>
        </w:rPr>
        <w:t>市财政局：负责恶劣天气道路交通安全应</w:t>
      </w:r>
      <w:r>
        <w:rPr>
          <w:spacing w:val="8"/>
        </w:rPr>
        <w:t>急所需经费保障及相关演练经费保障。</w:t>
      </w:r>
    </w:p>
    <w:p>
      <w:pPr>
        <w:pStyle w:val="BodyText"/>
        <w:ind w:left="26" w:right="328" w:firstLine="418"/>
        <w:spacing w:before="37" w:line="336" w:lineRule="auto"/>
        <w:rPr/>
      </w:pPr>
      <w:r>
        <w:rPr>
          <w:spacing w:val="7"/>
        </w:rPr>
        <w:t>其他非政府职能部门（单位）按照职责分</w:t>
      </w:r>
      <w:r>
        <w:rPr>
          <w:spacing w:val="-5"/>
        </w:rPr>
        <w:t>工好指挥部的部署，承担相应的应急救援任务。</w:t>
      </w:r>
    </w:p>
    <w:p>
      <w:pPr>
        <w:pStyle w:val="BodyText"/>
        <w:ind w:left="25" w:right="328" w:firstLine="420"/>
        <w:spacing w:before="36" w:line="349" w:lineRule="auto"/>
        <w:rPr/>
      </w:pPr>
      <w:r>
        <w:rPr>
          <w:spacing w:val="6"/>
        </w:rPr>
        <w:t>有关县区政府：协助市指挥部实施人员救</w:t>
      </w:r>
      <w:r>
        <w:rPr>
          <w:spacing w:val="7"/>
        </w:rPr>
        <w:t>助、人员疏散、秩序维护、救援保障、受灾群</w:t>
      </w:r>
      <w:r>
        <w:rPr>
          <w:spacing w:val="8"/>
        </w:rPr>
        <w:t>众安抚等各项工作。</w:t>
      </w:r>
    </w:p>
    <w:p>
      <w:pPr>
        <w:pStyle w:val="BodyText"/>
        <w:ind w:left="25" w:right="328" w:firstLine="420"/>
        <w:spacing w:before="12" w:line="353" w:lineRule="auto"/>
        <w:jc w:val="both"/>
        <w:rPr/>
      </w:pPr>
      <w:r>
        <w:rPr>
          <w:rFonts w:ascii="Times New Roman" w:hAnsi="Times New Roman" w:eastAsia="Times New Roman" w:cs="Times New Roman"/>
          <w:spacing w:val="8"/>
        </w:rPr>
        <w:t>2.2  </w:t>
      </w:r>
      <w:r>
        <w:rPr>
          <w:rFonts w:ascii="KaiTi" w:hAnsi="KaiTi" w:eastAsia="KaiTi" w:cs="KaiTi"/>
          <w:spacing w:val="8"/>
        </w:rPr>
        <w:t>市道路交通事故应急指挥部。</w:t>
      </w:r>
      <w:r>
        <w:rPr>
          <w:spacing w:val="8"/>
        </w:rPr>
        <w:t>市道路</w:t>
      </w:r>
      <w:r>
        <w:rPr>
          <w:spacing w:val="18"/>
        </w:rPr>
        <w:t>交通事故应急指挥部办公室是市道路交通事</w:t>
      </w:r>
      <w:r>
        <w:rPr>
          <w:spacing w:val="15"/>
        </w:rPr>
        <w:t>故应急指挥部的日常工作机构</w:t>
      </w:r>
      <w:r>
        <w:rPr>
          <w:spacing w:val="-41"/>
        </w:rPr>
        <w:t xml:space="preserve"> </w:t>
      </w:r>
      <w:r>
        <w:rPr>
          <w:spacing w:val="15"/>
        </w:rPr>
        <w:t>，设在市公安</w:t>
      </w:r>
      <w:r>
        <w:rPr>
          <w:spacing w:val="7"/>
        </w:rPr>
        <w:t>局，办公室主任由分管副局长担任，办公室副</w:t>
      </w:r>
      <w:r>
        <w:rPr>
          <w:spacing w:val="7"/>
        </w:rPr>
        <w:t>主任由交警支队长兼任。办公室常设值班工作</w:t>
      </w:r>
    </w:p>
    <w:p>
      <w:pPr>
        <w:pStyle w:val="BodyText"/>
        <w:ind w:left="45"/>
        <w:spacing w:line="279" w:lineRule="exact"/>
        <w:rPr>
          <w:rFonts w:ascii="Times New Roman" w:hAnsi="Times New Roman" w:eastAsia="Times New Roman" w:cs="Times New Roman"/>
        </w:rPr>
      </w:pPr>
      <w:r>
        <w:rPr>
          <w:spacing w:val="4"/>
          <w:position w:val="1"/>
        </w:rPr>
        <w:t>电话为：</w:t>
      </w:r>
      <w:r>
        <w:rPr>
          <w:rFonts w:ascii="Times New Roman" w:hAnsi="Times New Roman" w:eastAsia="Times New Roman" w:cs="Times New Roman"/>
          <w:spacing w:val="4"/>
          <w:position w:val="1"/>
        </w:rPr>
        <w:t>0954-2068023</w:t>
      </w:r>
    </w:p>
    <w:p>
      <w:pPr>
        <w:pStyle w:val="BodyText"/>
        <w:ind w:left="454"/>
        <w:spacing w:before="102" w:line="279" w:lineRule="exact"/>
        <w:rPr/>
      </w:pPr>
      <w:r>
        <w:rPr>
          <w:spacing w:val="6"/>
          <w:position w:val="1"/>
        </w:rPr>
        <w:t>主要职责为：</w:t>
      </w:r>
    </w:p>
    <w:p>
      <w:pPr>
        <w:pStyle w:val="BodyText"/>
        <w:ind w:left="26" w:right="328" w:firstLine="410"/>
        <w:spacing w:before="103" w:line="292"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）统计分析全市恶劣天气对道路交通</w:t>
      </w:r>
      <w:r>
        <w:rPr>
          <w:spacing w:val="7"/>
        </w:rPr>
        <w:t>安全的影响、规律和特点，为积极预防和修订</w:t>
      </w:r>
    </w:p>
    <w:p>
      <w:pPr>
        <w:spacing w:line="14" w:lineRule="auto"/>
        <w:rPr>
          <w:rFonts w:ascii="Arial"/>
          <w:sz w:val="2"/>
        </w:rPr>
      </w:pPr>
      <w:r>
        <w:rPr>
          <w:rFonts w:ascii="Arial" w:hAnsi="Arial" w:eastAsia="Arial" w:cs="Arial"/>
          <w:sz w:val="2"/>
          <w:szCs w:val="2"/>
        </w:rPr>
        <w:br w:type="column"/>
      </w:r>
    </w:p>
    <w:p>
      <w:pPr>
        <w:pStyle w:val="BodyText"/>
        <w:ind w:left="3"/>
        <w:spacing w:before="46" w:line="220" w:lineRule="auto"/>
        <w:rPr/>
      </w:pPr>
      <w:r>
        <w:rPr>
          <w:spacing w:val="8"/>
        </w:rPr>
        <w:t>完善本预案提供科学依据。</w:t>
      </w:r>
    </w:p>
    <w:p>
      <w:pPr>
        <w:pStyle w:val="BodyText"/>
        <w:ind w:right="145" w:firstLine="413"/>
        <w:spacing w:before="139" w:line="288" w:lineRule="auto"/>
        <w:rPr/>
      </w:pPr>
      <w:r>
        <w:rPr>
          <w:spacing w:val="7"/>
        </w:rPr>
        <w:t>（</w:t>
      </w:r>
      <w:r>
        <w:rPr>
          <w:rFonts w:ascii="Times New Roman" w:hAnsi="Times New Roman" w:eastAsia="Times New Roman" w:cs="Times New Roman"/>
          <w:spacing w:val="7"/>
        </w:rPr>
        <w:t>2 </w:t>
      </w:r>
      <w:r>
        <w:rPr>
          <w:spacing w:val="7"/>
        </w:rPr>
        <w:t>）向指挥部提出启动本预案的建议，</w:t>
      </w:r>
      <w:r>
        <w:rPr>
          <w:spacing w:val="9"/>
        </w:rPr>
        <w:t>并做好预案启动前的相关准备工作。</w:t>
      </w:r>
    </w:p>
    <w:p>
      <w:pPr>
        <w:pStyle w:val="BodyText"/>
        <w:ind w:left="413"/>
        <w:spacing w:before="138" w:line="278" w:lineRule="exact"/>
        <w:rPr/>
      </w:pPr>
      <w:r>
        <w:rPr>
          <w:spacing w:val="7"/>
          <w:position w:val="1"/>
        </w:rPr>
        <w:t>（</w:t>
      </w:r>
      <w:r>
        <w:rPr>
          <w:rFonts w:ascii="Times New Roman" w:hAnsi="Times New Roman" w:eastAsia="Times New Roman" w:cs="Times New Roman"/>
          <w:spacing w:val="7"/>
          <w:position w:val="1"/>
        </w:rPr>
        <w:t>3</w:t>
      </w:r>
      <w:r>
        <w:rPr>
          <w:rFonts w:ascii="Times New Roman" w:hAnsi="Times New Roman" w:eastAsia="Times New Roman" w:cs="Times New Roman"/>
          <w:spacing w:val="-16"/>
          <w:position w:val="1"/>
        </w:rPr>
        <w:t xml:space="preserve"> </w:t>
      </w:r>
      <w:r>
        <w:rPr>
          <w:spacing w:val="7"/>
          <w:position w:val="1"/>
        </w:rPr>
        <w:t>）完成指挥部交办的其他事项。</w:t>
      </w:r>
    </w:p>
    <w:p>
      <w:pPr>
        <w:pStyle w:val="BodyText"/>
        <w:ind w:left="1" w:right="101" w:firstLine="421"/>
        <w:spacing w:before="104" w:line="321" w:lineRule="auto"/>
        <w:rPr/>
      </w:pPr>
      <w:r>
        <w:rPr>
          <w:rFonts w:ascii="Times New Roman" w:hAnsi="Times New Roman" w:eastAsia="Times New Roman" w:cs="Times New Roman"/>
          <w:spacing w:val="4"/>
        </w:rPr>
        <w:t>2.3  </w:t>
      </w:r>
      <w:r>
        <w:rPr>
          <w:rFonts w:ascii="KaiTi" w:hAnsi="KaiTi" w:eastAsia="KaiTi" w:cs="KaiTi"/>
          <w:spacing w:val="4"/>
        </w:rPr>
        <w:t>各县（</w:t>
      </w:r>
      <w:r>
        <w:rPr>
          <w:rFonts w:ascii="KaiTi" w:hAnsi="KaiTi" w:eastAsia="KaiTi" w:cs="KaiTi"/>
          <w:spacing w:val="-10"/>
        </w:rPr>
        <w:t xml:space="preserve"> </w:t>
      </w:r>
      <w:r>
        <w:rPr>
          <w:rFonts w:ascii="KaiTi" w:hAnsi="KaiTi" w:eastAsia="KaiTi" w:cs="KaiTi"/>
          <w:spacing w:val="4"/>
        </w:rPr>
        <w:t>区）道路交通事故应急指挥机</w:t>
      </w:r>
      <w:r>
        <w:rPr>
          <w:rFonts w:ascii="KaiTi" w:hAnsi="KaiTi" w:eastAsia="KaiTi" w:cs="KaiTi"/>
          <w:spacing w:val="4"/>
        </w:rPr>
        <w:t>构。</w:t>
      </w:r>
      <w:r>
        <w:rPr>
          <w:spacing w:val="4"/>
        </w:rPr>
        <w:t>各县（</w:t>
      </w:r>
      <w:r>
        <w:rPr>
          <w:spacing w:val="-35"/>
        </w:rPr>
        <w:t xml:space="preserve"> </w:t>
      </w:r>
      <w:r>
        <w:rPr>
          <w:spacing w:val="4"/>
        </w:rPr>
        <w:t>区）政府按照市道路交通事故分级</w:t>
      </w:r>
      <w:r>
        <w:rPr>
          <w:spacing w:val="7"/>
        </w:rPr>
        <w:t>标准，参考本预案，建立健全相应的应急指挥</w:t>
      </w:r>
      <w:r>
        <w:rPr>
          <w:spacing w:val="9"/>
        </w:rPr>
        <w:t>机构，组织做好先期处置和应对工作。</w:t>
      </w:r>
    </w:p>
    <w:p>
      <w:pPr>
        <w:pStyle w:val="BodyText"/>
        <w:ind w:left="1" w:right="20" w:firstLine="421"/>
        <w:spacing w:before="136" w:line="321" w:lineRule="auto"/>
        <w:rPr/>
      </w:pPr>
      <w:r>
        <w:rPr>
          <w:rFonts w:ascii="Times New Roman" w:hAnsi="Times New Roman" w:eastAsia="Times New Roman" w:cs="Times New Roman"/>
          <w:spacing w:val="8"/>
        </w:rPr>
        <w:t>2.4  </w:t>
      </w:r>
      <w:r>
        <w:rPr>
          <w:rFonts w:ascii="KaiTi" w:hAnsi="KaiTi" w:eastAsia="KaiTi" w:cs="KaiTi"/>
          <w:spacing w:val="8"/>
        </w:rPr>
        <w:t>专家组。</w:t>
      </w:r>
      <w:r>
        <w:rPr>
          <w:spacing w:val="8"/>
        </w:rPr>
        <w:t>市公安局成立道路交通事故</w:t>
      </w:r>
      <w:r>
        <w:rPr>
          <w:spacing w:val="1"/>
        </w:rPr>
        <w:t>应急专家组，完善相关咨询机制，为特别重大、</w:t>
      </w:r>
      <w:r>
        <w:rPr>
          <w:spacing w:val="7"/>
        </w:rPr>
        <w:t>重大、较大道路交通事故应急处置工作提供技</w:t>
      </w:r>
      <w:r>
        <w:rPr>
          <w:spacing w:val="6"/>
        </w:rPr>
        <w:t>术支持。</w:t>
      </w:r>
    </w:p>
    <w:p>
      <w:pPr>
        <w:ind w:left="425"/>
        <w:spacing w:before="133"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3</w:t>
      </w:r>
      <w:r>
        <w:rPr>
          <w:rFonts w:ascii="Microsoft YaHei" w:hAnsi="Microsoft YaHei" w:eastAsia="Microsoft YaHei" w:cs="Microsoft YaHei"/>
          <w:sz w:val="20"/>
          <w:szCs w:val="20"/>
          <w:spacing w:val="14"/>
        </w:rPr>
        <w:t xml:space="preserve">   </w:t>
      </w:r>
      <w:r>
        <w:rPr>
          <w:rFonts w:ascii="Microsoft YaHei" w:hAnsi="Microsoft YaHei" w:eastAsia="Microsoft YaHei" w:cs="Microsoft YaHei"/>
          <w:sz w:val="20"/>
          <w:szCs w:val="20"/>
          <w:spacing w:val="5"/>
        </w:rPr>
        <w:t>预防与预警</w:t>
      </w:r>
    </w:p>
    <w:p>
      <w:pPr>
        <w:pStyle w:val="BodyText"/>
        <w:ind w:right="101" w:firstLine="426"/>
        <w:spacing w:before="79" w:line="331" w:lineRule="auto"/>
        <w:rPr/>
      </w:pPr>
      <w:r>
        <w:rPr>
          <w:rFonts w:ascii="Times New Roman" w:hAnsi="Times New Roman" w:eastAsia="Times New Roman" w:cs="Times New Roman"/>
          <w:spacing w:val="7"/>
        </w:rPr>
        <w:t>3.</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1  </w:t>
      </w:r>
      <w:r>
        <w:rPr>
          <w:rFonts w:ascii="KaiTi" w:hAnsi="KaiTi" w:eastAsia="KaiTi" w:cs="KaiTi"/>
          <w:spacing w:val="7"/>
        </w:rPr>
        <w:t>预防及预警信息。</w:t>
      </w:r>
      <w:r>
        <w:rPr>
          <w:spacing w:val="7"/>
        </w:rPr>
        <w:t>各级政府和有</w:t>
      </w:r>
      <w:r>
        <w:rPr>
          <w:spacing w:val="6"/>
        </w:rPr>
        <w:t>关部</w:t>
      </w:r>
      <w:r>
        <w:rPr>
          <w:spacing w:val="18"/>
        </w:rPr>
        <w:t>门要制订相应的恶劣天气道路交通安全应急</w:t>
      </w:r>
      <w:r>
        <w:rPr>
          <w:spacing w:val="7"/>
        </w:rPr>
        <w:t>预案，逐步形成完善的预警工作机制。对可能</w:t>
      </w:r>
      <w:r>
        <w:rPr>
          <w:spacing w:val="7"/>
        </w:rPr>
        <w:t>造成的道路交通安全隐患和苗头，进行全面评</w:t>
      </w:r>
      <w:r>
        <w:rPr>
          <w:spacing w:val="7"/>
        </w:rPr>
        <w:t>估和预测，做到早发现、早预警、早报告、早</w:t>
      </w:r>
      <w:r>
        <w:rPr>
          <w:spacing w:val="5"/>
        </w:rPr>
        <w:t>解决。</w:t>
      </w:r>
    </w:p>
    <w:p>
      <w:pPr>
        <w:pStyle w:val="BodyText"/>
        <w:ind w:left="2" w:right="81" w:firstLine="424"/>
        <w:spacing w:before="137" w:line="340" w:lineRule="auto"/>
        <w:rPr/>
      </w:pPr>
      <w:r>
        <w:rPr>
          <w:rFonts w:ascii="Times New Roman" w:hAnsi="Times New Roman" w:eastAsia="Times New Roman" w:cs="Times New Roman"/>
          <w:spacing w:val="8"/>
        </w:rPr>
        <w:t>3.2  </w:t>
      </w:r>
      <w:r>
        <w:rPr>
          <w:rFonts w:ascii="KaiTi" w:hAnsi="KaiTi" w:eastAsia="KaiTi" w:cs="KaiTi"/>
          <w:spacing w:val="8"/>
        </w:rPr>
        <w:t>预警信息报告与发布。</w:t>
      </w:r>
      <w:r>
        <w:rPr>
          <w:spacing w:val="8"/>
        </w:rPr>
        <w:t>恶劣天气已影</w:t>
      </w:r>
      <w:r>
        <w:rPr>
          <w:spacing w:val="7"/>
        </w:rPr>
        <w:t>响到道路交通安全，不采取措施将会发生更严</w:t>
      </w:r>
      <w:r>
        <w:rPr>
          <w:spacing w:val="7"/>
        </w:rPr>
        <w:t>重的后果的；已受恶劣天气影响，发生较大以</w:t>
      </w:r>
      <w:r>
        <w:rPr>
          <w:spacing w:val="7"/>
        </w:rPr>
        <w:t>上道路交通事故、国、省道主要道路严重损毁</w:t>
      </w:r>
      <w:r>
        <w:rPr>
          <w:spacing w:val="8"/>
        </w:rPr>
        <w:t>交通中断或引发长时间和长距离交通拥堵的。</w:t>
      </w:r>
      <w:r>
        <w:rPr>
          <w:spacing w:val="18"/>
        </w:rPr>
        <w:t>市公安局或市恶劣天气道路交通安全应急指</w:t>
      </w:r>
      <w:r>
        <w:rPr>
          <w:spacing w:val="7"/>
        </w:rPr>
        <w:t>挥部要及时报告市应急办，提出预警信息发布</w:t>
      </w:r>
      <w:r>
        <w:rPr>
          <w:spacing w:val="8"/>
        </w:rPr>
        <w:t>方案，并配合做好预警信息发布工作。同时，</w:t>
      </w:r>
      <w:r>
        <w:rPr>
          <w:spacing w:val="18"/>
        </w:rPr>
        <w:t>向市恶劣天气道路交通安全应急指挥部各成</w:t>
      </w:r>
      <w:r>
        <w:rPr>
          <w:spacing w:val="8"/>
        </w:rPr>
        <w:t>员单位通报有关情况。</w:t>
      </w:r>
    </w:p>
    <w:p>
      <w:pPr>
        <w:pStyle w:val="BodyText"/>
        <w:ind w:left="1" w:right="101" w:firstLine="425"/>
        <w:spacing w:before="140" w:line="321" w:lineRule="auto"/>
        <w:rPr/>
      </w:pPr>
      <w:r>
        <w:rPr>
          <w:rFonts w:ascii="Times New Roman" w:hAnsi="Times New Roman" w:eastAsia="Times New Roman" w:cs="Times New Roman"/>
          <w:spacing w:val="4"/>
        </w:rPr>
        <w:t>3.3  </w:t>
      </w:r>
      <w:r>
        <w:rPr>
          <w:rFonts w:ascii="KaiTi" w:hAnsi="KaiTi" w:eastAsia="KaiTi" w:cs="KaiTi"/>
          <w:spacing w:val="4"/>
        </w:rPr>
        <w:t>预警行动。</w:t>
      </w:r>
      <w:r>
        <w:rPr>
          <w:spacing w:val="4"/>
        </w:rPr>
        <w:t>各县（</w:t>
      </w:r>
      <w:r>
        <w:rPr>
          <w:spacing w:val="-50"/>
        </w:rPr>
        <w:t xml:space="preserve"> </w:t>
      </w:r>
      <w:r>
        <w:rPr>
          <w:spacing w:val="4"/>
        </w:rPr>
        <w:t>区</w:t>
      </w:r>
      <w:r>
        <w:rPr>
          <w:spacing w:val="-2"/>
        </w:rPr>
        <w:t>）</w:t>
      </w:r>
      <w:r>
        <w:rPr>
          <w:spacing w:val="-52"/>
        </w:rPr>
        <w:t xml:space="preserve"> </w:t>
      </w:r>
      <w:r>
        <w:rPr>
          <w:spacing w:val="-2"/>
        </w:rPr>
        <w:t>，</w:t>
      </w:r>
      <w:r>
        <w:rPr>
          <w:spacing w:val="4"/>
        </w:rPr>
        <w:t>各相关职能</w:t>
      </w:r>
      <w:r>
        <w:rPr>
          <w:spacing w:val="7"/>
        </w:rPr>
        <w:t>部门接到预警信息后应迅速核实情况，并积极</w:t>
      </w:r>
      <w:r>
        <w:rPr>
          <w:spacing w:val="7"/>
        </w:rPr>
        <w:t>采取相应的应急措施，及时、有效地落实处置</w:t>
      </w:r>
      <w:r>
        <w:rPr>
          <w:spacing w:val="8"/>
        </w:rPr>
        <w:t>措施，将隐患消除在萌芽状态。</w:t>
      </w:r>
    </w:p>
    <w:p>
      <w:pPr>
        <w:pStyle w:val="BodyText"/>
        <w:ind w:left="426"/>
        <w:spacing w:before="136" w:line="210" w:lineRule="auto"/>
        <w:rPr/>
      </w:pPr>
      <w:r>
        <w:rPr>
          <w:rFonts w:ascii="Times New Roman" w:hAnsi="Times New Roman" w:eastAsia="Times New Roman" w:cs="Times New Roman"/>
          <w:spacing w:val="8"/>
        </w:rPr>
        <w:t>3.4  </w:t>
      </w:r>
      <w:r>
        <w:rPr>
          <w:rFonts w:ascii="KaiTi" w:hAnsi="KaiTi" w:eastAsia="KaiTi" w:cs="KaiTi"/>
          <w:spacing w:val="8"/>
        </w:rPr>
        <w:t>预警体系建设。</w:t>
      </w:r>
      <w:r>
        <w:rPr>
          <w:spacing w:val="8"/>
        </w:rPr>
        <w:t>全市要进一步整合道</w:t>
      </w:r>
    </w:p>
    <w:p>
      <w:pPr>
        <w:spacing w:line="210" w:lineRule="auto"/>
        <w:sectPr>
          <w:type w:val="continuous"/>
          <w:pgSz w:w="11906" w:h="16839"/>
          <w:pgMar w:top="1772" w:right="1489" w:bottom="1562" w:left="1567" w:header="1428" w:footer="1172" w:gutter="0"/>
          <w:cols w:equalWidth="0" w:num="2">
            <w:col w:w="4501" w:space="100"/>
            <w:col w:w="4250" w:space="0"/>
          </w:cols>
        </w:sectPr>
        <w:rPr/>
      </w:pPr>
    </w:p>
    <w:p>
      <w:pPr>
        <w:spacing w:line="110" w:lineRule="exact"/>
        <w:rPr/>
      </w:pPr>
      <w:r>
        <w:drawing>
          <wp:anchor distT="0" distB="0" distL="0" distR="0" simplePos="0" relativeHeight="252950528"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748" name="IM 1748"/>
            <wp:cNvGraphicFramePr/>
            <a:graphic>
              <a:graphicData uri="http://schemas.openxmlformats.org/drawingml/2006/picture">
                <pic:pic>
                  <pic:nvPicPr>
                    <pic:cNvPr id="1748" name="IM 1748"/>
                    <pic:cNvPicPr/>
                  </pic:nvPicPr>
                  <pic:blipFill>
                    <a:blip r:embed="rId876"/>
                    <a:stretch>
                      <a:fillRect/>
                    </a:stretch>
                  </pic:blipFill>
                  <pic:spPr>
                    <a:xfrm rot="0">
                      <a:off x="0" y="0"/>
                      <a:ext cx="5579745" cy="7620"/>
                    </a:xfrm>
                    <a:prstGeom prst="rect">
                      <a:avLst/>
                    </a:prstGeom>
                  </pic:spPr>
                </pic:pic>
              </a:graphicData>
            </a:graphic>
          </wp:anchor>
        </w:drawing>
      </w:r>
      <w:r/>
    </w:p>
    <w:p>
      <w:pPr>
        <w:spacing w:line="110" w:lineRule="exact"/>
        <w:sectPr>
          <w:headerReference w:type="default" r:id="rId874"/>
          <w:footerReference w:type="default" r:id="rId875"/>
          <w:pgSz w:w="11906" w:h="16839"/>
          <w:pgMar w:top="1766" w:right="1509" w:bottom="1575" w:left="1579" w:header="1428" w:footer="1172" w:gutter="0"/>
          <w:cols w:equalWidth="0" w:num="1">
            <w:col w:w="8817" w:space="0"/>
          </w:cols>
        </w:sectPr>
        <w:rPr/>
      </w:pPr>
    </w:p>
    <w:p>
      <w:pPr>
        <w:pStyle w:val="BodyText"/>
        <w:ind w:left="13" w:right="241"/>
        <w:spacing w:before="65" w:line="346" w:lineRule="auto"/>
        <w:jc w:val="both"/>
        <w:rPr/>
      </w:pPr>
      <w:r>
        <w:rPr>
          <w:spacing w:val="7"/>
        </w:rPr>
        <w:t>路交通检测、监控技术装备资源，完善道路交</w:t>
      </w:r>
      <w:r>
        <w:rPr>
          <w:spacing w:val="1"/>
        </w:rPr>
        <w:t>通安全监测预警平台，实现公安、交通、气象、</w:t>
      </w:r>
      <w:r>
        <w:rPr>
          <w:spacing w:val="7"/>
        </w:rPr>
        <w:t>卫健等部门间的信息互通共享，逐步形成完善</w:t>
      </w:r>
      <w:r>
        <w:rPr>
          <w:spacing w:val="8"/>
        </w:rPr>
        <w:t>的预警工作机制。</w:t>
      </w:r>
    </w:p>
    <w:p>
      <w:pPr>
        <w:ind w:left="434"/>
        <w:spacing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4</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5"/>
        </w:rPr>
        <w:t>应急响应</w:t>
      </w:r>
    </w:p>
    <w:p>
      <w:pPr>
        <w:pStyle w:val="BodyText"/>
        <w:ind w:left="11" w:right="315" w:firstLine="420"/>
        <w:spacing w:before="52" w:line="318" w:lineRule="auto"/>
        <w:rPr/>
      </w:pPr>
      <w:r>
        <w:rPr>
          <w:rFonts w:ascii="Times New Roman" w:hAnsi="Times New Roman" w:eastAsia="Times New Roman" w:cs="Times New Roman"/>
          <w:spacing w:val="7"/>
        </w:rPr>
        <w:t>4.</w:t>
      </w:r>
      <w:r>
        <w:rPr>
          <w:rFonts w:ascii="Times New Roman" w:hAnsi="Times New Roman" w:eastAsia="Times New Roman" w:cs="Times New Roman"/>
          <w:spacing w:val="-22"/>
        </w:rPr>
        <w:t xml:space="preserve"> </w:t>
      </w:r>
      <w:r>
        <w:rPr>
          <w:rFonts w:ascii="Times New Roman" w:hAnsi="Times New Roman" w:eastAsia="Times New Roman" w:cs="Times New Roman"/>
          <w:spacing w:val="7"/>
        </w:rPr>
        <w:t>1  </w:t>
      </w:r>
      <w:r>
        <w:rPr>
          <w:rFonts w:ascii="KaiTi" w:hAnsi="KaiTi" w:eastAsia="KaiTi" w:cs="KaiTi"/>
          <w:spacing w:val="7"/>
        </w:rPr>
        <w:t>信息报告。</w:t>
      </w:r>
      <w:r>
        <w:rPr>
          <w:spacing w:val="7"/>
        </w:rPr>
        <w:t>恶劣天气道路交通安全事</w:t>
      </w:r>
      <w:r>
        <w:rPr>
          <w:spacing w:val="4"/>
        </w:rPr>
        <w:t>故发生后，事发地县（</w:t>
      </w:r>
      <w:r>
        <w:rPr>
          <w:spacing w:val="-34"/>
        </w:rPr>
        <w:t xml:space="preserve"> </w:t>
      </w:r>
      <w:r>
        <w:rPr>
          <w:spacing w:val="4"/>
        </w:rPr>
        <w:t>区）政府和各级行业主</w:t>
      </w:r>
      <w:r>
        <w:rPr>
          <w:spacing w:val="7"/>
        </w:rPr>
        <w:t>管部门、责任单位及应急工作机构接到事件报</w:t>
      </w:r>
      <w:r>
        <w:rPr>
          <w:spacing w:val="7"/>
        </w:rPr>
        <w:t>告后，要严格按照有关法律法规和相关规定，</w:t>
      </w:r>
      <w:r>
        <w:rPr>
          <w:spacing w:val="18"/>
        </w:rPr>
        <w:t>及时向市恶劣天气道路交通安全事故应急指</w:t>
      </w:r>
      <w:r>
        <w:rPr>
          <w:spacing w:val="7"/>
        </w:rPr>
        <w:t>挥部办公室和市委办值班室（信息科）、政府</w:t>
      </w:r>
      <w:r>
        <w:rPr>
          <w:spacing w:val="9"/>
        </w:rPr>
        <w:t>办值班室（信息科）报告信息。</w:t>
      </w:r>
    </w:p>
    <w:p>
      <w:pPr>
        <w:pStyle w:val="BodyText"/>
        <w:ind w:left="11" w:right="322" w:firstLine="420"/>
        <w:spacing w:before="81" w:line="311" w:lineRule="auto"/>
        <w:rPr/>
      </w:pPr>
      <w:r>
        <w:rPr>
          <w:rFonts w:ascii="Times New Roman" w:hAnsi="Times New Roman" w:eastAsia="Times New Roman" w:cs="Times New Roman"/>
          <w:spacing w:val="8"/>
        </w:rPr>
        <w:t>4.2  </w:t>
      </w:r>
      <w:r>
        <w:rPr>
          <w:rFonts w:ascii="KaiTi" w:hAnsi="KaiTi" w:eastAsia="KaiTi" w:cs="KaiTi"/>
          <w:spacing w:val="8"/>
        </w:rPr>
        <w:t>先期处置。</w:t>
      </w:r>
      <w:r>
        <w:rPr>
          <w:spacing w:val="8"/>
        </w:rPr>
        <w:t>对特别重大、重大、较大</w:t>
      </w:r>
      <w:r>
        <w:rPr>
          <w:spacing w:val="7"/>
        </w:rPr>
        <w:t>恶劣天气道路交通安全事故，事发地政府和相</w:t>
      </w:r>
      <w:r>
        <w:rPr>
          <w:spacing w:val="7"/>
        </w:rPr>
        <w:t>关单位要第一时间赶到现场，按照相关应急预</w:t>
      </w:r>
      <w:r>
        <w:rPr>
          <w:spacing w:val="7"/>
        </w:rPr>
        <w:t>案，组织开展先期处置工作。事发地政府全面</w:t>
      </w:r>
      <w:r>
        <w:rPr>
          <w:spacing w:val="18"/>
        </w:rPr>
        <w:t>负责本行政区域内恶劣天气道路交通安全事</w:t>
      </w:r>
      <w:r>
        <w:rPr>
          <w:spacing w:val="8"/>
        </w:rPr>
        <w:t>故应急处置行动。</w:t>
      </w:r>
    </w:p>
    <w:p>
      <w:pPr>
        <w:ind w:left="432"/>
        <w:spacing w:before="114" w:line="268" w:lineRule="exact"/>
        <w:rPr>
          <w:rFonts w:ascii="KaiTi" w:hAnsi="KaiTi" w:eastAsia="KaiTi" w:cs="KaiTi"/>
          <w:sz w:val="20"/>
          <w:szCs w:val="20"/>
        </w:rPr>
      </w:pPr>
      <w:r>
        <w:rPr>
          <w:rFonts w:ascii="Times New Roman" w:hAnsi="Times New Roman" w:eastAsia="Times New Roman" w:cs="Times New Roman"/>
          <w:sz w:val="20"/>
          <w:szCs w:val="20"/>
          <w:spacing w:val="5"/>
          <w:position w:val="1"/>
        </w:rPr>
        <w:t>4.3  </w:t>
      </w:r>
      <w:r>
        <w:rPr>
          <w:rFonts w:ascii="KaiTi" w:hAnsi="KaiTi" w:eastAsia="KaiTi" w:cs="KaiTi"/>
          <w:sz w:val="20"/>
          <w:szCs w:val="20"/>
          <w:spacing w:val="5"/>
          <w:position w:val="1"/>
        </w:rPr>
        <w:t>响应启动。</w:t>
      </w:r>
    </w:p>
    <w:p>
      <w:pPr>
        <w:pStyle w:val="BodyText"/>
        <w:ind w:left="11" w:right="212" w:firstLine="413"/>
        <w:spacing w:before="86" w:line="316"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）各部门应当按照各自的职责提前准</w:t>
      </w:r>
      <w:r>
        <w:rPr>
          <w:spacing w:val="7"/>
        </w:rPr>
        <w:t>备，提前预警，随时掌握影响道路交通安全的</w:t>
      </w:r>
      <w:r>
        <w:rPr>
          <w:spacing w:val="11"/>
        </w:rPr>
        <w:t>天气动态。恶劣天气已影响到道路交通安全，</w:t>
      </w:r>
      <w:r>
        <w:rPr/>
        <w:t>不采取措施将会发生更严重的后果的，县（</w:t>
      </w:r>
      <w:r>
        <w:rPr>
          <w:spacing w:val="-44"/>
        </w:rPr>
        <w:t xml:space="preserve"> </w:t>
      </w:r>
      <w:r>
        <w:rPr/>
        <w:t>区）</w:t>
      </w:r>
      <w:r>
        <w:rPr>
          <w:spacing w:val="18"/>
        </w:rPr>
        <w:t>指挥部常设办事机构应当根据具体情况向本</w:t>
      </w:r>
      <w:r>
        <w:rPr>
          <w:spacing w:val="7"/>
        </w:rPr>
        <w:t>级指挥部提出启动意见，指挥部副总指挥（市</w:t>
      </w:r>
      <w:r>
        <w:rPr>
          <w:spacing w:val="7"/>
        </w:rPr>
        <w:t>公安局）应当视情启动。市级指挥部视情派出</w:t>
      </w:r>
      <w:r>
        <w:rPr>
          <w:spacing w:val="9"/>
        </w:rPr>
        <w:t>工作组，赴事发地督导应急处置工作。</w:t>
      </w:r>
    </w:p>
    <w:p>
      <w:pPr>
        <w:pStyle w:val="BodyText"/>
        <w:ind w:left="14" w:right="322" w:firstLine="410"/>
        <w:spacing w:before="112" w:line="302" w:lineRule="auto"/>
        <w:rPr/>
      </w:pPr>
      <w:r>
        <w:rPr>
          <w:spacing w:val="7"/>
        </w:rPr>
        <w:t>（</w:t>
      </w:r>
      <w:r>
        <w:rPr>
          <w:rFonts w:ascii="Times New Roman" w:hAnsi="Times New Roman" w:eastAsia="Times New Roman" w:cs="Times New Roman"/>
          <w:spacing w:val="7"/>
        </w:rPr>
        <w:t>2 </w:t>
      </w:r>
      <w:r>
        <w:rPr>
          <w:spacing w:val="7"/>
        </w:rPr>
        <w:t>）已受恶劣天气影响</w:t>
      </w:r>
      <w:r>
        <w:rPr>
          <w:spacing w:val="-53"/>
        </w:rPr>
        <w:t xml:space="preserve"> </w:t>
      </w:r>
      <w:r>
        <w:rPr>
          <w:spacing w:val="7"/>
        </w:rPr>
        <w:t>，发生较大以上</w:t>
      </w:r>
      <w:r>
        <w:rPr>
          <w:spacing w:val="7"/>
        </w:rPr>
        <w:t>道路交通事故、国、省道主要道路严重损毁交</w:t>
      </w:r>
      <w:r>
        <w:rPr>
          <w:spacing w:val="7"/>
        </w:rPr>
        <w:t>通中断或引发长时间和长距离交通拥堵的，总</w:t>
      </w:r>
      <w:r>
        <w:rPr>
          <w:spacing w:val="8"/>
        </w:rPr>
        <w:t>指挥指令启动本预案。</w:t>
      </w:r>
    </w:p>
    <w:p>
      <w:pPr>
        <w:pStyle w:val="BodyText"/>
        <w:ind w:left="12" w:right="210" w:firstLine="412"/>
        <w:spacing w:before="117" w:line="307" w:lineRule="auto"/>
        <w:rPr/>
      </w:pPr>
      <w:r>
        <w:rPr/>
        <w:t>（</w:t>
      </w:r>
      <w:r>
        <w:rPr>
          <w:rFonts w:ascii="Times New Roman" w:hAnsi="Times New Roman" w:eastAsia="Times New Roman" w:cs="Times New Roman"/>
        </w:rPr>
        <w:t>3</w:t>
      </w:r>
      <w:r>
        <w:rPr>
          <w:rFonts w:ascii="Times New Roman" w:hAnsi="Times New Roman" w:eastAsia="Times New Roman" w:cs="Times New Roman"/>
          <w:spacing w:val="-5"/>
        </w:rPr>
        <w:t xml:space="preserve"> </w:t>
      </w:r>
      <w:r>
        <w:rPr/>
        <w:t>）应对特别重大（</w:t>
      </w:r>
      <w:r>
        <w:rPr>
          <w:rFonts w:ascii="Times New Roman" w:hAnsi="Times New Roman" w:eastAsia="Times New Roman" w:cs="Times New Roman"/>
        </w:rPr>
        <w:t>I </w:t>
      </w:r>
      <w:r>
        <w:rPr/>
        <w:t>级）、重大（</w:t>
      </w:r>
      <w:r>
        <w:rPr>
          <w:rFonts w:ascii="Times New Roman" w:hAnsi="Times New Roman" w:eastAsia="Times New Roman" w:cs="Times New Roman"/>
        </w:rPr>
        <w:t>II </w:t>
      </w:r>
      <w:r>
        <w:rPr/>
        <w:t>级）</w:t>
      </w:r>
      <w:r>
        <w:rPr>
          <w:spacing w:val="7"/>
        </w:rPr>
        <w:t>道路交通事故，总指挥指令启动自治区重大道</w:t>
      </w:r>
      <w:r>
        <w:rPr>
          <w:spacing w:val="4"/>
        </w:rPr>
        <w:t>路交通事故应急预案；市县（</w:t>
      </w:r>
      <w:r>
        <w:rPr>
          <w:spacing w:val="-35"/>
        </w:rPr>
        <w:t xml:space="preserve"> </w:t>
      </w:r>
      <w:r>
        <w:rPr>
          <w:spacing w:val="4"/>
        </w:rPr>
        <w:t>区）启动恶劣天</w:t>
      </w:r>
      <w:r>
        <w:rPr>
          <w:spacing w:val="7"/>
        </w:rPr>
        <w:t>气道路交通安全应急预案的同时，也要启动道</w:t>
      </w:r>
      <w:r>
        <w:rPr>
          <w:spacing w:val="8"/>
        </w:rPr>
        <w:t>路交通事故应急救援预案。</w:t>
      </w:r>
    </w:p>
    <w:p>
      <w:pPr>
        <w:ind w:left="432"/>
        <w:spacing w:before="115" w:line="210" w:lineRule="auto"/>
        <w:rPr>
          <w:rFonts w:ascii="KaiTi" w:hAnsi="KaiTi" w:eastAsia="KaiTi" w:cs="KaiTi"/>
          <w:sz w:val="20"/>
          <w:szCs w:val="20"/>
        </w:rPr>
      </w:pPr>
      <w:r>
        <w:rPr>
          <w:rFonts w:ascii="Times New Roman" w:hAnsi="Times New Roman" w:eastAsia="Times New Roman" w:cs="Times New Roman"/>
          <w:sz w:val="20"/>
          <w:szCs w:val="20"/>
          <w:spacing w:val="5"/>
        </w:rPr>
        <w:t>4.4  </w:t>
      </w:r>
      <w:r>
        <w:rPr>
          <w:rFonts w:ascii="KaiTi" w:hAnsi="KaiTi" w:eastAsia="KaiTi" w:cs="KaiTi"/>
          <w:sz w:val="20"/>
          <w:szCs w:val="20"/>
          <w:spacing w:val="5"/>
        </w:rPr>
        <w:t>指挥与协调。</w:t>
      </w:r>
    </w:p>
    <w:p>
      <w:pPr>
        <w:spacing w:line="14" w:lineRule="auto"/>
        <w:rPr>
          <w:rFonts w:ascii="Arial"/>
          <w:sz w:val="2"/>
        </w:rPr>
      </w:pPr>
      <w:r>
        <w:rPr>
          <w:rFonts w:ascii="Arial" w:hAnsi="Arial" w:eastAsia="Arial" w:cs="Arial"/>
          <w:sz w:val="2"/>
          <w:szCs w:val="2"/>
        </w:rPr>
        <w:br w:type="column"/>
      </w:r>
    </w:p>
    <w:p>
      <w:pPr>
        <w:pStyle w:val="BodyText"/>
        <w:ind w:left="6" w:right="80" w:firstLine="413"/>
        <w:spacing w:before="38" w:line="308" w:lineRule="auto"/>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）市公安局立即核实和确认</w:t>
      </w:r>
      <w:r>
        <w:rPr>
          <w:spacing w:val="-59"/>
        </w:rPr>
        <w:t xml:space="preserve"> </w:t>
      </w:r>
      <w:r>
        <w:rPr>
          <w:spacing w:val="5"/>
        </w:rPr>
        <w:t>，将情况</w:t>
      </w:r>
      <w:r>
        <w:rPr>
          <w:spacing w:val="15"/>
        </w:rPr>
        <w:t>报告市政府</w:t>
      </w:r>
      <w:r>
        <w:rPr>
          <w:spacing w:val="-39"/>
        </w:rPr>
        <w:t xml:space="preserve"> </w:t>
      </w:r>
      <w:r>
        <w:rPr>
          <w:spacing w:val="15"/>
        </w:rPr>
        <w:t>，向指挥部提出启动本预案的建</w:t>
      </w:r>
      <w:r>
        <w:rPr>
          <w:spacing w:val="7"/>
        </w:rPr>
        <w:t>议，根据总指挥的指令，副总指挥指令迅速启</w:t>
      </w:r>
      <w:r>
        <w:rPr>
          <w:spacing w:val="7"/>
        </w:rPr>
        <w:t>动本预案。总指挥视情及时主持召开指挥部成</w:t>
      </w:r>
      <w:r>
        <w:rPr>
          <w:spacing w:val="9"/>
        </w:rPr>
        <w:t>员单位会议，研究部署应急处置工作。</w:t>
      </w:r>
    </w:p>
    <w:p>
      <w:pPr>
        <w:pStyle w:val="BodyText"/>
        <w:ind w:left="15" w:firstLine="404"/>
        <w:spacing w:before="112" w:line="278"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5"/>
        </w:rPr>
        <w:t xml:space="preserve"> </w:t>
      </w:r>
      <w:r>
        <w:rPr>
          <w:spacing w:val="8"/>
        </w:rPr>
        <w:t>）必要时</w:t>
      </w:r>
      <w:r>
        <w:rPr>
          <w:spacing w:val="-59"/>
        </w:rPr>
        <w:t xml:space="preserve"> </w:t>
      </w:r>
      <w:r>
        <w:rPr>
          <w:spacing w:val="8"/>
        </w:rPr>
        <w:t>，总指挥亲自带领有关人员</w:t>
      </w:r>
      <w:r>
        <w:rPr>
          <w:spacing w:val="-9"/>
        </w:rPr>
        <w:t>和专家赶赴现场，进行现场指挥和参与处置工作。</w:t>
      </w:r>
    </w:p>
    <w:p>
      <w:pPr>
        <w:pStyle w:val="BodyText"/>
        <w:ind w:left="11" w:right="83" w:firstLine="408"/>
        <w:spacing w:before="109" w:line="277"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）开通与现场应急指挥部、各应急行</w:t>
      </w:r>
      <w:r>
        <w:rPr>
          <w:spacing w:val="-3"/>
        </w:rPr>
        <w:t>动组的通信联系，随时掌握应急处置进展情</w:t>
      </w:r>
      <w:r>
        <w:rPr>
          <w:spacing w:val="-4"/>
        </w:rPr>
        <w:t>况。</w:t>
      </w:r>
    </w:p>
    <w:p>
      <w:pPr>
        <w:pStyle w:val="BodyText"/>
        <w:ind w:left="7" w:right="80" w:firstLine="412"/>
        <w:spacing w:before="113" w:line="293"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）根据事态发展和应急处置工作进展</w:t>
      </w:r>
      <w:r>
        <w:rPr>
          <w:spacing w:val="7"/>
        </w:rPr>
        <w:t>情况，指挥部及时组织协调各成员单位，根据</w:t>
      </w:r>
      <w:r>
        <w:rPr>
          <w:spacing w:val="8"/>
        </w:rPr>
        <w:t>职责分工采取行动。</w:t>
      </w:r>
    </w:p>
    <w:p>
      <w:pPr>
        <w:pStyle w:val="BodyText"/>
        <w:ind w:right="3" w:firstLine="427"/>
        <w:spacing w:before="120" w:line="327" w:lineRule="auto"/>
        <w:jc w:val="both"/>
        <w:rPr/>
      </w:pPr>
      <w:r>
        <w:rPr>
          <w:rFonts w:ascii="Times New Roman" w:hAnsi="Times New Roman" w:eastAsia="Times New Roman" w:cs="Times New Roman"/>
          <w:spacing w:val="8"/>
        </w:rPr>
        <w:t>4.5  </w:t>
      </w:r>
      <w:r>
        <w:rPr>
          <w:rFonts w:ascii="KaiTi" w:hAnsi="KaiTi" w:eastAsia="KaiTi" w:cs="KaiTi"/>
          <w:spacing w:val="8"/>
        </w:rPr>
        <w:t>现场处置。</w:t>
      </w:r>
      <w:r>
        <w:rPr>
          <w:spacing w:val="8"/>
        </w:rPr>
        <w:t>需要启动本预案时，市县</w:t>
      </w:r>
      <w:r>
        <w:rPr>
          <w:spacing w:val="7"/>
        </w:rPr>
        <w:t>（区）应急指挥部分别按权限组织处置，立即</w:t>
      </w:r>
      <w:r>
        <w:rPr>
          <w:spacing w:val="7"/>
        </w:rPr>
        <w:t>派出有关人员赶赴现场，按照各自预案的处置</w:t>
      </w:r>
      <w:r>
        <w:rPr>
          <w:spacing w:val="1"/>
        </w:rPr>
        <w:t>程序规定，协同配合、共同实施应急处置行动。</w:t>
      </w:r>
      <w:r>
        <w:rPr>
          <w:spacing w:val="11"/>
        </w:rPr>
        <w:t>各应急队伍接到指示后要快速、果断地行动，</w:t>
      </w:r>
      <w:r>
        <w:rPr>
          <w:spacing w:val="9"/>
        </w:rPr>
        <w:t>全力控制态势，及时消除隐患。</w:t>
      </w:r>
    </w:p>
    <w:p>
      <w:pPr>
        <w:pStyle w:val="BodyText"/>
        <w:ind w:left="6" w:right="73" w:firstLine="422"/>
        <w:spacing w:before="2" w:line="329" w:lineRule="auto"/>
        <w:jc w:val="both"/>
        <w:rPr/>
      </w:pPr>
      <w:r>
        <w:rPr>
          <w:spacing w:val="7"/>
        </w:rPr>
        <w:t>道路损毁：道路严重损毁或山体滑坡的，</w:t>
      </w:r>
      <w:r>
        <w:rPr>
          <w:spacing w:val="7"/>
        </w:rPr>
        <w:t>交通部门应当及时设置安全通行区域，并进行</w:t>
      </w:r>
      <w:r>
        <w:rPr>
          <w:spacing w:val="7"/>
        </w:rPr>
        <w:t>抢修，必要时由公安交通管理部门进行临时性</w:t>
      </w:r>
      <w:r>
        <w:rPr>
          <w:spacing w:val="7"/>
        </w:rPr>
        <w:t>交通管制通行。造成交通中断的，交通部门还</w:t>
      </w:r>
      <w:r>
        <w:rPr>
          <w:spacing w:val="7"/>
        </w:rPr>
        <w:t>应当向社会公告，由公安交通管理部门配合，</w:t>
      </w:r>
      <w:r>
        <w:rPr>
          <w:spacing w:val="7"/>
        </w:rPr>
        <w:t>组织车辆绕行。</w:t>
      </w:r>
    </w:p>
    <w:p>
      <w:pPr>
        <w:pStyle w:val="BodyText"/>
        <w:ind w:left="6" w:right="57" w:firstLine="421"/>
        <w:spacing w:before="4" w:line="328" w:lineRule="auto"/>
        <w:jc w:val="both"/>
        <w:rPr/>
      </w:pPr>
      <w:r>
        <w:rPr>
          <w:spacing w:val="6"/>
        </w:rPr>
        <w:t>交通拥堵：引发道路长时间或长距离交通</w:t>
      </w:r>
      <w:r>
        <w:rPr>
          <w:spacing w:val="15"/>
        </w:rPr>
        <w:t>拥堵的</w:t>
      </w:r>
      <w:r>
        <w:rPr>
          <w:spacing w:val="-39"/>
        </w:rPr>
        <w:t xml:space="preserve"> </w:t>
      </w:r>
      <w:r>
        <w:rPr>
          <w:spacing w:val="15"/>
        </w:rPr>
        <w:t>，公安交通管理部门应当及时安排警</w:t>
      </w:r>
      <w:r>
        <w:rPr>
          <w:spacing w:val="7"/>
        </w:rPr>
        <w:t>力，采取远端分流、限制通行、间断放行等措</w:t>
      </w:r>
      <w:r>
        <w:rPr>
          <w:spacing w:val="7"/>
        </w:rPr>
        <w:t>施全力疏导。交通中断的可根据实际情况采取</w:t>
      </w:r>
      <w:r>
        <w:rPr>
          <w:spacing w:val="8"/>
        </w:rPr>
        <w:t>交通管制措施，并指引车辆绕行。道路积雪、</w:t>
      </w:r>
      <w:r>
        <w:rPr>
          <w:spacing w:val="7"/>
        </w:rPr>
        <w:t>结冰，交通部门应及时组织抛散防滑沙、融雪</w:t>
      </w:r>
      <w:r>
        <w:rPr>
          <w:spacing w:val="4"/>
        </w:rPr>
        <w:t>剂等。交通拥堵跨省或市县（</w:t>
      </w:r>
      <w:r>
        <w:rPr>
          <w:spacing w:val="-34"/>
        </w:rPr>
        <w:t xml:space="preserve"> </w:t>
      </w:r>
      <w:r>
        <w:rPr>
          <w:spacing w:val="4"/>
        </w:rPr>
        <w:t>区）的由指挥部</w:t>
      </w:r>
      <w:r>
        <w:rPr>
          <w:spacing w:val="9"/>
        </w:rPr>
        <w:t>协调，加强区域警务、勤务的协作。</w:t>
      </w:r>
    </w:p>
    <w:p>
      <w:pPr>
        <w:pStyle w:val="BodyText"/>
        <w:ind w:left="8" w:right="57" w:firstLine="423"/>
        <w:spacing w:before="1" w:line="325" w:lineRule="auto"/>
        <w:jc w:val="both"/>
        <w:rPr/>
      </w:pPr>
      <w:r>
        <w:rPr>
          <w:spacing w:val="6"/>
        </w:rPr>
        <w:t>急救疏散：有人员受伤或其它因素急需救</w:t>
      </w:r>
      <w:r>
        <w:rPr>
          <w:spacing w:val="7"/>
        </w:rPr>
        <w:t>治的，卫健部门会应当立即指令就近医疗单位</w:t>
      </w:r>
      <w:r>
        <w:rPr>
          <w:spacing w:val="7"/>
        </w:rPr>
        <w:t>先期出动，开展紧急医疗救护和现场卫健处置</w:t>
      </w:r>
      <w:r>
        <w:rPr>
          <w:spacing w:val="8"/>
        </w:rPr>
        <w:t>工作，必要时，及时协调有关医疗救护专家、</w:t>
      </w:r>
      <w:r>
        <w:rPr>
          <w:spacing w:val="7"/>
        </w:rPr>
        <w:t>特种药品和特种救治装备进行支援。有人员受</w:t>
      </w:r>
    </w:p>
    <w:p>
      <w:pPr>
        <w:spacing w:line="325" w:lineRule="auto"/>
        <w:sectPr>
          <w:type w:val="continuous"/>
          <w:pgSz w:w="11906" w:h="16839"/>
          <w:pgMar w:top="1766" w:right="1509" w:bottom="1575" w:left="1579" w:header="1428" w:footer="1172" w:gutter="0"/>
          <w:cols w:equalWidth="0" w:num="2">
            <w:col w:w="4482" w:space="100"/>
            <w:col w:w="4235" w:space="0"/>
          </w:cols>
        </w:sectPr>
        <w:rPr/>
      </w:pPr>
    </w:p>
    <w:p>
      <w:pPr>
        <w:spacing w:before="37"/>
        <w:rPr/>
      </w:pPr>
      <w:r>
        <w:drawing>
          <wp:anchor distT="0" distB="0" distL="0" distR="0" simplePos="0" relativeHeight="252961792"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752" name="IM 1752"/>
            <wp:cNvGraphicFramePr/>
            <a:graphic>
              <a:graphicData uri="http://schemas.openxmlformats.org/drawingml/2006/picture">
                <pic:pic>
                  <pic:nvPicPr>
                    <pic:cNvPr id="1752" name="IM 1752"/>
                    <pic:cNvPicPr/>
                  </pic:nvPicPr>
                  <pic:blipFill>
                    <a:blip r:embed="rId878"/>
                    <a:stretch>
                      <a:fillRect/>
                    </a:stretch>
                  </pic:blipFill>
                  <pic:spPr>
                    <a:xfrm rot="0">
                      <a:off x="0" y="0"/>
                      <a:ext cx="5579745" cy="7620"/>
                    </a:xfrm>
                    <a:prstGeom prst="rect">
                      <a:avLst/>
                    </a:prstGeom>
                  </pic:spPr>
                </pic:pic>
              </a:graphicData>
            </a:graphic>
          </wp:anchor>
        </w:drawing>
      </w:r>
      <w:r/>
    </w:p>
    <w:p>
      <w:pPr>
        <w:sectPr>
          <w:headerReference w:type="default" r:id="rId816"/>
          <w:footerReference w:type="default" r:id="rId877"/>
          <w:pgSz w:w="11906" w:h="16839"/>
          <w:pgMar w:top="1772" w:right="1489" w:bottom="1562" w:left="1567" w:header="1428" w:footer="1172" w:gutter="0"/>
          <w:cols w:equalWidth="0" w:num="1">
            <w:col w:w="8850" w:space="0"/>
          </w:cols>
        </w:sectPr>
        <w:rPr/>
      </w:pPr>
    </w:p>
    <w:p>
      <w:pPr>
        <w:pStyle w:val="BodyText"/>
        <w:ind w:left="25" w:right="247" w:firstLine="3"/>
        <w:spacing w:before="36" w:line="329" w:lineRule="auto"/>
        <w:jc w:val="both"/>
        <w:rPr/>
      </w:pPr>
      <w:r>
        <w:rPr>
          <w:spacing w:val="10"/>
        </w:rPr>
        <w:t>伤的，在急救、医疗部门人员到达现场前期，</w:t>
      </w:r>
      <w:r>
        <w:rPr>
          <w:spacing w:val="18"/>
        </w:rPr>
        <w:t>到达现场的应急救援力量应当按照救护操作</w:t>
      </w:r>
      <w:r>
        <w:rPr>
          <w:spacing w:val="7"/>
        </w:rPr>
        <w:t>规范，对伤情危急的伤员进行止血、包扎等紧</w:t>
      </w:r>
      <w:r>
        <w:rPr>
          <w:spacing w:val="7"/>
        </w:rPr>
        <w:t>急处置。急救、医疗部门人员到达现场后，由</w:t>
      </w:r>
      <w:r>
        <w:rPr>
          <w:spacing w:val="7"/>
        </w:rPr>
        <w:t>急救、医疗人员组织抢救受伤人员。公安部门</w:t>
      </w:r>
      <w:r>
        <w:rPr>
          <w:spacing w:val="15"/>
        </w:rPr>
        <w:t>应当积极协助运送伤员</w:t>
      </w:r>
      <w:r>
        <w:rPr>
          <w:spacing w:val="-40"/>
        </w:rPr>
        <w:t xml:space="preserve"> </w:t>
      </w:r>
      <w:r>
        <w:rPr>
          <w:spacing w:val="15"/>
        </w:rPr>
        <w:t>，必要时征用过往车</w:t>
      </w:r>
      <w:r>
        <w:rPr>
          <w:spacing w:val="7"/>
        </w:rPr>
        <w:t>辆。有人员大量滞留的情况，交通部门应当及</w:t>
      </w:r>
      <w:r>
        <w:rPr>
          <w:spacing w:val="7"/>
        </w:rPr>
        <w:t>时调整运力，公安部门协助疏散，并维护好治</w:t>
      </w:r>
      <w:r>
        <w:rPr>
          <w:spacing w:val="1"/>
        </w:rPr>
        <w:t>安秩序。需要物资救援的，由指挥部协调民政、</w:t>
      </w:r>
      <w:r>
        <w:rPr>
          <w:spacing w:val="8"/>
        </w:rPr>
        <w:t>财政部门按照各自职责配送发放。</w:t>
      </w:r>
    </w:p>
    <w:p>
      <w:pPr>
        <w:pStyle w:val="BodyText"/>
        <w:ind w:left="25" w:right="327" w:firstLine="423"/>
        <w:spacing w:before="2" w:line="332" w:lineRule="auto"/>
        <w:jc w:val="both"/>
        <w:rPr/>
      </w:pPr>
      <w:r>
        <w:rPr>
          <w:spacing w:val="6"/>
        </w:rPr>
        <w:t>现场维护：根据现场情况，公安部门组织</w:t>
      </w:r>
      <w:r>
        <w:rPr>
          <w:spacing w:val="7"/>
        </w:rPr>
        <w:t>人员在道路上设立警戒区，实施交通管制，禁</w:t>
      </w:r>
      <w:r>
        <w:rPr>
          <w:spacing w:val="7"/>
        </w:rPr>
        <w:t>止无关车辆和人员进入，疏散警戒区内的车辆</w:t>
      </w:r>
      <w:r>
        <w:rPr>
          <w:spacing w:val="7"/>
        </w:rPr>
        <w:t>和人员；在警戒区外围交通要道和交叉路口设</w:t>
      </w:r>
      <w:r>
        <w:rPr>
          <w:spacing w:val="7"/>
        </w:rPr>
        <w:t>立标志，组织交通分流；清理通道，维护交通</w:t>
      </w:r>
      <w:r>
        <w:rPr>
          <w:spacing w:val="7"/>
        </w:rPr>
        <w:t>秩序，保障参加排险、救援车辆、设备顺利进</w:t>
      </w:r>
      <w:r>
        <w:rPr>
          <w:spacing w:val="7"/>
        </w:rPr>
        <w:t>入现场，保护现场，发现、固定并收集现场痕</w:t>
      </w:r>
      <w:r>
        <w:rPr>
          <w:spacing w:val="8"/>
        </w:rPr>
        <w:t>迹物证等相关证据。</w:t>
      </w:r>
    </w:p>
    <w:p>
      <w:pPr>
        <w:pStyle w:val="BodyText"/>
        <w:ind w:left="24" w:right="321" w:firstLine="421"/>
        <w:spacing w:before="1" w:line="330" w:lineRule="auto"/>
        <w:jc w:val="both"/>
        <w:rPr/>
      </w:pPr>
      <w:r>
        <w:rPr>
          <w:spacing w:val="7"/>
        </w:rPr>
        <w:t>救援排险：消防救援部门负责破拆车辆，</w:t>
      </w:r>
      <w:r>
        <w:rPr>
          <w:spacing w:val="7"/>
        </w:rPr>
        <w:t>解救因车辆颠覆、变形被困于车内的人员，对</w:t>
      </w:r>
      <w:r>
        <w:rPr>
          <w:spacing w:val="15"/>
        </w:rPr>
        <w:t>危险化学品运输车辆泄漏事故</w:t>
      </w:r>
      <w:r>
        <w:rPr>
          <w:spacing w:val="-39"/>
        </w:rPr>
        <w:t xml:space="preserve"> </w:t>
      </w:r>
      <w:r>
        <w:rPr>
          <w:spacing w:val="15"/>
        </w:rPr>
        <w:t>，进行侦检监</w:t>
      </w:r>
      <w:r>
        <w:rPr>
          <w:spacing w:val="7"/>
        </w:rPr>
        <w:t>测，确定危险品种类泄漏扩散范围，会同有关</w:t>
      </w:r>
      <w:r>
        <w:rPr>
          <w:spacing w:val="18"/>
        </w:rPr>
        <w:t>专家制定和实施排险方案。遇有车辆坠河事</w:t>
      </w:r>
      <w:r>
        <w:rPr>
          <w:spacing w:val="7"/>
        </w:rPr>
        <w:t>故，由事发地政府负责调集专业人员、工具进</w:t>
      </w:r>
      <w:r>
        <w:rPr>
          <w:spacing w:val="7"/>
        </w:rPr>
        <w:t>行营救、打捞。</w:t>
      </w:r>
    </w:p>
    <w:p>
      <w:pPr>
        <w:pStyle w:val="BodyText"/>
        <w:ind w:left="25" w:right="247" w:firstLine="421"/>
        <w:spacing w:before="17" w:line="322" w:lineRule="auto"/>
        <w:jc w:val="both"/>
        <w:rPr/>
      </w:pPr>
      <w:r>
        <w:rPr>
          <w:spacing w:val="6"/>
        </w:rPr>
        <w:t>安全防护：现场救援指挥部负责组织采取</w:t>
      </w:r>
      <w:r>
        <w:rPr>
          <w:spacing w:val="7"/>
        </w:rPr>
        <w:t>各种现场安全防护措施，参加现场应急救援的</w:t>
      </w:r>
      <w:r>
        <w:rPr>
          <w:spacing w:val="7"/>
        </w:rPr>
        <w:t>人员，必须加强个人安全防护。发生载运危险</w:t>
      </w:r>
      <w:r>
        <w:rPr>
          <w:spacing w:val="7"/>
        </w:rPr>
        <w:t>品车辆泄漏事故时，公安交通管理部门设置事</w:t>
      </w:r>
      <w:r>
        <w:rPr>
          <w:spacing w:val="11"/>
        </w:rPr>
        <w:t>故现场警戒线，进入现场人员需穿着防护服，</w:t>
      </w:r>
      <w:r>
        <w:rPr>
          <w:spacing w:val="7"/>
        </w:rPr>
        <w:t>佩戴安全防护用具。明确群众安全防护的必要</w:t>
      </w:r>
      <w:r>
        <w:rPr>
          <w:spacing w:val="1"/>
        </w:rPr>
        <w:t>措施，决定应急状态下群众疏散的范围、方式、</w:t>
      </w:r>
      <w:r>
        <w:rPr>
          <w:spacing w:val="15"/>
        </w:rPr>
        <w:t>程序并组织实施</w:t>
      </w:r>
      <w:r>
        <w:rPr>
          <w:spacing w:val="-40"/>
        </w:rPr>
        <w:t xml:space="preserve"> </w:t>
      </w:r>
      <w:r>
        <w:rPr>
          <w:spacing w:val="15"/>
        </w:rPr>
        <w:t>，协调卫健部门开展医疗救</w:t>
      </w:r>
      <w:r>
        <w:rPr>
          <w:spacing w:val="7"/>
        </w:rPr>
        <w:t>治、卫生防疫与疾病控制。事发地公安机关根</w:t>
      </w:r>
      <w:r>
        <w:rPr>
          <w:spacing w:val="7"/>
        </w:rPr>
        <w:t>据实际情况，负责设置事故现场警戒，实施交</w:t>
      </w:r>
      <w:r>
        <w:rPr>
          <w:spacing w:val="7"/>
        </w:rPr>
        <w:t>通管制，指挥疏散现场人员，防止事故扩大和</w:t>
      </w:r>
    </w:p>
    <w:p>
      <w:pPr>
        <w:spacing w:line="14" w:lineRule="auto"/>
        <w:rPr>
          <w:rFonts w:ascii="Arial"/>
          <w:sz w:val="2"/>
        </w:rPr>
      </w:pPr>
      <w:r>
        <w:rPr>
          <w:rFonts w:ascii="Arial" w:hAnsi="Arial" w:eastAsia="Arial" w:cs="Arial"/>
          <w:sz w:val="2"/>
          <w:szCs w:val="2"/>
        </w:rPr>
        <w:br w:type="column"/>
      </w:r>
    </w:p>
    <w:p>
      <w:pPr>
        <w:pStyle w:val="BodyText"/>
        <w:ind w:left="3"/>
        <w:spacing w:before="43" w:line="223" w:lineRule="auto"/>
        <w:rPr/>
      </w:pPr>
      <w:r>
        <w:rPr>
          <w:spacing w:val="8"/>
        </w:rPr>
        <w:t>蔓延，造成其他人员伤害。</w:t>
      </w:r>
    </w:p>
    <w:p>
      <w:pPr>
        <w:pStyle w:val="BodyText"/>
        <w:ind w:left="18" w:right="18" w:firstLine="423"/>
        <w:spacing w:before="120" w:line="330" w:lineRule="auto"/>
        <w:rPr/>
      </w:pPr>
      <w:r>
        <w:rPr>
          <w:spacing w:val="5"/>
        </w:rPr>
        <w:t>因道路交通事故引发重大火灾、危险化学</w:t>
      </w:r>
      <w:r>
        <w:rPr>
          <w:spacing w:val="-9"/>
        </w:rPr>
        <w:t>品泄漏等特殊事故时，应及时启动相关应急预案。</w:t>
      </w:r>
    </w:p>
    <w:p>
      <w:pPr>
        <w:ind w:left="422"/>
        <w:spacing w:line="263" w:lineRule="exact"/>
        <w:rPr>
          <w:rFonts w:ascii="KaiTi" w:hAnsi="KaiTi" w:eastAsia="KaiTi" w:cs="KaiTi"/>
          <w:sz w:val="20"/>
          <w:szCs w:val="20"/>
        </w:rPr>
      </w:pPr>
      <w:r>
        <w:rPr>
          <w:rFonts w:ascii="Times New Roman" w:hAnsi="Times New Roman" w:eastAsia="Times New Roman" w:cs="Times New Roman"/>
          <w:sz w:val="20"/>
          <w:szCs w:val="20"/>
          <w:spacing w:val="5"/>
          <w:position w:val="1"/>
        </w:rPr>
        <w:t>4.6  </w:t>
      </w:r>
      <w:r>
        <w:rPr>
          <w:rFonts w:ascii="KaiTi" w:hAnsi="KaiTi" w:eastAsia="KaiTi" w:cs="KaiTi"/>
          <w:sz w:val="20"/>
          <w:szCs w:val="20"/>
          <w:spacing w:val="5"/>
          <w:position w:val="1"/>
        </w:rPr>
        <w:t>信息发布。</w:t>
      </w:r>
    </w:p>
    <w:p>
      <w:pPr>
        <w:pStyle w:val="BodyText"/>
        <w:ind w:left="7" w:right="128" w:firstLine="407"/>
        <w:spacing w:before="96" w:line="278" w:lineRule="auto"/>
        <w:rPr/>
      </w:pPr>
      <w:r>
        <w:rPr>
          <w:spacing w:val="6"/>
        </w:rPr>
        <w:t>（</w:t>
      </w:r>
      <w:r>
        <w:rPr>
          <w:spacing w:val="-34"/>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9"/>
        </w:rPr>
        <w:t xml:space="preserve"> </w:t>
      </w:r>
      <w:r>
        <w:rPr>
          <w:spacing w:val="6"/>
        </w:rPr>
        <w:t>）信息发布及新闻报道应坚持及时、</w:t>
      </w:r>
      <w:r>
        <w:rPr>
          <w:spacing w:val="8"/>
        </w:rPr>
        <w:t>准确、客观、全面的原则。</w:t>
      </w:r>
    </w:p>
    <w:p>
      <w:pPr>
        <w:pStyle w:val="BodyText"/>
        <w:ind w:left="2" w:right="101" w:firstLine="412"/>
        <w:spacing w:before="117" w:line="311"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5"/>
        </w:rPr>
        <w:t xml:space="preserve"> </w:t>
      </w:r>
      <w:r>
        <w:rPr>
          <w:spacing w:val="8"/>
        </w:rPr>
        <w:t>）充分发挥媒体的舆论导向作用</w:t>
      </w:r>
      <w:r>
        <w:rPr>
          <w:spacing w:val="-59"/>
        </w:rPr>
        <w:t xml:space="preserve"> </w:t>
      </w:r>
      <w:r>
        <w:rPr>
          <w:spacing w:val="8"/>
        </w:rPr>
        <w:t>，新</w:t>
      </w:r>
      <w:r>
        <w:rPr>
          <w:spacing w:val="18"/>
        </w:rPr>
        <w:t>闻宣传部门应配合恶劣天气道路交通安全事</w:t>
      </w:r>
      <w:r>
        <w:rPr>
          <w:spacing w:val="7"/>
        </w:rPr>
        <w:t>故应急指挥机构，及时采用授权发布、发新闻</w:t>
      </w:r>
      <w:r>
        <w:rPr>
          <w:spacing w:val="7"/>
        </w:rPr>
        <w:t>稿、组织报道、接受采访、举行新闻发布会等</w:t>
      </w:r>
      <w:r>
        <w:rPr>
          <w:spacing w:val="8"/>
        </w:rPr>
        <w:t>形式发布信息，组织报道。</w:t>
      </w:r>
    </w:p>
    <w:p>
      <w:pPr>
        <w:pStyle w:val="BodyText"/>
        <w:ind w:left="3" w:right="78" w:firstLine="419"/>
        <w:spacing w:before="119" w:line="332" w:lineRule="auto"/>
        <w:jc w:val="both"/>
        <w:rPr/>
      </w:pPr>
      <w:r>
        <w:rPr>
          <w:rFonts w:ascii="Times New Roman" w:hAnsi="Times New Roman" w:eastAsia="Times New Roman" w:cs="Times New Roman"/>
          <w:spacing w:val="8"/>
        </w:rPr>
        <w:t>4.7  </w:t>
      </w:r>
      <w:r>
        <w:rPr>
          <w:rFonts w:ascii="KaiTi" w:hAnsi="KaiTi" w:eastAsia="KaiTi" w:cs="KaiTi"/>
          <w:spacing w:val="8"/>
        </w:rPr>
        <w:t>响应终止。</w:t>
      </w:r>
      <w:r>
        <w:rPr>
          <w:spacing w:val="8"/>
        </w:rPr>
        <w:t>恶劣天气道路交通安全事</w:t>
      </w:r>
      <w:r>
        <w:rPr>
          <w:spacing w:val="8"/>
        </w:rPr>
        <w:t>故应急基本结束、紧急转移和安置工作完成、</w:t>
      </w:r>
      <w:r>
        <w:rPr>
          <w:spacing w:val="8"/>
        </w:rPr>
        <w:t>次生灾害的后果基本消除，交通基本恢复后，</w:t>
      </w:r>
      <w:r>
        <w:rPr>
          <w:spacing w:val="18"/>
        </w:rPr>
        <w:t>市恶劣天气道路交通安全应急指挥部决定终</w:t>
      </w:r>
      <w:r>
        <w:rPr>
          <w:spacing w:val="7"/>
        </w:rPr>
        <w:t>止应急响应。</w:t>
      </w:r>
    </w:p>
    <w:p>
      <w:pPr>
        <w:pStyle w:val="BodyText"/>
        <w:ind w:left="4" w:right="94" w:firstLine="417"/>
        <w:spacing w:before="2" w:line="329" w:lineRule="auto"/>
        <w:jc w:val="both"/>
        <w:rPr/>
      </w:pPr>
      <w:r>
        <w:rPr>
          <w:spacing w:val="7"/>
        </w:rPr>
        <w:t>应急状态解除后，相关单位应当按照专项</w:t>
      </w:r>
      <w:r>
        <w:rPr>
          <w:spacing w:val="7"/>
        </w:rPr>
        <w:t>预案的要求，及时补充应急救援物资和设备，</w:t>
      </w:r>
      <w:r>
        <w:rPr>
          <w:spacing w:val="8"/>
        </w:rPr>
        <w:t>重新回到应急准备状态。</w:t>
      </w:r>
    </w:p>
    <w:p>
      <w:pPr>
        <w:ind w:left="425"/>
        <w:spacing w:before="1"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5</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应急保障</w:t>
      </w:r>
    </w:p>
    <w:p>
      <w:pPr>
        <w:pStyle w:val="BodyText"/>
        <w:ind w:right="20" w:firstLine="429"/>
        <w:spacing w:before="59" w:line="314" w:lineRule="auto"/>
        <w:rPr/>
      </w:pPr>
      <w:r>
        <w:rPr>
          <w:rFonts w:ascii="Times New Roman" w:hAnsi="Times New Roman" w:eastAsia="Times New Roman" w:cs="Times New Roman"/>
          <w:spacing w:val="6"/>
        </w:rPr>
        <w:t>5.</w:t>
      </w:r>
      <w:r>
        <w:rPr>
          <w:rFonts w:ascii="Times New Roman" w:hAnsi="Times New Roman" w:eastAsia="Times New Roman" w:cs="Times New Roman"/>
          <w:spacing w:val="-8"/>
        </w:rPr>
        <w:t xml:space="preserve"> </w:t>
      </w:r>
      <w:r>
        <w:rPr>
          <w:rFonts w:ascii="Times New Roman" w:hAnsi="Times New Roman" w:eastAsia="Times New Roman" w:cs="Times New Roman"/>
          <w:spacing w:val="6"/>
        </w:rPr>
        <w:t>1  </w:t>
      </w:r>
      <w:r>
        <w:rPr>
          <w:rFonts w:ascii="KaiTi" w:hAnsi="KaiTi" w:eastAsia="KaiTi" w:cs="KaiTi"/>
          <w:spacing w:val="6"/>
        </w:rPr>
        <w:t>通信保障。</w:t>
      </w:r>
      <w:r>
        <w:rPr>
          <w:spacing w:val="6"/>
        </w:rPr>
        <w:t>市工业和信息化局协调有</w:t>
      </w:r>
      <w:r>
        <w:rPr>
          <w:spacing w:val="7"/>
        </w:rPr>
        <w:t>关电信运营企业做好应急通信保障，确保应急</w:t>
      </w:r>
      <w:r>
        <w:rPr>
          <w:spacing w:val="1"/>
        </w:rPr>
        <w:t>救援过程中的语音、数据、图像等信息的传送、</w:t>
      </w:r>
      <w:r>
        <w:rPr>
          <w:spacing w:val="7"/>
        </w:rPr>
        <w:t>应急指挥通信的畅通。在通讯不便的地方，架</w:t>
      </w:r>
      <w:r>
        <w:rPr>
          <w:spacing w:val="7"/>
        </w:rPr>
        <w:t>设通讯设备，保障现场救援指挥部与应急成员</w:t>
      </w:r>
      <w:r>
        <w:rPr>
          <w:spacing w:val="8"/>
        </w:rPr>
        <w:t>单位的通讯联络。</w:t>
      </w:r>
    </w:p>
    <w:p>
      <w:pPr>
        <w:pStyle w:val="BodyText"/>
        <w:ind w:left="1" w:right="101" w:firstLine="427"/>
        <w:spacing w:before="110" w:line="310" w:lineRule="auto"/>
        <w:rPr/>
      </w:pPr>
      <w:r>
        <w:rPr>
          <w:rFonts w:ascii="Times New Roman" w:hAnsi="Times New Roman" w:eastAsia="Times New Roman" w:cs="Times New Roman"/>
          <w:spacing w:val="8"/>
        </w:rPr>
        <w:t>5.2  </w:t>
      </w:r>
      <w:r>
        <w:rPr>
          <w:rFonts w:ascii="KaiTi" w:hAnsi="KaiTi" w:eastAsia="KaiTi" w:cs="KaiTi"/>
          <w:spacing w:val="8"/>
        </w:rPr>
        <w:t>救援装备和应急队伍保障。</w:t>
      </w:r>
      <w:r>
        <w:rPr>
          <w:spacing w:val="8"/>
        </w:rPr>
        <w:t>公安交通</w:t>
      </w:r>
      <w:r>
        <w:rPr>
          <w:spacing w:val="7"/>
        </w:rPr>
        <w:t>管理部门要积极组织、协调、促进应急救援队</w:t>
      </w:r>
      <w:r>
        <w:rPr>
          <w:spacing w:val="7"/>
        </w:rPr>
        <w:t>伍培训，不断提高战斗力，保证应急状态下的</w:t>
      </w:r>
      <w:r>
        <w:rPr>
          <w:spacing w:val="4"/>
        </w:rPr>
        <w:t>调用。各县（</w:t>
      </w:r>
      <w:r>
        <w:rPr>
          <w:spacing w:val="-34"/>
        </w:rPr>
        <w:t xml:space="preserve"> </w:t>
      </w:r>
      <w:r>
        <w:rPr>
          <w:spacing w:val="4"/>
        </w:rPr>
        <w:t>区）政府根据本地道路交通伤亡</w:t>
      </w:r>
      <w:r>
        <w:rPr>
          <w:spacing w:val="7"/>
        </w:rPr>
        <w:t>事故的特点制定相应的应急救援保障体系，确</w:t>
      </w:r>
      <w:r>
        <w:rPr>
          <w:spacing w:val="7"/>
        </w:rPr>
        <w:t>定机构、人员；明确应急设备类型、数量、性</w:t>
      </w:r>
      <w:r>
        <w:rPr>
          <w:spacing w:val="7"/>
        </w:rPr>
        <w:t>能和存放位置，同时制定管理办法，保证应急</w:t>
      </w:r>
      <w:r>
        <w:rPr>
          <w:spacing w:val="8"/>
        </w:rPr>
        <w:t>状态下的迅速调用。</w:t>
      </w:r>
    </w:p>
    <w:p>
      <w:pPr>
        <w:pStyle w:val="BodyText"/>
        <w:ind w:left="1" w:right="101" w:firstLine="427"/>
        <w:spacing w:before="153" w:line="279" w:lineRule="auto"/>
        <w:rPr/>
      </w:pPr>
      <w:r>
        <w:rPr>
          <w:rFonts w:ascii="Times New Roman" w:hAnsi="Times New Roman" w:eastAsia="Times New Roman" w:cs="Times New Roman"/>
          <w:spacing w:val="8"/>
        </w:rPr>
        <w:t>5.3  </w:t>
      </w:r>
      <w:r>
        <w:rPr>
          <w:rFonts w:ascii="KaiTi" w:hAnsi="KaiTi" w:eastAsia="KaiTi" w:cs="KaiTi"/>
          <w:spacing w:val="8"/>
        </w:rPr>
        <w:t>交通运输保障。</w:t>
      </w:r>
      <w:r>
        <w:rPr>
          <w:spacing w:val="8"/>
        </w:rPr>
        <w:t>启动应急预案期间，</w:t>
      </w:r>
      <w:r>
        <w:rPr>
          <w:spacing w:val="7"/>
        </w:rPr>
        <w:t>公安交通管理部门根据需要实施交通管制，道</w:t>
      </w:r>
    </w:p>
    <w:p>
      <w:pPr>
        <w:spacing w:line="279" w:lineRule="auto"/>
        <w:sectPr>
          <w:type w:val="continuous"/>
          <w:pgSz w:w="11906" w:h="16839"/>
          <w:pgMar w:top="1772" w:right="1489" w:bottom="1562" w:left="1567" w:header="1428" w:footer="1172" w:gutter="0"/>
          <w:cols w:equalWidth="0" w:num="2">
            <w:col w:w="4500" w:space="100"/>
            <w:col w:w="4251" w:space="0"/>
          </w:cols>
        </w:sectPr>
        <w:rPr/>
      </w:pPr>
    </w:p>
    <w:p>
      <w:pPr>
        <w:spacing w:line="143" w:lineRule="exact"/>
        <w:rPr/>
      </w:pPr>
      <w:r>
        <w:drawing>
          <wp:anchor distT="0" distB="0" distL="0" distR="0" simplePos="0" relativeHeight="252973056"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756" name="IM 1756"/>
            <wp:cNvGraphicFramePr/>
            <a:graphic>
              <a:graphicData uri="http://schemas.openxmlformats.org/drawingml/2006/picture">
                <pic:pic>
                  <pic:nvPicPr>
                    <pic:cNvPr id="1756" name="IM 1756"/>
                    <pic:cNvPicPr/>
                  </pic:nvPicPr>
                  <pic:blipFill>
                    <a:blip r:embed="rId880"/>
                    <a:stretch>
                      <a:fillRect/>
                    </a:stretch>
                  </pic:blipFill>
                  <pic:spPr>
                    <a:xfrm rot="0">
                      <a:off x="0" y="0"/>
                      <a:ext cx="5579745" cy="7620"/>
                    </a:xfrm>
                    <a:prstGeom prst="rect">
                      <a:avLst/>
                    </a:prstGeom>
                  </pic:spPr>
                </pic:pic>
              </a:graphicData>
            </a:graphic>
          </wp:anchor>
        </w:drawing>
      </w:r>
      <w:r/>
    </w:p>
    <w:p>
      <w:pPr>
        <w:spacing w:line="143" w:lineRule="exact"/>
        <w:sectPr>
          <w:headerReference w:type="default" r:id="rId544"/>
          <w:footerReference w:type="default" r:id="rId879"/>
          <w:pgSz w:w="11906" w:h="16839"/>
          <w:pgMar w:top="1766" w:right="1507" w:bottom="1575" w:left="1579" w:header="1428" w:footer="1172" w:gutter="0"/>
          <w:cols w:equalWidth="0" w:num="1">
            <w:col w:w="8819" w:space="0"/>
          </w:cols>
        </w:sectPr>
        <w:rPr/>
      </w:pPr>
    </w:p>
    <w:p>
      <w:pPr>
        <w:pStyle w:val="BodyText"/>
        <w:ind w:left="12" w:right="329" w:firstLine="1"/>
        <w:spacing w:before="45" w:line="368" w:lineRule="auto"/>
        <w:rPr/>
      </w:pPr>
      <w:r>
        <w:rPr>
          <w:spacing w:val="7"/>
        </w:rPr>
        <w:t>路运输主管部门负责调动道路交通工具，保障</w:t>
      </w:r>
      <w:r>
        <w:rPr>
          <w:spacing w:val="8"/>
        </w:rPr>
        <w:t>应急处置期间的交通运输。</w:t>
      </w:r>
    </w:p>
    <w:p>
      <w:pPr>
        <w:pStyle w:val="BodyText"/>
        <w:ind w:left="13" w:right="329" w:firstLine="425"/>
        <w:spacing w:line="321" w:lineRule="auto"/>
        <w:rPr/>
      </w:pPr>
      <w:r>
        <w:rPr>
          <w:rFonts w:ascii="Times New Roman" w:hAnsi="Times New Roman" w:eastAsia="Times New Roman" w:cs="Times New Roman"/>
          <w:spacing w:val="6"/>
        </w:rPr>
        <w:t>5.4</w:t>
      </w:r>
      <w:r>
        <w:rPr>
          <w:rFonts w:ascii="Times New Roman" w:hAnsi="Times New Roman" w:eastAsia="Times New Roman" w:cs="Times New Roman"/>
          <w:spacing w:val="27"/>
        </w:rPr>
        <w:t xml:space="preserve">  </w:t>
      </w:r>
      <w:r>
        <w:rPr>
          <w:rFonts w:ascii="KaiTi" w:hAnsi="KaiTi" w:eastAsia="KaiTi" w:cs="KaiTi"/>
          <w:spacing w:val="6"/>
        </w:rPr>
        <w:t>医疗卫健保障。</w:t>
      </w:r>
      <w:r>
        <w:rPr>
          <w:spacing w:val="6"/>
        </w:rPr>
        <w:t>卫健部门根据交通事</w:t>
      </w:r>
      <w:r>
        <w:rPr>
          <w:spacing w:val="7"/>
        </w:rPr>
        <w:t>故受伤人员的情况，协调医疗卫生机构，调集</w:t>
      </w:r>
      <w:r>
        <w:rPr>
          <w:spacing w:val="9"/>
        </w:rPr>
        <w:t>医疗急救人员，保证受伤人员抢救工作。</w:t>
      </w:r>
    </w:p>
    <w:p>
      <w:pPr>
        <w:pStyle w:val="BodyText"/>
        <w:ind w:left="11" w:right="329" w:firstLine="427"/>
        <w:spacing w:before="153" w:line="349" w:lineRule="auto"/>
        <w:rPr/>
      </w:pPr>
      <w:r>
        <w:rPr>
          <w:rFonts w:ascii="Times New Roman" w:hAnsi="Times New Roman" w:eastAsia="Times New Roman" w:cs="Times New Roman"/>
          <w:spacing w:val="8"/>
        </w:rPr>
        <w:t>5.5  </w:t>
      </w:r>
      <w:r>
        <w:rPr>
          <w:rFonts w:ascii="KaiTi" w:hAnsi="KaiTi" w:eastAsia="KaiTi" w:cs="KaiTi"/>
          <w:spacing w:val="8"/>
        </w:rPr>
        <w:t>治安保障。</w:t>
      </w:r>
      <w:r>
        <w:rPr>
          <w:spacing w:val="8"/>
        </w:rPr>
        <w:t>公安部门安排足够的警力</w:t>
      </w:r>
      <w:r>
        <w:rPr>
          <w:spacing w:val="7"/>
        </w:rPr>
        <w:t>做好应急期间有关场所的治安保卫工作，组织</w:t>
      </w:r>
      <w:r>
        <w:rPr>
          <w:spacing w:val="7"/>
        </w:rPr>
        <w:t>巡逻查控，防止无关人员进入警戒区，协助抢</w:t>
      </w:r>
      <w:r>
        <w:rPr>
          <w:spacing w:val="18"/>
        </w:rPr>
        <w:t>救伤者、疏散危险区的人员迅速撤至安全地</w:t>
      </w:r>
      <w:r>
        <w:rPr>
          <w:spacing w:val="7"/>
        </w:rPr>
        <w:t>带，配合政府利用通告、广播等形式将事故有</w:t>
      </w:r>
      <w:r>
        <w:rPr>
          <w:spacing w:val="15"/>
        </w:rPr>
        <w:t>关情况及处置措施向群众通报</w:t>
      </w:r>
      <w:r>
        <w:rPr>
          <w:spacing w:val="-39"/>
        </w:rPr>
        <w:t xml:space="preserve"> </w:t>
      </w:r>
      <w:r>
        <w:rPr>
          <w:spacing w:val="15"/>
        </w:rPr>
        <w:t>，稳定群众情</w:t>
      </w:r>
      <w:r>
        <w:rPr>
          <w:spacing w:val="9"/>
        </w:rPr>
        <w:t>绪，维护治安秩序和社会稳定。</w:t>
      </w:r>
    </w:p>
    <w:p>
      <w:pPr>
        <w:ind w:left="437"/>
        <w:spacing w:before="150"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6</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4"/>
        </w:rPr>
        <w:t>后期处理</w:t>
      </w:r>
    </w:p>
    <w:p>
      <w:pPr>
        <w:pStyle w:val="BodyText"/>
        <w:ind w:left="11" w:right="252" w:firstLine="426"/>
        <w:spacing w:before="94" w:line="349" w:lineRule="auto"/>
        <w:rPr/>
      </w:pPr>
      <w:r>
        <w:rPr>
          <w:rFonts w:ascii="Times New Roman" w:hAnsi="Times New Roman" w:eastAsia="Times New Roman" w:cs="Times New Roman"/>
          <w:spacing w:val="6"/>
        </w:rPr>
        <w:t>6.</w:t>
      </w:r>
      <w:r>
        <w:rPr>
          <w:rFonts w:ascii="Times New Roman" w:hAnsi="Times New Roman" w:eastAsia="Times New Roman" w:cs="Times New Roman"/>
          <w:spacing w:val="-7"/>
        </w:rPr>
        <w:t xml:space="preserve"> </w:t>
      </w:r>
      <w:r>
        <w:rPr>
          <w:rFonts w:ascii="Times New Roman" w:hAnsi="Times New Roman" w:eastAsia="Times New Roman" w:cs="Times New Roman"/>
          <w:spacing w:val="6"/>
        </w:rPr>
        <w:t>1  </w:t>
      </w:r>
      <w:r>
        <w:rPr>
          <w:rFonts w:ascii="KaiTi" w:hAnsi="KaiTi" w:eastAsia="KaiTi" w:cs="KaiTi"/>
          <w:spacing w:val="6"/>
        </w:rPr>
        <w:t>善后处置</w:t>
      </w:r>
      <w:r>
        <w:rPr>
          <w:spacing w:val="6"/>
        </w:rPr>
        <w:t>。恶劣天气道路交通安全事</w:t>
      </w:r>
      <w:r>
        <w:rPr>
          <w:spacing w:val="4"/>
        </w:rPr>
        <w:t>故应急处置工作结束后，事发地县（</w:t>
      </w:r>
      <w:r>
        <w:rPr>
          <w:spacing w:val="-34"/>
        </w:rPr>
        <w:t xml:space="preserve"> </w:t>
      </w:r>
      <w:r>
        <w:rPr>
          <w:spacing w:val="4"/>
        </w:rPr>
        <w:t>区）政府</w:t>
      </w:r>
      <w:r>
        <w:rPr>
          <w:spacing w:val="7"/>
        </w:rPr>
        <w:t>及有关单位要根据各自职责，开展善后处置工</w:t>
      </w:r>
      <w:r>
        <w:rPr>
          <w:spacing w:val="7"/>
        </w:rPr>
        <w:t>作。包括人员安置、抚恤补偿、保险理赔、征</w:t>
      </w:r>
      <w:r>
        <w:rPr>
          <w:spacing w:val="7"/>
        </w:rPr>
        <w:t>用补偿、救援物资供应、环境污染消除、灾后</w:t>
      </w:r>
      <w:r>
        <w:rPr>
          <w:spacing w:val="10"/>
        </w:rPr>
        <w:t>重建、危险源监控和治理等，防止事件次生、</w:t>
      </w:r>
      <w:r>
        <w:rPr>
          <w:spacing w:val="1"/>
        </w:rPr>
        <w:t>衍生危害，尽快恢复正常秩序，确保社会稳定。</w:t>
      </w:r>
    </w:p>
    <w:p>
      <w:pPr>
        <w:ind w:left="438"/>
        <w:spacing w:before="156" w:line="241" w:lineRule="auto"/>
        <w:rPr>
          <w:rFonts w:ascii="KaiTi" w:hAnsi="KaiTi" w:eastAsia="KaiTi" w:cs="KaiTi"/>
          <w:sz w:val="20"/>
          <w:szCs w:val="20"/>
        </w:rPr>
      </w:pPr>
      <w:r>
        <w:rPr>
          <w:rFonts w:ascii="Times New Roman" w:hAnsi="Times New Roman" w:eastAsia="Times New Roman" w:cs="Times New Roman"/>
          <w:sz w:val="20"/>
          <w:szCs w:val="20"/>
          <w:spacing w:val="2"/>
        </w:rPr>
        <w:t>6.2</w:t>
      </w:r>
      <w:r>
        <w:rPr>
          <w:rFonts w:ascii="Times New Roman" w:hAnsi="Times New Roman" w:eastAsia="Times New Roman" w:cs="Times New Roman"/>
          <w:sz w:val="20"/>
          <w:szCs w:val="20"/>
          <w:spacing w:val="14"/>
        </w:rPr>
        <w:t xml:space="preserve">  </w:t>
      </w:r>
      <w:r>
        <w:rPr>
          <w:rFonts w:ascii="KaiTi" w:hAnsi="KaiTi" w:eastAsia="KaiTi" w:cs="KaiTi"/>
          <w:sz w:val="20"/>
          <w:szCs w:val="20"/>
          <w:spacing w:val="2"/>
        </w:rPr>
        <w:t>总结评估。</w:t>
      </w:r>
    </w:p>
    <w:p>
      <w:pPr>
        <w:pStyle w:val="BodyText"/>
        <w:ind w:left="13" w:right="322" w:firstLine="411"/>
        <w:spacing w:before="139" w:line="340"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）恶劣天气道路交通安全事故善后处</w:t>
      </w:r>
      <w:r>
        <w:rPr>
          <w:spacing w:val="7"/>
        </w:rPr>
        <w:t>置工作结束后，事发地政府要总结经验教训，</w:t>
      </w:r>
      <w:r>
        <w:rPr>
          <w:spacing w:val="7"/>
        </w:rPr>
        <w:t>提出改进工作的建议，形成处置恶劣天气道路</w:t>
      </w:r>
      <w:r>
        <w:rPr>
          <w:spacing w:val="7"/>
        </w:rPr>
        <w:t>交通安全事故专项工作报告，报市恶劣天气道</w:t>
      </w:r>
      <w:r>
        <w:rPr>
          <w:spacing w:val="8"/>
        </w:rPr>
        <w:t>路交通安全应急指挥部办公室。</w:t>
      </w:r>
    </w:p>
    <w:p>
      <w:pPr>
        <w:pStyle w:val="BodyText"/>
        <w:ind w:left="11" w:right="306" w:firstLine="413"/>
        <w:spacing w:before="156" w:line="341"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）市恶劣天气道路交通安全应急指挥</w:t>
      </w:r>
      <w:r>
        <w:rPr>
          <w:spacing w:val="18"/>
        </w:rPr>
        <w:t>部办公室要根据事发地政府提交的处置恶劣</w:t>
      </w:r>
      <w:r>
        <w:rPr>
          <w:spacing w:val="8"/>
        </w:rPr>
        <w:t>天气道路交通安全事故工作报告，组织分析、</w:t>
      </w:r>
      <w:r>
        <w:rPr>
          <w:spacing w:val="7"/>
        </w:rPr>
        <w:t>研究，提出改进应急工作的意见，形成工作专</w:t>
      </w:r>
      <w:r>
        <w:rPr>
          <w:spacing w:val="9"/>
        </w:rPr>
        <w:t>报报市政府，并抄送各成员单位。</w:t>
      </w:r>
    </w:p>
    <w:p>
      <w:pPr>
        <w:ind w:left="436"/>
        <w:spacing w:before="150"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7</w:t>
      </w:r>
      <w:r>
        <w:rPr>
          <w:rFonts w:ascii="Microsoft YaHei" w:hAnsi="Microsoft YaHei" w:eastAsia="Microsoft YaHei" w:cs="Microsoft YaHei"/>
          <w:sz w:val="20"/>
          <w:szCs w:val="20"/>
          <w:spacing w:val="14"/>
        </w:rPr>
        <w:t xml:space="preserve">   </w:t>
      </w:r>
      <w:r>
        <w:rPr>
          <w:rFonts w:ascii="Microsoft YaHei" w:hAnsi="Microsoft YaHei" w:eastAsia="Microsoft YaHei" w:cs="Microsoft YaHei"/>
          <w:sz w:val="20"/>
          <w:szCs w:val="20"/>
          <w:spacing w:val="3"/>
        </w:rPr>
        <w:t>监督管理</w:t>
      </w:r>
    </w:p>
    <w:p>
      <w:pPr>
        <w:pStyle w:val="BodyText"/>
        <w:ind w:left="437"/>
        <w:spacing w:before="90" w:line="241" w:lineRule="auto"/>
        <w:rPr/>
      </w:pPr>
      <w:r>
        <w:rPr>
          <w:rFonts w:ascii="Times New Roman" w:hAnsi="Times New Roman" w:eastAsia="Times New Roman" w:cs="Times New Roman"/>
          <w:spacing w:val="6"/>
        </w:rPr>
        <w:t>7.</w:t>
      </w:r>
      <w:r>
        <w:rPr>
          <w:rFonts w:ascii="Times New Roman" w:hAnsi="Times New Roman" w:eastAsia="Times New Roman" w:cs="Times New Roman"/>
          <w:spacing w:val="-25"/>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5"/>
          <w:w w:val="101"/>
        </w:rPr>
        <w:t xml:space="preserve">  </w:t>
      </w:r>
      <w:r>
        <w:rPr>
          <w:rFonts w:ascii="KaiTi" w:hAnsi="KaiTi" w:eastAsia="KaiTi" w:cs="KaiTi"/>
          <w:spacing w:val="6"/>
        </w:rPr>
        <w:t>宣传教育</w:t>
      </w:r>
      <w:r>
        <w:rPr>
          <w:spacing w:val="6"/>
        </w:rPr>
        <w:t>。各级政府及有关部门要利</w:t>
      </w:r>
    </w:p>
    <w:p>
      <w:pPr>
        <w:spacing w:line="14" w:lineRule="auto"/>
        <w:rPr>
          <w:rFonts w:ascii="Arial"/>
          <w:sz w:val="2"/>
        </w:rPr>
      </w:pPr>
      <w:r>
        <w:rPr>
          <w:rFonts w:ascii="Arial" w:hAnsi="Arial" w:eastAsia="Arial" w:cs="Arial"/>
          <w:sz w:val="2"/>
          <w:szCs w:val="2"/>
        </w:rPr>
        <w:br w:type="column"/>
      </w:r>
    </w:p>
    <w:p>
      <w:pPr>
        <w:pStyle w:val="BodyText"/>
        <w:ind w:firstLine="1"/>
        <w:spacing w:before="39" w:line="365" w:lineRule="auto"/>
        <w:jc w:val="both"/>
        <w:rPr/>
      </w:pPr>
      <w:r>
        <w:rPr>
          <w:spacing w:val="7"/>
        </w:rPr>
        <w:t>用电视、广播、报刊等新闻媒体，广泛宣传道</w:t>
      </w:r>
      <w:r>
        <w:rPr>
          <w:spacing w:val="18"/>
        </w:rPr>
        <w:t>路交通安全法律、法规和道路交通事故的预</w:t>
      </w:r>
      <w:r>
        <w:rPr>
          <w:spacing w:val="10"/>
        </w:rPr>
        <w:t>防、恶劣天气道路上驾驶技能、避险、自救、</w:t>
      </w:r>
      <w:r>
        <w:rPr>
          <w:spacing w:val="-8"/>
        </w:rPr>
        <w:t>互救的常识，提高公众守法意识和自我防护能力。</w:t>
      </w:r>
    </w:p>
    <w:p>
      <w:pPr>
        <w:pStyle w:val="BodyText"/>
        <w:ind w:right="83" w:firstLine="425"/>
        <w:spacing w:before="3" w:line="337" w:lineRule="auto"/>
        <w:rPr/>
      </w:pPr>
      <w:r>
        <w:rPr>
          <w:rFonts w:ascii="Times New Roman" w:hAnsi="Times New Roman" w:eastAsia="Times New Roman" w:cs="Times New Roman"/>
          <w:spacing w:val="8"/>
        </w:rPr>
        <w:t>7.2  </w:t>
      </w:r>
      <w:r>
        <w:rPr>
          <w:rFonts w:ascii="KaiTi" w:hAnsi="KaiTi" w:eastAsia="KaiTi" w:cs="KaiTi"/>
          <w:spacing w:val="8"/>
        </w:rPr>
        <w:t>培训</w:t>
      </w:r>
      <w:r>
        <w:rPr>
          <w:spacing w:val="8"/>
        </w:rPr>
        <w:t>。各级政府和公安交通管理、交</w:t>
      </w:r>
      <w:r>
        <w:rPr>
          <w:spacing w:val="7"/>
        </w:rPr>
        <w:t>通运输、农业农村（农机）等部门要组织、指</w:t>
      </w:r>
      <w:r>
        <w:rPr>
          <w:spacing w:val="18"/>
        </w:rPr>
        <w:t>导相关单位道路交通安全应急队伍的技能培</w:t>
      </w:r>
      <w:r>
        <w:rPr>
          <w:spacing w:val="7"/>
        </w:rPr>
        <w:t>训，在机动车驾驶员培训、考试中，应当设置</w:t>
      </w:r>
      <w:r>
        <w:rPr>
          <w:spacing w:val="9"/>
        </w:rPr>
        <w:t>应急救援的内容，提高自身救援能力。</w:t>
      </w:r>
    </w:p>
    <w:p>
      <w:pPr>
        <w:pStyle w:val="BodyText"/>
        <w:ind w:right="63" w:firstLine="425"/>
        <w:spacing w:before="147" w:line="315" w:lineRule="auto"/>
        <w:rPr/>
      </w:pPr>
      <w:r>
        <w:rPr>
          <w:rFonts w:ascii="Times New Roman" w:hAnsi="Times New Roman" w:eastAsia="Times New Roman" w:cs="Times New Roman"/>
          <w:spacing w:val="8"/>
        </w:rPr>
        <w:t>7.3  </w:t>
      </w:r>
      <w:r>
        <w:rPr>
          <w:rFonts w:ascii="KaiTi" w:hAnsi="KaiTi" w:eastAsia="KaiTi" w:cs="KaiTi"/>
          <w:spacing w:val="8"/>
        </w:rPr>
        <w:t>演练</w:t>
      </w:r>
      <w:r>
        <w:rPr>
          <w:spacing w:val="8"/>
        </w:rPr>
        <w:t>。各级政府和公安交通管理部门</w:t>
      </w:r>
      <w:r>
        <w:rPr>
          <w:spacing w:val="7"/>
        </w:rPr>
        <w:t>要组织协调相关单位，适时开展处置恶劣天气</w:t>
      </w:r>
      <w:r>
        <w:rPr>
          <w:spacing w:val="8"/>
        </w:rPr>
        <w:t>道路交通安全应急演练，提高应急处置能力。</w:t>
      </w:r>
    </w:p>
    <w:p>
      <w:pPr>
        <w:ind w:left="425"/>
        <w:spacing w:before="146" w:line="241" w:lineRule="auto"/>
        <w:rPr>
          <w:rFonts w:ascii="KaiTi" w:hAnsi="KaiTi" w:eastAsia="KaiTi" w:cs="KaiTi"/>
          <w:sz w:val="20"/>
          <w:szCs w:val="20"/>
        </w:rPr>
      </w:pPr>
      <w:r>
        <w:rPr>
          <w:rFonts w:ascii="Times New Roman" w:hAnsi="Times New Roman" w:eastAsia="Times New Roman" w:cs="Times New Roman"/>
          <w:sz w:val="20"/>
          <w:szCs w:val="20"/>
          <w:spacing w:val="6"/>
        </w:rPr>
        <w:t>7.4  </w:t>
      </w:r>
      <w:r>
        <w:rPr>
          <w:rFonts w:ascii="KaiTi" w:hAnsi="KaiTi" w:eastAsia="KaiTi" w:cs="KaiTi"/>
          <w:sz w:val="20"/>
          <w:szCs w:val="20"/>
          <w:spacing w:val="6"/>
        </w:rPr>
        <w:t>预案管理与更新。</w:t>
      </w:r>
    </w:p>
    <w:p>
      <w:pPr>
        <w:pStyle w:val="BodyText"/>
        <w:ind w:left="2" w:right="85" w:firstLine="410"/>
        <w:spacing w:before="128" w:line="293" w:lineRule="auto"/>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）本预案由市公安局制定</w:t>
      </w:r>
      <w:r>
        <w:rPr>
          <w:spacing w:val="-59"/>
        </w:rPr>
        <w:t xml:space="preserve"> </w:t>
      </w:r>
      <w:r>
        <w:rPr>
          <w:spacing w:val="5"/>
        </w:rPr>
        <w:t>，经市人民</w:t>
      </w:r>
      <w:r>
        <w:rPr>
          <w:spacing w:val="9"/>
        </w:rPr>
        <w:t>政府审批后，由市人民政府办公室印发。</w:t>
      </w:r>
    </w:p>
    <w:p>
      <w:pPr>
        <w:pStyle w:val="BodyText"/>
        <w:ind w:right="18" w:firstLine="412"/>
        <w:spacing w:before="145" w:line="333"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16"/>
        </w:rPr>
        <w:t xml:space="preserve"> </w:t>
      </w:r>
      <w:r>
        <w:rPr>
          <w:spacing w:val="8"/>
        </w:rPr>
        <w:t>）各县（</w:t>
      </w:r>
      <w:r>
        <w:rPr>
          <w:spacing w:val="-48"/>
        </w:rPr>
        <w:t xml:space="preserve"> </w:t>
      </w:r>
      <w:r>
        <w:rPr>
          <w:spacing w:val="8"/>
        </w:rPr>
        <w:t>区）政府及其有关单位、群</w:t>
      </w:r>
      <w:r>
        <w:rPr>
          <w:spacing w:val="7"/>
        </w:rPr>
        <w:t>众自治组织、企事业单位等要按照本预案的规</w:t>
      </w:r>
      <w:r>
        <w:rPr/>
        <w:t>定履行职责，并制定、完善相应的应急预案后，</w:t>
      </w:r>
      <w:r>
        <w:rPr>
          <w:spacing w:val="18"/>
        </w:rPr>
        <w:t>报市恶劣天气道路交通安全应急指挥部办公</w:t>
      </w:r>
      <w:r>
        <w:rPr>
          <w:spacing w:val="8"/>
        </w:rPr>
        <w:t>室和市政府办值班室备案。</w:t>
      </w:r>
    </w:p>
    <w:p>
      <w:pPr>
        <w:pStyle w:val="BodyText"/>
        <w:ind w:left="5" w:right="83" w:firstLine="407"/>
        <w:spacing w:before="144" w:line="312"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）市公安局要根据预案演练时发现的</w:t>
      </w:r>
      <w:r>
        <w:rPr>
          <w:spacing w:val="7"/>
        </w:rPr>
        <w:t>问题、机构变化等情况，适时组织修订完善本</w:t>
      </w:r>
      <w:r>
        <w:rPr>
          <w:spacing w:val="3"/>
        </w:rPr>
        <w:t>预案。</w:t>
      </w:r>
    </w:p>
    <w:p>
      <w:pPr>
        <w:ind w:left="425"/>
        <w:spacing w:before="144" w:line="242" w:lineRule="auto"/>
        <w:rPr>
          <w:rFonts w:ascii="KaiTi" w:hAnsi="KaiTi" w:eastAsia="KaiTi" w:cs="KaiTi"/>
          <w:sz w:val="20"/>
          <w:szCs w:val="20"/>
        </w:rPr>
      </w:pPr>
      <w:r>
        <w:rPr>
          <w:rFonts w:ascii="Times New Roman" w:hAnsi="Times New Roman" w:eastAsia="Times New Roman" w:cs="Times New Roman"/>
          <w:sz w:val="20"/>
          <w:szCs w:val="20"/>
          <w:spacing w:val="3"/>
        </w:rPr>
        <w:t>7.5</w:t>
      </w:r>
      <w:r>
        <w:rPr>
          <w:rFonts w:ascii="Times New Roman" w:hAnsi="Times New Roman" w:eastAsia="Times New Roman" w:cs="Times New Roman"/>
          <w:sz w:val="20"/>
          <w:szCs w:val="20"/>
          <w:spacing w:val="15"/>
        </w:rPr>
        <w:t xml:space="preserve">  </w:t>
      </w:r>
      <w:r>
        <w:rPr>
          <w:rFonts w:ascii="KaiTi" w:hAnsi="KaiTi" w:eastAsia="KaiTi" w:cs="KaiTi"/>
          <w:sz w:val="20"/>
          <w:szCs w:val="20"/>
          <w:spacing w:val="3"/>
        </w:rPr>
        <w:t>奖励与追责。</w:t>
      </w:r>
    </w:p>
    <w:p>
      <w:pPr>
        <w:pStyle w:val="BodyText"/>
        <w:ind w:firstLine="420"/>
        <w:spacing w:before="128" w:line="357" w:lineRule="auto"/>
        <w:rPr/>
      </w:pPr>
      <w:r>
        <w:rPr>
          <w:spacing w:val="19"/>
        </w:rPr>
        <w:t>对在实施道路交通安全应急救援和处置</w:t>
      </w:r>
      <w:r>
        <w:rPr>
          <w:spacing w:val="7"/>
        </w:rPr>
        <w:t>行动中反应迅速、表现突出、处置果断、决策</w:t>
      </w:r>
      <w:r>
        <w:rPr>
          <w:spacing w:val="-8"/>
        </w:rPr>
        <w:t>正确的单位和个人，依据相关规定给予表彰奖励。</w:t>
      </w:r>
    </w:p>
    <w:p>
      <w:pPr>
        <w:pStyle w:val="BodyText"/>
        <w:ind w:right="76" w:firstLine="439"/>
        <w:spacing w:before="1" w:line="352" w:lineRule="auto"/>
        <w:rPr/>
      </w:pPr>
      <w:r>
        <w:rPr>
          <w:spacing w:val="6"/>
        </w:rPr>
        <w:t>因玩忽职守、贻误时机造成严重后果的，</w:t>
      </w:r>
      <w:r>
        <w:rPr>
          <w:spacing w:val="7"/>
        </w:rPr>
        <w:t>依据有关法律法规和规定，追究有关单位负责</w:t>
      </w:r>
      <w:r>
        <w:rPr>
          <w:spacing w:val="8"/>
        </w:rPr>
        <w:t>人和有关责任人的责任。</w:t>
      </w:r>
    </w:p>
    <w:p>
      <w:pPr>
        <w:ind w:left="424"/>
        <w:spacing w:before="1"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8    附则</w:t>
      </w:r>
    </w:p>
    <w:p>
      <w:pPr>
        <w:pStyle w:val="BodyText"/>
        <w:ind w:left="3" w:right="83" w:firstLine="427"/>
        <w:spacing w:before="82" w:line="346" w:lineRule="auto"/>
        <w:rPr/>
      </w:pPr>
      <w:r>
        <w:rPr>
          <w:rFonts w:ascii="Times New Roman" w:hAnsi="Times New Roman" w:eastAsia="Times New Roman" w:cs="Times New Roman"/>
          <w:spacing w:val="5"/>
        </w:rPr>
        <w:t>8.</w:t>
      </w:r>
      <w:r>
        <w:rPr>
          <w:rFonts w:ascii="Times New Roman" w:hAnsi="Times New Roman" w:eastAsia="Times New Roman" w:cs="Times New Roman"/>
          <w:spacing w:val="-10"/>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5"/>
        </w:rPr>
        <w:t xml:space="preserve">  </w:t>
      </w:r>
      <w:r>
        <w:rPr>
          <w:rFonts w:ascii="KaiTi" w:hAnsi="KaiTi" w:eastAsia="KaiTi" w:cs="KaiTi"/>
          <w:spacing w:val="5"/>
        </w:rPr>
        <w:t>以上、以下的含义。</w:t>
      </w:r>
      <w:r>
        <w:rPr>
          <w:spacing w:val="5"/>
        </w:rPr>
        <w:t>本预案有关数量</w:t>
      </w:r>
      <w:r>
        <w:rPr>
          <w:spacing w:val="6"/>
        </w:rPr>
        <w:t>表述中，</w:t>
      </w:r>
      <w:r>
        <w:rPr>
          <w:rFonts w:ascii="Times New Roman" w:hAnsi="Times New Roman" w:eastAsia="Times New Roman" w:cs="Times New Roman"/>
          <w:spacing w:val="6"/>
        </w:rPr>
        <w:t>“</w:t>
      </w:r>
      <w:r>
        <w:rPr>
          <w:rFonts w:ascii="Times New Roman" w:hAnsi="Times New Roman" w:eastAsia="Times New Roman" w:cs="Times New Roman"/>
          <w:spacing w:val="-31"/>
        </w:rPr>
        <w:t xml:space="preserve"> </w:t>
      </w:r>
      <w:r>
        <w:rPr>
          <w:spacing w:val="6"/>
        </w:rPr>
        <w:t>以上</w:t>
      </w:r>
      <w:r>
        <w:rPr>
          <w:rFonts w:ascii="Times New Roman" w:hAnsi="Times New Roman" w:eastAsia="Times New Roman" w:cs="Times New Roman"/>
          <w:spacing w:val="6"/>
        </w:rPr>
        <w:t>”</w:t>
      </w:r>
      <w:r>
        <w:rPr>
          <w:spacing w:val="6"/>
        </w:rPr>
        <w:t>含本数，</w:t>
      </w:r>
      <w:r>
        <w:rPr>
          <w:rFonts w:ascii="Times New Roman" w:hAnsi="Times New Roman" w:eastAsia="Times New Roman" w:cs="Times New Roman"/>
          <w:spacing w:val="6"/>
        </w:rPr>
        <w:t>“</w:t>
      </w:r>
      <w:r>
        <w:rPr>
          <w:rFonts w:ascii="Times New Roman" w:hAnsi="Times New Roman" w:eastAsia="Times New Roman" w:cs="Times New Roman"/>
          <w:spacing w:val="-27"/>
        </w:rPr>
        <w:t xml:space="preserve"> </w:t>
      </w:r>
      <w:r>
        <w:rPr>
          <w:spacing w:val="6"/>
        </w:rPr>
        <w:t>以下</w:t>
      </w:r>
      <w:r>
        <w:rPr>
          <w:rFonts w:ascii="Times New Roman" w:hAnsi="Times New Roman" w:eastAsia="Times New Roman" w:cs="Times New Roman"/>
          <w:spacing w:val="6"/>
        </w:rPr>
        <w:t>”</w:t>
      </w:r>
      <w:r>
        <w:rPr>
          <w:spacing w:val="6"/>
        </w:rPr>
        <w:t>不含本数。</w:t>
      </w:r>
    </w:p>
    <w:p>
      <w:pPr>
        <w:ind w:left="426"/>
        <w:spacing w:before="26" w:line="17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9    附件</w:t>
      </w:r>
    </w:p>
    <w:p>
      <w:pPr>
        <w:spacing w:line="172" w:lineRule="auto"/>
        <w:sectPr>
          <w:type w:val="continuous"/>
          <w:pgSz w:w="11906" w:h="16839"/>
          <w:pgMar w:top="1766" w:right="1507" w:bottom="1575" w:left="1579" w:header="1428" w:footer="1172" w:gutter="0"/>
          <w:cols w:equalWidth="0" w:num="2">
            <w:col w:w="4489" w:space="100"/>
            <w:col w:w="4231" w:space="0"/>
          </w:cols>
        </w:sectPr>
        <w:rPr>
          <w:rFonts w:ascii="Microsoft YaHei" w:hAnsi="Microsoft YaHei" w:eastAsia="Microsoft YaHei" w:cs="Microsoft YaHei"/>
          <w:sz w:val="20"/>
          <w:szCs w:val="20"/>
        </w:rPr>
      </w:pPr>
    </w:p>
    <w:p>
      <w:pPr>
        <w:ind w:left="33"/>
        <w:spacing w:before="358" w:line="210" w:lineRule="auto"/>
        <w:rPr>
          <w:rFonts w:ascii="Microsoft YaHei" w:hAnsi="Microsoft YaHei" w:eastAsia="Microsoft YaHei" w:cs="Microsoft YaHei"/>
          <w:sz w:val="28"/>
          <w:szCs w:val="28"/>
        </w:rPr>
      </w:pPr>
      <w:r>
        <w:drawing>
          <wp:anchor distT="0" distB="0" distL="0" distR="0" simplePos="0" relativeHeight="252984320"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760" name="IM 1760"/>
            <wp:cNvGraphicFramePr/>
            <a:graphic>
              <a:graphicData uri="http://schemas.openxmlformats.org/drawingml/2006/picture">
                <pic:pic>
                  <pic:nvPicPr>
                    <pic:cNvPr id="1760" name="IM 1760"/>
                    <pic:cNvPicPr/>
                  </pic:nvPicPr>
                  <pic:blipFill>
                    <a:blip r:embed="rId882"/>
                    <a:stretch>
                      <a:fillRect/>
                    </a:stretch>
                  </pic:blipFill>
                  <pic:spPr>
                    <a:xfrm rot="0">
                      <a:off x="0" y="0"/>
                      <a:ext cx="5579745" cy="7620"/>
                    </a:xfrm>
                    <a:prstGeom prst="rect">
                      <a:avLst/>
                    </a:prstGeom>
                  </pic:spPr>
                </pic:pic>
              </a:graphicData>
            </a:graphic>
          </wp:anchor>
        </w:drawing>
      </w:r>
      <w:r>
        <w:rPr>
          <w:rFonts w:ascii="Microsoft YaHei" w:hAnsi="Microsoft YaHei" w:eastAsia="Microsoft YaHei" w:cs="Microsoft YaHei"/>
          <w:sz w:val="28"/>
          <w:szCs w:val="28"/>
          <w:spacing w:val="-2"/>
        </w:rPr>
        <w:t>9.1</w:t>
      </w:r>
      <w:r>
        <w:rPr>
          <w:rFonts w:ascii="Microsoft YaHei" w:hAnsi="Microsoft YaHei" w:eastAsia="Microsoft YaHei" w:cs="Microsoft YaHei"/>
          <w:sz w:val="28"/>
          <w:szCs w:val="28"/>
          <w:spacing w:val="85"/>
          <w:w w:val="101"/>
        </w:rPr>
        <w:t xml:space="preserve"> </w:t>
      </w:r>
      <w:r>
        <w:rPr>
          <w:rFonts w:ascii="Microsoft YaHei" w:hAnsi="Microsoft YaHei" w:eastAsia="Microsoft YaHei" w:cs="Microsoft YaHei"/>
          <w:sz w:val="28"/>
          <w:szCs w:val="28"/>
          <w:spacing w:val="-2"/>
        </w:rPr>
        <w:t>恶劣天气道路交通安全应急预案指挥处置流程图</w:t>
      </w:r>
    </w:p>
    <w:p>
      <w:pPr>
        <w:ind w:firstLine="139"/>
        <w:spacing w:before="201" w:line="12206" w:lineRule="exact"/>
        <w:rPr/>
      </w:pPr>
      <w:r>
        <w:rPr>
          <w:position w:val="-244"/>
        </w:rPr>
        <w:drawing>
          <wp:inline distT="0" distB="0" distL="0" distR="0">
            <wp:extent cx="5021579" cy="7751064"/>
            <wp:effectExtent l="0" t="0" r="0" b="0"/>
            <wp:docPr id="1762" name="IM 1762"/>
            <wp:cNvGraphicFramePr/>
            <a:graphic>
              <a:graphicData uri="http://schemas.openxmlformats.org/drawingml/2006/picture">
                <pic:pic>
                  <pic:nvPicPr>
                    <pic:cNvPr id="1762" name="IM 1762"/>
                    <pic:cNvPicPr/>
                  </pic:nvPicPr>
                  <pic:blipFill>
                    <a:blip r:embed="rId883"/>
                    <a:stretch>
                      <a:fillRect/>
                    </a:stretch>
                  </pic:blipFill>
                  <pic:spPr>
                    <a:xfrm rot="0">
                      <a:off x="0" y="0"/>
                      <a:ext cx="5021579" cy="7751064"/>
                    </a:xfrm>
                    <a:prstGeom prst="rect">
                      <a:avLst/>
                    </a:prstGeom>
                  </pic:spPr>
                </pic:pic>
              </a:graphicData>
            </a:graphic>
          </wp:inline>
        </w:drawing>
      </w:r>
    </w:p>
    <w:p>
      <w:pPr>
        <w:spacing w:line="12206" w:lineRule="exact"/>
        <w:sectPr>
          <w:headerReference w:type="default" r:id="rId816"/>
          <w:footerReference w:type="default" r:id="rId881"/>
          <w:pgSz w:w="11906" w:h="16839"/>
          <w:pgMar w:top="1772" w:right="1489" w:bottom="1562" w:left="1567" w:header="1428" w:footer="1172" w:gutter="0"/>
        </w:sectPr>
        <w:rPr/>
      </w:pPr>
    </w:p>
    <w:p>
      <w:pPr>
        <w:spacing w:line="259" w:lineRule="auto"/>
        <w:rPr>
          <w:rFonts w:ascii="Arial"/>
          <w:sz w:val="21"/>
        </w:rPr>
      </w:pPr>
      <w:r>
        <w:drawing>
          <wp:anchor distT="0" distB="0" distL="0" distR="0" simplePos="0" relativeHeight="252995584" behindDoc="0" locked="0" layoutInCell="1" allowOverlap="1">
            <wp:simplePos x="0" y="0"/>
            <wp:positionH relativeFrom="column">
              <wp:posOffset>5393</wp:posOffset>
            </wp:positionH>
            <wp:positionV relativeFrom="paragraph">
              <wp:posOffset>25842</wp:posOffset>
            </wp:positionV>
            <wp:extent cx="5579745" cy="7620"/>
            <wp:effectExtent l="0" t="0" r="0" b="0"/>
            <wp:wrapNone/>
            <wp:docPr id="1766" name="IM 1766"/>
            <wp:cNvGraphicFramePr/>
            <a:graphic>
              <a:graphicData uri="http://schemas.openxmlformats.org/drawingml/2006/picture">
                <pic:pic>
                  <pic:nvPicPr>
                    <pic:cNvPr id="1766" name="IM 1766"/>
                    <pic:cNvPicPr/>
                  </pic:nvPicPr>
                  <pic:blipFill>
                    <a:blip r:embed="rId885"/>
                    <a:stretch>
                      <a:fillRect/>
                    </a:stretch>
                  </pic:blipFill>
                  <pic:spPr>
                    <a:xfrm rot="0">
                      <a:off x="0" y="0"/>
                      <a:ext cx="5579745" cy="7620"/>
                    </a:xfrm>
                    <a:prstGeom prst="rect">
                      <a:avLst/>
                    </a:prstGeom>
                  </pic:spPr>
                </pic:pic>
              </a:graphicData>
            </a:graphic>
          </wp:anchor>
        </w:drawing>
      </w:r>
      <w:r/>
    </w:p>
    <w:p>
      <w:pPr>
        <w:spacing w:line="260" w:lineRule="auto"/>
        <w:rPr>
          <w:rFonts w:ascii="Arial"/>
          <w:sz w:val="21"/>
        </w:rPr>
      </w:pPr>
      <w:r/>
    </w:p>
    <w:p>
      <w:pPr>
        <w:ind w:left="1982"/>
        <w:spacing w:before="185" w:line="185"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7"/>
        </w:rPr>
        <w:t>固原市火灾事故应急预案</w:t>
      </w:r>
    </w:p>
    <w:p>
      <w:pPr>
        <w:spacing w:before="42"/>
        <w:rPr/>
      </w:pPr>
      <w:r/>
    </w:p>
    <w:p>
      <w:pPr>
        <w:spacing w:before="41"/>
        <w:rPr/>
      </w:pPr>
      <w:r/>
    </w:p>
    <w:p>
      <w:pPr>
        <w:sectPr>
          <w:headerReference w:type="default" r:id="rId549"/>
          <w:footerReference w:type="default" r:id="rId884"/>
          <w:pgSz w:w="11906" w:h="16839"/>
          <w:pgMar w:top="1766" w:right="1530" w:bottom="1575" w:left="1579" w:header="1428" w:footer="1172" w:gutter="0"/>
          <w:cols w:equalWidth="0" w:num="1">
            <w:col w:w="8796" w:space="0"/>
          </w:cols>
        </w:sectPr>
        <w:rPr/>
      </w:pPr>
    </w:p>
    <w:p>
      <w:pPr>
        <w:ind w:left="449"/>
        <w:spacing w:before="48"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1</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7"/>
        </w:rPr>
        <w:t>总则</w:t>
      </w:r>
    </w:p>
    <w:p>
      <w:pPr>
        <w:pStyle w:val="BodyText"/>
        <w:ind w:left="12" w:right="322" w:firstLine="441"/>
        <w:spacing w:before="75" w:line="333" w:lineRule="auto"/>
        <w:rPr/>
      </w:pPr>
      <w:r>
        <w:rPr>
          <w:rFonts w:ascii="Times New Roman" w:hAnsi="Times New Roman" w:eastAsia="Times New Roman" w:cs="Times New Roman"/>
          <w:spacing w:val="3"/>
        </w:rPr>
        <w:t>1.</w:t>
      </w:r>
      <w:r>
        <w:rPr>
          <w:rFonts w:ascii="Times New Roman" w:hAnsi="Times New Roman" w:eastAsia="Times New Roman" w:cs="Times New Roman"/>
          <w:spacing w:val="-9"/>
        </w:rPr>
        <w:t xml:space="preserve"> </w:t>
      </w:r>
      <w:r>
        <w:rPr>
          <w:rFonts w:ascii="Times New Roman" w:hAnsi="Times New Roman" w:eastAsia="Times New Roman" w:cs="Times New Roman"/>
          <w:spacing w:val="3"/>
        </w:rPr>
        <w:t>1  </w:t>
      </w:r>
      <w:r>
        <w:rPr>
          <w:rFonts w:ascii="KaiTi" w:hAnsi="KaiTi" w:eastAsia="KaiTi" w:cs="KaiTi"/>
          <w:spacing w:val="3"/>
        </w:rPr>
        <w:t>编制</w:t>
      </w:r>
      <w:r>
        <w:rPr>
          <w:rFonts w:ascii="KaiTi" w:hAnsi="KaiTi" w:eastAsia="KaiTi" w:cs="KaiTi"/>
          <w:spacing w:val="-50"/>
        </w:rPr>
        <w:t xml:space="preserve"> </w:t>
      </w:r>
      <w:r>
        <w:rPr>
          <w:rFonts w:ascii="KaiTi" w:hAnsi="KaiTi" w:eastAsia="KaiTi" w:cs="KaiTi"/>
          <w:spacing w:val="3"/>
        </w:rPr>
        <w:t>目的。</w:t>
      </w:r>
      <w:r>
        <w:rPr>
          <w:spacing w:val="3"/>
        </w:rPr>
        <w:t>为有效整合社会应急救援</w:t>
      </w:r>
      <w:r>
        <w:rPr>
          <w:spacing w:val="7"/>
        </w:rPr>
        <w:t>资源，充分发挥职能部门优势，切实加强灭火</w:t>
      </w:r>
      <w:r>
        <w:rPr>
          <w:spacing w:val="7"/>
        </w:rPr>
        <w:t>应急救援准备，全面提高应对火灾事故的快速</w:t>
      </w:r>
      <w:r>
        <w:rPr>
          <w:spacing w:val="7"/>
        </w:rPr>
        <w:t>反应能力，确保一旦发生火灾事故，能够迅速</w:t>
      </w:r>
      <w:r>
        <w:rPr>
          <w:spacing w:val="7"/>
        </w:rPr>
        <w:t>联动社会救援力量，及时、高效、有序地控制</w:t>
      </w:r>
      <w:r>
        <w:rPr>
          <w:spacing w:val="7"/>
        </w:rPr>
        <w:t>火情发展，最大限度地减少人员伤亡和财产损</w:t>
      </w:r>
      <w:r>
        <w:rPr>
          <w:spacing w:val="8"/>
        </w:rPr>
        <w:t>失，维护社会稳定。</w:t>
      </w:r>
    </w:p>
    <w:p>
      <w:pPr>
        <w:pStyle w:val="BodyText"/>
        <w:ind w:left="12" w:right="322" w:firstLine="441"/>
        <w:spacing w:before="135" w:line="335" w:lineRule="auto"/>
        <w:rPr/>
      </w:pPr>
      <w:r>
        <w:rPr>
          <w:rFonts w:ascii="Times New Roman" w:hAnsi="Times New Roman" w:eastAsia="Times New Roman" w:cs="Times New Roman"/>
          <w:spacing w:val="7"/>
        </w:rPr>
        <w:t>1.2  </w:t>
      </w:r>
      <w:r>
        <w:rPr>
          <w:rFonts w:ascii="KaiTi" w:hAnsi="KaiTi" w:eastAsia="KaiTi" w:cs="KaiTi"/>
          <w:spacing w:val="7"/>
        </w:rPr>
        <w:t>编制依据。</w:t>
      </w:r>
      <w:r>
        <w:rPr>
          <w:spacing w:val="7"/>
        </w:rPr>
        <w:t>《中华人民共和国突发事</w:t>
      </w:r>
      <w:r>
        <w:rPr>
          <w:spacing w:val="7"/>
        </w:rPr>
        <w:t>件应对法》《中华人民共和国消防法》《生产</w:t>
      </w:r>
      <w:r>
        <w:rPr>
          <w:spacing w:val="7"/>
        </w:rPr>
        <w:t>安全事故报告和调查处理条例》《生产安全事</w:t>
      </w:r>
      <w:r>
        <w:rPr>
          <w:spacing w:val="7"/>
        </w:rPr>
        <w:t>故应急条例》《生产安全事故应急预案管理办</w:t>
      </w:r>
      <w:r>
        <w:rPr>
          <w:spacing w:val="7"/>
        </w:rPr>
        <w:t>法》《执勤战斗条令》《宁夏回族自治区突发</w:t>
      </w:r>
      <w:r>
        <w:rPr>
          <w:spacing w:val="7"/>
        </w:rPr>
        <w:t>事件应对条例》《固原市防灾减灾救灾责任规</w:t>
      </w:r>
      <w:r>
        <w:rPr>
          <w:spacing w:val="7"/>
        </w:rPr>
        <w:t>定》《固原市突发事件总体应急预案》等法律</w:t>
      </w:r>
      <w:r>
        <w:rPr>
          <w:spacing w:val="8"/>
        </w:rPr>
        <w:t>法规和有关规定。</w:t>
      </w:r>
    </w:p>
    <w:p>
      <w:pPr>
        <w:pStyle w:val="BodyText"/>
        <w:ind w:left="12" w:right="322" w:firstLine="441"/>
        <w:spacing w:before="141" w:line="318" w:lineRule="auto"/>
        <w:rPr/>
      </w:pPr>
      <w:r>
        <w:rPr>
          <w:rFonts w:ascii="Times New Roman" w:hAnsi="Times New Roman" w:eastAsia="Times New Roman" w:cs="Times New Roman"/>
          <w:spacing w:val="7"/>
        </w:rPr>
        <w:t>1.3  </w:t>
      </w:r>
      <w:r>
        <w:rPr>
          <w:rFonts w:ascii="KaiTi" w:hAnsi="KaiTi" w:eastAsia="KaiTi" w:cs="KaiTi"/>
          <w:spacing w:val="7"/>
        </w:rPr>
        <w:t>适用范围。</w:t>
      </w:r>
      <w:r>
        <w:rPr>
          <w:spacing w:val="7"/>
        </w:rPr>
        <w:t>固原市行政区域内发生的</w:t>
      </w:r>
      <w:r>
        <w:rPr>
          <w:spacing w:val="18"/>
        </w:rPr>
        <w:t>对社会秩序和公众生命财产安全造成危害和</w:t>
      </w:r>
      <w:r>
        <w:rPr>
          <w:spacing w:val="7"/>
        </w:rPr>
        <w:t>损失需要调集相关联动力量处置的重大、特别</w:t>
      </w:r>
      <w:r>
        <w:rPr>
          <w:spacing w:val="7"/>
        </w:rPr>
        <w:t>重大火灾事故。</w:t>
      </w:r>
    </w:p>
    <w:p>
      <w:pPr>
        <w:ind w:left="453"/>
        <w:spacing w:before="139" w:line="265" w:lineRule="exact"/>
        <w:rPr>
          <w:rFonts w:ascii="KaiTi" w:hAnsi="KaiTi" w:eastAsia="KaiTi" w:cs="KaiTi"/>
          <w:sz w:val="20"/>
          <w:szCs w:val="20"/>
        </w:rPr>
      </w:pPr>
      <w:r>
        <w:rPr>
          <w:rFonts w:ascii="Times New Roman" w:hAnsi="Times New Roman" w:eastAsia="Times New Roman" w:cs="Times New Roman"/>
          <w:sz w:val="20"/>
          <w:szCs w:val="20"/>
          <w:spacing w:val="1"/>
          <w:position w:val="1"/>
        </w:rPr>
        <w:t>1.4</w:t>
      </w:r>
      <w:r>
        <w:rPr>
          <w:rFonts w:ascii="Times New Roman" w:hAnsi="Times New Roman" w:eastAsia="Times New Roman" w:cs="Times New Roman"/>
          <w:sz w:val="20"/>
          <w:szCs w:val="20"/>
          <w:spacing w:val="10"/>
          <w:position w:val="1"/>
        </w:rPr>
        <w:t xml:space="preserve">  </w:t>
      </w:r>
      <w:r>
        <w:rPr>
          <w:rFonts w:ascii="KaiTi" w:hAnsi="KaiTi" w:eastAsia="KaiTi" w:cs="KaiTi"/>
          <w:sz w:val="20"/>
          <w:szCs w:val="20"/>
          <w:spacing w:val="1"/>
          <w:position w:val="1"/>
        </w:rPr>
        <w:t>分级标准。</w:t>
      </w:r>
    </w:p>
    <w:p>
      <w:pPr>
        <w:pStyle w:val="BodyText"/>
        <w:ind w:left="14" w:right="320" w:firstLine="420"/>
        <w:spacing w:before="113" w:line="345" w:lineRule="auto"/>
        <w:jc w:val="both"/>
        <w:rPr/>
      </w:pPr>
      <w:r>
        <w:rPr>
          <w:spacing w:val="8"/>
        </w:rPr>
        <w:t>特别重大火灾 (</w:t>
      </w:r>
      <w:r>
        <w:rPr>
          <w:spacing w:val="-32"/>
        </w:rPr>
        <w:t xml:space="preserve"> </w:t>
      </w:r>
      <w:r>
        <w:rPr>
          <w:rFonts w:ascii="Times New Roman" w:hAnsi="Times New Roman" w:eastAsia="Times New Roman" w:cs="Times New Roman"/>
          <w:spacing w:val="8"/>
        </w:rPr>
        <w:t>Ⅰ</w:t>
      </w:r>
      <w:r>
        <w:rPr>
          <w:spacing w:val="8"/>
        </w:rPr>
        <w:t>级</w:t>
      </w:r>
      <w:r>
        <w:rPr>
          <w:spacing w:val="-5"/>
        </w:rPr>
        <w:t>）</w:t>
      </w:r>
      <w:r>
        <w:rPr>
          <w:spacing w:val="-39"/>
        </w:rPr>
        <w:t xml:space="preserve"> </w:t>
      </w:r>
      <w:r>
        <w:rPr>
          <w:spacing w:val="-5"/>
        </w:rPr>
        <w:t>：</w:t>
      </w:r>
      <w:r>
        <w:rPr>
          <w:spacing w:val="8"/>
        </w:rPr>
        <w:t>特别重大火灾是</w:t>
      </w:r>
      <w:r>
        <w:rPr>
          <w:spacing w:val="6"/>
        </w:rPr>
        <w:t>指造成</w:t>
      </w:r>
      <w:r>
        <w:rPr>
          <w:spacing w:val="-20"/>
        </w:rPr>
        <w:t xml:space="preserve"> </w:t>
      </w:r>
      <w:r>
        <w:rPr>
          <w:rFonts w:ascii="Times New Roman" w:hAnsi="Times New Roman" w:eastAsia="Times New Roman" w:cs="Times New Roman"/>
          <w:spacing w:val="6"/>
        </w:rPr>
        <w:t>30 </w:t>
      </w:r>
      <w:r>
        <w:rPr>
          <w:spacing w:val="6"/>
        </w:rPr>
        <w:t>人以上（</w:t>
      </w:r>
      <w:r>
        <w:rPr>
          <w:spacing w:val="-61"/>
        </w:rPr>
        <w:t xml:space="preserve"> </w:t>
      </w:r>
      <w:r>
        <w:rPr>
          <w:rFonts w:ascii="Times New Roman" w:hAnsi="Times New Roman" w:eastAsia="Times New Roman" w:cs="Times New Roman"/>
          <w:spacing w:val="6"/>
        </w:rPr>
        <w:t>“</w:t>
      </w:r>
      <w:r>
        <w:rPr>
          <w:rFonts w:ascii="Times New Roman" w:hAnsi="Times New Roman" w:eastAsia="Times New Roman" w:cs="Times New Roman"/>
          <w:spacing w:val="-25"/>
        </w:rPr>
        <w:t xml:space="preserve"> </w:t>
      </w:r>
      <w:r>
        <w:rPr>
          <w:spacing w:val="6"/>
        </w:rPr>
        <w:t>以上</w:t>
      </w:r>
      <w:r>
        <w:rPr>
          <w:rFonts w:ascii="Times New Roman" w:hAnsi="Times New Roman" w:eastAsia="Times New Roman" w:cs="Times New Roman"/>
          <w:spacing w:val="6"/>
        </w:rPr>
        <w:t>”</w:t>
      </w:r>
      <w:r>
        <w:rPr>
          <w:spacing w:val="6"/>
        </w:rPr>
        <w:t>含本数</w:t>
      </w:r>
      <w:r>
        <w:rPr>
          <w:spacing w:val="-59"/>
        </w:rPr>
        <w:t xml:space="preserve"> </w:t>
      </w:r>
      <w:r>
        <w:rPr>
          <w:spacing w:val="6"/>
        </w:rPr>
        <w:t>，下同）死</w:t>
      </w:r>
      <w:r>
        <w:rPr>
          <w:spacing w:val="4"/>
        </w:rPr>
        <w:t>亡，或者</w:t>
      </w:r>
      <w:r>
        <w:rPr>
          <w:spacing w:val="-24"/>
        </w:rPr>
        <w:t xml:space="preserve"> </w:t>
      </w:r>
      <w:r>
        <w:rPr>
          <w:rFonts w:ascii="Times New Roman" w:hAnsi="Times New Roman" w:eastAsia="Times New Roman" w:cs="Times New Roman"/>
          <w:spacing w:val="4"/>
        </w:rPr>
        <w:t>100 </w:t>
      </w:r>
      <w:r>
        <w:rPr>
          <w:spacing w:val="4"/>
        </w:rPr>
        <w:t>人以上重伤，或者</w:t>
      </w:r>
      <w:r>
        <w:rPr>
          <w:spacing w:val="-23"/>
        </w:rPr>
        <w:t xml:space="preserve"> </w:t>
      </w:r>
      <w:r>
        <w:rPr>
          <w:rFonts w:ascii="Times New Roman" w:hAnsi="Times New Roman" w:eastAsia="Times New Roman" w:cs="Times New Roman"/>
          <w:spacing w:val="4"/>
        </w:rPr>
        <w:t>1 </w:t>
      </w:r>
      <w:r>
        <w:rPr>
          <w:spacing w:val="4"/>
        </w:rPr>
        <w:t>亿元以上直</w:t>
      </w:r>
      <w:r>
        <w:rPr>
          <w:spacing w:val="8"/>
        </w:rPr>
        <w:t>接财产损失的火灾。</w:t>
      </w:r>
    </w:p>
    <w:p>
      <w:pPr>
        <w:pStyle w:val="BodyText"/>
        <w:ind w:left="12" w:right="249" w:firstLine="422"/>
        <w:spacing w:before="27" w:line="345" w:lineRule="auto"/>
        <w:jc w:val="both"/>
        <w:rPr/>
      </w:pPr>
      <w:r>
        <w:rPr>
          <w:spacing w:val="2"/>
        </w:rPr>
        <w:t>重大火灾 (</w:t>
      </w:r>
      <w:r>
        <w:rPr>
          <w:spacing w:val="-37"/>
        </w:rPr>
        <w:t xml:space="preserve"> </w:t>
      </w:r>
      <w:r>
        <w:rPr>
          <w:rFonts w:ascii="Times New Roman" w:hAnsi="Times New Roman" w:eastAsia="Times New Roman" w:cs="Times New Roman"/>
          <w:spacing w:val="2"/>
        </w:rPr>
        <w:t>Ⅱ</w:t>
      </w:r>
      <w:r>
        <w:rPr>
          <w:spacing w:val="2"/>
        </w:rPr>
        <w:t>级</w:t>
      </w:r>
      <w:r>
        <w:rPr>
          <w:spacing w:val="9"/>
        </w:rPr>
        <w:t>）：</w:t>
      </w:r>
      <w:r>
        <w:rPr>
          <w:spacing w:val="2"/>
        </w:rPr>
        <w:t>重大火灾是指造成</w:t>
      </w:r>
      <w:r>
        <w:rPr>
          <w:spacing w:val="-20"/>
        </w:rPr>
        <w:t xml:space="preserve"> </w:t>
      </w:r>
      <w:r>
        <w:rPr>
          <w:rFonts w:ascii="Times New Roman" w:hAnsi="Times New Roman" w:eastAsia="Times New Roman" w:cs="Times New Roman"/>
          <w:spacing w:val="2"/>
        </w:rPr>
        <w:t>10</w:t>
      </w:r>
      <w:r>
        <w:rPr>
          <w:spacing w:val="6"/>
        </w:rPr>
        <w:t>人以上</w:t>
      </w:r>
      <w:r>
        <w:rPr>
          <w:spacing w:val="-31"/>
        </w:rPr>
        <w:t xml:space="preserve"> </w:t>
      </w:r>
      <w:r>
        <w:rPr>
          <w:rFonts w:ascii="Times New Roman" w:hAnsi="Times New Roman" w:eastAsia="Times New Roman" w:cs="Times New Roman"/>
          <w:spacing w:val="6"/>
        </w:rPr>
        <w:t>30 </w:t>
      </w:r>
      <w:r>
        <w:rPr>
          <w:spacing w:val="6"/>
        </w:rPr>
        <w:t>人以下（</w:t>
      </w:r>
      <w:r>
        <w:rPr>
          <w:spacing w:val="-61"/>
        </w:rPr>
        <w:t xml:space="preserve"> </w:t>
      </w:r>
      <w:r>
        <w:rPr>
          <w:rFonts w:ascii="Times New Roman" w:hAnsi="Times New Roman" w:eastAsia="Times New Roman" w:cs="Times New Roman"/>
          <w:spacing w:val="6"/>
        </w:rPr>
        <w:t>“</w:t>
      </w:r>
      <w:r>
        <w:rPr>
          <w:rFonts w:ascii="Times New Roman" w:hAnsi="Times New Roman" w:eastAsia="Times New Roman" w:cs="Times New Roman"/>
          <w:spacing w:val="-25"/>
        </w:rPr>
        <w:t xml:space="preserve"> </w:t>
      </w:r>
      <w:r>
        <w:rPr>
          <w:spacing w:val="6"/>
        </w:rPr>
        <w:t>以下</w:t>
      </w:r>
      <w:r>
        <w:rPr>
          <w:rFonts w:ascii="Times New Roman" w:hAnsi="Times New Roman" w:eastAsia="Times New Roman" w:cs="Times New Roman"/>
          <w:spacing w:val="6"/>
        </w:rPr>
        <w:t>”</w:t>
      </w:r>
      <w:r>
        <w:rPr>
          <w:spacing w:val="6"/>
        </w:rPr>
        <w:t>不含本数</w:t>
      </w:r>
      <w:r>
        <w:rPr>
          <w:spacing w:val="-59"/>
        </w:rPr>
        <w:t xml:space="preserve"> </w:t>
      </w:r>
      <w:r>
        <w:rPr>
          <w:spacing w:val="6"/>
        </w:rPr>
        <w:t>，下同</w:t>
      </w:r>
      <w:r>
        <w:rPr>
          <w:spacing w:val="-38"/>
        </w:rPr>
        <w:t xml:space="preserve"> </w:t>
      </w:r>
      <w:r>
        <w:rPr>
          <w:spacing w:val="6"/>
        </w:rPr>
        <w:t>）</w:t>
      </w:r>
      <w:r>
        <w:rPr>
          <w:spacing w:val="5"/>
        </w:rPr>
        <w:t>死亡</w:t>
      </w:r>
      <w:r>
        <w:rPr>
          <w:spacing w:val="-54"/>
        </w:rPr>
        <w:t xml:space="preserve"> </w:t>
      </w:r>
      <w:r>
        <w:rPr>
          <w:spacing w:val="5"/>
        </w:rPr>
        <w:t>，或者</w:t>
      </w:r>
      <w:r>
        <w:rPr>
          <w:spacing w:val="-34"/>
        </w:rPr>
        <w:t xml:space="preserve"> </w:t>
      </w:r>
      <w:r>
        <w:rPr>
          <w:rFonts w:ascii="Times New Roman" w:hAnsi="Times New Roman" w:eastAsia="Times New Roman" w:cs="Times New Roman"/>
          <w:spacing w:val="5"/>
        </w:rPr>
        <w:t>50 </w:t>
      </w:r>
      <w:r>
        <w:rPr>
          <w:spacing w:val="5"/>
        </w:rPr>
        <w:t>人以上</w:t>
      </w:r>
      <w:r>
        <w:rPr>
          <w:spacing w:val="-21"/>
        </w:rPr>
        <w:t xml:space="preserve"> </w:t>
      </w:r>
      <w:r>
        <w:rPr>
          <w:rFonts w:ascii="Times New Roman" w:hAnsi="Times New Roman" w:eastAsia="Times New Roman" w:cs="Times New Roman"/>
          <w:spacing w:val="5"/>
        </w:rPr>
        <w:t>100 </w:t>
      </w:r>
      <w:r>
        <w:rPr>
          <w:spacing w:val="5"/>
        </w:rPr>
        <w:t>人以下重伤</w:t>
      </w:r>
      <w:r>
        <w:rPr>
          <w:spacing w:val="-59"/>
        </w:rPr>
        <w:t xml:space="preserve"> </w:t>
      </w:r>
      <w:r>
        <w:rPr>
          <w:spacing w:val="5"/>
        </w:rPr>
        <w:t>，或者</w:t>
      </w:r>
      <w:r>
        <w:rPr>
          <w:rFonts w:ascii="Times New Roman" w:hAnsi="Times New Roman" w:eastAsia="Times New Roman" w:cs="Times New Roman"/>
          <w:spacing w:val="5"/>
        </w:rPr>
        <w:t>5000 </w:t>
      </w:r>
      <w:r>
        <w:rPr>
          <w:spacing w:val="5"/>
        </w:rPr>
        <w:t>万元以</w:t>
      </w:r>
      <w:r>
        <w:rPr>
          <w:spacing w:val="-2"/>
        </w:rPr>
        <w:t xml:space="preserve"> </w:t>
      </w:r>
      <w:r>
        <w:rPr>
          <w:rFonts w:ascii="Times New Roman" w:hAnsi="Times New Roman" w:eastAsia="Times New Roman" w:cs="Times New Roman"/>
          <w:spacing w:val="5"/>
        </w:rPr>
        <w:t>1 </w:t>
      </w:r>
      <w:r>
        <w:rPr>
          <w:spacing w:val="5"/>
        </w:rPr>
        <w:t>亿元以下直接财产损失的火灾。</w:t>
      </w:r>
    </w:p>
    <w:p>
      <w:pPr>
        <w:pStyle w:val="BodyText"/>
        <w:ind w:left="434"/>
        <w:spacing w:before="26" w:line="221" w:lineRule="auto"/>
        <w:rPr>
          <w:rFonts w:ascii="Times New Roman" w:hAnsi="Times New Roman" w:eastAsia="Times New Roman" w:cs="Times New Roman"/>
        </w:rPr>
      </w:pPr>
      <w:r>
        <w:rPr>
          <w:spacing w:val="4"/>
        </w:rPr>
        <w:t>较大火灾 (</w:t>
      </w:r>
      <w:r>
        <w:rPr>
          <w:spacing w:val="-38"/>
        </w:rPr>
        <w:t xml:space="preserve"> </w:t>
      </w:r>
      <w:r>
        <w:rPr>
          <w:rFonts w:ascii="Times New Roman" w:hAnsi="Times New Roman" w:eastAsia="Times New Roman" w:cs="Times New Roman"/>
          <w:spacing w:val="4"/>
        </w:rPr>
        <w:t>Ⅲ</w:t>
      </w:r>
      <w:r>
        <w:rPr>
          <w:spacing w:val="4"/>
        </w:rPr>
        <w:t>级</w:t>
      </w:r>
      <w:r>
        <w:rPr>
          <w:spacing w:val="-9"/>
        </w:rPr>
        <w:t>）</w:t>
      </w:r>
      <w:r>
        <w:rPr>
          <w:spacing w:val="-51"/>
        </w:rPr>
        <w:t xml:space="preserve"> </w:t>
      </w:r>
      <w:r>
        <w:rPr>
          <w:spacing w:val="-9"/>
        </w:rPr>
        <w:t>：</w:t>
      </w:r>
      <w:r>
        <w:rPr>
          <w:spacing w:val="4"/>
        </w:rPr>
        <w:t>较大火灾是指造成</w:t>
      </w:r>
      <w:r>
        <w:rPr>
          <w:spacing w:val="-39"/>
        </w:rPr>
        <w:t xml:space="preserve"> </w:t>
      </w:r>
      <w:r>
        <w:rPr>
          <w:rFonts w:ascii="Times New Roman" w:hAnsi="Times New Roman" w:eastAsia="Times New Roman" w:cs="Times New Roman"/>
          <w:spacing w:val="4"/>
        </w:rPr>
        <w:t>3</w:t>
      </w:r>
    </w:p>
    <w:p>
      <w:pPr>
        <w:spacing w:line="14" w:lineRule="auto"/>
        <w:rPr>
          <w:rFonts w:ascii="Arial"/>
          <w:sz w:val="2"/>
        </w:rPr>
      </w:pPr>
      <w:r>
        <w:rPr>
          <w:rFonts w:ascii="Arial" w:hAnsi="Arial" w:eastAsia="Arial" w:cs="Arial"/>
          <w:sz w:val="2"/>
          <w:szCs w:val="2"/>
        </w:rPr>
        <w:br w:type="column"/>
      </w:r>
    </w:p>
    <w:p>
      <w:pPr>
        <w:pStyle w:val="BodyText"/>
        <w:ind w:left="9" w:right="57" w:hanging="2"/>
        <w:spacing w:before="60" w:line="349" w:lineRule="auto"/>
        <w:jc w:val="both"/>
        <w:rPr/>
      </w:pPr>
      <w:r>
        <w:rPr>
          <w:spacing w:val="5"/>
        </w:rPr>
        <w:t>人以上</w:t>
      </w:r>
      <w:r>
        <w:rPr>
          <w:spacing w:val="-13"/>
        </w:rPr>
        <w:t xml:space="preserve"> </w:t>
      </w:r>
      <w:r>
        <w:rPr>
          <w:rFonts w:ascii="Times New Roman" w:hAnsi="Times New Roman" w:eastAsia="Times New Roman" w:cs="Times New Roman"/>
          <w:spacing w:val="5"/>
        </w:rPr>
        <w:t>10 </w:t>
      </w:r>
      <w:r>
        <w:rPr>
          <w:spacing w:val="5"/>
        </w:rPr>
        <w:t>人以下死亡</w:t>
      </w:r>
      <w:r>
        <w:rPr>
          <w:spacing w:val="-59"/>
        </w:rPr>
        <w:t xml:space="preserve"> </w:t>
      </w:r>
      <w:r>
        <w:rPr>
          <w:spacing w:val="5"/>
        </w:rPr>
        <w:t>，或者</w:t>
      </w:r>
      <w:r>
        <w:rPr>
          <w:spacing w:val="-18"/>
        </w:rPr>
        <w:t xml:space="preserve"> </w:t>
      </w:r>
      <w:r>
        <w:rPr>
          <w:rFonts w:ascii="Times New Roman" w:hAnsi="Times New Roman" w:eastAsia="Times New Roman" w:cs="Times New Roman"/>
          <w:spacing w:val="5"/>
        </w:rPr>
        <w:t>10 </w:t>
      </w:r>
      <w:r>
        <w:rPr>
          <w:spacing w:val="5"/>
        </w:rPr>
        <w:t>人以上</w:t>
      </w:r>
      <w:r>
        <w:rPr>
          <w:spacing w:val="-33"/>
        </w:rPr>
        <w:t xml:space="preserve"> </w:t>
      </w:r>
      <w:r>
        <w:rPr>
          <w:rFonts w:ascii="Times New Roman" w:hAnsi="Times New Roman" w:eastAsia="Times New Roman" w:cs="Times New Roman"/>
          <w:spacing w:val="5"/>
        </w:rPr>
        <w:t>50 </w:t>
      </w:r>
      <w:r>
        <w:rPr>
          <w:spacing w:val="5"/>
        </w:rPr>
        <w:t>人</w:t>
      </w:r>
      <w:r>
        <w:rPr>
          <w:spacing w:val="4"/>
        </w:rPr>
        <w:t>以下重伤，或者</w:t>
      </w:r>
      <w:r>
        <w:rPr>
          <w:spacing w:val="-18"/>
        </w:rPr>
        <w:t xml:space="preserve"> </w:t>
      </w:r>
      <w:r>
        <w:rPr>
          <w:rFonts w:ascii="Times New Roman" w:hAnsi="Times New Roman" w:eastAsia="Times New Roman" w:cs="Times New Roman"/>
          <w:spacing w:val="4"/>
        </w:rPr>
        <w:t>1000 </w:t>
      </w:r>
      <w:r>
        <w:rPr>
          <w:spacing w:val="4"/>
        </w:rPr>
        <w:t>万元以上</w:t>
      </w:r>
      <w:r>
        <w:rPr>
          <w:spacing w:val="-37"/>
        </w:rPr>
        <w:t xml:space="preserve"> </w:t>
      </w:r>
      <w:r>
        <w:rPr>
          <w:rFonts w:ascii="Times New Roman" w:hAnsi="Times New Roman" w:eastAsia="Times New Roman" w:cs="Times New Roman"/>
          <w:spacing w:val="4"/>
        </w:rPr>
        <w:t>5000 </w:t>
      </w:r>
      <w:r>
        <w:rPr>
          <w:spacing w:val="4"/>
        </w:rPr>
        <w:t>万元以下</w:t>
      </w:r>
      <w:r>
        <w:rPr>
          <w:spacing w:val="8"/>
        </w:rPr>
        <w:t>直接财产损失的火灾。</w:t>
      </w:r>
    </w:p>
    <w:p>
      <w:pPr>
        <w:pStyle w:val="BodyText"/>
        <w:ind w:left="6" w:right="53" w:firstLine="422"/>
        <w:spacing w:before="2" w:line="346" w:lineRule="auto"/>
        <w:jc w:val="both"/>
        <w:rPr/>
      </w:pPr>
      <w:r>
        <w:rPr>
          <w:spacing w:val="4"/>
        </w:rPr>
        <w:t>一般火灾 (</w:t>
      </w:r>
      <w:r>
        <w:rPr>
          <w:spacing w:val="-36"/>
        </w:rPr>
        <w:t xml:space="preserve"> </w:t>
      </w:r>
      <w:r>
        <w:rPr>
          <w:rFonts w:ascii="Times New Roman" w:hAnsi="Times New Roman" w:eastAsia="Times New Roman" w:cs="Times New Roman"/>
          <w:spacing w:val="4"/>
        </w:rPr>
        <w:t>Ⅳ</w:t>
      </w:r>
      <w:r>
        <w:rPr>
          <w:spacing w:val="4"/>
        </w:rPr>
        <w:t>级</w:t>
      </w:r>
      <w:r>
        <w:rPr>
          <w:spacing w:val="-12"/>
        </w:rPr>
        <w:t>）</w:t>
      </w:r>
      <w:r>
        <w:rPr>
          <w:spacing w:val="-52"/>
        </w:rPr>
        <w:t xml:space="preserve"> </w:t>
      </w:r>
      <w:r>
        <w:rPr>
          <w:spacing w:val="-12"/>
        </w:rPr>
        <w:t>：</w:t>
      </w:r>
      <w:r>
        <w:rPr>
          <w:spacing w:val="4"/>
        </w:rPr>
        <w:t>一般火灾是指造成</w:t>
      </w:r>
      <w:r>
        <w:rPr>
          <w:spacing w:val="-37"/>
        </w:rPr>
        <w:t xml:space="preserve"> </w:t>
      </w:r>
      <w:r>
        <w:rPr>
          <w:rFonts w:ascii="Times New Roman" w:hAnsi="Times New Roman" w:eastAsia="Times New Roman" w:cs="Times New Roman"/>
          <w:spacing w:val="4"/>
        </w:rPr>
        <w:t>3</w:t>
      </w:r>
      <w:r>
        <w:rPr>
          <w:spacing w:val="4"/>
        </w:rPr>
        <w:t>人以下死亡，或者</w:t>
      </w:r>
      <w:r>
        <w:rPr>
          <w:spacing w:val="-23"/>
        </w:rPr>
        <w:t xml:space="preserve"> </w:t>
      </w:r>
      <w:r>
        <w:rPr>
          <w:rFonts w:ascii="Times New Roman" w:hAnsi="Times New Roman" w:eastAsia="Times New Roman" w:cs="Times New Roman"/>
          <w:spacing w:val="4"/>
        </w:rPr>
        <w:t>10 </w:t>
      </w:r>
      <w:r>
        <w:rPr>
          <w:spacing w:val="4"/>
        </w:rPr>
        <w:t>人以下重伤或者</w:t>
      </w:r>
      <w:r>
        <w:rPr>
          <w:spacing w:val="-21"/>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3"/>
        </w:rPr>
        <w:t>00 </w:t>
      </w:r>
      <w:r>
        <w:rPr>
          <w:spacing w:val="3"/>
        </w:rPr>
        <w:t>万</w:t>
      </w:r>
      <w:r>
        <w:rPr>
          <w:spacing w:val="8"/>
        </w:rPr>
        <w:t>元以下直接财产损失的火灾。</w:t>
      </w:r>
    </w:p>
    <w:p>
      <w:pPr>
        <w:ind w:left="448"/>
        <w:spacing w:before="12" w:line="241" w:lineRule="auto"/>
        <w:rPr>
          <w:rFonts w:ascii="KaiTi" w:hAnsi="KaiTi" w:eastAsia="KaiTi" w:cs="KaiTi"/>
          <w:sz w:val="20"/>
          <w:szCs w:val="20"/>
        </w:rPr>
      </w:pPr>
      <w:r>
        <w:rPr>
          <w:rFonts w:ascii="Times New Roman" w:hAnsi="Times New Roman" w:eastAsia="Times New Roman" w:cs="Times New Roman"/>
          <w:sz w:val="20"/>
          <w:szCs w:val="20"/>
          <w:spacing w:val="1"/>
        </w:rPr>
        <w:t>1.5</w:t>
      </w:r>
      <w:r>
        <w:rPr>
          <w:rFonts w:ascii="Times New Roman" w:hAnsi="Times New Roman" w:eastAsia="Times New Roman" w:cs="Times New Roman"/>
          <w:sz w:val="20"/>
          <w:szCs w:val="20"/>
          <w:spacing w:val="10"/>
        </w:rPr>
        <w:t xml:space="preserve">  </w:t>
      </w:r>
      <w:r>
        <w:rPr>
          <w:rFonts w:ascii="KaiTi" w:hAnsi="KaiTi" w:eastAsia="KaiTi" w:cs="KaiTi"/>
          <w:sz w:val="20"/>
          <w:szCs w:val="20"/>
          <w:spacing w:val="1"/>
        </w:rPr>
        <w:t>工作原则。</w:t>
      </w:r>
    </w:p>
    <w:p>
      <w:pPr>
        <w:pStyle w:val="BodyText"/>
        <w:ind w:left="11" w:right="54" w:firstLine="437"/>
        <w:spacing w:before="122" w:line="318" w:lineRule="auto"/>
        <w:rPr/>
      </w:pPr>
      <w:r>
        <w:rPr>
          <w:rFonts w:ascii="Times New Roman" w:hAnsi="Times New Roman" w:eastAsia="Times New Roman" w:cs="Times New Roman"/>
          <w:spacing w:val="2"/>
        </w:rPr>
        <w:t>1.5.1 </w:t>
      </w:r>
      <w:r>
        <w:rPr>
          <w:spacing w:val="2"/>
        </w:rPr>
        <w:t>预防为主，防消结合。各级政府和消</w:t>
      </w:r>
      <w:r>
        <w:rPr>
          <w:spacing w:val="7"/>
        </w:rPr>
        <w:t>防部门开展经常性消防宣传教育，加强公共消</w:t>
      </w:r>
      <w:r>
        <w:rPr>
          <w:spacing w:val="7"/>
        </w:rPr>
        <w:t>防设施建设，整改、清除各类消防隐患，从源</w:t>
      </w:r>
      <w:r>
        <w:rPr>
          <w:spacing w:val="8"/>
        </w:rPr>
        <w:t>头上预防重大、特别重大火灾事故发生。</w:t>
      </w:r>
    </w:p>
    <w:p>
      <w:pPr>
        <w:pStyle w:val="BodyText"/>
        <w:ind w:left="9" w:right="54" w:firstLine="439"/>
        <w:spacing w:before="147" w:line="324" w:lineRule="auto"/>
        <w:rPr/>
      </w:pPr>
      <w:r>
        <w:rPr>
          <w:rFonts w:ascii="Times New Roman" w:hAnsi="Times New Roman" w:eastAsia="Times New Roman" w:cs="Times New Roman"/>
          <w:spacing w:val="2"/>
        </w:rPr>
        <w:t>1.5.2 </w:t>
      </w:r>
      <w:r>
        <w:rPr>
          <w:spacing w:val="2"/>
        </w:rPr>
        <w:t>统一领导，协同作战。在市政府的统</w:t>
      </w:r>
      <w:r>
        <w:rPr>
          <w:spacing w:val="7"/>
        </w:rPr>
        <w:t>一领导下，各部门尽职尽责，密切协作，充分</w:t>
      </w:r>
      <w:r>
        <w:rPr>
          <w:spacing w:val="7"/>
        </w:rPr>
        <w:t>发挥社会灭火救援资源优势，协调有序、快速</w:t>
      </w:r>
      <w:r>
        <w:rPr>
          <w:spacing w:val="7"/>
        </w:rPr>
        <w:t>高效地开展火灾扑救、人员救治和善后处理等</w:t>
      </w:r>
      <w:r>
        <w:rPr>
          <w:spacing w:val="4"/>
        </w:rPr>
        <w:t>工作。</w:t>
      </w:r>
    </w:p>
    <w:p>
      <w:pPr>
        <w:pStyle w:val="BodyText"/>
        <w:ind w:left="9" w:right="54" w:firstLine="439"/>
        <w:spacing w:before="144" w:line="324" w:lineRule="auto"/>
        <w:rPr/>
      </w:pPr>
      <w:r>
        <w:rPr>
          <w:rFonts w:ascii="Times New Roman" w:hAnsi="Times New Roman" w:eastAsia="Times New Roman" w:cs="Times New Roman"/>
          <w:spacing w:val="1"/>
        </w:rPr>
        <w:t>1.5.3</w:t>
      </w:r>
      <w:r>
        <w:rPr>
          <w:rFonts w:ascii="Times New Roman" w:hAnsi="Times New Roman" w:eastAsia="Times New Roman" w:cs="Times New Roman"/>
          <w:spacing w:val="38"/>
        </w:rPr>
        <w:t xml:space="preserve"> </w:t>
      </w:r>
      <w:r>
        <w:rPr>
          <w:spacing w:val="1"/>
        </w:rPr>
        <w:t>以人为本，科学处置。始终把抢救遇</w:t>
      </w:r>
      <w:r>
        <w:rPr>
          <w:spacing w:val="18"/>
        </w:rPr>
        <w:t>险人员生命和保证灭火应急救援人员人身安</w:t>
      </w:r>
      <w:r>
        <w:rPr>
          <w:spacing w:val="7"/>
        </w:rPr>
        <w:t>全放在首位，采用先进的灭火救援装备和科技</w:t>
      </w:r>
      <w:r>
        <w:rPr>
          <w:spacing w:val="7"/>
        </w:rPr>
        <w:t>战术措施，最大限度地保护人民群众生命财产</w:t>
      </w:r>
      <w:r>
        <w:rPr>
          <w:spacing w:val="4"/>
        </w:rPr>
        <w:t>安全。</w:t>
      </w:r>
    </w:p>
    <w:p>
      <w:pPr>
        <w:ind w:left="430"/>
        <w:spacing w:before="131"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2</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8"/>
        </w:rPr>
        <w:t>应急指挥体系及职责任务</w:t>
      </w:r>
    </w:p>
    <w:p>
      <w:pPr>
        <w:ind w:left="428"/>
        <w:spacing w:before="77" w:line="267" w:lineRule="exact"/>
        <w:rPr>
          <w:rFonts w:ascii="KaiTi" w:hAnsi="KaiTi" w:eastAsia="KaiTi" w:cs="KaiTi"/>
          <w:sz w:val="20"/>
          <w:szCs w:val="20"/>
        </w:rPr>
      </w:pPr>
      <w:r>
        <w:rPr>
          <w:rFonts w:ascii="Times New Roman" w:hAnsi="Times New Roman" w:eastAsia="Times New Roman" w:cs="Times New Roman"/>
          <w:sz w:val="20"/>
          <w:szCs w:val="20"/>
          <w:spacing w:val="3"/>
          <w:position w:val="1"/>
        </w:rPr>
        <w:t>2.</w:t>
      </w:r>
      <w:r>
        <w:rPr>
          <w:rFonts w:ascii="Times New Roman" w:hAnsi="Times New Roman" w:eastAsia="Times New Roman" w:cs="Times New Roman"/>
          <w:sz w:val="20"/>
          <w:szCs w:val="20"/>
          <w:spacing w:val="-17"/>
          <w:position w:val="1"/>
        </w:rPr>
        <w:t xml:space="preserve"> </w:t>
      </w:r>
      <w:r>
        <w:rPr>
          <w:rFonts w:ascii="Times New Roman" w:hAnsi="Times New Roman" w:eastAsia="Times New Roman" w:cs="Times New Roman"/>
          <w:sz w:val="20"/>
          <w:szCs w:val="20"/>
          <w:spacing w:val="3"/>
          <w:position w:val="1"/>
        </w:rPr>
        <w:t>1  </w:t>
      </w:r>
      <w:r>
        <w:rPr>
          <w:rFonts w:ascii="KaiTi" w:hAnsi="KaiTi" w:eastAsia="KaiTi" w:cs="KaiTi"/>
          <w:sz w:val="20"/>
          <w:szCs w:val="20"/>
          <w:spacing w:val="3"/>
          <w:position w:val="1"/>
        </w:rPr>
        <w:t>应急组织机构。</w:t>
      </w:r>
    </w:p>
    <w:p>
      <w:pPr>
        <w:pStyle w:val="BodyText"/>
        <w:ind w:right="57" w:firstLine="428"/>
        <w:spacing w:before="121" w:line="348" w:lineRule="auto"/>
        <w:jc w:val="both"/>
        <w:rPr/>
      </w:pPr>
      <w:r>
        <w:rPr>
          <w:rFonts w:ascii="Times New Roman" w:hAnsi="Times New Roman" w:eastAsia="Times New Roman" w:cs="Times New Roman"/>
          <w:spacing w:val="1"/>
        </w:rPr>
        <w:t>2.</w:t>
      </w:r>
      <w:r>
        <w:rPr>
          <w:rFonts w:ascii="Times New Roman" w:hAnsi="Times New Roman" w:eastAsia="Times New Roman" w:cs="Times New Roman"/>
          <w:spacing w:val="-16"/>
        </w:rPr>
        <w:t xml:space="preserve"> </w:t>
      </w:r>
      <w:r>
        <w:rPr>
          <w:rFonts w:ascii="Times New Roman" w:hAnsi="Times New Roman" w:eastAsia="Times New Roman" w:cs="Times New Roman"/>
          <w:spacing w:val="1"/>
        </w:rPr>
        <w:t>1.1</w:t>
      </w:r>
      <w:r>
        <w:rPr>
          <w:rFonts w:ascii="Times New Roman" w:hAnsi="Times New Roman" w:eastAsia="Times New Roman" w:cs="Times New Roman"/>
          <w:spacing w:val="21"/>
          <w:w w:val="101"/>
        </w:rPr>
        <w:t xml:space="preserve"> </w:t>
      </w:r>
      <w:r>
        <w:rPr>
          <w:spacing w:val="1"/>
        </w:rPr>
        <w:t>当市内发生重大、特别重大火灾事故</w:t>
      </w:r>
      <w:r>
        <w:rPr>
          <w:spacing w:val="16"/>
        </w:rPr>
        <w:t>时</w:t>
      </w:r>
      <w:r>
        <w:rPr>
          <w:spacing w:val="-51"/>
        </w:rPr>
        <w:t xml:space="preserve"> </w:t>
      </w:r>
      <w:r>
        <w:rPr>
          <w:spacing w:val="16"/>
        </w:rPr>
        <w:t>，市政府立即成立市火灾事故应急指挥部</w:t>
      </w:r>
      <w:r>
        <w:rPr>
          <w:spacing w:val="6"/>
        </w:rPr>
        <w:t>（</w:t>
      </w:r>
      <w:r>
        <w:rPr>
          <w:spacing w:val="-48"/>
        </w:rPr>
        <w:t xml:space="preserve"> </w:t>
      </w:r>
      <w:r>
        <w:rPr>
          <w:spacing w:val="6"/>
        </w:rPr>
        <w:t>以下简称</w:t>
      </w:r>
      <w:r>
        <w:rPr>
          <w:rFonts w:ascii="Times New Roman" w:hAnsi="Times New Roman" w:eastAsia="Times New Roman" w:cs="Times New Roman"/>
          <w:spacing w:val="6"/>
        </w:rPr>
        <w:t>“</w:t>
      </w:r>
      <w:r>
        <w:rPr>
          <w:spacing w:val="6"/>
        </w:rPr>
        <w:t>市指挥部</w:t>
      </w:r>
      <w:r>
        <w:rPr>
          <w:rFonts w:ascii="Times New Roman" w:hAnsi="Times New Roman" w:eastAsia="Times New Roman" w:cs="Times New Roman"/>
          <w:spacing w:val="6"/>
        </w:rPr>
        <w:t>” </w:t>
      </w:r>
      <w:r>
        <w:rPr>
          <w:spacing w:val="-22"/>
        </w:rPr>
        <w:t>），</w:t>
      </w:r>
      <w:r>
        <w:rPr>
          <w:spacing w:val="6"/>
        </w:rPr>
        <w:t>负责统一领导、指</w:t>
      </w:r>
      <w:r>
        <w:rPr>
          <w:spacing w:val="7"/>
        </w:rPr>
        <w:t>挥和协调全市重大、特别重大火灾事故应急处</w:t>
      </w:r>
      <w:r>
        <w:rPr>
          <w:spacing w:val="8"/>
        </w:rPr>
        <w:t>置工作。</w:t>
      </w:r>
    </w:p>
    <w:p>
      <w:pPr>
        <w:pStyle w:val="BodyText"/>
        <w:ind w:left="430"/>
        <w:spacing w:before="7" w:line="277" w:lineRule="exact"/>
        <w:rPr/>
      </w:pPr>
      <w:r>
        <w:rPr>
          <w:spacing w:val="8"/>
          <w:position w:val="1"/>
        </w:rPr>
        <w:t>指 挥 长：市政府分管副市长</w:t>
      </w:r>
    </w:p>
    <w:p>
      <w:pPr>
        <w:pStyle w:val="BodyText"/>
        <w:ind w:left="434"/>
        <w:spacing w:before="105" w:line="221" w:lineRule="auto"/>
        <w:rPr/>
      </w:pPr>
      <w:r>
        <w:rPr>
          <w:spacing w:val="6"/>
        </w:rPr>
        <w:t>副指挥长：市应急管理局局长、市消防救</w:t>
      </w:r>
    </w:p>
    <w:p>
      <w:pPr>
        <w:spacing w:line="221" w:lineRule="auto"/>
        <w:sectPr>
          <w:type w:val="continuous"/>
          <w:pgSz w:w="11906" w:h="16839"/>
          <w:pgMar w:top="1766" w:right="1530" w:bottom="1575" w:left="1579" w:header="1428" w:footer="1172" w:gutter="0"/>
          <w:cols w:equalWidth="0" w:num="2">
            <w:col w:w="4482" w:space="100"/>
            <w:col w:w="4214" w:space="0"/>
          </w:cols>
        </w:sectPr>
        <w:rPr/>
      </w:pPr>
    </w:p>
    <w:p>
      <w:pPr>
        <w:spacing w:before="60"/>
        <w:rPr/>
      </w:pPr>
      <w:r>
        <w:drawing>
          <wp:anchor distT="0" distB="0" distL="0" distR="0" simplePos="0" relativeHeight="253006848"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770" name="IM 1770"/>
            <wp:cNvGraphicFramePr/>
            <a:graphic>
              <a:graphicData uri="http://schemas.openxmlformats.org/drawingml/2006/picture">
                <pic:pic>
                  <pic:nvPicPr>
                    <pic:cNvPr id="1770" name="IM 1770"/>
                    <pic:cNvPicPr/>
                  </pic:nvPicPr>
                  <pic:blipFill>
                    <a:blip r:embed="rId887"/>
                    <a:stretch>
                      <a:fillRect/>
                    </a:stretch>
                  </pic:blipFill>
                  <pic:spPr>
                    <a:xfrm rot="0">
                      <a:off x="0" y="0"/>
                      <a:ext cx="5579745" cy="7620"/>
                    </a:xfrm>
                    <a:prstGeom prst="rect">
                      <a:avLst/>
                    </a:prstGeom>
                  </pic:spPr>
                </pic:pic>
              </a:graphicData>
            </a:graphic>
          </wp:anchor>
        </w:drawing>
      </w:r>
      <w:r/>
    </w:p>
    <w:p>
      <w:pPr>
        <w:sectPr>
          <w:headerReference w:type="default" r:id="rId816"/>
          <w:footerReference w:type="default" r:id="rId886"/>
          <w:pgSz w:w="11906" w:h="16839"/>
          <w:pgMar w:top="1772" w:right="1489" w:bottom="1562" w:left="1567" w:header="1428" w:footer="1172" w:gutter="0"/>
          <w:cols w:equalWidth="0" w:num="1">
            <w:col w:w="8850" w:space="0"/>
          </w:cols>
        </w:sectPr>
        <w:rPr/>
      </w:pPr>
    </w:p>
    <w:p>
      <w:pPr>
        <w:pStyle w:val="BodyText"/>
        <w:ind w:left="25"/>
        <w:spacing w:before="39" w:line="219" w:lineRule="auto"/>
        <w:rPr/>
      </w:pPr>
      <w:r>
        <w:rPr>
          <w:spacing w:val="9"/>
        </w:rPr>
        <w:t>援支队支队长</w:t>
      </w:r>
    </w:p>
    <w:p>
      <w:pPr>
        <w:pStyle w:val="BodyText"/>
        <w:ind w:left="25" w:right="329" w:firstLine="420"/>
        <w:spacing w:before="142" w:line="350" w:lineRule="auto"/>
        <w:jc w:val="both"/>
        <w:rPr/>
      </w:pPr>
      <w:r>
        <w:rPr>
          <w:spacing w:val="6"/>
        </w:rPr>
        <w:t>成员单位：市政府办公室、市发展和改革</w:t>
      </w:r>
      <w:r>
        <w:rPr>
          <w:spacing w:val="7"/>
        </w:rPr>
        <w:t>委员会、市工业和信息化局、市公安局、市财</w:t>
      </w:r>
      <w:r>
        <w:rPr>
          <w:spacing w:val="7"/>
        </w:rPr>
        <w:t>政局、市自然资源局、市生态环境局、市住房</w:t>
      </w:r>
      <w:r>
        <w:rPr>
          <w:spacing w:val="7"/>
        </w:rPr>
        <w:t>和城乡建设局、市交通运输局、市水务局、市</w:t>
      </w:r>
      <w:r>
        <w:rPr>
          <w:spacing w:val="7"/>
        </w:rPr>
        <w:t>卫生健康委员会、市应急管理局、市消防救援</w:t>
      </w:r>
      <w:r>
        <w:rPr>
          <w:spacing w:val="7"/>
        </w:rPr>
        <w:t>支队、六盘水林业局、市粮食储备局，由市指</w:t>
      </w:r>
      <w:r>
        <w:rPr>
          <w:spacing w:val="18"/>
        </w:rPr>
        <w:t>挥部根据应急救援工作需要确定的非政府职</w:t>
      </w:r>
      <w:r>
        <w:rPr>
          <w:spacing w:val="7"/>
        </w:rPr>
        <w:t>能部门的负责同志和火灾事故所在县（区）政</w:t>
      </w:r>
      <w:r>
        <w:rPr>
          <w:spacing w:val="8"/>
        </w:rPr>
        <w:t>府主要负责同志。</w:t>
      </w:r>
    </w:p>
    <w:p>
      <w:pPr>
        <w:pStyle w:val="BodyText"/>
        <w:ind w:left="24" w:right="329" w:firstLine="438"/>
        <w:spacing w:before="9" w:line="350" w:lineRule="auto"/>
        <w:jc w:val="both"/>
        <w:rPr/>
      </w:pPr>
      <w:r>
        <w:rPr>
          <w:spacing w:val="4"/>
        </w:rPr>
        <w:t>以上成员单位设联络员</w:t>
      </w:r>
      <w:r>
        <w:rPr>
          <w:spacing w:val="-19"/>
        </w:rPr>
        <w:t xml:space="preserve"> </w:t>
      </w:r>
      <w:r>
        <w:rPr>
          <w:rFonts w:ascii="Times New Roman" w:hAnsi="Times New Roman" w:eastAsia="Times New Roman" w:cs="Times New Roman"/>
          <w:spacing w:val="4"/>
        </w:rPr>
        <w:t>1 </w:t>
      </w:r>
      <w:r>
        <w:rPr>
          <w:spacing w:val="4"/>
        </w:rPr>
        <w:t>名，由单位职能</w:t>
      </w:r>
      <w:r>
        <w:rPr>
          <w:spacing w:val="7"/>
        </w:rPr>
        <w:t>科室负责同志担任。根据工作需要，可增加有</w:t>
      </w:r>
      <w:r>
        <w:rPr>
          <w:spacing w:val="9"/>
        </w:rPr>
        <w:t>关部门和单位主要负责同志参加。</w:t>
      </w:r>
    </w:p>
    <w:p>
      <w:pPr>
        <w:pStyle w:val="BodyText"/>
        <w:ind w:left="446"/>
        <w:spacing w:before="1" w:line="220" w:lineRule="auto"/>
        <w:rPr/>
      </w:pPr>
      <w:r>
        <w:rPr>
          <w:rFonts w:ascii="Times New Roman" w:hAnsi="Times New Roman" w:eastAsia="Times New Roman" w:cs="Times New Roman"/>
          <w:spacing w:val="4"/>
        </w:rPr>
        <w:t>2.</w:t>
      </w:r>
      <w:r>
        <w:rPr>
          <w:rFonts w:ascii="Times New Roman" w:hAnsi="Times New Roman" w:eastAsia="Times New Roman" w:cs="Times New Roman"/>
          <w:spacing w:val="-18"/>
        </w:rPr>
        <w:t xml:space="preserve"> </w:t>
      </w:r>
      <w:r>
        <w:rPr>
          <w:rFonts w:ascii="Times New Roman" w:hAnsi="Times New Roman" w:eastAsia="Times New Roman" w:cs="Times New Roman"/>
          <w:spacing w:val="4"/>
        </w:rPr>
        <w:t>1.2 </w:t>
      </w:r>
      <w:r>
        <w:rPr>
          <w:spacing w:val="4"/>
        </w:rPr>
        <w:t>市指挥部主要职责。</w:t>
      </w:r>
    </w:p>
    <w:p>
      <w:pPr>
        <w:pStyle w:val="BodyText"/>
        <w:ind w:left="29" w:right="332" w:firstLine="407"/>
        <w:spacing w:before="137" w:line="287"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）负责全市重大、特别重大火灾事故</w:t>
      </w:r>
      <w:r>
        <w:rPr>
          <w:spacing w:val="8"/>
        </w:rPr>
        <w:t>预防和应急处置工作。</w:t>
      </w:r>
    </w:p>
    <w:p>
      <w:pPr>
        <w:pStyle w:val="BodyText"/>
        <w:ind w:left="36" w:right="246" w:firstLine="400"/>
        <w:spacing w:before="137" w:line="309"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5"/>
        </w:rPr>
        <w:t xml:space="preserve"> </w:t>
      </w:r>
      <w:r>
        <w:rPr>
          <w:spacing w:val="8"/>
        </w:rPr>
        <w:t>）制定总体决策和战斗行动方案</w:t>
      </w:r>
      <w:r>
        <w:rPr>
          <w:spacing w:val="-59"/>
        </w:rPr>
        <w:t xml:space="preserve"> </w:t>
      </w:r>
      <w:r>
        <w:rPr>
          <w:spacing w:val="8"/>
        </w:rPr>
        <w:t>，及</w:t>
      </w:r>
      <w:r>
        <w:rPr>
          <w:spacing w:val="6"/>
        </w:rPr>
        <w:t>时掌握现场情况，提出响应措施，适时调整作</w:t>
      </w:r>
      <w:r>
        <w:rPr>
          <w:spacing w:val="-9"/>
        </w:rPr>
        <w:t>战方案和调配灭火应急救援力量，组织协同作战。</w:t>
      </w:r>
    </w:p>
    <w:p>
      <w:pPr>
        <w:pStyle w:val="BodyText"/>
        <w:ind w:left="25" w:right="329" w:firstLine="411"/>
        <w:spacing w:before="136" w:line="308"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）统一调度全市应急救援队伍和应急</w:t>
      </w:r>
      <w:r>
        <w:rPr>
          <w:spacing w:val="7"/>
        </w:rPr>
        <w:t>救援保障资源，必要时直接指挥火灾事故现场</w:t>
      </w:r>
      <w:r>
        <w:rPr>
          <w:spacing w:val="8"/>
        </w:rPr>
        <w:t>的灭火应急救援工作。</w:t>
      </w:r>
    </w:p>
    <w:p>
      <w:pPr>
        <w:pStyle w:val="BodyText"/>
        <w:ind w:left="26" w:right="332" w:firstLine="410"/>
        <w:spacing w:before="138" w:line="287"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）统一协调武警以及民兵、预备役参</w:t>
      </w:r>
      <w:r>
        <w:rPr>
          <w:spacing w:val="7"/>
        </w:rPr>
        <w:t>加灭火救援。</w:t>
      </w:r>
    </w:p>
    <w:p>
      <w:pPr>
        <w:pStyle w:val="BodyText"/>
        <w:ind w:left="25" w:right="329" w:firstLine="411"/>
        <w:spacing w:before="140" w:line="309" w:lineRule="auto"/>
        <w:rPr/>
      </w:pPr>
      <w:r>
        <w:rPr>
          <w:spacing w:val="8"/>
        </w:rPr>
        <w:t>（</w:t>
      </w:r>
      <w:r>
        <w:rPr>
          <w:spacing w:val="-45"/>
        </w:rPr>
        <w:t xml:space="preserve"> </w:t>
      </w:r>
      <w:r>
        <w:rPr>
          <w:rFonts w:ascii="Times New Roman" w:hAnsi="Times New Roman" w:eastAsia="Times New Roman" w:cs="Times New Roman"/>
          <w:spacing w:val="8"/>
        </w:rPr>
        <w:t>5</w:t>
      </w:r>
      <w:r>
        <w:rPr>
          <w:rFonts w:ascii="Times New Roman" w:hAnsi="Times New Roman" w:eastAsia="Times New Roman" w:cs="Times New Roman"/>
          <w:spacing w:val="-19"/>
        </w:rPr>
        <w:t xml:space="preserve"> </w:t>
      </w:r>
      <w:r>
        <w:rPr>
          <w:spacing w:val="8"/>
        </w:rPr>
        <w:t>）及时向自治区政府和自治区应急管</w:t>
      </w:r>
      <w:r>
        <w:rPr>
          <w:spacing w:val="7"/>
        </w:rPr>
        <w:t>理厅报告火灾事故及灭火救援情况，统一发布</w:t>
      </w:r>
      <w:r>
        <w:rPr>
          <w:spacing w:val="8"/>
        </w:rPr>
        <w:t>火灾事故信息，并负责善后工作。</w:t>
      </w:r>
    </w:p>
    <w:p>
      <w:pPr>
        <w:pStyle w:val="BodyText"/>
        <w:ind w:left="446"/>
        <w:spacing w:before="138" w:line="221" w:lineRule="auto"/>
        <w:rPr/>
      </w:pPr>
      <w:r>
        <w:rPr>
          <w:rFonts w:ascii="Times New Roman" w:hAnsi="Times New Roman" w:eastAsia="Times New Roman" w:cs="Times New Roman"/>
          <w:spacing w:val="5"/>
        </w:rPr>
        <w:t>2.</w:t>
      </w:r>
      <w:r>
        <w:rPr>
          <w:rFonts w:ascii="Times New Roman" w:hAnsi="Times New Roman" w:eastAsia="Times New Roman" w:cs="Times New Roman"/>
          <w:spacing w:val="-23"/>
        </w:rPr>
        <w:t xml:space="preserve"> </w:t>
      </w:r>
      <w:r>
        <w:rPr>
          <w:rFonts w:ascii="Times New Roman" w:hAnsi="Times New Roman" w:eastAsia="Times New Roman" w:cs="Times New Roman"/>
          <w:spacing w:val="5"/>
        </w:rPr>
        <w:t>1.3 </w:t>
      </w:r>
      <w:r>
        <w:rPr>
          <w:spacing w:val="5"/>
        </w:rPr>
        <w:t>市指挥部成员单位职责。</w:t>
      </w:r>
    </w:p>
    <w:p>
      <w:pPr>
        <w:pStyle w:val="BodyText"/>
        <w:ind w:left="25" w:right="329" w:firstLine="422"/>
        <w:spacing w:before="140" w:line="324" w:lineRule="auto"/>
        <w:rPr/>
      </w:pPr>
      <w:r>
        <w:rPr>
          <w:spacing w:val="6"/>
        </w:rPr>
        <w:t>市应急管理局：负责指导、协调相关部门</w:t>
      </w:r>
      <w:r>
        <w:rPr>
          <w:spacing w:val="7"/>
        </w:rPr>
        <w:t>开展火灾事故处置联合实战演练，提高多种救</w:t>
      </w:r>
      <w:r>
        <w:rPr>
          <w:spacing w:val="7"/>
        </w:rPr>
        <w:t>援力量联合作战能力；负责组织专家对涉及生</w:t>
      </w:r>
      <w:r>
        <w:rPr>
          <w:spacing w:val="7"/>
        </w:rPr>
        <w:t>产安全的火灾事故应急处置提出建议；联络协</w:t>
      </w:r>
      <w:r>
        <w:rPr>
          <w:spacing w:val="7"/>
        </w:rPr>
        <w:t>调各成员单位做好应急准备、参与应急处置工</w:t>
      </w:r>
      <w:r>
        <w:rPr>
          <w:spacing w:val="7"/>
        </w:rPr>
        <w:t>作；承担组建市级灭火救援专家组，并负责统</w:t>
      </w:r>
    </w:p>
    <w:p>
      <w:pPr>
        <w:spacing w:line="14" w:lineRule="auto"/>
        <w:rPr>
          <w:rFonts w:ascii="Arial"/>
          <w:sz w:val="2"/>
        </w:rPr>
      </w:pPr>
      <w:r>
        <w:rPr>
          <w:rFonts w:ascii="Arial" w:hAnsi="Arial" w:eastAsia="Arial" w:cs="Arial"/>
          <w:sz w:val="2"/>
          <w:szCs w:val="2"/>
        </w:rPr>
        <w:br w:type="column"/>
      </w:r>
    </w:p>
    <w:p>
      <w:pPr>
        <w:pStyle w:val="BodyText"/>
        <w:ind w:left="2"/>
        <w:spacing w:before="39" w:line="217" w:lineRule="auto"/>
        <w:rPr/>
      </w:pPr>
      <w:r>
        <w:rPr>
          <w:spacing w:val="6"/>
        </w:rPr>
        <w:t>一调度。</w:t>
      </w:r>
    </w:p>
    <w:p>
      <w:pPr>
        <w:pStyle w:val="BodyText"/>
        <w:ind w:right="94" w:firstLine="422"/>
        <w:spacing w:before="141" w:line="347" w:lineRule="auto"/>
        <w:jc w:val="both"/>
        <w:rPr/>
      </w:pPr>
      <w:r>
        <w:rPr>
          <w:spacing w:val="16"/>
        </w:rPr>
        <w:t>市消防救援支队：</w:t>
      </w:r>
      <w:r>
        <w:rPr>
          <w:spacing w:val="-49"/>
        </w:rPr>
        <w:t xml:space="preserve"> </w:t>
      </w:r>
      <w:r>
        <w:rPr>
          <w:spacing w:val="16"/>
        </w:rPr>
        <w:t>负责市指挥部日常工</w:t>
      </w:r>
      <w:r>
        <w:rPr>
          <w:spacing w:val="7"/>
        </w:rPr>
        <w:t>作；收集、分析全市火灾事故信息，及时提出</w:t>
      </w:r>
      <w:r>
        <w:rPr>
          <w:spacing w:val="7"/>
        </w:rPr>
        <w:t>预防火灾事故和灭火应急救援建议；加强全市</w:t>
      </w:r>
      <w:r>
        <w:rPr>
          <w:spacing w:val="7"/>
        </w:rPr>
        <w:t>消防救援队伍建设，装备建设和业务训练，负</w:t>
      </w:r>
      <w:r>
        <w:rPr>
          <w:spacing w:val="7"/>
        </w:rPr>
        <w:t>责统一指挥调度全市消防救援力量（含乡镇，</w:t>
      </w:r>
      <w:r>
        <w:rPr>
          <w:spacing w:val="9"/>
        </w:rPr>
        <w:t>企业消防专职队伍</w:t>
      </w:r>
      <w:r>
        <w:rPr>
          <w:spacing w:val="-9"/>
        </w:rPr>
        <w:t>），</w:t>
      </w:r>
      <w:r>
        <w:rPr>
          <w:spacing w:val="9"/>
        </w:rPr>
        <w:t>组织开展火灾事故原因</w:t>
      </w:r>
      <w:r>
        <w:rPr>
          <w:spacing w:val="4"/>
        </w:rPr>
        <w:t>调查。</w:t>
      </w:r>
    </w:p>
    <w:p>
      <w:pPr>
        <w:pStyle w:val="BodyText"/>
        <w:ind w:left="3" w:right="101" w:firstLine="419"/>
        <w:spacing w:before="25" w:line="335" w:lineRule="auto"/>
        <w:rPr/>
      </w:pPr>
      <w:r>
        <w:rPr>
          <w:spacing w:val="6"/>
        </w:rPr>
        <w:t>市财政局：负责协调保障火灾事故应急处</w:t>
      </w:r>
      <w:r>
        <w:rPr>
          <w:spacing w:val="5"/>
        </w:rPr>
        <w:t>置经费。</w:t>
      </w:r>
    </w:p>
    <w:p>
      <w:pPr>
        <w:pStyle w:val="BodyText"/>
        <w:ind w:right="101" w:firstLine="422"/>
        <w:spacing w:before="36" w:line="349" w:lineRule="auto"/>
        <w:jc w:val="both"/>
        <w:rPr/>
      </w:pPr>
      <w:r>
        <w:rPr>
          <w:spacing w:val="6"/>
        </w:rPr>
        <w:t>市发展和改革委员会：负责将全市消防工</w:t>
      </w:r>
      <w:r>
        <w:rPr>
          <w:spacing w:val="7"/>
        </w:rPr>
        <w:t>作纳入国民经济和社会发展计划，协调火灾事</w:t>
      </w:r>
      <w:r>
        <w:rPr>
          <w:spacing w:val="7"/>
        </w:rPr>
        <w:t>故应急物资的储存、调拨和紧急供应，参与组</w:t>
      </w:r>
      <w:r>
        <w:rPr>
          <w:spacing w:val="9"/>
        </w:rPr>
        <w:t>织火灾事故处置后的恢复重建工作。</w:t>
      </w:r>
    </w:p>
    <w:p>
      <w:pPr>
        <w:pStyle w:val="BodyText"/>
        <w:ind w:left="10" w:right="101" w:firstLine="412"/>
        <w:spacing w:before="6" w:line="332" w:lineRule="auto"/>
        <w:rPr/>
      </w:pPr>
      <w:r>
        <w:rPr>
          <w:spacing w:val="6"/>
        </w:rPr>
        <w:t>市民政局：根据应急救助需要，做好灾民</w:t>
      </w:r>
      <w:r>
        <w:rPr>
          <w:spacing w:val="8"/>
        </w:rPr>
        <w:t>紧急转移、临时安置和基本生活救助工作。</w:t>
      </w:r>
    </w:p>
    <w:p>
      <w:pPr>
        <w:pStyle w:val="BodyText"/>
        <w:ind w:right="36" w:firstLine="423"/>
        <w:spacing w:before="38" w:line="351" w:lineRule="auto"/>
        <w:rPr/>
      </w:pPr>
      <w:r>
        <w:rPr>
          <w:spacing w:val="6"/>
        </w:rPr>
        <w:t>市住房和城乡建设局：负责指导、协调火</w:t>
      </w:r>
      <w:r>
        <w:rPr>
          <w:spacing w:val="18"/>
        </w:rPr>
        <w:t>灾发生地住房城乡建设部门提供火场邻近区</w:t>
      </w:r>
      <w:r>
        <w:rPr>
          <w:spacing w:val="10"/>
        </w:rPr>
        <w:t>域地下水、气管网情况，确保火灾现场用水；</w:t>
      </w:r>
      <w:r>
        <w:rPr>
          <w:spacing w:val="7"/>
        </w:rPr>
        <w:t>对火灾现场燃气管道关阀断源，防止次生灾害</w:t>
      </w:r>
      <w:r>
        <w:rPr/>
        <w:t>事故发生；指导、协调组织工程车辆装备供应，</w:t>
      </w:r>
      <w:r>
        <w:rPr>
          <w:spacing w:val="7"/>
        </w:rPr>
        <w:t>及时协助消防救援队伍开辟救人通道、清除倒</w:t>
      </w:r>
      <w:r>
        <w:rPr>
          <w:spacing w:val="9"/>
        </w:rPr>
        <w:t>塌建筑废墟、破拆需要拆除的毗邻建筑等。</w:t>
      </w:r>
    </w:p>
    <w:p>
      <w:pPr>
        <w:pStyle w:val="BodyText"/>
        <w:ind w:left="2" w:right="101" w:firstLine="420"/>
        <w:spacing w:line="347" w:lineRule="auto"/>
        <w:rPr/>
      </w:pPr>
      <w:r>
        <w:rPr>
          <w:spacing w:val="6"/>
        </w:rPr>
        <w:t>市卫生健康委员会：负责火灾事故现场伤</w:t>
      </w:r>
      <w:r>
        <w:rPr>
          <w:spacing w:val="7"/>
        </w:rPr>
        <w:t>员的救治和紧急处理，对可能发生疫情、染毒</w:t>
      </w:r>
      <w:r>
        <w:rPr>
          <w:spacing w:val="8"/>
        </w:rPr>
        <w:t>的火灾事故现场进行防疫、消毒处置。</w:t>
      </w:r>
    </w:p>
    <w:p>
      <w:pPr>
        <w:pStyle w:val="BodyText"/>
        <w:ind w:left="1" w:right="78" w:firstLine="421"/>
        <w:spacing w:before="12" w:line="347" w:lineRule="auto"/>
        <w:jc w:val="both"/>
        <w:rPr/>
      </w:pPr>
      <w:r>
        <w:rPr>
          <w:spacing w:val="8"/>
        </w:rPr>
        <w:t>市交通运输局：负责灭火应急救援人员、</w:t>
      </w:r>
      <w:r>
        <w:rPr>
          <w:spacing w:val="7"/>
        </w:rPr>
        <w:t>物资运送保障，组织调配紧急救援、人员撤离</w:t>
      </w:r>
      <w:r>
        <w:rPr>
          <w:spacing w:val="8"/>
        </w:rPr>
        <w:t>疏散等所需的运输工具。</w:t>
      </w:r>
    </w:p>
    <w:p>
      <w:pPr>
        <w:pStyle w:val="BodyText"/>
        <w:ind w:left="3" w:right="20" w:firstLine="419"/>
        <w:spacing w:before="14" w:line="319" w:lineRule="auto"/>
        <w:jc w:val="both"/>
        <w:rPr/>
      </w:pPr>
      <w:r>
        <w:rPr>
          <w:spacing w:val="6"/>
        </w:rPr>
        <w:t>市生态环境局：负责监测、评估火灾事故</w:t>
      </w:r>
      <w:r>
        <w:rPr>
          <w:spacing w:val="7"/>
        </w:rPr>
        <w:t>现场的环境情况，确定污染物成分、浓度和影</w:t>
      </w:r>
      <w:r>
        <w:rPr>
          <w:spacing w:val="1"/>
        </w:rPr>
        <w:t>响范围，提供消除环境污染的处置措施；督促、</w:t>
      </w:r>
      <w:r>
        <w:rPr>
          <w:spacing w:val="18"/>
        </w:rPr>
        <w:t>指导事发地政府及有关部门对事故现场污染</w:t>
      </w:r>
      <w:r>
        <w:rPr>
          <w:spacing w:val="7"/>
        </w:rPr>
        <w:t>物进行处置。负责火灾事故现场气象监测预报</w:t>
      </w:r>
    </w:p>
    <w:p>
      <w:pPr>
        <w:spacing w:line="319" w:lineRule="auto"/>
        <w:sectPr>
          <w:type w:val="continuous"/>
          <w:pgSz w:w="11906" w:h="16839"/>
          <w:pgMar w:top="1772" w:right="1489" w:bottom="1562" w:left="1567" w:header="1428" w:footer="1172" w:gutter="0"/>
          <w:cols w:equalWidth="0" w:num="2">
            <w:col w:w="4502" w:space="100"/>
            <w:col w:w="4249" w:space="0"/>
          </w:cols>
        </w:sectPr>
        <w:rPr/>
      </w:pPr>
    </w:p>
    <w:p>
      <w:pPr>
        <w:spacing w:line="133" w:lineRule="exact"/>
        <w:rPr/>
      </w:pPr>
      <w:r>
        <w:drawing>
          <wp:anchor distT="0" distB="0" distL="0" distR="0" simplePos="0" relativeHeight="253018112"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774" name="IM 1774"/>
            <wp:cNvGraphicFramePr/>
            <a:graphic>
              <a:graphicData uri="http://schemas.openxmlformats.org/drawingml/2006/picture">
                <pic:pic>
                  <pic:nvPicPr>
                    <pic:cNvPr id="1774" name="IM 1774"/>
                    <pic:cNvPicPr/>
                  </pic:nvPicPr>
                  <pic:blipFill>
                    <a:blip r:embed="rId889"/>
                    <a:stretch>
                      <a:fillRect/>
                    </a:stretch>
                  </pic:blipFill>
                  <pic:spPr>
                    <a:xfrm rot="0">
                      <a:off x="0" y="0"/>
                      <a:ext cx="5579745" cy="7620"/>
                    </a:xfrm>
                    <a:prstGeom prst="rect">
                      <a:avLst/>
                    </a:prstGeom>
                  </pic:spPr>
                </pic:pic>
              </a:graphicData>
            </a:graphic>
          </wp:anchor>
        </w:drawing>
      </w:r>
      <w:r/>
    </w:p>
    <w:p>
      <w:pPr>
        <w:spacing w:line="133" w:lineRule="exact"/>
        <w:sectPr>
          <w:headerReference w:type="default" r:id="rId597"/>
          <w:footerReference w:type="default" r:id="rId888"/>
          <w:pgSz w:w="11906" w:h="16839"/>
          <w:pgMar w:top="1766" w:right="1509" w:bottom="1575" w:left="1579" w:header="1428" w:footer="1172" w:gutter="0"/>
          <w:cols w:equalWidth="0" w:num="1">
            <w:col w:w="8817" w:space="0"/>
          </w:cols>
        </w:sectPr>
        <w:rPr/>
      </w:pPr>
    </w:p>
    <w:p>
      <w:pPr>
        <w:pStyle w:val="BodyText"/>
        <w:ind w:left="16" w:right="247"/>
        <w:spacing w:before="41" w:line="349" w:lineRule="auto"/>
        <w:rPr/>
      </w:pPr>
      <w:r>
        <w:rPr>
          <w:spacing w:val="1"/>
        </w:rPr>
        <w:t>服务工作，做好分析预测工作，及时提供风向、</w:t>
      </w:r>
      <w:r>
        <w:rPr>
          <w:spacing w:val="-8"/>
        </w:rPr>
        <w:t>风速、气压、温度、降水等天气实况和天气预报。</w:t>
      </w:r>
    </w:p>
    <w:p>
      <w:pPr>
        <w:pStyle w:val="BodyText"/>
        <w:ind w:left="14" w:right="329" w:firstLine="420"/>
        <w:spacing w:line="349" w:lineRule="auto"/>
        <w:jc w:val="both"/>
        <w:rPr/>
      </w:pPr>
      <w:r>
        <w:rPr>
          <w:spacing w:val="6"/>
        </w:rPr>
        <w:t>市公安局：组织、指挥火灾发生地公安部</w:t>
      </w:r>
      <w:r>
        <w:rPr>
          <w:spacing w:val="7"/>
        </w:rPr>
        <w:t>门做好火灾现场警戒工作，维护现场秩序，并</w:t>
      </w:r>
      <w:r>
        <w:rPr>
          <w:spacing w:val="7"/>
        </w:rPr>
        <w:t>根据火灾事故处置需要，实施交通管制和现场</w:t>
      </w:r>
      <w:r>
        <w:rPr>
          <w:spacing w:val="4"/>
        </w:rPr>
        <w:t>管制。</w:t>
      </w:r>
    </w:p>
    <w:p>
      <w:pPr>
        <w:pStyle w:val="BodyText"/>
        <w:ind w:left="14" w:right="309" w:firstLine="420"/>
        <w:spacing w:before="6" w:line="333" w:lineRule="auto"/>
        <w:rPr/>
      </w:pPr>
      <w:r>
        <w:rPr>
          <w:spacing w:val="6"/>
        </w:rPr>
        <w:t>市工业和信息化局：组织、协调市内通信</w:t>
      </w:r>
      <w:r>
        <w:rPr>
          <w:spacing w:val="8"/>
        </w:rPr>
        <w:t>运营企业，保障灭火应急救援现场通信畅通。</w:t>
      </w:r>
    </w:p>
    <w:p>
      <w:pPr>
        <w:pStyle w:val="BodyText"/>
        <w:ind w:left="434"/>
        <w:spacing w:before="39" w:line="277" w:lineRule="exact"/>
        <w:rPr/>
      </w:pPr>
      <w:r>
        <w:rPr>
          <w:spacing w:val="9"/>
          <w:position w:val="1"/>
        </w:rPr>
        <w:t>市政府办：负责火灾事故信息发布工作。</w:t>
      </w:r>
    </w:p>
    <w:p>
      <w:pPr>
        <w:pStyle w:val="BodyText"/>
        <w:ind w:left="14" w:right="300" w:firstLine="418"/>
        <w:spacing w:before="101" w:line="334" w:lineRule="auto"/>
        <w:rPr/>
      </w:pPr>
      <w:r>
        <w:rPr>
          <w:spacing w:val="7"/>
        </w:rPr>
        <w:t>其他非政府职能部门（单位）按照职责分</w:t>
      </w:r>
      <w:r>
        <w:rPr>
          <w:spacing w:val="-2"/>
        </w:rPr>
        <w:t>工好指挥部的部署，承担相应的应急救援任务。</w:t>
      </w:r>
    </w:p>
    <w:p>
      <w:pPr>
        <w:pStyle w:val="BodyText"/>
        <w:ind w:left="11" w:right="265" w:firstLine="421"/>
        <w:spacing w:before="40" w:line="338" w:lineRule="auto"/>
        <w:rPr/>
      </w:pPr>
      <w:r>
        <w:rPr>
          <w:rFonts w:ascii="Times New Roman" w:hAnsi="Times New Roman" w:eastAsia="Times New Roman" w:cs="Times New Roman"/>
          <w:spacing w:val="7"/>
        </w:rPr>
        <w:t>2.2</w:t>
      </w:r>
      <w:r>
        <w:rPr>
          <w:rFonts w:ascii="Times New Roman" w:hAnsi="Times New Roman" w:eastAsia="Times New Roman" w:cs="Times New Roman"/>
          <w:spacing w:val="20"/>
          <w:w w:val="101"/>
        </w:rPr>
        <w:t xml:space="preserve">  </w:t>
      </w:r>
      <w:r>
        <w:rPr>
          <w:rFonts w:ascii="KaiTi" w:hAnsi="KaiTi" w:eastAsia="KaiTi" w:cs="KaiTi"/>
          <w:spacing w:val="7"/>
        </w:rPr>
        <w:t>办事机构。</w:t>
      </w:r>
      <w:r>
        <w:rPr>
          <w:spacing w:val="7"/>
        </w:rPr>
        <w:t>市指挥部下设办公室，办</w:t>
      </w:r>
      <w:r>
        <w:rPr>
          <w:spacing w:val="7"/>
        </w:rPr>
        <w:t>公室设在市消防救援支队，市消防救援支队支</w:t>
      </w:r>
      <w:r>
        <w:rPr>
          <w:spacing w:val="7"/>
        </w:rPr>
        <w:t>队长兼任办公室主任，负责日常工作。承担市</w:t>
      </w:r>
      <w:r>
        <w:rPr>
          <w:spacing w:val="7"/>
        </w:rPr>
        <w:t>指挥部的日常工作、收集分析工作信息，及时</w:t>
      </w:r>
      <w:r>
        <w:rPr>
          <w:spacing w:val="7"/>
        </w:rPr>
        <w:t>上报重要信息，参与应急处置工作；组织火灾</w:t>
      </w:r>
      <w:r>
        <w:rPr>
          <w:spacing w:val="7"/>
        </w:rPr>
        <w:t>事故调查，拟写火灾事故总结评估报告；组织</w:t>
      </w:r>
      <w:r>
        <w:rPr>
          <w:spacing w:val="-9"/>
        </w:rPr>
        <w:t>编制、评估、修订《固原市火灾事故应急预案》，</w:t>
      </w:r>
      <w:r>
        <w:rPr>
          <w:spacing w:val="4"/>
        </w:rPr>
        <w:t>指导县（</w:t>
      </w:r>
      <w:r>
        <w:rPr>
          <w:spacing w:val="-34"/>
        </w:rPr>
        <w:t xml:space="preserve"> </w:t>
      </w:r>
      <w:r>
        <w:rPr>
          <w:spacing w:val="4"/>
        </w:rPr>
        <w:t>区）制定、修订专项应急预案；负责</w:t>
      </w:r>
      <w:r>
        <w:rPr>
          <w:spacing w:val="7"/>
        </w:rPr>
        <w:t>本市应对火灾事故的宣传教育与培训；负责本</w:t>
      </w:r>
      <w:r>
        <w:rPr>
          <w:spacing w:val="9"/>
        </w:rPr>
        <w:t>市消防安全应急救援的演习、演练。</w:t>
      </w:r>
    </w:p>
    <w:p>
      <w:pPr>
        <w:pStyle w:val="BodyText"/>
        <w:ind w:left="14" w:right="329" w:firstLine="419"/>
        <w:spacing w:before="133" w:line="332" w:lineRule="auto"/>
        <w:rPr/>
      </w:pPr>
      <w:r>
        <w:rPr>
          <w:rFonts w:ascii="Times New Roman" w:hAnsi="Times New Roman" w:eastAsia="Times New Roman" w:cs="Times New Roman"/>
          <w:spacing w:val="8"/>
        </w:rPr>
        <w:t>2.3  </w:t>
      </w:r>
      <w:r>
        <w:rPr>
          <w:rFonts w:ascii="KaiTi" w:hAnsi="KaiTi" w:eastAsia="KaiTi" w:cs="KaiTi"/>
          <w:spacing w:val="8"/>
        </w:rPr>
        <w:t>现场指挥部。</w:t>
      </w:r>
      <w:r>
        <w:rPr>
          <w:spacing w:val="8"/>
        </w:rPr>
        <w:t>对涉及区域广、部门多</w:t>
      </w:r>
      <w:r>
        <w:rPr>
          <w:spacing w:val="7"/>
        </w:rPr>
        <w:t>或处置时间长的重大、特别重大火灾事故，按</w:t>
      </w:r>
      <w:r>
        <w:rPr>
          <w:spacing w:val="7"/>
        </w:rPr>
        <w:t>照属地指挥原则，由事发地政府负责成立现场</w:t>
      </w:r>
      <w:r>
        <w:rPr>
          <w:spacing w:val="7"/>
        </w:rPr>
        <w:t>指挥部，全面负责现场应急处置工作。现场指</w:t>
      </w:r>
      <w:r>
        <w:rPr>
          <w:spacing w:val="8"/>
        </w:rPr>
        <w:t>挥部下设若干个工作组：</w:t>
      </w:r>
    </w:p>
    <w:p>
      <w:pPr>
        <w:pStyle w:val="BodyText"/>
        <w:ind w:left="13" w:right="322" w:firstLine="420"/>
        <w:spacing w:before="107" w:line="349" w:lineRule="auto"/>
        <w:jc w:val="both"/>
        <w:rPr/>
      </w:pPr>
      <w:r>
        <w:rPr>
          <w:spacing w:val="7"/>
        </w:rPr>
        <w:t>灭火救援组：负责搜集和掌握现场情况，</w:t>
      </w:r>
      <w:r>
        <w:rPr>
          <w:spacing w:val="7"/>
        </w:rPr>
        <w:t>制定处置措施和方案，向现场指挥部提供灭火</w:t>
      </w:r>
      <w:r>
        <w:rPr>
          <w:spacing w:val="7"/>
        </w:rPr>
        <w:t>救援决策意见，贯彻落实现场指挥部的指示，</w:t>
      </w:r>
      <w:r>
        <w:rPr>
          <w:spacing w:val="8"/>
        </w:rPr>
        <w:t>组织指挥开展灭火救援工作。</w:t>
      </w:r>
    </w:p>
    <w:p>
      <w:pPr>
        <w:pStyle w:val="BodyText"/>
        <w:ind w:left="14" w:right="329" w:firstLine="432"/>
        <w:spacing w:before="5" w:line="333" w:lineRule="auto"/>
        <w:rPr/>
      </w:pPr>
      <w:r>
        <w:rPr>
          <w:spacing w:val="6"/>
        </w:rPr>
        <w:t>医疗救护组：负责组织医疗卫生机构和人</w:t>
      </w:r>
      <w:r>
        <w:rPr>
          <w:spacing w:val="9"/>
        </w:rPr>
        <w:t>员进行医疗救治和事故现场的卫生防疫。</w:t>
      </w:r>
    </w:p>
    <w:p>
      <w:pPr>
        <w:pStyle w:val="BodyText"/>
        <w:ind w:left="14" w:right="309" w:firstLine="419"/>
        <w:spacing w:before="40" w:line="333" w:lineRule="auto"/>
        <w:rPr/>
      </w:pPr>
      <w:r>
        <w:rPr>
          <w:spacing w:val="6"/>
        </w:rPr>
        <w:t>专家技术组：负责组织相关专家和技术人</w:t>
      </w:r>
      <w:r>
        <w:rPr>
          <w:spacing w:val="8"/>
        </w:rPr>
        <w:t>员，提供现场救援技术支持和救治受伤人员。</w:t>
      </w:r>
    </w:p>
    <w:p>
      <w:pPr>
        <w:pStyle w:val="BodyText"/>
        <w:ind w:left="436"/>
        <w:spacing w:before="37" w:line="221" w:lineRule="auto"/>
        <w:rPr/>
      </w:pPr>
      <w:r>
        <w:rPr>
          <w:spacing w:val="8"/>
        </w:rPr>
        <w:t>现场警戒组：负责现场警戒，维护交通、</w:t>
      </w:r>
    </w:p>
    <w:p>
      <w:pPr>
        <w:spacing w:line="14" w:lineRule="auto"/>
        <w:rPr>
          <w:rFonts w:ascii="Arial"/>
          <w:sz w:val="2"/>
        </w:rPr>
      </w:pPr>
      <w:r>
        <w:rPr>
          <w:rFonts w:ascii="Arial" w:hAnsi="Arial" w:eastAsia="Arial" w:cs="Arial"/>
          <w:sz w:val="2"/>
          <w:szCs w:val="2"/>
        </w:rPr>
        <w:br w:type="column"/>
      </w:r>
    </w:p>
    <w:p>
      <w:pPr>
        <w:pStyle w:val="BodyText"/>
        <w:ind w:left="3"/>
        <w:spacing w:before="38" w:line="223" w:lineRule="auto"/>
        <w:rPr/>
      </w:pPr>
      <w:r>
        <w:rPr>
          <w:spacing w:val="6"/>
        </w:rPr>
        <w:t>治安秩序。</w:t>
      </w:r>
    </w:p>
    <w:p>
      <w:pPr>
        <w:pStyle w:val="BodyText"/>
        <w:ind w:left="6" w:right="80" w:firstLine="417"/>
        <w:spacing w:before="133" w:line="347" w:lineRule="auto"/>
        <w:jc w:val="both"/>
        <w:rPr/>
      </w:pPr>
      <w:r>
        <w:rPr>
          <w:spacing w:val="6"/>
        </w:rPr>
        <w:t>宣传报道组：负责组织协调新闻媒体正确</w:t>
      </w:r>
      <w:r>
        <w:rPr>
          <w:spacing w:val="7"/>
        </w:rPr>
        <w:t>引导社会舆论，适时召开应急救援工作新闻发</w:t>
      </w:r>
      <w:r>
        <w:rPr>
          <w:spacing w:val="2"/>
        </w:rPr>
        <w:t>布会。</w:t>
      </w:r>
    </w:p>
    <w:p>
      <w:pPr>
        <w:pStyle w:val="BodyText"/>
        <w:ind w:right="80" w:firstLine="420"/>
        <w:spacing w:before="13" w:line="334" w:lineRule="auto"/>
        <w:rPr/>
      </w:pPr>
      <w:r>
        <w:rPr>
          <w:spacing w:val="7"/>
        </w:rPr>
        <w:t>后勤保障组：负责提供应急救援所需后勤</w:t>
      </w:r>
      <w:r>
        <w:rPr>
          <w:spacing w:val="5"/>
        </w:rPr>
        <w:t>保障。</w:t>
      </w:r>
    </w:p>
    <w:p>
      <w:pPr>
        <w:pStyle w:val="BodyText"/>
        <w:ind w:left="3" w:right="80" w:firstLine="419"/>
        <w:spacing w:before="37" w:line="333" w:lineRule="auto"/>
        <w:rPr/>
      </w:pPr>
      <w:r>
        <w:rPr>
          <w:spacing w:val="6"/>
        </w:rPr>
        <w:t>善后工作组：负责现场受灾群众安置和伤</w:t>
      </w:r>
      <w:r>
        <w:rPr>
          <w:spacing w:val="8"/>
        </w:rPr>
        <w:t>亡人员善后处理工作。</w:t>
      </w:r>
    </w:p>
    <w:p>
      <w:pPr>
        <w:pStyle w:val="BodyText"/>
        <w:ind w:right="78" w:firstLine="421"/>
        <w:spacing w:before="40" w:line="319" w:lineRule="auto"/>
        <w:rPr/>
      </w:pPr>
      <w:r>
        <w:rPr>
          <w:rFonts w:ascii="Times New Roman" w:hAnsi="Times New Roman" w:eastAsia="Times New Roman" w:cs="Times New Roman"/>
          <w:spacing w:val="2"/>
        </w:rPr>
        <w:t>2.4  </w:t>
      </w:r>
      <w:r>
        <w:rPr>
          <w:rFonts w:ascii="KaiTi" w:hAnsi="KaiTi" w:eastAsia="KaiTi" w:cs="KaiTi"/>
          <w:spacing w:val="2"/>
        </w:rPr>
        <w:t>县（</w:t>
      </w:r>
      <w:r>
        <w:rPr>
          <w:rFonts w:ascii="KaiTi" w:hAnsi="KaiTi" w:eastAsia="KaiTi" w:cs="KaiTi"/>
          <w:spacing w:val="-13"/>
        </w:rPr>
        <w:t xml:space="preserve"> </w:t>
      </w:r>
      <w:r>
        <w:rPr>
          <w:rFonts w:ascii="KaiTi" w:hAnsi="KaiTi" w:eastAsia="KaiTi" w:cs="KaiTi"/>
          <w:spacing w:val="2"/>
        </w:rPr>
        <w:t>区）应急指挥机构。</w:t>
      </w:r>
      <w:r>
        <w:rPr>
          <w:spacing w:val="2"/>
        </w:rPr>
        <w:t>县（</w:t>
      </w:r>
      <w:r>
        <w:rPr>
          <w:spacing w:val="-53"/>
        </w:rPr>
        <w:t xml:space="preserve"> </w:t>
      </w:r>
      <w:r>
        <w:rPr>
          <w:spacing w:val="2"/>
        </w:rPr>
        <w:t>区）政</w:t>
      </w:r>
      <w:r>
        <w:rPr>
          <w:spacing w:val="7"/>
        </w:rPr>
        <w:t>府按照火灾事故分级标准，参照本预案，建立</w:t>
      </w:r>
      <w:r>
        <w:rPr>
          <w:spacing w:val="7"/>
        </w:rPr>
        <w:t>健全相应的应急指挥机构，组织做好先期处置</w:t>
      </w:r>
      <w:r>
        <w:rPr>
          <w:spacing w:val="7"/>
        </w:rPr>
        <w:t>和应对工作。</w:t>
      </w:r>
    </w:p>
    <w:p>
      <w:pPr>
        <w:pStyle w:val="BodyText"/>
        <w:ind w:left="1" w:right="51" w:firstLine="420"/>
        <w:spacing w:before="136" w:line="309" w:lineRule="auto"/>
        <w:rPr/>
      </w:pPr>
      <w:r>
        <w:rPr>
          <w:rFonts w:ascii="Times New Roman" w:hAnsi="Times New Roman" w:eastAsia="Times New Roman" w:cs="Times New Roman"/>
          <w:spacing w:val="8"/>
        </w:rPr>
        <w:t>2.5  </w:t>
      </w:r>
      <w:r>
        <w:rPr>
          <w:rFonts w:ascii="KaiTi" w:hAnsi="KaiTi" w:eastAsia="KaiTi" w:cs="KaiTi"/>
          <w:spacing w:val="8"/>
        </w:rPr>
        <w:t>专家组。</w:t>
      </w:r>
      <w:r>
        <w:rPr>
          <w:spacing w:val="8"/>
        </w:rPr>
        <w:t>市指挥部成立灭火救援专家</w:t>
      </w:r>
      <w:r>
        <w:rPr>
          <w:spacing w:val="7"/>
        </w:rPr>
        <w:t>组，完善机制，参与、指导火灾事故应急处置</w:t>
      </w:r>
      <w:r>
        <w:rPr>
          <w:spacing w:val="-2"/>
        </w:rPr>
        <w:t>工作，为火灾事故应急处置决策提供技术支持。</w:t>
      </w:r>
    </w:p>
    <w:p>
      <w:pPr>
        <w:ind w:left="426"/>
        <w:spacing w:before="135" w:line="266" w:lineRule="exact"/>
        <w:rPr>
          <w:rFonts w:ascii="KaiTi" w:hAnsi="KaiTi" w:eastAsia="KaiTi" w:cs="KaiTi"/>
          <w:sz w:val="20"/>
          <w:szCs w:val="20"/>
        </w:rPr>
      </w:pPr>
      <w:r>
        <w:rPr>
          <w:rFonts w:ascii="Times New Roman" w:hAnsi="Times New Roman" w:eastAsia="Times New Roman" w:cs="Times New Roman"/>
          <w:sz w:val="20"/>
          <w:szCs w:val="20"/>
          <w:spacing w:val="5"/>
          <w:position w:val="1"/>
        </w:rPr>
        <w:t>3    </w:t>
      </w:r>
      <w:r>
        <w:rPr>
          <w:rFonts w:ascii="KaiTi" w:hAnsi="KaiTi" w:eastAsia="KaiTi" w:cs="KaiTi"/>
          <w:sz w:val="20"/>
          <w:szCs w:val="20"/>
          <w:spacing w:val="5"/>
          <w:position w:val="1"/>
        </w:rPr>
        <w:t>预防监测预警</w:t>
      </w:r>
    </w:p>
    <w:p>
      <w:pPr>
        <w:pStyle w:val="BodyText"/>
        <w:ind w:firstLine="426"/>
        <w:spacing w:before="120" w:line="350" w:lineRule="auto"/>
        <w:jc w:val="both"/>
        <w:rPr/>
      </w:pPr>
      <w:r>
        <w:rPr>
          <w:rFonts w:ascii="Times New Roman" w:hAnsi="Times New Roman" w:eastAsia="Times New Roman" w:cs="Times New Roman"/>
          <w:spacing w:val="1"/>
        </w:rPr>
        <w:t>3.</w:t>
      </w:r>
      <w:r>
        <w:rPr>
          <w:rFonts w:ascii="Times New Roman" w:hAnsi="Times New Roman" w:eastAsia="Times New Roman" w:cs="Times New Roman"/>
          <w:spacing w:val="-22"/>
        </w:rPr>
        <w:t xml:space="preserve"> </w:t>
      </w:r>
      <w:r>
        <w:rPr>
          <w:rFonts w:ascii="Times New Roman" w:hAnsi="Times New Roman" w:eastAsia="Times New Roman" w:cs="Times New Roman"/>
          <w:spacing w:val="1"/>
        </w:rPr>
        <w:t>1  </w:t>
      </w:r>
      <w:r>
        <w:rPr>
          <w:rFonts w:ascii="KaiTi" w:hAnsi="KaiTi" w:eastAsia="KaiTi" w:cs="KaiTi"/>
          <w:spacing w:val="1"/>
        </w:rPr>
        <w:t>预防。</w:t>
      </w:r>
      <w:r>
        <w:rPr>
          <w:spacing w:val="1"/>
        </w:rPr>
        <w:t>各级政府将包括消防安全布局、</w:t>
      </w:r>
      <w:r>
        <w:rPr>
          <w:spacing w:val="7"/>
        </w:rPr>
        <w:t>消防站、市政供水、消防通信、消防通道、消</w:t>
      </w:r>
      <w:r>
        <w:rPr>
          <w:spacing w:val="11"/>
        </w:rPr>
        <w:t>防装备等内容的消防规划纳入城市总体规划，</w:t>
      </w:r>
      <w:r>
        <w:rPr>
          <w:spacing w:val="7"/>
        </w:rPr>
        <w:t>并督促有关部门实施。公共消防设施、消防装</w:t>
      </w:r>
      <w:r>
        <w:rPr>
          <w:spacing w:val="1"/>
        </w:rPr>
        <w:t>备不足或不适应实际需要的，应当增建、改建、</w:t>
      </w:r>
      <w:r>
        <w:rPr>
          <w:spacing w:val="7"/>
        </w:rPr>
        <w:t>配置或进行技术改造，不断提高社会火灾防控</w:t>
      </w:r>
      <w:r>
        <w:rPr>
          <w:spacing w:val="5"/>
        </w:rPr>
        <w:t>能力。</w:t>
      </w:r>
    </w:p>
    <w:p>
      <w:pPr>
        <w:pStyle w:val="BodyText"/>
        <w:ind w:right="80" w:firstLine="421"/>
        <w:spacing w:before="2" w:line="351" w:lineRule="auto"/>
        <w:jc w:val="both"/>
        <w:rPr/>
      </w:pPr>
      <w:r>
        <w:rPr>
          <w:spacing w:val="6"/>
        </w:rPr>
        <w:t>各级消防部门依法加强对机关、团体、企</w:t>
      </w:r>
      <w:r>
        <w:rPr>
          <w:spacing w:val="7"/>
        </w:rPr>
        <w:t>业、事业单位遵守消防法律、法规的情况进行</w:t>
      </w:r>
      <w:r>
        <w:rPr>
          <w:spacing w:val="7"/>
        </w:rPr>
        <w:t>监督检查，定期检查消防安全重点单位，发现</w:t>
      </w:r>
      <w:r>
        <w:rPr>
          <w:spacing w:val="7"/>
        </w:rPr>
        <w:t>火灾隐患通知有关单位或个人采取措施，及时</w:t>
      </w:r>
      <w:r>
        <w:rPr>
          <w:spacing w:val="7"/>
        </w:rPr>
        <w:t>消除隐患；按照有关规定和要求，配备精良的</w:t>
      </w:r>
      <w:r>
        <w:rPr>
          <w:spacing w:val="7"/>
        </w:rPr>
        <w:t>灭火应急救援装备、物资，指导重点单位制定</w:t>
      </w:r>
      <w:r>
        <w:rPr>
          <w:spacing w:val="7"/>
        </w:rPr>
        <w:t>灭火应急救援预案，开展实战演练；督促各专</w:t>
      </w:r>
      <w:r>
        <w:rPr>
          <w:spacing w:val="15"/>
        </w:rPr>
        <w:t>业救援队伍加强执勤战备工作</w:t>
      </w:r>
      <w:r>
        <w:rPr>
          <w:spacing w:val="-39"/>
        </w:rPr>
        <w:t xml:space="preserve"> </w:t>
      </w:r>
      <w:r>
        <w:rPr>
          <w:spacing w:val="15"/>
        </w:rPr>
        <w:t>，搞好专业训</w:t>
      </w:r>
      <w:r>
        <w:rPr>
          <w:spacing w:val="8"/>
        </w:rPr>
        <w:t>练</w:t>
      </w:r>
      <w:r>
        <w:rPr>
          <w:spacing w:val="-44"/>
        </w:rPr>
        <w:t xml:space="preserve"> </w:t>
      </w:r>
      <w:r>
        <w:rPr>
          <w:spacing w:val="8"/>
        </w:rPr>
        <w:t>，强化战备意识</w:t>
      </w:r>
      <w:r>
        <w:rPr>
          <w:spacing w:val="-59"/>
        </w:rPr>
        <w:t xml:space="preserve"> </w:t>
      </w:r>
      <w:r>
        <w:rPr>
          <w:spacing w:val="8"/>
        </w:rPr>
        <w:t>，随时做好</w:t>
      </w:r>
      <w:r>
        <w:rPr>
          <w:rFonts w:ascii="Times New Roman" w:hAnsi="Times New Roman" w:eastAsia="Times New Roman" w:cs="Times New Roman"/>
          <w:spacing w:val="8"/>
        </w:rPr>
        <w:t>“</w:t>
      </w:r>
      <w:r>
        <w:rPr>
          <w:spacing w:val="8"/>
        </w:rPr>
        <w:t>灭大火、抢大</w:t>
      </w:r>
      <w:r>
        <w:rPr>
          <w:spacing w:val="8"/>
        </w:rPr>
        <w:t>险、救大灾</w:t>
      </w:r>
      <w:r>
        <w:rPr>
          <w:rFonts w:ascii="Times New Roman" w:hAnsi="Times New Roman" w:eastAsia="Times New Roman" w:cs="Times New Roman"/>
          <w:spacing w:val="8"/>
        </w:rPr>
        <w:t>”</w:t>
      </w:r>
      <w:r>
        <w:rPr>
          <w:spacing w:val="8"/>
        </w:rPr>
        <w:t>的准备。</w:t>
      </w:r>
    </w:p>
    <w:p>
      <w:pPr>
        <w:pStyle w:val="BodyText"/>
        <w:ind w:left="2" w:right="78" w:firstLine="423"/>
        <w:spacing w:line="284" w:lineRule="auto"/>
        <w:rPr/>
      </w:pPr>
      <w:r>
        <w:rPr>
          <w:rFonts w:ascii="Times New Roman" w:hAnsi="Times New Roman" w:eastAsia="Times New Roman" w:cs="Times New Roman"/>
          <w:spacing w:val="8"/>
        </w:rPr>
        <w:t>3.2  </w:t>
      </w:r>
      <w:r>
        <w:rPr>
          <w:rFonts w:ascii="KaiTi" w:hAnsi="KaiTi" w:eastAsia="KaiTi" w:cs="KaiTi"/>
          <w:spacing w:val="8"/>
        </w:rPr>
        <w:t>监测。</w:t>
      </w:r>
      <w:r>
        <w:rPr>
          <w:spacing w:val="8"/>
        </w:rPr>
        <w:t>各级公安部门和消防救援队伍</w:t>
      </w:r>
      <w:r>
        <w:rPr>
          <w:spacing w:val="7"/>
        </w:rPr>
        <w:t>加强通信指挥系统建设，充分利用语音、图像</w:t>
      </w:r>
    </w:p>
    <w:p>
      <w:pPr>
        <w:spacing w:line="284" w:lineRule="auto"/>
        <w:sectPr>
          <w:type w:val="continuous"/>
          <w:pgSz w:w="11906" w:h="16839"/>
          <w:pgMar w:top="1766" w:right="1509" w:bottom="1575" w:left="1579" w:header="1428" w:footer="1172" w:gutter="0"/>
          <w:cols w:equalWidth="0" w:num="2">
            <w:col w:w="4489" w:space="100"/>
            <w:col w:w="4228" w:space="0"/>
          </w:cols>
        </w:sectPr>
        <w:rPr/>
      </w:pPr>
    </w:p>
    <w:p>
      <w:pPr>
        <w:spacing w:before="57"/>
        <w:rPr/>
      </w:pPr>
      <w:r>
        <w:drawing>
          <wp:anchor distT="0" distB="0" distL="0" distR="0" simplePos="0" relativeHeight="253029376"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780" name="IM 1780"/>
            <wp:cNvGraphicFramePr/>
            <a:graphic>
              <a:graphicData uri="http://schemas.openxmlformats.org/drawingml/2006/picture">
                <pic:pic>
                  <pic:nvPicPr>
                    <pic:cNvPr id="1780" name="IM 1780"/>
                    <pic:cNvPicPr/>
                  </pic:nvPicPr>
                  <pic:blipFill>
                    <a:blip r:embed="rId892"/>
                    <a:stretch>
                      <a:fillRect/>
                    </a:stretch>
                  </pic:blipFill>
                  <pic:spPr>
                    <a:xfrm rot="0">
                      <a:off x="0" y="0"/>
                      <a:ext cx="5579745" cy="7620"/>
                    </a:xfrm>
                    <a:prstGeom prst="rect">
                      <a:avLst/>
                    </a:prstGeom>
                  </pic:spPr>
                </pic:pic>
              </a:graphicData>
            </a:graphic>
          </wp:anchor>
        </w:drawing>
      </w:r>
      <w:r/>
    </w:p>
    <w:p>
      <w:pPr>
        <w:sectPr>
          <w:headerReference w:type="default" r:id="rId890"/>
          <w:footerReference w:type="default" r:id="rId891"/>
          <w:pgSz w:w="11906" w:h="16839"/>
          <w:pgMar w:top="1772" w:right="1485" w:bottom="1562" w:left="1567" w:header="1428" w:footer="1172" w:gutter="0"/>
          <w:cols w:equalWidth="0" w:num="1">
            <w:col w:w="8854" w:space="0"/>
          </w:cols>
        </w:sectPr>
        <w:rPr/>
      </w:pPr>
    </w:p>
    <w:p>
      <w:pPr>
        <w:pStyle w:val="BodyText"/>
        <w:ind w:left="25" w:right="309" w:hanging="1"/>
        <w:spacing w:before="41" w:line="350" w:lineRule="auto"/>
        <w:jc w:val="both"/>
        <w:rPr/>
      </w:pPr>
      <w:r>
        <w:rPr>
          <w:spacing w:val="7"/>
        </w:rPr>
        <w:t>综合管理平台，实现市、县级政府和公安部门</w:t>
      </w:r>
      <w:r>
        <w:rPr>
          <w:spacing w:val="15"/>
        </w:rPr>
        <w:t>音视频互联互通</w:t>
      </w:r>
      <w:r>
        <w:rPr>
          <w:spacing w:val="-41"/>
        </w:rPr>
        <w:t xml:space="preserve"> </w:t>
      </w:r>
      <w:r>
        <w:rPr>
          <w:spacing w:val="15"/>
        </w:rPr>
        <w:t>，及时监测接收火灾事故信</w:t>
      </w:r>
      <w:r>
        <w:rPr>
          <w:spacing w:val="7"/>
        </w:rPr>
        <w:t>息，随时调用城市治安防控或道路交通等社会</w:t>
      </w:r>
      <w:r>
        <w:rPr>
          <w:spacing w:val="7"/>
        </w:rPr>
        <w:t>图像监控资源。任何个人发现火灾隐患或火灾</w:t>
      </w:r>
      <w:r>
        <w:rPr>
          <w:spacing w:val="8"/>
        </w:rPr>
        <w:t>时，都应及时通过各种途径向消防机构报警。</w:t>
      </w:r>
    </w:p>
    <w:p>
      <w:pPr>
        <w:pStyle w:val="BodyText"/>
        <w:ind w:left="27" w:right="326" w:firstLine="422"/>
        <w:spacing w:before="1" w:line="351" w:lineRule="auto"/>
        <w:jc w:val="both"/>
        <w:rPr/>
      </w:pPr>
      <w:r>
        <w:rPr>
          <w:rFonts w:ascii="Times New Roman" w:hAnsi="Times New Roman" w:eastAsia="Times New Roman" w:cs="Times New Roman"/>
          <w:spacing w:val="8"/>
        </w:rPr>
        <w:t>3.3  </w:t>
      </w:r>
      <w:r>
        <w:rPr>
          <w:rFonts w:ascii="KaiTi" w:hAnsi="KaiTi" w:eastAsia="KaiTi" w:cs="KaiTi"/>
          <w:spacing w:val="8"/>
        </w:rPr>
        <w:t>预警。</w:t>
      </w:r>
      <w:r>
        <w:rPr>
          <w:spacing w:val="8"/>
        </w:rPr>
        <w:t>按严重程度和影响范围，分为</w:t>
      </w:r>
      <w:r>
        <w:rPr>
          <w:spacing w:val="1"/>
        </w:rPr>
        <w:t>特别重大火灾事故 (</w:t>
      </w:r>
      <w:r>
        <w:rPr>
          <w:spacing w:val="-36"/>
        </w:rPr>
        <w:t xml:space="preserve"> </w:t>
      </w:r>
      <w:r>
        <w:rPr>
          <w:rFonts w:ascii="Times New Roman" w:hAnsi="Times New Roman" w:eastAsia="Times New Roman" w:cs="Times New Roman"/>
          <w:spacing w:val="1"/>
        </w:rPr>
        <w:t>Ⅰ</w:t>
      </w:r>
      <w:r>
        <w:rPr>
          <w:spacing w:val="1"/>
        </w:rPr>
        <w:t>级）、重大火灾事故 (</w:t>
      </w:r>
      <w:r>
        <w:rPr>
          <w:spacing w:val="-37"/>
        </w:rPr>
        <w:t xml:space="preserve"> </w:t>
      </w:r>
      <w:r>
        <w:rPr>
          <w:rFonts w:ascii="Times New Roman" w:hAnsi="Times New Roman" w:eastAsia="Times New Roman" w:cs="Times New Roman"/>
          <w:spacing w:val="1"/>
        </w:rPr>
        <w:t>Ⅱ</w:t>
      </w:r>
      <w:r>
        <w:rPr>
          <w:spacing w:val="4"/>
        </w:rPr>
        <w:t>级）、较大火灾事故 (</w:t>
      </w:r>
      <w:r>
        <w:rPr>
          <w:spacing w:val="-33"/>
        </w:rPr>
        <w:t xml:space="preserve"> </w:t>
      </w:r>
      <w:r>
        <w:rPr>
          <w:rFonts w:ascii="Times New Roman" w:hAnsi="Times New Roman" w:eastAsia="Times New Roman" w:cs="Times New Roman"/>
          <w:spacing w:val="4"/>
        </w:rPr>
        <w:t>Ⅲ</w:t>
      </w:r>
      <w:r>
        <w:rPr>
          <w:spacing w:val="4"/>
        </w:rPr>
        <w:t>级）和一般火灾事故</w:t>
      </w:r>
      <w:r>
        <w:rPr>
          <w:spacing w:val="12"/>
        </w:rPr>
        <w:t>(</w:t>
      </w:r>
      <w:r>
        <w:rPr>
          <w:spacing w:val="-38"/>
        </w:rPr>
        <w:t xml:space="preserve"> </w:t>
      </w:r>
      <w:r>
        <w:rPr>
          <w:rFonts w:ascii="Times New Roman" w:hAnsi="Times New Roman" w:eastAsia="Times New Roman" w:cs="Times New Roman"/>
          <w:spacing w:val="12"/>
        </w:rPr>
        <w:t>Ⅳ</w:t>
      </w:r>
      <w:r>
        <w:rPr>
          <w:spacing w:val="12"/>
        </w:rPr>
        <w:t>级）四级预警。</w:t>
      </w:r>
    </w:p>
    <w:p>
      <w:pPr>
        <w:pStyle w:val="BodyText"/>
        <w:ind w:left="24" w:right="248" w:firstLine="428"/>
        <w:spacing w:before="4" w:line="349" w:lineRule="auto"/>
        <w:jc w:val="both"/>
        <w:rPr/>
      </w:pPr>
      <w:r>
        <w:rPr>
          <w:spacing w:val="6"/>
        </w:rPr>
        <w:t>消防救援队伍设立调度指挥中心、战备值</w:t>
      </w:r>
      <w:r>
        <w:rPr>
          <w:spacing w:val="9"/>
        </w:rPr>
        <w:t>班室</w:t>
      </w:r>
      <w:r>
        <w:rPr>
          <w:spacing w:val="-53"/>
        </w:rPr>
        <w:t xml:space="preserve"> </w:t>
      </w:r>
      <w:r>
        <w:rPr>
          <w:spacing w:val="9"/>
        </w:rPr>
        <w:t>，实行专人</w:t>
      </w:r>
      <w:r>
        <w:rPr>
          <w:spacing w:val="-40"/>
        </w:rPr>
        <w:t xml:space="preserve"> </w:t>
      </w:r>
      <w:r>
        <w:rPr>
          <w:rFonts w:ascii="Times New Roman" w:hAnsi="Times New Roman" w:eastAsia="Times New Roman" w:cs="Times New Roman"/>
          <w:spacing w:val="9"/>
        </w:rPr>
        <w:t>24 </w:t>
      </w:r>
      <w:r>
        <w:rPr>
          <w:spacing w:val="9"/>
        </w:rPr>
        <w:t>小时值班。指挥中心接到</w:t>
      </w:r>
      <w:r>
        <w:rPr>
          <w:spacing w:val="1"/>
        </w:rPr>
        <w:t>火灾事故报警后，应迅速了解起火时间、单位、</w:t>
      </w:r>
      <w:r>
        <w:rPr>
          <w:spacing w:val="1"/>
        </w:rPr>
        <w:t>地点和着火物质、范围，以及人员伤亡等情况，</w:t>
      </w:r>
      <w:r>
        <w:rPr>
          <w:spacing w:val="7"/>
        </w:rPr>
        <w:t>及时调集相关力量开展灭火应急救援，并根据</w:t>
      </w:r>
      <w:r>
        <w:rPr>
          <w:spacing w:val="7"/>
        </w:rPr>
        <w:t>灾害事故级别和相关要求向本级政府、应急管</w:t>
      </w:r>
      <w:r>
        <w:rPr>
          <w:spacing w:val="8"/>
        </w:rPr>
        <w:t>理局和上一级消防机构报告。</w:t>
      </w:r>
    </w:p>
    <w:p>
      <w:pPr>
        <w:ind w:left="446"/>
        <w:spacing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4</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5"/>
        </w:rPr>
        <w:t>应急响应</w:t>
      </w:r>
    </w:p>
    <w:p>
      <w:pPr>
        <w:ind w:left="445"/>
        <w:spacing w:before="76" w:line="267" w:lineRule="exact"/>
        <w:rPr>
          <w:rFonts w:ascii="KaiTi" w:hAnsi="KaiTi" w:eastAsia="KaiTi" w:cs="KaiTi"/>
          <w:sz w:val="20"/>
          <w:szCs w:val="20"/>
        </w:rPr>
      </w:pPr>
      <w:r>
        <w:rPr>
          <w:rFonts w:ascii="Times New Roman" w:hAnsi="Times New Roman" w:eastAsia="Times New Roman" w:cs="Times New Roman"/>
          <w:sz w:val="20"/>
          <w:szCs w:val="20"/>
          <w:spacing w:val="2"/>
          <w:position w:val="1"/>
        </w:rPr>
        <w:t>4.</w:t>
      </w:r>
      <w:r>
        <w:rPr>
          <w:rFonts w:ascii="Times New Roman" w:hAnsi="Times New Roman" w:eastAsia="Times New Roman" w:cs="Times New Roman"/>
          <w:sz w:val="20"/>
          <w:szCs w:val="20"/>
          <w:spacing w:val="-20"/>
          <w:position w:val="1"/>
        </w:rPr>
        <w:t xml:space="preserve"> </w:t>
      </w:r>
      <w:r>
        <w:rPr>
          <w:rFonts w:ascii="Times New Roman" w:hAnsi="Times New Roman" w:eastAsia="Times New Roman" w:cs="Times New Roman"/>
          <w:sz w:val="20"/>
          <w:szCs w:val="20"/>
          <w:spacing w:val="2"/>
          <w:position w:val="1"/>
        </w:rPr>
        <w:t>1  </w:t>
      </w:r>
      <w:r>
        <w:rPr>
          <w:rFonts w:ascii="KaiTi" w:hAnsi="KaiTi" w:eastAsia="KaiTi" w:cs="KaiTi"/>
          <w:sz w:val="20"/>
          <w:szCs w:val="20"/>
          <w:spacing w:val="2"/>
          <w:position w:val="1"/>
        </w:rPr>
        <w:t>信息报告。</w:t>
      </w:r>
    </w:p>
    <w:p>
      <w:pPr>
        <w:pStyle w:val="BodyText"/>
        <w:ind w:left="25" w:right="327" w:firstLine="420"/>
        <w:spacing w:before="117" w:line="329" w:lineRule="auto"/>
        <w:rPr/>
      </w:pPr>
      <w:r>
        <w:rPr>
          <w:rFonts w:ascii="Times New Roman" w:hAnsi="Times New Roman" w:eastAsia="Times New Roman" w:cs="Times New Roman"/>
          <w:spacing w:val="2"/>
        </w:rPr>
        <w:t>4.</w:t>
      </w:r>
      <w:r>
        <w:rPr>
          <w:rFonts w:ascii="Times New Roman" w:hAnsi="Times New Roman" w:eastAsia="Times New Roman" w:cs="Times New Roman"/>
          <w:spacing w:val="-17"/>
        </w:rPr>
        <w:t xml:space="preserve"> </w:t>
      </w:r>
      <w:r>
        <w:rPr>
          <w:rFonts w:ascii="Times New Roman" w:hAnsi="Times New Roman" w:eastAsia="Times New Roman" w:cs="Times New Roman"/>
          <w:spacing w:val="2"/>
        </w:rPr>
        <w:t>1.1 </w:t>
      </w:r>
      <w:r>
        <w:rPr>
          <w:spacing w:val="2"/>
        </w:rPr>
        <w:t>消防机构接到报警后，按照火灾分级</w:t>
      </w:r>
      <w:r>
        <w:rPr>
          <w:spacing w:val="7"/>
        </w:rPr>
        <w:t>标准和相关报告要求，及时向事发地政府、应</w:t>
      </w:r>
      <w:r>
        <w:rPr>
          <w:spacing w:val="7"/>
        </w:rPr>
        <w:t>急管理部门及其上级主管部门报告。事发地各</w:t>
      </w:r>
      <w:r>
        <w:rPr>
          <w:spacing w:val="7"/>
        </w:rPr>
        <w:t>级政府及其主管部门应及时汇总信息，按照突</w:t>
      </w:r>
      <w:r>
        <w:rPr>
          <w:spacing w:val="7"/>
        </w:rPr>
        <w:t>发事件有关信息报告要求，迅速报告上级政府</w:t>
      </w:r>
      <w:r>
        <w:rPr>
          <w:spacing w:val="8"/>
        </w:rPr>
        <w:t>或应急管理部门。</w:t>
      </w:r>
    </w:p>
    <w:p>
      <w:pPr>
        <w:pStyle w:val="BodyText"/>
        <w:ind w:left="25" w:right="327" w:firstLine="420"/>
        <w:spacing w:before="140" w:line="342" w:lineRule="auto"/>
        <w:rPr/>
      </w:pPr>
      <w:r>
        <w:rPr>
          <w:rFonts w:ascii="Times New Roman" w:hAnsi="Times New Roman" w:eastAsia="Times New Roman" w:cs="Times New Roman"/>
          <w:spacing w:val="2"/>
        </w:rPr>
        <w:t>4.</w:t>
      </w:r>
      <w:r>
        <w:rPr>
          <w:rFonts w:ascii="Times New Roman" w:hAnsi="Times New Roman" w:eastAsia="Times New Roman" w:cs="Times New Roman"/>
          <w:spacing w:val="-17"/>
        </w:rPr>
        <w:t xml:space="preserve"> </w:t>
      </w:r>
      <w:r>
        <w:rPr>
          <w:rFonts w:ascii="Times New Roman" w:hAnsi="Times New Roman" w:eastAsia="Times New Roman" w:cs="Times New Roman"/>
          <w:spacing w:val="2"/>
        </w:rPr>
        <w:t>1.2 </w:t>
      </w:r>
      <w:r>
        <w:rPr>
          <w:spacing w:val="2"/>
        </w:rPr>
        <w:t>按照《固原市人民政府办公室关于建</w:t>
      </w:r>
      <w:r>
        <w:rPr>
          <w:spacing w:val="18"/>
        </w:rPr>
        <w:t>立突发事件应急处置工作联络员报告制度的</w:t>
      </w:r>
      <w:r>
        <w:rPr>
          <w:spacing w:val="2"/>
        </w:rPr>
        <w:t>通知》（</w:t>
      </w:r>
      <w:r>
        <w:rPr>
          <w:spacing w:val="-47"/>
        </w:rPr>
        <w:t xml:space="preserve"> </w:t>
      </w:r>
      <w:r>
        <w:rPr>
          <w:spacing w:val="2"/>
        </w:rPr>
        <w:t>固政办发〔</w:t>
      </w:r>
      <w:r>
        <w:rPr>
          <w:rFonts w:ascii="Times New Roman" w:hAnsi="Times New Roman" w:eastAsia="Times New Roman" w:cs="Times New Roman"/>
          <w:spacing w:val="2"/>
        </w:rPr>
        <w:t>2016</w:t>
      </w:r>
      <w:r>
        <w:rPr>
          <w:spacing w:val="2"/>
        </w:rPr>
        <w:t>〕</w:t>
      </w:r>
      <w:r>
        <w:rPr>
          <w:rFonts w:ascii="Times New Roman" w:hAnsi="Times New Roman" w:eastAsia="Times New Roman" w:cs="Times New Roman"/>
          <w:spacing w:val="2"/>
        </w:rPr>
        <w:t>87 </w:t>
      </w:r>
      <w:r>
        <w:rPr>
          <w:spacing w:val="2"/>
        </w:rPr>
        <w:t>号）要</w:t>
      </w:r>
      <w:r>
        <w:rPr>
          <w:spacing w:val="1"/>
        </w:rPr>
        <w:t>求，事件</w:t>
      </w:r>
      <w:r>
        <w:rPr>
          <w:spacing w:val="4"/>
        </w:rPr>
        <w:t>发生后，县（</w:t>
      </w:r>
      <w:r>
        <w:rPr>
          <w:spacing w:val="-35"/>
        </w:rPr>
        <w:t xml:space="preserve"> </w:t>
      </w:r>
      <w:r>
        <w:rPr>
          <w:spacing w:val="4"/>
        </w:rPr>
        <w:t>区）政府和市指挥部各成员单位</w:t>
      </w:r>
      <w:r>
        <w:rPr>
          <w:spacing w:val="7"/>
        </w:rPr>
        <w:t>在向市政府首报突发事件信息的同时，要按照</w:t>
      </w:r>
      <w:r>
        <w:rPr>
          <w:spacing w:val="7"/>
        </w:rPr>
        <w:t>规定的联络员范围（分管领导）报告联络员姓</w:t>
      </w:r>
      <w:r>
        <w:rPr>
          <w:spacing w:val="7"/>
        </w:rPr>
        <w:t>名、职务、联系方式、出发时间、到达现场时</w:t>
      </w:r>
      <w:r>
        <w:rPr>
          <w:spacing w:val="7"/>
        </w:rPr>
        <w:t>间或拟到达现场时间。如在应急处置过程中更</w:t>
      </w:r>
      <w:r>
        <w:rPr>
          <w:spacing w:val="8"/>
        </w:rPr>
        <w:t>换联络员，要及时想办公室报备。</w:t>
      </w:r>
    </w:p>
    <w:p>
      <w:pPr>
        <w:ind w:left="445"/>
        <w:spacing w:before="139" w:line="268" w:lineRule="exact"/>
        <w:rPr>
          <w:rFonts w:ascii="KaiTi" w:hAnsi="KaiTi" w:eastAsia="KaiTi" w:cs="KaiTi"/>
          <w:sz w:val="20"/>
          <w:szCs w:val="20"/>
        </w:rPr>
      </w:pPr>
      <w:r>
        <w:rPr>
          <w:rFonts w:ascii="Times New Roman" w:hAnsi="Times New Roman" w:eastAsia="Times New Roman" w:cs="Times New Roman"/>
          <w:sz w:val="20"/>
          <w:szCs w:val="20"/>
          <w:spacing w:val="4"/>
          <w:position w:val="1"/>
        </w:rPr>
        <w:t>4.2</w:t>
      </w:r>
      <w:r>
        <w:rPr>
          <w:rFonts w:ascii="Times New Roman" w:hAnsi="Times New Roman" w:eastAsia="Times New Roman" w:cs="Times New Roman"/>
          <w:sz w:val="20"/>
          <w:szCs w:val="20"/>
          <w:spacing w:val="9"/>
          <w:position w:val="1"/>
        </w:rPr>
        <w:t xml:space="preserve">  </w:t>
      </w:r>
      <w:r>
        <w:rPr>
          <w:rFonts w:ascii="KaiTi" w:hAnsi="KaiTi" w:eastAsia="KaiTi" w:cs="KaiTi"/>
          <w:sz w:val="20"/>
          <w:szCs w:val="20"/>
          <w:spacing w:val="4"/>
          <w:position w:val="1"/>
        </w:rPr>
        <w:t>分级响应。</w:t>
      </w:r>
    </w:p>
    <w:p>
      <w:pPr>
        <w:spacing w:line="14" w:lineRule="auto"/>
        <w:rPr>
          <w:rFonts w:ascii="Arial"/>
          <w:sz w:val="2"/>
        </w:rPr>
      </w:pPr>
      <w:r>
        <w:rPr>
          <w:rFonts w:ascii="Arial" w:hAnsi="Arial" w:eastAsia="Arial" w:cs="Arial"/>
          <w:sz w:val="2"/>
          <w:szCs w:val="2"/>
        </w:rPr>
        <w:br w:type="column"/>
      </w:r>
    </w:p>
    <w:p>
      <w:pPr>
        <w:pStyle w:val="BodyText"/>
        <w:ind w:left="2" w:right="105" w:firstLine="418"/>
        <w:spacing w:before="43" w:line="329" w:lineRule="auto"/>
        <w:rPr/>
      </w:pPr>
      <w:r>
        <w:rPr>
          <w:rFonts w:ascii="Times New Roman" w:hAnsi="Times New Roman" w:eastAsia="Times New Roman" w:cs="Times New Roman"/>
          <w:spacing w:val="13"/>
        </w:rPr>
        <w:t>4.2.1 </w:t>
      </w:r>
      <w:r>
        <w:rPr>
          <w:spacing w:val="13"/>
        </w:rPr>
        <w:t>火灾事故应急响应坚持属地为主的</w:t>
      </w:r>
      <w:r>
        <w:rPr>
          <w:spacing w:val="7"/>
        </w:rPr>
        <w:t>原则。事发地政府按照有关规定全面负责本行</w:t>
      </w:r>
      <w:r>
        <w:rPr>
          <w:spacing w:val="7"/>
        </w:rPr>
        <w:t>政区域火灾事故的应急处置工作，市应急管理</w:t>
      </w:r>
      <w:r>
        <w:rPr>
          <w:spacing w:val="7"/>
        </w:rPr>
        <w:t>局、消防救援支队及有关部门根据情况给予协</w:t>
      </w:r>
      <w:r>
        <w:rPr>
          <w:spacing w:val="6"/>
        </w:rPr>
        <w:t>调支援。</w:t>
      </w:r>
    </w:p>
    <w:p>
      <w:pPr>
        <w:pStyle w:val="BodyText"/>
        <w:ind w:left="3" w:right="85" w:firstLine="417"/>
        <w:spacing w:before="144" w:line="291" w:lineRule="auto"/>
        <w:rPr/>
      </w:pPr>
      <w:r>
        <w:rPr>
          <w:rFonts w:ascii="Times New Roman" w:hAnsi="Times New Roman" w:eastAsia="Times New Roman" w:cs="Times New Roman"/>
          <w:spacing w:val="7"/>
        </w:rPr>
        <w:t>4.2.2 </w:t>
      </w:r>
      <w:r>
        <w:rPr>
          <w:spacing w:val="7"/>
        </w:rPr>
        <w:t>应对一般 (</w:t>
      </w:r>
      <w:r>
        <w:rPr>
          <w:spacing w:val="-29"/>
        </w:rPr>
        <w:t xml:space="preserve"> </w:t>
      </w:r>
      <w:r>
        <w:rPr>
          <w:rFonts w:ascii="Times New Roman" w:hAnsi="Times New Roman" w:eastAsia="Times New Roman" w:cs="Times New Roman"/>
          <w:spacing w:val="7"/>
        </w:rPr>
        <w:t>Ⅳ</w:t>
      </w:r>
      <w:r>
        <w:rPr>
          <w:spacing w:val="7"/>
        </w:rPr>
        <w:t>级）火灾事故</w:t>
      </w:r>
      <w:r>
        <w:rPr>
          <w:spacing w:val="-56"/>
        </w:rPr>
        <w:t xml:space="preserve"> </w:t>
      </w:r>
      <w:r>
        <w:rPr>
          <w:spacing w:val="7"/>
        </w:rPr>
        <w:t>，</w:t>
      </w:r>
      <w:r>
        <w:rPr>
          <w:spacing w:val="6"/>
        </w:rPr>
        <w:t>启动</w:t>
      </w:r>
      <w:r>
        <w:rPr>
          <w:spacing w:val="8"/>
        </w:rPr>
        <w:t>县级火灾事故应急预案，市级预案视情启动。</w:t>
      </w:r>
    </w:p>
    <w:p>
      <w:pPr>
        <w:pStyle w:val="BodyText"/>
        <w:ind w:left="3" w:right="102" w:firstLine="417"/>
        <w:spacing w:before="142" w:line="312" w:lineRule="auto"/>
        <w:rPr/>
      </w:pPr>
      <w:r>
        <w:rPr>
          <w:rFonts w:ascii="Times New Roman" w:hAnsi="Times New Roman" w:eastAsia="Times New Roman" w:cs="Times New Roman"/>
          <w:spacing w:val="5"/>
        </w:rPr>
        <w:t>4.2.3 </w:t>
      </w:r>
      <w:r>
        <w:rPr>
          <w:spacing w:val="5"/>
        </w:rPr>
        <w:t>应对较大(</w:t>
      </w:r>
      <w:r>
        <w:rPr>
          <w:spacing w:val="-25"/>
        </w:rPr>
        <w:t xml:space="preserve"> </w:t>
      </w:r>
      <w:r>
        <w:rPr>
          <w:rFonts w:ascii="Times New Roman" w:hAnsi="Times New Roman" w:eastAsia="Times New Roman" w:cs="Times New Roman"/>
          <w:spacing w:val="5"/>
        </w:rPr>
        <w:t>Ⅲ</w:t>
      </w:r>
      <w:r>
        <w:rPr>
          <w:spacing w:val="5"/>
        </w:rPr>
        <w:t>级）火灾事故，启动市</w:t>
      </w:r>
      <w:r>
        <w:rPr>
          <w:spacing w:val="7"/>
        </w:rPr>
        <w:t>级火灾事故应急预案，有关县级火灾事故应急</w:t>
      </w:r>
      <w:r>
        <w:rPr>
          <w:spacing w:val="8"/>
        </w:rPr>
        <w:t>预案必须启动，本预案视情启动。</w:t>
      </w:r>
    </w:p>
    <w:p>
      <w:pPr>
        <w:pStyle w:val="BodyText"/>
        <w:ind w:firstLine="420"/>
        <w:spacing w:before="139" w:line="342" w:lineRule="auto"/>
        <w:rPr/>
      </w:pPr>
      <w:r>
        <w:rPr>
          <w:rFonts w:ascii="Times New Roman" w:hAnsi="Times New Roman" w:eastAsia="Times New Roman" w:cs="Times New Roman"/>
          <w:spacing w:val="2"/>
        </w:rPr>
        <w:t>4.2.4 </w:t>
      </w:r>
      <w:r>
        <w:rPr>
          <w:spacing w:val="2"/>
        </w:rPr>
        <w:t>应对重大 (</w:t>
      </w:r>
      <w:r>
        <w:rPr>
          <w:spacing w:val="-30"/>
        </w:rPr>
        <w:t xml:space="preserve"> </w:t>
      </w:r>
      <w:r>
        <w:rPr>
          <w:rFonts w:ascii="Times New Roman" w:hAnsi="Times New Roman" w:eastAsia="Times New Roman" w:cs="Times New Roman"/>
          <w:spacing w:val="2"/>
        </w:rPr>
        <w:t>Ⅱ</w:t>
      </w:r>
      <w:r>
        <w:rPr>
          <w:spacing w:val="2"/>
        </w:rPr>
        <w:t>级）、特别重大 (</w:t>
      </w:r>
      <w:r>
        <w:rPr>
          <w:spacing w:val="-36"/>
        </w:rPr>
        <w:t xml:space="preserve"> </w:t>
      </w:r>
      <w:r>
        <w:rPr>
          <w:rFonts w:ascii="Times New Roman" w:hAnsi="Times New Roman" w:eastAsia="Times New Roman" w:cs="Times New Roman"/>
          <w:spacing w:val="2"/>
        </w:rPr>
        <w:t>Ⅰ</w:t>
      </w:r>
      <w:r>
        <w:rPr>
          <w:spacing w:val="2"/>
        </w:rPr>
        <w:t>级）</w:t>
      </w:r>
      <w:r>
        <w:rPr>
          <w:spacing w:val="7"/>
        </w:rPr>
        <w:t>火灾事故，或涉及跨超出事发地政府应急处置</w:t>
      </w:r>
      <w:r>
        <w:rPr>
          <w:spacing w:val="7"/>
        </w:rPr>
        <w:t>能力，需要联合相关部门共同实施救援和处置</w:t>
      </w:r>
      <w:r>
        <w:rPr>
          <w:spacing w:val="7"/>
        </w:rPr>
        <w:t>的较大火灾事故，启动本预案，有关市、县级</w:t>
      </w:r>
      <w:r>
        <w:rPr>
          <w:spacing w:val="7"/>
        </w:rPr>
        <w:t>火灾事故应急预案必须启动。重大、特别重大</w:t>
      </w:r>
      <w:r>
        <w:rPr>
          <w:spacing w:val="7"/>
        </w:rPr>
        <w:t>火灾事故发生后，市区指挥部迅速协调各方力</w:t>
      </w:r>
      <w:r>
        <w:rPr>
          <w:spacing w:val="7"/>
        </w:rPr>
        <w:t>量全力参与应急处置，依靠本市力量难以有效</w:t>
      </w:r>
      <w:r>
        <w:rPr>
          <w:spacing w:val="7"/>
        </w:rPr>
        <w:t>处置时，及时向自治区请求援助并提请自治区</w:t>
      </w:r>
      <w:r>
        <w:rPr>
          <w:spacing w:val="7"/>
        </w:rPr>
        <w:t>启动应急预案。</w:t>
      </w:r>
    </w:p>
    <w:p>
      <w:pPr>
        <w:ind w:left="420"/>
        <w:spacing w:before="143" w:line="268" w:lineRule="exact"/>
        <w:rPr>
          <w:rFonts w:ascii="KaiTi" w:hAnsi="KaiTi" w:eastAsia="KaiTi" w:cs="KaiTi"/>
          <w:sz w:val="20"/>
          <w:szCs w:val="20"/>
        </w:rPr>
      </w:pPr>
      <w:r>
        <w:rPr>
          <w:rFonts w:ascii="Times New Roman" w:hAnsi="Times New Roman" w:eastAsia="Times New Roman" w:cs="Times New Roman"/>
          <w:sz w:val="20"/>
          <w:szCs w:val="20"/>
          <w:spacing w:val="5"/>
          <w:position w:val="1"/>
        </w:rPr>
        <w:t>4.3  </w:t>
      </w:r>
      <w:r>
        <w:rPr>
          <w:rFonts w:ascii="KaiTi" w:hAnsi="KaiTi" w:eastAsia="KaiTi" w:cs="KaiTi"/>
          <w:sz w:val="20"/>
          <w:szCs w:val="20"/>
          <w:spacing w:val="5"/>
          <w:position w:val="1"/>
        </w:rPr>
        <w:t>响应行动。</w:t>
      </w:r>
    </w:p>
    <w:p>
      <w:pPr>
        <w:pStyle w:val="BodyText"/>
        <w:ind w:left="1" w:right="102" w:firstLine="419"/>
        <w:spacing w:before="123" w:line="322" w:lineRule="auto"/>
        <w:rPr/>
      </w:pPr>
      <w:r>
        <w:rPr>
          <w:rFonts w:ascii="Times New Roman" w:hAnsi="Times New Roman" w:eastAsia="Times New Roman" w:cs="Times New Roman"/>
          <w:spacing w:val="3"/>
        </w:rPr>
        <w:t>4.3.1 </w:t>
      </w:r>
      <w:r>
        <w:rPr>
          <w:spacing w:val="3"/>
        </w:rPr>
        <w:t>先期处置。发生火灾的单位或火灾发</w:t>
      </w:r>
      <w:r>
        <w:rPr>
          <w:spacing w:val="7"/>
        </w:rPr>
        <w:t>生地应急救援力量应立即进行先期处置，控制</w:t>
      </w:r>
      <w:r>
        <w:rPr>
          <w:spacing w:val="7"/>
        </w:rPr>
        <w:t>火灾发展态势，同时报告市县区或市县区以上</w:t>
      </w:r>
      <w:r>
        <w:rPr>
          <w:spacing w:val="8"/>
        </w:rPr>
        <w:t>灭火救援指挥部请求增援。</w:t>
      </w:r>
    </w:p>
    <w:p>
      <w:pPr>
        <w:pStyle w:val="BodyText"/>
        <w:ind w:left="420"/>
        <w:spacing w:before="149" w:line="218" w:lineRule="auto"/>
        <w:rPr/>
      </w:pPr>
      <w:r>
        <w:rPr>
          <w:rFonts w:ascii="Times New Roman" w:hAnsi="Times New Roman" w:eastAsia="Times New Roman" w:cs="Times New Roman"/>
          <w:spacing w:val="4"/>
        </w:rPr>
        <w:t>4.3.2 </w:t>
      </w:r>
      <w:r>
        <w:rPr>
          <w:spacing w:val="4"/>
        </w:rPr>
        <w:t>处置指挥。</w:t>
      </w:r>
    </w:p>
    <w:p>
      <w:pPr>
        <w:pStyle w:val="BodyText"/>
        <w:ind w:left="3" w:right="105" w:firstLine="409"/>
        <w:spacing w:before="146" w:line="311" w:lineRule="auto"/>
        <w:rPr/>
      </w:pPr>
      <w:r>
        <w:rPr>
          <w:spacing w:val="8"/>
        </w:rPr>
        <w:t>（</w:t>
      </w:r>
      <w:r>
        <w:rPr>
          <w:spacing w:val="-43"/>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8"/>
        </w:rPr>
        <w:t xml:space="preserve"> </w:t>
      </w:r>
      <w:r>
        <w:rPr>
          <w:spacing w:val="8"/>
        </w:rPr>
        <w:t>）各级灭火救援指挥部接到报警后，</w:t>
      </w:r>
      <w:r>
        <w:rPr>
          <w:spacing w:val="7"/>
        </w:rPr>
        <w:t>根据火灾事故级别启动相应的应急预案，设立</w:t>
      </w:r>
      <w:r>
        <w:rPr>
          <w:spacing w:val="7"/>
        </w:rPr>
        <w:t>现场指挥部。</w:t>
      </w:r>
    </w:p>
    <w:p>
      <w:pPr>
        <w:pStyle w:val="BodyText"/>
        <w:ind w:left="1" w:right="85" w:firstLine="411"/>
        <w:spacing w:before="143" w:line="329"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）各级灭火救援指挥部根据火灾事故</w:t>
      </w:r>
      <w:r>
        <w:rPr>
          <w:spacing w:val="7"/>
        </w:rPr>
        <w:t>级别指挥调集所属力量参加灭火救援，按照指</w:t>
      </w:r>
      <w:r>
        <w:rPr>
          <w:spacing w:val="7"/>
        </w:rPr>
        <w:t>挥权限分别调集辖区内的消防救援队伍、专职</w:t>
      </w:r>
      <w:r>
        <w:rPr>
          <w:spacing w:val="7"/>
        </w:rPr>
        <w:t>消防队、志愿消防队进行灭火救援。各成员单</w:t>
      </w:r>
      <w:r>
        <w:rPr>
          <w:spacing w:val="8"/>
        </w:rPr>
        <w:t>位启动相应的行动方案，积极参与灭火救援。</w:t>
      </w:r>
      <w:r>
        <w:rPr>
          <w:spacing w:val="7"/>
        </w:rPr>
        <w:t>上级指挥部到场前，增援力量接受辖区指挥部</w:t>
      </w:r>
    </w:p>
    <w:p>
      <w:pPr>
        <w:spacing w:line="329" w:lineRule="auto"/>
        <w:sectPr>
          <w:type w:val="continuous"/>
          <w:pgSz w:w="11906" w:h="16839"/>
          <w:pgMar w:top="1772" w:right="1485" w:bottom="1562" w:left="1567" w:header="1428" w:footer="1172" w:gutter="0"/>
          <w:cols w:equalWidth="0" w:num="2">
            <w:col w:w="4502" w:space="100"/>
            <w:col w:w="4253" w:space="0"/>
          </w:cols>
        </w:sectPr>
        <w:rPr/>
      </w:pPr>
    </w:p>
    <w:p>
      <w:pPr>
        <w:spacing w:line="137" w:lineRule="exact"/>
        <w:rPr/>
      </w:pPr>
      <w:r>
        <w:drawing>
          <wp:anchor distT="0" distB="0" distL="0" distR="0" simplePos="0" relativeHeight="25304064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784" name="IM 1784"/>
            <wp:cNvGraphicFramePr/>
            <a:graphic>
              <a:graphicData uri="http://schemas.openxmlformats.org/drawingml/2006/picture">
                <pic:pic>
                  <pic:nvPicPr>
                    <pic:cNvPr id="1784" name="IM 1784"/>
                    <pic:cNvPicPr/>
                  </pic:nvPicPr>
                  <pic:blipFill>
                    <a:blip r:embed="rId894"/>
                    <a:stretch>
                      <a:fillRect/>
                    </a:stretch>
                  </pic:blipFill>
                  <pic:spPr>
                    <a:xfrm rot="0">
                      <a:off x="0" y="0"/>
                      <a:ext cx="5579745" cy="7620"/>
                    </a:xfrm>
                    <a:prstGeom prst="rect">
                      <a:avLst/>
                    </a:prstGeom>
                  </pic:spPr>
                </pic:pic>
              </a:graphicData>
            </a:graphic>
          </wp:anchor>
        </w:drawing>
      </w:r>
      <w:r/>
    </w:p>
    <w:p>
      <w:pPr>
        <w:spacing w:line="137" w:lineRule="exact"/>
        <w:sectPr>
          <w:headerReference w:type="default" r:id="rId874"/>
          <w:footerReference w:type="default" r:id="rId893"/>
          <w:pgSz w:w="11906" w:h="16839"/>
          <w:pgMar w:top="1766" w:right="1509" w:bottom="1575" w:left="1579" w:header="1428" w:footer="1172" w:gutter="0"/>
          <w:cols w:equalWidth="0" w:num="1">
            <w:col w:w="8817" w:space="0"/>
          </w:cols>
        </w:sectPr>
        <w:rPr/>
      </w:pPr>
    </w:p>
    <w:p>
      <w:pPr>
        <w:pStyle w:val="BodyText"/>
        <w:ind w:left="12" w:right="309" w:firstLine="8"/>
        <w:spacing w:before="45" w:line="354" w:lineRule="auto"/>
        <w:jc w:val="both"/>
        <w:rPr/>
      </w:pPr>
      <w:r>
        <w:rPr>
          <w:spacing w:val="6"/>
        </w:rPr>
        <w:t>和现场指挥部的组织指挥。重要场所、重点时</w:t>
      </w:r>
      <w:r>
        <w:rPr>
          <w:spacing w:val="7"/>
        </w:rPr>
        <w:t>段发生的火灾，灭火救援指挥部应根据现场情</w:t>
      </w:r>
      <w:r>
        <w:rPr>
          <w:spacing w:val="8"/>
        </w:rPr>
        <w:t>况及时向上一级报告，并提高一个等级调度。</w:t>
      </w:r>
      <w:r>
        <w:rPr>
          <w:spacing w:val="7"/>
        </w:rPr>
        <w:t>高层建筑、地下工程、人员密集场所、大跨度</w:t>
      </w:r>
      <w:r>
        <w:rPr>
          <w:spacing w:val="7"/>
        </w:rPr>
        <w:t>大空间建筑、化学危险品等敏感场所火灾按相</w:t>
      </w:r>
      <w:r>
        <w:rPr>
          <w:spacing w:val="8"/>
        </w:rPr>
        <w:t>应等级高一个等级调度。</w:t>
      </w:r>
    </w:p>
    <w:p>
      <w:pPr>
        <w:pStyle w:val="BodyText"/>
        <w:ind w:left="11" w:right="329" w:firstLine="413"/>
        <w:spacing w:before="1" w:line="351" w:lineRule="auto"/>
        <w:jc w:val="both"/>
        <w:rPr/>
      </w:pPr>
      <w:r>
        <w:rPr>
          <w:spacing w:val="8"/>
        </w:rPr>
        <w:t>（</w:t>
      </w:r>
      <w:r>
        <w:rPr>
          <w:rFonts w:ascii="Times New Roman" w:hAnsi="Times New Roman" w:eastAsia="Times New Roman" w:cs="Times New Roman"/>
          <w:spacing w:val="8"/>
        </w:rPr>
        <w:t>3</w:t>
      </w:r>
      <w:r>
        <w:rPr>
          <w:rFonts w:ascii="Times New Roman" w:hAnsi="Times New Roman" w:eastAsia="Times New Roman" w:cs="Times New Roman"/>
          <w:spacing w:val="-5"/>
        </w:rPr>
        <w:t xml:space="preserve"> </w:t>
      </w:r>
      <w:r>
        <w:rPr>
          <w:spacing w:val="8"/>
        </w:rPr>
        <w:t>）市指挥部根据灭火救援的需要</w:t>
      </w:r>
      <w:r>
        <w:rPr>
          <w:spacing w:val="-59"/>
        </w:rPr>
        <w:t xml:space="preserve"> </w:t>
      </w:r>
      <w:r>
        <w:rPr>
          <w:spacing w:val="8"/>
        </w:rPr>
        <w:t>，按</w:t>
      </w:r>
      <w:r>
        <w:rPr>
          <w:spacing w:val="7"/>
        </w:rPr>
        <w:t>照区域、装备特点、道路交通和实际情况，实</w:t>
      </w:r>
      <w:r>
        <w:rPr>
          <w:spacing w:val="7"/>
        </w:rPr>
        <w:t>施跨区域灭火救援增援力量的调集和指挥。跨</w:t>
      </w:r>
      <w:r>
        <w:rPr>
          <w:spacing w:val="7"/>
        </w:rPr>
        <w:t>区域增援力量在市指挥部的统一指挥下，接受</w:t>
      </w:r>
      <w:r>
        <w:rPr>
          <w:spacing w:val="8"/>
        </w:rPr>
        <w:t>任务分配和调派。</w:t>
      </w:r>
    </w:p>
    <w:p>
      <w:pPr>
        <w:pStyle w:val="BodyText"/>
        <w:ind w:left="11" w:right="251" w:firstLine="420"/>
        <w:spacing w:before="8" w:line="356" w:lineRule="auto"/>
        <w:jc w:val="both"/>
        <w:rPr/>
      </w:pPr>
      <w:r>
        <w:rPr>
          <w:rFonts w:ascii="Times New Roman" w:hAnsi="Times New Roman" w:eastAsia="Times New Roman" w:cs="Times New Roman"/>
          <w:spacing w:val="10"/>
        </w:rPr>
        <w:t>4.3.3  </w:t>
      </w:r>
      <w:r>
        <w:rPr>
          <w:spacing w:val="10"/>
        </w:rPr>
        <w:t>处置程序。现场指挥部在市指挥部</w:t>
      </w:r>
      <w:r>
        <w:rPr>
          <w:spacing w:val="7"/>
        </w:rPr>
        <w:t>的领导下，根据灭火救援工作实际，确定作战</w:t>
      </w:r>
      <w:r>
        <w:rPr>
          <w:spacing w:val="1"/>
        </w:rPr>
        <w:t>意图，制订具体实施方案，展开灭火救援工作。</w:t>
      </w:r>
      <w:r>
        <w:rPr>
          <w:spacing w:val="1"/>
        </w:rPr>
        <w:t>基本程序包括：划定警戒区域，实施交通管制，</w:t>
      </w:r>
      <w:r>
        <w:rPr>
          <w:spacing w:val="7"/>
        </w:rPr>
        <w:t>积极疏散围观群众；进行火情侦察，确定燃烧</w:t>
      </w:r>
      <w:r>
        <w:rPr>
          <w:spacing w:val="7"/>
        </w:rPr>
        <w:t>物质和有无人员被困；开辟救生通道，迅速控</w:t>
      </w:r>
      <w:r>
        <w:rPr>
          <w:spacing w:val="7"/>
        </w:rPr>
        <w:t>制危险源，对现场进行不间断监测，防止次生</w:t>
      </w:r>
      <w:r>
        <w:rPr>
          <w:spacing w:val="7"/>
        </w:rPr>
        <w:t>灾害发生，并按既定灭火救援方案展开灭火战</w:t>
      </w:r>
      <w:r>
        <w:rPr>
          <w:spacing w:val="7"/>
        </w:rPr>
        <w:t>斗；确定水源位置，搞好火场供水；选择好灭</w:t>
      </w:r>
      <w:r>
        <w:rPr>
          <w:spacing w:val="7"/>
        </w:rPr>
        <w:t>火阵地，减少水渍损失；转移和保护物资；必</w:t>
      </w:r>
      <w:r>
        <w:rPr>
          <w:spacing w:val="7"/>
        </w:rPr>
        <w:t>要时采取火场破拆、排烟和断电措施；检查火</w:t>
      </w:r>
      <w:r>
        <w:rPr>
          <w:spacing w:val="11"/>
        </w:rPr>
        <w:t>场，消灭余火，清点人员和装备，结束战斗；</w:t>
      </w:r>
      <w:r>
        <w:rPr>
          <w:spacing w:val="7"/>
        </w:rPr>
        <w:t>保护现场，进行火灾原因调查及损失核定。根</w:t>
      </w:r>
      <w:r>
        <w:rPr/>
        <w:t>据不同类型的火灾，采取其他相应的应对措施。</w:t>
      </w:r>
    </w:p>
    <w:p>
      <w:pPr>
        <w:pStyle w:val="BodyText"/>
        <w:ind w:left="11" w:right="329" w:firstLine="420"/>
        <w:spacing w:before="3" w:line="323" w:lineRule="auto"/>
        <w:rPr/>
      </w:pPr>
      <w:r>
        <w:rPr>
          <w:rFonts w:ascii="Times New Roman" w:hAnsi="Times New Roman" w:eastAsia="Times New Roman" w:cs="Times New Roman"/>
          <w:spacing w:val="8"/>
        </w:rPr>
        <w:t>4.4  </w:t>
      </w:r>
      <w:r>
        <w:rPr>
          <w:rFonts w:ascii="KaiTi" w:hAnsi="KaiTi" w:eastAsia="KaiTi" w:cs="KaiTi"/>
          <w:spacing w:val="8"/>
        </w:rPr>
        <w:t>应急升级。</w:t>
      </w:r>
      <w:r>
        <w:rPr>
          <w:spacing w:val="8"/>
        </w:rPr>
        <w:t>当火灾事故难以控制或转</w:t>
      </w:r>
      <w:r>
        <w:rPr>
          <w:spacing w:val="7"/>
        </w:rPr>
        <w:t>化为恶劣次生灾害，严重威胁人民群众生命财</w:t>
      </w:r>
      <w:r>
        <w:rPr>
          <w:spacing w:val="7"/>
        </w:rPr>
        <w:t>产安全时，市指挥部应立即启动或提请自治区</w:t>
      </w:r>
      <w:r>
        <w:rPr>
          <w:spacing w:val="8"/>
        </w:rPr>
        <w:t>启动相应应急预案。</w:t>
      </w:r>
    </w:p>
    <w:p>
      <w:pPr>
        <w:pStyle w:val="BodyText"/>
        <w:ind w:left="14" w:right="329" w:firstLine="418"/>
        <w:spacing w:before="139" w:line="313" w:lineRule="auto"/>
        <w:rPr/>
      </w:pPr>
      <w:r>
        <w:rPr>
          <w:rFonts w:ascii="Times New Roman" w:hAnsi="Times New Roman" w:eastAsia="Times New Roman" w:cs="Times New Roman"/>
          <w:spacing w:val="8"/>
        </w:rPr>
        <w:t>4.5  </w:t>
      </w:r>
      <w:r>
        <w:rPr>
          <w:rFonts w:ascii="KaiTi" w:hAnsi="KaiTi" w:eastAsia="KaiTi" w:cs="KaiTi"/>
          <w:spacing w:val="8"/>
        </w:rPr>
        <w:t>信息发布。</w:t>
      </w:r>
      <w:r>
        <w:rPr>
          <w:spacing w:val="8"/>
        </w:rPr>
        <w:t>市指挥部按照突发事件新</w:t>
      </w:r>
      <w:r>
        <w:rPr>
          <w:spacing w:val="7"/>
        </w:rPr>
        <w:t>闻发布的要求和程序，做好火灾事故信息发布</w:t>
      </w:r>
      <w:r>
        <w:rPr>
          <w:spacing w:val="4"/>
        </w:rPr>
        <w:t>工作。</w:t>
      </w:r>
    </w:p>
    <w:p>
      <w:pPr>
        <w:pStyle w:val="BodyText"/>
        <w:ind w:left="12" w:right="265" w:firstLine="419"/>
        <w:spacing w:before="144" w:line="296" w:lineRule="auto"/>
        <w:rPr/>
      </w:pPr>
      <w:r>
        <w:rPr>
          <w:spacing w:val="19"/>
        </w:rPr>
        <w:t>新闻媒体记者进入火灾事故现场进行拍</w:t>
      </w:r>
      <w:r>
        <w:rPr/>
        <w:t>摄采访时，应经市指挥部批准，服从现场指挥，</w:t>
      </w:r>
    </w:p>
    <w:p>
      <w:pPr>
        <w:spacing w:line="14" w:lineRule="auto"/>
        <w:rPr>
          <w:rFonts w:ascii="Arial"/>
          <w:sz w:val="2"/>
        </w:rPr>
      </w:pPr>
      <w:r>
        <w:rPr>
          <w:rFonts w:ascii="Arial" w:hAnsi="Arial" w:eastAsia="Arial" w:cs="Arial"/>
          <w:sz w:val="2"/>
          <w:szCs w:val="2"/>
        </w:rPr>
        <w:br w:type="column"/>
      </w:r>
    </w:p>
    <w:p>
      <w:pPr>
        <w:pStyle w:val="BodyText"/>
        <w:ind w:left="1" w:right="80" w:hanging="1"/>
        <w:spacing w:before="39" w:line="354" w:lineRule="auto"/>
        <w:rPr/>
      </w:pPr>
      <w:r>
        <w:rPr>
          <w:spacing w:val="15"/>
        </w:rPr>
        <w:t>严格遵守新闻宣传纪律</w:t>
      </w:r>
      <w:r>
        <w:rPr>
          <w:spacing w:val="-39"/>
        </w:rPr>
        <w:t xml:space="preserve"> </w:t>
      </w:r>
      <w:r>
        <w:rPr>
          <w:spacing w:val="15"/>
        </w:rPr>
        <w:t>，佩戴必要的防护装</w:t>
      </w:r>
      <w:r>
        <w:rPr>
          <w:spacing w:val="8"/>
        </w:rPr>
        <w:t>备，不得妨碍灭火救援行动。</w:t>
      </w:r>
    </w:p>
    <w:p>
      <w:pPr>
        <w:pStyle w:val="BodyText"/>
        <w:ind w:firstLine="420"/>
        <w:spacing w:before="5" w:line="356" w:lineRule="auto"/>
        <w:jc w:val="both"/>
        <w:rPr/>
      </w:pPr>
      <w:r>
        <w:rPr>
          <w:rFonts w:ascii="Times New Roman" w:hAnsi="Times New Roman" w:eastAsia="Times New Roman" w:cs="Times New Roman"/>
          <w:spacing w:val="8"/>
        </w:rPr>
        <w:t>4.6  </w:t>
      </w:r>
      <w:r>
        <w:rPr>
          <w:rFonts w:ascii="KaiTi" w:hAnsi="KaiTi" w:eastAsia="KaiTi" w:cs="KaiTi"/>
          <w:spacing w:val="8"/>
        </w:rPr>
        <w:t>响应结束。</w:t>
      </w:r>
      <w:r>
        <w:rPr>
          <w:spacing w:val="8"/>
        </w:rPr>
        <w:t>火灾事故处置完毕后，现</w:t>
      </w:r>
      <w:r>
        <w:rPr>
          <w:spacing w:val="11"/>
        </w:rPr>
        <w:t>场指挥部应组织人员全面、细致地检查火场，</w:t>
      </w:r>
      <w:r>
        <w:rPr>
          <w:spacing w:val="7"/>
        </w:rPr>
        <w:t>彻底消灭余火。对石油化工装置、储存设施的</w:t>
      </w:r>
      <w:r>
        <w:rPr>
          <w:spacing w:val="7"/>
        </w:rPr>
        <w:t>温度及其周围可燃或有毒气体、易燃可燃液体</w:t>
      </w:r>
      <w:r>
        <w:rPr>
          <w:spacing w:val="7"/>
        </w:rPr>
        <w:t>蒸汽的浓度进行检测，并进行相应处理，防止</w:t>
      </w:r>
      <w:r>
        <w:rPr>
          <w:spacing w:val="7"/>
        </w:rPr>
        <w:t>复燃。同时应责成失火单位或相关单位、人员</w:t>
      </w:r>
      <w:r>
        <w:rPr>
          <w:spacing w:val="-8"/>
        </w:rPr>
        <w:t>保护火场。必要时留下必需的灭火力量进行监护。</w:t>
      </w:r>
    </w:p>
    <w:p>
      <w:pPr>
        <w:pStyle w:val="BodyText"/>
        <w:ind w:left="1" w:right="57" w:firstLine="420"/>
        <w:spacing w:before="4" w:line="354" w:lineRule="auto"/>
        <w:jc w:val="both"/>
        <w:rPr/>
      </w:pPr>
      <w:r>
        <w:rPr>
          <w:spacing w:val="16"/>
        </w:rPr>
        <w:t>灭火应急救援结束后</w:t>
      </w:r>
      <w:r>
        <w:rPr>
          <w:spacing w:val="-48"/>
        </w:rPr>
        <w:t xml:space="preserve"> </w:t>
      </w:r>
      <w:r>
        <w:rPr>
          <w:spacing w:val="16"/>
        </w:rPr>
        <w:t>，应将各类消防水</w:t>
      </w:r>
      <w:r>
        <w:rPr>
          <w:spacing w:val="7"/>
        </w:rPr>
        <w:t>源、消防设施恢复到常备状态；火灾单位、生</w:t>
      </w:r>
      <w:r>
        <w:rPr>
          <w:spacing w:val="8"/>
        </w:rPr>
        <w:t>态环境部门对有毒有害物质的排放进行监控、</w:t>
      </w:r>
      <w:r>
        <w:rPr>
          <w:spacing w:val="7"/>
        </w:rPr>
        <w:t>处置，防止造成次生灾害；各救援队伍迅速补</w:t>
      </w:r>
      <w:r>
        <w:rPr>
          <w:spacing w:val="7"/>
        </w:rPr>
        <w:t>充油料、器材和灭火剂，调整执勤力量，恢复</w:t>
      </w:r>
      <w:r>
        <w:rPr>
          <w:spacing w:val="6"/>
        </w:rPr>
        <w:t>战备状态。</w:t>
      </w:r>
    </w:p>
    <w:p>
      <w:pPr>
        <w:ind w:left="424"/>
        <w:spacing w:before="2" w:line="21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5</w:t>
      </w:r>
      <w:r>
        <w:rPr>
          <w:rFonts w:ascii="Microsoft YaHei" w:hAnsi="Microsoft YaHei" w:eastAsia="Microsoft YaHei" w:cs="Microsoft YaHei"/>
          <w:sz w:val="20"/>
          <w:szCs w:val="20"/>
          <w:spacing w:val="15"/>
          <w:w w:val="101"/>
        </w:rPr>
        <w:t xml:space="preserve">   </w:t>
      </w:r>
      <w:r>
        <w:rPr>
          <w:rFonts w:ascii="Microsoft YaHei" w:hAnsi="Microsoft YaHei" w:eastAsia="Microsoft YaHei" w:cs="Microsoft YaHei"/>
          <w:sz w:val="20"/>
          <w:szCs w:val="20"/>
          <w:spacing w:val="3"/>
        </w:rPr>
        <w:t>善后工作</w:t>
      </w:r>
    </w:p>
    <w:p>
      <w:pPr>
        <w:pStyle w:val="BodyText"/>
        <w:ind w:right="16" w:firstLine="426"/>
        <w:spacing w:before="72" w:line="349" w:lineRule="auto"/>
        <w:rPr/>
      </w:pPr>
      <w:r>
        <w:rPr>
          <w:rFonts w:ascii="Times New Roman" w:hAnsi="Times New Roman" w:eastAsia="Times New Roman" w:cs="Times New Roman"/>
          <w:spacing w:val="6"/>
        </w:rPr>
        <w:t>5.</w:t>
      </w:r>
      <w:r>
        <w:rPr>
          <w:rFonts w:ascii="Times New Roman" w:hAnsi="Times New Roman" w:eastAsia="Times New Roman" w:cs="Times New Roman"/>
          <w:spacing w:val="-8"/>
        </w:rPr>
        <w:t xml:space="preserve"> </w:t>
      </w:r>
      <w:r>
        <w:rPr>
          <w:rFonts w:ascii="Times New Roman" w:hAnsi="Times New Roman" w:eastAsia="Times New Roman" w:cs="Times New Roman"/>
          <w:spacing w:val="6"/>
        </w:rPr>
        <w:t>1  </w:t>
      </w:r>
      <w:r>
        <w:rPr>
          <w:rFonts w:ascii="KaiTi" w:hAnsi="KaiTi" w:eastAsia="KaiTi" w:cs="KaiTi"/>
          <w:spacing w:val="6"/>
        </w:rPr>
        <w:t>后期处置。</w:t>
      </w:r>
      <w:r>
        <w:rPr>
          <w:spacing w:val="6"/>
        </w:rPr>
        <w:t>火灾事故发生后，市指挥</w:t>
      </w:r>
      <w:r>
        <w:rPr>
          <w:spacing w:val="7"/>
        </w:rPr>
        <w:t>部应视受灾程度和涉及范围，成立灾后处置领</w:t>
      </w:r>
      <w:r>
        <w:rPr>
          <w:spacing w:val="7"/>
        </w:rPr>
        <w:t>导小组，负责灾害救助的组织、协调和指挥工</w:t>
      </w:r>
      <w:r>
        <w:rPr>
          <w:spacing w:val="7"/>
        </w:rPr>
        <w:t>作，并组织有关部门对灾后可能造成污染或损</w:t>
      </w:r>
      <w:r>
        <w:rPr>
          <w:spacing w:val="7"/>
        </w:rPr>
        <w:t>失的现场进行监测、评估、清除，保证灾区正</w:t>
      </w:r>
      <w:r>
        <w:rPr>
          <w:spacing w:val="7"/>
        </w:rPr>
        <w:t>常的生活环境。当地政府应及时做好受灾群众</w:t>
      </w:r>
      <w:r>
        <w:rPr>
          <w:spacing w:val="7"/>
        </w:rPr>
        <w:t>安置工作。对转移的受灾群众，由当地政府负</w:t>
      </w:r>
      <w:r>
        <w:rPr>
          <w:spacing w:val="7"/>
        </w:rPr>
        <w:t>责提供紧急避难场所妥善安置，并保障基本生</w:t>
      </w:r>
      <w:r>
        <w:rPr>
          <w:spacing w:val="7"/>
        </w:rPr>
        <w:t>活条件。公安部门负责事故现场的治安警戒和</w:t>
      </w:r>
      <w:r>
        <w:rPr>
          <w:spacing w:val="10"/>
        </w:rPr>
        <w:t>治安管理，根据需要在现场周围设立警戒区，</w:t>
      </w:r>
      <w:r>
        <w:rPr>
          <w:spacing w:val="10"/>
        </w:rPr>
        <w:t>维持秩序，打击违法犯罪行为。财政、民政、</w:t>
      </w:r>
      <w:r>
        <w:rPr>
          <w:spacing w:val="7"/>
        </w:rPr>
        <w:t>卫健等部门依据职责做好善后处置工作。组织</w:t>
      </w:r>
      <w:r>
        <w:rPr/>
        <w:t>协调社会、个人开展互助互济、捐款捐物活动，</w:t>
      </w:r>
      <w:r>
        <w:rPr>
          <w:spacing w:val="7"/>
        </w:rPr>
        <w:t>妥善安置受灾群众生活。社会救助活动由民政</w:t>
      </w:r>
      <w:r>
        <w:rPr>
          <w:spacing w:val="18"/>
        </w:rPr>
        <w:t>部门统一组织。对参加扑救外单位火灾的专</w:t>
      </w:r>
      <w:r>
        <w:rPr>
          <w:spacing w:val="7"/>
        </w:rPr>
        <w:t>职、义务消防队所损耗的燃料、灭火剂和器材</w:t>
      </w:r>
      <w:r>
        <w:rPr>
          <w:spacing w:val="8"/>
        </w:rPr>
        <w:t>装备等，依照规定予以补偿。</w:t>
      </w:r>
    </w:p>
    <w:p>
      <w:pPr>
        <w:pStyle w:val="BodyText"/>
        <w:ind w:left="427"/>
        <w:spacing w:before="142" w:line="210" w:lineRule="auto"/>
        <w:rPr/>
      </w:pPr>
      <w:r>
        <w:rPr>
          <w:rFonts w:ascii="Times New Roman" w:hAnsi="Times New Roman" w:eastAsia="Times New Roman" w:cs="Times New Roman"/>
          <w:spacing w:val="8"/>
        </w:rPr>
        <w:t>5.2  </w:t>
      </w:r>
      <w:r>
        <w:rPr>
          <w:rFonts w:ascii="KaiTi" w:hAnsi="KaiTi" w:eastAsia="KaiTi" w:cs="KaiTi"/>
          <w:spacing w:val="8"/>
        </w:rPr>
        <w:t>事故调查与评估。</w:t>
      </w:r>
      <w:r>
        <w:rPr>
          <w:spacing w:val="8"/>
        </w:rPr>
        <w:t>火灾事故处置结束</w:t>
      </w:r>
    </w:p>
    <w:p>
      <w:pPr>
        <w:spacing w:line="210" w:lineRule="auto"/>
        <w:sectPr>
          <w:type w:val="continuous"/>
          <w:pgSz w:w="11906" w:h="16839"/>
          <w:pgMar w:top="1766" w:right="1509" w:bottom="1575" w:left="1579" w:header="1428" w:footer="1172" w:gutter="0"/>
          <w:cols w:equalWidth="0" w:num="2">
            <w:col w:w="4489" w:space="100"/>
            <w:col w:w="4229" w:space="0"/>
          </w:cols>
        </w:sectPr>
        <w:rPr/>
      </w:pPr>
    </w:p>
    <w:p>
      <w:pPr>
        <w:spacing w:before="60"/>
        <w:rPr/>
      </w:pPr>
      <w:r>
        <w:drawing>
          <wp:anchor distT="0" distB="0" distL="0" distR="0" simplePos="0" relativeHeight="253051904"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788" name="IM 1788"/>
            <wp:cNvGraphicFramePr/>
            <a:graphic>
              <a:graphicData uri="http://schemas.openxmlformats.org/drawingml/2006/picture">
                <pic:pic>
                  <pic:nvPicPr>
                    <pic:cNvPr id="1788" name="IM 1788"/>
                    <pic:cNvPicPr/>
                  </pic:nvPicPr>
                  <pic:blipFill>
                    <a:blip r:embed="rId896"/>
                    <a:stretch>
                      <a:fillRect/>
                    </a:stretch>
                  </pic:blipFill>
                  <pic:spPr>
                    <a:xfrm rot="0">
                      <a:off x="0" y="0"/>
                      <a:ext cx="5579745" cy="7620"/>
                    </a:xfrm>
                    <a:prstGeom prst="rect">
                      <a:avLst/>
                    </a:prstGeom>
                  </pic:spPr>
                </pic:pic>
              </a:graphicData>
            </a:graphic>
          </wp:anchor>
        </w:drawing>
      </w:r>
      <w:r/>
    </w:p>
    <w:p>
      <w:pPr>
        <w:sectPr>
          <w:headerReference w:type="default" r:id="rId816"/>
          <w:footerReference w:type="default" r:id="rId895"/>
          <w:pgSz w:w="11906" w:h="16839"/>
          <w:pgMar w:top="1772" w:right="1489" w:bottom="1562" w:left="1567" w:header="1428" w:footer="1172" w:gutter="0"/>
          <w:cols w:equalWidth="0" w:num="1">
            <w:col w:w="8850" w:space="0"/>
          </w:cols>
        </w:sectPr>
        <w:rPr/>
      </w:pPr>
    </w:p>
    <w:p>
      <w:pPr>
        <w:pStyle w:val="BodyText"/>
        <w:ind w:left="23" w:right="266" w:firstLine="1"/>
        <w:spacing w:before="41" w:line="353" w:lineRule="auto"/>
        <w:jc w:val="both"/>
        <w:rPr/>
      </w:pPr>
      <w:r>
        <w:rPr>
          <w:spacing w:val="7"/>
        </w:rPr>
        <w:t>后，由市指挥部指定或由消防部门牵头组成事</w:t>
      </w:r>
      <w:r>
        <w:rPr>
          <w:spacing w:val="8"/>
        </w:rPr>
        <w:t>故调查组，对火灾事故的起因、性质、影响、</w:t>
      </w:r>
      <w:r>
        <w:rPr>
          <w:spacing w:val="7"/>
        </w:rPr>
        <w:t>责任、经验教训和恢复重建等问题进行调查评</w:t>
      </w:r>
      <w:r>
        <w:rPr>
          <w:spacing w:val="8"/>
        </w:rPr>
        <w:t>估，形成书面报告。</w:t>
      </w:r>
    </w:p>
    <w:p>
      <w:pPr>
        <w:ind w:left="449"/>
        <w:spacing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6</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4"/>
        </w:rPr>
        <w:t>应急保障</w:t>
      </w:r>
    </w:p>
    <w:p>
      <w:pPr>
        <w:pStyle w:val="BodyText"/>
        <w:ind w:left="17" w:right="208" w:firstLine="433"/>
        <w:spacing w:before="74" w:line="335" w:lineRule="auto"/>
        <w:rPr/>
      </w:pPr>
      <w:r>
        <w:rPr>
          <w:rFonts w:ascii="Times New Roman" w:hAnsi="Times New Roman" w:eastAsia="Times New Roman" w:cs="Times New Roman"/>
          <w:spacing w:val="6"/>
        </w:rPr>
        <w:t>6.</w:t>
      </w:r>
      <w:r>
        <w:rPr>
          <w:rFonts w:ascii="Times New Roman" w:hAnsi="Times New Roman" w:eastAsia="Times New Roman" w:cs="Times New Roman"/>
          <w:spacing w:val="-7"/>
        </w:rPr>
        <w:t xml:space="preserve"> </w:t>
      </w:r>
      <w:r>
        <w:rPr>
          <w:rFonts w:ascii="Times New Roman" w:hAnsi="Times New Roman" w:eastAsia="Times New Roman" w:cs="Times New Roman"/>
          <w:spacing w:val="6"/>
        </w:rPr>
        <w:t>1  </w:t>
      </w:r>
      <w:r>
        <w:rPr>
          <w:rFonts w:ascii="KaiTi" w:hAnsi="KaiTi" w:eastAsia="KaiTi" w:cs="KaiTi"/>
          <w:spacing w:val="6"/>
        </w:rPr>
        <w:t>队伍保障。</w:t>
      </w:r>
      <w:r>
        <w:rPr>
          <w:spacing w:val="6"/>
        </w:rPr>
        <w:t>各级政府应加强消防救援</w:t>
      </w:r>
      <w:r>
        <w:rPr>
          <w:spacing w:val="7"/>
        </w:rPr>
        <w:t>队伍尤其是消防特勤攻坚力量建设，支持鼓励</w:t>
      </w:r>
      <w:r>
        <w:rPr>
          <w:spacing w:val="7"/>
        </w:rPr>
        <w:t>企事业单位、乡镇、社会团体、民间组织、村</w:t>
      </w:r>
      <w:r>
        <w:rPr>
          <w:spacing w:val="11"/>
        </w:rPr>
        <w:t>（居）委会、社区等建立专职或义务消防队，</w:t>
      </w:r>
      <w:r>
        <w:rPr>
          <w:spacing w:val="1"/>
        </w:rPr>
        <w:t>将民航、矿山救护、医疗救护、工程机械抢险、</w:t>
      </w:r>
      <w:r>
        <w:rPr>
          <w:spacing w:val="7"/>
        </w:rPr>
        <w:t>石油化工、电力抢险等专业救援队伍纳入应急</w:t>
      </w:r>
      <w:r>
        <w:rPr>
          <w:spacing w:val="1"/>
        </w:rPr>
        <w:t>救援力量体系，配备救援装备，开展专业训练，</w:t>
      </w:r>
      <w:r>
        <w:rPr>
          <w:spacing w:val="9"/>
        </w:rPr>
        <w:t>提高火灾事故应急处置能力。</w:t>
      </w:r>
    </w:p>
    <w:p>
      <w:pPr>
        <w:pStyle w:val="BodyText"/>
        <w:ind w:left="24" w:right="282" w:firstLine="426"/>
        <w:spacing w:before="139" w:line="341" w:lineRule="auto"/>
        <w:rPr/>
      </w:pPr>
      <w:r>
        <w:rPr>
          <w:rFonts w:ascii="Times New Roman" w:hAnsi="Times New Roman" w:eastAsia="Times New Roman" w:cs="Times New Roman"/>
          <w:spacing w:val="8"/>
        </w:rPr>
        <w:t>6.2  </w:t>
      </w:r>
      <w:r>
        <w:rPr>
          <w:rFonts w:ascii="KaiTi" w:hAnsi="KaiTi" w:eastAsia="KaiTi" w:cs="KaiTi"/>
          <w:spacing w:val="8"/>
        </w:rPr>
        <w:t>装备物资保障。</w:t>
      </w:r>
      <w:r>
        <w:rPr>
          <w:spacing w:val="8"/>
        </w:rPr>
        <w:t>各级政府为消防救援</w:t>
      </w:r>
      <w:r>
        <w:rPr>
          <w:spacing w:val="7"/>
        </w:rPr>
        <w:t>队伍配备、更新必需的灭火及抢险救援等装备</w:t>
      </w:r>
      <w:r>
        <w:rPr>
          <w:spacing w:val="7"/>
        </w:rPr>
        <w:t>器材，并与消防装备、器材、灭火药剂生产厂</w:t>
      </w:r>
      <w:r>
        <w:rPr>
          <w:spacing w:val="7"/>
        </w:rPr>
        <w:t>家建立联保协议。专职和义务消防队以及消防</w:t>
      </w:r>
      <w:r>
        <w:rPr>
          <w:spacing w:val="18"/>
        </w:rPr>
        <w:t>安全重点单位必需储备一定的灭火应急救援</w:t>
      </w:r>
      <w:r>
        <w:rPr>
          <w:spacing w:val="7"/>
        </w:rPr>
        <w:t>物资。市民政局指导、督促各地民政部门妥善</w:t>
      </w:r>
      <w:r>
        <w:rPr>
          <w:spacing w:val="7"/>
        </w:rPr>
        <w:t>安置受灾群众，建立临时避难场所，并保障受</w:t>
      </w:r>
      <w:r>
        <w:rPr>
          <w:spacing w:val="7"/>
        </w:rPr>
        <w:t>灾群众的基本生活需要。并将处置火灾事故资</w:t>
      </w:r>
      <w:r>
        <w:rPr>
          <w:spacing w:val="18"/>
        </w:rPr>
        <w:t>金从列入同级财政预算的消防业务经费中列</w:t>
      </w:r>
      <w:r>
        <w:rPr>
          <w:spacing w:val="7"/>
        </w:rPr>
        <w:t>支，情况紧急时可由同级财政部门先行预拨，</w:t>
      </w:r>
      <w:r>
        <w:rPr>
          <w:spacing w:val="7"/>
        </w:rPr>
        <w:t>保障应急需要。</w:t>
      </w:r>
    </w:p>
    <w:p>
      <w:pPr>
        <w:pStyle w:val="BodyText"/>
        <w:ind w:left="25" w:right="208" w:firstLine="425"/>
        <w:spacing w:before="140" w:line="331" w:lineRule="auto"/>
        <w:rPr/>
      </w:pPr>
      <w:r>
        <w:rPr>
          <w:rFonts w:ascii="Times New Roman" w:hAnsi="Times New Roman" w:eastAsia="Times New Roman" w:cs="Times New Roman"/>
          <w:spacing w:val="6"/>
        </w:rPr>
        <w:t>6.3</w:t>
      </w:r>
      <w:r>
        <w:rPr>
          <w:rFonts w:ascii="Times New Roman" w:hAnsi="Times New Roman" w:eastAsia="Times New Roman" w:cs="Times New Roman"/>
          <w:spacing w:val="27"/>
          <w:w w:val="101"/>
        </w:rPr>
        <w:t xml:space="preserve">  </w:t>
      </w:r>
      <w:r>
        <w:rPr>
          <w:rFonts w:ascii="KaiTi" w:hAnsi="KaiTi" w:eastAsia="KaiTi" w:cs="KaiTi"/>
          <w:spacing w:val="6"/>
        </w:rPr>
        <w:t>医疗卫生保障。</w:t>
      </w:r>
      <w:r>
        <w:rPr>
          <w:spacing w:val="6"/>
        </w:rPr>
        <w:t>各地医疗卫生机构制</w:t>
      </w:r>
      <w:r>
        <w:rPr>
          <w:spacing w:val="7"/>
        </w:rPr>
        <w:t>定应急预案，按要求组织医务人员和医疗设备</w:t>
      </w:r>
      <w:r>
        <w:rPr>
          <w:spacing w:val="1"/>
        </w:rPr>
        <w:t>赶赴火灾事故现场，按照现场救治、就近救治、</w:t>
      </w:r>
      <w:r>
        <w:rPr>
          <w:spacing w:val="7"/>
        </w:rPr>
        <w:t>转送治疗的原则实施医疗救治，及时报告救治</w:t>
      </w:r>
      <w:r>
        <w:rPr>
          <w:spacing w:val="7"/>
        </w:rPr>
        <w:t>伤员以及需要增援的急救医药、器材及资源等</w:t>
      </w:r>
      <w:r>
        <w:rPr>
          <w:spacing w:val="4"/>
        </w:rPr>
        <w:t>情况。</w:t>
      </w:r>
    </w:p>
    <w:p>
      <w:pPr>
        <w:pStyle w:val="BodyText"/>
        <w:ind w:left="25" w:right="289" w:firstLine="425"/>
        <w:spacing w:before="137" w:line="313" w:lineRule="auto"/>
        <w:rPr/>
      </w:pPr>
      <w:r>
        <w:rPr>
          <w:rFonts w:ascii="Times New Roman" w:hAnsi="Times New Roman" w:eastAsia="Times New Roman" w:cs="Times New Roman"/>
          <w:spacing w:val="8"/>
        </w:rPr>
        <w:t>6.4  </w:t>
      </w:r>
      <w:r>
        <w:rPr>
          <w:rFonts w:ascii="KaiTi" w:hAnsi="KaiTi" w:eastAsia="KaiTi" w:cs="KaiTi"/>
          <w:spacing w:val="8"/>
        </w:rPr>
        <w:t>交通运输保障。</w:t>
      </w:r>
      <w:r>
        <w:rPr>
          <w:spacing w:val="8"/>
        </w:rPr>
        <w:t>市交通运输局根据火</w:t>
      </w:r>
      <w:r>
        <w:rPr>
          <w:spacing w:val="7"/>
        </w:rPr>
        <w:t>灾事故现场需要，调集一切可利用的交通运输</w:t>
      </w:r>
      <w:r>
        <w:rPr>
          <w:spacing w:val="7"/>
        </w:rPr>
        <w:t>工具，保证应急救援人员、物资、装备优先运</w:t>
      </w:r>
      <w:r>
        <w:rPr>
          <w:spacing w:val="7"/>
        </w:rPr>
        <w:t>输。公安交通管理部门利用城市道路监控系统</w:t>
      </w:r>
    </w:p>
    <w:p>
      <w:pPr>
        <w:spacing w:line="14" w:lineRule="auto"/>
        <w:rPr>
          <w:rFonts w:ascii="Arial"/>
          <w:sz w:val="2"/>
        </w:rPr>
      </w:pPr>
      <w:r>
        <w:rPr>
          <w:rFonts w:ascii="Arial" w:hAnsi="Arial" w:eastAsia="Arial" w:cs="Arial"/>
          <w:sz w:val="2"/>
          <w:szCs w:val="2"/>
        </w:rPr>
        <w:br w:type="column"/>
      </w:r>
    </w:p>
    <w:p>
      <w:pPr>
        <w:pStyle w:val="BodyText"/>
        <w:ind w:right="95" w:firstLine="39"/>
        <w:spacing w:before="38" w:line="352" w:lineRule="auto"/>
        <w:jc w:val="both"/>
        <w:rPr/>
      </w:pPr>
      <w:r>
        <w:rPr>
          <w:spacing w:val="7"/>
        </w:rPr>
        <w:t>及时通报道路通行状况，适时引导救援车辆通</w:t>
      </w:r>
      <w:r>
        <w:rPr>
          <w:spacing w:val="9"/>
        </w:rPr>
        <w:t>行，并对火灾事故现场实施交通管制，对灾区</w:t>
      </w:r>
      <w:r>
        <w:rPr>
          <w:spacing w:val="9"/>
        </w:rPr>
        <w:t>外围的交通路口实施定向、定时封锁，严格控</w:t>
      </w:r>
      <w:r>
        <w:rPr>
          <w:spacing w:val="9"/>
        </w:rPr>
        <w:t>制进出事故现场人员，根据需要组织开辟应急</w:t>
      </w:r>
      <w:r>
        <w:rPr>
          <w:rFonts w:ascii="Times New Roman" w:hAnsi="Times New Roman" w:eastAsia="Times New Roman" w:cs="Times New Roman"/>
        </w:rPr>
        <w:t>“</w:t>
      </w:r>
      <w:r>
        <w:rPr/>
        <w:t>绿色通道</w:t>
      </w:r>
      <w:r>
        <w:rPr>
          <w:rFonts w:ascii="Times New Roman" w:hAnsi="Times New Roman" w:eastAsia="Times New Roman" w:cs="Times New Roman"/>
        </w:rPr>
        <w:t>”</w:t>
      </w:r>
      <w:r>
        <w:rPr/>
        <w:t>，保证灭火应急救援车辆优先通行。</w:t>
      </w:r>
    </w:p>
    <w:p>
      <w:pPr>
        <w:pStyle w:val="BodyText"/>
        <w:ind w:left="33" w:right="94" w:firstLine="433"/>
        <w:spacing w:before="3" w:line="334" w:lineRule="auto"/>
        <w:rPr/>
      </w:pPr>
      <w:r>
        <w:rPr>
          <w:rFonts w:ascii="Times New Roman" w:hAnsi="Times New Roman" w:eastAsia="Times New Roman" w:cs="Times New Roman"/>
          <w:spacing w:val="8"/>
        </w:rPr>
        <w:t>6.5  </w:t>
      </w:r>
      <w:r>
        <w:rPr>
          <w:rFonts w:ascii="KaiTi" w:hAnsi="KaiTi" w:eastAsia="KaiTi" w:cs="KaiTi"/>
          <w:spacing w:val="8"/>
        </w:rPr>
        <w:t>应急通信保障。</w:t>
      </w:r>
      <w:r>
        <w:rPr>
          <w:spacing w:val="8"/>
        </w:rPr>
        <w:t>市指挥部办公室和各</w:t>
      </w:r>
      <w:r>
        <w:rPr>
          <w:spacing w:val="7"/>
        </w:rPr>
        <w:t>部门、单位建立的应急指挥工作平台应与市应</w:t>
      </w:r>
      <w:r>
        <w:rPr>
          <w:spacing w:val="7"/>
        </w:rPr>
        <w:t>急管理指挥部办公室连通，并确定各参与部门</w:t>
      </w:r>
      <w:r>
        <w:rPr>
          <w:spacing w:val="7"/>
        </w:rPr>
        <w:t>（单位）的通讯方式。依托市各电信运营企业</w:t>
      </w:r>
      <w:r>
        <w:rPr>
          <w:spacing w:val="8"/>
        </w:rPr>
        <w:t>公众通信网络，以消防和公安通信网络为主，</w:t>
      </w:r>
      <w:r>
        <w:rPr>
          <w:spacing w:val="7"/>
        </w:rPr>
        <w:t>以公众通信网络为备份，建立消防通信调度指</w:t>
      </w:r>
      <w:r>
        <w:rPr>
          <w:spacing w:val="9"/>
        </w:rPr>
        <w:t>挥网络和现场移动通信指挥网。</w:t>
      </w:r>
    </w:p>
    <w:p>
      <w:pPr>
        <w:pStyle w:val="BodyText"/>
        <w:ind w:left="39" w:right="101" w:firstLine="426"/>
        <w:spacing w:before="139" w:line="331" w:lineRule="auto"/>
        <w:rPr/>
      </w:pPr>
      <w:r>
        <w:rPr>
          <w:rFonts w:ascii="Times New Roman" w:hAnsi="Times New Roman" w:eastAsia="Times New Roman" w:cs="Times New Roman"/>
          <w:spacing w:val="8"/>
        </w:rPr>
        <w:t>6.6  </w:t>
      </w:r>
      <w:r>
        <w:rPr>
          <w:rFonts w:ascii="KaiTi" w:hAnsi="KaiTi" w:eastAsia="KaiTi" w:cs="KaiTi"/>
          <w:spacing w:val="8"/>
        </w:rPr>
        <w:t>科技支撑。</w:t>
      </w:r>
      <w:r>
        <w:rPr>
          <w:spacing w:val="8"/>
        </w:rPr>
        <w:t>建立科学的应急指挥决策</w:t>
      </w:r>
      <w:r>
        <w:rPr>
          <w:spacing w:val="7"/>
        </w:rPr>
        <w:t>支持系统，完善灭火应急救援专家人才和基础</w:t>
      </w:r>
      <w:r>
        <w:rPr>
          <w:spacing w:val="7"/>
        </w:rPr>
        <w:t>资料信息库，健全联勤联动工作机制，加大重</w:t>
      </w:r>
      <w:r>
        <w:rPr>
          <w:spacing w:val="7"/>
        </w:rPr>
        <w:t>大火灾预防控制、先进灭火应急救援技术和装</w:t>
      </w:r>
      <w:r>
        <w:rPr>
          <w:spacing w:val="7"/>
        </w:rPr>
        <w:t>备的研究应用力度，为火灾事故处置提供技术</w:t>
      </w:r>
      <w:r>
        <w:rPr>
          <w:spacing w:val="5"/>
        </w:rPr>
        <w:t>保障。</w:t>
      </w:r>
    </w:p>
    <w:p>
      <w:pPr>
        <w:ind w:left="464"/>
        <w:spacing w:before="131"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7</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3"/>
        </w:rPr>
        <w:t>监督管理</w:t>
      </w:r>
    </w:p>
    <w:p>
      <w:pPr>
        <w:pStyle w:val="BodyText"/>
        <w:ind w:left="39" w:right="94" w:firstLine="425"/>
        <w:spacing w:before="82" w:line="336" w:lineRule="auto"/>
        <w:rPr/>
      </w:pPr>
      <w:r>
        <w:rPr>
          <w:rFonts w:ascii="Times New Roman" w:hAnsi="Times New Roman" w:eastAsia="Times New Roman" w:cs="Times New Roman"/>
          <w:spacing w:val="6"/>
        </w:rPr>
        <w:t>7.</w:t>
      </w:r>
      <w:r>
        <w:rPr>
          <w:rFonts w:ascii="Times New Roman" w:hAnsi="Times New Roman" w:eastAsia="Times New Roman" w:cs="Times New Roman"/>
          <w:spacing w:val="-25"/>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5"/>
          <w:w w:val="101"/>
        </w:rPr>
        <w:t xml:space="preserve">  </w:t>
      </w:r>
      <w:r>
        <w:rPr>
          <w:rFonts w:ascii="KaiTi" w:hAnsi="KaiTi" w:eastAsia="KaiTi" w:cs="KaiTi"/>
          <w:spacing w:val="6"/>
        </w:rPr>
        <w:t>宣教培训。</w:t>
      </w:r>
      <w:r>
        <w:rPr>
          <w:spacing w:val="6"/>
        </w:rPr>
        <w:t>各级政府及宣传、消防等</w:t>
      </w:r>
      <w:r>
        <w:rPr>
          <w:spacing w:val="7"/>
        </w:rPr>
        <w:t>部门（单位）将防火、灭火方面的基本知识和</w:t>
      </w:r>
      <w:r>
        <w:rPr>
          <w:spacing w:val="7"/>
        </w:rPr>
        <w:t>技能纳入公众消防安全宣传教育内容，提高公</w:t>
      </w:r>
      <w:r>
        <w:rPr>
          <w:spacing w:val="15"/>
        </w:rPr>
        <w:t>众消防安全意识</w:t>
      </w:r>
      <w:r>
        <w:rPr>
          <w:spacing w:val="-39"/>
        </w:rPr>
        <w:t xml:space="preserve"> </w:t>
      </w:r>
      <w:r>
        <w:rPr>
          <w:spacing w:val="15"/>
        </w:rPr>
        <w:t>，增强火灾事故应急处置能</w:t>
      </w:r>
      <w:r>
        <w:rPr>
          <w:spacing w:val="7"/>
        </w:rPr>
        <w:t>力。教育部门将消防知识纳入教学培训内容，</w:t>
      </w:r>
      <w:r>
        <w:rPr>
          <w:spacing w:val="7"/>
        </w:rPr>
        <w:t>并督促落实。有关单位把防火、灭火基本知识</w:t>
      </w:r>
      <w:r>
        <w:rPr>
          <w:spacing w:val="7"/>
        </w:rPr>
        <w:t>纳入职工岗前和在岗培训内容，开展普及性教</w:t>
      </w:r>
      <w:r>
        <w:rPr>
          <w:spacing w:val="6"/>
        </w:rPr>
        <w:t>育培训。</w:t>
      </w:r>
    </w:p>
    <w:p>
      <w:pPr>
        <w:pStyle w:val="BodyText"/>
        <w:ind w:left="41" w:right="98" w:firstLine="423"/>
        <w:spacing w:before="138" w:line="311" w:lineRule="auto"/>
        <w:rPr/>
      </w:pPr>
      <w:r>
        <w:rPr>
          <w:rFonts w:ascii="Times New Roman" w:hAnsi="Times New Roman" w:eastAsia="Times New Roman" w:cs="Times New Roman"/>
          <w:spacing w:val="8"/>
        </w:rPr>
        <w:t>7.2  </w:t>
      </w:r>
      <w:r>
        <w:rPr>
          <w:rFonts w:ascii="KaiTi" w:hAnsi="KaiTi" w:eastAsia="KaiTi" w:cs="KaiTi"/>
          <w:spacing w:val="8"/>
        </w:rPr>
        <w:t>预案演练。</w:t>
      </w:r>
      <w:r>
        <w:rPr>
          <w:spacing w:val="8"/>
        </w:rPr>
        <w:t>市指挥部办公室每年组织</w:t>
      </w:r>
      <w:r>
        <w:rPr>
          <w:spacing w:val="7"/>
        </w:rPr>
        <w:t>不少于</w:t>
      </w:r>
      <w:r>
        <w:rPr>
          <w:spacing w:val="-30"/>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14"/>
        </w:rPr>
        <w:t xml:space="preserve"> </w:t>
      </w:r>
      <w:r>
        <w:rPr>
          <w:spacing w:val="7"/>
        </w:rPr>
        <w:t>次应急联动成员单位联席会议和灭火</w:t>
      </w:r>
      <w:r>
        <w:rPr>
          <w:spacing w:val="8"/>
        </w:rPr>
        <w:t>救援实战拉动联合演练。</w:t>
      </w:r>
    </w:p>
    <w:p>
      <w:pPr>
        <w:pStyle w:val="BodyText"/>
        <w:ind w:left="33" w:right="36" w:firstLine="432"/>
        <w:spacing w:before="137" w:line="312" w:lineRule="auto"/>
        <w:rPr/>
      </w:pPr>
      <w:r>
        <w:rPr>
          <w:rFonts w:ascii="Times New Roman" w:hAnsi="Times New Roman" w:eastAsia="Times New Roman" w:cs="Times New Roman"/>
          <w:spacing w:val="1"/>
        </w:rPr>
        <w:t>7.3  </w:t>
      </w:r>
      <w:r>
        <w:rPr>
          <w:rFonts w:ascii="KaiTi" w:hAnsi="KaiTi" w:eastAsia="KaiTi" w:cs="KaiTi"/>
          <w:spacing w:val="1"/>
        </w:rPr>
        <w:t>责任追究。</w:t>
      </w:r>
      <w:r>
        <w:rPr>
          <w:spacing w:val="1"/>
        </w:rPr>
        <w:t>对在火灾事故应急处置中，</w:t>
      </w:r>
      <w:r>
        <w:rPr>
          <w:spacing w:val="7"/>
        </w:rPr>
        <w:t>有玩忽职守、失职、渎职等行为的，有关部门</w:t>
      </w:r>
      <w:r>
        <w:rPr>
          <w:spacing w:val="7"/>
        </w:rPr>
        <w:t>（单位）要依法给予责任人行政处分，触犯法</w:t>
      </w:r>
      <w:r>
        <w:rPr>
          <w:spacing w:val="9"/>
        </w:rPr>
        <w:t>律的，依法追究法律责任。</w:t>
      </w:r>
    </w:p>
    <w:p>
      <w:pPr>
        <w:spacing w:line="312" w:lineRule="auto"/>
        <w:sectPr>
          <w:type w:val="continuous"/>
          <w:pgSz w:w="11906" w:h="16839"/>
          <w:pgMar w:top="1772" w:right="1489" w:bottom="1562" w:left="1567" w:header="1428" w:footer="1172" w:gutter="0"/>
          <w:cols w:equalWidth="0" w:num="2">
            <w:col w:w="4462" w:space="100"/>
            <w:col w:w="4289" w:space="0"/>
          </w:cols>
        </w:sectPr>
        <w:rPr/>
      </w:pPr>
    </w:p>
    <w:p>
      <w:pPr>
        <w:pStyle w:val="BodyText"/>
        <w:ind w:left="441" w:right="16" w:hanging="5"/>
        <w:spacing w:before="161" w:line="258" w:lineRule="auto"/>
        <w:rPr/>
      </w:pPr>
      <w:r>
        <w:drawing>
          <wp:anchor distT="0" distB="0" distL="0" distR="0" simplePos="0" relativeHeight="253063168"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792" name="IM 1792"/>
            <wp:cNvGraphicFramePr/>
            <a:graphic>
              <a:graphicData uri="http://schemas.openxmlformats.org/drawingml/2006/picture">
                <pic:pic>
                  <pic:nvPicPr>
                    <pic:cNvPr id="1792" name="IM 1792"/>
                    <pic:cNvPicPr/>
                  </pic:nvPicPr>
                  <pic:blipFill>
                    <a:blip r:embed="rId898"/>
                    <a:stretch>
                      <a:fillRect/>
                    </a:stretch>
                  </pic:blipFill>
                  <pic:spPr>
                    <a:xfrm rot="0">
                      <a:off x="0" y="0"/>
                      <a:ext cx="5579745" cy="7620"/>
                    </a:xfrm>
                    <a:prstGeom prst="rect">
                      <a:avLst/>
                    </a:prstGeom>
                  </pic:spPr>
                </pic:pic>
              </a:graphicData>
            </a:graphic>
          </wp:anchor>
        </w:drawing>
      </w:r>
      <w:r>
        <w:rPr>
          <w:rFonts w:ascii="Microsoft YaHei" w:hAnsi="Microsoft YaHei" w:eastAsia="Microsoft YaHei" w:cs="Microsoft YaHei"/>
          <w:spacing w:val="1"/>
        </w:rPr>
        <w:t>8</w:t>
      </w:r>
      <w:r>
        <w:rPr>
          <w:rFonts w:ascii="Microsoft YaHei" w:hAnsi="Microsoft YaHei" w:eastAsia="Microsoft YaHei" w:cs="Microsoft YaHei"/>
          <w:spacing w:val="17"/>
        </w:rPr>
        <w:t xml:space="preserve">   </w:t>
      </w:r>
      <w:r>
        <w:rPr>
          <w:rFonts w:ascii="Microsoft YaHei" w:hAnsi="Microsoft YaHei" w:eastAsia="Microsoft YaHei" w:cs="Microsoft YaHei"/>
          <w:spacing w:val="1"/>
        </w:rPr>
        <w:t>附则                                       </w:t>
      </w:r>
      <w:r>
        <w:rPr>
          <w:rFonts w:ascii="Microsoft YaHei" w:hAnsi="Microsoft YaHei" w:eastAsia="Microsoft YaHei" w:cs="Microsoft YaHei"/>
        </w:rPr>
        <w:t xml:space="preserve">                  </w:t>
      </w:r>
      <w:r>
        <w:rPr/>
        <w:t>规定履行职责，并制定、完善相应的应急预案，</w:t>
      </w:r>
      <w:r>
        <w:rPr>
          <w:spacing w:val="1"/>
        </w:rPr>
        <w:t xml:space="preserve"> </w:t>
      </w:r>
      <w:r>
        <w:rPr>
          <w:rFonts w:ascii="Times New Roman" w:hAnsi="Times New Roman" w:eastAsia="Times New Roman" w:cs="Times New Roman"/>
          <w:spacing w:val="12"/>
        </w:rPr>
        <w:t>8.</w:t>
      </w:r>
      <w:r>
        <w:rPr>
          <w:rFonts w:ascii="Times New Roman" w:hAnsi="Times New Roman" w:eastAsia="Times New Roman" w:cs="Times New Roman"/>
          <w:spacing w:val="-12"/>
        </w:rPr>
        <w:t xml:space="preserve"> </w:t>
      </w:r>
      <w:r>
        <w:rPr>
          <w:rFonts w:ascii="Times New Roman" w:hAnsi="Times New Roman" w:eastAsia="Times New Roman" w:cs="Times New Roman"/>
          <w:spacing w:val="12"/>
        </w:rPr>
        <w:t>1  </w:t>
      </w:r>
      <w:r>
        <w:rPr>
          <w:rFonts w:ascii="KaiTi" w:hAnsi="KaiTi" w:eastAsia="KaiTi" w:cs="KaiTi"/>
          <w:spacing w:val="12"/>
        </w:rPr>
        <w:t>预案管理与更新。</w:t>
      </w:r>
      <w:r>
        <w:rPr>
          <w:rFonts w:ascii="KaiTi" w:hAnsi="KaiTi" w:eastAsia="KaiTi" w:cs="KaiTi"/>
          <w:spacing w:val="1"/>
        </w:rPr>
        <w:t xml:space="preserve">                   </w:t>
      </w:r>
      <w:r>
        <w:rPr>
          <w:rFonts w:ascii="KaiTi" w:hAnsi="KaiTi" w:eastAsia="KaiTi" w:cs="KaiTi"/>
        </w:rPr>
        <w:t xml:space="preserve">  </w:t>
      </w:r>
      <w:r>
        <w:rPr>
          <w:spacing w:val="12"/>
        </w:rPr>
        <w:t>报市指挥部办公室和市应急管理指挥部办公</w:t>
      </w:r>
    </w:p>
    <w:p>
      <w:pPr>
        <w:pStyle w:val="BodyText"/>
        <w:ind w:left="424"/>
        <w:spacing w:before="120" w:line="277" w:lineRule="exact"/>
        <w:rPr/>
      </w:pPr>
      <w:r>
        <w:rPr>
          <w:spacing w:val="6"/>
          <w:position w:val="1"/>
        </w:rPr>
        <w:t>（</w:t>
      </w:r>
      <w:r>
        <w:rPr>
          <w:spacing w:val="-40"/>
          <w:position w:val="1"/>
        </w:rPr>
        <w:t xml:space="preserve"> </w:t>
      </w:r>
      <w:r>
        <w:rPr>
          <w:rFonts w:ascii="Times New Roman" w:hAnsi="Times New Roman" w:eastAsia="Times New Roman" w:cs="Times New Roman"/>
          <w:spacing w:val="6"/>
          <w:position w:val="1"/>
        </w:rPr>
        <w:t>1</w:t>
      </w:r>
      <w:r>
        <w:rPr>
          <w:rFonts w:ascii="Times New Roman" w:hAnsi="Times New Roman" w:eastAsia="Times New Roman" w:cs="Times New Roman"/>
          <w:spacing w:val="-19"/>
          <w:position w:val="1"/>
        </w:rPr>
        <w:t xml:space="preserve"> </w:t>
      </w:r>
      <w:r>
        <w:rPr>
          <w:spacing w:val="6"/>
          <w:position w:val="1"/>
        </w:rPr>
        <w:t>）本预案由市消防救援支队制定</w:t>
      </w:r>
      <w:r>
        <w:rPr>
          <w:spacing w:val="-58"/>
          <w:position w:val="1"/>
        </w:rPr>
        <w:t xml:space="preserve"> </w:t>
      </w:r>
      <w:r>
        <w:rPr>
          <w:spacing w:val="6"/>
          <w:position w:val="1"/>
        </w:rPr>
        <w:t>，经    室备案。</w:t>
      </w:r>
    </w:p>
    <w:p>
      <w:pPr>
        <w:pStyle w:val="BodyText"/>
        <w:ind w:left="14"/>
        <w:spacing w:before="102" w:line="277" w:lineRule="exact"/>
        <w:rPr/>
      </w:pPr>
      <w:r>
        <w:rPr>
          <w:spacing w:val="2"/>
          <w:position w:val="1"/>
        </w:rPr>
        <w:t>市人民政府审批，由市人民政府办公室印发执行。       （</w:t>
      </w:r>
      <w:r>
        <w:rPr>
          <w:rFonts w:ascii="Times New Roman" w:hAnsi="Times New Roman" w:eastAsia="Times New Roman" w:cs="Times New Roman"/>
          <w:spacing w:val="2"/>
          <w:position w:val="1"/>
        </w:rPr>
        <w:t>3</w:t>
      </w:r>
      <w:r>
        <w:rPr>
          <w:rFonts w:ascii="Times New Roman" w:hAnsi="Times New Roman" w:eastAsia="Times New Roman" w:cs="Times New Roman"/>
          <w:spacing w:val="-18"/>
          <w:position w:val="1"/>
        </w:rPr>
        <w:t xml:space="preserve"> </w:t>
      </w:r>
      <w:r>
        <w:rPr>
          <w:spacing w:val="2"/>
          <w:position w:val="1"/>
        </w:rPr>
        <w:t>）市消防救援支</w:t>
      </w:r>
      <w:r>
        <w:rPr>
          <w:spacing w:val="1"/>
          <w:position w:val="1"/>
        </w:rPr>
        <w:t>队要根据预案演练时</w:t>
      </w:r>
    </w:p>
    <w:p>
      <w:pPr>
        <w:pStyle w:val="BodyText"/>
        <w:ind w:left="14" w:right="80" w:firstLine="410"/>
        <w:spacing w:before="103" w:line="334" w:lineRule="auto"/>
        <w:rPr/>
      </w:pPr>
      <w:r>
        <w:rPr>
          <w:spacing w:val="6"/>
        </w:rPr>
        <w:t>（</w:t>
      </w:r>
      <w:r>
        <w:rPr>
          <w:rFonts w:ascii="Times New Roman" w:hAnsi="Times New Roman" w:eastAsia="Times New Roman" w:cs="Times New Roman"/>
          <w:spacing w:val="6"/>
        </w:rPr>
        <w:t>2</w:t>
      </w:r>
      <w:r>
        <w:rPr>
          <w:rFonts w:ascii="Times New Roman" w:hAnsi="Times New Roman" w:eastAsia="Times New Roman" w:cs="Times New Roman"/>
          <w:spacing w:val="-20"/>
        </w:rPr>
        <w:t xml:space="preserve"> </w:t>
      </w:r>
      <w:r>
        <w:rPr>
          <w:spacing w:val="6"/>
        </w:rPr>
        <w:t>）各县（</w:t>
      </w:r>
      <w:r>
        <w:rPr>
          <w:spacing w:val="-50"/>
        </w:rPr>
        <w:t xml:space="preserve"> </w:t>
      </w:r>
      <w:r>
        <w:rPr>
          <w:spacing w:val="6"/>
        </w:rPr>
        <w:t>区）人民政府及其有关单位、 </w:t>
      </w:r>
      <w:r>
        <w:rPr>
          <w:spacing w:val="5"/>
        </w:rPr>
        <w:t xml:space="preserve">  发现的问题、机构变化等情况，适时组织修订</w:t>
      </w:r>
      <w:r>
        <w:rPr>
          <w:spacing w:val="7"/>
        </w:rPr>
        <w:t>群众自治组织、企事业单位等要按照本预案的    完善本预案。</w:t>
      </w:r>
    </w:p>
    <w:p>
      <w:pPr>
        <w:spacing w:line="353" w:lineRule="auto"/>
        <w:rPr>
          <w:rFonts w:ascii="Arial"/>
          <w:sz w:val="21"/>
        </w:rPr>
      </w:pPr>
      <w:r/>
    </w:p>
    <w:p>
      <w:pPr>
        <w:spacing w:line="354" w:lineRule="auto"/>
        <w:rPr>
          <w:rFonts w:ascii="Arial"/>
          <w:sz w:val="21"/>
        </w:rPr>
      </w:pPr>
      <w:r/>
    </w:p>
    <w:p>
      <w:pPr>
        <w:ind w:left="431"/>
        <w:spacing w:before="184" w:line="186"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12"/>
        </w:rPr>
        <w:t>固原市公共聚集场所突发事件应急救援预案</w:t>
      </w:r>
    </w:p>
    <w:p>
      <w:pPr>
        <w:spacing w:line="270" w:lineRule="auto"/>
        <w:rPr>
          <w:rFonts w:ascii="Arial"/>
          <w:sz w:val="21"/>
        </w:rPr>
      </w:pPr>
      <w:r/>
    </w:p>
    <w:p>
      <w:pPr>
        <w:spacing w:line="270" w:lineRule="auto"/>
        <w:rPr>
          <w:rFonts w:ascii="Arial"/>
          <w:sz w:val="21"/>
        </w:rPr>
      </w:pPr>
      <w:r/>
    </w:p>
    <w:p>
      <w:pPr>
        <w:pStyle w:val="BodyText"/>
        <w:ind w:left="449"/>
        <w:spacing w:before="87" w:line="217" w:lineRule="auto"/>
        <w:rPr/>
      </w:pPr>
      <w:r>
        <w:rPr>
          <w:rFonts w:ascii="Microsoft YaHei" w:hAnsi="Microsoft YaHei" w:eastAsia="Microsoft YaHei" w:cs="Microsoft YaHei"/>
          <w:spacing w:val="4"/>
        </w:rPr>
        <w:t>1   总则                        </w:t>
      </w:r>
      <w:r>
        <w:rPr>
          <w:rFonts w:ascii="Microsoft YaHei" w:hAnsi="Microsoft YaHei" w:eastAsia="Microsoft YaHei" w:cs="Microsoft YaHei"/>
          <w:spacing w:val="3"/>
        </w:rPr>
        <w:t xml:space="preserve">                                </w:t>
      </w:r>
      <w:r>
        <w:rPr>
          <w:spacing w:val="3"/>
        </w:rPr>
        <w:t>共安全工作，常抓不懈，防患于未然。增强忧</w:t>
      </w:r>
    </w:p>
    <w:p>
      <w:pPr>
        <w:pStyle w:val="BodyText"/>
        <w:ind w:left="14" w:right="80" w:firstLine="439"/>
        <w:spacing w:before="96" w:line="368" w:lineRule="auto"/>
        <w:jc w:val="both"/>
        <w:rPr/>
      </w:pPr>
      <w:r>
        <w:rPr>
          <w:rFonts w:ascii="Times New Roman" w:hAnsi="Times New Roman" w:eastAsia="Times New Roman" w:cs="Times New Roman"/>
          <w:spacing w:val="6"/>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6"/>
        </w:rPr>
        <w:t>1  </w:t>
      </w:r>
      <w:r>
        <w:rPr>
          <w:rFonts w:ascii="KaiTi" w:hAnsi="KaiTi" w:eastAsia="KaiTi" w:cs="KaiTi"/>
          <w:spacing w:val="6"/>
        </w:rPr>
        <w:t>编制</w:t>
      </w:r>
      <w:r>
        <w:rPr>
          <w:rFonts w:ascii="KaiTi" w:hAnsi="KaiTi" w:eastAsia="KaiTi" w:cs="KaiTi"/>
          <w:spacing w:val="-50"/>
        </w:rPr>
        <w:t xml:space="preserve"> </w:t>
      </w:r>
      <w:r>
        <w:rPr>
          <w:rFonts w:ascii="KaiTi" w:hAnsi="KaiTi" w:eastAsia="KaiTi" w:cs="KaiTi"/>
          <w:spacing w:val="6"/>
        </w:rPr>
        <w:t>目的。</w:t>
      </w:r>
      <w:r>
        <w:rPr>
          <w:spacing w:val="6"/>
        </w:rPr>
        <w:t>提高政府机关保障公共安    患意识，坚持</w:t>
      </w:r>
      <w:r>
        <w:rPr>
          <w:spacing w:val="5"/>
        </w:rPr>
        <w:t>预防与应急相结合，常态与非常</w:t>
      </w:r>
      <w:r>
        <w:rPr>
          <w:spacing w:val="7"/>
        </w:rPr>
        <w:t>全和处置突发公共事件的能力，最大程度地预    态相结合，做好应对突发公共事件的各项准备</w:t>
      </w:r>
      <w:r>
        <w:rPr>
          <w:spacing w:val="7"/>
        </w:rPr>
        <w:t>防和减少突发公共事件及其造成的损害，保障    工作。</w:t>
      </w:r>
    </w:p>
    <w:p>
      <w:pPr>
        <w:pStyle w:val="BodyText"/>
        <w:ind w:left="11"/>
        <w:spacing w:before="3" w:line="277" w:lineRule="exact"/>
        <w:rPr/>
      </w:pPr>
      <w:r>
        <w:rPr>
          <w:spacing w:val="9"/>
          <w:position w:val="1"/>
        </w:rPr>
        <w:t>公众的生命财产安全，维护国家安全和社会稳</w:t>
      </w:r>
      <w:r>
        <w:rPr>
          <w:spacing w:val="3"/>
          <w:position w:val="1"/>
        </w:rPr>
        <w:t xml:space="preserve">        </w:t>
      </w:r>
      <w:r>
        <w:rPr>
          <w:spacing w:val="9"/>
          <w:position w:val="1"/>
        </w:rPr>
        <w:t>（</w:t>
      </w:r>
      <w:r>
        <w:rPr>
          <w:rFonts w:ascii="Times New Roman" w:hAnsi="Times New Roman" w:eastAsia="Times New Roman" w:cs="Times New Roman"/>
          <w:spacing w:val="9"/>
          <w:position w:val="1"/>
        </w:rPr>
        <w:t>3</w:t>
      </w:r>
      <w:r>
        <w:rPr>
          <w:rFonts w:ascii="Times New Roman" w:hAnsi="Times New Roman" w:eastAsia="Times New Roman" w:cs="Times New Roman"/>
          <w:spacing w:val="-12"/>
          <w:position w:val="1"/>
        </w:rPr>
        <w:t xml:space="preserve"> </w:t>
      </w:r>
      <w:r>
        <w:rPr>
          <w:spacing w:val="9"/>
          <w:position w:val="1"/>
        </w:rPr>
        <w:t>）统一领导，分级负责。在市委、</w:t>
      </w:r>
    </w:p>
    <w:p>
      <w:pPr>
        <w:pStyle w:val="BodyText"/>
        <w:ind w:left="12"/>
        <w:spacing w:before="127" w:line="223" w:lineRule="auto"/>
        <w:rPr/>
      </w:pPr>
      <w:r>
        <w:rPr>
          <w:spacing w:val="9"/>
        </w:rPr>
        <w:t>定，促进经济社会全面、协调、可持续发展，</w:t>
      </w:r>
      <w:r>
        <w:rPr>
          <w:spacing w:val="30"/>
        </w:rPr>
        <w:t xml:space="preserve">   </w:t>
      </w:r>
      <w:r>
        <w:rPr>
          <w:spacing w:val="9"/>
        </w:rPr>
        <w:t>市</w:t>
      </w:r>
      <w:r>
        <w:rPr>
          <w:spacing w:val="8"/>
        </w:rPr>
        <w:t>政府和上级公安机关的统一领导下，建立</w:t>
      </w:r>
    </w:p>
    <w:p>
      <w:pPr>
        <w:pStyle w:val="BodyText"/>
        <w:ind w:left="13" w:right="80" w:firstLine="5"/>
        <w:spacing w:before="158" w:line="368" w:lineRule="auto"/>
        <w:rPr/>
      </w:pPr>
      <w:r>
        <w:rPr>
          <w:spacing w:val="12"/>
        </w:rPr>
        <w:t>为实现固原经济发展和全面建设小康社会创    健全分类管理、分级负责，条块结合、属地管</w:t>
      </w:r>
      <w:r>
        <w:rPr>
          <w:spacing w:val="7"/>
        </w:rPr>
        <w:t>造安全和谐稳定的环境。</w:t>
      </w:r>
      <w:r>
        <w:rPr>
          <w:spacing w:val="4"/>
        </w:rPr>
        <w:t xml:space="preserve">                    </w:t>
      </w:r>
      <w:r>
        <w:rPr>
          <w:spacing w:val="3"/>
        </w:rPr>
        <w:t xml:space="preserve">  </w:t>
      </w:r>
      <w:r>
        <w:rPr>
          <w:spacing w:val="7"/>
        </w:rPr>
        <w:t>理为主的应急管理体制。在各级党委领导下，</w:t>
      </w:r>
    </w:p>
    <w:p>
      <w:pPr>
        <w:pStyle w:val="BodyText"/>
        <w:ind w:left="14" w:right="82" w:firstLine="439"/>
        <w:spacing w:before="2" w:line="297" w:lineRule="auto"/>
        <w:rPr/>
      </w:pPr>
      <w:r>
        <w:rPr>
          <w:rFonts w:ascii="Times New Roman" w:hAnsi="Times New Roman" w:eastAsia="Times New Roman" w:cs="Times New Roman"/>
          <w:spacing w:val="7"/>
        </w:rPr>
        <w:t>1.2  </w:t>
      </w:r>
      <w:r>
        <w:rPr>
          <w:rFonts w:ascii="KaiTi" w:hAnsi="KaiTi" w:eastAsia="KaiTi" w:cs="KaiTi"/>
          <w:spacing w:val="7"/>
        </w:rPr>
        <w:t>编制依据。</w:t>
      </w:r>
      <w:r>
        <w:rPr>
          <w:spacing w:val="7"/>
        </w:rPr>
        <w:t>依据宪法及有关法律、法    实行行政领导责任制，充分发挥公安机关应急</w:t>
      </w:r>
      <w:r>
        <w:rPr>
          <w:spacing w:val="9"/>
        </w:rPr>
        <w:t>规、规章和上级机关文件，制定本预案。</w:t>
      </w:r>
      <w:r>
        <w:rPr/>
        <w:t xml:space="preserve">        </w:t>
      </w:r>
      <w:r>
        <w:rPr>
          <w:spacing w:val="9"/>
        </w:rPr>
        <w:t>指挥机构的作</w:t>
      </w:r>
      <w:r>
        <w:rPr>
          <w:spacing w:val="8"/>
        </w:rPr>
        <w:t>用。</w:t>
      </w:r>
    </w:p>
    <w:p>
      <w:pPr>
        <w:pStyle w:val="BodyText"/>
        <w:ind w:left="14" w:right="80" w:firstLine="438"/>
        <w:spacing w:before="153" w:line="322" w:lineRule="auto"/>
        <w:rPr/>
      </w:pPr>
      <w:r>
        <w:rPr>
          <w:rFonts w:ascii="Times New Roman" w:hAnsi="Times New Roman" w:eastAsia="Times New Roman" w:cs="Times New Roman"/>
          <w:spacing w:val="9"/>
        </w:rPr>
        <w:t>1.3  </w:t>
      </w:r>
      <w:r>
        <w:rPr>
          <w:rFonts w:ascii="KaiTi" w:hAnsi="KaiTi" w:eastAsia="KaiTi" w:cs="KaiTi"/>
          <w:spacing w:val="9"/>
        </w:rPr>
        <w:t>适用范围。</w:t>
      </w:r>
      <w:r>
        <w:rPr>
          <w:spacing w:val="9"/>
        </w:rPr>
        <w:t>本预案适用于固原市行政</w:t>
      </w:r>
      <w:r>
        <w:rPr>
          <w:spacing w:val="5"/>
        </w:rPr>
        <w:t xml:space="preserve">        </w:t>
      </w:r>
      <w:r>
        <w:rPr>
          <w:spacing w:val="9"/>
        </w:rPr>
        <w:t>（</w:t>
      </w:r>
      <w:r>
        <w:rPr>
          <w:rFonts w:ascii="Times New Roman" w:hAnsi="Times New Roman" w:eastAsia="Times New Roman" w:cs="Times New Roman"/>
          <w:spacing w:val="9"/>
        </w:rPr>
        <w:t>4</w:t>
      </w:r>
      <w:r>
        <w:rPr>
          <w:rFonts w:ascii="Times New Roman" w:hAnsi="Times New Roman" w:eastAsia="Times New Roman" w:cs="Times New Roman"/>
          <w:spacing w:val="-13"/>
        </w:rPr>
        <w:t xml:space="preserve"> </w:t>
      </w:r>
      <w:r>
        <w:rPr>
          <w:spacing w:val="9"/>
        </w:rPr>
        <w:t>）依法规范，加强管理。依据有关法</w:t>
      </w:r>
      <w:r>
        <w:rPr>
          <w:spacing w:val="7"/>
        </w:rPr>
        <w:t>区域内可能发生或者已经发生的，需要由公安    律、法规、规章，加强应急管理，维护公众的</w:t>
      </w:r>
      <w:r>
        <w:rPr>
          <w:spacing w:val="9"/>
        </w:rPr>
        <w:t>机关立即出警处置的公共突发事件的应对工作。   合法权益</w:t>
      </w:r>
      <w:r>
        <w:rPr>
          <w:spacing w:val="-54"/>
        </w:rPr>
        <w:t xml:space="preserve"> </w:t>
      </w:r>
      <w:r>
        <w:rPr>
          <w:spacing w:val="9"/>
        </w:rPr>
        <w:t>，</w:t>
      </w:r>
      <w:r>
        <w:rPr>
          <w:spacing w:val="8"/>
        </w:rPr>
        <w:t>使应对突发公共事件的工作规范</w:t>
      </w:r>
    </w:p>
    <w:p>
      <w:pPr>
        <w:pStyle w:val="BodyText"/>
        <w:ind w:left="432"/>
        <w:spacing w:before="159" w:line="219" w:lineRule="auto"/>
        <w:rPr/>
      </w:pPr>
      <w:r>
        <w:rPr>
          <w:spacing w:val="14"/>
        </w:rPr>
        <w:t>本预案指导本级公安机关的突发公共事    化、制度化、法制化。</w:t>
      </w:r>
    </w:p>
    <w:p>
      <w:pPr>
        <w:pStyle w:val="BodyText"/>
        <w:ind w:left="14"/>
        <w:spacing w:before="159" w:line="277" w:lineRule="exact"/>
        <w:rPr/>
      </w:pPr>
      <w:r>
        <w:rPr>
          <w:spacing w:val="9"/>
          <w:position w:val="1"/>
        </w:rPr>
        <w:t>件应对工作。</w:t>
      </w:r>
      <w:r>
        <w:rPr>
          <w:spacing w:val="1"/>
          <w:position w:val="1"/>
        </w:rPr>
        <w:t xml:space="preserve">                             </w:t>
      </w:r>
      <w:r>
        <w:rPr>
          <w:position w:val="1"/>
        </w:rPr>
        <w:t xml:space="preserve">        </w:t>
      </w:r>
      <w:r>
        <w:rPr>
          <w:spacing w:val="9"/>
          <w:position w:val="1"/>
        </w:rPr>
        <w:t>（</w:t>
      </w:r>
      <w:r>
        <w:rPr>
          <w:spacing w:val="-59"/>
          <w:position w:val="1"/>
        </w:rPr>
        <w:t xml:space="preserve"> </w:t>
      </w:r>
      <w:r>
        <w:rPr>
          <w:rFonts w:ascii="Times New Roman" w:hAnsi="Times New Roman" w:eastAsia="Times New Roman" w:cs="Times New Roman"/>
          <w:spacing w:val="9"/>
          <w:position w:val="1"/>
        </w:rPr>
        <w:t>5</w:t>
      </w:r>
      <w:r>
        <w:rPr>
          <w:rFonts w:ascii="Times New Roman" w:hAnsi="Times New Roman" w:eastAsia="Times New Roman" w:cs="Times New Roman"/>
          <w:spacing w:val="-18"/>
          <w:position w:val="1"/>
        </w:rPr>
        <w:t xml:space="preserve"> </w:t>
      </w:r>
      <w:r>
        <w:rPr>
          <w:spacing w:val="9"/>
          <w:position w:val="1"/>
        </w:rPr>
        <w:t>）快速反应，协同应对。加强公安机</w:t>
      </w:r>
    </w:p>
    <w:p>
      <w:pPr>
        <w:pStyle w:val="BodyText"/>
        <w:ind w:left="453"/>
        <w:spacing w:before="123" w:line="241" w:lineRule="auto"/>
        <w:rPr/>
      </w:pPr>
      <w:r>
        <w:rPr>
          <w:rFonts w:ascii="Times New Roman" w:hAnsi="Times New Roman" w:eastAsia="Times New Roman" w:cs="Times New Roman"/>
          <w:spacing w:val="6"/>
        </w:rPr>
        <w:t>1.4  </w:t>
      </w:r>
      <w:r>
        <w:rPr>
          <w:rFonts w:ascii="KaiTi" w:hAnsi="KaiTi" w:eastAsia="KaiTi" w:cs="KaiTi"/>
          <w:spacing w:val="6"/>
        </w:rPr>
        <w:t>工作原则。</w:t>
      </w:r>
      <w:r>
        <w:rPr>
          <w:rFonts w:ascii="KaiTi" w:hAnsi="KaiTi" w:eastAsia="KaiTi" w:cs="KaiTi"/>
          <w:spacing w:val="2"/>
        </w:rPr>
        <w:t xml:space="preserve">                       </w:t>
      </w:r>
      <w:r>
        <w:rPr>
          <w:rFonts w:ascii="KaiTi" w:hAnsi="KaiTi" w:eastAsia="KaiTi" w:cs="KaiTi"/>
          <w:spacing w:val="1"/>
        </w:rPr>
        <w:t xml:space="preserve">    </w:t>
      </w:r>
      <w:r>
        <w:rPr>
          <w:spacing w:val="6"/>
        </w:rPr>
        <w:t>关值班备勤和应急处置队伍建设，建立联动协</w:t>
      </w:r>
    </w:p>
    <w:p>
      <w:pPr>
        <w:pStyle w:val="BodyText"/>
        <w:ind w:left="12" w:firstLine="412"/>
        <w:spacing w:before="137" w:line="368" w:lineRule="auto"/>
        <w:jc w:val="both"/>
        <w:rPr/>
      </w:pPr>
      <w:r>
        <w:rPr>
          <w:spacing w:val="7"/>
        </w:rPr>
        <w:t>（</w:t>
      </w:r>
      <w:r>
        <w:rPr>
          <w:spacing w:val="-41"/>
        </w:rPr>
        <w:t xml:space="preserve"> </w:t>
      </w:r>
      <w:r>
        <w:rPr>
          <w:rFonts w:ascii="Times New Roman" w:hAnsi="Times New Roman" w:eastAsia="Times New Roman" w:cs="Times New Roman"/>
          <w:spacing w:val="7"/>
        </w:rPr>
        <w:t>1 </w:t>
      </w:r>
      <w:r>
        <w:rPr>
          <w:spacing w:val="7"/>
        </w:rPr>
        <w:t>）以人为本，减少危害。切实履行公    调制度，充分动员和发挥乡镇、社区、企事业</w:t>
      </w:r>
      <w:r>
        <w:rPr>
          <w:spacing w:val="7"/>
        </w:rPr>
        <w:t>安机关的社会管理，维护社会秩序、打击违法    单位、社会团体和志愿者队伍的作用，依靠公</w:t>
      </w:r>
      <w:r>
        <w:rPr>
          <w:spacing w:val="5"/>
        </w:rPr>
        <w:t>犯罪和公共服务职能，把保障公众生命财产安  </w:t>
      </w:r>
      <w:r>
        <w:rPr>
          <w:spacing w:val="4"/>
        </w:rPr>
        <w:t xml:space="preserve">  众力量，形成统一指挥、反应灵敏、功能齐全、</w:t>
      </w:r>
      <w:r>
        <w:rPr>
          <w:spacing w:val="8"/>
        </w:rPr>
        <w:t>全作为首要任务，最大程度地减少突发公共事    协调有序、运转高效的应急管理机制。</w:t>
      </w:r>
    </w:p>
    <w:p>
      <w:pPr>
        <w:pStyle w:val="BodyText"/>
        <w:ind w:left="14"/>
        <w:spacing w:before="7" w:line="278" w:lineRule="exact"/>
        <w:rPr/>
      </w:pPr>
      <w:r>
        <w:rPr>
          <w:spacing w:val="10"/>
          <w:position w:val="1"/>
        </w:rPr>
        <w:t>件及其造成的人员伤亡和危害。             </w:t>
      </w:r>
      <w:r>
        <w:rPr>
          <w:spacing w:val="9"/>
          <w:position w:val="1"/>
        </w:rPr>
        <w:t xml:space="preserve">      （</w:t>
      </w:r>
      <w:r>
        <w:rPr>
          <w:rFonts w:ascii="Times New Roman" w:hAnsi="Times New Roman" w:eastAsia="Times New Roman" w:cs="Times New Roman"/>
          <w:spacing w:val="9"/>
          <w:position w:val="1"/>
        </w:rPr>
        <w:t>6</w:t>
      </w:r>
      <w:r>
        <w:rPr>
          <w:rFonts w:ascii="Times New Roman" w:hAnsi="Times New Roman" w:eastAsia="Times New Roman" w:cs="Times New Roman"/>
          <w:spacing w:val="-18"/>
          <w:position w:val="1"/>
        </w:rPr>
        <w:t xml:space="preserve"> </w:t>
      </w:r>
      <w:r>
        <w:rPr>
          <w:spacing w:val="9"/>
          <w:position w:val="1"/>
        </w:rPr>
        <w:t>）平战结合、体制创新。把突发公共</w:t>
      </w:r>
    </w:p>
    <w:p>
      <w:pPr>
        <w:pStyle w:val="BodyText"/>
        <w:ind w:right="41"/>
        <w:spacing w:before="123" w:line="278" w:lineRule="exact"/>
        <w:jc w:val="right"/>
        <w:rPr/>
      </w:pPr>
      <w:r>
        <w:rPr>
          <w:spacing w:val="10"/>
          <w:position w:val="1"/>
        </w:rPr>
        <w:t>（</w:t>
      </w:r>
      <w:r>
        <w:rPr>
          <w:rFonts w:ascii="Times New Roman" w:hAnsi="Times New Roman" w:eastAsia="Times New Roman" w:cs="Times New Roman"/>
          <w:spacing w:val="10"/>
          <w:position w:val="1"/>
        </w:rPr>
        <w:t>2</w:t>
      </w:r>
      <w:r>
        <w:rPr>
          <w:rFonts w:ascii="Times New Roman" w:hAnsi="Times New Roman" w:eastAsia="Times New Roman" w:cs="Times New Roman"/>
          <w:spacing w:val="-18"/>
          <w:position w:val="1"/>
        </w:rPr>
        <w:t xml:space="preserve"> </w:t>
      </w:r>
      <w:r>
        <w:rPr>
          <w:spacing w:val="10"/>
          <w:position w:val="1"/>
        </w:rPr>
        <w:t>）居安思危，预防为主。高度重视公    事件应急工作与治安防控工作紧密结合</w:t>
      </w:r>
      <w:r>
        <w:rPr>
          <w:spacing w:val="9"/>
          <w:position w:val="1"/>
        </w:rPr>
        <w:t>起来，</w:t>
      </w:r>
    </w:p>
    <w:p>
      <w:pPr>
        <w:spacing w:line="278" w:lineRule="exact"/>
        <w:sectPr>
          <w:headerReference w:type="default" r:id="rId597"/>
          <w:footerReference w:type="default" r:id="rId897"/>
          <w:pgSz w:w="11906" w:h="16839"/>
          <w:pgMar w:top="1766" w:right="1509" w:bottom="1575" w:left="1579" w:header="1428" w:footer="1172" w:gutter="0"/>
        </w:sectPr>
        <w:rPr/>
      </w:pPr>
    </w:p>
    <w:p>
      <w:pPr>
        <w:spacing w:before="73"/>
        <w:rPr/>
      </w:pPr>
      <w:r>
        <w:drawing>
          <wp:anchor distT="0" distB="0" distL="0" distR="0" simplePos="0" relativeHeight="253074432"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796" name="IM 1796"/>
            <wp:cNvGraphicFramePr/>
            <a:graphic>
              <a:graphicData uri="http://schemas.openxmlformats.org/drawingml/2006/picture">
                <pic:pic>
                  <pic:nvPicPr>
                    <pic:cNvPr id="1796" name="IM 1796"/>
                    <pic:cNvPicPr/>
                  </pic:nvPicPr>
                  <pic:blipFill>
                    <a:blip r:embed="rId900"/>
                    <a:stretch>
                      <a:fillRect/>
                    </a:stretch>
                  </pic:blipFill>
                  <pic:spPr>
                    <a:xfrm rot="0">
                      <a:off x="0" y="0"/>
                      <a:ext cx="5579745" cy="7620"/>
                    </a:xfrm>
                    <a:prstGeom prst="rect">
                      <a:avLst/>
                    </a:prstGeom>
                  </pic:spPr>
                </pic:pic>
              </a:graphicData>
            </a:graphic>
          </wp:anchor>
        </w:drawing>
      </w:r>
      <w:r/>
    </w:p>
    <w:p>
      <w:pPr>
        <w:sectPr>
          <w:headerReference w:type="default" r:id="rId816"/>
          <w:footerReference w:type="default" r:id="rId899"/>
          <w:pgSz w:w="11906" w:h="16839"/>
          <w:pgMar w:top="1772" w:right="1489" w:bottom="1562" w:left="1567" w:header="1428" w:footer="1172" w:gutter="0"/>
          <w:cols w:equalWidth="0" w:num="1">
            <w:col w:w="8850" w:space="0"/>
          </w:cols>
        </w:sectPr>
        <w:rPr/>
      </w:pPr>
    </w:p>
    <w:p>
      <w:pPr>
        <w:pStyle w:val="BodyText"/>
        <w:ind w:left="24" w:right="329" w:firstLine="3"/>
        <w:spacing w:before="40" w:line="368" w:lineRule="auto"/>
        <w:jc w:val="both"/>
        <w:rPr/>
      </w:pPr>
      <w:r>
        <w:rPr>
          <w:spacing w:val="7"/>
        </w:rPr>
        <w:t>发挥治安防控的资源优势，在处置突发公共事</w:t>
      </w:r>
      <w:r>
        <w:rPr>
          <w:spacing w:val="7"/>
        </w:rPr>
        <w:t>件中的作用，通过体制创新，为应对各类突发</w:t>
      </w:r>
      <w:r>
        <w:rPr>
          <w:spacing w:val="8"/>
        </w:rPr>
        <w:t>公共事件提供保障。</w:t>
      </w:r>
    </w:p>
    <w:p>
      <w:pPr>
        <w:pStyle w:val="BodyText"/>
        <w:ind w:left="24" w:right="306" w:firstLine="413"/>
        <w:spacing w:before="5" w:line="369" w:lineRule="auto"/>
        <w:jc w:val="both"/>
        <w:rPr/>
      </w:pPr>
      <w:r>
        <w:rPr>
          <w:spacing w:val="11"/>
        </w:rPr>
        <w:t>（</w:t>
      </w:r>
      <w:r>
        <w:rPr>
          <w:rFonts w:ascii="Times New Roman" w:hAnsi="Times New Roman" w:eastAsia="Times New Roman" w:cs="Times New Roman"/>
          <w:spacing w:val="11"/>
        </w:rPr>
        <w:t>7</w:t>
      </w:r>
      <w:r>
        <w:rPr>
          <w:rFonts w:ascii="Times New Roman" w:hAnsi="Times New Roman" w:eastAsia="Times New Roman" w:cs="Times New Roman"/>
          <w:spacing w:val="-18"/>
        </w:rPr>
        <w:t xml:space="preserve"> </w:t>
      </w:r>
      <w:r>
        <w:rPr>
          <w:spacing w:val="11"/>
        </w:rPr>
        <w:t>）依靠科技，提高素质。加强公共安</w:t>
      </w:r>
      <w:r>
        <w:rPr>
          <w:spacing w:val="8"/>
        </w:rPr>
        <w:t>全科学管理的力度，采用先进的监测、预测、</w:t>
      </w:r>
      <w:r>
        <w:rPr>
          <w:spacing w:val="7"/>
        </w:rPr>
        <w:t>预警、预防和应急处置技术及设施，充分发挥</w:t>
      </w:r>
      <w:r>
        <w:rPr>
          <w:spacing w:val="7"/>
        </w:rPr>
        <w:t>全市治安防控体系的作用，提高应对突发公共</w:t>
      </w:r>
      <w:r>
        <w:rPr>
          <w:spacing w:val="8"/>
        </w:rPr>
        <w:t>事件的科技水平和指挥能力，避免发生次生、</w:t>
      </w:r>
      <w:r>
        <w:rPr>
          <w:spacing w:val="7"/>
        </w:rPr>
        <w:t>衍生事件；在中小学校和社会各界加强宣传和</w:t>
      </w:r>
      <w:r>
        <w:rPr>
          <w:spacing w:val="7"/>
        </w:rPr>
        <w:t>培训教育工作，提高公众自救、互救和应对各</w:t>
      </w:r>
      <w:r>
        <w:rPr>
          <w:spacing w:val="8"/>
        </w:rPr>
        <w:t>类突发公共事件的综合素质。</w:t>
      </w:r>
    </w:p>
    <w:p>
      <w:pPr>
        <w:pStyle w:val="BodyText"/>
        <w:ind w:left="25" w:right="329" w:firstLine="441"/>
        <w:spacing w:before="1" w:line="372" w:lineRule="auto"/>
        <w:jc w:val="both"/>
        <w:rPr/>
      </w:pPr>
      <w:r>
        <w:rPr>
          <w:rFonts w:ascii="Times New Roman" w:hAnsi="Times New Roman" w:eastAsia="Times New Roman" w:cs="Times New Roman"/>
          <w:spacing w:val="7"/>
        </w:rPr>
        <w:t>1.5  </w:t>
      </w:r>
      <w:r>
        <w:rPr>
          <w:rFonts w:ascii="KaiTi" w:hAnsi="KaiTi" w:eastAsia="KaiTi" w:cs="KaiTi"/>
          <w:spacing w:val="7"/>
        </w:rPr>
        <w:t>事故分级。</w:t>
      </w:r>
      <w:r>
        <w:rPr>
          <w:spacing w:val="7"/>
        </w:rPr>
        <w:t>本预案所称公共聚集场所</w:t>
      </w:r>
      <w:r>
        <w:rPr>
          <w:spacing w:val="7"/>
        </w:rPr>
        <w:t>是指景区（点）、公园、机场、客运车站、展</w:t>
      </w:r>
      <w:r>
        <w:rPr>
          <w:spacing w:val="7"/>
        </w:rPr>
        <w:t>览场馆、体育场馆、文化娱乐场所、商场、集</w:t>
      </w:r>
      <w:r>
        <w:rPr>
          <w:spacing w:val="7"/>
        </w:rPr>
        <w:t>贸市场；医院、学校、宗教活动场所；人群经</w:t>
      </w:r>
      <w:r>
        <w:rPr>
          <w:spacing w:val="7"/>
        </w:rPr>
        <w:t>常聚集的广场、道路等其他公共场所。突发公</w:t>
      </w:r>
      <w:r>
        <w:rPr>
          <w:spacing w:val="7"/>
        </w:rPr>
        <w:t>共事件是指突然发生，造成或者可能造成重大</w:t>
      </w:r>
      <w:r>
        <w:rPr>
          <w:spacing w:val="7"/>
        </w:rPr>
        <w:t>人员伤亡、财产损失和严重社会危害，危及公</w:t>
      </w:r>
      <w:r>
        <w:rPr>
          <w:spacing w:val="8"/>
        </w:rPr>
        <w:t>共安全的紧急事件。</w:t>
      </w:r>
    </w:p>
    <w:p>
      <w:pPr>
        <w:pStyle w:val="BodyText"/>
        <w:ind w:left="25" w:right="209" w:firstLine="420"/>
        <w:spacing w:before="8" w:line="371" w:lineRule="auto"/>
        <w:jc w:val="both"/>
        <w:rPr/>
      </w:pPr>
      <w:r>
        <w:rPr>
          <w:spacing w:val="19"/>
        </w:rPr>
        <w:t>各类突发公共事件按照其性质、严重程</w:t>
      </w:r>
      <w:r>
        <w:rPr>
          <w:spacing w:val="2"/>
        </w:rPr>
        <w:t>度、可控性和影响范围等因素，一般分为四级：</w:t>
      </w:r>
      <w:r>
        <w:rPr/>
        <w:t xml:space="preserve"> </w:t>
      </w:r>
      <w:r>
        <w:rPr>
          <w:rFonts w:ascii="Times New Roman" w:hAnsi="Times New Roman" w:eastAsia="Times New Roman" w:cs="Times New Roman"/>
          <w:spacing w:val="3"/>
        </w:rPr>
        <w:t>Ⅰ</w:t>
      </w:r>
      <w:r>
        <w:rPr>
          <w:spacing w:val="3"/>
        </w:rPr>
        <w:t>级（特别重大）、</w:t>
      </w:r>
      <w:r>
        <w:rPr>
          <w:rFonts w:ascii="Times New Roman" w:hAnsi="Times New Roman" w:eastAsia="Times New Roman" w:cs="Times New Roman"/>
          <w:spacing w:val="3"/>
        </w:rPr>
        <w:t>Ⅱ</w:t>
      </w:r>
      <w:r>
        <w:rPr>
          <w:spacing w:val="3"/>
        </w:rPr>
        <w:t>级（重大）、</w:t>
      </w:r>
      <w:r>
        <w:rPr>
          <w:rFonts w:ascii="Times New Roman" w:hAnsi="Times New Roman" w:eastAsia="Times New Roman" w:cs="Times New Roman"/>
          <w:spacing w:val="3"/>
        </w:rPr>
        <w:t>Ⅲ</w:t>
      </w:r>
      <w:r>
        <w:rPr>
          <w:spacing w:val="3"/>
        </w:rPr>
        <w:t>级（较大）</w:t>
      </w:r>
      <w:r>
        <w:rPr>
          <w:spacing w:val="6"/>
        </w:rPr>
        <w:t>和</w:t>
      </w:r>
      <w:r>
        <w:rPr>
          <w:rFonts w:ascii="Times New Roman" w:hAnsi="Times New Roman" w:eastAsia="Times New Roman" w:cs="Times New Roman"/>
          <w:spacing w:val="6"/>
        </w:rPr>
        <w:t>Ⅳ</w:t>
      </w:r>
      <w:r>
        <w:rPr>
          <w:spacing w:val="6"/>
        </w:rPr>
        <w:t>级（一般）。</w:t>
      </w:r>
    </w:p>
    <w:p>
      <w:pPr>
        <w:ind w:left="447"/>
        <w:spacing w:before="1"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2</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6"/>
        </w:rPr>
        <w:t>应急预案体系</w:t>
      </w:r>
    </w:p>
    <w:p>
      <w:pPr>
        <w:pStyle w:val="BodyText"/>
        <w:ind w:left="27" w:right="329" w:firstLine="419"/>
        <w:spacing w:before="106" w:line="371" w:lineRule="auto"/>
        <w:rPr/>
      </w:pPr>
      <w:r>
        <w:rPr>
          <w:spacing w:val="19"/>
        </w:rPr>
        <w:t>全市人员聚集场所突发公共事件应急预</w:t>
      </w:r>
      <w:r>
        <w:rPr>
          <w:spacing w:val="7"/>
        </w:rPr>
        <w:t>案体系包括：</w:t>
      </w:r>
    </w:p>
    <w:p>
      <w:pPr>
        <w:pStyle w:val="BodyText"/>
        <w:ind w:left="26" w:right="252" w:firstLine="410"/>
        <w:spacing w:before="2" w:line="322" w:lineRule="auto"/>
        <w:rPr/>
      </w:pPr>
      <w:r>
        <w:rPr>
          <w:spacing w:val="1"/>
        </w:rPr>
        <w:t>（</w:t>
      </w:r>
      <w:r>
        <w:rPr>
          <w:spacing w:val="-38"/>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1"/>
        </w:rPr>
        <w:t xml:space="preserve"> </w:t>
      </w:r>
      <w:r>
        <w:rPr>
          <w:spacing w:val="1"/>
        </w:rPr>
        <w:t>）固原市突发公共事件总体应急预案。</w:t>
      </w:r>
      <w:r>
        <w:rPr>
          <w:spacing w:val="7"/>
        </w:rPr>
        <w:t>总体应急预案是应对特别重大、重大突发公共</w:t>
      </w:r>
      <w:r>
        <w:rPr>
          <w:spacing w:val="8"/>
        </w:rPr>
        <w:t>事件所采取的具体应急措施。</w:t>
      </w:r>
    </w:p>
    <w:p>
      <w:pPr>
        <w:pStyle w:val="BodyText"/>
        <w:ind w:left="25" w:right="329" w:firstLine="412"/>
        <w:spacing w:before="165" w:line="322"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）突发公共事件专项应急预案。专项</w:t>
      </w:r>
      <w:r>
        <w:rPr>
          <w:spacing w:val="18"/>
        </w:rPr>
        <w:t>应急预案主要是市相关部门为应对某一类型</w:t>
      </w:r>
      <w:r>
        <w:rPr>
          <w:spacing w:val="18"/>
        </w:rPr>
        <w:t>或某几种类型突发公共事件而制定的涉及相</w:t>
      </w:r>
    </w:p>
    <w:p>
      <w:pPr>
        <w:spacing w:line="14" w:lineRule="auto"/>
        <w:rPr>
          <w:rFonts w:ascii="Arial"/>
          <w:sz w:val="2"/>
        </w:rPr>
      </w:pPr>
      <w:r>
        <w:rPr>
          <w:rFonts w:ascii="Arial" w:hAnsi="Arial" w:eastAsia="Arial" w:cs="Arial"/>
          <w:sz w:val="2"/>
          <w:szCs w:val="2"/>
        </w:rPr>
        <w:br w:type="column"/>
      </w:r>
    </w:p>
    <w:p>
      <w:pPr>
        <w:pStyle w:val="BodyText"/>
        <w:spacing w:before="42" w:line="220" w:lineRule="auto"/>
        <w:rPr/>
      </w:pPr>
      <w:r>
        <w:rPr>
          <w:spacing w:val="8"/>
        </w:rPr>
        <w:t>关部门职责的应急预案。</w:t>
      </w:r>
    </w:p>
    <w:p>
      <w:pPr>
        <w:pStyle w:val="BodyText"/>
        <w:ind w:left="2" w:right="103" w:firstLine="410"/>
        <w:spacing w:before="163" w:line="298"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）公共聚集娱乐服务以及文化设施安</w:t>
      </w:r>
      <w:r>
        <w:rPr>
          <w:spacing w:val="9"/>
        </w:rPr>
        <w:t>全的应急预案由文化主管部门具体制定。</w:t>
      </w:r>
    </w:p>
    <w:p>
      <w:pPr>
        <w:pStyle w:val="BodyText"/>
        <w:ind w:right="6"/>
        <w:spacing w:before="160" w:line="278" w:lineRule="exact"/>
        <w:jc w:val="right"/>
        <w:rPr/>
      </w:pPr>
      <w:r>
        <w:rPr>
          <w:spacing w:val="5"/>
          <w:position w:val="1"/>
        </w:rPr>
        <w:t>（</w:t>
      </w:r>
      <w:r>
        <w:rPr>
          <w:rFonts w:ascii="Times New Roman" w:hAnsi="Times New Roman" w:eastAsia="Times New Roman" w:cs="Times New Roman"/>
          <w:spacing w:val="5"/>
          <w:position w:val="1"/>
        </w:rPr>
        <w:t>4</w:t>
      </w:r>
      <w:r>
        <w:rPr>
          <w:rFonts w:ascii="Times New Roman" w:hAnsi="Times New Roman" w:eastAsia="Times New Roman" w:cs="Times New Roman"/>
          <w:spacing w:val="-18"/>
          <w:position w:val="1"/>
        </w:rPr>
        <w:t xml:space="preserve"> </w:t>
      </w:r>
      <w:r>
        <w:rPr>
          <w:spacing w:val="5"/>
          <w:position w:val="1"/>
        </w:rPr>
        <w:t>）学校公共安全预案由教育部门制定。</w:t>
      </w:r>
    </w:p>
    <w:p>
      <w:pPr>
        <w:pStyle w:val="BodyText"/>
        <w:ind w:left="3" w:right="103" w:firstLine="409"/>
        <w:spacing w:before="127" w:line="298" w:lineRule="auto"/>
        <w:rPr/>
      </w:pPr>
      <w:r>
        <w:rPr>
          <w:spacing w:val="8"/>
        </w:rPr>
        <w:t>（</w:t>
      </w:r>
      <w:r>
        <w:rPr>
          <w:spacing w:val="-45"/>
        </w:rPr>
        <w:t xml:space="preserve"> </w:t>
      </w:r>
      <w:r>
        <w:rPr>
          <w:rFonts w:ascii="Times New Roman" w:hAnsi="Times New Roman" w:eastAsia="Times New Roman" w:cs="Times New Roman"/>
          <w:spacing w:val="8"/>
        </w:rPr>
        <w:t>5</w:t>
      </w:r>
      <w:r>
        <w:rPr>
          <w:rFonts w:ascii="Times New Roman" w:hAnsi="Times New Roman" w:eastAsia="Times New Roman" w:cs="Times New Roman"/>
          <w:spacing w:val="-19"/>
        </w:rPr>
        <w:t xml:space="preserve"> </w:t>
      </w:r>
      <w:r>
        <w:rPr>
          <w:spacing w:val="8"/>
        </w:rPr>
        <w:t>）企事业单位根据有关法律法规、规</w:t>
      </w:r>
      <w:r>
        <w:rPr>
          <w:spacing w:val="8"/>
        </w:rPr>
        <w:t>章制定的应急预案。</w:t>
      </w:r>
    </w:p>
    <w:p>
      <w:pPr>
        <w:pStyle w:val="BodyText"/>
        <w:ind w:left="4" w:right="103" w:firstLine="408"/>
        <w:spacing w:before="162" w:line="300" w:lineRule="auto"/>
        <w:rPr/>
      </w:pPr>
      <w:r>
        <w:rPr>
          <w:spacing w:val="11"/>
        </w:rPr>
        <w:t>（</w:t>
      </w:r>
      <w:r>
        <w:rPr>
          <w:rFonts w:ascii="Times New Roman" w:hAnsi="Times New Roman" w:eastAsia="Times New Roman" w:cs="Times New Roman"/>
          <w:spacing w:val="11"/>
        </w:rPr>
        <w:t>6</w:t>
      </w:r>
      <w:r>
        <w:rPr>
          <w:rFonts w:ascii="Times New Roman" w:hAnsi="Times New Roman" w:eastAsia="Times New Roman" w:cs="Times New Roman"/>
          <w:spacing w:val="-18"/>
        </w:rPr>
        <w:t xml:space="preserve"> </w:t>
      </w:r>
      <w:r>
        <w:rPr>
          <w:spacing w:val="11"/>
        </w:rPr>
        <w:t>）举办大型会展和文化体育等重大活</w:t>
      </w:r>
      <w:r>
        <w:rPr>
          <w:spacing w:val="8"/>
        </w:rPr>
        <w:t>动，主办单位应当制定应急预案。</w:t>
      </w:r>
    </w:p>
    <w:p>
      <w:pPr>
        <w:ind w:left="424"/>
        <w:spacing w:before="151"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3</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5"/>
        </w:rPr>
        <w:t>组织指挥体系</w:t>
      </w:r>
    </w:p>
    <w:p>
      <w:pPr>
        <w:ind w:left="426"/>
        <w:spacing w:before="100" w:line="242" w:lineRule="auto"/>
        <w:rPr>
          <w:rFonts w:ascii="KaiTi" w:hAnsi="KaiTi" w:eastAsia="KaiTi" w:cs="KaiTi"/>
          <w:sz w:val="20"/>
          <w:szCs w:val="20"/>
        </w:rPr>
      </w:pPr>
      <w:r>
        <w:rPr>
          <w:rFonts w:ascii="Times New Roman" w:hAnsi="Times New Roman" w:eastAsia="Times New Roman" w:cs="Times New Roman"/>
          <w:sz w:val="20"/>
          <w:szCs w:val="20"/>
          <w:spacing w:val="3"/>
        </w:rPr>
        <w:t>3.</w:t>
      </w:r>
      <w:r>
        <w:rPr>
          <w:rFonts w:ascii="Times New Roman" w:hAnsi="Times New Roman" w:eastAsia="Times New Roman" w:cs="Times New Roman"/>
          <w:sz w:val="20"/>
          <w:szCs w:val="20"/>
          <w:spacing w:val="-21"/>
        </w:rPr>
        <w:t xml:space="preserve"> </w:t>
      </w:r>
      <w:r>
        <w:rPr>
          <w:rFonts w:ascii="Times New Roman" w:hAnsi="Times New Roman" w:eastAsia="Times New Roman" w:cs="Times New Roman"/>
          <w:sz w:val="20"/>
          <w:szCs w:val="20"/>
          <w:spacing w:val="3"/>
        </w:rPr>
        <w:t>1  </w:t>
      </w:r>
      <w:r>
        <w:rPr>
          <w:rFonts w:ascii="KaiTi" w:hAnsi="KaiTi" w:eastAsia="KaiTi" w:cs="KaiTi"/>
          <w:sz w:val="20"/>
          <w:szCs w:val="20"/>
          <w:spacing w:val="3"/>
        </w:rPr>
        <w:t>组织指挥机构。</w:t>
      </w:r>
    </w:p>
    <w:p>
      <w:pPr>
        <w:pStyle w:val="BodyText"/>
        <w:ind w:left="426"/>
        <w:spacing w:before="148" w:line="219" w:lineRule="auto"/>
        <w:rPr/>
      </w:pPr>
      <w:r>
        <w:rPr>
          <w:rFonts w:ascii="Times New Roman" w:hAnsi="Times New Roman" w:eastAsia="Times New Roman" w:cs="Times New Roman"/>
          <w:spacing w:val="3"/>
        </w:rPr>
        <w:t>3.</w:t>
      </w:r>
      <w:r>
        <w:rPr>
          <w:rFonts w:ascii="Times New Roman" w:hAnsi="Times New Roman" w:eastAsia="Times New Roman" w:cs="Times New Roman"/>
          <w:spacing w:val="-24"/>
        </w:rPr>
        <w:t xml:space="preserve"> </w:t>
      </w:r>
      <w:r>
        <w:rPr>
          <w:rFonts w:ascii="Times New Roman" w:hAnsi="Times New Roman" w:eastAsia="Times New Roman" w:cs="Times New Roman"/>
          <w:spacing w:val="3"/>
        </w:rPr>
        <w:t>1.1  </w:t>
      </w:r>
      <w:r>
        <w:rPr>
          <w:spacing w:val="3"/>
        </w:rPr>
        <w:t>指挥部组成</w:t>
      </w:r>
    </w:p>
    <w:p>
      <w:pPr>
        <w:pStyle w:val="BodyText"/>
        <w:ind w:left="426" w:right="101" w:hanging="3"/>
        <w:spacing w:before="160" w:line="371" w:lineRule="auto"/>
        <w:rPr/>
      </w:pPr>
      <w:r>
        <w:rPr>
          <w:spacing w:val="6"/>
        </w:rPr>
        <w:t>指 挥 长：由主管突发事件的副市长担任</w:t>
      </w:r>
      <w:r>
        <w:rPr>
          <w:spacing w:val="6"/>
        </w:rPr>
        <w:t>副指挥长：由市政府秘书长、市公安局分</w:t>
      </w:r>
    </w:p>
    <w:p>
      <w:pPr>
        <w:pStyle w:val="BodyText"/>
        <w:ind w:right="101" w:firstLine="3"/>
        <w:spacing w:before="6" w:line="353" w:lineRule="auto"/>
        <w:rPr/>
      </w:pPr>
      <w:r>
        <w:rPr>
          <w:spacing w:val="4"/>
        </w:rPr>
        <w:t>管领导、市监委领导及事发地县（</w:t>
      </w:r>
      <w:r>
        <w:rPr>
          <w:spacing w:val="-38"/>
        </w:rPr>
        <w:t xml:space="preserve"> </w:t>
      </w:r>
      <w:r>
        <w:rPr>
          <w:spacing w:val="4"/>
        </w:rPr>
        <w:t>区）政府主</w:t>
      </w:r>
      <w:r>
        <w:rPr>
          <w:spacing w:val="7"/>
        </w:rPr>
        <w:t>要负责人担任。</w:t>
      </w:r>
    </w:p>
    <w:p>
      <w:pPr>
        <w:pStyle w:val="BodyText"/>
        <w:ind w:left="2" w:right="20" w:firstLine="419"/>
        <w:spacing w:before="40" w:line="374" w:lineRule="auto"/>
        <w:jc w:val="both"/>
        <w:rPr/>
      </w:pPr>
      <w:r>
        <w:rPr/>
        <w:t>成员单位：市公安局、市卫生健康委员会、</w:t>
      </w:r>
      <w:r>
        <w:rPr>
          <w:spacing w:val="7"/>
        </w:rPr>
        <w:t>市交通运输局、市城市管理局、市民政局、市</w:t>
      </w:r>
      <w:r>
        <w:rPr>
          <w:spacing w:val="7"/>
        </w:rPr>
        <w:t>财政局等部门（单位）负责人，由指挥部根据</w:t>
      </w:r>
      <w:r>
        <w:rPr>
          <w:spacing w:val="18"/>
        </w:rPr>
        <w:t>工作需要确定的非政府职能部门负责人以及</w:t>
      </w:r>
      <w:r>
        <w:rPr>
          <w:spacing w:val="6"/>
        </w:rPr>
        <w:t>事发地县（</w:t>
      </w:r>
      <w:r>
        <w:rPr>
          <w:spacing w:val="-51"/>
        </w:rPr>
        <w:t xml:space="preserve"> </w:t>
      </w:r>
      <w:r>
        <w:rPr>
          <w:spacing w:val="6"/>
        </w:rPr>
        <w:t>区）政府有关负责人组成。</w:t>
      </w:r>
    </w:p>
    <w:p>
      <w:pPr>
        <w:pStyle w:val="BodyText"/>
        <w:ind w:left="426"/>
        <w:spacing w:line="220" w:lineRule="auto"/>
        <w:rPr/>
      </w:pPr>
      <w:r>
        <w:rPr>
          <w:rFonts w:ascii="Times New Roman" w:hAnsi="Times New Roman" w:eastAsia="Times New Roman" w:cs="Times New Roman"/>
          <w:spacing w:val="3"/>
        </w:rPr>
        <w:t>3.</w:t>
      </w:r>
      <w:r>
        <w:rPr>
          <w:rFonts w:ascii="Times New Roman" w:hAnsi="Times New Roman" w:eastAsia="Times New Roman" w:cs="Times New Roman"/>
          <w:spacing w:val="-24"/>
        </w:rPr>
        <w:t xml:space="preserve"> </w:t>
      </w:r>
      <w:r>
        <w:rPr>
          <w:rFonts w:ascii="Times New Roman" w:hAnsi="Times New Roman" w:eastAsia="Times New Roman" w:cs="Times New Roman"/>
          <w:spacing w:val="3"/>
        </w:rPr>
        <w:t>1.2 </w:t>
      </w:r>
      <w:r>
        <w:rPr>
          <w:spacing w:val="3"/>
        </w:rPr>
        <w:t>指挥部职责</w:t>
      </w:r>
    </w:p>
    <w:p>
      <w:pPr>
        <w:pStyle w:val="BodyText"/>
        <w:ind w:right="82" w:firstLine="412"/>
        <w:spacing w:before="160" w:line="299" w:lineRule="auto"/>
        <w:rPr/>
      </w:pPr>
      <w:r>
        <w:rPr>
          <w:spacing w:val="-12"/>
        </w:rPr>
        <w:t>（</w:t>
      </w:r>
      <w:r>
        <w:rPr>
          <w:spacing w:val="-37"/>
        </w:rPr>
        <w:t xml:space="preserve"> </w:t>
      </w:r>
      <w:r>
        <w:rPr>
          <w:rFonts w:ascii="Times New Roman" w:hAnsi="Times New Roman" w:eastAsia="Times New Roman" w:cs="Times New Roman"/>
          <w:spacing w:val="-12"/>
        </w:rPr>
        <w:t>1</w:t>
      </w:r>
      <w:r>
        <w:rPr>
          <w:rFonts w:ascii="Times New Roman" w:hAnsi="Times New Roman" w:eastAsia="Times New Roman" w:cs="Times New Roman"/>
          <w:spacing w:val="-21"/>
        </w:rPr>
        <w:t xml:space="preserve"> </w:t>
      </w:r>
      <w:r>
        <w:rPr>
          <w:spacing w:val="-12"/>
        </w:rPr>
        <w:t>）统一指挥全市公共聚集场所突发事件的</w:t>
      </w:r>
      <w:r>
        <w:rPr>
          <w:spacing w:val="-5"/>
        </w:rPr>
        <w:t>应急处置行动。</w:t>
      </w:r>
    </w:p>
    <w:p>
      <w:pPr>
        <w:pStyle w:val="BodyText"/>
        <w:ind w:left="413"/>
        <w:spacing w:before="162" w:line="277" w:lineRule="exact"/>
        <w:rPr/>
      </w:pPr>
      <w:r>
        <w:rPr>
          <w:spacing w:val="6"/>
          <w:position w:val="1"/>
        </w:rPr>
        <w:t>（</w:t>
      </w:r>
      <w:r>
        <w:rPr>
          <w:rFonts w:ascii="Times New Roman" w:hAnsi="Times New Roman" w:eastAsia="Times New Roman" w:cs="Times New Roman"/>
          <w:spacing w:val="6"/>
          <w:position w:val="1"/>
        </w:rPr>
        <w:t>2</w:t>
      </w:r>
      <w:r>
        <w:rPr>
          <w:rFonts w:ascii="Times New Roman" w:hAnsi="Times New Roman" w:eastAsia="Times New Roman" w:cs="Times New Roman"/>
          <w:spacing w:val="-21"/>
          <w:position w:val="1"/>
        </w:rPr>
        <w:t xml:space="preserve"> </w:t>
      </w:r>
      <w:r>
        <w:rPr>
          <w:spacing w:val="6"/>
          <w:position w:val="1"/>
        </w:rPr>
        <w:t>）负责启动本预案。</w:t>
      </w:r>
    </w:p>
    <w:p>
      <w:pPr>
        <w:pStyle w:val="BodyText"/>
        <w:ind w:left="1" w:right="103" w:firstLine="411"/>
        <w:spacing w:before="126" w:line="299" w:lineRule="auto"/>
        <w:rPr/>
      </w:pPr>
      <w:r>
        <w:rPr>
          <w:spacing w:val="8"/>
        </w:rPr>
        <w:t>（</w:t>
      </w:r>
      <w:r>
        <w:rPr>
          <w:rFonts w:ascii="Times New Roman" w:hAnsi="Times New Roman" w:eastAsia="Times New Roman" w:cs="Times New Roman"/>
          <w:spacing w:val="8"/>
        </w:rPr>
        <w:t>3</w:t>
      </w:r>
      <w:r>
        <w:rPr>
          <w:rFonts w:ascii="Times New Roman" w:hAnsi="Times New Roman" w:eastAsia="Times New Roman" w:cs="Times New Roman"/>
          <w:spacing w:val="-5"/>
        </w:rPr>
        <w:t xml:space="preserve"> </w:t>
      </w:r>
      <w:r>
        <w:rPr>
          <w:spacing w:val="8"/>
        </w:rPr>
        <w:t>）对处置行动作出决策</w:t>
      </w:r>
      <w:r>
        <w:rPr>
          <w:spacing w:val="-59"/>
        </w:rPr>
        <w:t xml:space="preserve"> </w:t>
      </w:r>
      <w:r>
        <w:rPr>
          <w:spacing w:val="8"/>
        </w:rPr>
        <w:t>，下达命令和</w:t>
      </w:r>
      <w:r>
        <w:rPr>
          <w:spacing w:val="6"/>
        </w:rPr>
        <w:t>进行监督。</w:t>
      </w:r>
    </w:p>
    <w:p>
      <w:pPr>
        <w:pStyle w:val="BodyText"/>
        <w:ind w:left="2" w:right="18" w:firstLine="410"/>
        <w:spacing w:before="161" w:line="299" w:lineRule="auto"/>
        <w:rPr/>
      </w:pPr>
      <w:r>
        <w:rPr>
          <w:spacing w:val="8"/>
        </w:rPr>
        <w:t>（</w:t>
      </w:r>
      <w:r>
        <w:rPr>
          <w:rFonts w:ascii="Times New Roman" w:hAnsi="Times New Roman" w:eastAsia="Times New Roman" w:cs="Times New Roman"/>
          <w:spacing w:val="8"/>
        </w:rPr>
        <w:t>4</w:t>
      </w:r>
      <w:r>
        <w:rPr>
          <w:rFonts w:ascii="Times New Roman" w:hAnsi="Times New Roman" w:eastAsia="Times New Roman" w:cs="Times New Roman"/>
          <w:spacing w:val="-5"/>
        </w:rPr>
        <w:t xml:space="preserve"> </w:t>
      </w:r>
      <w:r>
        <w:rPr>
          <w:spacing w:val="8"/>
        </w:rPr>
        <w:t>）协调有关部门和单位参加</w:t>
      </w:r>
      <w:r>
        <w:rPr>
          <w:spacing w:val="-59"/>
        </w:rPr>
        <w:t xml:space="preserve"> </w:t>
      </w:r>
      <w:r>
        <w:rPr>
          <w:spacing w:val="8"/>
        </w:rPr>
        <w:t>，紧急指</w:t>
      </w:r>
      <w:r>
        <w:rPr>
          <w:spacing w:val="-8"/>
        </w:rPr>
        <w:t>挥调度应急储备物资、交通工具及相关设施设备。</w:t>
      </w:r>
    </w:p>
    <w:p>
      <w:pPr>
        <w:pStyle w:val="BodyText"/>
        <w:ind w:left="2" w:right="36" w:firstLine="410"/>
        <w:spacing w:before="160" w:line="323" w:lineRule="auto"/>
        <w:rPr/>
      </w:pPr>
      <w:r>
        <w:rPr>
          <w:spacing w:val="3"/>
        </w:rPr>
        <w:t>（</w:t>
      </w:r>
      <w:r>
        <w:rPr>
          <w:rFonts w:ascii="Times New Roman" w:hAnsi="Times New Roman" w:eastAsia="Times New Roman" w:cs="Times New Roman"/>
          <w:spacing w:val="3"/>
        </w:rPr>
        <w:t>5</w:t>
      </w:r>
      <w:r>
        <w:rPr>
          <w:rFonts w:ascii="Times New Roman" w:hAnsi="Times New Roman" w:eastAsia="Times New Roman" w:cs="Times New Roman"/>
          <w:spacing w:val="-10"/>
        </w:rPr>
        <w:t xml:space="preserve"> </w:t>
      </w:r>
      <w:r>
        <w:rPr>
          <w:spacing w:val="3"/>
        </w:rPr>
        <w:t>）向市政府报告事件处置的进展情况，</w:t>
      </w:r>
      <w:r>
        <w:rPr>
          <w:spacing w:val="7"/>
        </w:rPr>
        <w:t>必要时由市政府请示自治区政府，请求自治区</w:t>
      </w:r>
      <w:r>
        <w:rPr>
          <w:spacing w:val="8"/>
        </w:rPr>
        <w:t>政府有关部门给予支援。</w:t>
      </w:r>
    </w:p>
    <w:p>
      <w:pPr>
        <w:pStyle w:val="BodyText"/>
        <w:ind w:left="413"/>
        <w:spacing w:before="159" w:line="221" w:lineRule="auto"/>
        <w:rPr/>
      </w:pPr>
      <w:r>
        <w:rPr>
          <w:spacing w:val="11"/>
        </w:rPr>
        <w:t>（</w:t>
      </w:r>
      <w:r>
        <w:rPr>
          <w:rFonts w:ascii="Times New Roman" w:hAnsi="Times New Roman" w:eastAsia="Times New Roman" w:cs="Times New Roman"/>
          <w:spacing w:val="11"/>
        </w:rPr>
        <w:t>6</w:t>
      </w:r>
      <w:r>
        <w:rPr>
          <w:rFonts w:ascii="Times New Roman" w:hAnsi="Times New Roman" w:eastAsia="Times New Roman" w:cs="Times New Roman"/>
          <w:spacing w:val="-18"/>
        </w:rPr>
        <w:t xml:space="preserve"> </w:t>
      </w:r>
      <w:r>
        <w:rPr>
          <w:spacing w:val="11"/>
        </w:rPr>
        <w:t>）研究解决公共聚集场所突发事件处</w:t>
      </w:r>
    </w:p>
    <w:p>
      <w:pPr>
        <w:spacing w:line="221" w:lineRule="auto"/>
        <w:sectPr>
          <w:type w:val="continuous"/>
          <w:pgSz w:w="11906" w:h="16839"/>
          <w:pgMar w:top="1772" w:right="1489" w:bottom="1562" w:left="1567" w:header="1428" w:footer="1172" w:gutter="0"/>
          <w:cols w:equalWidth="0" w:num="2">
            <w:col w:w="4502" w:space="100"/>
            <w:col w:w="4249" w:space="0"/>
          </w:cols>
        </w:sectPr>
        <w:rPr/>
      </w:pPr>
    </w:p>
    <w:p>
      <w:pPr>
        <w:spacing w:line="146" w:lineRule="exact"/>
        <w:rPr/>
      </w:pPr>
      <w:r>
        <w:drawing>
          <wp:anchor distT="0" distB="0" distL="0" distR="0" simplePos="0" relativeHeight="253085696"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800" name="IM 1800"/>
            <wp:cNvGraphicFramePr/>
            <a:graphic>
              <a:graphicData uri="http://schemas.openxmlformats.org/drawingml/2006/picture">
                <pic:pic>
                  <pic:nvPicPr>
                    <pic:cNvPr id="1800" name="IM 1800"/>
                    <pic:cNvPicPr/>
                  </pic:nvPicPr>
                  <pic:blipFill>
                    <a:blip r:embed="rId902"/>
                    <a:stretch>
                      <a:fillRect/>
                    </a:stretch>
                  </pic:blipFill>
                  <pic:spPr>
                    <a:xfrm rot="0">
                      <a:off x="0" y="0"/>
                      <a:ext cx="5579745" cy="7620"/>
                    </a:xfrm>
                    <a:prstGeom prst="rect">
                      <a:avLst/>
                    </a:prstGeom>
                  </pic:spPr>
                </pic:pic>
              </a:graphicData>
            </a:graphic>
          </wp:anchor>
        </w:drawing>
      </w:r>
      <w:r/>
    </w:p>
    <w:p>
      <w:pPr>
        <w:spacing w:line="146" w:lineRule="exact"/>
        <w:sectPr>
          <w:headerReference w:type="default" r:id="rId549"/>
          <w:footerReference w:type="default" r:id="rId901"/>
          <w:pgSz w:w="11906" w:h="16839"/>
          <w:pgMar w:top="1766" w:right="1530" w:bottom="1575" w:left="1579" w:header="1428" w:footer="1172" w:gutter="0"/>
          <w:cols w:equalWidth="0" w:num="1">
            <w:col w:w="8796" w:space="0"/>
          </w:cols>
        </w:sectPr>
        <w:rPr/>
      </w:pPr>
    </w:p>
    <w:p>
      <w:pPr>
        <w:pStyle w:val="BodyText"/>
        <w:ind w:left="15"/>
        <w:spacing w:before="43" w:line="222" w:lineRule="auto"/>
        <w:rPr/>
      </w:pPr>
      <w:r>
        <w:rPr>
          <w:spacing w:val="8"/>
        </w:rPr>
        <w:t>置过程中的其他重大事项。</w:t>
      </w:r>
    </w:p>
    <w:p>
      <w:pPr>
        <w:pStyle w:val="BodyText"/>
        <w:ind w:left="437"/>
        <w:spacing w:before="158" w:line="221" w:lineRule="auto"/>
        <w:rPr/>
      </w:pPr>
      <w:r>
        <w:rPr>
          <w:rFonts w:ascii="Times New Roman" w:hAnsi="Times New Roman" w:eastAsia="Times New Roman" w:cs="Times New Roman"/>
          <w:spacing w:val="5"/>
        </w:rPr>
        <w:t>3.</w:t>
      </w:r>
      <w:r>
        <w:rPr>
          <w:rFonts w:ascii="Times New Roman" w:hAnsi="Times New Roman" w:eastAsia="Times New Roman" w:cs="Times New Roman"/>
          <w:spacing w:val="-22"/>
        </w:rPr>
        <w:t xml:space="preserve"> </w:t>
      </w:r>
      <w:r>
        <w:rPr>
          <w:rFonts w:ascii="Times New Roman" w:hAnsi="Times New Roman" w:eastAsia="Times New Roman" w:cs="Times New Roman"/>
          <w:spacing w:val="5"/>
        </w:rPr>
        <w:t>1.3 </w:t>
      </w:r>
      <w:r>
        <w:rPr>
          <w:spacing w:val="5"/>
        </w:rPr>
        <w:t>指挥部各成员单位职责</w:t>
      </w:r>
    </w:p>
    <w:p>
      <w:pPr>
        <w:pStyle w:val="BodyText"/>
        <w:ind w:left="11" w:right="289" w:firstLine="413"/>
        <w:spacing w:before="155" w:line="349"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）市公安局：负责公共聚集场所突发</w:t>
      </w:r>
      <w:r>
        <w:rPr>
          <w:spacing w:val="18"/>
        </w:rPr>
        <w:t>事件信息上传下达和市指挥部各成员单位的</w:t>
      </w:r>
      <w:r>
        <w:rPr>
          <w:spacing w:val="7"/>
        </w:rPr>
        <w:t>联络工作；统一调动全市警力和财物，指挥和</w:t>
      </w:r>
      <w:r>
        <w:rPr>
          <w:spacing w:val="7"/>
        </w:rPr>
        <w:t>协调现场警戒和保卫、交通管制、清障、维护</w:t>
      </w:r>
      <w:r>
        <w:rPr>
          <w:spacing w:val="7"/>
        </w:rPr>
        <w:t>交通秩序，清理现场，保障救援通道畅通；组</w:t>
      </w:r>
      <w:r>
        <w:rPr>
          <w:spacing w:val="7"/>
        </w:rPr>
        <w:t>织全市公共聚集场所突发事件处置演练，建立</w:t>
      </w:r>
      <w:r>
        <w:rPr>
          <w:spacing w:val="9"/>
        </w:rPr>
        <w:t>公共聚集场所突发事件处置专家组。</w:t>
      </w:r>
    </w:p>
    <w:p>
      <w:pPr>
        <w:pStyle w:val="BodyText"/>
        <w:ind w:left="13" w:right="289" w:firstLine="411"/>
        <w:spacing w:before="157" w:line="340"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）市卫生健康委员会：负责组织医疗</w:t>
      </w:r>
      <w:r>
        <w:rPr>
          <w:spacing w:val="7"/>
        </w:rPr>
        <w:t>卫健单位储备相应的医疗器材和急救药品；开</w:t>
      </w:r>
      <w:r>
        <w:rPr>
          <w:spacing w:val="8"/>
        </w:rPr>
        <w:t>通救援</w:t>
      </w:r>
      <w:r>
        <w:rPr>
          <w:rFonts w:ascii="Times New Roman" w:hAnsi="Times New Roman" w:eastAsia="Times New Roman" w:cs="Times New Roman"/>
          <w:spacing w:val="8"/>
        </w:rPr>
        <w:t>“</w:t>
      </w:r>
      <w:r>
        <w:rPr>
          <w:spacing w:val="8"/>
        </w:rPr>
        <w:t>绿色通道</w:t>
      </w:r>
      <w:r>
        <w:rPr>
          <w:rFonts w:ascii="Times New Roman" w:hAnsi="Times New Roman" w:eastAsia="Times New Roman" w:cs="Times New Roman"/>
          <w:spacing w:val="8"/>
        </w:rPr>
        <w:t>”</w:t>
      </w:r>
      <w:r>
        <w:rPr>
          <w:spacing w:val="8"/>
        </w:rPr>
        <w:t>，负责现场受伤人员的应急</w:t>
      </w:r>
      <w:r>
        <w:rPr>
          <w:spacing w:val="7"/>
        </w:rPr>
        <w:t>医疗救治工作；汇总和上报人员救治情况；组</w:t>
      </w:r>
      <w:r>
        <w:rPr>
          <w:spacing w:val="8"/>
        </w:rPr>
        <w:t>织调集医疗专家参与会诊急救。</w:t>
      </w:r>
    </w:p>
    <w:p>
      <w:pPr>
        <w:pStyle w:val="BodyText"/>
        <w:ind w:left="13" w:right="260" w:firstLine="411"/>
        <w:spacing w:before="155" w:line="341"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）市城市管理局：协助公安部门维护</w:t>
      </w:r>
      <w:r>
        <w:rPr>
          <w:spacing w:val="18"/>
        </w:rPr>
        <w:t>城市道路公共聚集场所周边控制区域的交通</w:t>
      </w:r>
      <w:r>
        <w:rPr>
          <w:spacing w:val="7"/>
        </w:rPr>
        <w:t>与治安秩序，负责应急救援的运输车辆，运送</w:t>
      </w:r>
      <w:r>
        <w:rPr>
          <w:spacing w:val="7"/>
        </w:rPr>
        <w:t>疏散撤离人员和救援物资，确保城市道路交通</w:t>
      </w:r>
      <w:r>
        <w:rPr>
          <w:spacing w:val="-2"/>
        </w:rPr>
        <w:t>畅通，并负责相关公共区域弃物的清洁与清理。</w:t>
      </w:r>
    </w:p>
    <w:p>
      <w:pPr>
        <w:pStyle w:val="BodyText"/>
        <w:ind w:left="14" w:right="269" w:firstLine="410"/>
        <w:spacing w:before="153" w:line="298"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）市财政局：负责公共聚集场所突发</w:t>
      </w:r>
      <w:r>
        <w:rPr>
          <w:spacing w:val="8"/>
        </w:rPr>
        <w:t>事件处置所需经费保障及相关演练经费保障。</w:t>
      </w:r>
    </w:p>
    <w:p>
      <w:pPr>
        <w:pStyle w:val="BodyText"/>
        <w:ind w:left="12" w:right="289" w:firstLine="412"/>
        <w:spacing w:before="158" w:line="321" w:lineRule="auto"/>
        <w:rPr/>
      </w:pPr>
      <w:r>
        <w:rPr>
          <w:spacing w:val="6"/>
        </w:rPr>
        <w:t>（</w:t>
      </w:r>
      <w:r>
        <w:rPr>
          <w:spacing w:val="-51"/>
        </w:rPr>
        <w:t xml:space="preserve"> </w:t>
      </w:r>
      <w:r>
        <w:rPr>
          <w:rFonts w:ascii="Times New Roman" w:hAnsi="Times New Roman" w:eastAsia="Times New Roman" w:cs="Times New Roman"/>
          <w:spacing w:val="6"/>
        </w:rPr>
        <w:t>5</w:t>
      </w:r>
      <w:r>
        <w:rPr>
          <w:rFonts w:ascii="Times New Roman" w:hAnsi="Times New Roman" w:eastAsia="Times New Roman" w:cs="Times New Roman"/>
          <w:spacing w:val="-18"/>
        </w:rPr>
        <w:t xml:space="preserve"> </w:t>
      </w:r>
      <w:r>
        <w:rPr>
          <w:spacing w:val="6"/>
        </w:rPr>
        <w:t>）其他市级有关部门和单位</w:t>
      </w:r>
      <w:r>
        <w:rPr>
          <w:spacing w:val="-59"/>
        </w:rPr>
        <w:t xml:space="preserve"> </w:t>
      </w:r>
      <w:r>
        <w:rPr>
          <w:spacing w:val="6"/>
        </w:rPr>
        <w:t>，根据公</w:t>
      </w:r>
      <w:r>
        <w:rPr>
          <w:spacing w:val="7"/>
        </w:rPr>
        <w:t>共聚集场所突发事件工作需要，在指挥部的组</w:t>
      </w:r>
      <w:r>
        <w:rPr>
          <w:spacing w:val="8"/>
        </w:rPr>
        <w:t>织、协调下，做好相关工作。</w:t>
      </w:r>
    </w:p>
    <w:p>
      <w:pPr>
        <w:pStyle w:val="BodyText"/>
        <w:ind w:left="11" w:right="266" w:firstLine="413"/>
        <w:spacing w:before="155" w:line="321" w:lineRule="auto"/>
        <w:rPr/>
      </w:pPr>
      <w:r>
        <w:rPr>
          <w:spacing w:val="8"/>
        </w:rPr>
        <w:t>（</w:t>
      </w:r>
      <w:r>
        <w:rPr>
          <w:rFonts w:ascii="Times New Roman" w:hAnsi="Times New Roman" w:eastAsia="Times New Roman" w:cs="Times New Roman"/>
          <w:spacing w:val="8"/>
        </w:rPr>
        <w:t>6</w:t>
      </w:r>
      <w:r>
        <w:rPr>
          <w:rFonts w:ascii="Times New Roman" w:hAnsi="Times New Roman" w:eastAsia="Times New Roman" w:cs="Times New Roman"/>
          <w:spacing w:val="-14"/>
        </w:rPr>
        <w:t xml:space="preserve"> </w:t>
      </w:r>
      <w:r>
        <w:rPr>
          <w:spacing w:val="8"/>
        </w:rPr>
        <w:t>）有关县（</w:t>
      </w:r>
      <w:r>
        <w:rPr>
          <w:spacing w:val="-50"/>
        </w:rPr>
        <w:t xml:space="preserve"> </w:t>
      </w:r>
      <w:r>
        <w:rPr>
          <w:spacing w:val="8"/>
        </w:rPr>
        <w:t>区）政府：协助指挥部实</w:t>
      </w:r>
      <w:r>
        <w:rPr>
          <w:spacing w:val="8"/>
        </w:rPr>
        <w:t>施公共聚集场所控制，人员疏散、秩序维护、</w:t>
      </w:r>
      <w:r>
        <w:rPr>
          <w:spacing w:val="8"/>
        </w:rPr>
        <w:t>救援保障等各项工作。</w:t>
      </w:r>
    </w:p>
    <w:p>
      <w:pPr>
        <w:ind w:left="437"/>
        <w:spacing w:before="157" w:line="242" w:lineRule="auto"/>
        <w:rPr>
          <w:rFonts w:ascii="KaiTi" w:hAnsi="KaiTi" w:eastAsia="KaiTi" w:cs="KaiTi"/>
          <w:sz w:val="20"/>
          <w:szCs w:val="20"/>
        </w:rPr>
      </w:pPr>
      <w:r>
        <w:rPr>
          <w:rFonts w:ascii="Times New Roman" w:hAnsi="Times New Roman" w:eastAsia="Times New Roman" w:cs="Times New Roman"/>
          <w:sz w:val="20"/>
          <w:szCs w:val="20"/>
          <w:spacing w:val="1"/>
        </w:rPr>
        <w:t>3.2   </w:t>
      </w:r>
      <w:r>
        <w:rPr>
          <w:rFonts w:ascii="KaiTi" w:hAnsi="KaiTi" w:eastAsia="KaiTi" w:cs="KaiTi"/>
          <w:sz w:val="20"/>
          <w:szCs w:val="20"/>
          <w:spacing w:val="1"/>
        </w:rPr>
        <w:t>日常办事机构。</w:t>
      </w:r>
    </w:p>
    <w:p>
      <w:pPr>
        <w:pStyle w:val="BodyText"/>
        <w:ind w:left="17" w:right="269" w:firstLine="418"/>
        <w:spacing w:before="141" w:line="368" w:lineRule="auto"/>
        <w:rPr/>
      </w:pPr>
      <w:r>
        <w:rPr>
          <w:spacing w:val="6"/>
        </w:rPr>
        <w:t>指挥部下设办公室为日常办事机构，办公</w:t>
      </w:r>
      <w:r>
        <w:rPr>
          <w:spacing w:val="8"/>
        </w:rPr>
        <w:t>室设在市公安局，负责综合协调和日常工作。</w:t>
      </w:r>
      <w:r>
        <w:rPr>
          <w:spacing w:val="6"/>
        </w:rPr>
        <w:t>主要职责为：</w:t>
      </w:r>
    </w:p>
    <w:p>
      <w:pPr>
        <w:pStyle w:val="BodyText"/>
        <w:ind w:left="13" w:right="292" w:firstLine="411"/>
        <w:spacing w:line="279"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）受理公共聚集场所突发事件报告并</w:t>
      </w:r>
      <w:r>
        <w:rPr>
          <w:spacing w:val="8"/>
        </w:rPr>
        <w:t>立即上报市指挥部。</w:t>
      </w:r>
    </w:p>
    <w:p>
      <w:pPr>
        <w:spacing w:line="14" w:lineRule="auto"/>
        <w:rPr>
          <w:rFonts w:ascii="Arial"/>
          <w:sz w:val="2"/>
        </w:rPr>
      </w:pPr>
      <w:r>
        <w:rPr>
          <w:rFonts w:ascii="Arial" w:hAnsi="Arial" w:eastAsia="Arial" w:cs="Arial"/>
          <w:sz w:val="2"/>
          <w:szCs w:val="2"/>
        </w:rPr>
        <w:br w:type="column"/>
      </w:r>
    </w:p>
    <w:p>
      <w:pPr>
        <w:pStyle w:val="BodyText"/>
        <w:ind w:left="41" w:right="40" w:firstLine="411"/>
        <w:spacing w:before="38" w:line="297" w:lineRule="auto"/>
        <w:rPr/>
      </w:pPr>
      <w:r>
        <w:rPr>
          <w:spacing w:val="-9"/>
        </w:rPr>
        <w:t>（</w:t>
      </w:r>
      <w:r>
        <w:rPr>
          <w:rFonts w:ascii="Times New Roman" w:hAnsi="Times New Roman" w:eastAsia="Times New Roman" w:cs="Times New Roman"/>
          <w:spacing w:val="-9"/>
        </w:rPr>
        <w:t>2</w:t>
      </w:r>
      <w:r>
        <w:rPr>
          <w:rFonts w:ascii="Times New Roman" w:hAnsi="Times New Roman" w:eastAsia="Times New Roman" w:cs="Times New Roman"/>
          <w:spacing w:val="-18"/>
        </w:rPr>
        <w:t xml:space="preserve"> </w:t>
      </w:r>
      <w:r>
        <w:rPr>
          <w:spacing w:val="-9"/>
        </w:rPr>
        <w:t>）制定和完善全市公共聚集场所突发事件</w:t>
      </w:r>
      <w:r>
        <w:rPr>
          <w:spacing w:val="-6"/>
        </w:rPr>
        <w:t>处置演练方案。</w:t>
      </w:r>
    </w:p>
    <w:p>
      <w:pPr>
        <w:pStyle w:val="BodyText"/>
        <w:ind w:left="39" w:right="103" w:firstLine="413"/>
        <w:spacing w:before="156" w:line="297" w:lineRule="auto"/>
        <w:rPr/>
      </w:pPr>
      <w:r>
        <w:rPr>
          <w:spacing w:val="7"/>
        </w:rPr>
        <w:t>（</w:t>
      </w:r>
      <w:r>
        <w:rPr>
          <w:rFonts w:ascii="Times New Roman" w:hAnsi="Times New Roman" w:eastAsia="Times New Roman" w:cs="Times New Roman"/>
          <w:spacing w:val="7"/>
        </w:rPr>
        <w:t>3 </w:t>
      </w:r>
      <w:r>
        <w:rPr>
          <w:spacing w:val="7"/>
        </w:rPr>
        <w:t>）向指挥部提出启动本预案的建议，</w:t>
      </w:r>
      <w:r>
        <w:rPr>
          <w:spacing w:val="9"/>
        </w:rPr>
        <w:t>并做好预案启动前的相关准备工作。</w:t>
      </w:r>
    </w:p>
    <w:p>
      <w:pPr>
        <w:pStyle w:val="BodyText"/>
        <w:ind w:left="453"/>
        <w:spacing w:before="155" w:line="277" w:lineRule="exact"/>
        <w:rPr/>
      </w:pPr>
      <w:r>
        <w:rPr>
          <w:spacing w:val="7"/>
          <w:position w:val="1"/>
        </w:rPr>
        <w:t>（</w:t>
      </w:r>
      <w:r>
        <w:rPr>
          <w:rFonts w:ascii="Times New Roman" w:hAnsi="Times New Roman" w:eastAsia="Times New Roman" w:cs="Times New Roman"/>
          <w:spacing w:val="7"/>
          <w:position w:val="1"/>
        </w:rPr>
        <w:t>4</w:t>
      </w:r>
      <w:r>
        <w:rPr>
          <w:rFonts w:ascii="Times New Roman" w:hAnsi="Times New Roman" w:eastAsia="Times New Roman" w:cs="Times New Roman"/>
          <w:spacing w:val="-16"/>
          <w:position w:val="1"/>
        </w:rPr>
        <w:t xml:space="preserve"> </w:t>
      </w:r>
      <w:r>
        <w:rPr>
          <w:spacing w:val="7"/>
          <w:position w:val="1"/>
        </w:rPr>
        <w:t>）完成指挥部交办的其他事项。</w:t>
      </w:r>
    </w:p>
    <w:p>
      <w:pPr>
        <w:pStyle w:val="BodyText"/>
        <w:ind w:left="41" w:right="36" w:firstLine="424"/>
        <w:spacing w:before="126" w:line="369" w:lineRule="auto"/>
        <w:jc w:val="both"/>
        <w:rPr/>
      </w:pPr>
      <w:r>
        <w:rPr>
          <w:rFonts w:ascii="Times New Roman" w:hAnsi="Times New Roman" w:eastAsia="Times New Roman" w:cs="Times New Roman"/>
          <w:spacing w:val="8"/>
        </w:rPr>
        <w:t>3.3  </w:t>
      </w:r>
      <w:r>
        <w:rPr>
          <w:rFonts w:ascii="KaiTi" w:hAnsi="KaiTi" w:eastAsia="KaiTi" w:cs="KaiTi"/>
          <w:spacing w:val="8"/>
        </w:rPr>
        <w:t>现场处置机构。</w:t>
      </w:r>
      <w:r>
        <w:rPr>
          <w:spacing w:val="8"/>
        </w:rPr>
        <w:t>公共聚集场所突发事</w:t>
      </w:r>
      <w:r>
        <w:rPr>
          <w:spacing w:val="7"/>
        </w:rPr>
        <w:t>件发生后，指挥部根据突发事件的性质、严重</w:t>
      </w:r>
      <w:r>
        <w:rPr>
          <w:spacing w:val="8"/>
        </w:rPr>
        <w:t>程度、可控性和影响范围，派出指挥部领导、</w:t>
      </w:r>
      <w:r>
        <w:rPr>
          <w:spacing w:val="7"/>
        </w:rPr>
        <w:t>专家和应急救援队伍赶赴现场，设立现场指挥</w:t>
      </w:r>
      <w:r>
        <w:rPr>
          <w:spacing w:val="18"/>
        </w:rPr>
        <w:t>部。参与现场应急处置行动的相关部门和单</w:t>
      </w:r>
      <w:r>
        <w:rPr>
          <w:spacing w:val="7"/>
        </w:rPr>
        <w:t>位，在现场指挥部的统一指挥下，实施现场应</w:t>
      </w:r>
      <w:r>
        <w:rPr>
          <w:spacing w:val="8"/>
        </w:rPr>
        <w:t>急处置行动。现场指挥部根据现场实际情况，</w:t>
      </w:r>
      <w:r>
        <w:rPr>
          <w:spacing w:val="7"/>
        </w:rPr>
        <w:t>视情建立若干行动组，对公共聚集场所突发事</w:t>
      </w:r>
      <w:r>
        <w:rPr>
          <w:spacing w:val="8"/>
        </w:rPr>
        <w:t>件进行处置工作进行分工和落实。</w:t>
      </w:r>
    </w:p>
    <w:p>
      <w:pPr>
        <w:pStyle w:val="BodyText"/>
        <w:ind w:left="41" w:right="59" w:firstLine="411"/>
        <w:spacing w:before="2" w:line="333" w:lineRule="auto"/>
        <w:rPr/>
      </w:pPr>
      <w:r>
        <w:rPr>
          <w:spacing w:val="8"/>
        </w:rPr>
        <w:t>（</w:t>
      </w:r>
      <w:r>
        <w:rPr>
          <w:spacing w:val="-43"/>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8"/>
        </w:rPr>
        <w:t xml:space="preserve"> </w:t>
      </w:r>
      <w:r>
        <w:rPr>
          <w:spacing w:val="8"/>
        </w:rPr>
        <w:t>）综合协调组：抽调政府办、公安、</w:t>
      </w:r>
      <w:r>
        <w:rPr>
          <w:spacing w:val="7"/>
        </w:rPr>
        <w:t>交通、卫健、财政等部门人员组成，负责传达</w:t>
      </w:r>
      <w:r>
        <w:rPr>
          <w:spacing w:val="7"/>
        </w:rPr>
        <w:t>落实市指挥部和现场指挥部指示，收集处理处</w:t>
      </w:r>
      <w:r>
        <w:rPr>
          <w:spacing w:val="9"/>
        </w:rPr>
        <w:t>置信息，协调其他工作组开展工作。</w:t>
      </w:r>
    </w:p>
    <w:p>
      <w:pPr>
        <w:pStyle w:val="BodyText"/>
        <w:ind w:left="40" w:right="52" w:firstLine="412"/>
        <w:spacing w:before="156" w:line="320"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11"/>
        </w:rPr>
        <w:t xml:space="preserve"> </w:t>
      </w:r>
      <w:r>
        <w:rPr>
          <w:spacing w:val="8"/>
        </w:rPr>
        <w:t>）现场控制组：</w:t>
      </w:r>
      <w:r>
        <w:rPr>
          <w:spacing w:val="-53"/>
        </w:rPr>
        <w:t xml:space="preserve"> </w:t>
      </w:r>
      <w:r>
        <w:rPr>
          <w:spacing w:val="8"/>
        </w:rPr>
        <w:t>由公安、消防、卫健</w:t>
      </w:r>
      <w:r>
        <w:rPr>
          <w:spacing w:val="7"/>
        </w:rPr>
        <w:t>等部门组成，负责对突发事件现场进行控制，</w:t>
      </w:r>
      <w:r>
        <w:rPr>
          <w:spacing w:val="8"/>
        </w:rPr>
        <w:t>对人员进行紧急疏散。</w:t>
      </w:r>
    </w:p>
    <w:p>
      <w:pPr>
        <w:pStyle w:val="BodyText"/>
        <w:ind w:left="41" w:right="59" w:firstLine="411"/>
        <w:spacing w:before="161" w:line="320" w:lineRule="auto"/>
        <w:rPr/>
      </w:pPr>
      <w:r>
        <w:rPr>
          <w:spacing w:val="8"/>
        </w:rPr>
        <w:t>（</w:t>
      </w:r>
      <w:r>
        <w:rPr>
          <w:rFonts w:ascii="Times New Roman" w:hAnsi="Times New Roman" w:eastAsia="Times New Roman" w:cs="Times New Roman"/>
          <w:spacing w:val="8"/>
        </w:rPr>
        <w:t>3</w:t>
      </w:r>
      <w:r>
        <w:rPr>
          <w:rFonts w:ascii="Times New Roman" w:hAnsi="Times New Roman" w:eastAsia="Times New Roman" w:cs="Times New Roman"/>
          <w:spacing w:val="-11"/>
        </w:rPr>
        <w:t xml:space="preserve"> </w:t>
      </w:r>
      <w:r>
        <w:rPr>
          <w:spacing w:val="8"/>
        </w:rPr>
        <w:t>）治安保卫组：</w:t>
      </w:r>
      <w:r>
        <w:rPr>
          <w:spacing w:val="-53"/>
        </w:rPr>
        <w:t xml:space="preserve"> </w:t>
      </w:r>
      <w:r>
        <w:rPr>
          <w:spacing w:val="8"/>
        </w:rPr>
        <w:t>由公安部门抽调民警</w:t>
      </w:r>
      <w:r>
        <w:rPr>
          <w:spacing w:val="7"/>
        </w:rPr>
        <w:t>负责突发事件现场的安全保卫和秩序维护，并</w:t>
      </w:r>
      <w:r>
        <w:rPr>
          <w:spacing w:val="8"/>
        </w:rPr>
        <w:t>协助做好人员疏散工作。</w:t>
      </w:r>
    </w:p>
    <w:p>
      <w:pPr>
        <w:pStyle w:val="BodyText"/>
        <w:ind w:right="57" w:firstLine="453"/>
        <w:spacing w:before="158" w:line="333" w:lineRule="auto"/>
        <w:rPr/>
      </w:pPr>
      <w:r>
        <w:rPr>
          <w:spacing w:val="7"/>
        </w:rPr>
        <w:t>（</w:t>
      </w:r>
      <w:r>
        <w:rPr>
          <w:rFonts w:ascii="Times New Roman" w:hAnsi="Times New Roman" w:eastAsia="Times New Roman" w:cs="Times New Roman"/>
          <w:spacing w:val="7"/>
        </w:rPr>
        <w:t>4 </w:t>
      </w:r>
      <w:r>
        <w:rPr>
          <w:spacing w:val="7"/>
        </w:rPr>
        <w:t>）医疗救护组：</w:t>
      </w:r>
      <w:r>
        <w:rPr>
          <w:spacing w:val="-53"/>
        </w:rPr>
        <w:t xml:space="preserve"> </w:t>
      </w:r>
      <w:r>
        <w:rPr>
          <w:spacing w:val="7"/>
        </w:rPr>
        <w:t>由卫健部门启动救援</w:t>
      </w:r>
      <w:r>
        <w:rPr>
          <w:rFonts w:ascii="Times New Roman" w:hAnsi="Times New Roman" w:eastAsia="Times New Roman" w:cs="Times New Roman"/>
          <w:spacing w:val="10"/>
        </w:rPr>
        <w:t>“</w:t>
      </w:r>
      <w:r>
        <w:rPr>
          <w:spacing w:val="10"/>
        </w:rPr>
        <w:t>绿色通道</w:t>
      </w:r>
      <w:r>
        <w:rPr>
          <w:rFonts w:ascii="Times New Roman" w:hAnsi="Times New Roman" w:eastAsia="Times New Roman" w:cs="Times New Roman"/>
          <w:spacing w:val="10"/>
        </w:rPr>
        <w:t>”</w:t>
      </w:r>
      <w:r>
        <w:rPr>
          <w:spacing w:val="10"/>
        </w:rPr>
        <w:t>机制，负责对伤亡人员的抢救、医</w:t>
      </w:r>
      <w:r>
        <w:rPr>
          <w:spacing w:val="9"/>
        </w:rPr>
        <w:t>护和安置工作，协调有关药品、医疗器具的紧</w:t>
      </w:r>
      <w:r>
        <w:rPr>
          <w:spacing w:val="16"/>
        </w:rPr>
        <w:t>急调配。</w:t>
      </w:r>
    </w:p>
    <w:p>
      <w:pPr>
        <w:pStyle w:val="BodyText"/>
        <w:ind w:left="41" w:right="59" w:firstLine="411"/>
        <w:spacing w:before="140" w:line="320" w:lineRule="auto"/>
        <w:rPr/>
      </w:pPr>
      <w:r>
        <w:rPr>
          <w:spacing w:val="6"/>
        </w:rPr>
        <w:t>（</w:t>
      </w:r>
      <w:r>
        <w:rPr>
          <w:spacing w:val="-56"/>
        </w:rPr>
        <w:t xml:space="preserve"> </w:t>
      </w:r>
      <w:r>
        <w:rPr>
          <w:rFonts w:ascii="Times New Roman" w:hAnsi="Times New Roman" w:eastAsia="Times New Roman" w:cs="Times New Roman"/>
          <w:spacing w:val="6"/>
        </w:rPr>
        <w:t>5</w:t>
      </w:r>
      <w:r>
        <w:rPr>
          <w:rFonts w:ascii="Times New Roman" w:hAnsi="Times New Roman" w:eastAsia="Times New Roman" w:cs="Times New Roman"/>
          <w:spacing w:val="-19"/>
        </w:rPr>
        <w:t xml:space="preserve"> </w:t>
      </w:r>
      <w:r>
        <w:rPr>
          <w:spacing w:val="6"/>
        </w:rPr>
        <w:t>）调查处置组：</w:t>
      </w:r>
      <w:r>
        <w:rPr>
          <w:spacing w:val="-53"/>
        </w:rPr>
        <w:t xml:space="preserve"> </w:t>
      </w:r>
      <w:r>
        <w:rPr>
          <w:spacing w:val="6"/>
        </w:rPr>
        <w:t>由公安、信访、监察</w:t>
      </w:r>
      <w:r>
        <w:rPr>
          <w:spacing w:val="7"/>
        </w:rPr>
        <w:t>等部门组成，依据公共聚集场所突发事件调查</w:t>
      </w:r>
      <w:r>
        <w:rPr>
          <w:spacing w:val="15"/>
        </w:rPr>
        <w:t>处理有关规定</w:t>
      </w:r>
      <w:r>
        <w:rPr>
          <w:spacing w:val="-41"/>
        </w:rPr>
        <w:t xml:space="preserve"> </w:t>
      </w:r>
      <w:r>
        <w:rPr>
          <w:spacing w:val="15"/>
        </w:rPr>
        <w:t>，负责查清查明突发事件的原</w:t>
      </w:r>
      <w:r>
        <w:rPr>
          <w:spacing w:val="8"/>
        </w:rPr>
        <w:t>因，性质和责任，进行处理。</w:t>
      </w:r>
    </w:p>
    <w:p>
      <w:pPr>
        <w:pStyle w:val="BodyText"/>
        <w:ind w:left="457"/>
        <w:spacing w:before="134" w:line="277" w:lineRule="exact"/>
        <w:rPr/>
      </w:pPr>
      <w:r>
        <w:rPr>
          <w:spacing w:val="8"/>
          <w:position w:val="1"/>
        </w:rPr>
        <w:t>（</w:t>
      </w:r>
      <w:r>
        <w:rPr>
          <w:spacing w:val="-48"/>
          <w:position w:val="1"/>
        </w:rPr>
        <w:t xml:space="preserve"> </w:t>
      </w:r>
      <w:r>
        <w:rPr>
          <w:rFonts w:ascii="Times New Roman" w:hAnsi="Times New Roman" w:eastAsia="Times New Roman" w:cs="Times New Roman"/>
          <w:spacing w:val="8"/>
          <w:position w:val="1"/>
        </w:rPr>
        <w:t>6</w:t>
      </w:r>
      <w:r>
        <w:rPr>
          <w:rFonts w:ascii="Times New Roman" w:hAnsi="Times New Roman" w:eastAsia="Times New Roman" w:cs="Times New Roman"/>
          <w:spacing w:val="-18"/>
          <w:position w:val="1"/>
        </w:rPr>
        <w:t xml:space="preserve"> </w:t>
      </w:r>
      <w:r>
        <w:rPr>
          <w:spacing w:val="8"/>
          <w:position w:val="1"/>
        </w:rPr>
        <w:t>）宣传报道组：抽调新闻媒体人员组</w:t>
      </w:r>
    </w:p>
    <w:p>
      <w:pPr>
        <w:spacing w:line="277" w:lineRule="exact"/>
        <w:sectPr>
          <w:type w:val="continuous"/>
          <w:pgSz w:w="11906" w:h="16839"/>
          <w:pgMar w:top="1766" w:right="1530" w:bottom="1575" w:left="1579" w:header="1428" w:footer="1172" w:gutter="0"/>
          <w:cols w:equalWidth="0" w:num="2">
            <w:col w:w="4449" w:space="100"/>
            <w:col w:w="4247" w:space="0"/>
          </w:cols>
        </w:sectPr>
        <w:rPr/>
      </w:pPr>
    </w:p>
    <w:p>
      <w:pPr>
        <w:spacing w:before="46"/>
        <w:rPr/>
      </w:pPr>
      <w:r>
        <w:drawing>
          <wp:anchor distT="0" distB="0" distL="0" distR="0" simplePos="0" relativeHeight="253096960"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804" name="IM 1804"/>
            <wp:cNvGraphicFramePr/>
            <a:graphic>
              <a:graphicData uri="http://schemas.openxmlformats.org/drawingml/2006/picture">
                <pic:pic>
                  <pic:nvPicPr>
                    <pic:cNvPr id="1804" name="IM 1804"/>
                    <pic:cNvPicPr/>
                  </pic:nvPicPr>
                  <pic:blipFill>
                    <a:blip r:embed="rId904"/>
                    <a:stretch>
                      <a:fillRect/>
                    </a:stretch>
                  </pic:blipFill>
                  <pic:spPr>
                    <a:xfrm rot="0">
                      <a:off x="0" y="0"/>
                      <a:ext cx="5579745" cy="7620"/>
                    </a:xfrm>
                    <a:prstGeom prst="rect">
                      <a:avLst/>
                    </a:prstGeom>
                  </pic:spPr>
                </pic:pic>
              </a:graphicData>
            </a:graphic>
          </wp:anchor>
        </w:drawing>
      </w:r>
      <w:r/>
    </w:p>
    <w:p>
      <w:pPr>
        <w:sectPr>
          <w:headerReference w:type="default" r:id="rId816"/>
          <w:footerReference w:type="default" r:id="rId903"/>
          <w:pgSz w:w="11906" w:h="16839"/>
          <w:pgMar w:top="1772" w:right="1489" w:bottom="1562" w:left="1567" w:header="1428" w:footer="1172" w:gutter="0"/>
          <w:cols w:equalWidth="0" w:num="1">
            <w:col w:w="8850" w:space="0"/>
          </w:cols>
        </w:sectPr>
        <w:rPr/>
      </w:pPr>
    </w:p>
    <w:p>
      <w:pPr>
        <w:pStyle w:val="BodyText"/>
        <w:ind w:left="42" w:right="329" w:hanging="17"/>
        <w:spacing w:before="48" w:line="334" w:lineRule="auto"/>
        <w:rPr/>
      </w:pPr>
      <w:r>
        <w:rPr>
          <w:spacing w:val="7"/>
        </w:rPr>
        <w:t>成，负责新闻发布材料的起草，协调新闻记者</w:t>
      </w:r>
      <w:r>
        <w:rPr>
          <w:spacing w:val="1"/>
        </w:rPr>
        <w:t>的采访。</w:t>
      </w:r>
    </w:p>
    <w:p>
      <w:pPr>
        <w:pStyle w:val="BodyText"/>
        <w:ind w:left="25" w:right="329" w:firstLine="412"/>
        <w:spacing w:before="35" w:line="347" w:lineRule="auto"/>
        <w:jc w:val="both"/>
        <w:rPr/>
      </w:pPr>
      <w:r>
        <w:rPr>
          <w:spacing w:val="8"/>
        </w:rPr>
        <w:t>（</w:t>
      </w:r>
      <w:r>
        <w:rPr>
          <w:rFonts w:ascii="Times New Roman" w:hAnsi="Times New Roman" w:eastAsia="Times New Roman" w:cs="Times New Roman"/>
          <w:spacing w:val="8"/>
        </w:rPr>
        <w:t>7</w:t>
      </w:r>
      <w:r>
        <w:rPr>
          <w:rFonts w:ascii="Times New Roman" w:hAnsi="Times New Roman" w:eastAsia="Times New Roman" w:cs="Times New Roman"/>
          <w:spacing w:val="-11"/>
        </w:rPr>
        <w:t xml:space="preserve"> </w:t>
      </w:r>
      <w:r>
        <w:rPr>
          <w:spacing w:val="8"/>
        </w:rPr>
        <w:t>）后勤保障组：</w:t>
      </w:r>
      <w:r>
        <w:rPr>
          <w:spacing w:val="-53"/>
        </w:rPr>
        <w:t xml:space="preserve"> </w:t>
      </w:r>
      <w:r>
        <w:rPr>
          <w:spacing w:val="8"/>
        </w:rPr>
        <w:t>由民政、财政部门组</w:t>
      </w:r>
      <w:r>
        <w:rPr>
          <w:spacing w:val="7"/>
        </w:rPr>
        <w:t>成，负责处置突发事件人员的交通、通信、工</w:t>
      </w:r>
      <w:r>
        <w:rPr>
          <w:spacing w:val="8"/>
        </w:rPr>
        <w:t>作和生活的后勤保障。</w:t>
      </w:r>
    </w:p>
    <w:p>
      <w:pPr>
        <w:ind w:left="446"/>
        <w:spacing w:before="6"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4</w:t>
      </w:r>
      <w:r>
        <w:rPr>
          <w:rFonts w:ascii="Microsoft YaHei" w:hAnsi="Microsoft YaHei" w:eastAsia="Microsoft YaHei" w:cs="Microsoft YaHei"/>
          <w:sz w:val="20"/>
          <w:szCs w:val="20"/>
          <w:spacing w:val="14"/>
        </w:rPr>
        <w:t xml:space="preserve">   </w:t>
      </w:r>
      <w:r>
        <w:rPr>
          <w:rFonts w:ascii="Microsoft YaHei" w:hAnsi="Microsoft YaHei" w:eastAsia="Microsoft YaHei" w:cs="Microsoft YaHei"/>
          <w:sz w:val="20"/>
          <w:szCs w:val="20"/>
          <w:spacing w:val="5"/>
        </w:rPr>
        <w:t>预警和预防</w:t>
      </w:r>
    </w:p>
    <w:p>
      <w:pPr>
        <w:pStyle w:val="BodyText"/>
        <w:ind w:left="29" w:right="327" w:firstLine="415"/>
        <w:spacing w:before="78" w:line="319" w:lineRule="auto"/>
        <w:rPr/>
      </w:pPr>
      <w:r>
        <w:rPr>
          <w:rFonts w:ascii="Times New Roman" w:hAnsi="Times New Roman" w:eastAsia="Times New Roman" w:cs="Times New Roman"/>
          <w:spacing w:val="7"/>
        </w:rPr>
        <w:t>4.</w:t>
      </w:r>
      <w:r>
        <w:rPr>
          <w:rFonts w:ascii="Times New Roman" w:hAnsi="Times New Roman" w:eastAsia="Times New Roman" w:cs="Times New Roman"/>
          <w:spacing w:val="-20"/>
        </w:rPr>
        <w:t xml:space="preserve"> </w:t>
      </w:r>
      <w:r>
        <w:rPr>
          <w:rFonts w:ascii="Times New Roman" w:hAnsi="Times New Roman" w:eastAsia="Times New Roman" w:cs="Times New Roman"/>
          <w:spacing w:val="7"/>
        </w:rPr>
        <w:t>1  </w:t>
      </w:r>
      <w:r>
        <w:rPr>
          <w:rFonts w:ascii="KaiTi" w:hAnsi="KaiTi" w:eastAsia="KaiTi" w:cs="KaiTi"/>
          <w:spacing w:val="7"/>
        </w:rPr>
        <w:t>预测与预警。</w:t>
      </w:r>
      <w:r>
        <w:rPr>
          <w:spacing w:val="7"/>
        </w:rPr>
        <w:t>发挥公安机关职能作用</w:t>
      </w:r>
      <w:r>
        <w:rPr>
          <w:spacing w:val="7"/>
        </w:rPr>
        <w:t>和治安防控体系的作用，针对各种可能发生的</w:t>
      </w:r>
      <w:r>
        <w:rPr>
          <w:spacing w:val="7"/>
        </w:rPr>
        <w:t>突发公共事件，完善预测预警机制，建立预测</w:t>
      </w:r>
      <w:r>
        <w:rPr>
          <w:spacing w:val="8"/>
        </w:rPr>
        <w:t>预警系统，做到早发现、早报告、早处置。</w:t>
      </w:r>
    </w:p>
    <w:p>
      <w:pPr>
        <w:pStyle w:val="BodyText"/>
        <w:ind w:left="25" w:right="301" w:firstLine="420"/>
        <w:spacing w:before="141" w:line="332" w:lineRule="auto"/>
        <w:rPr/>
      </w:pPr>
      <w:r>
        <w:rPr>
          <w:rFonts w:ascii="Times New Roman" w:hAnsi="Times New Roman" w:eastAsia="Times New Roman" w:cs="Times New Roman"/>
          <w:spacing w:val="8"/>
        </w:rPr>
        <w:t>4.2  </w:t>
      </w:r>
      <w:r>
        <w:rPr>
          <w:rFonts w:ascii="KaiTi" w:hAnsi="KaiTi" w:eastAsia="KaiTi" w:cs="KaiTi"/>
          <w:spacing w:val="8"/>
        </w:rPr>
        <w:t>预警级别和上报发布。</w:t>
      </w:r>
      <w:r>
        <w:rPr>
          <w:spacing w:val="8"/>
        </w:rPr>
        <w:t>根据预测分析</w:t>
      </w:r>
      <w:r>
        <w:rPr>
          <w:spacing w:val="7"/>
        </w:rPr>
        <w:t>结果，对可能发生和可以预警的突发公共事件</w:t>
      </w:r>
      <w:r>
        <w:rPr>
          <w:spacing w:val="7"/>
        </w:rPr>
        <w:t>进行预警。预警级别依据突发公共事件可能造</w:t>
      </w:r>
      <w:r>
        <w:rPr>
          <w:spacing w:val="7"/>
        </w:rPr>
        <w:t>成的危害程度、紧急程度和发展势态，一般划</w:t>
      </w:r>
      <w:r>
        <w:rPr>
          <w:spacing w:val="8"/>
        </w:rPr>
        <w:t>分为四级：</w:t>
      </w:r>
      <w:r>
        <w:rPr>
          <w:rFonts w:ascii="Times New Roman" w:hAnsi="Times New Roman" w:eastAsia="Times New Roman" w:cs="Times New Roman"/>
          <w:spacing w:val="8"/>
        </w:rPr>
        <w:t>Ⅰ</w:t>
      </w:r>
      <w:r>
        <w:rPr>
          <w:spacing w:val="8"/>
        </w:rPr>
        <w:t>级（特别严重）、</w:t>
      </w:r>
      <w:r>
        <w:rPr>
          <w:rFonts w:ascii="Times New Roman" w:hAnsi="Times New Roman" w:eastAsia="Times New Roman" w:cs="Times New Roman"/>
          <w:spacing w:val="8"/>
        </w:rPr>
        <w:t>Ⅱ</w:t>
      </w:r>
      <w:r>
        <w:rPr>
          <w:spacing w:val="8"/>
        </w:rPr>
        <w:t>级（严重）、</w:t>
      </w:r>
      <w:r>
        <w:rPr>
          <w:spacing w:val="9"/>
        </w:rPr>
        <w:t xml:space="preserve"> </w:t>
      </w:r>
      <w:r>
        <w:rPr>
          <w:rFonts w:ascii="Times New Roman" w:hAnsi="Times New Roman" w:eastAsia="Times New Roman" w:cs="Times New Roman"/>
          <w:spacing w:val="8"/>
        </w:rPr>
        <w:t>Ⅲ</w:t>
      </w:r>
      <w:r>
        <w:rPr>
          <w:spacing w:val="8"/>
        </w:rPr>
        <w:t>级（较重）和</w:t>
      </w:r>
      <w:r>
        <w:rPr>
          <w:rFonts w:ascii="Times New Roman" w:hAnsi="Times New Roman" w:eastAsia="Times New Roman" w:cs="Times New Roman"/>
          <w:spacing w:val="8"/>
        </w:rPr>
        <w:t>Ⅳ</w:t>
      </w:r>
      <w:r>
        <w:rPr>
          <w:spacing w:val="8"/>
        </w:rPr>
        <w:t>级（一般</w:t>
      </w:r>
      <w:r>
        <w:rPr>
          <w:spacing w:val="-11"/>
        </w:rPr>
        <w:t>）</w:t>
      </w:r>
      <w:r>
        <w:rPr>
          <w:spacing w:val="-51"/>
        </w:rPr>
        <w:t xml:space="preserve"> </w:t>
      </w:r>
      <w:r>
        <w:rPr>
          <w:spacing w:val="-11"/>
        </w:rPr>
        <w:t>，</w:t>
      </w:r>
      <w:r>
        <w:rPr>
          <w:spacing w:val="8"/>
        </w:rPr>
        <w:t>依次用红色、</w:t>
      </w:r>
      <w:r>
        <w:rPr>
          <w:spacing w:val="8"/>
        </w:rPr>
        <w:t>橙色、黄色和蓝色表示。</w:t>
      </w:r>
    </w:p>
    <w:p>
      <w:pPr>
        <w:pStyle w:val="BodyText"/>
        <w:ind w:left="25" w:right="248" w:firstLine="420"/>
        <w:spacing w:before="137" w:line="319" w:lineRule="auto"/>
        <w:rPr/>
      </w:pPr>
      <w:r>
        <w:rPr>
          <w:rFonts w:ascii="Times New Roman" w:hAnsi="Times New Roman" w:eastAsia="Times New Roman" w:cs="Times New Roman"/>
          <w:spacing w:val="2"/>
        </w:rPr>
        <w:t>4.3  </w:t>
      </w:r>
      <w:r>
        <w:rPr>
          <w:rFonts w:ascii="KaiTi" w:hAnsi="KaiTi" w:eastAsia="KaiTi" w:cs="KaiTi"/>
          <w:spacing w:val="2"/>
        </w:rPr>
        <w:t>预警信息。</w:t>
      </w:r>
      <w:r>
        <w:rPr>
          <w:spacing w:val="2"/>
        </w:rPr>
        <w:t>包括突发公共事件的类别、</w:t>
      </w:r>
      <w:r>
        <w:rPr>
          <w:spacing w:val="7"/>
        </w:rPr>
        <w:t>预警级别、起始时间、可能影响范围、警示事</w:t>
      </w:r>
      <w:r>
        <w:rPr>
          <w:spacing w:val="7"/>
        </w:rPr>
        <w:t>项、应采取的措施及时上报上级公安机关和政</w:t>
      </w:r>
      <w:r>
        <w:rPr>
          <w:spacing w:val="6"/>
        </w:rPr>
        <w:t>府部门。</w:t>
      </w:r>
    </w:p>
    <w:p>
      <w:pPr>
        <w:pStyle w:val="BodyText"/>
        <w:ind w:left="25" w:right="322" w:firstLine="420"/>
        <w:spacing w:before="139" w:line="329" w:lineRule="auto"/>
        <w:rPr/>
      </w:pPr>
      <w:r>
        <w:rPr>
          <w:rFonts w:ascii="Times New Roman" w:hAnsi="Times New Roman" w:eastAsia="Times New Roman" w:cs="Times New Roman"/>
          <w:spacing w:val="8"/>
        </w:rPr>
        <w:t>4.4  </w:t>
      </w:r>
      <w:r>
        <w:rPr>
          <w:rFonts w:ascii="KaiTi" w:hAnsi="KaiTi" w:eastAsia="KaiTi" w:cs="KaiTi"/>
          <w:spacing w:val="8"/>
        </w:rPr>
        <w:t>预警信息的发布、调整和解除。</w:t>
      </w:r>
      <w:r>
        <w:rPr>
          <w:spacing w:val="8"/>
        </w:rPr>
        <w:t>可通</w:t>
      </w:r>
      <w:r>
        <w:rPr>
          <w:spacing w:val="7"/>
        </w:rPr>
        <w:t>过广播、电视、报刊、通信、信息网络、警报</w:t>
      </w:r>
      <w:r>
        <w:rPr>
          <w:spacing w:val="7"/>
        </w:rPr>
        <w:t>器、宣传车或组织人员逐户通知等方式进行，</w:t>
      </w:r>
      <w:r>
        <w:rPr>
          <w:spacing w:val="7"/>
        </w:rPr>
        <w:t>对老、幼、病、残、孕等特殊人群以及学校等</w:t>
      </w:r>
      <w:r>
        <w:rPr>
          <w:spacing w:val="18"/>
        </w:rPr>
        <w:t>特殊场所和警报盲区应当采取有针对性的公</w:t>
      </w:r>
      <w:r>
        <w:rPr>
          <w:spacing w:val="6"/>
        </w:rPr>
        <w:t>告方式。</w:t>
      </w:r>
    </w:p>
    <w:p>
      <w:pPr>
        <w:ind w:left="448"/>
        <w:spacing w:before="136"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5</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应急处置</w:t>
      </w:r>
    </w:p>
    <w:p>
      <w:pPr>
        <w:pStyle w:val="BodyText"/>
        <w:ind w:left="24" w:right="329" w:firstLine="427"/>
        <w:spacing w:before="76" w:line="319" w:lineRule="auto"/>
        <w:rPr/>
      </w:pPr>
      <w:r>
        <w:rPr>
          <w:rFonts w:ascii="Times New Roman" w:hAnsi="Times New Roman" w:eastAsia="Times New Roman" w:cs="Times New Roman"/>
          <w:spacing w:val="6"/>
        </w:rPr>
        <w:t>5.</w:t>
      </w:r>
      <w:r>
        <w:rPr>
          <w:rFonts w:ascii="Times New Roman" w:hAnsi="Times New Roman" w:eastAsia="Times New Roman" w:cs="Times New Roman"/>
          <w:spacing w:val="-8"/>
        </w:rPr>
        <w:t xml:space="preserve"> </w:t>
      </w:r>
      <w:r>
        <w:rPr>
          <w:rFonts w:ascii="Times New Roman" w:hAnsi="Times New Roman" w:eastAsia="Times New Roman" w:cs="Times New Roman"/>
          <w:spacing w:val="6"/>
        </w:rPr>
        <w:t>1  </w:t>
      </w:r>
      <w:r>
        <w:rPr>
          <w:rFonts w:ascii="KaiTi" w:hAnsi="KaiTi" w:eastAsia="KaiTi" w:cs="KaiTi"/>
          <w:spacing w:val="6"/>
        </w:rPr>
        <w:t>信息报告。</w:t>
      </w:r>
      <w:r>
        <w:rPr>
          <w:spacing w:val="6"/>
        </w:rPr>
        <w:t>突发公共事件发生后，公</w:t>
      </w:r>
      <w:r>
        <w:rPr>
          <w:spacing w:val="18"/>
        </w:rPr>
        <w:t>安机关及时在规定时间内如实向上级公安机</w:t>
      </w:r>
      <w:r>
        <w:rPr>
          <w:spacing w:val="7"/>
        </w:rPr>
        <w:t>关和政府部门报告，应急处置过程中要及时续</w:t>
      </w:r>
      <w:r>
        <w:rPr>
          <w:spacing w:val="7"/>
        </w:rPr>
        <w:t>报有关情况。</w:t>
      </w:r>
    </w:p>
    <w:p>
      <w:pPr>
        <w:pStyle w:val="BodyText"/>
        <w:ind w:left="26" w:right="329" w:firstLine="425"/>
        <w:spacing w:before="138" w:line="286" w:lineRule="auto"/>
        <w:rPr/>
      </w:pPr>
      <w:r>
        <w:rPr>
          <w:rFonts w:ascii="Times New Roman" w:hAnsi="Times New Roman" w:eastAsia="Times New Roman" w:cs="Times New Roman"/>
          <w:spacing w:val="8"/>
        </w:rPr>
        <w:t>5.2  </w:t>
      </w:r>
      <w:r>
        <w:rPr>
          <w:rFonts w:ascii="KaiTi" w:hAnsi="KaiTi" w:eastAsia="KaiTi" w:cs="KaiTi"/>
          <w:spacing w:val="8"/>
        </w:rPr>
        <w:t>先期处置。</w:t>
      </w:r>
      <w:r>
        <w:rPr>
          <w:spacing w:val="8"/>
        </w:rPr>
        <w:t>突发公共事件发生后，公</w:t>
      </w:r>
      <w:r>
        <w:rPr>
          <w:spacing w:val="7"/>
        </w:rPr>
        <w:t>安机关应急领导小组在报告特别重大、重大突</w:t>
      </w:r>
    </w:p>
    <w:p>
      <w:pPr>
        <w:spacing w:line="14" w:lineRule="auto"/>
        <w:rPr>
          <w:rFonts w:ascii="Arial"/>
          <w:sz w:val="2"/>
        </w:rPr>
      </w:pPr>
      <w:r>
        <w:rPr>
          <w:rFonts w:ascii="Arial" w:hAnsi="Arial" w:eastAsia="Arial" w:cs="Arial"/>
          <w:sz w:val="2"/>
          <w:szCs w:val="2"/>
        </w:rPr>
        <w:br w:type="column"/>
      </w:r>
    </w:p>
    <w:p>
      <w:pPr>
        <w:pStyle w:val="BodyText"/>
        <w:ind w:right="101" w:firstLine="2"/>
        <w:spacing w:before="49" w:line="350" w:lineRule="auto"/>
        <w:jc w:val="both"/>
        <w:rPr/>
      </w:pPr>
      <w:r>
        <w:rPr>
          <w:spacing w:val="7"/>
        </w:rPr>
        <w:t>发公共事件信息的同时，要根据职责和规定的</w:t>
      </w:r>
      <w:r>
        <w:rPr>
          <w:spacing w:val="7"/>
        </w:rPr>
        <w:t>权限，启动相关的专项预案，及时有效地进行</w:t>
      </w:r>
      <w:r>
        <w:rPr>
          <w:spacing w:val="9"/>
        </w:rPr>
        <w:t>处置，控制事态，维护好事发现场秩序。</w:t>
      </w:r>
    </w:p>
    <w:p>
      <w:pPr>
        <w:pStyle w:val="BodyText"/>
        <w:ind w:left="2" w:right="101" w:firstLine="425"/>
        <w:spacing w:before="1" w:line="349" w:lineRule="auto"/>
        <w:jc w:val="both"/>
        <w:rPr/>
      </w:pPr>
      <w:r>
        <w:rPr>
          <w:rFonts w:ascii="Times New Roman" w:hAnsi="Times New Roman" w:eastAsia="Times New Roman" w:cs="Times New Roman"/>
          <w:spacing w:val="8"/>
        </w:rPr>
        <w:t>5.3  </w:t>
      </w:r>
      <w:r>
        <w:rPr>
          <w:rFonts w:ascii="KaiTi" w:hAnsi="KaiTi" w:eastAsia="KaiTi" w:cs="KaiTi"/>
          <w:spacing w:val="8"/>
        </w:rPr>
        <w:t>应急响应。</w:t>
      </w:r>
      <w:r>
        <w:rPr>
          <w:spacing w:val="8"/>
        </w:rPr>
        <w:t>当事态难以控制或者有扩</w:t>
      </w:r>
      <w:r>
        <w:rPr>
          <w:spacing w:val="7"/>
        </w:rPr>
        <w:t>大、发展趋势时，市局应急指挥部应当迅速向</w:t>
      </w:r>
      <w:r>
        <w:rPr>
          <w:spacing w:val="9"/>
        </w:rPr>
        <w:t>党委政府和上级公安机关报告，请求支援。</w:t>
      </w:r>
    </w:p>
    <w:p>
      <w:pPr>
        <w:pStyle w:val="BodyText"/>
        <w:ind w:right="101" w:firstLine="420"/>
        <w:spacing w:before="9" w:line="350" w:lineRule="auto"/>
        <w:jc w:val="both"/>
        <w:rPr/>
      </w:pPr>
      <w:r>
        <w:rPr>
          <w:spacing w:val="19"/>
        </w:rPr>
        <w:t>对于先期处置未能有效控制事态的较大</w:t>
      </w:r>
      <w:r>
        <w:rPr>
          <w:spacing w:val="7"/>
        </w:rPr>
        <w:t>突发公共事件，要及时启动相关预案，由上级</w:t>
      </w:r>
      <w:r>
        <w:rPr>
          <w:spacing w:val="18"/>
        </w:rPr>
        <w:t>应急指挥部或应急委员会派出的工作组统一</w:t>
      </w:r>
      <w:r>
        <w:rPr>
          <w:spacing w:val="8"/>
        </w:rPr>
        <w:t>指挥或指导开展处置工作。</w:t>
      </w:r>
    </w:p>
    <w:p>
      <w:pPr>
        <w:pStyle w:val="BodyText"/>
        <w:ind w:right="71" w:firstLine="426"/>
        <w:spacing w:before="1" w:line="346" w:lineRule="auto"/>
        <w:jc w:val="both"/>
        <w:rPr/>
      </w:pPr>
      <w:r>
        <w:rPr>
          <w:rFonts w:ascii="Times New Roman" w:hAnsi="Times New Roman" w:eastAsia="Times New Roman" w:cs="Times New Roman"/>
          <w:spacing w:val="8"/>
        </w:rPr>
        <w:t>5.4  </w:t>
      </w:r>
      <w:r>
        <w:rPr>
          <w:rFonts w:ascii="KaiTi" w:hAnsi="KaiTi" w:eastAsia="KaiTi" w:cs="KaiTi"/>
          <w:spacing w:val="8"/>
        </w:rPr>
        <w:t>应急结束。</w:t>
      </w:r>
      <w:r>
        <w:rPr>
          <w:spacing w:val="8"/>
        </w:rPr>
        <w:t>突发公共事件应急处置结</w:t>
      </w:r>
      <w:r>
        <w:rPr>
          <w:spacing w:val="7"/>
        </w:rPr>
        <w:t>束，或者相关危险因素消除后，现场应急指挥</w:t>
      </w:r>
      <w:r>
        <w:rPr>
          <w:spacing w:val="-2"/>
        </w:rPr>
        <w:t>应向市应急指挥部总指挥报告并统一组织撤离。</w:t>
      </w:r>
    </w:p>
    <w:p>
      <w:pPr>
        <w:pStyle w:val="BodyText"/>
        <w:ind w:left="3" w:right="94" w:firstLine="417"/>
        <w:spacing w:before="18" w:line="347" w:lineRule="auto"/>
        <w:jc w:val="both"/>
        <w:rPr/>
      </w:pPr>
      <w:r>
        <w:rPr>
          <w:spacing w:val="7"/>
        </w:rPr>
        <w:t>应急状态解除后，相关单位应当按照专项</w:t>
      </w:r>
      <w:r>
        <w:rPr>
          <w:spacing w:val="7"/>
        </w:rPr>
        <w:t>预案的要求，及时补充应急救援物资和设备，</w:t>
      </w:r>
      <w:r>
        <w:rPr>
          <w:spacing w:val="8"/>
        </w:rPr>
        <w:t>重新回到应急准备状态。</w:t>
      </w:r>
    </w:p>
    <w:p>
      <w:pPr>
        <w:ind w:left="425"/>
        <w:spacing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6</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应急保障</w:t>
      </w:r>
    </w:p>
    <w:p>
      <w:pPr>
        <w:pStyle w:val="BodyText"/>
        <w:ind w:right="101" w:firstLine="413"/>
        <w:spacing w:before="74" w:line="320"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）建立健全应急通信、应急广播电视</w:t>
      </w:r>
      <w:r>
        <w:rPr>
          <w:spacing w:val="7"/>
        </w:rPr>
        <w:t>保障工作体系，完善公用通信网，建立有线和</w:t>
      </w:r>
      <w:r>
        <w:rPr>
          <w:spacing w:val="7"/>
        </w:rPr>
        <w:t>无线相结合、基础电信网络与机动通信系统相</w:t>
      </w:r>
      <w:r>
        <w:rPr>
          <w:spacing w:val="9"/>
        </w:rPr>
        <w:t>配套的应急通信系统，确保通信畅通。</w:t>
      </w:r>
    </w:p>
    <w:p>
      <w:pPr>
        <w:pStyle w:val="BodyText"/>
        <w:ind w:right="20" w:firstLine="412"/>
        <w:spacing w:before="136" w:line="309" w:lineRule="auto"/>
        <w:rPr/>
      </w:pPr>
      <w:r>
        <w:rPr>
          <w:spacing w:val="4"/>
        </w:rPr>
        <w:t>（</w:t>
      </w:r>
      <w:r>
        <w:rPr>
          <w:rFonts w:ascii="Times New Roman" w:hAnsi="Times New Roman" w:eastAsia="Times New Roman" w:cs="Times New Roman"/>
          <w:spacing w:val="4"/>
        </w:rPr>
        <w:t>2</w:t>
      </w:r>
      <w:r>
        <w:rPr>
          <w:rFonts w:ascii="Times New Roman" w:hAnsi="Times New Roman" w:eastAsia="Times New Roman" w:cs="Times New Roman"/>
          <w:spacing w:val="-13"/>
        </w:rPr>
        <w:t xml:space="preserve"> </w:t>
      </w:r>
      <w:r>
        <w:rPr>
          <w:spacing w:val="4"/>
        </w:rPr>
        <w:t>）参与突发公共事件应急工作的单位、</w:t>
      </w:r>
      <w:r>
        <w:rPr>
          <w:spacing w:val="2"/>
        </w:rPr>
        <w:t>应急保障队伍，应当确保</w:t>
      </w:r>
      <w:r>
        <w:rPr>
          <w:spacing w:val="-5"/>
        </w:rPr>
        <w:t xml:space="preserve"> </w:t>
      </w:r>
      <w:r>
        <w:rPr>
          <w:rFonts w:ascii="Times New Roman" w:hAnsi="Times New Roman" w:eastAsia="Times New Roman" w:cs="Times New Roman"/>
          <w:spacing w:val="2"/>
        </w:rPr>
        <w:t>1 </w:t>
      </w:r>
      <w:r>
        <w:rPr>
          <w:spacing w:val="2"/>
        </w:rPr>
        <w:t>部专用固定电话</w:t>
      </w:r>
      <w:r>
        <w:rPr>
          <w:spacing w:val="-41"/>
        </w:rPr>
        <w:t xml:space="preserve"> </w:t>
      </w:r>
      <w:r>
        <w:rPr>
          <w:rFonts w:ascii="Times New Roman" w:hAnsi="Times New Roman" w:eastAsia="Times New Roman" w:cs="Times New Roman"/>
          <w:spacing w:val="2"/>
        </w:rPr>
        <w:t>24</w:t>
      </w:r>
      <w:r>
        <w:rPr>
          <w:spacing w:val="8"/>
        </w:rPr>
        <w:t>小时有人值守，并明确带班领导。</w:t>
      </w:r>
    </w:p>
    <w:p>
      <w:pPr>
        <w:pStyle w:val="BodyText"/>
        <w:ind w:left="2" w:right="101" w:firstLine="410"/>
        <w:spacing w:before="134" w:line="309"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）应急救援现场与应急指挥部之间应</w:t>
      </w:r>
      <w:r>
        <w:rPr>
          <w:spacing w:val="7"/>
        </w:rPr>
        <w:t>当确保通信畅通；必要时，可紧急调用或者征</w:t>
      </w:r>
      <w:r>
        <w:rPr>
          <w:spacing w:val="8"/>
        </w:rPr>
        <w:t>用其他部门和社会通信设施。</w:t>
      </w:r>
    </w:p>
    <w:p>
      <w:pPr>
        <w:ind w:left="424"/>
        <w:spacing w:before="131"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7</w:t>
      </w:r>
      <w:r>
        <w:rPr>
          <w:rFonts w:ascii="Microsoft YaHei" w:hAnsi="Microsoft YaHei" w:eastAsia="Microsoft YaHei" w:cs="Microsoft YaHei"/>
          <w:sz w:val="20"/>
          <w:szCs w:val="20"/>
          <w:spacing w:val="16"/>
        </w:rPr>
        <w:t xml:space="preserve">   </w:t>
      </w:r>
      <w:r>
        <w:rPr>
          <w:rFonts w:ascii="Microsoft YaHei" w:hAnsi="Microsoft YaHei" w:eastAsia="Microsoft YaHei" w:cs="Microsoft YaHei"/>
          <w:sz w:val="20"/>
          <w:szCs w:val="20"/>
          <w:spacing w:val="4"/>
        </w:rPr>
        <w:t>责任与奖惩</w:t>
      </w:r>
    </w:p>
    <w:p>
      <w:pPr>
        <w:pStyle w:val="BodyText"/>
        <w:ind w:left="2" w:right="103" w:firstLine="410"/>
        <w:spacing w:before="76" w:line="287"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）突发公共事件应急处置工作实行责</w:t>
      </w:r>
      <w:r>
        <w:rPr>
          <w:spacing w:val="6"/>
        </w:rPr>
        <w:t>任追究制。</w:t>
      </w:r>
    </w:p>
    <w:p>
      <w:pPr>
        <w:pStyle w:val="BodyText"/>
        <w:ind w:left="8" w:right="101" w:firstLine="404"/>
        <w:spacing w:before="138" w:line="308"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）对突发公共事件应急管理工作中做</w:t>
      </w:r>
      <w:r>
        <w:rPr>
          <w:spacing w:val="6"/>
        </w:rPr>
        <w:t>出突出贡献的先进集体和个人，应当给予表彰</w:t>
      </w:r>
      <w:r>
        <w:rPr>
          <w:spacing w:val="4"/>
        </w:rPr>
        <w:t>和奖励。</w:t>
      </w:r>
    </w:p>
    <w:p>
      <w:pPr>
        <w:pStyle w:val="BodyText"/>
        <w:ind w:left="413"/>
        <w:spacing w:before="138" w:line="221"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）对迟报、谎报、瞒报和漏报突发公</w:t>
      </w:r>
    </w:p>
    <w:p>
      <w:pPr>
        <w:spacing w:line="221" w:lineRule="auto"/>
        <w:sectPr>
          <w:type w:val="continuous"/>
          <w:pgSz w:w="11906" w:h="16839"/>
          <w:pgMar w:top="1772" w:right="1489" w:bottom="1562" w:left="1567" w:header="1428" w:footer="1172" w:gutter="0"/>
          <w:cols w:equalWidth="0" w:num="2">
            <w:col w:w="4502" w:space="100"/>
            <w:col w:w="4249" w:space="0"/>
          </w:cols>
        </w:sectPr>
        <w:rPr/>
      </w:pPr>
    </w:p>
    <w:p>
      <w:pPr>
        <w:spacing w:line="133" w:lineRule="exact"/>
        <w:rPr/>
      </w:pPr>
      <w:r/>
    </w:p>
    <w:p>
      <w:pPr>
        <w:spacing w:line="133" w:lineRule="exact"/>
        <w:sectPr>
          <w:headerReference w:type="default" r:id="rId856"/>
          <w:footerReference w:type="default" r:id="rId905"/>
          <w:pgSz w:w="11906" w:h="16839"/>
          <w:pgMar w:top="1766" w:right="1530" w:bottom="1575" w:left="1576" w:header="1428" w:footer="1172" w:gutter="0"/>
          <w:cols w:equalWidth="0" w:num="1">
            <w:col w:w="8799" w:space="0"/>
          </w:cols>
        </w:sectPr>
        <w:rPr/>
      </w:pPr>
    </w:p>
    <w:p>
      <w:pPr>
        <w:pStyle w:val="BodyText"/>
        <w:ind w:left="15" w:right="330"/>
        <w:spacing w:before="41" w:line="347" w:lineRule="auto"/>
        <w:jc w:val="both"/>
        <w:rPr/>
      </w:pPr>
      <w:r>
        <w:rPr>
          <w:spacing w:val="18"/>
        </w:rPr>
        <w:t>共事件重要情况或者应急管理工作中有其他</w:t>
      </w:r>
      <w:r>
        <w:rPr>
          <w:spacing w:val="7"/>
        </w:rPr>
        <w:t>失职、渎职行为的，依法对有关责任人给予行</w:t>
      </w:r>
      <w:r>
        <w:rPr>
          <w:spacing w:val="9"/>
        </w:rPr>
        <w:t>政处分；构成犯罪的，依法追究刑事责任。</w:t>
      </w:r>
    </w:p>
    <w:p>
      <w:pPr>
        <w:ind w:left="439"/>
        <w:spacing w:before="1"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8</w:t>
      </w:r>
      <w:r>
        <w:rPr>
          <w:rFonts w:ascii="Microsoft YaHei" w:hAnsi="Microsoft YaHei" w:eastAsia="Microsoft YaHei" w:cs="Microsoft YaHei"/>
          <w:sz w:val="20"/>
          <w:szCs w:val="20"/>
          <w:spacing w:val="17"/>
          <w:w w:val="101"/>
        </w:rPr>
        <w:t xml:space="preserve">   </w:t>
      </w:r>
      <w:r>
        <w:rPr>
          <w:rFonts w:ascii="Microsoft YaHei" w:hAnsi="Microsoft YaHei" w:eastAsia="Microsoft YaHei" w:cs="Microsoft YaHei"/>
          <w:sz w:val="20"/>
          <w:szCs w:val="20"/>
          <w:spacing w:val="-5"/>
        </w:rPr>
        <w:t>附则</w:t>
      </w:r>
    </w:p>
    <w:p>
      <w:pPr>
        <w:pStyle w:val="BodyText"/>
        <w:ind w:left="445"/>
        <w:spacing w:before="76" w:line="265" w:lineRule="exact"/>
        <w:rPr/>
      </w:pPr>
      <w:r>
        <w:rPr>
          <w:rFonts w:ascii="Times New Roman" w:hAnsi="Times New Roman" w:eastAsia="Times New Roman" w:cs="Times New Roman"/>
          <w:spacing w:val="6"/>
          <w:position w:val="1"/>
        </w:rPr>
        <w:t>8.</w:t>
      </w:r>
      <w:r>
        <w:rPr>
          <w:rFonts w:ascii="Times New Roman" w:hAnsi="Times New Roman" w:eastAsia="Times New Roman" w:cs="Times New Roman"/>
          <w:spacing w:val="-11"/>
          <w:position w:val="1"/>
        </w:rPr>
        <w:t xml:space="preserve"> </w:t>
      </w:r>
      <w:r>
        <w:rPr>
          <w:rFonts w:ascii="Times New Roman" w:hAnsi="Times New Roman" w:eastAsia="Times New Roman" w:cs="Times New Roman"/>
          <w:spacing w:val="6"/>
          <w:position w:val="1"/>
        </w:rPr>
        <w:t>1  </w:t>
      </w:r>
      <w:r>
        <w:rPr>
          <w:rFonts w:ascii="KaiTi" w:hAnsi="KaiTi" w:eastAsia="KaiTi" w:cs="KaiTi"/>
          <w:spacing w:val="6"/>
          <w:position w:val="1"/>
        </w:rPr>
        <w:t>预案的制定与修改。</w:t>
      </w:r>
      <w:r>
        <w:rPr>
          <w:spacing w:val="6"/>
          <w:position w:val="1"/>
        </w:rPr>
        <w:t>本预案由市公安</w:t>
      </w:r>
    </w:p>
    <w:p>
      <w:pPr>
        <w:spacing w:line="139" w:lineRule="exact"/>
        <w:rPr/>
      </w:pPr>
      <w:r/>
    </w:p>
    <w:p>
      <w:pPr>
        <w:spacing w:line="14" w:lineRule="auto"/>
        <w:rPr>
          <w:rFonts w:ascii="Arial"/>
          <w:sz w:val="2"/>
        </w:rPr>
      </w:pPr>
      <w:r>
        <w:rPr>
          <w:rFonts w:ascii="Arial" w:hAnsi="Arial" w:eastAsia="Arial" w:cs="Arial"/>
          <w:sz w:val="2"/>
          <w:szCs w:val="2"/>
        </w:rPr>
        <w:br w:type="column"/>
      </w:r>
    </w:p>
    <w:p>
      <w:pPr>
        <w:pStyle w:val="BodyText"/>
        <w:ind w:right="59" w:firstLine="1"/>
        <w:spacing w:before="41" w:line="350" w:lineRule="auto"/>
        <w:jc w:val="both"/>
        <w:rPr/>
      </w:pPr>
      <w:r>
        <w:rPr>
          <w:spacing w:val="7"/>
        </w:rPr>
        <w:t>局牵头制订，报市人民政府批准后实施。根据</w:t>
      </w:r>
      <w:r>
        <w:rPr>
          <w:spacing w:val="7"/>
        </w:rPr>
        <w:t>应急救援法律、法规的修改、部门职责的变化</w:t>
      </w:r>
      <w:r>
        <w:rPr>
          <w:spacing w:val="7"/>
        </w:rPr>
        <w:t>以及应急过程出现的新情况，由市公安局会同</w:t>
      </w:r>
      <w:r>
        <w:rPr>
          <w:spacing w:val="7"/>
        </w:rPr>
        <w:t>成员单位及时修订、完善本预案，并报市人民</w:t>
      </w:r>
      <w:r>
        <w:rPr>
          <w:spacing w:val="6"/>
        </w:rPr>
        <w:t>政府批准。</w:t>
      </w:r>
    </w:p>
    <w:p>
      <w:pPr>
        <w:spacing w:line="350" w:lineRule="auto"/>
        <w:sectPr>
          <w:type w:val="continuous"/>
          <w:pgSz w:w="11906" w:h="16839"/>
          <w:pgMar w:top="1766" w:right="1530" w:bottom="1575" w:left="1576" w:header="1428" w:footer="1172" w:gutter="0"/>
          <w:cols w:equalWidth="0" w:num="2">
            <w:col w:w="4493" w:space="100"/>
            <w:col w:w="4207" w:space="0"/>
          </w:cols>
        </w:sectPr>
        <w:rPr/>
      </w:pPr>
    </w:p>
    <w:p>
      <w:pPr>
        <w:spacing w:line="323" w:lineRule="auto"/>
        <w:rPr>
          <w:rFonts w:ascii="Arial"/>
          <w:sz w:val="21"/>
        </w:rPr>
      </w:pPr>
      <w:r>
        <w:drawing>
          <wp:anchor distT="0" distB="0" distL="0" distR="0" simplePos="0" relativeHeight="253108224" behindDoc="0" locked="0" layoutInCell="1" allowOverlap="1">
            <wp:simplePos x="0" y="0"/>
            <wp:positionH relativeFrom="column">
              <wp:posOffset>7517</wp:posOffset>
            </wp:positionH>
            <wp:positionV relativeFrom="paragraph">
              <wp:posOffset>-1303657</wp:posOffset>
            </wp:positionV>
            <wp:extent cx="5579745" cy="7620"/>
            <wp:effectExtent l="0" t="0" r="0" b="0"/>
            <wp:wrapNone/>
            <wp:docPr id="1808" name="IM 1808"/>
            <wp:cNvGraphicFramePr/>
            <a:graphic>
              <a:graphicData uri="http://schemas.openxmlformats.org/drawingml/2006/picture">
                <pic:pic>
                  <pic:nvPicPr>
                    <pic:cNvPr id="1808" name="IM 1808"/>
                    <pic:cNvPicPr/>
                  </pic:nvPicPr>
                  <pic:blipFill>
                    <a:blip r:embed="rId906"/>
                    <a:stretch>
                      <a:fillRect/>
                    </a:stretch>
                  </pic:blipFill>
                  <pic:spPr>
                    <a:xfrm rot="0">
                      <a:off x="0" y="0"/>
                      <a:ext cx="5579745" cy="7620"/>
                    </a:xfrm>
                    <a:prstGeom prst="rect">
                      <a:avLst/>
                    </a:prstGeom>
                  </pic:spPr>
                </pic:pic>
              </a:graphicData>
            </a:graphic>
          </wp:anchor>
        </w:drawing>
      </w:r>
      <w:r/>
    </w:p>
    <w:p>
      <w:pPr>
        <w:spacing w:line="324" w:lineRule="auto"/>
        <w:rPr>
          <w:rFonts w:ascii="Arial"/>
          <w:sz w:val="21"/>
        </w:rPr>
      </w:pPr>
      <w:r/>
    </w:p>
    <w:p>
      <w:pPr>
        <w:ind w:left="1325"/>
        <w:spacing w:before="185" w:line="185"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7"/>
        </w:rPr>
        <w:t>固原市大面积停电事件应急预案</w:t>
      </w:r>
    </w:p>
    <w:p>
      <w:pPr>
        <w:spacing w:before="51"/>
        <w:rPr/>
      </w:pPr>
      <w:r/>
    </w:p>
    <w:p>
      <w:pPr>
        <w:spacing w:before="51"/>
        <w:rPr/>
      </w:pPr>
      <w:r/>
    </w:p>
    <w:p>
      <w:pPr>
        <w:sectPr>
          <w:type w:val="continuous"/>
          <w:pgSz w:w="11906" w:h="16839"/>
          <w:pgMar w:top="1766" w:right="1530" w:bottom="1575" w:left="1576" w:header="1428" w:footer="1172" w:gutter="0"/>
          <w:cols w:equalWidth="0" w:num="1">
            <w:col w:w="8799" w:space="0"/>
          </w:cols>
        </w:sectPr>
        <w:rPr/>
      </w:pPr>
    </w:p>
    <w:p>
      <w:pPr>
        <w:ind w:left="453"/>
        <w:spacing w:before="49"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1</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7"/>
        </w:rPr>
        <w:t>总则</w:t>
      </w:r>
    </w:p>
    <w:p>
      <w:pPr>
        <w:pStyle w:val="BodyText"/>
        <w:ind w:left="15" w:right="329" w:firstLine="441"/>
        <w:spacing w:before="97" w:line="340" w:lineRule="auto"/>
        <w:rPr/>
      </w:pPr>
      <w:r>
        <w:rPr>
          <w:rFonts w:ascii="Times New Roman" w:hAnsi="Times New Roman" w:eastAsia="Times New Roman" w:cs="Times New Roman"/>
          <w:spacing w:val="3"/>
        </w:rPr>
        <w:t>1.</w:t>
      </w:r>
      <w:r>
        <w:rPr>
          <w:rFonts w:ascii="Times New Roman" w:hAnsi="Times New Roman" w:eastAsia="Times New Roman" w:cs="Times New Roman"/>
          <w:spacing w:val="-9"/>
        </w:rPr>
        <w:t xml:space="preserve"> </w:t>
      </w:r>
      <w:r>
        <w:rPr>
          <w:rFonts w:ascii="Times New Roman" w:hAnsi="Times New Roman" w:eastAsia="Times New Roman" w:cs="Times New Roman"/>
          <w:spacing w:val="3"/>
        </w:rPr>
        <w:t>1  </w:t>
      </w:r>
      <w:r>
        <w:rPr>
          <w:rFonts w:ascii="KaiTi" w:hAnsi="KaiTi" w:eastAsia="KaiTi" w:cs="KaiTi"/>
          <w:spacing w:val="3"/>
        </w:rPr>
        <w:t>编制</w:t>
      </w:r>
      <w:r>
        <w:rPr>
          <w:rFonts w:ascii="KaiTi" w:hAnsi="KaiTi" w:eastAsia="KaiTi" w:cs="KaiTi"/>
          <w:spacing w:val="-50"/>
        </w:rPr>
        <w:t xml:space="preserve"> </w:t>
      </w:r>
      <w:r>
        <w:rPr>
          <w:rFonts w:ascii="KaiTi" w:hAnsi="KaiTi" w:eastAsia="KaiTi" w:cs="KaiTi"/>
          <w:spacing w:val="3"/>
        </w:rPr>
        <w:t>目的。</w:t>
      </w:r>
      <w:r>
        <w:rPr>
          <w:spacing w:val="3"/>
        </w:rPr>
        <w:t>正确、高效、有序地处置</w:t>
      </w:r>
      <w:r>
        <w:rPr>
          <w:spacing w:val="7"/>
        </w:rPr>
        <w:t>大面积停电事件，建立健全大面积停电事件应</w:t>
      </w:r>
      <w:r>
        <w:rPr>
          <w:spacing w:val="7"/>
        </w:rPr>
        <w:t>对工作机制，提高应对效率，最大程度减少停</w:t>
      </w:r>
      <w:r>
        <w:rPr>
          <w:spacing w:val="15"/>
        </w:rPr>
        <w:t>电事件造成的损失和影响</w:t>
      </w:r>
      <w:r>
        <w:rPr>
          <w:spacing w:val="-40"/>
        </w:rPr>
        <w:t xml:space="preserve"> </w:t>
      </w:r>
      <w:r>
        <w:rPr>
          <w:spacing w:val="15"/>
        </w:rPr>
        <w:t>，维护固原地区安</w:t>
      </w:r>
      <w:r>
        <w:rPr>
          <w:spacing w:val="9"/>
        </w:rPr>
        <w:t>全、社会稳定和人民群众生命财产安全。</w:t>
      </w:r>
    </w:p>
    <w:p>
      <w:pPr>
        <w:pStyle w:val="BodyText"/>
        <w:ind w:right="211" w:firstLine="457"/>
        <w:spacing w:before="154" w:line="351" w:lineRule="auto"/>
        <w:rPr/>
      </w:pPr>
      <w:r>
        <w:rPr>
          <w:rFonts w:ascii="Times New Roman" w:hAnsi="Times New Roman" w:eastAsia="Times New Roman" w:cs="Times New Roman"/>
          <w:spacing w:val="7"/>
        </w:rPr>
        <w:t>1.2  </w:t>
      </w:r>
      <w:r>
        <w:rPr>
          <w:rFonts w:ascii="KaiTi" w:hAnsi="KaiTi" w:eastAsia="KaiTi" w:cs="KaiTi"/>
          <w:spacing w:val="7"/>
        </w:rPr>
        <w:t>编制依据。</w:t>
      </w:r>
      <w:r>
        <w:rPr>
          <w:spacing w:val="7"/>
        </w:rPr>
        <w:t>《中华人民共和国突发事</w:t>
      </w:r>
      <w:r>
        <w:rPr>
          <w:spacing w:val="-2"/>
        </w:rPr>
        <w:t>件应对法》《中华人民共和国安全生产法》《中</w:t>
      </w:r>
      <w:r>
        <w:rPr>
          <w:spacing w:val="8"/>
        </w:rPr>
        <w:t>华人民共和国电力法》《生产安全事故报告和</w:t>
      </w:r>
      <w:r>
        <w:rPr>
          <w:spacing w:val="8"/>
        </w:rPr>
        <w:t>调查处理条例》《电力安全事故应急处置和调</w:t>
      </w:r>
      <w:r>
        <w:rPr>
          <w:spacing w:val="3"/>
        </w:rPr>
        <w:t>查处理条例》《国家大面积停电事件应急预案》</w:t>
      </w:r>
      <w:r>
        <w:rPr>
          <w:spacing w:val="16"/>
        </w:rPr>
        <w:t xml:space="preserve"> </w:t>
      </w:r>
      <w:r>
        <w:rPr>
          <w:spacing w:val="10"/>
        </w:rPr>
        <w:t>《固原市突发事件总体应急预案》等。</w:t>
      </w:r>
    </w:p>
    <w:p>
      <w:pPr>
        <w:pStyle w:val="BodyText"/>
        <w:ind w:left="15" w:right="329" w:firstLine="441"/>
        <w:spacing w:before="123" w:line="348" w:lineRule="auto"/>
        <w:rPr/>
      </w:pPr>
      <w:r>
        <w:rPr>
          <w:rFonts w:ascii="Times New Roman" w:hAnsi="Times New Roman" w:eastAsia="Times New Roman" w:cs="Times New Roman"/>
          <w:spacing w:val="7"/>
        </w:rPr>
        <w:t>1.3  </w:t>
      </w:r>
      <w:r>
        <w:rPr>
          <w:rFonts w:ascii="KaiTi" w:hAnsi="KaiTi" w:eastAsia="KaiTi" w:cs="KaiTi"/>
          <w:spacing w:val="7"/>
        </w:rPr>
        <w:t>适用范围。</w:t>
      </w:r>
      <w:r>
        <w:rPr>
          <w:spacing w:val="7"/>
        </w:rPr>
        <w:t>本预案适用于固原市域内</w:t>
      </w:r>
      <w:r>
        <w:rPr>
          <w:spacing w:val="7"/>
        </w:rPr>
        <w:t>发生的大面积停电事件应对工作。大面积停电</w:t>
      </w:r>
      <w:r>
        <w:rPr>
          <w:spacing w:val="7"/>
        </w:rPr>
        <w:t>事件是指由于自然灾害、电力安全事故和外力</w:t>
      </w:r>
      <w:r>
        <w:rPr>
          <w:spacing w:val="7"/>
        </w:rPr>
        <w:t>破坏等原因造成区域性电网、省级电网或城市</w:t>
      </w:r>
      <w:r>
        <w:rPr>
          <w:spacing w:val="7"/>
        </w:rPr>
        <w:t>电网大量减供负荷，对国家安全、社会稳定以</w:t>
      </w:r>
      <w:r>
        <w:rPr>
          <w:spacing w:val="18"/>
        </w:rPr>
        <w:t>及人民群众生产生活造成影响和威胁的停电</w:t>
      </w:r>
      <w:r>
        <w:rPr>
          <w:spacing w:val="5"/>
        </w:rPr>
        <w:t>事件。</w:t>
      </w:r>
    </w:p>
    <w:p>
      <w:pPr>
        <w:pStyle w:val="BodyText"/>
        <w:ind w:left="17" w:right="329" w:firstLine="439"/>
        <w:spacing w:before="158" w:line="329" w:lineRule="auto"/>
        <w:rPr/>
      </w:pPr>
      <w:r>
        <w:rPr>
          <w:rFonts w:ascii="Times New Roman" w:hAnsi="Times New Roman" w:eastAsia="Times New Roman" w:cs="Times New Roman"/>
          <w:spacing w:val="7"/>
        </w:rPr>
        <w:t>1.4  </w:t>
      </w:r>
      <w:r>
        <w:rPr>
          <w:rFonts w:ascii="KaiTi" w:hAnsi="KaiTi" w:eastAsia="KaiTi" w:cs="KaiTi"/>
          <w:spacing w:val="7"/>
        </w:rPr>
        <w:t>工作原则。</w:t>
      </w:r>
      <w:r>
        <w:rPr>
          <w:spacing w:val="7"/>
        </w:rPr>
        <w:t>大面积停电事件应对工作</w:t>
      </w:r>
      <w:r>
        <w:rPr>
          <w:spacing w:val="7"/>
        </w:rPr>
        <w:t>坚持统一领导、综合协调，属地为主、分工负</w:t>
      </w:r>
      <w:r>
        <w:rPr>
          <w:spacing w:val="7"/>
        </w:rPr>
        <w:t>责，保障民生、维护安全，全社会共同参与的</w:t>
      </w:r>
      <w:r>
        <w:rPr>
          <w:spacing w:val="7"/>
        </w:rPr>
        <w:t>原则。大面积停电事件发生后，市政府及其有</w:t>
      </w:r>
    </w:p>
    <w:p>
      <w:pPr>
        <w:spacing w:line="14" w:lineRule="auto"/>
        <w:rPr>
          <w:rFonts w:ascii="Arial"/>
          <w:sz w:val="2"/>
        </w:rPr>
      </w:pPr>
      <w:r>
        <w:rPr>
          <w:rFonts w:ascii="Arial" w:hAnsi="Arial" w:eastAsia="Arial" w:cs="Arial"/>
          <w:sz w:val="2"/>
          <w:szCs w:val="2"/>
        </w:rPr>
        <w:br w:type="column"/>
      </w:r>
    </w:p>
    <w:p>
      <w:pPr>
        <w:pStyle w:val="BodyText"/>
        <w:ind w:left="5" w:right="59" w:hanging="5"/>
        <w:spacing w:before="59" w:line="367" w:lineRule="auto"/>
        <w:rPr/>
      </w:pPr>
      <w:r>
        <w:rPr>
          <w:spacing w:val="7"/>
        </w:rPr>
        <w:t>关部门、电力企业、重要电力用户应立即按照</w:t>
      </w:r>
      <w:r>
        <w:rPr>
          <w:spacing w:val="8"/>
        </w:rPr>
        <w:t>职责分工和相关预案开展处置工作。</w:t>
      </w:r>
    </w:p>
    <w:p>
      <w:pPr>
        <w:pStyle w:val="BodyText"/>
        <w:ind w:left="2" w:right="36" w:firstLine="439"/>
        <w:spacing w:before="1" w:line="366" w:lineRule="auto"/>
        <w:jc w:val="both"/>
        <w:rPr/>
      </w:pPr>
      <w:r>
        <w:rPr>
          <w:rFonts w:ascii="Times New Roman" w:hAnsi="Times New Roman" w:eastAsia="Times New Roman" w:cs="Times New Roman"/>
          <w:spacing w:val="7"/>
        </w:rPr>
        <w:t>1.5  </w:t>
      </w:r>
      <w:r>
        <w:rPr>
          <w:rFonts w:ascii="KaiTi" w:hAnsi="KaiTi" w:eastAsia="KaiTi" w:cs="KaiTi"/>
          <w:spacing w:val="7"/>
        </w:rPr>
        <w:t>事件分级。</w:t>
      </w:r>
      <w:r>
        <w:rPr>
          <w:spacing w:val="7"/>
        </w:rPr>
        <w:t>按照事件严重性和受影响</w:t>
      </w:r>
      <w:r>
        <w:rPr>
          <w:spacing w:val="8"/>
        </w:rPr>
        <w:t>程度，大面积停电事件分为特别重大、重大、</w:t>
      </w:r>
      <w:r>
        <w:rPr>
          <w:spacing w:val="7"/>
        </w:rPr>
        <w:t>较大和一般四级。分级标准见附件</w:t>
      </w:r>
      <w:r>
        <w:rPr>
          <w:spacing w:val="-19"/>
        </w:rPr>
        <w:t xml:space="preserve"> </w:t>
      </w:r>
      <w:r>
        <w:rPr>
          <w:rFonts w:ascii="Times New Roman" w:hAnsi="Times New Roman" w:eastAsia="Times New Roman" w:cs="Times New Roman"/>
          <w:spacing w:val="7"/>
        </w:rPr>
        <w:t>1</w:t>
      </w:r>
      <w:r>
        <w:rPr>
          <w:spacing w:val="7"/>
        </w:rPr>
        <w:t>。</w:t>
      </w:r>
    </w:p>
    <w:p>
      <w:pPr>
        <w:ind w:left="423"/>
        <w:spacing w:before="3"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2</w:t>
      </w:r>
      <w:r>
        <w:rPr>
          <w:rFonts w:ascii="Microsoft YaHei" w:hAnsi="Microsoft YaHei" w:eastAsia="Microsoft YaHei" w:cs="Microsoft YaHei"/>
          <w:sz w:val="20"/>
          <w:szCs w:val="20"/>
          <w:spacing w:val="15"/>
          <w:w w:val="101"/>
        </w:rPr>
        <w:t xml:space="preserve">   </w:t>
      </w:r>
      <w:r>
        <w:rPr>
          <w:rFonts w:ascii="Microsoft YaHei" w:hAnsi="Microsoft YaHei" w:eastAsia="Microsoft YaHei" w:cs="Microsoft YaHei"/>
          <w:sz w:val="20"/>
          <w:szCs w:val="20"/>
          <w:spacing w:val="3"/>
        </w:rPr>
        <w:t>组织体系</w:t>
      </w:r>
    </w:p>
    <w:p>
      <w:pPr>
        <w:pStyle w:val="BodyText"/>
        <w:ind w:right="59" w:firstLine="421"/>
        <w:spacing w:before="96" w:line="366" w:lineRule="auto"/>
        <w:jc w:val="both"/>
        <w:rPr/>
      </w:pPr>
      <w:r>
        <w:rPr>
          <w:rFonts w:ascii="Times New Roman" w:hAnsi="Times New Roman" w:eastAsia="Times New Roman" w:cs="Times New Roman"/>
          <w:spacing w:val="9"/>
        </w:rPr>
        <w:t>2.</w:t>
      </w:r>
      <w:r>
        <w:rPr>
          <w:rFonts w:ascii="Times New Roman" w:hAnsi="Times New Roman" w:eastAsia="Times New Roman" w:cs="Times New Roman"/>
          <w:spacing w:val="-17"/>
        </w:rPr>
        <w:t xml:space="preserve"> </w:t>
      </w:r>
      <w:r>
        <w:rPr>
          <w:rFonts w:ascii="Times New Roman" w:hAnsi="Times New Roman" w:eastAsia="Times New Roman" w:cs="Times New Roman"/>
          <w:spacing w:val="9"/>
        </w:rPr>
        <w:t>1</w:t>
      </w:r>
      <w:r>
        <w:rPr>
          <w:rFonts w:ascii="Times New Roman" w:hAnsi="Times New Roman" w:eastAsia="Times New Roman" w:cs="Times New Roman"/>
          <w:spacing w:val="20"/>
        </w:rPr>
        <w:t xml:space="preserve"> </w:t>
      </w:r>
      <w:r>
        <w:rPr>
          <w:rFonts w:ascii="KaiTi" w:hAnsi="KaiTi" w:eastAsia="KaiTi" w:cs="KaiTi"/>
          <w:spacing w:val="9"/>
        </w:rPr>
        <w:t>市政府组织指挥机构。</w:t>
      </w:r>
      <w:r>
        <w:rPr>
          <w:spacing w:val="9"/>
        </w:rPr>
        <w:t>市政府成立固</w:t>
      </w:r>
      <w:r>
        <w:rPr>
          <w:spacing w:val="4"/>
        </w:rPr>
        <w:t>原市大面积停电事件应急处置领导小组（</w:t>
      </w:r>
      <w:r>
        <w:rPr>
          <w:spacing w:val="-34"/>
        </w:rPr>
        <w:t xml:space="preserve"> </w:t>
      </w:r>
      <w:r>
        <w:rPr>
          <w:spacing w:val="4"/>
        </w:rPr>
        <w:t>以下</w:t>
      </w:r>
      <w:r>
        <w:rPr>
          <w:spacing w:val="9"/>
        </w:rPr>
        <w:t>简称市应急处置领导小组</w:t>
      </w:r>
      <w:r>
        <w:rPr>
          <w:spacing w:val="-8"/>
        </w:rPr>
        <w:t>），</w:t>
      </w:r>
      <w:r>
        <w:rPr>
          <w:spacing w:val="9"/>
        </w:rPr>
        <w:t>负责相关工作的</w:t>
      </w:r>
      <w:r>
        <w:rPr>
          <w:spacing w:val="7"/>
        </w:rPr>
        <w:t>指导协调和组织管理。市应急处置领导小组办</w:t>
      </w:r>
      <w:r>
        <w:rPr>
          <w:spacing w:val="7"/>
        </w:rPr>
        <w:t>公室设在市发展和改革委员会，负责市应急办</w:t>
      </w:r>
      <w:r>
        <w:rPr>
          <w:spacing w:val="7"/>
        </w:rPr>
        <w:t>公室日常工作。</w:t>
      </w:r>
    </w:p>
    <w:p>
      <w:pPr>
        <w:pStyle w:val="BodyText"/>
        <w:ind w:right="59" w:firstLine="436"/>
        <w:spacing w:before="26" w:line="369" w:lineRule="auto"/>
        <w:jc w:val="both"/>
        <w:rPr/>
      </w:pPr>
      <w:r>
        <w:rPr>
          <w:spacing w:val="6"/>
        </w:rPr>
        <w:t>当发生特别重大大面积停电事件时，在自</w:t>
      </w:r>
      <w:r>
        <w:rPr>
          <w:spacing w:val="18"/>
        </w:rPr>
        <w:t>治区大面积停电事件应急处置领导小组统一</w:t>
      </w:r>
      <w:r>
        <w:rPr>
          <w:spacing w:val="7"/>
        </w:rPr>
        <w:t>领导、组织和指挥下，开展大面积停电事件应</w:t>
      </w:r>
      <w:r>
        <w:rPr>
          <w:spacing w:val="6"/>
        </w:rPr>
        <w:t>对工作。</w:t>
      </w:r>
    </w:p>
    <w:p>
      <w:pPr>
        <w:pStyle w:val="BodyText"/>
        <w:ind w:left="1" w:right="59" w:firstLine="435"/>
        <w:spacing w:before="2" w:line="369" w:lineRule="auto"/>
        <w:jc w:val="both"/>
        <w:rPr/>
      </w:pPr>
      <w:r>
        <w:rPr>
          <w:spacing w:val="6"/>
        </w:rPr>
        <w:t>当发生重大、较大大面积停电事件时，在</w:t>
      </w:r>
      <w:r>
        <w:rPr>
          <w:spacing w:val="18"/>
        </w:rPr>
        <w:t>市应急处置领导小组统一领导、组织和指挥</w:t>
      </w:r>
      <w:r>
        <w:rPr>
          <w:spacing w:val="7"/>
        </w:rPr>
        <w:t>下，开展大面积停电事件应对工作。超出我市</w:t>
      </w:r>
      <w:r>
        <w:rPr>
          <w:spacing w:val="7"/>
        </w:rPr>
        <w:t>处置能力，按程序报自治区大面积停电事件处</w:t>
      </w:r>
      <w:r>
        <w:rPr>
          <w:spacing w:val="7"/>
        </w:rPr>
        <w:t>置应急办，由自治区应急处置领导小组统一领</w:t>
      </w:r>
      <w:r>
        <w:rPr>
          <w:spacing w:val="9"/>
        </w:rPr>
        <w:t>导、组织和指挥大面积停电事件应对工作。</w:t>
      </w:r>
    </w:p>
    <w:p>
      <w:pPr>
        <w:pStyle w:val="BodyText"/>
        <w:ind w:left="437"/>
        <w:spacing w:before="16" w:line="187" w:lineRule="auto"/>
        <w:rPr/>
      </w:pPr>
      <w:r>
        <w:rPr>
          <w:spacing w:val="6"/>
        </w:rPr>
        <w:t>当发生一般大面积停电事件时，由市应急</w:t>
      </w:r>
    </w:p>
    <w:p>
      <w:pPr>
        <w:spacing w:line="187" w:lineRule="auto"/>
        <w:sectPr>
          <w:type w:val="continuous"/>
          <w:pgSz w:w="11906" w:h="16839"/>
          <w:pgMar w:top="1766" w:right="1530" w:bottom="1575" w:left="1576" w:header="1428" w:footer="1172" w:gutter="0"/>
          <w:cols w:equalWidth="0" w:num="2">
            <w:col w:w="4492" w:space="100"/>
            <w:col w:w="4207" w:space="0"/>
          </w:cols>
        </w:sectPr>
        <w:rPr/>
      </w:pPr>
    </w:p>
    <w:p>
      <w:pPr>
        <w:spacing w:before="90"/>
        <w:rPr/>
      </w:pPr>
      <w:r>
        <w:drawing>
          <wp:anchor distT="0" distB="0" distL="0" distR="0" simplePos="0" relativeHeight="253119488"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812" name="IM 1812"/>
            <wp:cNvGraphicFramePr/>
            <a:graphic>
              <a:graphicData uri="http://schemas.openxmlformats.org/drawingml/2006/picture">
                <pic:pic>
                  <pic:nvPicPr>
                    <pic:cNvPr id="1812" name="IM 1812"/>
                    <pic:cNvPicPr/>
                  </pic:nvPicPr>
                  <pic:blipFill>
                    <a:blip r:embed="rId908"/>
                    <a:stretch>
                      <a:fillRect/>
                    </a:stretch>
                  </pic:blipFill>
                  <pic:spPr>
                    <a:xfrm rot="0">
                      <a:off x="0" y="0"/>
                      <a:ext cx="5579745" cy="7620"/>
                    </a:xfrm>
                    <a:prstGeom prst="rect">
                      <a:avLst/>
                    </a:prstGeom>
                  </pic:spPr>
                </pic:pic>
              </a:graphicData>
            </a:graphic>
          </wp:anchor>
        </w:drawing>
      </w:r>
      <w:r/>
    </w:p>
    <w:p>
      <w:pPr>
        <w:sectPr>
          <w:headerReference w:type="default" r:id="rId816"/>
          <w:footerReference w:type="default" r:id="rId907"/>
          <w:pgSz w:w="11906" w:h="16839"/>
          <w:pgMar w:top="1772" w:right="1489" w:bottom="1562" w:left="1567" w:header="1428" w:footer="1172" w:gutter="0"/>
          <w:cols w:equalWidth="0" w:num="1">
            <w:col w:w="8850" w:space="0"/>
          </w:cols>
        </w:sectPr>
        <w:rPr/>
      </w:pPr>
    </w:p>
    <w:p>
      <w:pPr>
        <w:pStyle w:val="BodyText"/>
        <w:ind w:left="25" w:right="331"/>
        <w:spacing w:before="39" w:line="387" w:lineRule="auto"/>
        <w:jc w:val="both"/>
        <w:rPr/>
      </w:pPr>
      <w:r>
        <w:rPr>
          <w:spacing w:val="7"/>
        </w:rPr>
        <w:t>处置领导小组负责统一领导、组织和指挥大面</w:t>
      </w:r>
      <w:r>
        <w:rPr>
          <w:spacing w:val="7"/>
        </w:rPr>
        <w:t>积停电事件应对工作，市应急处置领导小组组</w:t>
      </w:r>
      <w:r>
        <w:rPr>
          <w:spacing w:val="7"/>
        </w:rPr>
        <w:t>成及工作组职责见附件</w:t>
      </w:r>
      <w:r>
        <w:rPr>
          <w:spacing w:val="-35"/>
        </w:rPr>
        <w:t xml:space="preserve"> </w:t>
      </w:r>
      <w:r>
        <w:rPr>
          <w:rFonts w:ascii="Times New Roman" w:hAnsi="Times New Roman" w:eastAsia="Times New Roman" w:cs="Times New Roman"/>
          <w:spacing w:val="7"/>
        </w:rPr>
        <w:t>2</w:t>
      </w:r>
      <w:r>
        <w:rPr>
          <w:spacing w:val="7"/>
        </w:rPr>
        <w:t>。</w:t>
      </w:r>
    </w:p>
    <w:p>
      <w:pPr>
        <w:pStyle w:val="BodyText"/>
        <w:ind w:left="25" w:right="331" w:firstLine="421"/>
        <w:spacing w:before="2" w:line="346" w:lineRule="auto"/>
        <w:rPr/>
      </w:pPr>
      <w:r>
        <w:rPr>
          <w:rFonts w:ascii="Times New Roman" w:hAnsi="Times New Roman" w:eastAsia="Times New Roman" w:cs="Times New Roman"/>
          <w:spacing w:val="8"/>
        </w:rPr>
        <w:t>2.2  </w:t>
      </w:r>
      <w:r>
        <w:rPr>
          <w:rFonts w:ascii="KaiTi" w:hAnsi="KaiTi" w:eastAsia="KaiTi" w:cs="KaiTi"/>
          <w:spacing w:val="8"/>
        </w:rPr>
        <w:t>现场指挥机构。</w:t>
      </w:r>
      <w:r>
        <w:rPr>
          <w:spacing w:val="8"/>
        </w:rPr>
        <w:t>发生大面积停电事件</w:t>
      </w:r>
      <w:r>
        <w:rPr>
          <w:spacing w:val="7"/>
        </w:rPr>
        <w:t>时，市政府根据需要成立现场指挥部，负责现</w:t>
      </w:r>
      <w:r>
        <w:rPr>
          <w:spacing w:val="7"/>
        </w:rPr>
        <w:t>场组织指挥工作。参与现场处置的有关单位和</w:t>
      </w:r>
      <w:r>
        <w:rPr>
          <w:spacing w:val="9"/>
        </w:rPr>
        <w:t>人员应服从现场指挥部的统一指挥。</w:t>
      </w:r>
    </w:p>
    <w:p>
      <w:pPr>
        <w:pStyle w:val="BodyText"/>
        <w:ind w:left="25" w:right="248" w:firstLine="420"/>
        <w:spacing w:before="179" w:line="364" w:lineRule="auto"/>
        <w:rPr/>
      </w:pPr>
      <w:r>
        <w:rPr>
          <w:rFonts w:ascii="Times New Roman" w:hAnsi="Times New Roman" w:eastAsia="Times New Roman" w:cs="Times New Roman"/>
          <w:spacing w:val="1"/>
        </w:rPr>
        <w:t>2.3</w:t>
      </w:r>
      <w:r>
        <w:rPr>
          <w:rFonts w:ascii="Times New Roman" w:hAnsi="Times New Roman" w:eastAsia="Times New Roman" w:cs="Times New Roman"/>
          <w:spacing w:val="18"/>
          <w:w w:val="101"/>
        </w:rPr>
        <w:t xml:space="preserve">  </w:t>
      </w:r>
      <w:r>
        <w:rPr>
          <w:rFonts w:ascii="KaiTi" w:hAnsi="KaiTi" w:eastAsia="KaiTi" w:cs="KaiTi"/>
          <w:spacing w:val="1"/>
        </w:rPr>
        <w:t>电力企业。</w:t>
      </w:r>
      <w:r>
        <w:rPr>
          <w:spacing w:val="1"/>
        </w:rPr>
        <w:t>电力企业（包括电网企业、</w:t>
      </w:r>
      <w:r>
        <w:rPr>
          <w:spacing w:val="11"/>
        </w:rPr>
        <w:t>发电企业等，下同）建立健全应急指挥机构，</w:t>
      </w:r>
      <w:r>
        <w:rPr>
          <w:spacing w:val="18"/>
        </w:rPr>
        <w:t>在市政府应急指挥机构领导下开展大面积停</w:t>
      </w:r>
      <w:r>
        <w:rPr>
          <w:spacing w:val="7"/>
        </w:rPr>
        <w:t>电事件应对工作。国网固原供电公司负责全市</w:t>
      </w:r>
      <w:r>
        <w:rPr>
          <w:spacing w:val="18"/>
        </w:rPr>
        <w:t>主网、所辖供电区大面积停电事件的应对处</w:t>
      </w:r>
      <w:r>
        <w:rPr>
          <w:spacing w:val="7"/>
        </w:rPr>
        <w:t>置，按照相关规程执行电网调度工作。各发电</w:t>
      </w:r>
      <w:r>
        <w:rPr>
          <w:spacing w:val="9"/>
        </w:rPr>
        <w:t>企业负责本企业的事故抢险和应对处置工作。</w:t>
      </w:r>
    </w:p>
    <w:p>
      <w:pPr>
        <w:pStyle w:val="BodyText"/>
        <w:ind w:left="24" w:right="250" w:firstLine="421"/>
        <w:spacing w:before="178" w:line="374" w:lineRule="auto"/>
        <w:rPr/>
      </w:pPr>
      <w:r>
        <w:rPr>
          <w:rFonts w:ascii="Times New Roman" w:hAnsi="Times New Roman" w:eastAsia="Times New Roman" w:cs="Times New Roman"/>
          <w:spacing w:val="2"/>
        </w:rPr>
        <w:t>2.4  </w:t>
      </w:r>
      <w:r>
        <w:rPr>
          <w:rFonts w:ascii="KaiTi" w:hAnsi="KaiTi" w:eastAsia="KaiTi" w:cs="KaiTi"/>
          <w:spacing w:val="2"/>
        </w:rPr>
        <w:t>重要电力用户。</w:t>
      </w:r>
      <w:r>
        <w:rPr>
          <w:spacing w:val="2"/>
        </w:rPr>
        <w:t>对维护基本公共秩序、</w:t>
      </w:r>
      <w:r>
        <w:rPr>
          <w:spacing w:val="18"/>
        </w:rPr>
        <w:t>保障人身安全和避免重大经济损失具有重要</w:t>
      </w:r>
      <w:r>
        <w:rPr>
          <w:spacing w:val="7"/>
        </w:rPr>
        <w:t>意义的政府机关、医疗、交通、通信、广播电</w:t>
      </w:r>
      <w:r>
        <w:rPr>
          <w:spacing w:val="7"/>
        </w:rPr>
        <w:t>视、供水、供气、供热、加油（气）、排水泵</w:t>
      </w:r>
      <w:r>
        <w:rPr>
          <w:spacing w:val="7"/>
        </w:rPr>
        <w:t>站、污水处理、工矿商贸等单位，应根据相关</w:t>
      </w:r>
      <w:r>
        <w:rPr>
          <w:spacing w:val="7"/>
        </w:rPr>
        <w:t>规定合理配置供电电源和自备应急电源，完善</w:t>
      </w:r>
      <w:r>
        <w:rPr>
          <w:spacing w:val="11"/>
        </w:rPr>
        <w:t>非电保安等各种保障措施，并定期检查维护，</w:t>
      </w:r>
      <w:r>
        <w:rPr>
          <w:spacing w:val="7"/>
        </w:rPr>
        <w:t>确保相关设施设备的可靠性和有效性。发生大</w:t>
      </w:r>
      <w:r>
        <w:rPr>
          <w:spacing w:val="7"/>
        </w:rPr>
        <w:t>面积停电事件时，负责本单位职责范围内的事</w:t>
      </w:r>
      <w:r>
        <w:rPr>
          <w:spacing w:val="7"/>
        </w:rPr>
        <w:t>故抢险和应急处置工作，根据有关情况，向政</w:t>
      </w:r>
      <w:r>
        <w:rPr>
          <w:spacing w:val="7"/>
        </w:rPr>
        <w:t>府有关部门请求支援，并按照市应急处置领导</w:t>
      </w:r>
      <w:r>
        <w:rPr>
          <w:spacing w:val="8"/>
        </w:rPr>
        <w:t>小组的指令对外开展支援。</w:t>
      </w:r>
    </w:p>
    <w:p>
      <w:pPr>
        <w:pStyle w:val="BodyText"/>
        <w:ind w:left="24" w:right="324" w:firstLine="421"/>
        <w:spacing w:before="177" w:line="348" w:lineRule="auto"/>
        <w:rPr/>
      </w:pPr>
      <w:r>
        <w:rPr>
          <w:rFonts w:ascii="Times New Roman" w:hAnsi="Times New Roman" w:eastAsia="Times New Roman" w:cs="Times New Roman"/>
          <w:spacing w:val="8"/>
        </w:rPr>
        <w:t>2.5  </w:t>
      </w:r>
      <w:r>
        <w:rPr>
          <w:rFonts w:ascii="KaiTi" w:hAnsi="KaiTi" w:eastAsia="KaiTi" w:cs="KaiTi"/>
          <w:spacing w:val="8"/>
        </w:rPr>
        <w:t>专家组。</w:t>
      </w:r>
      <w:r>
        <w:rPr>
          <w:spacing w:val="8"/>
        </w:rPr>
        <w:t>市应急处置领导小组根据需</w:t>
      </w:r>
      <w:r>
        <w:rPr>
          <w:spacing w:val="7"/>
        </w:rPr>
        <w:t>要成立大面积停电事件应急专家组，成员由电</w:t>
      </w:r>
      <w:r>
        <w:rPr>
          <w:spacing w:val="7"/>
        </w:rPr>
        <w:t>力、气象、地质、水文等领域相关专家组成，</w:t>
      </w:r>
      <w:r>
        <w:rPr>
          <w:spacing w:val="18"/>
        </w:rPr>
        <w:t>对大面积停电事件应对工作提供技术咨询和</w:t>
      </w:r>
      <w:r>
        <w:rPr>
          <w:spacing w:val="7"/>
        </w:rPr>
        <w:t>建议。各电力企业根据实际情况成立大面积停</w:t>
      </w:r>
    </w:p>
    <w:p>
      <w:pPr>
        <w:spacing w:line="14" w:lineRule="auto"/>
        <w:rPr>
          <w:rFonts w:ascii="Arial"/>
          <w:sz w:val="2"/>
        </w:rPr>
      </w:pPr>
      <w:r>
        <w:rPr>
          <w:rFonts w:ascii="Arial" w:hAnsi="Arial" w:eastAsia="Arial" w:cs="Arial"/>
          <w:sz w:val="2"/>
          <w:szCs w:val="2"/>
        </w:rPr>
        <w:br w:type="column"/>
      </w:r>
    </w:p>
    <w:p>
      <w:pPr>
        <w:pStyle w:val="BodyText"/>
        <w:ind w:left="19"/>
        <w:spacing w:before="38" w:line="223" w:lineRule="auto"/>
        <w:rPr/>
      </w:pPr>
      <w:r>
        <w:rPr>
          <w:spacing w:val="6"/>
        </w:rPr>
        <w:t>电事件应急专家组。</w:t>
      </w:r>
    </w:p>
    <w:p>
      <w:pPr>
        <w:ind w:left="423"/>
        <w:spacing w:before="168"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3</w:t>
      </w:r>
      <w:r>
        <w:rPr>
          <w:rFonts w:ascii="Microsoft YaHei" w:hAnsi="Microsoft YaHei" w:eastAsia="Microsoft YaHei" w:cs="Microsoft YaHei"/>
          <w:sz w:val="20"/>
          <w:szCs w:val="20"/>
          <w:spacing w:val="14"/>
        </w:rPr>
        <w:t xml:space="preserve">   </w:t>
      </w:r>
      <w:r>
        <w:rPr>
          <w:rFonts w:ascii="Microsoft YaHei" w:hAnsi="Microsoft YaHei" w:eastAsia="Microsoft YaHei" w:cs="Microsoft YaHei"/>
          <w:sz w:val="20"/>
          <w:szCs w:val="20"/>
          <w:spacing w:val="7"/>
        </w:rPr>
        <w:t>风险分析和监测预警</w:t>
      </w:r>
    </w:p>
    <w:p>
      <w:pPr>
        <w:ind w:left="424"/>
        <w:spacing w:before="117" w:line="264" w:lineRule="exact"/>
        <w:rPr>
          <w:rFonts w:ascii="KaiTi" w:hAnsi="KaiTi" w:eastAsia="KaiTi" w:cs="KaiTi"/>
          <w:sz w:val="20"/>
          <w:szCs w:val="20"/>
        </w:rPr>
      </w:pPr>
      <w:r>
        <w:rPr>
          <w:rFonts w:ascii="Times New Roman" w:hAnsi="Times New Roman" w:eastAsia="Times New Roman" w:cs="Times New Roman"/>
          <w:sz w:val="20"/>
          <w:szCs w:val="20"/>
          <w:spacing w:val="1"/>
          <w:position w:val="1"/>
        </w:rPr>
        <w:t>3.</w:t>
      </w:r>
      <w:r>
        <w:rPr>
          <w:rFonts w:ascii="Times New Roman" w:hAnsi="Times New Roman" w:eastAsia="Times New Roman" w:cs="Times New Roman"/>
          <w:sz w:val="20"/>
          <w:szCs w:val="20"/>
          <w:spacing w:val="-25"/>
          <w:position w:val="1"/>
        </w:rPr>
        <w:t xml:space="preserve"> </w:t>
      </w:r>
      <w:r>
        <w:rPr>
          <w:rFonts w:ascii="Times New Roman" w:hAnsi="Times New Roman" w:eastAsia="Times New Roman" w:cs="Times New Roman"/>
          <w:sz w:val="20"/>
          <w:szCs w:val="20"/>
          <w:spacing w:val="1"/>
          <w:position w:val="1"/>
        </w:rPr>
        <w:t>1</w:t>
      </w:r>
      <w:r>
        <w:rPr>
          <w:rFonts w:ascii="Times New Roman" w:hAnsi="Times New Roman" w:eastAsia="Times New Roman" w:cs="Times New Roman"/>
          <w:sz w:val="20"/>
          <w:szCs w:val="20"/>
          <w:spacing w:val="6"/>
          <w:position w:val="1"/>
        </w:rPr>
        <w:t xml:space="preserve">  </w:t>
      </w:r>
      <w:r>
        <w:rPr>
          <w:rFonts w:ascii="KaiTi" w:hAnsi="KaiTi" w:eastAsia="KaiTi" w:cs="KaiTi"/>
          <w:sz w:val="20"/>
          <w:szCs w:val="20"/>
          <w:spacing w:val="1"/>
          <w:position w:val="1"/>
        </w:rPr>
        <w:t>风险分析。</w:t>
      </w:r>
    </w:p>
    <w:p>
      <w:pPr>
        <w:pStyle w:val="BodyText"/>
        <w:ind w:left="424"/>
        <w:spacing w:before="161" w:line="221" w:lineRule="auto"/>
        <w:rPr/>
      </w:pPr>
      <w:r>
        <w:rPr>
          <w:rFonts w:ascii="Times New Roman" w:hAnsi="Times New Roman" w:eastAsia="Times New Roman" w:cs="Times New Roman"/>
          <w:spacing w:val="2"/>
        </w:rPr>
        <w:t>3.</w:t>
      </w:r>
      <w:r>
        <w:rPr>
          <w:rFonts w:ascii="Times New Roman" w:hAnsi="Times New Roman" w:eastAsia="Times New Roman" w:cs="Times New Roman"/>
          <w:spacing w:val="-15"/>
        </w:rPr>
        <w:t xml:space="preserve"> </w:t>
      </w:r>
      <w:r>
        <w:rPr>
          <w:rFonts w:ascii="Times New Roman" w:hAnsi="Times New Roman" w:eastAsia="Times New Roman" w:cs="Times New Roman"/>
          <w:spacing w:val="2"/>
        </w:rPr>
        <w:t>1.1 </w:t>
      </w:r>
      <w:r>
        <w:rPr>
          <w:spacing w:val="2"/>
        </w:rPr>
        <w:t>风险源分析。</w:t>
      </w:r>
    </w:p>
    <w:p>
      <w:pPr>
        <w:pStyle w:val="BodyText"/>
        <w:ind w:right="36" w:firstLine="441"/>
        <w:spacing w:before="184" w:line="387" w:lineRule="auto"/>
        <w:rPr/>
      </w:pPr>
      <w:r>
        <w:rPr>
          <w:spacing w:val="5"/>
        </w:rPr>
        <w:t>固原市地处华北地层和祁连地层区内，两</w:t>
      </w:r>
      <w:r>
        <w:rPr>
          <w:spacing w:val="11"/>
        </w:rPr>
        <w:t>区以龙首</w:t>
      </w:r>
      <w:r>
        <w:rPr>
          <w:rFonts w:ascii="Times New Roman" w:hAnsi="Times New Roman" w:eastAsia="Times New Roman" w:cs="Times New Roman"/>
          <w:spacing w:val="11"/>
        </w:rPr>
        <w:t>-</w:t>
      </w:r>
      <w:r>
        <w:rPr>
          <w:spacing w:val="11"/>
        </w:rPr>
        <w:t>六盘深断裂为界</w:t>
      </w:r>
      <w:r>
        <w:rPr>
          <w:spacing w:val="-40"/>
        </w:rPr>
        <w:t xml:space="preserve"> </w:t>
      </w:r>
      <w:r>
        <w:rPr>
          <w:spacing w:val="11"/>
        </w:rPr>
        <w:t>，属南北地震带北</w:t>
      </w:r>
      <w:r>
        <w:rPr/>
        <w:t>段，位于地震基本烈度高值区，地质构造复杂，</w:t>
      </w:r>
      <w:r>
        <w:rPr>
          <w:spacing w:val="7"/>
        </w:rPr>
        <w:t>地震波的作用可能引起铁塔，电杆，构架、设</w:t>
      </w:r>
      <w:r>
        <w:rPr>
          <w:spacing w:val="10"/>
        </w:rPr>
        <w:t>备基础的变形、断裂、地基塌陷，引发铁塔，</w:t>
      </w:r>
      <w:r>
        <w:rPr>
          <w:spacing w:val="9"/>
        </w:rPr>
        <w:t>电杆，构架倾斜、倒塌，设备基础坍塌等。</w:t>
      </w:r>
    </w:p>
    <w:p>
      <w:pPr>
        <w:pStyle w:val="BodyText"/>
        <w:ind w:right="18" w:firstLine="439"/>
        <w:spacing w:before="3" w:line="386" w:lineRule="auto"/>
        <w:jc w:val="both"/>
        <w:rPr/>
      </w:pPr>
      <w:r>
        <w:rPr>
          <w:spacing w:val="4"/>
        </w:rPr>
        <w:t>电网结构电压等级为</w:t>
      </w:r>
      <w:r>
        <w:rPr>
          <w:spacing w:val="-23"/>
        </w:rPr>
        <w:t xml:space="preserve"> </w:t>
      </w:r>
      <w:r>
        <w:rPr>
          <w:rFonts w:ascii="Times New Roman" w:hAnsi="Times New Roman" w:eastAsia="Times New Roman" w:cs="Times New Roman"/>
          <w:spacing w:val="4"/>
        </w:rPr>
        <w:t>110 </w:t>
      </w:r>
      <w:r>
        <w:rPr>
          <w:spacing w:val="4"/>
        </w:rPr>
        <w:t>千伏，负荷承载</w:t>
      </w:r>
      <w:r>
        <w:rPr>
          <w:spacing w:val="7"/>
        </w:rPr>
        <w:t>力较低。随着电网改造、检修频繁，造成电网</w:t>
      </w:r>
      <w:r>
        <w:rPr>
          <w:spacing w:val="-8"/>
        </w:rPr>
        <w:t>检修、异常方式增多，给电网安全运行带来风险。</w:t>
      </w:r>
    </w:p>
    <w:p>
      <w:pPr>
        <w:pStyle w:val="BodyText"/>
        <w:ind w:right="101" w:firstLine="441"/>
        <w:spacing w:before="1" w:line="388" w:lineRule="auto"/>
        <w:jc w:val="both"/>
        <w:rPr/>
      </w:pPr>
      <w:r>
        <w:rPr>
          <w:spacing w:val="5"/>
        </w:rPr>
        <w:t>固原地区属黄土丘陵区，山区土质疏松外</w:t>
      </w:r>
      <w:r>
        <w:rPr>
          <w:spacing w:val="7"/>
        </w:rPr>
        <w:t>露，植被覆盖面积小，在雨季暴雨过后发生崩</w:t>
      </w:r>
      <w:r>
        <w:rPr>
          <w:spacing w:val="7"/>
        </w:rPr>
        <w:t>塌、泥石流等地质灾害发生率较大，易造成杆</w:t>
      </w:r>
      <w:r>
        <w:rPr>
          <w:spacing w:val="9"/>
        </w:rPr>
        <w:t>塔基础移位、塌陷，导致倒塔断线事故。</w:t>
      </w:r>
    </w:p>
    <w:p>
      <w:pPr>
        <w:pStyle w:val="BodyText"/>
        <w:ind w:right="20" w:firstLine="432"/>
        <w:spacing w:before="8" w:line="387" w:lineRule="auto"/>
        <w:jc w:val="both"/>
        <w:rPr/>
      </w:pPr>
      <w:r>
        <w:rPr>
          <w:spacing w:val="15"/>
        </w:rPr>
        <w:t>随着国民经济的快速发展</w:t>
      </w:r>
      <w:r>
        <w:rPr>
          <w:spacing w:val="-43"/>
        </w:rPr>
        <w:t xml:space="preserve"> </w:t>
      </w:r>
      <w:r>
        <w:rPr>
          <w:spacing w:val="15"/>
        </w:rPr>
        <w:t>，生态环境保</w:t>
      </w:r>
      <w:r>
        <w:rPr>
          <w:spacing w:val="7"/>
        </w:rPr>
        <w:t>护、城市绿化的力度加大，重点基建工程、道</w:t>
      </w:r>
      <w:r>
        <w:rPr>
          <w:spacing w:val="7"/>
        </w:rPr>
        <w:t>路改造、管线改造工程急剧增加，高大速生树</w:t>
      </w:r>
      <w:r>
        <w:rPr>
          <w:spacing w:val="7"/>
        </w:rPr>
        <w:t>木大面积栽种，大棚种植区不断扩大，使电网</w:t>
      </w:r>
      <w:r>
        <w:rPr>
          <w:spacing w:val="10"/>
        </w:rPr>
        <w:t>受到外力破坏造成停电事故等风险急剧增大。</w:t>
      </w:r>
      <w:r>
        <w:rPr>
          <w:spacing w:val="7"/>
        </w:rPr>
        <w:t>野蛮施工、电力设施被盗、线路通道内超高树</w:t>
      </w:r>
      <w:r>
        <w:rPr>
          <w:spacing w:val="1"/>
        </w:rPr>
        <w:t>木、违章建筑、大棚膜等易漂浮物、非法侵入、</w:t>
      </w:r>
      <w:r>
        <w:rPr>
          <w:spacing w:val="7"/>
        </w:rPr>
        <w:t>火灾爆炸、恐怖袭击、网络攻击等外力破坏或</w:t>
      </w:r>
      <w:r>
        <w:rPr>
          <w:spacing w:val="18"/>
        </w:rPr>
        <w:t>重大社会安全事件引发的电网设施损毁有可</w:t>
      </w:r>
      <w:r>
        <w:rPr>
          <w:spacing w:val="8"/>
        </w:rPr>
        <w:t>能导致大面积停电。</w:t>
      </w:r>
    </w:p>
    <w:p>
      <w:pPr>
        <w:pStyle w:val="BodyText"/>
        <w:ind w:right="98" w:firstLine="424"/>
        <w:spacing w:line="337" w:lineRule="auto"/>
        <w:jc w:val="both"/>
        <w:rPr/>
      </w:pPr>
      <w:r>
        <w:rPr>
          <w:rFonts w:ascii="Times New Roman" w:hAnsi="Times New Roman" w:eastAsia="Times New Roman" w:cs="Times New Roman"/>
          <w:spacing w:val="2"/>
        </w:rPr>
        <w:t>3.</w:t>
      </w:r>
      <w:r>
        <w:rPr>
          <w:rFonts w:ascii="Times New Roman" w:hAnsi="Times New Roman" w:eastAsia="Times New Roman" w:cs="Times New Roman"/>
          <w:spacing w:val="-22"/>
        </w:rPr>
        <w:t xml:space="preserve"> </w:t>
      </w:r>
      <w:r>
        <w:rPr>
          <w:rFonts w:ascii="Times New Roman" w:hAnsi="Times New Roman" w:eastAsia="Times New Roman" w:cs="Times New Roman"/>
          <w:spacing w:val="2"/>
        </w:rPr>
        <w:t>1.2 </w:t>
      </w:r>
      <w:r>
        <w:rPr>
          <w:spacing w:val="2"/>
        </w:rPr>
        <w:t>社会风险影响分析。随着经济社会的</w:t>
      </w:r>
      <w:r>
        <w:rPr>
          <w:spacing w:val="7"/>
        </w:rPr>
        <w:t>迅速发展，现代社会对电力的依赖程度越来越</w:t>
      </w:r>
      <w:r>
        <w:rPr>
          <w:spacing w:val="7"/>
        </w:rPr>
        <w:t>高，可靠的电力供应已成为现代社会的生命线</w:t>
      </w:r>
      <w:r>
        <w:rPr>
          <w:spacing w:val="5"/>
        </w:rPr>
        <w:t>工程之一。固原电网承担着固原地区</w:t>
      </w:r>
      <w:r>
        <w:rPr>
          <w:spacing w:val="-13"/>
        </w:rPr>
        <w:t xml:space="preserve"> </w:t>
      </w:r>
      <w:r>
        <w:rPr>
          <w:rFonts w:ascii="Times New Roman" w:hAnsi="Times New Roman" w:eastAsia="Times New Roman" w:cs="Times New Roman"/>
          <w:spacing w:val="5"/>
        </w:rPr>
        <w:t>155 </w:t>
      </w:r>
      <w:r>
        <w:rPr>
          <w:spacing w:val="5"/>
        </w:rPr>
        <w:t>多万</w:t>
      </w:r>
    </w:p>
    <w:p>
      <w:pPr>
        <w:spacing w:line="337" w:lineRule="auto"/>
        <w:sectPr>
          <w:type w:val="continuous"/>
          <w:pgSz w:w="11906" w:h="16839"/>
          <w:pgMar w:top="1772" w:right="1489" w:bottom="1562" w:left="1567" w:header="1428" w:footer="1172" w:gutter="0"/>
          <w:cols w:equalWidth="0" w:num="2">
            <w:col w:w="4503" w:space="100"/>
            <w:col w:w="4247" w:space="0"/>
          </w:cols>
        </w:sectPr>
        <w:rPr/>
      </w:pPr>
    </w:p>
    <w:p>
      <w:pPr>
        <w:spacing w:line="164" w:lineRule="exact"/>
        <w:rPr/>
      </w:pPr>
      <w:r>
        <w:drawing>
          <wp:anchor distT="0" distB="0" distL="0" distR="0" simplePos="0" relativeHeight="253130752"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816" name="IM 1816"/>
            <wp:cNvGraphicFramePr/>
            <a:graphic>
              <a:graphicData uri="http://schemas.openxmlformats.org/drawingml/2006/picture">
                <pic:pic>
                  <pic:nvPicPr>
                    <pic:cNvPr id="1816" name="IM 1816"/>
                    <pic:cNvPicPr/>
                  </pic:nvPicPr>
                  <pic:blipFill>
                    <a:blip r:embed="rId910"/>
                    <a:stretch>
                      <a:fillRect/>
                    </a:stretch>
                  </pic:blipFill>
                  <pic:spPr>
                    <a:xfrm rot="0">
                      <a:off x="0" y="0"/>
                      <a:ext cx="5579745" cy="7620"/>
                    </a:xfrm>
                    <a:prstGeom prst="rect">
                      <a:avLst/>
                    </a:prstGeom>
                  </pic:spPr>
                </pic:pic>
              </a:graphicData>
            </a:graphic>
          </wp:anchor>
        </w:drawing>
      </w:r>
      <w:r/>
    </w:p>
    <w:p>
      <w:pPr>
        <w:spacing w:line="164" w:lineRule="exact"/>
        <w:sectPr>
          <w:headerReference w:type="default" r:id="rId597"/>
          <w:footerReference w:type="default" r:id="rId909"/>
          <w:pgSz w:w="11906" w:h="16839"/>
          <w:pgMar w:top="1766" w:right="1509" w:bottom="1575" w:left="1579" w:header="1428" w:footer="1172" w:gutter="0"/>
          <w:cols w:equalWidth="0" w:num="1">
            <w:col w:w="8817" w:space="0"/>
          </w:cols>
        </w:sectPr>
        <w:rPr/>
      </w:pPr>
    </w:p>
    <w:p>
      <w:pPr>
        <w:pStyle w:val="BodyText"/>
        <w:ind w:left="12" w:right="258"/>
        <w:spacing w:before="43" w:line="387" w:lineRule="auto"/>
        <w:jc w:val="both"/>
        <w:rPr/>
      </w:pPr>
      <w:r>
        <w:rPr>
          <w:spacing w:val="4"/>
        </w:rPr>
        <w:t>人口的供电任务，现有营业户数超过</w:t>
      </w:r>
      <w:r>
        <w:rPr>
          <w:spacing w:val="-29"/>
        </w:rPr>
        <w:t xml:space="preserve"> </w:t>
      </w:r>
      <w:r>
        <w:rPr>
          <w:rFonts w:ascii="Times New Roman" w:hAnsi="Times New Roman" w:eastAsia="Times New Roman" w:cs="Times New Roman"/>
          <w:spacing w:val="4"/>
        </w:rPr>
        <w:t>50 </w:t>
      </w:r>
      <w:r>
        <w:rPr>
          <w:spacing w:val="4"/>
        </w:rPr>
        <w:t>万户，</w:t>
      </w:r>
      <w:r>
        <w:rPr>
          <w:spacing w:val="7"/>
        </w:rPr>
        <w:t>当发生电网大面积停电，会对关系国计民生的</w:t>
      </w:r>
      <w:r>
        <w:rPr>
          <w:spacing w:val="7"/>
        </w:rPr>
        <w:t>重要基础设施和公共服务造成巨大影响，可能</w:t>
      </w:r>
      <w:r>
        <w:rPr>
          <w:spacing w:val="7"/>
        </w:rPr>
        <w:t>导致交通、通信瘫痪，水、气、煤、油等供应</w:t>
      </w:r>
      <w:r>
        <w:rPr>
          <w:spacing w:val="7"/>
        </w:rPr>
        <w:t>中断，严重影响经济建设、人民生活，甚至对</w:t>
      </w:r>
      <w:r>
        <w:rPr>
          <w:spacing w:val="8"/>
        </w:rPr>
        <w:t>社会安定造成极大威胁。</w:t>
      </w:r>
    </w:p>
    <w:p>
      <w:pPr>
        <w:pStyle w:val="BodyText"/>
        <w:ind w:left="11" w:right="320" w:firstLine="426"/>
        <w:spacing w:before="1" w:line="360" w:lineRule="auto"/>
        <w:rPr/>
      </w:pPr>
      <w:r>
        <w:rPr>
          <w:rFonts w:ascii="Times New Roman" w:hAnsi="Times New Roman" w:eastAsia="Times New Roman" w:cs="Times New Roman"/>
          <w:spacing w:val="8"/>
        </w:rPr>
        <w:t>3.2  </w:t>
      </w:r>
      <w:r>
        <w:rPr>
          <w:rFonts w:ascii="KaiTi" w:hAnsi="KaiTi" w:eastAsia="KaiTi" w:cs="KaiTi"/>
          <w:spacing w:val="8"/>
        </w:rPr>
        <w:t>监测。</w:t>
      </w:r>
      <w:r>
        <w:rPr>
          <w:spacing w:val="8"/>
        </w:rPr>
        <w:t>电力企业要结合实际加强对重</w:t>
      </w:r>
      <w:r>
        <w:rPr>
          <w:spacing w:val="7"/>
        </w:rPr>
        <w:t>要电力设施设备运行、发电燃料供应等情况的</w:t>
      </w:r>
      <w:r>
        <w:rPr>
          <w:spacing w:val="7"/>
        </w:rPr>
        <w:t>监测，建立与气象、水利、地震、公安、交通</w:t>
      </w:r>
      <w:r>
        <w:rPr>
          <w:spacing w:val="7"/>
        </w:rPr>
        <w:t>运输、自然资源、通信、工信等部门的信息共</w:t>
      </w:r>
      <w:r>
        <w:rPr>
          <w:spacing w:val="7"/>
        </w:rPr>
        <w:t>享机制，及时分析各类情况对电力运行可能造</w:t>
      </w:r>
      <w:r>
        <w:rPr>
          <w:spacing w:val="9"/>
        </w:rPr>
        <w:t>成的影响，预估可能影响的范围和程度。</w:t>
      </w:r>
    </w:p>
    <w:p>
      <w:pPr>
        <w:ind w:left="437"/>
        <w:spacing w:before="176" w:line="266" w:lineRule="exact"/>
        <w:rPr>
          <w:rFonts w:ascii="KaiTi" w:hAnsi="KaiTi" w:eastAsia="KaiTi" w:cs="KaiTi"/>
          <w:sz w:val="20"/>
          <w:szCs w:val="20"/>
        </w:rPr>
      </w:pPr>
      <w:r>
        <w:rPr>
          <w:rFonts w:ascii="Times New Roman" w:hAnsi="Times New Roman" w:eastAsia="Times New Roman" w:cs="Times New Roman"/>
          <w:sz w:val="20"/>
          <w:szCs w:val="20"/>
          <w:spacing w:val="2"/>
          <w:position w:val="1"/>
        </w:rPr>
        <w:t>3.3</w:t>
      </w:r>
      <w:r>
        <w:rPr>
          <w:rFonts w:ascii="Times New Roman" w:hAnsi="Times New Roman" w:eastAsia="Times New Roman" w:cs="Times New Roman"/>
          <w:sz w:val="20"/>
          <w:szCs w:val="20"/>
          <w:spacing w:val="6"/>
          <w:position w:val="1"/>
        </w:rPr>
        <w:t xml:space="preserve">  </w:t>
      </w:r>
      <w:r>
        <w:rPr>
          <w:rFonts w:ascii="KaiTi" w:hAnsi="KaiTi" w:eastAsia="KaiTi" w:cs="KaiTi"/>
          <w:sz w:val="20"/>
          <w:szCs w:val="20"/>
          <w:spacing w:val="2"/>
          <w:position w:val="1"/>
        </w:rPr>
        <w:t>预警。</w:t>
      </w:r>
    </w:p>
    <w:p>
      <w:pPr>
        <w:pStyle w:val="BodyText"/>
        <w:ind w:left="11" w:right="320" w:firstLine="426"/>
        <w:spacing w:before="162" w:line="370" w:lineRule="auto"/>
        <w:rPr/>
      </w:pPr>
      <w:r>
        <w:rPr>
          <w:rFonts w:ascii="Times New Roman" w:hAnsi="Times New Roman" w:eastAsia="Times New Roman" w:cs="Times New Roman"/>
          <w:spacing w:val="3"/>
        </w:rPr>
        <w:t>3.3.1 </w:t>
      </w:r>
      <w:r>
        <w:rPr>
          <w:spacing w:val="3"/>
        </w:rPr>
        <w:t>预警信息发布。电力企业研判可能造</w:t>
      </w:r>
      <w:r>
        <w:rPr>
          <w:spacing w:val="7"/>
        </w:rPr>
        <w:t>成大面积停电事件时，要及时将有关情况报告</w:t>
      </w:r>
      <w:r>
        <w:rPr>
          <w:spacing w:val="7"/>
        </w:rPr>
        <w:t>市政府办值班室、市发展和改革委员会，提出</w:t>
      </w:r>
      <w:r>
        <w:rPr>
          <w:spacing w:val="15"/>
        </w:rPr>
        <w:t>预警信息发布建议</w:t>
      </w:r>
      <w:r>
        <w:rPr>
          <w:spacing w:val="-39"/>
        </w:rPr>
        <w:t xml:space="preserve"> </w:t>
      </w:r>
      <w:r>
        <w:rPr>
          <w:spacing w:val="15"/>
        </w:rPr>
        <w:t>，并视情通知重要电力用</w:t>
      </w:r>
      <w:r>
        <w:rPr>
          <w:spacing w:val="7"/>
        </w:rPr>
        <w:t>户。市发展和改革委员会收到预警信息后应及</w:t>
      </w:r>
      <w:r>
        <w:rPr>
          <w:spacing w:val="7"/>
        </w:rPr>
        <w:t>时组织研判，必要时报请市应急处置领导小组</w:t>
      </w:r>
      <w:r>
        <w:rPr>
          <w:spacing w:val="7"/>
        </w:rPr>
        <w:t>同意后，向社会公众发布预警，并通报同级相</w:t>
      </w:r>
      <w:r>
        <w:rPr>
          <w:spacing w:val="7"/>
        </w:rPr>
        <w:t>关部门和单位。</w:t>
      </w:r>
    </w:p>
    <w:p>
      <w:pPr>
        <w:pStyle w:val="BodyText"/>
        <w:ind w:left="12" w:right="320" w:firstLine="425"/>
        <w:spacing w:before="179" w:line="378" w:lineRule="auto"/>
        <w:rPr/>
      </w:pPr>
      <w:r>
        <w:rPr>
          <w:rFonts w:ascii="Times New Roman" w:hAnsi="Times New Roman" w:eastAsia="Times New Roman" w:cs="Times New Roman"/>
          <w:spacing w:val="3"/>
        </w:rPr>
        <w:t>3.3.2 </w:t>
      </w:r>
      <w:r>
        <w:rPr>
          <w:spacing w:val="3"/>
        </w:rPr>
        <w:t>预警行动。预警信息发布后，各电力</w:t>
      </w:r>
      <w:r>
        <w:rPr>
          <w:spacing w:val="7"/>
        </w:rPr>
        <w:t>企业要加强设备巡查检修和运行监测，采取有</w:t>
      </w:r>
      <w:r>
        <w:rPr>
          <w:spacing w:val="7"/>
        </w:rPr>
        <w:t>效措施控制事态发展；组织相关应急救援队伍</w:t>
      </w:r>
      <w:r>
        <w:rPr>
          <w:spacing w:val="7"/>
        </w:rPr>
        <w:t>和人员进入待命状态，动员后备人员做好参加</w:t>
      </w:r>
      <w:r>
        <w:rPr>
          <w:spacing w:val="7"/>
        </w:rPr>
        <w:t>应急救援和处置工作准备，并做好大面积停电</w:t>
      </w:r>
      <w:r>
        <w:rPr>
          <w:spacing w:val="7"/>
        </w:rPr>
        <w:t>事件应急所需物资、装备和设备等应急保障准</w:t>
      </w:r>
      <w:r>
        <w:rPr>
          <w:spacing w:val="7"/>
        </w:rPr>
        <w:t>备工作。重要电力用户做好自备应急电源启用</w:t>
      </w:r>
      <w:r>
        <w:rPr>
          <w:spacing w:val="7"/>
        </w:rPr>
        <w:t>准备和非电保安措施准备。市政府启动应急联</w:t>
      </w:r>
      <w:r>
        <w:rPr>
          <w:spacing w:val="7"/>
        </w:rPr>
        <w:t>动机制，组织有关部门和单位做好维持公共秩</w:t>
      </w:r>
      <w:r>
        <w:rPr>
          <w:spacing w:val="7"/>
        </w:rPr>
        <w:t>序、供水供气供热、通信、加油（气）、商品</w:t>
      </w:r>
    </w:p>
    <w:p>
      <w:pPr>
        <w:spacing w:line="14" w:lineRule="auto"/>
        <w:rPr>
          <w:rFonts w:ascii="Arial"/>
          <w:sz w:val="2"/>
        </w:rPr>
      </w:pPr>
      <w:r>
        <w:rPr>
          <w:rFonts w:ascii="Arial" w:hAnsi="Arial" w:eastAsia="Arial" w:cs="Arial"/>
          <w:sz w:val="2"/>
          <w:szCs w:val="2"/>
        </w:rPr>
        <w:br w:type="column"/>
      </w:r>
    </w:p>
    <w:p>
      <w:pPr>
        <w:pStyle w:val="BodyText"/>
        <w:ind w:left="8" w:right="13" w:hanging="1"/>
        <w:spacing w:before="46" w:line="386" w:lineRule="auto"/>
        <w:jc w:val="both"/>
        <w:rPr/>
      </w:pPr>
      <w:r>
        <w:rPr/>
        <w:t>供应、交通物流、抢险救援等方面的应急准备；</w:t>
      </w:r>
      <w:r>
        <w:rPr>
          <w:spacing w:val="7"/>
        </w:rPr>
        <w:t>加强相关舆情监测，主动回应社会公众关注的</w:t>
      </w:r>
      <w:r>
        <w:rPr>
          <w:spacing w:val="7"/>
        </w:rPr>
        <w:t>热点问题，及时澄清谣言传言，做好舆论引导</w:t>
      </w:r>
      <w:r>
        <w:rPr>
          <w:spacing w:val="4"/>
        </w:rPr>
        <w:t>工作。</w:t>
      </w:r>
    </w:p>
    <w:p>
      <w:pPr>
        <w:pStyle w:val="BodyText"/>
        <w:ind w:left="6" w:right="75" w:firstLine="426"/>
        <w:spacing w:before="20" w:line="389" w:lineRule="auto"/>
        <w:jc w:val="both"/>
        <w:rPr/>
      </w:pPr>
      <w:r>
        <w:rPr>
          <w:rFonts w:ascii="Times New Roman" w:hAnsi="Times New Roman" w:eastAsia="Times New Roman" w:cs="Times New Roman"/>
          <w:spacing w:val="3"/>
        </w:rPr>
        <w:t>3.3.3 </w:t>
      </w:r>
      <w:r>
        <w:rPr>
          <w:spacing w:val="3"/>
        </w:rPr>
        <w:t>预警解除。根据事态发展，经研判不</w:t>
      </w:r>
      <w:r>
        <w:rPr>
          <w:spacing w:val="10"/>
        </w:rPr>
        <w:t>会发生大面积停电事件时</w:t>
      </w:r>
      <w:r>
        <w:rPr>
          <w:spacing w:val="-42"/>
        </w:rPr>
        <w:t xml:space="preserve"> </w:t>
      </w:r>
      <w:r>
        <w:rPr>
          <w:spacing w:val="10"/>
        </w:rPr>
        <w:t>，按照</w:t>
      </w:r>
      <w:r>
        <w:rPr>
          <w:rFonts w:ascii="Times New Roman" w:hAnsi="Times New Roman" w:eastAsia="Times New Roman" w:cs="Times New Roman"/>
          <w:spacing w:val="10"/>
        </w:rPr>
        <w:t>“</w:t>
      </w:r>
      <w:r>
        <w:rPr>
          <w:spacing w:val="10"/>
        </w:rPr>
        <w:t>谁发布、谁</w:t>
      </w:r>
      <w:r>
        <w:rPr>
          <w:spacing w:val="8"/>
        </w:rPr>
        <w:t>解除</w:t>
      </w:r>
      <w:r>
        <w:rPr>
          <w:rFonts w:ascii="Times New Roman" w:hAnsi="Times New Roman" w:eastAsia="Times New Roman" w:cs="Times New Roman"/>
          <w:spacing w:val="8"/>
        </w:rPr>
        <w:t>”</w:t>
      </w:r>
      <w:r>
        <w:rPr>
          <w:spacing w:val="8"/>
        </w:rPr>
        <w:t>的原则</w:t>
      </w:r>
      <w:r>
        <w:rPr>
          <w:spacing w:val="-44"/>
        </w:rPr>
        <w:t xml:space="preserve"> </w:t>
      </w:r>
      <w:r>
        <w:rPr>
          <w:spacing w:val="8"/>
        </w:rPr>
        <w:t>，由发布单位宣布解除预警</w:t>
      </w:r>
      <w:r>
        <w:rPr>
          <w:spacing w:val="-58"/>
        </w:rPr>
        <w:t xml:space="preserve"> </w:t>
      </w:r>
      <w:r>
        <w:rPr>
          <w:spacing w:val="8"/>
        </w:rPr>
        <w:t>，适</w:t>
      </w:r>
      <w:r>
        <w:rPr>
          <w:spacing w:val="8"/>
        </w:rPr>
        <w:t>时终止相关措施。</w:t>
      </w:r>
    </w:p>
    <w:p>
      <w:pPr>
        <w:ind w:left="429"/>
        <w:spacing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4</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5"/>
        </w:rPr>
        <w:t>信息报告</w:t>
      </w:r>
    </w:p>
    <w:p>
      <w:pPr>
        <w:pStyle w:val="BodyText"/>
        <w:ind w:left="10" w:firstLine="423"/>
        <w:spacing w:before="125" w:line="391" w:lineRule="auto"/>
        <w:rPr/>
      </w:pPr>
      <w:r>
        <w:rPr>
          <w:spacing w:val="6"/>
        </w:rPr>
        <w:t>大面积停电事件发生后，国网固原供电公</w:t>
      </w:r>
      <w:r>
        <w:rPr>
          <w:spacing w:val="1"/>
        </w:rPr>
        <w:t>司应立即将停电范围、停电负荷、影响用户数、</w:t>
      </w:r>
      <w:r>
        <w:rPr>
          <w:spacing w:val="18"/>
        </w:rPr>
        <w:t>发展趋势等有关情况向市政府办值班室和市</w:t>
      </w:r>
      <w:r>
        <w:rPr>
          <w:spacing w:val="8"/>
        </w:rPr>
        <w:t>发展和改革委员会报告。</w:t>
      </w:r>
    </w:p>
    <w:p>
      <w:pPr>
        <w:pStyle w:val="BodyText"/>
        <w:ind w:left="8" w:right="80" w:firstLine="421"/>
        <w:spacing w:before="6" w:line="389" w:lineRule="auto"/>
        <w:jc w:val="both"/>
        <w:rPr/>
      </w:pPr>
      <w:r>
        <w:rPr>
          <w:spacing w:val="19"/>
        </w:rPr>
        <w:t>市发展和改革委员会接到大面积停电事</w:t>
      </w:r>
      <w:r>
        <w:rPr>
          <w:spacing w:val="7"/>
        </w:rPr>
        <w:t>件信息报告或者监测到相关信息后，应当立即</w:t>
      </w:r>
      <w:r>
        <w:rPr>
          <w:spacing w:val="7"/>
        </w:rPr>
        <w:t>进行核实，对大面积停电事件的性质和类别作</w:t>
      </w:r>
      <w:r>
        <w:rPr>
          <w:spacing w:val="7"/>
        </w:rPr>
        <w:t>出初步认定，按照国家规定的时限、程序和要</w:t>
      </w:r>
      <w:r>
        <w:rPr>
          <w:spacing w:val="7"/>
        </w:rPr>
        <w:t>求向固原市政府报告，并通报市其他相关部门</w:t>
      </w:r>
      <w:r>
        <w:rPr>
          <w:spacing w:val="6"/>
        </w:rPr>
        <w:t>和单位。</w:t>
      </w:r>
    </w:p>
    <w:p>
      <w:pPr>
        <w:ind w:left="430"/>
        <w:spacing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5</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应急响应</w:t>
      </w:r>
    </w:p>
    <w:p>
      <w:pPr>
        <w:pStyle w:val="BodyText"/>
        <w:ind w:left="10" w:right="77" w:firstLine="424"/>
        <w:spacing w:before="120" w:line="388" w:lineRule="auto"/>
        <w:jc w:val="both"/>
        <w:rPr/>
      </w:pPr>
      <w:r>
        <w:rPr>
          <w:rFonts w:ascii="Times New Roman" w:hAnsi="Times New Roman" w:eastAsia="Times New Roman" w:cs="Times New Roman"/>
          <w:spacing w:val="6"/>
        </w:rPr>
        <w:t>5.</w:t>
      </w:r>
      <w:r>
        <w:rPr>
          <w:rFonts w:ascii="Times New Roman" w:hAnsi="Times New Roman" w:eastAsia="Times New Roman" w:cs="Times New Roman"/>
          <w:spacing w:val="-8"/>
        </w:rPr>
        <w:t xml:space="preserve"> </w:t>
      </w:r>
      <w:r>
        <w:rPr>
          <w:rFonts w:ascii="Times New Roman" w:hAnsi="Times New Roman" w:eastAsia="Times New Roman" w:cs="Times New Roman"/>
          <w:spacing w:val="6"/>
        </w:rPr>
        <w:t>1  </w:t>
      </w:r>
      <w:r>
        <w:rPr>
          <w:rFonts w:ascii="KaiTi" w:hAnsi="KaiTi" w:eastAsia="KaiTi" w:cs="KaiTi"/>
          <w:spacing w:val="6"/>
        </w:rPr>
        <w:t>响应分级。</w:t>
      </w:r>
      <w:r>
        <w:rPr>
          <w:spacing w:val="6"/>
        </w:rPr>
        <w:t>根据大面积停电事件的严</w:t>
      </w:r>
      <w:r>
        <w:rPr>
          <w:spacing w:val="7"/>
        </w:rPr>
        <w:t>重程度和发展态势，将应急响应设定为</w:t>
      </w:r>
      <w:r>
        <w:rPr>
          <w:rFonts w:ascii="Times New Roman" w:hAnsi="Times New Roman" w:eastAsia="Times New Roman" w:cs="Times New Roman"/>
          <w:spacing w:val="7"/>
        </w:rPr>
        <w:t>Ⅰ</w:t>
      </w:r>
      <w:r>
        <w:rPr>
          <w:spacing w:val="7"/>
        </w:rPr>
        <w:t>级、</w:t>
      </w:r>
      <w:r>
        <w:rPr>
          <w:rFonts w:ascii="Times New Roman" w:hAnsi="Times New Roman" w:eastAsia="Times New Roman" w:cs="Times New Roman"/>
          <w:spacing w:val="7"/>
        </w:rPr>
        <w:t>Ⅱ</w:t>
      </w:r>
      <w:r>
        <w:rPr>
          <w:spacing w:val="8"/>
        </w:rPr>
        <w:t>级、</w:t>
      </w:r>
      <w:r>
        <w:rPr>
          <w:rFonts w:ascii="Times New Roman" w:hAnsi="Times New Roman" w:eastAsia="Times New Roman" w:cs="Times New Roman"/>
          <w:spacing w:val="8"/>
        </w:rPr>
        <w:t>Ⅲ</w:t>
      </w:r>
      <w:r>
        <w:rPr>
          <w:spacing w:val="8"/>
        </w:rPr>
        <w:t>级和</w:t>
      </w:r>
      <w:r>
        <w:rPr>
          <w:rFonts w:ascii="Times New Roman" w:hAnsi="Times New Roman" w:eastAsia="Times New Roman" w:cs="Times New Roman"/>
          <w:spacing w:val="8"/>
        </w:rPr>
        <w:t>Ⅳ</w:t>
      </w:r>
      <w:r>
        <w:rPr>
          <w:spacing w:val="8"/>
        </w:rPr>
        <w:t>级四个等级。</w:t>
      </w:r>
    </w:p>
    <w:p>
      <w:pPr>
        <w:pStyle w:val="BodyText"/>
        <w:ind w:right="75" w:firstLine="434"/>
        <w:spacing w:before="13" w:line="363" w:lineRule="auto"/>
        <w:rPr/>
      </w:pPr>
      <w:r>
        <w:rPr>
          <w:rFonts w:ascii="Times New Roman" w:hAnsi="Times New Roman" w:eastAsia="Times New Roman" w:cs="Times New Roman"/>
          <w:spacing w:val="2"/>
        </w:rPr>
        <w:t>5.</w:t>
      </w:r>
      <w:r>
        <w:rPr>
          <w:rFonts w:ascii="Times New Roman" w:hAnsi="Times New Roman" w:eastAsia="Times New Roman" w:cs="Times New Roman"/>
          <w:spacing w:val="-19"/>
        </w:rPr>
        <w:t xml:space="preserve"> </w:t>
      </w:r>
      <w:r>
        <w:rPr>
          <w:rFonts w:ascii="Times New Roman" w:hAnsi="Times New Roman" w:eastAsia="Times New Roman" w:cs="Times New Roman"/>
          <w:spacing w:val="2"/>
        </w:rPr>
        <w:t>1.1 Ⅰ</w:t>
      </w:r>
      <w:r>
        <w:rPr>
          <w:spacing w:val="2"/>
        </w:rPr>
        <w:t>、</w:t>
      </w:r>
      <w:r>
        <w:rPr>
          <w:rFonts w:ascii="Times New Roman" w:hAnsi="Times New Roman" w:eastAsia="Times New Roman" w:cs="Times New Roman"/>
          <w:spacing w:val="2"/>
        </w:rPr>
        <w:t>Ⅱ</w:t>
      </w:r>
      <w:r>
        <w:rPr>
          <w:spacing w:val="2"/>
        </w:rPr>
        <w:t>级应急响应。初判发生特别重大</w:t>
      </w:r>
      <w:r>
        <w:rPr>
          <w:spacing w:val="7"/>
        </w:rPr>
        <w:t>（重大）大面积停电事件，自治区应急处置领</w:t>
      </w:r>
      <w:r>
        <w:rPr>
          <w:spacing w:val="3"/>
        </w:rPr>
        <w:t>导小组决定启动</w:t>
      </w:r>
      <w:r>
        <w:rPr>
          <w:rFonts w:ascii="Times New Roman" w:hAnsi="Times New Roman" w:eastAsia="Times New Roman" w:cs="Times New Roman"/>
          <w:spacing w:val="3"/>
        </w:rPr>
        <w:t>Ⅰ</w:t>
      </w:r>
      <w:r>
        <w:rPr>
          <w:rFonts w:ascii="Times New Roman" w:hAnsi="Times New Roman" w:eastAsia="Times New Roman" w:cs="Times New Roman"/>
          <w:spacing w:val="31"/>
        </w:rPr>
        <w:t xml:space="preserve"> </w:t>
      </w:r>
      <w:r>
        <w:rPr>
          <w:spacing w:val="3"/>
        </w:rPr>
        <w:t>(</w:t>
      </w:r>
      <w:r>
        <w:rPr>
          <w:spacing w:val="-38"/>
        </w:rPr>
        <w:t xml:space="preserve"> </w:t>
      </w:r>
      <w:r>
        <w:rPr>
          <w:rFonts w:ascii="Times New Roman" w:hAnsi="Times New Roman" w:eastAsia="Times New Roman" w:cs="Times New Roman"/>
          <w:spacing w:val="3"/>
        </w:rPr>
        <w:t>Ⅱ </w:t>
      </w:r>
      <w:r>
        <w:rPr>
          <w:spacing w:val="3"/>
        </w:rPr>
        <w:t>) 级应急响应，由区应急</w:t>
      </w:r>
      <w:r>
        <w:rPr>
          <w:spacing w:val="7"/>
        </w:rPr>
        <w:t>处置领导小组负责指挥应对工作。市应急处置</w:t>
      </w:r>
      <w:r>
        <w:rPr>
          <w:spacing w:val="7"/>
        </w:rPr>
        <w:t>领导小组及相关部门、单位在区应急处置领导</w:t>
      </w:r>
      <w:r>
        <w:rPr>
          <w:spacing w:val="9"/>
        </w:rPr>
        <w:t>小组的指挥、协调下开展相关处置工作。</w:t>
      </w:r>
    </w:p>
    <w:p>
      <w:pPr>
        <w:pStyle w:val="BodyText"/>
        <w:ind w:left="8" w:right="78" w:firstLine="425"/>
        <w:spacing w:before="181" w:line="307" w:lineRule="auto"/>
        <w:rPr/>
      </w:pPr>
      <w:r>
        <w:rPr>
          <w:rFonts w:ascii="Times New Roman" w:hAnsi="Times New Roman" w:eastAsia="Times New Roman" w:cs="Times New Roman"/>
          <w:spacing w:val="-5"/>
        </w:rPr>
        <w:t>5.</w:t>
      </w:r>
      <w:r>
        <w:rPr>
          <w:rFonts w:ascii="Times New Roman" w:hAnsi="Times New Roman" w:eastAsia="Times New Roman" w:cs="Times New Roman"/>
          <w:spacing w:val="-21"/>
        </w:rPr>
        <w:t xml:space="preserve"> </w:t>
      </w:r>
      <w:r>
        <w:rPr>
          <w:rFonts w:ascii="Times New Roman" w:hAnsi="Times New Roman" w:eastAsia="Times New Roman" w:cs="Times New Roman"/>
          <w:spacing w:val="-5"/>
        </w:rPr>
        <w:t>1.2Ⅲ</w:t>
      </w:r>
      <w:r>
        <w:rPr>
          <w:spacing w:val="-5"/>
        </w:rPr>
        <w:t>、</w:t>
      </w:r>
      <w:r>
        <w:rPr>
          <w:rFonts w:ascii="Times New Roman" w:hAnsi="Times New Roman" w:eastAsia="Times New Roman" w:cs="Times New Roman"/>
          <w:spacing w:val="-5"/>
        </w:rPr>
        <w:t>Ⅳ</w:t>
      </w:r>
      <w:r>
        <w:rPr>
          <w:spacing w:val="-5"/>
        </w:rPr>
        <w:t>级应急响应。初判发生较大（一</w:t>
      </w:r>
      <w:r>
        <w:rPr>
          <w:spacing w:val="7"/>
        </w:rPr>
        <w:t>般）大面积停电事件，市应急处置领导小组决</w:t>
      </w:r>
    </w:p>
    <w:p>
      <w:pPr>
        <w:spacing w:line="307" w:lineRule="auto"/>
        <w:sectPr>
          <w:type w:val="continuous"/>
          <w:pgSz w:w="11906" w:h="16839"/>
          <w:pgMar w:top="1766" w:right="1509" w:bottom="1575" w:left="1579" w:header="1428" w:footer="1172" w:gutter="0"/>
          <w:cols w:equalWidth="0" w:num="2">
            <w:col w:w="4482" w:space="100"/>
            <w:col w:w="4235" w:space="0"/>
          </w:cols>
        </w:sectPr>
        <w:rPr/>
      </w:pPr>
    </w:p>
    <w:p>
      <w:pPr>
        <w:spacing w:before="90"/>
        <w:rPr/>
      </w:pPr>
      <w:r>
        <w:drawing>
          <wp:anchor distT="0" distB="0" distL="0" distR="0" simplePos="0" relativeHeight="253142016"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820" name="IM 1820"/>
            <wp:cNvGraphicFramePr/>
            <a:graphic>
              <a:graphicData uri="http://schemas.openxmlformats.org/drawingml/2006/picture">
                <pic:pic>
                  <pic:nvPicPr>
                    <pic:cNvPr id="1820" name="IM 1820"/>
                    <pic:cNvPicPr/>
                  </pic:nvPicPr>
                  <pic:blipFill>
                    <a:blip r:embed="rId912"/>
                    <a:stretch>
                      <a:fillRect/>
                    </a:stretch>
                  </pic:blipFill>
                  <pic:spPr>
                    <a:xfrm rot="0">
                      <a:off x="0" y="0"/>
                      <a:ext cx="5579745" cy="7620"/>
                    </a:xfrm>
                    <a:prstGeom prst="rect">
                      <a:avLst/>
                    </a:prstGeom>
                  </pic:spPr>
                </pic:pic>
              </a:graphicData>
            </a:graphic>
          </wp:anchor>
        </w:drawing>
      </w:r>
      <w:r/>
    </w:p>
    <w:p>
      <w:pPr>
        <w:sectPr>
          <w:headerReference w:type="default" r:id="rId816"/>
          <w:footerReference w:type="default" r:id="rId911"/>
          <w:pgSz w:w="11906" w:h="16839"/>
          <w:pgMar w:top="1772" w:right="1489" w:bottom="1562" w:left="1567" w:header="1428" w:footer="1172" w:gutter="0"/>
          <w:cols w:equalWidth="0" w:num="1">
            <w:col w:w="8850" w:space="0"/>
          </w:cols>
        </w:sectPr>
        <w:rPr/>
      </w:pPr>
    </w:p>
    <w:p>
      <w:pPr>
        <w:pStyle w:val="BodyText"/>
        <w:ind w:left="24" w:right="300"/>
        <w:spacing w:before="41" w:line="391" w:lineRule="auto"/>
        <w:jc w:val="both"/>
        <w:rPr/>
      </w:pPr>
      <w:r>
        <w:rPr>
          <w:spacing w:val="7"/>
        </w:rPr>
        <w:t>定启动</w:t>
      </w:r>
      <w:r>
        <w:rPr>
          <w:rFonts w:ascii="Times New Roman" w:hAnsi="Times New Roman" w:eastAsia="Times New Roman" w:cs="Times New Roman"/>
          <w:spacing w:val="7"/>
        </w:rPr>
        <w:t>Ⅲ</w:t>
      </w:r>
      <w:r>
        <w:rPr>
          <w:spacing w:val="7"/>
        </w:rPr>
        <w:t>级应急响应，市政府相关部门、单位</w:t>
      </w:r>
      <w:r>
        <w:rPr>
          <w:spacing w:val="18"/>
        </w:rPr>
        <w:t>及各县区应急处置领导小组在市应急处置领</w:t>
      </w:r>
      <w:r>
        <w:rPr>
          <w:spacing w:val="7"/>
        </w:rPr>
        <w:t>导小组的指挥、协调下开展相关处置工作。若</w:t>
      </w:r>
      <w:r>
        <w:rPr>
          <w:spacing w:val="7"/>
        </w:rPr>
        <w:t>超出固原市应对能力，可请求自治区根据事件</w:t>
      </w:r>
      <w:r>
        <w:rPr>
          <w:spacing w:val="-2"/>
        </w:rPr>
        <w:t>影响派出工作组，指导开展相关应急处置工作。</w:t>
      </w:r>
    </w:p>
    <w:p>
      <w:pPr>
        <w:pStyle w:val="BodyText"/>
        <w:ind w:left="25" w:right="329" w:firstLine="419"/>
        <w:spacing w:line="388" w:lineRule="auto"/>
        <w:jc w:val="both"/>
        <w:rPr/>
      </w:pPr>
      <w:r>
        <w:rPr>
          <w:spacing w:val="7"/>
        </w:rPr>
        <w:t>对于未达到一般大面积停电事件标准，但</w:t>
      </w:r>
      <w:r>
        <w:rPr>
          <w:spacing w:val="7"/>
        </w:rPr>
        <w:t>造成或可能造成重大社会影响的，由市应急处</w:t>
      </w:r>
      <w:r>
        <w:rPr>
          <w:spacing w:val="9"/>
        </w:rPr>
        <w:t>置领导小组视情况决定启动应急响应。</w:t>
      </w:r>
    </w:p>
    <w:p>
      <w:pPr>
        <w:pStyle w:val="BodyText"/>
        <w:ind w:left="25" w:right="327" w:firstLine="426"/>
        <w:spacing w:line="386" w:lineRule="auto"/>
        <w:jc w:val="both"/>
        <w:rPr/>
      </w:pPr>
      <w:r>
        <w:rPr>
          <w:rFonts w:ascii="Times New Roman" w:hAnsi="Times New Roman" w:eastAsia="Times New Roman" w:cs="Times New Roman"/>
          <w:spacing w:val="2"/>
        </w:rPr>
        <w:t>5.</w:t>
      </w:r>
      <w:r>
        <w:rPr>
          <w:rFonts w:ascii="Times New Roman" w:hAnsi="Times New Roman" w:eastAsia="Times New Roman" w:cs="Times New Roman"/>
          <w:spacing w:val="-23"/>
        </w:rPr>
        <w:t xml:space="preserve"> </w:t>
      </w:r>
      <w:r>
        <w:rPr>
          <w:rFonts w:ascii="Times New Roman" w:hAnsi="Times New Roman" w:eastAsia="Times New Roman" w:cs="Times New Roman"/>
          <w:spacing w:val="2"/>
        </w:rPr>
        <w:t>1.3 </w:t>
      </w:r>
      <w:r>
        <w:rPr>
          <w:spacing w:val="2"/>
        </w:rPr>
        <w:t>应急响应启动后，可视事件造成损失</w:t>
      </w:r>
      <w:r>
        <w:rPr>
          <w:spacing w:val="7"/>
        </w:rPr>
        <w:t>情况及其发展趋势调整响应级别，避免响应不</w:t>
      </w:r>
      <w:r>
        <w:rPr>
          <w:spacing w:val="7"/>
        </w:rPr>
        <w:t>足或响应过度。</w:t>
      </w:r>
    </w:p>
    <w:p>
      <w:pPr>
        <w:pStyle w:val="BodyText"/>
        <w:ind w:left="25" w:right="265" w:firstLine="426"/>
        <w:spacing w:before="2" w:line="387" w:lineRule="auto"/>
        <w:jc w:val="both"/>
        <w:rPr/>
      </w:pPr>
      <w:r>
        <w:rPr>
          <w:rFonts w:ascii="Times New Roman" w:hAnsi="Times New Roman" w:eastAsia="Times New Roman" w:cs="Times New Roman"/>
          <w:spacing w:val="9"/>
        </w:rPr>
        <w:t>5.2  </w:t>
      </w:r>
      <w:r>
        <w:rPr>
          <w:rFonts w:ascii="KaiTi" w:hAnsi="KaiTi" w:eastAsia="KaiTi" w:cs="KaiTi"/>
          <w:spacing w:val="9"/>
        </w:rPr>
        <w:t>响应措施。</w:t>
      </w:r>
      <w:r>
        <w:rPr>
          <w:spacing w:val="9"/>
        </w:rPr>
        <w:t>大面积停电事件发生后，</w:t>
      </w:r>
      <w:r>
        <w:rPr>
          <w:spacing w:val="18"/>
        </w:rPr>
        <w:t>相关电力企业和重要电力用户要立即实施先</w:t>
      </w:r>
      <w:r>
        <w:rPr>
          <w:spacing w:val="7"/>
        </w:rPr>
        <w:t>期处置，全力控制事件发展态势，减少损失和</w:t>
      </w:r>
      <w:r>
        <w:rPr/>
        <w:t>影响。市政府、有关部门和单位根据工作需要，</w:t>
      </w:r>
      <w:r>
        <w:rPr>
          <w:spacing w:val="8"/>
        </w:rPr>
        <w:t>组织采取以下措施。</w:t>
      </w:r>
    </w:p>
    <w:p>
      <w:pPr>
        <w:pStyle w:val="BodyText"/>
        <w:ind w:left="25" w:right="329" w:firstLine="412"/>
        <w:spacing w:before="4" w:line="386" w:lineRule="auto"/>
        <w:jc w:val="both"/>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）抢修电网并恢复运行电力调度机构</w:t>
      </w:r>
      <w:r>
        <w:rPr>
          <w:spacing w:val="7"/>
        </w:rPr>
        <w:t>合理安排运行方式，控制停电范围；尽快恢复</w:t>
      </w:r>
      <w:r>
        <w:rPr>
          <w:spacing w:val="7"/>
        </w:rPr>
        <w:t>重要输变电设备、电力主干网架运行；在条件</w:t>
      </w:r>
      <w:r>
        <w:rPr>
          <w:spacing w:val="7"/>
        </w:rPr>
        <w:t>具备时，优先恢复重要电力用户、重点地区的</w:t>
      </w:r>
      <w:r>
        <w:rPr>
          <w:spacing w:val="6"/>
        </w:rPr>
        <w:t>电力供应。</w:t>
      </w:r>
    </w:p>
    <w:p>
      <w:pPr>
        <w:pStyle w:val="BodyText"/>
        <w:ind w:left="25" w:right="309" w:firstLine="439"/>
        <w:spacing w:before="10" w:line="388" w:lineRule="auto"/>
        <w:jc w:val="both"/>
        <w:rPr/>
      </w:pPr>
      <w:r>
        <w:rPr>
          <w:spacing w:val="18"/>
        </w:rPr>
        <w:t>电力企业迅速组织力量抢修受损电网设</w:t>
      </w:r>
      <w:r>
        <w:rPr>
          <w:spacing w:val="7"/>
        </w:rPr>
        <w:t>备设施，根据应急指挥机构要求，向重要电力</w:t>
      </w:r>
      <w:r>
        <w:rPr>
          <w:spacing w:val="8"/>
        </w:rPr>
        <w:t>用户及重要设施、场所提供必要的电力支援。</w:t>
      </w:r>
    </w:p>
    <w:p>
      <w:pPr>
        <w:pStyle w:val="BodyText"/>
        <w:ind w:left="24" w:right="322" w:firstLine="423"/>
        <w:spacing w:before="1" w:line="386" w:lineRule="auto"/>
        <w:jc w:val="both"/>
        <w:rPr/>
      </w:pPr>
      <w:r>
        <w:rPr>
          <w:spacing w:val="7"/>
        </w:rPr>
        <w:t>发电企业保证设备安全，抢修受损设备，</w:t>
      </w:r>
      <w:r>
        <w:rPr>
          <w:spacing w:val="7"/>
        </w:rPr>
        <w:t>做好发电机组并网运行准备，按照电力调度指</w:t>
      </w:r>
      <w:r>
        <w:rPr>
          <w:spacing w:val="7"/>
        </w:rPr>
        <w:t>令恢复运行。</w:t>
      </w:r>
    </w:p>
    <w:p>
      <w:pPr>
        <w:pStyle w:val="BodyText"/>
        <w:ind w:left="25" w:right="329" w:firstLine="412"/>
        <w:spacing w:before="2" w:line="363" w:lineRule="auto"/>
        <w:jc w:val="both"/>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）停电后易造成重大影响和生命财产</w:t>
      </w:r>
      <w:r>
        <w:rPr>
          <w:spacing w:val="7"/>
        </w:rPr>
        <w:t>损失的金融机构、医院、交通枢纽、通信、广</w:t>
      </w:r>
      <w:r>
        <w:rPr>
          <w:spacing w:val="7"/>
        </w:rPr>
        <w:t>播电视、公用事业单位、非煤矿山、危险化学</w:t>
      </w:r>
      <w:r>
        <w:rPr>
          <w:spacing w:val="7"/>
        </w:rPr>
        <w:t>品、冶炼企业等重要电力用户，按照有关技术</w:t>
      </w:r>
    </w:p>
    <w:p>
      <w:pPr>
        <w:spacing w:line="14" w:lineRule="auto"/>
        <w:rPr>
          <w:rFonts w:ascii="Arial"/>
          <w:sz w:val="2"/>
        </w:rPr>
      </w:pPr>
      <w:r>
        <w:rPr>
          <w:rFonts w:ascii="Arial" w:hAnsi="Arial" w:eastAsia="Arial" w:cs="Arial"/>
          <w:sz w:val="2"/>
          <w:szCs w:val="2"/>
        </w:rPr>
        <w:br w:type="column"/>
      </w:r>
    </w:p>
    <w:p>
      <w:pPr>
        <w:pStyle w:val="BodyText"/>
        <w:ind w:right="101"/>
        <w:spacing w:before="36" w:line="388" w:lineRule="auto"/>
        <w:jc w:val="both"/>
        <w:rPr/>
      </w:pPr>
      <w:r>
        <w:rPr>
          <w:spacing w:val="18"/>
        </w:rPr>
        <w:t>要求迅速启动自备应急电源或采取非电保安</w:t>
      </w:r>
      <w:r>
        <w:rPr>
          <w:spacing w:val="7"/>
        </w:rPr>
        <w:t>措施，及时启动相应停电事件应急响应，避免</w:t>
      </w:r>
      <w:r>
        <w:rPr>
          <w:spacing w:val="7"/>
        </w:rPr>
        <w:t>造成更大影响和损失。各类人员聚集场所停电</w:t>
      </w:r>
      <w:r>
        <w:rPr>
          <w:spacing w:val="7"/>
        </w:rPr>
        <w:t>后要及时启用应急照明，组织人员有秩序地疏</w:t>
      </w:r>
      <w:r>
        <w:rPr>
          <w:spacing w:val="7"/>
        </w:rPr>
        <w:t>散，确保人身安全。消防部门做好应急救援准</w:t>
      </w:r>
      <w:r>
        <w:rPr>
          <w:spacing w:val="7"/>
        </w:rPr>
        <w:t>备工作，及时处置各类火灾、爆炸事件，解救</w:t>
      </w:r>
      <w:r>
        <w:rPr>
          <w:spacing w:val="7"/>
        </w:rPr>
        <w:t>被困人员。在供电恢复过程中，各重要电力用</w:t>
      </w:r>
      <w:r>
        <w:rPr>
          <w:spacing w:val="7"/>
        </w:rPr>
        <w:t>户要严格按照调度指令分时分步恢复用电。加</w:t>
      </w:r>
      <w:r>
        <w:rPr>
          <w:spacing w:val="7"/>
        </w:rPr>
        <w:t>强重大危险源、重要目标、重大关键基础设施</w:t>
      </w:r>
      <w:r>
        <w:rPr>
          <w:spacing w:val="7"/>
        </w:rPr>
        <w:t>隐患排查与监测预警，及时采取防范措施，及</w:t>
      </w:r>
      <w:r>
        <w:rPr>
          <w:spacing w:val="7"/>
        </w:rPr>
        <w:t>时扑灭各类火灾，解救被困人员，防止发生次</w:t>
      </w:r>
      <w:r>
        <w:rPr>
          <w:spacing w:val="7"/>
        </w:rPr>
        <w:t>生衍生事故。</w:t>
      </w:r>
    </w:p>
    <w:p>
      <w:pPr>
        <w:pStyle w:val="BodyText"/>
        <w:ind w:right="36" w:firstLine="413"/>
        <w:spacing w:before="6" w:line="380"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）保障居民基本生活市政部门、相关</w:t>
      </w:r>
      <w:r>
        <w:rPr>
          <w:spacing w:val="10"/>
        </w:rPr>
        <w:t>企业启用应急供水措施，保障居民用水需求；</w:t>
      </w:r>
      <w:r>
        <w:rPr>
          <w:spacing w:val="7"/>
        </w:rPr>
        <w:t>采用多种方式，保障燃气供应和采暖期内居民</w:t>
      </w:r>
      <w:r>
        <w:rPr>
          <w:spacing w:val="7"/>
        </w:rPr>
        <w:t>生活热力供应；工信、商务、交通运输等部门</w:t>
      </w:r>
      <w:r>
        <w:rPr>
          <w:spacing w:val="7"/>
        </w:rPr>
        <w:t>组织生活必需品的应急生产、调配和运输，保</w:t>
      </w:r>
      <w:r>
        <w:rPr>
          <w:spacing w:val="7"/>
        </w:rPr>
        <w:t>障停电期间居民基本生活。卫健部门准备好抢</w:t>
      </w:r>
      <w:r>
        <w:rPr/>
        <w:t>救、治疗病人的应急队伍、车辆、药品和物资，</w:t>
      </w:r>
      <w:r>
        <w:rPr>
          <w:spacing w:val="9"/>
        </w:rPr>
        <w:t>保证病人能得到及时、有效治疗。</w:t>
      </w:r>
    </w:p>
    <w:p>
      <w:pPr>
        <w:pStyle w:val="BodyText"/>
        <w:ind w:right="36" w:firstLine="413"/>
        <w:spacing w:before="180" w:line="370"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）公安部门加强涉及国家安全和公共</w:t>
      </w:r>
      <w:r>
        <w:rPr>
          <w:spacing w:val="7"/>
        </w:rPr>
        <w:t>安全的重点单位安全保卫工作，严密防范和严</w:t>
      </w:r>
      <w:r>
        <w:rPr>
          <w:spacing w:val="7"/>
        </w:rPr>
        <w:t>厉打击违法犯罪活动；加强对停电区域内繁华</w:t>
      </w:r>
      <w:r>
        <w:rPr>
          <w:spacing w:val="10"/>
        </w:rPr>
        <w:t>街区、大型居民区、大型商场、学校、医院、</w:t>
      </w:r>
      <w:r>
        <w:rPr>
          <w:spacing w:val="7"/>
        </w:rPr>
        <w:t>金融机构、车站及其他重要生产经营场所等重</w:t>
      </w:r>
      <w:r>
        <w:rPr/>
        <w:t>点地区、重点部位、人员密集场所的治安巡逻，</w:t>
      </w:r>
      <w:r>
        <w:rPr/>
        <w:t>及时疏散人员，解救被困人员，确保人身安全，</w:t>
      </w:r>
      <w:r>
        <w:rPr>
          <w:spacing w:val="7"/>
        </w:rPr>
        <w:t>防范治安事件。公安、交通管理部门加强停电</w:t>
      </w:r>
      <w:r>
        <w:rPr>
          <w:spacing w:val="15"/>
        </w:rPr>
        <w:t>地区道路交通指挥和疏导</w:t>
      </w:r>
      <w:r>
        <w:rPr>
          <w:spacing w:val="-39"/>
        </w:rPr>
        <w:t xml:space="preserve"> </w:t>
      </w:r>
      <w:r>
        <w:rPr>
          <w:spacing w:val="15"/>
        </w:rPr>
        <w:t>，维护道路交通秩</w:t>
      </w:r>
      <w:r>
        <w:rPr>
          <w:spacing w:val="7"/>
        </w:rPr>
        <w:t>序，优先保障应急车辆通行。有关部门要积极</w:t>
      </w:r>
      <w:r>
        <w:rPr>
          <w:spacing w:val="7"/>
        </w:rPr>
        <w:t>组织力量，严厉打击造谣惑众、囤积居奇、哄</w:t>
      </w:r>
    </w:p>
    <w:p>
      <w:pPr>
        <w:spacing w:line="370" w:lineRule="auto"/>
        <w:sectPr>
          <w:type w:val="continuous"/>
          <w:pgSz w:w="11906" w:h="16839"/>
          <w:pgMar w:top="1772" w:right="1489" w:bottom="1562" w:left="1567" w:header="1428" w:footer="1172" w:gutter="0"/>
          <w:cols w:equalWidth="0" w:num="2">
            <w:col w:w="4502" w:space="100"/>
            <w:col w:w="4249" w:space="0"/>
          </w:cols>
        </w:sectPr>
        <w:rPr/>
      </w:pPr>
    </w:p>
    <w:p>
      <w:pPr>
        <w:spacing w:line="165" w:lineRule="exact"/>
        <w:rPr/>
      </w:pPr>
      <w:r>
        <w:drawing>
          <wp:anchor distT="0" distB="0" distL="0" distR="0" simplePos="0" relativeHeight="25315328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824" name="IM 1824"/>
            <wp:cNvGraphicFramePr/>
            <a:graphic>
              <a:graphicData uri="http://schemas.openxmlformats.org/drawingml/2006/picture">
                <pic:pic>
                  <pic:nvPicPr>
                    <pic:cNvPr id="1824" name="IM 1824"/>
                    <pic:cNvPicPr/>
                  </pic:nvPicPr>
                  <pic:blipFill>
                    <a:blip r:embed="rId914"/>
                    <a:stretch>
                      <a:fillRect/>
                    </a:stretch>
                  </pic:blipFill>
                  <pic:spPr>
                    <a:xfrm rot="0">
                      <a:off x="0" y="0"/>
                      <a:ext cx="5579745" cy="7620"/>
                    </a:xfrm>
                    <a:prstGeom prst="rect">
                      <a:avLst/>
                    </a:prstGeom>
                  </pic:spPr>
                </pic:pic>
              </a:graphicData>
            </a:graphic>
          </wp:anchor>
        </w:drawing>
      </w:r>
      <w:r/>
    </w:p>
    <w:p>
      <w:pPr>
        <w:spacing w:line="165" w:lineRule="exact"/>
        <w:sectPr>
          <w:headerReference w:type="default" r:id="rId874"/>
          <w:footerReference w:type="default" r:id="rId913"/>
          <w:pgSz w:w="11906" w:h="16839"/>
          <w:pgMar w:top="1766" w:right="1509" w:bottom="1575" w:left="1579" w:header="1428" w:footer="1172" w:gutter="0"/>
          <w:cols w:equalWidth="0" w:num="1">
            <w:col w:w="8817" w:space="0"/>
          </w:cols>
        </w:sectPr>
        <w:rPr/>
      </w:pPr>
    </w:p>
    <w:p>
      <w:pPr>
        <w:pStyle w:val="BodyText"/>
        <w:ind w:left="14"/>
        <w:spacing w:before="39" w:line="220" w:lineRule="auto"/>
        <w:rPr/>
      </w:pPr>
      <w:r>
        <w:rPr>
          <w:spacing w:val="8"/>
        </w:rPr>
        <w:t>抬物价等各种违法行为。</w:t>
      </w:r>
    </w:p>
    <w:p>
      <w:pPr>
        <w:pStyle w:val="BodyText"/>
        <w:ind w:left="12" w:right="265" w:firstLine="412"/>
        <w:spacing w:before="180" w:line="364" w:lineRule="auto"/>
        <w:rPr/>
      </w:pPr>
      <w:r>
        <w:rPr>
          <w:spacing w:val="8"/>
        </w:rPr>
        <w:t>（</w:t>
      </w:r>
      <w:r>
        <w:rPr>
          <w:spacing w:val="-45"/>
        </w:rPr>
        <w:t xml:space="preserve"> </w:t>
      </w:r>
      <w:r>
        <w:rPr>
          <w:rFonts w:ascii="Times New Roman" w:hAnsi="Times New Roman" w:eastAsia="Times New Roman" w:cs="Times New Roman"/>
          <w:spacing w:val="8"/>
        </w:rPr>
        <w:t>5</w:t>
      </w:r>
      <w:r>
        <w:rPr>
          <w:rFonts w:ascii="Times New Roman" w:hAnsi="Times New Roman" w:eastAsia="Times New Roman" w:cs="Times New Roman"/>
          <w:spacing w:val="-19"/>
        </w:rPr>
        <w:t xml:space="preserve"> </w:t>
      </w:r>
      <w:r>
        <w:rPr>
          <w:spacing w:val="8"/>
        </w:rPr>
        <w:t>）新闻宣传部门按照及时准确、公开</w:t>
      </w:r>
      <w:r>
        <w:rPr>
          <w:spacing w:val="7"/>
        </w:rPr>
        <w:t>透明、客观统一的原则，加强信息发布和舆论</w:t>
      </w:r>
      <w:r>
        <w:rPr>
          <w:spacing w:val="7"/>
        </w:rPr>
        <w:t>引导，通过多种媒体渠道，主动向社会发布停</w:t>
      </w:r>
      <w:r>
        <w:rPr>
          <w:spacing w:val="7"/>
        </w:rPr>
        <w:t>电相关信息和应对工作情况，提示相关注意事</w:t>
      </w:r>
      <w:r>
        <w:rPr>
          <w:spacing w:val="7"/>
        </w:rPr>
        <w:t>项和安保措施。加强舆情收集分析，及时回应</w:t>
      </w:r>
      <w:r>
        <w:rPr/>
        <w:t>社会关切，澄清不实信息，正确引导社会舆论，</w:t>
      </w:r>
      <w:r>
        <w:rPr>
          <w:spacing w:val="7"/>
        </w:rPr>
        <w:t>稳定公众情绪。</w:t>
      </w:r>
    </w:p>
    <w:p>
      <w:pPr>
        <w:pStyle w:val="BodyText"/>
        <w:ind w:left="12" w:right="306" w:firstLine="412"/>
        <w:spacing w:before="176" w:line="347" w:lineRule="auto"/>
        <w:rPr/>
      </w:pPr>
      <w:r>
        <w:rPr>
          <w:spacing w:val="5"/>
        </w:rPr>
        <w:t>（</w:t>
      </w:r>
      <w:r>
        <w:rPr>
          <w:rFonts w:ascii="Times New Roman" w:hAnsi="Times New Roman" w:eastAsia="Times New Roman" w:cs="Times New Roman"/>
          <w:spacing w:val="5"/>
        </w:rPr>
        <w:t>6</w:t>
      </w:r>
      <w:r>
        <w:rPr>
          <w:rFonts w:ascii="Times New Roman" w:hAnsi="Times New Roman" w:eastAsia="Times New Roman" w:cs="Times New Roman"/>
          <w:spacing w:val="-12"/>
        </w:rPr>
        <w:t xml:space="preserve"> </w:t>
      </w:r>
      <w:r>
        <w:rPr>
          <w:spacing w:val="5"/>
        </w:rPr>
        <w:t>）组织事态评估 市应急指挥机构及时</w:t>
      </w:r>
      <w:r>
        <w:rPr>
          <w:spacing w:val="8"/>
        </w:rPr>
        <w:t>组织对大面积停电事件影响范围、影响程度、</w:t>
      </w:r>
      <w:r>
        <w:rPr>
          <w:spacing w:val="7"/>
        </w:rPr>
        <w:t>发展趋势及恢复进度进行评估，为进一步做好</w:t>
      </w:r>
      <w:r>
        <w:rPr>
          <w:spacing w:val="8"/>
        </w:rPr>
        <w:t>应对工作提供依据。</w:t>
      </w:r>
    </w:p>
    <w:p>
      <w:pPr>
        <w:pStyle w:val="BodyText"/>
        <w:ind w:left="11" w:right="329" w:firstLine="427"/>
        <w:spacing w:before="176" w:line="388" w:lineRule="auto"/>
        <w:rPr/>
      </w:pPr>
      <w:r>
        <w:rPr>
          <w:rFonts w:ascii="Times New Roman" w:hAnsi="Times New Roman" w:eastAsia="Times New Roman" w:cs="Times New Roman"/>
          <w:spacing w:val="8"/>
        </w:rPr>
        <w:t>5.3  </w:t>
      </w:r>
      <w:r>
        <w:rPr>
          <w:rFonts w:ascii="KaiTi" w:hAnsi="KaiTi" w:eastAsia="KaiTi" w:cs="KaiTi"/>
          <w:spacing w:val="8"/>
        </w:rPr>
        <w:t>响应终止。</w:t>
      </w:r>
      <w:r>
        <w:rPr>
          <w:spacing w:val="8"/>
        </w:rPr>
        <w:t>同时满足以下条件时，由</w:t>
      </w:r>
      <w:r>
        <w:rPr>
          <w:spacing w:val="9"/>
        </w:rPr>
        <w:t>启动响应的应急指挥机构终止应急响应：</w:t>
      </w:r>
    </w:p>
    <w:p>
      <w:pPr>
        <w:pStyle w:val="BodyText"/>
        <w:ind w:left="13" w:right="329" w:firstLine="411"/>
        <w:spacing w:before="2" w:line="334" w:lineRule="auto"/>
        <w:rPr/>
      </w:pPr>
      <w:r>
        <w:rPr>
          <w:spacing w:val="4"/>
        </w:rPr>
        <w:t>（</w:t>
      </w:r>
      <w:r>
        <w:rPr>
          <w:spacing w:val="-37"/>
        </w:rPr>
        <w:t xml:space="preserve"> </w:t>
      </w:r>
      <w:r>
        <w:rPr>
          <w:rFonts w:ascii="Times New Roman" w:hAnsi="Times New Roman" w:eastAsia="Times New Roman" w:cs="Times New Roman"/>
          <w:spacing w:val="4"/>
        </w:rPr>
        <w:t>1 </w:t>
      </w:r>
      <w:r>
        <w:rPr>
          <w:spacing w:val="4"/>
        </w:rPr>
        <w:t>）电网主干网架基本恢复正常</w:t>
      </w:r>
      <w:r>
        <w:rPr>
          <w:spacing w:val="-59"/>
        </w:rPr>
        <w:t xml:space="preserve"> </w:t>
      </w:r>
      <w:r>
        <w:rPr>
          <w:spacing w:val="4"/>
        </w:rPr>
        <w:t>，电网</w:t>
      </w:r>
      <w:r>
        <w:rPr>
          <w:spacing w:val="7"/>
        </w:rPr>
        <w:t>运行参数保持在稳定限额之内，主要发电厂机</w:t>
      </w:r>
      <w:r>
        <w:rPr>
          <w:spacing w:val="7"/>
        </w:rPr>
        <w:t>组运行稳定；</w:t>
      </w:r>
    </w:p>
    <w:p>
      <w:pPr>
        <w:pStyle w:val="BodyText"/>
        <w:ind w:left="25" w:right="303" w:firstLine="399"/>
        <w:spacing w:before="173" w:line="308"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6"/>
        </w:rPr>
        <w:t xml:space="preserve"> </w:t>
      </w:r>
      <w:r>
        <w:rPr>
          <w:spacing w:val="8"/>
        </w:rPr>
        <w:t>）减供负荷恢复</w:t>
      </w:r>
      <w:r>
        <w:rPr>
          <w:spacing w:val="-30"/>
        </w:rPr>
        <w:t xml:space="preserve"> </w:t>
      </w:r>
      <w:r>
        <w:rPr>
          <w:rFonts w:ascii="Times New Roman" w:hAnsi="Times New Roman" w:eastAsia="Times New Roman" w:cs="Times New Roman"/>
          <w:spacing w:val="8"/>
        </w:rPr>
        <w:t>80%</w:t>
      </w:r>
      <w:r>
        <w:rPr>
          <w:spacing w:val="8"/>
        </w:rPr>
        <w:t>以上，受停电影</w:t>
      </w:r>
      <w:r>
        <w:rPr>
          <w:spacing w:val="6"/>
        </w:rPr>
        <w:t>响的重点地区、重要城市负荷恢复</w:t>
      </w:r>
      <w:r>
        <w:rPr>
          <w:spacing w:val="-35"/>
        </w:rPr>
        <w:t xml:space="preserve"> </w:t>
      </w:r>
      <w:r>
        <w:rPr>
          <w:rFonts w:ascii="Times New Roman" w:hAnsi="Times New Roman" w:eastAsia="Times New Roman" w:cs="Times New Roman"/>
          <w:spacing w:val="6"/>
        </w:rPr>
        <w:t>90%</w:t>
      </w:r>
      <w:r>
        <w:rPr>
          <w:spacing w:val="6"/>
        </w:rPr>
        <w:t>以上；</w:t>
      </w:r>
    </w:p>
    <w:p>
      <w:pPr>
        <w:pStyle w:val="BodyText"/>
        <w:ind w:left="424"/>
        <w:spacing w:before="172" w:line="277" w:lineRule="exact"/>
        <w:rPr/>
      </w:pPr>
      <w:r>
        <w:rPr>
          <w:spacing w:val="-5"/>
          <w:position w:val="1"/>
        </w:rPr>
        <w:t>（</w:t>
      </w:r>
      <w:r>
        <w:rPr>
          <w:rFonts w:ascii="Times New Roman" w:hAnsi="Times New Roman" w:eastAsia="Times New Roman" w:cs="Times New Roman"/>
          <w:spacing w:val="-5"/>
          <w:position w:val="1"/>
        </w:rPr>
        <w:t>3</w:t>
      </w:r>
      <w:r>
        <w:rPr>
          <w:rFonts w:ascii="Times New Roman" w:hAnsi="Times New Roman" w:eastAsia="Times New Roman" w:cs="Times New Roman"/>
          <w:spacing w:val="-6"/>
          <w:position w:val="1"/>
        </w:rPr>
        <w:t xml:space="preserve"> </w:t>
      </w:r>
      <w:r>
        <w:rPr>
          <w:spacing w:val="-5"/>
          <w:position w:val="1"/>
        </w:rPr>
        <w:t>）造成大面积停电事件的隐患基本消除；</w:t>
      </w:r>
    </w:p>
    <w:p>
      <w:pPr>
        <w:pStyle w:val="BodyText"/>
        <w:ind w:left="12" w:right="332" w:firstLine="412"/>
        <w:spacing w:before="144" w:line="305"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）大面积停电事件造成的重特大次生</w:t>
      </w:r>
      <w:r>
        <w:rPr>
          <w:spacing w:val="8"/>
        </w:rPr>
        <w:t>衍生事故基本处置完成。</w:t>
      </w:r>
    </w:p>
    <w:p>
      <w:pPr>
        <w:ind w:left="437"/>
        <w:spacing w:before="174"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6</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4"/>
        </w:rPr>
        <w:t>后期处置</w:t>
      </w:r>
    </w:p>
    <w:p>
      <w:pPr>
        <w:pStyle w:val="BodyText"/>
        <w:ind w:left="12" w:right="329" w:firstLine="425"/>
        <w:spacing w:before="117" w:line="364" w:lineRule="auto"/>
        <w:rPr/>
      </w:pPr>
      <w:r>
        <w:rPr>
          <w:rFonts w:ascii="Times New Roman" w:hAnsi="Times New Roman" w:eastAsia="Times New Roman" w:cs="Times New Roman"/>
          <w:spacing w:val="6"/>
        </w:rPr>
        <w:t>6.</w:t>
      </w:r>
      <w:r>
        <w:rPr>
          <w:rFonts w:ascii="Times New Roman" w:hAnsi="Times New Roman" w:eastAsia="Times New Roman" w:cs="Times New Roman"/>
          <w:spacing w:val="-7"/>
        </w:rPr>
        <w:t xml:space="preserve"> </w:t>
      </w:r>
      <w:r>
        <w:rPr>
          <w:rFonts w:ascii="Times New Roman" w:hAnsi="Times New Roman" w:eastAsia="Times New Roman" w:cs="Times New Roman"/>
          <w:spacing w:val="6"/>
        </w:rPr>
        <w:t>1  </w:t>
      </w:r>
      <w:r>
        <w:rPr>
          <w:rFonts w:ascii="KaiTi" w:hAnsi="KaiTi" w:eastAsia="KaiTi" w:cs="KaiTi"/>
          <w:spacing w:val="6"/>
        </w:rPr>
        <w:t>处置评估</w:t>
      </w:r>
      <w:r>
        <w:rPr>
          <w:spacing w:val="6"/>
        </w:rPr>
        <w:t>。大面积停电事件应急响应</w:t>
      </w:r>
      <w:r>
        <w:rPr>
          <w:spacing w:val="7"/>
        </w:rPr>
        <w:t>终止后，市政府要及时组织对事件处置工作进</w:t>
      </w:r>
      <w:r>
        <w:rPr>
          <w:spacing w:val="7"/>
        </w:rPr>
        <w:t>行评估，总结经验教训，分析查找问题，提出</w:t>
      </w:r>
      <w:r>
        <w:rPr>
          <w:spacing w:val="7"/>
        </w:rPr>
        <w:t>改进措施，形成处置评估报告。评估报告一般</w:t>
      </w:r>
      <w:r>
        <w:rPr>
          <w:spacing w:val="7"/>
        </w:rPr>
        <w:t>包括事件发生原因和经过、事件造成的直接损</w:t>
      </w:r>
      <w:r>
        <w:rPr>
          <w:spacing w:val="7"/>
        </w:rPr>
        <w:t>失和影响、事件处置过程、经验教训以及改进</w:t>
      </w:r>
      <w:r>
        <w:rPr>
          <w:spacing w:val="8"/>
        </w:rPr>
        <w:t>建议等。鼓励开展第三方评估。</w:t>
      </w:r>
    </w:p>
    <w:p>
      <w:pPr>
        <w:pStyle w:val="BodyText"/>
        <w:ind w:left="438"/>
        <w:spacing w:before="178" w:line="210" w:lineRule="auto"/>
        <w:rPr/>
      </w:pPr>
      <w:r>
        <w:rPr>
          <w:rFonts w:ascii="Times New Roman" w:hAnsi="Times New Roman" w:eastAsia="Times New Roman" w:cs="Times New Roman"/>
          <w:spacing w:val="3"/>
        </w:rPr>
        <w:t>6.2  </w:t>
      </w:r>
      <w:r>
        <w:rPr>
          <w:rFonts w:ascii="KaiTi" w:hAnsi="KaiTi" w:eastAsia="KaiTi" w:cs="KaiTi"/>
          <w:spacing w:val="3"/>
        </w:rPr>
        <w:t>事件调查。</w:t>
      </w:r>
      <w:r>
        <w:rPr>
          <w:spacing w:val="3"/>
        </w:rPr>
        <w:t>大面积停电事件发生之</w:t>
      </w:r>
      <w:r>
        <w:rPr>
          <w:spacing w:val="2"/>
        </w:rPr>
        <w:t>后，</w:t>
      </w:r>
    </w:p>
    <w:p>
      <w:pPr>
        <w:spacing w:line="14" w:lineRule="auto"/>
        <w:rPr>
          <w:rFonts w:ascii="Arial"/>
          <w:sz w:val="2"/>
        </w:rPr>
      </w:pPr>
      <w:r>
        <w:rPr>
          <w:rFonts w:ascii="Arial" w:hAnsi="Arial" w:eastAsia="Arial" w:cs="Arial"/>
          <w:sz w:val="2"/>
          <w:szCs w:val="2"/>
        </w:rPr>
        <w:br w:type="column"/>
      </w:r>
    </w:p>
    <w:p>
      <w:pPr>
        <w:pStyle w:val="BodyText"/>
        <w:ind w:left="1" w:right="80" w:firstLine="1"/>
        <w:spacing w:before="38" w:line="387" w:lineRule="auto"/>
        <w:jc w:val="both"/>
        <w:rPr/>
      </w:pPr>
      <w:r>
        <w:rPr>
          <w:spacing w:val="18"/>
        </w:rPr>
        <w:t>市应急处置领导小组根据有关规定成立调查</w:t>
      </w:r>
      <w:r>
        <w:rPr>
          <w:spacing w:val="7"/>
        </w:rPr>
        <w:t>组进行事件调查。有关部门和单位要认真配合</w:t>
      </w:r>
      <w:r>
        <w:rPr>
          <w:spacing w:val="7"/>
        </w:rPr>
        <w:t>调查组的工作，客观、公正、准确地查明事件</w:t>
      </w:r>
      <w:r>
        <w:rPr>
          <w:spacing w:val="7"/>
        </w:rPr>
        <w:t>原因、性质、影响范围、经济损失等情况，提</w:t>
      </w:r>
      <w:r>
        <w:rPr>
          <w:spacing w:val="8"/>
        </w:rPr>
        <w:t>出防范、整改措施和处理建议。</w:t>
      </w:r>
    </w:p>
    <w:p>
      <w:pPr>
        <w:pStyle w:val="BodyText"/>
        <w:ind w:firstLine="425"/>
        <w:spacing w:before="2" w:line="333" w:lineRule="auto"/>
        <w:rPr/>
      </w:pPr>
      <w:r>
        <w:rPr>
          <w:rFonts w:ascii="Times New Roman" w:hAnsi="Times New Roman" w:eastAsia="Times New Roman" w:cs="Times New Roman"/>
          <w:spacing w:val="8"/>
        </w:rPr>
        <w:t>6.3  </w:t>
      </w:r>
      <w:r>
        <w:rPr>
          <w:rFonts w:ascii="KaiTi" w:hAnsi="KaiTi" w:eastAsia="KaiTi" w:cs="KaiTi"/>
          <w:spacing w:val="8"/>
        </w:rPr>
        <w:t>善后处置。</w:t>
      </w:r>
      <w:r>
        <w:rPr>
          <w:spacing w:val="8"/>
        </w:rPr>
        <w:t>市政府要及时组织制订善</w:t>
      </w:r>
      <w:r>
        <w:rPr>
          <w:spacing w:val="7"/>
        </w:rPr>
        <w:t>后工作方案并组织实施。保险机构要及时开展</w:t>
      </w:r>
      <w:r>
        <w:rPr>
          <w:spacing w:val="-8"/>
        </w:rPr>
        <w:t>相关理赔工作，尽快消除大面积停电事件的影响。</w:t>
      </w:r>
    </w:p>
    <w:p>
      <w:pPr>
        <w:pStyle w:val="BodyText"/>
        <w:ind w:right="51" w:firstLine="425"/>
        <w:spacing w:before="175" w:line="355" w:lineRule="auto"/>
        <w:rPr/>
      </w:pPr>
      <w:r>
        <w:rPr>
          <w:rFonts w:ascii="Times New Roman" w:hAnsi="Times New Roman" w:eastAsia="Times New Roman" w:cs="Times New Roman"/>
          <w:spacing w:val="8"/>
        </w:rPr>
        <w:t>6.4  </w:t>
      </w:r>
      <w:r>
        <w:rPr>
          <w:rFonts w:ascii="KaiTi" w:hAnsi="KaiTi" w:eastAsia="KaiTi" w:cs="KaiTi"/>
          <w:spacing w:val="8"/>
        </w:rPr>
        <w:t>恢复重建。</w:t>
      </w:r>
      <w:r>
        <w:rPr>
          <w:spacing w:val="8"/>
        </w:rPr>
        <w:t>大面积停电事件应急响应</w:t>
      </w:r>
      <w:r>
        <w:rPr>
          <w:spacing w:val="7"/>
        </w:rPr>
        <w:t>终止后，需对电网网架结构和设备设施进行修</w:t>
      </w:r>
      <w:r>
        <w:rPr>
          <w:spacing w:val="7"/>
        </w:rPr>
        <w:t>复或重建的，由市发展和改革委根据实际工作</w:t>
      </w:r>
      <w:r>
        <w:rPr>
          <w:spacing w:val="7"/>
        </w:rPr>
        <w:t>需要组织编制恢复重建规划。市政府有关部门</w:t>
      </w:r>
      <w:r>
        <w:rPr>
          <w:spacing w:val="-2"/>
        </w:rPr>
        <w:t>配合电力企业做好受损电力系统恢复重建工作。</w:t>
      </w:r>
    </w:p>
    <w:p>
      <w:pPr>
        <w:ind w:left="424"/>
        <w:spacing w:before="172"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7</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保障措施</w:t>
      </w:r>
    </w:p>
    <w:p>
      <w:pPr>
        <w:pStyle w:val="BodyText"/>
        <w:ind w:right="80" w:firstLine="425"/>
        <w:spacing w:before="117" w:line="367" w:lineRule="auto"/>
        <w:rPr/>
      </w:pPr>
      <w:r>
        <w:rPr>
          <w:rFonts w:ascii="Times New Roman" w:hAnsi="Times New Roman" w:eastAsia="Times New Roman" w:cs="Times New Roman"/>
          <w:spacing w:val="7"/>
        </w:rPr>
        <w:t>7.</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1  </w:t>
      </w:r>
      <w:r>
        <w:rPr>
          <w:rFonts w:ascii="KaiTi" w:hAnsi="KaiTi" w:eastAsia="KaiTi" w:cs="KaiTi"/>
          <w:spacing w:val="7"/>
        </w:rPr>
        <w:t>队伍保障。</w:t>
      </w:r>
      <w:r>
        <w:rPr>
          <w:spacing w:val="7"/>
        </w:rPr>
        <w:t>电力企业应建立健全</w:t>
      </w:r>
      <w:r>
        <w:rPr>
          <w:spacing w:val="6"/>
        </w:rPr>
        <w:t>电力</w:t>
      </w:r>
      <w:r>
        <w:rPr>
          <w:spacing w:val="7"/>
        </w:rPr>
        <w:t>抢修应急专业队伍，加强设备维护和应急抢修</w:t>
      </w:r>
      <w:r>
        <w:rPr>
          <w:spacing w:val="7"/>
        </w:rPr>
        <w:t>技能方面的人员培训，定期开展应急演练，提</w:t>
      </w:r>
      <w:r>
        <w:rPr>
          <w:spacing w:val="7"/>
        </w:rPr>
        <w:t>高应急救援能力。市政府根据需要组织动员通</w:t>
      </w:r>
      <w:r>
        <w:rPr>
          <w:spacing w:val="7"/>
        </w:rPr>
        <w:t>信、交通、供水、供气、供热等其他专业应急</w:t>
      </w:r>
      <w:r>
        <w:rPr>
          <w:spacing w:val="18"/>
        </w:rPr>
        <w:t>队伍和志愿者等参与大面积停电事件及其次</w:t>
      </w:r>
      <w:r>
        <w:rPr>
          <w:spacing w:val="7"/>
        </w:rPr>
        <w:t>生衍生灾害处置工作。公安消防部门要做好应</w:t>
      </w:r>
      <w:r>
        <w:rPr>
          <w:spacing w:val="8"/>
        </w:rPr>
        <w:t>急力量支援保障。</w:t>
      </w:r>
    </w:p>
    <w:p>
      <w:pPr>
        <w:pStyle w:val="BodyText"/>
        <w:ind w:right="80" w:firstLine="424"/>
        <w:spacing w:before="179" w:line="360" w:lineRule="auto"/>
        <w:rPr/>
      </w:pPr>
      <w:r>
        <w:rPr>
          <w:rFonts w:ascii="Times New Roman" w:hAnsi="Times New Roman" w:eastAsia="Times New Roman" w:cs="Times New Roman"/>
          <w:spacing w:val="8"/>
        </w:rPr>
        <w:t>7.2  </w:t>
      </w:r>
      <w:r>
        <w:rPr>
          <w:rFonts w:ascii="KaiTi" w:hAnsi="KaiTi" w:eastAsia="KaiTi" w:cs="KaiTi"/>
          <w:spacing w:val="8"/>
        </w:rPr>
        <w:t>装备物资保障。</w:t>
      </w:r>
      <w:r>
        <w:rPr>
          <w:spacing w:val="8"/>
        </w:rPr>
        <w:t>电力企业应储备必要</w:t>
      </w:r>
      <w:r>
        <w:rPr>
          <w:spacing w:val="7"/>
        </w:rPr>
        <w:t>的专业应急装备及物资，建立和完善相应保障</w:t>
      </w:r>
      <w:r>
        <w:rPr>
          <w:spacing w:val="7"/>
        </w:rPr>
        <w:t>体系。市政府有关部门要加强应急救援装备物</w:t>
      </w:r>
      <w:r>
        <w:rPr>
          <w:spacing w:val="7"/>
        </w:rPr>
        <w:t>资及生产生活物资的紧急生产、储备调拨和紧</w:t>
      </w:r>
      <w:r>
        <w:rPr>
          <w:spacing w:val="7"/>
        </w:rPr>
        <w:t>急配送工作，保障支援大面积停电事件应对工</w:t>
      </w:r>
      <w:r>
        <w:rPr>
          <w:spacing w:val="8"/>
        </w:rPr>
        <w:t>作需要。鼓励支持社会化储备。</w:t>
      </w:r>
    </w:p>
    <w:p>
      <w:pPr>
        <w:pStyle w:val="BodyText"/>
        <w:ind w:left="5" w:right="73" w:firstLine="419"/>
        <w:spacing w:before="179" w:line="328" w:lineRule="auto"/>
        <w:rPr/>
      </w:pPr>
      <w:r>
        <w:rPr>
          <w:rFonts w:ascii="Times New Roman" w:hAnsi="Times New Roman" w:eastAsia="Times New Roman" w:cs="Times New Roman"/>
          <w:spacing w:val="8"/>
        </w:rPr>
        <w:t>7.3  </w:t>
      </w:r>
      <w:r>
        <w:rPr>
          <w:rFonts w:ascii="KaiTi" w:hAnsi="KaiTi" w:eastAsia="KaiTi" w:cs="KaiTi"/>
          <w:spacing w:val="8"/>
        </w:rPr>
        <w:t>通信、交通与运输保障。</w:t>
      </w:r>
      <w:r>
        <w:rPr>
          <w:spacing w:val="8"/>
        </w:rPr>
        <w:t>通信主管部</w:t>
      </w:r>
      <w:r>
        <w:rPr>
          <w:spacing w:val="7"/>
        </w:rPr>
        <w:t>门、通信运营商要建立健全大面积停电事件应</w:t>
      </w:r>
      <w:r>
        <w:rPr>
          <w:spacing w:val="7"/>
        </w:rPr>
        <w:t>急通信保障体系，形成可靠的通信保障能力，</w:t>
      </w:r>
    </w:p>
    <w:p>
      <w:pPr>
        <w:spacing w:line="328" w:lineRule="auto"/>
        <w:sectPr>
          <w:type w:val="continuous"/>
          <w:pgSz w:w="11906" w:h="16839"/>
          <w:pgMar w:top="1766" w:right="1509" w:bottom="1575" w:left="1579" w:header="1428" w:footer="1172" w:gutter="0"/>
          <w:cols w:equalWidth="0" w:num="2">
            <w:col w:w="4489" w:space="100"/>
            <w:col w:w="4228" w:space="0"/>
          </w:cols>
        </w:sectPr>
        <w:rPr/>
      </w:pPr>
    </w:p>
    <w:p>
      <w:pPr>
        <w:spacing w:before="89"/>
        <w:rPr/>
      </w:pPr>
      <w:r>
        <w:drawing>
          <wp:anchor distT="0" distB="0" distL="0" distR="0" simplePos="0" relativeHeight="253164544"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828" name="IM 1828"/>
            <wp:cNvGraphicFramePr/>
            <a:graphic>
              <a:graphicData uri="http://schemas.openxmlformats.org/drawingml/2006/picture">
                <pic:pic>
                  <pic:nvPicPr>
                    <pic:cNvPr id="1828" name="IM 1828"/>
                    <pic:cNvPicPr/>
                  </pic:nvPicPr>
                  <pic:blipFill>
                    <a:blip r:embed="rId916"/>
                    <a:stretch>
                      <a:fillRect/>
                    </a:stretch>
                  </pic:blipFill>
                  <pic:spPr>
                    <a:xfrm rot="0">
                      <a:off x="0" y="0"/>
                      <a:ext cx="5579745" cy="7620"/>
                    </a:xfrm>
                    <a:prstGeom prst="rect">
                      <a:avLst/>
                    </a:prstGeom>
                  </pic:spPr>
                </pic:pic>
              </a:graphicData>
            </a:graphic>
          </wp:anchor>
        </w:drawing>
      </w:r>
      <w:r/>
    </w:p>
    <w:p>
      <w:pPr>
        <w:sectPr>
          <w:headerReference w:type="default" r:id="rId816"/>
          <w:footerReference w:type="default" r:id="rId915"/>
          <w:pgSz w:w="11906" w:h="16839"/>
          <w:pgMar w:top="1772" w:right="1489" w:bottom="1562" w:left="1567" w:header="1428" w:footer="1172" w:gutter="0"/>
          <w:cols w:equalWidth="0" w:num="1">
            <w:col w:w="8850" w:space="0"/>
          </w:cols>
        </w:sectPr>
        <w:rPr/>
      </w:pPr>
    </w:p>
    <w:p>
      <w:pPr>
        <w:pStyle w:val="BodyText"/>
        <w:ind w:left="24" w:right="320" w:firstLine="3"/>
        <w:spacing w:before="41" w:line="386" w:lineRule="auto"/>
        <w:jc w:val="both"/>
        <w:rPr/>
      </w:pPr>
      <w:r>
        <w:rPr>
          <w:spacing w:val="7"/>
        </w:rPr>
        <w:t>确保应急期间通信联络和信息传递需要。交通</w:t>
      </w:r>
      <w:r>
        <w:rPr>
          <w:spacing w:val="7"/>
        </w:rPr>
        <w:t>运输部门要健全紧急运输保障体系，保障应急</w:t>
      </w:r>
      <w:r>
        <w:rPr>
          <w:spacing w:val="7"/>
        </w:rPr>
        <w:t>响应所需人员、物资、装备、器材等的运输；</w:t>
      </w:r>
      <w:r>
        <w:rPr>
          <w:spacing w:val="7"/>
        </w:rPr>
        <w:t>公安部门要加强交通应急管理，保障应急救援</w:t>
      </w:r>
      <w:r>
        <w:rPr>
          <w:spacing w:val="7"/>
        </w:rPr>
        <w:t>车辆优先通行；有关单位应配备必要的应急车</w:t>
      </w:r>
      <w:r>
        <w:rPr>
          <w:spacing w:val="8"/>
        </w:rPr>
        <w:t>辆，保障应急救援需要。</w:t>
      </w:r>
    </w:p>
    <w:p>
      <w:pPr>
        <w:pStyle w:val="BodyText"/>
        <w:ind w:left="22" w:right="246" w:firstLine="426"/>
        <w:spacing w:before="3" w:line="365" w:lineRule="auto"/>
        <w:rPr/>
      </w:pPr>
      <w:r>
        <w:rPr>
          <w:rFonts w:ascii="Times New Roman" w:hAnsi="Times New Roman" w:eastAsia="Times New Roman" w:cs="Times New Roman"/>
          <w:spacing w:val="2"/>
        </w:rPr>
        <w:t>7.4  </w:t>
      </w:r>
      <w:r>
        <w:rPr>
          <w:rFonts w:ascii="KaiTi" w:hAnsi="KaiTi" w:eastAsia="KaiTi" w:cs="KaiTi"/>
          <w:spacing w:val="2"/>
        </w:rPr>
        <w:t>技术保障</w:t>
      </w:r>
      <w:r>
        <w:rPr>
          <w:spacing w:val="2"/>
        </w:rPr>
        <w:t>。市气象、自然资源、地震、</w:t>
      </w:r>
      <w:r>
        <w:rPr>
          <w:spacing w:val="15"/>
        </w:rPr>
        <w:t>水利等有关单位要为电力</w:t>
      </w:r>
      <w:r>
        <w:rPr>
          <w:spacing w:val="-38"/>
        </w:rPr>
        <w:t xml:space="preserve"> </w:t>
      </w:r>
      <w:r>
        <w:rPr>
          <w:spacing w:val="15"/>
        </w:rPr>
        <w:t>日常监测预警及电</w:t>
      </w:r>
      <w:r>
        <w:rPr>
          <w:spacing w:val="7"/>
        </w:rPr>
        <w:t>力应急抢险提供必要的气象、地震、水文、森</w:t>
      </w:r>
      <w:r>
        <w:rPr>
          <w:spacing w:val="7"/>
        </w:rPr>
        <w:t>林防火等服务。电力企业要加强大面积停电事</w:t>
      </w:r>
      <w:r>
        <w:rPr>
          <w:spacing w:val="7"/>
        </w:rPr>
        <w:t>件应对和监测先进技术、装备的研发，制定电</w:t>
      </w:r>
      <w:r>
        <w:rPr>
          <w:spacing w:val="7"/>
        </w:rPr>
        <w:t>力应急技术标准，加强电网、电厂安全应急信</w:t>
      </w:r>
      <w:r>
        <w:rPr>
          <w:spacing w:val="8"/>
        </w:rPr>
        <w:t>息化平台建设。</w:t>
      </w:r>
    </w:p>
    <w:p>
      <w:pPr>
        <w:pStyle w:val="BodyText"/>
        <w:ind w:left="24" w:right="327" w:firstLine="425"/>
        <w:spacing w:before="178" w:line="371" w:lineRule="auto"/>
        <w:rPr/>
      </w:pPr>
      <w:r>
        <w:rPr>
          <w:rFonts w:ascii="Times New Roman" w:hAnsi="Times New Roman" w:eastAsia="Times New Roman" w:cs="Times New Roman"/>
          <w:spacing w:val="8"/>
        </w:rPr>
        <w:t>7.5  </w:t>
      </w:r>
      <w:r>
        <w:rPr>
          <w:rFonts w:ascii="KaiTi" w:hAnsi="KaiTi" w:eastAsia="KaiTi" w:cs="KaiTi"/>
          <w:spacing w:val="8"/>
        </w:rPr>
        <w:t>应急电源保障。</w:t>
      </w:r>
      <w:r>
        <w:rPr>
          <w:spacing w:val="8"/>
        </w:rPr>
        <w:t>提高电力系统快速恢</w:t>
      </w:r>
      <w:r>
        <w:rPr>
          <w:spacing w:val="8"/>
        </w:rPr>
        <w:t>复能力，加强电网</w:t>
      </w:r>
      <w:r>
        <w:rPr>
          <w:rFonts w:ascii="Times New Roman" w:hAnsi="Times New Roman" w:eastAsia="Times New Roman" w:cs="Times New Roman"/>
          <w:spacing w:val="8"/>
        </w:rPr>
        <w:t>“</w:t>
      </w:r>
      <w:r>
        <w:rPr>
          <w:spacing w:val="8"/>
        </w:rPr>
        <w:t>黑启动</w:t>
      </w:r>
      <w:r>
        <w:rPr>
          <w:rFonts w:ascii="Times New Roman" w:hAnsi="Times New Roman" w:eastAsia="Times New Roman" w:cs="Times New Roman"/>
          <w:spacing w:val="8"/>
        </w:rPr>
        <w:t>”</w:t>
      </w:r>
      <w:r>
        <w:rPr>
          <w:spacing w:val="8"/>
        </w:rPr>
        <w:t>能力建设。市政府</w:t>
      </w:r>
      <w:r>
        <w:rPr>
          <w:spacing w:val="7"/>
        </w:rPr>
        <w:t>有关部门和电力企业应充分考虑电源、电网规</w:t>
      </w:r>
      <w:r>
        <w:rPr>
          <w:spacing w:val="8"/>
        </w:rPr>
        <w:t>划布局，保障</w:t>
      </w:r>
      <w:r>
        <w:rPr>
          <w:rFonts w:ascii="Times New Roman" w:hAnsi="Times New Roman" w:eastAsia="Times New Roman" w:cs="Times New Roman"/>
          <w:spacing w:val="8"/>
        </w:rPr>
        <w:t>“</w:t>
      </w:r>
      <w:r>
        <w:rPr>
          <w:spacing w:val="8"/>
        </w:rPr>
        <w:t>黑启动</w:t>
      </w:r>
      <w:r>
        <w:rPr>
          <w:rFonts w:ascii="Times New Roman" w:hAnsi="Times New Roman" w:eastAsia="Times New Roman" w:cs="Times New Roman"/>
          <w:spacing w:val="8"/>
        </w:rPr>
        <w:t>”</w:t>
      </w:r>
      <w:r>
        <w:rPr>
          <w:spacing w:val="8"/>
        </w:rPr>
        <w:t>电源，适度提高重要输</w:t>
      </w:r>
      <w:r>
        <w:rPr>
          <w:spacing w:val="7"/>
        </w:rPr>
        <w:t>电通道抗灾设防标准。电力企业应配备适量的</w:t>
      </w:r>
      <w:r>
        <w:rPr>
          <w:spacing w:val="7"/>
        </w:rPr>
        <w:t>应急发电装备，必要时提供应急电源支援。重</w:t>
      </w:r>
      <w:r>
        <w:rPr>
          <w:spacing w:val="18"/>
        </w:rPr>
        <w:t>要电力用户应按照国家有关技术要求配置应</w:t>
      </w:r>
      <w:r>
        <w:rPr>
          <w:spacing w:val="7"/>
        </w:rPr>
        <w:t>急电源，制定突发停电事件应急预案和非电保</w:t>
      </w:r>
      <w:r>
        <w:rPr>
          <w:spacing w:val="7"/>
        </w:rPr>
        <w:t>安措施，并加强维护和管理，确保应急状态下</w:t>
      </w:r>
      <w:r>
        <w:rPr>
          <w:spacing w:val="7"/>
        </w:rPr>
        <w:t>能够投入运行。</w:t>
      </w:r>
    </w:p>
    <w:p>
      <w:pPr>
        <w:pStyle w:val="BodyText"/>
        <w:ind w:left="24" w:right="329" w:firstLine="425"/>
        <w:spacing w:before="181" w:line="364" w:lineRule="auto"/>
        <w:rPr/>
      </w:pPr>
      <w:r>
        <w:rPr>
          <w:rFonts w:ascii="Times New Roman" w:hAnsi="Times New Roman" w:eastAsia="Times New Roman" w:cs="Times New Roman"/>
          <w:spacing w:val="8"/>
        </w:rPr>
        <w:t>7.6  </w:t>
      </w:r>
      <w:r>
        <w:rPr>
          <w:rFonts w:ascii="KaiTi" w:hAnsi="KaiTi" w:eastAsia="KaiTi" w:cs="KaiTi"/>
          <w:spacing w:val="8"/>
        </w:rPr>
        <w:t>资金保障。</w:t>
      </w:r>
      <w:r>
        <w:rPr>
          <w:spacing w:val="8"/>
        </w:rPr>
        <w:t>市发展和改革委、市发展</w:t>
      </w:r>
      <w:r>
        <w:rPr>
          <w:spacing w:val="7"/>
        </w:rPr>
        <w:t>和改革委员会、市财政局、市民政局等有关部</w:t>
      </w:r>
      <w:r>
        <w:rPr>
          <w:spacing w:val="7"/>
        </w:rPr>
        <w:t>门，以及各相关电力企业应按照有关规定，对</w:t>
      </w:r>
      <w:r>
        <w:rPr>
          <w:spacing w:val="18"/>
        </w:rPr>
        <w:t>大面积停电事件处置和恢复重建工作提供必</w:t>
      </w:r>
      <w:r>
        <w:rPr>
          <w:spacing w:val="18"/>
        </w:rPr>
        <w:t>要的资金保障。税务管理部门应按照有关规</w:t>
      </w:r>
      <w:r>
        <w:rPr>
          <w:spacing w:val="7"/>
        </w:rPr>
        <w:t>定，对大面积停电事件应对处置和恢复重建工</w:t>
      </w:r>
      <w:r>
        <w:rPr>
          <w:spacing w:val="8"/>
        </w:rPr>
        <w:t>作给予税收减免政策支持。</w:t>
      </w:r>
    </w:p>
    <w:p>
      <w:pPr>
        <w:ind w:left="449"/>
        <w:spacing w:before="177" w:line="210" w:lineRule="auto"/>
        <w:rPr>
          <w:rFonts w:ascii="KaiTi" w:hAnsi="KaiTi" w:eastAsia="KaiTi" w:cs="KaiTi"/>
          <w:sz w:val="20"/>
          <w:szCs w:val="20"/>
        </w:rPr>
      </w:pPr>
      <w:r>
        <w:rPr>
          <w:rFonts w:ascii="Times New Roman" w:hAnsi="Times New Roman" w:eastAsia="Times New Roman" w:cs="Times New Roman"/>
          <w:sz w:val="20"/>
          <w:szCs w:val="20"/>
          <w:spacing w:val="4"/>
        </w:rPr>
        <w:t>7.7</w:t>
      </w:r>
      <w:r>
        <w:rPr>
          <w:rFonts w:ascii="Times New Roman" w:hAnsi="Times New Roman" w:eastAsia="Times New Roman" w:cs="Times New Roman"/>
          <w:sz w:val="20"/>
          <w:szCs w:val="20"/>
          <w:spacing w:val="19"/>
        </w:rPr>
        <w:t xml:space="preserve">  </w:t>
      </w:r>
      <w:r>
        <w:rPr>
          <w:rFonts w:ascii="KaiTi" w:hAnsi="KaiTi" w:eastAsia="KaiTi" w:cs="KaiTi"/>
          <w:sz w:val="20"/>
          <w:szCs w:val="20"/>
          <w:spacing w:val="4"/>
        </w:rPr>
        <w:t>宣教、培训和演练。</w:t>
      </w:r>
    </w:p>
    <w:p>
      <w:pPr>
        <w:spacing w:line="14" w:lineRule="auto"/>
        <w:rPr>
          <w:rFonts w:ascii="Arial"/>
          <w:sz w:val="2"/>
        </w:rPr>
      </w:pPr>
      <w:r>
        <w:rPr>
          <w:rFonts w:ascii="Arial" w:hAnsi="Arial" w:eastAsia="Arial" w:cs="Arial"/>
          <w:sz w:val="2"/>
          <w:szCs w:val="2"/>
        </w:rPr>
        <w:br w:type="column"/>
      </w:r>
    </w:p>
    <w:p>
      <w:pPr>
        <w:pStyle w:val="BodyText"/>
        <w:ind w:right="71" w:firstLine="425"/>
        <w:spacing w:before="40" w:line="360" w:lineRule="auto"/>
        <w:rPr/>
      </w:pPr>
      <w:r>
        <w:rPr>
          <w:rFonts w:ascii="Times New Roman" w:hAnsi="Times New Roman" w:eastAsia="Times New Roman" w:cs="Times New Roman"/>
          <w:spacing w:val="3"/>
        </w:rPr>
        <w:t>7.7.1 </w:t>
      </w:r>
      <w:r>
        <w:rPr>
          <w:spacing w:val="3"/>
        </w:rPr>
        <w:t>宣传教育。市发展和改革委员会、电</w:t>
      </w:r>
      <w:r>
        <w:rPr>
          <w:spacing w:val="7"/>
        </w:rPr>
        <w:t>力企业、重要电力用户等单位要充分利用各种</w:t>
      </w:r>
      <w:r>
        <w:rPr>
          <w:spacing w:val="7"/>
        </w:rPr>
        <w:t>媒体，加大对大面积停电事件应急知识的宣传</w:t>
      </w:r>
      <w:r>
        <w:rPr>
          <w:spacing w:val="7"/>
        </w:rPr>
        <w:t>教育工作，不断提高公众的应急意识和自救互</w:t>
      </w:r>
      <w:r>
        <w:rPr>
          <w:spacing w:val="7"/>
        </w:rPr>
        <w:t>救能力；加大保护电力设施和打击破坏电力设</w:t>
      </w:r>
      <w:r>
        <w:rPr>
          <w:spacing w:val="-2"/>
        </w:rPr>
        <w:t>施的宣传力度，增强公众保护电力设施的意识。</w:t>
      </w:r>
    </w:p>
    <w:p>
      <w:pPr>
        <w:pStyle w:val="BodyText"/>
        <w:ind w:right="94" w:firstLine="424"/>
        <w:spacing w:before="179" w:line="360" w:lineRule="auto"/>
        <w:rPr/>
      </w:pPr>
      <w:r>
        <w:rPr>
          <w:rFonts w:ascii="Times New Roman" w:hAnsi="Times New Roman" w:eastAsia="Times New Roman" w:cs="Times New Roman"/>
          <w:spacing w:val="3"/>
        </w:rPr>
        <w:t>7.7.2 </w:t>
      </w:r>
      <w:r>
        <w:rPr>
          <w:spacing w:val="3"/>
        </w:rPr>
        <w:t>培训。各应急指挥机构成员单位、电</w:t>
      </w:r>
      <w:r>
        <w:rPr>
          <w:spacing w:val="18"/>
        </w:rPr>
        <w:t>力企业和重要电力用户应定期组织大面积停</w:t>
      </w:r>
      <w:r>
        <w:rPr>
          <w:spacing w:val="7"/>
        </w:rPr>
        <w:t>电应急业务培训。电力企业和重要电力用户还</w:t>
      </w:r>
      <w:r>
        <w:rPr>
          <w:spacing w:val="7"/>
        </w:rPr>
        <w:t>应加强大面积停电应急处置和救援技能培训，</w:t>
      </w:r>
      <w:r>
        <w:rPr>
          <w:spacing w:val="7"/>
        </w:rPr>
        <w:t>开展技术交流和研讨，提高应急救援业务知识</w:t>
      </w:r>
      <w:r>
        <w:rPr>
          <w:spacing w:val="4"/>
        </w:rPr>
        <w:t>水平。</w:t>
      </w:r>
    </w:p>
    <w:p>
      <w:pPr>
        <w:pStyle w:val="BodyText"/>
        <w:ind w:right="36" w:firstLine="424"/>
        <w:spacing w:before="179" w:line="364" w:lineRule="auto"/>
        <w:rPr/>
      </w:pPr>
      <w:r>
        <w:rPr>
          <w:rFonts w:ascii="Times New Roman" w:hAnsi="Times New Roman" w:eastAsia="Times New Roman" w:cs="Times New Roman"/>
          <w:spacing w:val="3"/>
        </w:rPr>
        <w:t>7.7.3 </w:t>
      </w:r>
      <w:r>
        <w:rPr>
          <w:spacing w:val="3"/>
        </w:rPr>
        <w:t>演练。市应急指挥机构应根据实际情</w:t>
      </w:r>
      <w:r>
        <w:rPr>
          <w:spacing w:val="5"/>
        </w:rPr>
        <w:t>况，至少每年组织开展</w:t>
      </w:r>
      <w:r>
        <w:rPr>
          <w:spacing w:val="-10"/>
        </w:rPr>
        <w:t xml:space="preserve"> </w:t>
      </w:r>
      <w:r>
        <w:rPr>
          <w:rFonts w:ascii="Times New Roman" w:hAnsi="Times New Roman" w:eastAsia="Times New Roman" w:cs="Times New Roman"/>
          <w:spacing w:val="5"/>
        </w:rPr>
        <w:t>1 </w:t>
      </w:r>
      <w:r>
        <w:rPr>
          <w:spacing w:val="5"/>
        </w:rPr>
        <w:t>次大面积停电事件应</w:t>
      </w:r>
      <w:r>
        <w:rPr>
          <w:spacing w:val="7"/>
        </w:rPr>
        <w:t>急联合演练，建立完善政府有关应急联动部门</w:t>
      </w:r>
      <w:r>
        <w:rPr>
          <w:spacing w:val="7"/>
        </w:rPr>
        <w:t>单位、电力企业、重要电力用户以及社会公众</w:t>
      </w:r>
      <w:r>
        <w:rPr>
          <w:spacing w:val="15"/>
        </w:rPr>
        <w:t>之间的应急协同联动机制</w:t>
      </w:r>
      <w:r>
        <w:rPr>
          <w:spacing w:val="-40"/>
        </w:rPr>
        <w:t xml:space="preserve"> </w:t>
      </w:r>
      <w:r>
        <w:rPr>
          <w:spacing w:val="15"/>
        </w:rPr>
        <w:t>，提高应急处置能</w:t>
      </w:r>
      <w:r>
        <w:rPr/>
        <w:t>力。电力企业、重要电力用户应根据生产实际，</w:t>
      </w:r>
      <w:r>
        <w:rPr>
          <w:spacing w:val="9"/>
        </w:rPr>
        <w:t>至少每年组织开展一次本单位的应急演练。</w:t>
      </w:r>
    </w:p>
    <w:p>
      <w:pPr>
        <w:ind w:left="424"/>
        <w:spacing w:before="169"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8    附则</w:t>
      </w:r>
    </w:p>
    <w:p>
      <w:pPr>
        <w:pStyle w:val="BodyText"/>
        <w:ind w:left="1" w:right="81" w:firstLine="428"/>
        <w:spacing w:before="120" w:line="382" w:lineRule="auto"/>
        <w:jc w:val="both"/>
        <w:rPr/>
      </w:pPr>
      <w:r>
        <w:rPr>
          <w:rFonts w:ascii="Times New Roman" w:hAnsi="Times New Roman" w:eastAsia="Times New Roman" w:cs="Times New Roman"/>
          <w:spacing w:val="6"/>
        </w:rPr>
        <w:t>8.</w:t>
      </w:r>
      <w:r>
        <w:rPr>
          <w:rFonts w:ascii="Times New Roman" w:hAnsi="Times New Roman" w:eastAsia="Times New Roman" w:cs="Times New Roman"/>
          <w:spacing w:val="-11"/>
        </w:rPr>
        <w:t xml:space="preserve"> </w:t>
      </w:r>
      <w:r>
        <w:rPr>
          <w:rFonts w:ascii="Times New Roman" w:hAnsi="Times New Roman" w:eastAsia="Times New Roman" w:cs="Times New Roman"/>
          <w:spacing w:val="6"/>
        </w:rPr>
        <w:t>1  </w:t>
      </w:r>
      <w:r>
        <w:rPr>
          <w:rFonts w:ascii="KaiTi" w:hAnsi="KaiTi" w:eastAsia="KaiTi" w:cs="KaiTi"/>
          <w:spacing w:val="6"/>
        </w:rPr>
        <w:t>预案管理。</w:t>
      </w:r>
      <w:r>
        <w:rPr>
          <w:spacing w:val="6"/>
        </w:rPr>
        <w:t>本预案发布后，市发展和</w:t>
      </w:r>
      <w:r>
        <w:rPr>
          <w:spacing w:val="7"/>
        </w:rPr>
        <w:t>改革委员会适时组织评估和修订。市应急联动</w:t>
      </w:r>
      <w:r>
        <w:rPr>
          <w:spacing w:val="7"/>
        </w:rPr>
        <w:t>机制成员单位、电力企业要结合实际制定（或</w:t>
      </w:r>
      <w:r>
        <w:rPr>
          <w:spacing w:val="18"/>
        </w:rPr>
        <w:t>修订）大面积停电事件应急处置预案（或支</w:t>
      </w:r>
      <w:r>
        <w:rPr>
          <w:spacing w:val="9"/>
        </w:rPr>
        <w:t>撑</w:t>
      </w:r>
      <w:r>
        <w:rPr>
          <w:spacing w:val="-9"/>
        </w:rPr>
        <w:t>），</w:t>
      </w:r>
      <w:r>
        <w:rPr>
          <w:spacing w:val="9"/>
        </w:rPr>
        <w:t>各重要电力用户应制定突发停电事件应</w:t>
      </w:r>
      <w:r>
        <w:rPr>
          <w:spacing w:val="8"/>
        </w:rPr>
        <w:t>急预案，并报固原市应急管理部门进行备案。</w:t>
      </w:r>
    </w:p>
    <w:p>
      <w:pPr>
        <w:spacing w:line="386" w:lineRule="auto"/>
        <w:rPr>
          <w:rFonts w:ascii="Arial"/>
          <w:sz w:val="21"/>
        </w:rPr>
      </w:pPr>
      <w:r/>
    </w:p>
    <w:p>
      <w:pPr>
        <w:pStyle w:val="BodyText"/>
        <w:ind w:left="434"/>
        <w:spacing w:before="66" w:line="277" w:lineRule="exact"/>
        <w:rPr/>
      </w:pPr>
      <w:r>
        <w:rPr>
          <w:spacing w:val="1"/>
          <w:position w:val="1"/>
        </w:rPr>
        <w:t>附件：</w:t>
      </w:r>
      <w:r>
        <w:rPr>
          <w:rFonts w:ascii="Times New Roman" w:hAnsi="Times New Roman" w:eastAsia="Times New Roman" w:cs="Times New Roman"/>
          <w:spacing w:val="1"/>
          <w:position w:val="1"/>
        </w:rPr>
        <w:t>1.</w:t>
      </w:r>
      <w:r>
        <w:rPr>
          <w:rFonts w:ascii="Times New Roman" w:hAnsi="Times New Roman" w:eastAsia="Times New Roman" w:cs="Times New Roman"/>
          <w:spacing w:val="21"/>
          <w:position w:val="1"/>
        </w:rPr>
        <w:t xml:space="preserve">  </w:t>
      </w:r>
      <w:r>
        <w:rPr>
          <w:spacing w:val="1"/>
          <w:position w:val="1"/>
        </w:rPr>
        <w:t>固原市大面积停电事件分级标准</w:t>
      </w:r>
    </w:p>
    <w:p>
      <w:pPr>
        <w:pStyle w:val="BodyText"/>
        <w:ind w:left="1248" w:right="305" w:hanging="291"/>
        <w:spacing w:before="147" w:line="390" w:lineRule="auto"/>
        <w:rPr/>
      </w:pPr>
      <w:r>
        <w:rPr>
          <w:rFonts w:ascii="Times New Roman" w:hAnsi="Times New Roman" w:eastAsia="Times New Roman" w:cs="Times New Roman"/>
          <w:spacing w:val="8"/>
        </w:rPr>
        <w:t>2.  </w:t>
      </w:r>
      <w:r>
        <w:rPr>
          <w:spacing w:val="8"/>
        </w:rPr>
        <w:t>固原市处置大面积停电事件应</w:t>
      </w:r>
      <w:r>
        <w:rPr>
          <w:spacing w:val="9"/>
        </w:rPr>
        <w:t>急处置领导小组组成及职责</w:t>
      </w:r>
    </w:p>
    <w:p>
      <w:pPr>
        <w:spacing w:line="390" w:lineRule="auto"/>
        <w:sectPr>
          <w:type w:val="continuous"/>
          <w:pgSz w:w="11906" w:h="16839"/>
          <w:pgMar w:top="1772" w:right="1489" w:bottom="1562" w:left="1567" w:header="1428" w:footer="1172" w:gutter="0"/>
          <w:cols w:equalWidth="0" w:num="2">
            <w:col w:w="4502" w:space="100"/>
            <w:col w:w="4249" w:space="0"/>
          </w:cols>
        </w:sectPr>
        <w:rPr/>
      </w:pPr>
    </w:p>
    <w:p>
      <w:pPr>
        <w:spacing w:line="245" w:lineRule="auto"/>
        <w:rPr>
          <w:rFonts w:ascii="Arial"/>
          <w:sz w:val="21"/>
        </w:rPr>
      </w:pPr>
      <w:r/>
    </w:p>
    <w:p>
      <w:pPr>
        <w:spacing w:line="246" w:lineRule="auto"/>
        <w:rPr>
          <w:rFonts w:ascii="Arial"/>
          <w:sz w:val="21"/>
        </w:rPr>
      </w:pPr>
      <w:r/>
    </w:p>
    <w:p>
      <w:pPr>
        <w:ind w:left="30"/>
        <w:spacing w:before="86" w:line="21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附件</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2"/>
        </w:rPr>
        <w:t>1</w:t>
      </w:r>
    </w:p>
    <w:p>
      <w:pPr>
        <w:spacing w:line="257" w:lineRule="auto"/>
        <w:rPr>
          <w:rFonts w:ascii="Arial"/>
          <w:sz w:val="21"/>
        </w:rPr>
      </w:pPr>
      <w:r/>
    </w:p>
    <w:p>
      <w:pPr>
        <w:ind w:left="1322"/>
        <w:spacing w:before="185" w:line="183"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7"/>
        </w:rPr>
        <w:t>固原市大面积停电事件分级标准</w:t>
      </w:r>
    </w:p>
    <w:p>
      <w:pPr>
        <w:spacing w:before="142"/>
        <w:rPr/>
      </w:pPr>
      <w:r/>
    </w:p>
    <w:p>
      <w:pPr>
        <w:sectPr>
          <w:headerReference w:type="default" r:id="rId819"/>
          <w:footerReference w:type="default" r:id="rId917"/>
          <w:pgSz w:w="11906" w:h="16839"/>
          <w:pgMar w:top="1766" w:right="1523" w:bottom="1575" w:left="1579" w:header="1428" w:footer="1172" w:gutter="0"/>
          <w:cols w:equalWidth="0" w:num="1">
            <w:col w:w="8803" w:space="0"/>
          </w:cols>
        </w:sectPr>
        <w:rPr/>
      </w:pPr>
    </w:p>
    <w:p>
      <w:pPr>
        <w:pStyle w:val="BodyText"/>
        <w:ind w:left="12" w:right="330" w:firstLine="422"/>
        <w:spacing w:before="47" w:line="378" w:lineRule="auto"/>
        <w:rPr/>
      </w:pPr>
      <w:r>
        <w:rPr>
          <w:spacing w:val="6"/>
        </w:rPr>
        <w:t>根据《国家大面积停电事件分级标准》制</w:t>
      </w:r>
      <w:r>
        <w:rPr>
          <w:spacing w:val="8"/>
        </w:rPr>
        <w:t>定《固原市大面积停电事件分级标准》。</w:t>
      </w:r>
    </w:p>
    <w:p>
      <w:pPr>
        <w:ind w:left="32" w:right="330" w:firstLine="407"/>
        <w:spacing w:before="2" w:line="377" w:lineRule="auto"/>
        <w:rPr>
          <w:rFonts w:ascii="KaiTi" w:hAnsi="KaiTi" w:eastAsia="KaiTi" w:cs="KaiTi"/>
          <w:sz w:val="20"/>
          <w:szCs w:val="20"/>
        </w:rPr>
      </w:pPr>
      <w:r>
        <w:rPr>
          <w:rFonts w:ascii="KaiTi" w:hAnsi="KaiTi" w:eastAsia="KaiTi" w:cs="KaiTi"/>
          <w:sz w:val="20"/>
          <w:szCs w:val="20"/>
          <w:spacing w:val="6"/>
        </w:rPr>
        <w:t>一、符合下列情形之一的，为特别重大大</w:t>
      </w:r>
      <w:r>
        <w:rPr>
          <w:rFonts w:ascii="KaiTi" w:hAnsi="KaiTi" w:eastAsia="KaiTi" w:cs="KaiTi"/>
          <w:sz w:val="20"/>
          <w:szCs w:val="20"/>
          <w:spacing w:val="4"/>
        </w:rPr>
        <w:t>面积停电事件；</w:t>
      </w:r>
    </w:p>
    <w:p>
      <w:pPr>
        <w:pStyle w:val="BodyText"/>
        <w:ind w:left="19" w:right="330" w:firstLine="414"/>
        <w:spacing w:before="5" w:line="377" w:lineRule="auto"/>
        <w:rPr/>
      </w:pPr>
      <w:r>
        <w:rPr>
          <w:spacing w:val="6"/>
        </w:rPr>
        <w:t>造成自治区电网大面积停电，减供负荷达</w:t>
      </w:r>
      <w:r>
        <w:rPr>
          <w:spacing w:val="7"/>
        </w:rPr>
        <w:t>到</w:t>
      </w:r>
      <w:r>
        <w:rPr>
          <w:spacing w:val="-28"/>
        </w:rPr>
        <w:t xml:space="preserve"> </w:t>
      </w:r>
      <w:r>
        <w:rPr>
          <w:rFonts w:ascii="Times New Roman" w:hAnsi="Times New Roman" w:eastAsia="Times New Roman" w:cs="Times New Roman"/>
          <w:spacing w:val="7"/>
        </w:rPr>
        <w:t>40%</w:t>
      </w:r>
      <w:r>
        <w:rPr>
          <w:spacing w:val="7"/>
        </w:rPr>
        <w:t>以上，停电范围包括固原电网的。</w:t>
      </w:r>
    </w:p>
    <w:p>
      <w:pPr>
        <w:ind w:left="14" w:right="330" w:firstLine="425"/>
        <w:spacing w:before="1" w:line="377" w:lineRule="auto"/>
        <w:rPr>
          <w:rFonts w:ascii="KaiTi" w:hAnsi="KaiTi" w:eastAsia="KaiTi" w:cs="KaiTi"/>
          <w:sz w:val="20"/>
          <w:szCs w:val="20"/>
        </w:rPr>
      </w:pPr>
      <w:r>
        <w:rPr>
          <w:rFonts w:ascii="KaiTi" w:hAnsi="KaiTi" w:eastAsia="KaiTi" w:cs="KaiTi"/>
          <w:sz w:val="20"/>
          <w:szCs w:val="20"/>
          <w:spacing w:val="6"/>
        </w:rPr>
        <w:t>二、符合下列情形之一的，为重大大面积</w:t>
      </w:r>
      <w:r>
        <w:rPr>
          <w:rFonts w:ascii="KaiTi" w:hAnsi="KaiTi" w:eastAsia="KaiTi" w:cs="KaiTi"/>
          <w:sz w:val="20"/>
          <w:szCs w:val="20"/>
          <w:spacing w:val="6"/>
        </w:rPr>
        <w:t>停电事件；</w:t>
      </w:r>
    </w:p>
    <w:p>
      <w:pPr>
        <w:pStyle w:val="BodyText"/>
        <w:ind w:left="33" w:right="321" w:firstLine="420"/>
        <w:spacing w:before="7" w:line="302" w:lineRule="auto"/>
        <w:rPr/>
      </w:pPr>
      <w:r>
        <w:rPr>
          <w:rFonts w:ascii="Times New Roman" w:hAnsi="Times New Roman" w:eastAsia="Times New Roman" w:cs="Times New Roman"/>
          <w:spacing w:val="2"/>
        </w:rPr>
        <w:t>1.  </w:t>
      </w:r>
      <w:r>
        <w:rPr>
          <w:spacing w:val="2"/>
        </w:rPr>
        <w:t>造成自治区电网大面积停电，减供负荷</w:t>
      </w:r>
      <w:r>
        <w:rPr>
          <w:rFonts w:ascii="Times New Roman" w:hAnsi="Times New Roman" w:eastAsia="Times New Roman" w:cs="Times New Roman"/>
          <w:spacing w:val="-2"/>
        </w:rPr>
        <w:t>16%</w:t>
      </w:r>
      <w:r>
        <w:rPr>
          <w:spacing w:val="-2"/>
        </w:rPr>
        <w:t>以上</w:t>
      </w:r>
      <w:r>
        <w:rPr>
          <w:spacing w:val="-54"/>
        </w:rPr>
        <w:t xml:space="preserve"> </w:t>
      </w:r>
      <w:r>
        <w:rPr>
          <w:rFonts w:ascii="Times New Roman" w:hAnsi="Times New Roman" w:eastAsia="Times New Roman" w:cs="Times New Roman"/>
          <w:spacing w:val="-2"/>
        </w:rPr>
        <w:t>40%</w:t>
      </w:r>
      <w:r>
        <w:rPr>
          <w:spacing w:val="-2"/>
        </w:rPr>
        <w:t>以下，停电范围包括固原电网的；</w:t>
      </w:r>
    </w:p>
    <w:p>
      <w:pPr>
        <w:pStyle w:val="BodyText"/>
        <w:ind w:left="18" w:right="330" w:firstLine="415"/>
        <w:spacing w:before="165" w:line="300" w:lineRule="auto"/>
        <w:rPr/>
      </w:pPr>
      <w:r>
        <w:rPr>
          <w:rFonts w:ascii="Times New Roman" w:hAnsi="Times New Roman" w:eastAsia="Times New Roman" w:cs="Times New Roman"/>
          <w:spacing w:val="11"/>
        </w:rPr>
        <w:t>2.  </w:t>
      </w:r>
      <w:r>
        <w:rPr>
          <w:spacing w:val="11"/>
        </w:rPr>
        <w:t>造成固原电网大面积停电</w:t>
      </w:r>
      <w:r>
        <w:rPr>
          <w:spacing w:val="-46"/>
        </w:rPr>
        <w:t xml:space="preserve"> </w:t>
      </w:r>
      <w:r>
        <w:rPr>
          <w:spacing w:val="11"/>
        </w:rPr>
        <w:t>，减供负荷</w:t>
      </w:r>
      <w:r>
        <w:rPr>
          <w:rFonts w:ascii="Times New Roman" w:hAnsi="Times New Roman" w:eastAsia="Times New Roman" w:cs="Times New Roman"/>
          <w:spacing w:val="7"/>
        </w:rPr>
        <w:t>60%</w:t>
      </w:r>
      <w:r>
        <w:rPr>
          <w:spacing w:val="7"/>
        </w:rPr>
        <w:t>以上，或</w:t>
      </w:r>
      <w:r>
        <w:rPr>
          <w:spacing w:val="-38"/>
        </w:rPr>
        <w:t xml:space="preserve"> </w:t>
      </w:r>
      <w:r>
        <w:rPr>
          <w:rFonts w:ascii="Times New Roman" w:hAnsi="Times New Roman" w:eastAsia="Times New Roman" w:cs="Times New Roman"/>
          <w:spacing w:val="7"/>
        </w:rPr>
        <w:t>70%</w:t>
      </w:r>
      <w:r>
        <w:rPr>
          <w:spacing w:val="7"/>
        </w:rPr>
        <w:t>以上供电用户停电。</w:t>
      </w:r>
    </w:p>
    <w:p>
      <w:pPr>
        <w:ind w:left="14" w:right="330" w:firstLine="427"/>
        <w:spacing w:before="166" w:line="377" w:lineRule="auto"/>
        <w:rPr>
          <w:rFonts w:ascii="KaiTi" w:hAnsi="KaiTi" w:eastAsia="KaiTi" w:cs="KaiTi"/>
          <w:sz w:val="20"/>
          <w:szCs w:val="20"/>
        </w:rPr>
      </w:pPr>
      <w:r>
        <w:rPr>
          <w:rFonts w:ascii="KaiTi" w:hAnsi="KaiTi" w:eastAsia="KaiTi" w:cs="KaiTi"/>
          <w:sz w:val="20"/>
          <w:szCs w:val="20"/>
          <w:spacing w:val="6"/>
        </w:rPr>
        <w:t>三、符合下列情形之一的，为较大大面积</w:t>
      </w:r>
      <w:r>
        <w:rPr>
          <w:rFonts w:ascii="KaiTi" w:hAnsi="KaiTi" w:eastAsia="KaiTi" w:cs="KaiTi"/>
          <w:sz w:val="20"/>
          <w:szCs w:val="20"/>
          <w:spacing w:val="6"/>
        </w:rPr>
        <w:t>停电事件；</w:t>
      </w:r>
    </w:p>
    <w:p>
      <w:pPr>
        <w:spacing w:line="30" w:lineRule="exact"/>
        <w:rPr/>
      </w:pPr>
      <w:r/>
    </w:p>
    <w:p>
      <w:pPr>
        <w:spacing w:line="14" w:lineRule="auto"/>
        <w:rPr>
          <w:rFonts w:ascii="Arial"/>
          <w:sz w:val="2"/>
        </w:rPr>
      </w:pPr>
      <w:r>
        <w:rPr>
          <w:rFonts w:ascii="Arial" w:hAnsi="Arial" w:eastAsia="Arial" w:cs="Arial"/>
          <w:sz w:val="2"/>
          <w:szCs w:val="2"/>
        </w:rPr>
        <w:br w:type="column"/>
      </w:r>
    </w:p>
    <w:p>
      <w:pPr>
        <w:pStyle w:val="BodyText"/>
        <w:ind w:left="20" w:right="66" w:firstLine="420"/>
        <w:spacing w:before="50" w:line="302" w:lineRule="auto"/>
        <w:rPr/>
      </w:pPr>
      <w:r>
        <w:rPr>
          <w:rFonts w:ascii="Times New Roman" w:hAnsi="Times New Roman" w:eastAsia="Times New Roman" w:cs="Times New Roman"/>
          <w:spacing w:val="2"/>
        </w:rPr>
        <w:t>1.  </w:t>
      </w:r>
      <w:r>
        <w:rPr>
          <w:spacing w:val="2"/>
        </w:rPr>
        <w:t>造成自治区电网大面积停电，减供负荷</w:t>
      </w:r>
      <w:r>
        <w:rPr>
          <w:rFonts w:ascii="Times New Roman" w:hAnsi="Times New Roman" w:eastAsia="Times New Roman" w:cs="Times New Roman"/>
          <w:spacing w:val="-4"/>
        </w:rPr>
        <w:t>12%</w:t>
      </w:r>
      <w:r>
        <w:rPr>
          <w:spacing w:val="-4"/>
        </w:rPr>
        <w:t>以上</w:t>
      </w:r>
      <w:r>
        <w:rPr>
          <w:spacing w:val="-29"/>
        </w:rPr>
        <w:t xml:space="preserve"> </w:t>
      </w:r>
      <w:r>
        <w:rPr>
          <w:rFonts w:ascii="Times New Roman" w:hAnsi="Times New Roman" w:eastAsia="Times New Roman" w:cs="Times New Roman"/>
          <w:spacing w:val="-4"/>
        </w:rPr>
        <w:t>16%</w:t>
      </w:r>
      <w:r>
        <w:rPr>
          <w:spacing w:val="-4"/>
        </w:rPr>
        <w:t>以下，停电范围包括固原电网的；</w:t>
      </w:r>
    </w:p>
    <w:p>
      <w:pPr>
        <w:pStyle w:val="BodyText"/>
        <w:ind w:right="62" w:firstLine="421"/>
        <w:spacing w:before="166" w:line="325" w:lineRule="auto"/>
        <w:rPr/>
      </w:pPr>
      <w:r>
        <w:rPr>
          <w:rFonts w:ascii="Times New Roman" w:hAnsi="Times New Roman" w:eastAsia="Times New Roman" w:cs="Times New Roman"/>
          <w:spacing w:val="3"/>
        </w:rPr>
        <w:t>2.  </w:t>
      </w:r>
      <w:r>
        <w:rPr>
          <w:spacing w:val="3"/>
        </w:rPr>
        <w:t>造成固原电网大面积停电，造成减供负</w:t>
      </w:r>
      <w:r>
        <w:rPr>
          <w:spacing w:val="7"/>
        </w:rPr>
        <w:t>荷</w:t>
      </w:r>
      <w:r>
        <w:rPr>
          <w:spacing w:val="-37"/>
        </w:rPr>
        <w:t xml:space="preserve"> </w:t>
      </w:r>
      <w:r>
        <w:rPr>
          <w:rFonts w:ascii="Times New Roman" w:hAnsi="Times New Roman" w:eastAsia="Times New Roman" w:cs="Times New Roman"/>
          <w:spacing w:val="7"/>
        </w:rPr>
        <w:t>40%</w:t>
      </w:r>
      <w:r>
        <w:rPr>
          <w:spacing w:val="7"/>
        </w:rPr>
        <w:t>以上</w:t>
      </w:r>
      <w:r>
        <w:rPr>
          <w:spacing w:val="-29"/>
        </w:rPr>
        <w:t xml:space="preserve"> </w:t>
      </w:r>
      <w:r>
        <w:rPr>
          <w:rFonts w:ascii="Times New Roman" w:hAnsi="Times New Roman" w:eastAsia="Times New Roman" w:cs="Times New Roman"/>
          <w:spacing w:val="7"/>
        </w:rPr>
        <w:t>60%</w:t>
      </w:r>
      <w:r>
        <w:rPr>
          <w:spacing w:val="7"/>
        </w:rPr>
        <w:t>以下</w:t>
      </w:r>
      <w:r>
        <w:rPr>
          <w:spacing w:val="-54"/>
        </w:rPr>
        <w:t xml:space="preserve"> </w:t>
      </w:r>
      <w:r>
        <w:rPr>
          <w:spacing w:val="7"/>
        </w:rPr>
        <w:t>，或</w:t>
      </w:r>
      <w:r>
        <w:rPr>
          <w:spacing w:val="-28"/>
        </w:rPr>
        <w:t xml:space="preserve"> </w:t>
      </w:r>
      <w:r>
        <w:rPr>
          <w:rFonts w:ascii="Times New Roman" w:hAnsi="Times New Roman" w:eastAsia="Times New Roman" w:cs="Times New Roman"/>
          <w:spacing w:val="7"/>
        </w:rPr>
        <w:t>50%</w:t>
      </w:r>
      <w:r>
        <w:rPr>
          <w:spacing w:val="7"/>
        </w:rPr>
        <w:t>以上</w:t>
      </w:r>
      <w:r>
        <w:rPr>
          <w:spacing w:val="-30"/>
        </w:rPr>
        <w:t xml:space="preserve"> </w:t>
      </w:r>
      <w:r>
        <w:rPr>
          <w:rFonts w:ascii="Times New Roman" w:hAnsi="Times New Roman" w:eastAsia="Times New Roman" w:cs="Times New Roman"/>
          <w:spacing w:val="7"/>
        </w:rPr>
        <w:t>70%</w:t>
      </w:r>
      <w:r>
        <w:rPr>
          <w:spacing w:val="7"/>
        </w:rPr>
        <w:t>以下</w:t>
      </w:r>
      <w:r>
        <w:rPr>
          <w:spacing w:val="7"/>
        </w:rPr>
        <w:t>供电用户停电。</w:t>
      </w:r>
    </w:p>
    <w:p>
      <w:pPr>
        <w:ind w:left="1" w:right="66" w:firstLine="430"/>
        <w:spacing w:before="169" w:line="377" w:lineRule="auto"/>
        <w:rPr>
          <w:rFonts w:ascii="KaiTi" w:hAnsi="KaiTi" w:eastAsia="KaiTi" w:cs="KaiTi"/>
          <w:sz w:val="20"/>
          <w:szCs w:val="20"/>
        </w:rPr>
      </w:pPr>
      <w:r>
        <w:rPr>
          <w:rFonts w:ascii="KaiTi" w:hAnsi="KaiTi" w:eastAsia="KaiTi" w:cs="KaiTi"/>
          <w:sz w:val="20"/>
          <w:szCs w:val="20"/>
          <w:spacing w:val="6"/>
        </w:rPr>
        <w:t>四、符合下列情形之一的，为一般大面积</w:t>
      </w:r>
      <w:r>
        <w:rPr>
          <w:rFonts w:ascii="KaiTi" w:hAnsi="KaiTi" w:eastAsia="KaiTi" w:cs="KaiTi"/>
          <w:sz w:val="20"/>
          <w:szCs w:val="20"/>
          <w:spacing w:val="6"/>
        </w:rPr>
        <w:t>停电事件；</w:t>
      </w:r>
    </w:p>
    <w:p>
      <w:pPr>
        <w:pStyle w:val="BodyText"/>
        <w:ind w:left="5" w:firstLine="435"/>
        <w:spacing w:before="7" w:line="302" w:lineRule="auto"/>
        <w:rPr/>
      </w:pPr>
      <w:r>
        <w:rPr>
          <w:rFonts w:ascii="Times New Roman" w:hAnsi="Times New Roman" w:eastAsia="Times New Roman" w:cs="Times New Roman"/>
          <w:spacing w:val="2"/>
        </w:rPr>
        <w:t>1.  </w:t>
      </w:r>
      <w:r>
        <w:rPr>
          <w:spacing w:val="2"/>
        </w:rPr>
        <w:t>造成自治区电网大面积停电，减供负荷</w:t>
      </w:r>
      <w:r>
        <w:rPr>
          <w:rFonts w:ascii="Times New Roman" w:hAnsi="Times New Roman" w:eastAsia="Times New Roman" w:cs="Times New Roman"/>
          <w:spacing w:val="4"/>
        </w:rPr>
        <w:t>6%</w:t>
      </w:r>
      <w:r>
        <w:rPr>
          <w:spacing w:val="4"/>
        </w:rPr>
        <w:t>以上</w:t>
      </w:r>
      <w:r>
        <w:rPr>
          <w:spacing w:val="-15"/>
        </w:rPr>
        <w:t xml:space="preserve"> </w:t>
      </w:r>
      <w:r>
        <w:rPr>
          <w:rFonts w:ascii="Times New Roman" w:hAnsi="Times New Roman" w:eastAsia="Times New Roman" w:cs="Times New Roman"/>
          <w:spacing w:val="4"/>
        </w:rPr>
        <w:t>12%</w:t>
      </w:r>
      <w:r>
        <w:rPr>
          <w:spacing w:val="4"/>
        </w:rPr>
        <w:t>以下，停电范围包括固原电网的；</w:t>
      </w:r>
    </w:p>
    <w:p>
      <w:pPr>
        <w:pStyle w:val="BodyText"/>
        <w:ind w:right="62" w:firstLine="421"/>
        <w:spacing w:before="167" w:line="325" w:lineRule="auto"/>
        <w:rPr/>
      </w:pPr>
      <w:r>
        <w:rPr>
          <w:rFonts w:ascii="Times New Roman" w:hAnsi="Times New Roman" w:eastAsia="Times New Roman" w:cs="Times New Roman"/>
          <w:spacing w:val="3"/>
        </w:rPr>
        <w:t>2.  </w:t>
      </w:r>
      <w:r>
        <w:rPr>
          <w:spacing w:val="3"/>
        </w:rPr>
        <w:t>造成固原电网大面积停电，造成减供负</w:t>
      </w:r>
      <w:r>
        <w:rPr>
          <w:spacing w:val="7"/>
        </w:rPr>
        <w:t>荷</w:t>
      </w:r>
      <w:r>
        <w:rPr>
          <w:spacing w:val="-32"/>
        </w:rPr>
        <w:t xml:space="preserve"> </w:t>
      </w:r>
      <w:r>
        <w:rPr>
          <w:rFonts w:ascii="Times New Roman" w:hAnsi="Times New Roman" w:eastAsia="Times New Roman" w:cs="Times New Roman"/>
          <w:spacing w:val="7"/>
        </w:rPr>
        <w:t>20%</w:t>
      </w:r>
      <w:r>
        <w:rPr>
          <w:spacing w:val="7"/>
        </w:rPr>
        <w:t>以上</w:t>
      </w:r>
      <w:r>
        <w:rPr>
          <w:spacing w:val="-35"/>
        </w:rPr>
        <w:t xml:space="preserve"> </w:t>
      </w:r>
      <w:r>
        <w:rPr>
          <w:rFonts w:ascii="Times New Roman" w:hAnsi="Times New Roman" w:eastAsia="Times New Roman" w:cs="Times New Roman"/>
          <w:spacing w:val="7"/>
        </w:rPr>
        <w:t>40%</w:t>
      </w:r>
      <w:r>
        <w:rPr>
          <w:spacing w:val="7"/>
        </w:rPr>
        <w:t>以下</w:t>
      </w:r>
      <w:r>
        <w:rPr>
          <w:spacing w:val="-54"/>
        </w:rPr>
        <w:t xml:space="preserve"> </w:t>
      </w:r>
      <w:r>
        <w:rPr>
          <w:spacing w:val="7"/>
        </w:rPr>
        <w:t>，或</w:t>
      </w:r>
      <w:r>
        <w:rPr>
          <w:spacing w:val="-29"/>
        </w:rPr>
        <w:t xml:space="preserve"> </w:t>
      </w:r>
      <w:r>
        <w:rPr>
          <w:rFonts w:ascii="Times New Roman" w:hAnsi="Times New Roman" w:eastAsia="Times New Roman" w:cs="Times New Roman"/>
          <w:spacing w:val="7"/>
        </w:rPr>
        <w:t>30%</w:t>
      </w:r>
      <w:r>
        <w:rPr>
          <w:spacing w:val="7"/>
        </w:rPr>
        <w:t>以上</w:t>
      </w:r>
      <w:r>
        <w:rPr>
          <w:spacing w:val="-28"/>
        </w:rPr>
        <w:t xml:space="preserve"> </w:t>
      </w:r>
      <w:r>
        <w:rPr>
          <w:rFonts w:ascii="Times New Roman" w:hAnsi="Times New Roman" w:eastAsia="Times New Roman" w:cs="Times New Roman"/>
          <w:spacing w:val="7"/>
        </w:rPr>
        <w:t>50%</w:t>
      </w:r>
      <w:r>
        <w:rPr>
          <w:spacing w:val="7"/>
        </w:rPr>
        <w:t>以下</w:t>
      </w:r>
      <w:r>
        <w:rPr>
          <w:spacing w:val="7"/>
        </w:rPr>
        <w:t>供电用户停电。</w:t>
      </w:r>
    </w:p>
    <w:p>
      <w:pPr>
        <w:pStyle w:val="BodyText"/>
        <w:ind w:right="21" w:firstLine="420"/>
        <w:spacing w:before="175" w:line="380" w:lineRule="auto"/>
        <w:rPr/>
      </w:pPr>
      <w:r>
        <w:rPr>
          <w:spacing w:val="8"/>
        </w:rPr>
        <w:t>上述分级标准有关数量的表述中，</w:t>
      </w:r>
      <w:r>
        <w:rPr>
          <w:rFonts w:ascii="Times New Roman" w:hAnsi="Times New Roman" w:eastAsia="Times New Roman" w:cs="Times New Roman"/>
          <w:spacing w:val="8"/>
        </w:rPr>
        <w:t>“</w:t>
      </w:r>
      <w:r>
        <w:rPr>
          <w:rFonts w:ascii="Times New Roman" w:hAnsi="Times New Roman" w:eastAsia="Times New Roman" w:cs="Times New Roman"/>
          <w:spacing w:val="-10"/>
        </w:rPr>
        <w:t xml:space="preserve"> </w:t>
      </w:r>
      <w:r>
        <w:rPr>
          <w:spacing w:val="8"/>
        </w:rPr>
        <w:t>以上</w:t>
      </w:r>
      <w:r>
        <w:rPr>
          <w:rFonts w:ascii="Times New Roman" w:hAnsi="Times New Roman" w:eastAsia="Times New Roman" w:cs="Times New Roman"/>
          <w:spacing w:val="8"/>
        </w:rPr>
        <w:t>”</w:t>
      </w:r>
      <w:r>
        <w:rPr>
          <w:spacing w:val="6"/>
        </w:rPr>
        <w:t>含本数，</w:t>
      </w:r>
      <w:r>
        <w:rPr>
          <w:rFonts w:ascii="Times New Roman" w:hAnsi="Times New Roman" w:eastAsia="Times New Roman" w:cs="Times New Roman"/>
          <w:spacing w:val="6"/>
        </w:rPr>
        <w:t>“</w:t>
      </w:r>
      <w:r>
        <w:rPr>
          <w:rFonts w:ascii="Times New Roman" w:hAnsi="Times New Roman" w:eastAsia="Times New Roman" w:cs="Times New Roman"/>
          <w:spacing w:val="-29"/>
        </w:rPr>
        <w:t xml:space="preserve"> </w:t>
      </w:r>
      <w:r>
        <w:rPr>
          <w:spacing w:val="6"/>
        </w:rPr>
        <w:t>以下</w:t>
      </w:r>
      <w:r>
        <w:rPr>
          <w:rFonts w:ascii="Times New Roman" w:hAnsi="Times New Roman" w:eastAsia="Times New Roman" w:cs="Times New Roman"/>
          <w:spacing w:val="6"/>
        </w:rPr>
        <w:t>”</w:t>
      </w:r>
      <w:r>
        <w:rPr>
          <w:spacing w:val="6"/>
        </w:rPr>
        <w:t>不含本数。</w:t>
      </w:r>
    </w:p>
    <w:p>
      <w:pPr>
        <w:spacing w:line="380" w:lineRule="auto"/>
        <w:sectPr>
          <w:type w:val="continuous"/>
          <w:pgSz w:w="11906" w:h="16839"/>
          <w:pgMar w:top="1766" w:right="1523" w:bottom="1575" w:left="1579" w:header="1428" w:footer="1172" w:gutter="0"/>
          <w:cols w:equalWidth="0" w:num="2">
            <w:col w:w="4490" w:space="100"/>
            <w:col w:w="4214" w:space="0"/>
          </w:cols>
        </w:sectPr>
        <w:rPr/>
      </w:pPr>
    </w:p>
    <w:p>
      <w:pPr>
        <w:spacing w:line="302" w:lineRule="auto"/>
        <w:rPr>
          <w:rFonts w:ascii="Arial"/>
          <w:sz w:val="21"/>
        </w:rPr>
      </w:pPr>
      <w:r>
        <w:drawing>
          <wp:anchor distT="0" distB="0" distL="0" distR="0" simplePos="0" relativeHeight="253175808" behindDoc="0" locked="0" layoutInCell="1" allowOverlap="1">
            <wp:simplePos x="0" y="0"/>
            <wp:positionH relativeFrom="column">
              <wp:posOffset>5393</wp:posOffset>
            </wp:positionH>
            <wp:positionV relativeFrom="paragraph">
              <wp:posOffset>-5116686</wp:posOffset>
            </wp:positionV>
            <wp:extent cx="5579745" cy="7620"/>
            <wp:effectExtent l="0" t="0" r="0" b="0"/>
            <wp:wrapNone/>
            <wp:docPr id="1832" name="IM 1832"/>
            <wp:cNvGraphicFramePr/>
            <a:graphic>
              <a:graphicData uri="http://schemas.openxmlformats.org/drawingml/2006/picture">
                <pic:pic>
                  <pic:nvPicPr>
                    <pic:cNvPr id="1832" name="IM 1832"/>
                    <pic:cNvPicPr/>
                  </pic:nvPicPr>
                  <pic:blipFill>
                    <a:blip r:embed="rId918"/>
                    <a:stretch>
                      <a:fillRect/>
                    </a:stretch>
                  </pic:blipFill>
                  <pic:spPr>
                    <a:xfrm rot="0">
                      <a:off x="0" y="0"/>
                      <a:ext cx="5579745" cy="7620"/>
                    </a:xfrm>
                    <a:prstGeom prst="rect">
                      <a:avLst/>
                    </a:prstGeom>
                  </pic:spPr>
                </pic:pic>
              </a:graphicData>
            </a:graphic>
          </wp:anchor>
        </w:drawing>
      </w:r>
      <w:r/>
    </w:p>
    <w:p>
      <w:pPr>
        <w:spacing w:line="302" w:lineRule="auto"/>
        <w:rPr>
          <w:rFonts w:ascii="Arial"/>
          <w:sz w:val="21"/>
        </w:rPr>
      </w:pPr>
      <w:r/>
    </w:p>
    <w:p>
      <w:pPr>
        <w:spacing w:line="302" w:lineRule="auto"/>
        <w:rPr>
          <w:rFonts w:ascii="Arial"/>
          <w:sz w:val="21"/>
        </w:rPr>
      </w:pPr>
      <w:r/>
    </w:p>
    <w:p>
      <w:pPr>
        <w:ind w:left="30"/>
        <w:spacing w:before="86" w:line="21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附件 2</w:t>
      </w:r>
    </w:p>
    <w:p>
      <w:pPr>
        <w:spacing w:line="465" w:lineRule="auto"/>
        <w:rPr>
          <w:rFonts w:ascii="Arial"/>
          <w:sz w:val="21"/>
        </w:rPr>
      </w:pPr>
      <w:r/>
    </w:p>
    <w:p>
      <w:pPr>
        <w:ind w:left="2203"/>
        <w:spacing w:before="185" w:line="184"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6"/>
        </w:rPr>
        <w:t>固原市大面积停电事件</w:t>
      </w:r>
    </w:p>
    <w:p>
      <w:pPr>
        <w:ind w:left="864"/>
        <w:spacing w:before="7" w:line="186"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9"/>
        </w:rPr>
        <w:t>应急处置领导小组组成及工作组职责</w:t>
      </w:r>
    </w:p>
    <w:p>
      <w:pPr>
        <w:spacing w:before="52"/>
        <w:rPr/>
      </w:pPr>
      <w:r/>
    </w:p>
    <w:p>
      <w:pPr>
        <w:spacing w:before="52"/>
        <w:rPr/>
      </w:pPr>
      <w:r/>
    </w:p>
    <w:p>
      <w:pPr>
        <w:sectPr>
          <w:type w:val="continuous"/>
          <w:pgSz w:w="11906" w:h="16839"/>
          <w:pgMar w:top="1766" w:right="1523" w:bottom="1575" w:left="1579" w:header="1428" w:footer="1172" w:gutter="0"/>
          <w:cols w:equalWidth="0" w:num="1">
            <w:col w:w="8803" w:space="0"/>
          </w:cols>
        </w:sectPr>
        <w:rPr/>
      </w:pPr>
    </w:p>
    <w:p>
      <w:pPr>
        <w:pStyle w:val="BodyText"/>
        <w:ind w:left="13" w:right="308" w:firstLine="441"/>
        <w:spacing w:before="42" w:line="309" w:lineRule="auto"/>
        <w:jc w:val="both"/>
        <w:rPr/>
      </w:pPr>
      <w:r>
        <w:rPr>
          <w:spacing w:val="17"/>
        </w:rPr>
        <w:t>固原市大面积停电事件应急处置领导小</w:t>
      </w:r>
      <w:r>
        <w:rPr>
          <w:spacing w:val="7"/>
        </w:rPr>
        <w:t>组主要由市发展和改革委、宣传部、工业和信</w:t>
      </w:r>
      <w:r>
        <w:rPr>
          <w:spacing w:val="7"/>
        </w:rPr>
        <w:t>息化局、公安局、民政局、财政局、自然资源</w:t>
      </w:r>
      <w:r>
        <w:rPr>
          <w:spacing w:val="8"/>
        </w:rPr>
        <w:t>局、住房城乡建设局、交通运输局、水利局、</w:t>
      </w:r>
    </w:p>
    <w:p>
      <w:pPr>
        <w:spacing w:line="14" w:lineRule="auto"/>
        <w:rPr>
          <w:rFonts w:ascii="Arial"/>
          <w:sz w:val="2"/>
        </w:rPr>
      </w:pPr>
      <w:r>
        <w:rPr>
          <w:rFonts w:ascii="Arial" w:hAnsi="Arial" w:eastAsia="Arial" w:cs="Arial"/>
          <w:sz w:val="2"/>
          <w:szCs w:val="2"/>
        </w:rPr>
        <w:br w:type="column"/>
      </w:r>
    </w:p>
    <w:p>
      <w:pPr>
        <w:pStyle w:val="BodyText"/>
        <w:ind w:right="64" w:firstLine="1"/>
        <w:spacing w:before="39" w:line="351" w:lineRule="auto"/>
        <w:jc w:val="both"/>
        <w:rPr/>
      </w:pPr>
      <w:r>
        <w:rPr>
          <w:spacing w:val="7"/>
        </w:rPr>
        <w:t>商务投资局、文旅广电局、应急管理局、地震</w:t>
      </w:r>
      <w:r>
        <w:rPr>
          <w:spacing w:val="7"/>
        </w:rPr>
        <w:t>局、气象局及电力、铁路、民航、消防、驻固</w:t>
      </w:r>
      <w:r>
        <w:rPr>
          <w:spacing w:val="8"/>
        </w:rPr>
        <w:t>部队等部门和单位组成。</w:t>
      </w:r>
    </w:p>
    <w:p>
      <w:pPr>
        <w:pStyle w:val="BodyText"/>
        <w:ind w:left="441"/>
        <w:spacing w:line="184" w:lineRule="auto"/>
        <w:rPr/>
      </w:pPr>
      <w:r>
        <w:rPr>
          <w:spacing w:val="17"/>
        </w:rPr>
        <w:t>固原市大面积停电事件应急处置领导小</w:t>
      </w:r>
    </w:p>
    <w:p>
      <w:pPr>
        <w:spacing w:line="184" w:lineRule="auto"/>
        <w:sectPr>
          <w:type w:val="continuous"/>
          <w:pgSz w:w="11906" w:h="16839"/>
          <w:pgMar w:top="1766" w:right="1523" w:bottom="1575" w:left="1579" w:header="1428" w:footer="1172" w:gutter="0"/>
          <w:cols w:equalWidth="0" w:num="2">
            <w:col w:w="4491" w:space="100"/>
            <w:col w:w="4213" w:space="0"/>
          </w:cols>
        </w:sectPr>
        <w:rPr/>
      </w:pPr>
    </w:p>
    <w:p>
      <w:pPr>
        <w:spacing w:before="57"/>
        <w:rPr/>
      </w:pPr>
      <w:r/>
    </w:p>
    <w:p>
      <w:pPr>
        <w:sectPr>
          <w:headerReference w:type="default" r:id="rId816"/>
          <w:footerReference w:type="default" r:id="rId919"/>
          <w:pgSz w:w="11906" w:h="16839"/>
          <w:pgMar w:top="1772" w:right="1489" w:bottom="1562" w:left="1567" w:header="1428" w:footer="1172" w:gutter="0"/>
          <w:cols w:equalWidth="0" w:num="1">
            <w:col w:w="8850" w:space="0"/>
          </w:cols>
        </w:sectPr>
        <w:rPr/>
      </w:pPr>
    </w:p>
    <w:p>
      <w:pPr>
        <w:pStyle w:val="BodyText"/>
        <w:ind w:left="27" w:right="329" w:hanging="2"/>
        <w:spacing w:before="40" w:line="346" w:lineRule="auto"/>
        <w:rPr/>
      </w:pPr>
      <w:r>
        <w:rPr>
          <w:spacing w:val="7"/>
        </w:rPr>
        <w:t>组设立相应工作组，各工作组组成及职责分工</w:t>
      </w:r>
      <w:r>
        <w:rPr>
          <w:spacing w:val="3"/>
        </w:rPr>
        <w:t>如下：</w:t>
      </w:r>
    </w:p>
    <w:p>
      <w:pPr>
        <w:pStyle w:val="BodyText"/>
        <w:ind w:left="26" w:right="265" w:firstLine="428"/>
        <w:spacing w:before="4" w:line="330" w:lineRule="auto"/>
        <w:jc w:val="both"/>
        <w:rPr/>
      </w:pPr>
      <w:r>
        <w:rPr>
          <w:rFonts w:ascii="Microsoft YaHei" w:hAnsi="Microsoft YaHei" w:eastAsia="Microsoft YaHei" w:cs="Microsoft YaHei"/>
          <w:spacing w:val="-2"/>
        </w:rPr>
        <w:t>一、电力恢复组：</w:t>
      </w:r>
      <w:r>
        <w:rPr>
          <w:spacing w:val="-2"/>
        </w:rPr>
        <w:t>由市发展和改革委牵头，</w:t>
      </w:r>
      <w:r>
        <w:rPr>
          <w:spacing w:val="7"/>
        </w:rPr>
        <w:t>市工业和信息化局、公安局、水务局、应急管</w:t>
      </w:r>
      <w:r>
        <w:rPr>
          <w:spacing w:val="10"/>
        </w:rPr>
        <w:t>理局、自然资源局、地震局、气象局及消防、</w:t>
      </w:r>
      <w:r>
        <w:rPr>
          <w:spacing w:val="7"/>
        </w:rPr>
        <w:t>电力企业、驻固部队等参加，视情增加其他施</w:t>
      </w:r>
      <w:r>
        <w:rPr>
          <w:spacing w:val="6"/>
        </w:rPr>
        <w:t>工企业。</w:t>
      </w:r>
    </w:p>
    <w:p>
      <w:pPr>
        <w:pStyle w:val="BodyText"/>
        <w:ind w:left="25" w:right="329" w:firstLine="428"/>
        <w:spacing w:before="6" w:line="355" w:lineRule="auto"/>
        <w:jc w:val="both"/>
        <w:rPr/>
      </w:pPr>
      <w:r>
        <w:rPr>
          <w:spacing w:val="6"/>
        </w:rPr>
        <w:t>主要职责：组织进行技术研判，开展事态</w:t>
      </w:r>
      <w:r>
        <w:rPr>
          <w:spacing w:val="7"/>
        </w:rPr>
        <w:t>分析；组织电力抢修恢复工作，尽快恢复受影</w:t>
      </w:r>
      <w:r>
        <w:rPr>
          <w:spacing w:val="7"/>
        </w:rPr>
        <w:t>响区域供电工作；负责重要电力用户、重点区</w:t>
      </w:r>
      <w:r>
        <w:rPr>
          <w:spacing w:val="7"/>
        </w:rPr>
        <w:t>域临时供电保障；负责组织跨区域电力应急抢</w:t>
      </w:r>
      <w:r>
        <w:rPr>
          <w:spacing w:val="7"/>
        </w:rPr>
        <w:t>修恢复协调工作；协调军队、武警有关力量参</w:t>
      </w:r>
      <w:r>
        <w:rPr>
          <w:spacing w:val="6"/>
        </w:rPr>
        <w:t>与应对。</w:t>
      </w:r>
    </w:p>
    <w:p>
      <w:pPr>
        <w:pStyle w:val="BodyText"/>
        <w:ind w:left="25" w:right="306" w:firstLine="428"/>
        <w:spacing w:line="320" w:lineRule="auto"/>
        <w:jc w:val="both"/>
        <w:rPr/>
      </w:pPr>
      <w:r>
        <w:rPr>
          <w:rFonts w:ascii="Microsoft YaHei" w:hAnsi="Microsoft YaHei" w:eastAsia="Microsoft YaHei" w:cs="Microsoft YaHei"/>
          <w:spacing w:val="5"/>
        </w:rPr>
        <w:t>二、新闻宣传组：</w:t>
      </w:r>
      <w:r>
        <w:rPr>
          <w:rFonts w:ascii="Microsoft YaHei" w:hAnsi="Microsoft YaHei" w:eastAsia="Microsoft YaHei" w:cs="Microsoft YaHei"/>
          <w:spacing w:val="-33"/>
        </w:rPr>
        <w:t xml:space="preserve"> </w:t>
      </w:r>
      <w:r>
        <w:rPr>
          <w:spacing w:val="5"/>
        </w:rPr>
        <w:t>由宣传部门牵头，市发</w:t>
      </w:r>
      <w:r>
        <w:rPr>
          <w:spacing w:val="8"/>
        </w:rPr>
        <w:t>展和改革委员会、工业和信息化局、公安局、</w:t>
      </w:r>
      <w:r>
        <w:rPr>
          <w:spacing w:val="9"/>
        </w:rPr>
        <w:t>文化旅游广播电视局、应急管理局参加。</w:t>
      </w:r>
    </w:p>
    <w:p>
      <w:pPr>
        <w:pStyle w:val="BodyText"/>
        <w:ind w:left="25" w:right="329" w:firstLine="428"/>
        <w:spacing w:before="13" w:line="355" w:lineRule="auto"/>
        <w:jc w:val="both"/>
        <w:rPr/>
      </w:pPr>
      <w:r>
        <w:rPr>
          <w:spacing w:val="6"/>
        </w:rPr>
        <w:t>主要职责：组织开展事件进展、应急工作</w:t>
      </w:r>
      <w:r>
        <w:rPr>
          <w:spacing w:val="7"/>
        </w:rPr>
        <w:t>情况等权威信息发布，加强新闻宣传报道；收</w:t>
      </w:r>
      <w:r>
        <w:rPr>
          <w:spacing w:val="15"/>
        </w:rPr>
        <w:t>集分析国内外舆情和社会公众动态</w:t>
      </w:r>
      <w:r>
        <w:rPr>
          <w:spacing w:val="-40"/>
        </w:rPr>
        <w:t xml:space="preserve"> </w:t>
      </w:r>
      <w:r>
        <w:rPr>
          <w:spacing w:val="15"/>
        </w:rPr>
        <w:t>，加强媒</w:t>
      </w:r>
      <w:r>
        <w:rPr>
          <w:spacing w:val="7"/>
        </w:rPr>
        <w:t>体、电信和互联网管理，正确引导舆论；及时</w:t>
      </w:r>
      <w:r>
        <w:rPr>
          <w:spacing w:val="8"/>
        </w:rPr>
        <w:t>澄清不实信息，回应社会关切。</w:t>
      </w:r>
    </w:p>
    <w:p>
      <w:pPr>
        <w:pStyle w:val="BodyText"/>
        <w:ind w:left="27" w:right="306" w:firstLine="429"/>
        <w:spacing w:before="1" w:line="320" w:lineRule="auto"/>
        <w:jc w:val="both"/>
        <w:rPr/>
      </w:pPr>
      <w:r>
        <w:rPr>
          <w:rFonts w:ascii="Microsoft YaHei" w:hAnsi="Microsoft YaHei" w:eastAsia="Microsoft YaHei" w:cs="Microsoft YaHei"/>
          <w:spacing w:val="6"/>
        </w:rPr>
        <w:t>三、综合保障组：</w:t>
      </w:r>
      <w:r>
        <w:rPr>
          <w:spacing w:val="6"/>
        </w:rPr>
        <w:t>由市发展和改革委员会</w:t>
      </w:r>
      <w:r>
        <w:rPr>
          <w:spacing w:val="8"/>
        </w:rPr>
        <w:t>牵头，市工业和信息化局、公安局、民政局、</w:t>
      </w:r>
      <w:r>
        <w:rPr>
          <w:spacing w:val="7"/>
        </w:rPr>
        <w:t>财政局、自然资源局、住房城乡建设局、交通</w:t>
      </w:r>
    </w:p>
    <w:p>
      <w:pPr>
        <w:spacing w:line="18" w:lineRule="exact"/>
        <w:rPr/>
      </w:pPr>
      <w:r/>
    </w:p>
    <w:p>
      <w:pPr>
        <w:spacing w:line="14" w:lineRule="auto"/>
        <w:rPr>
          <w:rFonts w:ascii="Arial"/>
          <w:sz w:val="2"/>
        </w:rPr>
      </w:pPr>
      <w:r>
        <w:rPr>
          <w:rFonts w:ascii="Arial" w:hAnsi="Arial" w:eastAsia="Arial" w:cs="Arial"/>
          <w:sz w:val="2"/>
          <w:szCs w:val="2"/>
        </w:rPr>
        <w:br w:type="column"/>
      </w:r>
    </w:p>
    <w:p>
      <w:pPr>
        <w:pStyle w:val="BodyText"/>
        <w:ind w:left="2" w:right="101"/>
        <w:spacing w:before="43" w:line="355" w:lineRule="auto"/>
        <w:rPr/>
      </w:pPr>
      <w:r>
        <w:rPr>
          <w:spacing w:val="7"/>
        </w:rPr>
        <w:t>运输局、水务局、商务投资局、国资委、文旅</w:t>
      </w:r>
      <w:r>
        <w:rPr>
          <w:spacing w:val="9"/>
        </w:rPr>
        <w:t>局及电力、铁路、民航等部门及单位参加。</w:t>
      </w:r>
    </w:p>
    <w:p>
      <w:pPr>
        <w:pStyle w:val="BodyText"/>
        <w:ind w:right="78" w:firstLine="428"/>
        <w:spacing w:before="7" w:line="354" w:lineRule="auto"/>
        <w:jc w:val="both"/>
        <w:rPr/>
      </w:pPr>
      <w:r>
        <w:rPr>
          <w:spacing w:val="6"/>
        </w:rPr>
        <w:t>主要职责：对大面积停电事件受灾情况进</w:t>
      </w:r>
      <w:r>
        <w:rPr>
          <w:spacing w:val="8"/>
        </w:rPr>
        <w:t>行核实，指导恢复电力抢修方案，落实人员、</w:t>
      </w:r>
      <w:r>
        <w:rPr>
          <w:spacing w:val="7"/>
        </w:rPr>
        <w:t>资金和物资；组织做好应急救援装备物资及生</w:t>
      </w:r>
      <w:r>
        <w:rPr>
          <w:spacing w:val="7"/>
        </w:rPr>
        <w:t>产生活物资的紧急生产、储备调拨和紧急配送</w:t>
      </w:r>
      <w:r>
        <w:rPr>
          <w:spacing w:val="7"/>
        </w:rPr>
        <w:t>工作；及时组织调运重要生活必需品，保障群</w:t>
      </w:r>
      <w:r>
        <w:rPr>
          <w:spacing w:val="7"/>
        </w:rPr>
        <w:t>众基本生活和市场供应；维护供水、供气、供</w:t>
      </w:r>
      <w:r>
        <w:rPr>
          <w:spacing w:val="7"/>
        </w:rPr>
        <w:t>热、通信、广播电视等设施正常运行；维护铁</w:t>
      </w:r>
      <w:r>
        <w:rPr>
          <w:spacing w:val="7"/>
        </w:rPr>
        <w:t>路、道路、水路、民航等基本交通运行；组织</w:t>
      </w:r>
      <w:r>
        <w:rPr>
          <w:spacing w:val="8"/>
        </w:rPr>
        <w:t>开展事件处置评估。</w:t>
      </w:r>
    </w:p>
    <w:p>
      <w:pPr>
        <w:pStyle w:val="BodyText"/>
        <w:ind w:left="1" w:right="78" w:firstLine="440"/>
        <w:spacing w:before="7" w:line="320" w:lineRule="auto"/>
        <w:jc w:val="both"/>
        <w:rPr/>
      </w:pPr>
      <w:r>
        <w:rPr>
          <w:rFonts w:ascii="Microsoft YaHei" w:hAnsi="Microsoft YaHei" w:eastAsia="Microsoft YaHei" w:cs="Microsoft YaHei"/>
          <w:spacing w:val="4"/>
        </w:rPr>
        <w:t>四、社会稳定组：</w:t>
      </w:r>
      <w:r>
        <w:rPr>
          <w:rFonts w:ascii="Microsoft YaHei" w:hAnsi="Microsoft YaHei" w:eastAsia="Microsoft YaHei" w:cs="Microsoft YaHei"/>
          <w:spacing w:val="-27"/>
        </w:rPr>
        <w:t xml:space="preserve"> </w:t>
      </w:r>
      <w:r>
        <w:rPr>
          <w:spacing w:val="4"/>
        </w:rPr>
        <w:t>由市公安局牵头，市发</w:t>
      </w:r>
      <w:r>
        <w:rPr>
          <w:spacing w:val="8"/>
        </w:rPr>
        <w:t>展和改革委员会、工业和信息化局、民政局、</w:t>
      </w:r>
      <w:r>
        <w:rPr>
          <w:spacing w:val="8"/>
        </w:rPr>
        <w:t>交通运输局、商务投资局及驻固部队等参加。</w:t>
      </w:r>
    </w:p>
    <w:p>
      <w:pPr>
        <w:pStyle w:val="BodyText"/>
        <w:ind w:right="101" w:firstLine="429"/>
        <w:spacing w:before="13" w:line="356" w:lineRule="auto"/>
        <w:jc w:val="both"/>
        <w:rPr/>
      </w:pPr>
      <w:r>
        <w:rPr>
          <w:spacing w:val="18"/>
        </w:rPr>
        <w:t>主要职责：加强受影响地区社会治安管</w:t>
      </w:r>
      <w:r>
        <w:rPr>
          <w:spacing w:val="7"/>
        </w:rPr>
        <w:t>理，严厉打击借机传播谣言制造社会恐慌，以</w:t>
      </w:r>
      <w:r>
        <w:rPr>
          <w:spacing w:val="7"/>
        </w:rPr>
        <w:t>及趁机盗窃、抢劫、哄抢等违法犯罪行为；加</w:t>
      </w:r>
      <w:r>
        <w:rPr>
          <w:spacing w:val="7"/>
        </w:rPr>
        <w:t>强转移人员安置点、救灾物资存放点等重点地</w:t>
      </w:r>
      <w:r>
        <w:rPr>
          <w:spacing w:val="7"/>
        </w:rPr>
        <w:t>区治安管控；加强对重要生活必需品等商品的</w:t>
      </w:r>
      <w:r>
        <w:rPr>
          <w:spacing w:val="7"/>
        </w:rPr>
        <w:t>市场监管和调控，打击囤积居奇行为；加强对</w:t>
      </w:r>
      <w:r>
        <w:rPr>
          <w:spacing w:val="7"/>
        </w:rPr>
        <w:t>重点区域、重点单位的警戒；做好受影响人员</w:t>
      </w:r>
      <w:r>
        <w:rPr>
          <w:spacing w:val="7"/>
        </w:rPr>
        <w:t>与涉事单位、地方政府及有关部门矛盾纠纷化</w:t>
      </w:r>
      <w:r>
        <w:rPr>
          <w:spacing w:val="9"/>
        </w:rPr>
        <w:t>解等工作，切实维护社会稳定。</w:t>
      </w:r>
    </w:p>
    <w:p>
      <w:pPr>
        <w:spacing w:line="356" w:lineRule="auto"/>
        <w:sectPr>
          <w:type w:val="continuous"/>
          <w:pgSz w:w="11906" w:h="16839"/>
          <w:pgMar w:top="1772" w:right="1489" w:bottom="1562" w:left="1567" w:header="1428" w:footer="1172" w:gutter="0"/>
          <w:cols w:equalWidth="0" w:num="2">
            <w:col w:w="4502" w:space="100"/>
            <w:col w:w="4249" w:space="0"/>
          </w:cols>
        </w:sectPr>
        <w:rPr/>
      </w:pPr>
    </w:p>
    <w:p>
      <w:pPr>
        <w:spacing w:line="331" w:lineRule="auto"/>
        <w:rPr>
          <w:rFonts w:ascii="Arial"/>
          <w:sz w:val="21"/>
        </w:rPr>
      </w:pPr>
      <w:r>
        <w:drawing>
          <wp:anchor distT="0" distB="0" distL="0" distR="0" simplePos="0" relativeHeight="253187072" behindDoc="0" locked="0" layoutInCell="1" allowOverlap="1">
            <wp:simplePos x="0" y="0"/>
            <wp:positionH relativeFrom="column">
              <wp:posOffset>13334</wp:posOffset>
            </wp:positionH>
            <wp:positionV relativeFrom="paragraph">
              <wp:posOffset>-6074825</wp:posOffset>
            </wp:positionV>
            <wp:extent cx="5579745" cy="7620"/>
            <wp:effectExtent l="0" t="0" r="0" b="0"/>
            <wp:wrapNone/>
            <wp:docPr id="1836" name="IM 1836"/>
            <wp:cNvGraphicFramePr/>
            <a:graphic>
              <a:graphicData uri="http://schemas.openxmlformats.org/drawingml/2006/picture">
                <pic:pic>
                  <pic:nvPicPr>
                    <pic:cNvPr id="1836" name="IM 1836"/>
                    <pic:cNvPicPr/>
                  </pic:nvPicPr>
                  <pic:blipFill>
                    <a:blip r:embed="rId920"/>
                    <a:stretch>
                      <a:fillRect/>
                    </a:stretch>
                  </pic:blipFill>
                  <pic:spPr>
                    <a:xfrm rot="0">
                      <a:off x="0" y="0"/>
                      <a:ext cx="5579745" cy="7620"/>
                    </a:xfrm>
                    <a:prstGeom prst="rect">
                      <a:avLst/>
                    </a:prstGeom>
                  </pic:spPr>
                </pic:pic>
              </a:graphicData>
            </a:graphic>
          </wp:anchor>
        </w:drawing>
      </w:r>
      <w:r/>
    </w:p>
    <w:p>
      <w:pPr>
        <w:spacing w:line="331" w:lineRule="auto"/>
        <w:rPr>
          <w:rFonts w:ascii="Arial"/>
          <w:sz w:val="21"/>
        </w:rPr>
      </w:pPr>
      <w:r/>
    </w:p>
    <w:p>
      <w:pPr>
        <w:ind w:left="1994"/>
        <w:spacing w:before="185" w:line="215"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7"/>
        </w:rPr>
        <w:t>固原市通信保障应急预案</w:t>
      </w:r>
    </w:p>
    <w:p>
      <w:pPr>
        <w:spacing w:before="33"/>
        <w:rPr/>
      </w:pPr>
      <w:r/>
    </w:p>
    <w:p>
      <w:pPr>
        <w:spacing w:before="32"/>
        <w:rPr/>
      </w:pPr>
      <w:r/>
    </w:p>
    <w:p>
      <w:pPr>
        <w:sectPr>
          <w:type w:val="continuous"/>
          <w:pgSz w:w="11906" w:h="16839"/>
          <w:pgMar w:top="1772" w:right="1489" w:bottom="1562" w:left="1567" w:header="1428" w:footer="1172" w:gutter="0"/>
          <w:cols w:equalWidth="0" w:num="1">
            <w:col w:w="8850" w:space="0"/>
          </w:cols>
        </w:sectPr>
        <w:rPr/>
      </w:pPr>
    </w:p>
    <w:p>
      <w:pPr>
        <w:ind w:left="462"/>
        <w:spacing w:before="48"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1</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7"/>
        </w:rPr>
        <w:t>总则</w:t>
      </w:r>
    </w:p>
    <w:p>
      <w:pPr>
        <w:pStyle w:val="BodyText"/>
        <w:ind w:left="17" w:right="247" w:firstLine="448"/>
        <w:spacing w:before="107" w:line="326" w:lineRule="auto"/>
        <w:jc w:val="both"/>
        <w:rPr/>
      </w:pPr>
      <w:r>
        <w:rPr>
          <w:rFonts w:ascii="Times New Roman" w:hAnsi="Times New Roman" w:eastAsia="Times New Roman" w:cs="Times New Roman"/>
          <w:spacing w:val="3"/>
        </w:rPr>
        <w:t>1.</w:t>
      </w:r>
      <w:r>
        <w:rPr>
          <w:rFonts w:ascii="Times New Roman" w:hAnsi="Times New Roman" w:eastAsia="Times New Roman" w:cs="Times New Roman"/>
          <w:spacing w:val="-9"/>
        </w:rPr>
        <w:t xml:space="preserve"> </w:t>
      </w:r>
      <w:r>
        <w:rPr>
          <w:rFonts w:ascii="Times New Roman" w:hAnsi="Times New Roman" w:eastAsia="Times New Roman" w:cs="Times New Roman"/>
          <w:spacing w:val="3"/>
        </w:rPr>
        <w:t>1  </w:t>
      </w:r>
      <w:r>
        <w:rPr>
          <w:rFonts w:ascii="KaiTi" w:hAnsi="KaiTi" w:eastAsia="KaiTi" w:cs="KaiTi"/>
          <w:spacing w:val="3"/>
        </w:rPr>
        <w:t>编制</w:t>
      </w:r>
      <w:r>
        <w:rPr>
          <w:rFonts w:ascii="KaiTi" w:hAnsi="KaiTi" w:eastAsia="KaiTi" w:cs="KaiTi"/>
          <w:spacing w:val="-50"/>
        </w:rPr>
        <w:t xml:space="preserve"> </w:t>
      </w:r>
      <w:r>
        <w:rPr>
          <w:rFonts w:ascii="KaiTi" w:hAnsi="KaiTi" w:eastAsia="KaiTi" w:cs="KaiTi"/>
          <w:spacing w:val="3"/>
        </w:rPr>
        <w:t>目的。</w:t>
      </w:r>
      <w:r>
        <w:rPr>
          <w:spacing w:val="3"/>
        </w:rPr>
        <w:t>建立健全固原市通信保障</w:t>
      </w:r>
      <w:r>
        <w:rPr>
          <w:spacing w:val="7"/>
        </w:rPr>
        <w:t>（含通信恢复，下同）应急工作机制，满足突</w:t>
      </w:r>
      <w:r>
        <w:rPr>
          <w:spacing w:val="-8"/>
        </w:rPr>
        <w:t>发情况下通信保障工作需要，确保通信安全畅通。</w:t>
      </w:r>
    </w:p>
    <w:p>
      <w:pPr>
        <w:spacing w:line="14" w:lineRule="auto"/>
        <w:rPr>
          <w:rFonts w:ascii="Arial"/>
          <w:sz w:val="2"/>
        </w:rPr>
      </w:pPr>
      <w:r>
        <w:rPr>
          <w:rFonts w:ascii="Arial" w:hAnsi="Arial" w:eastAsia="Arial" w:cs="Arial"/>
          <w:sz w:val="2"/>
          <w:szCs w:val="2"/>
        </w:rPr>
        <w:br w:type="column"/>
      </w:r>
    </w:p>
    <w:p>
      <w:pPr>
        <w:pStyle w:val="BodyText"/>
        <w:ind w:right="101" w:firstLine="441"/>
        <w:spacing w:before="54" w:line="339" w:lineRule="auto"/>
        <w:jc w:val="both"/>
        <w:rPr/>
      </w:pPr>
      <w:r>
        <w:rPr>
          <w:rFonts w:ascii="Times New Roman" w:hAnsi="Times New Roman" w:eastAsia="Times New Roman" w:cs="Times New Roman"/>
          <w:spacing w:val="7"/>
        </w:rPr>
        <w:t>1.2  </w:t>
      </w:r>
      <w:r>
        <w:rPr>
          <w:rFonts w:ascii="KaiTi" w:hAnsi="KaiTi" w:eastAsia="KaiTi" w:cs="KaiTi"/>
          <w:spacing w:val="7"/>
        </w:rPr>
        <w:t>编制依据</w:t>
      </w:r>
      <w:r>
        <w:rPr>
          <w:spacing w:val="7"/>
        </w:rPr>
        <w:t>《中华人民共和国突发事件</w:t>
      </w:r>
      <w:r>
        <w:rPr>
          <w:spacing w:val="7"/>
        </w:rPr>
        <w:t>应对法》《中华人民共和国电信条例》《中华</w:t>
      </w:r>
      <w:r>
        <w:rPr>
          <w:spacing w:val="7"/>
        </w:rPr>
        <w:t>人民共和国无线电管理条例》《国家通信保障</w:t>
      </w:r>
      <w:r>
        <w:rPr>
          <w:spacing w:val="7"/>
        </w:rPr>
        <w:t>应急预案》《战备应急通信管理规定》《宁夏</w:t>
      </w:r>
    </w:p>
    <w:p>
      <w:pPr>
        <w:spacing w:line="339" w:lineRule="auto"/>
        <w:sectPr>
          <w:type w:val="continuous"/>
          <w:pgSz w:w="11906" w:h="16839"/>
          <w:pgMar w:top="1772" w:right="1489" w:bottom="1562" w:left="1567" w:header="1428" w:footer="1172" w:gutter="0"/>
          <w:cols w:equalWidth="0" w:num="2">
            <w:col w:w="4502" w:space="100"/>
            <w:col w:w="4248" w:space="0"/>
          </w:cols>
        </w:sectPr>
        <w:rPr/>
      </w:pPr>
    </w:p>
    <w:p>
      <w:pPr>
        <w:spacing w:line="139" w:lineRule="exact"/>
        <w:rPr/>
      </w:pPr>
      <w:r>
        <w:drawing>
          <wp:anchor distT="0" distB="0" distL="0" distR="0" simplePos="0" relativeHeight="253198336"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842" name="IM 1842"/>
            <wp:cNvGraphicFramePr/>
            <a:graphic>
              <a:graphicData uri="http://schemas.openxmlformats.org/drawingml/2006/picture">
                <pic:pic>
                  <pic:nvPicPr>
                    <pic:cNvPr id="1842" name="IM 1842"/>
                    <pic:cNvPicPr/>
                  </pic:nvPicPr>
                  <pic:blipFill>
                    <a:blip r:embed="rId923"/>
                    <a:stretch>
                      <a:fillRect/>
                    </a:stretch>
                  </pic:blipFill>
                  <pic:spPr>
                    <a:xfrm rot="0">
                      <a:off x="0" y="0"/>
                      <a:ext cx="5579745" cy="7620"/>
                    </a:xfrm>
                    <a:prstGeom prst="rect">
                      <a:avLst/>
                    </a:prstGeom>
                  </pic:spPr>
                </pic:pic>
              </a:graphicData>
            </a:graphic>
          </wp:anchor>
        </w:drawing>
      </w:r>
      <w:r/>
    </w:p>
    <w:p>
      <w:pPr>
        <w:spacing w:line="139" w:lineRule="exact"/>
        <w:sectPr>
          <w:headerReference w:type="default" r:id="rId921"/>
          <w:footerReference w:type="default" r:id="rId922"/>
          <w:pgSz w:w="11906" w:h="16839"/>
          <w:pgMar w:top="1766" w:right="1478" w:bottom="1575" w:left="1579" w:header="1428" w:footer="1172" w:gutter="0"/>
          <w:cols w:equalWidth="0" w:num="1">
            <w:col w:w="8849" w:space="0"/>
          </w:cols>
        </w:sectPr>
        <w:rPr/>
      </w:pPr>
    </w:p>
    <w:p>
      <w:pPr>
        <w:pStyle w:val="BodyText"/>
        <w:ind w:left="18" w:right="247" w:firstLine="19"/>
        <w:spacing w:before="54" w:line="377" w:lineRule="auto"/>
        <w:rPr/>
      </w:pPr>
      <w:r>
        <w:rPr>
          <w:spacing w:val="6"/>
        </w:rPr>
        <w:t>回族自治区通信保障应急预案》以及《固原市</w:t>
      </w:r>
      <w:r>
        <w:rPr>
          <w:spacing w:val="-9"/>
        </w:rPr>
        <w:t>突发事件总体应急预案》等有关法律法规和文件。</w:t>
      </w:r>
    </w:p>
    <w:p>
      <w:pPr>
        <w:pStyle w:val="BodyText"/>
        <w:ind w:left="14" w:right="327" w:firstLine="439"/>
        <w:spacing w:before="4" w:line="368" w:lineRule="auto"/>
        <w:jc w:val="both"/>
        <w:rPr/>
      </w:pPr>
      <w:r>
        <w:rPr>
          <w:rFonts w:ascii="Times New Roman" w:hAnsi="Times New Roman" w:eastAsia="Times New Roman" w:cs="Times New Roman"/>
          <w:spacing w:val="7"/>
        </w:rPr>
        <w:t>1.3  </w:t>
      </w:r>
      <w:r>
        <w:rPr>
          <w:rFonts w:ascii="KaiTi" w:hAnsi="KaiTi" w:eastAsia="KaiTi" w:cs="KaiTi"/>
          <w:spacing w:val="7"/>
        </w:rPr>
        <w:t>适用范围。</w:t>
      </w:r>
      <w:r>
        <w:rPr>
          <w:spacing w:val="7"/>
        </w:rPr>
        <w:t>本预案适用于需要市政府</w:t>
      </w:r>
      <w:r>
        <w:rPr>
          <w:spacing w:val="7"/>
        </w:rPr>
        <w:t>或市政府授权有关部门协调的通信中断、突发</w:t>
      </w:r>
      <w:r>
        <w:rPr>
          <w:spacing w:val="7"/>
        </w:rPr>
        <w:t>事件通信保障应急工作，以及市委和市政府交</w:t>
      </w:r>
      <w:r>
        <w:rPr>
          <w:spacing w:val="8"/>
        </w:rPr>
        <w:t>办的其他重要通信保障任务。</w:t>
      </w:r>
    </w:p>
    <w:p>
      <w:pPr>
        <w:pStyle w:val="BodyText"/>
        <w:ind w:left="432"/>
        <w:spacing w:line="221" w:lineRule="auto"/>
        <w:rPr/>
      </w:pPr>
      <w:r>
        <w:rPr>
          <w:spacing w:val="9"/>
        </w:rPr>
        <w:t>本预案指导固原市通信保障应急工作。</w:t>
      </w:r>
    </w:p>
    <w:p>
      <w:pPr>
        <w:pStyle w:val="BodyText"/>
        <w:ind w:left="11" w:right="327" w:firstLine="441"/>
        <w:spacing w:before="160" w:line="368" w:lineRule="auto"/>
        <w:jc w:val="both"/>
        <w:rPr/>
      </w:pPr>
      <w:r>
        <w:rPr>
          <w:rFonts w:ascii="Times New Roman" w:hAnsi="Times New Roman" w:eastAsia="Times New Roman" w:cs="Times New Roman"/>
          <w:spacing w:val="6"/>
        </w:rPr>
        <w:t>1.4  </w:t>
      </w:r>
      <w:r>
        <w:rPr>
          <w:rFonts w:ascii="KaiTi" w:hAnsi="KaiTi" w:eastAsia="KaiTi" w:cs="KaiTi"/>
          <w:spacing w:val="6"/>
        </w:rPr>
        <w:t>工作原则。</w:t>
      </w:r>
      <w:r>
        <w:rPr>
          <w:spacing w:val="6"/>
        </w:rPr>
        <w:t>在市委、市政府领导下，</w:t>
      </w:r>
      <w:r>
        <w:rPr>
          <w:spacing w:val="7"/>
        </w:rPr>
        <w:t>通信保障工作坚持统一领导、分级负责，属地</w:t>
      </w:r>
      <w:r>
        <w:rPr>
          <w:spacing w:val="7"/>
        </w:rPr>
        <w:t>为主、快速反应、严密组织、密切协同、依靠</w:t>
      </w:r>
      <w:r>
        <w:rPr>
          <w:spacing w:val="7"/>
        </w:rPr>
        <w:t>科技、保障有力的原则。市通信保障应急预案</w:t>
      </w:r>
      <w:r>
        <w:rPr>
          <w:spacing w:val="7"/>
        </w:rPr>
        <w:t>体系由市通信保障应急预案、部门通信保障应</w:t>
      </w:r>
      <w:r>
        <w:rPr>
          <w:spacing w:val="7"/>
        </w:rPr>
        <w:t>急预案、县（区）通信保障应急预案以及各电</w:t>
      </w:r>
      <w:r>
        <w:rPr>
          <w:spacing w:val="9"/>
        </w:rPr>
        <w:t>信运营企业通信保障应急预案组成。</w:t>
      </w:r>
    </w:p>
    <w:p>
      <w:pPr>
        <w:ind w:left="434"/>
        <w:spacing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2</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3"/>
        </w:rPr>
        <w:t>组织体系</w:t>
      </w:r>
    </w:p>
    <w:p>
      <w:pPr>
        <w:pStyle w:val="BodyText"/>
        <w:ind w:left="15" w:right="327" w:firstLine="419"/>
        <w:spacing w:before="97" w:line="369" w:lineRule="auto"/>
        <w:rPr/>
      </w:pPr>
      <w:r>
        <w:rPr>
          <w:spacing w:val="6"/>
        </w:rPr>
        <w:t>在市委，政府安排部署下，市通信保障应</w:t>
      </w:r>
      <w:r>
        <w:rPr>
          <w:spacing w:val="7"/>
        </w:rPr>
        <w:t>急指挥部负责领导、组织、协调通信方面的应</w:t>
      </w:r>
      <w:r>
        <w:rPr>
          <w:spacing w:val="15"/>
        </w:rPr>
        <w:t>急管理工作</w:t>
      </w:r>
      <w:r>
        <w:rPr>
          <w:spacing w:val="-43"/>
        </w:rPr>
        <w:t xml:space="preserve"> </w:t>
      </w:r>
      <w:r>
        <w:rPr>
          <w:spacing w:val="15"/>
        </w:rPr>
        <w:t>，统一指挥通信突发事件及其次</w:t>
      </w:r>
      <w:r>
        <w:rPr>
          <w:spacing w:val="8"/>
        </w:rPr>
        <w:t>生、衍生灾害的应急处置工作。</w:t>
      </w:r>
    </w:p>
    <w:p>
      <w:pPr>
        <w:pStyle w:val="BodyText"/>
        <w:ind w:left="10" w:right="325" w:firstLine="423"/>
        <w:spacing w:line="357" w:lineRule="auto"/>
        <w:jc w:val="both"/>
        <w:rPr/>
      </w:pPr>
      <w:r>
        <w:rPr>
          <w:rFonts w:ascii="Times New Roman" w:hAnsi="Times New Roman" w:eastAsia="Times New Roman" w:cs="Times New Roman"/>
          <w:spacing w:val="7"/>
        </w:rPr>
        <w:t>2.</w:t>
      </w:r>
      <w:r>
        <w:rPr>
          <w:rFonts w:ascii="Times New Roman" w:hAnsi="Times New Roman" w:eastAsia="Times New Roman" w:cs="Times New Roman"/>
          <w:spacing w:val="-21"/>
        </w:rPr>
        <w:t xml:space="preserve"> </w:t>
      </w:r>
      <w:r>
        <w:rPr>
          <w:rFonts w:ascii="Times New Roman" w:hAnsi="Times New Roman" w:eastAsia="Times New Roman" w:cs="Times New Roman"/>
          <w:spacing w:val="7"/>
        </w:rPr>
        <w:t>1  </w:t>
      </w:r>
      <w:r>
        <w:rPr>
          <w:rFonts w:ascii="KaiTi" w:hAnsi="KaiTi" w:eastAsia="KaiTi" w:cs="KaiTi"/>
          <w:spacing w:val="7"/>
        </w:rPr>
        <w:t>市通信保障应急指挥部。</w:t>
      </w:r>
      <w:r>
        <w:rPr>
          <w:spacing w:val="7"/>
        </w:rPr>
        <w:t>市政府突发</w:t>
      </w:r>
      <w:r>
        <w:rPr>
          <w:spacing w:val="5"/>
        </w:rPr>
        <w:t>事件应急管理委员会（</w:t>
      </w:r>
      <w:r>
        <w:rPr>
          <w:spacing w:val="-33"/>
        </w:rPr>
        <w:t xml:space="preserve"> </w:t>
      </w:r>
      <w:r>
        <w:rPr>
          <w:spacing w:val="5"/>
        </w:rPr>
        <w:t>以下简称</w:t>
      </w:r>
      <w:r>
        <w:rPr>
          <w:rFonts w:ascii="Times New Roman" w:hAnsi="Times New Roman" w:eastAsia="Times New Roman" w:cs="Times New Roman"/>
          <w:spacing w:val="5"/>
        </w:rPr>
        <w:t>“</w:t>
      </w:r>
      <w:r>
        <w:rPr>
          <w:spacing w:val="5"/>
        </w:rPr>
        <w:t>应急委</w:t>
      </w:r>
      <w:r>
        <w:rPr>
          <w:rFonts w:ascii="Times New Roman" w:hAnsi="Times New Roman" w:eastAsia="Times New Roman" w:cs="Times New Roman"/>
          <w:spacing w:val="5"/>
        </w:rPr>
        <w:t>”</w:t>
      </w:r>
      <w:r>
        <w:rPr>
          <w:spacing w:val="5"/>
        </w:rPr>
        <w:t>）下</w:t>
      </w:r>
      <w:r>
        <w:rPr>
          <w:spacing w:val="8"/>
        </w:rPr>
        <w:t>设通信保障应急指挥部。</w:t>
      </w:r>
    </w:p>
    <w:p>
      <w:pPr>
        <w:pStyle w:val="BodyText"/>
        <w:ind w:left="435"/>
        <w:spacing w:before="40" w:line="277" w:lineRule="exact"/>
        <w:rPr/>
      </w:pPr>
      <w:r>
        <w:rPr>
          <w:spacing w:val="-4"/>
          <w:position w:val="1"/>
        </w:rPr>
        <w:t>指 挥 长：市政府分管信息化工作的副市长</w:t>
      </w:r>
    </w:p>
    <w:p>
      <w:pPr>
        <w:pStyle w:val="BodyText"/>
        <w:ind w:left="20" w:right="327" w:firstLine="418"/>
        <w:spacing w:before="122" w:line="351" w:lineRule="auto"/>
        <w:rPr/>
      </w:pPr>
      <w:r>
        <w:rPr>
          <w:spacing w:val="6"/>
        </w:rPr>
        <w:t>副指挥长：市政府分管副秘书长、市工业</w:t>
      </w:r>
      <w:r>
        <w:rPr>
          <w:spacing w:val="8"/>
        </w:rPr>
        <w:t>和信息化局局长</w:t>
      </w:r>
    </w:p>
    <w:p>
      <w:pPr>
        <w:pStyle w:val="BodyText"/>
        <w:ind w:left="12" w:right="304" w:firstLine="420"/>
        <w:spacing w:before="41" w:line="369" w:lineRule="auto"/>
        <w:jc w:val="both"/>
        <w:rPr/>
      </w:pPr>
      <w:r>
        <w:rPr>
          <w:spacing w:val="8"/>
        </w:rPr>
        <w:t>成员单位：市发展和改革委、市公安局、</w:t>
      </w:r>
      <w:r>
        <w:rPr>
          <w:spacing w:val="7"/>
        </w:rPr>
        <w:t>市财政局、市民政局、市交通运输局、市卫生</w:t>
      </w:r>
      <w:r>
        <w:rPr>
          <w:spacing w:val="7"/>
        </w:rPr>
        <w:t>健康委员会、市文化旅游广电局、市工业和信</w:t>
      </w:r>
      <w:r>
        <w:rPr>
          <w:spacing w:val="7"/>
        </w:rPr>
        <w:t>息化局，由市应急指挥部根据工作需要确定的</w:t>
      </w:r>
      <w:r>
        <w:rPr>
          <w:spacing w:val="8"/>
        </w:rPr>
        <w:t>非政府职能部门（单位）负责人。</w:t>
      </w:r>
    </w:p>
    <w:p>
      <w:pPr>
        <w:pStyle w:val="BodyText"/>
        <w:ind w:left="434"/>
        <w:spacing w:line="277" w:lineRule="exact"/>
        <w:rPr/>
      </w:pPr>
      <w:r>
        <w:rPr>
          <w:spacing w:val="8"/>
          <w:position w:val="1"/>
        </w:rPr>
        <w:t>市通信保障应急指挥部职责：</w:t>
      </w:r>
    </w:p>
    <w:p>
      <w:pPr>
        <w:pStyle w:val="BodyText"/>
        <w:ind w:left="19" w:right="371" w:firstLine="405"/>
        <w:spacing w:before="123" w:line="286" w:lineRule="auto"/>
        <w:rPr/>
      </w:pPr>
      <w:r>
        <w:rPr>
          <w:spacing w:val="3"/>
        </w:rPr>
        <w:t>（</w:t>
      </w:r>
      <w:r>
        <w:rPr>
          <w:spacing w:val="-41"/>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9"/>
        </w:rPr>
        <w:t xml:space="preserve"> </w:t>
      </w:r>
      <w:r>
        <w:rPr>
          <w:spacing w:val="3"/>
        </w:rPr>
        <w:t>）贯彻国家、</w:t>
      </w:r>
      <w:r>
        <w:rPr>
          <w:spacing w:val="-55"/>
        </w:rPr>
        <w:t xml:space="preserve"> </w:t>
      </w:r>
      <w:r>
        <w:rPr>
          <w:spacing w:val="3"/>
        </w:rPr>
        <w:t>自治区有关方针政策，</w:t>
      </w:r>
      <w:r>
        <w:rPr>
          <w:spacing w:val="8"/>
        </w:rPr>
        <w:t>审议通信保障工作相关政策及规定；</w:t>
      </w:r>
    </w:p>
    <w:p>
      <w:pPr>
        <w:spacing w:line="14" w:lineRule="auto"/>
        <w:rPr>
          <w:rFonts w:ascii="Arial"/>
          <w:sz w:val="2"/>
        </w:rPr>
      </w:pPr>
      <w:r>
        <w:rPr>
          <w:rFonts w:ascii="Arial" w:hAnsi="Arial" w:eastAsia="Arial" w:cs="Arial"/>
          <w:sz w:val="2"/>
          <w:szCs w:val="2"/>
        </w:rPr>
        <w:br w:type="column"/>
      </w:r>
    </w:p>
    <w:p>
      <w:pPr>
        <w:pStyle w:val="BodyText"/>
        <w:ind w:left="7" w:right="114" w:firstLine="407"/>
        <w:spacing w:before="47" w:line="298"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）组织起草、修订固原市通信保障应</w:t>
      </w:r>
      <w:r>
        <w:rPr>
          <w:spacing w:val="5"/>
        </w:rPr>
        <w:t>急预案；</w:t>
      </w:r>
    </w:p>
    <w:p>
      <w:pPr>
        <w:pStyle w:val="BodyText"/>
        <w:ind w:left="3" w:right="114" w:firstLine="411"/>
        <w:spacing w:before="152" w:line="299" w:lineRule="auto"/>
        <w:rPr/>
      </w:pPr>
      <w:r>
        <w:rPr>
          <w:spacing w:val="6"/>
        </w:rPr>
        <w:t>（</w:t>
      </w:r>
      <w:r>
        <w:rPr>
          <w:rFonts w:ascii="Times New Roman" w:hAnsi="Times New Roman" w:eastAsia="Times New Roman" w:cs="Times New Roman"/>
          <w:spacing w:val="6"/>
        </w:rPr>
        <w:t>3</w:t>
      </w:r>
      <w:r>
        <w:rPr>
          <w:rFonts w:ascii="Times New Roman" w:hAnsi="Times New Roman" w:eastAsia="Times New Roman" w:cs="Times New Roman"/>
          <w:spacing w:val="-10"/>
        </w:rPr>
        <w:t xml:space="preserve"> </w:t>
      </w:r>
      <w:r>
        <w:rPr>
          <w:spacing w:val="6"/>
        </w:rPr>
        <w:t>）遇突发事件</w:t>
      </w:r>
      <w:r>
        <w:rPr>
          <w:spacing w:val="-59"/>
        </w:rPr>
        <w:t xml:space="preserve"> </w:t>
      </w:r>
      <w:r>
        <w:rPr>
          <w:spacing w:val="6"/>
        </w:rPr>
        <w:t>，启动本预案</w:t>
      </w:r>
      <w:r>
        <w:rPr>
          <w:spacing w:val="-59"/>
        </w:rPr>
        <w:t xml:space="preserve"> </w:t>
      </w:r>
      <w:r>
        <w:rPr>
          <w:spacing w:val="6"/>
        </w:rPr>
        <w:t>，下达通</w:t>
      </w:r>
      <w:r>
        <w:rPr>
          <w:spacing w:val="8"/>
        </w:rPr>
        <w:t>信保障应急任务；</w:t>
      </w:r>
    </w:p>
    <w:p>
      <w:pPr>
        <w:pStyle w:val="BodyText"/>
        <w:ind w:left="1" w:right="112" w:firstLine="413"/>
        <w:spacing w:before="151" w:line="323" w:lineRule="auto"/>
        <w:rPr/>
      </w:pPr>
      <w:r>
        <w:rPr>
          <w:spacing w:val="8"/>
        </w:rPr>
        <w:t>（</w:t>
      </w:r>
      <w:r>
        <w:rPr>
          <w:rFonts w:ascii="Times New Roman" w:hAnsi="Times New Roman" w:eastAsia="Times New Roman" w:cs="Times New Roman"/>
          <w:spacing w:val="8"/>
        </w:rPr>
        <w:t>4</w:t>
      </w:r>
      <w:r>
        <w:rPr>
          <w:rFonts w:ascii="Times New Roman" w:hAnsi="Times New Roman" w:eastAsia="Times New Roman" w:cs="Times New Roman"/>
          <w:spacing w:val="-5"/>
        </w:rPr>
        <w:t xml:space="preserve"> </w:t>
      </w:r>
      <w:r>
        <w:rPr>
          <w:spacing w:val="8"/>
        </w:rPr>
        <w:t>）决策通信保障应急方案</w:t>
      </w:r>
      <w:r>
        <w:rPr>
          <w:spacing w:val="-59"/>
        </w:rPr>
        <w:t xml:space="preserve"> </w:t>
      </w:r>
      <w:r>
        <w:rPr>
          <w:spacing w:val="8"/>
        </w:rPr>
        <w:t>，并向市政</w:t>
      </w:r>
      <w:r>
        <w:rPr>
          <w:spacing w:val="7"/>
        </w:rPr>
        <w:t>府、自治区通信保障应急指挥部办公室汇报实</w:t>
      </w:r>
      <w:r>
        <w:rPr>
          <w:spacing w:val="7"/>
        </w:rPr>
        <w:t>施及进展情况；</w:t>
      </w:r>
    </w:p>
    <w:p>
      <w:pPr>
        <w:pStyle w:val="BodyText"/>
        <w:ind w:left="2" w:right="114" w:firstLine="412"/>
        <w:spacing w:before="150" w:line="299" w:lineRule="auto"/>
        <w:rPr/>
      </w:pPr>
      <w:r>
        <w:rPr>
          <w:spacing w:val="6"/>
        </w:rPr>
        <w:t>（</w:t>
      </w:r>
      <w:r>
        <w:rPr>
          <w:spacing w:val="-51"/>
        </w:rPr>
        <w:t xml:space="preserve"> </w:t>
      </w:r>
      <w:r>
        <w:rPr>
          <w:rFonts w:ascii="Times New Roman" w:hAnsi="Times New Roman" w:eastAsia="Times New Roman" w:cs="Times New Roman"/>
          <w:spacing w:val="6"/>
        </w:rPr>
        <w:t>5</w:t>
      </w:r>
      <w:r>
        <w:rPr>
          <w:rFonts w:ascii="Times New Roman" w:hAnsi="Times New Roman" w:eastAsia="Times New Roman" w:cs="Times New Roman"/>
          <w:spacing w:val="-18"/>
        </w:rPr>
        <w:t xml:space="preserve"> </w:t>
      </w:r>
      <w:r>
        <w:rPr>
          <w:spacing w:val="6"/>
        </w:rPr>
        <w:t>）部署、检查应急通信保障工作</w:t>
      </w:r>
      <w:r>
        <w:rPr>
          <w:spacing w:val="-59"/>
        </w:rPr>
        <w:t xml:space="preserve"> </w:t>
      </w:r>
      <w:r>
        <w:rPr>
          <w:spacing w:val="6"/>
        </w:rPr>
        <w:t>，解</w:t>
      </w:r>
      <w:r>
        <w:rPr>
          <w:spacing w:val="9"/>
        </w:rPr>
        <w:t>决应急通信保障工作中存在的问题；</w:t>
      </w:r>
    </w:p>
    <w:p>
      <w:pPr>
        <w:pStyle w:val="BodyText"/>
        <w:ind w:left="3" w:right="114" w:firstLine="410"/>
        <w:spacing w:before="153" w:line="298" w:lineRule="auto"/>
        <w:rPr/>
      </w:pPr>
      <w:r>
        <w:rPr>
          <w:spacing w:val="8"/>
        </w:rPr>
        <w:t>（</w:t>
      </w:r>
      <w:r>
        <w:rPr>
          <w:rFonts w:ascii="Times New Roman" w:hAnsi="Times New Roman" w:eastAsia="Times New Roman" w:cs="Times New Roman"/>
          <w:spacing w:val="8"/>
        </w:rPr>
        <w:t>6</w:t>
      </w:r>
      <w:r>
        <w:rPr>
          <w:rFonts w:ascii="Times New Roman" w:hAnsi="Times New Roman" w:eastAsia="Times New Roman" w:cs="Times New Roman"/>
          <w:spacing w:val="-5"/>
        </w:rPr>
        <w:t xml:space="preserve"> </w:t>
      </w:r>
      <w:r>
        <w:rPr>
          <w:spacing w:val="8"/>
        </w:rPr>
        <w:t>）在紧急情况下</w:t>
      </w:r>
      <w:r>
        <w:rPr>
          <w:spacing w:val="-59"/>
        </w:rPr>
        <w:t xml:space="preserve"> </w:t>
      </w:r>
      <w:r>
        <w:rPr>
          <w:spacing w:val="8"/>
        </w:rPr>
        <w:t>，统一调用全市各种</w:t>
      </w:r>
      <w:r>
        <w:rPr>
          <w:spacing w:val="7"/>
        </w:rPr>
        <w:t>通信保障资源；</w:t>
      </w:r>
    </w:p>
    <w:p>
      <w:pPr>
        <w:pStyle w:val="BodyText"/>
        <w:ind w:right="114" w:firstLine="414"/>
        <w:spacing w:before="153" w:line="298" w:lineRule="auto"/>
        <w:rPr/>
      </w:pPr>
      <w:r>
        <w:rPr>
          <w:spacing w:val="8"/>
        </w:rPr>
        <w:t>（</w:t>
      </w:r>
      <w:r>
        <w:rPr>
          <w:rFonts w:ascii="Times New Roman" w:hAnsi="Times New Roman" w:eastAsia="Times New Roman" w:cs="Times New Roman"/>
          <w:spacing w:val="8"/>
        </w:rPr>
        <w:t>7</w:t>
      </w:r>
      <w:r>
        <w:rPr>
          <w:rFonts w:ascii="Times New Roman" w:hAnsi="Times New Roman" w:eastAsia="Times New Roman" w:cs="Times New Roman"/>
          <w:spacing w:val="-5"/>
        </w:rPr>
        <w:t xml:space="preserve"> </w:t>
      </w:r>
      <w:r>
        <w:rPr>
          <w:spacing w:val="8"/>
        </w:rPr>
        <w:t>）根据应急处置实际情况</w:t>
      </w:r>
      <w:r>
        <w:rPr>
          <w:spacing w:val="-59"/>
        </w:rPr>
        <w:t xml:space="preserve"> </w:t>
      </w:r>
      <w:r>
        <w:rPr>
          <w:spacing w:val="8"/>
        </w:rPr>
        <w:t>，提出支援</w:t>
      </w:r>
      <w:r>
        <w:rPr>
          <w:spacing w:val="5"/>
        </w:rPr>
        <w:t>请求。</w:t>
      </w:r>
    </w:p>
    <w:p>
      <w:pPr>
        <w:pStyle w:val="BodyText"/>
        <w:ind w:left="1" w:right="112" w:firstLine="423"/>
        <w:spacing w:before="159" w:line="368" w:lineRule="auto"/>
        <w:rPr/>
      </w:pPr>
      <w:r>
        <w:rPr>
          <w:spacing w:val="6"/>
        </w:rPr>
        <w:t>市政府各有关部门依据分工，分别组织实</w:t>
      </w:r>
      <w:r>
        <w:rPr>
          <w:spacing w:val="9"/>
        </w:rPr>
        <w:t>施通信保障应急行动。主要工作职责：</w:t>
      </w:r>
    </w:p>
    <w:p>
      <w:pPr>
        <w:pStyle w:val="BodyText"/>
        <w:ind w:left="20" w:right="112" w:firstLine="404"/>
        <w:spacing w:line="364" w:lineRule="auto"/>
        <w:rPr/>
      </w:pPr>
      <w:r>
        <w:rPr>
          <w:spacing w:val="6"/>
        </w:rPr>
        <w:t>市发展和改革委员会：会同有关部门协调</w:t>
      </w:r>
      <w:r>
        <w:rPr>
          <w:spacing w:val="6"/>
        </w:rPr>
        <w:t>电力、能源企业为通信保障应急工作提供必要</w:t>
      </w:r>
      <w:r>
        <w:rPr>
          <w:spacing w:val="6"/>
        </w:rPr>
        <w:t>的电力、油料供应。</w:t>
      </w:r>
    </w:p>
    <w:p>
      <w:pPr>
        <w:pStyle w:val="BodyText"/>
        <w:ind w:left="1" w:firstLine="423"/>
        <w:spacing w:before="17" w:line="368" w:lineRule="auto"/>
        <w:jc w:val="both"/>
        <w:rPr/>
      </w:pPr>
      <w:r>
        <w:rPr>
          <w:spacing w:val="6"/>
        </w:rPr>
        <w:t>市工业和信息化局：负责职责范围内通信</w:t>
      </w:r>
      <w:r>
        <w:rPr>
          <w:spacing w:val="-9"/>
        </w:rPr>
        <w:t>保障应急工作的组织、指挥、协调；指导县（</w:t>
      </w:r>
      <w:r>
        <w:rPr>
          <w:spacing w:val="-44"/>
        </w:rPr>
        <w:t xml:space="preserve"> </w:t>
      </w:r>
      <w:r>
        <w:rPr>
          <w:spacing w:val="-9"/>
        </w:rPr>
        <w:t>区）</w:t>
      </w:r>
      <w:r>
        <w:rPr>
          <w:spacing w:val="18"/>
        </w:rPr>
        <w:t>政府和基础电信运营企业等单位开展通信保</w:t>
      </w:r>
      <w:r>
        <w:rPr>
          <w:spacing w:val="7"/>
        </w:rPr>
        <w:t>障应急工作；及时向市政府报告通信保障应急</w:t>
      </w:r>
      <w:r>
        <w:rPr>
          <w:spacing w:val="7"/>
        </w:rPr>
        <w:t>工作进展情况，必要时报请市政府分管副市长</w:t>
      </w:r>
      <w:r>
        <w:rPr>
          <w:spacing w:val="9"/>
        </w:rPr>
        <w:t>组织协调；承担指挥部日常工作。</w:t>
      </w:r>
    </w:p>
    <w:p>
      <w:pPr>
        <w:pStyle w:val="BodyText"/>
        <w:ind w:left="4" w:right="112" w:firstLine="420"/>
        <w:spacing w:before="7" w:line="349" w:lineRule="auto"/>
        <w:rPr/>
      </w:pPr>
      <w:r>
        <w:rPr>
          <w:spacing w:val="6"/>
        </w:rPr>
        <w:t>市民政局：负责向通信保障各有关部门通</w:t>
      </w:r>
      <w:r>
        <w:rPr>
          <w:spacing w:val="8"/>
        </w:rPr>
        <w:t>报灾情和救灾工作开展情况。</w:t>
      </w:r>
    </w:p>
    <w:p>
      <w:pPr>
        <w:pStyle w:val="BodyText"/>
        <w:ind w:left="1" w:right="112" w:firstLine="423"/>
        <w:spacing w:before="43" w:line="351" w:lineRule="auto"/>
        <w:rPr/>
      </w:pPr>
      <w:r>
        <w:rPr>
          <w:spacing w:val="6"/>
        </w:rPr>
        <w:t>市财政局：负责为通信保障应急处置和实</w:t>
      </w:r>
      <w:r>
        <w:rPr>
          <w:spacing w:val="9"/>
        </w:rPr>
        <w:t>施重要通信保障任务提供必要的经费保障。</w:t>
      </w:r>
    </w:p>
    <w:p>
      <w:pPr>
        <w:pStyle w:val="BodyText"/>
        <w:ind w:right="105" w:firstLine="424"/>
        <w:spacing w:before="40" w:line="368" w:lineRule="auto"/>
        <w:rPr/>
      </w:pPr>
      <w:r>
        <w:rPr>
          <w:spacing w:val="6"/>
        </w:rPr>
        <w:t>市公安局：负责维护交通秩序，为通信车</w:t>
      </w:r>
      <w:r>
        <w:rPr>
          <w:spacing w:val="7"/>
        </w:rPr>
        <w:t>辆出行提供保障，为通信车辆指定停放场地，</w:t>
      </w:r>
      <w:r>
        <w:rPr>
          <w:spacing w:val="7"/>
        </w:rPr>
        <w:t>设置警戒线，禁止无关人员进入现场，维持通</w:t>
      </w:r>
      <w:r>
        <w:rPr>
          <w:spacing w:val="9"/>
        </w:rPr>
        <w:t>信保障处置区域内的治安秩序。</w:t>
      </w:r>
    </w:p>
    <w:p>
      <w:pPr>
        <w:pStyle w:val="BodyText"/>
        <w:ind w:left="424"/>
        <w:spacing w:before="6" w:line="221" w:lineRule="auto"/>
        <w:rPr/>
      </w:pPr>
      <w:r>
        <w:rPr>
          <w:spacing w:val="6"/>
        </w:rPr>
        <w:t>市交通运输局：负责协调通信保障应急物</w:t>
      </w:r>
    </w:p>
    <w:p>
      <w:pPr>
        <w:spacing w:line="221" w:lineRule="auto"/>
        <w:sectPr>
          <w:type w:val="continuous"/>
          <w:pgSz w:w="11906" w:h="16839"/>
          <w:pgMar w:top="1766" w:right="1478" w:bottom="1575" w:left="1579" w:header="1428" w:footer="1172" w:gutter="0"/>
          <w:cols w:equalWidth="0" w:num="2">
            <w:col w:w="4487" w:space="100"/>
            <w:col w:w="4262" w:space="0"/>
          </w:cols>
        </w:sectPr>
        <w:rPr/>
      </w:pPr>
    </w:p>
    <w:p>
      <w:pPr>
        <w:spacing w:before="62"/>
        <w:rPr/>
      </w:pPr>
      <w:r>
        <w:drawing>
          <wp:anchor distT="0" distB="0" distL="0" distR="0" simplePos="0" relativeHeight="253209600"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846" name="IM 1846"/>
            <wp:cNvGraphicFramePr/>
            <a:graphic>
              <a:graphicData uri="http://schemas.openxmlformats.org/drawingml/2006/picture">
                <pic:pic>
                  <pic:nvPicPr>
                    <pic:cNvPr id="1846" name="IM 1846"/>
                    <pic:cNvPicPr/>
                  </pic:nvPicPr>
                  <pic:blipFill>
                    <a:blip r:embed="rId925"/>
                    <a:stretch>
                      <a:fillRect/>
                    </a:stretch>
                  </pic:blipFill>
                  <pic:spPr>
                    <a:xfrm rot="0">
                      <a:off x="0" y="0"/>
                      <a:ext cx="5579745" cy="7620"/>
                    </a:xfrm>
                    <a:prstGeom prst="rect">
                      <a:avLst/>
                    </a:prstGeom>
                  </pic:spPr>
                </pic:pic>
              </a:graphicData>
            </a:graphic>
          </wp:anchor>
        </w:drawing>
      </w:r>
      <w:r/>
    </w:p>
    <w:p>
      <w:pPr>
        <w:sectPr>
          <w:headerReference w:type="default" r:id="rId816"/>
          <w:footerReference w:type="default" r:id="rId924"/>
          <w:pgSz w:w="11906" w:h="16839"/>
          <w:pgMar w:top="1772" w:right="1489" w:bottom="1562" w:left="1567" w:header="1428" w:footer="1172" w:gutter="0"/>
          <w:cols w:equalWidth="0" w:num="1">
            <w:col w:w="8850" w:space="0"/>
          </w:cols>
        </w:sectPr>
        <w:rPr/>
      </w:pPr>
    </w:p>
    <w:p>
      <w:pPr>
        <w:pStyle w:val="BodyText"/>
        <w:ind w:left="30"/>
        <w:spacing w:before="50" w:line="223" w:lineRule="auto"/>
        <w:rPr/>
      </w:pPr>
      <w:r>
        <w:rPr>
          <w:spacing w:val="-7"/>
        </w:rPr>
        <w:t>资运输所需的运力，提供高速公路应急通行保障。</w:t>
      </w:r>
    </w:p>
    <w:p>
      <w:pPr>
        <w:pStyle w:val="BodyText"/>
        <w:ind w:left="25" w:right="329" w:firstLine="421"/>
        <w:spacing w:before="157" w:line="349" w:lineRule="auto"/>
        <w:rPr/>
      </w:pPr>
      <w:r>
        <w:rPr>
          <w:spacing w:val="6"/>
        </w:rPr>
        <w:t>市卫生健康委员会：负责协调组织开展通</w:t>
      </w:r>
      <w:r>
        <w:rPr>
          <w:spacing w:val="9"/>
        </w:rPr>
        <w:t>信突发事件人员救助和区域防疫等工作。</w:t>
      </w:r>
    </w:p>
    <w:p>
      <w:pPr>
        <w:pStyle w:val="BodyText"/>
        <w:ind w:left="17" w:right="320" w:firstLine="448"/>
        <w:spacing w:before="44" w:line="368" w:lineRule="auto"/>
        <w:jc w:val="both"/>
        <w:rPr/>
      </w:pPr>
      <w:r>
        <w:rPr>
          <w:spacing w:val="5"/>
        </w:rPr>
        <w:t>电信运营企业：负责组织落实本企业职责</w:t>
      </w:r>
      <w:r>
        <w:rPr>
          <w:spacing w:val="7"/>
        </w:rPr>
        <w:t>范围内的通信保障应急工作；及时向指挥部报</w:t>
      </w:r>
      <w:r>
        <w:rPr>
          <w:spacing w:val="7"/>
        </w:rPr>
        <w:t>告本企业通信保障应急工作进展情况，必要时</w:t>
      </w:r>
      <w:r>
        <w:rPr>
          <w:spacing w:val="7"/>
        </w:rPr>
        <w:t>请求协调支援；健全本企业通信保障应急预案</w:t>
      </w:r>
      <w:r>
        <w:rPr>
          <w:spacing w:val="7"/>
        </w:rPr>
        <w:t>体系，落实通信保障应急物资储备，建立跨县</w:t>
      </w:r>
      <w:r>
        <w:rPr>
          <w:spacing w:val="5"/>
        </w:rPr>
        <w:t>（</w:t>
      </w:r>
      <w:r>
        <w:rPr>
          <w:spacing w:val="-38"/>
        </w:rPr>
        <w:t xml:space="preserve"> </w:t>
      </w:r>
      <w:r>
        <w:rPr>
          <w:spacing w:val="5"/>
        </w:rPr>
        <w:t>区）的通信保障队伍和应急物资调度机制；</w:t>
      </w:r>
      <w:r>
        <w:rPr>
          <w:spacing w:val="7"/>
        </w:rPr>
        <w:t>监督检查各县（区）分公司落实各项通信保障</w:t>
      </w:r>
      <w:r>
        <w:rPr>
          <w:spacing w:val="16"/>
        </w:rPr>
        <w:t>应急工作</w:t>
      </w:r>
      <w:r>
        <w:rPr>
          <w:spacing w:val="-51"/>
        </w:rPr>
        <w:t xml:space="preserve"> </w:t>
      </w:r>
      <w:r>
        <w:rPr>
          <w:spacing w:val="16"/>
        </w:rPr>
        <w:t>；加强本单位通信保障应急队伍建</w:t>
      </w:r>
      <w:r>
        <w:rPr>
          <w:spacing w:val="7"/>
        </w:rPr>
        <w:t>设，提高事故预防预警能力，有针对性地开展</w:t>
      </w:r>
      <w:r>
        <w:rPr>
          <w:spacing w:val="7"/>
        </w:rPr>
        <w:t>演练工作，不断提高应急队伍的组织、响应和</w:t>
      </w:r>
      <w:r>
        <w:rPr>
          <w:spacing w:val="8"/>
        </w:rPr>
        <w:t>处置能力。</w:t>
      </w:r>
    </w:p>
    <w:p>
      <w:pPr>
        <w:pStyle w:val="BodyText"/>
        <w:ind w:left="25" w:right="329" w:firstLine="421"/>
        <w:spacing w:before="14" w:line="369" w:lineRule="auto"/>
        <w:jc w:val="both"/>
        <w:rPr/>
      </w:pPr>
      <w:r>
        <w:rPr>
          <w:spacing w:val="19"/>
        </w:rPr>
        <w:t>市通信保障应急指挥部按照职责分工和</w:t>
      </w:r>
      <w:r>
        <w:rPr>
          <w:spacing w:val="7"/>
        </w:rPr>
        <w:t>协同联动工作需要，将各成员单位按照职责分</w:t>
      </w:r>
      <w:r>
        <w:rPr>
          <w:spacing w:val="7"/>
        </w:rPr>
        <w:t>组开展通信突发事件及其次生、衍生灾害的应</w:t>
      </w:r>
      <w:r>
        <w:rPr>
          <w:spacing w:val="7"/>
        </w:rPr>
        <w:t>急处置工作。</w:t>
      </w:r>
    </w:p>
    <w:p>
      <w:pPr>
        <w:pStyle w:val="BodyText"/>
        <w:ind w:left="437"/>
        <w:spacing w:line="278" w:lineRule="exact"/>
        <w:rPr/>
      </w:pPr>
      <w:r>
        <w:rPr>
          <w:spacing w:val="1"/>
          <w:position w:val="1"/>
        </w:rPr>
        <w:t>（</w:t>
      </w:r>
      <w:r>
        <w:rPr>
          <w:spacing w:val="-45"/>
          <w:position w:val="1"/>
        </w:rPr>
        <w:t xml:space="preserve"> </w:t>
      </w:r>
      <w:r>
        <w:rPr>
          <w:rFonts w:ascii="Times New Roman" w:hAnsi="Times New Roman" w:eastAsia="Times New Roman" w:cs="Times New Roman"/>
          <w:spacing w:val="1"/>
          <w:position w:val="1"/>
        </w:rPr>
        <w:t>1</w:t>
      </w:r>
      <w:r>
        <w:rPr>
          <w:rFonts w:ascii="Times New Roman" w:hAnsi="Times New Roman" w:eastAsia="Times New Roman" w:cs="Times New Roman"/>
          <w:spacing w:val="-21"/>
          <w:position w:val="1"/>
        </w:rPr>
        <w:t xml:space="preserve"> </w:t>
      </w:r>
      <w:r>
        <w:rPr>
          <w:spacing w:val="1"/>
          <w:position w:val="1"/>
        </w:rPr>
        <w:t>）抢险应急工作组。</w:t>
      </w:r>
    </w:p>
    <w:p>
      <w:pPr>
        <w:pStyle w:val="BodyText"/>
        <w:ind w:left="445"/>
        <w:spacing w:before="122" w:line="278" w:lineRule="exact"/>
        <w:rPr/>
      </w:pPr>
      <w:r>
        <w:rPr>
          <w:spacing w:val="8"/>
          <w:position w:val="1"/>
        </w:rPr>
        <w:t>组    长：市工业和信息化局局长</w:t>
      </w:r>
    </w:p>
    <w:p>
      <w:pPr>
        <w:pStyle w:val="BodyText"/>
        <w:ind w:left="25" w:right="322" w:firstLine="425"/>
        <w:spacing w:before="121" w:line="351" w:lineRule="auto"/>
        <w:rPr/>
      </w:pPr>
      <w:r>
        <w:rPr>
          <w:spacing w:val="6"/>
        </w:rPr>
        <w:t>副 组 长：市工业信息化局分管副局长，</w:t>
      </w:r>
      <w:r>
        <w:rPr>
          <w:spacing w:val="9"/>
        </w:rPr>
        <w:t>各电信运营企业负责人</w:t>
      </w:r>
    </w:p>
    <w:p>
      <w:pPr>
        <w:pStyle w:val="BodyText"/>
        <w:ind w:left="26" w:right="327" w:firstLine="419"/>
        <w:spacing w:before="41" w:line="354" w:lineRule="auto"/>
        <w:rPr/>
      </w:pPr>
      <w:r>
        <w:rPr>
          <w:spacing w:val="6"/>
        </w:rPr>
        <w:t>成员单位：市发展和改革委、市交通运输</w:t>
      </w:r>
      <w:r>
        <w:rPr>
          <w:spacing w:val="4"/>
        </w:rPr>
        <w:t>局、市财政局、事发县（</w:t>
      </w:r>
      <w:r>
        <w:rPr>
          <w:spacing w:val="-34"/>
        </w:rPr>
        <w:t xml:space="preserve"> </w:t>
      </w:r>
      <w:r>
        <w:rPr>
          <w:spacing w:val="4"/>
        </w:rPr>
        <w:t>区）政府，由市应急</w:t>
      </w:r>
      <w:r>
        <w:rPr>
          <w:spacing w:val="8"/>
        </w:rPr>
        <w:t>指挥部确定的非政府职能部门。</w:t>
      </w:r>
    </w:p>
    <w:p>
      <w:pPr>
        <w:pStyle w:val="BodyText"/>
        <w:ind w:left="24" w:right="329" w:firstLine="429"/>
        <w:spacing w:before="48" w:line="369" w:lineRule="auto"/>
        <w:jc w:val="both"/>
        <w:rPr/>
      </w:pPr>
      <w:r>
        <w:rPr>
          <w:spacing w:val="6"/>
        </w:rPr>
        <w:t>主要职责：负责起草、修订固原市通信保</w:t>
      </w:r>
      <w:r>
        <w:rPr>
          <w:spacing w:val="7"/>
        </w:rPr>
        <w:t>障应急预案，组织市内基础电信运营企业实施</w:t>
      </w:r>
      <w:r>
        <w:rPr>
          <w:spacing w:val="7"/>
        </w:rPr>
        <w:t>通信保障和通信恢复等应急工作，组织制定灾</w:t>
      </w:r>
      <w:r>
        <w:rPr>
          <w:spacing w:val="18"/>
        </w:rPr>
        <w:t>后恢复重建计划报市通信保障应急指挥部办</w:t>
      </w:r>
      <w:r>
        <w:rPr>
          <w:spacing w:val="9"/>
        </w:rPr>
        <w:t>公室，并组织基础电信运营企业尽快实施。</w:t>
      </w:r>
    </w:p>
    <w:p>
      <w:pPr>
        <w:pStyle w:val="BodyText"/>
        <w:ind w:left="437"/>
        <w:spacing w:before="1" w:line="278" w:lineRule="exact"/>
        <w:rPr/>
      </w:pPr>
      <w:r>
        <w:rPr>
          <w:spacing w:val="6"/>
          <w:position w:val="1"/>
        </w:rPr>
        <w:t>（</w:t>
      </w:r>
      <w:r>
        <w:rPr>
          <w:rFonts w:ascii="Times New Roman" w:hAnsi="Times New Roman" w:eastAsia="Times New Roman" w:cs="Times New Roman"/>
          <w:spacing w:val="6"/>
          <w:position w:val="1"/>
        </w:rPr>
        <w:t>2</w:t>
      </w:r>
      <w:r>
        <w:rPr>
          <w:rFonts w:ascii="Times New Roman" w:hAnsi="Times New Roman" w:eastAsia="Times New Roman" w:cs="Times New Roman"/>
          <w:spacing w:val="-21"/>
          <w:position w:val="1"/>
        </w:rPr>
        <w:t xml:space="preserve"> </w:t>
      </w:r>
      <w:r>
        <w:rPr>
          <w:spacing w:val="6"/>
          <w:position w:val="1"/>
        </w:rPr>
        <w:t>）医疗救治工作组。</w:t>
      </w:r>
    </w:p>
    <w:p>
      <w:pPr>
        <w:pStyle w:val="BodyText"/>
        <w:ind w:left="445"/>
        <w:spacing w:before="124" w:line="221" w:lineRule="auto"/>
        <w:rPr/>
      </w:pPr>
      <w:r>
        <w:rPr>
          <w:spacing w:val="8"/>
        </w:rPr>
        <w:t>组    长：市卫生健康委员会主任</w:t>
      </w:r>
    </w:p>
    <w:p>
      <w:pPr>
        <w:spacing w:line="14" w:lineRule="auto"/>
        <w:rPr>
          <w:rFonts w:ascii="Arial"/>
          <w:sz w:val="2"/>
        </w:rPr>
      </w:pPr>
      <w:r>
        <w:rPr>
          <w:rFonts w:ascii="Arial" w:hAnsi="Arial" w:eastAsia="Arial" w:cs="Arial"/>
          <w:sz w:val="2"/>
          <w:szCs w:val="2"/>
        </w:rPr>
        <w:br w:type="column"/>
      </w:r>
    </w:p>
    <w:p>
      <w:pPr>
        <w:pStyle w:val="BodyText"/>
        <w:ind w:left="427"/>
        <w:spacing w:before="46" w:line="278" w:lineRule="exact"/>
        <w:rPr/>
      </w:pPr>
      <w:r>
        <w:rPr>
          <w:spacing w:val="8"/>
          <w:position w:val="1"/>
        </w:rPr>
        <w:t>副 组 长：市疾控中心主任</w:t>
      </w:r>
    </w:p>
    <w:p>
      <w:pPr>
        <w:pStyle w:val="BodyText"/>
        <w:ind w:left="1" w:right="18" w:firstLine="420"/>
        <w:spacing w:before="123" w:line="366" w:lineRule="auto"/>
        <w:rPr/>
      </w:pPr>
      <w:r>
        <w:rPr>
          <w:spacing w:val="6"/>
        </w:rPr>
        <w:t>成员单位：市人民医院、市疾控中心、市</w:t>
      </w:r>
      <w:r>
        <w:rPr>
          <w:spacing w:val="-1"/>
        </w:rPr>
        <w:t>卫生监督所、事发地县（</w:t>
      </w:r>
      <w:r>
        <w:rPr>
          <w:spacing w:val="-50"/>
        </w:rPr>
        <w:t xml:space="preserve"> </w:t>
      </w:r>
      <w:r>
        <w:rPr>
          <w:spacing w:val="-1"/>
        </w:rPr>
        <w:t>区）医疗机构、疾</w:t>
      </w:r>
      <w:r>
        <w:rPr>
          <w:spacing w:val="-2"/>
        </w:rPr>
        <w:t>控、</w:t>
      </w:r>
    </w:p>
    <w:p>
      <w:pPr>
        <w:pStyle w:val="BodyText"/>
        <w:ind w:left="1"/>
        <w:spacing w:before="11" w:line="216" w:lineRule="auto"/>
        <w:rPr/>
      </w:pPr>
      <w:r>
        <w:rPr>
          <w:spacing w:val="7"/>
        </w:rPr>
        <w:t>卫生监督机构。</w:t>
      </w:r>
    </w:p>
    <w:p>
      <w:pPr>
        <w:pStyle w:val="BodyText"/>
        <w:spacing w:before="161" w:line="277" w:lineRule="exact"/>
        <w:jc w:val="right"/>
        <w:rPr/>
      </w:pPr>
      <w:r>
        <w:rPr>
          <w:spacing w:val="-10"/>
          <w:position w:val="1"/>
        </w:rPr>
        <w:t>主要职责：负责伤病员救治，现场卫生处理。</w:t>
      </w:r>
    </w:p>
    <w:p>
      <w:pPr>
        <w:pStyle w:val="BodyText"/>
        <w:ind w:left="413"/>
        <w:spacing w:before="121" w:line="277" w:lineRule="exact"/>
        <w:rPr/>
      </w:pPr>
      <w:r>
        <w:rPr>
          <w:spacing w:val="6"/>
          <w:position w:val="1"/>
        </w:rPr>
        <w:t>（</w:t>
      </w:r>
      <w:r>
        <w:rPr>
          <w:rFonts w:ascii="Times New Roman" w:hAnsi="Times New Roman" w:eastAsia="Times New Roman" w:cs="Times New Roman"/>
          <w:spacing w:val="6"/>
          <w:position w:val="1"/>
        </w:rPr>
        <w:t>3</w:t>
      </w:r>
      <w:r>
        <w:rPr>
          <w:rFonts w:ascii="Times New Roman" w:hAnsi="Times New Roman" w:eastAsia="Times New Roman" w:cs="Times New Roman"/>
          <w:spacing w:val="-21"/>
          <w:position w:val="1"/>
        </w:rPr>
        <w:t xml:space="preserve"> </w:t>
      </w:r>
      <w:r>
        <w:rPr>
          <w:spacing w:val="6"/>
          <w:position w:val="1"/>
        </w:rPr>
        <w:t>）新闻宣传工作组。</w:t>
      </w:r>
    </w:p>
    <w:p>
      <w:pPr>
        <w:pStyle w:val="BodyText"/>
        <w:ind w:left="3" w:right="101" w:firstLine="418"/>
        <w:spacing w:before="123" w:line="351" w:lineRule="auto"/>
        <w:rPr/>
      </w:pPr>
      <w:r>
        <w:rPr>
          <w:spacing w:val="6"/>
        </w:rPr>
        <w:t>组    长：由市应急指挥部根据工作需要</w:t>
      </w:r>
      <w:r>
        <w:rPr>
          <w:spacing w:val="6"/>
        </w:rPr>
        <w:t>确定</w:t>
      </w:r>
    </w:p>
    <w:p>
      <w:pPr>
        <w:pStyle w:val="BodyText"/>
        <w:ind w:left="427"/>
        <w:spacing w:before="40" w:line="277" w:lineRule="exact"/>
        <w:rPr/>
      </w:pPr>
      <w:r>
        <w:rPr>
          <w:spacing w:val="8"/>
          <w:position w:val="1"/>
        </w:rPr>
        <w:t>副 组 长：市工业信息化局分管副局长</w:t>
      </w:r>
    </w:p>
    <w:p>
      <w:pPr>
        <w:pStyle w:val="BodyText"/>
        <w:ind w:left="3" w:right="101" w:firstLine="418"/>
        <w:spacing w:before="124" w:line="354" w:lineRule="auto"/>
        <w:rPr/>
      </w:pPr>
      <w:r>
        <w:rPr>
          <w:spacing w:val="6"/>
        </w:rPr>
        <w:t>成员单位：固原日报社、固原电视台、事</w:t>
      </w:r>
      <w:r>
        <w:rPr>
          <w:spacing w:val="4"/>
        </w:rPr>
        <w:t>发地县（</w:t>
      </w:r>
      <w:r>
        <w:rPr>
          <w:spacing w:val="-37"/>
        </w:rPr>
        <w:t xml:space="preserve"> </w:t>
      </w:r>
      <w:r>
        <w:rPr>
          <w:spacing w:val="4"/>
        </w:rPr>
        <w:t>区）宣传机构，由市应急指挥部确定</w:t>
      </w:r>
      <w:r>
        <w:rPr>
          <w:spacing w:val="8"/>
        </w:rPr>
        <w:t>的非政府职能部门。</w:t>
      </w:r>
    </w:p>
    <w:p>
      <w:pPr>
        <w:pStyle w:val="BodyText"/>
        <w:ind w:right="101" w:firstLine="428"/>
        <w:spacing w:before="50" w:line="350" w:lineRule="auto"/>
        <w:rPr/>
      </w:pPr>
      <w:r>
        <w:rPr>
          <w:spacing w:val="6"/>
        </w:rPr>
        <w:t>主要职责：负责通信应急有关信息及时向</w:t>
      </w:r>
      <w:r>
        <w:rPr>
          <w:spacing w:val="7"/>
        </w:rPr>
        <w:t>社会发布工作。</w:t>
      </w:r>
    </w:p>
    <w:p>
      <w:pPr>
        <w:pStyle w:val="BodyText"/>
        <w:ind w:left="413"/>
        <w:spacing w:before="40" w:line="278" w:lineRule="exact"/>
        <w:rPr/>
      </w:pPr>
      <w:r>
        <w:rPr>
          <w:spacing w:val="6"/>
          <w:position w:val="1"/>
        </w:rPr>
        <w:t>（</w:t>
      </w:r>
      <w:r>
        <w:rPr>
          <w:rFonts w:ascii="Times New Roman" w:hAnsi="Times New Roman" w:eastAsia="Times New Roman" w:cs="Times New Roman"/>
          <w:spacing w:val="6"/>
          <w:position w:val="1"/>
        </w:rPr>
        <w:t>4</w:t>
      </w:r>
      <w:r>
        <w:rPr>
          <w:rFonts w:ascii="Times New Roman" w:hAnsi="Times New Roman" w:eastAsia="Times New Roman" w:cs="Times New Roman"/>
          <w:spacing w:val="-21"/>
          <w:position w:val="1"/>
        </w:rPr>
        <w:t xml:space="preserve"> </w:t>
      </w:r>
      <w:r>
        <w:rPr>
          <w:spacing w:val="6"/>
          <w:position w:val="1"/>
        </w:rPr>
        <w:t>）善后处理工作组。</w:t>
      </w:r>
    </w:p>
    <w:p>
      <w:pPr>
        <w:pStyle w:val="BodyText"/>
        <w:ind w:left="446"/>
        <w:spacing w:before="123" w:line="277" w:lineRule="exact"/>
        <w:rPr/>
      </w:pPr>
      <w:r>
        <w:rPr>
          <w:spacing w:val="4"/>
          <w:position w:val="1"/>
        </w:rPr>
        <w:t>由事故发生地县（</w:t>
      </w:r>
      <w:r>
        <w:rPr>
          <w:spacing w:val="-48"/>
          <w:position w:val="1"/>
        </w:rPr>
        <w:t xml:space="preserve"> </w:t>
      </w:r>
      <w:r>
        <w:rPr>
          <w:spacing w:val="4"/>
          <w:position w:val="1"/>
        </w:rPr>
        <w:t>区）政府负责</w:t>
      </w:r>
    </w:p>
    <w:p>
      <w:pPr>
        <w:pStyle w:val="BodyText"/>
        <w:ind w:left="2" w:right="101" w:firstLine="419"/>
        <w:spacing w:before="124" w:line="349" w:lineRule="auto"/>
        <w:rPr/>
      </w:pPr>
      <w:r>
        <w:rPr>
          <w:spacing w:val="6"/>
        </w:rPr>
        <w:t>成员单位：市公安局、市民政局、市财政</w:t>
      </w:r>
      <w:r>
        <w:rPr>
          <w:spacing w:val="9"/>
        </w:rPr>
        <w:t>局、市工业信息化局</w:t>
      </w:r>
    </w:p>
    <w:p>
      <w:pPr>
        <w:pStyle w:val="BodyText"/>
        <w:ind w:right="94" w:firstLine="429"/>
        <w:spacing w:before="42" w:line="365" w:lineRule="auto"/>
        <w:jc w:val="both"/>
        <w:rPr/>
      </w:pPr>
      <w:r>
        <w:rPr>
          <w:spacing w:val="6"/>
        </w:rPr>
        <w:t>主要职责：负责事件发生后的安抚工作，</w:t>
      </w:r>
      <w:r>
        <w:rPr>
          <w:spacing w:val="7"/>
        </w:rPr>
        <w:t>查处、打击破坏通信设施的违法犯罪行为，恢</w:t>
      </w:r>
      <w:r>
        <w:rPr>
          <w:spacing w:val="9"/>
        </w:rPr>
        <w:t>复事发地正常秩序，确保通信畅通。</w:t>
      </w:r>
    </w:p>
    <w:p>
      <w:pPr>
        <w:pStyle w:val="BodyText"/>
        <w:ind w:right="94" w:firstLine="421"/>
        <w:spacing w:before="16" w:line="369" w:lineRule="auto"/>
        <w:jc w:val="both"/>
        <w:rPr/>
      </w:pPr>
      <w:r>
        <w:rPr>
          <w:rFonts w:ascii="Times New Roman" w:hAnsi="Times New Roman" w:eastAsia="Times New Roman" w:cs="Times New Roman"/>
          <w:spacing w:val="8"/>
        </w:rPr>
        <w:t>2.2  </w:t>
      </w:r>
      <w:r>
        <w:rPr>
          <w:rFonts w:ascii="KaiTi" w:hAnsi="KaiTi" w:eastAsia="KaiTi" w:cs="KaiTi"/>
          <w:spacing w:val="8"/>
        </w:rPr>
        <w:t>市通信应急保障指挥部办公室。</w:t>
      </w:r>
      <w:r>
        <w:rPr>
          <w:spacing w:val="8"/>
        </w:rPr>
        <w:t>市通</w:t>
      </w:r>
      <w:r>
        <w:rPr>
          <w:spacing w:val="18"/>
        </w:rPr>
        <w:t>信保障应急指挥部办公室是市通信保障应急</w:t>
      </w:r>
      <w:r>
        <w:rPr>
          <w:spacing w:val="7"/>
        </w:rPr>
        <w:t>指挥部的日常工作机构，设在市工业和信息化</w:t>
      </w:r>
      <w:r>
        <w:rPr>
          <w:spacing w:val="7"/>
        </w:rPr>
        <w:t>局。办公室主任由市工业信息化局局长兼任，</w:t>
      </w:r>
      <w:r>
        <w:rPr>
          <w:spacing w:val="7"/>
        </w:rPr>
        <w:t>办公室副主任由分管副局长兼任。办公室常设</w:t>
      </w:r>
      <w:r>
        <w:rPr>
          <w:spacing w:val="5"/>
        </w:rPr>
        <w:t>值班工作电话为</w:t>
      </w:r>
      <w:r>
        <w:rPr>
          <w:spacing w:val="-24"/>
        </w:rPr>
        <w:t xml:space="preserve"> </w:t>
      </w:r>
      <w:r>
        <w:rPr>
          <w:rFonts w:ascii="Times New Roman" w:hAnsi="Times New Roman" w:eastAsia="Times New Roman" w:cs="Times New Roman"/>
          <w:spacing w:val="5"/>
        </w:rPr>
        <w:t>0954-2088150</w:t>
      </w:r>
      <w:r>
        <w:rPr>
          <w:spacing w:val="5"/>
        </w:rPr>
        <w:t>。</w:t>
      </w:r>
    </w:p>
    <w:p>
      <w:pPr>
        <w:pStyle w:val="BodyText"/>
        <w:ind w:right="96" w:firstLine="423"/>
        <w:spacing w:before="4" w:line="339" w:lineRule="auto"/>
        <w:jc w:val="both"/>
        <w:rPr/>
      </w:pPr>
      <w:r>
        <w:rPr>
          <w:spacing w:val="7"/>
        </w:rPr>
        <w:t>市通信保障应急指挥部办公室主要职责：</w:t>
      </w:r>
      <w:r>
        <w:rPr>
          <w:spacing w:val="7"/>
        </w:rPr>
        <w:t>按照市通信保障应急指挥部的工作部署，分类</w:t>
      </w:r>
      <w:r>
        <w:rPr>
          <w:spacing w:val="7"/>
        </w:rPr>
        <w:t>管理通信应急突发事件。协调组织成员单位排</w:t>
      </w:r>
      <w:r>
        <w:rPr>
          <w:spacing w:val="7"/>
        </w:rPr>
        <w:t>查、治理和监控通信突发事件风险隐患；落实</w:t>
      </w:r>
      <w:r>
        <w:rPr>
          <w:spacing w:val="7"/>
        </w:rPr>
        <w:t>突发事件预防、预警措施；编制和执行相关应</w:t>
      </w:r>
    </w:p>
    <w:p>
      <w:pPr>
        <w:spacing w:line="339" w:lineRule="auto"/>
        <w:sectPr>
          <w:type w:val="continuous"/>
          <w:pgSz w:w="11906" w:h="16839"/>
          <w:pgMar w:top="1772" w:right="1489" w:bottom="1562" w:left="1567" w:header="1428" w:footer="1172" w:gutter="0"/>
          <w:cols w:equalWidth="0" w:num="2">
            <w:col w:w="4502" w:space="100"/>
            <w:col w:w="4249" w:space="0"/>
          </w:cols>
        </w:sectPr>
        <w:rPr/>
      </w:pPr>
    </w:p>
    <w:p>
      <w:pPr>
        <w:spacing w:line="147" w:lineRule="exact"/>
        <w:rPr/>
      </w:pPr>
      <w:r>
        <w:drawing>
          <wp:anchor distT="0" distB="0" distL="0" distR="0" simplePos="0" relativeHeight="253220864"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850" name="IM 1850"/>
            <wp:cNvGraphicFramePr/>
            <a:graphic>
              <a:graphicData uri="http://schemas.openxmlformats.org/drawingml/2006/picture">
                <pic:pic>
                  <pic:nvPicPr>
                    <pic:cNvPr id="1850" name="IM 1850"/>
                    <pic:cNvPicPr/>
                  </pic:nvPicPr>
                  <pic:blipFill>
                    <a:blip r:embed="rId927"/>
                    <a:stretch>
                      <a:fillRect/>
                    </a:stretch>
                  </pic:blipFill>
                  <pic:spPr>
                    <a:xfrm rot="0">
                      <a:off x="0" y="0"/>
                      <a:ext cx="5579745" cy="7620"/>
                    </a:xfrm>
                    <a:prstGeom prst="rect">
                      <a:avLst/>
                    </a:prstGeom>
                  </pic:spPr>
                </pic:pic>
              </a:graphicData>
            </a:graphic>
          </wp:anchor>
        </w:drawing>
      </w:r>
      <w:r/>
    </w:p>
    <w:p>
      <w:pPr>
        <w:spacing w:line="147" w:lineRule="exact"/>
        <w:sectPr>
          <w:headerReference w:type="default" r:id="rId549"/>
          <w:footerReference w:type="default" r:id="rId926"/>
          <w:pgSz w:w="11906" w:h="16839"/>
          <w:pgMar w:top="1766" w:right="1530" w:bottom="1575" w:left="1579" w:header="1428" w:footer="1172" w:gutter="0"/>
          <w:cols w:equalWidth="0" w:num="1">
            <w:col w:w="8796" w:space="0"/>
          </w:cols>
        </w:sectPr>
        <w:rPr/>
      </w:pPr>
    </w:p>
    <w:p>
      <w:pPr>
        <w:pStyle w:val="BodyText"/>
        <w:ind w:left="12" w:right="327" w:firstLine="4"/>
        <w:spacing w:before="41" w:line="368" w:lineRule="auto"/>
        <w:jc w:val="both"/>
        <w:rPr/>
      </w:pPr>
      <w:r>
        <w:rPr>
          <w:spacing w:val="7"/>
        </w:rPr>
        <w:t>急预案；依据市应急体系总体规划落实应急体</w:t>
      </w:r>
      <w:r>
        <w:rPr>
          <w:spacing w:val="7"/>
        </w:rPr>
        <w:t>系建设任务和目标、预案演练活动、业务培训</w:t>
      </w:r>
      <w:r>
        <w:rPr>
          <w:spacing w:val="7"/>
        </w:rPr>
        <w:t>和科普宣教工作；指导、监督基层组织和单位</w:t>
      </w:r>
      <w:r>
        <w:rPr>
          <w:spacing w:val="7"/>
        </w:rPr>
        <w:t>加强应急管理工作；总结评估通信应急管理工</w:t>
      </w:r>
      <w:r>
        <w:rPr>
          <w:spacing w:val="4"/>
        </w:rPr>
        <w:t>作和突发事件处置工作；指导县（</w:t>
      </w:r>
      <w:r>
        <w:rPr>
          <w:spacing w:val="-35"/>
        </w:rPr>
        <w:t xml:space="preserve"> </w:t>
      </w:r>
      <w:r>
        <w:rPr>
          <w:spacing w:val="4"/>
        </w:rPr>
        <w:t>区）应急委</w:t>
      </w:r>
      <w:r>
        <w:rPr>
          <w:spacing w:val="18"/>
        </w:rPr>
        <w:t>对应的通信专项应急指挥机构做好相关突发</w:t>
      </w:r>
      <w:r>
        <w:rPr>
          <w:spacing w:val="7"/>
        </w:rPr>
        <w:t>事件应对工作；承担市通信保障应急指挥部交</w:t>
      </w:r>
      <w:r>
        <w:rPr>
          <w:spacing w:val="7"/>
        </w:rPr>
        <w:t>办的其他工作。</w:t>
      </w:r>
    </w:p>
    <w:p>
      <w:pPr>
        <w:pStyle w:val="BodyText"/>
        <w:ind w:left="11" w:right="247" w:firstLine="423"/>
        <w:spacing w:before="11" w:line="369" w:lineRule="auto"/>
        <w:jc w:val="both"/>
        <w:rPr/>
      </w:pPr>
      <w:r>
        <w:rPr/>
        <w:t>接到监测、预测和预警信息，发生较严重、</w:t>
      </w:r>
      <w:r>
        <w:rPr>
          <w:spacing w:val="7"/>
        </w:rPr>
        <w:t>严重或特别严重突发事件后，市通信保障应急</w:t>
      </w:r>
      <w:r>
        <w:rPr>
          <w:spacing w:val="18"/>
        </w:rPr>
        <w:t>指挥部办公室要立即组织各成员单位开展会</w:t>
      </w:r>
      <w:r>
        <w:rPr>
          <w:spacing w:val="7"/>
        </w:rPr>
        <w:t>商或分析研判事件发展趋势、事件影响程度和</w:t>
      </w:r>
      <w:r>
        <w:rPr>
          <w:spacing w:val="7"/>
        </w:rPr>
        <w:t>范围；及时向市委，政府、市通信保障应急指</w:t>
      </w:r>
      <w:r>
        <w:rPr>
          <w:spacing w:val="7"/>
        </w:rPr>
        <w:t>挥部报告情况，提出启动或终止应急响应级别</w:t>
      </w:r>
      <w:r>
        <w:rPr>
          <w:spacing w:val="7"/>
        </w:rPr>
        <w:t>和处置措施等工作建议；根据市通信保障应急</w:t>
      </w:r>
      <w:r>
        <w:rPr>
          <w:spacing w:val="7"/>
        </w:rPr>
        <w:t>指挥部的决定，协调组织各成员单位到指定地</w:t>
      </w:r>
      <w:r>
        <w:rPr>
          <w:spacing w:val="7"/>
        </w:rPr>
        <w:t>点集结或赶赴突发事件现场；落实事件处置工</w:t>
      </w:r>
      <w:r>
        <w:rPr>
          <w:spacing w:val="9"/>
        </w:rPr>
        <w:t>作中综合协调、信息报送和值守应急工作。</w:t>
      </w:r>
    </w:p>
    <w:p>
      <w:pPr>
        <w:pStyle w:val="BodyText"/>
        <w:ind w:left="14" w:right="327" w:firstLine="419"/>
        <w:spacing w:before="3" w:line="332" w:lineRule="auto"/>
        <w:rPr/>
      </w:pPr>
      <w:r>
        <w:rPr>
          <w:rFonts w:ascii="Times New Roman" w:hAnsi="Times New Roman" w:eastAsia="Times New Roman" w:cs="Times New Roman"/>
          <w:spacing w:val="5"/>
        </w:rPr>
        <w:t>2.3  </w:t>
      </w:r>
      <w:r>
        <w:rPr>
          <w:rFonts w:ascii="KaiTi" w:hAnsi="KaiTi" w:eastAsia="KaiTi" w:cs="KaiTi"/>
          <w:spacing w:val="5"/>
        </w:rPr>
        <w:t>县（</w:t>
      </w:r>
      <w:r>
        <w:rPr>
          <w:rFonts w:ascii="KaiTi" w:hAnsi="KaiTi" w:eastAsia="KaiTi" w:cs="KaiTi"/>
          <w:spacing w:val="-31"/>
        </w:rPr>
        <w:t xml:space="preserve"> </w:t>
      </w:r>
      <w:r>
        <w:rPr>
          <w:rFonts w:ascii="KaiTi" w:hAnsi="KaiTi" w:eastAsia="KaiTi" w:cs="KaiTi"/>
          <w:spacing w:val="5"/>
        </w:rPr>
        <w:t>区）通信保障应急指挥机构。</w:t>
      </w:r>
      <w:r>
        <w:rPr>
          <w:spacing w:val="5"/>
        </w:rPr>
        <w:t>各</w:t>
      </w:r>
      <w:r>
        <w:rPr>
          <w:spacing w:val="4"/>
        </w:rPr>
        <w:t>县（</w:t>
      </w:r>
      <w:r>
        <w:rPr>
          <w:spacing w:val="-37"/>
        </w:rPr>
        <w:t xml:space="preserve"> </w:t>
      </w:r>
      <w:r>
        <w:rPr>
          <w:spacing w:val="4"/>
        </w:rPr>
        <w:t>区）政府按照通信突发事件分级标准，参</w:t>
      </w:r>
      <w:r>
        <w:rPr>
          <w:spacing w:val="7"/>
        </w:rPr>
        <w:t>考本预案，建立健全相应的应急指挥机构，组</w:t>
      </w:r>
      <w:r>
        <w:rPr>
          <w:spacing w:val="8"/>
        </w:rPr>
        <w:t>织做好先期处置和应对工作。</w:t>
      </w:r>
    </w:p>
    <w:p>
      <w:pPr>
        <w:pStyle w:val="BodyText"/>
        <w:ind w:left="11" w:right="321" w:firstLine="421"/>
        <w:spacing w:before="156" w:line="340" w:lineRule="auto"/>
        <w:rPr/>
      </w:pPr>
      <w:r>
        <w:rPr>
          <w:rFonts w:ascii="Times New Roman" w:hAnsi="Times New Roman" w:eastAsia="Times New Roman" w:cs="Times New Roman"/>
          <w:spacing w:val="8"/>
        </w:rPr>
        <w:t>2.4  </w:t>
      </w:r>
      <w:r>
        <w:rPr>
          <w:rFonts w:ascii="KaiTi" w:hAnsi="KaiTi" w:eastAsia="KaiTi" w:cs="KaiTi"/>
          <w:spacing w:val="8"/>
        </w:rPr>
        <w:t>专家组。</w:t>
      </w:r>
      <w:r>
        <w:rPr>
          <w:spacing w:val="8"/>
        </w:rPr>
        <w:t>市工业和信息化局成立通信</w:t>
      </w:r>
      <w:r>
        <w:rPr>
          <w:spacing w:val="7"/>
        </w:rPr>
        <w:t>突发事件应急专家组，主要职责是：承担通信</w:t>
      </w:r>
      <w:r>
        <w:rPr>
          <w:spacing w:val="7"/>
        </w:rPr>
        <w:t>保障应急工作决策咨询任务；提出通信保障应</w:t>
      </w:r>
      <w:r>
        <w:rPr>
          <w:spacing w:val="7"/>
        </w:rPr>
        <w:t>急处置措施建议；受指挥部及其办公室委托，</w:t>
      </w:r>
      <w:r>
        <w:rPr>
          <w:spacing w:val="9"/>
        </w:rPr>
        <w:t>对有关处置方案进行综合评估等。</w:t>
      </w:r>
    </w:p>
    <w:p>
      <w:pPr>
        <w:ind w:left="436"/>
        <w:spacing w:before="167" w:line="18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3</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5"/>
        </w:rPr>
        <w:t>预防与预警</w:t>
      </w:r>
    </w:p>
    <w:p>
      <w:pPr>
        <w:pStyle w:val="BodyText"/>
        <w:ind w:left="11" w:right="296" w:firstLine="426"/>
        <w:spacing w:before="130" w:line="338" w:lineRule="auto"/>
        <w:jc w:val="both"/>
        <w:rPr/>
      </w:pPr>
      <w:r>
        <w:rPr>
          <w:rFonts w:ascii="Times New Roman" w:hAnsi="Times New Roman" w:eastAsia="Times New Roman" w:cs="Times New Roman"/>
          <w:spacing w:val="8"/>
        </w:rPr>
        <w:t>3.1  </w:t>
      </w:r>
      <w:r>
        <w:rPr>
          <w:rFonts w:ascii="KaiTi" w:hAnsi="KaiTi" w:eastAsia="KaiTi" w:cs="KaiTi"/>
          <w:spacing w:val="8"/>
        </w:rPr>
        <w:t>监测预报。</w:t>
      </w:r>
      <w:r>
        <w:rPr>
          <w:spacing w:val="8"/>
        </w:rPr>
        <w:t>市相关单位、各县（区）</w:t>
      </w:r>
      <w:r>
        <w:rPr>
          <w:spacing w:val="7"/>
        </w:rPr>
        <w:t>要加强对重大危险源的监测监控，及时对可能</w:t>
      </w:r>
      <w:r>
        <w:rPr>
          <w:spacing w:val="8"/>
        </w:rPr>
        <w:t>引发通信突发事件的风险隐患进行排查整改，</w:t>
      </w:r>
      <w:r>
        <w:rPr>
          <w:spacing w:val="8"/>
        </w:rPr>
        <w:t>不能消除隐患的，要及时报告市委、市政府和</w:t>
      </w:r>
      <w:r>
        <w:rPr>
          <w:spacing w:val="8"/>
        </w:rPr>
        <w:t>市通信保障应急指挥部。</w:t>
      </w:r>
    </w:p>
    <w:p>
      <w:pPr>
        <w:spacing w:line="14" w:lineRule="auto"/>
        <w:rPr>
          <w:rFonts w:ascii="Arial"/>
          <w:sz w:val="2"/>
        </w:rPr>
      </w:pPr>
      <w:r>
        <w:rPr>
          <w:rFonts w:ascii="Arial" w:hAnsi="Arial" w:eastAsia="Arial" w:cs="Arial"/>
          <w:sz w:val="2"/>
          <w:szCs w:val="2"/>
        </w:rPr>
        <w:br w:type="column"/>
      </w:r>
    </w:p>
    <w:p>
      <w:pPr>
        <w:pStyle w:val="BodyText"/>
        <w:ind w:left="1" w:right="59" w:firstLine="423"/>
        <w:spacing w:before="41" w:line="369" w:lineRule="auto"/>
        <w:jc w:val="both"/>
        <w:rPr/>
      </w:pPr>
      <w:r>
        <w:rPr>
          <w:spacing w:val="19"/>
        </w:rPr>
        <w:t>市通信保障应急指挥部办公室要建立与</w:t>
      </w:r>
      <w:r>
        <w:rPr>
          <w:spacing w:val="7"/>
        </w:rPr>
        <w:t>有关部门的灾害预警信息共享机制，强化通信</w:t>
      </w:r>
      <w:r>
        <w:rPr>
          <w:spacing w:val="7"/>
        </w:rPr>
        <w:t>网络应急指挥调度系统的预警监测功能，密切</w:t>
      </w:r>
      <w:r>
        <w:rPr>
          <w:spacing w:val="7"/>
        </w:rPr>
        <w:t>关注并及时汇总、通报、共享有关信息。基础</w:t>
      </w:r>
      <w:r>
        <w:rPr>
          <w:spacing w:val="18"/>
        </w:rPr>
        <w:t>电信运营企业要建立和完善网络预警监测机</w:t>
      </w:r>
      <w:r>
        <w:rPr>
          <w:spacing w:val="8"/>
        </w:rPr>
        <w:t>制，加强电信网络运行监测。</w:t>
      </w:r>
    </w:p>
    <w:p>
      <w:pPr>
        <w:pStyle w:val="BodyText"/>
        <w:ind w:right="52" w:firstLine="422"/>
        <w:spacing w:line="369" w:lineRule="auto"/>
        <w:jc w:val="both"/>
        <w:rPr/>
      </w:pPr>
      <w:r>
        <w:rPr>
          <w:spacing w:val="19"/>
        </w:rPr>
        <w:t>基础电信运营企业在通信网络规划和建</w:t>
      </w:r>
      <w:r>
        <w:rPr>
          <w:spacing w:val="7"/>
        </w:rPr>
        <w:t>设中，要贯彻落实网络安全各项工作要求，健</w:t>
      </w:r>
      <w:r>
        <w:rPr>
          <w:spacing w:val="7"/>
        </w:rPr>
        <w:t>全网络安全防护、监测预警和通信保障应急体</w:t>
      </w:r>
      <w:r>
        <w:rPr>
          <w:spacing w:val="7"/>
        </w:rPr>
        <w:t>系建设，不断提高网络的自愈和抗毁能力；强</w:t>
      </w:r>
      <w:r>
        <w:rPr>
          <w:spacing w:val="18"/>
        </w:rPr>
        <w:t>化对网络运行安全和网间互联互通安全的监</w:t>
      </w:r>
      <w:r>
        <w:rPr>
          <w:spacing w:val="7"/>
        </w:rPr>
        <w:t>测及风险隐患排查；完善应急处置机制，修订</w:t>
      </w:r>
      <w:r>
        <w:rPr>
          <w:spacing w:val="7"/>
        </w:rPr>
        <w:t>完善各级通信保障应急预案，定期组织演练，</w:t>
      </w:r>
      <w:r>
        <w:rPr>
          <w:spacing w:val="18"/>
        </w:rPr>
        <w:t>加强网络运行安全和通信保障应急的宣传教</w:t>
      </w:r>
      <w:r>
        <w:rPr>
          <w:spacing w:val="9"/>
        </w:rPr>
        <w:t>育工作，提高应对突发事件的能力。</w:t>
      </w:r>
    </w:p>
    <w:p>
      <w:pPr>
        <w:pStyle w:val="BodyText"/>
        <w:ind w:left="3" w:right="52" w:firstLine="424"/>
        <w:spacing w:before="2" w:line="358" w:lineRule="auto"/>
        <w:jc w:val="both"/>
        <w:rPr/>
      </w:pPr>
      <w:r>
        <w:rPr>
          <w:rFonts w:ascii="Times New Roman" w:hAnsi="Times New Roman" w:eastAsia="Times New Roman" w:cs="Times New Roman"/>
          <w:spacing w:val="8"/>
        </w:rPr>
        <w:t>3.2  </w:t>
      </w:r>
      <w:r>
        <w:rPr>
          <w:rFonts w:ascii="KaiTi" w:hAnsi="KaiTi" w:eastAsia="KaiTi" w:cs="KaiTi"/>
          <w:spacing w:val="8"/>
        </w:rPr>
        <w:t>分级标准。</w:t>
      </w:r>
      <w:r>
        <w:rPr>
          <w:spacing w:val="8"/>
        </w:rPr>
        <w:t>按影响范围，将通信预警</w:t>
      </w:r>
      <w:r>
        <w:rPr>
          <w:spacing w:val="1"/>
        </w:rPr>
        <w:t>划分为特别严重 (</w:t>
      </w:r>
      <w:r>
        <w:rPr>
          <w:spacing w:val="-30"/>
        </w:rPr>
        <w:t xml:space="preserve"> </w:t>
      </w:r>
      <w:r>
        <w:rPr>
          <w:rFonts w:ascii="Times New Roman" w:hAnsi="Times New Roman" w:eastAsia="Times New Roman" w:cs="Times New Roman"/>
          <w:spacing w:val="1"/>
        </w:rPr>
        <w:t>Ⅰ</w:t>
      </w:r>
      <w:r>
        <w:rPr>
          <w:spacing w:val="1"/>
        </w:rPr>
        <w:t>级）、严重 (</w:t>
      </w:r>
      <w:r>
        <w:rPr>
          <w:spacing w:val="-38"/>
        </w:rPr>
        <w:t xml:space="preserve"> </w:t>
      </w:r>
      <w:r>
        <w:rPr>
          <w:rFonts w:ascii="Times New Roman" w:hAnsi="Times New Roman" w:eastAsia="Times New Roman" w:cs="Times New Roman"/>
          <w:spacing w:val="1"/>
        </w:rPr>
        <w:t>Ⅱ</w:t>
      </w:r>
      <w:r>
        <w:rPr>
          <w:spacing w:val="1"/>
        </w:rPr>
        <w:t>级）、较严</w:t>
      </w:r>
      <w:r>
        <w:rPr/>
        <w:t>重 (</w:t>
      </w:r>
      <w:r>
        <w:rPr>
          <w:spacing w:val="-18"/>
        </w:rPr>
        <w:t xml:space="preserve"> </w:t>
      </w:r>
      <w:r>
        <w:rPr>
          <w:rFonts w:ascii="Times New Roman" w:hAnsi="Times New Roman" w:eastAsia="Times New Roman" w:cs="Times New Roman"/>
        </w:rPr>
        <w:t>Ⅲ</w:t>
      </w:r>
      <w:r>
        <w:rPr/>
        <w:t>级）和一般 (</w:t>
      </w:r>
      <w:r>
        <w:rPr>
          <w:spacing w:val="-35"/>
        </w:rPr>
        <w:t xml:space="preserve"> </w:t>
      </w:r>
      <w:r>
        <w:rPr>
          <w:rFonts w:ascii="Times New Roman" w:hAnsi="Times New Roman" w:eastAsia="Times New Roman" w:cs="Times New Roman"/>
        </w:rPr>
        <w:t>Ⅳ</w:t>
      </w:r>
      <w:r>
        <w:rPr/>
        <w:t>级）四个等级，依次标</w:t>
      </w:r>
      <w:r>
        <w:rPr>
          <w:spacing w:val="8"/>
        </w:rPr>
        <w:t>为红色、橙色、黄色和蓝色。</w:t>
      </w:r>
    </w:p>
    <w:p>
      <w:pPr>
        <w:pStyle w:val="BodyText"/>
        <w:ind w:left="1" w:right="59" w:firstLine="422"/>
        <w:spacing w:before="43" w:line="363" w:lineRule="auto"/>
        <w:jc w:val="both"/>
        <w:rPr/>
      </w:pPr>
      <w:r>
        <w:rPr>
          <w:rFonts w:ascii="Times New Roman" w:hAnsi="Times New Roman" w:eastAsia="Times New Roman" w:cs="Times New Roman"/>
          <w:spacing w:val="12"/>
        </w:rPr>
        <w:t>Ⅰ</w:t>
      </w:r>
      <w:r>
        <w:rPr>
          <w:spacing w:val="12"/>
        </w:rPr>
        <w:t>级（红色</w:t>
      </w:r>
      <w:r>
        <w:rPr>
          <w:spacing w:val="1"/>
        </w:rPr>
        <w:t>）</w:t>
      </w:r>
      <w:r>
        <w:rPr>
          <w:spacing w:val="-38"/>
        </w:rPr>
        <w:t xml:space="preserve"> </w:t>
      </w:r>
      <w:r>
        <w:rPr>
          <w:spacing w:val="1"/>
        </w:rPr>
        <w:t>：</w:t>
      </w:r>
      <w:r>
        <w:rPr>
          <w:spacing w:val="12"/>
        </w:rPr>
        <w:t>电信网络出现故障或其他</w:t>
      </w:r>
      <w:r>
        <w:rPr>
          <w:spacing w:val="9"/>
        </w:rPr>
        <w:t>事件征兆，经研判可能引发包括我市在内的</w:t>
      </w:r>
      <w:r>
        <w:rPr>
          <w:spacing w:val="-38"/>
        </w:rPr>
        <w:t xml:space="preserve"> </w:t>
      </w:r>
      <w:r>
        <w:rPr>
          <w:rFonts w:ascii="Times New Roman" w:hAnsi="Times New Roman" w:eastAsia="Times New Roman" w:cs="Times New Roman"/>
          <w:spacing w:val="9"/>
        </w:rPr>
        <w:t>2</w:t>
      </w:r>
      <w:r>
        <w:rPr>
          <w:spacing w:val="3"/>
        </w:rPr>
        <w:t>个以上省（</w:t>
      </w:r>
      <w:r>
        <w:rPr>
          <w:spacing w:val="-14"/>
        </w:rPr>
        <w:t xml:space="preserve"> </w:t>
      </w:r>
      <w:r>
        <w:rPr>
          <w:spacing w:val="3"/>
        </w:rPr>
        <w:t>自治区、直辖市）通信大面积中断</w:t>
      </w:r>
      <w:r>
        <w:rPr>
          <w:spacing w:val="6"/>
        </w:rPr>
        <w:t>的情况。</w:t>
      </w:r>
    </w:p>
    <w:p>
      <w:pPr>
        <w:pStyle w:val="BodyText"/>
        <w:ind w:left="3" w:right="40" w:firstLine="420"/>
        <w:spacing w:before="29" w:line="365" w:lineRule="auto"/>
        <w:jc w:val="both"/>
        <w:rPr/>
      </w:pPr>
      <w:r>
        <w:rPr>
          <w:rFonts w:ascii="Times New Roman" w:hAnsi="Times New Roman" w:eastAsia="Times New Roman" w:cs="Times New Roman"/>
          <w:spacing w:val="-2"/>
        </w:rPr>
        <w:t>Ⅱ</w:t>
      </w:r>
      <w:r>
        <w:rPr>
          <w:spacing w:val="-2"/>
        </w:rPr>
        <w:t>级（橙色</w:t>
      </w:r>
      <w:r>
        <w:rPr/>
        <w:t>）</w:t>
      </w:r>
      <w:r>
        <w:rPr>
          <w:spacing w:val="-53"/>
        </w:rPr>
        <w:t xml:space="preserve"> </w:t>
      </w:r>
      <w:r>
        <w:rPr/>
        <w:t>：</w:t>
      </w:r>
      <w:r>
        <w:rPr>
          <w:spacing w:val="-2"/>
        </w:rPr>
        <w:t>电信网络出现故障或其他事</w:t>
      </w:r>
      <w:r>
        <w:rPr>
          <w:spacing w:val="-2"/>
        </w:rPr>
        <w:t>件征兆，经研判可能引发包括我市在内</w:t>
      </w:r>
      <w:r>
        <w:rPr>
          <w:spacing w:val="-46"/>
        </w:rPr>
        <w:t xml:space="preserve"> </w:t>
      </w:r>
      <w:r>
        <w:rPr>
          <w:rFonts w:ascii="Times New Roman" w:hAnsi="Times New Roman" w:eastAsia="Times New Roman" w:cs="Times New Roman"/>
          <w:spacing w:val="-2"/>
        </w:rPr>
        <w:t>2 </w:t>
      </w:r>
      <w:r>
        <w:rPr>
          <w:spacing w:val="-2"/>
        </w:rPr>
        <w:t>个以上</w:t>
      </w:r>
      <w:r>
        <w:rPr>
          <w:spacing w:val="-5"/>
        </w:rPr>
        <w:t>地级市通信大面积中断的情况。</w:t>
      </w:r>
    </w:p>
    <w:p>
      <w:pPr>
        <w:pStyle w:val="BodyText"/>
        <w:ind w:left="3" w:right="4" w:firstLine="420"/>
        <w:spacing w:before="15" w:line="355" w:lineRule="auto"/>
        <w:jc w:val="both"/>
        <w:rPr/>
      </w:pPr>
      <w:r>
        <w:rPr>
          <w:rFonts w:ascii="Times New Roman" w:hAnsi="Times New Roman" w:eastAsia="Times New Roman" w:cs="Times New Roman"/>
          <w:spacing w:val="7"/>
        </w:rPr>
        <w:t>Ⅲ</w:t>
      </w:r>
      <w:r>
        <w:rPr>
          <w:spacing w:val="7"/>
        </w:rPr>
        <w:t>级（黄色</w:t>
      </w:r>
      <w:r>
        <w:rPr>
          <w:spacing w:val="12"/>
        </w:rPr>
        <w:t>）：</w:t>
      </w:r>
      <w:r>
        <w:rPr>
          <w:spacing w:val="7"/>
        </w:rPr>
        <w:t>电信网络出现故障或其他</w:t>
      </w:r>
      <w:r>
        <w:rPr>
          <w:spacing w:val="6"/>
        </w:rPr>
        <w:t>事件征兆，经研判可能引发我市</w:t>
      </w:r>
      <w:r>
        <w:rPr>
          <w:spacing w:val="-28"/>
        </w:rPr>
        <w:t xml:space="preserve"> </w:t>
      </w:r>
      <w:r>
        <w:rPr>
          <w:rFonts w:ascii="Times New Roman" w:hAnsi="Times New Roman" w:eastAsia="Times New Roman" w:cs="Times New Roman"/>
          <w:spacing w:val="6"/>
        </w:rPr>
        <w:t>2 </w:t>
      </w:r>
      <w:r>
        <w:rPr>
          <w:spacing w:val="6"/>
        </w:rPr>
        <w:t>个县（</w:t>
      </w:r>
      <w:r>
        <w:rPr>
          <w:spacing w:val="-50"/>
        </w:rPr>
        <w:t xml:space="preserve"> </w:t>
      </w:r>
      <w:r>
        <w:rPr>
          <w:spacing w:val="6"/>
        </w:rPr>
        <w:t>区）</w:t>
      </w:r>
      <w:r>
        <w:rPr>
          <w:spacing w:val="8"/>
        </w:rPr>
        <w:t>通信大面积中断的情况。</w:t>
      </w:r>
    </w:p>
    <w:p>
      <w:pPr>
        <w:pStyle w:val="BodyText"/>
        <w:ind w:left="3" w:right="4" w:firstLine="420"/>
        <w:spacing w:before="46" w:line="355" w:lineRule="auto"/>
        <w:jc w:val="both"/>
        <w:rPr/>
      </w:pPr>
      <w:r>
        <w:rPr>
          <w:rFonts w:ascii="Times New Roman" w:hAnsi="Times New Roman" w:eastAsia="Times New Roman" w:cs="Times New Roman"/>
          <w:spacing w:val="6"/>
        </w:rPr>
        <w:t>Ⅳ</w:t>
      </w:r>
      <w:r>
        <w:rPr>
          <w:spacing w:val="6"/>
        </w:rPr>
        <w:t>级（蓝色</w:t>
      </w:r>
      <w:r>
        <w:rPr>
          <w:spacing w:val="8"/>
        </w:rPr>
        <w:t>）：</w:t>
      </w:r>
      <w:r>
        <w:rPr>
          <w:spacing w:val="6"/>
        </w:rPr>
        <w:t>电信网络出现故障或其他</w:t>
      </w:r>
      <w:r>
        <w:rPr>
          <w:spacing w:val="5"/>
        </w:rPr>
        <w:t>事件征兆，经研判可能引发我市</w:t>
      </w:r>
      <w:r>
        <w:rPr>
          <w:spacing w:val="-7"/>
        </w:rPr>
        <w:t xml:space="preserve"> </w:t>
      </w:r>
      <w:r>
        <w:rPr>
          <w:rFonts w:ascii="Times New Roman" w:hAnsi="Times New Roman" w:eastAsia="Times New Roman" w:cs="Times New Roman"/>
          <w:spacing w:val="5"/>
        </w:rPr>
        <w:t>1 </w:t>
      </w:r>
      <w:r>
        <w:rPr>
          <w:spacing w:val="5"/>
        </w:rPr>
        <w:t>个县（</w:t>
      </w:r>
      <w:r>
        <w:rPr>
          <w:spacing w:val="-50"/>
        </w:rPr>
        <w:t xml:space="preserve"> </w:t>
      </w:r>
      <w:r>
        <w:rPr>
          <w:spacing w:val="5"/>
        </w:rPr>
        <w:t>区）</w:t>
      </w:r>
      <w:r>
        <w:rPr>
          <w:spacing w:val="8"/>
        </w:rPr>
        <w:t>通信大面积中断的情况。</w:t>
      </w:r>
    </w:p>
    <w:p>
      <w:pPr>
        <w:pStyle w:val="BodyText"/>
        <w:ind w:left="427"/>
        <w:spacing w:before="45" w:line="210" w:lineRule="auto"/>
        <w:rPr/>
      </w:pPr>
      <w:r>
        <w:rPr>
          <w:rFonts w:ascii="Times New Roman" w:hAnsi="Times New Roman" w:eastAsia="Times New Roman" w:cs="Times New Roman"/>
          <w:spacing w:val="8"/>
        </w:rPr>
        <w:t>3.3  </w:t>
      </w:r>
      <w:r>
        <w:rPr>
          <w:rFonts w:ascii="KaiTi" w:hAnsi="KaiTi" w:eastAsia="KaiTi" w:cs="KaiTi"/>
          <w:spacing w:val="8"/>
        </w:rPr>
        <w:t>预警信息报告与发布。</w:t>
      </w:r>
      <w:r>
        <w:rPr>
          <w:spacing w:val="8"/>
        </w:rPr>
        <w:t>市通信保障应</w:t>
      </w:r>
    </w:p>
    <w:p>
      <w:pPr>
        <w:spacing w:line="210" w:lineRule="auto"/>
        <w:sectPr>
          <w:type w:val="continuous"/>
          <w:pgSz w:w="11906" w:h="16839"/>
          <w:pgMar w:top="1766" w:right="1530" w:bottom="1575" w:left="1579" w:header="1428" w:footer="1172" w:gutter="0"/>
          <w:cols w:equalWidth="0" w:num="2">
            <w:col w:w="4487" w:space="100"/>
            <w:col w:w="4209" w:space="0"/>
          </w:cols>
        </w:sectPr>
        <w:rPr/>
      </w:pPr>
    </w:p>
    <w:p>
      <w:pPr>
        <w:spacing w:before="72"/>
        <w:rPr/>
      </w:pPr>
      <w:r>
        <w:drawing>
          <wp:anchor distT="0" distB="0" distL="0" distR="0" simplePos="0" relativeHeight="253232128"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854" name="IM 1854"/>
            <wp:cNvGraphicFramePr/>
            <a:graphic>
              <a:graphicData uri="http://schemas.openxmlformats.org/drawingml/2006/picture">
                <pic:pic>
                  <pic:nvPicPr>
                    <pic:cNvPr id="1854" name="IM 1854"/>
                    <pic:cNvPicPr/>
                  </pic:nvPicPr>
                  <pic:blipFill>
                    <a:blip r:embed="rId929"/>
                    <a:stretch>
                      <a:fillRect/>
                    </a:stretch>
                  </pic:blipFill>
                  <pic:spPr>
                    <a:xfrm rot="0">
                      <a:off x="0" y="0"/>
                      <a:ext cx="5579745" cy="7620"/>
                    </a:xfrm>
                    <a:prstGeom prst="rect">
                      <a:avLst/>
                    </a:prstGeom>
                  </pic:spPr>
                </pic:pic>
              </a:graphicData>
            </a:graphic>
          </wp:anchor>
        </w:drawing>
      </w:r>
      <w:r/>
    </w:p>
    <w:p>
      <w:pPr>
        <w:sectPr>
          <w:headerReference w:type="default" r:id="rId810"/>
          <w:footerReference w:type="default" r:id="rId928"/>
          <w:pgSz w:w="11906" w:h="16839"/>
          <w:pgMar w:top="1772" w:right="1489" w:bottom="1562" w:left="1567" w:header="1428" w:footer="1172" w:gutter="0"/>
          <w:cols w:equalWidth="0" w:num="1">
            <w:col w:w="8850" w:space="0"/>
          </w:cols>
        </w:sectPr>
        <w:rPr/>
      </w:pPr>
    </w:p>
    <w:p>
      <w:pPr>
        <w:pStyle w:val="BodyText"/>
        <w:ind w:left="25" w:right="331" w:firstLine="4"/>
        <w:spacing w:before="45" w:line="368" w:lineRule="auto"/>
        <w:jc w:val="both"/>
        <w:rPr/>
      </w:pPr>
      <w:r>
        <w:rPr>
          <w:spacing w:val="7"/>
        </w:rPr>
        <w:t>急指挥部接到信息报告后，要组织会商或进行</w:t>
      </w:r>
      <w:r>
        <w:rPr>
          <w:spacing w:val="7"/>
        </w:rPr>
        <w:t>分析研判，对可能引发一般和较严重级别的通</w:t>
      </w:r>
      <w:r>
        <w:rPr>
          <w:spacing w:val="7"/>
        </w:rPr>
        <w:t>信突发事件的监测预测预警信息，向指挥部成</w:t>
      </w:r>
      <w:r>
        <w:rPr>
          <w:spacing w:val="4"/>
        </w:rPr>
        <w:t>员单位和有关县（</w:t>
      </w:r>
      <w:r>
        <w:rPr>
          <w:spacing w:val="-35"/>
        </w:rPr>
        <w:t xml:space="preserve"> </w:t>
      </w:r>
      <w:r>
        <w:rPr>
          <w:spacing w:val="4"/>
        </w:rPr>
        <w:t>区）通报，督促和指导按照</w:t>
      </w:r>
      <w:r>
        <w:rPr>
          <w:spacing w:val="7"/>
        </w:rPr>
        <w:t>相应预案做好处置工作，并及时报告自治区通</w:t>
      </w:r>
      <w:r>
        <w:rPr>
          <w:spacing w:val="7"/>
        </w:rPr>
        <w:t>信保障应急指挥部和市应急部门备案；对可能</w:t>
      </w:r>
      <w:r>
        <w:rPr>
          <w:spacing w:val="18"/>
        </w:rPr>
        <w:t>引发严重和特别严重级别的通信突发事件的</w:t>
      </w:r>
      <w:r>
        <w:rPr>
          <w:spacing w:val="7"/>
        </w:rPr>
        <w:t>监测预测预警信息，及时报告自治区通信保障</w:t>
      </w:r>
      <w:r>
        <w:rPr>
          <w:spacing w:val="7"/>
        </w:rPr>
        <w:t>应急指挥部和市政府，配合自治区做好预警信</w:t>
      </w:r>
      <w:r>
        <w:rPr>
          <w:spacing w:val="7"/>
        </w:rPr>
        <w:t>息发布工作。</w:t>
      </w:r>
    </w:p>
    <w:p>
      <w:pPr>
        <w:pStyle w:val="BodyText"/>
        <w:ind w:left="24" w:right="301" w:firstLine="426"/>
        <w:spacing w:before="10" w:line="374" w:lineRule="auto"/>
        <w:rPr/>
      </w:pPr>
      <w:r>
        <w:rPr>
          <w:rFonts w:ascii="Times New Roman" w:hAnsi="Times New Roman" w:eastAsia="Times New Roman" w:cs="Times New Roman"/>
          <w:spacing w:val="8"/>
        </w:rPr>
        <w:t>3.4  </w:t>
      </w:r>
      <w:r>
        <w:rPr>
          <w:rFonts w:ascii="KaiTi" w:hAnsi="KaiTi" w:eastAsia="KaiTi" w:cs="KaiTi"/>
          <w:spacing w:val="8"/>
        </w:rPr>
        <w:t>预警行动。</w:t>
      </w:r>
      <w:r>
        <w:rPr>
          <w:spacing w:val="8"/>
        </w:rPr>
        <w:t>市通信保障应急指挥部办</w:t>
      </w:r>
      <w:r>
        <w:rPr>
          <w:spacing w:val="18"/>
        </w:rPr>
        <w:t>公室接到可能引发一般和较严重级别的通信</w:t>
      </w:r>
      <w:r>
        <w:rPr>
          <w:spacing w:val="7"/>
        </w:rPr>
        <w:t>突发事件的监测预测预警信息后，要密切关注</w:t>
      </w:r>
      <w:r>
        <w:rPr>
          <w:spacing w:val="7"/>
        </w:rPr>
        <w:t>事态进展。按照市政府或市通信保障应急指挥</w:t>
      </w:r>
      <w:r>
        <w:rPr>
          <w:spacing w:val="7"/>
        </w:rPr>
        <w:t>部的统一安排和部署，组织、协调市通信保障</w:t>
      </w:r>
      <w:r>
        <w:rPr>
          <w:spacing w:val="5"/>
        </w:rPr>
        <w:t>应急指挥部成员单位和有关县（</w:t>
      </w:r>
      <w:r>
        <w:rPr>
          <w:spacing w:val="-50"/>
        </w:rPr>
        <w:t xml:space="preserve"> </w:t>
      </w:r>
      <w:r>
        <w:rPr>
          <w:spacing w:val="5"/>
        </w:rPr>
        <w:t>区</w:t>
      </w:r>
      <w:r>
        <w:rPr>
          <w:spacing w:val="3"/>
        </w:rPr>
        <w:t>），</w:t>
      </w:r>
      <w:r>
        <w:rPr>
          <w:spacing w:val="5"/>
        </w:rPr>
        <w:t>按照预</w:t>
      </w:r>
      <w:r>
        <w:rPr>
          <w:spacing w:val="7"/>
        </w:rPr>
        <w:t>案做好应急准备和预防工作，并及时向市应急</w:t>
      </w:r>
      <w:r>
        <w:rPr>
          <w:spacing w:val="-2"/>
        </w:rPr>
        <w:t>委和市通信保障应急指挥部动态报送有关信息。</w:t>
      </w:r>
    </w:p>
    <w:p>
      <w:pPr>
        <w:pStyle w:val="BodyText"/>
        <w:ind w:left="25" w:right="311" w:firstLine="419"/>
        <w:spacing w:before="11" w:line="374" w:lineRule="auto"/>
        <w:rPr/>
      </w:pPr>
      <w:r>
        <w:rPr>
          <w:spacing w:val="7"/>
        </w:rPr>
        <w:t>按照早发现、早报告、早处置的原则，指</w:t>
      </w:r>
      <w:r>
        <w:rPr>
          <w:spacing w:val="18"/>
        </w:rPr>
        <w:t>挥部办公室接到涉及通信突发事件的监测预</w:t>
      </w:r>
      <w:r>
        <w:rPr>
          <w:spacing w:val="8"/>
        </w:rPr>
        <w:t>测预警信息后，立即将有关情况报告指挥部。</w:t>
      </w:r>
      <w:r>
        <w:rPr>
          <w:spacing w:val="10"/>
        </w:rPr>
        <w:t>经指挥部核定，达到</w:t>
      </w:r>
      <w:r>
        <w:rPr>
          <w:rFonts w:ascii="Times New Roman" w:hAnsi="Times New Roman" w:eastAsia="Times New Roman" w:cs="Times New Roman"/>
          <w:spacing w:val="10"/>
        </w:rPr>
        <w:t>Ⅱ</w:t>
      </w:r>
      <w:r>
        <w:rPr>
          <w:spacing w:val="10"/>
        </w:rPr>
        <w:t>级及以上预警条件的，</w:t>
      </w:r>
      <w:r>
        <w:rPr>
          <w:spacing w:val="18"/>
        </w:rPr>
        <w:t>由指挥部及时将有关情况上报自治区通信保</w:t>
      </w:r>
      <w:r>
        <w:rPr>
          <w:spacing w:val="7"/>
        </w:rPr>
        <w:t>障应急指挥机构；达到</w:t>
      </w:r>
      <w:r>
        <w:rPr>
          <w:rFonts w:ascii="Times New Roman" w:hAnsi="Times New Roman" w:eastAsia="Times New Roman" w:cs="Times New Roman"/>
          <w:spacing w:val="7"/>
        </w:rPr>
        <w:t>Ⅲ</w:t>
      </w:r>
      <w:r>
        <w:rPr>
          <w:spacing w:val="7"/>
        </w:rPr>
        <w:t>级预警条件的，由指</w:t>
      </w:r>
      <w:r>
        <w:rPr>
          <w:spacing w:val="9"/>
        </w:rPr>
        <w:t>挥部及时将有关情况上报市委、市政府和自</w:t>
      </w:r>
    </w:p>
    <w:p>
      <w:pPr>
        <w:pStyle w:val="BodyText"/>
        <w:ind w:left="59" w:right="295" w:hanging="31"/>
        <w:spacing w:before="4" w:line="353" w:lineRule="auto"/>
        <w:rPr/>
      </w:pPr>
      <w:r>
        <w:rPr>
          <w:spacing w:val="9"/>
        </w:rPr>
        <w:t>治区通信保障应急指挥部，启动</w:t>
      </w:r>
      <w:r>
        <w:rPr>
          <w:rFonts w:ascii="Times New Roman" w:hAnsi="Times New Roman" w:eastAsia="Times New Roman" w:cs="Times New Roman"/>
          <w:spacing w:val="9"/>
        </w:rPr>
        <w:t>Ⅲ</w:t>
      </w:r>
      <w:r>
        <w:rPr>
          <w:spacing w:val="9"/>
        </w:rPr>
        <w:t>级预警行动</w:t>
      </w:r>
      <w:r>
        <w:rPr>
          <w:spacing w:val="6"/>
        </w:rPr>
        <w:t xml:space="preserve"> </w:t>
      </w:r>
      <w:r>
        <w:rPr>
          <w:spacing w:val="-13"/>
          <w:position w:val="4"/>
        </w:rPr>
        <w:t>：</w:t>
      </w:r>
      <w:r>
        <w:rPr>
          <w:spacing w:val="90"/>
          <w:position w:val="4"/>
        </w:rPr>
        <w:t xml:space="preserve"> </w:t>
      </w:r>
      <w:r>
        <w:rPr>
          <w:spacing w:val="-13"/>
        </w:rPr>
        <w:t>（</w:t>
      </w:r>
      <w:r>
        <w:rPr>
          <w:spacing w:val="-48"/>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21"/>
        </w:rPr>
        <w:t xml:space="preserve"> </w:t>
      </w:r>
      <w:r>
        <w:rPr>
          <w:spacing w:val="6"/>
        </w:rPr>
        <w:t>）立即将有关情况上报市委、市政府</w:t>
      </w:r>
    </w:p>
    <w:p>
      <w:pPr>
        <w:pStyle w:val="BodyText"/>
        <w:ind w:left="466"/>
        <w:spacing w:before="7" w:line="113" w:lineRule="exact"/>
        <w:rPr/>
      </w:pPr>
      <w:r>
        <w:rPr>
          <w:position w:val="1"/>
        </w:rPr>
        <w:t>。</w:t>
      </w:r>
    </w:p>
    <w:p>
      <w:pPr>
        <w:pStyle w:val="BodyText"/>
        <w:ind w:left="26" w:right="338" w:firstLine="410"/>
        <w:spacing w:before="50" w:line="237" w:lineRule="auto"/>
        <w:rPr/>
      </w:pPr>
      <w:r>
        <w:rPr>
          <w:spacing w:val="12"/>
        </w:rPr>
        <w:t>（</w:t>
      </w:r>
      <w:r>
        <w:rPr>
          <w:rFonts w:ascii="Times New Roman" w:hAnsi="Times New Roman" w:eastAsia="Times New Roman" w:cs="Times New Roman"/>
          <w:spacing w:val="12"/>
        </w:rPr>
        <w:t>2</w:t>
      </w:r>
      <w:r>
        <w:rPr>
          <w:spacing w:val="12"/>
        </w:rPr>
        <w:t>）通知相关县（区）政府和基础电信</w:t>
      </w:r>
      <w:r>
        <w:rPr>
          <w:spacing w:val="8"/>
        </w:rPr>
        <w:t>运营企业落实通信保障有关准备工作。</w:t>
      </w:r>
    </w:p>
    <w:p>
      <w:pPr>
        <w:pStyle w:val="BodyText"/>
        <w:ind w:left="26" w:right="333" w:firstLine="410"/>
        <w:spacing w:before="130" w:line="301"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）研究确定通信保障应急准备措施和</w:t>
      </w:r>
      <w:r>
        <w:rPr>
          <w:spacing w:val="6"/>
        </w:rPr>
        <w:t>工作方案。</w:t>
      </w:r>
    </w:p>
    <w:p>
      <w:pPr>
        <w:pStyle w:val="BodyText"/>
        <w:ind w:left="437"/>
        <w:spacing w:before="162" w:line="278" w:lineRule="exact"/>
        <w:rPr/>
      </w:pPr>
      <w:r>
        <w:rPr>
          <w:spacing w:val="11"/>
          <w:position w:val="1"/>
        </w:rPr>
        <w:t>（</w:t>
      </w:r>
      <w:r>
        <w:rPr>
          <w:rFonts w:ascii="Times New Roman" w:hAnsi="Times New Roman" w:eastAsia="Times New Roman" w:cs="Times New Roman"/>
          <w:spacing w:val="11"/>
          <w:position w:val="1"/>
        </w:rPr>
        <w:t>4</w:t>
      </w:r>
      <w:r>
        <w:rPr>
          <w:rFonts w:ascii="Times New Roman" w:hAnsi="Times New Roman" w:eastAsia="Times New Roman" w:cs="Times New Roman"/>
          <w:spacing w:val="-18"/>
          <w:position w:val="1"/>
        </w:rPr>
        <w:t xml:space="preserve"> </w:t>
      </w:r>
      <w:r>
        <w:rPr>
          <w:spacing w:val="11"/>
          <w:position w:val="1"/>
        </w:rPr>
        <w:t>）紧急部署资源调度、组织动员和部</w:t>
      </w:r>
    </w:p>
    <w:p>
      <w:pPr>
        <w:spacing w:line="14" w:lineRule="auto"/>
        <w:rPr>
          <w:rFonts w:ascii="Arial"/>
          <w:sz w:val="2"/>
        </w:rPr>
      </w:pPr>
      <w:r>
        <w:rPr>
          <w:rFonts w:ascii="Arial" w:hAnsi="Arial" w:eastAsia="Arial" w:cs="Arial"/>
          <w:sz w:val="2"/>
          <w:szCs w:val="2"/>
        </w:rPr>
        <w:br w:type="column"/>
      </w:r>
    </w:p>
    <w:p>
      <w:pPr>
        <w:pStyle w:val="BodyText"/>
        <w:ind w:left="19"/>
        <w:spacing w:before="45" w:line="221" w:lineRule="auto"/>
        <w:rPr/>
      </w:pPr>
      <w:r>
        <w:rPr>
          <w:spacing w:val="6"/>
        </w:rPr>
        <w:t>门联动等各项准备工作。</w:t>
      </w:r>
    </w:p>
    <w:p>
      <w:pPr>
        <w:pStyle w:val="BodyText"/>
        <w:ind w:left="3" w:right="101" w:firstLine="407"/>
        <w:spacing w:before="162" w:line="300" w:lineRule="auto"/>
        <w:rPr/>
      </w:pPr>
      <w:r>
        <w:rPr>
          <w:spacing w:val="4"/>
        </w:rPr>
        <w:t>（</w:t>
      </w:r>
      <w:r>
        <w:rPr>
          <w:rFonts w:ascii="Times New Roman" w:hAnsi="Times New Roman" w:eastAsia="Times New Roman" w:cs="Times New Roman"/>
          <w:spacing w:val="4"/>
        </w:rPr>
        <w:t>5</w:t>
      </w:r>
      <w:r>
        <w:rPr>
          <w:rFonts w:ascii="Times New Roman" w:hAnsi="Times New Roman" w:eastAsia="Times New Roman" w:cs="Times New Roman"/>
          <w:spacing w:val="-4"/>
        </w:rPr>
        <w:t xml:space="preserve"> </w:t>
      </w:r>
      <w:r>
        <w:rPr>
          <w:spacing w:val="4"/>
        </w:rPr>
        <w:t>）启动信息报送流程，执行</w:t>
      </w:r>
      <w:r>
        <w:rPr>
          <w:spacing w:val="-43"/>
        </w:rPr>
        <w:t xml:space="preserve"> </w:t>
      </w:r>
      <w:r>
        <w:rPr>
          <w:rFonts w:ascii="Times New Roman" w:hAnsi="Times New Roman" w:eastAsia="Times New Roman" w:cs="Times New Roman"/>
          <w:spacing w:val="4"/>
        </w:rPr>
        <w:t>24 </w:t>
      </w:r>
      <w:r>
        <w:rPr>
          <w:spacing w:val="4"/>
        </w:rPr>
        <w:t>小时应</w:t>
      </w:r>
      <w:r>
        <w:rPr>
          <w:spacing w:val="6"/>
        </w:rPr>
        <w:t>急值班制度。</w:t>
      </w:r>
    </w:p>
    <w:p>
      <w:pPr>
        <w:pStyle w:val="BodyText"/>
        <w:ind w:left="1" w:right="103" w:firstLine="409"/>
        <w:spacing w:before="162" w:line="299" w:lineRule="auto"/>
        <w:rPr/>
      </w:pPr>
      <w:r>
        <w:rPr>
          <w:spacing w:val="8"/>
        </w:rPr>
        <w:t>（</w:t>
      </w:r>
      <w:r>
        <w:rPr>
          <w:rFonts w:ascii="Times New Roman" w:hAnsi="Times New Roman" w:eastAsia="Times New Roman" w:cs="Times New Roman"/>
          <w:spacing w:val="8"/>
        </w:rPr>
        <w:t>6</w:t>
      </w:r>
      <w:r>
        <w:rPr>
          <w:rFonts w:ascii="Times New Roman" w:hAnsi="Times New Roman" w:eastAsia="Times New Roman" w:cs="Times New Roman"/>
          <w:spacing w:val="-5"/>
        </w:rPr>
        <w:t xml:space="preserve"> </w:t>
      </w:r>
      <w:r>
        <w:rPr>
          <w:spacing w:val="8"/>
        </w:rPr>
        <w:t>）根据事态进展情况</w:t>
      </w:r>
      <w:r>
        <w:rPr>
          <w:spacing w:val="-59"/>
        </w:rPr>
        <w:t xml:space="preserve"> </w:t>
      </w:r>
      <w:r>
        <w:rPr>
          <w:spacing w:val="8"/>
        </w:rPr>
        <w:t>，适时调整预警</w:t>
      </w:r>
      <w:r>
        <w:rPr>
          <w:spacing w:val="7"/>
        </w:rPr>
        <w:t>级别或解除预警。</w:t>
      </w:r>
    </w:p>
    <w:p>
      <w:pPr>
        <w:pStyle w:val="BodyText"/>
        <w:ind w:left="1" w:right="98" w:firstLine="419"/>
        <w:spacing w:before="162" w:line="370" w:lineRule="auto"/>
        <w:jc w:val="both"/>
        <w:rPr/>
      </w:pPr>
      <w:r>
        <w:rPr>
          <w:rFonts w:ascii="Times New Roman" w:hAnsi="Times New Roman" w:eastAsia="Times New Roman" w:cs="Times New Roman"/>
          <w:spacing w:val="6"/>
        </w:rPr>
        <w:t>Ⅳ</w:t>
      </w:r>
      <w:r>
        <w:rPr>
          <w:spacing w:val="6"/>
        </w:rPr>
        <w:t>级预警信息由相关县（区）通信保障应</w:t>
      </w:r>
      <w:r>
        <w:rPr>
          <w:spacing w:val="7"/>
        </w:rPr>
        <w:t>急指挥机构负责采取相应级别预警行动，并将</w:t>
      </w:r>
      <w:r>
        <w:rPr>
          <w:spacing w:val="8"/>
        </w:rPr>
        <w:t>重要情况及时上报。</w:t>
      </w:r>
    </w:p>
    <w:p>
      <w:pPr>
        <w:ind w:left="420"/>
        <w:spacing w:before="9"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4</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7"/>
        </w:rPr>
        <w:t>应急响应与处置</w:t>
      </w:r>
    </w:p>
    <w:p>
      <w:pPr>
        <w:ind w:left="419"/>
        <w:spacing w:before="104" w:line="268" w:lineRule="exact"/>
        <w:rPr>
          <w:rFonts w:ascii="KaiTi" w:hAnsi="KaiTi" w:eastAsia="KaiTi" w:cs="KaiTi"/>
          <w:sz w:val="20"/>
          <w:szCs w:val="20"/>
        </w:rPr>
      </w:pPr>
      <w:r>
        <w:rPr>
          <w:rFonts w:ascii="Times New Roman" w:hAnsi="Times New Roman" w:eastAsia="Times New Roman" w:cs="Times New Roman"/>
          <w:sz w:val="20"/>
          <w:szCs w:val="20"/>
          <w:spacing w:val="2"/>
          <w:position w:val="1"/>
        </w:rPr>
        <w:t>4.</w:t>
      </w:r>
      <w:r>
        <w:rPr>
          <w:rFonts w:ascii="Times New Roman" w:hAnsi="Times New Roman" w:eastAsia="Times New Roman" w:cs="Times New Roman"/>
          <w:sz w:val="20"/>
          <w:szCs w:val="20"/>
          <w:spacing w:val="-20"/>
          <w:position w:val="1"/>
        </w:rPr>
        <w:t xml:space="preserve"> </w:t>
      </w:r>
      <w:r>
        <w:rPr>
          <w:rFonts w:ascii="Times New Roman" w:hAnsi="Times New Roman" w:eastAsia="Times New Roman" w:cs="Times New Roman"/>
          <w:sz w:val="20"/>
          <w:szCs w:val="20"/>
          <w:spacing w:val="2"/>
          <w:position w:val="1"/>
        </w:rPr>
        <w:t>1  </w:t>
      </w:r>
      <w:r>
        <w:rPr>
          <w:rFonts w:ascii="KaiTi" w:hAnsi="KaiTi" w:eastAsia="KaiTi" w:cs="KaiTi"/>
          <w:sz w:val="20"/>
          <w:szCs w:val="20"/>
          <w:spacing w:val="2"/>
          <w:position w:val="1"/>
        </w:rPr>
        <w:t>信息报告。</w:t>
      </w:r>
    </w:p>
    <w:p>
      <w:pPr>
        <w:pStyle w:val="BodyText"/>
        <w:ind w:right="48" w:firstLine="411"/>
        <w:spacing w:before="139" w:line="374" w:lineRule="auto"/>
        <w:jc w:val="both"/>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）对特别严重、严重、较严重突发事</w:t>
      </w:r>
      <w:r>
        <w:rPr>
          <w:spacing w:val="7"/>
        </w:rPr>
        <w:t>件或者事件本身比较敏感，可能演化为特别严</w:t>
      </w:r>
      <w:r>
        <w:rPr>
          <w:spacing w:val="7"/>
        </w:rPr>
        <w:t>重、严重、较严重的通信突发事件，县（</w:t>
      </w:r>
      <w:r>
        <w:rPr>
          <w:spacing w:val="-43"/>
        </w:rPr>
        <w:t xml:space="preserve"> </w:t>
      </w:r>
      <w:r>
        <w:rPr>
          <w:spacing w:val="7"/>
        </w:rPr>
        <w:t>区）</w:t>
      </w:r>
      <w:r>
        <w:rPr>
          <w:spacing w:val="7"/>
        </w:rPr>
        <w:t>政府和各级通信行业主管部门、责任单位及通</w:t>
      </w:r>
      <w:r>
        <w:rPr>
          <w:spacing w:val="7"/>
        </w:rPr>
        <w:t>信保障应急工作机构得到事件报告后，严格按</w:t>
      </w:r>
      <w:r>
        <w:rPr>
          <w:spacing w:val="7"/>
        </w:rPr>
        <w:t>照有关法律法规和相关规定，及时向区、市通</w:t>
      </w:r>
      <w:r>
        <w:rPr>
          <w:spacing w:val="7"/>
        </w:rPr>
        <w:t>信保障应急指挥部办公室和自治区、市委总值</w:t>
      </w:r>
      <w:r>
        <w:rPr>
          <w:spacing w:val="8"/>
        </w:rPr>
        <w:t>班室、应急管理部门报告信息。</w:t>
      </w:r>
    </w:p>
    <w:p>
      <w:pPr>
        <w:pStyle w:val="BodyText"/>
        <w:ind w:left="1" w:right="101" w:firstLine="418"/>
        <w:spacing w:before="8" w:line="374" w:lineRule="auto"/>
        <w:jc w:val="both"/>
        <w:rPr/>
      </w:pPr>
      <w:r>
        <w:rPr>
          <w:spacing w:val="6"/>
        </w:rPr>
        <w:t>信息报告内容主要包括：通信突发事件发</w:t>
      </w:r>
      <w:r>
        <w:rPr>
          <w:spacing w:val="7"/>
        </w:rPr>
        <w:t>生单位概况，事件发生的时间、地点、简要经</w:t>
      </w:r>
      <w:r>
        <w:rPr>
          <w:spacing w:val="7"/>
        </w:rPr>
        <w:t>过，可能造成的危害程度、影响范围、直接经</w:t>
      </w:r>
      <w:r>
        <w:rPr>
          <w:spacing w:val="7"/>
        </w:rPr>
        <w:t>济损失，已采取的应急处置措施，目前事件处</w:t>
      </w:r>
      <w:r>
        <w:rPr>
          <w:spacing w:val="8"/>
        </w:rPr>
        <w:t>置进展情况，下一步拟采取的措施。</w:t>
      </w:r>
    </w:p>
    <w:p>
      <w:pPr>
        <w:pStyle w:val="BodyText"/>
        <w:ind w:right="101" w:firstLine="410"/>
        <w:spacing w:before="1" w:line="375" w:lineRule="auto"/>
        <w:jc w:val="both"/>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）按照市政府关于突发事件应急处置</w:t>
      </w:r>
      <w:r>
        <w:rPr>
          <w:spacing w:val="7"/>
        </w:rPr>
        <w:t>工作联络员报告制度的相关要求，通信突发事</w:t>
      </w:r>
      <w:r>
        <w:rPr>
          <w:spacing w:val="4"/>
        </w:rPr>
        <w:t>件发生后，县（</w:t>
      </w:r>
      <w:r>
        <w:rPr>
          <w:spacing w:val="-37"/>
        </w:rPr>
        <w:t xml:space="preserve"> </w:t>
      </w:r>
      <w:r>
        <w:rPr>
          <w:spacing w:val="4"/>
        </w:rPr>
        <w:t>区）政府和市通信保障应急指</w:t>
      </w:r>
      <w:r>
        <w:rPr>
          <w:spacing w:val="18"/>
        </w:rPr>
        <w:t>挥部各成员单位在向市政府首报突发事件信</w:t>
      </w:r>
      <w:r>
        <w:rPr>
          <w:spacing w:val="7"/>
        </w:rPr>
        <w:t>息的同时，要按照规定的联络员范围报告联络</w:t>
      </w:r>
      <w:r>
        <w:rPr>
          <w:spacing w:val="7"/>
        </w:rPr>
        <w:t>员姓名、职务、联系方式、出发时间、到达现</w:t>
      </w:r>
      <w:r>
        <w:rPr>
          <w:spacing w:val="7"/>
        </w:rPr>
        <w:t>场时间或拟到达现场时间。如在应急处置过程</w:t>
      </w:r>
      <w:r>
        <w:rPr>
          <w:spacing w:val="8"/>
        </w:rPr>
        <w:t>中更换联络员，要及时报备。</w:t>
      </w:r>
    </w:p>
    <w:p>
      <w:pPr>
        <w:pStyle w:val="BodyText"/>
        <w:ind w:left="419"/>
        <w:spacing w:line="221" w:lineRule="auto"/>
        <w:rPr/>
      </w:pPr>
      <w:r>
        <w:rPr>
          <w:spacing w:val="4"/>
        </w:rPr>
        <w:t>应急处置联络员包括：事发地县（</w:t>
      </w:r>
      <w:r>
        <w:rPr>
          <w:spacing w:val="-47"/>
        </w:rPr>
        <w:t xml:space="preserve"> </w:t>
      </w:r>
      <w:r>
        <w:rPr>
          <w:spacing w:val="4"/>
        </w:rPr>
        <w:t>区）政</w:t>
      </w:r>
    </w:p>
    <w:p>
      <w:pPr>
        <w:spacing w:line="221" w:lineRule="auto"/>
        <w:sectPr>
          <w:type w:val="continuous"/>
          <w:pgSz w:w="11906" w:h="16839"/>
          <w:pgMar w:top="1772" w:right="1489" w:bottom="1562" w:left="1567" w:header="1428" w:footer="1172" w:gutter="0"/>
          <w:cols w:equalWidth="0" w:num="2">
            <w:col w:w="4503" w:space="100"/>
            <w:col w:w="4247" w:space="0"/>
          </w:cols>
        </w:sectPr>
        <w:rPr/>
      </w:pPr>
    </w:p>
    <w:p>
      <w:pPr>
        <w:spacing w:line="147" w:lineRule="exact"/>
        <w:rPr/>
      </w:pPr>
      <w:r>
        <w:drawing>
          <wp:anchor distT="0" distB="0" distL="0" distR="0" simplePos="0" relativeHeight="253243392"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858" name="IM 1858"/>
            <wp:cNvGraphicFramePr/>
            <a:graphic>
              <a:graphicData uri="http://schemas.openxmlformats.org/drawingml/2006/picture">
                <pic:pic>
                  <pic:nvPicPr>
                    <pic:cNvPr id="1858" name="IM 1858"/>
                    <pic:cNvPicPr/>
                  </pic:nvPicPr>
                  <pic:blipFill>
                    <a:blip r:embed="rId931"/>
                    <a:stretch>
                      <a:fillRect/>
                    </a:stretch>
                  </pic:blipFill>
                  <pic:spPr>
                    <a:xfrm rot="0">
                      <a:off x="0" y="0"/>
                      <a:ext cx="5579745" cy="7620"/>
                    </a:xfrm>
                    <a:prstGeom prst="rect">
                      <a:avLst/>
                    </a:prstGeom>
                  </pic:spPr>
                </pic:pic>
              </a:graphicData>
            </a:graphic>
          </wp:anchor>
        </w:drawing>
      </w:r>
      <w:r/>
    </w:p>
    <w:p>
      <w:pPr>
        <w:spacing w:line="147" w:lineRule="exact"/>
        <w:sectPr>
          <w:headerReference w:type="default" r:id="rId533"/>
          <w:footerReference w:type="default" r:id="rId930"/>
          <w:pgSz w:w="11906" w:h="16839"/>
          <w:pgMar w:top="1766" w:right="1526" w:bottom="1575" w:left="1579" w:header="1428" w:footer="1172" w:gutter="0"/>
          <w:cols w:equalWidth="0" w:num="1">
            <w:col w:w="8801" w:space="0"/>
          </w:cols>
        </w:sectPr>
        <w:rPr/>
      </w:pPr>
    </w:p>
    <w:p>
      <w:pPr>
        <w:pStyle w:val="BodyText"/>
        <w:ind w:left="12" w:right="329"/>
        <w:spacing w:before="50" w:line="372" w:lineRule="auto"/>
        <w:jc w:val="both"/>
        <w:rPr/>
      </w:pPr>
      <w:r>
        <w:rPr>
          <w:spacing w:val="7"/>
        </w:rPr>
        <w:t>府赶赴现场指挥先期处置工作的主要领导、分</w:t>
      </w:r>
      <w:r>
        <w:rPr>
          <w:spacing w:val="7"/>
        </w:rPr>
        <w:t>管领导和随同前往的县（区）政府办公室负责</w:t>
      </w:r>
      <w:r>
        <w:rPr>
          <w:spacing w:val="7"/>
        </w:rPr>
        <w:t>人或应急管理局负责人；市通信保障应急指挥</w:t>
      </w:r>
      <w:r>
        <w:rPr>
          <w:spacing w:val="18"/>
        </w:rPr>
        <w:t>部各成员或成员单位负责人及指挥部办公室</w:t>
      </w:r>
      <w:r>
        <w:rPr>
          <w:spacing w:val="7"/>
        </w:rPr>
        <w:t>主任；赶赴现场的市有关部门、单位领导和应</w:t>
      </w:r>
      <w:r>
        <w:rPr>
          <w:spacing w:val="8"/>
        </w:rPr>
        <w:t>急工作机构负责人。</w:t>
      </w:r>
    </w:p>
    <w:p>
      <w:pPr>
        <w:pStyle w:val="BodyText"/>
        <w:ind w:left="12" w:right="329" w:firstLine="420"/>
        <w:spacing w:before="9" w:line="340" w:lineRule="auto"/>
        <w:rPr/>
      </w:pPr>
      <w:r>
        <w:rPr>
          <w:rFonts w:ascii="Times New Roman" w:hAnsi="Times New Roman" w:eastAsia="Times New Roman" w:cs="Times New Roman"/>
          <w:spacing w:val="8"/>
        </w:rPr>
        <w:t>4.2  </w:t>
      </w:r>
      <w:r>
        <w:rPr>
          <w:rFonts w:ascii="KaiTi" w:hAnsi="KaiTi" w:eastAsia="KaiTi" w:cs="KaiTi"/>
          <w:spacing w:val="8"/>
        </w:rPr>
        <w:t>先期处置。</w:t>
      </w:r>
      <w:r>
        <w:rPr>
          <w:spacing w:val="8"/>
        </w:rPr>
        <w:t>对较严重及以上突发事件</w:t>
      </w:r>
      <w:r>
        <w:rPr>
          <w:spacing w:val="15"/>
        </w:rPr>
        <w:t>或者事件本身比较敏感</w:t>
      </w:r>
      <w:r>
        <w:rPr>
          <w:spacing w:val="-40"/>
        </w:rPr>
        <w:t xml:space="preserve"> </w:t>
      </w:r>
      <w:r>
        <w:rPr>
          <w:spacing w:val="15"/>
        </w:rPr>
        <w:t>，可能演化为特别严</w:t>
      </w:r>
      <w:r>
        <w:rPr>
          <w:spacing w:val="7"/>
        </w:rPr>
        <w:t>重、严重、较严重的通信突发事件，事发地政</w:t>
      </w:r>
      <w:r>
        <w:rPr>
          <w:spacing w:val="7"/>
        </w:rPr>
        <w:t>府和相关单位要第一时间赶到现场，按照通信</w:t>
      </w:r>
      <w:r>
        <w:rPr>
          <w:spacing w:val="9"/>
        </w:rPr>
        <w:t>相关应急预案，组织开展先期处置工作。</w:t>
      </w:r>
    </w:p>
    <w:p>
      <w:pPr>
        <w:pStyle w:val="BodyText"/>
        <w:ind w:left="12" w:right="324" w:firstLine="420"/>
        <w:spacing w:before="156" w:line="340" w:lineRule="auto"/>
        <w:rPr/>
      </w:pPr>
      <w:r>
        <w:rPr>
          <w:rFonts w:ascii="Times New Roman" w:hAnsi="Times New Roman" w:eastAsia="Times New Roman" w:cs="Times New Roman"/>
          <w:spacing w:val="8"/>
        </w:rPr>
        <w:t>4.3  </w:t>
      </w:r>
      <w:r>
        <w:rPr>
          <w:rFonts w:ascii="KaiTi" w:hAnsi="KaiTi" w:eastAsia="KaiTi" w:cs="KaiTi"/>
          <w:spacing w:val="8"/>
        </w:rPr>
        <w:t>响应启动。</w:t>
      </w:r>
      <w:r>
        <w:rPr>
          <w:spacing w:val="8"/>
        </w:rPr>
        <w:t>按照通信保障应急突发事</w:t>
      </w:r>
      <w:r>
        <w:rPr>
          <w:spacing w:val="7"/>
        </w:rPr>
        <w:t>件的可控性、严重程度和影响范围，应急响应</w:t>
      </w:r>
      <w:r>
        <w:rPr>
          <w:spacing w:val="7"/>
        </w:rPr>
        <w:t>分为</w:t>
      </w:r>
      <w:r>
        <w:rPr>
          <w:rFonts w:ascii="Times New Roman" w:hAnsi="Times New Roman" w:eastAsia="Times New Roman" w:cs="Times New Roman"/>
          <w:spacing w:val="7"/>
        </w:rPr>
        <w:t>Ⅳ</w:t>
      </w:r>
      <w:r>
        <w:rPr>
          <w:spacing w:val="7"/>
        </w:rPr>
        <w:t>级、</w:t>
      </w:r>
      <w:r>
        <w:rPr>
          <w:rFonts w:ascii="Times New Roman" w:hAnsi="Times New Roman" w:eastAsia="Times New Roman" w:cs="Times New Roman"/>
          <w:spacing w:val="7"/>
        </w:rPr>
        <w:t>Ⅲ</w:t>
      </w:r>
      <w:r>
        <w:rPr>
          <w:spacing w:val="7"/>
        </w:rPr>
        <w:t>级、</w:t>
      </w:r>
      <w:r>
        <w:rPr>
          <w:rFonts w:ascii="Times New Roman" w:hAnsi="Times New Roman" w:eastAsia="Times New Roman" w:cs="Times New Roman"/>
          <w:spacing w:val="7"/>
        </w:rPr>
        <w:t>Ⅱ</w:t>
      </w:r>
      <w:r>
        <w:rPr>
          <w:spacing w:val="7"/>
        </w:rPr>
        <w:t>级、</w:t>
      </w:r>
      <w:r>
        <w:rPr>
          <w:rFonts w:ascii="Times New Roman" w:hAnsi="Times New Roman" w:eastAsia="Times New Roman" w:cs="Times New Roman"/>
          <w:spacing w:val="7"/>
        </w:rPr>
        <w:t>Ⅰ</w:t>
      </w:r>
      <w:r>
        <w:rPr>
          <w:spacing w:val="7"/>
        </w:rPr>
        <w:t>级四级，依次分别对</w:t>
      </w:r>
      <w:r>
        <w:rPr>
          <w:spacing w:val="7"/>
        </w:rPr>
        <w:t>应一般、较严重、严重、特别严重级别的通信</w:t>
      </w:r>
      <w:r>
        <w:rPr>
          <w:spacing w:val="6"/>
        </w:rPr>
        <w:t>突发事件。</w:t>
      </w:r>
    </w:p>
    <w:p>
      <w:pPr>
        <w:pStyle w:val="BodyText"/>
        <w:ind w:left="12" w:right="322" w:firstLine="420"/>
        <w:spacing w:before="159" w:line="369" w:lineRule="auto"/>
        <w:jc w:val="both"/>
        <w:rPr/>
      </w:pPr>
      <w:r>
        <w:rPr>
          <w:spacing w:val="7"/>
        </w:rPr>
        <w:t>应急响应启动后，可视事态发展及其情况</w:t>
      </w:r>
      <w:r>
        <w:rPr>
          <w:spacing w:val="7"/>
        </w:rPr>
        <w:t>变化对响应级别及时进行相应调整，避免响应</w:t>
      </w:r>
      <w:r>
        <w:rPr>
          <w:spacing w:val="7"/>
        </w:rPr>
        <w:t>不足或响应过度造成损失。通信突发事件有扩</w:t>
      </w:r>
      <w:r>
        <w:rPr>
          <w:spacing w:val="7"/>
        </w:rPr>
        <w:t>大趋势或已扩大，需启动高级别应急响应时，</w:t>
      </w:r>
      <w:r>
        <w:rPr>
          <w:spacing w:val="9"/>
        </w:rPr>
        <w:t>应及时报告上一级应急救援指挥机构。</w:t>
      </w:r>
    </w:p>
    <w:p>
      <w:pPr>
        <w:pStyle w:val="BodyText"/>
        <w:ind w:left="11" w:right="309" w:firstLine="413"/>
        <w:spacing w:before="1" w:line="354" w:lineRule="auto"/>
        <w:jc w:val="both"/>
        <w:rPr/>
      </w:pPr>
      <w:r>
        <w:rPr>
          <w:spacing w:val="4"/>
        </w:rPr>
        <w:t>（</w:t>
      </w:r>
      <w:r>
        <w:rPr>
          <w:spacing w:val="-39"/>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1"/>
        </w:rPr>
        <w:t xml:space="preserve"> </w:t>
      </w:r>
      <w:r>
        <w:rPr>
          <w:spacing w:val="4"/>
        </w:rPr>
        <w:t>）</w:t>
      </w:r>
      <w:r>
        <w:rPr>
          <w:rFonts w:ascii="Times New Roman" w:hAnsi="Times New Roman" w:eastAsia="Times New Roman" w:cs="Times New Roman"/>
          <w:spacing w:val="4"/>
        </w:rPr>
        <w:t>Ⅰ</w:t>
      </w:r>
      <w:r>
        <w:rPr>
          <w:spacing w:val="4"/>
        </w:rPr>
        <w:t>级响应。发生特别严重通信突发事</w:t>
      </w:r>
      <w:r>
        <w:rPr>
          <w:spacing w:val="7"/>
        </w:rPr>
        <w:t>件时，市通信保障应急指挥部办公室组织指挥</w:t>
      </w:r>
      <w:r>
        <w:rPr>
          <w:spacing w:val="18"/>
        </w:rPr>
        <w:t>部成员单位紧急会商或对事件影响及其发展</w:t>
      </w:r>
      <w:r>
        <w:rPr>
          <w:spacing w:val="7"/>
        </w:rPr>
        <w:t>趋势进行分析研判后，向市政府提出预案启动</w:t>
      </w:r>
      <w:r>
        <w:rPr>
          <w:spacing w:val="7"/>
        </w:rPr>
        <w:t>和响应级别建议。迅速向自治区通信保障应急</w:t>
      </w:r>
      <w:r>
        <w:rPr>
          <w:spacing w:val="9"/>
        </w:rPr>
        <w:t>指挥部报告</w:t>
      </w:r>
      <w:r>
        <w:rPr>
          <w:spacing w:val="-45"/>
        </w:rPr>
        <w:t xml:space="preserve"> </w:t>
      </w:r>
      <w:r>
        <w:rPr>
          <w:spacing w:val="9"/>
        </w:rPr>
        <w:t>，由其决定宣布启动</w:t>
      </w:r>
      <w:r>
        <w:rPr>
          <w:rFonts w:ascii="Times New Roman" w:hAnsi="Times New Roman" w:eastAsia="Times New Roman" w:cs="Times New Roman"/>
          <w:spacing w:val="9"/>
        </w:rPr>
        <w:t>Ⅰ</w:t>
      </w:r>
      <w:r>
        <w:rPr>
          <w:spacing w:val="9"/>
        </w:rPr>
        <w:t>级响应</w:t>
      </w:r>
      <w:r>
        <w:rPr>
          <w:spacing w:val="-56"/>
        </w:rPr>
        <w:t xml:space="preserve"> </w:t>
      </w:r>
      <w:r>
        <w:rPr>
          <w:spacing w:val="9"/>
        </w:rPr>
        <w:t>，并</w:t>
      </w:r>
      <w:r>
        <w:rPr>
          <w:spacing w:val="8"/>
        </w:rPr>
        <w:t>向各有关单位发布启动相关应急程序的命令。</w:t>
      </w:r>
      <w:r>
        <w:rPr>
          <w:spacing w:val="18"/>
        </w:rPr>
        <w:t>市政府统一领导和指挥市通信保障应急指挥</w:t>
      </w:r>
      <w:r>
        <w:rPr>
          <w:spacing w:val="4"/>
        </w:rPr>
        <w:t>部和有关县（</w:t>
      </w:r>
      <w:r>
        <w:rPr>
          <w:spacing w:val="-34"/>
        </w:rPr>
        <w:t xml:space="preserve"> </w:t>
      </w:r>
      <w:r>
        <w:rPr>
          <w:spacing w:val="4"/>
        </w:rPr>
        <w:t>区）、部门、单位组织开展应急</w:t>
      </w:r>
      <w:r>
        <w:rPr>
          <w:spacing w:val="7"/>
        </w:rPr>
        <w:t>处置各项工作；视情况，市政府向自治区或有</w:t>
      </w:r>
      <w:r>
        <w:rPr>
          <w:spacing w:val="18"/>
        </w:rPr>
        <w:t>关厅局提出支援或委派工作组来固指导通信</w:t>
      </w:r>
      <w:r>
        <w:rPr>
          <w:spacing w:val="7"/>
        </w:rPr>
        <w:t>应急处置工作。</w:t>
      </w:r>
    </w:p>
    <w:p>
      <w:pPr>
        <w:spacing w:line="14" w:lineRule="auto"/>
        <w:rPr>
          <w:rFonts w:ascii="Arial"/>
          <w:sz w:val="2"/>
        </w:rPr>
      </w:pPr>
      <w:r>
        <w:rPr>
          <w:rFonts w:ascii="Arial" w:hAnsi="Arial" w:eastAsia="Arial" w:cs="Arial"/>
          <w:sz w:val="2"/>
          <w:szCs w:val="2"/>
        </w:rPr>
        <w:br w:type="column"/>
      </w:r>
    </w:p>
    <w:p>
      <w:pPr>
        <w:pStyle w:val="BodyText"/>
        <w:ind w:firstLine="412"/>
        <w:spacing w:before="37" w:line="355" w:lineRule="auto"/>
        <w:rPr/>
      </w:pPr>
      <w:r>
        <w:rPr>
          <w:spacing w:val="-3"/>
        </w:rPr>
        <w:t>（</w:t>
      </w:r>
      <w:r>
        <w:rPr>
          <w:rFonts w:ascii="Times New Roman" w:hAnsi="Times New Roman" w:eastAsia="Times New Roman" w:cs="Times New Roman"/>
          <w:spacing w:val="-3"/>
        </w:rPr>
        <w:t>2</w:t>
      </w:r>
      <w:r>
        <w:rPr>
          <w:rFonts w:ascii="Times New Roman" w:hAnsi="Times New Roman" w:eastAsia="Times New Roman" w:cs="Times New Roman"/>
          <w:spacing w:val="-21"/>
        </w:rPr>
        <w:t xml:space="preserve"> </w:t>
      </w:r>
      <w:r>
        <w:rPr>
          <w:spacing w:val="-3"/>
        </w:rPr>
        <w:t>）</w:t>
      </w:r>
      <w:r>
        <w:rPr>
          <w:rFonts w:ascii="Times New Roman" w:hAnsi="Times New Roman" w:eastAsia="Times New Roman" w:cs="Times New Roman"/>
          <w:spacing w:val="-3"/>
        </w:rPr>
        <w:t>Ⅱ</w:t>
      </w:r>
      <w:r>
        <w:rPr>
          <w:spacing w:val="-3"/>
        </w:rPr>
        <w:t>级响应。发生严重通信突发事件时，</w:t>
      </w:r>
      <w:r>
        <w:rPr>
          <w:spacing w:val="18"/>
        </w:rPr>
        <w:t>市通信保障应急指挥部办公室组织指挥部成</w:t>
      </w:r>
      <w:r>
        <w:rPr>
          <w:spacing w:val="18"/>
        </w:rPr>
        <w:t>员单位紧急会商或对事件影响及其发展趋势</w:t>
      </w:r>
      <w:r>
        <w:rPr>
          <w:spacing w:val="7"/>
        </w:rPr>
        <w:t>进行分析研判后，向市通信保障应急指挥部提</w:t>
      </w:r>
      <w:r>
        <w:rPr>
          <w:spacing w:val="7"/>
        </w:rPr>
        <w:t>出预案启动和响应级别建议。迅速向自治区通</w:t>
      </w:r>
      <w:r>
        <w:rPr>
          <w:spacing w:val="10"/>
        </w:rPr>
        <w:t>信保障应急指挥部报告，由其决定宣布启动</w:t>
      </w:r>
      <w:r>
        <w:rPr>
          <w:rFonts w:ascii="Times New Roman" w:hAnsi="Times New Roman" w:eastAsia="Times New Roman" w:cs="Times New Roman"/>
          <w:spacing w:val="10"/>
        </w:rPr>
        <w:t>Ⅱ</w:t>
      </w:r>
      <w:r>
        <w:rPr>
          <w:spacing w:val="7"/>
        </w:rPr>
        <w:t>级响应，并向各有关单位发布启动相关应急程</w:t>
      </w:r>
      <w:r>
        <w:rPr>
          <w:spacing w:val="7"/>
        </w:rPr>
        <w:t>序的命令。市政府统一领导和指挥市通信保障</w:t>
      </w:r>
      <w:r>
        <w:rPr>
          <w:spacing w:val="7"/>
        </w:rPr>
        <w:t>应急指挥部和事发地政府、有关部门按照职责</w:t>
      </w:r>
      <w:r>
        <w:rPr>
          <w:spacing w:val="8"/>
        </w:rPr>
        <w:t>分工开展通信应急处置工作。</w:t>
      </w:r>
    </w:p>
    <w:p>
      <w:pPr>
        <w:pStyle w:val="BodyText"/>
        <w:ind w:right="62" w:firstLine="412"/>
        <w:spacing w:before="155" w:line="345"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5"/>
        </w:rPr>
        <w:t xml:space="preserve"> </w:t>
      </w:r>
      <w:r>
        <w:rPr>
          <w:spacing w:val="11"/>
        </w:rPr>
        <w:t>）</w:t>
      </w:r>
      <w:r>
        <w:rPr>
          <w:rFonts w:ascii="Times New Roman" w:hAnsi="Times New Roman" w:eastAsia="Times New Roman" w:cs="Times New Roman"/>
          <w:spacing w:val="11"/>
        </w:rPr>
        <w:t>Ⅲ</w:t>
      </w:r>
      <w:r>
        <w:rPr>
          <w:spacing w:val="11"/>
        </w:rPr>
        <w:t>级响应。发生较严重通信突发事</w:t>
      </w:r>
      <w:r>
        <w:rPr>
          <w:spacing w:val="7"/>
        </w:rPr>
        <w:t>件时，市通信保障应急指挥部办公室组织指挥</w:t>
      </w:r>
      <w:r>
        <w:rPr>
          <w:spacing w:val="7"/>
        </w:rPr>
        <w:t>部各成员单位和专家进行分析研判，对事件及</w:t>
      </w:r>
      <w:r>
        <w:rPr>
          <w:spacing w:val="7"/>
        </w:rPr>
        <w:t>其发展趋势进行综合评估后，由市通信保障应</w:t>
      </w:r>
      <w:r>
        <w:rPr>
          <w:spacing w:val="7"/>
        </w:rPr>
        <w:t>急指挥部决定启动</w:t>
      </w:r>
      <w:r>
        <w:rPr>
          <w:rFonts w:ascii="Times New Roman" w:hAnsi="Times New Roman" w:eastAsia="Times New Roman" w:cs="Times New Roman"/>
          <w:spacing w:val="7"/>
        </w:rPr>
        <w:t>Ⅲ</w:t>
      </w:r>
      <w:r>
        <w:rPr>
          <w:spacing w:val="7"/>
        </w:rPr>
        <w:t>级应急响应，并向各有关</w:t>
      </w:r>
      <w:r>
        <w:rPr>
          <w:spacing w:val="6"/>
        </w:rPr>
        <w:t>单位发布。</w:t>
      </w:r>
    </w:p>
    <w:p>
      <w:pPr>
        <w:pStyle w:val="BodyText"/>
        <w:ind w:right="11" w:firstLine="412"/>
        <w:spacing w:before="159" w:line="357" w:lineRule="auto"/>
        <w:rPr/>
      </w:pPr>
      <w:r>
        <w:rPr>
          <w:spacing w:val="10"/>
        </w:rPr>
        <w:t>（</w:t>
      </w:r>
      <w:r>
        <w:rPr>
          <w:rFonts w:ascii="Times New Roman" w:hAnsi="Times New Roman" w:eastAsia="Times New Roman" w:cs="Times New Roman"/>
          <w:spacing w:val="10"/>
        </w:rPr>
        <w:t>4</w:t>
      </w:r>
      <w:r>
        <w:rPr>
          <w:rFonts w:ascii="Times New Roman" w:hAnsi="Times New Roman" w:eastAsia="Times New Roman" w:cs="Times New Roman"/>
          <w:spacing w:val="-8"/>
        </w:rPr>
        <w:t xml:space="preserve"> </w:t>
      </w:r>
      <w:r>
        <w:rPr>
          <w:spacing w:val="10"/>
        </w:rPr>
        <w:t>）</w:t>
      </w:r>
      <w:r>
        <w:rPr>
          <w:rFonts w:ascii="Times New Roman" w:hAnsi="Times New Roman" w:eastAsia="Times New Roman" w:cs="Times New Roman"/>
          <w:spacing w:val="10"/>
        </w:rPr>
        <w:t>Ⅳ</w:t>
      </w:r>
      <w:r>
        <w:rPr>
          <w:spacing w:val="10"/>
        </w:rPr>
        <w:t>级响应。发生一般通信突发事件</w:t>
      </w:r>
      <w:r>
        <w:rPr>
          <w:spacing w:val="4"/>
        </w:rPr>
        <w:t>时，事发地县（</w:t>
      </w:r>
      <w:r>
        <w:rPr>
          <w:spacing w:val="-35"/>
        </w:rPr>
        <w:t xml:space="preserve"> </w:t>
      </w:r>
      <w:r>
        <w:rPr>
          <w:spacing w:val="4"/>
        </w:rPr>
        <w:t>区）政府或通信保障应急指挥</w:t>
      </w:r>
      <w:r>
        <w:rPr>
          <w:spacing w:val="7"/>
        </w:rPr>
        <w:t>机构组织各成员单位和专家进行分析研判，对</w:t>
      </w:r>
      <w:r>
        <w:rPr>
          <w:spacing w:val="7"/>
        </w:rPr>
        <w:t>事件影响及其发展趋势进行综合评估后，由各</w:t>
      </w:r>
      <w:r>
        <w:rPr>
          <w:spacing w:val="6"/>
        </w:rPr>
        <w:t>县（区）通信保障应急指挥机构决定启动</w:t>
      </w:r>
      <w:r>
        <w:rPr>
          <w:rFonts w:ascii="Times New Roman" w:hAnsi="Times New Roman" w:eastAsia="Times New Roman" w:cs="Times New Roman"/>
          <w:spacing w:val="6"/>
        </w:rPr>
        <w:t>Ⅳ</w:t>
      </w:r>
      <w:r>
        <w:rPr>
          <w:spacing w:val="6"/>
        </w:rPr>
        <w:t>级</w:t>
      </w:r>
      <w:r>
        <w:rPr>
          <w:spacing w:val="7"/>
        </w:rPr>
        <w:t>应急响应，并向各有关单位发布启动相关应急</w:t>
      </w:r>
      <w:r>
        <w:rPr>
          <w:spacing w:val="2"/>
        </w:rPr>
        <w:t>程序的命令。县（</w:t>
      </w:r>
      <w:r>
        <w:rPr>
          <w:spacing w:val="-43"/>
        </w:rPr>
        <w:t xml:space="preserve"> </w:t>
      </w:r>
      <w:r>
        <w:rPr>
          <w:spacing w:val="2"/>
        </w:rPr>
        <w:t>区）政府或县（</w:t>
      </w:r>
      <w:r>
        <w:rPr>
          <w:spacing w:val="-50"/>
        </w:rPr>
        <w:t xml:space="preserve"> </w:t>
      </w:r>
      <w:r>
        <w:rPr>
          <w:spacing w:val="2"/>
        </w:rPr>
        <w:t>区）通信保</w:t>
      </w:r>
      <w:r>
        <w:rPr>
          <w:spacing w:val="7"/>
        </w:rPr>
        <w:t>障应急指挥部统一领导和指挥事发地县（</w:t>
      </w:r>
      <w:r>
        <w:rPr>
          <w:spacing w:val="-43"/>
        </w:rPr>
        <w:t xml:space="preserve"> </w:t>
      </w:r>
      <w:r>
        <w:rPr>
          <w:spacing w:val="7"/>
        </w:rPr>
        <w:t>区）</w:t>
      </w:r>
      <w:r>
        <w:rPr>
          <w:spacing w:val="7"/>
        </w:rPr>
        <w:t>有关部门、单位按照职责分工开展应急处置工</w:t>
      </w:r>
      <w:r>
        <w:rPr>
          <w:spacing w:val="7"/>
        </w:rPr>
        <w:t>作。必要时，市突发通信事件应急指挥机构派</w:t>
      </w:r>
      <w:r>
        <w:rPr>
          <w:spacing w:val="4"/>
        </w:rPr>
        <w:t>工作组赶赴事件现场，指导县（</w:t>
      </w:r>
      <w:r>
        <w:rPr>
          <w:spacing w:val="-35"/>
        </w:rPr>
        <w:t xml:space="preserve"> </w:t>
      </w:r>
      <w:r>
        <w:rPr>
          <w:spacing w:val="4"/>
        </w:rPr>
        <w:t>区）开展相关</w:t>
      </w:r>
      <w:r>
        <w:rPr>
          <w:spacing w:val="7"/>
        </w:rPr>
        <w:t>应急处置工作。</w:t>
      </w:r>
    </w:p>
    <w:p>
      <w:pPr>
        <w:ind w:left="420"/>
        <w:spacing w:before="155" w:line="264" w:lineRule="exact"/>
        <w:rPr>
          <w:rFonts w:ascii="KaiTi" w:hAnsi="KaiTi" w:eastAsia="KaiTi" w:cs="KaiTi"/>
          <w:sz w:val="20"/>
          <w:szCs w:val="20"/>
        </w:rPr>
      </w:pPr>
      <w:r>
        <w:rPr>
          <w:rFonts w:ascii="Times New Roman" w:hAnsi="Times New Roman" w:eastAsia="Times New Roman" w:cs="Times New Roman"/>
          <w:sz w:val="20"/>
          <w:szCs w:val="20"/>
          <w:spacing w:val="5"/>
          <w:position w:val="1"/>
        </w:rPr>
        <w:t>4.4  </w:t>
      </w:r>
      <w:r>
        <w:rPr>
          <w:rFonts w:ascii="KaiTi" w:hAnsi="KaiTi" w:eastAsia="KaiTi" w:cs="KaiTi"/>
          <w:sz w:val="20"/>
          <w:szCs w:val="20"/>
          <w:spacing w:val="5"/>
          <w:position w:val="1"/>
        </w:rPr>
        <w:t>响应措施。</w:t>
      </w:r>
    </w:p>
    <w:p>
      <w:pPr>
        <w:pStyle w:val="BodyText"/>
        <w:ind w:right="64" w:firstLine="413"/>
        <w:spacing w:before="138" w:line="332" w:lineRule="auto"/>
        <w:jc w:val="both"/>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）市通信保障应急指挥部紧急处置措</w:t>
      </w:r>
      <w:r>
        <w:rPr>
          <w:spacing w:val="7"/>
        </w:rPr>
        <w:t>施。市通信保障应急指挥部接到事件信息报告</w:t>
      </w:r>
      <w:r>
        <w:rPr>
          <w:spacing w:val="7"/>
        </w:rPr>
        <w:t>后，应立即采取应对措施，并及时上报自治区</w:t>
      </w:r>
      <w:r>
        <w:rPr>
          <w:spacing w:val="8"/>
        </w:rPr>
        <w:t>通信保障应急指挥机构。</w:t>
      </w:r>
    </w:p>
    <w:p>
      <w:pPr>
        <w:spacing w:line="332" w:lineRule="auto"/>
        <w:sectPr>
          <w:type w:val="continuous"/>
          <w:pgSz w:w="11906" w:h="16839"/>
          <w:pgMar w:top="1766" w:right="1526" w:bottom="1575" w:left="1579" w:header="1428" w:footer="1172" w:gutter="0"/>
          <w:cols w:equalWidth="0" w:num="2">
            <w:col w:w="4489" w:space="100"/>
            <w:col w:w="4212" w:space="0"/>
          </w:cols>
        </w:sectPr>
        <w:rPr/>
      </w:pPr>
    </w:p>
    <w:p>
      <w:pPr>
        <w:spacing w:before="70"/>
        <w:rPr/>
      </w:pPr>
      <w:r>
        <w:drawing>
          <wp:anchor distT="0" distB="0" distL="0" distR="0" simplePos="0" relativeHeight="253254656"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862" name="IM 1862"/>
            <wp:cNvGraphicFramePr/>
            <a:graphic>
              <a:graphicData uri="http://schemas.openxmlformats.org/drawingml/2006/picture">
                <pic:pic>
                  <pic:nvPicPr>
                    <pic:cNvPr id="1862" name="IM 1862"/>
                    <pic:cNvPicPr/>
                  </pic:nvPicPr>
                  <pic:blipFill>
                    <a:blip r:embed="rId933"/>
                    <a:stretch>
                      <a:fillRect/>
                    </a:stretch>
                  </pic:blipFill>
                  <pic:spPr>
                    <a:xfrm rot="0">
                      <a:off x="0" y="0"/>
                      <a:ext cx="5579745" cy="7620"/>
                    </a:xfrm>
                    <a:prstGeom prst="rect">
                      <a:avLst/>
                    </a:prstGeom>
                  </pic:spPr>
                </pic:pic>
              </a:graphicData>
            </a:graphic>
          </wp:anchor>
        </w:drawing>
      </w:r>
      <w:r/>
    </w:p>
    <w:p>
      <w:pPr>
        <w:sectPr>
          <w:headerReference w:type="default" r:id="rId816"/>
          <w:footerReference w:type="default" r:id="rId932"/>
          <w:pgSz w:w="11906" w:h="16839"/>
          <w:pgMar w:top="1772" w:right="1489" w:bottom="1562" w:left="1567" w:header="1428" w:footer="1172" w:gutter="0"/>
          <w:cols w:equalWidth="0" w:num="1">
            <w:col w:w="8850" w:space="0"/>
          </w:cols>
        </w:sectPr>
        <w:rPr/>
      </w:pPr>
    </w:p>
    <w:p>
      <w:pPr>
        <w:pStyle w:val="BodyText"/>
        <w:ind w:left="24" w:right="321" w:firstLine="413"/>
        <w:spacing w:before="42" w:line="353"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）市通信保障应急指挥部办公室紧急</w:t>
      </w:r>
      <w:r>
        <w:rPr>
          <w:spacing w:val="7"/>
        </w:rPr>
        <w:t>处置措施。市通信保障应急指挥部办公室接到</w:t>
      </w:r>
      <w:r>
        <w:rPr>
          <w:spacing w:val="7"/>
        </w:rPr>
        <w:t>突发事件信息报告后，应立即分析事件的严重</w:t>
      </w:r>
      <w:r>
        <w:rPr>
          <w:spacing w:val="7"/>
        </w:rPr>
        <w:t>性，将有关情况报告市通信保障应急指挥部，</w:t>
      </w:r>
      <w:r>
        <w:rPr>
          <w:spacing w:val="7"/>
        </w:rPr>
        <w:t>提出启动应急响应的建议；同时，通报各成员</w:t>
      </w:r>
      <w:r>
        <w:rPr>
          <w:spacing w:val="18"/>
        </w:rPr>
        <w:t>单位。按照市通信保障应急指挥部的指示要</w:t>
      </w:r>
      <w:r>
        <w:rPr>
          <w:spacing w:val="7"/>
        </w:rPr>
        <w:t>求，及时向相关基础电信运营企业下达《通信</w:t>
      </w:r>
      <w:r>
        <w:rPr>
          <w:spacing w:val="7"/>
        </w:rPr>
        <w:t>保障应急任务下达通知书》，组织指挥部成员</w:t>
      </w:r>
      <w:r>
        <w:rPr>
          <w:spacing w:val="8"/>
        </w:rPr>
        <w:t>单位开展应急处置工作。</w:t>
      </w:r>
    </w:p>
    <w:p>
      <w:pPr>
        <w:pStyle w:val="BodyText"/>
        <w:ind w:left="26" w:right="251" w:firstLine="410"/>
        <w:spacing w:before="162" w:line="301" w:lineRule="auto"/>
        <w:rPr/>
      </w:pPr>
      <w:r>
        <w:rPr>
          <w:spacing w:val="4"/>
        </w:rPr>
        <w:t>（</w:t>
      </w:r>
      <w:r>
        <w:rPr>
          <w:rFonts w:ascii="Times New Roman" w:hAnsi="Times New Roman" w:eastAsia="Times New Roman" w:cs="Times New Roman"/>
          <w:spacing w:val="4"/>
        </w:rPr>
        <w:t>3</w:t>
      </w:r>
      <w:r>
        <w:rPr>
          <w:rFonts w:ascii="Times New Roman" w:hAnsi="Times New Roman" w:eastAsia="Times New Roman" w:cs="Times New Roman"/>
          <w:spacing w:val="-16"/>
        </w:rPr>
        <w:t xml:space="preserve"> </w:t>
      </w:r>
      <w:r>
        <w:rPr>
          <w:spacing w:val="4"/>
        </w:rPr>
        <w:t>）各成员单位或工作组紧急处置措施。</w:t>
      </w:r>
      <w:r>
        <w:rPr>
          <w:spacing w:val="15"/>
        </w:rPr>
        <w:t>相关单位接收到任务后</w:t>
      </w:r>
      <w:r>
        <w:rPr>
          <w:spacing w:val="-42"/>
        </w:rPr>
        <w:t xml:space="preserve"> </w:t>
      </w:r>
      <w:r>
        <w:rPr>
          <w:spacing w:val="15"/>
        </w:rPr>
        <w:t>，应立即组织保障队</w:t>
      </w:r>
    </w:p>
    <w:p>
      <w:pPr>
        <w:pStyle w:val="BodyText"/>
        <w:ind w:left="24" w:right="328"/>
        <w:spacing w:before="163" w:line="377" w:lineRule="auto"/>
        <w:jc w:val="both"/>
        <w:rPr/>
      </w:pPr>
      <w:r>
        <w:rPr>
          <w:spacing w:val="7"/>
        </w:rPr>
        <w:t>伍、应急通信资源，展开通信保障和恢复有关</w:t>
      </w:r>
      <w:r>
        <w:rPr>
          <w:spacing w:val="7"/>
        </w:rPr>
        <w:t>工作，并及时向市通信保障应急指挥部办公室</w:t>
      </w:r>
      <w:r>
        <w:rPr>
          <w:spacing w:val="7"/>
        </w:rPr>
        <w:t>报告任务执行情况。基础电信运营企业应立即</w:t>
      </w:r>
      <w:r>
        <w:rPr>
          <w:spacing w:val="7"/>
        </w:rPr>
        <w:t>采取有效处置措施，控制事态发展，并按照有</w:t>
      </w:r>
      <w:r>
        <w:rPr>
          <w:spacing w:val="8"/>
        </w:rPr>
        <w:t>关规定及时上报事件信息。</w:t>
      </w:r>
    </w:p>
    <w:p>
      <w:pPr>
        <w:pStyle w:val="BodyText"/>
        <w:ind w:left="25" w:right="328" w:firstLine="420"/>
        <w:spacing w:before="3" w:line="361" w:lineRule="auto"/>
        <w:rPr/>
      </w:pPr>
      <w:r>
        <w:rPr>
          <w:rFonts w:ascii="Times New Roman" w:hAnsi="Times New Roman" w:eastAsia="Times New Roman" w:cs="Times New Roman"/>
          <w:spacing w:val="8"/>
        </w:rPr>
        <w:t>4.5  </w:t>
      </w:r>
      <w:r>
        <w:rPr>
          <w:rFonts w:ascii="KaiTi" w:hAnsi="KaiTi" w:eastAsia="KaiTi" w:cs="KaiTi"/>
          <w:spacing w:val="8"/>
        </w:rPr>
        <w:t>现场处置。</w:t>
      </w:r>
      <w:r>
        <w:rPr>
          <w:spacing w:val="8"/>
        </w:rPr>
        <w:t>由事发地政府设立通信突</w:t>
      </w:r>
      <w:r>
        <w:rPr>
          <w:spacing w:val="7"/>
        </w:rPr>
        <w:t>发事件应急处置现场指挥部，具体负责指挥现</w:t>
      </w:r>
      <w:r>
        <w:rPr>
          <w:spacing w:val="7"/>
        </w:rPr>
        <w:t>场的应急处置工作。各有关单位按照职责参与</w:t>
      </w:r>
      <w:r>
        <w:rPr>
          <w:spacing w:val="7"/>
        </w:rPr>
        <w:t>处置工作，包括组织营救、伤员救治、疏散撤</w:t>
      </w:r>
      <w:r>
        <w:rPr>
          <w:spacing w:val="7"/>
        </w:rPr>
        <w:t>离和妥善安置受到威胁的人员，及时上报事件</w:t>
      </w:r>
      <w:r>
        <w:rPr>
          <w:spacing w:val="7"/>
        </w:rPr>
        <w:t>情况和人员伤亡情况，分配救援任务，协调各</w:t>
      </w:r>
      <w:r>
        <w:rPr>
          <w:spacing w:val="7"/>
        </w:rPr>
        <w:t>级各类救援队伍，查明并及时组织力量消除次</w:t>
      </w:r>
      <w:r>
        <w:rPr>
          <w:spacing w:val="7"/>
        </w:rPr>
        <w:t>生灾害，组织抢修公共设施、接收与分配援助</w:t>
      </w:r>
      <w:r>
        <w:rPr>
          <w:spacing w:val="7"/>
        </w:rPr>
        <w:t>物资等。必要时，市通信保障应急指挥部派出</w:t>
      </w:r>
      <w:r>
        <w:rPr>
          <w:spacing w:val="9"/>
        </w:rPr>
        <w:t>工作组赶赴事件现场，指导应急处置工作。</w:t>
      </w:r>
    </w:p>
    <w:p>
      <w:pPr>
        <w:ind w:left="445"/>
        <w:spacing w:before="163" w:line="241" w:lineRule="auto"/>
        <w:rPr>
          <w:rFonts w:ascii="KaiTi" w:hAnsi="KaiTi" w:eastAsia="KaiTi" w:cs="KaiTi"/>
          <w:sz w:val="20"/>
          <w:szCs w:val="20"/>
        </w:rPr>
      </w:pPr>
      <w:r>
        <w:rPr>
          <w:rFonts w:ascii="Times New Roman" w:hAnsi="Times New Roman" w:eastAsia="Times New Roman" w:cs="Times New Roman"/>
          <w:sz w:val="20"/>
          <w:szCs w:val="20"/>
          <w:spacing w:val="6"/>
        </w:rPr>
        <w:t>4.6  </w:t>
      </w:r>
      <w:r>
        <w:rPr>
          <w:rFonts w:ascii="KaiTi" w:hAnsi="KaiTi" w:eastAsia="KaiTi" w:cs="KaiTi"/>
          <w:sz w:val="20"/>
          <w:szCs w:val="20"/>
          <w:spacing w:val="6"/>
        </w:rPr>
        <w:t>信息发布与舆情引导。</w:t>
      </w:r>
    </w:p>
    <w:p>
      <w:pPr>
        <w:pStyle w:val="BodyText"/>
        <w:ind w:left="26" w:right="328" w:firstLine="410"/>
        <w:spacing w:before="146" w:line="359" w:lineRule="auto"/>
        <w:jc w:val="both"/>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）按照分级响应原则</w:t>
      </w:r>
      <w:r>
        <w:rPr>
          <w:spacing w:val="-59"/>
        </w:rPr>
        <w:t xml:space="preserve"> </w:t>
      </w:r>
      <w:r>
        <w:rPr>
          <w:spacing w:val="5"/>
        </w:rPr>
        <w:t>，突发事件信息</w:t>
      </w:r>
      <w:r>
        <w:rPr>
          <w:spacing w:val="18"/>
        </w:rPr>
        <w:t>发布工作由各级政府新闻发言人或现场指挥</w:t>
      </w:r>
      <w:r>
        <w:rPr>
          <w:spacing w:val="7"/>
        </w:rPr>
        <w:t>指定的新闻发言人负责发布。较严重通信突发</w:t>
      </w:r>
      <w:r>
        <w:rPr>
          <w:spacing w:val="7"/>
        </w:rPr>
        <w:t>事件以市级政府名义、一般通信突发事件以县</w:t>
      </w:r>
      <w:r>
        <w:rPr>
          <w:spacing w:val="7"/>
        </w:rPr>
        <w:t>级政府名义发布。信息发布要统一、及时、准</w:t>
      </w:r>
    </w:p>
    <w:p>
      <w:pPr>
        <w:spacing w:line="14" w:lineRule="auto"/>
        <w:rPr>
          <w:rFonts w:ascii="Arial"/>
          <w:sz w:val="2"/>
        </w:rPr>
      </w:pPr>
      <w:r>
        <w:rPr>
          <w:rFonts w:ascii="Arial" w:hAnsi="Arial" w:eastAsia="Arial" w:cs="Arial"/>
          <w:sz w:val="2"/>
          <w:szCs w:val="2"/>
        </w:rPr>
        <w:br w:type="column"/>
      </w:r>
    </w:p>
    <w:p>
      <w:pPr>
        <w:pStyle w:val="BodyText"/>
        <w:ind w:left="6" w:right="81" w:hanging="3"/>
        <w:spacing w:before="47" w:line="375" w:lineRule="auto"/>
        <w:rPr/>
      </w:pPr>
      <w:r>
        <w:rPr>
          <w:spacing w:val="7"/>
        </w:rPr>
        <w:t>确、客观。宣传、网信、公安等部门要密切关</w:t>
      </w:r>
      <w:r>
        <w:rPr>
          <w:spacing w:val="8"/>
        </w:rPr>
        <w:t>注舆情信息，及时做好舆情管控、引导工作。</w:t>
      </w:r>
    </w:p>
    <w:p>
      <w:pPr>
        <w:pStyle w:val="BodyText"/>
        <w:ind w:left="2" w:right="101" w:firstLine="411"/>
        <w:spacing w:line="351"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）信息发布主要内容包括：通信突发</w:t>
      </w:r>
      <w:r>
        <w:rPr>
          <w:spacing w:val="7"/>
        </w:rPr>
        <w:t>事件的种类、监测和预警情况；通信突发事件</w:t>
      </w:r>
      <w:r>
        <w:rPr>
          <w:spacing w:val="7"/>
        </w:rPr>
        <w:t>发生时间、地点、人员伤亡（包括下落不明人</w:t>
      </w:r>
      <w:r>
        <w:rPr>
          <w:spacing w:val="7"/>
        </w:rPr>
        <w:t>数）和财产损失情况、救援进展情况、事件区</w:t>
      </w:r>
      <w:r>
        <w:rPr>
          <w:spacing w:val="7"/>
        </w:rPr>
        <w:t>域交通管制情况及临时交通措施；事件责任单</w:t>
      </w:r>
      <w:r>
        <w:rPr>
          <w:spacing w:val="7"/>
        </w:rPr>
        <w:t>位基本情况等。</w:t>
      </w:r>
    </w:p>
    <w:p>
      <w:pPr>
        <w:pStyle w:val="BodyText"/>
        <w:ind w:right="20" w:firstLine="413"/>
        <w:spacing w:before="164" w:line="326" w:lineRule="auto"/>
        <w:rPr/>
      </w:pPr>
      <w:r>
        <w:rPr>
          <w:spacing w:val="4"/>
        </w:rPr>
        <w:t>（</w:t>
      </w:r>
      <w:r>
        <w:rPr>
          <w:rFonts w:ascii="Times New Roman" w:hAnsi="Times New Roman" w:eastAsia="Times New Roman" w:cs="Times New Roman"/>
          <w:spacing w:val="4"/>
        </w:rPr>
        <w:t>3</w:t>
      </w:r>
      <w:r>
        <w:rPr>
          <w:rFonts w:ascii="Times New Roman" w:hAnsi="Times New Roman" w:eastAsia="Times New Roman" w:cs="Times New Roman"/>
          <w:spacing w:val="-13"/>
        </w:rPr>
        <w:t xml:space="preserve"> </w:t>
      </w:r>
      <w:r>
        <w:rPr>
          <w:spacing w:val="4"/>
        </w:rPr>
        <w:t>）信息发布形式主要包括：权威发布、</w:t>
      </w:r>
      <w:r>
        <w:rPr>
          <w:spacing w:val="7"/>
        </w:rPr>
        <w:t>提供新闻稿、组织报道、接受记者采访、举行</w:t>
      </w:r>
      <w:r>
        <w:rPr>
          <w:spacing w:val="7"/>
        </w:rPr>
        <w:t>新闻发布会等。</w:t>
      </w:r>
    </w:p>
    <w:p>
      <w:pPr>
        <w:ind w:left="421"/>
        <w:spacing w:before="165" w:line="265" w:lineRule="exact"/>
        <w:rPr>
          <w:rFonts w:ascii="KaiTi" w:hAnsi="KaiTi" w:eastAsia="KaiTi" w:cs="KaiTi"/>
          <w:sz w:val="20"/>
          <w:szCs w:val="20"/>
        </w:rPr>
      </w:pPr>
      <w:r>
        <w:rPr>
          <w:rFonts w:ascii="Times New Roman" w:hAnsi="Times New Roman" w:eastAsia="Times New Roman" w:cs="Times New Roman"/>
          <w:sz w:val="20"/>
          <w:szCs w:val="20"/>
          <w:spacing w:val="5"/>
          <w:position w:val="1"/>
        </w:rPr>
        <w:t>4.7  </w:t>
      </w:r>
      <w:r>
        <w:rPr>
          <w:rFonts w:ascii="KaiTi" w:hAnsi="KaiTi" w:eastAsia="KaiTi" w:cs="KaiTi"/>
          <w:sz w:val="20"/>
          <w:szCs w:val="20"/>
          <w:spacing w:val="5"/>
          <w:position w:val="1"/>
        </w:rPr>
        <w:t>社会动员。</w:t>
      </w:r>
    </w:p>
    <w:p>
      <w:pPr>
        <w:pStyle w:val="BodyText"/>
        <w:ind w:left="3" w:right="94" w:firstLine="409"/>
        <w:spacing w:before="145" w:line="338"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）各级政府或市通信保障应急指挥部</w:t>
      </w:r>
      <w:r>
        <w:rPr>
          <w:spacing w:val="7"/>
        </w:rPr>
        <w:t>根据通信突发事件的性质、危害程度和范围，</w:t>
      </w:r>
      <w:r>
        <w:rPr>
          <w:spacing w:val="7"/>
        </w:rPr>
        <w:t>广泛调动社会力量参与事件处置，紧急情况下</w:t>
      </w:r>
      <w:r>
        <w:rPr>
          <w:spacing w:val="9"/>
        </w:rPr>
        <w:t>可依法征用、调用车辆、物资、人员等。</w:t>
      </w:r>
    </w:p>
    <w:p>
      <w:pPr>
        <w:pStyle w:val="BodyText"/>
        <w:ind w:left="1" w:right="78" w:firstLine="412"/>
        <w:spacing w:before="168" w:line="346"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5"/>
        </w:rPr>
        <w:t xml:space="preserve"> </w:t>
      </w:r>
      <w:r>
        <w:rPr>
          <w:spacing w:val="8"/>
        </w:rPr>
        <w:t>）通信突发事件发生后</w:t>
      </w:r>
      <w:r>
        <w:rPr>
          <w:spacing w:val="-59"/>
        </w:rPr>
        <w:t xml:space="preserve"> </w:t>
      </w:r>
      <w:r>
        <w:rPr>
          <w:spacing w:val="8"/>
        </w:rPr>
        <w:t>，事发地政府</w:t>
      </w:r>
      <w:r>
        <w:rPr>
          <w:spacing w:val="18"/>
        </w:rPr>
        <w:t>或相应应急指挥机构组织各方面力量开展应</w:t>
      </w:r>
      <w:r>
        <w:rPr>
          <w:spacing w:val="8"/>
        </w:rPr>
        <w:t>急处置工作，组织基层单位和人员开展自救、</w:t>
      </w:r>
      <w:r>
        <w:rPr>
          <w:spacing w:val="4"/>
        </w:rPr>
        <w:t>互救；邻近的县（</w:t>
      </w:r>
      <w:r>
        <w:rPr>
          <w:spacing w:val="-35"/>
        </w:rPr>
        <w:t xml:space="preserve"> </w:t>
      </w:r>
      <w:r>
        <w:rPr>
          <w:spacing w:val="4"/>
        </w:rPr>
        <w:t>区）政府根据灾情组织和动</w:t>
      </w:r>
      <w:r>
        <w:rPr>
          <w:spacing w:val="8"/>
        </w:rPr>
        <w:t>员社会力量，对事发地提供援助。</w:t>
      </w:r>
    </w:p>
    <w:p>
      <w:pPr>
        <w:pStyle w:val="BodyText"/>
        <w:ind w:left="1" w:right="101" w:firstLine="412"/>
        <w:spacing w:before="162" w:line="339" w:lineRule="auto"/>
        <w:rPr/>
      </w:pPr>
      <w:r>
        <w:rPr/>
        <w:t>（</w:t>
      </w:r>
      <w:r>
        <w:rPr>
          <w:rFonts w:ascii="Times New Roman" w:hAnsi="Times New Roman" w:eastAsia="Times New Roman" w:cs="Times New Roman"/>
        </w:rPr>
        <w:t>3</w:t>
      </w:r>
      <w:r>
        <w:rPr>
          <w:rFonts w:ascii="Times New Roman" w:hAnsi="Times New Roman" w:eastAsia="Times New Roman" w:cs="Times New Roman"/>
          <w:spacing w:val="-17"/>
        </w:rPr>
        <w:t xml:space="preserve"> </w:t>
      </w:r>
      <w:r>
        <w:rPr/>
        <w:t>）鼓励公民、法人和其他组织按照《中</w:t>
      </w:r>
      <w:r>
        <w:rPr>
          <w:spacing w:val="7"/>
        </w:rPr>
        <w:t>华人民共和国公益事业捐赠法》等有关法律法</w:t>
      </w:r>
      <w:r>
        <w:rPr>
          <w:spacing w:val="7"/>
        </w:rPr>
        <w:t>规的规定进行捐赠和援助。审计部门对捐赠资</w:t>
      </w:r>
      <w:r>
        <w:rPr>
          <w:spacing w:val="9"/>
        </w:rPr>
        <w:t>金与物资的使用情况进行审计和监督。</w:t>
      </w:r>
    </w:p>
    <w:p>
      <w:pPr>
        <w:pStyle w:val="BodyText"/>
        <w:ind w:right="101" w:firstLine="413"/>
        <w:spacing w:before="165" w:line="346" w:lineRule="auto"/>
        <w:rPr/>
      </w:pPr>
      <w:r>
        <w:rPr>
          <w:spacing w:val="8"/>
        </w:rPr>
        <w:t>（</w:t>
      </w:r>
      <w:r>
        <w:rPr>
          <w:rFonts w:ascii="Times New Roman" w:hAnsi="Times New Roman" w:eastAsia="Times New Roman" w:cs="Times New Roman"/>
          <w:spacing w:val="8"/>
        </w:rPr>
        <w:t>4</w:t>
      </w:r>
      <w:r>
        <w:rPr>
          <w:rFonts w:ascii="Times New Roman" w:hAnsi="Times New Roman" w:eastAsia="Times New Roman" w:cs="Times New Roman"/>
          <w:spacing w:val="-5"/>
        </w:rPr>
        <w:t xml:space="preserve"> </w:t>
      </w:r>
      <w:r>
        <w:rPr>
          <w:spacing w:val="8"/>
        </w:rPr>
        <w:t>）根据通信突发事件发展情况</w:t>
      </w:r>
      <w:r>
        <w:rPr>
          <w:spacing w:val="-59"/>
        </w:rPr>
        <w:t xml:space="preserve"> </w:t>
      </w:r>
      <w:r>
        <w:rPr>
          <w:spacing w:val="8"/>
        </w:rPr>
        <w:t>，向社</w:t>
      </w:r>
      <w:r>
        <w:rPr>
          <w:spacing w:val="7"/>
        </w:rPr>
        <w:t>会公布志愿服务需求指南，明确专门人员，及</w:t>
      </w:r>
      <w:r>
        <w:rPr>
          <w:spacing w:val="7"/>
        </w:rPr>
        <w:t>时开通志愿服务联系电话，统一接收志愿者组</w:t>
      </w:r>
      <w:r>
        <w:rPr>
          <w:spacing w:val="7"/>
        </w:rPr>
        <w:t>织报名，做好志愿者派遣和相关服务工作，引</w:t>
      </w:r>
      <w:r>
        <w:rPr>
          <w:spacing w:val="8"/>
        </w:rPr>
        <w:t>导志愿者有序参与救援工作。</w:t>
      </w:r>
    </w:p>
    <w:p>
      <w:pPr>
        <w:ind w:left="421"/>
        <w:spacing w:before="165" w:line="268" w:lineRule="exact"/>
        <w:rPr>
          <w:rFonts w:ascii="KaiTi" w:hAnsi="KaiTi" w:eastAsia="KaiTi" w:cs="KaiTi"/>
          <w:sz w:val="20"/>
          <w:szCs w:val="20"/>
        </w:rPr>
      </w:pPr>
      <w:r>
        <w:rPr>
          <w:rFonts w:ascii="Times New Roman" w:hAnsi="Times New Roman" w:eastAsia="Times New Roman" w:cs="Times New Roman"/>
          <w:sz w:val="20"/>
          <w:szCs w:val="20"/>
          <w:spacing w:val="5"/>
          <w:position w:val="1"/>
        </w:rPr>
        <w:t>4.8  </w:t>
      </w:r>
      <w:r>
        <w:rPr>
          <w:rFonts w:ascii="KaiTi" w:hAnsi="KaiTi" w:eastAsia="KaiTi" w:cs="KaiTi"/>
          <w:sz w:val="20"/>
          <w:szCs w:val="20"/>
          <w:spacing w:val="5"/>
          <w:position w:val="1"/>
        </w:rPr>
        <w:t>响应终止。</w:t>
      </w:r>
    </w:p>
    <w:p>
      <w:pPr>
        <w:pStyle w:val="BodyText"/>
        <w:ind w:left="413"/>
        <w:spacing w:before="141" w:line="221"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）应对特别严重、严重通信突发事件</w:t>
      </w:r>
    </w:p>
    <w:p>
      <w:pPr>
        <w:spacing w:line="221" w:lineRule="auto"/>
        <w:sectPr>
          <w:type w:val="continuous"/>
          <w:pgSz w:w="11906" w:h="16839"/>
          <w:pgMar w:top="1772" w:right="1489" w:bottom="1562" w:left="1567" w:header="1428" w:footer="1172" w:gutter="0"/>
          <w:cols w:equalWidth="0" w:num="2">
            <w:col w:w="4501" w:space="100"/>
            <w:col w:w="4250" w:space="0"/>
          </w:cols>
        </w:sectPr>
        <w:rPr/>
      </w:pPr>
    </w:p>
    <w:p>
      <w:pPr>
        <w:spacing w:line="127" w:lineRule="exact"/>
        <w:rPr/>
      </w:pPr>
      <w:r>
        <w:drawing>
          <wp:anchor distT="0" distB="0" distL="0" distR="0" simplePos="0" relativeHeight="25326592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866" name="IM 1866"/>
            <wp:cNvGraphicFramePr/>
            <a:graphic>
              <a:graphicData uri="http://schemas.openxmlformats.org/drawingml/2006/picture">
                <pic:pic>
                  <pic:nvPicPr>
                    <pic:cNvPr id="1866" name="IM 1866"/>
                    <pic:cNvPicPr/>
                  </pic:nvPicPr>
                  <pic:blipFill>
                    <a:blip r:embed="rId935"/>
                    <a:stretch>
                      <a:fillRect/>
                    </a:stretch>
                  </pic:blipFill>
                  <pic:spPr>
                    <a:xfrm rot="0">
                      <a:off x="0" y="0"/>
                      <a:ext cx="5579745" cy="7620"/>
                    </a:xfrm>
                    <a:prstGeom prst="rect">
                      <a:avLst/>
                    </a:prstGeom>
                  </pic:spPr>
                </pic:pic>
              </a:graphicData>
            </a:graphic>
          </wp:anchor>
        </w:drawing>
      </w:r>
      <w:r/>
    </w:p>
    <w:p>
      <w:pPr>
        <w:spacing w:line="127" w:lineRule="exact"/>
        <w:sectPr>
          <w:headerReference w:type="default" r:id="rId874"/>
          <w:footerReference w:type="default" r:id="rId934"/>
          <w:pgSz w:w="11906" w:h="16839"/>
          <w:pgMar w:top="1766" w:right="1509" w:bottom="1575" w:left="1579" w:header="1428" w:footer="1172" w:gutter="0"/>
          <w:cols w:equalWidth="0" w:num="1">
            <w:col w:w="8817" w:space="0"/>
          </w:cols>
        </w:sectPr>
        <w:rPr/>
      </w:pPr>
    </w:p>
    <w:p>
      <w:pPr>
        <w:pStyle w:val="BodyText"/>
        <w:ind w:left="11" w:right="322" w:firstLine="2"/>
        <w:spacing w:before="64" w:line="374" w:lineRule="auto"/>
        <w:jc w:val="both"/>
        <w:rPr/>
      </w:pPr>
      <w:r>
        <w:rPr>
          <w:spacing w:val="18"/>
        </w:rPr>
        <w:t>工作基本结束、紧急转移和安置工作基本完</w:t>
      </w:r>
      <w:r>
        <w:rPr>
          <w:spacing w:val="7"/>
        </w:rPr>
        <w:t>成、次生灾害的后果基本消除，以及交通、电</w:t>
      </w:r>
      <w:r>
        <w:rPr>
          <w:spacing w:val="7"/>
        </w:rPr>
        <w:t>力、通信和供水等基本抢修抢通、群众生活秩</w:t>
      </w:r>
      <w:r>
        <w:rPr>
          <w:spacing w:val="7"/>
        </w:rPr>
        <w:t>序基本恢复后，自治区通信保障应急指挥部办</w:t>
      </w:r>
      <w:r>
        <w:rPr>
          <w:spacing w:val="7"/>
        </w:rPr>
        <w:t>公室会同自治区应急管理厅提出建议，由自治</w:t>
      </w:r>
      <w:r>
        <w:rPr>
          <w:spacing w:val="8"/>
        </w:rPr>
        <w:t>区决定终止应急响应。</w:t>
      </w:r>
    </w:p>
    <w:p>
      <w:pPr>
        <w:pStyle w:val="BodyText"/>
        <w:ind w:left="12" w:right="237" w:firstLine="412"/>
        <w:spacing w:line="312" w:lineRule="auto"/>
        <w:rPr/>
      </w:pPr>
      <w:r>
        <w:rPr>
          <w:spacing w:val="1"/>
        </w:rPr>
        <w:t>（</w:t>
      </w:r>
      <w:r>
        <w:rPr>
          <w:rFonts w:ascii="Times New Roman" w:hAnsi="Times New Roman" w:eastAsia="Times New Roman" w:cs="Times New Roman"/>
          <w:spacing w:val="1"/>
        </w:rPr>
        <w:t>2</w:t>
      </w:r>
      <w:r>
        <w:rPr>
          <w:rFonts w:ascii="Times New Roman" w:hAnsi="Times New Roman" w:eastAsia="Times New Roman" w:cs="Times New Roman"/>
          <w:spacing w:val="-16"/>
        </w:rPr>
        <w:t xml:space="preserve"> </w:t>
      </w:r>
      <w:r>
        <w:rPr>
          <w:spacing w:val="1"/>
        </w:rPr>
        <w:t>）应对较严重通信突发事件工作基本结</w:t>
      </w:r>
      <w:r>
        <w:rPr>
          <w:spacing w:val="-8"/>
        </w:rPr>
        <w:t>束后，由市通信保障应急指挥部办公室提出建议，</w:t>
      </w:r>
      <w:r>
        <w:rPr>
          <w:spacing w:val="-3"/>
        </w:rPr>
        <w:t>由市通信保障应急指挥部决定终止应急响应。</w:t>
      </w:r>
    </w:p>
    <w:p>
      <w:pPr>
        <w:pStyle w:val="BodyText"/>
        <w:ind w:left="12" w:right="270" w:firstLine="412"/>
        <w:spacing w:before="140" w:line="324"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）应对一般通信突发事件工作基本结</w:t>
      </w:r>
      <w:r>
        <w:rPr>
          <w:spacing w:val="4"/>
        </w:rPr>
        <w:t>束后，事发地县（</w:t>
      </w:r>
      <w:r>
        <w:rPr>
          <w:spacing w:val="-35"/>
        </w:rPr>
        <w:t xml:space="preserve"> </w:t>
      </w:r>
      <w:r>
        <w:rPr>
          <w:spacing w:val="4"/>
        </w:rPr>
        <w:t>区）通信保障应急指挥机构</w:t>
      </w:r>
      <w:r>
        <w:rPr>
          <w:spacing w:val="5"/>
        </w:rPr>
        <w:t>提出建议，由事发地县（</w:t>
      </w:r>
      <w:r>
        <w:rPr>
          <w:spacing w:val="-53"/>
        </w:rPr>
        <w:t xml:space="preserve"> </w:t>
      </w:r>
      <w:r>
        <w:rPr>
          <w:spacing w:val="5"/>
        </w:rPr>
        <w:t>区）政府或县（</w:t>
      </w:r>
      <w:r>
        <w:rPr>
          <w:spacing w:val="-50"/>
        </w:rPr>
        <w:t xml:space="preserve"> </w:t>
      </w:r>
      <w:r>
        <w:rPr>
          <w:spacing w:val="5"/>
        </w:rPr>
        <w:t>区）</w:t>
      </w:r>
      <w:r>
        <w:rPr>
          <w:spacing w:val="9"/>
        </w:rPr>
        <w:t>通信保障应急指挥机构决定终止应急响应。</w:t>
      </w:r>
    </w:p>
    <w:p>
      <w:pPr>
        <w:ind w:left="435"/>
        <w:spacing w:before="136"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5</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应急保障</w:t>
      </w:r>
    </w:p>
    <w:p>
      <w:pPr>
        <w:pStyle w:val="BodyText"/>
        <w:ind w:left="11" w:right="322" w:firstLine="427"/>
        <w:spacing w:before="79" w:line="342" w:lineRule="auto"/>
        <w:rPr/>
      </w:pPr>
      <w:r>
        <w:rPr>
          <w:rFonts w:ascii="Times New Roman" w:hAnsi="Times New Roman" w:eastAsia="Times New Roman" w:cs="Times New Roman"/>
          <w:spacing w:val="6"/>
        </w:rPr>
        <w:t>5.</w:t>
      </w:r>
      <w:r>
        <w:rPr>
          <w:rFonts w:ascii="Times New Roman" w:hAnsi="Times New Roman" w:eastAsia="Times New Roman" w:cs="Times New Roman"/>
          <w:spacing w:val="-8"/>
        </w:rPr>
        <w:t xml:space="preserve"> </w:t>
      </w:r>
      <w:r>
        <w:rPr>
          <w:rFonts w:ascii="Times New Roman" w:hAnsi="Times New Roman" w:eastAsia="Times New Roman" w:cs="Times New Roman"/>
          <w:spacing w:val="6"/>
        </w:rPr>
        <w:t>1  </w:t>
      </w:r>
      <w:r>
        <w:rPr>
          <w:rFonts w:ascii="KaiTi" w:hAnsi="KaiTi" w:eastAsia="KaiTi" w:cs="KaiTi"/>
          <w:spacing w:val="6"/>
        </w:rPr>
        <w:t>应急通信队伍保障。</w:t>
      </w:r>
      <w:r>
        <w:rPr>
          <w:spacing w:val="6"/>
        </w:rPr>
        <w:t>市工业和信息化</w:t>
      </w:r>
      <w:r>
        <w:rPr>
          <w:spacing w:val="18"/>
        </w:rPr>
        <w:t>局会同基础电信企业加强应急通信专业保障</w:t>
      </w:r>
      <w:r>
        <w:rPr>
          <w:spacing w:val="7"/>
        </w:rPr>
        <w:t>队伍建设，针对灾害分布进行合理配置，并开</w:t>
      </w:r>
      <w:r>
        <w:rPr>
          <w:spacing w:val="7"/>
        </w:rPr>
        <w:t>展相应的培训、演练及考核，提高队伍通信保</w:t>
      </w:r>
      <w:r>
        <w:rPr>
          <w:spacing w:val="7"/>
        </w:rPr>
        <w:t>障的实战能力。基础电信运营企业要按照市工</w:t>
      </w:r>
      <w:r>
        <w:rPr>
          <w:spacing w:val="7"/>
        </w:rPr>
        <w:t>业和信息化局的统一部署，不断完善专业应急</w:t>
      </w:r>
      <w:r>
        <w:rPr>
          <w:spacing w:val="18"/>
        </w:rPr>
        <w:t>机动通信保障队伍和公用通信网运行维护应</w:t>
      </w:r>
      <w:r>
        <w:rPr>
          <w:spacing w:val="7"/>
        </w:rPr>
        <w:t>急梯队，加强应急通信装备的配备，以满足我</w:t>
      </w:r>
      <w:r>
        <w:rPr>
          <w:spacing w:val="9"/>
        </w:rPr>
        <w:t>市通信保障应急等工作的要求。</w:t>
      </w:r>
    </w:p>
    <w:p>
      <w:pPr>
        <w:pStyle w:val="BodyText"/>
        <w:ind w:left="13" w:right="322" w:firstLine="425"/>
        <w:spacing w:before="144" w:line="337" w:lineRule="auto"/>
        <w:rPr/>
      </w:pPr>
      <w:r>
        <w:rPr>
          <w:rFonts w:ascii="Times New Roman" w:hAnsi="Times New Roman" w:eastAsia="Times New Roman" w:cs="Times New Roman"/>
          <w:spacing w:val="8"/>
        </w:rPr>
        <w:t>5.2  </w:t>
      </w:r>
      <w:r>
        <w:rPr>
          <w:rFonts w:ascii="KaiTi" w:hAnsi="KaiTi" w:eastAsia="KaiTi" w:cs="KaiTi"/>
          <w:spacing w:val="8"/>
        </w:rPr>
        <w:t>经费保障。</w:t>
      </w:r>
      <w:r>
        <w:rPr>
          <w:spacing w:val="8"/>
        </w:rPr>
        <w:t>因电信网络安全事故造成</w:t>
      </w:r>
      <w:r>
        <w:rPr>
          <w:spacing w:val="7"/>
        </w:rPr>
        <w:t>的通信保障和恢复等处置费用，由基础电信运</w:t>
      </w:r>
      <w:r>
        <w:rPr>
          <w:spacing w:val="7"/>
        </w:rPr>
        <w:t>营企业承担。突发事件应急处置和实施重要通</w:t>
      </w:r>
      <w:r>
        <w:rPr>
          <w:spacing w:val="7"/>
        </w:rPr>
        <w:t>信保障任务所发生的通信保障费用，由市财政</w:t>
      </w:r>
      <w:r>
        <w:rPr>
          <w:spacing w:val="18"/>
        </w:rPr>
        <w:t>局承担。需要市财政增加通信保障应急费用</w:t>
      </w:r>
      <w:r>
        <w:rPr>
          <w:spacing w:val="7"/>
        </w:rPr>
        <w:t>时，由市工业和信息化局和市财政局协商，提</w:t>
      </w:r>
      <w:r>
        <w:rPr>
          <w:spacing w:val="8"/>
        </w:rPr>
        <w:t>出意见报市人民政府批准。</w:t>
      </w:r>
    </w:p>
    <w:p>
      <w:pPr>
        <w:ind w:left="439"/>
        <w:spacing w:before="145" w:line="264" w:lineRule="exact"/>
        <w:rPr>
          <w:rFonts w:ascii="KaiTi" w:hAnsi="KaiTi" w:eastAsia="KaiTi" w:cs="KaiTi"/>
          <w:sz w:val="20"/>
          <w:szCs w:val="20"/>
        </w:rPr>
      </w:pPr>
      <w:r>
        <w:rPr>
          <w:rFonts w:ascii="Times New Roman" w:hAnsi="Times New Roman" w:eastAsia="Times New Roman" w:cs="Times New Roman"/>
          <w:sz w:val="20"/>
          <w:szCs w:val="20"/>
          <w:spacing w:val="3"/>
          <w:position w:val="1"/>
        </w:rPr>
        <w:t>5.3</w:t>
      </w:r>
      <w:r>
        <w:rPr>
          <w:rFonts w:ascii="Times New Roman" w:hAnsi="Times New Roman" w:eastAsia="Times New Roman" w:cs="Times New Roman"/>
          <w:sz w:val="20"/>
          <w:szCs w:val="20"/>
          <w:spacing w:val="9"/>
          <w:position w:val="1"/>
        </w:rPr>
        <w:t xml:space="preserve">  </w:t>
      </w:r>
      <w:r>
        <w:rPr>
          <w:rFonts w:ascii="KaiTi" w:hAnsi="KaiTi" w:eastAsia="KaiTi" w:cs="KaiTi"/>
          <w:sz w:val="20"/>
          <w:szCs w:val="20"/>
          <w:spacing w:val="3"/>
          <w:position w:val="1"/>
        </w:rPr>
        <w:t>物资保障。</w:t>
      </w:r>
    </w:p>
    <w:p>
      <w:pPr>
        <w:pStyle w:val="BodyText"/>
        <w:ind w:left="11" w:right="320" w:firstLine="427"/>
        <w:spacing w:before="126" w:line="310" w:lineRule="auto"/>
        <w:jc w:val="both"/>
        <w:rPr/>
      </w:pPr>
      <w:r>
        <w:rPr>
          <w:rFonts w:ascii="Times New Roman" w:hAnsi="Times New Roman" w:eastAsia="Times New Roman" w:cs="Times New Roman"/>
          <w:spacing w:val="3"/>
        </w:rPr>
        <w:t>5.3.1 </w:t>
      </w:r>
      <w:r>
        <w:rPr>
          <w:spacing w:val="3"/>
        </w:rPr>
        <w:t>基础设施及物资保障。各电信运营企</w:t>
      </w:r>
      <w:r>
        <w:rPr>
          <w:spacing w:val="7"/>
        </w:rPr>
        <w:t>业应根据地域特点和通信保障工作的需要，有</w:t>
      </w:r>
      <w:r>
        <w:rPr>
          <w:spacing w:val="7"/>
        </w:rPr>
        <w:t>针对性地配备必要的通信保障应急装备（包括</w:t>
      </w:r>
    </w:p>
    <w:p>
      <w:pPr>
        <w:spacing w:line="14" w:lineRule="auto"/>
        <w:rPr>
          <w:rFonts w:ascii="Arial"/>
          <w:sz w:val="2"/>
        </w:rPr>
      </w:pPr>
      <w:r>
        <w:rPr>
          <w:rFonts w:ascii="Arial" w:hAnsi="Arial" w:eastAsia="Arial" w:cs="Arial"/>
          <w:sz w:val="2"/>
          <w:szCs w:val="2"/>
        </w:rPr>
        <w:br w:type="column"/>
      </w:r>
    </w:p>
    <w:p>
      <w:pPr>
        <w:pStyle w:val="BodyText"/>
        <w:ind w:left="7" w:right="80"/>
        <w:spacing w:before="45" w:line="356" w:lineRule="auto"/>
        <w:jc w:val="both"/>
        <w:rPr/>
      </w:pPr>
      <w:r>
        <w:rPr>
          <w:spacing w:val="8"/>
        </w:rPr>
        <w:t>基本的防护装备</w:t>
      </w:r>
      <w:r>
        <w:rPr/>
        <w:t>），</w:t>
      </w:r>
      <w:r>
        <w:rPr>
          <w:spacing w:val="8"/>
        </w:rPr>
        <w:t>尤其要加强小型、便携等</w:t>
      </w:r>
      <w:r>
        <w:rPr>
          <w:spacing w:val="15"/>
        </w:rPr>
        <w:t>适应性强的通信应急装备配备</w:t>
      </w:r>
      <w:r>
        <w:rPr>
          <w:spacing w:val="-40"/>
        </w:rPr>
        <w:t xml:space="preserve"> </w:t>
      </w:r>
      <w:r>
        <w:rPr>
          <w:spacing w:val="15"/>
        </w:rPr>
        <w:t>，形成手段多</w:t>
      </w:r>
      <w:r>
        <w:rPr>
          <w:spacing w:val="7"/>
        </w:rPr>
        <w:t>样、能够独立组网的装备配置系列，并加强对</w:t>
      </w:r>
      <w:r>
        <w:rPr>
          <w:spacing w:val="7"/>
        </w:rPr>
        <w:t>应急装备的管理、维护和保养，健全采购、调</w:t>
      </w:r>
      <w:r>
        <w:rPr>
          <w:spacing w:val="8"/>
        </w:rPr>
        <w:t>用、补充、报废等管理制度。</w:t>
      </w:r>
    </w:p>
    <w:p>
      <w:pPr>
        <w:pStyle w:val="BodyText"/>
        <w:ind w:left="8" w:right="57" w:firstLine="425"/>
        <w:spacing w:before="2" w:line="330" w:lineRule="auto"/>
        <w:rPr/>
      </w:pPr>
      <w:r>
        <w:rPr>
          <w:rFonts w:ascii="Times New Roman" w:hAnsi="Times New Roman" w:eastAsia="Times New Roman" w:cs="Times New Roman"/>
          <w:spacing w:val="3"/>
        </w:rPr>
        <w:t>5.3.2 </w:t>
      </w:r>
      <w:r>
        <w:rPr>
          <w:spacing w:val="3"/>
        </w:rPr>
        <w:t>通信保障应急物资储备。各电信运营</w:t>
      </w:r>
      <w:r>
        <w:rPr>
          <w:spacing w:val="8"/>
        </w:rPr>
        <w:t>企业通信保障应急物资储备要按照物资种类、</w:t>
      </w:r>
      <w:r>
        <w:rPr>
          <w:spacing w:val="7"/>
        </w:rPr>
        <w:t>物资分部区域、物资归属地等不同情况，明确</w:t>
      </w:r>
      <w:r>
        <w:rPr>
          <w:spacing w:val="7"/>
        </w:rPr>
        <w:t>专人负责、建立台账登记制度，实施物资动态</w:t>
      </w:r>
      <w:r>
        <w:rPr>
          <w:spacing w:val="8"/>
        </w:rPr>
        <w:t>管理，确保通信应急物资需求。</w:t>
      </w:r>
    </w:p>
    <w:p>
      <w:pPr>
        <w:pStyle w:val="BodyText"/>
        <w:ind w:left="8" w:right="78" w:firstLine="425"/>
        <w:spacing w:before="143" w:line="323" w:lineRule="auto"/>
        <w:rPr/>
      </w:pPr>
      <w:r>
        <w:rPr>
          <w:rFonts w:ascii="Times New Roman" w:hAnsi="Times New Roman" w:eastAsia="Times New Roman" w:cs="Times New Roman"/>
          <w:spacing w:val="3"/>
        </w:rPr>
        <w:t>5.3.3 </w:t>
      </w:r>
      <w:r>
        <w:rPr>
          <w:spacing w:val="3"/>
        </w:rPr>
        <w:t>通信保障应急管理机构必备资料。各</w:t>
      </w:r>
      <w:r>
        <w:rPr>
          <w:spacing w:val="18"/>
        </w:rPr>
        <w:t>电信运营企业通信保障应急管理机构必须备</w:t>
      </w:r>
      <w:r>
        <w:rPr>
          <w:spacing w:val="7"/>
        </w:rPr>
        <w:t>有以下资料：</w:t>
      </w:r>
    </w:p>
    <w:p>
      <w:pPr>
        <w:pStyle w:val="BodyText"/>
        <w:spacing w:before="107" w:line="278" w:lineRule="exact"/>
        <w:jc w:val="right"/>
        <w:rPr/>
      </w:pPr>
      <w:r>
        <w:rPr>
          <w:spacing w:val="1"/>
          <w:position w:val="1"/>
        </w:rPr>
        <w:t>（</w:t>
      </w:r>
      <w:r>
        <w:rPr>
          <w:spacing w:val="-48"/>
          <w:position w:val="1"/>
        </w:rPr>
        <w:t xml:space="preserve"> </w:t>
      </w:r>
      <w:r>
        <w:rPr>
          <w:rFonts w:ascii="Times New Roman" w:hAnsi="Times New Roman" w:eastAsia="Times New Roman" w:cs="Times New Roman"/>
          <w:spacing w:val="1"/>
          <w:position w:val="1"/>
        </w:rPr>
        <w:t>1</w:t>
      </w:r>
      <w:r>
        <w:rPr>
          <w:rFonts w:ascii="Times New Roman" w:hAnsi="Times New Roman" w:eastAsia="Times New Roman" w:cs="Times New Roman"/>
          <w:spacing w:val="-21"/>
          <w:position w:val="1"/>
        </w:rPr>
        <w:t xml:space="preserve"> </w:t>
      </w:r>
      <w:r>
        <w:rPr>
          <w:spacing w:val="1"/>
          <w:position w:val="1"/>
        </w:rPr>
        <w:t>）通信保障应急主要设备的备品备件；</w:t>
      </w:r>
    </w:p>
    <w:p>
      <w:pPr>
        <w:pStyle w:val="BodyText"/>
        <w:ind w:left="8" w:firstLine="411"/>
        <w:spacing w:before="105" w:line="293" w:lineRule="auto"/>
        <w:rPr/>
      </w:pPr>
      <w:r>
        <w:rPr>
          <w:spacing w:val="4"/>
        </w:rPr>
        <w:t>（</w:t>
      </w:r>
      <w:r>
        <w:rPr>
          <w:rFonts w:ascii="Times New Roman" w:hAnsi="Times New Roman" w:eastAsia="Times New Roman" w:cs="Times New Roman"/>
          <w:spacing w:val="4"/>
        </w:rPr>
        <w:t>2</w:t>
      </w:r>
      <w:r>
        <w:rPr>
          <w:rFonts w:ascii="Times New Roman" w:hAnsi="Times New Roman" w:eastAsia="Times New Roman" w:cs="Times New Roman"/>
          <w:spacing w:val="-13"/>
        </w:rPr>
        <w:t xml:space="preserve"> </w:t>
      </w:r>
      <w:r>
        <w:rPr>
          <w:spacing w:val="4"/>
        </w:rPr>
        <w:t>）通信保障应急物资储备器材的型号、</w:t>
      </w:r>
      <w:r>
        <w:rPr>
          <w:spacing w:val="8"/>
        </w:rPr>
        <w:t>数量、存放地点等清单；</w:t>
      </w:r>
    </w:p>
    <w:p>
      <w:pPr>
        <w:pStyle w:val="BodyText"/>
        <w:ind w:left="23" w:right="83" w:firstLine="396"/>
        <w:spacing w:before="139" w:line="293" w:lineRule="auto"/>
        <w:rPr/>
      </w:pPr>
      <w:r>
        <w:rPr>
          <w:spacing w:val="9"/>
        </w:rPr>
        <w:t>（</w:t>
      </w:r>
      <w:r>
        <w:rPr>
          <w:rFonts w:ascii="Times New Roman" w:hAnsi="Times New Roman" w:eastAsia="Times New Roman" w:cs="Times New Roman"/>
          <w:spacing w:val="9"/>
        </w:rPr>
        <w:t>3 </w:t>
      </w:r>
      <w:r>
        <w:rPr>
          <w:spacing w:val="9"/>
        </w:rPr>
        <w:t>）防汛、防火、地震灾害等个人灾害</w:t>
      </w:r>
      <w:r>
        <w:rPr>
          <w:spacing w:val="3"/>
        </w:rPr>
        <w:t>防护用具；</w:t>
      </w:r>
    </w:p>
    <w:p>
      <w:pPr>
        <w:pStyle w:val="BodyText"/>
        <w:ind w:left="12" w:right="83" w:firstLine="407"/>
        <w:spacing w:before="137" w:line="293"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）各种通信保障应急预案、通信调度</w:t>
      </w:r>
      <w:r>
        <w:rPr>
          <w:spacing w:val="8"/>
        </w:rPr>
        <w:t>预案和异常情况处理流程图；</w:t>
      </w:r>
    </w:p>
    <w:p>
      <w:pPr>
        <w:pStyle w:val="BodyText"/>
        <w:ind w:left="16" w:right="83" w:firstLine="403"/>
        <w:spacing w:before="137" w:line="293" w:lineRule="auto"/>
        <w:rPr/>
      </w:pPr>
      <w:r>
        <w:rPr>
          <w:spacing w:val="8"/>
        </w:rPr>
        <w:t>（</w:t>
      </w:r>
      <w:r>
        <w:rPr>
          <w:spacing w:val="-45"/>
        </w:rPr>
        <w:t xml:space="preserve"> </w:t>
      </w:r>
      <w:r>
        <w:rPr>
          <w:rFonts w:ascii="Times New Roman" w:hAnsi="Times New Roman" w:eastAsia="Times New Roman" w:cs="Times New Roman"/>
          <w:spacing w:val="8"/>
        </w:rPr>
        <w:t>5</w:t>
      </w:r>
      <w:r>
        <w:rPr>
          <w:rFonts w:ascii="Times New Roman" w:hAnsi="Times New Roman" w:eastAsia="Times New Roman" w:cs="Times New Roman"/>
          <w:spacing w:val="-19"/>
        </w:rPr>
        <w:t xml:space="preserve"> </w:t>
      </w:r>
      <w:r>
        <w:rPr>
          <w:spacing w:val="8"/>
        </w:rPr>
        <w:t>）相关单位、部门的主要负责同志联</w:t>
      </w:r>
      <w:r>
        <w:rPr>
          <w:spacing w:val="4"/>
        </w:rPr>
        <w:t>系方式；</w:t>
      </w:r>
    </w:p>
    <w:p>
      <w:pPr>
        <w:pStyle w:val="BodyText"/>
        <w:ind w:right="83" w:firstLine="420"/>
        <w:spacing w:before="138" w:line="307" w:lineRule="auto"/>
        <w:rPr/>
      </w:pPr>
      <w:r>
        <w:rPr>
          <w:spacing w:val="8"/>
        </w:rPr>
        <w:t>（</w:t>
      </w:r>
      <w:r>
        <w:rPr>
          <w:rFonts w:ascii="Times New Roman" w:hAnsi="Times New Roman" w:eastAsia="Times New Roman" w:cs="Times New Roman"/>
          <w:spacing w:val="8"/>
        </w:rPr>
        <w:t>6</w:t>
      </w:r>
      <w:r>
        <w:rPr>
          <w:rFonts w:ascii="Times New Roman" w:hAnsi="Times New Roman" w:eastAsia="Times New Roman" w:cs="Times New Roman"/>
          <w:spacing w:val="-9"/>
        </w:rPr>
        <w:t xml:space="preserve"> </w:t>
      </w:r>
      <w:r>
        <w:rPr>
          <w:spacing w:val="8"/>
        </w:rPr>
        <w:t>）全国地图，</w:t>
      </w:r>
      <w:r>
        <w:rPr>
          <w:spacing w:val="-55"/>
        </w:rPr>
        <w:t xml:space="preserve"> </w:t>
      </w:r>
      <w:r>
        <w:rPr>
          <w:spacing w:val="8"/>
        </w:rPr>
        <w:t>自治区、固原市及各县</w:t>
      </w:r>
      <w:r>
        <w:rPr/>
        <w:t>（</w:t>
      </w:r>
      <w:r>
        <w:rPr>
          <w:spacing w:val="-48"/>
        </w:rPr>
        <w:t xml:space="preserve"> </w:t>
      </w:r>
      <w:r>
        <w:rPr/>
        <w:t>区）地图；</w:t>
      </w:r>
    </w:p>
    <w:p>
      <w:pPr>
        <w:pStyle w:val="BodyText"/>
        <w:spacing w:before="107" w:line="277" w:lineRule="exact"/>
        <w:jc w:val="right"/>
        <w:rPr/>
      </w:pPr>
      <w:r>
        <w:rPr>
          <w:spacing w:val="-6"/>
          <w:position w:val="1"/>
        </w:rPr>
        <w:t>（</w:t>
      </w:r>
      <w:r>
        <w:rPr>
          <w:rFonts w:ascii="Times New Roman" w:hAnsi="Times New Roman" w:eastAsia="Times New Roman" w:cs="Times New Roman"/>
          <w:spacing w:val="-6"/>
          <w:position w:val="1"/>
        </w:rPr>
        <w:t>7</w:t>
      </w:r>
      <w:r>
        <w:rPr>
          <w:rFonts w:ascii="Times New Roman" w:hAnsi="Times New Roman" w:eastAsia="Times New Roman" w:cs="Times New Roman"/>
          <w:spacing w:val="-17"/>
          <w:position w:val="1"/>
        </w:rPr>
        <w:t xml:space="preserve"> </w:t>
      </w:r>
      <w:r>
        <w:rPr>
          <w:spacing w:val="-6"/>
          <w:position w:val="1"/>
        </w:rPr>
        <w:t>）其他应急通信保障必备的器材及资料。</w:t>
      </w:r>
    </w:p>
    <w:p>
      <w:pPr>
        <w:pStyle w:val="BodyText"/>
        <w:ind w:left="8" w:right="80" w:firstLine="425"/>
        <w:spacing w:before="110" w:line="330" w:lineRule="auto"/>
        <w:rPr/>
      </w:pPr>
      <w:r>
        <w:rPr>
          <w:rFonts w:ascii="Times New Roman" w:hAnsi="Times New Roman" w:eastAsia="Times New Roman" w:cs="Times New Roman"/>
          <w:spacing w:val="8"/>
        </w:rPr>
        <w:t>5.4  </w:t>
      </w:r>
      <w:r>
        <w:rPr>
          <w:rFonts w:ascii="KaiTi" w:hAnsi="KaiTi" w:eastAsia="KaiTi" w:cs="KaiTi"/>
          <w:spacing w:val="8"/>
        </w:rPr>
        <w:t>通信保障。</w:t>
      </w:r>
      <w:r>
        <w:rPr>
          <w:spacing w:val="8"/>
        </w:rPr>
        <w:t>建立应急救援信息平台和</w:t>
      </w:r>
      <w:r>
        <w:rPr>
          <w:spacing w:val="7"/>
        </w:rPr>
        <w:t>数据库，完善应急救援信息资源共享机制。各</w:t>
      </w:r>
      <w:r>
        <w:rPr>
          <w:spacing w:val="18"/>
        </w:rPr>
        <w:t>级通信管理部门要及时组织有关基础电信运</w:t>
      </w:r>
      <w:r>
        <w:rPr>
          <w:spacing w:val="7"/>
        </w:rPr>
        <w:t>营企业，保障通信突发事件处置过程中的通信</w:t>
      </w:r>
      <w:r>
        <w:rPr>
          <w:spacing w:val="9"/>
        </w:rPr>
        <w:t>畅通，必要时，在现场开通应急通信设施。</w:t>
      </w:r>
    </w:p>
    <w:p>
      <w:pPr>
        <w:pStyle w:val="BodyText"/>
        <w:ind w:left="9" w:right="80" w:firstLine="425"/>
        <w:spacing w:before="143" w:line="323" w:lineRule="auto"/>
        <w:rPr/>
      </w:pPr>
      <w:r>
        <w:rPr>
          <w:rFonts w:ascii="Times New Roman" w:hAnsi="Times New Roman" w:eastAsia="Times New Roman" w:cs="Times New Roman"/>
          <w:spacing w:val="8"/>
        </w:rPr>
        <w:t>5.5  </w:t>
      </w:r>
      <w:r>
        <w:rPr>
          <w:rFonts w:ascii="KaiTi" w:hAnsi="KaiTi" w:eastAsia="KaiTi" w:cs="KaiTi"/>
          <w:spacing w:val="8"/>
        </w:rPr>
        <w:t>治安保障。</w:t>
      </w:r>
      <w:r>
        <w:rPr>
          <w:spacing w:val="8"/>
        </w:rPr>
        <w:t>公安部门主要负责灾害区</w:t>
      </w:r>
      <w:r>
        <w:rPr>
          <w:spacing w:val="7"/>
        </w:rPr>
        <w:t>域的治安和交通管理工作，维护灾区社会治安</w:t>
      </w:r>
      <w:r>
        <w:rPr>
          <w:spacing w:val="7"/>
        </w:rPr>
        <w:t>秩序和道路交通秩序，为保证通信保障应急车</w:t>
      </w:r>
      <w:r>
        <w:rPr>
          <w:spacing w:val="7"/>
        </w:rPr>
        <w:t>辆通行提供便利，保证通信保障应急工作顺利</w:t>
      </w:r>
    </w:p>
    <w:p>
      <w:pPr>
        <w:spacing w:line="323" w:lineRule="auto"/>
        <w:sectPr>
          <w:type w:val="continuous"/>
          <w:pgSz w:w="11906" w:h="16839"/>
          <w:pgMar w:top="1766" w:right="1509" w:bottom="1575" w:left="1579" w:header="1428" w:footer="1172" w:gutter="0"/>
          <w:cols w:equalWidth="0" w:num="2">
            <w:col w:w="4482" w:space="100"/>
            <w:col w:w="4235" w:space="0"/>
          </w:cols>
        </w:sectPr>
        <w:rPr/>
      </w:pPr>
    </w:p>
    <w:p>
      <w:pPr>
        <w:spacing w:before="64"/>
        <w:rPr/>
      </w:pPr>
      <w:r>
        <w:drawing>
          <wp:anchor distT="0" distB="0" distL="0" distR="0" simplePos="0" relativeHeight="253277184"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870" name="IM 1870"/>
            <wp:cNvGraphicFramePr/>
            <a:graphic>
              <a:graphicData uri="http://schemas.openxmlformats.org/drawingml/2006/picture">
                <pic:pic>
                  <pic:nvPicPr>
                    <pic:cNvPr id="1870" name="IM 1870"/>
                    <pic:cNvPicPr/>
                  </pic:nvPicPr>
                  <pic:blipFill>
                    <a:blip r:embed="rId937"/>
                    <a:stretch>
                      <a:fillRect/>
                    </a:stretch>
                  </pic:blipFill>
                  <pic:spPr>
                    <a:xfrm rot="0">
                      <a:off x="0" y="0"/>
                      <a:ext cx="5579745" cy="7620"/>
                    </a:xfrm>
                    <a:prstGeom prst="rect">
                      <a:avLst/>
                    </a:prstGeom>
                  </pic:spPr>
                </pic:pic>
              </a:graphicData>
            </a:graphic>
          </wp:anchor>
        </w:drawing>
      </w:r>
      <w:r/>
    </w:p>
    <w:p>
      <w:pPr>
        <w:sectPr>
          <w:headerReference w:type="default" r:id="rId816"/>
          <w:footerReference w:type="default" r:id="rId936"/>
          <w:pgSz w:w="11906" w:h="16839"/>
          <w:pgMar w:top="1772" w:right="1489" w:bottom="1562" w:left="1567" w:header="1428" w:footer="1172" w:gutter="0"/>
          <w:cols w:equalWidth="0" w:num="1">
            <w:col w:w="8850" w:space="0"/>
          </w:cols>
        </w:sectPr>
        <w:rPr/>
      </w:pPr>
    </w:p>
    <w:p>
      <w:pPr>
        <w:pStyle w:val="BodyText"/>
        <w:ind w:left="25"/>
        <w:spacing w:before="40" w:line="217" w:lineRule="auto"/>
        <w:rPr/>
      </w:pPr>
      <w:r>
        <w:rPr>
          <w:spacing w:val="4"/>
        </w:rPr>
        <w:t>进行。</w:t>
      </w:r>
    </w:p>
    <w:p>
      <w:pPr>
        <w:pStyle w:val="BodyText"/>
        <w:ind w:left="29" w:right="329" w:firstLine="421"/>
        <w:spacing w:before="144" w:line="312" w:lineRule="auto"/>
        <w:rPr/>
      </w:pPr>
      <w:r>
        <w:rPr>
          <w:rFonts w:ascii="Times New Roman" w:hAnsi="Times New Roman" w:eastAsia="Times New Roman" w:cs="Times New Roman"/>
          <w:spacing w:val="6"/>
        </w:rPr>
        <w:t>5.6</w:t>
      </w:r>
      <w:r>
        <w:rPr>
          <w:rFonts w:ascii="Times New Roman" w:hAnsi="Times New Roman" w:eastAsia="Times New Roman" w:cs="Times New Roman"/>
          <w:spacing w:val="27"/>
        </w:rPr>
        <w:t xml:space="preserve">  </w:t>
      </w:r>
      <w:r>
        <w:rPr>
          <w:rFonts w:ascii="KaiTi" w:hAnsi="KaiTi" w:eastAsia="KaiTi" w:cs="KaiTi"/>
          <w:spacing w:val="6"/>
        </w:rPr>
        <w:t>医疗卫生保障。</w:t>
      </w:r>
      <w:r>
        <w:rPr>
          <w:spacing w:val="6"/>
        </w:rPr>
        <w:t>各级卫生行政主管部</w:t>
      </w:r>
      <w:r>
        <w:rPr>
          <w:spacing w:val="7"/>
        </w:rPr>
        <w:t>门要按照有关应急预案要求，做好医疗卫生应</w:t>
      </w:r>
      <w:r>
        <w:rPr>
          <w:spacing w:val="7"/>
        </w:rPr>
        <w:t>急的各项保障措施。</w:t>
      </w:r>
    </w:p>
    <w:p>
      <w:pPr>
        <w:pStyle w:val="BodyText"/>
        <w:ind w:left="25" w:right="329" w:firstLine="426"/>
        <w:spacing w:before="146" w:line="337" w:lineRule="auto"/>
        <w:rPr/>
      </w:pPr>
      <w:r>
        <w:rPr>
          <w:rFonts w:ascii="Times New Roman" w:hAnsi="Times New Roman" w:eastAsia="Times New Roman" w:cs="Times New Roman"/>
          <w:spacing w:val="8"/>
        </w:rPr>
        <w:t>5.7  </w:t>
      </w:r>
      <w:r>
        <w:rPr>
          <w:rFonts w:ascii="KaiTi" w:hAnsi="KaiTi" w:eastAsia="KaiTi" w:cs="KaiTi"/>
          <w:spacing w:val="8"/>
        </w:rPr>
        <w:t>地方政府支援保障。</w:t>
      </w:r>
      <w:r>
        <w:rPr>
          <w:spacing w:val="8"/>
        </w:rPr>
        <w:t>事发地政府负责</w:t>
      </w:r>
      <w:r>
        <w:rPr>
          <w:spacing w:val="7"/>
        </w:rPr>
        <w:t>协调当地有关行政主管部门，确保通信保障应</w:t>
      </w:r>
      <w:r>
        <w:rPr>
          <w:spacing w:val="7"/>
        </w:rPr>
        <w:t>急物资、器材、人员运送及时到位，确保现场</w:t>
      </w:r>
      <w:r>
        <w:rPr>
          <w:spacing w:val="7"/>
        </w:rPr>
        <w:t>通信应急系统的电力、油料供应，在通信保障</w:t>
      </w:r>
      <w:r>
        <w:rPr>
          <w:spacing w:val="7"/>
        </w:rPr>
        <w:t>应急现场处置人员自备物资不足时，负责提供</w:t>
      </w:r>
      <w:r>
        <w:rPr>
          <w:spacing w:val="18"/>
        </w:rPr>
        <w:t>必要的后勤保障和社会支援力量协调等方面</w:t>
      </w:r>
      <w:r>
        <w:rPr>
          <w:spacing w:val="6"/>
        </w:rPr>
        <w:t>的工作。</w:t>
      </w:r>
    </w:p>
    <w:p>
      <w:pPr>
        <w:ind w:left="449"/>
        <w:spacing w:before="138"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6</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4"/>
        </w:rPr>
        <w:t>恢复重建</w:t>
      </w:r>
    </w:p>
    <w:p>
      <w:pPr>
        <w:pStyle w:val="BodyText"/>
        <w:ind w:left="21" w:right="306" w:firstLine="428"/>
        <w:spacing w:before="78" w:line="338" w:lineRule="auto"/>
        <w:rPr/>
      </w:pPr>
      <w:r>
        <w:rPr>
          <w:rFonts w:ascii="Times New Roman" w:hAnsi="Times New Roman" w:eastAsia="Times New Roman" w:cs="Times New Roman"/>
          <w:spacing w:val="6"/>
        </w:rPr>
        <w:t>6.</w:t>
      </w:r>
      <w:r>
        <w:rPr>
          <w:rFonts w:ascii="Times New Roman" w:hAnsi="Times New Roman" w:eastAsia="Times New Roman" w:cs="Times New Roman"/>
          <w:spacing w:val="-7"/>
        </w:rPr>
        <w:t xml:space="preserve"> </w:t>
      </w:r>
      <w:r>
        <w:rPr>
          <w:rFonts w:ascii="Times New Roman" w:hAnsi="Times New Roman" w:eastAsia="Times New Roman" w:cs="Times New Roman"/>
          <w:spacing w:val="6"/>
        </w:rPr>
        <w:t>1  </w:t>
      </w:r>
      <w:r>
        <w:rPr>
          <w:rFonts w:ascii="KaiTi" w:hAnsi="KaiTi" w:eastAsia="KaiTi" w:cs="KaiTi"/>
          <w:spacing w:val="6"/>
        </w:rPr>
        <w:t>善后处置。</w:t>
      </w:r>
      <w:r>
        <w:rPr>
          <w:spacing w:val="6"/>
        </w:rPr>
        <w:t>通信突发事件应急处置工</w:t>
      </w:r>
      <w:r>
        <w:rPr>
          <w:spacing w:val="7"/>
        </w:rPr>
        <w:t>作结束后，事发地政府及有关单位根据各自职</w:t>
      </w:r>
      <w:r>
        <w:rPr>
          <w:spacing w:val="7"/>
        </w:rPr>
        <w:t>责，开展善后处置工作。包括人员安置、抚恤</w:t>
      </w:r>
      <w:r>
        <w:rPr>
          <w:spacing w:val="8"/>
        </w:rPr>
        <w:t>补偿、保险理赔、征用补偿、救援物资供应、</w:t>
      </w:r>
      <w:r>
        <w:rPr>
          <w:spacing w:val="7"/>
        </w:rPr>
        <w:t>环境污染消除、灾后重建、危险源监控和治理</w:t>
      </w:r>
      <w:r>
        <w:rPr>
          <w:spacing w:val="7"/>
        </w:rPr>
        <w:t>等措施，防止事件造成次生、衍生危害，尽快</w:t>
      </w:r>
      <w:r>
        <w:rPr>
          <w:spacing w:val="9"/>
        </w:rPr>
        <w:t>恢复正常秩序，确保社会稳定。</w:t>
      </w:r>
    </w:p>
    <w:p>
      <w:pPr>
        <w:ind w:left="450"/>
        <w:spacing w:before="142" w:line="241" w:lineRule="auto"/>
        <w:rPr>
          <w:rFonts w:ascii="KaiTi" w:hAnsi="KaiTi" w:eastAsia="KaiTi" w:cs="KaiTi"/>
          <w:sz w:val="20"/>
          <w:szCs w:val="20"/>
        </w:rPr>
      </w:pPr>
      <w:r>
        <w:rPr>
          <w:rFonts w:ascii="Times New Roman" w:hAnsi="Times New Roman" w:eastAsia="Times New Roman" w:cs="Times New Roman"/>
          <w:sz w:val="20"/>
          <w:szCs w:val="20"/>
          <w:spacing w:val="2"/>
        </w:rPr>
        <w:t>6.2</w:t>
      </w:r>
      <w:r>
        <w:rPr>
          <w:rFonts w:ascii="Times New Roman" w:hAnsi="Times New Roman" w:eastAsia="Times New Roman" w:cs="Times New Roman"/>
          <w:sz w:val="20"/>
          <w:szCs w:val="20"/>
          <w:spacing w:val="14"/>
        </w:rPr>
        <w:t xml:space="preserve">  </w:t>
      </w:r>
      <w:r>
        <w:rPr>
          <w:rFonts w:ascii="KaiTi" w:hAnsi="KaiTi" w:eastAsia="KaiTi" w:cs="KaiTi"/>
          <w:sz w:val="20"/>
          <w:szCs w:val="20"/>
          <w:spacing w:val="2"/>
        </w:rPr>
        <w:t>总结评估。</w:t>
      </w:r>
    </w:p>
    <w:p>
      <w:pPr>
        <w:pStyle w:val="BodyText"/>
        <w:ind w:left="22" w:right="329" w:firstLine="414"/>
        <w:spacing w:before="126" w:line="323" w:lineRule="auto"/>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）特别严重、严重通信突发事件</w:t>
      </w:r>
      <w:r>
        <w:rPr>
          <w:spacing w:val="-59"/>
        </w:rPr>
        <w:t xml:space="preserve"> </w:t>
      </w:r>
      <w:r>
        <w:rPr>
          <w:spacing w:val="5"/>
        </w:rPr>
        <w:t>，由</w:t>
      </w:r>
      <w:r>
        <w:rPr>
          <w:spacing w:val="7"/>
        </w:rPr>
        <w:t>自治区派出调查组进行调查总结；较严重及以</w:t>
      </w:r>
      <w:r>
        <w:rPr>
          <w:spacing w:val="7"/>
        </w:rPr>
        <w:t>下通信突发事件，由市通信保障应急指挥部报</w:t>
      </w:r>
      <w:r>
        <w:rPr>
          <w:spacing w:val="9"/>
        </w:rPr>
        <w:t>请市政府同意组成调查组进行调查。</w:t>
      </w:r>
    </w:p>
    <w:p>
      <w:pPr>
        <w:pStyle w:val="BodyText"/>
        <w:ind w:left="25" w:right="265" w:firstLine="412"/>
        <w:spacing w:before="144" w:line="323" w:lineRule="auto"/>
        <w:rPr/>
      </w:pPr>
      <w:r>
        <w:rPr>
          <w:spacing w:val="3"/>
        </w:rPr>
        <w:t>（</w:t>
      </w:r>
      <w:r>
        <w:rPr>
          <w:rFonts w:ascii="Times New Roman" w:hAnsi="Times New Roman" w:eastAsia="Times New Roman" w:cs="Times New Roman"/>
          <w:spacing w:val="3"/>
        </w:rPr>
        <w:t>2</w:t>
      </w:r>
      <w:r>
        <w:rPr>
          <w:rFonts w:ascii="Times New Roman" w:hAnsi="Times New Roman" w:eastAsia="Times New Roman" w:cs="Times New Roman"/>
          <w:spacing w:val="-10"/>
        </w:rPr>
        <w:t xml:space="preserve"> </w:t>
      </w:r>
      <w:r>
        <w:rPr>
          <w:spacing w:val="3"/>
        </w:rPr>
        <w:t>）通信突发事件善后处置工作结束后，</w:t>
      </w:r>
      <w:r>
        <w:rPr>
          <w:spacing w:val="4"/>
        </w:rPr>
        <w:t>事发县（</w:t>
      </w:r>
      <w:r>
        <w:rPr>
          <w:spacing w:val="-35"/>
        </w:rPr>
        <w:t xml:space="preserve"> </w:t>
      </w:r>
      <w:r>
        <w:rPr>
          <w:spacing w:val="4"/>
        </w:rPr>
        <w:t>区）政府要总结经验教训，提出改进</w:t>
      </w:r>
      <w:r>
        <w:rPr>
          <w:spacing w:val="15"/>
        </w:rPr>
        <w:t>工作的建议</w:t>
      </w:r>
      <w:r>
        <w:rPr>
          <w:spacing w:val="-40"/>
        </w:rPr>
        <w:t xml:space="preserve"> </w:t>
      </w:r>
      <w:r>
        <w:rPr>
          <w:spacing w:val="15"/>
        </w:rPr>
        <w:t>，形成处置突发事件专项工作报</w:t>
      </w:r>
      <w:r>
        <w:rPr>
          <w:spacing w:val="9"/>
        </w:rPr>
        <w:t>告，报市通信保障应急指挥部办公室。</w:t>
      </w:r>
    </w:p>
    <w:p>
      <w:pPr>
        <w:pStyle w:val="BodyText"/>
        <w:ind w:left="25" w:right="329" w:firstLine="412"/>
        <w:spacing w:before="145" w:line="330"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）市通信保障应急指挥部办公室要根</w:t>
      </w:r>
      <w:r>
        <w:rPr>
          <w:spacing w:val="7"/>
        </w:rPr>
        <w:t>据事发县（区）政府提交的处置突发事件专项</w:t>
      </w:r>
      <w:r>
        <w:rPr>
          <w:spacing w:val="7"/>
        </w:rPr>
        <w:t>工作报告，组织分析、研究，提出改进应急工</w:t>
      </w:r>
      <w:r>
        <w:rPr>
          <w:spacing w:val="7"/>
        </w:rPr>
        <w:t>作的意见，形成工作专报报市应急管理局，并</w:t>
      </w:r>
      <w:r>
        <w:rPr>
          <w:spacing w:val="8"/>
        </w:rPr>
        <w:t>抄送各成员单位。</w:t>
      </w:r>
    </w:p>
    <w:p>
      <w:pPr>
        <w:ind w:left="449"/>
        <w:spacing w:before="135" w:line="17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7</w:t>
      </w:r>
      <w:r>
        <w:rPr>
          <w:rFonts w:ascii="Microsoft YaHei" w:hAnsi="Microsoft YaHei" w:eastAsia="Microsoft YaHei" w:cs="Microsoft YaHei"/>
          <w:sz w:val="20"/>
          <w:szCs w:val="20"/>
          <w:spacing w:val="3"/>
        </w:rPr>
        <w:t xml:space="preserve">    </w:t>
      </w:r>
      <w:r>
        <w:rPr>
          <w:rFonts w:ascii="Microsoft YaHei" w:hAnsi="Microsoft YaHei" w:eastAsia="Microsoft YaHei" w:cs="Microsoft YaHei"/>
          <w:sz w:val="20"/>
          <w:szCs w:val="20"/>
          <w:spacing w:val="-3"/>
        </w:rPr>
        <w:t>日常管理</w:t>
      </w:r>
    </w:p>
    <w:p>
      <w:pPr>
        <w:spacing w:line="14" w:lineRule="auto"/>
        <w:rPr>
          <w:rFonts w:ascii="Arial"/>
          <w:sz w:val="2"/>
        </w:rPr>
      </w:pPr>
      <w:r>
        <w:rPr>
          <w:rFonts w:ascii="Arial" w:hAnsi="Arial" w:eastAsia="Arial" w:cs="Arial"/>
          <w:sz w:val="2"/>
          <w:szCs w:val="2"/>
        </w:rPr>
        <w:br w:type="column"/>
      </w:r>
    </w:p>
    <w:p>
      <w:pPr>
        <w:pStyle w:val="BodyText"/>
        <w:ind w:right="101" w:firstLine="425"/>
        <w:spacing w:before="40" w:line="344" w:lineRule="auto"/>
        <w:rPr/>
      </w:pPr>
      <w:r>
        <w:rPr>
          <w:rFonts w:ascii="Times New Roman" w:hAnsi="Times New Roman" w:eastAsia="Times New Roman" w:cs="Times New Roman"/>
          <w:spacing w:val="6"/>
        </w:rPr>
        <w:t>7.</w:t>
      </w:r>
      <w:r>
        <w:rPr>
          <w:rFonts w:ascii="Times New Roman" w:hAnsi="Times New Roman" w:eastAsia="Times New Roman" w:cs="Times New Roman"/>
          <w:spacing w:val="-25"/>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5"/>
          <w:w w:val="101"/>
        </w:rPr>
        <w:t xml:space="preserve">  </w:t>
      </w:r>
      <w:r>
        <w:rPr>
          <w:rFonts w:ascii="KaiTi" w:hAnsi="KaiTi" w:eastAsia="KaiTi" w:cs="KaiTi"/>
          <w:spacing w:val="6"/>
        </w:rPr>
        <w:t>宣教培训。</w:t>
      </w:r>
      <w:r>
        <w:rPr>
          <w:spacing w:val="6"/>
        </w:rPr>
        <w:t>市通信保障应急指挥部办</w:t>
      </w:r>
      <w:r>
        <w:rPr>
          <w:spacing w:val="4"/>
        </w:rPr>
        <w:t>公室、各县（</w:t>
      </w:r>
      <w:r>
        <w:rPr>
          <w:spacing w:val="-34"/>
        </w:rPr>
        <w:t xml:space="preserve"> </w:t>
      </w:r>
      <w:r>
        <w:rPr>
          <w:spacing w:val="4"/>
        </w:rPr>
        <w:t>区）政府要建立健全通信保障应</w:t>
      </w:r>
      <w:r>
        <w:rPr>
          <w:spacing w:val="7"/>
        </w:rPr>
        <w:t>急管理培训制度，充分利用广播、电视、互联</w:t>
      </w:r>
      <w:r>
        <w:rPr>
          <w:spacing w:val="7"/>
        </w:rPr>
        <w:t>网、报纸等各种媒体，加大对通信保障应急管</w:t>
      </w:r>
      <w:r>
        <w:rPr>
          <w:spacing w:val="7"/>
        </w:rPr>
        <w:t>理工作的宣传、培训力度，做好通信突发事件</w:t>
      </w:r>
      <w:r>
        <w:rPr>
          <w:spacing w:val="7"/>
        </w:rPr>
        <w:t>防范知识的宣传教育工作，不断提高公众的安</w:t>
      </w:r>
      <w:r>
        <w:rPr>
          <w:spacing w:val="7"/>
        </w:rPr>
        <w:t>全意识和自救互救能力。每年宣传教育活动不</w:t>
      </w:r>
      <w:r>
        <w:rPr>
          <w:spacing w:val="2"/>
        </w:rPr>
        <w:t>得少于</w:t>
      </w:r>
      <w:r>
        <w:rPr>
          <w:spacing w:val="-19"/>
        </w:rPr>
        <w:t xml:space="preserve"> </w:t>
      </w:r>
      <w:r>
        <w:rPr>
          <w:rFonts w:ascii="Times New Roman" w:hAnsi="Times New Roman" w:eastAsia="Times New Roman" w:cs="Times New Roman"/>
          <w:spacing w:val="2"/>
        </w:rPr>
        <w:t>1 </w:t>
      </w:r>
      <w:r>
        <w:rPr>
          <w:spacing w:val="2"/>
        </w:rPr>
        <w:t>次。</w:t>
      </w:r>
    </w:p>
    <w:p>
      <w:pPr>
        <w:pStyle w:val="BodyText"/>
        <w:ind w:left="4" w:right="94" w:firstLine="420"/>
        <w:spacing w:before="153" w:line="315" w:lineRule="auto"/>
        <w:rPr/>
      </w:pPr>
      <w:r>
        <w:rPr>
          <w:rFonts w:ascii="Times New Roman" w:hAnsi="Times New Roman" w:eastAsia="Times New Roman" w:cs="Times New Roman"/>
          <w:spacing w:val="8"/>
        </w:rPr>
        <w:t>7.2  </w:t>
      </w:r>
      <w:r>
        <w:rPr>
          <w:rFonts w:ascii="KaiTi" w:hAnsi="KaiTi" w:eastAsia="KaiTi" w:cs="KaiTi"/>
          <w:spacing w:val="8"/>
        </w:rPr>
        <w:t>预案演练。</w:t>
      </w:r>
      <w:r>
        <w:rPr>
          <w:spacing w:val="8"/>
        </w:rPr>
        <w:t>由市通信保障应急指挥部</w:t>
      </w:r>
      <w:r>
        <w:rPr>
          <w:spacing w:val="7"/>
        </w:rPr>
        <w:t>办公室牵头，定期组织开展本预案应急演练，</w:t>
      </w:r>
      <w:r>
        <w:rPr>
          <w:spacing w:val="3"/>
        </w:rPr>
        <w:t>每年不少于</w:t>
      </w:r>
      <w:r>
        <w:rPr>
          <w:spacing w:val="-17"/>
        </w:rPr>
        <w:t xml:space="preserve"> </w:t>
      </w:r>
      <w:r>
        <w:rPr>
          <w:rFonts w:ascii="Times New Roman" w:hAnsi="Times New Roman" w:eastAsia="Times New Roman" w:cs="Times New Roman"/>
          <w:spacing w:val="3"/>
        </w:rPr>
        <w:t>1 </w:t>
      </w:r>
      <w:r>
        <w:rPr>
          <w:spacing w:val="3"/>
        </w:rPr>
        <w:t>次。</w:t>
      </w:r>
    </w:p>
    <w:p>
      <w:pPr>
        <w:ind w:left="425"/>
        <w:spacing w:before="150" w:line="241" w:lineRule="auto"/>
        <w:rPr>
          <w:rFonts w:ascii="KaiTi" w:hAnsi="KaiTi" w:eastAsia="KaiTi" w:cs="KaiTi"/>
          <w:sz w:val="20"/>
          <w:szCs w:val="20"/>
        </w:rPr>
      </w:pPr>
      <w:r>
        <w:rPr>
          <w:rFonts w:ascii="Times New Roman" w:hAnsi="Times New Roman" w:eastAsia="Times New Roman" w:cs="Times New Roman"/>
          <w:sz w:val="20"/>
          <w:szCs w:val="20"/>
          <w:spacing w:val="6"/>
        </w:rPr>
        <w:t>7.3  </w:t>
      </w:r>
      <w:r>
        <w:rPr>
          <w:rFonts w:ascii="KaiTi" w:hAnsi="KaiTi" w:eastAsia="KaiTi" w:cs="KaiTi"/>
          <w:sz w:val="20"/>
          <w:szCs w:val="20"/>
          <w:spacing w:val="6"/>
        </w:rPr>
        <w:t>预案管理与更新。</w:t>
      </w:r>
    </w:p>
    <w:p>
      <w:pPr>
        <w:pStyle w:val="BodyText"/>
        <w:ind w:left="3" w:right="20" w:firstLine="413"/>
        <w:spacing w:before="131" w:line="293" w:lineRule="auto"/>
        <w:rPr/>
      </w:pPr>
      <w:r>
        <w:rPr>
          <w:spacing w:val="7"/>
        </w:rPr>
        <w:t>（</w:t>
      </w:r>
      <w:r>
        <w:rPr>
          <w:spacing w:val="-43"/>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19"/>
        </w:rPr>
        <w:t xml:space="preserve"> </w:t>
      </w:r>
      <w:r>
        <w:rPr>
          <w:spacing w:val="7"/>
        </w:rPr>
        <w:t>）本预案由市工业和信息化局制定</w:t>
      </w:r>
      <w:r>
        <w:rPr>
          <w:spacing w:val="-58"/>
        </w:rPr>
        <w:t xml:space="preserve"> </w:t>
      </w:r>
      <w:r>
        <w:rPr>
          <w:spacing w:val="7"/>
        </w:rPr>
        <w:t>，</w:t>
      </w:r>
      <w:r>
        <w:rPr>
          <w:spacing w:val="-8"/>
        </w:rPr>
        <w:t>经市人民政府审批后，由市人民政府办公室印发。</w:t>
      </w:r>
    </w:p>
    <w:p>
      <w:pPr>
        <w:pStyle w:val="BodyText"/>
        <w:ind w:right="101" w:firstLine="413"/>
        <w:spacing w:before="151" w:line="334" w:lineRule="auto"/>
        <w:rPr/>
      </w:pPr>
      <w:r>
        <w:rPr>
          <w:spacing w:val="2"/>
        </w:rPr>
        <w:t>（</w:t>
      </w:r>
      <w:r>
        <w:rPr>
          <w:rFonts w:ascii="Times New Roman" w:hAnsi="Times New Roman" w:eastAsia="Times New Roman" w:cs="Times New Roman"/>
          <w:spacing w:val="2"/>
        </w:rPr>
        <w:t>2</w:t>
      </w:r>
      <w:r>
        <w:rPr>
          <w:rFonts w:ascii="Times New Roman" w:hAnsi="Times New Roman" w:eastAsia="Times New Roman" w:cs="Times New Roman"/>
          <w:spacing w:val="-2"/>
        </w:rPr>
        <w:t xml:space="preserve"> </w:t>
      </w:r>
      <w:r>
        <w:rPr>
          <w:spacing w:val="2"/>
        </w:rPr>
        <w:t>）各县（</w:t>
      </w:r>
      <w:r>
        <w:rPr>
          <w:spacing w:val="-47"/>
        </w:rPr>
        <w:t xml:space="preserve"> </w:t>
      </w:r>
      <w:r>
        <w:rPr>
          <w:spacing w:val="2"/>
        </w:rPr>
        <w:t>区）政府</w:t>
      </w:r>
      <w:r>
        <w:rPr>
          <w:spacing w:val="-59"/>
        </w:rPr>
        <w:t xml:space="preserve"> </w:t>
      </w:r>
      <w:r>
        <w:rPr>
          <w:spacing w:val="2"/>
        </w:rPr>
        <w:t>，市、县（</w:t>
      </w:r>
      <w:r>
        <w:rPr>
          <w:spacing w:val="-48"/>
        </w:rPr>
        <w:t xml:space="preserve"> </w:t>
      </w:r>
      <w:r>
        <w:rPr>
          <w:spacing w:val="2"/>
        </w:rPr>
        <w:t>区）有</w:t>
      </w:r>
      <w:r>
        <w:rPr>
          <w:spacing w:val="7"/>
        </w:rPr>
        <w:t>关单位、群团组织、企事业单位等要按照本预</w:t>
      </w:r>
      <w:r>
        <w:rPr>
          <w:spacing w:val="7"/>
        </w:rPr>
        <w:t>案的规定履行职责，并制定、完善相应的应急</w:t>
      </w:r>
      <w:r>
        <w:rPr>
          <w:spacing w:val="7"/>
        </w:rPr>
        <w:t>预案，报市通信保障应急指挥部办公室和市应</w:t>
      </w:r>
      <w:r>
        <w:rPr>
          <w:spacing w:val="7"/>
        </w:rPr>
        <w:t>急管理局备案。</w:t>
      </w:r>
    </w:p>
    <w:p>
      <w:pPr>
        <w:pStyle w:val="BodyText"/>
        <w:ind w:left="2" w:right="101" w:firstLine="410"/>
        <w:spacing w:before="148" w:line="316"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）市工业和信息化局要根据预案演练</w:t>
      </w:r>
      <w:r>
        <w:rPr>
          <w:spacing w:val="7"/>
        </w:rPr>
        <w:t>时发现的问题、机构变化等情况，适时组织修</w:t>
      </w:r>
      <w:r>
        <w:rPr>
          <w:spacing w:val="7"/>
        </w:rPr>
        <w:t>订完善本预案。</w:t>
      </w:r>
    </w:p>
    <w:p>
      <w:pPr>
        <w:pStyle w:val="BodyText"/>
        <w:ind w:right="34" w:firstLine="424"/>
        <w:spacing w:before="149" w:line="361" w:lineRule="auto"/>
        <w:jc w:val="both"/>
        <w:rPr/>
      </w:pPr>
      <w:r>
        <w:rPr>
          <w:rFonts w:ascii="Times New Roman" w:hAnsi="Times New Roman" w:eastAsia="Times New Roman" w:cs="Times New Roman"/>
          <w:spacing w:val="8"/>
        </w:rPr>
        <w:t>7.4  </w:t>
      </w:r>
      <w:r>
        <w:rPr>
          <w:rFonts w:ascii="KaiTi" w:hAnsi="KaiTi" w:eastAsia="KaiTi" w:cs="KaiTi"/>
          <w:spacing w:val="8"/>
        </w:rPr>
        <w:t>责任与奖励。</w:t>
      </w:r>
      <w:r>
        <w:rPr>
          <w:spacing w:val="8"/>
        </w:rPr>
        <w:t>对在应对通信突发事件</w:t>
      </w:r>
      <w:r>
        <w:rPr>
          <w:spacing w:val="7"/>
        </w:rPr>
        <w:t>工作中玩忽职守造成损失的，严重虚报、瞒报</w:t>
      </w:r>
      <w:r>
        <w:rPr>
          <w:spacing w:val="7"/>
        </w:rPr>
        <w:t>事件情况的，依据国家有关法律法规追究当事</w:t>
      </w:r>
      <w:r>
        <w:rPr/>
        <w:t>人的责任，构成犯罪的，依法追究其刑事责任；</w:t>
      </w:r>
      <w:r>
        <w:rPr>
          <w:spacing w:val="18"/>
        </w:rPr>
        <w:t>对在通信突发事件处置工作过程中做出突出</w:t>
      </w:r>
      <w:r>
        <w:rPr>
          <w:spacing w:val="7"/>
        </w:rPr>
        <w:t>贡献的先进集体和个人，按照有关规定给予表</w:t>
      </w:r>
      <w:r>
        <w:rPr>
          <w:spacing w:val="6"/>
        </w:rPr>
        <w:t>彰和奖励。</w:t>
      </w:r>
    </w:p>
    <w:p>
      <w:pPr>
        <w:ind w:left="424"/>
        <w:spacing w:before="2"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8    附则</w:t>
      </w:r>
    </w:p>
    <w:p>
      <w:pPr>
        <w:pStyle w:val="BodyText"/>
        <w:ind w:left="18" w:right="101" w:firstLine="411"/>
        <w:spacing w:before="87" w:line="351" w:lineRule="auto"/>
        <w:rPr/>
      </w:pPr>
      <w:r>
        <w:rPr>
          <w:rFonts w:ascii="Times New Roman" w:hAnsi="Times New Roman" w:eastAsia="Times New Roman" w:cs="Times New Roman"/>
          <w:spacing w:val="5"/>
        </w:rPr>
        <w:t>8.</w:t>
      </w:r>
      <w:r>
        <w:rPr>
          <w:rFonts w:ascii="Times New Roman" w:hAnsi="Times New Roman" w:eastAsia="Times New Roman" w:cs="Times New Roman"/>
          <w:spacing w:val="-10"/>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5"/>
        </w:rPr>
        <w:t xml:space="preserve">  </w:t>
      </w:r>
      <w:r>
        <w:rPr>
          <w:rFonts w:ascii="KaiTi" w:hAnsi="KaiTi" w:eastAsia="KaiTi" w:cs="KaiTi"/>
          <w:spacing w:val="5"/>
        </w:rPr>
        <w:t>以上、以下的含义。</w:t>
      </w:r>
      <w:r>
        <w:rPr>
          <w:spacing w:val="5"/>
        </w:rPr>
        <w:t>本预案有关数量</w:t>
      </w:r>
      <w:r>
        <w:rPr>
          <w:spacing w:val="5"/>
        </w:rPr>
        <w:t>的表述中，</w:t>
      </w:r>
      <w:r>
        <w:rPr>
          <w:rFonts w:ascii="Times New Roman" w:hAnsi="Times New Roman" w:eastAsia="Times New Roman" w:cs="Times New Roman"/>
          <w:spacing w:val="5"/>
        </w:rPr>
        <w:t>“</w:t>
      </w:r>
      <w:r>
        <w:rPr>
          <w:rFonts w:ascii="Times New Roman" w:hAnsi="Times New Roman" w:eastAsia="Times New Roman" w:cs="Times New Roman"/>
          <w:spacing w:val="-19"/>
        </w:rPr>
        <w:t xml:space="preserve"> </w:t>
      </w:r>
      <w:r>
        <w:rPr>
          <w:spacing w:val="5"/>
        </w:rPr>
        <w:t>以上</w:t>
      </w:r>
      <w:r>
        <w:rPr>
          <w:rFonts w:ascii="Times New Roman" w:hAnsi="Times New Roman" w:eastAsia="Times New Roman" w:cs="Times New Roman"/>
          <w:spacing w:val="5"/>
        </w:rPr>
        <w:t>”</w:t>
      </w:r>
      <w:r>
        <w:rPr>
          <w:spacing w:val="5"/>
        </w:rPr>
        <w:t>含本数，</w:t>
      </w:r>
      <w:r>
        <w:rPr>
          <w:rFonts w:ascii="Times New Roman" w:hAnsi="Times New Roman" w:eastAsia="Times New Roman" w:cs="Times New Roman"/>
          <w:spacing w:val="5"/>
        </w:rPr>
        <w:t>“</w:t>
      </w:r>
      <w:r>
        <w:rPr>
          <w:rFonts w:ascii="Times New Roman" w:hAnsi="Times New Roman" w:eastAsia="Times New Roman" w:cs="Times New Roman"/>
          <w:spacing w:val="-30"/>
        </w:rPr>
        <w:t xml:space="preserve"> </w:t>
      </w:r>
      <w:r>
        <w:rPr>
          <w:spacing w:val="5"/>
        </w:rPr>
        <w:t>以下</w:t>
      </w:r>
      <w:r>
        <w:rPr>
          <w:rFonts w:ascii="Times New Roman" w:hAnsi="Times New Roman" w:eastAsia="Times New Roman" w:cs="Times New Roman"/>
          <w:spacing w:val="5"/>
        </w:rPr>
        <w:t>”</w:t>
      </w:r>
      <w:r>
        <w:rPr>
          <w:spacing w:val="5"/>
        </w:rPr>
        <w:t>不含本数。</w:t>
      </w:r>
    </w:p>
    <w:p>
      <w:pPr>
        <w:ind w:left="426"/>
        <w:spacing w:before="18" w:line="21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9    附件</w:t>
      </w:r>
    </w:p>
    <w:p>
      <w:pPr>
        <w:spacing w:line="218" w:lineRule="auto"/>
        <w:sectPr>
          <w:type w:val="continuous"/>
          <w:pgSz w:w="11906" w:h="16839"/>
          <w:pgMar w:top="1772" w:right="1489" w:bottom="1562" w:left="1567" w:header="1428" w:footer="1172" w:gutter="0"/>
          <w:cols w:equalWidth="0" w:num="2">
            <w:col w:w="4502" w:space="100"/>
            <w:col w:w="4249" w:space="0"/>
          </w:cols>
        </w:sectPr>
        <w:rPr>
          <w:rFonts w:ascii="Microsoft YaHei" w:hAnsi="Microsoft YaHei" w:eastAsia="Microsoft YaHei" w:cs="Microsoft YaHei"/>
          <w:sz w:val="20"/>
          <w:szCs w:val="20"/>
        </w:rPr>
      </w:pPr>
    </w:p>
    <w:p>
      <w:pPr>
        <w:ind w:left="1881"/>
        <w:spacing w:before="194" w:line="210" w:lineRule="auto"/>
        <w:rPr>
          <w:rFonts w:ascii="Microsoft YaHei" w:hAnsi="Microsoft YaHei" w:eastAsia="Microsoft YaHei" w:cs="Microsoft YaHei"/>
          <w:sz w:val="28"/>
          <w:szCs w:val="28"/>
        </w:rPr>
      </w:pPr>
      <w:r>
        <w:drawing>
          <wp:anchor distT="0" distB="0" distL="0" distR="0" simplePos="0" relativeHeight="25329664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874" name="IM 1874"/>
            <wp:cNvGraphicFramePr/>
            <a:graphic>
              <a:graphicData uri="http://schemas.openxmlformats.org/drawingml/2006/picture">
                <pic:pic>
                  <pic:nvPicPr>
                    <pic:cNvPr id="1874" name="IM 1874"/>
                    <pic:cNvPicPr/>
                  </pic:nvPicPr>
                  <pic:blipFill>
                    <a:blip r:embed="rId939"/>
                    <a:stretch>
                      <a:fillRect/>
                    </a:stretch>
                  </pic:blipFill>
                  <pic:spPr>
                    <a:xfrm rot="0">
                      <a:off x="0" y="0"/>
                      <a:ext cx="5579745" cy="7620"/>
                    </a:xfrm>
                    <a:prstGeom prst="rect">
                      <a:avLst/>
                    </a:prstGeom>
                  </pic:spPr>
                </pic:pic>
              </a:graphicData>
            </a:graphic>
          </wp:anchor>
        </w:drawing>
      </w:r>
      <w:r>
        <w:rPr>
          <w:rFonts w:ascii="Microsoft YaHei" w:hAnsi="Microsoft YaHei" w:eastAsia="Microsoft YaHei" w:cs="Microsoft YaHei"/>
          <w:sz w:val="28"/>
          <w:szCs w:val="28"/>
          <w:spacing w:val="-3"/>
        </w:rPr>
        <w:t>9.1  固原市通信保障应急管理组织机构图</w:t>
      </w:r>
    </w:p>
    <w:p>
      <w:pPr>
        <w:rPr>
          <w:rFonts w:ascii="Arial"/>
          <w:sz w:val="21"/>
        </w:rPr>
      </w:pPr>
      <w:r/>
    </w:p>
    <w:p>
      <w:pPr>
        <w:pStyle w:val="BodyText"/>
        <w:ind w:left="3569"/>
        <w:spacing w:before="65" w:line="218" w:lineRule="auto"/>
        <w:rPr/>
      </w:pPr>
      <w:r>
        <w:drawing>
          <wp:anchor distT="0" distB="0" distL="0" distR="0" simplePos="0" relativeHeight="253288448" behindDoc="1" locked="0" layoutInCell="1" allowOverlap="1">
            <wp:simplePos x="0" y="0"/>
            <wp:positionH relativeFrom="column">
              <wp:posOffset>674366</wp:posOffset>
            </wp:positionH>
            <wp:positionV relativeFrom="paragraph">
              <wp:posOffset>-34375</wp:posOffset>
            </wp:positionV>
            <wp:extent cx="4136390" cy="3190240"/>
            <wp:effectExtent l="0" t="0" r="0" b="0"/>
            <wp:wrapNone/>
            <wp:docPr id="1876" name="IM 1876"/>
            <wp:cNvGraphicFramePr/>
            <a:graphic>
              <a:graphicData uri="http://schemas.openxmlformats.org/drawingml/2006/picture">
                <pic:pic>
                  <pic:nvPicPr>
                    <pic:cNvPr id="1876" name="IM 1876"/>
                    <pic:cNvPicPr/>
                  </pic:nvPicPr>
                  <pic:blipFill>
                    <a:blip r:embed="rId940"/>
                    <a:stretch>
                      <a:fillRect/>
                    </a:stretch>
                  </pic:blipFill>
                  <pic:spPr>
                    <a:xfrm rot="0">
                      <a:off x="0" y="0"/>
                      <a:ext cx="4136390" cy="3190240"/>
                    </a:xfrm>
                    <a:prstGeom prst="rect">
                      <a:avLst/>
                    </a:prstGeom>
                  </pic:spPr>
                </pic:pic>
              </a:graphicData>
            </a:graphic>
          </wp:anchor>
        </w:drawing>
      </w:r>
      <w:r>
        <w:rPr>
          <w:spacing w:val="8"/>
        </w:rPr>
        <w:t>市应急委</w:t>
      </w:r>
    </w:p>
    <w:p>
      <w:pPr>
        <w:spacing w:line="442" w:lineRule="auto"/>
        <w:rPr>
          <w:rFonts w:ascii="Arial"/>
          <w:sz w:val="21"/>
        </w:rPr>
      </w:pPr>
      <w:r/>
    </w:p>
    <w:p>
      <w:pPr>
        <w:pStyle w:val="BodyText"/>
        <w:ind w:left="2945"/>
        <w:spacing w:before="65" w:line="223" w:lineRule="auto"/>
        <w:rPr/>
      </w:pPr>
      <w:r>
        <w:rPr>
          <w:spacing w:val="9"/>
        </w:rPr>
        <w:t>市通信保障应急指挥部</w:t>
      </w:r>
    </w:p>
    <w:p>
      <w:pPr>
        <w:pStyle w:val="BodyText"/>
        <w:ind w:left="6542"/>
        <w:spacing w:before="44" w:line="218" w:lineRule="auto"/>
        <w:rPr/>
      </w:pPr>
      <w:r>
        <w:rPr>
          <w:spacing w:val="8"/>
        </w:rPr>
        <w:t>市公安局</w:t>
      </w:r>
    </w:p>
    <w:p>
      <w:pPr>
        <w:pStyle w:val="BodyText"/>
        <w:ind w:left="6542"/>
        <w:spacing w:before="25" w:line="218" w:lineRule="auto"/>
        <w:rPr/>
      </w:pPr>
      <w:r>
        <w:rPr>
          <w:spacing w:val="8"/>
        </w:rPr>
        <w:t>市财政局</w:t>
      </w:r>
    </w:p>
    <w:p>
      <w:pPr>
        <w:pStyle w:val="BodyText"/>
        <w:ind w:left="2626"/>
        <w:spacing w:before="13" w:line="223" w:lineRule="auto"/>
        <w:rPr/>
      </w:pPr>
      <w:r>
        <w:pict>
          <v:shape id="_x0000_s80" style="position:absolute;margin-left:326.147pt;margin-top:0.142025pt;mso-position-vertical-relative:text;mso-position-horizontal-relative:text;width:43.65pt;height:13.8pt;z-index:253295616;" filled="false" stroked="false" type="#_x0000_t202">
            <v:fill on="false"/>
            <v:stroke on="false"/>
            <v:path/>
            <v:imagedata o:title=""/>
            <o:lock v:ext="edit" aspectratio="false"/>
            <v:textbox inset="0mm,0mm,0mm,0mm">
              <w:txbxContent>
                <w:p>
                  <w:pPr>
                    <w:pStyle w:val="BodyText"/>
                    <w:ind w:left="20"/>
                    <w:spacing w:before="19" w:line="218" w:lineRule="auto"/>
                    <w:rPr/>
                  </w:pPr>
                  <w:r>
                    <w:rPr>
                      <w:spacing w:val="8"/>
                    </w:rPr>
                    <w:t>市发改委</w:t>
                  </w:r>
                </w:p>
              </w:txbxContent>
            </v:textbox>
          </v:shape>
        </w:pict>
      </w:r>
      <w:r>
        <w:rPr>
          <w:spacing w:val="9"/>
        </w:rPr>
        <w:t>市通信保障应急指挥部办公室</w:t>
      </w:r>
    </w:p>
    <w:p>
      <w:pPr>
        <w:pStyle w:val="BodyText"/>
        <w:ind w:left="6542"/>
        <w:spacing w:before="28" w:line="218" w:lineRule="auto"/>
        <w:rPr/>
      </w:pPr>
      <w:r>
        <w:rPr>
          <w:spacing w:val="8"/>
        </w:rPr>
        <w:t>市交通局</w:t>
      </w:r>
    </w:p>
    <w:p>
      <w:pPr>
        <w:pStyle w:val="BodyText"/>
        <w:ind w:left="6649"/>
        <w:spacing w:before="23" w:line="221" w:lineRule="auto"/>
        <w:rPr/>
      </w:pPr>
      <w:r>
        <w:rPr>
          <w:spacing w:val="7"/>
        </w:rPr>
        <w:t>等部门</w:t>
      </w:r>
    </w:p>
    <w:p>
      <w:pPr>
        <w:spacing w:line="288" w:lineRule="auto"/>
        <w:rPr>
          <w:rFonts w:ascii="Arial"/>
          <w:sz w:val="21"/>
        </w:rPr>
      </w:pPr>
      <w:r/>
    </w:p>
    <w:p>
      <w:pPr>
        <w:spacing w:line="289" w:lineRule="auto"/>
        <w:rPr>
          <w:rFonts w:ascii="Arial"/>
          <w:sz w:val="21"/>
        </w:rPr>
      </w:pPr>
      <w:r/>
    </w:p>
    <w:p>
      <w:pPr>
        <w:spacing w:line="289" w:lineRule="auto"/>
        <w:rPr>
          <w:rFonts w:ascii="Arial"/>
          <w:sz w:val="21"/>
        </w:rPr>
      </w:pPr>
      <w:r/>
    </w:p>
    <w:p>
      <w:pPr>
        <w:pStyle w:val="BodyText"/>
        <w:ind w:left="6339"/>
        <w:spacing w:before="66" w:line="217" w:lineRule="auto"/>
        <w:rPr/>
      </w:pPr>
      <w:r>
        <w:pict>
          <v:shape id="_x0000_s82" style="position:absolute;margin-left:60.665pt;margin-top:0.711563pt;mso-position-vertical-relative:text;mso-position-horizontal-relative:text;width:22.65pt;height:65.75pt;z-index:253292544;" filled="false" stroked="false" type="#_x0000_t202">
            <v:fill on="false"/>
            <v:stroke on="false"/>
            <v:path/>
            <v:imagedata o:title=""/>
            <o:lock v:ext="edit" aspectratio="false"/>
            <v:textbox inset="0mm,0mm,0mm,0mm">
              <w:txbxContent>
                <w:p>
                  <w:pPr>
                    <w:pStyle w:val="BodyText"/>
                    <w:ind w:left="40"/>
                    <w:spacing w:before="19" w:line="217" w:lineRule="auto"/>
                    <w:rPr/>
                  </w:pPr>
                  <w:r>
                    <w:rPr>
                      <w:spacing w:val="-4"/>
                    </w:rPr>
                    <w:t>中国</w:t>
                  </w:r>
                </w:p>
                <w:p>
                  <w:pPr>
                    <w:pStyle w:val="BodyText"/>
                    <w:ind w:left="38"/>
                    <w:spacing w:before="22" w:line="223" w:lineRule="auto"/>
                    <w:rPr/>
                  </w:pPr>
                  <w:r>
                    <w:rPr>
                      <w:spacing w:val="-3"/>
                    </w:rPr>
                    <w:t>电信</w:t>
                  </w:r>
                </w:p>
                <w:p>
                  <w:pPr>
                    <w:pStyle w:val="BodyText"/>
                    <w:ind w:left="40"/>
                    <w:spacing w:before="25" w:line="212" w:lineRule="auto"/>
                    <w:rPr/>
                  </w:pPr>
                  <w:r>
                    <w:rPr>
                      <w:spacing w:val="-4"/>
                    </w:rPr>
                    <w:t>固原</w:t>
                  </w:r>
                </w:p>
                <w:p>
                  <w:pPr>
                    <w:pStyle w:val="BodyText"/>
                    <w:ind w:left="20"/>
                    <w:spacing w:before="25" w:line="219" w:lineRule="auto"/>
                    <w:rPr/>
                  </w:pPr>
                  <w:r>
                    <w:rPr>
                      <w:spacing w:val="6"/>
                    </w:rPr>
                    <w:t>分公</w:t>
                  </w:r>
                </w:p>
                <w:p>
                  <w:pPr>
                    <w:pStyle w:val="BodyText"/>
                    <w:ind w:left="133"/>
                    <w:spacing w:before="29" w:line="211" w:lineRule="auto"/>
                    <w:rPr/>
                  </w:pPr>
                  <w:r>
                    <w:rPr/>
                    <w:t>司</w:t>
                  </w:r>
                </w:p>
              </w:txbxContent>
            </v:textbox>
          </v:shape>
        </w:pict>
      </w:r>
      <w:r>
        <w:pict>
          <v:shape id="_x0000_s84" style="position:absolute;margin-left:236.793pt;margin-top:2.51149pt;mso-position-vertical-relative:text;mso-position-horizontal-relative:text;width:22.7pt;height:65.75pt;z-index:253291520;" filled="false" stroked="false" type="#_x0000_t202">
            <v:fill on="false"/>
            <v:stroke on="false"/>
            <v:path/>
            <v:imagedata o:title=""/>
            <o:lock v:ext="edit" aspectratio="false"/>
            <v:textbox inset="0mm,0mm,0mm,0mm">
              <w:txbxContent>
                <w:p>
                  <w:pPr>
                    <w:pStyle w:val="BodyText"/>
                    <w:ind w:left="41"/>
                    <w:spacing w:before="19" w:line="217" w:lineRule="auto"/>
                    <w:rPr/>
                  </w:pPr>
                  <w:r>
                    <w:rPr>
                      <w:spacing w:val="-4"/>
                    </w:rPr>
                    <w:t>中国</w:t>
                  </w:r>
                </w:p>
                <w:p>
                  <w:pPr>
                    <w:pStyle w:val="BodyText"/>
                    <w:ind w:left="20"/>
                    <w:spacing w:before="28" w:line="215" w:lineRule="auto"/>
                    <w:rPr/>
                  </w:pPr>
                  <w:r>
                    <w:rPr>
                      <w:spacing w:val="6"/>
                    </w:rPr>
                    <w:t>联通</w:t>
                  </w:r>
                </w:p>
                <w:p>
                  <w:pPr>
                    <w:pStyle w:val="BodyText"/>
                    <w:ind w:left="41"/>
                    <w:spacing w:before="27" w:line="212" w:lineRule="auto"/>
                    <w:rPr/>
                  </w:pPr>
                  <w:r>
                    <w:rPr>
                      <w:spacing w:val="-4"/>
                    </w:rPr>
                    <w:t>固原</w:t>
                  </w:r>
                </w:p>
                <w:p>
                  <w:pPr>
                    <w:pStyle w:val="BodyText"/>
                    <w:ind w:left="20"/>
                    <w:spacing w:before="26" w:line="219" w:lineRule="auto"/>
                    <w:rPr/>
                  </w:pPr>
                  <w:r>
                    <w:rPr>
                      <w:spacing w:val="6"/>
                    </w:rPr>
                    <w:t>分公</w:t>
                  </w:r>
                </w:p>
                <w:p>
                  <w:pPr>
                    <w:pStyle w:val="BodyText"/>
                    <w:ind w:left="136"/>
                    <w:spacing w:before="28" w:line="211" w:lineRule="auto"/>
                    <w:rPr/>
                  </w:pPr>
                  <w:r>
                    <w:rPr/>
                    <w:t>司</w:t>
                  </w:r>
                </w:p>
              </w:txbxContent>
            </v:textbox>
          </v:shape>
        </w:pict>
      </w:r>
      <w:r>
        <w:pict>
          <v:shape id="_x0000_s86" style="position:absolute;margin-left:143.224pt;margin-top:2.99257pt;mso-position-vertical-relative:text;mso-position-horizontal-relative:text;width:22.65pt;height:65.6pt;z-index:253293568;" filled="false" stroked="false" type="#_x0000_t202">
            <v:fill on="false"/>
            <v:stroke on="false"/>
            <v:path/>
            <v:imagedata o:title=""/>
            <o:lock v:ext="edit" aspectratio="false"/>
            <v:textbox inset="0mm,0mm,0mm,0mm">
              <w:txbxContent>
                <w:p>
                  <w:pPr>
                    <w:pStyle w:val="BodyText"/>
                    <w:ind w:left="40"/>
                    <w:spacing w:before="19" w:line="217" w:lineRule="auto"/>
                    <w:rPr/>
                  </w:pPr>
                  <w:r>
                    <w:rPr>
                      <w:spacing w:val="-4"/>
                    </w:rPr>
                    <w:t>中国</w:t>
                  </w:r>
                </w:p>
                <w:p>
                  <w:pPr>
                    <w:pStyle w:val="BodyText"/>
                    <w:ind w:left="20"/>
                    <w:spacing w:before="24" w:line="217" w:lineRule="auto"/>
                    <w:rPr/>
                  </w:pPr>
                  <w:r>
                    <w:rPr>
                      <w:spacing w:val="6"/>
                    </w:rPr>
                    <w:t>移动</w:t>
                  </w:r>
                </w:p>
                <w:p>
                  <w:pPr>
                    <w:pStyle w:val="BodyText"/>
                    <w:ind w:left="40"/>
                    <w:spacing w:before="30" w:line="212" w:lineRule="auto"/>
                    <w:rPr/>
                  </w:pPr>
                  <w:r>
                    <w:rPr>
                      <w:spacing w:val="-4"/>
                    </w:rPr>
                    <w:t>固原</w:t>
                  </w:r>
                </w:p>
                <w:p>
                  <w:pPr>
                    <w:pStyle w:val="BodyText"/>
                    <w:ind w:left="20"/>
                    <w:spacing w:before="25" w:line="219" w:lineRule="auto"/>
                    <w:rPr/>
                  </w:pPr>
                  <w:r>
                    <w:rPr>
                      <w:spacing w:val="6"/>
                    </w:rPr>
                    <w:t>分公</w:t>
                  </w:r>
                </w:p>
                <w:p>
                  <w:pPr>
                    <w:pStyle w:val="BodyText"/>
                    <w:ind w:left="136"/>
                    <w:spacing w:before="26" w:line="211" w:lineRule="auto"/>
                    <w:rPr/>
                  </w:pPr>
                  <w:r>
                    <w:rPr/>
                    <w:t>司</w:t>
                  </w:r>
                </w:p>
              </w:txbxContent>
            </v:textbox>
          </v:shape>
        </w:pict>
      </w:r>
      <w:r>
        <w:rPr>
          <w:spacing w:val="-4"/>
        </w:rPr>
        <w:t>中国</w:t>
      </w:r>
    </w:p>
    <w:p>
      <w:pPr>
        <w:pStyle w:val="BodyText"/>
        <w:ind w:left="6318"/>
        <w:spacing w:before="23" w:line="219" w:lineRule="auto"/>
        <w:rPr/>
      </w:pPr>
      <w:r>
        <w:rPr>
          <w:spacing w:val="6"/>
        </w:rPr>
        <w:t>铁塔</w:t>
      </w:r>
    </w:p>
    <w:p>
      <w:pPr>
        <w:pStyle w:val="BodyText"/>
        <w:ind w:left="6316"/>
        <w:spacing w:before="25" w:line="216" w:lineRule="auto"/>
        <w:rPr/>
      </w:pPr>
      <w:r>
        <w:rPr>
          <w:spacing w:val="7"/>
        </w:rPr>
        <w:t>公司</w:t>
      </w:r>
    </w:p>
    <w:p>
      <w:pPr>
        <w:pStyle w:val="BodyText"/>
        <w:ind w:left="6339"/>
        <w:spacing w:before="29" w:line="212" w:lineRule="auto"/>
        <w:rPr/>
      </w:pPr>
      <w:r>
        <w:rPr>
          <w:spacing w:val="-4"/>
        </w:rPr>
        <w:t>固原</w:t>
      </w:r>
    </w:p>
    <w:p>
      <w:pPr>
        <w:pStyle w:val="BodyText"/>
        <w:ind w:left="6318"/>
        <w:spacing w:before="26" w:line="219" w:lineRule="auto"/>
        <w:rPr/>
      </w:pPr>
      <w:r>
        <w:rPr>
          <w:spacing w:val="6"/>
        </w:rPr>
        <w:t>分公</w:t>
      </w:r>
    </w:p>
    <w:p>
      <w:pPr>
        <w:pStyle w:val="BodyText"/>
        <w:ind w:left="6435"/>
        <w:spacing w:before="26" w:line="211" w:lineRule="auto"/>
        <w:rPr/>
      </w:pPr>
      <w:r>
        <w:rPr/>
        <w:t>司</w:t>
      </w:r>
    </w:p>
    <w:p>
      <w:pPr>
        <w:spacing w:line="293" w:lineRule="auto"/>
        <w:rPr>
          <w:rFonts w:ascii="Arial"/>
          <w:sz w:val="21"/>
        </w:rPr>
      </w:pPr>
      <w:r/>
    </w:p>
    <w:p>
      <w:pPr>
        <w:spacing w:line="294" w:lineRule="auto"/>
        <w:rPr>
          <w:rFonts w:ascii="Arial"/>
          <w:sz w:val="21"/>
        </w:rPr>
      </w:pPr>
      <w:r/>
    </w:p>
    <w:p>
      <w:pPr>
        <w:spacing w:line="294" w:lineRule="auto"/>
        <w:rPr>
          <w:rFonts w:ascii="Arial"/>
          <w:sz w:val="21"/>
        </w:rPr>
      </w:pPr>
      <w:r/>
    </w:p>
    <w:p>
      <w:pPr>
        <w:ind w:left="1881"/>
        <w:spacing w:before="121" w:line="210" w:lineRule="auto"/>
        <w:rPr>
          <w:rFonts w:ascii="Microsoft YaHei" w:hAnsi="Microsoft YaHei" w:eastAsia="Microsoft YaHei" w:cs="Microsoft YaHei"/>
          <w:sz w:val="28"/>
          <w:szCs w:val="28"/>
        </w:rPr>
      </w:pPr>
      <w:r>
        <w:rPr>
          <w:rFonts w:ascii="Microsoft YaHei" w:hAnsi="Microsoft YaHei" w:eastAsia="Microsoft YaHei" w:cs="Microsoft YaHei"/>
          <w:sz w:val="28"/>
          <w:szCs w:val="28"/>
          <w:spacing w:val="-3"/>
        </w:rPr>
        <w:t>9.2  固原市通信保障应急管理工作流程图</w:t>
      </w:r>
    </w:p>
    <w:p>
      <w:pPr>
        <w:spacing w:line="259" w:lineRule="auto"/>
        <w:rPr>
          <w:rFonts w:ascii="Arial"/>
          <w:sz w:val="21"/>
        </w:rPr>
      </w:pPr>
      <w:r/>
    </w:p>
    <w:p>
      <w:pPr>
        <w:spacing w:line="259" w:lineRule="auto"/>
        <w:rPr>
          <w:rFonts w:ascii="Arial"/>
          <w:sz w:val="21"/>
        </w:rPr>
      </w:pPr>
      <w:r/>
    </w:p>
    <w:p>
      <w:pPr>
        <w:pStyle w:val="BodyText"/>
        <w:ind w:left="1246"/>
        <w:spacing w:before="66" w:line="223" w:lineRule="auto"/>
        <w:rPr/>
      </w:pPr>
      <w:r>
        <w:drawing>
          <wp:anchor distT="0" distB="0" distL="0" distR="0" simplePos="0" relativeHeight="253289472" behindDoc="1" locked="0" layoutInCell="1" allowOverlap="1">
            <wp:simplePos x="0" y="0"/>
            <wp:positionH relativeFrom="column">
              <wp:posOffset>117788</wp:posOffset>
            </wp:positionH>
            <wp:positionV relativeFrom="paragraph">
              <wp:posOffset>-33773</wp:posOffset>
            </wp:positionV>
            <wp:extent cx="5426392" cy="3359150"/>
            <wp:effectExtent l="0" t="0" r="0" b="0"/>
            <wp:wrapNone/>
            <wp:docPr id="1878" name="IM 1878"/>
            <wp:cNvGraphicFramePr/>
            <a:graphic>
              <a:graphicData uri="http://schemas.openxmlformats.org/drawingml/2006/picture">
                <pic:pic>
                  <pic:nvPicPr>
                    <pic:cNvPr id="1878" name="IM 1878"/>
                    <pic:cNvPicPr/>
                  </pic:nvPicPr>
                  <pic:blipFill>
                    <a:blip r:embed="rId941"/>
                    <a:stretch>
                      <a:fillRect/>
                    </a:stretch>
                  </pic:blipFill>
                  <pic:spPr>
                    <a:xfrm rot="0">
                      <a:off x="0" y="0"/>
                      <a:ext cx="5426392" cy="3359150"/>
                    </a:xfrm>
                    <a:prstGeom prst="rect">
                      <a:avLst/>
                    </a:prstGeom>
                  </pic:spPr>
                </pic:pic>
              </a:graphicData>
            </a:graphic>
          </wp:anchor>
        </w:drawing>
      </w:r>
      <w:r>
        <w:rPr>
          <w:spacing w:val="9"/>
        </w:rPr>
        <w:t>市通信保障应急指挥部办公室</w:t>
      </w:r>
    </w:p>
    <w:p>
      <w:pPr>
        <w:spacing w:line="267" w:lineRule="auto"/>
        <w:rPr>
          <w:rFonts w:ascii="Arial"/>
          <w:sz w:val="21"/>
        </w:rPr>
      </w:pPr>
      <w:r/>
    </w:p>
    <w:p>
      <w:pPr>
        <w:spacing w:line="268" w:lineRule="auto"/>
        <w:rPr>
          <w:rFonts w:ascii="Arial"/>
          <w:sz w:val="21"/>
        </w:rPr>
      </w:pPr>
      <w:r/>
    </w:p>
    <w:p>
      <w:pPr>
        <w:pStyle w:val="BodyText"/>
        <w:ind w:left="1079"/>
        <w:spacing w:before="65" w:line="222" w:lineRule="auto"/>
        <w:rPr/>
      </w:pPr>
      <w:r>
        <w:pict>
          <v:shape id="_x0000_s88" style="position:absolute;margin-left:303.587pt;margin-top:-0.003101pt;mso-position-vertical-relative:text;mso-position-horizontal-relative:text;width:106.65pt;height:13.8pt;z-index:253294592;" filled="false" stroked="false" type="#_x0000_t202">
            <v:fill on="false"/>
            <v:stroke on="false"/>
            <v:path/>
            <v:imagedata o:title=""/>
            <o:lock v:ext="edit" aspectratio="false"/>
            <v:textbox inset="0mm,0mm,0mm,0mm">
              <w:txbxContent>
                <w:p>
                  <w:pPr>
                    <w:pStyle w:val="BodyText"/>
                    <w:ind w:left="20"/>
                    <w:spacing w:before="20" w:line="217" w:lineRule="auto"/>
                    <w:rPr/>
                  </w:pPr>
                  <w:r>
                    <w:rPr>
                      <w:spacing w:val="9"/>
                    </w:rPr>
                    <w:t>市级公司应急管理机构</w:t>
                  </w:r>
                </w:p>
              </w:txbxContent>
            </v:textbox>
          </v:shape>
        </w:pict>
      </w:r>
      <w:r>
        <w:rPr>
          <w:spacing w:val="9"/>
        </w:rPr>
        <w:t>通知各电信运营企业应急管理机构</w:t>
      </w:r>
    </w:p>
    <w:p>
      <w:pPr>
        <w:rPr>
          <w:rFonts w:ascii="Arial"/>
          <w:sz w:val="21"/>
        </w:rPr>
      </w:pPr>
      <w:r/>
    </w:p>
    <w:p>
      <w:pPr>
        <w:spacing w:line="241" w:lineRule="auto"/>
        <w:rPr>
          <w:rFonts w:ascii="Arial"/>
          <w:sz w:val="21"/>
        </w:rPr>
      </w:pPr>
      <w:r/>
    </w:p>
    <w:p>
      <w:pPr>
        <w:pStyle w:val="BodyText"/>
        <w:ind w:left="1191"/>
        <w:spacing w:before="65" w:line="222" w:lineRule="auto"/>
        <w:rPr/>
      </w:pPr>
      <w:r>
        <w:rPr>
          <w:spacing w:val="9"/>
        </w:rPr>
        <w:t>成立现场通信保障应急指挥机构</w:t>
      </w:r>
    </w:p>
    <w:p>
      <w:pPr>
        <w:spacing w:line="246" w:lineRule="auto"/>
        <w:rPr>
          <w:rFonts w:ascii="Arial"/>
          <w:sz w:val="21"/>
        </w:rPr>
      </w:pPr>
      <w:r/>
    </w:p>
    <w:p>
      <w:pPr>
        <w:spacing w:line="247" w:lineRule="auto"/>
        <w:rPr>
          <w:rFonts w:ascii="Arial"/>
          <w:sz w:val="21"/>
        </w:rPr>
      </w:pPr>
      <w:r/>
    </w:p>
    <w:p>
      <w:pPr>
        <w:pStyle w:val="BodyText"/>
        <w:ind w:left="1749"/>
        <w:spacing w:before="65" w:line="222" w:lineRule="auto"/>
        <w:rPr/>
      </w:pPr>
      <w:r>
        <w:pict>
          <v:shape id="_x0000_s90" style="position:absolute;margin-left:313.745pt;margin-top:-15.7487pt;mso-position-vertical-relative:text;mso-position-horizontal-relative:text;width:85.65pt;height:26.85pt;z-index:253290496;" filled="false" stroked="false" type="#_x0000_t202">
            <v:fill on="false"/>
            <v:stroke on="false"/>
            <v:path/>
            <v:imagedata o:title=""/>
            <o:lock v:ext="edit" aspectratio="false"/>
            <v:textbox inset="0mm,0mm,0mm,0mm">
              <w:txbxContent>
                <w:p>
                  <w:pPr>
                    <w:pStyle w:val="BodyText"/>
                    <w:ind w:left="228" w:right="20" w:hanging="209"/>
                    <w:spacing w:before="20" w:line="238" w:lineRule="auto"/>
                    <w:rPr/>
                  </w:pPr>
                  <w:r>
                    <w:rPr>
                      <w:spacing w:val="9"/>
                    </w:rPr>
                    <w:t>通知现场通信保障</w:t>
                  </w:r>
                  <w:r>
                    <w:rPr>
                      <w:spacing w:val="9"/>
                    </w:rPr>
                    <w:t>应急指挥机构</w:t>
                  </w:r>
                </w:p>
              </w:txbxContent>
            </v:textbox>
          </v:shape>
        </w:pict>
      </w:r>
      <w:r>
        <w:rPr>
          <w:spacing w:val="9"/>
        </w:rPr>
        <w:t>保障和组织抢修人员</w:t>
      </w:r>
    </w:p>
    <w:p>
      <w:pPr>
        <w:spacing w:line="468" w:lineRule="auto"/>
        <w:rPr>
          <w:rFonts w:ascii="Arial"/>
          <w:sz w:val="21"/>
        </w:rPr>
      </w:pPr>
      <w:r/>
    </w:p>
    <w:p>
      <w:pPr>
        <w:pStyle w:val="BodyText"/>
        <w:ind w:left="490"/>
        <w:spacing w:before="66" w:line="209" w:lineRule="auto"/>
        <w:rPr/>
      </w:pPr>
      <w:r>
        <w:rPr>
          <w:spacing w:val="6"/>
          <w:position w:val="2"/>
        </w:rPr>
        <w:t>否            </w:t>
      </w:r>
      <w:r>
        <w:rPr>
          <w:spacing w:val="6"/>
        </w:rPr>
        <w:t>通信保障和抢修</w:t>
      </w:r>
    </w:p>
    <w:p>
      <w:pPr>
        <w:pStyle w:val="BodyText"/>
        <w:ind w:left="6282"/>
        <w:spacing w:line="221" w:lineRule="auto"/>
        <w:rPr/>
      </w:pPr>
      <w:r>
        <w:rPr>
          <w:spacing w:val="9"/>
        </w:rPr>
        <w:t>完成任务情况汇报</w:t>
      </w:r>
    </w:p>
    <w:p>
      <w:pPr>
        <w:spacing w:line="287" w:lineRule="auto"/>
        <w:rPr>
          <w:rFonts w:ascii="Arial"/>
          <w:sz w:val="21"/>
        </w:rPr>
      </w:pPr>
      <w:r/>
    </w:p>
    <w:p>
      <w:pPr>
        <w:pStyle w:val="BodyText"/>
        <w:ind w:left="1749"/>
        <w:spacing w:before="65" w:line="223" w:lineRule="auto"/>
        <w:rPr/>
      </w:pPr>
      <w:r>
        <w:pict>
          <v:shape id="_x0000_s92" style="position:absolute;margin-left:320.074pt;margin-top:9.21962pt;mso-position-vertical-relative:text;mso-position-horizontal-relative:text;width:12.25pt;height:13.8pt;z-index:253297664;" filled="false" stroked="false" type="#_x0000_t202">
            <v:fill on="false"/>
            <v:stroke on="false"/>
            <v:path/>
            <v:imagedata o:title=""/>
            <o:lock v:ext="edit" aspectratio="false"/>
            <v:textbox inset="0mm,0mm,0mm,0mm">
              <w:txbxContent>
                <w:p>
                  <w:pPr>
                    <w:pStyle w:val="BodyText"/>
                    <w:ind w:left="20"/>
                    <w:spacing w:before="19" w:line="217" w:lineRule="auto"/>
                    <w:rPr/>
                  </w:pPr>
                  <w:r>
                    <w:rPr>
                      <w:spacing w:val="4"/>
                    </w:rPr>
                    <w:t>是</w:t>
                  </w:r>
                </w:p>
              </w:txbxContent>
            </v:textbox>
          </v:shape>
        </w:pict>
      </w:r>
      <w:r>
        <w:rPr>
          <w:spacing w:val="9"/>
        </w:rPr>
        <w:t>通信是否已恢复正常</w:t>
      </w:r>
    </w:p>
    <w:p>
      <w:pPr>
        <w:spacing w:line="477" w:lineRule="auto"/>
        <w:rPr>
          <w:rFonts w:ascii="Arial"/>
          <w:sz w:val="21"/>
        </w:rPr>
      </w:pPr>
      <w:r/>
    </w:p>
    <w:p>
      <w:pPr>
        <w:pStyle w:val="BodyText"/>
        <w:ind w:left="2377"/>
        <w:spacing w:before="66" w:line="222" w:lineRule="auto"/>
        <w:rPr/>
      </w:pPr>
      <w:r>
        <w:rPr>
          <w:spacing w:val="5"/>
        </w:rPr>
        <w:t>结</w:t>
      </w:r>
      <w:r>
        <w:rPr>
          <w:spacing w:val="7"/>
        </w:rPr>
        <w:t xml:space="preserve">  </w:t>
      </w:r>
      <w:r>
        <w:rPr>
          <w:spacing w:val="5"/>
        </w:rPr>
        <w:t>束</w:t>
      </w:r>
    </w:p>
    <w:p>
      <w:pPr>
        <w:spacing w:line="222" w:lineRule="auto"/>
        <w:sectPr>
          <w:headerReference w:type="default" r:id="rId549"/>
          <w:footerReference w:type="default" r:id="rId938"/>
          <w:pgSz w:w="11906" w:h="16839"/>
          <w:pgMar w:top="1766" w:right="1530" w:bottom="1575" w:left="1579" w:header="1428" w:footer="1172" w:gutter="0"/>
        </w:sectPr>
        <w:rPr/>
      </w:pPr>
    </w:p>
    <w:p>
      <w:pPr>
        <w:spacing w:line="269" w:lineRule="auto"/>
        <w:rPr>
          <w:rFonts w:ascii="Arial"/>
          <w:sz w:val="21"/>
        </w:rPr>
      </w:pPr>
      <w:r>
        <w:drawing>
          <wp:anchor distT="0" distB="0" distL="0" distR="0" simplePos="0" relativeHeight="253301760" behindDoc="0" locked="0" layoutInCell="1" allowOverlap="1">
            <wp:simplePos x="0" y="0"/>
            <wp:positionH relativeFrom="column">
              <wp:posOffset>13334</wp:posOffset>
            </wp:positionH>
            <wp:positionV relativeFrom="paragraph">
              <wp:posOffset>-132</wp:posOffset>
            </wp:positionV>
            <wp:extent cx="5579745" cy="7620"/>
            <wp:effectExtent l="0" t="0" r="0" b="0"/>
            <wp:wrapNone/>
            <wp:docPr id="1882" name="IM 1882"/>
            <wp:cNvGraphicFramePr/>
            <a:graphic>
              <a:graphicData uri="http://schemas.openxmlformats.org/drawingml/2006/picture">
                <pic:pic>
                  <pic:nvPicPr>
                    <pic:cNvPr id="1882" name="IM 1882"/>
                    <pic:cNvPicPr/>
                  </pic:nvPicPr>
                  <pic:blipFill>
                    <a:blip r:embed="rId943"/>
                    <a:stretch>
                      <a:fillRect/>
                    </a:stretch>
                  </pic:blipFill>
                  <pic:spPr>
                    <a:xfrm rot="0">
                      <a:off x="0" y="0"/>
                      <a:ext cx="5579745" cy="7620"/>
                    </a:xfrm>
                    <a:prstGeom prst="rect">
                      <a:avLst/>
                    </a:prstGeom>
                  </pic:spPr>
                </pic:pic>
              </a:graphicData>
            </a:graphic>
          </wp:anchor>
        </w:drawing>
      </w:r>
      <w:r/>
    </w:p>
    <w:p>
      <w:pPr>
        <w:spacing w:line="269" w:lineRule="auto"/>
        <w:rPr>
          <w:rFonts w:ascii="Arial"/>
          <w:sz w:val="21"/>
        </w:rPr>
      </w:pPr>
      <w:r/>
    </w:p>
    <w:p>
      <w:pPr>
        <w:spacing w:line="270" w:lineRule="auto"/>
        <w:rPr>
          <w:rFonts w:ascii="Arial"/>
          <w:sz w:val="21"/>
        </w:rPr>
      </w:pPr>
      <w:r/>
    </w:p>
    <w:p>
      <w:pPr>
        <w:ind w:left="1113"/>
        <w:spacing w:before="184" w:line="185"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8"/>
        </w:rPr>
        <w:t>固原市突发公共卫生事件应急预案</w:t>
      </w:r>
    </w:p>
    <w:p>
      <w:pPr>
        <w:spacing w:before="165"/>
        <w:rPr/>
      </w:pPr>
      <w:r/>
    </w:p>
    <w:p>
      <w:pPr>
        <w:sectPr>
          <w:headerReference w:type="default" r:id="rId816"/>
          <w:footerReference w:type="default" r:id="rId942"/>
          <w:pgSz w:w="11906" w:h="16839"/>
          <w:pgMar w:top="1772" w:right="1489" w:bottom="1562" w:left="1567" w:header="1428" w:footer="1172" w:gutter="0"/>
          <w:cols w:equalWidth="0" w:num="1">
            <w:col w:w="8850" w:space="0"/>
          </w:cols>
        </w:sectPr>
        <w:rPr/>
      </w:pPr>
    </w:p>
    <w:p>
      <w:pPr>
        <w:ind w:left="462"/>
        <w:spacing w:before="48"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1</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7"/>
        </w:rPr>
        <w:t>总则</w:t>
      </w:r>
    </w:p>
    <w:p>
      <w:pPr>
        <w:pStyle w:val="BodyText"/>
        <w:ind w:left="25" w:right="330" w:firstLine="441"/>
        <w:spacing w:before="93" w:line="341" w:lineRule="auto"/>
        <w:rPr/>
      </w:pPr>
      <w:r>
        <w:rPr>
          <w:rFonts w:ascii="Times New Roman" w:hAnsi="Times New Roman" w:eastAsia="Times New Roman" w:cs="Times New Roman"/>
          <w:spacing w:val="3"/>
        </w:rPr>
        <w:t>1.</w:t>
      </w:r>
      <w:r>
        <w:rPr>
          <w:rFonts w:ascii="Times New Roman" w:hAnsi="Times New Roman" w:eastAsia="Times New Roman" w:cs="Times New Roman"/>
          <w:spacing w:val="-9"/>
        </w:rPr>
        <w:t xml:space="preserve"> </w:t>
      </w:r>
      <w:r>
        <w:rPr>
          <w:rFonts w:ascii="Times New Roman" w:hAnsi="Times New Roman" w:eastAsia="Times New Roman" w:cs="Times New Roman"/>
          <w:spacing w:val="3"/>
        </w:rPr>
        <w:t>1  </w:t>
      </w:r>
      <w:r>
        <w:rPr>
          <w:rFonts w:ascii="KaiTi" w:hAnsi="KaiTi" w:eastAsia="KaiTi" w:cs="KaiTi"/>
          <w:spacing w:val="3"/>
        </w:rPr>
        <w:t>编制</w:t>
      </w:r>
      <w:r>
        <w:rPr>
          <w:rFonts w:ascii="KaiTi" w:hAnsi="KaiTi" w:eastAsia="KaiTi" w:cs="KaiTi"/>
          <w:spacing w:val="-50"/>
        </w:rPr>
        <w:t xml:space="preserve"> </w:t>
      </w:r>
      <w:r>
        <w:rPr>
          <w:rFonts w:ascii="KaiTi" w:hAnsi="KaiTi" w:eastAsia="KaiTi" w:cs="KaiTi"/>
          <w:spacing w:val="3"/>
        </w:rPr>
        <w:t>目的。</w:t>
      </w:r>
      <w:r>
        <w:rPr>
          <w:spacing w:val="3"/>
        </w:rPr>
        <w:t>建立健全突发公共卫生事</w:t>
      </w:r>
      <w:r>
        <w:rPr>
          <w:spacing w:val="7"/>
        </w:rPr>
        <w:t>件应对工作机制，落实各项预防处置措施，提</w:t>
      </w:r>
      <w:r>
        <w:rPr>
          <w:spacing w:val="7"/>
        </w:rPr>
        <w:t>高应对突发公共卫生事件的能力，及时、有效</w:t>
      </w:r>
      <w:r>
        <w:rPr>
          <w:spacing w:val="7"/>
        </w:rPr>
        <w:t>控制和消除突发公共卫生事件危害，保障公众</w:t>
      </w:r>
      <w:r>
        <w:rPr>
          <w:spacing w:val="8"/>
        </w:rPr>
        <w:t>健康和生命安全，维护社会稳定。</w:t>
      </w:r>
    </w:p>
    <w:p>
      <w:pPr>
        <w:pStyle w:val="BodyText"/>
        <w:ind w:left="9" w:right="317" w:firstLine="457"/>
        <w:spacing w:before="161" w:line="356" w:lineRule="auto"/>
        <w:rPr/>
      </w:pPr>
      <w:r>
        <w:rPr>
          <w:rFonts w:ascii="Times New Roman" w:hAnsi="Times New Roman" w:eastAsia="Times New Roman" w:cs="Times New Roman"/>
          <w:spacing w:val="7"/>
        </w:rPr>
        <w:t>1.2  </w:t>
      </w:r>
      <w:r>
        <w:rPr>
          <w:rFonts w:ascii="KaiTi" w:hAnsi="KaiTi" w:eastAsia="KaiTi" w:cs="KaiTi"/>
          <w:spacing w:val="7"/>
        </w:rPr>
        <w:t>编制依据。</w:t>
      </w:r>
      <w:r>
        <w:rPr>
          <w:spacing w:val="7"/>
        </w:rPr>
        <w:t>《中华人民共和国突发事</w:t>
      </w:r>
      <w:r>
        <w:rPr>
          <w:spacing w:val="-2"/>
        </w:rPr>
        <w:t>件应对法》《突发公共卫生事件应急条例》《生</w:t>
      </w:r>
      <w:r>
        <w:rPr>
          <w:spacing w:val="8"/>
        </w:rPr>
        <w:t>产安全事故应急条例》《生产安全事故应急预</w:t>
      </w:r>
      <w:r>
        <w:rPr>
          <w:spacing w:val="8"/>
        </w:rPr>
        <w:t>案管理办法》《国家突发公共卫生事件应急预</w:t>
      </w:r>
      <w:r>
        <w:rPr>
          <w:spacing w:val="-2"/>
        </w:rPr>
        <w:t>案》《宁夏回族自治区突发事件应对条例》《宁</w:t>
      </w:r>
      <w:r>
        <w:rPr>
          <w:spacing w:val="19"/>
        </w:rPr>
        <w:t>夏回族自治区突发公共卫生事件应急预案》</w:t>
      </w:r>
      <w:r>
        <w:rPr>
          <w:spacing w:val="12"/>
        </w:rPr>
        <w:t xml:space="preserve"> </w:t>
      </w:r>
      <w:r>
        <w:rPr>
          <w:spacing w:val="10"/>
        </w:rPr>
        <w:t>《固原市突发事件总体应急预案》等。</w:t>
      </w:r>
    </w:p>
    <w:p>
      <w:pPr>
        <w:pStyle w:val="BodyText"/>
        <w:ind w:left="25" w:right="330" w:firstLine="441"/>
        <w:spacing w:before="134" w:line="347" w:lineRule="auto"/>
        <w:rPr/>
      </w:pPr>
      <w:r>
        <w:rPr>
          <w:rFonts w:ascii="Times New Roman" w:hAnsi="Times New Roman" w:eastAsia="Times New Roman" w:cs="Times New Roman"/>
          <w:spacing w:val="7"/>
        </w:rPr>
        <w:t>1.3  </w:t>
      </w:r>
      <w:r>
        <w:rPr>
          <w:rFonts w:ascii="KaiTi" w:hAnsi="KaiTi" w:eastAsia="KaiTi" w:cs="KaiTi"/>
          <w:spacing w:val="7"/>
        </w:rPr>
        <w:t>适用范围。</w:t>
      </w:r>
      <w:r>
        <w:rPr>
          <w:spacing w:val="7"/>
        </w:rPr>
        <w:t>本预案适用于本行政区域</w:t>
      </w:r>
      <w:r>
        <w:rPr>
          <w:spacing w:val="7"/>
        </w:rPr>
        <w:t>内突然发生，造成或者可能造成社会公众身心</w:t>
      </w:r>
      <w:r>
        <w:rPr>
          <w:spacing w:val="7"/>
        </w:rPr>
        <w:t>健康严重损害的重大传染病疫情、群体性不明</w:t>
      </w:r>
      <w:r>
        <w:rPr>
          <w:spacing w:val="7"/>
        </w:rPr>
        <w:t>原因疾病以及因自然灾害、事故灾难或社会安</w:t>
      </w:r>
      <w:r>
        <w:rPr>
          <w:spacing w:val="18"/>
        </w:rPr>
        <w:t>全事件引起的严重影响公众健康的公共卫生</w:t>
      </w:r>
      <w:r>
        <w:rPr>
          <w:spacing w:val="8"/>
        </w:rPr>
        <w:t>事件的应急处置工作。</w:t>
      </w:r>
    </w:p>
    <w:p>
      <w:pPr>
        <w:pStyle w:val="BodyText"/>
        <w:ind w:left="26" w:right="330" w:firstLine="420"/>
        <w:spacing w:before="161" w:line="371" w:lineRule="auto"/>
        <w:rPr/>
      </w:pPr>
      <w:r>
        <w:rPr>
          <w:spacing w:val="6"/>
        </w:rPr>
        <w:t>重大食物中毒应急工作按照《固原市食品</w:t>
      </w:r>
      <w:r>
        <w:rPr>
          <w:spacing w:val="9"/>
        </w:rPr>
        <w:t>安全事故应急预案》有关规定执行。</w:t>
      </w:r>
    </w:p>
    <w:p>
      <w:pPr>
        <w:pStyle w:val="BodyText"/>
        <w:ind w:left="25" w:right="330" w:firstLine="424"/>
        <w:spacing w:before="5" w:line="371" w:lineRule="auto"/>
        <w:rPr/>
      </w:pPr>
      <w:r>
        <w:rPr>
          <w:spacing w:val="6"/>
        </w:rPr>
        <w:t>职业中毒应急工作按照《固原市安全生产</w:t>
      </w:r>
      <w:r>
        <w:rPr>
          <w:spacing w:val="8"/>
        </w:rPr>
        <w:t>应急预案》的有关规定执行。</w:t>
      </w:r>
    </w:p>
    <w:p>
      <w:pPr>
        <w:pStyle w:val="BodyText"/>
        <w:ind w:left="25" w:right="310" w:firstLine="419"/>
        <w:spacing w:before="5" w:line="372" w:lineRule="auto"/>
        <w:jc w:val="both"/>
        <w:rPr/>
      </w:pPr>
      <w:r>
        <w:rPr>
          <w:spacing w:val="19"/>
        </w:rPr>
        <w:t>其他突发公共事件涉及的应急医疗卫生</w:t>
      </w:r>
      <w:r>
        <w:rPr>
          <w:spacing w:val="7"/>
        </w:rPr>
        <w:t>救援工作，按照《固原市突发公共事件医疗卫</w:t>
      </w:r>
      <w:r>
        <w:rPr>
          <w:spacing w:val="8"/>
        </w:rPr>
        <w:t>生应急工作救援应急预案》的有关规定执行。</w:t>
      </w:r>
    </w:p>
    <w:p>
      <w:pPr>
        <w:ind w:left="466"/>
        <w:spacing w:before="1"/>
        <w:rPr>
          <w:rFonts w:ascii="KaiTi" w:hAnsi="KaiTi" w:eastAsia="KaiTi" w:cs="KaiTi"/>
          <w:sz w:val="20"/>
          <w:szCs w:val="20"/>
        </w:rPr>
      </w:pPr>
      <w:r>
        <w:rPr>
          <w:rFonts w:ascii="Times New Roman" w:hAnsi="Times New Roman" w:eastAsia="Times New Roman" w:cs="Times New Roman"/>
          <w:sz w:val="20"/>
          <w:szCs w:val="20"/>
          <w:spacing w:val="1"/>
        </w:rPr>
        <w:t>1.4</w:t>
      </w:r>
      <w:r>
        <w:rPr>
          <w:rFonts w:ascii="Times New Roman" w:hAnsi="Times New Roman" w:eastAsia="Times New Roman" w:cs="Times New Roman"/>
          <w:sz w:val="20"/>
          <w:szCs w:val="20"/>
          <w:spacing w:val="10"/>
        </w:rPr>
        <w:t xml:space="preserve">  </w:t>
      </w:r>
      <w:r>
        <w:rPr>
          <w:rFonts w:ascii="KaiTi" w:hAnsi="KaiTi" w:eastAsia="KaiTi" w:cs="KaiTi"/>
          <w:sz w:val="20"/>
          <w:szCs w:val="20"/>
          <w:spacing w:val="1"/>
        </w:rPr>
        <w:t>工作原则。</w:t>
      </w:r>
    </w:p>
    <w:p>
      <w:pPr>
        <w:pStyle w:val="BodyText"/>
        <w:ind w:left="437"/>
        <w:spacing w:before="145" w:line="232"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）预防为主，常备不懈。提高全社会</w:t>
      </w:r>
    </w:p>
    <w:p>
      <w:pPr>
        <w:spacing w:line="14" w:lineRule="auto"/>
        <w:rPr>
          <w:rFonts w:ascii="Arial"/>
          <w:sz w:val="2"/>
        </w:rPr>
      </w:pPr>
      <w:r>
        <w:rPr>
          <w:rFonts w:ascii="Arial" w:hAnsi="Arial" w:eastAsia="Arial" w:cs="Arial"/>
          <w:sz w:val="2"/>
          <w:szCs w:val="2"/>
        </w:rPr>
        <w:br w:type="column"/>
      </w:r>
    </w:p>
    <w:p>
      <w:pPr>
        <w:pStyle w:val="BodyText"/>
        <w:ind w:right="101" w:firstLine="15"/>
        <w:spacing w:before="63" w:line="371" w:lineRule="auto"/>
        <w:jc w:val="both"/>
        <w:rPr/>
      </w:pPr>
      <w:r>
        <w:rPr>
          <w:spacing w:val="6"/>
        </w:rPr>
        <w:t>防范突发公共卫生事件的意识，落实各项防范</w:t>
      </w:r>
      <w:r>
        <w:rPr>
          <w:spacing w:val="7"/>
        </w:rPr>
        <w:t>措施，做好人员、技术、物资和设备的应急储</w:t>
      </w:r>
      <w:r>
        <w:rPr>
          <w:spacing w:val="6"/>
        </w:rPr>
        <w:t>备工作。</w:t>
      </w:r>
    </w:p>
    <w:p>
      <w:pPr>
        <w:pStyle w:val="BodyText"/>
        <w:ind w:right="94" w:firstLine="411"/>
        <w:spacing w:before="4" w:line="351"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）统一领导，广泛参与。各级政府负</w:t>
      </w:r>
      <w:r>
        <w:rPr>
          <w:spacing w:val="18"/>
        </w:rPr>
        <w:t>责突发公共卫生事件应急处置的统一领导和</w:t>
      </w:r>
      <w:r>
        <w:rPr>
          <w:spacing w:val="7"/>
        </w:rPr>
        <w:t>指挥，对突发公共卫生事件实行分级管理。各</w:t>
      </w:r>
      <w:r>
        <w:rPr>
          <w:spacing w:val="7"/>
        </w:rPr>
        <w:t>有关部门按照预案规定通力合作、资源共享，</w:t>
      </w:r>
      <w:r>
        <w:rPr>
          <w:spacing w:val="18"/>
        </w:rPr>
        <w:t>在各自职责范围内做好突发公共卫生事件应</w:t>
      </w:r>
      <w:r>
        <w:rPr>
          <w:spacing w:val="7"/>
        </w:rPr>
        <w:t>急处置有关工作。组织、动员公众积极参与突</w:t>
      </w:r>
      <w:r>
        <w:rPr>
          <w:spacing w:val="9"/>
        </w:rPr>
        <w:t>发公共卫生事件应急处置有关工作。</w:t>
      </w:r>
    </w:p>
    <w:p>
      <w:pPr>
        <w:pStyle w:val="BodyText"/>
        <w:ind w:right="101" w:firstLine="411"/>
        <w:spacing w:before="161" w:line="343"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）依法应对，快速反应。各级政府和</w:t>
      </w:r>
      <w:r>
        <w:rPr>
          <w:spacing w:val="18"/>
        </w:rPr>
        <w:t>县级以上卫生健康行政部门要完善突发公共</w:t>
      </w:r>
      <w:r>
        <w:rPr>
          <w:spacing w:val="7"/>
        </w:rPr>
        <w:t>卫生事件应急体系，建立健全工作制度，依据</w:t>
      </w:r>
      <w:r>
        <w:rPr>
          <w:spacing w:val="7"/>
        </w:rPr>
        <w:t>法律、法规开展应对工作，对发生或可能发生</w:t>
      </w:r>
      <w:r>
        <w:rPr>
          <w:spacing w:val="9"/>
        </w:rPr>
        <w:t>的突发公共卫生事件做出快速、有效反应。</w:t>
      </w:r>
    </w:p>
    <w:p>
      <w:pPr>
        <w:pStyle w:val="BodyText"/>
        <w:ind w:left="2" w:right="101" w:firstLine="409"/>
        <w:spacing w:before="163" w:line="343"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）依靠科学，高效处置。加强专家库</w:t>
      </w:r>
      <w:r>
        <w:rPr>
          <w:spacing w:val="7"/>
        </w:rPr>
        <w:t>和专业队伍建设，开展突发公共卫生事件应急</w:t>
      </w:r>
      <w:r>
        <w:rPr>
          <w:spacing w:val="7"/>
        </w:rPr>
        <w:t>理论和使用新技术研究，制定科学的技术规范</w:t>
      </w:r>
      <w:r>
        <w:rPr>
          <w:spacing w:val="7"/>
        </w:rPr>
        <w:t>和处置方案，完善技术和物质保障措施，不断</w:t>
      </w:r>
      <w:r>
        <w:rPr>
          <w:spacing w:val="8"/>
        </w:rPr>
        <w:t>提高应急处置能力。</w:t>
      </w:r>
    </w:p>
    <w:p>
      <w:pPr>
        <w:ind w:left="422"/>
        <w:spacing w:before="156"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2</w:t>
      </w:r>
      <w:r>
        <w:rPr>
          <w:rFonts w:ascii="Microsoft YaHei" w:hAnsi="Microsoft YaHei" w:eastAsia="Microsoft YaHei" w:cs="Microsoft YaHei"/>
          <w:sz w:val="20"/>
          <w:szCs w:val="20"/>
          <w:spacing w:val="15"/>
          <w:w w:val="101"/>
        </w:rPr>
        <w:t xml:space="preserve">   </w:t>
      </w:r>
      <w:r>
        <w:rPr>
          <w:rFonts w:ascii="Microsoft YaHei" w:hAnsi="Microsoft YaHei" w:eastAsia="Microsoft YaHei" w:cs="Microsoft YaHei"/>
          <w:sz w:val="20"/>
          <w:szCs w:val="20"/>
          <w:spacing w:val="3"/>
        </w:rPr>
        <w:t>组织体系</w:t>
      </w:r>
    </w:p>
    <w:p>
      <w:pPr>
        <w:pStyle w:val="BodyText"/>
        <w:ind w:right="101" w:firstLine="420"/>
        <w:spacing w:before="99" w:line="343" w:lineRule="auto"/>
        <w:rPr/>
      </w:pPr>
      <w:r>
        <w:rPr>
          <w:rFonts w:ascii="Times New Roman" w:hAnsi="Times New Roman" w:eastAsia="Times New Roman" w:cs="Times New Roman"/>
          <w:spacing w:val="5"/>
        </w:rPr>
        <w:t>2.</w:t>
      </w:r>
      <w:r>
        <w:rPr>
          <w:rFonts w:ascii="Times New Roman" w:hAnsi="Times New Roman" w:eastAsia="Times New Roman" w:cs="Times New Roman"/>
          <w:spacing w:val="-25"/>
        </w:rPr>
        <w:t xml:space="preserve"> </w:t>
      </w:r>
      <w:r>
        <w:rPr>
          <w:rFonts w:ascii="Times New Roman" w:hAnsi="Times New Roman" w:eastAsia="Times New Roman" w:cs="Times New Roman"/>
          <w:spacing w:val="5"/>
        </w:rPr>
        <w:t>1  </w:t>
      </w:r>
      <w:r>
        <w:rPr>
          <w:rFonts w:ascii="KaiTi" w:hAnsi="KaiTi" w:eastAsia="KaiTi" w:cs="KaiTi"/>
          <w:spacing w:val="5"/>
        </w:rPr>
        <w:t>应急主体。</w:t>
      </w:r>
      <w:r>
        <w:rPr>
          <w:rFonts w:ascii="KaiTi" w:hAnsi="KaiTi" w:eastAsia="KaiTi" w:cs="KaiTi"/>
          <w:spacing w:val="-54"/>
        </w:rPr>
        <w:t xml:space="preserve"> </w:t>
      </w:r>
      <w:r>
        <w:rPr>
          <w:spacing w:val="5"/>
        </w:rPr>
        <w:t>自治区政府是应对本</w:t>
      </w:r>
      <w:r>
        <w:rPr>
          <w:spacing w:val="4"/>
        </w:rPr>
        <w:t>行政</w:t>
      </w:r>
      <w:r>
        <w:rPr>
          <w:spacing w:val="7"/>
        </w:rPr>
        <w:t>区域内特别重大、重大突发公共卫生事件的主</w:t>
      </w:r>
      <w:r>
        <w:rPr>
          <w:spacing w:val="7"/>
        </w:rPr>
        <w:t>体。市政府是应对本行政区域内较大突发公共</w:t>
      </w:r>
      <w:r>
        <w:rPr>
          <w:spacing w:val="4"/>
        </w:rPr>
        <w:t>卫生事件的主体。县（</w:t>
      </w:r>
      <w:r>
        <w:rPr>
          <w:spacing w:val="-36"/>
        </w:rPr>
        <w:t xml:space="preserve"> </w:t>
      </w:r>
      <w:r>
        <w:rPr>
          <w:spacing w:val="4"/>
        </w:rPr>
        <w:t>区）政府是应对本行政</w:t>
      </w:r>
      <w:r>
        <w:rPr>
          <w:spacing w:val="8"/>
        </w:rPr>
        <w:t>区域内一般突发事件的主体。</w:t>
      </w:r>
    </w:p>
    <w:p>
      <w:pPr>
        <w:pStyle w:val="BodyText"/>
        <w:ind w:right="101" w:firstLine="420"/>
        <w:spacing w:before="162" w:line="292" w:lineRule="auto"/>
        <w:rPr/>
      </w:pPr>
      <w:r>
        <w:rPr>
          <w:rFonts w:ascii="Times New Roman" w:hAnsi="Times New Roman" w:eastAsia="Times New Roman" w:cs="Times New Roman"/>
          <w:spacing w:val="17"/>
        </w:rPr>
        <w:t>2.2</w:t>
      </w:r>
      <w:r>
        <w:rPr>
          <w:rFonts w:ascii="Times New Roman" w:hAnsi="Times New Roman" w:eastAsia="Times New Roman" w:cs="Times New Roman"/>
          <w:spacing w:val="6"/>
        </w:rPr>
        <w:t xml:space="preserve">   </w:t>
      </w:r>
      <w:r>
        <w:rPr>
          <w:rFonts w:ascii="KaiTi" w:hAnsi="KaiTi" w:eastAsia="KaiTi" w:cs="KaiTi"/>
          <w:spacing w:val="17"/>
        </w:rPr>
        <w:t>固原市突发公共卫生事件应急指挥</w:t>
      </w:r>
      <w:r>
        <w:rPr>
          <w:rFonts w:ascii="KaiTi" w:hAnsi="KaiTi" w:eastAsia="KaiTi" w:cs="KaiTi"/>
          <w:spacing w:val="7"/>
        </w:rPr>
        <w:t>部。</w:t>
      </w:r>
      <w:r>
        <w:rPr>
          <w:spacing w:val="7"/>
        </w:rPr>
        <w:t>固原市突发事件应急管理委员会下设固原</w:t>
      </w:r>
    </w:p>
    <w:p>
      <w:pPr>
        <w:spacing w:line="292" w:lineRule="auto"/>
        <w:sectPr>
          <w:type w:val="continuous"/>
          <w:pgSz w:w="11906" w:h="16839"/>
          <w:pgMar w:top="1772" w:right="1489" w:bottom="1562" w:left="1567" w:header="1428" w:footer="1172" w:gutter="0"/>
          <w:cols w:equalWidth="0" w:num="2">
            <w:col w:w="4502" w:space="100"/>
            <w:col w:w="4248" w:space="0"/>
          </w:cols>
        </w:sectPr>
        <w:rPr/>
      </w:pPr>
    </w:p>
    <w:p>
      <w:pPr>
        <w:spacing w:line="139" w:lineRule="exact"/>
        <w:rPr/>
      </w:pPr>
      <w:r>
        <w:drawing>
          <wp:anchor distT="0" distB="0" distL="0" distR="0" simplePos="0" relativeHeight="253313024"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886" name="IM 1886"/>
            <wp:cNvGraphicFramePr/>
            <a:graphic>
              <a:graphicData uri="http://schemas.openxmlformats.org/drawingml/2006/picture">
                <pic:pic>
                  <pic:nvPicPr>
                    <pic:cNvPr id="1886" name="IM 1886"/>
                    <pic:cNvPicPr/>
                  </pic:nvPicPr>
                  <pic:blipFill>
                    <a:blip r:embed="rId945"/>
                    <a:stretch>
                      <a:fillRect/>
                    </a:stretch>
                  </pic:blipFill>
                  <pic:spPr>
                    <a:xfrm rot="0">
                      <a:off x="0" y="0"/>
                      <a:ext cx="5579745" cy="7620"/>
                    </a:xfrm>
                    <a:prstGeom prst="rect">
                      <a:avLst/>
                    </a:prstGeom>
                  </pic:spPr>
                </pic:pic>
              </a:graphicData>
            </a:graphic>
          </wp:anchor>
        </w:drawing>
      </w:r>
      <w:r/>
    </w:p>
    <w:p>
      <w:pPr>
        <w:spacing w:line="139" w:lineRule="exact"/>
        <w:sectPr>
          <w:headerReference w:type="default" r:id="rId549"/>
          <w:footerReference w:type="default" r:id="rId944"/>
          <w:pgSz w:w="11906" w:h="16839"/>
          <w:pgMar w:top="1766" w:right="1530" w:bottom="1575" w:left="1579" w:header="1428" w:footer="1172" w:gutter="0"/>
          <w:cols w:equalWidth="0" w:num="1">
            <w:col w:w="8796" w:space="0"/>
          </w:cols>
        </w:sectPr>
        <w:rPr/>
      </w:pPr>
    </w:p>
    <w:p>
      <w:pPr>
        <w:pStyle w:val="BodyText"/>
        <w:ind w:left="12" w:right="276" w:firstLine="2"/>
        <w:spacing w:before="51" w:line="373" w:lineRule="auto"/>
        <w:jc w:val="both"/>
        <w:rPr/>
      </w:pPr>
      <w:r>
        <w:rPr>
          <w:spacing w:val="8"/>
        </w:rPr>
        <w:t>市突发公共卫生事件应急指挥部。在市委、市</w:t>
      </w:r>
      <w:r>
        <w:rPr>
          <w:spacing w:val="7"/>
        </w:rPr>
        <w:t>政府的安排部署下，负责领导、组织、协调本</w:t>
      </w:r>
      <w:r>
        <w:rPr>
          <w:spacing w:val="9"/>
        </w:rPr>
        <w:t>行政区域内的突发公共卫生事件应急处置工作</w:t>
      </w:r>
      <w:r>
        <w:rPr>
          <w:spacing w:val="13"/>
        </w:rPr>
        <w:t xml:space="preserve"> </w:t>
      </w:r>
      <w:r>
        <w:rPr>
          <w:spacing w:val="7"/>
        </w:rPr>
        <w:t>。指挥长由市政府分管副市长担任，副指挥长</w:t>
      </w:r>
      <w:r>
        <w:rPr>
          <w:spacing w:val="17"/>
        </w:rPr>
        <w:t>由市政府分管副秘书长和市卫生健康委员会</w:t>
      </w:r>
      <w:r>
        <w:rPr>
          <w:spacing w:val="7"/>
        </w:rPr>
        <w:t>主任担任。各相关单位为指挥部成员（附：固</w:t>
      </w:r>
      <w:r>
        <w:rPr>
          <w:spacing w:val="9"/>
        </w:rPr>
        <w:t>原市突发公共卫生事件应急组织体系框架图）</w:t>
      </w:r>
    </w:p>
    <w:p>
      <w:pPr>
        <w:pStyle w:val="BodyText"/>
        <w:ind w:left="14" w:right="329" w:firstLine="19"/>
        <w:spacing w:before="1" w:line="366" w:lineRule="auto"/>
        <w:rPr/>
      </w:pPr>
      <w:r>
        <w:rPr>
          <w:spacing w:val="11"/>
        </w:rPr>
        <w:t>。  </w:t>
      </w:r>
      <w:r>
        <w:rPr>
          <w:rFonts w:ascii="Times New Roman" w:hAnsi="Times New Roman" w:eastAsia="Times New Roman" w:cs="Times New Roman"/>
          <w:spacing w:val="11"/>
        </w:rPr>
        <w:t>2.2.1 </w:t>
      </w:r>
      <w:r>
        <w:rPr>
          <w:spacing w:val="11"/>
        </w:rPr>
        <w:t>市突发公共卫生事件应急指挥部成</w:t>
      </w:r>
      <w:r>
        <w:rPr>
          <w:spacing w:val="8"/>
        </w:rPr>
        <w:t>员组成及职责</w:t>
      </w:r>
    </w:p>
    <w:p>
      <w:pPr>
        <w:pStyle w:val="BodyText"/>
        <w:ind w:left="11" w:right="329" w:firstLine="423"/>
        <w:spacing w:line="368" w:lineRule="auto"/>
        <w:jc w:val="both"/>
        <w:rPr/>
      </w:pPr>
      <w:r>
        <w:rPr>
          <w:spacing w:val="6"/>
        </w:rPr>
        <w:t>市发展和改革委员会：保障突发公共卫生</w:t>
      </w:r>
      <w:r>
        <w:rPr>
          <w:spacing w:val="7"/>
        </w:rPr>
        <w:t>事件应急基础设施项目规划和立项，协助卫生</w:t>
      </w:r>
      <w:r>
        <w:rPr>
          <w:spacing w:val="7"/>
        </w:rPr>
        <w:t>计生局做好应急物资储备，保障应急物资市场</w:t>
      </w:r>
      <w:r>
        <w:rPr>
          <w:spacing w:val="9"/>
        </w:rPr>
        <w:t>物价基本稳定，维护正常市场秩序。</w:t>
      </w:r>
    </w:p>
    <w:p>
      <w:pPr>
        <w:pStyle w:val="BodyText"/>
        <w:ind w:left="13" w:right="329" w:firstLine="421"/>
        <w:spacing w:before="6" w:line="369" w:lineRule="auto"/>
        <w:jc w:val="both"/>
        <w:rPr/>
      </w:pPr>
      <w:r>
        <w:rPr>
          <w:spacing w:val="6"/>
        </w:rPr>
        <w:t>市工业和信息化局：利用多种渠道和方式</w:t>
      </w:r>
      <w:r>
        <w:rPr>
          <w:spacing w:val="7"/>
        </w:rPr>
        <w:t>落实应急物资储备，及时协调解决应急物资需</w:t>
      </w:r>
      <w:r>
        <w:rPr>
          <w:spacing w:val="7"/>
        </w:rPr>
        <w:t>求，保障应急工作正常进行。组织、协调各电</w:t>
      </w:r>
      <w:r>
        <w:rPr>
          <w:spacing w:val="7"/>
        </w:rPr>
        <w:t>信运营企业为突发公共卫生事件应急处理（包</w:t>
      </w:r>
      <w:r>
        <w:rPr>
          <w:spacing w:val="8"/>
        </w:rPr>
        <w:t>括报告）提供通信保障工作。</w:t>
      </w:r>
    </w:p>
    <w:p>
      <w:pPr>
        <w:pStyle w:val="BodyText"/>
        <w:ind w:left="13" w:right="329" w:firstLine="421"/>
        <w:spacing w:before="1" w:line="369" w:lineRule="auto"/>
        <w:jc w:val="both"/>
        <w:rPr/>
      </w:pPr>
      <w:r>
        <w:rPr>
          <w:spacing w:val="6"/>
        </w:rPr>
        <w:t>市教育体育局：建立学校突发公共卫生事</w:t>
      </w:r>
      <w:r>
        <w:rPr>
          <w:spacing w:val="7"/>
        </w:rPr>
        <w:t>件应急处置储备金制度。加强学校、托幼机构</w:t>
      </w:r>
      <w:r>
        <w:rPr>
          <w:spacing w:val="7"/>
        </w:rPr>
        <w:t>突发公共卫生事件防范应对工作，强化在校学</w:t>
      </w:r>
      <w:r>
        <w:rPr>
          <w:spacing w:val="7"/>
        </w:rPr>
        <w:t>生、教职工的宣传教育和自我防护工作，配合</w:t>
      </w:r>
      <w:r>
        <w:rPr>
          <w:spacing w:val="7"/>
        </w:rPr>
        <w:t>卫生健康部门组织实施各级各类学校、托幼机</w:t>
      </w:r>
      <w:r>
        <w:rPr>
          <w:spacing w:val="7"/>
        </w:rPr>
        <w:t>构突发公共卫生事件控制措施，防止突发公共</w:t>
      </w:r>
      <w:r>
        <w:rPr>
          <w:spacing w:val="9"/>
        </w:rPr>
        <w:t>卫生事件在学校、托幼机构内发生、蔓延。</w:t>
      </w:r>
    </w:p>
    <w:p>
      <w:pPr>
        <w:pStyle w:val="BodyText"/>
        <w:ind w:left="12" w:right="306" w:firstLine="422"/>
        <w:spacing w:before="2" w:line="364" w:lineRule="auto"/>
        <w:jc w:val="both"/>
        <w:rPr/>
      </w:pPr>
      <w:r>
        <w:rPr>
          <w:spacing w:val="6"/>
        </w:rPr>
        <w:t>市科学技术局：支持突发公共卫生事件应</w:t>
      </w:r>
      <w:r>
        <w:rPr>
          <w:spacing w:val="8"/>
        </w:rPr>
        <w:t>急技术科研攻关，组织开展检测技术、药物、</w:t>
      </w:r>
      <w:r>
        <w:rPr>
          <w:spacing w:val="8"/>
        </w:rPr>
        <w:t>疫苗研发和应急防治技术研究。</w:t>
      </w:r>
    </w:p>
    <w:p>
      <w:pPr>
        <w:pStyle w:val="BodyText"/>
        <w:ind w:left="10" w:right="329" w:firstLine="423"/>
        <w:spacing w:before="18" w:line="333" w:lineRule="auto"/>
        <w:jc w:val="both"/>
        <w:rPr/>
      </w:pPr>
      <w:r>
        <w:rPr>
          <w:spacing w:val="6"/>
        </w:rPr>
        <w:t>市公安局：密切注视与突发公共卫生事件</w:t>
      </w:r>
      <w:r>
        <w:rPr>
          <w:spacing w:val="7"/>
        </w:rPr>
        <w:t>有关的社会动态，依法查处打击影响和干扰突</w:t>
      </w:r>
      <w:r>
        <w:rPr>
          <w:spacing w:val="7"/>
        </w:rPr>
        <w:t>发公共卫生事件处置的违法犯罪活动，维护社</w:t>
      </w:r>
      <w:r>
        <w:rPr>
          <w:spacing w:val="7"/>
        </w:rPr>
        <w:t>会稳定。依职责做好强制隔离、封闭交通、场</w:t>
      </w:r>
      <w:r>
        <w:rPr>
          <w:spacing w:val="9"/>
        </w:rPr>
        <w:t>馆等突发公共卫生事件相关应急处置工作。</w:t>
      </w:r>
    </w:p>
    <w:p>
      <w:pPr>
        <w:spacing w:line="14" w:lineRule="auto"/>
        <w:rPr>
          <w:rFonts w:ascii="Arial"/>
          <w:sz w:val="2"/>
        </w:rPr>
      </w:pPr>
      <w:r>
        <w:rPr>
          <w:rFonts w:ascii="Arial" w:hAnsi="Arial" w:eastAsia="Arial" w:cs="Arial"/>
          <w:sz w:val="2"/>
          <w:szCs w:val="2"/>
        </w:rPr>
        <w:br w:type="column"/>
      </w:r>
    </w:p>
    <w:p>
      <w:pPr>
        <w:pStyle w:val="BodyText"/>
        <w:ind w:right="36" w:firstLine="423"/>
        <w:spacing w:before="46" w:line="369" w:lineRule="auto"/>
        <w:jc w:val="both"/>
        <w:rPr/>
      </w:pPr>
      <w:r>
        <w:rPr>
          <w:spacing w:val="6"/>
        </w:rPr>
        <w:t>市民政局：组织做好受灾群众的转移安置</w:t>
      </w:r>
      <w:r>
        <w:rPr>
          <w:spacing w:val="7"/>
        </w:rPr>
        <w:t>和生活救助。组织、协调有关部门和民间组织</w:t>
      </w:r>
      <w:r>
        <w:rPr>
          <w:spacing w:val="8"/>
        </w:rPr>
        <w:t>开展社会捐助工作，接受、分配国内外企业、</w:t>
      </w:r>
      <w:r>
        <w:rPr>
          <w:spacing w:val="7"/>
        </w:rPr>
        <w:t>个人以及外国政府、境外组织捐助的资金和物</w:t>
      </w:r>
      <w:r>
        <w:rPr>
          <w:spacing w:val="7"/>
        </w:rPr>
        <w:t>资，做好款物管理和发放工作。对符合条件的</w:t>
      </w:r>
      <w:r>
        <w:rPr>
          <w:spacing w:val="7"/>
        </w:rPr>
        <w:t>受灾群众给予最低生活保障、医疗救助和临时</w:t>
      </w:r>
      <w:r>
        <w:rPr>
          <w:spacing w:val="7"/>
        </w:rPr>
        <w:t>救助。组织和动员社区（村委会）力量参与群</w:t>
      </w:r>
      <w:r>
        <w:rPr>
          <w:spacing w:val="7"/>
        </w:rPr>
        <w:t>防群治。协调做好死亡人员的火化和其他善后</w:t>
      </w:r>
      <w:r>
        <w:rPr>
          <w:spacing w:val="5"/>
        </w:rPr>
        <w:t>工作。</w:t>
      </w:r>
    </w:p>
    <w:p>
      <w:pPr>
        <w:pStyle w:val="BodyText"/>
        <w:ind w:right="59" w:firstLine="423"/>
        <w:spacing w:before="1" w:line="364" w:lineRule="auto"/>
        <w:jc w:val="both"/>
        <w:rPr/>
      </w:pPr>
      <w:r>
        <w:rPr>
          <w:spacing w:val="6"/>
        </w:rPr>
        <w:t>市财政局：保证突发公共卫生事件应急处</w:t>
      </w:r>
      <w:r>
        <w:rPr>
          <w:spacing w:val="7"/>
        </w:rPr>
        <w:t>置所需经费，并做好经费和捐赠资金使用的监</w:t>
      </w:r>
      <w:r>
        <w:rPr>
          <w:spacing w:val="7"/>
        </w:rPr>
        <w:t>督管理工作。</w:t>
      </w:r>
    </w:p>
    <w:p>
      <w:pPr>
        <w:pStyle w:val="BodyText"/>
        <w:ind w:right="59" w:firstLine="422"/>
        <w:spacing w:before="19" w:line="367" w:lineRule="auto"/>
        <w:jc w:val="both"/>
        <w:rPr/>
      </w:pPr>
      <w:r>
        <w:rPr>
          <w:spacing w:val="6"/>
        </w:rPr>
        <w:t>市人力资源社会保障局：负责制定突发公</w:t>
      </w:r>
      <w:r>
        <w:rPr>
          <w:spacing w:val="7"/>
        </w:rPr>
        <w:t>共卫生事件处置激励性政策，按照工伤保险政</w:t>
      </w:r>
      <w:r>
        <w:rPr>
          <w:spacing w:val="7"/>
        </w:rPr>
        <w:t>策的有关规定，落实参与突发公共卫生事件应</w:t>
      </w:r>
      <w:r>
        <w:rPr>
          <w:spacing w:val="8"/>
        </w:rPr>
        <w:t>急处置工作人员的工伤保险待遇。</w:t>
      </w:r>
    </w:p>
    <w:p>
      <w:pPr>
        <w:pStyle w:val="BodyText"/>
        <w:ind w:left="3" w:right="59" w:firstLine="420"/>
        <w:spacing w:before="6" w:line="352" w:lineRule="auto"/>
        <w:rPr/>
      </w:pPr>
      <w:r>
        <w:rPr>
          <w:spacing w:val="6"/>
        </w:rPr>
        <w:t>市生态环境局：负责组织环境质量监测与</w:t>
      </w:r>
      <w:r>
        <w:rPr>
          <w:spacing w:val="8"/>
        </w:rPr>
        <w:t>环境保护监督执法，维护环境安全。</w:t>
      </w:r>
    </w:p>
    <w:p>
      <w:pPr>
        <w:pStyle w:val="BodyText"/>
        <w:ind w:left="2" w:right="59" w:firstLine="420"/>
        <w:spacing w:before="40" w:line="363" w:lineRule="auto"/>
        <w:jc w:val="both"/>
        <w:rPr/>
      </w:pPr>
      <w:r>
        <w:rPr>
          <w:spacing w:val="6"/>
        </w:rPr>
        <w:t>市住房和城乡建设局：做好城市饮用水安</w:t>
      </w:r>
      <w:r>
        <w:rPr>
          <w:spacing w:val="7"/>
        </w:rPr>
        <w:t>全管理，落实建筑工地、建筑工人疾病预防控</w:t>
      </w:r>
      <w:r>
        <w:rPr>
          <w:spacing w:val="6"/>
        </w:rPr>
        <w:t>制措施。</w:t>
      </w:r>
    </w:p>
    <w:p>
      <w:pPr>
        <w:pStyle w:val="BodyText"/>
        <w:ind w:right="59" w:firstLine="423"/>
        <w:spacing w:before="20" w:line="368" w:lineRule="auto"/>
        <w:jc w:val="both"/>
        <w:rPr/>
      </w:pPr>
      <w:r>
        <w:rPr>
          <w:spacing w:val="6"/>
        </w:rPr>
        <w:t>市交通运输局、固原车务段：协助卫健部</w:t>
      </w:r>
      <w:r>
        <w:rPr>
          <w:spacing w:val="18"/>
        </w:rPr>
        <w:t>门对乘坐交通工具的人员进行检疫、查验工</w:t>
      </w:r>
      <w:r>
        <w:rPr>
          <w:spacing w:val="7"/>
        </w:rPr>
        <w:t>作，防止传染病通过交通运输环节传播。保障</w:t>
      </w:r>
      <w:r>
        <w:rPr>
          <w:spacing w:val="7"/>
        </w:rPr>
        <w:t>突发公共卫生事件处置人员以及防治药品、医</w:t>
      </w:r>
      <w:r>
        <w:rPr>
          <w:spacing w:val="18"/>
        </w:rPr>
        <w:t>疗器械等应急处置急需物资和有关标本的运</w:t>
      </w:r>
      <w:r>
        <w:rPr>
          <w:spacing w:val="7"/>
        </w:rPr>
        <w:t>送，做好疫区交通管理，协助交警部门做好疫</w:t>
      </w:r>
      <w:r>
        <w:rPr>
          <w:spacing w:val="8"/>
        </w:rPr>
        <w:t>区道路交通管理工作。</w:t>
      </w:r>
    </w:p>
    <w:p>
      <w:pPr>
        <w:pStyle w:val="BodyText"/>
        <w:ind w:right="59" w:firstLine="423"/>
        <w:spacing w:before="6" w:line="366" w:lineRule="auto"/>
        <w:jc w:val="both"/>
        <w:rPr/>
      </w:pPr>
      <w:r>
        <w:rPr>
          <w:spacing w:val="6"/>
        </w:rPr>
        <w:t>市农业农村局：负责人畜（禽）共患动物</w:t>
      </w:r>
      <w:r>
        <w:rPr>
          <w:spacing w:val="7"/>
        </w:rPr>
        <w:t>疫病防治工作，开展与人类接触密切的动物相</w:t>
      </w:r>
      <w:r>
        <w:rPr>
          <w:spacing w:val="9"/>
        </w:rPr>
        <w:t>关传染病的监测、调查和应急处置等工作。</w:t>
      </w:r>
    </w:p>
    <w:p>
      <w:pPr>
        <w:pStyle w:val="BodyText"/>
        <w:ind w:left="3" w:right="59" w:firstLine="420"/>
        <w:spacing w:before="11" w:line="293" w:lineRule="auto"/>
        <w:rPr/>
      </w:pPr>
      <w:r>
        <w:rPr>
          <w:spacing w:val="6"/>
        </w:rPr>
        <w:t>市商务投资局：负责组织生活必需品的市</w:t>
      </w:r>
      <w:r>
        <w:rPr>
          <w:spacing w:val="7"/>
        </w:rPr>
        <w:t>场供应，维护市场秩序；协助做好参加外经贸</w:t>
      </w:r>
    </w:p>
    <w:p>
      <w:pPr>
        <w:spacing w:line="293" w:lineRule="auto"/>
        <w:sectPr>
          <w:type w:val="continuous"/>
          <w:pgSz w:w="11906" w:h="16839"/>
          <w:pgMar w:top="1766" w:right="1530" w:bottom="1575" w:left="1579" w:header="1428" w:footer="1172" w:gutter="0"/>
          <w:cols w:equalWidth="0" w:num="2">
            <w:col w:w="4489" w:space="100"/>
            <w:col w:w="4207" w:space="0"/>
          </w:cols>
        </w:sectPr>
        <w:rPr/>
      </w:pPr>
    </w:p>
    <w:p>
      <w:pPr>
        <w:spacing w:before="65"/>
        <w:rPr/>
      </w:pPr>
      <w:r>
        <w:drawing>
          <wp:anchor distT="0" distB="0" distL="0" distR="0" simplePos="0" relativeHeight="253324288"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890" name="IM 1890"/>
            <wp:cNvGraphicFramePr/>
            <a:graphic>
              <a:graphicData uri="http://schemas.openxmlformats.org/drawingml/2006/picture">
                <pic:pic>
                  <pic:nvPicPr>
                    <pic:cNvPr id="1890" name="IM 1890"/>
                    <pic:cNvPicPr/>
                  </pic:nvPicPr>
                  <pic:blipFill>
                    <a:blip r:embed="rId947"/>
                    <a:stretch>
                      <a:fillRect/>
                    </a:stretch>
                  </pic:blipFill>
                  <pic:spPr>
                    <a:xfrm rot="0">
                      <a:off x="0" y="0"/>
                      <a:ext cx="5579745" cy="7620"/>
                    </a:xfrm>
                    <a:prstGeom prst="rect">
                      <a:avLst/>
                    </a:prstGeom>
                  </pic:spPr>
                </pic:pic>
              </a:graphicData>
            </a:graphic>
          </wp:anchor>
        </w:drawing>
      </w:r>
      <w:r/>
    </w:p>
    <w:p>
      <w:pPr>
        <w:sectPr>
          <w:headerReference w:type="default" r:id="rId816"/>
          <w:footerReference w:type="default" r:id="rId946"/>
          <w:pgSz w:w="11906" w:h="16839"/>
          <w:pgMar w:top="1772" w:right="1489" w:bottom="1562" w:left="1567" w:header="1428" w:footer="1172" w:gutter="0"/>
          <w:cols w:equalWidth="0" w:num="1">
            <w:col w:w="8850" w:space="0"/>
          </w:cols>
        </w:sectPr>
        <w:rPr/>
      </w:pPr>
    </w:p>
    <w:p>
      <w:pPr>
        <w:pStyle w:val="BodyText"/>
        <w:ind w:left="24" w:right="328" w:firstLine="6"/>
        <w:spacing w:before="46" w:line="369" w:lineRule="auto"/>
        <w:jc w:val="both"/>
        <w:rPr/>
      </w:pPr>
      <w:r>
        <w:rPr>
          <w:spacing w:val="7"/>
        </w:rPr>
        <w:t>活动人员的宣传、登记、观察工作，防止突发</w:t>
      </w:r>
      <w:r>
        <w:rPr>
          <w:spacing w:val="18"/>
        </w:rPr>
        <w:t>公共卫生事件通过外经贸活动的跨地区传播</w:t>
      </w:r>
      <w:r>
        <w:rPr>
          <w:spacing w:val="5"/>
        </w:rPr>
        <w:t>扩散。</w:t>
      </w:r>
    </w:p>
    <w:p>
      <w:pPr>
        <w:pStyle w:val="BodyText"/>
        <w:ind w:left="24" w:right="328" w:firstLine="423"/>
        <w:spacing w:before="5" w:line="374" w:lineRule="auto"/>
        <w:jc w:val="both"/>
        <w:rPr/>
      </w:pPr>
      <w:r>
        <w:rPr>
          <w:spacing w:val="8"/>
        </w:rPr>
        <w:t>市卫生健康委员会（爱卫办</w:t>
      </w:r>
      <w:r>
        <w:rPr>
          <w:spacing w:val="-3"/>
        </w:rPr>
        <w:t>）：</w:t>
      </w:r>
      <w:r>
        <w:rPr>
          <w:spacing w:val="8"/>
        </w:rPr>
        <w:t>组织制订</w:t>
      </w:r>
      <w:r>
        <w:rPr>
          <w:spacing w:val="7"/>
        </w:rPr>
        <w:t>突发公共卫生事件防控技术方案；统一组织实</w:t>
      </w:r>
      <w:r>
        <w:rPr>
          <w:spacing w:val="7"/>
        </w:rPr>
        <w:t>施应急医疗救治工作和各项预防控制措施；提</w:t>
      </w:r>
      <w:r>
        <w:rPr>
          <w:spacing w:val="7"/>
        </w:rPr>
        <w:t>出启动和终止应急响应的建议；根据预防控制</w:t>
      </w:r>
      <w:r>
        <w:rPr>
          <w:spacing w:val="7"/>
        </w:rPr>
        <w:t>工作需要，依法提出隔离、封锁有关地区；开</w:t>
      </w:r>
      <w:r>
        <w:rPr>
          <w:spacing w:val="7"/>
        </w:rPr>
        <w:t>展群众心理危机干预；会同宣传部门依法及时</w:t>
      </w:r>
      <w:r>
        <w:rPr>
          <w:spacing w:val="7"/>
        </w:rPr>
        <w:t>发布突发公共卫生事件相关信息；组织全社会</w:t>
      </w:r>
      <w:r>
        <w:rPr>
          <w:spacing w:val="8"/>
        </w:rPr>
        <w:t>开展爱国卫生运动。</w:t>
      </w:r>
    </w:p>
    <w:p>
      <w:pPr>
        <w:pStyle w:val="BodyText"/>
        <w:ind w:left="25" w:right="328" w:firstLine="422"/>
        <w:spacing w:before="2" w:line="370" w:lineRule="auto"/>
        <w:jc w:val="both"/>
        <w:rPr/>
      </w:pPr>
      <w:r>
        <w:rPr>
          <w:spacing w:val="6"/>
        </w:rPr>
        <w:t>市监察委员会：对各级政府及其工作人员</w:t>
      </w:r>
      <w:r>
        <w:rPr>
          <w:spacing w:val="7"/>
        </w:rPr>
        <w:t>在突发公共卫生事件处理过程中的渎职、失职</w:t>
      </w:r>
      <w:r>
        <w:rPr>
          <w:spacing w:val="7"/>
        </w:rPr>
        <w:t>行为进行查处。</w:t>
      </w:r>
    </w:p>
    <w:p>
      <w:pPr>
        <w:pStyle w:val="BodyText"/>
        <w:ind w:left="24" w:right="328" w:firstLine="423"/>
        <w:spacing w:before="16" w:line="374" w:lineRule="auto"/>
        <w:jc w:val="both"/>
        <w:rPr/>
      </w:pPr>
      <w:r>
        <w:rPr>
          <w:spacing w:val="6"/>
        </w:rPr>
        <w:t>市外事办：负责突发公共卫生事件应急处</w:t>
      </w:r>
      <w:r>
        <w:rPr>
          <w:spacing w:val="7"/>
        </w:rPr>
        <w:t>置的涉外事务，协助做好向相关国际组织及有</w:t>
      </w:r>
      <w:r>
        <w:rPr>
          <w:spacing w:val="18"/>
        </w:rPr>
        <w:t>关国家通报应急处置情况、接待国际组织考</w:t>
      </w:r>
      <w:r>
        <w:rPr>
          <w:spacing w:val="9"/>
        </w:rPr>
        <w:t>察、争取国际援助等方面工作。</w:t>
      </w:r>
    </w:p>
    <w:p>
      <w:pPr>
        <w:pStyle w:val="BodyText"/>
        <w:ind w:left="25" w:right="321" w:firstLine="422"/>
        <w:spacing w:before="4" w:line="372" w:lineRule="auto"/>
        <w:jc w:val="both"/>
        <w:rPr/>
      </w:pPr>
      <w:r>
        <w:rPr>
          <w:spacing w:val="6"/>
        </w:rPr>
        <w:t>市市场监管局：负责与突发公共卫生事件</w:t>
      </w:r>
      <w:r>
        <w:rPr>
          <w:spacing w:val="7"/>
        </w:rPr>
        <w:t>相关产品的市场监管工作，维护市场秩序。根</w:t>
      </w:r>
      <w:r>
        <w:rPr>
          <w:spacing w:val="7"/>
        </w:rPr>
        <w:t>据需要，对导致突发公共卫生事件发生的经营</w:t>
      </w:r>
      <w:r>
        <w:rPr>
          <w:spacing w:val="7"/>
        </w:rPr>
        <w:t>行为采取临时管理措施。负责做好突发公共卫</w:t>
      </w:r>
      <w:r>
        <w:rPr>
          <w:spacing w:val="7"/>
        </w:rPr>
        <w:t>生事件处置相关物资质量监督，确保应急物资</w:t>
      </w:r>
      <w:r>
        <w:rPr>
          <w:spacing w:val="7"/>
        </w:rPr>
        <w:t>的产品质量。做好突发公共卫生事件应急处置</w:t>
      </w:r>
      <w:r>
        <w:rPr>
          <w:spacing w:val="7"/>
        </w:rPr>
        <w:t>药品、医疗器械质量安全的监督和管理工作，</w:t>
      </w:r>
      <w:r>
        <w:rPr>
          <w:spacing w:val="7"/>
        </w:rPr>
        <w:t>维持药品和医疗器械市场流通秩序，负责食品</w:t>
      </w:r>
      <w:r>
        <w:rPr>
          <w:spacing w:val="8"/>
        </w:rPr>
        <w:t>安全事故调查、处理工作。</w:t>
      </w:r>
    </w:p>
    <w:p>
      <w:pPr>
        <w:pStyle w:val="BodyText"/>
        <w:ind w:left="25" w:right="319" w:firstLine="422"/>
        <w:spacing w:before="30" w:line="372" w:lineRule="auto"/>
        <w:jc w:val="both"/>
        <w:rPr/>
      </w:pPr>
      <w:r>
        <w:rPr>
          <w:spacing w:val="6"/>
        </w:rPr>
        <w:t>市应急管理局：组织查处急性职业中毒导</w:t>
      </w:r>
      <w:r>
        <w:rPr>
          <w:spacing w:val="7"/>
        </w:rPr>
        <w:t>致的重大生产安全事故及有关违法违规行为；</w:t>
      </w:r>
      <w:r>
        <w:rPr>
          <w:spacing w:val="18"/>
        </w:rPr>
        <w:t>协助做好急性职业中毒事件的应急救援和信</w:t>
      </w:r>
      <w:r>
        <w:rPr>
          <w:spacing w:val="7"/>
        </w:rPr>
        <w:t>息通报工作。</w:t>
      </w:r>
    </w:p>
    <w:p>
      <w:pPr>
        <w:pStyle w:val="BodyText"/>
        <w:ind w:left="447"/>
        <w:spacing w:before="9" w:line="221" w:lineRule="auto"/>
        <w:rPr/>
      </w:pPr>
      <w:r>
        <w:rPr>
          <w:spacing w:val="6"/>
        </w:rPr>
        <w:t>市自然资源局：组织开展野生动物相关传</w:t>
      </w:r>
    </w:p>
    <w:p>
      <w:pPr>
        <w:spacing w:line="14" w:lineRule="auto"/>
        <w:rPr>
          <w:rFonts w:ascii="Arial"/>
          <w:sz w:val="2"/>
        </w:rPr>
      </w:pPr>
      <w:r>
        <w:rPr>
          <w:rFonts w:ascii="Arial" w:hAnsi="Arial" w:eastAsia="Arial" w:cs="Arial"/>
          <w:sz w:val="2"/>
          <w:szCs w:val="2"/>
        </w:rPr>
        <w:br w:type="column"/>
      </w:r>
    </w:p>
    <w:p>
      <w:pPr>
        <w:pStyle w:val="BodyText"/>
        <w:ind w:left="2" w:right="101" w:hanging="1"/>
        <w:spacing w:before="50" w:line="373" w:lineRule="auto"/>
        <w:jc w:val="both"/>
        <w:rPr/>
      </w:pPr>
      <w:r>
        <w:rPr>
          <w:spacing w:val="7"/>
        </w:rPr>
        <w:t>染病的监测、基础调查和样品采集及保存；在</w:t>
      </w:r>
      <w:r>
        <w:rPr>
          <w:spacing w:val="7"/>
        </w:rPr>
        <w:t>突发公共卫生事件发生期间，组织快速隔离控</w:t>
      </w:r>
      <w:r>
        <w:rPr>
          <w:spacing w:val="7"/>
        </w:rPr>
        <w:t>制、病样采集，组织专家分析和提出有关野生</w:t>
      </w:r>
      <w:r>
        <w:rPr>
          <w:spacing w:val="8"/>
        </w:rPr>
        <w:t>动物活动范围和趋势等预警信息。</w:t>
      </w:r>
    </w:p>
    <w:p>
      <w:pPr>
        <w:pStyle w:val="BodyText"/>
        <w:ind w:right="101" w:firstLine="423"/>
        <w:spacing w:before="2" w:line="375" w:lineRule="auto"/>
        <w:jc w:val="both"/>
        <w:rPr/>
      </w:pPr>
      <w:r>
        <w:rPr>
          <w:spacing w:val="6"/>
        </w:rPr>
        <w:t>市文化旅游广电局：依法、依规做好突发</w:t>
      </w:r>
      <w:r>
        <w:rPr>
          <w:spacing w:val="7"/>
        </w:rPr>
        <w:t>公共卫生事件信息发布和宣传报道工作，积极</w:t>
      </w:r>
      <w:r>
        <w:rPr>
          <w:spacing w:val="18"/>
        </w:rPr>
        <w:t>开展突发公共卫生事件相关科学知识宣传和</w:t>
      </w:r>
      <w:r>
        <w:rPr>
          <w:spacing w:val="7"/>
        </w:rPr>
        <w:t>普及工作。组织旅游行业认真做好突发公共卫</w:t>
      </w:r>
      <w:r>
        <w:rPr>
          <w:spacing w:val="7"/>
        </w:rPr>
        <w:t>生事件的预防和应急处置工作，防止传染病疫</w:t>
      </w:r>
      <w:r>
        <w:rPr>
          <w:spacing w:val="7"/>
        </w:rPr>
        <w:t>情通过旅游团队跨地区传播；在突发公共卫生</w:t>
      </w:r>
      <w:r>
        <w:rPr>
          <w:spacing w:val="7"/>
        </w:rPr>
        <w:t>事件应急处置期间，指导督促做好旅游团队及</w:t>
      </w:r>
      <w:r>
        <w:rPr>
          <w:spacing w:val="7"/>
        </w:rPr>
        <w:t>人员的宣传、登记、观察工作；及时接收、发</w:t>
      </w:r>
      <w:r>
        <w:rPr>
          <w:spacing w:val="7"/>
        </w:rPr>
        <w:t>布国家文化旅游部、卫健部门的警示信息，有</w:t>
      </w:r>
      <w:r>
        <w:rPr>
          <w:spacing w:val="8"/>
        </w:rPr>
        <w:t>针对性的做好有关工作。</w:t>
      </w:r>
    </w:p>
    <w:p>
      <w:pPr>
        <w:pStyle w:val="BodyText"/>
        <w:ind w:left="3" w:right="101" w:firstLine="418"/>
        <w:spacing w:line="356" w:lineRule="auto"/>
        <w:rPr/>
      </w:pPr>
      <w:r>
        <w:rPr>
          <w:spacing w:val="7"/>
        </w:rPr>
        <w:t>其他非政府职能部门（单位）按照职责分</w:t>
      </w:r>
      <w:r>
        <w:rPr>
          <w:spacing w:val="-5"/>
        </w:rPr>
        <w:t>工和指挥部的部署，承担相应的应急救援任务。</w:t>
      </w:r>
    </w:p>
    <w:p>
      <w:pPr>
        <w:pStyle w:val="BodyText"/>
        <w:ind w:left="4" w:right="101" w:firstLine="419"/>
        <w:spacing w:before="45" w:line="375" w:lineRule="auto"/>
        <w:rPr/>
      </w:pPr>
      <w:r>
        <w:rPr>
          <w:spacing w:val="19"/>
        </w:rPr>
        <w:t>根据需要可对固原市应急指挥部的指挥</w:t>
      </w:r>
      <w:r>
        <w:rPr>
          <w:spacing w:val="8"/>
        </w:rPr>
        <w:t>长、副指挥长及成员单位进行调整。</w:t>
      </w:r>
    </w:p>
    <w:p>
      <w:pPr>
        <w:pStyle w:val="BodyText"/>
        <w:ind w:left="2" w:right="101" w:firstLine="420"/>
        <w:spacing w:before="2" w:line="374" w:lineRule="auto"/>
        <w:rPr/>
      </w:pPr>
      <w:r>
        <w:rPr>
          <w:rFonts w:ascii="Times New Roman" w:hAnsi="Times New Roman" w:eastAsia="Times New Roman" w:cs="Times New Roman"/>
          <w:spacing w:val="12"/>
        </w:rPr>
        <w:t>2.2.2</w:t>
      </w:r>
      <w:r>
        <w:rPr>
          <w:rFonts w:ascii="Times New Roman" w:hAnsi="Times New Roman" w:eastAsia="Times New Roman" w:cs="Times New Roman"/>
          <w:spacing w:val="34"/>
        </w:rPr>
        <w:t xml:space="preserve"> </w:t>
      </w:r>
      <w:r>
        <w:rPr>
          <w:spacing w:val="12"/>
        </w:rPr>
        <w:t>固原市突发公共卫生事件应急指挥</w:t>
      </w:r>
      <w:r>
        <w:rPr>
          <w:spacing w:val="8"/>
        </w:rPr>
        <w:t>部工作组</w:t>
      </w:r>
    </w:p>
    <w:p>
      <w:pPr>
        <w:pStyle w:val="BodyText"/>
        <w:ind w:right="78" w:firstLine="423"/>
        <w:spacing w:before="2" w:line="373" w:lineRule="auto"/>
        <w:jc w:val="both"/>
        <w:rPr/>
      </w:pPr>
      <w:r>
        <w:rPr>
          <w:spacing w:val="6"/>
        </w:rPr>
        <w:t>根据应急处置的实际需要，固原市应急指</w:t>
      </w:r>
      <w:r>
        <w:rPr>
          <w:spacing w:val="8"/>
        </w:rPr>
        <w:t>挥部可成立综合协调、医疗防控、后勤保障、</w:t>
      </w:r>
      <w:r>
        <w:rPr>
          <w:spacing w:val="7"/>
        </w:rPr>
        <w:t>交通保障、治安保障、人员安置、新闻宣传等</w:t>
      </w:r>
      <w:r>
        <w:rPr>
          <w:spacing w:val="7"/>
        </w:rPr>
        <w:t>若干工作组。</w:t>
      </w:r>
    </w:p>
    <w:p>
      <w:pPr>
        <w:pStyle w:val="BodyText"/>
        <w:ind w:left="3" w:right="81" w:firstLine="419"/>
        <w:spacing w:before="3" w:line="353" w:lineRule="auto"/>
        <w:jc w:val="both"/>
        <w:rPr/>
      </w:pPr>
      <w:r>
        <w:rPr>
          <w:rFonts w:ascii="Times New Roman" w:hAnsi="Times New Roman" w:eastAsia="Times New Roman" w:cs="Times New Roman"/>
          <w:spacing w:val="7"/>
        </w:rPr>
        <w:t>2.3</w:t>
      </w:r>
      <w:r>
        <w:rPr>
          <w:rFonts w:ascii="Times New Roman" w:hAnsi="Times New Roman" w:eastAsia="Times New Roman" w:cs="Times New Roman"/>
          <w:spacing w:val="20"/>
          <w:w w:val="101"/>
        </w:rPr>
        <w:t xml:space="preserve">  </w:t>
      </w:r>
      <w:r>
        <w:rPr>
          <w:rFonts w:ascii="KaiTi" w:hAnsi="KaiTi" w:eastAsia="KaiTi" w:cs="KaiTi"/>
          <w:spacing w:val="7"/>
        </w:rPr>
        <w:t>固原市突发公共卫生事件应急指挥部</w:t>
      </w:r>
      <w:r>
        <w:rPr>
          <w:rFonts w:ascii="KaiTi" w:hAnsi="KaiTi" w:eastAsia="KaiTi" w:cs="KaiTi"/>
          <w:spacing w:val="7"/>
        </w:rPr>
        <w:t>办公室。</w:t>
      </w:r>
      <w:r>
        <w:rPr>
          <w:spacing w:val="7"/>
        </w:rPr>
        <w:t>固原市突发公共卫生事件应急指挥部</w:t>
      </w:r>
      <w:r>
        <w:rPr>
          <w:spacing w:val="7"/>
        </w:rPr>
        <w:t>办公室（突发公共卫生事件应急指挥中心）是</w:t>
      </w:r>
      <w:r>
        <w:rPr>
          <w:spacing w:val="18"/>
        </w:rPr>
        <w:t>市突发公共卫生事件应急指挥部的日常工作</w:t>
      </w:r>
      <w:r>
        <w:rPr>
          <w:spacing w:val="7"/>
        </w:rPr>
        <w:t>机构，设在市卫生健康委员会。办公室主任由</w:t>
      </w:r>
      <w:r>
        <w:rPr>
          <w:spacing w:val="7"/>
        </w:rPr>
        <w:t>固原市卫生健康委员会主任兼任，办公室副主</w:t>
      </w:r>
      <w:r>
        <w:rPr>
          <w:spacing w:val="8"/>
        </w:rPr>
        <w:t>任由固原市卫生健康委员会分管副主任兼任。</w:t>
      </w:r>
      <w:r>
        <w:rPr>
          <w:spacing w:val="5"/>
        </w:rPr>
        <w:t>办公室应急电话为</w:t>
      </w:r>
      <w:r>
        <w:rPr>
          <w:spacing w:val="-22"/>
        </w:rPr>
        <w:t xml:space="preserve"> </w:t>
      </w:r>
      <w:r>
        <w:rPr>
          <w:rFonts w:ascii="Times New Roman" w:hAnsi="Times New Roman" w:eastAsia="Times New Roman" w:cs="Times New Roman"/>
          <w:spacing w:val="5"/>
        </w:rPr>
        <w:t>0954-2088114</w:t>
      </w:r>
      <w:r>
        <w:rPr>
          <w:spacing w:val="5"/>
        </w:rPr>
        <w:t>。</w:t>
      </w:r>
    </w:p>
    <w:p>
      <w:pPr>
        <w:spacing w:line="353" w:lineRule="auto"/>
        <w:sectPr>
          <w:type w:val="continuous"/>
          <w:pgSz w:w="11906" w:h="16839"/>
          <w:pgMar w:top="1772" w:right="1489" w:bottom="1562" w:left="1567" w:header="1428" w:footer="1172" w:gutter="0"/>
          <w:cols w:equalWidth="0" w:num="2">
            <w:col w:w="4501" w:space="100"/>
            <w:col w:w="4250" w:space="0"/>
          </w:cols>
        </w:sectPr>
        <w:rPr/>
      </w:pPr>
    </w:p>
    <w:p>
      <w:pPr>
        <w:spacing w:line="136" w:lineRule="exact"/>
        <w:rPr/>
      </w:pPr>
      <w:r>
        <w:drawing>
          <wp:anchor distT="0" distB="0" distL="0" distR="0" simplePos="0" relativeHeight="253335552"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894" name="IM 1894"/>
            <wp:cNvGraphicFramePr/>
            <a:graphic>
              <a:graphicData uri="http://schemas.openxmlformats.org/drawingml/2006/picture">
                <pic:pic>
                  <pic:nvPicPr>
                    <pic:cNvPr id="1894" name="IM 1894"/>
                    <pic:cNvPicPr/>
                  </pic:nvPicPr>
                  <pic:blipFill>
                    <a:blip r:embed="rId949"/>
                    <a:stretch>
                      <a:fillRect/>
                    </a:stretch>
                  </pic:blipFill>
                  <pic:spPr>
                    <a:xfrm rot="0">
                      <a:off x="0" y="0"/>
                      <a:ext cx="5579745" cy="7620"/>
                    </a:xfrm>
                    <a:prstGeom prst="rect">
                      <a:avLst/>
                    </a:prstGeom>
                  </pic:spPr>
                </pic:pic>
              </a:graphicData>
            </a:graphic>
          </wp:anchor>
        </w:drawing>
      </w:r>
      <w:r/>
    </w:p>
    <w:p>
      <w:pPr>
        <w:spacing w:line="136" w:lineRule="exact"/>
        <w:sectPr>
          <w:headerReference w:type="default" r:id="rId549"/>
          <w:footerReference w:type="default" r:id="rId948"/>
          <w:pgSz w:w="11906" w:h="16839"/>
          <w:pgMar w:top="1766" w:right="1530" w:bottom="1575" w:left="1579" w:header="1428" w:footer="1172" w:gutter="0"/>
          <w:cols w:equalWidth="0" w:num="1">
            <w:col w:w="8796" w:space="0"/>
          </w:cols>
        </w:sectPr>
        <w:rPr/>
      </w:pPr>
    </w:p>
    <w:p>
      <w:pPr>
        <w:pStyle w:val="BodyText"/>
        <w:ind w:left="11" w:right="329" w:firstLine="429"/>
        <w:spacing w:before="52" w:line="367" w:lineRule="auto"/>
        <w:jc w:val="both"/>
        <w:rPr/>
      </w:pPr>
      <w:r>
        <w:rPr>
          <w:spacing w:val="6"/>
        </w:rPr>
        <w:t>主要职责：负责本行政区域突发公共卫生</w:t>
      </w:r>
      <w:r>
        <w:rPr>
          <w:spacing w:val="7"/>
        </w:rPr>
        <w:t>事件应急日常管理工作。依法组织协调突发公</w:t>
      </w:r>
      <w:r>
        <w:rPr>
          <w:spacing w:val="7"/>
        </w:rPr>
        <w:t>共卫生事件应急处置相关工作；负责固原市突</w:t>
      </w:r>
      <w:r>
        <w:rPr>
          <w:spacing w:val="7"/>
        </w:rPr>
        <w:t>发公共卫生事件应急处置相关法规、规章和有</w:t>
      </w:r>
      <w:r>
        <w:rPr>
          <w:spacing w:val="7"/>
        </w:rPr>
        <w:t>关文件的起草；组织建立和完善突发公共卫生</w:t>
      </w:r>
      <w:r>
        <w:rPr>
          <w:spacing w:val="7"/>
        </w:rPr>
        <w:t>事件监测和预警系统；制（修）订突发公共卫</w:t>
      </w:r>
      <w:r>
        <w:rPr>
          <w:spacing w:val="7"/>
        </w:rPr>
        <w:t>生事件应急预案，组织预案演练；组织对医疗</w:t>
      </w:r>
      <w:r>
        <w:rPr>
          <w:spacing w:val="18"/>
        </w:rPr>
        <w:t>卫生专业技术人员进行卫生应急知识和处置</w:t>
      </w:r>
      <w:r>
        <w:rPr>
          <w:spacing w:val="7"/>
        </w:rPr>
        <w:t>技术培训，对突发公共卫生事件应急工作进行</w:t>
      </w:r>
      <w:r>
        <w:rPr>
          <w:spacing w:val="7"/>
        </w:rPr>
        <w:t>督导；承办救灾、反恐、中毒、放射事故等重</w:t>
      </w:r>
      <w:r>
        <w:rPr>
          <w:spacing w:val="18"/>
        </w:rPr>
        <w:t>大安全事件中涉及公共卫生问题的组织协调</w:t>
      </w:r>
      <w:r>
        <w:rPr>
          <w:spacing w:val="5"/>
        </w:rPr>
        <w:t>工作。</w:t>
      </w:r>
    </w:p>
    <w:p>
      <w:pPr>
        <w:pStyle w:val="BodyText"/>
        <w:ind w:left="12" w:right="246" w:firstLine="421"/>
        <w:spacing w:before="4" w:line="331" w:lineRule="auto"/>
        <w:rPr/>
      </w:pPr>
      <w:r>
        <w:rPr>
          <w:rFonts w:ascii="Times New Roman" w:hAnsi="Times New Roman" w:eastAsia="Times New Roman" w:cs="Times New Roman"/>
          <w:spacing w:val="2"/>
        </w:rPr>
        <w:t>2.4  </w:t>
      </w:r>
      <w:r>
        <w:rPr>
          <w:rFonts w:ascii="KaiTi" w:hAnsi="KaiTi" w:eastAsia="KaiTi" w:cs="KaiTi"/>
          <w:spacing w:val="2"/>
        </w:rPr>
        <w:t>县（</w:t>
      </w:r>
      <w:r>
        <w:rPr>
          <w:rFonts w:ascii="KaiTi" w:hAnsi="KaiTi" w:eastAsia="KaiTi" w:cs="KaiTi"/>
          <w:spacing w:val="-27"/>
        </w:rPr>
        <w:t xml:space="preserve"> </w:t>
      </w:r>
      <w:r>
        <w:rPr>
          <w:rFonts w:ascii="KaiTi" w:hAnsi="KaiTi" w:eastAsia="KaiTi" w:cs="KaiTi"/>
          <w:spacing w:val="2"/>
        </w:rPr>
        <w:t>区</w:t>
      </w:r>
      <w:r>
        <w:rPr>
          <w:rFonts w:ascii="KaiTi" w:hAnsi="KaiTi" w:eastAsia="KaiTi" w:cs="KaiTi"/>
          <w:spacing w:val="-41"/>
        </w:rPr>
        <w:t xml:space="preserve"> </w:t>
      </w:r>
      <w:r>
        <w:rPr>
          <w:rFonts w:ascii="KaiTi" w:hAnsi="KaiTi" w:eastAsia="KaiTi" w:cs="KaiTi"/>
          <w:spacing w:val="2"/>
        </w:rPr>
        <w:t>）突发公共卫生事件应急指挥</w:t>
      </w:r>
      <w:r>
        <w:rPr>
          <w:rFonts w:ascii="KaiTi" w:hAnsi="KaiTi" w:eastAsia="KaiTi" w:cs="KaiTi"/>
          <w:spacing w:val="4"/>
        </w:rPr>
        <w:t>机构。</w:t>
      </w:r>
      <w:r>
        <w:rPr>
          <w:spacing w:val="4"/>
        </w:rPr>
        <w:t>县（</w:t>
      </w:r>
      <w:r>
        <w:rPr>
          <w:spacing w:val="-35"/>
        </w:rPr>
        <w:t xml:space="preserve"> </w:t>
      </w:r>
      <w:r>
        <w:rPr>
          <w:spacing w:val="4"/>
        </w:rPr>
        <w:t>区）政府按照突发公共卫生事件分</w:t>
      </w:r>
      <w:r>
        <w:rPr>
          <w:spacing w:val="7"/>
        </w:rPr>
        <w:t>级标准，参考本预案，建立健全突发公共卫生</w:t>
      </w:r>
      <w:r>
        <w:rPr>
          <w:spacing w:val="-8"/>
        </w:rPr>
        <w:t>事件应急指挥部，组织做好先期处置和应对工作。</w:t>
      </w:r>
    </w:p>
    <w:p>
      <w:pPr>
        <w:pStyle w:val="BodyText"/>
        <w:ind w:left="13" w:right="329" w:firstLine="420"/>
        <w:spacing w:before="153" w:line="331" w:lineRule="auto"/>
        <w:rPr/>
      </w:pPr>
      <w:r>
        <w:rPr>
          <w:rFonts w:ascii="Times New Roman" w:hAnsi="Times New Roman" w:eastAsia="Times New Roman" w:cs="Times New Roman"/>
          <w:spacing w:val="8"/>
        </w:rPr>
        <w:t>2.5  </w:t>
      </w:r>
      <w:r>
        <w:rPr>
          <w:rFonts w:ascii="KaiTi" w:hAnsi="KaiTi" w:eastAsia="KaiTi" w:cs="KaiTi"/>
          <w:spacing w:val="8"/>
        </w:rPr>
        <w:t>专家组。</w:t>
      </w:r>
      <w:r>
        <w:rPr>
          <w:spacing w:val="8"/>
        </w:rPr>
        <w:t>固原市突发公共卫生事件应</w:t>
      </w:r>
      <w:r>
        <w:rPr>
          <w:spacing w:val="18"/>
        </w:rPr>
        <w:t>急指挥部办公室组建突发公共卫生事件应急</w:t>
      </w:r>
      <w:r>
        <w:rPr>
          <w:spacing w:val="8"/>
        </w:rPr>
        <w:t>处置专家组，主要职责是：</w:t>
      </w:r>
    </w:p>
    <w:p>
      <w:pPr>
        <w:pStyle w:val="BodyText"/>
        <w:ind w:left="11" w:right="332" w:firstLine="413"/>
        <w:spacing w:before="119" w:line="298"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）对突发公共卫生事件相应的级别以</w:t>
      </w:r>
      <w:r>
        <w:rPr>
          <w:spacing w:val="8"/>
        </w:rPr>
        <w:t>及采取的重要措施提出建议；</w:t>
      </w:r>
    </w:p>
    <w:p>
      <w:pPr>
        <w:pStyle w:val="BodyText"/>
        <w:ind w:left="19" w:right="332" w:firstLine="405"/>
        <w:spacing w:before="150" w:line="298"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）对突发公共卫生事件应急准备提出</w:t>
      </w:r>
      <w:r>
        <w:rPr>
          <w:spacing w:val="5"/>
        </w:rPr>
        <w:t>咨询建议；</w:t>
      </w:r>
    </w:p>
    <w:p>
      <w:pPr>
        <w:pStyle w:val="BodyText"/>
        <w:ind w:left="12" w:right="332" w:firstLine="412"/>
        <w:spacing w:before="150" w:line="298"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）参与制订、修订突发公共卫生事件</w:t>
      </w:r>
      <w:r>
        <w:rPr>
          <w:spacing w:val="8"/>
        </w:rPr>
        <w:t>应急预案和技术方案；</w:t>
      </w:r>
    </w:p>
    <w:p>
      <w:pPr>
        <w:pStyle w:val="BodyText"/>
        <w:ind w:left="13" w:right="332" w:firstLine="411"/>
        <w:spacing w:before="151" w:line="298"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）对突发公共卫生事件应急处置进行</w:t>
      </w:r>
      <w:r>
        <w:rPr>
          <w:spacing w:val="6"/>
        </w:rPr>
        <w:t>技术指导；</w:t>
      </w:r>
    </w:p>
    <w:p>
      <w:pPr>
        <w:pStyle w:val="BodyText"/>
        <w:ind w:left="14" w:right="332" w:firstLine="409"/>
        <w:spacing w:before="149" w:line="297" w:lineRule="auto"/>
        <w:rPr/>
      </w:pPr>
      <w:r>
        <w:rPr>
          <w:spacing w:val="8"/>
        </w:rPr>
        <w:t>（</w:t>
      </w:r>
      <w:r>
        <w:rPr>
          <w:spacing w:val="-45"/>
        </w:rPr>
        <w:t xml:space="preserve"> </w:t>
      </w:r>
      <w:r>
        <w:rPr>
          <w:rFonts w:ascii="Times New Roman" w:hAnsi="Times New Roman" w:eastAsia="Times New Roman" w:cs="Times New Roman"/>
          <w:spacing w:val="8"/>
        </w:rPr>
        <w:t>5</w:t>
      </w:r>
      <w:r>
        <w:rPr>
          <w:rFonts w:ascii="Times New Roman" w:hAnsi="Times New Roman" w:eastAsia="Times New Roman" w:cs="Times New Roman"/>
          <w:spacing w:val="-19"/>
        </w:rPr>
        <w:t xml:space="preserve"> </w:t>
      </w:r>
      <w:r>
        <w:rPr>
          <w:spacing w:val="8"/>
        </w:rPr>
        <w:t>）对突发公共卫生事件应急反应的终</w:t>
      </w:r>
      <w:r>
        <w:rPr>
          <w:spacing w:val="8"/>
        </w:rPr>
        <w:t>止、后期评估提出咨询意见；</w:t>
      </w:r>
    </w:p>
    <w:p>
      <w:pPr>
        <w:pStyle w:val="BodyText"/>
        <w:ind w:left="14" w:right="332" w:firstLine="409"/>
        <w:spacing w:before="152" w:line="296" w:lineRule="auto"/>
        <w:rPr/>
      </w:pPr>
      <w:r>
        <w:rPr>
          <w:spacing w:val="11"/>
        </w:rPr>
        <w:t>（</w:t>
      </w:r>
      <w:r>
        <w:rPr>
          <w:rFonts w:ascii="Times New Roman" w:hAnsi="Times New Roman" w:eastAsia="Times New Roman" w:cs="Times New Roman"/>
          <w:spacing w:val="11"/>
        </w:rPr>
        <w:t>6</w:t>
      </w:r>
      <w:r>
        <w:rPr>
          <w:rFonts w:ascii="Times New Roman" w:hAnsi="Times New Roman" w:eastAsia="Times New Roman" w:cs="Times New Roman"/>
          <w:spacing w:val="-18"/>
        </w:rPr>
        <w:t xml:space="preserve"> </w:t>
      </w:r>
      <w:r>
        <w:rPr>
          <w:spacing w:val="11"/>
        </w:rPr>
        <w:t>）承担突发公共卫生事件应急指挥机</w:t>
      </w:r>
      <w:r>
        <w:rPr>
          <w:spacing w:val="8"/>
        </w:rPr>
        <w:t>构和日常管理机构交办的其他工作。</w:t>
      </w:r>
    </w:p>
    <w:p>
      <w:pPr>
        <w:pStyle w:val="BodyText"/>
        <w:ind w:left="13" w:right="322" w:firstLine="420"/>
        <w:spacing w:before="155" w:line="295" w:lineRule="auto"/>
        <w:rPr/>
      </w:pPr>
      <w:r>
        <w:rPr>
          <w:spacing w:val="4"/>
        </w:rPr>
        <w:t>各县（</w:t>
      </w:r>
      <w:r>
        <w:rPr>
          <w:spacing w:val="-41"/>
        </w:rPr>
        <w:t xml:space="preserve"> </w:t>
      </w:r>
      <w:r>
        <w:rPr>
          <w:spacing w:val="4"/>
        </w:rPr>
        <w:t>区）卫生健康行政部门根据需要，</w:t>
      </w:r>
      <w:r>
        <w:rPr>
          <w:spacing w:val="18"/>
        </w:rPr>
        <w:t>组建本行政区域的突发公共卫生事件应急处</w:t>
      </w:r>
    </w:p>
    <w:p>
      <w:pPr>
        <w:spacing w:line="14" w:lineRule="auto"/>
        <w:rPr>
          <w:rFonts w:ascii="Arial"/>
          <w:sz w:val="2"/>
        </w:rPr>
      </w:pPr>
      <w:r>
        <w:rPr>
          <w:rFonts w:ascii="Arial" w:hAnsi="Arial" w:eastAsia="Arial" w:cs="Arial"/>
          <w:sz w:val="2"/>
          <w:szCs w:val="2"/>
        </w:rPr>
        <w:br w:type="column"/>
      </w:r>
    </w:p>
    <w:p>
      <w:pPr>
        <w:pStyle w:val="BodyText"/>
        <w:ind w:left="3"/>
        <w:spacing w:before="50" w:line="222" w:lineRule="auto"/>
        <w:rPr/>
      </w:pPr>
      <w:r>
        <w:rPr>
          <w:spacing w:val="8"/>
        </w:rPr>
        <w:t>理专家咨询委员会。</w:t>
      </w:r>
    </w:p>
    <w:p>
      <w:pPr>
        <w:pStyle w:val="BodyText"/>
        <w:ind w:right="52" w:firstLine="421"/>
        <w:spacing w:before="151" w:line="367" w:lineRule="auto"/>
        <w:jc w:val="both"/>
        <w:rPr/>
      </w:pPr>
      <w:r>
        <w:rPr>
          <w:rFonts w:ascii="Times New Roman" w:hAnsi="Times New Roman" w:eastAsia="Times New Roman" w:cs="Times New Roman"/>
          <w:spacing w:val="8"/>
        </w:rPr>
        <w:t>2.6  </w:t>
      </w:r>
      <w:r>
        <w:rPr>
          <w:rFonts w:ascii="KaiTi" w:hAnsi="KaiTi" w:eastAsia="KaiTi" w:cs="KaiTi"/>
          <w:spacing w:val="8"/>
        </w:rPr>
        <w:t>专业技术机构。</w:t>
      </w:r>
      <w:r>
        <w:rPr>
          <w:spacing w:val="8"/>
        </w:rPr>
        <w:t>医疗卫生机构、疾病</w:t>
      </w:r>
      <w:r>
        <w:rPr>
          <w:spacing w:val="7"/>
        </w:rPr>
        <w:t>预防控制机构、卫生监督机构是突发公共卫生</w:t>
      </w:r>
      <w:r>
        <w:rPr>
          <w:spacing w:val="7"/>
        </w:rPr>
        <w:t>事件应急处置的专业技术机构。各级各类应急</w:t>
      </w:r>
      <w:r>
        <w:rPr>
          <w:spacing w:val="18"/>
        </w:rPr>
        <w:t>处置专业技术机构要结合本单位职责开展专</w:t>
      </w:r>
      <w:r>
        <w:rPr>
          <w:spacing w:val="7"/>
        </w:rPr>
        <w:t>业技术人员处置突发公共卫生事件能力培训，</w:t>
      </w:r>
      <w:r>
        <w:rPr>
          <w:spacing w:val="7"/>
        </w:rPr>
        <w:t>提高快速应对能力和技术水平，在突发公共卫</w:t>
      </w:r>
      <w:r>
        <w:rPr>
          <w:spacing w:val="7"/>
        </w:rPr>
        <w:t>生事件发生后，要服从行业主管部门的统一指</w:t>
      </w:r>
      <w:r>
        <w:rPr>
          <w:spacing w:val="9"/>
        </w:rPr>
        <w:t>挥和安排，有效开展应急处置工作。</w:t>
      </w:r>
    </w:p>
    <w:p>
      <w:pPr>
        <w:ind w:left="424"/>
        <w:spacing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3</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预报预警</w:t>
      </w:r>
    </w:p>
    <w:p>
      <w:pPr>
        <w:pStyle w:val="BodyText"/>
        <w:ind w:left="1" w:right="59" w:firstLine="424"/>
        <w:spacing w:before="97" w:line="366" w:lineRule="auto"/>
        <w:jc w:val="both"/>
        <w:rPr/>
      </w:pPr>
      <w:r>
        <w:rPr>
          <w:rFonts w:ascii="Times New Roman" w:hAnsi="Times New Roman" w:eastAsia="Times New Roman" w:cs="Times New Roman"/>
          <w:spacing w:val="7"/>
        </w:rPr>
        <w:t>3.</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1  </w:t>
      </w:r>
      <w:r>
        <w:rPr>
          <w:rFonts w:ascii="KaiTi" w:hAnsi="KaiTi" w:eastAsia="KaiTi" w:cs="KaiTi"/>
          <w:spacing w:val="7"/>
        </w:rPr>
        <w:t>监测预报。</w:t>
      </w:r>
      <w:r>
        <w:rPr>
          <w:spacing w:val="7"/>
        </w:rPr>
        <w:t>建立市级突发公共卫</w:t>
      </w:r>
      <w:r>
        <w:rPr>
          <w:spacing w:val="6"/>
        </w:rPr>
        <w:t>生事</w:t>
      </w:r>
      <w:r>
        <w:rPr>
          <w:spacing w:val="7"/>
        </w:rPr>
        <w:t>件监测预警与报告网络体系，包括：法定传染</w:t>
      </w:r>
      <w:r>
        <w:rPr>
          <w:spacing w:val="7"/>
        </w:rPr>
        <w:t>病和突发公共卫生事件监测报告网络、症状监</w:t>
      </w:r>
      <w:r>
        <w:rPr>
          <w:spacing w:val="7"/>
        </w:rPr>
        <w:t>测网络、实验室监测网络。各级医疗、疾病预</w:t>
      </w:r>
      <w:r>
        <w:rPr>
          <w:spacing w:val="18"/>
        </w:rPr>
        <w:t>防控制和卫生监督机构负责开展突发公共卫</w:t>
      </w:r>
      <w:r>
        <w:rPr>
          <w:spacing w:val="8"/>
        </w:rPr>
        <w:t>生事件的日常监测工作。</w:t>
      </w:r>
    </w:p>
    <w:p>
      <w:pPr>
        <w:pStyle w:val="BodyText"/>
        <w:ind w:right="59" w:firstLine="423"/>
        <w:spacing w:before="13" w:line="366" w:lineRule="auto"/>
        <w:jc w:val="both"/>
        <w:rPr/>
      </w:pPr>
      <w:r>
        <w:rPr>
          <w:spacing w:val="6"/>
        </w:rPr>
        <w:t>根据需要，组织各级疾病预防控制机构开</w:t>
      </w:r>
      <w:r>
        <w:rPr>
          <w:spacing w:val="18"/>
        </w:rPr>
        <w:t>展重点传染病和突发公共卫生事件的主动监</w:t>
      </w:r>
      <w:r>
        <w:rPr>
          <w:spacing w:val="5"/>
        </w:rPr>
        <w:t>测，包括：</w:t>
      </w:r>
      <w:r>
        <w:rPr>
          <w:spacing w:val="-54"/>
        </w:rPr>
        <w:t xml:space="preserve"> </w:t>
      </w:r>
      <w:r>
        <w:rPr>
          <w:spacing w:val="5"/>
        </w:rPr>
        <w:t>自然疫源性疾病疫情监测、自然灾</w:t>
      </w:r>
      <w:r>
        <w:rPr>
          <w:spacing w:val="7"/>
        </w:rPr>
        <w:t>害发生地区的重点传染病和卫生事件监测、主</w:t>
      </w:r>
      <w:r>
        <w:rPr>
          <w:spacing w:val="7"/>
        </w:rPr>
        <w:t>要症状和重点疾病的医院哨点监测等。市疾病</w:t>
      </w:r>
      <w:r>
        <w:rPr>
          <w:spacing w:val="18"/>
        </w:rPr>
        <w:t>预防控制中心要加强对监测工作的管理和监</w:t>
      </w:r>
      <w:r>
        <w:rPr>
          <w:spacing w:val="8"/>
        </w:rPr>
        <w:t>督，保证监测质量。</w:t>
      </w:r>
    </w:p>
    <w:p>
      <w:pPr>
        <w:pStyle w:val="BodyText"/>
        <w:ind w:right="52" w:firstLine="421"/>
        <w:spacing w:before="6" w:line="367" w:lineRule="auto"/>
        <w:jc w:val="both"/>
        <w:rPr/>
      </w:pPr>
      <w:r>
        <w:rPr>
          <w:spacing w:val="6"/>
        </w:rPr>
        <w:t>各级卫生健康行政部门根据医疗机构、疾</w:t>
      </w:r>
      <w:r>
        <w:rPr>
          <w:spacing w:val="7"/>
        </w:rPr>
        <w:t>病预防控制机构、卫生监督机构提供的监测信</w:t>
      </w:r>
      <w:r>
        <w:rPr>
          <w:spacing w:val="7"/>
        </w:rPr>
        <w:t>息和国内外突发公共卫生事件发生情况，按照</w:t>
      </w:r>
      <w:r>
        <w:rPr>
          <w:spacing w:val="7"/>
        </w:rPr>
        <w:t>突发公共卫生事件的发生、发展规律和特点，</w:t>
      </w:r>
      <w:r>
        <w:rPr>
          <w:spacing w:val="7"/>
        </w:rPr>
        <w:t>及时分析其对公众身心健康的危害程度、可能</w:t>
      </w:r>
      <w:r>
        <w:rPr>
          <w:spacing w:val="8"/>
        </w:rPr>
        <w:t>的发展趋势，及时做出预警。</w:t>
      </w:r>
    </w:p>
    <w:p>
      <w:pPr>
        <w:pStyle w:val="BodyText"/>
        <w:ind w:left="1" w:right="57" w:firstLine="424"/>
        <w:spacing w:line="331" w:lineRule="auto"/>
        <w:jc w:val="both"/>
        <w:rPr/>
      </w:pPr>
      <w:r>
        <w:rPr>
          <w:rFonts w:ascii="Times New Roman" w:hAnsi="Times New Roman" w:eastAsia="Times New Roman" w:cs="Times New Roman"/>
          <w:spacing w:val="8"/>
        </w:rPr>
        <w:t>3.2  </w:t>
      </w:r>
      <w:r>
        <w:rPr>
          <w:rFonts w:ascii="KaiTi" w:hAnsi="KaiTi" w:eastAsia="KaiTi" w:cs="KaiTi"/>
          <w:spacing w:val="8"/>
        </w:rPr>
        <w:t>分级标准。</w:t>
      </w:r>
      <w:r>
        <w:rPr>
          <w:spacing w:val="8"/>
        </w:rPr>
        <w:t>根据突发公共卫生事件性</w:t>
      </w:r>
      <w:r>
        <w:rPr>
          <w:spacing w:val="7"/>
        </w:rPr>
        <w:t>质、危害程度、涉及范围，突发公共卫生事件</w:t>
      </w:r>
      <w:r>
        <w:rPr>
          <w:spacing w:val="7"/>
        </w:rPr>
        <w:t>划分为特别重大（</w:t>
      </w:r>
      <w:r>
        <w:rPr>
          <w:rFonts w:ascii="Times New Roman" w:hAnsi="Times New Roman" w:eastAsia="Times New Roman" w:cs="Times New Roman"/>
          <w:spacing w:val="7"/>
        </w:rPr>
        <w:t>I </w:t>
      </w:r>
      <w:r>
        <w:rPr>
          <w:spacing w:val="7"/>
        </w:rPr>
        <w:t>级）</w:t>
      </w:r>
      <w:r>
        <w:rPr>
          <w:spacing w:val="-44"/>
        </w:rPr>
        <w:t xml:space="preserve"> </w:t>
      </w:r>
      <w:r>
        <w:rPr>
          <w:spacing w:val="7"/>
        </w:rPr>
        <w:t>、重大（</w:t>
      </w:r>
      <w:r>
        <w:rPr>
          <w:rFonts w:ascii="Times New Roman" w:hAnsi="Times New Roman" w:eastAsia="Times New Roman" w:cs="Times New Roman"/>
        </w:rPr>
        <w:t>II</w:t>
      </w:r>
      <w:r>
        <w:rPr>
          <w:rFonts w:ascii="Times New Roman" w:hAnsi="Times New Roman" w:eastAsia="Times New Roman" w:cs="Times New Roman"/>
          <w:spacing w:val="7"/>
        </w:rPr>
        <w:t xml:space="preserve"> </w:t>
      </w:r>
      <w:r>
        <w:rPr>
          <w:spacing w:val="7"/>
        </w:rPr>
        <w:t>级）</w:t>
      </w:r>
      <w:r>
        <w:rPr>
          <w:spacing w:val="-59"/>
        </w:rPr>
        <w:t xml:space="preserve"> </w:t>
      </w:r>
      <w:r>
        <w:rPr>
          <w:spacing w:val="7"/>
        </w:rPr>
        <w:t>、较</w:t>
      </w:r>
      <w:r>
        <w:rPr>
          <w:spacing w:val="8"/>
        </w:rPr>
        <w:t>大（</w:t>
      </w:r>
      <w:r>
        <w:rPr>
          <w:rFonts w:ascii="Times New Roman" w:hAnsi="Times New Roman" w:eastAsia="Times New Roman" w:cs="Times New Roman"/>
        </w:rPr>
        <w:t>III</w:t>
      </w:r>
      <w:r>
        <w:rPr>
          <w:rFonts w:ascii="Times New Roman" w:hAnsi="Times New Roman" w:eastAsia="Times New Roman" w:cs="Times New Roman"/>
          <w:spacing w:val="8"/>
        </w:rPr>
        <w:t xml:space="preserve"> </w:t>
      </w:r>
      <w:r>
        <w:rPr>
          <w:spacing w:val="8"/>
        </w:rPr>
        <w:t>级）和一般（</w:t>
      </w:r>
      <w:r>
        <w:rPr>
          <w:rFonts w:ascii="Times New Roman" w:hAnsi="Times New Roman" w:eastAsia="Times New Roman" w:cs="Times New Roman"/>
        </w:rPr>
        <w:t>IV</w:t>
      </w:r>
      <w:r>
        <w:rPr>
          <w:rFonts w:ascii="Times New Roman" w:hAnsi="Times New Roman" w:eastAsia="Times New Roman" w:cs="Times New Roman"/>
          <w:spacing w:val="8"/>
        </w:rPr>
        <w:t xml:space="preserve"> </w:t>
      </w:r>
      <w:r>
        <w:rPr>
          <w:spacing w:val="8"/>
        </w:rPr>
        <w:t>级）</w:t>
      </w:r>
      <w:r>
        <w:rPr>
          <w:spacing w:val="-58"/>
        </w:rPr>
        <w:t xml:space="preserve"> </w:t>
      </w:r>
      <w:r>
        <w:rPr>
          <w:spacing w:val="8"/>
        </w:rPr>
        <w:t>四级</w:t>
      </w:r>
      <w:r>
        <w:rPr>
          <w:spacing w:val="-58"/>
        </w:rPr>
        <w:t xml:space="preserve"> </w:t>
      </w:r>
      <w:r>
        <w:rPr>
          <w:spacing w:val="8"/>
        </w:rPr>
        <w:t>，依次用红</w:t>
      </w:r>
    </w:p>
    <w:p>
      <w:pPr>
        <w:spacing w:line="331" w:lineRule="auto"/>
        <w:sectPr>
          <w:type w:val="continuous"/>
          <w:pgSz w:w="11906" w:h="16839"/>
          <w:pgMar w:top="1766" w:right="1530" w:bottom="1575" w:left="1579" w:header="1428" w:footer="1172" w:gutter="0"/>
          <w:cols w:equalWidth="0" w:num="2">
            <w:col w:w="4489" w:space="100"/>
            <w:col w:w="4207" w:space="0"/>
          </w:cols>
        </w:sectPr>
        <w:rPr/>
      </w:pPr>
    </w:p>
    <w:p>
      <w:pPr>
        <w:spacing w:before="73"/>
        <w:rPr/>
      </w:pPr>
      <w:r>
        <w:drawing>
          <wp:anchor distT="0" distB="0" distL="0" distR="0" simplePos="0" relativeHeight="253346816"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898" name="IM 1898"/>
            <wp:cNvGraphicFramePr/>
            <a:graphic>
              <a:graphicData uri="http://schemas.openxmlformats.org/drawingml/2006/picture">
                <pic:pic>
                  <pic:nvPicPr>
                    <pic:cNvPr id="1898" name="IM 1898"/>
                    <pic:cNvPicPr/>
                  </pic:nvPicPr>
                  <pic:blipFill>
                    <a:blip r:embed="rId951"/>
                    <a:stretch>
                      <a:fillRect/>
                    </a:stretch>
                  </pic:blipFill>
                  <pic:spPr>
                    <a:xfrm rot="0">
                      <a:off x="0" y="0"/>
                      <a:ext cx="5579745" cy="7620"/>
                    </a:xfrm>
                    <a:prstGeom prst="rect">
                      <a:avLst/>
                    </a:prstGeom>
                  </pic:spPr>
                </pic:pic>
              </a:graphicData>
            </a:graphic>
          </wp:anchor>
        </w:drawing>
      </w:r>
      <w:r/>
    </w:p>
    <w:p>
      <w:pPr>
        <w:sectPr>
          <w:headerReference w:type="default" r:id="rId816"/>
          <w:footerReference w:type="default" r:id="rId950"/>
          <w:pgSz w:w="11906" w:h="16839"/>
          <w:pgMar w:top="1772" w:right="1489" w:bottom="1562" w:left="1567" w:header="1428" w:footer="1172" w:gutter="0"/>
          <w:cols w:equalWidth="0" w:num="1">
            <w:col w:w="8850" w:space="0"/>
          </w:cols>
        </w:sectPr>
        <w:rPr/>
      </w:pPr>
    </w:p>
    <w:p>
      <w:pPr>
        <w:pStyle w:val="BodyText"/>
        <w:ind w:left="29"/>
        <w:spacing w:before="40" w:line="219" w:lineRule="auto"/>
        <w:rPr/>
      </w:pPr>
      <w:r>
        <w:rPr>
          <w:spacing w:val="8"/>
        </w:rPr>
        <w:t>色、橙色、黄色和蓝色进行预警。</w:t>
      </w:r>
    </w:p>
    <w:p>
      <w:pPr>
        <w:pStyle w:val="BodyText"/>
        <w:ind w:left="450"/>
        <w:spacing w:before="158" w:line="278" w:lineRule="exact"/>
        <w:rPr/>
      </w:pPr>
      <w:r>
        <w:rPr>
          <w:rFonts w:ascii="Times New Roman" w:hAnsi="Times New Roman" w:eastAsia="Times New Roman" w:cs="Times New Roman"/>
          <w:spacing w:val="3"/>
          <w:position w:val="1"/>
        </w:rPr>
        <w:t>3.2.1 </w:t>
      </w:r>
      <w:r>
        <w:rPr>
          <w:spacing w:val="3"/>
          <w:position w:val="1"/>
        </w:rPr>
        <w:t>特别重大突发公共卫生事件（</w:t>
      </w:r>
      <w:r>
        <w:rPr>
          <w:rFonts w:ascii="Times New Roman" w:hAnsi="Times New Roman" w:eastAsia="Times New Roman" w:cs="Times New Roman"/>
          <w:spacing w:val="3"/>
          <w:position w:val="1"/>
        </w:rPr>
        <w:t>I </w:t>
      </w:r>
      <w:r>
        <w:rPr>
          <w:spacing w:val="3"/>
          <w:position w:val="1"/>
        </w:rPr>
        <w:t>级）。</w:t>
      </w:r>
    </w:p>
    <w:p>
      <w:pPr>
        <w:pStyle w:val="BodyText"/>
        <w:ind w:left="24" w:right="332" w:firstLine="413"/>
        <w:spacing w:before="120" w:line="322"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）肺鼠疫、肺炭疽在大、中城市发生</w:t>
      </w:r>
      <w:r>
        <w:rPr>
          <w:spacing w:val="9"/>
        </w:rPr>
        <w:t>并有扩散趋势，或肺鼠疫、肺炭疽疫情波及</w:t>
      </w:r>
      <w:r>
        <w:rPr>
          <w:spacing w:val="-38"/>
        </w:rPr>
        <w:t xml:space="preserve"> </w:t>
      </w:r>
      <w:r>
        <w:rPr>
          <w:rFonts w:ascii="Times New Roman" w:hAnsi="Times New Roman" w:eastAsia="Times New Roman" w:cs="Times New Roman"/>
          <w:spacing w:val="9"/>
        </w:rPr>
        <w:t>2</w:t>
      </w:r>
      <w:r>
        <w:rPr>
          <w:spacing w:val="9"/>
        </w:rPr>
        <w:t>个以上的省份，并有进一步扩散趋势。</w:t>
      </w:r>
    </w:p>
    <w:p>
      <w:pPr>
        <w:pStyle w:val="BodyText"/>
        <w:ind w:left="25" w:right="332" w:firstLine="412"/>
        <w:spacing w:before="153" w:line="298"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）发生传染性非典型肺炎、人感染高</w:t>
      </w:r>
      <w:r>
        <w:rPr>
          <w:spacing w:val="9"/>
        </w:rPr>
        <w:t>致病性禽流感病例，并有扩散趋势。</w:t>
      </w:r>
    </w:p>
    <w:p>
      <w:pPr>
        <w:pStyle w:val="BodyText"/>
        <w:ind w:left="41" w:right="332" w:firstLine="395"/>
        <w:spacing w:before="159" w:line="301"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）涉及包括本行政区域在内的多个县</w:t>
      </w:r>
      <w:r>
        <w:rPr>
          <w:spacing w:val="8"/>
        </w:rPr>
        <w:t>区的群体性不明原因疾病，并有扩散趋势。</w:t>
      </w:r>
    </w:p>
    <w:p>
      <w:pPr>
        <w:pStyle w:val="BodyText"/>
        <w:ind w:left="25" w:right="330" w:firstLine="412"/>
        <w:spacing w:before="162" w:line="324"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）发生新传染病或我国尚未发现的传</w:t>
      </w:r>
      <w:r>
        <w:rPr>
          <w:spacing w:val="7"/>
        </w:rPr>
        <w:t>染病发生或传入，并有扩散趋势，或发现我国</w:t>
      </w:r>
      <w:r>
        <w:rPr>
          <w:spacing w:val="8"/>
        </w:rPr>
        <w:t>已消灭的传染病重新流行。</w:t>
      </w:r>
    </w:p>
    <w:p>
      <w:pPr>
        <w:pStyle w:val="BodyText"/>
        <w:ind w:left="28" w:right="332" w:firstLine="409"/>
        <w:spacing w:before="163" w:line="299" w:lineRule="auto"/>
        <w:rPr/>
      </w:pPr>
      <w:r>
        <w:rPr>
          <w:spacing w:val="8"/>
        </w:rPr>
        <w:t>（</w:t>
      </w:r>
      <w:r>
        <w:rPr>
          <w:spacing w:val="-45"/>
        </w:rPr>
        <w:t xml:space="preserve"> </w:t>
      </w:r>
      <w:r>
        <w:rPr>
          <w:rFonts w:ascii="Times New Roman" w:hAnsi="Times New Roman" w:eastAsia="Times New Roman" w:cs="Times New Roman"/>
          <w:spacing w:val="8"/>
        </w:rPr>
        <w:t>5</w:t>
      </w:r>
      <w:r>
        <w:rPr>
          <w:rFonts w:ascii="Times New Roman" w:hAnsi="Times New Roman" w:eastAsia="Times New Roman" w:cs="Times New Roman"/>
          <w:spacing w:val="-19"/>
        </w:rPr>
        <w:t xml:space="preserve"> </w:t>
      </w:r>
      <w:r>
        <w:rPr>
          <w:spacing w:val="8"/>
        </w:rPr>
        <w:t>）发生烈性病菌株、毒株、致病因子</w:t>
      </w:r>
      <w:r>
        <w:rPr>
          <w:spacing w:val="7"/>
        </w:rPr>
        <w:t>等丢失事件。</w:t>
      </w:r>
    </w:p>
    <w:p>
      <w:pPr>
        <w:pStyle w:val="BodyText"/>
        <w:ind w:left="27" w:right="330" w:firstLine="409"/>
        <w:spacing w:before="164" w:line="325" w:lineRule="auto"/>
        <w:rPr/>
      </w:pPr>
      <w:r>
        <w:rPr>
          <w:spacing w:val="11"/>
        </w:rPr>
        <w:t>（</w:t>
      </w:r>
      <w:r>
        <w:rPr>
          <w:rFonts w:ascii="Times New Roman" w:hAnsi="Times New Roman" w:eastAsia="Times New Roman" w:cs="Times New Roman"/>
          <w:spacing w:val="11"/>
        </w:rPr>
        <w:t>6</w:t>
      </w:r>
      <w:r>
        <w:rPr>
          <w:rFonts w:ascii="Times New Roman" w:hAnsi="Times New Roman" w:eastAsia="Times New Roman" w:cs="Times New Roman"/>
          <w:spacing w:val="-18"/>
        </w:rPr>
        <w:t xml:space="preserve"> </w:t>
      </w:r>
      <w:r>
        <w:rPr>
          <w:spacing w:val="11"/>
        </w:rPr>
        <w:t>）周边以及与本行政区域通航的国家</w:t>
      </w:r>
      <w:r>
        <w:rPr>
          <w:spacing w:val="7"/>
        </w:rPr>
        <w:t>和地区发生特大传染病疫情，并出现输入性病</w:t>
      </w:r>
      <w:r>
        <w:rPr>
          <w:spacing w:val="-5"/>
        </w:rPr>
        <w:t>例，严重危及本行政区域公共卫生安全的事件。</w:t>
      </w:r>
    </w:p>
    <w:p>
      <w:pPr>
        <w:pStyle w:val="BodyText"/>
        <w:ind w:left="25" w:right="332" w:firstLine="411"/>
        <w:spacing w:before="161" w:line="299" w:lineRule="auto"/>
        <w:rPr/>
      </w:pPr>
      <w:r>
        <w:rPr>
          <w:spacing w:val="9"/>
        </w:rPr>
        <w:t>（</w:t>
      </w:r>
      <w:r>
        <w:rPr>
          <w:rFonts w:ascii="Times New Roman" w:hAnsi="Times New Roman" w:eastAsia="Times New Roman" w:cs="Times New Roman"/>
          <w:spacing w:val="9"/>
        </w:rPr>
        <w:t>7 </w:t>
      </w:r>
      <w:r>
        <w:rPr>
          <w:spacing w:val="9"/>
        </w:rPr>
        <w:t>）国务院卫生健康行政部门认定的其</w:t>
      </w:r>
      <w:r>
        <w:rPr>
          <w:spacing w:val="8"/>
        </w:rPr>
        <w:t>他特别重大突发公共卫生事件。</w:t>
      </w:r>
    </w:p>
    <w:p>
      <w:pPr>
        <w:pStyle w:val="BodyText"/>
        <w:ind w:left="450"/>
        <w:spacing w:before="164" w:line="277" w:lineRule="exact"/>
        <w:rPr/>
      </w:pPr>
      <w:r>
        <w:rPr>
          <w:rFonts w:ascii="Times New Roman" w:hAnsi="Times New Roman" w:eastAsia="Times New Roman" w:cs="Times New Roman"/>
          <w:spacing w:val="3"/>
          <w:position w:val="1"/>
        </w:rPr>
        <w:t>3.2.2 </w:t>
      </w:r>
      <w:r>
        <w:rPr>
          <w:spacing w:val="3"/>
          <w:position w:val="1"/>
        </w:rPr>
        <w:t>重大突发公共卫生事件 (</w:t>
      </w:r>
      <w:r>
        <w:rPr>
          <w:spacing w:val="-30"/>
          <w:position w:val="1"/>
        </w:rPr>
        <w:t xml:space="preserve"> </w:t>
      </w:r>
      <w:r>
        <w:rPr>
          <w:rFonts w:ascii="Times New Roman" w:hAnsi="Times New Roman" w:eastAsia="Times New Roman" w:cs="Times New Roman"/>
          <w:spacing w:val="3"/>
          <w:position w:val="1"/>
        </w:rPr>
        <w:t>Ⅱ</w:t>
      </w:r>
      <w:r>
        <w:rPr>
          <w:spacing w:val="3"/>
          <w:position w:val="1"/>
        </w:rPr>
        <w:t>级）。</w:t>
      </w:r>
    </w:p>
    <w:p>
      <w:pPr>
        <w:pStyle w:val="BodyText"/>
        <w:ind w:left="27" w:right="245" w:firstLine="410"/>
        <w:spacing w:before="131" w:line="335" w:lineRule="auto"/>
        <w:rPr/>
      </w:pPr>
      <w:r>
        <w:rPr>
          <w:spacing w:val="-2"/>
        </w:rPr>
        <w:t>（</w:t>
      </w:r>
      <w:r>
        <w:rPr>
          <w:spacing w:val="-29"/>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21"/>
        </w:rPr>
        <w:t xml:space="preserve"> </w:t>
      </w:r>
      <w:r>
        <w:rPr>
          <w:spacing w:val="-2"/>
        </w:rPr>
        <w:t>）在</w:t>
      </w:r>
      <w:r>
        <w:rPr>
          <w:spacing w:val="-20"/>
        </w:rPr>
        <w:t xml:space="preserve"> </w:t>
      </w:r>
      <w:r>
        <w:rPr>
          <w:rFonts w:ascii="Times New Roman" w:hAnsi="Times New Roman" w:eastAsia="Times New Roman" w:cs="Times New Roman"/>
          <w:spacing w:val="-2"/>
        </w:rPr>
        <w:t>1 </w:t>
      </w:r>
      <w:r>
        <w:rPr>
          <w:spacing w:val="-2"/>
        </w:rPr>
        <w:t>个县（区）行政区域内，</w:t>
      </w:r>
      <w:r>
        <w:rPr>
          <w:rFonts w:ascii="Times New Roman" w:hAnsi="Times New Roman" w:eastAsia="Times New Roman" w:cs="Times New Roman"/>
          <w:spacing w:val="-2"/>
        </w:rPr>
        <w:t>1 </w:t>
      </w:r>
      <w:r>
        <w:rPr>
          <w:spacing w:val="-2"/>
        </w:rPr>
        <w:t>个平</w:t>
      </w:r>
      <w:r>
        <w:rPr>
          <w:spacing w:val="8"/>
        </w:rPr>
        <w:t>均潜伏期内（</w:t>
      </w:r>
      <w:r>
        <w:rPr>
          <w:rFonts w:ascii="Times New Roman" w:hAnsi="Times New Roman" w:eastAsia="Times New Roman" w:cs="Times New Roman"/>
          <w:spacing w:val="8"/>
        </w:rPr>
        <w:t>6 </w:t>
      </w:r>
      <w:r>
        <w:rPr>
          <w:spacing w:val="8"/>
        </w:rPr>
        <w:t>天）发生</w:t>
      </w:r>
      <w:r>
        <w:rPr>
          <w:spacing w:val="-33"/>
        </w:rPr>
        <w:t xml:space="preserve"> </w:t>
      </w:r>
      <w:r>
        <w:rPr>
          <w:rFonts w:ascii="Times New Roman" w:hAnsi="Times New Roman" w:eastAsia="Times New Roman" w:cs="Times New Roman"/>
          <w:spacing w:val="8"/>
        </w:rPr>
        <w:t>5 </w:t>
      </w:r>
      <w:r>
        <w:rPr>
          <w:spacing w:val="8"/>
        </w:rPr>
        <w:t>例以上肺鼠疫、肺</w:t>
      </w:r>
      <w:r>
        <w:rPr>
          <w:spacing w:val="-24"/>
        </w:rPr>
        <w:t>炭疽病例，或相关联的疫情波及两个以上的县（区）。</w:t>
      </w:r>
    </w:p>
    <w:p>
      <w:pPr>
        <w:pStyle w:val="BodyText"/>
        <w:ind w:left="25" w:right="332" w:firstLine="412"/>
        <w:spacing w:before="129" w:line="299"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）发生传染性非典型肺炎、人感染高</w:t>
      </w:r>
      <w:r>
        <w:rPr>
          <w:spacing w:val="8"/>
        </w:rPr>
        <w:t>致病性禽流感疑似病例。</w:t>
      </w:r>
    </w:p>
    <w:p>
      <w:pPr>
        <w:pStyle w:val="BodyText"/>
        <w:ind w:left="31" w:right="327" w:firstLine="405"/>
        <w:spacing w:before="162" w:line="302" w:lineRule="auto"/>
        <w:rPr/>
      </w:pPr>
      <w:r>
        <w:rPr>
          <w:spacing w:val="2"/>
        </w:rPr>
        <w:t>（</w:t>
      </w:r>
      <w:r>
        <w:rPr>
          <w:rFonts w:ascii="Times New Roman" w:hAnsi="Times New Roman" w:eastAsia="Times New Roman" w:cs="Times New Roman"/>
          <w:spacing w:val="2"/>
        </w:rPr>
        <w:t>3</w:t>
      </w:r>
      <w:r>
        <w:rPr>
          <w:rFonts w:ascii="Times New Roman" w:hAnsi="Times New Roman" w:eastAsia="Times New Roman" w:cs="Times New Roman"/>
          <w:spacing w:val="-5"/>
        </w:rPr>
        <w:t xml:space="preserve"> </w:t>
      </w:r>
      <w:r>
        <w:rPr>
          <w:spacing w:val="2"/>
        </w:rPr>
        <w:t>）腺鼠疫发生流行，</w:t>
      </w:r>
      <w:r>
        <w:rPr>
          <w:rFonts w:ascii="Times New Roman" w:hAnsi="Times New Roman" w:eastAsia="Times New Roman" w:cs="Times New Roman"/>
          <w:spacing w:val="2"/>
        </w:rPr>
        <w:t>1 </w:t>
      </w:r>
      <w:r>
        <w:rPr>
          <w:spacing w:val="2"/>
        </w:rPr>
        <w:t>个平均潜伏期内</w:t>
      </w:r>
      <w:r>
        <w:rPr>
          <w:spacing w:val="6"/>
        </w:rPr>
        <w:t>多点连续发病</w:t>
      </w:r>
      <w:r>
        <w:rPr>
          <w:spacing w:val="-36"/>
        </w:rPr>
        <w:t xml:space="preserve"> </w:t>
      </w:r>
      <w:r>
        <w:rPr>
          <w:rFonts w:ascii="Times New Roman" w:hAnsi="Times New Roman" w:eastAsia="Times New Roman" w:cs="Times New Roman"/>
          <w:spacing w:val="6"/>
        </w:rPr>
        <w:t>20 </w:t>
      </w:r>
      <w:r>
        <w:rPr>
          <w:spacing w:val="6"/>
        </w:rPr>
        <w:t>例以上。</w:t>
      </w:r>
    </w:p>
    <w:p>
      <w:pPr>
        <w:pStyle w:val="BodyText"/>
        <w:ind w:left="437"/>
        <w:spacing w:before="159" w:line="278" w:lineRule="exact"/>
        <w:rPr/>
      </w:pPr>
      <w:r>
        <w:rPr>
          <w:spacing w:val="-6"/>
          <w:position w:val="1"/>
        </w:rPr>
        <w:t>（</w:t>
      </w:r>
      <w:r>
        <w:rPr>
          <w:rFonts w:ascii="Times New Roman" w:hAnsi="Times New Roman" w:eastAsia="Times New Roman" w:cs="Times New Roman"/>
          <w:spacing w:val="-6"/>
          <w:position w:val="1"/>
        </w:rPr>
        <w:t>4</w:t>
      </w:r>
      <w:r>
        <w:rPr>
          <w:rFonts w:ascii="Times New Roman" w:hAnsi="Times New Roman" w:eastAsia="Times New Roman" w:cs="Times New Roman"/>
          <w:spacing w:val="-13"/>
          <w:position w:val="1"/>
        </w:rPr>
        <w:t xml:space="preserve"> </w:t>
      </w:r>
      <w:r>
        <w:rPr>
          <w:spacing w:val="-6"/>
          <w:position w:val="1"/>
        </w:rPr>
        <w:t>）霍乱发生流行，</w:t>
      </w:r>
      <w:r>
        <w:rPr>
          <w:rFonts w:ascii="Times New Roman" w:hAnsi="Times New Roman" w:eastAsia="Times New Roman" w:cs="Times New Roman"/>
          <w:spacing w:val="-6"/>
          <w:position w:val="1"/>
        </w:rPr>
        <w:t>1 </w:t>
      </w:r>
      <w:r>
        <w:rPr>
          <w:spacing w:val="-6"/>
          <w:position w:val="1"/>
        </w:rPr>
        <w:t>周内发病</w:t>
      </w:r>
      <w:r>
        <w:rPr>
          <w:spacing w:val="-52"/>
          <w:position w:val="1"/>
        </w:rPr>
        <w:t xml:space="preserve"> </w:t>
      </w:r>
      <w:r>
        <w:rPr>
          <w:rFonts w:ascii="Times New Roman" w:hAnsi="Times New Roman" w:eastAsia="Times New Roman" w:cs="Times New Roman"/>
          <w:spacing w:val="-6"/>
          <w:position w:val="1"/>
        </w:rPr>
        <w:t>30 </w:t>
      </w:r>
      <w:r>
        <w:rPr>
          <w:spacing w:val="-6"/>
          <w:position w:val="1"/>
        </w:rPr>
        <w:t>例以上。</w:t>
      </w:r>
    </w:p>
    <w:p>
      <w:pPr>
        <w:pStyle w:val="BodyText"/>
        <w:ind w:left="25" w:right="330" w:firstLine="412"/>
        <w:spacing w:before="129" w:line="324" w:lineRule="auto"/>
        <w:rPr/>
      </w:pPr>
      <w:r>
        <w:rPr>
          <w:spacing w:val="6"/>
        </w:rPr>
        <w:t>（</w:t>
      </w:r>
      <w:r>
        <w:rPr>
          <w:spacing w:val="-49"/>
        </w:rPr>
        <w:t xml:space="preserve"> </w:t>
      </w:r>
      <w:r>
        <w:rPr>
          <w:rFonts w:ascii="Times New Roman" w:hAnsi="Times New Roman" w:eastAsia="Times New Roman" w:cs="Times New Roman"/>
          <w:spacing w:val="6"/>
        </w:rPr>
        <w:t>5 </w:t>
      </w:r>
      <w:r>
        <w:rPr>
          <w:spacing w:val="6"/>
        </w:rPr>
        <w:t>）乙类、丙类传染病疫情波及</w:t>
      </w:r>
      <w:r>
        <w:rPr>
          <w:spacing w:val="-38"/>
        </w:rPr>
        <w:t xml:space="preserve"> </w:t>
      </w:r>
      <w:r>
        <w:rPr>
          <w:rFonts w:ascii="Times New Roman" w:hAnsi="Times New Roman" w:eastAsia="Times New Roman" w:cs="Times New Roman"/>
          <w:spacing w:val="6"/>
        </w:rPr>
        <w:t>2 </w:t>
      </w:r>
      <w:r>
        <w:rPr>
          <w:spacing w:val="6"/>
        </w:rPr>
        <w:t>个以</w:t>
      </w:r>
      <w:r>
        <w:rPr>
          <w:spacing w:val="4"/>
        </w:rPr>
        <w:t>上县（</w:t>
      </w:r>
      <w:r>
        <w:rPr>
          <w:spacing w:val="-50"/>
        </w:rPr>
        <w:t xml:space="preserve"> </w:t>
      </w:r>
      <w:r>
        <w:rPr>
          <w:spacing w:val="4"/>
        </w:rPr>
        <w:t>区</w:t>
      </w:r>
      <w:r>
        <w:rPr>
          <w:spacing w:val="1"/>
        </w:rPr>
        <w:t>）</w:t>
      </w:r>
      <w:r>
        <w:rPr>
          <w:spacing w:val="-52"/>
        </w:rPr>
        <w:t xml:space="preserve"> </w:t>
      </w:r>
      <w:r>
        <w:rPr>
          <w:spacing w:val="1"/>
        </w:rPr>
        <w:t>，</w:t>
      </w:r>
      <w:r>
        <w:rPr>
          <w:rFonts w:ascii="Times New Roman" w:hAnsi="Times New Roman" w:eastAsia="Times New Roman" w:cs="Times New Roman"/>
          <w:spacing w:val="4"/>
        </w:rPr>
        <w:t>1 </w:t>
      </w:r>
      <w:r>
        <w:rPr>
          <w:spacing w:val="4"/>
        </w:rPr>
        <w:t>周内发病水平超过前</w:t>
      </w:r>
      <w:r>
        <w:rPr>
          <w:spacing w:val="-35"/>
        </w:rPr>
        <w:t xml:space="preserve"> </w:t>
      </w:r>
      <w:r>
        <w:rPr>
          <w:rFonts w:ascii="Times New Roman" w:hAnsi="Times New Roman" w:eastAsia="Times New Roman" w:cs="Times New Roman"/>
          <w:spacing w:val="4"/>
        </w:rPr>
        <w:t>5 </w:t>
      </w:r>
      <w:r>
        <w:rPr>
          <w:spacing w:val="4"/>
        </w:rPr>
        <w:t>年同期</w:t>
      </w:r>
      <w:r>
        <w:rPr>
          <w:spacing w:val="7"/>
        </w:rPr>
        <w:t>平均发病水平</w:t>
      </w:r>
      <w:r>
        <w:rPr>
          <w:spacing w:val="-41"/>
        </w:rPr>
        <w:t xml:space="preserve"> </w:t>
      </w:r>
      <w:r>
        <w:rPr>
          <w:rFonts w:ascii="Times New Roman" w:hAnsi="Times New Roman" w:eastAsia="Times New Roman" w:cs="Times New Roman"/>
          <w:spacing w:val="7"/>
        </w:rPr>
        <w:t>2 </w:t>
      </w:r>
      <w:r>
        <w:rPr>
          <w:spacing w:val="7"/>
        </w:rPr>
        <w:t>倍以上。</w:t>
      </w:r>
    </w:p>
    <w:p>
      <w:pPr>
        <w:pStyle w:val="BodyText"/>
        <w:ind w:left="437"/>
        <w:spacing w:before="163" w:line="277" w:lineRule="exact"/>
        <w:rPr/>
      </w:pPr>
      <w:r>
        <w:rPr>
          <w:spacing w:val="5"/>
          <w:position w:val="1"/>
        </w:rPr>
        <w:t>（</w:t>
      </w:r>
      <w:r>
        <w:rPr>
          <w:rFonts w:ascii="Times New Roman" w:hAnsi="Times New Roman" w:eastAsia="Times New Roman" w:cs="Times New Roman"/>
          <w:spacing w:val="5"/>
          <w:position w:val="1"/>
        </w:rPr>
        <w:t>6</w:t>
      </w:r>
      <w:r>
        <w:rPr>
          <w:rFonts w:ascii="Times New Roman" w:hAnsi="Times New Roman" w:eastAsia="Times New Roman" w:cs="Times New Roman"/>
          <w:spacing w:val="-18"/>
          <w:position w:val="1"/>
        </w:rPr>
        <w:t xml:space="preserve"> </w:t>
      </w:r>
      <w:r>
        <w:rPr>
          <w:spacing w:val="5"/>
          <w:position w:val="1"/>
        </w:rPr>
        <w:t>）我国尚未发现的传染病发生或传入，</w:t>
      </w:r>
    </w:p>
    <w:p>
      <w:pPr>
        <w:spacing w:line="14" w:lineRule="auto"/>
        <w:rPr>
          <w:rFonts w:ascii="Arial"/>
          <w:sz w:val="2"/>
        </w:rPr>
      </w:pPr>
      <w:r>
        <w:rPr>
          <w:rFonts w:ascii="Arial" w:hAnsi="Arial" w:eastAsia="Arial" w:cs="Arial"/>
          <w:sz w:val="2"/>
          <w:szCs w:val="2"/>
        </w:rPr>
        <w:br w:type="column"/>
      </w:r>
    </w:p>
    <w:p>
      <w:pPr>
        <w:pStyle w:val="BodyText"/>
        <w:ind w:left="23"/>
        <w:spacing w:before="46" w:line="219" w:lineRule="auto"/>
        <w:rPr/>
      </w:pPr>
      <w:r>
        <w:rPr>
          <w:spacing w:val="4"/>
        </w:rPr>
        <w:t>尚未造成扩散。</w:t>
      </w:r>
    </w:p>
    <w:p>
      <w:pPr>
        <w:pStyle w:val="BodyText"/>
        <w:ind w:left="2" w:right="103" w:firstLine="409"/>
        <w:spacing w:before="162" w:line="299" w:lineRule="auto"/>
        <w:rPr/>
      </w:pPr>
      <w:r>
        <w:rPr>
          <w:spacing w:val="8"/>
        </w:rPr>
        <w:t>（</w:t>
      </w:r>
      <w:r>
        <w:rPr>
          <w:rFonts w:ascii="Times New Roman" w:hAnsi="Times New Roman" w:eastAsia="Times New Roman" w:cs="Times New Roman"/>
          <w:spacing w:val="8"/>
        </w:rPr>
        <w:t>7</w:t>
      </w:r>
      <w:r>
        <w:rPr>
          <w:rFonts w:ascii="Times New Roman" w:hAnsi="Times New Roman" w:eastAsia="Times New Roman" w:cs="Times New Roman"/>
          <w:spacing w:val="-5"/>
        </w:rPr>
        <w:t xml:space="preserve"> </w:t>
      </w:r>
      <w:r>
        <w:rPr>
          <w:spacing w:val="8"/>
        </w:rPr>
        <w:t>）发生群体性不明原因疾病</w:t>
      </w:r>
      <w:r>
        <w:rPr>
          <w:spacing w:val="-59"/>
        </w:rPr>
        <w:t xml:space="preserve"> </w:t>
      </w:r>
      <w:r>
        <w:rPr>
          <w:spacing w:val="8"/>
        </w:rPr>
        <w:t>，扩散到</w:t>
      </w:r>
      <w:r>
        <w:rPr>
          <w:spacing w:val="7"/>
        </w:rPr>
        <w:t>县区以外的地区。</w:t>
      </w:r>
    </w:p>
    <w:p>
      <w:pPr>
        <w:pStyle w:val="BodyText"/>
        <w:ind w:left="412"/>
        <w:spacing w:before="164" w:line="277" w:lineRule="exact"/>
        <w:rPr/>
      </w:pPr>
      <w:r>
        <w:rPr>
          <w:spacing w:val="4"/>
          <w:position w:val="1"/>
        </w:rPr>
        <w:t>（</w:t>
      </w:r>
      <w:r>
        <w:rPr>
          <w:spacing w:val="-54"/>
          <w:position w:val="1"/>
        </w:rPr>
        <w:t xml:space="preserve"> </w:t>
      </w:r>
      <w:r>
        <w:rPr>
          <w:rFonts w:ascii="Times New Roman" w:hAnsi="Times New Roman" w:eastAsia="Times New Roman" w:cs="Times New Roman"/>
          <w:spacing w:val="4"/>
          <w:position w:val="1"/>
        </w:rPr>
        <w:t>8</w:t>
      </w:r>
      <w:r>
        <w:rPr>
          <w:rFonts w:ascii="Times New Roman" w:hAnsi="Times New Roman" w:eastAsia="Times New Roman" w:cs="Times New Roman"/>
          <w:spacing w:val="-21"/>
          <w:position w:val="1"/>
        </w:rPr>
        <w:t xml:space="preserve"> </w:t>
      </w:r>
      <w:r>
        <w:rPr>
          <w:spacing w:val="4"/>
          <w:position w:val="1"/>
        </w:rPr>
        <w:t>）发生重大医源性感染事件。</w:t>
      </w:r>
    </w:p>
    <w:p>
      <w:pPr>
        <w:pStyle w:val="BodyText"/>
        <w:ind w:left="1" w:right="103" w:firstLine="410"/>
        <w:spacing w:before="127" w:line="298" w:lineRule="auto"/>
        <w:rPr/>
      </w:pPr>
      <w:r>
        <w:rPr>
          <w:spacing w:val="11"/>
        </w:rPr>
        <w:t>（</w:t>
      </w:r>
      <w:r>
        <w:rPr>
          <w:rFonts w:ascii="Times New Roman" w:hAnsi="Times New Roman" w:eastAsia="Times New Roman" w:cs="Times New Roman"/>
          <w:spacing w:val="11"/>
        </w:rPr>
        <w:t>9</w:t>
      </w:r>
      <w:r>
        <w:rPr>
          <w:rFonts w:ascii="Times New Roman" w:hAnsi="Times New Roman" w:eastAsia="Times New Roman" w:cs="Times New Roman"/>
          <w:spacing w:val="-18"/>
        </w:rPr>
        <w:t xml:space="preserve"> </w:t>
      </w:r>
      <w:r>
        <w:rPr>
          <w:spacing w:val="11"/>
        </w:rPr>
        <w:t>）预防接种或群体预防性服药出现人</w:t>
      </w:r>
      <w:r>
        <w:rPr>
          <w:spacing w:val="6"/>
        </w:rPr>
        <w:t>员死亡。</w:t>
      </w:r>
    </w:p>
    <w:p>
      <w:pPr>
        <w:pStyle w:val="BodyText"/>
        <w:ind w:left="3" w:right="101" w:firstLine="408"/>
        <w:spacing w:before="167" w:line="301" w:lineRule="auto"/>
        <w:rPr/>
      </w:pPr>
      <w:r>
        <w:rPr>
          <w:spacing w:val="1"/>
        </w:rPr>
        <w:t>（</w:t>
      </w:r>
      <w:r>
        <w:rPr>
          <w:spacing w:val="-45"/>
        </w:rPr>
        <w:t xml:space="preserve"> </w:t>
      </w:r>
      <w:r>
        <w:rPr>
          <w:rFonts w:ascii="Times New Roman" w:hAnsi="Times New Roman" w:eastAsia="Times New Roman" w:cs="Times New Roman"/>
          <w:spacing w:val="1"/>
        </w:rPr>
        <w:t>10</w:t>
      </w:r>
      <w:r>
        <w:rPr>
          <w:rFonts w:ascii="Times New Roman" w:hAnsi="Times New Roman" w:eastAsia="Times New Roman" w:cs="Times New Roman"/>
          <w:spacing w:val="-20"/>
        </w:rPr>
        <w:t xml:space="preserve"> </w:t>
      </w:r>
      <w:r>
        <w:rPr>
          <w:spacing w:val="1"/>
        </w:rPr>
        <w:t>）一次食物中毒人数超过</w:t>
      </w:r>
      <w:r>
        <w:rPr>
          <w:spacing w:val="-23"/>
        </w:rPr>
        <w:t xml:space="preserve"> </w:t>
      </w:r>
      <w:r>
        <w:rPr>
          <w:rFonts w:ascii="Times New Roman" w:hAnsi="Times New Roman" w:eastAsia="Times New Roman" w:cs="Times New Roman"/>
          <w:spacing w:val="1"/>
        </w:rPr>
        <w:t>100 </w:t>
      </w:r>
      <w:r>
        <w:rPr>
          <w:spacing w:val="1"/>
        </w:rPr>
        <w:t>人并出</w:t>
      </w:r>
      <w:r>
        <w:rPr>
          <w:spacing w:val="6"/>
        </w:rPr>
        <w:t>现死亡病例，或出现</w:t>
      </w:r>
      <w:r>
        <w:rPr>
          <w:spacing w:val="-7"/>
        </w:rPr>
        <w:t xml:space="preserve"> </w:t>
      </w:r>
      <w:r>
        <w:rPr>
          <w:rFonts w:ascii="Times New Roman" w:hAnsi="Times New Roman" w:eastAsia="Times New Roman" w:cs="Times New Roman"/>
          <w:spacing w:val="6"/>
        </w:rPr>
        <w:t>10 </w:t>
      </w:r>
      <w:r>
        <w:rPr>
          <w:spacing w:val="6"/>
        </w:rPr>
        <w:t>例以上死亡病例。</w:t>
      </w:r>
    </w:p>
    <w:p>
      <w:pPr>
        <w:pStyle w:val="BodyText"/>
        <w:ind w:left="3" w:right="36" w:firstLine="408"/>
        <w:spacing w:before="160" w:line="300" w:lineRule="auto"/>
        <w:rPr/>
      </w:pPr>
      <w:r>
        <w:rPr/>
        <w:t>（</w:t>
      </w:r>
      <w:r>
        <w:rPr>
          <w:spacing w:val="-45"/>
        </w:rPr>
        <w:t xml:space="preserve"> </w:t>
      </w:r>
      <w:r>
        <w:rPr>
          <w:rFonts w:ascii="Times New Roman" w:hAnsi="Times New Roman" w:eastAsia="Times New Roman" w:cs="Times New Roman"/>
        </w:rPr>
        <w:t>11</w:t>
      </w:r>
      <w:r>
        <w:rPr>
          <w:rFonts w:ascii="Times New Roman" w:hAnsi="Times New Roman" w:eastAsia="Times New Roman" w:cs="Times New Roman"/>
          <w:spacing w:val="-21"/>
        </w:rPr>
        <w:t xml:space="preserve"> </w:t>
      </w:r>
      <w:r>
        <w:rPr/>
        <w:t>）一次发生急性职业中毒</w:t>
      </w:r>
      <w:r>
        <w:rPr>
          <w:spacing w:val="-37"/>
        </w:rPr>
        <w:t xml:space="preserve"> </w:t>
      </w:r>
      <w:r>
        <w:rPr>
          <w:rFonts w:ascii="Times New Roman" w:hAnsi="Times New Roman" w:eastAsia="Times New Roman" w:cs="Times New Roman"/>
        </w:rPr>
        <w:t>50 </w:t>
      </w:r>
      <w:r>
        <w:rPr/>
        <w:t>人以上，</w:t>
      </w:r>
      <w:r>
        <w:rPr>
          <w:spacing w:val="5"/>
        </w:rPr>
        <w:t>或死亡</w:t>
      </w:r>
      <w:r>
        <w:rPr>
          <w:spacing w:val="-35"/>
        </w:rPr>
        <w:t xml:space="preserve"> </w:t>
      </w:r>
      <w:r>
        <w:rPr>
          <w:rFonts w:ascii="Times New Roman" w:hAnsi="Times New Roman" w:eastAsia="Times New Roman" w:cs="Times New Roman"/>
          <w:spacing w:val="5"/>
        </w:rPr>
        <w:t>5 </w:t>
      </w:r>
      <w:r>
        <w:rPr>
          <w:spacing w:val="5"/>
        </w:rPr>
        <w:t>人以上。</w:t>
      </w:r>
    </w:p>
    <w:p>
      <w:pPr>
        <w:pStyle w:val="BodyText"/>
        <w:ind w:left="1" w:right="101" w:firstLine="410"/>
        <w:spacing w:before="161" w:line="325" w:lineRule="auto"/>
        <w:rPr/>
      </w:pPr>
      <w:r>
        <w:rPr>
          <w:spacing w:val="2"/>
        </w:rPr>
        <w:t>（</w:t>
      </w:r>
      <w:r>
        <w:rPr>
          <w:spacing w:val="-35"/>
        </w:rPr>
        <w:t xml:space="preserve"> </w:t>
      </w:r>
      <w:r>
        <w:rPr>
          <w:rFonts w:ascii="Times New Roman" w:hAnsi="Times New Roman" w:eastAsia="Times New Roman" w:cs="Times New Roman"/>
          <w:spacing w:val="2"/>
        </w:rPr>
        <w:t>12</w:t>
      </w:r>
      <w:r>
        <w:rPr>
          <w:rFonts w:ascii="Times New Roman" w:hAnsi="Times New Roman" w:eastAsia="Times New Roman" w:cs="Times New Roman"/>
          <w:spacing w:val="-20"/>
        </w:rPr>
        <w:t xml:space="preserve"> </w:t>
      </w:r>
      <w:r>
        <w:rPr>
          <w:spacing w:val="2"/>
        </w:rPr>
        <w:t>）境内外隐匿运输、邮寄烈性生物病</w:t>
      </w:r>
      <w:r>
        <w:rPr>
          <w:spacing w:val="7"/>
        </w:rPr>
        <w:t>原体、生物毒素造成本行政区内人员感染或死</w:t>
      </w:r>
      <w:r>
        <w:rPr>
          <w:spacing w:val="4"/>
        </w:rPr>
        <w:t>亡的。</w:t>
      </w:r>
    </w:p>
    <w:p>
      <w:pPr>
        <w:pStyle w:val="BodyText"/>
        <w:ind w:left="17" w:right="101" w:firstLine="394"/>
        <w:spacing w:before="164" w:line="299" w:lineRule="auto"/>
        <w:rPr/>
      </w:pPr>
      <w:r>
        <w:rPr>
          <w:spacing w:val="2"/>
        </w:rPr>
        <w:t>（</w:t>
      </w:r>
      <w:r>
        <w:rPr>
          <w:spacing w:val="-35"/>
        </w:rPr>
        <w:t xml:space="preserve"> </w:t>
      </w:r>
      <w:r>
        <w:rPr>
          <w:rFonts w:ascii="Times New Roman" w:hAnsi="Times New Roman" w:eastAsia="Times New Roman" w:cs="Times New Roman"/>
          <w:spacing w:val="2"/>
        </w:rPr>
        <w:t>13</w:t>
      </w:r>
      <w:r>
        <w:rPr>
          <w:rFonts w:ascii="Times New Roman" w:hAnsi="Times New Roman" w:eastAsia="Times New Roman" w:cs="Times New Roman"/>
          <w:spacing w:val="-20"/>
        </w:rPr>
        <w:t xml:space="preserve"> </w:t>
      </w:r>
      <w:r>
        <w:rPr>
          <w:spacing w:val="2"/>
        </w:rPr>
        <w:t>）省级及以上卫生健康行政部门认定</w:t>
      </w:r>
      <w:r>
        <w:rPr>
          <w:spacing w:val="7"/>
        </w:rPr>
        <w:t>的其他重大突发公共卫生事件。</w:t>
      </w:r>
    </w:p>
    <w:p>
      <w:pPr>
        <w:pStyle w:val="BodyText"/>
        <w:ind w:left="425"/>
        <w:spacing w:before="163" w:line="277" w:lineRule="exact"/>
        <w:rPr/>
      </w:pPr>
      <w:r>
        <w:rPr>
          <w:rFonts w:ascii="Times New Roman" w:hAnsi="Times New Roman" w:eastAsia="Times New Roman" w:cs="Times New Roman"/>
          <w:spacing w:val="3"/>
          <w:position w:val="1"/>
        </w:rPr>
        <w:t>3.2.3 </w:t>
      </w:r>
      <w:r>
        <w:rPr>
          <w:spacing w:val="3"/>
          <w:position w:val="1"/>
        </w:rPr>
        <w:t>较大突发公共卫生事件 (</w:t>
      </w:r>
      <w:r>
        <w:rPr>
          <w:spacing w:val="-26"/>
          <w:position w:val="1"/>
        </w:rPr>
        <w:t xml:space="preserve"> </w:t>
      </w:r>
      <w:r>
        <w:rPr>
          <w:rFonts w:ascii="Times New Roman" w:hAnsi="Times New Roman" w:eastAsia="Times New Roman" w:cs="Times New Roman"/>
          <w:spacing w:val="3"/>
          <w:position w:val="1"/>
        </w:rPr>
        <w:t>Ⅲ</w:t>
      </w:r>
      <w:r>
        <w:rPr>
          <w:spacing w:val="3"/>
          <w:position w:val="1"/>
        </w:rPr>
        <w:t>级）。</w:t>
      </w:r>
    </w:p>
    <w:p>
      <w:pPr>
        <w:pStyle w:val="BodyText"/>
        <w:ind w:right="98" w:firstLine="412"/>
        <w:spacing w:before="127" w:line="336" w:lineRule="auto"/>
        <w:rPr/>
      </w:pPr>
      <w:r>
        <w:rPr/>
        <w:t>（</w:t>
      </w:r>
      <w:r>
        <w:rPr>
          <w:spacing w:val="-44"/>
        </w:rPr>
        <w:t xml:space="preserve"> </w:t>
      </w:r>
      <w:r>
        <w:rPr>
          <w:rFonts w:ascii="Times New Roman" w:hAnsi="Times New Roman" w:eastAsia="Times New Roman" w:cs="Times New Roman"/>
        </w:rPr>
        <w:t>1</w:t>
      </w:r>
      <w:r>
        <w:rPr>
          <w:rFonts w:ascii="Times New Roman" w:hAnsi="Times New Roman" w:eastAsia="Times New Roman" w:cs="Times New Roman"/>
          <w:spacing w:val="-21"/>
        </w:rPr>
        <w:t xml:space="preserve"> </w:t>
      </w:r>
      <w:r>
        <w:rPr/>
        <w:t>）发生肺鼠疫、肺炭疽病例，</w:t>
      </w:r>
      <w:r>
        <w:rPr>
          <w:rFonts w:ascii="Times New Roman" w:hAnsi="Times New Roman" w:eastAsia="Times New Roman" w:cs="Times New Roman"/>
        </w:rPr>
        <w:t>1 </w:t>
      </w:r>
      <w:r>
        <w:rPr/>
        <w:t>个平均</w:t>
      </w:r>
      <w:r>
        <w:rPr>
          <w:spacing w:val="5"/>
        </w:rPr>
        <w:t>潜伏期内病例数未超过</w:t>
      </w:r>
      <w:r>
        <w:rPr>
          <w:spacing w:val="-38"/>
        </w:rPr>
        <w:t xml:space="preserve"> </w:t>
      </w:r>
      <w:r>
        <w:rPr>
          <w:rFonts w:ascii="Times New Roman" w:hAnsi="Times New Roman" w:eastAsia="Times New Roman" w:cs="Times New Roman"/>
          <w:spacing w:val="5"/>
        </w:rPr>
        <w:t>5 </w:t>
      </w:r>
      <w:r>
        <w:rPr>
          <w:spacing w:val="5"/>
        </w:rPr>
        <w:t>例，流行范围在</w:t>
      </w:r>
      <w:r>
        <w:rPr>
          <w:spacing w:val="-2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4"/>
        </w:rPr>
        <w:t xml:space="preserve"> </w:t>
      </w:r>
      <w:r>
        <w:rPr>
          <w:spacing w:val="4"/>
        </w:rPr>
        <w:t>个</w:t>
      </w:r>
      <w:r>
        <w:rPr>
          <w:spacing w:val="3"/>
        </w:rPr>
        <w:t>县（</w:t>
      </w:r>
      <w:r>
        <w:rPr>
          <w:spacing w:val="-46"/>
        </w:rPr>
        <w:t xml:space="preserve"> </w:t>
      </w:r>
      <w:r>
        <w:rPr>
          <w:spacing w:val="3"/>
        </w:rPr>
        <w:t>区）行政区域内。</w:t>
      </w:r>
    </w:p>
    <w:p>
      <w:pPr>
        <w:pStyle w:val="BodyText"/>
        <w:ind w:right="94" w:firstLine="412"/>
        <w:spacing w:before="129" w:line="335" w:lineRule="auto"/>
        <w:rPr/>
      </w:pPr>
      <w:r>
        <w:rPr>
          <w:spacing w:val="4"/>
        </w:rPr>
        <w:t>（</w:t>
      </w:r>
      <w:r>
        <w:rPr>
          <w:rFonts w:ascii="Times New Roman" w:hAnsi="Times New Roman" w:eastAsia="Times New Roman" w:cs="Times New Roman"/>
          <w:spacing w:val="4"/>
        </w:rPr>
        <w:t>2</w:t>
      </w:r>
      <w:r>
        <w:rPr>
          <w:rFonts w:ascii="Times New Roman" w:hAnsi="Times New Roman" w:eastAsia="Times New Roman" w:cs="Times New Roman"/>
          <w:spacing w:val="-14"/>
        </w:rPr>
        <w:t xml:space="preserve"> </w:t>
      </w:r>
      <w:r>
        <w:rPr>
          <w:spacing w:val="4"/>
        </w:rPr>
        <w:t>）腺鼠疫发生流行</w:t>
      </w:r>
      <w:r>
        <w:rPr>
          <w:spacing w:val="-59"/>
        </w:rPr>
        <w:t xml:space="preserve"> </w:t>
      </w:r>
      <w:r>
        <w:rPr>
          <w:spacing w:val="4"/>
        </w:rPr>
        <w:t>，在</w:t>
      </w:r>
      <w:r>
        <w:rPr>
          <w:spacing w:val="-16"/>
        </w:rPr>
        <w:t xml:space="preserve"> </w:t>
      </w:r>
      <w:r>
        <w:rPr>
          <w:rFonts w:ascii="Times New Roman" w:hAnsi="Times New Roman" w:eastAsia="Times New Roman" w:cs="Times New Roman"/>
          <w:spacing w:val="4"/>
        </w:rPr>
        <w:t>1 </w:t>
      </w:r>
      <w:r>
        <w:rPr>
          <w:spacing w:val="4"/>
        </w:rPr>
        <w:t>个县（</w:t>
      </w:r>
      <w:r>
        <w:rPr>
          <w:spacing w:val="-47"/>
        </w:rPr>
        <w:t xml:space="preserve"> </w:t>
      </w:r>
      <w:r>
        <w:rPr>
          <w:spacing w:val="4"/>
        </w:rPr>
        <w:t>区）</w:t>
      </w:r>
      <w:r>
        <w:rPr>
          <w:spacing w:val="11"/>
        </w:rPr>
        <w:t>行政区域内</w:t>
      </w:r>
      <w:r>
        <w:rPr>
          <w:spacing w:val="-46"/>
        </w:rPr>
        <w:t xml:space="preserve"> </w:t>
      </w:r>
      <w:r>
        <w:rPr>
          <w:spacing w:val="11"/>
        </w:rPr>
        <w:t>，</w:t>
      </w:r>
      <w:r>
        <w:rPr>
          <w:rFonts w:ascii="Times New Roman" w:hAnsi="Times New Roman" w:eastAsia="Times New Roman" w:cs="Times New Roman"/>
          <w:spacing w:val="11"/>
        </w:rPr>
        <w:t>1 </w:t>
      </w:r>
      <w:r>
        <w:rPr>
          <w:spacing w:val="11"/>
        </w:rPr>
        <w:t>个平均潜伏期内连续发病 </w:t>
      </w:r>
      <w:r>
        <w:rPr>
          <w:rFonts w:ascii="Times New Roman" w:hAnsi="Times New Roman" w:eastAsia="Times New Roman" w:cs="Times New Roman"/>
          <w:spacing w:val="11"/>
        </w:rPr>
        <w:t>10</w:t>
      </w:r>
      <w:r>
        <w:rPr>
          <w:spacing w:val="4"/>
        </w:rPr>
        <w:t>例以上，或波及</w:t>
      </w:r>
      <w:r>
        <w:rPr>
          <w:spacing w:val="-33"/>
        </w:rPr>
        <w:t xml:space="preserve"> </w:t>
      </w:r>
      <w:r>
        <w:rPr>
          <w:rFonts w:ascii="Times New Roman" w:hAnsi="Times New Roman" w:eastAsia="Times New Roman" w:cs="Times New Roman"/>
          <w:spacing w:val="4"/>
        </w:rPr>
        <w:t>2 </w:t>
      </w:r>
      <w:r>
        <w:rPr>
          <w:spacing w:val="4"/>
        </w:rPr>
        <w:t>个以上县（</w:t>
      </w:r>
      <w:r>
        <w:rPr>
          <w:spacing w:val="-52"/>
        </w:rPr>
        <w:t xml:space="preserve"> </w:t>
      </w:r>
      <w:r>
        <w:rPr>
          <w:spacing w:val="4"/>
        </w:rPr>
        <w:t>区）。</w:t>
      </w:r>
    </w:p>
    <w:p>
      <w:pPr>
        <w:pStyle w:val="BodyText"/>
        <w:ind w:left="3" w:right="18" w:firstLine="409"/>
        <w:spacing w:before="128" w:line="315" w:lineRule="auto"/>
        <w:rPr/>
      </w:pPr>
      <w:r>
        <w:rPr>
          <w:spacing w:val="6"/>
        </w:rPr>
        <w:t>（</w:t>
      </w:r>
      <w:r>
        <w:rPr>
          <w:rFonts w:ascii="Times New Roman" w:hAnsi="Times New Roman" w:eastAsia="Times New Roman" w:cs="Times New Roman"/>
          <w:spacing w:val="6"/>
        </w:rPr>
        <w:t>3</w:t>
      </w:r>
      <w:r>
        <w:rPr>
          <w:rFonts w:ascii="Times New Roman" w:hAnsi="Times New Roman" w:eastAsia="Times New Roman" w:cs="Times New Roman"/>
          <w:spacing w:val="-16"/>
        </w:rPr>
        <w:t xml:space="preserve"> </w:t>
      </w:r>
      <w:r>
        <w:rPr>
          <w:spacing w:val="6"/>
        </w:rPr>
        <w:t>）霍乱在</w:t>
      </w:r>
      <w:r>
        <w:rPr>
          <w:spacing w:val="-18"/>
        </w:rPr>
        <w:t xml:space="preserve"> </w:t>
      </w:r>
      <w:r>
        <w:rPr>
          <w:rFonts w:ascii="Times New Roman" w:hAnsi="Times New Roman" w:eastAsia="Times New Roman" w:cs="Times New Roman"/>
          <w:spacing w:val="6"/>
        </w:rPr>
        <w:t>1 </w:t>
      </w:r>
      <w:r>
        <w:rPr>
          <w:spacing w:val="6"/>
        </w:rPr>
        <w:t>个县（</w:t>
      </w:r>
      <w:r>
        <w:rPr>
          <w:spacing w:val="-47"/>
        </w:rPr>
        <w:t xml:space="preserve"> </w:t>
      </w:r>
      <w:r>
        <w:rPr>
          <w:spacing w:val="6"/>
        </w:rPr>
        <w:t>区）行政区域内发</w:t>
      </w:r>
      <w:r>
        <w:rPr>
          <w:spacing w:val="-17"/>
        </w:rPr>
        <w:t>生，</w:t>
      </w:r>
      <w:r>
        <w:rPr>
          <w:rFonts w:ascii="Times New Roman" w:hAnsi="Times New Roman" w:eastAsia="Times New Roman" w:cs="Times New Roman"/>
          <w:spacing w:val="-17"/>
        </w:rPr>
        <w:t>1 </w:t>
      </w:r>
      <w:r>
        <w:rPr>
          <w:spacing w:val="-17"/>
        </w:rPr>
        <w:t>周内发病</w:t>
      </w:r>
      <w:r>
        <w:rPr>
          <w:spacing w:val="-39"/>
        </w:rPr>
        <w:t xml:space="preserve"> </w:t>
      </w:r>
      <w:r>
        <w:rPr>
          <w:rFonts w:ascii="Times New Roman" w:hAnsi="Times New Roman" w:eastAsia="Times New Roman" w:cs="Times New Roman"/>
          <w:spacing w:val="-17"/>
        </w:rPr>
        <w:t>10-29 </w:t>
      </w:r>
      <w:r>
        <w:rPr>
          <w:spacing w:val="-17"/>
        </w:rPr>
        <w:t>例，或波及</w:t>
      </w:r>
      <w:r>
        <w:rPr>
          <w:spacing w:val="-56"/>
        </w:rPr>
        <w:t xml:space="preserve"> </w:t>
      </w:r>
      <w:r>
        <w:rPr>
          <w:rFonts w:ascii="Times New Roman" w:hAnsi="Times New Roman" w:eastAsia="Times New Roman" w:cs="Times New Roman"/>
          <w:spacing w:val="-17"/>
        </w:rPr>
        <w:t>2 </w:t>
      </w:r>
      <w:r>
        <w:rPr>
          <w:spacing w:val="-17"/>
        </w:rPr>
        <w:t>个以上县</w:t>
      </w:r>
      <w:r>
        <w:rPr>
          <w:spacing w:val="-18"/>
        </w:rPr>
        <w:t>（区）。</w:t>
      </w:r>
    </w:p>
    <w:p>
      <w:pPr>
        <w:pStyle w:val="BodyText"/>
        <w:ind w:left="2" w:right="39" w:firstLine="409"/>
        <w:spacing w:before="132" w:line="324" w:lineRule="auto"/>
        <w:rPr/>
      </w:pPr>
      <w:r>
        <w:rPr/>
        <w:t>（</w:t>
      </w:r>
      <w:r>
        <w:rPr>
          <w:rFonts w:ascii="Times New Roman" w:hAnsi="Times New Roman" w:eastAsia="Times New Roman" w:cs="Times New Roman"/>
        </w:rPr>
        <w:t>4 </w:t>
      </w:r>
      <w:r>
        <w:rPr/>
        <w:t>）</w:t>
      </w:r>
      <w:r>
        <w:rPr>
          <w:rFonts w:ascii="Times New Roman" w:hAnsi="Times New Roman" w:eastAsia="Times New Roman" w:cs="Times New Roman"/>
        </w:rPr>
        <w:t>1 </w:t>
      </w:r>
      <w:r>
        <w:rPr/>
        <w:t>周内在</w:t>
      </w:r>
      <w:r>
        <w:rPr>
          <w:spacing w:val="-5"/>
        </w:rPr>
        <w:t xml:space="preserve"> </w:t>
      </w:r>
      <w:r>
        <w:rPr>
          <w:rFonts w:ascii="Times New Roman" w:hAnsi="Times New Roman" w:eastAsia="Times New Roman" w:cs="Times New Roman"/>
        </w:rPr>
        <w:t>1 </w:t>
      </w:r>
      <w:r>
        <w:rPr/>
        <w:t>个县（</w:t>
      </w:r>
      <w:r>
        <w:rPr>
          <w:spacing w:val="-50"/>
        </w:rPr>
        <w:t xml:space="preserve"> </w:t>
      </w:r>
      <w:r>
        <w:rPr/>
        <w:t>区）行政区域内，</w:t>
      </w:r>
      <w:r>
        <w:rPr>
          <w:spacing w:val="6"/>
        </w:rPr>
        <w:t>乙、丙类传染病发病水平超过前</w:t>
      </w:r>
      <w:r>
        <w:rPr>
          <w:spacing w:val="-33"/>
        </w:rPr>
        <w:t xml:space="preserve"> </w:t>
      </w:r>
      <w:r>
        <w:rPr>
          <w:rFonts w:ascii="Times New Roman" w:hAnsi="Times New Roman" w:eastAsia="Times New Roman" w:cs="Times New Roman"/>
          <w:spacing w:val="6"/>
        </w:rPr>
        <w:t>5 </w:t>
      </w:r>
      <w:r>
        <w:rPr>
          <w:spacing w:val="6"/>
        </w:rPr>
        <w:t>年同期平均</w:t>
      </w:r>
      <w:r>
        <w:rPr>
          <w:spacing w:val="4"/>
        </w:rPr>
        <w:t>发病水平</w:t>
      </w:r>
      <w:r>
        <w:rPr>
          <w:spacing w:val="-19"/>
        </w:rPr>
        <w:t xml:space="preserve"> </w:t>
      </w:r>
      <w:r>
        <w:rPr>
          <w:rFonts w:ascii="Times New Roman" w:hAnsi="Times New Roman" w:eastAsia="Times New Roman" w:cs="Times New Roman"/>
          <w:spacing w:val="4"/>
        </w:rPr>
        <w:t>1 </w:t>
      </w:r>
      <w:r>
        <w:rPr>
          <w:spacing w:val="4"/>
        </w:rPr>
        <w:t>倍以上。</w:t>
      </w:r>
    </w:p>
    <w:p>
      <w:pPr>
        <w:pStyle w:val="BodyText"/>
        <w:ind w:left="1" w:right="98" w:firstLine="410"/>
        <w:spacing w:before="162" w:line="299" w:lineRule="auto"/>
        <w:rPr/>
      </w:pPr>
      <w:r>
        <w:rPr>
          <w:spacing w:val="4"/>
        </w:rPr>
        <w:t>（</w:t>
      </w:r>
      <w:r>
        <w:rPr>
          <w:spacing w:val="-57"/>
        </w:rPr>
        <w:t xml:space="preserve"> </w:t>
      </w:r>
      <w:r>
        <w:rPr>
          <w:rFonts w:ascii="Times New Roman" w:hAnsi="Times New Roman" w:eastAsia="Times New Roman" w:cs="Times New Roman"/>
          <w:spacing w:val="4"/>
        </w:rPr>
        <w:t>5</w:t>
      </w:r>
      <w:r>
        <w:rPr>
          <w:rFonts w:ascii="Times New Roman" w:hAnsi="Times New Roman" w:eastAsia="Times New Roman" w:cs="Times New Roman"/>
          <w:spacing w:val="-18"/>
        </w:rPr>
        <w:t xml:space="preserve"> </w:t>
      </w:r>
      <w:r>
        <w:rPr>
          <w:spacing w:val="4"/>
        </w:rPr>
        <w:t>）在</w:t>
      </w:r>
      <w:r>
        <w:rPr>
          <w:spacing w:val="-18"/>
        </w:rPr>
        <w:t xml:space="preserve"> </w:t>
      </w:r>
      <w:r>
        <w:rPr>
          <w:rFonts w:ascii="Times New Roman" w:hAnsi="Times New Roman" w:eastAsia="Times New Roman" w:cs="Times New Roman"/>
          <w:spacing w:val="4"/>
        </w:rPr>
        <w:t>1 </w:t>
      </w:r>
      <w:r>
        <w:rPr>
          <w:spacing w:val="4"/>
        </w:rPr>
        <w:t>个县（</w:t>
      </w:r>
      <w:r>
        <w:rPr>
          <w:spacing w:val="-48"/>
        </w:rPr>
        <w:t xml:space="preserve"> </w:t>
      </w:r>
      <w:r>
        <w:rPr>
          <w:spacing w:val="4"/>
        </w:rPr>
        <w:t>区）范围内发现群体性</w:t>
      </w:r>
      <w:r>
        <w:rPr>
          <w:spacing w:val="7"/>
        </w:rPr>
        <w:t>不明原因疾病。</w:t>
      </w:r>
    </w:p>
    <w:p>
      <w:pPr>
        <w:pStyle w:val="BodyText"/>
        <w:ind w:right="101" w:firstLine="411"/>
        <w:spacing w:before="163" w:line="301" w:lineRule="auto"/>
        <w:rPr/>
      </w:pPr>
      <w:r>
        <w:rPr>
          <w:spacing w:val="6"/>
        </w:rPr>
        <w:t>（</w:t>
      </w:r>
      <w:r>
        <w:rPr>
          <w:rFonts w:ascii="Times New Roman" w:hAnsi="Times New Roman" w:eastAsia="Times New Roman" w:cs="Times New Roman"/>
          <w:spacing w:val="6"/>
        </w:rPr>
        <w:t>6</w:t>
      </w:r>
      <w:r>
        <w:rPr>
          <w:rFonts w:ascii="Times New Roman" w:hAnsi="Times New Roman" w:eastAsia="Times New Roman" w:cs="Times New Roman"/>
          <w:spacing w:val="-11"/>
        </w:rPr>
        <w:t xml:space="preserve"> </w:t>
      </w:r>
      <w:r>
        <w:rPr>
          <w:spacing w:val="6"/>
        </w:rPr>
        <w:t>）一次食物中毒超过</w:t>
      </w:r>
      <w:r>
        <w:rPr>
          <w:spacing w:val="-18"/>
        </w:rPr>
        <w:t xml:space="preserve"> </w:t>
      </w:r>
      <w:r>
        <w:rPr>
          <w:rFonts w:ascii="Times New Roman" w:hAnsi="Times New Roman" w:eastAsia="Times New Roman" w:cs="Times New Roman"/>
          <w:spacing w:val="6"/>
        </w:rPr>
        <w:t>100 </w:t>
      </w:r>
      <w:r>
        <w:rPr>
          <w:spacing w:val="6"/>
        </w:rPr>
        <w:t>人</w:t>
      </w:r>
      <w:r>
        <w:rPr>
          <w:spacing w:val="-58"/>
        </w:rPr>
        <w:t xml:space="preserve"> </w:t>
      </w:r>
      <w:r>
        <w:rPr>
          <w:spacing w:val="6"/>
        </w:rPr>
        <w:t>，或出现</w:t>
      </w:r>
      <w:r>
        <w:rPr>
          <w:spacing w:val="6"/>
        </w:rPr>
        <w:t>死亡病例。</w:t>
      </w:r>
    </w:p>
    <w:p>
      <w:pPr>
        <w:pStyle w:val="BodyText"/>
        <w:ind w:left="412"/>
        <w:spacing w:before="163" w:line="221" w:lineRule="auto"/>
        <w:rPr/>
      </w:pPr>
      <w:r>
        <w:rPr>
          <w:spacing w:val="11"/>
        </w:rPr>
        <w:t>（</w:t>
      </w:r>
      <w:r>
        <w:rPr>
          <w:rFonts w:ascii="Times New Roman" w:hAnsi="Times New Roman" w:eastAsia="Times New Roman" w:cs="Times New Roman"/>
          <w:spacing w:val="11"/>
        </w:rPr>
        <w:t>7</w:t>
      </w:r>
      <w:r>
        <w:rPr>
          <w:rFonts w:ascii="Times New Roman" w:hAnsi="Times New Roman" w:eastAsia="Times New Roman" w:cs="Times New Roman"/>
          <w:spacing w:val="-18"/>
        </w:rPr>
        <w:t xml:space="preserve"> </w:t>
      </w:r>
      <w:r>
        <w:rPr>
          <w:spacing w:val="11"/>
        </w:rPr>
        <w:t>）预防接种或群体预防性服药出现群</w:t>
      </w:r>
    </w:p>
    <w:p>
      <w:pPr>
        <w:spacing w:line="221" w:lineRule="auto"/>
        <w:sectPr>
          <w:type w:val="continuous"/>
          <w:pgSz w:w="11906" w:h="16839"/>
          <w:pgMar w:top="1772" w:right="1489" w:bottom="1562" w:left="1567" w:header="1428" w:footer="1172" w:gutter="0"/>
          <w:cols w:equalWidth="0" w:num="2">
            <w:col w:w="4502" w:space="100"/>
            <w:col w:w="4248" w:space="0"/>
          </w:cols>
        </w:sectPr>
        <w:rPr/>
      </w:pPr>
    </w:p>
    <w:p>
      <w:pPr>
        <w:spacing w:line="140" w:lineRule="exact"/>
        <w:rPr/>
      </w:pPr>
      <w:r>
        <w:drawing>
          <wp:anchor distT="0" distB="0" distL="0" distR="0" simplePos="0" relativeHeight="25335808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902" name="IM 1902"/>
            <wp:cNvGraphicFramePr/>
            <a:graphic>
              <a:graphicData uri="http://schemas.openxmlformats.org/drawingml/2006/picture">
                <pic:pic>
                  <pic:nvPicPr>
                    <pic:cNvPr id="1902" name="IM 1902"/>
                    <pic:cNvPicPr/>
                  </pic:nvPicPr>
                  <pic:blipFill>
                    <a:blip r:embed="rId953"/>
                    <a:stretch>
                      <a:fillRect/>
                    </a:stretch>
                  </pic:blipFill>
                  <pic:spPr>
                    <a:xfrm rot="0">
                      <a:off x="0" y="0"/>
                      <a:ext cx="5579745" cy="7620"/>
                    </a:xfrm>
                    <a:prstGeom prst="rect">
                      <a:avLst/>
                    </a:prstGeom>
                  </pic:spPr>
                </pic:pic>
              </a:graphicData>
            </a:graphic>
          </wp:anchor>
        </w:drawing>
      </w:r>
      <w:r/>
    </w:p>
    <w:p>
      <w:pPr>
        <w:spacing w:line="140" w:lineRule="exact"/>
        <w:sectPr>
          <w:headerReference w:type="default" r:id="rId597"/>
          <w:footerReference w:type="default" r:id="rId952"/>
          <w:pgSz w:w="11906" w:h="16839"/>
          <w:pgMar w:top="1766" w:right="1509" w:bottom="1575" w:left="1579" w:header="1428" w:footer="1172" w:gutter="0"/>
          <w:cols w:equalWidth="0" w:num="1">
            <w:col w:w="8817" w:space="0"/>
          </w:cols>
        </w:sectPr>
        <w:rPr/>
      </w:pPr>
    </w:p>
    <w:p>
      <w:pPr>
        <w:pStyle w:val="BodyText"/>
        <w:ind w:left="13"/>
        <w:spacing w:before="51" w:line="223" w:lineRule="auto"/>
        <w:rPr/>
      </w:pPr>
      <w:r>
        <w:rPr>
          <w:spacing w:val="8"/>
        </w:rPr>
        <w:t>体心因性反应或不良反应。</w:t>
      </w:r>
    </w:p>
    <w:p>
      <w:pPr>
        <w:pStyle w:val="BodyText"/>
        <w:ind w:left="16" w:right="368" w:firstLine="408"/>
        <w:spacing w:before="141" w:line="289" w:lineRule="auto"/>
        <w:rPr/>
      </w:pPr>
      <w:r>
        <w:rPr>
          <w:spacing w:val="5"/>
        </w:rPr>
        <w:t>（</w:t>
      </w:r>
      <w:r>
        <w:rPr>
          <w:spacing w:val="-46"/>
        </w:rPr>
        <w:t xml:space="preserve"> </w:t>
      </w:r>
      <w:r>
        <w:rPr>
          <w:rFonts w:ascii="Times New Roman" w:hAnsi="Times New Roman" w:eastAsia="Times New Roman" w:cs="Times New Roman"/>
          <w:spacing w:val="5"/>
        </w:rPr>
        <w:t>8</w:t>
      </w:r>
      <w:r>
        <w:rPr>
          <w:rFonts w:ascii="Times New Roman" w:hAnsi="Times New Roman" w:eastAsia="Times New Roman" w:cs="Times New Roman"/>
          <w:spacing w:val="-16"/>
        </w:rPr>
        <w:t xml:space="preserve"> </w:t>
      </w:r>
      <w:r>
        <w:rPr>
          <w:spacing w:val="5"/>
        </w:rPr>
        <w:t>）一次发生急性职业中毒</w:t>
      </w:r>
      <w:r>
        <w:rPr>
          <w:spacing w:val="-16"/>
        </w:rPr>
        <w:t xml:space="preserve"> </w:t>
      </w:r>
      <w:r>
        <w:rPr>
          <w:rFonts w:ascii="Times New Roman" w:hAnsi="Times New Roman" w:eastAsia="Times New Roman" w:cs="Times New Roman"/>
          <w:spacing w:val="5"/>
        </w:rPr>
        <w:t>10-49 </w:t>
      </w:r>
      <w:r>
        <w:rPr>
          <w:spacing w:val="5"/>
        </w:rPr>
        <w:t>人，</w:t>
      </w:r>
      <w:r>
        <w:rPr>
          <w:spacing w:val="6"/>
        </w:rPr>
        <w:t>或死亡</w:t>
      </w:r>
      <w:r>
        <w:rPr>
          <w:spacing w:val="-44"/>
        </w:rPr>
        <w:t xml:space="preserve"> </w:t>
      </w:r>
      <w:r>
        <w:rPr>
          <w:rFonts w:ascii="Times New Roman" w:hAnsi="Times New Roman" w:eastAsia="Times New Roman" w:cs="Times New Roman"/>
          <w:spacing w:val="6"/>
        </w:rPr>
        <w:t>4 </w:t>
      </w:r>
      <w:r>
        <w:rPr>
          <w:spacing w:val="6"/>
        </w:rPr>
        <w:t>人以下。</w:t>
      </w:r>
    </w:p>
    <w:p>
      <w:pPr>
        <w:pStyle w:val="BodyText"/>
        <w:ind w:left="30" w:right="332" w:firstLine="394"/>
        <w:spacing w:before="135" w:line="287" w:lineRule="auto"/>
        <w:rPr/>
      </w:pPr>
      <w:r>
        <w:rPr>
          <w:spacing w:val="11"/>
        </w:rPr>
        <w:t>（</w:t>
      </w:r>
      <w:r>
        <w:rPr>
          <w:rFonts w:ascii="Times New Roman" w:hAnsi="Times New Roman" w:eastAsia="Times New Roman" w:cs="Times New Roman"/>
          <w:spacing w:val="11"/>
        </w:rPr>
        <w:t>9</w:t>
      </w:r>
      <w:r>
        <w:rPr>
          <w:rFonts w:ascii="Times New Roman" w:hAnsi="Times New Roman" w:eastAsia="Times New Roman" w:cs="Times New Roman"/>
          <w:spacing w:val="-18"/>
        </w:rPr>
        <w:t xml:space="preserve"> </w:t>
      </w:r>
      <w:r>
        <w:rPr>
          <w:spacing w:val="11"/>
        </w:rPr>
        <w:t>）市级及以上卫生健康行政部门认定</w:t>
      </w:r>
      <w:r>
        <w:rPr>
          <w:spacing w:val="7"/>
        </w:rPr>
        <w:t>的其他较大突发公共卫生事件。</w:t>
      </w:r>
    </w:p>
    <w:p>
      <w:pPr>
        <w:pStyle w:val="BodyText"/>
        <w:ind w:left="437"/>
        <w:spacing w:before="139" w:line="277" w:lineRule="exact"/>
        <w:rPr/>
      </w:pPr>
      <w:r>
        <w:rPr>
          <w:rFonts w:ascii="Times New Roman" w:hAnsi="Times New Roman" w:eastAsia="Times New Roman" w:cs="Times New Roman"/>
          <w:spacing w:val="3"/>
          <w:position w:val="1"/>
        </w:rPr>
        <w:t>3.2.4 </w:t>
      </w:r>
      <w:r>
        <w:rPr>
          <w:spacing w:val="3"/>
          <w:position w:val="1"/>
        </w:rPr>
        <w:t>一般突发公共卫生事件 (</w:t>
      </w:r>
      <w:r>
        <w:rPr>
          <w:spacing w:val="-25"/>
          <w:position w:val="1"/>
        </w:rPr>
        <w:t xml:space="preserve"> </w:t>
      </w:r>
      <w:r>
        <w:rPr>
          <w:rFonts w:ascii="Times New Roman" w:hAnsi="Times New Roman" w:eastAsia="Times New Roman" w:cs="Times New Roman"/>
          <w:spacing w:val="3"/>
          <w:position w:val="1"/>
        </w:rPr>
        <w:t>Ⅳ</w:t>
      </w:r>
      <w:r>
        <w:rPr>
          <w:spacing w:val="3"/>
          <w:position w:val="1"/>
        </w:rPr>
        <w:t>级）。</w:t>
      </w:r>
    </w:p>
    <w:p>
      <w:pPr>
        <w:pStyle w:val="BodyText"/>
        <w:ind w:left="14" w:right="256" w:firstLine="409"/>
        <w:spacing w:before="101" w:line="288" w:lineRule="auto"/>
        <w:rPr/>
      </w:pPr>
      <w:r>
        <w:rPr>
          <w:spacing w:val="3"/>
        </w:rPr>
        <w:t>（</w:t>
      </w:r>
      <w:r>
        <w:rPr>
          <w:spacing w:val="-40"/>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9"/>
        </w:rPr>
        <w:t xml:space="preserve"> </w:t>
      </w:r>
      <w:r>
        <w:rPr>
          <w:spacing w:val="3"/>
        </w:rPr>
        <w:t>）腺鼠疫在</w:t>
      </w:r>
      <w:r>
        <w:rPr>
          <w:spacing w:val="-18"/>
        </w:rPr>
        <w:t xml:space="preserve"> </w:t>
      </w:r>
      <w:r>
        <w:rPr>
          <w:rFonts w:ascii="Times New Roman" w:hAnsi="Times New Roman" w:eastAsia="Times New Roman" w:cs="Times New Roman"/>
          <w:spacing w:val="3"/>
        </w:rPr>
        <w:t>1 </w:t>
      </w:r>
      <w:r>
        <w:rPr>
          <w:spacing w:val="3"/>
        </w:rPr>
        <w:t>个县（</w:t>
      </w:r>
      <w:r>
        <w:rPr>
          <w:spacing w:val="-47"/>
        </w:rPr>
        <w:t xml:space="preserve"> </w:t>
      </w:r>
      <w:r>
        <w:rPr>
          <w:spacing w:val="3"/>
        </w:rPr>
        <w:t>区）行政区域内</w:t>
      </w:r>
      <w:r>
        <w:rPr>
          <w:spacing w:val="6"/>
        </w:rPr>
        <w:t>发生，</w:t>
      </w:r>
      <w:r>
        <w:rPr>
          <w:rFonts w:ascii="Times New Roman" w:hAnsi="Times New Roman" w:eastAsia="Times New Roman" w:cs="Times New Roman"/>
          <w:spacing w:val="6"/>
        </w:rPr>
        <w:t>1 </w:t>
      </w:r>
      <w:r>
        <w:rPr>
          <w:spacing w:val="6"/>
        </w:rPr>
        <w:t>个平均潜伏期内病例数未超过</w:t>
      </w:r>
      <w:r>
        <w:rPr>
          <w:spacing w:val="-23"/>
        </w:rPr>
        <w:t xml:space="preserve"> </w:t>
      </w:r>
      <w:r>
        <w:rPr>
          <w:rFonts w:ascii="Times New Roman" w:hAnsi="Times New Roman" w:eastAsia="Times New Roman" w:cs="Times New Roman"/>
          <w:spacing w:val="6"/>
        </w:rPr>
        <w:t>10 </w:t>
      </w:r>
      <w:r>
        <w:rPr>
          <w:spacing w:val="6"/>
        </w:rPr>
        <w:t>例。</w:t>
      </w:r>
    </w:p>
    <w:p>
      <w:pPr>
        <w:pStyle w:val="BodyText"/>
        <w:ind w:left="15" w:right="329" w:firstLine="409"/>
        <w:spacing w:before="138" w:line="288" w:lineRule="auto"/>
        <w:rPr/>
      </w:pPr>
      <w:r>
        <w:rPr>
          <w:spacing w:val="6"/>
        </w:rPr>
        <w:t>（</w:t>
      </w:r>
      <w:r>
        <w:rPr>
          <w:rFonts w:ascii="Times New Roman" w:hAnsi="Times New Roman" w:eastAsia="Times New Roman" w:cs="Times New Roman"/>
          <w:spacing w:val="6"/>
        </w:rPr>
        <w:t>2</w:t>
      </w:r>
      <w:r>
        <w:rPr>
          <w:rFonts w:ascii="Times New Roman" w:hAnsi="Times New Roman" w:eastAsia="Times New Roman" w:cs="Times New Roman"/>
          <w:spacing w:val="-16"/>
        </w:rPr>
        <w:t xml:space="preserve"> </w:t>
      </w:r>
      <w:r>
        <w:rPr>
          <w:spacing w:val="6"/>
        </w:rPr>
        <w:t>）霍乱在</w:t>
      </w:r>
      <w:r>
        <w:rPr>
          <w:spacing w:val="-18"/>
        </w:rPr>
        <w:t xml:space="preserve"> </w:t>
      </w:r>
      <w:r>
        <w:rPr>
          <w:rFonts w:ascii="Times New Roman" w:hAnsi="Times New Roman" w:eastAsia="Times New Roman" w:cs="Times New Roman"/>
          <w:spacing w:val="6"/>
        </w:rPr>
        <w:t>1 </w:t>
      </w:r>
      <w:r>
        <w:rPr>
          <w:spacing w:val="6"/>
        </w:rPr>
        <w:t>个县（</w:t>
      </w:r>
      <w:r>
        <w:rPr>
          <w:spacing w:val="-47"/>
        </w:rPr>
        <w:t xml:space="preserve"> </w:t>
      </w:r>
      <w:r>
        <w:rPr>
          <w:spacing w:val="6"/>
        </w:rPr>
        <w:t>区）行政区域内发</w:t>
      </w:r>
      <w:r>
        <w:rPr>
          <w:spacing w:val="6"/>
        </w:rPr>
        <w:t>生，</w:t>
      </w:r>
      <w:r>
        <w:rPr>
          <w:rFonts w:ascii="Times New Roman" w:hAnsi="Times New Roman" w:eastAsia="Times New Roman" w:cs="Times New Roman"/>
          <w:spacing w:val="6"/>
        </w:rPr>
        <w:t>1 </w:t>
      </w:r>
      <w:r>
        <w:rPr>
          <w:spacing w:val="6"/>
        </w:rPr>
        <w:t>周内发病</w:t>
      </w:r>
      <w:r>
        <w:rPr>
          <w:spacing w:val="-36"/>
        </w:rPr>
        <w:t xml:space="preserve"> </w:t>
      </w:r>
      <w:r>
        <w:rPr>
          <w:rFonts w:ascii="Times New Roman" w:hAnsi="Times New Roman" w:eastAsia="Times New Roman" w:cs="Times New Roman"/>
          <w:spacing w:val="6"/>
        </w:rPr>
        <w:t>9 </w:t>
      </w:r>
      <w:r>
        <w:rPr>
          <w:spacing w:val="6"/>
        </w:rPr>
        <w:t>例以下。</w:t>
      </w:r>
    </w:p>
    <w:p>
      <w:pPr>
        <w:pStyle w:val="BodyText"/>
        <w:ind w:left="16" w:right="327" w:firstLine="408"/>
        <w:spacing w:before="135" w:line="288" w:lineRule="auto"/>
        <w:rPr/>
      </w:pPr>
      <w:r>
        <w:rPr>
          <w:spacing w:val="6"/>
        </w:rPr>
        <w:t>（</w:t>
      </w:r>
      <w:r>
        <w:rPr>
          <w:spacing w:val="-54"/>
        </w:rPr>
        <w:t xml:space="preserve"> </w:t>
      </w:r>
      <w:r>
        <w:rPr>
          <w:rFonts w:ascii="Times New Roman" w:hAnsi="Times New Roman" w:eastAsia="Times New Roman" w:cs="Times New Roman"/>
          <w:spacing w:val="6"/>
        </w:rPr>
        <w:t>3</w:t>
      </w:r>
      <w:r>
        <w:rPr>
          <w:rFonts w:ascii="Times New Roman" w:hAnsi="Times New Roman" w:eastAsia="Times New Roman" w:cs="Times New Roman"/>
          <w:spacing w:val="-16"/>
        </w:rPr>
        <w:t xml:space="preserve"> </w:t>
      </w:r>
      <w:r>
        <w:rPr>
          <w:spacing w:val="6"/>
        </w:rPr>
        <w:t>）一次食物中毒人数</w:t>
      </w:r>
      <w:r>
        <w:rPr>
          <w:spacing w:val="-31"/>
        </w:rPr>
        <w:t xml:space="preserve"> </w:t>
      </w:r>
      <w:r>
        <w:rPr>
          <w:rFonts w:ascii="Times New Roman" w:hAnsi="Times New Roman" w:eastAsia="Times New Roman" w:cs="Times New Roman"/>
          <w:spacing w:val="6"/>
        </w:rPr>
        <w:t>30-99 </w:t>
      </w:r>
      <w:r>
        <w:rPr>
          <w:spacing w:val="6"/>
        </w:rPr>
        <w:t>人</w:t>
      </w:r>
      <w:r>
        <w:rPr>
          <w:spacing w:val="-56"/>
        </w:rPr>
        <w:t xml:space="preserve"> </w:t>
      </w:r>
      <w:r>
        <w:rPr>
          <w:spacing w:val="6"/>
        </w:rPr>
        <w:t>，未出</w:t>
      </w:r>
      <w:r>
        <w:rPr>
          <w:spacing w:val="6"/>
        </w:rPr>
        <w:t>现死亡病例。</w:t>
      </w:r>
    </w:p>
    <w:p>
      <w:pPr>
        <w:pStyle w:val="BodyText"/>
        <w:ind w:left="14" w:right="370" w:firstLine="410"/>
        <w:spacing w:before="136" w:line="287" w:lineRule="auto"/>
        <w:rPr/>
      </w:pPr>
      <w:r>
        <w:rPr>
          <w:spacing w:val="7"/>
        </w:rPr>
        <w:t>（</w:t>
      </w:r>
      <w:r>
        <w:rPr>
          <w:rFonts w:ascii="Times New Roman" w:hAnsi="Times New Roman" w:eastAsia="Times New Roman" w:cs="Times New Roman"/>
          <w:spacing w:val="7"/>
        </w:rPr>
        <w:t>4</w:t>
      </w:r>
      <w:r>
        <w:rPr>
          <w:rFonts w:ascii="Times New Roman" w:hAnsi="Times New Roman" w:eastAsia="Times New Roman" w:cs="Times New Roman"/>
          <w:spacing w:val="-7"/>
        </w:rPr>
        <w:t xml:space="preserve"> </w:t>
      </w:r>
      <w:r>
        <w:rPr>
          <w:spacing w:val="7"/>
        </w:rPr>
        <w:t>）一次发生急性职业中毒</w:t>
      </w:r>
      <w:r>
        <w:rPr>
          <w:spacing w:val="-35"/>
        </w:rPr>
        <w:t xml:space="preserve"> </w:t>
      </w:r>
      <w:r>
        <w:rPr>
          <w:rFonts w:ascii="Times New Roman" w:hAnsi="Times New Roman" w:eastAsia="Times New Roman" w:cs="Times New Roman"/>
          <w:spacing w:val="7"/>
        </w:rPr>
        <w:t>9 </w:t>
      </w:r>
      <w:r>
        <w:rPr>
          <w:spacing w:val="7"/>
        </w:rPr>
        <w:t>人以下，</w:t>
      </w:r>
      <w:r>
        <w:rPr>
          <w:spacing w:val="8"/>
        </w:rPr>
        <w:t>未出现死亡病例。</w:t>
      </w:r>
    </w:p>
    <w:p>
      <w:pPr>
        <w:pStyle w:val="BodyText"/>
        <w:ind w:left="30" w:right="332" w:firstLine="394"/>
        <w:spacing w:before="145" w:line="292" w:lineRule="auto"/>
        <w:rPr/>
      </w:pPr>
      <w:r>
        <w:rPr>
          <w:spacing w:val="8"/>
        </w:rPr>
        <w:t>（</w:t>
      </w:r>
      <w:r>
        <w:rPr>
          <w:spacing w:val="-45"/>
        </w:rPr>
        <w:t xml:space="preserve"> </w:t>
      </w:r>
      <w:r>
        <w:rPr>
          <w:rFonts w:ascii="Times New Roman" w:hAnsi="Times New Roman" w:eastAsia="Times New Roman" w:cs="Times New Roman"/>
          <w:spacing w:val="8"/>
        </w:rPr>
        <w:t>5</w:t>
      </w:r>
      <w:r>
        <w:rPr>
          <w:rFonts w:ascii="Times New Roman" w:hAnsi="Times New Roman" w:eastAsia="Times New Roman" w:cs="Times New Roman"/>
          <w:spacing w:val="-19"/>
        </w:rPr>
        <w:t xml:space="preserve"> </w:t>
      </w:r>
      <w:r>
        <w:rPr>
          <w:spacing w:val="8"/>
        </w:rPr>
        <w:t>）县级及以上卫生健康行政部门认定</w:t>
      </w:r>
      <w:r>
        <w:rPr>
          <w:spacing w:val="7"/>
        </w:rPr>
        <w:t>的其他一般突发公共卫生事件。</w:t>
      </w:r>
    </w:p>
    <w:p>
      <w:pPr>
        <w:pStyle w:val="BodyText"/>
        <w:ind w:left="11" w:right="322" w:firstLine="426"/>
        <w:spacing w:before="142" w:line="350" w:lineRule="auto"/>
        <w:rPr/>
      </w:pPr>
      <w:r>
        <w:rPr>
          <w:rFonts w:ascii="Times New Roman" w:hAnsi="Times New Roman" w:eastAsia="Times New Roman" w:cs="Times New Roman"/>
          <w:spacing w:val="8"/>
        </w:rPr>
        <w:t>3.3  </w:t>
      </w:r>
      <w:r>
        <w:rPr>
          <w:rFonts w:ascii="KaiTi" w:hAnsi="KaiTi" w:eastAsia="KaiTi" w:cs="KaiTi"/>
          <w:spacing w:val="8"/>
        </w:rPr>
        <w:t>预警信息报告与发布。</w:t>
      </w:r>
      <w:r>
        <w:rPr>
          <w:spacing w:val="8"/>
        </w:rPr>
        <w:t>市突发公共卫</w:t>
      </w:r>
      <w:r>
        <w:rPr>
          <w:spacing w:val="7"/>
        </w:rPr>
        <w:t>生事件应急指挥部办公室接到信息报告后，要</w:t>
      </w:r>
      <w:r>
        <w:rPr>
          <w:spacing w:val="7"/>
        </w:rPr>
        <w:t>组织会商或进行分析研判，对可能引发一般和</w:t>
      </w:r>
      <w:r>
        <w:rPr>
          <w:spacing w:val="18"/>
        </w:rPr>
        <w:t>较大级别的突发公共卫生事件的监测预测预</w:t>
      </w:r>
      <w:r>
        <w:rPr>
          <w:spacing w:val="5"/>
        </w:rPr>
        <w:t>警信息，向指挥部成员单位和县（</w:t>
      </w:r>
      <w:r>
        <w:rPr>
          <w:spacing w:val="-47"/>
        </w:rPr>
        <w:t xml:space="preserve"> </w:t>
      </w:r>
      <w:r>
        <w:rPr>
          <w:spacing w:val="5"/>
        </w:rPr>
        <w:t>区）通报，</w:t>
      </w:r>
      <w:r>
        <w:rPr>
          <w:spacing w:val="7"/>
        </w:rPr>
        <w:t>督促和指导按照相应预案做好处置工作；对可</w:t>
      </w:r>
      <w:r>
        <w:rPr>
          <w:spacing w:val="7"/>
        </w:rPr>
        <w:t>能引发特别重大、重大级别的突发公共卫生事</w:t>
      </w:r>
      <w:r>
        <w:rPr>
          <w:spacing w:val="7"/>
        </w:rPr>
        <w:t>件的监测预测预警信息，市卫生健康委或市突</w:t>
      </w:r>
      <w:r>
        <w:rPr>
          <w:spacing w:val="18"/>
        </w:rPr>
        <w:t>发公共卫生事件应急指挥部要及时报告市应</w:t>
      </w:r>
      <w:r>
        <w:rPr>
          <w:spacing w:val="7"/>
        </w:rPr>
        <w:t>急委，并按照《固原市突发事件预警信息发布</w:t>
      </w:r>
      <w:r>
        <w:rPr>
          <w:spacing w:val="7"/>
        </w:rPr>
        <w:t>管理办法》，提出预警信息发布方案，并配合</w:t>
      </w:r>
      <w:r>
        <w:rPr>
          <w:spacing w:val="7"/>
        </w:rPr>
        <w:t>做好预警信息发布工作。同时，向市突发公共</w:t>
      </w:r>
      <w:r>
        <w:rPr>
          <w:spacing w:val="-4"/>
        </w:rPr>
        <w:t>卫生事件应急指挥部各成员单位通报有关情况。</w:t>
      </w:r>
    </w:p>
    <w:p>
      <w:pPr>
        <w:pStyle w:val="BodyText"/>
        <w:ind w:left="11" w:right="329" w:firstLine="426"/>
        <w:spacing w:before="147" w:line="333" w:lineRule="auto"/>
        <w:rPr/>
      </w:pPr>
      <w:r>
        <w:rPr>
          <w:rFonts w:ascii="Times New Roman" w:hAnsi="Times New Roman" w:eastAsia="Times New Roman" w:cs="Times New Roman"/>
          <w:spacing w:val="8"/>
        </w:rPr>
        <w:t>3.4  </w:t>
      </w:r>
      <w:r>
        <w:rPr>
          <w:rFonts w:ascii="KaiTi" w:hAnsi="KaiTi" w:eastAsia="KaiTi" w:cs="KaiTi"/>
          <w:spacing w:val="8"/>
        </w:rPr>
        <w:t>预警行动。</w:t>
      </w:r>
      <w:r>
        <w:rPr>
          <w:spacing w:val="8"/>
        </w:rPr>
        <w:t>市突发公共卫生事件应急</w:t>
      </w:r>
      <w:r>
        <w:rPr>
          <w:spacing w:val="7"/>
        </w:rPr>
        <w:t>指挥部办公室接到可能导致特别重大、重大级</w:t>
      </w:r>
      <w:r>
        <w:rPr>
          <w:spacing w:val="7"/>
        </w:rPr>
        <w:t>别的突发公共卫生事件的监测预警信息，要密</w:t>
      </w:r>
      <w:r>
        <w:rPr>
          <w:spacing w:val="7"/>
        </w:rPr>
        <w:t>切关注事态进展。按照市突发公共卫生事件应</w:t>
      </w:r>
      <w:r>
        <w:rPr>
          <w:spacing w:val="7"/>
        </w:rPr>
        <w:t>急指挥部的统一安排部署，组织、协调市突发</w:t>
      </w:r>
    </w:p>
    <w:p>
      <w:pPr>
        <w:spacing w:line="14" w:lineRule="auto"/>
        <w:rPr>
          <w:rFonts w:ascii="Arial"/>
          <w:sz w:val="2"/>
        </w:rPr>
      </w:pPr>
      <w:r>
        <w:rPr>
          <w:rFonts w:ascii="Arial" w:hAnsi="Arial" w:eastAsia="Arial" w:cs="Arial"/>
          <w:sz w:val="2"/>
          <w:szCs w:val="2"/>
        </w:rPr>
        <w:br w:type="column"/>
      </w:r>
    </w:p>
    <w:p>
      <w:pPr>
        <w:pStyle w:val="BodyText"/>
        <w:ind w:right="80"/>
        <w:spacing w:before="39" w:line="358" w:lineRule="auto"/>
        <w:jc w:val="both"/>
        <w:rPr/>
      </w:pPr>
      <w:r>
        <w:rPr>
          <w:spacing w:val="18"/>
        </w:rPr>
        <w:t>公共卫生事件应急指挥部成员单位和有关地</w:t>
      </w:r>
      <w:r>
        <w:rPr>
          <w:spacing w:val="7"/>
        </w:rPr>
        <w:t>区，按照预案做好应急准备和预防工作，并及</w:t>
      </w:r>
      <w:r>
        <w:rPr>
          <w:spacing w:val="18"/>
        </w:rPr>
        <w:t>时向市突发公共卫生事件应急指挥部动态报</w:t>
      </w:r>
      <w:r>
        <w:rPr>
          <w:spacing w:val="7"/>
        </w:rPr>
        <w:t>送有关信息。</w:t>
      </w:r>
    </w:p>
    <w:p>
      <w:pPr>
        <w:ind w:left="422"/>
        <w:spacing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4</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7"/>
        </w:rPr>
        <w:t>应急响应和处置</w:t>
      </w:r>
    </w:p>
    <w:p>
      <w:pPr>
        <w:ind w:left="420"/>
        <w:spacing w:before="86" w:line="268" w:lineRule="exact"/>
        <w:rPr>
          <w:rFonts w:ascii="KaiTi" w:hAnsi="KaiTi" w:eastAsia="KaiTi" w:cs="KaiTi"/>
          <w:sz w:val="20"/>
          <w:szCs w:val="20"/>
        </w:rPr>
      </w:pPr>
      <w:r>
        <w:rPr>
          <w:rFonts w:ascii="Times New Roman" w:hAnsi="Times New Roman" w:eastAsia="Times New Roman" w:cs="Times New Roman"/>
          <w:sz w:val="20"/>
          <w:szCs w:val="20"/>
          <w:spacing w:val="2"/>
          <w:position w:val="1"/>
        </w:rPr>
        <w:t>4.</w:t>
      </w:r>
      <w:r>
        <w:rPr>
          <w:rFonts w:ascii="Times New Roman" w:hAnsi="Times New Roman" w:eastAsia="Times New Roman" w:cs="Times New Roman"/>
          <w:sz w:val="20"/>
          <w:szCs w:val="20"/>
          <w:spacing w:val="-20"/>
          <w:position w:val="1"/>
        </w:rPr>
        <w:t xml:space="preserve"> </w:t>
      </w:r>
      <w:r>
        <w:rPr>
          <w:rFonts w:ascii="Times New Roman" w:hAnsi="Times New Roman" w:eastAsia="Times New Roman" w:cs="Times New Roman"/>
          <w:sz w:val="20"/>
          <w:szCs w:val="20"/>
          <w:spacing w:val="2"/>
          <w:position w:val="1"/>
        </w:rPr>
        <w:t>1  </w:t>
      </w:r>
      <w:r>
        <w:rPr>
          <w:rFonts w:ascii="KaiTi" w:hAnsi="KaiTi" w:eastAsia="KaiTi" w:cs="KaiTi"/>
          <w:sz w:val="20"/>
          <w:szCs w:val="20"/>
          <w:spacing w:val="2"/>
          <w:position w:val="1"/>
        </w:rPr>
        <w:t>信息报告。</w:t>
      </w:r>
    </w:p>
    <w:p>
      <w:pPr>
        <w:pStyle w:val="BodyText"/>
        <w:ind w:right="60" w:firstLine="420"/>
        <w:spacing w:before="125" w:line="346" w:lineRule="auto"/>
        <w:rPr/>
      </w:pPr>
      <w:r>
        <w:rPr>
          <w:rFonts w:ascii="Times New Roman" w:hAnsi="Times New Roman" w:eastAsia="Times New Roman" w:cs="Times New Roman"/>
          <w:spacing w:val="2"/>
        </w:rPr>
        <w:t>4.</w:t>
      </w:r>
      <w:r>
        <w:rPr>
          <w:rFonts w:ascii="Times New Roman" w:hAnsi="Times New Roman" w:eastAsia="Times New Roman" w:cs="Times New Roman"/>
          <w:spacing w:val="-17"/>
        </w:rPr>
        <w:t xml:space="preserve"> </w:t>
      </w:r>
      <w:r>
        <w:rPr>
          <w:rFonts w:ascii="Times New Roman" w:hAnsi="Times New Roman" w:eastAsia="Times New Roman" w:cs="Times New Roman"/>
          <w:spacing w:val="2"/>
        </w:rPr>
        <w:t>1.1 </w:t>
      </w:r>
      <w:r>
        <w:rPr>
          <w:spacing w:val="2"/>
        </w:rPr>
        <w:t>责任报告单位和责任报告人。县级以</w:t>
      </w:r>
      <w:r>
        <w:rPr>
          <w:spacing w:val="18"/>
        </w:rPr>
        <w:t>上卫生健康行政部门指定的突发公共卫生事</w:t>
      </w:r>
      <w:r>
        <w:rPr>
          <w:spacing w:val="7"/>
        </w:rPr>
        <w:t>件监测机构、各级各类医疗卫生机构、县级以</w:t>
      </w:r>
      <w:r>
        <w:rPr>
          <w:spacing w:val="7"/>
        </w:rPr>
        <w:t>上卫生健康行政部门、各级政府及突发公共卫</w:t>
      </w:r>
      <w:r>
        <w:rPr>
          <w:spacing w:val="7"/>
        </w:rPr>
        <w:t>生事件发生单位、与群众健康和卫生保健工作</w:t>
      </w:r>
      <w:r>
        <w:rPr>
          <w:spacing w:val="7"/>
        </w:rPr>
        <w:t>有密切关系的食品药品监督管理机构、环境保</w:t>
      </w:r>
      <w:r>
        <w:rPr>
          <w:spacing w:val="7"/>
        </w:rPr>
        <w:t>护监测机构、教育机构等有关单位是突发公共</w:t>
      </w:r>
      <w:r>
        <w:rPr>
          <w:spacing w:val="7"/>
        </w:rPr>
        <w:t>卫生事件的责任报告单位。履行职务的各级各</w:t>
      </w:r>
      <w:r>
        <w:rPr>
          <w:spacing w:val="7"/>
        </w:rPr>
        <w:t>类医疗卫生机构的医疗卫生人员、个体执业医</w:t>
      </w:r>
      <w:r>
        <w:rPr>
          <w:spacing w:val="8"/>
        </w:rPr>
        <w:t>生以及责任报告单位的负责人是责任报告人。</w:t>
      </w:r>
    </w:p>
    <w:p>
      <w:pPr>
        <w:pStyle w:val="BodyText"/>
        <w:ind w:left="420"/>
        <w:spacing w:before="153" w:line="216" w:lineRule="auto"/>
        <w:rPr/>
      </w:pPr>
      <w:r>
        <w:rPr>
          <w:rFonts w:ascii="Times New Roman" w:hAnsi="Times New Roman" w:eastAsia="Times New Roman" w:cs="Times New Roman"/>
          <w:spacing w:val="5"/>
        </w:rPr>
        <w:t>4.</w:t>
      </w:r>
      <w:r>
        <w:rPr>
          <w:rFonts w:ascii="Times New Roman" w:hAnsi="Times New Roman" w:eastAsia="Times New Roman" w:cs="Times New Roman"/>
          <w:spacing w:val="-22"/>
        </w:rPr>
        <w:t xml:space="preserve"> </w:t>
      </w:r>
      <w:r>
        <w:rPr>
          <w:rFonts w:ascii="Times New Roman" w:hAnsi="Times New Roman" w:eastAsia="Times New Roman" w:cs="Times New Roman"/>
          <w:spacing w:val="5"/>
        </w:rPr>
        <w:t>1.2 </w:t>
      </w:r>
      <w:r>
        <w:rPr>
          <w:spacing w:val="5"/>
        </w:rPr>
        <w:t>报告方式、内容和时限。</w:t>
      </w:r>
    </w:p>
    <w:p>
      <w:pPr>
        <w:pStyle w:val="BodyText"/>
        <w:ind w:firstLine="412"/>
        <w:spacing w:before="151" w:line="360" w:lineRule="auto"/>
        <w:jc w:val="both"/>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）获得突发公共卫生事件相关信息的</w:t>
      </w:r>
      <w:r>
        <w:rPr>
          <w:spacing w:val="1"/>
        </w:rPr>
        <w:t>责任报告单位和责任报告人，通过电话、传真、</w:t>
      </w:r>
      <w:r>
        <w:rPr>
          <w:spacing w:val="18"/>
        </w:rPr>
        <w:t>手机短信等方式向当地县级疾病预防控制机</w:t>
      </w:r>
      <w:r>
        <w:rPr>
          <w:spacing w:val="10"/>
        </w:rPr>
        <w:t>构报告。具备网络直报条件的</w:t>
      </w:r>
      <w:r>
        <w:rPr>
          <w:spacing w:val="-44"/>
        </w:rPr>
        <w:t xml:space="preserve"> </w:t>
      </w:r>
      <w:r>
        <w:rPr>
          <w:spacing w:val="10"/>
        </w:rPr>
        <w:t>，同时通过</w:t>
      </w:r>
      <w:r>
        <w:rPr>
          <w:rFonts w:ascii="Times New Roman" w:hAnsi="Times New Roman" w:eastAsia="Times New Roman" w:cs="Times New Roman"/>
          <w:spacing w:val="10"/>
        </w:rPr>
        <w:t>“</w:t>
      </w:r>
      <w:r>
        <w:rPr>
          <w:spacing w:val="10"/>
        </w:rPr>
        <w:t>突</w:t>
      </w:r>
      <w:r>
        <w:rPr>
          <w:spacing w:val="24"/>
        </w:rPr>
        <w:t>发公共卫生事件管理信息系统</w:t>
      </w:r>
      <w:r>
        <w:rPr>
          <w:rFonts w:ascii="Times New Roman" w:hAnsi="Times New Roman" w:eastAsia="Times New Roman" w:cs="Times New Roman"/>
          <w:spacing w:val="24"/>
        </w:rPr>
        <w:t>”</w:t>
      </w:r>
      <w:r>
        <w:rPr>
          <w:spacing w:val="24"/>
        </w:rPr>
        <w:t>进行网络直</w:t>
      </w:r>
      <w:r>
        <w:rPr>
          <w:spacing w:val="7"/>
        </w:rPr>
        <w:t>报。县级及以上疾病预防控制机构接收到报告</w:t>
      </w:r>
      <w:r>
        <w:rPr>
          <w:spacing w:val="7"/>
        </w:rPr>
        <w:t>信息后，应及时逐级审核信息，确保信息的准</w:t>
      </w:r>
      <w:r>
        <w:rPr>
          <w:spacing w:val="7"/>
        </w:rPr>
        <w:t>确性、完整性，按照有关规定报告本级卫生健</w:t>
      </w:r>
      <w:r>
        <w:rPr>
          <w:spacing w:val="7"/>
        </w:rPr>
        <w:t>康行政部门。市突发公共卫生事件事件应急指</w:t>
      </w:r>
      <w:r>
        <w:rPr>
          <w:spacing w:val="7"/>
        </w:rPr>
        <w:t>挥部办公室接到报告后，在规定的时限内向自</w:t>
      </w:r>
      <w:r>
        <w:rPr>
          <w:spacing w:val="7"/>
        </w:rPr>
        <w:t>治区卫健委、市委办值班室、政府办值班室报</w:t>
      </w:r>
      <w:r>
        <w:rPr>
          <w:spacing w:val="6"/>
        </w:rPr>
        <w:t>告信息。</w:t>
      </w:r>
    </w:p>
    <w:p>
      <w:pPr>
        <w:pStyle w:val="BodyText"/>
        <w:ind w:left="2" w:right="80" w:firstLine="420"/>
        <w:spacing w:before="2" w:line="326" w:lineRule="auto"/>
        <w:jc w:val="both"/>
        <w:rPr/>
      </w:pPr>
      <w:r>
        <w:rPr>
          <w:spacing w:val="6"/>
        </w:rPr>
        <w:t>报告的内容：突发公共卫生事件报告分为</w:t>
      </w:r>
      <w:r>
        <w:rPr>
          <w:spacing w:val="7"/>
        </w:rPr>
        <w:t>首次报告、进程报告和结案报告，要根据事件</w:t>
      </w:r>
      <w:r>
        <w:rPr>
          <w:spacing w:val="7"/>
        </w:rPr>
        <w:t>的严重程度、事态发展和控制情况及时报告事</w:t>
      </w:r>
      <w:r>
        <w:rPr>
          <w:spacing w:val="7"/>
        </w:rPr>
        <w:t>件进程。首次报告未经调查确认的突发公共卫</w:t>
      </w:r>
      <w:r>
        <w:rPr>
          <w:spacing w:val="7"/>
        </w:rPr>
        <w:t>生事件或存在隐患的相关信息，应说明信息来</w:t>
      </w:r>
    </w:p>
    <w:p>
      <w:pPr>
        <w:spacing w:line="326" w:lineRule="auto"/>
        <w:sectPr>
          <w:type w:val="continuous"/>
          <w:pgSz w:w="11906" w:h="16839"/>
          <w:pgMar w:top="1766" w:right="1509" w:bottom="1575" w:left="1579" w:header="1428" w:footer="1172" w:gutter="0"/>
          <w:cols w:equalWidth="0" w:num="2">
            <w:col w:w="4489" w:space="100"/>
            <w:col w:w="4228" w:space="0"/>
          </w:cols>
        </w:sectPr>
        <w:rPr/>
      </w:pPr>
    </w:p>
    <w:p>
      <w:pPr>
        <w:spacing w:before="60"/>
        <w:rPr/>
      </w:pPr>
      <w:r>
        <w:drawing>
          <wp:anchor distT="0" distB="0" distL="0" distR="0" simplePos="0" relativeHeight="253369344"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906" name="IM 1906"/>
            <wp:cNvGraphicFramePr/>
            <a:graphic>
              <a:graphicData uri="http://schemas.openxmlformats.org/drawingml/2006/picture">
                <pic:pic>
                  <pic:nvPicPr>
                    <pic:cNvPr id="1906" name="IM 1906"/>
                    <pic:cNvPicPr/>
                  </pic:nvPicPr>
                  <pic:blipFill>
                    <a:blip r:embed="rId955"/>
                    <a:stretch>
                      <a:fillRect/>
                    </a:stretch>
                  </pic:blipFill>
                  <pic:spPr>
                    <a:xfrm rot="0">
                      <a:off x="0" y="0"/>
                      <a:ext cx="5579745" cy="7620"/>
                    </a:xfrm>
                    <a:prstGeom prst="rect">
                      <a:avLst/>
                    </a:prstGeom>
                  </pic:spPr>
                </pic:pic>
              </a:graphicData>
            </a:graphic>
          </wp:anchor>
        </w:drawing>
      </w:r>
      <w:r/>
    </w:p>
    <w:p>
      <w:pPr>
        <w:sectPr>
          <w:headerReference w:type="default" r:id="rId816"/>
          <w:footerReference w:type="default" r:id="rId954"/>
          <w:pgSz w:w="11906" w:h="16839"/>
          <w:pgMar w:top="1772" w:right="1489" w:bottom="1562" w:left="1567" w:header="1428" w:footer="1172" w:gutter="0"/>
          <w:cols w:equalWidth="0" w:num="1">
            <w:col w:w="8850" w:space="0"/>
          </w:cols>
        </w:sectPr>
        <w:rPr/>
      </w:pPr>
    </w:p>
    <w:p>
      <w:pPr>
        <w:pStyle w:val="BodyText"/>
        <w:ind w:left="25" w:right="328" w:firstLine="4"/>
        <w:spacing w:before="46" w:line="357" w:lineRule="auto"/>
        <w:jc w:val="both"/>
        <w:rPr/>
      </w:pPr>
      <w:r>
        <w:rPr>
          <w:spacing w:val="7"/>
        </w:rPr>
        <w:t>源、危害范围、事件性质的初步判定和拟采取</w:t>
      </w:r>
      <w:r>
        <w:rPr>
          <w:spacing w:val="7"/>
        </w:rPr>
        <w:t>的措施。经调查确认的突发公共卫生事件报告</w:t>
      </w:r>
      <w:r>
        <w:rPr>
          <w:spacing w:val="7"/>
        </w:rPr>
        <w:t>应包括事件性质、波及范围、危害程度、流行</w:t>
      </w:r>
      <w:r>
        <w:rPr>
          <w:spacing w:val="9"/>
        </w:rPr>
        <w:t>病学分布、势态评估、控制措施等内容。</w:t>
      </w:r>
    </w:p>
    <w:p>
      <w:pPr>
        <w:pStyle w:val="BodyText"/>
        <w:ind w:left="22" w:right="248" w:firstLine="415"/>
        <w:spacing w:line="349" w:lineRule="auto"/>
        <w:jc w:val="both"/>
        <w:rPr/>
      </w:pPr>
      <w:r>
        <w:rPr/>
        <w:t>（</w:t>
      </w:r>
      <w:r>
        <w:rPr>
          <w:rFonts w:ascii="Times New Roman" w:hAnsi="Times New Roman" w:eastAsia="Times New Roman" w:cs="Times New Roman"/>
        </w:rPr>
        <w:t>2</w:t>
      </w:r>
      <w:r>
        <w:rPr>
          <w:rFonts w:ascii="Times New Roman" w:hAnsi="Times New Roman" w:eastAsia="Times New Roman" w:cs="Times New Roman"/>
          <w:spacing w:val="-17"/>
        </w:rPr>
        <w:t xml:space="preserve"> </w:t>
      </w:r>
      <w:r>
        <w:rPr/>
        <w:t>）突发公共卫生事件发生后，按照《固</w:t>
      </w:r>
      <w:r>
        <w:rPr>
          <w:spacing w:val="18"/>
        </w:rPr>
        <w:t>原市政府办公室关于建立突发事件应急处置</w:t>
      </w:r>
      <w:r>
        <w:rPr>
          <w:spacing w:val="24"/>
        </w:rPr>
        <w:t>工作联络员报告制度的通知》</w:t>
      </w:r>
      <w:r>
        <w:rPr>
          <w:spacing w:val="-61"/>
        </w:rPr>
        <w:t xml:space="preserve"> </w:t>
      </w:r>
      <w:r>
        <w:rPr>
          <w:spacing w:val="24"/>
        </w:rPr>
        <w:t>（</w:t>
      </w:r>
      <w:r>
        <w:rPr>
          <w:spacing w:val="-23"/>
        </w:rPr>
        <w:t xml:space="preserve"> </w:t>
      </w:r>
      <w:r>
        <w:rPr>
          <w:spacing w:val="24"/>
        </w:rPr>
        <w:t>固政办发</w:t>
      </w:r>
      <w:r>
        <w:rPr>
          <w:spacing w:val="4"/>
        </w:rPr>
        <w:t>〔</w:t>
      </w:r>
      <w:r>
        <w:rPr>
          <w:rFonts w:ascii="Times New Roman" w:hAnsi="Times New Roman" w:eastAsia="Times New Roman" w:cs="Times New Roman"/>
          <w:spacing w:val="4"/>
        </w:rPr>
        <w:t>2016</w:t>
      </w:r>
      <w:r>
        <w:rPr>
          <w:spacing w:val="4"/>
        </w:rPr>
        <w:t>〕</w:t>
      </w:r>
      <w:r>
        <w:rPr>
          <w:rFonts w:ascii="Times New Roman" w:hAnsi="Times New Roman" w:eastAsia="Times New Roman" w:cs="Times New Roman"/>
          <w:spacing w:val="4"/>
        </w:rPr>
        <w:t>87 </w:t>
      </w:r>
      <w:r>
        <w:rPr>
          <w:spacing w:val="4"/>
        </w:rPr>
        <w:t>号）要求，按照规定的联络员范围</w:t>
      </w:r>
      <w:r>
        <w:rPr>
          <w:spacing w:val="1"/>
        </w:rPr>
        <w:t>报告联络员姓名、职务、联系方式、出发时间、</w:t>
      </w:r>
      <w:r>
        <w:rPr>
          <w:spacing w:val="7"/>
        </w:rPr>
        <w:t>到达现场时间或拟到达现场时间。如在应急处</w:t>
      </w:r>
      <w:r>
        <w:rPr>
          <w:spacing w:val="9"/>
        </w:rPr>
        <w:t>置过程中更换联络员要及时报备。</w:t>
      </w:r>
    </w:p>
    <w:p>
      <w:pPr>
        <w:pStyle w:val="BodyText"/>
        <w:ind w:left="25" w:right="308" w:firstLine="420"/>
        <w:spacing w:before="13" w:line="351" w:lineRule="auto"/>
        <w:jc w:val="both"/>
        <w:rPr/>
      </w:pPr>
      <w:r>
        <w:rPr>
          <w:spacing w:val="4"/>
        </w:rPr>
        <w:t>应急处置联络员包括：事发地县（</w:t>
      </w:r>
      <w:r>
        <w:rPr>
          <w:spacing w:val="-47"/>
        </w:rPr>
        <w:t xml:space="preserve"> </w:t>
      </w:r>
      <w:r>
        <w:rPr>
          <w:spacing w:val="4"/>
        </w:rPr>
        <w:t>区）政</w:t>
      </w:r>
      <w:r>
        <w:rPr>
          <w:spacing w:val="7"/>
        </w:rPr>
        <w:t>府赶赴现场指挥先期处置工作的主要领导、分</w:t>
      </w:r>
      <w:r>
        <w:rPr>
          <w:spacing w:val="7"/>
        </w:rPr>
        <w:t>管领导和随同前往的县（区）政府办公室负责</w:t>
      </w:r>
      <w:r>
        <w:rPr>
          <w:spacing w:val="7"/>
        </w:rPr>
        <w:t>人；市突发公共卫生事件应急指挥部各成员单</w:t>
      </w:r>
      <w:r>
        <w:rPr>
          <w:spacing w:val="7"/>
        </w:rPr>
        <w:t>位负责人及指挥部办公室主任；赶赴现场的市</w:t>
      </w:r>
      <w:r>
        <w:rPr>
          <w:spacing w:val="8"/>
        </w:rPr>
        <w:t>有关部门、单位领导和应急工作机构负责人。</w:t>
      </w:r>
    </w:p>
    <w:p>
      <w:pPr>
        <w:pStyle w:val="BodyText"/>
        <w:ind w:left="25" w:right="245" w:firstLine="412"/>
        <w:spacing w:before="12" w:line="352" w:lineRule="auto"/>
        <w:jc w:val="both"/>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5"/>
        </w:rPr>
        <w:t xml:space="preserve"> </w:t>
      </w:r>
      <w:r>
        <w:rPr>
          <w:spacing w:val="11"/>
        </w:rPr>
        <w:t>）报告的时限：突发公共卫生事件报</w:t>
      </w:r>
      <w:r>
        <w:rPr>
          <w:spacing w:val="18"/>
        </w:rPr>
        <w:t>告时限严格按照《突发公共卫生事件应急条</w:t>
      </w:r>
      <w:r>
        <w:rPr>
          <w:spacing w:val="11"/>
        </w:rPr>
        <w:t>例》第</w:t>
      </w:r>
      <w:r>
        <w:rPr>
          <w:spacing w:val="-36"/>
        </w:rPr>
        <w:t xml:space="preserve"> </w:t>
      </w:r>
      <w:r>
        <w:rPr>
          <w:rFonts w:ascii="Times New Roman" w:hAnsi="Times New Roman" w:eastAsia="Times New Roman" w:cs="Times New Roman"/>
          <w:spacing w:val="11"/>
        </w:rPr>
        <w:t>20 </w:t>
      </w:r>
      <w:r>
        <w:rPr>
          <w:spacing w:val="11"/>
        </w:rPr>
        <w:t>条和《突发公共卫生事件与传染病</w:t>
      </w:r>
      <w:r>
        <w:rPr>
          <w:spacing w:val="-8"/>
        </w:rPr>
        <w:t>疫情监测信息报告管理办法》第三章之规定执行。</w:t>
      </w:r>
    </w:p>
    <w:p>
      <w:pPr>
        <w:pStyle w:val="BodyText"/>
        <w:ind w:left="25" w:right="328" w:firstLine="419"/>
        <w:spacing w:before="1" w:line="332" w:lineRule="auto"/>
        <w:rPr/>
      </w:pPr>
      <w:r>
        <w:rPr>
          <w:rFonts w:ascii="Times New Roman" w:hAnsi="Times New Roman" w:eastAsia="Times New Roman" w:cs="Times New Roman"/>
          <w:spacing w:val="8"/>
        </w:rPr>
        <w:t>4.2  </w:t>
      </w:r>
      <w:r>
        <w:rPr>
          <w:rFonts w:ascii="KaiTi" w:hAnsi="KaiTi" w:eastAsia="KaiTi" w:cs="KaiTi"/>
          <w:spacing w:val="8"/>
        </w:rPr>
        <w:t>先期处置。</w:t>
      </w:r>
      <w:r>
        <w:rPr>
          <w:spacing w:val="8"/>
        </w:rPr>
        <w:t>事发地各级政府在接报突</w:t>
      </w:r>
      <w:r>
        <w:rPr>
          <w:spacing w:val="7"/>
        </w:rPr>
        <w:t>发公共卫生事件信息时，应及时组织力量开展</w:t>
      </w:r>
      <w:r>
        <w:rPr>
          <w:spacing w:val="7"/>
        </w:rPr>
        <w:t>先期处置，边调查、边处置、边核实，有效控</w:t>
      </w:r>
      <w:r>
        <w:rPr>
          <w:spacing w:val="7"/>
        </w:rPr>
        <w:t>制事态发展。接到突发公共卫生事件情况通报</w:t>
      </w:r>
      <w:r>
        <w:rPr>
          <w:spacing w:val="4"/>
        </w:rPr>
        <w:t>的县（</w:t>
      </w:r>
      <w:r>
        <w:rPr>
          <w:spacing w:val="-36"/>
        </w:rPr>
        <w:t xml:space="preserve"> </w:t>
      </w:r>
      <w:r>
        <w:rPr>
          <w:spacing w:val="4"/>
        </w:rPr>
        <w:t>区）政府，要针对性地组织做好应急处</w:t>
      </w:r>
      <w:r>
        <w:rPr>
          <w:spacing w:val="8"/>
        </w:rPr>
        <w:t>置准备工作，密切关注事态发展。</w:t>
      </w:r>
    </w:p>
    <w:p>
      <w:pPr>
        <w:pStyle w:val="BodyText"/>
        <w:ind w:left="25" w:right="328" w:firstLine="420"/>
        <w:spacing w:before="134" w:line="310" w:lineRule="auto"/>
        <w:rPr/>
      </w:pPr>
      <w:r>
        <w:rPr>
          <w:rFonts w:ascii="Times New Roman" w:hAnsi="Times New Roman" w:eastAsia="Times New Roman" w:cs="Times New Roman"/>
          <w:spacing w:val="8"/>
        </w:rPr>
        <w:t>4.3  </w:t>
      </w:r>
      <w:r>
        <w:rPr>
          <w:rFonts w:ascii="KaiTi" w:hAnsi="KaiTi" w:eastAsia="KaiTi" w:cs="KaiTi"/>
          <w:spacing w:val="8"/>
        </w:rPr>
        <w:t>响应启动。</w:t>
      </w:r>
      <w:r>
        <w:rPr>
          <w:spacing w:val="8"/>
        </w:rPr>
        <w:t>与突发公共卫生事件的分</w:t>
      </w:r>
      <w:r>
        <w:rPr>
          <w:spacing w:val="7"/>
        </w:rPr>
        <w:t>级相对应，固原市级突发公共卫生事件应急响</w:t>
      </w:r>
      <w:r>
        <w:rPr>
          <w:spacing w:val="8"/>
        </w:rPr>
        <w:t>应分为</w:t>
      </w:r>
      <w:r>
        <w:rPr>
          <w:rFonts w:ascii="Times New Roman" w:hAnsi="Times New Roman" w:eastAsia="Times New Roman" w:cs="Times New Roman"/>
          <w:spacing w:val="8"/>
        </w:rPr>
        <w:t>Ⅰ</w:t>
      </w:r>
      <w:r>
        <w:rPr>
          <w:spacing w:val="8"/>
        </w:rPr>
        <w:t>级、</w:t>
      </w:r>
      <w:r>
        <w:rPr>
          <w:rFonts w:ascii="Times New Roman" w:hAnsi="Times New Roman" w:eastAsia="Times New Roman" w:cs="Times New Roman"/>
          <w:spacing w:val="8"/>
        </w:rPr>
        <w:t>Ⅱ</w:t>
      </w:r>
      <w:r>
        <w:rPr>
          <w:spacing w:val="8"/>
        </w:rPr>
        <w:t>级、</w:t>
      </w:r>
      <w:r>
        <w:rPr>
          <w:rFonts w:ascii="Times New Roman" w:hAnsi="Times New Roman" w:eastAsia="Times New Roman" w:cs="Times New Roman"/>
          <w:spacing w:val="8"/>
        </w:rPr>
        <w:t>Ⅲ</w:t>
      </w:r>
      <w:r>
        <w:rPr>
          <w:spacing w:val="8"/>
        </w:rPr>
        <w:t>级、</w:t>
      </w:r>
      <w:r>
        <w:rPr>
          <w:rFonts w:ascii="Times New Roman" w:hAnsi="Times New Roman" w:eastAsia="Times New Roman" w:cs="Times New Roman"/>
          <w:spacing w:val="8"/>
        </w:rPr>
        <w:t>Ⅳ</w:t>
      </w:r>
      <w:r>
        <w:rPr>
          <w:spacing w:val="8"/>
        </w:rPr>
        <w:t>级四个等级。</w:t>
      </w:r>
    </w:p>
    <w:p>
      <w:pPr>
        <w:pStyle w:val="BodyText"/>
        <w:ind w:left="25" w:right="328" w:firstLine="412"/>
        <w:spacing w:before="137" w:line="316" w:lineRule="auto"/>
        <w:jc w:val="both"/>
        <w:rPr/>
      </w:pPr>
      <w:r>
        <w:rPr>
          <w:spacing w:val="4"/>
        </w:rPr>
        <w:t>（</w:t>
      </w:r>
      <w:r>
        <w:rPr>
          <w:spacing w:val="-39"/>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1"/>
        </w:rPr>
        <w:t xml:space="preserve"> </w:t>
      </w:r>
      <w:r>
        <w:rPr>
          <w:spacing w:val="4"/>
        </w:rPr>
        <w:t>）</w:t>
      </w:r>
      <w:r>
        <w:rPr>
          <w:rFonts w:ascii="Times New Roman" w:hAnsi="Times New Roman" w:eastAsia="Times New Roman" w:cs="Times New Roman"/>
          <w:spacing w:val="4"/>
        </w:rPr>
        <w:t>Ⅰ</w:t>
      </w:r>
      <w:r>
        <w:rPr>
          <w:spacing w:val="4"/>
        </w:rPr>
        <w:t>级响应。发生特别重大突发公共卫</w:t>
      </w:r>
      <w:r>
        <w:rPr>
          <w:spacing w:val="7"/>
        </w:rPr>
        <w:t>生事件时，自治区卫生健康委会同自治区政府</w:t>
      </w:r>
      <w:r>
        <w:rPr>
          <w:spacing w:val="7"/>
        </w:rPr>
        <w:t>办值班室提出启动建议，报请自治区突发事件</w:t>
      </w:r>
      <w:r>
        <w:rPr>
          <w:spacing w:val="13"/>
        </w:rPr>
        <w:t>应急委员会批准后启动</w:t>
      </w:r>
      <w:r>
        <w:rPr>
          <w:rFonts w:ascii="Times New Roman" w:hAnsi="Times New Roman" w:eastAsia="Times New Roman" w:cs="Times New Roman"/>
          <w:spacing w:val="13"/>
        </w:rPr>
        <w:t>Ⅰ</w:t>
      </w:r>
      <w:r>
        <w:rPr>
          <w:spacing w:val="13"/>
        </w:rPr>
        <w:t>级应急响应。成立固</w:t>
      </w:r>
    </w:p>
    <w:p>
      <w:pPr>
        <w:spacing w:line="14" w:lineRule="auto"/>
        <w:rPr>
          <w:rFonts w:ascii="Arial"/>
          <w:sz w:val="2"/>
        </w:rPr>
      </w:pPr>
      <w:r>
        <w:rPr>
          <w:rFonts w:ascii="Arial" w:hAnsi="Arial" w:eastAsia="Arial" w:cs="Arial"/>
          <w:sz w:val="2"/>
          <w:szCs w:val="2"/>
        </w:rPr>
        <w:br w:type="column"/>
      </w:r>
    </w:p>
    <w:p>
      <w:pPr>
        <w:pStyle w:val="BodyText"/>
        <w:ind w:left="8" w:right="101" w:hanging="5"/>
        <w:spacing w:before="38" w:line="351" w:lineRule="auto"/>
        <w:jc w:val="both"/>
        <w:rPr/>
      </w:pPr>
      <w:r>
        <w:rPr>
          <w:spacing w:val="7"/>
        </w:rPr>
        <w:t>原市突发公共卫生事件应急指挥部，在自治区</w:t>
      </w:r>
      <w:r>
        <w:rPr>
          <w:spacing w:val="17"/>
        </w:rPr>
        <w:t>突发事件应急委员会的领导下做好事件处置</w:t>
      </w:r>
      <w:r>
        <w:rPr>
          <w:spacing w:val="8"/>
        </w:rPr>
        <w:t>的组织、协调、指挥工作。</w:t>
      </w:r>
    </w:p>
    <w:p>
      <w:pPr>
        <w:pStyle w:val="BodyText"/>
        <w:ind w:left="3" w:right="101" w:firstLine="410"/>
        <w:spacing w:before="2" w:line="334" w:lineRule="auto"/>
        <w:rPr/>
      </w:pPr>
      <w:r>
        <w:rPr>
          <w:spacing w:val="3"/>
        </w:rPr>
        <w:t>（</w:t>
      </w:r>
      <w:r>
        <w:rPr>
          <w:rFonts w:ascii="Times New Roman" w:hAnsi="Times New Roman" w:eastAsia="Times New Roman" w:cs="Times New Roman"/>
          <w:spacing w:val="3"/>
        </w:rPr>
        <w:t>2</w:t>
      </w:r>
      <w:r>
        <w:rPr>
          <w:rFonts w:ascii="Times New Roman" w:hAnsi="Times New Roman" w:eastAsia="Times New Roman" w:cs="Times New Roman"/>
          <w:spacing w:val="-4"/>
        </w:rPr>
        <w:t xml:space="preserve"> </w:t>
      </w:r>
      <w:r>
        <w:rPr>
          <w:spacing w:val="3"/>
        </w:rPr>
        <w:t>）</w:t>
      </w:r>
      <w:r>
        <w:rPr>
          <w:rFonts w:ascii="Times New Roman" w:hAnsi="Times New Roman" w:eastAsia="Times New Roman" w:cs="Times New Roman"/>
          <w:spacing w:val="3"/>
        </w:rPr>
        <w:t>Ⅱ</w:t>
      </w:r>
      <w:r>
        <w:rPr>
          <w:spacing w:val="3"/>
        </w:rPr>
        <w:t>级响应。发生重大突发公共卫生事</w:t>
      </w:r>
      <w:r>
        <w:rPr>
          <w:spacing w:val="7"/>
        </w:rPr>
        <w:t>件时，自治区卫生健康委会同自治区政府办值</w:t>
      </w:r>
      <w:r>
        <w:rPr>
          <w:spacing w:val="7"/>
        </w:rPr>
        <w:t>班室提出启动建议，报请自治区突发事件应急</w:t>
      </w:r>
      <w:r>
        <w:rPr>
          <w:spacing w:val="10"/>
        </w:rPr>
        <w:t>委员会批准后启动</w:t>
      </w:r>
      <w:r>
        <w:rPr>
          <w:rFonts w:ascii="Times New Roman" w:hAnsi="Times New Roman" w:eastAsia="Times New Roman" w:cs="Times New Roman"/>
          <w:spacing w:val="10"/>
        </w:rPr>
        <w:t>Ⅱ</w:t>
      </w:r>
      <w:r>
        <w:rPr>
          <w:spacing w:val="10"/>
        </w:rPr>
        <w:t>级应急响应。成立固原市</w:t>
      </w:r>
      <w:r>
        <w:rPr>
          <w:spacing w:val="7"/>
        </w:rPr>
        <w:t>突发公共卫生事件应急指挥部，在自治区突发</w:t>
      </w:r>
      <w:r>
        <w:rPr>
          <w:spacing w:val="18"/>
        </w:rPr>
        <w:t>事件应急委员会的领导下做好事件处置的组</w:t>
      </w:r>
      <w:r>
        <w:rPr>
          <w:spacing w:val="8"/>
        </w:rPr>
        <w:t>织、协调、指挥工作。</w:t>
      </w:r>
    </w:p>
    <w:p>
      <w:pPr>
        <w:pStyle w:val="BodyText"/>
        <w:ind w:right="98" w:firstLine="413"/>
        <w:spacing w:before="134" w:line="339"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5"/>
        </w:rPr>
        <w:t xml:space="preserve"> </w:t>
      </w:r>
      <w:r>
        <w:rPr>
          <w:spacing w:val="11"/>
        </w:rPr>
        <w:t>）</w:t>
      </w:r>
      <w:r>
        <w:rPr>
          <w:rFonts w:ascii="Times New Roman" w:hAnsi="Times New Roman" w:eastAsia="Times New Roman" w:cs="Times New Roman"/>
          <w:spacing w:val="11"/>
        </w:rPr>
        <w:t>Ⅲ</w:t>
      </w:r>
      <w:r>
        <w:rPr>
          <w:spacing w:val="11"/>
        </w:rPr>
        <w:t>级响应。发生较大突发公共卫生</w:t>
      </w:r>
      <w:r>
        <w:rPr>
          <w:spacing w:val="7"/>
        </w:rPr>
        <w:t>事件时，市卫生健康行政部门会同市政府办值</w:t>
      </w:r>
      <w:r>
        <w:rPr>
          <w:spacing w:val="7"/>
        </w:rPr>
        <w:t>班室提出启动建议，报请市突发事件应急委员</w:t>
      </w:r>
      <w:r>
        <w:rPr>
          <w:spacing w:val="7"/>
        </w:rPr>
        <w:t>会批准后启动</w:t>
      </w:r>
      <w:r>
        <w:rPr>
          <w:rFonts w:ascii="Times New Roman" w:hAnsi="Times New Roman" w:eastAsia="Times New Roman" w:cs="Times New Roman"/>
          <w:spacing w:val="7"/>
        </w:rPr>
        <w:t>Ⅲ</w:t>
      </w:r>
      <w:r>
        <w:rPr>
          <w:spacing w:val="7"/>
        </w:rPr>
        <w:t>级应急响应，并向自治区政府</w:t>
      </w:r>
      <w:r>
        <w:rPr>
          <w:spacing w:val="7"/>
        </w:rPr>
        <w:t>报告。成立固原市突发公共卫生事件应急指挥</w:t>
      </w:r>
      <w:r>
        <w:rPr>
          <w:spacing w:val="7"/>
        </w:rPr>
        <w:t>部，在本级突发事件应急委员会的领导下负责</w:t>
      </w:r>
      <w:r>
        <w:rPr>
          <w:spacing w:val="7"/>
        </w:rPr>
        <w:t>做好事件处置的组织、协调、指挥工作。根据</w:t>
      </w:r>
      <w:r>
        <w:rPr>
          <w:spacing w:val="18"/>
        </w:rPr>
        <w:t>应急处置工作需要报请自治区卫生健康委组</w:t>
      </w:r>
      <w:r>
        <w:rPr>
          <w:spacing w:val="8"/>
        </w:rPr>
        <w:t>织专家提供技术支持。</w:t>
      </w:r>
    </w:p>
    <w:p>
      <w:pPr>
        <w:pStyle w:val="BodyText"/>
        <w:ind w:left="2" w:right="98" w:firstLine="411"/>
        <w:spacing w:before="141" w:line="336" w:lineRule="auto"/>
        <w:rPr/>
      </w:pPr>
      <w:r>
        <w:rPr>
          <w:spacing w:val="10"/>
        </w:rPr>
        <w:t>（</w:t>
      </w:r>
      <w:r>
        <w:rPr>
          <w:rFonts w:ascii="Times New Roman" w:hAnsi="Times New Roman" w:eastAsia="Times New Roman" w:cs="Times New Roman"/>
          <w:spacing w:val="10"/>
        </w:rPr>
        <w:t>4</w:t>
      </w:r>
      <w:r>
        <w:rPr>
          <w:rFonts w:ascii="Times New Roman" w:hAnsi="Times New Roman" w:eastAsia="Times New Roman" w:cs="Times New Roman"/>
          <w:spacing w:val="-8"/>
        </w:rPr>
        <w:t xml:space="preserve"> </w:t>
      </w:r>
      <w:r>
        <w:rPr>
          <w:spacing w:val="10"/>
        </w:rPr>
        <w:t>）</w:t>
      </w:r>
      <w:r>
        <w:rPr>
          <w:rFonts w:ascii="Times New Roman" w:hAnsi="Times New Roman" w:eastAsia="Times New Roman" w:cs="Times New Roman"/>
          <w:spacing w:val="10"/>
        </w:rPr>
        <w:t>Ⅳ</w:t>
      </w:r>
      <w:r>
        <w:rPr>
          <w:spacing w:val="10"/>
        </w:rPr>
        <w:t>级响应。发生一般突发公共卫生</w:t>
      </w:r>
      <w:r>
        <w:rPr>
          <w:spacing w:val="4"/>
        </w:rPr>
        <w:t>事件时，事件发生地县（</w:t>
      </w:r>
      <w:r>
        <w:rPr>
          <w:spacing w:val="-36"/>
        </w:rPr>
        <w:t xml:space="preserve"> </w:t>
      </w:r>
      <w:r>
        <w:rPr>
          <w:spacing w:val="4"/>
        </w:rPr>
        <w:t>区）级卫生健康行政</w:t>
      </w:r>
      <w:r>
        <w:rPr>
          <w:spacing w:val="7"/>
        </w:rPr>
        <w:t>部门会同县政府提出启动建议，报请本级突发</w:t>
      </w:r>
      <w:r>
        <w:rPr>
          <w:spacing w:val="6"/>
        </w:rPr>
        <w:t>事件应急委员会批准后启动</w:t>
      </w:r>
      <w:r>
        <w:rPr>
          <w:rFonts w:ascii="Times New Roman" w:hAnsi="Times New Roman" w:eastAsia="Times New Roman" w:cs="Times New Roman"/>
          <w:spacing w:val="6"/>
        </w:rPr>
        <w:t>Ⅳ</w:t>
      </w:r>
      <w:r>
        <w:rPr>
          <w:spacing w:val="6"/>
        </w:rPr>
        <w:t>级应急响应。成</w:t>
      </w:r>
      <w:r>
        <w:rPr>
          <w:spacing w:val="7"/>
        </w:rPr>
        <w:t>立突发公共卫生事件应急指挥部，做好事件处</w:t>
      </w:r>
      <w:r>
        <w:rPr>
          <w:spacing w:val="7"/>
        </w:rPr>
        <w:t>置的组织、协调、指挥工作。市级卫生健康行</w:t>
      </w:r>
      <w:r>
        <w:rPr>
          <w:spacing w:val="18"/>
        </w:rPr>
        <w:t>政部门根据应急处置工作需要组织专家提供</w:t>
      </w:r>
      <w:r>
        <w:rPr>
          <w:spacing w:val="6"/>
        </w:rPr>
        <w:t>技术支持。</w:t>
      </w:r>
    </w:p>
    <w:p>
      <w:pPr>
        <w:pStyle w:val="BodyText"/>
        <w:ind w:right="101" w:firstLine="421"/>
        <w:spacing w:before="143" w:line="352" w:lineRule="auto"/>
        <w:jc w:val="both"/>
        <w:rPr/>
      </w:pPr>
      <w:r>
        <w:rPr>
          <w:spacing w:val="7"/>
        </w:rPr>
        <w:t>对在学校、区域性或全区、全国性重要活</w:t>
      </w:r>
      <w:r>
        <w:rPr>
          <w:spacing w:val="7"/>
        </w:rPr>
        <w:t>动期间等发生的突发公共卫生事件，在科学评</w:t>
      </w:r>
      <w:r>
        <w:rPr>
          <w:spacing w:val="18"/>
        </w:rPr>
        <w:t>估的基础上根据应急工作需要可提高一个响</w:t>
      </w:r>
      <w:r>
        <w:rPr>
          <w:spacing w:val="7"/>
        </w:rPr>
        <w:t>应级别，并结合应急处置实践情况及时调整响</w:t>
      </w:r>
      <w:r>
        <w:rPr>
          <w:spacing w:val="9"/>
        </w:rPr>
        <w:t>应级别，避免响应不足或过度。</w:t>
      </w:r>
    </w:p>
    <w:p>
      <w:pPr>
        <w:ind w:left="421"/>
        <w:spacing w:line="265" w:lineRule="exact"/>
        <w:rPr>
          <w:rFonts w:ascii="KaiTi" w:hAnsi="KaiTi" w:eastAsia="KaiTi" w:cs="KaiTi"/>
          <w:sz w:val="20"/>
          <w:szCs w:val="20"/>
        </w:rPr>
      </w:pPr>
      <w:r>
        <w:rPr>
          <w:rFonts w:ascii="Times New Roman" w:hAnsi="Times New Roman" w:eastAsia="Times New Roman" w:cs="Times New Roman"/>
          <w:sz w:val="20"/>
          <w:szCs w:val="20"/>
          <w:spacing w:val="5"/>
          <w:position w:val="1"/>
        </w:rPr>
        <w:t>4.4  </w:t>
      </w:r>
      <w:r>
        <w:rPr>
          <w:rFonts w:ascii="KaiTi" w:hAnsi="KaiTi" w:eastAsia="KaiTi" w:cs="KaiTi"/>
          <w:sz w:val="20"/>
          <w:szCs w:val="20"/>
          <w:spacing w:val="5"/>
          <w:position w:val="1"/>
        </w:rPr>
        <w:t>响应措施。</w:t>
      </w:r>
    </w:p>
    <w:p>
      <w:pPr>
        <w:pStyle w:val="BodyText"/>
        <w:ind w:left="421"/>
        <w:spacing w:before="117" w:line="221" w:lineRule="auto"/>
        <w:rPr/>
      </w:pPr>
      <w:r>
        <w:rPr>
          <w:rFonts w:ascii="Times New Roman" w:hAnsi="Times New Roman" w:eastAsia="Times New Roman" w:cs="Times New Roman"/>
          <w:spacing w:val="7"/>
        </w:rPr>
        <w:t>4.4.1 </w:t>
      </w:r>
      <w:r>
        <w:rPr>
          <w:spacing w:val="7"/>
        </w:rPr>
        <w:t>特别重大突发公共卫生事件（</w:t>
      </w:r>
      <w:r>
        <w:rPr>
          <w:rFonts w:ascii="Times New Roman" w:hAnsi="Times New Roman" w:eastAsia="Times New Roman" w:cs="Times New Roman"/>
          <w:spacing w:val="7"/>
        </w:rPr>
        <w:t>I </w:t>
      </w:r>
      <w:r>
        <w:rPr>
          <w:spacing w:val="7"/>
        </w:rPr>
        <w:t>级）</w:t>
      </w:r>
    </w:p>
    <w:p>
      <w:pPr>
        <w:spacing w:line="221" w:lineRule="auto"/>
        <w:sectPr>
          <w:type w:val="continuous"/>
          <w:pgSz w:w="11906" w:h="16839"/>
          <w:pgMar w:top="1772" w:right="1489" w:bottom="1562" w:left="1567" w:header="1428" w:footer="1172" w:gutter="0"/>
          <w:cols w:equalWidth="0" w:num="2">
            <w:col w:w="4501" w:space="100"/>
            <w:col w:w="4250" w:space="0"/>
          </w:cols>
        </w:sectPr>
        <w:rPr/>
      </w:pPr>
    </w:p>
    <w:p>
      <w:pPr>
        <w:spacing w:line="130" w:lineRule="exact"/>
        <w:rPr/>
      </w:pPr>
      <w:r>
        <w:drawing>
          <wp:anchor distT="0" distB="0" distL="0" distR="0" simplePos="0" relativeHeight="253380608"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910" name="IM 1910"/>
            <wp:cNvGraphicFramePr/>
            <a:graphic>
              <a:graphicData uri="http://schemas.openxmlformats.org/drawingml/2006/picture">
                <pic:pic>
                  <pic:nvPicPr>
                    <pic:cNvPr id="1910" name="IM 1910"/>
                    <pic:cNvPicPr/>
                  </pic:nvPicPr>
                  <pic:blipFill>
                    <a:blip r:embed="rId957"/>
                    <a:stretch>
                      <a:fillRect/>
                    </a:stretch>
                  </pic:blipFill>
                  <pic:spPr>
                    <a:xfrm rot="0">
                      <a:off x="0" y="0"/>
                      <a:ext cx="5579745" cy="7620"/>
                    </a:xfrm>
                    <a:prstGeom prst="rect">
                      <a:avLst/>
                    </a:prstGeom>
                  </pic:spPr>
                </pic:pic>
              </a:graphicData>
            </a:graphic>
          </wp:anchor>
        </w:drawing>
      </w:r>
      <w:r/>
    </w:p>
    <w:p>
      <w:pPr>
        <w:spacing w:line="130" w:lineRule="exact"/>
        <w:sectPr>
          <w:headerReference w:type="default" r:id="rId597"/>
          <w:footerReference w:type="default" r:id="rId956"/>
          <w:pgSz w:w="11906" w:h="16839"/>
          <w:pgMar w:top="1766" w:right="1509" w:bottom="1575" w:left="1579" w:header="1428" w:footer="1172" w:gutter="0"/>
          <w:cols w:equalWidth="0" w:num="1">
            <w:col w:w="8817" w:space="0"/>
          </w:cols>
        </w:sectPr>
        <w:rPr/>
      </w:pPr>
    </w:p>
    <w:p>
      <w:pPr>
        <w:pStyle w:val="BodyText"/>
        <w:ind w:left="25"/>
        <w:spacing w:before="45" w:line="218" w:lineRule="auto"/>
        <w:rPr/>
      </w:pPr>
      <w:r>
        <w:rPr>
          <w:spacing w:val="4"/>
        </w:rPr>
        <w:t>响应措施。</w:t>
      </w:r>
    </w:p>
    <w:p>
      <w:pPr>
        <w:pStyle w:val="BodyText"/>
        <w:ind w:left="12" w:right="306" w:firstLine="412"/>
        <w:spacing w:before="141" w:line="338"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）市政府。根据自治区应急指挥部的</w:t>
      </w:r>
      <w:r>
        <w:rPr>
          <w:spacing w:val="7"/>
        </w:rPr>
        <w:t>指示，市政府启动本预案，市突发公共卫生事</w:t>
      </w:r>
      <w:r>
        <w:rPr>
          <w:spacing w:val="18"/>
        </w:rPr>
        <w:t>件应急指挥部负责突发公共卫生事件应急处</w:t>
      </w:r>
      <w:r>
        <w:rPr>
          <w:spacing w:val="7"/>
        </w:rPr>
        <w:t>理的统一领导和指挥；紧急调集和征集有关人</w:t>
      </w:r>
      <w:r>
        <w:rPr>
          <w:spacing w:val="7"/>
        </w:rPr>
        <w:t>员、物资、交通工具以及相关设施、设备；进</w:t>
      </w:r>
      <w:r>
        <w:rPr>
          <w:spacing w:val="7"/>
        </w:rPr>
        <w:t>行现场隔离、疫区的确定与封锁；保证应急处</w:t>
      </w:r>
      <w:r>
        <w:rPr>
          <w:spacing w:val="7"/>
        </w:rPr>
        <w:t>理所需的物资、经费；组织相关部门协助卫生</w:t>
      </w:r>
      <w:r>
        <w:rPr>
          <w:spacing w:val="8"/>
        </w:rPr>
        <w:t>健康行政部门进行病人及密切接触者的隔离、</w:t>
      </w:r>
      <w:r>
        <w:rPr>
          <w:spacing w:val="7"/>
        </w:rPr>
        <w:t>伤员救治和人员疏散；及时做好舆论宣传与引</w:t>
      </w:r>
      <w:r>
        <w:rPr>
          <w:spacing w:val="6"/>
        </w:rPr>
        <w:t>导工作。</w:t>
      </w:r>
    </w:p>
    <w:p>
      <w:pPr>
        <w:pStyle w:val="BodyText"/>
        <w:ind w:left="12" w:right="248" w:firstLine="412"/>
        <w:spacing w:before="131" w:line="338"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）市级卫生健康行政部门。接到特别</w:t>
      </w:r>
      <w:r>
        <w:rPr>
          <w:spacing w:val="7"/>
        </w:rPr>
        <w:t>重大突发公共卫生事件报告后，立即组织专家</w:t>
      </w:r>
      <w:r>
        <w:rPr>
          <w:spacing w:val="7"/>
        </w:rPr>
        <w:t>调查确认，并对疫情进行综合评估。同时，负</w:t>
      </w:r>
      <w:r>
        <w:rPr>
          <w:spacing w:val="18"/>
        </w:rPr>
        <w:t>责组织和协调专业技术机构开展现场调查和</w:t>
      </w:r>
      <w:r>
        <w:rPr>
          <w:spacing w:val="7"/>
        </w:rPr>
        <w:t>处理；指导和协调落实医疗救治和预防控制等</w:t>
      </w:r>
      <w:r>
        <w:rPr>
          <w:spacing w:val="7"/>
        </w:rPr>
        <w:t>措施；对不明原因的突发公共卫生事件组织开</w:t>
      </w:r>
      <w:r>
        <w:rPr>
          <w:spacing w:val="7"/>
        </w:rPr>
        <w:t>展病因查找和治疗诊断的研究；依法接受和管</w:t>
      </w:r>
      <w:r>
        <w:rPr>
          <w:spacing w:val="7"/>
        </w:rPr>
        <w:t>理社会捐赠的资金、物资；开展群众心理危机</w:t>
      </w:r>
      <w:r>
        <w:rPr>
          <w:spacing w:val="7"/>
        </w:rPr>
        <w:t>干预；及时向自治区卫生健康委和市政府报告</w:t>
      </w:r>
      <w:r>
        <w:rPr>
          <w:spacing w:val="1"/>
        </w:rPr>
        <w:t>突发公共卫生事件的情况；向社会及时、准确、</w:t>
      </w:r>
      <w:r>
        <w:rPr>
          <w:spacing w:val="9"/>
        </w:rPr>
        <w:t>全面发布突发公共卫生事件的信息。</w:t>
      </w:r>
    </w:p>
    <w:p>
      <w:pPr>
        <w:pStyle w:val="BodyText"/>
        <w:ind w:left="14" w:right="329" w:firstLine="410"/>
        <w:spacing w:before="135" w:line="318" w:lineRule="auto"/>
        <w:rPr/>
      </w:pPr>
      <w:r>
        <w:rPr>
          <w:spacing w:val="8"/>
        </w:rPr>
        <w:t>（</w:t>
      </w:r>
      <w:r>
        <w:rPr>
          <w:rFonts w:ascii="Times New Roman" w:hAnsi="Times New Roman" w:eastAsia="Times New Roman" w:cs="Times New Roman"/>
          <w:spacing w:val="8"/>
        </w:rPr>
        <w:t>3</w:t>
      </w:r>
      <w:r>
        <w:rPr>
          <w:rFonts w:ascii="Times New Roman" w:hAnsi="Times New Roman" w:eastAsia="Times New Roman" w:cs="Times New Roman"/>
          <w:spacing w:val="-16"/>
        </w:rPr>
        <w:t xml:space="preserve"> </w:t>
      </w:r>
      <w:r>
        <w:rPr>
          <w:spacing w:val="8"/>
        </w:rPr>
        <w:t>）县（</w:t>
      </w:r>
      <w:r>
        <w:rPr>
          <w:spacing w:val="-48"/>
        </w:rPr>
        <w:t xml:space="preserve"> </w:t>
      </w:r>
      <w:r>
        <w:rPr>
          <w:spacing w:val="8"/>
        </w:rPr>
        <w:t>区）地方政府。突发公共卫生</w:t>
      </w:r>
      <w:r>
        <w:rPr>
          <w:spacing w:val="18"/>
        </w:rPr>
        <w:t>事件发生地政府及有关部门在市政府或市突</w:t>
      </w:r>
      <w:r>
        <w:rPr>
          <w:spacing w:val="7"/>
        </w:rPr>
        <w:t>发公共卫生事件应急指挥部的统一指挥下，按</w:t>
      </w:r>
      <w:r>
        <w:rPr>
          <w:spacing w:val="9"/>
        </w:rPr>
        <w:t>照要求认真履行职责，落实有关控制措施。</w:t>
      </w:r>
    </w:p>
    <w:p>
      <w:pPr>
        <w:pStyle w:val="BodyText"/>
        <w:ind w:left="12" w:right="324" w:firstLine="420"/>
        <w:spacing w:before="132" w:line="332" w:lineRule="auto"/>
        <w:rPr/>
      </w:pPr>
      <w:r>
        <w:rPr>
          <w:rFonts w:ascii="Times New Roman" w:hAnsi="Times New Roman" w:eastAsia="Times New Roman" w:cs="Times New Roman"/>
          <w:spacing w:val="4"/>
        </w:rPr>
        <w:t>4.4.2 </w:t>
      </w:r>
      <w:r>
        <w:rPr>
          <w:spacing w:val="4"/>
        </w:rPr>
        <w:t>重大突发公共卫生事件（</w:t>
      </w:r>
      <w:r>
        <w:rPr>
          <w:rFonts w:ascii="Times New Roman" w:hAnsi="Times New Roman" w:eastAsia="Times New Roman" w:cs="Times New Roman"/>
        </w:rPr>
        <w:t>II</w:t>
      </w:r>
      <w:r>
        <w:rPr>
          <w:rFonts w:ascii="Times New Roman" w:hAnsi="Times New Roman" w:eastAsia="Times New Roman" w:cs="Times New Roman"/>
          <w:spacing w:val="4"/>
        </w:rPr>
        <w:t xml:space="preserve"> </w:t>
      </w:r>
      <w:r>
        <w:rPr>
          <w:spacing w:val="4"/>
        </w:rPr>
        <w:t>级）的响</w:t>
      </w:r>
      <w:r>
        <w:rPr>
          <w:spacing w:val="6"/>
        </w:rPr>
        <w:t>应措施。</w:t>
      </w:r>
    </w:p>
    <w:p>
      <w:pPr>
        <w:pStyle w:val="BodyText"/>
        <w:ind w:left="12" w:right="329" w:firstLine="412"/>
        <w:spacing w:before="33" w:line="328" w:lineRule="auto"/>
        <w:jc w:val="both"/>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）市政府。根据自治区应急指挥部的</w:t>
      </w:r>
      <w:r>
        <w:rPr>
          <w:spacing w:val="7"/>
        </w:rPr>
        <w:t>指示，市政府启动本预案，市突发公共卫生事</w:t>
      </w:r>
      <w:r>
        <w:rPr>
          <w:spacing w:val="18"/>
        </w:rPr>
        <w:t>件应急指挥部负责突发公共卫生事件应急处</w:t>
      </w:r>
      <w:r>
        <w:rPr>
          <w:spacing w:val="7"/>
        </w:rPr>
        <w:t>理的统一领导和指挥；紧急调集和征集有关人</w:t>
      </w:r>
      <w:r>
        <w:rPr>
          <w:spacing w:val="7"/>
        </w:rPr>
        <w:t>员、物资、交通工具以及相关设施、设备；进</w:t>
      </w:r>
      <w:r>
        <w:rPr>
          <w:spacing w:val="7"/>
        </w:rPr>
        <w:t>行现场隔离、疫区的确定与封锁；保证应急处</w:t>
      </w:r>
      <w:r>
        <w:rPr>
          <w:spacing w:val="7"/>
        </w:rPr>
        <w:t>理所需的物资、经费；组织相关部门协助卫生</w:t>
      </w:r>
    </w:p>
    <w:p>
      <w:pPr>
        <w:spacing w:line="14" w:lineRule="auto"/>
        <w:rPr>
          <w:rFonts w:ascii="Arial"/>
          <w:sz w:val="2"/>
        </w:rPr>
      </w:pPr>
      <w:r>
        <w:rPr>
          <w:rFonts w:ascii="Arial" w:hAnsi="Arial" w:eastAsia="Arial" w:cs="Arial"/>
          <w:sz w:val="2"/>
          <w:szCs w:val="2"/>
        </w:rPr>
        <w:br w:type="column"/>
      </w:r>
    </w:p>
    <w:p>
      <w:pPr>
        <w:pStyle w:val="BodyText"/>
        <w:ind w:left="3" w:right="57" w:hanging="3"/>
        <w:spacing w:before="40" w:line="348" w:lineRule="auto"/>
        <w:jc w:val="both"/>
        <w:rPr/>
      </w:pPr>
      <w:r>
        <w:rPr>
          <w:spacing w:val="8"/>
        </w:rPr>
        <w:t>健康行政部门进行病人及密切接触者的隔离、</w:t>
      </w:r>
      <w:r>
        <w:rPr>
          <w:spacing w:val="7"/>
        </w:rPr>
        <w:t>伤员救治和人员疏散；及时做好舆论宣传与引</w:t>
      </w:r>
      <w:r>
        <w:rPr>
          <w:spacing w:val="5"/>
        </w:rPr>
        <w:t>导工作。</w:t>
      </w:r>
    </w:p>
    <w:p>
      <w:pPr>
        <w:pStyle w:val="BodyText"/>
        <w:ind w:firstLine="413"/>
        <w:spacing w:before="6" w:line="339"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）市级卫生健康行政部门。接到重大</w:t>
      </w:r>
      <w:r>
        <w:rPr>
          <w:spacing w:val="7"/>
        </w:rPr>
        <w:t>突发公共卫生事件报告后，应立即组织专家调</w:t>
      </w:r>
      <w:r>
        <w:rPr>
          <w:spacing w:val="7"/>
        </w:rPr>
        <w:t>查确认，并对疫情进行综合评估。同时，迅速</w:t>
      </w:r>
      <w:r>
        <w:rPr>
          <w:spacing w:val="18"/>
        </w:rPr>
        <w:t>组织应急卫生救治队伍和有关人员到达突发</w:t>
      </w:r>
      <w:r>
        <w:rPr>
          <w:spacing w:val="7"/>
        </w:rPr>
        <w:t>公共卫生事件现场，进行采样与检测、流行病</w:t>
      </w:r>
      <w:r>
        <w:rPr>
          <w:spacing w:val="1"/>
        </w:rPr>
        <w:t>学调查与分析，组织开展医疗救治、病人隔离、</w:t>
      </w:r>
      <w:r>
        <w:rPr>
          <w:spacing w:val="7"/>
        </w:rPr>
        <w:t>人员疏散等疫情控制措施；分析突发公共卫生</w:t>
      </w:r>
      <w:r>
        <w:rPr>
          <w:spacing w:val="7"/>
        </w:rPr>
        <w:t>事件的发展趋势，提出应急处理工作建议，按</w:t>
      </w:r>
      <w:r>
        <w:rPr>
          <w:spacing w:val="15"/>
        </w:rPr>
        <w:t>照规定报告有关情况</w:t>
      </w:r>
      <w:r>
        <w:rPr>
          <w:spacing w:val="-39"/>
        </w:rPr>
        <w:t xml:space="preserve"> </w:t>
      </w:r>
      <w:r>
        <w:rPr>
          <w:spacing w:val="15"/>
        </w:rPr>
        <w:t>；开展群众心理危机干</w:t>
      </w:r>
      <w:r>
        <w:rPr>
          <w:spacing w:val="7"/>
        </w:rPr>
        <w:t>预；及时向其它有关部门、毗邻和可能波及的</w:t>
      </w:r>
      <w:r>
        <w:rPr>
          <w:spacing w:val="1"/>
        </w:rPr>
        <w:t>市（地）政府卫生健康行政部门通报有关情况；</w:t>
      </w:r>
      <w:r>
        <w:rPr>
          <w:spacing w:val="18"/>
        </w:rPr>
        <w:t>向社会发布本行政区域内突发公共卫生事件</w:t>
      </w:r>
      <w:r>
        <w:rPr>
          <w:spacing w:val="6"/>
        </w:rPr>
        <w:t>的信息。</w:t>
      </w:r>
    </w:p>
    <w:p>
      <w:pPr>
        <w:pStyle w:val="BodyText"/>
        <w:ind w:left="2" w:right="80" w:firstLine="410"/>
        <w:spacing w:before="134" w:line="318" w:lineRule="auto"/>
        <w:rPr/>
      </w:pPr>
      <w:r>
        <w:rPr>
          <w:spacing w:val="8"/>
        </w:rPr>
        <w:t>（</w:t>
      </w:r>
      <w:r>
        <w:rPr>
          <w:rFonts w:ascii="Times New Roman" w:hAnsi="Times New Roman" w:eastAsia="Times New Roman" w:cs="Times New Roman"/>
          <w:spacing w:val="8"/>
        </w:rPr>
        <w:t>3</w:t>
      </w:r>
      <w:r>
        <w:rPr>
          <w:rFonts w:ascii="Times New Roman" w:hAnsi="Times New Roman" w:eastAsia="Times New Roman" w:cs="Times New Roman"/>
          <w:spacing w:val="-16"/>
        </w:rPr>
        <w:t xml:space="preserve"> </w:t>
      </w:r>
      <w:r>
        <w:rPr>
          <w:spacing w:val="8"/>
        </w:rPr>
        <w:t>）县（</w:t>
      </w:r>
      <w:r>
        <w:rPr>
          <w:spacing w:val="-48"/>
        </w:rPr>
        <w:t xml:space="preserve"> </w:t>
      </w:r>
      <w:r>
        <w:rPr>
          <w:spacing w:val="8"/>
        </w:rPr>
        <w:t>区）地方政府。突发公共卫生</w:t>
      </w:r>
      <w:r>
        <w:rPr>
          <w:spacing w:val="18"/>
        </w:rPr>
        <w:t>事件发生地政府及有关部门在市政府或市突</w:t>
      </w:r>
      <w:r>
        <w:rPr>
          <w:spacing w:val="7"/>
        </w:rPr>
        <w:t>发公共卫生事件应急指挥部的统一指挥下，按</w:t>
      </w:r>
      <w:r>
        <w:rPr>
          <w:spacing w:val="9"/>
        </w:rPr>
        <w:t>照要求认真履行职责，落实有关控制措施。</w:t>
      </w:r>
    </w:p>
    <w:p>
      <w:pPr>
        <w:pStyle w:val="BodyText"/>
        <w:ind w:left="13" w:right="78" w:firstLine="407"/>
        <w:spacing w:before="132" w:line="332" w:lineRule="auto"/>
        <w:rPr/>
      </w:pPr>
      <w:r>
        <w:rPr>
          <w:rFonts w:ascii="Times New Roman" w:hAnsi="Times New Roman" w:eastAsia="Times New Roman" w:cs="Times New Roman"/>
          <w:spacing w:val="10"/>
        </w:rPr>
        <w:t>4.4.3 </w:t>
      </w:r>
      <w:r>
        <w:rPr>
          <w:spacing w:val="10"/>
        </w:rPr>
        <w:t>较大突发公共卫生事件（</w:t>
      </w:r>
      <w:r>
        <w:rPr>
          <w:rFonts w:ascii="Times New Roman" w:hAnsi="Times New Roman" w:eastAsia="Times New Roman" w:cs="Times New Roman"/>
        </w:rPr>
        <w:t>III</w:t>
      </w:r>
      <w:r>
        <w:rPr>
          <w:rFonts w:ascii="Times New Roman" w:hAnsi="Times New Roman" w:eastAsia="Times New Roman" w:cs="Times New Roman"/>
          <w:spacing w:val="10"/>
        </w:rPr>
        <w:t xml:space="preserve"> </w:t>
      </w:r>
      <w:r>
        <w:rPr>
          <w:spacing w:val="10"/>
        </w:rPr>
        <w:t>级）的</w:t>
      </w:r>
      <w:r>
        <w:rPr>
          <w:spacing w:val="4"/>
        </w:rPr>
        <w:t>响应措施。</w:t>
      </w:r>
    </w:p>
    <w:p>
      <w:pPr>
        <w:pStyle w:val="BodyText"/>
        <w:ind w:right="3" w:firstLine="413"/>
        <w:spacing w:before="33" w:line="336" w:lineRule="auto"/>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）市政府。市政府启动本级预案</w:t>
      </w:r>
      <w:r>
        <w:rPr>
          <w:spacing w:val="-59"/>
        </w:rPr>
        <w:t xml:space="preserve"> </w:t>
      </w:r>
      <w:r>
        <w:rPr>
          <w:spacing w:val="5"/>
        </w:rPr>
        <w:t>，启</w:t>
      </w:r>
      <w:r>
        <w:rPr>
          <w:spacing w:val="7"/>
        </w:rPr>
        <w:t>动突发公共卫生事件应急指挥部，负责组织有</w:t>
      </w:r>
      <w:r>
        <w:rPr>
          <w:spacing w:val="18"/>
        </w:rPr>
        <w:t>关部门协助卫生健康行政部门做好疫情信息</w:t>
      </w:r>
      <w:r>
        <w:rPr>
          <w:spacing w:val="7"/>
        </w:rPr>
        <w:t>收集，组织人员的疏散安置，依法进行疫区的</w:t>
      </w:r>
      <w:r>
        <w:rPr>
          <w:spacing w:val="7"/>
        </w:rPr>
        <w:t>确定与封锁、隔离和舆论宣传工作；保证突发</w:t>
      </w:r>
      <w:r>
        <w:rPr>
          <w:spacing w:val="18"/>
        </w:rPr>
        <w:t>公共卫生事件应急处理所需的医疗救治和预</w:t>
      </w:r>
      <w:r>
        <w:rPr>
          <w:spacing w:val="1"/>
        </w:rPr>
        <w:t>防用防护设备、药品、医疗器械等物资的供应。</w:t>
      </w:r>
    </w:p>
    <w:p>
      <w:pPr>
        <w:pStyle w:val="BodyText"/>
        <w:ind w:left="1" w:right="80" w:firstLine="411"/>
        <w:spacing w:before="105" w:line="327"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）市级卫生健康行政部门。立即组织</w:t>
      </w:r>
      <w:r>
        <w:rPr>
          <w:spacing w:val="7"/>
        </w:rPr>
        <w:t>专家调查确认，并对疫情进行综合评估，迅速</w:t>
      </w:r>
      <w:r>
        <w:rPr>
          <w:spacing w:val="18"/>
        </w:rPr>
        <w:t>向市政府提出启动本预案和启动市应急指挥</w:t>
      </w:r>
      <w:r>
        <w:rPr>
          <w:spacing w:val="7"/>
        </w:rPr>
        <w:t>部的建议。同时，迅速组织开展现场流行病学</w:t>
      </w:r>
      <w:r>
        <w:rPr>
          <w:spacing w:val="7"/>
        </w:rPr>
        <w:t>调查、致病致残人员的隔离救治、密切接触者</w:t>
      </w:r>
      <w:r>
        <w:rPr>
          <w:spacing w:val="7"/>
        </w:rPr>
        <w:t>的隔离、环境生物样品采集和消毒处理等紧急</w:t>
      </w:r>
    </w:p>
    <w:p>
      <w:pPr>
        <w:spacing w:line="327" w:lineRule="auto"/>
        <w:sectPr>
          <w:type w:val="continuous"/>
          <w:pgSz w:w="11906" w:h="16839"/>
          <w:pgMar w:top="1766" w:right="1509" w:bottom="1575" w:left="1579" w:header="1428" w:footer="1172" w:gutter="0"/>
          <w:cols w:equalWidth="0" w:num="2">
            <w:col w:w="4489" w:space="100"/>
            <w:col w:w="4228" w:space="0"/>
          </w:cols>
        </w:sectPr>
        <w:rPr/>
      </w:pPr>
    </w:p>
    <w:p>
      <w:pPr>
        <w:spacing w:before="55"/>
        <w:rPr/>
      </w:pPr>
      <w:r>
        <w:drawing>
          <wp:anchor distT="0" distB="0" distL="0" distR="0" simplePos="0" relativeHeight="253391872"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914" name="IM 1914"/>
            <wp:cNvGraphicFramePr/>
            <a:graphic>
              <a:graphicData uri="http://schemas.openxmlformats.org/drawingml/2006/picture">
                <pic:pic>
                  <pic:nvPicPr>
                    <pic:cNvPr id="1914" name="IM 1914"/>
                    <pic:cNvPicPr/>
                  </pic:nvPicPr>
                  <pic:blipFill>
                    <a:blip r:embed="rId959"/>
                    <a:stretch>
                      <a:fillRect/>
                    </a:stretch>
                  </pic:blipFill>
                  <pic:spPr>
                    <a:xfrm rot="0">
                      <a:off x="0" y="0"/>
                      <a:ext cx="5579745" cy="7620"/>
                    </a:xfrm>
                    <a:prstGeom prst="rect">
                      <a:avLst/>
                    </a:prstGeom>
                  </pic:spPr>
                </pic:pic>
              </a:graphicData>
            </a:graphic>
          </wp:anchor>
        </w:drawing>
      </w:r>
      <w:r/>
    </w:p>
    <w:p>
      <w:pPr>
        <w:sectPr>
          <w:headerReference w:type="default" r:id="rId816"/>
          <w:footerReference w:type="default" r:id="rId958"/>
          <w:pgSz w:w="11906" w:h="16839"/>
          <w:pgMar w:top="1772" w:right="1489" w:bottom="1562" w:left="1567" w:header="1428" w:footer="1172" w:gutter="0"/>
          <w:cols w:equalWidth="0" w:num="1">
            <w:col w:w="8850" w:space="0"/>
          </w:cols>
        </w:sectPr>
        <w:rPr/>
      </w:pPr>
    </w:p>
    <w:p>
      <w:pPr>
        <w:pStyle w:val="BodyText"/>
        <w:ind w:left="25" w:right="328" w:firstLine="1"/>
        <w:spacing w:before="41" w:line="346" w:lineRule="auto"/>
        <w:jc w:val="both"/>
        <w:rPr/>
      </w:pPr>
      <w:r>
        <w:rPr>
          <w:spacing w:val="7"/>
        </w:rPr>
        <w:t>控制措施，并按照规定向市政府和自治区卫生</w:t>
      </w:r>
      <w:r>
        <w:rPr>
          <w:spacing w:val="7"/>
        </w:rPr>
        <w:t>健康委报告调查处理情况。开展群众心理危机</w:t>
      </w:r>
      <w:r>
        <w:rPr>
          <w:spacing w:val="4"/>
        </w:rPr>
        <w:t>干预。</w:t>
      </w:r>
    </w:p>
    <w:p>
      <w:pPr>
        <w:pStyle w:val="BodyText"/>
        <w:ind w:left="25" w:right="308" w:firstLine="412"/>
        <w:spacing w:before="6" w:line="351" w:lineRule="auto"/>
        <w:jc w:val="both"/>
        <w:rPr/>
      </w:pPr>
      <w:r>
        <w:rPr>
          <w:spacing w:val="8"/>
        </w:rPr>
        <w:t>（</w:t>
      </w:r>
      <w:r>
        <w:rPr>
          <w:rFonts w:ascii="Times New Roman" w:hAnsi="Times New Roman" w:eastAsia="Times New Roman" w:cs="Times New Roman"/>
          <w:spacing w:val="8"/>
        </w:rPr>
        <w:t>3</w:t>
      </w:r>
      <w:r>
        <w:rPr>
          <w:rFonts w:ascii="Times New Roman" w:hAnsi="Times New Roman" w:eastAsia="Times New Roman" w:cs="Times New Roman"/>
          <w:spacing w:val="-16"/>
        </w:rPr>
        <w:t xml:space="preserve"> </w:t>
      </w:r>
      <w:r>
        <w:rPr>
          <w:spacing w:val="8"/>
        </w:rPr>
        <w:t>）县（</w:t>
      </w:r>
      <w:r>
        <w:rPr>
          <w:spacing w:val="-48"/>
        </w:rPr>
        <w:t xml:space="preserve"> </w:t>
      </w:r>
      <w:r>
        <w:rPr>
          <w:spacing w:val="8"/>
        </w:rPr>
        <w:t>区）地方政府。突发公共卫生</w:t>
      </w:r>
      <w:r>
        <w:rPr>
          <w:spacing w:val="18"/>
        </w:rPr>
        <w:t>事件发生地的政府及有关部门在市政府或市</w:t>
      </w:r>
      <w:r>
        <w:rPr>
          <w:spacing w:val="8"/>
        </w:rPr>
        <w:t>突发公共卫生事件应急指挥部的统一指挥下，</w:t>
      </w:r>
      <w:r>
        <w:rPr>
          <w:spacing w:val="8"/>
        </w:rPr>
        <w:t>按照要求认真履行职责，落实有关控制措施。</w:t>
      </w:r>
    </w:p>
    <w:p>
      <w:pPr>
        <w:pStyle w:val="BodyText"/>
        <w:ind w:left="17" w:right="326" w:firstLine="427"/>
        <w:spacing w:before="1" w:line="354" w:lineRule="auto"/>
        <w:jc w:val="both"/>
        <w:rPr/>
      </w:pPr>
      <w:r>
        <w:rPr>
          <w:rFonts w:ascii="Times New Roman" w:hAnsi="Times New Roman" w:eastAsia="Times New Roman" w:cs="Times New Roman"/>
          <w:spacing w:val="10"/>
        </w:rPr>
        <w:t>4.4.4 </w:t>
      </w:r>
      <w:r>
        <w:rPr>
          <w:spacing w:val="10"/>
        </w:rPr>
        <w:t>一般突发公共卫生事件（</w:t>
      </w:r>
      <w:r>
        <w:rPr>
          <w:rFonts w:ascii="Times New Roman" w:hAnsi="Times New Roman" w:eastAsia="Times New Roman" w:cs="Times New Roman"/>
        </w:rPr>
        <w:t>IV</w:t>
      </w:r>
      <w:r>
        <w:rPr>
          <w:rFonts w:ascii="Times New Roman" w:hAnsi="Times New Roman" w:eastAsia="Times New Roman" w:cs="Times New Roman"/>
          <w:spacing w:val="10"/>
        </w:rPr>
        <w:t xml:space="preserve"> </w:t>
      </w:r>
      <w:r>
        <w:rPr>
          <w:spacing w:val="10"/>
        </w:rPr>
        <w:t>级）的</w:t>
      </w:r>
      <w:r>
        <w:rPr>
          <w:spacing w:val="7"/>
        </w:rPr>
        <w:t>响应措施。一般突发公共卫生事件发生后，县</w:t>
      </w:r>
      <w:r>
        <w:rPr>
          <w:spacing w:val="7"/>
        </w:rPr>
        <w:t>（区）级政府负责组织有关部门开展突发公共</w:t>
      </w:r>
      <w:r>
        <w:rPr>
          <w:spacing w:val="7"/>
        </w:rPr>
        <w:t>卫生事件的应急处置工作，启动本级预案和突</w:t>
      </w:r>
      <w:r>
        <w:rPr>
          <w:spacing w:val="7"/>
        </w:rPr>
        <w:t>发公共卫生事件应急指挥部。卫生健康行政部</w:t>
      </w:r>
      <w:r>
        <w:rPr>
          <w:spacing w:val="7"/>
        </w:rPr>
        <w:t>门立即组织专家进行调查确认，并对疫情进行</w:t>
      </w:r>
      <w:r>
        <w:rPr>
          <w:spacing w:val="7"/>
        </w:rPr>
        <w:t>综合评估。同时，迅速组织医疗、疾病预防控</w:t>
      </w:r>
      <w:r>
        <w:rPr>
          <w:spacing w:val="18"/>
        </w:rPr>
        <w:t>制和卫生监督机构开展突发公共卫生事件的</w:t>
      </w:r>
      <w:r>
        <w:rPr>
          <w:spacing w:val="7"/>
        </w:rPr>
        <w:t>现场处理工作，并按照规定向上级卫生健康行</w:t>
      </w:r>
      <w:r>
        <w:rPr>
          <w:spacing w:val="8"/>
        </w:rPr>
        <w:t>政部门报告。</w:t>
      </w:r>
    </w:p>
    <w:p>
      <w:pPr>
        <w:pStyle w:val="BodyText"/>
        <w:ind w:left="23" w:right="328" w:firstLine="421"/>
        <w:spacing w:before="7" w:line="340" w:lineRule="auto"/>
        <w:rPr/>
      </w:pPr>
      <w:r>
        <w:rPr>
          <w:rFonts w:ascii="Times New Roman" w:hAnsi="Times New Roman" w:eastAsia="Times New Roman" w:cs="Times New Roman"/>
          <w:spacing w:val="8"/>
        </w:rPr>
        <w:t>4.5  </w:t>
      </w:r>
      <w:r>
        <w:rPr>
          <w:rFonts w:ascii="KaiTi" w:hAnsi="KaiTi" w:eastAsia="KaiTi" w:cs="KaiTi"/>
          <w:spacing w:val="8"/>
        </w:rPr>
        <w:t>现场处置。</w:t>
      </w:r>
      <w:r>
        <w:rPr>
          <w:spacing w:val="8"/>
        </w:rPr>
        <w:t>启动事发地政府突发公共</w:t>
      </w:r>
      <w:r>
        <w:rPr>
          <w:spacing w:val="7"/>
        </w:rPr>
        <w:t>卫生事件应急处置现场指挥部，具体负责指挥</w:t>
      </w:r>
      <w:r>
        <w:rPr>
          <w:spacing w:val="7"/>
        </w:rPr>
        <w:t>现场的应急处置工作。各有关单位按照职责参</w:t>
      </w:r>
      <w:r>
        <w:rPr>
          <w:spacing w:val="7"/>
        </w:rPr>
        <w:t>与处置工作，包括医疗救治、疫区控制、流行</w:t>
      </w:r>
      <w:r>
        <w:rPr>
          <w:spacing w:val="7"/>
        </w:rPr>
        <w:t>病学调查、卫生监督、交通卫生检疫、维护社</w:t>
      </w:r>
      <w:r>
        <w:rPr>
          <w:spacing w:val="15"/>
        </w:rPr>
        <w:t>会稳定等</w:t>
      </w:r>
      <w:r>
        <w:rPr>
          <w:spacing w:val="-39"/>
        </w:rPr>
        <w:t xml:space="preserve"> </w:t>
      </w:r>
      <w:r>
        <w:rPr>
          <w:spacing w:val="15"/>
        </w:rPr>
        <w:t>，及时上报事件情况和人员伤亡情</w:t>
      </w:r>
      <w:r>
        <w:rPr>
          <w:spacing w:val="7"/>
        </w:rPr>
        <w:t>况，协调各级各类专业救援队伍参与处置。必</w:t>
      </w:r>
      <w:r>
        <w:rPr>
          <w:spacing w:val="7"/>
        </w:rPr>
        <w:t>要时，市突发公共卫生事件应急指挥部派出工</w:t>
      </w:r>
      <w:r>
        <w:rPr>
          <w:spacing w:val="9"/>
        </w:rPr>
        <w:t>作组赶赴事件现场，指导应急处置工作。</w:t>
      </w:r>
    </w:p>
    <w:p>
      <w:pPr>
        <w:ind w:left="445"/>
        <w:spacing w:before="139" w:line="264" w:lineRule="exact"/>
        <w:rPr>
          <w:rFonts w:ascii="KaiTi" w:hAnsi="KaiTi" w:eastAsia="KaiTi" w:cs="KaiTi"/>
          <w:sz w:val="20"/>
          <w:szCs w:val="20"/>
        </w:rPr>
      </w:pPr>
      <w:r>
        <w:rPr>
          <w:rFonts w:ascii="Times New Roman" w:hAnsi="Times New Roman" w:eastAsia="Times New Roman" w:cs="Times New Roman"/>
          <w:sz w:val="20"/>
          <w:szCs w:val="20"/>
          <w:spacing w:val="5"/>
          <w:position w:val="1"/>
        </w:rPr>
        <w:t>4.6  </w:t>
      </w:r>
      <w:r>
        <w:rPr>
          <w:rFonts w:ascii="KaiTi" w:hAnsi="KaiTi" w:eastAsia="KaiTi" w:cs="KaiTi"/>
          <w:sz w:val="20"/>
          <w:szCs w:val="20"/>
          <w:spacing w:val="5"/>
          <w:position w:val="1"/>
        </w:rPr>
        <w:t>信息发布。</w:t>
      </w:r>
    </w:p>
    <w:p>
      <w:pPr>
        <w:pStyle w:val="BodyText"/>
        <w:ind w:left="25" w:right="308" w:firstLine="412"/>
        <w:spacing w:before="122" w:line="351" w:lineRule="auto"/>
        <w:jc w:val="both"/>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）信息发布主体。建立法定传染病和</w:t>
      </w:r>
      <w:r>
        <w:rPr>
          <w:spacing w:val="7"/>
        </w:rPr>
        <w:t>突发公共卫生事件总体信息定期发布制度，由</w:t>
      </w:r>
      <w:r>
        <w:rPr>
          <w:spacing w:val="7"/>
        </w:rPr>
        <w:t>固原市卫生健康委以月报、年报方式在固原政</w:t>
      </w:r>
      <w:r>
        <w:rPr>
          <w:spacing w:val="7"/>
        </w:rPr>
        <w:t>务网站、《健康固原》微信平台上公布全市法</w:t>
      </w:r>
      <w:r>
        <w:rPr>
          <w:spacing w:val="8"/>
        </w:rPr>
        <w:t>定传染病疫情和突发公共卫生事件总体信息。</w:t>
      </w:r>
    </w:p>
    <w:p>
      <w:pPr>
        <w:pStyle w:val="BodyText"/>
        <w:ind w:left="27" w:right="328" w:firstLine="434"/>
        <w:spacing w:before="22" w:line="286" w:lineRule="auto"/>
        <w:rPr/>
      </w:pPr>
      <w:r>
        <w:rPr>
          <w:spacing w:val="6"/>
        </w:rPr>
        <w:t>当发生突发公共卫生事件个案时，按照分</w:t>
      </w:r>
      <w:r>
        <w:rPr>
          <w:spacing w:val="7"/>
        </w:rPr>
        <w:t>级响应原则，突发公共卫生事件信息发布工作</w:t>
      </w:r>
    </w:p>
    <w:p>
      <w:pPr>
        <w:spacing w:line="14" w:lineRule="auto"/>
        <w:rPr>
          <w:rFonts w:ascii="Arial"/>
          <w:sz w:val="2"/>
        </w:rPr>
      </w:pPr>
      <w:r>
        <w:rPr>
          <w:rFonts w:ascii="Arial" w:hAnsi="Arial" w:eastAsia="Arial" w:cs="Arial"/>
          <w:sz w:val="2"/>
          <w:szCs w:val="2"/>
        </w:rPr>
        <w:br w:type="column"/>
      </w:r>
    </w:p>
    <w:p>
      <w:pPr>
        <w:pStyle w:val="BodyText"/>
        <w:ind w:right="98" w:firstLine="26"/>
        <w:spacing w:before="52" w:line="352" w:lineRule="auto"/>
        <w:jc w:val="both"/>
        <w:rPr/>
      </w:pPr>
      <w:r>
        <w:rPr>
          <w:spacing w:val="16"/>
        </w:rPr>
        <w:t>由各级政府发言人或现场指挥指定的新闻发</w:t>
      </w:r>
      <w:r>
        <w:rPr>
          <w:spacing w:val="10"/>
        </w:rPr>
        <w:t>言人负责发布。发生特别重大 (</w:t>
      </w:r>
      <w:r>
        <w:rPr>
          <w:spacing w:val="-31"/>
        </w:rPr>
        <w:t xml:space="preserve"> </w:t>
      </w:r>
      <w:r>
        <w:rPr>
          <w:rFonts w:ascii="Times New Roman" w:hAnsi="Times New Roman" w:eastAsia="Times New Roman" w:cs="Times New Roman"/>
          <w:spacing w:val="10"/>
        </w:rPr>
        <w:t>Ⅰ</w:t>
      </w:r>
      <w:r>
        <w:rPr>
          <w:spacing w:val="10"/>
        </w:rPr>
        <w:t>级）突发公</w:t>
      </w:r>
      <w:r>
        <w:rPr>
          <w:spacing w:val="7"/>
        </w:rPr>
        <w:t>共卫生事件后，国家卫生健康委按照国务院应</w:t>
      </w:r>
      <w:r>
        <w:rPr>
          <w:spacing w:val="7"/>
        </w:rPr>
        <w:t>急指挥机构的统一指挥对外发布信息；发生重</w:t>
      </w:r>
      <w:r>
        <w:rPr>
          <w:spacing w:val="7"/>
        </w:rPr>
        <w:t>大 (</w:t>
      </w:r>
      <w:r>
        <w:rPr>
          <w:spacing w:val="-31"/>
        </w:rPr>
        <w:t xml:space="preserve"> </w:t>
      </w:r>
      <w:r>
        <w:rPr>
          <w:rFonts w:ascii="Times New Roman" w:hAnsi="Times New Roman" w:eastAsia="Times New Roman" w:cs="Times New Roman"/>
          <w:spacing w:val="7"/>
        </w:rPr>
        <w:t>Ⅱ</w:t>
      </w:r>
      <w:r>
        <w:rPr>
          <w:spacing w:val="7"/>
        </w:rPr>
        <w:t>级）突发公共卫生事件后，由自治区卫</w:t>
      </w:r>
      <w:r>
        <w:rPr>
          <w:spacing w:val="18"/>
        </w:rPr>
        <w:t>生健康委按照自治区政府应急指挥部的统一</w:t>
      </w:r>
      <w:r>
        <w:rPr>
          <w:spacing w:val="5"/>
        </w:rPr>
        <w:t>指挥对外发布信息；发生较大</w:t>
      </w:r>
      <w:r>
        <w:rPr>
          <w:spacing w:val="-6"/>
        </w:rPr>
        <w:t xml:space="preserve"> </w:t>
      </w:r>
      <w:r>
        <w:rPr>
          <w:spacing w:val="5"/>
        </w:rPr>
        <w:t>(</w:t>
      </w:r>
      <w:r>
        <w:rPr>
          <w:spacing w:val="-38"/>
        </w:rPr>
        <w:t xml:space="preserve"> </w:t>
      </w:r>
      <w:r>
        <w:rPr>
          <w:rFonts w:ascii="Times New Roman" w:hAnsi="Times New Roman" w:eastAsia="Times New Roman" w:cs="Times New Roman"/>
          <w:spacing w:val="5"/>
        </w:rPr>
        <w:t>Ⅲ</w:t>
      </w:r>
      <w:r>
        <w:rPr>
          <w:spacing w:val="5"/>
        </w:rPr>
        <w:t>级）和一般</w:t>
      </w:r>
      <w:r>
        <w:rPr>
          <w:spacing w:val="8"/>
        </w:rPr>
        <w:t>(</w:t>
      </w:r>
      <w:r>
        <w:rPr>
          <w:spacing w:val="-22"/>
        </w:rPr>
        <w:t xml:space="preserve"> </w:t>
      </w:r>
      <w:r>
        <w:rPr>
          <w:rFonts w:ascii="Times New Roman" w:hAnsi="Times New Roman" w:eastAsia="Times New Roman" w:cs="Times New Roman"/>
          <w:spacing w:val="8"/>
        </w:rPr>
        <w:t>Ⅳ</w:t>
      </w:r>
      <w:r>
        <w:rPr>
          <w:spacing w:val="8"/>
        </w:rPr>
        <w:t>级）突发公共卫生事件后，市突发公共卫</w:t>
      </w:r>
      <w:r>
        <w:rPr>
          <w:spacing w:val="4"/>
        </w:rPr>
        <w:t>生事件应急指挥部和各县（</w:t>
      </w:r>
      <w:r>
        <w:rPr>
          <w:spacing w:val="-34"/>
        </w:rPr>
        <w:t xml:space="preserve"> </w:t>
      </w:r>
      <w:r>
        <w:rPr>
          <w:spacing w:val="4"/>
        </w:rPr>
        <w:t>区）突发公共卫生</w:t>
      </w:r>
      <w:r>
        <w:rPr>
          <w:spacing w:val="7"/>
        </w:rPr>
        <w:t>事件应急指挥机构对外发布信息。信息发布要</w:t>
      </w:r>
      <w:r>
        <w:rPr>
          <w:spacing w:val="7"/>
        </w:rPr>
        <w:t>及时主动、准确把握、实事求是，正确引导舆</w:t>
      </w:r>
      <w:r>
        <w:rPr>
          <w:spacing w:val="9"/>
        </w:rPr>
        <w:t>论，注重社会效果，防止产生负面影响。</w:t>
      </w:r>
    </w:p>
    <w:p>
      <w:pPr>
        <w:pStyle w:val="BodyText"/>
        <w:ind w:left="2" w:right="101" w:firstLine="422"/>
        <w:spacing w:before="24" w:line="353" w:lineRule="auto"/>
        <w:rPr/>
      </w:pPr>
      <w:r>
        <w:rPr>
          <w:spacing w:val="6"/>
        </w:rPr>
        <w:t>宣传、网信、公安等部门要密切关注舆情</w:t>
      </w:r>
      <w:r>
        <w:rPr>
          <w:spacing w:val="9"/>
        </w:rPr>
        <w:t>信息，及时做好舆情管控、引导工作。</w:t>
      </w:r>
    </w:p>
    <w:p>
      <w:pPr>
        <w:pStyle w:val="BodyText"/>
        <w:ind w:right="101" w:firstLine="413"/>
        <w:spacing w:before="1" w:line="338"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）信息发布内容：定期发布主要内容</w:t>
      </w:r>
      <w:r>
        <w:rPr>
          <w:spacing w:val="7"/>
        </w:rPr>
        <w:t>为法定传染病疫情基本情况。突发公共卫生事</w:t>
      </w:r>
      <w:r>
        <w:rPr>
          <w:spacing w:val="7"/>
        </w:rPr>
        <w:t>件个案信息发布内容主要包括：突发公共卫生</w:t>
      </w:r>
      <w:r>
        <w:rPr>
          <w:spacing w:val="7"/>
        </w:rPr>
        <w:t>事件性质、原因；突发公共卫生事件发生地及</w:t>
      </w:r>
      <w:r>
        <w:rPr>
          <w:spacing w:val="7"/>
        </w:rPr>
        <w:t>范围；突发公共卫生事件的发病、伤亡及涉及</w:t>
      </w:r>
      <w:r>
        <w:rPr>
          <w:spacing w:val="7"/>
        </w:rPr>
        <w:t>的人员范围；突发公共卫生事件处理措施和控</w:t>
      </w:r>
      <w:r>
        <w:rPr>
          <w:spacing w:val="7"/>
        </w:rPr>
        <w:t>制情况；突发公共卫生事件发生地强制措施的</w:t>
      </w:r>
      <w:r>
        <w:rPr>
          <w:spacing w:val="6"/>
        </w:rPr>
        <w:t>解除等。</w:t>
      </w:r>
    </w:p>
    <w:p>
      <w:pPr>
        <w:pStyle w:val="BodyText"/>
        <w:ind w:left="7" w:right="101" w:firstLine="406"/>
        <w:spacing w:before="141" w:line="311"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）信息发布形式：权威发布、提供新</w:t>
      </w:r>
      <w:r>
        <w:rPr>
          <w:spacing w:val="7"/>
        </w:rPr>
        <w:t>闻稿、组织报道、接受记者采访、举行新闻发</w:t>
      </w:r>
      <w:r>
        <w:rPr>
          <w:spacing w:val="4"/>
        </w:rPr>
        <w:t>布会等。</w:t>
      </w:r>
    </w:p>
    <w:p>
      <w:pPr>
        <w:pStyle w:val="BodyText"/>
        <w:ind w:right="78" w:firstLine="421"/>
        <w:spacing w:before="144" w:line="328" w:lineRule="auto"/>
        <w:rPr/>
      </w:pPr>
      <w:r>
        <w:rPr>
          <w:rFonts w:ascii="Times New Roman" w:hAnsi="Times New Roman" w:eastAsia="Times New Roman" w:cs="Times New Roman"/>
          <w:spacing w:val="8"/>
        </w:rPr>
        <w:t>4.7  </w:t>
      </w:r>
      <w:r>
        <w:rPr>
          <w:rFonts w:ascii="KaiTi" w:hAnsi="KaiTi" w:eastAsia="KaiTi" w:cs="KaiTi"/>
          <w:spacing w:val="8"/>
        </w:rPr>
        <w:t>社会动员。</w:t>
      </w:r>
      <w:r>
        <w:rPr>
          <w:spacing w:val="8"/>
        </w:rPr>
        <w:t>突发公共卫生事件发生地</w:t>
      </w:r>
      <w:r>
        <w:rPr>
          <w:spacing w:val="7"/>
        </w:rPr>
        <w:t>各级政府，积极动员街道、乡（镇）以及居委</w:t>
      </w:r>
      <w:r>
        <w:rPr>
          <w:spacing w:val="18"/>
        </w:rPr>
        <w:t>会、村委会协助卫生健康行政部门和其它部</w:t>
      </w:r>
      <w:r>
        <w:rPr>
          <w:spacing w:val="8"/>
        </w:rPr>
        <w:t>门、医疗机构，做好疫情信息的收集、报告、</w:t>
      </w:r>
      <w:r>
        <w:rPr>
          <w:spacing w:val="9"/>
        </w:rPr>
        <w:t>人员分散隔离、公共卫生措施的实施工作。</w:t>
      </w:r>
    </w:p>
    <w:p>
      <w:pPr>
        <w:ind w:left="421"/>
        <w:spacing w:before="140" w:line="268" w:lineRule="exact"/>
        <w:rPr>
          <w:rFonts w:ascii="KaiTi" w:hAnsi="KaiTi" w:eastAsia="KaiTi" w:cs="KaiTi"/>
          <w:sz w:val="20"/>
          <w:szCs w:val="20"/>
        </w:rPr>
      </w:pPr>
      <w:r>
        <w:rPr>
          <w:rFonts w:ascii="Times New Roman" w:hAnsi="Times New Roman" w:eastAsia="Times New Roman" w:cs="Times New Roman"/>
          <w:sz w:val="20"/>
          <w:szCs w:val="20"/>
          <w:spacing w:val="5"/>
          <w:position w:val="1"/>
        </w:rPr>
        <w:t>4.8  </w:t>
      </w:r>
      <w:r>
        <w:rPr>
          <w:rFonts w:ascii="KaiTi" w:hAnsi="KaiTi" w:eastAsia="KaiTi" w:cs="KaiTi"/>
          <w:sz w:val="20"/>
          <w:szCs w:val="20"/>
          <w:spacing w:val="5"/>
          <w:position w:val="1"/>
        </w:rPr>
        <w:t>响应终止。</w:t>
      </w:r>
    </w:p>
    <w:p>
      <w:pPr>
        <w:pStyle w:val="BodyText"/>
        <w:ind w:left="4" w:right="98" w:firstLine="416"/>
        <w:spacing w:before="120" w:line="298" w:lineRule="auto"/>
        <w:jc w:val="both"/>
        <w:rPr/>
      </w:pPr>
      <w:r>
        <w:rPr>
          <w:rFonts w:ascii="Times New Roman" w:hAnsi="Times New Roman" w:eastAsia="Times New Roman" w:cs="Times New Roman"/>
          <w:spacing w:val="2"/>
        </w:rPr>
        <w:t>4.8.1</w:t>
      </w:r>
      <w:r>
        <w:rPr>
          <w:rFonts w:ascii="Times New Roman" w:hAnsi="Times New Roman" w:eastAsia="Times New Roman" w:cs="Times New Roman"/>
          <w:spacing w:val="35"/>
          <w:w w:val="101"/>
        </w:rPr>
        <w:t xml:space="preserve"> </w:t>
      </w:r>
      <w:r>
        <w:rPr>
          <w:spacing w:val="2"/>
        </w:rPr>
        <w:t>响应终止条件。突发公共卫生事件隐</w:t>
      </w:r>
      <w:r>
        <w:rPr>
          <w:spacing w:val="7"/>
        </w:rPr>
        <w:t>患或相关危险因素消除，或末例传染病病例发</w:t>
      </w:r>
      <w:r>
        <w:rPr>
          <w:spacing w:val="8"/>
        </w:rPr>
        <w:t>生后经过最长潜伏期无新的病例出现。</w:t>
      </w:r>
    </w:p>
    <w:p>
      <w:pPr>
        <w:spacing w:line="298" w:lineRule="auto"/>
        <w:sectPr>
          <w:type w:val="continuous"/>
          <w:pgSz w:w="11906" w:h="16839"/>
          <w:pgMar w:top="1772" w:right="1489" w:bottom="1562" w:left="1567" w:header="1428" w:footer="1172" w:gutter="0"/>
          <w:cols w:equalWidth="0" w:num="2">
            <w:col w:w="4501" w:space="100"/>
            <w:col w:w="4250" w:space="0"/>
          </w:cols>
        </w:sectPr>
        <w:rPr/>
      </w:pPr>
    </w:p>
    <w:p>
      <w:pPr>
        <w:spacing w:line="133" w:lineRule="exact"/>
        <w:rPr/>
      </w:pPr>
      <w:r>
        <w:drawing>
          <wp:anchor distT="0" distB="0" distL="0" distR="0" simplePos="0" relativeHeight="253403136"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918" name="IM 1918"/>
            <wp:cNvGraphicFramePr/>
            <a:graphic>
              <a:graphicData uri="http://schemas.openxmlformats.org/drawingml/2006/picture">
                <pic:pic>
                  <pic:nvPicPr>
                    <pic:cNvPr id="1918" name="IM 1918"/>
                    <pic:cNvPicPr/>
                  </pic:nvPicPr>
                  <pic:blipFill>
                    <a:blip r:embed="rId961"/>
                    <a:stretch>
                      <a:fillRect/>
                    </a:stretch>
                  </pic:blipFill>
                  <pic:spPr>
                    <a:xfrm rot="0">
                      <a:off x="0" y="0"/>
                      <a:ext cx="5579745" cy="7620"/>
                    </a:xfrm>
                    <a:prstGeom prst="rect">
                      <a:avLst/>
                    </a:prstGeom>
                  </pic:spPr>
                </pic:pic>
              </a:graphicData>
            </a:graphic>
          </wp:anchor>
        </w:drawing>
      </w:r>
      <w:r/>
    </w:p>
    <w:p>
      <w:pPr>
        <w:spacing w:line="133" w:lineRule="exact"/>
        <w:sectPr>
          <w:headerReference w:type="default" r:id="rId549"/>
          <w:footerReference w:type="default" r:id="rId960"/>
          <w:pgSz w:w="11906" w:h="16839"/>
          <w:pgMar w:top="1766" w:right="1530" w:bottom="1575" w:left="1579" w:header="1428" w:footer="1172" w:gutter="0"/>
          <w:cols w:equalWidth="0" w:num="1">
            <w:col w:w="8796" w:space="0"/>
          </w:cols>
        </w:sectPr>
        <w:rPr/>
      </w:pPr>
    </w:p>
    <w:p>
      <w:pPr>
        <w:pStyle w:val="BodyText"/>
        <w:ind w:left="11" w:right="327" w:firstLine="420"/>
        <w:spacing w:before="39" w:line="351" w:lineRule="auto"/>
        <w:jc w:val="both"/>
        <w:rPr/>
      </w:pPr>
      <w:r>
        <w:rPr>
          <w:rFonts w:ascii="Times New Roman" w:hAnsi="Times New Roman" w:eastAsia="Times New Roman" w:cs="Times New Roman"/>
          <w:spacing w:val="2"/>
        </w:rPr>
        <w:t>4.8.2</w:t>
      </w:r>
      <w:r>
        <w:rPr>
          <w:rFonts w:ascii="Times New Roman" w:hAnsi="Times New Roman" w:eastAsia="Times New Roman" w:cs="Times New Roman"/>
          <w:spacing w:val="35"/>
          <w:w w:val="101"/>
        </w:rPr>
        <w:t xml:space="preserve"> </w:t>
      </w:r>
      <w:r>
        <w:rPr>
          <w:spacing w:val="2"/>
        </w:rPr>
        <w:t>响应终止程序。特别重大突发公共卫</w:t>
      </w:r>
      <w:r>
        <w:rPr>
          <w:spacing w:val="18"/>
        </w:rPr>
        <w:t>生事件由自治区政府组织有关专家进行分析</w:t>
      </w:r>
      <w:r>
        <w:rPr>
          <w:spacing w:val="7"/>
        </w:rPr>
        <w:t>论证，提出终止应急反应的建议，报国务院或</w:t>
      </w:r>
      <w:r>
        <w:rPr>
          <w:spacing w:val="9"/>
        </w:rPr>
        <w:t>全国突发公共卫生应急指挥部决定。</w:t>
      </w:r>
    </w:p>
    <w:p>
      <w:pPr>
        <w:pStyle w:val="BodyText"/>
        <w:ind w:left="12" w:right="329" w:firstLine="422"/>
        <w:spacing w:before="3" w:line="350" w:lineRule="auto"/>
        <w:jc w:val="both"/>
        <w:rPr/>
      </w:pPr>
      <w:r>
        <w:rPr>
          <w:spacing w:val="19"/>
        </w:rPr>
        <w:t>重大突发公共卫生事件由自治区卫生健</w:t>
      </w:r>
      <w:r>
        <w:rPr>
          <w:spacing w:val="7"/>
        </w:rPr>
        <w:t>康委组织专家进行分析论证，提出终止应急反</w:t>
      </w:r>
      <w:r>
        <w:rPr>
          <w:spacing w:val="7"/>
        </w:rPr>
        <w:t>应的建议，报自治区政府或自治区突发公共卫</w:t>
      </w:r>
      <w:r>
        <w:rPr>
          <w:spacing w:val="7"/>
        </w:rPr>
        <w:t>生事件应急指挥部批准后实施，并向国家卫生</w:t>
      </w:r>
      <w:r>
        <w:rPr>
          <w:spacing w:val="7"/>
        </w:rPr>
        <w:t>健康委报告。</w:t>
      </w:r>
    </w:p>
    <w:p>
      <w:pPr>
        <w:pStyle w:val="BodyText"/>
        <w:ind w:left="12" w:right="329" w:firstLine="421"/>
        <w:spacing w:before="4" w:line="349" w:lineRule="auto"/>
        <w:jc w:val="both"/>
        <w:rPr/>
      </w:pPr>
      <w:r>
        <w:rPr>
          <w:spacing w:val="19"/>
        </w:rPr>
        <w:t>较大突发公共卫生事件由市卫生健康行</w:t>
      </w:r>
      <w:r>
        <w:rPr>
          <w:spacing w:val="7"/>
        </w:rPr>
        <w:t>政部门组织专家进行分析论证，提出终止应急</w:t>
      </w:r>
      <w:r>
        <w:rPr>
          <w:spacing w:val="7"/>
        </w:rPr>
        <w:t>反应的建议，报市政府或市突发公共卫生事件</w:t>
      </w:r>
      <w:r>
        <w:rPr>
          <w:spacing w:val="7"/>
        </w:rPr>
        <w:t>应急指挥部批准后实施，并向自治区卫生健康</w:t>
      </w:r>
      <w:r>
        <w:rPr>
          <w:spacing w:val="6"/>
        </w:rPr>
        <w:t>委报告。</w:t>
      </w:r>
    </w:p>
    <w:p>
      <w:pPr>
        <w:pStyle w:val="BodyText"/>
        <w:ind w:left="12" w:right="329" w:firstLine="421"/>
        <w:spacing w:before="4" w:line="349" w:lineRule="auto"/>
        <w:jc w:val="both"/>
        <w:rPr/>
      </w:pPr>
      <w:r>
        <w:rPr>
          <w:spacing w:val="4"/>
        </w:rPr>
        <w:t>一般突发公共卫生事件，由县（</w:t>
      </w:r>
      <w:r>
        <w:rPr>
          <w:spacing w:val="-49"/>
        </w:rPr>
        <w:t xml:space="preserve"> </w:t>
      </w:r>
      <w:r>
        <w:rPr>
          <w:spacing w:val="4"/>
        </w:rPr>
        <w:t>区）政府</w:t>
      </w:r>
      <w:r>
        <w:rPr>
          <w:spacing w:val="7"/>
        </w:rPr>
        <w:t>卫生健康行政部门组织专家进行分析论证，提</w:t>
      </w:r>
      <w:r>
        <w:rPr>
          <w:spacing w:val="4"/>
        </w:rPr>
        <w:t>出终止应急反应的建议，报请县（</w:t>
      </w:r>
      <w:r>
        <w:rPr>
          <w:spacing w:val="-35"/>
        </w:rPr>
        <w:t xml:space="preserve"> </w:t>
      </w:r>
      <w:r>
        <w:rPr>
          <w:spacing w:val="4"/>
        </w:rPr>
        <w:t>区）政府或</w:t>
      </w:r>
      <w:r>
        <w:rPr>
          <w:spacing w:val="4"/>
        </w:rPr>
        <w:t>县（</w:t>
      </w:r>
      <w:r>
        <w:rPr>
          <w:spacing w:val="-35"/>
        </w:rPr>
        <w:t xml:space="preserve"> </w:t>
      </w:r>
      <w:r>
        <w:rPr>
          <w:spacing w:val="4"/>
        </w:rPr>
        <w:t>区）突发公共卫生事件应急指挥部批准后</w:t>
      </w:r>
      <w:r>
        <w:rPr>
          <w:spacing w:val="7"/>
        </w:rPr>
        <w:t>实施，并向市级卫生健康行政部门报告。市卫</w:t>
      </w:r>
      <w:r>
        <w:rPr>
          <w:spacing w:val="18"/>
        </w:rPr>
        <w:t>生健康行政部门要根据下级卫生健康行政部</w:t>
      </w:r>
      <w:r>
        <w:rPr>
          <w:spacing w:val="7"/>
        </w:rPr>
        <w:t>门的请求，及时组织专家对突发公共卫生事件</w:t>
      </w:r>
      <w:r>
        <w:rPr>
          <w:spacing w:val="8"/>
        </w:rPr>
        <w:t>应急反应的终止进行分析论证。</w:t>
      </w:r>
    </w:p>
    <w:p>
      <w:pPr>
        <w:ind w:left="435"/>
        <w:spacing w:before="8"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5</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应急保障</w:t>
      </w:r>
    </w:p>
    <w:p>
      <w:pPr>
        <w:pStyle w:val="BodyText"/>
        <w:ind w:left="11" w:right="248" w:firstLine="427"/>
        <w:spacing w:before="80" w:line="337" w:lineRule="auto"/>
        <w:jc w:val="both"/>
        <w:rPr/>
      </w:pPr>
      <w:r>
        <w:rPr>
          <w:rFonts w:ascii="Times New Roman" w:hAnsi="Times New Roman" w:eastAsia="Times New Roman" w:cs="Times New Roman"/>
          <w:spacing w:val="-5"/>
        </w:rPr>
        <w:t>5.</w:t>
      </w:r>
      <w:r>
        <w:rPr>
          <w:rFonts w:ascii="Times New Roman" w:hAnsi="Times New Roman" w:eastAsia="Times New Roman" w:cs="Times New Roman"/>
          <w:spacing w:val="-9"/>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2"/>
        </w:rPr>
        <w:t xml:space="preserve">  </w:t>
      </w:r>
      <w:r>
        <w:rPr>
          <w:rFonts w:ascii="KaiTi" w:hAnsi="KaiTi" w:eastAsia="KaiTi" w:cs="KaiTi"/>
          <w:spacing w:val="-5"/>
        </w:rPr>
        <w:t>队伍保障。</w:t>
      </w:r>
      <w:r>
        <w:rPr>
          <w:spacing w:val="-5"/>
        </w:rPr>
        <w:t>按照</w:t>
      </w:r>
      <w:r>
        <w:rPr>
          <w:rFonts w:ascii="Times New Roman" w:hAnsi="Times New Roman" w:eastAsia="Times New Roman" w:cs="Times New Roman"/>
          <w:spacing w:val="-5"/>
        </w:rPr>
        <w:t>“</w:t>
      </w:r>
      <w:r>
        <w:rPr>
          <w:spacing w:val="-5"/>
        </w:rPr>
        <w:t>平战结合、因地制宜，</w:t>
      </w:r>
      <w:r>
        <w:rPr>
          <w:spacing w:val="13"/>
        </w:rPr>
        <w:t>分类管理、分级负责</w:t>
      </w:r>
      <w:r>
        <w:rPr>
          <w:spacing w:val="-59"/>
        </w:rPr>
        <w:t xml:space="preserve"> </w:t>
      </w:r>
      <w:r>
        <w:rPr>
          <w:spacing w:val="13"/>
        </w:rPr>
        <w:t>，统一管理、协调运转</w:t>
      </w:r>
      <w:r>
        <w:rPr>
          <w:rFonts w:ascii="Times New Roman" w:hAnsi="Times New Roman" w:eastAsia="Times New Roman" w:cs="Times New Roman"/>
          <w:spacing w:val="13"/>
        </w:rPr>
        <w:t>”</w:t>
      </w:r>
      <w:r>
        <w:rPr>
          <w:spacing w:val="7"/>
        </w:rPr>
        <w:t>的原则，建立突发公共卫生事件应急队伍，主</w:t>
      </w:r>
      <w:r>
        <w:rPr>
          <w:spacing w:val="7"/>
        </w:rPr>
        <w:t>要包括医疗救治队伍、疾病预防控制队伍、卫</w:t>
      </w:r>
      <w:r>
        <w:rPr>
          <w:spacing w:val="7"/>
        </w:rPr>
        <w:t>生监督队伍。应急卫生救治队伍根据其应对事</w:t>
      </w:r>
      <w:r>
        <w:rPr>
          <w:spacing w:val="1"/>
        </w:rPr>
        <w:t>件类型，在全市疾病预防控制机构、医疗机构、</w:t>
      </w:r>
      <w:r>
        <w:rPr>
          <w:spacing w:val="7"/>
        </w:rPr>
        <w:t>卫生监督机构等有关单位选择，由具有实际工</w:t>
      </w:r>
      <w:r>
        <w:rPr>
          <w:spacing w:val="7"/>
        </w:rPr>
        <w:t>作能力和发展潜力的现场流行病学、实验室检</w:t>
      </w:r>
      <w:r>
        <w:rPr>
          <w:spacing w:val="7"/>
        </w:rPr>
        <w:t>测、微生物学、临床救治、中医药防治、信息</w:t>
      </w:r>
      <w:r>
        <w:rPr>
          <w:spacing w:val="7"/>
        </w:rPr>
        <w:t>网络等专业人员组成。卫生应急队伍要保持相</w:t>
      </w:r>
      <w:r>
        <w:rPr>
          <w:spacing w:val="10"/>
        </w:rPr>
        <w:t>对稳定，定期进行调整；定期举办法律法规、</w:t>
      </w:r>
      <w:r>
        <w:rPr>
          <w:spacing w:val="7"/>
        </w:rPr>
        <w:t>专业知识和技能、体能、心理等培训，开展单</w:t>
      </w:r>
    </w:p>
    <w:p>
      <w:pPr>
        <w:spacing w:line="14" w:lineRule="auto"/>
        <w:rPr>
          <w:rFonts w:ascii="Arial"/>
          <w:sz w:val="2"/>
        </w:rPr>
      </w:pPr>
      <w:r>
        <w:rPr>
          <w:rFonts w:ascii="Arial" w:hAnsi="Arial" w:eastAsia="Arial" w:cs="Arial"/>
          <w:sz w:val="2"/>
          <w:szCs w:val="2"/>
        </w:rPr>
        <w:br w:type="column"/>
      </w:r>
    </w:p>
    <w:p>
      <w:pPr>
        <w:pStyle w:val="BodyText"/>
        <w:ind w:left="1"/>
        <w:spacing w:before="38" w:line="223" w:lineRule="auto"/>
        <w:rPr/>
      </w:pPr>
      <w:r>
        <w:rPr>
          <w:spacing w:val="9"/>
        </w:rPr>
        <w:t>项或综合、桌面或实战演练，提高应急能力。</w:t>
      </w:r>
    </w:p>
    <w:p>
      <w:pPr>
        <w:pStyle w:val="BodyText"/>
        <w:ind w:right="50" w:firstLine="427"/>
        <w:spacing w:before="131" w:line="337" w:lineRule="auto"/>
        <w:rPr/>
      </w:pPr>
      <w:r>
        <w:rPr>
          <w:rFonts w:ascii="Times New Roman" w:hAnsi="Times New Roman" w:eastAsia="Times New Roman" w:cs="Times New Roman"/>
          <w:spacing w:val="8"/>
        </w:rPr>
        <w:t>5.2  </w:t>
      </w:r>
      <w:r>
        <w:rPr>
          <w:rFonts w:ascii="KaiTi" w:hAnsi="KaiTi" w:eastAsia="KaiTi" w:cs="KaiTi"/>
          <w:spacing w:val="8"/>
        </w:rPr>
        <w:t>经费保障。</w:t>
      </w:r>
      <w:r>
        <w:rPr>
          <w:spacing w:val="8"/>
        </w:rPr>
        <w:t>各级发展和改革部门应对</w:t>
      </w:r>
      <w:r>
        <w:rPr>
          <w:spacing w:val="18"/>
        </w:rPr>
        <w:t>突发公共卫生事件应急基础设施项目给予优</w:t>
      </w:r>
      <w:r>
        <w:rPr>
          <w:spacing w:val="7"/>
        </w:rPr>
        <w:t>先论证、立项。财政部门按规定落实突发公共</w:t>
      </w:r>
      <w:r>
        <w:rPr>
          <w:spacing w:val="7"/>
        </w:rPr>
        <w:t>卫生事件应急处理经费，所需资金已在部门预</w:t>
      </w:r>
      <w:r>
        <w:rPr>
          <w:spacing w:val="7"/>
        </w:rPr>
        <w:t>算核定的应按照有关快速拨款程序及时拨付；</w:t>
      </w:r>
      <w:r>
        <w:rPr>
          <w:spacing w:val="7"/>
        </w:rPr>
        <w:t>未在部门预算核定的，要通过调整部门预算内</w:t>
      </w:r>
      <w:r>
        <w:rPr>
          <w:spacing w:val="7"/>
        </w:rPr>
        <w:t>部支出结构和追加部门预算等方式，及时安排</w:t>
      </w:r>
      <w:r>
        <w:rPr>
          <w:spacing w:val="7"/>
        </w:rPr>
        <w:t>和拨付。要多渠道筹集资金，用于突发公共卫</w:t>
      </w:r>
      <w:r>
        <w:rPr>
          <w:spacing w:val="8"/>
        </w:rPr>
        <w:t>生事件应急处理工作。</w:t>
      </w:r>
    </w:p>
    <w:p>
      <w:pPr>
        <w:pStyle w:val="BodyText"/>
        <w:ind w:right="39" w:firstLine="427"/>
        <w:spacing w:before="141" w:line="342" w:lineRule="auto"/>
        <w:rPr/>
      </w:pPr>
      <w:r>
        <w:rPr>
          <w:rFonts w:ascii="Times New Roman" w:hAnsi="Times New Roman" w:eastAsia="Times New Roman" w:cs="Times New Roman"/>
          <w:spacing w:val="8"/>
        </w:rPr>
        <w:t>5.3  </w:t>
      </w:r>
      <w:r>
        <w:rPr>
          <w:rFonts w:ascii="KaiTi" w:hAnsi="KaiTi" w:eastAsia="KaiTi" w:cs="KaiTi"/>
          <w:spacing w:val="8"/>
        </w:rPr>
        <w:t>物资保障。</w:t>
      </w:r>
      <w:r>
        <w:rPr>
          <w:spacing w:val="8"/>
        </w:rPr>
        <w:t>卫生健康行政部门要从实</w:t>
      </w:r>
      <w:r>
        <w:rPr>
          <w:spacing w:val="8"/>
        </w:rPr>
        <w:t>际出发，制订卫生应急物资储备目录和计划。</w:t>
      </w:r>
      <w:r>
        <w:rPr>
          <w:spacing w:val="7"/>
        </w:rPr>
        <w:t>各级卫生健康、发展和改革委员会和财政部门</w:t>
      </w:r>
      <w:r>
        <w:rPr>
          <w:spacing w:val="7"/>
        </w:rPr>
        <w:t>要加强沟通、协调配合，采取实物、资金、计</w:t>
      </w:r>
      <w:r>
        <w:rPr>
          <w:spacing w:val="7"/>
        </w:rPr>
        <w:t>划和信息等方式，落实突发公共卫生事件应急</w:t>
      </w:r>
      <w:r>
        <w:rPr>
          <w:spacing w:val="7"/>
        </w:rPr>
        <w:t>物资储备。卫生健康行政部门提出卫生应急物</w:t>
      </w:r>
      <w:r>
        <w:rPr>
          <w:spacing w:val="7"/>
        </w:rPr>
        <w:t>资储备计划，发展和改革委员会负责组织落实</w:t>
      </w:r>
      <w:r>
        <w:rPr>
          <w:spacing w:val="8"/>
        </w:rPr>
        <w:t>应急物资储备，财政部门保障物资储备经费。</w:t>
      </w:r>
      <w:r>
        <w:rPr>
          <w:spacing w:val="7"/>
        </w:rPr>
        <w:t>物资储备种类包括：药品、疫苗、医疗卫生设</w:t>
      </w:r>
      <w:r>
        <w:rPr>
          <w:spacing w:val="7"/>
        </w:rPr>
        <w:t>备和器材、快速检验检测技术和试剂、传染源</w:t>
      </w:r>
      <w:r>
        <w:rPr>
          <w:spacing w:val="9"/>
        </w:rPr>
        <w:t>隔离及卫生防护的用品和应急设施。</w:t>
      </w:r>
    </w:p>
    <w:p>
      <w:pPr>
        <w:pStyle w:val="BodyText"/>
        <w:ind w:right="59" w:firstLine="423"/>
        <w:spacing w:before="103" w:line="350" w:lineRule="auto"/>
        <w:jc w:val="both"/>
        <w:rPr/>
      </w:pPr>
      <w:r>
        <w:rPr>
          <w:spacing w:val="6"/>
        </w:rPr>
        <w:t>发生突发公共卫生事件时，卫生健康行政</w:t>
      </w:r>
      <w:r>
        <w:rPr>
          <w:spacing w:val="7"/>
        </w:rPr>
        <w:t>部门根据应急处理工作需要，向发改、财政部</w:t>
      </w:r>
      <w:r>
        <w:rPr>
          <w:spacing w:val="7"/>
        </w:rPr>
        <w:t>门调用储备物资。卫生应急储备物资使用后要</w:t>
      </w:r>
      <w:r>
        <w:rPr>
          <w:spacing w:val="7"/>
        </w:rPr>
        <w:t>及时补充。</w:t>
      </w:r>
    </w:p>
    <w:p>
      <w:pPr>
        <w:pStyle w:val="BodyText"/>
        <w:ind w:right="59" w:firstLine="427"/>
        <w:spacing w:line="350" w:lineRule="auto"/>
        <w:jc w:val="both"/>
        <w:rPr/>
      </w:pPr>
      <w:r>
        <w:rPr>
          <w:rFonts w:ascii="Times New Roman" w:hAnsi="Times New Roman" w:eastAsia="Times New Roman" w:cs="Times New Roman"/>
          <w:spacing w:val="8"/>
        </w:rPr>
        <w:t>5.4  </w:t>
      </w:r>
      <w:r>
        <w:rPr>
          <w:rFonts w:ascii="KaiTi" w:hAnsi="KaiTi" w:eastAsia="KaiTi" w:cs="KaiTi"/>
          <w:spacing w:val="8"/>
        </w:rPr>
        <w:t>通讯交通保障。</w:t>
      </w:r>
      <w:r>
        <w:rPr>
          <w:spacing w:val="8"/>
        </w:rPr>
        <w:t>各级应急医疗卫生救</w:t>
      </w:r>
      <w:r>
        <w:rPr>
          <w:spacing w:val="18"/>
        </w:rPr>
        <w:t>治队伍要根据实际工作需要配备通讯设备和</w:t>
      </w:r>
      <w:r>
        <w:rPr>
          <w:spacing w:val="7"/>
        </w:rPr>
        <w:t>交通工具。各级卫生应急队伍要根据实际工作</w:t>
      </w:r>
      <w:r>
        <w:rPr>
          <w:spacing w:val="7"/>
        </w:rPr>
        <w:t>需要配备通信设备和交通工具。交通运输部门</w:t>
      </w:r>
      <w:r>
        <w:rPr>
          <w:spacing w:val="18"/>
        </w:rPr>
        <w:t>要优先安排紧急卫生应急物资和救援队伍的</w:t>
      </w:r>
      <w:r>
        <w:rPr>
          <w:spacing w:val="7"/>
        </w:rPr>
        <w:t>运送。通信管理部门要协调各通信运营企业采</w:t>
      </w:r>
      <w:r>
        <w:rPr>
          <w:spacing w:val="9"/>
        </w:rPr>
        <w:t>取有效措施，积极做好通信保障工作。</w:t>
      </w:r>
    </w:p>
    <w:p>
      <w:pPr>
        <w:ind w:left="425"/>
        <w:spacing w:before="2"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6</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恢复重建</w:t>
      </w:r>
    </w:p>
    <w:p>
      <w:pPr>
        <w:pStyle w:val="BodyText"/>
        <w:ind w:left="3" w:right="52" w:firstLine="422"/>
        <w:spacing w:before="75" w:line="271" w:lineRule="auto"/>
        <w:rPr/>
      </w:pPr>
      <w:r>
        <w:rPr>
          <w:rFonts w:ascii="Times New Roman" w:hAnsi="Times New Roman" w:eastAsia="Times New Roman" w:cs="Times New Roman"/>
          <w:spacing w:val="6"/>
        </w:rPr>
        <w:t>6.</w:t>
      </w:r>
      <w:r>
        <w:rPr>
          <w:rFonts w:ascii="Times New Roman" w:hAnsi="Times New Roman" w:eastAsia="Times New Roman" w:cs="Times New Roman"/>
          <w:spacing w:val="-7"/>
        </w:rPr>
        <w:t xml:space="preserve"> </w:t>
      </w:r>
      <w:r>
        <w:rPr>
          <w:rFonts w:ascii="Times New Roman" w:hAnsi="Times New Roman" w:eastAsia="Times New Roman" w:cs="Times New Roman"/>
          <w:spacing w:val="6"/>
        </w:rPr>
        <w:t>1  </w:t>
      </w:r>
      <w:r>
        <w:rPr>
          <w:rFonts w:ascii="KaiTi" w:hAnsi="KaiTi" w:eastAsia="KaiTi" w:cs="KaiTi"/>
          <w:spacing w:val="6"/>
        </w:rPr>
        <w:t>善后处置。</w:t>
      </w:r>
      <w:r>
        <w:rPr>
          <w:spacing w:val="6"/>
        </w:rPr>
        <w:t>突发公共卫生事件应急处</w:t>
      </w:r>
      <w:r>
        <w:rPr>
          <w:spacing w:val="7"/>
        </w:rPr>
        <w:t>置工作结束后，要及时取消各种限制性措施，</w:t>
      </w:r>
    </w:p>
    <w:p>
      <w:pPr>
        <w:spacing w:line="271" w:lineRule="auto"/>
        <w:sectPr>
          <w:type w:val="continuous"/>
          <w:pgSz w:w="11906" w:h="16839"/>
          <w:pgMar w:top="1766" w:right="1530" w:bottom="1575" w:left="1579" w:header="1428" w:footer="1172" w:gutter="0"/>
          <w:cols w:equalWidth="0" w:num="2">
            <w:col w:w="4489" w:space="100"/>
            <w:col w:w="4207" w:space="0"/>
          </w:cols>
        </w:sectPr>
        <w:rPr/>
      </w:pPr>
    </w:p>
    <w:p>
      <w:pPr>
        <w:spacing w:before="51"/>
        <w:rPr/>
      </w:pPr>
      <w:r>
        <w:drawing>
          <wp:anchor distT="0" distB="0" distL="0" distR="0" simplePos="0" relativeHeight="253414400"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922" name="IM 1922"/>
            <wp:cNvGraphicFramePr/>
            <a:graphic>
              <a:graphicData uri="http://schemas.openxmlformats.org/drawingml/2006/picture">
                <pic:pic>
                  <pic:nvPicPr>
                    <pic:cNvPr id="1922" name="IM 1922"/>
                    <pic:cNvPicPr/>
                  </pic:nvPicPr>
                  <pic:blipFill>
                    <a:blip r:embed="rId963"/>
                    <a:stretch>
                      <a:fillRect/>
                    </a:stretch>
                  </pic:blipFill>
                  <pic:spPr>
                    <a:xfrm rot="0">
                      <a:off x="0" y="0"/>
                      <a:ext cx="5579745" cy="7620"/>
                    </a:xfrm>
                    <a:prstGeom prst="rect">
                      <a:avLst/>
                    </a:prstGeom>
                  </pic:spPr>
                </pic:pic>
              </a:graphicData>
            </a:graphic>
          </wp:anchor>
        </w:drawing>
      </w:r>
      <w:r/>
    </w:p>
    <w:p>
      <w:pPr>
        <w:sectPr>
          <w:headerReference w:type="default" r:id="rId816"/>
          <w:footerReference w:type="default" r:id="rId962"/>
          <w:pgSz w:w="11906" w:h="16839"/>
          <w:pgMar w:top="1772" w:right="1489" w:bottom="1562" w:left="1567" w:header="1428" w:footer="1172" w:gutter="0"/>
          <w:cols w:equalWidth="0" w:num="1">
            <w:col w:w="8850" w:space="0"/>
          </w:cols>
        </w:sectPr>
        <w:rPr/>
      </w:pPr>
    </w:p>
    <w:p>
      <w:pPr>
        <w:pStyle w:val="BodyText"/>
        <w:ind w:left="21"/>
        <w:spacing w:before="45" w:line="220" w:lineRule="auto"/>
        <w:rPr/>
      </w:pPr>
      <w:r>
        <w:rPr>
          <w:spacing w:val="9"/>
        </w:rPr>
        <w:t>恢复社会正常生产生活秩序。</w:t>
      </w:r>
    </w:p>
    <w:p>
      <w:pPr>
        <w:pStyle w:val="BodyText"/>
        <w:ind w:left="25" w:right="265" w:firstLine="424"/>
        <w:spacing w:before="140" w:line="350" w:lineRule="auto"/>
        <w:jc w:val="both"/>
        <w:rPr/>
      </w:pPr>
      <w:r>
        <w:rPr>
          <w:rFonts w:ascii="Times New Roman" w:hAnsi="Times New Roman" w:eastAsia="Times New Roman" w:cs="Times New Roman"/>
          <w:spacing w:val="1"/>
        </w:rPr>
        <w:t>6.2  </w:t>
      </w:r>
      <w:r>
        <w:rPr>
          <w:rFonts w:ascii="KaiTi" w:hAnsi="KaiTi" w:eastAsia="KaiTi" w:cs="KaiTi"/>
          <w:spacing w:val="1"/>
        </w:rPr>
        <w:t>总结评估。</w:t>
      </w:r>
      <w:r>
        <w:rPr>
          <w:spacing w:val="1"/>
        </w:rPr>
        <w:t>突发公共卫生事件结束后，</w:t>
      </w:r>
      <w:r>
        <w:rPr>
          <w:spacing w:val="18"/>
        </w:rPr>
        <w:t>各级卫生健康行政部门应在本级政府的领导</w:t>
      </w:r>
      <w:r>
        <w:rPr>
          <w:spacing w:val="7"/>
        </w:rPr>
        <w:t>下，组织有关人员对突发公共卫生事件应急处</w:t>
      </w:r>
      <w:r>
        <w:rPr>
          <w:spacing w:val="18"/>
        </w:rPr>
        <w:t>置工作进行评估。评估内容主要包括事件概</w:t>
      </w:r>
      <w:r>
        <w:rPr>
          <w:spacing w:val="7"/>
        </w:rPr>
        <w:t>况、现场调查处理概况、病人救治情况、措施</w:t>
      </w:r>
      <w:r>
        <w:rPr>
          <w:spacing w:val="7"/>
        </w:rPr>
        <w:t>效果评价、应急处置过程中存在的问题和取得</w:t>
      </w:r>
      <w:r>
        <w:rPr>
          <w:spacing w:val="7"/>
        </w:rPr>
        <w:t>的经验及改进建议。评估报告上报本级政府和</w:t>
      </w:r>
      <w:r>
        <w:rPr>
          <w:spacing w:val="8"/>
        </w:rPr>
        <w:t>上一级卫生健康行政部门。</w:t>
      </w:r>
    </w:p>
    <w:p>
      <w:pPr>
        <w:ind w:left="449"/>
        <w:spacing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7</w:t>
      </w:r>
      <w:r>
        <w:rPr>
          <w:rFonts w:ascii="Microsoft YaHei" w:hAnsi="Microsoft YaHei" w:eastAsia="Microsoft YaHei" w:cs="Microsoft YaHei"/>
          <w:sz w:val="20"/>
          <w:szCs w:val="20"/>
          <w:spacing w:val="3"/>
        </w:rPr>
        <w:t xml:space="preserve">    </w:t>
      </w:r>
      <w:r>
        <w:rPr>
          <w:rFonts w:ascii="Microsoft YaHei" w:hAnsi="Microsoft YaHei" w:eastAsia="Microsoft YaHei" w:cs="Microsoft YaHei"/>
          <w:sz w:val="20"/>
          <w:szCs w:val="20"/>
          <w:spacing w:val="-3"/>
        </w:rPr>
        <w:t>日常管理</w:t>
      </w:r>
    </w:p>
    <w:p>
      <w:pPr>
        <w:pStyle w:val="BodyText"/>
        <w:ind w:left="25" w:right="306" w:firstLine="424"/>
        <w:spacing w:before="72" w:line="333" w:lineRule="auto"/>
        <w:rPr/>
      </w:pPr>
      <w:r>
        <w:rPr>
          <w:rFonts w:ascii="Times New Roman" w:hAnsi="Times New Roman" w:eastAsia="Times New Roman" w:cs="Times New Roman"/>
          <w:spacing w:val="6"/>
        </w:rPr>
        <w:t>7.</w:t>
      </w:r>
      <w:r>
        <w:rPr>
          <w:rFonts w:ascii="Times New Roman" w:hAnsi="Times New Roman" w:eastAsia="Times New Roman" w:cs="Times New Roman"/>
          <w:spacing w:val="-25"/>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5"/>
          <w:w w:val="101"/>
        </w:rPr>
        <w:t xml:space="preserve">  </w:t>
      </w:r>
      <w:r>
        <w:rPr>
          <w:rFonts w:ascii="KaiTi" w:hAnsi="KaiTi" w:eastAsia="KaiTi" w:cs="KaiTi"/>
          <w:spacing w:val="6"/>
        </w:rPr>
        <w:t>宣传培训。</w:t>
      </w:r>
      <w:r>
        <w:rPr>
          <w:spacing w:val="6"/>
        </w:rPr>
        <w:t>县级以上政府要组织有关</w:t>
      </w:r>
      <w:r>
        <w:rPr>
          <w:spacing w:val="8"/>
        </w:rPr>
        <w:t>部门利用广播、影视、报刊、互联网、手册、</w:t>
      </w:r>
      <w:r>
        <w:rPr>
          <w:spacing w:val="7"/>
        </w:rPr>
        <w:t>宣传栏、新媒体等多种形式对社会公众广泛开</w:t>
      </w:r>
      <w:r>
        <w:rPr>
          <w:spacing w:val="8"/>
        </w:rPr>
        <w:t>展应急知识的普及教育，宣传卫生科普知识，</w:t>
      </w:r>
      <w:r>
        <w:rPr>
          <w:spacing w:val="18"/>
        </w:rPr>
        <w:t>指导群众以科学的行为和方式应对突发公共</w:t>
      </w:r>
      <w:r>
        <w:rPr>
          <w:spacing w:val="7"/>
        </w:rPr>
        <w:t>卫生事件。充分发挥有关社会组织在普及卫生</w:t>
      </w:r>
      <w:r>
        <w:rPr>
          <w:spacing w:val="8"/>
        </w:rPr>
        <w:t>应急和卫生科普知识方面的作用。</w:t>
      </w:r>
    </w:p>
    <w:p>
      <w:pPr>
        <w:pStyle w:val="BodyText"/>
        <w:ind w:left="25" w:right="327" w:firstLine="423"/>
        <w:spacing w:before="135" w:line="330" w:lineRule="auto"/>
        <w:rPr/>
      </w:pPr>
      <w:r>
        <w:rPr>
          <w:rFonts w:ascii="Times New Roman" w:hAnsi="Times New Roman" w:eastAsia="Times New Roman" w:cs="Times New Roman"/>
          <w:spacing w:val="8"/>
        </w:rPr>
        <w:t>7.2  </w:t>
      </w:r>
      <w:r>
        <w:rPr>
          <w:rFonts w:ascii="KaiTi" w:hAnsi="KaiTi" w:eastAsia="KaiTi" w:cs="KaiTi"/>
          <w:spacing w:val="8"/>
        </w:rPr>
        <w:t>预案演练。</w:t>
      </w:r>
      <w:r>
        <w:rPr>
          <w:spacing w:val="8"/>
        </w:rPr>
        <w:t>各级卫生健康行政部门要</w:t>
      </w:r>
      <w:r>
        <w:rPr>
          <w:spacing w:val="7"/>
        </w:rPr>
        <w:t>根据实际情况和工作需要，结合应急预案组织</w:t>
      </w:r>
      <w:r>
        <w:rPr>
          <w:spacing w:val="7"/>
        </w:rPr>
        <w:t>全市性的突发公共卫生事件应急演练，每年不</w:t>
      </w:r>
      <w:r>
        <w:rPr>
          <w:spacing w:val="5"/>
        </w:rPr>
        <w:t>少于</w:t>
      </w:r>
      <w:r>
        <w:rPr>
          <w:spacing w:val="-8"/>
        </w:rPr>
        <w:t xml:space="preserve"> </w:t>
      </w:r>
      <w:r>
        <w:rPr>
          <w:rFonts w:ascii="Times New Roman" w:hAnsi="Times New Roman" w:eastAsia="Times New Roman" w:cs="Times New Roman"/>
          <w:spacing w:val="5"/>
        </w:rPr>
        <w:t>1 </w:t>
      </w:r>
      <w:r>
        <w:rPr>
          <w:spacing w:val="5"/>
        </w:rPr>
        <w:t>次，以检验、改善和强化应急能力，对</w:t>
      </w:r>
      <w:r>
        <w:rPr>
          <w:spacing w:val="7"/>
        </w:rPr>
        <w:t>演练进行总结和评估，进一步完善应急预案和</w:t>
      </w:r>
      <w:r>
        <w:rPr>
          <w:spacing w:val="6"/>
        </w:rPr>
        <w:t>工作机制。</w:t>
      </w:r>
    </w:p>
    <w:p>
      <w:pPr>
        <w:pStyle w:val="BodyText"/>
        <w:ind w:left="25" w:right="329" w:firstLine="420"/>
        <w:spacing w:before="140" w:line="350" w:lineRule="auto"/>
        <w:rPr/>
      </w:pPr>
      <w:r>
        <w:rPr>
          <w:spacing w:val="7"/>
        </w:rPr>
        <w:t>需要公众参与的演练，必须报本级人民政</w:t>
      </w:r>
      <w:r>
        <w:rPr>
          <w:spacing w:val="6"/>
        </w:rPr>
        <w:t>府同意。</w:t>
      </w:r>
    </w:p>
    <w:p>
      <w:pPr>
        <w:ind w:left="449"/>
        <w:rPr>
          <w:rFonts w:ascii="KaiTi" w:hAnsi="KaiTi" w:eastAsia="KaiTi" w:cs="KaiTi"/>
          <w:sz w:val="20"/>
          <w:szCs w:val="20"/>
        </w:rPr>
      </w:pPr>
      <w:r>
        <w:rPr>
          <w:rFonts w:ascii="Times New Roman" w:hAnsi="Times New Roman" w:eastAsia="Times New Roman" w:cs="Times New Roman"/>
          <w:sz w:val="20"/>
          <w:szCs w:val="20"/>
          <w:spacing w:val="6"/>
        </w:rPr>
        <w:t>7.3  </w:t>
      </w:r>
      <w:r>
        <w:rPr>
          <w:rFonts w:ascii="KaiTi" w:hAnsi="KaiTi" w:eastAsia="KaiTi" w:cs="KaiTi"/>
          <w:sz w:val="20"/>
          <w:szCs w:val="20"/>
          <w:spacing w:val="6"/>
        </w:rPr>
        <w:t>预案管理与更新。</w:t>
      </w:r>
    </w:p>
    <w:p>
      <w:pPr>
        <w:pStyle w:val="BodyText"/>
        <w:ind w:left="25" w:right="329" w:firstLine="412"/>
        <w:spacing w:before="119" w:line="308"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）本预案由固原市卫生健康委员会制</w:t>
      </w:r>
      <w:r>
        <w:rPr>
          <w:spacing w:val="7"/>
        </w:rPr>
        <w:t>定，经固原市人民政府审批后，由固原市人民</w:t>
      </w:r>
      <w:r>
        <w:rPr>
          <w:spacing w:val="8"/>
        </w:rPr>
        <w:t>政府办公室印发。</w:t>
      </w:r>
    </w:p>
    <w:p>
      <w:pPr>
        <w:pStyle w:val="BodyText"/>
        <w:ind w:left="25" w:right="329" w:firstLine="412"/>
        <w:spacing w:before="140" w:line="309"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）县级以上政府及固原市有关部门要</w:t>
      </w:r>
      <w:r>
        <w:rPr>
          <w:spacing w:val="7"/>
        </w:rPr>
        <w:t>按照本预案的规定履行职责，并制定、完善相</w:t>
      </w:r>
      <w:r>
        <w:rPr>
          <w:spacing w:val="9"/>
        </w:rPr>
        <w:t>应的应急预案后，报市应急管理部门备案。</w:t>
      </w:r>
    </w:p>
    <w:p>
      <w:pPr>
        <w:pStyle w:val="BodyText"/>
        <w:ind w:left="36" w:right="329" w:firstLine="400"/>
        <w:spacing w:before="128" w:line="283"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）市卫生健康委员会要根据预案演练</w:t>
      </w:r>
      <w:r>
        <w:rPr>
          <w:spacing w:val="6"/>
        </w:rPr>
        <w:t>时发现的问题、机构变化等情况，适时组织修</w:t>
      </w:r>
    </w:p>
    <w:p>
      <w:pPr>
        <w:spacing w:line="14" w:lineRule="auto"/>
        <w:rPr>
          <w:rFonts w:ascii="Arial"/>
          <w:sz w:val="2"/>
        </w:rPr>
      </w:pPr>
      <w:r>
        <w:rPr>
          <w:rFonts w:ascii="Arial" w:hAnsi="Arial" w:eastAsia="Arial" w:cs="Arial"/>
          <w:sz w:val="2"/>
          <w:szCs w:val="2"/>
        </w:rPr>
        <w:br w:type="column"/>
      </w:r>
    </w:p>
    <w:p>
      <w:pPr>
        <w:pStyle w:val="BodyText"/>
        <w:ind w:left="2"/>
        <w:spacing w:before="39" w:line="219" w:lineRule="auto"/>
        <w:rPr/>
      </w:pPr>
      <w:r>
        <w:rPr>
          <w:spacing w:val="7"/>
        </w:rPr>
        <w:t>订完善本预案。</w:t>
      </w:r>
    </w:p>
    <w:p>
      <w:pPr>
        <w:pStyle w:val="BodyText"/>
        <w:ind w:right="101" w:firstLine="425"/>
        <w:spacing w:before="127" w:line="342" w:lineRule="auto"/>
        <w:jc w:val="both"/>
        <w:rPr/>
      </w:pPr>
      <w:r>
        <w:rPr>
          <w:rFonts w:ascii="Times New Roman" w:hAnsi="Times New Roman" w:eastAsia="Times New Roman" w:cs="Times New Roman"/>
          <w:spacing w:val="8"/>
        </w:rPr>
        <w:t>7.4  </w:t>
      </w:r>
      <w:r>
        <w:rPr>
          <w:rFonts w:ascii="KaiTi" w:hAnsi="KaiTi" w:eastAsia="KaiTi" w:cs="KaiTi"/>
          <w:spacing w:val="8"/>
        </w:rPr>
        <w:t>责任与奖励。</w:t>
      </w:r>
      <w:r>
        <w:rPr>
          <w:spacing w:val="8"/>
        </w:rPr>
        <w:t>县级以上政府对参与突</w:t>
      </w:r>
      <w:r>
        <w:rPr>
          <w:spacing w:val="18"/>
        </w:rPr>
        <w:t>发公共卫生事件应急处置做出贡献的集体和</w:t>
      </w:r>
      <w:r>
        <w:rPr>
          <w:spacing w:val="7"/>
        </w:rPr>
        <w:t>个人进行表彰奖励；对参与应急处置的一线工</w:t>
      </w:r>
      <w:r>
        <w:rPr>
          <w:spacing w:val="7"/>
        </w:rPr>
        <w:t>作人员，应给予合理的补助；对因公致病、致</w:t>
      </w:r>
      <w:r>
        <w:rPr>
          <w:spacing w:val="7"/>
        </w:rPr>
        <w:t>残、死亡人员，按照国家有关规定，给予相应</w:t>
      </w:r>
      <w:r>
        <w:rPr>
          <w:spacing w:val="-5"/>
        </w:rPr>
        <w:t>的补助和抚恤，对英勇献身的人员追认为烈士。</w:t>
      </w:r>
    </w:p>
    <w:p>
      <w:pPr>
        <w:pStyle w:val="BodyText"/>
        <w:ind w:right="101" w:firstLine="426"/>
        <w:spacing w:line="342" w:lineRule="auto"/>
        <w:jc w:val="both"/>
        <w:rPr/>
      </w:pPr>
      <w:r>
        <w:rPr>
          <w:spacing w:val="6"/>
        </w:rPr>
        <w:t>突发公共卫生事件应急工作结束后，县级</w:t>
      </w:r>
      <w:r>
        <w:rPr>
          <w:spacing w:val="18"/>
        </w:rPr>
        <w:t>以上政府应组织有关部门对应急处置期间紧</w:t>
      </w:r>
      <w:r>
        <w:rPr>
          <w:spacing w:val="7"/>
        </w:rPr>
        <w:t>急调集、征用有关单位、企业的物资和劳务进</w:t>
      </w:r>
      <w:r>
        <w:rPr>
          <w:spacing w:val="8"/>
        </w:rPr>
        <w:t>行合理评估，给予补偿。</w:t>
      </w:r>
    </w:p>
    <w:p>
      <w:pPr>
        <w:pStyle w:val="BodyText"/>
        <w:ind w:right="78" w:firstLine="420"/>
        <w:spacing w:before="4" w:line="338" w:lineRule="auto"/>
        <w:jc w:val="both"/>
        <w:rPr/>
      </w:pPr>
      <w:r>
        <w:rPr>
          <w:spacing w:val="7"/>
        </w:rPr>
        <w:t>对在突发公共卫生事件的预防、报告、调</w:t>
      </w:r>
      <w:r>
        <w:rPr>
          <w:spacing w:val="8"/>
        </w:rPr>
        <w:t>查、控制和处理过程中，有玩忽职守、失职、</w:t>
      </w:r>
      <w:r>
        <w:rPr>
          <w:spacing w:val="7"/>
        </w:rPr>
        <w:t>渎职等行为的，依据有关法律法规追究当事人</w:t>
      </w:r>
      <w:r>
        <w:rPr>
          <w:spacing w:val="6"/>
        </w:rPr>
        <w:t>的责任。</w:t>
      </w:r>
    </w:p>
    <w:p>
      <w:pPr>
        <w:ind w:left="424"/>
        <w:spacing w:before="1"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8    附则</w:t>
      </w:r>
    </w:p>
    <w:p>
      <w:pPr>
        <w:ind w:left="430"/>
        <w:spacing w:before="67" w:line="268" w:lineRule="exact"/>
        <w:rPr>
          <w:rFonts w:ascii="KaiTi" w:hAnsi="KaiTi" w:eastAsia="KaiTi" w:cs="KaiTi"/>
          <w:sz w:val="20"/>
          <w:szCs w:val="20"/>
        </w:rPr>
      </w:pPr>
      <w:r>
        <w:rPr>
          <w:rFonts w:ascii="Times New Roman" w:hAnsi="Times New Roman" w:eastAsia="Times New Roman" w:cs="Times New Roman"/>
          <w:sz w:val="20"/>
          <w:szCs w:val="20"/>
          <w:position w:val="1"/>
        </w:rPr>
        <w:t>8.</w:t>
      </w:r>
      <w:r>
        <w:rPr>
          <w:rFonts w:ascii="Times New Roman" w:hAnsi="Times New Roman" w:eastAsia="Times New Roman" w:cs="Times New Roman"/>
          <w:sz w:val="20"/>
          <w:szCs w:val="20"/>
          <w:spacing w:val="-25"/>
          <w:position w:val="1"/>
        </w:rPr>
        <w:t xml:space="preserve"> </w:t>
      </w:r>
      <w:r>
        <w:rPr>
          <w:rFonts w:ascii="Times New Roman" w:hAnsi="Times New Roman" w:eastAsia="Times New Roman" w:cs="Times New Roman"/>
          <w:sz w:val="20"/>
          <w:szCs w:val="20"/>
          <w:position w:val="1"/>
        </w:rPr>
        <w:t>1</w:t>
      </w:r>
      <w:r>
        <w:rPr>
          <w:rFonts w:ascii="Times New Roman" w:hAnsi="Times New Roman" w:eastAsia="Times New Roman" w:cs="Times New Roman"/>
          <w:sz w:val="20"/>
          <w:szCs w:val="20"/>
          <w:spacing w:val="8"/>
          <w:position w:val="1"/>
        </w:rPr>
        <w:t xml:space="preserve">  </w:t>
      </w:r>
      <w:r>
        <w:rPr>
          <w:rFonts w:ascii="KaiTi" w:hAnsi="KaiTi" w:eastAsia="KaiTi" w:cs="KaiTi"/>
          <w:sz w:val="20"/>
          <w:szCs w:val="20"/>
          <w:position w:val="1"/>
        </w:rPr>
        <w:t>名词术语。</w:t>
      </w:r>
    </w:p>
    <w:p>
      <w:pPr>
        <w:pStyle w:val="BodyText"/>
        <w:ind w:left="1" w:right="18" w:firstLine="421"/>
        <w:spacing w:before="102" w:line="338" w:lineRule="auto"/>
        <w:rPr/>
      </w:pPr>
      <w:r>
        <w:rPr>
          <w:spacing w:val="6"/>
        </w:rPr>
        <w:t>重大传染病疫情：是指某种传染病在短时</w:t>
      </w:r>
      <w:r>
        <w:rPr>
          <w:spacing w:val="7"/>
        </w:rPr>
        <w:t>间内发生、波及范围广泛，出现大量的病人或</w:t>
      </w:r>
      <w:r>
        <w:rPr>
          <w:spacing w:val="-8"/>
        </w:rPr>
        <w:t>死亡病例，其发病率远远超过常年的发病率水平。</w:t>
      </w:r>
    </w:p>
    <w:p>
      <w:pPr>
        <w:pStyle w:val="BodyText"/>
        <w:ind w:right="94" w:firstLine="422"/>
        <w:spacing w:before="8" w:line="342" w:lineRule="auto"/>
        <w:rPr/>
      </w:pPr>
      <w:r>
        <w:rPr>
          <w:spacing w:val="7"/>
        </w:rPr>
        <w:t>群体性不明原因疾病：是指在短时间内，</w:t>
      </w:r>
      <w:r>
        <w:rPr>
          <w:spacing w:val="18"/>
        </w:rPr>
        <w:t>某个相对集中的区域内同时或者相继出现具</w:t>
      </w:r>
      <w:r>
        <w:rPr>
          <w:spacing w:val="7"/>
        </w:rPr>
        <w:t>有共同临床表现病人，且病例不断增加，范围</w:t>
      </w:r>
      <w:r>
        <w:rPr>
          <w:spacing w:val="9"/>
        </w:rPr>
        <w:t>不断扩大，又暂时不能明确诊断的疾病。</w:t>
      </w:r>
    </w:p>
    <w:p>
      <w:pPr>
        <w:pStyle w:val="BodyText"/>
        <w:ind w:left="3" w:right="101" w:firstLine="420"/>
        <w:spacing w:before="2" w:line="337" w:lineRule="auto"/>
        <w:jc w:val="both"/>
        <w:rPr/>
      </w:pPr>
      <w:r>
        <w:rPr>
          <w:spacing w:val="6"/>
        </w:rPr>
        <w:t>重大食物和职业中毒：是指由于食品污染</w:t>
      </w:r>
      <w:r>
        <w:rPr>
          <w:spacing w:val="18"/>
        </w:rPr>
        <w:t>和职业危害的原因而造成的人数众多或者伤</w:t>
      </w:r>
      <w:r>
        <w:rPr>
          <w:spacing w:val="8"/>
        </w:rPr>
        <w:t>亡较重的中毒事件。</w:t>
      </w:r>
    </w:p>
    <w:p>
      <w:pPr>
        <w:pStyle w:val="BodyText"/>
        <w:ind w:left="420"/>
        <w:spacing w:before="11" w:line="277" w:lineRule="exact"/>
        <w:rPr/>
      </w:pPr>
      <w:r>
        <w:rPr>
          <w:spacing w:val="9"/>
          <w:position w:val="1"/>
        </w:rPr>
        <w:t>新传染病：是指全球首次发现的传染病。</w:t>
      </w:r>
    </w:p>
    <w:p>
      <w:pPr>
        <w:pStyle w:val="BodyText"/>
        <w:ind w:left="2" w:right="81" w:firstLine="422"/>
        <w:spacing w:before="95" w:line="325" w:lineRule="auto"/>
        <w:rPr/>
      </w:pPr>
      <w:r>
        <w:rPr>
          <w:spacing w:val="6"/>
        </w:rPr>
        <w:t>我国尚未发现的传染病：是指其他国家和</w:t>
      </w:r>
      <w:r>
        <w:rPr>
          <w:spacing w:val="8"/>
        </w:rPr>
        <w:t>地区已经发现，在我国尚未发现过的传染病。</w:t>
      </w:r>
    </w:p>
    <w:p>
      <w:pPr>
        <w:pStyle w:val="BodyText"/>
        <w:ind w:left="3" w:right="101" w:firstLine="421"/>
        <w:spacing w:before="36" w:line="324" w:lineRule="auto"/>
        <w:rPr/>
      </w:pPr>
      <w:r>
        <w:rPr>
          <w:spacing w:val="6"/>
        </w:rPr>
        <w:t>我国已消灭传染病：是指天花、脊髓灰质</w:t>
      </w:r>
      <w:r>
        <w:rPr>
          <w:spacing w:val="7"/>
        </w:rPr>
        <w:t>炎等传染病。</w:t>
      </w:r>
    </w:p>
    <w:p>
      <w:pPr>
        <w:pStyle w:val="BodyText"/>
        <w:ind w:left="18" w:right="101" w:firstLine="411"/>
        <w:spacing w:before="36" w:line="332" w:lineRule="auto"/>
        <w:rPr/>
      </w:pPr>
      <w:r>
        <w:rPr>
          <w:rFonts w:ascii="Times New Roman" w:hAnsi="Times New Roman" w:eastAsia="Times New Roman" w:cs="Times New Roman"/>
          <w:spacing w:val="7"/>
        </w:rPr>
        <w:t>8.2  </w:t>
      </w:r>
      <w:r>
        <w:rPr>
          <w:rFonts w:ascii="KaiTi" w:hAnsi="KaiTi" w:eastAsia="KaiTi" w:cs="KaiTi"/>
          <w:spacing w:val="7"/>
        </w:rPr>
        <w:t>以上、以下的含义。</w:t>
      </w:r>
      <w:r>
        <w:rPr>
          <w:spacing w:val="7"/>
        </w:rPr>
        <w:t>本预案有关数量</w:t>
      </w:r>
      <w:r>
        <w:rPr>
          <w:spacing w:val="5"/>
        </w:rPr>
        <w:t>的表述中，</w:t>
      </w:r>
      <w:r>
        <w:rPr>
          <w:rFonts w:ascii="Times New Roman" w:hAnsi="Times New Roman" w:eastAsia="Times New Roman" w:cs="Times New Roman"/>
          <w:spacing w:val="5"/>
        </w:rPr>
        <w:t>“</w:t>
      </w:r>
      <w:r>
        <w:rPr>
          <w:rFonts w:ascii="Times New Roman" w:hAnsi="Times New Roman" w:eastAsia="Times New Roman" w:cs="Times New Roman"/>
          <w:spacing w:val="-19"/>
        </w:rPr>
        <w:t xml:space="preserve"> </w:t>
      </w:r>
      <w:r>
        <w:rPr>
          <w:spacing w:val="5"/>
        </w:rPr>
        <w:t>以上</w:t>
      </w:r>
      <w:r>
        <w:rPr>
          <w:rFonts w:ascii="Times New Roman" w:hAnsi="Times New Roman" w:eastAsia="Times New Roman" w:cs="Times New Roman"/>
          <w:spacing w:val="5"/>
        </w:rPr>
        <w:t>”</w:t>
      </w:r>
      <w:r>
        <w:rPr>
          <w:spacing w:val="5"/>
        </w:rPr>
        <w:t>含本数，</w:t>
      </w:r>
      <w:r>
        <w:rPr>
          <w:rFonts w:ascii="Times New Roman" w:hAnsi="Times New Roman" w:eastAsia="Times New Roman" w:cs="Times New Roman"/>
          <w:spacing w:val="5"/>
        </w:rPr>
        <w:t>“</w:t>
      </w:r>
      <w:r>
        <w:rPr>
          <w:rFonts w:ascii="Times New Roman" w:hAnsi="Times New Roman" w:eastAsia="Times New Roman" w:cs="Times New Roman"/>
          <w:spacing w:val="-30"/>
        </w:rPr>
        <w:t xml:space="preserve"> </w:t>
      </w:r>
      <w:r>
        <w:rPr>
          <w:spacing w:val="5"/>
        </w:rPr>
        <w:t>以下</w:t>
      </w:r>
      <w:r>
        <w:rPr>
          <w:rFonts w:ascii="Times New Roman" w:hAnsi="Times New Roman" w:eastAsia="Times New Roman" w:cs="Times New Roman"/>
          <w:spacing w:val="5"/>
        </w:rPr>
        <w:t>”</w:t>
      </w:r>
      <w:r>
        <w:rPr>
          <w:spacing w:val="5"/>
        </w:rPr>
        <w:t>不含本数。</w:t>
      </w:r>
    </w:p>
    <w:p>
      <w:pPr>
        <w:ind w:left="426"/>
        <w:spacing w:before="15" w:line="17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9    附件</w:t>
      </w:r>
    </w:p>
    <w:p>
      <w:pPr>
        <w:spacing w:line="172" w:lineRule="auto"/>
        <w:sectPr>
          <w:type w:val="continuous"/>
          <w:pgSz w:w="11906" w:h="16839"/>
          <w:pgMar w:top="1772" w:right="1489" w:bottom="1562" w:left="1567" w:header="1428" w:footer="1172" w:gutter="0"/>
          <w:cols w:equalWidth="0" w:num="2">
            <w:col w:w="4502" w:space="100"/>
            <w:col w:w="4249" w:space="0"/>
          </w:cols>
        </w:sectPr>
        <w:rPr>
          <w:rFonts w:ascii="Microsoft YaHei" w:hAnsi="Microsoft YaHei" w:eastAsia="Microsoft YaHei" w:cs="Microsoft YaHei"/>
          <w:sz w:val="20"/>
          <w:szCs w:val="20"/>
        </w:rPr>
      </w:pPr>
    </w:p>
    <w:p>
      <w:pPr>
        <w:spacing w:line="303" w:lineRule="auto"/>
        <w:rPr>
          <w:rFonts w:ascii="Arial"/>
          <w:sz w:val="21"/>
        </w:rPr>
      </w:pPr>
      <w:r>
        <w:drawing>
          <wp:anchor distT="0" distB="0" distL="0" distR="0" simplePos="0" relativeHeight="253431808" behindDoc="0" locked="0" layoutInCell="1" allowOverlap="1">
            <wp:simplePos x="0" y="0"/>
            <wp:positionH relativeFrom="column">
              <wp:posOffset>36194</wp:posOffset>
            </wp:positionH>
            <wp:positionV relativeFrom="paragraph">
              <wp:posOffset>25815</wp:posOffset>
            </wp:positionV>
            <wp:extent cx="8712200" cy="7620"/>
            <wp:effectExtent l="0" t="0" r="0" b="0"/>
            <wp:wrapNone/>
            <wp:docPr id="1926" name="IM 1926"/>
            <wp:cNvGraphicFramePr/>
            <a:graphic>
              <a:graphicData uri="http://schemas.openxmlformats.org/drawingml/2006/picture">
                <pic:pic>
                  <pic:nvPicPr>
                    <pic:cNvPr id="1926" name="IM 1926"/>
                    <pic:cNvPicPr/>
                  </pic:nvPicPr>
                  <pic:blipFill>
                    <a:blip r:embed="rId965"/>
                    <a:stretch>
                      <a:fillRect/>
                    </a:stretch>
                  </pic:blipFill>
                  <pic:spPr>
                    <a:xfrm rot="0">
                      <a:off x="0" y="0"/>
                      <a:ext cx="8712200" cy="7620"/>
                    </a:xfrm>
                    <a:prstGeom prst="rect">
                      <a:avLst/>
                    </a:prstGeom>
                  </pic:spPr>
                </pic:pic>
              </a:graphicData>
            </a:graphic>
          </wp:anchor>
        </w:drawing>
      </w:r>
      <w:r/>
    </w:p>
    <w:p>
      <w:pPr>
        <w:ind w:left="4116"/>
        <w:spacing w:before="120" w:line="210" w:lineRule="auto"/>
        <w:rPr>
          <w:rFonts w:ascii="Microsoft YaHei" w:hAnsi="Microsoft YaHei" w:eastAsia="Microsoft YaHei" w:cs="Microsoft YaHei"/>
          <w:sz w:val="28"/>
          <w:szCs w:val="28"/>
        </w:rPr>
      </w:pPr>
      <w:r>
        <w:rPr>
          <w:rFonts w:ascii="Microsoft YaHei" w:hAnsi="Microsoft YaHei" w:eastAsia="Microsoft YaHei" w:cs="Microsoft YaHei"/>
          <w:sz w:val="28"/>
          <w:szCs w:val="28"/>
          <w:spacing w:val="-2"/>
        </w:rPr>
        <w:t>9.1  固原市突发公共卫生事件应急组织体系框架图</w:t>
      </w:r>
    </w:p>
    <w:p>
      <w:pPr>
        <w:spacing w:line="466" w:lineRule="auto"/>
        <w:rPr>
          <w:rFonts w:ascii="Arial"/>
          <w:sz w:val="21"/>
        </w:rPr>
      </w:pPr>
      <w:r/>
    </w:p>
    <w:p>
      <w:pPr>
        <w:pStyle w:val="BodyText"/>
        <w:ind w:left="8360" w:right="3948" w:hanging="488"/>
        <w:spacing w:before="65" w:line="290" w:lineRule="auto"/>
        <w:rPr/>
      </w:pPr>
      <w:r>
        <w:drawing>
          <wp:anchor distT="0" distB="0" distL="0" distR="0" simplePos="0" relativeHeight="253425664" behindDoc="1" locked="0" layoutInCell="1" allowOverlap="1">
            <wp:simplePos x="0" y="0"/>
            <wp:positionH relativeFrom="column">
              <wp:posOffset>298132</wp:posOffset>
            </wp:positionH>
            <wp:positionV relativeFrom="paragraph">
              <wp:posOffset>-40745</wp:posOffset>
            </wp:positionV>
            <wp:extent cx="7776844" cy="3955414"/>
            <wp:effectExtent l="0" t="0" r="0" b="0"/>
            <wp:wrapNone/>
            <wp:docPr id="1928" name="IM 1928"/>
            <wp:cNvGraphicFramePr/>
            <a:graphic>
              <a:graphicData uri="http://schemas.openxmlformats.org/drawingml/2006/picture">
                <pic:pic>
                  <pic:nvPicPr>
                    <pic:cNvPr id="1928" name="IM 1928"/>
                    <pic:cNvPicPr/>
                  </pic:nvPicPr>
                  <pic:blipFill>
                    <a:blip r:embed="rId966"/>
                    <a:stretch>
                      <a:fillRect/>
                    </a:stretch>
                  </pic:blipFill>
                  <pic:spPr>
                    <a:xfrm rot="0">
                      <a:off x="0" y="0"/>
                      <a:ext cx="7776844" cy="3955414"/>
                    </a:xfrm>
                    <a:prstGeom prst="rect">
                      <a:avLst/>
                    </a:prstGeom>
                  </pic:spPr>
                </pic:pic>
              </a:graphicData>
            </a:graphic>
          </wp:anchor>
        </w:drawing>
      </w:r>
      <w:r>
        <w:rPr>
          <w:spacing w:val="-5"/>
        </w:rPr>
        <w:t>全国突发公共卫生事件</w:t>
      </w:r>
      <w:r>
        <w:rPr>
          <w:spacing w:val="-3"/>
        </w:rPr>
        <w:t>应急指挥部</w:t>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pStyle w:val="BodyText"/>
        <w:ind w:left="4872" w:right="6840" w:hanging="435"/>
        <w:spacing w:before="58" w:line="275" w:lineRule="auto"/>
        <w:rPr>
          <w:sz w:val="18"/>
          <w:szCs w:val="18"/>
        </w:rPr>
      </w:pPr>
      <w:r>
        <w:pict>
          <v:shape id="_x0000_s94" style="position:absolute;margin-left:35.589pt;margin-top:1.29969pt;mso-position-vertical-relative:text;mso-position-horizontal-relative:text;width:126.15pt;height:222.8pt;z-index:253426688;" filled="false" stroked="false" type="#_x0000_t202">
            <v:fill on="false"/>
            <v:stroke on="false"/>
            <v:path/>
            <v:imagedata o:title=""/>
            <o:lock v:ext="edit" aspectratio="false"/>
            <v:textbox inset="0mm,0mm,0mm,0mm">
              <w:txbxContent>
                <w:p>
                  <w:pPr>
                    <w:pStyle w:val="BodyText"/>
                    <w:ind w:left="344" w:right="380" w:firstLine="18"/>
                    <w:spacing w:before="20" w:line="278" w:lineRule="auto"/>
                    <w:rPr>
                      <w:sz w:val="18"/>
                      <w:szCs w:val="18"/>
                    </w:rPr>
                  </w:pPr>
                  <w:r>
                    <w:rPr>
                      <w:sz w:val="18"/>
                      <w:szCs w:val="18"/>
                      <w:spacing w:val="-3"/>
                    </w:rPr>
                    <w:t>国家突发公共卫生事件</w:t>
                  </w:r>
                  <w:r>
                    <w:rPr>
                      <w:sz w:val="18"/>
                      <w:szCs w:val="18"/>
                      <w:spacing w:val="-1"/>
                    </w:rPr>
                    <w:t>应急处理技术支持机构</w:t>
                  </w:r>
                </w:p>
                <w:p>
                  <w:pPr>
                    <w:spacing w:line="352" w:lineRule="auto"/>
                    <w:rPr>
                      <w:rFonts w:ascii="Arial"/>
                      <w:sz w:val="21"/>
                    </w:rPr>
                  </w:pPr>
                  <w:r/>
                </w:p>
                <w:p>
                  <w:pPr>
                    <w:spacing w:line="353" w:lineRule="auto"/>
                    <w:rPr>
                      <w:rFonts w:ascii="Arial"/>
                      <w:sz w:val="21"/>
                    </w:rPr>
                  </w:pPr>
                  <w:r/>
                </w:p>
                <w:p>
                  <w:pPr>
                    <w:pStyle w:val="BodyText"/>
                    <w:ind w:left="615" w:right="20" w:hanging="595"/>
                    <w:spacing w:before="59" w:line="275" w:lineRule="auto"/>
                    <w:rPr>
                      <w:sz w:val="18"/>
                      <w:szCs w:val="18"/>
                    </w:rPr>
                  </w:pPr>
                  <w:r>
                    <w:rPr>
                      <w:sz w:val="18"/>
                      <w:szCs w:val="18"/>
                      <w:spacing w:val="-3"/>
                    </w:rPr>
                    <w:t>自治区突发公共卫生事件应急处</w:t>
                  </w:r>
                  <w:r>
                    <w:rPr>
                      <w:sz w:val="18"/>
                      <w:szCs w:val="18"/>
                      <w:spacing w:val="-1"/>
                    </w:rPr>
                    <w:t>理技术支持机构</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BodyText"/>
                    <w:ind w:left="371" w:right="353" w:firstLine="1"/>
                    <w:spacing w:before="58" w:line="278" w:lineRule="auto"/>
                    <w:rPr>
                      <w:sz w:val="18"/>
                      <w:szCs w:val="18"/>
                    </w:rPr>
                  </w:pPr>
                  <w:r>
                    <w:rPr>
                      <w:sz w:val="18"/>
                      <w:szCs w:val="18"/>
                      <w:spacing w:val="-1"/>
                    </w:rPr>
                    <w:t>市级突发公共卫生事件</w:t>
                  </w:r>
                  <w:r>
                    <w:rPr>
                      <w:sz w:val="18"/>
                      <w:szCs w:val="18"/>
                      <w:spacing w:val="-1"/>
                    </w:rPr>
                    <w:t>应急处理技术支持机构</w:t>
                  </w:r>
                </w:p>
                <w:p>
                  <w:pPr>
                    <w:spacing w:line="351" w:lineRule="auto"/>
                    <w:rPr>
                      <w:rFonts w:ascii="Arial"/>
                      <w:sz w:val="21"/>
                    </w:rPr>
                  </w:pPr>
                  <w:r/>
                </w:p>
                <w:p>
                  <w:pPr>
                    <w:spacing w:line="352" w:lineRule="auto"/>
                    <w:rPr>
                      <w:rFonts w:ascii="Arial"/>
                      <w:sz w:val="21"/>
                    </w:rPr>
                  </w:pPr>
                  <w:r/>
                </w:p>
                <w:p>
                  <w:pPr>
                    <w:pStyle w:val="BodyText"/>
                    <w:ind w:left="373" w:right="351" w:firstLine="1"/>
                    <w:spacing w:before="59" w:line="253" w:lineRule="auto"/>
                    <w:rPr>
                      <w:sz w:val="18"/>
                      <w:szCs w:val="18"/>
                    </w:rPr>
                  </w:pPr>
                  <w:r>
                    <w:rPr>
                      <w:sz w:val="18"/>
                      <w:szCs w:val="18"/>
                      <w:spacing w:val="-1"/>
                    </w:rPr>
                    <w:t>县级突发公共卫生事件</w:t>
                  </w:r>
                  <w:r>
                    <w:rPr>
                      <w:sz w:val="18"/>
                      <w:szCs w:val="18"/>
                      <w:spacing w:val="-1"/>
                    </w:rPr>
                    <w:t>应急处理技术支持机构</w:t>
                  </w:r>
                </w:p>
              </w:txbxContent>
            </v:textbox>
          </v:shape>
        </w:pict>
      </w:r>
      <w:r>
        <w:pict>
          <v:shape id="_x0000_s96" style="position:absolute;margin-left:548.859pt;margin-top:3.01667pt;mso-position-vertical-relative:text;mso-position-horizontal-relative:text;width:63.95pt;height:12.25pt;z-index:253430784;" filled="false" stroked="false" type="#_x0000_t202">
            <v:fill on="false"/>
            <v:stroke on="false"/>
            <v:path/>
            <v:imagedata o:title=""/>
            <o:lock v:ext="edit" aspectratio="false"/>
            <v:textbox inset="0mm,0mm,0mm,0mm">
              <w:txbxContent>
                <w:p>
                  <w:pPr>
                    <w:pStyle w:val="BodyText"/>
                    <w:ind w:left="20"/>
                    <w:spacing w:before="19" w:line="210" w:lineRule="auto"/>
                    <w:rPr>
                      <w:sz w:val="18"/>
                      <w:szCs w:val="18"/>
                    </w:rPr>
                  </w:pPr>
                  <w:r>
                    <w:rPr>
                      <w:sz w:val="18"/>
                      <w:szCs w:val="18"/>
                      <w:spacing w:val="-4"/>
                    </w:rPr>
                    <w:t>国家院有关部门</w:t>
                  </w:r>
                </w:p>
              </w:txbxContent>
            </v:textbox>
          </v:shape>
        </w:pict>
      </w:r>
      <w:r>
        <w:rPr>
          <w:sz w:val="18"/>
          <w:szCs w:val="18"/>
          <w:spacing w:val="-2"/>
        </w:rPr>
        <w:t>国家卫生健康委员会突发公共卫</w:t>
      </w:r>
      <w:r>
        <w:rPr>
          <w:sz w:val="18"/>
          <w:szCs w:val="18"/>
          <w:spacing w:val="-1"/>
        </w:rPr>
        <w:t>生事件应急指挥中心</w:t>
      </w:r>
    </w:p>
    <w:p>
      <w:pPr>
        <w:spacing w:line="282" w:lineRule="auto"/>
        <w:rPr>
          <w:rFonts w:ascii="Arial"/>
          <w:sz w:val="21"/>
        </w:rPr>
      </w:pPr>
      <w:r/>
    </w:p>
    <w:p>
      <w:pPr>
        <w:pStyle w:val="BodyText"/>
        <w:ind w:left="7636"/>
        <w:spacing w:before="59" w:line="212" w:lineRule="auto"/>
        <w:rPr>
          <w:sz w:val="18"/>
          <w:szCs w:val="18"/>
        </w:rPr>
      </w:pPr>
      <w:r>
        <w:rPr>
          <w:sz w:val="18"/>
          <w:szCs w:val="18"/>
          <w:spacing w:val="-3"/>
        </w:rPr>
        <w:t>自治区突发公共卫生事件应急指</w:t>
      </w:r>
    </w:p>
    <w:p>
      <w:pPr>
        <w:pStyle w:val="BodyText"/>
        <w:ind w:left="8682"/>
        <w:spacing w:before="60" w:line="171" w:lineRule="auto"/>
        <w:rPr>
          <w:sz w:val="18"/>
          <w:szCs w:val="18"/>
        </w:rPr>
      </w:pPr>
      <w:r>
        <w:rPr>
          <w:sz w:val="18"/>
          <w:szCs w:val="18"/>
          <w:spacing w:val="-3"/>
        </w:rPr>
        <w:t>挥部</w:t>
      </w:r>
    </w:p>
    <w:p>
      <w:pPr>
        <w:pStyle w:val="BodyText"/>
        <w:ind w:left="4757" w:right="6862" w:hanging="325"/>
        <w:spacing w:before="1" w:line="273" w:lineRule="auto"/>
        <w:rPr>
          <w:sz w:val="18"/>
          <w:szCs w:val="18"/>
        </w:rPr>
      </w:pPr>
      <w:r>
        <w:pict>
          <v:shape id="_x0000_s98" style="position:absolute;margin-left:541.749pt;margin-top:-0.12541pt;mso-position-vertical-relative:text;mso-position-horizontal-relative:text;width:81.15pt;height:25.75pt;z-index:253428736;" filled="false" stroked="false" type="#_x0000_t202">
            <v:fill on="false"/>
            <v:stroke on="false"/>
            <v:path/>
            <v:imagedata o:title=""/>
            <o:lock v:ext="edit" aspectratio="false"/>
            <v:textbox inset="0mm,0mm,0mm,0mm">
              <w:txbxContent>
                <w:p>
                  <w:pPr>
                    <w:pStyle w:val="BodyText"/>
                    <w:ind w:left="614" w:right="20" w:hanging="594"/>
                    <w:spacing w:before="20" w:line="253" w:lineRule="auto"/>
                    <w:rPr>
                      <w:sz w:val="18"/>
                      <w:szCs w:val="18"/>
                    </w:rPr>
                  </w:pPr>
                  <w:r>
                    <w:rPr>
                      <w:sz w:val="18"/>
                      <w:szCs w:val="18"/>
                      <w:spacing w:val="-5"/>
                    </w:rPr>
                    <w:t>自治区人民政府有关</w:t>
                  </w:r>
                  <w:r>
                    <w:rPr>
                      <w:sz w:val="18"/>
                      <w:szCs w:val="18"/>
                      <w:spacing w:val="-2"/>
                    </w:rPr>
                    <w:t>部门</w:t>
                  </w:r>
                </w:p>
              </w:txbxContent>
            </v:textbox>
          </v:shape>
        </w:pict>
      </w:r>
      <w:r>
        <w:rPr>
          <w:sz w:val="18"/>
          <w:szCs w:val="18"/>
          <w:spacing w:val="-3"/>
        </w:rPr>
        <w:t>自治区卫生健康委员会突发公共</w:t>
      </w:r>
      <w:r>
        <w:rPr>
          <w:sz w:val="18"/>
          <w:szCs w:val="18"/>
          <w:spacing w:val="-1"/>
        </w:rPr>
        <w:t>卫生事件应急指挥中心</w:t>
      </w:r>
    </w:p>
    <w:p>
      <w:pPr>
        <w:pStyle w:val="BodyText"/>
        <w:ind w:left="7603"/>
        <w:spacing w:before="60" w:line="211" w:lineRule="auto"/>
        <w:rPr>
          <w:sz w:val="18"/>
          <w:szCs w:val="18"/>
        </w:rPr>
      </w:pPr>
      <w:r>
        <w:rPr>
          <w:sz w:val="18"/>
          <w:szCs w:val="18"/>
          <w:spacing w:val="-1"/>
        </w:rPr>
        <w:t>市突发公共卫生事件应急指挥部</w:t>
      </w:r>
    </w:p>
    <w:p>
      <w:pPr>
        <w:spacing w:line="443" w:lineRule="auto"/>
        <w:rPr>
          <w:rFonts w:ascii="Arial"/>
          <w:sz w:val="21"/>
        </w:rPr>
      </w:pPr>
      <w:r/>
    </w:p>
    <w:p>
      <w:pPr>
        <w:pStyle w:val="BodyText"/>
        <w:ind w:left="4938" w:right="6862" w:hanging="539"/>
        <w:spacing w:before="59" w:line="278" w:lineRule="auto"/>
        <w:rPr>
          <w:sz w:val="18"/>
          <w:szCs w:val="18"/>
        </w:rPr>
      </w:pPr>
      <w:r>
        <w:pict>
          <v:shape id="_x0000_s100" style="position:absolute;margin-left:558.093pt;margin-top:2.98896pt;mso-position-vertical-relative:text;mso-position-horizontal-relative:text;width:46.8pt;height:25.75pt;z-index:253429760;" filled="false" stroked="false" type="#_x0000_t202">
            <v:fill on="false"/>
            <v:stroke on="false"/>
            <v:path/>
            <v:imagedata o:title=""/>
            <o:lock v:ext="edit" aspectratio="false"/>
            <v:textbox inset="0mm,0mm,0mm,0mm">
              <w:txbxContent>
                <w:p>
                  <w:pPr>
                    <w:pStyle w:val="BodyText"/>
                    <w:ind w:left="106" w:right="20" w:hanging="87"/>
                    <w:spacing w:before="20" w:line="253" w:lineRule="auto"/>
                    <w:rPr>
                      <w:sz w:val="18"/>
                      <w:szCs w:val="18"/>
                    </w:rPr>
                  </w:pPr>
                  <w:r>
                    <w:rPr>
                      <w:sz w:val="18"/>
                      <w:szCs w:val="18"/>
                      <w:spacing w:val="-1"/>
                    </w:rPr>
                    <w:t>市人民政府</w:t>
                  </w:r>
                  <w:r>
                    <w:rPr>
                      <w:sz w:val="18"/>
                      <w:szCs w:val="18"/>
                      <w:spacing w:val="-1"/>
                    </w:rPr>
                    <w:t>有关部门</w:t>
                  </w:r>
                </w:p>
              </w:txbxContent>
            </v:textbox>
          </v:shape>
        </w:pict>
      </w:r>
      <w:r>
        <w:rPr>
          <w:sz w:val="18"/>
          <w:szCs w:val="18"/>
          <w:spacing w:val="-1"/>
        </w:rPr>
        <w:t>市卫生健康委员会突发公共卫生</w:t>
      </w:r>
      <w:r>
        <w:rPr>
          <w:sz w:val="18"/>
          <w:szCs w:val="18"/>
          <w:spacing w:val="-1"/>
        </w:rPr>
        <w:t>事件应急指挥中心</w:t>
      </w:r>
    </w:p>
    <w:p>
      <w:pPr>
        <w:pStyle w:val="BodyText"/>
        <w:ind w:left="8238" w:right="4184" w:hanging="81"/>
        <w:spacing w:before="44" w:line="275" w:lineRule="auto"/>
        <w:rPr>
          <w:sz w:val="18"/>
          <w:szCs w:val="18"/>
        </w:rPr>
      </w:pPr>
      <w:r>
        <w:rPr>
          <w:sz w:val="18"/>
          <w:szCs w:val="18"/>
          <w:spacing w:val="-6"/>
        </w:rPr>
        <w:t>县（</w:t>
      </w:r>
      <w:r>
        <w:rPr>
          <w:sz w:val="18"/>
          <w:szCs w:val="18"/>
          <w:spacing w:val="-48"/>
        </w:rPr>
        <w:t xml:space="preserve"> </w:t>
      </w:r>
      <w:r>
        <w:rPr>
          <w:sz w:val="18"/>
          <w:szCs w:val="18"/>
          <w:spacing w:val="-6"/>
        </w:rPr>
        <w:t>区）人民政府</w:t>
      </w:r>
      <w:r>
        <w:rPr>
          <w:sz w:val="18"/>
          <w:szCs w:val="18"/>
          <w:spacing w:val="1"/>
        </w:rPr>
        <w:t>（或相应机构）</w:t>
      </w:r>
    </w:p>
    <w:p>
      <w:pPr>
        <w:pStyle w:val="BodyText"/>
        <w:ind w:left="4430"/>
        <w:spacing w:before="177" w:line="240" w:lineRule="exact"/>
        <w:rPr>
          <w:sz w:val="18"/>
          <w:szCs w:val="18"/>
        </w:rPr>
      </w:pPr>
      <w:r>
        <w:pict>
          <v:shape id="_x0000_s102" style="position:absolute;margin-left:537.212pt;margin-top:8.17558pt;mso-position-vertical-relative:text;mso-position-horizontal-relative:text;width:91.65pt;height:25.95pt;z-index:253427712;" filled="false" stroked="false" type="#_x0000_t202">
            <v:fill on="false"/>
            <v:stroke on="false"/>
            <v:path/>
            <v:imagedata o:title=""/>
            <o:lock v:ext="edit" aspectratio="false"/>
            <v:textbox inset="0mm,0mm,0mm,0mm">
              <w:txbxContent>
                <w:p>
                  <w:pPr>
                    <w:pStyle w:val="BodyText"/>
                    <w:ind w:left="20"/>
                    <w:spacing w:before="20" w:line="239" w:lineRule="exact"/>
                    <w:rPr>
                      <w:sz w:val="18"/>
                      <w:szCs w:val="18"/>
                    </w:rPr>
                  </w:pPr>
                  <w:r>
                    <w:rPr>
                      <w:sz w:val="18"/>
                      <w:szCs w:val="18"/>
                      <w:spacing w:val="-1"/>
                      <w:position w:val="1"/>
                    </w:rPr>
                    <w:t>县（区）人民政府有关</w:t>
                  </w:r>
                </w:p>
                <w:p>
                  <w:pPr>
                    <w:pStyle w:val="BodyText"/>
                    <w:ind w:left="736"/>
                    <w:spacing w:before="33" w:line="210" w:lineRule="auto"/>
                    <w:rPr>
                      <w:sz w:val="18"/>
                      <w:szCs w:val="18"/>
                    </w:rPr>
                  </w:pPr>
                  <w:r>
                    <w:rPr>
                      <w:sz w:val="18"/>
                      <w:szCs w:val="18"/>
                      <w:spacing w:val="-2"/>
                    </w:rPr>
                    <w:t>部门</w:t>
                  </w:r>
                </w:p>
              </w:txbxContent>
            </v:textbox>
          </v:shape>
        </w:pict>
      </w:r>
      <w:r>
        <w:rPr>
          <w:sz w:val="18"/>
          <w:szCs w:val="18"/>
          <w:spacing w:val="-4"/>
          <w:position w:val="1"/>
        </w:rPr>
        <w:t>县（</w:t>
      </w:r>
      <w:r>
        <w:rPr>
          <w:sz w:val="18"/>
          <w:szCs w:val="18"/>
          <w:spacing w:val="-40"/>
          <w:position w:val="1"/>
        </w:rPr>
        <w:t xml:space="preserve"> </w:t>
      </w:r>
      <w:r>
        <w:rPr>
          <w:sz w:val="18"/>
          <w:szCs w:val="18"/>
          <w:spacing w:val="-4"/>
          <w:position w:val="1"/>
        </w:rPr>
        <w:t>区）卫健局突发公共卫生事</w:t>
      </w:r>
    </w:p>
    <w:p>
      <w:pPr>
        <w:pStyle w:val="BodyText"/>
        <w:ind w:left="5061"/>
        <w:spacing w:before="32" w:line="211" w:lineRule="auto"/>
        <w:rPr>
          <w:sz w:val="18"/>
          <w:szCs w:val="18"/>
        </w:rPr>
      </w:pPr>
      <w:r>
        <w:rPr>
          <w:sz w:val="18"/>
          <w:szCs w:val="18"/>
          <w:spacing w:val="-1"/>
        </w:rPr>
        <w:t>件应急指挥中心</w:t>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drawing>
          <wp:anchor distT="0" distB="0" distL="0" distR="0" simplePos="0" relativeHeight="253432832" behindDoc="0" locked="0" layoutInCell="1" allowOverlap="1">
            <wp:simplePos x="0" y="0"/>
            <wp:positionH relativeFrom="column">
              <wp:posOffset>0</wp:posOffset>
            </wp:positionH>
            <wp:positionV relativeFrom="paragraph">
              <wp:posOffset>150837</wp:posOffset>
            </wp:positionV>
            <wp:extent cx="8712200" cy="7619"/>
            <wp:effectExtent l="0" t="0" r="0" b="0"/>
            <wp:wrapNone/>
            <wp:docPr id="1930" name="IM 1930"/>
            <wp:cNvGraphicFramePr/>
            <a:graphic>
              <a:graphicData uri="http://schemas.openxmlformats.org/drawingml/2006/picture">
                <pic:pic>
                  <pic:nvPicPr>
                    <pic:cNvPr id="1930" name="IM 1930"/>
                    <pic:cNvPicPr/>
                  </pic:nvPicPr>
                  <pic:blipFill>
                    <a:blip r:embed="rId967"/>
                    <a:stretch>
                      <a:fillRect/>
                    </a:stretch>
                  </pic:blipFill>
                  <pic:spPr>
                    <a:xfrm rot="0">
                      <a:off x="0" y="0"/>
                      <a:ext cx="8712200" cy="7619"/>
                    </a:xfrm>
                    <a:prstGeom prst="rect">
                      <a:avLst/>
                    </a:prstGeom>
                  </pic:spPr>
                </pic:pic>
              </a:graphicData>
            </a:graphic>
          </wp:anchor>
        </w:drawing>
      </w:r>
      <w:r/>
    </w:p>
    <w:p>
      <w:pPr>
        <w:ind w:left="11180"/>
        <w:spacing w:before="86" w:line="21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期/403</w:t>
      </w:r>
    </w:p>
    <w:p>
      <w:pPr>
        <w:spacing w:line="212" w:lineRule="auto"/>
        <w:sectPr>
          <w:headerReference w:type="default" r:id="rId964"/>
          <w:footerReference w:type="default" r:id="rId58"/>
          <w:pgSz w:w="16839" w:h="11906"/>
          <w:pgMar w:top="1767" w:right="1530" w:bottom="400" w:left="1531" w:header="1428" w:footer="0" w:gutter="0"/>
        </w:sectPr>
        <w:rPr>
          <w:rFonts w:ascii="Microsoft YaHei" w:hAnsi="Microsoft YaHei" w:eastAsia="Microsoft YaHei" w:cs="Microsoft YaHei"/>
          <w:sz w:val="20"/>
          <w:szCs w:val="20"/>
        </w:rPr>
      </w:pPr>
    </w:p>
    <w:p>
      <w:pPr>
        <w:spacing w:line="298" w:lineRule="auto"/>
        <w:rPr>
          <w:rFonts w:ascii="Arial"/>
          <w:sz w:val="21"/>
        </w:rPr>
      </w:pPr>
      <w:r>
        <w:drawing>
          <wp:anchor distT="0" distB="0" distL="0" distR="0" simplePos="0" relativeHeight="253448192" behindDoc="0" locked="0" layoutInCell="0" allowOverlap="1">
            <wp:simplePos x="0" y="0"/>
            <wp:positionH relativeFrom="page">
              <wp:posOffset>1008380</wp:posOffset>
            </wp:positionH>
            <wp:positionV relativeFrom="page">
              <wp:posOffset>1124584</wp:posOffset>
            </wp:positionV>
            <wp:extent cx="8712200" cy="7620"/>
            <wp:effectExtent l="0" t="0" r="0" b="0"/>
            <wp:wrapNone/>
            <wp:docPr id="1936" name="IM 1936"/>
            <wp:cNvGraphicFramePr/>
            <a:graphic>
              <a:graphicData uri="http://schemas.openxmlformats.org/drawingml/2006/picture">
                <pic:pic>
                  <pic:nvPicPr>
                    <pic:cNvPr id="1936" name="IM 1936"/>
                    <pic:cNvPicPr/>
                  </pic:nvPicPr>
                  <pic:blipFill>
                    <a:blip r:embed="rId970"/>
                    <a:stretch>
                      <a:fillRect/>
                    </a:stretch>
                  </pic:blipFill>
                  <pic:spPr>
                    <a:xfrm rot="0">
                      <a:off x="0" y="0"/>
                      <a:ext cx="8712200" cy="7620"/>
                    </a:xfrm>
                    <a:prstGeom prst="rect">
                      <a:avLst/>
                    </a:prstGeom>
                  </pic:spPr>
                </pic:pic>
              </a:graphicData>
            </a:graphic>
          </wp:anchor>
        </w:drawing>
      </w:r>
      <w:r/>
    </w:p>
    <w:p>
      <w:pPr>
        <w:ind w:left="593"/>
        <w:spacing w:before="120" w:line="210" w:lineRule="auto"/>
        <w:rPr>
          <w:rFonts w:ascii="Microsoft YaHei" w:hAnsi="Microsoft YaHei" w:eastAsia="Microsoft YaHei" w:cs="Microsoft YaHei"/>
          <w:sz w:val="28"/>
          <w:szCs w:val="28"/>
        </w:rPr>
      </w:pPr>
      <w:r>
        <w:rPr>
          <w:rFonts w:ascii="Microsoft YaHei" w:hAnsi="Microsoft YaHei" w:eastAsia="Microsoft YaHei" w:cs="Microsoft YaHei"/>
          <w:sz w:val="28"/>
          <w:szCs w:val="28"/>
          <w:spacing w:val="-2"/>
        </w:rPr>
        <w:t>9.2  固原市突发公共卫生事件报告系统示意图</w:t>
      </w:r>
    </w:p>
    <w:p>
      <w:pPr>
        <w:spacing w:line="324" w:lineRule="auto"/>
        <w:rPr>
          <w:rFonts w:ascii="Arial"/>
          <w:sz w:val="21"/>
        </w:rPr>
      </w:pPr>
      <w:r/>
    </w:p>
    <w:p>
      <w:pPr>
        <w:pStyle w:val="BodyText"/>
        <w:ind w:left="4285" w:right="8706" w:hanging="342"/>
        <w:spacing w:before="59" w:line="279" w:lineRule="auto"/>
        <w:rPr>
          <w:sz w:val="18"/>
          <w:szCs w:val="18"/>
        </w:rPr>
      </w:pPr>
      <w:r>
        <w:pict>
          <v:shape id="_x0000_s104" style="position:absolute;margin-left:350.619pt;margin-top:1.88151pt;mso-position-vertical-relative:text;mso-position-horizontal-relative:text;width:63.95pt;height:25.7pt;z-index:253441024;" filled="false" stroked="false" type="#_x0000_t202">
            <v:fill on="false"/>
            <v:stroke on="false"/>
            <v:path/>
            <v:imagedata o:title=""/>
            <o:lock v:ext="edit" aspectratio="false"/>
            <v:textbox inset="0mm,0mm,0mm,0mm">
              <w:txbxContent>
                <w:p>
                  <w:pPr>
                    <w:pStyle w:val="BodyText"/>
                    <w:ind w:left="452" w:right="20" w:hanging="433"/>
                    <w:spacing w:before="20" w:line="253" w:lineRule="auto"/>
                    <w:rPr>
                      <w:sz w:val="18"/>
                      <w:szCs w:val="18"/>
                    </w:rPr>
                  </w:pPr>
                  <w:r>
                    <w:rPr>
                      <w:sz w:val="18"/>
                      <w:szCs w:val="18"/>
                      <w:spacing w:val="-4"/>
                    </w:rPr>
                    <w:t>国家卫生健康委</w:t>
                  </w:r>
                  <w:r>
                    <w:rPr>
                      <w:sz w:val="18"/>
                      <w:szCs w:val="18"/>
                      <w:spacing w:val="-3"/>
                    </w:rPr>
                    <w:t>员会</w:t>
                  </w:r>
                </w:p>
              </w:txbxContent>
            </v:textbox>
          </v:shape>
        </w:pict>
      </w:r>
      <w:r>
        <w:pict>
          <v:shape id="_x0000_s106" style="position:absolute;margin-left:529.898pt;margin-top:15.4385pt;mso-position-vertical-relative:text;mso-position-horizontal-relative:text;width:27.95pt;height:12.25pt;z-index:253450240;" filled="false" stroked="false" type="#_x0000_t202">
            <v:fill on="false"/>
            <v:stroke on="false"/>
            <v:path/>
            <v:imagedata o:title=""/>
            <o:lock v:ext="edit" aspectratio="false"/>
            <v:textbox inset="0mm,0mm,0mm,0mm">
              <w:txbxContent>
                <w:p>
                  <w:pPr>
                    <w:pStyle w:val="BodyText"/>
                    <w:ind w:left="20"/>
                    <w:spacing w:before="19" w:line="210" w:lineRule="auto"/>
                    <w:rPr>
                      <w:sz w:val="18"/>
                      <w:szCs w:val="18"/>
                    </w:rPr>
                  </w:pPr>
                  <w:r>
                    <w:rPr>
                      <w:sz w:val="18"/>
                      <w:szCs w:val="18"/>
                      <w:spacing w:val="-8"/>
                    </w:rPr>
                    <w:t>国务院</w:t>
                  </w:r>
                </w:p>
              </w:txbxContent>
            </v:textbox>
          </v:shape>
        </w:pict>
      </w:r>
      <w:r>
        <w:drawing>
          <wp:anchor distT="0" distB="0" distL="0" distR="0" simplePos="0" relativeHeight="253437952" behindDoc="1" locked="0" layoutInCell="1" allowOverlap="1">
            <wp:simplePos x="0" y="0"/>
            <wp:positionH relativeFrom="column">
              <wp:posOffset>65722</wp:posOffset>
            </wp:positionH>
            <wp:positionV relativeFrom="paragraph">
              <wp:posOffset>-40544</wp:posOffset>
            </wp:positionV>
            <wp:extent cx="8753475" cy="4498339"/>
            <wp:effectExtent l="0" t="0" r="0" b="0"/>
            <wp:wrapNone/>
            <wp:docPr id="1938" name="IM 1938"/>
            <wp:cNvGraphicFramePr/>
            <a:graphic>
              <a:graphicData uri="http://schemas.openxmlformats.org/drawingml/2006/picture">
                <pic:pic>
                  <pic:nvPicPr>
                    <pic:cNvPr id="1938" name="IM 1938"/>
                    <pic:cNvPicPr/>
                  </pic:nvPicPr>
                  <pic:blipFill>
                    <a:blip r:embed="rId971"/>
                    <a:stretch>
                      <a:fillRect/>
                    </a:stretch>
                  </pic:blipFill>
                  <pic:spPr>
                    <a:xfrm rot="0">
                      <a:off x="0" y="0"/>
                      <a:ext cx="8753475" cy="4498339"/>
                    </a:xfrm>
                    <a:prstGeom prst="rect">
                      <a:avLst/>
                    </a:prstGeom>
                  </pic:spPr>
                </pic:pic>
              </a:graphicData>
            </a:graphic>
          </wp:anchor>
        </w:drawing>
      </w:r>
      <w:r>
        <w:rPr>
          <w:sz w:val="18"/>
          <w:szCs w:val="18"/>
          <w:spacing w:val="-4"/>
        </w:rPr>
        <w:t>中国疾病预防控</w:t>
      </w:r>
      <w:r>
        <w:rPr>
          <w:sz w:val="18"/>
          <w:szCs w:val="18"/>
          <w:spacing w:val="-2"/>
        </w:rPr>
        <w:t>制中心</w:t>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ict>
          <v:shape id="_x0000_s108" style="position:absolute;margin-left:54.6pt;margin-top:5.02167pt;mso-position-vertical-relative:text;mso-position-horizontal-relative:text;width:12.5pt;height:177.25pt;z-index:253440000;" filled="false" stroked="false" type="#_x0000_t202">
            <v:fill on="false"/>
            <v:stroke on="false"/>
            <v:path/>
            <v:imagedata o:title=""/>
            <o:lock v:ext="edit" aspectratio="false"/>
            <v:textbox inset="0mm,0mm,0mm,0mm" style="layout-flow:vertical-ideographic;">
              <w:txbxContent>
                <w:p>
                  <w:pPr>
                    <w:pStyle w:val="BodyText"/>
                    <w:ind w:left="20"/>
                    <w:spacing w:before="19" w:line="209" w:lineRule="auto"/>
                    <w:rPr>
                      <w:sz w:val="18"/>
                      <w:szCs w:val="18"/>
                    </w:rPr>
                  </w:pPr>
                  <w:r>
                    <w:rPr>
                      <w:sz w:val="18"/>
                      <w:szCs w:val="18"/>
                      <w:spacing w:val="4"/>
                    </w:rPr>
                    <w:t>突发公共卫生事件网络直报系统（互联网）</w:t>
                  </w:r>
                </w:p>
              </w:txbxContent>
            </v:textbox>
          </v:shape>
        </w:pict>
      </w:r>
      <w:r/>
    </w:p>
    <w:p>
      <w:pPr>
        <w:pStyle w:val="BodyText"/>
        <w:ind w:left="4193" w:right="8706" w:hanging="234"/>
        <w:spacing w:before="58" w:line="278" w:lineRule="auto"/>
        <w:rPr>
          <w:sz w:val="18"/>
          <w:szCs w:val="18"/>
        </w:rPr>
      </w:pPr>
      <w:r>
        <w:pict>
          <v:shape id="_x0000_s110" style="position:absolute;margin-left:358.674pt;margin-top:1.97263pt;mso-position-vertical-relative:text;mso-position-horizontal-relative:text;width:46.9pt;height:25.75pt;z-index:253443072;" filled="false" stroked="false" type="#_x0000_t202">
            <v:fill on="false"/>
            <v:stroke on="false"/>
            <v:path/>
            <v:imagedata o:title=""/>
            <o:lock v:ext="edit" aspectratio="false"/>
            <v:textbox inset="0mm,0mm,0mm,0mm">
              <w:txbxContent>
                <w:p>
                  <w:pPr>
                    <w:pStyle w:val="BodyText"/>
                    <w:ind w:left="20" w:right="20" w:firstLine="35"/>
                    <w:spacing w:before="19" w:line="254" w:lineRule="auto"/>
                    <w:rPr>
                      <w:sz w:val="18"/>
                      <w:szCs w:val="18"/>
                    </w:rPr>
                  </w:pPr>
                  <w:r>
                    <w:rPr>
                      <w:sz w:val="18"/>
                      <w:szCs w:val="18"/>
                      <w:spacing w:val="-8"/>
                    </w:rPr>
                    <w:t>自治区卫生</w:t>
                  </w:r>
                  <w:r>
                    <w:rPr>
                      <w:sz w:val="18"/>
                      <w:szCs w:val="18"/>
                      <w:spacing w:val="-1"/>
                    </w:rPr>
                    <w:t>健康委员会</w:t>
                  </w:r>
                </w:p>
              </w:txbxContent>
            </v:textbox>
          </v:shape>
        </w:pict>
      </w:r>
      <w:r>
        <w:pict>
          <v:shape id="_x0000_s112" style="position:absolute;margin-left:524.394pt;margin-top:1.97263pt;mso-position-vertical-relative:text;mso-position-horizontal-relative:text;width:37.9pt;height:25.65pt;z-index:253446144;" filled="false" stroked="false" type="#_x0000_t202">
            <v:fill on="false"/>
            <v:stroke on="false"/>
            <v:path/>
            <v:imagedata o:title=""/>
            <o:lock v:ext="edit" aspectratio="false"/>
            <v:textbox inset="0mm,0mm,0mm,0mm">
              <w:txbxContent>
                <w:p>
                  <w:pPr>
                    <w:pStyle w:val="BodyText"/>
                    <w:ind w:left="20" w:right="20" w:firstLine="126"/>
                    <w:spacing w:before="19" w:line="253" w:lineRule="auto"/>
                    <w:rPr>
                      <w:sz w:val="18"/>
                      <w:szCs w:val="18"/>
                    </w:rPr>
                  </w:pPr>
                  <w:r>
                    <w:rPr>
                      <w:sz w:val="18"/>
                      <w:szCs w:val="18"/>
                      <w:spacing w:val="-13"/>
                    </w:rPr>
                    <w:t>自治区</w:t>
                  </w:r>
                  <w:r>
                    <w:rPr>
                      <w:sz w:val="18"/>
                      <w:szCs w:val="18"/>
                      <w:spacing w:val="-1"/>
                    </w:rPr>
                    <w:t>人民政府</w:t>
                  </w:r>
                </w:p>
              </w:txbxContent>
            </v:textbox>
          </v:shape>
        </w:pict>
      </w:r>
      <w:r>
        <w:rPr>
          <w:sz w:val="18"/>
          <w:szCs w:val="18"/>
          <w:spacing w:val="-6"/>
        </w:rPr>
        <w:t>自治区疾病预防</w:t>
      </w:r>
      <w:r>
        <w:rPr>
          <w:sz w:val="18"/>
          <w:szCs w:val="18"/>
          <w:spacing w:val="-2"/>
        </w:rPr>
        <w:t>控制中心</w:t>
      </w:r>
    </w:p>
    <w:p>
      <w:pPr>
        <w:spacing w:line="476" w:lineRule="auto"/>
        <w:rPr>
          <w:rFonts w:ascii="Arial"/>
          <w:sz w:val="21"/>
        </w:rPr>
      </w:pPr>
      <w:r/>
    </w:p>
    <w:p>
      <w:pPr>
        <w:pStyle w:val="BodyText"/>
        <w:ind w:left="3706"/>
        <w:spacing w:before="58" w:line="211" w:lineRule="auto"/>
        <w:rPr>
          <w:sz w:val="18"/>
          <w:szCs w:val="18"/>
        </w:rPr>
      </w:pPr>
      <w:r>
        <w:rPr>
          <w:sz w:val="18"/>
          <w:szCs w:val="18"/>
          <w:spacing w:val="-1"/>
        </w:rPr>
        <w:t>逐级核实确认</w:t>
      </w:r>
    </w:p>
    <w:p>
      <w:pPr>
        <w:spacing w:line="452" w:lineRule="auto"/>
        <w:rPr>
          <w:rFonts w:ascii="Arial"/>
          <w:sz w:val="21"/>
        </w:rPr>
      </w:pPr>
      <w:r>
        <w:pict>
          <v:shape id="_x0000_s114" style="position:absolute;margin-left:667.539pt;margin-top:11.8522pt;mso-position-vertical-relative:text;mso-position-horizontal-relative:text;width:12.4pt;height:47pt;z-index:253449216;" filled="false" stroked="false" type="#_x0000_t202">
            <v:fill on="false"/>
            <v:stroke on="false"/>
            <v:path/>
            <v:imagedata o:title=""/>
            <o:lock v:ext="edit" aspectratio="false"/>
            <v:textbox inset="0mm,0mm,0mm,0mm" style="layout-flow:vertical-ideographic;">
              <w:txbxContent>
                <w:p>
                  <w:pPr>
                    <w:pStyle w:val="BodyText"/>
                    <w:ind w:left="20"/>
                    <w:spacing w:before="19" w:line="207" w:lineRule="auto"/>
                    <w:rPr>
                      <w:sz w:val="18"/>
                      <w:szCs w:val="18"/>
                    </w:rPr>
                  </w:pPr>
                  <w:r>
                    <w:rPr>
                      <w:sz w:val="18"/>
                      <w:szCs w:val="18"/>
                    </w:rPr>
                    <w:t>可直接上报</w:t>
                  </w:r>
                </w:p>
              </w:txbxContent>
            </v:textbox>
          </v:shape>
        </w:pict>
      </w:r>
      <w:r/>
    </w:p>
    <w:p>
      <w:pPr>
        <w:pStyle w:val="BodyText"/>
        <w:ind w:left="10421"/>
        <w:spacing w:before="59" w:line="210" w:lineRule="auto"/>
        <w:rPr>
          <w:sz w:val="18"/>
          <w:szCs w:val="18"/>
        </w:rPr>
      </w:pPr>
      <w:r>
        <w:pict>
          <v:shape id="_x0000_s116" style="position:absolute;margin-left:204.333pt;margin-top:1.95286pt;mso-position-vertical-relative:text;mso-position-horizontal-relative:text;width:46.8pt;height:25.75pt;z-index:253445120;" filled="false" stroked="false" type="#_x0000_t202">
            <v:fill on="false"/>
            <v:stroke on="false"/>
            <v:path/>
            <v:imagedata o:title=""/>
            <o:lock v:ext="edit" aspectratio="false"/>
            <v:textbox inset="0mm,0mm,0mm,0mm">
              <w:txbxContent>
                <w:p>
                  <w:pPr>
                    <w:pStyle w:val="BodyText"/>
                    <w:ind w:left="108" w:right="20" w:hanging="88"/>
                    <w:spacing w:before="19" w:line="254" w:lineRule="auto"/>
                    <w:rPr>
                      <w:sz w:val="18"/>
                      <w:szCs w:val="18"/>
                    </w:rPr>
                  </w:pPr>
                  <w:r>
                    <w:rPr>
                      <w:sz w:val="18"/>
                      <w:szCs w:val="18"/>
                      <w:spacing w:val="-1"/>
                    </w:rPr>
                    <w:t>市疾病预防</w:t>
                  </w:r>
                  <w:r>
                    <w:rPr>
                      <w:sz w:val="18"/>
                      <w:szCs w:val="18"/>
                      <w:spacing w:val="-2"/>
                    </w:rPr>
                    <w:t>控制中心</w:t>
                  </w:r>
                </w:p>
              </w:txbxContent>
            </v:textbox>
          </v:shape>
        </w:pict>
      </w:r>
      <w:r>
        <w:pict>
          <v:shape id="_x0000_s118" style="position:absolute;margin-left:358.773pt;margin-top:1.87187pt;mso-position-vertical-relative:text;mso-position-horizontal-relative:text;width:46.8pt;height:25.7pt;z-index:253444096;" filled="false" stroked="false" type="#_x0000_t202">
            <v:fill on="false"/>
            <v:stroke on="false"/>
            <v:path/>
            <v:imagedata o:title=""/>
            <o:lock v:ext="edit" aspectratio="false"/>
            <v:textbox inset="0mm,0mm,0mm,0mm">
              <w:txbxContent>
                <w:p>
                  <w:pPr>
                    <w:pStyle w:val="BodyText"/>
                    <w:ind w:left="200" w:right="20" w:hanging="180"/>
                    <w:spacing w:before="20" w:line="253" w:lineRule="auto"/>
                    <w:rPr>
                      <w:sz w:val="18"/>
                      <w:szCs w:val="18"/>
                    </w:rPr>
                  </w:pPr>
                  <w:r>
                    <w:rPr>
                      <w:sz w:val="18"/>
                      <w:szCs w:val="18"/>
                      <w:spacing w:val="-1"/>
                    </w:rPr>
                    <w:t>市卫生健康</w:t>
                  </w:r>
                  <w:r>
                    <w:rPr>
                      <w:sz w:val="18"/>
                      <w:szCs w:val="18"/>
                      <w:spacing w:val="-2"/>
                    </w:rPr>
                    <w:t>委员会</w:t>
                  </w:r>
                </w:p>
              </w:txbxContent>
            </v:textbox>
          </v:shape>
        </w:pict>
      </w:r>
      <w:r>
        <w:rPr>
          <w:sz w:val="18"/>
          <w:szCs w:val="18"/>
          <w:spacing w:val="-1"/>
        </w:rPr>
        <w:t>市人民政府</w:t>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pStyle w:val="BodyText"/>
        <w:ind w:left="10507" w:right="2569" w:hanging="88"/>
        <w:spacing w:before="58" w:line="264" w:lineRule="auto"/>
        <w:rPr>
          <w:sz w:val="18"/>
          <w:szCs w:val="18"/>
        </w:rPr>
      </w:pPr>
      <w:r>
        <w:pict>
          <v:shape id="_x0000_s120" style="position:absolute;margin-left:190.893pt;margin-top:1.94179pt;mso-position-vertical-relative:text;mso-position-horizontal-relative:text;width:73.55pt;height:26pt;z-index:253438976;" filled="false" stroked="false" type="#_x0000_t202">
            <v:fill on="false"/>
            <v:stroke on="false"/>
            <v:path/>
            <v:imagedata o:title=""/>
            <o:lock v:ext="edit" aspectratio="false"/>
            <v:textbox inset="0mm,0mm,0mm,0mm">
              <w:txbxContent>
                <w:p>
                  <w:pPr>
                    <w:pStyle w:val="BodyText"/>
                    <w:ind w:left="375" w:right="20" w:hanging="356"/>
                    <w:spacing w:before="19" w:line="256" w:lineRule="auto"/>
                    <w:rPr>
                      <w:sz w:val="18"/>
                      <w:szCs w:val="18"/>
                    </w:rPr>
                  </w:pPr>
                  <w:r>
                    <w:rPr>
                      <w:sz w:val="18"/>
                      <w:szCs w:val="18"/>
                      <w:spacing w:val="-7"/>
                    </w:rPr>
                    <w:t>县（</w:t>
                  </w:r>
                  <w:r>
                    <w:rPr>
                      <w:sz w:val="18"/>
                      <w:szCs w:val="18"/>
                      <w:spacing w:val="-45"/>
                    </w:rPr>
                    <w:t xml:space="preserve"> </w:t>
                  </w:r>
                  <w:r>
                    <w:rPr>
                      <w:sz w:val="18"/>
                      <w:szCs w:val="18"/>
                      <w:spacing w:val="-7"/>
                    </w:rPr>
                    <w:t>区）疾病预防</w:t>
                  </w:r>
                  <w:r>
                    <w:rPr>
                      <w:sz w:val="18"/>
                      <w:szCs w:val="18"/>
                      <w:spacing w:val="-2"/>
                    </w:rPr>
                    <w:t>控制中心</w:t>
                  </w:r>
                </w:p>
              </w:txbxContent>
            </v:textbox>
          </v:shape>
        </w:pict>
      </w:r>
      <w:r>
        <w:pict>
          <v:shape id="_x0000_s122" style="position:absolute;margin-left:349.773pt;margin-top:15.3818pt;mso-position-vertical-relative:text;mso-position-horizontal-relative:text;width:64.8pt;height:14.15pt;z-index:253447168;" filled="false" stroked="false" type="#_x0000_t202">
            <v:fill on="false"/>
            <v:stroke on="false"/>
            <v:path/>
            <v:imagedata o:title=""/>
            <o:lock v:ext="edit" aspectratio="false"/>
            <v:textbox inset="0mm,0mm,0mm,0mm">
              <w:txbxContent>
                <w:p>
                  <w:pPr>
                    <w:pStyle w:val="BodyText"/>
                    <w:ind w:left="20"/>
                    <w:spacing w:before="20" w:line="242" w:lineRule="exact"/>
                    <w:rPr>
                      <w:sz w:val="18"/>
                      <w:szCs w:val="18"/>
                    </w:rPr>
                  </w:pPr>
                  <w:r>
                    <w:rPr>
                      <w:sz w:val="18"/>
                      <w:szCs w:val="18"/>
                      <w:spacing w:val="-7"/>
                      <w:position w:val="1"/>
                    </w:rPr>
                    <w:t>县（</w:t>
                  </w:r>
                  <w:r>
                    <w:rPr>
                      <w:sz w:val="18"/>
                      <w:szCs w:val="18"/>
                      <w:spacing w:val="-47"/>
                      <w:position w:val="1"/>
                    </w:rPr>
                    <w:t xml:space="preserve"> </w:t>
                  </w:r>
                  <w:r>
                    <w:rPr>
                      <w:sz w:val="18"/>
                      <w:szCs w:val="18"/>
                      <w:spacing w:val="-7"/>
                      <w:position w:val="1"/>
                    </w:rPr>
                    <w:t>区）卫健局</w:t>
                  </w:r>
                </w:p>
              </w:txbxContent>
            </v:textbox>
          </v:shape>
        </w:pict>
      </w:r>
      <w:r>
        <w:rPr>
          <w:sz w:val="18"/>
          <w:szCs w:val="18"/>
          <w:spacing w:val="-9"/>
        </w:rPr>
        <w:t>各县（</w:t>
      </w:r>
      <w:r>
        <w:rPr>
          <w:sz w:val="18"/>
          <w:szCs w:val="18"/>
          <w:spacing w:val="-47"/>
        </w:rPr>
        <w:t xml:space="preserve"> </w:t>
      </w:r>
      <w:r>
        <w:rPr>
          <w:sz w:val="18"/>
          <w:szCs w:val="18"/>
          <w:spacing w:val="-9"/>
        </w:rPr>
        <w:t>区）</w:t>
      </w:r>
      <w:r>
        <w:rPr>
          <w:sz w:val="18"/>
          <w:szCs w:val="18"/>
          <w:spacing w:val="-1"/>
        </w:rPr>
        <w:t>人民政府</w:t>
      </w:r>
    </w:p>
    <w:p>
      <w:pPr>
        <w:spacing w:line="340" w:lineRule="auto"/>
        <w:rPr>
          <w:rFonts w:ascii="Arial"/>
          <w:sz w:val="21"/>
        </w:rPr>
      </w:pPr>
      <w:r/>
    </w:p>
    <w:p>
      <w:pPr>
        <w:spacing w:line="340" w:lineRule="auto"/>
        <w:rPr>
          <w:rFonts w:ascii="Arial"/>
          <w:sz w:val="21"/>
        </w:rPr>
      </w:pPr>
      <w:r/>
    </w:p>
    <w:p>
      <w:pPr>
        <w:pStyle w:val="BodyText"/>
        <w:ind w:left="595" w:right="11857" w:firstLine="6"/>
        <w:spacing w:before="60" w:line="264" w:lineRule="auto"/>
        <w:rPr>
          <w:sz w:val="18"/>
          <w:szCs w:val="18"/>
        </w:rPr>
      </w:pPr>
      <w:r>
        <w:pict>
          <v:shape id="_x0000_s124" style="position:absolute;margin-left:221.187pt;margin-top:2.80861pt;mso-position-vertical-relative:text;mso-position-horizontal-relative:text;width:55pt;height:25.9pt;z-index:253442048;" filled="false" stroked="false" type="#_x0000_t202">
            <v:fill on="false"/>
            <v:stroke on="false"/>
            <v:path/>
            <v:imagedata o:title=""/>
            <o:lock v:ext="edit" aspectratio="false"/>
            <v:textbox inset="0mm,0mm,0mm,0mm">
              <w:txbxContent>
                <w:p>
                  <w:pPr>
                    <w:pStyle w:val="BodyText"/>
                    <w:ind w:left="182" w:right="20" w:hanging="162"/>
                    <w:spacing w:before="20" w:line="255" w:lineRule="auto"/>
                    <w:rPr>
                      <w:sz w:val="18"/>
                      <w:szCs w:val="18"/>
                    </w:rPr>
                  </w:pPr>
                  <w:r>
                    <w:rPr>
                      <w:sz w:val="18"/>
                      <w:szCs w:val="18"/>
                      <w:spacing w:val="-4"/>
                    </w:rPr>
                    <w:t>电话、传真等</w:t>
                  </w:r>
                  <w:r>
                    <w:rPr>
                      <w:sz w:val="18"/>
                      <w:szCs w:val="18"/>
                      <w:spacing w:val="-1"/>
                    </w:rPr>
                    <w:t>其他方式</w:t>
                  </w:r>
                </w:p>
              </w:txbxContent>
            </v:textbox>
          </v:shape>
        </w:pict>
      </w:r>
      <w:r>
        <w:rPr>
          <w:sz w:val="18"/>
          <w:szCs w:val="18"/>
          <w:spacing w:val="-2"/>
        </w:rPr>
        <w:t>乡（镇）卫生院、</w:t>
      </w:r>
      <w:r>
        <w:rPr>
          <w:sz w:val="18"/>
          <w:szCs w:val="18"/>
          <w:spacing w:val="-1"/>
        </w:rPr>
        <w:t>县级以上医疗机构</w:t>
      </w:r>
    </w:p>
    <w:p>
      <w:pPr>
        <w:spacing w:line="264" w:lineRule="auto"/>
        <w:sectPr>
          <w:headerReference w:type="default" r:id="rId968"/>
          <w:footerReference w:type="default" r:id="rId969"/>
          <w:pgSz w:w="16839" w:h="11906"/>
          <w:pgMar w:top="1772" w:right="1382" w:bottom="1585" w:left="1567" w:header="1428" w:footer="1172" w:gutter="0"/>
        </w:sectPr>
        <w:rPr>
          <w:sz w:val="18"/>
          <w:szCs w:val="18"/>
        </w:rPr>
      </w:pPr>
    </w:p>
    <w:p>
      <w:pPr>
        <w:spacing w:line="333" w:lineRule="auto"/>
        <w:rPr>
          <w:rFonts w:ascii="Arial"/>
          <w:sz w:val="21"/>
        </w:rPr>
      </w:pPr>
      <w:r>
        <w:drawing>
          <wp:anchor distT="0" distB="0" distL="0" distR="0" simplePos="0" relativeHeight="253451264" behindDoc="0" locked="0" layoutInCell="1" allowOverlap="1">
            <wp:simplePos x="0" y="0"/>
            <wp:positionH relativeFrom="column">
              <wp:posOffset>36194</wp:posOffset>
            </wp:positionH>
            <wp:positionV relativeFrom="paragraph">
              <wp:posOffset>26089</wp:posOffset>
            </wp:positionV>
            <wp:extent cx="5579745" cy="7620"/>
            <wp:effectExtent l="0" t="0" r="0" b="0"/>
            <wp:wrapNone/>
            <wp:docPr id="1944" name="IM 1944"/>
            <wp:cNvGraphicFramePr/>
            <a:graphic>
              <a:graphicData uri="http://schemas.openxmlformats.org/drawingml/2006/picture">
                <pic:pic>
                  <pic:nvPicPr>
                    <pic:cNvPr id="1944" name="IM 1944"/>
                    <pic:cNvPicPr/>
                  </pic:nvPicPr>
                  <pic:blipFill>
                    <a:blip r:embed="rId974"/>
                    <a:stretch>
                      <a:fillRect/>
                    </a:stretch>
                  </pic:blipFill>
                  <pic:spPr>
                    <a:xfrm rot="0">
                      <a:off x="0" y="0"/>
                      <a:ext cx="5579745" cy="7620"/>
                    </a:xfrm>
                    <a:prstGeom prst="rect">
                      <a:avLst/>
                    </a:prstGeom>
                  </pic:spPr>
                </pic:pic>
              </a:graphicData>
            </a:graphic>
          </wp:anchor>
        </w:drawing>
      </w:r>
      <w:r/>
    </w:p>
    <w:p>
      <w:pPr>
        <w:spacing w:line="334" w:lineRule="auto"/>
        <w:rPr>
          <w:rFonts w:ascii="Arial"/>
          <w:sz w:val="21"/>
        </w:rPr>
      </w:pPr>
      <w:r/>
    </w:p>
    <w:p>
      <w:pPr>
        <w:ind w:left="1149"/>
        <w:spacing w:before="185" w:line="215"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8"/>
        </w:rPr>
        <w:t>固原市突发中毒事件卫生应急预案</w:t>
      </w:r>
    </w:p>
    <w:p>
      <w:pPr>
        <w:spacing w:before="23"/>
        <w:rPr/>
      </w:pPr>
      <w:r/>
    </w:p>
    <w:p>
      <w:pPr>
        <w:spacing w:before="22"/>
        <w:rPr/>
      </w:pPr>
      <w:r/>
    </w:p>
    <w:p>
      <w:pPr>
        <w:sectPr>
          <w:headerReference w:type="default" r:id="rId972"/>
          <w:footerReference w:type="default" r:id="rId973"/>
          <w:pgSz w:w="11906" w:h="16839"/>
          <w:pgMar w:top="1766" w:right="1521" w:bottom="1575" w:left="1531" w:header="1428" w:footer="1172" w:gutter="0"/>
          <w:cols w:equalWidth="0" w:num="1">
            <w:col w:w="8854" w:space="0"/>
          </w:cols>
        </w:sectPr>
        <w:rPr/>
      </w:pPr>
    </w:p>
    <w:p>
      <w:pPr>
        <w:ind w:left="498"/>
        <w:spacing w:before="48"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1</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7"/>
        </w:rPr>
        <w:t>总则</w:t>
      </w:r>
    </w:p>
    <w:p>
      <w:pPr>
        <w:pStyle w:val="BodyText"/>
        <w:ind w:left="61" w:right="329" w:firstLine="440"/>
        <w:spacing w:before="115" w:line="361" w:lineRule="auto"/>
        <w:rPr/>
      </w:pPr>
      <w:r>
        <w:rPr>
          <w:rFonts w:ascii="Times New Roman" w:hAnsi="Times New Roman" w:eastAsia="Times New Roman" w:cs="Times New Roman"/>
          <w:spacing w:val="3"/>
        </w:rPr>
        <w:t>1.</w:t>
      </w:r>
      <w:r>
        <w:rPr>
          <w:rFonts w:ascii="Times New Roman" w:hAnsi="Times New Roman" w:eastAsia="Times New Roman" w:cs="Times New Roman"/>
          <w:spacing w:val="-9"/>
        </w:rPr>
        <w:t xml:space="preserve"> </w:t>
      </w:r>
      <w:r>
        <w:rPr>
          <w:rFonts w:ascii="Times New Roman" w:hAnsi="Times New Roman" w:eastAsia="Times New Roman" w:cs="Times New Roman"/>
          <w:spacing w:val="3"/>
        </w:rPr>
        <w:t>1  </w:t>
      </w:r>
      <w:r>
        <w:rPr>
          <w:rFonts w:ascii="KaiTi" w:hAnsi="KaiTi" w:eastAsia="KaiTi" w:cs="KaiTi"/>
          <w:spacing w:val="3"/>
        </w:rPr>
        <w:t>编制</w:t>
      </w:r>
      <w:r>
        <w:rPr>
          <w:rFonts w:ascii="KaiTi" w:hAnsi="KaiTi" w:eastAsia="KaiTi" w:cs="KaiTi"/>
          <w:spacing w:val="-50"/>
        </w:rPr>
        <w:t xml:space="preserve"> </w:t>
      </w:r>
      <w:r>
        <w:rPr>
          <w:rFonts w:ascii="KaiTi" w:hAnsi="KaiTi" w:eastAsia="KaiTi" w:cs="KaiTi"/>
          <w:spacing w:val="3"/>
        </w:rPr>
        <w:t>目的。</w:t>
      </w:r>
      <w:r>
        <w:rPr>
          <w:spacing w:val="3"/>
        </w:rPr>
        <w:t>在我市范围内发生突发中</w:t>
      </w:r>
      <w:r>
        <w:rPr>
          <w:spacing w:val="7"/>
        </w:rPr>
        <w:t>毒事件后，能够迅速、高效、有序地进行各项</w:t>
      </w:r>
      <w:r>
        <w:rPr>
          <w:spacing w:val="7"/>
        </w:rPr>
        <w:t>卫生应急工作，提高我市卫生健康部门应对突</w:t>
      </w:r>
      <w:r>
        <w:rPr>
          <w:spacing w:val="7"/>
        </w:rPr>
        <w:t>发中毒事件卫生应急救援的处置水平，最大程</w:t>
      </w:r>
      <w:r>
        <w:rPr>
          <w:spacing w:val="7"/>
        </w:rPr>
        <w:t>度减少人员伤亡和健康损害，保障人民群众身</w:t>
      </w:r>
      <w:r>
        <w:rPr>
          <w:spacing w:val="9"/>
        </w:rPr>
        <w:t>体健康和生命安全，维护我市社会稳定。</w:t>
      </w:r>
    </w:p>
    <w:p>
      <w:pPr>
        <w:pStyle w:val="BodyText"/>
        <w:ind w:left="61" w:right="329" w:firstLine="441"/>
        <w:spacing w:before="178" w:line="371" w:lineRule="auto"/>
        <w:rPr/>
      </w:pPr>
      <w:r>
        <w:rPr>
          <w:rFonts w:ascii="Times New Roman" w:hAnsi="Times New Roman" w:eastAsia="Times New Roman" w:cs="Times New Roman"/>
          <w:spacing w:val="7"/>
        </w:rPr>
        <w:t>1.2  </w:t>
      </w:r>
      <w:r>
        <w:rPr>
          <w:rFonts w:ascii="KaiTi" w:hAnsi="KaiTi" w:eastAsia="KaiTi" w:cs="KaiTi"/>
          <w:spacing w:val="7"/>
        </w:rPr>
        <w:t>编制依据。</w:t>
      </w:r>
      <w:r>
        <w:rPr>
          <w:spacing w:val="7"/>
        </w:rPr>
        <w:t>《中华人民共和国突发事</w:t>
      </w:r>
      <w:r>
        <w:rPr>
          <w:spacing w:val="7"/>
        </w:rPr>
        <w:t>件应对法》《生产安全事故应急条例》《中华</w:t>
      </w:r>
      <w:r>
        <w:rPr>
          <w:spacing w:val="7"/>
        </w:rPr>
        <w:t>人民共和国食品安全法》《突发公共卫生事件</w:t>
      </w:r>
      <w:r>
        <w:rPr>
          <w:spacing w:val="7"/>
        </w:rPr>
        <w:t>应急条例》《危险化学品安全管理条例》《中</w:t>
      </w:r>
      <w:r>
        <w:rPr>
          <w:spacing w:val="7"/>
        </w:rPr>
        <w:t>华人民共和国食品安全法实施条例》《卫生部</w:t>
      </w:r>
      <w:r>
        <w:rPr>
          <w:spacing w:val="7"/>
        </w:rPr>
        <w:t>突发中毒事件卫生应急预案》《生产安全事故</w:t>
      </w:r>
      <w:r>
        <w:rPr>
          <w:spacing w:val="7"/>
        </w:rPr>
        <w:t>应急预案管理办法》《固原市突发事件总体应</w:t>
      </w:r>
      <w:r>
        <w:rPr>
          <w:spacing w:val="7"/>
        </w:rPr>
        <w:t>急预案》等。</w:t>
      </w:r>
    </w:p>
    <w:p>
      <w:pPr>
        <w:pStyle w:val="BodyText"/>
        <w:ind w:left="61" w:right="329" w:firstLine="441"/>
        <w:spacing w:before="141" w:line="347" w:lineRule="auto"/>
        <w:rPr/>
      </w:pPr>
      <w:r>
        <w:rPr>
          <w:rFonts w:ascii="Times New Roman" w:hAnsi="Times New Roman" w:eastAsia="Times New Roman" w:cs="Times New Roman"/>
          <w:spacing w:val="7"/>
        </w:rPr>
        <w:t>1.3  </w:t>
      </w:r>
      <w:r>
        <w:rPr>
          <w:rFonts w:ascii="KaiTi" w:hAnsi="KaiTi" w:eastAsia="KaiTi" w:cs="KaiTi"/>
          <w:spacing w:val="7"/>
        </w:rPr>
        <w:t>适用范围。</w:t>
      </w:r>
      <w:r>
        <w:rPr>
          <w:spacing w:val="7"/>
        </w:rPr>
        <w:t>主要适用于食品、安全生</w:t>
      </w:r>
      <w:r>
        <w:rPr>
          <w:spacing w:val="18"/>
        </w:rPr>
        <w:t>产、环境等各类突发中毒事件的卫生应急工</w:t>
      </w:r>
      <w:r>
        <w:rPr>
          <w:spacing w:val="7"/>
        </w:rPr>
        <w:t>作。致病微生物引起的感染性和传染性疾病按</w:t>
      </w:r>
      <w:r>
        <w:rPr>
          <w:spacing w:val="7"/>
        </w:rPr>
        <w:t>相关预案处置。</w:t>
      </w:r>
    </w:p>
    <w:p>
      <w:pPr>
        <w:pStyle w:val="BodyText"/>
        <w:ind w:left="62" w:right="329" w:firstLine="439"/>
        <w:spacing w:before="177" w:line="334" w:lineRule="auto"/>
        <w:rPr/>
      </w:pPr>
      <w:r>
        <w:rPr>
          <w:rFonts w:ascii="Times New Roman" w:hAnsi="Times New Roman" w:eastAsia="Times New Roman" w:cs="Times New Roman"/>
          <w:spacing w:val="7"/>
        </w:rPr>
        <w:t>1.4  </w:t>
      </w:r>
      <w:r>
        <w:rPr>
          <w:rFonts w:ascii="KaiTi" w:hAnsi="KaiTi" w:eastAsia="KaiTi" w:cs="KaiTi"/>
          <w:spacing w:val="7"/>
        </w:rPr>
        <w:t>工作原则。</w:t>
      </w:r>
      <w:r>
        <w:rPr>
          <w:spacing w:val="7"/>
        </w:rPr>
        <w:t>以人为本，有效处置；统</w:t>
      </w:r>
      <w:r>
        <w:rPr>
          <w:spacing w:val="7"/>
        </w:rPr>
        <w:t>一领导，分工协作；信息共享，快速响应；加</w:t>
      </w:r>
      <w:r>
        <w:rPr>
          <w:spacing w:val="8"/>
        </w:rPr>
        <w:t>强管理，强化保障。</w:t>
      </w:r>
    </w:p>
    <w:p>
      <w:pPr>
        <w:pStyle w:val="BodyText"/>
        <w:ind w:left="60" w:right="209" w:firstLine="441"/>
        <w:spacing w:before="177" w:line="354" w:lineRule="auto"/>
        <w:rPr/>
      </w:pPr>
      <w:r>
        <w:rPr>
          <w:rFonts w:ascii="Times New Roman" w:hAnsi="Times New Roman" w:eastAsia="Times New Roman" w:cs="Times New Roman"/>
          <w:spacing w:val="7"/>
        </w:rPr>
        <w:t>1.5  </w:t>
      </w:r>
      <w:r>
        <w:rPr>
          <w:rFonts w:ascii="KaiTi" w:hAnsi="KaiTi" w:eastAsia="KaiTi" w:cs="KaiTi"/>
          <w:spacing w:val="7"/>
        </w:rPr>
        <w:t>事件分级。</w:t>
      </w:r>
      <w:r>
        <w:rPr>
          <w:spacing w:val="7"/>
        </w:rPr>
        <w:t>根据突发中毒事件危害程</w:t>
      </w:r>
      <w:r>
        <w:rPr>
          <w:spacing w:val="7"/>
        </w:rPr>
        <w:t>度和涉及范围等因素，将突发中毒事件分为特</w:t>
      </w:r>
      <w:r>
        <w:rPr>
          <w:spacing w:val="5"/>
        </w:rPr>
        <w:t>别重大（</w:t>
      </w:r>
      <w:r>
        <w:rPr>
          <w:rFonts w:ascii="Times New Roman" w:hAnsi="Times New Roman" w:eastAsia="Times New Roman" w:cs="Times New Roman"/>
          <w:spacing w:val="5"/>
        </w:rPr>
        <w:t>I </w:t>
      </w:r>
      <w:r>
        <w:rPr>
          <w:spacing w:val="5"/>
        </w:rPr>
        <w:t>级）、重大（</w:t>
      </w:r>
      <w:r>
        <w:rPr>
          <w:rFonts w:ascii="Times New Roman" w:hAnsi="Times New Roman" w:eastAsia="Times New Roman" w:cs="Times New Roman"/>
        </w:rPr>
        <w:t>II</w:t>
      </w:r>
      <w:r>
        <w:rPr>
          <w:rFonts w:ascii="Times New Roman" w:hAnsi="Times New Roman" w:eastAsia="Times New Roman" w:cs="Times New Roman"/>
          <w:spacing w:val="5"/>
        </w:rPr>
        <w:t xml:space="preserve"> </w:t>
      </w:r>
      <w:r>
        <w:rPr>
          <w:spacing w:val="5"/>
        </w:rPr>
        <w:t>级）、较大（</w:t>
      </w:r>
      <w:r>
        <w:rPr>
          <w:rFonts w:ascii="Times New Roman" w:hAnsi="Times New Roman" w:eastAsia="Times New Roman" w:cs="Times New Roman"/>
        </w:rPr>
        <w:t>III</w:t>
      </w:r>
      <w:r>
        <w:rPr>
          <w:rFonts w:ascii="Times New Roman" w:hAnsi="Times New Roman" w:eastAsia="Times New Roman" w:cs="Times New Roman"/>
          <w:spacing w:val="5"/>
        </w:rPr>
        <w:t xml:space="preserve"> </w:t>
      </w:r>
      <w:r>
        <w:rPr>
          <w:spacing w:val="5"/>
        </w:rPr>
        <w:t>级）</w:t>
      </w:r>
      <w:r>
        <w:rPr>
          <w:spacing w:val="12"/>
        </w:rPr>
        <w:t>和一般（</w:t>
      </w:r>
      <w:r>
        <w:rPr>
          <w:spacing w:val="-43"/>
        </w:rPr>
        <w:t xml:space="preserve"> </w:t>
      </w:r>
      <w:r>
        <w:rPr>
          <w:rFonts w:ascii="Times New Roman" w:hAnsi="Times New Roman" w:eastAsia="Times New Roman" w:cs="Times New Roman"/>
        </w:rPr>
        <w:t>IV</w:t>
      </w:r>
      <w:r>
        <w:rPr>
          <w:rFonts w:ascii="Times New Roman" w:hAnsi="Times New Roman" w:eastAsia="Times New Roman" w:cs="Times New Roman"/>
          <w:spacing w:val="12"/>
        </w:rPr>
        <w:t xml:space="preserve"> </w:t>
      </w:r>
      <w:r>
        <w:rPr>
          <w:spacing w:val="12"/>
        </w:rPr>
        <w:t>级）突发中毒事件四级。食物中</w:t>
      </w:r>
      <w:r>
        <w:rPr>
          <w:spacing w:val="7"/>
        </w:rPr>
        <w:t>毒及急性职业中毒事件分级按照《卫生部突发</w:t>
      </w:r>
    </w:p>
    <w:p>
      <w:pPr>
        <w:spacing w:line="14" w:lineRule="auto"/>
        <w:rPr>
          <w:rFonts w:ascii="Arial"/>
          <w:sz w:val="2"/>
        </w:rPr>
      </w:pPr>
      <w:r>
        <w:rPr>
          <w:rFonts w:ascii="Arial" w:hAnsi="Arial" w:eastAsia="Arial" w:cs="Arial"/>
          <w:sz w:val="2"/>
          <w:szCs w:val="2"/>
        </w:rPr>
        <w:br w:type="column"/>
      </w:r>
    </w:p>
    <w:p>
      <w:pPr>
        <w:pStyle w:val="BodyText"/>
        <w:spacing w:before="55" w:line="277" w:lineRule="exact"/>
        <w:rPr/>
      </w:pPr>
      <w:r>
        <w:rPr>
          <w:spacing w:val="9"/>
          <w:position w:val="1"/>
        </w:rPr>
        <w:t>公共卫生事件应急预案》的分级标准执行。</w:t>
      </w:r>
    </w:p>
    <w:p>
      <w:pPr>
        <w:pStyle w:val="BodyText"/>
        <w:ind w:left="2" w:right="64" w:firstLine="439"/>
        <w:spacing w:before="141" w:line="387" w:lineRule="auto"/>
        <w:rPr/>
      </w:pPr>
      <w:r>
        <w:rPr>
          <w:rFonts w:ascii="Times New Roman" w:hAnsi="Times New Roman" w:eastAsia="Times New Roman" w:cs="Times New Roman"/>
          <w:spacing w:val="6"/>
        </w:rPr>
        <w:t>1.5.1 </w:t>
      </w:r>
      <w:r>
        <w:rPr>
          <w:spacing w:val="6"/>
        </w:rPr>
        <w:t>特别重大突发中毒事件（</w:t>
      </w:r>
      <w:r>
        <w:rPr>
          <w:rFonts w:ascii="Times New Roman" w:hAnsi="Times New Roman" w:eastAsia="Times New Roman" w:cs="Times New Roman"/>
          <w:spacing w:val="6"/>
        </w:rPr>
        <w:t>I </w:t>
      </w:r>
      <w:r>
        <w:rPr>
          <w:spacing w:val="6"/>
        </w:rPr>
        <w:t>级）。有</w:t>
      </w:r>
      <w:r>
        <w:rPr>
          <w:spacing w:val="9"/>
        </w:rPr>
        <w:t>下列情形之一的为特别重大突发中毒事件：</w:t>
      </w:r>
    </w:p>
    <w:p>
      <w:pPr>
        <w:pStyle w:val="BodyText"/>
        <w:ind w:right="66" w:firstLine="412"/>
        <w:spacing w:before="1" w:line="332" w:lineRule="auto"/>
        <w:rPr/>
      </w:pPr>
      <w:r>
        <w:rPr>
          <w:spacing w:val="-2"/>
        </w:rPr>
        <w:t>（</w:t>
      </w:r>
      <w:r>
        <w:rPr>
          <w:spacing w:val="-35"/>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21"/>
        </w:rPr>
        <w:t xml:space="preserve"> </w:t>
      </w:r>
      <w:r>
        <w:rPr>
          <w:spacing w:val="-2"/>
        </w:rPr>
        <w:t>）一起突发中毒事件，中毒人数在</w:t>
      </w:r>
      <w:r>
        <w:rPr>
          <w:spacing w:val="-20"/>
        </w:rPr>
        <w:t xml:space="preserve"> </w:t>
      </w:r>
      <w:r>
        <w:rPr>
          <w:rFonts w:ascii="Times New Roman" w:hAnsi="Times New Roman" w:eastAsia="Times New Roman" w:cs="Times New Roman"/>
          <w:spacing w:val="-2"/>
        </w:rPr>
        <w:t>100</w:t>
      </w:r>
      <w:r>
        <w:rPr>
          <w:spacing w:val="4"/>
        </w:rPr>
        <w:t>人及以上且死亡</w:t>
      </w:r>
      <w:r>
        <w:rPr>
          <w:spacing w:val="-8"/>
        </w:rPr>
        <w:t xml:space="preserve"> </w:t>
      </w:r>
      <w:r>
        <w:rPr>
          <w:rFonts w:ascii="Times New Roman" w:hAnsi="Times New Roman" w:eastAsia="Times New Roman" w:cs="Times New Roman"/>
          <w:spacing w:val="4"/>
        </w:rPr>
        <w:t>10 </w:t>
      </w:r>
      <w:r>
        <w:rPr>
          <w:spacing w:val="4"/>
        </w:rPr>
        <w:t>人及以上；或死亡</w:t>
      </w:r>
      <w:r>
        <w:rPr>
          <w:spacing w:val="-37"/>
        </w:rPr>
        <w:t xml:space="preserve"> </w:t>
      </w:r>
      <w:r>
        <w:rPr>
          <w:rFonts w:ascii="Times New Roman" w:hAnsi="Times New Roman" w:eastAsia="Times New Roman" w:cs="Times New Roman"/>
          <w:spacing w:val="4"/>
        </w:rPr>
        <w:t>30 </w:t>
      </w:r>
      <w:r>
        <w:rPr>
          <w:spacing w:val="4"/>
        </w:rPr>
        <w:t>人及</w:t>
      </w:r>
      <w:r>
        <w:rPr>
          <w:spacing w:val="4"/>
        </w:rPr>
        <w:t>以上。</w:t>
      </w:r>
    </w:p>
    <w:p>
      <w:pPr>
        <w:pStyle w:val="BodyText"/>
        <w:ind w:right="66" w:firstLine="412"/>
        <w:spacing w:before="183" w:line="348" w:lineRule="auto"/>
        <w:rPr/>
      </w:pPr>
      <w:r>
        <w:rPr>
          <w:spacing w:val="2"/>
        </w:rPr>
        <w:t>（</w:t>
      </w:r>
      <w:r>
        <w:rPr>
          <w:rFonts w:ascii="Times New Roman" w:hAnsi="Times New Roman" w:eastAsia="Times New Roman" w:cs="Times New Roman"/>
          <w:spacing w:val="2"/>
        </w:rPr>
        <w:t>2</w:t>
      </w:r>
      <w:r>
        <w:rPr>
          <w:rFonts w:ascii="Times New Roman" w:hAnsi="Times New Roman" w:eastAsia="Times New Roman" w:cs="Times New Roman"/>
          <w:spacing w:val="-14"/>
        </w:rPr>
        <w:t xml:space="preserve"> </w:t>
      </w:r>
      <w:r>
        <w:rPr>
          <w:spacing w:val="2"/>
        </w:rPr>
        <w:t>）在一个县（</w:t>
      </w:r>
      <w:r>
        <w:rPr>
          <w:spacing w:val="-50"/>
        </w:rPr>
        <w:t xml:space="preserve"> </w:t>
      </w:r>
      <w:r>
        <w:rPr>
          <w:spacing w:val="2"/>
        </w:rPr>
        <w:t>区）级行政区域</w:t>
      </w:r>
      <w:r>
        <w:rPr>
          <w:spacing w:val="-41"/>
        </w:rPr>
        <w:t xml:space="preserve"> </w:t>
      </w:r>
      <w:r>
        <w:rPr>
          <w:rFonts w:ascii="Times New Roman" w:hAnsi="Times New Roman" w:eastAsia="Times New Roman" w:cs="Times New Roman"/>
          <w:spacing w:val="2"/>
        </w:rPr>
        <w:t>24 </w:t>
      </w:r>
      <w:r>
        <w:rPr>
          <w:spacing w:val="2"/>
        </w:rPr>
        <w:t>小时</w:t>
      </w:r>
      <w:r>
        <w:rPr>
          <w:spacing w:val="10"/>
        </w:rPr>
        <w:t>内出现</w:t>
      </w:r>
      <w:r>
        <w:rPr>
          <w:rFonts w:ascii="Times New Roman" w:hAnsi="Times New Roman" w:eastAsia="Times New Roman" w:cs="Times New Roman"/>
          <w:spacing w:val="10"/>
        </w:rPr>
        <w:t>2</w:t>
      </w:r>
      <w:r>
        <w:rPr>
          <w:rFonts w:ascii="Times New Roman" w:hAnsi="Times New Roman" w:eastAsia="Times New Roman" w:cs="Times New Roman"/>
          <w:spacing w:val="-3"/>
        </w:rPr>
        <w:t xml:space="preserve"> </w:t>
      </w:r>
      <w:r>
        <w:rPr>
          <w:spacing w:val="10"/>
        </w:rPr>
        <w:t>起及以上可能存在联系的同类中毒事</w:t>
      </w:r>
      <w:r>
        <w:rPr>
          <w:spacing w:val="8"/>
        </w:rPr>
        <w:t>件时</w:t>
      </w:r>
      <w:r>
        <w:rPr>
          <w:spacing w:val="-48"/>
        </w:rPr>
        <w:t xml:space="preserve"> </w:t>
      </w:r>
      <w:r>
        <w:rPr>
          <w:spacing w:val="8"/>
        </w:rPr>
        <w:t>，累计中毒人数</w:t>
      </w:r>
      <w:r>
        <w:rPr>
          <w:spacing w:val="-19"/>
        </w:rPr>
        <w:t xml:space="preserve"> </w:t>
      </w:r>
      <w:r>
        <w:rPr>
          <w:rFonts w:ascii="Times New Roman" w:hAnsi="Times New Roman" w:eastAsia="Times New Roman" w:cs="Times New Roman"/>
          <w:spacing w:val="8"/>
        </w:rPr>
        <w:t>100 </w:t>
      </w:r>
      <w:r>
        <w:rPr>
          <w:spacing w:val="8"/>
        </w:rPr>
        <w:t>人及以上且死亡</w:t>
      </w:r>
      <w:r>
        <w:rPr>
          <w:spacing w:val="-13"/>
        </w:rPr>
        <w:t xml:space="preserve"> </w:t>
      </w:r>
      <w:r>
        <w:rPr>
          <w:rFonts w:ascii="Times New Roman" w:hAnsi="Times New Roman" w:eastAsia="Times New Roman" w:cs="Times New Roman"/>
          <w:spacing w:val="8"/>
        </w:rPr>
        <w:t>10</w:t>
      </w:r>
      <w:r>
        <w:rPr>
          <w:spacing w:val="7"/>
        </w:rPr>
        <w:t>人及以上；或累计死亡</w:t>
      </w:r>
      <w:r>
        <w:rPr>
          <w:spacing w:val="-29"/>
        </w:rPr>
        <w:t xml:space="preserve"> </w:t>
      </w:r>
      <w:r>
        <w:rPr>
          <w:rFonts w:ascii="Times New Roman" w:hAnsi="Times New Roman" w:eastAsia="Times New Roman" w:cs="Times New Roman"/>
          <w:spacing w:val="7"/>
        </w:rPr>
        <w:t>30 </w:t>
      </w:r>
      <w:r>
        <w:rPr>
          <w:spacing w:val="7"/>
        </w:rPr>
        <w:t>人及以上。</w:t>
      </w:r>
    </w:p>
    <w:p>
      <w:pPr>
        <w:pStyle w:val="BodyText"/>
        <w:ind w:firstLine="413"/>
        <w:spacing w:before="170" w:line="347"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）全市发生重大以上级别突发中毒事</w:t>
      </w:r>
      <w:r>
        <w:rPr>
          <w:spacing w:val="7"/>
        </w:rPr>
        <w:t>件，并蔓延至周边市份，造成周边市发生同类</w:t>
      </w:r>
      <w:r>
        <w:rPr>
          <w:spacing w:val="6"/>
        </w:rPr>
        <w:t>的重大以上级别突发中毒事件（</w:t>
      </w:r>
      <w:r>
        <w:rPr>
          <w:rFonts w:ascii="Times New Roman" w:hAnsi="Times New Roman" w:eastAsia="Times New Roman" w:cs="Times New Roman"/>
          <w:spacing w:val="6"/>
        </w:rPr>
        <w:t>I </w:t>
      </w:r>
      <w:r>
        <w:rPr>
          <w:spacing w:val="6"/>
        </w:rPr>
        <w:t>级或</w:t>
      </w:r>
      <w:r>
        <w:rPr>
          <w:spacing w:val="-41"/>
        </w:rPr>
        <w:t xml:space="preserve"> </w:t>
      </w:r>
      <w:r>
        <w:rPr>
          <w:rFonts w:ascii="Times New Roman" w:hAnsi="Times New Roman" w:eastAsia="Times New Roman" w:cs="Times New Roman"/>
        </w:rPr>
        <w:t>II</w:t>
      </w:r>
      <w:r>
        <w:rPr>
          <w:rFonts w:ascii="Times New Roman" w:hAnsi="Times New Roman" w:eastAsia="Times New Roman" w:cs="Times New Roman"/>
          <w:spacing w:val="6"/>
        </w:rPr>
        <w:t xml:space="preserve"> </w:t>
      </w:r>
      <w:r>
        <w:rPr>
          <w:spacing w:val="6"/>
        </w:rPr>
        <w:t>级</w:t>
      </w:r>
      <w:r>
        <w:rPr>
          <w:spacing w:val="-32"/>
        </w:rPr>
        <w:t>），</w:t>
      </w:r>
      <w:r>
        <w:rPr>
          <w:spacing w:val="9"/>
        </w:rPr>
        <w:t>并有证据表明这些事件原因存在明确联系。</w:t>
      </w:r>
    </w:p>
    <w:p>
      <w:pPr>
        <w:pStyle w:val="BodyText"/>
        <w:ind w:left="18" w:right="71" w:firstLine="394"/>
        <w:spacing w:before="178" w:line="306" w:lineRule="auto"/>
        <w:rPr/>
      </w:pPr>
      <w:r>
        <w:rPr>
          <w:spacing w:val="9"/>
        </w:rPr>
        <w:t>（</w:t>
      </w:r>
      <w:r>
        <w:rPr>
          <w:rFonts w:ascii="Times New Roman" w:hAnsi="Times New Roman" w:eastAsia="Times New Roman" w:cs="Times New Roman"/>
          <w:spacing w:val="9"/>
        </w:rPr>
        <w:t>4 </w:t>
      </w:r>
      <w:r>
        <w:rPr>
          <w:spacing w:val="9"/>
        </w:rPr>
        <w:t>）国务院及其卫生健康行政部门认定</w:t>
      </w:r>
      <w:r>
        <w:rPr>
          <w:spacing w:val="4"/>
        </w:rPr>
        <w:t>的其他情形。</w:t>
      </w:r>
    </w:p>
    <w:p>
      <w:pPr>
        <w:pStyle w:val="BodyText"/>
        <w:ind w:right="66" w:firstLine="441"/>
        <w:spacing w:before="176" w:line="387" w:lineRule="auto"/>
        <w:rPr/>
      </w:pPr>
      <w:r>
        <w:rPr>
          <w:rFonts w:ascii="Times New Roman" w:hAnsi="Times New Roman" w:eastAsia="Times New Roman" w:cs="Times New Roman"/>
          <w:spacing w:val="3"/>
        </w:rPr>
        <w:t>1.5.2 </w:t>
      </w:r>
      <w:r>
        <w:rPr>
          <w:spacing w:val="3"/>
        </w:rPr>
        <w:t>重大突发中毒事件（</w:t>
      </w:r>
      <w:r>
        <w:rPr>
          <w:rFonts w:ascii="Times New Roman" w:hAnsi="Times New Roman" w:eastAsia="Times New Roman" w:cs="Times New Roman"/>
        </w:rPr>
        <w:t>II</w:t>
      </w:r>
      <w:r>
        <w:rPr>
          <w:rFonts w:ascii="Times New Roman" w:hAnsi="Times New Roman" w:eastAsia="Times New Roman" w:cs="Times New Roman"/>
          <w:spacing w:val="3"/>
        </w:rPr>
        <w:t xml:space="preserve"> </w:t>
      </w:r>
      <w:r>
        <w:rPr>
          <w:spacing w:val="3"/>
        </w:rPr>
        <w:t>级）。有下列</w:t>
      </w:r>
      <w:r>
        <w:rPr>
          <w:spacing w:val="8"/>
        </w:rPr>
        <w:t>情形之一的为重大突发中毒事件：</w:t>
      </w:r>
    </w:p>
    <w:p>
      <w:pPr>
        <w:pStyle w:val="BodyText"/>
        <w:ind w:right="66" w:firstLine="413"/>
        <w:spacing w:before="2" w:line="304" w:lineRule="auto"/>
        <w:rPr/>
      </w:pPr>
      <w:r>
        <w:rPr>
          <w:spacing w:val="2"/>
        </w:rPr>
        <w:t>（</w:t>
      </w:r>
      <w:r>
        <w:rPr>
          <w:spacing w:val="-46"/>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20"/>
        </w:rPr>
        <w:t xml:space="preserve"> </w:t>
      </w:r>
      <w:r>
        <w:rPr>
          <w:spacing w:val="2"/>
        </w:rPr>
        <w:t>）一起突发中毒事件暴露人数</w:t>
      </w:r>
      <w:r>
        <w:rPr>
          <w:spacing w:val="-41"/>
        </w:rPr>
        <w:t xml:space="preserve"> </w:t>
      </w:r>
      <w:r>
        <w:rPr>
          <w:rFonts w:ascii="Times New Roman" w:hAnsi="Times New Roman" w:eastAsia="Times New Roman" w:cs="Times New Roman"/>
          <w:spacing w:val="2"/>
        </w:rPr>
        <w:t>2000 </w:t>
      </w:r>
      <w:r>
        <w:rPr>
          <w:spacing w:val="2"/>
        </w:rPr>
        <w:t>人</w:t>
      </w:r>
      <w:r>
        <w:rPr>
          <w:spacing w:val="6"/>
        </w:rPr>
        <w:t>及以上。</w:t>
      </w:r>
    </w:p>
    <w:p>
      <w:pPr>
        <w:pStyle w:val="BodyText"/>
        <w:ind w:right="68" w:firstLine="412"/>
        <w:spacing w:before="181" w:line="309" w:lineRule="auto"/>
        <w:rPr/>
      </w:pPr>
      <w:r>
        <w:rPr>
          <w:spacing w:val="1"/>
        </w:rPr>
        <w:t>（</w:t>
      </w:r>
      <w:r>
        <w:rPr>
          <w:rFonts w:ascii="Times New Roman" w:hAnsi="Times New Roman" w:eastAsia="Times New Roman" w:cs="Times New Roman"/>
          <w:spacing w:val="1"/>
        </w:rPr>
        <w:t>2</w:t>
      </w:r>
      <w:r>
        <w:rPr>
          <w:rFonts w:ascii="Times New Roman" w:hAnsi="Times New Roman" w:eastAsia="Times New Roman" w:cs="Times New Roman"/>
          <w:spacing w:val="-16"/>
        </w:rPr>
        <w:t xml:space="preserve"> </w:t>
      </w:r>
      <w:r>
        <w:rPr>
          <w:spacing w:val="1"/>
        </w:rPr>
        <w:t>）一起突发中毒事件，中毒人数在</w:t>
      </w:r>
      <w:r>
        <w:rPr>
          <w:spacing w:val="-20"/>
        </w:rPr>
        <w:t xml:space="preserve"> </w:t>
      </w:r>
      <w:r>
        <w:rPr>
          <w:rFonts w:ascii="Times New Roman" w:hAnsi="Times New Roman" w:eastAsia="Times New Roman" w:cs="Times New Roman"/>
          <w:spacing w:val="1"/>
        </w:rPr>
        <w:t>100</w:t>
      </w:r>
      <w:r>
        <w:rPr>
          <w:spacing w:val="5"/>
        </w:rPr>
        <w:t>人及以上且死亡</w:t>
      </w:r>
      <w:r>
        <w:rPr>
          <w:spacing w:val="-29"/>
        </w:rPr>
        <w:t xml:space="preserve"> </w:t>
      </w:r>
      <w:r>
        <w:rPr>
          <w:rFonts w:ascii="Times New Roman" w:hAnsi="Times New Roman" w:eastAsia="Times New Roman" w:cs="Times New Roman"/>
          <w:spacing w:val="5"/>
        </w:rPr>
        <w:t>2-9 </w:t>
      </w:r>
      <w:r>
        <w:rPr>
          <w:spacing w:val="5"/>
        </w:rPr>
        <w:t>人；或死亡</w:t>
      </w:r>
      <w:r>
        <w:rPr>
          <w:spacing w:val="-21"/>
        </w:rPr>
        <w:t xml:space="preserve"> </w:t>
      </w:r>
      <w:r>
        <w:rPr>
          <w:rFonts w:ascii="Times New Roman" w:hAnsi="Times New Roman" w:eastAsia="Times New Roman" w:cs="Times New Roman"/>
          <w:spacing w:val="5"/>
        </w:rPr>
        <w:t>10-29 </w:t>
      </w:r>
      <w:r>
        <w:rPr>
          <w:spacing w:val="5"/>
        </w:rPr>
        <w:t>人。</w:t>
      </w:r>
    </w:p>
    <w:p>
      <w:pPr>
        <w:pStyle w:val="BodyText"/>
        <w:ind w:right="66" w:firstLine="412"/>
        <w:spacing w:before="172" w:line="348" w:lineRule="auto"/>
        <w:rPr/>
      </w:pPr>
      <w:r>
        <w:rPr>
          <w:spacing w:val="4"/>
        </w:rPr>
        <w:t>（</w:t>
      </w:r>
      <w:r>
        <w:rPr>
          <w:rFonts w:ascii="Times New Roman" w:hAnsi="Times New Roman" w:eastAsia="Times New Roman" w:cs="Times New Roman"/>
          <w:spacing w:val="4"/>
        </w:rPr>
        <w:t>3</w:t>
      </w:r>
      <w:r>
        <w:rPr>
          <w:rFonts w:ascii="Times New Roman" w:hAnsi="Times New Roman" w:eastAsia="Times New Roman" w:cs="Times New Roman"/>
          <w:spacing w:val="-4"/>
        </w:rPr>
        <w:t xml:space="preserve"> </w:t>
      </w:r>
      <w:r>
        <w:rPr>
          <w:spacing w:val="4"/>
        </w:rPr>
        <w:t>）在一个县区级行政区域范围</w:t>
      </w:r>
      <w:r>
        <w:rPr>
          <w:spacing w:val="-41"/>
        </w:rPr>
        <w:t xml:space="preserve"> </w:t>
      </w:r>
      <w:r>
        <w:rPr>
          <w:rFonts w:ascii="Times New Roman" w:hAnsi="Times New Roman" w:eastAsia="Times New Roman" w:cs="Times New Roman"/>
          <w:spacing w:val="4"/>
        </w:rPr>
        <w:t>24 </w:t>
      </w:r>
      <w:r>
        <w:rPr>
          <w:spacing w:val="4"/>
        </w:rPr>
        <w:t>小时</w:t>
      </w:r>
      <w:r>
        <w:rPr>
          <w:spacing w:val="10"/>
        </w:rPr>
        <w:t>内出现</w:t>
      </w:r>
      <w:r>
        <w:rPr>
          <w:rFonts w:ascii="Times New Roman" w:hAnsi="Times New Roman" w:eastAsia="Times New Roman" w:cs="Times New Roman"/>
          <w:spacing w:val="10"/>
        </w:rPr>
        <w:t>2</w:t>
      </w:r>
      <w:r>
        <w:rPr>
          <w:rFonts w:ascii="Times New Roman" w:hAnsi="Times New Roman" w:eastAsia="Times New Roman" w:cs="Times New Roman"/>
          <w:spacing w:val="-3"/>
        </w:rPr>
        <w:t xml:space="preserve"> </w:t>
      </w:r>
      <w:r>
        <w:rPr>
          <w:spacing w:val="10"/>
        </w:rPr>
        <w:t>起及以上可能存在联系的同类中毒事</w:t>
      </w:r>
      <w:r>
        <w:rPr>
          <w:spacing w:val="7"/>
        </w:rPr>
        <w:t>件时，累计中毒人数</w:t>
      </w:r>
      <w:r>
        <w:rPr>
          <w:spacing w:val="-23"/>
        </w:rPr>
        <w:t xml:space="preserve"> </w:t>
      </w:r>
      <w:r>
        <w:rPr>
          <w:rFonts w:ascii="Times New Roman" w:hAnsi="Times New Roman" w:eastAsia="Times New Roman" w:cs="Times New Roman"/>
          <w:spacing w:val="7"/>
        </w:rPr>
        <w:t>100 </w:t>
      </w:r>
      <w:r>
        <w:rPr>
          <w:spacing w:val="7"/>
        </w:rPr>
        <w:t>人及以上且死</w:t>
      </w:r>
      <w:r>
        <w:rPr>
          <w:spacing w:val="6"/>
        </w:rPr>
        <w:t>亡</w:t>
      </w:r>
      <w:r>
        <w:rPr>
          <w:spacing w:val="-41"/>
        </w:rPr>
        <w:t xml:space="preserve"> </w:t>
      </w:r>
      <w:r>
        <w:rPr>
          <w:rFonts w:ascii="Times New Roman" w:hAnsi="Times New Roman" w:eastAsia="Times New Roman" w:cs="Times New Roman"/>
          <w:spacing w:val="6"/>
        </w:rPr>
        <w:t>2-9</w:t>
      </w:r>
      <w:r>
        <w:rPr>
          <w:spacing w:val="5"/>
        </w:rPr>
        <w:t>人；或累计死亡</w:t>
      </w:r>
      <w:r>
        <w:rPr>
          <w:spacing w:val="-23"/>
        </w:rPr>
        <w:t xml:space="preserve"> </w:t>
      </w:r>
      <w:r>
        <w:rPr>
          <w:rFonts w:ascii="Times New Roman" w:hAnsi="Times New Roman" w:eastAsia="Times New Roman" w:cs="Times New Roman"/>
          <w:spacing w:val="5"/>
        </w:rPr>
        <w:t>10-29 </w:t>
      </w:r>
      <w:r>
        <w:rPr>
          <w:spacing w:val="5"/>
        </w:rPr>
        <w:t>人。</w:t>
      </w:r>
    </w:p>
    <w:p>
      <w:pPr>
        <w:pStyle w:val="BodyText"/>
        <w:ind w:left="413"/>
        <w:spacing w:before="171" w:line="221" w:lineRule="auto"/>
        <w:rPr/>
      </w:pPr>
      <w:r>
        <w:rPr>
          <w:spacing w:val="10"/>
        </w:rPr>
        <w:t>（</w:t>
      </w:r>
      <w:r>
        <w:rPr>
          <w:rFonts w:ascii="Times New Roman" w:hAnsi="Times New Roman" w:eastAsia="Times New Roman" w:cs="Times New Roman"/>
          <w:spacing w:val="10"/>
        </w:rPr>
        <w:t>4</w:t>
      </w:r>
      <w:r>
        <w:rPr>
          <w:rFonts w:ascii="Times New Roman" w:hAnsi="Times New Roman" w:eastAsia="Times New Roman" w:cs="Times New Roman"/>
          <w:spacing w:val="-19"/>
        </w:rPr>
        <w:t xml:space="preserve"> </w:t>
      </w:r>
      <w:r>
        <w:rPr>
          <w:spacing w:val="10"/>
        </w:rPr>
        <w:t>）全市</w:t>
      </w:r>
      <w:r>
        <w:rPr>
          <w:spacing w:val="-38"/>
        </w:rPr>
        <w:t xml:space="preserve"> </w:t>
      </w:r>
      <w:r>
        <w:rPr>
          <w:rFonts w:ascii="Times New Roman" w:hAnsi="Times New Roman" w:eastAsia="Times New Roman" w:cs="Times New Roman"/>
          <w:spacing w:val="10"/>
        </w:rPr>
        <w:t>2 </w:t>
      </w:r>
      <w:r>
        <w:rPr>
          <w:spacing w:val="10"/>
        </w:rPr>
        <w:t>个及以上市级区域内发生同</w:t>
      </w:r>
    </w:p>
    <w:p>
      <w:pPr>
        <w:spacing w:line="221" w:lineRule="auto"/>
        <w:sectPr>
          <w:type w:val="continuous"/>
          <w:pgSz w:w="11906" w:h="16839"/>
          <w:pgMar w:top="1766" w:right="1521" w:bottom="1575" w:left="1531" w:header="1428" w:footer="1172" w:gutter="0"/>
          <w:cols w:equalWidth="0" w:num="2">
            <w:col w:w="4538" w:space="100"/>
            <w:col w:w="4217" w:space="0"/>
          </w:cols>
        </w:sectPr>
        <w:rPr/>
      </w:pPr>
    </w:p>
    <w:p>
      <w:pPr>
        <w:spacing w:before="79"/>
        <w:rPr/>
      </w:pPr>
      <w:r>
        <w:drawing>
          <wp:anchor distT="0" distB="0" distL="0" distR="0" simplePos="0" relativeHeight="253463552"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948" name="IM 1948"/>
            <wp:cNvGraphicFramePr/>
            <a:graphic>
              <a:graphicData uri="http://schemas.openxmlformats.org/drawingml/2006/picture">
                <pic:pic>
                  <pic:nvPicPr>
                    <pic:cNvPr id="1948" name="IM 1948"/>
                    <pic:cNvPicPr/>
                  </pic:nvPicPr>
                  <pic:blipFill>
                    <a:blip r:embed="rId976"/>
                    <a:stretch>
                      <a:fillRect/>
                    </a:stretch>
                  </pic:blipFill>
                  <pic:spPr>
                    <a:xfrm rot="0">
                      <a:off x="0" y="0"/>
                      <a:ext cx="5579745" cy="7620"/>
                    </a:xfrm>
                    <a:prstGeom prst="rect">
                      <a:avLst/>
                    </a:prstGeom>
                  </pic:spPr>
                </pic:pic>
              </a:graphicData>
            </a:graphic>
          </wp:anchor>
        </w:drawing>
      </w:r>
      <w:r/>
    </w:p>
    <w:p>
      <w:pPr>
        <w:sectPr>
          <w:headerReference w:type="default" r:id="rId816"/>
          <w:footerReference w:type="default" r:id="rId975"/>
          <w:pgSz w:w="11906" w:h="16839"/>
          <w:pgMar w:top="1772" w:right="1489" w:bottom="1584" w:left="1567" w:header="1428" w:footer="1172" w:gutter="0"/>
          <w:cols w:equalWidth="0" w:num="1">
            <w:col w:w="8850" w:space="0"/>
          </w:cols>
        </w:sectPr>
        <w:rPr/>
      </w:pPr>
    </w:p>
    <w:p>
      <w:pPr>
        <w:pStyle w:val="BodyText"/>
        <w:ind w:left="27" w:right="327" w:hanging="3"/>
        <w:spacing w:before="47" w:line="367" w:lineRule="auto"/>
        <w:rPr/>
      </w:pPr>
      <w:r>
        <w:rPr>
          <w:spacing w:val="8"/>
        </w:rPr>
        <w:t>类较大突发中毒事件（</w:t>
      </w:r>
      <w:r>
        <w:rPr>
          <w:rFonts w:ascii="Times New Roman" w:hAnsi="Times New Roman" w:eastAsia="Times New Roman" w:cs="Times New Roman"/>
        </w:rPr>
        <w:t>III</w:t>
      </w:r>
      <w:r>
        <w:rPr>
          <w:rFonts w:ascii="Times New Roman" w:hAnsi="Times New Roman" w:eastAsia="Times New Roman" w:cs="Times New Roman"/>
          <w:spacing w:val="8"/>
        </w:rPr>
        <w:t xml:space="preserve"> </w:t>
      </w:r>
      <w:r>
        <w:rPr>
          <w:spacing w:val="8"/>
        </w:rPr>
        <w:t>级</w:t>
      </w:r>
      <w:r>
        <w:rPr>
          <w:spacing w:val="-23"/>
        </w:rPr>
        <w:t>），</w:t>
      </w:r>
      <w:r>
        <w:rPr>
          <w:spacing w:val="8"/>
        </w:rPr>
        <w:t>并有证据表明</w:t>
      </w:r>
      <w:r>
        <w:rPr>
          <w:spacing w:val="8"/>
        </w:rPr>
        <w:t>这些事件原因存在明确联系。</w:t>
      </w:r>
    </w:p>
    <w:p>
      <w:pPr>
        <w:pStyle w:val="BodyText"/>
        <w:ind w:left="43" w:right="332" w:firstLine="394"/>
        <w:spacing w:before="44" w:line="368" w:lineRule="auto"/>
        <w:rPr/>
      </w:pPr>
      <w:r>
        <w:rPr>
          <w:spacing w:val="8"/>
        </w:rPr>
        <w:t>（</w:t>
      </w:r>
      <w:r>
        <w:rPr>
          <w:spacing w:val="-45"/>
        </w:rPr>
        <w:t xml:space="preserve"> </w:t>
      </w:r>
      <w:r>
        <w:rPr>
          <w:rFonts w:ascii="Times New Roman" w:hAnsi="Times New Roman" w:eastAsia="Times New Roman" w:cs="Times New Roman"/>
          <w:spacing w:val="8"/>
        </w:rPr>
        <w:t>5</w:t>
      </w:r>
      <w:r>
        <w:rPr>
          <w:rFonts w:ascii="Times New Roman" w:hAnsi="Times New Roman" w:eastAsia="Times New Roman" w:cs="Times New Roman"/>
          <w:spacing w:val="-19"/>
        </w:rPr>
        <w:t xml:space="preserve"> </w:t>
      </w:r>
      <w:r>
        <w:rPr>
          <w:spacing w:val="8"/>
        </w:rPr>
        <w:t>）市政府及市卫生健康行政部门认定</w:t>
      </w:r>
      <w:r>
        <w:rPr>
          <w:spacing w:val="4"/>
        </w:rPr>
        <w:t>的其他情形。</w:t>
      </w:r>
    </w:p>
    <w:p>
      <w:pPr>
        <w:pStyle w:val="BodyText"/>
        <w:ind w:left="25" w:right="324" w:firstLine="440"/>
        <w:spacing w:before="42" w:line="387" w:lineRule="auto"/>
        <w:rPr/>
      </w:pPr>
      <w:r>
        <w:rPr>
          <w:rFonts w:ascii="Times New Roman" w:hAnsi="Times New Roman" w:eastAsia="Times New Roman" w:cs="Times New Roman"/>
          <w:spacing w:val="8"/>
        </w:rPr>
        <w:t>1.5.3 </w:t>
      </w:r>
      <w:r>
        <w:rPr>
          <w:spacing w:val="8"/>
        </w:rPr>
        <w:t>较大突发中毒事件（</w:t>
      </w:r>
      <w:r>
        <w:rPr>
          <w:rFonts w:ascii="Times New Roman" w:hAnsi="Times New Roman" w:eastAsia="Times New Roman" w:cs="Times New Roman"/>
        </w:rPr>
        <w:t>III</w:t>
      </w:r>
      <w:r>
        <w:rPr>
          <w:rFonts w:ascii="Times New Roman" w:hAnsi="Times New Roman" w:eastAsia="Times New Roman" w:cs="Times New Roman"/>
          <w:spacing w:val="8"/>
        </w:rPr>
        <w:t xml:space="preserve"> </w:t>
      </w:r>
      <w:r>
        <w:rPr>
          <w:spacing w:val="8"/>
        </w:rPr>
        <w:t>级）</w:t>
      </w:r>
      <w:r>
        <w:rPr>
          <w:spacing w:val="-57"/>
        </w:rPr>
        <w:t xml:space="preserve"> </w:t>
      </w:r>
      <w:r>
        <w:rPr>
          <w:spacing w:val="8"/>
        </w:rPr>
        <w:t>。</w:t>
      </w:r>
      <w:r>
        <w:rPr>
          <w:spacing w:val="7"/>
        </w:rPr>
        <w:t>有下</w:t>
      </w:r>
      <w:r>
        <w:rPr>
          <w:spacing w:val="9"/>
        </w:rPr>
        <w:t>列情形之一的为较大突发中毒事件：</w:t>
      </w:r>
    </w:p>
    <w:p>
      <w:pPr>
        <w:pStyle w:val="BodyText"/>
        <w:ind w:left="46" w:right="329" w:firstLine="391"/>
        <w:spacing w:before="1" w:line="305" w:lineRule="auto"/>
        <w:rPr/>
      </w:pPr>
      <w:r>
        <w:rPr>
          <w:spacing w:val="-1"/>
        </w:rPr>
        <w:t>（ </w:t>
      </w:r>
      <w:r>
        <w:rPr>
          <w:rFonts w:ascii="Times New Roman" w:hAnsi="Times New Roman" w:eastAsia="Times New Roman" w:cs="Times New Roman"/>
          <w:spacing w:val="-1"/>
        </w:rPr>
        <w:t>1</w:t>
      </w:r>
      <w:r>
        <w:rPr>
          <w:rFonts w:ascii="Times New Roman" w:hAnsi="Times New Roman" w:eastAsia="Times New Roman" w:cs="Times New Roman"/>
          <w:spacing w:val="39"/>
          <w:w w:val="101"/>
        </w:rPr>
        <w:t xml:space="preserve"> </w:t>
      </w:r>
      <w:r>
        <w:rPr>
          <w:spacing w:val="-1"/>
        </w:rPr>
        <w:t>）</w:t>
      </w:r>
      <w:r>
        <w:rPr>
          <w:spacing w:val="-63"/>
        </w:rPr>
        <w:t xml:space="preserve"> </w:t>
      </w:r>
      <w:r>
        <w:rPr>
          <w:spacing w:val="-1"/>
        </w:rPr>
        <w:t>一</w:t>
      </w:r>
      <w:r>
        <w:rPr>
          <w:spacing w:val="-48"/>
        </w:rPr>
        <w:t xml:space="preserve"> </w:t>
      </w:r>
      <w:r>
        <w:rPr>
          <w:spacing w:val="-1"/>
        </w:rPr>
        <w:t>起</w:t>
      </w:r>
      <w:r>
        <w:rPr>
          <w:spacing w:val="-40"/>
        </w:rPr>
        <w:t xml:space="preserve"> </w:t>
      </w:r>
      <w:r>
        <w:rPr>
          <w:spacing w:val="-1"/>
        </w:rPr>
        <w:t>突</w:t>
      </w:r>
      <w:r>
        <w:rPr>
          <w:spacing w:val="-44"/>
        </w:rPr>
        <w:t xml:space="preserve"> </w:t>
      </w:r>
      <w:r>
        <w:rPr>
          <w:spacing w:val="-1"/>
        </w:rPr>
        <w:t>发</w:t>
      </w:r>
      <w:r>
        <w:rPr>
          <w:spacing w:val="-24"/>
        </w:rPr>
        <w:t xml:space="preserve"> </w:t>
      </w:r>
      <w:r>
        <w:rPr>
          <w:spacing w:val="-1"/>
        </w:rPr>
        <w:t>中</w:t>
      </w:r>
      <w:r>
        <w:rPr>
          <w:spacing w:val="-44"/>
        </w:rPr>
        <w:t xml:space="preserve"> </w:t>
      </w:r>
      <w:r>
        <w:rPr>
          <w:spacing w:val="-1"/>
        </w:rPr>
        <w:t>毒</w:t>
      </w:r>
      <w:r>
        <w:rPr>
          <w:spacing w:val="-45"/>
        </w:rPr>
        <w:t xml:space="preserve"> </w:t>
      </w:r>
      <w:r>
        <w:rPr>
          <w:spacing w:val="-1"/>
        </w:rPr>
        <w:t>事</w:t>
      </w:r>
      <w:r>
        <w:rPr>
          <w:spacing w:val="-45"/>
        </w:rPr>
        <w:t xml:space="preserve"> </w:t>
      </w:r>
      <w:r>
        <w:rPr>
          <w:spacing w:val="-1"/>
        </w:rPr>
        <w:t>件</w:t>
      </w:r>
      <w:r>
        <w:rPr>
          <w:spacing w:val="-48"/>
        </w:rPr>
        <w:t xml:space="preserve"> </w:t>
      </w:r>
      <w:r>
        <w:rPr>
          <w:spacing w:val="-1"/>
        </w:rPr>
        <w:t>暴</w:t>
      </w:r>
      <w:r>
        <w:rPr>
          <w:spacing w:val="-48"/>
        </w:rPr>
        <w:t xml:space="preserve"> </w:t>
      </w:r>
      <w:r>
        <w:rPr>
          <w:spacing w:val="-1"/>
        </w:rPr>
        <w:t>露</w:t>
      </w:r>
      <w:r>
        <w:rPr>
          <w:spacing w:val="-46"/>
        </w:rPr>
        <w:t xml:space="preserve"> </w:t>
      </w:r>
      <w:r>
        <w:rPr>
          <w:spacing w:val="-1"/>
        </w:rPr>
        <w:t>人</w:t>
      </w:r>
      <w:r>
        <w:rPr>
          <w:spacing w:val="-46"/>
        </w:rPr>
        <w:t xml:space="preserve"> </w:t>
      </w:r>
      <w:r>
        <w:rPr>
          <w:spacing w:val="-1"/>
        </w:rPr>
        <w:t>数</w:t>
      </w:r>
      <w:r>
        <w:rPr>
          <w:rFonts w:ascii="Times New Roman" w:hAnsi="Times New Roman" w:eastAsia="Times New Roman" w:cs="Times New Roman"/>
          <w:spacing w:val="2"/>
        </w:rPr>
        <w:t>1000-1999 </w:t>
      </w:r>
      <w:r>
        <w:rPr>
          <w:spacing w:val="2"/>
        </w:rPr>
        <w:t>人。</w:t>
      </w:r>
    </w:p>
    <w:p>
      <w:pPr>
        <w:pStyle w:val="BodyText"/>
        <w:ind w:left="25" w:right="326" w:firstLine="412"/>
        <w:spacing w:before="180" w:line="309" w:lineRule="auto"/>
        <w:rPr/>
      </w:pPr>
      <w:r>
        <w:rPr>
          <w:spacing w:val="1"/>
        </w:rPr>
        <w:t>（</w:t>
      </w:r>
      <w:r>
        <w:rPr>
          <w:rFonts w:ascii="Times New Roman" w:hAnsi="Times New Roman" w:eastAsia="Times New Roman" w:cs="Times New Roman"/>
          <w:spacing w:val="1"/>
        </w:rPr>
        <w:t>2</w:t>
      </w:r>
      <w:r>
        <w:rPr>
          <w:rFonts w:ascii="Times New Roman" w:hAnsi="Times New Roman" w:eastAsia="Times New Roman" w:cs="Times New Roman"/>
          <w:spacing w:val="-13"/>
        </w:rPr>
        <w:t xml:space="preserve"> </w:t>
      </w:r>
      <w:r>
        <w:rPr>
          <w:spacing w:val="1"/>
        </w:rPr>
        <w:t>）一起突发中毒事件，中毒人数在</w:t>
      </w:r>
      <w:r>
        <w:rPr>
          <w:spacing w:val="-21"/>
        </w:rPr>
        <w:t xml:space="preserve"> </w:t>
      </w:r>
      <w:r>
        <w:rPr>
          <w:rFonts w:ascii="Times New Roman" w:hAnsi="Times New Roman" w:eastAsia="Times New Roman" w:cs="Times New Roman"/>
          <w:spacing w:val="1"/>
        </w:rPr>
        <w:t>100</w:t>
      </w:r>
      <w:r>
        <w:rPr>
          <w:spacing w:val="5"/>
        </w:rPr>
        <w:t>人及以上且死亡</w:t>
      </w:r>
      <w:r>
        <w:rPr>
          <w:spacing w:val="-11"/>
        </w:rPr>
        <w:t xml:space="preserve"> </w:t>
      </w:r>
      <w:r>
        <w:rPr>
          <w:rFonts w:ascii="Times New Roman" w:hAnsi="Times New Roman" w:eastAsia="Times New Roman" w:cs="Times New Roman"/>
          <w:spacing w:val="5"/>
        </w:rPr>
        <w:t>1 </w:t>
      </w:r>
      <w:r>
        <w:rPr>
          <w:spacing w:val="5"/>
        </w:rPr>
        <w:t>人；或死亡</w:t>
      </w:r>
      <w:r>
        <w:rPr>
          <w:spacing w:val="-39"/>
        </w:rPr>
        <w:t xml:space="preserve"> </w:t>
      </w:r>
      <w:r>
        <w:rPr>
          <w:rFonts w:ascii="Times New Roman" w:hAnsi="Times New Roman" w:eastAsia="Times New Roman" w:cs="Times New Roman"/>
          <w:spacing w:val="5"/>
        </w:rPr>
        <w:t>3-9 </w:t>
      </w:r>
      <w:r>
        <w:rPr>
          <w:spacing w:val="5"/>
        </w:rPr>
        <w:t>人。</w:t>
      </w:r>
    </w:p>
    <w:p>
      <w:pPr>
        <w:pStyle w:val="BodyText"/>
        <w:ind w:left="25" w:right="244" w:firstLine="412"/>
        <w:spacing w:before="169" w:line="335" w:lineRule="auto"/>
        <w:rPr/>
      </w:pPr>
      <w:r>
        <w:rPr>
          <w:spacing w:val="4"/>
        </w:rPr>
        <w:t>（</w:t>
      </w:r>
      <w:r>
        <w:rPr>
          <w:rFonts w:ascii="Times New Roman" w:hAnsi="Times New Roman" w:eastAsia="Times New Roman" w:cs="Times New Roman"/>
          <w:spacing w:val="4"/>
        </w:rPr>
        <w:t>3</w:t>
      </w:r>
      <w:r>
        <w:rPr>
          <w:rFonts w:ascii="Times New Roman" w:hAnsi="Times New Roman" w:eastAsia="Times New Roman" w:cs="Times New Roman"/>
          <w:spacing w:val="-15"/>
        </w:rPr>
        <w:t xml:space="preserve"> </w:t>
      </w:r>
      <w:r>
        <w:rPr>
          <w:spacing w:val="4"/>
        </w:rPr>
        <w:t>）市行政区域</w:t>
      </w:r>
      <w:r>
        <w:rPr>
          <w:spacing w:val="-41"/>
        </w:rPr>
        <w:t xml:space="preserve"> </w:t>
      </w:r>
      <w:r>
        <w:rPr>
          <w:rFonts w:ascii="Times New Roman" w:hAnsi="Times New Roman" w:eastAsia="Times New Roman" w:cs="Times New Roman"/>
          <w:spacing w:val="4"/>
        </w:rPr>
        <w:t>24 </w:t>
      </w:r>
      <w:r>
        <w:rPr>
          <w:spacing w:val="4"/>
        </w:rPr>
        <w:t>小时内出现</w:t>
      </w:r>
      <w:r>
        <w:rPr>
          <w:spacing w:val="-43"/>
        </w:rPr>
        <w:t xml:space="preserve"> </w:t>
      </w:r>
      <w:r>
        <w:rPr>
          <w:rFonts w:ascii="Times New Roman" w:hAnsi="Times New Roman" w:eastAsia="Times New Roman" w:cs="Times New Roman"/>
          <w:spacing w:val="4"/>
        </w:rPr>
        <w:t>2 </w:t>
      </w:r>
      <w:r>
        <w:rPr>
          <w:spacing w:val="4"/>
        </w:rPr>
        <w:t>起及以</w:t>
      </w:r>
      <w:r>
        <w:rPr>
          <w:spacing w:val="7"/>
        </w:rPr>
        <w:t>上可能存在联系的同类中毒事件时，累计中毒</w:t>
      </w:r>
      <w:r>
        <w:rPr>
          <w:spacing w:val="-11"/>
        </w:rPr>
        <w:t>人数</w:t>
      </w:r>
      <w:r>
        <w:rPr>
          <w:spacing w:val="-32"/>
        </w:rPr>
        <w:t xml:space="preserve"> </w:t>
      </w:r>
      <w:r>
        <w:rPr>
          <w:rFonts w:ascii="Times New Roman" w:hAnsi="Times New Roman" w:eastAsia="Times New Roman" w:cs="Times New Roman"/>
          <w:spacing w:val="-11"/>
        </w:rPr>
        <w:t>100 </w:t>
      </w:r>
      <w:r>
        <w:rPr>
          <w:spacing w:val="-11"/>
        </w:rPr>
        <w:t>人及以上且死亡</w:t>
      </w:r>
      <w:r>
        <w:rPr>
          <w:spacing w:val="-46"/>
        </w:rPr>
        <w:t xml:space="preserve"> </w:t>
      </w:r>
      <w:r>
        <w:rPr>
          <w:rFonts w:ascii="Times New Roman" w:hAnsi="Times New Roman" w:eastAsia="Times New Roman" w:cs="Times New Roman"/>
          <w:spacing w:val="-11"/>
        </w:rPr>
        <w:t>1 </w:t>
      </w:r>
      <w:r>
        <w:rPr>
          <w:spacing w:val="-11"/>
        </w:rPr>
        <w:t>人；或累计死亡</w:t>
      </w:r>
      <w:r>
        <w:rPr>
          <w:rFonts w:ascii="Times New Roman" w:hAnsi="Times New Roman" w:eastAsia="Times New Roman" w:cs="Times New Roman"/>
          <w:spacing w:val="-11"/>
        </w:rPr>
        <w:t>3-9 </w:t>
      </w:r>
      <w:r>
        <w:rPr>
          <w:spacing w:val="-11"/>
        </w:rPr>
        <w:t>人。</w:t>
      </w:r>
    </w:p>
    <w:p>
      <w:pPr>
        <w:pStyle w:val="BodyText"/>
        <w:ind w:left="27" w:right="329" w:firstLine="409"/>
        <w:spacing w:before="173" w:line="333" w:lineRule="auto"/>
        <w:rPr/>
      </w:pPr>
      <w:r>
        <w:rPr>
          <w:spacing w:val="2"/>
        </w:rPr>
        <w:t>（</w:t>
      </w:r>
      <w:r>
        <w:rPr>
          <w:rFonts w:ascii="Times New Roman" w:hAnsi="Times New Roman" w:eastAsia="Times New Roman" w:cs="Times New Roman"/>
          <w:spacing w:val="2"/>
        </w:rPr>
        <w:t>4</w:t>
      </w:r>
      <w:r>
        <w:rPr>
          <w:rFonts w:ascii="Times New Roman" w:hAnsi="Times New Roman" w:eastAsia="Times New Roman" w:cs="Times New Roman"/>
          <w:spacing w:val="-7"/>
        </w:rPr>
        <w:t xml:space="preserve"> </w:t>
      </w:r>
      <w:r>
        <w:rPr>
          <w:spacing w:val="2"/>
        </w:rPr>
        <w:t>）</w:t>
      </w:r>
      <w:r>
        <w:rPr>
          <w:rFonts w:ascii="Times New Roman" w:hAnsi="Times New Roman" w:eastAsia="Times New Roman" w:cs="Times New Roman"/>
          <w:spacing w:val="2"/>
        </w:rPr>
        <w:t>2 </w:t>
      </w:r>
      <w:r>
        <w:rPr>
          <w:spacing w:val="2"/>
        </w:rPr>
        <w:t>个及以上县区发生同类一般突发中</w:t>
      </w:r>
      <w:r>
        <w:rPr>
          <w:spacing w:val="11"/>
        </w:rPr>
        <w:t>毒事件（</w:t>
      </w:r>
      <w:r>
        <w:rPr>
          <w:spacing w:val="-59"/>
        </w:rPr>
        <w:t xml:space="preserve"> </w:t>
      </w:r>
      <w:r>
        <w:rPr>
          <w:rFonts w:ascii="Times New Roman" w:hAnsi="Times New Roman" w:eastAsia="Times New Roman" w:cs="Times New Roman"/>
        </w:rPr>
        <w:t>IV</w:t>
      </w:r>
      <w:r>
        <w:rPr>
          <w:rFonts w:ascii="Times New Roman" w:hAnsi="Times New Roman" w:eastAsia="Times New Roman" w:cs="Times New Roman"/>
          <w:spacing w:val="11"/>
        </w:rPr>
        <w:t xml:space="preserve"> </w:t>
      </w:r>
      <w:r>
        <w:rPr>
          <w:spacing w:val="11"/>
        </w:rPr>
        <w:t>级</w:t>
      </w:r>
      <w:r>
        <w:rPr>
          <w:spacing w:val="-3"/>
        </w:rPr>
        <w:t>）</w:t>
      </w:r>
      <w:r>
        <w:rPr>
          <w:spacing w:val="-40"/>
        </w:rPr>
        <w:t xml:space="preserve"> </w:t>
      </w:r>
      <w:r>
        <w:rPr>
          <w:spacing w:val="-3"/>
        </w:rPr>
        <w:t>，</w:t>
      </w:r>
      <w:r>
        <w:rPr>
          <w:spacing w:val="11"/>
        </w:rPr>
        <w:t>并有证据表明这些事件原</w:t>
      </w:r>
      <w:r>
        <w:rPr>
          <w:spacing w:val="7"/>
        </w:rPr>
        <w:t>因存在明确联系。</w:t>
      </w:r>
    </w:p>
    <w:p>
      <w:pPr>
        <w:pStyle w:val="BodyText"/>
        <w:ind w:left="25" w:right="332" w:firstLine="412"/>
        <w:spacing w:before="179" w:line="306" w:lineRule="auto"/>
        <w:rPr/>
      </w:pPr>
      <w:r>
        <w:rPr>
          <w:spacing w:val="8"/>
        </w:rPr>
        <w:t>（</w:t>
      </w:r>
      <w:r>
        <w:rPr>
          <w:spacing w:val="-45"/>
        </w:rPr>
        <w:t xml:space="preserve"> </w:t>
      </w:r>
      <w:r>
        <w:rPr>
          <w:rFonts w:ascii="Times New Roman" w:hAnsi="Times New Roman" w:eastAsia="Times New Roman" w:cs="Times New Roman"/>
          <w:spacing w:val="8"/>
        </w:rPr>
        <w:t>5</w:t>
      </w:r>
      <w:r>
        <w:rPr>
          <w:rFonts w:ascii="Times New Roman" w:hAnsi="Times New Roman" w:eastAsia="Times New Roman" w:cs="Times New Roman"/>
          <w:spacing w:val="-19"/>
        </w:rPr>
        <w:t xml:space="preserve"> </w:t>
      </w:r>
      <w:r>
        <w:rPr>
          <w:spacing w:val="8"/>
        </w:rPr>
        <w:t>）市政府及卫生健康行政部门认定的</w:t>
      </w:r>
      <w:r>
        <w:rPr>
          <w:spacing w:val="6"/>
        </w:rPr>
        <w:t>其他情形。</w:t>
      </w:r>
    </w:p>
    <w:p>
      <w:pPr>
        <w:pStyle w:val="BodyText"/>
        <w:ind w:left="25" w:right="327" w:firstLine="440"/>
        <w:spacing w:before="175" w:line="387" w:lineRule="auto"/>
        <w:rPr/>
      </w:pPr>
      <w:r>
        <w:rPr>
          <w:rFonts w:ascii="Times New Roman" w:hAnsi="Times New Roman" w:eastAsia="Times New Roman" w:cs="Times New Roman"/>
          <w:spacing w:val="7"/>
        </w:rPr>
        <w:t>1.5.4 </w:t>
      </w:r>
      <w:r>
        <w:rPr>
          <w:spacing w:val="7"/>
        </w:rPr>
        <w:t>一般突发中毒事件（</w:t>
      </w:r>
      <w:r>
        <w:rPr>
          <w:rFonts w:ascii="Times New Roman" w:hAnsi="Times New Roman" w:eastAsia="Times New Roman" w:cs="Times New Roman"/>
        </w:rPr>
        <w:t>IV</w:t>
      </w:r>
      <w:r>
        <w:rPr>
          <w:rFonts w:ascii="Times New Roman" w:hAnsi="Times New Roman" w:eastAsia="Times New Roman" w:cs="Times New Roman"/>
          <w:spacing w:val="7"/>
        </w:rPr>
        <w:t xml:space="preserve"> </w:t>
      </w:r>
      <w:r>
        <w:rPr>
          <w:spacing w:val="7"/>
        </w:rPr>
        <w:t>级）</w:t>
      </w:r>
      <w:r>
        <w:rPr>
          <w:spacing w:val="-52"/>
        </w:rPr>
        <w:t xml:space="preserve"> </w:t>
      </w:r>
      <w:r>
        <w:rPr>
          <w:spacing w:val="7"/>
        </w:rPr>
        <w:t>。有下</w:t>
      </w:r>
      <w:r>
        <w:rPr>
          <w:spacing w:val="9"/>
        </w:rPr>
        <w:t>列情形之一的为一般突发中毒事件：</w:t>
      </w:r>
    </w:p>
    <w:p>
      <w:pPr>
        <w:pStyle w:val="BodyText"/>
        <w:ind w:left="31" w:right="329" w:firstLine="405"/>
        <w:spacing w:before="1" w:line="305" w:lineRule="auto"/>
        <w:rPr/>
      </w:pPr>
      <w:r>
        <w:rPr>
          <w:spacing w:val="29"/>
        </w:rPr>
        <w:t>（</w:t>
      </w:r>
      <w:r>
        <w:rPr>
          <w:spacing w:val="-10"/>
        </w:rPr>
        <w:t xml:space="preserve"> </w:t>
      </w:r>
      <w:r>
        <w:rPr>
          <w:rFonts w:ascii="Times New Roman" w:hAnsi="Times New Roman" w:eastAsia="Times New Roman" w:cs="Times New Roman"/>
          <w:spacing w:val="29"/>
        </w:rPr>
        <w:t>1 </w:t>
      </w:r>
      <w:r>
        <w:rPr>
          <w:spacing w:val="29"/>
        </w:rPr>
        <w:t>）一起突发中毒事件暴露人数在</w:t>
      </w:r>
      <w:r>
        <w:rPr>
          <w:rFonts w:ascii="Times New Roman" w:hAnsi="Times New Roman" w:eastAsia="Times New Roman" w:cs="Times New Roman"/>
          <w:spacing w:val="3"/>
        </w:rPr>
        <w:t>50-999 </w:t>
      </w:r>
      <w:r>
        <w:rPr>
          <w:spacing w:val="3"/>
        </w:rPr>
        <w:t>人。</w:t>
      </w:r>
    </w:p>
    <w:p>
      <w:pPr>
        <w:pStyle w:val="BodyText"/>
        <w:ind w:left="25" w:right="333" w:firstLine="412"/>
        <w:spacing w:before="181" w:line="308" w:lineRule="auto"/>
        <w:rPr/>
      </w:pPr>
      <w:r>
        <w:rPr>
          <w:spacing w:val="6"/>
        </w:rPr>
        <w:t>（</w:t>
      </w:r>
      <w:r>
        <w:rPr>
          <w:rFonts w:ascii="Times New Roman" w:hAnsi="Times New Roman" w:eastAsia="Times New Roman" w:cs="Times New Roman"/>
          <w:spacing w:val="6"/>
        </w:rPr>
        <w:t>2</w:t>
      </w:r>
      <w:r>
        <w:rPr>
          <w:rFonts w:ascii="Times New Roman" w:hAnsi="Times New Roman" w:eastAsia="Times New Roman" w:cs="Times New Roman"/>
          <w:spacing w:val="-12"/>
        </w:rPr>
        <w:t xml:space="preserve"> </w:t>
      </w:r>
      <w:r>
        <w:rPr>
          <w:spacing w:val="6"/>
        </w:rPr>
        <w:t>）一起突发中毒事件，中毒人数在</w:t>
      </w:r>
      <w:r>
        <w:rPr>
          <w:spacing w:val="-23"/>
        </w:rPr>
        <w:t xml:space="preserve"> </w:t>
      </w:r>
      <w:r>
        <w:rPr>
          <w:rFonts w:ascii="Times New Roman" w:hAnsi="Times New Roman" w:eastAsia="Times New Roman" w:cs="Times New Roman"/>
          <w:spacing w:val="6"/>
        </w:rPr>
        <w:t>10</w:t>
      </w:r>
      <w:r>
        <w:rPr>
          <w:spacing w:val="6"/>
        </w:rPr>
        <w:t>人及以上且无人员死亡；或死亡</w:t>
      </w:r>
      <w:r>
        <w:rPr>
          <w:spacing w:val="-8"/>
        </w:rPr>
        <w:t xml:space="preserve"> </w:t>
      </w:r>
      <w:r>
        <w:rPr>
          <w:rFonts w:ascii="Times New Roman" w:hAnsi="Times New Roman" w:eastAsia="Times New Roman" w:cs="Times New Roman"/>
          <w:spacing w:val="6"/>
        </w:rPr>
        <w:t>1-2 </w:t>
      </w:r>
      <w:r>
        <w:rPr>
          <w:spacing w:val="6"/>
        </w:rPr>
        <w:t>人。</w:t>
      </w:r>
    </w:p>
    <w:p>
      <w:pPr>
        <w:pStyle w:val="BodyText"/>
        <w:ind w:left="29" w:right="262" w:firstLine="408"/>
        <w:spacing w:before="172" w:line="347" w:lineRule="auto"/>
        <w:rPr/>
      </w:pPr>
      <w:r>
        <w:rPr>
          <w:spacing w:val="5"/>
        </w:rPr>
        <w:t>（</w:t>
      </w:r>
      <w:r>
        <w:rPr>
          <w:rFonts w:ascii="Times New Roman" w:hAnsi="Times New Roman" w:eastAsia="Times New Roman" w:cs="Times New Roman"/>
          <w:spacing w:val="5"/>
        </w:rPr>
        <w:t>3</w:t>
      </w:r>
      <w:r>
        <w:rPr>
          <w:rFonts w:ascii="Times New Roman" w:hAnsi="Times New Roman" w:eastAsia="Times New Roman" w:cs="Times New Roman"/>
          <w:spacing w:val="-21"/>
        </w:rPr>
        <w:t xml:space="preserve"> </w:t>
      </w:r>
      <w:r>
        <w:rPr>
          <w:spacing w:val="5"/>
        </w:rPr>
        <w:t>）在一个县区级行政区域</w:t>
      </w:r>
      <w:r>
        <w:rPr>
          <w:spacing w:val="-43"/>
        </w:rPr>
        <w:t xml:space="preserve"> </w:t>
      </w:r>
      <w:r>
        <w:rPr>
          <w:rFonts w:ascii="Times New Roman" w:hAnsi="Times New Roman" w:eastAsia="Times New Roman" w:cs="Times New Roman"/>
          <w:spacing w:val="5"/>
        </w:rPr>
        <w:t>24 </w:t>
      </w:r>
      <w:r>
        <w:rPr>
          <w:spacing w:val="5"/>
        </w:rPr>
        <w:t>小时内出</w:t>
      </w:r>
      <w:r>
        <w:rPr>
          <w:spacing w:val="16"/>
        </w:rPr>
        <w:t>现</w:t>
      </w:r>
      <w:r>
        <w:rPr>
          <w:spacing w:val="-29"/>
        </w:rPr>
        <w:t xml:space="preserve"> </w:t>
      </w:r>
      <w:r>
        <w:rPr>
          <w:rFonts w:ascii="Times New Roman" w:hAnsi="Times New Roman" w:eastAsia="Times New Roman" w:cs="Times New Roman"/>
          <w:spacing w:val="16"/>
        </w:rPr>
        <w:t>2 </w:t>
      </w:r>
      <w:r>
        <w:rPr>
          <w:spacing w:val="16"/>
        </w:rPr>
        <w:t>起及以上可能存在联系的同类中毒事件</w:t>
      </w:r>
      <w:r>
        <w:rPr>
          <w:spacing w:val="3"/>
        </w:rPr>
        <w:t>时，累计中毒人数</w:t>
      </w:r>
      <w:r>
        <w:rPr>
          <w:spacing w:val="-8"/>
        </w:rPr>
        <w:t xml:space="preserve"> </w:t>
      </w:r>
      <w:r>
        <w:rPr>
          <w:rFonts w:ascii="Times New Roman" w:hAnsi="Times New Roman" w:eastAsia="Times New Roman" w:cs="Times New Roman"/>
          <w:spacing w:val="3"/>
        </w:rPr>
        <w:t>10 </w:t>
      </w:r>
      <w:r>
        <w:rPr>
          <w:spacing w:val="3"/>
        </w:rPr>
        <w:t>人及以上且无人员死亡；</w:t>
      </w:r>
      <w:r>
        <w:rPr>
          <w:spacing w:val="2"/>
        </w:rPr>
        <w:t>或死亡</w:t>
      </w:r>
      <w:r>
        <w:rPr>
          <w:spacing w:val="-22"/>
        </w:rPr>
        <w:t xml:space="preserve"> </w:t>
      </w:r>
      <w:r>
        <w:rPr>
          <w:rFonts w:ascii="Times New Roman" w:hAnsi="Times New Roman" w:eastAsia="Times New Roman" w:cs="Times New Roman"/>
          <w:spacing w:val="2"/>
        </w:rPr>
        <w:t>1-2 </w:t>
      </w:r>
      <w:r>
        <w:rPr>
          <w:spacing w:val="2"/>
        </w:rPr>
        <w:t>人。</w:t>
      </w:r>
    </w:p>
    <w:p>
      <w:pPr>
        <w:pStyle w:val="BodyText"/>
        <w:ind w:left="43" w:right="332" w:firstLine="394"/>
        <w:spacing w:before="178" w:line="306"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）县区政府及卫生健康行政部门认定</w:t>
      </w:r>
      <w:r>
        <w:rPr>
          <w:spacing w:val="4"/>
        </w:rPr>
        <w:t>的其他情形。</w:t>
      </w:r>
    </w:p>
    <w:p>
      <w:pPr>
        <w:ind w:left="447"/>
        <w:spacing w:before="168" w:line="17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2</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7"/>
        </w:rPr>
        <w:t>应急组织体系及职责</w:t>
      </w:r>
    </w:p>
    <w:p>
      <w:pPr>
        <w:spacing w:line="14" w:lineRule="auto"/>
        <w:rPr>
          <w:rFonts w:ascii="Arial"/>
          <w:sz w:val="2"/>
        </w:rPr>
      </w:pPr>
      <w:r>
        <w:rPr>
          <w:rFonts w:ascii="Arial" w:hAnsi="Arial" w:eastAsia="Arial" w:cs="Arial"/>
          <w:sz w:val="2"/>
          <w:szCs w:val="2"/>
        </w:rPr>
        <w:br w:type="column"/>
      </w:r>
    </w:p>
    <w:p>
      <w:pPr>
        <w:pStyle w:val="BodyText"/>
        <w:ind w:right="101" w:firstLine="421"/>
        <w:spacing w:before="44" w:line="388" w:lineRule="auto"/>
        <w:jc w:val="both"/>
        <w:rPr/>
      </w:pPr>
      <w:r>
        <w:rPr>
          <w:rFonts w:ascii="Times New Roman" w:hAnsi="Times New Roman" w:eastAsia="Times New Roman" w:cs="Times New Roman"/>
          <w:spacing w:val="7"/>
        </w:rPr>
        <w:t>2.</w:t>
      </w:r>
      <w:r>
        <w:rPr>
          <w:rFonts w:ascii="Times New Roman" w:hAnsi="Times New Roman" w:eastAsia="Times New Roman" w:cs="Times New Roman"/>
          <w:spacing w:val="-23"/>
        </w:rPr>
        <w:t xml:space="preserve"> </w:t>
      </w:r>
      <w:r>
        <w:rPr>
          <w:rFonts w:ascii="Times New Roman" w:hAnsi="Times New Roman" w:eastAsia="Times New Roman" w:cs="Times New Roman"/>
          <w:spacing w:val="7"/>
        </w:rPr>
        <w:t>1  </w:t>
      </w:r>
      <w:r>
        <w:rPr>
          <w:rFonts w:ascii="KaiTi" w:hAnsi="KaiTi" w:eastAsia="KaiTi" w:cs="KaiTi"/>
          <w:spacing w:val="7"/>
        </w:rPr>
        <w:t>卫生健康行政部门。</w:t>
      </w:r>
      <w:r>
        <w:rPr>
          <w:spacing w:val="7"/>
        </w:rPr>
        <w:t>在市政府的统一</w:t>
      </w:r>
      <w:r>
        <w:rPr>
          <w:spacing w:val="7"/>
        </w:rPr>
        <w:t>领导和自治区卫生健康委的指导下，市卫生健</w:t>
      </w:r>
      <w:r>
        <w:rPr>
          <w:spacing w:val="7"/>
        </w:rPr>
        <w:t>康委负责组织、协调全市突发中毒事件的卫生</w:t>
      </w:r>
      <w:r>
        <w:rPr>
          <w:spacing w:val="7"/>
        </w:rPr>
        <w:t>应急工作，配合相关部门，做好安全生产或环</w:t>
      </w:r>
      <w:r>
        <w:rPr>
          <w:spacing w:val="7"/>
        </w:rPr>
        <w:t>境污染等突发事件中，涉及群体中毒的卫生应</w:t>
      </w:r>
      <w:r>
        <w:rPr>
          <w:spacing w:val="7"/>
        </w:rPr>
        <w:t>急工作。市卫生健康委应急办公室负责突发中</w:t>
      </w:r>
      <w:r>
        <w:rPr>
          <w:spacing w:val="8"/>
        </w:rPr>
        <w:t>毒事件卫生应急的日常管理工作。</w:t>
      </w:r>
    </w:p>
    <w:p>
      <w:pPr>
        <w:pStyle w:val="BodyText"/>
        <w:ind w:right="20" w:firstLine="420"/>
        <w:spacing w:before="7" w:line="386" w:lineRule="auto"/>
        <w:jc w:val="both"/>
        <w:rPr/>
      </w:pPr>
      <w:r>
        <w:rPr>
          <w:spacing w:val="6"/>
        </w:rPr>
        <w:t>各县（区）卫生健康行政部门在本级政府</w:t>
      </w:r>
      <w:r>
        <w:rPr>
          <w:spacing w:val="7"/>
        </w:rPr>
        <w:t>领导下，负责组织、协调本行政区域内突发中</w:t>
      </w:r>
      <w:r>
        <w:rPr>
          <w:spacing w:val="7"/>
        </w:rPr>
        <w:t>毒事件的卫生应急工作；配合相关部门，做好</w:t>
      </w:r>
      <w:r>
        <w:rPr>
          <w:spacing w:val="7"/>
        </w:rPr>
        <w:t>安全生产或环境污染等突发事件中，涉及群体</w:t>
      </w:r>
      <w:r>
        <w:rPr>
          <w:spacing w:val="11"/>
        </w:rPr>
        <w:t>中毒的卫生应急工作。按照分级处置的原则，</w:t>
      </w:r>
      <w:r>
        <w:rPr>
          <w:spacing w:val="1"/>
        </w:rPr>
        <w:t>县（区）卫生健康行政部门分别负责统一指挥、</w:t>
      </w:r>
      <w:r>
        <w:rPr>
          <w:spacing w:val="18"/>
        </w:rPr>
        <w:t>协调较大和一般级别的突发中毒事件的卫生</w:t>
      </w:r>
      <w:r>
        <w:rPr>
          <w:spacing w:val="6"/>
        </w:rPr>
        <w:t>应急工作。</w:t>
      </w:r>
    </w:p>
    <w:p>
      <w:pPr>
        <w:pStyle w:val="BodyText"/>
        <w:ind w:right="94" w:firstLine="421"/>
        <w:spacing w:before="7" w:line="388" w:lineRule="auto"/>
        <w:jc w:val="both"/>
        <w:rPr/>
      </w:pPr>
      <w:r>
        <w:rPr>
          <w:rFonts w:ascii="Times New Roman" w:hAnsi="Times New Roman" w:eastAsia="Times New Roman" w:cs="Times New Roman"/>
          <w:spacing w:val="7"/>
        </w:rPr>
        <w:t>2.2</w:t>
      </w:r>
      <w:r>
        <w:rPr>
          <w:rFonts w:ascii="Times New Roman" w:hAnsi="Times New Roman" w:eastAsia="Times New Roman" w:cs="Times New Roman"/>
          <w:spacing w:val="20"/>
          <w:w w:val="101"/>
        </w:rPr>
        <w:t xml:space="preserve">  </w:t>
      </w:r>
      <w:r>
        <w:rPr>
          <w:rFonts w:ascii="KaiTi" w:hAnsi="KaiTi" w:eastAsia="KaiTi" w:cs="KaiTi"/>
          <w:spacing w:val="7"/>
        </w:rPr>
        <w:t>医疗卫生机构。</w:t>
      </w:r>
      <w:r>
        <w:rPr>
          <w:spacing w:val="7"/>
        </w:rPr>
        <w:t>各级各类医疗卫生机</w:t>
      </w:r>
      <w:r>
        <w:rPr>
          <w:spacing w:val="7"/>
        </w:rPr>
        <w:t>构是突发中毒事件卫生应急的专业技术机构，</w:t>
      </w:r>
      <w:r>
        <w:rPr>
          <w:spacing w:val="18"/>
        </w:rPr>
        <w:t>结合各自职责做好应对突发中毒事件的各种</w:t>
      </w:r>
      <w:r>
        <w:rPr>
          <w:spacing w:val="7"/>
        </w:rPr>
        <w:t>准备工作，加强专业技术人员能力培训，提高</w:t>
      </w:r>
      <w:r>
        <w:rPr>
          <w:spacing w:val="7"/>
        </w:rPr>
        <w:t>快速应对能力和技术水平。发生突发中毒事件</w:t>
      </w:r>
      <w:r>
        <w:rPr>
          <w:spacing w:val="7"/>
        </w:rPr>
        <w:t>后，在本级政府卫生健康行政部门领导下，开</w:t>
      </w:r>
      <w:r>
        <w:rPr>
          <w:spacing w:val="8"/>
        </w:rPr>
        <w:t>展卫生应急处理工作。</w:t>
      </w:r>
    </w:p>
    <w:p>
      <w:pPr>
        <w:pStyle w:val="BodyText"/>
        <w:ind w:right="98" w:firstLine="421"/>
        <w:spacing w:line="387" w:lineRule="auto"/>
        <w:jc w:val="both"/>
        <w:rPr/>
      </w:pPr>
      <w:r>
        <w:rPr>
          <w:rFonts w:ascii="Times New Roman" w:hAnsi="Times New Roman" w:eastAsia="Times New Roman" w:cs="Times New Roman"/>
          <w:spacing w:val="2"/>
        </w:rPr>
        <w:t>2.2.1</w:t>
      </w:r>
      <w:r>
        <w:rPr>
          <w:rFonts w:ascii="Times New Roman" w:hAnsi="Times New Roman" w:eastAsia="Times New Roman" w:cs="Times New Roman"/>
          <w:spacing w:val="34"/>
          <w:w w:val="101"/>
        </w:rPr>
        <w:t xml:space="preserve"> </w:t>
      </w:r>
      <w:r>
        <w:rPr>
          <w:spacing w:val="2"/>
        </w:rPr>
        <w:t>中毒救治基地及指定救治机构。各级</w:t>
      </w:r>
      <w:r>
        <w:rPr>
          <w:spacing w:val="18"/>
        </w:rPr>
        <w:t>卫生健康行政部门应当确立本级中毒救治基</w:t>
      </w:r>
      <w:r>
        <w:rPr>
          <w:spacing w:val="7"/>
        </w:rPr>
        <w:t>地或指定救治机构，承担突发中毒事件的卫生</w:t>
      </w:r>
      <w:r>
        <w:rPr>
          <w:spacing w:val="7"/>
        </w:rPr>
        <w:t>应急相关工作。</w:t>
      </w:r>
    </w:p>
    <w:p>
      <w:pPr>
        <w:pStyle w:val="BodyText"/>
        <w:ind w:right="101" w:firstLine="413"/>
        <w:spacing w:before="1" w:line="354" w:lineRule="auto"/>
        <w:jc w:val="both"/>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）市医院根据需要承担特别重大和重</w:t>
      </w:r>
      <w:r>
        <w:rPr>
          <w:spacing w:val="18"/>
        </w:rPr>
        <w:t>大级别的突发化学中毒事件现场卫生应急调</w:t>
      </w:r>
      <w:r>
        <w:rPr>
          <w:spacing w:val="7"/>
        </w:rPr>
        <w:t>查及医疗应急救援工作，负责全市突发化学中</w:t>
      </w:r>
      <w:r>
        <w:rPr>
          <w:spacing w:val="7"/>
        </w:rPr>
        <w:t>毒事件的毒物检测指导和培训，指导各地职业</w:t>
      </w:r>
      <w:r>
        <w:rPr>
          <w:spacing w:val="7"/>
        </w:rPr>
        <w:t>病防治机构职业中毒卫生应急工作；开展中毒</w:t>
      </w:r>
    </w:p>
    <w:p>
      <w:pPr>
        <w:spacing w:line="354" w:lineRule="auto"/>
        <w:sectPr>
          <w:type w:val="continuous"/>
          <w:pgSz w:w="11906" w:h="16839"/>
          <w:pgMar w:top="1772" w:right="1489" w:bottom="1584" w:left="1567" w:header="1428" w:footer="1172" w:gutter="0"/>
          <w:cols w:equalWidth="0" w:num="2">
            <w:col w:w="4502" w:space="100"/>
            <w:col w:w="4249" w:space="0"/>
          </w:cols>
        </w:sectPr>
        <w:rPr/>
      </w:pPr>
    </w:p>
    <w:p>
      <w:pPr>
        <w:spacing w:before="94"/>
        <w:rPr/>
      </w:pPr>
      <w:r>
        <w:drawing>
          <wp:anchor distT="0" distB="0" distL="0" distR="0" simplePos="0" relativeHeight="25347584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952" name="IM 1952"/>
            <wp:cNvGraphicFramePr/>
            <a:graphic>
              <a:graphicData uri="http://schemas.openxmlformats.org/drawingml/2006/picture">
                <pic:pic>
                  <pic:nvPicPr>
                    <pic:cNvPr id="1952" name="IM 1952"/>
                    <pic:cNvPicPr/>
                  </pic:nvPicPr>
                  <pic:blipFill>
                    <a:blip r:embed="rId978"/>
                    <a:stretch>
                      <a:fillRect/>
                    </a:stretch>
                  </pic:blipFill>
                  <pic:spPr>
                    <a:xfrm rot="0">
                      <a:off x="0" y="0"/>
                      <a:ext cx="5579745" cy="7620"/>
                    </a:xfrm>
                    <a:prstGeom prst="rect">
                      <a:avLst/>
                    </a:prstGeom>
                  </pic:spPr>
                </pic:pic>
              </a:graphicData>
            </a:graphic>
          </wp:anchor>
        </w:drawing>
      </w:r>
      <w:r/>
    </w:p>
    <w:p>
      <w:pPr>
        <w:sectPr>
          <w:headerReference w:type="default" r:id="rId549"/>
          <w:footerReference w:type="default" r:id="rId977"/>
          <w:pgSz w:w="11906" w:h="16839"/>
          <w:pgMar w:top="1766" w:right="1530" w:bottom="1575" w:left="1579" w:header="1428" w:footer="1172" w:gutter="0"/>
          <w:cols w:equalWidth="0" w:num="1">
            <w:col w:w="8796" w:space="0"/>
          </w:cols>
        </w:sectPr>
        <w:rPr/>
      </w:pPr>
    </w:p>
    <w:p>
      <w:pPr>
        <w:pStyle w:val="BodyText"/>
        <w:ind w:left="14"/>
        <w:spacing w:before="41" w:line="222" w:lineRule="auto"/>
        <w:rPr/>
      </w:pPr>
      <w:r>
        <w:rPr>
          <w:spacing w:val="9"/>
        </w:rPr>
        <w:t>检测、诊断的研究以及中毒信息咨询工作。</w:t>
      </w:r>
    </w:p>
    <w:p>
      <w:pPr>
        <w:pStyle w:val="BodyText"/>
        <w:ind w:left="12" w:right="329" w:firstLine="422"/>
        <w:spacing w:before="181" w:line="387" w:lineRule="auto"/>
        <w:jc w:val="both"/>
        <w:rPr/>
      </w:pPr>
      <w:r>
        <w:rPr>
          <w:spacing w:val="19"/>
        </w:rPr>
        <w:t>根据需要承担特别重大和重大级别的突</w:t>
      </w:r>
      <w:r>
        <w:rPr>
          <w:spacing w:val="7"/>
        </w:rPr>
        <w:t>发中毒事件中毒病人救治工作，负责全市中毒</w:t>
      </w:r>
      <w:r>
        <w:rPr>
          <w:spacing w:val="7"/>
        </w:rPr>
        <w:t>事件的救治技术指导和培训，开展中毒救治技</w:t>
      </w:r>
      <w:r>
        <w:rPr>
          <w:spacing w:val="7"/>
        </w:rPr>
        <w:t>术的研究，指导和支持各地中毒救治基地卫生</w:t>
      </w:r>
      <w:r>
        <w:rPr>
          <w:spacing w:val="7"/>
        </w:rPr>
        <w:t>应急工作，开展中毒救治技术的研究和中毒信</w:t>
      </w:r>
      <w:r>
        <w:rPr>
          <w:spacing w:val="7"/>
        </w:rPr>
        <w:t>息咨询工作。</w:t>
      </w:r>
    </w:p>
    <w:p>
      <w:pPr>
        <w:pStyle w:val="BodyText"/>
        <w:ind w:left="14" w:right="329" w:firstLine="410"/>
        <w:spacing w:before="3" w:line="360" w:lineRule="auto"/>
        <w:rPr/>
      </w:pPr>
      <w:r>
        <w:rPr>
          <w:spacing w:val="9"/>
        </w:rPr>
        <w:t>（</w:t>
      </w:r>
      <w:r>
        <w:rPr>
          <w:rFonts w:ascii="Times New Roman" w:hAnsi="Times New Roman" w:eastAsia="Times New Roman" w:cs="Times New Roman"/>
          <w:spacing w:val="9"/>
        </w:rPr>
        <w:t>2 </w:t>
      </w:r>
      <w:r>
        <w:rPr>
          <w:spacing w:val="9"/>
        </w:rPr>
        <w:t>）固原市疾病预防控制中心根据需要</w:t>
      </w:r>
      <w:r>
        <w:rPr>
          <w:spacing w:val="18"/>
        </w:rPr>
        <w:t>承担特别重大和重大级别的食品中毒事件现</w:t>
      </w:r>
      <w:r>
        <w:rPr>
          <w:spacing w:val="7"/>
        </w:rPr>
        <w:t>场卫生应急工作，负责全市食品中毒事件的毒</w:t>
      </w:r>
      <w:r>
        <w:rPr>
          <w:spacing w:val="7"/>
        </w:rPr>
        <w:t>物检测指导和培训；指导和支持地方疾病预防</w:t>
      </w:r>
      <w:r>
        <w:rPr>
          <w:spacing w:val="7"/>
        </w:rPr>
        <w:t>控制机构卫生应急工作；开展中毒检测、诊断</w:t>
      </w:r>
      <w:r>
        <w:rPr>
          <w:spacing w:val="8"/>
        </w:rPr>
        <w:t>的研究以及中毒信息咨询工作。</w:t>
      </w:r>
    </w:p>
    <w:p>
      <w:pPr>
        <w:pStyle w:val="BodyText"/>
        <w:ind w:left="15" w:right="329" w:firstLine="409"/>
        <w:spacing w:before="174" w:line="347" w:lineRule="auto"/>
        <w:rPr/>
      </w:pPr>
      <w:r>
        <w:rPr>
          <w:spacing w:val="3"/>
        </w:rPr>
        <w:t>（</w:t>
      </w:r>
      <w:r>
        <w:rPr>
          <w:rFonts w:ascii="Times New Roman" w:hAnsi="Times New Roman" w:eastAsia="Times New Roman" w:cs="Times New Roman"/>
          <w:spacing w:val="3"/>
        </w:rPr>
        <w:t>3</w:t>
      </w:r>
      <w:r>
        <w:rPr>
          <w:rFonts w:ascii="Times New Roman" w:hAnsi="Times New Roman" w:eastAsia="Times New Roman" w:cs="Times New Roman"/>
          <w:spacing w:val="-9"/>
        </w:rPr>
        <w:t xml:space="preserve"> </w:t>
      </w:r>
      <w:r>
        <w:rPr>
          <w:spacing w:val="3"/>
        </w:rPr>
        <w:t>）各县（</w:t>
      </w:r>
      <w:r>
        <w:rPr>
          <w:spacing w:val="-47"/>
        </w:rPr>
        <w:t xml:space="preserve"> </w:t>
      </w:r>
      <w:r>
        <w:rPr>
          <w:spacing w:val="3"/>
        </w:rPr>
        <w:t>区）</w:t>
      </w:r>
      <w:r>
        <w:rPr>
          <w:spacing w:val="-59"/>
        </w:rPr>
        <w:t xml:space="preserve"> </w:t>
      </w:r>
      <w:r>
        <w:rPr>
          <w:spacing w:val="3"/>
        </w:rPr>
        <w:t>中毒指定救治机构</w:t>
      </w:r>
      <w:r>
        <w:rPr>
          <w:spacing w:val="-59"/>
        </w:rPr>
        <w:t xml:space="preserve"> </w:t>
      </w:r>
      <w:r>
        <w:rPr>
          <w:spacing w:val="3"/>
        </w:rPr>
        <w:t>，负</w:t>
      </w:r>
      <w:r>
        <w:rPr>
          <w:spacing w:val="18"/>
        </w:rPr>
        <w:t>责辖区内突发中毒事件的现场处理和临床诊</w:t>
      </w:r>
      <w:r>
        <w:rPr>
          <w:spacing w:val="7"/>
        </w:rPr>
        <w:t>治技术指导；面向辖区提供中毒信息服务；承</w:t>
      </w:r>
      <w:r>
        <w:rPr>
          <w:spacing w:val="9"/>
        </w:rPr>
        <w:t>担本辖区内中毒事件现场医学处理工作。</w:t>
      </w:r>
    </w:p>
    <w:p>
      <w:pPr>
        <w:pStyle w:val="BodyText"/>
        <w:ind w:left="433"/>
        <w:spacing w:before="184" w:line="217" w:lineRule="auto"/>
        <w:rPr/>
      </w:pPr>
      <w:r>
        <w:rPr>
          <w:rFonts w:ascii="Times New Roman" w:hAnsi="Times New Roman" w:eastAsia="Times New Roman" w:cs="Times New Roman"/>
          <w:spacing w:val="5"/>
        </w:rPr>
        <w:t>2.2.2 </w:t>
      </w:r>
      <w:r>
        <w:rPr>
          <w:spacing w:val="5"/>
        </w:rPr>
        <w:t>相关医疗机构。</w:t>
      </w:r>
    </w:p>
    <w:p>
      <w:pPr>
        <w:pStyle w:val="BodyText"/>
        <w:ind w:left="14" w:right="332" w:firstLine="410"/>
        <w:spacing w:before="179" w:line="306"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）开展突发中毒事件和中毒病例报告</w:t>
      </w:r>
      <w:r>
        <w:rPr>
          <w:spacing w:val="4"/>
        </w:rPr>
        <w:t>工作。</w:t>
      </w:r>
    </w:p>
    <w:p>
      <w:pPr>
        <w:pStyle w:val="BodyText"/>
        <w:ind w:left="14" w:right="332" w:firstLine="410"/>
        <w:spacing w:before="176" w:line="306"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）开展中毒病人的现场医疗救治、转</w:t>
      </w:r>
      <w:r>
        <w:rPr>
          <w:spacing w:val="8"/>
        </w:rPr>
        <w:t>运、院内诊疗工作。</w:t>
      </w:r>
    </w:p>
    <w:p>
      <w:pPr>
        <w:pStyle w:val="BodyText"/>
        <w:ind w:left="13" w:right="332" w:firstLine="411"/>
        <w:spacing w:before="177" w:line="306" w:lineRule="auto"/>
        <w:rPr/>
      </w:pPr>
      <w:r>
        <w:rPr>
          <w:spacing w:val="9"/>
        </w:rPr>
        <w:t>（</w:t>
      </w:r>
      <w:r>
        <w:rPr>
          <w:rFonts w:ascii="Times New Roman" w:hAnsi="Times New Roman" w:eastAsia="Times New Roman" w:cs="Times New Roman"/>
          <w:spacing w:val="9"/>
        </w:rPr>
        <w:t>3 </w:t>
      </w:r>
      <w:r>
        <w:rPr>
          <w:spacing w:val="9"/>
        </w:rPr>
        <w:t>）向当地卫生健康行政部门报告中毒</w:t>
      </w:r>
      <w:r>
        <w:rPr>
          <w:spacing w:val="7"/>
        </w:rPr>
        <w:t>病人转归情况。</w:t>
      </w:r>
    </w:p>
    <w:p>
      <w:pPr>
        <w:pStyle w:val="BodyText"/>
        <w:ind w:left="12" w:right="332" w:firstLine="412"/>
        <w:spacing w:before="177" w:line="307"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）协助疾病预防控制机构开展中毒病</w:t>
      </w:r>
      <w:r>
        <w:rPr>
          <w:spacing w:val="9"/>
        </w:rPr>
        <w:t>人的流行病学调查，并采集有关生物样本。</w:t>
      </w:r>
    </w:p>
    <w:p>
      <w:pPr>
        <w:pStyle w:val="BodyText"/>
        <w:ind w:left="14" w:right="327" w:firstLine="419"/>
        <w:spacing w:before="179" w:line="386" w:lineRule="auto"/>
        <w:rPr/>
      </w:pPr>
      <w:r>
        <w:rPr>
          <w:rFonts w:ascii="Times New Roman" w:hAnsi="Times New Roman" w:eastAsia="Times New Roman" w:cs="Times New Roman"/>
          <w:spacing w:val="3"/>
        </w:rPr>
        <w:t>2.2.3 </w:t>
      </w:r>
      <w:r>
        <w:rPr>
          <w:spacing w:val="3"/>
        </w:rPr>
        <w:t>疾病预防控制机构。根据需要，配合</w:t>
      </w:r>
      <w:r>
        <w:rPr>
          <w:spacing w:val="8"/>
        </w:rPr>
        <w:t>相关部门，完成以下工作：</w:t>
      </w:r>
    </w:p>
    <w:p>
      <w:pPr>
        <w:pStyle w:val="BodyText"/>
        <w:ind w:left="14" w:right="332" w:firstLine="410"/>
        <w:spacing w:before="1" w:line="306"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）开展突发中毒事件的监测、报告和</w:t>
      </w:r>
      <w:r>
        <w:rPr>
          <w:spacing w:val="6"/>
        </w:rPr>
        <w:t>分析工作。</w:t>
      </w:r>
    </w:p>
    <w:p>
      <w:pPr>
        <w:pStyle w:val="BodyText"/>
        <w:ind w:left="424"/>
        <w:spacing w:before="177" w:line="221"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）开展突发中毒事件的现场调查和处</w:t>
      </w:r>
    </w:p>
    <w:p>
      <w:pPr>
        <w:spacing w:line="14" w:lineRule="auto"/>
        <w:rPr>
          <w:rFonts w:ascii="Arial"/>
          <w:sz w:val="2"/>
        </w:rPr>
      </w:pPr>
      <w:r>
        <w:rPr>
          <w:rFonts w:ascii="Arial" w:hAnsi="Arial" w:eastAsia="Arial" w:cs="Arial"/>
          <w:sz w:val="2"/>
          <w:szCs w:val="2"/>
        </w:rPr>
        <w:br w:type="column"/>
      </w:r>
    </w:p>
    <w:p>
      <w:pPr>
        <w:pStyle w:val="BodyText"/>
        <w:ind w:left="3"/>
        <w:spacing w:before="39" w:line="225" w:lineRule="auto"/>
        <w:rPr/>
      </w:pPr>
      <w:r>
        <w:rPr>
          <w:spacing w:val="9"/>
        </w:rPr>
        <w:t>理，提出有针对性的现场预防控制措施建议。</w:t>
      </w:r>
    </w:p>
    <w:p>
      <w:pPr>
        <w:pStyle w:val="BodyText"/>
        <w:ind w:left="3" w:right="39" w:firstLine="409"/>
        <w:spacing w:before="173" w:line="333"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）开展突发中毒事件的现场快速鉴定</w:t>
      </w:r>
      <w:r>
        <w:rPr>
          <w:spacing w:val="7"/>
        </w:rPr>
        <w:t>和检测，按照有关技术规范采集样本，开展中</w:t>
      </w:r>
      <w:r>
        <w:rPr>
          <w:spacing w:val="8"/>
        </w:rPr>
        <w:t>毒事件样本的实验室鉴定、检验和检测工作。</w:t>
      </w:r>
    </w:p>
    <w:p>
      <w:pPr>
        <w:pStyle w:val="BodyText"/>
        <w:ind w:right="62" w:firstLine="412"/>
        <w:spacing w:before="178" w:line="306"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）开展突发中毒事件暴露人群的健康</w:t>
      </w:r>
      <w:r>
        <w:rPr>
          <w:spacing w:val="6"/>
        </w:rPr>
        <w:t>监护工作。</w:t>
      </w:r>
    </w:p>
    <w:p>
      <w:pPr>
        <w:pStyle w:val="BodyText"/>
        <w:ind w:left="2" w:right="62" w:firstLine="410"/>
        <w:spacing w:before="177" w:line="306" w:lineRule="auto"/>
        <w:rPr/>
      </w:pPr>
      <w:r>
        <w:rPr>
          <w:spacing w:val="8"/>
        </w:rPr>
        <w:t>（</w:t>
      </w:r>
      <w:r>
        <w:rPr>
          <w:spacing w:val="-45"/>
        </w:rPr>
        <w:t xml:space="preserve"> </w:t>
      </w:r>
      <w:r>
        <w:rPr>
          <w:rFonts w:ascii="Times New Roman" w:hAnsi="Times New Roman" w:eastAsia="Times New Roman" w:cs="Times New Roman"/>
          <w:spacing w:val="8"/>
        </w:rPr>
        <w:t>5</w:t>
      </w:r>
      <w:r>
        <w:rPr>
          <w:rFonts w:ascii="Times New Roman" w:hAnsi="Times New Roman" w:eastAsia="Times New Roman" w:cs="Times New Roman"/>
          <w:spacing w:val="-19"/>
        </w:rPr>
        <w:t xml:space="preserve"> </w:t>
      </w:r>
      <w:r>
        <w:rPr>
          <w:spacing w:val="8"/>
        </w:rPr>
        <w:t>）开展突发中毒事件的健康影响评价</w:t>
      </w:r>
      <w:r>
        <w:rPr>
          <w:spacing w:val="4"/>
        </w:rPr>
        <w:t>工作。</w:t>
      </w:r>
    </w:p>
    <w:p>
      <w:pPr>
        <w:pStyle w:val="BodyText"/>
        <w:ind w:left="421"/>
        <w:spacing w:before="182" w:line="216" w:lineRule="auto"/>
        <w:rPr/>
      </w:pPr>
      <w:r>
        <w:rPr>
          <w:rFonts w:ascii="Times New Roman" w:hAnsi="Times New Roman" w:eastAsia="Times New Roman" w:cs="Times New Roman"/>
          <w:spacing w:val="5"/>
        </w:rPr>
        <w:t>2.2.4 </w:t>
      </w:r>
      <w:r>
        <w:rPr>
          <w:spacing w:val="5"/>
        </w:rPr>
        <w:t>卫生监督机构。</w:t>
      </w:r>
    </w:p>
    <w:p>
      <w:pPr>
        <w:pStyle w:val="BodyText"/>
        <w:ind w:right="39" w:firstLine="413"/>
        <w:spacing w:before="180" w:line="334" w:lineRule="auto"/>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）在卫生健康行政部门领导下</w:t>
      </w:r>
      <w:r>
        <w:rPr>
          <w:spacing w:val="-59"/>
        </w:rPr>
        <w:t xml:space="preserve"> </w:t>
      </w:r>
      <w:r>
        <w:rPr>
          <w:spacing w:val="5"/>
        </w:rPr>
        <w:t>，协助</w:t>
      </w:r>
      <w:r>
        <w:rPr>
          <w:spacing w:val="18"/>
        </w:rPr>
        <w:t>对参与突发中毒事件处置的医疗卫生机构有</w:t>
      </w:r>
      <w:r>
        <w:rPr>
          <w:spacing w:val="8"/>
        </w:rPr>
        <w:t>关卫生应急措施的落实情况开展督导、检查。</w:t>
      </w:r>
    </w:p>
    <w:p>
      <w:pPr>
        <w:pStyle w:val="BodyText"/>
        <w:ind w:left="2" w:right="59" w:firstLine="410"/>
        <w:spacing w:before="174" w:line="333"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）协助卫生健康行政部门依据有关法</w:t>
      </w:r>
      <w:r>
        <w:rPr>
          <w:spacing w:val="7"/>
        </w:rPr>
        <w:t>律法规，调查处理突发中毒事件卫生应急工作</w:t>
      </w:r>
      <w:r>
        <w:rPr>
          <w:spacing w:val="7"/>
        </w:rPr>
        <w:t>中的违法行为。</w:t>
      </w:r>
    </w:p>
    <w:p>
      <w:pPr>
        <w:pStyle w:val="BodyText"/>
        <w:ind w:left="1" w:right="59" w:firstLine="411"/>
        <w:spacing w:before="176" w:line="347" w:lineRule="auto"/>
        <w:rPr/>
      </w:pPr>
      <w:r>
        <w:rPr>
          <w:spacing w:val="7"/>
        </w:rPr>
        <w:t>（</w:t>
      </w:r>
      <w:r>
        <w:rPr>
          <w:spacing w:val="-56"/>
        </w:rPr>
        <w:t xml:space="preserve"> </w:t>
      </w:r>
      <w:r>
        <w:rPr>
          <w:rFonts w:ascii="Times New Roman" w:hAnsi="Times New Roman" w:eastAsia="Times New Roman" w:cs="Times New Roman"/>
          <w:spacing w:val="7"/>
        </w:rPr>
        <w:t>3</w:t>
      </w:r>
      <w:r>
        <w:rPr>
          <w:rFonts w:ascii="Times New Roman" w:hAnsi="Times New Roman" w:eastAsia="Times New Roman" w:cs="Times New Roman"/>
          <w:spacing w:val="-16"/>
        </w:rPr>
        <w:t xml:space="preserve"> </w:t>
      </w:r>
      <w:r>
        <w:rPr>
          <w:spacing w:val="7"/>
        </w:rPr>
        <w:t>）根据</w:t>
      </w:r>
      <w:r>
        <w:rPr>
          <w:rFonts w:ascii="Times New Roman" w:hAnsi="Times New Roman" w:eastAsia="Times New Roman" w:cs="Times New Roman"/>
          <w:spacing w:val="7"/>
        </w:rPr>
        <w:t>“</w:t>
      </w:r>
      <w:r>
        <w:rPr>
          <w:spacing w:val="7"/>
        </w:rPr>
        <w:t>三定方案</w:t>
      </w:r>
      <w:r>
        <w:rPr>
          <w:rFonts w:ascii="Times New Roman" w:hAnsi="Times New Roman" w:eastAsia="Times New Roman" w:cs="Times New Roman"/>
          <w:spacing w:val="7"/>
        </w:rPr>
        <w:t>”</w:t>
      </w:r>
      <w:r>
        <w:rPr>
          <w:spacing w:val="7"/>
        </w:rPr>
        <w:t>规定明确的职责</w:t>
      </w:r>
      <w:r>
        <w:rPr>
          <w:spacing w:val="-56"/>
        </w:rPr>
        <w:t xml:space="preserve"> </w:t>
      </w:r>
      <w:r>
        <w:rPr>
          <w:spacing w:val="7"/>
        </w:rPr>
        <w:t>，</w:t>
      </w:r>
      <w:r>
        <w:rPr>
          <w:spacing w:val="7"/>
        </w:rPr>
        <w:t>协助食品药品监督管理、应急管理、生态环境</w:t>
      </w:r>
      <w:r>
        <w:rPr>
          <w:spacing w:val="18"/>
        </w:rPr>
        <w:t>等部门对突发中毒事件肇事单位和责任单位</w:t>
      </w:r>
      <w:r>
        <w:rPr>
          <w:spacing w:val="8"/>
        </w:rPr>
        <w:t>进行卫生执法监督。</w:t>
      </w:r>
    </w:p>
    <w:p>
      <w:pPr>
        <w:pStyle w:val="BodyText"/>
        <w:ind w:left="7" w:right="59" w:firstLine="414"/>
        <w:spacing w:before="178" w:line="389" w:lineRule="auto"/>
        <w:rPr/>
      </w:pPr>
      <w:r>
        <w:rPr>
          <w:rFonts w:ascii="Times New Roman" w:hAnsi="Times New Roman" w:eastAsia="Times New Roman" w:cs="Times New Roman"/>
          <w:spacing w:val="8"/>
        </w:rPr>
        <w:t>2.3  </w:t>
      </w:r>
      <w:r>
        <w:rPr>
          <w:rFonts w:ascii="KaiTi" w:hAnsi="KaiTi" w:eastAsia="KaiTi" w:cs="KaiTi"/>
          <w:spacing w:val="8"/>
        </w:rPr>
        <w:t>专家组。</w:t>
      </w:r>
      <w:r>
        <w:rPr>
          <w:spacing w:val="8"/>
        </w:rPr>
        <w:t>各级卫生健康行政部门设立</w:t>
      </w:r>
      <w:r>
        <w:rPr>
          <w:spacing w:val="8"/>
        </w:rPr>
        <w:t>突发中毒事件专家组，其主要职责：</w:t>
      </w:r>
    </w:p>
    <w:p>
      <w:pPr>
        <w:pStyle w:val="BodyText"/>
        <w:ind w:right="52" w:firstLine="420"/>
        <w:spacing w:line="388" w:lineRule="auto"/>
        <w:rPr/>
      </w:pPr>
      <w:r>
        <w:rPr>
          <w:spacing w:val="7"/>
        </w:rPr>
        <w:t>对突发中毒事件应急准备提出咨询建议，</w:t>
      </w:r>
      <w:r>
        <w:rPr>
          <w:spacing w:val="7"/>
        </w:rPr>
        <w:t>参与制订、修订突发中毒事件相关预案和技术</w:t>
      </w:r>
      <w:r>
        <w:rPr>
          <w:spacing w:val="5"/>
        </w:rPr>
        <w:t>方案。</w:t>
      </w:r>
    </w:p>
    <w:p>
      <w:pPr>
        <w:pStyle w:val="BodyText"/>
        <w:ind w:left="1" w:right="59" w:firstLine="419"/>
        <w:spacing w:before="4" w:line="387" w:lineRule="auto"/>
        <w:jc w:val="both"/>
        <w:rPr/>
      </w:pPr>
      <w:r>
        <w:rPr>
          <w:spacing w:val="19"/>
        </w:rPr>
        <w:t>对确定突发中毒事件预警和事件分级及</w:t>
      </w:r>
      <w:r>
        <w:rPr>
          <w:spacing w:val="7"/>
        </w:rPr>
        <w:t>采取相应的重要措施提出建议，对突发中毒事</w:t>
      </w:r>
      <w:r>
        <w:rPr>
          <w:spacing w:val="7"/>
        </w:rPr>
        <w:t>件应急处理进行技术指导，对突发中毒事件应</w:t>
      </w:r>
      <w:r>
        <w:rPr>
          <w:spacing w:val="9"/>
        </w:rPr>
        <w:t>急响应的终止、后期评估提出咨询意见。</w:t>
      </w:r>
    </w:p>
    <w:p>
      <w:pPr>
        <w:pStyle w:val="BodyText"/>
        <w:ind w:left="3" w:right="59" w:firstLine="422"/>
        <w:spacing w:before="2" w:line="385" w:lineRule="auto"/>
        <w:rPr/>
      </w:pPr>
      <w:r>
        <w:rPr>
          <w:spacing w:val="18"/>
        </w:rPr>
        <w:t>承担突发中毒事件应急指挥机构和日常</w:t>
      </w:r>
      <w:r>
        <w:rPr>
          <w:spacing w:val="8"/>
        </w:rPr>
        <w:t>管理机构交办的其他工作。</w:t>
      </w:r>
    </w:p>
    <w:p>
      <w:pPr>
        <w:pStyle w:val="BodyText"/>
        <w:ind w:left="421"/>
        <w:spacing w:line="221" w:lineRule="auto"/>
        <w:rPr/>
      </w:pPr>
      <w:r>
        <w:rPr>
          <w:rFonts w:ascii="Times New Roman" w:hAnsi="Times New Roman" w:eastAsia="Times New Roman" w:cs="Times New Roman"/>
          <w:spacing w:val="8"/>
        </w:rPr>
        <w:t>2.4  </w:t>
      </w:r>
      <w:r>
        <w:rPr>
          <w:rFonts w:ascii="KaiTi" w:hAnsi="KaiTi" w:eastAsia="KaiTi" w:cs="KaiTi"/>
          <w:spacing w:val="8"/>
        </w:rPr>
        <w:t>卫生应急专业队伍。</w:t>
      </w:r>
      <w:r>
        <w:rPr>
          <w:spacing w:val="8"/>
        </w:rPr>
        <w:t>各级卫生健康行</w:t>
      </w:r>
    </w:p>
    <w:p>
      <w:pPr>
        <w:spacing w:line="221" w:lineRule="auto"/>
        <w:sectPr>
          <w:type w:val="continuous"/>
          <w:pgSz w:w="11906" w:h="16839"/>
          <w:pgMar w:top="1766" w:right="1530" w:bottom="1575" w:left="1579" w:header="1428" w:footer="1172" w:gutter="0"/>
          <w:cols w:equalWidth="0" w:num="2">
            <w:col w:w="4489" w:space="100"/>
            <w:col w:w="4207" w:space="0"/>
          </w:cols>
        </w:sectPr>
        <w:rPr/>
      </w:pPr>
    </w:p>
    <w:p>
      <w:pPr>
        <w:spacing w:before="90"/>
        <w:rPr/>
      </w:pPr>
      <w:r>
        <w:drawing>
          <wp:anchor distT="0" distB="0" distL="0" distR="0" simplePos="0" relativeHeight="253488128"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956" name="IM 1956"/>
            <wp:cNvGraphicFramePr/>
            <a:graphic>
              <a:graphicData uri="http://schemas.openxmlformats.org/drawingml/2006/picture">
                <pic:pic>
                  <pic:nvPicPr>
                    <pic:cNvPr id="1956" name="IM 1956"/>
                    <pic:cNvPicPr/>
                  </pic:nvPicPr>
                  <pic:blipFill>
                    <a:blip r:embed="rId980"/>
                    <a:stretch>
                      <a:fillRect/>
                    </a:stretch>
                  </pic:blipFill>
                  <pic:spPr>
                    <a:xfrm rot="0">
                      <a:off x="0" y="0"/>
                      <a:ext cx="5579745" cy="7620"/>
                    </a:xfrm>
                    <a:prstGeom prst="rect">
                      <a:avLst/>
                    </a:prstGeom>
                  </pic:spPr>
                </pic:pic>
              </a:graphicData>
            </a:graphic>
          </wp:anchor>
        </w:drawing>
      </w:r>
      <w:r/>
    </w:p>
    <w:p>
      <w:pPr>
        <w:sectPr>
          <w:headerReference w:type="default" r:id="rId816"/>
          <w:footerReference w:type="default" r:id="rId979"/>
          <w:pgSz w:w="11906" w:h="16839"/>
          <w:pgMar w:top="1772" w:right="1489" w:bottom="1584" w:left="1567" w:header="1428" w:footer="1172" w:gutter="0"/>
          <w:cols w:equalWidth="0" w:num="1">
            <w:col w:w="8850" w:space="0"/>
          </w:cols>
        </w:sectPr>
        <w:rPr/>
      </w:pPr>
    </w:p>
    <w:p>
      <w:pPr>
        <w:pStyle w:val="BodyText"/>
        <w:ind w:left="25" w:right="322"/>
        <w:spacing w:before="42" w:line="387" w:lineRule="auto"/>
        <w:jc w:val="both"/>
        <w:rPr/>
      </w:pPr>
      <w:r>
        <w:rPr>
          <w:spacing w:val="7"/>
        </w:rPr>
        <w:t>政部门成立突发中毒事件卫生应急专业队伍，</w:t>
      </w:r>
      <w:r>
        <w:rPr>
          <w:spacing w:val="5"/>
        </w:rPr>
        <w:t>配备必要处置和保障装备，每年至少组织</w:t>
      </w:r>
      <w:r>
        <w:rPr>
          <w:spacing w:val="-8"/>
        </w:rPr>
        <w:t xml:space="preserve"> </w:t>
      </w:r>
      <w:r>
        <w:rPr>
          <w:rFonts w:ascii="Times New Roman" w:hAnsi="Times New Roman" w:eastAsia="Times New Roman" w:cs="Times New Roman"/>
          <w:spacing w:val="5"/>
        </w:rPr>
        <w:t>1 </w:t>
      </w:r>
      <w:r>
        <w:rPr>
          <w:spacing w:val="5"/>
        </w:rPr>
        <w:t>次</w:t>
      </w:r>
      <w:r>
        <w:rPr>
          <w:spacing w:val="8"/>
        </w:rPr>
        <w:t>专业培训、演习和演练。</w:t>
      </w:r>
    </w:p>
    <w:p>
      <w:pPr>
        <w:pStyle w:val="BodyText"/>
        <w:ind w:left="27" w:right="329" w:firstLine="420"/>
        <w:spacing w:before="2" w:line="382" w:lineRule="auto"/>
        <w:rPr/>
      </w:pPr>
      <w:r>
        <w:rPr>
          <w:spacing w:val="6"/>
        </w:rPr>
        <w:t>接受本级卫生健康行政部门调用，参与突</w:t>
      </w:r>
      <w:r>
        <w:rPr>
          <w:spacing w:val="8"/>
        </w:rPr>
        <w:t>发中毒事件应急处理工作。</w:t>
      </w:r>
    </w:p>
    <w:p>
      <w:pPr>
        <w:ind w:left="449"/>
        <w:spacing w:before="1"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3</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7"/>
        </w:rPr>
        <w:t>监测、报告与风险评估</w:t>
      </w:r>
    </w:p>
    <w:p>
      <w:pPr>
        <w:pStyle w:val="BodyText"/>
        <w:ind w:left="24" w:right="329" w:firstLine="426"/>
        <w:spacing w:before="122" w:line="369" w:lineRule="auto"/>
        <w:rPr/>
      </w:pPr>
      <w:r>
        <w:rPr>
          <w:rFonts w:ascii="Times New Roman" w:hAnsi="Times New Roman" w:eastAsia="Times New Roman" w:cs="Times New Roman"/>
          <w:spacing w:val="7"/>
        </w:rPr>
        <w:t>3.</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1  </w:t>
      </w:r>
      <w:r>
        <w:rPr>
          <w:rFonts w:ascii="KaiTi" w:hAnsi="KaiTi" w:eastAsia="KaiTi" w:cs="KaiTi"/>
          <w:spacing w:val="7"/>
        </w:rPr>
        <w:t>监测。</w:t>
      </w:r>
      <w:r>
        <w:rPr>
          <w:spacing w:val="7"/>
        </w:rPr>
        <w:t>各级卫生健康行政部门指</w:t>
      </w:r>
      <w:r>
        <w:rPr>
          <w:spacing w:val="6"/>
        </w:rPr>
        <w:t>定医</w:t>
      </w:r>
      <w:r>
        <w:rPr>
          <w:spacing w:val="7"/>
        </w:rPr>
        <w:t>疗卫生机构开展突发中毒事件的监测工作，建</w:t>
      </w:r>
      <w:r>
        <w:rPr>
          <w:spacing w:val="7"/>
        </w:rPr>
        <w:t>立并不断完善中毒实时监测分析系统，组织辖</w:t>
      </w:r>
      <w:r>
        <w:rPr>
          <w:spacing w:val="18"/>
        </w:rPr>
        <w:t>区医疗卫生机构开展突发中毒事件涉及的中</w:t>
      </w:r>
      <w:r>
        <w:rPr>
          <w:spacing w:val="7"/>
        </w:rPr>
        <w:t>毒病人相关信息的收集、整理、分析和报告等</w:t>
      </w:r>
      <w:r>
        <w:rPr>
          <w:spacing w:val="7"/>
        </w:rPr>
        <w:t>工作；组织开展针对特定中毒或人群的强化监</w:t>
      </w:r>
      <w:r>
        <w:rPr>
          <w:spacing w:val="7"/>
        </w:rPr>
        <w:t>测工作；组织同级中毒指定救治机构和疾病预</w:t>
      </w:r>
      <w:r>
        <w:rPr>
          <w:spacing w:val="7"/>
        </w:rPr>
        <w:t>防控制机构开展毒物、突发中毒事件及其中毒</w:t>
      </w:r>
      <w:r>
        <w:rPr>
          <w:spacing w:val="9"/>
        </w:rPr>
        <w:t>病例的实时监测和数据分析工作。</w:t>
      </w:r>
    </w:p>
    <w:p>
      <w:pPr>
        <w:pStyle w:val="BodyText"/>
        <w:ind w:left="29" w:right="248" w:firstLine="421"/>
        <w:spacing w:before="179" w:line="343" w:lineRule="auto"/>
        <w:rPr/>
      </w:pPr>
      <w:r>
        <w:rPr>
          <w:rFonts w:ascii="Times New Roman" w:hAnsi="Times New Roman" w:eastAsia="Times New Roman" w:cs="Times New Roman"/>
          <w:spacing w:val="2"/>
        </w:rPr>
        <w:t>3.2  </w:t>
      </w:r>
      <w:r>
        <w:rPr>
          <w:rFonts w:ascii="KaiTi" w:hAnsi="KaiTi" w:eastAsia="KaiTi" w:cs="KaiTi"/>
          <w:spacing w:val="2"/>
        </w:rPr>
        <w:t>报告。</w:t>
      </w:r>
      <w:r>
        <w:rPr>
          <w:spacing w:val="2"/>
        </w:rPr>
        <w:t>突发中毒事件的责任报告单位、</w:t>
      </w:r>
      <w:r>
        <w:rPr>
          <w:spacing w:val="7"/>
        </w:rPr>
        <w:t>责任报告人、报告时限和程序、网络直报均按</w:t>
      </w:r>
      <w:r>
        <w:rPr/>
        <w:t>照《固原市突发公共卫生事件应急预案》执行。</w:t>
      </w:r>
    </w:p>
    <w:p>
      <w:pPr>
        <w:pStyle w:val="BodyText"/>
        <w:ind w:left="25" w:right="329" w:firstLine="426"/>
        <w:spacing w:before="148" w:line="387" w:lineRule="auto"/>
        <w:jc w:val="both"/>
        <w:rPr/>
      </w:pPr>
      <w:r>
        <w:rPr>
          <w:spacing w:val="6"/>
        </w:rPr>
        <w:t>突发中毒事件报告分为首次报告、进程报</w:t>
      </w:r>
      <w:r>
        <w:rPr>
          <w:spacing w:val="7"/>
        </w:rPr>
        <w:t>告和结案报告，应当根据事件的严重程度、事</w:t>
      </w:r>
      <w:r>
        <w:rPr>
          <w:spacing w:val="9"/>
        </w:rPr>
        <w:t>态发展和控制情况及时报告事件进程。</w:t>
      </w:r>
    </w:p>
    <w:p>
      <w:pPr>
        <w:pStyle w:val="BodyText"/>
        <w:ind w:left="24" w:right="329" w:firstLine="423"/>
        <w:spacing w:before="5" w:line="387" w:lineRule="auto"/>
        <w:jc w:val="both"/>
        <w:rPr/>
      </w:pPr>
      <w:r>
        <w:rPr>
          <w:spacing w:val="19"/>
        </w:rPr>
        <w:t>首次报告内容包括突发中毒事件的初步</w:t>
      </w:r>
      <w:r>
        <w:rPr>
          <w:spacing w:val="7"/>
        </w:rPr>
        <w:t>信息，应当说明信息来源、危害源、危害范围</w:t>
      </w:r>
      <w:r>
        <w:rPr>
          <w:spacing w:val="18"/>
        </w:rPr>
        <w:t>及程度、事件性质和人群健康影响的初步判</w:t>
      </w:r>
      <w:r>
        <w:rPr>
          <w:spacing w:val="7"/>
        </w:rPr>
        <w:t>定、病人救治情况等，也要报告已经采取和准</w:t>
      </w:r>
      <w:r>
        <w:rPr>
          <w:spacing w:val="8"/>
        </w:rPr>
        <w:t>备采取的控制措施等内容。</w:t>
      </w:r>
    </w:p>
    <w:p>
      <w:pPr>
        <w:pStyle w:val="BodyText"/>
        <w:ind w:left="25" w:right="329" w:firstLine="420"/>
        <w:spacing w:before="3" w:line="347" w:lineRule="auto"/>
        <w:jc w:val="both"/>
        <w:rPr/>
      </w:pPr>
      <w:r>
        <w:rPr>
          <w:spacing w:val="6"/>
        </w:rPr>
        <w:t>进程报告内容包括事件危害进展、新的证</w:t>
      </w:r>
      <w:r>
        <w:rPr>
          <w:spacing w:val="7"/>
        </w:rPr>
        <w:t>据、采取的措施、控制效果、对事件危害的预</w:t>
      </w:r>
      <w:r>
        <w:rPr>
          <w:spacing w:val="7"/>
        </w:rPr>
        <w:t>测、计划采取的措施和需要帮助的建议、病人</w:t>
      </w:r>
      <w:r>
        <w:rPr>
          <w:spacing w:val="7"/>
        </w:rPr>
        <w:t>救治情况等。进程报告在事件发生的初期每天</w:t>
      </w:r>
      <w:r>
        <w:rPr>
          <w:spacing w:val="7"/>
        </w:rPr>
        <w:t>报告，对事件的重大进展、采取的重要措施等</w:t>
      </w:r>
    </w:p>
    <w:p>
      <w:pPr>
        <w:spacing w:line="14" w:lineRule="auto"/>
        <w:rPr>
          <w:rFonts w:ascii="Arial"/>
          <w:sz w:val="2"/>
        </w:rPr>
      </w:pPr>
      <w:r>
        <w:rPr>
          <w:rFonts w:ascii="Arial" w:hAnsi="Arial" w:eastAsia="Arial" w:cs="Arial"/>
          <w:sz w:val="2"/>
          <w:szCs w:val="2"/>
        </w:rPr>
        <w:br w:type="column"/>
      </w:r>
    </w:p>
    <w:p>
      <w:pPr>
        <w:pStyle w:val="BodyText"/>
        <w:ind w:right="97" w:firstLine="3"/>
        <w:spacing w:before="39" w:line="388" w:lineRule="auto"/>
        <w:rPr/>
      </w:pPr>
      <w:r>
        <w:rPr>
          <w:spacing w:val="7"/>
        </w:rPr>
        <w:t>重要内容应当随时口头及书面报告。重大及特</w:t>
      </w:r>
      <w:r>
        <w:rPr>
          <w:spacing w:val="-3"/>
        </w:rPr>
        <w:t>别重大的突发中毒事件至少每日进行进程报告。</w:t>
      </w:r>
    </w:p>
    <w:p>
      <w:pPr>
        <w:pStyle w:val="BodyText"/>
        <w:ind w:right="78" w:firstLine="421"/>
        <w:spacing w:before="6" w:line="386" w:lineRule="auto"/>
        <w:jc w:val="both"/>
        <w:rPr/>
      </w:pPr>
      <w:r>
        <w:rPr>
          <w:spacing w:val="6"/>
        </w:rPr>
        <w:t>结案报告内容包括事件发生原因、毒物种</w:t>
      </w:r>
      <w:r>
        <w:rPr>
          <w:spacing w:val="8"/>
        </w:rPr>
        <w:t>类和数量、波及范围、接触人群、接触方式、</w:t>
      </w:r>
      <w:r>
        <w:rPr>
          <w:spacing w:val="7"/>
        </w:rPr>
        <w:t>中毒人员情况、现场处理措施及效果、医院内</w:t>
      </w:r>
      <w:r>
        <w:rPr>
          <w:spacing w:val="7"/>
        </w:rPr>
        <w:t>处理情况、病人救治情况等，还要对事件原因</w:t>
      </w:r>
      <w:r>
        <w:rPr>
          <w:spacing w:val="7"/>
        </w:rPr>
        <w:t>和应急响应进行总结，提出建议。结案报告应</w:t>
      </w:r>
      <w:r>
        <w:rPr>
          <w:spacing w:val="4"/>
        </w:rPr>
        <w:t>当在应急响应终止后</w:t>
      </w:r>
      <w:r>
        <w:rPr>
          <w:spacing w:val="-34"/>
        </w:rPr>
        <w:t xml:space="preserve"> </w:t>
      </w:r>
      <w:r>
        <w:rPr>
          <w:rFonts w:ascii="Times New Roman" w:hAnsi="Times New Roman" w:eastAsia="Times New Roman" w:cs="Times New Roman"/>
          <w:spacing w:val="4"/>
        </w:rPr>
        <w:t>7  </w:t>
      </w:r>
      <w:r>
        <w:rPr>
          <w:spacing w:val="4"/>
        </w:rPr>
        <w:t>日内呈交。</w:t>
      </w:r>
    </w:p>
    <w:p>
      <w:pPr>
        <w:pStyle w:val="BodyText"/>
        <w:ind w:right="101" w:firstLine="425"/>
        <w:spacing w:before="7" w:line="386" w:lineRule="auto"/>
        <w:jc w:val="both"/>
        <w:rPr/>
      </w:pPr>
      <w:r>
        <w:rPr>
          <w:rFonts w:ascii="Times New Roman" w:hAnsi="Times New Roman" w:eastAsia="Times New Roman" w:cs="Times New Roman"/>
          <w:spacing w:val="8"/>
        </w:rPr>
        <w:t>3.3  </w:t>
      </w:r>
      <w:r>
        <w:rPr>
          <w:rFonts w:ascii="KaiTi" w:hAnsi="KaiTi" w:eastAsia="KaiTi" w:cs="KaiTi"/>
          <w:spacing w:val="8"/>
        </w:rPr>
        <w:t>风险评估。</w:t>
      </w:r>
      <w:r>
        <w:rPr>
          <w:spacing w:val="8"/>
        </w:rPr>
        <w:t>各级卫生健康行政部门应</w:t>
      </w:r>
      <w:r>
        <w:rPr>
          <w:spacing w:val="7"/>
        </w:rPr>
        <w:t>当组织专家，开展毒物及突发中毒事件对公众</w:t>
      </w:r>
      <w:r>
        <w:rPr>
          <w:spacing w:val="7"/>
        </w:rPr>
        <w:t>健康危害的风险评估，为政府相关部门开展中</w:t>
      </w:r>
      <w:r>
        <w:rPr>
          <w:spacing w:val="7"/>
        </w:rPr>
        <w:t>毒预警和制定防控对策提供参考。发生突发中</w:t>
      </w:r>
      <w:r>
        <w:rPr>
          <w:spacing w:val="18"/>
        </w:rPr>
        <w:t>毒事件或发现可能造成突发中毒事件的因素</w:t>
      </w:r>
      <w:r>
        <w:rPr>
          <w:spacing w:val="7"/>
        </w:rPr>
        <w:t>后，根据有毒物质种类、数量、状态、波及范</w:t>
      </w:r>
      <w:r>
        <w:rPr>
          <w:spacing w:val="7"/>
        </w:rPr>
        <w:t>围、接触人群以及人群中毒症状等，及时开展</w:t>
      </w:r>
      <w:r>
        <w:rPr>
          <w:spacing w:val="8"/>
        </w:rPr>
        <w:t>动态评估，提出预防和控制建议。</w:t>
      </w:r>
    </w:p>
    <w:p>
      <w:pPr>
        <w:ind w:left="422"/>
        <w:spacing w:before="1"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4</w:t>
      </w:r>
      <w:r>
        <w:rPr>
          <w:rFonts w:ascii="Microsoft YaHei" w:hAnsi="Microsoft YaHei" w:eastAsia="Microsoft YaHei" w:cs="Microsoft YaHei"/>
          <w:sz w:val="20"/>
          <w:szCs w:val="20"/>
          <w:spacing w:val="14"/>
          <w:w w:val="101"/>
        </w:rPr>
        <w:t xml:space="preserve">   </w:t>
      </w:r>
      <w:r>
        <w:rPr>
          <w:rFonts w:ascii="Microsoft YaHei" w:hAnsi="Microsoft YaHei" w:eastAsia="Microsoft YaHei" w:cs="Microsoft YaHei"/>
          <w:sz w:val="20"/>
          <w:szCs w:val="20"/>
          <w:spacing w:val="7"/>
        </w:rPr>
        <w:t>信息通报和新闻发布</w:t>
      </w:r>
    </w:p>
    <w:p>
      <w:pPr>
        <w:pStyle w:val="BodyText"/>
        <w:ind w:left="1" w:right="78" w:firstLine="419"/>
        <w:spacing w:before="119" w:line="364" w:lineRule="auto"/>
        <w:rPr/>
      </w:pPr>
      <w:r>
        <w:rPr>
          <w:rFonts w:ascii="Times New Roman" w:hAnsi="Times New Roman" w:eastAsia="Times New Roman" w:cs="Times New Roman"/>
          <w:spacing w:val="7"/>
        </w:rPr>
        <w:t>4.</w:t>
      </w:r>
      <w:r>
        <w:rPr>
          <w:rFonts w:ascii="Times New Roman" w:hAnsi="Times New Roman" w:eastAsia="Times New Roman" w:cs="Times New Roman"/>
          <w:spacing w:val="-22"/>
        </w:rPr>
        <w:t xml:space="preserve"> </w:t>
      </w:r>
      <w:r>
        <w:rPr>
          <w:rFonts w:ascii="Times New Roman" w:hAnsi="Times New Roman" w:eastAsia="Times New Roman" w:cs="Times New Roman"/>
          <w:spacing w:val="7"/>
        </w:rPr>
        <w:t>1  </w:t>
      </w:r>
      <w:r>
        <w:rPr>
          <w:rFonts w:ascii="KaiTi" w:hAnsi="KaiTi" w:eastAsia="KaiTi" w:cs="KaiTi"/>
          <w:spacing w:val="7"/>
        </w:rPr>
        <w:t>信息通报。</w:t>
      </w:r>
      <w:r>
        <w:rPr>
          <w:spacing w:val="7"/>
        </w:rPr>
        <w:t>各级卫生健康行政部门在</w:t>
      </w:r>
      <w:r>
        <w:rPr>
          <w:spacing w:val="8"/>
        </w:rPr>
        <w:t>处理突发中毒事件过程中，及时向环境保护、</w:t>
      </w:r>
      <w:r>
        <w:rPr>
          <w:spacing w:val="7"/>
        </w:rPr>
        <w:t>安全生产监督管理、食品药品监督管理局、公</w:t>
      </w:r>
      <w:r>
        <w:rPr>
          <w:spacing w:val="7"/>
        </w:rPr>
        <w:t>安等相关部门通报卫生应急处理情况；并及时</w:t>
      </w:r>
      <w:r>
        <w:rPr>
          <w:spacing w:val="18"/>
        </w:rPr>
        <w:t>获取其他相关部门处理突发中毒事件涉及的</w:t>
      </w:r>
      <w:r>
        <w:rPr>
          <w:spacing w:val="7"/>
        </w:rPr>
        <w:t>相关信息，以便及时掌握相关突发事件涉及的</w:t>
      </w:r>
      <w:r>
        <w:rPr>
          <w:spacing w:val="8"/>
        </w:rPr>
        <w:t>中毒卫生应急工作情况。</w:t>
      </w:r>
    </w:p>
    <w:p>
      <w:pPr>
        <w:pStyle w:val="BodyText"/>
        <w:ind w:left="1" w:right="101" w:firstLine="419"/>
        <w:spacing w:before="179" w:line="333" w:lineRule="auto"/>
        <w:rPr/>
      </w:pPr>
      <w:r>
        <w:rPr>
          <w:rFonts w:ascii="Times New Roman" w:hAnsi="Times New Roman" w:eastAsia="Times New Roman" w:cs="Times New Roman"/>
          <w:spacing w:val="8"/>
        </w:rPr>
        <w:t>4.2  </w:t>
      </w:r>
      <w:r>
        <w:rPr>
          <w:rFonts w:ascii="KaiTi" w:hAnsi="KaiTi" w:eastAsia="KaiTi" w:cs="KaiTi"/>
          <w:spacing w:val="8"/>
        </w:rPr>
        <w:t>新闻发布。</w:t>
      </w:r>
      <w:r>
        <w:rPr>
          <w:spacing w:val="8"/>
        </w:rPr>
        <w:t>市卫生健康部门和经市级</w:t>
      </w:r>
      <w:r>
        <w:rPr>
          <w:spacing w:val="18"/>
        </w:rPr>
        <w:t>卫生健康行政部门授权的市级卫生健康行政</w:t>
      </w:r>
      <w:r>
        <w:rPr>
          <w:spacing w:val="9"/>
        </w:rPr>
        <w:t>部门负责向社会发布中毒事件相关信息。</w:t>
      </w:r>
    </w:p>
    <w:p>
      <w:pPr>
        <w:ind w:left="424"/>
        <w:spacing w:before="169"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5</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应急响应</w:t>
      </w:r>
    </w:p>
    <w:p>
      <w:pPr>
        <w:pStyle w:val="BodyText"/>
        <w:ind w:left="1" w:right="36" w:firstLine="425"/>
        <w:spacing w:before="118" w:line="322" w:lineRule="auto"/>
        <w:jc w:val="both"/>
        <w:rPr/>
      </w:pPr>
      <w:r>
        <w:rPr>
          <w:rFonts w:ascii="Times New Roman" w:hAnsi="Times New Roman" w:eastAsia="Times New Roman" w:cs="Times New Roman"/>
        </w:rPr>
        <w:t>5.</w:t>
      </w:r>
      <w:r>
        <w:rPr>
          <w:rFonts w:ascii="Times New Roman" w:hAnsi="Times New Roman" w:eastAsia="Times New Roman" w:cs="Times New Roman"/>
          <w:spacing w:val="-17"/>
        </w:rPr>
        <w:t xml:space="preserve"> </w:t>
      </w:r>
      <w:r>
        <w:rPr>
          <w:rFonts w:ascii="Times New Roman" w:hAnsi="Times New Roman" w:eastAsia="Times New Roman" w:cs="Times New Roman"/>
        </w:rPr>
        <w:t>1  </w:t>
      </w:r>
      <w:r>
        <w:rPr>
          <w:rFonts w:ascii="KaiTi" w:hAnsi="KaiTi" w:eastAsia="KaiTi" w:cs="KaiTi"/>
        </w:rPr>
        <w:t>应急响应原则。</w:t>
      </w:r>
      <w:r>
        <w:rPr/>
        <w:t>发生突发中毒事件时，</w:t>
      </w:r>
      <w:r>
        <w:rPr>
          <w:spacing w:val="18"/>
        </w:rPr>
        <w:t>各级卫健部门在本级政府领导下和上一级卫</w:t>
      </w:r>
      <w:r>
        <w:rPr>
          <w:spacing w:val="9"/>
        </w:rPr>
        <w:t>生健康行政部门技术指导下，按照属地管理、</w:t>
      </w:r>
    </w:p>
    <w:p>
      <w:pPr>
        <w:spacing w:line="322" w:lineRule="auto"/>
        <w:sectPr>
          <w:type w:val="continuous"/>
          <w:pgSz w:w="11906" w:h="16839"/>
          <w:pgMar w:top="1772" w:right="1489" w:bottom="1584" w:left="1567" w:header="1428" w:footer="1172" w:gutter="0"/>
          <w:cols w:equalWidth="0" w:num="2">
            <w:col w:w="4502" w:space="100"/>
            <w:col w:w="4249" w:space="0"/>
          </w:cols>
        </w:sectPr>
        <w:rPr/>
      </w:pPr>
    </w:p>
    <w:p>
      <w:pPr>
        <w:spacing w:before="96"/>
        <w:rPr/>
      </w:pPr>
      <w:r>
        <w:drawing>
          <wp:anchor distT="0" distB="0" distL="0" distR="0" simplePos="0" relativeHeight="253500416"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960" name="IM 1960"/>
            <wp:cNvGraphicFramePr/>
            <a:graphic>
              <a:graphicData uri="http://schemas.openxmlformats.org/drawingml/2006/picture">
                <pic:pic>
                  <pic:nvPicPr>
                    <pic:cNvPr id="1960" name="IM 1960"/>
                    <pic:cNvPicPr/>
                  </pic:nvPicPr>
                  <pic:blipFill>
                    <a:blip r:embed="rId982"/>
                    <a:stretch>
                      <a:fillRect/>
                    </a:stretch>
                  </pic:blipFill>
                  <pic:spPr>
                    <a:xfrm rot="0">
                      <a:off x="0" y="0"/>
                      <a:ext cx="5579745" cy="7620"/>
                    </a:xfrm>
                    <a:prstGeom prst="rect">
                      <a:avLst/>
                    </a:prstGeom>
                  </pic:spPr>
                </pic:pic>
              </a:graphicData>
            </a:graphic>
          </wp:anchor>
        </w:drawing>
      </w:r>
      <w:r/>
    </w:p>
    <w:p>
      <w:pPr>
        <w:sectPr>
          <w:headerReference w:type="default" r:id="rId549"/>
          <w:footerReference w:type="default" r:id="rId981"/>
          <w:pgSz w:w="11906" w:h="16839"/>
          <w:pgMar w:top="1766" w:right="1530" w:bottom="1575" w:left="1579" w:header="1428" w:footer="1172" w:gutter="0"/>
          <w:cols w:equalWidth="0" w:num="1">
            <w:col w:w="8796" w:space="0"/>
          </w:cols>
        </w:sectPr>
        <w:rPr/>
      </w:pPr>
    </w:p>
    <w:p>
      <w:pPr>
        <w:pStyle w:val="BodyText"/>
        <w:ind w:left="14" w:right="322"/>
        <w:spacing w:before="42" w:line="386" w:lineRule="auto"/>
        <w:jc w:val="both"/>
        <w:rPr/>
      </w:pPr>
      <w:r>
        <w:rPr>
          <w:spacing w:val="7"/>
        </w:rPr>
        <w:t>分级响应的原则，迅速成立中毒卫生应急救援</w:t>
      </w:r>
      <w:r>
        <w:rPr>
          <w:spacing w:val="7"/>
        </w:rPr>
        <w:t>现场指挥机构，组织专家制定相关医学处置方</w:t>
      </w:r>
      <w:r>
        <w:rPr>
          <w:spacing w:val="8"/>
        </w:rPr>
        <w:t>案，积极开展卫生应急工作。</w:t>
      </w:r>
    </w:p>
    <w:p>
      <w:pPr>
        <w:ind w:left="439"/>
        <w:spacing w:line="267" w:lineRule="exact"/>
        <w:rPr>
          <w:rFonts w:ascii="KaiTi" w:hAnsi="KaiTi" w:eastAsia="KaiTi" w:cs="KaiTi"/>
          <w:sz w:val="20"/>
          <w:szCs w:val="20"/>
        </w:rPr>
      </w:pPr>
      <w:r>
        <w:rPr>
          <w:rFonts w:ascii="Times New Roman" w:hAnsi="Times New Roman" w:eastAsia="Times New Roman" w:cs="Times New Roman"/>
          <w:sz w:val="20"/>
          <w:szCs w:val="20"/>
          <w:spacing w:val="3"/>
          <w:position w:val="1"/>
        </w:rPr>
        <w:t>5.2</w:t>
      </w:r>
      <w:r>
        <w:rPr>
          <w:rFonts w:ascii="Times New Roman" w:hAnsi="Times New Roman" w:eastAsia="Times New Roman" w:cs="Times New Roman"/>
          <w:sz w:val="20"/>
          <w:szCs w:val="20"/>
          <w:spacing w:val="9"/>
          <w:position w:val="1"/>
        </w:rPr>
        <w:t xml:space="preserve">  </w:t>
      </w:r>
      <w:r>
        <w:rPr>
          <w:rFonts w:ascii="KaiTi" w:hAnsi="KaiTi" w:eastAsia="KaiTi" w:cs="KaiTi"/>
          <w:sz w:val="20"/>
          <w:szCs w:val="20"/>
          <w:spacing w:val="3"/>
          <w:position w:val="1"/>
        </w:rPr>
        <w:t>分级响应。</w:t>
      </w:r>
    </w:p>
    <w:p>
      <w:pPr>
        <w:pStyle w:val="BodyText"/>
        <w:ind w:left="11" w:right="315" w:firstLine="422"/>
        <w:spacing w:before="148" w:line="388" w:lineRule="auto"/>
        <w:rPr/>
      </w:pPr>
      <w:r>
        <w:rPr>
          <w:rFonts w:ascii="Times New Roman" w:hAnsi="Times New Roman" w:eastAsia="Times New Roman" w:cs="Times New Roman"/>
          <w:spacing w:val="12"/>
        </w:rPr>
        <w:t>Ⅰ</w:t>
      </w:r>
      <w:r>
        <w:rPr>
          <w:spacing w:val="12"/>
        </w:rPr>
        <w:t>级响应：达到特别重大突发中毒事件</w:t>
      </w:r>
      <w:r>
        <w:rPr>
          <w:spacing w:val="-53"/>
        </w:rPr>
        <w:t xml:space="preserve"> </w:t>
      </w:r>
      <w:r>
        <w:rPr>
          <w:spacing w:val="12"/>
        </w:rPr>
        <w:t>，</w:t>
      </w:r>
      <w:r>
        <w:rPr>
          <w:spacing w:val="12"/>
        </w:rPr>
        <w:t>国务院卫生健康行政部门立即启动</w:t>
      </w:r>
      <w:r>
        <w:rPr>
          <w:rFonts w:ascii="Times New Roman" w:hAnsi="Times New Roman" w:eastAsia="Times New Roman" w:cs="Times New Roman"/>
          <w:spacing w:val="12"/>
        </w:rPr>
        <w:t>Ⅰ</w:t>
      </w:r>
      <w:r>
        <w:rPr>
          <w:spacing w:val="12"/>
        </w:rPr>
        <w:t>级响应</w:t>
      </w:r>
      <w:r>
        <w:rPr>
          <w:spacing w:val="-54"/>
        </w:rPr>
        <w:t xml:space="preserve"> </w:t>
      </w:r>
      <w:r>
        <w:rPr>
          <w:spacing w:val="12"/>
        </w:rPr>
        <w:t>，</w:t>
      </w:r>
      <w:r>
        <w:rPr>
          <w:spacing w:val="7"/>
        </w:rPr>
        <w:t>迅速开展卫生应急工作。自治区卫生健康委在</w:t>
      </w:r>
      <w:r>
        <w:rPr>
          <w:spacing w:val="18"/>
        </w:rPr>
        <w:t>自治区政府领导下和国家卫生健康委的指导</w:t>
      </w:r>
      <w:r>
        <w:rPr>
          <w:spacing w:val="7"/>
        </w:rPr>
        <w:t>下，立即启动自治区级突发中毒事件卫生应急</w:t>
      </w:r>
      <w:r>
        <w:rPr>
          <w:spacing w:val="4"/>
        </w:rPr>
        <w:t>机制，迅速组织协调市、县（</w:t>
      </w:r>
      <w:r>
        <w:rPr>
          <w:spacing w:val="-34"/>
        </w:rPr>
        <w:t xml:space="preserve"> </w:t>
      </w:r>
      <w:r>
        <w:rPr>
          <w:spacing w:val="4"/>
        </w:rPr>
        <w:t>区）卫生健康行</w:t>
      </w:r>
      <w:r>
        <w:rPr>
          <w:spacing w:val="7"/>
        </w:rPr>
        <w:t>政部门开展卫生应急处理工作，市卫生健康委</w:t>
      </w:r>
      <w:r>
        <w:rPr>
          <w:spacing w:val="7"/>
        </w:rPr>
        <w:t>在市政府领导下和自治区卫生健康委指导下，</w:t>
      </w:r>
      <w:r>
        <w:rPr>
          <w:spacing w:val="7"/>
        </w:rPr>
        <w:t>立即启动市级突发中毒事件卫生应急机制，并</w:t>
      </w:r>
      <w:r>
        <w:rPr>
          <w:spacing w:val="18"/>
        </w:rPr>
        <w:t>将卫生应急工作情况及时报市政府和自治区</w:t>
      </w:r>
      <w:r>
        <w:rPr>
          <w:spacing w:val="7"/>
        </w:rPr>
        <w:t>卫生健康委。</w:t>
      </w:r>
    </w:p>
    <w:p>
      <w:pPr>
        <w:pStyle w:val="BodyText"/>
        <w:ind w:left="12" w:right="320" w:firstLine="421"/>
        <w:spacing w:before="8" w:line="387" w:lineRule="auto"/>
        <w:jc w:val="both"/>
        <w:rPr/>
      </w:pPr>
      <w:r>
        <w:rPr>
          <w:rFonts w:ascii="Times New Roman" w:hAnsi="Times New Roman" w:eastAsia="Times New Roman" w:cs="Times New Roman"/>
          <w:spacing w:val="8"/>
        </w:rPr>
        <w:t>Ⅱ</w:t>
      </w:r>
      <w:r>
        <w:rPr>
          <w:spacing w:val="8"/>
        </w:rPr>
        <w:t>级响应：达到重大突发中毒事件后，</w:t>
      </w:r>
      <w:r>
        <w:rPr>
          <w:spacing w:val="-48"/>
        </w:rPr>
        <w:t xml:space="preserve"> </w:t>
      </w:r>
      <w:r>
        <w:rPr>
          <w:spacing w:val="8"/>
        </w:rPr>
        <w:t>自</w:t>
      </w:r>
      <w:r>
        <w:rPr>
          <w:spacing w:val="10"/>
        </w:rPr>
        <w:t>治区卫生行政部门立即启动</w:t>
      </w:r>
      <w:r>
        <w:rPr>
          <w:rFonts w:ascii="Times New Roman" w:hAnsi="Times New Roman" w:eastAsia="Times New Roman" w:cs="Times New Roman"/>
          <w:spacing w:val="10"/>
        </w:rPr>
        <w:t>Ⅱ</w:t>
      </w:r>
      <w:r>
        <w:rPr>
          <w:spacing w:val="10"/>
        </w:rPr>
        <w:t>级应急响应，迅</w:t>
      </w:r>
      <w:r>
        <w:rPr>
          <w:spacing w:val="7"/>
        </w:rPr>
        <w:t>速开展卫生应急工作，并将应急工作情况及时</w:t>
      </w:r>
      <w:r>
        <w:rPr>
          <w:spacing w:val="7"/>
        </w:rPr>
        <w:t>报本级政府和国务院卫生行政部门。国务院卫</w:t>
      </w:r>
      <w:r>
        <w:rPr>
          <w:spacing w:val="7"/>
        </w:rPr>
        <w:t>生行政部门应当加强技术支持和协调工作，根</w:t>
      </w:r>
      <w:r>
        <w:rPr>
          <w:spacing w:val="18"/>
        </w:rPr>
        <w:t>据需要组织国家卫生应急救治队伍和专家迅</w:t>
      </w:r>
      <w:r>
        <w:rPr>
          <w:spacing w:val="7"/>
        </w:rPr>
        <w:t>速赶赴现场，协助开展卫生应急处理工作。市</w:t>
      </w:r>
      <w:r>
        <w:rPr>
          <w:spacing w:val="18"/>
        </w:rPr>
        <w:t>卫生健康委在市政府领导下和自治区卫生健</w:t>
      </w:r>
      <w:r>
        <w:rPr>
          <w:spacing w:val="7"/>
        </w:rPr>
        <w:t>康委的指导下，立即启动市级突发中毒事件卫</w:t>
      </w:r>
      <w:r>
        <w:rPr>
          <w:spacing w:val="7"/>
        </w:rPr>
        <w:t>生应急机制，并将卫生应急工作情况及时报市</w:t>
      </w:r>
      <w:r>
        <w:rPr>
          <w:spacing w:val="8"/>
        </w:rPr>
        <w:t>政府和自治区卫生健康委。</w:t>
      </w:r>
    </w:p>
    <w:p>
      <w:pPr>
        <w:pStyle w:val="BodyText"/>
        <w:ind w:left="11" w:right="303" w:firstLine="422"/>
        <w:spacing w:before="2" w:line="348" w:lineRule="auto"/>
        <w:jc w:val="both"/>
        <w:rPr/>
      </w:pPr>
      <w:r>
        <w:rPr>
          <w:rFonts w:ascii="Times New Roman" w:hAnsi="Times New Roman" w:eastAsia="Times New Roman" w:cs="Times New Roman"/>
          <w:spacing w:val="7"/>
        </w:rPr>
        <w:t>Ⅲ</w:t>
      </w:r>
      <w:r>
        <w:rPr>
          <w:spacing w:val="7"/>
        </w:rPr>
        <w:t>级响应：达到较大突发中毒事件后，市</w:t>
      </w:r>
      <w:r>
        <w:rPr>
          <w:spacing w:val="7"/>
        </w:rPr>
        <w:t>卫生健康行政部门立即启动</w:t>
      </w:r>
      <w:r>
        <w:rPr>
          <w:rFonts w:ascii="Times New Roman" w:hAnsi="Times New Roman" w:eastAsia="Times New Roman" w:cs="Times New Roman"/>
          <w:spacing w:val="7"/>
        </w:rPr>
        <w:t>Ⅲ</w:t>
      </w:r>
      <w:r>
        <w:rPr>
          <w:spacing w:val="7"/>
        </w:rPr>
        <w:t>级应急响应，迅</w:t>
      </w:r>
      <w:r>
        <w:rPr>
          <w:spacing w:val="7"/>
        </w:rPr>
        <w:t>速开展卫生应急工作，并将卫生应急工作情况</w:t>
      </w:r>
      <w:r>
        <w:rPr>
          <w:spacing w:val="6"/>
        </w:rPr>
        <w:t>及时报设市政府和自治区卫生健康委。</w:t>
      </w:r>
      <w:r>
        <w:rPr>
          <w:spacing w:val="-57"/>
        </w:rPr>
        <w:t xml:space="preserve"> </w:t>
      </w:r>
      <w:r>
        <w:rPr>
          <w:spacing w:val="6"/>
        </w:rPr>
        <w:t>自治区</w:t>
      </w:r>
      <w:r>
        <w:rPr>
          <w:spacing w:val="-2"/>
        </w:rPr>
        <w:t>卫生健康委及时组织专家对卫生应急处理工作提</w:t>
      </w:r>
    </w:p>
    <w:p>
      <w:pPr>
        <w:spacing w:line="14" w:lineRule="auto"/>
        <w:rPr>
          <w:rFonts w:ascii="Arial"/>
          <w:sz w:val="2"/>
        </w:rPr>
      </w:pPr>
      <w:r>
        <w:rPr>
          <w:rFonts w:ascii="Arial" w:hAnsi="Arial" w:eastAsia="Arial" w:cs="Arial"/>
          <w:sz w:val="2"/>
          <w:szCs w:val="2"/>
        </w:rPr>
        <w:br w:type="column"/>
      </w:r>
    </w:p>
    <w:p>
      <w:pPr>
        <w:pStyle w:val="BodyText"/>
        <w:ind w:left="7" w:right="40"/>
        <w:spacing w:before="38" w:line="386" w:lineRule="auto"/>
        <w:rPr/>
      </w:pPr>
      <w:r>
        <w:rPr>
          <w:spacing w:val="-11"/>
        </w:rPr>
        <w:t>供技术指导和支持。国务院卫生行政部门根据工作</w:t>
      </w:r>
      <w:r>
        <w:rPr>
          <w:spacing w:val="-7"/>
        </w:rPr>
        <w:t>需要及时提供技术支持和指导。</w:t>
      </w:r>
    </w:p>
    <w:p>
      <w:pPr>
        <w:pStyle w:val="BodyText"/>
        <w:ind w:right="42" w:firstLine="429"/>
        <w:spacing w:before="2" w:line="385" w:lineRule="auto"/>
        <w:jc w:val="both"/>
        <w:rPr/>
      </w:pPr>
      <w:r>
        <w:rPr>
          <w:rFonts w:ascii="Times New Roman" w:hAnsi="Times New Roman" w:eastAsia="Times New Roman" w:cs="Times New Roman"/>
          <w:spacing w:val="6"/>
        </w:rPr>
        <w:t>Ⅳ</w:t>
      </w:r>
      <w:r>
        <w:rPr>
          <w:spacing w:val="6"/>
        </w:rPr>
        <w:t>级响应：达到一般突发中毒事件后，县</w:t>
      </w:r>
      <w:r>
        <w:rPr>
          <w:spacing w:val="7"/>
        </w:rPr>
        <w:t>（区）卫生健康行政部门立即启动</w:t>
      </w:r>
      <w:r>
        <w:rPr>
          <w:rFonts w:ascii="Times New Roman" w:hAnsi="Times New Roman" w:eastAsia="Times New Roman" w:cs="Times New Roman"/>
          <w:spacing w:val="7"/>
        </w:rPr>
        <w:t>Ⅳ</w:t>
      </w:r>
      <w:r>
        <w:rPr>
          <w:spacing w:val="7"/>
        </w:rPr>
        <w:t>级应急响</w:t>
      </w:r>
      <w:r>
        <w:rPr>
          <w:spacing w:val="7"/>
        </w:rPr>
        <w:t>应，迅速开展卫生应急工作，并将卫生应急工</w:t>
      </w:r>
      <w:r>
        <w:rPr>
          <w:spacing w:val="7"/>
        </w:rPr>
        <w:t>作情况及时报县（区）政府和市卫生健康行政</w:t>
      </w:r>
      <w:r>
        <w:rPr>
          <w:spacing w:val="-2"/>
        </w:rPr>
        <w:t>部门。市卫生健康行政部门应当及时组织专家对</w:t>
      </w:r>
      <w:r>
        <w:rPr>
          <w:spacing w:val="-2"/>
        </w:rPr>
        <w:t>卫生应急处理工作进行技术指导。自治区卫生健</w:t>
      </w:r>
      <w:r>
        <w:rPr>
          <w:spacing w:val="-5"/>
        </w:rPr>
        <w:t>康委根据工作需要提供技术支持。</w:t>
      </w:r>
    </w:p>
    <w:p>
      <w:pPr>
        <w:ind w:left="434"/>
        <w:spacing w:before="17" w:line="265" w:lineRule="exact"/>
        <w:rPr>
          <w:rFonts w:ascii="KaiTi" w:hAnsi="KaiTi" w:eastAsia="KaiTi" w:cs="KaiTi"/>
          <w:sz w:val="20"/>
          <w:szCs w:val="20"/>
        </w:rPr>
      </w:pPr>
      <w:r>
        <w:rPr>
          <w:rFonts w:ascii="Times New Roman" w:hAnsi="Times New Roman" w:eastAsia="Times New Roman" w:cs="Times New Roman"/>
          <w:sz w:val="20"/>
          <w:szCs w:val="20"/>
          <w:spacing w:val="4"/>
          <w:position w:val="1"/>
        </w:rPr>
        <w:t>5.3  </w:t>
      </w:r>
      <w:r>
        <w:rPr>
          <w:rFonts w:ascii="KaiTi" w:hAnsi="KaiTi" w:eastAsia="KaiTi" w:cs="KaiTi"/>
          <w:sz w:val="20"/>
          <w:szCs w:val="20"/>
          <w:spacing w:val="4"/>
          <w:position w:val="1"/>
        </w:rPr>
        <w:t>响应措施。</w:t>
      </w:r>
    </w:p>
    <w:p>
      <w:pPr>
        <w:pStyle w:val="BodyText"/>
        <w:ind w:left="7" w:right="57" w:firstLine="426"/>
        <w:spacing w:before="160" w:line="354" w:lineRule="auto"/>
        <w:rPr/>
      </w:pPr>
      <w:r>
        <w:rPr>
          <w:rFonts w:ascii="Times New Roman" w:hAnsi="Times New Roman" w:eastAsia="Times New Roman" w:cs="Times New Roman"/>
          <w:spacing w:val="3"/>
        </w:rPr>
        <w:t>5.3.1 </w:t>
      </w:r>
      <w:r>
        <w:rPr>
          <w:spacing w:val="3"/>
        </w:rPr>
        <w:t>组织协调。各级卫生健康行政部门在</w:t>
      </w:r>
      <w:r>
        <w:rPr>
          <w:spacing w:val="18"/>
        </w:rPr>
        <w:t>本级政府或其成立的突发事件应急指挥部统</w:t>
      </w:r>
      <w:r>
        <w:rPr>
          <w:spacing w:val="15"/>
        </w:rPr>
        <w:t>一领导</w:t>
      </w:r>
      <w:r>
        <w:rPr>
          <w:spacing w:val="-40"/>
        </w:rPr>
        <w:t xml:space="preserve"> </w:t>
      </w:r>
      <w:r>
        <w:rPr>
          <w:spacing w:val="15"/>
        </w:rPr>
        <w:t>，上一级卫生健康行政部门业务指导</w:t>
      </w:r>
      <w:r>
        <w:rPr>
          <w:spacing w:val="7"/>
        </w:rPr>
        <w:t>下，调集卫生应急专业队伍和相关资源，开展</w:t>
      </w:r>
      <w:r>
        <w:rPr>
          <w:spacing w:val="8"/>
        </w:rPr>
        <w:t>突发中毒事件卫生应急救援工作。</w:t>
      </w:r>
    </w:p>
    <w:p>
      <w:pPr>
        <w:pStyle w:val="BodyText"/>
        <w:ind w:left="8" w:right="54" w:firstLine="425"/>
        <w:spacing w:before="183" w:line="354" w:lineRule="auto"/>
        <w:rPr/>
      </w:pPr>
      <w:r>
        <w:rPr>
          <w:rFonts w:ascii="Times New Roman" w:hAnsi="Times New Roman" w:eastAsia="Times New Roman" w:cs="Times New Roman"/>
          <w:spacing w:val="3"/>
        </w:rPr>
        <w:t>5.3.2 </w:t>
      </w:r>
      <w:r>
        <w:rPr>
          <w:spacing w:val="3"/>
        </w:rPr>
        <w:t>现场处置。具备有效防护能力、现场</w:t>
      </w:r>
      <w:r>
        <w:rPr>
          <w:spacing w:val="18"/>
        </w:rPr>
        <w:t>处置知识和技能的医疗卫生应急人员承担突</w:t>
      </w:r>
      <w:r>
        <w:rPr>
          <w:spacing w:val="7"/>
        </w:rPr>
        <w:t>发中毒事件卫生应急现场处置工作，并详细记</w:t>
      </w:r>
      <w:r>
        <w:rPr>
          <w:spacing w:val="7"/>
        </w:rPr>
        <w:t>录现场处置相关内容，按流程转运病人并做好</w:t>
      </w:r>
      <w:r>
        <w:rPr>
          <w:spacing w:val="6"/>
        </w:rPr>
        <w:t>交接工作。</w:t>
      </w:r>
    </w:p>
    <w:p>
      <w:pPr>
        <w:pStyle w:val="BodyText"/>
        <w:ind w:left="9" w:right="57" w:firstLine="425"/>
        <w:spacing w:before="182" w:line="354" w:lineRule="auto"/>
        <w:rPr/>
      </w:pPr>
      <w:r>
        <w:rPr>
          <w:rFonts w:ascii="Times New Roman" w:hAnsi="Times New Roman" w:eastAsia="Times New Roman" w:cs="Times New Roman"/>
          <w:spacing w:val="13"/>
        </w:rPr>
        <w:t>5.3.2.</w:t>
      </w:r>
      <w:r>
        <w:rPr>
          <w:rFonts w:ascii="Times New Roman" w:hAnsi="Times New Roman" w:eastAsia="Times New Roman" w:cs="Times New Roman"/>
          <w:spacing w:val="-15"/>
        </w:rPr>
        <w:t xml:space="preserve"> </w:t>
      </w:r>
      <w:r>
        <w:rPr>
          <w:rFonts w:ascii="Times New Roman" w:hAnsi="Times New Roman" w:eastAsia="Times New Roman" w:cs="Times New Roman"/>
          <w:spacing w:val="13"/>
        </w:rPr>
        <w:t>1 </w:t>
      </w:r>
      <w:r>
        <w:rPr>
          <w:spacing w:val="13"/>
        </w:rPr>
        <w:t>脱离接触。卫生部门积极配合公</w:t>
      </w:r>
      <w:r>
        <w:rPr>
          <w:spacing w:val="7"/>
        </w:rPr>
        <w:t>安、应急管理、生态环境、食品药品监督管理</w:t>
      </w:r>
      <w:r>
        <w:rPr>
          <w:spacing w:val="7"/>
        </w:rPr>
        <w:t>等部门控制危害源，搜救中毒人员，封锁危险</w:t>
      </w:r>
      <w:r>
        <w:rPr>
          <w:spacing w:val="7"/>
        </w:rPr>
        <w:t>区域以及封存相关物品，防止人员继续接触有</w:t>
      </w:r>
      <w:r>
        <w:rPr>
          <w:spacing w:val="6"/>
        </w:rPr>
        <w:t>毒物质。</w:t>
      </w:r>
    </w:p>
    <w:p>
      <w:pPr>
        <w:pStyle w:val="BodyText"/>
        <w:ind w:right="57" w:firstLine="434"/>
        <w:spacing w:before="184" w:line="354" w:lineRule="auto"/>
        <w:rPr/>
      </w:pPr>
      <w:r>
        <w:rPr>
          <w:rFonts w:ascii="Times New Roman" w:hAnsi="Times New Roman" w:eastAsia="Times New Roman" w:cs="Times New Roman"/>
          <w:spacing w:val="5"/>
        </w:rPr>
        <w:t>5.3.2.2 </w:t>
      </w:r>
      <w:r>
        <w:rPr>
          <w:spacing w:val="5"/>
        </w:rPr>
        <w:t>现场医疗救援区域设置。存在毒物</w:t>
      </w:r>
      <w:r>
        <w:rPr>
          <w:spacing w:val="7"/>
        </w:rPr>
        <w:t>扩散趋势的毒物危害事件现场，一般分为热区</w:t>
      </w:r>
      <w:r>
        <w:rPr>
          <w:spacing w:val="-3"/>
        </w:rPr>
        <w:t>（红线内）、温区（黄线与红线间）和冷区（绿</w:t>
      </w:r>
      <w:r>
        <w:rPr>
          <w:spacing w:val="7"/>
        </w:rPr>
        <w:t>线与黄线间）。医疗救援区域设立在冷区，并</w:t>
      </w:r>
      <w:r>
        <w:rPr>
          <w:spacing w:val="7"/>
        </w:rPr>
        <w:t>可结合现场救援工作需要，在医疗救援区域内</w:t>
      </w:r>
      <w:r>
        <w:rPr>
          <w:spacing w:val="7"/>
        </w:rPr>
        <w:t>设立洗消区、检伤区、观察区、抢救区、转运</w:t>
      </w:r>
    </w:p>
    <w:p>
      <w:pPr>
        <w:spacing w:line="354" w:lineRule="auto"/>
        <w:sectPr>
          <w:type w:val="continuous"/>
          <w:pgSz w:w="11906" w:h="16839"/>
          <w:pgMar w:top="1766" w:right="1530" w:bottom="1575" w:left="1579" w:header="1428" w:footer="1172" w:gutter="0"/>
          <w:cols w:equalWidth="0" w:num="2">
            <w:col w:w="4482" w:space="100"/>
            <w:col w:w="4214" w:space="0"/>
          </w:cols>
        </w:sectPr>
        <w:rPr/>
      </w:pPr>
    </w:p>
    <w:p>
      <w:pPr>
        <w:spacing w:before="89"/>
        <w:rPr/>
      </w:pPr>
      <w:r>
        <w:drawing>
          <wp:anchor distT="0" distB="0" distL="0" distR="0" simplePos="0" relativeHeight="253512704"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966" name="IM 1966"/>
            <wp:cNvGraphicFramePr/>
            <a:graphic>
              <a:graphicData uri="http://schemas.openxmlformats.org/drawingml/2006/picture">
                <pic:pic>
                  <pic:nvPicPr>
                    <pic:cNvPr id="1966" name="IM 1966"/>
                    <pic:cNvPicPr/>
                  </pic:nvPicPr>
                  <pic:blipFill>
                    <a:blip r:embed="rId985"/>
                    <a:stretch>
                      <a:fillRect/>
                    </a:stretch>
                  </pic:blipFill>
                  <pic:spPr>
                    <a:xfrm rot="0">
                      <a:off x="0" y="0"/>
                      <a:ext cx="5579745" cy="7620"/>
                    </a:xfrm>
                    <a:prstGeom prst="rect">
                      <a:avLst/>
                    </a:prstGeom>
                  </pic:spPr>
                </pic:pic>
              </a:graphicData>
            </a:graphic>
          </wp:anchor>
        </w:drawing>
      </w:r>
      <w:r/>
    </w:p>
    <w:p>
      <w:pPr>
        <w:sectPr>
          <w:headerReference w:type="default" r:id="rId983"/>
          <w:footerReference w:type="default" r:id="rId984"/>
          <w:pgSz w:w="11906" w:h="16839"/>
          <w:pgMar w:top="1772" w:right="1480" w:bottom="1584" w:left="1567" w:header="1428" w:footer="1172" w:gutter="0"/>
          <w:cols w:equalWidth="0" w:num="1">
            <w:col w:w="8859" w:space="0"/>
          </w:cols>
        </w:sectPr>
        <w:rPr/>
      </w:pPr>
    </w:p>
    <w:p>
      <w:pPr>
        <w:pStyle w:val="BodyText"/>
        <w:ind w:left="41"/>
        <w:spacing w:before="40" w:line="223" w:lineRule="auto"/>
        <w:rPr/>
      </w:pPr>
      <w:r>
        <w:rPr>
          <w:spacing w:val="8"/>
        </w:rPr>
        <w:t>区、指挥区、尸体停放区等功能分区。</w:t>
      </w:r>
    </w:p>
    <w:p>
      <w:pPr>
        <w:pStyle w:val="BodyText"/>
        <w:ind w:left="24" w:right="250" w:firstLine="427"/>
        <w:spacing w:before="184" w:line="387" w:lineRule="auto"/>
        <w:jc w:val="both"/>
        <w:rPr/>
      </w:pPr>
      <w:r>
        <w:rPr>
          <w:rFonts w:ascii="Times New Roman" w:hAnsi="Times New Roman" w:eastAsia="Times New Roman" w:cs="Times New Roman"/>
          <w:spacing w:val="5"/>
        </w:rPr>
        <w:t>5.3.2.3 </w:t>
      </w:r>
      <w:r>
        <w:rPr>
          <w:spacing w:val="5"/>
        </w:rPr>
        <w:t>样本采集和毒物快速检测。现场调</w:t>
      </w:r>
      <w:r>
        <w:rPr>
          <w:spacing w:val="7"/>
        </w:rPr>
        <w:t>查人员在了解事件发生过程和发生地情况后尽</w:t>
      </w:r>
      <w:r>
        <w:rPr>
          <w:spacing w:val="7"/>
        </w:rPr>
        <w:t>早进行样本采集工作。采集样本时应当根据毒</w:t>
      </w:r>
      <w:r>
        <w:rPr>
          <w:spacing w:val="18"/>
        </w:rPr>
        <w:t>物性质和事件危害特征采集具有代表性的样</w:t>
      </w:r>
      <w:r>
        <w:rPr>
          <w:spacing w:val="8"/>
        </w:rPr>
        <w:t>本，选择合适的采样工具和保存、转运容器，</w:t>
      </w:r>
      <w:r>
        <w:rPr>
          <w:spacing w:val="1"/>
        </w:rPr>
        <w:t>防止污染，采集的样本数量应当满足多次检测。</w:t>
      </w:r>
    </w:p>
    <w:p>
      <w:pPr>
        <w:pStyle w:val="BodyText"/>
        <w:ind w:left="28" w:right="330" w:firstLine="419"/>
        <w:spacing w:line="388" w:lineRule="auto"/>
        <w:jc w:val="both"/>
        <w:rPr/>
      </w:pPr>
      <w:r>
        <w:rPr>
          <w:spacing w:val="6"/>
        </w:rPr>
        <w:t>在有条件时，现场调查人员应当尽早开展</w:t>
      </w:r>
      <w:r>
        <w:rPr>
          <w:spacing w:val="7"/>
        </w:rPr>
        <w:t>现场应急毒物检测，以便根据毒物检测结果指</w:t>
      </w:r>
      <w:r>
        <w:rPr>
          <w:spacing w:val="8"/>
        </w:rPr>
        <w:t>导开展现场处置工作。</w:t>
      </w:r>
    </w:p>
    <w:p>
      <w:pPr>
        <w:pStyle w:val="BodyText"/>
        <w:ind w:left="25" w:right="328" w:firstLine="425"/>
        <w:spacing w:before="4" w:line="353" w:lineRule="auto"/>
        <w:rPr/>
      </w:pPr>
      <w:r>
        <w:rPr>
          <w:rFonts w:ascii="Times New Roman" w:hAnsi="Times New Roman" w:eastAsia="Times New Roman" w:cs="Times New Roman"/>
          <w:spacing w:val="5"/>
        </w:rPr>
        <w:t>5.3.2.4 </w:t>
      </w:r>
      <w:r>
        <w:rPr>
          <w:spacing w:val="5"/>
        </w:rPr>
        <w:t>现场洗消。在温区与冷区交界处设</w:t>
      </w:r>
      <w:r>
        <w:rPr>
          <w:spacing w:val="7"/>
        </w:rPr>
        <w:t>立现场洗消点，医疗卫生救援人员协助消防部</w:t>
      </w:r>
      <w:r>
        <w:rPr>
          <w:spacing w:val="7"/>
        </w:rPr>
        <w:t>门对重伤员进行洗消，同时注意染毒衣物和染</w:t>
      </w:r>
      <w:r>
        <w:rPr>
          <w:spacing w:val="8"/>
        </w:rPr>
        <w:t>毒贵重物品的处理。</w:t>
      </w:r>
    </w:p>
    <w:p>
      <w:pPr>
        <w:pStyle w:val="BodyText"/>
        <w:ind w:left="22" w:right="249" w:firstLine="429"/>
        <w:spacing w:before="146" w:line="375" w:lineRule="auto"/>
        <w:rPr/>
      </w:pPr>
      <w:r>
        <w:rPr>
          <w:rFonts w:ascii="Times New Roman" w:hAnsi="Times New Roman" w:eastAsia="Times New Roman" w:cs="Times New Roman"/>
          <w:spacing w:val="5"/>
        </w:rPr>
        <w:t>5.3.2.5 </w:t>
      </w:r>
      <w:r>
        <w:rPr>
          <w:spacing w:val="5"/>
        </w:rPr>
        <w:t>现场检伤及医疗救援。现场检伤区</w:t>
      </w:r>
      <w:r>
        <w:rPr>
          <w:spacing w:val="7"/>
        </w:rPr>
        <w:t>设立在现场洗消区附近的冷区内，医疗卫生救</w:t>
      </w:r>
      <w:r>
        <w:rPr>
          <w:spacing w:val="7"/>
        </w:rPr>
        <w:t>援队伍负责对暴露人员进行现场检伤。参照通</w:t>
      </w:r>
      <w:r>
        <w:rPr>
          <w:spacing w:val="7"/>
        </w:rPr>
        <w:t>用检伤原则以及毒物对人体健康危害特点，将</w:t>
      </w:r>
      <w:r>
        <w:rPr>
          <w:spacing w:val="7"/>
        </w:rPr>
        <w:t>中毒病人及暴露人员分为优先处置、次优先处</w:t>
      </w:r>
      <w:r>
        <w:rPr>
          <w:spacing w:val="1"/>
        </w:rPr>
        <w:t>置、延后处置和暂不处置四类，分别用红、黄、</w:t>
      </w:r>
      <w:r>
        <w:rPr>
          <w:spacing w:val="7"/>
        </w:rPr>
        <w:t>绿、黑四种颜色表示。标红色为必须紧急处理</w:t>
      </w:r>
      <w:r>
        <w:rPr>
          <w:spacing w:val="7"/>
        </w:rPr>
        <w:t>的危重症病人，优先处置；标黄色为可稍后处</w:t>
      </w:r>
      <w:r>
        <w:rPr>
          <w:spacing w:val="7"/>
        </w:rPr>
        <w:t>理的重症病人，次优先处置；标绿色为轻症病</w:t>
      </w:r>
      <w:r>
        <w:rPr>
          <w:spacing w:val="11"/>
        </w:rPr>
        <w:t>人或尚未确诊的暴露人员，可延后进行处置；</w:t>
      </w:r>
      <w:r>
        <w:rPr>
          <w:spacing w:val="7"/>
        </w:rPr>
        <w:t>标黑色为死亡人员，暂不处置。红标者应当立</w:t>
      </w:r>
      <w:r>
        <w:rPr>
          <w:spacing w:val="7"/>
        </w:rPr>
        <w:t>即送抢救区急救，黄标者和绿标者在观察区进</w:t>
      </w:r>
      <w:r>
        <w:rPr>
          <w:spacing w:val="9"/>
        </w:rPr>
        <w:t>行医学处理，黑标者送尸体停放区。</w:t>
      </w:r>
    </w:p>
    <w:p>
      <w:pPr>
        <w:pStyle w:val="BodyText"/>
        <w:ind w:left="25" w:right="330" w:firstLine="423"/>
        <w:spacing w:before="177" w:line="338" w:lineRule="auto"/>
        <w:jc w:val="both"/>
        <w:rPr/>
      </w:pPr>
      <w:r>
        <w:rPr>
          <w:spacing w:val="18"/>
        </w:rPr>
        <w:t>现场医疗救援工作由卫生健康行政部门</w:t>
      </w:r>
      <w:r>
        <w:rPr>
          <w:spacing w:val="7"/>
        </w:rPr>
        <w:t>指挥和调度。中毒病人和暴露人员经现场医学</w:t>
      </w:r>
      <w:r>
        <w:rPr>
          <w:spacing w:val="7"/>
        </w:rPr>
        <w:t>处理且病情相对平稳后，转运至指定的医疗机</w:t>
      </w:r>
      <w:r>
        <w:rPr>
          <w:spacing w:val="7"/>
        </w:rPr>
        <w:t>构等。现场医学处理人员要记录相关病人和暴</w:t>
      </w:r>
    </w:p>
    <w:p>
      <w:pPr>
        <w:spacing w:line="14" w:lineRule="auto"/>
        <w:rPr>
          <w:rFonts w:ascii="Arial"/>
          <w:sz w:val="2"/>
        </w:rPr>
      </w:pPr>
      <w:r>
        <w:rPr>
          <w:rFonts w:ascii="Arial" w:hAnsi="Arial" w:eastAsia="Arial" w:cs="Arial"/>
          <w:sz w:val="2"/>
          <w:szCs w:val="2"/>
        </w:rPr>
        <w:br w:type="column"/>
      </w:r>
    </w:p>
    <w:p>
      <w:pPr>
        <w:pStyle w:val="BodyText"/>
        <w:ind w:right="110"/>
        <w:spacing w:before="42" w:line="387" w:lineRule="auto"/>
        <w:jc w:val="both"/>
        <w:rPr/>
      </w:pPr>
      <w:r>
        <w:rPr>
          <w:spacing w:val="7"/>
        </w:rPr>
        <w:t>露人员的现场医学处理措施，与转运病人的医</w:t>
      </w:r>
      <w:r>
        <w:rPr>
          <w:spacing w:val="7"/>
        </w:rPr>
        <w:t>务人员做好交接工作，并定期向卫生健康行政</w:t>
      </w:r>
      <w:r>
        <w:rPr>
          <w:spacing w:val="8"/>
        </w:rPr>
        <w:t>部门汇报相关信息。</w:t>
      </w:r>
    </w:p>
    <w:p>
      <w:pPr>
        <w:pStyle w:val="BodyText"/>
        <w:ind w:right="107" w:firstLine="426"/>
        <w:spacing w:line="388" w:lineRule="auto"/>
        <w:jc w:val="both"/>
        <w:rPr/>
      </w:pPr>
      <w:r>
        <w:rPr>
          <w:rFonts w:ascii="Times New Roman" w:hAnsi="Times New Roman" w:eastAsia="Times New Roman" w:cs="Times New Roman"/>
          <w:spacing w:val="5"/>
        </w:rPr>
        <w:t>5.3.2.6 </w:t>
      </w:r>
      <w:r>
        <w:rPr>
          <w:spacing w:val="5"/>
        </w:rPr>
        <w:t>病人转运。卫生健康行政部门要指</w:t>
      </w:r>
      <w:r>
        <w:rPr>
          <w:spacing w:val="7"/>
        </w:rPr>
        <w:t>定医疗机构和院前急救机构接收转运病人，做</w:t>
      </w:r>
      <w:r>
        <w:rPr>
          <w:spacing w:val="8"/>
        </w:rPr>
        <w:t>到统一调度，合理分流。</w:t>
      </w:r>
    </w:p>
    <w:p>
      <w:pPr>
        <w:pStyle w:val="BodyText"/>
        <w:ind w:right="110" w:firstLine="420"/>
        <w:spacing w:before="1" w:line="387" w:lineRule="auto"/>
        <w:jc w:val="both"/>
        <w:rPr/>
      </w:pPr>
      <w:r>
        <w:rPr>
          <w:spacing w:val="6"/>
        </w:rPr>
        <w:t>转运过程中，医护人员必须密切观察中毒</w:t>
      </w:r>
      <w:r>
        <w:rPr>
          <w:spacing w:val="7"/>
        </w:rPr>
        <w:t>病人病情变化，确保治疗持续进行，并随时采</w:t>
      </w:r>
      <w:r>
        <w:rPr>
          <w:spacing w:val="7"/>
        </w:rPr>
        <w:t>取相应急救措施。负责转运的医护人员与接收</w:t>
      </w:r>
      <w:r>
        <w:rPr>
          <w:spacing w:val="7"/>
        </w:rPr>
        <w:t>病人的医疗机构要做好病人交接，并及时向卫</w:t>
      </w:r>
      <w:r>
        <w:rPr>
          <w:spacing w:val="9"/>
        </w:rPr>
        <w:t>生健康行政部门报告转运及交接情况。</w:t>
      </w:r>
    </w:p>
    <w:p>
      <w:pPr>
        <w:pStyle w:val="BodyText"/>
        <w:ind w:right="107" w:firstLine="426"/>
        <w:spacing w:before="1" w:line="388" w:lineRule="auto"/>
        <w:jc w:val="both"/>
        <w:rPr/>
      </w:pPr>
      <w:r>
        <w:rPr>
          <w:rFonts w:ascii="Times New Roman" w:hAnsi="Times New Roman" w:eastAsia="Times New Roman" w:cs="Times New Roman"/>
          <w:spacing w:val="5"/>
        </w:rPr>
        <w:t>5.3.2.7 </w:t>
      </w:r>
      <w:r>
        <w:rPr>
          <w:spacing w:val="5"/>
        </w:rPr>
        <w:t>病人救治。卫生健康行政部门根据</w:t>
      </w:r>
      <w:r>
        <w:rPr>
          <w:spacing w:val="7"/>
        </w:rPr>
        <w:t>需要组织制定突发中毒事件的诊疗方案，并组</w:t>
      </w:r>
      <w:r>
        <w:rPr>
          <w:spacing w:val="8"/>
        </w:rPr>
        <w:t>织开展指导检查工作。</w:t>
      </w:r>
    </w:p>
    <w:p>
      <w:pPr>
        <w:pStyle w:val="BodyText"/>
        <w:ind w:right="87" w:firstLine="421"/>
        <w:spacing w:before="3" w:line="387" w:lineRule="auto"/>
        <w:jc w:val="both"/>
        <w:rPr/>
      </w:pPr>
      <w:r>
        <w:rPr>
          <w:spacing w:val="8"/>
        </w:rPr>
        <w:t>接收病人的医疗机构，做好病人的接收、</w:t>
      </w:r>
      <w:r>
        <w:rPr>
          <w:spacing w:val="7"/>
        </w:rPr>
        <w:t>救治和医学观察工作，并及时向卫生健康行政</w:t>
      </w:r>
      <w:r>
        <w:rPr>
          <w:spacing w:val="18"/>
        </w:rPr>
        <w:t>部门报告相关信息。根据毒物特点及病人情</w:t>
      </w:r>
      <w:r>
        <w:rPr>
          <w:spacing w:val="8"/>
        </w:rPr>
        <w:t>况，必要时对病人进行二次洗消。</w:t>
      </w:r>
    </w:p>
    <w:p>
      <w:pPr>
        <w:pStyle w:val="BodyText"/>
        <w:ind w:right="107" w:firstLine="426"/>
        <w:spacing w:line="354" w:lineRule="auto"/>
        <w:rPr/>
      </w:pPr>
      <w:r>
        <w:rPr>
          <w:rFonts w:ascii="Times New Roman" w:hAnsi="Times New Roman" w:eastAsia="Times New Roman" w:cs="Times New Roman"/>
          <w:spacing w:val="4"/>
        </w:rPr>
        <w:t>5.3.2.8</w:t>
      </w:r>
      <w:r>
        <w:rPr>
          <w:rFonts w:ascii="Times New Roman" w:hAnsi="Times New Roman" w:eastAsia="Times New Roman" w:cs="Times New Roman"/>
          <w:spacing w:val="33"/>
        </w:rPr>
        <w:t xml:space="preserve"> </w:t>
      </w:r>
      <w:r>
        <w:rPr>
          <w:spacing w:val="4"/>
        </w:rPr>
        <w:t>医疗卫生救援人员的防护。进入现</w:t>
      </w:r>
      <w:r>
        <w:rPr>
          <w:spacing w:val="7"/>
        </w:rPr>
        <w:t>场参与医疗卫生救援的人员，要了解各类防护</w:t>
      </w:r>
      <w:r>
        <w:rPr>
          <w:spacing w:val="7"/>
        </w:rPr>
        <w:t>装备的性能和局限性，根据毒物种类及危害水</w:t>
      </w:r>
      <w:r>
        <w:rPr>
          <w:spacing w:val="7"/>
        </w:rPr>
        <w:t>平选择适宜的个体防护装备，在没有适当个体</w:t>
      </w:r>
      <w:r>
        <w:rPr>
          <w:spacing w:val="8"/>
        </w:rPr>
        <w:t>防护的情况下不得进入现场工作。</w:t>
      </w:r>
    </w:p>
    <w:p>
      <w:pPr>
        <w:pStyle w:val="BodyText"/>
        <w:ind w:right="100" w:firstLine="426"/>
        <w:spacing w:before="178" w:line="355" w:lineRule="auto"/>
        <w:rPr/>
      </w:pPr>
      <w:r>
        <w:rPr>
          <w:rFonts w:ascii="Times New Roman" w:hAnsi="Times New Roman" w:eastAsia="Times New Roman" w:cs="Times New Roman"/>
          <w:spacing w:val="5"/>
        </w:rPr>
        <w:t>5.3.2.9 </w:t>
      </w:r>
      <w:r>
        <w:rPr>
          <w:spacing w:val="5"/>
        </w:rPr>
        <w:t>公众健康防护和宣传教育。各级卫</w:t>
      </w:r>
      <w:r>
        <w:rPr>
          <w:spacing w:val="18"/>
        </w:rPr>
        <w:t>生健康行政部门根据突发中毒事件特点和卫</w:t>
      </w:r>
      <w:r>
        <w:rPr>
          <w:spacing w:val="7"/>
        </w:rPr>
        <w:t>生防护要求，向当地政府及有关部门提出公众</w:t>
      </w:r>
      <w:r>
        <w:rPr>
          <w:spacing w:val="-3"/>
        </w:rPr>
        <w:t>健康防护措施建议，开展中毒自救、互救及其卫</w:t>
      </w:r>
      <w:r>
        <w:rPr>
          <w:spacing w:val="2"/>
        </w:rPr>
        <w:t>生防病知识等公众健康影响的宣传教育工作。</w:t>
      </w:r>
    </w:p>
    <w:p>
      <w:pPr>
        <w:pStyle w:val="BodyText"/>
        <w:ind w:left="2" w:firstLine="416"/>
        <w:spacing w:before="178" w:line="322" w:lineRule="auto"/>
        <w:jc w:val="both"/>
        <w:rPr/>
      </w:pPr>
      <w:r>
        <w:rPr>
          <w:spacing w:val="6"/>
        </w:rPr>
        <w:t>公众健康防护措施的建议主要包括</w:t>
      </w:r>
      <w:r>
        <w:rPr>
          <w:spacing w:val="-24"/>
        </w:rPr>
        <w:t>：（</w:t>
      </w:r>
      <w:r>
        <w:rPr>
          <w:spacing w:val="-47"/>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21"/>
        </w:rPr>
        <w:t xml:space="preserve"> </w:t>
      </w:r>
      <w:r>
        <w:rPr>
          <w:spacing w:val="6"/>
        </w:rPr>
        <w:t>）</w:t>
      </w:r>
      <w:r>
        <w:rPr>
          <w:spacing w:val="7"/>
        </w:rPr>
        <w:t>发生有毒气体泄漏事件后，根据当地气象条件</w:t>
      </w:r>
      <w:r>
        <w:rPr>
          <w:spacing w:val="7"/>
        </w:rPr>
        <w:t>和地理位置特点，暴露区域群众应当转移到上</w:t>
      </w:r>
    </w:p>
    <w:p>
      <w:pPr>
        <w:spacing w:line="322" w:lineRule="auto"/>
        <w:sectPr>
          <w:type w:val="continuous"/>
          <w:pgSz w:w="11906" w:h="16839"/>
          <w:pgMar w:top="1772" w:right="1480" w:bottom="1584" w:left="1567" w:header="1428" w:footer="1172" w:gutter="0"/>
          <w:cols w:equalWidth="0" w:num="2">
            <w:col w:w="4502" w:space="100"/>
            <w:col w:w="4257" w:space="0"/>
          </w:cols>
        </w:sectPr>
        <w:rPr/>
      </w:pPr>
    </w:p>
    <w:p>
      <w:pPr>
        <w:spacing w:before="97"/>
        <w:rPr/>
      </w:pPr>
      <w:r>
        <w:drawing>
          <wp:anchor distT="0" distB="0" distL="0" distR="0" simplePos="0" relativeHeight="253524992"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970" name="IM 1970"/>
            <wp:cNvGraphicFramePr/>
            <a:graphic>
              <a:graphicData uri="http://schemas.openxmlformats.org/drawingml/2006/picture">
                <pic:pic>
                  <pic:nvPicPr>
                    <pic:cNvPr id="1970" name="IM 1970"/>
                    <pic:cNvPicPr/>
                  </pic:nvPicPr>
                  <pic:blipFill>
                    <a:blip r:embed="rId987"/>
                    <a:stretch>
                      <a:fillRect/>
                    </a:stretch>
                  </pic:blipFill>
                  <pic:spPr>
                    <a:xfrm rot="0">
                      <a:off x="0" y="0"/>
                      <a:ext cx="5579745" cy="7620"/>
                    </a:xfrm>
                    <a:prstGeom prst="rect">
                      <a:avLst/>
                    </a:prstGeom>
                  </pic:spPr>
                </pic:pic>
              </a:graphicData>
            </a:graphic>
          </wp:anchor>
        </w:drawing>
      </w:r>
      <w:r/>
    </w:p>
    <w:p>
      <w:pPr>
        <w:sectPr>
          <w:headerReference w:type="default" r:id="rId549"/>
          <w:footerReference w:type="default" r:id="rId986"/>
          <w:pgSz w:w="11906" w:h="16839"/>
          <w:pgMar w:top="1766" w:right="1530" w:bottom="1575" w:left="1579" w:header="1428" w:footer="1172" w:gutter="0"/>
          <w:cols w:equalWidth="0" w:num="1">
            <w:col w:w="8796" w:space="0"/>
          </w:cols>
        </w:sectPr>
        <w:rPr/>
      </w:pPr>
    </w:p>
    <w:p>
      <w:pPr>
        <w:pStyle w:val="BodyText"/>
        <w:ind w:left="12" w:right="248" w:firstLine="3"/>
        <w:spacing w:before="43" w:line="384" w:lineRule="auto"/>
        <w:jc w:val="both"/>
        <w:rPr/>
      </w:pPr>
      <w:r>
        <w:rPr>
          <w:spacing w:val="7"/>
        </w:rPr>
        <w:t>风方向或侧上风方向的安全区域，必要时应当</w:t>
      </w:r>
      <w:r>
        <w:rPr>
          <w:spacing w:val="4"/>
        </w:rPr>
        <w:t>配备逃生防毒面具。（</w:t>
      </w:r>
      <w:r>
        <w:rPr>
          <w:rFonts w:ascii="Times New Roman" w:hAnsi="Times New Roman" w:eastAsia="Times New Roman" w:cs="Times New Roman"/>
          <w:spacing w:val="4"/>
        </w:rPr>
        <w:t>2</w:t>
      </w:r>
      <w:r>
        <w:rPr>
          <w:rFonts w:ascii="Times New Roman" w:hAnsi="Times New Roman" w:eastAsia="Times New Roman" w:cs="Times New Roman"/>
          <w:spacing w:val="-8"/>
        </w:rPr>
        <w:t xml:space="preserve"> </w:t>
      </w:r>
      <w:r>
        <w:rPr>
          <w:spacing w:val="4"/>
        </w:rPr>
        <w:t>）发生毒物污染水源、</w:t>
      </w:r>
      <w:r>
        <w:rPr>
          <w:spacing w:val="7"/>
        </w:rPr>
        <w:t>土壤和食物等中毒事件后，应当立即标记和封</w:t>
      </w:r>
      <w:r>
        <w:rPr>
          <w:spacing w:val="7"/>
        </w:rPr>
        <w:t>锁污染区域，及时控制污染源，切断并避免公</w:t>
      </w:r>
      <w:r>
        <w:rPr>
          <w:spacing w:val="8"/>
        </w:rPr>
        <w:t>众接触有毒物质。</w:t>
      </w:r>
    </w:p>
    <w:p>
      <w:pPr>
        <w:pStyle w:val="BodyText"/>
        <w:ind w:left="11" w:right="327" w:firstLine="427"/>
        <w:spacing w:before="16" w:line="387" w:lineRule="auto"/>
        <w:jc w:val="both"/>
        <w:rPr/>
      </w:pPr>
      <w:r>
        <w:rPr>
          <w:rFonts w:ascii="Times New Roman" w:hAnsi="Times New Roman" w:eastAsia="Times New Roman" w:cs="Times New Roman"/>
          <w:spacing w:val="6"/>
        </w:rPr>
        <w:t>5.3.2.</w:t>
      </w:r>
      <w:r>
        <w:rPr>
          <w:rFonts w:ascii="Times New Roman" w:hAnsi="Times New Roman" w:eastAsia="Times New Roman" w:cs="Times New Roman"/>
          <w:spacing w:val="-9"/>
        </w:rPr>
        <w:t xml:space="preserve"> </w:t>
      </w:r>
      <w:r>
        <w:rPr>
          <w:rFonts w:ascii="Times New Roman" w:hAnsi="Times New Roman" w:eastAsia="Times New Roman" w:cs="Times New Roman"/>
          <w:spacing w:val="6"/>
        </w:rPr>
        <w:t>10 </w:t>
      </w:r>
      <w:r>
        <w:rPr>
          <w:spacing w:val="6"/>
        </w:rPr>
        <w:t>心理援助。发生中毒事件后</w:t>
      </w:r>
      <w:r>
        <w:rPr>
          <w:spacing w:val="-58"/>
        </w:rPr>
        <w:t xml:space="preserve"> </w:t>
      </w:r>
      <w:r>
        <w:rPr>
          <w:spacing w:val="6"/>
        </w:rPr>
        <w:t>，各</w:t>
      </w:r>
      <w:r>
        <w:rPr>
          <w:spacing w:val="7"/>
        </w:rPr>
        <w:t>级卫生健康行政部门在同级政府领导下，配合</w:t>
      </w:r>
      <w:r>
        <w:rPr>
          <w:spacing w:val="7"/>
        </w:rPr>
        <w:t>相关部门和团体，开展心理援助工作。根据需</w:t>
      </w:r>
      <w:r>
        <w:rPr>
          <w:spacing w:val="18"/>
        </w:rPr>
        <w:t>要组织有关专业人员开展心理疏导和心理危</w:t>
      </w:r>
      <w:r>
        <w:rPr>
          <w:spacing w:val="7"/>
        </w:rPr>
        <w:t>机干预工作。</w:t>
      </w:r>
    </w:p>
    <w:p>
      <w:pPr>
        <w:pStyle w:val="BodyText"/>
        <w:ind w:left="10" w:right="309" w:firstLine="428"/>
        <w:spacing w:before="2" w:line="386" w:lineRule="auto"/>
        <w:jc w:val="both"/>
        <w:rPr/>
      </w:pPr>
      <w:r>
        <w:rPr>
          <w:rFonts w:ascii="Times New Roman" w:hAnsi="Times New Roman" w:eastAsia="Times New Roman" w:cs="Times New Roman"/>
          <w:spacing w:val="8"/>
        </w:rPr>
        <w:t>5.4  </w:t>
      </w:r>
      <w:r>
        <w:rPr>
          <w:rFonts w:ascii="KaiTi" w:hAnsi="KaiTi" w:eastAsia="KaiTi" w:cs="KaiTi"/>
          <w:spacing w:val="8"/>
        </w:rPr>
        <w:t>应急响应的终止。</w:t>
      </w:r>
      <w:r>
        <w:rPr>
          <w:spacing w:val="8"/>
        </w:rPr>
        <w:t>各级卫生健康行政</w:t>
      </w:r>
      <w:r>
        <w:rPr>
          <w:spacing w:val="18"/>
        </w:rPr>
        <w:t>部门要适时组织专家对是否终止突发中毒事</w:t>
      </w:r>
      <w:r>
        <w:rPr>
          <w:spacing w:val="7"/>
        </w:rPr>
        <w:t>件卫生应急响应进行评估，并根据专家组的建</w:t>
      </w:r>
      <w:r>
        <w:rPr>
          <w:spacing w:val="8"/>
        </w:rPr>
        <w:t>议报请同级政府及时决定终止卫生应急响应。</w:t>
      </w:r>
    </w:p>
    <w:p>
      <w:pPr>
        <w:pStyle w:val="BodyText"/>
        <w:ind w:left="11" w:right="309" w:firstLine="427"/>
        <w:spacing w:before="11" w:line="383" w:lineRule="auto"/>
        <w:jc w:val="both"/>
        <w:rPr/>
      </w:pPr>
      <w:r>
        <w:rPr>
          <w:spacing w:val="18"/>
        </w:rPr>
        <w:t>突发中毒事件卫生应急响应的终止必须</w:t>
      </w:r>
      <w:r>
        <w:rPr>
          <w:spacing w:val="7"/>
        </w:rPr>
        <w:t>同时符合以下条件：突发中毒事件危害源和相</w:t>
      </w:r>
      <w:r>
        <w:rPr>
          <w:spacing w:val="7"/>
        </w:rPr>
        <w:t>关危险因素得到有效控制，无同源性新发中毒</w:t>
      </w:r>
      <w:r>
        <w:rPr>
          <w:spacing w:val="8"/>
        </w:rPr>
        <w:t>病例出现，多数中毒病人病情得到基本控制。</w:t>
      </w:r>
    </w:p>
    <w:p>
      <w:pPr>
        <w:pStyle w:val="BodyText"/>
        <w:ind w:left="12" w:right="329" w:firstLine="426"/>
        <w:spacing w:before="22" w:line="368" w:lineRule="auto"/>
        <w:rPr/>
      </w:pPr>
      <w:r>
        <w:rPr>
          <w:rFonts w:ascii="Times New Roman" w:hAnsi="Times New Roman" w:eastAsia="Times New Roman" w:cs="Times New Roman"/>
          <w:spacing w:val="8"/>
        </w:rPr>
        <w:t>5.5  </w:t>
      </w:r>
      <w:r>
        <w:rPr>
          <w:rFonts w:ascii="KaiTi" w:hAnsi="KaiTi" w:eastAsia="KaiTi" w:cs="KaiTi"/>
          <w:spacing w:val="8"/>
        </w:rPr>
        <w:t>应急响应工作评估。</w:t>
      </w:r>
      <w:r>
        <w:rPr>
          <w:spacing w:val="8"/>
        </w:rPr>
        <w:t>突发中毒事件卫</w:t>
      </w:r>
      <w:r>
        <w:rPr>
          <w:spacing w:val="7"/>
        </w:rPr>
        <w:t>生应急响应结束后，承担应急响应工作的卫生</w:t>
      </w:r>
      <w:r>
        <w:rPr>
          <w:spacing w:val="18"/>
        </w:rPr>
        <w:t>健康行政部门应当组织有关人员对突发中毒</w:t>
      </w:r>
      <w:r>
        <w:rPr>
          <w:spacing w:val="7"/>
        </w:rPr>
        <w:t>事件卫生应急工作进行评估，及时总结卫生应</w:t>
      </w:r>
      <w:r>
        <w:rPr>
          <w:spacing w:val="7"/>
        </w:rPr>
        <w:t>急工作中的经验、教训。评估报告上报本级政</w:t>
      </w:r>
      <w:r>
        <w:rPr>
          <w:spacing w:val="8"/>
        </w:rPr>
        <w:t>府和上一级卫生健康行政部门。</w:t>
      </w:r>
    </w:p>
    <w:p>
      <w:pPr>
        <w:pStyle w:val="BodyText"/>
        <w:ind w:left="13" w:right="306" w:firstLine="425"/>
        <w:spacing w:before="186" w:line="369" w:lineRule="auto"/>
        <w:rPr/>
      </w:pPr>
      <w:r>
        <w:rPr>
          <w:rFonts w:ascii="Times New Roman" w:hAnsi="Times New Roman" w:eastAsia="Times New Roman" w:cs="Times New Roman"/>
          <w:spacing w:val="8"/>
        </w:rPr>
        <w:t>5.6  </w:t>
      </w:r>
      <w:r>
        <w:rPr>
          <w:rFonts w:ascii="KaiTi" w:hAnsi="KaiTi" w:eastAsia="KaiTi" w:cs="KaiTi"/>
          <w:spacing w:val="8"/>
        </w:rPr>
        <w:t>非事件发生地区卫生应急措施。</w:t>
      </w:r>
      <w:r>
        <w:rPr>
          <w:spacing w:val="8"/>
        </w:rPr>
        <w:t>可能</w:t>
      </w:r>
      <w:r>
        <w:rPr>
          <w:spacing w:val="18"/>
        </w:rPr>
        <w:t>受到突发中毒事件影响地区的卫生健康行政</w:t>
      </w:r>
      <w:r>
        <w:rPr>
          <w:spacing w:val="8"/>
        </w:rPr>
        <w:t>部门，应当根据突发中毒事件的性质、特点、</w:t>
      </w:r>
      <w:r>
        <w:rPr>
          <w:spacing w:val="7"/>
        </w:rPr>
        <w:t>发展趋势等情况，分析本地区受波及的可能性</w:t>
      </w:r>
      <w:r>
        <w:rPr>
          <w:spacing w:val="8"/>
        </w:rPr>
        <w:t>和程度，重点做好以下工作：</w:t>
      </w:r>
    </w:p>
    <w:p>
      <w:pPr>
        <w:pStyle w:val="BodyText"/>
        <w:ind w:left="13" w:right="332" w:firstLine="411"/>
        <w:spacing w:before="153" w:line="293" w:lineRule="auto"/>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）密切关注事件进展</w:t>
      </w:r>
      <w:r>
        <w:rPr>
          <w:spacing w:val="-59"/>
        </w:rPr>
        <w:t xml:space="preserve"> </w:t>
      </w:r>
      <w:r>
        <w:rPr>
          <w:spacing w:val="5"/>
        </w:rPr>
        <w:t>，及时获取相关</w:t>
      </w:r>
      <w:r>
        <w:rPr>
          <w:spacing w:val="4"/>
        </w:rPr>
        <w:t>信息。</w:t>
      </w:r>
    </w:p>
    <w:p>
      <w:pPr>
        <w:spacing w:line="14" w:lineRule="auto"/>
        <w:rPr>
          <w:rFonts w:ascii="Arial"/>
          <w:sz w:val="2"/>
        </w:rPr>
      </w:pPr>
      <w:r>
        <w:rPr>
          <w:rFonts w:ascii="Arial" w:hAnsi="Arial" w:eastAsia="Arial" w:cs="Arial"/>
          <w:sz w:val="2"/>
          <w:szCs w:val="2"/>
        </w:rPr>
        <w:br w:type="column"/>
      </w:r>
    </w:p>
    <w:p>
      <w:pPr>
        <w:pStyle w:val="BodyText"/>
        <w:ind w:left="17" w:right="62" w:firstLine="395"/>
        <w:spacing w:before="40" w:line="310"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5"/>
        </w:rPr>
        <w:t xml:space="preserve"> </w:t>
      </w:r>
      <w:r>
        <w:rPr>
          <w:spacing w:val="8"/>
        </w:rPr>
        <w:t>）加强重点环节的人群健康监测</w:t>
      </w:r>
      <w:r>
        <w:rPr>
          <w:spacing w:val="-59"/>
        </w:rPr>
        <w:t xml:space="preserve"> </w:t>
      </w:r>
      <w:r>
        <w:rPr>
          <w:spacing w:val="8"/>
        </w:rPr>
        <w:t>，提</w:t>
      </w:r>
      <w:r>
        <w:rPr>
          <w:spacing w:val="6"/>
        </w:rPr>
        <w:t>出安全防护建议。</w:t>
      </w:r>
    </w:p>
    <w:p>
      <w:pPr>
        <w:pStyle w:val="BodyText"/>
        <w:ind w:left="3" w:right="62" w:firstLine="409"/>
        <w:spacing w:before="187" w:line="311"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）组织做好本行政区域的卫生应急处</w:t>
      </w:r>
      <w:r>
        <w:rPr>
          <w:spacing w:val="8"/>
        </w:rPr>
        <w:t>理所需的人员与物资准备。</w:t>
      </w:r>
    </w:p>
    <w:p>
      <w:pPr>
        <w:pStyle w:val="BodyText"/>
        <w:ind w:left="3" w:right="62" w:firstLine="409"/>
        <w:spacing w:before="187" w:line="311"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）有针对性地开展中毒预防控制知识</w:t>
      </w:r>
      <w:r>
        <w:rPr>
          <w:spacing w:val="9"/>
        </w:rPr>
        <w:t>宣传教育，提高公众自我保护意识和能力。</w:t>
      </w:r>
    </w:p>
    <w:p>
      <w:pPr>
        <w:ind w:left="425"/>
        <w:spacing w:before="179"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6</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保障措施</w:t>
      </w:r>
    </w:p>
    <w:p>
      <w:pPr>
        <w:pStyle w:val="BodyText"/>
        <w:ind w:left="2" w:right="50" w:firstLine="424"/>
        <w:spacing w:before="125" w:line="377" w:lineRule="auto"/>
        <w:rPr/>
      </w:pPr>
      <w:r>
        <w:rPr>
          <w:rFonts w:ascii="Times New Roman" w:hAnsi="Times New Roman" w:eastAsia="Times New Roman" w:cs="Times New Roman"/>
          <w:spacing w:val="7"/>
        </w:rPr>
        <w:t>6.</w:t>
      </w:r>
      <w:r>
        <w:rPr>
          <w:rFonts w:ascii="Times New Roman" w:hAnsi="Times New Roman" w:eastAsia="Times New Roman" w:cs="Times New Roman"/>
          <w:spacing w:val="-10"/>
        </w:rPr>
        <w:t xml:space="preserve"> </w:t>
      </w:r>
      <w:r>
        <w:rPr>
          <w:rFonts w:ascii="Times New Roman" w:hAnsi="Times New Roman" w:eastAsia="Times New Roman" w:cs="Times New Roman"/>
          <w:spacing w:val="7"/>
        </w:rPr>
        <w:t>1  </w:t>
      </w:r>
      <w:r>
        <w:rPr>
          <w:rFonts w:ascii="KaiTi" w:hAnsi="KaiTi" w:eastAsia="KaiTi" w:cs="KaiTi"/>
          <w:spacing w:val="7"/>
        </w:rPr>
        <w:t>技术保障。</w:t>
      </w:r>
      <w:r>
        <w:rPr>
          <w:spacing w:val="7"/>
        </w:rPr>
        <w:t>按照</w:t>
      </w:r>
      <w:r>
        <w:rPr>
          <w:rFonts w:ascii="Times New Roman" w:hAnsi="Times New Roman" w:eastAsia="Times New Roman" w:cs="Times New Roman"/>
          <w:spacing w:val="7"/>
        </w:rPr>
        <w:t>“</w:t>
      </w:r>
      <w:r>
        <w:rPr>
          <w:spacing w:val="7"/>
        </w:rPr>
        <w:t>平战结合</w:t>
      </w:r>
      <w:r>
        <w:rPr>
          <w:rFonts w:ascii="Times New Roman" w:hAnsi="Times New Roman" w:eastAsia="Times New Roman" w:cs="Times New Roman"/>
          <w:spacing w:val="7"/>
        </w:rPr>
        <w:t>”</w:t>
      </w:r>
      <w:r>
        <w:rPr>
          <w:spacing w:val="7"/>
        </w:rPr>
        <w:t>原则，利</w:t>
      </w:r>
      <w:r>
        <w:rPr>
          <w:spacing w:val="4"/>
        </w:rPr>
        <w:t>用现有资源，指定建设市、县（</w:t>
      </w:r>
      <w:r>
        <w:rPr>
          <w:spacing w:val="-37"/>
        </w:rPr>
        <w:t xml:space="preserve"> </w:t>
      </w:r>
      <w:r>
        <w:rPr>
          <w:spacing w:val="4"/>
        </w:rPr>
        <w:t>区）三级突发</w:t>
      </w:r>
      <w:r>
        <w:rPr>
          <w:spacing w:val="7"/>
        </w:rPr>
        <w:t>中毒事故医疗救援机构。组建突发中毒医疗卫</w:t>
      </w:r>
      <w:r>
        <w:rPr>
          <w:spacing w:val="5"/>
        </w:rPr>
        <w:t>生救援应急队伍，市级总人数不少于</w:t>
      </w:r>
      <w:r>
        <w:rPr>
          <w:spacing w:val="-7"/>
        </w:rPr>
        <w:t xml:space="preserve"> </w:t>
      </w:r>
      <w:r>
        <w:rPr>
          <w:rFonts w:ascii="Times New Roman" w:hAnsi="Times New Roman" w:eastAsia="Times New Roman" w:cs="Times New Roman"/>
          <w:spacing w:val="5"/>
        </w:rPr>
        <w:t>100 </w:t>
      </w:r>
      <w:r>
        <w:rPr>
          <w:spacing w:val="5"/>
        </w:rPr>
        <w:t>人，</w:t>
      </w:r>
      <w:r>
        <w:rPr>
          <w:spacing w:val="6"/>
        </w:rPr>
        <w:t>市级总人数不少于</w:t>
      </w:r>
      <w:r>
        <w:rPr>
          <w:spacing w:val="-22"/>
        </w:rPr>
        <w:t xml:space="preserve"> </w:t>
      </w:r>
      <w:r>
        <w:rPr>
          <w:rFonts w:ascii="Times New Roman" w:hAnsi="Times New Roman" w:eastAsia="Times New Roman" w:cs="Times New Roman"/>
          <w:spacing w:val="6"/>
        </w:rPr>
        <w:t>60 </w:t>
      </w:r>
      <w:r>
        <w:rPr>
          <w:spacing w:val="6"/>
        </w:rPr>
        <w:t>人</w:t>
      </w:r>
      <w:r>
        <w:rPr>
          <w:spacing w:val="-58"/>
        </w:rPr>
        <w:t xml:space="preserve"> </w:t>
      </w:r>
      <w:r>
        <w:rPr>
          <w:spacing w:val="6"/>
        </w:rPr>
        <w:t>，县（</w:t>
      </w:r>
      <w:r>
        <w:rPr>
          <w:spacing w:val="-50"/>
        </w:rPr>
        <w:t xml:space="preserve"> </w:t>
      </w:r>
      <w:r>
        <w:rPr>
          <w:spacing w:val="6"/>
        </w:rPr>
        <w:t>区）级总人数</w:t>
      </w:r>
      <w:r>
        <w:rPr>
          <w:spacing w:val="6"/>
        </w:rPr>
        <w:t>不少于</w:t>
      </w:r>
      <w:r>
        <w:rPr>
          <w:spacing w:val="-28"/>
        </w:rPr>
        <w:t xml:space="preserve"> </w:t>
      </w:r>
      <w:r>
        <w:rPr>
          <w:rFonts w:ascii="Times New Roman" w:hAnsi="Times New Roman" w:eastAsia="Times New Roman" w:cs="Times New Roman"/>
          <w:spacing w:val="6"/>
        </w:rPr>
        <w:t>30 </w:t>
      </w:r>
      <w:r>
        <w:rPr>
          <w:spacing w:val="6"/>
        </w:rPr>
        <w:t>人（</w:t>
      </w:r>
      <w:r>
        <w:rPr>
          <w:spacing w:val="-46"/>
        </w:rPr>
        <w:t xml:space="preserve"> </w:t>
      </w:r>
      <w:r>
        <w:rPr>
          <w:spacing w:val="6"/>
        </w:rPr>
        <w:t>以上人数为参考人数</w:t>
      </w:r>
      <w:r>
        <w:rPr>
          <w:spacing w:val="-59"/>
        </w:rPr>
        <w:t xml:space="preserve"> </w:t>
      </w:r>
      <w:r>
        <w:rPr>
          <w:spacing w:val="6"/>
        </w:rPr>
        <w:t>，各地根</w:t>
      </w:r>
      <w:r>
        <w:rPr>
          <w:spacing w:val="8"/>
        </w:rPr>
        <w:t>据实际情况可作适当调整）。</w:t>
      </w:r>
    </w:p>
    <w:p>
      <w:pPr>
        <w:pStyle w:val="BodyText"/>
        <w:ind w:right="52" w:firstLine="426"/>
        <w:spacing w:before="151" w:line="363" w:lineRule="auto"/>
        <w:rPr/>
      </w:pPr>
      <w:r>
        <w:rPr>
          <w:rFonts w:ascii="Times New Roman" w:hAnsi="Times New Roman" w:eastAsia="Times New Roman" w:cs="Times New Roman"/>
          <w:spacing w:val="8"/>
        </w:rPr>
        <w:t>6.2  </w:t>
      </w:r>
      <w:r>
        <w:rPr>
          <w:rFonts w:ascii="KaiTi" w:hAnsi="KaiTi" w:eastAsia="KaiTi" w:cs="KaiTi"/>
          <w:spacing w:val="8"/>
        </w:rPr>
        <w:t>后勤保障。</w:t>
      </w:r>
      <w:r>
        <w:rPr>
          <w:spacing w:val="8"/>
        </w:rPr>
        <w:t>根据突发中毒事件卫生应</w:t>
      </w:r>
      <w:r>
        <w:rPr>
          <w:spacing w:val="7"/>
        </w:rPr>
        <w:t>急的实际工作需要，被指定的各级突发中毒事</w:t>
      </w:r>
      <w:r>
        <w:rPr>
          <w:spacing w:val="7"/>
        </w:rPr>
        <w:t>件医疗卫生救援机构要在当地政府的统筹下，</w:t>
      </w:r>
      <w:r>
        <w:rPr>
          <w:spacing w:val="7"/>
        </w:rPr>
        <w:t>进行救护车辆、交通工具和通讯设备的配备，</w:t>
      </w:r>
      <w:r>
        <w:rPr>
          <w:spacing w:val="9"/>
        </w:rPr>
        <w:t>并进行定期检查，保证处于完好状态。</w:t>
      </w:r>
    </w:p>
    <w:p>
      <w:pPr>
        <w:pStyle w:val="BodyText"/>
        <w:ind w:right="30" w:firstLine="426"/>
        <w:spacing w:before="188" w:line="368" w:lineRule="auto"/>
        <w:rPr/>
      </w:pPr>
      <w:r>
        <w:rPr>
          <w:rFonts w:ascii="Times New Roman" w:hAnsi="Times New Roman" w:eastAsia="Times New Roman" w:cs="Times New Roman"/>
          <w:spacing w:val="10"/>
        </w:rPr>
        <w:t>6.3</w:t>
      </w:r>
      <w:r>
        <w:rPr>
          <w:rFonts w:ascii="Times New Roman" w:hAnsi="Times New Roman" w:eastAsia="Times New Roman" w:cs="Times New Roman"/>
          <w:spacing w:val="29"/>
          <w:w w:val="101"/>
        </w:rPr>
        <w:t xml:space="preserve"> </w:t>
      </w:r>
      <w:r>
        <w:rPr>
          <w:rFonts w:ascii="KaiTi" w:hAnsi="KaiTi" w:eastAsia="KaiTi" w:cs="KaiTi"/>
          <w:spacing w:val="10"/>
        </w:rPr>
        <w:t>药品储备。</w:t>
      </w:r>
      <w:r>
        <w:rPr>
          <w:spacing w:val="10"/>
        </w:rPr>
        <w:t>根据突发中毒事件卫生应</w:t>
      </w:r>
      <w:r>
        <w:rPr>
          <w:spacing w:val="7"/>
        </w:rPr>
        <w:t>急的实际工作需要，被指定的各级突发中毒事</w:t>
      </w:r>
      <w:r>
        <w:rPr>
          <w:spacing w:val="8"/>
        </w:rPr>
        <w:t>件医疗卫生救援机构要在当地政府的统筹下，</w:t>
      </w:r>
      <w:r>
        <w:rPr>
          <w:spacing w:val="7"/>
        </w:rPr>
        <w:t>进行各类中毒急救药品的常量储备。急救车中</w:t>
      </w:r>
      <w:r>
        <w:rPr>
          <w:spacing w:val="7"/>
        </w:rPr>
        <w:t>要常备一定数量和种类的急救药品，各医院药</w:t>
      </w:r>
      <w:r>
        <w:rPr>
          <w:spacing w:val="-2"/>
        </w:rPr>
        <w:t>房要有一定库存量，并掌握急需时的供药渠道。</w:t>
      </w:r>
    </w:p>
    <w:p>
      <w:pPr>
        <w:pStyle w:val="BodyText"/>
        <w:ind w:right="59" w:firstLine="426"/>
        <w:spacing w:before="185" w:line="339" w:lineRule="auto"/>
        <w:rPr/>
      </w:pPr>
      <w:r>
        <w:rPr>
          <w:rFonts w:ascii="Times New Roman" w:hAnsi="Times New Roman" w:eastAsia="Times New Roman" w:cs="Times New Roman"/>
          <w:spacing w:val="8"/>
        </w:rPr>
        <w:t>6.4  </w:t>
      </w:r>
      <w:r>
        <w:rPr>
          <w:rFonts w:ascii="KaiTi" w:hAnsi="KaiTi" w:eastAsia="KaiTi" w:cs="KaiTi"/>
          <w:spacing w:val="8"/>
        </w:rPr>
        <w:t>经费保障。</w:t>
      </w:r>
      <w:r>
        <w:rPr>
          <w:spacing w:val="8"/>
        </w:rPr>
        <w:t>突发中毒事件卫生应急救</w:t>
      </w:r>
      <w:r>
        <w:rPr>
          <w:spacing w:val="7"/>
        </w:rPr>
        <w:t>援所必需的经费，由各级政府财政部门负责统</w:t>
      </w:r>
      <w:r>
        <w:rPr>
          <w:spacing w:val="7"/>
        </w:rPr>
        <w:t>筹安排和补偿。</w:t>
      </w:r>
    </w:p>
    <w:p>
      <w:pPr>
        <w:ind w:left="424"/>
        <w:spacing w:before="183"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7</w:t>
      </w:r>
      <w:r>
        <w:rPr>
          <w:rFonts w:ascii="Microsoft YaHei" w:hAnsi="Microsoft YaHei" w:eastAsia="Microsoft YaHei" w:cs="Microsoft YaHei"/>
          <w:sz w:val="20"/>
          <w:szCs w:val="20"/>
          <w:spacing w:val="15"/>
          <w:w w:val="101"/>
        </w:rPr>
        <w:t xml:space="preserve">   </w:t>
      </w:r>
      <w:r>
        <w:rPr>
          <w:rFonts w:ascii="Microsoft YaHei" w:hAnsi="Microsoft YaHei" w:eastAsia="Microsoft YaHei" w:cs="Microsoft YaHei"/>
          <w:sz w:val="20"/>
          <w:szCs w:val="20"/>
          <w:spacing w:val="6"/>
        </w:rPr>
        <w:t>预案的制定与更新</w:t>
      </w:r>
    </w:p>
    <w:p>
      <w:pPr>
        <w:pStyle w:val="BodyText"/>
        <w:ind w:left="423"/>
        <w:spacing w:before="132" w:line="219" w:lineRule="auto"/>
        <w:rPr/>
      </w:pPr>
      <w:r>
        <w:rPr>
          <w:spacing w:val="19"/>
        </w:rPr>
        <w:t>根据突发中毒事件的形势变化和实施中</w:t>
      </w:r>
    </w:p>
    <w:p>
      <w:pPr>
        <w:spacing w:line="219" w:lineRule="auto"/>
        <w:sectPr>
          <w:type w:val="continuous"/>
          <w:pgSz w:w="11906" w:h="16839"/>
          <w:pgMar w:top="1766" w:right="1530" w:bottom="1575" w:left="1579" w:header="1428" w:footer="1172" w:gutter="0"/>
          <w:cols w:equalWidth="0" w:num="2">
            <w:col w:w="4489" w:space="100"/>
            <w:col w:w="4207" w:space="0"/>
          </w:cols>
        </w:sectPr>
        <w:rPr/>
      </w:pPr>
    </w:p>
    <w:p>
      <w:pPr>
        <w:spacing w:before="96"/>
        <w:rPr/>
      </w:pPr>
      <w:r/>
    </w:p>
    <w:p>
      <w:pPr>
        <w:sectPr>
          <w:headerReference w:type="default" r:id="rId816"/>
          <w:footerReference w:type="default" r:id="rId988"/>
          <w:pgSz w:w="11906" w:h="16839"/>
          <w:pgMar w:top="1772" w:right="1489" w:bottom="1584" w:left="1567" w:header="1428" w:footer="1172" w:gutter="0"/>
          <w:cols w:equalWidth="0" w:num="1">
            <w:col w:w="8850" w:space="0"/>
          </w:cols>
        </w:sectPr>
        <w:rPr/>
      </w:pPr>
    </w:p>
    <w:p>
      <w:pPr>
        <w:pStyle w:val="BodyText"/>
        <w:ind w:left="26" w:right="330"/>
        <w:spacing w:before="40" w:line="393" w:lineRule="auto"/>
        <w:rPr/>
      </w:pPr>
      <w:r>
        <w:rPr>
          <w:spacing w:val="7"/>
        </w:rPr>
        <w:t>发现的问题，市卫生健康委对本预案更新、修</w:t>
      </w:r>
      <w:r>
        <w:rPr>
          <w:spacing w:val="6"/>
        </w:rPr>
        <w:t>订和补充。</w:t>
      </w:r>
    </w:p>
    <w:p>
      <w:pPr>
        <w:ind w:left="449"/>
        <w:spacing w:before="1"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8</w:t>
      </w:r>
      <w:r>
        <w:rPr>
          <w:rFonts w:ascii="Microsoft YaHei" w:hAnsi="Microsoft YaHei" w:eastAsia="Microsoft YaHei" w:cs="Microsoft YaHei"/>
          <w:sz w:val="20"/>
          <w:szCs w:val="20"/>
          <w:spacing w:val="17"/>
          <w:w w:val="101"/>
        </w:rPr>
        <w:t xml:space="preserve">   </w:t>
      </w:r>
      <w:r>
        <w:rPr>
          <w:rFonts w:ascii="Microsoft YaHei" w:hAnsi="Microsoft YaHei" w:eastAsia="Microsoft YaHei" w:cs="Microsoft YaHei"/>
          <w:sz w:val="20"/>
          <w:szCs w:val="20"/>
          <w:spacing w:val="-5"/>
        </w:rPr>
        <w:t>附则</w:t>
      </w:r>
    </w:p>
    <w:p>
      <w:pPr>
        <w:ind w:left="454"/>
        <w:spacing w:before="124" w:line="269" w:lineRule="exact"/>
        <w:rPr>
          <w:rFonts w:ascii="KaiTi" w:hAnsi="KaiTi" w:eastAsia="KaiTi" w:cs="KaiTi"/>
          <w:sz w:val="20"/>
          <w:szCs w:val="20"/>
        </w:rPr>
      </w:pPr>
      <w:r>
        <w:rPr>
          <w:rFonts w:ascii="Times New Roman" w:hAnsi="Times New Roman" w:eastAsia="Times New Roman" w:cs="Times New Roman"/>
          <w:sz w:val="20"/>
          <w:szCs w:val="20"/>
          <w:position w:val="1"/>
        </w:rPr>
        <w:t>8.</w:t>
      </w:r>
      <w:r>
        <w:rPr>
          <w:rFonts w:ascii="Times New Roman" w:hAnsi="Times New Roman" w:eastAsia="Times New Roman" w:cs="Times New Roman"/>
          <w:sz w:val="20"/>
          <w:szCs w:val="20"/>
          <w:spacing w:val="-25"/>
          <w:position w:val="1"/>
        </w:rPr>
        <w:t xml:space="preserve"> </w:t>
      </w:r>
      <w:r>
        <w:rPr>
          <w:rFonts w:ascii="Times New Roman" w:hAnsi="Times New Roman" w:eastAsia="Times New Roman" w:cs="Times New Roman"/>
          <w:sz w:val="20"/>
          <w:szCs w:val="20"/>
          <w:position w:val="1"/>
        </w:rPr>
        <w:t>1</w:t>
      </w:r>
      <w:r>
        <w:rPr>
          <w:rFonts w:ascii="Times New Roman" w:hAnsi="Times New Roman" w:eastAsia="Times New Roman" w:cs="Times New Roman"/>
          <w:sz w:val="20"/>
          <w:szCs w:val="20"/>
          <w:spacing w:val="8"/>
          <w:position w:val="1"/>
        </w:rPr>
        <w:t xml:space="preserve">  </w:t>
      </w:r>
      <w:r>
        <w:rPr>
          <w:rFonts w:ascii="KaiTi" w:hAnsi="KaiTi" w:eastAsia="KaiTi" w:cs="KaiTi"/>
          <w:sz w:val="20"/>
          <w:szCs w:val="20"/>
          <w:position w:val="1"/>
        </w:rPr>
        <w:t>名词术语。</w:t>
      </w:r>
    </w:p>
    <w:p>
      <w:pPr>
        <w:pStyle w:val="BodyText"/>
        <w:ind w:left="24" w:right="330" w:firstLine="423"/>
        <w:spacing w:before="164" w:line="389" w:lineRule="auto"/>
        <w:rPr/>
      </w:pPr>
      <w:r>
        <w:rPr>
          <w:spacing w:val="6"/>
        </w:rPr>
        <w:t>毒物：在一定条件下（接触方式、接触途</w:t>
      </w:r>
      <w:r>
        <w:rPr>
          <w:spacing w:val="8"/>
        </w:rPr>
        <w:t>径、进入体内数量</w:t>
      </w:r>
      <w:r>
        <w:rPr>
          <w:spacing w:val="1"/>
        </w:rPr>
        <w:t>），</w:t>
      </w:r>
      <w:r>
        <w:rPr>
          <w:spacing w:val="8"/>
        </w:rPr>
        <w:t>影响机体代谢过程，引</w:t>
      </w:r>
      <w:r>
        <w:rPr>
          <w:spacing w:val="18"/>
        </w:rPr>
        <w:t>起机体暂时或永久的器质性或功能性异常状</w:t>
      </w:r>
      <w:r>
        <w:rPr>
          <w:spacing w:val="7"/>
        </w:rPr>
        <w:t>态的外来物质。</w:t>
      </w:r>
    </w:p>
    <w:p>
      <w:pPr>
        <w:pStyle w:val="BodyText"/>
        <w:ind w:left="467"/>
        <w:spacing w:before="32" w:line="276" w:lineRule="exact"/>
        <w:rPr/>
      </w:pPr>
      <w:r>
        <w:rPr>
          <w:spacing w:val="7"/>
          <w:position w:val="1"/>
        </w:rPr>
        <w:t>中毒：机体受毒物作用出现的疾病状态。</w:t>
      </w:r>
    </w:p>
    <w:p>
      <w:pPr>
        <w:pStyle w:val="BodyText"/>
        <w:ind w:left="25" w:right="330" w:firstLine="426"/>
        <w:spacing w:before="153" w:line="378" w:lineRule="auto"/>
        <w:rPr/>
      </w:pPr>
      <w:r>
        <w:rPr>
          <w:spacing w:val="6"/>
        </w:rPr>
        <w:t>突发中毒事件：在短时间内，毒物通过一</w:t>
      </w:r>
      <w:r>
        <w:rPr>
          <w:spacing w:val="18"/>
        </w:rPr>
        <w:t>定方式作用于特定人群造成的群发性健康影</w:t>
      </w:r>
    </w:p>
    <w:p>
      <w:pPr>
        <w:spacing w:line="15" w:lineRule="exact"/>
        <w:rPr/>
      </w:pPr>
      <w:r/>
    </w:p>
    <w:p>
      <w:pPr>
        <w:spacing w:line="14" w:lineRule="auto"/>
        <w:rPr>
          <w:rFonts w:ascii="Arial"/>
          <w:sz w:val="2"/>
        </w:rPr>
      </w:pPr>
      <w:r>
        <w:rPr>
          <w:rFonts w:ascii="Arial" w:hAnsi="Arial" w:eastAsia="Arial" w:cs="Arial"/>
          <w:sz w:val="2"/>
          <w:szCs w:val="2"/>
        </w:rPr>
        <w:br w:type="column"/>
      </w:r>
    </w:p>
    <w:p>
      <w:pPr>
        <w:pStyle w:val="BodyText"/>
        <w:ind w:left="12"/>
        <w:spacing w:before="40" w:line="219" w:lineRule="auto"/>
        <w:rPr/>
      </w:pPr>
      <w:r>
        <w:rPr>
          <w:spacing w:val="3"/>
        </w:rPr>
        <w:t>响事件。</w:t>
      </w:r>
    </w:p>
    <w:p>
      <w:pPr>
        <w:pStyle w:val="BodyText"/>
        <w:ind w:right="101" w:firstLine="440"/>
        <w:spacing w:before="189" w:line="375" w:lineRule="auto"/>
        <w:rPr/>
      </w:pPr>
      <w:r>
        <w:rPr>
          <w:spacing w:val="5"/>
        </w:rPr>
        <w:t>同类事件：指事件的发生、发展过程及病</w:t>
      </w:r>
      <w:r>
        <w:rPr>
          <w:spacing w:val="8"/>
        </w:rPr>
        <w:t>人的临床表现相似的事件。</w:t>
      </w:r>
    </w:p>
    <w:p>
      <w:pPr>
        <w:pStyle w:val="BodyText"/>
        <w:ind w:right="101" w:firstLine="419"/>
        <w:spacing w:before="45" w:line="397" w:lineRule="auto"/>
        <w:jc w:val="both"/>
        <w:rPr/>
      </w:pPr>
      <w:r>
        <w:rPr>
          <w:spacing w:val="7"/>
        </w:rPr>
        <w:t>暴露者：发生突发中毒事件时，在一定时</w:t>
      </w:r>
      <w:r>
        <w:rPr>
          <w:spacing w:val="7"/>
        </w:rPr>
        <w:t>间内，处于毒物扩散区域范围内，并可能受到</w:t>
      </w:r>
      <w:r>
        <w:rPr>
          <w:spacing w:val="18"/>
        </w:rPr>
        <w:t>毒物危害或影响的人员。包括在事件发生初</w:t>
      </w:r>
      <w:r>
        <w:rPr>
          <w:spacing w:val="7"/>
        </w:rPr>
        <w:t>期，难以判定是否有明确的毒物接触史、是否</w:t>
      </w:r>
      <w:r>
        <w:rPr>
          <w:spacing w:val="8"/>
        </w:rPr>
        <w:t>有不适症状和异常体征的人员。</w:t>
      </w:r>
    </w:p>
    <w:p>
      <w:pPr>
        <w:pStyle w:val="BodyText"/>
        <w:ind w:right="101" w:firstLine="418"/>
        <w:spacing w:line="375" w:lineRule="auto"/>
        <w:rPr/>
      </w:pPr>
      <w:r>
        <w:rPr>
          <w:spacing w:val="7"/>
        </w:rPr>
        <w:t>暴露人数：指一起突发中毒事件中暴露者</w:t>
      </w:r>
      <w:r>
        <w:rPr>
          <w:spacing w:val="7"/>
        </w:rPr>
        <w:t>数量的总和。</w:t>
      </w:r>
    </w:p>
    <w:p>
      <w:pPr>
        <w:spacing w:line="375" w:lineRule="auto"/>
        <w:sectPr>
          <w:type w:val="continuous"/>
          <w:pgSz w:w="11906" w:h="16839"/>
          <w:pgMar w:top="1772" w:right="1489" w:bottom="1584" w:left="1567" w:header="1428" w:footer="1172" w:gutter="0"/>
          <w:cols w:equalWidth="0" w:num="2">
            <w:col w:w="4502" w:space="100"/>
            <w:col w:w="4248" w:space="0"/>
          </w:cols>
        </w:sectPr>
        <w:rPr/>
      </w:pPr>
    </w:p>
    <w:p>
      <w:pPr>
        <w:spacing w:line="329" w:lineRule="auto"/>
        <w:rPr>
          <w:rFonts w:ascii="Arial"/>
          <w:sz w:val="21"/>
        </w:rPr>
      </w:pPr>
      <w:r>
        <w:drawing>
          <wp:anchor distT="0" distB="0" distL="0" distR="0" simplePos="0" relativeHeight="253537280" behindDoc="0" locked="0" layoutInCell="1" allowOverlap="1">
            <wp:simplePos x="0" y="0"/>
            <wp:positionH relativeFrom="column">
              <wp:posOffset>13334</wp:posOffset>
            </wp:positionH>
            <wp:positionV relativeFrom="paragraph">
              <wp:posOffset>-3226224</wp:posOffset>
            </wp:positionV>
            <wp:extent cx="5579745" cy="7620"/>
            <wp:effectExtent l="0" t="0" r="0" b="0"/>
            <wp:wrapNone/>
            <wp:docPr id="1974" name="IM 1974"/>
            <wp:cNvGraphicFramePr/>
            <a:graphic>
              <a:graphicData uri="http://schemas.openxmlformats.org/drawingml/2006/picture">
                <pic:pic>
                  <pic:nvPicPr>
                    <pic:cNvPr id="1974" name="IM 1974"/>
                    <pic:cNvPicPr/>
                  </pic:nvPicPr>
                  <pic:blipFill>
                    <a:blip r:embed="rId989"/>
                    <a:stretch>
                      <a:fillRect/>
                    </a:stretch>
                  </pic:blipFill>
                  <pic:spPr>
                    <a:xfrm rot="0">
                      <a:off x="0" y="0"/>
                      <a:ext cx="5579745" cy="7620"/>
                    </a:xfrm>
                    <a:prstGeom prst="rect">
                      <a:avLst/>
                    </a:prstGeom>
                  </pic:spPr>
                </pic:pic>
              </a:graphicData>
            </a:graphic>
          </wp:anchor>
        </w:drawing>
      </w:r>
      <w:r/>
    </w:p>
    <w:p>
      <w:pPr>
        <w:spacing w:line="329" w:lineRule="auto"/>
        <w:rPr>
          <w:rFonts w:ascii="Arial"/>
          <w:sz w:val="21"/>
        </w:rPr>
      </w:pPr>
      <w:r/>
    </w:p>
    <w:p>
      <w:pPr>
        <w:ind w:left="1555"/>
        <w:spacing w:before="184" w:line="186"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7"/>
        </w:rPr>
        <w:t>固原市食品安全事故应急预案</w:t>
      </w:r>
    </w:p>
    <w:p>
      <w:pPr>
        <w:spacing w:before="45"/>
        <w:rPr/>
      </w:pPr>
      <w:r/>
    </w:p>
    <w:p>
      <w:pPr>
        <w:spacing w:before="44"/>
        <w:rPr/>
      </w:pPr>
      <w:r/>
    </w:p>
    <w:p>
      <w:pPr>
        <w:sectPr>
          <w:type w:val="continuous"/>
          <w:pgSz w:w="11906" w:h="16839"/>
          <w:pgMar w:top="1772" w:right="1489" w:bottom="1584" w:left="1567" w:header="1428" w:footer="1172" w:gutter="0"/>
          <w:cols w:equalWidth="0" w:num="1">
            <w:col w:w="8850" w:space="0"/>
          </w:cols>
        </w:sectPr>
        <w:rPr/>
      </w:pPr>
    </w:p>
    <w:p>
      <w:pPr>
        <w:ind w:left="462"/>
        <w:spacing w:before="49"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1</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7"/>
        </w:rPr>
        <w:t>总则</w:t>
      </w:r>
    </w:p>
    <w:p>
      <w:pPr>
        <w:pStyle w:val="BodyText"/>
        <w:ind w:left="25" w:right="266" w:firstLine="440"/>
        <w:spacing w:before="85" w:line="339" w:lineRule="auto"/>
        <w:rPr/>
      </w:pPr>
      <w:r>
        <w:rPr>
          <w:rFonts w:ascii="Times New Roman" w:hAnsi="Times New Roman" w:eastAsia="Times New Roman" w:cs="Times New Roman"/>
          <w:spacing w:val="3"/>
        </w:rPr>
        <w:t>1.</w:t>
      </w:r>
      <w:r>
        <w:rPr>
          <w:rFonts w:ascii="Times New Roman" w:hAnsi="Times New Roman" w:eastAsia="Times New Roman" w:cs="Times New Roman"/>
          <w:spacing w:val="-9"/>
        </w:rPr>
        <w:t xml:space="preserve"> </w:t>
      </w:r>
      <w:r>
        <w:rPr>
          <w:rFonts w:ascii="Times New Roman" w:hAnsi="Times New Roman" w:eastAsia="Times New Roman" w:cs="Times New Roman"/>
          <w:spacing w:val="3"/>
        </w:rPr>
        <w:t>1  </w:t>
      </w:r>
      <w:r>
        <w:rPr>
          <w:rFonts w:ascii="KaiTi" w:hAnsi="KaiTi" w:eastAsia="KaiTi" w:cs="KaiTi"/>
          <w:spacing w:val="3"/>
        </w:rPr>
        <w:t>编制</w:t>
      </w:r>
      <w:r>
        <w:rPr>
          <w:rFonts w:ascii="KaiTi" w:hAnsi="KaiTi" w:eastAsia="KaiTi" w:cs="KaiTi"/>
          <w:spacing w:val="-50"/>
        </w:rPr>
        <w:t xml:space="preserve"> </w:t>
      </w:r>
      <w:r>
        <w:rPr>
          <w:rFonts w:ascii="KaiTi" w:hAnsi="KaiTi" w:eastAsia="KaiTi" w:cs="KaiTi"/>
          <w:spacing w:val="3"/>
        </w:rPr>
        <w:t>目的。</w:t>
      </w:r>
      <w:r>
        <w:rPr>
          <w:spacing w:val="3"/>
        </w:rPr>
        <w:t>坚持以习近平新时代中国</w:t>
      </w:r>
      <w:r>
        <w:rPr>
          <w:spacing w:val="7"/>
        </w:rPr>
        <w:t>特色社会主义思想为指导，以人民为中心，大</w:t>
      </w:r>
      <w:r>
        <w:rPr>
          <w:spacing w:val="7"/>
        </w:rPr>
        <w:t>力实施食品安全战略，建立健全应对食品安全</w:t>
      </w:r>
      <w:r>
        <w:rPr>
          <w:spacing w:val="7"/>
        </w:rPr>
        <w:t>事故的救助体系和运行机制，规范和指导应急</w:t>
      </w:r>
      <w:r>
        <w:rPr/>
        <w:t>处置工作，有效预防、及时控制食品安全事故，</w:t>
      </w:r>
      <w:r>
        <w:rPr>
          <w:spacing w:val="7"/>
        </w:rPr>
        <w:t>最大限度降低和减少事故危害，保障公众健康</w:t>
      </w:r>
      <w:r>
        <w:rPr>
          <w:spacing w:val="8"/>
        </w:rPr>
        <w:t>和生命安全，维护正常社会秩序。</w:t>
      </w:r>
    </w:p>
    <w:p>
      <w:pPr>
        <w:pStyle w:val="BodyText"/>
        <w:ind w:left="25" w:right="252" w:firstLine="441"/>
        <w:spacing w:before="145" w:line="341" w:lineRule="auto"/>
        <w:rPr/>
      </w:pPr>
      <w:r>
        <w:rPr>
          <w:rFonts w:ascii="Times New Roman" w:hAnsi="Times New Roman" w:eastAsia="Times New Roman" w:cs="Times New Roman"/>
          <w:spacing w:val="7"/>
        </w:rPr>
        <w:t>1.2  </w:t>
      </w:r>
      <w:r>
        <w:rPr>
          <w:rFonts w:ascii="KaiTi" w:hAnsi="KaiTi" w:eastAsia="KaiTi" w:cs="KaiTi"/>
          <w:spacing w:val="7"/>
        </w:rPr>
        <w:t>编制依据。</w:t>
      </w:r>
      <w:r>
        <w:rPr>
          <w:spacing w:val="7"/>
        </w:rPr>
        <w:t>《中华人民共和国突发事</w:t>
      </w:r>
      <w:r>
        <w:rPr>
          <w:spacing w:val="-3"/>
        </w:rPr>
        <w:t>件应对法》《中华人民共和国食品安全法》《中</w:t>
      </w:r>
      <w:r>
        <w:rPr>
          <w:spacing w:val="7"/>
        </w:rPr>
        <w:t>华人民共和国农产品质量安全法》《生产安全</w:t>
      </w:r>
      <w:r>
        <w:rPr>
          <w:spacing w:val="7"/>
        </w:rPr>
        <w:t>事故应急条例》《生产安全事故应急预案管理</w:t>
      </w:r>
      <w:r>
        <w:rPr>
          <w:spacing w:val="7"/>
        </w:rPr>
        <w:t>办法》、《宁夏回族自治区食品安全事故应急</w:t>
      </w:r>
      <w:r>
        <w:rPr>
          <w:spacing w:val="1"/>
        </w:rPr>
        <w:t>预案》、《固原市突发事件总体应急预案》等。</w:t>
      </w:r>
    </w:p>
    <w:p>
      <w:pPr>
        <w:pStyle w:val="BodyText"/>
        <w:ind w:left="23" w:right="330" w:firstLine="442"/>
        <w:spacing w:before="116" w:line="288" w:lineRule="auto"/>
        <w:rPr/>
      </w:pPr>
      <w:r>
        <w:rPr>
          <w:rFonts w:ascii="Times New Roman" w:hAnsi="Times New Roman" w:eastAsia="Times New Roman" w:cs="Times New Roman"/>
          <w:spacing w:val="7"/>
        </w:rPr>
        <w:t>1.3  </w:t>
      </w:r>
      <w:r>
        <w:rPr>
          <w:rFonts w:ascii="KaiTi" w:hAnsi="KaiTi" w:eastAsia="KaiTi" w:cs="KaiTi"/>
          <w:spacing w:val="7"/>
        </w:rPr>
        <w:t>适用范围。</w:t>
      </w:r>
      <w:r>
        <w:rPr>
          <w:spacing w:val="7"/>
        </w:rPr>
        <w:t>本预案适用于全市范围内</w:t>
      </w:r>
      <w:r>
        <w:rPr>
          <w:spacing w:val="7"/>
        </w:rPr>
        <w:t>食品安全事故的预防和应急处置。食品安全事</w:t>
      </w:r>
    </w:p>
    <w:p>
      <w:pPr>
        <w:spacing w:line="14" w:lineRule="auto"/>
        <w:rPr>
          <w:rFonts w:ascii="Arial"/>
          <w:sz w:val="2"/>
        </w:rPr>
      </w:pPr>
      <w:r>
        <w:rPr>
          <w:rFonts w:ascii="Arial" w:hAnsi="Arial" w:eastAsia="Arial" w:cs="Arial"/>
          <w:sz w:val="2"/>
          <w:szCs w:val="2"/>
        </w:rPr>
        <w:br w:type="column"/>
      </w:r>
    </w:p>
    <w:p>
      <w:pPr>
        <w:pStyle w:val="BodyText"/>
        <w:ind w:right="78"/>
        <w:spacing w:before="57" w:line="356" w:lineRule="auto"/>
        <w:jc w:val="both"/>
        <w:rPr/>
      </w:pPr>
      <w:r>
        <w:rPr>
          <w:spacing w:val="8"/>
        </w:rPr>
        <w:t>故是指食物（食品）种植、养殖、生产加工、</w:t>
      </w:r>
      <w:r>
        <w:rPr>
          <w:spacing w:val="7"/>
        </w:rPr>
        <w:t>包装、储存、运输、销售、消费等环节中发生</w:t>
      </w:r>
      <w:r>
        <w:rPr>
          <w:spacing w:val="17"/>
        </w:rPr>
        <w:t>的食物污染、食物中毒以及其他食源性疾患</w:t>
      </w:r>
      <w:r>
        <w:rPr>
          <w:spacing w:val="17"/>
        </w:rPr>
        <w:t>等，对人体健康构成严重危害或者可能存在</w:t>
      </w:r>
      <w:r>
        <w:rPr>
          <w:spacing w:val="17"/>
        </w:rPr>
        <w:t>潜在危害，并造成一定社会影响的食品安全</w:t>
      </w:r>
      <w:r>
        <w:rPr>
          <w:spacing w:val="8"/>
        </w:rPr>
        <w:t>事故。</w:t>
      </w:r>
    </w:p>
    <w:p>
      <w:pPr>
        <w:pStyle w:val="BodyText"/>
        <w:ind w:right="20" w:firstLine="440"/>
        <w:spacing w:before="15" w:line="352" w:lineRule="auto"/>
        <w:jc w:val="both"/>
        <w:rPr/>
      </w:pPr>
      <w:r>
        <w:rPr>
          <w:rFonts w:ascii="Times New Roman" w:hAnsi="Times New Roman" w:eastAsia="Times New Roman" w:cs="Times New Roman"/>
          <w:spacing w:val="1"/>
        </w:rPr>
        <w:t>1.4  </w:t>
      </w:r>
      <w:r>
        <w:rPr>
          <w:rFonts w:ascii="KaiTi" w:hAnsi="KaiTi" w:eastAsia="KaiTi" w:cs="KaiTi"/>
          <w:spacing w:val="1"/>
        </w:rPr>
        <w:t>事故分级。</w:t>
      </w:r>
      <w:r>
        <w:rPr>
          <w:spacing w:val="1"/>
        </w:rPr>
        <w:t>按照食品安全事故的性质、</w:t>
      </w:r>
      <w:r>
        <w:rPr>
          <w:spacing w:val="8"/>
        </w:rPr>
        <w:t>危害程度和涉及范围，从小到大分为一般(</w:t>
      </w:r>
      <w:r>
        <w:rPr>
          <w:spacing w:val="-25"/>
        </w:rPr>
        <w:t xml:space="preserve"> </w:t>
      </w:r>
      <w:r>
        <w:rPr>
          <w:rFonts w:ascii="Times New Roman" w:hAnsi="Times New Roman" w:eastAsia="Times New Roman" w:cs="Times New Roman"/>
          <w:spacing w:val="8"/>
        </w:rPr>
        <w:t>Ⅳ</w:t>
      </w:r>
      <w:r>
        <w:rPr>
          <w:spacing w:val="4"/>
        </w:rPr>
        <w:t>级）、较大 (</w:t>
      </w:r>
      <w:r>
        <w:rPr>
          <w:spacing w:val="-32"/>
        </w:rPr>
        <w:t xml:space="preserve"> </w:t>
      </w:r>
      <w:r>
        <w:rPr>
          <w:rFonts w:ascii="Times New Roman" w:hAnsi="Times New Roman" w:eastAsia="Times New Roman" w:cs="Times New Roman"/>
          <w:spacing w:val="4"/>
        </w:rPr>
        <w:t>Ⅲ</w:t>
      </w:r>
      <w:r>
        <w:rPr>
          <w:spacing w:val="4"/>
        </w:rPr>
        <w:t>级）、重大 (</w:t>
      </w:r>
      <w:r>
        <w:rPr>
          <w:spacing w:val="-33"/>
        </w:rPr>
        <w:t xml:space="preserve"> </w:t>
      </w:r>
      <w:r>
        <w:rPr>
          <w:rFonts w:ascii="Times New Roman" w:hAnsi="Times New Roman" w:eastAsia="Times New Roman" w:cs="Times New Roman"/>
          <w:spacing w:val="4"/>
        </w:rPr>
        <w:t>Ⅱ</w:t>
      </w:r>
      <w:r>
        <w:rPr>
          <w:spacing w:val="4"/>
        </w:rPr>
        <w:t>级）、特别重</w:t>
      </w:r>
      <w:r>
        <w:rPr>
          <w:spacing w:val="7"/>
        </w:rPr>
        <w:t>大 (</w:t>
      </w:r>
      <w:r>
        <w:rPr>
          <w:spacing w:val="-30"/>
        </w:rPr>
        <w:t xml:space="preserve"> </w:t>
      </w:r>
      <w:r>
        <w:rPr>
          <w:rFonts w:ascii="Times New Roman" w:hAnsi="Times New Roman" w:eastAsia="Times New Roman" w:cs="Times New Roman"/>
          <w:spacing w:val="7"/>
        </w:rPr>
        <w:t>Ⅰ</w:t>
      </w:r>
      <w:r>
        <w:rPr>
          <w:spacing w:val="7"/>
        </w:rPr>
        <w:t>级）</w:t>
      </w:r>
      <w:r>
        <w:rPr>
          <w:spacing w:val="-53"/>
        </w:rPr>
        <w:t xml:space="preserve"> </w:t>
      </w:r>
      <w:r>
        <w:rPr>
          <w:spacing w:val="7"/>
        </w:rPr>
        <w:t>四个级别。事故等级的评估核定</w:t>
      </w:r>
      <w:r>
        <w:rPr>
          <w:spacing w:val="-56"/>
        </w:rPr>
        <w:t xml:space="preserve"> </w:t>
      </w:r>
      <w:r>
        <w:rPr>
          <w:spacing w:val="7"/>
        </w:rPr>
        <w:t>，</w:t>
      </w:r>
      <w:r>
        <w:rPr>
          <w:spacing w:val="18"/>
        </w:rPr>
        <w:t>由市场监管部门会同有关部门依照有关规定</w:t>
      </w:r>
      <w:r>
        <w:rPr>
          <w:spacing w:val="4"/>
        </w:rPr>
        <w:t>进行。</w:t>
      </w:r>
    </w:p>
    <w:p>
      <w:pPr>
        <w:pStyle w:val="BodyText"/>
        <w:ind w:left="1" w:right="36" w:firstLine="420"/>
        <w:spacing w:before="37" w:line="324" w:lineRule="auto"/>
        <w:jc w:val="both"/>
        <w:rPr/>
      </w:pPr>
      <w:r>
        <w:rPr>
          <w:spacing w:val="5"/>
        </w:rPr>
        <w:t>一般事故级别</w:t>
      </w:r>
      <w:r>
        <w:rPr>
          <w:spacing w:val="-22"/>
        </w:rPr>
        <w:t xml:space="preserve"> </w:t>
      </w:r>
      <w:r>
        <w:rPr>
          <w:spacing w:val="5"/>
        </w:rPr>
        <w:t>(</w:t>
      </w:r>
      <w:r>
        <w:rPr>
          <w:spacing w:val="-38"/>
        </w:rPr>
        <w:t xml:space="preserve"> </w:t>
      </w:r>
      <w:r>
        <w:rPr>
          <w:rFonts w:ascii="Times New Roman" w:hAnsi="Times New Roman" w:eastAsia="Times New Roman" w:cs="Times New Roman"/>
          <w:spacing w:val="5"/>
        </w:rPr>
        <w:t>Ⅳ</w:t>
      </w:r>
      <w:r>
        <w:rPr>
          <w:spacing w:val="5"/>
        </w:rPr>
        <w:t>级</w:t>
      </w:r>
      <w:r>
        <w:rPr>
          <w:spacing w:val="-2"/>
        </w:rPr>
        <w:t>）：</w:t>
      </w:r>
      <w:r>
        <w:rPr>
          <w:spacing w:val="5"/>
        </w:rPr>
        <w:t>影响范围涉及我</w:t>
      </w:r>
      <w:r>
        <w:rPr>
          <w:spacing w:val="9"/>
        </w:rPr>
        <w:t>市县级行政区域内</w:t>
      </w:r>
      <w:r>
        <w:rPr>
          <w:rFonts w:ascii="Times New Roman" w:hAnsi="Times New Roman" w:eastAsia="Times New Roman" w:cs="Times New Roman"/>
          <w:spacing w:val="9"/>
        </w:rPr>
        <w:t>2 </w:t>
      </w:r>
      <w:r>
        <w:rPr>
          <w:spacing w:val="9"/>
        </w:rPr>
        <w:t>个以上乡镇，给公众饮食</w:t>
      </w:r>
      <w:r>
        <w:rPr>
          <w:spacing w:val="1"/>
        </w:rPr>
        <w:t>安全带来严重危害的；造成伤害人数</w:t>
      </w:r>
      <w:r>
        <w:rPr>
          <w:spacing w:val="-33"/>
        </w:rPr>
        <w:t xml:space="preserve"> </w:t>
      </w:r>
      <w:r>
        <w:rPr>
          <w:rFonts w:ascii="Times New Roman" w:hAnsi="Times New Roman" w:eastAsia="Times New Roman" w:cs="Times New Roman"/>
          <w:spacing w:val="1"/>
        </w:rPr>
        <w:t>30-99 </w:t>
      </w:r>
      <w:r>
        <w:rPr>
          <w:spacing w:val="1"/>
        </w:rPr>
        <w:t>人，</w:t>
      </w:r>
      <w:r>
        <w:rPr>
          <w:spacing w:val="7"/>
        </w:rPr>
        <w:t>未出现死亡病例的；县级政府认定的其他一般</w:t>
      </w:r>
    </w:p>
    <w:p>
      <w:pPr>
        <w:spacing w:line="324" w:lineRule="auto"/>
        <w:sectPr>
          <w:type w:val="continuous"/>
          <w:pgSz w:w="11906" w:h="16839"/>
          <w:pgMar w:top="1772" w:right="1489" w:bottom="1584" w:left="1567" w:header="1428" w:footer="1172" w:gutter="0"/>
          <w:cols w:equalWidth="0" w:num="2">
            <w:col w:w="4502" w:space="100"/>
            <w:col w:w="4248" w:space="0"/>
          </w:cols>
        </w:sectPr>
        <w:rPr/>
      </w:pPr>
    </w:p>
    <w:p>
      <w:pPr>
        <w:spacing w:before="58"/>
        <w:rPr/>
      </w:pPr>
      <w:r>
        <w:drawing>
          <wp:anchor distT="0" distB="0" distL="0" distR="0" simplePos="0" relativeHeight="253549568"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978" name="IM 1978"/>
            <wp:cNvGraphicFramePr/>
            <a:graphic>
              <a:graphicData uri="http://schemas.openxmlformats.org/drawingml/2006/picture">
                <pic:pic>
                  <pic:nvPicPr>
                    <pic:cNvPr id="1978" name="IM 1978"/>
                    <pic:cNvPicPr/>
                  </pic:nvPicPr>
                  <pic:blipFill>
                    <a:blip r:embed="rId991"/>
                    <a:stretch>
                      <a:fillRect/>
                    </a:stretch>
                  </pic:blipFill>
                  <pic:spPr>
                    <a:xfrm rot="0">
                      <a:off x="0" y="0"/>
                      <a:ext cx="5579745" cy="7620"/>
                    </a:xfrm>
                    <a:prstGeom prst="rect">
                      <a:avLst/>
                    </a:prstGeom>
                  </pic:spPr>
                </pic:pic>
              </a:graphicData>
            </a:graphic>
          </wp:anchor>
        </w:drawing>
      </w:r>
      <w:r/>
    </w:p>
    <w:p>
      <w:pPr>
        <w:sectPr>
          <w:headerReference w:type="default" r:id="rId597"/>
          <w:footerReference w:type="default" r:id="rId990"/>
          <w:pgSz w:w="11906" w:h="16839"/>
          <w:pgMar w:top="1766" w:right="1509" w:bottom="1575" w:left="1579" w:header="1428" w:footer="1172" w:gutter="0"/>
          <w:cols w:equalWidth="0" w:num="1">
            <w:col w:w="8817" w:space="0"/>
          </w:cols>
        </w:sectPr>
        <w:rPr/>
      </w:pPr>
    </w:p>
    <w:p>
      <w:pPr>
        <w:pStyle w:val="BodyText"/>
        <w:ind w:left="10"/>
        <w:spacing w:before="47" w:line="279" w:lineRule="exact"/>
        <w:rPr/>
      </w:pPr>
      <w:r>
        <w:rPr>
          <w:spacing w:val="8"/>
          <w:position w:val="1"/>
        </w:rPr>
        <w:t>食品安全事故。</w:t>
      </w:r>
    </w:p>
    <w:p>
      <w:pPr>
        <w:pStyle w:val="BodyText"/>
        <w:ind w:left="10" w:right="326" w:firstLine="423"/>
        <w:spacing w:before="102" w:line="351" w:lineRule="auto"/>
        <w:jc w:val="both"/>
        <w:rPr/>
      </w:pPr>
      <w:r>
        <w:rPr>
          <w:spacing w:val="5"/>
        </w:rPr>
        <w:t>较大事故级别</w:t>
      </w:r>
      <w:r>
        <w:rPr>
          <w:spacing w:val="-16"/>
        </w:rPr>
        <w:t xml:space="preserve"> </w:t>
      </w:r>
      <w:r>
        <w:rPr>
          <w:spacing w:val="5"/>
        </w:rPr>
        <w:t>(</w:t>
      </w:r>
      <w:r>
        <w:rPr>
          <w:spacing w:val="-38"/>
        </w:rPr>
        <w:t xml:space="preserve"> </w:t>
      </w:r>
      <w:r>
        <w:rPr>
          <w:rFonts w:ascii="Times New Roman" w:hAnsi="Times New Roman" w:eastAsia="Times New Roman" w:cs="Times New Roman"/>
          <w:spacing w:val="5"/>
        </w:rPr>
        <w:t>Ⅲ</w:t>
      </w:r>
      <w:r>
        <w:rPr>
          <w:spacing w:val="5"/>
        </w:rPr>
        <w:t>级</w:t>
      </w:r>
      <w:r>
        <w:rPr>
          <w:spacing w:val="4"/>
        </w:rPr>
        <w:t>）：</w:t>
      </w:r>
      <w:r>
        <w:rPr>
          <w:spacing w:val="5"/>
        </w:rPr>
        <w:t>影响范围涉及市</w:t>
      </w:r>
      <w:r>
        <w:rPr>
          <w:spacing w:val="9"/>
        </w:rPr>
        <w:t>辖区内</w:t>
      </w:r>
      <w:r>
        <w:rPr>
          <w:rFonts w:ascii="Times New Roman" w:hAnsi="Times New Roman" w:eastAsia="Times New Roman" w:cs="Times New Roman"/>
          <w:spacing w:val="9"/>
        </w:rPr>
        <w:t>2 </w:t>
      </w:r>
      <w:r>
        <w:rPr>
          <w:spacing w:val="9"/>
        </w:rPr>
        <w:t>个以上县级行政区域，给人民群众饮</w:t>
      </w:r>
      <w:r>
        <w:rPr>
          <w:spacing w:val="5"/>
        </w:rPr>
        <w:t>食安全带来严重危害的；造成伤害人数</w:t>
      </w:r>
      <w:r>
        <w:rPr>
          <w:spacing w:val="-11"/>
        </w:rPr>
        <w:t xml:space="preserve"> </w:t>
      </w:r>
      <w:r>
        <w:rPr>
          <w:rFonts w:ascii="Times New Roman" w:hAnsi="Times New Roman" w:eastAsia="Times New Roman" w:cs="Times New Roman"/>
          <w:spacing w:val="5"/>
        </w:rPr>
        <w:t>100 </w:t>
      </w:r>
      <w:r>
        <w:rPr>
          <w:spacing w:val="5"/>
        </w:rPr>
        <w:t>人</w:t>
      </w:r>
      <w:r>
        <w:rPr>
          <w:spacing w:val="7"/>
        </w:rPr>
        <w:t>以上，或者出现死亡病例的；市政府认定的其</w:t>
      </w:r>
      <w:r>
        <w:rPr>
          <w:spacing w:val="8"/>
        </w:rPr>
        <w:t>他较大食品安全事故。</w:t>
      </w:r>
    </w:p>
    <w:p>
      <w:pPr>
        <w:pStyle w:val="BodyText"/>
        <w:ind w:left="10" w:right="326" w:firstLine="424"/>
        <w:spacing w:before="4" w:line="350" w:lineRule="auto"/>
        <w:jc w:val="both"/>
        <w:rPr/>
      </w:pPr>
      <w:r>
        <w:rPr>
          <w:spacing w:val="5"/>
        </w:rPr>
        <w:t>重大事故级别 (</w:t>
      </w:r>
      <w:r>
        <w:rPr>
          <w:spacing w:val="-36"/>
        </w:rPr>
        <w:t xml:space="preserve"> </w:t>
      </w:r>
      <w:r>
        <w:rPr>
          <w:rFonts w:ascii="Times New Roman" w:hAnsi="Times New Roman" w:eastAsia="Times New Roman" w:cs="Times New Roman"/>
          <w:spacing w:val="5"/>
        </w:rPr>
        <w:t>Ⅱ</w:t>
      </w:r>
      <w:r>
        <w:rPr>
          <w:spacing w:val="5"/>
        </w:rPr>
        <w:t>级</w:t>
      </w:r>
      <w:r>
        <w:rPr>
          <w:spacing w:val="-4"/>
        </w:rPr>
        <w:t>）</w:t>
      </w:r>
      <w:r>
        <w:rPr>
          <w:spacing w:val="-48"/>
        </w:rPr>
        <w:t xml:space="preserve"> </w:t>
      </w:r>
      <w:r>
        <w:rPr>
          <w:spacing w:val="-4"/>
        </w:rPr>
        <w:t>：</w:t>
      </w:r>
      <w:r>
        <w:rPr>
          <w:spacing w:val="5"/>
        </w:rPr>
        <w:t>危害严重，影响</w:t>
      </w:r>
      <w:r>
        <w:rPr>
          <w:spacing w:val="10"/>
        </w:rPr>
        <w:t>范围涉及包括我市在内的全区</w:t>
      </w:r>
      <w:r>
        <w:rPr>
          <w:rFonts w:ascii="Times New Roman" w:hAnsi="Times New Roman" w:eastAsia="Times New Roman" w:cs="Times New Roman"/>
          <w:spacing w:val="10"/>
        </w:rPr>
        <w:t>2</w:t>
      </w:r>
      <w:r>
        <w:rPr>
          <w:rFonts w:ascii="Times New Roman" w:hAnsi="Times New Roman" w:eastAsia="Times New Roman" w:cs="Times New Roman"/>
        </w:rPr>
        <w:t xml:space="preserve"> </w:t>
      </w:r>
      <w:r>
        <w:rPr>
          <w:spacing w:val="10"/>
        </w:rPr>
        <w:t>个以上市级行</w:t>
      </w:r>
      <w:r>
        <w:rPr>
          <w:spacing w:val="5"/>
        </w:rPr>
        <w:t>政区域的；造成伤害人数</w:t>
      </w:r>
      <w:r>
        <w:rPr>
          <w:spacing w:val="-13"/>
        </w:rPr>
        <w:t xml:space="preserve"> </w:t>
      </w:r>
      <w:r>
        <w:rPr>
          <w:rFonts w:ascii="Times New Roman" w:hAnsi="Times New Roman" w:eastAsia="Times New Roman" w:cs="Times New Roman"/>
          <w:spacing w:val="5"/>
        </w:rPr>
        <w:t>100 </w:t>
      </w:r>
      <w:r>
        <w:rPr>
          <w:spacing w:val="5"/>
        </w:rPr>
        <w:t>人以上，并出现</w:t>
      </w:r>
      <w:r>
        <w:rPr>
          <w:spacing w:val="7"/>
        </w:rPr>
        <w:t>死亡病例的；造成</w:t>
      </w:r>
      <w:r>
        <w:rPr>
          <w:spacing w:val="-25"/>
        </w:rPr>
        <w:t xml:space="preserve"> </w:t>
      </w:r>
      <w:r>
        <w:rPr>
          <w:rFonts w:ascii="Times New Roman" w:hAnsi="Times New Roman" w:eastAsia="Times New Roman" w:cs="Times New Roman"/>
          <w:spacing w:val="7"/>
        </w:rPr>
        <w:t>10 </w:t>
      </w:r>
      <w:r>
        <w:rPr>
          <w:spacing w:val="7"/>
        </w:rPr>
        <w:t>例以上死亡病例的</w:t>
      </w:r>
      <w:r>
        <w:rPr>
          <w:spacing w:val="6"/>
        </w:rPr>
        <w:t>；</w:t>
      </w:r>
      <w:r>
        <w:rPr>
          <w:spacing w:val="-20"/>
        </w:rPr>
        <w:t xml:space="preserve"> </w:t>
      </w:r>
      <w:r>
        <w:rPr>
          <w:spacing w:val="6"/>
        </w:rPr>
        <w:t>超</w:t>
      </w:r>
      <w:r>
        <w:rPr>
          <w:spacing w:val="7"/>
        </w:rPr>
        <w:t>出市政府应急处置能力和水平的；自治区政府</w:t>
      </w:r>
      <w:r>
        <w:rPr>
          <w:spacing w:val="9"/>
        </w:rPr>
        <w:t>认定的其他重大食品安全事故。</w:t>
      </w:r>
    </w:p>
    <w:p>
      <w:pPr>
        <w:pStyle w:val="BodyText"/>
        <w:ind w:left="11" w:right="261" w:firstLine="423"/>
        <w:spacing w:before="2" w:line="351" w:lineRule="auto"/>
        <w:jc w:val="both"/>
        <w:rPr/>
      </w:pPr>
      <w:r>
        <w:rPr>
          <w:spacing w:val="8"/>
        </w:rPr>
        <w:t>特别重大事故级别 (</w:t>
      </w:r>
      <w:r>
        <w:rPr>
          <w:spacing w:val="-30"/>
        </w:rPr>
        <w:t xml:space="preserve"> </w:t>
      </w:r>
      <w:r>
        <w:rPr>
          <w:rFonts w:ascii="Times New Roman" w:hAnsi="Times New Roman" w:eastAsia="Times New Roman" w:cs="Times New Roman"/>
          <w:spacing w:val="8"/>
        </w:rPr>
        <w:t>Ⅰ</w:t>
      </w:r>
      <w:r>
        <w:rPr>
          <w:spacing w:val="8"/>
        </w:rPr>
        <w:t>级</w:t>
      </w:r>
      <w:r>
        <w:rPr>
          <w:spacing w:val="-6"/>
        </w:rPr>
        <w:t>）</w:t>
      </w:r>
      <w:r>
        <w:rPr>
          <w:spacing w:val="-39"/>
        </w:rPr>
        <w:t xml:space="preserve"> </w:t>
      </w:r>
      <w:r>
        <w:rPr>
          <w:spacing w:val="-6"/>
        </w:rPr>
        <w:t>：</w:t>
      </w:r>
      <w:r>
        <w:rPr>
          <w:spacing w:val="8"/>
        </w:rPr>
        <w:t>危害特别严</w:t>
      </w:r>
      <w:r>
        <w:rPr>
          <w:spacing w:val="-2"/>
        </w:rPr>
        <w:t>重，对全区及其他省（</w:t>
      </w:r>
      <w:r>
        <w:rPr>
          <w:spacing w:val="-45"/>
        </w:rPr>
        <w:t xml:space="preserve"> </w:t>
      </w:r>
      <w:r>
        <w:rPr>
          <w:spacing w:val="-2"/>
        </w:rPr>
        <w:t>区、市）造成严重威胁，</w:t>
      </w:r>
      <w:r>
        <w:rPr>
          <w:spacing w:val="7"/>
        </w:rPr>
        <w:t>并有进一步扩散趋势的；超出自治区政府应急</w:t>
      </w:r>
      <w:r>
        <w:rPr>
          <w:spacing w:val="7"/>
        </w:rPr>
        <w:t>处置能力和水平的；国务院和自治区政府认定</w:t>
      </w:r>
      <w:r>
        <w:rPr>
          <w:spacing w:val="9"/>
        </w:rPr>
        <w:t>的其他特别重大食品安全事故。</w:t>
      </w:r>
    </w:p>
    <w:p>
      <w:pPr>
        <w:pStyle w:val="BodyText"/>
        <w:ind w:left="11" w:right="328" w:firstLine="441"/>
        <w:spacing w:before="6" w:line="351" w:lineRule="auto"/>
        <w:jc w:val="both"/>
        <w:rPr/>
      </w:pPr>
      <w:r>
        <w:rPr>
          <w:rFonts w:ascii="Times New Roman" w:hAnsi="Times New Roman" w:eastAsia="Times New Roman" w:cs="Times New Roman"/>
          <w:spacing w:val="7"/>
        </w:rPr>
        <w:t>1.5  </w:t>
      </w:r>
      <w:r>
        <w:rPr>
          <w:rFonts w:ascii="KaiTi" w:hAnsi="KaiTi" w:eastAsia="KaiTi" w:cs="KaiTi"/>
          <w:spacing w:val="7"/>
        </w:rPr>
        <w:t>工作原则。</w:t>
      </w:r>
      <w:r>
        <w:rPr>
          <w:spacing w:val="7"/>
        </w:rPr>
        <w:t>食品安全事故应急处置工</w:t>
      </w:r>
      <w:r>
        <w:rPr>
          <w:spacing w:val="7"/>
        </w:rPr>
        <w:t>作应坚持以下原则：坚持统一领导，分级属地</w:t>
      </w:r>
      <w:r>
        <w:rPr>
          <w:spacing w:val="7"/>
        </w:rPr>
        <w:t>负责；以人民为中心，依法依规处置；注重平</w:t>
      </w:r>
      <w:r>
        <w:rPr>
          <w:spacing w:val="7"/>
        </w:rPr>
        <w:t>战结合，坚持标本兼治；主动公开信息，引导</w:t>
      </w:r>
      <w:r>
        <w:rPr>
          <w:spacing w:val="9"/>
        </w:rPr>
        <w:t>公众参与；采取科学手段，及时果断有效。</w:t>
      </w:r>
    </w:p>
    <w:p>
      <w:pPr>
        <w:ind w:left="434"/>
        <w:spacing w:before="5"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2</w:t>
      </w:r>
      <w:r>
        <w:rPr>
          <w:rFonts w:ascii="Microsoft YaHei" w:hAnsi="Microsoft YaHei" w:eastAsia="Microsoft YaHei" w:cs="Microsoft YaHei"/>
          <w:sz w:val="20"/>
          <w:szCs w:val="20"/>
          <w:spacing w:val="14"/>
        </w:rPr>
        <w:t xml:space="preserve">   </w:t>
      </w:r>
      <w:r>
        <w:rPr>
          <w:rFonts w:ascii="Microsoft YaHei" w:hAnsi="Microsoft YaHei" w:eastAsia="Microsoft YaHei" w:cs="Microsoft YaHei"/>
          <w:sz w:val="20"/>
          <w:szCs w:val="20"/>
          <w:spacing w:val="6"/>
        </w:rPr>
        <w:t>组织机构及职责</w:t>
      </w:r>
    </w:p>
    <w:p>
      <w:pPr>
        <w:pStyle w:val="BodyText"/>
        <w:ind w:left="10" w:right="325" w:firstLine="422"/>
        <w:spacing w:before="86" w:line="347" w:lineRule="auto"/>
        <w:jc w:val="both"/>
        <w:rPr/>
      </w:pPr>
      <w:r>
        <w:rPr>
          <w:rFonts w:ascii="Times New Roman" w:hAnsi="Times New Roman" w:eastAsia="Times New Roman" w:cs="Times New Roman"/>
          <w:spacing w:val="7"/>
        </w:rPr>
        <w:t>2.</w:t>
      </w:r>
      <w:r>
        <w:rPr>
          <w:rFonts w:ascii="Times New Roman" w:hAnsi="Times New Roman" w:eastAsia="Times New Roman" w:cs="Times New Roman"/>
          <w:spacing w:val="-23"/>
        </w:rPr>
        <w:t xml:space="preserve"> </w:t>
      </w:r>
      <w:r>
        <w:rPr>
          <w:rFonts w:ascii="Times New Roman" w:hAnsi="Times New Roman" w:eastAsia="Times New Roman" w:cs="Times New Roman"/>
          <w:spacing w:val="7"/>
        </w:rPr>
        <w:t>1  </w:t>
      </w:r>
      <w:r>
        <w:rPr>
          <w:rFonts w:ascii="KaiTi" w:hAnsi="KaiTi" w:eastAsia="KaiTi" w:cs="KaiTi"/>
          <w:spacing w:val="7"/>
        </w:rPr>
        <w:t>应急机制启动。</w:t>
      </w:r>
      <w:r>
        <w:rPr>
          <w:spacing w:val="7"/>
        </w:rPr>
        <w:t>食品安全事故发生以</w:t>
      </w:r>
      <w:r>
        <w:rPr>
          <w:spacing w:val="7"/>
        </w:rPr>
        <w:t>后，市场监管部门会同有关部门依法组织对事</w:t>
      </w:r>
      <w:r>
        <w:rPr>
          <w:spacing w:val="7"/>
        </w:rPr>
        <w:t>故进行分析评估，核定事故级别。达到</w:t>
      </w:r>
      <w:r>
        <w:rPr>
          <w:rFonts w:ascii="Times New Roman" w:hAnsi="Times New Roman" w:eastAsia="Times New Roman" w:cs="Times New Roman"/>
          <w:spacing w:val="7"/>
        </w:rPr>
        <w:t>Ⅰ</w:t>
      </w:r>
      <w:r>
        <w:rPr>
          <w:spacing w:val="7"/>
        </w:rPr>
        <w:t>级、</w:t>
      </w:r>
      <w:r>
        <w:rPr>
          <w:rFonts w:ascii="Times New Roman" w:hAnsi="Times New Roman" w:eastAsia="Times New Roman" w:cs="Times New Roman"/>
          <w:spacing w:val="7"/>
        </w:rPr>
        <w:t>Ⅱ</w:t>
      </w:r>
      <w:r>
        <w:rPr>
          <w:spacing w:val="7"/>
        </w:rPr>
        <w:t>级或者</w:t>
      </w:r>
      <w:r>
        <w:rPr>
          <w:rFonts w:ascii="Times New Roman" w:hAnsi="Times New Roman" w:eastAsia="Times New Roman" w:cs="Times New Roman"/>
          <w:spacing w:val="7"/>
        </w:rPr>
        <w:t>Ⅲ</w:t>
      </w:r>
      <w:r>
        <w:rPr>
          <w:spacing w:val="7"/>
        </w:rPr>
        <w:t>级食品安全事故标准的，由市食安办</w:t>
      </w:r>
      <w:r>
        <w:rPr>
          <w:spacing w:val="7"/>
        </w:rPr>
        <w:t>向市政府提出启动应急响应建议，其中</w:t>
      </w:r>
      <w:r>
        <w:rPr>
          <w:rFonts w:ascii="Times New Roman" w:hAnsi="Times New Roman" w:eastAsia="Times New Roman" w:cs="Times New Roman"/>
          <w:spacing w:val="7"/>
        </w:rPr>
        <w:t>Ⅰ</w:t>
      </w:r>
      <w:r>
        <w:rPr>
          <w:spacing w:val="7"/>
        </w:rPr>
        <w:t>级、</w:t>
      </w:r>
      <w:r>
        <w:rPr>
          <w:rFonts w:ascii="Times New Roman" w:hAnsi="Times New Roman" w:eastAsia="Times New Roman" w:cs="Times New Roman"/>
          <w:spacing w:val="7"/>
        </w:rPr>
        <w:t>Ⅱ</w:t>
      </w:r>
      <w:r>
        <w:rPr>
          <w:spacing w:val="18"/>
        </w:rPr>
        <w:t>级食品安全事故应按照规定报自治区政府及</w:t>
      </w:r>
      <w:r>
        <w:rPr>
          <w:spacing w:val="7"/>
        </w:rPr>
        <w:t>其有关部门开展相应应急处置工作。经市政府</w:t>
      </w:r>
      <w:r>
        <w:rPr>
          <w:spacing w:val="15"/>
        </w:rPr>
        <w:t>批准后</w:t>
      </w:r>
      <w:r>
        <w:rPr>
          <w:spacing w:val="-39"/>
        </w:rPr>
        <w:t xml:space="preserve"> </w:t>
      </w:r>
      <w:r>
        <w:rPr>
          <w:spacing w:val="15"/>
        </w:rPr>
        <w:t>，成立市食品安全事故应急处置指挥</w:t>
      </w:r>
      <w:r>
        <w:rPr>
          <w:spacing w:val="7"/>
        </w:rPr>
        <w:t>部，统一领导和指挥事故应急处置工作。</w:t>
      </w:r>
      <w:r>
        <w:rPr>
          <w:rFonts w:ascii="Times New Roman" w:hAnsi="Times New Roman" w:eastAsia="Times New Roman" w:cs="Times New Roman"/>
          <w:spacing w:val="7"/>
        </w:rPr>
        <w:t>Ⅳ</w:t>
      </w:r>
      <w:r>
        <w:rPr>
          <w:spacing w:val="7"/>
        </w:rPr>
        <w:t>级</w:t>
      </w:r>
      <w:r>
        <w:rPr>
          <w:spacing w:val="18"/>
        </w:rPr>
        <w:t>食品安全事故由县级政府组织成立相应应急</w:t>
      </w:r>
      <w:r>
        <w:rPr>
          <w:spacing w:val="7"/>
        </w:rPr>
        <w:t>处置指挥机构，统一开展本行政区域事故应急</w:t>
      </w:r>
    </w:p>
    <w:p>
      <w:pPr>
        <w:spacing w:line="14" w:lineRule="auto"/>
        <w:rPr>
          <w:rFonts w:ascii="Arial"/>
          <w:sz w:val="2"/>
        </w:rPr>
      </w:pPr>
      <w:r>
        <w:rPr>
          <w:rFonts w:ascii="Arial" w:hAnsi="Arial" w:eastAsia="Arial" w:cs="Arial"/>
          <w:sz w:val="2"/>
          <w:szCs w:val="2"/>
        </w:rPr>
        <w:br w:type="column"/>
      </w:r>
    </w:p>
    <w:p>
      <w:pPr>
        <w:pStyle w:val="BodyText"/>
        <w:ind w:left="2"/>
        <w:spacing w:before="49" w:line="220" w:lineRule="auto"/>
        <w:rPr/>
      </w:pPr>
      <w:r>
        <w:rPr>
          <w:spacing w:val="6"/>
        </w:rPr>
        <w:t>处置工作。</w:t>
      </w:r>
    </w:p>
    <w:p>
      <w:pPr>
        <w:ind w:left="422"/>
        <w:spacing w:before="140" w:line="242" w:lineRule="auto"/>
        <w:rPr>
          <w:rFonts w:ascii="KaiTi" w:hAnsi="KaiTi" w:eastAsia="KaiTi" w:cs="KaiTi"/>
          <w:sz w:val="20"/>
          <w:szCs w:val="20"/>
        </w:rPr>
      </w:pPr>
      <w:r>
        <w:rPr>
          <w:rFonts w:ascii="Times New Roman" w:hAnsi="Times New Roman" w:eastAsia="Times New Roman" w:cs="Times New Roman"/>
          <w:sz w:val="20"/>
          <w:szCs w:val="20"/>
          <w:spacing w:val="5"/>
        </w:rPr>
        <w:t>2.2  </w:t>
      </w:r>
      <w:r>
        <w:rPr>
          <w:rFonts w:ascii="KaiTi" w:hAnsi="KaiTi" w:eastAsia="KaiTi" w:cs="KaiTi"/>
          <w:sz w:val="20"/>
          <w:szCs w:val="20"/>
          <w:spacing w:val="5"/>
        </w:rPr>
        <w:t>指挥部设置。</w:t>
      </w:r>
    </w:p>
    <w:p>
      <w:pPr>
        <w:pStyle w:val="BodyText"/>
        <w:ind w:left="424"/>
        <w:spacing w:before="121" w:line="277" w:lineRule="exact"/>
        <w:rPr/>
      </w:pPr>
      <w:r>
        <w:rPr>
          <w:spacing w:val="8"/>
          <w:position w:val="1"/>
        </w:rPr>
        <w:t>指 挥 长：由市政府分管领导担任</w:t>
      </w:r>
    </w:p>
    <w:p>
      <w:pPr>
        <w:pStyle w:val="BodyText"/>
        <w:ind w:right="80" w:firstLine="428"/>
        <w:spacing w:before="108" w:line="354" w:lineRule="auto"/>
        <w:jc w:val="both"/>
        <w:rPr/>
      </w:pPr>
      <w:r>
        <w:rPr>
          <w:spacing w:val="6"/>
        </w:rPr>
        <w:t>副指挥长：由市政府分管副秘书长、市场</w:t>
      </w:r>
      <w:r>
        <w:rPr>
          <w:spacing w:val="7"/>
        </w:rPr>
        <w:t>监管局局长、农业农村局局长、卫生健康委员</w:t>
      </w:r>
      <w:r>
        <w:rPr>
          <w:spacing w:val="7"/>
        </w:rPr>
        <w:t>会主任、事故发生地政府县（</w:t>
      </w:r>
      <w:r>
        <w:rPr>
          <w:spacing w:val="-51"/>
        </w:rPr>
        <w:t xml:space="preserve"> </w:t>
      </w:r>
      <w:r>
        <w:rPr>
          <w:spacing w:val="7"/>
        </w:rPr>
        <w:t>区）长担任</w:t>
      </w:r>
    </w:p>
    <w:p>
      <w:pPr>
        <w:pStyle w:val="BodyText"/>
        <w:ind w:firstLine="421"/>
        <w:spacing w:before="4" w:line="354" w:lineRule="auto"/>
        <w:jc w:val="both"/>
        <w:rPr/>
      </w:pPr>
      <w:r>
        <w:rPr/>
        <w:t>成员单位：市发展和改革委、教育体育局、</w:t>
      </w:r>
      <w:r>
        <w:rPr>
          <w:spacing w:val="7"/>
        </w:rPr>
        <w:t>科学技术局、工业和信息化局、公安局、民政</w:t>
      </w:r>
      <w:r>
        <w:rPr>
          <w:spacing w:val="7"/>
        </w:rPr>
        <w:t>局、司法局、财政局、生态环境局、住房城乡</w:t>
      </w:r>
      <w:r>
        <w:rPr>
          <w:spacing w:val="7"/>
        </w:rPr>
        <w:t>建设局、交通运输局、农业农村局、商务和投</w:t>
      </w:r>
      <w:r>
        <w:rPr>
          <w:spacing w:val="7"/>
        </w:rPr>
        <w:t>资局、文化旅游广电局、卫生健康委、市场监</w:t>
      </w:r>
      <w:r>
        <w:rPr>
          <w:spacing w:val="7"/>
        </w:rPr>
        <w:t>管局，粮食储备局，由指挥部根据救援工作需</w:t>
      </w:r>
      <w:r>
        <w:rPr>
          <w:spacing w:val="3"/>
        </w:rPr>
        <w:t>要确定的非政府职能部门（单位）。</w:t>
      </w:r>
    </w:p>
    <w:p>
      <w:pPr>
        <w:pStyle w:val="BodyText"/>
        <w:ind w:right="73" w:firstLine="421"/>
        <w:spacing w:before="7" w:line="335" w:lineRule="auto"/>
        <w:rPr/>
      </w:pPr>
      <w:r>
        <w:rPr>
          <w:rFonts w:ascii="Times New Roman" w:hAnsi="Times New Roman" w:eastAsia="Times New Roman" w:cs="Times New Roman"/>
          <w:spacing w:val="8"/>
        </w:rPr>
        <w:t>2.3  </w:t>
      </w:r>
      <w:r>
        <w:rPr>
          <w:rFonts w:ascii="KaiTi" w:hAnsi="KaiTi" w:eastAsia="KaiTi" w:cs="KaiTi"/>
          <w:spacing w:val="8"/>
        </w:rPr>
        <w:t>指挥部职责。</w:t>
      </w:r>
      <w:r>
        <w:rPr>
          <w:spacing w:val="8"/>
        </w:rPr>
        <w:t>市食品安全事故应急处</w:t>
      </w:r>
      <w:r>
        <w:rPr>
          <w:spacing w:val="7"/>
        </w:rPr>
        <w:t>置指挥部统一领导、组织、协调事故应急处置</w:t>
      </w:r>
      <w:r>
        <w:rPr>
          <w:spacing w:val="7"/>
        </w:rPr>
        <w:t>工作，研究事故应急处置的重大决策与部署，</w:t>
      </w:r>
      <w:r>
        <w:rPr>
          <w:spacing w:val="7"/>
        </w:rPr>
        <w:t>组织发布事故的重要信息，审议批准指挥部办</w:t>
      </w:r>
      <w:r>
        <w:rPr>
          <w:spacing w:val="7"/>
        </w:rPr>
        <w:t>公室提交的应急处置工作报告，向市政府及自</w:t>
      </w:r>
      <w:r>
        <w:rPr>
          <w:spacing w:val="7"/>
        </w:rPr>
        <w:t>治区有关部门报告事故应急处置工作情况，做</w:t>
      </w:r>
      <w:r>
        <w:rPr>
          <w:spacing w:val="8"/>
        </w:rPr>
        <w:t>好其他应急处置工作。</w:t>
      </w:r>
    </w:p>
    <w:p>
      <w:pPr>
        <w:pStyle w:val="BodyText"/>
        <w:ind w:right="80" w:firstLine="421"/>
        <w:spacing w:before="140" w:line="333" w:lineRule="auto"/>
        <w:rPr/>
      </w:pPr>
      <w:r>
        <w:rPr>
          <w:rFonts w:ascii="Times New Roman" w:hAnsi="Times New Roman" w:eastAsia="Times New Roman" w:cs="Times New Roman"/>
          <w:spacing w:val="8"/>
        </w:rPr>
        <w:t>2.4  </w:t>
      </w:r>
      <w:r>
        <w:rPr>
          <w:rFonts w:ascii="KaiTi" w:hAnsi="KaiTi" w:eastAsia="KaiTi" w:cs="KaiTi"/>
          <w:spacing w:val="8"/>
        </w:rPr>
        <w:t>指挥部办公室职责。</w:t>
      </w:r>
      <w:r>
        <w:rPr>
          <w:spacing w:val="8"/>
        </w:rPr>
        <w:t>市食品安全事故</w:t>
      </w:r>
      <w:r>
        <w:rPr>
          <w:spacing w:val="18"/>
        </w:rPr>
        <w:t>应急指挥部办公室是食品安全事故应急指挥</w:t>
      </w:r>
      <w:r>
        <w:rPr>
          <w:spacing w:val="7"/>
        </w:rPr>
        <w:t>部的日常工作机构，设在市场监督管理局。办</w:t>
      </w:r>
      <w:r>
        <w:rPr>
          <w:spacing w:val="7"/>
        </w:rPr>
        <w:t>公室主任由市场监管局局长兼任，副主任由市</w:t>
      </w:r>
      <w:r>
        <w:rPr>
          <w:spacing w:val="7"/>
        </w:rPr>
        <w:t>场监管局分管食品安全的副局长兼任。办公室</w:t>
      </w:r>
      <w:r>
        <w:rPr>
          <w:spacing w:val="6"/>
        </w:rPr>
        <w:t>常设值班工作电话为</w:t>
      </w:r>
      <w:r>
        <w:rPr>
          <w:spacing w:val="-36"/>
        </w:rPr>
        <w:t xml:space="preserve"> </w:t>
      </w:r>
      <w:r>
        <w:rPr>
          <w:rFonts w:ascii="Times New Roman" w:hAnsi="Times New Roman" w:eastAsia="Times New Roman" w:cs="Times New Roman"/>
          <w:spacing w:val="6"/>
        </w:rPr>
        <w:t>0954-2023191</w:t>
      </w:r>
      <w:r>
        <w:rPr>
          <w:spacing w:val="6"/>
        </w:rPr>
        <w:t>。</w:t>
      </w:r>
    </w:p>
    <w:p>
      <w:pPr>
        <w:pStyle w:val="BodyText"/>
        <w:ind w:left="10" w:right="80" w:firstLine="413"/>
        <w:spacing w:before="140" w:line="354" w:lineRule="auto"/>
        <w:rPr/>
      </w:pPr>
      <w:r>
        <w:rPr>
          <w:spacing w:val="19"/>
        </w:rPr>
        <w:t>市食品安全事故应急处置指挥部办公室</w:t>
      </w:r>
      <w:r>
        <w:rPr>
          <w:spacing w:val="5"/>
        </w:rPr>
        <w:t>主要职责：</w:t>
      </w:r>
    </w:p>
    <w:p>
      <w:pPr>
        <w:pStyle w:val="BodyText"/>
        <w:ind w:left="1" w:firstLine="412"/>
        <w:spacing w:before="1" w:line="323"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）承担市指挥部日常工作。组织落实</w:t>
      </w:r>
      <w:r>
        <w:rPr>
          <w:spacing w:val="7"/>
        </w:rPr>
        <w:t>市指挥部的各项工作部署。建立食品安全事故</w:t>
      </w:r>
      <w:r>
        <w:rPr>
          <w:spacing w:val="1"/>
        </w:rPr>
        <w:t>应急处置发文、会商、信息发布和专家组管理、</w:t>
      </w:r>
      <w:r>
        <w:rPr>
          <w:spacing w:val="8"/>
        </w:rPr>
        <w:t>工作督查等工作制度；</w:t>
      </w:r>
    </w:p>
    <w:p>
      <w:pPr>
        <w:pStyle w:val="BodyText"/>
        <w:ind w:right="80" w:firstLine="413"/>
        <w:spacing w:before="136" w:line="288"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）提出启动食品安全事故应急预案建</w:t>
      </w:r>
      <w:r>
        <w:rPr>
          <w:spacing w:val="7"/>
        </w:rPr>
        <w:t>议，研究、协调、解决食品安全事故应急处理</w:t>
      </w:r>
    </w:p>
    <w:p>
      <w:pPr>
        <w:spacing w:line="288" w:lineRule="auto"/>
        <w:sectPr>
          <w:type w:val="continuous"/>
          <w:pgSz w:w="11906" w:h="16839"/>
          <w:pgMar w:top="1766" w:right="1509" w:bottom="1575" w:left="1579" w:header="1428" w:footer="1172" w:gutter="0"/>
          <w:cols w:equalWidth="0" w:num="2">
            <w:col w:w="4488" w:space="100"/>
            <w:col w:w="4229" w:space="0"/>
          </w:cols>
        </w:sectPr>
        <w:rPr/>
      </w:pPr>
    </w:p>
    <w:p>
      <w:pPr>
        <w:spacing w:before="48"/>
        <w:rPr/>
      </w:pPr>
      <w:r>
        <w:drawing>
          <wp:anchor distT="0" distB="0" distL="0" distR="0" simplePos="0" relativeHeight="253561856"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982" name="IM 1982"/>
            <wp:cNvGraphicFramePr/>
            <a:graphic>
              <a:graphicData uri="http://schemas.openxmlformats.org/drawingml/2006/picture">
                <pic:pic>
                  <pic:nvPicPr>
                    <pic:cNvPr id="1982" name="IM 1982"/>
                    <pic:cNvPicPr/>
                  </pic:nvPicPr>
                  <pic:blipFill>
                    <a:blip r:embed="rId993"/>
                    <a:stretch>
                      <a:fillRect/>
                    </a:stretch>
                  </pic:blipFill>
                  <pic:spPr>
                    <a:xfrm rot="0">
                      <a:off x="0" y="0"/>
                      <a:ext cx="5579745" cy="7620"/>
                    </a:xfrm>
                    <a:prstGeom prst="rect">
                      <a:avLst/>
                    </a:prstGeom>
                  </pic:spPr>
                </pic:pic>
              </a:graphicData>
            </a:graphic>
          </wp:anchor>
        </w:drawing>
      </w:r>
      <w:r/>
    </w:p>
    <w:p>
      <w:pPr>
        <w:sectPr>
          <w:headerReference w:type="default" r:id="rId816"/>
          <w:footerReference w:type="default" r:id="rId992"/>
          <w:pgSz w:w="11906" w:h="16839"/>
          <w:pgMar w:top="1772" w:right="1489" w:bottom="1584" w:left="1567" w:header="1428" w:footer="1172" w:gutter="0"/>
          <w:cols w:equalWidth="0" w:num="1">
            <w:col w:w="8850" w:space="0"/>
          </w:cols>
        </w:sectPr>
        <w:rPr/>
      </w:pPr>
    </w:p>
    <w:p>
      <w:pPr>
        <w:pStyle w:val="BodyText"/>
        <w:ind w:left="25" w:right="329"/>
        <w:spacing w:before="52" w:line="352" w:lineRule="auto"/>
        <w:jc w:val="both"/>
        <w:rPr/>
      </w:pPr>
      <w:r>
        <w:rPr>
          <w:spacing w:val="7"/>
        </w:rPr>
        <w:t>工作中的具体问题，并根据事故处理需要决定</w:t>
      </w:r>
      <w:r>
        <w:rPr>
          <w:spacing w:val="4"/>
        </w:rPr>
        <w:t>采取有关控制措施；检查督办各县（</w:t>
      </w:r>
      <w:r>
        <w:rPr>
          <w:spacing w:val="-36"/>
        </w:rPr>
        <w:t xml:space="preserve"> </w:t>
      </w:r>
      <w:r>
        <w:rPr>
          <w:spacing w:val="4"/>
        </w:rPr>
        <w:t>区）、各</w:t>
      </w:r>
      <w:r>
        <w:rPr>
          <w:spacing w:val="7"/>
        </w:rPr>
        <w:t>部门应急处理准备工作，及时有效控制事故的</w:t>
      </w:r>
      <w:r>
        <w:rPr>
          <w:spacing w:val="6"/>
        </w:rPr>
        <w:t>蔓延扩大；</w:t>
      </w:r>
    </w:p>
    <w:p>
      <w:pPr>
        <w:pStyle w:val="BodyText"/>
        <w:ind w:left="26" w:right="329" w:firstLine="410"/>
        <w:spacing w:before="2" w:line="310" w:lineRule="auto"/>
        <w:rPr/>
      </w:pPr>
      <w:r>
        <w:rPr>
          <w:spacing w:val="6"/>
        </w:rPr>
        <w:t>（</w:t>
      </w:r>
      <w:r>
        <w:rPr>
          <w:rFonts w:ascii="Times New Roman" w:hAnsi="Times New Roman" w:eastAsia="Times New Roman" w:cs="Times New Roman"/>
          <w:spacing w:val="6"/>
        </w:rPr>
        <w:t>3</w:t>
      </w:r>
      <w:r>
        <w:rPr>
          <w:rFonts w:ascii="Times New Roman" w:hAnsi="Times New Roman" w:eastAsia="Times New Roman" w:cs="Times New Roman"/>
          <w:spacing w:val="-10"/>
        </w:rPr>
        <w:t xml:space="preserve"> </w:t>
      </w:r>
      <w:r>
        <w:rPr>
          <w:spacing w:val="6"/>
        </w:rPr>
        <w:t>）收集汇总信息</w:t>
      </w:r>
      <w:r>
        <w:rPr>
          <w:spacing w:val="-59"/>
        </w:rPr>
        <w:t xml:space="preserve"> </w:t>
      </w:r>
      <w:r>
        <w:rPr>
          <w:spacing w:val="6"/>
        </w:rPr>
        <w:t>，分析事故进展</w:t>
      </w:r>
      <w:r>
        <w:rPr>
          <w:spacing w:val="-59"/>
        </w:rPr>
        <w:t xml:space="preserve"> </w:t>
      </w:r>
      <w:r>
        <w:rPr>
          <w:spacing w:val="6"/>
        </w:rPr>
        <w:t>，组</w:t>
      </w:r>
      <w:r>
        <w:rPr>
          <w:spacing w:val="7"/>
        </w:rPr>
        <w:t>织发布信息，并及时向市指挥部及其成员单位</w:t>
      </w:r>
      <w:r>
        <w:rPr>
          <w:spacing w:val="9"/>
        </w:rPr>
        <w:t>报告、通报事故应急处置工作情况；</w:t>
      </w:r>
    </w:p>
    <w:p>
      <w:pPr>
        <w:pStyle w:val="BodyText"/>
        <w:ind w:left="24" w:right="329" w:firstLine="413"/>
        <w:spacing w:before="134" w:line="310"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）建立和管理食品安全事故应急管理</w:t>
      </w:r>
      <w:r>
        <w:rPr>
          <w:spacing w:val="7"/>
        </w:rPr>
        <w:t>专家库，组织专家分析论证，提出组成事故调</w:t>
      </w:r>
      <w:r>
        <w:rPr>
          <w:spacing w:val="9"/>
        </w:rPr>
        <w:t>查组建议，并组织开展事故调查处理工作；</w:t>
      </w:r>
    </w:p>
    <w:p>
      <w:pPr>
        <w:pStyle w:val="BodyText"/>
        <w:ind w:left="29" w:right="248" w:firstLine="407"/>
        <w:spacing w:before="134" w:line="290" w:lineRule="auto"/>
        <w:rPr/>
      </w:pPr>
      <w:r>
        <w:rPr>
          <w:spacing w:val="4"/>
        </w:rPr>
        <w:t>（</w:t>
      </w:r>
      <w:r>
        <w:rPr>
          <w:rFonts w:ascii="Times New Roman" w:hAnsi="Times New Roman" w:eastAsia="Times New Roman" w:cs="Times New Roman"/>
          <w:spacing w:val="4"/>
        </w:rPr>
        <w:t>5</w:t>
      </w:r>
      <w:r>
        <w:rPr>
          <w:rFonts w:ascii="Times New Roman" w:hAnsi="Times New Roman" w:eastAsia="Times New Roman" w:cs="Times New Roman"/>
          <w:spacing w:val="-13"/>
        </w:rPr>
        <w:t xml:space="preserve"> </w:t>
      </w:r>
      <w:r>
        <w:rPr>
          <w:spacing w:val="4"/>
        </w:rPr>
        <w:t>）组织协调全市食品安全事故的预防、</w:t>
      </w:r>
      <w:r>
        <w:rPr>
          <w:spacing w:val="8"/>
        </w:rPr>
        <w:t>预警工作，组织应急相关宣传培训和演练；</w:t>
      </w:r>
    </w:p>
    <w:p>
      <w:pPr>
        <w:pStyle w:val="BodyText"/>
        <w:ind w:left="25" w:right="329" w:firstLine="412"/>
        <w:spacing w:before="135" w:line="320" w:lineRule="auto"/>
        <w:rPr/>
      </w:pPr>
      <w:r>
        <w:rPr>
          <w:spacing w:val="11"/>
        </w:rPr>
        <w:t>（</w:t>
      </w:r>
      <w:r>
        <w:rPr>
          <w:rFonts w:ascii="Times New Roman" w:hAnsi="Times New Roman" w:eastAsia="Times New Roman" w:cs="Times New Roman"/>
          <w:spacing w:val="11"/>
        </w:rPr>
        <w:t>6</w:t>
      </w:r>
      <w:r>
        <w:rPr>
          <w:rFonts w:ascii="Times New Roman" w:hAnsi="Times New Roman" w:eastAsia="Times New Roman" w:cs="Times New Roman"/>
          <w:spacing w:val="-18"/>
        </w:rPr>
        <w:t xml:space="preserve"> </w:t>
      </w:r>
      <w:r>
        <w:rPr>
          <w:spacing w:val="11"/>
        </w:rPr>
        <w:t>）配合上级做好食品安全事故调查工</w:t>
      </w:r>
      <w:r>
        <w:rPr>
          <w:spacing w:val="7"/>
        </w:rPr>
        <w:t>作，指导各成员单位开展应急处置工作；组织</w:t>
      </w:r>
      <w:r>
        <w:rPr>
          <w:spacing w:val="8"/>
        </w:rPr>
        <w:t>修订市食品安全事故应急预案；</w:t>
      </w:r>
    </w:p>
    <w:p>
      <w:pPr>
        <w:pStyle w:val="BodyText"/>
        <w:ind w:left="437"/>
        <w:spacing w:before="107" w:line="277" w:lineRule="exact"/>
        <w:rPr/>
      </w:pPr>
      <w:r>
        <w:rPr>
          <w:spacing w:val="5"/>
          <w:position w:val="1"/>
        </w:rPr>
        <w:t>（</w:t>
      </w:r>
      <w:r>
        <w:rPr>
          <w:rFonts w:ascii="Times New Roman" w:hAnsi="Times New Roman" w:eastAsia="Times New Roman" w:cs="Times New Roman"/>
          <w:spacing w:val="5"/>
          <w:position w:val="1"/>
        </w:rPr>
        <w:t>7</w:t>
      </w:r>
      <w:r>
        <w:rPr>
          <w:rFonts w:ascii="Times New Roman" w:hAnsi="Times New Roman" w:eastAsia="Times New Roman" w:cs="Times New Roman"/>
          <w:spacing w:val="-18"/>
          <w:position w:val="1"/>
        </w:rPr>
        <w:t xml:space="preserve"> </w:t>
      </w:r>
      <w:r>
        <w:rPr>
          <w:spacing w:val="5"/>
          <w:position w:val="1"/>
        </w:rPr>
        <w:t>）完成市应急指挥部交办的其他任务。</w:t>
      </w:r>
    </w:p>
    <w:p>
      <w:pPr>
        <w:pStyle w:val="BodyText"/>
        <w:ind w:left="25" w:right="329" w:firstLine="421"/>
        <w:spacing w:before="105" w:line="352" w:lineRule="auto"/>
        <w:jc w:val="both"/>
        <w:rPr/>
      </w:pPr>
      <w:r>
        <w:rPr>
          <w:rFonts w:ascii="Times New Roman" w:hAnsi="Times New Roman" w:eastAsia="Times New Roman" w:cs="Times New Roman"/>
          <w:spacing w:val="8"/>
        </w:rPr>
        <w:t>2.5  </w:t>
      </w:r>
      <w:r>
        <w:rPr>
          <w:rFonts w:ascii="KaiTi" w:hAnsi="KaiTi" w:eastAsia="KaiTi" w:cs="KaiTi"/>
          <w:spacing w:val="8"/>
        </w:rPr>
        <w:t>成员单位职责。</w:t>
      </w:r>
      <w:r>
        <w:rPr>
          <w:spacing w:val="8"/>
        </w:rPr>
        <w:t>各成员单位在指挥部</w:t>
      </w:r>
      <w:r>
        <w:rPr>
          <w:spacing w:val="7"/>
        </w:rPr>
        <w:t>统一领导下开展工作，加强对事故发生地政府</w:t>
      </w:r>
      <w:r>
        <w:rPr>
          <w:spacing w:val="7"/>
        </w:rPr>
        <w:t>有关部门工作的督促、指导，积极参与应急救</w:t>
      </w:r>
      <w:r>
        <w:rPr>
          <w:spacing w:val="8"/>
        </w:rPr>
        <w:t>援工作。各成员单位主要职责是：</w:t>
      </w:r>
    </w:p>
    <w:p>
      <w:pPr>
        <w:pStyle w:val="BodyText"/>
        <w:ind w:left="23" w:right="329" w:firstLine="441"/>
        <w:spacing w:before="1" w:line="340" w:lineRule="auto"/>
        <w:jc w:val="both"/>
        <w:rPr/>
      </w:pPr>
      <w:r>
        <w:rPr>
          <w:spacing w:val="3"/>
        </w:rPr>
        <w:t>民宗局：负责有关部门、县（</w:t>
      </w:r>
      <w:r>
        <w:rPr>
          <w:spacing w:val="-48"/>
        </w:rPr>
        <w:t xml:space="preserve"> </w:t>
      </w:r>
      <w:r>
        <w:rPr>
          <w:spacing w:val="3"/>
        </w:rPr>
        <w:t>区）对清真</w:t>
      </w:r>
      <w:r>
        <w:rPr>
          <w:spacing w:val="18"/>
        </w:rPr>
        <w:t>食品造成的食品安全事故原因调查和应对处</w:t>
      </w:r>
      <w:r>
        <w:rPr>
          <w:spacing w:val="6"/>
        </w:rPr>
        <w:t>置工作。</w:t>
      </w:r>
    </w:p>
    <w:p>
      <w:pPr>
        <w:pStyle w:val="BodyText"/>
        <w:ind w:left="24" w:right="322" w:firstLine="423"/>
        <w:spacing w:before="42" w:line="339" w:lineRule="auto"/>
        <w:jc w:val="both"/>
        <w:rPr/>
      </w:pPr>
      <w:r>
        <w:rPr>
          <w:spacing w:val="6"/>
        </w:rPr>
        <w:t>发展和改革委员会：负责协调相关部门做</w:t>
      </w:r>
      <w:r>
        <w:rPr>
          <w:spacing w:val="7"/>
        </w:rPr>
        <w:t>好食品安全事故应急处置所需物资调拨工作，</w:t>
      </w:r>
      <w:r>
        <w:rPr>
          <w:spacing w:val="8"/>
        </w:rPr>
        <w:t>保障应急救援所需物资。</w:t>
      </w:r>
    </w:p>
    <w:p>
      <w:pPr>
        <w:pStyle w:val="BodyText"/>
        <w:ind w:left="41" w:right="329" w:firstLine="405"/>
        <w:spacing w:before="43" w:line="353" w:lineRule="auto"/>
        <w:rPr/>
      </w:pPr>
      <w:r>
        <w:rPr>
          <w:spacing w:val="6"/>
        </w:rPr>
        <w:t>教育体育局：负责协助有关部门对学校食</w:t>
      </w:r>
      <w:r>
        <w:rPr>
          <w:spacing w:val="8"/>
        </w:rPr>
        <w:t>品安全事故原因调查及应急处置工作。</w:t>
      </w:r>
    </w:p>
    <w:p>
      <w:pPr>
        <w:pStyle w:val="BodyText"/>
        <w:ind w:left="24" w:right="329" w:firstLine="420"/>
        <w:spacing w:line="339" w:lineRule="auto"/>
        <w:jc w:val="both"/>
        <w:rPr/>
      </w:pPr>
      <w:r>
        <w:rPr>
          <w:spacing w:val="7"/>
        </w:rPr>
        <w:t>科学技术局：负责开展食品安全事故应急</w:t>
      </w:r>
      <w:r>
        <w:rPr>
          <w:spacing w:val="7"/>
        </w:rPr>
        <w:t>科学研究和技术开发，积极推进食品安全科技</w:t>
      </w:r>
      <w:r>
        <w:rPr>
          <w:spacing w:val="8"/>
        </w:rPr>
        <w:t>成果的集成转化与应用示范。</w:t>
      </w:r>
    </w:p>
    <w:p>
      <w:pPr>
        <w:pStyle w:val="BodyText"/>
        <w:ind w:left="25" w:right="329" w:firstLine="420"/>
        <w:spacing w:before="45" w:line="309" w:lineRule="auto"/>
        <w:jc w:val="both"/>
        <w:rPr/>
      </w:pPr>
      <w:r>
        <w:rPr>
          <w:spacing w:val="6"/>
        </w:rPr>
        <w:t>工业和信息化局：负责推进食品企业信息</w:t>
      </w:r>
      <w:r>
        <w:rPr>
          <w:spacing w:val="7"/>
        </w:rPr>
        <w:t>化建设和诚信体系建设，推进放心食品产业化</w:t>
      </w:r>
      <w:r>
        <w:rPr>
          <w:spacing w:val="7"/>
        </w:rPr>
        <w:t>进程。负责配合食品安全监管部门做好所属企</w:t>
      </w:r>
    </w:p>
    <w:p>
      <w:pPr>
        <w:spacing w:line="14" w:lineRule="auto"/>
        <w:rPr>
          <w:rFonts w:ascii="Arial"/>
          <w:sz w:val="2"/>
        </w:rPr>
      </w:pPr>
      <w:r>
        <w:rPr>
          <w:rFonts w:ascii="Arial" w:hAnsi="Arial" w:eastAsia="Arial" w:cs="Arial"/>
          <w:sz w:val="2"/>
          <w:szCs w:val="2"/>
        </w:rPr>
        <w:br w:type="column"/>
      </w:r>
    </w:p>
    <w:p>
      <w:pPr>
        <w:pStyle w:val="BodyText"/>
        <w:spacing w:before="46" w:line="279" w:lineRule="exact"/>
        <w:rPr/>
      </w:pPr>
      <w:r>
        <w:rPr>
          <w:spacing w:val="8"/>
          <w:position w:val="1"/>
        </w:rPr>
        <w:t>业食品安全事故处理工作。</w:t>
      </w:r>
    </w:p>
    <w:p>
      <w:pPr>
        <w:pStyle w:val="BodyText"/>
        <w:ind w:left="3" w:right="101" w:firstLine="416"/>
        <w:spacing w:before="103" w:line="346" w:lineRule="auto"/>
        <w:jc w:val="both"/>
        <w:rPr/>
      </w:pPr>
      <w:r>
        <w:rPr>
          <w:spacing w:val="7"/>
        </w:rPr>
        <w:t>公安局：负责食品安全事故发生地事故现</w:t>
      </w:r>
      <w:r>
        <w:rPr>
          <w:spacing w:val="7"/>
        </w:rPr>
        <w:t>场的秩序维护及涉嫌犯罪案件的侦查工作；负</w:t>
      </w:r>
      <w:r>
        <w:rPr>
          <w:spacing w:val="7"/>
        </w:rPr>
        <w:t>责保障参与食品安全事故应急处置人员、物资</w:t>
      </w:r>
      <w:r>
        <w:rPr>
          <w:spacing w:val="8"/>
        </w:rPr>
        <w:t>等车辆的优先通过和安全畅通。</w:t>
      </w:r>
    </w:p>
    <w:p>
      <w:pPr>
        <w:pStyle w:val="BodyText"/>
        <w:ind w:left="1" w:right="101" w:firstLine="438"/>
        <w:spacing w:before="28" w:line="339" w:lineRule="auto"/>
        <w:jc w:val="both"/>
        <w:rPr/>
      </w:pPr>
      <w:r>
        <w:rPr>
          <w:spacing w:val="5"/>
        </w:rPr>
        <w:t>民政局：配合食品监督管理部门做好养老</w:t>
      </w:r>
      <w:r>
        <w:rPr>
          <w:spacing w:val="7"/>
        </w:rPr>
        <w:t>院、福利院食堂等的食品安全事故处置的有关</w:t>
      </w:r>
      <w:r>
        <w:rPr>
          <w:spacing w:val="8"/>
        </w:rPr>
        <w:t>协调和应急救援工作。</w:t>
      </w:r>
    </w:p>
    <w:p>
      <w:pPr>
        <w:pStyle w:val="BodyText"/>
        <w:ind w:left="7" w:right="101" w:firstLine="425"/>
        <w:spacing w:before="43" w:line="334" w:lineRule="auto"/>
        <w:rPr/>
      </w:pPr>
      <w:r>
        <w:rPr>
          <w:spacing w:val="6"/>
        </w:rPr>
        <w:t>司法局：组织引导律师等为重大食品安全</w:t>
      </w:r>
      <w:r>
        <w:rPr>
          <w:spacing w:val="8"/>
        </w:rPr>
        <w:t>突发事件依法处理工作提供法律服务。</w:t>
      </w:r>
    </w:p>
    <w:p>
      <w:pPr>
        <w:pStyle w:val="BodyText"/>
        <w:ind w:right="101" w:firstLine="423"/>
        <w:spacing w:before="40" w:line="336" w:lineRule="auto"/>
        <w:rPr/>
      </w:pPr>
      <w:r>
        <w:rPr>
          <w:spacing w:val="6"/>
        </w:rPr>
        <w:t>财政局：负责食品安全事故应急救援资金</w:t>
      </w:r>
      <w:r>
        <w:rPr>
          <w:spacing w:val="7"/>
        </w:rPr>
        <w:t>保障及管理。</w:t>
      </w:r>
    </w:p>
    <w:p>
      <w:pPr>
        <w:pStyle w:val="BodyText"/>
        <w:ind w:left="2" w:right="101" w:firstLine="421"/>
        <w:spacing w:before="37" w:line="335" w:lineRule="auto"/>
        <w:rPr/>
      </w:pPr>
      <w:r>
        <w:rPr>
          <w:spacing w:val="6"/>
        </w:rPr>
        <w:t>生态环境局：负责环境污染造成食品安全</w:t>
      </w:r>
      <w:r>
        <w:rPr>
          <w:spacing w:val="8"/>
        </w:rPr>
        <w:t>事故的调查及污染处置工作。</w:t>
      </w:r>
    </w:p>
    <w:p>
      <w:pPr>
        <w:pStyle w:val="BodyText"/>
        <w:ind w:left="1" w:right="101" w:firstLine="419"/>
        <w:spacing w:before="38" w:line="334" w:lineRule="auto"/>
        <w:rPr/>
      </w:pPr>
      <w:r>
        <w:rPr>
          <w:spacing w:val="7"/>
        </w:rPr>
        <w:t>住房和城乡建设局：负责协助有关部门开</w:t>
      </w:r>
      <w:r>
        <w:rPr>
          <w:spacing w:val="9"/>
        </w:rPr>
        <w:t>展建筑工地食堂食物中毒事故的应对处置。</w:t>
      </w:r>
    </w:p>
    <w:p>
      <w:pPr>
        <w:pStyle w:val="BodyText"/>
        <w:ind w:left="2" w:right="101" w:firstLine="419"/>
        <w:spacing w:before="39" w:line="349" w:lineRule="auto"/>
        <w:rPr/>
      </w:pPr>
      <w:r>
        <w:rPr>
          <w:spacing w:val="6"/>
        </w:rPr>
        <w:t>交通运输局：负责配合有关部门做好食品</w:t>
      </w:r>
      <w:r>
        <w:rPr>
          <w:spacing w:val="7"/>
        </w:rPr>
        <w:t>安全事故应急救援的人员、物资运输工作，保</w:t>
      </w:r>
      <w:r>
        <w:rPr>
          <w:spacing w:val="7"/>
        </w:rPr>
        <w:t>障道路畅通。</w:t>
      </w:r>
    </w:p>
    <w:p>
      <w:pPr>
        <w:pStyle w:val="BodyText"/>
        <w:ind w:left="1" w:right="101" w:firstLine="416"/>
        <w:spacing w:before="13" w:line="347" w:lineRule="auto"/>
        <w:jc w:val="both"/>
        <w:rPr/>
      </w:pPr>
      <w:r>
        <w:rPr>
          <w:spacing w:val="7"/>
        </w:rPr>
        <w:t>农业农村局：负责初级农产品质量安全事</w:t>
      </w:r>
      <w:r>
        <w:rPr>
          <w:spacing w:val="7"/>
        </w:rPr>
        <w:t>故的应对处置；参与畜禽屠宰加工环节及流通</w:t>
      </w:r>
      <w:r>
        <w:rPr>
          <w:spacing w:val="8"/>
        </w:rPr>
        <w:t>领域中安全事故的应对处置。</w:t>
      </w:r>
    </w:p>
    <w:p>
      <w:pPr>
        <w:pStyle w:val="BodyText"/>
        <w:ind w:left="2" w:right="101" w:firstLine="420"/>
        <w:spacing w:before="17" w:line="353" w:lineRule="auto"/>
        <w:rPr/>
      </w:pPr>
      <w:r>
        <w:rPr>
          <w:spacing w:val="6"/>
        </w:rPr>
        <w:t>商务投资局：负责协调相关部门组织好部</w:t>
      </w:r>
      <w:r>
        <w:rPr>
          <w:spacing w:val="8"/>
        </w:rPr>
        <w:t>分生活必需品的应急供应。</w:t>
      </w:r>
    </w:p>
    <w:p>
      <w:pPr>
        <w:pStyle w:val="BodyText"/>
        <w:ind w:left="1" w:right="101" w:firstLine="422"/>
        <w:spacing w:before="4" w:line="346" w:lineRule="auto"/>
        <w:jc w:val="both"/>
        <w:rPr/>
      </w:pPr>
      <w:r>
        <w:rPr>
          <w:spacing w:val="6"/>
        </w:rPr>
        <w:t>文化旅游广电局：负责食品安全事故应急</w:t>
      </w:r>
      <w:r>
        <w:rPr>
          <w:spacing w:val="18"/>
        </w:rPr>
        <w:t>处置新闻报道工作中广播电视机构的管理协</w:t>
      </w:r>
      <w:r>
        <w:rPr>
          <w:spacing w:val="7"/>
        </w:rPr>
        <w:t>调工作。配合有关部门做好旅游景点食品安全</w:t>
      </w:r>
      <w:r>
        <w:rPr>
          <w:spacing w:val="8"/>
        </w:rPr>
        <w:t>事故应急处置工作。</w:t>
      </w:r>
    </w:p>
    <w:p>
      <w:pPr>
        <w:pStyle w:val="BodyText"/>
        <w:ind w:right="101" w:firstLine="420"/>
        <w:spacing w:before="22" w:line="350" w:lineRule="auto"/>
        <w:jc w:val="both"/>
        <w:rPr/>
      </w:pPr>
      <w:r>
        <w:rPr>
          <w:spacing w:val="6"/>
        </w:rPr>
        <w:t>卫生健康委员会：组织开展食品安全事故</w:t>
      </w:r>
      <w:r>
        <w:rPr>
          <w:spacing w:val="7"/>
        </w:rPr>
        <w:t>应急救援、医学救援、流行病学调查和防疫等</w:t>
      </w:r>
      <w:r>
        <w:rPr>
          <w:spacing w:val="4"/>
        </w:rPr>
        <w:t>工作。</w:t>
      </w:r>
    </w:p>
    <w:p>
      <w:pPr>
        <w:pStyle w:val="BodyText"/>
        <w:ind w:left="5" w:right="101" w:firstLine="417"/>
        <w:spacing w:before="11" w:line="308" w:lineRule="auto"/>
        <w:jc w:val="both"/>
        <w:rPr/>
      </w:pPr>
      <w:r>
        <w:rPr>
          <w:spacing w:val="6"/>
        </w:rPr>
        <w:t>市场监管局：履行市食品安全委员会办公</w:t>
      </w:r>
      <w:r>
        <w:rPr>
          <w:spacing w:val="7"/>
        </w:rPr>
        <w:t>室职责，负责组织协调各类食品安全事故的应</w:t>
      </w:r>
      <w:r>
        <w:rPr>
          <w:spacing w:val="7"/>
        </w:rPr>
        <w:t>急处置和救援工作。</w:t>
      </w:r>
    </w:p>
    <w:p>
      <w:pPr>
        <w:spacing w:line="308" w:lineRule="auto"/>
        <w:sectPr>
          <w:type w:val="continuous"/>
          <w:pgSz w:w="11906" w:h="16839"/>
          <w:pgMar w:top="1772" w:right="1489" w:bottom="1584" w:left="1567" w:header="1428" w:footer="1172" w:gutter="0"/>
          <w:cols w:equalWidth="0" w:num="2">
            <w:col w:w="4502" w:space="100"/>
            <w:col w:w="4249" w:space="0"/>
          </w:cols>
        </w:sectPr>
        <w:rPr/>
      </w:pPr>
    </w:p>
    <w:p>
      <w:pPr>
        <w:spacing w:before="51"/>
        <w:rPr/>
      </w:pPr>
      <w:r>
        <w:drawing>
          <wp:anchor distT="0" distB="0" distL="0" distR="0" simplePos="0" relativeHeight="253574144"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986" name="IM 1986"/>
            <wp:cNvGraphicFramePr/>
            <a:graphic>
              <a:graphicData uri="http://schemas.openxmlformats.org/drawingml/2006/picture">
                <pic:pic>
                  <pic:nvPicPr>
                    <pic:cNvPr id="1986" name="IM 1986"/>
                    <pic:cNvPicPr/>
                  </pic:nvPicPr>
                  <pic:blipFill>
                    <a:blip r:embed="rId995"/>
                    <a:stretch>
                      <a:fillRect/>
                    </a:stretch>
                  </pic:blipFill>
                  <pic:spPr>
                    <a:xfrm rot="0">
                      <a:off x="0" y="0"/>
                      <a:ext cx="5579745" cy="7620"/>
                    </a:xfrm>
                    <a:prstGeom prst="rect">
                      <a:avLst/>
                    </a:prstGeom>
                  </pic:spPr>
                </pic:pic>
              </a:graphicData>
            </a:graphic>
          </wp:anchor>
        </w:drawing>
      </w:r>
      <w:r/>
    </w:p>
    <w:p>
      <w:pPr>
        <w:sectPr>
          <w:headerReference w:type="default" r:id="rId597"/>
          <w:footerReference w:type="default" r:id="rId994"/>
          <w:pgSz w:w="11906" w:h="16839"/>
          <w:pgMar w:top="1766" w:right="1509" w:bottom="1575" w:left="1579" w:header="1428" w:footer="1172" w:gutter="0"/>
          <w:cols w:equalWidth="0" w:num="1">
            <w:col w:w="8817" w:space="0"/>
          </w:cols>
        </w:sectPr>
        <w:rPr/>
      </w:pPr>
    </w:p>
    <w:p>
      <w:pPr>
        <w:pStyle w:val="BodyText"/>
        <w:ind w:left="12" w:right="247" w:firstLine="420"/>
        <w:spacing w:before="49" w:line="340" w:lineRule="auto"/>
        <w:jc w:val="both"/>
        <w:rPr/>
      </w:pPr>
      <w:r>
        <w:rPr/>
        <w:t>粮食储备局：负责粮油收购、储备和原粮、</w:t>
      </w:r>
      <w:r>
        <w:rPr>
          <w:spacing w:val="18"/>
        </w:rPr>
        <w:t>政府性用粮的购销环节中造成食品安全事故</w:t>
      </w:r>
      <w:r>
        <w:rPr>
          <w:spacing w:val="7"/>
        </w:rPr>
        <w:t>的应对处置；负责食品安全事故应急处置中政</w:t>
      </w:r>
      <w:r>
        <w:rPr>
          <w:spacing w:val="9"/>
        </w:rPr>
        <w:t>府救助对象的生活类物资救助工作。</w:t>
      </w:r>
    </w:p>
    <w:p>
      <w:pPr>
        <w:pStyle w:val="BodyText"/>
        <w:ind w:left="14" w:right="298" w:firstLine="418"/>
        <w:spacing w:before="45" w:line="334" w:lineRule="auto"/>
        <w:rPr/>
      </w:pPr>
      <w:r>
        <w:rPr>
          <w:spacing w:val="7"/>
        </w:rPr>
        <w:t>其他非政府职能部门（单位）按照职责分</w:t>
      </w:r>
      <w:r>
        <w:rPr>
          <w:spacing w:val="-2"/>
        </w:rPr>
        <w:t>工和指挥部的部署，承担相应的应急救援任务。</w:t>
      </w:r>
    </w:p>
    <w:p>
      <w:pPr>
        <w:pStyle w:val="BodyText"/>
        <w:ind w:left="10" w:right="321" w:firstLine="423"/>
        <w:spacing w:before="42" w:line="354" w:lineRule="auto"/>
        <w:jc w:val="both"/>
        <w:rPr/>
      </w:pPr>
      <w:r>
        <w:rPr>
          <w:rFonts w:ascii="Times New Roman" w:hAnsi="Times New Roman" w:eastAsia="Times New Roman" w:cs="Times New Roman"/>
          <w:spacing w:val="8"/>
        </w:rPr>
        <w:t>2.6  </w:t>
      </w:r>
      <w:r>
        <w:rPr>
          <w:rFonts w:ascii="KaiTi" w:hAnsi="KaiTi" w:eastAsia="KaiTi" w:cs="KaiTi"/>
          <w:spacing w:val="8"/>
        </w:rPr>
        <w:t>工作组设置及职责。</w:t>
      </w:r>
      <w:r>
        <w:rPr>
          <w:spacing w:val="8"/>
        </w:rPr>
        <w:t>根据事故处置需</w:t>
      </w:r>
      <w:r>
        <w:rPr>
          <w:spacing w:val="7"/>
        </w:rPr>
        <w:t>要指挥部可下设若干工作组，分别开展相关工</w:t>
      </w:r>
      <w:r>
        <w:rPr>
          <w:spacing w:val="7"/>
        </w:rPr>
        <w:t>作。各工作组在指挥部统一领导下开展工作，</w:t>
      </w:r>
      <w:r>
        <w:rPr>
          <w:spacing w:val="7"/>
        </w:rPr>
        <w:t>并随时向指挥部办公室报告工作情况。工作组</w:t>
      </w:r>
      <w:r>
        <w:rPr>
          <w:spacing w:val="8"/>
        </w:rPr>
        <w:t>设置及其主要职责：</w:t>
      </w:r>
    </w:p>
    <w:p>
      <w:pPr>
        <w:pStyle w:val="BodyText"/>
        <w:ind w:left="424"/>
        <w:spacing w:line="279" w:lineRule="exact"/>
        <w:rPr/>
      </w:pPr>
      <w:r>
        <w:rPr>
          <w:spacing w:val="-1"/>
          <w:position w:val="1"/>
        </w:rPr>
        <w:t>（</w:t>
      </w:r>
      <w:r>
        <w:rPr>
          <w:spacing w:val="-45"/>
          <w:position w:val="1"/>
        </w:rPr>
        <w:t xml:space="preserve"> </w:t>
      </w:r>
      <w:r>
        <w:rPr>
          <w:rFonts w:ascii="Times New Roman" w:hAnsi="Times New Roman" w:eastAsia="Times New Roman" w:cs="Times New Roman"/>
          <w:spacing w:val="-1"/>
          <w:position w:val="1"/>
        </w:rPr>
        <w:t>1</w:t>
      </w:r>
      <w:r>
        <w:rPr>
          <w:rFonts w:ascii="Times New Roman" w:hAnsi="Times New Roman" w:eastAsia="Times New Roman" w:cs="Times New Roman"/>
          <w:spacing w:val="-21"/>
          <w:position w:val="1"/>
        </w:rPr>
        <w:t xml:space="preserve"> </w:t>
      </w:r>
      <w:r>
        <w:rPr>
          <w:spacing w:val="-1"/>
          <w:position w:val="1"/>
        </w:rPr>
        <w:t>）事故调查组。</w:t>
      </w:r>
    </w:p>
    <w:p>
      <w:pPr>
        <w:pStyle w:val="BodyText"/>
        <w:ind w:left="433"/>
        <w:spacing w:before="105" w:line="278" w:lineRule="exact"/>
        <w:rPr/>
      </w:pPr>
      <w:r>
        <w:rPr>
          <w:spacing w:val="8"/>
          <w:position w:val="1"/>
        </w:rPr>
        <w:t>组  长：市场监管局分管副局长</w:t>
      </w:r>
    </w:p>
    <w:p>
      <w:pPr>
        <w:pStyle w:val="BodyText"/>
        <w:ind w:left="14" w:right="327" w:firstLine="418"/>
        <w:spacing w:before="106" w:line="353" w:lineRule="auto"/>
        <w:rPr/>
      </w:pPr>
      <w:r>
        <w:rPr>
          <w:spacing w:val="7"/>
        </w:rPr>
        <w:t>单位成员：市卫生健康委员会、市场监管</w:t>
      </w:r>
      <w:r>
        <w:rPr>
          <w:spacing w:val="6"/>
        </w:rPr>
        <w:t>局、公安局、监委、事发地县（</w:t>
      </w:r>
      <w:r>
        <w:rPr>
          <w:spacing w:val="-43"/>
        </w:rPr>
        <w:t xml:space="preserve"> </w:t>
      </w:r>
      <w:r>
        <w:rPr>
          <w:spacing w:val="6"/>
        </w:rPr>
        <w:t>区）政府。</w:t>
      </w:r>
    </w:p>
    <w:p>
      <w:pPr>
        <w:pStyle w:val="BodyText"/>
        <w:ind w:left="11" w:right="263" w:firstLine="429"/>
        <w:spacing w:before="7" w:line="354" w:lineRule="auto"/>
        <w:rPr/>
      </w:pPr>
      <w:r>
        <w:rPr>
          <w:spacing w:val="6"/>
        </w:rPr>
        <w:t>主要职责：负责调查事故发生原因，评估</w:t>
      </w:r>
      <w:r>
        <w:rPr/>
        <w:t>事故影响，尽快查明致病原因，做出调查结论，</w:t>
      </w:r>
      <w:r>
        <w:rPr>
          <w:spacing w:val="7"/>
        </w:rPr>
        <w:t>提出事故防范意见；对涉嫌犯罪的，由公安局</w:t>
      </w:r>
      <w:r>
        <w:rPr>
          <w:spacing w:val="7"/>
        </w:rPr>
        <w:t>负责侦办或指导涉案地公安机关立案侦查。市</w:t>
      </w:r>
      <w:r>
        <w:rPr>
          <w:spacing w:val="10"/>
        </w:rPr>
        <w:t>监委对监管部门及其他机关工作人员的失职、</w:t>
      </w:r>
      <w:r>
        <w:rPr>
          <w:spacing w:val="7"/>
        </w:rPr>
        <w:t>渎职等行为进行调查。根据实际需要，事故调</w:t>
      </w:r>
      <w:r>
        <w:rPr>
          <w:spacing w:val="18"/>
        </w:rPr>
        <w:t>查组可以设置在事故发生地或派出部分人员</w:t>
      </w:r>
      <w:r>
        <w:rPr>
          <w:spacing w:val="8"/>
        </w:rPr>
        <w:t>赴现场开展事故调查（简称前方工作组）。</w:t>
      </w:r>
    </w:p>
    <w:p>
      <w:pPr>
        <w:pStyle w:val="BodyText"/>
        <w:ind w:left="424"/>
        <w:spacing w:line="279" w:lineRule="exact"/>
        <w:rPr/>
      </w:pPr>
      <w:r>
        <w:rPr>
          <w:spacing w:val="5"/>
          <w:position w:val="1"/>
        </w:rPr>
        <w:t>（</w:t>
      </w:r>
      <w:r>
        <w:rPr>
          <w:rFonts w:ascii="Times New Roman" w:hAnsi="Times New Roman" w:eastAsia="Times New Roman" w:cs="Times New Roman"/>
          <w:spacing w:val="5"/>
          <w:position w:val="1"/>
        </w:rPr>
        <w:t>2</w:t>
      </w:r>
      <w:r>
        <w:rPr>
          <w:rFonts w:ascii="Times New Roman" w:hAnsi="Times New Roman" w:eastAsia="Times New Roman" w:cs="Times New Roman"/>
          <w:spacing w:val="-20"/>
          <w:position w:val="1"/>
        </w:rPr>
        <w:t xml:space="preserve"> </w:t>
      </w:r>
      <w:r>
        <w:rPr>
          <w:spacing w:val="5"/>
          <w:position w:val="1"/>
        </w:rPr>
        <w:t>）危害控制组。</w:t>
      </w:r>
    </w:p>
    <w:p>
      <w:pPr>
        <w:pStyle w:val="BodyText"/>
        <w:ind w:left="433"/>
        <w:spacing w:before="105" w:line="278" w:lineRule="exact"/>
        <w:rPr/>
      </w:pPr>
      <w:r>
        <w:rPr>
          <w:spacing w:val="8"/>
          <w:position w:val="1"/>
        </w:rPr>
        <w:t>组  长：市场监管局分管副局长</w:t>
      </w:r>
    </w:p>
    <w:p>
      <w:pPr>
        <w:pStyle w:val="BodyText"/>
        <w:ind w:left="13" w:right="275" w:firstLine="419"/>
        <w:spacing w:before="108" w:line="351" w:lineRule="auto"/>
        <w:jc w:val="both"/>
        <w:rPr/>
      </w:pPr>
      <w:r>
        <w:rPr>
          <w:spacing w:val="7"/>
        </w:rPr>
        <w:t>单位成员：市卫健委、市农业农村局、市</w:t>
      </w:r>
      <w:r>
        <w:rPr>
          <w:spacing w:val="7"/>
        </w:rPr>
        <w:t>教育体育局、统战部、住房和城乡建设局、民</w:t>
      </w:r>
      <w:r>
        <w:rPr>
          <w:spacing w:val="7"/>
        </w:rPr>
        <w:t>政局、生态环境局、文化旅游广电局、粮食储</w:t>
      </w:r>
      <w:r>
        <w:rPr>
          <w:spacing w:val="4"/>
        </w:rPr>
        <w:t>备局、事发地县（</w:t>
      </w:r>
      <w:r>
        <w:rPr>
          <w:spacing w:val="-33"/>
        </w:rPr>
        <w:t xml:space="preserve"> </w:t>
      </w:r>
      <w:r>
        <w:rPr>
          <w:spacing w:val="4"/>
        </w:rPr>
        <w:t>区）政府，事发地县（</w:t>
      </w:r>
      <w:r>
        <w:rPr>
          <w:spacing w:val="-50"/>
        </w:rPr>
        <w:t xml:space="preserve"> </w:t>
      </w:r>
      <w:r>
        <w:rPr>
          <w:spacing w:val="4"/>
        </w:rPr>
        <w:t>区）</w:t>
      </w:r>
      <w:r>
        <w:rPr>
          <w:spacing w:val="6"/>
        </w:rPr>
        <w:t>相关部门。</w:t>
      </w:r>
    </w:p>
    <w:p>
      <w:pPr>
        <w:pStyle w:val="BodyText"/>
        <w:ind w:left="10" w:right="247" w:firstLine="426"/>
        <w:spacing w:before="16" w:line="327" w:lineRule="auto"/>
        <w:jc w:val="both"/>
        <w:rPr/>
      </w:pPr>
      <w:r>
        <w:rPr>
          <w:spacing w:val="3"/>
        </w:rPr>
        <w:t>职  责：监督、指导事发地县（</w:t>
      </w:r>
      <w:r>
        <w:rPr>
          <w:spacing w:val="-37"/>
        </w:rPr>
        <w:t xml:space="preserve"> </w:t>
      </w:r>
      <w:r>
        <w:rPr>
          <w:spacing w:val="3"/>
        </w:rPr>
        <w:t>区）政府</w:t>
      </w:r>
      <w:r>
        <w:rPr>
          <w:spacing w:val="1"/>
        </w:rPr>
        <w:t>职能部门召回、下架、封存有关问题食品原料、</w:t>
      </w:r>
      <w:r>
        <w:rPr>
          <w:spacing w:val="7"/>
        </w:rPr>
        <w:t>食品添加剂及食品相关产品，严格控制流通渠</w:t>
      </w:r>
      <w:r>
        <w:rPr>
          <w:spacing w:val="8"/>
        </w:rPr>
        <w:t>道，防止危害蔓延扩大。</w:t>
      </w:r>
    </w:p>
    <w:p>
      <w:pPr>
        <w:spacing w:line="14" w:lineRule="auto"/>
        <w:rPr>
          <w:rFonts w:ascii="Arial"/>
          <w:sz w:val="2"/>
        </w:rPr>
      </w:pPr>
      <w:r>
        <w:rPr>
          <w:rFonts w:ascii="Arial" w:hAnsi="Arial" w:eastAsia="Arial" w:cs="Arial"/>
          <w:sz w:val="2"/>
          <w:szCs w:val="2"/>
        </w:rPr>
        <w:br w:type="column"/>
      </w:r>
    </w:p>
    <w:p>
      <w:pPr>
        <w:pStyle w:val="BodyText"/>
        <w:ind w:left="414"/>
        <w:spacing w:before="51" w:line="278" w:lineRule="exact"/>
        <w:rPr/>
      </w:pPr>
      <w:r>
        <w:rPr>
          <w:spacing w:val="5"/>
          <w:position w:val="1"/>
        </w:rPr>
        <w:t>（</w:t>
      </w:r>
      <w:r>
        <w:rPr>
          <w:rFonts w:ascii="Times New Roman" w:hAnsi="Times New Roman" w:eastAsia="Times New Roman" w:cs="Times New Roman"/>
          <w:spacing w:val="5"/>
          <w:position w:val="1"/>
        </w:rPr>
        <w:t>3</w:t>
      </w:r>
      <w:r>
        <w:rPr>
          <w:rFonts w:ascii="Times New Roman" w:hAnsi="Times New Roman" w:eastAsia="Times New Roman" w:cs="Times New Roman"/>
          <w:spacing w:val="-20"/>
          <w:position w:val="1"/>
        </w:rPr>
        <w:t xml:space="preserve"> </w:t>
      </w:r>
      <w:r>
        <w:rPr>
          <w:spacing w:val="5"/>
          <w:position w:val="1"/>
        </w:rPr>
        <w:t>）医疗救治组。</w:t>
      </w:r>
    </w:p>
    <w:p>
      <w:pPr>
        <w:pStyle w:val="BodyText"/>
        <w:ind w:left="423"/>
        <w:spacing w:before="106" w:line="277" w:lineRule="exact"/>
        <w:rPr/>
      </w:pPr>
      <w:r>
        <w:rPr>
          <w:spacing w:val="9"/>
          <w:position w:val="1"/>
        </w:rPr>
        <w:t>组  长：卫生健康委员会分管副主任</w:t>
      </w:r>
    </w:p>
    <w:p>
      <w:pPr>
        <w:pStyle w:val="BodyText"/>
        <w:ind w:right="80" w:firstLine="421"/>
        <w:spacing w:before="105" w:line="354" w:lineRule="auto"/>
        <w:jc w:val="both"/>
        <w:rPr/>
      </w:pPr>
      <w:r>
        <w:rPr>
          <w:spacing w:val="7"/>
        </w:rPr>
        <w:t>单位成员：市人民医院、中医医院、市疾</w:t>
      </w:r>
      <w:r>
        <w:rPr>
          <w:spacing w:val="7"/>
        </w:rPr>
        <w:t>控中心、发展和改革委员会、交通运输局、粮</w:t>
      </w:r>
      <w:r>
        <w:rPr>
          <w:spacing w:val="7"/>
        </w:rPr>
        <w:t>食储备局、事发地县政府及事发地政府相关职</w:t>
      </w:r>
      <w:r>
        <w:rPr>
          <w:spacing w:val="6"/>
        </w:rPr>
        <w:t>能部门。</w:t>
      </w:r>
    </w:p>
    <w:p>
      <w:pPr>
        <w:pStyle w:val="BodyText"/>
        <w:ind w:left="2" w:right="71" w:firstLine="428"/>
        <w:spacing w:before="3" w:line="352" w:lineRule="auto"/>
        <w:jc w:val="both"/>
        <w:rPr/>
      </w:pPr>
      <w:r>
        <w:rPr>
          <w:spacing w:val="6"/>
        </w:rPr>
        <w:t>主要职责：负责指派医疗卫生救援专家与</w:t>
      </w:r>
      <w:r>
        <w:rPr>
          <w:spacing w:val="15"/>
        </w:rPr>
        <w:t>应急队伍</w:t>
      </w:r>
      <w:r>
        <w:rPr>
          <w:spacing w:val="-40"/>
        </w:rPr>
        <w:t xml:space="preserve"> </w:t>
      </w:r>
      <w:r>
        <w:rPr>
          <w:spacing w:val="15"/>
        </w:rPr>
        <w:t>，开展医疗救治和流行病学调查工</w:t>
      </w:r>
      <w:r>
        <w:rPr>
          <w:spacing w:val="7"/>
        </w:rPr>
        <w:t>作，协助有关部门对事故现场进行卫生处理；</w:t>
      </w:r>
    </w:p>
    <w:p>
      <w:pPr>
        <w:pStyle w:val="BodyText"/>
        <w:ind w:left="4"/>
        <w:spacing w:before="7" w:line="278" w:lineRule="exact"/>
        <w:rPr/>
      </w:pPr>
      <w:r>
        <w:rPr>
          <w:spacing w:val="9"/>
          <w:position w:val="1"/>
        </w:rPr>
        <w:t>根据救治工作需要调集救治药品和医疗器械。</w:t>
      </w:r>
    </w:p>
    <w:p>
      <w:pPr>
        <w:pStyle w:val="BodyText"/>
        <w:ind w:left="414"/>
        <w:spacing w:before="106" w:line="276" w:lineRule="exact"/>
        <w:rPr/>
      </w:pPr>
      <w:r>
        <w:rPr>
          <w:spacing w:val="5"/>
          <w:position w:val="1"/>
        </w:rPr>
        <w:t>（</w:t>
      </w:r>
      <w:r>
        <w:rPr>
          <w:rFonts w:ascii="Times New Roman" w:hAnsi="Times New Roman" w:eastAsia="Times New Roman" w:cs="Times New Roman"/>
          <w:spacing w:val="5"/>
          <w:position w:val="1"/>
        </w:rPr>
        <w:t>4</w:t>
      </w:r>
      <w:r>
        <w:rPr>
          <w:rFonts w:ascii="Times New Roman" w:hAnsi="Times New Roman" w:eastAsia="Times New Roman" w:cs="Times New Roman"/>
          <w:spacing w:val="-20"/>
          <w:position w:val="1"/>
        </w:rPr>
        <w:t xml:space="preserve"> </w:t>
      </w:r>
      <w:r>
        <w:rPr>
          <w:spacing w:val="5"/>
          <w:position w:val="1"/>
        </w:rPr>
        <w:t>）检测评估组。</w:t>
      </w:r>
    </w:p>
    <w:p>
      <w:pPr>
        <w:pStyle w:val="BodyText"/>
        <w:ind w:left="423"/>
        <w:spacing w:before="108" w:line="278" w:lineRule="exact"/>
        <w:rPr/>
      </w:pPr>
      <w:r>
        <w:rPr>
          <w:spacing w:val="8"/>
          <w:position w:val="1"/>
        </w:rPr>
        <w:t>组  长：市场监管局副局长</w:t>
      </w:r>
    </w:p>
    <w:p>
      <w:pPr>
        <w:pStyle w:val="BodyText"/>
        <w:ind w:left="5" w:right="80" w:firstLine="416"/>
        <w:spacing w:before="106" w:line="353" w:lineRule="auto"/>
        <w:rPr/>
      </w:pPr>
      <w:r>
        <w:rPr>
          <w:spacing w:val="7"/>
        </w:rPr>
        <w:t>单位成员：市卫生健康委员会、市疾控中</w:t>
      </w:r>
      <w:r>
        <w:rPr>
          <w:spacing w:val="6"/>
        </w:rPr>
        <w:t>心、事发地县（</w:t>
      </w:r>
      <w:r>
        <w:rPr>
          <w:spacing w:val="-47"/>
        </w:rPr>
        <w:t xml:space="preserve"> </w:t>
      </w:r>
      <w:r>
        <w:rPr>
          <w:spacing w:val="6"/>
        </w:rPr>
        <w:t>区）疾病预防控制机构。</w:t>
      </w:r>
    </w:p>
    <w:p>
      <w:pPr>
        <w:pStyle w:val="BodyText"/>
        <w:ind w:left="2" w:right="80" w:firstLine="428"/>
        <w:spacing w:before="4" w:line="353" w:lineRule="auto"/>
        <w:jc w:val="both"/>
        <w:rPr/>
      </w:pPr>
      <w:r>
        <w:rPr>
          <w:spacing w:val="6"/>
        </w:rPr>
        <w:t>主要职责：负责组织实施相关检验检测工</w:t>
      </w:r>
      <w:r>
        <w:rPr>
          <w:spacing w:val="7"/>
        </w:rPr>
        <w:t>作，综合分析检测数据，查找事故原因和评估</w:t>
      </w:r>
      <w:r>
        <w:rPr>
          <w:spacing w:val="7"/>
        </w:rPr>
        <w:t>事故发展趋势，预测事故后果，为制定现场抢</w:t>
      </w:r>
      <w:r>
        <w:rPr>
          <w:spacing w:val="9"/>
        </w:rPr>
        <w:t>救方案和采取控制措施提供科学依据。</w:t>
      </w:r>
    </w:p>
    <w:p>
      <w:pPr>
        <w:pStyle w:val="BodyText"/>
        <w:ind w:left="414"/>
        <w:spacing w:before="6" w:line="278" w:lineRule="exact"/>
        <w:rPr/>
      </w:pPr>
      <w:r>
        <w:rPr>
          <w:spacing w:val="5"/>
          <w:position w:val="1"/>
        </w:rPr>
        <w:t>（</w:t>
      </w:r>
      <w:r>
        <w:rPr>
          <w:rFonts w:ascii="Times New Roman" w:hAnsi="Times New Roman" w:eastAsia="Times New Roman" w:cs="Times New Roman"/>
          <w:spacing w:val="5"/>
          <w:position w:val="1"/>
        </w:rPr>
        <w:t>5</w:t>
      </w:r>
      <w:r>
        <w:rPr>
          <w:rFonts w:ascii="Times New Roman" w:hAnsi="Times New Roman" w:eastAsia="Times New Roman" w:cs="Times New Roman"/>
          <w:spacing w:val="-20"/>
          <w:position w:val="1"/>
        </w:rPr>
        <w:t xml:space="preserve"> </w:t>
      </w:r>
      <w:r>
        <w:rPr>
          <w:spacing w:val="5"/>
          <w:position w:val="1"/>
        </w:rPr>
        <w:t>）维护稳定组。</w:t>
      </w:r>
    </w:p>
    <w:p>
      <w:pPr>
        <w:pStyle w:val="BodyText"/>
        <w:ind w:left="423"/>
        <w:spacing w:before="106" w:line="278" w:lineRule="exact"/>
        <w:rPr/>
      </w:pPr>
      <w:r>
        <w:rPr>
          <w:spacing w:val="8"/>
          <w:position w:val="1"/>
        </w:rPr>
        <w:t>组  长：市公安局分管副局长</w:t>
      </w:r>
    </w:p>
    <w:p>
      <w:pPr>
        <w:pStyle w:val="BodyText"/>
        <w:ind w:right="78" w:firstLine="421"/>
        <w:spacing w:before="104" w:line="341" w:lineRule="auto"/>
        <w:jc w:val="both"/>
        <w:rPr/>
      </w:pPr>
      <w:r>
        <w:rPr>
          <w:spacing w:val="7"/>
        </w:rPr>
        <w:t>单位成员：交通运输局、发展和改革委员</w:t>
      </w:r>
      <w:r>
        <w:rPr>
          <w:spacing w:val="5"/>
        </w:rPr>
        <w:t>会、粮食储备局、财政局、事发地县（</w:t>
      </w:r>
      <w:r>
        <w:rPr>
          <w:spacing w:val="-51"/>
        </w:rPr>
        <w:t xml:space="preserve"> </w:t>
      </w:r>
      <w:r>
        <w:rPr>
          <w:spacing w:val="5"/>
        </w:rPr>
        <w:t>区）政</w:t>
      </w:r>
      <w:r>
        <w:rPr>
          <w:spacing w:val="8"/>
        </w:rPr>
        <w:t>府及政府相关职能部门。</w:t>
      </w:r>
    </w:p>
    <w:p>
      <w:pPr>
        <w:pStyle w:val="BodyText"/>
        <w:ind w:left="2" w:right="80" w:firstLine="428"/>
        <w:spacing w:before="44" w:line="354" w:lineRule="auto"/>
        <w:jc w:val="both"/>
        <w:rPr/>
      </w:pPr>
      <w:r>
        <w:rPr>
          <w:spacing w:val="6"/>
        </w:rPr>
        <w:t>主要职责：负责调集应急救援资金及交通</w:t>
      </w:r>
      <w:r>
        <w:rPr>
          <w:spacing w:val="7"/>
        </w:rPr>
        <w:t>工具，负责协调组织调运应急救援物资，对受</w:t>
      </w:r>
      <w:r>
        <w:rPr>
          <w:spacing w:val="7"/>
        </w:rPr>
        <w:t>影响人群进行相应安置处理，保障应急救援现</w:t>
      </w:r>
      <w:r>
        <w:rPr>
          <w:spacing w:val="7"/>
        </w:rPr>
        <w:t>场秩序和交通秩序，加强治安管理，维护社会</w:t>
      </w:r>
      <w:r>
        <w:rPr>
          <w:spacing w:val="4"/>
        </w:rPr>
        <w:t>稳定。</w:t>
      </w:r>
    </w:p>
    <w:p>
      <w:pPr>
        <w:pStyle w:val="BodyText"/>
        <w:ind w:left="414"/>
        <w:spacing w:before="4" w:line="278" w:lineRule="exact"/>
        <w:rPr/>
      </w:pPr>
      <w:r>
        <w:rPr>
          <w:spacing w:val="5"/>
          <w:position w:val="1"/>
        </w:rPr>
        <w:t>（</w:t>
      </w:r>
      <w:r>
        <w:rPr>
          <w:rFonts w:ascii="Times New Roman" w:hAnsi="Times New Roman" w:eastAsia="Times New Roman" w:cs="Times New Roman"/>
          <w:spacing w:val="5"/>
          <w:position w:val="1"/>
        </w:rPr>
        <w:t>6</w:t>
      </w:r>
      <w:r>
        <w:rPr>
          <w:rFonts w:ascii="Times New Roman" w:hAnsi="Times New Roman" w:eastAsia="Times New Roman" w:cs="Times New Roman"/>
          <w:spacing w:val="-20"/>
          <w:position w:val="1"/>
        </w:rPr>
        <w:t xml:space="preserve"> </w:t>
      </w:r>
      <w:r>
        <w:rPr>
          <w:spacing w:val="5"/>
          <w:position w:val="1"/>
        </w:rPr>
        <w:t>）新闻报道组。</w:t>
      </w:r>
    </w:p>
    <w:p>
      <w:pPr>
        <w:pStyle w:val="BodyText"/>
        <w:ind w:left="423"/>
        <w:spacing w:before="106" w:line="278" w:lineRule="exact"/>
        <w:rPr/>
      </w:pPr>
      <w:r>
        <w:rPr>
          <w:spacing w:val="-3"/>
          <w:position w:val="1"/>
        </w:rPr>
        <w:t>组  长：由市应急指挥部根据工作需要确定</w:t>
      </w:r>
    </w:p>
    <w:p>
      <w:pPr>
        <w:pStyle w:val="BodyText"/>
        <w:ind w:firstLine="422"/>
        <w:spacing w:before="106" w:line="353" w:lineRule="auto"/>
        <w:rPr/>
      </w:pPr>
      <w:r>
        <w:rPr/>
        <w:t>单位成员：文化旅游广电局、教育体育局、</w:t>
      </w:r>
      <w:r>
        <w:rPr>
          <w:spacing w:val="-9"/>
        </w:rPr>
        <w:t>农业农村局、市场监管局、事发地县（区）政府。</w:t>
      </w:r>
    </w:p>
    <w:p>
      <w:pPr>
        <w:pStyle w:val="BodyText"/>
        <w:ind w:left="4" w:right="80" w:firstLine="426"/>
        <w:spacing w:before="3" w:line="288" w:lineRule="auto"/>
        <w:rPr/>
      </w:pPr>
      <w:r>
        <w:rPr>
          <w:spacing w:val="6"/>
        </w:rPr>
        <w:t>主要职责：把握食品安全事故宣传工作的</w:t>
      </w:r>
      <w:r>
        <w:rPr>
          <w:spacing w:val="7"/>
        </w:rPr>
        <w:t>正确导向，指导、协调新闻宣传单位做好食品</w:t>
      </w:r>
    </w:p>
    <w:p>
      <w:pPr>
        <w:spacing w:line="288" w:lineRule="auto"/>
        <w:sectPr>
          <w:type w:val="continuous"/>
          <w:pgSz w:w="11906" w:h="16839"/>
          <w:pgMar w:top="1766" w:right="1509" w:bottom="1575" w:left="1579" w:header="1428" w:footer="1172" w:gutter="0"/>
          <w:cols w:equalWidth="0" w:num="2">
            <w:col w:w="4487" w:space="100"/>
            <w:col w:w="4230" w:space="0"/>
          </w:cols>
        </w:sectPr>
        <w:rPr/>
      </w:pPr>
    </w:p>
    <w:p>
      <w:pPr>
        <w:spacing w:before="60"/>
        <w:rPr/>
      </w:pPr>
      <w:r>
        <w:drawing>
          <wp:anchor distT="0" distB="0" distL="0" distR="0" simplePos="0" relativeHeight="253586432"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990" name="IM 1990"/>
            <wp:cNvGraphicFramePr/>
            <a:graphic>
              <a:graphicData uri="http://schemas.openxmlformats.org/drawingml/2006/picture">
                <pic:pic>
                  <pic:nvPicPr>
                    <pic:cNvPr id="1990" name="IM 1990"/>
                    <pic:cNvPicPr/>
                  </pic:nvPicPr>
                  <pic:blipFill>
                    <a:blip r:embed="rId997"/>
                    <a:stretch>
                      <a:fillRect/>
                    </a:stretch>
                  </pic:blipFill>
                  <pic:spPr>
                    <a:xfrm rot="0">
                      <a:off x="0" y="0"/>
                      <a:ext cx="5579745" cy="7620"/>
                    </a:xfrm>
                    <a:prstGeom prst="rect">
                      <a:avLst/>
                    </a:prstGeom>
                  </pic:spPr>
                </pic:pic>
              </a:graphicData>
            </a:graphic>
          </wp:anchor>
        </w:drawing>
      </w:r>
      <w:r/>
    </w:p>
    <w:p>
      <w:pPr>
        <w:sectPr>
          <w:headerReference w:type="default" r:id="rId816"/>
          <w:footerReference w:type="default" r:id="rId996"/>
          <w:pgSz w:w="11906" w:h="16839"/>
          <w:pgMar w:top="1772" w:right="1489" w:bottom="1584" w:left="1567" w:header="1428" w:footer="1172" w:gutter="0"/>
          <w:cols w:equalWidth="0" w:num="1">
            <w:col w:w="8850" w:space="0"/>
          </w:cols>
        </w:sectPr>
        <w:rPr/>
      </w:pPr>
    </w:p>
    <w:p>
      <w:pPr>
        <w:pStyle w:val="BodyText"/>
        <w:ind w:left="23" w:right="330" w:firstLine="3"/>
        <w:spacing w:before="41" w:line="352" w:lineRule="auto"/>
        <w:jc w:val="both"/>
        <w:rPr/>
      </w:pPr>
      <w:r>
        <w:rPr>
          <w:spacing w:val="7"/>
        </w:rPr>
        <w:t>安全事故的新闻报道工作，负责记者接待和新</w:t>
      </w:r>
      <w:r>
        <w:rPr>
          <w:spacing w:val="7"/>
        </w:rPr>
        <w:t>闻发布，加强舆情收集分析，正确引导和调控</w:t>
      </w:r>
      <w:r>
        <w:rPr>
          <w:spacing w:val="9"/>
        </w:rPr>
        <w:t>舆情，配合相关部门做好信息发布。</w:t>
      </w:r>
    </w:p>
    <w:p>
      <w:pPr>
        <w:pStyle w:val="BodyText"/>
        <w:ind w:left="437"/>
        <w:spacing w:line="278" w:lineRule="exact"/>
        <w:rPr/>
      </w:pPr>
      <w:r>
        <w:rPr>
          <w:spacing w:val="3"/>
          <w:position w:val="1"/>
        </w:rPr>
        <w:t>（</w:t>
      </w:r>
      <w:r>
        <w:rPr>
          <w:rFonts w:ascii="Times New Roman" w:hAnsi="Times New Roman" w:eastAsia="Times New Roman" w:cs="Times New Roman"/>
          <w:spacing w:val="3"/>
          <w:position w:val="1"/>
        </w:rPr>
        <w:t>7</w:t>
      </w:r>
      <w:r>
        <w:rPr>
          <w:rFonts w:ascii="Times New Roman" w:hAnsi="Times New Roman" w:eastAsia="Times New Roman" w:cs="Times New Roman"/>
          <w:spacing w:val="-16"/>
          <w:position w:val="1"/>
        </w:rPr>
        <w:t xml:space="preserve"> </w:t>
      </w:r>
      <w:r>
        <w:rPr>
          <w:spacing w:val="3"/>
          <w:position w:val="1"/>
        </w:rPr>
        <w:t>）专家组。</w:t>
      </w:r>
    </w:p>
    <w:p>
      <w:pPr>
        <w:pStyle w:val="BodyText"/>
        <w:ind w:left="26" w:right="249" w:firstLine="419"/>
        <w:spacing w:before="107" w:line="348" w:lineRule="auto"/>
        <w:rPr/>
      </w:pPr>
      <w:r>
        <w:rPr>
          <w:spacing w:val="16"/>
        </w:rPr>
        <w:t>成立事故应急专家组</w:t>
      </w:r>
      <w:r>
        <w:rPr>
          <w:spacing w:val="-48"/>
        </w:rPr>
        <w:t xml:space="preserve"> </w:t>
      </w:r>
      <w:r>
        <w:rPr>
          <w:spacing w:val="16"/>
        </w:rPr>
        <w:t>，完善相关咨询机</w:t>
      </w:r>
      <w:r>
        <w:rPr>
          <w:spacing w:val="-8"/>
        </w:rPr>
        <w:t>制，为食品安全事故应急处置工作提供技术支持。</w:t>
      </w:r>
    </w:p>
    <w:p>
      <w:pPr>
        <w:pStyle w:val="BodyText"/>
        <w:ind w:left="24" w:right="250" w:firstLine="421"/>
        <w:spacing w:line="350" w:lineRule="auto"/>
        <w:jc w:val="both"/>
        <w:rPr/>
      </w:pPr>
      <w:r>
        <w:rPr>
          <w:rFonts w:ascii="Times New Roman" w:hAnsi="Times New Roman" w:eastAsia="Times New Roman" w:cs="Times New Roman"/>
          <w:spacing w:val="-1"/>
        </w:rPr>
        <w:t>2.6  </w:t>
      </w:r>
      <w:r>
        <w:rPr>
          <w:rFonts w:ascii="KaiTi" w:hAnsi="KaiTi" w:eastAsia="KaiTi" w:cs="KaiTi"/>
          <w:spacing w:val="-1"/>
        </w:rPr>
        <w:t>县（</w:t>
      </w:r>
      <w:r>
        <w:rPr>
          <w:rFonts w:ascii="KaiTi" w:hAnsi="KaiTi" w:eastAsia="KaiTi" w:cs="KaiTi"/>
          <w:spacing w:val="-24"/>
        </w:rPr>
        <w:t xml:space="preserve"> </w:t>
      </w:r>
      <w:r>
        <w:rPr>
          <w:rFonts w:ascii="KaiTi" w:hAnsi="KaiTi" w:eastAsia="KaiTi" w:cs="KaiTi"/>
          <w:spacing w:val="-1"/>
        </w:rPr>
        <w:t>区）食品安全事故应急指挥机构。</w:t>
      </w:r>
      <w:r>
        <w:rPr>
          <w:spacing w:val="8"/>
        </w:rPr>
        <w:t>各县（</w:t>
      </w:r>
      <w:r>
        <w:rPr>
          <w:spacing w:val="-38"/>
        </w:rPr>
        <w:t xml:space="preserve"> </w:t>
      </w:r>
      <w:r>
        <w:rPr>
          <w:spacing w:val="8"/>
        </w:rPr>
        <w:t>区）政府按照食品安全事故分级标准，</w:t>
      </w:r>
      <w:r>
        <w:rPr>
          <w:spacing w:val="11"/>
        </w:rPr>
        <w:t>参考本预案，建立健全相应的应急指挥机构，</w:t>
      </w:r>
      <w:r>
        <w:rPr>
          <w:spacing w:val="9"/>
        </w:rPr>
        <w:t>组织做好食品安全事故应对工作。</w:t>
      </w:r>
    </w:p>
    <w:p>
      <w:pPr>
        <w:ind w:left="449"/>
        <w:spacing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3</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4"/>
        </w:rPr>
        <w:t>应急保障</w:t>
      </w:r>
    </w:p>
    <w:p>
      <w:pPr>
        <w:pStyle w:val="BodyText"/>
        <w:ind w:left="24" w:right="323" w:firstLine="426"/>
        <w:spacing w:before="82" w:line="338" w:lineRule="auto"/>
        <w:rPr/>
      </w:pPr>
      <w:r>
        <w:rPr>
          <w:rFonts w:ascii="Times New Roman" w:hAnsi="Times New Roman" w:eastAsia="Times New Roman" w:cs="Times New Roman"/>
          <w:spacing w:val="7"/>
        </w:rPr>
        <w:t>3.</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1  </w:t>
      </w:r>
      <w:r>
        <w:rPr>
          <w:rFonts w:ascii="KaiTi" w:hAnsi="KaiTi" w:eastAsia="KaiTi" w:cs="KaiTi"/>
          <w:spacing w:val="7"/>
        </w:rPr>
        <w:t>信息保障。</w:t>
      </w:r>
      <w:r>
        <w:rPr>
          <w:spacing w:val="7"/>
        </w:rPr>
        <w:t>市场监管局会同市政</w:t>
      </w:r>
      <w:r>
        <w:rPr>
          <w:spacing w:val="6"/>
        </w:rPr>
        <w:t>府有</w:t>
      </w:r>
      <w:r>
        <w:rPr>
          <w:spacing w:val="18"/>
        </w:rPr>
        <w:t>关监管部门建立统一的食品安全信息网络体</w:t>
      </w:r>
      <w:r>
        <w:rPr>
          <w:spacing w:val="7"/>
        </w:rPr>
        <w:t>系，包含食品安全监测、事故报告与通报、食</w:t>
      </w:r>
      <w:r>
        <w:rPr>
          <w:spacing w:val="7"/>
        </w:rPr>
        <w:t>品安全事故隐患预警等内容；建立健全医疗救</w:t>
      </w:r>
      <w:r>
        <w:rPr>
          <w:spacing w:val="7"/>
        </w:rPr>
        <w:t>治信息网络，实现信息共享。有关部门应当设</w:t>
      </w:r>
      <w:r>
        <w:rPr>
          <w:spacing w:val="7"/>
        </w:rPr>
        <w:t>立信息报告和举报电话，畅通信息报告渠道，</w:t>
      </w:r>
      <w:r>
        <w:rPr>
          <w:spacing w:val="18"/>
        </w:rPr>
        <w:t>确保食品安全事故的及时报告与相关信息的</w:t>
      </w:r>
      <w:r>
        <w:rPr>
          <w:spacing w:val="7"/>
        </w:rPr>
        <w:t>及时收集。</w:t>
      </w:r>
    </w:p>
    <w:p>
      <w:pPr>
        <w:pStyle w:val="BodyText"/>
        <w:ind w:left="25" w:right="330" w:firstLine="424"/>
        <w:spacing w:before="141" w:line="322" w:lineRule="auto"/>
        <w:rPr/>
      </w:pPr>
      <w:r>
        <w:rPr>
          <w:rFonts w:ascii="Times New Roman" w:hAnsi="Times New Roman" w:eastAsia="Times New Roman" w:cs="Times New Roman"/>
          <w:spacing w:val="6"/>
        </w:rPr>
        <w:t>3.2</w:t>
      </w:r>
      <w:r>
        <w:rPr>
          <w:rFonts w:ascii="Times New Roman" w:hAnsi="Times New Roman" w:eastAsia="Times New Roman" w:cs="Times New Roman"/>
          <w:spacing w:val="28"/>
        </w:rPr>
        <w:t xml:space="preserve">  </w:t>
      </w:r>
      <w:r>
        <w:rPr>
          <w:rFonts w:ascii="KaiTi" w:hAnsi="KaiTi" w:eastAsia="KaiTi" w:cs="KaiTi"/>
          <w:spacing w:val="6"/>
        </w:rPr>
        <w:t>医疗保障。</w:t>
      </w:r>
      <w:r>
        <w:rPr>
          <w:spacing w:val="6"/>
        </w:rPr>
        <w:t>卫生健康委员会建立功能</w:t>
      </w:r>
      <w:r>
        <w:rPr>
          <w:spacing w:val="7"/>
        </w:rPr>
        <w:t>完善、反应灵敏、运转协调、持续发展的医疗</w:t>
      </w:r>
      <w:r>
        <w:rPr>
          <w:spacing w:val="7"/>
        </w:rPr>
        <w:t>救治体系，在食品安全事故造成人员伤害时迅</w:t>
      </w:r>
      <w:r>
        <w:rPr>
          <w:spacing w:val="8"/>
        </w:rPr>
        <w:t>速开展医疗救治。</w:t>
      </w:r>
    </w:p>
    <w:p>
      <w:pPr>
        <w:pStyle w:val="BodyText"/>
        <w:ind w:left="24" w:right="330" w:firstLine="426"/>
        <w:spacing w:before="140" w:line="336" w:lineRule="auto"/>
        <w:rPr/>
      </w:pPr>
      <w:r>
        <w:rPr>
          <w:rFonts w:ascii="Times New Roman" w:hAnsi="Times New Roman" w:eastAsia="Times New Roman" w:cs="Times New Roman"/>
          <w:spacing w:val="8"/>
        </w:rPr>
        <w:t>3.3  </w:t>
      </w:r>
      <w:r>
        <w:rPr>
          <w:rFonts w:ascii="KaiTi" w:hAnsi="KaiTi" w:eastAsia="KaiTi" w:cs="KaiTi"/>
          <w:spacing w:val="8"/>
        </w:rPr>
        <w:t>人员及技术保障。</w:t>
      </w:r>
      <w:r>
        <w:rPr>
          <w:spacing w:val="8"/>
        </w:rPr>
        <w:t>应急处置专业技术</w:t>
      </w:r>
      <w:r>
        <w:rPr>
          <w:spacing w:val="18"/>
        </w:rPr>
        <w:t>机构要结合本机构职责开展专业技术人员食</w:t>
      </w:r>
      <w:r>
        <w:rPr>
          <w:spacing w:val="7"/>
        </w:rPr>
        <w:t>品安全事故应急处置能力培训，加强应急处置</w:t>
      </w:r>
      <w:r>
        <w:rPr>
          <w:spacing w:val="7"/>
        </w:rPr>
        <w:t>力量建设，提高快速应对能力和技术水平。健</w:t>
      </w:r>
      <w:r>
        <w:rPr>
          <w:spacing w:val="7"/>
        </w:rPr>
        <w:t>全专家队伍，为事故核实、级别核定、事故隐</w:t>
      </w:r>
      <w:r>
        <w:rPr>
          <w:spacing w:val="18"/>
        </w:rPr>
        <w:t>患预警及应急响应等相关技术工作提供人才</w:t>
      </w:r>
      <w:r>
        <w:rPr>
          <w:spacing w:val="5"/>
        </w:rPr>
        <w:t>保障。</w:t>
      </w:r>
    </w:p>
    <w:p>
      <w:pPr>
        <w:pStyle w:val="BodyText"/>
        <w:ind w:left="25" w:right="330" w:firstLine="424"/>
        <w:spacing w:before="140" w:line="328" w:lineRule="auto"/>
        <w:rPr/>
      </w:pPr>
      <w:r>
        <w:rPr>
          <w:rFonts w:ascii="Times New Roman" w:hAnsi="Times New Roman" w:eastAsia="Times New Roman" w:cs="Times New Roman"/>
          <w:spacing w:val="8"/>
        </w:rPr>
        <w:t>3.4  </w:t>
      </w:r>
      <w:r>
        <w:rPr>
          <w:rFonts w:ascii="KaiTi" w:hAnsi="KaiTi" w:eastAsia="KaiTi" w:cs="KaiTi"/>
          <w:spacing w:val="8"/>
        </w:rPr>
        <w:t>物资与经费保障。</w:t>
      </w:r>
      <w:r>
        <w:rPr>
          <w:spacing w:val="8"/>
        </w:rPr>
        <w:t>食品安全事故应急</w:t>
      </w:r>
      <w:r>
        <w:rPr>
          <w:spacing w:val="7"/>
        </w:rPr>
        <w:t>处置所需设施、设备和物资的储备与调用应当</w:t>
      </w:r>
      <w:r>
        <w:rPr>
          <w:spacing w:val="7"/>
        </w:rPr>
        <w:t>得到保障；使用储备物资后须及时补充；食品</w:t>
      </w:r>
      <w:r>
        <w:rPr>
          <w:spacing w:val="7"/>
        </w:rPr>
        <w:t>安全事故应急处置、产品抽样及检验等所需经</w:t>
      </w:r>
    </w:p>
    <w:p>
      <w:pPr>
        <w:spacing w:line="14" w:lineRule="auto"/>
        <w:rPr>
          <w:rFonts w:ascii="Arial"/>
          <w:sz w:val="2"/>
        </w:rPr>
      </w:pPr>
      <w:r>
        <w:rPr>
          <w:rFonts w:ascii="Arial" w:hAnsi="Arial" w:eastAsia="Arial" w:cs="Arial"/>
          <w:sz w:val="2"/>
          <w:szCs w:val="2"/>
        </w:rPr>
        <w:br w:type="column"/>
      </w:r>
    </w:p>
    <w:p>
      <w:pPr>
        <w:pStyle w:val="BodyText"/>
        <w:ind w:left="7"/>
        <w:spacing w:before="39" w:line="223" w:lineRule="auto"/>
        <w:rPr/>
      </w:pPr>
      <w:r>
        <w:rPr>
          <w:spacing w:val="8"/>
        </w:rPr>
        <w:t>费应当列入年度财政预算，保障应急资金。</w:t>
      </w:r>
    </w:p>
    <w:p>
      <w:pPr>
        <w:ind w:left="421"/>
        <w:spacing w:before="132"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4</w:t>
      </w:r>
      <w:r>
        <w:rPr>
          <w:rFonts w:ascii="Microsoft YaHei" w:hAnsi="Microsoft YaHei" w:eastAsia="Microsoft YaHei" w:cs="Microsoft YaHei"/>
          <w:sz w:val="20"/>
          <w:szCs w:val="20"/>
          <w:spacing w:val="14"/>
        </w:rPr>
        <w:t xml:space="preserve">   </w:t>
      </w:r>
      <w:r>
        <w:rPr>
          <w:rFonts w:ascii="Microsoft YaHei" w:hAnsi="Microsoft YaHei" w:eastAsia="Microsoft YaHei" w:cs="Microsoft YaHei"/>
          <w:sz w:val="20"/>
          <w:szCs w:val="20"/>
          <w:spacing w:val="4"/>
        </w:rPr>
        <w:t>预报预警</w:t>
      </w:r>
    </w:p>
    <w:p>
      <w:pPr>
        <w:pStyle w:val="BodyText"/>
        <w:ind w:right="101" w:firstLine="420"/>
        <w:spacing w:before="83" w:line="332" w:lineRule="auto"/>
        <w:rPr/>
      </w:pPr>
      <w:r>
        <w:rPr>
          <w:rFonts w:ascii="Times New Roman" w:hAnsi="Times New Roman" w:eastAsia="Times New Roman" w:cs="Times New Roman"/>
          <w:spacing w:val="7"/>
        </w:rPr>
        <w:t>4.</w:t>
      </w:r>
      <w:r>
        <w:rPr>
          <w:rFonts w:ascii="Times New Roman" w:hAnsi="Times New Roman" w:eastAsia="Times New Roman" w:cs="Times New Roman"/>
          <w:spacing w:val="-22"/>
        </w:rPr>
        <w:t xml:space="preserve"> </w:t>
      </w:r>
      <w:r>
        <w:rPr>
          <w:rFonts w:ascii="Times New Roman" w:hAnsi="Times New Roman" w:eastAsia="Times New Roman" w:cs="Times New Roman"/>
          <w:spacing w:val="7"/>
        </w:rPr>
        <w:t>1  </w:t>
      </w:r>
      <w:r>
        <w:rPr>
          <w:rFonts w:ascii="KaiTi" w:hAnsi="KaiTi" w:eastAsia="KaiTi" w:cs="KaiTi"/>
          <w:spacing w:val="7"/>
        </w:rPr>
        <w:t>监测预报。</w:t>
      </w:r>
      <w:r>
        <w:rPr>
          <w:spacing w:val="7"/>
        </w:rPr>
        <w:t>市食品安全委员会各成员</w:t>
      </w:r>
      <w:r>
        <w:rPr>
          <w:spacing w:val="4"/>
        </w:rPr>
        <w:t>单位，各县（</w:t>
      </w:r>
      <w:r>
        <w:rPr>
          <w:spacing w:val="-35"/>
        </w:rPr>
        <w:t xml:space="preserve"> </w:t>
      </w:r>
      <w:r>
        <w:rPr>
          <w:spacing w:val="4"/>
        </w:rPr>
        <w:t>区）要加强对重大危险源的监测</w:t>
      </w:r>
      <w:r>
        <w:rPr>
          <w:spacing w:val="7"/>
        </w:rPr>
        <w:t>监控，及时对可能引发食品安全事故的风险隐</w:t>
      </w:r>
      <w:r>
        <w:rPr>
          <w:spacing w:val="7"/>
        </w:rPr>
        <w:t>患进行排查整改，不能消除隐患的，要及时报</w:t>
      </w:r>
      <w:r>
        <w:rPr>
          <w:spacing w:val="7"/>
        </w:rPr>
        <w:t>告市委、市政府应急管理部门或者市食品安全</w:t>
      </w:r>
      <w:r>
        <w:rPr>
          <w:spacing w:val="7"/>
        </w:rPr>
        <w:t>委员会办公室。</w:t>
      </w:r>
    </w:p>
    <w:p>
      <w:pPr>
        <w:ind w:left="420"/>
        <w:spacing w:before="157" w:line="207" w:lineRule="auto"/>
        <w:rPr>
          <w:rFonts w:ascii="KaiTi" w:hAnsi="KaiTi" w:eastAsia="KaiTi" w:cs="KaiTi"/>
          <w:sz w:val="20"/>
          <w:szCs w:val="20"/>
        </w:rPr>
      </w:pPr>
      <w:r>
        <w:rPr>
          <w:rFonts w:ascii="Times New Roman" w:hAnsi="Times New Roman" w:eastAsia="Times New Roman" w:cs="Times New Roman"/>
          <w:sz w:val="20"/>
          <w:szCs w:val="20"/>
          <w:spacing w:val="5"/>
        </w:rPr>
        <w:t>4.2  </w:t>
      </w:r>
      <w:r>
        <w:rPr>
          <w:rFonts w:ascii="KaiTi" w:hAnsi="KaiTi" w:eastAsia="KaiTi" w:cs="KaiTi"/>
          <w:sz w:val="20"/>
          <w:szCs w:val="20"/>
          <w:spacing w:val="5"/>
        </w:rPr>
        <w:t>监测重点。</w:t>
      </w:r>
    </w:p>
    <w:p>
      <w:pPr>
        <w:pStyle w:val="BodyText"/>
        <w:ind w:right="101" w:firstLine="411"/>
        <w:spacing w:before="145" w:line="322" w:lineRule="auto"/>
        <w:rPr/>
      </w:pPr>
      <w:r>
        <w:rPr>
          <w:spacing w:val="5"/>
        </w:rPr>
        <w:t>（</w:t>
      </w:r>
      <w:r>
        <w:rPr>
          <w:spacing w:val="-32"/>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）重点区域：餐饮单位集中区域</w:t>
      </w:r>
      <w:r>
        <w:rPr>
          <w:spacing w:val="-60"/>
        </w:rPr>
        <w:t xml:space="preserve"> </w:t>
      </w:r>
      <w:r>
        <w:rPr>
          <w:spacing w:val="5"/>
        </w:rPr>
        <w:t>；农</w:t>
      </w:r>
      <w:r>
        <w:rPr>
          <w:spacing w:val="7"/>
        </w:rPr>
        <w:t>村家庭（宗教场所）集体聚餐；大型超市、校</w:t>
      </w:r>
      <w:r>
        <w:rPr>
          <w:spacing w:val="7"/>
        </w:rPr>
        <w:t>园及其周边食品安全；全国性或地区性重大活</w:t>
      </w:r>
      <w:r>
        <w:rPr>
          <w:spacing w:val="8"/>
        </w:rPr>
        <w:t>动的现场及周边范围。</w:t>
      </w:r>
    </w:p>
    <w:p>
      <w:pPr>
        <w:pStyle w:val="BodyText"/>
        <w:ind w:right="78" w:firstLine="412"/>
        <w:spacing w:before="146" w:line="328"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6"/>
        </w:rPr>
        <w:t xml:space="preserve"> </w:t>
      </w:r>
      <w:r>
        <w:rPr>
          <w:spacing w:val="8"/>
        </w:rPr>
        <w:t>）重点单位：</w:t>
      </w:r>
      <w:r>
        <w:rPr>
          <w:spacing w:val="-58"/>
        </w:rPr>
        <w:t xml:space="preserve"> </w:t>
      </w:r>
      <w:r>
        <w:rPr>
          <w:spacing w:val="8"/>
        </w:rPr>
        <w:t>肉制品、豆制品、糕点</w:t>
      </w:r>
      <w:r>
        <w:rPr>
          <w:spacing w:val="7"/>
        </w:rPr>
        <w:t>生产企业；校园周边及校内食品经营商店；学</w:t>
      </w:r>
      <w:r>
        <w:rPr>
          <w:spacing w:val="7"/>
        </w:rPr>
        <w:t>校食堂、工地食堂、工厂食堂、政府食堂、集</w:t>
      </w:r>
      <w:r>
        <w:rPr>
          <w:spacing w:val="8"/>
        </w:rPr>
        <w:t>体用餐配送单位、重大活动经常性接待单位、</w:t>
      </w:r>
      <w:r>
        <w:rPr>
          <w:spacing w:val="8"/>
        </w:rPr>
        <w:t>旅游景区餐饮单位。</w:t>
      </w:r>
    </w:p>
    <w:p>
      <w:pPr>
        <w:pStyle w:val="BodyText"/>
        <w:ind w:left="4" w:right="98" w:firstLine="407"/>
        <w:spacing w:before="139" w:line="322"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3"/>
        </w:rPr>
        <w:t xml:space="preserve"> </w:t>
      </w:r>
      <w:r>
        <w:rPr>
          <w:spacing w:val="11"/>
        </w:rPr>
        <w:t>）重点品种：直接入口食品（熟食、</w:t>
      </w:r>
      <w:r>
        <w:rPr>
          <w:spacing w:val="7"/>
        </w:rPr>
        <w:t>凉菜、生食水产品等）、四季豆、肉品、豆制</w:t>
      </w:r>
      <w:r>
        <w:rPr>
          <w:spacing w:val="7"/>
        </w:rPr>
        <w:t>品、食品添加剂等。</w:t>
      </w:r>
    </w:p>
    <w:p>
      <w:pPr>
        <w:pStyle w:val="BodyText"/>
        <w:ind w:left="3" w:right="101" w:firstLine="409"/>
        <w:spacing w:before="107" w:line="322"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）重点时段：元旦、春节、中秋、国</w:t>
      </w:r>
      <w:r>
        <w:rPr>
          <w:spacing w:val="7"/>
        </w:rPr>
        <w:t>庆等重要法定节假日期间；全国性或地区性重</w:t>
      </w:r>
      <w:r>
        <w:rPr>
          <w:spacing w:val="7"/>
        </w:rPr>
        <w:t>大活动期间；春季生芽土豆、夏季野蘑菇、鲜</w:t>
      </w:r>
      <w:r>
        <w:rPr>
          <w:spacing w:val="9"/>
        </w:rPr>
        <w:t>黄花、四季豆上市季节等食物中毒多发期。</w:t>
      </w:r>
    </w:p>
    <w:p>
      <w:pPr>
        <w:pStyle w:val="BodyText"/>
        <w:ind w:left="3" w:right="18" w:firstLine="408"/>
        <w:spacing w:before="141" w:line="305" w:lineRule="auto"/>
        <w:rPr/>
      </w:pPr>
      <w:r>
        <w:rPr>
          <w:spacing w:val="8"/>
        </w:rPr>
        <w:t>（</w:t>
      </w:r>
      <w:r>
        <w:rPr>
          <w:spacing w:val="-45"/>
        </w:rPr>
        <w:t xml:space="preserve"> </w:t>
      </w:r>
      <w:r>
        <w:rPr>
          <w:rFonts w:ascii="Times New Roman" w:hAnsi="Times New Roman" w:eastAsia="Times New Roman" w:cs="Times New Roman"/>
          <w:spacing w:val="8"/>
        </w:rPr>
        <w:t>5</w:t>
      </w:r>
      <w:r>
        <w:rPr>
          <w:rFonts w:ascii="Times New Roman" w:hAnsi="Times New Roman" w:eastAsia="Times New Roman" w:cs="Times New Roman"/>
          <w:spacing w:val="-19"/>
        </w:rPr>
        <w:t xml:space="preserve"> </w:t>
      </w:r>
      <w:r>
        <w:rPr>
          <w:spacing w:val="8"/>
        </w:rPr>
        <w:t>）食用农产品监测重点：畜禽定点屠</w:t>
      </w:r>
      <w:r>
        <w:rPr>
          <w:spacing w:val="-8"/>
        </w:rPr>
        <w:t>宰监管和农业投入品生产、销售、使用监督管理。</w:t>
      </w:r>
    </w:p>
    <w:p>
      <w:pPr>
        <w:pStyle w:val="BodyText"/>
        <w:ind w:right="101" w:firstLine="419"/>
        <w:spacing w:before="110" w:line="335" w:lineRule="auto"/>
        <w:jc w:val="both"/>
        <w:rPr/>
      </w:pPr>
      <w:r>
        <w:rPr>
          <w:rFonts w:ascii="Times New Roman" w:hAnsi="Times New Roman" w:eastAsia="Times New Roman" w:cs="Times New Roman"/>
          <w:spacing w:val="8"/>
        </w:rPr>
        <w:t>4.3  </w:t>
      </w:r>
      <w:r>
        <w:rPr>
          <w:rFonts w:ascii="KaiTi" w:hAnsi="KaiTi" w:eastAsia="KaiTi" w:cs="KaiTi"/>
          <w:spacing w:val="8"/>
        </w:rPr>
        <w:t>预警信息报告与发布。</w:t>
      </w:r>
      <w:r>
        <w:rPr>
          <w:spacing w:val="8"/>
        </w:rPr>
        <w:t>市食品安全事</w:t>
      </w:r>
      <w:r>
        <w:rPr>
          <w:spacing w:val="7"/>
        </w:rPr>
        <w:t>故应急指挥部办公室接到信息报告后，要组织</w:t>
      </w:r>
      <w:r>
        <w:rPr>
          <w:spacing w:val="7"/>
        </w:rPr>
        <w:t>相关人员进行分析研判，对可能引发一般和较</w:t>
      </w:r>
      <w:r>
        <w:rPr>
          <w:spacing w:val="7"/>
        </w:rPr>
        <w:t>大级别的食品事故的监测预测预警信息，向指</w:t>
      </w:r>
      <w:r>
        <w:rPr>
          <w:spacing w:val="4"/>
        </w:rPr>
        <w:t>挥部成员单位和县（</w:t>
      </w:r>
      <w:r>
        <w:rPr>
          <w:spacing w:val="-36"/>
        </w:rPr>
        <w:t xml:space="preserve"> </w:t>
      </w:r>
      <w:r>
        <w:rPr>
          <w:spacing w:val="4"/>
        </w:rPr>
        <w:t>区）通报，督促和指导按</w:t>
      </w:r>
      <w:r>
        <w:rPr>
          <w:spacing w:val="7"/>
        </w:rPr>
        <w:t>照相应预案做好处置工作；对可能引发特别重</w:t>
      </w:r>
      <w:r>
        <w:rPr>
          <w:spacing w:val="18"/>
        </w:rPr>
        <w:t>大、重大级别的食品事故的监测预测预警信</w:t>
      </w:r>
    </w:p>
    <w:p>
      <w:pPr>
        <w:spacing w:line="335" w:lineRule="auto"/>
        <w:sectPr>
          <w:type w:val="continuous"/>
          <w:pgSz w:w="11906" w:h="16839"/>
          <w:pgMar w:top="1772" w:right="1489" w:bottom="1584" w:left="1567" w:header="1428" w:footer="1172" w:gutter="0"/>
          <w:cols w:equalWidth="0" w:num="2">
            <w:col w:w="4502" w:space="100"/>
            <w:col w:w="4248" w:space="0"/>
          </w:cols>
        </w:sectPr>
        <w:rPr/>
      </w:pPr>
    </w:p>
    <w:p>
      <w:pPr>
        <w:spacing w:before="56"/>
        <w:rPr/>
      </w:pPr>
      <w:r>
        <w:drawing>
          <wp:anchor distT="0" distB="0" distL="0" distR="0" simplePos="0" relativeHeight="25359872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1994" name="IM 1994"/>
            <wp:cNvGraphicFramePr/>
            <a:graphic>
              <a:graphicData uri="http://schemas.openxmlformats.org/drawingml/2006/picture">
                <pic:pic>
                  <pic:nvPicPr>
                    <pic:cNvPr id="1994" name="IM 1994"/>
                    <pic:cNvPicPr/>
                  </pic:nvPicPr>
                  <pic:blipFill>
                    <a:blip r:embed="rId999"/>
                    <a:stretch>
                      <a:fillRect/>
                    </a:stretch>
                  </pic:blipFill>
                  <pic:spPr>
                    <a:xfrm rot="0">
                      <a:off x="0" y="0"/>
                      <a:ext cx="5579745" cy="7620"/>
                    </a:xfrm>
                    <a:prstGeom prst="rect">
                      <a:avLst/>
                    </a:prstGeom>
                  </pic:spPr>
                </pic:pic>
              </a:graphicData>
            </a:graphic>
          </wp:anchor>
        </w:drawing>
      </w:r>
      <w:r/>
    </w:p>
    <w:p>
      <w:pPr>
        <w:sectPr>
          <w:headerReference w:type="default" r:id="rId549"/>
          <w:footerReference w:type="default" r:id="rId998"/>
          <w:pgSz w:w="11906" w:h="16839"/>
          <w:pgMar w:top="1766" w:right="1530" w:bottom="1575" w:left="1579" w:header="1428" w:footer="1172" w:gutter="0"/>
          <w:cols w:equalWidth="0" w:num="1">
            <w:col w:w="8796" w:space="0"/>
          </w:cols>
        </w:sectPr>
        <w:rPr/>
      </w:pPr>
    </w:p>
    <w:p>
      <w:pPr>
        <w:pStyle w:val="BodyText"/>
        <w:ind w:left="10" w:right="260" w:firstLine="4"/>
        <w:spacing w:before="46" w:line="354" w:lineRule="auto"/>
        <w:jc w:val="both"/>
        <w:rPr/>
      </w:pPr>
      <w:r>
        <w:rPr>
          <w:spacing w:val="7"/>
        </w:rPr>
        <w:t>息，市相关单位（本预案涉及责任单位）或市</w:t>
      </w:r>
      <w:r>
        <w:rPr>
          <w:spacing w:val="11"/>
        </w:rPr>
        <w:t>食品安全事故应急指挥部办公室要在</w:t>
      </w:r>
      <w:r>
        <w:rPr>
          <w:spacing w:val="-34"/>
        </w:rPr>
        <w:t xml:space="preserve"> </w:t>
      </w:r>
      <w:r>
        <w:rPr>
          <w:rFonts w:ascii="Times New Roman" w:hAnsi="Times New Roman" w:eastAsia="Times New Roman" w:cs="Times New Roman"/>
          <w:spacing w:val="11"/>
        </w:rPr>
        <w:t>30 </w:t>
      </w:r>
      <w:r>
        <w:rPr>
          <w:spacing w:val="11"/>
        </w:rPr>
        <w:t>分钟</w:t>
      </w:r>
      <w:r>
        <w:rPr>
          <w:spacing w:val="7"/>
        </w:rPr>
        <w:t>内报告市委、市政府应急管理部门，并提出预</w:t>
      </w:r>
      <w:r>
        <w:rPr>
          <w:spacing w:val="7"/>
        </w:rPr>
        <w:t>警信息发布方案，并配合做好预警信息发布工</w:t>
      </w:r>
      <w:r>
        <w:rPr>
          <w:spacing w:val="7"/>
        </w:rPr>
        <w:t>作。同时，向市食品安全事故应急指挥部各成</w:t>
      </w:r>
      <w:r>
        <w:rPr>
          <w:spacing w:val="-9"/>
        </w:rPr>
        <w:t>员单位通报有关情况。出现以下情况要立即报告：</w:t>
      </w:r>
    </w:p>
    <w:p>
      <w:pPr>
        <w:pStyle w:val="BodyText"/>
        <w:ind w:left="18" w:right="332" w:firstLine="406"/>
        <w:spacing w:before="1" w:line="304"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）对公众健康造成或可能造成严重损</w:t>
      </w:r>
      <w:r>
        <w:rPr>
          <w:spacing w:val="7"/>
        </w:rPr>
        <w:t>害的食品安全事故。</w:t>
      </w:r>
    </w:p>
    <w:p>
      <w:pPr>
        <w:pStyle w:val="BodyText"/>
        <w:ind w:left="13" w:right="329" w:firstLine="411"/>
        <w:spacing w:before="99" w:line="304" w:lineRule="auto"/>
        <w:rPr/>
      </w:pPr>
      <w:r>
        <w:rPr>
          <w:spacing w:val="7"/>
        </w:rPr>
        <w:t>（</w:t>
      </w:r>
      <w:r>
        <w:rPr>
          <w:rFonts w:ascii="Times New Roman" w:hAnsi="Times New Roman" w:eastAsia="Times New Roman" w:cs="Times New Roman"/>
          <w:spacing w:val="7"/>
        </w:rPr>
        <w:t>2</w:t>
      </w:r>
      <w:r>
        <w:rPr>
          <w:rFonts w:ascii="Times New Roman" w:hAnsi="Times New Roman" w:eastAsia="Times New Roman" w:cs="Times New Roman"/>
          <w:spacing w:val="-7"/>
        </w:rPr>
        <w:t xml:space="preserve"> </w:t>
      </w:r>
      <w:r>
        <w:rPr>
          <w:spacing w:val="7"/>
        </w:rPr>
        <w:t>）</w:t>
      </w:r>
      <w:r>
        <w:rPr>
          <w:rFonts w:ascii="Times New Roman" w:hAnsi="Times New Roman" w:eastAsia="Times New Roman" w:cs="Times New Roman"/>
          <w:spacing w:val="7"/>
        </w:rPr>
        <w:t>30 </w:t>
      </w:r>
      <w:r>
        <w:rPr>
          <w:spacing w:val="7"/>
        </w:rPr>
        <w:t>人以上群体性食物中毒或者出现</w:t>
      </w:r>
      <w:r>
        <w:rPr>
          <w:spacing w:val="8"/>
        </w:rPr>
        <w:t>死亡病例的食品安全事故。</w:t>
      </w:r>
    </w:p>
    <w:p>
      <w:pPr>
        <w:pStyle w:val="BodyText"/>
        <w:ind w:left="10" w:right="265" w:firstLine="421"/>
        <w:spacing w:before="103" w:line="332" w:lineRule="auto"/>
        <w:rPr>
          <w:rFonts w:ascii="Microsoft YaHei" w:hAnsi="Microsoft YaHei" w:eastAsia="Microsoft YaHei" w:cs="Microsoft YaHei"/>
        </w:rPr>
      </w:pPr>
      <w:r>
        <w:rPr>
          <w:rFonts w:ascii="Times New Roman" w:hAnsi="Times New Roman" w:eastAsia="Times New Roman" w:cs="Times New Roman"/>
          <w:spacing w:val="8"/>
        </w:rPr>
        <w:t>4.4  </w:t>
      </w:r>
      <w:r>
        <w:rPr>
          <w:rFonts w:ascii="KaiTi" w:hAnsi="KaiTi" w:eastAsia="KaiTi" w:cs="KaiTi"/>
          <w:spacing w:val="8"/>
        </w:rPr>
        <w:t>预警行动。</w:t>
      </w:r>
      <w:r>
        <w:rPr>
          <w:spacing w:val="8"/>
        </w:rPr>
        <w:t>市食品安全事故应急指挥</w:t>
      </w:r>
      <w:r>
        <w:rPr>
          <w:spacing w:val="7"/>
        </w:rPr>
        <w:t>部办公室接到可能导致特别重大、重大级别的</w:t>
      </w:r>
      <w:r>
        <w:rPr>
          <w:spacing w:val="7"/>
        </w:rPr>
        <w:t>食品事故的监测预测预警信息，要密切关注事</w:t>
      </w:r>
      <w:r>
        <w:rPr/>
        <w:t>态进展。按照市委、市政府的统一安排和部署，</w:t>
      </w:r>
      <w:r>
        <w:rPr>
          <w:spacing w:val="7"/>
        </w:rPr>
        <w:t>组织、协调市食品安全事故应急指挥部成员单</w:t>
      </w:r>
      <w:r>
        <w:rPr>
          <w:spacing w:val="7"/>
        </w:rPr>
        <w:t>位和有关地区，按照预案做好应急准备和预防</w:t>
      </w:r>
      <w:r>
        <w:rPr>
          <w:spacing w:val="5"/>
        </w:rPr>
        <w:t>工作，并及时向市委、市政府动态报送有关信</w:t>
      </w:r>
      <w:r>
        <w:rPr>
          <w:spacing w:val="6"/>
        </w:rPr>
        <w:t>息。</w:t>
      </w:r>
      <w:r>
        <w:rPr>
          <w:rFonts w:ascii="Microsoft YaHei" w:hAnsi="Microsoft YaHei" w:eastAsia="Microsoft YaHei" w:cs="Microsoft YaHei"/>
          <w:spacing w:val="6"/>
        </w:rPr>
        <w:t>5</w:t>
      </w:r>
      <w:r>
        <w:rPr>
          <w:rFonts w:ascii="Microsoft YaHei" w:hAnsi="Microsoft YaHei" w:eastAsia="Microsoft YaHei" w:cs="Microsoft YaHei"/>
          <w:spacing w:val="14"/>
        </w:rPr>
        <w:t xml:space="preserve">   </w:t>
      </w:r>
      <w:r>
        <w:rPr>
          <w:rFonts w:ascii="Microsoft YaHei" w:hAnsi="Microsoft YaHei" w:eastAsia="Microsoft YaHei" w:cs="Microsoft YaHei"/>
          <w:spacing w:val="6"/>
        </w:rPr>
        <w:t>应急处置</w:t>
      </w:r>
    </w:p>
    <w:p>
      <w:pPr>
        <w:pStyle w:val="BodyText"/>
        <w:ind w:left="20" w:right="329" w:firstLine="418"/>
        <w:spacing w:before="82" w:line="305" w:lineRule="auto"/>
        <w:rPr/>
      </w:pPr>
      <w:r>
        <w:rPr>
          <w:rFonts w:ascii="Times New Roman" w:hAnsi="Times New Roman" w:eastAsia="Times New Roman" w:cs="Times New Roman"/>
          <w:spacing w:val="6"/>
        </w:rPr>
        <w:t>5.</w:t>
      </w:r>
      <w:r>
        <w:rPr>
          <w:rFonts w:ascii="Times New Roman" w:hAnsi="Times New Roman" w:eastAsia="Times New Roman" w:cs="Times New Roman"/>
          <w:spacing w:val="-8"/>
        </w:rPr>
        <w:t xml:space="preserve"> </w:t>
      </w:r>
      <w:r>
        <w:rPr>
          <w:rFonts w:ascii="Times New Roman" w:hAnsi="Times New Roman" w:eastAsia="Times New Roman" w:cs="Times New Roman"/>
          <w:spacing w:val="6"/>
        </w:rPr>
        <w:t>1  </w:t>
      </w:r>
      <w:r>
        <w:rPr>
          <w:rFonts w:ascii="KaiTi" w:hAnsi="KaiTi" w:eastAsia="KaiTi" w:cs="KaiTi"/>
          <w:spacing w:val="6"/>
        </w:rPr>
        <w:t>信息来源</w:t>
      </w:r>
      <w:r>
        <w:rPr>
          <w:spacing w:val="6"/>
        </w:rPr>
        <w:t>。食品安全事故的信息来源</w:t>
      </w:r>
      <w:r>
        <w:rPr>
          <w:spacing w:val="6"/>
        </w:rPr>
        <w:t>于以下渠道：</w:t>
      </w:r>
    </w:p>
    <w:p>
      <w:pPr>
        <w:pStyle w:val="BodyText"/>
        <w:ind w:left="15" w:right="332" w:firstLine="409"/>
        <w:spacing w:before="106" w:line="291"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）食品安全事故发生单位与引发生产</w:t>
      </w:r>
      <w:r>
        <w:rPr>
          <w:spacing w:val="8"/>
        </w:rPr>
        <w:t>经营单位报告的信息；</w:t>
      </w:r>
    </w:p>
    <w:p>
      <w:pPr>
        <w:pStyle w:val="BodyText"/>
        <w:ind w:left="14" w:right="332" w:firstLine="409"/>
        <w:spacing w:before="137" w:line="291"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）接收食品安全事故病人治疗的单位</w:t>
      </w:r>
      <w:r>
        <w:rPr>
          <w:spacing w:val="9"/>
        </w:rPr>
        <w:t>报告信息或卫生健康委员会通报的信息；</w:t>
      </w:r>
    </w:p>
    <w:p>
      <w:pPr>
        <w:pStyle w:val="BodyText"/>
        <w:ind w:left="34" w:right="332" w:firstLine="390"/>
        <w:spacing w:before="139" w:line="291"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）食品安全监管部门在日常监督管理</w:t>
      </w:r>
      <w:r>
        <w:rPr>
          <w:spacing w:val="5"/>
        </w:rPr>
        <w:t>中发现问题的信息；</w:t>
      </w:r>
    </w:p>
    <w:p>
      <w:pPr>
        <w:pStyle w:val="BodyText"/>
        <w:ind w:left="424"/>
        <w:spacing w:before="137" w:line="277" w:lineRule="exact"/>
        <w:rPr/>
      </w:pPr>
      <w:r>
        <w:rPr>
          <w:spacing w:val="7"/>
          <w:position w:val="1"/>
        </w:rPr>
        <w:t>（</w:t>
      </w:r>
      <w:r>
        <w:rPr>
          <w:rFonts w:ascii="Times New Roman" w:hAnsi="Times New Roman" w:eastAsia="Times New Roman" w:cs="Times New Roman"/>
          <w:spacing w:val="7"/>
          <w:position w:val="1"/>
        </w:rPr>
        <w:t>4</w:t>
      </w:r>
      <w:r>
        <w:rPr>
          <w:rFonts w:ascii="Times New Roman" w:hAnsi="Times New Roman" w:eastAsia="Times New Roman" w:cs="Times New Roman"/>
          <w:spacing w:val="-21"/>
          <w:position w:val="1"/>
        </w:rPr>
        <w:t xml:space="preserve"> </w:t>
      </w:r>
      <w:r>
        <w:rPr>
          <w:spacing w:val="7"/>
          <w:position w:val="1"/>
        </w:rPr>
        <w:t>）经核实的公众举报信息；</w:t>
      </w:r>
    </w:p>
    <w:p>
      <w:pPr>
        <w:pStyle w:val="BodyText"/>
        <w:ind w:left="424"/>
        <w:spacing w:before="107" w:line="278" w:lineRule="exact"/>
        <w:rPr/>
      </w:pPr>
      <w:r>
        <w:rPr>
          <w:spacing w:val="6"/>
          <w:position w:val="1"/>
        </w:rPr>
        <w:t>（</w:t>
      </w:r>
      <w:r>
        <w:rPr>
          <w:rFonts w:ascii="Times New Roman" w:hAnsi="Times New Roman" w:eastAsia="Times New Roman" w:cs="Times New Roman"/>
          <w:spacing w:val="6"/>
          <w:position w:val="1"/>
        </w:rPr>
        <w:t>5</w:t>
      </w:r>
      <w:r>
        <w:rPr>
          <w:rFonts w:ascii="Times New Roman" w:hAnsi="Times New Roman" w:eastAsia="Times New Roman" w:cs="Times New Roman"/>
          <w:spacing w:val="-13"/>
          <w:position w:val="1"/>
        </w:rPr>
        <w:t xml:space="preserve"> </w:t>
      </w:r>
      <w:r>
        <w:rPr>
          <w:spacing w:val="6"/>
          <w:position w:val="1"/>
        </w:rPr>
        <w:t>）上级部门通报的信息。</w:t>
      </w:r>
    </w:p>
    <w:p>
      <w:pPr>
        <w:pStyle w:val="BodyText"/>
        <w:ind w:left="13" w:right="329" w:firstLine="425"/>
        <w:spacing w:before="105" w:line="353" w:lineRule="auto"/>
        <w:rPr/>
      </w:pPr>
      <w:r>
        <w:rPr>
          <w:rFonts w:ascii="Times New Roman" w:hAnsi="Times New Roman" w:eastAsia="Times New Roman" w:cs="Times New Roman"/>
          <w:spacing w:val="8"/>
        </w:rPr>
        <w:t>5.2  </w:t>
      </w:r>
      <w:r>
        <w:rPr>
          <w:rFonts w:ascii="KaiTi" w:hAnsi="KaiTi" w:eastAsia="KaiTi" w:cs="KaiTi"/>
          <w:spacing w:val="8"/>
        </w:rPr>
        <w:t>报告主体</w:t>
      </w:r>
      <w:r>
        <w:rPr>
          <w:spacing w:val="8"/>
        </w:rPr>
        <w:t>。以下食品安全事故责任单</w:t>
      </w:r>
      <w:r>
        <w:rPr>
          <w:spacing w:val="8"/>
        </w:rPr>
        <w:t>位（个人）为报告主体：</w:t>
      </w:r>
    </w:p>
    <w:p>
      <w:pPr>
        <w:pStyle w:val="BodyText"/>
        <w:ind w:left="424"/>
        <w:spacing w:before="4" w:line="278" w:lineRule="exact"/>
        <w:rPr/>
      </w:pPr>
      <w:r>
        <w:rPr>
          <w:spacing w:val="4"/>
          <w:position w:val="1"/>
        </w:rPr>
        <w:t>（</w:t>
      </w:r>
      <w:r>
        <w:rPr>
          <w:spacing w:val="-35"/>
          <w:position w:val="1"/>
        </w:rPr>
        <w:t xml:space="preserve"> </w:t>
      </w:r>
      <w:r>
        <w:rPr>
          <w:rFonts w:ascii="Times New Roman" w:hAnsi="Times New Roman" w:eastAsia="Times New Roman" w:cs="Times New Roman"/>
          <w:spacing w:val="4"/>
          <w:position w:val="1"/>
        </w:rPr>
        <w:t>1</w:t>
      </w:r>
      <w:r>
        <w:rPr>
          <w:rFonts w:ascii="Times New Roman" w:hAnsi="Times New Roman" w:eastAsia="Times New Roman" w:cs="Times New Roman"/>
          <w:spacing w:val="-21"/>
          <w:position w:val="1"/>
        </w:rPr>
        <w:t xml:space="preserve"> </w:t>
      </w:r>
      <w:r>
        <w:rPr>
          <w:spacing w:val="4"/>
          <w:position w:val="1"/>
        </w:rPr>
        <w:t>）食品安全事故发生（发现）单位；</w:t>
      </w:r>
    </w:p>
    <w:p>
      <w:pPr>
        <w:pStyle w:val="BodyText"/>
        <w:ind w:left="13" w:right="332" w:firstLine="411"/>
        <w:spacing w:before="107" w:line="291"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）接收事故病人治疗的单位及其主管</w:t>
      </w:r>
      <w:r>
        <w:rPr>
          <w:spacing w:val="4"/>
        </w:rPr>
        <w:t>部门；</w:t>
      </w:r>
    </w:p>
    <w:p>
      <w:pPr>
        <w:pStyle w:val="BodyText"/>
        <w:ind w:left="424"/>
        <w:spacing w:before="137" w:line="221" w:lineRule="auto"/>
        <w:rPr/>
      </w:pPr>
      <w:r>
        <w:rPr>
          <w:spacing w:val="-1"/>
        </w:rPr>
        <w:t>（</w:t>
      </w:r>
      <w:r>
        <w:rPr>
          <w:rFonts w:ascii="Times New Roman" w:hAnsi="Times New Roman" w:eastAsia="Times New Roman" w:cs="Times New Roman"/>
          <w:spacing w:val="-1"/>
        </w:rPr>
        <w:t>3</w:t>
      </w:r>
      <w:r>
        <w:rPr>
          <w:rFonts w:ascii="Times New Roman" w:hAnsi="Times New Roman" w:eastAsia="Times New Roman" w:cs="Times New Roman"/>
          <w:spacing w:val="-21"/>
        </w:rPr>
        <w:t xml:space="preserve"> </w:t>
      </w:r>
      <w:r>
        <w:rPr>
          <w:spacing w:val="-1"/>
        </w:rPr>
        <w:t>）与食品安全监管有关的部门（单位</w:t>
      </w:r>
      <w:r>
        <w:rPr>
          <w:spacing w:val="-37"/>
        </w:rPr>
        <w:t>）；</w:t>
      </w:r>
    </w:p>
    <w:p>
      <w:pPr>
        <w:spacing w:line="14" w:lineRule="auto"/>
        <w:rPr>
          <w:rFonts w:ascii="Arial"/>
          <w:sz w:val="2"/>
        </w:rPr>
      </w:pPr>
      <w:r>
        <w:rPr>
          <w:rFonts w:ascii="Arial" w:hAnsi="Arial" w:eastAsia="Arial" w:cs="Arial"/>
          <w:sz w:val="2"/>
          <w:szCs w:val="2"/>
        </w:rPr>
        <w:br w:type="column"/>
      </w:r>
    </w:p>
    <w:p>
      <w:pPr>
        <w:pStyle w:val="BodyText"/>
        <w:ind w:left="413"/>
        <w:spacing w:before="46" w:line="277" w:lineRule="exact"/>
        <w:rPr/>
      </w:pPr>
      <w:r>
        <w:rPr>
          <w:spacing w:val="7"/>
          <w:position w:val="1"/>
        </w:rPr>
        <w:t>（</w:t>
      </w:r>
      <w:r>
        <w:rPr>
          <w:rFonts w:ascii="Times New Roman" w:hAnsi="Times New Roman" w:eastAsia="Times New Roman" w:cs="Times New Roman"/>
          <w:spacing w:val="7"/>
          <w:position w:val="1"/>
        </w:rPr>
        <w:t>4</w:t>
      </w:r>
      <w:r>
        <w:rPr>
          <w:rFonts w:ascii="Times New Roman" w:hAnsi="Times New Roman" w:eastAsia="Times New Roman" w:cs="Times New Roman"/>
          <w:spacing w:val="-21"/>
          <w:position w:val="1"/>
        </w:rPr>
        <w:t xml:space="preserve"> </w:t>
      </w:r>
      <w:r>
        <w:rPr>
          <w:spacing w:val="7"/>
          <w:position w:val="1"/>
        </w:rPr>
        <w:t>）食品安全相关技术机构；</w:t>
      </w:r>
    </w:p>
    <w:p>
      <w:pPr>
        <w:pStyle w:val="BodyText"/>
        <w:ind w:left="413"/>
        <w:spacing w:before="107" w:line="277" w:lineRule="exact"/>
        <w:rPr/>
      </w:pPr>
      <w:r>
        <w:rPr>
          <w:spacing w:val="7"/>
          <w:position w:val="1"/>
        </w:rPr>
        <w:t>（</w:t>
      </w:r>
      <w:r>
        <w:rPr>
          <w:rFonts w:ascii="Times New Roman" w:hAnsi="Times New Roman" w:eastAsia="Times New Roman" w:cs="Times New Roman"/>
          <w:spacing w:val="7"/>
          <w:position w:val="1"/>
        </w:rPr>
        <w:t>5</w:t>
      </w:r>
      <w:r>
        <w:rPr>
          <w:rFonts w:ascii="Times New Roman" w:hAnsi="Times New Roman" w:eastAsia="Times New Roman" w:cs="Times New Roman"/>
          <w:spacing w:val="-20"/>
          <w:position w:val="1"/>
        </w:rPr>
        <w:t xml:space="preserve"> </w:t>
      </w:r>
      <w:r>
        <w:rPr>
          <w:spacing w:val="7"/>
          <w:position w:val="1"/>
        </w:rPr>
        <w:t>）食品生产经营者及消费者。</w:t>
      </w:r>
    </w:p>
    <w:p>
      <w:pPr>
        <w:pStyle w:val="BodyText"/>
        <w:ind w:left="3" w:right="59" w:firstLine="419"/>
        <w:spacing w:before="104" w:line="354" w:lineRule="auto"/>
        <w:jc w:val="both"/>
        <w:rPr/>
      </w:pPr>
      <w:r>
        <w:rPr>
          <w:spacing w:val="19"/>
        </w:rPr>
        <w:t>任何单位和个人不得对食品安全事故瞒</w:t>
      </w:r>
      <w:r>
        <w:rPr>
          <w:spacing w:val="7"/>
        </w:rPr>
        <w:t>报、谎报、缓报、漏报或者授意他人瞒报、谎</w:t>
      </w:r>
      <w:r>
        <w:rPr>
          <w:spacing w:val="7"/>
        </w:rPr>
        <w:t>报、缓报、漏报，不得阻碍他人报告，不得隐</w:t>
      </w:r>
      <w:r>
        <w:rPr>
          <w:spacing w:val="8"/>
        </w:rPr>
        <w:t>匿、伪造、毁灭有关证据。</w:t>
      </w:r>
    </w:p>
    <w:p>
      <w:pPr>
        <w:ind w:left="427"/>
        <w:spacing w:before="3" w:line="268" w:lineRule="exact"/>
        <w:rPr>
          <w:rFonts w:ascii="KaiTi" w:hAnsi="KaiTi" w:eastAsia="KaiTi" w:cs="KaiTi"/>
          <w:sz w:val="20"/>
          <w:szCs w:val="20"/>
        </w:rPr>
      </w:pPr>
      <w:r>
        <w:rPr>
          <w:rFonts w:ascii="Times New Roman" w:hAnsi="Times New Roman" w:eastAsia="Times New Roman" w:cs="Times New Roman"/>
          <w:sz w:val="20"/>
          <w:szCs w:val="20"/>
          <w:spacing w:val="4"/>
          <w:position w:val="1"/>
        </w:rPr>
        <w:t>5.3  </w:t>
      </w:r>
      <w:r>
        <w:rPr>
          <w:rFonts w:ascii="KaiTi" w:hAnsi="KaiTi" w:eastAsia="KaiTi" w:cs="KaiTi"/>
          <w:sz w:val="20"/>
          <w:szCs w:val="20"/>
          <w:spacing w:val="4"/>
          <w:position w:val="1"/>
        </w:rPr>
        <w:t>信息报告。</w:t>
      </w:r>
    </w:p>
    <w:p>
      <w:pPr>
        <w:pStyle w:val="BodyText"/>
        <w:ind w:right="52" w:firstLine="413"/>
        <w:spacing w:before="115" w:line="354"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）对特别重大、重大、较大事故或者</w:t>
      </w:r>
      <w:r>
        <w:rPr>
          <w:spacing w:val="7"/>
        </w:rPr>
        <w:t>事件本身比较敏感，可能演化为特别重大、重</w:t>
      </w:r>
      <w:r>
        <w:rPr>
          <w:spacing w:val="7"/>
        </w:rPr>
        <w:t>大、较大事故，事发地县（区）政府和各级行</w:t>
      </w:r>
      <w:r>
        <w:rPr>
          <w:spacing w:val="7"/>
        </w:rPr>
        <w:t>业主管部门、责任单位及应急工作机构接到事</w:t>
      </w:r>
      <w:r>
        <w:rPr>
          <w:spacing w:val="7"/>
        </w:rPr>
        <w:t>件报告后，要严格按照有关法律法规规定，</w:t>
      </w:r>
      <w:r>
        <w:rPr>
          <w:rFonts w:ascii="Times New Roman" w:hAnsi="Times New Roman" w:eastAsia="Times New Roman" w:cs="Times New Roman"/>
          <w:spacing w:val="7"/>
        </w:rPr>
        <w:t>30</w:t>
      </w:r>
      <w:r>
        <w:rPr>
          <w:spacing w:val="18"/>
        </w:rPr>
        <w:t>分钟内向市食品安全事故应急指挥部办公室</w:t>
      </w:r>
      <w:r>
        <w:rPr>
          <w:spacing w:val="10"/>
        </w:rPr>
        <w:t>和市委、市政府以及应急管理部门报告信息</w:t>
      </w:r>
      <w:r>
        <w:rPr/>
        <w:t xml:space="preserve">  </w:t>
      </w:r>
      <w:r>
        <w:rPr>
          <w:spacing w:val="7"/>
        </w:rPr>
        <w:t>。  信息报告主要内容包括：事件发生单位概</w:t>
      </w:r>
      <w:r>
        <w:rPr>
          <w:spacing w:val="7"/>
        </w:rPr>
        <w:t>况，事件发生的时间、地点、简要经过，可能</w:t>
      </w:r>
      <w:r>
        <w:rPr>
          <w:spacing w:val="7"/>
        </w:rPr>
        <w:t>造成的危害程度、影响范围、伤亡人数，已采</w:t>
      </w:r>
      <w:r>
        <w:rPr>
          <w:spacing w:val="5"/>
        </w:rPr>
        <w:t>取的应急处置措施，</w:t>
      </w:r>
      <w:r>
        <w:rPr>
          <w:spacing w:val="-47"/>
        </w:rPr>
        <w:t xml:space="preserve"> </w:t>
      </w:r>
      <w:r>
        <w:rPr>
          <w:spacing w:val="5"/>
        </w:rPr>
        <w:t>目前事件处置进展情况，</w:t>
      </w:r>
      <w:r>
        <w:rPr>
          <w:spacing w:val="8"/>
        </w:rPr>
        <w:t>下一步拟采取的措施。</w:t>
      </w:r>
    </w:p>
    <w:p>
      <w:pPr>
        <w:pStyle w:val="BodyText"/>
        <w:ind w:right="36" w:firstLine="412"/>
        <w:spacing w:before="6" w:line="354" w:lineRule="auto"/>
        <w:jc w:val="both"/>
        <w:rPr/>
      </w:pPr>
      <w:r>
        <w:rPr>
          <w:spacing w:val="5"/>
        </w:rPr>
        <w:t>（</w:t>
      </w:r>
      <w:r>
        <w:rPr>
          <w:rFonts w:ascii="Times New Roman" w:hAnsi="Times New Roman" w:eastAsia="Times New Roman" w:cs="Times New Roman"/>
          <w:spacing w:val="5"/>
        </w:rPr>
        <w:t>2</w:t>
      </w:r>
      <w:r>
        <w:rPr>
          <w:rFonts w:ascii="Times New Roman" w:hAnsi="Times New Roman" w:eastAsia="Times New Roman" w:cs="Times New Roman"/>
          <w:spacing w:val="-3"/>
        </w:rPr>
        <w:t xml:space="preserve"> </w:t>
      </w:r>
      <w:r>
        <w:rPr>
          <w:spacing w:val="5"/>
        </w:rPr>
        <w:t>）事件发生后</w:t>
      </w:r>
      <w:r>
        <w:rPr>
          <w:spacing w:val="-59"/>
        </w:rPr>
        <w:t xml:space="preserve"> </w:t>
      </w:r>
      <w:r>
        <w:rPr>
          <w:spacing w:val="5"/>
        </w:rPr>
        <w:t>，县（</w:t>
      </w:r>
      <w:r>
        <w:rPr>
          <w:spacing w:val="-48"/>
        </w:rPr>
        <w:t xml:space="preserve"> </w:t>
      </w:r>
      <w:r>
        <w:rPr>
          <w:spacing w:val="5"/>
        </w:rPr>
        <w:t>区）政府和市食</w:t>
      </w:r>
      <w:r>
        <w:rPr>
          <w:spacing w:val="18"/>
        </w:rPr>
        <w:t>品安全事故应急指挥部各成员单位在向市政</w:t>
      </w:r>
      <w:r>
        <w:rPr>
          <w:spacing w:val="8"/>
        </w:rPr>
        <w:t>府首报事故信息的同时，要报告联络员姓名、</w:t>
      </w:r>
      <w:r>
        <w:rPr>
          <w:spacing w:val="7"/>
        </w:rPr>
        <w:t>职务、联系方式、出发时间、到达现场时间或</w:t>
      </w:r>
      <w:r>
        <w:rPr>
          <w:spacing w:val="7"/>
        </w:rPr>
        <w:t>拟到达现场时间。如在应急处置过程中更换联</w:t>
      </w:r>
      <w:r>
        <w:rPr>
          <w:spacing w:val="8"/>
        </w:rPr>
        <w:t>络员，要及时报备。</w:t>
      </w:r>
    </w:p>
    <w:p>
      <w:pPr>
        <w:pStyle w:val="BodyText"/>
        <w:ind w:right="59" w:firstLine="420"/>
        <w:spacing w:before="7" w:line="352" w:lineRule="auto"/>
        <w:jc w:val="both"/>
        <w:rPr/>
      </w:pPr>
      <w:r>
        <w:rPr>
          <w:spacing w:val="4"/>
        </w:rPr>
        <w:t>应急处置联络员包括：事发地县（</w:t>
      </w:r>
      <w:r>
        <w:rPr>
          <w:spacing w:val="-47"/>
        </w:rPr>
        <w:t xml:space="preserve"> </w:t>
      </w:r>
      <w:r>
        <w:rPr>
          <w:spacing w:val="4"/>
        </w:rPr>
        <w:t>区）政</w:t>
      </w:r>
      <w:r>
        <w:rPr>
          <w:spacing w:val="7"/>
        </w:rPr>
        <w:t>府赶赴现场指挥先期处置工作的主要领导、分</w:t>
      </w:r>
      <w:r>
        <w:rPr>
          <w:spacing w:val="7"/>
        </w:rPr>
        <w:t>管领导和随同前往的县（区）政府办公室负责</w:t>
      </w:r>
      <w:r>
        <w:rPr>
          <w:spacing w:val="7"/>
        </w:rPr>
        <w:t>人；市食品安全事故应急指挥部各成员单位负</w:t>
      </w:r>
      <w:r>
        <w:rPr>
          <w:spacing w:val="7"/>
        </w:rPr>
        <w:t>责人及指挥部办公室主任；赶赴现场的市有关</w:t>
      </w:r>
      <w:r>
        <w:rPr>
          <w:spacing w:val="7"/>
        </w:rPr>
        <w:t>部门、单位领导和应急工作机构负责人均为事</w:t>
      </w:r>
      <w:r>
        <w:rPr>
          <w:spacing w:val="8"/>
        </w:rPr>
        <w:t>故应急处置联络员。</w:t>
      </w:r>
    </w:p>
    <w:p>
      <w:pPr>
        <w:pStyle w:val="BodyText"/>
        <w:ind w:left="2" w:right="59" w:firstLine="425"/>
        <w:spacing w:before="16" w:line="280" w:lineRule="auto"/>
        <w:rPr/>
      </w:pPr>
      <w:r>
        <w:rPr>
          <w:rFonts w:ascii="Times New Roman" w:hAnsi="Times New Roman" w:eastAsia="Times New Roman" w:cs="Times New Roman"/>
          <w:spacing w:val="8"/>
        </w:rPr>
        <w:t>5.4  </w:t>
      </w:r>
      <w:r>
        <w:rPr>
          <w:rFonts w:ascii="KaiTi" w:hAnsi="KaiTi" w:eastAsia="KaiTi" w:cs="KaiTi"/>
          <w:spacing w:val="8"/>
        </w:rPr>
        <w:t>先期处置</w:t>
      </w:r>
      <w:r>
        <w:rPr>
          <w:spacing w:val="8"/>
        </w:rPr>
        <w:t>。对特别重大、重大、较大</w:t>
      </w:r>
      <w:r>
        <w:rPr>
          <w:spacing w:val="7"/>
        </w:rPr>
        <w:t>事故或者事件本身比较敏感，可能演化为特别</w:t>
      </w:r>
    </w:p>
    <w:p>
      <w:pPr>
        <w:spacing w:line="280" w:lineRule="auto"/>
        <w:sectPr>
          <w:type w:val="continuous"/>
          <w:pgSz w:w="11906" w:h="16839"/>
          <w:pgMar w:top="1766" w:right="1530" w:bottom="1575" w:left="1579" w:header="1428" w:footer="1172" w:gutter="0"/>
          <w:cols w:equalWidth="0" w:num="2">
            <w:col w:w="4489" w:space="100"/>
            <w:col w:w="4207" w:space="0"/>
          </w:cols>
        </w:sectPr>
        <w:rPr/>
      </w:pPr>
    </w:p>
    <w:p>
      <w:pPr>
        <w:spacing w:before="61"/>
        <w:rPr/>
      </w:pPr>
      <w:r>
        <w:drawing>
          <wp:anchor distT="0" distB="0" distL="0" distR="0" simplePos="0" relativeHeight="253611008"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1998" name="IM 1998"/>
            <wp:cNvGraphicFramePr/>
            <a:graphic>
              <a:graphicData uri="http://schemas.openxmlformats.org/drawingml/2006/picture">
                <pic:pic>
                  <pic:nvPicPr>
                    <pic:cNvPr id="1998" name="IM 1998"/>
                    <pic:cNvPicPr/>
                  </pic:nvPicPr>
                  <pic:blipFill>
                    <a:blip r:embed="rId1001"/>
                    <a:stretch>
                      <a:fillRect/>
                    </a:stretch>
                  </pic:blipFill>
                  <pic:spPr>
                    <a:xfrm rot="0">
                      <a:off x="0" y="0"/>
                      <a:ext cx="5579745" cy="7620"/>
                    </a:xfrm>
                    <a:prstGeom prst="rect">
                      <a:avLst/>
                    </a:prstGeom>
                  </pic:spPr>
                </pic:pic>
              </a:graphicData>
            </a:graphic>
          </wp:anchor>
        </w:drawing>
      </w:r>
      <w:r/>
    </w:p>
    <w:p>
      <w:pPr>
        <w:sectPr>
          <w:headerReference w:type="default" r:id="rId810"/>
          <w:footerReference w:type="default" r:id="rId1000"/>
          <w:pgSz w:w="11906" w:h="16839"/>
          <w:pgMar w:top="1772" w:right="1489" w:bottom="1584" w:left="1567" w:header="1428" w:footer="1172" w:gutter="0"/>
          <w:cols w:equalWidth="0" w:num="1">
            <w:col w:w="8850" w:space="0"/>
          </w:cols>
        </w:sectPr>
        <w:rPr/>
      </w:pPr>
    </w:p>
    <w:p>
      <w:pPr>
        <w:pStyle w:val="BodyText"/>
        <w:ind w:left="25" w:right="315" w:firstLine="1"/>
        <w:spacing w:before="40" w:line="352" w:lineRule="auto"/>
        <w:jc w:val="both"/>
        <w:rPr/>
      </w:pPr>
      <w:r>
        <w:rPr>
          <w:spacing w:val="7"/>
        </w:rPr>
        <w:t>重大、重大、较大事故，事发地政府和相关单</w:t>
      </w:r>
      <w:r>
        <w:rPr>
          <w:spacing w:val="7"/>
        </w:rPr>
        <w:t>位要第一时间赶到现场，按照相关应急预案，</w:t>
      </w:r>
      <w:r>
        <w:rPr>
          <w:spacing w:val="8"/>
        </w:rPr>
        <w:t>组织开展先期处置工作。</w:t>
      </w:r>
    </w:p>
    <w:p>
      <w:pPr>
        <w:pStyle w:val="BodyText"/>
        <w:ind w:left="24" w:right="237" w:firstLine="427"/>
        <w:spacing w:before="2" w:line="349" w:lineRule="auto"/>
        <w:rPr/>
      </w:pPr>
      <w:r>
        <w:rPr>
          <w:rFonts w:ascii="Times New Roman" w:hAnsi="Times New Roman" w:eastAsia="Times New Roman" w:cs="Times New Roman"/>
          <w:spacing w:val="8"/>
        </w:rPr>
        <w:t>5.5  </w:t>
      </w:r>
      <w:r>
        <w:rPr>
          <w:rFonts w:ascii="KaiTi" w:hAnsi="KaiTi" w:eastAsia="KaiTi" w:cs="KaiTi"/>
          <w:spacing w:val="8"/>
        </w:rPr>
        <w:t>响应启动</w:t>
      </w:r>
      <w:r>
        <w:rPr>
          <w:spacing w:val="8"/>
        </w:rPr>
        <w:t>。按照食品事故的可控性、</w:t>
      </w:r>
      <w:r>
        <w:rPr>
          <w:spacing w:val="7"/>
        </w:rPr>
        <w:t>严重程度和影响范围，应急响应分为</w:t>
      </w:r>
      <w:r>
        <w:rPr>
          <w:rFonts w:ascii="Times New Roman" w:hAnsi="Times New Roman" w:eastAsia="Times New Roman" w:cs="Times New Roman"/>
          <w:spacing w:val="7"/>
        </w:rPr>
        <w:t>Ⅳ</w:t>
      </w:r>
      <w:r>
        <w:rPr>
          <w:spacing w:val="7"/>
        </w:rPr>
        <w:t>级、</w:t>
      </w:r>
      <w:r>
        <w:rPr>
          <w:rFonts w:ascii="Times New Roman" w:hAnsi="Times New Roman" w:eastAsia="Times New Roman" w:cs="Times New Roman"/>
          <w:spacing w:val="7"/>
        </w:rPr>
        <w:t>Ⅲ</w:t>
      </w:r>
      <w:r>
        <w:rPr>
          <w:spacing w:val="1"/>
        </w:rPr>
        <w:t>级、</w:t>
      </w:r>
      <w:r>
        <w:rPr>
          <w:rFonts w:ascii="Times New Roman" w:hAnsi="Times New Roman" w:eastAsia="Times New Roman" w:cs="Times New Roman"/>
          <w:spacing w:val="1"/>
        </w:rPr>
        <w:t>Ⅱ</w:t>
      </w:r>
      <w:r>
        <w:rPr>
          <w:spacing w:val="1"/>
        </w:rPr>
        <w:t>级、</w:t>
      </w:r>
      <w:r>
        <w:rPr>
          <w:rFonts w:ascii="Times New Roman" w:hAnsi="Times New Roman" w:eastAsia="Times New Roman" w:cs="Times New Roman"/>
          <w:spacing w:val="1"/>
        </w:rPr>
        <w:t>Ⅰ</w:t>
      </w:r>
      <w:r>
        <w:rPr>
          <w:spacing w:val="1"/>
        </w:rPr>
        <w:t>级四级，依次分别对应一般、较大、</w:t>
      </w:r>
      <w:r>
        <w:rPr>
          <w:spacing w:val="8"/>
        </w:rPr>
        <w:t>重大、特别重大级别的事故。</w:t>
      </w:r>
    </w:p>
    <w:p>
      <w:pPr>
        <w:pStyle w:val="BodyText"/>
        <w:ind w:left="26" w:right="322" w:firstLine="418"/>
        <w:spacing w:before="13" w:line="350" w:lineRule="auto"/>
        <w:jc w:val="both"/>
        <w:rPr/>
      </w:pPr>
      <w:r>
        <w:rPr>
          <w:spacing w:val="7"/>
        </w:rPr>
        <w:t>应急响应启动后，可视事态发展及其情况</w:t>
      </w:r>
      <w:r>
        <w:rPr>
          <w:spacing w:val="7"/>
        </w:rPr>
        <w:t>变化对响应级别及时进行相应调整，避免影响</w:t>
      </w:r>
      <w:r>
        <w:rPr>
          <w:spacing w:val="7"/>
        </w:rPr>
        <w:t>不足或影响过度造成的损失。事件有扩大趋势</w:t>
      </w:r>
      <w:r>
        <w:rPr>
          <w:spacing w:val="7"/>
        </w:rPr>
        <w:t>或已扩大，需启动高级别应急响应时，应及时</w:t>
      </w:r>
      <w:r>
        <w:rPr>
          <w:spacing w:val="8"/>
        </w:rPr>
        <w:t>报告上一级应急救援指挥机构。</w:t>
      </w:r>
    </w:p>
    <w:p>
      <w:pPr>
        <w:pStyle w:val="BodyText"/>
        <w:ind w:left="24" w:right="258" w:firstLine="413"/>
        <w:spacing w:before="3" w:line="351" w:lineRule="auto"/>
        <w:rPr/>
      </w:pPr>
      <w:r>
        <w:rPr>
          <w:spacing w:val="-3"/>
        </w:rPr>
        <w:t>（</w:t>
      </w:r>
      <w:r>
        <w:rPr>
          <w:spacing w:val="-39"/>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1"/>
        </w:rPr>
        <w:t xml:space="preserve"> </w:t>
      </w:r>
      <w:r>
        <w:rPr>
          <w:spacing w:val="-3"/>
        </w:rPr>
        <w:t>）</w:t>
      </w:r>
      <w:r>
        <w:rPr>
          <w:rFonts w:ascii="Times New Roman" w:hAnsi="Times New Roman" w:eastAsia="Times New Roman" w:cs="Times New Roman"/>
          <w:spacing w:val="-3"/>
        </w:rPr>
        <w:t>Ⅰ</w:t>
      </w:r>
      <w:r>
        <w:rPr>
          <w:spacing w:val="-3"/>
        </w:rPr>
        <w:t>级响应：发生特别重大食品事故时，</w:t>
      </w:r>
      <w:r>
        <w:rPr>
          <w:spacing w:val="18"/>
        </w:rPr>
        <w:t>市食品安全事故应急指挥部组织成员单位紧</w:t>
      </w:r>
      <w:r>
        <w:rPr>
          <w:spacing w:val="18"/>
        </w:rPr>
        <w:t>急会商或对事件影响及其发展趋势进行分析</w:t>
      </w:r>
      <w:r>
        <w:rPr>
          <w:spacing w:val="9"/>
        </w:rPr>
        <w:t>研判后，向市委、市政府提出响应级别建议</w:t>
      </w:r>
      <w:r>
        <w:rPr/>
        <w:t xml:space="preserve">   </w:t>
      </w:r>
      <w:r>
        <w:rPr>
          <w:spacing w:val="5"/>
        </w:rPr>
        <w:t>,</w:t>
      </w:r>
      <w:r>
        <w:rPr>
          <w:spacing w:val="55"/>
        </w:rPr>
        <w:t xml:space="preserve"> </w:t>
      </w:r>
      <w:r>
        <w:rPr>
          <w:spacing w:val="5"/>
        </w:rPr>
        <w:t>由市委、市政府迅速向自治区政府报告，</w:t>
      </w:r>
    </w:p>
    <w:p>
      <w:pPr>
        <w:pStyle w:val="BodyText"/>
        <w:ind w:left="25" w:right="343" w:firstLine="25"/>
        <w:spacing w:before="20" w:line="352" w:lineRule="auto"/>
        <w:rPr/>
      </w:pPr>
      <w:r>
        <w:rPr>
          <w:spacing w:val="11"/>
        </w:rPr>
        <w:t>由其决定宣布启动</w:t>
      </w:r>
      <w:r>
        <w:rPr>
          <w:rFonts w:ascii="Times New Roman" w:hAnsi="Times New Roman" w:eastAsia="Times New Roman" w:cs="Times New Roman"/>
          <w:spacing w:val="11"/>
        </w:rPr>
        <w:t>Ⅰ</w:t>
      </w:r>
      <w:r>
        <w:rPr>
          <w:spacing w:val="11"/>
        </w:rPr>
        <w:t>级响应，并向各有关单位</w:t>
      </w:r>
      <w:r>
        <w:rPr>
          <w:spacing w:val="9"/>
        </w:rPr>
        <w:t>发布启动相关应急程序的命令。市委、市政</w:t>
      </w:r>
      <w:r>
        <w:rPr>
          <w:spacing w:val="15"/>
        </w:rPr>
        <w:t>府应急管理部门领导和指挥市食品安全事故</w:t>
      </w:r>
      <w:r>
        <w:rPr>
          <w:spacing w:val="9"/>
        </w:rPr>
        <w:t>指挥部和有关地区、部门、单位组织开展前</w:t>
      </w:r>
      <w:r>
        <w:rPr>
          <w:spacing w:val="8"/>
        </w:rPr>
        <w:t>期应急处置各项工作。</w:t>
      </w:r>
    </w:p>
    <w:p>
      <w:pPr>
        <w:pStyle w:val="BodyText"/>
        <w:ind w:left="26" w:right="320" w:firstLine="410"/>
        <w:spacing w:before="9" w:line="341" w:lineRule="auto"/>
        <w:rPr/>
      </w:pPr>
      <w:r>
        <w:rPr>
          <w:spacing w:val="4"/>
        </w:rPr>
        <w:t>（</w:t>
      </w:r>
      <w:r>
        <w:rPr>
          <w:rFonts w:ascii="Times New Roman" w:hAnsi="Times New Roman" w:eastAsia="Times New Roman" w:cs="Times New Roman"/>
          <w:spacing w:val="4"/>
        </w:rPr>
        <w:t>2</w:t>
      </w:r>
      <w:r>
        <w:rPr>
          <w:rFonts w:ascii="Times New Roman" w:hAnsi="Times New Roman" w:eastAsia="Times New Roman" w:cs="Times New Roman"/>
          <w:spacing w:val="-20"/>
        </w:rPr>
        <w:t xml:space="preserve"> </w:t>
      </w:r>
      <w:r>
        <w:rPr>
          <w:spacing w:val="4"/>
        </w:rPr>
        <w:t>）</w:t>
      </w:r>
      <w:r>
        <w:rPr>
          <w:rFonts w:ascii="Times New Roman" w:hAnsi="Times New Roman" w:eastAsia="Times New Roman" w:cs="Times New Roman"/>
          <w:spacing w:val="4"/>
        </w:rPr>
        <w:t>Ⅱ</w:t>
      </w:r>
      <w:r>
        <w:rPr>
          <w:spacing w:val="4"/>
        </w:rPr>
        <w:t>级响应：发生重大食品事故时，指</w:t>
      </w:r>
      <w:r>
        <w:rPr>
          <w:spacing w:val="7"/>
        </w:rPr>
        <w:t>挥部组织成员单位紧急会商或分析研判后，向</w:t>
      </w:r>
      <w:r>
        <w:rPr>
          <w:spacing w:val="7"/>
        </w:rPr>
        <w:t>市委、市政府提出响应级别建议，由市委、</w:t>
      </w:r>
    </w:p>
    <w:p>
      <w:pPr>
        <w:pStyle w:val="BodyText"/>
        <w:ind w:left="24" w:right="393" w:firstLine="11"/>
        <w:spacing w:before="2" w:line="370" w:lineRule="auto"/>
        <w:rPr/>
      </w:pPr>
      <w:r>
        <w:rPr>
          <w:spacing w:val="8"/>
        </w:rPr>
        <w:t>市政府迅速向自治区政府报告，</w:t>
      </w:r>
      <w:r>
        <w:rPr>
          <w:spacing w:val="-55"/>
        </w:rPr>
        <w:t xml:space="preserve"> </w:t>
      </w:r>
      <w:r>
        <w:rPr>
          <w:spacing w:val="8"/>
        </w:rPr>
        <w:t>由其决定宣</w:t>
      </w:r>
      <w:r>
        <w:rPr>
          <w:spacing w:val="7"/>
        </w:rPr>
        <w:t>布启动</w:t>
      </w:r>
      <w:r>
        <w:rPr>
          <w:rFonts w:ascii="Times New Roman" w:hAnsi="Times New Roman" w:eastAsia="Times New Roman" w:cs="Times New Roman"/>
          <w:spacing w:val="7"/>
        </w:rPr>
        <w:t>Ⅱ</w:t>
      </w:r>
      <w:r>
        <w:rPr>
          <w:spacing w:val="7"/>
        </w:rPr>
        <w:t>级响应，并向各有关单位发布启动相</w:t>
      </w:r>
      <w:r>
        <w:rPr>
          <w:spacing w:val="7"/>
        </w:rPr>
        <w:t>关应急程序的命令。市委、市政府应急管理</w:t>
      </w:r>
    </w:p>
    <w:p>
      <w:pPr>
        <w:pStyle w:val="BodyText"/>
        <w:ind w:left="25" w:right="322"/>
        <w:spacing w:before="1" w:line="337" w:lineRule="auto"/>
        <w:rPr/>
      </w:pPr>
      <w:r>
        <w:rPr>
          <w:spacing w:val="9"/>
        </w:rPr>
        <w:t>部门统一领导和指挥市食品安全事故指挥部</w:t>
      </w:r>
      <w:r>
        <w:rPr>
          <w:spacing w:val="7"/>
        </w:rPr>
        <w:t>和有关地区、部门单位组织开展前期应急处置</w:t>
      </w:r>
      <w:r>
        <w:rPr>
          <w:spacing w:val="-24"/>
          <w:w w:val="80"/>
        </w:rPr>
        <w:t>各项工（作</w:t>
      </w:r>
      <w:r>
        <w:rPr>
          <w:rFonts w:ascii="Times New Roman" w:hAnsi="Times New Roman" w:eastAsia="Times New Roman" w:cs="Times New Roman"/>
          <w:spacing w:val="-24"/>
          <w:w w:val="80"/>
        </w:rPr>
        <w:t>3</w:t>
      </w:r>
      <w:r>
        <w:rPr>
          <w:spacing w:val="-24"/>
          <w:w w:val="80"/>
        </w:rPr>
        <w:t>）。</w:t>
      </w:r>
      <w:r>
        <w:rPr>
          <w:rFonts w:ascii="Times New Roman" w:hAnsi="Times New Roman" w:eastAsia="Times New Roman" w:cs="Times New Roman"/>
          <w:spacing w:val="-24"/>
          <w:w w:val="80"/>
        </w:rPr>
        <w:t>Ⅲ</w:t>
      </w:r>
      <w:r>
        <w:rPr>
          <w:spacing w:val="11"/>
        </w:rPr>
        <w:t>级响应：发生较大食品事故时</w:t>
      </w:r>
      <w:r>
        <w:rPr>
          <w:spacing w:val="-47"/>
        </w:rPr>
        <w:t xml:space="preserve"> </w:t>
      </w:r>
      <w:r>
        <w:rPr>
          <w:spacing w:val="11"/>
        </w:rPr>
        <w:t>，</w:t>
      </w:r>
      <w:r>
        <w:rPr>
          <w:spacing w:val="18"/>
        </w:rPr>
        <w:t>市政府或其食品安全事故应急指挥机构组织</w:t>
      </w:r>
      <w:r>
        <w:rPr>
          <w:spacing w:val="7"/>
        </w:rPr>
        <w:t>各成员单位和专家进行分析研判，对事件及其</w:t>
      </w:r>
      <w:r>
        <w:rPr>
          <w:spacing w:val="7"/>
        </w:rPr>
        <w:t>发展趋势进行综合评估后，由市政府或应急指</w:t>
      </w:r>
    </w:p>
    <w:p>
      <w:pPr>
        <w:spacing w:line="14" w:lineRule="auto"/>
        <w:rPr>
          <w:rFonts w:ascii="Arial"/>
          <w:sz w:val="2"/>
        </w:rPr>
      </w:pPr>
      <w:r>
        <w:rPr>
          <w:rFonts w:ascii="Arial" w:hAnsi="Arial" w:eastAsia="Arial" w:cs="Arial"/>
          <w:sz w:val="2"/>
          <w:szCs w:val="2"/>
        </w:rPr>
        <w:br w:type="column"/>
      </w:r>
    </w:p>
    <w:p>
      <w:pPr>
        <w:pStyle w:val="BodyText"/>
        <w:ind w:left="8" w:right="98"/>
        <w:spacing w:before="38" w:line="353" w:lineRule="auto"/>
        <w:rPr/>
      </w:pPr>
      <w:r>
        <w:rPr>
          <w:spacing w:val="7"/>
        </w:rPr>
        <w:t>挥机构决定启动</w:t>
      </w:r>
      <w:r>
        <w:rPr>
          <w:rFonts w:ascii="Times New Roman" w:hAnsi="Times New Roman" w:eastAsia="Times New Roman" w:cs="Times New Roman"/>
          <w:spacing w:val="7"/>
        </w:rPr>
        <w:t>Ⅲ</w:t>
      </w:r>
      <w:r>
        <w:rPr>
          <w:spacing w:val="7"/>
        </w:rPr>
        <w:t>级应急响应，并向各有关单</w:t>
      </w:r>
      <w:r>
        <w:rPr>
          <w:spacing w:val="8"/>
        </w:rPr>
        <w:t>位发布启动相关应急程序的命令。市委、市</w:t>
      </w:r>
    </w:p>
    <w:p>
      <w:pPr>
        <w:pStyle w:val="BodyText"/>
        <w:ind w:left="10" w:right="120"/>
        <w:spacing w:before="1" w:line="335" w:lineRule="auto"/>
        <w:rPr/>
      </w:pPr>
      <w:r>
        <w:rPr>
          <w:spacing w:val="17"/>
        </w:rPr>
        <w:t>政府和应急管理部门或市食品安全事故应急</w:t>
      </w:r>
      <w:r>
        <w:rPr>
          <w:spacing w:val="7"/>
        </w:rPr>
        <w:t>指挥部统一领导、指挥和协调事发地政府和</w:t>
      </w:r>
    </w:p>
    <w:p>
      <w:pPr>
        <w:pStyle w:val="BodyText"/>
        <w:ind w:left="8"/>
        <w:spacing w:before="44" w:line="221" w:lineRule="auto"/>
        <w:rPr/>
      </w:pPr>
      <w:r>
        <w:rPr>
          <w:spacing w:val="9"/>
        </w:rPr>
        <w:t>有关部门按照职责分工开展应急处置工作。</w:t>
      </w:r>
    </w:p>
    <w:p>
      <w:pPr>
        <w:pStyle w:val="BodyText"/>
        <w:ind w:right="82" w:firstLine="420"/>
        <w:spacing w:before="140" w:line="352" w:lineRule="auto"/>
        <w:jc w:val="both"/>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7"/>
        </w:rPr>
        <w:t xml:space="preserve"> </w:t>
      </w:r>
      <w:r>
        <w:rPr>
          <w:spacing w:val="11"/>
        </w:rPr>
        <w:t>）</w:t>
      </w:r>
      <w:r>
        <w:rPr>
          <w:rFonts w:ascii="Times New Roman" w:hAnsi="Times New Roman" w:eastAsia="Times New Roman" w:cs="Times New Roman"/>
          <w:spacing w:val="11"/>
        </w:rPr>
        <w:t>Ⅳ</w:t>
      </w:r>
      <w:r>
        <w:rPr>
          <w:spacing w:val="11"/>
        </w:rPr>
        <w:t>级响应：发生一般食品事故时，</w:t>
      </w:r>
      <w:r>
        <w:rPr>
          <w:spacing w:val="7"/>
        </w:rPr>
        <w:t>事发地县（区）政府或食品事故应急指挥机构</w:t>
      </w:r>
      <w:r>
        <w:rPr>
          <w:spacing w:val="7"/>
        </w:rPr>
        <w:t>组织各成员单位和专家进行分析研判，对事件</w:t>
      </w:r>
      <w:r>
        <w:rPr>
          <w:spacing w:val="16"/>
        </w:rPr>
        <w:t>影响及其发展趋势进行综合评估后</w:t>
      </w:r>
      <w:r>
        <w:rPr>
          <w:spacing w:val="-51"/>
        </w:rPr>
        <w:t xml:space="preserve"> </w:t>
      </w:r>
      <w:r>
        <w:rPr>
          <w:spacing w:val="16"/>
        </w:rPr>
        <w:t>，由各县</w:t>
      </w:r>
      <w:r>
        <w:rPr>
          <w:spacing w:val="5"/>
        </w:rPr>
        <w:t>（</w:t>
      </w:r>
      <w:r>
        <w:rPr>
          <w:spacing w:val="-39"/>
        </w:rPr>
        <w:t xml:space="preserve"> </w:t>
      </w:r>
      <w:r>
        <w:rPr>
          <w:spacing w:val="5"/>
        </w:rPr>
        <w:t>区）应急指挥机构决定启动</w:t>
      </w:r>
      <w:r>
        <w:rPr>
          <w:rFonts w:ascii="Times New Roman" w:hAnsi="Times New Roman" w:eastAsia="Times New Roman" w:cs="Times New Roman"/>
          <w:spacing w:val="5"/>
        </w:rPr>
        <w:t>Ⅳ</w:t>
      </w:r>
      <w:r>
        <w:rPr>
          <w:spacing w:val="5"/>
        </w:rPr>
        <w:t>级应急响应，</w:t>
      </w:r>
      <w:r>
        <w:rPr>
          <w:spacing w:val="18"/>
        </w:rPr>
        <w:t>并向各有关单位发布启动相关应急程序的命</w:t>
      </w:r>
      <w:r>
        <w:rPr>
          <w:spacing w:val="7"/>
        </w:rPr>
        <w:t>令。必要时，市级食品事件应急指挥机构派出</w:t>
      </w:r>
      <w:r>
        <w:rPr>
          <w:spacing w:val="5"/>
        </w:rPr>
        <w:t>工作组赶赴事件现场，指导各县（</w:t>
      </w:r>
      <w:r>
        <w:rPr>
          <w:spacing w:val="-47"/>
        </w:rPr>
        <w:t xml:space="preserve"> </w:t>
      </w:r>
      <w:r>
        <w:rPr>
          <w:spacing w:val="5"/>
        </w:rPr>
        <w:t>区）开展相</w:t>
      </w:r>
      <w:r>
        <w:rPr>
          <w:spacing w:val="9"/>
        </w:rPr>
        <w:t>关应急处置工作。</w:t>
      </w:r>
    </w:p>
    <w:p>
      <w:pPr>
        <w:ind w:left="434"/>
        <w:spacing w:before="25" w:line="264" w:lineRule="exact"/>
        <w:rPr>
          <w:rFonts w:ascii="KaiTi" w:hAnsi="KaiTi" w:eastAsia="KaiTi" w:cs="KaiTi"/>
          <w:sz w:val="20"/>
          <w:szCs w:val="20"/>
        </w:rPr>
      </w:pPr>
      <w:r>
        <w:rPr>
          <w:rFonts w:ascii="Times New Roman" w:hAnsi="Times New Roman" w:eastAsia="Times New Roman" w:cs="Times New Roman"/>
          <w:sz w:val="20"/>
          <w:szCs w:val="20"/>
          <w:spacing w:val="4"/>
          <w:position w:val="1"/>
        </w:rPr>
        <w:t>5.6  </w:t>
      </w:r>
      <w:r>
        <w:rPr>
          <w:rFonts w:ascii="KaiTi" w:hAnsi="KaiTi" w:eastAsia="KaiTi" w:cs="KaiTi"/>
          <w:sz w:val="20"/>
          <w:szCs w:val="20"/>
          <w:spacing w:val="4"/>
          <w:position w:val="1"/>
        </w:rPr>
        <w:t>相应措施。</w:t>
      </w:r>
    </w:p>
    <w:p>
      <w:pPr>
        <w:pStyle w:val="BodyText"/>
        <w:spacing w:before="120" w:line="278" w:lineRule="exact"/>
        <w:jc w:val="right"/>
        <w:rPr/>
      </w:pPr>
      <w:r>
        <w:rPr>
          <w:spacing w:val="-9"/>
          <w:position w:val="1"/>
        </w:rPr>
        <w:t>（</w:t>
      </w:r>
      <w:r>
        <w:rPr>
          <w:spacing w:val="-33"/>
          <w:position w:val="1"/>
        </w:rPr>
        <w:t xml:space="preserve"> </w:t>
      </w:r>
      <w:r>
        <w:rPr>
          <w:rFonts w:ascii="Times New Roman" w:hAnsi="Times New Roman" w:eastAsia="Times New Roman" w:cs="Times New Roman"/>
          <w:spacing w:val="-9"/>
          <w:position w:val="1"/>
        </w:rPr>
        <w:t>1</w:t>
      </w:r>
      <w:r>
        <w:rPr>
          <w:rFonts w:ascii="Times New Roman" w:hAnsi="Times New Roman" w:eastAsia="Times New Roman" w:cs="Times New Roman"/>
          <w:spacing w:val="-21"/>
          <w:position w:val="1"/>
        </w:rPr>
        <w:t xml:space="preserve"> </w:t>
      </w:r>
      <w:r>
        <w:rPr>
          <w:spacing w:val="-9"/>
          <w:position w:val="1"/>
        </w:rPr>
        <w:t>）市食品安全事故指挥部紧急处置措施。</w:t>
      </w:r>
    </w:p>
    <w:p>
      <w:pPr>
        <w:pStyle w:val="BodyText"/>
        <w:ind w:left="10" w:right="101" w:firstLine="418"/>
        <w:spacing w:before="106" w:line="312" w:lineRule="auto"/>
        <w:rPr/>
      </w:pPr>
      <w:r>
        <w:rPr>
          <w:rFonts w:ascii="KaiTi" w:hAnsi="KaiTi" w:eastAsia="KaiTi" w:cs="KaiTi"/>
          <w:spacing w:val="19"/>
        </w:rPr>
        <w:t>①</w:t>
      </w:r>
      <w:r>
        <w:rPr>
          <w:spacing w:val="19"/>
        </w:rPr>
        <w:t>市食品安全事故应急指挥部迅速向自</w:t>
      </w:r>
      <w:r>
        <w:rPr>
          <w:spacing w:val="18"/>
        </w:rPr>
        <w:t>治区政府或自治区食品安全事故应急指挥部</w:t>
      </w:r>
      <w:r>
        <w:rPr>
          <w:spacing w:val="4"/>
        </w:rPr>
        <w:t>报告；</w:t>
      </w:r>
    </w:p>
    <w:p>
      <w:pPr>
        <w:pStyle w:val="BodyText"/>
        <w:ind w:left="8" w:right="101" w:firstLine="420"/>
        <w:spacing w:before="139" w:line="289" w:lineRule="auto"/>
        <w:rPr/>
      </w:pPr>
      <w:r>
        <w:rPr>
          <w:rFonts w:ascii="KaiTi" w:hAnsi="KaiTi" w:eastAsia="KaiTi" w:cs="KaiTi"/>
          <w:spacing w:val="6"/>
        </w:rPr>
        <w:t>②</w:t>
      </w:r>
      <w:r>
        <w:rPr>
          <w:spacing w:val="6"/>
        </w:rPr>
        <w:t>指挥有关部门、单位迅速开展前期应急</w:t>
      </w:r>
      <w:r>
        <w:rPr>
          <w:spacing w:val="7"/>
        </w:rPr>
        <w:t>处置各项工作。</w:t>
      </w:r>
    </w:p>
    <w:p>
      <w:pPr>
        <w:pStyle w:val="BodyText"/>
        <w:ind w:left="8" w:right="103" w:firstLine="411"/>
        <w:spacing w:before="140" w:line="289"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）市食品安全事故指挥部办公室紧急</w:t>
      </w:r>
      <w:r>
        <w:rPr>
          <w:spacing w:val="6"/>
        </w:rPr>
        <w:t>处置措施。</w:t>
      </w:r>
    </w:p>
    <w:p>
      <w:pPr>
        <w:pStyle w:val="BodyText"/>
        <w:ind w:left="7" w:right="101" w:firstLine="420"/>
        <w:spacing w:before="144" w:line="310" w:lineRule="auto"/>
        <w:rPr/>
      </w:pPr>
      <w:r>
        <w:rPr>
          <w:rFonts w:ascii="KaiTi" w:hAnsi="KaiTi" w:eastAsia="KaiTi" w:cs="KaiTi"/>
          <w:spacing w:val="6"/>
        </w:rPr>
        <w:t>①</w:t>
      </w:r>
      <w:r>
        <w:rPr>
          <w:spacing w:val="6"/>
        </w:rPr>
        <w:t>迅速向市委、市政府应急管理部门或食</w:t>
      </w:r>
      <w:r>
        <w:rPr>
          <w:spacing w:val="7"/>
        </w:rPr>
        <w:t>品安全事故应急指挥部报告事故情况，并提出</w:t>
      </w:r>
      <w:r>
        <w:rPr>
          <w:spacing w:val="7"/>
        </w:rPr>
        <w:t>初步处置建议。</w:t>
      </w:r>
    </w:p>
    <w:p>
      <w:pPr>
        <w:pStyle w:val="BodyText"/>
        <w:ind w:left="10" w:right="101" w:firstLine="417"/>
        <w:spacing w:before="143" w:line="290" w:lineRule="auto"/>
        <w:rPr/>
      </w:pPr>
      <w:r>
        <w:rPr>
          <w:rFonts w:ascii="KaiTi" w:hAnsi="KaiTi" w:eastAsia="KaiTi" w:cs="KaiTi"/>
          <w:spacing w:val="19"/>
        </w:rPr>
        <w:t>②</w:t>
      </w:r>
      <w:r>
        <w:rPr>
          <w:spacing w:val="19"/>
        </w:rPr>
        <w:t>按照有关规定及时向社会发布事件信</w:t>
      </w:r>
      <w:r>
        <w:rPr>
          <w:spacing w:val="7"/>
        </w:rPr>
        <w:t>息，公布咨询电话。</w:t>
      </w:r>
    </w:p>
    <w:p>
      <w:pPr>
        <w:pStyle w:val="BodyText"/>
        <w:ind w:left="7" w:right="101" w:firstLine="420"/>
        <w:spacing w:before="141" w:line="289" w:lineRule="auto"/>
        <w:rPr/>
      </w:pPr>
      <w:r>
        <w:rPr>
          <w:rFonts w:ascii="KaiTi" w:hAnsi="KaiTi" w:eastAsia="KaiTi" w:cs="KaiTi"/>
          <w:spacing w:val="6"/>
        </w:rPr>
        <w:t>③</w:t>
      </w:r>
      <w:r>
        <w:rPr>
          <w:spacing w:val="6"/>
        </w:rPr>
        <w:t>根据事态发展，指令各应急工作组进行</w:t>
      </w:r>
      <w:r>
        <w:rPr>
          <w:spacing w:val="7"/>
        </w:rPr>
        <w:t>应急处置工作。</w:t>
      </w:r>
    </w:p>
    <w:p>
      <w:pPr>
        <w:pStyle w:val="BodyText"/>
        <w:ind w:right="6"/>
        <w:spacing w:before="141" w:line="277" w:lineRule="exact"/>
        <w:jc w:val="right"/>
        <w:rPr/>
      </w:pPr>
      <w:r>
        <w:rPr>
          <w:spacing w:val="5"/>
          <w:position w:val="1"/>
        </w:rPr>
        <w:t>（</w:t>
      </w:r>
      <w:r>
        <w:rPr>
          <w:rFonts w:ascii="Times New Roman" w:hAnsi="Times New Roman" w:eastAsia="Times New Roman" w:cs="Times New Roman"/>
          <w:spacing w:val="5"/>
          <w:position w:val="1"/>
        </w:rPr>
        <w:t>3</w:t>
      </w:r>
      <w:r>
        <w:rPr>
          <w:rFonts w:ascii="Times New Roman" w:hAnsi="Times New Roman" w:eastAsia="Times New Roman" w:cs="Times New Roman"/>
          <w:spacing w:val="-18"/>
          <w:position w:val="1"/>
        </w:rPr>
        <w:t xml:space="preserve"> </w:t>
      </w:r>
      <w:r>
        <w:rPr>
          <w:spacing w:val="5"/>
          <w:position w:val="1"/>
        </w:rPr>
        <w:t>）各成员单位或工作组紧急处置措施。</w:t>
      </w:r>
    </w:p>
    <w:p>
      <w:pPr>
        <w:pStyle w:val="BodyText"/>
        <w:ind w:left="8" w:right="101" w:firstLine="420"/>
        <w:spacing w:before="107" w:line="315" w:lineRule="auto"/>
        <w:rPr>
          <w:sz w:val="18"/>
          <w:szCs w:val="18"/>
        </w:rPr>
      </w:pPr>
      <w:r>
        <w:rPr>
          <w:rFonts w:ascii="KaiTi" w:hAnsi="KaiTi" w:eastAsia="KaiTi" w:cs="KaiTi"/>
          <w:spacing w:val="6"/>
        </w:rPr>
        <w:t>①</w:t>
      </w:r>
      <w:r>
        <w:rPr>
          <w:spacing w:val="6"/>
        </w:rPr>
        <w:t>卫生健康委员会利用医疗资源，立即组</w:t>
      </w:r>
      <w:r>
        <w:rPr>
          <w:sz w:val="18"/>
          <w:szCs w:val="18"/>
          <w:spacing w:val="-1"/>
        </w:rPr>
        <w:t>织指导医疗机构开展食品安全事故患者的救治。</w:t>
      </w:r>
    </w:p>
    <w:p>
      <w:pPr>
        <w:pStyle w:val="BodyText"/>
        <w:ind w:left="428"/>
        <w:spacing w:before="136" w:line="210" w:lineRule="auto"/>
        <w:rPr/>
      </w:pPr>
      <w:r>
        <w:rPr>
          <w:rFonts w:ascii="KaiTi" w:hAnsi="KaiTi" w:eastAsia="KaiTi" w:cs="KaiTi"/>
          <w:spacing w:val="19"/>
        </w:rPr>
        <w:t>②</w:t>
      </w:r>
      <w:r>
        <w:rPr>
          <w:spacing w:val="19"/>
        </w:rPr>
        <w:t>卫生健康委员会及时组织疾病预防控</w:t>
      </w:r>
    </w:p>
    <w:p>
      <w:pPr>
        <w:spacing w:line="210" w:lineRule="auto"/>
        <w:sectPr>
          <w:type w:val="continuous"/>
          <w:pgSz w:w="11906" w:h="16839"/>
          <w:pgMar w:top="1772" w:right="1489" w:bottom="1584" w:left="1567" w:header="1428" w:footer="1172" w:gutter="0"/>
          <w:cols w:equalWidth="0" w:num="2">
            <w:col w:w="4495" w:space="100"/>
            <w:col w:w="4256" w:space="0"/>
          </w:cols>
        </w:sectPr>
        <w:rPr/>
      </w:pPr>
    </w:p>
    <w:p>
      <w:pPr>
        <w:spacing w:before="85"/>
        <w:rPr/>
      </w:pPr>
      <w:r>
        <w:drawing>
          <wp:anchor distT="0" distB="0" distL="0" distR="0" simplePos="0" relativeHeight="253623296"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2002" name="IM 2002"/>
            <wp:cNvGraphicFramePr/>
            <a:graphic>
              <a:graphicData uri="http://schemas.openxmlformats.org/drawingml/2006/picture">
                <pic:pic>
                  <pic:nvPicPr>
                    <pic:cNvPr id="2002" name="IM 2002"/>
                    <pic:cNvPicPr/>
                  </pic:nvPicPr>
                  <pic:blipFill>
                    <a:blip r:embed="rId1003"/>
                    <a:stretch>
                      <a:fillRect/>
                    </a:stretch>
                  </pic:blipFill>
                  <pic:spPr>
                    <a:xfrm rot="0">
                      <a:off x="0" y="0"/>
                      <a:ext cx="5579745" cy="7620"/>
                    </a:xfrm>
                    <a:prstGeom prst="rect">
                      <a:avLst/>
                    </a:prstGeom>
                  </pic:spPr>
                </pic:pic>
              </a:graphicData>
            </a:graphic>
          </wp:anchor>
        </w:drawing>
      </w:r>
      <w:r/>
    </w:p>
    <w:p>
      <w:pPr>
        <w:sectPr>
          <w:headerReference w:type="default" r:id="rId597"/>
          <w:footerReference w:type="default" r:id="rId1002"/>
          <w:pgSz w:w="11906" w:h="16839"/>
          <w:pgMar w:top="1766" w:right="1509" w:bottom="1575" w:left="1579" w:header="1428" w:footer="1172" w:gutter="0"/>
          <w:cols w:equalWidth="0" w:num="1">
            <w:col w:w="8817" w:space="0"/>
          </w:cols>
        </w:sectPr>
        <w:rPr/>
      </w:pPr>
    </w:p>
    <w:p>
      <w:pPr>
        <w:pStyle w:val="BodyText"/>
        <w:ind w:left="10" w:right="306" w:firstLine="3"/>
        <w:spacing w:before="40" w:line="374" w:lineRule="auto"/>
        <w:jc w:val="both"/>
        <w:rPr/>
      </w:pPr>
      <w:r>
        <w:rPr>
          <w:spacing w:val="8"/>
        </w:rPr>
        <w:t>制机构开展流行病学调查与检测，市场监管、</w:t>
      </w:r>
      <w:r>
        <w:rPr>
          <w:spacing w:val="18"/>
        </w:rPr>
        <w:t>农业农村部门及时组织检验机构开展抽样检</w:t>
      </w:r>
      <w:r>
        <w:rPr>
          <w:spacing w:val="7"/>
        </w:rPr>
        <w:t>验，查找食品安全事故发生的原因。对涉嫌犯</w:t>
      </w:r>
      <w:r>
        <w:rPr>
          <w:spacing w:val="7"/>
        </w:rPr>
        <w:t>罪的，公安机关及时介入，开展相关违法犯罪</w:t>
      </w:r>
      <w:r>
        <w:rPr>
          <w:spacing w:val="8"/>
        </w:rPr>
        <w:t>行为侦破工作。</w:t>
      </w:r>
    </w:p>
    <w:p>
      <w:pPr>
        <w:pStyle w:val="BodyText"/>
        <w:ind w:left="12" w:right="248" w:firstLine="420"/>
        <w:spacing w:before="9" w:line="361" w:lineRule="auto"/>
        <w:rPr>
          <w:sz w:val="18"/>
          <w:szCs w:val="18"/>
        </w:rPr>
      </w:pPr>
      <w:r>
        <w:rPr>
          <w:rFonts w:ascii="KaiTi" w:hAnsi="KaiTi" w:eastAsia="KaiTi" w:cs="KaiTi"/>
        </w:rPr>
        <w:t>③</w:t>
      </w:r>
      <w:r>
        <w:rPr/>
        <w:t>农业农村、市场监管、教育体育、民政、</w:t>
      </w:r>
      <w:r>
        <w:rPr>
          <w:spacing w:val="18"/>
        </w:rPr>
        <w:t>住建等有关部门应当依法强制性就地或异地</w:t>
      </w:r>
      <w:r>
        <w:rPr>
          <w:spacing w:val="18"/>
        </w:rPr>
        <w:t>封存事故相关食品及原料和被污染的食品用</w:t>
      </w:r>
      <w:r>
        <w:rPr>
          <w:spacing w:val="7"/>
        </w:rPr>
        <w:t>工具及用具，待卫生健康委员会查明导致食品</w:t>
      </w:r>
      <w:r>
        <w:rPr>
          <w:spacing w:val="7"/>
        </w:rPr>
        <w:t>安全事故的原因后，责令食品生产经营者彻底</w:t>
      </w:r>
      <w:r>
        <w:rPr>
          <w:sz w:val="18"/>
          <w:szCs w:val="18"/>
          <w:spacing w:val="-1"/>
        </w:rPr>
        <w:t>清洗消毒被污染的食品用工具及用具，消除污染。</w:t>
      </w:r>
    </w:p>
    <w:p>
      <w:pPr>
        <w:pStyle w:val="BodyText"/>
        <w:ind w:left="10" w:right="329" w:firstLine="422"/>
        <w:spacing w:before="140" w:line="338" w:lineRule="auto"/>
        <w:rPr/>
      </w:pPr>
      <w:r>
        <w:rPr>
          <w:rFonts w:ascii="KaiTi" w:hAnsi="KaiTi" w:eastAsia="KaiTi" w:cs="KaiTi"/>
          <w:spacing w:val="19"/>
        </w:rPr>
        <w:t>④</w:t>
      </w:r>
      <w:r>
        <w:rPr>
          <w:spacing w:val="19"/>
        </w:rPr>
        <w:t>对确认受到有毒有害物质污染的相关</w:t>
      </w:r>
      <w:r>
        <w:rPr>
          <w:spacing w:val="7"/>
        </w:rPr>
        <w:t>食品及原料，农业农村、市场监管等有关部门</w:t>
      </w:r>
      <w:r>
        <w:rPr>
          <w:spacing w:val="7"/>
        </w:rPr>
        <w:t>应当依法责令生产经营者召回、停止经营并销</w:t>
      </w:r>
      <w:r>
        <w:rPr>
          <w:spacing w:val="9"/>
        </w:rPr>
        <w:t>毁。检验后确认未被污染的应当予以解封。</w:t>
      </w:r>
    </w:p>
    <w:p>
      <w:pPr>
        <w:pStyle w:val="BodyText"/>
        <w:ind w:left="11" w:right="309" w:firstLine="421"/>
        <w:spacing w:before="164" w:line="347" w:lineRule="auto"/>
        <w:rPr/>
      </w:pPr>
      <w:r>
        <w:rPr>
          <w:rFonts w:ascii="KaiTi" w:hAnsi="KaiTi" w:eastAsia="KaiTi" w:cs="KaiTi"/>
          <w:spacing w:val="6"/>
        </w:rPr>
        <w:t>⑤</w:t>
      </w:r>
      <w:r>
        <w:rPr>
          <w:spacing w:val="6"/>
        </w:rPr>
        <w:t>发展和改革委和粮食储备局，及时协调</w:t>
      </w:r>
      <w:r>
        <w:rPr>
          <w:spacing w:val="18"/>
        </w:rPr>
        <w:t>好食品安全事故应急处置所需物资的储备与</w:t>
      </w:r>
      <w:r>
        <w:rPr>
          <w:spacing w:val="8"/>
        </w:rPr>
        <w:t>调拨和政府救助对象的生活类物资救助工作。</w:t>
      </w:r>
      <w:r>
        <w:rPr>
          <w:spacing w:val="18"/>
        </w:rPr>
        <w:t>交通运输局做好食品安全事故应急救援的人</w:t>
      </w:r>
      <w:r>
        <w:rPr>
          <w:spacing w:val="9"/>
        </w:rPr>
        <w:t>员、物资运输工作，保障道路畅通。</w:t>
      </w:r>
    </w:p>
    <w:p>
      <w:pPr>
        <w:pStyle w:val="BodyText"/>
        <w:ind w:left="12" w:right="329" w:firstLine="420"/>
        <w:spacing w:before="164" w:line="326" w:lineRule="auto"/>
        <w:rPr/>
      </w:pPr>
      <w:r>
        <w:rPr>
          <w:rFonts w:ascii="KaiTi" w:hAnsi="KaiTi" w:eastAsia="KaiTi" w:cs="KaiTi"/>
          <w:spacing w:val="6"/>
        </w:rPr>
        <w:t>⑥</w:t>
      </w:r>
      <w:r>
        <w:rPr>
          <w:spacing w:val="6"/>
        </w:rPr>
        <w:t>及时组织研判事故发展态势，并向事故</w:t>
      </w:r>
      <w:r>
        <w:rPr>
          <w:spacing w:val="7"/>
        </w:rPr>
        <w:t>可能蔓延到的地方政府通报信息，提醒做好应</w:t>
      </w:r>
      <w:r>
        <w:rPr>
          <w:spacing w:val="6"/>
        </w:rPr>
        <w:t>对准备。</w:t>
      </w:r>
    </w:p>
    <w:p>
      <w:pPr>
        <w:pStyle w:val="BodyText"/>
        <w:ind w:left="11" w:right="309" w:firstLine="427"/>
        <w:spacing w:before="167" w:line="359" w:lineRule="auto"/>
        <w:rPr/>
      </w:pPr>
      <w:r>
        <w:rPr>
          <w:rFonts w:ascii="Times New Roman" w:hAnsi="Times New Roman" w:eastAsia="Times New Roman" w:cs="Times New Roman"/>
          <w:spacing w:val="8"/>
        </w:rPr>
        <w:t>5.7  </w:t>
      </w:r>
      <w:r>
        <w:rPr>
          <w:rFonts w:ascii="KaiTi" w:hAnsi="KaiTi" w:eastAsia="KaiTi" w:cs="KaiTi"/>
          <w:spacing w:val="8"/>
        </w:rPr>
        <w:t>现场处置</w:t>
      </w:r>
      <w:r>
        <w:rPr>
          <w:spacing w:val="8"/>
        </w:rPr>
        <w:t>。由事发地政府设立食品安</w:t>
      </w:r>
      <w:r>
        <w:rPr>
          <w:spacing w:val="7"/>
        </w:rPr>
        <w:t>全事件应急处置现场指挥部，具体负责指挥现</w:t>
      </w:r>
      <w:r>
        <w:rPr>
          <w:spacing w:val="7"/>
        </w:rPr>
        <w:t>场的应急处置工作。各有关单位按照职责参与</w:t>
      </w:r>
      <w:r>
        <w:rPr>
          <w:spacing w:val="7"/>
        </w:rPr>
        <w:t>处置工作，包括组织营救、伤员救治、疏散撤</w:t>
      </w:r>
      <w:r>
        <w:rPr>
          <w:spacing w:val="7"/>
        </w:rPr>
        <w:t>离和妥善安置受到威胁的人员，及时上报事件</w:t>
      </w:r>
      <w:r>
        <w:rPr>
          <w:spacing w:val="7"/>
        </w:rPr>
        <w:t>情况和人员伤亡情况；分配救援任务，协调各</w:t>
      </w:r>
      <w:r>
        <w:rPr>
          <w:spacing w:val="8"/>
        </w:rPr>
        <w:t>类救援队伍，查明并及时组织力量消除隐患；</w:t>
      </w:r>
      <w:r>
        <w:rPr>
          <w:spacing w:val="8"/>
        </w:rPr>
        <w:t>组织抢修公共设施、接收与分配援助物资等。</w:t>
      </w:r>
      <w:r>
        <w:rPr>
          <w:spacing w:val="18"/>
        </w:rPr>
        <w:t>市食品安全事故应急指挥部及时派出工作组</w:t>
      </w:r>
    </w:p>
    <w:p>
      <w:pPr>
        <w:spacing w:line="14" w:lineRule="auto"/>
        <w:rPr>
          <w:rFonts w:ascii="Arial"/>
          <w:sz w:val="2"/>
        </w:rPr>
      </w:pPr>
      <w:r>
        <w:rPr>
          <w:rFonts w:ascii="Arial" w:hAnsi="Arial" w:eastAsia="Arial" w:cs="Arial"/>
          <w:sz w:val="2"/>
          <w:szCs w:val="2"/>
        </w:rPr>
        <w:br w:type="column"/>
      </w:r>
    </w:p>
    <w:p>
      <w:pPr>
        <w:pStyle w:val="BodyText"/>
        <w:ind w:left="2"/>
        <w:spacing w:before="38" w:line="222" w:lineRule="auto"/>
        <w:rPr/>
      </w:pPr>
      <w:r>
        <w:rPr>
          <w:spacing w:val="9"/>
        </w:rPr>
        <w:t>赶赴事件现场，指导应急处置工作。</w:t>
      </w:r>
    </w:p>
    <w:p>
      <w:pPr>
        <w:ind w:left="427"/>
        <w:spacing w:before="163" w:line="241" w:lineRule="auto"/>
        <w:rPr>
          <w:rFonts w:ascii="KaiTi" w:hAnsi="KaiTi" w:eastAsia="KaiTi" w:cs="KaiTi"/>
          <w:sz w:val="20"/>
          <w:szCs w:val="20"/>
        </w:rPr>
      </w:pPr>
      <w:r>
        <w:rPr>
          <w:rFonts w:ascii="Times New Roman" w:hAnsi="Times New Roman" w:eastAsia="Times New Roman" w:cs="Times New Roman"/>
          <w:sz w:val="20"/>
          <w:szCs w:val="20"/>
          <w:spacing w:val="6"/>
        </w:rPr>
        <w:t>5.8  </w:t>
      </w:r>
      <w:r>
        <w:rPr>
          <w:rFonts w:ascii="KaiTi" w:hAnsi="KaiTi" w:eastAsia="KaiTi" w:cs="KaiTi"/>
          <w:sz w:val="20"/>
          <w:szCs w:val="20"/>
          <w:spacing w:val="6"/>
        </w:rPr>
        <w:t>信息发布与舆情引导。</w:t>
      </w:r>
    </w:p>
    <w:p>
      <w:pPr>
        <w:pStyle w:val="BodyText"/>
        <w:ind w:right="57" w:firstLine="412"/>
        <w:spacing w:before="147" w:line="372" w:lineRule="auto"/>
        <w:jc w:val="both"/>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）按照分级响应原则</w:t>
      </w:r>
      <w:r>
        <w:rPr>
          <w:spacing w:val="-59"/>
        </w:rPr>
        <w:t xml:space="preserve"> </w:t>
      </w:r>
      <w:r>
        <w:rPr>
          <w:spacing w:val="5"/>
        </w:rPr>
        <w:t>，事故信息发布</w:t>
      </w:r>
      <w:r>
        <w:rPr>
          <w:spacing w:val="18"/>
        </w:rPr>
        <w:t>工作由各级政府新闻发言人或现场指挥部指</w:t>
      </w:r>
      <w:r>
        <w:rPr>
          <w:spacing w:val="7"/>
        </w:rPr>
        <w:t>定的新闻发言人负责发布。较大食品安全事故</w:t>
      </w:r>
      <w:r>
        <w:rPr>
          <w:spacing w:val="7"/>
        </w:rPr>
        <w:t>以市级政府名义、一般食品安全事故以县级政</w:t>
      </w:r>
      <w:r>
        <w:rPr>
          <w:spacing w:val="8"/>
        </w:rPr>
        <w:t>府名义发布。信息发布要统一、及时、准确、</w:t>
      </w:r>
      <w:r>
        <w:rPr>
          <w:spacing w:val="4"/>
        </w:rPr>
        <w:t>客观。</w:t>
      </w:r>
    </w:p>
    <w:p>
      <w:pPr>
        <w:pStyle w:val="BodyText"/>
        <w:ind w:left="1" w:right="80" w:firstLine="422"/>
        <w:spacing w:before="32" w:line="375" w:lineRule="auto"/>
        <w:rPr/>
      </w:pPr>
      <w:r>
        <w:rPr>
          <w:spacing w:val="6"/>
        </w:rPr>
        <w:t>宣传、网信、公安等部门要密切关注舆情</w:t>
      </w:r>
      <w:r>
        <w:rPr>
          <w:spacing w:val="9"/>
        </w:rPr>
        <w:t>信息。及时做好舆情管控、引导工作。</w:t>
      </w:r>
    </w:p>
    <w:p>
      <w:pPr>
        <w:pStyle w:val="BodyText"/>
        <w:ind w:right="57" w:firstLine="412"/>
        <w:spacing w:before="2" w:line="351"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）信息发布主要内容包括：食品安全</w:t>
      </w:r>
      <w:r>
        <w:rPr>
          <w:spacing w:val="8"/>
        </w:rPr>
        <w:t>事故的种类检测和预警情况；事件发生事件、</w:t>
      </w:r>
      <w:r>
        <w:rPr>
          <w:spacing w:val="7"/>
        </w:rPr>
        <w:t>地点、人员伤亡（包括下落不明人数）和财产</w:t>
      </w:r>
      <w:r>
        <w:rPr>
          <w:spacing w:val="7"/>
        </w:rPr>
        <w:t>损失情况、救援进展情况、事件区域交通管制</w:t>
      </w:r>
      <w:r>
        <w:rPr>
          <w:spacing w:val="7"/>
        </w:rPr>
        <w:t>情况以及临时交通措施；事件责任单位基本情</w:t>
      </w:r>
      <w:r>
        <w:rPr>
          <w:spacing w:val="4"/>
        </w:rPr>
        <w:t>况等。</w:t>
      </w:r>
    </w:p>
    <w:p>
      <w:pPr>
        <w:pStyle w:val="BodyText"/>
        <w:ind w:firstLine="413"/>
        <w:spacing w:before="163" w:line="326" w:lineRule="auto"/>
        <w:rPr/>
      </w:pPr>
      <w:r>
        <w:rPr>
          <w:spacing w:val="4"/>
        </w:rPr>
        <w:t>（</w:t>
      </w:r>
      <w:r>
        <w:rPr>
          <w:rFonts w:ascii="Times New Roman" w:hAnsi="Times New Roman" w:eastAsia="Times New Roman" w:cs="Times New Roman"/>
          <w:spacing w:val="4"/>
        </w:rPr>
        <w:t>3</w:t>
      </w:r>
      <w:r>
        <w:rPr>
          <w:rFonts w:ascii="Times New Roman" w:hAnsi="Times New Roman" w:eastAsia="Times New Roman" w:cs="Times New Roman"/>
          <w:spacing w:val="-13"/>
        </w:rPr>
        <w:t xml:space="preserve"> </w:t>
      </w:r>
      <w:r>
        <w:rPr>
          <w:spacing w:val="4"/>
        </w:rPr>
        <w:t>）信息发布形式主要包括：权威发布、</w:t>
      </w:r>
      <w:r>
        <w:rPr>
          <w:spacing w:val="7"/>
        </w:rPr>
        <w:t>提供新闻稿、组织报道、接受记者采访、举行</w:t>
      </w:r>
      <w:r>
        <w:rPr>
          <w:spacing w:val="7"/>
        </w:rPr>
        <w:t>新闻发布会等。</w:t>
      </w:r>
    </w:p>
    <w:p>
      <w:pPr>
        <w:ind w:left="427"/>
        <w:spacing w:before="166" w:line="265" w:lineRule="exact"/>
        <w:rPr>
          <w:rFonts w:ascii="KaiTi" w:hAnsi="KaiTi" w:eastAsia="KaiTi" w:cs="KaiTi"/>
          <w:sz w:val="20"/>
          <w:szCs w:val="20"/>
        </w:rPr>
      </w:pPr>
      <w:r>
        <w:rPr>
          <w:rFonts w:ascii="Times New Roman" w:hAnsi="Times New Roman" w:eastAsia="Times New Roman" w:cs="Times New Roman"/>
          <w:sz w:val="20"/>
          <w:szCs w:val="20"/>
          <w:spacing w:val="4"/>
          <w:position w:val="1"/>
        </w:rPr>
        <w:t>5.9  </w:t>
      </w:r>
      <w:r>
        <w:rPr>
          <w:rFonts w:ascii="KaiTi" w:hAnsi="KaiTi" w:eastAsia="KaiTi" w:cs="KaiTi"/>
          <w:sz w:val="20"/>
          <w:szCs w:val="20"/>
          <w:spacing w:val="4"/>
          <w:position w:val="1"/>
        </w:rPr>
        <w:t>社会动员。</w:t>
      </w:r>
    </w:p>
    <w:p>
      <w:pPr>
        <w:pStyle w:val="BodyText"/>
        <w:ind w:left="1" w:right="60" w:firstLine="411"/>
        <w:spacing w:before="145" w:line="338"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）事发地政府或市食品安全事故指挥</w:t>
      </w:r>
      <w:r>
        <w:rPr>
          <w:spacing w:val="18"/>
        </w:rPr>
        <w:t>部根据食品安全事件的性质、危害程度和范</w:t>
      </w:r>
      <w:r>
        <w:rPr>
          <w:spacing w:val="7"/>
        </w:rPr>
        <w:t>围，广泛调动社会力量参与事件处置，紧急情</w:t>
      </w:r>
      <w:r>
        <w:rPr>
          <w:spacing w:val="8"/>
        </w:rPr>
        <w:t>况下可依法征用、调用车辆、物资、人员等。</w:t>
      </w:r>
    </w:p>
    <w:p>
      <w:pPr>
        <w:pStyle w:val="BodyText"/>
        <w:ind w:right="57" w:firstLine="412"/>
        <w:spacing w:before="167" w:line="346"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5"/>
        </w:rPr>
        <w:t xml:space="preserve"> </w:t>
      </w:r>
      <w:r>
        <w:rPr>
          <w:spacing w:val="8"/>
        </w:rPr>
        <w:t>）食品安全事件发生后</w:t>
      </w:r>
      <w:r>
        <w:rPr>
          <w:spacing w:val="-59"/>
        </w:rPr>
        <w:t xml:space="preserve"> </w:t>
      </w:r>
      <w:r>
        <w:rPr>
          <w:spacing w:val="8"/>
        </w:rPr>
        <w:t>，事发地政府</w:t>
      </w:r>
      <w:r>
        <w:rPr>
          <w:spacing w:val="18"/>
        </w:rPr>
        <w:t>或相应应急指挥机构组织各方面力量开展应</w:t>
      </w:r>
      <w:r>
        <w:rPr>
          <w:spacing w:val="8"/>
        </w:rPr>
        <w:t>急处置工作，组织基层单位和人员开展自救、</w:t>
      </w:r>
      <w:r>
        <w:rPr>
          <w:spacing w:val="4"/>
        </w:rPr>
        <w:t>互救；邻近的县（</w:t>
      </w:r>
      <w:r>
        <w:rPr>
          <w:spacing w:val="-35"/>
        </w:rPr>
        <w:t xml:space="preserve"> </w:t>
      </w:r>
      <w:r>
        <w:rPr>
          <w:spacing w:val="4"/>
        </w:rPr>
        <w:t>区）政府根据灾情组织和动</w:t>
      </w:r>
      <w:r>
        <w:rPr>
          <w:spacing w:val="8"/>
        </w:rPr>
        <w:t>员社会力量，对事发地提供援助。</w:t>
      </w:r>
    </w:p>
    <w:p>
      <w:pPr>
        <w:ind w:left="427"/>
        <w:spacing w:before="164" w:line="268" w:lineRule="exact"/>
        <w:rPr>
          <w:rFonts w:ascii="KaiTi" w:hAnsi="KaiTi" w:eastAsia="KaiTi" w:cs="KaiTi"/>
          <w:sz w:val="20"/>
          <w:szCs w:val="20"/>
        </w:rPr>
      </w:pPr>
      <w:r>
        <w:rPr>
          <w:rFonts w:ascii="Times New Roman" w:hAnsi="Times New Roman" w:eastAsia="Times New Roman" w:cs="Times New Roman"/>
          <w:sz w:val="20"/>
          <w:szCs w:val="20"/>
          <w:spacing w:val="4"/>
          <w:position w:val="1"/>
        </w:rPr>
        <w:t>5.10  </w:t>
      </w:r>
      <w:r>
        <w:rPr>
          <w:rFonts w:ascii="KaiTi" w:hAnsi="KaiTi" w:eastAsia="KaiTi" w:cs="KaiTi"/>
          <w:sz w:val="20"/>
          <w:szCs w:val="20"/>
          <w:spacing w:val="4"/>
          <w:position w:val="1"/>
        </w:rPr>
        <w:t>响应终止。</w:t>
      </w:r>
    </w:p>
    <w:p>
      <w:pPr>
        <w:pStyle w:val="BodyText"/>
        <w:ind w:right="80" w:firstLine="412"/>
        <w:spacing w:before="140" w:line="299"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）应对特大、重大食品安全事故工作</w:t>
      </w:r>
      <w:r>
        <w:rPr>
          <w:spacing w:val="7"/>
        </w:rPr>
        <w:t>基本结束、紧急转移和安置工作基本完成、群</w:t>
      </w:r>
    </w:p>
    <w:p>
      <w:pPr>
        <w:spacing w:line="299" w:lineRule="auto"/>
        <w:sectPr>
          <w:type w:val="continuous"/>
          <w:pgSz w:w="11906" w:h="16839"/>
          <w:pgMar w:top="1766" w:right="1509" w:bottom="1575" w:left="1579" w:header="1428" w:footer="1172" w:gutter="0"/>
          <w:cols w:equalWidth="0" w:num="2">
            <w:col w:w="4489" w:space="100"/>
            <w:col w:w="4228" w:space="0"/>
          </w:cols>
        </w:sectPr>
        <w:rPr/>
      </w:pPr>
    </w:p>
    <w:p>
      <w:pPr>
        <w:spacing w:before="67"/>
        <w:rPr/>
      </w:pPr>
      <w:r>
        <w:drawing>
          <wp:anchor distT="0" distB="0" distL="0" distR="0" simplePos="0" relativeHeight="253635584"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006" name="IM 2006"/>
            <wp:cNvGraphicFramePr/>
            <a:graphic>
              <a:graphicData uri="http://schemas.openxmlformats.org/drawingml/2006/picture">
                <pic:pic>
                  <pic:nvPicPr>
                    <pic:cNvPr id="2006" name="IM 2006"/>
                    <pic:cNvPicPr/>
                  </pic:nvPicPr>
                  <pic:blipFill>
                    <a:blip r:embed="rId1005"/>
                    <a:stretch>
                      <a:fillRect/>
                    </a:stretch>
                  </pic:blipFill>
                  <pic:spPr>
                    <a:xfrm rot="0">
                      <a:off x="0" y="0"/>
                      <a:ext cx="5579745" cy="7620"/>
                    </a:xfrm>
                    <a:prstGeom prst="rect">
                      <a:avLst/>
                    </a:prstGeom>
                  </pic:spPr>
                </pic:pic>
              </a:graphicData>
            </a:graphic>
          </wp:anchor>
        </w:drawing>
      </w:r>
      <w:r/>
    </w:p>
    <w:p>
      <w:pPr>
        <w:sectPr>
          <w:headerReference w:type="default" r:id="rId816"/>
          <w:footerReference w:type="default" r:id="rId1004"/>
          <w:pgSz w:w="11906" w:h="16839"/>
          <w:pgMar w:top="1772" w:right="1489" w:bottom="1584" w:left="1567" w:header="1428" w:footer="1172" w:gutter="0"/>
          <w:cols w:equalWidth="0" w:num="1">
            <w:col w:w="8850" w:space="0"/>
          </w:cols>
        </w:sectPr>
        <w:rPr/>
      </w:pPr>
    </w:p>
    <w:p>
      <w:pPr>
        <w:pStyle w:val="BodyText"/>
        <w:ind w:left="26" w:right="330" w:hanging="1"/>
        <w:spacing w:before="46" w:line="371" w:lineRule="auto"/>
        <w:jc w:val="both"/>
        <w:rPr/>
      </w:pPr>
      <w:r>
        <w:rPr>
          <w:spacing w:val="7"/>
        </w:rPr>
        <w:t>众生活秩序基本恢复后，市食品安全委员会指</w:t>
      </w:r>
      <w:r>
        <w:rPr>
          <w:spacing w:val="7"/>
        </w:rPr>
        <w:t>挥部办公室提出建议，由市委、市政府应急管</w:t>
      </w:r>
      <w:r>
        <w:rPr>
          <w:spacing w:val="8"/>
        </w:rPr>
        <w:t>理部门决定终止应急响应。</w:t>
      </w:r>
    </w:p>
    <w:p>
      <w:pPr>
        <w:pStyle w:val="BodyText"/>
        <w:ind w:left="25" w:right="330" w:firstLine="412"/>
        <w:spacing w:before="20" w:line="325"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）应对较大食品安全事故工作基本结</w:t>
      </w:r>
      <w:r>
        <w:rPr>
          <w:spacing w:val="4"/>
        </w:rPr>
        <w:t>束后，各县（</w:t>
      </w:r>
      <w:r>
        <w:rPr>
          <w:spacing w:val="-35"/>
        </w:rPr>
        <w:t xml:space="preserve"> </w:t>
      </w:r>
      <w:r>
        <w:rPr>
          <w:spacing w:val="4"/>
        </w:rPr>
        <w:t>区）提出建议，由市食品安全事</w:t>
      </w:r>
      <w:r>
        <w:rPr>
          <w:spacing w:val="9"/>
        </w:rPr>
        <w:t>故应急指挥机构决定终止应急响应。</w:t>
      </w:r>
    </w:p>
    <w:p>
      <w:pPr>
        <w:pStyle w:val="BodyText"/>
        <w:ind w:left="25" w:right="330" w:firstLine="412"/>
        <w:spacing w:before="166" w:line="338"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）应对一般食品安全事故工作基本结</w:t>
      </w:r>
      <w:r>
        <w:rPr>
          <w:spacing w:val="4"/>
        </w:rPr>
        <w:t>束后，事发地县（</w:t>
      </w:r>
      <w:r>
        <w:rPr>
          <w:spacing w:val="-35"/>
        </w:rPr>
        <w:t xml:space="preserve"> </w:t>
      </w:r>
      <w:r>
        <w:rPr>
          <w:spacing w:val="4"/>
        </w:rPr>
        <w:t>区）政府应急管理部门提出</w:t>
      </w:r>
      <w:r>
        <w:rPr>
          <w:spacing w:val="7"/>
        </w:rPr>
        <w:t>建议，由事发地县级政府或食品安全事件应急</w:t>
      </w:r>
      <w:r>
        <w:rPr>
          <w:spacing w:val="8"/>
        </w:rPr>
        <w:t>指挥机构决定终止应急响应。</w:t>
      </w:r>
    </w:p>
    <w:p>
      <w:pPr>
        <w:ind w:left="449"/>
        <w:spacing w:before="163"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6</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4"/>
        </w:rPr>
        <w:t>恢复重建</w:t>
      </w:r>
    </w:p>
    <w:p>
      <w:pPr>
        <w:pStyle w:val="BodyText"/>
        <w:ind w:left="24" w:right="249" w:firstLine="426"/>
        <w:spacing w:before="104" w:line="346" w:lineRule="auto"/>
        <w:rPr/>
      </w:pPr>
      <w:r>
        <w:rPr>
          <w:rFonts w:ascii="Times New Roman" w:hAnsi="Times New Roman" w:eastAsia="Times New Roman" w:cs="Times New Roman"/>
          <w:spacing w:val="6"/>
        </w:rPr>
        <w:t>6.</w:t>
      </w:r>
      <w:r>
        <w:rPr>
          <w:rFonts w:ascii="Times New Roman" w:hAnsi="Times New Roman" w:eastAsia="Times New Roman" w:cs="Times New Roman"/>
          <w:spacing w:val="-7"/>
        </w:rPr>
        <w:t xml:space="preserve"> </w:t>
      </w:r>
      <w:r>
        <w:rPr>
          <w:rFonts w:ascii="Times New Roman" w:hAnsi="Times New Roman" w:eastAsia="Times New Roman" w:cs="Times New Roman"/>
          <w:spacing w:val="6"/>
        </w:rPr>
        <w:t>1  </w:t>
      </w:r>
      <w:r>
        <w:rPr>
          <w:rFonts w:ascii="KaiTi" w:hAnsi="KaiTi" w:eastAsia="KaiTi" w:cs="KaiTi"/>
          <w:spacing w:val="6"/>
        </w:rPr>
        <w:t>善后处置</w:t>
      </w:r>
      <w:r>
        <w:rPr>
          <w:spacing w:val="6"/>
        </w:rPr>
        <w:t>。食品安全事件处置工作结</w:t>
      </w:r>
      <w:r>
        <w:rPr>
          <w:spacing w:val="11"/>
        </w:rPr>
        <w:t>束后，事发地政府及有关单位根据各自职责，</w:t>
      </w:r>
      <w:r>
        <w:rPr>
          <w:spacing w:val="1"/>
        </w:rPr>
        <w:t>开展善后处置工作。包括人员安置、抚恤补偿、</w:t>
      </w:r>
      <w:r>
        <w:rPr>
          <w:spacing w:val="7"/>
        </w:rPr>
        <w:t>保险理赔、救援物资供应、危险源监控和治理</w:t>
      </w:r>
      <w:r>
        <w:rPr>
          <w:spacing w:val="9"/>
        </w:rPr>
        <w:t>等措施，尽快恢复正常秩序，确保社会稳定。</w:t>
      </w:r>
    </w:p>
    <w:p>
      <w:pPr>
        <w:ind w:left="450"/>
        <w:spacing w:before="164" w:line="241" w:lineRule="auto"/>
        <w:rPr>
          <w:rFonts w:ascii="KaiTi" w:hAnsi="KaiTi" w:eastAsia="KaiTi" w:cs="KaiTi"/>
          <w:sz w:val="20"/>
          <w:szCs w:val="20"/>
        </w:rPr>
      </w:pPr>
      <w:r>
        <w:rPr>
          <w:rFonts w:ascii="Times New Roman" w:hAnsi="Times New Roman" w:eastAsia="Times New Roman" w:cs="Times New Roman"/>
          <w:sz w:val="20"/>
          <w:szCs w:val="20"/>
          <w:spacing w:val="2"/>
        </w:rPr>
        <w:t>6.2</w:t>
      </w:r>
      <w:r>
        <w:rPr>
          <w:rFonts w:ascii="Times New Roman" w:hAnsi="Times New Roman" w:eastAsia="Times New Roman" w:cs="Times New Roman"/>
          <w:sz w:val="20"/>
          <w:szCs w:val="20"/>
          <w:spacing w:val="14"/>
        </w:rPr>
        <w:t xml:space="preserve">  </w:t>
      </w:r>
      <w:r>
        <w:rPr>
          <w:rFonts w:ascii="KaiTi" w:hAnsi="KaiTi" w:eastAsia="KaiTi" w:cs="KaiTi"/>
          <w:sz w:val="20"/>
          <w:szCs w:val="20"/>
          <w:spacing w:val="2"/>
        </w:rPr>
        <w:t>总结评估。</w:t>
      </w:r>
    </w:p>
    <w:p>
      <w:pPr>
        <w:pStyle w:val="BodyText"/>
        <w:ind w:left="25" w:right="330" w:firstLine="411"/>
        <w:spacing w:before="149" w:line="338" w:lineRule="auto"/>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）特大、重大食品安全事件</w:t>
      </w:r>
      <w:r>
        <w:rPr>
          <w:spacing w:val="-59"/>
        </w:rPr>
        <w:t xml:space="preserve"> </w:t>
      </w:r>
      <w:r>
        <w:rPr>
          <w:spacing w:val="5"/>
        </w:rPr>
        <w:t>，由自治</w:t>
      </w:r>
      <w:r>
        <w:rPr>
          <w:spacing w:val="7"/>
        </w:rPr>
        <w:t>区政府委派出调查组进行调查总结；较大及较</w:t>
      </w:r>
      <w:r>
        <w:rPr>
          <w:spacing w:val="7"/>
        </w:rPr>
        <w:t>大以下食品安全事件，由市食品安全事故指挥</w:t>
      </w:r>
      <w:r>
        <w:rPr>
          <w:spacing w:val="9"/>
        </w:rPr>
        <w:t>部报请市政府同意组成调查组进行调查。</w:t>
      </w:r>
    </w:p>
    <w:p>
      <w:pPr>
        <w:pStyle w:val="BodyText"/>
        <w:ind w:left="25" w:right="266" w:firstLine="411"/>
        <w:spacing w:before="167" w:line="338" w:lineRule="auto"/>
        <w:rPr/>
      </w:pPr>
      <w:r>
        <w:rPr>
          <w:spacing w:val="3"/>
        </w:rPr>
        <w:t>（</w:t>
      </w:r>
      <w:r>
        <w:rPr>
          <w:rFonts w:ascii="Times New Roman" w:hAnsi="Times New Roman" w:eastAsia="Times New Roman" w:cs="Times New Roman"/>
          <w:spacing w:val="3"/>
        </w:rPr>
        <w:t>2</w:t>
      </w:r>
      <w:r>
        <w:rPr>
          <w:rFonts w:ascii="Times New Roman" w:hAnsi="Times New Roman" w:eastAsia="Times New Roman" w:cs="Times New Roman"/>
          <w:spacing w:val="-10"/>
        </w:rPr>
        <w:t xml:space="preserve"> </w:t>
      </w:r>
      <w:r>
        <w:rPr>
          <w:spacing w:val="3"/>
        </w:rPr>
        <w:t>）食品安全事件善后处置工作结束后，</w:t>
      </w:r>
      <w:r>
        <w:rPr>
          <w:spacing w:val="7"/>
        </w:rPr>
        <w:t>事发地政府要总结经验教训，提出改进工作的</w:t>
      </w:r>
      <w:r>
        <w:rPr>
          <w:spacing w:val="7"/>
        </w:rPr>
        <w:t>建议，形成处置事故专项工作报告，报市食品</w:t>
      </w:r>
      <w:r>
        <w:rPr>
          <w:spacing w:val="8"/>
        </w:rPr>
        <w:t>安全事故指挥部办公室。</w:t>
      </w:r>
    </w:p>
    <w:p>
      <w:pPr>
        <w:pStyle w:val="BodyText"/>
        <w:ind w:left="25" w:right="323" w:firstLine="412"/>
        <w:spacing w:before="167" w:line="346"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）市食品安全事故指挥部办公室要根</w:t>
      </w:r>
      <w:r>
        <w:rPr>
          <w:spacing w:val="7"/>
        </w:rPr>
        <w:t>据事发地政府提交的处置事故专项工作报告，</w:t>
      </w:r>
      <w:r>
        <w:rPr>
          <w:spacing w:val="7"/>
        </w:rPr>
        <w:t>组织分析、研究，提出改进工作的意见，形成</w:t>
      </w:r>
      <w:r>
        <w:rPr>
          <w:spacing w:val="7"/>
        </w:rPr>
        <w:t>工作专项报告报市应急管理局，并抄送各成员</w:t>
      </w:r>
      <w:r>
        <w:rPr>
          <w:spacing w:val="4"/>
        </w:rPr>
        <w:t>单位。</w:t>
      </w:r>
    </w:p>
    <w:p>
      <w:pPr>
        <w:ind w:left="449"/>
        <w:spacing w:before="160"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7</w:t>
      </w:r>
      <w:r>
        <w:rPr>
          <w:rFonts w:ascii="Microsoft YaHei" w:hAnsi="Microsoft YaHei" w:eastAsia="Microsoft YaHei" w:cs="Microsoft YaHei"/>
          <w:sz w:val="20"/>
          <w:szCs w:val="20"/>
          <w:spacing w:val="3"/>
        </w:rPr>
        <w:t xml:space="preserve">    </w:t>
      </w:r>
      <w:r>
        <w:rPr>
          <w:rFonts w:ascii="Microsoft YaHei" w:hAnsi="Microsoft YaHei" w:eastAsia="Microsoft YaHei" w:cs="Microsoft YaHei"/>
          <w:sz w:val="20"/>
          <w:szCs w:val="20"/>
          <w:spacing w:val="-3"/>
        </w:rPr>
        <w:t>日常管理</w:t>
      </w:r>
    </w:p>
    <w:p>
      <w:pPr>
        <w:pStyle w:val="BodyText"/>
        <w:ind w:left="449"/>
        <w:spacing w:before="115" w:line="221" w:lineRule="auto"/>
        <w:rPr/>
      </w:pPr>
      <w:r>
        <w:rPr>
          <w:rFonts w:ascii="Times New Roman" w:hAnsi="Times New Roman" w:eastAsia="Times New Roman" w:cs="Times New Roman"/>
          <w:spacing w:val="6"/>
        </w:rPr>
        <w:t>7.</w:t>
      </w:r>
      <w:r>
        <w:rPr>
          <w:rFonts w:ascii="Times New Roman" w:hAnsi="Times New Roman" w:eastAsia="Times New Roman" w:cs="Times New Roman"/>
          <w:spacing w:val="-25"/>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5"/>
          <w:w w:val="101"/>
        </w:rPr>
        <w:t xml:space="preserve">  </w:t>
      </w:r>
      <w:r>
        <w:rPr>
          <w:rFonts w:ascii="KaiTi" w:hAnsi="KaiTi" w:eastAsia="KaiTi" w:cs="KaiTi"/>
          <w:spacing w:val="6"/>
        </w:rPr>
        <w:t>宣传培训</w:t>
      </w:r>
      <w:r>
        <w:rPr>
          <w:spacing w:val="6"/>
        </w:rPr>
        <w:t>。市食品安全事故应急指挥</w:t>
      </w:r>
    </w:p>
    <w:p>
      <w:pPr>
        <w:spacing w:line="14" w:lineRule="auto"/>
        <w:rPr>
          <w:rFonts w:ascii="Arial"/>
          <w:sz w:val="2"/>
        </w:rPr>
      </w:pPr>
      <w:r>
        <w:rPr>
          <w:rFonts w:ascii="Arial" w:hAnsi="Arial" w:eastAsia="Arial" w:cs="Arial"/>
          <w:sz w:val="2"/>
          <w:szCs w:val="2"/>
        </w:rPr>
        <w:br w:type="column"/>
      </w:r>
    </w:p>
    <w:p>
      <w:pPr>
        <w:pStyle w:val="BodyText"/>
        <w:ind w:right="101"/>
        <w:spacing w:before="62" w:line="384" w:lineRule="auto"/>
        <w:jc w:val="both"/>
        <w:rPr/>
      </w:pPr>
      <w:r>
        <w:rPr>
          <w:spacing w:val="4"/>
        </w:rPr>
        <w:t>部办公室，各县（</w:t>
      </w:r>
      <w:r>
        <w:rPr>
          <w:spacing w:val="-36"/>
        </w:rPr>
        <w:t xml:space="preserve"> </w:t>
      </w:r>
      <w:r>
        <w:rPr>
          <w:spacing w:val="4"/>
        </w:rPr>
        <w:t>区）政府要建立健全食品安</w:t>
      </w:r>
      <w:r>
        <w:rPr>
          <w:spacing w:val="7"/>
        </w:rPr>
        <w:t>全应急管理培训制度，充分利用广播电视、互</w:t>
      </w:r>
      <w:r>
        <w:rPr>
          <w:spacing w:val="7"/>
        </w:rPr>
        <w:t>联网、报纸等各种媒体，加大对食品安全应急</w:t>
      </w:r>
      <w:r>
        <w:rPr>
          <w:spacing w:val="7"/>
        </w:rPr>
        <w:t>管理工作的宣传、培训力度，做好食品安全事</w:t>
      </w:r>
      <w:r>
        <w:rPr>
          <w:spacing w:val="7"/>
        </w:rPr>
        <w:t>故防范知识的宣传教育工作，不断提高公众的</w:t>
      </w:r>
      <w:r>
        <w:rPr>
          <w:spacing w:val="7"/>
        </w:rPr>
        <w:t>安全意识和自救互助能力。每年宣传教育活动</w:t>
      </w:r>
      <w:r>
        <w:rPr>
          <w:spacing w:val="3"/>
        </w:rPr>
        <w:t>不得少于</w:t>
      </w:r>
      <w:r>
        <w:rPr>
          <w:spacing w:val="-22"/>
        </w:rPr>
        <w:t xml:space="preserve"> </w:t>
      </w:r>
      <w:r>
        <w:rPr>
          <w:rFonts w:ascii="Times New Roman" w:hAnsi="Times New Roman" w:eastAsia="Times New Roman" w:cs="Times New Roman"/>
          <w:spacing w:val="3"/>
        </w:rPr>
        <w:t>1 </w:t>
      </w:r>
      <w:r>
        <w:rPr>
          <w:spacing w:val="3"/>
        </w:rPr>
        <w:t>次。</w:t>
      </w:r>
    </w:p>
    <w:p>
      <w:pPr>
        <w:pStyle w:val="BodyText"/>
        <w:ind w:right="18" w:firstLine="424"/>
        <w:spacing w:before="22" w:line="334" w:lineRule="auto"/>
        <w:rPr/>
      </w:pPr>
      <w:r>
        <w:rPr>
          <w:rFonts w:ascii="Times New Roman" w:hAnsi="Times New Roman" w:eastAsia="Times New Roman" w:cs="Times New Roman"/>
          <w:spacing w:val="8"/>
        </w:rPr>
        <w:t>7.2  </w:t>
      </w:r>
      <w:r>
        <w:rPr>
          <w:rFonts w:ascii="KaiTi" w:hAnsi="KaiTi" w:eastAsia="KaiTi" w:cs="KaiTi"/>
          <w:spacing w:val="8"/>
        </w:rPr>
        <w:t>预案演练</w:t>
      </w:r>
      <w:r>
        <w:rPr>
          <w:spacing w:val="8"/>
        </w:rPr>
        <w:t>。由市食品安全事故应急指</w:t>
      </w:r>
      <w:r>
        <w:rPr>
          <w:spacing w:val="11"/>
        </w:rPr>
        <w:t>挥部办公室牵头，市场监督管理局具体负责，</w:t>
      </w:r>
      <w:r>
        <w:rPr>
          <w:spacing w:val="-5"/>
        </w:rPr>
        <w:t>定期组织开展本预案应急演练，每年不少于</w:t>
      </w:r>
      <w:r>
        <w:rPr>
          <w:rFonts w:ascii="Times New Roman" w:hAnsi="Times New Roman" w:eastAsia="Times New Roman" w:cs="Times New Roman"/>
          <w:spacing w:val="-5"/>
        </w:rPr>
        <w:t>1</w:t>
      </w:r>
      <w:r>
        <w:rPr>
          <w:rFonts w:ascii="Times New Roman" w:hAnsi="Times New Roman" w:eastAsia="Times New Roman" w:cs="Times New Roman"/>
          <w:spacing w:val="-13"/>
        </w:rPr>
        <w:t xml:space="preserve"> </w:t>
      </w:r>
      <w:r>
        <w:rPr>
          <w:spacing w:val="-5"/>
        </w:rPr>
        <w:t>次。</w:t>
      </w:r>
    </w:p>
    <w:p>
      <w:pPr>
        <w:ind w:left="424"/>
        <w:spacing w:before="175" w:line="241" w:lineRule="auto"/>
        <w:rPr>
          <w:rFonts w:ascii="KaiTi" w:hAnsi="KaiTi" w:eastAsia="KaiTi" w:cs="KaiTi"/>
          <w:sz w:val="20"/>
          <w:szCs w:val="20"/>
        </w:rPr>
      </w:pPr>
      <w:r>
        <w:rPr>
          <w:rFonts w:ascii="Times New Roman" w:hAnsi="Times New Roman" w:eastAsia="Times New Roman" w:cs="Times New Roman"/>
          <w:sz w:val="20"/>
          <w:szCs w:val="20"/>
          <w:spacing w:val="6"/>
        </w:rPr>
        <w:t>7.3  </w:t>
      </w:r>
      <w:r>
        <w:rPr>
          <w:rFonts w:ascii="KaiTi" w:hAnsi="KaiTi" w:eastAsia="KaiTi" w:cs="KaiTi"/>
          <w:sz w:val="20"/>
          <w:szCs w:val="20"/>
          <w:spacing w:val="6"/>
        </w:rPr>
        <w:t>预案管理与更新。</w:t>
      </w:r>
    </w:p>
    <w:p>
      <w:pPr>
        <w:pStyle w:val="BodyText"/>
        <w:ind w:left="2" w:right="103" w:firstLine="409"/>
        <w:spacing w:before="158" w:line="307" w:lineRule="auto"/>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）本预案由市场监督管理局制定</w:t>
      </w:r>
      <w:r>
        <w:rPr>
          <w:spacing w:val="-59"/>
        </w:rPr>
        <w:t xml:space="preserve"> </w:t>
      </w:r>
      <w:r>
        <w:rPr>
          <w:spacing w:val="5"/>
        </w:rPr>
        <w:t>，经</w:t>
      </w:r>
      <w:r>
        <w:rPr>
          <w:spacing w:val="8"/>
        </w:rPr>
        <w:t>市政府审批后，由市政府办公室印发。</w:t>
      </w:r>
    </w:p>
    <w:p>
      <w:pPr>
        <w:pStyle w:val="BodyText"/>
        <w:ind w:right="94" w:firstLine="412"/>
        <w:spacing w:before="176" w:line="347"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16"/>
        </w:rPr>
        <w:t xml:space="preserve"> </w:t>
      </w:r>
      <w:r>
        <w:rPr>
          <w:spacing w:val="8"/>
        </w:rPr>
        <w:t>）县（</w:t>
      </w:r>
      <w:r>
        <w:rPr>
          <w:spacing w:val="-48"/>
        </w:rPr>
        <w:t xml:space="preserve"> </w:t>
      </w:r>
      <w:r>
        <w:rPr>
          <w:spacing w:val="8"/>
        </w:rPr>
        <w:t>区）政府及其有关单位、群众</w:t>
      </w:r>
      <w:r>
        <w:rPr>
          <w:spacing w:val="7"/>
        </w:rPr>
        <w:t>自治组织、企事业单位等要按照本预案的规定</w:t>
      </w:r>
      <w:r>
        <w:rPr>
          <w:spacing w:val="7"/>
        </w:rPr>
        <w:t>履行职责，并制定、完善相应的应急预案后，</w:t>
      </w:r>
      <w:r>
        <w:rPr>
          <w:spacing w:val="8"/>
        </w:rPr>
        <w:t>报市应急管理部门备案。</w:t>
      </w:r>
    </w:p>
    <w:p>
      <w:pPr>
        <w:pStyle w:val="BodyText"/>
        <w:ind w:left="1" w:right="101" w:firstLine="410"/>
        <w:spacing w:before="177" w:line="333"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）市场监督管理局要根据预案演练时</w:t>
      </w:r>
      <w:r>
        <w:rPr>
          <w:spacing w:val="7"/>
        </w:rPr>
        <w:t>发现的问题、机构变化等情况，适时组织修订</w:t>
      </w:r>
      <w:r>
        <w:rPr>
          <w:spacing w:val="7"/>
        </w:rPr>
        <w:t>完善本预案。</w:t>
      </w:r>
    </w:p>
    <w:p>
      <w:pPr>
        <w:pStyle w:val="BodyText"/>
        <w:ind w:right="34" w:firstLine="424"/>
        <w:spacing w:before="178" w:line="386" w:lineRule="auto"/>
        <w:jc w:val="both"/>
        <w:rPr/>
      </w:pPr>
      <w:r>
        <w:rPr>
          <w:rFonts w:ascii="Times New Roman" w:hAnsi="Times New Roman" w:eastAsia="Times New Roman" w:cs="Times New Roman"/>
          <w:spacing w:val="8"/>
        </w:rPr>
        <w:t>7.4  </w:t>
      </w:r>
      <w:r>
        <w:rPr>
          <w:rFonts w:ascii="KaiTi" w:hAnsi="KaiTi" w:eastAsia="KaiTi" w:cs="KaiTi"/>
          <w:spacing w:val="8"/>
        </w:rPr>
        <w:t>责任与奖励。</w:t>
      </w:r>
      <w:r>
        <w:rPr>
          <w:spacing w:val="8"/>
        </w:rPr>
        <w:t>对在应对食品安全事故</w:t>
      </w:r>
      <w:r>
        <w:rPr>
          <w:spacing w:val="7"/>
        </w:rPr>
        <w:t>工作中玩忽职守造成损失的，严重虚报、瞒报</w:t>
      </w:r>
      <w:r>
        <w:rPr>
          <w:spacing w:val="7"/>
        </w:rPr>
        <w:t>事件情况的，依据国家有关法律法规追究当事</w:t>
      </w:r>
      <w:r>
        <w:rPr/>
        <w:t>人的责任，构成犯罪的，依法追究其刑事责任；</w:t>
      </w:r>
      <w:r>
        <w:rPr>
          <w:spacing w:val="18"/>
        </w:rPr>
        <w:t>对在食品安全事故处置工作过程中做出突出</w:t>
      </w:r>
      <w:r>
        <w:rPr>
          <w:spacing w:val="7"/>
        </w:rPr>
        <w:t>贡献的先进集体和个人，按照有关规定给予表</w:t>
      </w:r>
      <w:r>
        <w:rPr>
          <w:spacing w:val="6"/>
        </w:rPr>
        <w:t>彰和奖励。</w:t>
      </w:r>
    </w:p>
    <w:p>
      <w:pPr>
        <w:ind w:left="423"/>
        <w:spacing w:before="4"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8    附则</w:t>
      </w:r>
    </w:p>
    <w:p>
      <w:pPr>
        <w:pStyle w:val="BodyText"/>
        <w:ind w:left="2" w:right="101" w:firstLine="427"/>
        <w:spacing w:before="117" w:line="376" w:lineRule="auto"/>
        <w:rPr/>
      </w:pPr>
      <w:r>
        <w:rPr>
          <w:rFonts w:ascii="Times New Roman" w:hAnsi="Times New Roman" w:eastAsia="Times New Roman" w:cs="Times New Roman"/>
          <w:spacing w:val="5"/>
        </w:rPr>
        <w:t>8.</w:t>
      </w:r>
      <w:r>
        <w:rPr>
          <w:rFonts w:ascii="Times New Roman" w:hAnsi="Times New Roman" w:eastAsia="Times New Roman" w:cs="Times New Roman"/>
          <w:spacing w:val="-10"/>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5"/>
        </w:rPr>
        <w:t xml:space="preserve">  </w:t>
      </w:r>
      <w:r>
        <w:rPr>
          <w:rFonts w:ascii="KaiTi" w:hAnsi="KaiTi" w:eastAsia="KaiTi" w:cs="KaiTi"/>
          <w:spacing w:val="5"/>
        </w:rPr>
        <w:t>以上、以下的含义。</w:t>
      </w:r>
      <w:r>
        <w:rPr>
          <w:spacing w:val="5"/>
        </w:rPr>
        <w:t>本预案有关数量</w:t>
      </w:r>
      <w:r>
        <w:rPr>
          <w:spacing w:val="6"/>
        </w:rPr>
        <w:t>表述中，</w:t>
      </w:r>
      <w:r>
        <w:rPr>
          <w:rFonts w:ascii="Times New Roman" w:hAnsi="Times New Roman" w:eastAsia="Times New Roman" w:cs="Times New Roman"/>
          <w:spacing w:val="6"/>
        </w:rPr>
        <w:t>“</w:t>
      </w:r>
      <w:r>
        <w:rPr>
          <w:rFonts w:ascii="Times New Roman" w:hAnsi="Times New Roman" w:eastAsia="Times New Roman" w:cs="Times New Roman"/>
          <w:spacing w:val="-31"/>
        </w:rPr>
        <w:t xml:space="preserve"> </w:t>
      </w:r>
      <w:r>
        <w:rPr>
          <w:spacing w:val="6"/>
        </w:rPr>
        <w:t>以上</w:t>
      </w:r>
      <w:r>
        <w:rPr>
          <w:rFonts w:ascii="Times New Roman" w:hAnsi="Times New Roman" w:eastAsia="Times New Roman" w:cs="Times New Roman"/>
          <w:spacing w:val="6"/>
        </w:rPr>
        <w:t>”</w:t>
      </w:r>
      <w:r>
        <w:rPr>
          <w:spacing w:val="6"/>
        </w:rPr>
        <w:t>含本数，</w:t>
      </w:r>
      <w:r>
        <w:rPr>
          <w:rFonts w:ascii="Times New Roman" w:hAnsi="Times New Roman" w:eastAsia="Times New Roman" w:cs="Times New Roman"/>
          <w:spacing w:val="6"/>
        </w:rPr>
        <w:t>“</w:t>
      </w:r>
      <w:r>
        <w:rPr>
          <w:rFonts w:ascii="Times New Roman" w:hAnsi="Times New Roman" w:eastAsia="Times New Roman" w:cs="Times New Roman"/>
          <w:spacing w:val="-27"/>
        </w:rPr>
        <w:t xml:space="preserve"> </w:t>
      </w:r>
      <w:r>
        <w:rPr>
          <w:spacing w:val="6"/>
        </w:rPr>
        <w:t>以下</w:t>
      </w:r>
      <w:r>
        <w:rPr>
          <w:rFonts w:ascii="Times New Roman" w:hAnsi="Times New Roman" w:eastAsia="Times New Roman" w:cs="Times New Roman"/>
          <w:spacing w:val="6"/>
        </w:rPr>
        <w:t>”</w:t>
      </w:r>
      <w:r>
        <w:rPr>
          <w:spacing w:val="6"/>
        </w:rPr>
        <w:t>不含本数。</w:t>
      </w:r>
    </w:p>
    <w:p>
      <w:pPr>
        <w:ind w:left="425"/>
        <w:spacing w:before="19" w:line="20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9    附件</w:t>
      </w:r>
    </w:p>
    <w:p>
      <w:pPr>
        <w:spacing w:line="206" w:lineRule="auto"/>
        <w:sectPr>
          <w:type w:val="continuous"/>
          <w:pgSz w:w="11906" w:h="16839"/>
          <w:pgMar w:top="1772" w:right="1489" w:bottom="1584" w:left="1567" w:header="1428" w:footer="1172" w:gutter="0"/>
          <w:cols w:equalWidth="0" w:num="2">
            <w:col w:w="4502" w:space="100"/>
            <w:col w:w="4248" w:space="0"/>
          </w:cols>
        </w:sectPr>
        <w:rPr>
          <w:rFonts w:ascii="Microsoft YaHei" w:hAnsi="Microsoft YaHei" w:eastAsia="Microsoft YaHei" w:cs="Microsoft YaHei"/>
          <w:sz w:val="20"/>
          <w:szCs w:val="20"/>
        </w:rPr>
      </w:pPr>
    </w:p>
    <w:p>
      <w:pPr>
        <w:spacing w:line="301" w:lineRule="auto"/>
        <w:rPr>
          <w:rFonts w:ascii="Arial"/>
          <w:sz w:val="21"/>
        </w:rPr>
      </w:pPr>
      <w:r>
        <w:drawing>
          <wp:anchor distT="0" distB="0" distL="0" distR="0" simplePos="0" relativeHeight="253658112" behindDoc="0" locked="0" layoutInCell="1" allowOverlap="1">
            <wp:simplePos x="0" y="0"/>
            <wp:positionH relativeFrom="column">
              <wp:posOffset>5393</wp:posOffset>
            </wp:positionH>
            <wp:positionV relativeFrom="paragraph">
              <wp:posOffset>24773</wp:posOffset>
            </wp:positionV>
            <wp:extent cx="8712200" cy="7620"/>
            <wp:effectExtent l="0" t="0" r="0" b="0"/>
            <wp:wrapNone/>
            <wp:docPr id="2010" name="IM 2010"/>
            <wp:cNvGraphicFramePr/>
            <a:graphic>
              <a:graphicData uri="http://schemas.openxmlformats.org/drawingml/2006/picture">
                <pic:pic>
                  <pic:nvPicPr>
                    <pic:cNvPr id="2010" name="IM 2010"/>
                    <pic:cNvPicPr/>
                  </pic:nvPicPr>
                  <pic:blipFill>
                    <a:blip r:embed="rId1007"/>
                    <a:stretch>
                      <a:fillRect/>
                    </a:stretch>
                  </pic:blipFill>
                  <pic:spPr>
                    <a:xfrm rot="0">
                      <a:off x="0" y="0"/>
                      <a:ext cx="8712200" cy="7620"/>
                    </a:xfrm>
                    <a:prstGeom prst="rect">
                      <a:avLst/>
                    </a:prstGeom>
                  </pic:spPr>
                </pic:pic>
              </a:graphicData>
            </a:graphic>
          </wp:anchor>
        </w:drawing>
      </w:r>
      <w:r/>
    </w:p>
    <w:p>
      <w:pPr>
        <w:ind w:left="4348"/>
        <w:spacing w:before="120" w:line="210" w:lineRule="auto"/>
        <w:rPr>
          <w:rFonts w:ascii="Microsoft YaHei" w:hAnsi="Microsoft YaHei" w:eastAsia="Microsoft YaHei" w:cs="Microsoft YaHei"/>
          <w:sz w:val="28"/>
          <w:szCs w:val="28"/>
        </w:rPr>
      </w:pPr>
      <w:r>
        <w:rPr>
          <w:rFonts w:ascii="Microsoft YaHei" w:hAnsi="Microsoft YaHei" w:eastAsia="Microsoft YaHei" w:cs="Microsoft YaHei"/>
          <w:sz w:val="28"/>
          <w:szCs w:val="28"/>
          <w:spacing w:val="-2"/>
        </w:rPr>
        <w:t>9.1  固原市食品安全事故应急领导机构框架图</w:t>
      </w:r>
    </w:p>
    <w:p>
      <w:pPr>
        <w:spacing w:line="415" w:lineRule="auto"/>
        <w:rPr>
          <w:rFonts w:ascii="Arial"/>
          <w:sz w:val="21"/>
        </w:rPr>
      </w:pPr>
      <w:r/>
    </w:p>
    <w:p>
      <w:pPr>
        <w:pStyle w:val="BodyText"/>
        <w:ind w:left="8095" w:right="4556" w:hanging="178"/>
        <w:spacing w:before="58" w:line="265" w:lineRule="auto"/>
        <w:rPr>
          <w:sz w:val="18"/>
          <w:szCs w:val="18"/>
        </w:rPr>
      </w:pPr>
      <w:r>
        <w:pict>
          <v:shape id="_x0000_s126" style="position:absolute;margin-left:579.128pt;margin-top:14.0573pt;mso-position-vertical-relative:text;mso-position-horizontal-relative:text;width:37.6pt;height:12.2pt;z-index:253660160;" filled="false" stroked="false" type="#_x0000_t202">
            <v:fill on="false"/>
            <v:stroke on="false"/>
            <v:path/>
            <v:imagedata o:title=""/>
            <o:lock v:ext="edit" aspectratio="false"/>
            <v:textbox inset="0mm,0mm,0mm,0mm">
              <w:txbxContent>
                <w:p>
                  <w:pPr>
                    <w:pStyle w:val="BodyText"/>
                    <w:ind w:left="20"/>
                    <w:spacing w:before="20" w:line="209" w:lineRule="auto"/>
                    <w:rPr>
                      <w:sz w:val="18"/>
                      <w:szCs w:val="18"/>
                    </w:rPr>
                  </w:pPr>
                  <w:r>
                    <w:rPr>
                      <w:sz w:val="18"/>
                      <w:szCs w:val="18"/>
                      <w:spacing w:val="-3"/>
                    </w:rPr>
                    <w:t>副秘书长</w:t>
                  </w:r>
                </w:p>
              </w:txbxContent>
            </v:textbox>
          </v:shape>
        </w:pict>
      </w:r>
      <w:r>
        <w:drawing>
          <wp:anchor distT="0" distB="0" distL="0" distR="0" simplePos="0" relativeHeight="253647872" behindDoc="1" locked="0" layoutInCell="1" allowOverlap="1">
            <wp:simplePos x="0" y="0"/>
            <wp:positionH relativeFrom="column">
              <wp:posOffset>631</wp:posOffset>
            </wp:positionH>
            <wp:positionV relativeFrom="paragraph">
              <wp:posOffset>7700</wp:posOffset>
            </wp:positionV>
            <wp:extent cx="8343824" cy="4262754"/>
            <wp:effectExtent l="0" t="0" r="0" b="0"/>
            <wp:wrapNone/>
            <wp:docPr id="2012" name="IM 2012"/>
            <wp:cNvGraphicFramePr/>
            <a:graphic>
              <a:graphicData uri="http://schemas.openxmlformats.org/drawingml/2006/picture">
                <pic:pic>
                  <pic:nvPicPr>
                    <pic:cNvPr id="2012" name="IM 2012"/>
                    <pic:cNvPicPr/>
                  </pic:nvPicPr>
                  <pic:blipFill>
                    <a:blip r:embed="rId1008"/>
                    <a:stretch>
                      <a:fillRect/>
                    </a:stretch>
                  </pic:blipFill>
                  <pic:spPr>
                    <a:xfrm rot="0">
                      <a:off x="0" y="0"/>
                      <a:ext cx="8343824" cy="4262754"/>
                    </a:xfrm>
                    <a:prstGeom prst="rect">
                      <a:avLst/>
                    </a:prstGeom>
                  </pic:spPr>
                </pic:pic>
              </a:graphicData>
            </a:graphic>
          </wp:anchor>
        </w:drawing>
      </w:r>
      <w:r>
        <w:rPr>
          <w:sz w:val="18"/>
          <w:szCs w:val="18"/>
          <w:spacing w:val="-1"/>
        </w:rPr>
        <w:t>市食品安全事故</w:t>
      </w:r>
      <w:r>
        <w:rPr>
          <w:sz w:val="18"/>
          <w:szCs w:val="18"/>
          <w:spacing w:val="-1"/>
        </w:rPr>
        <w:t>应急指挥部</w:t>
      </w:r>
    </w:p>
    <w:p>
      <w:pPr>
        <w:pStyle w:val="BodyText"/>
        <w:ind w:left="8095" w:right="4556" w:hanging="178"/>
        <w:spacing w:before="212" w:line="265" w:lineRule="auto"/>
        <w:rPr>
          <w:sz w:val="18"/>
          <w:szCs w:val="18"/>
        </w:rPr>
      </w:pPr>
      <w:r>
        <w:pict>
          <v:shape id="_x0000_s128" style="position:absolute;margin-left:259.352pt;margin-top:10.3673pt;mso-position-vertical-relative:text;mso-position-horizontal-relative:text;width:52.6pt;height:69.7pt;z-index:253649920;" filled="false" stroked="false" type="#_x0000_t202">
            <v:fill on="false"/>
            <v:stroke on="false"/>
            <v:path/>
            <v:imagedata o:title=""/>
            <o:lock v:ext="edit" aspectratio="false"/>
            <v:textbox inset="0mm,0mm,0mm,0mm">
              <w:txbxContent>
                <w:p>
                  <w:pPr>
                    <w:pStyle w:val="BodyText"/>
                    <w:ind w:left="316"/>
                    <w:spacing w:before="19" w:line="210" w:lineRule="auto"/>
                    <w:rPr>
                      <w:sz w:val="18"/>
                      <w:szCs w:val="18"/>
                    </w:rPr>
                  </w:pPr>
                  <w:r>
                    <w:rPr>
                      <w:sz w:val="18"/>
                      <w:szCs w:val="18"/>
                      <w:spacing w:val="-2"/>
                    </w:rPr>
                    <w:t>指挥长</w:t>
                  </w:r>
                </w:p>
                <w:p>
                  <w:pPr>
                    <w:pStyle w:val="BodyText"/>
                    <w:ind w:right="20"/>
                    <w:spacing w:before="64" w:line="211" w:lineRule="auto"/>
                    <w:jc w:val="right"/>
                    <w:rPr>
                      <w:sz w:val="18"/>
                      <w:szCs w:val="18"/>
                    </w:rPr>
                  </w:pPr>
                  <w:r>
                    <w:rPr>
                      <w:sz w:val="18"/>
                      <w:szCs w:val="18"/>
                      <w:spacing w:val="-1"/>
                    </w:rPr>
                    <w:t>分管副市长</w:t>
                  </w:r>
                </w:p>
                <w:p>
                  <w:pPr>
                    <w:spacing w:line="371" w:lineRule="auto"/>
                    <w:rPr>
                      <w:rFonts w:ascii="Arial"/>
                      <w:sz w:val="21"/>
                    </w:rPr>
                  </w:pPr>
                  <w:r/>
                </w:p>
                <w:p>
                  <w:pPr>
                    <w:pStyle w:val="BodyText"/>
                    <w:ind w:left="201"/>
                    <w:spacing w:before="58" w:line="210" w:lineRule="auto"/>
                    <w:rPr>
                      <w:sz w:val="18"/>
                      <w:szCs w:val="18"/>
                    </w:rPr>
                  </w:pPr>
                  <w:r>
                    <w:rPr>
                      <w:sz w:val="18"/>
                      <w:szCs w:val="18"/>
                      <w:spacing w:val="-2"/>
                    </w:rPr>
                    <w:t>指挥长</w:t>
                  </w:r>
                </w:p>
                <w:p>
                  <w:pPr>
                    <w:pStyle w:val="BodyText"/>
                    <w:ind w:left="20"/>
                    <w:spacing w:before="36" w:line="211" w:lineRule="auto"/>
                    <w:rPr>
                      <w:sz w:val="18"/>
                      <w:szCs w:val="18"/>
                    </w:rPr>
                  </w:pPr>
                  <w:r>
                    <w:rPr>
                      <w:sz w:val="18"/>
                      <w:szCs w:val="18"/>
                      <w:spacing w:val="-1"/>
                    </w:rPr>
                    <w:t>分管副市长</w:t>
                  </w:r>
                </w:p>
              </w:txbxContent>
            </v:textbox>
          </v:shape>
        </w:pict>
      </w:r>
      <w:r>
        <w:pict>
          <v:shape id="_x0000_s130" style="position:absolute;margin-left:511.448pt;margin-top:20.9273pt;mso-position-vertical-relative:text;mso-position-horizontal-relative:text;width:115.1pt;height:22.1pt;z-index:253651968;" filled="false" stroked="false" type="#_x0000_t202">
            <v:fill on="false"/>
            <v:stroke on="false"/>
            <v:path/>
            <v:imagedata o:title=""/>
            <o:lock v:ext="edit" aspectratio="false"/>
            <v:textbox inset="0mm,0mm,0mm,0mm">
              <w:txbxContent>
                <w:p>
                  <w:pPr>
                    <w:pStyle w:val="BodyText"/>
                    <w:ind w:left="20" w:right="20" w:firstLine="1186"/>
                    <w:spacing w:before="19" w:line="206" w:lineRule="auto"/>
                    <w:rPr>
                      <w:sz w:val="18"/>
                      <w:szCs w:val="18"/>
                    </w:rPr>
                  </w:pPr>
                  <w:r>
                    <w:rPr>
                      <w:sz w:val="18"/>
                      <w:szCs w:val="18"/>
                      <w:spacing w:val="-1"/>
                    </w:rPr>
                    <w:t>市场监管局局</w:t>
                  </w:r>
                  <w:r>
                    <w:rPr>
                      <w:sz w:val="18"/>
                      <w:szCs w:val="18"/>
                      <w:spacing w:val="-5"/>
                    </w:rPr>
                    <w:t>副总</w:t>
                  </w:r>
                </w:p>
              </w:txbxContent>
            </v:textbox>
          </v:shape>
        </w:pict>
      </w:r>
      <w:r>
        <w:rPr>
          <w:sz w:val="18"/>
          <w:szCs w:val="18"/>
          <w:spacing w:val="-1"/>
        </w:rPr>
        <w:t>市食品安全事故</w:t>
      </w:r>
      <w:r>
        <w:rPr>
          <w:sz w:val="18"/>
          <w:szCs w:val="18"/>
          <w:spacing w:val="-1"/>
        </w:rPr>
        <w:t>应急指挥部</w:t>
      </w:r>
    </w:p>
    <w:p>
      <w:pPr>
        <w:pStyle w:val="BodyText"/>
        <w:ind w:left="10246"/>
        <w:spacing w:before="175" w:line="210" w:lineRule="auto"/>
        <w:rPr>
          <w:sz w:val="18"/>
          <w:szCs w:val="18"/>
        </w:rPr>
      </w:pPr>
      <w:r>
        <w:rPr>
          <w:sz w:val="18"/>
          <w:szCs w:val="18"/>
          <w:spacing w:val="-3"/>
        </w:rPr>
        <w:t>指挥</w:t>
      </w:r>
    </w:p>
    <w:p>
      <w:pPr>
        <w:pStyle w:val="BodyText"/>
        <w:ind w:left="8056" w:right="4594" w:hanging="178"/>
        <w:spacing w:before="42" w:line="238" w:lineRule="auto"/>
        <w:rPr>
          <w:sz w:val="18"/>
          <w:szCs w:val="18"/>
        </w:rPr>
      </w:pPr>
      <w:r>
        <w:pict>
          <v:shape id="_x0000_s132" style="position:absolute;margin-left:559.324pt;margin-top:1.34385pt;mso-position-vertical-relative:text;mso-position-horizontal-relative:text;width:82.85pt;height:12.45pt;z-index:253656064;" filled="false" stroked="false" type="#_x0000_t202">
            <v:fill on="false"/>
            <v:stroke on="false"/>
            <v:path/>
            <v:imagedata o:title=""/>
            <o:lock v:ext="edit" aspectratio="false"/>
            <v:textbox inset="0mm,0mm,0mm,0mm">
              <w:txbxContent>
                <w:p>
                  <w:pPr>
                    <w:pStyle w:val="BodyText"/>
                    <w:ind w:left="20"/>
                    <w:spacing w:before="19" w:line="214" w:lineRule="auto"/>
                    <w:rPr>
                      <w:sz w:val="18"/>
                      <w:szCs w:val="18"/>
                    </w:rPr>
                  </w:pPr>
                  <w:r>
                    <w:rPr>
                      <w:sz w:val="18"/>
                      <w:szCs w:val="18"/>
                      <w:spacing w:val="-1"/>
                    </w:rPr>
                    <w:t>卫生健康委员会主任</w:t>
                  </w:r>
                </w:p>
              </w:txbxContent>
            </v:textbox>
          </v:shape>
        </w:pict>
      </w:r>
      <w:r>
        <w:rPr>
          <w:sz w:val="18"/>
          <w:szCs w:val="18"/>
          <w:spacing w:val="-1"/>
        </w:rPr>
        <w:t>市食品安全事故</w:t>
      </w:r>
      <w:r>
        <w:rPr>
          <w:sz w:val="18"/>
          <w:szCs w:val="18"/>
          <w:spacing w:val="-1"/>
        </w:rPr>
        <w:t>应急指挥部</w:t>
      </w:r>
    </w:p>
    <w:p>
      <w:pPr>
        <w:spacing w:line="397" w:lineRule="auto"/>
        <w:rPr>
          <w:rFonts w:ascii="Arial"/>
          <w:sz w:val="21"/>
        </w:rPr>
      </w:pPr>
      <w:r/>
    </w:p>
    <w:p>
      <w:pPr>
        <w:pStyle w:val="BodyText"/>
        <w:ind w:left="11403"/>
        <w:spacing w:before="59" w:line="241" w:lineRule="exact"/>
        <w:rPr>
          <w:sz w:val="18"/>
          <w:szCs w:val="18"/>
        </w:rPr>
      </w:pPr>
      <w:r>
        <w:pict>
          <v:shape id="_x0000_s134" style="position:absolute;margin-left:382.028pt;margin-top:-7.31194pt;mso-position-vertical-relative:text;mso-position-horizontal-relative:text;width:82.8pt;height:24.5pt;z-index:253654016;" filled="false" stroked="false" type="#_x0000_t202">
            <v:fill on="false"/>
            <v:stroke on="false"/>
            <v:path/>
            <v:imagedata o:title=""/>
            <o:lock v:ext="edit" aspectratio="false"/>
            <v:textbox inset="0mm,0mm,0mm,0mm">
              <w:txbxContent>
                <w:p>
                  <w:pPr>
                    <w:pStyle w:val="BodyText"/>
                    <w:ind w:left="288" w:right="20" w:hanging="269"/>
                    <w:spacing w:before="19" w:line="238" w:lineRule="auto"/>
                    <w:rPr>
                      <w:sz w:val="18"/>
                      <w:szCs w:val="18"/>
                    </w:rPr>
                  </w:pPr>
                  <w:r>
                    <w:rPr>
                      <w:sz w:val="18"/>
                      <w:szCs w:val="18"/>
                      <w:spacing w:val="-1"/>
                    </w:rPr>
                    <w:t>市食品安全事故应急</w:t>
                  </w:r>
                  <w:r>
                    <w:rPr>
                      <w:sz w:val="18"/>
                      <w:szCs w:val="18"/>
                      <w:spacing w:val="-1"/>
                    </w:rPr>
                    <w:t>指挥部办公室</w:t>
                  </w:r>
                </w:p>
              </w:txbxContent>
            </v:textbox>
          </v:shape>
        </w:pict>
      </w:r>
      <w:r>
        <w:rPr>
          <w:sz w:val="18"/>
          <w:szCs w:val="18"/>
          <w:spacing w:val="-7"/>
          <w:position w:val="1"/>
        </w:rPr>
        <w:t>事发地县（</w:t>
      </w:r>
      <w:r>
        <w:rPr>
          <w:sz w:val="18"/>
          <w:szCs w:val="18"/>
          <w:spacing w:val="-48"/>
          <w:position w:val="1"/>
        </w:rPr>
        <w:t xml:space="preserve"> </w:t>
      </w:r>
      <w:r>
        <w:rPr>
          <w:sz w:val="18"/>
          <w:szCs w:val="18"/>
          <w:spacing w:val="-7"/>
          <w:position w:val="1"/>
        </w:rPr>
        <w:t>区）长</w:t>
      </w:r>
    </w:p>
    <w:p>
      <w:pPr>
        <w:spacing w:line="452" w:lineRule="auto"/>
        <w:rPr>
          <w:rFonts w:ascii="Arial"/>
          <w:sz w:val="21"/>
        </w:rPr>
      </w:pPr>
      <w:r/>
    </w:p>
    <w:p>
      <w:pPr>
        <w:pStyle w:val="BodyText"/>
        <w:ind w:left="7929" w:right="4452" w:hanging="269"/>
        <w:spacing w:before="59" w:line="238" w:lineRule="auto"/>
        <w:rPr>
          <w:sz w:val="18"/>
          <w:szCs w:val="18"/>
        </w:rPr>
      </w:pPr>
      <w:r>
        <w:rPr>
          <w:sz w:val="18"/>
          <w:szCs w:val="18"/>
          <w:spacing w:val="-1"/>
        </w:rPr>
        <w:t>市食品安全事故应急</w:t>
      </w:r>
      <w:r>
        <w:rPr>
          <w:sz w:val="18"/>
          <w:szCs w:val="18"/>
          <w:spacing w:val="-1"/>
        </w:rPr>
        <w:t>指挥部办公室</w:t>
      </w:r>
    </w:p>
    <w:p>
      <w:pPr>
        <w:spacing w:line="248" w:lineRule="auto"/>
        <w:rPr>
          <w:rFonts w:ascii="Arial"/>
          <w:sz w:val="21"/>
        </w:rPr>
      </w:pPr>
      <w:r>
        <w:drawing>
          <wp:anchor distT="0" distB="0" distL="0" distR="0" simplePos="0" relativeHeight="253657088" behindDoc="0" locked="0" layoutInCell="1" allowOverlap="1">
            <wp:simplePos x="0" y="0"/>
            <wp:positionH relativeFrom="column">
              <wp:posOffset>148459</wp:posOffset>
            </wp:positionH>
            <wp:positionV relativeFrom="paragraph">
              <wp:posOffset>93158</wp:posOffset>
            </wp:positionV>
            <wp:extent cx="8076565" cy="9525"/>
            <wp:effectExtent l="0" t="0" r="0" b="0"/>
            <wp:wrapNone/>
            <wp:docPr id="2014" name="IM 2014"/>
            <wp:cNvGraphicFramePr/>
            <a:graphic>
              <a:graphicData uri="http://schemas.openxmlformats.org/drawingml/2006/picture">
                <pic:pic>
                  <pic:nvPicPr>
                    <pic:cNvPr id="2014" name="IM 2014"/>
                    <pic:cNvPicPr/>
                  </pic:nvPicPr>
                  <pic:blipFill>
                    <a:blip r:embed="rId1009"/>
                    <a:stretch>
                      <a:fillRect/>
                    </a:stretch>
                  </pic:blipFill>
                  <pic:spPr>
                    <a:xfrm rot="0">
                      <a:off x="0" y="0"/>
                      <a:ext cx="8076565" cy="9525"/>
                    </a:xfrm>
                    <a:prstGeom prst="rect">
                      <a:avLst/>
                    </a:prstGeom>
                  </pic:spPr>
                </pic:pic>
              </a:graphicData>
            </a:graphic>
          </wp:anchor>
        </w:drawing>
      </w: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ict>
          <v:shape id="_x0000_s136" style="position:absolute;margin-left:3.13167pt;margin-top:5.101pt;mso-position-vertical-relative:text;mso-position-horizontal-relative:text;width:379.45pt;height:101.7pt;z-index:253648896;" filled="false" stroked="false" type="#_x0000_t202">
            <v:fill on="false"/>
            <v:stroke on="false"/>
            <v:path/>
            <v:imagedata o:title=""/>
            <o:lock v:ext="edit" aspectratio="false"/>
            <v:textbox inset="0mm,0mm,0mm,0mm" style="layout-flow:vertical-ideographic;">
              <w:txbxContent>
                <w:p>
                  <w:pPr>
                    <w:pStyle w:val="BodyText"/>
                    <w:ind w:left="281"/>
                    <w:spacing w:before="19" w:line="206" w:lineRule="auto"/>
                    <w:rPr>
                      <w:sz w:val="18"/>
                      <w:szCs w:val="18"/>
                    </w:rPr>
                  </w:pPr>
                  <w:r>
                    <w:rPr>
                      <w:sz w:val="18"/>
                      <w:szCs w:val="18"/>
                      <w:spacing w:val="9"/>
                    </w:rPr>
                    <w:t>发展改革委</w:t>
                  </w:r>
                </w:p>
                <w:p>
                  <w:pPr>
                    <w:spacing w:line="383" w:lineRule="auto"/>
                    <w:rPr>
                      <w:rFonts w:ascii="Arial"/>
                      <w:sz w:val="21"/>
                    </w:rPr>
                  </w:pPr>
                  <w:r/>
                </w:p>
                <w:p>
                  <w:pPr>
                    <w:pStyle w:val="BodyText"/>
                    <w:ind w:left="20"/>
                    <w:spacing w:before="60" w:line="206" w:lineRule="auto"/>
                    <w:rPr>
                      <w:sz w:val="18"/>
                      <w:szCs w:val="18"/>
                    </w:rPr>
                  </w:pPr>
                  <w:r>
                    <w:rPr>
                      <w:sz w:val="18"/>
                      <w:szCs w:val="18"/>
                      <w:spacing w:val="19"/>
                    </w:rPr>
                    <w:t>市委统战部（民宗局）</w:t>
                  </w:r>
                </w:p>
                <w:p>
                  <w:pPr>
                    <w:spacing w:line="309" w:lineRule="auto"/>
                    <w:rPr>
                      <w:rFonts w:ascii="Arial"/>
                      <w:sz w:val="21"/>
                    </w:rPr>
                  </w:pPr>
                  <w:r/>
                </w:p>
                <w:p>
                  <w:pPr>
                    <w:pStyle w:val="BodyText"/>
                    <w:ind w:left="310"/>
                    <w:spacing w:before="60" w:line="206" w:lineRule="auto"/>
                    <w:rPr>
                      <w:sz w:val="18"/>
                      <w:szCs w:val="18"/>
                    </w:rPr>
                  </w:pPr>
                  <w:r>
                    <w:rPr>
                      <w:sz w:val="18"/>
                      <w:szCs w:val="18"/>
                      <w:spacing w:val="9"/>
                    </w:rPr>
                    <w:t>市委宣传部</w:t>
                  </w:r>
                </w:p>
                <w:p>
                  <w:pPr>
                    <w:spacing w:line="299" w:lineRule="auto"/>
                    <w:rPr>
                      <w:rFonts w:ascii="Arial"/>
                      <w:sz w:val="21"/>
                    </w:rPr>
                  </w:pPr>
                  <w:r/>
                </w:p>
                <w:p>
                  <w:pPr>
                    <w:pStyle w:val="BodyText"/>
                    <w:ind w:left="327"/>
                    <w:spacing w:before="60" w:line="206" w:lineRule="auto"/>
                    <w:rPr>
                      <w:sz w:val="18"/>
                      <w:szCs w:val="18"/>
                    </w:rPr>
                  </w:pPr>
                  <w:r>
                    <w:rPr>
                      <w:sz w:val="18"/>
                      <w:szCs w:val="18"/>
                      <w:spacing w:val="9"/>
                    </w:rPr>
                    <w:t>市委政法委</w:t>
                  </w:r>
                </w:p>
                <w:p>
                  <w:pPr>
                    <w:spacing w:line="278" w:lineRule="auto"/>
                    <w:rPr>
                      <w:rFonts w:ascii="Arial"/>
                      <w:sz w:val="21"/>
                    </w:rPr>
                  </w:pPr>
                  <w:r/>
                </w:p>
                <w:p>
                  <w:pPr>
                    <w:pStyle w:val="BodyText"/>
                    <w:ind w:left="322"/>
                    <w:spacing w:before="60" w:line="207" w:lineRule="auto"/>
                    <w:rPr>
                      <w:sz w:val="18"/>
                      <w:szCs w:val="18"/>
                    </w:rPr>
                  </w:pPr>
                  <w:r>
                    <w:rPr>
                      <w:sz w:val="18"/>
                      <w:szCs w:val="18"/>
                      <w:spacing w:val="9"/>
                    </w:rPr>
                    <w:t>市委网信办</w:t>
                  </w:r>
                </w:p>
                <w:p>
                  <w:pPr>
                    <w:spacing w:line="314" w:lineRule="auto"/>
                    <w:rPr>
                      <w:rFonts w:ascii="Arial"/>
                      <w:sz w:val="21"/>
                    </w:rPr>
                  </w:pPr>
                  <w:r/>
                </w:p>
                <w:p>
                  <w:pPr>
                    <w:pStyle w:val="BodyText"/>
                    <w:ind w:left="353"/>
                    <w:spacing w:before="61" w:line="208" w:lineRule="auto"/>
                    <w:rPr>
                      <w:sz w:val="18"/>
                      <w:szCs w:val="18"/>
                    </w:rPr>
                  </w:pPr>
                  <w:r>
                    <w:rPr>
                      <w:sz w:val="18"/>
                      <w:szCs w:val="18"/>
                      <w:spacing w:val="9"/>
                    </w:rPr>
                    <w:t>教育体育局</w:t>
                  </w:r>
                </w:p>
                <w:p>
                  <w:pPr>
                    <w:spacing w:line="325" w:lineRule="auto"/>
                    <w:rPr>
                      <w:rFonts w:ascii="Arial"/>
                      <w:sz w:val="21"/>
                    </w:rPr>
                  </w:pPr>
                  <w:r/>
                </w:p>
                <w:p>
                  <w:pPr>
                    <w:pStyle w:val="BodyText"/>
                    <w:ind w:left="336"/>
                    <w:spacing w:before="60" w:line="207" w:lineRule="auto"/>
                    <w:rPr>
                      <w:sz w:val="18"/>
                      <w:szCs w:val="18"/>
                    </w:rPr>
                  </w:pPr>
                  <w:r>
                    <w:rPr>
                      <w:sz w:val="18"/>
                      <w:szCs w:val="18"/>
                      <w:spacing w:val="9"/>
                    </w:rPr>
                    <w:t>科学技术局</w:t>
                  </w:r>
                </w:p>
                <w:p>
                  <w:pPr>
                    <w:spacing w:line="292" w:lineRule="auto"/>
                    <w:rPr>
                      <w:rFonts w:ascii="Arial"/>
                      <w:sz w:val="21"/>
                    </w:rPr>
                  </w:pPr>
                  <w:r/>
                </w:p>
                <w:p>
                  <w:pPr>
                    <w:pStyle w:val="BodyText"/>
                    <w:ind w:left="519"/>
                    <w:spacing w:before="60" w:line="207" w:lineRule="auto"/>
                    <w:rPr>
                      <w:sz w:val="18"/>
                      <w:szCs w:val="18"/>
                    </w:rPr>
                  </w:pPr>
                  <w:r>
                    <w:rPr>
                      <w:sz w:val="18"/>
                      <w:szCs w:val="18"/>
                      <w:spacing w:val="8"/>
                    </w:rPr>
                    <w:t>民政局</w:t>
                  </w:r>
                </w:p>
                <w:p>
                  <w:pPr>
                    <w:spacing w:line="346" w:lineRule="auto"/>
                    <w:rPr>
                      <w:rFonts w:ascii="Arial"/>
                      <w:sz w:val="21"/>
                    </w:rPr>
                  </w:pPr>
                  <w:r/>
                </w:p>
                <w:p>
                  <w:pPr>
                    <w:pStyle w:val="BodyText"/>
                    <w:ind w:left="120"/>
                    <w:spacing w:before="61" w:line="210" w:lineRule="auto"/>
                    <w:rPr>
                      <w:sz w:val="18"/>
                      <w:szCs w:val="18"/>
                    </w:rPr>
                  </w:pPr>
                  <w:r>
                    <w:rPr>
                      <w:sz w:val="18"/>
                      <w:szCs w:val="18"/>
                      <w:spacing w:val="10"/>
                    </w:rPr>
                    <w:t>住房城乡建设局</w:t>
                  </w:r>
                </w:p>
                <w:p>
                  <w:pPr>
                    <w:spacing w:line="379" w:lineRule="auto"/>
                    <w:rPr>
                      <w:rFonts w:ascii="Arial"/>
                      <w:sz w:val="21"/>
                    </w:rPr>
                  </w:pPr>
                  <w:r/>
                </w:p>
                <w:p>
                  <w:pPr>
                    <w:pStyle w:val="BodyText"/>
                    <w:ind w:left="41"/>
                    <w:spacing w:before="61" w:line="208" w:lineRule="auto"/>
                    <w:rPr>
                      <w:sz w:val="18"/>
                      <w:szCs w:val="18"/>
                    </w:rPr>
                  </w:pPr>
                  <w:r>
                    <w:rPr>
                      <w:sz w:val="18"/>
                      <w:szCs w:val="18"/>
                      <w:spacing w:val="10"/>
                    </w:rPr>
                    <w:t>商务和投资促进局</w:t>
                  </w:r>
                </w:p>
                <w:p>
                  <w:pPr>
                    <w:spacing w:line="316" w:lineRule="auto"/>
                    <w:rPr>
                      <w:rFonts w:ascii="Arial"/>
                      <w:sz w:val="21"/>
                    </w:rPr>
                  </w:pPr>
                  <w:r/>
                </w:p>
                <w:p>
                  <w:pPr>
                    <w:pStyle w:val="BodyText"/>
                    <w:ind w:left="322"/>
                    <w:spacing w:before="61" w:line="209" w:lineRule="auto"/>
                    <w:rPr>
                      <w:sz w:val="18"/>
                      <w:szCs w:val="18"/>
                    </w:rPr>
                  </w:pPr>
                  <w:r>
                    <w:rPr>
                      <w:sz w:val="18"/>
                      <w:szCs w:val="18"/>
                      <w:spacing w:val="9"/>
                    </w:rPr>
                    <w:t>农业农村局</w:t>
                  </w:r>
                </w:p>
                <w:p>
                  <w:pPr>
                    <w:spacing w:line="398" w:lineRule="auto"/>
                    <w:rPr>
                      <w:rFonts w:ascii="Arial"/>
                      <w:sz w:val="21"/>
                    </w:rPr>
                  </w:pPr>
                  <w:r/>
                </w:p>
                <w:p>
                  <w:pPr>
                    <w:pStyle w:val="BodyText"/>
                    <w:ind w:left="120"/>
                    <w:spacing w:before="61" w:line="207" w:lineRule="auto"/>
                    <w:rPr>
                      <w:sz w:val="18"/>
                      <w:szCs w:val="18"/>
                    </w:rPr>
                  </w:pPr>
                  <w:r>
                    <w:rPr>
                      <w:sz w:val="18"/>
                      <w:szCs w:val="18"/>
                      <w:spacing w:val="10"/>
                    </w:rPr>
                    <w:t>文化旅游广电局</w:t>
                  </w:r>
                </w:p>
                <w:p>
                  <w:pPr>
                    <w:spacing w:line="357" w:lineRule="auto"/>
                    <w:rPr>
                      <w:rFonts w:ascii="Arial"/>
                      <w:sz w:val="21"/>
                    </w:rPr>
                  </w:pPr>
                  <w:r/>
                </w:p>
                <w:p>
                  <w:pPr>
                    <w:pStyle w:val="BodyText"/>
                    <w:ind w:left="288"/>
                    <w:spacing w:before="60" w:line="206" w:lineRule="auto"/>
                    <w:rPr>
                      <w:sz w:val="18"/>
                      <w:szCs w:val="18"/>
                    </w:rPr>
                  </w:pPr>
                  <w:r>
                    <w:rPr>
                      <w:sz w:val="18"/>
                      <w:szCs w:val="18"/>
                      <w:spacing w:val="9"/>
                    </w:rPr>
                    <w:t>市场监管局</w:t>
                  </w:r>
                </w:p>
              </w:txbxContent>
            </v:textbox>
          </v:shape>
        </w:pict>
      </w:r>
      <w:r/>
    </w:p>
    <w:p>
      <w:pPr>
        <w:spacing w:line="249" w:lineRule="auto"/>
        <w:rPr>
          <w:rFonts w:ascii="Arial"/>
          <w:sz w:val="21"/>
        </w:rPr>
      </w:pPr>
      <w:r>
        <w:pict>
          <v:shape id="_x0000_s138" style="position:absolute;margin-left:610.211pt;margin-top:3.54457pt;mso-position-vertical-relative:text;mso-position-horizontal-relative:text;width:43.15pt;height:59pt;z-index:253650944;" filled="false" stroked="false" type="#_x0000_t202">
            <v:fill on="false"/>
            <v:stroke on="false"/>
            <v:path/>
            <v:imagedata o:title=""/>
            <o:lock v:ext="edit" aspectratio="false"/>
            <v:textbox inset="0mm,0mm,0mm,0mm" style="layout-flow:vertical-ideographic;">
              <w:txbxContent>
                <w:p>
                  <w:pPr>
                    <w:pStyle w:val="BodyText"/>
                    <w:ind w:left="20"/>
                    <w:spacing w:before="19" w:line="209" w:lineRule="auto"/>
                    <w:rPr>
                      <w:sz w:val="18"/>
                      <w:szCs w:val="18"/>
                    </w:rPr>
                  </w:pPr>
                  <w:r>
                    <w:rPr>
                      <w:sz w:val="18"/>
                      <w:szCs w:val="18"/>
                      <w:spacing w:val="10"/>
                    </w:rPr>
                    <w:t>粮食和储备局</w:t>
                  </w:r>
                </w:p>
                <w:p>
                  <w:pPr>
                    <w:spacing w:line="333" w:lineRule="auto"/>
                    <w:rPr>
                      <w:rFonts w:ascii="Arial"/>
                      <w:sz w:val="21"/>
                    </w:rPr>
                  </w:pPr>
                  <w:r/>
                </w:p>
                <w:p>
                  <w:pPr>
                    <w:pStyle w:val="BodyText"/>
                    <w:ind w:left="108"/>
                    <w:spacing w:before="60" w:line="209" w:lineRule="auto"/>
                    <w:rPr>
                      <w:sz w:val="18"/>
                      <w:szCs w:val="18"/>
                    </w:rPr>
                  </w:pPr>
                  <w:r>
                    <w:rPr>
                      <w:sz w:val="18"/>
                      <w:szCs w:val="18"/>
                      <w:spacing w:val="9"/>
                    </w:rPr>
                    <w:t>卫生健康委</w:t>
                  </w:r>
                </w:p>
              </w:txbxContent>
            </v:textbox>
          </v:shape>
        </w:pict>
      </w:r>
      <w:r>
        <w:pict>
          <v:shape id="_x0000_s140" style="position:absolute;margin-left:473.616pt;margin-top:6.54457pt;mso-position-vertical-relative:text;mso-position-horizontal-relative:text;width:46.35pt;height:49.4pt;z-index:253652992;" filled="false" stroked="false" type="#_x0000_t202">
            <v:fill on="false"/>
            <v:stroke on="false"/>
            <v:path/>
            <v:imagedata o:title=""/>
            <o:lock v:ext="edit" aspectratio="false"/>
            <v:textbox inset="0mm,0mm,0mm,0mm" style="layout-flow:vertical-ideographic;">
              <w:txbxContent>
                <w:p>
                  <w:pPr>
                    <w:pStyle w:val="BodyText"/>
                    <w:ind w:left="20"/>
                    <w:spacing w:before="19" w:line="208" w:lineRule="auto"/>
                    <w:rPr>
                      <w:sz w:val="18"/>
                      <w:szCs w:val="18"/>
                    </w:rPr>
                  </w:pPr>
                  <w:r>
                    <w:rPr>
                      <w:sz w:val="18"/>
                      <w:szCs w:val="18"/>
                      <w:spacing w:val="9"/>
                    </w:rPr>
                    <w:t>交通运输局</w:t>
                  </w:r>
                </w:p>
                <w:p>
                  <w:pPr>
                    <w:spacing w:line="399" w:lineRule="auto"/>
                    <w:rPr>
                      <w:rFonts w:ascii="Arial"/>
                      <w:sz w:val="21"/>
                    </w:rPr>
                  </w:pPr>
                  <w:r/>
                </w:p>
                <w:p>
                  <w:pPr>
                    <w:pStyle w:val="BodyText"/>
                    <w:ind w:left="20"/>
                    <w:spacing w:before="60" w:line="205" w:lineRule="auto"/>
                    <w:rPr>
                      <w:sz w:val="18"/>
                      <w:szCs w:val="18"/>
                    </w:rPr>
                  </w:pPr>
                  <w:r>
                    <w:rPr>
                      <w:sz w:val="18"/>
                      <w:szCs w:val="18"/>
                      <w:spacing w:val="9"/>
                    </w:rPr>
                    <w:t>生态环境局</w:t>
                  </w:r>
                </w:p>
              </w:txbxContent>
            </v:textbox>
          </v:shape>
        </w:pict>
      </w:r>
      <w:r/>
    </w:p>
    <w:p>
      <w:pPr>
        <w:spacing w:line="249" w:lineRule="auto"/>
        <w:rPr>
          <w:rFonts w:ascii="Arial"/>
          <w:sz w:val="21"/>
        </w:rPr>
      </w:pPr>
      <w:r>
        <w:pict>
          <v:shape id="_x0000_s142" style="position:absolute;margin-left:575.884pt;margin-top:3.97781pt;mso-position-vertical-relative:text;mso-position-horizontal-relative:text;width:12.3pt;height:30.25pt;z-index:253662208;" filled="false" stroked="false" type="#_x0000_t202">
            <v:fill on="false"/>
            <v:stroke on="false"/>
            <v:path/>
            <v:imagedata o:title=""/>
            <o:lock v:ext="edit" aspectratio="false"/>
            <v:textbox inset="0mm,0mm,0mm,0mm" style="layout-flow:vertical-ideographic;">
              <w:txbxContent>
                <w:p>
                  <w:pPr>
                    <w:pStyle w:val="BodyText"/>
                    <w:ind w:left="20"/>
                    <w:spacing w:before="20" w:line="204" w:lineRule="auto"/>
                    <w:rPr>
                      <w:sz w:val="18"/>
                      <w:szCs w:val="18"/>
                    </w:rPr>
                  </w:pPr>
                  <w:r>
                    <w:rPr>
                      <w:sz w:val="18"/>
                      <w:szCs w:val="18"/>
                      <w:spacing w:val="8"/>
                    </w:rPr>
                    <w:t>司法局</w:t>
                  </w:r>
                </w:p>
              </w:txbxContent>
            </v:textbox>
          </v:shape>
        </w:pict>
      </w:r>
      <w:r>
        <w:pict>
          <v:shape id="_x0000_s144" style="position:absolute;margin-left:541.923pt;margin-top:4.45782pt;mso-position-vertical-relative:text;mso-position-horizontal-relative:text;width:12.5pt;height:30.25pt;z-index:253661184;" filled="false" stroked="false" type="#_x0000_t202">
            <v:fill on="false"/>
            <v:stroke on="false"/>
            <v:path/>
            <v:imagedata o:title=""/>
            <o:lock v:ext="edit" aspectratio="false"/>
            <v:textbox inset="0mm,0mm,0mm,0mm" style="layout-flow:vertical-ideographic;">
              <w:txbxContent>
                <w:p>
                  <w:pPr>
                    <w:pStyle w:val="BodyText"/>
                    <w:ind w:left="20"/>
                    <w:spacing w:before="20" w:line="208" w:lineRule="auto"/>
                    <w:rPr>
                      <w:sz w:val="18"/>
                      <w:szCs w:val="18"/>
                    </w:rPr>
                  </w:pPr>
                  <w:r>
                    <w:rPr>
                      <w:sz w:val="18"/>
                      <w:szCs w:val="18"/>
                      <w:spacing w:val="8"/>
                    </w:rPr>
                    <w:t>财政局</w:t>
                  </w:r>
                </w:p>
              </w:txbxContent>
            </v:textbox>
          </v:shape>
        </w:pict>
      </w:r>
      <w:r>
        <w:pict>
          <v:shape id="_x0000_s146" style="position:absolute;margin-left:404.784pt;margin-top:2.5368pt;mso-position-vertical-relative:text;mso-position-horizontal-relative:text;width:46.65pt;height:31.2pt;z-index:253655040;" filled="false" stroked="false" type="#_x0000_t202">
            <v:fill on="false"/>
            <v:stroke on="false"/>
            <v:path/>
            <v:imagedata o:title=""/>
            <o:lock v:ext="edit" aspectratio="false"/>
            <v:textbox inset="0mm,0mm,0mm,0mm" style="layout-flow:vertical-ideographic;">
              <w:txbxContent>
                <w:p>
                  <w:pPr>
                    <w:pStyle w:val="BodyText"/>
                    <w:ind w:left="39"/>
                    <w:spacing w:before="20" w:line="207" w:lineRule="auto"/>
                    <w:rPr>
                      <w:sz w:val="18"/>
                      <w:szCs w:val="18"/>
                    </w:rPr>
                  </w:pPr>
                  <w:r>
                    <w:rPr>
                      <w:sz w:val="18"/>
                      <w:szCs w:val="18"/>
                      <w:spacing w:val="8"/>
                    </w:rPr>
                    <w:t>工信局</w:t>
                  </w:r>
                </w:p>
                <w:p>
                  <w:pPr>
                    <w:spacing w:line="402" w:lineRule="auto"/>
                    <w:rPr>
                      <w:rFonts w:ascii="Arial"/>
                      <w:sz w:val="21"/>
                    </w:rPr>
                  </w:pPr>
                  <w:r/>
                </w:p>
                <w:p>
                  <w:pPr>
                    <w:pStyle w:val="BodyText"/>
                    <w:ind w:left="20"/>
                    <w:spacing w:before="60" w:line="209" w:lineRule="auto"/>
                    <w:rPr>
                      <w:sz w:val="18"/>
                      <w:szCs w:val="18"/>
                    </w:rPr>
                  </w:pPr>
                  <w:r>
                    <w:rPr>
                      <w:sz w:val="18"/>
                      <w:szCs w:val="18"/>
                      <w:spacing w:val="8"/>
                    </w:rPr>
                    <w:t>公安局</w:t>
                  </w:r>
                </w:p>
              </w:txbxContent>
            </v:textbox>
          </v:shape>
        </w:pict>
      </w: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drawing>
          <wp:anchor distT="0" distB="0" distL="0" distR="0" simplePos="0" relativeHeight="253659136" behindDoc="0" locked="0" layoutInCell="1" allowOverlap="1">
            <wp:simplePos x="0" y="0"/>
            <wp:positionH relativeFrom="column">
              <wp:posOffset>5393</wp:posOffset>
            </wp:positionH>
            <wp:positionV relativeFrom="paragraph">
              <wp:posOffset>160195</wp:posOffset>
            </wp:positionV>
            <wp:extent cx="8667750" cy="7619"/>
            <wp:effectExtent l="0" t="0" r="0" b="0"/>
            <wp:wrapNone/>
            <wp:docPr id="2016" name="IM 2016"/>
            <wp:cNvGraphicFramePr/>
            <a:graphic>
              <a:graphicData uri="http://schemas.openxmlformats.org/drawingml/2006/picture">
                <pic:pic>
                  <pic:nvPicPr>
                    <pic:cNvPr id="2016" name="IM 2016"/>
                    <pic:cNvPicPr/>
                  </pic:nvPicPr>
                  <pic:blipFill>
                    <a:blip r:embed="rId1010"/>
                    <a:stretch>
                      <a:fillRect/>
                    </a:stretch>
                  </pic:blipFill>
                  <pic:spPr>
                    <a:xfrm rot="0">
                      <a:off x="0" y="0"/>
                      <a:ext cx="8667750" cy="7619"/>
                    </a:xfrm>
                    <a:prstGeom prst="rect">
                      <a:avLst/>
                    </a:prstGeom>
                  </pic:spPr>
                </pic:pic>
              </a:graphicData>
            </a:graphic>
          </wp:anchor>
        </w:drawing>
      </w:r>
      <w:r/>
    </w:p>
    <w:p>
      <w:pPr>
        <w:ind w:left="11131"/>
        <w:spacing w:before="86" w:line="21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期/421</w:t>
      </w:r>
    </w:p>
    <w:p>
      <w:pPr>
        <w:spacing w:line="213" w:lineRule="auto"/>
        <w:sectPr>
          <w:headerReference w:type="default" r:id="rId1006"/>
          <w:footerReference w:type="default" r:id="rId58"/>
          <w:pgSz w:w="16839" w:h="11905"/>
          <w:pgMar w:top="1767" w:right="1530" w:bottom="400" w:left="1579" w:header="1428" w:footer="0" w:gutter="0"/>
        </w:sectPr>
        <w:rPr>
          <w:rFonts w:ascii="Microsoft YaHei" w:hAnsi="Microsoft YaHei" w:eastAsia="Microsoft YaHei" w:cs="Microsoft YaHei"/>
          <w:sz w:val="20"/>
          <w:szCs w:val="20"/>
        </w:rPr>
      </w:pPr>
    </w:p>
    <w:p>
      <w:pPr>
        <w:spacing w:line="248" w:lineRule="auto"/>
        <w:rPr>
          <w:rFonts w:ascii="Arial"/>
          <w:sz w:val="21"/>
        </w:rPr>
      </w:pPr>
      <w:r>
        <w:drawing>
          <wp:anchor distT="0" distB="0" distL="0" distR="0" simplePos="0" relativeHeight="253673472" behindDoc="0" locked="0" layoutInCell="0" allowOverlap="1">
            <wp:simplePos x="0" y="0"/>
            <wp:positionH relativeFrom="page">
              <wp:posOffset>1008380</wp:posOffset>
            </wp:positionH>
            <wp:positionV relativeFrom="page">
              <wp:posOffset>1124584</wp:posOffset>
            </wp:positionV>
            <wp:extent cx="8712200" cy="7620"/>
            <wp:effectExtent l="0" t="0" r="0" b="0"/>
            <wp:wrapNone/>
            <wp:docPr id="2022" name="IM 2022"/>
            <wp:cNvGraphicFramePr/>
            <a:graphic>
              <a:graphicData uri="http://schemas.openxmlformats.org/drawingml/2006/picture">
                <pic:pic>
                  <pic:nvPicPr>
                    <pic:cNvPr id="2022" name="IM 2022"/>
                    <pic:cNvPicPr/>
                  </pic:nvPicPr>
                  <pic:blipFill>
                    <a:blip r:embed="rId1013"/>
                    <a:stretch>
                      <a:fillRect/>
                    </a:stretch>
                  </pic:blipFill>
                  <pic:spPr>
                    <a:xfrm rot="0">
                      <a:off x="0" y="0"/>
                      <a:ext cx="8712200" cy="7620"/>
                    </a:xfrm>
                    <a:prstGeom prst="rect">
                      <a:avLst/>
                    </a:prstGeom>
                  </pic:spPr>
                </pic:pic>
              </a:graphicData>
            </a:graphic>
          </wp:anchor>
        </w:drawing>
      </w:r>
      <w:r/>
    </w:p>
    <w:p>
      <w:pPr>
        <w:spacing w:line="248" w:lineRule="auto"/>
        <w:rPr>
          <w:rFonts w:ascii="Arial"/>
          <w:sz w:val="21"/>
        </w:rPr>
      </w:pPr>
      <w:r/>
    </w:p>
    <w:p>
      <w:pPr>
        <w:ind w:left="4618"/>
        <w:spacing w:before="121" w:line="210" w:lineRule="auto"/>
        <w:rPr>
          <w:rFonts w:ascii="Microsoft YaHei" w:hAnsi="Microsoft YaHei" w:eastAsia="Microsoft YaHei" w:cs="Microsoft YaHei"/>
          <w:sz w:val="28"/>
          <w:szCs w:val="28"/>
        </w:rPr>
      </w:pPr>
      <w:r>
        <w:rPr>
          <w:rFonts w:ascii="Microsoft YaHei" w:hAnsi="Microsoft YaHei" w:eastAsia="Microsoft YaHei" w:cs="Microsoft YaHei"/>
          <w:sz w:val="28"/>
          <w:szCs w:val="28"/>
          <w:spacing w:val="-3"/>
        </w:rPr>
        <w:t>9.2  固原市食品安全事故应急处置流程图</w:t>
      </w:r>
    </w:p>
    <w:p>
      <w:pPr>
        <w:spacing w:line="357" w:lineRule="auto"/>
        <w:rPr>
          <w:rFonts w:ascii="Arial"/>
          <w:sz w:val="21"/>
        </w:rPr>
      </w:pPr>
      <w:r/>
    </w:p>
    <w:p>
      <w:pPr>
        <w:pStyle w:val="BodyText"/>
        <w:ind w:left="5950"/>
        <w:spacing w:before="59" w:line="210" w:lineRule="auto"/>
        <w:rPr>
          <w:sz w:val="18"/>
          <w:szCs w:val="18"/>
        </w:rPr>
      </w:pPr>
      <w:r>
        <w:drawing>
          <wp:anchor distT="0" distB="0" distL="0" distR="0" simplePos="0" relativeHeight="253664256" behindDoc="1" locked="0" layoutInCell="1" allowOverlap="1">
            <wp:simplePos x="0" y="0"/>
            <wp:positionH relativeFrom="column">
              <wp:posOffset>2671127</wp:posOffset>
            </wp:positionH>
            <wp:positionV relativeFrom="paragraph">
              <wp:posOffset>-80380</wp:posOffset>
            </wp:positionV>
            <wp:extent cx="5736590" cy="4491354"/>
            <wp:effectExtent l="0" t="0" r="0" b="0"/>
            <wp:wrapNone/>
            <wp:docPr id="2024" name="IM 2024"/>
            <wp:cNvGraphicFramePr/>
            <a:graphic>
              <a:graphicData uri="http://schemas.openxmlformats.org/drawingml/2006/picture">
                <pic:pic>
                  <pic:nvPicPr>
                    <pic:cNvPr id="2024" name="IM 2024"/>
                    <pic:cNvPicPr/>
                  </pic:nvPicPr>
                  <pic:blipFill>
                    <a:blip r:embed="rId1014"/>
                    <a:stretch>
                      <a:fillRect/>
                    </a:stretch>
                  </pic:blipFill>
                  <pic:spPr>
                    <a:xfrm rot="0">
                      <a:off x="0" y="0"/>
                      <a:ext cx="5736590" cy="4491354"/>
                    </a:xfrm>
                    <a:prstGeom prst="rect">
                      <a:avLst/>
                    </a:prstGeom>
                  </pic:spPr>
                </pic:pic>
              </a:graphicData>
            </a:graphic>
          </wp:anchor>
        </w:drawing>
      </w:r>
      <w:r>
        <w:rPr>
          <w:sz w:val="18"/>
          <w:szCs w:val="18"/>
          <w:spacing w:val="-1"/>
        </w:rPr>
        <w:t>市食安办接到事故报告</w:t>
      </w:r>
    </w:p>
    <w:p>
      <w:pPr>
        <w:spacing w:line="314" w:lineRule="auto"/>
        <w:rPr>
          <w:rFonts w:ascii="Arial"/>
          <w:sz w:val="21"/>
        </w:rPr>
      </w:pPr>
      <w:r/>
    </w:p>
    <w:p>
      <w:pPr>
        <w:spacing w:line="314" w:lineRule="auto"/>
        <w:rPr>
          <w:rFonts w:ascii="Arial"/>
          <w:sz w:val="21"/>
        </w:rPr>
      </w:pPr>
      <w:r/>
    </w:p>
    <w:p>
      <w:pPr>
        <w:pStyle w:val="BodyText"/>
        <w:ind w:left="5519"/>
        <w:spacing w:before="59" w:line="214" w:lineRule="auto"/>
        <w:rPr>
          <w:sz w:val="18"/>
          <w:szCs w:val="18"/>
        </w:rPr>
      </w:pPr>
      <w:r>
        <w:rPr>
          <w:sz w:val="18"/>
          <w:szCs w:val="18"/>
          <w:spacing w:val="-1"/>
        </w:rPr>
        <w:t>信息核实评估，初步判断事故级别</w:t>
      </w:r>
    </w:p>
    <w:p>
      <w:pPr>
        <w:spacing w:line="315" w:lineRule="auto"/>
        <w:rPr>
          <w:rFonts w:ascii="Arial"/>
          <w:sz w:val="21"/>
        </w:rPr>
      </w:pPr>
      <w:r/>
    </w:p>
    <w:p>
      <w:pPr>
        <w:spacing w:line="316" w:lineRule="auto"/>
        <w:rPr>
          <w:rFonts w:ascii="Arial"/>
          <w:sz w:val="21"/>
        </w:rPr>
      </w:pPr>
      <w:r/>
    </w:p>
    <w:p>
      <w:pPr>
        <w:pStyle w:val="BodyText"/>
        <w:ind w:left="5270"/>
        <w:spacing w:before="58" w:line="240" w:lineRule="exact"/>
        <w:rPr>
          <w:sz w:val="18"/>
          <w:szCs w:val="18"/>
        </w:rPr>
      </w:pPr>
      <w:r>
        <w:rPr>
          <w:sz w:val="18"/>
          <w:szCs w:val="18"/>
          <w:spacing w:val="-1"/>
          <w:position w:val="1"/>
        </w:rPr>
        <w:t>事故报告：市政府和自治区食安办（30</w:t>
      </w:r>
      <w:r>
        <w:rPr>
          <w:sz w:val="18"/>
          <w:szCs w:val="18"/>
          <w:spacing w:val="-29"/>
          <w:position w:val="1"/>
        </w:rPr>
        <w:t xml:space="preserve"> </w:t>
      </w:r>
      <w:r>
        <w:rPr>
          <w:sz w:val="18"/>
          <w:szCs w:val="18"/>
          <w:spacing w:val="-1"/>
          <w:position w:val="1"/>
        </w:rPr>
        <w:t>分钟）</w:t>
      </w:r>
    </w:p>
    <w:p>
      <w:pPr>
        <w:spacing w:line="305" w:lineRule="auto"/>
        <w:rPr>
          <w:rFonts w:ascii="Arial"/>
          <w:sz w:val="21"/>
        </w:rPr>
      </w:pPr>
      <w:r/>
    </w:p>
    <w:p>
      <w:pPr>
        <w:spacing w:line="305" w:lineRule="auto"/>
        <w:rPr>
          <w:rFonts w:ascii="Arial"/>
          <w:sz w:val="21"/>
        </w:rPr>
      </w:pPr>
      <w:r>
        <w:drawing>
          <wp:anchor distT="0" distB="0" distL="0" distR="0" simplePos="0" relativeHeight="253663232" behindDoc="1" locked="0" layoutInCell="1" allowOverlap="1">
            <wp:simplePos x="0" y="0"/>
            <wp:positionH relativeFrom="column">
              <wp:posOffset>929005</wp:posOffset>
            </wp:positionH>
            <wp:positionV relativeFrom="paragraph">
              <wp:posOffset>125536</wp:posOffset>
            </wp:positionV>
            <wp:extent cx="6588125" cy="9525"/>
            <wp:effectExtent l="0" t="0" r="0" b="0"/>
            <wp:wrapNone/>
            <wp:docPr id="2026" name="IM 2026"/>
            <wp:cNvGraphicFramePr/>
            <a:graphic>
              <a:graphicData uri="http://schemas.openxmlformats.org/drawingml/2006/picture">
                <pic:pic>
                  <pic:nvPicPr>
                    <pic:cNvPr id="2026" name="IM 2026"/>
                    <pic:cNvPicPr/>
                  </pic:nvPicPr>
                  <pic:blipFill>
                    <a:blip r:embed="rId1015"/>
                    <a:stretch>
                      <a:fillRect/>
                    </a:stretch>
                  </pic:blipFill>
                  <pic:spPr>
                    <a:xfrm rot="0">
                      <a:off x="0" y="0"/>
                      <a:ext cx="6588125" cy="9525"/>
                    </a:xfrm>
                    <a:prstGeom prst="rect">
                      <a:avLst/>
                    </a:prstGeom>
                  </pic:spPr>
                </pic:pic>
              </a:graphicData>
            </a:graphic>
          </wp:anchor>
        </w:drawing>
      </w:r>
      <w:r>
        <w:drawing>
          <wp:anchor distT="0" distB="0" distL="0" distR="0" simplePos="0" relativeHeight="253665280" behindDoc="0" locked="0" layoutInCell="1" allowOverlap="1">
            <wp:simplePos x="0" y="0"/>
            <wp:positionH relativeFrom="column">
              <wp:posOffset>123507</wp:posOffset>
            </wp:positionH>
            <wp:positionV relativeFrom="paragraph">
              <wp:posOffset>131568</wp:posOffset>
            </wp:positionV>
            <wp:extent cx="1610995" cy="1914207"/>
            <wp:effectExtent l="0" t="0" r="0" b="0"/>
            <wp:wrapNone/>
            <wp:docPr id="2028" name="IM 2028"/>
            <wp:cNvGraphicFramePr/>
            <a:graphic>
              <a:graphicData uri="http://schemas.openxmlformats.org/drawingml/2006/picture">
                <pic:pic>
                  <pic:nvPicPr>
                    <pic:cNvPr id="2028" name="IM 2028"/>
                    <pic:cNvPicPr/>
                  </pic:nvPicPr>
                  <pic:blipFill>
                    <a:blip r:embed="rId1016"/>
                    <a:stretch>
                      <a:fillRect/>
                    </a:stretch>
                  </pic:blipFill>
                  <pic:spPr>
                    <a:xfrm rot="0">
                      <a:off x="0" y="0"/>
                      <a:ext cx="1610995" cy="1914207"/>
                    </a:xfrm>
                    <a:prstGeom prst="rect">
                      <a:avLst/>
                    </a:prstGeom>
                  </pic:spPr>
                </pic:pic>
              </a:graphicData>
            </a:graphic>
          </wp:anchor>
        </w:drawing>
      </w:r>
      <w:r/>
    </w:p>
    <w:p>
      <w:pPr>
        <w:spacing w:line="305" w:lineRule="auto"/>
        <w:rPr>
          <w:rFonts w:ascii="Arial"/>
          <w:sz w:val="21"/>
        </w:rPr>
      </w:pPr>
      <w:r/>
    </w:p>
    <w:p>
      <w:pPr>
        <w:pStyle w:val="BodyText"/>
        <w:ind w:left="6172"/>
        <w:spacing w:before="59" w:line="241" w:lineRule="exact"/>
        <w:rPr>
          <w:sz w:val="18"/>
          <w:szCs w:val="18"/>
        </w:rPr>
      </w:pPr>
      <w:r>
        <w:pict>
          <v:shape id="_x0000_s148" style="position:absolute;margin-left:546.243pt;margin-top:1.48473pt;mso-position-vertical-relative:text;mso-position-horizontal-relative:text;width:91.8pt;height:14.05pt;z-index:253669376;" filled="false" stroked="false" type="#_x0000_t202">
            <v:fill on="false"/>
            <v:stroke on="false"/>
            <v:path/>
            <v:imagedata o:title=""/>
            <o:lock v:ext="edit" aspectratio="false"/>
            <v:textbox inset="0mm,0mm,0mm,0mm">
              <w:txbxContent>
                <w:p>
                  <w:pPr>
                    <w:pStyle w:val="BodyText"/>
                    <w:ind w:left="20"/>
                    <w:spacing w:before="20" w:line="240" w:lineRule="exact"/>
                    <w:rPr>
                      <w:sz w:val="18"/>
                      <w:szCs w:val="18"/>
                    </w:rPr>
                  </w:pPr>
                  <w:r>
                    <w:rPr>
                      <w:sz w:val="18"/>
                      <w:szCs w:val="18"/>
                      <w:spacing w:val="-1"/>
                      <w:position w:val="1"/>
                    </w:rPr>
                    <w:t>重、特大食品安全事故</w:t>
                  </w:r>
                </w:p>
              </w:txbxContent>
            </v:textbox>
          </v:shape>
        </w:pict>
      </w:r>
      <w:r>
        <w:pict>
          <v:shape id="_x0000_s150" style="position:absolute;margin-left:34.407pt;margin-top:5.92375pt;mso-position-vertical-relative:text;mso-position-horizontal-relative:text;width:73.8pt;height:14.1pt;z-index:253671424;" filled="false" stroked="false" type="#_x0000_t202">
            <v:fill on="false"/>
            <v:stroke on="false"/>
            <v:path/>
            <v:imagedata o:title=""/>
            <o:lock v:ext="edit" aspectratio="false"/>
            <v:textbox inset="0mm,0mm,0mm,0mm">
              <w:txbxContent>
                <w:p>
                  <w:pPr>
                    <w:pStyle w:val="BodyText"/>
                    <w:ind w:left="20"/>
                    <w:spacing w:before="20" w:line="241" w:lineRule="exact"/>
                    <w:rPr>
                      <w:sz w:val="18"/>
                      <w:szCs w:val="18"/>
                    </w:rPr>
                  </w:pPr>
                  <w:r>
                    <w:rPr>
                      <w:sz w:val="18"/>
                      <w:szCs w:val="18"/>
                      <w:spacing w:val="-1"/>
                      <w:position w:val="1"/>
                    </w:rPr>
                    <w:t>一般食品安全事故</w:t>
                  </w:r>
                </w:p>
              </w:txbxContent>
            </v:textbox>
          </v:shape>
        </w:pict>
      </w:r>
      <w:r>
        <w:rPr>
          <w:sz w:val="18"/>
          <w:szCs w:val="18"/>
          <w:spacing w:val="-1"/>
          <w:position w:val="1"/>
        </w:rPr>
        <w:t>较大食品安全事故</w:t>
      </w:r>
    </w:p>
    <w:p>
      <w:pPr>
        <w:spacing w:line="310" w:lineRule="auto"/>
        <w:rPr>
          <w:rFonts w:ascii="Arial"/>
          <w:sz w:val="21"/>
        </w:rPr>
      </w:pPr>
      <w:r/>
    </w:p>
    <w:p>
      <w:pPr>
        <w:spacing w:line="311" w:lineRule="auto"/>
        <w:rPr>
          <w:rFonts w:ascii="Arial"/>
          <w:sz w:val="21"/>
        </w:rPr>
      </w:pPr>
      <w:r/>
    </w:p>
    <w:p>
      <w:pPr>
        <w:pStyle w:val="BodyText"/>
        <w:ind w:left="5960"/>
        <w:spacing w:before="59" w:line="211" w:lineRule="auto"/>
        <w:rPr>
          <w:sz w:val="18"/>
          <w:szCs w:val="18"/>
        </w:rPr>
      </w:pPr>
      <w:r>
        <w:pict>
          <v:shape id="_x0000_s152" style="position:absolute;margin-left:530.988pt;margin-top:4.398pt;mso-position-vertical-relative:text;mso-position-horizontal-relative:text;width:124.1pt;height:57.3pt;z-index:253666304;" filled="false" stroked="false" type="#_x0000_t202">
            <v:fill on="false"/>
            <v:stroke on="false"/>
            <v:path/>
            <v:imagedata o:title=""/>
            <o:lock v:ext="edit" aspectratio="false"/>
            <v:textbox inset="0mm,0mm,0mm,0mm">
              <w:txbxContent>
                <w:p>
                  <w:pPr>
                    <w:pStyle w:val="BodyText"/>
                    <w:ind w:left="20" w:right="20" w:firstLine="2"/>
                    <w:spacing w:before="18" w:line="289" w:lineRule="auto"/>
                    <w:jc w:val="both"/>
                    <w:rPr>
                      <w:sz w:val="18"/>
                      <w:szCs w:val="18"/>
                    </w:rPr>
                  </w:pPr>
                  <w:r>
                    <w:rPr>
                      <w:sz w:val="18"/>
                      <w:szCs w:val="18"/>
                      <w:spacing w:val="-6"/>
                    </w:rPr>
                    <w:t>市指挥部在先期处置的同时，成</w:t>
                  </w:r>
                  <w:r>
                    <w:rPr>
                      <w:sz w:val="18"/>
                      <w:szCs w:val="18"/>
                      <w:spacing w:val="-6"/>
                    </w:rPr>
                    <w:t>立现场指挥部，并报请自治区政</w:t>
                  </w:r>
                  <w:r>
                    <w:rPr>
                      <w:sz w:val="18"/>
                      <w:szCs w:val="18"/>
                      <w:spacing w:val="7"/>
                    </w:rPr>
                    <w:t>府和自治区食安办启动相应级</w:t>
                  </w:r>
                  <w:r>
                    <w:rPr>
                      <w:sz w:val="18"/>
                      <w:szCs w:val="18"/>
                      <w:spacing w:val="-1"/>
                    </w:rPr>
                    <w:t>别预案</w:t>
                  </w:r>
                </w:p>
              </w:txbxContent>
            </v:textbox>
          </v:shape>
        </w:pict>
      </w:r>
      <w:r>
        <w:pict>
          <v:shape id="_x0000_s154" style="position:absolute;margin-left:30.566pt;margin-top:5.92201pt;mso-position-vertical-relative:text;mso-position-horizontal-relative:text;width:82.8pt;height:12.25pt;z-index:253672448;" filled="false" stroked="false" type="#_x0000_t202">
            <v:fill on="false"/>
            <v:stroke on="false"/>
            <v:path/>
            <v:imagedata o:title=""/>
            <o:lock v:ext="edit" aspectratio="false"/>
            <v:textbox inset="0mm,0mm,0mm,0mm">
              <w:txbxContent>
                <w:p>
                  <w:pPr>
                    <w:pStyle w:val="BodyText"/>
                    <w:ind w:left="20"/>
                    <w:spacing w:before="19" w:line="210" w:lineRule="auto"/>
                    <w:rPr>
                      <w:sz w:val="18"/>
                      <w:szCs w:val="18"/>
                    </w:rPr>
                  </w:pPr>
                  <w:r>
                    <w:rPr>
                      <w:sz w:val="18"/>
                      <w:szCs w:val="18"/>
                      <w:spacing w:val="-1"/>
                    </w:rPr>
                    <w:t>事发地政府先期处置</w:t>
                  </w:r>
                </w:p>
              </w:txbxContent>
            </v:textbox>
          </v:shape>
        </w:pict>
      </w:r>
      <w:r>
        <w:rPr>
          <w:sz w:val="18"/>
          <w:szCs w:val="18"/>
          <w:spacing w:val="-1"/>
        </w:rPr>
        <w:t>按本级应急预案启动响应</w:t>
      </w:r>
    </w:p>
    <w:p>
      <w:pPr>
        <w:spacing w:line="326" w:lineRule="auto"/>
        <w:rPr>
          <w:rFonts w:ascii="Arial"/>
          <w:sz w:val="21"/>
        </w:rPr>
      </w:pPr>
      <w:r/>
    </w:p>
    <w:p>
      <w:pPr>
        <w:spacing w:line="327" w:lineRule="auto"/>
        <w:rPr>
          <w:rFonts w:ascii="Arial"/>
          <w:sz w:val="21"/>
        </w:rPr>
      </w:pPr>
      <w:r/>
    </w:p>
    <w:p>
      <w:pPr>
        <w:pStyle w:val="BodyText"/>
        <w:ind w:left="6536"/>
        <w:spacing w:before="59" w:line="211" w:lineRule="auto"/>
        <w:rPr>
          <w:sz w:val="18"/>
          <w:szCs w:val="18"/>
        </w:rPr>
      </w:pPr>
      <w:r>
        <w:pict>
          <v:shape id="_x0000_s156" style="position:absolute;margin-left:225.807pt;margin-top:-3.7009pt;mso-position-vertical-relative:text;mso-position-horizontal-relative:text;width:46.8pt;height:27.3pt;z-index:253668352;" filled="false" stroked="false" type="#_x0000_t202">
            <v:fill on="false"/>
            <v:stroke on="false"/>
            <v:path/>
            <v:imagedata o:title=""/>
            <o:lock v:ext="edit" aspectratio="false"/>
            <v:textbox inset="0mm,0mm,0mm,0mm">
              <w:txbxContent>
                <w:p>
                  <w:pPr>
                    <w:pStyle w:val="BodyText"/>
                    <w:ind w:left="108" w:right="20" w:hanging="88"/>
                    <w:spacing w:before="20" w:line="269" w:lineRule="auto"/>
                    <w:rPr>
                      <w:sz w:val="18"/>
                      <w:szCs w:val="18"/>
                    </w:rPr>
                  </w:pPr>
                  <w:r>
                    <w:rPr>
                      <w:sz w:val="18"/>
                      <w:szCs w:val="18"/>
                      <w:spacing w:val="-1"/>
                    </w:rPr>
                    <w:t>事发地政府</w:t>
                  </w:r>
                  <w:r>
                    <w:rPr>
                      <w:sz w:val="18"/>
                      <w:szCs w:val="18"/>
                      <w:spacing w:val="-1"/>
                    </w:rPr>
                    <w:t>先期处置</w:t>
                  </w:r>
                </w:p>
              </w:txbxContent>
            </v:textbox>
          </v:shape>
        </w:pict>
      </w:r>
      <w:r>
        <w:pict>
          <v:shape id="_x0000_s158" style="position:absolute;margin-left:445.874pt;margin-top:-16.9459pt;mso-position-vertical-relative:text;mso-position-horizontal-relative:text;width:37.7pt;height:25.35pt;z-index:253670400;" filled="false" stroked="false" type="#_x0000_t202">
            <v:fill on="false"/>
            <v:stroke on="false"/>
            <v:path/>
            <v:imagedata o:title=""/>
            <o:lock v:ext="edit" aspectratio="false"/>
            <v:textbox inset="0mm,0mm,0mm,0mm">
              <w:txbxContent>
                <w:p>
                  <w:pPr>
                    <w:pStyle w:val="BodyText"/>
                    <w:ind w:left="20" w:right="20" w:firstLine="88"/>
                    <w:spacing w:before="20" w:line="249" w:lineRule="auto"/>
                    <w:rPr>
                      <w:sz w:val="18"/>
                      <w:szCs w:val="18"/>
                    </w:rPr>
                  </w:pPr>
                  <w:r>
                    <w:rPr>
                      <w:sz w:val="18"/>
                      <w:szCs w:val="18"/>
                      <w:spacing w:val="-2"/>
                    </w:rPr>
                    <w:t>专家组</w:t>
                  </w:r>
                  <w:r>
                    <w:rPr>
                      <w:sz w:val="18"/>
                      <w:szCs w:val="18"/>
                      <w:spacing w:val="-2"/>
                    </w:rPr>
                    <w:t>提供支持</w:t>
                  </w:r>
                </w:p>
              </w:txbxContent>
            </v:textbox>
          </v:shape>
        </w:pict>
      </w:r>
      <w:r>
        <w:pict>
          <v:shape id="_x0000_s160" style="position:absolute;margin-left:22.887pt;margin-top:6.6521pt;mso-position-vertical-relative:text;mso-position-horizontal-relative:text;width:100.8pt;height:27.55pt;z-index:253667328;" filled="false" stroked="false" type="#_x0000_t202">
            <v:fill on="false"/>
            <v:stroke on="false"/>
            <v:path/>
            <v:imagedata o:title=""/>
            <o:lock v:ext="edit" aspectratio="false"/>
            <v:textbox inset="0mm,0mm,0mm,0mm">
              <w:txbxContent>
                <w:p>
                  <w:pPr>
                    <w:pStyle w:val="BodyText"/>
                    <w:ind w:left="287" w:right="20" w:hanging="268"/>
                    <w:spacing w:before="20" w:line="272" w:lineRule="auto"/>
                    <w:rPr>
                      <w:sz w:val="18"/>
                      <w:szCs w:val="18"/>
                    </w:rPr>
                  </w:pPr>
                  <w:r>
                    <w:rPr>
                      <w:sz w:val="18"/>
                      <w:szCs w:val="18"/>
                      <w:spacing w:val="-1"/>
                    </w:rPr>
                    <w:t>事发地政府启动一般食品</w:t>
                  </w:r>
                  <w:r>
                    <w:rPr>
                      <w:sz w:val="18"/>
                      <w:szCs w:val="18"/>
                      <w:spacing w:val="-1"/>
                    </w:rPr>
                    <w:t>安全事故应急响应</w:t>
                  </w:r>
                </w:p>
              </w:txbxContent>
            </v:textbox>
          </v:shape>
        </w:pict>
      </w:r>
      <w:r>
        <w:rPr>
          <w:sz w:val="18"/>
          <w:szCs w:val="18"/>
          <w:spacing w:val="-1"/>
        </w:rPr>
        <w:t>应急处置</w:t>
      </w:r>
    </w:p>
    <w:p>
      <w:pPr>
        <w:pStyle w:val="BodyText"/>
        <w:ind w:left="8867" w:right="3821" w:hanging="183"/>
        <w:spacing w:before="144" w:line="255" w:lineRule="auto"/>
        <w:rPr>
          <w:sz w:val="18"/>
          <w:szCs w:val="18"/>
        </w:rPr>
      </w:pPr>
      <w:r>
        <w:rPr>
          <w:sz w:val="18"/>
          <w:szCs w:val="18"/>
          <w:spacing w:val="-1"/>
        </w:rPr>
        <w:t>应急工作组按职</w:t>
      </w:r>
      <w:r>
        <w:rPr>
          <w:sz w:val="18"/>
          <w:szCs w:val="18"/>
          <w:spacing w:val="-2"/>
        </w:rPr>
        <w:t>责开展工作</w:t>
      </w:r>
    </w:p>
    <w:p>
      <w:pPr>
        <w:pStyle w:val="BodyText"/>
        <w:ind w:left="6537"/>
        <w:spacing w:line="212" w:lineRule="auto"/>
        <w:rPr>
          <w:sz w:val="18"/>
          <w:szCs w:val="18"/>
        </w:rPr>
      </w:pPr>
      <w:r>
        <w:rPr>
          <w:sz w:val="18"/>
          <w:szCs w:val="18"/>
          <w:spacing w:val="-2"/>
        </w:rPr>
        <w:t>善后处理</w:t>
      </w:r>
    </w:p>
    <w:p>
      <w:pPr>
        <w:spacing w:line="281" w:lineRule="auto"/>
        <w:rPr>
          <w:rFonts w:ascii="Arial"/>
          <w:sz w:val="21"/>
        </w:rPr>
      </w:pPr>
      <w:r/>
    </w:p>
    <w:p>
      <w:pPr>
        <w:spacing w:line="281" w:lineRule="auto"/>
        <w:rPr>
          <w:rFonts w:ascii="Arial"/>
          <w:sz w:val="21"/>
        </w:rPr>
      </w:pPr>
      <w:r/>
    </w:p>
    <w:p>
      <w:pPr>
        <w:pStyle w:val="BodyText"/>
        <w:ind w:left="6527"/>
        <w:spacing w:before="59" w:line="208" w:lineRule="auto"/>
        <w:rPr>
          <w:sz w:val="18"/>
          <w:szCs w:val="18"/>
        </w:rPr>
      </w:pPr>
      <w:r>
        <w:rPr>
          <w:sz w:val="18"/>
          <w:szCs w:val="18"/>
          <w:spacing w:val="-3"/>
        </w:rPr>
        <w:t>总结报告</w:t>
      </w:r>
    </w:p>
    <w:p>
      <w:pPr>
        <w:spacing w:line="208" w:lineRule="auto"/>
        <w:sectPr>
          <w:headerReference w:type="default" r:id="rId1011"/>
          <w:footerReference w:type="default" r:id="rId1012"/>
          <w:pgSz w:w="16839" w:h="11905"/>
          <w:pgMar w:top="1772" w:right="1486" w:bottom="1490" w:left="1588" w:header="1428" w:footer="1113" w:gutter="0"/>
        </w:sectPr>
        <w:rPr>
          <w:sz w:val="18"/>
          <w:szCs w:val="18"/>
        </w:rPr>
      </w:pPr>
    </w:p>
    <w:p>
      <w:pPr>
        <w:spacing w:line="344" w:lineRule="auto"/>
        <w:rPr>
          <w:rFonts w:ascii="Arial"/>
          <w:sz w:val="21"/>
        </w:rPr>
      </w:pPr>
      <w:r>
        <w:drawing>
          <wp:anchor distT="0" distB="0" distL="0" distR="0" simplePos="0" relativeHeight="253679616" behindDoc="0" locked="0" layoutInCell="1" allowOverlap="1">
            <wp:simplePos x="0" y="0"/>
            <wp:positionH relativeFrom="column">
              <wp:posOffset>7517</wp:posOffset>
            </wp:positionH>
            <wp:positionV relativeFrom="paragraph">
              <wp:posOffset>25272</wp:posOffset>
            </wp:positionV>
            <wp:extent cx="5579745" cy="7620"/>
            <wp:effectExtent l="0" t="0" r="0" b="0"/>
            <wp:wrapNone/>
            <wp:docPr id="2034" name="IM 2034"/>
            <wp:cNvGraphicFramePr/>
            <a:graphic>
              <a:graphicData uri="http://schemas.openxmlformats.org/drawingml/2006/picture">
                <pic:pic>
                  <pic:nvPicPr>
                    <pic:cNvPr id="2034" name="IM 2034"/>
                    <pic:cNvPicPr/>
                  </pic:nvPicPr>
                  <pic:blipFill>
                    <a:blip r:embed="rId1019"/>
                    <a:stretch>
                      <a:fillRect/>
                    </a:stretch>
                  </pic:blipFill>
                  <pic:spPr>
                    <a:xfrm rot="0">
                      <a:off x="0" y="0"/>
                      <a:ext cx="5579745" cy="7620"/>
                    </a:xfrm>
                    <a:prstGeom prst="rect">
                      <a:avLst/>
                    </a:prstGeom>
                  </pic:spPr>
                </pic:pic>
              </a:graphicData>
            </a:graphic>
          </wp:anchor>
        </w:drawing>
      </w:r>
      <w:r/>
    </w:p>
    <w:p>
      <w:pPr>
        <w:spacing w:line="344" w:lineRule="auto"/>
        <w:rPr>
          <w:rFonts w:ascii="Arial"/>
          <w:sz w:val="21"/>
        </w:rPr>
      </w:pPr>
      <w:r/>
    </w:p>
    <w:p>
      <w:pPr>
        <w:ind w:left="2424"/>
        <w:spacing w:before="184" w:line="186"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6"/>
        </w:rPr>
        <w:t>固原市粮食应急预案</w:t>
      </w:r>
    </w:p>
    <w:p>
      <w:pPr>
        <w:spacing w:before="49"/>
        <w:rPr/>
      </w:pPr>
      <w:r/>
    </w:p>
    <w:p>
      <w:pPr>
        <w:spacing w:before="48"/>
        <w:rPr/>
      </w:pPr>
      <w:r/>
    </w:p>
    <w:p>
      <w:pPr>
        <w:sectPr>
          <w:headerReference w:type="default" r:id="rId1017"/>
          <w:footerReference w:type="default" r:id="rId1018"/>
          <w:pgSz w:w="11906" w:h="16839"/>
          <w:pgMar w:top="1766" w:right="1393" w:bottom="1574" w:left="1576" w:header="1428" w:footer="1172" w:gutter="0"/>
          <w:cols w:equalWidth="0" w:num="1">
            <w:col w:w="8936" w:space="0"/>
          </w:cols>
        </w:sectPr>
        <w:rPr/>
      </w:pPr>
    </w:p>
    <w:p>
      <w:pPr>
        <w:ind w:left="453"/>
        <w:spacing w:before="48"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1</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7"/>
        </w:rPr>
        <w:t>总则</w:t>
      </w:r>
    </w:p>
    <w:p>
      <w:pPr>
        <w:pStyle w:val="BodyText"/>
        <w:ind w:left="14" w:right="322" w:firstLine="442"/>
        <w:spacing w:before="95" w:line="340" w:lineRule="auto"/>
        <w:rPr/>
      </w:pPr>
      <w:r>
        <w:rPr>
          <w:rFonts w:ascii="Times New Roman" w:hAnsi="Times New Roman" w:eastAsia="Times New Roman" w:cs="Times New Roman"/>
          <w:spacing w:val="3"/>
        </w:rPr>
        <w:t>1.</w:t>
      </w:r>
      <w:r>
        <w:rPr>
          <w:rFonts w:ascii="Times New Roman" w:hAnsi="Times New Roman" w:eastAsia="Times New Roman" w:cs="Times New Roman"/>
          <w:spacing w:val="-9"/>
        </w:rPr>
        <w:t xml:space="preserve"> </w:t>
      </w:r>
      <w:r>
        <w:rPr>
          <w:rFonts w:ascii="Times New Roman" w:hAnsi="Times New Roman" w:eastAsia="Times New Roman" w:cs="Times New Roman"/>
          <w:spacing w:val="3"/>
        </w:rPr>
        <w:t>1  </w:t>
      </w:r>
      <w:r>
        <w:rPr>
          <w:rFonts w:ascii="KaiTi" w:hAnsi="KaiTi" w:eastAsia="KaiTi" w:cs="KaiTi"/>
          <w:spacing w:val="3"/>
        </w:rPr>
        <w:t>编制</w:t>
      </w:r>
      <w:r>
        <w:rPr>
          <w:rFonts w:ascii="KaiTi" w:hAnsi="KaiTi" w:eastAsia="KaiTi" w:cs="KaiTi"/>
          <w:spacing w:val="-50"/>
        </w:rPr>
        <w:t xml:space="preserve"> </w:t>
      </w:r>
      <w:r>
        <w:rPr>
          <w:rFonts w:ascii="KaiTi" w:hAnsi="KaiTi" w:eastAsia="KaiTi" w:cs="KaiTi"/>
          <w:spacing w:val="3"/>
        </w:rPr>
        <w:t>目的。</w:t>
      </w:r>
      <w:r>
        <w:rPr>
          <w:spacing w:val="3"/>
        </w:rPr>
        <w:t>为了有效监测和控制各类</w:t>
      </w:r>
      <w:r>
        <w:rPr>
          <w:spacing w:val="18"/>
        </w:rPr>
        <w:t>突发公共事件或者其他原因引起的市内粮食</w:t>
      </w:r>
      <w:r>
        <w:rPr>
          <w:spacing w:val="7"/>
        </w:rPr>
        <w:t>市场异常波动，确保粮食市场供应，保持粮食</w:t>
      </w:r>
      <w:r>
        <w:rPr>
          <w:spacing w:val="7"/>
        </w:rPr>
        <w:t>市场价格基本稳定，维护正常的社会秩序和社</w:t>
      </w:r>
      <w:r>
        <w:rPr>
          <w:spacing w:val="6"/>
        </w:rPr>
        <w:t>会稳定。</w:t>
      </w:r>
    </w:p>
    <w:p>
      <w:pPr>
        <w:pStyle w:val="BodyText"/>
        <w:ind w:right="204" w:firstLine="457"/>
        <w:spacing w:before="159" w:line="347" w:lineRule="auto"/>
        <w:rPr/>
      </w:pPr>
      <w:r>
        <w:rPr>
          <w:rFonts w:ascii="Times New Roman" w:hAnsi="Times New Roman" w:eastAsia="Times New Roman" w:cs="Times New Roman"/>
          <w:spacing w:val="-2"/>
        </w:rPr>
        <w:t>1.2  </w:t>
      </w:r>
      <w:r>
        <w:rPr>
          <w:rFonts w:ascii="KaiTi" w:hAnsi="KaiTi" w:eastAsia="KaiTi" w:cs="KaiTi"/>
          <w:spacing w:val="-2"/>
        </w:rPr>
        <w:t>编制依据。</w:t>
      </w:r>
      <w:r>
        <w:rPr>
          <w:spacing w:val="-2"/>
        </w:rPr>
        <w:t>《粮食流通管理条例》《生</w:t>
      </w:r>
      <w:r>
        <w:rPr>
          <w:spacing w:val="8"/>
        </w:rPr>
        <w:t>产安全事故应急条例》《生产安全事故应急预</w:t>
      </w:r>
      <w:r>
        <w:rPr>
          <w:spacing w:val="3"/>
        </w:rPr>
        <w:t>案管理办法》《宁夏回族自治区粮食应急预案》</w:t>
      </w:r>
      <w:r>
        <w:rPr>
          <w:spacing w:val="16"/>
        </w:rPr>
        <w:t xml:space="preserve"> </w:t>
      </w:r>
      <w:r>
        <w:rPr>
          <w:spacing w:val="8"/>
        </w:rPr>
        <w:t>《固原市防灾减灾救灾责任规定》《固原市突</w:t>
      </w:r>
      <w:r>
        <w:rPr>
          <w:spacing w:val="10"/>
        </w:rPr>
        <w:t>发事件总体应急预案》等。</w:t>
      </w:r>
    </w:p>
    <w:p>
      <w:pPr>
        <w:pStyle w:val="BodyText"/>
        <w:ind w:left="15" w:right="241" w:firstLine="441"/>
        <w:spacing w:before="125" w:line="320" w:lineRule="auto"/>
        <w:rPr/>
      </w:pPr>
      <w:r>
        <w:rPr>
          <w:rFonts w:ascii="Times New Roman" w:hAnsi="Times New Roman" w:eastAsia="Times New Roman" w:cs="Times New Roman"/>
          <w:spacing w:val="7"/>
        </w:rPr>
        <w:t>1.3  </w:t>
      </w:r>
      <w:r>
        <w:rPr>
          <w:rFonts w:ascii="KaiTi" w:hAnsi="KaiTi" w:eastAsia="KaiTi" w:cs="KaiTi"/>
          <w:spacing w:val="7"/>
        </w:rPr>
        <w:t>适用范围。</w:t>
      </w:r>
      <w:r>
        <w:rPr>
          <w:spacing w:val="7"/>
        </w:rPr>
        <w:t>本预案适用于在粮食应急</w:t>
      </w:r>
      <w:r>
        <w:rPr>
          <w:spacing w:val="1"/>
        </w:rPr>
        <w:t>状态下，对原粮及成品粮油采购、调拨、加工、</w:t>
      </w:r>
      <w:r>
        <w:rPr>
          <w:spacing w:val="8"/>
        </w:rPr>
        <w:t>运输和供应等方面的应对工作。</w:t>
      </w:r>
    </w:p>
    <w:p>
      <w:pPr>
        <w:ind w:left="457"/>
        <w:spacing w:before="155" w:line="241" w:lineRule="auto"/>
        <w:rPr>
          <w:rFonts w:ascii="KaiTi" w:hAnsi="KaiTi" w:eastAsia="KaiTi" w:cs="KaiTi"/>
          <w:sz w:val="20"/>
          <w:szCs w:val="20"/>
        </w:rPr>
      </w:pPr>
      <w:r>
        <w:rPr>
          <w:rFonts w:ascii="Times New Roman" w:hAnsi="Times New Roman" w:eastAsia="Times New Roman" w:cs="Times New Roman"/>
          <w:sz w:val="20"/>
          <w:szCs w:val="20"/>
          <w:spacing w:val="1"/>
        </w:rPr>
        <w:t>1.4</w:t>
      </w:r>
      <w:r>
        <w:rPr>
          <w:rFonts w:ascii="Times New Roman" w:hAnsi="Times New Roman" w:eastAsia="Times New Roman" w:cs="Times New Roman"/>
          <w:sz w:val="20"/>
          <w:szCs w:val="20"/>
          <w:spacing w:val="10"/>
        </w:rPr>
        <w:t xml:space="preserve">  </w:t>
      </w:r>
      <w:r>
        <w:rPr>
          <w:rFonts w:ascii="KaiTi" w:hAnsi="KaiTi" w:eastAsia="KaiTi" w:cs="KaiTi"/>
          <w:sz w:val="20"/>
          <w:szCs w:val="20"/>
          <w:spacing w:val="1"/>
        </w:rPr>
        <w:t>工作原则。</w:t>
      </w:r>
    </w:p>
    <w:p>
      <w:pPr>
        <w:pStyle w:val="BodyText"/>
        <w:ind w:left="16" w:right="322" w:firstLine="416"/>
        <w:spacing w:before="143" w:line="336" w:lineRule="auto"/>
        <w:rPr/>
      </w:pPr>
      <w:r>
        <w:rPr>
          <w:spacing w:val="5"/>
        </w:rPr>
        <w:t>（</w:t>
      </w:r>
      <w:r>
        <w:rPr>
          <w:spacing w:val="-35"/>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9"/>
        </w:rPr>
        <w:t xml:space="preserve"> </w:t>
      </w:r>
      <w:r>
        <w:rPr>
          <w:spacing w:val="5"/>
        </w:rPr>
        <w:t>）统一领导</w:t>
      </w:r>
      <w:r>
        <w:rPr>
          <w:spacing w:val="-58"/>
        </w:rPr>
        <w:t xml:space="preserve"> </w:t>
      </w:r>
      <w:r>
        <w:rPr>
          <w:spacing w:val="5"/>
        </w:rPr>
        <w:t>，分级负责。在市政府统</w:t>
      </w:r>
      <w:r>
        <w:rPr>
          <w:spacing w:val="15"/>
        </w:rPr>
        <w:t>一领导下</w:t>
      </w:r>
      <w:r>
        <w:rPr>
          <w:spacing w:val="-41"/>
        </w:rPr>
        <w:t xml:space="preserve"> </w:t>
      </w:r>
      <w:r>
        <w:rPr>
          <w:spacing w:val="15"/>
        </w:rPr>
        <w:t>，依据不同等级的粮食应急处置要</w:t>
      </w:r>
      <w:r>
        <w:rPr>
          <w:spacing w:val="7"/>
        </w:rPr>
        <w:t>求，由各级政府各负其责，在本级粮食事权范</w:t>
      </w:r>
      <w:r>
        <w:rPr>
          <w:spacing w:val="8"/>
        </w:rPr>
        <w:t>围内，负责本地区应急处置。</w:t>
      </w:r>
    </w:p>
    <w:p>
      <w:pPr>
        <w:pStyle w:val="BodyText"/>
        <w:ind w:left="15" w:right="258" w:firstLine="416"/>
        <w:spacing w:before="161" w:line="336"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8"/>
        </w:rPr>
        <w:t xml:space="preserve"> </w:t>
      </w:r>
      <w:r>
        <w:rPr>
          <w:spacing w:val="8"/>
        </w:rPr>
        <w:t>）科学监测</w:t>
      </w:r>
      <w:r>
        <w:rPr>
          <w:spacing w:val="-58"/>
        </w:rPr>
        <w:t xml:space="preserve"> </w:t>
      </w:r>
      <w:r>
        <w:rPr>
          <w:spacing w:val="8"/>
        </w:rPr>
        <w:t>，预防为主。要提高防范</w:t>
      </w:r>
      <w:r>
        <w:rPr>
          <w:spacing w:val="7"/>
        </w:rPr>
        <w:t>突发公共事件的意识，加强对粮食市场的跟踪</w:t>
      </w:r>
      <w:r>
        <w:rPr/>
        <w:t>监测，出现前兆及时预报，提前做好应对准备，</w:t>
      </w:r>
      <w:r>
        <w:rPr>
          <w:spacing w:val="7"/>
        </w:rPr>
        <w:t>防患于未然。</w:t>
      </w:r>
    </w:p>
    <w:p>
      <w:pPr>
        <w:pStyle w:val="BodyText"/>
        <w:ind w:left="16" w:right="245" w:firstLine="411"/>
        <w:spacing w:before="160" w:line="343"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）协同应对，果断处置。各部门、各</w:t>
      </w:r>
      <w:r>
        <w:rPr>
          <w:spacing w:val="4"/>
        </w:rPr>
        <w:t>县（</w:t>
      </w:r>
      <w:r>
        <w:rPr>
          <w:spacing w:val="-36"/>
        </w:rPr>
        <w:t xml:space="preserve"> </w:t>
      </w:r>
      <w:r>
        <w:rPr>
          <w:spacing w:val="4"/>
        </w:rPr>
        <w:t>区）之间加强沟通协调，充分发挥社会多</w:t>
      </w:r>
      <w:r>
        <w:rPr>
          <w:spacing w:val="7"/>
        </w:rPr>
        <w:t>渠道粮食经营主体的作用，形成统一指挥、功</w:t>
      </w:r>
      <w:r>
        <w:rPr>
          <w:spacing w:val="1"/>
        </w:rPr>
        <w:t>能齐全、协调有序、运转高效的应急管理机制。</w:t>
      </w:r>
      <w:r>
        <w:rPr>
          <w:spacing w:val="7"/>
        </w:rPr>
        <w:t>出现粮食应急状态时能够立即反应，及时报告</w:t>
      </w:r>
    </w:p>
    <w:p>
      <w:pPr>
        <w:spacing w:line="14" w:lineRule="auto"/>
        <w:rPr>
          <w:rFonts w:ascii="Arial"/>
          <w:sz w:val="2"/>
        </w:rPr>
      </w:pPr>
      <w:r>
        <w:rPr>
          <w:rFonts w:ascii="Arial" w:hAnsi="Arial" w:eastAsia="Arial" w:cs="Arial"/>
          <w:sz w:val="2"/>
          <w:szCs w:val="2"/>
        </w:rPr>
        <w:br w:type="column"/>
      </w:r>
    </w:p>
    <w:p>
      <w:pPr>
        <w:pStyle w:val="BodyText"/>
        <w:ind w:left="10" w:right="196" w:hanging="2"/>
        <w:spacing w:before="62" w:line="371" w:lineRule="auto"/>
        <w:rPr/>
      </w:pPr>
      <w:r>
        <w:rPr>
          <w:spacing w:val="7"/>
        </w:rPr>
        <w:t>有关情况，并迅速采取相应措施，确保应急处</w:t>
      </w:r>
      <w:r>
        <w:rPr>
          <w:spacing w:val="8"/>
        </w:rPr>
        <w:t>置快速果断，取得实效。</w:t>
      </w:r>
    </w:p>
    <w:p>
      <w:pPr>
        <w:pStyle w:val="BodyText"/>
        <w:ind w:left="8" w:right="176" w:firstLine="416"/>
        <w:spacing w:before="1" w:line="343" w:lineRule="auto"/>
        <w:rPr/>
      </w:pPr>
      <w:r>
        <w:rPr>
          <w:spacing w:val="8"/>
        </w:rPr>
        <w:t>（</w:t>
      </w:r>
      <w:r>
        <w:rPr>
          <w:rFonts w:ascii="Times New Roman" w:hAnsi="Times New Roman" w:eastAsia="Times New Roman" w:cs="Times New Roman"/>
          <w:spacing w:val="8"/>
        </w:rPr>
        <w:t>4</w:t>
      </w:r>
      <w:r>
        <w:rPr>
          <w:rFonts w:ascii="Times New Roman" w:hAnsi="Times New Roman" w:eastAsia="Times New Roman" w:cs="Times New Roman"/>
          <w:spacing w:val="-8"/>
        </w:rPr>
        <w:t xml:space="preserve"> </w:t>
      </w:r>
      <w:r>
        <w:rPr>
          <w:spacing w:val="8"/>
        </w:rPr>
        <w:t>）依法规范</w:t>
      </w:r>
      <w:r>
        <w:rPr>
          <w:spacing w:val="-58"/>
        </w:rPr>
        <w:t xml:space="preserve"> </w:t>
      </w:r>
      <w:r>
        <w:rPr>
          <w:spacing w:val="8"/>
        </w:rPr>
        <w:t>，权责一致。坚持依法行</w:t>
      </w:r>
      <w:r>
        <w:rPr>
          <w:spacing w:val="7"/>
        </w:rPr>
        <w:t>政，妥善处理应急措施与常规管理的关系。参</w:t>
      </w:r>
      <w:r>
        <w:rPr>
          <w:spacing w:val="7"/>
        </w:rPr>
        <w:t>与应急处置的单位和人员，须按照有关法律法</w:t>
      </w:r>
      <w:r>
        <w:rPr>
          <w:spacing w:val="7"/>
        </w:rPr>
        <w:t>规规定行使权力；在紧急情况下，应急处置单</w:t>
      </w:r>
      <w:r>
        <w:rPr>
          <w:spacing w:val="8"/>
        </w:rPr>
        <w:t>位和人员应视情况临机决断，控制事态发展。</w:t>
      </w:r>
    </w:p>
    <w:p>
      <w:pPr>
        <w:pStyle w:val="BodyText"/>
        <w:ind w:left="7" w:right="194" w:firstLine="412"/>
        <w:spacing w:before="160" w:line="336" w:lineRule="auto"/>
        <w:rPr/>
      </w:pPr>
      <w:r>
        <w:rPr>
          <w:spacing w:val="7"/>
        </w:rPr>
        <w:t>（</w:t>
      </w:r>
      <w:r>
        <w:rPr>
          <w:spacing w:val="-53"/>
        </w:rPr>
        <w:t xml:space="preserve"> </w:t>
      </w:r>
      <w:r>
        <w:rPr>
          <w:rFonts w:ascii="Times New Roman" w:hAnsi="Times New Roman" w:eastAsia="Times New Roman" w:cs="Times New Roman"/>
          <w:spacing w:val="7"/>
        </w:rPr>
        <w:t>5 </w:t>
      </w:r>
      <w:r>
        <w:rPr>
          <w:spacing w:val="7"/>
        </w:rPr>
        <w:t>）以人为本，减少危害。把保证全市</w:t>
      </w:r>
      <w:r>
        <w:rPr>
          <w:spacing w:val="8"/>
        </w:rPr>
        <w:t>人民</w:t>
      </w:r>
      <w:r>
        <w:rPr>
          <w:rFonts w:ascii="Times New Roman" w:hAnsi="Times New Roman" w:eastAsia="Times New Roman" w:cs="Times New Roman"/>
          <w:spacing w:val="8"/>
        </w:rPr>
        <w:t>“</w:t>
      </w:r>
      <w:r>
        <w:rPr>
          <w:spacing w:val="8"/>
        </w:rPr>
        <w:t>有饭吃，吃饱饭</w:t>
      </w:r>
      <w:r>
        <w:rPr>
          <w:rFonts w:ascii="Times New Roman" w:hAnsi="Times New Roman" w:eastAsia="Times New Roman" w:cs="Times New Roman"/>
          <w:spacing w:val="8"/>
        </w:rPr>
        <w:t>”</w:t>
      </w:r>
      <w:r>
        <w:rPr>
          <w:spacing w:val="8"/>
        </w:rPr>
        <w:t>作为粮食安全应急处置</w:t>
      </w:r>
      <w:r>
        <w:rPr>
          <w:spacing w:val="7"/>
        </w:rPr>
        <w:t>行动的根本出发点和落脚点，切实做好各类突</w:t>
      </w:r>
      <w:r>
        <w:rPr>
          <w:spacing w:val="9"/>
        </w:rPr>
        <w:t>发公共事件中的粮食应急保障工作。</w:t>
      </w:r>
    </w:p>
    <w:p>
      <w:pPr>
        <w:ind w:left="430"/>
        <w:spacing w:before="169"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2</w:t>
      </w:r>
      <w:r>
        <w:rPr>
          <w:rFonts w:ascii="Microsoft YaHei" w:hAnsi="Microsoft YaHei" w:eastAsia="Microsoft YaHei" w:cs="Microsoft YaHei"/>
          <w:sz w:val="20"/>
          <w:szCs w:val="20"/>
          <w:spacing w:val="15"/>
          <w:w w:val="101"/>
        </w:rPr>
        <w:t xml:space="preserve">   </w:t>
      </w:r>
      <w:r>
        <w:rPr>
          <w:rFonts w:ascii="Microsoft YaHei" w:hAnsi="Microsoft YaHei" w:eastAsia="Microsoft YaHei" w:cs="Microsoft YaHei"/>
          <w:sz w:val="20"/>
          <w:szCs w:val="20"/>
          <w:spacing w:val="3"/>
        </w:rPr>
        <w:t>组织体系</w:t>
      </w:r>
    </w:p>
    <w:p>
      <w:pPr>
        <w:pStyle w:val="BodyText"/>
        <w:ind w:left="8" w:right="153" w:firstLine="420"/>
        <w:spacing w:before="137" w:line="373" w:lineRule="auto"/>
        <w:jc w:val="both"/>
        <w:rPr/>
      </w:pPr>
      <w:r>
        <w:rPr>
          <w:rFonts w:ascii="Times New Roman" w:hAnsi="Times New Roman" w:eastAsia="Times New Roman" w:cs="Times New Roman"/>
          <w:spacing w:val="7"/>
        </w:rPr>
        <w:t>2.1</w:t>
      </w:r>
      <w:r>
        <w:rPr>
          <w:rFonts w:ascii="Times New Roman" w:hAnsi="Times New Roman" w:eastAsia="Times New Roman" w:cs="Times New Roman"/>
          <w:spacing w:val="20"/>
          <w:w w:val="101"/>
        </w:rPr>
        <w:t xml:space="preserve">  </w:t>
      </w:r>
      <w:r>
        <w:rPr>
          <w:rFonts w:ascii="KaiTi" w:hAnsi="KaiTi" w:eastAsia="KaiTi" w:cs="KaiTi"/>
          <w:spacing w:val="7"/>
        </w:rPr>
        <w:t>固原市粮食应急处置指挥部。</w:t>
      </w:r>
      <w:r>
        <w:rPr>
          <w:spacing w:val="7"/>
        </w:rPr>
        <w:t>市突发</w:t>
      </w:r>
      <w:r>
        <w:rPr>
          <w:spacing w:val="18"/>
        </w:rPr>
        <w:t>事件应急委员会下设固原市粮食应急处置指</w:t>
      </w:r>
      <w:r>
        <w:rPr>
          <w:spacing w:val="9"/>
        </w:rPr>
        <w:t>挥部。在市委、市政府安排部署下，负责领导</w:t>
      </w:r>
      <w:r>
        <w:rPr>
          <w:spacing w:val="7"/>
        </w:rPr>
        <w:t xml:space="preserve"> </w:t>
      </w:r>
      <w:r>
        <w:rPr>
          <w:spacing w:val="7"/>
        </w:rPr>
        <w:t>、组织、协调粮食方面的应急管理工作，统一</w:t>
      </w:r>
      <w:r>
        <w:rPr>
          <w:spacing w:val="7"/>
        </w:rPr>
        <w:t>指挥粮食突发事件及其次生、衍生灾害的应急</w:t>
      </w:r>
      <w:r>
        <w:rPr>
          <w:spacing w:val="6"/>
        </w:rPr>
        <w:t>处置工作。</w:t>
      </w:r>
    </w:p>
    <w:p>
      <w:pPr>
        <w:pStyle w:val="BodyText"/>
        <w:ind w:left="430"/>
        <w:spacing w:line="277" w:lineRule="exact"/>
        <w:rPr/>
      </w:pPr>
      <w:r>
        <w:rPr>
          <w:spacing w:val="8"/>
          <w:position w:val="1"/>
        </w:rPr>
        <w:t>指 挥 长：市政府分管粮食工作副市长</w:t>
      </w:r>
    </w:p>
    <w:p>
      <w:pPr>
        <w:pStyle w:val="BodyText"/>
        <w:ind w:left="1478" w:right="1199" w:hanging="1044"/>
        <w:spacing w:before="127" w:line="353" w:lineRule="auto"/>
        <w:rPr/>
      </w:pPr>
      <w:r>
        <w:rPr>
          <w:spacing w:val="8"/>
        </w:rPr>
        <w:t>副指挥长：市政府副秘书长</w:t>
      </w:r>
      <w:r>
        <w:rPr>
          <w:spacing w:val="3"/>
        </w:rPr>
        <w:t xml:space="preserve"> </w:t>
      </w:r>
      <w:r>
        <w:rPr>
          <w:spacing w:val="9"/>
        </w:rPr>
        <w:t>市粮食储备局局长</w:t>
      </w:r>
    </w:p>
    <w:p>
      <w:pPr>
        <w:pStyle w:val="BodyText"/>
        <w:ind w:right="113" w:firstLine="428"/>
        <w:spacing w:before="45" w:line="351" w:lineRule="auto"/>
        <w:jc w:val="both"/>
        <w:rPr/>
      </w:pPr>
      <w:r>
        <w:rPr>
          <w:spacing w:val="10"/>
        </w:rPr>
        <w:t>成员单位：市粮食储备局、应急管理局、</w:t>
      </w:r>
      <w:r>
        <w:rPr>
          <w:spacing w:val="7"/>
        </w:rPr>
        <w:t>发展和改革委员会、工业和信息化局、教育体</w:t>
      </w:r>
      <w:r>
        <w:rPr>
          <w:spacing w:val="1"/>
        </w:rPr>
        <w:t>育局、公安局、民政局、财政局、交通运输局、</w:t>
      </w:r>
      <w:r>
        <w:rPr>
          <w:spacing w:val="7"/>
        </w:rPr>
        <w:t>农业农村局、商务投资局、卫生健康委、市场</w:t>
      </w:r>
      <w:r>
        <w:rPr>
          <w:spacing w:val="7"/>
        </w:rPr>
        <w:t>监督管理局，由市应急处置指挥部根据工作需</w:t>
      </w:r>
      <w:r>
        <w:rPr>
          <w:spacing w:val="7"/>
        </w:rPr>
        <w:t>要确定的非政府职能部门（单位）和事发地县</w:t>
      </w:r>
      <w:r>
        <w:rPr>
          <w:spacing w:val="7"/>
        </w:rPr>
        <w:t>（区）政府分管负责同志组成。以上单位设联</w:t>
      </w:r>
    </w:p>
    <w:p>
      <w:pPr>
        <w:spacing w:line="351" w:lineRule="auto"/>
        <w:sectPr>
          <w:type w:val="continuous"/>
          <w:pgSz w:w="11906" w:h="16839"/>
          <w:pgMar w:top="1766" w:right="1393" w:bottom="1574" w:left="1576" w:header="1428" w:footer="1172" w:gutter="0"/>
          <w:cols w:equalWidth="0" w:num="2">
            <w:col w:w="4485" w:space="100"/>
            <w:col w:w="4352" w:space="0"/>
          </w:cols>
        </w:sectPr>
        <w:rPr/>
      </w:pPr>
    </w:p>
    <w:p>
      <w:pPr>
        <w:spacing w:before="78"/>
        <w:rPr/>
      </w:pPr>
      <w:r>
        <w:drawing>
          <wp:anchor distT="0" distB="0" distL="0" distR="0" simplePos="0" relativeHeight="253693952"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040" name="IM 2040"/>
            <wp:cNvGraphicFramePr/>
            <a:graphic>
              <a:graphicData uri="http://schemas.openxmlformats.org/drawingml/2006/picture">
                <pic:pic>
                  <pic:nvPicPr>
                    <pic:cNvPr id="2040" name="IM 2040"/>
                    <pic:cNvPicPr/>
                  </pic:nvPicPr>
                  <pic:blipFill>
                    <a:blip r:embed="rId1022"/>
                    <a:stretch>
                      <a:fillRect/>
                    </a:stretch>
                  </pic:blipFill>
                  <pic:spPr>
                    <a:xfrm rot="0">
                      <a:off x="0" y="0"/>
                      <a:ext cx="5579745" cy="7620"/>
                    </a:xfrm>
                    <a:prstGeom prst="rect">
                      <a:avLst/>
                    </a:prstGeom>
                  </pic:spPr>
                </pic:pic>
              </a:graphicData>
            </a:graphic>
          </wp:anchor>
        </w:drawing>
      </w:r>
      <w:r/>
    </w:p>
    <w:p>
      <w:pPr>
        <w:sectPr>
          <w:headerReference w:type="default" r:id="rId1020"/>
          <w:footerReference w:type="default" r:id="rId1021"/>
          <w:pgSz w:w="11906" w:h="16839"/>
          <w:pgMar w:top="1772" w:right="1489" w:bottom="1572" w:left="1571" w:header="1428" w:footer="1172" w:gutter="0"/>
          <w:cols w:equalWidth="0" w:num="1">
            <w:col w:w="8846" w:space="0"/>
          </w:cols>
        </w:sectPr>
        <w:rPr/>
      </w:pPr>
    </w:p>
    <w:p>
      <w:pPr>
        <w:pStyle w:val="BodyText"/>
        <w:ind w:left="25"/>
        <w:spacing w:before="40" w:line="219" w:lineRule="auto"/>
        <w:rPr/>
      </w:pPr>
      <w:r>
        <w:rPr>
          <w:spacing w:val="-2"/>
        </w:rPr>
        <w:t>络员</w:t>
      </w:r>
      <w:r>
        <w:rPr>
          <w:spacing w:val="-21"/>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0"/>
        </w:rPr>
        <w:t xml:space="preserve"> </w:t>
      </w:r>
      <w:r>
        <w:rPr>
          <w:spacing w:val="-2"/>
        </w:rPr>
        <w:t>名。</w:t>
      </w:r>
    </w:p>
    <w:p>
      <w:pPr>
        <w:pStyle w:val="BodyText"/>
        <w:ind w:left="22" w:right="329" w:firstLine="440"/>
        <w:spacing w:before="159" w:line="369" w:lineRule="auto"/>
        <w:jc w:val="both"/>
        <w:rPr/>
      </w:pPr>
      <w:r>
        <w:rPr>
          <w:spacing w:val="17"/>
        </w:rPr>
        <w:t>固原市粮食应急处置指挥部按照职责分</w:t>
      </w:r>
      <w:r>
        <w:rPr>
          <w:spacing w:val="7"/>
        </w:rPr>
        <w:t>工和协同联动工作需要，将各成员单位按照职</w:t>
      </w:r>
      <w:r>
        <w:rPr>
          <w:spacing w:val="7"/>
        </w:rPr>
        <w:t>责分组开展粮食突发事件及其次生、衍生灾害</w:t>
      </w:r>
      <w:r>
        <w:rPr>
          <w:spacing w:val="8"/>
        </w:rPr>
        <w:t>的应急处置工作。</w:t>
      </w:r>
    </w:p>
    <w:p>
      <w:pPr>
        <w:pStyle w:val="BodyText"/>
        <w:ind w:left="433"/>
        <w:spacing w:line="276" w:lineRule="exact"/>
        <w:rPr/>
      </w:pPr>
      <w:r>
        <w:rPr>
          <w:spacing w:val="-1"/>
          <w:position w:val="1"/>
        </w:rPr>
        <w:t>（</w:t>
      </w:r>
      <w:r>
        <w:rPr>
          <w:spacing w:val="-45"/>
          <w:position w:val="1"/>
        </w:rPr>
        <w:t xml:space="preserve"> </w:t>
      </w:r>
      <w:r>
        <w:rPr>
          <w:rFonts w:ascii="Times New Roman" w:hAnsi="Times New Roman" w:eastAsia="Times New Roman" w:cs="Times New Roman"/>
          <w:spacing w:val="-1"/>
          <w:position w:val="1"/>
        </w:rPr>
        <w:t>1</w:t>
      </w:r>
      <w:r>
        <w:rPr>
          <w:rFonts w:ascii="Times New Roman" w:hAnsi="Times New Roman" w:eastAsia="Times New Roman" w:cs="Times New Roman"/>
          <w:spacing w:val="-21"/>
          <w:position w:val="1"/>
        </w:rPr>
        <w:t xml:space="preserve"> </w:t>
      </w:r>
      <w:r>
        <w:rPr>
          <w:spacing w:val="-1"/>
          <w:position w:val="1"/>
        </w:rPr>
        <w:t>）粮油供应组。</w:t>
      </w:r>
    </w:p>
    <w:p>
      <w:pPr>
        <w:pStyle w:val="BodyText"/>
        <w:ind w:left="441"/>
        <w:spacing w:before="124" w:line="277" w:lineRule="exact"/>
        <w:rPr/>
      </w:pPr>
      <w:r>
        <w:rPr>
          <w:spacing w:val="8"/>
          <w:position w:val="1"/>
        </w:rPr>
        <w:t>组    长：市粮食储备局局长</w:t>
      </w:r>
    </w:p>
    <w:p>
      <w:pPr>
        <w:pStyle w:val="BodyText"/>
        <w:ind w:left="447"/>
        <w:spacing w:before="121" w:line="278" w:lineRule="exact"/>
        <w:rPr/>
      </w:pPr>
      <w:r>
        <w:rPr>
          <w:spacing w:val="8"/>
          <w:position w:val="1"/>
        </w:rPr>
        <w:t>副 组 长：市民政局局长</w:t>
      </w:r>
    </w:p>
    <w:p>
      <w:pPr>
        <w:pStyle w:val="BodyText"/>
        <w:ind w:left="29" w:right="329" w:firstLine="412"/>
        <w:spacing w:before="122" w:line="351" w:lineRule="auto"/>
        <w:rPr/>
      </w:pPr>
      <w:r>
        <w:rPr>
          <w:spacing w:val="6"/>
        </w:rPr>
        <w:t>成员单位：市粮食储备局、民政局、发展</w:t>
      </w:r>
      <w:r>
        <w:rPr>
          <w:spacing w:val="6"/>
        </w:rPr>
        <w:t>和改革委员会、商务投资局、市场监管局、教</w:t>
      </w:r>
    </w:p>
    <w:p>
      <w:pPr>
        <w:pStyle w:val="BodyText"/>
        <w:ind w:left="23"/>
        <w:spacing w:before="42" w:line="222" w:lineRule="auto"/>
        <w:rPr/>
      </w:pPr>
      <w:r>
        <w:rPr>
          <w:spacing w:val="9"/>
        </w:rPr>
        <w:t>育体育局、公安局</w:t>
      </w:r>
    </w:p>
    <w:p>
      <w:pPr>
        <w:pStyle w:val="BodyText"/>
        <w:ind w:left="450"/>
        <w:spacing w:before="158" w:line="279" w:lineRule="exact"/>
        <w:rPr/>
      </w:pPr>
      <w:r>
        <w:rPr>
          <w:spacing w:val="5"/>
          <w:position w:val="1"/>
        </w:rPr>
        <w:t>主要职责：</w:t>
      </w:r>
    </w:p>
    <w:p>
      <w:pPr>
        <w:pStyle w:val="BodyText"/>
        <w:ind w:left="19" w:right="329" w:firstLine="423"/>
        <w:spacing w:before="120" w:line="369" w:lineRule="auto"/>
        <w:jc w:val="both"/>
        <w:rPr/>
      </w:pPr>
      <w:r>
        <w:rPr>
          <w:spacing w:val="6"/>
        </w:rPr>
        <w:t>市粮食储备局：负责粮食供给应急工作的</w:t>
      </w:r>
      <w:r>
        <w:rPr>
          <w:spacing w:val="7"/>
        </w:rPr>
        <w:t>综合协调；根据粮食市场状况，负责组织、指</w:t>
      </w:r>
      <w:r>
        <w:rPr>
          <w:spacing w:val="7"/>
        </w:rPr>
        <w:t>导、检查和监督全市粮食应急工作；掌握粮食</w:t>
      </w:r>
      <w:r>
        <w:rPr>
          <w:spacing w:val="7"/>
        </w:rPr>
        <w:t>市场价格动态，加强价格监测，及时、有效的</w:t>
      </w:r>
      <w:r>
        <w:rPr>
          <w:spacing w:val="7"/>
        </w:rPr>
        <w:t>监测粮食市场变化情况；负责组织实施应急粮</w:t>
      </w:r>
      <w:r>
        <w:rPr>
          <w:spacing w:val="8"/>
        </w:rPr>
        <w:t>食采购、加工、调运和供应。</w:t>
      </w:r>
    </w:p>
    <w:p>
      <w:pPr>
        <w:pStyle w:val="BodyText"/>
        <w:ind w:left="21" w:right="329" w:firstLine="422"/>
        <w:spacing w:before="7" w:line="372" w:lineRule="auto"/>
        <w:jc w:val="both"/>
        <w:rPr/>
      </w:pPr>
      <w:r>
        <w:rPr>
          <w:spacing w:val="6"/>
        </w:rPr>
        <w:t>市民政局：负责及时通报灾情，确定救济</w:t>
      </w:r>
      <w:r>
        <w:rPr>
          <w:spacing w:val="7"/>
        </w:rPr>
        <w:t>对象、救济标准、质量等级等信息，负责灾后</w:t>
      </w:r>
      <w:r>
        <w:rPr>
          <w:spacing w:val="8"/>
        </w:rPr>
        <w:t>困难群众的临时救助等相关工作。</w:t>
      </w:r>
    </w:p>
    <w:p>
      <w:pPr>
        <w:pStyle w:val="BodyText"/>
        <w:ind w:left="21" w:right="329" w:firstLine="422"/>
        <w:spacing w:before="16" w:line="370" w:lineRule="auto"/>
        <w:jc w:val="both"/>
        <w:rPr/>
      </w:pPr>
      <w:r>
        <w:rPr>
          <w:spacing w:val="6"/>
        </w:rPr>
        <w:t>市发展和改革委员会：负责应急工作的综</w:t>
      </w:r>
      <w:r>
        <w:rPr>
          <w:spacing w:val="7"/>
        </w:rPr>
        <w:t>合协调，做好粮食市场调控和供应工作；必要</w:t>
      </w:r>
      <w:r>
        <w:rPr>
          <w:spacing w:val="8"/>
        </w:rPr>
        <w:t>时采取相关价格干预措施。</w:t>
      </w:r>
    </w:p>
    <w:p>
      <w:pPr>
        <w:pStyle w:val="BodyText"/>
        <w:ind w:left="21" w:right="329" w:firstLine="422"/>
        <w:spacing w:before="20" w:line="368" w:lineRule="auto"/>
        <w:jc w:val="both"/>
        <w:rPr/>
      </w:pPr>
      <w:r>
        <w:rPr>
          <w:spacing w:val="6"/>
        </w:rPr>
        <w:t>市商务投资局：负责协调、组织本区域内</w:t>
      </w:r>
      <w:r>
        <w:rPr>
          <w:spacing w:val="7"/>
        </w:rPr>
        <w:t>具有一定规模的连锁超市成品粮油、半成品粮</w:t>
      </w:r>
      <w:r>
        <w:rPr>
          <w:spacing w:val="7"/>
        </w:rPr>
        <w:t>油及副食品进货、供应工作，加强日常生活必</w:t>
      </w:r>
      <w:r>
        <w:rPr>
          <w:spacing w:val="7"/>
        </w:rPr>
        <w:t>需品的监测监管力度，提供有关粮食及副食品</w:t>
      </w:r>
      <w:r>
        <w:rPr>
          <w:spacing w:val="7"/>
        </w:rPr>
        <w:t>供应相关信息。</w:t>
      </w:r>
    </w:p>
    <w:p>
      <w:pPr>
        <w:pStyle w:val="BodyText"/>
        <w:ind w:left="22" w:right="306" w:firstLine="420"/>
        <w:spacing w:before="47" w:line="363" w:lineRule="auto"/>
        <w:jc w:val="both"/>
        <w:rPr/>
      </w:pPr>
      <w:r>
        <w:rPr>
          <w:spacing w:val="8"/>
        </w:rPr>
        <w:t>市场监管局：负责对粮食市场以及流通、</w:t>
      </w:r>
      <w:r>
        <w:rPr>
          <w:spacing w:val="7"/>
        </w:rPr>
        <w:t>加工环节粮油食品进行监管，严肃查处以假充</w:t>
      </w:r>
      <w:r>
        <w:rPr>
          <w:spacing w:val="7"/>
        </w:rPr>
        <w:t>真、以次充好、掺杂使假，负责加强粮食市场</w:t>
      </w:r>
    </w:p>
    <w:p>
      <w:pPr>
        <w:spacing w:line="14" w:lineRule="auto"/>
        <w:rPr>
          <w:rFonts w:ascii="Arial"/>
          <w:sz w:val="2"/>
        </w:rPr>
      </w:pPr>
      <w:r>
        <w:rPr>
          <w:rFonts w:ascii="Arial" w:hAnsi="Arial" w:eastAsia="Arial" w:cs="Arial"/>
          <w:sz w:val="2"/>
          <w:szCs w:val="2"/>
        </w:rPr>
        <w:br w:type="column"/>
      </w:r>
    </w:p>
    <w:p>
      <w:pPr>
        <w:pStyle w:val="BodyText"/>
        <w:ind w:left="2" w:right="94"/>
        <w:spacing w:before="41" w:line="375" w:lineRule="auto"/>
        <w:jc w:val="both"/>
        <w:rPr/>
      </w:pPr>
      <w:r>
        <w:rPr>
          <w:spacing w:val="7"/>
        </w:rPr>
        <w:t>价格的监督检查，依法处置价格违法行为，依</w:t>
      </w:r>
      <w:r>
        <w:rPr>
          <w:spacing w:val="7"/>
        </w:rPr>
        <w:t>法打击囤积居奇、欺行霸市等违法经营行为，</w:t>
      </w:r>
      <w:r>
        <w:rPr>
          <w:spacing w:val="7"/>
        </w:rPr>
        <w:t>维护市场秩序。</w:t>
      </w:r>
    </w:p>
    <w:p>
      <w:pPr>
        <w:pStyle w:val="BodyText"/>
        <w:ind w:left="1" w:right="81" w:firstLine="421"/>
        <w:spacing w:before="2" w:line="372" w:lineRule="auto"/>
        <w:jc w:val="both"/>
        <w:rPr/>
      </w:pPr>
      <w:r>
        <w:rPr>
          <w:spacing w:val="6"/>
        </w:rPr>
        <w:t>市教育体育局：负责提供高校、职业中专</w:t>
      </w:r>
      <w:r>
        <w:rPr>
          <w:spacing w:val="7"/>
        </w:rPr>
        <w:t>学校、寄宿制中学在校学生人数、供应标准等</w:t>
      </w:r>
      <w:r>
        <w:rPr>
          <w:spacing w:val="8"/>
        </w:rPr>
        <w:t>信息，协助做好学校应急粮食供应组织工作。</w:t>
      </w:r>
    </w:p>
    <w:p>
      <w:pPr>
        <w:pStyle w:val="BodyText"/>
        <w:ind w:left="1" w:right="94" w:firstLine="421"/>
        <w:spacing w:before="14" w:line="375" w:lineRule="auto"/>
        <w:jc w:val="both"/>
        <w:rPr/>
      </w:pPr>
      <w:r>
        <w:rPr>
          <w:spacing w:val="6"/>
        </w:rPr>
        <w:t>市公安局：负责维护粮食供应场所的治安</w:t>
      </w:r>
      <w:r>
        <w:rPr>
          <w:spacing w:val="7"/>
        </w:rPr>
        <w:t>秩序，保证粮食运输的通畅，积极预防和依法</w:t>
      </w:r>
      <w:r>
        <w:rPr>
          <w:spacing w:val="7"/>
        </w:rPr>
        <w:t>处置因粮食供应紧张引发的群体性治安事件，</w:t>
      </w:r>
      <w:r>
        <w:rPr>
          <w:spacing w:val="18"/>
        </w:rPr>
        <w:t>配合有关部门及时打击扰乱粮食市场秩序的</w:t>
      </w:r>
      <w:r>
        <w:rPr>
          <w:spacing w:val="7"/>
        </w:rPr>
        <w:t>违法犯罪活动。</w:t>
      </w:r>
    </w:p>
    <w:p>
      <w:pPr>
        <w:pStyle w:val="BodyText"/>
        <w:ind w:left="413"/>
        <w:spacing w:before="6" w:line="277" w:lineRule="exact"/>
        <w:rPr/>
      </w:pPr>
      <w:r>
        <w:rPr>
          <w:spacing w:val="6"/>
          <w:position w:val="1"/>
        </w:rPr>
        <w:t>（</w:t>
      </w:r>
      <w:r>
        <w:rPr>
          <w:rFonts w:ascii="Times New Roman" w:hAnsi="Times New Roman" w:eastAsia="Times New Roman" w:cs="Times New Roman"/>
          <w:spacing w:val="6"/>
          <w:position w:val="1"/>
        </w:rPr>
        <w:t>2</w:t>
      </w:r>
      <w:r>
        <w:rPr>
          <w:rFonts w:ascii="Times New Roman" w:hAnsi="Times New Roman" w:eastAsia="Times New Roman" w:cs="Times New Roman"/>
          <w:spacing w:val="-21"/>
          <w:position w:val="1"/>
        </w:rPr>
        <w:t xml:space="preserve"> </w:t>
      </w:r>
      <w:r>
        <w:rPr>
          <w:spacing w:val="6"/>
          <w:position w:val="1"/>
        </w:rPr>
        <w:t>）粮食加工生产组。</w:t>
      </w:r>
    </w:p>
    <w:p>
      <w:pPr>
        <w:pStyle w:val="BodyText"/>
        <w:ind w:left="421"/>
        <w:spacing w:before="131" w:line="277" w:lineRule="exact"/>
        <w:rPr/>
      </w:pPr>
      <w:r>
        <w:rPr>
          <w:spacing w:val="8"/>
          <w:position w:val="1"/>
        </w:rPr>
        <w:t>组    长：市粮食储备局局长</w:t>
      </w:r>
    </w:p>
    <w:p>
      <w:pPr>
        <w:pStyle w:val="BodyText"/>
        <w:ind w:left="427"/>
        <w:spacing w:before="131" w:line="277" w:lineRule="exact"/>
        <w:rPr/>
      </w:pPr>
      <w:r>
        <w:rPr>
          <w:spacing w:val="8"/>
          <w:position w:val="1"/>
        </w:rPr>
        <w:t>副 组 长：市工业和信息化局局长</w:t>
      </w:r>
    </w:p>
    <w:p>
      <w:pPr>
        <w:pStyle w:val="BodyText"/>
        <w:ind w:right="78" w:firstLine="420"/>
        <w:spacing w:before="129" w:line="372" w:lineRule="auto"/>
        <w:jc w:val="both"/>
        <w:rPr/>
      </w:pPr>
      <w:r>
        <w:rPr>
          <w:spacing w:val="6"/>
        </w:rPr>
        <w:t>成员单位：市粮食储备局、工业和信息化</w:t>
      </w:r>
      <w:r>
        <w:rPr>
          <w:spacing w:val="7"/>
        </w:rPr>
        <w:t>局、市场监管局、卫生健康委、农发行固原分</w:t>
      </w:r>
      <w:r>
        <w:rPr>
          <w:spacing w:val="8"/>
        </w:rPr>
        <w:t>行、宁储粮固原储备库、宁储粮北海子储备、</w:t>
      </w:r>
    </w:p>
    <w:p>
      <w:pPr>
        <w:pStyle w:val="BodyText"/>
        <w:ind w:left="22"/>
        <w:spacing w:before="21" w:line="220" w:lineRule="auto"/>
        <w:rPr/>
      </w:pPr>
      <w:r>
        <w:rPr>
          <w:spacing w:val="6"/>
        </w:rPr>
        <w:t>国网固原供电公司</w:t>
      </w:r>
    </w:p>
    <w:p>
      <w:pPr>
        <w:pStyle w:val="BodyText"/>
        <w:ind w:left="429"/>
        <w:spacing w:before="165" w:line="280" w:lineRule="exact"/>
        <w:rPr/>
      </w:pPr>
      <w:r>
        <w:rPr>
          <w:spacing w:val="5"/>
          <w:position w:val="1"/>
        </w:rPr>
        <w:t>主要职责：</w:t>
      </w:r>
    </w:p>
    <w:p>
      <w:pPr>
        <w:pStyle w:val="BodyText"/>
        <w:ind w:right="101" w:firstLine="423"/>
        <w:spacing w:before="128" w:line="371" w:lineRule="auto"/>
        <w:jc w:val="both"/>
        <w:rPr/>
      </w:pPr>
      <w:r>
        <w:rPr>
          <w:spacing w:val="6"/>
        </w:rPr>
        <w:t>市粮食储备局：负责粮食供给应急工作的</w:t>
      </w:r>
      <w:r>
        <w:rPr>
          <w:spacing w:val="7"/>
        </w:rPr>
        <w:t>综合协调；组织实施应急粮食采购、加工、调</w:t>
      </w:r>
      <w:r>
        <w:rPr>
          <w:spacing w:val="6"/>
        </w:rPr>
        <w:t>运工作。</w:t>
      </w:r>
    </w:p>
    <w:p>
      <w:pPr>
        <w:pStyle w:val="BodyText"/>
        <w:ind w:right="101" w:firstLine="422"/>
        <w:spacing w:before="18" w:line="372" w:lineRule="auto"/>
        <w:jc w:val="both"/>
        <w:rPr/>
      </w:pPr>
      <w:r>
        <w:rPr>
          <w:spacing w:val="6"/>
        </w:rPr>
        <w:t>市工业和信息化局：负责组织应急成品粮</w:t>
      </w:r>
      <w:r>
        <w:rPr>
          <w:spacing w:val="7"/>
        </w:rPr>
        <w:t>的加工生产，提高生产效率，保障市场应急供</w:t>
      </w:r>
      <w:r>
        <w:rPr>
          <w:spacing w:val="8"/>
        </w:rPr>
        <w:t>应。负责粮食应急通信保障。</w:t>
      </w:r>
    </w:p>
    <w:p>
      <w:pPr>
        <w:pStyle w:val="BodyText"/>
        <w:ind w:left="1" w:right="101" w:firstLine="421"/>
        <w:spacing w:before="15" w:line="357" w:lineRule="auto"/>
        <w:rPr/>
      </w:pPr>
      <w:r>
        <w:rPr>
          <w:spacing w:val="6"/>
        </w:rPr>
        <w:t>市场监管局：负责对加工环节粮油食品质</w:t>
      </w:r>
      <w:r>
        <w:rPr>
          <w:spacing w:val="8"/>
        </w:rPr>
        <w:t>量安全进行监管。</w:t>
      </w:r>
    </w:p>
    <w:p>
      <w:pPr>
        <w:pStyle w:val="BodyText"/>
        <w:ind w:left="1" w:right="81" w:firstLine="421"/>
        <w:spacing w:before="42" w:line="376" w:lineRule="auto"/>
        <w:jc w:val="both"/>
        <w:rPr/>
      </w:pPr>
      <w:r>
        <w:rPr>
          <w:spacing w:val="6"/>
        </w:rPr>
        <w:t>市卫生健康委：负责组织有关部门对粮食</w:t>
      </w:r>
      <w:r>
        <w:rPr>
          <w:spacing w:val="7"/>
        </w:rPr>
        <w:t>加工、销售中的卫生进行监督检查。监测成品</w:t>
      </w:r>
      <w:r>
        <w:rPr>
          <w:spacing w:val="8"/>
        </w:rPr>
        <w:t>粮食质量，防止有毒有害粮油产品流入市场。</w:t>
      </w:r>
    </w:p>
    <w:p>
      <w:pPr>
        <w:pStyle w:val="BodyText"/>
        <w:ind w:left="3" w:right="101" w:firstLine="428"/>
        <w:spacing w:before="8" w:line="297" w:lineRule="auto"/>
        <w:rPr/>
      </w:pPr>
      <w:r>
        <w:rPr>
          <w:spacing w:val="6"/>
        </w:rPr>
        <w:t>宁夏储备粮固原储备库、宁夏储备粮北海</w:t>
      </w:r>
      <w:r>
        <w:rPr>
          <w:spacing w:val="7"/>
        </w:rPr>
        <w:t>子储备库：负责自治区在固储备粮动用计划的</w:t>
      </w:r>
    </w:p>
    <w:p>
      <w:pPr>
        <w:spacing w:line="297" w:lineRule="auto"/>
        <w:sectPr>
          <w:type w:val="continuous"/>
          <w:pgSz w:w="11906" w:h="16839"/>
          <w:pgMar w:top="1772" w:right="1489" w:bottom="1572" w:left="1571" w:header="1428" w:footer="1172" w:gutter="0"/>
          <w:cols w:equalWidth="0" w:num="2">
            <w:col w:w="4498" w:space="100"/>
            <w:col w:w="4249" w:space="0"/>
          </w:cols>
        </w:sectPr>
        <w:rPr/>
      </w:pPr>
    </w:p>
    <w:p>
      <w:pPr>
        <w:spacing w:before="72"/>
        <w:rPr/>
      </w:pPr>
      <w:r>
        <w:drawing>
          <wp:anchor distT="0" distB="0" distL="0" distR="0" simplePos="0" relativeHeight="253708288"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2046" name="IM 2046"/>
            <wp:cNvGraphicFramePr/>
            <a:graphic>
              <a:graphicData uri="http://schemas.openxmlformats.org/drawingml/2006/picture">
                <pic:pic>
                  <pic:nvPicPr>
                    <pic:cNvPr id="2046" name="IM 2046"/>
                    <pic:cNvPicPr/>
                  </pic:nvPicPr>
                  <pic:blipFill>
                    <a:blip r:embed="rId1025"/>
                    <a:stretch>
                      <a:fillRect/>
                    </a:stretch>
                  </pic:blipFill>
                  <pic:spPr>
                    <a:xfrm rot="0">
                      <a:off x="0" y="0"/>
                      <a:ext cx="5579745" cy="7620"/>
                    </a:xfrm>
                    <a:prstGeom prst="rect">
                      <a:avLst/>
                    </a:prstGeom>
                  </pic:spPr>
                </pic:pic>
              </a:graphicData>
            </a:graphic>
          </wp:anchor>
        </w:drawing>
      </w:r>
      <w:r/>
    </w:p>
    <w:p>
      <w:pPr>
        <w:sectPr>
          <w:headerReference w:type="default" r:id="rId1023"/>
          <w:footerReference w:type="default" r:id="rId1024"/>
          <w:pgSz w:w="11906" w:h="16839"/>
          <w:pgMar w:top="1766" w:right="1393" w:bottom="1572" w:left="1579" w:header="1428" w:footer="1172" w:gutter="0"/>
          <w:cols w:equalWidth="0" w:num="1">
            <w:col w:w="8933" w:space="0"/>
          </w:cols>
        </w:sectPr>
        <w:rPr/>
      </w:pPr>
    </w:p>
    <w:p>
      <w:pPr>
        <w:pStyle w:val="BodyText"/>
        <w:ind w:left="14"/>
        <w:spacing w:before="53" w:line="218" w:lineRule="auto"/>
        <w:rPr/>
      </w:pPr>
      <w:r>
        <w:rPr>
          <w:spacing w:val="4"/>
        </w:rPr>
        <w:t>执行。</w:t>
      </w:r>
    </w:p>
    <w:p>
      <w:pPr>
        <w:pStyle w:val="BodyText"/>
        <w:ind w:left="26" w:right="307" w:firstLine="428"/>
        <w:spacing w:before="162" w:line="351" w:lineRule="auto"/>
        <w:rPr/>
      </w:pPr>
      <w:r>
        <w:rPr>
          <w:spacing w:val="5"/>
        </w:rPr>
        <w:t>国网固原供电公司：负责统筹安排电力保</w:t>
      </w:r>
      <w:r>
        <w:rPr>
          <w:spacing w:val="7"/>
        </w:rPr>
        <w:t>障和供应，确保粮食调运、加工等用电需要。</w:t>
      </w:r>
    </w:p>
    <w:p>
      <w:pPr>
        <w:pStyle w:val="BodyText"/>
        <w:ind w:left="424"/>
        <w:spacing w:before="37" w:line="277" w:lineRule="exact"/>
        <w:rPr/>
      </w:pPr>
      <w:r>
        <w:rPr>
          <w:spacing w:val="7"/>
          <w:position w:val="1"/>
        </w:rPr>
        <w:t>（</w:t>
      </w:r>
      <w:r>
        <w:rPr>
          <w:rFonts w:ascii="Times New Roman" w:hAnsi="Times New Roman" w:eastAsia="Times New Roman" w:cs="Times New Roman"/>
          <w:spacing w:val="7"/>
          <w:position w:val="1"/>
        </w:rPr>
        <w:t>3</w:t>
      </w:r>
      <w:r>
        <w:rPr>
          <w:rFonts w:ascii="Times New Roman" w:hAnsi="Times New Roman" w:eastAsia="Times New Roman" w:cs="Times New Roman"/>
          <w:spacing w:val="-21"/>
          <w:position w:val="1"/>
        </w:rPr>
        <w:t xml:space="preserve"> </w:t>
      </w:r>
      <w:r>
        <w:rPr>
          <w:spacing w:val="7"/>
          <w:position w:val="1"/>
        </w:rPr>
        <w:t>）粮食运输、通信保障组。</w:t>
      </w:r>
    </w:p>
    <w:p>
      <w:pPr>
        <w:pStyle w:val="BodyText"/>
        <w:ind w:left="433"/>
        <w:spacing w:before="124" w:line="278" w:lineRule="exact"/>
        <w:rPr/>
      </w:pPr>
      <w:r>
        <w:rPr>
          <w:spacing w:val="8"/>
          <w:position w:val="1"/>
        </w:rPr>
        <w:t>组    长：市交通运输局局长</w:t>
      </w:r>
    </w:p>
    <w:p>
      <w:pPr>
        <w:pStyle w:val="BodyText"/>
        <w:ind w:left="439"/>
        <w:spacing w:before="123" w:line="278" w:lineRule="exact"/>
        <w:rPr/>
      </w:pPr>
      <w:r>
        <w:rPr>
          <w:spacing w:val="8"/>
          <w:position w:val="1"/>
        </w:rPr>
        <w:t>副 组 长：市工业和信息化局局长</w:t>
      </w:r>
    </w:p>
    <w:p>
      <w:pPr>
        <w:pStyle w:val="BodyText"/>
        <w:ind w:left="14" w:right="327" w:firstLine="419"/>
        <w:spacing w:before="121" w:line="369" w:lineRule="auto"/>
        <w:jc w:val="both"/>
        <w:rPr/>
      </w:pPr>
      <w:r>
        <w:rPr>
          <w:spacing w:val="6"/>
        </w:rPr>
        <w:t>成员单位：市交通运输局、工业和信息化</w:t>
      </w:r>
      <w:r>
        <w:rPr>
          <w:spacing w:val="7"/>
        </w:rPr>
        <w:t>局、粮食储备局、公安局，市应急指挥部根据</w:t>
      </w:r>
      <w:r>
        <w:rPr>
          <w:spacing w:val="8"/>
        </w:rPr>
        <w:t>工作需要确定的非政府职能部门（单位）。</w:t>
      </w:r>
    </w:p>
    <w:p>
      <w:pPr>
        <w:pStyle w:val="BodyText"/>
        <w:ind w:left="441"/>
        <w:spacing w:line="279" w:lineRule="exact"/>
        <w:rPr/>
      </w:pPr>
      <w:r>
        <w:rPr>
          <w:spacing w:val="5"/>
          <w:position w:val="1"/>
        </w:rPr>
        <w:t>主要职责：</w:t>
      </w:r>
    </w:p>
    <w:p>
      <w:pPr>
        <w:pStyle w:val="BodyText"/>
        <w:ind w:left="12" w:right="327" w:firstLine="422"/>
        <w:spacing w:before="122" w:line="364" w:lineRule="auto"/>
        <w:rPr/>
      </w:pPr>
      <w:r>
        <w:rPr>
          <w:spacing w:val="6"/>
        </w:rPr>
        <w:t>市交通运输局：负责根据粮食应急工作的</w:t>
      </w:r>
      <w:r>
        <w:rPr>
          <w:spacing w:val="7"/>
        </w:rPr>
        <w:t>需要，做好道路交通、运力管理调度，保证优</w:t>
      </w:r>
      <w:r>
        <w:rPr>
          <w:spacing w:val="8"/>
        </w:rPr>
        <w:t>先粮食运输的需要。</w:t>
      </w:r>
    </w:p>
    <w:p>
      <w:pPr>
        <w:pStyle w:val="BodyText"/>
        <w:ind w:left="410"/>
        <w:spacing w:before="17" w:line="277" w:lineRule="exact"/>
        <w:rPr/>
      </w:pPr>
      <w:r>
        <w:rPr>
          <w:spacing w:val="-8"/>
          <w:position w:val="1"/>
        </w:rPr>
        <w:t>市工业和信息化局：负责粮食应急通信保障。</w:t>
      </w:r>
    </w:p>
    <w:p>
      <w:pPr>
        <w:pStyle w:val="BodyText"/>
        <w:ind w:left="12" w:right="327" w:firstLine="422"/>
        <w:spacing w:before="128" w:line="372" w:lineRule="auto"/>
        <w:rPr/>
      </w:pPr>
      <w:r>
        <w:rPr>
          <w:spacing w:val="6"/>
        </w:rPr>
        <w:t>市粮食储备局：负责粮食应急工作的综合</w:t>
      </w:r>
      <w:r>
        <w:rPr>
          <w:spacing w:val="7"/>
        </w:rPr>
        <w:t>协调，组织实施应急粮食采购、加工、调运和</w:t>
      </w:r>
      <w:r>
        <w:rPr>
          <w:spacing w:val="4"/>
        </w:rPr>
        <w:t>供应。</w:t>
      </w:r>
    </w:p>
    <w:p>
      <w:pPr>
        <w:pStyle w:val="BodyText"/>
        <w:ind w:left="14" w:right="327" w:firstLine="420"/>
        <w:spacing w:before="16" w:line="358" w:lineRule="auto"/>
        <w:rPr/>
      </w:pPr>
      <w:r>
        <w:rPr>
          <w:spacing w:val="16"/>
        </w:rPr>
        <w:t>市公安局：</w:t>
      </w:r>
      <w:r>
        <w:rPr>
          <w:spacing w:val="-49"/>
        </w:rPr>
        <w:t xml:space="preserve"> </w:t>
      </w:r>
      <w:r>
        <w:rPr>
          <w:spacing w:val="16"/>
        </w:rPr>
        <w:t>负责维护粮食运输道路的畅</w:t>
      </w:r>
      <w:r>
        <w:rPr>
          <w:spacing w:val="8"/>
        </w:rPr>
        <w:t>通，开辟绿色通道。</w:t>
      </w:r>
    </w:p>
    <w:p>
      <w:pPr>
        <w:pStyle w:val="BodyText"/>
        <w:ind w:left="424"/>
        <w:spacing w:before="40" w:line="277" w:lineRule="exact"/>
        <w:rPr/>
      </w:pPr>
      <w:r>
        <w:rPr>
          <w:spacing w:val="5"/>
          <w:position w:val="1"/>
        </w:rPr>
        <w:t>（</w:t>
      </w:r>
      <w:r>
        <w:rPr>
          <w:rFonts w:ascii="Times New Roman" w:hAnsi="Times New Roman" w:eastAsia="Times New Roman" w:cs="Times New Roman"/>
          <w:spacing w:val="5"/>
          <w:position w:val="1"/>
        </w:rPr>
        <w:t>4</w:t>
      </w:r>
      <w:r>
        <w:rPr>
          <w:rFonts w:ascii="Times New Roman" w:hAnsi="Times New Roman" w:eastAsia="Times New Roman" w:cs="Times New Roman"/>
          <w:spacing w:val="-15"/>
          <w:position w:val="1"/>
        </w:rPr>
        <w:t xml:space="preserve"> </w:t>
      </w:r>
      <w:r>
        <w:rPr>
          <w:spacing w:val="5"/>
          <w:position w:val="1"/>
        </w:rPr>
        <w:t>）新闻报道组</w:t>
      </w:r>
    </w:p>
    <w:p>
      <w:pPr>
        <w:pStyle w:val="BodyText"/>
        <w:ind w:left="12" w:right="327" w:firstLine="420"/>
        <w:spacing w:before="130" w:line="357" w:lineRule="auto"/>
        <w:rPr/>
      </w:pPr>
      <w:r>
        <w:rPr>
          <w:spacing w:val="6"/>
        </w:rPr>
        <w:t>组    长：由市应急处置指挥部根据工作</w:t>
      </w:r>
      <w:r>
        <w:rPr>
          <w:spacing w:val="8"/>
        </w:rPr>
        <w:t>需要确定</w:t>
      </w:r>
    </w:p>
    <w:p>
      <w:pPr>
        <w:pStyle w:val="BodyText"/>
        <w:ind w:left="439"/>
        <w:spacing w:before="43" w:line="277" w:lineRule="exact"/>
        <w:rPr/>
      </w:pPr>
      <w:r>
        <w:rPr>
          <w:spacing w:val="8"/>
          <w:position w:val="1"/>
        </w:rPr>
        <w:t>副 组 长：市粮食储备局局长</w:t>
      </w:r>
    </w:p>
    <w:p>
      <w:pPr>
        <w:pStyle w:val="BodyText"/>
        <w:ind w:left="13" w:right="327" w:firstLine="420"/>
        <w:spacing w:before="130" w:line="358" w:lineRule="auto"/>
        <w:rPr/>
      </w:pPr>
      <w:r>
        <w:rPr>
          <w:spacing w:val="6"/>
        </w:rPr>
        <w:t>成员单位：固原市粮食应急处置指挥部所</w:t>
      </w:r>
      <w:r>
        <w:rPr>
          <w:spacing w:val="8"/>
        </w:rPr>
        <w:t>有成员单位</w:t>
      </w:r>
    </w:p>
    <w:p>
      <w:pPr>
        <w:pStyle w:val="BodyText"/>
        <w:ind w:left="441"/>
        <w:spacing w:before="42" w:line="279" w:lineRule="exact"/>
        <w:rPr/>
      </w:pPr>
      <w:r>
        <w:rPr>
          <w:spacing w:val="5"/>
          <w:position w:val="1"/>
        </w:rPr>
        <w:t>主要职责：</w:t>
      </w:r>
    </w:p>
    <w:p>
      <w:pPr>
        <w:pStyle w:val="BodyText"/>
        <w:ind w:left="13" w:right="327" w:firstLine="420"/>
        <w:spacing w:before="132" w:line="376" w:lineRule="auto"/>
        <w:jc w:val="both"/>
        <w:rPr/>
      </w:pPr>
      <w:r>
        <w:rPr>
          <w:spacing w:val="6"/>
        </w:rPr>
        <w:t>粮食储备局、发展和改革委以及其他新闻</w:t>
      </w:r>
      <w:r>
        <w:rPr>
          <w:spacing w:val="7"/>
        </w:rPr>
        <w:t>宣传部门负责协调做好新闻宣传报道工作，适</w:t>
      </w:r>
      <w:r>
        <w:rPr>
          <w:spacing w:val="7"/>
        </w:rPr>
        <w:t>时组织召开新闻发布会。及时、准确、客观发</w:t>
      </w:r>
      <w:r>
        <w:rPr>
          <w:spacing w:val="7"/>
        </w:rPr>
        <w:t>布信息，正确引导社会舆论和群众监督。其他</w:t>
      </w:r>
      <w:r>
        <w:rPr>
          <w:spacing w:val="9"/>
        </w:rPr>
        <w:t>成员单位协助配合做好新闻宣传报道工作。</w:t>
      </w:r>
    </w:p>
    <w:p>
      <w:pPr>
        <w:pStyle w:val="BodyText"/>
        <w:ind w:left="424"/>
        <w:spacing w:line="278" w:lineRule="exact"/>
        <w:rPr/>
      </w:pPr>
      <w:r>
        <w:rPr>
          <w:spacing w:val="5"/>
          <w:position w:val="1"/>
        </w:rPr>
        <w:t>（</w:t>
      </w:r>
      <w:r>
        <w:rPr>
          <w:rFonts w:ascii="Times New Roman" w:hAnsi="Times New Roman" w:eastAsia="Times New Roman" w:cs="Times New Roman"/>
          <w:spacing w:val="5"/>
          <w:position w:val="1"/>
        </w:rPr>
        <w:t>5</w:t>
      </w:r>
      <w:r>
        <w:rPr>
          <w:rFonts w:ascii="Times New Roman" w:hAnsi="Times New Roman" w:eastAsia="Times New Roman" w:cs="Times New Roman"/>
          <w:spacing w:val="-15"/>
          <w:position w:val="1"/>
        </w:rPr>
        <w:t xml:space="preserve"> </w:t>
      </w:r>
      <w:r>
        <w:rPr>
          <w:spacing w:val="5"/>
          <w:position w:val="1"/>
        </w:rPr>
        <w:t>）善后处置组</w:t>
      </w:r>
    </w:p>
    <w:p>
      <w:pPr>
        <w:spacing w:line="14" w:lineRule="auto"/>
        <w:rPr>
          <w:rFonts w:ascii="Arial"/>
          <w:sz w:val="2"/>
        </w:rPr>
      </w:pPr>
      <w:r>
        <w:rPr>
          <w:rFonts w:ascii="Arial" w:hAnsi="Arial" w:eastAsia="Arial" w:cs="Arial"/>
          <w:sz w:val="2"/>
          <w:szCs w:val="2"/>
        </w:rPr>
        <w:br w:type="column"/>
      </w:r>
    </w:p>
    <w:p>
      <w:pPr>
        <w:pStyle w:val="BodyText"/>
        <w:ind w:left="423"/>
        <w:spacing w:before="46" w:line="277" w:lineRule="exact"/>
        <w:rPr/>
      </w:pPr>
      <w:r>
        <w:rPr>
          <w:spacing w:val="8"/>
          <w:position w:val="1"/>
        </w:rPr>
        <w:t>组    长：市粮食储备局局长</w:t>
      </w:r>
    </w:p>
    <w:p>
      <w:pPr>
        <w:pStyle w:val="BodyText"/>
        <w:ind w:left="428"/>
        <w:spacing w:before="131" w:line="277" w:lineRule="exact"/>
        <w:rPr/>
      </w:pPr>
      <w:r>
        <w:rPr>
          <w:spacing w:val="8"/>
          <w:position w:val="1"/>
        </w:rPr>
        <w:t>副 组 长：市财政局局长</w:t>
      </w:r>
    </w:p>
    <w:p>
      <w:pPr>
        <w:pStyle w:val="BodyText"/>
        <w:ind w:left="3" w:right="173" w:firstLine="419"/>
        <w:spacing w:before="130" w:line="372" w:lineRule="auto"/>
        <w:jc w:val="both"/>
        <w:rPr/>
      </w:pPr>
      <w:r>
        <w:rPr>
          <w:spacing w:val="6"/>
        </w:rPr>
        <w:t>成员单位：市粮食储备局、财政局、民政</w:t>
      </w:r>
      <w:r>
        <w:rPr>
          <w:spacing w:val="8"/>
        </w:rPr>
        <w:t>局、农业农村局、商务投资局、交通运输局、</w:t>
      </w:r>
      <w:r>
        <w:rPr>
          <w:spacing w:val="9"/>
        </w:rPr>
        <w:t>宁储粮固原储备库、宁储粮北海子储备库</w:t>
      </w:r>
    </w:p>
    <w:p>
      <w:pPr>
        <w:pStyle w:val="BodyText"/>
        <w:ind w:left="431"/>
        <w:spacing w:before="15" w:line="279" w:lineRule="exact"/>
        <w:rPr/>
      </w:pPr>
      <w:r>
        <w:rPr>
          <w:spacing w:val="5"/>
          <w:position w:val="1"/>
        </w:rPr>
        <w:t>主要职责：</w:t>
      </w:r>
    </w:p>
    <w:p>
      <w:pPr>
        <w:pStyle w:val="BodyText"/>
        <w:ind w:left="1" w:right="196" w:firstLine="423"/>
        <w:spacing w:before="130" w:line="357" w:lineRule="auto"/>
        <w:rPr/>
      </w:pPr>
      <w:r>
        <w:rPr>
          <w:spacing w:val="6"/>
        </w:rPr>
        <w:t>市粮食储备局：负责做好粮食应急工作的</w:t>
      </w:r>
      <w:r>
        <w:rPr>
          <w:spacing w:val="9"/>
        </w:rPr>
        <w:t>综合协调以及粮食供应费用结算工作。</w:t>
      </w:r>
    </w:p>
    <w:p>
      <w:pPr>
        <w:pStyle w:val="BodyText"/>
        <w:ind w:left="2" w:right="196" w:firstLine="422"/>
        <w:spacing w:before="41" w:line="358" w:lineRule="auto"/>
        <w:rPr/>
      </w:pPr>
      <w:r>
        <w:rPr>
          <w:spacing w:val="6"/>
        </w:rPr>
        <w:t>市财政局：负责安排、审核实施本预案所</w:t>
      </w:r>
      <w:r>
        <w:rPr>
          <w:spacing w:val="9"/>
        </w:rPr>
        <w:t>需经费，筹措资金，并及时足额拨付到位。</w:t>
      </w:r>
    </w:p>
    <w:p>
      <w:pPr>
        <w:pStyle w:val="BodyText"/>
        <w:ind w:left="1" w:right="196" w:firstLine="423"/>
        <w:spacing w:before="40" w:line="357" w:lineRule="auto"/>
        <w:rPr/>
      </w:pPr>
      <w:r>
        <w:rPr>
          <w:spacing w:val="6"/>
        </w:rPr>
        <w:t>市民政局：负责做好应急救济款的发放结</w:t>
      </w:r>
      <w:r>
        <w:rPr>
          <w:spacing w:val="6"/>
        </w:rPr>
        <w:t>算工作。</w:t>
      </w:r>
    </w:p>
    <w:p>
      <w:pPr>
        <w:pStyle w:val="BodyText"/>
        <w:ind w:left="1" w:right="196" w:firstLine="423"/>
        <w:spacing w:before="43" w:line="357" w:lineRule="auto"/>
        <w:rPr/>
      </w:pPr>
      <w:r>
        <w:rPr>
          <w:spacing w:val="6"/>
        </w:rPr>
        <w:t>市交通运输局：负责做好运力调度费用结</w:t>
      </w:r>
      <w:r>
        <w:rPr>
          <w:spacing w:val="6"/>
        </w:rPr>
        <w:t>算工作。</w:t>
      </w:r>
    </w:p>
    <w:p>
      <w:pPr>
        <w:pStyle w:val="BodyText"/>
        <w:ind w:left="2" w:right="190" w:firstLine="422"/>
        <w:spacing w:before="44" w:line="361" w:lineRule="auto"/>
        <w:jc w:val="both"/>
        <w:rPr/>
      </w:pPr>
      <w:r>
        <w:rPr>
          <w:spacing w:val="7"/>
        </w:rPr>
        <w:t>市农业农村局：负责组织恢复粮食生产，</w:t>
      </w:r>
      <w:r>
        <w:rPr>
          <w:spacing w:val="7"/>
        </w:rPr>
        <w:t>确定生产规模和品种，组织农用物资供应和技</w:t>
      </w:r>
      <w:r>
        <w:rPr>
          <w:spacing w:val="6"/>
        </w:rPr>
        <w:t>术指导。</w:t>
      </w:r>
    </w:p>
    <w:p>
      <w:pPr>
        <w:pStyle w:val="BodyText"/>
        <w:ind w:left="5" w:right="196" w:firstLine="419"/>
        <w:spacing w:before="50" w:line="357" w:lineRule="auto"/>
        <w:rPr/>
      </w:pPr>
      <w:r>
        <w:rPr>
          <w:spacing w:val="6"/>
        </w:rPr>
        <w:t>市商务投资局：负责做好有关生活必需品</w:t>
      </w:r>
      <w:r>
        <w:rPr>
          <w:spacing w:val="8"/>
        </w:rPr>
        <w:t>等供应费用结算工作。</w:t>
      </w:r>
    </w:p>
    <w:p>
      <w:pPr>
        <w:pStyle w:val="BodyText"/>
        <w:ind w:left="3" w:right="196" w:firstLine="428"/>
        <w:spacing w:before="46" w:line="375" w:lineRule="auto"/>
        <w:rPr/>
      </w:pPr>
      <w:r>
        <w:rPr>
          <w:spacing w:val="18"/>
        </w:rPr>
        <w:t>宁储粮固原储备库、宁储粮北海子储备</w:t>
      </w:r>
      <w:r>
        <w:rPr>
          <w:spacing w:val="9"/>
        </w:rPr>
        <w:t>库：负责做好动用储备粮的费用清算工作。</w:t>
      </w:r>
    </w:p>
    <w:p>
      <w:pPr>
        <w:pStyle w:val="BodyText"/>
        <w:ind w:right="124" w:firstLine="423"/>
        <w:spacing w:before="2" w:line="377" w:lineRule="auto"/>
        <w:rPr/>
      </w:pPr>
      <w:r>
        <w:rPr>
          <w:rFonts w:ascii="Times New Roman" w:hAnsi="Times New Roman" w:eastAsia="Times New Roman" w:cs="Times New Roman"/>
          <w:spacing w:val="7"/>
        </w:rPr>
        <w:t>2.2</w:t>
      </w:r>
      <w:r>
        <w:rPr>
          <w:rFonts w:ascii="Times New Roman" w:hAnsi="Times New Roman" w:eastAsia="Times New Roman" w:cs="Times New Roman"/>
          <w:spacing w:val="28"/>
        </w:rPr>
        <w:t xml:space="preserve">  </w:t>
      </w:r>
      <w:r>
        <w:rPr>
          <w:rFonts w:ascii="KaiTi" w:hAnsi="KaiTi" w:eastAsia="KaiTi" w:cs="KaiTi"/>
          <w:spacing w:val="7"/>
        </w:rPr>
        <w:t>固原市粮食应急处置指挥部办公室。</w:t>
      </w:r>
      <w:r>
        <w:rPr>
          <w:spacing w:val="18"/>
        </w:rPr>
        <w:t>固原市粮食应急处置指挥部办公室是粮食应</w:t>
      </w:r>
      <w:r>
        <w:rPr>
          <w:spacing w:val="7"/>
        </w:rPr>
        <w:t>急指挥部的日常工作机构，设在固原市粮食储</w:t>
      </w:r>
      <w:r>
        <w:rPr>
          <w:spacing w:val="11"/>
        </w:rPr>
        <w:t>备局。办公室主任由市粮食储备局局长兼任，</w:t>
      </w:r>
      <w:r>
        <w:rPr>
          <w:spacing w:val="7"/>
        </w:rPr>
        <w:t>办公室副主任由分管副局长兼任。办公室日常</w:t>
      </w:r>
      <w:r>
        <w:rPr>
          <w:spacing w:val="5"/>
        </w:rPr>
        <w:t>设值班工作电话为</w:t>
      </w:r>
      <w:r>
        <w:rPr>
          <w:spacing w:val="-39"/>
        </w:rPr>
        <w:t xml:space="preserve"> </w:t>
      </w:r>
      <w:r>
        <w:rPr>
          <w:rFonts w:ascii="Times New Roman" w:hAnsi="Times New Roman" w:eastAsia="Times New Roman" w:cs="Times New Roman"/>
          <w:spacing w:val="5"/>
        </w:rPr>
        <w:t>0954—2038942</w:t>
      </w:r>
      <w:r>
        <w:rPr>
          <w:rFonts w:ascii="Times New Roman" w:hAnsi="Times New Roman" w:eastAsia="Times New Roman" w:cs="Times New Roman"/>
          <w:spacing w:val="-29"/>
        </w:rPr>
        <w:t xml:space="preserve"> </w:t>
      </w:r>
      <w:r>
        <w:rPr>
          <w:spacing w:val="5"/>
        </w:rPr>
        <w:t>、</w:t>
      </w:r>
      <w:r>
        <w:rPr>
          <w:rFonts w:ascii="Times New Roman" w:hAnsi="Times New Roman" w:eastAsia="Times New Roman" w:cs="Times New Roman"/>
          <w:spacing w:val="5"/>
        </w:rPr>
        <w:t>2</w:t>
      </w:r>
      <w:r>
        <w:rPr>
          <w:rFonts w:ascii="Times New Roman" w:hAnsi="Times New Roman" w:eastAsia="Times New Roman" w:cs="Times New Roman"/>
          <w:spacing w:val="4"/>
        </w:rPr>
        <w:t>028534</w:t>
      </w:r>
      <w:r>
        <w:rPr>
          <w:spacing w:val="4"/>
        </w:rPr>
        <w:t>。</w:t>
      </w:r>
    </w:p>
    <w:p>
      <w:pPr>
        <w:pStyle w:val="BodyText"/>
        <w:ind w:left="2" w:right="196" w:firstLine="441"/>
        <w:spacing w:before="1" w:line="339" w:lineRule="auto"/>
        <w:rPr/>
      </w:pPr>
      <w:r>
        <w:rPr>
          <w:spacing w:val="17"/>
        </w:rPr>
        <w:t>固原市粮食应急处置指挥部办公室主要</w:t>
      </w:r>
      <w:r>
        <w:rPr>
          <w:spacing w:val="7"/>
        </w:rPr>
        <w:t>职责：按照固原市粮食应急处置指挥部的工作</w:t>
      </w:r>
      <w:r>
        <w:rPr>
          <w:spacing w:val="7"/>
        </w:rPr>
        <w:t>部署，分类管理粮食突发事件。协调组织成员</w:t>
      </w:r>
      <w:r>
        <w:rPr>
          <w:spacing w:val="7"/>
        </w:rPr>
        <w:t>单位排查、治理和监控突发事件风险隐患；落</w:t>
      </w:r>
      <w:r>
        <w:rPr>
          <w:spacing w:val="7"/>
        </w:rPr>
        <w:t>实突发事件预防、预警措施；编制和执行相关</w:t>
      </w:r>
    </w:p>
    <w:p>
      <w:pPr>
        <w:spacing w:line="339" w:lineRule="auto"/>
        <w:sectPr>
          <w:type w:val="continuous"/>
          <w:pgSz w:w="11906" w:h="16839"/>
          <w:pgMar w:top="1766" w:right="1393" w:bottom="1572" w:left="1579" w:header="1428" w:footer="1172" w:gutter="0"/>
          <w:cols w:equalWidth="0" w:num="2">
            <w:col w:w="4487" w:space="100"/>
            <w:col w:w="4346" w:space="0"/>
          </w:cols>
        </w:sectPr>
        <w:rPr/>
      </w:pPr>
    </w:p>
    <w:p>
      <w:pPr>
        <w:spacing w:before="70"/>
        <w:rPr/>
      </w:pPr>
      <w:r>
        <w:drawing>
          <wp:anchor distT="0" distB="0" distL="0" distR="0" simplePos="0" relativeHeight="253722624"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052" name="IM 2052"/>
            <wp:cNvGraphicFramePr/>
            <a:graphic>
              <a:graphicData uri="http://schemas.openxmlformats.org/drawingml/2006/picture">
                <pic:pic>
                  <pic:nvPicPr>
                    <pic:cNvPr id="2052" name="IM 2052"/>
                    <pic:cNvPicPr/>
                  </pic:nvPicPr>
                  <pic:blipFill>
                    <a:blip r:embed="rId1028"/>
                    <a:stretch>
                      <a:fillRect/>
                    </a:stretch>
                  </pic:blipFill>
                  <pic:spPr>
                    <a:xfrm rot="0">
                      <a:off x="0" y="0"/>
                      <a:ext cx="5579745" cy="7620"/>
                    </a:xfrm>
                    <a:prstGeom prst="rect">
                      <a:avLst/>
                    </a:prstGeom>
                  </pic:spPr>
                </pic:pic>
              </a:graphicData>
            </a:graphic>
          </wp:anchor>
        </w:drawing>
      </w:r>
      <w:r/>
    </w:p>
    <w:p>
      <w:pPr>
        <w:sectPr>
          <w:headerReference w:type="default" r:id="rId1026"/>
          <w:footerReference w:type="default" r:id="rId1027"/>
          <w:pgSz w:w="11906" w:h="16839"/>
          <w:pgMar w:top="1772" w:right="1475" w:bottom="1572" w:left="1571" w:header="1428" w:footer="1172" w:gutter="0"/>
          <w:cols w:equalWidth="0" w:num="1">
            <w:col w:w="8860" w:space="0"/>
          </w:cols>
        </w:sectPr>
        <w:rPr/>
      </w:pPr>
    </w:p>
    <w:p>
      <w:pPr>
        <w:pStyle w:val="BodyText"/>
        <w:ind w:left="21" w:right="328"/>
        <w:spacing w:before="49" w:line="375" w:lineRule="auto"/>
        <w:jc w:val="both"/>
        <w:rPr/>
      </w:pPr>
      <w:r>
        <w:rPr>
          <w:spacing w:val="7"/>
        </w:rPr>
        <w:t>应急预案；依据固原市应急体系总体规划落实</w:t>
      </w:r>
      <w:r>
        <w:rPr>
          <w:spacing w:val="7"/>
        </w:rPr>
        <w:t>应急体系建设任务和目标、预案演练活动、业</w:t>
      </w:r>
      <w:r>
        <w:rPr>
          <w:spacing w:val="7"/>
        </w:rPr>
        <w:t>务培训和科普宣教工作；指导、监督基层组织</w:t>
      </w:r>
      <w:r>
        <w:rPr>
          <w:spacing w:val="7"/>
        </w:rPr>
        <w:t>和单位加强应急管理工作；总结评估应急管理</w:t>
      </w:r>
      <w:r>
        <w:rPr>
          <w:spacing w:val="4"/>
        </w:rPr>
        <w:t>工作和突发事件处置工作；指导县（</w:t>
      </w:r>
      <w:r>
        <w:rPr>
          <w:spacing w:val="-35"/>
        </w:rPr>
        <w:t xml:space="preserve"> </w:t>
      </w:r>
      <w:r>
        <w:rPr>
          <w:spacing w:val="4"/>
        </w:rPr>
        <w:t>区）专项</w:t>
      </w:r>
      <w:r>
        <w:rPr>
          <w:spacing w:val="7"/>
        </w:rPr>
        <w:t>应急指挥机构做好相关突发事件应对工作；承</w:t>
      </w:r>
      <w:r>
        <w:rPr>
          <w:spacing w:val="-5"/>
        </w:rPr>
        <w:t>担固原市粮食应急处置指挥部交办的其他工作。</w:t>
      </w:r>
    </w:p>
    <w:p>
      <w:pPr>
        <w:pStyle w:val="BodyText"/>
        <w:ind w:left="20" w:right="328" w:firstLine="423"/>
        <w:spacing w:before="12" w:line="369" w:lineRule="auto"/>
        <w:rPr/>
      </w:pPr>
      <w:r>
        <w:rPr>
          <w:spacing w:val="6"/>
        </w:rPr>
        <w:t>接到监测、预测和预警信息，或发生重大</w:t>
      </w:r>
      <w:r>
        <w:rPr>
          <w:spacing w:val="7"/>
        </w:rPr>
        <w:t>或特别重大突发事件后，固原市粮食应急处置</w:t>
      </w:r>
      <w:r>
        <w:rPr>
          <w:spacing w:val="18"/>
        </w:rPr>
        <w:t>指挥部办公室要立即组织各成员单位开展会</w:t>
      </w:r>
      <w:r>
        <w:rPr>
          <w:spacing w:val="7"/>
        </w:rPr>
        <w:t>商或分析研判灾害发展趋势、灾害影响程度和</w:t>
      </w:r>
      <w:r>
        <w:rPr>
          <w:spacing w:val="8"/>
        </w:rPr>
        <w:t>范围；及时向市委、市政府、粮食应急处置</w:t>
      </w:r>
      <w:r>
        <w:rPr>
          <w:spacing w:val="7"/>
        </w:rPr>
        <w:t>指挥部报告情况，提出启动或终止应急响应级</w:t>
      </w:r>
      <w:r>
        <w:rPr>
          <w:spacing w:val="7"/>
        </w:rPr>
        <w:t>别和处置措施等工作建议；根据粮食应急处置</w:t>
      </w:r>
      <w:r>
        <w:rPr>
          <w:spacing w:val="7"/>
        </w:rPr>
        <w:t>指挥部的决定，协调组织各成员单位到指定地</w:t>
      </w:r>
      <w:r>
        <w:rPr>
          <w:spacing w:val="7"/>
        </w:rPr>
        <w:t>点集结或赶赴突发事件现场，落实事件处置工</w:t>
      </w:r>
      <w:r>
        <w:rPr>
          <w:spacing w:val="9"/>
        </w:rPr>
        <w:t>作中综合协调、信息报送和应急值守工作。</w:t>
      </w:r>
    </w:p>
    <w:p>
      <w:pPr>
        <w:pStyle w:val="BodyText"/>
        <w:ind w:left="21" w:right="216" w:firstLine="420"/>
        <w:spacing w:before="1" w:line="338" w:lineRule="auto"/>
        <w:rPr/>
      </w:pPr>
      <w:r>
        <w:rPr>
          <w:rFonts w:ascii="Times New Roman" w:hAnsi="Times New Roman" w:eastAsia="Times New Roman" w:cs="Times New Roman"/>
          <w:spacing w:val="-10"/>
        </w:rPr>
        <w:t>2.3  </w:t>
      </w:r>
      <w:r>
        <w:rPr>
          <w:rFonts w:ascii="KaiTi" w:hAnsi="KaiTi" w:eastAsia="KaiTi" w:cs="KaiTi"/>
          <w:spacing w:val="-10"/>
        </w:rPr>
        <w:t>县（</w:t>
      </w:r>
      <w:r>
        <w:rPr>
          <w:rFonts w:ascii="KaiTi" w:hAnsi="KaiTi" w:eastAsia="KaiTi" w:cs="KaiTi"/>
          <w:spacing w:val="-31"/>
        </w:rPr>
        <w:t xml:space="preserve"> </w:t>
      </w:r>
      <w:r>
        <w:rPr>
          <w:rFonts w:ascii="KaiTi" w:hAnsi="KaiTi" w:eastAsia="KaiTi" w:cs="KaiTi"/>
          <w:spacing w:val="-10"/>
        </w:rPr>
        <w:t>区）粮食应急指挥机构。</w:t>
      </w:r>
      <w:r>
        <w:rPr>
          <w:spacing w:val="-10"/>
        </w:rPr>
        <w:t>各县（</w:t>
      </w:r>
      <w:r>
        <w:rPr>
          <w:spacing w:val="-53"/>
        </w:rPr>
        <w:t xml:space="preserve"> </w:t>
      </w:r>
      <w:r>
        <w:rPr>
          <w:spacing w:val="-10"/>
        </w:rPr>
        <w:t>区）</w:t>
      </w:r>
      <w:r>
        <w:rPr>
          <w:spacing w:val="15"/>
        </w:rPr>
        <w:t>政府按照粮食突发事件分级标准</w:t>
      </w:r>
      <w:r>
        <w:rPr>
          <w:spacing w:val="-41"/>
        </w:rPr>
        <w:t xml:space="preserve"> </w:t>
      </w:r>
      <w:r>
        <w:rPr>
          <w:spacing w:val="15"/>
        </w:rPr>
        <w:t>，参考本预</w:t>
      </w:r>
      <w:r>
        <w:rPr>
          <w:spacing w:val="7"/>
        </w:rPr>
        <w:t>案，建立健全相应的应急指挥机构，组织做好</w:t>
      </w:r>
      <w:r>
        <w:rPr>
          <w:spacing w:val="8"/>
        </w:rPr>
        <w:t>先期处置和应对工作。</w:t>
      </w:r>
    </w:p>
    <w:p>
      <w:pPr>
        <w:pStyle w:val="BodyText"/>
        <w:ind w:left="21" w:right="328" w:firstLine="420"/>
        <w:spacing w:before="167" w:line="338" w:lineRule="auto"/>
        <w:rPr/>
      </w:pPr>
      <w:r>
        <w:rPr>
          <w:rFonts w:ascii="Times New Roman" w:hAnsi="Times New Roman" w:eastAsia="Times New Roman" w:cs="Times New Roman"/>
          <w:spacing w:val="8"/>
        </w:rPr>
        <w:t>2.4  </w:t>
      </w:r>
      <w:r>
        <w:rPr>
          <w:rFonts w:ascii="KaiTi" w:hAnsi="KaiTi" w:eastAsia="KaiTi" w:cs="KaiTi"/>
          <w:spacing w:val="8"/>
        </w:rPr>
        <w:t>专家组。</w:t>
      </w:r>
      <w:r>
        <w:rPr>
          <w:spacing w:val="8"/>
        </w:rPr>
        <w:t>固原市粮食储备局负责成立</w:t>
      </w:r>
      <w:r>
        <w:rPr>
          <w:spacing w:val="15"/>
        </w:rPr>
        <w:t>粮食突发事件应急专家组</w:t>
      </w:r>
      <w:r>
        <w:rPr>
          <w:spacing w:val="-41"/>
        </w:rPr>
        <w:t xml:space="preserve"> </w:t>
      </w:r>
      <w:r>
        <w:rPr>
          <w:spacing w:val="15"/>
        </w:rPr>
        <w:t>，完善相关咨询机</w:t>
      </w:r>
      <w:r>
        <w:rPr>
          <w:spacing w:val="7"/>
        </w:rPr>
        <w:t>制，为特别重大、重大粮食突发事件应急处置</w:t>
      </w:r>
      <w:r>
        <w:rPr>
          <w:spacing w:val="8"/>
        </w:rPr>
        <w:t>工作提供技术支持和政策指导。</w:t>
      </w:r>
    </w:p>
    <w:p>
      <w:pPr>
        <w:pStyle w:val="BodyText"/>
        <w:ind w:left="441"/>
        <w:spacing w:before="165" w:line="277" w:lineRule="exact"/>
        <w:rPr/>
      </w:pPr>
      <w:r>
        <w:rPr>
          <w:spacing w:val="9"/>
          <w:position w:val="1"/>
        </w:rPr>
        <w:t>专家组组长：市粮食储备局负责人</w:t>
      </w:r>
    </w:p>
    <w:p>
      <w:pPr>
        <w:pStyle w:val="BodyText"/>
        <w:ind w:left="20" w:right="328" w:firstLine="421"/>
        <w:spacing w:before="130" w:line="358" w:lineRule="auto"/>
        <w:jc w:val="both"/>
        <w:rPr/>
      </w:pPr>
      <w:r>
        <w:rPr>
          <w:spacing w:val="6"/>
        </w:rPr>
        <w:t>成员单位：市应急管理局、市发展和改革</w:t>
      </w:r>
      <w:r>
        <w:rPr>
          <w:spacing w:val="7"/>
        </w:rPr>
        <w:t>委、市民政局、市财政局、市场监管局、市农</w:t>
      </w:r>
      <w:r>
        <w:rPr>
          <w:spacing w:val="7"/>
        </w:rPr>
        <w:t>业农村局、市商务投资局、市交通运输局、市</w:t>
      </w:r>
      <w:r>
        <w:rPr>
          <w:spacing w:val="7"/>
        </w:rPr>
        <w:t>公安局、市卫生健康委、市教育体育局、市工</w:t>
      </w:r>
      <w:r>
        <w:rPr>
          <w:spacing w:val="7"/>
        </w:rPr>
        <w:t>业和信息化局，市应急指挥部确定的非政府职</w:t>
      </w:r>
      <w:r>
        <w:rPr>
          <w:spacing w:val="9"/>
        </w:rPr>
        <w:t>能部门（单位）负责人和有关专家。</w:t>
      </w:r>
    </w:p>
    <w:p>
      <w:pPr>
        <w:spacing w:line="14" w:lineRule="auto"/>
        <w:rPr>
          <w:rFonts w:ascii="Arial"/>
          <w:sz w:val="2"/>
        </w:rPr>
      </w:pPr>
      <w:r>
        <w:rPr>
          <w:rFonts w:ascii="Arial" w:hAnsi="Arial" w:eastAsia="Arial" w:cs="Arial"/>
          <w:sz w:val="2"/>
          <w:szCs w:val="2"/>
        </w:rPr>
        <w:br w:type="column"/>
      </w:r>
    </w:p>
    <w:p>
      <w:pPr>
        <w:ind w:left="426"/>
        <w:spacing w:before="44" w:line="265" w:lineRule="exact"/>
        <w:rPr>
          <w:rFonts w:ascii="KaiTi" w:hAnsi="KaiTi" w:eastAsia="KaiTi" w:cs="KaiTi"/>
          <w:sz w:val="20"/>
          <w:szCs w:val="20"/>
        </w:rPr>
      </w:pPr>
      <w:r>
        <w:rPr>
          <w:rFonts w:ascii="Times New Roman" w:hAnsi="Times New Roman" w:eastAsia="Times New Roman" w:cs="Times New Roman"/>
          <w:sz w:val="20"/>
          <w:szCs w:val="20"/>
          <w:spacing w:val="5"/>
          <w:position w:val="1"/>
        </w:rPr>
        <w:t>3</w:t>
      </w:r>
      <w:r>
        <w:rPr>
          <w:rFonts w:ascii="Times New Roman" w:hAnsi="Times New Roman" w:eastAsia="Times New Roman" w:cs="Times New Roman"/>
          <w:sz w:val="20"/>
          <w:szCs w:val="20"/>
          <w:spacing w:val="4"/>
          <w:position w:val="1"/>
        </w:rPr>
        <w:t xml:space="preserve">    </w:t>
      </w:r>
      <w:r>
        <w:rPr>
          <w:rFonts w:ascii="KaiTi" w:hAnsi="KaiTi" w:eastAsia="KaiTi" w:cs="KaiTi"/>
          <w:sz w:val="20"/>
          <w:szCs w:val="20"/>
          <w:spacing w:val="5"/>
          <w:position w:val="1"/>
        </w:rPr>
        <w:t>预报预警</w:t>
      </w:r>
    </w:p>
    <w:p>
      <w:pPr>
        <w:pStyle w:val="BodyText"/>
        <w:ind w:left="2" w:right="114" w:firstLine="424"/>
        <w:spacing w:before="139" w:line="377" w:lineRule="auto"/>
        <w:rPr/>
      </w:pPr>
      <w:r>
        <w:rPr>
          <w:rFonts w:ascii="Times New Roman" w:hAnsi="Times New Roman" w:eastAsia="Times New Roman" w:cs="Times New Roman"/>
          <w:spacing w:val="8"/>
        </w:rPr>
        <w:t>3.1  </w:t>
      </w:r>
      <w:r>
        <w:rPr>
          <w:rFonts w:ascii="KaiTi" w:hAnsi="KaiTi" w:eastAsia="KaiTi" w:cs="KaiTi"/>
          <w:spacing w:val="8"/>
        </w:rPr>
        <w:t>监测预报。</w:t>
      </w:r>
      <w:r>
        <w:rPr>
          <w:spacing w:val="8"/>
        </w:rPr>
        <w:t>固原市相关单位（本预案</w:t>
      </w:r>
      <w:r>
        <w:rPr>
          <w:spacing w:val="9"/>
        </w:rPr>
        <w:t>涉及责任单位</w:t>
      </w:r>
      <w:r>
        <w:rPr>
          <w:spacing w:val="-41"/>
        </w:rPr>
        <w:t>），</w:t>
      </w:r>
      <w:r>
        <w:rPr>
          <w:spacing w:val="-36"/>
        </w:rPr>
        <w:t xml:space="preserve"> </w:t>
      </w:r>
      <w:r>
        <w:rPr>
          <w:spacing w:val="9"/>
        </w:rPr>
        <w:t>各县区要加强对重大危险源</w:t>
      </w:r>
      <w:r>
        <w:rPr>
          <w:spacing w:val="7"/>
        </w:rPr>
        <w:t>的监测监控，及时对可能引发粮食应急突发事</w:t>
      </w:r>
      <w:r>
        <w:rPr>
          <w:spacing w:val="18"/>
        </w:rPr>
        <w:t>件的风险隐患进行排查整改，不能消除隐患</w:t>
      </w:r>
      <w:r>
        <w:rPr>
          <w:spacing w:val="8"/>
        </w:rPr>
        <w:t>的，要及时报告固原市委、市政府和固原市</w:t>
      </w:r>
      <w:r>
        <w:rPr>
          <w:spacing w:val="7"/>
        </w:rPr>
        <w:t>粮食应急处置指挥部，同时报自治区粮食应急</w:t>
      </w:r>
      <w:r>
        <w:rPr>
          <w:spacing w:val="7"/>
        </w:rPr>
        <w:t>处置指挥部。</w:t>
      </w:r>
    </w:p>
    <w:p>
      <w:pPr>
        <w:pStyle w:val="BodyText"/>
        <w:ind w:right="47" w:firstLine="426"/>
        <w:spacing w:before="4" w:line="376" w:lineRule="auto"/>
        <w:jc w:val="both"/>
        <w:rPr/>
      </w:pPr>
      <w:r>
        <w:rPr>
          <w:rFonts w:ascii="Times New Roman" w:hAnsi="Times New Roman" w:eastAsia="Times New Roman" w:cs="Times New Roman"/>
          <w:spacing w:val="7"/>
        </w:rPr>
        <w:t>3.2  </w:t>
      </w:r>
      <w:r>
        <w:rPr>
          <w:rFonts w:ascii="KaiTi" w:hAnsi="KaiTi" w:eastAsia="KaiTi" w:cs="KaiTi"/>
          <w:spacing w:val="7"/>
        </w:rPr>
        <w:t>分级标准。</w:t>
      </w:r>
      <w:r>
        <w:rPr>
          <w:spacing w:val="7"/>
        </w:rPr>
        <w:t>报告固原市委、市政府和</w:t>
      </w:r>
      <w:r>
        <w:rPr>
          <w:spacing w:val="17"/>
        </w:rPr>
        <w:t>固原市粮食应急处置指挥部的信息要按照粮</w:t>
      </w:r>
      <w:r>
        <w:rPr>
          <w:spacing w:val="7"/>
        </w:rPr>
        <w:t>食突发事件的性质、社会危害程度、可控性和</w:t>
      </w:r>
      <w:r>
        <w:rPr/>
        <w:t>影响范围等因素，注明可能引发突发事件的级别</w:t>
      </w:r>
      <w:r>
        <w:rPr>
          <w:spacing w:val="14"/>
        </w:rPr>
        <w:t xml:space="preserve"> </w:t>
      </w:r>
      <w:r>
        <w:rPr>
          <w:spacing w:val="7"/>
        </w:rPr>
        <w:t>。  粮食突发事件分为一般、较大、重大、特</w:t>
      </w:r>
      <w:r>
        <w:rPr>
          <w:spacing w:val="9"/>
        </w:rPr>
        <w:t>别重大四个级别。其中分级标准为：</w:t>
      </w:r>
    </w:p>
    <w:p>
      <w:pPr>
        <w:pStyle w:val="BodyText"/>
        <w:ind w:left="3" w:firstLine="420"/>
        <w:spacing w:before="3" w:line="374" w:lineRule="auto"/>
        <w:jc w:val="both"/>
        <w:rPr/>
      </w:pPr>
      <w:r>
        <w:rPr>
          <w:rFonts w:ascii="Times New Roman" w:hAnsi="Times New Roman" w:eastAsia="Times New Roman" w:cs="Times New Roman"/>
          <w:spacing w:val="14"/>
        </w:rPr>
        <w:t>Ⅰ</w:t>
      </w:r>
      <w:r>
        <w:rPr>
          <w:spacing w:val="14"/>
        </w:rPr>
        <w:t>一般事件级别：全市成品粮油价格一周</w:t>
      </w:r>
      <w:r>
        <w:rPr>
          <w:spacing w:val="1"/>
        </w:rPr>
        <w:t>内持续上涨</w:t>
      </w:r>
      <w:r>
        <w:rPr>
          <w:spacing w:val="-42"/>
        </w:rPr>
        <w:t xml:space="preserve"> </w:t>
      </w:r>
      <w:r>
        <w:rPr>
          <w:rFonts w:ascii="Times New Roman" w:hAnsi="Times New Roman" w:eastAsia="Times New Roman" w:cs="Times New Roman"/>
          <w:spacing w:val="1"/>
        </w:rPr>
        <w:t>25%</w:t>
      </w:r>
      <w:r>
        <w:rPr>
          <w:spacing w:val="1"/>
        </w:rPr>
        <w:t>以上；县（区）或</w:t>
      </w:r>
      <w:r>
        <w:rPr>
          <w:spacing w:val="-39"/>
        </w:rPr>
        <w:t xml:space="preserve"> </w:t>
      </w:r>
      <w:r>
        <w:rPr>
          <w:rFonts w:ascii="Times New Roman" w:hAnsi="Times New Roman" w:eastAsia="Times New Roman" w:cs="Times New Roman"/>
          <w:spacing w:val="1"/>
        </w:rPr>
        <w:t>3 </w:t>
      </w:r>
      <w:r>
        <w:rPr>
          <w:spacing w:val="1"/>
        </w:rPr>
        <w:t>个乡（镇）</w:t>
      </w:r>
      <w:r>
        <w:rPr>
          <w:spacing w:val="7"/>
        </w:rPr>
        <w:t>出现粮食供应紧张，并可能引发较大区域粮食</w:t>
      </w:r>
      <w:r>
        <w:rPr>
          <w:spacing w:val="7"/>
        </w:rPr>
        <w:t>市场波动的紧急状态。或因发生突发事件，由</w:t>
      </w:r>
      <w:r>
        <w:rPr>
          <w:spacing w:val="18"/>
        </w:rPr>
        <w:t>市政府或市应急管理指挥部认为需要启动的</w:t>
      </w:r>
      <w:r>
        <w:rPr>
          <w:spacing w:val="7"/>
        </w:rPr>
        <w:t>一般事件级别。</w:t>
      </w:r>
    </w:p>
    <w:p>
      <w:pPr>
        <w:pStyle w:val="BodyText"/>
        <w:ind w:left="1" w:right="50" w:firstLine="421"/>
        <w:spacing w:before="10" w:line="373" w:lineRule="auto"/>
        <w:jc w:val="both"/>
        <w:rPr/>
      </w:pPr>
      <w:r>
        <w:rPr>
          <w:rFonts w:ascii="Times New Roman" w:hAnsi="Times New Roman" w:eastAsia="Times New Roman" w:cs="Times New Roman"/>
          <w:spacing w:val="3"/>
        </w:rPr>
        <w:t>Ⅱ</w:t>
      </w:r>
      <w:r>
        <w:rPr>
          <w:spacing w:val="3"/>
        </w:rPr>
        <w:t>较大事件级别：全市粮食供应趋于紧张，</w:t>
      </w:r>
      <w:r>
        <w:rPr>
          <w:spacing w:val="5"/>
        </w:rPr>
        <w:t>成品粮油价格在一周内持续上涨</w:t>
      </w:r>
      <w:r>
        <w:rPr>
          <w:spacing w:val="-24"/>
        </w:rPr>
        <w:t xml:space="preserve"> </w:t>
      </w:r>
      <w:r>
        <w:rPr>
          <w:rFonts w:ascii="Times New Roman" w:hAnsi="Times New Roman" w:eastAsia="Times New Roman" w:cs="Times New Roman"/>
          <w:spacing w:val="5"/>
        </w:rPr>
        <w:t>50%</w:t>
      </w:r>
      <w:r>
        <w:rPr>
          <w:spacing w:val="5"/>
        </w:rPr>
        <w:t>以上；原</w:t>
      </w:r>
      <w:r>
        <w:rPr>
          <w:spacing w:val="4"/>
        </w:rPr>
        <w:t>州区或</w:t>
      </w:r>
      <w:r>
        <w:rPr>
          <w:spacing w:val="-37"/>
        </w:rPr>
        <w:t xml:space="preserve"> </w:t>
      </w:r>
      <w:r>
        <w:rPr>
          <w:rFonts w:ascii="Times New Roman" w:hAnsi="Times New Roman" w:eastAsia="Times New Roman" w:cs="Times New Roman"/>
          <w:spacing w:val="4"/>
        </w:rPr>
        <w:t>2 </w:t>
      </w:r>
      <w:r>
        <w:rPr>
          <w:spacing w:val="4"/>
        </w:rPr>
        <w:t>个以上县（</w:t>
      </w:r>
      <w:r>
        <w:rPr>
          <w:spacing w:val="-52"/>
        </w:rPr>
        <w:t xml:space="preserve"> </w:t>
      </w:r>
      <w:r>
        <w:rPr>
          <w:spacing w:val="4"/>
        </w:rPr>
        <w:t>区）出现一般性成品粮油</w:t>
      </w:r>
      <w:r>
        <w:rPr>
          <w:spacing w:val="7"/>
        </w:rPr>
        <w:t>供需不平衡，群众争购成品粮油，引起市场不</w:t>
      </w:r>
      <w:r>
        <w:rPr>
          <w:spacing w:val="7"/>
        </w:rPr>
        <w:t>稳定的紧急状态。或因发生突发事件，由市政</w:t>
      </w:r>
      <w:r>
        <w:rPr>
          <w:spacing w:val="18"/>
        </w:rPr>
        <w:t>府或市应急管理指挥部认为需要启动的较大</w:t>
      </w:r>
      <w:r>
        <w:rPr>
          <w:spacing w:val="6"/>
        </w:rPr>
        <w:t>事件级别。</w:t>
      </w:r>
    </w:p>
    <w:p>
      <w:pPr>
        <w:pStyle w:val="BodyText"/>
        <w:ind w:left="3" w:right="86" w:firstLine="420"/>
        <w:spacing w:before="28" w:line="340" w:lineRule="auto"/>
        <w:jc w:val="both"/>
        <w:rPr/>
      </w:pPr>
      <w:r>
        <w:rPr>
          <w:rFonts w:ascii="Times New Roman" w:hAnsi="Times New Roman" w:eastAsia="Times New Roman" w:cs="Times New Roman"/>
          <w:spacing w:val="19"/>
        </w:rPr>
        <w:t>Ⅲ</w:t>
      </w:r>
      <w:r>
        <w:rPr>
          <w:spacing w:val="19"/>
        </w:rPr>
        <w:t>重大事件级别：全市粮食供应十分紧</w:t>
      </w:r>
      <w:r>
        <w:rPr>
          <w:spacing w:val="7"/>
        </w:rPr>
        <w:t>张，成品粮油价格一周内持续上涨</w:t>
      </w:r>
      <w:r>
        <w:rPr>
          <w:spacing w:val="-40"/>
        </w:rPr>
        <w:t xml:space="preserve"> </w:t>
      </w:r>
      <w:r>
        <w:rPr>
          <w:rFonts w:ascii="Times New Roman" w:hAnsi="Times New Roman" w:eastAsia="Times New Roman" w:cs="Times New Roman"/>
          <w:spacing w:val="7"/>
        </w:rPr>
        <w:t>75%</w:t>
      </w:r>
      <w:r>
        <w:rPr>
          <w:spacing w:val="7"/>
        </w:rPr>
        <w:t>以</w:t>
      </w:r>
      <w:r>
        <w:rPr>
          <w:spacing w:val="6"/>
        </w:rPr>
        <w:t>上；</w:t>
      </w:r>
      <w:r>
        <w:rPr>
          <w:spacing w:val="4"/>
        </w:rPr>
        <w:t>原州区及</w:t>
      </w:r>
      <w:r>
        <w:rPr>
          <w:spacing w:val="-38"/>
        </w:rPr>
        <w:t xml:space="preserve"> </w:t>
      </w:r>
      <w:r>
        <w:rPr>
          <w:rFonts w:ascii="Times New Roman" w:hAnsi="Times New Roman" w:eastAsia="Times New Roman" w:cs="Times New Roman"/>
          <w:spacing w:val="4"/>
        </w:rPr>
        <w:t>2 </w:t>
      </w:r>
      <w:r>
        <w:rPr>
          <w:spacing w:val="4"/>
        </w:rPr>
        <w:t>个以上县（</w:t>
      </w:r>
      <w:r>
        <w:rPr>
          <w:spacing w:val="-50"/>
        </w:rPr>
        <w:t xml:space="preserve"> </w:t>
      </w:r>
      <w:r>
        <w:rPr>
          <w:spacing w:val="4"/>
        </w:rPr>
        <w:t>区）出现成品粮油供应</w:t>
      </w:r>
      <w:r>
        <w:rPr>
          <w:spacing w:val="7"/>
        </w:rPr>
        <w:t>紧张，群众抢购成品粮油并出现恐慌的紧急状</w:t>
      </w:r>
      <w:r>
        <w:rPr>
          <w:spacing w:val="7"/>
        </w:rPr>
        <w:t>态。或因发生突发事件，由市政府或市应急管</w:t>
      </w:r>
    </w:p>
    <w:p>
      <w:pPr>
        <w:spacing w:line="340" w:lineRule="auto"/>
        <w:sectPr>
          <w:type w:val="continuous"/>
          <w:pgSz w:w="11906" w:h="16839"/>
          <w:pgMar w:top="1772" w:right="1475" w:bottom="1572" w:left="1571" w:header="1428" w:footer="1172" w:gutter="0"/>
          <w:cols w:equalWidth="0" w:num="2">
            <w:col w:w="4497" w:space="100"/>
            <w:col w:w="4264" w:space="0"/>
          </w:cols>
        </w:sectPr>
        <w:rPr/>
      </w:pPr>
    </w:p>
    <w:p>
      <w:pPr>
        <w:spacing w:before="68"/>
        <w:rPr/>
      </w:pPr>
      <w:r>
        <w:drawing>
          <wp:anchor distT="0" distB="0" distL="0" distR="0" simplePos="0" relativeHeight="25373696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2056" name="IM 2056"/>
            <wp:cNvGraphicFramePr/>
            <a:graphic>
              <a:graphicData uri="http://schemas.openxmlformats.org/drawingml/2006/picture">
                <pic:pic>
                  <pic:nvPicPr>
                    <pic:cNvPr id="2056" name="IM 2056"/>
                    <pic:cNvPicPr/>
                  </pic:nvPicPr>
                  <pic:blipFill>
                    <a:blip r:embed="rId1030"/>
                    <a:stretch>
                      <a:fillRect/>
                    </a:stretch>
                  </pic:blipFill>
                  <pic:spPr>
                    <a:xfrm rot="0">
                      <a:off x="0" y="0"/>
                      <a:ext cx="5579745" cy="7620"/>
                    </a:xfrm>
                    <a:prstGeom prst="rect">
                      <a:avLst/>
                    </a:prstGeom>
                  </pic:spPr>
                </pic:pic>
              </a:graphicData>
            </a:graphic>
          </wp:anchor>
        </w:drawing>
      </w:r>
      <w:r/>
    </w:p>
    <w:p>
      <w:pPr>
        <w:sectPr>
          <w:headerReference w:type="default" r:id="rId1023"/>
          <w:footerReference w:type="default" r:id="rId1029"/>
          <w:pgSz w:w="11906" w:h="16839"/>
          <w:pgMar w:top="1766" w:right="1393" w:bottom="1572" w:left="1579" w:header="1428" w:footer="1172" w:gutter="0"/>
          <w:cols w:equalWidth="0" w:num="1">
            <w:col w:w="8933" w:space="0"/>
          </w:cols>
        </w:sectPr>
        <w:rPr/>
      </w:pPr>
    </w:p>
    <w:p>
      <w:pPr>
        <w:pStyle w:val="BodyText"/>
        <w:ind w:left="14"/>
        <w:spacing w:before="57" w:line="219" w:lineRule="auto"/>
        <w:rPr/>
      </w:pPr>
      <w:r>
        <w:rPr>
          <w:spacing w:val="9"/>
        </w:rPr>
        <w:t>理指挥部认为需要启动的重大事件级别。</w:t>
      </w:r>
    </w:p>
    <w:p>
      <w:pPr>
        <w:pStyle w:val="BodyText"/>
        <w:ind w:left="12" w:right="300" w:firstLine="421"/>
        <w:spacing w:before="162" w:line="363" w:lineRule="auto"/>
        <w:jc w:val="both"/>
        <w:rPr/>
      </w:pPr>
      <w:r>
        <w:rPr>
          <w:rFonts w:ascii="Times New Roman" w:hAnsi="Times New Roman" w:eastAsia="Times New Roman" w:cs="Times New Roman"/>
          <w:spacing w:val="6"/>
        </w:rPr>
        <w:t>Ⅳ</w:t>
      </w:r>
      <w:r>
        <w:rPr>
          <w:spacing w:val="6"/>
        </w:rPr>
        <w:t>特别重大事件级别：全市粮食供应极度</w:t>
      </w:r>
      <w:r>
        <w:rPr>
          <w:spacing w:val="9"/>
        </w:rPr>
        <w:t>紧张，成品粮油价格一周内持续上涨</w:t>
      </w:r>
      <w:r>
        <w:rPr>
          <w:spacing w:val="-8"/>
        </w:rPr>
        <w:t xml:space="preserve"> </w:t>
      </w:r>
      <w:r>
        <w:rPr>
          <w:rFonts w:ascii="Times New Roman" w:hAnsi="Times New Roman" w:eastAsia="Times New Roman" w:cs="Times New Roman"/>
          <w:spacing w:val="9"/>
        </w:rPr>
        <w:t>100%</w:t>
      </w:r>
      <w:r>
        <w:rPr>
          <w:spacing w:val="9"/>
        </w:rPr>
        <w:t>以</w:t>
      </w:r>
      <w:r>
        <w:rPr>
          <w:spacing w:val="7"/>
        </w:rPr>
        <w:t>上，成品粮油脱销，群众严重抢购成品粮油的</w:t>
      </w:r>
      <w:r>
        <w:rPr>
          <w:spacing w:val="7"/>
        </w:rPr>
        <w:t>紧急状态。或因发生突发事件，由市政府或市</w:t>
      </w:r>
      <w:r>
        <w:rPr>
          <w:spacing w:val="-2"/>
        </w:rPr>
        <w:t>应急管理指挥部认为需要启动的特别重大级别。</w:t>
      </w:r>
    </w:p>
    <w:p>
      <w:pPr>
        <w:pStyle w:val="BodyText"/>
        <w:ind w:left="12" w:right="277" w:firstLine="425"/>
        <w:spacing w:before="29" w:line="359" w:lineRule="auto"/>
        <w:rPr/>
      </w:pPr>
      <w:r>
        <w:rPr>
          <w:rFonts w:ascii="Times New Roman" w:hAnsi="Times New Roman" w:eastAsia="Times New Roman" w:cs="Times New Roman"/>
          <w:spacing w:val="8"/>
        </w:rPr>
        <w:t>3.3  </w:t>
      </w:r>
      <w:r>
        <w:rPr>
          <w:rFonts w:ascii="KaiTi" w:hAnsi="KaiTi" w:eastAsia="KaiTi" w:cs="KaiTi"/>
          <w:spacing w:val="8"/>
        </w:rPr>
        <w:t>预警信息报告与发布。</w:t>
      </w:r>
      <w:r>
        <w:rPr>
          <w:spacing w:val="8"/>
        </w:rPr>
        <w:t>市粮食应急处</w:t>
      </w:r>
      <w:r>
        <w:rPr>
          <w:spacing w:val="7"/>
        </w:rPr>
        <w:t>置指挥部办公室接到信息报告后，要组织会商</w:t>
      </w:r>
      <w:r>
        <w:rPr>
          <w:spacing w:val="7"/>
        </w:rPr>
        <w:t>或进行分析研判，对可能引发一般和较大级别</w:t>
      </w:r>
      <w:r>
        <w:rPr>
          <w:spacing w:val="7"/>
        </w:rPr>
        <w:t>的粮食突发事件的监测预测预警信息，向指挥</w:t>
      </w:r>
      <w:r>
        <w:rPr>
          <w:spacing w:val="4"/>
        </w:rPr>
        <w:t>部成员单位和有关县（</w:t>
      </w:r>
      <w:r>
        <w:rPr>
          <w:spacing w:val="-35"/>
        </w:rPr>
        <w:t xml:space="preserve"> </w:t>
      </w:r>
      <w:r>
        <w:rPr>
          <w:spacing w:val="4"/>
        </w:rPr>
        <w:t>区）通报，督促和指导</w:t>
      </w:r>
      <w:r>
        <w:rPr>
          <w:spacing w:val="7"/>
        </w:rPr>
        <w:t>按照相应预案做好处置工作；对可能引发特别</w:t>
      </w:r>
      <w:r>
        <w:rPr>
          <w:spacing w:val="7"/>
        </w:rPr>
        <w:t>重大、重大级别的粮食突发事件的监测预测预</w:t>
      </w:r>
      <w:r>
        <w:rPr>
          <w:spacing w:val="9"/>
        </w:rPr>
        <w:t>警信息，市相关单位（本预案涉及责任单位）</w:t>
      </w:r>
      <w:r>
        <w:rPr>
          <w:spacing w:val="18"/>
        </w:rPr>
        <w:t>或市粮食应急处置指挥部要及时报告市应急</w:t>
      </w:r>
      <w:r>
        <w:rPr>
          <w:spacing w:val="7"/>
        </w:rPr>
        <w:t>委员会，并按照《宁夏回族自治区突发事件预</w:t>
      </w:r>
      <w:r>
        <w:rPr>
          <w:spacing w:val="7"/>
        </w:rPr>
        <w:t>警信息发布管理办法》，提出预警信息发布方</w:t>
      </w:r>
      <w:r>
        <w:rPr>
          <w:spacing w:val="7"/>
        </w:rPr>
        <w:t>案，并配合做好预警信息发布工作。同时，向</w:t>
      </w:r>
      <w:r>
        <w:rPr>
          <w:spacing w:val="18"/>
        </w:rPr>
        <w:t>市粮食应急处置指挥部各成员单位通报有关</w:t>
      </w:r>
      <w:r>
        <w:rPr>
          <w:spacing w:val="4"/>
        </w:rPr>
        <w:t>情况。</w:t>
      </w:r>
    </w:p>
    <w:p>
      <w:pPr>
        <w:pStyle w:val="BodyText"/>
        <w:ind w:left="11" w:right="329" w:firstLine="426"/>
        <w:spacing w:before="159" w:line="351" w:lineRule="auto"/>
        <w:rPr/>
      </w:pPr>
      <w:r>
        <w:rPr>
          <w:rFonts w:ascii="Times New Roman" w:hAnsi="Times New Roman" w:eastAsia="Times New Roman" w:cs="Times New Roman"/>
          <w:spacing w:val="8"/>
        </w:rPr>
        <w:t>3.4  </w:t>
      </w:r>
      <w:r>
        <w:rPr>
          <w:rFonts w:ascii="KaiTi" w:hAnsi="KaiTi" w:eastAsia="KaiTi" w:cs="KaiTi"/>
          <w:spacing w:val="8"/>
        </w:rPr>
        <w:t>预警行动。</w:t>
      </w:r>
      <w:r>
        <w:rPr>
          <w:spacing w:val="8"/>
        </w:rPr>
        <w:t>市粮食应急处置指挥部办</w:t>
      </w:r>
      <w:r>
        <w:rPr>
          <w:spacing w:val="7"/>
        </w:rPr>
        <w:t>公室接到可能导致特别重大、重大粮食突发事</w:t>
      </w:r>
      <w:r>
        <w:rPr>
          <w:spacing w:val="7"/>
        </w:rPr>
        <w:t>件的监测预测预警信息后，要密切关注事态进</w:t>
      </w:r>
      <w:r>
        <w:rPr>
          <w:spacing w:val="7"/>
        </w:rPr>
        <w:t>展。按照市粮食应急处置指挥部的统一安排和</w:t>
      </w:r>
      <w:r>
        <w:rPr>
          <w:spacing w:val="7"/>
        </w:rPr>
        <w:t>部署，组织、协调市粮食应急处置指挥部成员</w:t>
      </w:r>
      <w:r>
        <w:rPr>
          <w:spacing w:val="7"/>
        </w:rPr>
        <w:t>单位和有关地区，按照预案做好应急准备和预</w:t>
      </w:r>
      <w:r>
        <w:rPr>
          <w:spacing w:val="7"/>
        </w:rPr>
        <w:t>防工作，并及时向市政府和市粮食应急处置指</w:t>
      </w:r>
      <w:r>
        <w:rPr>
          <w:spacing w:val="8"/>
        </w:rPr>
        <w:t>挥部动态报送有关信息。</w:t>
      </w:r>
    </w:p>
    <w:p>
      <w:pPr>
        <w:ind w:left="434"/>
        <w:spacing w:before="149"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4</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5"/>
        </w:rPr>
        <w:t>应急处置</w:t>
      </w:r>
    </w:p>
    <w:p>
      <w:pPr>
        <w:ind w:left="432"/>
        <w:spacing w:before="99" w:line="268" w:lineRule="exact"/>
        <w:rPr>
          <w:rFonts w:ascii="KaiTi" w:hAnsi="KaiTi" w:eastAsia="KaiTi" w:cs="KaiTi"/>
          <w:sz w:val="20"/>
          <w:szCs w:val="20"/>
        </w:rPr>
      </w:pPr>
      <w:r>
        <w:rPr>
          <w:rFonts w:ascii="Times New Roman" w:hAnsi="Times New Roman" w:eastAsia="Times New Roman" w:cs="Times New Roman"/>
          <w:sz w:val="20"/>
          <w:szCs w:val="20"/>
          <w:spacing w:val="2"/>
          <w:position w:val="1"/>
        </w:rPr>
        <w:t>4.</w:t>
      </w:r>
      <w:r>
        <w:rPr>
          <w:rFonts w:ascii="Times New Roman" w:hAnsi="Times New Roman" w:eastAsia="Times New Roman" w:cs="Times New Roman"/>
          <w:sz w:val="20"/>
          <w:szCs w:val="20"/>
          <w:spacing w:val="-20"/>
          <w:position w:val="1"/>
        </w:rPr>
        <w:t xml:space="preserve"> </w:t>
      </w:r>
      <w:r>
        <w:rPr>
          <w:rFonts w:ascii="Times New Roman" w:hAnsi="Times New Roman" w:eastAsia="Times New Roman" w:cs="Times New Roman"/>
          <w:sz w:val="20"/>
          <w:szCs w:val="20"/>
          <w:spacing w:val="2"/>
          <w:position w:val="1"/>
        </w:rPr>
        <w:t>1  </w:t>
      </w:r>
      <w:r>
        <w:rPr>
          <w:rFonts w:ascii="KaiTi" w:hAnsi="KaiTi" w:eastAsia="KaiTi" w:cs="KaiTi"/>
          <w:sz w:val="20"/>
          <w:szCs w:val="20"/>
          <w:spacing w:val="2"/>
          <w:position w:val="1"/>
        </w:rPr>
        <w:t>信息报告。</w:t>
      </w:r>
    </w:p>
    <w:p>
      <w:pPr>
        <w:pStyle w:val="BodyText"/>
        <w:ind w:left="16" w:right="329" w:firstLine="408"/>
        <w:spacing w:before="130" w:line="352"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）对特别重大、重大、较大突发事件</w:t>
      </w:r>
      <w:r>
        <w:rPr>
          <w:spacing w:val="15"/>
        </w:rPr>
        <w:t>或者事件本身比较敏感</w:t>
      </w:r>
      <w:r>
        <w:rPr>
          <w:spacing w:val="-44"/>
        </w:rPr>
        <w:t xml:space="preserve"> </w:t>
      </w:r>
      <w:r>
        <w:rPr>
          <w:spacing w:val="15"/>
        </w:rPr>
        <w:t>，可能演化为特别重</w:t>
      </w:r>
    </w:p>
    <w:p>
      <w:pPr>
        <w:spacing w:line="14" w:lineRule="auto"/>
        <w:rPr>
          <w:rFonts w:ascii="Arial"/>
          <w:sz w:val="2"/>
        </w:rPr>
      </w:pPr>
      <w:r>
        <w:rPr>
          <w:rFonts w:ascii="Arial" w:hAnsi="Arial" w:eastAsia="Arial" w:cs="Arial"/>
          <w:sz w:val="2"/>
          <w:szCs w:val="2"/>
        </w:rPr>
        <w:br w:type="column"/>
      </w:r>
    </w:p>
    <w:p>
      <w:pPr>
        <w:pStyle w:val="BodyText"/>
        <w:ind w:right="144" w:firstLine="5"/>
        <w:spacing w:before="48" w:line="369" w:lineRule="auto"/>
        <w:rPr/>
      </w:pPr>
      <w:r>
        <w:rPr>
          <w:spacing w:val="9"/>
        </w:rPr>
        <w:t>大、重大、较大的突发事件，事发地县（区）</w:t>
      </w:r>
      <w:r>
        <w:rPr>
          <w:spacing w:val="7"/>
        </w:rPr>
        <w:t>政府和各行业主管部门、责任单位及应急工作</w:t>
      </w:r>
      <w:r>
        <w:rPr>
          <w:spacing w:val="7"/>
        </w:rPr>
        <w:t>机构接到事件报告后，要严格按照有关法律法</w:t>
      </w:r>
      <w:r>
        <w:rPr>
          <w:spacing w:val="7"/>
        </w:rPr>
        <w:t>规和相关规定，及时向固原市粮食应急处置指</w:t>
      </w:r>
      <w:r>
        <w:rPr>
          <w:spacing w:val="8"/>
        </w:rPr>
        <w:t>挥部办公室和固原市委、市政府办值班室、市</w:t>
      </w:r>
      <w:r>
        <w:rPr>
          <w:spacing w:val="17"/>
        </w:rPr>
        <w:t>应急管理部门报告信息。信息报告内容主要</w:t>
      </w:r>
      <w:r>
        <w:rPr>
          <w:spacing w:val="6"/>
        </w:rPr>
        <w:t>包括：事件发生单位概况，事件发生的时间、</w:t>
      </w:r>
      <w:r>
        <w:rPr>
          <w:spacing w:val="7"/>
        </w:rPr>
        <w:t>地点、简要经过，可能造成的危害程度、影响</w:t>
      </w:r>
      <w:r>
        <w:rPr>
          <w:spacing w:val="7"/>
        </w:rPr>
        <w:t>范围、伤亡人数、直接经济损失，已采取的应</w:t>
      </w:r>
      <w:r>
        <w:rPr>
          <w:spacing w:val="7"/>
        </w:rPr>
        <w:t>急处置措施，目前事件处置进展情况，下一步</w:t>
      </w:r>
      <w:r>
        <w:rPr>
          <w:spacing w:val="7"/>
        </w:rPr>
        <w:t>拟采取的措施。</w:t>
      </w:r>
    </w:p>
    <w:p>
      <w:pPr>
        <w:pStyle w:val="BodyText"/>
        <w:ind w:left="2" w:right="116" w:firstLine="410"/>
        <w:spacing w:before="9" w:line="368" w:lineRule="auto"/>
        <w:jc w:val="both"/>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）按照《固原市政府办公室关于建立</w:t>
      </w:r>
      <w:r>
        <w:rPr>
          <w:spacing w:val="18"/>
        </w:rPr>
        <w:t>突发事件应急处置工作联络员报告制度的通</w:t>
      </w:r>
      <w:r>
        <w:rPr>
          <w:spacing w:val="2"/>
        </w:rPr>
        <w:t>知》（</w:t>
      </w:r>
      <w:r>
        <w:rPr>
          <w:spacing w:val="-47"/>
        </w:rPr>
        <w:t xml:space="preserve"> </w:t>
      </w:r>
      <w:r>
        <w:rPr>
          <w:spacing w:val="2"/>
        </w:rPr>
        <w:t>固政办发〔</w:t>
      </w:r>
      <w:r>
        <w:rPr>
          <w:rFonts w:ascii="Times New Roman" w:hAnsi="Times New Roman" w:eastAsia="Times New Roman" w:cs="Times New Roman"/>
          <w:spacing w:val="2"/>
        </w:rPr>
        <w:t>2016</w:t>
      </w:r>
      <w:r>
        <w:rPr>
          <w:spacing w:val="2"/>
        </w:rPr>
        <w:t>〕</w:t>
      </w:r>
      <w:r>
        <w:rPr>
          <w:rFonts w:ascii="Times New Roman" w:hAnsi="Times New Roman" w:eastAsia="Times New Roman" w:cs="Times New Roman"/>
          <w:spacing w:val="2"/>
        </w:rPr>
        <w:t>87 </w:t>
      </w:r>
      <w:r>
        <w:rPr>
          <w:spacing w:val="2"/>
        </w:rPr>
        <w:t>号）要</w:t>
      </w:r>
      <w:r>
        <w:rPr>
          <w:spacing w:val="1"/>
        </w:rPr>
        <w:t>求，事件发</w:t>
      </w:r>
      <w:r>
        <w:rPr>
          <w:spacing w:val="4"/>
        </w:rPr>
        <w:t>生后，县（</w:t>
      </w:r>
      <w:r>
        <w:rPr>
          <w:spacing w:val="-37"/>
        </w:rPr>
        <w:t xml:space="preserve"> </w:t>
      </w:r>
      <w:r>
        <w:rPr>
          <w:spacing w:val="4"/>
        </w:rPr>
        <w:t>区）政府和固原市粮食应急处置指</w:t>
      </w:r>
      <w:r>
        <w:rPr>
          <w:spacing w:val="18"/>
        </w:rPr>
        <w:t>挥部各成员单位在向固原市政府首报突发事</w:t>
      </w:r>
      <w:r>
        <w:rPr>
          <w:spacing w:val="7"/>
        </w:rPr>
        <w:t>件信息的同时，要按照上述规定的联络员范围</w:t>
      </w:r>
      <w:r>
        <w:rPr>
          <w:spacing w:val="1"/>
        </w:rPr>
        <w:t>报告联络员姓名、职务、联系方式、出发时间、</w:t>
      </w:r>
      <w:r>
        <w:rPr>
          <w:spacing w:val="7"/>
        </w:rPr>
        <w:t>到达现场时间或拟到达现场时间。如在应急处</w:t>
      </w:r>
      <w:r>
        <w:rPr>
          <w:spacing w:val="9"/>
        </w:rPr>
        <w:t>置过程中更换联络员，要及时报备。</w:t>
      </w:r>
    </w:p>
    <w:p>
      <w:pPr>
        <w:pStyle w:val="BodyText"/>
        <w:ind w:right="196" w:firstLine="420"/>
        <w:spacing w:before="7" w:line="367" w:lineRule="auto"/>
        <w:jc w:val="both"/>
        <w:rPr/>
      </w:pPr>
      <w:r>
        <w:rPr>
          <w:spacing w:val="4"/>
        </w:rPr>
        <w:t>应急处置联络员包括：事发地县（</w:t>
      </w:r>
      <w:r>
        <w:rPr>
          <w:spacing w:val="-47"/>
        </w:rPr>
        <w:t xml:space="preserve"> </w:t>
      </w:r>
      <w:r>
        <w:rPr>
          <w:spacing w:val="4"/>
        </w:rPr>
        <w:t>区）政</w:t>
      </w:r>
      <w:r>
        <w:rPr>
          <w:spacing w:val="7"/>
        </w:rPr>
        <w:t>府赶赴现场指挥先期处置工作的主要领导、分</w:t>
      </w:r>
      <w:r>
        <w:rPr>
          <w:spacing w:val="7"/>
        </w:rPr>
        <w:t>管领导和随同前往的县（区）政府办公室负责</w:t>
      </w:r>
      <w:r>
        <w:rPr>
          <w:spacing w:val="7"/>
        </w:rPr>
        <w:t>人或应急管理局负责人；固原市粮食应急处置</w:t>
      </w:r>
      <w:r>
        <w:rPr>
          <w:spacing w:val="18"/>
        </w:rPr>
        <w:t>指挥部各成员或成员单位负责人及指挥部办</w:t>
      </w:r>
      <w:r>
        <w:rPr>
          <w:spacing w:val="7"/>
        </w:rPr>
        <w:t>公室主任；赶赴现场的固原市有关部门、单位</w:t>
      </w:r>
      <w:r>
        <w:rPr>
          <w:spacing w:val="18"/>
        </w:rPr>
        <w:t>领导和应急工作机构负责人均为突发事件应</w:t>
      </w:r>
      <w:r>
        <w:rPr>
          <w:spacing w:val="7"/>
        </w:rPr>
        <w:t>急处置联络员。</w:t>
      </w:r>
    </w:p>
    <w:p>
      <w:pPr>
        <w:pStyle w:val="BodyText"/>
        <w:ind w:right="196" w:firstLine="420"/>
        <w:spacing w:before="3" w:line="318" w:lineRule="auto"/>
        <w:jc w:val="both"/>
        <w:rPr/>
      </w:pPr>
      <w:r>
        <w:rPr>
          <w:rFonts w:ascii="Times New Roman" w:hAnsi="Times New Roman" w:eastAsia="Times New Roman" w:cs="Times New Roman"/>
          <w:spacing w:val="8"/>
        </w:rPr>
        <w:t>4.2  </w:t>
      </w:r>
      <w:r>
        <w:rPr>
          <w:rFonts w:ascii="KaiTi" w:hAnsi="KaiTi" w:eastAsia="KaiTi" w:cs="KaiTi"/>
          <w:spacing w:val="8"/>
        </w:rPr>
        <w:t>先期处置。</w:t>
      </w:r>
      <w:r>
        <w:rPr>
          <w:spacing w:val="8"/>
        </w:rPr>
        <w:t>对特别重大、重大、较大</w:t>
      </w:r>
      <w:r>
        <w:rPr>
          <w:spacing w:val="7"/>
        </w:rPr>
        <w:t>突发事件或者事件本身比较敏感，可能演化为</w:t>
      </w:r>
      <w:r>
        <w:rPr>
          <w:spacing w:val="7"/>
        </w:rPr>
        <w:t>特别重大、重大、较大的突发事件，事发地政</w:t>
      </w:r>
      <w:r>
        <w:rPr>
          <w:spacing w:val="7"/>
        </w:rPr>
        <w:t>府和相关单位要第一时间赶到现场，按照相关</w:t>
      </w:r>
      <w:r>
        <w:rPr>
          <w:spacing w:val="9"/>
        </w:rPr>
        <w:t>应急预案，组织开展先期处置工作。</w:t>
      </w:r>
    </w:p>
    <w:p>
      <w:pPr>
        <w:spacing w:line="318" w:lineRule="auto"/>
        <w:sectPr>
          <w:type w:val="continuous"/>
          <w:pgSz w:w="11906" w:h="16839"/>
          <w:pgMar w:top="1766" w:right="1393" w:bottom="1572" w:left="1579" w:header="1428" w:footer="1172" w:gutter="0"/>
          <w:cols w:equalWidth="0" w:num="2">
            <w:col w:w="4489" w:space="100"/>
            <w:col w:w="4345" w:space="0"/>
          </w:cols>
        </w:sectPr>
        <w:rPr/>
      </w:pPr>
    </w:p>
    <w:p>
      <w:pPr>
        <w:spacing w:before="48"/>
        <w:rPr/>
      </w:pPr>
      <w:r>
        <w:drawing>
          <wp:anchor distT="0" distB="0" distL="0" distR="0" simplePos="0" relativeHeight="253751296"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060" name="IM 2060"/>
            <wp:cNvGraphicFramePr/>
            <a:graphic>
              <a:graphicData uri="http://schemas.openxmlformats.org/drawingml/2006/picture">
                <pic:pic>
                  <pic:nvPicPr>
                    <pic:cNvPr id="2060" name="IM 2060"/>
                    <pic:cNvPicPr/>
                  </pic:nvPicPr>
                  <pic:blipFill>
                    <a:blip r:embed="rId1032"/>
                    <a:stretch>
                      <a:fillRect/>
                    </a:stretch>
                  </pic:blipFill>
                  <pic:spPr>
                    <a:xfrm rot="0">
                      <a:off x="0" y="0"/>
                      <a:ext cx="5579745" cy="7620"/>
                    </a:xfrm>
                    <a:prstGeom prst="rect">
                      <a:avLst/>
                    </a:prstGeom>
                  </pic:spPr>
                </pic:pic>
              </a:graphicData>
            </a:graphic>
          </wp:anchor>
        </w:drawing>
      </w:r>
      <w:r/>
    </w:p>
    <w:p>
      <w:pPr>
        <w:sectPr>
          <w:headerReference w:type="default" r:id="rId1020"/>
          <w:footerReference w:type="default" r:id="rId1031"/>
          <w:pgSz w:w="11906" w:h="16839"/>
          <w:pgMar w:top="1772" w:right="1489" w:bottom="1572" w:left="1571" w:header="1428" w:footer="1172" w:gutter="0"/>
          <w:cols w:equalWidth="0" w:num="1">
            <w:col w:w="8846" w:space="0"/>
          </w:cols>
        </w:sectPr>
        <w:rPr/>
      </w:pPr>
    </w:p>
    <w:p>
      <w:pPr>
        <w:pStyle w:val="BodyText"/>
        <w:ind w:left="21" w:right="248" w:firstLine="420"/>
        <w:spacing w:before="45" w:line="350" w:lineRule="auto"/>
        <w:jc w:val="both"/>
        <w:rPr/>
      </w:pPr>
      <w:r>
        <w:rPr>
          <w:rFonts w:ascii="Times New Roman" w:hAnsi="Times New Roman" w:eastAsia="Times New Roman" w:cs="Times New Roman"/>
          <w:spacing w:val="8"/>
        </w:rPr>
        <w:t>4.3  </w:t>
      </w:r>
      <w:r>
        <w:rPr>
          <w:rFonts w:ascii="KaiTi" w:hAnsi="KaiTi" w:eastAsia="KaiTi" w:cs="KaiTi"/>
          <w:spacing w:val="8"/>
        </w:rPr>
        <w:t>响应启动。</w:t>
      </w:r>
      <w:r>
        <w:rPr>
          <w:spacing w:val="8"/>
        </w:rPr>
        <w:t>按照粮食突发事件的可控</w:t>
      </w:r>
      <w:r>
        <w:rPr/>
        <w:t>性、严重程度和影响范围，应急响应分为</w:t>
      </w:r>
      <w:r>
        <w:rPr>
          <w:rFonts w:ascii="Times New Roman" w:hAnsi="Times New Roman" w:eastAsia="Times New Roman" w:cs="Times New Roman"/>
        </w:rPr>
        <w:t>Ⅳ</w:t>
      </w:r>
      <w:r>
        <w:rPr/>
        <w:t>级、</w:t>
      </w:r>
      <w:r>
        <w:rPr>
          <w:spacing w:val="15"/>
        </w:rPr>
        <w:t xml:space="preserve"> </w:t>
      </w:r>
      <w:r>
        <w:rPr>
          <w:rFonts w:ascii="Times New Roman" w:hAnsi="Times New Roman" w:eastAsia="Times New Roman" w:cs="Times New Roman"/>
          <w:spacing w:val="7"/>
        </w:rPr>
        <w:t>Ⅲ</w:t>
      </w:r>
      <w:r>
        <w:rPr>
          <w:spacing w:val="7"/>
        </w:rPr>
        <w:t>级、</w:t>
      </w:r>
      <w:r>
        <w:rPr>
          <w:rFonts w:ascii="Times New Roman" w:hAnsi="Times New Roman" w:eastAsia="Times New Roman" w:cs="Times New Roman"/>
          <w:spacing w:val="7"/>
        </w:rPr>
        <w:t>Ⅱ</w:t>
      </w:r>
      <w:r>
        <w:rPr>
          <w:spacing w:val="7"/>
        </w:rPr>
        <w:t>级、</w:t>
      </w:r>
      <w:r>
        <w:rPr>
          <w:rFonts w:ascii="Times New Roman" w:hAnsi="Times New Roman" w:eastAsia="Times New Roman" w:cs="Times New Roman"/>
          <w:spacing w:val="7"/>
        </w:rPr>
        <w:t>Ⅰ</w:t>
      </w:r>
      <w:r>
        <w:rPr>
          <w:spacing w:val="7"/>
        </w:rPr>
        <w:t>级四级，依次分别对应一般、较</w:t>
      </w:r>
      <w:r>
        <w:rPr>
          <w:spacing w:val="9"/>
        </w:rPr>
        <w:t>大、重大、特别重大级别的突发事件。</w:t>
      </w:r>
    </w:p>
    <w:p>
      <w:pPr>
        <w:pStyle w:val="BodyText"/>
        <w:ind w:left="18" w:right="329" w:firstLine="422"/>
        <w:spacing w:before="6" w:line="351" w:lineRule="auto"/>
        <w:jc w:val="both"/>
        <w:rPr/>
      </w:pPr>
      <w:r>
        <w:rPr>
          <w:spacing w:val="7"/>
        </w:rPr>
        <w:t>应急响应启动后，可视事态发展及其情况</w:t>
      </w:r>
      <w:r>
        <w:rPr>
          <w:spacing w:val="7"/>
        </w:rPr>
        <w:t>变化对响应级别及时进行相应调整，避免响应</w:t>
      </w:r>
      <w:r>
        <w:rPr>
          <w:spacing w:val="7"/>
        </w:rPr>
        <w:t>不足或响应过度造成损失。事件有扩大趋势或</w:t>
      </w:r>
      <w:r>
        <w:rPr>
          <w:spacing w:val="7"/>
        </w:rPr>
        <w:t>已扩大，需启动高级别应急响应时，应及时报</w:t>
      </w:r>
      <w:r>
        <w:rPr>
          <w:spacing w:val="7"/>
        </w:rPr>
        <w:t>告上一级应急救援指挥机构。当启动市级应急</w:t>
      </w:r>
      <w:r>
        <w:rPr>
          <w:spacing w:val="7"/>
        </w:rPr>
        <w:t>预案达到最高级别时，申请启动自治区级应急</w:t>
      </w:r>
      <w:r>
        <w:rPr>
          <w:spacing w:val="7"/>
        </w:rPr>
        <w:t>预案，当启动县级应急预案达到最高级别时申</w:t>
      </w:r>
      <w:r>
        <w:rPr>
          <w:spacing w:val="8"/>
        </w:rPr>
        <w:t>请启动市级应急预案。</w:t>
      </w:r>
    </w:p>
    <w:p>
      <w:pPr>
        <w:pStyle w:val="BodyText"/>
        <w:ind w:left="20" w:right="327" w:firstLine="413"/>
        <w:spacing w:before="2" w:line="344" w:lineRule="auto"/>
        <w:rPr/>
      </w:pPr>
      <w:r>
        <w:rPr>
          <w:spacing w:val="4"/>
        </w:rPr>
        <w:t>（</w:t>
      </w:r>
      <w:r>
        <w:rPr>
          <w:spacing w:val="-39"/>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1"/>
        </w:rPr>
        <w:t xml:space="preserve"> </w:t>
      </w:r>
      <w:r>
        <w:rPr>
          <w:spacing w:val="4"/>
        </w:rPr>
        <w:t>）</w:t>
      </w:r>
      <w:r>
        <w:rPr>
          <w:rFonts w:ascii="Times New Roman" w:hAnsi="Times New Roman" w:eastAsia="Times New Roman" w:cs="Times New Roman"/>
          <w:spacing w:val="4"/>
        </w:rPr>
        <w:t>Ⅰ</w:t>
      </w:r>
      <w:r>
        <w:rPr>
          <w:spacing w:val="4"/>
        </w:rPr>
        <w:t>级响应。发生特别重大粮食突发事</w:t>
      </w:r>
      <w:r>
        <w:rPr>
          <w:spacing w:val="7"/>
        </w:rPr>
        <w:t>件时，固原市粮食应急处置指挥部办公室组织</w:t>
      </w:r>
      <w:r>
        <w:rPr>
          <w:spacing w:val="18"/>
        </w:rPr>
        <w:t>指挥部成员单位紧急会商或对事件影响及其</w:t>
      </w:r>
      <w:r>
        <w:rPr>
          <w:spacing w:val="7"/>
        </w:rPr>
        <w:t>发展趋势进行分析研判后，向市政府提出预案</w:t>
      </w:r>
      <w:r>
        <w:rPr>
          <w:spacing w:val="7"/>
        </w:rPr>
        <w:t>启动和响应级别建议。经批准，由市政府宣布</w:t>
      </w:r>
      <w:r>
        <w:rPr>
          <w:spacing w:val="11"/>
        </w:rPr>
        <w:t>启动</w:t>
      </w:r>
      <w:r>
        <w:rPr>
          <w:rFonts w:ascii="Times New Roman" w:hAnsi="Times New Roman" w:eastAsia="Times New Roman" w:cs="Times New Roman"/>
          <w:spacing w:val="11"/>
        </w:rPr>
        <w:t>Ⅰ</w:t>
      </w:r>
      <w:r>
        <w:rPr>
          <w:spacing w:val="11"/>
        </w:rPr>
        <w:t>级响应</w:t>
      </w:r>
      <w:r>
        <w:rPr>
          <w:spacing w:val="-38"/>
        </w:rPr>
        <w:t xml:space="preserve"> </w:t>
      </w:r>
      <w:r>
        <w:rPr>
          <w:spacing w:val="11"/>
        </w:rPr>
        <w:t>，并向各有关单位发布启动相关</w:t>
      </w:r>
      <w:r>
        <w:rPr>
          <w:spacing w:val="7"/>
        </w:rPr>
        <w:t>应急程序的命令。固原市政府统一领导和指挥</w:t>
      </w:r>
      <w:r>
        <w:rPr>
          <w:spacing w:val="7"/>
        </w:rPr>
        <w:t>固原市粮食应急指挥部和有关地区、部门、单</w:t>
      </w:r>
      <w:r>
        <w:rPr>
          <w:spacing w:val="7"/>
        </w:rPr>
        <w:t>位组织开展应急处置各项工作；视情况，固原</w:t>
      </w:r>
      <w:r>
        <w:rPr>
          <w:spacing w:val="18"/>
        </w:rPr>
        <w:t>市政府向自治区或有关厅局提出支援或委派</w:t>
      </w:r>
      <w:r>
        <w:rPr>
          <w:spacing w:val="9"/>
        </w:rPr>
        <w:t>工作组来固原指导应急处置工作。</w:t>
      </w:r>
    </w:p>
    <w:p>
      <w:pPr>
        <w:pStyle w:val="BodyText"/>
        <w:ind w:left="21" w:right="265" w:firstLine="411"/>
        <w:spacing w:before="141" w:line="342" w:lineRule="auto"/>
        <w:rPr/>
      </w:pPr>
      <w:r>
        <w:rPr>
          <w:spacing w:val="-3"/>
        </w:rPr>
        <w:t>（</w:t>
      </w:r>
      <w:r>
        <w:rPr>
          <w:rFonts w:ascii="Times New Roman" w:hAnsi="Times New Roman" w:eastAsia="Times New Roman" w:cs="Times New Roman"/>
          <w:spacing w:val="-3"/>
        </w:rPr>
        <w:t>2</w:t>
      </w:r>
      <w:r>
        <w:rPr>
          <w:rFonts w:ascii="Times New Roman" w:hAnsi="Times New Roman" w:eastAsia="Times New Roman" w:cs="Times New Roman"/>
          <w:spacing w:val="-21"/>
        </w:rPr>
        <w:t xml:space="preserve"> </w:t>
      </w:r>
      <w:r>
        <w:rPr>
          <w:spacing w:val="-3"/>
        </w:rPr>
        <w:t>）</w:t>
      </w:r>
      <w:r>
        <w:rPr>
          <w:rFonts w:ascii="Times New Roman" w:hAnsi="Times New Roman" w:eastAsia="Times New Roman" w:cs="Times New Roman"/>
          <w:spacing w:val="-3"/>
        </w:rPr>
        <w:t>Ⅱ</w:t>
      </w:r>
      <w:r>
        <w:rPr>
          <w:spacing w:val="-3"/>
        </w:rPr>
        <w:t>级响应。发生重大粮食突发事件时，</w:t>
      </w:r>
      <w:r>
        <w:rPr>
          <w:spacing w:val="18"/>
        </w:rPr>
        <w:t>市粮食应急处置指挥部办公室组织指挥部成</w:t>
      </w:r>
      <w:r>
        <w:rPr>
          <w:spacing w:val="18"/>
        </w:rPr>
        <w:t>员单位紧急会商或对事件影响及其发展趋势</w:t>
      </w:r>
      <w:r>
        <w:rPr>
          <w:spacing w:val="7"/>
        </w:rPr>
        <w:t>进行分析研判后，向市粮食应急处置指挥部提</w:t>
      </w:r>
      <w:r>
        <w:rPr>
          <w:spacing w:val="7"/>
        </w:rPr>
        <w:t>出预案启动和响应级别建议，由市粮食应急处</w:t>
      </w:r>
      <w:r>
        <w:rPr>
          <w:spacing w:val="10"/>
        </w:rPr>
        <w:t>置指挥部宣布启动</w:t>
      </w:r>
      <w:r>
        <w:rPr>
          <w:rFonts w:ascii="Times New Roman" w:hAnsi="Times New Roman" w:eastAsia="Times New Roman" w:cs="Times New Roman"/>
          <w:spacing w:val="10"/>
        </w:rPr>
        <w:t>Ⅱ</w:t>
      </w:r>
      <w:r>
        <w:rPr>
          <w:spacing w:val="10"/>
        </w:rPr>
        <w:t>级响应，并向各有关单位</w:t>
      </w:r>
      <w:r>
        <w:rPr>
          <w:spacing w:val="7"/>
        </w:rPr>
        <w:t>发布启动相关应急程序的命令。市粮食应急处</w:t>
      </w:r>
      <w:r>
        <w:rPr>
          <w:spacing w:val="7"/>
        </w:rPr>
        <w:t>置指挥部统一领导、指挥和协调事发地政府和</w:t>
      </w:r>
      <w:r>
        <w:rPr>
          <w:spacing w:val="9"/>
        </w:rPr>
        <w:t>有关部门按照职责分工开展应急处置工作。</w:t>
      </w:r>
    </w:p>
    <w:p>
      <w:pPr>
        <w:pStyle w:val="BodyText"/>
        <w:ind w:left="32" w:right="327" w:firstLine="400"/>
        <w:spacing w:before="142" w:line="290"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5"/>
        </w:rPr>
        <w:t xml:space="preserve"> </w:t>
      </w:r>
      <w:r>
        <w:rPr>
          <w:spacing w:val="11"/>
        </w:rPr>
        <w:t>）</w:t>
      </w:r>
      <w:r>
        <w:rPr>
          <w:rFonts w:ascii="Times New Roman" w:hAnsi="Times New Roman" w:eastAsia="Times New Roman" w:cs="Times New Roman"/>
          <w:spacing w:val="11"/>
        </w:rPr>
        <w:t>Ⅲ</w:t>
      </w:r>
      <w:r>
        <w:rPr>
          <w:spacing w:val="11"/>
        </w:rPr>
        <w:t>级响应。发生较大粮食突发事件</w:t>
      </w:r>
      <w:r>
        <w:rPr>
          <w:spacing w:val="6"/>
        </w:rPr>
        <w:t>时，事发地县级政府或其粮食突发事件应急指</w:t>
      </w:r>
    </w:p>
    <w:p>
      <w:pPr>
        <w:spacing w:line="14" w:lineRule="auto"/>
        <w:rPr>
          <w:rFonts w:ascii="Arial"/>
          <w:sz w:val="2"/>
        </w:rPr>
      </w:pPr>
      <w:r>
        <w:rPr>
          <w:rFonts w:ascii="Arial" w:hAnsi="Arial" w:eastAsia="Arial" w:cs="Arial"/>
          <w:sz w:val="2"/>
          <w:szCs w:val="2"/>
        </w:rPr>
        <w:br w:type="column"/>
      </w:r>
    </w:p>
    <w:p>
      <w:pPr>
        <w:pStyle w:val="BodyText"/>
        <w:ind w:right="94" w:firstLine="1"/>
        <w:spacing w:before="51" w:line="356" w:lineRule="auto"/>
        <w:jc w:val="both"/>
        <w:rPr/>
      </w:pPr>
      <w:r>
        <w:rPr>
          <w:spacing w:val="7"/>
        </w:rPr>
        <w:t>挥机构组织各成员单位和专家进行分析研判，</w:t>
      </w:r>
      <w:r>
        <w:rPr>
          <w:spacing w:val="7"/>
        </w:rPr>
        <w:t>对事件及其发展趋势进行综合评估后，由事发</w:t>
      </w:r>
      <w:r>
        <w:rPr>
          <w:spacing w:val="18"/>
        </w:rPr>
        <w:t>地县级政府或应急指挥机构决定启动</w:t>
      </w:r>
      <w:r>
        <w:rPr>
          <w:rFonts w:ascii="Times New Roman" w:hAnsi="Times New Roman" w:eastAsia="Times New Roman" w:cs="Times New Roman"/>
          <w:spacing w:val="18"/>
        </w:rPr>
        <w:t>Ⅲ</w:t>
      </w:r>
      <w:r>
        <w:rPr>
          <w:spacing w:val="18"/>
        </w:rPr>
        <w:t>级应</w:t>
      </w:r>
      <w:r>
        <w:rPr>
          <w:spacing w:val="7"/>
        </w:rPr>
        <w:t>急响应，并向各有关单位发布启动相关应急程</w:t>
      </w:r>
      <w:r>
        <w:rPr>
          <w:spacing w:val="7"/>
        </w:rPr>
        <w:t>序的命令。必要时，市粮食应急处置指挥部派</w:t>
      </w:r>
      <w:r>
        <w:rPr>
          <w:spacing w:val="7"/>
        </w:rPr>
        <w:t>出工作组赶赴事件现场，指导事发地政府开展</w:t>
      </w:r>
      <w:r>
        <w:rPr>
          <w:spacing w:val="8"/>
        </w:rPr>
        <w:t>相关应急处置工作。</w:t>
      </w:r>
    </w:p>
    <w:p>
      <w:pPr>
        <w:pStyle w:val="BodyText"/>
        <w:ind w:right="36" w:firstLine="413"/>
        <w:spacing w:before="3" w:line="354" w:lineRule="auto"/>
        <w:jc w:val="both"/>
        <w:rPr/>
      </w:pPr>
      <w:r>
        <w:rPr>
          <w:spacing w:val="10"/>
        </w:rPr>
        <w:t>（</w:t>
      </w:r>
      <w:r>
        <w:rPr>
          <w:rFonts w:ascii="Times New Roman" w:hAnsi="Times New Roman" w:eastAsia="Times New Roman" w:cs="Times New Roman"/>
          <w:spacing w:val="10"/>
        </w:rPr>
        <w:t>4</w:t>
      </w:r>
      <w:r>
        <w:rPr>
          <w:rFonts w:ascii="Times New Roman" w:hAnsi="Times New Roman" w:eastAsia="Times New Roman" w:cs="Times New Roman"/>
          <w:spacing w:val="-8"/>
        </w:rPr>
        <w:t xml:space="preserve"> </w:t>
      </w:r>
      <w:r>
        <w:rPr>
          <w:spacing w:val="10"/>
        </w:rPr>
        <w:t>）</w:t>
      </w:r>
      <w:r>
        <w:rPr>
          <w:rFonts w:ascii="Times New Roman" w:hAnsi="Times New Roman" w:eastAsia="Times New Roman" w:cs="Times New Roman"/>
          <w:spacing w:val="10"/>
        </w:rPr>
        <w:t>Ⅳ</w:t>
      </w:r>
      <w:r>
        <w:rPr>
          <w:spacing w:val="10"/>
        </w:rPr>
        <w:t>级响应。发生一般粮食突发事件</w:t>
      </w:r>
      <w:r>
        <w:rPr>
          <w:spacing w:val="4"/>
        </w:rPr>
        <w:t>时，事发地县（</w:t>
      </w:r>
      <w:r>
        <w:rPr>
          <w:spacing w:val="-34"/>
        </w:rPr>
        <w:t xml:space="preserve"> </w:t>
      </w:r>
      <w:r>
        <w:rPr>
          <w:spacing w:val="4"/>
        </w:rPr>
        <w:t>区）政府或粮食事件应急指挥</w:t>
      </w:r>
      <w:r>
        <w:rPr>
          <w:spacing w:val="7"/>
        </w:rPr>
        <w:t>机构组织各成员单位和专家进行分析研判，对</w:t>
      </w:r>
      <w:r>
        <w:rPr>
          <w:spacing w:val="7"/>
        </w:rPr>
        <w:t>事件影响及其发展趋势进行综合评估后，由各</w:t>
      </w:r>
      <w:r>
        <w:rPr>
          <w:spacing w:val="-3"/>
        </w:rPr>
        <w:t>县（</w:t>
      </w:r>
      <w:r>
        <w:rPr>
          <w:spacing w:val="-37"/>
        </w:rPr>
        <w:t xml:space="preserve"> </w:t>
      </w:r>
      <w:r>
        <w:rPr>
          <w:spacing w:val="-3"/>
        </w:rPr>
        <w:t>区）应急指挥机构决定启动</w:t>
      </w:r>
      <w:r>
        <w:rPr>
          <w:rFonts w:ascii="Times New Roman" w:hAnsi="Times New Roman" w:eastAsia="Times New Roman" w:cs="Times New Roman"/>
          <w:spacing w:val="-3"/>
        </w:rPr>
        <w:t>Ⅳ</w:t>
      </w:r>
      <w:r>
        <w:rPr>
          <w:spacing w:val="-3"/>
        </w:rPr>
        <w:t>级应急响应，</w:t>
      </w:r>
      <w:r>
        <w:rPr>
          <w:spacing w:val="18"/>
        </w:rPr>
        <w:t>并向各有关单位发布启动相关应急程序的命</w:t>
      </w:r>
      <w:r>
        <w:rPr>
          <w:spacing w:val="7"/>
        </w:rPr>
        <w:t>令。必要时，市粮食应急指挥机构派出工作组</w:t>
      </w:r>
      <w:r>
        <w:rPr>
          <w:spacing w:val="4"/>
        </w:rPr>
        <w:t>赶赴事件现场，指导各县（</w:t>
      </w:r>
      <w:r>
        <w:rPr>
          <w:spacing w:val="-34"/>
        </w:rPr>
        <w:t xml:space="preserve"> </w:t>
      </w:r>
      <w:r>
        <w:rPr>
          <w:spacing w:val="4"/>
        </w:rPr>
        <w:t>区）开展相关应急</w:t>
      </w:r>
      <w:r>
        <w:rPr>
          <w:spacing w:val="7"/>
        </w:rPr>
        <w:t>处置工作。</w:t>
      </w:r>
    </w:p>
    <w:p>
      <w:pPr>
        <w:ind w:left="420"/>
        <w:spacing w:before="18" w:line="264" w:lineRule="exact"/>
        <w:rPr>
          <w:rFonts w:ascii="KaiTi" w:hAnsi="KaiTi" w:eastAsia="KaiTi" w:cs="KaiTi"/>
          <w:sz w:val="20"/>
          <w:szCs w:val="20"/>
        </w:rPr>
      </w:pPr>
      <w:r>
        <w:rPr>
          <w:rFonts w:ascii="Times New Roman" w:hAnsi="Times New Roman" w:eastAsia="Times New Roman" w:cs="Times New Roman"/>
          <w:sz w:val="20"/>
          <w:szCs w:val="20"/>
          <w:spacing w:val="5"/>
          <w:position w:val="1"/>
        </w:rPr>
        <w:t>4.4  </w:t>
      </w:r>
      <w:r>
        <w:rPr>
          <w:rFonts w:ascii="KaiTi" w:hAnsi="KaiTi" w:eastAsia="KaiTi" w:cs="KaiTi"/>
          <w:sz w:val="20"/>
          <w:szCs w:val="20"/>
          <w:spacing w:val="5"/>
          <w:position w:val="1"/>
        </w:rPr>
        <w:t>响应措施。</w:t>
      </w:r>
    </w:p>
    <w:p>
      <w:pPr>
        <w:pStyle w:val="BodyText"/>
        <w:ind w:left="423" w:right="18" w:hanging="10"/>
        <w:spacing w:before="122" w:line="306" w:lineRule="auto"/>
        <w:rPr/>
      </w:pPr>
      <w:r>
        <w:rPr>
          <w:spacing w:val="-9"/>
        </w:rPr>
        <w:t>（</w:t>
      </w:r>
      <w:r>
        <w:rPr>
          <w:spacing w:val="-33"/>
        </w:rPr>
        <w:t xml:space="preserve"> </w:t>
      </w:r>
      <w:r>
        <w:rPr>
          <w:rFonts w:ascii="Times New Roman" w:hAnsi="Times New Roman" w:eastAsia="Times New Roman" w:cs="Times New Roman"/>
          <w:spacing w:val="-9"/>
        </w:rPr>
        <w:t>1</w:t>
      </w:r>
      <w:r>
        <w:rPr>
          <w:rFonts w:ascii="Times New Roman" w:hAnsi="Times New Roman" w:eastAsia="Times New Roman" w:cs="Times New Roman"/>
          <w:spacing w:val="-21"/>
        </w:rPr>
        <w:t xml:space="preserve"> </w:t>
      </w:r>
      <w:r>
        <w:rPr>
          <w:spacing w:val="-9"/>
        </w:rPr>
        <w:t>）市粮食应急处置指挥部紧急处置措施。</w:t>
      </w:r>
      <w:r>
        <w:rPr>
          <w:spacing w:val="8"/>
        </w:rPr>
        <w:t>重大、特别重大粮食应急事件：</w:t>
      </w:r>
    </w:p>
    <w:p>
      <w:pPr>
        <w:pStyle w:val="BodyText"/>
        <w:ind w:right="101" w:firstLine="421"/>
        <w:spacing w:before="110" w:line="334" w:lineRule="auto"/>
        <w:rPr/>
      </w:pPr>
      <w:r>
        <w:rPr>
          <w:rFonts w:ascii="KaiTi" w:hAnsi="KaiTi" w:eastAsia="KaiTi" w:cs="KaiTi"/>
          <w:spacing w:val="19"/>
        </w:rPr>
        <w:t>①</w:t>
      </w:r>
      <w:r>
        <w:rPr>
          <w:spacing w:val="19"/>
        </w:rPr>
        <w:t>市粮食应急处置指挥部总指挥迅速主</w:t>
      </w:r>
      <w:r>
        <w:rPr>
          <w:spacing w:val="7"/>
        </w:rPr>
        <w:t>持召开全市粮食应急工作会商会议，研究决定</w:t>
      </w:r>
      <w:r>
        <w:rPr>
          <w:spacing w:val="18"/>
        </w:rPr>
        <w:t>启动应急粮食供应方案和后续加工运输应急</w:t>
      </w:r>
      <w:r>
        <w:rPr>
          <w:spacing w:val="7"/>
        </w:rPr>
        <w:t>措施。报请市政府批准动用市级应急储备成品</w:t>
      </w:r>
      <w:r>
        <w:rPr>
          <w:spacing w:val="7"/>
        </w:rPr>
        <w:t>粮和市级储备原粮。当市级储备不足时，报请</w:t>
      </w:r>
      <w:r>
        <w:rPr>
          <w:spacing w:val="9"/>
        </w:rPr>
        <w:t>自治区政府动用区级粮食储备。</w:t>
      </w:r>
    </w:p>
    <w:p>
      <w:pPr>
        <w:pStyle w:val="BodyText"/>
        <w:ind w:right="101" w:firstLine="420"/>
        <w:spacing w:before="144" w:line="323" w:lineRule="auto"/>
        <w:rPr/>
      </w:pPr>
      <w:r>
        <w:rPr>
          <w:rFonts w:ascii="KaiTi" w:hAnsi="KaiTi" w:eastAsia="KaiTi" w:cs="KaiTi"/>
          <w:spacing w:val="19"/>
        </w:rPr>
        <w:t>②</w:t>
      </w:r>
      <w:r>
        <w:rPr>
          <w:spacing w:val="19"/>
        </w:rPr>
        <w:t>市粮食应急处置指挥部组织各成员单</w:t>
      </w:r>
      <w:r>
        <w:rPr>
          <w:spacing w:val="7"/>
        </w:rPr>
        <w:t>位调动一切资源和有效措施，应对粮食市场发</w:t>
      </w:r>
      <w:r>
        <w:rPr>
          <w:spacing w:val="7"/>
        </w:rPr>
        <w:t>生的异常波动，并及时向市政府报告市场波动</w:t>
      </w:r>
      <w:r>
        <w:rPr>
          <w:spacing w:val="4"/>
        </w:rPr>
        <w:t>情况。</w:t>
      </w:r>
    </w:p>
    <w:p>
      <w:pPr>
        <w:pStyle w:val="BodyText"/>
        <w:ind w:right="101" w:firstLine="420"/>
        <w:spacing w:before="146" w:line="331" w:lineRule="auto"/>
        <w:rPr/>
      </w:pPr>
      <w:r>
        <w:rPr>
          <w:rFonts w:ascii="KaiTi" w:hAnsi="KaiTi" w:eastAsia="KaiTi" w:cs="KaiTi"/>
          <w:spacing w:val="6"/>
        </w:rPr>
        <w:t>③</w:t>
      </w:r>
      <w:r>
        <w:rPr>
          <w:spacing w:val="6"/>
        </w:rPr>
        <w:t>实行价格干预。根据国家法律法规，决</w:t>
      </w:r>
      <w:r>
        <w:rPr>
          <w:spacing w:val="7"/>
        </w:rPr>
        <w:t>定由市物价部门会同粮食、财政等部门研究制</w:t>
      </w:r>
      <w:r>
        <w:rPr>
          <w:spacing w:val="7"/>
        </w:rPr>
        <w:t>订价格干预措施，包括确定实施价格干预措施</w:t>
      </w:r>
      <w:r>
        <w:rPr>
          <w:spacing w:val="8"/>
        </w:rPr>
        <w:t>的粮食品种和地域范围。</w:t>
      </w:r>
    </w:p>
    <w:p>
      <w:pPr>
        <w:pStyle w:val="BodyText"/>
        <w:ind w:left="421"/>
        <w:spacing w:before="107" w:line="210" w:lineRule="auto"/>
        <w:rPr/>
      </w:pPr>
      <w:r>
        <w:rPr>
          <w:rFonts w:ascii="KaiTi" w:hAnsi="KaiTi" w:eastAsia="KaiTi" w:cs="KaiTi"/>
          <w:spacing w:val="6"/>
        </w:rPr>
        <w:t>④</w:t>
      </w:r>
      <w:r>
        <w:rPr>
          <w:spacing w:val="6"/>
        </w:rPr>
        <w:t>实行居民粮食限量供应。根据事态发展</w:t>
      </w:r>
    </w:p>
    <w:p>
      <w:pPr>
        <w:spacing w:line="210" w:lineRule="auto"/>
        <w:sectPr>
          <w:type w:val="continuous"/>
          <w:pgSz w:w="11906" w:h="16839"/>
          <w:pgMar w:top="1772" w:right="1489" w:bottom="1572" w:left="1571" w:header="1428" w:footer="1172" w:gutter="0"/>
          <w:cols w:equalWidth="0" w:num="2">
            <w:col w:w="4498" w:space="100"/>
            <w:col w:w="4249" w:space="0"/>
          </w:cols>
        </w:sectPr>
        <w:rPr/>
      </w:pPr>
    </w:p>
    <w:p>
      <w:pPr>
        <w:spacing w:before="63"/>
        <w:rPr/>
      </w:pPr>
      <w:r>
        <w:drawing>
          <wp:anchor distT="0" distB="0" distL="0" distR="0" simplePos="0" relativeHeight="253765632"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2066" name="IM 2066"/>
            <wp:cNvGraphicFramePr/>
            <a:graphic>
              <a:graphicData uri="http://schemas.openxmlformats.org/drawingml/2006/picture">
                <pic:pic>
                  <pic:nvPicPr>
                    <pic:cNvPr id="2066" name="IM 2066"/>
                    <pic:cNvPicPr/>
                  </pic:nvPicPr>
                  <pic:blipFill>
                    <a:blip r:embed="rId1035"/>
                    <a:stretch>
                      <a:fillRect/>
                    </a:stretch>
                  </pic:blipFill>
                  <pic:spPr>
                    <a:xfrm rot="0">
                      <a:off x="0" y="0"/>
                      <a:ext cx="5579745" cy="7620"/>
                    </a:xfrm>
                    <a:prstGeom prst="rect">
                      <a:avLst/>
                    </a:prstGeom>
                  </pic:spPr>
                </pic:pic>
              </a:graphicData>
            </a:graphic>
          </wp:anchor>
        </w:drawing>
      </w:r>
      <w:r/>
    </w:p>
    <w:p>
      <w:pPr>
        <w:sectPr>
          <w:headerReference w:type="default" r:id="rId1033"/>
          <w:footerReference w:type="default" r:id="rId1034"/>
          <w:pgSz w:w="11906" w:h="16839"/>
          <w:pgMar w:top="1766" w:right="1530" w:bottom="1572" w:left="1579" w:header="1428" w:footer="1172" w:gutter="0"/>
          <w:cols w:equalWidth="0" w:num="1">
            <w:col w:w="8796" w:space="0"/>
          </w:cols>
        </w:sectPr>
        <w:rPr/>
      </w:pPr>
    </w:p>
    <w:p>
      <w:pPr>
        <w:pStyle w:val="BodyText"/>
        <w:ind w:left="11" w:right="305" w:firstLine="8"/>
        <w:spacing w:before="46" w:line="354" w:lineRule="auto"/>
        <w:jc w:val="both"/>
        <w:rPr/>
      </w:pPr>
      <w:r>
        <w:rPr>
          <w:spacing w:val="6"/>
        </w:rPr>
        <w:t>和粮源状况，由应急工作指挥部报请市政府确</w:t>
      </w:r>
      <w:r>
        <w:rPr>
          <w:spacing w:val="7"/>
        </w:rPr>
        <w:t>定居民限量供应的品种、标准和范围。优先保</w:t>
      </w:r>
      <w:r>
        <w:rPr>
          <w:spacing w:val="8"/>
        </w:rPr>
        <w:t>证城镇居民、大中专院校学生、大中型企业、</w:t>
      </w:r>
      <w:r>
        <w:rPr>
          <w:spacing w:val="7"/>
        </w:rPr>
        <w:t>科研院所的粮食供应。对城镇居民的粮食供应</w:t>
      </w:r>
      <w:r>
        <w:rPr>
          <w:spacing w:val="9"/>
        </w:rPr>
        <w:t>由市粮食储备局指定的供应网点限量供应。</w:t>
      </w:r>
    </w:p>
    <w:p>
      <w:pPr>
        <w:pStyle w:val="BodyText"/>
        <w:ind w:left="12" w:right="321" w:firstLine="420"/>
        <w:spacing w:before="1" w:line="351" w:lineRule="auto"/>
        <w:jc w:val="both"/>
        <w:rPr/>
      </w:pPr>
      <w:r>
        <w:rPr>
          <w:rFonts w:ascii="KaiTi" w:hAnsi="KaiTi" w:eastAsia="KaiTi" w:cs="KaiTi"/>
          <w:spacing w:val="7"/>
        </w:rPr>
        <w:t>⑤</w:t>
      </w:r>
      <w:r>
        <w:rPr>
          <w:spacing w:val="7"/>
        </w:rPr>
        <w:t>实行市场临时管制。报经市政府批准，</w:t>
      </w:r>
      <w:r>
        <w:rPr>
          <w:spacing w:val="18"/>
        </w:rPr>
        <w:t>由市粮食应急处置指挥部依法征用辖区粮食</w:t>
      </w:r>
      <w:r>
        <w:rPr>
          <w:spacing w:val="7"/>
        </w:rPr>
        <w:t>经营者储存的粮食、交通工具及相关措施，对</w:t>
      </w:r>
      <w:r>
        <w:rPr>
          <w:spacing w:val="18"/>
        </w:rPr>
        <w:t>粮食出库实行指令性计划调拨等临时性干预</w:t>
      </w:r>
      <w:r>
        <w:rPr>
          <w:spacing w:val="4"/>
        </w:rPr>
        <w:t>措施。</w:t>
      </w:r>
    </w:p>
    <w:p>
      <w:pPr>
        <w:pStyle w:val="BodyText"/>
        <w:ind w:left="434"/>
        <w:spacing w:line="276" w:lineRule="exact"/>
        <w:rPr/>
      </w:pPr>
      <w:r>
        <w:rPr>
          <w:spacing w:val="8"/>
          <w:position w:val="1"/>
        </w:rPr>
        <w:t>一般或较大粮食应急事件：</w:t>
      </w:r>
    </w:p>
    <w:p>
      <w:pPr>
        <w:pStyle w:val="BodyText"/>
        <w:ind w:left="12" w:right="251" w:firstLine="420"/>
        <w:spacing w:before="103" w:line="309" w:lineRule="auto"/>
        <w:rPr/>
      </w:pPr>
      <w:r>
        <w:rPr>
          <w:rFonts w:ascii="KaiTi" w:hAnsi="KaiTi" w:eastAsia="KaiTi" w:cs="KaiTi"/>
          <w:spacing w:val="11"/>
        </w:rPr>
        <w:t>①</w:t>
      </w:r>
      <w:r>
        <w:rPr>
          <w:spacing w:val="11"/>
        </w:rPr>
        <w:t>启动</w:t>
      </w:r>
      <w:r>
        <w:rPr>
          <w:spacing w:val="-35"/>
        </w:rPr>
        <w:t xml:space="preserve"> </w:t>
      </w:r>
      <w:r>
        <w:rPr>
          <w:rFonts w:ascii="Times New Roman" w:hAnsi="Times New Roman" w:eastAsia="Times New Roman" w:cs="Times New Roman"/>
          <w:spacing w:val="11"/>
        </w:rPr>
        <w:t>24 </w:t>
      </w:r>
      <w:r>
        <w:rPr>
          <w:spacing w:val="11"/>
        </w:rPr>
        <w:t>小时应急工作制度。各成员单</w:t>
      </w:r>
      <w:r>
        <w:rPr>
          <w:spacing w:val="7"/>
        </w:rPr>
        <w:t>位安排专人值班，密切关注事态变化，及时掌</w:t>
      </w:r>
      <w:r>
        <w:rPr>
          <w:spacing w:val="1"/>
        </w:rPr>
        <w:t>握市场动态，分析市场形势，并通报成员单位。</w:t>
      </w:r>
    </w:p>
    <w:p>
      <w:pPr>
        <w:pStyle w:val="BodyText"/>
        <w:ind w:left="15" w:right="245" w:firstLine="417"/>
        <w:spacing w:before="133" w:line="320" w:lineRule="auto"/>
        <w:rPr/>
      </w:pPr>
      <w:r>
        <w:rPr>
          <w:rFonts w:ascii="KaiTi" w:hAnsi="KaiTi" w:eastAsia="KaiTi" w:cs="KaiTi"/>
          <w:spacing w:val="19"/>
        </w:rPr>
        <w:t>②</w:t>
      </w:r>
      <w:r>
        <w:rPr>
          <w:spacing w:val="19"/>
        </w:rPr>
        <w:t>粮食应急处置指挥部总指挥及时组织</w:t>
      </w:r>
      <w:r>
        <w:rPr>
          <w:spacing w:val="7"/>
        </w:rPr>
        <w:t>召开会商分析会议，研究决定是否采取其他应</w:t>
      </w:r>
      <w:r>
        <w:rPr>
          <w:spacing w:val="7"/>
        </w:rPr>
        <w:t>急措施。指挥部各成员单位根据需要决定派出</w:t>
      </w:r>
      <w:r>
        <w:rPr>
          <w:spacing w:val="-8"/>
        </w:rPr>
        <w:t>指导小组深入现场进行指导，协调处理应急工作。</w:t>
      </w:r>
    </w:p>
    <w:p>
      <w:pPr>
        <w:pStyle w:val="BodyText"/>
        <w:ind w:left="13" w:right="328" w:firstLine="420"/>
        <w:spacing w:before="138" w:line="308" w:lineRule="auto"/>
        <w:rPr/>
      </w:pPr>
      <w:r>
        <w:rPr>
          <w:rFonts w:ascii="KaiTi" w:hAnsi="KaiTi" w:eastAsia="KaiTi" w:cs="KaiTi"/>
          <w:spacing w:val="6"/>
        </w:rPr>
        <w:t>③</w:t>
      </w:r>
      <w:r>
        <w:rPr>
          <w:spacing w:val="6"/>
        </w:rPr>
        <w:t>粮食应急办公室定时通报市场动态，密</w:t>
      </w:r>
      <w:r>
        <w:rPr>
          <w:spacing w:val="7"/>
        </w:rPr>
        <w:t>切关注市场变化，联络各成员单位，积极做好</w:t>
      </w:r>
      <w:r>
        <w:rPr>
          <w:spacing w:val="8"/>
        </w:rPr>
        <w:t>各项应急准备工作。</w:t>
      </w:r>
    </w:p>
    <w:p>
      <w:pPr>
        <w:pStyle w:val="BodyText"/>
        <w:ind w:left="10" w:right="326" w:firstLine="422"/>
        <w:spacing w:before="136" w:line="326" w:lineRule="auto"/>
        <w:rPr/>
      </w:pPr>
      <w:r>
        <w:rPr>
          <w:rFonts w:ascii="KaiTi" w:hAnsi="KaiTi" w:eastAsia="KaiTi" w:cs="KaiTi"/>
          <w:spacing w:val="6"/>
        </w:rPr>
        <w:t>④</w:t>
      </w:r>
      <w:r>
        <w:rPr>
          <w:spacing w:val="6"/>
        </w:rPr>
        <w:t>实行粮食市场供应情况双日报。市粮食</w:t>
      </w:r>
      <w:r>
        <w:rPr>
          <w:spacing w:val="7"/>
        </w:rPr>
        <w:t>储备局、物价局或市辖区县粮食应急机构在规</w:t>
      </w:r>
      <w:r>
        <w:rPr>
          <w:spacing w:val="7"/>
        </w:rPr>
        <w:t>定上报日</w:t>
      </w:r>
      <w:r>
        <w:rPr>
          <w:spacing w:val="-3"/>
        </w:rPr>
        <w:t xml:space="preserve"> </w:t>
      </w:r>
      <w:r>
        <w:rPr>
          <w:rFonts w:ascii="Times New Roman" w:hAnsi="Times New Roman" w:eastAsia="Times New Roman" w:cs="Times New Roman"/>
          <w:spacing w:val="7"/>
        </w:rPr>
        <w:t>16</w:t>
      </w:r>
      <w:r>
        <w:rPr>
          <w:rFonts w:ascii="Times New Roman" w:hAnsi="Times New Roman" w:eastAsia="Times New Roman" w:cs="Times New Roman"/>
          <w:spacing w:val="21"/>
        </w:rPr>
        <w:t xml:space="preserve"> </w:t>
      </w:r>
      <w:r>
        <w:rPr>
          <w:spacing w:val="7"/>
        </w:rPr>
        <w:t>时前</w:t>
      </w:r>
      <w:r>
        <w:rPr>
          <w:spacing w:val="-59"/>
        </w:rPr>
        <w:t xml:space="preserve"> </w:t>
      </w:r>
      <w:r>
        <w:rPr>
          <w:spacing w:val="7"/>
        </w:rPr>
        <w:t>，将粮食市场供应情况、价</w:t>
      </w:r>
      <w:r>
        <w:rPr>
          <w:spacing w:val="7"/>
        </w:rPr>
        <w:t>格变化情况、出现的问题及对策建议等报告应</w:t>
      </w:r>
      <w:r>
        <w:rPr>
          <w:spacing w:val="9"/>
        </w:rPr>
        <w:t>急办。如遇特殊情况，则随时上报。</w:t>
      </w:r>
    </w:p>
    <w:p>
      <w:pPr>
        <w:pStyle w:val="BodyText"/>
        <w:ind w:left="13" w:right="331" w:firstLine="411"/>
        <w:spacing w:before="133" w:line="288"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）市粮食应急处置指挥部办公室紧急</w:t>
      </w:r>
      <w:r>
        <w:rPr>
          <w:spacing w:val="6"/>
        </w:rPr>
        <w:t>处置措施。</w:t>
      </w:r>
    </w:p>
    <w:p>
      <w:pPr>
        <w:pStyle w:val="BodyText"/>
        <w:ind w:left="434"/>
        <w:spacing w:before="138" w:line="277" w:lineRule="exact"/>
        <w:rPr/>
      </w:pPr>
      <w:r>
        <w:rPr>
          <w:spacing w:val="8"/>
          <w:position w:val="1"/>
        </w:rPr>
        <w:t>重大、特别重大粮食应急事件：</w:t>
      </w:r>
    </w:p>
    <w:p>
      <w:pPr>
        <w:pStyle w:val="BodyText"/>
        <w:ind w:left="10" w:right="328" w:firstLine="422"/>
        <w:spacing w:before="101" w:line="319" w:lineRule="auto"/>
        <w:jc w:val="both"/>
        <w:rPr/>
      </w:pPr>
      <w:r>
        <w:rPr>
          <w:rFonts w:ascii="KaiTi" w:hAnsi="KaiTi" w:eastAsia="KaiTi" w:cs="KaiTi"/>
          <w:spacing w:val="6"/>
        </w:rPr>
        <w:t>①</w:t>
      </w:r>
      <w:r>
        <w:rPr>
          <w:spacing w:val="6"/>
        </w:rPr>
        <w:t>发生重大或特别重大突发事件后，市粮</w:t>
      </w:r>
      <w:r>
        <w:rPr>
          <w:spacing w:val="7"/>
        </w:rPr>
        <w:t>食应急处置指挥部办公室，按照市粮食应急处</w:t>
      </w:r>
      <w:r>
        <w:rPr>
          <w:spacing w:val="15"/>
        </w:rPr>
        <w:t>置指挥部的工作部署</w:t>
      </w:r>
      <w:r>
        <w:rPr>
          <w:spacing w:val="-39"/>
        </w:rPr>
        <w:t xml:space="preserve"> </w:t>
      </w:r>
      <w:r>
        <w:rPr>
          <w:spacing w:val="15"/>
        </w:rPr>
        <w:t>，立即进入应急处置状</w:t>
      </w:r>
      <w:r>
        <w:rPr>
          <w:spacing w:val="7"/>
        </w:rPr>
        <w:t>态，组织各成员单位抽调人员集中办公，开展</w:t>
      </w:r>
      <w:r>
        <w:rPr>
          <w:spacing w:val="7"/>
        </w:rPr>
        <w:t>会商或分析研判灾害发展趋势、灾害影响程度</w:t>
      </w:r>
    </w:p>
    <w:p>
      <w:pPr>
        <w:spacing w:line="14" w:lineRule="auto"/>
        <w:rPr>
          <w:rFonts w:ascii="Arial"/>
          <w:sz w:val="2"/>
        </w:rPr>
      </w:pPr>
      <w:r>
        <w:rPr>
          <w:rFonts w:ascii="Arial" w:hAnsi="Arial" w:eastAsia="Arial" w:cs="Arial"/>
          <w:sz w:val="2"/>
          <w:szCs w:val="2"/>
        </w:rPr>
        <w:br w:type="column"/>
      </w:r>
    </w:p>
    <w:p>
      <w:pPr>
        <w:pStyle w:val="BodyText"/>
        <w:ind w:left="6" w:right="16" w:firstLine="3"/>
        <w:spacing w:before="40" w:line="349" w:lineRule="auto"/>
        <w:jc w:val="both"/>
        <w:rPr/>
      </w:pPr>
      <w:r>
        <w:rPr>
          <w:spacing w:val="9"/>
        </w:rPr>
        <w:t>和范围，开展应急工作。及时向市委、市政府</w:t>
      </w:r>
      <w:r>
        <w:rPr/>
        <w:t xml:space="preserve"> </w:t>
      </w:r>
      <w:r>
        <w:rPr>
          <w:spacing w:val="7"/>
        </w:rPr>
        <w:t>、粮食应急处置指挥部报告情况，提出启动应</w:t>
      </w:r>
      <w:r>
        <w:rPr>
          <w:spacing w:val="8"/>
        </w:rPr>
        <w:t>急响应处置措施等工作建议；</w:t>
      </w:r>
    </w:p>
    <w:p>
      <w:pPr>
        <w:pStyle w:val="BodyText"/>
        <w:ind w:right="59" w:firstLine="421"/>
        <w:spacing w:before="1" w:line="349" w:lineRule="auto"/>
        <w:jc w:val="both"/>
        <w:rPr/>
      </w:pPr>
      <w:r>
        <w:rPr>
          <w:rFonts w:ascii="KaiTi" w:hAnsi="KaiTi" w:eastAsia="KaiTi" w:cs="KaiTi"/>
          <w:spacing w:val="6"/>
        </w:rPr>
        <w:t>②</w:t>
      </w:r>
      <w:r>
        <w:rPr>
          <w:spacing w:val="6"/>
        </w:rPr>
        <w:t>根据粮食应急处置指挥部的决定，协调</w:t>
      </w:r>
      <w:r>
        <w:rPr>
          <w:spacing w:val="15"/>
        </w:rPr>
        <w:t>组织各成员单位深入赶赴突发事件现场</w:t>
      </w:r>
      <w:r>
        <w:rPr>
          <w:spacing w:val="-39"/>
        </w:rPr>
        <w:t xml:space="preserve"> </w:t>
      </w:r>
      <w:r>
        <w:rPr>
          <w:spacing w:val="15"/>
        </w:rPr>
        <w:t>，排</w:t>
      </w:r>
      <w:r>
        <w:rPr>
          <w:spacing w:val="7"/>
        </w:rPr>
        <w:t>查、治理和监控突发事件风险隐患。执行粮食</w:t>
      </w:r>
      <w:r>
        <w:rPr>
          <w:spacing w:val="7"/>
        </w:rPr>
        <w:t>应急预案，落实事件处置工作中综合协调、信</w:t>
      </w:r>
      <w:r>
        <w:rPr>
          <w:spacing w:val="4"/>
        </w:rPr>
        <w:t>息报送和值守应急工作。指导县（</w:t>
      </w:r>
      <w:r>
        <w:rPr>
          <w:spacing w:val="-34"/>
        </w:rPr>
        <w:t xml:space="preserve"> </w:t>
      </w:r>
      <w:r>
        <w:rPr>
          <w:spacing w:val="4"/>
        </w:rPr>
        <w:t>区）粮食应</w:t>
      </w:r>
      <w:r>
        <w:rPr>
          <w:spacing w:val="9"/>
        </w:rPr>
        <w:t>急指挥机构做好突发事件应对工作。</w:t>
      </w:r>
    </w:p>
    <w:p>
      <w:pPr>
        <w:pStyle w:val="BodyText"/>
        <w:ind w:left="423"/>
        <w:spacing w:before="9" w:line="277" w:lineRule="exact"/>
        <w:rPr/>
      </w:pPr>
      <w:r>
        <w:rPr>
          <w:spacing w:val="8"/>
          <w:position w:val="1"/>
        </w:rPr>
        <w:t>一般或较大粮食应急事件：</w:t>
      </w:r>
    </w:p>
    <w:p>
      <w:pPr>
        <w:pStyle w:val="BodyText"/>
        <w:ind w:left="2" w:right="59" w:firstLine="420"/>
        <w:spacing w:before="104" w:line="320" w:lineRule="auto"/>
        <w:rPr/>
      </w:pPr>
      <w:r>
        <w:rPr>
          <w:rFonts w:ascii="KaiTi" w:hAnsi="KaiTi" w:eastAsia="KaiTi" w:cs="KaiTi"/>
          <w:spacing w:val="19"/>
        </w:rPr>
        <w:t>①</w:t>
      </w:r>
      <w:r>
        <w:rPr>
          <w:spacing w:val="19"/>
        </w:rPr>
        <w:t>粮食应急处置指挥部办公室接到粮食</w:t>
      </w:r>
      <w:r>
        <w:rPr>
          <w:spacing w:val="7"/>
        </w:rPr>
        <w:t>市场供应异常波动信息情况报告后，应当立即</w:t>
      </w:r>
      <w:r>
        <w:rPr>
          <w:spacing w:val="7"/>
        </w:rPr>
        <w:t>组织有关人员迅速掌握有关情况，提出采取应</w:t>
      </w:r>
      <w:r>
        <w:rPr>
          <w:spacing w:val="9"/>
        </w:rPr>
        <w:t>急措施的意见，及时向总指挥报告；</w:t>
      </w:r>
    </w:p>
    <w:p>
      <w:pPr>
        <w:pStyle w:val="BodyText"/>
        <w:ind w:left="2" w:right="52" w:firstLine="420"/>
        <w:spacing w:before="135" w:line="325" w:lineRule="auto"/>
        <w:rPr/>
      </w:pPr>
      <w:r>
        <w:rPr>
          <w:rFonts w:ascii="KaiTi" w:hAnsi="KaiTi" w:eastAsia="KaiTi" w:cs="KaiTi"/>
          <w:spacing w:val="9"/>
        </w:rPr>
        <w:t>②</w:t>
      </w:r>
      <w:r>
        <w:rPr>
          <w:spacing w:val="9"/>
        </w:rPr>
        <w:t>启动</w:t>
      </w:r>
      <w:r>
        <w:rPr>
          <w:spacing w:val="-38"/>
        </w:rPr>
        <w:t xml:space="preserve"> </w:t>
      </w:r>
      <w:r>
        <w:rPr>
          <w:rFonts w:ascii="Times New Roman" w:hAnsi="Times New Roman" w:eastAsia="Times New Roman" w:cs="Times New Roman"/>
          <w:spacing w:val="9"/>
        </w:rPr>
        <w:t>24 </w:t>
      </w:r>
      <w:r>
        <w:rPr>
          <w:spacing w:val="9"/>
        </w:rPr>
        <w:t>小时应急工作制度</w:t>
      </w:r>
      <w:r>
        <w:rPr>
          <w:spacing w:val="-59"/>
        </w:rPr>
        <w:t xml:space="preserve"> </w:t>
      </w:r>
      <w:r>
        <w:rPr>
          <w:spacing w:val="9"/>
        </w:rPr>
        <w:t>，粮食应急</w:t>
      </w:r>
      <w:r>
        <w:rPr>
          <w:spacing w:val="7"/>
        </w:rPr>
        <w:t>办和各成员单位安排专人值班，及时派员深入</w:t>
      </w:r>
      <w:r>
        <w:rPr>
          <w:spacing w:val="7"/>
        </w:rPr>
        <w:t>粮食市场调查，密切关注事态变化，及时掌握</w:t>
      </w:r>
      <w:r>
        <w:rPr>
          <w:spacing w:val="7"/>
        </w:rPr>
        <w:t>市场动态，分析市场形势，并通报成员单位，</w:t>
      </w:r>
      <w:r>
        <w:rPr>
          <w:spacing w:val="8"/>
        </w:rPr>
        <w:t>积极做好各项应急准备工作。</w:t>
      </w:r>
    </w:p>
    <w:p>
      <w:pPr>
        <w:pStyle w:val="BodyText"/>
        <w:ind w:right="30" w:firstLine="421"/>
        <w:spacing w:before="138" w:line="320" w:lineRule="auto"/>
        <w:rPr/>
      </w:pPr>
      <w:r>
        <w:rPr>
          <w:rFonts w:ascii="KaiTi" w:hAnsi="KaiTi" w:eastAsia="KaiTi" w:cs="KaiTi"/>
          <w:spacing w:val="4"/>
        </w:rPr>
        <w:t>③</w:t>
      </w:r>
      <w:r>
        <w:rPr>
          <w:spacing w:val="4"/>
        </w:rPr>
        <w:t>当接到县（</w:t>
      </w:r>
      <w:r>
        <w:rPr>
          <w:spacing w:val="-48"/>
        </w:rPr>
        <w:t xml:space="preserve"> </w:t>
      </w:r>
      <w:r>
        <w:rPr>
          <w:spacing w:val="4"/>
        </w:rPr>
        <w:t>区）的紧急报告和救援，应</w:t>
      </w:r>
      <w:r>
        <w:rPr>
          <w:spacing w:val="8"/>
        </w:rPr>
        <w:t>立即作出准确的判断，并迅速部署应急行动；</w:t>
      </w:r>
      <w:r>
        <w:rPr>
          <w:spacing w:val="4"/>
        </w:rPr>
        <w:t>及时向市直有关部门和有关县（</w:t>
      </w:r>
      <w:r>
        <w:rPr>
          <w:spacing w:val="-34"/>
        </w:rPr>
        <w:t xml:space="preserve"> </w:t>
      </w:r>
      <w:r>
        <w:rPr>
          <w:spacing w:val="4"/>
        </w:rPr>
        <w:t>区）政府通报</w:t>
      </w:r>
      <w:r>
        <w:rPr>
          <w:spacing w:val="-2"/>
        </w:rPr>
        <w:t>情况；引导新闻媒体做好正面宣传和典型报道。</w:t>
      </w:r>
    </w:p>
    <w:p>
      <w:pPr>
        <w:pStyle w:val="BodyText"/>
        <w:ind w:left="421" w:right="59" w:hanging="8"/>
        <w:spacing w:before="132" w:line="288" w:lineRule="auto"/>
        <w:rPr/>
      </w:pPr>
      <w:r>
        <w:rPr>
          <w:spacing w:val="8"/>
        </w:rPr>
        <w:t>（</w:t>
      </w:r>
      <w:r>
        <w:rPr>
          <w:rFonts w:ascii="Times New Roman" w:hAnsi="Times New Roman" w:eastAsia="Times New Roman" w:cs="Times New Roman"/>
          <w:spacing w:val="8"/>
        </w:rPr>
        <w:t>3</w:t>
      </w:r>
      <w:r>
        <w:rPr>
          <w:rFonts w:ascii="Times New Roman" w:hAnsi="Times New Roman" w:eastAsia="Times New Roman" w:cs="Times New Roman"/>
          <w:spacing w:val="-19"/>
        </w:rPr>
        <w:t xml:space="preserve"> </w:t>
      </w:r>
      <w:r>
        <w:rPr>
          <w:spacing w:val="8"/>
        </w:rPr>
        <w:t>）各成员单位或工作组紧急处置措施</w:t>
      </w:r>
      <w:r>
        <w:rPr>
          <w:spacing w:val="6"/>
        </w:rPr>
        <w:t>协助事发地政府进行会商分析会议，研究</w:t>
      </w:r>
    </w:p>
    <w:p>
      <w:pPr>
        <w:pStyle w:val="BodyText"/>
        <w:ind w:left="2" w:right="59" w:hanging="1"/>
        <w:spacing w:before="143" w:line="350" w:lineRule="auto"/>
        <w:jc w:val="both"/>
        <w:rPr/>
      </w:pPr>
      <w:r>
        <w:rPr>
          <w:spacing w:val="7"/>
        </w:rPr>
        <w:t>应急措施、深入现场调查，按照各自职责分工</w:t>
      </w:r>
      <w:r>
        <w:rPr>
          <w:spacing w:val="7"/>
        </w:rPr>
        <w:t>开展应急处置，组织实施粮源调度、供应、加</w:t>
      </w:r>
      <w:r>
        <w:rPr>
          <w:spacing w:val="8"/>
        </w:rPr>
        <w:t>工、运输和市场监管等相应措施。</w:t>
      </w:r>
    </w:p>
    <w:p>
      <w:pPr>
        <w:pStyle w:val="BodyText"/>
        <w:ind w:right="52" w:firstLine="421"/>
        <w:spacing w:line="328" w:lineRule="auto"/>
        <w:jc w:val="both"/>
        <w:rPr/>
      </w:pPr>
      <w:r>
        <w:rPr>
          <w:rFonts w:ascii="Times New Roman" w:hAnsi="Times New Roman" w:eastAsia="Times New Roman" w:cs="Times New Roman"/>
          <w:spacing w:val="8"/>
        </w:rPr>
        <w:t>4.5  </w:t>
      </w:r>
      <w:r>
        <w:rPr>
          <w:rFonts w:ascii="KaiTi" w:hAnsi="KaiTi" w:eastAsia="KaiTi" w:cs="KaiTi"/>
          <w:spacing w:val="8"/>
        </w:rPr>
        <w:t>现场处置。</w:t>
      </w:r>
      <w:r>
        <w:rPr>
          <w:spacing w:val="8"/>
        </w:rPr>
        <w:t>由事发地政府设立粮食事</w:t>
      </w:r>
      <w:r>
        <w:rPr>
          <w:spacing w:val="7"/>
        </w:rPr>
        <w:t>件应急处置现场指挥部，具体负责指挥现场的</w:t>
      </w:r>
      <w:r>
        <w:rPr>
          <w:spacing w:val="7"/>
        </w:rPr>
        <w:t>应急处置工作。各有关单位按照职责参与处置</w:t>
      </w:r>
      <w:r>
        <w:rPr>
          <w:spacing w:val="7"/>
        </w:rPr>
        <w:t>工作，接收与分配援助物资等。必要时，市粮</w:t>
      </w:r>
      <w:r>
        <w:rPr>
          <w:spacing w:val="7"/>
        </w:rPr>
        <w:t>食应急处置指挥部派出工作组赶赴事件现场，</w:t>
      </w:r>
      <w:r>
        <w:rPr>
          <w:spacing w:val="8"/>
        </w:rPr>
        <w:t>指导应急处置工作。</w:t>
      </w:r>
    </w:p>
    <w:p>
      <w:pPr>
        <w:spacing w:line="328" w:lineRule="auto"/>
        <w:sectPr>
          <w:type w:val="continuous"/>
          <w:pgSz w:w="11906" w:h="16839"/>
          <w:pgMar w:top="1766" w:right="1530" w:bottom="1572" w:left="1579" w:header="1428" w:footer="1172" w:gutter="0"/>
          <w:cols w:equalWidth="0" w:num="2">
            <w:col w:w="4488" w:space="100"/>
            <w:col w:w="4208" w:space="0"/>
          </w:cols>
        </w:sectPr>
        <w:rPr/>
      </w:pPr>
    </w:p>
    <w:p>
      <w:pPr>
        <w:spacing w:before="48"/>
        <w:rPr/>
      </w:pPr>
      <w:r>
        <w:drawing>
          <wp:anchor distT="0" distB="0" distL="0" distR="0" simplePos="0" relativeHeight="253779968"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072" name="IM 2072"/>
            <wp:cNvGraphicFramePr/>
            <a:graphic>
              <a:graphicData uri="http://schemas.openxmlformats.org/drawingml/2006/picture">
                <pic:pic>
                  <pic:nvPicPr>
                    <pic:cNvPr id="2072" name="IM 2072"/>
                    <pic:cNvPicPr/>
                  </pic:nvPicPr>
                  <pic:blipFill>
                    <a:blip r:embed="rId1038"/>
                    <a:stretch>
                      <a:fillRect/>
                    </a:stretch>
                  </pic:blipFill>
                  <pic:spPr>
                    <a:xfrm rot="0">
                      <a:off x="0" y="0"/>
                      <a:ext cx="5579745" cy="7620"/>
                    </a:xfrm>
                    <a:prstGeom prst="rect">
                      <a:avLst/>
                    </a:prstGeom>
                  </pic:spPr>
                </pic:pic>
              </a:graphicData>
            </a:graphic>
          </wp:anchor>
        </w:drawing>
      </w:r>
      <w:r/>
    </w:p>
    <w:p>
      <w:pPr>
        <w:sectPr>
          <w:headerReference w:type="default" r:id="rId1036"/>
          <w:footerReference w:type="default" r:id="rId1037"/>
          <w:pgSz w:w="11906" w:h="16839"/>
          <w:pgMar w:top="1772" w:right="1480" w:bottom="1572" w:left="1571" w:header="1428" w:footer="1172" w:gutter="0"/>
          <w:cols w:equalWidth="0" w:num="1">
            <w:col w:w="8855" w:space="0"/>
          </w:cols>
        </w:sectPr>
        <w:rPr/>
      </w:pPr>
    </w:p>
    <w:p>
      <w:pPr>
        <w:ind w:left="441"/>
        <w:spacing w:before="45" w:line="241" w:lineRule="auto"/>
        <w:rPr>
          <w:rFonts w:ascii="KaiTi" w:hAnsi="KaiTi" w:eastAsia="KaiTi" w:cs="KaiTi"/>
          <w:sz w:val="20"/>
          <w:szCs w:val="20"/>
        </w:rPr>
      </w:pPr>
      <w:r>
        <w:rPr>
          <w:rFonts w:ascii="Times New Roman" w:hAnsi="Times New Roman" w:eastAsia="Times New Roman" w:cs="Times New Roman"/>
          <w:sz w:val="20"/>
          <w:szCs w:val="20"/>
          <w:spacing w:val="6"/>
        </w:rPr>
        <w:t>4.6  </w:t>
      </w:r>
      <w:r>
        <w:rPr>
          <w:rFonts w:ascii="KaiTi" w:hAnsi="KaiTi" w:eastAsia="KaiTi" w:cs="KaiTi"/>
          <w:sz w:val="20"/>
          <w:szCs w:val="20"/>
          <w:spacing w:val="6"/>
        </w:rPr>
        <w:t>信息发布与舆情引导。</w:t>
      </w:r>
    </w:p>
    <w:p>
      <w:pPr>
        <w:pStyle w:val="BodyText"/>
        <w:ind w:left="19" w:right="327" w:firstLine="413"/>
        <w:spacing w:before="119" w:line="349" w:lineRule="auto"/>
        <w:jc w:val="both"/>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）按照分级响应原则</w:t>
      </w:r>
      <w:r>
        <w:rPr>
          <w:spacing w:val="-59"/>
        </w:rPr>
        <w:t xml:space="preserve"> </w:t>
      </w:r>
      <w:r>
        <w:rPr>
          <w:spacing w:val="5"/>
        </w:rPr>
        <w:t>，突发事件信息</w:t>
      </w:r>
      <w:r>
        <w:rPr>
          <w:spacing w:val="18"/>
        </w:rPr>
        <w:t>发布工作由各级政府新闻发言人或现场指挥</w:t>
      </w:r>
      <w:r>
        <w:rPr>
          <w:spacing w:val="7"/>
        </w:rPr>
        <w:t>指定的新闻发言人负责发布。重大以上粮食突</w:t>
      </w:r>
      <w:r>
        <w:rPr>
          <w:spacing w:val="7"/>
        </w:rPr>
        <w:t>发事件一般以市政府名义发布，较大、一般粮</w:t>
      </w:r>
      <w:r>
        <w:rPr>
          <w:spacing w:val="4"/>
        </w:rPr>
        <w:t>食突发事件以县（</w:t>
      </w:r>
      <w:r>
        <w:rPr>
          <w:spacing w:val="-33"/>
        </w:rPr>
        <w:t xml:space="preserve"> </w:t>
      </w:r>
      <w:r>
        <w:rPr>
          <w:spacing w:val="4"/>
        </w:rPr>
        <w:t>区）政府名义发布。信息发</w:t>
      </w:r>
      <w:r>
        <w:rPr>
          <w:spacing w:val="9"/>
        </w:rPr>
        <w:t>布要统一、及时、准确、客观。</w:t>
      </w:r>
    </w:p>
    <w:p>
      <w:pPr>
        <w:pStyle w:val="BodyText"/>
        <w:ind w:left="21" w:right="327" w:firstLine="422"/>
        <w:spacing w:before="14" w:line="349" w:lineRule="auto"/>
        <w:rPr/>
      </w:pPr>
      <w:r>
        <w:rPr>
          <w:spacing w:val="6"/>
        </w:rPr>
        <w:t>宣传、网信、公安等部门要密切关注舆情</w:t>
      </w:r>
      <w:r>
        <w:rPr>
          <w:spacing w:val="9"/>
        </w:rPr>
        <w:t>信息，及时做好舆情管控、引导工作。</w:t>
      </w:r>
    </w:p>
    <w:p>
      <w:pPr>
        <w:pStyle w:val="BodyText"/>
        <w:ind w:left="21" w:right="327" w:firstLine="412"/>
        <w:spacing w:before="2" w:line="326"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）信息发布主要内容包括：粮食事件</w:t>
      </w:r>
      <w:r>
        <w:rPr>
          <w:spacing w:val="18"/>
        </w:rPr>
        <w:t>的种类及其次生、衍生灾害的监测和预警情</w:t>
      </w:r>
      <w:r>
        <w:rPr>
          <w:spacing w:val="7"/>
        </w:rPr>
        <w:t>况；事件发生时间、地点和财产损失情况、救</w:t>
      </w:r>
      <w:r>
        <w:rPr>
          <w:spacing w:val="7"/>
        </w:rPr>
        <w:t>援进展情况、事件区域交通管制情况以及临时</w:t>
      </w:r>
      <w:r>
        <w:rPr>
          <w:spacing w:val="9"/>
        </w:rPr>
        <w:t>交通措施；事件责任单位基本情况等。</w:t>
      </w:r>
    </w:p>
    <w:p>
      <w:pPr>
        <w:pStyle w:val="BodyText"/>
        <w:ind w:left="20" w:right="247" w:firstLine="413"/>
        <w:spacing w:before="132" w:line="309" w:lineRule="auto"/>
        <w:rPr/>
      </w:pPr>
      <w:r>
        <w:rPr>
          <w:spacing w:val="4"/>
        </w:rPr>
        <w:t>（</w:t>
      </w:r>
      <w:r>
        <w:rPr>
          <w:rFonts w:ascii="Times New Roman" w:hAnsi="Times New Roman" w:eastAsia="Times New Roman" w:cs="Times New Roman"/>
          <w:spacing w:val="4"/>
        </w:rPr>
        <w:t>3</w:t>
      </w:r>
      <w:r>
        <w:rPr>
          <w:rFonts w:ascii="Times New Roman" w:hAnsi="Times New Roman" w:eastAsia="Times New Roman" w:cs="Times New Roman"/>
          <w:spacing w:val="-13"/>
        </w:rPr>
        <w:t xml:space="preserve"> </w:t>
      </w:r>
      <w:r>
        <w:rPr>
          <w:spacing w:val="4"/>
        </w:rPr>
        <w:t>）信息发布形式主要包括：权威发布、</w:t>
      </w:r>
      <w:r>
        <w:rPr>
          <w:spacing w:val="7"/>
        </w:rPr>
        <w:t>提供新闻稿、组织报道、接受记者采访、举行</w:t>
      </w:r>
      <w:r>
        <w:rPr>
          <w:spacing w:val="7"/>
        </w:rPr>
        <w:t>新闻发布会等。</w:t>
      </w:r>
    </w:p>
    <w:p>
      <w:pPr>
        <w:ind w:left="441"/>
        <w:spacing w:before="136" w:line="265" w:lineRule="exact"/>
        <w:rPr>
          <w:rFonts w:ascii="KaiTi" w:hAnsi="KaiTi" w:eastAsia="KaiTi" w:cs="KaiTi"/>
          <w:sz w:val="20"/>
          <w:szCs w:val="20"/>
        </w:rPr>
      </w:pPr>
      <w:r>
        <w:rPr>
          <w:rFonts w:ascii="Times New Roman" w:hAnsi="Times New Roman" w:eastAsia="Times New Roman" w:cs="Times New Roman"/>
          <w:sz w:val="20"/>
          <w:szCs w:val="20"/>
          <w:spacing w:val="5"/>
          <w:position w:val="1"/>
        </w:rPr>
        <w:t>4.7  </w:t>
      </w:r>
      <w:r>
        <w:rPr>
          <w:rFonts w:ascii="KaiTi" w:hAnsi="KaiTi" w:eastAsia="KaiTi" w:cs="KaiTi"/>
          <w:sz w:val="20"/>
          <w:szCs w:val="20"/>
          <w:spacing w:val="5"/>
          <w:position w:val="1"/>
        </w:rPr>
        <w:t>社会动员。</w:t>
      </w:r>
    </w:p>
    <w:p>
      <w:pPr>
        <w:pStyle w:val="BodyText"/>
        <w:ind w:left="22" w:right="307" w:firstLine="410"/>
        <w:spacing w:before="115" w:line="319"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）事发地各级政府或市粮食应急处置</w:t>
      </w:r>
      <w:r>
        <w:rPr>
          <w:spacing w:val="18"/>
        </w:rPr>
        <w:t>指挥部根据粮食事件的性质、危害程度和范</w:t>
      </w:r>
      <w:r>
        <w:rPr>
          <w:spacing w:val="7"/>
        </w:rPr>
        <w:t>围，广泛调动社会力量参与事件处置，紧急情</w:t>
      </w:r>
      <w:r>
        <w:rPr>
          <w:spacing w:val="8"/>
        </w:rPr>
        <w:t>况下可依法征用、调用车辆、物资、人员等。</w:t>
      </w:r>
    </w:p>
    <w:p>
      <w:pPr>
        <w:pStyle w:val="BodyText"/>
        <w:ind w:left="21" w:right="327" w:firstLine="411"/>
        <w:spacing w:before="136" w:line="326"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5"/>
        </w:rPr>
        <w:t xml:space="preserve"> </w:t>
      </w:r>
      <w:r>
        <w:rPr>
          <w:spacing w:val="8"/>
        </w:rPr>
        <w:t>）粮食突发事件发生后</w:t>
      </w:r>
      <w:r>
        <w:rPr>
          <w:spacing w:val="-59"/>
        </w:rPr>
        <w:t xml:space="preserve"> </w:t>
      </w:r>
      <w:r>
        <w:rPr>
          <w:spacing w:val="8"/>
        </w:rPr>
        <w:t>，事发地各级</w:t>
      </w:r>
      <w:r>
        <w:rPr>
          <w:spacing w:val="18"/>
        </w:rPr>
        <w:t>政府或相应应急指挥机构组织各方面力量开</w:t>
      </w:r>
      <w:r>
        <w:rPr>
          <w:spacing w:val="7"/>
        </w:rPr>
        <w:t>展应急处置工作，组织基层单位和人员开展自</w:t>
      </w:r>
      <w:r>
        <w:rPr>
          <w:spacing w:val="4"/>
        </w:rPr>
        <w:t>救、互救；邻近的县（</w:t>
      </w:r>
      <w:r>
        <w:rPr>
          <w:spacing w:val="-36"/>
        </w:rPr>
        <w:t xml:space="preserve"> </w:t>
      </w:r>
      <w:r>
        <w:rPr>
          <w:spacing w:val="4"/>
        </w:rPr>
        <w:t>区）政府根据灾情组织</w:t>
      </w:r>
      <w:r>
        <w:rPr>
          <w:spacing w:val="9"/>
        </w:rPr>
        <w:t>和动员社会力量，对事发地提供援助。</w:t>
      </w:r>
    </w:p>
    <w:p>
      <w:pPr>
        <w:pStyle w:val="BodyText"/>
        <w:ind w:left="21" w:right="307" w:firstLine="412"/>
        <w:spacing w:before="136" w:line="319" w:lineRule="auto"/>
        <w:rPr/>
      </w:pPr>
      <w:r>
        <w:rPr/>
        <w:t>（</w:t>
      </w:r>
      <w:r>
        <w:rPr>
          <w:rFonts w:ascii="Times New Roman" w:hAnsi="Times New Roman" w:eastAsia="Times New Roman" w:cs="Times New Roman"/>
        </w:rPr>
        <w:t>3</w:t>
      </w:r>
      <w:r>
        <w:rPr>
          <w:rFonts w:ascii="Times New Roman" w:hAnsi="Times New Roman" w:eastAsia="Times New Roman" w:cs="Times New Roman"/>
          <w:spacing w:val="-17"/>
        </w:rPr>
        <w:t xml:space="preserve"> </w:t>
      </w:r>
      <w:r>
        <w:rPr/>
        <w:t>）鼓励公民、法人和其他组织按照《中</w:t>
      </w:r>
      <w:r>
        <w:rPr>
          <w:spacing w:val="7"/>
        </w:rPr>
        <w:t>华人民共和国公益事业捐赠法》等有关法律法</w:t>
      </w:r>
      <w:r>
        <w:rPr>
          <w:spacing w:val="7"/>
        </w:rPr>
        <w:t>规的规定进行捐赠和援助。审计、监察部门对</w:t>
      </w:r>
      <w:r>
        <w:rPr>
          <w:spacing w:val="8"/>
        </w:rPr>
        <w:t>捐赠资金与物资的使用情况进行审计和监督。</w:t>
      </w:r>
    </w:p>
    <w:p>
      <w:pPr>
        <w:pStyle w:val="BodyText"/>
        <w:ind w:left="19" w:right="327" w:firstLine="413"/>
        <w:spacing w:before="139" w:line="307" w:lineRule="auto"/>
        <w:rPr/>
      </w:pPr>
      <w:r>
        <w:rPr>
          <w:spacing w:val="8"/>
        </w:rPr>
        <w:t>（</w:t>
      </w:r>
      <w:r>
        <w:rPr>
          <w:rFonts w:ascii="Times New Roman" w:hAnsi="Times New Roman" w:eastAsia="Times New Roman" w:cs="Times New Roman"/>
          <w:spacing w:val="8"/>
        </w:rPr>
        <w:t>4</w:t>
      </w:r>
      <w:r>
        <w:rPr>
          <w:rFonts w:ascii="Times New Roman" w:hAnsi="Times New Roman" w:eastAsia="Times New Roman" w:cs="Times New Roman"/>
          <w:spacing w:val="-5"/>
        </w:rPr>
        <w:t xml:space="preserve"> </w:t>
      </w:r>
      <w:r>
        <w:rPr>
          <w:spacing w:val="8"/>
        </w:rPr>
        <w:t>）根据粮食突发事件发生情况</w:t>
      </w:r>
      <w:r>
        <w:rPr>
          <w:spacing w:val="-59"/>
        </w:rPr>
        <w:t xml:space="preserve"> </w:t>
      </w:r>
      <w:r>
        <w:rPr>
          <w:spacing w:val="8"/>
        </w:rPr>
        <w:t>，向社</w:t>
      </w:r>
      <w:r>
        <w:rPr>
          <w:spacing w:val="7"/>
        </w:rPr>
        <w:t>会公布志愿服务需求指南，明确专门人员，及</w:t>
      </w:r>
      <w:r>
        <w:rPr>
          <w:spacing w:val="7"/>
        </w:rPr>
        <w:t>时开通志愿服务联系电话，统一接收志愿者组</w:t>
      </w:r>
    </w:p>
    <w:p>
      <w:pPr>
        <w:spacing w:line="14" w:lineRule="auto"/>
        <w:rPr>
          <w:rFonts w:ascii="Arial"/>
          <w:sz w:val="2"/>
        </w:rPr>
      </w:pPr>
      <w:r>
        <w:rPr>
          <w:rFonts w:ascii="Arial" w:hAnsi="Arial" w:eastAsia="Arial" w:cs="Arial"/>
          <w:sz w:val="2"/>
          <w:szCs w:val="2"/>
        </w:rPr>
        <w:br w:type="column"/>
      </w:r>
    </w:p>
    <w:p>
      <w:pPr>
        <w:pStyle w:val="BodyText"/>
        <w:ind w:left="4" w:right="110" w:hanging="1"/>
        <w:spacing w:before="48" w:line="349" w:lineRule="auto"/>
        <w:rPr/>
      </w:pPr>
      <w:r>
        <w:rPr>
          <w:spacing w:val="7"/>
        </w:rPr>
        <w:t>织报名，做好志愿者派遣和相关服务工作，引</w:t>
      </w:r>
      <w:r>
        <w:rPr>
          <w:spacing w:val="8"/>
        </w:rPr>
        <w:t>导志愿者有序参与救援工作。</w:t>
      </w:r>
    </w:p>
    <w:p>
      <w:pPr>
        <w:ind w:left="422"/>
        <w:spacing w:line="267" w:lineRule="exact"/>
        <w:rPr>
          <w:rFonts w:ascii="KaiTi" w:hAnsi="KaiTi" w:eastAsia="KaiTi" w:cs="KaiTi"/>
          <w:sz w:val="20"/>
          <w:szCs w:val="20"/>
        </w:rPr>
      </w:pPr>
      <w:r>
        <w:rPr>
          <w:rFonts w:ascii="Times New Roman" w:hAnsi="Times New Roman" w:eastAsia="Times New Roman" w:cs="Times New Roman"/>
          <w:sz w:val="20"/>
          <w:szCs w:val="20"/>
          <w:spacing w:val="5"/>
          <w:position w:val="1"/>
        </w:rPr>
        <w:t>4.8  </w:t>
      </w:r>
      <w:r>
        <w:rPr>
          <w:rFonts w:ascii="KaiTi" w:hAnsi="KaiTi" w:eastAsia="KaiTi" w:cs="KaiTi"/>
          <w:sz w:val="20"/>
          <w:szCs w:val="20"/>
          <w:spacing w:val="5"/>
          <w:position w:val="1"/>
        </w:rPr>
        <w:t>响应终止。</w:t>
      </w:r>
    </w:p>
    <w:p>
      <w:pPr>
        <w:pStyle w:val="BodyText"/>
        <w:ind w:left="2" w:right="87" w:firstLine="412"/>
        <w:spacing w:before="114" w:line="329"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）应对特大、重大粮食突发事件工作</w:t>
      </w:r>
      <w:r>
        <w:rPr>
          <w:spacing w:val="8"/>
        </w:rPr>
        <w:t>基本结束后、紧急转移和安置工作基本完成、</w:t>
      </w:r>
      <w:r>
        <w:rPr>
          <w:spacing w:val="8"/>
        </w:rPr>
        <w:t>次生灾害的后果基本消除，以及交通、电力、</w:t>
      </w:r>
      <w:r>
        <w:rPr>
          <w:spacing w:val="7"/>
        </w:rPr>
        <w:t>通信等基本抢修抢通、群众生活秩序基本恢复</w:t>
      </w:r>
      <w:r>
        <w:rPr>
          <w:spacing w:val="8"/>
        </w:rPr>
        <w:t>后，市粮食应急处置指挥部办公室提出建议，</w:t>
      </w:r>
      <w:r>
        <w:rPr>
          <w:spacing w:val="8"/>
        </w:rPr>
        <w:t>由市政府决定终止应急响应。</w:t>
      </w:r>
    </w:p>
    <w:p>
      <w:pPr>
        <w:pStyle w:val="BodyText"/>
        <w:ind w:left="2" w:firstLine="412"/>
        <w:spacing w:before="138" w:line="319"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）应对较大粮食突发事件工作基本结</w:t>
      </w:r>
      <w:r>
        <w:rPr/>
        <w:t>束后，各县（区）应急办提出建议，由县（</w:t>
      </w:r>
      <w:r>
        <w:rPr>
          <w:spacing w:val="-45"/>
        </w:rPr>
        <w:t xml:space="preserve"> </w:t>
      </w:r>
      <w:r>
        <w:rPr/>
        <w:t>区）</w:t>
      </w:r>
      <w:r>
        <w:rPr>
          <w:spacing w:val="18"/>
        </w:rPr>
        <w:t>政府或粮食事件应急指挥机构决定终止应急</w:t>
      </w:r>
      <w:r>
        <w:rPr>
          <w:spacing w:val="4"/>
        </w:rPr>
        <w:t>响应。</w:t>
      </w:r>
    </w:p>
    <w:p>
      <w:pPr>
        <w:pStyle w:val="BodyText"/>
        <w:ind w:left="2" w:right="110" w:firstLine="412"/>
        <w:spacing w:before="141" w:line="319"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）应对一般粮食突发事件工作基本结</w:t>
      </w:r>
      <w:r>
        <w:rPr>
          <w:spacing w:val="4"/>
        </w:rPr>
        <w:t>束后，事发地县（</w:t>
      </w:r>
      <w:r>
        <w:rPr>
          <w:spacing w:val="-35"/>
        </w:rPr>
        <w:t xml:space="preserve"> </w:t>
      </w:r>
      <w:r>
        <w:rPr>
          <w:spacing w:val="4"/>
        </w:rPr>
        <w:t>区）政府办提出建议，由事</w:t>
      </w:r>
      <w:r>
        <w:rPr>
          <w:spacing w:val="18"/>
        </w:rPr>
        <w:t>发地县级政府或粮食事件应急指挥机构决定</w:t>
      </w:r>
      <w:r>
        <w:rPr>
          <w:spacing w:val="7"/>
        </w:rPr>
        <w:t>终止应急响应。</w:t>
      </w:r>
    </w:p>
    <w:p>
      <w:pPr>
        <w:ind w:left="429"/>
        <w:spacing w:before="136" w:line="264" w:lineRule="exact"/>
        <w:rPr>
          <w:rFonts w:ascii="KaiTi" w:hAnsi="KaiTi" w:eastAsia="KaiTi" w:cs="KaiTi"/>
          <w:sz w:val="20"/>
          <w:szCs w:val="20"/>
        </w:rPr>
      </w:pPr>
      <w:r>
        <w:rPr>
          <w:rFonts w:ascii="Times New Roman" w:hAnsi="Times New Roman" w:eastAsia="Times New Roman" w:cs="Times New Roman"/>
          <w:sz w:val="20"/>
          <w:szCs w:val="20"/>
          <w:spacing w:val="4"/>
          <w:position w:val="1"/>
        </w:rPr>
        <w:t>5</w:t>
      </w:r>
      <w:r>
        <w:rPr>
          <w:rFonts w:ascii="Times New Roman" w:hAnsi="Times New Roman" w:eastAsia="Times New Roman" w:cs="Times New Roman"/>
          <w:sz w:val="20"/>
          <w:szCs w:val="20"/>
          <w:spacing w:val="5"/>
          <w:position w:val="1"/>
        </w:rPr>
        <w:t xml:space="preserve">    </w:t>
      </w:r>
      <w:r>
        <w:rPr>
          <w:rFonts w:ascii="KaiTi" w:hAnsi="KaiTi" w:eastAsia="KaiTi" w:cs="KaiTi"/>
          <w:sz w:val="20"/>
          <w:szCs w:val="20"/>
          <w:spacing w:val="4"/>
          <w:position w:val="1"/>
        </w:rPr>
        <w:t>应急保障</w:t>
      </w:r>
    </w:p>
    <w:p>
      <w:pPr>
        <w:pStyle w:val="BodyText"/>
        <w:ind w:left="1" w:right="110" w:firstLine="427"/>
        <w:spacing w:before="114" w:line="326" w:lineRule="auto"/>
        <w:rPr/>
      </w:pPr>
      <w:r>
        <w:rPr>
          <w:rFonts w:ascii="Times New Roman" w:hAnsi="Times New Roman" w:eastAsia="Times New Roman" w:cs="Times New Roman"/>
          <w:spacing w:val="6"/>
        </w:rPr>
        <w:t>5.</w:t>
      </w:r>
      <w:r>
        <w:rPr>
          <w:rFonts w:ascii="Times New Roman" w:hAnsi="Times New Roman" w:eastAsia="Times New Roman" w:cs="Times New Roman"/>
          <w:spacing w:val="-8"/>
        </w:rPr>
        <w:t xml:space="preserve"> </w:t>
      </w:r>
      <w:r>
        <w:rPr>
          <w:rFonts w:ascii="Times New Roman" w:hAnsi="Times New Roman" w:eastAsia="Times New Roman" w:cs="Times New Roman"/>
          <w:spacing w:val="6"/>
        </w:rPr>
        <w:t>1  </w:t>
      </w:r>
      <w:r>
        <w:rPr>
          <w:rFonts w:ascii="KaiTi" w:hAnsi="KaiTi" w:eastAsia="KaiTi" w:cs="KaiTi"/>
          <w:spacing w:val="6"/>
        </w:rPr>
        <w:t>队伍保障。</w:t>
      </w:r>
      <w:r>
        <w:rPr>
          <w:spacing w:val="6"/>
        </w:rPr>
        <w:t>加强粮食应急队伍建设；</w:t>
      </w:r>
      <w:r>
        <w:rPr>
          <w:spacing w:val="7"/>
        </w:rPr>
        <w:t>对应急队伍进行定期、不定期培训与考核，动</w:t>
      </w:r>
      <w:r>
        <w:rPr>
          <w:spacing w:val="7"/>
        </w:rPr>
        <w:t>态管理人员和设施、设备；适时调整人员数量</w:t>
      </w:r>
      <w:r>
        <w:rPr>
          <w:spacing w:val="7"/>
        </w:rPr>
        <w:t>及专业结构，及时更新相关设施、设备，确保</w:t>
      </w:r>
      <w:r>
        <w:rPr>
          <w:spacing w:val="9"/>
        </w:rPr>
        <w:t>随时处于良好的应急备战状态。</w:t>
      </w:r>
    </w:p>
    <w:p>
      <w:pPr>
        <w:pStyle w:val="BodyText"/>
        <w:ind w:left="1" w:right="110" w:firstLine="427"/>
        <w:spacing w:before="135" w:line="333" w:lineRule="auto"/>
        <w:rPr/>
      </w:pPr>
      <w:r>
        <w:rPr>
          <w:rFonts w:ascii="Times New Roman" w:hAnsi="Times New Roman" w:eastAsia="Times New Roman" w:cs="Times New Roman"/>
          <w:spacing w:val="8"/>
        </w:rPr>
        <w:t>5.2  </w:t>
      </w:r>
      <w:r>
        <w:rPr>
          <w:rFonts w:ascii="KaiTi" w:hAnsi="KaiTi" w:eastAsia="KaiTi" w:cs="KaiTi"/>
          <w:spacing w:val="8"/>
        </w:rPr>
        <w:t>经费保障。</w:t>
      </w:r>
      <w:r>
        <w:rPr>
          <w:spacing w:val="8"/>
        </w:rPr>
        <w:t>强化落实粮食突发事件应</w:t>
      </w:r>
      <w:r>
        <w:rPr>
          <w:spacing w:val="15"/>
        </w:rPr>
        <w:t>对工作所需经费落实制度</w:t>
      </w:r>
      <w:r>
        <w:rPr>
          <w:spacing w:val="-39"/>
        </w:rPr>
        <w:t xml:space="preserve"> </w:t>
      </w:r>
      <w:r>
        <w:rPr>
          <w:spacing w:val="15"/>
        </w:rPr>
        <w:t>，保证应对处置需</w:t>
      </w:r>
      <w:r>
        <w:rPr>
          <w:spacing w:val="4"/>
        </w:rPr>
        <w:t>要。市县（</w:t>
      </w:r>
      <w:r>
        <w:rPr>
          <w:spacing w:val="-34"/>
        </w:rPr>
        <w:t xml:space="preserve"> </w:t>
      </w:r>
      <w:r>
        <w:rPr>
          <w:spacing w:val="4"/>
        </w:rPr>
        <w:t>区）政府根据《宁夏回族自治区突</w:t>
      </w:r>
      <w:r>
        <w:rPr>
          <w:spacing w:val="7"/>
        </w:rPr>
        <w:t>发事件应对条例》《固原市突发事件总体应急</w:t>
      </w:r>
      <w:r>
        <w:rPr>
          <w:spacing w:val="7"/>
        </w:rPr>
        <w:t>预案》等有关规定，将粮食应急工作所需经费</w:t>
      </w:r>
      <w:r>
        <w:rPr>
          <w:spacing w:val="7"/>
        </w:rPr>
        <w:t>列入同级财政预算。财政部门对应对粮食应急</w:t>
      </w:r>
      <w:r>
        <w:rPr>
          <w:spacing w:val="9"/>
        </w:rPr>
        <w:t>事件所需费用，给予必要保障。</w:t>
      </w:r>
    </w:p>
    <w:p>
      <w:pPr>
        <w:pStyle w:val="BodyText"/>
        <w:ind w:right="30" w:firstLine="429"/>
        <w:spacing w:before="135" w:line="289" w:lineRule="auto"/>
        <w:rPr/>
      </w:pPr>
      <w:r>
        <w:rPr>
          <w:rFonts w:ascii="Times New Roman" w:hAnsi="Times New Roman" w:eastAsia="Times New Roman" w:cs="Times New Roman"/>
          <w:spacing w:val="8"/>
        </w:rPr>
        <w:t>5.3  </w:t>
      </w:r>
      <w:r>
        <w:rPr>
          <w:rFonts w:ascii="KaiTi" w:hAnsi="KaiTi" w:eastAsia="KaiTi" w:cs="KaiTi"/>
          <w:spacing w:val="8"/>
        </w:rPr>
        <w:t>物资保障。</w:t>
      </w:r>
      <w:r>
        <w:rPr>
          <w:spacing w:val="8"/>
        </w:rPr>
        <w:t>建立健全应急救援设施、</w:t>
      </w:r>
      <w:r>
        <w:rPr>
          <w:spacing w:val="1"/>
        </w:rPr>
        <w:t>设备等储备制度，储备必要的应急物资和装备。</w:t>
      </w:r>
    </w:p>
    <w:p>
      <w:pPr>
        <w:pStyle w:val="BodyText"/>
        <w:ind w:left="24" w:right="110" w:firstLine="390"/>
        <w:spacing w:before="134" w:line="286" w:lineRule="auto"/>
        <w:rPr/>
      </w:pPr>
      <w:r>
        <w:rPr>
          <w:spacing w:val="8"/>
        </w:rPr>
        <w:t>（</w:t>
      </w:r>
      <w:r>
        <w:rPr>
          <w:spacing w:val="-43"/>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8"/>
        </w:rPr>
        <w:t xml:space="preserve"> </w:t>
      </w:r>
      <w:r>
        <w:rPr>
          <w:spacing w:val="8"/>
        </w:rPr>
        <w:t>）原粮储备。为应对粮食应急状态，</w:t>
      </w:r>
      <w:r>
        <w:rPr>
          <w:spacing w:val="17"/>
        </w:rPr>
        <w:t>固原市按照《宁夏回族自治区储备粮管理条</w:t>
      </w:r>
    </w:p>
    <w:p>
      <w:pPr>
        <w:spacing w:line="286" w:lineRule="auto"/>
        <w:sectPr>
          <w:type w:val="continuous"/>
          <w:pgSz w:w="11906" w:h="16839"/>
          <w:pgMar w:top="1772" w:right="1480" w:bottom="1572" w:left="1571" w:header="1428" w:footer="1172" w:gutter="0"/>
          <w:cols w:equalWidth="0" w:num="2">
            <w:col w:w="4496" w:space="100"/>
            <w:col w:w="4260" w:space="0"/>
          </w:cols>
        </w:sectPr>
        <w:rPr/>
      </w:pPr>
    </w:p>
    <w:p>
      <w:pPr>
        <w:spacing w:before="51"/>
        <w:rPr/>
      </w:pPr>
      <w:r>
        <w:drawing>
          <wp:anchor distT="0" distB="0" distL="0" distR="0" simplePos="0" relativeHeight="253794304"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2076" name="IM 2076"/>
            <wp:cNvGraphicFramePr/>
            <a:graphic>
              <a:graphicData uri="http://schemas.openxmlformats.org/drawingml/2006/picture">
                <pic:pic>
                  <pic:nvPicPr>
                    <pic:cNvPr id="2076" name="IM 2076"/>
                    <pic:cNvPicPr/>
                  </pic:nvPicPr>
                  <pic:blipFill>
                    <a:blip r:embed="rId1040"/>
                    <a:stretch>
                      <a:fillRect/>
                    </a:stretch>
                  </pic:blipFill>
                  <pic:spPr>
                    <a:xfrm rot="0">
                      <a:off x="0" y="0"/>
                      <a:ext cx="5579745" cy="7620"/>
                    </a:xfrm>
                    <a:prstGeom prst="rect">
                      <a:avLst/>
                    </a:prstGeom>
                  </pic:spPr>
                </pic:pic>
              </a:graphicData>
            </a:graphic>
          </wp:anchor>
        </w:drawing>
      </w:r>
      <w:r/>
    </w:p>
    <w:p>
      <w:pPr>
        <w:sectPr>
          <w:headerReference w:type="default" r:id="rId1023"/>
          <w:footerReference w:type="default" r:id="rId1039"/>
          <w:pgSz w:w="11906" w:h="16839"/>
          <w:pgMar w:top="1766" w:right="1393" w:bottom="1572" w:left="1579" w:header="1428" w:footer="1172" w:gutter="0"/>
          <w:cols w:equalWidth="0" w:num="1">
            <w:col w:w="8933" w:space="0"/>
          </w:cols>
        </w:sectPr>
        <w:rPr/>
      </w:pPr>
    </w:p>
    <w:p>
      <w:pPr>
        <w:pStyle w:val="BodyText"/>
        <w:ind w:left="12" w:right="327" w:firstLine="2"/>
        <w:spacing w:before="45" w:line="345" w:lineRule="auto"/>
        <w:jc w:val="both"/>
        <w:rPr/>
      </w:pPr>
      <w:r>
        <w:rPr>
          <w:spacing w:val="7"/>
        </w:rPr>
        <w:t>例》和粮食安全主席责任制的相关规定，建立</w:t>
      </w:r>
      <w:r>
        <w:rPr>
          <w:spacing w:val="4"/>
        </w:rPr>
        <w:t>一定规模的原粮（小麦）储备，各县（</w:t>
      </w:r>
      <w:r>
        <w:rPr>
          <w:spacing w:val="-33"/>
        </w:rPr>
        <w:t xml:space="preserve"> </w:t>
      </w:r>
      <w:r>
        <w:rPr>
          <w:spacing w:val="4"/>
        </w:rPr>
        <w:t>区）结</w:t>
      </w:r>
      <w:r>
        <w:rPr>
          <w:spacing w:val="7"/>
        </w:rPr>
        <w:t>合实际可适当建立原粮储备，以确保固原市政</w:t>
      </w:r>
      <w:r>
        <w:rPr>
          <w:spacing w:val="8"/>
        </w:rPr>
        <w:t>府掌握必要的应急调控物资。</w:t>
      </w:r>
    </w:p>
    <w:p>
      <w:pPr>
        <w:pStyle w:val="BodyText"/>
        <w:ind w:left="12" w:right="329" w:firstLine="412"/>
        <w:spacing w:before="27" w:line="346" w:lineRule="auto"/>
        <w:jc w:val="both"/>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16"/>
        </w:rPr>
        <w:t xml:space="preserve"> </w:t>
      </w:r>
      <w:r>
        <w:rPr>
          <w:spacing w:val="8"/>
        </w:rPr>
        <w:t>）成品粮油储备。市县（</w:t>
      </w:r>
      <w:r>
        <w:rPr>
          <w:spacing w:val="-48"/>
        </w:rPr>
        <w:t xml:space="preserve"> </w:t>
      </w:r>
      <w:r>
        <w:rPr>
          <w:spacing w:val="8"/>
        </w:rPr>
        <w:t>区）政府建</w:t>
      </w:r>
      <w:r>
        <w:rPr>
          <w:spacing w:val="7"/>
        </w:rPr>
        <w:t>立应急成品粮油储备。储备数量、质量必须达</w:t>
      </w:r>
      <w:r>
        <w:rPr>
          <w:spacing w:val="7"/>
        </w:rPr>
        <w:t>到国家和自治区政府的有关规定。所有粮食经</w:t>
      </w:r>
      <w:r>
        <w:rPr>
          <w:spacing w:val="7"/>
        </w:rPr>
        <w:t>营企业要按照《粮食流通管理条例》《宁夏回</w:t>
      </w:r>
      <w:r>
        <w:rPr>
          <w:spacing w:val="7"/>
        </w:rPr>
        <w:t>族自治区粮食经营者最低最高库存标准》的要</w:t>
      </w:r>
      <w:r>
        <w:rPr>
          <w:spacing w:val="8"/>
        </w:rPr>
        <w:t>求，保证必要的库存。</w:t>
      </w:r>
    </w:p>
    <w:p>
      <w:pPr>
        <w:pStyle w:val="BodyText"/>
        <w:ind w:left="12" w:right="329" w:firstLine="426"/>
        <w:spacing w:before="31" w:line="349" w:lineRule="auto"/>
        <w:jc w:val="both"/>
        <w:rPr/>
      </w:pPr>
      <w:r>
        <w:rPr>
          <w:rFonts w:ascii="Times New Roman" w:hAnsi="Times New Roman" w:eastAsia="Times New Roman" w:cs="Times New Roman"/>
          <w:spacing w:val="5"/>
        </w:rPr>
        <w:t>5.4  </w:t>
      </w:r>
      <w:r>
        <w:rPr>
          <w:rFonts w:ascii="KaiTi" w:hAnsi="KaiTi" w:eastAsia="KaiTi" w:cs="KaiTi"/>
          <w:spacing w:val="5"/>
        </w:rPr>
        <w:t>应急设施保障。</w:t>
      </w:r>
      <w:r>
        <w:rPr>
          <w:spacing w:val="5"/>
        </w:rPr>
        <w:t>市县（</w:t>
      </w:r>
      <w:r>
        <w:rPr>
          <w:spacing w:val="-37"/>
        </w:rPr>
        <w:t xml:space="preserve"> </w:t>
      </w:r>
      <w:r>
        <w:rPr>
          <w:spacing w:val="5"/>
        </w:rPr>
        <w:t>区）政府要增</w:t>
      </w:r>
      <w:r>
        <w:rPr>
          <w:spacing w:val="7"/>
        </w:rPr>
        <w:t>加投入，加强本地粮食储藏、加工、零售供应</w:t>
      </w:r>
      <w:r>
        <w:rPr>
          <w:spacing w:val="7"/>
        </w:rPr>
        <w:t>和运输等应急设施的建设和维护，确保应急工</w:t>
      </w:r>
      <w:r>
        <w:rPr>
          <w:spacing w:val="6"/>
        </w:rPr>
        <w:t>作的需要。</w:t>
      </w:r>
    </w:p>
    <w:p>
      <w:pPr>
        <w:ind w:left="437"/>
        <w:spacing w:before="1"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6</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4"/>
        </w:rPr>
        <w:t>恢复重建</w:t>
      </w:r>
    </w:p>
    <w:p>
      <w:pPr>
        <w:pStyle w:val="BodyText"/>
        <w:ind w:left="11" w:right="248" w:firstLine="426"/>
        <w:spacing w:before="76" w:line="333" w:lineRule="auto"/>
        <w:rPr/>
      </w:pPr>
      <w:r>
        <w:rPr>
          <w:rFonts w:ascii="Times New Roman" w:hAnsi="Times New Roman" w:eastAsia="Times New Roman" w:cs="Times New Roman"/>
          <w:spacing w:val="6"/>
        </w:rPr>
        <w:t>6.</w:t>
      </w:r>
      <w:r>
        <w:rPr>
          <w:rFonts w:ascii="Times New Roman" w:hAnsi="Times New Roman" w:eastAsia="Times New Roman" w:cs="Times New Roman"/>
          <w:spacing w:val="-7"/>
        </w:rPr>
        <w:t xml:space="preserve"> </w:t>
      </w:r>
      <w:r>
        <w:rPr>
          <w:rFonts w:ascii="Times New Roman" w:hAnsi="Times New Roman" w:eastAsia="Times New Roman" w:cs="Times New Roman"/>
          <w:spacing w:val="6"/>
        </w:rPr>
        <w:t>1  </w:t>
      </w:r>
      <w:r>
        <w:rPr>
          <w:rFonts w:ascii="KaiTi" w:hAnsi="KaiTi" w:eastAsia="KaiTi" w:cs="KaiTi"/>
          <w:spacing w:val="6"/>
        </w:rPr>
        <w:t>善后处置。</w:t>
      </w:r>
      <w:r>
        <w:rPr>
          <w:spacing w:val="6"/>
        </w:rPr>
        <w:t>粮食事件应急处置工作结</w:t>
      </w:r>
      <w:r>
        <w:rPr>
          <w:spacing w:val="11"/>
        </w:rPr>
        <w:t>束后，事发地政府及有关单位根据各自职责，</w:t>
      </w:r>
      <w:r>
        <w:rPr>
          <w:spacing w:val="1"/>
        </w:rPr>
        <w:t>开展善后处置工作。包括人员安置、抚恤补偿、</w:t>
      </w:r>
      <w:r>
        <w:rPr>
          <w:spacing w:val="7"/>
        </w:rPr>
        <w:t>保险理赔、征用补偿、救援物资供应、环境污</w:t>
      </w:r>
      <w:r>
        <w:rPr>
          <w:spacing w:val="1"/>
        </w:rPr>
        <w:t>染消除、灾后重建、危险源监控和治理等措施，</w:t>
      </w:r>
      <w:r>
        <w:rPr>
          <w:spacing w:val="7"/>
        </w:rPr>
        <w:t>防止事件造成次生、衍生危害，尽快恢复正常</w:t>
      </w:r>
      <w:r>
        <w:rPr>
          <w:spacing w:val="8"/>
        </w:rPr>
        <w:t>秩序，确保社会稳定。</w:t>
      </w:r>
    </w:p>
    <w:p>
      <w:pPr>
        <w:ind w:left="438"/>
        <w:spacing w:before="137" w:line="241" w:lineRule="auto"/>
        <w:rPr>
          <w:rFonts w:ascii="KaiTi" w:hAnsi="KaiTi" w:eastAsia="KaiTi" w:cs="KaiTi"/>
          <w:sz w:val="20"/>
          <w:szCs w:val="20"/>
        </w:rPr>
      </w:pPr>
      <w:r>
        <w:rPr>
          <w:rFonts w:ascii="Times New Roman" w:hAnsi="Times New Roman" w:eastAsia="Times New Roman" w:cs="Times New Roman"/>
          <w:sz w:val="20"/>
          <w:szCs w:val="20"/>
          <w:spacing w:val="2"/>
        </w:rPr>
        <w:t>6.2</w:t>
      </w:r>
      <w:r>
        <w:rPr>
          <w:rFonts w:ascii="Times New Roman" w:hAnsi="Times New Roman" w:eastAsia="Times New Roman" w:cs="Times New Roman"/>
          <w:sz w:val="20"/>
          <w:szCs w:val="20"/>
          <w:spacing w:val="14"/>
        </w:rPr>
        <w:t xml:space="preserve">  </w:t>
      </w:r>
      <w:r>
        <w:rPr>
          <w:rFonts w:ascii="KaiTi" w:hAnsi="KaiTi" w:eastAsia="KaiTi" w:cs="KaiTi"/>
          <w:sz w:val="20"/>
          <w:szCs w:val="20"/>
          <w:spacing w:val="2"/>
        </w:rPr>
        <w:t>总结评估。</w:t>
      </w:r>
    </w:p>
    <w:p>
      <w:pPr>
        <w:pStyle w:val="BodyText"/>
        <w:ind w:left="10" w:right="307" w:firstLine="413"/>
        <w:spacing w:before="118" w:line="327" w:lineRule="auto"/>
        <w:rPr/>
      </w:pPr>
      <w:r>
        <w:rPr>
          <w:spacing w:val="-2"/>
        </w:rPr>
        <w:t>（</w:t>
      </w:r>
      <w:r>
        <w:rPr>
          <w:spacing w:val="-41"/>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9"/>
        </w:rPr>
        <w:t xml:space="preserve"> </w:t>
      </w:r>
      <w:r>
        <w:rPr>
          <w:spacing w:val="-2"/>
        </w:rPr>
        <w:t>）特大、重大粮食事件，由市应急委员</w:t>
      </w:r>
      <w:r>
        <w:rPr>
          <w:spacing w:val="-2"/>
        </w:rPr>
        <w:t>会派出调查组进行调查总结；较大及较大以下粮</w:t>
      </w:r>
      <w:r>
        <w:rPr>
          <w:spacing w:val="-2"/>
        </w:rPr>
        <w:t>食突发事件，由县（区）粮食事件应急指挥机构</w:t>
      </w:r>
      <w:r>
        <w:rPr>
          <w:spacing w:val="-1"/>
        </w:rPr>
        <w:t>报请县（区）政府同意组成调查组进行调查。</w:t>
      </w:r>
    </w:p>
    <w:p>
      <w:pPr>
        <w:pStyle w:val="BodyText"/>
        <w:ind w:left="10" w:right="329" w:firstLine="413"/>
        <w:spacing w:before="102" w:line="319"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5"/>
        </w:rPr>
        <w:t xml:space="preserve"> </w:t>
      </w:r>
      <w:r>
        <w:rPr>
          <w:spacing w:val="8"/>
        </w:rPr>
        <w:t>）粮食事件善后处置工作结束后</w:t>
      </w:r>
      <w:r>
        <w:rPr>
          <w:spacing w:val="-59"/>
        </w:rPr>
        <w:t xml:space="preserve"> </w:t>
      </w:r>
      <w:r>
        <w:rPr>
          <w:spacing w:val="8"/>
        </w:rPr>
        <w:t>，事</w:t>
      </w:r>
      <w:r>
        <w:rPr>
          <w:spacing w:val="7"/>
        </w:rPr>
        <w:t>发地政府要总结经验教训，提出改进工作的建</w:t>
      </w:r>
      <w:r>
        <w:rPr>
          <w:spacing w:val="7"/>
        </w:rPr>
        <w:t>议，形成处置突发事件专项工作报告，报市粮</w:t>
      </w:r>
      <w:r>
        <w:rPr>
          <w:spacing w:val="8"/>
        </w:rPr>
        <w:t>食应急处置指挥部办公室。</w:t>
      </w:r>
    </w:p>
    <w:p>
      <w:pPr>
        <w:pStyle w:val="BodyText"/>
        <w:ind w:left="14" w:right="329" w:firstLine="409"/>
        <w:spacing w:before="140" w:line="308"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）市粮食应急处置指挥部办公室要根</w:t>
      </w:r>
      <w:r>
        <w:rPr>
          <w:spacing w:val="18"/>
        </w:rPr>
        <w:t>据事发地政府提交的处置突发事件专项工作</w:t>
      </w:r>
      <w:r>
        <w:rPr>
          <w:spacing w:val="7"/>
        </w:rPr>
        <w:t>报告，组织分析、研究，提出改进应急工作的</w:t>
      </w:r>
    </w:p>
    <w:p>
      <w:pPr>
        <w:spacing w:line="14" w:lineRule="auto"/>
        <w:rPr>
          <w:rFonts w:ascii="Arial"/>
          <w:sz w:val="2"/>
        </w:rPr>
      </w:pPr>
      <w:r>
        <w:rPr>
          <w:rFonts w:ascii="Arial" w:hAnsi="Arial" w:eastAsia="Arial" w:cs="Arial"/>
          <w:sz w:val="2"/>
          <w:szCs w:val="2"/>
        </w:rPr>
        <w:br w:type="column"/>
      </w:r>
    </w:p>
    <w:p>
      <w:pPr>
        <w:pStyle w:val="BodyText"/>
        <w:ind w:left="1" w:right="196" w:firstLine="3"/>
        <w:spacing w:before="50" w:line="346" w:lineRule="auto"/>
        <w:rPr/>
      </w:pPr>
      <w:r>
        <w:rPr>
          <w:spacing w:val="7"/>
        </w:rPr>
        <w:t>意见，形成工作专报报市应急管理局，并抄送</w:t>
      </w:r>
      <w:r>
        <w:rPr>
          <w:spacing w:val="7"/>
        </w:rPr>
        <w:t>各成员单位。</w:t>
      </w:r>
    </w:p>
    <w:p>
      <w:pPr>
        <w:ind w:left="424"/>
        <w:spacing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7</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3"/>
        </w:rPr>
        <w:t>日常管理</w:t>
      </w:r>
    </w:p>
    <w:p>
      <w:pPr>
        <w:pStyle w:val="BodyText"/>
        <w:ind w:right="173" w:firstLine="425"/>
        <w:spacing w:before="82" w:line="337" w:lineRule="auto"/>
        <w:rPr/>
      </w:pPr>
      <w:r>
        <w:rPr>
          <w:rFonts w:ascii="Times New Roman" w:hAnsi="Times New Roman" w:eastAsia="Times New Roman" w:cs="Times New Roman"/>
          <w:spacing w:val="6"/>
        </w:rPr>
        <w:t>7.</w:t>
      </w:r>
      <w:r>
        <w:rPr>
          <w:rFonts w:ascii="Times New Roman" w:hAnsi="Times New Roman" w:eastAsia="Times New Roman" w:cs="Times New Roman"/>
          <w:spacing w:val="-25"/>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5"/>
          <w:w w:val="101"/>
        </w:rPr>
        <w:t xml:space="preserve">  </w:t>
      </w:r>
      <w:r>
        <w:rPr>
          <w:rFonts w:ascii="KaiTi" w:hAnsi="KaiTi" w:eastAsia="KaiTi" w:cs="KaiTi"/>
          <w:spacing w:val="6"/>
        </w:rPr>
        <w:t>宣教培训。</w:t>
      </w:r>
      <w:r>
        <w:rPr>
          <w:spacing w:val="6"/>
        </w:rPr>
        <w:t>市粮食应急处置指挥部办</w:t>
      </w:r>
      <w:r>
        <w:rPr>
          <w:spacing w:val="4"/>
        </w:rPr>
        <w:t>公室，市粮食储备局，市县（</w:t>
      </w:r>
      <w:r>
        <w:rPr>
          <w:spacing w:val="-34"/>
        </w:rPr>
        <w:t xml:space="preserve"> </w:t>
      </w:r>
      <w:r>
        <w:rPr>
          <w:spacing w:val="4"/>
        </w:rPr>
        <w:t>区）政府要建立</w:t>
      </w:r>
      <w:r>
        <w:rPr>
          <w:spacing w:val="8"/>
        </w:rPr>
        <w:t>健全粮食应急管理培训制度，充分利用广播、</w:t>
      </w:r>
      <w:r>
        <w:rPr>
          <w:spacing w:val="7"/>
        </w:rPr>
        <w:t>电视、互联网、报纸等各种媒体，加大对粮食</w:t>
      </w:r>
      <w:r>
        <w:rPr>
          <w:spacing w:val="7"/>
        </w:rPr>
        <w:t>应急管理工作的宣传、培训力度，做好粮食事</w:t>
      </w:r>
      <w:r>
        <w:rPr>
          <w:spacing w:val="7"/>
        </w:rPr>
        <w:t>件防范知识的宣传教育工作，不断提高公众的</w:t>
      </w:r>
      <w:r>
        <w:rPr>
          <w:spacing w:val="8"/>
        </w:rPr>
        <w:t>安全意识和自救互救能力。</w:t>
      </w:r>
    </w:p>
    <w:p>
      <w:pPr>
        <w:pStyle w:val="BodyText"/>
        <w:ind w:right="196" w:firstLine="425"/>
        <w:spacing w:before="144" w:line="312" w:lineRule="auto"/>
        <w:rPr/>
      </w:pPr>
      <w:r>
        <w:rPr>
          <w:rFonts w:ascii="Times New Roman" w:hAnsi="Times New Roman" w:eastAsia="Times New Roman" w:cs="Times New Roman"/>
          <w:spacing w:val="8"/>
        </w:rPr>
        <w:t>7.2  </w:t>
      </w:r>
      <w:r>
        <w:rPr>
          <w:rFonts w:ascii="KaiTi" w:hAnsi="KaiTi" w:eastAsia="KaiTi" w:cs="KaiTi"/>
          <w:spacing w:val="8"/>
        </w:rPr>
        <w:t>预案演练。</w:t>
      </w:r>
      <w:r>
        <w:rPr>
          <w:spacing w:val="8"/>
        </w:rPr>
        <w:t>市粮食应急处置指挥部办</w:t>
      </w:r>
      <w:r>
        <w:rPr>
          <w:spacing w:val="7"/>
        </w:rPr>
        <w:t>公室牵头，市粮食储备局具体负责，定期组织</w:t>
      </w:r>
      <w:r>
        <w:rPr>
          <w:spacing w:val="8"/>
        </w:rPr>
        <w:t>开展本预案应急演练。</w:t>
      </w:r>
    </w:p>
    <w:p>
      <w:pPr>
        <w:ind w:left="425"/>
        <w:spacing w:before="143" w:line="241" w:lineRule="auto"/>
        <w:rPr>
          <w:rFonts w:ascii="KaiTi" w:hAnsi="KaiTi" w:eastAsia="KaiTi" w:cs="KaiTi"/>
          <w:sz w:val="20"/>
          <w:szCs w:val="20"/>
        </w:rPr>
      </w:pPr>
      <w:r>
        <w:rPr>
          <w:rFonts w:ascii="Times New Roman" w:hAnsi="Times New Roman" w:eastAsia="Times New Roman" w:cs="Times New Roman"/>
          <w:sz w:val="20"/>
          <w:szCs w:val="20"/>
          <w:spacing w:val="6"/>
        </w:rPr>
        <w:t>7.3  </w:t>
      </w:r>
      <w:r>
        <w:rPr>
          <w:rFonts w:ascii="KaiTi" w:hAnsi="KaiTi" w:eastAsia="KaiTi" w:cs="KaiTi"/>
          <w:sz w:val="20"/>
          <w:szCs w:val="20"/>
          <w:spacing w:val="6"/>
        </w:rPr>
        <w:t>预案管理与更新。</w:t>
      </w:r>
    </w:p>
    <w:p>
      <w:pPr>
        <w:pStyle w:val="BodyText"/>
        <w:ind w:right="113" w:firstLine="412"/>
        <w:spacing w:before="125" w:line="291" w:lineRule="auto"/>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）本预案由市粮食储备局制定</w:t>
      </w:r>
      <w:r>
        <w:rPr>
          <w:spacing w:val="-59"/>
        </w:rPr>
        <w:t xml:space="preserve"> </w:t>
      </w:r>
      <w:r>
        <w:rPr>
          <w:spacing w:val="5"/>
        </w:rPr>
        <w:t>，经市</w:t>
      </w:r>
      <w:r>
        <w:rPr>
          <w:spacing w:val="-8"/>
        </w:rPr>
        <w:t>人民政府审批后，由固原市人民政府办公室印发。</w:t>
      </w:r>
    </w:p>
    <w:p>
      <w:pPr>
        <w:pStyle w:val="BodyText"/>
        <w:ind w:right="125" w:firstLine="413"/>
        <w:spacing w:before="143" w:line="323" w:lineRule="auto"/>
        <w:rPr/>
      </w:pPr>
      <w:r>
        <w:rPr/>
        <w:t>（</w:t>
      </w:r>
      <w:r>
        <w:rPr>
          <w:rFonts w:ascii="Times New Roman" w:hAnsi="Times New Roman" w:eastAsia="Times New Roman" w:cs="Times New Roman"/>
        </w:rPr>
        <w:t>2</w:t>
      </w:r>
      <w:r>
        <w:rPr>
          <w:rFonts w:ascii="Times New Roman" w:hAnsi="Times New Roman" w:eastAsia="Times New Roman" w:cs="Times New Roman"/>
          <w:spacing w:val="-1"/>
        </w:rPr>
        <w:t xml:space="preserve"> </w:t>
      </w:r>
      <w:r>
        <w:rPr/>
        <w:t>）县级政府及其有关单位、群众自治组</w:t>
      </w:r>
      <w:r>
        <w:rPr>
          <w:spacing w:val="-9"/>
        </w:rPr>
        <w:t>织、企事业单位等要按照本预案的规定履行职责，</w:t>
      </w:r>
      <w:r>
        <w:rPr>
          <w:spacing w:val="-2"/>
        </w:rPr>
        <w:t>并制定、完善相应的应急预案，报固原市粮食应</w:t>
      </w:r>
      <w:r>
        <w:rPr>
          <w:spacing w:val="-6"/>
        </w:rPr>
        <w:t>急处置指挥部办公室和固原市应急管理局备案。</w:t>
      </w:r>
    </w:p>
    <w:p>
      <w:pPr>
        <w:pStyle w:val="BodyText"/>
        <w:ind w:left="2" w:right="196" w:firstLine="410"/>
        <w:spacing w:before="144" w:line="312" w:lineRule="auto"/>
        <w:rPr/>
      </w:pPr>
      <w:r>
        <w:rPr>
          <w:spacing w:val="9"/>
        </w:rPr>
        <w:t>（</w:t>
      </w:r>
      <w:r>
        <w:rPr>
          <w:rFonts w:ascii="Times New Roman" w:hAnsi="Times New Roman" w:eastAsia="Times New Roman" w:cs="Times New Roman"/>
          <w:spacing w:val="9"/>
        </w:rPr>
        <w:t>3 </w:t>
      </w:r>
      <w:r>
        <w:rPr>
          <w:spacing w:val="9"/>
        </w:rPr>
        <w:t>）固原市粮食储备局要根据预案演练</w:t>
      </w:r>
      <w:r>
        <w:rPr>
          <w:spacing w:val="7"/>
        </w:rPr>
        <w:t>时发现的问题、机构变化等情况，适时组织修</w:t>
      </w:r>
      <w:r>
        <w:rPr>
          <w:spacing w:val="7"/>
        </w:rPr>
        <w:t>订完善本预案。</w:t>
      </w:r>
    </w:p>
    <w:p>
      <w:pPr>
        <w:pStyle w:val="BodyText"/>
        <w:ind w:left="2" w:right="173" w:firstLine="422"/>
        <w:spacing w:before="147" w:line="355" w:lineRule="auto"/>
        <w:jc w:val="both"/>
        <w:rPr/>
      </w:pPr>
      <w:r>
        <w:rPr>
          <w:rFonts w:ascii="Times New Roman" w:hAnsi="Times New Roman" w:eastAsia="Times New Roman" w:cs="Times New Roman"/>
          <w:spacing w:val="8"/>
        </w:rPr>
        <w:t>7.4  </w:t>
      </w:r>
      <w:r>
        <w:rPr>
          <w:rFonts w:ascii="KaiTi" w:hAnsi="KaiTi" w:eastAsia="KaiTi" w:cs="KaiTi"/>
          <w:spacing w:val="8"/>
        </w:rPr>
        <w:t>责任与奖励。</w:t>
      </w:r>
      <w:r>
        <w:rPr>
          <w:spacing w:val="8"/>
        </w:rPr>
        <w:t>对在应对粮食突发事件</w:t>
      </w:r>
      <w:r>
        <w:rPr>
          <w:spacing w:val="8"/>
        </w:rPr>
        <w:t>工作中玩忽职守造成重大问题的，严重虚报、</w:t>
      </w:r>
      <w:r>
        <w:rPr>
          <w:spacing w:val="7"/>
        </w:rPr>
        <w:t>瞒报事件情况的，依据国家有关法律法规追究</w:t>
      </w:r>
      <w:r>
        <w:rPr>
          <w:spacing w:val="7"/>
        </w:rPr>
        <w:t>当事人的责任，构成犯罪的，依法追究其刑事</w:t>
      </w:r>
      <w:r>
        <w:rPr>
          <w:spacing w:val="7"/>
        </w:rPr>
        <w:t>责任；对在粮食突发事件处置工作过程中作出</w:t>
      </w:r>
      <w:r>
        <w:rPr>
          <w:spacing w:val="7"/>
        </w:rPr>
        <w:t>突出贡献的先进集体和个人，按照区、市有关</w:t>
      </w:r>
      <w:r>
        <w:rPr>
          <w:spacing w:val="8"/>
        </w:rPr>
        <w:t>规定给予表彰和奖励。</w:t>
      </w:r>
    </w:p>
    <w:p>
      <w:pPr>
        <w:ind w:left="424"/>
        <w:spacing w:before="1"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8    附则</w:t>
      </w:r>
    </w:p>
    <w:p>
      <w:pPr>
        <w:pStyle w:val="BodyText"/>
        <w:ind w:left="18" w:right="196" w:firstLine="411"/>
        <w:spacing w:before="81" w:line="347" w:lineRule="auto"/>
        <w:rPr/>
      </w:pPr>
      <w:r>
        <w:rPr>
          <w:rFonts w:ascii="Times New Roman" w:hAnsi="Times New Roman" w:eastAsia="Times New Roman" w:cs="Times New Roman"/>
          <w:spacing w:val="5"/>
        </w:rPr>
        <w:t>8.</w:t>
      </w:r>
      <w:r>
        <w:rPr>
          <w:rFonts w:ascii="Times New Roman" w:hAnsi="Times New Roman" w:eastAsia="Times New Roman" w:cs="Times New Roman"/>
          <w:spacing w:val="-10"/>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5"/>
        </w:rPr>
        <w:t xml:space="preserve">  </w:t>
      </w:r>
      <w:r>
        <w:rPr>
          <w:rFonts w:ascii="KaiTi" w:hAnsi="KaiTi" w:eastAsia="KaiTi" w:cs="KaiTi"/>
          <w:spacing w:val="5"/>
        </w:rPr>
        <w:t>以上、以下的含义。</w:t>
      </w:r>
      <w:r>
        <w:rPr>
          <w:spacing w:val="5"/>
        </w:rPr>
        <w:t>本预案有关数量</w:t>
      </w:r>
      <w:r>
        <w:rPr>
          <w:spacing w:val="5"/>
        </w:rPr>
        <w:t>的表述中，</w:t>
      </w:r>
      <w:r>
        <w:rPr>
          <w:rFonts w:ascii="Times New Roman" w:hAnsi="Times New Roman" w:eastAsia="Times New Roman" w:cs="Times New Roman"/>
          <w:spacing w:val="5"/>
        </w:rPr>
        <w:t>“</w:t>
      </w:r>
      <w:r>
        <w:rPr>
          <w:rFonts w:ascii="Times New Roman" w:hAnsi="Times New Roman" w:eastAsia="Times New Roman" w:cs="Times New Roman"/>
          <w:spacing w:val="-19"/>
        </w:rPr>
        <w:t xml:space="preserve"> </w:t>
      </w:r>
      <w:r>
        <w:rPr>
          <w:spacing w:val="5"/>
        </w:rPr>
        <w:t>以上</w:t>
      </w:r>
      <w:r>
        <w:rPr>
          <w:rFonts w:ascii="Times New Roman" w:hAnsi="Times New Roman" w:eastAsia="Times New Roman" w:cs="Times New Roman"/>
          <w:spacing w:val="5"/>
        </w:rPr>
        <w:t>”</w:t>
      </w:r>
      <w:r>
        <w:rPr>
          <w:spacing w:val="5"/>
        </w:rPr>
        <w:t>含本数，</w:t>
      </w:r>
      <w:r>
        <w:rPr>
          <w:rFonts w:ascii="Times New Roman" w:hAnsi="Times New Roman" w:eastAsia="Times New Roman" w:cs="Times New Roman"/>
          <w:spacing w:val="5"/>
        </w:rPr>
        <w:t>“</w:t>
      </w:r>
      <w:r>
        <w:rPr>
          <w:rFonts w:ascii="Times New Roman" w:hAnsi="Times New Roman" w:eastAsia="Times New Roman" w:cs="Times New Roman"/>
          <w:spacing w:val="-30"/>
        </w:rPr>
        <w:t xml:space="preserve"> </w:t>
      </w:r>
      <w:r>
        <w:rPr>
          <w:spacing w:val="5"/>
        </w:rPr>
        <w:t>以下</w:t>
      </w:r>
      <w:r>
        <w:rPr>
          <w:rFonts w:ascii="Times New Roman" w:hAnsi="Times New Roman" w:eastAsia="Times New Roman" w:cs="Times New Roman"/>
          <w:spacing w:val="5"/>
        </w:rPr>
        <w:t>”</w:t>
      </w:r>
      <w:r>
        <w:rPr>
          <w:spacing w:val="5"/>
        </w:rPr>
        <w:t>不含本数。</w:t>
      </w:r>
    </w:p>
    <w:p>
      <w:pPr>
        <w:ind w:left="426"/>
        <w:spacing w:before="14" w:line="17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9    附件</w:t>
      </w:r>
    </w:p>
    <w:p>
      <w:pPr>
        <w:spacing w:line="172" w:lineRule="auto"/>
        <w:sectPr>
          <w:type w:val="continuous"/>
          <w:pgSz w:w="11906" w:h="16839"/>
          <w:pgMar w:top="1766" w:right="1393" w:bottom="1572" w:left="1579" w:header="1428" w:footer="1172" w:gutter="0"/>
          <w:cols w:equalWidth="0" w:num="2">
            <w:col w:w="4489" w:space="100"/>
            <w:col w:w="4345" w:space="0"/>
          </w:cols>
        </w:sectPr>
        <w:rPr>
          <w:rFonts w:ascii="Microsoft YaHei" w:hAnsi="Microsoft YaHei" w:eastAsia="Microsoft YaHei" w:cs="Microsoft YaHei"/>
          <w:sz w:val="20"/>
          <w:szCs w:val="20"/>
        </w:rPr>
      </w:pP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4859"/>
        <w:spacing w:before="60" w:line="212" w:lineRule="auto"/>
        <w:rPr>
          <w:sz w:val="18"/>
          <w:szCs w:val="18"/>
        </w:rPr>
      </w:pPr>
      <w:r>
        <w:rPr>
          <w:sz w:val="18"/>
          <w:szCs w:val="18"/>
          <w:spacing w:val="-11"/>
        </w:rPr>
        <w:t>国</w:t>
      </w:r>
      <w:r>
        <w:rPr>
          <w:sz w:val="18"/>
          <w:szCs w:val="18"/>
          <w:spacing w:val="10"/>
        </w:rPr>
        <w:t xml:space="preserve"> </w:t>
      </w:r>
      <w:r>
        <w:rPr>
          <w:sz w:val="18"/>
          <w:szCs w:val="18"/>
          <w:spacing w:val="-11"/>
        </w:rPr>
        <w:t>网 固</w:t>
      </w:r>
      <w:r>
        <w:rPr>
          <w:sz w:val="18"/>
          <w:szCs w:val="18"/>
          <w:spacing w:val="5"/>
        </w:rPr>
        <w:t xml:space="preserve"> </w:t>
      </w:r>
      <w:r>
        <w:rPr>
          <w:sz w:val="18"/>
          <w:szCs w:val="18"/>
          <w:spacing w:val="-11"/>
        </w:rPr>
        <w:t>原</w:t>
      </w:r>
      <w:r>
        <w:rPr>
          <w:sz w:val="18"/>
          <w:szCs w:val="18"/>
          <w:spacing w:val="2"/>
        </w:rPr>
        <w:t xml:space="preserve"> </w:t>
      </w:r>
      <w:r>
        <w:rPr>
          <w:sz w:val="18"/>
          <w:szCs w:val="18"/>
          <w:spacing w:val="-11"/>
        </w:rPr>
        <w:t>供</w:t>
      </w:r>
      <w:r>
        <w:rPr>
          <w:sz w:val="18"/>
          <w:szCs w:val="18"/>
          <w:spacing w:val="1"/>
        </w:rPr>
        <w:t xml:space="preserve"> </w:t>
      </w:r>
      <w:r>
        <w:rPr>
          <w:sz w:val="18"/>
          <w:szCs w:val="18"/>
          <w:spacing w:val="-11"/>
        </w:rPr>
        <w:t>电</w:t>
      </w:r>
      <w:r>
        <w:rPr>
          <w:sz w:val="18"/>
          <w:szCs w:val="18"/>
          <w:spacing w:val="2"/>
        </w:rPr>
        <w:t xml:space="preserve"> </w:t>
      </w:r>
      <w:r>
        <w:rPr>
          <w:sz w:val="18"/>
          <w:szCs w:val="18"/>
          <w:spacing w:val="-11"/>
        </w:rPr>
        <w:t>公</w:t>
      </w:r>
      <w:r>
        <w:rPr>
          <w:sz w:val="18"/>
          <w:szCs w:val="18"/>
          <w:spacing w:val="7"/>
        </w:rPr>
        <w:t xml:space="preserve"> </w:t>
      </w:r>
      <w:r>
        <w:rPr>
          <w:sz w:val="18"/>
          <w:szCs w:val="18"/>
          <w:spacing w:val="-11"/>
        </w:rPr>
        <w:t>司</w:t>
      </w:r>
    </w:p>
    <w:p>
      <w:pPr>
        <w:spacing w:line="256" w:lineRule="auto"/>
        <w:rPr>
          <w:rFonts w:ascii="Arial"/>
          <w:sz w:val="21"/>
        </w:rPr>
      </w:pPr>
      <w:r/>
    </w:p>
    <w:p>
      <w:pPr>
        <w:pStyle w:val="BodyText"/>
        <w:ind w:left="4982"/>
        <w:spacing w:before="60" w:line="215" w:lineRule="auto"/>
        <w:rPr>
          <w:sz w:val="18"/>
          <w:szCs w:val="18"/>
        </w:rPr>
      </w:pPr>
      <w:r>
        <w:rPr>
          <w:sz w:val="18"/>
          <w:szCs w:val="18"/>
          <w:spacing w:val="-9"/>
        </w:rPr>
        <w:t>农 发</w:t>
      </w:r>
      <w:r>
        <w:rPr>
          <w:sz w:val="18"/>
          <w:szCs w:val="18"/>
          <w:spacing w:val="7"/>
        </w:rPr>
        <w:t xml:space="preserve"> </w:t>
      </w:r>
      <w:r>
        <w:rPr>
          <w:sz w:val="18"/>
          <w:szCs w:val="18"/>
          <w:spacing w:val="-9"/>
        </w:rPr>
        <w:t>行</w:t>
      </w:r>
      <w:r>
        <w:rPr>
          <w:sz w:val="18"/>
          <w:szCs w:val="18"/>
          <w:spacing w:val="4"/>
        </w:rPr>
        <w:t xml:space="preserve"> </w:t>
      </w:r>
      <w:r>
        <w:rPr>
          <w:sz w:val="18"/>
          <w:szCs w:val="18"/>
          <w:spacing w:val="-9"/>
        </w:rPr>
        <w:t>固</w:t>
      </w:r>
      <w:r>
        <w:rPr>
          <w:sz w:val="18"/>
          <w:szCs w:val="18"/>
          <w:spacing w:val="7"/>
        </w:rPr>
        <w:t xml:space="preserve"> </w:t>
      </w:r>
      <w:r>
        <w:rPr>
          <w:sz w:val="18"/>
          <w:szCs w:val="18"/>
          <w:spacing w:val="-9"/>
        </w:rPr>
        <w:t>原</w:t>
      </w:r>
      <w:r>
        <w:rPr>
          <w:sz w:val="18"/>
          <w:szCs w:val="18"/>
          <w:spacing w:val="2"/>
        </w:rPr>
        <w:t xml:space="preserve"> </w:t>
      </w:r>
      <w:r>
        <w:rPr>
          <w:sz w:val="18"/>
          <w:szCs w:val="18"/>
          <w:spacing w:val="-9"/>
        </w:rPr>
        <w:t>分 行</w:t>
      </w:r>
    </w:p>
    <w:p>
      <w:pPr>
        <w:spacing w:line="253" w:lineRule="auto"/>
        <w:rPr>
          <w:rFonts w:ascii="Arial"/>
          <w:sz w:val="21"/>
        </w:rPr>
      </w:pPr>
      <w:r/>
    </w:p>
    <w:p>
      <w:pPr>
        <w:pStyle w:val="BodyText"/>
        <w:ind w:left="4335"/>
        <w:spacing w:before="60" w:line="213" w:lineRule="auto"/>
        <w:rPr>
          <w:sz w:val="18"/>
          <w:szCs w:val="18"/>
        </w:rPr>
      </w:pPr>
      <w:r>
        <w:rPr>
          <w:sz w:val="18"/>
          <w:szCs w:val="18"/>
          <w:spacing w:val="-9"/>
        </w:rPr>
        <w:t>宁 夏 储 备</w:t>
      </w:r>
      <w:r>
        <w:rPr>
          <w:sz w:val="18"/>
          <w:szCs w:val="18"/>
          <w:spacing w:val="9"/>
        </w:rPr>
        <w:t xml:space="preserve"> </w:t>
      </w:r>
      <w:r>
        <w:rPr>
          <w:sz w:val="18"/>
          <w:szCs w:val="18"/>
          <w:spacing w:val="-9"/>
        </w:rPr>
        <w:t>粮</w:t>
      </w:r>
      <w:r>
        <w:rPr>
          <w:sz w:val="18"/>
          <w:szCs w:val="18"/>
          <w:spacing w:val="7"/>
        </w:rPr>
        <w:t xml:space="preserve"> </w:t>
      </w:r>
      <w:r>
        <w:rPr>
          <w:sz w:val="18"/>
          <w:szCs w:val="18"/>
          <w:spacing w:val="-9"/>
        </w:rPr>
        <w:t>北</w:t>
      </w:r>
      <w:r>
        <w:rPr>
          <w:sz w:val="18"/>
          <w:szCs w:val="18"/>
          <w:spacing w:val="8"/>
        </w:rPr>
        <w:t xml:space="preserve"> </w:t>
      </w:r>
      <w:r>
        <w:rPr>
          <w:sz w:val="18"/>
          <w:szCs w:val="18"/>
          <w:spacing w:val="-9"/>
        </w:rPr>
        <w:t>海</w:t>
      </w:r>
      <w:r>
        <w:rPr>
          <w:sz w:val="18"/>
          <w:szCs w:val="18"/>
          <w:spacing w:val="5"/>
        </w:rPr>
        <w:t xml:space="preserve"> </w:t>
      </w:r>
      <w:r>
        <w:rPr>
          <w:sz w:val="18"/>
          <w:szCs w:val="18"/>
          <w:spacing w:val="-9"/>
        </w:rPr>
        <w:t>子</w:t>
      </w:r>
      <w:r>
        <w:rPr>
          <w:sz w:val="18"/>
          <w:szCs w:val="18"/>
          <w:spacing w:val="2"/>
        </w:rPr>
        <w:t xml:space="preserve"> </w:t>
      </w:r>
      <w:r>
        <w:rPr>
          <w:sz w:val="18"/>
          <w:szCs w:val="18"/>
          <w:spacing w:val="-9"/>
        </w:rPr>
        <w:t>储</w:t>
      </w:r>
      <w:r>
        <w:rPr>
          <w:sz w:val="18"/>
          <w:szCs w:val="18"/>
          <w:spacing w:val="-1"/>
        </w:rPr>
        <w:t xml:space="preserve"> </w:t>
      </w:r>
      <w:r>
        <w:rPr>
          <w:sz w:val="18"/>
          <w:szCs w:val="18"/>
          <w:spacing w:val="-9"/>
        </w:rPr>
        <w:t>备 库</w:t>
      </w:r>
    </w:p>
    <w:p>
      <w:pPr>
        <w:spacing w:line="255" w:lineRule="auto"/>
        <w:rPr>
          <w:rFonts w:ascii="Arial"/>
          <w:sz w:val="21"/>
        </w:rPr>
      </w:pPr>
      <w:r/>
    </w:p>
    <w:p>
      <w:pPr>
        <w:pStyle w:val="BodyText"/>
        <w:ind w:left="4594"/>
        <w:spacing w:before="61" w:line="213" w:lineRule="auto"/>
        <w:rPr>
          <w:sz w:val="18"/>
          <w:szCs w:val="18"/>
        </w:rPr>
      </w:pPr>
      <w:r>
        <w:rPr>
          <w:sz w:val="18"/>
          <w:szCs w:val="18"/>
          <w:spacing w:val="-8"/>
        </w:rPr>
        <w:t>宁 夏 储 备</w:t>
      </w:r>
      <w:r>
        <w:rPr>
          <w:sz w:val="18"/>
          <w:szCs w:val="18"/>
          <w:spacing w:val="4"/>
        </w:rPr>
        <w:t xml:space="preserve"> </w:t>
      </w:r>
      <w:r>
        <w:rPr>
          <w:sz w:val="18"/>
          <w:szCs w:val="18"/>
          <w:spacing w:val="-8"/>
        </w:rPr>
        <w:t>粮</w:t>
      </w:r>
      <w:r>
        <w:rPr>
          <w:sz w:val="18"/>
          <w:szCs w:val="18"/>
          <w:spacing w:val="10"/>
        </w:rPr>
        <w:t xml:space="preserve"> </w:t>
      </w:r>
      <w:r>
        <w:rPr>
          <w:sz w:val="18"/>
          <w:szCs w:val="18"/>
          <w:spacing w:val="-8"/>
        </w:rPr>
        <w:t>固</w:t>
      </w:r>
      <w:r>
        <w:rPr>
          <w:sz w:val="18"/>
          <w:szCs w:val="18"/>
          <w:spacing w:val="4"/>
        </w:rPr>
        <w:t xml:space="preserve"> </w:t>
      </w:r>
      <w:r>
        <w:rPr>
          <w:sz w:val="18"/>
          <w:szCs w:val="18"/>
          <w:spacing w:val="-8"/>
        </w:rPr>
        <w:t>原</w:t>
      </w:r>
      <w:r>
        <w:rPr>
          <w:sz w:val="18"/>
          <w:szCs w:val="18"/>
          <w:spacing w:val="1"/>
        </w:rPr>
        <w:t xml:space="preserve"> </w:t>
      </w:r>
      <w:r>
        <w:rPr>
          <w:sz w:val="18"/>
          <w:szCs w:val="18"/>
          <w:spacing w:val="-8"/>
        </w:rPr>
        <w:t>储</w:t>
      </w:r>
      <w:r>
        <w:rPr>
          <w:sz w:val="18"/>
          <w:szCs w:val="18"/>
          <w:spacing w:val="-1"/>
        </w:rPr>
        <w:t xml:space="preserve"> </w:t>
      </w:r>
      <w:r>
        <w:rPr>
          <w:sz w:val="18"/>
          <w:szCs w:val="18"/>
          <w:spacing w:val="-8"/>
        </w:rPr>
        <w:t>备 库</w:t>
      </w:r>
    </w:p>
    <w:p>
      <w:pPr>
        <w:spacing w:line="253" w:lineRule="auto"/>
        <w:rPr>
          <w:rFonts w:ascii="Arial"/>
          <w:sz w:val="21"/>
        </w:rPr>
      </w:pPr>
      <w:r/>
    </w:p>
    <w:p>
      <w:pPr>
        <w:pStyle w:val="BodyText"/>
        <w:ind w:left="4858"/>
        <w:spacing w:before="61" w:line="213" w:lineRule="auto"/>
        <w:rPr>
          <w:sz w:val="18"/>
          <w:szCs w:val="18"/>
        </w:rPr>
      </w:pPr>
      <w:r>
        <w:rPr>
          <w:sz w:val="18"/>
          <w:szCs w:val="18"/>
          <w:spacing w:val="-8"/>
        </w:rPr>
        <w:t>固 原</w:t>
      </w:r>
      <w:r>
        <w:rPr>
          <w:sz w:val="18"/>
          <w:szCs w:val="18"/>
          <w:spacing w:val="4"/>
        </w:rPr>
        <w:t xml:space="preserve"> </w:t>
      </w:r>
      <w:r>
        <w:rPr>
          <w:sz w:val="18"/>
          <w:szCs w:val="18"/>
          <w:spacing w:val="-8"/>
        </w:rPr>
        <w:t>市</w:t>
      </w:r>
      <w:r>
        <w:rPr>
          <w:sz w:val="18"/>
          <w:szCs w:val="18"/>
          <w:spacing w:val="1"/>
        </w:rPr>
        <w:t xml:space="preserve"> </w:t>
      </w:r>
      <w:r>
        <w:rPr>
          <w:sz w:val="18"/>
          <w:szCs w:val="18"/>
          <w:spacing w:val="-8"/>
        </w:rPr>
        <w:t>粮</w:t>
      </w:r>
      <w:r>
        <w:rPr>
          <w:sz w:val="18"/>
          <w:szCs w:val="18"/>
          <w:spacing w:val="4"/>
        </w:rPr>
        <w:t xml:space="preserve"> </w:t>
      </w:r>
      <w:r>
        <w:rPr>
          <w:sz w:val="18"/>
          <w:szCs w:val="18"/>
          <w:spacing w:val="-8"/>
        </w:rPr>
        <w:t>食 储</w:t>
      </w:r>
      <w:r>
        <w:rPr>
          <w:sz w:val="18"/>
          <w:szCs w:val="18"/>
          <w:spacing w:val="-3"/>
        </w:rPr>
        <w:t xml:space="preserve"> </w:t>
      </w:r>
      <w:r>
        <w:rPr>
          <w:sz w:val="18"/>
          <w:szCs w:val="18"/>
          <w:spacing w:val="-8"/>
        </w:rPr>
        <w:t>备</w:t>
      </w:r>
      <w:r>
        <w:rPr>
          <w:sz w:val="18"/>
          <w:szCs w:val="18"/>
          <w:spacing w:val="4"/>
        </w:rPr>
        <w:t xml:space="preserve"> </w:t>
      </w:r>
      <w:r>
        <w:rPr>
          <w:sz w:val="18"/>
          <w:szCs w:val="18"/>
          <w:spacing w:val="-8"/>
        </w:rPr>
        <w:t>局</w:t>
      </w:r>
    </w:p>
    <w:p>
      <w:pPr>
        <w:spacing w:line="256" w:lineRule="auto"/>
        <w:rPr>
          <w:rFonts w:ascii="Arial"/>
          <w:sz w:val="21"/>
        </w:rPr>
      </w:pPr>
      <w:r/>
    </w:p>
    <w:p>
      <w:pPr>
        <w:pStyle w:val="BodyText"/>
        <w:ind w:left="5249"/>
        <w:spacing w:before="60" w:line="210" w:lineRule="auto"/>
        <w:rPr>
          <w:sz w:val="18"/>
          <w:szCs w:val="18"/>
        </w:rPr>
      </w:pPr>
      <w:r>
        <w:rPr>
          <w:sz w:val="18"/>
          <w:szCs w:val="18"/>
          <w:spacing w:val="-10"/>
        </w:rPr>
        <w:t>固</w:t>
      </w:r>
      <w:r>
        <w:rPr>
          <w:sz w:val="18"/>
          <w:szCs w:val="18"/>
          <w:spacing w:val="9"/>
        </w:rPr>
        <w:t xml:space="preserve"> </w:t>
      </w:r>
      <w:r>
        <w:rPr>
          <w:sz w:val="18"/>
          <w:szCs w:val="18"/>
          <w:spacing w:val="-10"/>
        </w:rPr>
        <w:t>原</w:t>
      </w:r>
      <w:r>
        <w:rPr>
          <w:sz w:val="18"/>
          <w:szCs w:val="18"/>
          <w:spacing w:val="7"/>
        </w:rPr>
        <w:t xml:space="preserve"> </w:t>
      </w:r>
      <w:r>
        <w:rPr>
          <w:sz w:val="18"/>
          <w:szCs w:val="18"/>
          <w:spacing w:val="-10"/>
        </w:rPr>
        <w:t>军 分</w:t>
      </w:r>
      <w:r>
        <w:rPr>
          <w:sz w:val="18"/>
          <w:szCs w:val="18"/>
          <w:spacing w:val="6"/>
        </w:rPr>
        <w:t xml:space="preserve"> </w:t>
      </w:r>
      <w:r>
        <w:rPr>
          <w:sz w:val="18"/>
          <w:szCs w:val="18"/>
          <w:spacing w:val="-10"/>
        </w:rPr>
        <w:t>区</w:t>
      </w:r>
    </w:p>
    <w:p>
      <w:pPr>
        <w:spacing w:line="258" w:lineRule="auto"/>
        <w:rPr>
          <w:rFonts w:ascii="Arial"/>
          <w:sz w:val="21"/>
        </w:rPr>
      </w:pPr>
      <w:r/>
    </w:p>
    <w:p>
      <w:pPr>
        <w:pStyle w:val="BodyText"/>
        <w:ind w:left="4858"/>
        <w:spacing w:before="61" w:line="212" w:lineRule="auto"/>
        <w:rPr>
          <w:sz w:val="18"/>
          <w:szCs w:val="18"/>
        </w:rPr>
      </w:pPr>
      <w:r>
        <w:rPr>
          <w:sz w:val="18"/>
          <w:szCs w:val="18"/>
          <w:spacing w:val="-10"/>
        </w:rPr>
        <w:t>固 原</w:t>
      </w:r>
      <w:r>
        <w:rPr>
          <w:sz w:val="18"/>
          <w:szCs w:val="18"/>
          <w:spacing w:val="6"/>
        </w:rPr>
        <w:t xml:space="preserve"> </w:t>
      </w:r>
      <w:r>
        <w:rPr>
          <w:sz w:val="18"/>
          <w:szCs w:val="18"/>
          <w:spacing w:val="-10"/>
        </w:rPr>
        <w:t>市</w:t>
      </w:r>
      <w:r>
        <w:rPr>
          <w:sz w:val="18"/>
          <w:szCs w:val="18"/>
          <w:spacing w:val="-1"/>
        </w:rPr>
        <w:t xml:space="preserve"> </w:t>
      </w:r>
      <w:r>
        <w:rPr>
          <w:sz w:val="18"/>
          <w:szCs w:val="18"/>
          <w:spacing w:val="-10"/>
        </w:rPr>
        <w:t>市</w:t>
      </w:r>
      <w:r>
        <w:rPr>
          <w:sz w:val="18"/>
          <w:szCs w:val="18"/>
          <w:spacing w:val="1"/>
        </w:rPr>
        <w:t xml:space="preserve"> </w:t>
      </w:r>
      <w:r>
        <w:rPr>
          <w:sz w:val="18"/>
          <w:szCs w:val="18"/>
          <w:spacing w:val="-10"/>
        </w:rPr>
        <w:t>场</w:t>
      </w:r>
      <w:r>
        <w:rPr>
          <w:sz w:val="18"/>
          <w:szCs w:val="18"/>
          <w:spacing w:val="4"/>
        </w:rPr>
        <w:t xml:space="preserve"> </w:t>
      </w:r>
      <w:r>
        <w:rPr>
          <w:sz w:val="18"/>
          <w:szCs w:val="18"/>
          <w:spacing w:val="-10"/>
        </w:rPr>
        <w:t>监</w:t>
      </w:r>
      <w:r>
        <w:rPr>
          <w:sz w:val="18"/>
          <w:szCs w:val="18"/>
          <w:spacing w:val="4"/>
        </w:rPr>
        <w:t xml:space="preserve"> </w:t>
      </w:r>
      <w:r>
        <w:rPr>
          <w:sz w:val="18"/>
          <w:szCs w:val="18"/>
          <w:spacing w:val="-10"/>
        </w:rPr>
        <w:t>管</w:t>
      </w:r>
      <w:r>
        <w:rPr>
          <w:sz w:val="18"/>
          <w:szCs w:val="18"/>
          <w:spacing w:val="6"/>
        </w:rPr>
        <w:t xml:space="preserve"> </w:t>
      </w:r>
      <w:r>
        <w:rPr>
          <w:sz w:val="18"/>
          <w:szCs w:val="18"/>
          <w:spacing w:val="-10"/>
        </w:rPr>
        <w:t>局</w:t>
      </w:r>
    </w:p>
    <w:p>
      <w:pPr>
        <w:spacing w:line="256" w:lineRule="auto"/>
        <w:rPr>
          <w:rFonts w:ascii="Arial"/>
          <w:sz w:val="21"/>
        </w:rPr>
      </w:pPr>
      <w:r/>
    </w:p>
    <w:p>
      <w:pPr>
        <w:pStyle w:val="BodyText"/>
        <w:ind w:left="4858"/>
        <w:spacing w:before="61" w:line="212" w:lineRule="auto"/>
        <w:rPr>
          <w:sz w:val="18"/>
          <w:szCs w:val="18"/>
        </w:rPr>
      </w:pPr>
      <w:r>
        <w:rPr>
          <w:sz w:val="18"/>
          <w:szCs w:val="18"/>
          <w:spacing w:val="-12"/>
        </w:rPr>
        <w:t>固</w:t>
      </w:r>
      <w:r>
        <w:rPr>
          <w:sz w:val="18"/>
          <w:szCs w:val="18"/>
          <w:spacing w:val="11"/>
        </w:rPr>
        <w:t xml:space="preserve"> </w:t>
      </w:r>
      <w:r>
        <w:rPr>
          <w:sz w:val="18"/>
          <w:szCs w:val="18"/>
          <w:spacing w:val="-12"/>
        </w:rPr>
        <w:t>原 市</w:t>
      </w:r>
      <w:r>
        <w:rPr>
          <w:sz w:val="18"/>
          <w:szCs w:val="18"/>
          <w:spacing w:val="10"/>
        </w:rPr>
        <w:t xml:space="preserve"> </w:t>
      </w:r>
      <w:r>
        <w:rPr>
          <w:sz w:val="18"/>
          <w:szCs w:val="18"/>
          <w:spacing w:val="-12"/>
        </w:rPr>
        <w:t>卫</w:t>
      </w:r>
      <w:r>
        <w:rPr>
          <w:sz w:val="18"/>
          <w:szCs w:val="18"/>
          <w:spacing w:val="19"/>
        </w:rPr>
        <w:t xml:space="preserve"> </w:t>
      </w:r>
      <w:r>
        <w:rPr>
          <w:sz w:val="18"/>
          <w:szCs w:val="18"/>
          <w:spacing w:val="-12"/>
        </w:rPr>
        <w:t>生</w:t>
      </w:r>
      <w:r>
        <w:rPr>
          <w:sz w:val="18"/>
          <w:szCs w:val="18"/>
          <w:spacing w:val="6"/>
        </w:rPr>
        <w:t xml:space="preserve"> </w:t>
      </w:r>
      <w:r>
        <w:rPr>
          <w:sz w:val="18"/>
          <w:szCs w:val="18"/>
          <w:spacing w:val="-12"/>
        </w:rPr>
        <w:t>健 康</w:t>
      </w:r>
      <w:r>
        <w:rPr>
          <w:sz w:val="18"/>
          <w:szCs w:val="18"/>
          <w:spacing w:val="1"/>
        </w:rPr>
        <w:t xml:space="preserve"> </w:t>
      </w:r>
      <w:r>
        <w:rPr>
          <w:sz w:val="18"/>
          <w:szCs w:val="18"/>
          <w:spacing w:val="-12"/>
        </w:rPr>
        <w:t>委</w:t>
      </w:r>
    </w:p>
    <w:p>
      <w:pPr>
        <w:spacing w:line="254" w:lineRule="auto"/>
        <w:rPr>
          <w:rFonts w:ascii="Arial"/>
          <w:sz w:val="21"/>
        </w:rPr>
      </w:pPr>
      <w:r/>
    </w:p>
    <w:p>
      <w:pPr>
        <w:pStyle w:val="BodyText"/>
        <w:ind w:left="4858"/>
        <w:spacing w:before="61" w:line="211" w:lineRule="auto"/>
        <w:rPr>
          <w:sz w:val="18"/>
          <w:szCs w:val="18"/>
        </w:rPr>
      </w:pPr>
      <w:r>
        <w:rPr>
          <w:sz w:val="18"/>
          <w:szCs w:val="18"/>
          <w:spacing w:val="-8"/>
        </w:rPr>
        <w:t>固 原</w:t>
      </w:r>
      <w:r>
        <w:rPr>
          <w:sz w:val="18"/>
          <w:szCs w:val="18"/>
          <w:spacing w:val="4"/>
        </w:rPr>
        <w:t xml:space="preserve"> </w:t>
      </w:r>
      <w:r>
        <w:rPr>
          <w:sz w:val="18"/>
          <w:szCs w:val="18"/>
          <w:spacing w:val="-8"/>
        </w:rPr>
        <w:t>市 商</w:t>
      </w:r>
      <w:r>
        <w:rPr>
          <w:sz w:val="18"/>
          <w:szCs w:val="18"/>
          <w:spacing w:val="1"/>
        </w:rPr>
        <w:t xml:space="preserve"> </w:t>
      </w:r>
      <w:r>
        <w:rPr>
          <w:sz w:val="18"/>
          <w:szCs w:val="18"/>
          <w:spacing w:val="-8"/>
        </w:rPr>
        <w:t>务</w:t>
      </w:r>
      <w:r>
        <w:rPr>
          <w:sz w:val="18"/>
          <w:szCs w:val="18"/>
          <w:spacing w:val="2"/>
        </w:rPr>
        <w:t xml:space="preserve"> </w:t>
      </w:r>
      <w:r>
        <w:rPr>
          <w:sz w:val="18"/>
          <w:szCs w:val="18"/>
          <w:spacing w:val="-8"/>
        </w:rPr>
        <w:t>投</w:t>
      </w:r>
      <w:r>
        <w:rPr>
          <w:sz w:val="18"/>
          <w:szCs w:val="18"/>
          <w:spacing w:val="-2"/>
        </w:rPr>
        <w:t xml:space="preserve"> </w:t>
      </w:r>
      <w:r>
        <w:rPr>
          <w:sz w:val="18"/>
          <w:szCs w:val="18"/>
          <w:spacing w:val="-8"/>
        </w:rPr>
        <w:t>资</w:t>
      </w:r>
      <w:r>
        <w:rPr>
          <w:sz w:val="18"/>
          <w:szCs w:val="18"/>
          <w:spacing w:val="5"/>
        </w:rPr>
        <w:t xml:space="preserve"> </w:t>
      </w:r>
      <w:r>
        <w:rPr>
          <w:sz w:val="18"/>
          <w:szCs w:val="18"/>
          <w:spacing w:val="-8"/>
        </w:rPr>
        <w:t>局</w:t>
      </w:r>
    </w:p>
    <w:p>
      <w:pPr>
        <w:spacing w:line="257" w:lineRule="auto"/>
        <w:rPr>
          <w:rFonts w:ascii="Arial"/>
          <w:sz w:val="21"/>
        </w:rPr>
      </w:pPr>
      <w:r/>
    </w:p>
    <w:p>
      <w:pPr>
        <w:pStyle w:val="BodyText"/>
        <w:ind w:left="4858"/>
        <w:spacing w:before="61" w:line="213" w:lineRule="auto"/>
        <w:rPr>
          <w:sz w:val="18"/>
          <w:szCs w:val="18"/>
        </w:rPr>
      </w:pPr>
      <w:r>
        <w:rPr>
          <w:sz w:val="18"/>
          <w:szCs w:val="18"/>
          <w:spacing w:val="-10"/>
        </w:rPr>
        <w:t>固 原</w:t>
      </w:r>
      <w:r>
        <w:rPr>
          <w:sz w:val="18"/>
          <w:szCs w:val="18"/>
          <w:spacing w:val="6"/>
        </w:rPr>
        <w:t xml:space="preserve"> </w:t>
      </w:r>
      <w:r>
        <w:rPr>
          <w:sz w:val="18"/>
          <w:szCs w:val="18"/>
          <w:spacing w:val="-10"/>
        </w:rPr>
        <w:t>市</w:t>
      </w:r>
      <w:r>
        <w:rPr>
          <w:sz w:val="18"/>
          <w:szCs w:val="18"/>
          <w:spacing w:val="-2"/>
        </w:rPr>
        <w:t xml:space="preserve"> </w:t>
      </w:r>
      <w:r>
        <w:rPr>
          <w:sz w:val="18"/>
          <w:szCs w:val="18"/>
          <w:spacing w:val="-10"/>
        </w:rPr>
        <w:t>农</w:t>
      </w:r>
      <w:r>
        <w:rPr>
          <w:sz w:val="18"/>
          <w:szCs w:val="18"/>
          <w:spacing w:val="8"/>
        </w:rPr>
        <w:t xml:space="preserve"> </w:t>
      </w:r>
      <w:r>
        <w:rPr>
          <w:sz w:val="18"/>
          <w:szCs w:val="18"/>
          <w:spacing w:val="-10"/>
        </w:rPr>
        <w:t>业</w:t>
      </w:r>
      <w:r>
        <w:rPr>
          <w:sz w:val="18"/>
          <w:szCs w:val="18"/>
          <w:spacing w:val="4"/>
        </w:rPr>
        <w:t xml:space="preserve"> </w:t>
      </w:r>
      <w:r>
        <w:rPr>
          <w:sz w:val="18"/>
          <w:szCs w:val="18"/>
          <w:spacing w:val="-10"/>
        </w:rPr>
        <w:t>农</w:t>
      </w:r>
      <w:r>
        <w:rPr>
          <w:sz w:val="18"/>
          <w:szCs w:val="18"/>
          <w:spacing w:val="-2"/>
        </w:rPr>
        <w:t xml:space="preserve"> </w:t>
      </w:r>
      <w:r>
        <w:rPr>
          <w:sz w:val="18"/>
          <w:szCs w:val="18"/>
          <w:spacing w:val="-10"/>
        </w:rPr>
        <w:t>村</w:t>
      </w:r>
      <w:r>
        <w:rPr>
          <w:sz w:val="18"/>
          <w:szCs w:val="18"/>
          <w:spacing w:val="6"/>
        </w:rPr>
        <w:t xml:space="preserve"> </w:t>
      </w:r>
      <w:r>
        <w:rPr>
          <w:sz w:val="18"/>
          <w:szCs w:val="18"/>
          <w:spacing w:val="-10"/>
        </w:rPr>
        <w:t>局</w:t>
      </w:r>
    </w:p>
    <w:p>
      <w:pPr>
        <w:spacing w:line="255" w:lineRule="auto"/>
        <w:rPr>
          <w:rFonts w:ascii="Arial"/>
          <w:sz w:val="21"/>
        </w:rPr>
      </w:pPr>
      <w:r>
        <w:pict>
          <v:shape id="_x0000_s162" style="position:absolute;margin-left:-9.48105pt;margin-top:59.3897pt;mso-position-vertical-relative:text;mso-position-horizontal-relative:text;width:72.95pt;height:12.2pt;z-index:253811712;" filled="false" stroked="false" type="#_x0000_t202">
            <v:fill on="false"/>
            <v:stroke on="false"/>
            <v:path/>
            <v:imagedata o:title=""/>
            <o:lock v:ext="edit" aspectratio="false"/>
            <v:textbox inset="0mm,0mm,0mm,0mm">
              <w:txbxContent>
                <w:p>
                  <w:pPr>
                    <w:pStyle w:val="BodyText"/>
                    <w:ind w:left="20"/>
                    <w:spacing w:before="20" w:line="209" w:lineRule="auto"/>
                    <w:rPr>
                      <w:sz w:val="18"/>
                      <w:szCs w:val="18"/>
                    </w:rPr>
                  </w:pPr>
                  <w:r>
                    <w:rPr>
                      <w:sz w:val="18"/>
                      <w:szCs w:val="18"/>
                      <w:spacing w:val="-3"/>
                    </w:rPr>
                    <w:t>固原市应急委员会</w:t>
                  </w:r>
                </w:p>
              </w:txbxContent>
            </v:textbox>
          </v:shape>
        </w:pict>
      </w:r>
      <w:r>
        <w:pict>
          <v:shape id="_x0000_s164" style="position:absolute;margin-left:-0.21109pt;margin-top:156.949pt;mso-position-vertical-relative:text;mso-position-horizontal-relative:text;width:55.75pt;height:12.25pt;z-index:253812736;" filled="false" stroked="false" type="#_x0000_t202">
            <v:fill on="false"/>
            <v:stroke on="false"/>
            <v:path/>
            <v:imagedata o:title=""/>
            <o:lock v:ext="edit" aspectratio="false"/>
            <v:textbox inset="0mm,0mm,0mm,0mm">
              <w:txbxContent>
                <w:p>
                  <w:pPr>
                    <w:pStyle w:val="BodyText"/>
                    <w:ind w:left="20"/>
                    <w:spacing w:before="19" w:line="210" w:lineRule="auto"/>
                    <w:rPr>
                      <w:sz w:val="18"/>
                      <w:szCs w:val="18"/>
                    </w:rPr>
                  </w:pPr>
                  <w:r>
                    <w:rPr>
                      <w:sz w:val="18"/>
                      <w:szCs w:val="18"/>
                      <w:spacing w:val="-1"/>
                    </w:rPr>
                    <w:t>指挥部办公室</w:t>
                  </w:r>
                </w:p>
              </w:txbxContent>
            </v:textbox>
          </v:shape>
        </w:pict>
      </w:r>
      <w:r/>
    </w:p>
    <w:p>
      <w:pPr>
        <w:pStyle w:val="BodyText"/>
        <w:ind w:left="4858"/>
        <w:spacing w:before="60" w:line="212" w:lineRule="auto"/>
        <w:rPr>
          <w:sz w:val="18"/>
          <w:szCs w:val="18"/>
        </w:rPr>
      </w:pPr>
      <w:r>
        <w:rPr>
          <w:sz w:val="18"/>
          <w:szCs w:val="18"/>
          <w:spacing w:val="-13"/>
        </w:rPr>
        <w:t>固</w:t>
      </w:r>
      <w:r>
        <w:rPr>
          <w:sz w:val="18"/>
          <w:szCs w:val="18"/>
          <w:spacing w:val="10"/>
        </w:rPr>
        <w:t xml:space="preserve"> </w:t>
      </w:r>
      <w:r>
        <w:rPr>
          <w:sz w:val="18"/>
          <w:szCs w:val="18"/>
          <w:spacing w:val="-13"/>
        </w:rPr>
        <w:t>原 市</w:t>
      </w:r>
      <w:r>
        <w:rPr>
          <w:sz w:val="18"/>
          <w:szCs w:val="18"/>
        </w:rPr>
        <w:t xml:space="preserve"> </w:t>
      </w:r>
      <w:r>
        <w:rPr>
          <w:sz w:val="18"/>
          <w:szCs w:val="18"/>
          <w:spacing w:val="-13"/>
        </w:rPr>
        <w:t>交</w:t>
      </w:r>
      <w:r>
        <w:rPr>
          <w:sz w:val="18"/>
          <w:szCs w:val="18"/>
          <w:spacing w:val="10"/>
        </w:rPr>
        <w:t xml:space="preserve"> </w:t>
      </w:r>
      <w:r>
        <w:rPr>
          <w:sz w:val="18"/>
          <w:szCs w:val="18"/>
          <w:spacing w:val="-13"/>
        </w:rPr>
        <w:t>通</w:t>
      </w:r>
      <w:r>
        <w:rPr>
          <w:sz w:val="18"/>
          <w:szCs w:val="18"/>
          <w:spacing w:val="14"/>
        </w:rPr>
        <w:t xml:space="preserve"> </w:t>
      </w:r>
      <w:r>
        <w:rPr>
          <w:sz w:val="18"/>
          <w:szCs w:val="18"/>
          <w:spacing w:val="-13"/>
        </w:rPr>
        <w:t>运</w:t>
      </w:r>
      <w:r>
        <w:rPr>
          <w:sz w:val="18"/>
          <w:szCs w:val="18"/>
          <w:spacing w:val="7"/>
        </w:rPr>
        <w:t xml:space="preserve"> </w:t>
      </w:r>
      <w:r>
        <w:rPr>
          <w:sz w:val="18"/>
          <w:szCs w:val="18"/>
          <w:spacing w:val="-13"/>
        </w:rPr>
        <w:t>输</w:t>
      </w:r>
      <w:r>
        <w:rPr>
          <w:sz w:val="18"/>
          <w:szCs w:val="18"/>
          <w:spacing w:val="6"/>
        </w:rPr>
        <w:t xml:space="preserve"> </w:t>
      </w:r>
      <w:r>
        <w:rPr>
          <w:sz w:val="18"/>
          <w:szCs w:val="18"/>
          <w:spacing w:val="-13"/>
        </w:rPr>
        <w:t>局</w:t>
      </w:r>
    </w:p>
    <w:p>
      <w:pPr>
        <w:spacing w:line="256" w:lineRule="auto"/>
        <w:rPr>
          <w:rFonts w:ascii="Arial"/>
          <w:sz w:val="21"/>
        </w:rPr>
      </w:pPr>
      <w:r>
        <w:pict>
          <v:shape id="_x0000_s166" style="position:absolute;margin-left:-6.06113pt;margin-top:108.193pt;mso-position-vertical-relative:text;mso-position-horizontal-relative:text;width:108.95pt;height:12.3pt;z-index:253810688;" filled="false" stroked="false" type="#_x0000_t202">
            <v:fill on="false"/>
            <v:stroke on="false"/>
            <v:path/>
            <v:imagedata o:title=""/>
            <o:lock v:ext="edit" aspectratio="false"/>
            <v:textbox inset="0mm,0mm,0mm,0mm">
              <w:txbxContent>
                <w:p>
                  <w:pPr>
                    <w:pStyle w:val="BodyText"/>
                    <w:ind w:left="20"/>
                    <w:spacing w:before="19" w:line="211" w:lineRule="auto"/>
                    <w:rPr>
                      <w:sz w:val="18"/>
                      <w:szCs w:val="18"/>
                    </w:rPr>
                  </w:pPr>
                  <w:r>
                    <w:rPr>
                      <w:sz w:val="18"/>
                      <w:szCs w:val="18"/>
                      <w:spacing w:val="-2"/>
                    </w:rPr>
                    <w:t>固原市粮食应急处置指挥部</w:t>
                  </w:r>
                </w:p>
              </w:txbxContent>
            </v:textbox>
          </v:shape>
        </w:pict>
      </w:r>
      <w:r/>
    </w:p>
    <w:p>
      <w:pPr>
        <w:pStyle w:val="BodyText"/>
        <w:ind w:left="5119"/>
        <w:spacing w:before="61" w:line="211" w:lineRule="auto"/>
        <w:rPr>
          <w:sz w:val="18"/>
          <w:szCs w:val="18"/>
        </w:rPr>
      </w:pPr>
      <w:r>
        <w:rPr>
          <w:sz w:val="18"/>
          <w:szCs w:val="18"/>
          <w:spacing w:val="-9"/>
        </w:rPr>
        <w:t>固 原</w:t>
      </w:r>
      <w:r>
        <w:rPr>
          <w:sz w:val="18"/>
          <w:szCs w:val="18"/>
          <w:spacing w:val="3"/>
        </w:rPr>
        <w:t xml:space="preserve"> </w:t>
      </w:r>
      <w:r>
        <w:rPr>
          <w:sz w:val="18"/>
          <w:szCs w:val="18"/>
          <w:spacing w:val="-9"/>
        </w:rPr>
        <w:t>市</w:t>
      </w:r>
      <w:r>
        <w:rPr>
          <w:sz w:val="18"/>
          <w:szCs w:val="18"/>
          <w:spacing w:val="3"/>
        </w:rPr>
        <w:t xml:space="preserve"> </w:t>
      </w:r>
      <w:r>
        <w:rPr>
          <w:sz w:val="18"/>
          <w:szCs w:val="18"/>
          <w:spacing w:val="-9"/>
        </w:rPr>
        <w:t>财</w:t>
      </w:r>
      <w:r>
        <w:rPr>
          <w:sz w:val="18"/>
          <w:szCs w:val="18"/>
        </w:rPr>
        <w:t xml:space="preserve"> </w:t>
      </w:r>
      <w:r>
        <w:rPr>
          <w:sz w:val="18"/>
          <w:szCs w:val="18"/>
          <w:spacing w:val="-9"/>
        </w:rPr>
        <w:t>政</w:t>
      </w:r>
      <w:r>
        <w:rPr>
          <w:sz w:val="18"/>
          <w:szCs w:val="18"/>
          <w:spacing w:val="4"/>
        </w:rPr>
        <w:t xml:space="preserve"> </w:t>
      </w:r>
      <w:r>
        <w:rPr>
          <w:sz w:val="18"/>
          <w:szCs w:val="18"/>
          <w:spacing w:val="-9"/>
        </w:rPr>
        <w:t>局</w:t>
      </w:r>
    </w:p>
    <w:p>
      <w:pPr>
        <w:spacing w:line="255" w:lineRule="auto"/>
        <w:rPr>
          <w:rFonts w:ascii="Arial"/>
          <w:sz w:val="21"/>
        </w:rPr>
      </w:pPr>
      <w:r/>
    </w:p>
    <w:p>
      <w:pPr>
        <w:pStyle w:val="BodyText"/>
        <w:ind w:left="5119"/>
        <w:spacing w:before="61" w:line="211" w:lineRule="auto"/>
        <w:rPr>
          <w:sz w:val="18"/>
          <w:szCs w:val="18"/>
        </w:rPr>
      </w:pPr>
      <w:r>
        <w:rPr>
          <w:sz w:val="18"/>
          <w:szCs w:val="18"/>
          <w:spacing w:val="-11"/>
        </w:rPr>
        <w:t>固</w:t>
      </w:r>
      <w:r>
        <w:rPr>
          <w:sz w:val="18"/>
          <w:szCs w:val="18"/>
          <w:spacing w:val="5"/>
        </w:rPr>
        <w:t xml:space="preserve"> </w:t>
      </w:r>
      <w:r>
        <w:rPr>
          <w:sz w:val="18"/>
          <w:szCs w:val="18"/>
          <w:spacing w:val="-11"/>
        </w:rPr>
        <w:t>原 市</w:t>
      </w:r>
      <w:r>
        <w:rPr>
          <w:sz w:val="18"/>
          <w:szCs w:val="18"/>
          <w:spacing w:val="11"/>
        </w:rPr>
        <w:t xml:space="preserve"> </w:t>
      </w:r>
      <w:r>
        <w:rPr>
          <w:sz w:val="18"/>
          <w:szCs w:val="18"/>
          <w:spacing w:val="-11"/>
        </w:rPr>
        <w:t>民</w:t>
      </w:r>
      <w:r>
        <w:rPr>
          <w:sz w:val="18"/>
          <w:szCs w:val="18"/>
          <w:spacing w:val="4"/>
        </w:rPr>
        <w:t xml:space="preserve"> </w:t>
      </w:r>
      <w:r>
        <w:rPr>
          <w:sz w:val="18"/>
          <w:szCs w:val="18"/>
          <w:spacing w:val="-11"/>
        </w:rPr>
        <w:t>政</w:t>
      </w:r>
      <w:r>
        <w:rPr>
          <w:sz w:val="18"/>
          <w:szCs w:val="18"/>
          <w:spacing w:val="4"/>
        </w:rPr>
        <w:t xml:space="preserve"> </w:t>
      </w:r>
      <w:r>
        <w:rPr>
          <w:sz w:val="18"/>
          <w:szCs w:val="18"/>
          <w:spacing w:val="-11"/>
        </w:rPr>
        <w:t>局</w:t>
      </w:r>
    </w:p>
    <w:p>
      <w:pPr>
        <w:spacing w:line="257" w:lineRule="auto"/>
        <w:rPr>
          <w:rFonts w:ascii="Arial"/>
          <w:sz w:val="21"/>
        </w:rPr>
      </w:pPr>
      <w:r>
        <w:pict>
          <v:shape id="_x0000_s168" style="position:absolute;margin-left:-11.0486pt;margin-top:19.9758pt;mso-position-vertical-relative:text;mso-position-horizontal-relative:text;width:223.9pt;height:23pt;z-index:253809664;" filled="false" stroked="false" type="#_x0000_t202">
            <v:fill on="false"/>
            <v:stroke on="false"/>
            <v:path/>
            <v:imagedata o:title=""/>
            <o:lock v:ext="edit" aspectratio="false"/>
            <v:textbox inset="0mm,0mm,0mm,0mm">
              <w:txbxContent>
                <w:p>
                  <w:pPr>
                    <w:ind w:left="20"/>
                    <w:spacing w:before="19" w:line="210" w:lineRule="auto"/>
                    <w:rPr>
                      <w:rFonts w:ascii="Microsoft YaHei" w:hAnsi="Microsoft YaHei" w:eastAsia="Microsoft YaHei" w:cs="Microsoft YaHei"/>
                      <w:sz w:val="28"/>
                      <w:szCs w:val="28"/>
                    </w:rPr>
                  </w:pPr>
                  <w:r>
                    <w:rPr>
                      <w:rFonts w:ascii="Microsoft YaHei" w:hAnsi="Microsoft YaHei" w:eastAsia="Microsoft YaHei" w:cs="Microsoft YaHei"/>
                      <w:sz w:val="28"/>
                      <w:szCs w:val="28"/>
                      <w:spacing w:val="-3"/>
                    </w:rPr>
                    <w:t>9.1  固原市粮食应急预案组织机构图</w:t>
                  </w:r>
                </w:p>
              </w:txbxContent>
            </v:textbox>
          </v:shape>
        </w:pict>
      </w:r>
      <w:r/>
    </w:p>
    <w:p>
      <w:pPr>
        <w:pStyle w:val="BodyText"/>
        <w:ind w:left="5119"/>
        <w:spacing w:before="60" w:line="213" w:lineRule="auto"/>
        <w:rPr>
          <w:sz w:val="18"/>
          <w:szCs w:val="18"/>
        </w:rPr>
      </w:pPr>
      <w:r>
        <w:rPr>
          <w:sz w:val="18"/>
          <w:szCs w:val="18"/>
          <w:spacing w:val="-10"/>
        </w:rPr>
        <w:t>固 原</w:t>
      </w:r>
      <w:r>
        <w:rPr>
          <w:sz w:val="18"/>
          <w:szCs w:val="18"/>
          <w:spacing w:val="7"/>
        </w:rPr>
        <w:t xml:space="preserve"> </w:t>
      </w:r>
      <w:r>
        <w:rPr>
          <w:sz w:val="18"/>
          <w:szCs w:val="18"/>
          <w:spacing w:val="-10"/>
        </w:rPr>
        <w:t>市</w:t>
      </w:r>
      <w:r>
        <w:rPr>
          <w:sz w:val="18"/>
          <w:szCs w:val="18"/>
          <w:spacing w:val="3"/>
        </w:rPr>
        <w:t xml:space="preserve"> </w:t>
      </w:r>
      <w:r>
        <w:rPr>
          <w:sz w:val="18"/>
          <w:szCs w:val="18"/>
          <w:spacing w:val="-10"/>
        </w:rPr>
        <w:t>公</w:t>
      </w:r>
      <w:r>
        <w:rPr>
          <w:sz w:val="18"/>
          <w:szCs w:val="18"/>
          <w:spacing w:val="1"/>
        </w:rPr>
        <w:t xml:space="preserve"> </w:t>
      </w:r>
      <w:r>
        <w:rPr>
          <w:sz w:val="18"/>
          <w:szCs w:val="18"/>
          <w:spacing w:val="-10"/>
        </w:rPr>
        <w:t>安</w:t>
      </w:r>
      <w:r>
        <w:rPr>
          <w:sz w:val="18"/>
          <w:szCs w:val="18"/>
          <w:spacing w:val="6"/>
        </w:rPr>
        <w:t xml:space="preserve"> </w:t>
      </w:r>
      <w:r>
        <w:rPr>
          <w:sz w:val="18"/>
          <w:szCs w:val="18"/>
          <w:spacing w:val="-10"/>
        </w:rPr>
        <w:t>局</w:t>
      </w:r>
    </w:p>
    <w:p>
      <w:pPr>
        <w:spacing w:line="256" w:lineRule="auto"/>
        <w:rPr>
          <w:rFonts w:ascii="Arial"/>
          <w:sz w:val="21"/>
        </w:rPr>
      </w:pPr>
      <w:r/>
    </w:p>
    <w:p>
      <w:pPr>
        <w:pStyle w:val="BodyText"/>
        <w:ind w:left="4858"/>
        <w:spacing w:before="61" w:line="211" w:lineRule="auto"/>
        <w:rPr>
          <w:sz w:val="18"/>
          <w:szCs w:val="18"/>
        </w:rPr>
      </w:pPr>
      <w:r>
        <w:rPr>
          <w:sz w:val="18"/>
          <w:szCs w:val="18"/>
          <w:spacing w:val="-7"/>
        </w:rPr>
        <w:t>固 原</w:t>
      </w:r>
      <w:r>
        <w:rPr>
          <w:sz w:val="18"/>
          <w:szCs w:val="18"/>
          <w:spacing w:val="1"/>
        </w:rPr>
        <w:t xml:space="preserve"> </w:t>
      </w:r>
      <w:r>
        <w:rPr>
          <w:sz w:val="18"/>
          <w:szCs w:val="18"/>
          <w:spacing w:val="-7"/>
        </w:rPr>
        <w:t>市</w:t>
      </w:r>
      <w:r>
        <w:rPr>
          <w:sz w:val="18"/>
          <w:szCs w:val="18"/>
          <w:spacing w:val="-1"/>
        </w:rPr>
        <w:t xml:space="preserve"> </w:t>
      </w:r>
      <w:r>
        <w:rPr>
          <w:sz w:val="18"/>
          <w:szCs w:val="18"/>
          <w:spacing w:val="-7"/>
        </w:rPr>
        <w:t>教</w:t>
      </w:r>
      <w:r>
        <w:rPr>
          <w:sz w:val="18"/>
          <w:szCs w:val="18"/>
          <w:spacing w:val="2"/>
        </w:rPr>
        <w:t xml:space="preserve"> </w:t>
      </w:r>
      <w:r>
        <w:rPr>
          <w:sz w:val="18"/>
          <w:szCs w:val="18"/>
          <w:spacing w:val="-7"/>
        </w:rPr>
        <w:t>育 体 育</w:t>
      </w:r>
      <w:r>
        <w:rPr>
          <w:sz w:val="18"/>
          <w:szCs w:val="18"/>
          <w:spacing w:val="5"/>
        </w:rPr>
        <w:t xml:space="preserve"> </w:t>
      </w:r>
      <w:r>
        <w:rPr>
          <w:sz w:val="18"/>
          <w:szCs w:val="18"/>
          <w:spacing w:val="-7"/>
        </w:rPr>
        <w:t>局</w:t>
      </w:r>
    </w:p>
    <w:p>
      <w:pPr>
        <w:spacing w:line="257" w:lineRule="auto"/>
        <w:rPr>
          <w:rFonts w:ascii="Arial"/>
          <w:sz w:val="21"/>
        </w:rPr>
      </w:pPr>
      <w:r/>
    </w:p>
    <w:p>
      <w:pPr>
        <w:pStyle w:val="BodyText"/>
        <w:ind w:left="4599"/>
        <w:spacing w:before="60" w:line="213" w:lineRule="auto"/>
        <w:rPr>
          <w:sz w:val="18"/>
          <w:szCs w:val="18"/>
        </w:rPr>
      </w:pPr>
      <w:r>
        <w:rPr>
          <w:sz w:val="18"/>
          <w:szCs w:val="18"/>
          <w:spacing w:val="-14"/>
        </w:rPr>
        <w:t>固 原</w:t>
      </w:r>
      <w:r>
        <w:rPr>
          <w:sz w:val="18"/>
          <w:szCs w:val="18"/>
          <w:spacing w:val="8"/>
        </w:rPr>
        <w:t xml:space="preserve"> </w:t>
      </w:r>
      <w:r>
        <w:rPr>
          <w:sz w:val="18"/>
          <w:szCs w:val="18"/>
          <w:spacing w:val="-14"/>
        </w:rPr>
        <w:t>市</w:t>
      </w:r>
      <w:r>
        <w:rPr>
          <w:sz w:val="18"/>
          <w:szCs w:val="18"/>
          <w:spacing w:val="15"/>
        </w:rPr>
        <w:t xml:space="preserve"> </w:t>
      </w:r>
      <w:r>
        <w:rPr>
          <w:sz w:val="18"/>
          <w:szCs w:val="18"/>
          <w:spacing w:val="-14"/>
        </w:rPr>
        <w:t>工</w:t>
      </w:r>
      <w:r>
        <w:rPr>
          <w:sz w:val="18"/>
          <w:szCs w:val="18"/>
          <w:spacing w:val="21"/>
        </w:rPr>
        <w:t xml:space="preserve"> </w:t>
      </w:r>
      <w:r>
        <w:rPr>
          <w:sz w:val="18"/>
          <w:szCs w:val="18"/>
          <w:spacing w:val="-14"/>
        </w:rPr>
        <w:t>业</w:t>
      </w:r>
      <w:r>
        <w:rPr>
          <w:sz w:val="18"/>
          <w:szCs w:val="18"/>
          <w:spacing w:val="13"/>
        </w:rPr>
        <w:t xml:space="preserve"> </w:t>
      </w:r>
      <w:r>
        <w:rPr>
          <w:sz w:val="18"/>
          <w:szCs w:val="18"/>
          <w:spacing w:val="-14"/>
        </w:rPr>
        <w:t>和</w:t>
      </w:r>
      <w:r>
        <w:rPr>
          <w:sz w:val="18"/>
          <w:szCs w:val="18"/>
          <w:spacing w:val="1"/>
        </w:rPr>
        <w:t xml:space="preserve"> </w:t>
      </w:r>
      <w:r>
        <w:rPr>
          <w:sz w:val="18"/>
          <w:szCs w:val="18"/>
          <w:spacing w:val="-14"/>
        </w:rPr>
        <w:t>信</w:t>
      </w:r>
      <w:r>
        <w:rPr>
          <w:sz w:val="18"/>
          <w:szCs w:val="18"/>
          <w:spacing w:val="-2"/>
        </w:rPr>
        <w:t xml:space="preserve"> </w:t>
      </w:r>
      <w:r>
        <w:rPr>
          <w:sz w:val="18"/>
          <w:szCs w:val="18"/>
          <w:spacing w:val="-14"/>
        </w:rPr>
        <w:t>息</w:t>
      </w:r>
      <w:r>
        <w:rPr>
          <w:sz w:val="18"/>
          <w:szCs w:val="18"/>
          <w:spacing w:val="2"/>
        </w:rPr>
        <w:t xml:space="preserve"> </w:t>
      </w:r>
      <w:r>
        <w:rPr>
          <w:sz w:val="18"/>
          <w:szCs w:val="18"/>
          <w:spacing w:val="-14"/>
        </w:rPr>
        <w:t>化</w:t>
      </w:r>
      <w:r>
        <w:rPr>
          <w:sz w:val="18"/>
          <w:szCs w:val="18"/>
          <w:spacing w:val="4"/>
        </w:rPr>
        <w:t xml:space="preserve"> </w:t>
      </w:r>
      <w:r>
        <w:rPr>
          <w:sz w:val="18"/>
          <w:szCs w:val="18"/>
          <w:spacing w:val="-14"/>
        </w:rPr>
        <w:t>局</w:t>
      </w:r>
    </w:p>
    <w:p>
      <w:pPr>
        <w:spacing w:line="253" w:lineRule="auto"/>
        <w:rPr>
          <w:rFonts w:ascii="Arial"/>
          <w:sz w:val="21"/>
        </w:rPr>
      </w:pPr>
      <w:r/>
    </w:p>
    <w:p>
      <w:pPr>
        <w:pStyle w:val="BodyText"/>
        <w:ind w:left="4858"/>
        <w:spacing w:before="61" w:line="212" w:lineRule="auto"/>
        <w:rPr>
          <w:sz w:val="18"/>
          <w:szCs w:val="18"/>
        </w:rPr>
      </w:pPr>
      <w:r>
        <w:rPr>
          <w:sz w:val="18"/>
          <w:szCs w:val="18"/>
          <w:spacing w:val="-12"/>
        </w:rPr>
        <w:t>固 原</w:t>
      </w:r>
      <w:r>
        <w:rPr>
          <w:sz w:val="18"/>
          <w:szCs w:val="18"/>
          <w:spacing w:val="8"/>
        </w:rPr>
        <w:t xml:space="preserve"> </w:t>
      </w:r>
      <w:r>
        <w:rPr>
          <w:sz w:val="18"/>
          <w:szCs w:val="18"/>
          <w:spacing w:val="-12"/>
        </w:rPr>
        <w:t>市</w:t>
      </w:r>
      <w:r>
        <w:rPr>
          <w:sz w:val="18"/>
          <w:szCs w:val="18"/>
          <w:spacing w:val="-1"/>
        </w:rPr>
        <w:t xml:space="preserve"> </w:t>
      </w:r>
      <w:r>
        <w:rPr>
          <w:sz w:val="18"/>
          <w:szCs w:val="18"/>
          <w:spacing w:val="-12"/>
        </w:rPr>
        <w:t>应</w:t>
      </w:r>
      <w:r>
        <w:rPr>
          <w:sz w:val="18"/>
          <w:szCs w:val="18"/>
          <w:spacing w:val="9"/>
        </w:rPr>
        <w:t xml:space="preserve"> </w:t>
      </w:r>
      <w:r>
        <w:rPr>
          <w:sz w:val="18"/>
          <w:szCs w:val="18"/>
          <w:spacing w:val="-12"/>
        </w:rPr>
        <w:t>急</w:t>
      </w:r>
      <w:r>
        <w:rPr>
          <w:sz w:val="18"/>
          <w:szCs w:val="18"/>
        </w:rPr>
        <w:t xml:space="preserve"> </w:t>
      </w:r>
      <w:r>
        <w:rPr>
          <w:sz w:val="18"/>
          <w:szCs w:val="18"/>
          <w:spacing w:val="-12"/>
        </w:rPr>
        <w:t>管</w:t>
      </w:r>
      <w:r>
        <w:rPr>
          <w:sz w:val="18"/>
          <w:szCs w:val="18"/>
          <w:spacing w:val="8"/>
        </w:rPr>
        <w:t xml:space="preserve"> </w:t>
      </w:r>
      <w:r>
        <w:rPr>
          <w:sz w:val="18"/>
          <w:szCs w:val="18"/>
          <w:spacing w:val="-12"/>
        </w:rPr>
        <w:t>理</w:t>
      </w:r>
      <w:r>
        <w:rPr>
          <w:sz w:val="18"/>
          <w:szCs w:val="18"/>
          <w:spacing w:val="14"/>
        </w:rPr>
        <w:t xml:space="preserve"> </w:t>
      </w:r>
      <w:r>
        <w:rPr>
          <w:sz w:val="18"/>
          <w:szCs w:val="18"/>
          <w:spacing w:val="-12"/>
        </w:rPr>
        <w:t>局</w:t>
      </w:r>
    </w:p>
    <w:p>
      <w:pPr>
        <w:spacing w:line="259" w:lineRule="auto"/>
        <w:rPr>
          <w:rFonts w:ascii="Arial"/>
          <w:sz w:val="21"/>
        </w:rPr>
      </w:pPr>
      <w:r/>
    </w:p>
    <w:p>
      <w:pPr>
        <w:pStyle w:val="BodyText"/>
        <w:ind w:left="4728"/>
        <w:spacing w:before="61" w:line="211" w:lineRule="auto"/>
        <w:rPr>
          <w:sz w:val="18"/>
          <w:szCs w:val="18"/>
        </w:rPr>
      </w:pPr>
      <w:r>
        <w:rPr>
          <w:sz w:val="18"/>
          <w:szCs w:val="18"/>
          <w:spacing w:val="-12"/>
        </w:rPr>
        <w:t>固 原</w:t>
      </w:r>
      <w:r>
        <w:rPr>
          <w:sz w:val="18"/>
          <w:szCs w:val="18"/>
          <w:spacing w:val="10"/>
        </w:rPr>
        <w:t xml:space="preserve"> </w:t>
      </w:r>
      <w:r>
        <w:rPr>
          <w:sz w:val="18"/>
          <w:szCs w:val="18"/>
          <w:spacing w:val="-12"/>
        </w:rPr>
        <w:t>市</w:t>
      </w:r>
      <w:r>
        <w:rPr>
          <w:sz w:val="18"/>
          <w:szCs w:val="18"/>
          <w:spacing w:val="1"/>
        </w:rPr>
        <w:t xml:space="preserve"> </w:t>
      </w:r>
      <w:r>
        <w:rPr>
          <w:sz w:val="18"/>
          <w:szCs w:val="18"/>
          <w:spacing w:val="-12"/>
        </w:rPr>
        <w:t>发</w:t>
      </w:r>
      <w:r>
        <w:rPr>
          <w:sz w:val="18"/>
          <w:szCs w:val="18"/>
          <w:spacing w:val="5"/>
        </w:rPr>
        <w:t xml:space="preserve"> </w:t>
      </w:r>
      <w:r>
        <w:rPr>
          <w:sz w:val="18"/>
          <w:szCs w:val="18"/>
          <w:spacing w:val="-12"/>
        </w:rPr>
        <w:t>展</w:t>
      </w:r>
      <w:r>
        <w:rPr>
          <w:sz w:val="18"/>
          <w:szCs w:val="18"/>
          <w:spacing w:val="12"/>
        </w:rPr>
        <w:t xml:space="preserve"> </w:t>
      </w:r>
      <w:r>
        <w:rPr>
          <w:sz w:val="18"/>
          <w:szCs w:val="18"/>
          <w:spacing w:val="-12"/>
        </w:rPr>
        <w:t>和</w:t>
      </w:r>
      <w:r>
        <w:rPr>
          <w:sz w:val="18"/>
          <w:szCs w:val="18"/>
          <w:spacing w:val="5"/>
        </w:rPr>
        <w:t xml:space="preserve"> </w:t>
      </w:r>
      <w:r>
        <w:rPr>
          <w:sz w:val="18"/>
          <w:szCs w:val="18"/>
          <w:spacing w:val="-12"/>
        </w:rPr>
        <w:t>改</w:t>
      </w:r>
      <w:r>
        <w:rPr>
          <w:sz w:val="18"/>
          <w:szCs w:val="18"/>
        </w:rPr>
        <w:t xml:space="preserve"> </w:t>
      </w:r>
      <w:r>
        <w:rPr>
          <w:sz w:val="18"/>
          <w:szCs w:val="18"/>
          <w:spacing w:val="-12"/>
        </w:rPr>
        <w:t>革</w:t>
      </w:r>
      <w:r>
        <w:rPr>
          <w:sz w:val="18"/>
          <w:szCs w:val="18"/>
          <w:spacing w:val="3"/>
        </w:rPr>
        <w:t xml:space="preserve"> </w:t>
      </w:r>
      <w:r>
        <w:rPr>
          <w:sz w:val="18"/>
          <w:szCs w:val="18"/>
          <w:spacing w:val="-12"/>
        </w:rPr>
        <w:t>委</w:t>
      </w:r>
    </w:p>
    <w:p>
      <w:pPr>
        <w:spacing w:line="257" w:lineRule="auto"/>
        <w:rPr>
          <w:rFonts w:ascii="Arial"/>
          <w:sz w:val="21"/>
        </w:rPr>
      </w:pPr>
      <w:r/>
    </w:p>
    <w:p>
      <w:pPr>
        <w:pStyle w:val="BodyText"/>
        <w:ind w:left="4987"/>
        <w:spacing w:before="61" w:line="211" w:lineRule="auto"/>
        <w:rPr>
          <w:sz w:val="18"/>
          <w:szCs w:val="18"/>
        </w:rPr>
      </w:pPr>
      <w:r>
        <w:drawing>
          <wp:anchor distT="0" distB="0" distL="0" distR="0" simplePos="0" relativeHeight="253813760" behindDoc="0" locked="0" layoutInCell="1" allowOverlap="1">
            <wp:simplePos x="0" y="0"/>
            <wp:positionH relativeFrom="column">
              <wp:posOffset>-1363565</wp:posOffset>
            </wp:positionH>
            <wp:positionV relativeFrom="paragraph">
              <wp:posOffset>-841</wp:posOffset>
            </wp:positionV>
            <wp:extent cx="8712200" cy="7620"/>
            <wp:effectExtent l="0" t="0" r="0" b="0"/>
            <wp:wrapNone/>
            <wp:docPr id="2082" name="IM 2082"/>
            <wp:cNvGraphicFramePr/>
            <a:graphic>
              <a:graphicData uri="http://schemas.openxmlformats.org/drawingml/2006/picture">
                <pic:pic>
                  <pic:nvPicPr>
                    <pic:cNvPr id="2082" name="IM 2082"/>
                    <pic:cNvPicPr/>
                  </pic:nvPicPr>
                  <pic:blipFill>
                    <a:blip r:embed="rId1043"/>
                    <a:stretch>
                      <a:fillRect/>
                    </a:stretch>
                  </pic:blipFill>
                  <pic:spPr>
                    <a:xfrm rot="0">
                      <a:off x="0" y="0"/>
                      <a:ext cx="8712200" cy="7620"/>
                    </a:xfrm>
                    <a:prstGeom prst="rect">
                      <a:avLst/>
                    </a:prstGeom>
                  </pic:spPr>
                </pic:pic>
              </a:graphicData>
            </a:graphic>
          </wp:anchor>
        </w:drawing>
      </w:r>
      <w:r>
        <w:drawing>
          <wp:anchor distT="0" distB="0" distL="0" distR="0" simplePos="0" relativeHeight="253808640" behindDoc="1" locked="0" layoutInCell="1" allowOverlap="1">
            <wp:simplePos x="0" y="0"/>
            <wp:positionH relativeFrom="column">
              <wp:posOffset>-269333</wp:posOffset>
            </wp:positionH>
            <wp:positionV relativeFrom="paragraph">
              <wp:posOffset>673846</wp:posOffset>
            </wp:positionV>
            <wp:extent cx="6486905" cy="4204398"/>
            <wp:effectExtent l="0" t="0" r="0" b="0"/>
            <wp:wrapNone/>
            <wp:docPr id="2084" name="IM 2084"/>
            <wp:cNvGraphicFramePr/>
            <a:graphic>
              <a:graphicData uri="http://schemas.openxmlformats.org/drawingml/2006/picture">
                <pic:pic>
                  <pic:nvPicPr>
                    <pic:cNvPr id="2084" name="IM 2084"/>
                    <pic:cNvPicPr/>
                  </pic:nvPicPr>
                  <pic:blipFill>
                    <a:blip r:embed="rId1044"/>
                    <a:stretch>
                      <a:fillRect/>
                    </a:stretch>
                  </pic:blipFill>
                  <pic:spPr>
                    <a:xfrm rot="0">
                      <a:off x="0" y="0"/>
                      <a:ext cx="6486905" cy="4204398"/>
                    </a:xfrm>
                    <a:prstGeom prst="rect">
                      <a:avLst/>
                    </a:prstGeom>
                  </pic:spPr>
                </pic:pic>
              </a:graphicData>
            </a:graphic>
          </wp:anchor>
        </w:drawing>
      </w:r>
      <w:r>
        <w:rPr>
          <w:sz w:val="18"/>
          <w:szCs w:val="18"/>
          <w:spacing w:val="-10"/>
        </w:rPr>
        <w:t>固</w:t>
      </w:r>
      <w:r>
        <w:rPr>
          <w:sz w:val="18"/>
          <w:szCs w:val="18"/>
          <w:spacing w:val="14"/>
        </w:rPr>
        <w:t xml:space="preserve"> </w:t>
      </w:r>
      <w:r>
        <w:rPr>
          <w:sz w:val="18"/>
          <w:szCs w:val="18"/>
          <w:spacing w:val="-10"/>
        </w:rPr>
        <w:t>原 市</w:t>
      </w:r>
      <w:r>
        <w:rPr>
          <w:sz w:val="18"/>
          <w:szCs w:val="18"/>
          <w:spacing w:val="1"/>
        </w:rPr>
        <w:t xml:space="preserve"> </w:t>
      </w:r>
      <w:r>
        <w:rPr>
          <w:sz w:val="18"/>
          <w:szCs w:val="18"/>
          <w:spacing w:val="-10"/>
        </w:rPr>
        <w:t>委</w:t>
      </w:r>
      <w:r>
        <w:rPr>
          <w:sz w:val="18"/>
          <w:szCs w:val="18"/>
          <w:spacing w:val="8"/>
        </w:rPr>
        <w:t xml:space="preserve"> </w:t>
      </w:r>
      <w:r>
        <w:rPr>
          <w:sz w:val="18"/>
          <w:szCs w:val="18"/>
          <w:spacing w:val="-10"/>
        </w:rPr>
        <w:t>宣</w:t>
      </w:r>
      <w:r>
        <w:rPr>
          <w:sz w:val="18"/>
          <w:szCs w:val="18"/>
          <w:spacing w:val="1"/>
        </w:rPr>
        <w:t xml:space="preserve"> </w:t>
      </w:r>
      <w:r>
        <w:rPr>
          <w:sz w:val="18"/>
          <w:szCs w:val="18"/>
          <w:spacing w:val="-10"/>
        </w:rPr>
        <w:t>传 部</w:t>
      </w:r>
    </w:p>
    <w:p>
      <w:pPr>
        <w:spacing w:line="211" w:lineRule="auto"/>
        <w:sectPr>
          <w:headerReference w:type="default" r:id="rId1041"/>
          <w:footerReference w:type="default" r:id="rId1042"/>
          <w:pgSz w:w="16839" w:h="11906"/>
          <w:pgMar w:top="1772" w:right="1431" w:bottom="1629" w:left="0" w:header="1428" w:footer="1227" w:gutter="0"/>
          <w:textDirection w:val="tbRl"/>
        </w:sectPr>
        <w:rPr>
          <w:sz w:val="18"/>
          <w:szCs w:val="18"/>
        </w:rPr>
      </w:pPr>
    </w:p>
    <w:p>
      <w:pPr>
        <w:spacing w:line="302" w:lineRule="auto"/>
        <w:rPr>
          <w:rFonts w:ascii="Arial"/>
          <w:sz w:val="21"/>
        </w:rPr>
      </w:pPr>
      <w:r>
        <w:drawing>
          <wp:anchor distT="0" distB="0" distL="0" distR="0" simplePos="0" relativeHeight="253836288" behindDoc="0" locked="0" layoutInCell="1" allowOverlap="1">
            <wp:simplePos x="0" y="0"/>
            <wp:positionH relativeFrom="column">
              <wp:posOffset>5393</wp:posOffset>
            </wp:positionH>
            <wp:positionV relativeFrom="paragraph">
              <wp:posOffset>24946</wp:posOffset>
            </wp:positionV>
            <wp:extent cx="5579745" cy="7620"/>
            <wp:effectExtent l="0" t="0" r="0" b="0"/>
            <wp:wrapNone/>
            <wp:docPr id="2088" name="IM 2088"/>
            <wp:cNvGraphicFramePr/>
            <a:graphic>
              <a:graphicData uri="http://schemas.openxmlformats.org/drawingml/2006/picture">
                <pic:pic>
                  <pic:nvPicPr>
                    <pic:cNvPr id="2088" name="IM 2088"/>
                    <pic:cNvPicPr/>
                  </pic:nvPicPr>
                  <pic:blipFill>
                    <a:blip r:embed="rId1046"/>
                    <a:stretch>
                      <a:fillRect/>
                    </a:stretch>
                  </pic:blipFill>
                  <pic:spPr>
                    <a:xfrm rot="0">
                      <a:off x="0" y="0"/>
                      <a:ext cx="5579745" cy="7620"/>
                    </a:xfrm>
                    <a:prstGeom prst="rect">
                      <a:avLst/>
                    </a:prstGeom>
                  </pic:spPr>
                </pic:pic>
              </a:graphicData>
            </a:graphic>
          </wp:anchor>
        </w:drawing>
      </w:r>
      <w:r/>
    </w:p>
    <w:p>
      <w:pPr>
        <w:ind w:left="2440"/>
        <w:spacing w:before="120" w:line="210" w:lineRule="auto"/>
        <w:rPr>
          <w:rFonts w:ascii="Microsoft YaHei" w:hAnsi="Microsoft YaHei" w:eastAsia="Microsoft YaHei" w:cs="Microsoft YaHei"/>
          <w:sz w:val="28"/>
          <w:szCs w:val="28"/>
        </w:rPr>
      </w:pPr>
      <w:r>
        <w:rPr>
          <w:rFonts w:ascii="Microsoft YaHei" w:hAnsi="Microsoft YaHei" w:eastAsia="Microsoft YaHei" w:cs="Microsoft YaHei"/>
          <w:sz w:val="28"/>
          <w:szCs w:val="28"/>
          <w:spacing w:val="-3"/>
        </w:rPr>
        <w:t>9.2  固原市粮食应急预案工作流程图</w:t>
      </w:r>
    </w:p>
    <w:p>
      <w:pPr>
        <w:spacing w:line="318" w:lineRule="auto"/>
        <w:rPr>
          <w:rFonts w:ascii="Arial"/>
          <w:sz w:val="21"/>
        </w:rPr>
      </w:pPr>
      <w:r/>
    </w:p>
    <w:p>
      <w:pPr>
        <w:spacing w:line="318" w:lineRule="auto"/>
        <w:rPr>
          <w:rFonts w:ascii="Arial"/>
          <w:sz w:val="21"/>
        </w:rPr>
      </w:pPr>
      <w:r/>
    </w:p>
    <w:p>
      <w:pPr>
        <w:spacing w:line="319" w:lineRule="auto"/>
        <w:rPr>
          <w:rFonts w:ascii="Arial"/>
          <w:sz w:val="21"/>
        </w:rPr>
      </w:pPr>
      <w:r/>
    </w:p>
    <w:p>
      <w:pPr>
        <w:pStyle w:val="BodyText"/>
        <w:ind w:left="1959" w:right="4730" w:firstLine="1389"/>
        <w:spacing w:before="58" w:line="226" w:lineRule="auto"/>
        <w:rPr>
          <w:sz w:val="18"/>
          <w:szCs w:val="18"/>
        </w:rPr>
      </w:pPr>
      <w:r>
        <w:drawing>
          <wp:anchor distT="0" distB="0" distL="0" distR="0" simplePos="0" relativeHeight="253824000" behindDoc="1" locked="0" layoutInCell="1" allowOverlap="1">
            <wp:simplePos x="0" y="0"/>
            <wp:positionH relativeFrom="column">
              <wp:posOffset>133981</wp:posOffset>
            </wp:positionH>
            <wp:positionV relativeFrom="paragraph">
              <wp:posOffset>-127265</wp:posOffset>
            </wp:positionV>
            <wp:extent cx="5374004" cy="6976109"/>
            <wp:effectExtent l="0" t="0" r="0" b="0"/>
            <wp:wrapNone/>
            <wp:docPr id="2090" name="IM 2090"/>
            <wp:cNvGraphicFramePr/>
            <a:graphic>
              <a:graphicData uri="http://schemas.openxmlformats.org/drawingml/2006/picture">
                <pic:pic>
                  <pic:nvPicPr>
                    <pic:cNvPr id="2090" name="IM 2090"/>
                    <pic:cNvPicPr/>
                  </pic:nvPicPr>
                  <pic:blipFill>
                    <a:blip r:embed="rId1047"/>
                    <a:stretch>
                      <a:fillRect/>
                    </a:stretch>
                  </pic:blipFill>
                  <pic:spPr>
                    <a:xfrm rot="0">
                      <a:off x="0" y="0"/>
                      <a:ext cx="5374004" cy="6976109"/>
                    </a:xfrm>
                    <a:prstGeom prst="rect">
                      <a:avLst/>
                    </a:prstGeom>
                  </pic:spPr>
                </pic:pic>
              </a:graphicData>
            </a:graphic>
          </wp:anchor>
        </w:drawing>
      </w:r>
      <w:r>
        <w:rPr>
          <w:sz w:val="18"/>
          <w:szCs w:val="18"/>
          <w:spacing w:val="-1"/>
        </w:rPr>
        <w:t>先期处置</w:t>
      </w:r>
      <w:r>
        <w:rPr>
          <w:sz w:val="18"/>
          <w:szCs w:val="18"/>
        </w:rPr>
        <w:t>信</w:t>
      </w:r>
    </w:p>
    <w:p>
      <w:pPr>
        <w:pStyle w:val="BodyText"/>
        <w:ind w:left="1961"/>
        <w:spacing w:line="203" w:lineRule="auto"/>
        <w:rPr>
          <w:sz w:val="18"/>
          <w:szCs w:val="18"/>
        </w:rPr>
      </w:pPr>
      <w:r>
        <w:pict>
          <v:shape id="_x0000_s170" style="position:absolute;margin-left:18.901pt;margin-top:1.29155pt;mso-position-vertical-relative:text;mso-position-horizontal-relative:text;width:12.6pt;height:60.5pt;z-index:253831168;" filled="false" stroked="false" type="#_x0000_t202">
            <v:fill on="false"/>
            <v:stroke on="false"/>
            <v:path/>
            <v:imagedata o:title=""/>
            <o:lock v:ext="edit" aspectratio="false"/>
            <v:textbox inset="0mm,0mm,0mm,0mm" style="layout-flow:vertical-ideographic;">
              <w:txbxContent>
                <w:p>
                  <w:pPr>
                    <w:pStyle w:val="BodyText"/>
                    <w:ind w:left="20"/>
                    <w:spacing w:before="19" w:line="211" w:lineRule="auto"/>
                    <w:rPr>
                      <w:sz w:val="18"/>
                      <w:szCs w:val="18"/>
                    </w:rPr>
                  </w:pPr>
                  <w:r>
                    <w:rPr>
                      <w:sz w:val="18"/>
                      <w:szCs w:val="18"/>
                      <w:spacing w:val="15"/>
                    </w:rPr>
                    <w:t>价格监测预报</w:t>
                  </w:r>
                </w:p>
              </w:txbxContent>
            </v:textbox>
          </v:shape>
        </w:pict>
      </w:r>
      <w:r>
        <w:rPr>
          <w:sz w:val="18"/>
          <w:szCs w:val="18"/>
        </w:rPr>
        <w:t>息</w:t>
      </w:r>
    </w:p>
    <w:p>
      <w:pPr>
        <w:pStyle w:val="BodyText"/>
        <w:ind w:left="1960"/>
        <w:spacing w:line="207" w:lineRule="auto"/>
        <w:rPr>
          <w:sz w:val="18"/>
          <w:szCs w:val="18"/>
        </w:rPr>
      </w:pPr>
      <w:r>
        <w:rPr>
          <w:sz w:val="18"/>
          <w:szCs w:val="18"/>
        </w:rPr>
        <w:t>报</w:t>
      </w:r>
    </w:p>
    <w:p>
      <w:pPr>
        <w:pStyle w:val="BodyText"/>
        <w:ind w:left="1958"/>
        <w:spacing w:line="204" w:lineRule="auto"/>
        <w:rPr>
          <w:sz w:val="18"/>
          <w:szCs w:val="18"/>
        </w:rPr>
      </w:pPr>
      <w:r>
        <w:rPr>
          <w:sz w:val="18"/>
          <w:szCs w:val="18"/>
        </w:rPr>
        <w:t>告</w:t>
      </w:r>
    </w:p>
    <w:p>
      <w:pPr>
        <w:pStyle w:val="BodyText"/>
        <w:ind w:left="3885"/>
        <w:spacing w:before="76" w:line="207" w:lineRule="auto"/>
        <w:rPr>
          <w:sz w:val="18"/>
          <w:szCs w:val="18"/>
        </w:rPr>
      </w:pPr>
      <w:r>
        <w:pict>
          <v:shape id="_x0000_s172" style="position:absolute;margin-left:153.675pt;margin-top:11.9488pt;mso-position-vertical-relative:text;mso-position-horizontal-relative:text;width:12.7pt;height:70.3pt;z-index:253829120;" filled="false" stroked="false" type="#_x0000_t202">
            <v:fill on="false"/>
            <v:stroke on="false"/>
            <v:path/>
            <v:imagedata o:title=""/>
            <o:lock v:ext="edit" aspectratio="false"/>
            <v:textbox inset="0mm,0mm,0mm,0mm" style="layout-flow:vertical-ideographic;">
              <w:txbxContent>
                <w:p>
                  <w:pPr>
                    <w:pStyle w:val="BodyText"/>
                    <w:ind w:left="20"/>
                    <w:spacing w:before="19" w:line="213" w:lineRule="auto"/>
                    <w:rPr>
                      <w:sz w:val="18"/>
                      <w:szCs w:val="18"/>
                    </w:rPr>
                  </w:pPr>
                  <w:r>
                    <w:rPr>
                      <w:sz w:val="18"/>
                      <w:szCs w:val="18"/>
                      <w:spacing w:val="15"/>
                    </w:rPr>
                    <w:t>应急处置办公室</w:t>
                  </w:r>
                </w:p>
              </w:txbxContent>
            </v:textbox>
          </v:shape>
        </w:pict>
      </w:r>
      <w:r>
        <w:rPr>
          <w:sz w:val="18"/>
          <w:szCs w:val="18"/>
          <w:spacing w:val="-3"/>
        </w:rPr>
        <w:t>报告</w:t>
      </w:r>
    </w:p>
    <w:p>
      <w:pPr>
        <w:pStyle w:val="BodyText"/>
        <w:ind w:left="5289"/>
        <w:spacing w:before="173" w:line="210" w:lineRule="auto"/>
        <w:rPr>
          <w:sz w:val="18"/>
          <w:szCs w:val="18"/>
        </w:rPr>
      </w:pPr>
      <w:r>
        <w:rPr>
          <w:sz w:val="18"/>
          <w:szCs w:val="18"/>
          <w:spacing w:val="-1"/>
        </w:rPr>
        <w:t>应急处置指挥部</w:t>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pStyle w:val="BodyText"/>
        <w:ind w:left="5395"/>
        <w:spacing w:before="59" w:line="208" w:lineRule="auto"/>
        <w:rPr>
          <w:sz w:val="18"/>
          <w:szCs w:val="18"/>
        </w:rPr>
      </w:pPr>
      <w:r>
        <w:rPr>
          <w:sz w:val="18"/>
          <w:szCs w:val="18"/>
          <w:spacing w:val="-1"/>
        </w:rPr>
        <w:t>应急委员会</w:t>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pStyle w:val="BodyText"/>
        <w:ind w:left="3263"/>
        <w:spacing w:before="59" w:line="211" w:lineRule="auto"/>
        <w:rPr>
          <w:sz w:val="18"/>
          <w:szCs w:val="18"/>
        </w:rPr>
      </w:pPr>
      <w:r>
        <w:rPr>
          <w:sz w:val="18"/>
          <w:szCs w:val="18"/>
          <w:spacing w:val="-5"/>
        </w:rPr>
        <w:t>响</w:t>
      </w:r>
      <w:r>
        <w:rPr>
          <w:sz w:val="18"/>
          <w:szCs w:val="18"/>
        </w:rPr>
        <w:t xml:space="preserve">          </w:t>
      </w:r>
      <w:r>
        <w:rPr>
          <w:sz w:val="18"/>
          <w:szCs w:val="18"/>
          <w:spacing w:val="-5"/>
        </w:rPr>
        <w:t>应</w:t>
      </w:r>
      <w:r>
        <w:rPr>
          <w:sz w:val="18"/>
          <w:szCs w:val="18"/>
        </w:rPr>
        <w:t xml:space="preserve">         </w:t>
      </w:r>
      <w:r>
        <w:rPr>
          <w:sz w:val="18"/>
          <w:szCs w:val="18"/>
          <w:spacing w:val="-5"/>
        </w:rPr>
        <w:t>启</w:t>
      </w:r>
      <w:r>
        <w:rPr>
          <w:sz w:val="18"/>
          <w:szCs w:val="18"/>
          <w:spacing w:val="1"/>
        </w:rPr>
        <w:t xml:space="preserve">         </w:t>
      </w:r>
      <w:r>
        <w:rPr>
          <w:sz w:val="18"/>
          <w:szCs w:val="18"/>
          <w:spacing w:val="-5"/>
        </w:rPr>
        <w:t>动</w:t>
      </w:r>
    </w:p>
    <w:p>
      <w:pPr>
        <w:spacing w:line="347" w:lineRule="auto"/>
        <w:rPr>
          <w:rFonts w:ascii="Arial"/>
          <w:sz w:val="21"/>
        </w:rPr>
      </w:pPr>
      <w:r/>
    </w:p>
    <w:p>
      <w:pPr>
        <w:pStyle w:val="BodyText"/>
        <w:ind w:left="4976"/>
        <w:spacing w:before="59" w:line="209" w:lineRule="auto"/>
        <w:rPr>
          <w:sz w:val="18"/>
          <w:szCs w:val="18"/>
        </w:rPr>
      </w:pPr>
      <w:r>
        <w:pict>
          <v:shape id="_x0000_s174" style="position:absolute;margin-left:346.832pt;margin-top:1.93758pt;mso-position-vertical-relative:text;mso-position-horizontal-relative:text;width:19.8pt;height:52.25pt;z-index:253825024;" filled="false" stroked="false" type="#_x0000_t202">
            <v:fill on="false"/>
            <v:stroke on="false"/>
            <v:path/>
            <v:imagedata o:title=""/>
            <o:lock v:ext="edit" aspectratio="false"/>
            <v:textbox inset="0mm,0mm,0mm,0mm">
              <w:txbxContent>
                <w:p>
                  <w:pPr>
                    <w:pStyle w:val="BodyText"/>
                    <w:ind w:left="20"/>
                    <w:spacing w:before="20" w:line="205" w:lineRule="auto"/>
                    <w:rPr>
                      <w:sz w:val="18"/>
                      <w:szCs w:val="18"/>
                    </w:rPr>
                  </w:pPr>
                  <w:r>
                    <w:rPr>
                      <w:sz w:val="18"/>
                      <w:szCs w:val="18"/>
                      <w:spacing w:val="-3"/>
                    </w:rPr>
                    <w:t>事发</w:t>
                  </w:r>
                </w:p>
                <w:p>
                  <w:pPr>
                    <w:pStyle w:val="BodyText"/>
                    <w:ind w:left="20"/>
                    <w:spacing w:line="206" w:lineRule="auto"/>
                    <w:rPr>
                      <w:sz w:val="18"/>
                      <w:szCs w:val="18"/>
                    </w:rPr>
                  </w:pPr>
                  <w:r>
                    <w:rPr>
                      <w:sz w:val="18"/>
                      <w:szCs w:val="18"/>
                      <w:spacing w:val="-3"/>
                    </w:rPr>
                    <w:t>地应</w:t>
                  </w:r>
                </w:p>
                <w:p>
                  <w:pPr>
                    <w:pStyle w:val="BodyText"/>
                    <w:ind w:left="22"/>
                    <w:spacing w:line="204" w:lineRule="auto"/>
                    <w:rPr>
                      <w:sz w:val="18"/>
                      <w:szCs w:val="18"/>
                    </w:rPr>
                  </w:pPr>
                  <w:r>
                    <w:rPr>
                      <w:sz w:val="18"/>
                      <w:szCs w:val="18"/>
                      <w:spacing w:val="-4"/>
                    </w:rPr>
                    <w:t>急指</w:t>
                  </w:r>
                </w:p>
                <w:p>
                  <w:pPr>
                    <w:pStyle w:val="BodyText"/>
                    <w:ind w:left="20"/>
                    <w:spacing w:line="204" w:lineRule="auto"/>
                    <w:rPr>
                      <w:sz w:val="18"/>
                      <w:szCs w:val="18"/>
                    </w:rPr>
                  </w:pPr>
                  <w:r>
                    <w:rPr>
                      <w:sz w:val="18"/>
                      <w:szCs w:val="18"/>
                      <w:spacing w:val="-3"/>
                    </w:rPr>
                    <w:t>挥部</w:t>
                  </w:r>
                </w:p>
                <w:p>
                  <w:pPr>
                    <w:pStyle w:val="BodyText"/>
                    <w:ind w:left="21"/>
                    <w:spacing w:line="209" w:lineRule="auto"/>
                    <w:rPr>
                      <w:sz w:val="18"/>
                      <w:szCs w:val="18"/>
                    </w:rPr>
                  </w:pPr>
                  <w:r>
                    <w:rPr>
                      <w:sz w:val="18"/>
                      <w:szCs w:val="18"/>
                      <w:spacing w:val="-3"/>
                    </w:rPr>
                    <w:t>宣布</w:t>
                  </w:r>
                </w:p>
              </w:txbxContent>
            </v:textbox>
          </v:shape>
        </w:pict>
      </w:r>
      <w:r>
        <w:pict>
          <v:shape id="_x0000_s176" style="position:absolute;margin-left:67.8317pt;margin-top:2.18059pt;mso-position-vertical-relative:text;mso-position-horizontal-relative:text;width:19.8pt;height:52pt;z-index:253827072;" filled="false" stroked="false" type="#_x0000_t202">
            <v:fill on="false"/>
            <v:stroke on="false"/>
            <v:path/>
            <v:imagedata o:title=""/>
            <o:lock v:ext="edit" aspectratio="false"/>
            <v:textbox inset="0mm,0mm,0mm,0mm">
              <w:txbxContent>
                <w:p>
                  <w:pPr>
                    <w:pStyle w:val="BodyText"/>
                    <w:ind w:left="37"/>
                    <w:spacing w:before="20" w:line="200" w:lineRule="auto"/>
                    <w:rPr>
                      <w:sz w:val="18"/>
                      <w:szCs w:val="18"/>
                    </w:rPr>
                  </w:pPr>
                  <w:r>
                    <w:rPr>
                      <w:sz w:val="18"/>
                      <w:szCs w:val="18"/>
                      <w:spacing w:val="-11"/>
                    </w:rPr>
                    <w:t>固原</w:t>
                  </w:r>
                </w:p>
                <w:p>
                  <w:pPr>
                    <w:pStyle w:val="BodyText"/>
                    <w:ind w:left="20"/>
                    <w:spacing w:line="206" w:lineRule="auto"/>
                    <w:rPr>
                      <w:sz w:val="18"/>
                      <w:szCs w:val="18"/>
                    </w:rPr>
                  </w:pPr>
                  <w:r>
                    <w:rPr>
                      <w:sz w:val="18"/>
                      <w:szCs w:val="18"/>
                      <w:spacing w:val="-3"/>
                    </w:rPr>
                    <w:t>市应</w:t>
                  </w:r>
                </w:p>
                <w:p>
                  <w:pPr>
                    <w:pStyle w:val="BodyText"/>
                    <w:ind w:left="22"/>
                    <w:spacing w:line="206" w:lineRule="auto"/>
                    <w:rPr>
                      <w:sz w:val="18"/>
                      <w:szCs w:val="18"/>
                    </w:rPr>
                  </w:pPr>
                  <w:r>
                    <w:rPr>
                      <w:sz w:val="18"/>
                      <w:szCs w:val="18"/>
                      <w:spacing w:val="-4"/>
                    </w:rPr>
                    <w:t>急委</w:t>
                  </w:r>
                </w:p>
                <w:p>
                  <w:pPr>
                    <w:pStyle w:val="BodyText"/>
                    <w:ind w:left="20"/>
                    <w:spacing w:line="202" w:lineRule="auto"/>
                    <w:rPr>
                      <w:sz w:val="18"/>
                      <w:szCs w:val="18"/>
                    </w:rPr>
                  </w:pPr>
                  <w:r>
                    <w:rPr>
                      <w:sz w:val="18"/>
                      <w:szCs w:val="18"/>
                      <w:spacing w:val="-3"/>
                    </w:rPr>
                    <w:t>员会</w:t>
                  </w:r>
                </w:p>
                <w:p>
                  <w:pPr>
                    <w:pStyle w:val="BodyText"/>
                    <w:ind w:left="21"/>
                    <w:spacing w:line="209" w:lineRule="auto"/>
                    <w:rPr>
                      <w:sz w:val="18"/>
                      <w:szCs w:val="18"/>
                    </w:rPr>
                  </w:pPr>
                  <w:r>
                    <w:rPr>
                      <w:sz w:val="18"/>
                      <w:szCs w:val="18"/>
                      <w:spacing w:val="-3"/>
                    </w:rPr>
                    <w:t>宣布</w:t>
                  </w:r>
                </w:p>
              </w:txbxContent>
            </v:textbox>
          </v:shape>
        </w:pict>
      </w:r>
      <w:r>
        <w:pict>
          <v:shape id="_x0000_s178" style="position:absolute;margin-left:148.832pt;margin-top:2.18059pt;mso-position-vertical-relative:text;mso-position-horizontal-relative:text;width:19.8pt;height:52pt;z-index:253826048;" filled="false" stroked="false" type="#_x0000_t202">
            <v:fill on="false"/>
            <v:stroke on="false"/>
            <v:path/>
            <v:imagedata o:title=""/>
            <o:lock v:ext="edit" aspectratio="false"/>
            <v:textbox inset="0mm,0mm,0mm,0mm">
              <w:txbxContent>
                <w:p>
                  <w:pPr>
                    <w:pStyle w:val="BodyText"/>
                    <w:ind w:left="37"/>
                    <w:spacing w:before="20" w:line="200" w:lineRule="auto"/>
                    <w:rPr>
                      <w:sz w:val="18"/>
                      <w:szCs w:val="18"/>
                    </w:rPr>
                  </w:pPr>
                  <w:r>
                    <w:rPr>
                      <w:sz w:val="18"/>
                      <w:szCs w:val="18"/>
                      <w:spacing w:val="-11"/>
                    </w:rPr>
                    <w:t>固原</w:t>
                  </w:r>
                </w:p>
                <w:p>
                  <w:pPr>
                    <w:pStyle w:val="BodyText"/>
                    <w:ind w:left="20"/>
                    <w:spacing w:line="206" w:lineRule="auto"/>
                    <w:rPr>
                      <w:sz w:val="18"/>
                      <w:szCs w:val="18"/>
                    </w:rPr>
                  </w:pPr>
                  <w:r>
                    <w:rPr>
                      <w:sz w:val="18"/>
                      <w:szCs w:val="18"/>
                      <w:spacing w:val="-3"/>
                    </w:rPr>
                    <w:t>市应</w:t>
                  </w:r>
                </w:p>
                <w:p>
                  <w:pPr>
                    <w:pStyle w:val="BodyText"/>
                    <w:ind w:left="22"/>
                    <w:spacing w:line="204" w:lineRule="auto"/>
                    <w:rPr>
                      <w:sz w:val="18"/>
                      <w:szCs w:val="18"/>
                    </w:rPr>
                  </w:pPr>
                  <w:r>
                    <w:rPr>
                      <w:sz w:val="18"/>
                      <w:szCs w:val="18"/>
                      <w:spacing w:val="-4"/>
                    </w:rPr>
                    <w:t>急指</w:t>
                  </w:r>
                </w:p>
                <w:p>
                  <w:pPr>
                    <w:pStyle w:val="BodyText"/>
                    <w:ind w:left="20"/>
                    <w:spacing w:line="204" w:lineRule="auto"/>
                    <w:rPr>
                      <w:sz w:val="18"/>
                      <w:szCs w:val="18"/>
                    </w:rPr>
                  </w:pPr>
                  <w:r>
                    <w:rPr>
                      <w:sz w:val="18"/>
                      <w:szCs w:val="18"/>
                      <w:spacing w:val="-3"/>
                    </w:rPr>
                    <w:t>挥部</w:t>
                  </w:r>
                </w:p>
                <w:p>
                  <w:pPr>
                    <w:pStyle w:val="BodyText"/>
                    <w:ind w:left="21"/>
                    <w:spacing w:line="209" w:lineRule="auto"/>
                    <w:rPr>
                      <w:sz w:val="18"/>
                      <w:szCs w:val="18"/>
                    </w:rPr>
                  </w:pPr>
                  <w:r>
                    <w:rPr>
                      <w:sz w:val="18"/>
                      <w:szCs w:val="18"/>
                      <w:spacing w:val="-3"/>
                    </w:rPr>
                    <w:t>宣布</w:t>
                  </w:r>
                </w:p>
              </w:txbxContent>
            </v:textbox>
          </v:shape>
        </w:pict>
      </w:r>
      <w:r>
        <w:rPr>
          <w:sz w:val="18"/>
          <w:szCs w:val="18"/>
          <w:spacing w:val="-3"/>
        </w:rPr>
        <w:t>事发</w:t>
      </w:r>
    </w:p>
    <w:p>
      <w:pPr>
        <w:pStyle w:val="BodyText"/>
        <w:ind w:left="4976"/>
        <w:spacing w:line="200" w:lineRule="auto"/>
        <w:rPr>
          <w:sz w:val="18"/>
          <w:szCs w:val="18"/>
        </w:rPr>
      </w:pPr>
      <w:r>
        <w:rPr>
          <w:sz w:val="18"/>
          <w:szCs w:val="18"/>
          <w:spacing w:val="-3"/>
        </w:rPr>
        <w:t>地人</w:t>
      </w:r>
    </w:p>
    <w:p>
      <w:pPr>
        <w:pStyle w:val="BodyText"/>
        <w:ind w:left="4992"/>
        <w:spacing w:line="206" w:lineRule="auto"/>
        <w:rPr>
          <w:sz w:val="18"/>
          <w:szCs w:val="18"/>
        </w:rPr>
      </w:pPr>
      <w:r>
        <w:rPr>
          <w:sz w:val="18"/>
          <w:szCs w:val="18"/>
          <w:spacing w:val="-10"/>
        </w:rPr>
        <w:t>民政</w:t>
      </w:r>
    </w:p>
    <w:p>
      <w:pPr>
        <w:pStyle w:val="BodyText"/>
        <w:ind w:left="4975"/>
        <w:spacing w:line="205" w:lineRule="auto"/>
        <w:rPr>
          <w:sz w:val="18"/>
          <w:szCs w:val="18"/>
        </w:rPr>
      </w:pPr>
      <w:r>
        <w:rPr>
          <w:sz w:val="18"/>
          <w:szCs w:val="18"/>
          <w:spacing w:val="-2"/>
        </w:rPr>
        <w:t>府宣</w:t>
      </w:r>
    </w:p>
    <w:p>
      <w:pPr>
        <w:pStyle w:val="BodyText"/>
        <w:ind w:left="5069"/>
        <w:spacing w:before="1" w:line="209" w:lineRule="auto"/>
        <w:rPr>
          <w:sz w:val="18"/>
          <w:szCs w:val="18"/>
        </w:rPr>
      </w:pPr>
      <w:r>
        <w:rPr>
          <w:sz w:val="18"/>
          <w:szCs w:val="18"/>
        </w:rPr>
        <w:t>布</w:t>
      </w:r>
    </w:p>
    <w:p>
      <w:pPr>
        <w:spacing w:line="306" w:lineRule="auto"/>
        <w:rPr>
          <w:rFonts w:ascii="Arial"/>
          <w:sz w:val="21"/>
        </w:rPr>
      </w:pPr>
      <w:r/>
    </w:p>
    <w:p>
      <w:pPr>
        <w:spacing w:line="306" w:lineRule="auto"/>
        <w:rPr>
          <w:rFonts w:ascii="Arial"/>
          <w:sz w:val="21"/>
        </w:rPr>
      </w:pPr>
      <w:r/>
    </w:p>
    <w:p>
      <w:pPr>
        <w:spacing w:line="307" w:lineRule="auto"/>
        <w:rPr>
          <w:rFonts w:ascii="Arial"/>
          <w:sz w:val="21"/>
        </w:rPr>
      </w:pPr>
      <w:r/>
    </w:p>
    <w:p>
      <w:pPr>
        <w:pStyle w:val="BodyText"/>
        <w:ind w:left="1673"/>
        <w:spacing w:before="58" w:line="243" w:lineRule="exact"/>
        <w:rPr>
          <w:sz w:val="18"/>
          <w:szCs w:val="18"/>
        </w:rPr>
      </w:pPr>
      <w:r>
        <w:rPr>
          <w:sz w:val="18"/>
          <w:szCs w:val="18"/>
          <w:spacing w:val="-6"/>
          <w:position w:val="1"/>
        </w:rPr>
        <w:t>Ⅰ级响应              Ⅱ级响应              Ⅲ级响应</w:t>
      </w:r>
      <w:r>
        <w:rPr>
          <w:sz w:val="18"/>
          <w:szCs w:val="18"/>
          <w:spacing w:val="7"/>
          <w:position w:val="1"/>
        </w:rPr>
        <w:t xml:space="preserve">            </w:t>
      </w:r>
      <w:r>
        <w:rPr>
          <w:sz w:val="18"/>
          <w:szCs w:val="18"/>
          <w:spacing w:val="-6"/>
          <w:position w:val="1"/>
        </w:rPr>
        <w:t>Ⅳ级响应</w:t>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BodyText"/>
        <w:ind w:left="2256"/>
        <w:spacing w:before="59" w:line="211" w:lineRule="auto"/>
        <w:rPr>
          <w:sz w:val="18"/>
          <w:szCs w:val="18"/>
        </w:rPr>
      </w:pPr>
      <w:r>
        <w:rPr>
          <w:sz w:val="18"/>
          <w:szCs w:val="18"/>
          <w:spacing w:val="-3"/>
        </w:rPr>
        <w:t>应  急</w:t>
      </w:r>
      <w:r>
        <w:rPr>
          <w:sz w:val="18"/>
          <w:szCs w:val="18"/>
          <w:spacing w:val="3"/>
        </w:rPr>
        <w:t xml:space="preserve">  </w:t>
      </w:r>
      <w:r>
        <w:rPr>
          <w:sz w:val="18"/>
          <w:szCs w:val="18"/>
          <w:spacing w:val="-3"/>
        </w:rPr>
        <w:t>处</w:t>
      </w:r>
      <w:r>
        <w:rPr>
          <w:sz w:val="18"/>
          <w:szCs w:val="18"/>
          <w:spacing w:val="3"/>
        </w:rPr>
        <w:t xml:space="preserve">  </w:t>
      </w:r>
      <w:r>
        <w:rPr>
          <w:sz w:val="18"/>
          <w:szCs w:val="18"/>
          <w:spacing w:val="-3"/>
        </w:rPr>
        <w:t>置</w:t>
      </w:r>
      <w:r>
        <w:rPr>
          <w:sz w:val="18"/>
          <w:szCs w:val="18"/>
        </w:rPr>
        <w:t xml:space="preserve">                            </w:t>
      </w:r>
      <w:r>
        <w:rPr>
          <w:sz w:val="18"/>
          <w:szCs w:val="18"/>
          <w:spacing w:val="-3"/>
        </w:rPr>
        <w:t>应</w:t>
      </w:r>
      <w:r>
        <w:rPr>
          <w:sz w:val="18"/>
          <w:szCs w:val="18"/>
          <w:spacing w:val="7"/>
        </w:rPr>
        <w:t xml:space="preserve">  </w:t>
      </w:r>
      <w:r>
        <w:rPr>
          <w:sz w:val="18"/>
          <w:szCs w:val="18"/>
          <w:spacing w:val="-3"/>
        </w:rPr>
        <w:t>急</w:t>
      </w:r>
      <w:r>
        <w:rPr>
          <w:sz w:val="18"/>
          <w:szCs w:val="18"/>
          <w:spacing w:val="2"/>
        </w:rPr>
        <w:t xml:space="preserve">  </w:t>
      </w:r>
      <w:r>
        <w:rPr>
          <w:sz w:val="18"/>
          <w:szCs w:val="18"/>
          <w:spacing w:val="-3"/>
        </w:rPr>
        <w:t>处</w:t>
      </w:r>
      <w:r>
        <w:rPr>
          <w:sz w:val="18"/>
          <w:szCs w:val="18"/>
          <w:spacing w:val="3"/>
        </w:rPr>
        <w:t xml:space="preserve">  </w:t>
      </w:r>
      <w:r>
        <w:rPr>
          <w:sz w:val="18"/>
          <w:szCs w:val="18"/>
          <w:spacing w:val="-3"/>
        </w:rPr>
        <w:t>置</w:t>
      </w:r>
    </w:p>
    <w:p>
      <w:pPr>
        <w:spacing w:line="308" w:lineRule="auto"/>
        <w:rPr>
          <w:rFonts w:ascii="Arial"/>
          <w:sz w:val="21"/>
        </w:rPr>
      </w:pPr>
      <w:r/>
    </w:p>
    <w:p>
      <w:pPr>
        <w:pStyle w:val="BodyText"/>
        <w:ind w:left="4704"/>
        <w:spacing w:before="59" w:line="212" w:lineRule="auto"/>
        <w:rPr>
          <w:sz w:val="18"/>
          <w:szCs w:val="18"/>
        </w:rPr>
      </w:pPr>
      <w:r>
        <w:rPr>
          <w:sz w:val="18"/>
          <w:szCs w:val="18"/>
          <w:spacing w:val="-1"/>
        </w:rPr>
        <w:t>应急供应</w:t>
      </w:r>
    </w:p>
    <w:p>
      <w:pPr>
        <w:spacing w:line="357" w:lineRule="auto"/>
        <w:rPr>
          <w:rFonts w:ascii="Arial"/>
          <w:sz w:val="21"/>
        </w:rPr>
      </w:pPr>
      <w:r/>
    </w:p>
    <w:p>
      <w:pPr>
        <w:pStyle w:val="BodyText"/>
        <w:ind w:left="4704"/>
        <w:spacing w:before="60" w:line="212" w:lineRule="auto"/>
        <w:rPr>
          <w:sz w:val="18"/>
          <w:szCs w:val="18"/>
        </w:rPr>
      </w:pPr>
      <w:r>
        <w:pict>
          <v:shape id="_x0000_s180" style="position:absolute;margin-left:96.6747pt;margin-top:7.13358pt;mso-position-vertical-relative:text;mso-position-horizontal-relative:text;width:12.7pt;height:90.25pt;z-index:253828096;" filled="false" stroked="false" type="#_x0000_t202">
            <v:fill on="false"/>
            <v:stroke on="false"/>
            <v:path/>
            <v:imagedata o:title=""/>
            <o:lock v:ext="edit" aspectratio="false"/>
            <v:textbox inset="0mm,0mm,0mm,0mm" style="layout-flow:vertical-ideographic;">
              <w:txbxContent>
                <w:p>
                  <w:pPr>
                    <w:pStyle w:val="BodyText"/>
                    <w:ind w:left="20"/>
                    <w:spacing w:before="19" w:line="213" w:lineRule="auto"/>
                    <w:rPr>
                      <w:sz w:val="18"/>
                      <w:szCs w:val="18"/>
                    </w:rPr>
                  </w:pPr>
                  <w:r>
                    <w:rPr>
                      <w:sz w:val="18"/>
                      <w:szCs w:val="18"/>
                      <w:spacing w:val="16"/>
                    </w:rPr>
                    <w:t>应急处置办公室处置</w:t>
                  </w:r>
                </w:p>
              </w:txbxContent>
            </v:textbox>
          </v:shape>
        </w:pict>
      </w:r>
      <w:r>
        <w:rPr>
          <w:sz w:val="18"/>
          <w:szCs w:val="18"/>
          <w:spacing w:val="-1"/>
        </w:rPr>
        <w:t>应急加工</w:t>
      </w:r>
    </w:p>
    <w:p>
      <w:pPr>
        <w:spacing w:line="356" w:lineRule="auto"/>
        <w:rPr>
          <w:rFonts w:ascii="Arial"/>
          <w:sz w:val="21"/>
        </w:rPr>
      </w:pPr>
      <w:r>
        <w:pict>
          <v:shape id="_x0000_s182" style="position:absolute;margin-left:412.789pt;margin-top:8.52902pt;mso-position-vertical-relative:text;mso-position-horizontal-relative:text;width:12.65pt;height:40.55pt;z-index:253833216;" filled="false" stroked="false" type="#_x0000_t202">
            <v:fill on="false"/>
            <v:stroke on="false"/>
            <v:path/>
            <v:imagedata o:title=""/>
            <o:lock v:ext="edit" aspectratio="false"/>
            <v:textbox inset="0mm,0mm,0mm,0mm" style="layout-flow:vertical-ideographic;">
              <w:txbxContent>
                <w:p>
                  <w:pPr>
                    <w:pStyle w:val="BodyText"/>
                    <w:ind w:left="20"/>
                    <w:spacing w:before="19" w:line="212" w:lineRule="auto"/>
                    <w:rPr>
                      <w:sz w:val="18"/>
                      <w:szCs w:val="18"/>
                    </w:rPr>
                  </w:pPr>
                  <w:r>
                    <w:rPr>
                      <w:sz w:val="18"/>
                      <w:szCs w:val="18"/>
                      <w:spacing w:val="12"/>
                    </w:rPr>
                    <w:t>总结评估</w:t>
                  </w:r>
                </w:p>
              </w:txbxContent>
            </v:textbox>
          </v:shape>
        </w:pict>
      </w:r>
      <w:r>
        <w:pict>
          <v:shape id="_x0000_s184" style="position:absolute;margin-left:368.332pt;margin-top:8.42102pt;mso-position-vertical-relative:text;mso-position-horizontal-relative:text;width:12.85pt;height:40.5pt;z-index:253832192;" filled="false" stroked="false" type="#_x0000_t202">
            <v:fill on="false"/>
            <v:stroke on="false"/>
            <v:path/>
            <v:imagedata o:title=""/>
            <o:lock v:ext="edit" aspectratio="false"/>
            <v:textbox inset="0mm,0mm,0mm,0mm" style="layout-flow:vertical-ideographic;">
              <w:txbxContent>
                <w:p>
                  <w:pPr>
                    <w:pStyle w:val="BodyText"/>
                    <w:ind w:left="20"/>
                    <w:spacing w:before="19" w:line="216" w:lineRule="auto"/>
                    <w:rPr>
                      <w:sz w:val="18"/>
                      <w:szCs w:val="18"/>
                    </w:rPr>
                  </w:pPr>
                  <w:r>
                    <w:rPr>
                      <w:sz w:val="18"/>
                      <w:szCs w:val="18"/>
                      <w:spacing w:val="12"/>
                    </w:rPr>
                    <w:t>恢复重建</w:t>
                  </w:r>
                </w:p>
              </w:txbxContent>
            </v:textbox>
          </v:shape>
        </w:pict>
      </w:r>
      <w:r>
        <w:pict>
          <v:shape id="_x0000_s186" style="position:absolute;margin-left:323.644pt;margin-top:8.52902pt;mso-position-vertical-relative:text;mso-position-horizontal-relative:text;width:12.75pt;height:40.15pt;z-index:253834240;" filled="false" stroked="false" type="#_x0000_t202">
            <v:fill on="false"/>
            <v:stroke on="false"/>
            <v:path/>
            <v:imagedata o:title=""/>
            <o:lock v:ext="edit" aspectratio="false"/>
            <v:textbox inset="0mm,0mm,0mm,0mm" style="layout-flow:vertical-ideographic;">
              <w:txbxContent>
                <w:p>
                  <w:pPr>
                    <w:pStyle w:val="BodyText"/>
                    <w:ind w:left="20"/>
                    <w:spacing w:before="20" w:line="214" w:lineRule="auto"/>
                    <w:rPr>
                      <w:sz w:val="18"/>
                      <w:szCs w:val="18"/>
                    </w:rPr>
                  </w:pPr>
                  <w:r>
                    <w:rPr>
                      <w:sz w:val="18"/>
                      <w:szCs w:val="18"/>
                      <w:spacing w:val="10"/>
                    </w:rPr>
                    <w:t>响应终止</w:t>
                  </w:r>
                </w:p>
              </w:txbxContent>
            </v:textbox>
          </v:shape>
        </w:pict>
      </w:r>
      <w:r>
        <w:pict>
          <v:shape id="_x0000_s188" style="position:absolute;margin-left:157.432pt;margin-top:10.884pt;mso-position-vertical-relative:text;mso-position-horizontal-relative:text;width:12.65pt;height:39.8pt;z-index:253835264;" filled="false" stroked="false" type="#_x0000_t202">
            <v:fill on="false"/>
            <v:stroke on="false"/>
            <v:path/>
            <v:imagedata o:title=""/>
            <o:lock v:ext="edit" aspectratio="false"/>
            <v:textbox inset="0mm,0mm,0mm,0mm" style="layout-flow:vertical-ideographic;">
              <w:txbxContent>
                <w:p>
                  <w:pPr>
                    <w:pStyle w:val="BodyText"/>
                    <w:ind w:left="20"/>
                    <w:spacing w:before="19" w:line="212" w:lineRule="auto"/>
                    <w:rPr>
                      <w:sz w:val="18"/>
                      <w:szCs w:val="18"/>
                    </w:rPr>
                  </w:pPr>
                  <w:r>
                    <w:rPr>
                      <w:sz w:val="18"/>
                      <w:szCs w:val="18"/>
                      <w:spacing w:val="8"/>
                    </w:rPr>
                    <w:t>现场处置</w:t>
                  </w:r>
                </w:p>
              </w:txbxContent>
            </v:textbox>
          </v:shape>
        </w:pict>
      </w:r>
      <w:r>
        <w:pict>
          <v:shape id="_x0000_s190" style="position:absolute;margin-left:59.9907pt;margin-top:3.89598pt;mso-position-vertical-relative:text;mso-position-horizontal-relative:text;width:12.65pt;height:70.2pt;z-index:253830144;" filled="false" stroked="false" type="#_x0000_t202">
            <v:fill on="false"/>
            <v:stroke on="false"/>
            <v:path/>
            <v:imagedata o:title=""/>
            <o:lock v:ext="edit" aspectratio="false"/>
            <v:textbox inset="0mm,0mm,0mm,0mm" style="layout-flow:vertical-ideographic;">
              <w:txbxContent>
                <w:p>
                  <w:pPr>
                    <w:pStyle w:val="BodyText"/>
                    <w:ind w:left="20"/>
                    <w:spacing w:before="19" w:line="212" w:lineRule="auto"/>
                    <w:rPr>
                      <w:sz w:val="18"/>
                      <w:szCs w:val="18"/>
                    </w:rPr>
                  </w:pPr>
                  <w:r>
                    <w:rPr>
                      <w:sz w:val="18"/>
                      <w:szCs w:val="18"/>
                      <w:spacing w:val="14"/>
                    </w:rPr>
                    <w:t>应急指挥部处置</w:t>
                  </w:r>
                </w:p>
              </w:txbxContent>
            </v:textbox>
          </v:shape>
        </w:pict>
      </w:r>
      <w:r/>
    </w:p>
    <w:p>
      <w:pPr>
        <w:pStyle w:val="BodyText"/>
        <w:ind w:left="4704"/>
        <w:spacing w:before="59" w:line="210" w:lineRule="auto"/>
        <w:rPr>
          <w:sz w:val="18"/>
          <w:szCs w:val="18"/>
        </w:rPr>
      </w:pPr>
      <w:r>
        <w:rPr>
          <w:sz w:val="18"/>
          <w:szCs w:val="18"/>
          <w:spacing w:val="-1"/>
        </w:rPr>
        <w:t>应急运输</w:t>
      </w:r>
    </w:p>
    <w:p>
      <w:pPr>
        <w:spacing w:line="357" w:lineRule="auto"/>
        <w:rPr>
          <w:rFonts w:ascii="Arial"/>
          <w:sz w:val="21"/>
        </w:rPr>
      </w:pPr>
      <w:r/>
    </w:p>
    <w:p>
      <w:pPr>
        <w:pStyle w:val="BodyText"/>
        <w:ind w:left="4703"/>
        <w:spacing w:before="59" w:line="211" w:lineRule="auto"/>
        <w:rPr>
          <w:sz w:val="18"/>
          <w:szCs w:val="18"/>
        </w:rPr>
      </w:pPr>
      <w:r>
        <w:rPr>
          <w:sz w:val="18"/>
          <w:szCs w:val="18"/>
          <w:spacing w:val="-1"/>
        </w:rPr>
        <w:t>新闻报道</w:t>
      </w:r>
    </w:p>
    <w:p>
      <w:pPr>
        <w:spacing w:line="357" w:lineRule="auto"/>
        <w:rPr>
          <w:rFonts w:ascii="Arial"/>
          <w:sz w:val="21"/>
        </w:rPr>
      </w:pPr>
      <w:r/>
    </w:p>
    <w:p>
      <w:pPr>
        <w:pStyle w:val="BodyText"/>
        <w:ind w:left="4705"/>
        <w:spacing w:before="59" w:line="213" w:lineRule="auto"/>
        <w:rPr>
          <w:sz w:val="18"/>
          <w:szCs w:val="18"/>
        </w:rPr>
      </w:pPr>
      <w:r>
        <w:rPr>
          <w:sz w:val="18"/>
          <w:szCs w:val="18"/>
          <w:spacing w:val="-2"/>
        </w:rPr>
        <w:t>善后处置</w:t>
      </w:r>
    </w:p>
    <w:p>
      <w:pPr>
        <w:spacing w:line="213" w:lineRule="auto"/>
        <w:sectPr>
          <w:headerReference w:type="default" r:id="rId549"/>
          <w:footerReference w:type="default" r:id="rId1045"/>
          <w:pgSz w:w="11906" w:h="16839"/>
          <w:pgMar w:top="1766" w:right="1530" w:bottom="1574" w:left="1579" w:header="1428" w:footer="1172" w:gutter="0"/>
        </w:sectPr>
        <w:rPr>
          <w:sz w:val="18"/>
          <w:szCs w:val="18"/>
        </w:rPr>
      </w:pPr>
    </w:p>
    <w:p>
      <w:pPr>
        <w:spacing w:line="342" w:lineRule="auto"/>
        <w:rPr>
          <w:rFonts w:ascii="Arial"/>
          <w:sz w:val="21"/>
        </w:rPr>
      </w:pPr>
      <w:r>
        <w:drawing>
          <wp:anchor distT="0" distB="0" distL="0" distR="0" simplePos="0" relativeHeight="253839360" behindDoc="0" locked="0" layoutInCell="1" allowOverlap="1">
            <wp:simplePos x="0" y="0"/>
            <wp:positionH relativeFrom="column">
              <wp:posOffset>10794</wp:posOffset>
            </wp:positionH>
            <wp:positionV relativeFrom="paragraph">
              <wp:posOffset>-132</wp:posOffset>
            </wp:positionV>
            <wp:extent cx="5579745" cy="7620"/>
            <wp:effectExtent l="0" t="0" r="0" b="0"/>
            <wp:wrapNone/>
            <wp:docPr id="2096" name="IM 2096"/>
            <wp:cNvGraphicFramePr/>
            <a:graphic>
              <a:graphicData uri="http://schemas.openxmlformats.org/drawingml/2006/picture">
                <pic:pic>
                  <pic:nvPicPr>
                    <pic:cNvPr id="2096" name="IM 2096"/>
                    <pic:cNvPicPr/>
                  </pic:nvPicPr>
                  <pic:blipFill>
                    <a:blip r:embed="rId1050"/>
                    <a:stretch>
                      <a:fillRect/>
                    </a:stretch>
                  </pic:blipFill>
                  <pic:spPr>
                    <a:xfrm rot="0">
                      <a:off x="0" y="0"/>
                      <a:ext cx="5579745" cy="7620"/>
                    </a:xfrm>
                    <a:prstGeom prst="rect">
                      <a:avLst/>
                    </a:prstGeom>
                  </pic:spPr>
                </pic:pic>
              </a:graphicData>
            </a:graphic>
          </wp:anchor>
        </w:drawing>
      </w:r>
      <w:r/>
    </w:p>
    <w:p>
      <w:pPr>
        <w:spacing w:line="342" w:lineRule="auto"/>
        <w:rPr>
          <w:rFonts w:ascii="Arial"/>
          <w:sz w:val="21"/>
        </w:rPr>
      </w:pPr>
      <w:r/>
    </w:p>
    <w:p>
      <w:pPr>
        <w:ind w:left="231"/>
        <w:spacing w:before="184" w:line="185"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8"/>
        </w:rPr>
        <w:t>固原市突发公共事件医疗卫生救援应急预案</w:t>
      </w:r>
    </w:p>
    <w:p>
      <w:pPr>
        <w:spacing w:before="165"/>
        <w:rPr/>
      </w:pPr>
      <w:r/>
    </w:p>
    <w:p>
      <w:pPr>
        <w:sectPr>
          <w:headerReference w:type="default" r:id="rId1048"/>
          <w:footerReference w:type="default" r:id="rId1049"/>
          <w:pgSz w:w="11906" w:h="16839"/>
          <w:pgMar w:top="1772" w:right="1489" w:bottom="1572" w:left="1571" w:header="1428" w:footer="1172" w:gutter="0"/>
          <w:cols w:equalWidth="0" w:num="1">
            <w:col w:w="8846" w:space="0"/>
          </w:cols>
        </w:sectPr>
        <w:rPr/>
      </w:pPr>
    </w:p>
    <w:p>
      <w:pPr>
        <w:ind w:left="458"/>
        <w:spacing w:before="48"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1</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7"/>
        </w:rPr>
        <w:t>总则</w:t>
      </w:r>
    </w:p>
    <w:p>
      <w:pPr>
        <w:pStyle w:val="BodyText"/>
        <w:ind w:left="21" w:right="329" w:firstLine="440"/>
        <w:spacing w:before="92" w:line="346" w:lineRule="auto"/>
        <w:rPr/>
      </w:pPr>
      <w:r>
        <w:rPr>
          <w:rFonts w:ascii="Times New Roman" w:hAnsi="Times New Roman" w:eastAsia="Times New Roman" w:cs="Times New Roman"/>
          <w:spacing w:val="3"/>
        </w:rPr>
        <w:t>1.</w:t>
      </w:r>
      <w:r>
        <w:rPr>
          <w:rFonts w:ascii="Times New Roman" w:hAnsi="Times New Roman" w:eastAsia="Times New Roman" w:cs="Times New Roman"/>
          <w:spacing w:val="-9"/>
        </w:rPr>
        <w:t xml:space="preserve"> </w:t>
      </w:r>
      <w:r>
        <w:rPr>
          <w:rFonts w:ascii="Times New Roman" w:hAnsi="Times New Roman" w:eastAsia="Times New Roman" w:cs="Times New Roman"/>
          <w:spacing w:val="3"/>
        </w:rPr>
        <w:t>1  </w:t>
      </w:r>
      <w:r>
        <w:rPr>
          <w:rFonts w:ascii="KaiTi" w:hAnsi="KaiTi" w:eastAsia="KaiTi" w:cs="KaiTi"/>
          <w:spacing w:val="3"/>
        </w:rPr>
        <w:t>编制</w:t>
      </w:r>
      <w:r>
        <w:rPr>
          <w:rFonts w:ascii="KaiTi" w:hAnsi="KaiTi" w:eastAsia="KaiTi" w:cs="KaiTi"/>
          <w:spacing w:val="-50"/>
        </w:rPr>
        <w:t xml:space="preserve"> </w:t>
      </w:r>
      <w:r>
        <w:rPr>
          <w:rFonts w:ascii="KaiTi" w:hAnsi="KaiTi" w:eastAsia="KaiTi" w:cs="KaiTi"/>
          <w:spacing w:val="3"/>
        </w:rPr>
        <w:t>目的。</w:t>
      </w:r>
      <w:r>
        <w:rPr>
          <w:spacing w:val="3"/>
        </w:rPr>
        <w:t>为迅速、有序、高效地组</w:t>
      </w:r>
      <w:r>
        <w:rPr>
          <w:spacing w:val="7"/>
        </w:rPr>
        <w:t>织实施突发公共事件医疗卫生救援工作，提高</w:t>
      </w:r>
      <w:r>
        <w:rPr>
          <w:spacing w:val="18"/>
        </w:rPr>
        <w:t>卫生健康部门应对突发公共事件的反应能力</w:t>
      </w:r>
      <w:r>
        <w:rPr>
          <w:spacing w:val="7"/>
        </w:rPr>
        <w:t>和医疗卫生救援水平，最大程度地减少人员伤</w:t>
      </w:r>
      <w:r>
        <w:rPr>
          <w:spacing w:val="7"/>
        </w:rPr>
        <w:t>亡和健康危害，保障人民群众身体健康和生命</w:t>
      </w:r>
      <w:r>
        <w:rPr>
          <w:spacing w:val="8"/>
        </w:rPr>
        <w:t>安全，维护社会稳定。</w:t>
      </w:r>
    </w:p>
    <w:p>
      <w:pPr>
        <w:pStyle w:val="BodyText"/>
        <w:ind w:left="5" w:right="211" w:firstLine="457"/>
        <w:spacing w:before="155" w:line="359" w:lineRule="auto"/>
        <w:rPr/>
      </w:pPr>
      <w:r>
        <w:rPr>
          <w:rFonts w:ascii="Times New Roman" w:hAnsi="Times New Roman" w:eastAsia="Times New Roman" w:cs="Times New Roman"/>
          <w:spacing w:val="7"/>
        </w:rPr>
        <w:t>1.2  </w:t>
      </w:r>
      <w:r>
        <w:rPr>
          <w:rFonts w:ascii="KaiTi" w:hAnsi="KaiTi" w:eastAsia="KaiTi" w:cs="KaiTi"/>
          <w:spacing w:val="7"/>
        </w:rPr>
        <w:t>编制依据。</w:t>
      </w:r>
      <w:r>
        <w:rPr>
          <w:spacing w:val="7"/>
        </w:rPr>
        <w:t>《中华人民共和国传染病</w:t>
      </w:r>
      <w:r>
        <w:rPr>
          <w:spacing w:val="11"/>
        </w:rPr>
        <w:t>防治法》、《中华人民共和国食品安全法》、</w:t>
      </w:r>
      <w:r>
        <w:rPr>
          <w:spacing w:val="3"/>
        </w:rPr>
        <w:t xml:space="preserve"> </w:t>
      </w:r>
      <w:r>
        <w:rPr>
          <w:spacing w:val="8"/>
        </w:rPr>
        <w:t>《中华人民共和国职业病防治法》、《中华人</w:t>
      </w:r>
      <w:r>
        <w:rPr>
          <w:spacing w:val="8"/>
        </w:rPr>
        <w:t>民共和国放射性污染防治法》、《中华人民共</w:t>
      </w:r>
      <w:r>
        <w:rPr>
          <w:spacing w:val="3"/>
        </w:rPr>
        <w:t>和国安全生产法》、《生产安全事故应急条例》</w:t>
      </w:r>
      <w:r>
        <w:rPr>
          <w:spacing w:val="8"/>
        </w:rPr>
        <w:t>以及《突发公共卫生事件应急条例》、《生产</w:t>
      </w:r>
      <w:r>
        <w:rPr>
          <w:spacing w:val="8"/>
        </w:rPr>
        <w:t>安全事故应急预案管理办法》、《医疗机构管</w:t>
      </w:r>
      <w:r>
        <w:rPr>
          <w:spacing w:val="8"/>
        </w:rPr>
        <w:t>理条例》、《国家突发公共事件医疗卫生救援</w:t>
      </w:r>
      <w:r>
        <w:rPr>
          <w:spacing w:val="8"/>
        </w:rPr>
        <w:t>应急预案》、《宁夏回族自治区突发公共事件</w:t>
      </w:r>
      <w:r>
        <w:rPr>
          <w:spacing w:val="8"/>
        </w:rPr>
        <w:t>医疗卫生救援应急预案》、《固原市突发事件</w:t>
      </w:r>
      <w:r>
        <w:rPr>
          <w:spacing w:val="10"/>
        </w:rPr>
        <w:t>总体应急预案》等。</w:t>
      </w:r>
    </w:p>
    <w:p>
      <w:pPr>
        <w:pStyle w:val="BodyText"/>
        <w:ind w:left="21" w:right="268" w:firstLine="441"/>
        <w:spacing w:before="127" w:line="339" w:lineRule="auto"/>
        <w:rPr/>
      </w:pPr>
      <w:r>
        <w:rPr>
          <w:rFonts w:ascii="Times New Roman" w:hAnsi="Times New Roman" w:eastAsia="Times New Roman" w:cs="Times New Roman"/>
          <w:spacing w:val="7"/>
        </w:rPr>
        <w:t>1.3  </w:t>
      </w:r>
      <w:r>
        <w:rPr>
          <w:rFonts w:ascii="KaiTi" w:hAnsi="KaiTi" w:eastAsia="KaiTi" w:cs="KaiTi"/>
          <w:spacing w:val="7"/>
        </w:rPr>
        <w:t>适用范围。</w:t>
      </w:r>
      <w:r>
        <w:rPr>
          <w:spacing w:val="7"/>
        </w:rPr>
        <w:t>本预案适用于本行政区域</w:t>
      </w:r>
      <w:r>
        <w:rPr>
          <w:spacing w:val="7"/>
        </w:rPr>
        <w:t>内突发公共事件导致的人员伤亡、健康危害的</w:t>
      </w:r>
      <w:r>
        <w:rPr>
          <w:spacing w:val="7"/>
        </w:rPr>
        <w:t>医疗卫生救援工作。突发公共卫生事件应急工</w:t>
      </w:r>
      <w:r>
        <w:rPr>
          <w:spacing w:val="10"/>
        </w:rPr>
        <w:t>作按照《固原市突发公共卫生事件应急预案》</w:t>
      </w:r>
      <w:r>
        <w:rPr>
          <w:spacing w:val="8"/>
        </w:rPr>
        <w:t>的有关规定执行。</w:t>
      </w:r>
    </w:p>
    <w:p>
      <w:pPr>
        <w:pStyle w:val="BodyText"/>
        <w:ind w:left="21" w:right="329" w:firstLine="441"/>
        <w:spacing w:before="159" w:line="334" w:lineRule="auto"/>
        <w:rPr/>
      </w:pPr>
      <w:r>
        <w:rPr>
          <w:rFonts w:ascii="Times New Roman" w:hAnsi="Times New Roman" w:eastAsia="Times New Roman" w:cs="Times New Roman"/>
          <w:spacing w:val="7"/>
        </w:rPr>
        <w:t>1.4  </w:t>
      </w:r>
      <w:r>
        <w:rPr>
          <w:rFonts w:ascii="KaiTi" w:hAnsi="KaiTi" w:eastAsia="KaiTi" w:cs="KaiTi"/>
          <w:spacing w:val="7"/>
        </w:rPr>
        <w:t>工作原则。</w:t>
      </w:r>
      <w:r>
        <w:rPr>
          <w:spacing w:val="7"/>
        </w:rPr>
        <w:t>统一领导、分级负责；属</w:t>
      </w:r>
      <w:r>
        <w:rPr>
          <w:spacing w:val="7"/>
        </w:rPr>
        <w:t>地管理、明确职责；依靠科学、依法规范；反</w:t>
      </w:r>
      <w:r>
        <w:rPr>
          <w:spacing w:val="7"/>
        </w:rPr>
        <w:t>应及时、措施果断；整合资源、信息共享；平</w:t>
      </w:r>
      <w:r>
        <w:rPr>
          <w:spacing w:val="9"/>
        </w:rPr>
        <w:t>战结合、常备不懈；加强协作、公众参与。</w:t>
      </w:r>
    </w:p>
    <w:p>
      <w:pPr>
        <w:ind w:left="443"/>
        <w:spacing w:before="146"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2</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3"/>
        </w:rPr>
        <w:t>组织体系</w:t>
      </w:r>
    </w:p>
    <w:p>
      <w:pPr>
        <w:ind w:left="442"/>
        <w:spacing w:before="95" w:line="210" w:lineRule="auto"/>
        <w:rPr>
          <w:rFonts w:ascii="KaiTi" w:hAnsi="KaiTi" w:eastAsia="KaiTi" w:cs="KaiTi"/>
          <w:sz w:val="20"/>
          <w:szCs w:val="20"/>
        </w:rPr>
      </w:pPr>
      <w:r>
        <w:rPr>
          <w:rFonts w:ascii="Times New Roman" w:hAnsi="Times New Roman" w:eastAsia="Times New Roman" w:cs="Times New Roman"/>
          <w:sz w:val="20"/>
          <w:szCs w:val="20"/>
          <w:spacing w:val="17"/>
        </w:rPr>
        <w:t>2.</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7"/>
        </w:rPr>
        <w:t>1</w:t>
      </w:r>
      <w:r>
        <w:rPr>
          <w:rFonts w:ascii="Times New Roman" w:hAnsi="Times New Roman" w:eastAsia="Times New Roman" w:cs="Times New Roman"/>
          <w:sz w:val="20"/>
          <w:szCs w:val="20"/>
          <w:spacing w:val="22"/>
        </w:rPr>
        <w:t xml:space="preserve">  </w:t>
      </w:r>
      <w:r>
        <w:rPr>
          <w:rFonts w:ascii="KaiTi" w:hAnsi="KaiTi" w:eastAsia="KaiTi" w:cs="KaiTi"/>
          <w:sz w:val="20"/>
          <w:szCs w:val="20"/>
          <w:spacing w:val="17"/>
        </w:rPr>
        <w:t>突发公共事件医疗卫生救援领导小</w:t>
      </w:r>
    </w:p>
    <w:p>
      <w:pPr>
        <w:spacing w:line="14" w:lineRule="auto"/>
        <w:rPr>
          <w:rFonts w:ascii="Arial"/>
          <w:sz w:val="2"/>
        </w:rPr>
      </w:pPr>
      <w:r>
        <w:rPr>
          <w:rFonts w:ascii="Arial" w:hAnsi="Arial" w:eastAsia="Arial" w:cs="Arial"/>
          <w:sz w:val="2"/>
          <w:szCs w:val="2"/>
        </w:rPr>
        <w:br w:type="column"/>
      </w:r>
    </w:p>
    <w:p>
      <w:pPr>
        <w:pStyle w:val="BodyText"/>
        <w:ind w:right="101" w:firstLine="8"/>
        <w:spacing w:before="56" w:line="369" w:lineRule="auto"/>
        <w:jc w:val="both"/>
        <w:rPr/>
      </w:pPr>
      <w:r>
        <w:rPr>
          <w:rFonts w:ascii="KaiTi" w:hAnsi="KaiTi" w:eastAsia="KaiTi" w:cs="KaiTi"/>
          <w:spacing w:val="6"/>
        </w:rPr>
        <w:t>组。</w:t>
      </w:r>
      <w:r>
        <w:rPr>
          <w:spacing w:val="6"/>
        </w:rPr>
        <w:t>市卫生健康委成立突发公共事件医疗卫生</w:t>
      </w:r>
      <w:r>
        <w:rPr>
          <w:spacing w:val="7"/>
        </w:rPr>
        <w:t>救援领导小组，领导、组织、协调、部署突发</w:t>
      </w:r>
      <w:r>
        <w:rPr>
          <w:spacing w:val="7"/>
        </w:rPr>
        <w:t>公共事件医疗卫生救援工作。市卫生健康委主</w:t>
      </w:r>
      <w:r>
        <w:rPr>
          <w:spacing w:val="7"/>
        </w:rPr>
        <w:t>任任组长，分管应急、医政医管工作的副主任</w:t>
      </w:r>
      <w:r>
        <w:rPr>
          <w:spacing w:val="7"/>
        </w:rPr>
        <w:t>任副组长，有关科室负责人为成员，卫生应急</w:t>
      </w:r>
      <w:r>
        <w:rPr>
          <w:spacing w:val="8"/>
        </w:rPr>
        <w:t>办公室负责日常工作。</w:t>
      </w:r>
    </w:p>
    <w:p>
      <w:pPr>
        <w:pStyle w:val="BodyText"/>
        <w:ind w:right="18" w:firstLine="422"/>
        <w:spacing w:line="369" w:lineRule="auto"/>
        <w:jc w:val="both"/>
        <w:rPr/>
      </w:pPr>
      <w:r>
        <w:rPr>
          <w:spacing w:val="6"/>
        </w:rPr>
        <w:t>县（区）卫生健康行政部门成立相应的突</w:t>
      </w:r>
      <w:r>
        <w:rPr>
          <w:spacing w:val="7"/>
        </w:rPr>
        <w:t>发公共事件医疗卫生救援领导小组，领导本行</w:t>
      </w:r>
      <w:r>
        <w:rPr>
          <w:spacing w:val="11"/>
        </w:rPr>
        <w:t>政区域内的突发公共事件医疗卫生救援工作，</w:t>
      </w:r>
      <w:r>
        <w:rPr>
          <w:spacing w:val="7"/>
        </w:rPr>
        <w:t>承担各类较大、一般突发公共事件医疗卫生救</w:t>
      </w:r>
      <w:r>
        <w:rPr>
          <w:spacing w:val="-8"/>
        </w:rPr>
        <w:t>援的组织、协调任务，并指定机构负责日常工作。</w:t>
      </w:r>
    </w:p>
    <w:p>
      <w:pPr>
        <w:pStyle w:val="BodyText"/>
        <w:ind w:left="3" w:right="81" w:firstLine="418"/>
        <w:spacing w:before="4" w:line="332" w:lineRule="auto"/>
        <w:rPr/>
      </w:pPr>
      <w:r>
        <w:rPr>
          <w:rFonts w:ascii="Times New Roman" w:hAnsi="Times New Roman" w:eastAsia="Times New Roman" w:cs="Times New Roman"/>
          <w:spacing w:val="8"/>
        </w:rPr>
        <w:t>2.2</w:t>
      </w:r>
      <w:r>
        <w:rPr>
          <w:rFonts w:ascii="Times New Roman" w:hAnsi="Times New Roman" w:eastAsia="Times New Roman" w:cs="Times New Roman"/>
          <w:spacing w:val="18"/>
          <w:w w:val="101"/>
        </w:rPr>
        <w:t xml:space="preserve">  </w:t>
      </w:r>
      <w:r>
        <w:rPr>
          <w:rFonts w:ascii="KaiTi" w:hAnsi="KaiTi" w:eastAsia="KaiTi" w:cs="KaiTi"/>
          <w:spacing w:val="8"/>
        </w:rPr>
        <w:t>突发公共事件医疗卫生救援专家组。</w:t>
      </w:r>
      <w:r>
        <w:rPr>
          <w:spacing w:val="4"/>
        </w:rPr>
        <w:t>市、县（</w:t>
      </w:r>
      <w:r>
        <w:rPr>
          <w:spacing w:val="-37"/>
        </w:rPr>
        <w:t xml:space="preserve"> </w:t>
      </w:r>
      <w:r>
        <w:rPr>
          <w:spacing w:val="4"/>
        </w:rPr>
        <w:t>区）卫生健康行政部门应组建由多方</w:t>
      </w:r>
      <w:r>
        <w:rPr>
          <w:spacing w:val="7"/>
        </w:rPr>
        <w:t>面专家组成的专家组，对突发公共事件医疗卫</w:t>
      </w:r>
      <w:r>
        <w:rPr>
          <w:spacing w:val="8"/>
        </w:rPr>
        <w:t>生救援工作提供咨询建议、技术指导和支持。</w:t>
      </w:r>
    </w:p>
    <w:p>
      <w:pPr>
        <w:pStyle w:val="BodyText"/>
        <w:ind w:right="81" w:firstLine="421"/>
        <w:spacing w:before="157" w:line="351" w:lineRule="auto"/>
        <w:rPr/>
      </w:pPr>
      <w:r>
        <w:rPr>
          <w:rFonts w:ascii="Times New Roman" w:hAnsi="Times New Roman" w:eastAsia="Times New Roman" w:cs="Times New Roman"/>
          <w:spacing w:val="7"/>
        </w:rPr>
        <w:t>2.3</w:t>
      </w:r>
      <w:r>
        <w:rPr>
          <w:rFonts w:ascii="Times New Roman" w:hAnsi="Times New Roman" w:eastAsia="Times New Roman" w:cs="Times New Roman"/>
          <w:spacing w:val="20"/>
          <w:w w:val="101"/>
        </w:rPr>
        <w:t xml:space="preserve">  </w:t>
      </w:r>
      <w:r>
        <w:rPr>
          <w:rFonts w:ascii="KaiTi" w:hAnsi="KaiTi" w:eastAsia="KaiTi" w:cs="KaiTi"/>
          <w:spacing w:val="7"/>
        </w:rPr>
        <w:t>医疗卫生救援机构。</w:t>
      </w:r>
      <w:r>
        <w:rPr>
          <w:spacing w:val="7"/>
        </w:rPr>
        <w:t>各级各类医疗卫</w:t>
      </w:r>
      <w:r>
        <w:rPr>
          <w:spacing w:val="8"/>
        </w:rPr>
        <w:t>生机构承担突发公共事件医疗卫生救援任务。</w:t>
      </w:r>
      <w:r>
        <w:rPr>
          <w:spacing w:val="7"/>
        </w:rPr>
        <w:t>其中，各级医疗急救中心（站）承担突发公共</w:t>
      </w:r>
      <w:r>
        <w:rPr>
          <w:spacing w:val="7"/>
        </w:rPr>
        <w:t>事件现场医疗救援和伤员转运；各级医疗机构</w:t>
      </w:r>
      <w:r>
        <w:rPr>
          <w:spacing w:val="7"/>
        </w:rPr>
        <w:t>承担突发公共事件的医疗救治任务；采供血机</w:t>
      </w:r>
      <w:r>
        <w:rPr>
          <w:spacing w:val="7"/>
        </w:rPr>
        <w:t>构承担临床用血供应任务；各级疾病预防控制</w:t>
      </w:r>
      <w:r>
        <w:rPr>
          <w:spacing w:val="18"/>
        </w:rPr>
        <w:t>机构和卫生监督机构根据职能做好突发公共</w:t>
      </w:r>
      <w:r>
        <w:rPr>
          <w:spacing w:val="9"/>
        </w:rPr>
        <w:t>事件中的疾病预防控制和监督执法工作。</w:t>
      </w:r>
    </w:p>
    <w:p>
      <w:pPr>
        <w:pStyle w:val="BodyText"/>
        <w:ind w:left="2" w:right="101" w:firstLine="419"/>
        <w:spacing w:before="160" w:line="340" w:lineRule="auto"/>
        <w:rPr/>
      </w:pPr>
      <w:r>
        <w:rPr>
          <w:rFonts w:ascii="Times New Roman" w:hAnsi="Times New Roman" w:eastAsia="Times New Roman" w:cs="Times New Roman"/>
          <w:spacing w:val="6"/>
        </w:rPr>
        <w:t>2.4  </w:t>
      </w:r>
      <w:r>
        <w:rPr>
          <w:rFonts w:ascii="KaiTi" w:hAnsi="KaiTi" w:eastAsia="KaiTi" w:cs="KaiTi"/>
          <w:spacing w:val="6"/>
        </w:rPr>
        <w:t>现场指挥部。</w:t>
      </w:r>
      <w:r>
        <w:rPr>
          <w:spacing w:val="6"/>
        </w:rPr>
        <w:t>市县（</w:t>
      </w:r>
      <w:r>
        <w:rPr>
          <w:spacing w:val="-50"/>
        </w:rPr>
        <w:t xml:space="preserve"> </w:t>
      </w:r>
      <w:r>
        <w:rPr>
          <w:spacing w:val="6"/>
        </w:rPr>
        <w:t>区）卫生健</w:t>
      </w:r>
      <w:r>
        <w:rPr>
          <w:spacing w:val="5"/>
        </w:rPr>
        <w:t>康行</w:t>
      </w:r>
      <w:r>
        <w:rPr>
          <w:spacing w:val="18"/>
        </w:rPr>
        <w:t>政部门根据实际工作需要在突发公共事件现</w:t>
      </w:r>
      <w:r>
        <w:rPr>
          <w:spacing w:val="7"/>
        </w:rPr>
        <w:t>场设立医疗卫生救援现场指挥部，由现场的最</w:t>
      </w:r>
      <w:r>
        <w:rPr>
          <w:spacing w:val="7"/>
        </w:rPr>
        <w:t>高卫生健康行政部门负责同志担任指挥，统一</w:t>
      </w:r>
      <w:r>
        <w:rPr>
          <w:spacing w:val="9"/>
        </w:rPr>
        <w:t>指挥、协调现场医疗卫生救援工作。</w:t>
      </w:r>
    </w:p>
    <w:p>
      <w:pPr>
        <w:pStyle w:val="BodyText"/>
        <w:ind w:left="423"/>
        <w:spacing w:before="160" w:line="206" w:lineRule="auto"/>
        <w:rPr/>
      </w:pPr>
      <w:r>
        <w:rPr>
          <w:spacing w:val="16"/>
        </w:rPr>
        <w:t>根据需要</w:t>
      </w:r>
      <w:r>
        <w:rPr>
          <w:spacing w:val="-49"/>
        </w:rPr>
        <w:t xml:space="preserve"> </w:t>
      </w:r>
      <w:r>
        <w:rPr>
          <w:spacing w:val="16"/>
        </w:rPr>
        <w:t>，现场指挥部可下设医疗救治</w:t>
      </w:r>
    </w:p>
    <w:p>
      <w:pPr>
        <w:spacing w:line="206" w:lineRule="auto"/>
        <w:sectPr>
          <w:type w:val="continuous"/>
          <w:pgSz w:w="11906" w:h="16839"/>
          <w:pgMar w:top="1772" w:right="1489" w:bottom="1572" w:left="1571" w:header="1428" w:footer="1172" w:gutter="0"/>
          <w:cols w:equalWidth="0" w:num="2">
            <w:col w:w="4498" w:space="100"/>
            <w:col w:w="4249" w:space="0"/>
          </w:cols>
        </w:sectPr>
        <w:rPr/>
      </w:pPr>
    </w:p>
    <w:p>
      <w:pPr>
        <w:spacing w:before="78"/>
        <w:rPr/>
      </w:pPr>
      <w:r>
        <w:drawing>
          <wp:anchor distT="0" distB="0" distL="0" distR="0" simplePos="0" relativeHeight="253853696"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2100" name="IM 2100"/>
            <wp:cNvGraphicFramePr/>
            <a:graphic>
              <a:graphicData uri="http://schemas.openxmlformats.org/drawingml/2006/picture">
                <pic:pic>
                  <pic:nvPicPr>
                    <pic:cNvPr id="2100" name="IM 2100"/>
                    <pic:cNvPicPr/>
                  </pic:nvPicPr>
                  <pic:blipFill>
                    <a:blip r:embed="rId1052"/>
                    <a:stretch>
                      <a:fillRect/>
                    </a:stretch>
                  </pic:blipFill>
                  <pic:spPr>
                    <a:xfrm rot="0">
                      <a:off x="0" y="0"/>
                      <a:ext cx="5579745" cy="7620"/>
                    </a:xfrm>
                    <a:prstGeom prst="rect">
                      <a:avLst/>
                    </a:prstGeom>
                  </pic:spPr>
                </pic:pic>
              </a:graphicData>
            </a:graphic>
          </wp:anchor>
        </w:drawing>
      </w:r>
      <w:r/>
    </w:p>
    <w:p>
      <w:pPr>
        <w:sectPr>
          <w:headerReference w:type="default" r:id="rId549"/>
          <w:footerReference w:type="default" r:id="rId1051"/>
          <w:pgSz w:w="11906" w:h="16839"/>
          <w:pgMar w:top="1766" w:right="1530" w:bottom="1574" w:left="1579" w:header="1428" w:footer="1172" w:gutter="0"/>
          <w:cols w:equalWidth="0" w:num="1">
            <w:col w:w="8796" w:space="0"/>
          </w:cols>
        </w:sectPr>
        <w:rPr/>
      </w:pPr>
    </w:p>
    <w:p>
      <w:pPr>
        <w:pStyle w:val="BodyText"/>
        <w:ind w:left="15" w:right="306" w:hanging="2"/>
        <w:spacing w:before="39" w:line="368" w:lineRule="auto"/>
        <w:rPr/>
      </w:pPr>
      <w:r>
        <w:rPr>
          <w:spacing w:val="8"/>
        </w:rPr>
        <w:t>组、疾控监督组、综合协调组、后勤保障组、</w:t>
      </w:r>
      <w:r>
        <w:rPr>
          <w:spacing w:val="7"/>
        </w:rPr>
        <w:t>宣传信息组等。</w:t>
      </w:r>
    </w:p>
    <w:p>
      <w:pPr>
        <w:pStyle w:val="BodyText"/>
        <w:ind w:left="12" w:right="246" w:firstLine="421"/>
        <w:spacing w:before="6" w:line="367" w:lineRule="auto"/>
        <w:jc w:val="both"/>
        <w:rPr/>
      </w:pPr>
      <w:r>
        <w:rPr>
          <w:rFonts w:ascii="Times New Roman" w:hAnsi="Times New Roman" w:eastAsia="Times New Roman" w:cs="Times New Roman"/>
          <w:spacing w:val="8"/>
        </w:rPr>
        <w:t>2.5  </w:t>
      </w:r>
      <w:r>
        <w:rPr>
          <w:rFonts w:ascii="KaiTi" w:hAnsi="KaiTi" w:eastAsia="KaiTi" w:cs="KaiTi"/>
          <w:spacing w:val="8"/>
        </w:rPr>
        <w:t>协调保障组。</w:t>
      </w:r>
      <w:r>
        <w:rPr>
          <w:spacing w:val="8"/>
        </w:rPr>
        <w:t>市成立医疗卫生救援协</w:t>
      </w:r>
      <w:r>
        <w:rPr>
          <w:spacing w:val="7"/>
        </w:rPr>
        <w:t>调保障组。固原市突发事件应急委员会成员单</w:t>
      </w:r>
      <w:r>
        <w:rPr>
          <w:spacing w:val="7"/>
        </w:rPr>
        <w:t>位是协调保障部成员，依据各自的职责协助市</w:t>
      </w:r>
      <w:r>
        <w:rPr>
          <w:spacing w:val="7"/>
        </w:rPr>
        <w:t>卫生健康委员会做好新闻宣传、信息发布和经</w:t>
      </w:r>
      <w:r>
        <w:rPr>
          <w:spacing w:val="1"/>
        </w:rPr>
        <w:t>费保障，救援药品、疫苗、试剂、设备和器械、</w:t>
      </w:r>
      <w:r>
        <w:rPr>
          <w:spacing w:val="7"/>
        </w:rPr>
        <w:t>防护用品等应急物资的采购、储备、运输，救</w:t>
      </w:r>
      <w:r>
        <w:rPr>
          <w:spacing w:val="7"/>
        </w:rPr>
        <w:t>援现场保护、秩序维持、交通疏导及相关标本</w:t>
      </w:r>
      <w:r>
        <w:rPr>
          <w:spacing w:val="6"/>
        </w:rPr>
        <w:t>运送等。</w:t>
      </w:r>
    </w:p>
    <w:p>
      <w:pPr>
        <w:ind w:left="436"/>
        <w:spacing w:before="7"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3</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6"/>
        </w:rPr>
        <w:t>应急响应与处置</w:t>
      </w:r>
    </w:p>
    <w:p>
      <w:pPr>
        <w:pStyle w:val="BodyText"/>
        <w:ind w:left="12" w:right="329" w:firstLine="422"/>
        <w:spacing w:before="105" w:line="376" w:lineRule="auto"/>
        <w:rPr/>
      </w:pPr>
      <w:r>
        <w:rPr>
          <w:spacing w:val="6"/>
        </w:rPr>
        <w:t>根据突发公共事件导致的人员伤亡、健康</w:t>
      </w:r>
      <w:r>
        <w:rPr>
          <w:spacing w:val="7"/>
        </w:rPr>
        <w:t>危害情况和救援工作难度，将医疗卫生救援响</w:t>
      </w:r>
      <w:r>
        <w:rPr>
          <w:spacing w:val="8"/>
        </w:rPr>
        <w:t>应分为</w:t>
      </w:r>
      <w:r>
        <w:rPr>
          <w:spacing w:val="-43"/>
        </w:rPr>
        <w:t xml:space="preserve"> </w:t>
      </w:r>
      <w:r>
        <w:rPr>
          <w:rFonts w:ascii="Times New Roman" w:hAnsi="Times New Roman" w:eastAsia="Times New Roman" w:cs="Times New Roman"/>
          <w:spacing w:val="8"/>
        </w:rPr>
        <w:t>I </w:t>
      </w:r>
      <w:r>
        <w:rPr>
          <w:spacing w:val="8"/>
        </w:rPr>
        <w:t>级、</w:t>
      </w:r>
      <w:r>
        <w:rPr>
          <w:rFonts w:ascii="Times New Roman" w:hAnsi="Times New Roman" w:eastAsia="Times New Roman" w:cs="Times New Roman"/>
        </w:rPr>
        <w:t>II</w:t>
      </w:r>
      <w:r>
        <w:rPr>
          <w:rFonts w:ascii="Times New Roman" w:hAnsi="Times New Roman" w:eastAsia="Times New Roman" w:cs="Times New Roman"/>
          <w:spacing w:val="8"/>
        </w:rPr>
        <w:t xml:space="preserve"> </w:t>
      </w:r>
      <w:r>
        <w:rPr>
          <w:spacing w:val="8"/>
        </w:rPr>
        <w:t>级、</w:t>
      </w:r>
      <w:r>
        <w:rPr>
          <w:rFonts w:ascii="Times New Roman" w:hAnsi="Times New Roman" w:eastAsia="Times New Roman" w:cs="Times New Roman"/>
        </w:rPr>
        <w:t>III</w:t>
      </w:r>
      <w:r>
        <w:rPr>
          <w:rFonts w:ascii="Times New Roman" w:hAnsi="Times New Roman" w:eastAsia="Times New Roman" w:cs="Times New Roman"/>
          <w:spacing w:val="8"/>
        </w:rPr>
        <w:t xml:space="preserve"> </w:t>
      </w:r>
      <w:r>
        <w:rPr>
          <w:spacing w:val="8"/>
        </w:rPr>
        <w:t>级和</w:t>
      </w:r>
      <w:r>
        <w:rPr>
          <w:spacing w:val="-40"/>
        </w:rPr>
        <w:t xml:space="preserve"> </w:t>
      </w:r>
      <w:r>
        <w:rPr>
          <w:rFonts w:ascii="Times New Roman" w:hAnsi="Times New Roman" w:eastAsia="Times New Roman" w:cs="Times New Roman"/>
        </w:rPr>
        <w:t>IV</w:t>
      </w:r>
      <w:r>
        <w:rPr>
          <w:rFonts w:ascii="Times New Roman" w:hAnsi="Times New Roman" w:eastAsia="Times New Roman" w:cs="Times New Roman"/>
          <w:spacing w:val="8"/>
        </w:rPr>
        <w:t xml:space="preserve"> </w:t>
      </w:r>
      <w:r>
        <w:rPr>
          <w:spacing w:val="8"/>
        </w:rPr>
        <w:t>级四个等级。</w:t>
      </w:r>
    </w:p>
    <w:p>
      <w:pPr>
        <w:pStyle w:val="BodyText"/>
        <w:ind w:left="12" w:right="276" w:firstLine="425"/>
        <w:spacing w:before="6" w:line="354" w:lineRule="auto"/>
        <w:rPr/>
      </w:pPr>
      <w:r>
        <w:rPr>
          <w:rFonts w:ascii="Times New Roman" w:hAnsi="Times New Roman" w:eastAsia="Times New Roman" w:cs="Times New Roman"/>
          <w:spacing w:val="7"/>
        </w:rPr>
        <w:t>3.</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1  </w:t>
      </w:r>
      <w:r>
        <w:rPr>
          <w:rFonts w:ascii="KaiTi" w:hAnsi="KaiTi" w:eastAsia="KaiTi" w:cs="KaiTi"/>
          <w:spacing w:val="7"/>
        </w:rPr>
        <w:t>先期响应。</w:t>
      </w:r>
      <w:r>
        <w:rPr>
          <w:spacing w:val="7"/>
        </w:rPr>
        <w:t>突发公共事件发生后</w:t>
      </w:r>
      <w:r>
        <w:rPr>
          <w:spacing w:val="6"/>
        </w:rPr>
        <w:t>，事</w:t>
      </w:r>
      <w:r>
        <w:rPr>
          <w:spacing w:val="9"/>
        </w:rPr>
        <w:t>件发生单位或社区是先期响应的第一责任人，</w:t>
      </w:r>
      <w:r>
        <w:rPr>
          <w:spacing w:val="15"/>
        </w:rPr>
        <w:t>按照本单位或社区制定的应急预案</w:t>
      </w:r>
      <w:r>
        <w:rPr>
          <w:spacing w:val="-40"/>
        </w:rPr>
        <w:t xml:space="preserve"> </w:t>
      </w:r>
      <w:r>
        <w:rPr>
          <w:spacing w:val="15"/>
        </w:rPr>
        <w:t>，组织职</w:t>
      </w:r>
      <w:r>
        <w:rPr>
          <w:spacing w:val="7"/>
        </w:rPr>
        <w:t>工、群众展开自救互救，专业救援队伍到达现</w:t>
      </w:r>
      <w:r>
        <w:rPr>
          <w:spacing w:val="7"/>
        </w:rPr>
        <w:t>场后协调开展救援工作。事件发生地县（</w:t>
      </w:r>
      <w:r>
        <w:rPr>
          <w:spacing w:val="-43"/>
        </w:rPr>
        <w:t xml:space="preserve"> </w:t>
      </w:r>
      <w:r>
        <w:rPr>
          <w:spacing w:val="7"/>
        </w:rPr>
        <w:t>区）</w:t>
      </w:r>
      <w:r>
        <w:rPr>
          <w:spacing w:val="7"/>
        </w:rPr>
        <w:t>级政府及有关部门在突发公共事件发生后，要</w:t>
      </w:r>
      <w:r>
        <w:rPr>
          <w:spacing w:val="9"/>
        </w:rPr>
        <w:t>根据职责和权限及时开展应急处置工作。</w:t>
      </w:r>
    </w:p>
    <w:p>
      <w:pPr>
        <w:ind w:left="437"/>
        <w:spacing w:before="166" w:line="267" w:lineRule="exact"/>
        <w:rPr>
          <w:rFonts w:ascii="KaiTi" w:hAnsi="KaiTi" w:eastAsia="KaiTi" w:cs="KaiTi"/>
          <w:sz w:val="20"/>
          <w:szCs w:val="20"/>
        </w:rPr>
      </w:pPr>
      <w:r>
        <w:rPr>
          <w:rFonts w:ascii="Times New Roman" w:hAnsi="Times New Roman" w:eastAsia="Times New Roman" w:cs="Times New Roman"/>
          <w:sz w:val="20"/>
          <w:szCs w:val="20"/>
          <w:spacing w:val="3"/>
          <w:position w:val="1"/>
        </w:rPr>
        <w:t>3.2 I</w:t>
      </w:r>
      <w:r>
        <w:rPr>
          <w:rFonts w:ascii="Times New Roman" w:hAnsi="Times New Roman" w:eastAsia="Times New Roman" w:cs="Times New Roman"/>
          <w:sz w:val="20"/>
          <w:szCs w:val="20"/>
          <w:spacing w:val="6"/>
          <w:position w:val="1"/>
        </w:rPr>
        <w:t xml:space="preserve">  </w:t>
      </w:r>
      <w:r>
        <w:rPr>
          <w:rFonts w:ascii="KaiTi" w:hAnsi="KaiTi" w:eastAsia="KaiTi" w:cs="KaiTi"/>
          <w:sz w:val="20"/>
          <w:szCs w:val="20"/>
          <w:spacing w:val="3"/>
          <w:position w:val="1"/>
        </w:rPr>
        <w:t>级响应。</w:t>
      </w:r>
    </w:p>
    <w:p>
      <w:pPr>
        <w:pStyle w:val="BodyText"/>
        <w:ind w:left="437"/>
        <w:spacing w:before="144" w:line="221" w:lineRule="auto"/>
        <w:rPr/>
      </w:pPr>
      <w:r>
        <w:rPr>
          <w:rFonts w:ascii="Times New Roman" w:hAnsi="Times New Roman" w:eastAsia="Times New Roman" w:cs="Times New Roman"/>
          <w:spacing w:val="4"/>
        </w:rPr>
        <w:t>3.2.1  </w:t>
      </w:r>
      <w:r>
        <w:rPr>
          <w:spacing w:val="4"/>
        </w:rPr>
        <w:t>启动条件</w:t>
      </w:r>
    </w:p>
    <w:p>
      <w:pPr>
        <w:pStyle w:val="BodyText"/>
        <w:ind w:left="12" w:right="329" w:firstLine="412"/>
        <w:spacing w:before="166" w:line="346" w:lineRule="auto"/>
        <w:rPr/>
      </w:pPr>
      <w:r>
        <w:rPr>
          <w:spacing w:val="3"/>
        </w:rPr>
        <w:t>（</w:t>
      </w:r>
      <w:r>
        <w:rPr>
          <w:spacing w:val="-35"/>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6"/>
        </w:rPr>
        <w:t xml:space="preserve"> </w:t>
      </w:r>
      <w:r>
        <w:rPr>
          <w:spacing w:val="3"/>
        </w:rPr>
        <w:t>）一次事件伤亡</w:t>
      </w:r>
      <w:r>
        <w:rPr>
          <w:spacing w:val="-18"/>
        </w:rPr>
        <w:t xml:space="preserve"> </w:t>
      </w:r>
      <w:r>
        <w:rPr>
          <w:rFonts w:ascii="Times New Roman" w:hAnsi="Times New Roman" w:eastAsia="Times New Roman" w:cs="Times New Roman"/>
          <w:spacing w:val="3"/>
        </w:rPr>
        <w:t>100 </w:t>
      </w:r>
      <w:r>
        <w:rPr>
          <w:spacing w:val="3"/>
        </w:rPr>
        <w:t>人以上</w:t>
      </w:r>
      <w:r>
        <w:rPr>
          <w:spacing w:val="-58"/>
        </w:rPr>
        <w:t xml:space="preserve"> </w:t>
      </w:r>
      <w:r>
        <w:rPr>
          <w:spacing w:val="3"/>
        </w:rPr>
        <w:t>，且危重</w:t>
      </w:r>
      <w:r>
        <w:rPr>
          <w:spacing w:val="7"/>
        </w:rPr>
        <w:t>人员多，或者核事故和突发放射事件、化学品</w:t>
      </w:r>
      <w:r>
        <w:rPr>
          <w:spacing w:val="7"/>
        </w:rPr>
        <w:t>泄漏事故导致大量人员伤亡，固原市政府确定</w:t>
      </w:r>
      <w:r>
        <w:rPr>
          <w:spacing w:val="18"/>
        </w:rPr>
        <w:t>需要请求自治区在医疗卫生救援工作上给予</w:t>
      </w:r>
      <w:r>
        <w:rPr>
          <w:spacing w:val="8"/>
        </w:rPr>
        <w:t>支持的突发公共事件。</w:t>
      </w:r>
    </w:p>
    <w:p>
      <w:pPr>
        <w:pStyle w:val="BodyText"/>
        <w:ind w:left="30" w:right="331" w:firstLine="394"/>
        <w:spacing w:before="166" w:line="300"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16"/>
        </w:rPr>
        <w:t xml:space="preserve"> </w:t>
      </w:r>
      <w:r>
        <w:rPr>
          <w:spacing w:val="8"/>
        </w:rPr>
        <w:t>）跨县（</w:t>
      </w:r>
      <w:r>
        <w:rPr>
          <w:spacing w:val="-48"/>
        </w:rPr>
        <w:t xml:space="preserve"> </w:t>
      </w:r>
      <w:r>
        <w:rPr>
          <w:spacing w:val="8"/>
        </w:rPr>
        <w:t>区）的有特别严重人员伤亡</w:t>
      </w:r>
      <w:r>
        <w:rPr>
          <w:spacing w:val="5"/>
        </w:rPr>
        <w:t>的突发公共事件。</w:t>
      </w:r>
    </w:p>
    <w:p>
      <w:pPr>
        <w:pStyle w:val="BodyText"/>
        <w:ind w:left="13" w:right="329" w:firstLine="411"/>
        <w:spacing w:before="166" w:line="300"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）自治区政府及其有关部门确定的其</w:t>
      </w:r>
      <w:r>
        <w:rPr>
          <w:spacing w:val="18"/>
        </w:rPr>
        <w:t>他需要开展医疗卫生救援工作的重大突发公</w:t>
      </w:r>
    </w:p>
    <w:p>
      <w:pPr>
        <w:spacing w:line="14" w:lineRule="auto"/>
        <w:rPr>
          <w:rFonts w:ascii="Arial"/>
          <w:sz w:val="2"/>
        </w:rPr>
      </w:pPr>
      <w:r>
        <w:rPr>
          <w:rFonts w:ascii="Arial" w:hAnsi="Arial" w:eastAsia="Arial" w:cs="Arial"/>
          <w:sz w:val="2"/>
          <w:szCs w:val="2"/>
        </w:rPr>
        <w:br w:type="column"/>
      </w:r>
    </w:p>
    <w:p>
      <w:pPr>
        <w:pStyle w:val="BodyText"/>
        <w:spacing w:before="46" w:line="219" w:lineRule="auto"/>
        <w:rPr/>
      </w:pPr>
      <w:r>
        <w:rPr>
          <w:spacing w:val="6"/>
        </w:rPr>
        <w:t>共事件。</w:t>
      </w:r>
    </w:p>
    <w:p>
      <w:pPr>
        <w:pStyle w:val="BodyText"/>
        <w:ind w:left="426"/>
        <w:spacing w:before="170" w:line="218" w:lineRule="auto"/>
        <w:rPr/>
      </w:pPr>
      <w:r>
        <w:rPr>
          <w:rFonts w:ascii="Times New Roman" w:hAnsi="Times New Roman" w:eastAsia="Times New Roman" w:cs="Times New Roman"/>
          <w:spacing w:val="3"/>
        </w:rPr>
        <w:t>3.2.2</w:t>
      </w:r>
      <w:r>
        <w:rPr>
          <w:rFonts w:ascii="Times New Roman" w:hAnsi="Times New Roman" w:eastAsia="Times New Roman" w:cs="Times New Roman"/>
          <w:spacing w:val="12"/>
        </w:rPr>
        <w:t xml:space="preserve">  </w:t>
      </w:r>
      <w:r>
        <w:rPr>
          <w:spacing w:val="3"/>
        </w:rPr>
        <w:t>响应措施</w:t>
      </w:r>
    </w:p>
    <w:p>
      <w:pPr>
        <w:pStyle w:val="BodyText"/>
        <w:ind w:right="59" w:firstLine="423"/>
        <w:spacing w:before="162" w:line="377" w:lineRule="auto"/>
        <w:rPr/>
      </w:pPr>
      <w:r>
        <w:rPr>
          <w:spacing w:val="19"/>
        </w:rPr>
        <w:t>市卫生健康委接到特别重大突发公共事</w:t>
      </w:r>
      <w:r>
        <w:rPr>
          <w:spacing w:val="7"/>
        </w:rPr>
        <w:t>件医疗卫生救援的指示、通报或报告后，立即</w:t>
      </w:r>
      <w:r>
        <w:rPr>
          <w:spacing w:val="7"/>
        </w:rPr>
        <w:t>启动应急工作。组织医疗卫生专业队伍、专家</w:t>
      </w:r>
      <w:r>
        <w:rPr>
          <w:spacing w:val="7"/>
        </w:rPr>
        <w:t>组和有关人员到达现场，成立现场指挥部，开</w:t>
      </w:r>
      <w:r>
        <w:rPr>
          <w:spacing w:val="7"/>
        </w:rPr>
        <w:t>展现场医疗卫生救援，对伤病员及救治情况和</w:t>
      </w:r>
      <w:r>
        <w:rPr>
          <w:spacing w:val="7"/>
        </w:rPr>
        <w:t>事件的公共卫生风险进行综合评估，提出应急</w:t>
      </w:r>
      <w:r>
        <w:rPr>
          <w:spacing w:val="7"/>
        </w:rPr>
        <w:t>处置建议，组织和协调医疗卫生机构做好伤员</w:t>
      </w:r>
      <w:r>
        <w:rPr>
          <w:spacing w:val="7"/>
        </w:rPr>
        <w:t>检伤、转运、现场卫生学处理等。根据需要组</w:t>
      </w:r>
      <w:r>
        <w:rPr>
          <w:spacing w:val="18"/>
        </w:rPr>
        <w:t>织、协调全市医疗卫生专业力量参与救援工</w:t>
      </w:r>
      <w:r>
        <w:rPr>
          <w:spacing w:val="7"/>
        </w:rPr>
        <w:t>作，必要时提请自治区卫生健康委组织国家级</w:t>
      </w:r>
      <w:r>
        <w:rPr>
          <w:spacing w:val="18"/>
        </w:rPr>
        <w:t>医疗卫生救援应急队伍和专家给予支援和指</w:t>
      </w:r>
      <w:r>
        <w:rPr>
          <w:spacing w:val="7"/>
        </w:rPr>
        <w:t>导。及时向自治区卫生健康委和自治区政府报</w:t>
      </w:r>
      <w:r>
        <w:rPr>
          <w:spacing w:val="8"/>
        </w:rPr>
        <w:t>告医疗卫生救援工作情况。</w:t>
      </w:r>
    </w:p>
    <w:p>
      <w:pPr>
        <w:pStyle w:val="BodyText"/>
        <w:ind w:left="3" w:right="59" w:firstLine="420"/>
        <w:spacing w:before="2" w:line="375" w:lineRule="auto"/>
        <w:rPr/>
      </w:pPr>
      <w:r>
        <w:rPr>
          <w:spacing w:val="19"/>
        </w:rPr>
        <w:t>市医疗卫生救援协调保障组成员单位依</w:t>
      </w:r>
      <w:r>
        <w:rPr>
          <w:spacing w:val="8"/>
        </w:rPr>
        <w:t>据各自职责做好医疗卫生救援保障。</w:t>
      </w:r>
    </w:p>
    <w:p>
      <w:pPr>
        <w:pStyle w:val="BodyText"/>
        <w:ind w:left="2" w:right="36" w:firstLine="420"/>
        <w:spacing w:before="2" w:line="375" w:lineRule="auto"/>
        <w:jc w:val="both"/>
        <w:rPr/>
      </w:pPr>
      <w:r>
        <w:rPr>
          <w:spacing w:val="6"/>
        </w:rPr>
        <w:t>事件发生地的县（区）卫生健康行政部门</w:t>
      </w:r>
      <w:r>
        <w:rPr>
          <w:spacing w:val="7"/>
        </w:rPr>
        <w:t>在当地政府的指挥下，在市卫生健康委的指导</w:t>
      </w:r>
      <w:r>
        <w:rPr>
          <w:spacing w:val="8"/>
        </w:rPr>
        <w:t>下，结合本行政区域实际情况，组织、协调、</w:t>
      </w:r>
      <w:r>
        <w:rPr>
          <w:spacing w:val="8"/>
        </w:rPr>
        <w:t>落实突发公共事件医疗卫生救援工作。</w:t>
      </w:r>
    </w:p>
    <w:p>
      <w:pPr>
        <w:ind w:left="426"/>
        <w:spacing w:before="5" w:line="267" w:lineRule="exact"/>
        <w:rPr>
          <w:rFonts w:ascii="KaiTi" w:hAnsi="KaiTi" w:eastAsia="KaiTi" w:cs="KaiTi"/>
          <w:sz w:val="20"/>
          <w:szCs w:val="20"/>
        </w:rPr>
      </w:pPr>
      <w:r>
        <w:rPr>
          <w:rFonts w:ascii="Times New Roman" w:hAnsi="Times New Roman" w:eastAsia="Times New Roman" w:cs="Times New Roman"/>
          <w:sz w:val="20"/>
          <w:szCs w:val="20"/>
          <w:spacing w:val="4"/>
          <w:position w:val="1"/>
        </w:rPr>
        <w:t>3.3 </w:t>
      </w:r>
      <w:r>
        <w:rPr>
          <w:rFonts w:ascii="Times New Roman" w:hAnsi="Times New Roman" w:eastAsia="Times New Roman" w:cs="Times New Roman"/>
          <w:sz w:val="20"/>
          <w:szCs w:val="20"/>
          <w:position w:val="1"/>
        </w:rPr>
        <w:t>II</w:t>
      </w:r>
      <w:r>
        <w:rPr>
          <w:rFonts w:ascii="Times New Roman" w:hAnsi="Times New Roman" w:eastAsia="Times New Roman" w:cs="Times New Roman"/>
          <w:sz w:val="20"/>
          <w:szCs w:val="20"/>
          <w:spacing w:val="6"/>
          <w:position w:val="1"/>
        </w:rPr>
        <w:t xml:space="preserve">  </w:t>
      </w:r>
      <w:r>
        <w:rPr>
          <w:rFonts w:ascii="KaiTi" w:hAnsi="KaiTi" w:eastAsia="KaiTi" w:cs="KaiTi"/>
          <w:sz w:val="20"/>
          <w:szCs w:val="20"/>
          <w:spacing w:val="4"/>
          <w:position w:val="1"/>
        </w:rPr>
        <w:t>级响应。</w:t>
      </w:r>
    </w:p>
    <w:p>
      <w:pPr>
        <w:pStyle w:val="BodyText"/>
        <w:ind w:left="426"/>
        <w:spacing w:before="144" w:line="221" w:lineRule="auto"/>
        <w:rPr/>
      </w:pPr>
      <w:r>
        <w:rPr>
          <w:rFonts w:ascii="Times New Roman" w:hAnsi="Times New Roman" w:eastAsia="Times New Roman" w:cs="Times New Roman"/>
          <w:spacing w:val="4"/>
        </w:rPr>
        <w:t>3.3.1  </w:t>
      </w:r>
      <w:r>
        <w:rPr>
          <w:spacing w:val="4"/>
        </w:rPr>
        <w:t>启动条件</w:t>
      </w:r>
    </w:p>
    <w:p>
      <w:pPr>
        <w:pStyle w:val="BodyText"/>
        <w:ind w:right="57" w:firstLine="412"/>
        <w:spacing w:before="164" w:line="326" w:lineRule="auto"/>
        <w:rPr/>
      </w:pPr>
      <w:r>
        <w:rPr>
          <w:spacing w:val="4"/>
        </w:rPr>
        <w:t>（</w:t>
      </w:r>
      <w:r>
        <w:rPr>
          <w:spacing w:val="-45"/>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1"/>
        </w:rPr>
        <w:t xml:space="preserve"> </w:t>
      </w:r>
      <w:r>
        <w:rPr>
          <w:spacing w:val="4"/>
        </w:rPr>
        <w:t>）一次事件伤亡</w:t>
      </w:r>
      <w:r>
        <w:rPr>
          <w:spacing w:val="-37"/>
        </w:rPr>
        <w:t xml:space="preserve"> </w:t>
      </w:r>
      <w:r>
        <w:rPr>
          <w:rFonts w:ascii="Times New Roman" w:hAnsi="Times New Roman" w:eastAsia="Times New Roman" w:cs="Times New Roman"/>
          <w:spacing w:val="4"/>
        </w:rPr>
        <w:t>50 </w:t>
      </w:r>
      <w:r>
        <w:rPr>
          <w:spacing w:val="4"/>
        </w:rPr>
        <w:t>人以上、</w:t>
      </w:r>
      <w:r>
        <w:rPr>
          <w:rFonts w:ascii="Times New Roman" w:hAnsi="Times New Roman" w:eastAsia="Times New Roman" w:cs="Times New Roman"/>
          <w:spacing w:val="4"/>
        </w:rPr>
        <w:t>100 </w:t>
      </w:r>
      <w:r>
        <w:rPr>
          <w:spacing w:val="4"/>
        </w:rPr>
        <w:t>人以</w:t>
      </w:r>
      <w:r>
        <w:rPr>
          <w:spacing w:val="6"/>
        </w:rPr>
        <w:t>下，其中，死亡和危重病例超过</w:t>
      </w:r>
      <w:r>
        <w:rPr>
          <w:spacing w:val="-31"/>
        </w:rPr>
        <w:t xml:space="preserve"> </w:t>
      </w:r>
      <w:r>
        <w:rPr>
          <w:rFonts w:ascii="Times New Roman" w:hAnsi="Times New Roman" w:eastAsia="Times New Roman" w:cs="Times New Roman"/>
          <w:spacing w:val="6"/>
        </w:rPr>
        <w:t>5 </w:t>
      </w:r>
      <w:r>
        <w:rPr>
          <w:spacing w:val="6"/>
        </w:rPr>
        <w:t>例的突发公</w:t>
      </w:r>
      <w:r>
        <w:rPr>
          <w:spacing w:val="6"/>
        </w:rPr>
        <w:t>共事件。</w:t>
      </w:r>
    </w:p>
    <w:p>
      <w:pPr>
        <w:pStyle w:val="BodyText"/>
        <w:ind w:left="3" w:right="62" w:firstLine="409"/>
        <w:spacing w:before="166" w:line="300"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16"/>
        </w:rPr>
        <w:t xml:space="preserve"> </w:t>
      </w:r>
      <w:r>
        <w:rPr>
          <w:spacing w:val="8"/>
        </w:rPr>
        <w:t>）跨县（</w:t>
      </w:r>
      <w:r>
        <w:rPr>
          <w:spacing w:val="-48"/>
        </w:rPr>
        <w:t xml:space="preserve"> </w:t>
      </w:r>
      <w:r>
        <w:rPr>
          <w:spacing w:val="8"/>
        </w:rPr>
        <w:t>区）的有严重人员伤亡的突</w:t>
      </w:r>
      <w:r>
        <w:rPr>
          <w:spacing w:val="7"/>
        </w:rPr>
        <w:t>发公共事件。</w:t>
      </w:r>
    </w:p>
    <w:p>
      <w:pPr>
        <w:pStyle w:val="BodyText"/>
        <w:ind w:right="62" w:firstLine="413"/>
        <w:spacing w:before="166" w:line="300"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）市政府及其有关部门确定的其他需</w:t>
      </w:r>
      <w:r>
        <w:rPr>
          <w:spacing w:val="-5"/>
        </w:rPr>
        <w:t>要开展医疗卫生救援工作的重大突发公共事件。</w:t>
      </w:r>
    </w:p>
    <w:p>
      <w:pPr>
        <w:pStyle w:val="BodyText"/>
        <w:ind w:left="426"/>
        <w:spacing w:before="171" w:line="218" w:lineRule="auto"/>
        <w:rPr/>
      </w:pPr>
      <w:r>
        <w:rPr>
          <w:rFonts w:ascii="Times New Roman" w:hAnsi="Times New Roman" w:eastAsia="Times New Roman" w:cs="Times New Roman"/>
          <w:spacing w:val="3"/>
        </w:rPr>
        <w:t>3.3.2</w:t>
      </w:r>
      <w:r>
        <w:rPr>
          <w:rFonts w:ascii="Times New Roman" w:hAnsi="Times New Roman" w:eastAsia="Times New Roman" w:cs="Times New Roman"/>
          <w:spacing w:val="12"/>
        </w:rPr>
        <w:t xml:space="preserve">  </w:t>
      </w:r>
      <w:r>
        <w:rPr>
          <w:spacing w:val="3"/>
        </w:rPr>
        <w:t>响应措施</w:t>
      </w:r>
    </w:p>
    <w:p>
      <w:pPr>
        <w:pStyle w:val="BodyText"/>
        <w:ind w:left="423"/>
        <w:spacing w:before="169" w:line="188" w:lineRule="auto"/>
        <w:rPr/>
      </w:pPr>
      <w:r>
        <w:rPr>
          <w:spacing w:val="19"/>
        </w:rPr>
        <w:t>市卫生健康委接到重大突发公共事件医</w:t>
      </w:r>
    </w:p>
    <w:p>
      <w:pPr>
        <w:spacing w:line="188" w:lineRule="auto"/>
        <w:sectPr>
          <w:type w:val="continuous"/>
          <w:pgSz w:w="11906" w:h="16839"/>
          <w:pgMar w:top="1766" w:right="1530" w:bottom="1574" w:left="1579" w:header="1428" w:footer="1172" w:gutter="0"/>
          <w:cols w:equalWidth="0" w:num="2">
            <w:col w:w="4489" w:space="100"/>
            <w:col w:w="4207" w:space="0"/>
          </w:cols>
        </w:sectPr>
        <w:rPr/>
      </w:pPr>
    </w:p>
    <w:p>
      <w:pPr>
        <w:spacing w:before="78"/>
        <w:rPr/>
      </w:pPr>
      <w:r>
        <w:drawing>
          <wp:anchor distT="0" distB="0" distL="0" distR="0" simplePos="0" relativeHeight="253868032"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104" name="IM 2104"/>
            <wp:cNvGraphicFramePr/>
            <a:graphic>
              <a:graphicData uri="http://schemas.openxmlformats.org/drawingml/2006/picture">
                <pic:pic>
                  <pic:nvPicPr>
                    <pic:cNvPr id="2104" name="IM 2104"/>
                    <pic:cNvPicPr/>
                  </pic:nvPicPr>
                  <pic:blipFill>
                    <a:blip r:embed="rId1054"/>
                    <a:stretch>
                      <a:fillRect/>
                    </a:stretch>
                  </pic:blipFill>
                  <pic:spPr>
                    <a:xfrm rot="0">
                      <a:off x="0" y="0"/>
                      <a:ext cx="5579745" cy="7620"/>
                    </a:xfrm>
                    <a:prstGeom prst="rect">
                      <a:avLst/>
                    </a:prstGeom>
                  </pic:spPr>
                </pic:pic>
              </a:graphicData>
            </a:graphic>
          </wp:anchor>
        </w:drawing>
      </w:r>
      <w:r/>
    </w:p>
    <w:p>
      <w:pPr>
        <w:sectPr>
          <w:headerReference w:type="default" r:id="rId1048"/>
          <w:footerReference w:type="default" r:id="rId1053"/>
          <w:pgSz w:w="11906" w:h="16839"/>
          <w:pgMar w:top="1772" w:right="1489" w:bottom="1572" w:left="1571" w:header="1428" w:footer="1172" w:gutter="0"/>
          <w:cols w:equalWidth="0" w:num="1">
            <w:col w:w="8846" w:space="0"/>
          </w:cols>
        </w:sectPr>
        <w:rPr/>
      </w:pPr>
    </w:p>
    <w:p>
      <w:pPr>
        <w:pStyle w:val="BodyText"/>
        <w:ind w:left="20" w:right="323"/>
        <w:spacing w:before="45" w:line="376" w:lineRule="auto"/>
        <w:jc w:val="both"/>
        <w:rPr/>
      </w:pPr>
      <w:r>
        <w:rPr>
          <w:spacing w:val="7"/>
        </w:rPr>
        <w:t>疗卫生救援的指示、通报或报告后，立即启动</w:t>
      </w:r>
      <w:r>
        <w:rPr>
          <w:spacing w:val="7"/>
        </w:rPr>
        <w:t>应急工作。组织医疗卫生专业队伍、专家组和</w:t>
      </w:r>
      <w:r>
        <w:rPr>
          <w:spacing w:val="7"/>
        </w:rPr>
        <w:t>有关人员到达现场，开展现场医疗卫生救援，</w:t>
      </w:r>
      <w:r>
        <w:rPr>
          <w:spacing w:val="18"/>
        </w:rPr>
        <w:t>对伤病员及救治情况和事件的公共卫生风险</w:t>
      </w:r>
      <w:r>
        <w:rPr>
          <w:spacing w:val="7"/>
        </w:rPr>
        <w:t>进行综合评估，提出应急处置建议，组织和协</w:t>
      </w:r>
      <w:r>
        <w:rPr>
          <w:spacing w:val="7"/>
        </w:rPr>
        <w:t>调医疗卫生机构做好伤员检伤、转运、现场卫</w:t>
      </w:r>
      <w:r>
        <w:rPr>
          <w:spacing w:val="7"/>
        </w:rPr>
        <w:t>生学处理等。根据需要设立现场指挥部，调派</w:t>
      </w:r>
      <w:r>
        <w:rPr>
          <w:spacing w:val="7"/>
        </w:rPr>
        <w:t>医疗卫生专业力量和物资支持救援工作，会同</w:t>
      </w:r>
      <w:r>
        <w:rPr>
          <w:spacing w:val="7"/>
        </w:rPr>
        <w:t>协调保障部相关成员单位落实保障工作。必要</w:t>
      </w:r>
      <w:r>
        <w:rPr>
          <w:spacing w:val="18"/>
        </w:rPr>
        <w:t>时提请自治区卫生健康委组织国家级医疗卫</w:t>
      </w:r>
      <w:r>
        <w:rPr>
          <w:spacing w:val="7"/>
        </w:rPr>
        <w:t>生救援应急队伍和专家给予支援和指导。及时</w:t>
      </w:r>
      <w:r>
        <w:rPr>
          <w:spacing w:val="18"/>
        </w:rPr>
        <w:t>向自治区卫生健康委和自治区政府报告医疗</w:t>
      </w:r>
      <w:r>
        <w:rPr>
          <w:spacing w:val="8"/>
        </w:rPr>
        <w:t>卫生救援工作情况。</w:t>
      </w:r>
    </w:p>
    <w:p>
      <w:pPr>
        <w:pStyle w:val="BodyText"/>
        <w:ind w:left="22" w:right="307" w:firstLine="420"/>
        <w:spacing w:before="2" w:line="375" w:lineRule="auto"/>
        <w:jc w:val="both"/>
        <w:rPr/>
      </w:pPr>
      <w:r>
        <w:rPr>
          <w:spacing w:val="6"/>
        </w:rPr>
        <w:t>事件发生地的县（区）卫生健康行政部门</w:t>
      </w:r>
      <w:r>
        <w:rPr>
          <w:spacing w:val="7"/>
        </w:rPr>
        <w:t>在当地政府的指挥下，在市卫生健康委的指导</w:t>
      </w:r>
      <w:r>
        <w:rPr>
          <w:spacing w:val="8"/>
        </w:rPr>
        <w:t>下，结合本行政区域实际情况，组织、协调、</w:t>
      </w:r>
      <w:r>
        <w:rPr>
          <w:spacing w:val="8"/>
        </w:rPr>
        <w:t>落实突发公共事件医疗卫生救援工作。</w:t>
      </w:r>
    </w:p>
    <w:p>
      <w:pPr>
        <w:ind w:left="446"/>
        <w:spacing w:before="4" w:line="268" w:lineRule="exact"/>
        <w:rPr>
          <w:rFonts w:ascii="KaiTi" w:hAnsi="KaiTi" w:eastAsia="KaiTi" w:cs="KaiTi"/>
          <w:sz w:val="20"/>
          <w:szCs w:val="20"/>
        </w:rPr>
      </w:pPr>
      <w:r>
        <w:rPr>
          <w:rFonts w:ascii="Times New Roman" w:hAnsi="Times New Roman" w:eastAsia="Times New Roman" w:cs="Times New Roman"/>
          <w:sz w:val="20"/>
          <w:szCs w:val="20"/>
          <w:spacing w:val="4"/>
          <w:position w:val="1"/>
        </w:rPr>
        <w:t>3.4 </w:t>
      </w:r>
      <w:r>
        <w:rPr>
          <w:rFonts w:ascii="Times New Roman" w:hAnsi="Times New Roman" w:eastAsia="Times New Roman" w:cs="Times New Roman"/>
          <w:sz w:val="20"/>
          <w:szCs w:val="20"/>
          <w:position w:val="1"/>
        </w:rPr>
        <w:t>III</w:t>
      </w:r>
      <w:r>
        <w:rPr>
          <w:rFonts w:ascii="Times New Roman" w:hAnsi="Times New Roman" w:eastAsia="Times New Roman" w:cs="Times New Roman"/>
          <w:sz w:val="20"/>
          <w:szCs w:val="20"/>
          <w:spacing w:val="13"/>
          <w:w w:val="101"/>
          <w:position w:val="1"/>
        </w:rPr>
        <w:t xml:space="preserve"> </w:t>
      </w:r>
      <w:r>
        <w:rPr>
          <w:rFonts w:ascii="KaiTi" w:hAnsi="KaiTi" w:eastAsia="KaiTi" w:cs="KaiTi"/>
          <w:sz w:val="20"/>
          <w:szCs w:val="20"/>
          <w:spacing w:val="4"/>
          <w:position w:val="1"/>
        </w:rPr>
        <w:t>级响应。</w:t>
      </w:r>
    </w:p>
    <w:p>
      <w:pPr>
        <w:pStyle w:val="BodyText"/>
        <w:ind w:left="446"/>
        <w:spacing w:before="143" w:line="221" w:lineRule="auto"/>
        <w:rPr/>
      </w:pPr>
      <w:r>
        <w:rPr>
          <w:rFonts w:ascii="Times New Roman" w:hAnsi="Times New Roman" w:eastAsia="Times New Roman" w:cs="Times New Roman"/>
          <w:spacing w:val="4"/>
        </w:rPr>
        <w:t>3.4.1 </w:t>
      </w:r>
      <w:r>
        <w:rPr>
          <w:spacing w:val="4"/>
        </w:rPr>
        <w:t>启动条件</w:t>
      </w:r>
    </w:p>
    <w:p>
      <w:pPr>
        <w:pStyle w:val="BodyText"/>
        <w:ind w:left="21" w:right="249" w:firstLine="412"/>
        <w:spacing w:before="166" w:line="301" w:lineRule="auto"/>
        <w:rPr/>
      </w:pPr>
      <w:r>
        <w:rPr>
          <w:spacing w:val="-6"/>
        </w:rPr>
        <w:t>（</w:t>
      </w:r>
      <w:r>
        <w:rPr>
          <w:spacing w:val="-41"/>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21"/>
        </w:rPr>
        <w:t xml:space="preserve"> </w:t>
      </w:r>
      <w:r>
        <w:rPr>
          <w:spacing w:val="-6"/>
        </w:rPr>
        <w:t>）一次事件伤亡</w:t>
      </w:r>
      <w:r>
        <w:rPr>
          <w:spacing w:val="-37"/>
        </w:rPr>
        <w:t xml:space="preserve"> </w:t>
      </w:r>
      <w:r>
        <w:rPr>
          <w:rFonts w:ascii="Times New Roman" w:hAnsi="Times New Roman" w:eastAsia="Times New Roman" w:cs="Times New Roman"/>
          <w:spacing w:val="-6"/>
        </w:rPr>
        <w:t>30 </w:t>
      </w:r>
      <w:r>
        <w:rPr>
          <w:spacing w:val="-6"/>
        </w:rPr>
        <w:t>人以上、</w:t>
      </w:r>
      <w:r>
        <w:rPr>
          <w:rFonts w:ascii="Times New Roman" w:hAnsi="Times New Roman" w:eastAsia="Times New Roman" w:cs="Times New Roman"/>
          <w:spacing w:val="-6"/>
        </w:rPr>
        <w:t>50 </w:t>
      </w:r>
      <w:r>
        <w:rPr>
          <w:spacing w:val="-6"/>
        </w:rPr>
        <w:t>人以下，</w:t>
      </w:r>
      <w:r>
        <w:rPr>
          <w:spacing w:val="-8"/>
        </w:rPr>
        <w:t>其中，死亡和危重病例超过</w:t>
      </w:r>
      <w:r>
        <w:rPr>
          <w:spacing w:val="-40"/>
        </w:rPr>
        <w:t xml:space="preserve"> </w:t>
      </w:r>
      <w:r>
        <w:rPr>
          <w:rFonts w:ascii="Times New Roman" w:hAnsi="Times New Roman" w:eastAsia="Times New Roman" w:cs="Times New Roman"/>
          <w:spacing w:val="-8"/>
        </w:rPr>
        <w:t>3 </w:t>
      </w:r>
      <w:r>
        <w:rPr>
          <w:spacing w:val="-8"/>
        </w:rPr>
        <w:t>例的突发公共事件。</w:t>
      </w:r>
    </w:p>
    <w:p>
      <w:pPr>
        <w:pStyle w:val="BodyText"/>
        <w:ind w:left="23" w:right="330" w:firstLine="409"/>
        <w:spacing w:before="162" w:line="326"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16"/>
        </w:rPr>
        <w:t xml:space="preserve"> </w:t>
      </w:r>
      <w:r>
        <w:rPr>
          <w:spacing w:val="8"/>
        </w:rPr>
        <w:t>）县（</w:t>
      </w:r>
      <w:r>
        <w:rPr>
          <w:spacing w:val="-48"/>
        </w:rPr>
        <w:t xml:space="preserve"> </w:t>
      </w:r>
      <w:r>
        <w:rPr>
          <w:spacing w:val="8"/>
        </w:rPr>
        <w:t>区）级政府及其有关部门确定</w:t>
      </w:r>
      <w:r>
        <w:rPr>
          <w:spacing w:val="18"/>
        </w:rPr>
        <w:t>的其他需要开展医疗卫生救援工作的较大突</w:t>
      </w:r>
      <w:r>
        <w:rPr>
          <w:spacing w:val="7"/>
        </w:rPr>
        <w:t>发公共事件。</w:t>
      </w:r>
    </w:p>
    <w:p>
      <w:pPr>
        <w:pStyle w:val="BodyText"/>
        <w:ind w:left="446"/>
        <w:spacing w:before="171" w:line="218" w:lineRule="auto"/>
        <w:rPr/>
      </w:pPr>
      <w:r>
        <w:rPr>
          <w:rFonts w:ascii="Times New Roman" w:hAnsi="Times New Roman" w:eastAsia="Times New Roman" w:cs="Times New Roman"/>
          <w:spacing w:val="3"/>
        </w:rPr>
        <w:t>3.4.2</w:t>
      </w:r>
      <w:r>
        <w:rPr>
          <w:rFonts w:ascii="Times New Roman" w:hAnsi="Times New Roman" w:eastAsia="Times New Roman" w:cs="Times New Roman"/>
          <w:spacing w:val="21"/>
          <w:w w:val="101"/>
        </w:rPr>
        <w:t xml:space="preserve"> </w:t>
      </w:r>
      <w:r>
        <w:rPr>
          <w:spacing w:val="3"/>
        </w:rPr>
        <w:t>响应措施</w:t>
      </w:r>
    </w:p>
    <w:p>
      <w:pPr>
        <w:pStyle w:val="BodyText"/>
        <w:ind w:left="21" w:right="310" w:firstLine="421"/>
        <w:spacing w:before="167" w:line="350" w:lineRule="auto"/>
        <w:rPr/>
      </w:pPr>
      <w:r>
        <w:rPr>
          <w:spacing w:val="6"/>
        </w:rPr>
        <w:t>事件发生地县（区）级卫生健康行政部门</w:t>
      </w:r>
      <w:r>
        <w:rPr>
          <w:spacing w:val="7"/>
        </w:rPr>
        <w:t>接到较大突发公共事件医疗卫生救援指示、通</w:t>
      </w:r>
      <w:r>
        <w:rPr>
          <w:spacing w:val="8"/>
        </w:rPr>
        <w:t>报或报告后，应立即启动医疗卫生救援工作。</w:t>
      </w:r>
      <w:r>
        <w:rPr>
          <w:spacing w:val="7"/>
        </w:rPr>
        <w:t>组织辖区医疗卫生专业队伍、专家组和有关人</w:t>
      </w:r>
      <w:r>
        <w:rPr>
          <w:spacing w:val="7"/>
        </w:rPr>
        <w:t>员到达现场，开展现场医疗卫生救援，对伤病</w:t>
      </w:r>
      <w:r>
        <w:rPr>
          <w:spacing w:val="18"/>
        </w:rPr>
        <w:t>员及救治情况和事件的公共卫生风险进行综</w:t>
      </w:r>
      <w:r>
        <w:rPr>
          <w:spacing w:val="7"/>
        </w:rPr>
        <w:t>合评估，提出应急处置建议，组织和协调辖区</w:t>
      </w:r>
    </w:p>
    <w:p>
      <w:pPr>
        <w:spacing w:line="14" w:lineRule="auto"/>
        <w:rPr>
          <w:rFonts w:ascii="Arial"/>
          <w:sz w:val="2"/>
        </w:rPr>
      </w:pPr>
      <w:r>
        <w:rPr>
          <w:rFonts w:ascii="Arial" w:hAnsi="Arial" w:eastAsia="Arial" w:cs="Arial"/>
          <w:sz w:val="2"/>
          <w:szCs w:val="2"/>
        </w:rPr>
        <w:br w:type="column"/>
      </w:r>
    </w:p>
    <w:p>
      <w:pPr>
        <w:pStyle w:val="BodyText"/>
        <w:ind w:right="101" w:firstLine="13"/>
        <w:spacing w:before="39" w:line="376" w:lineRule="auto"/>
        <w:jc w:val="both"/>
        <w:rPr/>
      </w:pPr>
      <w:r>
        <w:rPr>
          <w:spacing w:val="6"/>
        </w:rPr>
        <w:t>医疗卫生机构做好伤员检伤、转运、现场卫生</w:t>
      </w:r>
      <w:r>
        <w:rPr>
          <w:spacing w:val="7"/>
        </w:rPr>
        <w:t>学处理等。及时向本级政府和市卫生健康委报</w:t>
      </w:r>
      <w:r>
        <w:rPr>
          <w:spacing w:val="8"/>
        </w:rPr>
        <w:t>告医疗卫生救援情况。</w:t>
      </w:r>
    </w:p>
    <w:p>
      <w:pPr>
        <w:pStyle w:val="BodyText"/>
        <w:ind w:right="101" w:firstLine="422"/>
        <w:spacing w:line="376" w:lineRule="auto"/>
        <w:jc w:val="both"/>
        <w:rPr/>
      </w:pPr>
      <w:r>
        <w:rPr>
          <w:spacing w:val="6"/>
        </w:rPr>
        <w:t>市卫生健康委接到较大事件报告后，要派</w:t>
      </w:r>
      <w:r>
        <w:rPr>
          <w:spacing w:val="18"/>
        </w:rPr>
        <w:t>工作组到达现场指导、协调医疗卫生救援工</w:t>
      </w:r>
      <w:r>
        <w:rPr>
          <w:spacing w:val="7"/>
        </w:rPr>
        <w:t>作，必要时派市级专家组和应急队伍给予技术</w:t>
      </w:r>
      <w:r>
        <w:rPr>
          <w:spacing w:val="7"/>
        </w:rPr>
        <w:t>支持，适时向自治区卫生健康委和自治区政府</w:t>
      </w:r>
      <w:r>
        <w:rPr>
          <w:spacing w:val="8"/>
        </w:rPr>
        <w:t>报告救援工作信息。</w:t>
      </w:r>
    </w:p>
    <w:p>
      <w:pPr>
        <w:ind w:left="425"/>
        <w:spacing w:line="268" w:lineRule="exact"/>
        <w:rPr>
          <w:rFonts w:ascii="KaiTi" w:hAnsi="KaiTi" w:eastAsia="KaiTi" w:cs="KaiTi"/>
          <w:sz w:val="20"/>
          <w:szCs w:val="20"/>
        </w:rPr>
      </w:pPr>
      <w:r>
        <w:rPr>
          <w:rFonts w:ascii="Times New Roman" w:hAnsi="Times New Roman" w:eastAsia="Times New Roman" w:cs="Times New Roman"/>
          <w:sz w:val="20"/>
          <w:szCs w:val="20"/>
          <w:spacing w:val="4"/>
          <w:position w:val="1"/>
        </w:rPr>
        <w:t>3.5 </w:t>
      </w:r>
      <w:r>
        <w:rPr>
          <w:rFonts w:ascii="Times New Roman" w:hAnsi="Times New Roman" w:eastAsia="Times New Roman" w:cs="Times New Roman"/>
          <w:sz w:val="20"/>
          <w:szCs w:val="20"/>
          <w:position w:val="1"/>
        </w:rPr>
        <w:t>IV</w:t>
      </w:r>
      <w:r>
        <w:rPr>
          <w:rFonts w:ascii="Times New Roman" w:hAnsi="Times New Roman" w:eastAsia="Times New Roman" w:cs="Times New Roman"/>
          <w:sz w:val="20"/>
          <w:szCs w:val="20"/>
          <w:spacing w:val="14"/>
          <w:position w:val="1"/>
        </w:rPr>
        <w:t xml:space="preserve"> </w:t>
      </w:r>
      <w:r>
        <w:rPr>
          <w:rFonts w:ascii="KaiTi" w:hAnsi="KaiTi" w:eastAsia="KaiTi" w:cs="KaiTi"/>
          <w:sz w:val="20"/>
          <w:szCs w:val="20"/>
          <w:spacing w:val="4"/>
          <w:position w:val="1"/>
        </w:rPr>
        <w:t>级响应。</w:t>
      </w:r>
    </w:p>
    <w:p>
      <w:pPr>
        <w:pStyle w:val="BodyText"/>
        <w:ind w:left="425"/>
        <w:spacing w:before="143" w:line="221" w:lineRule="auto"/>
        <w:rPr/>
      </w:pPr>
      <w:r>
        <w:rPr>
          <w:rFonts w:ascii="Times New Roman" w:hAnsi="Times New Roman" w:eastAsia="Times New Roman" w:cs="Times New Roman"/>
          <w:spacing w:val="4"/>
        </w:rPr>
        <w:t>3.5.1 </w:t>
      </w:r>
      <w:r>
        <w:rPr>
          <w:spacing w:val="4"/>
        </w:rPr>
        <w:t>启动条件</w:t>
      </w:r>
    </w:p>
    <w:p>
      <w:pPr>
        <w:pStyle w:val="BodyText"/>
        <w:ind w:right="96" w:firstLine="412"/>
        <w:spacing w:before="165" w:line="326" w:lineRule="auto"/>
        <w:rPr/>
      </w:pPr>
      <w:r>
        <w:rPr>
          <w:spacing w:val="-1"/>
        </w:rPr>
        <w:t>（</w:t>
      </w:r>
      <w:r>
        <w:rPr>
          <w:spacing w:val="-47"/>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1"/>
        </w:rPr>
        <w:t xml:space="preserve"> </w:t>
      </w:r>
      <w:r>
        <w:rPr>
          <w:spacing w:val="-1"/>
        </w:rPr>
        <w:t>）一次事件伤亡</w:t>
      </w:r>
      <w:r>
        <w:rPr>
          <w:spacing w:val="-22"/>
        </w:rPr>
        <w:t xml:space="preserve"> </w:t>
      </w:r>
      <w:r>
        <w:rPr>
          <w:rFonts w:ascii="Times New Roman" w:hAnsi="Times New Roman" w:eastAsia="Times New Roman" w:cs="Times New Roman"/>
          <w:spacing w:val="-1"/>
        </w:rPr>
        <w:t>10 </w:t>
      </w:r>
      <w:r>
        <w:rPr>
          <w:spacing w:val="-1"/>
        </w:rPr>
        <w:t>人及以上、</w:t>
      </w:r>
      <w:r>
        <w:rPr>
          <w:rFonts w:ascii="Times New Roman" w:hAnsi="Times New Roman" w:eastAsia="Times New Roman" w:cs="Times New Roman"/>
          <w:spacing w:val="-1"/>
        </w:rPr>
        <w:t>29 </w:t>
      </w:r>
      <w:r>
        <w:rPr>
          <w:spacing w:val="-1"/>
        </w:rPr>
        <w:t>人以</w:t>
      </w:r>
      <w:r>
        <w:rPr>
          <w:spacing w:val="5"/>
        </w:rPr>
        <w:t>下，其中，死亡和危重病例超过</w:t>
      </w:r>
      <w:r>
        <w:rPr>
          <w:spacing w:val="-10"/>
        </w:rPr>
        <w:t xml:space="preserve"> </w:t>
      </w:r>
      <w:r>
        <w:rPr>
          <w:rFonts w:ascii="Times New Roman" w:hAnsi="Times New Roman" w:eastAsia="Times New Roman" w:cs="Times New Roman"/>
          <w:spacing w:val="5"/>
        </w:rPr>
        <w:t>1 </w:t>
      </w:r>
      <w:r>
        <w:rPr>
          <w:spacing w:val="5"/>
        </w:rPr>
        <w:t>例的突发公</w:t>
      </w:r>
      <w:r>
        <w:rPr>
          <w:spacing w:val="6"/>
        </w:rPr>
        <w:t>共事件。</w:t>
      </w:r>
    </w:p>
    <w:p>
      <w:pPr>
        <w:pStyle w:val="BodyText"/>
        <w:ind w:left="2" w:right="101" w:firstLine="409"/>
        <w:spacing w:before="164" w:line="326"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16"/>
        </w:rPr>
        <w:t xml:space="preserve"> </w:t>
      </w:r>
      <w:r>
        <w:rPr>
          <w:spacing w:val="8"/>
        </w:rPr>
        <w:t>）县（</w:t>
      </w:r>
      <w:r>
        <w:rPr>
          <w:spacing w:val="-48"/>
        </w:rPr>
        <w:t xml:space="preserve"> </w:t>
      </w:r>
      <w:r>
        <w:rPr>
          <w:spacing w:val="8"/>
        </w:rPr>
        <w:t>区）级政府及其有关部门确定</w:t>
      </w:r>
      <w:r>
        <w:rPr>
          <w:spacing w:val="18"/>
        </w:rPr>
        <w:t>的其他需要开展医疗卫生救援工作的一般突</w:t>
      </w:r>
      <w:r>
        <w:rPr>
          <w:spacing w:val="7"/>
        </w:rPr>
        <w:t>发公共事件。</w:t>
      </w:r>
    </w:p>
    <w:p>
      <w:pPr>
        <w:pStyle w:val="BodyText"/>
        <w:ind w:left="425"/>
        <w:spacing w:before="171" w:line="218" w:lineRule="auto"/>
        <w:rPr/>
      </w:pPr>
      <w:r>
        <w:rPr>
          <w:rFonts w:ascii="Times New Roman" w:hAnsi="Times New Roman" w:eastAsia="Times New Roman" w:cs="Times New Roman"/>
          <w:spacing w:val="3"/>
        </w:rPr>
        <w:t>3.5.2</w:t>
      </w:r>
      <w:r>
        <w:rPr>
          <w:rFonts w:ascii="Times New Roman" w:hAnsi="Times New Roman" w:eastAsia="Times New Roman" w:cs="Times New Roman"/>
          <w:spacing w:val="21"/>
          <w:w w:val="101"/>
        </w:rPr>
        <w:t xml:space="preserve"> </w:t>
      </w:r>
      <w:r>
        <w:rPr>
          <w:spacing w:val="3"/>
        </w:rPr>
        <w:t>响应措施</w:t>
      </w:r>
    </w:p>
    <w:p>
      <w:pPr>
        <w:pStyle w:val="BodyText"/>
        <w:ind w:right="101" w:firstLine="421"/>
        <w:spacing w:before="167" w:line="377" w:lineRule="auto"/>
        <w:rPr/>
      </w:pPr>
      <w:r>
        <w:rPr>
          <w:spacing w:val="19"/>
        </w:rPr>
        <w:t>事件发生地县级卫生健康行政部门接到</w:t>
      </w:r>
      <w:r>
        <w:rPr>
          <w:spacing w:val="7"/>
        </w:rPr>
        <w:t>一般突发公共事件医疗卫生救援指示、通报或</w:t>
      </w:r>
      <w:r>
        <w:rPr>
          <w:spacing w:val="7"/>
        </w:rPr>
        <w:t>报告后，应立即启动医疗卫生救援工作。组织</w:t>
      </w:r>
      <w:r>
        <w:rPr>
          <w:spacing w:val="18"/>
        </w:rPr>
        <w:t>当地医疗卫生机构开展突发公共事件现场救</w:t>
      </w:r>
      <w:r>
        <w:rPr>
          <w:spacing w:val="7"/>
        </w:rPr>
        <w:t>援、转运、治疗工作，组织专家对伤病员及救</w:t>
      </w:r>
      <w:r>
        <w:rPr>
          <w:spacing w:val="7"/>
        </w:rPr>
        <w:t>治情况进行评估，及时向本级政府和上级卫健</w:t>
      </w:r>
      <w:r>
        <w:rPr>
          <w:spacing w:val="8"/>
        </w:rPr>
        <w:t>部门报告医疗卫生救援情况。</w:t>
      </w:r>
    </w:p>
    <w:p>
      <w:pPr>
        <w:pStyle w:val="BodyText"/>
        <w:ind w:left="1" w:right="101" w:firstLine="420"/>
        <w:spacing w:before="4" w:line="375" w:lineRule="auto"/>
        <w:jc w:val="both"/>
        <w:rPr/>
      </w:pPr>
      <w:r>
        <w:rPr>
          <w:spacing w:val="6"/>
        </w:rPr>
        <w:t>市卫生健康委派工作组到达现场指导、协</w:t>
      </w:r>
      <w:r>
        <w:rPr>
          <w:spacing w:val="7"/>
        </w:rPr>
        <w:t>调医疗卫生救援工作，必要时派市级专家组给</w:t>
      </w:r>
      <w:r>
        <w:rPr>
          <w:spacing w:val="7"/>
        </w:rPr>
        <w:t>予技术支持。根据需要提请自治区卫生健康委</w:t>
      </w:r>
      <w:r>
        <w:rPr>
          <w:spacing w:val="8"/>
        </w:rPr>
        <w:t>派专家组给予支持。</w:t>
      </w:r>
    </w:p>
    <w:p>
      <w:pPr>
        <w:pStyle w:val="BodyText"/>
        <w:ind w:left="1" w:right="101" w:firstLine="423"/>
        <w:spacing w:before="1" w:line="330" w:lineRule="auto"/>
        <w:jc w:val="both"/>
        <w:rPr/>
      </w:pPr>
      <w:r>
        <w:rPr>
          <w:rFonts w:ascii="Times New Roman" w:hAnsi="Times New Roman" w:eastAsia="Times New Roman" w:cs="Times New Roman"/>
          <w:spacing w:val="8"/>
        </w:rPr>
        <w:t>3.6  </w:t>
      </w:r>
      <w:r>
        <w:rPr>
          <w:rFonts w:ascii="KaiTi" w:hAnsi="KaiTi" w:eastAsia="KaiTi" w:cs="KaiTi"/>
          <w:spacing w:val="8"/>
        </w:rPr>
        <w:t>响应级别调整。</w:t>
      </w:r>
      <w:r>
        <w:rPr>
          <w:spacing w:val="8"/>
        </w:rPr>
        <w:t>县级以上卫生健康行</w:t>
      </w:r>
      <w:r>
        <w:rPr>
          <w:spacing w:val="7"/>
        </w:rPr>
        <w:t>政部门根据突发公共事件的性质、事态、影响</w:t>
      </w:r>
      <w:r>
        <w:rPr>
          <w:spacing w:val="7"/>
        </w:rPr>
        <w:t>和处置需要，报经本级政府决定可以提高一个</w:t>
      </w:r>
      <w:r>
        <w:rPr>
          <w:spacing w:val="7"/>
        </w:rPr>
        <w:t>响应级别，并报上一级政府卫生健康行政部门</w:t>
      </w:r>
    </w:p>
    <w:p>
      <w:pPr>
        <w:spacing w:line="330" w:lineRule="auto"/>
        <w:sectPr>
          <w:type w:val="continuous"/>
          <w:pgSz w:w="11906" w:h="16839"/>
          <w:pgMar w:top="1772" w:right="1489" w:bottom="1572" w:left="1571" w:header="1428" w:footer="1172" w:gutter="0"/>
          <w:cols w:equalWidth="0" w:num="2">
            <w:col w:w="4498" w:space="100"/>
            <w:col w:w="4248" w:space="0"/>
          </w:cols>
        </w:sectPr>
        <w:rPr/>
      </w:pPr>
    </w:p>
    <w:p>
      <w:pPr>
        <w:spacing w:before="84"/>
        <w:rPr/>
      </w:pPr>
      <w:r>
        <w:drawing>
          <wp:anchor distT="0" distB="0" distL="0" distR="0" simplePos="0" relativeHeight="253882368"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2110" name="IM 2110"/>
            <wp:cNvGraphicFramePr/>
            <a:graphic>
              <a:graphicData uri="http://schemas.openxmlformats.org/drawingml/2006/picture">
                <pic:pic>
                  <pic:nvPicPr>
                    <pic:cNvPr id="2110" name="IM 2110"/>
                    <pic:cNvPicPr/>
                  </pic:nvPicPr>
                  <pic:blipFill>
                    <a:blip r:embed="rId1057"/>
                    <a:stretch>
                      <a:fillRect/>
                    </a:stretch>
                  </pic:blipFill>
                  <pic:spPr>
                    <a:xfrm rot="0">
                      <a:off x="0" y="0"/>
                      <a:ext cx="5579745" cy="7620"/>
                    </a:xfrm>
                    <a:prstGeom prst="rect">
                      <a:avLst/>
                    </a:prstGeom>
                  </pic:spPr>
                </pic:pic>
              </a:graphicData>
            </a:graphic>
          </wp:anchor>
        </w:drawing>
      </w:r>
      <w:r/>
    </w:p>
    <w:p>
      <w:pPr>
        <w:sectPr>
          <w:headerReference w:type="default" r:id="rId1055"/>
          <w:footerReference w:type="default" r:id="rId1056"/>
          <w:pgSz w:w="11906" w:h="16839"/>
          <w:pgMar w:top="1766" w:right="1530" w:bottom="1574" w:left="1551" w:header="1428" w:footer="1172" w:gutter="0"/>
          <w:cols w:equalWidth="0" w:num="1">
            <w:col w:w="8824" w:space="0"/>
          </w:cols>
        </w:sectPr>
        <w:rPr/>
      </w:pPr>
    </w:p>
    <w:p>
      <w:pPr>
        <w:pStyle w:val="BodyText"/>
        <w:ind w:left="41" w:right="322"/>
        <w:spacing w:before="41" w:line="374" w:lineRule="auto"/>
        <w:rPr/>
      </w:pPr>
      <w:r>
        <w:rPr>
          <w:spacing w:val="7"/>
        </w:rPr>
        <w:t>备案。根据救援实践情况及时回调响应级别，</w:t>
      </w:r>
      <w:r>
        <w:rPr>
          <w:spacing w:val="7"/>
        </w:rPr>
        <w:t>避免响应过度。</w:t>
      </w:r>
    </w:p>
    <w:p>
      <w:pPr>
        <w:pStyle w:val="BodyText"/>
        <w:ind w:left="41" w:right="248" w:firstLine="424"/>
        <w:spacing w:before="1" w:line="369" w:lineRule="auto"/>
        <w:jc w:val="both"/>
        <w:rPr/>
      </w:pPr>
      <w:r>
        <w:rPr>
          <w:rFonts w:ascii="Times New Roman" w:hAnsi="Times New Roman" w:eastAsia="Times New Roman" w:cs="Times New Roman"/>
          <w:spacing w:val="8"/>
        </w:rPr>
        <w:t>3.7  </w:t>
      </w:r>
      <w:r>
        <w:rPr>
          <w:rFonts w:ascii="KaiTi" w:hAnsi="KaiTi" w:eastAsia="KaiTi" w:cs="KaiTi"/>
          <w:spacing w:val="8"/>
        </w:rPr>
        <w:t>现场救援。</w:t>
      </w:r>
      <w:r>
        <w:rPr>
          <w:spacing w:val="8"/>
        </w:rPr>
        <w:t>医疗卫生救援队伍达到现</w:t>
      </w:r>
      <w:r>
        <w:rPr>
          <w:spacing w:val="1"/>
        </w:rPr>
        <w:t>场后，迅速开展现场评估，根据评估结果科学、</w:t>
      </w:r>
      <w:r>
        <w:rPr>
          <w:spacing w:val="1"/>
        </w:rPr>
        <w:t>有序开展救援工作，加强自身保护，确保安全。</w:t>
      </w:r>
    </w:p>
    <w:p>
      <w:pPr>
        <w:pStyle w:val="BodyText"/>
        <w:ind w:left="38" w:right="306" w:firstLine="427"/>
        <w:spacing w:before="5" w:line="350" w:lineRule="auto"/>
        <w:rPr/>
      </w:pPr>
      <w:r>
        <w:rPr>
          <w:rFonts w:ascii="Times New Roman" w:hAnsi="Times New Roman" w:eastAsia="Times New Roman" w:cs="Times New Roman"/>
          <w:spacing w:val="9"/>
        </w:rPr>
        <w:t>3.7.1 </w:t>
      </w:r>
      <w:r>
        <w:rPr>
          <w:spacing w:val="9"/>
        </w:rPr>
        <w:t>现场指挥。</w:t>
      </w:r>
      <w:r>
        <w:rPr>
          <w:rFonts w:ascii="Times New Roman" w:hAnsi="Times New Roman" w:eastAsia="Times New Roman" w:cs="Times New Roman"/>
          <w:spacing w:val="9"/>
        </w:rPr>
        <w:t>Ⅰ</w:t>
      </w:r>
      <w:r>
        <w:rPr>
          <w:spacing w:val="9"/>
        </w:rPr>
        <w:t>级响应设立医疗卫生救</w:t>
      </w:r>
      <w:r>
        <w:rPr>
          <w:spacing w:val="7"/>
        </w:rPr>
        <w:t>援现场指挥部，其他级别的响应根据实际需要</w:t>
      </w:r>
      <w:r>
        <w:rPr>
          <w:spacing w:val="7"/>
        </w:rPr>
        <w:t>设立。医疗卫生救援现场指挥部在突发公共事</w:t>
      </w:r>
      <w:r>
        <w:rPr>
          <w:spacing w:val="7"/>
        </w:rPr>
        <w:t>件现场处置指挥机构的领导下开展工作，加强</w:t>
      </w:r>
      <w:r>
        <w:rPr>
          <w:spacing w:val="7"/>
        </w:rPr>
        <w:t>与现场各救援部门的协调与沟通，明确救援工</w:t>
      </w:r>
      <w:r>
        <w:rPr>
          <w:spacing w:val="7"/>
        </w:rPr>
        <w:t>作程序、伤病员交接区域，确保伤病员及时得</w:t>
      </w:r>
      <w:r>
        <w:rPr>
          <w:spacing w:val="8"/>
        </w:rPr>
        <w:t>到救治。及时增派医疗卫生救援力量，收集、</w:t>
      </w:r>
      <w:r>
        <w:rPr>
          <w:spacing w:val="8"/>
        </w:rPr>
        <w:t>上报、发布救援信息。</w:t>
      </w:r>
    </w:p>
    <w:p>
      <w:pPr>
        <w:pStyle w:val="BodyText"/>
        <w:ind w:right="306" w:firstLine="466"/>
        <w:spacing w:before="167" w:line="359" w:lineRule="auto"/>
        <w:rPr/>
      </w:pPr>
      <w:r>
        <w:rPr>
          <w:rFonts w:ascii="Times New Roman" w:hAnsi="Times New Roman" w:eastAsia="Times New Roman" w:cs="Times New Roman"/>
          <w:spacing w:val="3"/>
        </w:rPr>
        <w:t>3.7.2 </w:t>
      </w:r>
      <w:r>
        <w:rPr>
          <w:spacing w:val="3"/>
        </w:rPr>
        <w:t>伤病员抢救。到达现场的医疗卫生救</w:t>
      </w:r>
      <w:r>
        <w:rPr>
          <w:spacing w:val="9"/>
        </w:rPr>
        <w:t>援队伍，要迅速将伤病员转送出危险区，本着</w:t>
      </w:r>
      <w:r>
        <w:rPr>
          <w:rFonts w:ascii="Times New Roman" w:hAnsi="Times New Roman" w:eastAsia="Times New Roman" w:cs="Times New Roman"/>
          <w:spacing w:val="10"/>
        </w:rPr>
        <w:t>“</w:t>
      </w:r>
      <w:r>
        <w:rPr>
          <w:spacing w:val="10"/>
        </w:rPr>
        <w:t>先救命后治伤、先救重后救轻</w:t>
      </w:r>
      <w:r>
        <w:rPr>
          <w:rFonts w:ascii="Times New Roman" w:hAnsi="Times New Roman" w:eastAsia="Times New Roman" w:cs="Times New Roman"/>
          <w:spacing w:val="10"/>
        </w:rPr>
        <w:t>”</w:t>
      </w:r>
      <w:r>
        <w:rPr>
          <w:spacing w:val="10"/>
        </w:rPr>
        <w:t>的原则开展工</w:t>
      </w:r>
      <w:r>
        <w:rPr>
          <w:spacing w:val="9"/>
        </w:rPr>
        <w:t>作，按照国际统一的标准对伤病员进行检伤分</w:t>
      </w:r>
      <w:r>
        <w:rPr>
          <w:spacing w:val="10"/>
        </w:rPr>
        <w:t>类，分别用蓝、黄、红、黑四种颜色，对轻、</w:t>
      </w:r>
      <w:r>
        <w:rPr>
          <w:spacing w:val="9"/>
        </w:rPr>
        <w:t>重、危重、死亡病例作出标志（分类标记用塑</w:t>
      </w:r>
      <w:r>
        <w:rPr>
          <w:spacing w:val="11"/>
        </w:rPr>
        <w:t>料材料制成腕带</w:t>
      </w:r>
      <w:r>
        <w:rPr>
          <w:spacing w:val="-6"/>
        </w:rPr>
        <w:t>），</w:t>
      </w:r>
      <w:r>
        <w:rPr>
          <w:spacing w:val="11"/>
        </w:rPr>
        <w:t>扣系在伤病员或死亡人员</w:t>
      </w:r>
      <w:r>
        <w:rPr>
          <w:spacing w:val="9"/>
        </w:rPr>
        <w:t>的手腕或脚踝部位，以便后续救治辨认或采取</w:t>
      </w:r>
      <w:r>
        <w:rPr>
          <w:spacing w:val="14"/>
        </w:rPr>
        <w:t>相应的措施。</w:t>
      </w:r>
    </w:p>
    <w:p>
      <w:pPr>
        <w:pStyle w:val="BodyText"/>
        <w:ind w:left="39" w:right="322" w:firstLine="426"/>
        <w:spacing w:before="174" w:line="359" w:lineRule="auto"/>
        <w:rPr/>
      </w:pPr>
      <w:r>
        <w:rPr>
          <w:rFonts w:ascii="Times New Roman" w:hAnsi="Times New Roman" w:eastAsia="Times New Roman" w:cs="Times New Roman"/>
          <w:spacing w:val="3"/>
        </w:rPr>
        <w:t>3.7.3 </w:t>
      </w:r>
      <w:r>
        <w:rPr>
          <w:spacing w:val="3"/>
        </w:rPr>
        <w:t>转送伤员。当现场环境处于危险或在</w:t>
      </w:r>
      <w:r>
        <w:rPr>
          <w:spacing w:val="7"/>
        </w:rPr>
        <w:t>伤病员情况允许时，要尽快将伤病员转送到医</w:t>
      </w:r>
      <w:r>
        <w:rPr>
          <w:spacing w:val="7"/>
        </w:rPr>
        <w:t>院救治。合理、快速分流伤病员或按医疗卫生</w:t>
      </w:r>
      <w:r>
        <w:rPr>
          <w:spacing w:val="7"/>
        </w:rPr>
        <w:t>救援现场指挥部指定的医疗机构转送，任何医</w:t>
      </w:r>
      <w:r>
        <w:rPr>
          <w:spacing w:val="7"/>
        </w:rPr>
        <w:t>疗机构不得以任何理由拒收、拒诊。转运过程</w:t>
      </w:r>
      <w:r>
        <w:rPr>
          <w:spacing w:val="7"/>
        </w:rPr>
        <w:t>中，要做好伤病员的搬运、监护、治疗工作，</w:t>
      </w:r>
      <w:r>
        <w:rPr>
          <w:spacing w:val="7"/>
        </w:rPr>
        <w:t>避免造成二次损伤或伤情加重。转运人员负责</w:t>
      </w:r>
      <w:r>
        <w:rPr>
          <w:spacing w:val="7"/>
        </w:rPr>
        <w:t>填写转运卡，与接纳伤病员的医疗机构做好交</w:t>
      </w:r>
      <w:r>
        <w:rPr>
          <w:spacing w:val="6"/>
        </w:rPr>
        <w:t>接工作。</w:t>
      </w:r>
    </w:p>
    <w:p>
      <w:pPr>
        <w:pStyle w:val="BodyText"/>
        <w:ind w:left="466"/>
        <w:spacing w:before="167" w:line="223" w:lineRule="auto"/>
        <w:rPr/>
      </w:pPr>
      <w:r>
        <w:rPr>
          <w:rFonts w:ascii="Times New Roman" w:hAnsi="Times New Roman" w:eastAsia="Times New Roman" w:cs="Times New Roman"/>
          <w:spacing w:val="3"/>
        </w:rPr>
        <w:t>3.7.4 </w:t>
      </w:r>
      <w:r>
        <w:rPr>
          <w:spacing w:val="3"/>
        </w:rPr>
        <w:t>疾控和监督工作。各级卫生健康行政</w:t>
      </w:r>
    </w:p>
    <w:p>
      <w:pPr>
        <w:spacing w:line="14" w:lineRule="auto"/>
        <w:rPr>
          <w:rFonts w:ascii="Arial"/>
          <w:sz w:val="2"/>
        </w:rPr>
      </w:pPr>
      <w:r>
        <w:rPr>
          <w:rFonts w:ascii="Arial" w:hAnsi="Arial" w:eastAsia="Arial" w:cs="Arial"/>
          <w:sz w:val="2"/>
          <w:szCs w:val="2"/>
        </w:rPr>
        <w:br w:type="column"/>
      </w:r>
    </w:p>
    <w:p>
      <w:pPr>
        <w:pStyle w:val="BodyText"/>
        <w:ind w:right="59" w:firstLine="1"/>
        <w:spacing w:before="39" w:line="376" w:lineRule="auto"/>
        <w:jc w:val="both"/>
        <w:rPr/>
      </w:pPr>
      <w:r>
        <w:rPr>
          <w:spacing w:val="7"/>
        </w:rPr>
        <w:t>部门要根据事件性质、危害程度等情况，组织</w:t>
      </w:r>
      <w:r>
        <w:rPr>
          <w:spacing w:val="18"/>
        </w:rPr>
        <w:t>疾病预防控制和卫生监督等有关专业机构和</w:t>
      </w:r>
      <w:r>
        <w:rPr>
          <w:spacing w:val="7"/>
        </w:rPr>
        <w:t>人员，开展卫生学调查、公共卫生风险评估和</w:t>
      </w:r>
      <w:r>
        <w:rPr>
          <w:spacing w:val="7"/>
        </w:rPr>
        <w:t>监督执法，采取有效的预防控制措施，防止各</w:t>
      </w:r>
      <w:r>
        <w:rPr>
          <w:spacing w:val="18"/>
        </w:rPr>
        <w:t>类突发公共事件造成的次生或衍生突发公共</w:t>
      </w:r>
      <w:r>
        <w:rPr>
          <w:spacing w:val="8"/>
        </w:rPr>
        <w:t>卫生事件的发生。</w:t>
      </w:r>
    </w:p>
    <w:p>
      <w:pPr>
        <w:pStyle w:val="BodyText"/>
        <w:ind w:right="59" w:firstLine="426"/>
        <w:spacing w:before="3" w:line="375" w:lineRule="auto"/>
        <w:jc w:val="both"/>
        <w:rPr/>
      </w:pPr>
      <w:r>
        <w:rPr>
          <w:rFonts w:ascii="Times New Roman" w:hAnsi="Times New Roman" w:eastAsia="Times New Roman" w:cs="Times New Roman"/>
          <w:spacing w:val="8"/>
        </w:rPr>
        <w:t>3.8  </w:t>
      </w:r>
      <w:r>
        <w:rPr>
          <w:rFonts w:ascii="KaiTi" w:hAnsi="KaiTi" w:eastAsia="KaiTi" w:cs="KaiTi"/>
          <w:spacing w:val="8"/>
        </w:rPr>
        <w:t>信息报告与发布。</w:t>
      </w:r>
      <w:r>
        <w:rPr>
          <w:spacing w:val="8"/>
        </w:rPr>
        <w:t>接到突发公共事件</w:t>
      </w:r>
      <w:r>
        <w:rPr>
          <w:spacing w:val="7"/>
        </w:rPr>
        <w:t>报告的机构，应按照规定的程序和时限及时上</w:t>
      </w:r>
      <w:r>
        <w:rPr>
          <w:spacing w:val="7"/>
        </w:rPr>
        <w:t>报相关信息，医疗卫生机构在报告的同时要做</w:t>
      </w:r>
      <w:r>
        <w:rPr>
          <w:spacing w:val="8"/>
        </w:rPr>
        <w:t>好医疗卫生救援的准备。</w:t>
      </w:r>
    </w:p>
    <w:p>
      <w:pPr>
        <w:pStyle w:val="BodyText"/>
        <w:ind w:right="59" w:firstLine="433"/>
        <w:spacing w:before="11" w:line="376" w:lineRule="auto"/>
        <w:jc w:val="both"/>
        <w:rPr/>
      </w:pPr>
      <w:r>
        <w:rPr>
          <w:spacing w:val="18"/>
        </w:rPr>
        <w:t>医疗卫生救援现场指挥部和承担医疗卫</w:t>
      </w:r>
      <w:r>
        <w:rPr>
          <w:spacing w:val="7"/>
        </w:rPr>
        <w:t>生救援任务的医疗卫生机构，每日向本级卫生</w:t>
      </w:r>
      <w:r>
        <w:rPr>
          <w:spacing w:val="7"/>
        </w:rPr>
        <w:t>健康行政部门报告伤病员及医疗救治、卫生学</w:t>
      </w:r>
      <w:r>
        <w:rPr>
          <w:spacing w:val="7"/>
        </w:rPr>
        <w:t>调查、公共卫生风险评估等相关情况，重要情</w:t>
      </w:r>
      <w:r>
        <w:rPr>
          <w:spacing w:val="7"/>
        </w:rPr>
        <w:t>况要随时报告。卫生健康行政部门要及时向本</w:t>
      </w:r>
      <w:r>
        <w:rPr>
          <w:spacing w:val="18"/>
        </w:rPr>
        <w:t>级政府或突发公共事件应急指挥机构和上级</w:t>
      </w:r>
      <w:r>
        <w:rPr>
          <w:spacing w:val="8"/>
        </w:rPr>
        <w:t>卫生健康行政部门报告。</w:t>
      </w:r>
    </w:p>
    <w:p>
      <w:pPr>
        <w:pStyle w:val="BodyText"/>
        <w:ind w:right="59" w:firstLine="420"/>
        <w:spacing w:before="4" w:line="375" w:lineRule="auto"/>
        <w:jc w:val="both"/>
        <w:rPr/>
      </w:pPr>
      <w:r>
        <w:rPr>
          <w:spacing w:val="19"/>
        </w:rPr>
        <w:t>各级卫生健康行政部门要在本级政府或</w:t>
      </w:r>
      <w:r>
        <w:rPr>
          <w:spacing w:val="7"/>
        </w:rPr>
        <w:t>突发公共卫生事件应急指挥机构的领导下，指</w:t>
      </w:r>
      <w:r>
        <w:rPr>
          <w:spacing w:val="18"/>
        </w:rPr>
        <w:t>定专人按照响应级别权限负责做好突发公共</w:t>
      </w:r>
      <w:r>
        <w:rPr>
          <w:spacing w:val="8"/>
        </w:rPr>
        <w:t>事件医疗卫生救援信息发布工作。</w:t>
      </w:r>
    </w:p>
    <w:p>
      <w:pPr>
        <w:pStyle w:val="BodyText"/>
        <w:ind w:right="52" w:firstLine="426"/>
        <w:spacing w:before="5" w:line="361" w:lineRule="auto"/>
        <w:rPr/>
      </w:pPr>
      <w:r>
        <w:rPr>
          <w:rFonts w:ascii="Times New Roman" w:hAnsi="Times New Roman" w:eastAsia="Times New Roman" w:cs="Times New Roman"/>
          <w:spacing w:val="8"/>
        </w:rPr>
        <w:t>3.9  </w:t>
      </w:r>
      <w:r>
        <w:rPr>
          <w:rFonts w:ascii="KaiTi" w:hAnsi="KaiTi" w:eastAsia="KaiTi" w:cs="KaiTi"/>
          <w:spacing w:val="8"/>
        </w:rPr>
        <w:t>社会动员。</w:t>
      </w:r>
      <w:r>
        <w:rPr>
          <w:spacing w:val="8"/>
        </w:rPr>
        <w:t>各级卫生健康行政部门、</w:t>
      </w:r>
      <w:r>
        <w:rPr>
          <w:spacing w:val="18"/>
        </w:rPr>
        <w:t>红十字会要做好突发公共事件医疗救援知识</w:t>
      </w:r>
      <w:r>
        <w:rPr>
          <w:spacing w:val="7"/>
        </w:rPr>
        <w:t>普及工作；广播、电视、报刊、互联网等媒体</w:t>
      </w:r>
      <w:r>
        <w:rPr>
          <w:spacing w:val="7"/>
        </w:rPr>
        <w:t>要扩大对社会公众的宣传教育；各部门、企事</w:t>
      </w:r>
      <w:r>
        <w:rPr>
          <w:spacing w:val="7"/>
        </w:rPr>
        <w:t>业单位、社会团体要加强对所属人员的宣传教</w:t>
      </w:r>
      <w:r>
        <w:rPr>
          <w:spacing w:val="7"/>
        </w:rPr>
        <w:t>育；各级各类医疗卫生机构要做好宣传资料提</w:t>
      </w:r>
      <w:r>
        <w:rPr>
          <w:spacing w:val="7"/>
        </w:rPr>
        <w:t>供和师资培训工作。在广泛普及医疗卫生救援</w:t>
      </w:r>
      <w:r>
        <w:rPr>
          <w:spacing w:val="7"/>
        </w:rPr>
        <w:t>知识的基础上逐步组建以公安干警、企事业单</w:t>
      </w:r>
      <w:r>
        <w:rPr>
          <w:spacing w:val="7"/>
        </w:rPr>
        <w:t>位安全员和卫生员为骨干的群众性救助网络，</w:t>
      </w:r>
      <w:r>
        <w:rPr>
          <w:spacing w:val="9"/>
        </w:rPr>
        <w:t>经过培训和演练提高其自救、互救能力。</w:t>
      </w:r>
    </w:p>
    <w:p>
      <w:pPr>
        <w:pStyle w:val="BodyText"/>
        <w:ind w:left="426"/>
        <w:spacing w:before="164" w:line="210" w:lineRule="auto"/>
        <w:rPr/>
      </w:pPr>
      <w:r>
        <w:rPr>
          <w:rFonts w:ascii="Times New Roman" w:hAnsi="Times New Roman" w:eastAsia="Times New Roman" w:cs="Times New Roman"/>
          <w:spacing w:val="3"/>
        </w:rPr>
        <w:t>3.10  </w:t>
      </w:r>
      <w:r>
        <w:rPr>
          <w:rFonts w:ascii="KaiTi" w:hAnsi="KaiTi" w:eastAsia="KaiTi" w:cs="KaiTi"/>
          <w:spacing w:val="3"/>
        </w:rPr>
        <w:t>响应终止。</w:t>
      </w:r>
      <w:r>
        <w:rPr>
          <w:spacing w:val="3"/>
        </w:rPr>
        <w:t>突发公共事件现场医疗卫</w:t>
      </w:r>
    </w:p>
    <w:p>
      <w:pPr>
        <w:spacing w:line="210" w:lineRule="auto"/>
        <w:sectPr>
          <w:type w:val="continuous"/>
          <w:pgSz w:w="11906" w:h="16839"/>
          <w:pgMar w:top="1766" w:right="1530" w:bottom="1574" w:left="1551" w:header="1428" w:footer="1172" w:gutter="0"/>
          <w:cols w:equalWidth="0" w:num="2">
            <w:col w:w="4517" w:space="100"/>
            <w:col w:w="4207" w:space="0"/>
          </w:cols>
        </w:sectPr>
        <w:rPr/>
      </w:pPr>
    </w:p>
    <w:p>
      <w:pPr>
        <w:spacing w:before="78"/>
        <w:rPr/>
      </w:pPr>
      <w:r>
        <w:drawing>
          <wp:anchor distT="0" distB="0" distL="0" distR="0" simplePos="0" relativeHeight="253896704"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114" name="IM 2114"/>
            <wp:cNvGraphicFramePr/>
            <a:graphic>
              <a:graphicData uri="http://schemas.openxmlformats.org/drawingml/2006/picture">
                <pic:pic>
                  <pic:nvPicPr>
                    <pic:cNvPr id="2114" name="IM 2114"/>
                    <pic:cNvPicPr/>
                  </pic:nvPicPr>
                  <pic:blipFill>
                    <a:blip r:embed="rId1059"/>
                    <a:stretch>
                      <a:fillRect/>
                    </a:stretch>
                  </pic:blipFill>
                  <pic:spPr>
                    <a:xfrm rot="0">
                      <a:off x="0" y="0"/>
                      <a:ext cx="5579745" cy="7620"/>
                    </a:xfrm>
                    <a:prstGeom prst="rect">
                      <a:avLst/>
                    </a:prstGeom>
                  </pic:spPr>
                </pic:pic>
              </a:graphicData>
            </a:graphic>
          </wp:anchor>
        </w:drawing>
      </w:r>
      <w:r/>
    </w:p>
    <w:p>
      <w:pPr>
        <w:sectPr>
          <w:headerReference w:type="default" r:id="rId1048"/>
          <w:footerReference w:type="default" r:id="rId1058"/>
          <w:pgSz w:w="11906" w:h="16839"/>
          <w:pgMar w:top="1772" w:right="1489" w:bottom="1572" w:left="1571" w:header="1428" w:footer="1172" w:gutter="0"/>
          <w:cols w:equalWidth="0" w:num="1">
            <w:col w:w="8846" w:space="0"/>
          </w:cols>
        </w:sectPr>
        <w:rPr/>
      </w:pPr>
    </w:p>
    <w:p>
      <w:pPr>
        <w:pStyle w:val="BodyText"/>
        <w:ind w:left="22" w:right="328" w:firstLine="1"/>
        <w:spacing w:before="41" w:line="374" w:lineRule="auto"/>
        <w:jc w:val="both"/>
        <w:rPr/>
      </w:pPr>
      <w:r>
        <w:rPr>
          <w:spacing w:val="7"/>
        </w:rPr>
        <w:t>生救援工作完成，伤病员全部转送医疗机构得</w:t>
      </w:r>
      <w:r>
        <w:rPr>
          <w:spacing w:val="7"/>
        </w:rPr>
        <w:t>到救治，现场卫生学调查处理工作结束，事件</w:t>
      </w:r>
      <w:r>
        <w:rPr>
          <w:spacing w:val="7"/>
        </w:rPr>
        <w:t>的公共卫生风险消除，负责启动应急响应的卫</w:t>
      </w:r>
      <w:r>
        <w:rPr>
          <w:spacing w:val="18"/>
        </w:rPr>
        <w:t>生健康行政部门报经本级政府或突发公共事</w:t>
      </w:r>
      <w:r>
        <w:rPr>
          <w:spacing w:val="7"/>
        </w:rPr>
        <w:t>件应急指挥机构批准，终止医疗卫生救援应急</w:t>
      </w:r>
      <w:r>
        <w:rPr>
          <w:spacing w:val="4"/>
        </w:rPr>
        <w:t>响应。</w:t>
      </w:r>
    </w:p>
    <w:p>
      <w:pPr>
        <w:ind w:left="442"/>
        <w:spacing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4</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5"/>
        </w:rPr>
        <w:t>应急保障</w:t>
      </w:r>
    </w:p>
    <w:p>
      <w:pPr>
        <w:pStyle w:val="BodyText"/>
        <w:ind w:left="20" w:right="326" w:firstLine="421"/>
        <w:spacing w:before="107" w:line="376" w:lineRule="auto"/>
        <w:rPr/>
      </w:pPr>
      <w:r>
        <w:rPr>
          <w:spacing w:val="25"/>
        </w:rPr>
        <w:t>各级卫生健康行政部门应遵循</w:t>
      </w:r>
      <w:r>
        <w:rPr>
          <w:rFonts w:ascii="Times New Roman" w:hAnsi="Times New Roman" w:eastAsia="Times New Roman" w:cs="Times New Roman"/>
          <w:spacing w:val="25"/>
        </w:rPr>
        <w:t>“</w:t>
      </w:r>
      <w:r>
        <w:rPr>
          <w:spacing w:val="25"/>
        </w:rPr>
        <w:t>平战结</w:t>
      </w:r>
      <w:r>
        <w:rPr>
          <w:spacing w:val="10"/>
        </w:rPr>
        <w:t>合、常备不懈</w:t>
      </w:r>
      <w:r>
        <w:rPr>
          <w:rFonts w:ascii="Times New Roman" w:hAnsi="Times New Roman" w:eastAsia="Times New Roman" w:cs="Times New Roman"/>
          <w:spacing w:val="10"/>
        </w:rPr>
        <w:t>”</w:t>
      </w:r>
      <w:r>
        <w:rPr>
          <w:spacing w:val="10"/>
        </w:rPr>
        <w:t>的原则</w:t>
      </w:r>
      <w:r>
        <w:rPr>
          <w:spacing w:val="-43"/>
        </w:rPr>
        <w:t xml:space="preserve"> </w:t>
      </w:r>
      <w:r>
        <w:rPr>
          <w:spacing w:val="10"/>
        </w:rPr>
        <w:t>，加强突发公共事件医</w:t>
      </w:r>
      <w:r>
        <w:rPr>
          <w:spacing w:val="7"/>
        </w:rPr>
        <w:t>疗卫生救援管理工作，建立健全应急救援组织</w:t>
      </w:r>
      <w:r>
        <w:rPr>
          <w:spacing w:val="7"/>
        </w:rPr>
        <w:t>机构，结合实际建立适应各类突发公共事件医</w:t>
      </w:r>
      <w:r>
        <w:rPr>
          <w:spacing w:val="7"/>
        </w:rPr>
        <w:t>疗卫生救援工作需要的专业队伍，制订完善医</w:t>
      </w:r>
      <w:r>
        <w:rPr>
          <w:spacing w:val="7"/>
        </w:rPr>
        <w:t>疗卫生救援应急技术方案，开展突发公共事件</w:t>
      </w:r>
      <w:r>
        <w:rPr>
          <w:spacing w:val="7"/>
        </w:rPr>
        <w:t>医疗卫生救援技术研究和新技术、新方法的引</w:t>
      </w:r>
      <w:r>
        <w:rPr>
          <w:spacing w:val="9"/>
        </w:rPr>
        <w:t>进推广，保证救援工作有效开展。</w:t>
      </w:r>
    </w:p>
    <w:p>
      <w:pPr>
        <w:pStyle w:val="BodyText"/>
        <w:ind w:left="22" w:right="328" w:firstLine="418"/>
        <w:spacing w:before="2" w:line="346" w:lineRule="auto"/>
        <w:rPr/>
      </w:pPr>
      <w:r>
        <w:rPr>
          <w:rFonts w:ascii="Times New Roman" w:hAnsi="Times New Roman" w:eastAsia="Times New Roman" w:cs="Times New Roman"/>
          <w:spacing w:val="7"/>
        </w:rPr>
        <w:t>4.</w:t>
      </w:r>
      <w:r>
        <w:rPr>
          <w:rFonts w:ascii="Times New Roman" w:hAnsi="Times New Roman" w:eastAsia="Times New Roman" w:cs="Times New Roman"/>
          <w:spacing w:val="-22"/>
        </w:rPr>
        <w:t xml:space="preserve"> </w:t>
      </w:r>
      <w:r>
        <w:rPr>
          <w:rFonts w:ascii="Times New Roman" w:hAnsi="Times New Roman" w:eastAsia="Times New Roman" w:cs="Times New Roman"/>
          <w:spacing w:val="7"/>
        </w:rPr>
        <w:t>1  </w:t>
      </w:r>
      <w:r>
        <w:rPr>
          <w:rFonts w:ascii="KaiTi" w:hAnsi="KaiTi" w:eastAsia="KaiTi" w:cs="KaiTi"/>
          <w:spacing w:val="7"/>
        </w:rPr>
        <w:t>信息网络保障。</w:t>
      </w:r>
      <w:r>
        <w:rPr>
          <w:spacing w:val="7"/>
        </w:rPr>
        <w:t>在充分利用现有资源</w:t>
      </w:r>
      <w:r>
        <w:rPr>
          <w:spacing w:val="7"/>
        </w:rPr>
        <w:t>的基础上不断完善卫生信息网络建设，逐步实</w:t>
      </w:r>
      <w:r>
        <w:rPr>
          <w:spacing w:val="7"/>
        </w:rPr>
        <w:t>现院前急救机构、医疗救治机构、疾病预防控</w:t>
      </w:r>
      <w:r>
        <w:rPr>
          <w:spacing w:val="18"/>
        </w:rPr>
        <w:t>制机构与卫生行政部门之间以及卫生健康部</w:t>
      </w:r>
      <w:r>
        <w:rPr>
          <w:spacing w:val="8"/>
        </w:rPr>
        <w:t>门与相关部门间的信息共享。</w:t>
      </w:r>
    </w:p>
    <w:p>
      <w:pPr>
        <w:pStyle w:val="BodyText"/>
        <w:ind w:left="23" w:right="328" w:firstLine="417"/>
        <w:spacing w:before="163" w:line="346" w:lineRule="auto"/>
        <w:rPr/>
      </w:pPr>
      <w:r>
        <w:rPr>
          <w:rFonts w:ascii="Times New Roman" w:hAnsi="Times New Roman" w:eastAsia="Times New Roman" w:cs="Times New Roman"/>
          <w:spacing w:val="8"/>
        </w:rPr>
        <w:t>4.2  </w:t>
      </w:r>
      <w:r>
        <w:rPr>
          <w:rFonts w:ascii="KaiTi" w:hAnsi="KaiTi" w:eastAsia="KaiTi" w:cs="KaiTi"/>
          <w:spacing w:val="8"/>
        </w:rPr>
        <w:t>急救机构保障。</w:t>
      </w:r>
      <w:r>
        <w:rPr>
          <w:spacing w:val="8"/>
        </w:rPr>
        <w:t>建立以市紧急救援中</w:t>
      </w:r>
      <w:r>
        <w:rPr>
          <w:spacing w:val="5"/>
        </w:rPr>
        <w:t>心（</w:t>
      </w:r>
      <w:r>
        <w:rPr>
          <w:spacing w:val="-35"/>
        </w:rPr>
        <w:t xml:space="preserve"> </w:t>
      </w:r>
      <w:r>
        <w:rPr>
          <w:rFonts w:ascii="Times New Roman" w:hAnsi="Times New Roman" w:eastAsia="Times New Roman" w:cs="Times New Roman"/>
          <w:spacing w:val="5"/>
        </w:rPr>
        <w:t>120</w:t>
      </w:r>
      <w:r>
        <w:rPr>
          <w:rFonts w:ascii="Times New Roman" w:hAnsi="Times New Roman" w:eastAsia="Times New Roman" w:cs="Times New Roman"/>
          <w:spacing w:val="-19"/>
        </w:rPr>
        <w:t xml:space="preserve"> </w:t>
      </w:r>
      <w:r>
        <w:rPr>
          <w:spacing w:val="5"/>
        </w:rPr>
        <w:t>）为主体</w:t>
      </w:r>
      <w:r>
        <w:rPr>
          <w:spacing w:val="-58"/>
        </w:rPr>
        <w:t xml:space="preserve"> </w:t>
      </w:r>
      <w:r>
        <w:rPr>
          <w:spacing w:val="5"/>
        </w:rPr>
        <w:t>，急救网络医院为基础，覆</w:t>
      </w:r>
      <w:r>
        <w:rPr>
          <w:spacing w:val="4"/>
        </w:rPr>
        <w:t>盖市、县（</w:t>
      </w:r>
      <w:r>
        <w:rPr>
          <w:spacing w:val="-37"/>
        </w:rPr>
        <w:t xml:space="preserve"> </w:t>
      </w:r>
      <w:r>
        <w:rPr>
          <w:spacing w:val="4"/>
        </w:rPr>
        <w:t>区）、乡（镇）三级院前医疗急救</w:t>
      </w:r>
      <w:r>
        <w:rPr>
          <w:spacing w:val="7"/>
        </w:rPr>
        <w:t>网络，实现对区域性突发公共事件医疗救援的</w:t>
      </w:r>
      <w:r>
        <w:rPr>
          <w:spacing w:val="7"/>
        </w:rPr>
        <w:t>统一指挥调度。</w:t>
      </w:r>
    </w:p>
    <w:p>
      <w:pPr>
        <w:pStyle w:val="BodyText"/>
        <w:ind w:left="20" w:right="248" w:firstLine="420"/>
        <w:spacing w:before="164" w:line="352" w:lineRule="auto"/>
        <w:rPr/>
      </w:pPr>
      <w:r>
        <w:rPr>
          <w:rFonts w:ascii="Times New Roman" w:hAnsi="Times New Roman" w:eastAsia="Times New Roman" w:cs="Times New Roman"/>
          <w:spacing w:val="8"/>
        </w:rPr>
        <w:t>4.3  </w:t>
      </w:r>
      <w:r>
        <w:rPr>
          <w:rFonts w:ascii="KaiTi" w:hAnsi="KaiTi" w:eastAsia="KaiTi" w:cs="KaiTi"/>
          <w:spacing w:val="8"/>
        </w:rPr>
        <w:t>队伍保障。</w:t>
      </w:r>
      <w:r>
        <w:rPr>
          <w:spacing w:val="8"/>
        </w:rPr>
        <w:t>各级卫生健康行政部门组</w:t>
      </w:r>
      <w:r>
        <w:rPr>
          <w:spacing w:val="7"/>
        </w:rPr>
        <w:t>建综合性医疗卫生救援应急队伍，根据需要建</w:t>
      </w:r>
      <w:r>
        <w:rPr>
          <w:spacing w:val="7"/>
        </w:rPr>
        <w:t>立特殊专业应急医疗卫生救援队伍。建立健全</w:t>
      </w:r>
      <w:r>
        <w:rPr>
          <w:spacing w:val="1"/>
        </w:rPr>
        <w:t>应急队伍管理制度，队员年龄、专业结构合理，</w:t>
      </w:r>
      <w:r>
        <w:rPr>
          <w:spacing w:val="7"/>
        </w:rPr>
        <w:t>综合素质过硬，实行动态管理，保证队伍的稳</w:t>
      </w:r>
      <w:r>
        <w:rPr>
          <w:spacing w:val="-8"/>
        </w:rPr>
        <w:t>定性，定期开展培训和演练，提高应急救援能力。</w:t>
      </w:r>
    </w:p>
    <w:p>
      <w:pPr>
        <w:pStyle w:val="BodyText"/>
        <w:ind w:left="441"/>
        <w:spacing w:before="162" w:line="217" w:lineRule="auto"/>
        <w:rPr/>
      </w:pPr>
      <w:r>
        <w:rPr>
          <w:rFonts w:ascii="Times New Roman" w:hAnsi="Times New Roman" w:eastAsia="Times New Roman" w:cs="Times New Roman"/>
          <w:spacing w:val="8"/>
        </w:rPr>
        <w:t>4.4  </w:t>
      </w:r>
      <w:r>
        <w:rPr>
          <w:rFonts w:ascii="KaiTi" w:hAnsi="KaiTi" w:eastAsia="KaiTi" w:cs="KaiTi"/>
          <w:spacing w:val="8"/>
        </w:rPr>
        <w:t>经费保障。</w:t>
      </w:r>
      <w:r>
        <w:rPr>
          <w:spacing w:val="8"/>
        </w:rPr>
        <w:t>财政部门负责安排应由政</w:t>
      </w:r>
    </w:p>
    <w:p>
      <w:pPr>
        <w:spacing w:line="14" w:lineRule="auto"/>
        <w:rPr>
          <w:rFonts w:ascii="Arial"/>
          <w:sz w:val="2"/>
        </w:rPr>
      </w:pPr>
      <w:r>
        <w:rPr>
          <w:rFonts w:ascii="Arial" w:hAnsi="Arial" w:eastAsia="Arial" w:cs="Arial"/>
          <w:sz w:val="2"/>
          <w:szCs w:val="2"/>
        </w:rPr>
        <w:br w:type="column"/>
      </w:r>
    </w:p>
    <w:p>
      <w:pPr>
        <w:pStyle w:val="BodyText"/>
        <w:ind w:left="2" w:right="81" w:hanging="1"/>
        <w:spacing w:before="40" w:line="376" w:lineRule="auto"/>
        <w:rPr/>
      </w:pPr>
      <w:r>
        <w:rPr>
          <w:spacing w:val="18"/>
        </w:rPr>
        <w:t>府承担的突发公共事件应急医疗卫生救援所</w:t>
      </w:r>
      <w:r>
        <w:rPr>
          <w:spacing w:val="8"/>
        </w:rPr>
        <w:t>必需的经费，并做好经费使用情况监督工作。</w:t>
      </w:r>
    </w:p>
    <w:p>
      <w:pPr>
        <w:pStyle w:val="BodyText"/>
        <w:ind w:left="2" w:right="101" w:firstLine="459"/>
        <w:spacing w:before="1" w:line="376" w:lineRule="auto"/>
        <w:rPr/>
      </w:pPr>
      <w:r>
        <w:rPr>
          <w:spacing w:val="4"/>
        </w:rPr>
        <w:t>自然灾害导致的人员伤亡，各级财政按照</w:t>
      </w:r>
      <w:r>
        <w:rPr>
          <w:spacing w:val="9"/>
        </w:rPr>
        <w:t>有关规定承担医疗救治费用或给予补助。</w:t>
      </w:r>
    </w:p>
    <w:p>
      <w:pPr>
        <w:pStyle w:val="BodyText"/>
        <w:ind w:left="1" w:right="101" w:firstLine="421"/>
        <w:spacing w:before="2" w:line="376" w:lineRule="auto"/>
        <w:jc w:val="both"/>
        <w:rPr/>
      </w:pPr>
      <w:r>
        <w:rPr>
          <w:spacing w:val="6"/>
        </w:rPr>
        <w:t>安全生产事故引起的人员伤亡，事故发生</w:t>
      </w:r>
      <w:r>
        <w:rPr>
          <w:spacing w:val="18"/>
        </w:rPr>
        <w:t>单位应向医疗急救中心或相关医疗机构支付</w:t>
      </w:r>
      <w:r>
        <w:rPr>
          <w:spacing w:val="7"/>
        </w:rPr>
        <w:t>医疗卫生救援过程中发生的费用，有关部门应</w:t>
      </w:r>
      <w:r>
        <w:rPr>
          <w:spacing w:val="7"/>
        </w:rPr>
        <w:t>负责督促落实。</w:t>
      </w:r>
    </w:p>
    <w:p>
      <w:pPr>
        <w:pStyle w:val="BodyText"/>
        <w:ind w:left="2" w:right="101" w:firstLine="419"/>
        <w:spacing w:before="2" w:line="376" w:lineRule="auto"/>
        <w:jc w:val="both"/>
        <w:rPr/>
      </w:pPr>
      <w:r>
        <w:rPr>
          <w:spacing w:val="7"/>
        </w:rPr>
        <w:t>社会安全事件中造成的人员伤亡，由有关</w:t>
      </w:r>
      <w:r>
        <w:rPr>
          <w:spacing w:val="18"/>
        </w:rPr>
        <w:t>部门确定的责任单位或责任人承担医疗救治</w:t>
      </w:r>
      <w:r>
        <w:rPr>
          <w:spacing w:val="7"/>
        </w:rPr>
        <w:t>费用，有关部门应负责督促落实。各级财政可</w:t>
      </w:r>
      <w:r>
        <w:rPr>
          <w:spacing w:val="18"/>
        </w:rPr>
        <w:t>根据有关政策规定或本级政府的决定对医疗</w:t>
      </w:r>
      <w:r>
        <w:rPr>
          <w:spacing w:val="8"/>
        </w:rPr>
        <w:t>救治费用给予补助。</w:t>
      </w:r>
    </w:p>
    <w:p>
      <w:pPr>
        <w:pStyle w:val="BodyText"/>
        <w:ind w:left="3" w:right="101" w:firstLine="419"/>
        <w:spacing w:before="3" w:line="375" w:lineRule="auto"/>
        <w:jc w:val="both"/>
        <w:rPr/>
      </w:pPr>
      <w:r>
        <w:rPr>
          <w:spacing w:val="19"/>
        </w:rPr>
        <w:t>各类保险机构要按照有关规定对参加人</w:t>
      </w:r>
      <w:r>
        <w:rPr>
          <w:spacing w:val="7"/>
        </w:rPr>
        <w:t>身、医疗、健康等保险的伤亡人员，做好理赔</w:t>
      </w:r>
      <w:r>
        <w:rPr>
          <w:spacing w:val="4"/>
        </w:rPr>
        <w:t>工作。</w:t>
      </w:r>
    </w:p>
    <w:p>
      <w:pPr>
        <w:pStyle w:val="BodyText"/>
        <w:ind w:right="78" w:firstLine="421"/>
        <w:spacing w:before="3" w:line="351" w:lineRule="auto"/>
        <w:rPr/>
      </w:pPr>
      <w:r>
        <w:rPr>
          <w:rFonts w:ascii="Times New Roman" w:hAnsi="Times New Roman" w:eastAsia="Times New Roman" w:cs="Times New Roman"/>
          <w:spacing w:val="8"/>
        </w:rPr>
        <w:t>4.5  </w:t>
      </w:r>
      <w:r>
        <w:rPr>
          <w:rFonts w:ascii="KaiTi" w:hAnsi="KaiTi" w:eastAsia="KaiTi" w:cs="KaiTi"/>
          <w:spacing w:val="8"/>
        </w:rPr>
        <w:t>物资保障。</w:t>
      </w:r>
      <w:r>
        <w:rPr>
          <w:spacing w:val="8"/>
        </w:rPr>
        <w:t>各级卫生健康行政部门提</w:t>
      </w:r>
      <w:r>
        <w:rPr>
          <w:spacing w:val="8"/>
        </w:rPr>
        <w:t>出医疗卫生救援应急药品、医疗器械、设备、</w:t>
      </w:r>
      <w:r>
        <w:rPr>
          <w:spacing w:val="7"/>
        </w:rPr>
        <w:t>快速检测器材和试剂、卫生防护用品等物资储</w:t>
      </w:r>
      <w:r>
        <w:rPr>
          <w:spacing w:val="8"/>
        </w:rPr>
        <w:t>备计划建议，发展和改革部门负责组织生产、</w:t>
      </w:r>
      <w:r>
        <w:rPr>
          <w:spacing w:val="7"/>
        </w:rPr>
        <w:t>储备和调运，保证救援工作需要。应急物资储</w:t>
      </w:r>
      <w:r>
        <w:rPr>
          <w:spacing w:val="9"/>
        </w:rPr>
        <w:t>备实行动态管理，使用后要及时补充。</w:t>
      </w:r>
    </w:p>
    <w:p>
      <w:pPr>
        <w:pStyle w:val="BodyText"/>
        <w:ind w:left="3" w:right="101" w:firstLine="418"/>
        <w:spacing w:before="164" w:line="326" w:lineRule="auto"/>
        <w:rPr/>
      </w:pPr>
      <w:r>
        <w:rPr>
          <w:rFonts w:ascii="Times New Roman" w:hAnsi="Times New Roman" w:eastAsia="Times New Roman" w:cs="Times New Roman"/>
          <w:spacing w:val="8"/>
        </w:rPr>
        <w:t>4.6  </w:t>
      </w:r>
      <w:r>
        <w:rPr>
          <w:rFonts w:ascii="KaiTi" w:hAnsi="KaiTi" w:eastAsia="KaiTi" w:cs="KaiTi"/>
          <w:spacing w:val="8"/>
        </w:rPr>
        <w:t>交通运输保障。</w:t>
      </w:r>
      <w:r>
        <w:rPr>
          <w:spacing w:val="8"/>
        </w:rPr>
        <w:t>各级医疗卫生救援应</w:t>
      </w:r>
      <w:r>
        <w:rPr>
          <w:spacing w:val="7"/>
        </w:rPr>
        <w:t>急队伍要根据实际工作需要配备救护车辆、交</w:t>
      </w:r>
      <w:r>
        <w:rPr>
          <w:spacing w:val="8"/>
        </w:rPr>
        <w:t>通工具和通讯设备。</w:t>
      </w:r>
    </w:p>
    <w:p>
      <w:pPr>
        <w:pStyle w:val="BodyText"/>
        <w:ind w:left="2" w:right="98" w:firstLine="420"/>
        <w:spacing w:before="168" w:line="376" w:lineRule="auto"/>
        <w:jc w:val="both"/>
        <w:rPr/>
      </w:pPr>
      <w:r>
        <w:rPr>
          <w:spacing w:val="6"/>
        </w:rPr>
        <w:t>铁路、交通、公安交管等有关部门要保证</w:t>
      </w:r>
      <w:r>
        <w:rPr>
          <w:spacing w:val="7"/>
        </w:rPr>
        <w:t>医疗卫生救援人员和物资运输的优先安排、优</w:t>
      </w:r>
      <w:r>
        <w:rPr>
          <w:spacing w:val="7"/>
        </w:rPr>
        <w:t>先调度、优先放行，确保运输安全畅通。情况</w:t>
      </w:r>
      <w:r>
        <w:rPr>
          <w:spacing w:val="18"/>
        </w:rPr>
        <w:t>特别紧急时要对现场及相关通道实行交通管</w:t>
      </w:r>
      <w:r>
        <w:rPr>
          <w:spacing w:val="8"/>
        </w:rPr>
        <w:t>制，开设应急救援</w:t>
      </w:r>
      <w:r>
        <w:rPr>
          <w:rFonts w:ascii="Times New Roman" w:hAnsi="Times New Roman" w:eastAsia="Times New Roman" w:cs="Times New Roman"/>
          <w:spacing w:val="8"/>
        </w:rPr>
        <w:t>“</w:t>
      </w:r>
      <w:r>
        <w:rPr>
          <w:spacing w:val="8"/>
        </w:rPr>
        <w:t>绿色通道</w:t>
      </w:r>
      <w:r>
        <w:rPr>
          <w:rFonts w:ascii="Times New Roman" w:hAnsi="Times New Roman" w:eastAsia="Times New Roman" w:cs="Times New Roman"/>
          <w:spacing w:val="8"/>
        </w:rPr>
        <w:t>”</w:t>
      </w:r>
      <w:r>
        <w:rPr>
          <w:spacing w:val="8"/>
        </w:rPr>
        <w:t>，保证医疗卫生</w:t>
      </w:r>
      <w:r>
        <w:rPr>
          <w:spacing w:val="8"/>
        </w:rPr>
        <w:t>救援工作顺利开展。</w:t>
      </w:r>
    </w:p>
    <w:p>
      <w:pPr>
        <w:ind w:left="421"/>
        <w:spacing w:line="210" w:lineRule="auto"/>
        <w:rPr>
          <w:rFonts w:ascii="KaiTi" w:hAnsi="KaiTi" w:eastAsia="KaiTi" w:cs="KaiTi"/>
          <w:sz w:val="20"/>
          <w:szCs w:val="20"/>
        </w:rPr>
      </w:pPr>
      <w:r>
        <w:rPr>
          <w:rFonts w:ascii="Times New Roman" w:hAnsi="Times New Roman" w:eastAsia="Times New Roman" w:cs="Times New Roman"/>
          <w:sz w:val="20"/>
          <w:szCs w:val="20"/>
          <w:spacing w:val="5"/>
        </w:rPr>
        <w:t>4.7  </w:t>
      </w:r>
      <w:r>
        <w:rPr>
          <w:rFonts w:ascii="KaiTi" w:hAnsi="KaiTi" w:eastAsia="KaiTi" w:cs="KaiTi"/>
          <w:sz w:val="20"/>
          <w:szCs w:val="20"/>
          <w:spacing w:val="5"/>
        </w:rPr>
        <w:t>其他保障。</w:t>
      </w:r>
    </w:p>
    <w:p>
      <w:pPr>
        <w:spacing w:line="210" w:lineRule="auto"/>
        <w:sectPr>
          <w:type w:val="continuous"/>
          <w:pgSz w:w="11906" w:h="16839"/>
          <w:pgMar w:top="1772" w:right="1489" w:bottom="1572" w:left="1571" w:header="1428" w:footer="1172" w:gutter="0"/>
          <w:cols w:equalWidth="0" w:num="2">
            <w:col w:w="4497" w:space="100"/>
            <w:col w:w="4250" w:space="0"/>
          </w:cols>
        </w:sectPr>
        <w:rPr>
          <w:rFonts w:ascii="KaiTi" w:hAnsi="KaiTi" w:eastAsia="KaiTi" w:cs="KaiTi"/>
          <w:sz w:val="20"/>
          <w:szCs w:val="20"/>
        </w:rPr>
      </w:pPr>
    </w:p>
    <w:p>
      <w:pPr>
        <w:spacing w:before="79"/>
        <w:rPr/>
      </w:pPr>
      <w:r/>
    </w:p>
    <w:p>
      <w:pPr>
        <w:sectPr>
          <w:headerReference w:type="default" r:id="rId561"/>
          <w:footerReference w:type="default" r:id="rId1060"/>
          <w:pgSz w:w="11906" w:h="16839"/>
          <w:pgMar w:top="1766" w:right="1480" w:bottom="1574" w:left="1579" w:header="1428" w:footer="1172" w:gutter="0"/>
          <w:cols w:equalWidth="0" w:num="1">
            <w:col w:w="8846" w:space="0"/>
          </w:cols>
        </w:sectPr>
        <w:rPr/>
      </w:pPr>
    </w:p>
    <w:p>
      <w:pPr>
        <w:pStyle w:val="BodyText"/>
        <w:ind w:left="14" w:right="300" w:firstLine="417"/>
        <w:spacing w:before="41" w:line="369" w:lineRule="auto"/>
        <w:rPr/>
      </w:pPr>
      <w:r>
        <w:rPr>
          <w:spacing w:val="19"/>
        </w:rPr>
        <w:t>公安机关负责维护突发公共事件现场治</w:t>
      </w:r>
      <w:r>
        <w:rPr>
          <w:spacing w:val="-2"/>
        </w:rPr>
        <w:t>安秩序，保证现场医疗卫生救援工作顺利进行。</w:t>
      </w:r>
    </w:p>
    <w:p>
      <w:pPr>
        <w:pStyle w:val="BodyText"/>
        <w:ind w:left="12" w:right="329" w:firstLine="419"/>
        <w:spacing w:before="2" w:line="368" w:lineRule="auto"/>
        <w:rPr/>
      </w:pPr>
      <w:r>
        <w:rPr>
          <w:spacing w:val="19"/>
        </w:rPr>
        <w:t>科技部门组织科研力量开展应急医疗卫</w:t>
      </w:r>
      <w:r>
        <w:rPr>
          <w:spacing w:val="7"/>
        </w:rPr>
        <w:t>生救援技术科研攻关，统一协调、解决检测技</w:t>
      </w:r>
      <w:r>
        <w:rPr>
          <w:spacing w:val="9"/>
        </w:rPr>
        <w:t>术及药物研发和应用中的科技问题。</w:t>
      </w:r>
    </w:p>
    <w:p>
      <w:pPr>
        <w:pStyle w:val="BodyText"/>
        <w:ind w:left="11" w:right="300" w:firstLine="423"/>
        <w:spacing w:before="2" w:line="369" w:lineRule="auto"/>
        <w:rPr/>
      </w:pPr>
      <w:r>
        <w:rPr>
          <w:spacing w:val="19"/>
        </w:rPr>
        <w:t>市场监管部门负责突发公共事件应急医</w:t>
      </w:r>
      <w:r>
        <w:rPr>
          <w:spacing w:val="-2"/>
        </w:rPr>
        <w:t>疗卫生救援药品、医疗器械和设备的监督管理。</w:t>
      </w:r>
    </w:p>
    <w:p>
      <w:pPr>
        <w:pStyle w:val="BodyText"/>
        <w:ind w:left="11" w:right="329" w:firstLine="420"/>
        <w:spacing w:before="2" w:line="365" w:lineRule="auto"/>
        <w:rPr/>
      </w:pPr>
      <w:r>
        <w:rPr>
          <w:spacing w:val="19"/>
        </w:rPr>
        <w:t>驻固部队负责协调军队和武警的医疗卫</w:t>
      </w:r>
      <w:r>
        <w:rPr>
          <w:spacing w:val="7"/>
        </w:rPr>
        <w:t>生技术力量，支持、参与突发公共事件应急医</w:t>
      </w:r>
      <w:r>
        <w:rPr>
          <w:spacing w:val="8"/>
        </w:rPr>
        <w:t>疗卫生救援工作。</w:t>
      </w:r>
    </w:p>
    <w:p>
      <w:pPr>
        <w:ind w:left="435"/>
        <w:spacing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5</w:t>
      </w:r>
      <w:r>
        <w:rPr>
          <w:rFonts w:ascii="Microsoft YaHei" w:hAnsi="Microsoft YaHei" w:eastAsia="Microsoft YaHei" w:cs="Microsoft YaHei"/>
          <w:sz w:val="20"/>
          <w:szCs w:val="20"/>
          <w:spacing w:val="3"/>
        </w:rPr>
        <w:t xml:space="preserve">    </w:t>
      </w:r>
      <w:r>
        <w:rPr>
          <w:rFonts w:ascii="Microsoft YaHei" w:hAnsi="Microsoft YaHei" w:eastAsia="Microsoft YaHei" w:cs="Microsoft YaHei"/>
          <w:sz w:val="20"/>
          <w:szCs w:val="20"/>
          <w:spacing w:val="-3"/>
        </w:rPr>
        <w:t>日常管理</w:t>
      </w:r>
    </w:p>
    <w:p>
      <w:pPr>
        <w:pStyle w:val="BodyText"/>
        <w:ind w:left="12" w:right="309" w:firstLine="426"/>
        <w:spacing w:before="98" w:line="369" w:lineRule="auto"/>
        <w:jc w:val="both"/>
        <w:rPr/>
      </w:pPr>
      <w:r>
        <w:rPr>
          <w:rFonts w:ascii="Times New Roman" w:hAnsi="Times New Roman" w:eastAsia="Times New Roman" w:cs="Times New Roman"/>
          <w:spacing w:val="6"/>
        </w:rPr>
        <w:t>5.</w:t>
      </w:r>
      <w:r>
        <w:rPr>
          <w:rFonts w:ascii="Times New Roman" w:hAnsi="Times New Roman" w:eastAsia="Times New Roman" w:cs="Times New Roman"/>
          <w:spacing w:val="-8"/>
        </w:rPr>
        <w:t xml:space="preserve"> </w:t>
      </w:r>
      <w:r>
        <w:rPr>
          <w:rFonts w:ascii="Times New Roman" w:hAnsi="Times New Roman" w:eastAsia="Times New Roman" w:cs="Times New Roman"/>
          <w:spacing w:val="6"/>
        </w:rPr>
        <w:t>1  </w:t>
      </w:r>
      <w:r>
        <w:rPr>
          <w:rFonts w:ascii="KaiTi" w:hAnsi="KaiTi" w:eastAsia="KaiTi" w:cs="KaiTi"/>
          <w:spacing w:val="6"/>
        </w:rPr>
        <w:t>培训与演练。</w:t>
      </w:r>
      <w:r>
        <w:rPr>
          <w:spacing w:val="6"/>
        </w:rPr>
        <w:t>各级卫生健康行政部门</w:t>
      </w:r>
      <w:r>
        <w:rPr>
          <w:spacing w:val="7"/>
        </w:rPr>
        <w:t>和医疗卫生机构要定期开展预案培训，专家组</w:t>
      </w:r>
      <w:r>
        <w:rPr>
          <w:spacing w:val="7"/>
        </w:rPr>
        <w:t>和应急队伍成员的培训率要到达</w:t>
      </w:r>
      <w:r>
        <w:rPr>
          <w:spacing w:val="-6"/>
        </w:rPr>
        <w:t xml:space="preserve"> </w:t>
      </w:r>
      <w:r>
        <w:rPr>
          <w:rFonts w:ascii="Times New Roman" w:hAnsi="Times New Roman" w:eastAsia="Times New Roman" w:cs="Times New Roman"/>
          <w:spacing w:val="7"/>
        </w:rPr>
        <w:t>100%</w:t>
      </w:r>
      <w:r>
        <w:rPr>
          <w:rFonts w:ascii="Times New Roman" w:hAnsi="Times New Roman" w:eastAsia="Times New Roman" w:cs="Times New Roman"/>
          <w:spacing w:val="-13"/>
        </w:rPr>
        <w:t xml:space="preserve"> </w:t>
      </w:r>
      <w:r>
        <w:rPr>
          <w:spacing w:val="7"/>
        </w:rPr>
        <w:t>；采取</w:t>
      </w:r>
      <w:r>
        <w:rPr>
          <w:spacing w:val="7"/>
        </w:rPr>
        <w:t>定期和不定期相结合形式，组织开展突发公共</w:t>
      </w:r>
      <w:r>
        <w:rPr>
          <w:spacing w:val="8"/>
        </w:rPr>
        <w:t>事件医疗卫生救援综合或单项实战应急演练。</w:t>
      </w:r>
    </w:p>
    <w:p>
      <w:pPr>
        <w:pStyle w:val="BodyText"/>
        <w:ind w:left="12" w:right="329" w:firstLine="421"/>
        <w:spacing w:before="4" w:line="367" w:lineRule="auto"/>
        <w:rPr/>
      </w:pPr>
      <w:r>
        <w:rPr>
          <w:spacing w:val="6"/>
        </w:rPr>
        <w:t>任何需要公众参与的演练，必须报本级政</w:t>
      </w:r>
      <w:r>
        <w:rPr>
          <w:spacing w:val="6"/>
        </w:rPr>
        <w:t>府同意。</w:t>
      </w:r>
    </w:p>
    <w:p>
      <w:pPr>
        <w:pStyle w:val="BodyText"/>
        <w:ind w:left="439"/>
        <w:spacing w:line="273" w:lineRule="exact"/>
        <w:rPr/>
      </w:pPr>
      <w:r>
        <w:rPr>
          <w:rFonts w:ascii="Times New Roman" w:hAnsi="Times New Roman" w:eastAsia="Times New Roman" w:cs="Times New Roman"/>
          <w:spacing w:val="5"/>
          <w:position w:val="1"/>
        </w:rPr>
        <w:t>5.2  </w:t>
      </w:r>
      <w:r>
        <w:rPr>
          <w:rFonts w:ascii="KaiTi" w:hAnsi="KaiTi" w:eastAsia="KaiTi" w:cs="KaiTi"/>
          <w:spacing w:val="5"/>
          <w:position w:val="1"/>
        </w:rPr>
        <w:t>预案管理与更新。</w:t>
      </w:r>
      <w:r>
        <w:rPr>
          <w:spacing w:val="5"/>
          <w:position w:val="1"/>
        </w:rPr>
        <w:t>各县（</w:t>
      </w:r>
      <w:r>
        <w:rPr>
          <w:spacing w:val="-37"/>
          <w:position w:val="1"/>
        </w:rPr>
        <w:t xml:space="preserve"> </w:t>
      </w:r>
      <w:r>
        <w:rPr>
          <w:spacing w:val="5"/>
          <w:position w:val="1"/>
        </w:rPr>
        <w:t>区）可结合</w:t>
      </w:r>
    </w:p>
    <w:p>
      <w:pPr>
        <w:spacing w:line="166" w:lineRule="exact"/>
        <w:rPr/>
      </w:pPr>
      <w:r/>
    </w:p>
    <w:p>
      <w:pPr>
        <w:spacing w:line="14" w:lineRule="auto"/>
        <w:rPr>
          <w:rFonts w:ascii="Arial"/>
          <w:sz w:val="2"/>
        </w:rPr>
      </w:pPr>
      <w:r>
        <w:rPr>
          <w:rFonts w:ascii="Arial" w:hAnsi="Arial" w:eastAsia="Arial" w:cs="Arial"/>
          <w:sz w:val="2"/>
          <w:szCs w:val="2"/>
        </w:rPr>
        <w:br w:type="column"/>
      </w:r>
    </w:p>
    <w:p>
      <w:pPr>
        <w:pStyle w:val="BodyText"/>
        <w:ind w:right="110"/>
        <w:spacing w:before="39" w:line="369" w:lineRule="auto"/>
        <w:rPr/>
      </w:pPr>
      <w:r>
        <w:rPr>
          <w:spacing w:val="18"/>
        </w:rPr>
        <w:t>本地区实际制订本地区的突发公共事件医疗</w:t>
      </w:r>
      <w:r>
        <w:rPr>
          <w:spacing w:val="8"/>
        </w:rPr>
        <w:t>卫生救援应急预案。</w:t>
      </w:r>
    </w:p>
    <w:p>
      <w:pPr>
        <w:pStyle w:val="BodyText"/>
        <w:ind w:right="103" w:firstLine="423"/>
        <w:spacing w:before="1" w:line="368" w:lineRule="auto"/>
        <w:jc w:val="both"/>
        <w:rPr/>
      </w:pPr>
      <w:r>
        <w:rPr>
          <w:spacing w:val="19"/>
        </w:rPr>
        <w:t>根据国家突发公共事件医疗卫生救援应</w:t>
      </w:r>
      <w:r>
        <w:rPr>
          <w:spacing w:val="7"/>
        </w:rPr>
        <w:t>急预案、自治区突发事件应急预案等上位预案</w:t>
      </w:r>
      <w:r>
        <w:rPr>
          <w:spacing w:val="7"/>
        </w:rPr>
        <w:t>的规定变化和本预案实施过程中发现的问题，</w:t>
      </w:r>
      <w:r>
        <w:rPr>
          <w:spacing w:val="8"/>
        </w:rPr>
        <w:t>及时对预案进行修订和完善。</w:t>
      </w:r>
    </w:p>
    <w:p>
      <w:pPr>
        <w:pStyle w:val="BodyText"/>
        <w:ind w:right="100" w:firstLine="427"/>
        <w:spacing w:before="2" w:line="369" w:lineRule="auto"/>
        <w:jc w:val="both"/>
        <w:rPr/>
      </w:pPr>
      <w:r>
        <w:rPr>
          <w:rFonts w:ascii="Times New Roman" w:hAnsi="Times New Roman" w:eastAsia="Times New Roman" w:cs="Times New Roman"/>
          <w:spacing w:val="8"/>
        </w:rPr>
        <w:t>5.3  </w:t>
      </w:r>
      <w:r>
        <w:rPr>
          <w:rFonts w:ascii="KaiTi" w:hAnsi="KaiTi" w:eastAsia="KaiTi" w:cs="KaiTi"/>
          <w:spacing w:val="8"/>
        </w:rPr>
        <w:t>责任与奖惩。</w:t>
      </w:r>
      <w:r>
        <w:rPr>
          <w:spacing w:val="8"/>
        </w:rPr>
        <w:t>县级以上政府、卫生健</w:t>
      </w:r>
      <w:r>
        <w:rPr>
          <w:spacing w:val="18"/>
        </w:rPr>
        <w:t>康行政部门对参与突发公共事件医疗卫生救</w:t>
      </w:r>
      <w:r>
        <w:rPr>
          <w:spacing w:val="7"/>
        </w:rPr>
        <w:t>援工作做出贡献的集体和个人给予表彰奖励；</w:t>
      </w:r>
      <w:r>
        <w:rPr>
          <w:spacing w:val="7"/>
        </w:rPr>
        <w:t>对因公致病、致残、死亡的人员，按照国家有</w:t>
      </w:r>
      <w:r>
        <w:rPr>
          <w:spacing w:val="7"/>
        </w:rPr>
        <w:t>关规定，给予相应的补助和抚恤，对英勇献身</w:t>
      </w:r>
      <w:r>
        <w:rPr>
          <w:spacing w:val="8"/>
        </w:rPr>
        <w:t>的人员追认为烈士。</w:t>
      </w:r>
    </w:p>
    <w:p>
      <w:pPr>
        <w:pStyle w:val="BodyText"/>
        <w:ind w:left="1" w:right="110" w:firstLine="419"/>
        <w:spacing w:before="2" w:line="366" w:lineRule="auto"/>
        <w:jc w:val="both"/>
        <w:rPr/>
      </w:pPr>
      <w:r>
        <w:rPr>
          <w:spacing w:val="7"/>
        </w:rPr>
        <w:t>对失职、渎职的有关责任人，要依据有关</w:t>
      </w:r>
      <w:r>
        <w:rPr>
          <w:spacing w:val="7"/>
        </w:rPr>
        <w:t>规定严肃追究责任，构成玩忽职守罪的，依法</w:t>
      </w:r>
      <w:r>
        <w:rPr>
          <w:spacing w:val="7"/>
        </w:rPr>
        <w:t>追究刑事责任。</w:t>
      </w:r>
    </w:p>
    <w:p>
      <w:pPr>
        <w:ind w:left="425"/>
        <w:spacing w:before="1"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6    附则</w:t>
      </w:r>
    </w:p>
    <w:p>
      <w:pPr>
        <w:pStyle w:val="BodyText"/>
        <w:ind w:right="107" w:firstLine="426"/>
        <w:spacing w:before="99" w:line="367" w:lineRule="auto"/>
        <w:jc w:val="both"/>
        <w:rPr/>
      </w:pPr>
      <w:r>
        <w:rPr>
          <w:rFonts w:ascii="Times New Roman" w:hAnsi="Times New Roman" w:eastAsia="Times New Roman" w:cs="Times New Roman"/>
          <w:spacing w:val="6"/>
        </w:rPr>
        <w:t>6.</w:t>
      </w:r>
      <w:r>
        <w:rPr>
          <w:rFonts w:ascii="Times New Roman" w:hAnsi="Times New Roman" w:eastAsia="Times New Roman" w:cs="Times New Roman"/>
          <w:spacing w:val="-25"/>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5"/>
        </w:rPr>
        <w:t xml:space="preserve">  </w:t>
      </w:r>
      <w:r>
        <w:rPr>
          <w:rFonts w:ascii="KaiTi" w:hAnsi="KaiTi" w:eastAsia="KaiTi" w:cs="KaiTi"/>
          <w:spacing w:val="6"/>
        </w:rPr>
        <w:t>以上、以下、超过的含义。</w:t>
      </w:r>
      <w:r>
        <w:rPr>
          <w:spacing w:val="6"/>
        </w:rPr>
        <w:t>本预案有</w:t>
      </w:r>
      <w:r>
        <w:rPr>
          <w:spacing w:val="7"/>
        </w:rPr>
        <w:t>关数量的表述中，</w:t>
      </w:r>
      <w:r>
        <w:rPr>
          <w:rFonts w:ascii="Times New Roman" w:hAnsi="Times New Roman" w:eastAsia="Times New Roman" w:cs="Times New Roman"/>
          <w:spacing w:val="7"/>
        </w:rPr>
        <w:t>“</w:t>
      </w:r>
      <w:r>
        <w:rPr>
          <w:rFonts w:ascii="Times New Roman" w:hAnsi="Times New Roman" w:eastAsia="Times New Roman" w:cs="Times New Roman"/>
          <w:spacing w:val="-31"/>
        </w:rPr>
        <w:t xml:space="preserve"> </w:t>
      </w:r>
      <w:r>
        <w:rPr>
          <w:spacing w:val="7"/>
        </w:rPr>
        <w:t>以上</w:t>
      </w:r>
      <w:r>
        <w:rPr>
          <w:rFonts w:ascii="Times New Roman" w:hAnsi="Times New Roman" w:eastAsia="Times New Roman" w:cs="Times New Roman"/>
          <w:spacing w:val="7"/>
        </w:rPr>
        <w:t>”</w:t>
      </w:r>
      <w:r>
        <w:rPr>
          <w:spacing w:val="7"/>
        </w:rPr>
        <w:t>含本数，</w:t>
      </w:r>
      <w:r>
        <w:rPr>
          <w:rFonts w:ascii="Times New Roman" w:hAnsi="Times New Roman" w:eastAsia="Times New Roman" w:cs="Times New Roman"/>
          <w:spacing w:val="7"/>
        </w:rPr>
        <w:t>“</w:t>
      </w:r>
      <w:r>
        <w:rPr>
          <w:rFonts w:ascii="Times New Roman" w:hAnsi="Times New Roman" w:eastAsia="Times New Roman" w:cs="Times New Roman"/>
          <w:spacing w:val="-30"/>
        </w:rPr>
        <w:t xml:space="preserve"> </w:t>
      </w:r>
      <w:r>
        <w:rPr>
          <w:spacing w:val="7"/>
        </w:rPr>
        <w:t>以下</w:t>
      </w:r>
      <w:r>
        <w:rPr>
          <w:rFonts w:ascii="Times New Roman" w:hAnsi="Times New Roman" w:eastAsia="Times New Roman" w:cs="Times New Roman"/>
          <w:spacing w:val="7"/>
        </w:rPr>
        <w:t>”</w:t>
      </w:r>
      <w:r>
        <w:rPr>
          <w:spacing w:val="7"/>
        </w:rPr>
        <w:t>不含</w:t>
      </w:r>
      <w:r>
        <w:rPr>
          <w:spacing w:val="8"/>
        </w:rPr>
        <w:t>本数，超过不含本数。</w:t>
      </w:r>
    </w:p>
    <w:p>
      <w:pPr>
        <w:spacing w:line="367" w:lineRule="auto"/>
        <w:sectPr>
          <w:type w:val="continuous"/>
          <w:pgSz w:w="11906" w:h="16839"/>
          <w:pgMar w:top="1766" w:right="1480" w:bottom="1574" w:left="1579" w:header="1428" w:footer="1172" w:gutter="0"/>
          <w:cols w:equalWidth="0" w:num="2">
            <w:col w:w="4489" w:space="100"/>
            <w:col w:w="4258" w:space="0"/>
          </w:cols>
        </w:sectPr>
        <w:rPr/>
      </w:pPr>
    </w:p>
    <w:p>
      <w:pPr>
        <w:spacing w:line="347" w:lineRule="auto"/>
        <w:rPr>
          <w:rFonts w:ascii="Arial"/>
          <w:sz w:val="21"/>
        </w:rPr>
      </w:pPr>
      <w:r>
        <w:drawing>
          <wp:anchor distT="0" distB="0" distL="0" distR="0" simplePos="0" relativeHeight="253911040" behindDoc="0" locked="0" layoutInCell="1" allowOverlap="1">
            <wp:simplePos x="0" y="0"/>
            <wp:positionH relativeFrom="column">
              <wp:posOffset>5393</wp:posOffset>
            </wp:positionH>
            <wp:positionV relativeFrom="paragraph">
              <wp:posOffset>-5051948</wp:posOffset>
            </wp:positionV>
            <wp:extent cx="5579745" cy="7620"/>
            <wp:effectExtent l="0" t="0" r="0" b="0"/>
            <wp:wrapNone/>
            <wp:docPr id="2118" name="IM 2118"/>
            <wp:cNvGraphicFramePr/>
            <a:graphic>
              <a:graphicData uri="http://schemas.openxmlformats.org/drawingml/2006/picture">
                <pic:pic>
                  <pic:nvPicPr>
                    <pic:cNvPr id="2118" name="IM 2118"/>
                    <pic:cNvPicPr/>
                  </pic:nvPicPr>
                  <pic:blipFill>
                    <a:blip r:embed="rId1061"/>
                    <a:stretch>
                      <a:fillRect/>
                    </a:stretch>
                  </pic:blipFill>
                  <pic:spPr>
                    <a:xfrm rot="0">
                      <a:off x="0" y="0"/>
                      <a:ext cx="5579745" cy="7620"/>
                    </a:xfrm>
                    <a:prstGeom prst="rect">
                      <a:avLst/>
                    </a:prstGeom>
                  </pic:spPr>
                </pic:pic>
              </a:graphicData>
            </a:graphic>
          </wp:anchor>
        </w:drawing>
      </w:r>
      <w:r/>
    </w:p>
    <w:p>
      <w:pPr>
        <w:spacing w:line="347" w:lineRule="auto"/>
        <w:rPr>
          <w:rFonts w:ascii="Arial"/>
          <w:sz w:val="21"/>
        </w:rPr>
      </w:pPr>
      <w:r/>
    </w:p>
    <w:p>
      <w:pPr>
        <w:ind w:left="1761"/>
        <w:spacing w:before="185" w:line="215"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7"/>
        </w:rPr>
        <w:t>固原市重污染天气应急预案</w:t>
      </w:r>
    </w:p>
    <w:p>
      <w:pPr>
        <w:spacing w:before="18"/>
        <w:rPr/>
      </w:pPr>
      <w:r/>
    </w:p>
    <w:p>
      <w:pPr>
        <w:spacing w:before="18"/>
        <w:rPr/>
      </w:pPr>
      <w:r/>
    </w:p>
    <w:p>
      <w:pPr>
        <w:sectPr>
          <w:type w:val="continuous"/>
          <w:pgSz w:w="11906" w:h="16839"/>
          <w:pgMar w:top="1766" w:right="1480" w:bottom="1574" w:left="1579" w:header="1428" w:footer="1172" w:gutter="0"/>
          <w:cols w:equalWidth="0" w:num="1">
            <w:col w:w="8846" w:space="0"/>
          </w:cols>
        </w:sectPr>
        <w:rPr/>
      </w:pPr>
    </w:p>
    <w:p>
      <w:pPr>
        <w:ind w:left="449"/>
        <w:spacing w:before="49"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1</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7"/>
        </w:rPr>
        <w:t>总则</w:t>
      </w:r>
    </w:p>
    <w:p>
      <w:pPr>
        <w:pStyle w:val="BodyText"/>
        <w:ind w:left="11" w:right="258" w:firstLine="441"/>
        <w:spacing w:before="109" w:line="354" w:lineRule="auto"/>
        <w:jc w:val="both"/>
        <w:rPr/>
      </w:pPr>
      <w:r>
        <w:rPr>
          <w:rFonts w:ascii="Times New Roman" w:hAnsi="Times New Roman" w:eastAsia="Times New Roman" w:cs="Times New Roman"/>
          <w:spacing w:val="3"/>
        </w:rPr>
        <w:t>1.</w:t>
      </w:r>
      <w:r>
        <w:rPr>
          <w:rFonts w:ascii="Times New Roman" w:hAnsi="Times New Roman" w:eastAsia="Times New Roman" w:cs="Times New Roman"/>
          <w:spacing w:val="-9"/>
        </w:rPr>
        <w:t xml:space="preserve"> </w:t>
      </w:r>
      <w:r>
        <w:rPr>
          <w:rFonts w:ascii="Times New Roman" w:hAnsi="Times New Roman" w:eastAsia="Times New Roman" w:cs="Times New Roman"/>
          <w:spacing w:val="3"/>
        </w:rPr>
        <w:t>1  </w:t>
      </w:r>
      <w:r>
        <w:rPr>
          <w:rFonts w:ascii="KaiTi" w:hAnsi="KaiTi" w:eastAsia="KaiTi" w:cs="KaiTi"/>
          <w:spacing w:val="3"/>
        </w:rPr>
        <w:t>编制</w:t>
      </w:r>
      <w:r>
        <w:rPr>
          <w:rFonts w:ascii="KaiTi" w:hAnsi="KaiTi" w:eastAsia="KaiTi" w:cs="KaiTi"/>
          <w:spacing w:val="-50"/>
        </w:rPr>
        <w:t xml:space="preserve"> </w:t>
      </w:r>
      <w:r>
        <w:rPr>
          <w:rFonts w:ascii="KaiTi" w:hAnsi="KaiTi" w:eastAsia="KaiTi" w:cs="KaiTi"/>
          <w:spacing w:val="3"/>
        </w:rPr>
        <w:t>目的。</w:t>
      </w:r>
      <w:r>
        <w:rPr>
          <w:spacing w:val="3"/>
        </w:rPr>
        <w:t>为了全面贯彻落实《关于</w:t>
      </w:r>
      <w:r>
        <w:rPr>
          <w:spacing w:val="18"/>
        </w:rPr>
        <w:t>加强重污染天气应对夯实应急减排措施的指</w:t>
      </w:r>
      <w:r>
        <w:rPr>
          <w:spacing w:val="7"/>
        </w:rPr>
        <w:t>导意见》（环办大气函〔</w:t>
      </w:r>
      <w:r>
        <w:rPr>
          <w:rFonts w:ascii="Times New Roman" w:hAnsi="Times New Roman" w:eastAsia="Times New Roman" w:cs="Times New Roman"/>
          <w:spacing w:val="7"/>
        </w:rPr>
        <w:t>2019</w:t>
      </w:r>
      <w:r>
        <w:rPr>
          <w:spacing w:val="7"/>
        </w:rPr>
        <w:t>〕</w:t>
      </w:r>
      <w:r>
        <w:rPr>
          <w:rFonts w:ascii="Times New Roman" w:hAnsi="Times New Roman" w:eastAsia="Times New Roman" w:cs="Times New Roman"/>
          <w:spacing w:val="7"/>
        </w:rPr>
        <w:t>648 </w:t>
      </w:r>
      <w:r>
        <w:rPr>
          <w:spacing w:val="7"/>
        </w:rPr>
        <w:t>号</w:t>
      </w:r>
      <w:r>
        <w:rPr>
          <w:spacing w:val="-3"/>
        </w:rPr>
        <w:t>）</w:t>
      </w:r>
      <w:r>
        <w:rPr>
          <w:spacing w:val="-52"/>
        </w:rPr>
        <w:t xml:space="preserve"> </w:t>
      </w:r>
      <w:r>
        <w:rPr>
          <w:spacing w:val="-3"/>
        </w:rPr>
        <w:t>，</w:t>
      </w:r>
      <w:r>
        <w:rPr>
          <w:spacing w:val="7"/>
        </w:rPr>
        <w:t>进</w:t>
      </w:r>
      <w:r>
        <w:rPr>
          <w:spacing w:val="7"/>
        </w:rPr>
        <w:t>一步健全完善重污染天气预警和应急机制，确</w:t>
      </w:r>
      <w:r>
        <w:rPr>
          <w:spacing w:val="7"/>
        </w:rPr>
        <w:t>保重污染天气应急工作高效、有序进行，削减</w:t>
      </w:r>
      <w:r>
        <w:rPr/>
        <w:t>污染峰值，保障公众健康，确保按照国家要求，</w:t>
      </w:r>
      <w:r>
        <w:rPr>
          <w:spacing w:val="6"/>
        </w:rPr>
        <w:t>重污染天气期间二氧化硫（</w:t>
      </w:r>
      <w:r>
        <w:rPr>
          <w:spacing w:val="-45"/>
        </w:rPr>
        <w:t xml:space="preserve"> </w:t>
      </w:r>
      <w:r>
        <w:rPr>
          <w:rFonts w:ascii="Times New Roman" w:hAnsi="Times New Roman" w:eastAsia="Times New Roman" w:cs="Times New Roman"/>
        </w:rPr>
        <w:t>SO</w:t>
      </w:r>
      <w:r>
        <w:rPr>
          <w:rFonts w:ascii="Times New Roman" w:hAnsi="Times New Roman" w:eastAsia="Times New Roman" w:cs="Times New Roman"/>
          <w:sz w:val="13"/>
          <w:szCs w:val="13"/>
          <w:spacing w:val="6"/>
          <w:position w:val="-1"/>
        </w:rPr>
        <w:t>2</w:t>
      </w:r>
      <w:r>
        <w:rPr>
          <w:rFonts w:ascii="Times New Roman" w:hAnsi="Times New Roman" w:eastAsia="Times New Roman" w:cs="Times New Roman"/>
          <w:sz w:val="13"/>
          <w:szCs w:val="13"/>
          <w:spacing w:val="26"/>
          <w:w w:val="101"/>
          <w:position w:val="-1"/>
        </w:rPr>
        <w:t xml:space="preserve"> </w:t>
      </w:r>
      <w:r>
        <w:rPr>
          <w:spacing w:val="6"/>
        </w:rPr>
        <w:t>）、氮氧化物</w:t>
      </w:r>
    </w:p>
    <w:p>
      <w:pPr>
        <w:spacing w:line="14" w:lineRule="auto"/>
        <w:rPr>
          <w:rFonts w:ascii="Arial"/>
          <w:sz w:val="2"/>
        </w:rPr>
      </w:pPr>
      <w:r>
        <w:rPr>
          <w:rFonts w:ascii="Arial" w:hAnsi="Arial" w:eastAsia="Arial" w:cs="Arial"/>
          <w:sz w:val="2"/>
          <w:szCs w:val="2"/>
        </w:rPr>
        <w:br w:type="column"/>
      </w:r>
    </w:p>
    <w:p>
      <w:pPr>
        <w:pStyle w:val="BodyText"/>
        <w:ind w:left="6" w:hanging="7"/>
        <w:spacing w:before="57" w:line="357" w:lineRule="auto"/>
        <w:jc w:val="both"/>
        <w:rPr/>
      </w:pPr>
      <w:r>
        <w:rPr>
          <w:spacing w:val="12"/>
        </w:rPr>
        <w:t>（</w:t>
      </w:r>
      <w:r>
        <w:rPr>
          <w:rFonts w:ascii="Times New Roman" w:hAnsi="Times New Roman" w:eastAsia="Times New Roman" w:cs="Times New Roman"/>
        </w:rPr>
        <w:t>NOx</w:t>
      </w:r>
      <w:r>
        <w:rPr>
          <w:spacing w:val="12"/>
        </w:rPr>
        <w:t>）</w:t>
      </w:r>
      <w:r>
        <w:rPr>
          <w:spacing w:val="-52"/>
        </w:rPr>
        <w:t xml:space="preserve"> </w:t>
      </w:r>
      <w:r>
        <w:rPr>
          <w:spacing w:val="12"/>
        </w:rPr>
        <w:t>、颗粒物（</w:t>
      </w:r>
      <w:r>
        <w:rPr>
          <w:rFonts w:ascii="Times New Roman" w:hAnsi="Times New Roman" w:eastAsia="Times New Roman" w:cs="Times New Roman"/>
        </w:rPr>
        <w:t>PM</w:t>
      </w:r>
      <w:r>
        <w:rPr>
          <w:rFonts w:ascii="Times New Roman" w:hAnsi="Times New Roman" w:eastAsia="Times New Roman" w:cs="Times New Roman"/>
          <w:spacing w:val="-13"/>
        </w:rPr>
        <w:t xml:space="preserve"> </w:t>
      </w:r>
      <w:r>
        <w:rPr>
          <w:spacing w:val="12"/>
        </w:rPr>
        <w:t>）在黄色、橙色和红</w:t>
      </w:r>
      <w:r>
        <w:rPr>
          <w:spacing w:val="18"/>
        </w:rPr>
        <w:t>色预警期间减排比例分别达到全社会占比的</w:t>
      </w:r>
      <w:r>
        <w:rPr>
          <w:spacing w:val="1"/>
        </w:rPr>
        <w:t xml:space="preserve"> </w:t>
      </w:r>
      <w:r>
        <w:rPr>
          <w:rFonts w:ascii="Times New Roman" w:hAnsi="Times New Roman" w:eastAsia="Times New Roman" w:cs="Times New Roman"/>
          <w:spacing w:val="7"/>
        </w:rPr>
        <w:t>10%</w:t>
      </w:r>
      <w:r>
        <w:rPr>
          <w:rFonts w:ascii="Times New Roman" w:hAnsi="Times New Roman" w:eastAsia="Times New Roman" w:cs="Times New Roman"/>
          <w:spacing w:val="-27"/>
        </w:rPr>
        <w:t xml:space="preserve"> </w:t>
      </w:r>
      <w:r>
        <w:rPr>
          <w:spacing w:val="7"/>
        </w:rPr>
        <w:t>、</w:t>
      </w:r>
      <w:r>
        <w:rPr>
          <w:rFonts w:ascii="Times New Roman" w:hAnsi="Times New Roman" w:eastAsia="Times New Roman" w:cs="Times New Roman"/>
          <w:spacing w:val="7"/>
        </w:rPr>
        <w:t>20%</w:t>
      </w:r>
      <w:r>
        <w:rPr>
          <w:spacing w:val="7"/>
        </w:rPr>
        <w:t>和</w:t>
      </w:r>
      <w:r>
        <w:rPr>
          <w:spacing w:val="-37"/>
        </w:rPr>
        <w:t xml:space="preserve"> </w:t>
      </w:r>
      <w:r>
        <w:rPr>
          <w:rFonts w:ascii="Times New Roman" w:hAnsi="Times New Roman" w:eastAsia="Times New Roman" w:cs="Times New Roman"/>
          <w:spacing w:val="7"/>
        </w:rPr>
        <w:t>30%</w:t>
      </w:r>
      <w:r>
        <w:rPr>
          <w:spacing w:val="7"/>
        </w:rPr>
        <w:t>以上，建立健全重污染天气</w:t>
      </w:r>
      <w:r>
        <w:rPr>
          <w:spacing w:val="7"/>
        </w:rPr>
        <w:t>应急工作机制，及时应对重污染天气，最大限</w:t>
      </w:r>
      <w:r>
        <w:rPr>
          <w:spacing w:val="7"/>
        </w:rPr>
        <w:t>度降低重污染天气造成的危害，保障人民群众</w:t>
      </w:r>
      <w:r>
        <w:rPr>
          <w:spacing w:val="11"/>
        </w:rPr>
        <w:t>生命健康。结合《固原市政府关于印发</w:t>
      </w:r>
      <w:r>
        <w:rPr>
          <w:rFonts w:ascii="Times New Roman" w:hAnsi="Times New Roman" w:eastAsia="Times New Roman" w:cs="Times New Roman"/>
          <w:spacing w:val="11"/>
        </w:rPr>
        <w:t>&lt;</w:t>
      </w:r>
      <w:r>
        <w:rPr>
          <w:spacing w:val="11"/>
        </w:rPr>
        <w:t>打赢</w:t>
      </w:r>
      <w:r>
        <w:rPr>
          <w:spacing w:val="6"/>
        </w:rPr>
        <w:t>蓝天保卫战三年行动计划（</w:t>
      </w:r>
      <w:r>
        <w:rPr>
          <w:rFonts w:ascii="Times New Roman" w:hAnsi="Times New Roman" w:eastAsia="Times New Roman" w:cs="Times New Roman"/>
          <w:spacing w:val="6"/>
        </w:rPr>
        <w:t>2018 </w:t>
      </w:r>
      <w:r>
        <w:rPr>
          <w:spacing w:val="6"/>
        </w:rPr>
        <w:t>年</w:t>
      </w:r>
      <w:r>
        <w:rPr>
          <w:rFonts w:ascii="Times New Roman" w:hAnsi="Times New Roman" w:eastAsia="Times New Roman" w:cs="Times New Roman"/>
          <w:spacing w:val="6"/>
        </w:rPr>
        <w:t>—2020 </w:t>
      </w:r>
      <w:r>
        <w:rPr>
          <w:spacing w:val="6"/>
        </w:rPr>
        <w:t>年）</w:t>
      </w:r>
      <w:r>
        <w:rPr>
          <w:spacing w:val="1"/>
        </w:rPr>
        <w:t>实施方案</w:t>
      </w:r>
      <w:r>
        <w:rPr>
          <w:rFonts w:ascii="Times New Roman" w:hAnsi="Times New Roman" w:eastAsia="Times New Roman" w:cs="Times New Roman"/>
          <w:spacing w:val="1"/>
        </w:rPr>
        <w:t>&gt;</w:t>
      </w:r>
      <w:r>
        <w:rPr>
          <w:rFonts w:ascii="Times New Roman" w:hAnsi="Times New Roman" w:eastAsia="Times New Roman" w:cs="Times New Roman"/>
          <w:spacing w:val="-28"/>
        </w:rPr>
        <w:t xml:space="preserve"> </w:t>
      </w:r>
      <w:r>
        <w:rPr>
          <w:spacing w:val="1"/>
        </w:rPr>
        <w:t>的通知》（</w:t>
      </w:r>
      <w:r>
        <w:rPr>
          <w:spacing w:val="-44"/>
        </w:rPr>
        <w:t xml:space="preserve"> </w:t>
      </w:r>
      <w:r>
        <w:rPr>
          <w:spacing w:val="1"/>
        </w:rPr>
        <w:t>固政发〔</w:t>
      </w:r>
      <w:r>
        <w:rPr>
          <w:rFonts w:ascii="Times New Roman" w:hAnsi="Times New Roman" w:eastAsia="Times New Roman" w:cs="Times New Roman"/>
          <w:spacing w:val="1"/>
        </w:rPr>
        <w:t>2018</w:t>
      </w:r>
      <w:r>
        <w:rPr>
          <w:spacing w:val="1"/>
        </w:rPr>
        <w:t>〕</w:t>
      </w:r>
      <w:r>
        <w:rPr>
          <w:rFonts w:ascii="Times New Roman" w:hAnsi="Times New Roman" w:eastAsia="Times New Roman" w:cs="Times New Roman"/>
          <w:spacing w:val="1"/>
        </w:rPr>
        <w:t>5</w:t>
      </w:r>
      <w:r>
        <w:rPr>
          <w:rFonts w:ascii="Times New Roman" w:hAnsi="Times New Roman" w:eastAsia="Times New Roman" w:cs="Times New Roman"/>
        </w:rPr>
        <w:t>4 </w:t>
      </w:r>
      <w:r>
        <w:rPr/>
        <w:t>号</w:t>
      </w:r>
      <w:r>
        <w:rPr>
          <w:spacing w:val="-22"/>
        </w:rPr>
        <w:t>），</w:t>
      </w:r>
    </w:p>
    <w:p>
      <w:pPr>
        <w:spacing w:line="357" w:lineRule="auto"/>
        <w:sectPr>
          <w:type w:val="continuous"/>
          <w:pgSz w:w="11906" w:h="16839"/>
          <w:pgMar w:top="1766" w:right="1480" w:bottom="1574" w:left="1579" w:header="1428" w:footer="1172" w:gutter="0"/>
          <w:cols w:equalWidth="0" w:num="2">
            <w:col w:w="4482" w:space="100"/>
            <w:col w:w="4265" w:space="0"/>
          </w:cols>
        </w:sectPr>
        <w:rPr/>
      </w:pPr>
    </w:p>
    <w:p>
      <w:pPr>
        <w:spacing w:before="60"/>
        <w:rPr/>
      </w:pPr>
      <w:r>
        <w:drawing>
          <wp:anchor distT="0" distB="0" distL="0" distR="0" simplePos="0" relativeHeight="253925376"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124" name="IM 2124"/>
            <wp:cNvGraphicFramePr/>
            <a:graphic>
              <a:graphicData uri="http://schemas.openxmlformats.org/drawingml/2006/picture">
                <pic:pic>
                  <pic:nvPicPr>
                    <pic:cNvPr id="2124" name="IM 2124"/>
                    <pic:cNvPicPr/>
                  </pic:nvPicPr>
                  <pic:blipFill>
                    <a:blip r:embed="rId1064"/>
                    <a:stretch>
                      <a:fillRect/>
                    </a:stretch>
                  </pic:blipFill>
                  <pic:spPr>
                    <a:xfrm rot="0">
                      <a:off x="0" y="0"/>
                      <a:ext cx="5579745" cy="7620"/>
                    </a:xfrm>
                    <a:prstGeom prst="rect">
                      <a:avLst/>
                    </a:prstGeom>
                  </pic:spPr>
                </pic:pic>
              </a:graphicData>
            </a:graphic>
          </wp:anchor>
        </w:drawing>
      </w:r>
      <w:r/>
    </w:p>
    <w:p>
      <w:pPr>
        <w:sectPr>
          <w:headerReference w:type="default" r:id="rId1062"/>
          <w:footerReference w:type="default" r:id="rId1063"/>
          <w:pgSz w:w="11906" w:h="16839"/>
          <w:pgMar w:top="1772" w:right="1489" w:bottom="1572" w:left="1571" w:header="1428" w:footer="1172" w:gutter="0"/>
          <w:cols w:equalWidth="0" w:num="1">
            <w:col w:w="8846" w:space="0"/>
          </w:cols>
        </w:sectPr>
        <w:rPr/>
      </w:pPr>
    </w:p>
    <w:p>
      <w:pPr>
        <w:pStyle w:val="BodyText"/>
        <w:ind w:left="22"/>
        <w:spacing w:before="59" w:line="218" w:lineRule="auto"/>
        <w:rPr/>
      </w:pPr>
      <w:r>
        <w:rPr>
          <w:spacing w:val="7"/>
        </w:rPr>
        <w:t>制定本预案。</w:t>
      </w:r>
    </w:p>
    <w:p>
      <w:pPr>
        <w:pStyle w:val="BodyText"/>
        <w:ind w:left="13" w:right="304" w:firstLine="448"/>
        <w:spacing w:before="152" w:line="358" w:lineRule="auto"/>
        <w:rPr/>
      </w:pPr>
      <w:r>
        <w:rPr>
          <w:rFonts w:ascii="Times New Roman" w:hAnsi="Times New Roman" w:eastAsia="Times New Roman" w:cs="Times New Roman"/>
          <w:spacing w:val="7"/>
        </w:rPr>
        <w:t>1.2  </w:t>
      </w:r>
      <w:r>
        <w:rPr>
          <w:rFonts w:ascii="KaiTi" w:hAnsi="KaiTi" w:eastAsia="KaiTi" w:cs="KaiTi"/>
          <w:spacing w:val="7"/>
        </w:rPr>
        <w:t>编制依据。</w:t>
      </w:r>
      <w:r>
        <w:rPr>
          <w:spacing w:val="7"/>
        </w:rPr>
        <w:t>《中华人民共和国环境保</w:t>
      </w:r>
      <w:r>
        <w:rPr>
          <w:spacing w:val="-3"/>
        </w:rPr>
        <w:t>护法》《中华人民共和国突发事件应对法》《中</w:t>
      </w:r>
      <w:r>
        <w:rPr>
          <w:spacing w:val="7"/>
        </w:rPr>
        <w:t>华人民共和国大气污染防治法》《生产安全事</w:t>
      </w:r>
      <w:r>
        <w:rPr>
          <w:spacing w:val="7"/>
        </w:rPr>
        <w:t>故应急条例》《生产安全事故应急预案管理办</w:t>
      </w:r>
      <w:r>
        <w:rPr>
          <w:spacing w:val="4"/>
        </w:rPr>
        <w:t>法》《打赢蓝天保卫战三年行动计划》（</w:t>
      </w:r>
      <w:r>
        <w:rPr>
          <w:spacing w:val="-27"/>
        </w:rPr>
        <w:t xml:space="preserve"> </w:t>
      </w:r>
      <w:r>
        <w:rPr>
          <w:spacing w:val="4"/>
        </w:rPr>
        <w:t>国发</w:t>
      </w:r>
      <w:r>
        <w:rPr>
          <w:spacing w:val="4"/>
        </w:rPr>
        <w:t>〔</w:t>
      </w:r>
      <w:r>
        <w:rPr>
          <w:rFonts w:ascii="Times New Roman" w:hAnsi="Times New Roman" w:eastAsia="Times New Roman" w:cs="Times New Roman"/>
          <w:spacing w:val="4"/>
        </w:rPr>
        <w:t>2018</w:t>
      </w:r>
      <w:r>
        <w:rPr>
          <w:spacing w:val="4"/>
        </w:rPr>
        <w:t>〕</w:t>
      </w:r>
      <w:r>
        <w:rPr>
          <w:rFonts w:ascii="Times New Roman" w:hAnsi="Times New Roman" w:eastAsia="Times New Roman" w:cs="Times New Roman"/>
          <w:spacing w:val="4"/>
        </w:rPr>
        <w:t>22 </w:t>
      </w:r>
      <w:r>
        <w:rPr>
          <w:spacing w:val="4"/>
        </w:rPr>
        <w:t>号）《宁夏回族自治区大气污染防</w:t>
      </w:r>
      <w:r>
        <w:rPr>
          <w:spacing w:val="4"/>
        </w:rPr>
        <w:t>治条例》《</w:t>
      </w:r>
      <w:r>
        <w:rPr>
          <w:spacing w:val="-27"/>
        </w:rPr>
        <w:t xml:space="preserve"> </w:t>
      </w:r>
      <w:r>
        <w:rPr>
          <w:spacing w:val="4"/>
        </w:rPr>
        <w:t>自治区政府关于印发打赢蓝天保卫</w:t>
      </w:r>
      <w:r>
        <w:rPr>
          <w:spacing w:val="5"/>
        </w:rPr>
        <w:t>战三年行动计划的通知》（宁政发〔</w:t>
      </w:r>
      <w:r>
        <w:rPr>
          <w:rFonts w:ascii="Times New Roman" w:hAnsi="Times New Roman" w:eastAsia="Times New Roman" w:cs="Times New Roman"/>
          <w:spacing w:val="5"/>
        </w:rPr>
        <w:t>2018</w:t>
      </w:r>
      <w:r>
        <w:rPr>
          <w:rFonts w:ascii="Times New Roman" w:hAnsi="Times New Roman" w:eastAsia="Times New Roman" w:cs="Times New Roman"/>
          <w:spacing w:val="-11"/>
        </w:rPr>
        <w:t xml:space="preserve"> </w:t>
      </w:r>
      <w:r>
        <w:rPr>
          <w:spacing w:val="5"/>
        </w:rPr>
        <w:t>〕</w:t>
      </w:r>
      <w:r>
        <w:rPr>
          <w:rFonts w:ascii="Times New Roman" w:hAnsi="Times New Roman" w:eastAsia="Times New Roman" w:cs="Times New Roman"/>
          <w:spacing w:val="5"/>
        </w:rPr>
        <w:t>34</w:t>
      </w:r>
      <w:r>
        <w:rPr>
          <w:spacing w:val="7"/>
        </w:rPr>
        <w:t>号）《固原市烟花爆竹燃放管理条例》《固原</w:t>
      </w:r>
      <w:r>
        <w:rPr>
          <w:spacing w:val="7"/>
        </w:rPr>
        <w:t>市区扬尘污染防治管理办法（试行）》《关于</w:t>
      </w:r>
      <w:r>
        <w:rPr>
          <w:spacing w:val="7"/>
        </w:rPr>
        <w:t>进一步加强大气污染防治的决议》《固原市政</w:t>
      </w:r>
      <w:r>
        <w:rPr>
          <w:spacing w:val="21"/>
        </w:rPr>
        <w:t>府关于印发</w:t>
      </w:r>
      <w:r>
        <w:rPr>
          <w:rFonts w:ascii="Times New Roman" w:hAnsi="Times New Roman" w:eastAsia="Times New Roman" w:cs="Times New Roman"/>
          <w:spacing w:val="21"/>
        </w:rPr>
        <w:t>&lt;</w:t>
      </w:r>
      <w:r>
        <w:rPr>
          <w:rFonts w:ascii="Times New Roman" w:hAnsi="Times New Roman" w:eastAsia="Times New Roman" w:cs="Times New Roman"/>
          <w:spacing w:val="-14"/>
        </w:rPr>
        <w:t xml:space="preserve"> </w:t>
      </w:r>
      <w:r>
        <w:rPr>
          <w:spacing w:val="21"/>
        </w:rPr>
        <w:t>打赢蓝天保卫战三年行动计划</w:t>
      </w:r>
      <w:r>
        <w:rPr>
          <w:spacing w:val="1"/>
        </w:rPr>
        <w:t>（</w:t>
      </w:r>
      <w:r>
        <w:rPr>
          <w:rFonts w:ascii="Times New Roman" w:hAnsi="Times New Roman" w:eastAsia="Times New Roman" w:cs="Times New Roman"/>
          <w:spacing w:val="1"/>
        </w:rPr>
        <w:t>2018 </w:t>
      </w:r>
      <w:r>
        <w:rPr>
          <w:spacing w:val="1"/>
        </w:rPr>
        <w:t>年</w:t>
      </w:r>
      <w:r>
        <w:rPr>
          <w:rFonts w:ascii="Times New Roman" w:hAnsi="Times New Roman" w:eastAsia="Times New Roman" w:cs="Times New Roman"/>
          <w:spacing w:val="1"/>
        </w:rPr>
        <w:t>—2020</w:t>
      </w:r>
      <w:r>
        <w:rPr>
          <w:rFonts w:ascii="Times New Roman" w:hAnsi="Times New Roman" w:eastAsia="Times New Roman" w:cs="Times New Roman"/>
          <w:spacing w:val="33"/>
          <w:w w:val="101"/>
        </w:rPr>
        <w:t xml:space="preserve"> </w:t>
      </w:r>
      <w:r>
        <w:rPr>
          <w:spacing w:val="1"/>
        </w:rPr>
        <w:t>年）实施方案</w:t>
      </w:r>
      <w:r>
        <w:rPr>
          <w:rFonts w:ascii="Times New Roman" w:hAnsi="Times New Roman" w:eastAsia="Times New Roman" w:cs="Times New Roman"/>
          <w:spacing w:val="1"/>
        </w:rPr>
        <w:t>&gt;</w:t>
      </w:r>
      <w:r>
        <w:rPr>
          <w:rFonts w:ascii="Times New Roman" w:hAnsi="Times New Roman" w:eastAsia="Times New Roman" w:cs="Times New Roman"/>
          <w:spacing w:val="-27"/>
        </w:rPr>
        <w:t xml:space="preserve"> </w:t>
      </w:r>
      <w:r>
        <w:rPr>
          <w:spacing w:val="1"/>
        </w:rPr>
        <w:t>的通知》（</w:t>
      </w:r>
      <w:r>
        <w:rPr>
          <w:spacing w:val="-42"/>
        </w:rPr>
        <w:t xml:space="preserve"> </w:t>
      </w:r>
      <w:r>
        <w:rPr>
          <w:spacing w:val="1"/>
        </w:rPr>
        <w:t>固</w:t>
      </w:r>
      <w:r>
        <w:rPr>
          <w:spacing w:val="10"/>
        </w:rPr>
        <w:t>政发〔</w:t>
      </w:r>
      <w:r>
        <w:rPr>
          <w:rFonts w:ascii="Times New Roman" w:hAnsi="Times New Roman" w:eastAsia="Times New Roman" w:cs="Times New Roman"/>
          <w:spacing w:val="10"/>
        </w:rPr>
        <w:t>2018 </w:t>
      </w:r>
      <w:r>
        <w:rPr>
          <w:spacing w:val="10"/>
        </w:rPr>
        <w:t>〕</w:t>
      </w:r>
      <w:r>
        <w:rPr>
          <w:rFonts w:ascii="Times New Roman" w:hAnsi="Times New Roman" w:eastAsia="Times New Roman" w:cs="Times New Roman"/>
          <w:spacing w:val="10"/>
        </w:rPr>
        <w:t>54</w:t>
      </w:r>
      <w:r>
        <w:rPr>
          <w:rFonts w:ascii="Times New Roman" w:hAnsi="Times New Roman" w:eastAsia="Times New Roman" w:cs="Times New Roman"/>
          <w:spacing w:val="20"/>
          <w:w w:val="101"/>
        </w:rPr>
        <w:t xml:space="preserve"> </w:t>
      </w:r>
      <w:r>
        <w:rPr>
          <w:spacing w:val="10"/>
        </w:rPr>
        <w:t>号）《固原市政府办公厅关</w:t>
      </w:r>
      <w:r>
        <w:rPr>
          <w:spacing w:val="19"/>
        </w:rPr>
        <w:t>于印发固原市重污染天气应急预案的通知》</w:t>
      </w:r>
      <w:r>
        <w:rPr>
          <w:spacing w:val="2"/>
        </w:rPr>
        <w:t xml:space="preserve"> </w:t>
      </w:r>
      <w:r>
        <w:rPr>
          <w:spacing w:val="9"/>
        </w:rPr>
        <w:t>（</w:t>
      </w:r>
      <w:r>
        <w:rPr>
          <w:spacing w:val="-36"/>
        </w:rPr>
        <w:t xml:space="preserve"> </w:t>
      </w:r>
      <w:r>
        <w:rPr>
          <w:spacing w:val="9"/>
        </w:rPr>
        <w:t>固政办发〔</w:t>
      </w:r>
      <w:r>
        <w:rPr>
          <w:rFonts w:ascii="Times New Roman" w:hAnsi="Times New Roman" w:eastAsia="Times New Roman" w:cs="Times New Roman"/>
          <w:spacing w:val="9"/>
        </w:rPr>
        <w:t>2017</w:t>
      </w:r>
      <w:r>
        <w:rPr>
          <w:rFonts w:ascii="Times New Roman" w:hAnsi="Times New Roman" w:eastAsia="Times New Roman" w:cs="Times New Roman"/>
          <w:spacing w:val="-23"/>
        </w:rPr>
        <w:t xml:space="preserve"> </w:t>
      </w:r>
      <w:r>
        <w:rPr>
          <w:spacing w:val="9"/>
        </w:rPr>
        <w:t>〕</w:t>
      </w:r>
      <w:r>
        <w:rPr>
          <w:rFonts w:ascii="Times New Roman" w:hAnsi="Times New Roman" w:eastAsia="Times New Roman" w:cs="Times New Roman"/>
          <w:spacing w:val="9"/>
        </w:rPr>
        <w:t>42 </w:t>
      </w:r>
      <w:r>
        <w:rPr>
          <w:spacing w:val="9"/>
        </w:rPr>
        <w:t>号）《固原市防灾减</w:t>
      </w:r>
      <w:r>
        <w:rPr>
          <w:spacing w:val="18"/>
        </w:rPr>
        <w:t>灾救灾责任规定》《固原市突发事件总体应</w:t>
      </w:r>
      <w:r>
        <w:rPr>
          <w:spacing w:val="11"/>
        </w:rPr>
        <w:t>急预案》等。</w:t>
      </w:r>
    </w:p>
    <w:p>
      <w:pPr>
        <w:pStyle w:val="BodyText"/>
        <w:ind w:left="37" w:right="314" w:firstLine="424"/>
        <w:spacing w:before="120" w:line="292" w:lineRule="auto"/>
        <w:rPr/>
      </w:pPr>
      <w:r>
        <w:rPr>
          <w:rFonts w:ascii="Times New Roman" w:hAnsi="Times New Roman" w:eastAsia="Times New Roman" w:cs="Times New Roman"/>
          <w:spacing w:val="7"/>
        </w:rPr>
        <w:t>1.3  </w:t>
      </w:r>
      <w:r>
        <w:rPr>
          <w:rFonts w:ascii="KaiTi" w:hAnsi="KaiTi" w:eastAsia="KaiTi" w:cs="KaiTi"/>
          <w:spacing w:val="7"/>
        </w:rPr>
        <w:t>适用范围。</w:t>
      </w:r>
      <w:r>
        <w:rPr>
          <w:spacing w:val="7"/>
        </w:rPr>
        <w:t>本预案适用于固原市行政</w:t>
      </w:r>
      <w:r>
        <w:rPr>
          <w:spacing w:val="8"/>
        </w:rPr>
        <w:t>区域内发生重污染天气的预警和应急响应。</w:t>
      </w:r>
    </w:p>
    <w:p>
      <w:pPr>
        <w:pStyle w:val="BodyText"/>
        <w:ind w:left="13" w:right="299" w:firstLine="427"/>
        <w:spacing w:before="150" w:line="358" w:lineRule="auto"/>
        <w:jc w:val="both"/>
        <w:rPr/>
      </w:pPr>
      <w:r>
        <w:rPr>
          <w:spacing w:val="7"/>
        </w:rPr>
        <w:t>本预案所称重污染天气，是指根据《环境</w:t>
      </w:r>
      <w:r>
        <w:rPr>
          <w:spacing w:val="13"/>
        </w:rPr>
        <w:t>空气质量指数（</w:t>
      </w:r>
      <w:r>
        <w:rPr>
          <w:spacing w:val="-50"/>
        </w:rPr>
        <w:t xml:space="preserve"> </w:t>
      </w:r>
      <w:r>
        <w:rPr>
          <w:rFonts w:ascii="Times New Roman" w:hAnsi="Times New Roman" w:eastAsia="Times New Roman" w:cs="Times New Roman"/>
        </w:rPr>
        <w:t>AQI</w:t>
      </w:r>
      <w:r>
        <w:rPr>
          <w:rFonts w:ascii="Times New Roman" w:hAnsi="Times New Roman" w:eastAsia="Times New Roman" w:cs="Times New Roman"/>
          <w:spacing w:val="21"/>
          <w:w w:val="101"/>
        </w:rPr>
        <w:t xml:space="preserve"> </w:t>
      </w:r>
      <w:r>
        <w:rPr>
          <w:spacing w:val="13"/>
        </w:rPr>
        <w:t>）技术规定（试行）</w:t>
      </w:r>
      <w:r>
        <w:rPr>
          <w:spacing w:val="-30"/>
        </w:rPr>
        <w:t xml:space="preserve"> </w:t>
      </w:r>
      <w:r>
        <w:rPr>
          <w:spacing w:val="13"/>
        </w:rPr>
        <w:t>》</w:t>
      </w:r>
      <w:r>
        <w:rPr/>
        <w:t xml:space="preserve"> </w:t>
      </w:r>
      <w:r>
        <w:rPr>
          <w:spacing w:val="10"/>
        </w:rPr>
        <w:t>（</w:t>
      </w:r>
      <w:r>
        <w:rPr>
          <w:rFonts w:ascii="Times New Roman" w:hAnsi="Times New Roman" w:eastAsia="Times New Roman" w:cs="Times New Roman"/>
        </w:rPr>
        <w:t>HJ</w:t>
      </w:r>
      <w:r>
        <w:rPr>
          <w:rFonts w:ascii="Times New Roman" w:hAnsi="Times New Roman" w:eastAsia="Times New Roman" w:cs="Times New Roman"/>
          <w:spacing w:val="10"/>
        </w:rPr>
        <w:t>633—2012</w:t>
      </w:r>
      <w:r>
        <w:rPr>
          <w:rFonts w:ascii="Times New Roman" w:hAnsi="Times New Roman" w:eastAsia="Times New Roman" w:cs="Times New Roman"/>
          <w:spacing w:val="-16"/>
        </w:rPr>
        <w:t xml:space="preserve"> </w:t>
      </w:r>
      <w:r>
        <w:rPr>
          <w:spacing w:val="14"/>
        </w:rPr>
        <w:t>），</w:t>
      </w:r>
      <w:r>
        <w:rPr>
          <w:spacing w:val="10"/>
        </w:rPr>
        <w:t>空气质量指数（</w:t>
      </w:r>
      <w:r>
        <w:rPr>
          <w:rFonts w:ascii="Times New Roman" w:hAnsi="Times New Roman" w:eastAsia="Times New Roman" w:cs="Times New Roman"/>
        </w:rPr>
        <w:t>AQI</w:t>
      </w:r>
      <w:r>
        <w:rPr>
          <w:rFonts w:ascii="Times New Roman" w:hAnsi="Times New Roman" w:eastAsia="Times New Roman" w:cs="Times New Roman"/>
          <w:spacing w:val="-15"/>
        </w:rPr>
        <w:t xml:space="preserve"> </w:t>
      </w:r>
      <w:r>
        <w:rPr>
          <w:spacing w:val="10"/>
        </w:rPr>
        <w:t>）级</w:t>
      </w:r>
      <w:r>
        <w:rPr>
          <w:spacing w:val="7"/>
        </w:rPr>
        <w:t>别达到五级（重度污染）及以上污染程度的大</w:t>
      </w:r>
      <w:r>
        <w:rPr>
          <w:spacing w:val="7"/>
        </w:rPr>
        <w:t>气污染。对因沙尘暴和臭氧形成的重度污染不</w:t>
      </w:r>
      <w:r>
        <w:rPr>
          <w:spacing w:val="8"/>
        </w:rPr>
        <w:t>执行本预案。</w:t>
      </w:r>
    </w:p>
    <w:p>
      <w:pPr>
        <w:pStyle w:val="BodyText"/>
        <w:ind w:left="20" w:right="314" w:firstLine="441"/>
        <w:spacing w:before="38" w:line="361" w:lineRule="auto"/>
        <w:jc w:val="both"/>
        <w:rPr/>
      </w:pPr>
      <w:r>
        <w:rPr>
          <w:rFonts w:ascii="Times New Roman" w:hAnsi="Times New Roman" w:eastAsia="Times New Roman" w:cs="Times New Roman"/>
          <w:spacing w:val="7"/>
        </w:rPr>
        <w:t>1.4  </w:t>
      </w:r>
      <w:r>
        <w:rPr>
          <w:rFonts w:ascii="KaiTi" w:hAnsi="KaiTi" w:eastAsia="KaiTi" w:cs="KaiTi"/>
          <w:spacing w:val="7"/>
        </w:rPr>
        <w:t>预案体系。</w:t>
      </w:r>
      <w:r>
        <w:rPr>
          <w:spacing w:val="7"/>
        </w:rPr>
        <w:t>市重污染天气应急预案体</w:t>
      </w:r>
      <w:r>
        <w:rPr>
          <w:spacing w:val="7"/>
        </w:rPr>
        <w:t>系包括：市重污染天气应急预案、市重污染天</w:t>
      </w:r>
      <w:r>
        <w:rPr>
          <w:spacing w:val="7"/>
        </w:rPr>
        <w:t>气应急指挥部各成员单位、应急指挥部各成员</w:t>
      </w:r>
      <w:r>
        <w:rPr>
          <w:spacing w:val="18"/>
        </w:rPr>
        <w:t>单位重污染天气应急保障实施方案及重点企</w:t>
      </w:r>
      <w:r>
        <w:rPr>
          <w:spacing w:val="9"/>
        </w:rPr>
        <w:t>业重污染天气应急响应操作方案。</w:t>
      </w:r>
    </w:p>
    <w:p>
      <w:pPr>
        <w:ind w:left="443"/>
        <w:spacing w:before="6" w:line="17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2</w:t>
      </w:r>
      <w:r>
        <w:rPr>
          <w:rFonts w:ascii="Microsoft YaHei" w:hAnsi="Microsoft YaHei" w:eastAsia="Microsoft YaHei" w:cs="Microsoft YaHei"/>
          <w:sz w:val="20"/>
          <w:szCs w:val="20"/>
          <w:spacing w:val="14"/>
        </w:rPr>
        <w:t xml:space="preserve">   </w:t>
      </w:r>
      <w:r>
        <w:rPr>
          <w:rFonts w:ascii="Microsoft YaHei" w:hAnsi="Microsoft YaHei" w:eastAsia="Microsoft YaHei" w:cs="Microsoft YaHei"/>
          <w:sz w:val="20"/>
          <w:szCs w:val="20"/>
          <w:spacing w:val="7"/>
        </w:rPr>
        <w:t>组织机构构成与职责</w:t>
      </w:r>
    </w:p>
    <w:p>
      <w:pPr>
        <w:spacing w:line="14" w:lineRule="auto"/>
        <w:rPr>
          <w:rFonts w:ascii="Arial"/>
          <w:sz w:val="2"/>
        </w:rPr>
      </w:pPr>
      <w:r>
        <w:rPr>
          <w:rFonts w:ascii="Arial" w:hAnsi="Arial" w:eastAsia="Arial" w:cs="Arial"/>
          <w:sz w:val="2"/>
          <w:szCs w:val="2"/>
        </w:rPr>
        <w:br w:type="column"/>
      </w:r>
    </w:p>
    <w:p>
      <w:pPr>
        <w:pStyle w:val="BodyText"/>
        <w:ind w:left="19" w:right="101" w:firstLine="417"/>
        <w:spacing w:before="44" w:line="363" w:lineRule="auto"/>
        <w:rPr/>
      </w:pPr>
      <w:r>
        <w:rPr>
          <w:rFonts w:ascii="Times New Roman" w:hAnsi="Times New Roman" w:eastAsia="Times New Roman" w:cs="Times New Roman"/>
          <w:spacing w:val="7"/>
        </w:rPr>
        <w:t>2.</w:t>
      </w:r>
      <w:r>
        <w:rPr>
          <w:rFonts w:ascii="Times New Roman" w:hAnsi="Times New Roman" w:eastAsia="Times New Roman" w:cs="Times New Roman"/>
          <w:spacing w:val="-23"/>
        </w:rPr>
        <w:t xml:space="preserve"> </w:t>
      </w:r>
      <w:r>
        <w:rPr>
          <w:rFonts w:ascii="Times New Roman" w:hAnsi="Times New Roman" w:eastAsia="Times New Roman" w:cs="Times New Roman"/>
          <w:spacing w:val="7"/>
        </w:rPr>
        <w:t>1  </w:t>
      </w:r>
      <w:r>
        <w:rPr>
          <w:rFonts w:ascii="KaiTi" w:hAnsi="KaiTi" w:eastAsia="KaiTi" w:cs="KaiTi"/>
          <w:spacing w:val="7"/>
        </w:rPr>
        <w:t>领导机构及职责。</w:t>
      </w:r>
      <w:r>
        <w:rPr>
          <w:spacing w:val="7"/>
        </w:rPr>
        <w:t>市重污染天气应急</w:t>
      </w:r>
      <w:r>
        <w:rPr>
          <w:spacing w:val="4"/>
        </w:rPr>
        <w:t>指挥部（</w:t>
      </w:r>
      <w:r>
        <w:rPr>
          <w:spacing w:val="-39"/>
        </w:rPr>
        <w:t xml:space="preserve"> </w:t>
      </w:r>
      <w:r>
        <w:rPr>
          <w:spacing w:val="4"/>
        </w:rPr>
        <w:t>以下简称</w:t>
      </w:r>
      <w:r>
        <w:rPr>
          <w:rFonts w:ascii="Times New Roman" w:hAnsi="Times New Roman" w:eastAsia="Times New Roman" w:cs="Times New Roman"/>
          <w:spacing w:val="4"/>
        </w:rPr>
        <w:t>“</w:t>
      </w:r>
      <w:r>
        <w:rPr>
          <w:spacing w:val="4"/>
        </w:rPr>
        <w:t>应急指挥部</w:t>
      </w:r>
      <w:r>
        <w:rPr>
          <w:rFonts w:ascii="Times New Roman" w:hAnsi="Times New Roman" w:eastAsia="Times New Roman" w:cs="Times New Roman"/>
          <w:spacing w:val="4"/>
        </w:rPr>
        <w:t>”</w:t>
      </w:r>
      <w:r>
        <w:rPr>
          <w:spacing w:val="4"/>
        </w:rPr>
        <w:t>）。</w:t>
      </w:r>
    </w:p>
    <w:p>
      <w:pPr>
        <w:pStyle w:val="BodyText"/>
        <w:ind w:left="18" w:right="101" w:firstLine="420"/>
        <w:spacing w:before="1" w:line="344" w:lineRule="auto"/>
        <w:rPr/>
      </w:pPr>
      <w:r>
        <w:rPr>
          <w:spacing w:val="6"/>
        </w:rPr>
        <w:t>指 挥 长：由分管生态环境保护工作的副</w:t>
      </w:r>
      <w:r>
        <w:rPr>
          <w:spacing w:val="8"/>
        </w:rPr>
        <w:t>市长担任</w:t>
      </w:r>
    </w:p>
    <w:p>
      <w:pPr>
        <w:pStyle w:val="BodyText"/>
        <w:ind w:left="15" w:right="101" w:firstLine="426"/>
        <w:spacing w:before="41" w:line="345" w:lineRule="auto"/>
        <w:rPr/>
      </w:pPr>
      <w:r>
        <w:rPr>
          <w:spacing w:val="6"/>
        </w:rPr>
        <w:t>副指挥长：由市政府分管生态环境保护工</w:t>
      </w:r>
      <w:r>
        <w:rPr>
          <w:spacing w:val="9"/>
        </w:rPr>
        <w:t>作的副秘书长、市生态环境局局长担任</w:t>
      </w:r>
    </w:p>
    <w:p>
      <w:pPr>
        <w:pStyle w:val="BodyText"/>
        <w:ind w:left="15" w:right="78" w:firstLine="420"/>
        <w:spacing w:before="37" w:line="363" w:lineRule="auto"/>
        <w:rPr/>
      </w:pPr>
      <w:r>
        <w:rPr>
          <w:spacing w:val="6"/>
        </w:rPr>
        <w:t>成  员：市政府办、发展和改革委、工业</w:t>
      </w:r>
      <w:r>
        <w:rPr>
          <w:spacing w:val="8"/>
        </w:rPr>
        <w:t>和信息化局、教育体育局、公安局、财政局、</w:t>
      </w:r>
      <w:r>
        <w:rPr>
          <w:spacing w:val="8"/>
        </w:rPr>
        <w:t>自然资源局、生态环境局、住房城乡建设局、</w:t>
      </w:r>
      <w:r>
        <w:rPr>
          <w:spacing w:val="8"/>
        </w:rPr>
        <w:t>交通运输局、农业农村局、文化旅游广电局、</w:t>
      </w:r>
      <w:r>
        <w:rPr>
          <w:spacing w:val="7"/>
        </w:rPr>
        <w:t>卫生健康委员会、应急管理局、气象局、由市</w:t>
      </w:r>
      <w:r>
        <w:rPr>
          <w:spacing w:val="7"/>
        </w:rPr>
        <w:t>应急指挥部确定的非政府职能部门（单位）及</w:t>
      </w:r>
      <w:r>
        <w:rPr>
          <w:spacing w:val="4"/>
        </w:rPr>
        <w:t>各县（</w:t>
      </w:r>
      <w:r>
        <w:rPr>
          <w:spacing w:val="-35"/>
        </w:rPr>
        <w:t xml:space="preserve"> </w:t>
      </w:r>
      <w:r>
        <w:rPr>
          <w:spacing w:val="4"/>
        </w:rPr>
        <w:t>区）政府负责同志。应急指挥部可根据</w:t>
      </w:r>
      <w:r>
        <w:rPr>
          <w:spacing w:val="8"/>
        </w:rPr>
        <w:t>工作需要，随时增减相关成员。</w:t>
      </w:r>
    </w:p>
    <w:p>
      <w:pPr>
        <w:pStyle w:val="BodyText"/>
        <w:ind w:left="16" w:right="113" w:firstLine="419"/>
        <w:spacing w:before="14" w:line="364" w:lineRule="auto"/>
        <w:rPr/>
      </w:pPr>
      <w:r>
        <w:rPr>
          <w:spacing w:val="9"/>
        </w:rPr>
        <w:t>应急指挥部的主要职责：贯彻落实市委</w:t>
      </w:r>
      <w:r>
        <w:rPr>
          <w:spacing w:val="5"/>
        </w:rPr>
        <w:t xml:space="preserve">  </w:t>
      </w:r>
      <w:r>
        <w:rPr>
          <w:spacing w:val="6"/>
        </w:rPr>
        <w:t>、市政府决策部署，建立预警应急指挥系统，</w:t>
      </w:r>
      <w:r>
        <w:rPr>
          <w:spacing w:val="8"/>
        </w:rPr>
        <w:t>组织实施重污染天气应急响应工作。</w:t>
      </w:r>
    </w:p>
    <w:p>
      <w:pPr>
        <w:pStyle w:val="BodyText"/>
        <w:ind w:left="15" w:right="101" w:firstLine="422"/>
        <w:spacing w:before="1" w:line="362" w:lineRule="auto"/>
        <w:jc w:val="both"/>
        <w:rPr/>
      </w:pPr>
      <w:r>
        <w:rPr>
          <w:spacing w:val="6"/>
        </w:rPr>
        <w:t>发生重大或特别重大污染天气，或污染天</w:t>
      </w:r>
      <w:r>
        <w:rPr>
          <w:spacing w:val="7"/>
        </w:rPr>
        <w:t>气出现复杂情况，超出市重污染天气应急指挥</w:t>
      </w:r>
      <w:r>
        <w:rPr>
          <w:spacing w:val="7"/>
        </w:rPr>
        <w:t>部处置能力和工作职责时，由市应急委负责指</w:t>
      </w:r>
      <w:r>
        <w:rPr>
          <w:spacing w:val="8"/>
        </w:rPr>
        <w:t>挥应对处置工作。</w:t>
      </w:r>
    </w:p>
    <w:p>
      <w:pPr>
        <w:pStyle w:val="BodyText"/>
        <w:ind w:left="16" w:right="101" w:firstLine="420"/>
        <w:spacing w:before="2" w:line="361" w:lineRule="auto"/>
        <w:jc w:val="both"/>
        <w:rPr/>
      </w:pPr>
      <w:r>
        <w:rPr>
          <w:rFonts w:ascii="Times New Roman" w:hAnsi="Times New Roman" w:eastAsia="Times New Roman" w:cs="Times New Roman"/>
          <w:spacing w:val="7"/>
        </w:rPr>
        <w:t>2.2</w:t>
      </w:r>
      <w:r>
        <w:rPr>
          <w:rFonts w:ascii="Times New Roman" w:hAnsi="Times New Roman" w:eastAsia="Times New Roman" w:cs="Times New Roman"/>
          <w:spacing w:val="20"/>
          <w:w w:val="101"/>
        </w:rPr>
        <w:t xml:space="preserve">  </w:t>
      </w:r>
      <w:r>
        <w:rPr>
          <w:rFonts w:ascii="KaiTi" w:hAnsi="KaiTi" w:eastAsia="KaiTi" w:cs="KaiTi"/>
          <w:spacing w:val="7"/>
        </w:rPr>
        <w:t>办事机构及其职责。</w:t>
      </w:r>
      <w:r>
        <w:rPr>
          <w:spacing w:val="7"/>
        </w:rPr>
        <w:t>应急指挥部的办</w:t>
      </w:r>
      <w:r>
        <w:rPr>
          <w:spacing w:val="18"/>
        </w:rPr>
        <w:t>事机构是固原市重污染天气应急指挥部办公</w:t>
      </w:r>
      <w:r>
        <w:rPr>
          <w:spacing w:val="4"/>
        </w:rPr>
        <w:t>室（</w:t>
      </w:r>
      <w:r>
        <w:rPr>
          <w:spacing w:val="-36"/>
        </w:rPr>
        <w:t xml:space="preserve"> </w:t>
      </w:r>
      <w:r>
        <w:rPr>
          <w:spacing w:val="4"/>
        </w:rPr>
        <w:t>以下简称应急指挥部办公室）。应急指挥</w:t>
      </w:r>
      <w:r>
        <w:rPr>
          <w:spacing w:val="7"/>
        </w:rPr>
        <w:t>部办公室作为常设机构设在市生态环境局，主</w:t>
      </w:r>
      <w:r>
        <w:rPr>
          <w:spacing w:val="8"/>
        </w:rPr>
        <w:t>任由市生态环境局局长担任。</w:t>
      </w:r>
    </w:p>
    <w:p>
      <w:pPr>
        <w:pStyle w:val="BodyText"/>
        <w:ind w:right="101" w:firstLine="435"/>
        <w:spacing w:before="13" w:line="345" w:lineRule="auto"/>
        <w:jc w:val="both"/>
        <w:rPr/>
      </w:pPr>
      <w:r>
        <w:rPr>
          <w:spacing w:val="7"/>
        </w:rPr>
        <w:t>应急指挥部办公室的主要职责：适时修订</w:t>
      </w:r>
      <w:r>
        <w:rPr>
          <w:spacing w:val="8"/>
        </w:rPr>
        <w:t>《固原市重污染天气应急预案》，按程序报市</w:t>
      </w:r>
      <w:r>
        <w:rPr>
          <w:spacing w:val="8"/>
        </w:rPr>
        <w:t>政府同意后发布实施；负责应急指挥部的日常</w:t>
      </w:r>
      <w:r>
        <w:rPr>
          <w:spacing w:val="8"/>
        </w:rPr>
        <w:t>工作，组织落实应急指挥部决定，协调各成员</w:t>
      </w:r>
      <w:r>
        <w:rPr>
          <w:spacing w:val="8"/>
        </w:rPr>
        <w:t>单位应对重污染天气相关工作；组织对应急指</w:t>
      </w:r>
      <w:r>
        <w:rPr>
          <w:spacing w:val="19"/>
        </w:rPr>
        <w:t>挥部成员单位应急保障预案和应急保障实施</w:t>
      </w:r>
      <w:r>
        <w:rPr>
          <w:spacing w:val="8"/>
        </w:rPr>
        <w:t>方案落实情况进行监督检查，对发现的问题及</w:t>
      </w:r>
    </w:p>
    <w:p>
      <w:pPr>
        <w:spacing w:line="345" w:lineRule="auto"/>
        <w:sectPr>
          <w:type w:val="continuous"/>
          <w:pgSz w:w="11906" w:h="16839"/>
          <w:pgMar w:top="1772" w:right="1489" w:bottom="1572" w:left="1571" w:header="1428" w:footer="1172" w:gutter="0"/>
          <w:cols w:equalWidth="0" w:num="2">
            <w:col w:w="4482" w:space="100"/>
            <w:col w:w="4264" w:space="0"/>
          </w:cols>
        </w:sectPr>
        <w:rPr/>
      </w:pPr>
    </w:p>
    <w:p>
      <w:pPr>
        <w:spacing w:before="72"/>
        <w:rPr/>
      </w:pPr>
      <w:r>
        <w:drawing>
          <wp:anchor distT="0" distB="0" distL="0" distR="0" simplePos="0" relativeHeight="253939712"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2128" name="IM 2128"/>
            <wp:cNvGraphicFramePr/>
            <a:graphic>
              <a:graphicData uri="http://schemas.openxmlformats.org/drawingml/2006/picture">
                <pic:pic>
                  <pic:nvPicPr>
                    <pic:cNvPr id="2128" name="IM 2128"/>
                    <pic:cNvPicPr/>
                  </pic:nvPicPr>
                  <pic:blipFill>
                    <a:blip r:embed="rId1066"/>
                    <a:stretch>
                      <a:fillRect/>
                    </a:stretch>
                  </pic:blipFill>
                  <pic:spPr>
                    <a:xfrm rot="0">
                      <a:off x="0" y="0"/>
                      <a:ext cx="5579745" cy="7620"/>
                    </a:xfrm>
                    <a:prstGeom prst="rect">
                      <a:avLst/>
                    </a:prstGeom>
                  </pic:spPr>
                </pic:pic>
              </a:graphicData>
            </a:graphic>
          </wp:anchor>
        </w:drawing>
      </w:r>
      <w:r/>
    </w:p>
    <w:p>
      <w:pPr>
        <w:sectPr>
          <w:headerReference w:type="default" r:id="rId549"/>
          <w:footerReference w:type="default" r:id="rId1065"/>
          <w:pgSz w:w="11906" w:h="16839"/>
          <w:pgMar w:top="1766" w:right="1530" w:bottom="1574" w:left="1579" w:header="1428" w:footer="1172" w:gutter="0"/>
          <w:cols w:equalWidth="0" w:num="1">
            <w:col w:w="8796" w:space="0"/>
          </w:cols>
        </w:sectPr>
        <w:rPr/>
      </w:pPr>
    </w:p>
    <w:p>
      <w:pPr>
        <w:pStyle w:val="BodyText"/>
        <w:ind w:left="23"/>
        <w:spacing w:before="42" w:line="222" w:lineRule="auto"/>
        <w:rPr/>
      </w:pPr>
      <w:r>
        <w:rPr>
          <w:spacing w:val="1"/>
        </w:rPr>
        <w:t>时上报应急指挥部，并移交相关部门追究责任。</w:t>
      </w:r>
    </w:p>
    <w:p>
      <w:pPr>
        <w:pStyle w:val="BodyText"/>
        <w:ind w:left="12" w:right="329" w:firstLine="421"/>
        <w:spacing w:before="147" w:line="360" w:lineRule="auto"/>
        <w:jc w:val="both"/>
        <w:rPr/>
      </w:pPr>
      <w:r>
        <w:rPr>
          <w:rFonts w:ascii="Times New Roman" w:hAnsi="Times New Roman" w:eastAsia="Times New Roman" w:cs="Times New Roman"/>
          <w:spacing w:val="8"/>
        </w:rPr>
        <w:t>2.3  </w:t>
      </w:r>
      <w:r>
        <w:rPr>
          <w:rFonts w:ascii="KaiTi" w:hAnsi="KaiTi" w:eastAsia="KaiTi" w:cs="KaiTi"/>
          <w:spacing w:val="8"/>
        </w:rPr>
        <w:t>应急指挥部成员单位职责。</w:t>
      </w:r>
      <w:r>
        <w:rPr>
          <w:spacing w:val="8"/>
        </w:rPr>
        <w:t>应急指挥</w:t>
      </w:r>
      <w:r>
        <w:rPr>
          <w:spacing w:val="18"/>
        </w:rPr>
        <w:t>部各成员单位按照职责分工编修应急保障预</w:t>
      </w:r>
      <w:r>
        <w:rPr>
          <w:spacing w:val="7"/>
        </w:rPr>
        <w:t>案及应急保障实施方案，并按规定时间报应急</w:t>
      </w:r>
      <w:r>
        <w:rPr>
          <w:spacing w:val="7"/>
        </w:rPr>
        <w:t>指挥部办公室备案；在启动重污染天气应急响</w:t>
      </w:r>
      <w:r>
        <w:rPr>
          <w:spacing w:val="7"/>
        </w:rPr>
        <w:t>应期间，有效组织落实各项应急措施并对执行</w:t>
      </w:r>
      <w:r>
        <w:rPr>
          <w:spacing w:val="7"/>
        </w:rPr>
        <w:t>情况开展监督检查，按要求做好应急响应各环</w:t>
      </w:r>
      <w:r>
        <w:rPr>
          <w:spacing w:val="7"/>
        </w:rPr>
        <w:t>节的工作记录和台账，每日向应急指挥部办公</w:t>
      </w:r>
      <w:r>
        <w:rPr>
          <w:spacing w:val="8"/>
        </w:rPr>
        <w:t>室报送进展信息。</w:t>
      </w:r>
    </w:p>
    <w:p>
      <w:pPr>
        <w:pStyle w:val="BodyText"/>
        <w:ind w:left="11" w:right="306" w:firstLine="423"/>
        <w:spacing w:line="359" w:lineRule="auto"/>
        <w:jc w:val="both"/>
        <w:rPr/>
      </w:pPr>
      <w:r>
        <w:rPr>
          <w:spacing w:val="6"/>
        </w:rPr>
        <w:t>市政府办：负责掌握和报告较大以上污染</w:t>
      </w:r>
      <w:r>
        <w:rPr>
          <w:spacing w:val="7"/>
        </w:rPr>
        <w:t>天气情况和动态；向自治区政府报送紧急或重</w:t>
      </w:r>
      <w:r>
        <w:rPr>
          <w:spacing w:val="8"/>
        </w:rPr>
        <w:t>要事项，保证市政府与自治区政府、各县区、</w:t>
      </w:r>
      <w:r>
        <w:rPr>
          <w:spacing w:val="7"/>
        </w:rPr>
        <w:t>市直各部门（单位）联络畅通；办理市政府决</w:t>
      </w:r>
      <w:r>
        <w:rPr>
          <w:spacing w:val="7"/>
        </w:rPr>
        <w:t>定的有关应急事项；督促落实区、市党委、政</w:t>
      </w:r>
      <w:r>
        <w:rPr>
          <w:spacing w:val="7"/>
        </w:rPr>
        <w:t>府领导对突发事件的批示指示；指导全市做好</w:t>
      </w:r>
      <w:r>
        <w:rPr>
          <w:spacing w:val="8"/>
        </w:rPr>
        <w:t>重污染天气应对工作。</w:t>
      </w:r>
    </w:p>
    <w:p>
      <w:pPr>
        <w:pStyle w:val="BodyText"/>
        <w:ind w:left="12" w:right="324" w:firstLine="422"/>
        <w:spacing w:before="3" w:line="357" w:lineRule="auto"/>
        <w:jc w:val="both"/>
        <w:rPr/>
      </w:pPr>
      <w:r>
        <w:rPr>
          <w:spacing w:val="7"/>
        </w:rPr>
        <w:t>市发展和改革委员会、工业和信息化局：</w:t>
      </w:r>
      <w:r>
        <w:rPr>
          <w:spacing w:val="7"/>
        </w:rPr>
        <w:t>负责督促落实水泥、电力等重点排污企业应急</w:t>
      </w:r>
      <w:r>
        <w:rPr>
          <w:spacing w:val="7"/>
        </w:rPr>
        <w:t>预案的编制等工作，联合有关部门（单位）在</w:t>
      </w:r>
      <w:r>
        <w:rPr>
          <w:spacing w:val="7"/>
        </w:rPr>
        <w:t>重污染天气时对重点排污企业限产、限排等工</w:t>
      </w:r>
      <w:r>
        <w:rPr>
          <w:spacing w:val="8"/>
        </w:rPr>
        <w:t>作进行监督检查。</w:t>
      </w:r>
    </w:p>
    <w:p>
      <w:pPr>
        <w:pStyle w:val="BodyText"/>
        <w:ind w:left="11" w:right="329" w:firstLine="423"/>
        <w:spacing w:before="19" w:line="356" w:lineRule="auto"/>
        <w:jc w:val="both"/>
        <w:rPr/>
      </w:pPr>
      <w:r>
        <w:rPr>
          <w:spacing w:val="6"/>
        </w:rPr>
        <w:t>市教育体育局：负责重污染天气教育机构</w:t>
      </w:r>
      <w:r>
        <w:rPr>
          <w:spacing w:val="7"/>
        </w:rPr>
        <w:t>减少户外活动和停课等专项工作，指导督促做</w:t>
      </w:r>
      <w:r>
        <w:rPr>
          <w:spacing w:val="8"/>
        </w:rPr>
        <w:t>好教育机构健康防护工作。</w:t>
      </w:r>
    </w:p>
    <w:p>
      <w:pPr>
        <w:pStyle w:val="BodyText"/>
        <w:ind w:left="19" w:right="329" w:firstLine="415"/>
        <w:spacing w:before="12" w:line="343" w:lineRule="auto"/>
        <w:rPr/>
      </w:pPr>
      <w:r>
        <w:rPr>
          <w:spacing w:val="6"/>
        </w:rPr>
        <w:t>市公安局：负责组织实施重污染天气机动</w:t>
      </w:r>
      <w:r>
        <w:rPr>
          <w:spacing w:val="7"/>
        </w:rPr>
        <w:t>车临时禁限行工作。</w:t>
      </w:r>
    </w:p>
    <w:p>
      <w:pPr>
        <w:pStyle w:val="BodyText"/>
        <w:ind w:left="12" w:right="329" w:firstLine="422"/>
        <w:spacing w:before="36" w:line="356" w:lineRule="auto"/>
        <w:jc w:val="both"/>
        <w:rPr/>
      </w:pPr>
      <w:r>
        <w:rPr>
          <w:spacing w:val="6"/>
        </w:rPr>
        <w:t>市财政局：负责重污染天气应急准备、预</w:t>
      </w:r>
      <w:r>
        <w:rPr>
          <w:spacing w:val="7"/>
        </w:rPr>
        <w:t>案演练、物资储备、队伍建设及人员培训等工</w:t>
      </w:r>
      <w:r>
        <w:rPr>
          <w:spacing w:val="7"/>
        </w:rPr>
        <w:t>作经费保障。</w:t>
      </w:r>
    </w:p>
    <w:p>
      <w:pPr>
        <w:pStyle w:val="BodyText"/>
        <w:ind w:left="13" w:right="329" w:firstLine="421"/>
        <w:spacing w:before="15" w:line="341" w:lineRule="auto"/>
        <w:rPr/>
      </w:pPr>
      <w:r>
        <w:rPr>
          <w:spacing w:val="6"/>
        </w:rPr>
        <w:t>市自然资源局：负责应对重污染天气地理</w:t>
      </w:r>
      <w:r>
        <w:rPr>
          <w:spacing w:val="7"/>
        </w:rPr>
        <w:t>信息保障工作。</w:t>
      </w:r>
    </w:p>
    <w:p>
      <w:pPr>
        <w:pStyle w:val="BodyText"/>
        <w:ind w:left="14" w:right="329" w:firstLine="420"/>
        <w:spacing w:before="42" w:line="275" w:lineRule="auto"/>
        <w:rPr/>
      </w:pPr>
      <w:r>
        <w:rPr>
          <w:spacing w:val="6"/>
        </w:rPr>
        <w:t>市住房城乡建设局：负责组织开展建筑工</w:t>
      </w:r>
      <w:r>
        <w:rPr>
          <w:spacing w:val="7"/>
        </w:rPr>
        <w:t>地扬尘治理等专项工作，监督落实拆迁、施工</w:t>
      </w:r>
    </w:p>
    <w:p>
      <w:pPr>
        <w:spacing w:line="14" w:lineRule="auto"/>
        <w:rPr>
          <w:rFonts w:ascii="Arial"/>
          <w:sz w:val="2"/>
        </w:rPr>
      </w:pPr>
      <w:r>
        <w:rPr>
          <w:rFonts w:ascii="Arial" w:hAnsi="Arial" w:eastAsia="Arial" w:cs="Arial"/>
          <w:sz w:val="2"/>
          <w:szCs w:val="2"/>
        </w:rPr>
        <w:br w:type="column"/>
      </w:r>
    </w:p>
    <w:p>
      <w:pPr>
        <w:pStyle w:val="BodyText"/>
        <w:ind w:left="2"/>
        <w:spacing w:before="39" w:line="221" w:lineRule="auto"/>
        <w:rPr/>
      </w:pPr>
      <w:r>
        <w:rPr>
          <w:spacing w:val="8"/>
        </w:rPr>
        <w:t>工地渣土运输等扬尘污染防治。</w:t>
      </w:r>
    </w:p>
    <w:p>
      <w:pPr>
        <w:pStyle w:val="BodyText"/>
        <w:ind w:right="59" w:firstLine="422"/>
        <w:spacing w:before="146" w:line="342" w:lineRule="auto"/>
        <w:rPr/>
      </w:pPr>
      <w:r>
        <w:rPr>
          <w:spacing w:val="6"/>
        </w:rPr>
        <w:t>市交通运输局：负责指导督促公交公司提</w:t>
      </w:r>
      <w:r>
        <w:rPr>
          <w:spacing w:val="8"/>
        </w:rPr>
        <w:t>供公共交通运输保障。</w:t>
      </w:r>
    </w:p>
    <w:p>
      <w:pPr>
        <w:pStyle w:val="BodyText"/>
        <w:ind w:right="59" w:firstLine="423"/>
        <w:spacing w:before="39" w:line="343" w:lineRule="auto"/>
        <w:rPr/>
      </w:pPr>
      <w:r>
        <w:rPr>
          <w:spacing w:val="6"/>
        </w:rPr>
        <w:t>市农业农村局：负责组织指导农作物秸秆</w:t>
      </w:r>
      <w:r>
        <w:rPr>
          <w:spacing w:val="9"/>
        </w:rPr>
        <w:t>综合利用，做好露天焚烧秸秆督查等工作。</w:t>
      </w:r>
    </w:p>
    <w:p>
      <w:pPr>
        <w:pStyle w:val="BodyText"/>
        <w:ind w:left="5" w:right="52" w:firstLine="417"/>
        <w:spacing w:before="36" w:line="355" w:lineRule="auto"/>
        <w:rPr/>
      </w:pPr>
      <w:r>
        <w:rPr>
          <w:spacing w:val="6"/>
        </w:rPr>
        <w:t>市文化旅游广电局：负责指导、协调广播</w:t>
      </w:r>
      <w:r>
        <w:rPr>
          <w:spacing w:val="7"/>
        </w:rPr>
        <w:t>电台、电视台等新闻媒体发布预报预警信息，</w:t>
      </w:r>
      <w:r>
        <w:rPr>
          <w:spacing w:val="8"/>
        </w:rPr>
        <w:t>开展重污染天气防范、宣传、教育等工作。</w:t>
      </w:r>
    </w:p>
    <w:p>
      <w:pPr>
        <w:pStyle w:val="BodyText"/>
        <w:ind w:right="59" w:firstLine="422"/>
        <w:spacing w:before="16" w:line="341" w:lineRule="auto"/>
        <w:rPr/>
      </w:pPr>
      <w:r>
        <w:rPr>
          <w:spacing w:val="6"/>
        </w:rPr>
        <w:t>市卫生健康委员会：负责重污染天气相关</w:t>
      </w:r>
      <w:r>
        <w:rPr>
          <w:spacing w:val="8"/>
        </w:rPr>
        <w:t>疾病的预防、监测和救治工作。</w:t>
      </w:r>
    </w:p>
    <w:p>
      <w:pPr>
        <w:pStyle w:val="BodyText"/>
        <w:ind w:right="59" w:firstLine="422"/>
        <w:spacing w:before="41" w:line="356" w:lineRule="auto"/>
        <w:jc w:val="both"/>
        <w:rPr/>
      </w:pPr>
      <w:r>
        <w:rPr>
          <w:spacing w:val="16"/>
        </w:rPr>
        <w:t>市场监督管理局：</w:t>
      </w:r>
      <w:r>
        <w:rPr>
          <w:spacing w:val="-49"/>
        </w:rPr>
        <w:t xml:space="preserve"> </w:t>
      </w:r>
      <w:r>
        <w:rPr>
          <w:spacing w:val="16"/>
        </w:rPr>
        <w:t>负责煤炭质量检验工</w:t>
      </w:r>
      <w:r>
        <w:rPr>
          <w:spacing w:val="7"/>
        </w:rPr>
        <w:t>作，配合生态环境、住建、城管部门督促落实</w:t>
      </w:r>
      <w:r>
        <w:rPr>
          <w:spacing w:val="8"/>
        </w:rPr>
        <w:t>锅炉大气污染防治工作。</w:t>
      </w:r>
    </w:p>
    <w:p>
      <w:pPr>
        <w:pStyle w:val="BodyText"/>
        <w:ind w:right="59" w:firstLine="422"/>
        <w:spacing w:before="11" w:line="356" w:lineRule="auto"/>
        <w:jc w:val="both"/>
        <w:rPr/>
      </w:pPr>
      <w:r>
        <w:rPr>
          <w:spacing w:val="6"/>
        </w:rPr>
        <w:t>市气象局：负责制定完善重污染天气气象</w:t>
      </w:r>
      <w:r>
        <w:rPr>
          <w:spacing w:val="7"/>
        </w:rPr>
        <w:t>监测预警专项实施方案，协助有关部门做好重</w:t>
      </w:r>
      <w:r>
        <w:rPr>
          <w:spacing w:val="9"/>
        </w:rPr>
        <w:t>污染天气气象预报预警信息发布工作。</w:t>
      </w:r>
    </w:p>
    <w:p>
      <w:pPr>
        <w:pStyle w:val="BodyText"/>
        <w:ind w:left="5" w:right="39" w:firstLine="416"/>
        <w:spacing w:before="16" w:line="356" w:lineRule="auto"/>
        <w:jc w:val="both"/>
        <w:rPr/>
      </w:pPr>
      <w:r>
        <w:rPr>
          <w:spacing w:val="4"/>
        </w:rPr>
        <w:t>各县（</w:t>
      </w:r>
      <w:r>
        <w:rPr>
          <w:spacing w:val="-48"/>
        </w:rPr>
        <w:t xml:space="preserve"> </w:t>
      </w:r>
      <w:r>
        <w:rPr>
          <w:spacing w:val="4"/>
        </w:rPr>
        <w:t>区）政府：负责组织开展本辖区重</w:t>
      </w:r>
      <w:r>
        <w:rPr>
          <w:spacing w:val="7"/>
        </w:rPr>
        <w:t>污染天气应对工作，制定完善重污染天气应急</w:t>
      </w:r>
      <w:r>
        <w:rPr>
          <w:spacing w:val="8"/>
        </w:rPr>
        <w:t>预案，采取有力措施，有效应对重污染天气。</w:t>
      </w:r>
    </w:p>
    <w:p>
      <w:pPr>
        <w:pStyle w:val="BodyText"/>
        <w:ind w:left="18" w:right="59" w:firstLine="402"/>
        <w:spacing w:before="10" w:line="344" w:lineRule="auto"/>
        <w:rPr/>
      </w:pPr>
      <w:r>
        <w:rPr>
          <w:spacing w:val="7"/>
        </w:rPr>
        <w:t>其他部门（单位）按照职责分工和指挥部</w:t>
      </w:r>
      <w:r>
        <w:rPr>
          <w:spacing w:val="7"/>
        </w:rPr>
        <w:t>的部署，承担相应的应急救援任务。</w:t>
      </w:r>
    </w:p>
    <w:p>
      <w:pPr>
        <w:pStyle w:val="BodyText"/>
        <w:ind w:right="59" w:firstLine="421"/>
        <w:spacing w:before="37" w:line="359" w:lineRule="auto"/>
        <w:jc w:val="both"/>
        <w:rPr/>
      </w:pPr>
      <w:r>
        <w:rPr>
          <w:rFonts w:ascii="Times New Roman" w:hAnsi="Times New Roman" w:eastAsia="Times New Roman" w:cs="Times New Roman"/>
          <w:spacing w:val="8"/>
        </w:rPr>
        <w:t>2.4  </w:t>
      </w:r>
      <w:r>
        <w:rPr>
          <w:rFonts w:ascii="KaiTi" w:hAnsi="KaiTi" w:eastAsia="KaiTi" w:cs="KaiTi"/>
          <w:spacing w:val="8"/>
        </w:rPr>
        <w:t>工作组及其职责。</w:t>
      </w:r>
      <w:r>
        <w:rPr>
          <w:spacing w:val="8"/>
        </w:rPr>
        <w:t>根据应急处置工作</w:t>
      </w:r>
      <w:r>
        <w:rPr>
          <w:spacing w:val="7"/>
        </w:rPr>
        <w:t>需要，市重污染天气应急指挥部设立以下工作</w:t>
      </w:r>
      <w:r>
        <w:rPr>
          <w:spacing w:val="7"/>
        </w:rPr>
        <w:t>组，分工协作开展处置工作。工作组可根据实</w:t>
      </w:r>
      <w:r>
        <w:rPr>
          <w:spacing w:val="7"/>
        </w:rPr>
        <w:t>际进行增减。</w:t>
      </w:r>
    </w:p>
    <w:p>
      <w:pPr>
        <w:pStyle w:val="BodyText"/>
        <w:ind w:left="413"/>
        <w:spacing w:before="3" w:line="278" w:lineRule="exact"/>
        <w:rPr/>
      </w:pPr>
      <w:r>
        <w:rPr>
          <w:spacing w:val="-1"/>
          <w:position w:val="1"/>
        </w:rPr>
        <w:t>（</w:t>
      </w:r>
      <w:r>
        <w:rPr>
          <w:spacing w:val="-45"/>
          <w:position w:val="1"/>
        </w:rPr>
        <w:t xml:space="preserve"> </w:t>
      </w:r>
      <w:r>
        <w:rPr>
          <w:rFonts w:ascii="Times New Roman" w:hAnsi="Times New Roman" w:eastAsia="Times New Roman" w:cs="Times New Roman"/>
          <w:spacing w:val="-1"/>
          <w:position w:val="1"/>
        </w:rPr>
        <w:t>1</w:t>
      </w:r>
      <w:r>
        <w:rPr>
          <w:rFonts w:ascii="Times New Roman" w:hAnsi="Times New Roman" w:eastAsia="Times New Roman" w:cs="Times New Roman"/>
          <w:spacing w:val="-21"/>
          <w:position w:val="1"/>
        </w:rPr>
        <w:t xml:space="preserve"> </w:t>
      </w:r>
      <w:r>
        <w:rPr>
          <w:spacing w:val="-1"/>
          <w:position w:val="1"/>
        </w:rPr>
        <w:t>）综合协调组。</w:t>
      </w:r>
    </w:p>
    <w:p>
      <w:pPr>
        <w:pStyle w:val="BodyText"/>
        <w:ind w:left="421"/>
        <w:spacing w:before="113" w:line="278" w:lineRule="exact"/>
        <w:rPr/>
      </w:pPr>
      <w:r>
        <w:rPr>
          <w:spacing w:val="8"/>
          <w:position w:val="1"/>
        </w:rPr>
        <w:t>组    长：市生态环境局局长</w:t>
      </w:r>
    </w:p>
    <w:p>
      <w:pPr>
        <w:pStyle w:val="BodyText"/>
        <w:ind w:left="2" w:right="59" w:firstLine="419"/>
        <w:spacing w:before="111" w:line="360" w:lineRule="auto"/>
        <w:jc w:val="both"/>
        <w:rPr/>
      </w:pPr>
      <w:r>
        <w:rPr>
          <w:spacing w:val="6"/>
        </w:rPr>
        <w:t>成员单位：市生态环境局、发展和改革委</w:t>
      </w:r>
      <w:r>
        <w:rPr>
          <w:spacing w:val="7"/>
        </w:rPr>
        <w:t>员会、工业和信息化局、公安局、财政局、住</w:t>
      </w:r>
      <w:r>
        <w:rPr>
          <w:spacing w:val="7"/>
        </w:rPr>
        <w:t>房城乡建设局、气象局、交通运输局、文化旅</w:t>
      </w:r>
      <w:r>
        <w:rPr>
          <w:spacing w:val="5"/>
        </w:rPr>
        <w:t>游广电局，各县（</w:t>
      </w:r>
      <w:r>
        <w:rPr>
          <w:spacing w:val="-49"/>
        </w:rPr>
        <w:t xml:space="preserve"> </w:t>
      </w:r>
      <w:r>
        <w:rPr>
          <w:spacing w:val="5"/>
        </w:rPr>
        <w:t>区）政府</w:t>
      </w:r>
    </w:p>
    <w:p>
      <w:pPr>
        <w:pStyle w:val="BodyText"/>
        <w:ind w:left="2" w:right="59" w:firstLine="427"/>
        <w:spacing w:line="277" w:lineRule="auto"/>
        <w:jc w:val="both"/>
        <w:rPr/>
      </w:pPr>
      <w:r>
        <w:rPr>
          <w:spacing w:val="6"/>
        </w:rPr>
        <w:t>主要职责：负责制定重污染天气应对处置</w:t>
      </w:r>
      <w:r>
        <w:rPr>
          <w:spacing w:val="7"/>
        </w:rPr>
        <w:t>工作方案；根据指挥部决定组织其它工作组及</w:t>
      </w:r>
    </w:p>
    <w:p>
      <w:pPr>
        <w:spacing w:line="277" w:lineRule="auto"/>
        <w:sectPr>
          <w:type w:val="continuous"/>
          <w:pgSz w:w="11906" w:h="16839"/>
          <w:pgMar w:top="1766" w:right="1530" w:bottom="1574" w:left="1579" w:header="1428" w:footer="1172" w:gutter="0"/>
          <w:cols w:equalWidth="0" w:num="2">
            <w:col w:w="4489" w:space="100"/>
            <w:col w:w="4207" w:space="0"/>
          </w:cols>
        </w:sectPr>
        <w:rPr/>
      </w:pPr>
    </w:p>
    <w:p>
      <w:pPr>
        <w:spacing w:before="55"/>
        <w:rPr/>
      </w:pPr>
      <w:r>
        <w:drawing>
          <wp:anchor distT="0" distB="0" distL="0" distR="0" simplePos="0" relativeHeight="253954048"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132" name="IM 2132"/>
            <wp:cNvGraphicFramePr/>
            <a:graphic>
              <a:graphicData uri="http://schemas.openxmlformats.org/drawingml/2006/picture">
                <pic:pic>
                  <pic:nvPicPr>
                    <pic:cNvPr id="2132" name="IM 2132"/>
                    <pic:cNvPicPr/>
                  </pic:nvPicPr>
                  <pic:blipFill>
                    <a:blip r:embed="rId1068"/>
                    <a:stretch>
                      <a:fillRect/>
                    </a:stretch>
                  </pic:blipFill>
                  <pic:spPr>
                    <a:xfrm rot="0">
                      <a:off x="0" y="0"/>
                      <a:ext cx="5579745" cy="7620"/>
                    </a:xfrm>
                    <a:prstGeom prst="rect">
                      <a:avLst/>
                    </a:prstGeom>
                  </pic:spPr>
                </pic:pic>
              </a:graphicData>
            </a:graphic>
          </wp:anchor>
        </w:drawing>
      </w:r>
      <w:r/>
    </w:p>
    <w:p>
      <w:pPr>
        <w:sectPr>
          <w:headerReference w:type="default" r:id="rId1048"/>
          <w:footerReference w:type="default" r:id="rId1067"/>
          <w:pgSz w:w="11906" w:h="16839"/>
          <w:pgMar w:top="1772" w:right="1489" w:bottom="1572" w:left="1571" w:header="1428" w:footer="1172" w:gutter="0"/>
          <w:cols w:equalWidth="0" w:num="1">
            <w:col w:w="8846" w:space="0"/>
          </w:cols>
        </w:sectPr>
        <w:rPr/>
      </w:pPr>
    </w:p>
    <w:p>
      <w:pPr>
        <w:pStyle w:val="BodyText"/>
        <w:ind w:left="21" w:right="308"/>
        <w:spacing w:before="48" w:line="343" w:lineRule="auto"/>
        <w:rPr/>
      </w:pPr>
      <w:r>
        <w:rPr>
          <w:spacing w:val="5"/>
        </w:rPr>
        <w:t>有关县（</w:t>
      </w:r>
      <w:r>
        <w:rPr>
          <w:spacing w:val="-53"/>
        </w:rPr>
        <w:t xml:space="preserve"> </w:t>
      </w:r>
      <w:r>
        <w:rPr>
          <w:spacing w:val="5"/>
        </w:rPr>
        <w:t>区）、部门（单位）开展重污染天气</w:t>
      </w:r>
      <w:r>
        <w:rPr>
          <w:spacing w:val="8"/>
        </w:rPr>
        <w:t>应对处置工作；完成指挥部交办的其它工作。</w:t>
      </w:r>
    </w:p>
    <w:p>
      <w:pPr>
        <w:pStyle w:val="BodyText"/>
        <w:ind w:left="433"/>
        <w:spacing w:before="36" w:line="278" w:lineRule="exact"/>
        <w:rPr/>
      </w:pPr>
      <w:r>
        <w:rPr>
          <w:spacing w:val="6"/>
          <w:position w:val="1"/>
        </w:rPr>
        <w:t>（</w:t>
      </w:r>
      <w:r>
        <w:rPr>
          <w:rFonts w:ascii="Times New Roman" w:hAnsi="Times New Roman" w:eastAsia="Times New Roman" w:cs="Times New Roman"/>
          <w:spacing w:val="6"/>
          <w:position w:val="1"/>
        </w:rPr>
        <w:t>2</w:t>
      </w:r>
      <w:r>
        <w:rPr>
          <w:rFonts w:ascii="Times New Roman" w:hAnsi="Times New Roman" w:eastAsia="Times New Roman" w:cs="Times New Roman"/>
          <w:spacing w:val="-21"/>
          <w:position w:val="1"/>
        </w:rPr>
        <w:t xml:space="preserve"> </w:t>
      </w:r>
      <w:r>
        <w:rPr>
          <w:spacing w:val="6"/>
          <w:position w:val="1"/>
        </w:rPr>
        <w:t>）预报预警工作组。</w:t>
      </w:r>
    </w:p>
    <w:p>
      <w:pPr>
        <w:pStyle w:val="BodyText"/>
        <w:ind w:left="441"/>
        <w:spacing w:before="111" w:line="277" w:lineRule="exact"/>
        <w:rPr/>
      </w:pPr>
      <w:r>
        <w:rPr>
          <w:spacing w:val="8"/>
          <w:position w:val="1"/>
        </w:rPr>
        <w:t>组    长：市生态环境局副局长</w:t>
      </w:r>
    </w:p>
    <w:p>
      <w:pPr>
        <w:pStyle w:val="BodyText"/>
        <w:ind w:left="22" w:right="328" w:firstLine="419"/>
        <w:spacing w:before="112" w:line="358" w:lineRule="auto"/>
        <w:rPr/>
      </w:pPr>
      <w:r>
        <w:rPr>
          <w:spacing w:val="6"/>
        </w:rPr>
        <w:t>成员单位：市生态环境局、市气象局、文</w:t>
      </w:r>
      <w:r>
        <w:rPr>
          <w:spacing w:val="5"/>
        </w:rPr>
        <w:t>化旅游广电局，各县（</w:t>
      </w:r>
      <w:r>
        <w:rPr>
          <w:spacing w:val="-39"/>
        </w:rPr>
        <w:t xml:space="preserve"> </w:t>
      </w:r>
      <w:r>
        <w:rPr>
          <w:spacing w:val="5"/>
        </w:rPr>
        <w:t>区）政府</w:t>
      </w:r>
    </w:p>
    <w:p>
      <w:pPr>
        <w:pStyle w:val="BodyText"/>
        <w:ind w:left="21" w:right="248" w:firstLine="428"/>
        <w:spacing w:before="4" w:line="360" w:lineRule="auto"/>
        <w:rPr/>
      </w:pPr>
      <w:r>
        <w:rPr>
          <w:spacing w:val="6"/>
        </w:rPr>
        <w:t>主要职责：负责环境空气质量常规监测和</w:t>
      </w:r>
      <w:r>
        <w:rPr>
          <w:spacing w:val="1"/>
        </w:rPr>
        <w:t>气象状况观测，同时做好数据收集处理、共享、</w:t>
      </w:r>
      <w:r>
        <w:rPr>
          <w:spacing w:val="7"/>
        </w:rPr>
        <w:t>现状评价以及趋势预测等工作。在重污染天气</w:t>
      </w:r>
      <w:r>
        <w:rPr>
          <w:spacing w:val="7"/>
        </w:rPr>
        <w:t>应急情况下，预报预警工作组跟踪监测空气质</w:t>
      </w:r>
      <w:r>
        <w:rPr>
          <w:spacing w:val="7"/>
        </w:rPr>
        <w:t>量和气象条件的变化情况，结合历史数据，对</w:t>
      </w:r>
      <w:r>
        <w:rPr>
          <w:spacing w:val="7"/>
        </w:rPr>
        <w:t>未来趋势做出科学预判，并及时将有关信息上</w:t>
      </w:r>
      <w:r>
        <w:rPr>
          <w:spacing w:val="8"/>
        </w:rPr>
        <w:t>报，为应急工作提供决策依据。</w:t>
      </w:r>
    </w:p>
    <w:p>
      <w:pPr>
        <w:pStyle w:val="BodyText"/>
        <w:ind w:left="433"/>
        <w:spacing w:line="279" w:lineRule="exact"/>
        <w:rPr/>
      </w:pPr>
      <w:r>
        <w:rPr>
          <w:spacing w:val="5"/>
          <w:position w:val="1"/>
        </w:rPr>
        <w:t>（</w:t>
      </w:r>
      <w:r>
        <w:rPr>
          <w:rFonts w:ascii="Times New Roman" w:hAnsi="Times New Roman" w:eastAsia="Times New Roman" w:cs="Times New Roman"/>
          <w:spacing w:val="5"/>
          <w:position w:val="1"/>
        </w:rPr>
        <w:t>3</w:t>
      </w:r>
      <w:r>
        <w:rPr>
          <w:rFonts w:ascii="Times New Roman" w:hAnsi="Times New Roman" w:eastAsia="Times New Roman" w:cs="Times New Roman"/>
          <w:spacing w:val="-20"/>
          <w:position w:val="1"/>
        </w:rPr>
        <w:t xml:space="preserve"> </w:t>
      </w:r>
      <w:r>
        <w:rPr>
          <w:spacing w:val="5"/>
          <w:position w:val="1"/>
        </w:rPr>
        <w:t>）应对处置组。</w:t>
      </w:r>
    </w:p>
    <w:p>
      <w:pPr>
        <w:pStyle w:val="BodyText"/>
        <w:ind w:left="441"/>
        <w:spacing w:before="112" w:line="278" w:lineRule="exact"/>
        <w:rPr/>
      </w:pPr>
      <w:r>
        <w:rPr>
          <w:spacing w:val="8"/>
          <w:position w:val="1"/>
        </w:rPr>
        <w:t>组    长：市生态环境局副局长</w:t>
      </w:r>
    </w:p>
    <w:p>
      <w:pPr>
        <w:pStyle w:val="BodyText"/>
        <w:ind w:left="21" w:right="308" w:firstLine="420"/>
        <w:spacing w:before="111" w:line="361" w:lineRule="auto"/>
        <w:jc w:val="both"/>
        <w:rPr/>
      </w:pPr>
      <w:r>
        <w:rPr>
          <w:spacing w:val="6"/>
        </w:rPr>
        <w:t>成员单位：市公安局、自然资源局、住房</w:t>
      </w:r>
      <w:r>
        <w:rPr>
          <w:spacing w:val="7"/>
        </w:rPr>
        <w:t>城乡建设局、交通运输局、农业农村局、市场</w:t>
      </w:r>
      <w:r>
        <w:rPr>
          <w:spacing w:val="5"/>
        </w:rPr>
        <w:t>监督管理局、教育体育局，各县（</w:t>
      </w:r>
      <w:r>
        <w:rPr>
          <w:spacing w:val="-35"/>
        </w:rPr>
        <w:t xml:space="preserve"> </w:t>
      </w:r>
      <w:r>
        <w:rPr>
          <w:spacing w:val="5"/>
        </w:rPr>
        <w:t>区）政府。</w:t>
      </w:r>
    </w:p>
    <w:p>
      <w:pPr>
        <w:pStyle w:val="BodyText"/>
        <w:ind w:left="21" w:right="328" w:firstLine="428"/>
        <w:spacing w:before="6" w:line="365" w:lineRule="auto"/>
        <w:jc w:val="both"/>
        <w:rPr/>
      </w:pPr>
      <w:r>
        <w:rPr>
          <w:spacing w:val="6"/>
        </w:rPr>
        <w:t>主要职责：负责组织实施重污染天气机动</w:t>
      </w:r>
      <w:r>
        <w:rPr>
          <w:spacing w:val="7"/>
        </w:rPr>
        <w:t>车临时禁限行专项工作。指导督促公交企业提</w:t>
      </w:r>
      <w:r>
        <w:rPr>
          <w:spacing w:val="7"/>
        </w:rPr>
        <w:t>供公共交通运输保障，组织实施公路保洁等工</w:t>
      </w:r>
      <w:r>
        <w:rPr>
          <w:spacing w:val="7"/>
        </w:rPr>
        <w:t>作。组织开展建筑工地扬尘治理、露天焚烧等</w:t>
      </w:r>
      <w:r>
        <w:rPr>
          <w:spacing w:val="7"/>
        </w:rPr>
        <w:t>专项工作，监督落实拆迁、施工工地渣土运输</w:t>
      </w:r>
      <w:r>
        <w:rPr>
          <w:spacing w:val="7"/>
        </w:rPr>
        <w:t>等扬尘污染防治。组织指导农作物秸秆综合利</w:t>
      </w:r>
      <w:r>
        <w:rPr>
          <w:spacing w:val="7"/>
        </w:rPr>
        <w:t>用，做好露天焚烧秸秆督查等工作。负责煤炭</w:t>
      </w:r>
      <w:r>
        <w:rPr>
          <w:spacing w:val="7"/>
        </w:rPr>
        <w:t>质量检验工作，督促落实锅炉大气污染防治工</w:t>
      </w:r>
      <w:r>
        <w:rPr>
          <w:spacing w:val="9"/>
        </w:rPr>
        <w:t>作。指导督促做好教育机构健康防护工作。</w:t>
      </w:r>
    </w:p>
    <w:p>
      <w:pPr>
        <w:pStyle w:val="BodyText"/>
        <w:ind w:left="433"/>
        <w:spacing w:line="278" w:lineRule="exact"/>
        <w:rPr/>
      </w:pPr>
      <w:r>
        <w:rPr>
          <w:spacing w:val="5"/>
          <w:position w:val="1"/>
        </w:rPr>
        <w:t>（</w:t>
      </w:r>
      <w:r>
        <w:rPr>
          <w:rFonts w:ascii="Times New Roman" w:hAnsi="Times New Roman" w:eastAsia="Times New Roman" w:cs="Times New Roman"/>
          <w:spacing w:val="5"/>
          <w:position w:val="1"/>
        </w:rPr>
        <w:t>4</w:t>
      </w:r>
      <w:r>
        <w:rPr>
          <w:rFonts w:ascii="Times New Roman" w:hAnsi="Times New Roman" w:eastAsia="Times New Roman" w:cs="Times New Roman"/>
          <w:spacing w:val="-20"/>
          <w:position w:val="1"/>
        </w:rPr>
        <w:t xml:space="preserve"> </w:t>
      </w:r>
      <w:r>
        <w:rPr>
          <w:spacing w:val="5"/>
          <w:position w:val="1"/>
        </w:rPr>
        <w:t>）医疗卫生组。</w:t>
      </w:r>
    </w:p>
    <w:p>
      <w:pPr>
        <w:pStyle w:val="BodyText"/>
        <w:ind w:left="441"/>
        <w:spacing w:before="118" w:line="277" w:lineRule="exact"/>
        <w:rPr/>
      </w:pPr>
      <w:r>
        <w:rPr>
          <w:spacing w:val="8"/>
          <w:position w:val="1"/>
        </w:rPr>
        <w:t>组    长：市卫生健康委副主任</w:t>
      </w:r>
    </w:p>
    <w:p>
      <w:pPr>
        <w:pStyle w:val="BodyText"/>
        <w:ind w:left="20" w:right="328" w:firstLine="421"/>
        <w:spacing w:before="119" w:line="346" w:lineRule="auto"/>
        <w:rPr/>
      </w:pPr>
      <w:r>
        <w:rPr>
          <w:spacing w:val="4"/>
        </w:rPr>
        <w:t>成员单位：各县（</w:t>
      </w:r>
      <w:r>
        <w:rPr>
          <w:spacing w:val="-48"/>
        </w:rPr>
        <w:t xml:space="preserve"> </w:t>
      </w:r>
      <w:r>
        <w:rPr>
          <w:spacing w:val="4"/>
        </w:rPr>
        <w:t>区）政府，市各有关医</w:t>
      </w:r>
      <w:r>
        <w:rPr>
          <w:spacing w:val="8"/>
        </w:rPr>
        <w:t>疗机构</w:t>
      </w:r>
    </w:p>
    <w:p>
      <w:pPr>
        <w:pStyle w:val="BodyText"/>
        <w:ind w:left="21" w:right="307" w:firstLine="428"/>
        <w:spacing w:before="43" w:line="343" w:lineRule="auto"/>
        <w:rPr/>
      </w:pPr>
      <w:r>
        <w:rPr>
          <w:spacing w:val="-14"/>
        </w:rPr>
        <w:t>主要职责：负责重污染天气相关疾病预防、监</w:t>
      </w:r>
      <w:r>
        <w:rPr>
          <w:spacing w:val="-8"/>
        </w:rPr>
        <w:t>测和救治工作。</w:t>
      </w:r>
    </w:p>
    <w:p>
      <w:pPr>
        <w:spacing w:line="14" w:lineRule="auto"/>
        <w:rPr>
          <w:rFonts w:ascii="Arial"/>
          <w:sz w:val="2"/>
        </w:rPr>
      </w:pPr>
      <w:r>
        <w:rPr>
          <w:rFonts w:ascii="Arial" w:hAnsi="Arial" w:eastAsia="Arial" w:cs="Arial"/>
          <w:sz w:val="2"/>
          <w:szCs w:val="2"/>
        </w:rPr>
        <w:br w:type="column"/>
      </w:r>
    </w:p>
    <w:p>
      <w:pPr>
        <w:pStyle w:val="BodyText"/>
        <w:ind w:left="413"/>
        <w:spacing w:before="48" w:line="277" w:lineRule="exact"/>
        <w:rPr/>
      </w:pPr>
      <w:r>
        <w:rPr>
          <w:spacing w:val="7"/>
          <w:position w:val="1"/>
        </w:rPr>
        <w:t>（</w:t>
      </w:r>
      <w:r>
        <w:rPr>
          <w:rFonts w:ascii="Times New Roman" w:hAnsi="Times New Roman" w:eastAsia="Times New Roman" w:cs="Times New Roman"/>
          <w:spacing w:val="7"/>
          <w:position w:val="1"/>
        </w:rPr>
        <w:t>5</w:t>
      </w:r>
      <w:r>
        <w:rPr>
          <w:rFonts w:ascii="Times New Roman" w:hAnsi="Times New Roman" w:eastAsia="Times New Roman" w:cs="Times New Roman"/>
          <w:spacing w:val="-21"/>
          <w:position w:val="1"/>
        </w:rPr>
        <w:t xml:space="preserve"> </w:t>
      </w:r>
      <w:r>
        <w:rPr>
          <w:spacing w:val="7"/>
          <w:position w:val="1"/>
        </w:rPr>
        <w:t>）信息发布及宣传工作组。</w:t>
      </w:r>
    </w:p>
    <w:p>
      <w:pPr>
        <w:pStyle w:val="BodyText"/>
        <w:ind w:left="422"/>
        <w:spacing w:before="119" w:line="277" w:lineRule="exact"/>
        <w:rPr/>
      </w:pPr>
      <w:r>
        <w:rPr>
          <w:spacing w:val="-6"/>
          <w:position w:val="1"/>
        </w:rPr>
        <w:t>组</w:t>
      </w:r>
      <w:r>
        <w:rPr>
          <w:spacing w:val="9"/>
          <w:position w:val="1"/>
        </w:rPr>
        <w:t xml:space="preserve">    </w:t>
      </w:r>
      <w:r>
        <w:rPr>
          <w:spacing w:val="-6"/>
          <w:position w:val="1"/>
        </w:rPr>
        <w:t>长：由应急指挥部根据工作需要确定</w:t>
      </w:r>
    </w:p>
    <w:p>
      <w:pPr>
        <w:pStyle w:val="BodyText"/>
        <w:ind w:left="3" w:right="101" w:firstLine="419"/>
        <w:spacing w:before="119" w:line="364" w:lineRule="auto"/>
        <w:rPr/>
      </w:pPr>
      <w:r>
        <w:rPr>
          <w:spacing w:val="6"/>
        </w:rPr>
        <w:t>成员单位：市文化旅游广电局、生态环境</w:t>
      </w:r>
      <w:r>
        <w:rPr>
          <w:spacing w:val="7"/>
        </w:rPr>
        <w:t>局、气象局，各县（</w:t>
      </w:r>
      <w:r>
        <w:rPr>
          <w:spacing w:val="-50"/>
        </w:rPr>
        <w:t xml:space="preserve"> </w:t>
      </w:r>
      <w:r>
        <w:rPr>
          <w:spacing w:val="7"/>
        </w:rPr>
        <w:t>区）政府，固原日报社</w:t>
      </w:r>
    </w:p>
    <w:p>
      <w:pPr>
        <w:pStyle w:val="BodyText"/>
        <w:ind w:left="1" w:right="101" w:firstLine="428"/>
        <w:spacing w:before="4" w:line="364" w:lineRule="auto"/>
        <w:rPr/>
      </w:pPr>
      <w:r>
        <w:rPr>
          <w:spacing w:val="6"/>
        </w:rPr>
        <w:t>主要职责：负责指导、协调广播电台、电</w:t>
      </w:r>
      <w:r>
        <w:rPr>
          <w:spacing w:val="7"/>
        </w:rPr>
        <w:t>视台等新闻媒体发布预报预警信息，开展重污</w:t>
      </w:r>
      <w:r>
        <w:rPr>
          <w:spacing w:val="7"/>
        </w:rPr>
        <w:t>染天气防范宣传教育等工作。加强舆情收集分</w:t>
      </w:r>
      <w:r>
        <w:rPr>
          <w:spacing w:val="8"/>
        </w:rPr>
        <w:t>析，正确引导舆论宣传。</w:t>
      </w:r>
    </w:p>
    <w:p>
      <w:pPr>
        <w:pStyle w:val="BodyText"/>
        <w:ind w:left="413"/>
        <w:spacing w:before="5" w:line="278" w:lineRule="exact"/>
        <w:rPr/>
      </w:pPr>
      <w:r>
        <w:rPr>
          <w:spacing w:val="5"/>
          <w:position w:val="1"/>
        </w:rPr>
        <w:t>（</w:t>
      </w:r>
      <w:r>
        <w:rPr>
          <w:rFonts w:ascii="Times New Roman" w:hAnsi="Times New Roman" w:eastAsia="Times New Roman" w:cs="Times New Roman"/>
          <w:spacing w:val="5"/>
          <w:position w:val="1"/>
        </w:rPr>
        <w:t>6</w:t>
      </w:r>
      <w:r>
        <w:rPr>
          <w:rFonts w:ascii="Times New Roman" w:hAnsi="Times New Roman" w:eastAsia="Times New Roman" w:cs="Times New Roman"/>
          <w:spacing w:val="-20"/>
          <w:position w:val="1"/>
        </w:rPr>
        <w:t xml:space="preserve"> </w:t>
      </w:r>
      <w:r>
        <w:rPr>
          <w:spacing w:val="5"/>
          <w:position w:val="1"/>
        </w:rPr>
        <w:t>）物资保障组。</w:t>
      </w:r>
    </w:p>
    <w:p>
      <w:pPr>
        <w:pStyle w:val="BodyText"/>
        <w:ind w:left="422"/>
        <w:spacing w:before="118" w:line="278" w:lineRule="exact"/>
        <w:rPr/>
      </w:pPr>
      <w:r>
        <w:rPr>
          <w:spacing w:val="8"/>
          <w:position w:val="1"/>
        </w:rPr>
        <w:t>组    长：市财政局副局长</w:t>
      </w:r>
    </w:p>
    <w:p>
      <w:pPr>
        <w:pStyle w:val="BodyText"/>
        <w:ind w:left="3" w:right="48" w:firstLine="419"/>
        <w:spacing w:before="118" w:line="351" w:lineRule="auto"/>
        <w:jc w:val="both"/>
        <w:rPr/>
      </w:pPr>
      <w:r>
        <w:rPr>
          <w:spacing w:val="6"/>
        </w:rPr>
        <w:t>成员单位：市发展和改革委、财政局、民</w:t>
      </w:r>
      <w:r>
        <w:rPr>
          <w:spacing w:val="7"/>
        </w:rPr>
        <w:t>政局、交通运输局、粮食储备局，各县（</w:t>
      </w:r>
      <w:r>
        <w:rPr>
          <w:spacing w:val="-44"/>
        </w:rPr>
        <w:t xml:space="preserve"> </w:t>
      </w:r>
      <w:r>
        <w:rPr>
          <w:spacing w:val="7"/>
        </w:rPr>
        <w:t>区）</w:t>
      </w:r>
      <w:r>
        <w:rPr>
          <w:spacing w:val="6"/>
        </w:rPr>
        <w:t>政府</w:t>
      </w:r>
    </w:p>
    <w:p>
      <w:pPr>
        <w:pStyle w:val="BodyText"/>
        <w:ind w:left="3" w:right="101" w:firstLine="427"/>
        <w:spacing w:before="48" w:line="361" w:lineRule="auto"/>
        <w:jc w:val="both"/>
        <w:rPr/>
      </w:pPr>
      <w:r>
        <w:rPr>
          <w:spacing w:val="6"/>
        </w:rPr>
        <w:t>主要职责：负责重污染天气应急准备、预</w:t>
      </w:r>
      <w:r>
        <w:rPr>
          <w:spacing w:val="7"/>
        </w:rPr>
        <w:t>案演练、物资储备、电力供应、队伍建设及人</w:t>
      </w:r>
      <w:r>
        <w:rPr>
          <w:spacing w:val="8"/>
        </w:rPr>
        <w:t>员培训等工作经费保障。</w:t>
      </w:r>
    </w:p>
    <w:p>
      <w:pPr>
        <w:pStyle w:val="BodyText"/>
        <w:ind w:left="413"/>
        <w:spacing w:before="14" w:line="279" w:lineRule="exact"/>
        <w:rPr/>
      </w:pPr>
      <w:r>
        <w:rPr>
          <w:spacing w:val="4"/>
          <w:position w:val="1"/>
        </w:rPr>
        <w:t>（</w:t>
      </w:r>
      <w:r>
        <w:rPr>
          <w:rFonts w:ascii="Times New Roman" w:hAnsi="Times New Roman" w:eastAsia="Times New Roman" w:cs="Times New Roman"/>
          <w:spacing w:val="4"/>
          <w:position w:val="1"/>
        </w:rPr>
        <w:t>7</w:t>
      </w:r>
      <w:r>
        <w:rPr>
          <w:rFonts w:ascii="Times New Roman" w:hAnsi="Times New Roman" w:eastAsia="Times New Roman" w:cs="Times New Roman"/>
          <w:spacing w:val="-19"/>
          <w:position w:val="1"/>
        </w:rPr>
        <w:t xml:space="preserve"> </w:t>
      </w:r>
      <w:r>
        <w:rPr>
          <w:spacing w:val="4"/>
          <w:position w:val="1"/>
        </w:rPr>
        <w:t>）专家组</w:t>
      </w:r>
    </w:p>
    <w:p>
      <w:pPr>
        <w:pStyle w:val="BodyText"/>
        <w:ind w:left="4" w:right="71" w:firstLine="419"/>
        <w:spacing w:before="120" w:line="363" w:lineRule="auto"/>
        <w:rPr/>
      </w:pPr>
      <w:r>
        <w:rPr>
          <w:spacing w:val="6"/>
        </w:rPr>
        <w:t>根据工作实际，聘请有关专家组成重污染</w:t>
      </w:r>
      <w:r>
        <w:rPr>
          <w:spacing w:val="7"/>
        </w:rPr>
        <w:t>天气应急管理专家组，为本市重污染天气应急</w:t>
      </w:r>
      <w:r>
        <w:rPr>
          <w:spacing w:val="-2"/>
        </w:rPr>
        <w:t>管理工作提供业务咨询、决策建议和技术支持。</w:t>
      </w:r>
    </w:p>
    <w:p>
      <w:pPr>
        <w:ind w:left="425"/>
        <w:spacing w:before="1"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3</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rPr>
        <w:t>预警</w:t>
      </w:r>
    </w:p>
    <w:p>
      <w:pPr>
        <w:pStyle w:val="BodyText"/>
        <w:ind w:right="94" w:firstLine="426"/>
        <w:spacing w:before="90" w:line="359" w:lineRule="auto"/>
        <w:jc w:val="both"/>
        <w:rPr/>
      </w:pPr>
      <w:r>
        <w:rPr>
          <w:rFonts w:ascii="Times New Roman" w:hAnsi="Times New Roman" w:eastAsia="Times New Roman" w:cs="Times New Roman"/>
          <w:spacing w:val="7"/>
        </w:rPr>
        <w:t>3.</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1  </w:t>
      </w:r>
      <w:r>
        <w:rPr>
          <w:rFonts w:ascii="KaiTi" w:hAnsi="KaiTi" w:eastAsia="KaiTi" w:cs="KaiTi"/>
          <w:spacing w:val="7"/>
        </w:rPr>
        <w:t>预警的分级。</w:t>
      </w:r>
      <w:r>
        <w:rPr>
          <w:spacing w:val="7"/>
        </w:rPr>
        <w:t>重污染天气预警分</w:t>
      </w:r>
      <w:r>
        <w:rPr>
          <w:spacing w:val="6"/>
        </w:rPr>
        <w:t>级标</w:t>
      </w:r>
      <w:r>
        <w:rPr>
          <w:spacing w:val="12"/>
        </w:rPr>
        <w:t>准统一采用空气质量指数</w:t>
      </w:r>
      <w:r>
        <w:rPr>
          <w:spacing w:val="-24"/>
        </w:rPr>
        <w:t xml:space="preserve"> </w:t>
      </w:r>
      <w:r>
        <w:rPr>
          <w:rFonts w:ascii="Times New Roman" w:hAnsi="Times New Roman" w:eastAsia="Times New Roman" w:cs="Times New Roman"/>
        </w:rPr>
        <w:t>AQI</w:t>
      </w:r>
      <w:r>
        <w:rPr>
          <w:rFonts w:ascii="Times New Roman" w:hAnsi="Times New Roman" w:eastAsia="Times New Roman" w:cs="Times New Roman"/>
          <w:spacing w:val="20"/>
        </w:rPr>
        <w:t xml:space="preserve"> </w:t>
      </w:r>
      <w:r>
        <w:rPr>
          <w:spacing w:val="12"/>
        </w:rPr>
        <w:t>为指标</w:t>
      </w:r>
      <w:r>
        <w:rPr>
          <w:spacing w:val="-56"/>
        </w:rPr>
        <w:t xml:space="preserve"> </w:t>
      </w:r>
      <w:r>
        <w:rPr>
          <w:spacing w:val="12"/>
        </w:rPr>
        <w:t>，预测</w:t>
      </w:r>
      <w:r>
        <w:rPr>
          <w:rFonts w:ascii="Times New Roman" w:hAnsi="Times New Roman" w:eastAsia="Times New Roman" w:cs="Times New Roman"/>
        </w:rPr>
        <w:t>AQI</w:t>
      </w:r>
      <w:r>
        <w:rPr>
          <w:rFonts w:ascii="Times New Roman" w:hAnsi="Times New Roman" w:eastAsia="Times New Roman" w:cs="Times New Roman"/>
          <w:spacing w:val="7"/>
        </w:rPr>
        <w:t xml:space="preserve">  </w:t>
      </w:r>
      <w:r>
        <w:rPr>
          <w:spacing w:val="9"/>
        </w:rPr>
        <w:t>日均值按连续</w:t>
      </w:r>
      <w:r>
        <w:rPr>
          <w:spacing w:val="-37"/>
        </w:rPr>
        <w:t xml:space="preserve"> </w:t>
      </w:r>
      <w:r>
        <w:rPr>
          <w:rFonts w:ascii="Times New Roman" w:hAnsi="Times New Roman" w:eastAsia="Times New Roman" w:cs="Times New Roman"/>
          <w:spacing w:val="9"/>
        </w:rPr>
        <w:t>24 </w:t>
      </w:r>
      <w:r>
        <w:rPr>
          <w:spacing w:val="9"/>
        </w:rPr>
        <w:t>小时（可以跨自然日）</w:t>
      </w:r>
      <w:r>
        <w:rPr>
          <w:spacing w:val="7"/>
        </w:rPr>
        <w:t>均值计算。</w:t>
      </w:r>
    </w:p>
    <w:p>
      <w:pPr>
        <w:pStyle w:val="BodyText"/>
        <w:ind w:right="78" w:firstLine="423"/>
        <w:spacing w:before="35" w:line="364" w:lineRule="auto"/>
        <w:jc w:val="both"/>
        <w:rPr/>
      </w:pPr>
      <w:r>
        <w:rPr>
          <w:spacing w:val="8"/>
        </w:rPr>
        <w:t>重污染天气预警级别从低到高分为黄色、</w:t>
      </w:r>
      <w:r>
        <w:rPr>
          <w:spacing w:val="7"/>
        </w:rPr>
        <w:t>橙色和红色预警三级，红色为最高级别。各级</w:t>
      </w:r>
      <w:r>
        <w:rPr>
          <w:spacing w:val="7"/>
        </w:rPr>
        <w:t>别分级标准为：</w:t>
      </w:r>
    </w:p>
    <w:p>
      <w:pPr>
        <w:pStyle w:val="BodyText"/>
        <w:ind w:left="1" w:right="98" w:firstLine="423"/>
        <w:spacing w:before="2" w:line="361" w:lineRule="auto"/>
        <w:jc w:val="both"/>
        <w:rPr/>
      </w:pPr>
      <w:r>
        <w:rPr>
          <w:spacing w:val="6"/>
        </w:rPr>
        <w:t>黄色预警：预测</w:t>
      </w:r>
      <w:r>
        <w:rPr>
          <w:spacing w:val="-41"/>
        </w:rPr>
        <w:t xml:space="preserve"> </w:t>
      </w:r>
      <w:r>
        <w:rPr>
          <w:rFonts w:ascii="Times New Roman" w:hAnsi="Times New Roman" w:eastAsia="Times New Roman" w:cs="Times New Roman"/>
        </w:rPr>
        <w:t>AQI</w:t>
      </w:r>
      <w:r>
        <w:rPr>
          <w:rFonts w:ascii="Times New Roman" w:hAnsi="Times New Roman" w:eastAsia="Times New Roman" w:cs="Times New Roman"/>
          <w:spacing w:val="1"/>
        </w:rPr>
        <w:t xml:space="preserve">  </w:t>
      </w:r>
      <w:r>
        <w:rPr>
          <w:spacing w:val="6"/>
        </w:rPr>
        <w:t>日均值</w:t>
      </w:r>
      <w:r>
        <w:rPr>
          <w:rFonts w:ascii="Times New Roman" w:hAnsi="Times New Roman" w:eastAsia="Times New Roman" w:cs="Times New Roman"/>
          <w:spacing w:val="6"/>
        </w:rPr>
        <w:t>&gt;200 </w:t>
      </w:r>
      <w:r>
        <w:rPr>
          <w:spacing w:val="6"/>
        </w:rPr>
        <w:t>将持续</w:t>
      </w:r>
      <w:r>
        <w:rPr>
          <w:rFonts w:ascii="Times New Roman" w:hAnsi="Times New Roman" w:eastAsia="Times New Roman" w:cs="Times New Roman"/>
          <w:spacing w:val="4"/>
        </w:rPr>
        <w:t>48 </w:t>
      </w:r>
      <w:r>
        <w:rPr>
          <w:spacing w:val="4"/>
        </w:rPr>
        <w:t>小时及以上，且短时出现重度污染、未达到</w:t>
      </w:r>
      <w:r>
        <w:rPr>
          <w:spacing w:val="8"/>
        </w:rPr>
        <w:t>高级别预警条件。</w:t>
      </w:r>
    </w:p>
    <w:p>
      <w:pPr>
        <w:pStyle w:val="BodyText"/>
        <w:ind w:left="6" w:right="101" w:firstLine="414"/>
        <w:spacing w:before="12" w:line="294" w:lineRule="auto"/>
        <w:rPr/>
      </w:pPr>
      <w:r>
        <w:rPr>
          <w:spacing w:val="6"/>
        </w:rPr>
        <w:t>橙色预警：预测</w:t>
      </w:r>
      <w:r>
        <w:rPr>
          <w:spacing w:val="-37"/>
        </w:rPr>
        <w:t xml:space="preserve"> </w:t>
      </w:r>
      <w:r>
        <w:rPr>
          <w:rFonts w:ascii="Times New Roman" w:hAnsi="Times New Roman" w:eastAsia="Times New Roman" w:cs="Times New Roman"/>
        </w:rPr>
        <w:t>AQI</w:t>
      </w:r>
      <w:r>
        <w:rPr>
          <w:rFonts w:ascii="Times New Roman" w:hAnsi="Times New Roman" w:eastAsia="Times New Roman" w:cs="Times New Roman"/>
          <w:spacing w:val="1"/>
        </w:rPr>
        <w:t xml:space="preserve">  </w:t>
      </w:r>
      <w:r>
        <w:rPr>
          <w:spacing w:val="6"/>
        </w:rPr>
        <w:t>日均值</w:t>
      </w:r>
      <w:r>
        <w:rPr>
          <w:rFonts w:ascii="Times New Roman" w:hAnsi="Times New Roman" w:eastAsia="Times New Roman" w:cs="Times New Roman"/>
          <w:spacing w:val="6"/>
        </w:rPr>
        <w:t>&gt;200 </w:t>
      </w:r>
      <w:r>
        <w:rPr>
          <w:spacing w:val="6"/>
        </w:rPr>
        <w:t>将持续</w:t>
      </w:r>
      <w:r>
        <w:rPr>
          <w:rFonts w:ascii="Times New Roman" w:hAnsi="Times New Roman" w:eastAsia="Times New Roman" w:cs="Times New Roman"/>
          <w:spacing w:val="6"/>
        </w:rPr>
        <w:t>3 </w:t>
      </w:r>
      <w:r>
        <w:rPr>
          <w:spacing w:val="6"/>
        </w:rPr>
        <w:t>天（</w:t>
      </w:r>
      <w:r>
        <w:rPr>
          <w:rFonts w:ascii="Times New Roman" w:hAnsi="Times New Roman" w:eastAsia="Times New Roman" w:cs="Times New Roman"/>
          <w:spacing w:val="6"/>
        </w:rPr>
        <w:t>72 </w:t>
      </w:r>
      <w:r>
        <w:rPr>
          <w:spacing w:val="6"/>
        </w:rPr>
        <w:t>小时）及以上，且未达到高级别预警</w:t>
      </w:r>
    </w:p>
    <w:p>
      <w:pPr>
        <w:spacing w:line="294" w:lineRule="auto"/>
        <w:sectPr>
          <w:type w:val="continuous"/>
          <w:pgSz w:w="11906" w:h="16839"/>
          <w:pgMar w:top="1772" w:right="1489" w:bottom="1572" w:left="1571" w:header="1428" w:footer="1172" w:gutter="0"/>
          <w:cols w:equalWidth="0" w:num="2">
            <w:col w:w="4497" w:space="100"/>
            <w:col w:w="4250" w:space="0"/>
          </w:cols>
        </w:sectPr>
        <w:rPr/>
      </w:pPr>
    </w:p>
    <w:p>
      <w:pPr>
        <w:spacing w:before="73"/>
        <w:rPr/>
      </w:pPr>
      <w:r>
        <w:drawing>
          <wp:anchor distT="0" distB="0" distL="0" distR="0" simplePos="0" relativeHeight="253968384"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2136" name="IM 2136"/>
            <wp:cNvGraphicFramePr/>
            <a:graphic>
              <a:graphicData uri="http://schemas.openxmlformats.org/drawingml/2006/picture">
                <pic:pic>
                  <pic:nvPicPr>
                    <pic:cNvPr id="2136" name="IM 2136"/>
                    <pic:cNvPicPr/>
                  </pic:nvPicPr>
                  <pic:blipFill>
                    <a:blip r:embed="rId1070"/>
                    <a:stretch>
                      <a:fillRect/>
                    </a:stretch>
                  </pic:blipFill>
                  <pic:spPr>
                    <a:xfrm rot="0">
                      <a:off x="0" y="0"/>
                      <a:ext cx="5579745" cy="7620"/>
                    </a:xfrm>
                    <a:prstGeom prst="rect">
                      <a:avLst/>
                    </a:prstGeom>
                  </pic:spPr>
                </pic:pic>
              </a:graphicData>
            </a:graphic>
          </wp:anchor>
        </w:drawing>
      </w:r>
      <w:r/>
    </w:p>
    <w:p>
      <w:pPr>
        <w:sectPr>
          <w:headerReference w:type="default" r:id="rId539"/>
          <w:footerReference w:type="default" r:id="rId1069"/>
          <w:pgSz w:w="11906" w:h="16839"/>
          <w:pgMar w:top="1766" w:right="1513" w:bottom="1574" w:left="1579" w:header="1428" w:footer="1172" w:gutter="0"/>
          <w:cols w:equalWidth="0" w:num="1">
            <w:col w:w="8814" w:space="0"/>
          </w:cols>
        </w:sectPr>
        <w:rPr/>
      </w:pPr>
    </w:p>
    <w:p>
      <w:pPr>
        <w:pStyle w:val="BodyText"/>
        <w:ind w:left="14"/>
        <w:spacing w:before="41" w:line="220" w:lineRule="auto"/>
        <w:rPr/>
      </w:pPr>
      <w:r>
        <w:rPr>
          <w:spacing w:val="4"/>
        </w:rPr>
        <w:t>条件。</w:t>
      </w:r>
    </w:p>
    <w:p>
      <w:pPr>
        <w:pStyle w:val="BodyText"/>
        <w:ind w:left="11" w:right="323" w:firstLine="424"/>
        <w:spacing w:before="149" w:line="350" w:lineRule="auto"/>
        <w:jc w:val="both"/>
        <w:rPr/>
      </w:pPr>
      <w:r>
        <w:rPr>
          <w:spacing w:val="6"/>
        </w:rPr>
        <w:t>红色预警：预测</w:t>
      </w:r>
      <w:r>
        <w:rPr>
          <w:spacing w:val="-41"/>
        </w:rPr>
        <w:t xml:space="preserve"> </w:t>
      </w:r>
      <w:r>
        <w:rPr>
          <w:rFonts w:ascii="Times New Roman" w:hAnsi="Times New Roman" w:eastAsia="Times New Roman" w:cs="Times New Roman"/>
        </w:rPr>
        <w:t>AQI</w:t>
      </w:r>
      <w:r>
        <w:rPr>
          <w:rFonts w:ascii="Times New Roman" w:hAnsi="Times New Roman" w:eastAsia="Times New Roman" w:cs="Times New Roman"/>
          <w:spacing w:val="1"/>
        </w:rPr>
        <w:t xml:space="preserve">  </w:t>
      </w:r>
      <w:r>
        <w:rPr>
          <w:spacing w:val="6"/>
        </w:rPr>
        <w:t>日均值</w:t>
      </w:r>
      <w:r>
        <w:rPr>
          <w:rFonts w:ascii="Times New Roman" w:hAnsi="Times New Roman" w:eastAsia="Times New Roman" w:cs="Times New Roman"/>
          <w:spacing w:val="6"/>
        </w:rPr>
        <w:t>&gt;200 </w:t>
      </w:r>
      <w:r>
        <w:rPr>
          <w:spacing w:val="6"/>
        </w:rPr>
        <w:t>将持续</w:t>
      </w:r>
      <w:r>
        <w:rPr>
          <w:rFonts w:ascii="Times New Roman" w:hAnsi="Times New Roman" w:eastAsia="Times New Roman" w:cs="Times New Roman"/>
          <w:spacing w:val="-6"/>
        </w:rPr>
        <w:t>4 </w:t>
      </w:r>
      <w:r>
        <w:rPr>
          <w:spacing w:val="-6"/>
        </w:rPr>
        <w:t>天（</w:t>
      </w:r>
      <w:r>
        <w:rPr>
          <w:rFonts w:ascii="Times New Roman" w:hAnsi="Times New Roman" w:eastAsia="Times New Roman" w:cs="Times New Roman"/>
          <w:spacing w:val="-6"/>
        </w:rPr>
        <w:t>96 </w:t>
      </w:r>
      <w:r>
        <w:rPr>
          <w:spacing w:val="-6"/>
        </w:rPr>
        <w:t>小时）及以上，且预测</w:t>
      </w:r>
      <w:r>
        <w:rPr>
          <w:spacing w:val="-43"/>
        </w:rPr>
        <w:t xml:space="preserve"> </w:t>
      </w:r>
      <w:r>
        <w:rPr>
          <w:rFonts w:ascii="Times New Roman" w:hAnsi="Times New Roman" w:eastAsia="Times New Roman" w:cs="Times New Roman"/>
          <w:spacing w:val="-6"/>
        </w:rPr>
        <w:t>AQI  </w:t>
      </w:r>
      <w:r>
        <w:rPr>
          <w:spacing w:val="-6"/>
        </w:rPr>
        <w:t>日均值</w:t>
      </w:r>
      <w:r>
        <w:rPr>
          <w:rFonts w:ascii="Times New Roman" w:hAnsi="Times New Roman" w:eastAsia="Times New Roman" w:cs="Times New Roman"/>
          <w:spacing w:val="-6"/>
        </w:rPr>
        <w:t>&gt;300</w:t>
      </w:r>
      <w:r>
        <w:rPr>
          <w:spacing w:val="10"/>
        </w:rPr>
        <w:t>将持续</w:t>
      </w:r>
      <w:r>
        <w:rPr>
          <w:spacing w:val="-19"/>
        </w:rPr>
        <w:t xml:space="preserve"> </w:t>
      </w:r>
      <w:r>
        <w:rPr>
          <w:rFonts w:ascii="Times New Roman" w:hAnsi="Times New Roman" w:eastAsia="Times New Roman" w:cs="Times New Roman"/>
          <w:spacing w:val="10"/>
        </w:rPr>
        <w:t>2</w:t>
      </w:r>
      <w:r>
        <w:rPr>
          <w:rFonts w:ascii="Times New Roman" w:hAnsi="Times New Roman" w:eastAsia="Times New Roman" w:cs="Times New Roman"/>
          <w:spacing w:val="17"/>
          <w:w w:val="101"/>
        </w:rPr>
        <w:t xml:space="preserve"> </w:t>
      </w:r>
      <w:r>
        <w:rPr>
          <w:spacing w:val="10"/>
        </w:rPr>
        <w:t>天（</w:t>
      </w:r>
      <w:r>
        <w:rPr>
          <w:rFonts w:ascii="Times New Roman" w:hAnsi="Times New Roman" w:eastAsia="Times New Roman" w:cs="Times New Roman"/>
          <w:spacing w:val="10"/>
        </w:rPr>
        <w:t>48 </w:t>
      </w:r>
      <w:r>
        <w:rPr>
          <w:spacing w:val="10"/>
        </w:rPr>
        <w:t>小时）及以上</w:t>
      </w:r>
      <w:r>
        <w:rPr>
          <w:spacing w:val="-57"/>
        </w:rPr>
        <w:t xml:space="preserve"> </w:t>
      </w:r>
      <w:r>
        <w:rPr>
          <w:spacing w:val="10"/>
        </w:rPr>
        <w:t>；或预测</w:t>
      </w:r>
      <w:r>
        <w:rPr>
          <w:spacing w:val="-37"/>
        </w:rPr>
        <w:t xml:space="preserve"> </w:t>
      </w:r>
      <w:r>
        <w:rPr>
          <w:rFonts w:ascii="Times New Roman" w:hAnsi="Times New Roman" w:eastAsia="Times New Roman" w:cs="Times New Roman"/>
        </w:rPr>
        <w:t>AQI</w:t>
      </w:r>
      <w:r>
        <w:rPr>
          <w:spacing w:val="5"/>
        </w:rPr>
        <w:t>日均值达到</w:t>
      </w:r>
      <w:r>
        <w:rPr>
          <w:spacing w:val="-32"/>
        </w:rPr>
        <w:t xml:space="preserve"> </w:t>
      </w:r>
      <w:r>
        <w:rPr>
          <w:rFonts w:ascii="Times New Roman" w:hAnsi="Times New Roman" w:eastAsia="Times New Roman" w:cs="Times New Roman"/>
          <w:spacing w:val="5"/>
        </w:rPr>
        <w:t>500</w:t>
      </w:r>
      <w:r>
        <w:rPr>
          <w:spacing w:val="5"/>
        </w:rPr>
        <w:t>。</w:t>
      </w:r>
    </w:p>
    <w:p>
      <w:pPr>
        <w:ind w:left="437"/>
        <w:spacing w:before="45" w:line="264" w:lineRule="exact"/>
        <w:rPr>
          <w:rFonts w:ascii="KaiTi" w:hAnsi="KaiTi" w:eastAsia="KaiTi" w:cs="KaiTi"/>
          <w:sz w:val="20"/>
          <w:szCs w:val="20"/>
        </w:rPr>
      </w:pPr>
      <w:r>
        <w:rPr>
          <w:rFonts w:ascii="Times New Roman" w:hAnsi="Times New Roman" w:eastAsia="Times New Roman" w:cs="Times New Roman"/>
          <w:sz w:val="20"/>
          <w:szCs w:val="20"/>
          <w:spacing w:val="5"/>
          <w:position w:val="1"/>
        </w:rPr>
        <w:t>3.2  </w:t>
      </w:r>
      <w:r>
        <w:rPr>
          <w:rFonts w:ascii="KaiTi" w:hAnsi="KaiTi" w:eastAsia="KaiTi" w:cs="KaiTi"/>
          <w:sz w:val="20"/>
          <w:szCs w:val="20"/>
          <w:spacing w:val="5"/>
          <w:position w:val="1"/>
        </w:rPr>
        <w:t>预警的发布。</w:t>
      </w:r>
    </w:p>
    <w:p>
      <w:pPr>
        <w:pStyle w:val="BodyText"/>
        <w:ind w:left="437"/>
        <w:spacing w:before="129" w:line="221" w:lineRule="auto"/>
        <w:rPr/>
      </w:pPr>
      <w:r>
        <w:rPr>
          <w:rFonts w:ascii="Times New Roman" w:hAnsi="Times New Roman" w:eastAsia="Times New Roman" w:cs="Times New Roman"/>
          <w:spacing w:val="4"/>
        </w:rPr>
        <w:t>3.2.1 </w:t>
      </w:r>
      <w:r>
        <w:rPr>
          <w:spacing w:val="4"/>
        </w:rPr>
        <w:t>监测预警。</w:t>
      </w:r>
    </w:p>
    <w:p>
      <w:pPr>
        <w:pStyle w:val="BodyText"/>
        <w:ind w:left="12" w:right="247" w:firstLine="422"/>
        <w:spacing w:before="149" w:line="360" w:lineRule="auto"/>
        <w:rPr/>
      </w:pPr>
      <w:r>
        <w:rPr>
          <w:spacing w:val="19"/>
        </w:rPr>
        <w:t>市生态环境局和市气象局联合组织开展</w:t>
      </w:r>
      <w:r>
        <w:rPr>
          <w:spacing w:val="7"/>
        </w:rPr>
        <w:t>本市重污染天气监测预警、会商工作。市生态</w:t>
      </w:r>
      <w:r>
        <w:rPr>
          <w:spacing w:val="18"/>
        </w:rPr>
        <w:t>环境局负责本市空气污染物的监测预警及动</w:t>
      </w:r>
      <w:r>
        <w:rPr>
          <w:spacing w:val="7"/>
        </w:rPr>
        <w:t>态趋势分析；市气象局负责本市空气污染气象</w:t>
      </w:r>
      <w:r>
        <w:rPr>
          <w:spacing w:val="-8"/>
        </w:rPr>
        <w:t>条件等级预报和大雾、霾、沙尘暴天气监测预警。</w:t>
      </w:r>
    </w:p>
    <w:p>
      <w:pPr>
        <w:pStyle w:val="BodyText"/>
        <w:ind w:left="437"/>
        <w:spacing w:before="1" w:line="221" w:lineRule="auto"/>
        <w:rPr/>
      </w:pPr>
      <w:r>
        <w:rPr>
          <w:rFonts w:ascii="Times New Roman" w:hAnsi="Times New Roman" w:eastAsia="Times New Roman" w:cs="Times New Roman"/>
          <w:spacing w:val="5"/>
        </w:rPr>
        <w:t>3.2.2 </w:t>
      </w:r>
      <w:r>
        <w:rPr>
          <w:spacing w:val="5"/>
        </w:rPr>
        <w:t>预警信息的发布。</w:t>
      </w:r>
    </w:p>
    <w:p>
      <w:pPr>
        <w:pStyle w:val="BodyText"/>
        <w:ind w:left="12" w:right="265" w:firstLine="412"/>
        <w:spacing w:before="147" w:line="343" w:lineRule="auto"/>
        <w:rPr/>
      </w:pPr>
      <w:r>
        <w:rPr>
          <w:spacing w:val="6"/>
        </w:rPr>
        <w:t>（</w:t>
      </w:r>
      <w:r>
        <w:rPr>
          <w:spacing w:val="-34"/>
        </w:rPr>
        <w:t xml:space="preserve"> </w:t>
      </w:r>
      <w:r>
        <w:rPr>
          <w:rFonts w:ascii="Times New Roman" w:hAnsi="Times New Roman" w:eastAsia="Times New Roman" w:cs="Times New Roman"/>
          <w:spacing w:val="6"/>
        </w:rPr>
        <w:t>1 </w:t>
      </w:r>
      <w:r>
        <w:rPr>
          <w:spacing w:val="6"/>
        </w:rPr>
        <w:t>）当预测到未来空气质量可能达到预</w:t>
      </w:r>
      <w:r>
        <w:rPr>
          <w:spacing w:val="9"/>
        </w:rPr>
        <w:t>警启动条件时</w:t>
      </w:r>
      <w:r>
        <w:rPr>
          <w:spacing w:val="-51"/>
        </w:rPr>
        <w:t xml:space="preserve"> </w:t>
      </w:r>
      <w:r>
        <w:rPr>
          <w:spacing w:val="9"/>
        </w:rPr>
        <w:t>，提前</w:t>
      </w:r>
      <w:r>
        <w:rPr>
          <w:spacing w:val="-41"/>
        </w:rPr>
        <w:t xml:space="preserve"> </w:t>
      </w:r>
      <w:r>
        <w:rPr>
          <w:rFonts w:ascii="Times New Roman" w:hAnsi="Times New Roman" w:eastAsia="Times New Roman" w:cs="Times New Roman"/>
          <w:spacing w:val="9"/>
        </w:rPr>
        <w:t>24 </w:t>
      </w:r>
      <w:r>
        <w:rPr>
          <w:spacing w:val="9"/>
        </w:rPr>
        <w:t>小时以上发布预警信</w:t>
      </w:r>
      <w:r>
        <w:rPr>
          <w:spacing w:val="7"/>
        </w:rPr>
        <w:t>息。当监测空气质量已经达到重度污染，且预</w:t>
      </w:r>
      <w:r>
        <w:rPr>
          <w:spacing w:val="8"/>
        </w:rPr>
        <w:t>测未来</w:t>
      </w:r>
      <w:r>
        <w:rPr>
          <w:rFonts w:ascii="Times New Roman" w:hAnsi="Times New Roman" w:eastAsia="Times New Roman" w:cs="Times New Roman"/>
          <w:spacing w:val="8"/>
        </w:rPr>
        <w:t>24</w:t>
      </w:r>
      <w:r>
        <w:rPr>
          <w:rFonts w:ascii="Times New Roman" w:hAnsi="Times New Roman" w:eastAsia="Times New Roman" w:cs="Times New Roman"/>
          <w:spacing w:val="-9"/>
        </w:rPr>
        <w:t xml:space="preserve"> </w:t>
      </w:r>
      <w:r>
        <w:rPr>
          <w:spacing w:val="8"/>
        </w:rPr>
        <w:t>小时内空气质量不会有明显改善时，</w:t>
      </w:r>
      <w:r>
        <w:rPr>
          <w:spacing w:val="18"/>
        </w:rPr>
        <w:t>根据实际污染情况尽早启动或调整相应级别</w:t>
      </w:r>
      <w:r>
        <w:rPr>
          <w:spacing w:val="6"/>
        </w:rPr>
        <w:t>的预警。当预测</w:t>
      </w:r>
      <w:r>
        <w:rPr>
          <w:spacing w:val="-46"/>
        </w:rPr>
        <w:t xml:space="preserve"> </w:t>
      </w:r>
      <w:r>
        <w:rPr>
          <w:rFonts w:ascii="Times New Roman" w:hAnsi="Times New Roman" w:eastAsia="Times New Roman" w:cs="Times New Roman"/>
        </w:rPr>
        <w:t>AQI</w:t>
      </w:r>
      <w:r>
        <w:rPr>
          <w:rFonts w:ascii="Times New Roman" w:hAnsi="Times New Roman" w:eastAsia="Times New Roman" w:cs="Times New Roman"/>
          <w:spacing w:val="6"/>
        </w:rPr>
        <w:t xml:space="preserve">  </w:t>
      </w:r>
      <w:r>
        <w:rPr>
          <w:spacing w:val="6"/>
        </w:rPr>
        <w:t>日均值</w:t>
      </w:r>
      <w:r>
        <w:rPr>
          <w:rFonts w:ascii="Times New Roman" w:hAnsi="Times New Roman" w:eastAsia="Times New Roman" w:cs="Times New Roman"/>
          <w:spacing w:val="6"/>
        </w:rPr>
        <w:t>&gt;200 </w:t>
      </w:r>
      <w:r>
        <w:rPr>
          <w:spacing w:val="6"/>
        </w:rPr>
        <w:t>持续</w:t>
      </w:r>
      <w:r>
        <w:rPr>
          <w:spacing w:val="-20"/>
        </w:rPr>
        <w:t xml:space="preserve"> </w:t>
      </w:r>
      <w:r>
        <w:rPr>
          <w:rFonts w:ascii="Times New Roman" w:hAnsi="Times New Roman" w:eastAsia="Times New Roman" w:cs="Times New Roman"/>
          <w:spacing w:val="5"/>
        </w:rPr>
        <w:t>1 </w:t>
      </w:r>
      <w:r>
        <w:rPr>
          <w:spacing w:val="5"/>
        </w:rPr>
        <w:t>天</w:t>
      </w:r>
      <w:r>
        <w:rPr>
          <w:spacing w:val="-59"/>
        </w:rPr>
        <w:t xml:space="preserve"> </w:t>
      </w:r>
      <w:r>
        <w:rPr>
          <w:spacing w:val="5"/>
        </w:rPr>
        <w:t>，</w:t>
      </w:r>
      <w:r>
        <w:rPr>
          <w:spacing w:val="7"/>
        </w:rPr>
        <w:t>且未达到高级别预警标准时，由指挥部办公室</w:t>
      </w:r>
      <w:r>
        <w:rPr/>
        <w:t>随空气质量预报信息发布健康防护提示性信息。</w:t>
      </w:r>
    </w:p>
    <w:p>
      <w:pPr>
        <w:pStyle w:val="BodyText"/>
        <w:ind w:left="12" w:right="262" w:firstLine="412"/>
        <w:spacing w:before="148" w:line="344" w:lineRule="auto"/>
        <w:rPr/>
      </w:pPr>
      <w:r>
        <w:rPr>
          <w:spacing w:val="3"/>
        </w:rPr>
        <w:t>（</w:t>
      </w:r>
      <w:r>
        <w:rPr>
          <w:rFonts w:ascii="Times New Roman" w:hAnsi="Times New Roman" w:eastAsia="Times New Roman" w:cs="Times New Roman"/>
          <w:spacing w:val="3"/>
        </w:rPr>
        <w:t>2</w:t>
      </w:r>
      <w:r>
        <w:rPr>
          <w:rFonts w:ascii="Times New Roman" w:hAnsi="Times New Roman" w:eastAsia="Times New Roman" w:cs="Times New Roman"/>
          <w:spacing w:val="-7"/>
        </w:rPr>
        <w:t xml:space="preserve"> </w:t>
      </w:r>
      <w:r>
        <w:rPr>
          <w:spacing w:val="3"/>
        </w:rPr>
        <w:t>）黄色预警经指挥部办公室主任批准；</w:t>
      </w:r>
      <w:r>
        <w:rPr>
          <w:spacing w:val="18"/>
        </w:rPr>
        <w:t>橙色预警经市政府分管生态环境保护工作的</w:t>
      </w:r>
      <w:r>
        <w:rPr>
          <w:spacing w:val="15"/>
        </w:rPr>
        <w:t>副市长批准</w:t>
      </w:r>
      <w:r>
        <w:rPr>
          <w:spacing w:val="-40"/>
        </w:rPr>
        <w:t xml:space="preserve"> </w:t>
      </w:r>
      <w:r>
        <w:rPr>
          <w:spacing w:val="15"/>
        </w:rPr>
        <w:t>；红色预警经市政府主要领导批</w:t>
      </w:r>
      <w:r>
        <w:rPr>
          <w:spacing w:val="7"/>
        </w:rPr>
        <w:t>准。黄色预警信息以应急指挥部办公室的名义</w:t>
      </w:r>
      <w:r>
        <w:rPr/>
        <w:t>发布，橙色、红色预警信息以市政府名义发布：</w:t>
      </w:r>
    </w:p>
    <w:p>
      <w:pPr>
        <w:pStyle w:val="BodyText"/>
        <w:ind w:left="11" w:right="309" w:firstLine="422"/>
        <w:spacing w:before="119" w:line="366" w:lineRule="auto"/>
        <w:jc w:val="both"/>
        <w:rPr/>
      </w:pPr>
      <w:r>
        <w:rPr>
          <w:spacing w:val="19"/>
        </w:rPr>
        <w:t>一是由应急指挥部办公室通过文件传真</w:t>
      </w:r>
      <w:r>
        <w:rPr>
          <w:spacing w:val="7"/>
        </w:rPr>
        <w:t>的方式向市政府值班室、各成员单位发布预警</w:t>
      </w:r>
      <w:r>
        <w:rPr>
          <w:spacing w:val="7"/>
        </w:rPr>
        <w:t>信息。各成员单位接到预警信息后，根据预警</w:t>
      </w:r>
      <w:r>
        <w:rPr>
          <w:spacing w:val="7"/>
        </w:rPr>
        <w:t>级别，立即通知管辖范围内的各单位及工业企</w:t>
      </w:r>
      <w:r>
        <w:rPr>
          <w:spacing w:val="7"/>
        </w:rPr>
        <w:t>业、各类施工工地、学校及幼儿园、机动车车</w:t>
      </w:r>
      <w:r>
        <w:rPr>
          <w:spacing w:val="8"/>
        </w:rPr>
        <w:t>主及驾驶员等启动（调整或终止）应急响应。</w:t>
      </w:r>
    </w:p>
    <w:p>
      <w:pPr>
        <w:pStyle w:val="BodyText"/>
        <w:ind w:left="434"/>
        <w:spacing w:before="1" w:line="221" w:lineRule="auto"/>
        <w:rPr/>
      </w:pPr>
      <w:r>
        <w:rPr>
          <w:spacing w:val="6"/>
        </w:rPr>
        <w:t>二是由应急指挥部办公室通过微信、手机</w:t>
      </w:r>
    </w:p>
    <w:p>
      <w:pPr>
        <w:spacing w:line="14" w:lineRule="auto"/>
        <w:rPr>
          <w:rFonts w:ascii="Arial"/>
          <w:sz w:val="2"/>
        </w:rPr>
      </w:pPr>
      <w:r>
        <w:rPr>
          <w:rFonts w:ascii="Arial" w:hAnsi="Arial" w:eastAsia="Arial" w:cs="Arial"/>
          <w:sz w:val="2"/>
          <w:szCs w:val="2"/>
        </w:rPr>
        <w:br w:type="column"/>
      </w:r>
    </w:p>
    <w:p>
      <w:pPr>
        <w:pStyle w:val="BodyText"/>
        <w:ind w:right="77" w:firstLine="2"/>
        <w:spacing w:before="40" w:line="366" w:lineRule="auto"/>
        <w:rPr/>
      </w:pPr>
      <w:r>
        <w:rPr>
          <w:spacing w:val="18"/>
        </w:rPr>
        <w:t>短信向各成员单位负责同志及联络员发布预</w:t>
      </w:r>
      <w:r>
        <w:rPr>
          <w:spacing w:val="6"/>
        </w:rPr>
        <w:t>警信息。</w:t>
      </w:r>
    </w:p>
    <w:p>
      <w:pPr>
        <w:pStyle w:val="BodyText"/>
        <w:ind w:left="2" w:right="75" w:firstLine="423"/>
        <w:spacing w:line="364" w:lineRule="auto"/>
        <w:jc w:val="both"/>
        <w:rPr/>
      </w:pPr>
      <w:r>
        <w:rPr>
          <w:spacing w:val="18"/>
        </w:rPr>
        <w:t>三是由市政府相关部门通过本市广播电</w:t>
      </w:r>
      <w:r>
        <w:rPr>
          <w:spacing w:val="11"/>
        </w:rPr>
        <w:t>台、电视台、报刊等媒体及</w:t>
      </w:r>
      <w:r>
        <w:rPr>
          <w:rFonts w:ascii="Times New Roman" w:hAnsi="Times New Roman" w:eastAsia="Times New Roman" w:cs="Times New Roman"/>
          <w:spacing w:val="11"/>
        </w:rPr>
        <w:t>“</w:t>
      </w:r>
      <w:r>
        <w:rPr>
          <w:rFonts w:ascii="Times New Roman" w:hAnsi="Times New Roman" w:eastAsia="Times New Roman" w:cs="Times New Roman"/>
          <w:spacing w:val="-1"/>
        </w:rPr>
        <w:t xml:space="preserve"> </w:t>
      </w:r>
      <w:r>
        <w:rPr>
          <w:spacing w:val="11"/>
        </w:rPr>
        <w:t>固原发布</w:t>
      </w:r>
      <w:r>
        <w:rPr>
          <w:rFonts w:ascii="Times New Roman" w:hAnsi="Times New Roman" w:eastAsia="Times New Roman" w:cs="Times New Roman"/>
          <w:spacing w:val="11"/>
        </w:rPr>
        <w:t>”“</w:t>
      </w:r>
      <w:r>
        <w:rPr>
          <w:spacing w:val="11"/>
        </w:rPr>
        <w:t>大城</w:t>
      </w:r>
      <w:r>
        <w:rPr>
          <w:spacing w:val="8"/>
        </w:rPr>
        <w:t>小事</w:t>
      </w:r>
      <w:r>
        <w:rPr>
          <w:rFonts w:ascii="Times New Roman" w:hAnsi="Times New Roman" w:eastAsia="Times New Roman" w:cs="Times New Roman"/>
          <w:spacing w:val="8"/>
        </w:rPr>
        <w:t>”</w:t>
      </w:r>
      <w:r>
        <w:rPr>
          <w:spacing w:val="8"/>
        </w:rPr>
        <w:t>等向公众发布预警信息。</w:t>
      </w:r>
    </w:p>
    <w:p>
      <w:pPr>
        <w:ind w:left="426"/>
        <w:spacing w:line="263" w:lineRule="exact"/>
        <w:rPr>
          <w:rFonts w:ascii="KaiTi" w:hAnsi="KaiTi" w:eastAsia="KaiTi" w:cs="KaiTi"/>
          <w:sz w:val="20"/>
          <w:szCs w:val="20"/>
        </w:rPr>
      </w:pPr>
      <w:r>
        <w:rPr>
          <w:rFonts w:ascii="Times New Roman" w:hAnsi="Times New Roman" w:eastAsia="Times New Roman" w:cs="Times New Roman"/>
          <w:sz w:val="20"/>
          <w:szCs w:val="20"/>
          <w:spacing w:val="6"/>
          <w:position w:val="1"/>
        </w:rPr>
        <w:t>3.3  </w:t>
      </w:r>
      <w:r>
        <w:rPr>
          <w:rFonts w:ascii="KaiTi" w:hAnsi="KaiTi" w:eastAsia="KaiTi" w:cs="KaiTi"/>
          <w:sz w:val="20"/>
          <w:szCs w:val="20"/>
          <w:spacing w:val="6"/>
          <w:position w:val="1"/>
        </w:rPr>
        <w:t>预警等级调整和预警解除。</w:t>
      </w:r>
    </w:p>
    <w:p>
      <w:pPr>
        <w:pStyle w:val="BodyText"/>
        <w:ind w:left="3" w:right="75" w:firstLine="422"/>
        <w:spacing w:before="134" w:line="363" w:lineRule="auto"/>
        <w:rPr/>
      </w:pPr>
      <w:r>
        <w:rPr>
          <w:spacing w:val="9"/>
        </w:rPr>
        <w:t>预测</w:t>
      </w:r>
      <w:r>
        <w:rPr>
          <w:spacing w:val="-32"/>
        </w:rPr>
        <w:t xml:space="preserve"> </w:t>
      </w:r>
      <w:r>
        <w:rPr>
          <w:rFonts w:ascii="Times New Roman" w:hAnsi="Times New Roman" w:eastAsia="Times New Roman" w:cs="Times New Roman"/>
        </w:rPr>
        <w:t>AQI</w:t>
      </w:r>
      <w:r>
        <w:rPr>
          <w:rFonts w:ascii="Times New Roman" w:hAnsi="Times New Roman" w:eastAsia="Times New Roman" w:cs="Times New Roman"/>
          <w:spacing w:val="9"/>
        </w:rPr>
        <w:t xml:space="preserve">  </w:t>
      </w:r>
      <w:r>
        <w:rPr>
          <w:spacing w:val="9"/>
        </w:rPr>
        <w:t>日均值发生变化时</w:t>
      </w:r>
      <w:r>
        <w:rPr>
          <w:spacing w:val="-54"/>
        </w:rPr>
        <w:t xml:space="preserve"> </w:t>
      </w:r>
      <w:r>
        <w:rPr>
          <w:spacing w:val="9"/>
        </w:rPr>
        <w:t>，及时调整</w:t>
      </w:r>
      <w:r>
        <w:rPr>
          <w:spacing w:val="7"/>
        </w:rPr>
        <w:t>预警等级或解除预警。解除或调整预警信息的</w:t>
      </w:r>
      <w:r>
        <w:rPr>
          <w:spacing w:val="8"/>
        </w:rPr>
        <w:t>发布程序同启动程序一致。</w:t>
      </w:r>
    </w:p>
    <w:p>
      <w:pPr>
        <w:pStyle w:val="BodyText"/>
        <w:ind w:left="2" w:right="75" w:firstLine="434"/>
        <w:spacing w:before="9" w:line="366" w:lineRule="auto"/>
        <w:jc w:val="both"/>
        <w:rPr/>
      </w:pPr>
      <w:r>
        <w:rPr>
          <w:spacing w:val="18"/>
        </w:rPr>
        <w:t>当预测或监测空气质量改善到相应级别</w:t>
      </w:r>
      <w:r>
        <w:rPr>
          <w:spacing w:val="9"/>
        </w:rPr>
        <w:t>预警启动标准以下</w:t>
      </w:r>
      <w:r>
        <w:rPr>
          <w:spacing w:val="-57"/>
        </w:rPr>
        <w:t xml:space="preserve"> </w:t>
      </w:r>
      <w:r>
        <w:rPr>
          <w:spacing w:val="9"/>
        </w:rPr>
        <w:t>，且预测将持续</w:t>
      </w:r>
      <w:r>
        <w:rPr>
          <w:spacing w:val="-36"/>
        </w:rPr>
        <w:t xml:space="preserve"> </w:t>
      </w:r>
      <w:r>
        <w:rPr>
          <w:rFonts w:ascii="Times New Roman" w:hAnsi="Times New Roman" w:eastAsia="Times New Roman" w:cs="Times New Roman"/>
          <w:spacing w:val="9"/>
        </w:rPr>
        <w:t>36 </w:t>
      </w:r>
      <w:r>
        <w:rPr>
          <w:spacing w:val="9"/>
        </w:rPr>
        <w:t>小时以</w:t>
      </w:r>
      <w:r>
        <w:rPr>
          <w:spacing w:val="7"/>
        </w:rPr>
        <w:t>上时，可降低预警级别或解除预警，并及时发</w:t>
      </w:r>
      <w:r>
        <w:rPr>
          <w:spacing w:val="8"/>
        </w:rPr>
        <w:t>布预警调整或解除信息。</w:t>
      </w:r>
    </w:p>
    <w:p>
      <w:pPr>
        <w:pStyle w:val="BodyText"/>
        <w:ind w:left="3" w:right="77" w:firstLine="434"/>
        <w:spacing w:before="1" w:line="363" w:lineRule="auto"/>
        <w:jc w:val="both"/>
        <w:rPr/>
      </w:pPr>
      <w:r>
        <w:rPr>
          <w:spacing w:val="6"/>
        </w:rPr>
        <w:t>当预测发生前后两次重污染过程，且间隔</w:t>
      </w:r>
      <w:r>
        <w:rPr>
          <w:spacing w:val="8"/>
        </w:rPr>
        <w:t>时间未达到</w:t>
      </w:r>
      <w:r>
        <w:rPr>
          <w:spacing w:val="-17"/>
        </w:rPr>
        <w:t xml:space="preserve"> </w:t>
      </w:r>
      <w:r>
        <w:rPr>
          <w:rFonts w:ascii="Times New Roman" w:hAnsi="Times New Roman" w:eastAsia="Times New Roman" w:cs="Times New Roman"/>
          <w:spacing w:val="8"/>
        </w:rPr>
        <w:t>36 </w:t>
      </w:r>
      <w:r>
        <w:rPr>
          <w:spacing w:val="8"/>
        </w:rPr>
        <w:t>小时</w:t>
      </w:r>
      <w:r>
        <w:rPr>
          <w:spacing w:val="-58"/>
        </w:rPr>
        <w:t xml:space="preserve"> </w:t>
      </w:r>
      <w:r>
        <w:rPr>
          <w:spacing w:val="8"/>
        </w:rPr>
        <w:t>，按一次重污染过程从高</w:t>
      </w:r>
      <w:r>
        <w:rPr>
          <w:spacing w:val="7"/>
        </w:rPr>
        <w:t>级别启动预警。当预测或监测空气质量达到更</w:t>
      </w:r>
      <w:r>
        <w:rPr>
          <w:spacing w:val="9"/>
        </w:rPr>
        <w:t>高级别预警条件时，尽早采取升级措施。</w:t>
      </w:r>
    </w:p>
    <w:p>
      <w:pPr>
        <w:ind w:left="422"/>
        <w:spacing w:before="1"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4</w:t>
      </w:r>
      <w:r>
        <w:rPr>
          <w:rFonts w:ascii="Microsoft YaHei" w:hAnsi="Microsoft YaHei" w:eastAsia="Microsoft YaHei" w:cs="Microsoft YaHei"/>
          <w:sz w:val="20"/>
          <w:szCs w:val="20"/>
          <w:spacing w:val="18"/>
          <w:w w:val="101"/>
        </w:rPr>
        <w:t xml:space="preserve">   </w:t>
      </w:r>
      <w:r>
        <w:rPr>
          <w:rFonts w:ascii="Microsoft YaHei" w:hAnsi="Microsoft YaHei" w:eastAsia="Microsoft YaHei" w:cs="Microsoft YaHei"/>
          <w:sz w:val="20"/>
          <w:szCs w:val="20"/>
          <w:spacing w:val="4"/>
        </w:rPr>
        <w:t>区域应急联动</w:t>
      </w:r>
    </w:p>
    <w:p>
      <w:pPr>
        <w:pStyle w:val="BodyText"/>
        <w:ind w:right="77" w:firstLine="422"/>
        <w:spacing w:before="97" w:line="363" w:lineRule="auto"/>
        <w:rPr/>
      </w:pPr>
      <w:r>
        <w:rPr>
          <w:spacing w:val="19"/>
        </w:rPr>
        <w:t>接到上级政府或生态环境部门通报预警</w:t>
      </w:r>
      <w:r>
        <w:rPr>
          <w:spacing w:val="7"/>
        </w:rPr>
        <w:t>提示信息，及时发布预警，启动重污染天气应</w:t>
      </w:r>
      <w:r>
        <w:rPr>
          <w:spacing w:val="7"/>
        </w:rPr>
        <w:t>急响应，组织实施应急措施，与周边城市共同</w:t>
      </w:r>
      <w:r>
        <w:rPr>
          <w:spacing w:val="8"/>
        </w:rPr>
        <w:t>应对区域重污染天气。</w:t>
      </w:r>
    </w:p>
    <w:p>
      <w:pPr>
        <w:ind w:left="423"/>
        <w:spacing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5</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应急响应</w:t>
      </w:r>
    </w:p>
    <w:p>
      <w:pPr>
        <w:pStyle w:val="BodyText"/>
        <w:ind w:left="13" w:right="77" w:firstLine="413"/>
        <w:spacing w:before="91" w:line="353" w:lineRule="auto"/>
        <w:rPr/>
      </w:pPr>
      <w:r>
        <w:rPr>
          <w:rFonts w:ascii="Times New Roman" w:hAnsi="Times New Roman" w:eastAsia="Times New Roman" w:cs="Times New Roman"/>
          <w:spacing w:val="6"/>
        </w:rPr>
        <w:t>5.</w:t>
      </w:r>
      <w:r>
        <w:rPr>
          <w:rFonts w:ascii="Times New Roman" w:hAnsi="Times New Roman" w:eastAsia="Times New Roman" w:cs="Times New Roman"/>
          <w:spacing w:val="-8"/>
        </w:rPr>
        <w:t xml:space="preserve"> </w:t>
      </w:r>
      <w:r>
        <w:rPr>
          <w:rFonts w:ascii="Times New Roman" w:hAnsi="Times New Roman" w:eastAsia="Times New Roman" w:cs="Times New Roman"/>
          <w:spacing w:val="6"/>
        </w:rPr>
        <w:t>1  </w:t>
      </w:r>
      <w:r>
        <w:rPr>
          <w:rFonts w:ascii="KaiTi" w:hAnsi="KaiTi" w:eastAsia="KaiTi" w:cs="KaiTi"/>
          <w:spacing w:val="6"/>
        </w:rPr>
        <w:t>响应分级。</w:t>
      </w:r>
      <w:r>
        <w:rPr>
          <w:spacing w:val="6"/>
        </w:rPr>
        <w:t>对应预警等级，实行三级</w:t>
      </w:r>
      <w:r>
        <w:rPr/>
        <w:t>响应。</w:t>
      </w:r>
    </w:p>
    <w:p>
      <w:pPr>
        <w:pStyle w:val="BodyText"/>
        <w:spacing w:before="27" w:line="277" w:lineRule="exact"/>
        <w:jc w:val="right"/>
        <w:rPr/>
      </w:pPr>
      <w:r>
        <w:rPr>
          <w:spacing w:val="2"/>
          <w:position w:val="1"/>
        </w:rPr>
        <w:t>（</w:t>
      </w:r>
      <w:r>
        <w:rPr>
          <w:spacing w:val="-48"/>
          <w:position w:val="1"/>
        </w:rPr>
        <w:t xml:space="preserve"> </w:t>
      </w:r>
      <w:r>
        <w:rPr>
          <w:rFonts w:ascii="Times New Roman" w:hAnsi="Times New Roman" w:eastAsia="Times New Roman" w:cs="Times New Roman"/>
          <w:spacing w:val="2"/>
          <w:position w:val="1"/>
        </w:rPr>
        <w:t>1</w:t>
      </w:r>
      <w:r>
        <w:rPr>
          <w:rFonts w:ascii="Times New Roman" w:hAnsi="Times New Roman" w:eastAsia="Times New Roman" w:cs="Times New Roman"/>
          <w:spacing w:val="-21"/>
          <w:position w:val="1"/>
        </w:rPr>
        <w:t xml:space="preserve"> </w:t>
      </w:r>
      <w:r>
        <w:rPr>
          <w:spacing w:val="2"/>
          <w:position w:val="1"/>
        </w:rPr>
        <w:t>）当发布黄色预警时，启动</w:t>
      </w:r>
      <w:r>
        <w:rPr>
          <w:rFonts w:ascii="Times New Roman" w:hAnsi="Times New Roman" w:eastAsia="Times New Roman" w:cs="Times New Roman"/>
          <w:spacing w:val="2"/>
          <w:position w:val="1"/>
        </w:rPr>
        <w:t>Ⅲ</w:t>
      </w:r>
      <w:r>
        <w:rPr>
          <w:spacing w:val="2"/>
          <w:position w:val="1"/>
        </w:rPr>
        <w:t>级响应。</w:t>
      </w:r>
    </w:p>
    <w:p>
      <w:pPr>
        <w:pStyle w:val="BodyText"/>
        <w:ind w:right="9"/>
        <w:spacing w:before="119" w:line="277" w:lineRule="exact"/>
        <w:jc w:val="right"/>
        <w:rPr/>
      </w:pPr>
      <w:r>
        <w:rPr>
          <w:spacing w:val="6"/>
          <w:position w:val="1"/>
        </w:rPr>
        <w:t>（</w:t>
      </w:r>
      <w:r>
        <w:rPr>
          <w:rFonts w:ascii="Times New Roman" w:hAnsi="Times New Roman" w:eastAsia="Times New Roman" w:cs="Times New Roman"/>
          <w:spacing w:val="6"/>
          <w:position w:val="1"/>
        </w:rPr>
        <w:t>2 </w:t>
      </w:r>
      <w:r>
        <w:rPr>
          <w:spacing w:val="6"/>
          <w:position w:val="1"/>
        </w:rPr>
        <w:t>）当发布橙色预警时，启动</w:t>
      </w:r>
      <w:r>
        <w:rPr>
          <w:rFonts w:ascii="Times New Roman" w:hAnsi="Times New Roman" w:eastAsia="Times New Roman" w:cs="Times New Roman"/>
          <w:spacing w:val="6"/>
          <w:position w:val="1"/>
        </w:rPr>
        <w:t>Ⅱ</w:t>
      </w:r>
      <w:r>
        <w:rPr>
          <w:spacing w:val="6"/>
          <w:position w:val="1"/>
        </w:rPr>
        <w:t>级响应。</w:t>
      </w:r>
    </w:p>
    <w:p>
      <w:pPr>
        <w:pStyle w:val="BodyText"/>
        <w:ind w:left="413"/>
        <w:spacing w:before="119" w:line="277" w:lineRule="exact"/>
        <w:rPr/>
      </w:pPr>
      <w:r>
        <w:rPr>
          <w:spacing w:val="6"/>
          <w:position w:val="1"/>
        </w:rPr>
        <w:t>（</w:t>
      </w:r>
      <w:r>
        <w:rPr>
          <w:rFonts w:ascii="Times New Roman" w:hAnsi="Times New Roman" w:eastAsia="Times New Roman" w:cs="Times New Roman"/>
          <w:spacing w:val="6"/>
          <w:position w:val="1"/>
        </w:rPr>
        <w:t>3 </w:t>
      </w:r>
      <w:r>
        <w:rPr>
          <w:spacing w:val="6"/>
          <w:position w:val="1"/>
        </w:rPr>
        <w:t>）当发布红色预警时，启动</w:t>
      </w:r>
      <w:r>
        <w:rPr>
          <w:rFonts w:ascii="Times New Roman" w:hAnsi="Times New Roman" w:eastAsia="Times New Roman" w:cs="Times New Roman"/>
          <w:spacing w:val="6"/>
          <w:position w:val="1"/>
        </w:rPr>
        <w:t>Ⅰ</w:t>
      </w:r>
      <w:r>
        <w:rPr>
          <w:spacing w:val="6"/>
          <w:position w:val="1"/>
        </w:rPr>
        <w:t>级响应。</w:t>
      </w:r>
    </w:p>
    <w:p>
      <w:pPr>
        <w:pStyle w:val="BodyText"/>
        <w:ind w:right="77" w:firstLine="427"/>
        <w:spacing w:before="121" w:line="330" w:lineRule="auto"/>
        <w:jc w:val="both"/>
        <w:rPr/>
      </w:pPr>
      <w:r>
        <w:rPr>
          <w:rFonts w:ascii="Times New Roman" w:hAnsi="Times New Roman" w:eastAsia="Times New Roman" w:cs="Times New Roman"/>
          <w:spacing w:val="8"/>
        </w:rPr>
        <w:t>5.2  </w:t>
      </w:r>
      <w:r>
        <w:rPr>
          <w:rFonts w:ascii="KaiTi" w:hAnsi="KaiTi" w:eastAsia="KaiTi" w:cs="KaiTi"/>
          <w:spacing w:val="8"/>
        </w:rPr>
        <w:t>响应的启动。</w:t>
      </w:r>
      <w:r>
        <w:rPr>
          <w:spacing w:val="8"/>
        </w:rPr>
        <w:t>预警信息一经发布，应</w:t>
      </w:r>
      <w:r>
        <w:rPr>
          <w:spacing w:val="18"/>
        </w:rPr>
        <w:t>急指挥部各成员单位按照各自应急预案和实</w:t>
      </w:r>
      <w:r>
        <w:rPr>
          <w:spacing w:val="7"/>
        </w:rPr>
        <w:t>施方案立即启动应急响应，迅速组织落实应急</w:t>
      </w:r>
      <w:r>
        <w:rPr>
          <w:spacing w:val="7"/>
        </w:rPr>
        <w:t>响应措施，对于机动车限行、中小学及幼儿园</w:t>
      </w:r>
      <w:r>
        <w:rPr>
          <w:spacing w:val="18"/>
        </w:rPr>
        <w:t>停课措施的执行起始时间按照当次预警发布</w:t>
      </w:r>
    </w:p>
    <w:p>
      <w:pPr>
        <w:spacing w:line="330" w:lineRule="auto"/>
        <w:sectPr>
          <w:type w:val="continuous"/>
          <w:pgSz w:w="11906" w:h="16839"/>
          <w:pgMar w:top="1766" w:right="1513" w:bottom="1574" w:left="1579" w:header="1428" w:footer="1172" w:gutter="0"/>
          <w:cols w:equalWidth="0" w:num="2">
            <w:col w:w="4489" w:space="100"/>
            <w:col w:w="4225" w:space="0"/>
          </w:cols>
        </w:sectPr>
        <w:rPr/>
      </w:pPr>
    </w:p>
    <w:p>
      <w:pPr>
        <w:spacing w:before="67"/>
        <w:rPr/>
      </w:pPr>
      <w:r>
        <w:drawing>
          <wp:anchor distT="0" distB="0" distL="0" distR="0" simplePos="0" relativeHeight="253982720"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140" name="IM 2140"/>
            <wp:cNvGraphicFramePr/>
            <a:graphic>
              <a:graphicData uri="http://schemas.openxmlformats.org/drawingml/2006/picture">
                <pic:pic>
                  <pic:nvPicPr>
                    <pic:cNvPr id="2140" name="IM 2140"/>
                    <pic:cNvPicPr/>
                  </pic:nvPicPr>
                  <pic:blipFill>
                    <a:blip r:embed="rId1072"/>
                    <a:stretch>
                      <a:fillRect/>
                    </a:stretch>
                  </pic:blipFill>
                  <pic:spPr>
                    <a:xfrm rot="0">
                      <a:off x="0" y="0"/>
                      <a:ext cx="5579745" cy="7620"/>
                    </a:xfrm>
                    <a:prstGeom prst="rect">
                      <a:avLst/>
                    </a:prstGeom>
                  </pic:spPr>
                </pic:pic>
              </a:graphicData>
            </a:graphic>
          </wp:anchor>
        </w:drawing>
      </w:r>
      <w:r/>
    </w:p>
    <w:p>
      <w:pPr>
        <w:sectPr>
          <w:headerReference w:type="default" r:id="rId1048"/>
          <w:footerReference w:type="default" r:id="rId1071"/>
          <w:pgSz w:w="11906" w:h="16839"/>
          <w:pgMar w:top="1772" w:right="1489" w:bottom="1572" w:left="1571" w:header="1428" w:footer="1172" w:gutter="0"/>
          <w:cols w:equalWidth="0" w:num="1">
            <w:col w:w="8846" w:space="0"/>
          </w:cols>
        </w:sectPr>
        <w:rPr/>
      </w:pPr>
    </w:p>
    <w:p>
      <w:pPr>
        <w:pStyle w:val="BodyText"/>
        <w:ind w:left="22" w:right="245"/>
        <w:spacing w:before="40" w:line="366" w:lineRule="auto"/>
        <w:jc w:val="both"/>
        <w:rPr/>
      </w:pPr>
      <w:r>
        <w:rPr>
          <w:spacing w:val="7"/>
        </w:rPr>
        <w:t>通知的具体规定执行。应急指挥部建立协调机</w:t>
      </w:r>
      <w:r>
        <w:rPr>
          <w:spacing w:val="7"/>
        </w:rPr>
        <w:t>制，在</w:t>
      </w:r>
      <w:r>
        <w:rPr>
          <w:rFonts w:ascii="Times New Roman" w:hAnsi="Times New Roman" w:eastAsia="Times New Roman" w:cs="Times New Roman"/>
          <w:spacing w:val="7"/>
        </w:rPr>
        <w:t>Ⅰ</w:t>
      </w:r>
      <w:r>
        <w:rPr>
          <w:spacing w:val="7"/>
        </w:rPr>
        <w:t>级响应时召开协调会议，在</w:t>
      </w:r>
      <w:r>
        <w:rPr>
          <w:rFonts w:ascii="Times New Roman" w:hAnsi="Times New Roman" w:eastAsia="Times New Roman" w:cs="Times New Roman"/>
          <w:spacing w:val="7"/>
        </w:rPr>
        <w:t>Ⅱ</w:t>
      </w:r>
      <w:r>
        <w:rPr>
          <w:spacing w:val="7"/>
        </w:rPr>
        <w:t>级或</w:t>
      </w:r>
      <w:r>
        <w:rPr>
          <w:rFonts w:ascii="Times New Roman" w:hAnsi="Times New Roman" w:eastAsia="Times New Roman" w:cs="Times New Roman"/>
          <w:spacing w:val="7"/>
        </w:rPr>
        <w:t>Ⅲ</w:t>
      </w:r>
      <w:r>
        <w:rPr>
          <w:spacing w:val="7"/>
        </w:rPr>
        <w:t>级</w:t>
      </w:r>
      <w:r>
        <w:rPr>
          <w:spacing w:val="-8"/>
        </w:rPr>
        <w:t>响应时适时召开协调会议，对应急工作进行部署。</w:t>
      </w:r>
    </w:p>
    <w:p>
      <w:pPr>
        <w:pStyle w:val="BodyText"/>
        <w:ind w:left="21" w:right="327" w:firstLine="422"/>
        <w:spacing w:before="3" w:line="358" w:lineRule="auto"/>
        <w:jc w:val="both"/>
        <w:rPr/>
      </w:pPr>
      <w:r>
        <w:rPr>
          <w:spacing w:val="6"/>
        </w:rPr>
        <w:t>在启动应急响应措施的同时，应急指挥部</w:t>
      </w:r>
      <w:r>
        <w:rPr>
          <w:spacing w:val="7"/>
        </w:rPr>
        <w:t>可根据污染特征，在重点区域、重点时段、重</w:t>
      </w:r>
      <w:r>
        <w:rPr>
          <w:spacing w:val="7"/>
        </w:rPr>
        <w:t>点领域，实施有针对性的应急减排措施，确保</w:t>
      </w:r>
      <w:r>
        <w:rPr>
          <w:spacing w:val="6"/>
        </w:rPr>
        <w:t>应急实效。</w:t>
      </w:r>
    </w:p>
    <w:p>
      <w:pPr>
        <w:ind w:left="447"/>
        <w:spacing w:line="264" w:lineRule="exact"/>
        <w:rPr>
          <w:rFonts w:ascii="KaiTi" w:hAnsi="KaiTi" w:eastAsia="KaiTi" w:cs="KaiTi"/>
          <w:sz w:val="20"/>
          <w:szCs w:val="20"/>
        </w:rPr>
      </w:pPr>
      <w:r>
        <w:rPr>
          <w:rFonts w:ascii="Times New Roman" w:hAnsi="Times New Roman" w:eastAsia="Times New Roman" w:cs="Times New Roman"/>
          <w:sz w:val="20"/>
          <w:szCs w:val="20"/>
          <w:spacing w:val="4"/>
          <w:position w:val="1"/>
        </w:rPr>
        <w:t>5.3  </w:t>
      </w:r>
      <w:r>
        <w:rPr>
          <w:rFonts w:ascii="KaiTi" w:hAnsi="KaiTi" w:eastAsia="KaiTi" w:cs="KaiTi"/>
          <w:sz w:val="20"/>
          <w:szCs w:val="20"/>
          <w:spacing w:val="4"/>
          <w:position w:val="1"/>
        </w:rPr>
        <w:t>响应措施。</w:t>
      </w:r>
    </w:p>
    <w:p>
      <w:pPr>
        <w:pStyle w:val="BodyText"/>
        <w:ind w:left="22" w:right="304" w:firstLine="425"/>
        <w:spacing w:before="129" w:line="337" w:lineRule="auto"/>
        <w:rPr/>
      </w:pPr>
      <w:r>
        <w:rPr>
          <w:rFonts w:ascii="Times New Roman" w:hAnsi="Times New Roman" w:eastAsia="Times New Roman" w:cs="Times New Roman"/>
          <w:spacing w:val="3"/>
        </w:rPr>
        <w:t>5.3.1 </w:t>
      </w:r>
      <w:r>
        <w:rPr>
          <w:spacing w:val="3"/>
        </w:rPr>
        <w:t>工业企业错峰生产与运输措施。依照</w:t>
      </w:r>
      <w:r>
        <w:rPr>
          <w:spacing w:val="7"/>
        </w:rPr>
        <w:t>国家、自治区及本市错峰生产工作要求，采暖</w:t>
      </w:r>
      <w:r>
        <w:rPr>
          <w:spacing w:val="7"/>
        </w:rPr>
        <w:t>季对钢铁、建材、焦化、铸造、有色、化工等</w:t>
      </w:r>
      <w:r>
        <w:rPr>
          <w:spacing w:val="8"/>
        </w:rPr>
        <w:t>重点行业实行差异化错峰生产；钢铁、建材、</w:t>
      </w:r>
      <w:r>
        <w:rPr>
          <w:spacing w:val="7"/>
        </w:rPr>
        <w:t>焦化、有色、化工等涉及大宗物料运输的重点</w:t>
      </w:r>
      <w:r>
        <w:rPr>
          <w:spacing w:val="8"/>
        </w:rPr>
        <w:t>用车企业，实行错峰运输措施。</w:t>
      </w:r>
    </w:p>
    <w:p>
      <w:pPr>
        <w:pStyle w:val="BodyText"/>
        <w:ind w:left="447"/>
        <w:spacing w:before="148" w:line="278" w:lineRule="exact"/>
        <w:rPr/>
      </w:pPr>
      <w:r>
        <w:rPr>
          <w:rFonts w:ascii="Times New Roman" w:hAnsi="Times New Roman" w:eastAsia="Times New Roman" w:cs="Times New Roman"/>
          <w:spacing w:val="6"/>
          <w:position w:val="1"/>
        </w:rPr>
        <w:t>5.3.2 Ⅲ</w:t>
      </w:r>
      <w:r>
        <w:rPr>
          <w:spacing w:val="6"/>
          <w:position w:val="1"/>
        </w:rPr>
        <w:t>级响应措施。健康防护指引：</w:t>
      </w:r>
    </w:p>
    <w:p>
      <w:pPr>
        <w:pStyle w:val="BodyText"/>
        <w:ind w:left="23" w:right="327" w:firstLine="409"/>
        <w:spacing w:before="119" w:line="319"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）提醒儿童、老年人和心脏病、肺病</w:t>
      </w:r>
      <w:r>
        <w:rPr>
          <w:spacing w:val="7"/>
        </w:rPr>
        <w:t>患者以及过敏性疾病患者应当留在室内，停止</w:t>
      </w:r>
      <w:r>
        <w:rPr>
          <w:spacing w:val="8"/>
        </w:rPr>
        <w:t>户外运动，一般人群减少户外运动。</w:t>
      </w:r>
    </w:p>
    <w:p>
      <w:pPr>
        <w:pStyle w:val="BodyText"/>
        <w:ind w:left="433"/>
        <w:spacing w:before="151" w:line="277" w:lineRule="exact"/>
        <w:rPr/>
      </w:pPr>
      <w:r>
        <w:rPr>
          <w:spacing w:val="-5"/>
          <w:position w:val="1"/>
        </w:rPr>
        <w:t>（</w:t>
      </w:r>
      <w:r>
        <w:rPr>
          <w:rFonts w:ascii="Times New Roman" w:hAnsi="Times New Roman" w:eastAsia="Times New Roman" w:cs="Times New Roman"/>
          <w:spacing w:val="-5"/>
          <w:position w:val="1"/>
        </w:rPr>
        <w:t>2</w:t>
      </w:r>
      <w:r>
        <w:rPr>
          <w:rFonts w:ascii="Times New Roman" w:hAnsi="Times New Roman" w:eastAsia="Times New Roman" w:cs="Times New Roman"/>
          <w:spacing w:val="-6"/>
          <w:position w:val="1"/>
        </w:rPr>
        <w:t xml:space="preserve"> </w:t>
      </w:r>
      <w:r>
        <w:rPr>
          <w:spacing w:val="-5"/>
          <w:position w:val="1"/>
        </w:rPr>
        <w:t>）中小学、幼儿园停止户外课程及活动。</w:t>
      </w:r>
    </w:p>
    <w:p>
      <w:pPr>
        <w:pStyle w:val="BodyText"/>
        <w:ind w:left="23" w:right="330" w:firstLine="409"/>
        <w:spacing w:before="119" w:line="295" w:lineRule="auto"/>
        <w:rPr/>
      </w:pPr>
      <w:r>
        <w:rPr>
          <w:spacing w:val="9"/>
        </w:rPr>
        <w:t>（</w:t>
      </w:r>
      <w:r>
        <w:rPr>
          <w:rFonts w:ascii="Times New Roman" w:hAnsi="Times New Roman" w:eastAsia="Times New Roman" w:cs="Times New Roman"/>
          <w:spacing w:val="9"/>
        </w:rPr>
        <w:t>3 </w:t>
      </w:r>
      <w:r>
        <w:rPr>
          <w:spacing w:val="9"/>
        </w:rPr>
        <w:t>）医疗卫生机构加强对呼吸类疾病患</w:t>
      </w:r>
      <w:r>
        <w:rPr>
          <w:spacing w:val="8"/>
        </w:rPr>
        <w:t>者的防护宣传和就医指导。</w:t>
      </w:r>
    </w:p>
    <w:p>
      <w:pPr>
        <w:pStyle w:val="BodyText"/>
        <w:ind w:left="441"/>
        <w:spacing w:before="152" w:line="279" w:lineRule="exact"/>
        <w:rPr/>
      </w:pPr>
      <w:r>
        <w:rPr>
          <w:spacing w:val="7"/>
          <w:position w:val="1"/>
        </w:rPr>
        <w:t>建议性措施：</w:t>
      </w:r>
    </w:p>
    <w:p>
      <w:pPr>
        <w:pStyle w:val="BodyText"/>
        <w:ind w:left="21" w:right="321" w:firstLine="411"/>
        <w:spacing w:before="118" w:line="318" w:lineRule="auto"/>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）倡导公众绿色出行和绿色生活</w:t>
      </w:r>
      <w:r>
        <w:rPr>
          <w:spacing w:val="-59"/>
        </w:rPr>
        <w:t xml:space="preserve"> </w:t>
      </w:r>
      <w:r>
        <w:rPr>
          <w:spacing w:val="5"/>
        </w:rPr>
        <w:t>，尽</w:t>
      </w:r>
      <w:r>
        <w:rPr>
          <w:spacing w:val="7"/>
        </w:rPr>
        <w:t>量乘坐公共交通工具或电动汽车等方式出行，</w:t>
      </w:r>
      <w:r>
        <w:rPr>
          <w:spacing w:val="8"/>
        </w:rPr>
        <w:t>减少祭祀烧纸等行为。</w:t>
      </w:r>
    </w:p>
    <w:p>
      <w:pPr>
        <w:pStyle w:val="BodyText"/>
        <w:ind w:left="433"/>
        <w:spacing w:before="154" w:line="277" w:lineRule="exact"/>
        <w:rPr/>
      </w:pPr>
      <w:r>
        <w:rPr>
          <w:spacing w:val="6"/>
          <w:position w:val="1"/>
        </w:rPr>
        <w:t>（</w:t>
      </w:r>
      <w:r>
        <w:rPr>
          <w:rFonts w:ascii="Times New Roman" w:hAnsi="Times New Roman" w:eastAsia="Times New Roman" w:cs="Times New Roman"/>
          <w:spacing w:val="6"/>
          <w:position w:val="1"/>
        </w:rPr>
        <w:t>2</w:t>
      </w:r>
      <w:r>
        <w:rPr>
          <w:rFonts w:ascii="Times New Roman" w:hAnsi="Times New Roman" w:eastAsia="Times New Roman" w:cs="Times New Roman"/>
          <w:spacing w:val="-13"/>
          <w:position w:val="1"/>
        </w:rPr>
        <w:t xml:space="preserve"> </w:t>
      </w:r>
      <w:r>
        <w:rPr>
          <w:spacing w:val="6"/>
          <w:position w:val="1"/>
        </w:rPr>
        <w:t>）减少机动车日间加油。</w:t>
      </w:r>
    </w:p>
    <w:p>
      <w:pPr>
        <w:pStyle w:val="BodyText"/>
        <w:ind w:left="433"/>
        <w:spacing w:before="119" w:line="278" w:lineRule="exact"/>
        <w:rPr/>
      </w:pPr>
      <w:r>
        <w:rPr>
          <w:spacing w:val="6"/>
          <w:position w:val="1"/>
        </w:rPr>
        <w:t>（</w:t>
      </w:r>
      <w:r>
        <w:rPr>
          <w:rFonts w:ascii="Times New Roman" w:hAnsi="Times New Roman" w:eastAsia="Times New Roman" w:cs="Times New Roman"/>
          <w:spacing w:val="6"/>
          <w:position w:val="1"/>
        </w:rPr>
        <w:t>3</w:t>
      </w:r>
      <w:r>
        <w:rPr>
          <w:rFonts w:ascii="Times New Roman" w:hAnsi="Times New Roman" w:eastAsia="Times New Roman" w:cs="Times New Roman"/>
          <w:spacing w:val="-16"/>
          <w:position w:val="1"/>
        </w:rPr>
        <w:t xml:space="preserve"> </w:t>
      </w:r>
      <w:r>
        <w:rPr>
          <w:spacing w:val="6"/>
          <w:position w:val="1"/>
        </w:rPr>
        <w:t>）加强公交运力保障。</w:t>
      </w:r>
    </w:p>
    <w:p>
      <w:pPr>
        <w:pStyle w:val="BodyText"/>
        <w:ind w:left="444"/>
        <w:spacing w:before="118" w:line="279" w:lineRule="exact"/>
        <w:rPr/>
      </w:pPr>
      <w:r>
        <w:rPr>
          <w:spacing w:val="7"/>
          <w:position w:val="1"/>
        </w:rPr>
        <w:t>强制性减排措施：</w:t>
      </w:r>
    </w:p>
    <w:p>
      <w:pPr>
        <w:pStyle w:val="BodyText"/>
        <w:ind w:left="13" w:right="272" w:firstLine="420"/>
        <w:spacing w:before="118" w:line="342" w:lineRule="auto"/>
        <w:jc w:val="both"/>
        <w:rPr/>
      </w:pPr>
      <w:r>
        <w:rPr>
          <w:spacing w:val="14"/>
        </w:rPr>
        <w:t>（</w:t>
      </w:r>
      <w:r>
        <w:rPr>
          <w:spacing w:val="-28"/>
        </w:rPr>
        <w:t xml:space="preserve"> </w:t>
      </w:r>
      <w:r>
        <w:rPr>
          <w:rFonts w:ascii="Times New Roman" w:hAnsi="Times New Roman" w:eastAsia="Times New Roman" w:cs="Times New Roman"/>
          <w:spacing w:val="14"/>
        </w:rPr>
        <w:t>1</w:t>
      </w:r>
      <w:r>
        <w:rPr>
          <w:rFonts w:ascii="Times New Roman" w:hAnsi="Times New Roman" w:eastAsia="Times New Roman" w:cs="Times New Roman"/>
          <w:spacing w:val="25"/>
          <w:w w:val="101"/>
        </w:rPr>
        <w:t xml:space="preserve"> </w:t>
      </w:r>
      <w:r>
        <w:rPr>
          <w:spacing w:val="14"/>
        </w:rPr>
        <w:t>）在</w:t>
      </w:r>
      <w:r>
        <w:rPr>
          <w:rFonts w:ascii="Times New Roman" w:hAnsi="Times New Roman" w:eastAsia="Times New Roman" w:cs="Times New Roman"/>
          <w:spacing w:val="14"/>
        </w:rPr>
        <w:t>Ⅲ</w:t>
      </w:r>
      <w:r>
        <w:rPr>
          <w:spacing w:val="14"/>
        </w:rPr>
        <w:t>级应急响应期间</w:t>
      </w:r>
      <w:r>
        <w:rPr>
          <w:spacing w:val="-45"/>
        </w:rPr>
        <w:t xml:space="preserve"> </w:t>
      </w:r>
      <w:r>
        <w:rPr>
          <w:spacing w:val="14"/>
        </w:rPr>
        <w:t>，二氧化硫</w:t>
      </w:r>
      <w:r>
        <w:rPr>
          <w:spacing w:val="5"/>
        </w:rPr>
        <w:t>（</w:t>
      </w:r>
      <w:r>
        <w:rPr>
          <w:spacing w:val="-59"/>
        </w:rPr>
        <w:t xml:space="preserve"> </w:t>
      </w:r>
      <w:r>
        <w:rPr>
          <w:rFonts w:ascii="Times New Roman" w:hAnsi="Times New Roman" w:eastAsia="Times New Roman" w:cs="Times New Roman"/>
        </w:rPr>
        <w:t>SO</w:t>
      </w:r>
      <w:r>
        <w:rPr>
          <w:rFonts w:ascii="Times New Roman" w:hAnsi="Times New Roman" w:eastAsia="Times New Roman" w:cs="Times New Roman"/>
          <w:sz w:val="13"/>
          <w:szCs w:val="13"/>
          <w:spacing w:val="5"/>
          <w:position w:val="-1"/>
        </w:rPr>
        <w:t>2</w:t>
      </w:r>
      <w:r>
        <w:rPr>
          <w:rFonts w:ascii="Times New Roman" w:hAnsi="Times New Roman" w:eastAsia="Times New Roman" w:cs="Times New Roman"/>
          <w:sz w:val="13"/>
          <w:szCs w:val="13"/>
          <w:spacing w:val="26"/>
          <w:w w:val="101"/>
          <w:position w:val="-1"/>
        </w:rPr>
        <w:t xml:space="preserve"> </w:t>
      </w:r>
      <w:r>
        <w:rPr>
          <w:spacing w:val="5"/>
        </w:rPr>
        <w:t>）、氮氧化物（</w:t>
      </w:r>
      <w:r>
        <w:rPr>
          <w:rFonts w:ascii="Times New Roman" w:hAnsi="Times New Roman" w:eastAsia="Times New Roman" w:cs="Times New Roman"/>
        </w:rPr>
        <w:t>NOx</w:t>
      </w:r>
      <w:r>
        <w:rPr>
          <w:spacing w:val="5"/>
        </w:rPr>
        <w:t>）、颗粒物（</w:t>
      </w:r>
      <w:r>
        <w:rPr>
          <w:rFonts w:ascii="Times New Roman" w:hAnsi="Times New Roman" w:eastAsia="Times New Roman" w:cs="Times New Roman"/>
        </w:rPr>
        <w:t>PM</w:t>
      </w:r>
      <w:r>
        <w:rPr>
          <w:rFonts w:ascii="Times New Roman" w:hAnsi="Times New Roman" w:eastAsia="Times New Roman" w:cs="Times New Roman"/>
          <w:spacing w:val="-21"/>
        </w:rPr>
        <w:t xml:space="preserve"> </w:t>
      </w:r>
      <w:r>
        <w:rPr>
          <w:spacing w:val="5"/>
        </w:rPr>
        <w:t>）</w:t>
      </w:r>
      <w:r>
        <w:rPr>
          <w:spacing w:val="18"/>
        </w:rPr>
        <w:t>的减排比例应分别达到全社会排放量占比的</w:t>
      </w:r>
      <w:r>
        <w:rPr>
          <w:rFonts w:ascii="Times New Roman" w:hAnsi="Times New Roman" w:eastAsia="Times New Roman" w:cs="Times New Roman"/>
          <w:spacing w:val="19"/>
        </w:rPr>
        <w:t>10%</w:t>
      </w:r>
      <w:r>
        <w:rPr>
          <w:spacing w:val="19"/>
        </w:rPr>
        <w:t>以上。可根据本地污染物排放构成调整</w:t>
      </w:r>
      <w:r>
        <w:rPr>
          <w:rFonts w:ascii="Times New Roman" w:hAnsi="Times New Roman" w:eastAsia="Times New Roman" w:cs="Times New Roman"/>
        </w:rPr>
        <w:t>SO</w:t>
      </w:r>
      <w:r>
        <w:rPr>
          <w:rFonts w:ascii="Times New Roman" w:hAnsi="Times New Roman" w:eastAsia="Times New Roman" w:cs="Times New Roman"/>
          <w:sz w:val="13"/>
          <w:szCs w:val="13"/>
          <w:spacing w:val="5"/>
          <w:position w:val="-1"/>
        </w:rPr>
        <w:t>2</w:t>
      </w:r>
      <w:r>
        <w:rPr>
          <w:rFonts w:ascii="Times New Roman" w:hAnsi="Times New Roman" w:eastAsia="Times New Roman" w:cs="Times New Roman"/>
          <w:sz w:val="13"/>
          <w:szCs w:val="13"/>
          <w:spacing w:val="23"/>
          <w:w w:val="101"/>
          <w:position w:val="-1"/>
        </w:rPr>
        <w:t xml:space="preserve"> </w:t>
      </w:r>
      <w:r>
        <w:rPr>
          <w:spacing w:val="5"/>
        </w:rPr>
        <w:t>和</w:t>
      </w:r>
      <w:r>
        <w:rPr>
          <w:spacing w:val="-50"/>
        </w:rPr>
        <w:t xml:space="preserve"> </w:t>
      </w:r>
      <w:r>
        <w:rPr>
          <w:rFonts w:ascii="Times New Roman" w:hAnsi="Times New Roman" w:eastAsia="Times New Roman" w:cs="Times New Roman"/>
        </w:rPr>
        <w:t>NOx</w:t>
      </w:r>
      <w:r>
        <w:rPr>
          <w:rFonts w:ascii="Times New Roman" w:hAnsi="Times New Roman" w:eastAsia="Times New Roman" w:cs="Times New Roman"/>
          <w:spacing w:val="5"/>
        </w:rPr>
        <w:t xml:space="preserve"> </w:t>
      </w:r>
      <w:r>
        <w:rPr>
          <w:spacing w:val="5"/>
        </w:rPr>
        <w:t>减排比例，但二者比例之和不应低</w:t>
      </w:r>
    </w:p>
    <w:p>
      <w:pPr>
        <w:spacing w:line="14" w:lineRule="auto"/>
        <w:rPr>
          <w:rFonts w:ascii="Arial"/>
          <w:sz w:val="2"/>
        </w:rPr>
      </w:pPr>
      <w:r>
        <w:rPr>
          <w:rFonts w:ascii="Arial" w:hAnsi="Arial" w:eastAsia="Arial" w:cs="Arial"/>
          <w:sz w:val="2"/>
          <w:szCs w:val="2"/>
        </w:rPr>
        <w:br w:type="column"/>
      </w:r>
    </w:p>
    <w:p>
      <w:pPr>
        <w:pStyle w:val="BodyText"/>
        <w:ind w:left="10"/>
        <w:spacing w:before="39" w:line="224" w:lineRule="auto"/>
        <w:rPr/>
      </w:pPr>
      <w:r>
        <w:rPr>
          <w:spacing w:val="7"/>
        </w:rPr>
        <w:t>于上述总体要求。</w:t>
      </w:r>
    </w:p>
    <w:p>
      <w:pPr>
        <w:pStyle w:val="BodyText"/>
        <w:ind w:right="101" w:firstLine="414"/>
        <w:spacing w:before="153" w:line="337"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5"/>
        </w:rPr>
        <w:t xml:space="preserve"> </w:t>
      </w:r>
      <w:r>
        <w:rPr>
          <w:spacing w:val="8"/>
        </w:rPr>
        <w:t>）对工业企业管控</w:t>
      </w:r>
      <w:r>
        <w:rPr>
          <w:spacing w:val="-59"/>
        </w:rPr>
        <w:t xml:space="preserve"> </w:t>
      </w:r>
      <w:r>
        <w:rPr>
          <w:spacing w:val="8"/>
        </w:rPr>
        <w:t>，应以行政区为单</w:t>
      </w:r>
      <w:r>
        <w:rPr>
          <w:spacing w:val="7"/>
        </w:rPr>
        <w:t>位。各成员单位要指导企业根据行业种类制定</w:t>
      </w:r>
      <w:r>
        <w:rPr>
          <w:spacing w:val="16"/>
        </w:rPr>
        <w:t>合理的减排措施</w:t>
      </w:r>
      <w:r>
        <w:rPr>
          <w:spacing w:val="-50"/>
        </w:rPr>
        <w:t xml:space="preserve"> </w:t>
      </w:r>
      <w:r>
        <w:rPr>
          <w:spacing w:val="16"/>
        </w:rPr>
        <w:t>，避免采取</w:t>
      </w:r>
      <w:r>
        <w:rPr>
          <w:rFonts w:ascii="Times New Roman" w:hAnsi="Times New Roman" w:eastAsia="Times New Roman" w:cs="Times New Roman"/>
          <w:spacing w:val="16"/>
        </w:rPr>
        <w:t>“</w:t>
      </w:r>
      <w:r>
        <w:rPr>
          <w:spacing w:val="16"/>
        </w:rPr>
        <w:t>一刀切</w:t>
      </w:r>
      <w:r>
        <w:rPr>
          <w:rFonts w:ascii="Times New Roman" w:hAnsi="Times New Roman" w:eastAsia="Times New Roman" w:cs="Times New Roman"/>
          <w:spacing w:val="16"/>
        </w:rPr>
        <w:t>”</w:t>
      </w:r>
      <w:r>
        <w:rPr>
          <w:spacing w:val="16"/>
        </w:rPr>
        <w:t>减排方</w:t>
      </w:r>
      <w:r>
        <w:rPr>
          <w:spacing w:val="7"/>
        </w:rPr>
        <w:t>式，通过针对涉气工序停限产或提高污染治理</w:t>
      </w:r>
      <w:r>
        <w:rPr>
          <w:spacing w:val="9"/>
        </w:rPr>
        <w:t>设施运行效率等方式实现减排。</w:t>
      </w:r>
    </w:p>
    <w:p>
      <w:pPr>
        <w:pStyle w:val="BodyText"/>
        <w:ind w:left="3" w:right="101" w:firstLine="411"/>
        <w:spacing w:before="151" w:line="330"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）纳入清单的工业企业应制定包含停</w:t>
      </w:r>
      <w:r>
        <w:rPr>
          <w:spacing w:val="7"/>
        </w:rPr>
        <w:t>限涉气工序、提高污染治理设施运行效率等具</w:t>
      </w:r>
      <w:r>
        <w:rPr>
          <w:spacing w:val="7"/>
        </w:rPr>
        <w:t>体措施的应急响应操作方案，并在厂区显著位</w:t>
      </w:r>
      <w:r>
        <w:rPr>
          <w:spacing w:val="8"/>
        </w:rPr>
        <w:t>置设立公示牌公示执行措施。</w:t>
      </w:r>
    </w:p>
    <w:p>
      <w:pPr>
        <w:pStyle w:val="BodyText"/>
        <w:ind w:left="2" w:right="81" w:firstLine="420"/>
        <w:spacing w:before="158" w:line="363" w:lineRule="auto"/>
        <w:jc w:val="both"/>
        <w:rPr/>
      </w:pPr>
      <w:r>
        <w:rPr>
          <w:spacing w:val="6"/>
        </w:rPr>
        <w:t>涂料制造业（生产水性涂料或其他排放达</w:t>
      </w:r>
      <w:r>
        <w:rPr>
          <w:spacing w:val="-3"/>
        </w:rPr>
        <w:t>到水性涂料水平的工序除外）、家具制造业（使</w:t>
      </w:r>
      <w:r>
        <w:rPr>
          <w:spacing w:val="7"/>
        </w:rPr>
        <w:t>用水性涂料的工序除外）、印刷行业（使用低</w:t>
      </w:r>
      <w:r>
        <w:rPr>
          <w:spacing w:val="8"/>
        </w:rPr>
        <w:t>或无</w:t>
      </w:r>
      <w:r>
        <w:rPr>
          <w:spacing w:val="-44"/>
        </w:rPr>
        <w:t xml:space="preserve"> </w:t>
      </w:r>
      <w:r>
        <w:rPr>
          <w:rFonts w:ascii="Times New Roman" w:hAnsi="Times New Roman" w:eastAsia="Times New Roman" w:cs="Times New Roman"/>
        </w:rPr>
        <w:t>VOCs</w:t>
      </w:r>
      <w:r>
        <w:rPr>
          <w:rFonts w:ascii="Times New Roman" w:hAnsi="Times New Roman" w:eastAsia="Times New Roman" w:cs="Times New Roman"/>
          <w:spacing w:val="8"/>
        </w:rPr>
        <w:t xml:space="preserve"> </w:t>
      </w:r>
      <w:r>
        <w:rPr>
          <w:spacing w:val="8"/>
        </w:rPr>
        <w:t>含量的油墨除外）、塑料制造业等</w:t>
      </w:r>
      <w:r>
        <w:rPr>
          <w:spacing w:val="7"/>
        </w:rPr>
        <w:t>污染排放较大、可快速实现停限产的行业可采</w:t>
      </w:r>
      <w:r>
        <w:rPr>
          <w:spacing w:val="7"/>
        </w:rPr>
        <w:t>取停限主要涉气工序的措施实现减排要求。玻</w:t>
      </w:r>
      <w:r>
        <w:rPr>
          <w:spacing w:val="7"/>
        </w:rPr>
        <w:t>璃制造业要提高污染治理设施效率，其他行业</w:t>
      </w:r>
      <w:r>
        <w:rPr>
          <w:spacing w:val="8"/>
        </w:rPr>
        <w:t>按照工业源项目清单要求落实停、限产措施。</w:t>
      </w:r>
    </w:p>
    <w:p>
      <w:pPr>
        <w:pStyle w:val="BodyText"/>
        <w:ind w:left="3" w:right="101" w:firstLine="421"/>
        <w:spacing w:before="25" w:line="364" w:lineRule="auto"/>
        <w:jc w:val="both"/>
        <w:rPr/>
      </w:pPr>
      <w:r>
        <w:rPr>
          <w:spacing w:val="6"/>
        </w:rPr>
        <w:t>达到超低排放标准的燃煤电厂、工业企业</w:t>
      </w:r>
      <w:r>
        <w:rPr>
          <w:spacing w:val="18"/>
        </w:rPr>
        <w:t>中的自备电厂以及垃圾焚烧发电厂等保民生</w:t>
      </w:r>
      <w:r>
        <w:rPr>
          <w:spacing w:val="18"/>
        </w:rPr>
        <w:t>任务的单位要确保重污染天气期间稳定达标</w:t>
      </w:r>
      <w:r>
        <w:rPr>
          <w:spacing w:val="8"/>
        </w:rPr>
        <w:t>排放，不执行减排措施。</w:t>
      </w:r>
    </w:p>
    <w:p>
      <w:pPr>
        <w:pStyle w:val="BodyText"/>
        <w:ind w:left="12" w:right="103" w:firstLine="402"/>
        <w:spacing w:before="1" w:line="295"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）停止室外喷涂、粉刷、切割、护坡</w:t>
      </w:r>
      <w:r>
        <w:rPr>
          <w:spacing w:val="4"/>
        </w:rPr>
        <w:t>喷浆作业。</w:t>
      </w:r>
    </w:p>
    <w:p>
      <w:pPr>
        <w:pStyle w:val="BodyText"/>
        <w:ind w:left="2" w:right="78" w:firstLine="412"/>
        <w:spacing w:before="150" w:line="344" w:lineRule="auto"/>
        <w:rPr/>
      </w:pPr>
      <w:r>
        <w:rPr>
          <w:spacing w:val="7"/>
        </w:rPr>
        <w:t>（</w:t>
      </w:r>
      <w:r>
        <w:rPr>
          <w:spacing w:val="-53"/>
        </w:rPr>
        <w:t xml:space="preserve"> </w:t>
      </w:r>
      <w:r>
        <w:rPr>
          <w:rFonts w:ascii="Times New Roman" w:hAnsi="Times New Roman" w:eastAsia="Times New Roman" w:cs="Times New Roman"/>
          <w:spacing w:val="7"/>
        </w:rPr>
        <w:t>5 </w:t>
      </w:r>
      <w:r>
        <w:rPr>
          <w:spacing w:val="7"/>
        </w:rPr>
        <w:t>）除涉及重大民生工程、安全生产及</w:t>
      </w:r>
      <w:r>
        <w:rPr>
          <w:spacing w:val="7"/>
        </w:rPr>
        <w:t>应急抢险任务外，停止所有施工工地的土石方</w:t>
      </w:r>
      <w:r>
        <w:rPr>
          <w:spacing w:val="8"/>
        </w:rPr>
        <w:t>作业（包括：停止土石方开挖、回填、拆迁、</w:t>
      </w:r>
      <w:r>
        <w:rPr>
          <w:spacing w:val="7"/>
        </w:rPr>
        <w:t>场内倒运、掺拌石灰、混凝土剔凿等作业，停</w:t>
      </w:r>
      <w:r>
        <w:rPr>
          <w:spacing w:val="8"/>
        </w:rPr>
        <w:t>止建筑工程配套道路和管沟开挖作业）。</w:t>
      </w:r>
    </w:p>
    <w:p>
      <w:pPr>
        <w:pStyle w:val="BodyText"/>
        <w:ind w:left="2" w:right="101" w:firstLine="412"/>
        <w:spacing w:before="120" w:line="321" w:lineRule="auto"/>
        <w:rPr/>
      </w:pPr>
      <w:r>
        <w:rPr>
          <w:spacing w:val="9"/>
        </w:rPr>
        <w:t>（</w:t>
      </w:r>
      <w:r>
        <w:rPr>
          <w:rFonts w:ascii="Times New Roman" w:hAnsi="Times New Roman" w:eastAsia="Times New Roman" w:cs="Times New Roman"/>
          <w:spacing w:val="9"/>
        </w:rPr>
        <w:t>6 </w:t>
      </w:r>
      <w:r>
        <w:rPr>
          <w:spacing w:val="9"/>
        </w:rPr>
        <w:t>）除涉及重大民生工程、安全生产及</w:t>
      </w:r>
      <w:r>
        <w:rPr>
          <w:spacing w:val="7"/>
        </w:rPr>
        <w:t>应急抢险任务外，全面停止使用各类非道路移</w:t>
      </w:r>
      <w:r>
        <w:rPr>
          <w:spacing w:val="7"/>
        </w:rPr>
        <w:t>动机械；全面停止建筑垃圾和渣土运输车、砂</w:t>
      </w:r>
      <w:r>
        <w:rPr>
          <w:spacing w:val="8"/>
        </w:rPr>
        <w:t>石运输车辆上路行驶。</w:t>
      </w:r>
    </w:p>
    <w:p>
      <w:pPr>
        <w:spacing w:line="321" w:lineRule="auto"/>
        <w:sectPr>
          <w:type w:val="continuous"/>
          <w:pgSz w:w="11906" w:h="16839"/>
          <w:pgMar w:top="1772" w:right="1489" w:bottom="1572" w:left="1571" w:header="1428" w:footer="1172" w:gutter="0"/>
          <w:cols w:equalWidth="0" w:num="2">
            <w:col w:w="4496" w:space="100"/>
            <w:col w:w="4251" w:space="0"/>
          </w:cols>
        </w:sectPr>
        <w:rPr/>
      </w:pPr>
    </w:p>
    <w:p>
      <w:pPr>
        <w:spacing w:before="108"/>
        <w:rPr/>
      </w:pPr>
      <w:r>
        <w:drawing>
          <wp:anchor distT="0" distB="0" distL="0" distR="0" simplePos="0" relativeHeight="253997056"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2144" name="IM 2144"/>
            <wp:cNvGraphicFramePr/>
            <a:graphic>
              <a:graphicData uri="http://schemas.openxmlformats.org/drawingml/2006/picture">
                <pic:pic>
                  <pic:nvPicPr>
                    <pic:cNvPr id="2144" name="IM 2144"/>
                    <pic:cNvPicPr/>
                  </pic:nvPicPr>
                  <pic:blipFill>
                    <a:blip r:embed="rId1074"/>
                    <a:stretch>
                      <a:fillRect/>
                    </a:stretch>
                  </pic:blipFill>
                  <pic:spPr>
                    <a:xfrm rot="0">
                      <a:off x="0" y="0"/>
                      <a:ext cx="5579745" cy="7620"/>
                    </a:xfrm>
                    <a:prstGeom prst="rect">
                      <a:avLst/>
                    </a:prstGeom>
                  </pic:spPr>
                </pic:pic>
              </a:graphicData>
            </a:graphic>
          </wp:anchor>
        </w:drawing>
      </w:r>
      <w:r/>
    </w:p>
    <w:p>
      <w:pPr>
        <w:sectPr>
          <w:headerReference w:type="default" r:id="rId549"/>
          <w:footerReference w:type="default" r:id="rId1073"/>
          <w:pgSz w:w="11906" w:h="16839"/>
          <w:pgMar w:top="1766" w:right="1530" w:bottom="1574" w:left="1579" w:header="1428" w:footer="1172" w:gutter="0"/>
          <w:cols w:equalWidth="0" w:num="1">
            <w:col w:w="8796" w:space="0"/>
          </w:cols>
        </w:sectPr>
        <w:rPr/>
      </w:pPr>
    </w:p>
    <w:p>
      <w:pPr>
        <w:pStyle w:val="BodyText"/>
        <w:ind w:left="12" w:right="329" w:firstLine="412"/>
        <w:spacing w:before="1" w:line="333" w:lineRule="auto"/>
        <w:rPr/>
      </w:pPr>
      <w:r>
        <w:rPr>
          <w:spacing w:val="9"/>
        </w:rPr>
        <w:t>（</w:t>
      </w:r>
      <w:r>
        <w:rPr>
          <w:rFonts w:ascii="Times New Roman" w:hAnsi="Times New Roman" w:eastAsia="Times New Roman" w:cs="Times New Roman"/>
          <w:spacing w:val="9"/>
        </w:rPr>
        <w:t>7 </w:t>
      </w:r>
      <w:r>
        <w:rPr>
          <w:spacing w:val="9"/>
        </w:rPr>
        <w:t>）除涉及重大民生工程、安全生产及</w:t>
      </w:r>
      <w:r>
        <w:rPr>
          <w:spacing w:val="7"/>
        </w:rPr>
        <w:t>应急抢险任务外，所有水泥粉磨站、渣土存放</w:t>
      </w:r>
      <w:r>
        <w:rPr>
          <w:spacing w:val="7"/>
        </w:rPr>
        <w:t>点全面停止生产、运行；全市混凝土搅拌站和</w:t>
      </w:r>
      <w:r>
        <w:rPr>
          <w:spacing w:val="7"/>
        </w:rPr>
        <w:t>砂浆搅拌站停止生产，站内堆放的散体物料全</w:t>
      </w:r>
      <w:r>
        <w:rPr>
          <w:spacing w:val="8"/>
        </w:rPr>
        <w:t>部苫盖，增加洒水降尘频次。</w:t>
      </w:r>
    </w:p>
    <w:p>
      <w:pPr>
        <w:pStyle w:val="BodyText"/>
        <w:ind w:left="11" w:right="329" w:firstLine="413"/>
        <w:spacing w:before="143" w:line="326" w:lineRule="auto"/>
        <w:rPr/>
      </w:pPr>
      <w:r>
        <w:rPr>
          <w:spacing w:val="8"/>
        </w:rPr>
        <w:t>（</w:t>
      </w:r>
      <w:r>
        <w:rPr>
          <w:spacing w:val="-45"/>
        </w:rPr>
        <w:t xml:space="preserve"> </w:t>
      </w:r>
      <w:r>
        <w:rPr>
          <w:rFonts w:ascii="Times New Roman" w:hAnsi="Times New Roman" w:eastAsia="Times New Roman" w:cs="Times New Roman"/>
          <w:spacing w:val="8"/>
        </w:rPr>
        <w:t>8</w:t>
      </w:r>
      <w:r>
        <w:rPr>
          <w:rFonts w:ascii="Times New Roman" w:hAnsi="Times New Roman" w:eastAsia="Times New Roman" w:cs="Times New Roman"/>
          <w:spacing w:val="-19"/>
        </w:rPr>
        <w:t xml:space="preserve"> </w:t>
      </w:r>
      <w:r>
        <w:rPr>
          <w:spacing w:val="8"/>
        </w:rPr>
        <w:t>）市区、原州区主要道路采取科学措</w:t>
      </w:r>
      <w:r>
        <w:rPr>
          <w:spacing w:val="7"/>
        </w:rPr>
        <w:t>施，根据空气相对湿度，加大或降低湿法作业</w:t>
      </w:r>
      <w:r>
        <w:rPr>
          <w:spacing w:val="7"/>
        </w:rPr>
        <w:t>频次，湿法作业频次降低时应适当加大吸扫作</w:t>
      </w:r>
      <w:r>
        <w:rPr>
          <w:spacing w:val="6"/>
        </w:rPr>
        <w:t>业力度。</w:t>
      </w:r>
    </w:p>
    <w:p>
      <w:pPr>
        <w:pStyle w:val="BodyText"/>
        <w:ind w:left="439"/>
        <w:spacing w:before="148" w:line="277" w:lineRule="exact"/>
        <w:rPr/>
      </w:pPr>
      <w:r>
        <w:rPr>
          <w:rFonts w:ascii="Times New Roman" w:hAnsi="Times New Roman" w:eastAsia="Times New Roman" w:cs="Times New Roman"/>
          <w:spacing w:val="6"/>
          <w:position w:val="1"/>
        </w:rPr>
        <w:t>5.3.3Ⅱ  </w:t>
      </w:r>
      <w:r>
        <w:rPr>
          <w:spacing w:val="6"/>
          <w:position w:val="1"/>
        </w:rPr>
        <w:t>级响应措施。健康防护指引：</w:t>
      </w:r>
    </w:p>
    <w:p>
      <w:pPr>
        <w:pStyle w:val="BodyText"/>
        <w:ind w:left="14" w:right="329" w:firstLine="409"/>
        <w:spacing w:before="113" w:line="326"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）提醒儿童、老年人和心脏病、肺病</w:t>
      </w:r>
      <w:r>
        <w:rPr>
          <w:spacing w:val="7"/>
        </w:rPr>
        <w:t>患者以及过敏性疾病患者应当留在室内，停止</w:t>
      </w:r>
      <w:r>
        <w:rPr>
          <w:spacing w:val="7"/>
        </w:rPr>
        <w:t>户外运动，一般人群减少户外运动，确需外出</w:t>
      </w:r>
      <w:r>
        <w:rPr>
          <w:spacing w:val="8"/>
        </w:rPr>
        <w:t>的，应当采取防护措施。</w:t>
      </w:r>
    </w:p>
    <w:p>
      <w:pPr>
        <w:pStyle w:val="BodyText"/>
        <w:ind w:left="424"/>
        <w:spacing w:before="147" w:line="278" w:lineRule="exact"/>
        <w:rPr/>
      </w:pPr>
      <w:r>
        <w:rPr>
          <w:spacing w:val="-5"/>
          <w:position w:val="1"/>
        </w:rPr>
        <w:t>（</w:t>
      </w:r>
      <w:r>
        <w:rPr>
          <w:rFonts w:ascii="Times New Roman" w:hAnsi="Times New Roman" w:eastAsia="Times New Roman" w:cs="Times New Roman"/>
          <w:spacing w:val="-5"/>
          <w:position w:val="1"/>
        </w:rPr>
        <w:t>2</w:t>
      </w:r>
      <w:r>
        <w:rPr>
          <w:rFonts w:ascii="Times New Roman" w:hAnsi="Times New Roman" w:eastAsia="Times New Roman" w:cs="Times New Roman"/>
          <w:spacing w:val="-6"/>
          <w:position w:val="1"/>
        </w:rPr>
        <w:t xml:space="preserve"> </w:t>
      </w:r>
      <w:r>
        <w:rPr>
          <w:spacing w:val="-5"/>
          <w:position w:val="1"/>
        </w:rPr>
        <w:t>）中小学、幼儿园停止户外课程及活动。</w:t>
      </w:r>
    </w:p>
    <w:p>
      <w:pPr>
        <w:pStyle w:val="BodyText"/>
        <w:ind w:left="14" w:right="332" w:firstLine="409"/>
        <w:spacing w:before="116" w:line="295" w:lineRule="auto"/>
        <w:rPr/>
      </w:pPr>
      <w:r>
        <w:rPr>
          <w:spacing w:val="9"/>
        </w:rPr>
        <w:t>（</w:t>
      </w:r>
      <w:r>
        <w:rPr>
          <w:rFonts w:ascii="Times New Roman" w:hAnsi="Times New Roman" w:eastAsia="Times New Roman" w:cs="Times New Roman"/>
          <w:spacing w:val="9"/>
        </w:rPr>
        <w:t>3 </w:t>
      </w:r>
      <w:r>
        <w:rPr>
          <w:spacing w:val="9"/>
        </w:rPr>
        <w:t>）医疗卫生机构加强对呼吸类疾病患</w:t>
      </w:r>
      <w:r>
        <w:rPr>
          <w:spacing w:val="8"/>
        </w:rPr>
        <w:t>者的防护宣传和就医指导。</w:t>
      </w:r>
    </w:p>
    <w:p>
      <w:pPr>
        <w:pStyle w:val="BodyText"/>
        <w:ind w:left="433"/>
        <w:spacing w:before="153" w:line="278" w:lineRule="exact"/>
        <w:rPr/>
      </w:pPr>
      <w:r>
        <w:rPr>
          <w:spacing w:val="7"/>
          <w:position w:val="1"/>
        </w:rPr>
        <w:t>建议性措施：</w:t>
      </w:r>
    </w:p>
    <w:p>
      <w:pPr>
        <w:pStyle w:val="BodyText"/>
        <w:ind w:left="13" w:right="322" w:firstLine="411"/>
        <w:spacing w:before="119" w:line="318" w:lineRule="auto"/>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）倡导公众绿色出行和绿色生活</w:t>
      </w:r>
      <w:r>
        <w:rPr>
          <w:spacing w:val="-59"/>
        </w:rPr>
        <w:t xml:space="preserve"> </w:t>
      </w:r>
      <w:r>
        <w:rPr>
          <w:spacing w:val="5"/>
        </w:rPr>
        <w:t>，尽</w:t>
      </w:r>
      <w:r>
        <w:rPr>
          <w:spacing w:val="7"/>
        </w:rPr>
        <w:t>量乘坐公共交通工具或电动汽车等方式出行，</w:t>
      </w:r>
      <w:r>
        <w:rPr>
          <w:spacing w:val="8"/>
        </w:rPr>
        <w:t>减少祭祀烧纸等行为。</w:t>
      </w:r>
    </w:p>
    <w:p>
      <w:pPr>
        <w:pStyle w:val="BodyText"/>
        <w:ind w:left="14" w:right="329" w:firstLine="409"/>
        <w:spacing w:before="154" w:line="329"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5"/>
        </w:rPr>
        <w:t xml:space="preserve"> </w:t>
      </w:r>
      <w:r>
        <w:rPr>
          <w:spacing w:val="8"/>
        </w:rPr>
        <w:t>）倡导公众绿色消费</w:t>
      </w:r>
      <w:r>
        <w:rPr>
          <w:spacing w:val="-59"/>
        </w:rPr>
        <w:t xml:space="preserve"> </w:t>
      </w:r>
      <w:r>
        <w:rPr>
          <w:spacing w:val="8"/>
        </w:rPr>
        <w:t>，尽量减少含挥</w:t>
      </w:r>
      <w:r>
        <w:rPr>
          <w:spacing w:val="7"/>
        </w:rPr>
        <w:t>发性有机物的涂料、油漆、溶剂等原材料及产</w:t>
      </w:r>
      <w:r>
        <w:rPr>
          <w:spacing w:val="6"/>
        </w:rPr>
        <w:t>品的使用。</w:t>
      </w:r>
    </w:p>
    <w:p>
      <w:pPr>
        <w:pStyle w:val="BodyText"/>
        <w:ind w:left="424"/>
        <w:spacing w:before="118" w:line="277" w:lineRule="exact"/>
        <w:rPr/>
      </w:pPr>
      <w:r>
        <w:rPr>
          <w:spacing w:val="6"/>
          <w:position w:val="1"/>
        </w:rPr>
        <w:t>（</w:t>
      </w:r>
      <w:r>
        <w:rPr>
          <w:rFonts w:ascii="Times New Roman" w:hAnsi="Times New Roman" w:eastAsia="Times New Roman" w:cs="Times New Roman"/>
          <w:spacing w:val="6"/>
          <w:position w:val="1"/>
        </w:rPr>
        <w:t>3</w:t>
      </w:r>
      <w:r>
        <w:rPr>
          <w:rFonts w:ascii="Times New Roman" w:hAnsi="Times New Roman" w:eastAsia="Times New Roman" w:cs="Times New Roman"/>
          <w:spacing w:val="-13"/>
          <w:position w:val="1"/>
        </w:rPr>
        <w:t xml:space="preserve"> </w:t>
      </w:r>
      <w:r>
        <w:rPr>
          <w:spacing w:val="6"/>
          <w:position w:val="1"/>
        </w:rPr>
        <w:t>）减少机动车日间加油。</w:t>
      </w:r>
    </w:p>
    <w:p>
      <w:pPr>
        <w:pStyle w:val="BodyText"/>
        <w:ind w:left="424"/>
        <w:spacing w:before="119" w:line="278" w:lineRule="exact"/>
        <w:rPr/>
      </w:pPr>
      <w:r>
        <w:rPr>
          <w:spacing w:val="6"/>
          <w:position w:val="1"/>
        </w:rPr>
        <w:t>（</w:t>
      </w:r>
      <w:r>
        <w:rPr>
          <w:rFonts w:ascii="Times New Roman" w:hAnsi="Times New Roman" w:eastAsia="Times New Roman" w:cs="Times New Roman"/>
          <w:spacing w:val="6"/>
          <w:position w:val="1"/>
        </w:rPr>
        <w:t>4</w:t>
      </w:r>
      <w:r>
        <w:rPr>
          <w:rFonts w:ascii="Times New Roman" w:hAnsi="Times New Roman" w:eastAsia="Times New Roman" w:cs="Times New Roman"/>
          <w:spacing w:val="-16"/>
          <w:position w:val="1"/>
        </w:rPr>
        <w:t xml:space="preserve"> </w:t>
      </w:r>
      <w:r>
        <w:rPr>
          <w:spacing w:val="6"/>
          <w:position w:val="1"/>
        </w:rPr>
        <w:t>）加强公交运力保障。</w:t>
      </w:r>
    </w:p>
    <w:p>
      <w:pPr>
        <w:pStyle w:val="BodyText"/>
        <w:ind w:left="435"/>
        <w:spacing w:before="118" w:line="279" w:lineRule="exact"/>
        <w:rPr/>
      </w:pPr>
      <w:r>
        <w:rPr>
          <w:spacing w:val="7"/>
          <w:position w:val="1"/>
        </w:rPr>
        <w:t>强制性减排措施：</w:t>
      </w:r>
    </w:p>
    <w:p>
      <w:pPr>
        <w:pStyle w:val="BodyText"/>
        <w:ind w:left="4" w:right="274" w:firstLine="420"/>
        <w:spacing w:before="118" w:line="355" w:lineRule="auto"/>
        <w:jc w:val="both"/>
        <w:rPr/>
      </w:pPr>
      <w:r>
        <w:rPr>
          <w:spacing w:val="15"/>
        </w:rPr>
        <w:t>（</w:t>
      </w:r>
      <w:r>
        <w:rPr>
          <w:spacing w:val="-19"/>
        </w:rPr>
        <w:t xml:space="preserve"> </w:t>
      </w:r>
      <w:r>
        <w:rPr>
          <w:rFonts w:ascii="Times New Roman" w:hAnsi="Times New Roman" w:eastAsia="Times New Roman" w:cs="Times New Roman"/>
          <w:spacing w:val="15"/>
        </w:rPr>
        <w:t>1</w:t>
      </w:r>
      <w:r>
        <w:rPr>
          <w:rFonts w:ascii="Times New Roman" w:hAnsi="Times New Roman" w:eastAsia="Times New Roman" w:cs="Times New Roman"/>
          <w:spacing w:val="28"/>
        </w:rPr>
        <w:t xml:space="preserve"> </w:t>
      </w:r>
      <w:r>
        <w:rPr>
          <w:spacing w:val="15"/>
        </w:rPr>
        <w:t>）在</w:t>
      </w:r>
      <w:r>
        <w:rPr>
          <w:rFonts w:ascii="Times New Roman" w:hAnsi="Times New Roman" w:eastAsia="Times New Roman" w:cs="Times New Roman"/>
          <w:spacing w:val="15"/>
        </w:rPr>
        <w:t>Ⅱ</w:t>
      </w:r>
      <w:r>
        <w:rPr>
          <w:rFonts w:ascii="Times New Roman" w:hAnsi="Times New Roman" w:eastAsia="Times New Roman" w:cs="Times New Roman"/>
          <w:spacing w:val="-21"/>
        </w:rPr>
        <w:t xml:space="preserve"> </w:t>
      </w:r>
      <w:r>
        <w:rPr>
          <w:spacing w:val="15"/>
        </w:rPr>
        <w:t>级应急响应期间</w:t>
      </w:r>
      <w:r>
        <w:rPr>
          <w:spacing w:val="-40"/>
        </w:rPr>
        <w:t xml:space="preserve"> </w:t>
      </w:r>
      <w:r>
        <w:rPr>
          <w:spacing w:val="15"/>
        </w:rPr>
        <w:t>，二氧化硫</w:t>
      </w:r>
      <w:r>
        <w:rPr>
          <w:spacing w:val="5"/>
        </w:rPr>
        <w:t>（</w:t>
      </w:r>
      <w:r>
        <w:rPr>
          <w:spacing w:val="-59"/>
        </w:rPr>
        <w:t xml:space="preserve"> </w:t>
      </w:r>
      <w:r>
        <w:rPr>
          <w:rFonts w:ascii="Times New Roman" w:hAnsi="Times New Roman" w:eastAsia="Times New Roman" w:cs="Times New Roman"/>
        </w:rPr>
        <w:t>SO</w:t>
      </w:r>
      <w:r>
        <w:rPr>
          <w:rFonts w:ascii="Times New Roman" w:hAnsi="Times New Roman" w:eastAsia="Times New Roman" w:cs="Times New Roman"/>
          <w:sz w:val="13"/>
          <w:szCs w:val="13"/>
          <w:spacing w:val="5"/>
          <w:position w:val="-1"/>
        </w:rPr>
        <w:t>2</w:t>
      </w:r>
      <w:r>
        <w:rPr>
          <w:rFonts w:ascii="Times New Roman" w:hAnsi="Times New Roman" w:eastAsia="Times New Roman" w:cs="Times New Roman"/>
          <w:sz w:val="13"/>
          <w:szCs w:val="13"/>
          <w:spacing w:val="26"/>
          <w:w w:val="101"/>
          <w:position w:val="-1"/>
        </w:rPr>
        <w:t xml:space="preserve"> </w:t>
      </w:r>
      <w:r>
        <w:rPr>
          <w:spacing w:val="5"/>
        </w:rPr>
        <w:t>）、氮氧化物（</w:t>
      </w:r>
      <w:r>
        <w:rPr>
          <w:rFonts w:ascii="Times New Roman" w:hAnsi="Times New Roman" w:eastAsia="Times New Roman" w:cs="Times New Roman"/>
        </w:rPr>
        <w:t>NOx</w:t>
      </w:r>
      <w:r>
        <w:rPr>
          <w:spacing w:val="5"/>
        </w:rPr>
        <w:t>）、颗粒物（</w:t>
      </w:r>
      <w:r>
        <w:rPr>
          <w:rFonts w:ascii="Times New Roman" w:hAnsi="Times New Roman" w:eastAsia="Times New Roman" w:cs="Times New Roman"/>
        </w:rPr>
        <w:t>PM</w:t>
      </w:r>
      <w:r>
        <w:rPr>
          <w:rFonts w:ascii="Times New Roman" w:hAnsi="Times New Roman" w:eastAsia="Times New Roman" w:cs="Times New Roman"/>
          <w:spacing w:val="-21"/>
        </w:rPr>
        <w:t xml:space="preserve"> </w:t>
      </w:r>
      <w:r>
        <w:rPr>
          <w:spacing w:val="5"/>
        </w:rPr>
        <w:t>）</w:t>
      </w:r>
      <w:r>
        <w:rPr>
          <w:spacing w:val="18"/>
        </w:rPr>
        <w:t>的减排比例应分别达到全社会排放量占比的</w:t>
      </w:r>
      <w:r>
        <w:rPr>
          <w:rFonts w:ascii="Times New Roman" w:hAnsi="Times New Roman" w:eastAsia="Times New Roman" w:cs="Times New Roman"/>
          <w:spacing w:val="19"/>
        </w:rPr>
        <w:t>20%</w:t>
      </w:r>
      <w:r>
        <w:rPr>
          <w:spacing w:val="19"/>
        </w:rPr>
        <w:t>以上。可根据本地污染物排放构成调整</w:t>
      </w:r>
      <w:r>
        <w:rPr>
          <w:rFonts w:ascii="Times New Roman" w:hAnsi="Times New Roman" w:eastAsia="Times New Roman" w:cs="Times New Roman"/>
        </w:rPr>
        <w:t>SO</w:t>
      </w:r>
      <w:r>
        <w:rPr>
          <w:rFonts w:ascii="Times New Roman" w:hAnsi="Times New Roman" w:eastAsia="Times New Roman" w:cs="Times New Roman"/>
          <w:sz w:val="13"/>
          <w:szCs w:val="13"/>
          <w:spacing w:val="5"/>
          <w:position w:val="-1"/>
        </w:rPr>
        <w:t>2</w:t>
      </w:r>
      <w:r>
        <w:rPr>
          <w:rFonts w:ascii="Times New Roman" w:hAnsi="Times New Roman" w:eastAsia="Times New Roman" w:cs="Times New Roman"/>
          <w:sz w:val="13"/>
          <w:szCs w:val="13"/>
          <w:spacing w:val="23"/>
          <w:w w:val="101"/>
          <w:position w:val="-1"/>
        </w:rPr>
        <w:t xml:space="preserve"> </w:t>
      </w:r>
      <w:r>
        <w:rPr>
          <w:spacing w:val="5"/>
        </w:rPr>
        <w:t>和</w:t>
      </w:r>
      <w:r>
        <w:rPr>
          <w:spacing w:val="-50"/>
        </w:rPr>
        <w:t xml:space="preserve"> </w:t>
      </w:r>
      <w:r>
        <w:rPr>
          <w:rFonts w:ascii="Times New Roman" w:hAnsi="Times New Roman" w:eastAsia="Times New Roman" w:cs="Times New Roman"/>
        </w:rPr>
        <w:t>NOx</w:t>
      </w:r>
      <w:r>
        <w:rPr>
          <w:rFonts w:ascii="Times New Roman" w:hAnsi="Times New Roman" w:eastAsia="Times New Roman" w:cs="Times New Roman"/>
          <w:spacing w:val="5"/>
        </w:rPr>
        <w:t xml:space="preserve"> </w:t>
      </w:r>
      <w:r>
        <w:rPr>
          <w:spacing w:val="5"/>
        </w:rPr>
        <w:t>减排比例，但二者比例之和不应低</w:t>
      </w:r>
      <w:r>
        <w:rPr>
          <w:spacing w:val="9"/>
        </w:rPr>
        <w:t>于上述总体要求。</w:t>
      </w:r>
    </w:p>
    <w:p>
      <w:pPr>
        <w:spacing w:line="14" w:lineRule="auto"/>
        <w:rPr>
          <w:rFonts w:ascii="Arial"/>
          <w:sz w:val="2"/>
        </w:rPr>
      </w:pPr>
      <w:r>
        <w:rPr>
          <w:rFonts w:ascii="Arial" w:hAnsi="Arial" w:eastAsia="Arial" w:cs="Arial"/>
          <w:sz w:val="2"/>
          <w:szCs w:val="2"/>
        </w:rPr>
        <w:br w:type="column"/>
      </w:r>
    </w:p>
    <w:p>
      <w:pPr>
        <w:pStyle w:val="BodyText"/>
        <w:ind w:right="59" w:firstLine="413"/>
        <w:spacing w:before="3" w:line="337"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5"/>
        </w:rPr>
        <w:t xml:space="preserve"> </w:t>
      </w:r>
      <w:r>
        <w:rPr>
          <w:spacing w:val="8"/>
        </w:rPr>
        <w:t>）对工业企业管控</w:t>
      </w:r>
      <w:r>
        <w:rPr>
          <w:spacing w:val="-59"/>
        </w:rPr>
        <w:t xml:space="preserve"> </w:t>
      </w:r>
      <w:r>
        <w:rPr>
          <w:spacing w:val="8"/>
        </w:rPr>
        <w:t>，应以行政区为单</w:t>
      </w:r>
      <w:r>
        <w:rPr>
          <w:spacing w:val="7"/>
        </w:rPr>
        <w:t>位。应急指挥部各成员单位要指导企业根据行</w:t>
      </w:r>
      <w:r>
        <w:rPr>
          <w:spacing w:val="10"/>
        </w:rPr>
        <w:t>业种类制定合理的减排措施</w:t>
      </w:r>
      <w:r>
        <w:rPr>
          <w:spacing w:val="-43"/>
        </w:rPr>
        <w:t xml:space="preserve"> </w:t>
      </w:r>
      <w:r>
        <w:rPr>
          <w:spacing w:val="10"/>
        </w:rPr>
        <w:t>，避免采取</w:t>
      </w:r>
      <w:r>
        <w:rPr>
          <w:rFonts w:ascii="Times New Roman" w:hAnsi="Times New Roman" w:eastAsia="Times New Roman" w:cs="Times New Roman"/>
          <w:spacing w:val="10"/>
        </w:rPr>
        <w:t>“</w:t>
      </w:r>
      <w:r>
        <w:rPr>
          <w:spacing w:val="10"/>
        </w:rPr>
        <w:t>一刀</w:t>
      </w:r>
      <w:r>
        <w:rPr>
          <w:spacing w:val="10"/>
        </w:rPr>
        <w:t>切</w:t>
      </w:r>
      <w:r>
        <w:rPr>
          <w:rFonts w:ascii="Times New Roman" w:hAnsi="Times New Roman" w:eastAsia="Times New Roman" w:cs="Times New Roman"/>
          <w:spacing w:val="10"/>
        </w:rPr>
        <w:t>”</w:t>
      </w:r>
      <w:r>
        <w:rPr>
          <w:spacing w:val="10"/>
        </w:rPr>
        <w:t>减排方式</w:t>
      </w:r>
      <w:r>
        <w:rPr>
          <w:spacing w:val="-43"/>
        </w:rPr>
        <w:t xml:space="preserve"> </w:t>
      </w:r>
      <w:r>
        <w:rPr>
          <w:spacing w:val="10"/>
        </w:rPr>
        <w:t>，通过针对涉气工序停限产或提</w:t>
      </w:r>
      <w:r>
        <w:rPr>
          <w:spacing w:val="9"/>
        </w:rPr>
        <w:t>高污染治理设施运行效率等方式实现减排。</w:t>
      </w:r>
    </w:p>
    <w:p>
      <w:pPr>
        <w:pStyle w:val="BodyText"/>
        <w:ind w:left="1" w:right="59" w:firstLine="411"/>
        <w:spacing w:before="151" w:line="330"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）纳入清单的工业企业应制定包含停</w:t>
      </w:r>
      <w:r>
        <w:rPr>
          <w:spacing w:val="7"/>
        </w:rPr>
        <w:t>限涉气工序、提高污染治理设施运行效率等具</w:t>
      </w:r>
      <w:r>
        <w:rPr>
          <w:spacing w:val="7"/>
        </w:rPr>
        <w:t>体措施的应急响应操作方案，并在厂区显著位</w:t>
      </w:r>
      <w:r>
        <w:rPr>
          <w:spacing w:val="8"/>
        </w:rPr>
        <w:t>置设立公示牌公示执行措施。</w:t>
      </w:r>
    </w:p>
    <w:p>
      <w:pPr>
        <w:pStyle w:val="BodyText"/>
        <w:ind w:right="39" w:firstLine="420"/>
        <w:spacing w:before="158" w:line="363" w:lineRule="auto"/>
        <w:jc w:val="both"/>
        <w:rPr/>
      </w:pPr>
      <w:r>
        <w:rPr>
          <w:spacing w:val="6"/>
        </w:rPr>
        <w:t>涂料制造业（生产水性涂料或其他排放达</w:t>
      </w:r>
      <w:r>
        <w:rPr>
          <w:spacing w:val="-3"/>
        </w:rPr>
        <w:t>到水性涂料水平的工序除外）、家具制造业（使</w:t>
      </w:r>
      <w:r>
        <w:rPr>
          <w:spacing w:val="7"/>
        </w:rPr>
        <w:t>用水性涂料的工序除外）、印刷行业（使用低</w:t>
      </w:r>
      <w:r>
        <w:rPr>
          <w:spacing w:val="8"/>
        </w:rPr>
        <w:t>或无</w:t>
      </w:r>
      <w:r>
        <w:rPr>
          <w:spacing w:val="-44"/>
        </w:rPr>
        <w:t xml:space="preserve"> </w:t>
      </w:r>
      <w:r>
        <w:rPr>
          <w:rFonts w:ascii="Times New Roman" w:hAnsi="Times New Roman" w:eastAsia="Times New Roman" w:cs="Times New Roman"/>
        </w:rPr>
        <w:t>VOCs</w:t>
      </w:r>
      <w:r>
        <w:rPr>
          <w:rFonts w:ascii="Times New Roman" w:hAnsi="Times New Roman" w:eastAsia="Times New Roman" w:cs="Times New Roman"/>
          <w:spacing w:val="8"/>
        </w:rPr>
        <w:t xml:space="preserve"> </w:t>
      </w:r>
      <w:r>
        <w:rPr>
          <w:spacing w:val="8"/>
        </w:rPr>
        <w:t>含量的油墨除外）、塑料制造业等</w:t>
      </w:r>
      <w:r>
        <w:rPr>
          <w:spacing w:val="7"/>
        </w:rPr>
        <w:t>污染排放较大、可快速实现停限产的行业可采</w:t>
      </w:r>
      <w:r>
        <w:rPr>
          <w:spacing w:val="7"/>
        </w:rPr>
        <w:t>取停限主要涉气工序的措施实现减排要求。玻</w:t>
      </w:r>
      <w:r>
        <w:rPr>
          <w:spacing w:val="7"/>
        </w:rPr>
        <w:t>璃制造业要提高污染治理设施效率。其他行业</w:t>
      </w:r>
      <w:r>
        <w:rPr>
          <w:spacing w:val="8"/>
        </w:rPr>
        <w:t>按照工业源项目清单要求落实停、限产措施。</w:t>
      </w:r>
    </w:p>
    <w:p>
      <w:pPr>
        <w:pStyle w:val="BodyText"/>
        <w:ind w:left="1" w:right="59" w:firstLine="421"/>
        <w:spacing w:before="25" w:line="364" w:lineRule="auto"/>
        <w:jc w:val="both"/>
        <w:rPr/>
      </w:pPr>
      <w:r>
        <w:rPr>
          <w:spacing w:val="6"/>
        </w:rPr>
        <w:t>达到超低排放标准的燃煤电厂、工业企业</w:t>
      </w:r>
      <w:r>
        <w:rPr>
          <w:spacing w:val="18"/>
        </w:rPr>
        <w:t>中的自备电厂以及垃圾焚烧发电厂等保民生</w:t>
      </w:r>
      <w:r>
        <w:rPr>
          <w:spacing w:val="18"/>
        </w:rPr>
        <w:t>任务的单位要确保重污染天气期间稳定达标</w:t>
      </w:r>
      <w:r>
        <w:rPr>
          <w:spacing w:val="8"/>
        </w:rPr>
        <w:t>排放，不执行减排措施。</w:t>
      </w:r>
    </w:p>
    <w:p>
      <w:pPr>
        <w:pStyle w:val="BodyText"/>
        <w:ind w:left="10" w:right="62" w:firstLine="402"/>
        <w:spacing w:before="1" w:line="295"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）停止室外喷涂、粉刷、切割、护坡</w:t>
      </w:r>
      <w:r>
        <w:rPr>
          <w:spacing w:val="4"/>
        </w:rPr>
        <w:t>喷浆作业。</w:t>
      </w:r>
    </w:p>
    <w:p>
      <w:pPr>
        <w:pStyle w:val="BodyText"/>
        <w:ind w:right="36" w:firstLine="412"/>
        <w:spacing w:before="150" w:line="344" w:lineRule="auto"/>
        <w:rPr/>
      </w:pPr>
      <w:r>
        <w:rPr>
          <w:spacing w:val="7"/>
        </w:rPr>
        <w:t>（</w:t>
      </w:r>
      <w:r>
        <w:rPr>
          <w:spacing w:val="-53"/>
        </w:rPr>
        <w:t xml:space="preserve"> </w:t>
      </w:r>
      <w:r>
        <w:rPr>
          <w:rFonts w:ascii="Times New Roman" w:hAnsi="Times New Roman" w:eastAsia="Times New Roman" w:cs="Times New Roman"/>
          <w:spacing w:val="7"/>
        </w:rPr>
        <w:t>5 </w:t>
      </w:r>
      <w:r>
        <w:rPr>
          <w:spacing w:val="7"/>
        </w:rPr>
        <w:t>）除涉及重大民生工程、安全生产及</w:t>
      </w:r>
      <w:r>
        <w:rPr>
          <w:spacing w:val="7"/>
        </w:rPr>
        <w:t>应急抢险任务外，停止所有施工工地的土石方</w:t>
      </w:r>
      <w:r>
        <w:rPr>
          <w:spacing w:val="8"/>
        </w:rPr>
        <w:t>作业（包括：停止土石方开挖、回填、拆迁、</w:t>
      </w:r>
      <w:r>
        <w:rPr>
          <w:spacing w:val="7"/>
        </w:rPr>
        <w:t>场内倒运、掺拌石灰、混凝土剔凿等作业，停</w:t>
      </w:r>
      <w:r>
        <w:rPr>
          <w:spacing w:val="8"/>
        </w:rPr>
        <w:t>止建筑工程配套道路和管沟开挖作业）。</w:t>
      </w:r>
    </w:p>
    <w:p>
      <w:pPr>
        <w:pStyle w:val="BodyText"/>
        <w:ind w:right="59" w:firstLine="412"/>
        <w:spacing w:before="119" w:line="330" w:lineRule="auto"/>
        <w:rPr/>
      </w:pPr>
      <w:r>
        <w:rPr>
          <w:spacing w:val="9"/>
        </w:rPr>
        <w:t>（</w:t>
      </w:r>
      <w:r>
        <w:rPr>
          <w:rFonts w:ascii="Times New Roman" w:hAnsi="Times New Roman" w:eastAsia="Times New Roman" w:cs="Times New Roman"/>
          <w:spacing w:val="9"/>
        </w:rPr>
        <w:t>6 </w:t>
      </w:r>
      <w:r>
        <w:rPr>
          <w:spacing w:val="9"/>
        </w:rPr>
        <w:t>）除涉及重大民生工程、安全生产及</w:t>
      </w:r>
      <w:r>
        <w:rPr>
          <w:spacing w:val="7"/>
        </w:rPr>
        <w:t>应急抢险任务外，全面停止使用各类非道路移</w:t>
      </w:r>
      <w:r>
        <w:rPr>
          <w:spacing w:val="7"/>
        </w:rPr>
        <w:t>动机械；全面停止建筑垃圾和渣土运输车、砂</w:t>
      </w:r>
      <w:r>
        <w:rPr>
          <w:spacing w:val="8"/>
        </w:rPr>
        <w:t>石运输车辆上路行驶。</w:t>
      </w:r>
    </w:p>
    <w:p>
      <w:pPr>
        <w:pStyle w:val="BodyText"/>
        <w:ind w:left="413"/>
        <w:spacing w:before="154" w:line="221" w:lineRule="auto"/>
        <w:rPr/>
      </w:pPr>
      <w:r>
        <w:rPr>
          <w:spacing w:val="9"/>
        </w:rPr>
        <w:t>（</w:t>
      </w:r>
      <w:r>
        <w:rPr>
          <w:rFonts w:ascii="Times New Roman" w:hAnsi="Times New Roman" w:eastAsia="Times New Roman" w:cs="Times New Roman"/>
          <w:spacing w:val="9"/>
        </w:rPr>
        <w:t>7 </w:t>
      </w:r>
      <w:r>
        <w:rPr>
          <w:spacing w:val="9"/>
        </w:rPr>
        <w:t>）除涉及重大民生工程、安全生产及</w:t>
      </w:r>
    </w:p>
    <w:p>
      <w:pPr>
        <w:spacing w:line="221" w:lineRule="auto"/>
        <w:sectPr>
          <w:type w:val="continuous"/>
          <w:pgSz w:w="11906" w:h="16839"/>
          <w:pgMar w:top="1766" w:right="1530" w:bottom="1574" w:left="1579" w:header="1428" w:footer="1172" w:gutter="0"/>
          <w:cols w:equalWidth="0" w:num="2">
            <w:col w:w="4489" w:space="100"/>
            <w:col w:w="4207" w:space="0"/>
          </w:cols>
        </w:sectPr>
        <w:rPr/>
      </w:pPr>
    </w:p>
    <w:p>
      <w:pPr>
        <w:spacing w:before="58"/>
        <w:rPr/>
      </w:pPr>
      <w:r>
        <w:drawing>
          <wp:anchor distT="0" distB="0" distL="0" distR="0" simplePos="0" relativeHeight="254011392"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148" name="IM 2148"/>
            <wp:cNvGraphicFramePr/>
            <a:graphic>
              <a:graphicData uri="http://schemas.openxmlformats.org/drawingml/2006/picture">
                <pic:pic>
                  <pic:nvPicPr>
                    <pic:cNvPr id="2148" name="IM 2148"/>
                    <pic:cNvPicPr/>
                  </pic:nvPicPr>
                  <pic:blipFill>
                    <a:blip r:embed="rId1076"/>
                    <a:stretch>
                      <a:fillRect/>
                    </a:stretch>
                  </pic:blipFill>
                  <pic:spPr>
                    <a:xfrm rot="0">
                      <a:off x="0" y="0"/>
                      <a:ext cx="5579745" cy="7620"/>
                    </a:xfrm>
                    <a:prstGeom prst="rect">
                      <a:avLst/>
                    </a:prstGeom>
                  </pic:spPr>
                </pic:pic>
              </a:graphicData>
            </a:graphic>
          </wp:anchor>
        </w:drawing>
      </w:r>
      <w:r/>
    </w:p>
    <w:p>
      <w:pPr>
        <w:sectPr>
          <w:headerReference w:type="default" r:id="rId1048"/>
          <w:footerReference w:type="default" r:id="rId1075"/>
          <w:pgSz w:w="11906" w:h="16839"/>
          <w:pgMar w:top="1772" w:right="1489" w:bottom="1572" w:left="1571" w:header="1428" w:footer="1172" w:gutter="0"/>
          <w:cols w:equalWidth="0" w:num="1">
            <w:col w:w="8846" w:space="0"/>
          </w:cols>
        </w:sectPr>
        <w:rPr/>
      </w:pPr>
    </w:p>
    <w:p>
      <w:pPr>
        <w:pStyle w:val="BodyText"/>
        <w:ind w:left="21" w:right="322"/>
        <w:spacing w:before="52" w:line="364" w:lineRule="auto"/>
        <w:jc w:val="both"/>
        <w:rPr/>
      </w:pPr>
      <w:r>
        <w:rPr>
          <w:spacing w:val="7"/>
        </w:rPr>
        <w:t>应急抢险任务外，所有水泥粉磨站、渣土存放</w:t>
      </w:r>
      <w:r>
        <w:rPr>
          <w:spacing w:val="7"/>
        </w:rPr>
        <w:t>点全面停止生产、运行；全市混凝土搅拌站和</w:t>
      </w:r>
      <w:r>
        <w:rPr>
          <w:spacing w:val="7"/>
        </w:rPr>
        <w:t>砂浆搅拌站停止生产，站内堆放的散体物料全</w:t>
      </w:r>
      <w:r>
        <w:rPr>
          <w:spacing w:val="8"/>
        </w:rPr>
        <w:t>部苫盖，增加洒水降尘频次。</w:t>
      </w:r>
    </w:p>
    <w:p>
      <w:pPr>
        <w:pStyle w:val="BodyText"/>
        <w:ind w:left="20" w:right="322" w:firstLine="413"/>
        <w:spacing w:before="1" w:line="325" w:lineRule="auto"/>
        <w:rPr/>
      </w:pPr>
      <w:r>
        <w:rPr>
          <w:spacing w:val="8"/>
        </w:rPr>
        <w:t>（</w:t>
      </w:r>
      <w:r>
        <w:rPr>
          <w:spacing w:val="-45"/>
        </w:rPr>
        <w:t xml:space="preserve"> </w:t>
      </w:r>
      <w:r>
        <w:rPr>
          <w:rFonts w:ascii="Times New Roman" w:hAnsi="Times New Roman" w:eastAsia="Times New Roman" w:cs="Times New Roman"/>
          <w:spacing w:val="8"/>
        </w:rPr>
        <w:t>8</w:t>
      </w:r>
      <w:r>
        <w:rPr>
          <w:rFonts w:ascii="Times New Roman" w:hAnsi="Times New Roman" w:eastAsia="Times New Roman" w:cs="Times New Roman"/>
          <w:spacing w:val="-19"/>
        </w:rPr>
        <w:t xml:space="preserve"> </w:t>
      </w:r>
      <w:r>
        <w:rPr>
          <w:spacing w:val="8"/>
        </w:rPr>
        <w:t>）市区、原州区主要道路采取科学措</w:t>
      </w:r>
      <w:r>
        <w:rPr>
          <w:spacing w:val="7"/>
        </w:rPr>
        <w:t>施，根据空气相对湿度，加大或降低湿法作业</w:t>
      </w:r>
      <w:r>
        <w:rPr>
          <w:spacing w:val="7"/>
        </w:rPr>
        <w:t>频次，湿法作业频次降低时应适当加大吸扫作</w:t>
      </w:r>
      <w:r>
        <w:rPr>
          <w:spacing w:val="6"/>
        </w:rPr>
        <w:t>业力度。</w:t>
      </w:r>
    </w:p>
    <w:p>
      <w:pPr>
        <w:pStyle w:val="BodyText"/>
        <w:ind w:left="21" w:right="197" w:firstLine="411"/>
        <w:spacing w:before="151" w:line="325" w:lineRule="auto"/>
        <w:rPr/>
      </w:pPr>
      <w:r>
        <w:rPr>
          <w:spacing w:val="11"/>
        </w:rPr>
        <w:t>（</w:t>
      </w:r>
      <w:r>
        <w:rPr>
          <w:rFonts w:ascii="Times New Roman" w:hAnsi="Times New Roman" w:eastAsia="Times New Roman" w:cs="Times New Roman"/>
          <w:spacing w:val="11"/>
        </w:rPr>
        <w:t>9</w:t>
      </w:r>
      <w:r>
        <w:rPr>
          <w:rFonts w:ascii="Times New Roman" w:hAnsi="Times New Roman" w:eastAsia="Times New Roman" w:cs="Times New Roman"/>
          <w:spacing w:val="-18"/>
        </w:rPr>
        <w:t xml:space="preserve"> </w:t>
      </w:r>
      <w:r>
        <w:rPr>
          <w:spacing w:val="11"/>
        </w:rPr>
        <w:t>）对重型、中型货车和三轮汽车、低</w:t>
      </w:r>
      <w:r>
        <w:rPr>
          <w:spacing w:val="7"/>
        </w:rPr>
        <w:t>速载货汽车、拖拉机采取道路禁限行，承担急</w:t>
      </w:r>
      <w:r>
        <w:rPr>
          <w:spacing w:val="3"/>
        </w:rPr>
        <w:t>救、抢险等任务，挂新能源牌照的车辆除外）。</w:t>
      </w:r>
    </w:p>
    <w:p>
      <w:pPr>
        <w:pStyle w:val="BodyText"/>
        <w:ind w:left="21" w:right="322" w:firstLine="412"/>
        <w:spacing w:before="112" w:line="325" w:lineRule="auto"/>
        <w:rPr/>
      </w:pPr>
      <w:r>
        <w:rPr>
          <w:spacing w:val="2"/>
        </w:rPr>
        <w:t>（</w:t>
      </w:r>
      <w:r>
        <w:rPr>
          <w:spacing w:val="-35"/>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20"/>
        </w:rPr>
        <w:t xml:space="preserve"> </w:t>
      </w:r>
      <w:r>
        <w:rPr>
          <w:spacing w:val="2"/>
        </w:rPr>
        <w:t>）重点用车企业原则上不允许重型载</w:t>
      </w:r>
      <w:r>
        <w:rPr>
          <w:spacing w:val="7"/>
        </w:rPr>
        <w:t>货车进出厂区（保证安全生产运行，运输民生</w:t>
      </w:r>
      <w:r>
        <w:rPr>
          <w:spacing w:val="8"/>
        </w:rPr>
        <w:t>物资或特殊产品的车辆除外）。</w:t>
      </w:r>
    </w:p>
    <w:p>
      <w:pPr>
        <w:pStyle w:val="BodyText"/>
        <w:ind w:left="447"/>
        <w:spacing w:before="113" w:line="278" w:lineRule="exact"/>
        <w:rPr/>
      </w:pPr>
      <w:r>
        <w:rPr>
          <w:rFonts w:ascii="Times New Roman" w:hAnsi="Times New Roman" w:eastAsia="Times New Roman" w:cs="Times New Roman"/>
          <w:spacing w:val="6"/>
          <w:position w:val="1"/>
        </w:rPr>
        <w:t>5.3.4Ⅰ  </w:t>
      </w:r>
      <w:r>
        <w:rPr>
          <w:spacing w:val="6"/>
          <w:position w:val="1"/>
        </w:rPr>
        <w:t>级响应措施。健康防护指引：</w:t>
      </w:r>
    </w:p>
    <w:p>
      <w:pPr>
        <w:pStyle w:val="BodyText"/>
        <w:ind w:left="23" w:right="322" w:firstLine="409"/>
        <w:spacing w:before="118" w:line="330"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）提醒儿童、老年人和心脏病、肺病</w:t>
      </w:r>
      <w:r>
        <w:rPr>
          <w:spacing w:val="7"/>
        </w:rPr>
        <w:t>患者以及过敏性疾病患者应当留在室内，停止</w:t>
      </w:r>
      <w:r>
        <w:rPr>
          <w:spacing w:val="7"/>
        </w:rPr>
        <w:t>户外运动，一般人群减少户外运动，确需外出</w:t>
      </w:r>
      <w:r>
        <w:rPr>
          <w:spacing w:val="8"/>
        </w:rPr>
        <w:t>的，应当采取防护措施。</w:t>
      </w:r>
    </w:p>
    <w:p>
      <w:pPr>
        <w:pStyle w:val="BodyText"/>
        <w:ind w:left="18" w:right="325" w:firstLine="414"/>
        <w:spacing w:before="152" w:line="295" w:lineRule="auto"/>
        <w:rPr/>
      </w:pPr>
      <w:r>
        <w:rPr>
          <w:spacing w:val="9"/>
        </w:rPr>
        <w:t>（</w:t>
      </w:r>
      <w:r>
        <w:rPr>
          <w:rFonts w:ascii="Times New Roman" w:hAnsi="Times New Roman" w:eastAsia="Times New Roman" w:cs="Times New Roman"/>
          <w:spacing w:val="9"/>
        </w:rPr>
        <w:t>2 </w:t>
      </w:r>
      <w:r>
        <w:rPr>
          <w:spacing w:val="9"/>
        </w:rPr>
        <w:t>）中小学、幼儿园采取弹性教学或停</w:t>
      </w:r>
      <w:r>
        <w:rPr>
          <w:spacing w:val="8"/>
        </w:rPr>
        <w:t>课等防护措施。</w:t>
      </w:r>
    </w:p>
    <w:p>
      <w:pPr>
        <w:pStyle w:val="BodyText"/>
        <w:ind w:left="23" w:right="325" w:firstLine="409"/>
        <w:spacing w:before="153" w:line="295" w:lineRule="auto"/>
        <w:rPr/>
      </w:pPr>
      <w:r>
        <w:rPr>
          <w:spacing w:val="9"/>
        </w:rPr>
        <w:t>（</w:t>
      </w:r>
      <w:r>
        <w:rPr>
          <w:rFonts w:ascii="Times New Roman" w:hAnsi="Times New Roman" w:eastAsia="Times New Roman" w:cs="Times New Roman"/>
          <w:spacing w:val="9"/>
        </w:rPr>
        <w:t>3 </w:t>
      </w:r>
      <w:r>
        <w:rPr>
          <w:spacing w:val="9"/>
        </w:rPr>
        <w:t>）医疗卫生机构加强对呼吸类疾病患</w:t>
      </w:r>
      <w:r>
        <w:rPr>
          <w:spacing w:val="8"/>
        </w:rPr>
        <w:t>者的防护宣传和就医指导。</w:t>
      </w:r>
    </w:p>
    <w:p>
      <w:pPr>
        <w:pStyle w:val="BodyText"/>
        <w:ind w:left="441"/>
        <w:spacing w:before="152" w:line="279" w:lineRule="exact"/>
        <w:rPr/>
      </w:pPr>
      <w:r>
        <w:rPr>
          <w:spacing w:val="7"/>
          <w:position w:val="1"/>
        </w:rPr>
        <w:t>建议性措施：</w:t>
      </w:r>
    </w:p>
    <w:p>
      <w:pPr>
        <w:pStyle w:val="BodyText"/>
        <w:ind w:left="21" w:right="315" w:firstLine="411"/>
        <w:spacing w:before="118" w:line="318" w:lineRule="auto"/>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）倡导公众绿色出行和绿色生活</w:t>
      </w:r>
      <w:r>
        <w:rPr>
          <w:spacing w:val="-59"/>
        </w:rPr>
        <w:t xml:space="preserve"> </w:t>
      </w:r>
      <w:r>
        <w:rPr>
          <w:spacing w:val="5"/>
        </w:rPr>
        <w:t>，尽</w:t>
      </w:r>
      <w:r>
        <w:rPr>
          <w:spacing w:val="7"/>
        </w:rPr>
        <w:t>量乘坐公共交通工具或电动汽车等方式出行，</w:t>
      </w:r>
      <w:r>
        <w:rPr>
          <w:spacing w:val="8"/>
        </w:rPr>
        <w:t>减少祭祀烧纸等行为。</w:t>
      </w:r>
    </w:p>
    <w:p>
      <w:pPr>
        <w:pStyle w:val="BodyText"/>
        <w:ind w:left="23" w:right="322" w:firstLine="409"/>
        <w:spacing w:before="154" w:line="329"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5"/>
        </w:rPr>
        <w:t xml:space="preserve"> </w:t>
      </w:r>
      <w:r>
        <w:rPr>
          <w:spacing w:val="8"/>
        </w:rPr>
        <w:t>）倡导公众绿色消费</w:t>
      </w:r>
      <w:r>
        <w:rPr>
          <w:spacing w:val="-59"/>
        </w:rPr>
        <w:t xml:space="preserve"> </w:t>
      </w:r>
      <w:r>
        <w:rPr>
          <w:spacing w:val="8"/>
        </w:rPr>
        <w:t>，尽量减少含挥</w:t>
      </w:r>
      <w:r>
        <w:rPr>
          <w:spacing w:val="7"/>
        </w:rPr>
        <w:t>发性有机物的涂料、油漆、溶剂等原材料及产</w:t>
      </w:r>
      <w:r>
        <w:rPr>
          <w:spacing w:val="6"/>
        </w:rPr>
        <w:t>品的使用。</w:t>
      </w:r>
    </w:p>
    <w:p>
      <w:pPr>
        <w:pStyle w:val="BodyText"/>
        <w:ind w:left="433"/>
        <w:spacing w:before="118" w:line="277" w:lineRule="exact"/>
        <w:rPr/>
      </w:pPr>
      <w:r>
        <w:rPr>
          <w:spacing w:val="6"/>
          <w:position w:val="1"/>
        </w:rPr>
        <w:t>（</w:t>
      </w:r>
      <w:r>
        <w:rPr>
          <w:rFonts w:ascii="Times New Roman" w:hAnsi="Times New Roman" w:eastAsia="Times New Roman" w:cs="Times New Roman"/>
          <w:spacing w:val="6"/>
          <w:position w:val="1"/>
        </w:rPr>
        <w:t>3</w:t>
      </w:r>
      <w:r>
        <w:rPr>
          <w:rFonts w:ascii="Times New Roman" w:hAnsi="Times New Roman" w:eastAsia="Times New Roman" w:cs="Times New Roman"/>
          <w:spacing w:val="-13"/>
          <w:position w:val="1"/>
        </w:rPr>
        <w:t xml:space="preserve"> </w:t>
      </w:r>
      <w:r>
        <w:rPr>
          <w:spacing w:val="6"/>
          <w:position w:val="1"/>
        </w:rPr>
        <w:t>）减少机动车日间加油。</w:t>
      </w:r>
    </w:p>
    <w:p>
      <w:pPr>
        <w:pStyle w:val="BodyText"/>
        <w:ind w:left="433"/>
        <w:spacing w:before="119" w:line="277" w:lineRule="exact"/>
        <w:rPr/>
      </w:pPr>
      <w:r>
        <w:rPr>
          <w:spacing w:val="7"/>
          <w:position w:val="1"/>
        </w:rPr>
        <w:t>（</w:t>
      </w:r>
      <w:r>
        <w:rPr>
          <w:rFonts w:ascii="Times New Roman" w:hAnsi="Times New Roman" w:eastAsia="Times New Roman" w:cs="Times New Roman"/>
          <w:spacing w:val="7"/>
          <w:position w:val="1"/>
        </w:rPr>
        <w:t>4</w:t>
      </w:r>
      <w:r>
        <w:rPr>
          <w:rFonts w:ascii="Times New Roman" w:hAnsi="Times New Roman" w:eastAsia="Times New Roman" w:cs="Times New Roman"/>
          <w:spacing w:val="-16"/>
          <w:position w:val="1"/>
        </w:rPr>
        <w:t xml:space="preserve"> </w:t>
      </w:r>
      <w:r>
        <w:rPr>
          <w:spacing w:val="7"/>
          <w:position w:val="1"/>
        </w:rPr>
        <w:t>）停止举办各类大型户外活动。</w:t>
      </w:r>
    </w:p>
    <w:p>
      <w:pPr>
        <w:pStyle w:val="BodyText"/>
        <w:ind w:left="433"/>
        <w:spacing w:before="119" w:line="278" w:lineRule="exact"/>
        <w:rPr/>
      </w:pPr>
      <w:r>
        <w:rPr>
          <w:spacing w:val="6"/>
          <w:position w:val="1"/>
        </w:rPr>
        <w:t>（</w:t>
      </w:r>
      <w:r>
        <w:rPr>
          <w:rFonts w:ascii="Times New Roman" w:hAnsi="Times New Roman" w:eastAsia="Times New Roman" w:cs="Times New Roman"/>
          <w:spacing w:val="6"/>
          <w:position w:val="1"/>
        </w:rPr>
        <w:t>5</w:t>
      </w:r>
      <w:r>
        <w:rPr>
          <w:rFonts w:ascii="Times New Roman" w:hAnsi="Times New Roman" w:eastAsia="Times New Roman" w:cs="Times New Roman"/>
          <w:spacing w:val="-16"/>
          <w:position w:val="1"/>
        </w:rPr>
        <w:t xml:space="preserve"> </w:t>
      </w:r>
      <w:r>
        <w:rPr>
          <w:spacing w:val="6"/>
          <w:position w:val="1"/>
        </w:rPr>
        <w:t>）加强公交运力保障。</w:t>
      </w:r>
    </w:p>
    <w:p>
      <w:pPr>
        <w:spacing w:line="14" w:lineRule="auto"/>
        <w:rPr>
          <w:rFonts w:ascii="Arial"/>
          <w:sz w:val="2"/>
        </w:rPr>
      </w:pPr>
      <w:r>
        <w:rPr>
          <w:rFonts w:ascii="Arial" w:hAnsi="Arial" w:eastAsia="Arial" w:cs="Arial"/>
          <w:sz w:val="2"/>
          <w:szCs w:val="2"/>
        </w:rPr>
        <w:br w:type="column"/>
      </w:r>
    </w:p>
    <w:p>
      <w:pPr>
        <w:pStyle w:val="BodyText"/>
        <w:ind w:left="430"/>
        <w:spacing w:before="46" w:line="279" w:lineRule="exact"/>
        <w:rPr/>
      </w:pPr>
      <w:r>
        <w:rPr>
          <w:spacing w:val="7"/>
          <w:position w:val="1"/>
        </w:rPr>
        <w:t>强制性减排措施：</w:t>
      </w:r>
    </w:p>
    <w:p>
      <w:pPr>
        <w:pStyle w:val="BodyText"/>
        <w:ind w:right="46" w:firstLine="420"/>
        <w:spacing w:before="119" w:line="342" w:lineRule="auto"/>
        <w:rPr/>
      </w:pPr>
      <w:r>
        <w:rPr>
          <w:spacing w:val="11"/>
        </w:rPr>
        <w:t>（</w:t>
      </w:r>
      <w:r>
        <w:rPr>
          <w:spacing w:val="-17"/>
        </w:rPr>
        <w:t xml:space="preserve"> </w:t>
      </w:r>
      <w:r>
        <w:rPr>
          <w:rFonts w:ascii="Times New Roman" w:hAnsi="Times New Roman" w:eastAsia="Times New Roman" w:cs="Times New Roman"/>
          <w:spacing w:val="11"/>
        </w:rPr>
        <w:t>1</w:t>
      </w:r>
      <w:r>
        <w:rPr>
          <w:rFonts w:ascii="Times New Roman" w:hAnsi="Times New Roman" w:eastAsia="Times New Roman" w:cs="Times New Roman"/>
          <w:spacing w:val="32"/>
          <w:w w:val="101"/>
        </w:rPr>
        <w:t xml:space="preserve"> </w:t>
      </w:r>
      <w:r>
        <w:rPr>
          <w:spacing w:val="11"/>
        </w:rPr>
        <w:t>）在</w:t>
      </w:r>
      <w:r>
        <w:rPr>
          <w:spacing w:val="-69"/>
        </w:rPr>
        <w:t xml:space="preserve"> </w:t>
      </w:r>
      <w:r>
        <w:rPr>
          <w:rFonts w:ascii="Times New Roman" w:hAnsi="Times New Roman" w:eastAsia="Times New Roman" w:cs="Times New Roman"/>
          <w:spacing w:val="11"/>
        </w:rPr>
        <w:t>Ⅰ</w:t>
      </w:r>
      <w:r>
        <w:rPr>
          <w:rFonts w:ascii="Times New Roman" w:hAnsi="Times New Roman" w:eastAsia="Times New Roman" w:cs="Times New Roman"/>
          <w:spacing w:val="-18"/>
        </w:rPr>
        <w:t xml:space="preserve"> </w:t>
      </w:r>
      <w:r>
        <w:rPr>
          <w:spacing w:val="11"/>
        </w:rPr>
        <w:t>级应急</w:t>
      </w:r>
      <w:r>
        <w:rPr>
          <w:spacing w:val="-57"/>
        </w:rPr>
        <w:t xml:space="preserve"> </w:t>
      </w:r>
      <w:r>
        <w:rPr>
          <w:spacing w:val="11"/>
        </w:rPr>
        <w:t>响应期</w:t>
      </w:r>
      <w:r>
        <w:rPr>
          <w:spacing w:val="-55"/>
        </w:rPr>
        <w:t xml:space="preserve"> </w:t>
      </w:r>
      <w:r>
        <w:rPr>
          <w:spacing w:val="11"/>
        </w:rPr>
        <w:t>间</w:t>
      </w:r>
      <w:r>
        <w:rPr>
          <w:spacing w:val="-37"/>
        </w:rPr>
        <w:t xml:space="preserve"> </w:t>
      </w:r>
      <w:r>
        <w:rPr>
          <w:spacing w:val="11"/>
        </w:rPr>
        <w:t>，二氧化硫</w:t>
      </w:r>
      <w:r>
        <w:rPr>
          <w:spacing w:val="5"/>
        </w:rPr>
        <w:t>（</w:t>
      </w:r>
      <w:r>
        <w:rPr>
          <w:spacing w:val="-59"/>
        </w:rPr>
        <w:t xml:space="preserve"> </w:t>
      </w:r>
      <w:r>
        <w:rPr>
          <w:rFonts w:ascii="Times New Roman" w:hAnsi="Times New Roman" w:eastAsia="Times New Roman" w:cs="Times New Roman"/>
        </w:rPr>
        <w:t>SO</w:t>
      </w:r>
      <w:r>
        <w:rPr>
          <w:rFonts w:ascii="Times New Roman" w:hAnsi="Times New Roman" w:eastAsia="Times New Roman" w:cs="Times New Roman"/>
          <w:sz w:val="13"/>
          <w:szCs w:val="13"/>
          <w:spacing w:val="5"/>
          <w:position w:val="-1"/>
        </w:rPr>
        <w:t>2</w:t>
      </w:r>
      <w:r>
        <w:rPr>
          <w:rFonts w:ascii="Times New Roman" w:hAnsi="Times New Roman" w:eastAsia="Times New Roman" w:cs="Times New Roman"/>
          <w:sz w:val="13"/>
          <w:szCs w:val="13"/>
          <w:spacing w:val="26"/>
          <w:w w:val="101"/>
          <w:position w:val="-1"/>
        </w:rPr>
        <w:t xml:space="preserve"> </w:t>
      </w:r>
      <w:r>
        <w:rPr>
          <w:spacing w:val="5"/>
        </w:rPr>
        <w:t>）、氮氧化物（</w:t>
      </w:r>
      <w:r>
        <w:rPr>
          <w:rFonts w:ascii="Times New Roman" w:hAnsi="Times New Roman" w:eastAsia="Times New Roman" w:cs="Times New Roman"/>
        </w:rPr>
        <w:t>NOx</w:t>
      </w:r>
      <w:r>
        <w:rPr>
          <w:spacing w:val="5"/>
        </w:rPr>
        <w:t>）、颗粒物（</w:t>
      </w:r>
      <w:r>
        <w:rPr>
          <w:rFonts w:ascii="Times New Roman" w:hAnsi="Times New Roman" w:eastAsia="Times New Roman" w:cs="Times New Roman"/>
        </w:rPr>
        <w:t>PM</w:t>
      </w:r>
      <w:r>
        <w:rPr>
          <w:rFonts w:ascii="Times New Roman" w:hAnsi="Times New Roman" w:eastAsia="Times New Roman" w:cs="Times New Roman"/>
          <w:spacing w:val="-21"/>
        </w:rPr>
        <w:t xml:space="preserve"> </w:t>
      </w:r>
      <w:r>
        <w:rPr>
          <w:spacing w:val="5"/>
        </w:rPr>
        <w:t>）</w:t>
      </w:r>
      <w:r>
        <w:rPr>
          <w:spacing w:val="18"/>
        </w:rPr>
        <w:t>的减排比例应分别达到全社会排放量占比的</w:t>
      </w:r>
      <w:r>
        <w:rPr>
          <w:rFonts w:ascii="Times New Roman" w:hAnsi="Times New Roman" w:eastAsia="Times New Roman" w:cs="Times New Roman"/>
          <w:spacing w:val="19"/>
        </w:rPr>
        <w:t>30%</w:t>
      </w:r>
      <w:r>
        <w:rPr>
          <w:spacing w:val="19"/>
        </w:rPr>
        <w:t>以上。可根据本地污染物排放构成调整</w:t>
      </w:r>
      <w:r>
        <w:rPr>
          <w:rFonts w:ascii="Times New Roman" w:hAnsi="Times New Roman" w:eastAsia="Times New Roman" w:cs="Times New Roman"/>
        </w:rPr>
        <w:t>SO</w:t>
      </w:r>
      <w:r>
        <w:rPr>
          <w:rFonts w:ascii="Times New Roman" w:hAnsi="Times New Roman" w:eastAsia="Times New Roman" w:cs="Times New Roman"/>
          <w:sz w:val="13"/>
          <w:szCs w:val="13"/>
          <w:spacing w:val="5"/>
          <w:position w:val="-1"/>
        </w:rPr>
        <w:t>2</w:t>
      </w:r>
      <w:r>
        <w:rPr>
          <w:rFonts w:ascii="Times New Roman" w:hAnsi="Times New Roman" w:eastAsia="Times New Roman" w:cs="Times New Roman"/>
          <w:sz w:val="13"/>
          <w:szCs w:val="13"/>
          <w:spacing w:val="23"/>
          <w:w w:val="101"/>
          <w:position w:val="-1"/>
        </w:rPr>
        <w:t xml:space="preserve"> </w:t>
      </w:r>
      <w:r>
        <w:rPr>
          <w:spacing w:val="5"/>
        </w:rPr>
        <w:t>和</w:t>
      </w:r>
      <w:r>
        <w:rPr>
          <w:spacing w:val="-50"/>
        </w:rPr>
        <w:t xml:space="preserve"> </w:t>
      </w:r>
      <w:r>
        <w:rPr>
          <w:rFonts w:ascii="Times New Roman" w:hAnsi="Times New Roman" w:eastAsia="Times New Roman" w:cs="Times New Roman"/>
        </w:rPr>
        <w:t>NOx</w:t>
      </w:r>
      <w:r>
        <w:rPr>
          <w:rFonts w:ascii="Times New Roman" w:hAnsi="Times New Roman" w:eastAsia="Times New Roman" w:cs="Times New Roman"/>
          <w:spacing w:val="5"/>
        </w:rPr>
        <w:t xml:space="preserve"> </w:t>
      </w:r>
      <w:r>
        <w:rPr>
          <w:spacing w:val="5"/>
        </w:rPr>
        <w:t>减排比例，但二者比例之和不应低</w:t>
      </w:r>
      <w:r>
        <w:rPr>
          <w:spacing w:val="9"/>
        </w:rPr>
        <w:t>于上述总体要求。</w:t>
      </w:r>
    </w:p>
    <w:p>
      <w:pPr>
        <w:pStyle w:val="BodyText"/>
        <w:ind w:left="6" w:right="101" w:firstLine="413"/>
        <w:spacing w:before="153" w:line="337"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5"/>
        </w:rPr>
        <w:t xml:space="preserve"> </w:t>
      </w:r>
      <w:r>
        <w:rPr>
          <w:spacing w:val="8"/>
        </w:rPr>
        <w:t>）对工业企业管控</w:t>
      </w:r>
      <w:r>
        <w:rPr>
          <w:spacing w:val="-59"/>
        </w:rPr>
        <w:t xml:space="preserve"> </w:t>
      </w:r>
      <w:r>
        <w:rPr>
          <w:spacing w:val="8"/>
        </w:rPr>
        <w:t>，应以行政区为单</w:t>
      </w:r>
      <w:r>
        <w:rPr>
          <w:spacing w:val="7"/>
        </w:rPr>
        <w:t>位。应急指挥部各成员单位要指导企业根据行</w:t>
      </w:r>
      <w:r>
        <w:rPr>
          <w:spacing w:val="10"/>
        </w:rPr>
        <w:t>业种类制定合理的减排措施</w:t>
      </w:r>
      <w:r>
        <w:rPr>
          <w:spacing w:val="-43"/>
        </w:rPr>
        <w:t xml:space="preserve"> </w:t>
      </w:r>
      <w:r>
        <w:rPr>
          <w:spacing w:val="10"/>
        </w:rPr>
        <w:t>，避免采取</w:t>
      </w:r>
      <w:r>
        <w:rPr>
          <w:rFonts w:ascii="Times New Roman" w:hAnsi="Times New Roman" w:eastAsia="Times New Roman" w:cs="Times New Roman"/>
          <w:spacing w:val="10"/>
        </w:rPr>
        <w:t>“</w:t>
      </w:r>
      <w:r>
        <w:rPr>
          <w:spacing w:val="10"/>
        </w:rPr>
        <w:t>一刀</w:t>
      </w:r>
      <w:r>
        <w:rPr>
          <w:spacing w:val="10"/>
        </w:rPr>
        <w:t>切</w:t>
      </w:r>
      <w:r>
        <w:rPr>
          <w:rFonts w:ascii="Times New Roman" w:hAnsi="Times New Roman" w:eastAsia="Times New Roman" w:cs="Times New Roman"/>
          <w:spacing w:val="10"/>
        </w:rPr>
        <w:t>”</w:t>
      </w:r>
      <w:r>
        <w:rPr>
          <w:spacing w:val="10"/>
        </w:rPr>
        <w:t>减排方式</w:t>
      </w:r>
      <w:r>
        <w:rPr>
          <w:spacing w:val="-43"/>
        </w:rPr>
        <w:t xml:space="preserve"> </w:t>
      </w:r>
      <w:r>
        <w:rPr>
          <w:spacing w:val="10"/>
        </w:rPr>
        <w:t>，通过针对涉气工序停限产或提</w:t>
      </w:r>
      <w:r>
        <w:rPr>
          <w:spacing w:val="9"/>
        </w:rPr>
        <w:t>高污染治理设施运行效率等方式实现减排。</w:t>
      </w:r>
    </w:p>
    <w:p>
      <w:pPr>
        <w:pStyle w:val="BodyText"/>
        <w:ind w:left="8" w:right="101" w:firstLine="411"/>
        <w:spacing w:before="151" w:line="330"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）纳入清单的工业企业应制定包含停</w:t>
      </w:r>
      <w:r>
        <w:rPr>
          <w:spacing w:val="7"/>
        </w:rPr>
        <w:t>限涉气工序、提高污染治理设施运行效率等具</w:t>
      </w:r>
      <w:r>
        <w:rPr>
          <w:spacing w:val="7"/>
        </w:rPr>
        <w:t>体措施的应急响应操作方案，并在厂区显著位</w:t>
      </w:r>
      <w:r>
        <w:rPr>
          <w:spacing w:val="8"/>
        </w:rPr>
        <w:t>置设立公示牌公示执行措施。</w:t>
      </w:r>
    </w:p>
    <w:p>
      <w:pPr>
        <w:pStyle w:val="BodyText"/>
        <w:ind w:left="7" w:right="81" w:firstLine="420"/>
        <w:spacing w:before="158" w:line="363" w:lineRule="auto"/>
        <w:jc w:val="both"/>
        <w:rPr/>
      </w:pPr>
      <w:r>
        <w:rPr>
          <w:spacing w:val="6"/>
        </w:rPr>
        <w:t>涂料制造业（生产水性涂料或其他排放达</w:t>
      </w:r>
      <w:r>
        <w:rPr>
          <w:spacing w:val="-3"/>
        </w:rPr>
        <w:t>到水性涂料水平的工序除外）、家具制造业（使</w:t>
      </w:r>
      <w:r>
        <w:rPr>
          <w:spacing w:val="7"/>
        </w:rPr>
        <w:t>用水性涂料的工序除外）、印刷行业（使用低</w:t>
      </w:r>
      <w:r>
        <w:rPr>
          <w:spacing w:val="8"/>
        </w:rPr>
        <w:t>或无</w:t>
      </w:r>
      <w:r>
        <w:rPr>
          <w:spacing w:val="-44"/>
        </w:rPr>
        <w:t xml:space="preserve"> </w:t>
      </w:r>
      <w:r>
        <w:rPr>
          <w:rFonts w:ascii="Times New Roman" w:hAnsi="Times New Roman" w:eastAsia="Times New Roman" w:cs="Times New Roman"/>
        </w:rPr>
        <w:t>VOCs</w:t>
      </w:r>
      <w:r>
        <w:rPr>
          <w:rFonts w:ascii="Times New Roman" w:hAnsi="Times New Roman" w:eastAsia="Times New Roman" w:cs="Times New Roman"/>
          <w:spacing w:val="8"/>
        </w:rPr>
        <w:t xml:space="preserve"> </w:t>
      </w:r>
      <w:r>
        <w:rPr>
          <w:spacing w:val="8"/>
        </w:rPr>
        <w:t>含量的油墨除外）、塑料制造业等</w:t>
      </w:r>
      <w:r>
        <w:rPr>
          <w:spacing w:val="7"/>
        </w:rPr>
        <w:t>污染排放较大、可快速实现停限产的行业可采</w:t>
      </w:r>
      <w:r>
        <w:rPr>
          <w:spacing w:val="7"/>
        </w:rPr>
        <w:t>取停限主要涉气工序的措施实现减排要求。玻</w:t>
      </w:r>
      <w:r>
        <w:rPr>
          <w:spacing w:val="7"/>
        </w:rPr>
        <w:t>璃制造业要提高污染治理设施效率，其他行业</w:t>
      </w:r>
      <w:r>
        <w:rPr>
          <w:spacing w:val="8"/>
        </w:rPr>
        <w:t>按照工业源项目清单要求落实停、限产措施。</w:t>
      </w:r>
    </w:p>
    <w:p>
      <w:pPr>
        <w:pStyle w:val="BodyText"/>
        <w:ind w:left="8" w:right="101" w:firstLine="421"/>
        <w:spacing w:before="24" w:line="364" w:lineRule="auto"/>
        <w:jc w:val="both"/>
        <w:rPr/>
      </w:pPr>
      <w:r>
        <w:rPr>
          <w:spacing w:val="6"/>
        </w:rPr>
        <w:t>达到超低排放标准的燃煤电厂、工业企业</w:t>
      </w:r>
      <w:r>
        <w:rPr>
          <w:spacing w:val="18"/>
        </w:rPr>
        <w:t>中的自备电厂以及垃圾焚烧发电厂等保民生</w:t>
      </w:r>
      <w:r>
        <w:rPr>
          <w:spacing w:val="18"/>
        </w:rPr>
        <w:t>任务的单位要确保重污染天气期间稳定达标</w:t>
      </w:r>
      <w:r>
        <w:rPr>
          <w:spacing w:val="8"/>
        </w:rPr>
        <w:t>排放，不执行减排措施。</w:t>
      </w:r>
    </w:p>
    <w:p>
      <w:pPr>
        <w:pStyle w:val="BodyText"/>
        <w:ind w:left="17" w:right="103" w:firstLine="402"/>
        <w:spacing w:before="2" w:line="295"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）停止室外喷涂、粉刷、切割、护坡</w:t>
      </w:r>
      <w:r>
        <w:rPr>
          <w:spacing w:val="4"/>
        </w:rPr>
        <w:t>喷浆作业。</w:t>
      </w:r>
    </w:p>
    <w:p>
      <w:pPr>
        <w:pStyle w:val="BodyText"/>
        <w:ind w:left="7" w:right="101" w:firstLine="412"/>
        <w:spacing w:before="150" w:line="318" w:lineRule="auto"/>
        <w:rPr/>
      </w:pPr>
      <w:r>
        <w:rPr>
          <w:spacing w:val="7"/>
        </w:rPr>
        <w:t>（</w:t>
      </w:r>
      <w:r>
        <w:rPr>
          <w:spacing w:val="-53"/>
        </w:rPr>
        <w:t xml:space="preserve"> </w:t>
      </w:r>
      <w:r>
        <w:rPr>
          <w:rFonts w:ascii="Times New Roman" w:hAnsi="Times New Roman" w:eastAsia="Times New Roman" w:cs="Times New Roman"/>
          <w:spacing w:val="7"/>
        </w:rPr>
        <w:t>5 </w:t>
      </w:r>
      <w:r>
        <w:rPr>
          <w:spacing w:val="7"/>
        </w:rPr>
        <w:t>）除涉及重大民生工程、安全生产及</w:t>
      </w:r>
      <w:r>
        <w:rPr>
          <w:spacing w:val="7"/>
        </w:rPr>
        <w:t>应急抢险任务外，停止全市可能产生大气污染</w:t>
      </w:r>
      <w:r>
        <w:rPr>
          <w:spacing w:val="7"/>
        </w:rPr>
        <w:t>的与建设工程有关的生产活动（塔吊、地下施</w:t>
      </w:r>
    </w:p>
    <w:p>
      <w:pPr>
        <w:spacing w:line="318" w:lineRule="auto"/>
        <w:sectPr>
          <w:type w:val="continuous"/>
          <w:pgSz w:w="11906" w:h="16839"/>
          <w:pgMar w:top="1772" w:right="1489" w:bottom="1572" w:left="1571" w:header="1428" w:footer="1172" w:gutter="0"/>
          <w:cols w:equalWidth="0" w:num="2">
            <w:col w:w="4491" w:space="100"/>
            <w:col w:w="4256" w:space="0"/>
          </w:cols>
        </w:sectPr>
        <w:rPr/>
      </w:pPr>
    </w:p>
    <w:p>
      <w:pPr>
        <w:spacing w:before="63"/>
        <w:rPr/>
      </w:pPr>
      <w:r>
        <w:drawing>
          <wp:anchor distT="0" distB="0" distL="0" distR="0" simplePos="0" relativeHeight="254025728"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2152" name="IM 2152"/>
            <wp:cNvGraphicFramePr/>
            <a:graphic>
              <a:graphicData uri="http://schemas.openxmlformats.org/drawingml/2006/picture">
                <pic:pic>
                  <pic:nvPicPr>
                    <pic:cNvPr id="2152" name="IM 2152"/>
                    <pic:cNvPicPr/>
                  </pic:nvPicPr>
                  <pic:blipFill>
                    <a:blip r:embed="rId1078"/>
                    <a:stretch>
                      <a:fillRect/>
                    </a:stretch>
                  </pic:blipFill>
                  <pic:spPr>
                    <a:xfrm rot="0">
                      <a:off x="0" y="0"/>
                      <a:ext cx="5579745" cy="7620"/>
                    </a:xfrm>
                    <a:prstGeom prst="rect">
                      <a:avLst/>
                    </a:prstGeom>
                  </pic:spPr>
                </pic:pic>
              </a:graphicData>
            </a:graphic>
          </wp:anchor>
        </w:drawing>
      </w:r>
      <w:r/>
    </w:p>
    <w:p>
      <w:pPr>
        <w:sectPr>
          <w:headerReference w:type="default" r:id="rId539"/>
          <w:footerReference w:type="default" r:id="rId1077"/>
          <w:pgSz w:w="11906" w:h="16839"/>
          <w:pgMar w:top="1766" w:right="1513" w:bottom="1574" w:left="1579" w:header="1428" w:footer="1172" w:gutter="0"/>
          <w:cols w:equalWidth="0" w:num="1">
            <w:col w:w="8814" w:space="0"/>
          </w:cols>
        </w:sectPr>
        <w:rPr/>
      </w:pPr>
    </w:p>
    <w:p>
      <w:pPr>
        <w:pStyle w:val="BodyText"/>
        <w:ind w:left="14"/>
        <w:spacing w:before="47" w:line="278" w:lineRule="exact"/>
        <w:rPr/>
      </w:pPr>
      <w:r>
        <w:rPr>
          <w:spacing w:val="8"/>
          <w:position w:val="1"/>
        </w:rPr>
        <w:t>工等不产生大气污染物的工序除外）。</w:t>
      </w:r>
    </w:p>
    <w:p>
      <w:pPr>
        <w:pStyle w:val="BodyText"/>
        <w:ind w:left="12" w:right="327" w:firstLine="412"/>
        <w:spacing w:before="114" w:line="326" w:lineRule="auto"/>
        <w:rPr/>
      </w:pPr>
      <w:r>
        <w:rPr>
          <w:spacing w:val="9"/>
        </w:rPr>
        <w:t>（</w:t>
      </w:r>
      <w:r>
        <w:rPr>
          <w:rFonts w:ascii="Times New Roman" w:hAnsi="Times New Roman" w:eastAsia="Times New Roman" w:cs="Times New Roman"/>
          <w:spacing w:val="9"/>
        </w:rPr>
        <w:t>6 </w:t>
      </w:r>
      <w:r>
        <w:rPr>
          <w:spacing w:val="9"/>
        </w:rPr>
        <w:t>）除涉及重大民生工程、安全生产及</w:t>
      </w:r>
      <w:r>
        <w:rPr>
          <w:spacing w:val="7"/>
        </w:rPr>
        <w:t>应急抢险任务外，全面停止使用各类非道路移</w:t>
      </w:r>
      <w:r>
        <w:rPr>
          <w:spacing w:val="7"/>
        </w:rPr>
        <w:t>动机械；全面停止建筑垃圾和渣土运输车、砂</w:t>
      </w:r>
      <w:r>
        <w:rPr>
          <w:spacing w:val="8"/>
        </w:rPr>
        <w:t>石运输车辆上路行驶。</w:t>
      </w:r>
    </w:p>
    <w:p>
      <w:pPr>
        <w:pStyle w:val="BodyText"/>
        <w:ind w:left="12" w:right="327" w:firstLine="412"/>
        <w:spacing w:before="149" w:line="333" w:lineRule="auto"/>
        <w:rPr/>
      </w:pPr>
      <w:r>
        <w:rPr>
          <w:spacing w:val="9"/>
        </w:rPr>
        <w:t>（</w:t>
      </w:r>
      <w:r>
        <w:rPr>
          <w:rFonts w:ascii="Times New Roman" w:hAnsi="Times New Roman" w:eastAsia="Times New Roman" w:cs="Times New Roman"/>
          <w:spacing w:val="9"/>
        </w:rPr>
        <w:t>7 </w:t>
      </w:r>
      <w:r>
        <w:rPr>
          <w:spacing w:val="9"/>
        </w:rPr>
        <w:t>）除涉及重大民生工程、安全生产及</w:t>
      </w:r>
      <w:r>
        <w:rPr>
          <w:spacing w:val="7"/>
        </w:rPr>
        <w:t>应急抢险任务外，所有水泥粉磨站、渣土存放</w:t>
      </w:r>
      <w:r>
        <w:rPr>
          <w:spacing w:val="7"/>
        </w:rPr>
        <w:t>点全面停止生产、运行；全市混凝土搅拌站和</w:t>
      </w:r>
      <w:r>
        <w:rPr>
          <w:spacing w:val="7"/>
        </w:rPr>
        <w:t>砂浆搅拌站停止生产，站内堆放的散体物料全</w:t>
      </w:r>
      <w:r>
        <w:rPr>
          <w:spacing w:val="8"/>
        </w:rPr>
        <w:t>部苫盖，增加洒水降尘频次。</w:t>
      </w:r>
    </w:p>
    <w:p>
      <w:pPr>
        <w:pStyle w:val="BodyText"/>
        <w:ind w:left="11" w:right="327" w:firstLine="413"/>
        <w:spacing w:before="147" w:line="330" w:lineRule="auto"/>
        <w:rPr/>
      </w:pPr>
      <w:r>
        <w:rPr>
          <w:spacing w:val="8"/>
        </w:rPr>
        <w:t>（</w:t>
      </w:r>
      <w:r>
        <w:rPr>
          <w:spacing w:val="-45"/>
        </w:rPr>
        <w:t xml:space="preserve"> </w:t>
      </w:r>
      <w:r>
        <w:rPr>
          <w:rFonts w:ascii="Times New Roman" w:hAnsi="Times New Roman" w:eastAsia="Times New Roman" w:cs="Times New Roman"/>
          <w:spacing w:val="8"/>
        </w:rPr>
        <w:t>8</w:t>
      </w:r>
      <w:r>
        <w:rPr>
          <w:rFonts w:ascii="Times New Roman" w:hAnsi="Times New Roman" w:eastAsia="Times New Roman" w:cs="Times New Roman"/>
          <w:spacing w:val="-19"/>
        </w:rPr>
        <w:t xml:space="preserve"> </w:t>
      </w:r>
      <w:r>
        <w:rPr>
          <w:spacing w:val="8"/>
        </w:rPr>
        <w:t>）市区、原州区主要道路采取科学措</w:t>
      </w:r>
      <w:r>
        <w:rPr>
          <w:spacing w:val="7"/>
        </w:rPr>
        <w:t>施，根据空气相对湿度，加大或降低湿法作业</w:t>
      </w:r>
      <w:r>
        <w:rPr>
          <w:spacing w:val="7"/>
        </w:rPr>
        <w:t>频次，湿法作业频次降低时应适当加大吸扫作</w:t>
      </w:r>
      <w:r>
        <w:rPr>
          <w:spacing w:val="6"/>
        </w:rPr>
        <w:t>业力度。</w:t>
      </w:r>
    </w:p>
    <w:p>
      <w:pPr>
        <w:pStyle w:val="BodyText"/>
        <w:ind w:left="12" w:right="249" w:firstLine="412"/>
        <w:spacing w:before="155" w:line="330" w:lineRule="auto"/>
        <w:rPr/>
      </w:pPr>
      <w:r>
        <w:rPr>
          <w:spacing w:val="8"/>
        </w:rPr>
        <w:t>（</w:t>
      </w:r>
      <w:r>
        <w:rPr>
          <w:rFonts w:ascii="Times New Roman" w:hAnsi="Times New Roman" w:eastAsia="Times New Roman" w:cs="Times New Roman"/>
          <w:spacing w:val="8"/>
        </w:rPr>
        <w:t>9</w:t>
      </w:r>
      <w:r>
        <w:rPr>
          <w:rFonts w:ascii="Times New Roman" w:hAnsi="Times New Roman" w:eastAsia="Times New Roman" w:cs="Times New Roman"/>
          <w:spacing w:val="-5"/>
        </w:rPr>
        <w:t xml:space="preserve"> </w:t>
      </w:r>
      <w:r>
        <w:rPr>
          <w:spacing w:val="8"/>
        </w:rPr>
        <w:t>）实行交通管制</w:t>
      </w:r>
      <w:r>
        <w:rPr>
          <w:spacing w:val="-59"/>
        </w:rPr>
        <w:t xml:space="preserve"> </w:t>
      </w:r>
      <w:r>
        <w:rPr>
          <w:spacing w:val="8"/>
        </w:rPr>
        <w:t>，除城市运行保障车</w:t>
      </w:r>
      <w:r>
        <w:rPr>
          <w:spacing w:val="7"/>
        </w:rPr>
        <w:t>辆和执行任务特种车辆外，城市主城区内每天</w:t>
      </w:r>
      <w:r>
        <w:rPr>
          <w:rFonts w:ascii="Times New Roman" w:hAnsi="Times New Roman" w:eastAsia="Times New Roman" w:cs="Times New Roman"/>
          <w:spacing w:val="6"/>
        </w:rPr>
        <w:t>6</w:t>
      </w:r>
      <w:r>
        <w:rPr>
          <w:rFonts w:ascii="Times New Roman" w:hAnsi="Times New Roman" w:eastAsia="Times New Roman" w:cs="Times New Roman"/>
          <w:spacing w:val="24"/>
          <w:w w:val="101"/>
        </w:rPr>
        <w:t xml:space="preserve"> </w:t>
      </w:r>
      <w:r>
        <w:rPr>
          <w:spacing w:val="6"/>
        </w:rPr>
        <w:t>时至</w:t>
      </w:r>
      <w:r>
        <w:rPr>
          <w:spacing w:val="-43"/>
        </w:rPr>
        <w:t xml:space="preserve"> </w:t>
      </w:r>
      <w:r>
        <w:rPr>
          <w:rFonts w:ascii="Times New Roman" w:hAnsi="Times New Roman" w:eastAsia="Times New Roman" w:cs="Times New Roman"/>
          <w:spacing w:val="6"/>
        </w:rPr>
        <w:t>24</w:t>
      </w:r>
      <w:r>
        <w:rPr>
          <w:rFonts w:ascii="Times New Roman" w:hAnsi="Times New Roman" w:eastAsia="Times New Roman" w:cs="Times New Roman"/>
          <w:spacing w:val="16"/>
        </w:rPr>
        <w:t xml:space="preserve"> </w:t>
      </w:r>
      <w:r>
        <w:rPr>
          <w:spacing w:val="6"/>
        </w:rPr>
        <w:t>时禁止重型、中型货车和三轮汽车、</w:t>
      </w:r>
      <w:r>
        <w:rPr>
          <w:spacing w:val="8"/>
        </w:rPr>
        <w:t>低速载货汽车、拖拉机通行。</w:t>
      </w:r>
    </w:p>
    <w:p>
      <w:pPr>
        <w:pStyle w:val="BodyText"/>
        <w:ind w:left="12" w:right="327" w:firstLine="412"/>
        <w:spacing w:before="155" w:line="329" w:lineRule="auto"/>
        <w:rPr/>
      </w:pPr>
      <w:r>
        <w:rPr>
          <w:spacing w:val="2"/>
        </w:rPr>
        <w:t>（</w:t>
      </w:r>
      <w:r>
        <w:rPr>
          <w:spacing w:val="-35"/>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20"/>
        </w:rPr>
        <w:t xml:space="preserve"> </w:t>
      </w:r>
      <w:r>
        <w:rPr>
          <w:spacing w:val="2"/>
        </w:rPr>
        <w:t>）重点用车企业原则上不允许重型载</w:t>
      </w:r>
      <w:r>
        <w:rPr>
          <w:spacing w:val="7"/>
        </w:rPr>
        <w:t>货车进出厂区（保证安全生产运行，运输民生</w:t>
      </w:r>
      <w:r>
        <w:rPr>
          <w:spacing w:val="8"/>
        </w:rPr>
        <w:t>物资或特殊产品的车辆除外）。</w:t>
      </w:r>
    </w:p>
    <w:p>
      <w:pPr>
        <w:pStyle w:val="BodyText"/>
        <w:ind w:left="12" w:right="327" w:firstLine="426"/>
        <w:spacing w:before="116" w:line="350" w:lineRule="auto"/>
        <w:rPr/>
      </w:pPr>
      <w:r>
        <w:rPr>
          <w:rFonts w:ascii="Times New Roman" w:hAnsi="Times New Roman" w:eastAsia="Times New Roman" w:cs="Times New Roman"/>
          <w:spacing w:val="8"/>
        </w:rPr>
        <w:t>5.4  </w:t>
      </w:r>
      <w:r>
        <w:rPr>
          <w:rFonts w:ascii="KaiTi" w:hAnsi="KaiTi" w:eastAsia="KaiTi" w:cs="KaiTi"/>
          <w:spacing w:val="8"/>
        </w:rPr>
        <w:t>响应措施的监督。</w:t>
      </w:r>
      <w:r>
        <w:rPr>
          <w:spacing w:val="8"/>
        </w:rPr>
        <w:t>应急指挥部办公室</w:t>
      </w:r>
      <w:r>
        <w:rPr>
          <w:spacing w:val="7"/>
        </w:rPr>
        <w:t>对全市应急措施落实情况加强抽查检查。自预</w:t>
      </w:r>
      <w:r>
        <w:rPr>
          <w:spacing w:val="11"/>
        </w:rPr>
        <w:t>警信息发布后</w:t>
      </w:r>
      <w:r>
        <w:rPr>
          <w:spacing w:val="-36"/>
        </w:rPr>
        <w:t xml:space="preserve"> </w:t>
      </w:r>
      <w:r>
        <w:rPr>
          <w:rFonts w:ascii="Times New Roman" w:hAnsi="Times New Roman" w:eastAsia="Times New Roman" w:cs="Times New Roman"/>
          <w:spacing w:val="11"/>
        </w:rPr>
        <w:t>24 </w:t>
      </w:r>
      <w:r>
        <w:rPr>
          <w:spacing w:val="11"/>
        </w:rPr>
        <w:t>小时起对各成员单位落实情</w:t>
      </w:r>
      <w:r>
        <w:rPr>
          <w:spacing w:val="7"/>
        </w:rPr>
        <w:t>况进行监督检查。各成员单位要制定督查检查</w:t>
      </w:r>
      <w:r>
        <w:rPr>
          <w:spacing w:val="7"/>
        </w:rPr>
        <w:t>工作方案，督促本行业、本辖区具体应急措施</w:t>
      </w:r>
      <w:r>
        <w:rPr>
          <w:spacing w:val="7"/>
        </w:rPr>
        <w:t>的落实，做好重污染天气应急过程记录，建立</w:t>
      </w:r>
      <w:r>
        <w:rPr>
          <w:spacing w:val="7"/>
        </w:rPr>
        <w:t>档案制度，并在重污染天气应急响应期间每日</w:t>
      </w:r>
      <w:r>
        <w:rPr>
          <w:rFonts w:ascii="Times New Roman" w:hAnsi="Times New Roman" w:eastAsia="Times New Roman" w:cs="Times New Roman"/>
          <w:spacing w:val="4"/>
        </w:rPr>
        <w:t>17</w:t>
      </w:r>
      <w:r>
        <w:rPr>
          <w:rFonts w:ascii="Times New Roman" w:hAnsi="Times New Roman" w:eastAsia="Times New Roman" w:cs="Times New Roman"/>
          <w:spacing w:val="53"/>
        </w:rPr>
        <w:t xml:space="preserve"> </w:t>
      </w:r>
      <w:r>
        <w:rPr>
          <w:spacing w:val="4"/>
        </w:rPr>
        <w:t>︰ </w:t>
      </w:r>
      <w:r>
        <w:rPr>
          <w:rFonts w:ascii="Times New Roman" w:hAnsi="Times New Roman" w:eastAsia="Times New Roman" w:cs="Times New Roman"/>
          <w:spacing w:val="4"/>
        </w:rPr>
        <w:t>00 </w:t>
      </w:r>
      <w:r>
        <w:rPr>
          <w:spacing w:val="4"/>
        </w:rPr>
        <w:t>前向应急指挥部办公室报送响应落实</w:t>
      </w:r>
      <w:r>
        <w:rPr>
          <w:spacing w:val="4"/>
        </w:rPr>
        <w:t>情况。</w:t>
      </w:r>
    </w:p>
    <w:p>
      <w:pPr>
        <w:pStyle w:val="BodyText"/>
        <w:ind w:left="17" w:right="327" w:firstLine="421"/>
        <w:spacing w:before="153" w:line="319" w:lineRule="auto"/>
        <w:rPr/>
      </w:pPr>
      <w:r>
        <w:rPr>
          <w:rFonts w:ascii="Times New Roman" w:hAnsi="Times New Roman" w:eastAsia="Times New Roman" w:cs="Times New Roman"/>
          <w:spacing w:val="8"/>
        </w:rPr>
        <w:t>5.5  </w:t>
      </w:r>
      <w:r>
        <w:rPr>
          <w:rFonts w:ascii="KaiTi" w:hAnsi="KaiTi" w:eastAsia="KaiTi" w:cs="KaiTi"/>
          <w:spacing w:val="8"/>
        </w:rPr>
        <w:t>响应终止。</w:t>
      </w:r>
      <w:r>
        <w:rPr>
          <w:spacing w:val="8"/>
        </w:rPr>
        <w:t>预警解除即响应终止，应</w:t>
      </w:r>
      <w:r>
        <w:rPr>
          <w:spacing w:val="17"/>
        </w:rPr>
        <w:t>急指挥部各成员单位负责通知采取响应措施</w:t>
      </w:r>
      <w:r>
        <w:rPr>
          <w:spacing w:val="7"/>
        </w:rPr>
        <w:t>的单位终止响应。</w:t>
      </w:r>
    </w:p>
    <w:p>
      <w:pPr>
        <w:spacing w:line="14" w:lineRule="auto"/>
        <w:rPr>
          <w:rFonts w:ascii="Arial"/>
          <w:sz w:val="2"/>
        </w:rPr>
      </w:pPr>
      <w:r>
        <w:rPr>
          <w:rFonts w:ascii="Arial" w:hAnsi="Arial" w:eastAsia="Arial" w:cs="Arial"/>
          <w:sz w:val="2"/>
          <w:szCs w:val="2"/>
        </w:rPr>
        <w:br w:type="column"/>
      </w:r>
    </w:p>
    <w:p>
      <w:pPr>
        <w:pStyle w:val="BodyText"/>
        <w:ind w:left="2" w:right="77" w:firstLine="426"/>
        <w:spacing w:before="48" w:line="364" w:lineRule="auto"/>
        <w:jc w:val="both"/>
        <w:rPr/>
      </w:pPr>
      <w:r>
        <w:rPr>
          <w:rFonts w:ascii="Times New Roman" w:hAnsi="Times New Roman" w:eastAsia="Times New Roman" w:cs="Times New Roman"/>
          <w:spacing w:val="8"/>
        </w:rPr>
        <w:t>5.6  </w:t>
      </w:r>
      <w:r>
        <w:rPr>
          <w:rFonts w:ascii="KaiTi" w:hAnsi="KaiTi" w:eastAsia="KaiTi" w:cs="KaiTi"/>
          <w:spacing w:val="8"/>
        </w:rPr>
        <w:t>总结评估。</w:t>
      </w:r>
      <w:r>
        <w:rPr>
          <w:spacing w:val="8"/>
        </w:rPr>
        <w:t>响应终止后，应急指挥部</w:t>
      </w:r>
      <w:r>
        <w:rPr>
          <w:spacing w:val="18"/>
        </w:rPr>
        <w:t>办公室组织对响应过程和响应措施效果进行</w:t>
      </w:r>
      <w:r>
        <w:rPr>
          <w:spacing w:val="7"/>
        </w:rPr>
        <w:t>总结、评估。内容包括：重污染天气发生及预</w:t>
      </w:r>
      <w:r>
        <w:rPr>
          <w:spacing w:val="7"/>
        </w:rPr>
        <w:t>警发布情况，各成员单位单位响应情况，企业</w:t>
      </w:r>
      <w:r>
        <w:rPr>
          <w:spacing w:val="7"/>
        </w:rPr>
        <w:t>措施落实情况，总结应对经验、教训，评估处</w:t>
      </w:r>
      <w:r>
        <w:rPr>
          <w:spacing w:val="7"/>
        </w:rPr>
        <w:t>置措施效果等。</w:t>
      </w:r>
    </w:p>
    <w:p>
      <w:pPr>
        <w:pStyle w:val="BodyText"/>
        <w:ind w:left="1" w:right="75" w:firstLine="420"/>
        <w:spacing w:before="11" w:line="363" w:lineRule="auto"/>
        <w:jc w:val="both"/>
        <w:rPr/>
      </w:pPr>
      <w:r>
        <w:rPr>
          <w:spacing w:val="10"/>
        </w:rPr>
        <w:t>应急指挥部办公室于每年</w:t>
      </w:r>
      <w:r>
        <w:rPr>
          <w:rFonts w:ascii="Times New Roman" w:hAnsi="Times New Roman" w:eastAsia="Times New Roman" w:cs="Times New Roman"/>
          <w:spacing w:val="10"/>
        </w:rPr>
        <w:t>5</w:t>
      </w:r>
      <w:r>
        <w:rPr>
          <w:rFonts w:ascii="Times New Roman" w:hAnsi="Times New Roman" w:eastAsia="Times New Roman" w:cs="Times New Roman"/>
          <w:spacing w:val="-3"/>
        </w:rPr>
        <w:t xml:space="preserve"> </w:t>
      </w:r>
      <w:r>
        <w:rPr>
          <w:spacing w:val="10"/>
        </w:rPr>
        <w:t>月份组织各相</w:t>
      </w:r>
      <w:r>
        <w:rPr>
          <w:spacing w:val="18"/>
        </w:rPr>
        <w:t>关部门和有关专家开展重污染天气应急工作</w:t>
      </w:r>
      <w:r>
        <w:rPr>
          <w:spacing w:val="7"/>
        </w:rPr>
        <w:t>年度评估。</w:t>
      </w:r>
    </w:p>
    <w:p>
      <w:pPr>
        <w:ind w:left="427"/>
        <w:spacing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6</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应急保障</w:t>
      </w:r>
    </w:p>
    <w:p>
      <w:pPr>
        <w:pStyle w:val="BodyText"/>
        <w:ind w:left="1" w:right="77" w:firstLine="426"/>
        <w:spacing w:before="90" w:line="342" w:lineRule="auto"/>
        <w:rPr/>
      </w:pPr>
      <w:r>
        <w:rPr>
          <w:rFonts w:ascii="Times New Roman" w:hAnsi="Times New Roman" w:eastAsia="Times New Roman" w:cs="Times New Roman"/>
          <w:spacing w:val="6"/>
        </w:rPr>
        <w:t>6.</w:t>
      </w:r>
      <w:r>
        <w:rPr>
          <w:rFonts w:ascii="Times New Roman" w:hAnsi="Times New Roman" w:eastAsia="Times New Roman" w:cs="Times New Roman"/>
          <w:spacing w:val="-7"/>
        </w:rPr>
        <w:t xml:space="preserve"> </w:t>
      </w:r>
      <w:r>
        <w:rPr>
          <w:rFonts w:ascii="Times New Roman" w:hAnsi="Times New Roman" w:eastAsia="Times New Roman" w:cs="Times New Roman"/>
          <w:spacing w:val="6"/>
        </w:rPr>
        <w:t>1  </w:t>
      </w:r>
      <w:r>
        <w:rPr>
          <w:rFonts w:ascii="KaiTi" w:hAnsi="KaiTi" w:eastAsia="KaiTi" w:cs="KaiTi"/>
          <w:spacing w:val="6"/>
        </w:rPr>
        <w:t>队伍保障。</w:t>
      </w:r>
      <w:r>
        <w:rPr>
          <w:spacing w:val="6"/>
        </w:rPr>
        <w:t>应急指挥部各成员单位要</w:t>
      </w:r>
      <w:r>
        <w:rPr>
          <w:spacing w:val="7"/>
        </w:rPr>
        <w:t>加强应对处置队伍建设；对应对处置队伍进行</w:t>
      </w:r>
      <w:r>
        <w:rPr>
          <w:spacing w:val="7"/>
        </w:rPr>
        <w:t>定期、不定期培训与考核，动态管理人员和设</w:t>
      </w:r>
      <w:r>
        <w:rPr>
          <w:spacing w:val="7"/>
        </w:rPr>
        <w:t>施、设备；适时调整人员数量及专业结构，及</w:t>
      </w:r>
      <w:r>
        <w:rPr>
          <w:spacing w:val="7"/>
        </w:rPr>
        <w:t>时更新相关设施、设备、确保随时处于良好的</w:t>
      </w:r>
      <w:r>
        <w:rPr>
          <w:spacing w:val="8"/>
        </w:rPr>
        <w:t>应急备战状态等。</w:t>
      </w:r>
    </w:p>
    <w:p>
      <w:pPr>
        <w:pStyle w:val="BodyText"/>
        <w:ind w:firstLine="428"/>
        <w:spacing w:before="152" w:line="331" w:lineRule="auto"/>
        <w:rPr/>
      </w:pPr>
      <w:r>
        <w:rPr>
          <w:rFonts w:ascii="Times New Roman" w:hAnsi="Times New Roman" w:eastAsia="Times New Roman" w:cs="Times New Roman"/>
          <w:spacing w:val="8"/>
        </w:rPr>
        <w:t>6.2  </w:t>
      </w:r>
      <w:r>
        <w:rPr>
          <w:rFonts w:ascii="KaiTi" w:hAnsi="KaiTi" w:eastAsia="KaiTi" w:cs="KaiTi"/>
          <w:spacing w:val="8"/>
        </w:rPr>
        <w:t>资金保障。</w:t>
      </w:r>
      <w:r>
        <w:rPr>
          <w:spacing w:val="8"/>
        </w:rPr>
        <w:t>市财政局对重污染天气应</w:t>
      </w:r>
      <w:r>
        <w:rPr>
          <w:spacing w:val="7"/>
        </w:rPr>
        <w:t>急工作应安排必需的专项经费，主要用于重污</w:t>
      </w:r>
      <w:r>
        <w:rPr>
          <w:spacing w:val="18"/>
        </w:rPr>
        <w:t>染天气监测预报预警系统和信息发布平台建</w:t>
      </w:r>
      <w:r>
        <w:rPr>
          <w:spacing w:val="1"/>
        </w:rPr>
        <w:t>设、运行和维护，以及应急响应所需相关费用。</w:t>
      </w:r>
    </w:p>
    <w:p>
      <w:pPr>
        <w:pStyle w:val="BodyText"/>
        <w:ind w:left="2" w:right="68" w:firstLine="425"/>
        <w:spacing w:before="149" w:line="331" w:lineRule="auto"/>
        <w:rPr/>
      </w:pPr>
      <w:r>
        <w:rPr>
          <w:rFonts w:ascii="Times New Roman" w:hAnsi="Times New Roman" w:eastAsia="Times New Roman" w:cs="Times New Roman"/>
          <w:spacing w:val="8"/>
        </w:rPr>
        <w:t>6.3  </w:t>
      </w:r>
      <w:r>
        <w:rPr>
          <w:rFonts w:ascii="KaiTi" w:hAnsi="KaiTi" w:eastAsia="KaiTi" w:cs="KaiTi"/>
          <w:spacing w:val="8"/>
        </w:rPr>
        <w:t>通讯与信息保障。</w:t>
      </w:r>
      <w:r>
        <w:rPr>
          <w:spacing w:val="8"/>
        </w:rPr>
        <w:t>应急指挥部各成员</w:t>
      </w:r>
      <w:r>
        <w:rPr>
          <w:spacing w:val="7"/>
        </w:rPr>
        <w:t>单位要建立或完善重污染天气应急指挥系统；</w:t>
      </w:r>
      <w:r>
        <w:rPr>
          <w:spacing w:val="7"/>
        </w:rPr>
        <w:t>建立应急工作相关单位或人员通信信息库，各</w:t>
      </w:r>
      <w:r>
        <w:rPr>
          <w:spacing w:val="7"/>
        </w:rPr>
        <w:t>成员单位确定一名应急负责人和联络员，保持</w:t>
      </w:r>
    </w:p>
    <w:p>
      <w:pPr>
        <w:pStyle w:val="BodyText"/>
        <w:ind w:left="3"/>
        <w:spacing w:before="153" w:line="223" w:lineRule="auto"/>
        <w:rPr/>
      </w:pPr>
      <w:r>
        <w:rPr>
          <w:rFonts w:ascii="Times New Roman" w:hAnsi="Times New Roman" w:eastAsia="Times New Roman" w:cs="Times New Roman"/>
          <w:spacing w:val="6"/>
        </w:rPr>
        <w:t>24 </w:t>
      </w:r>
      <w:r>
        <w:rPr>
          <w:spacing w:val="6"/>
        </w:rPr>
        <w:t>小时通信畅通。</w:t>
      </w:r>
    </w:p>
    <w:p>
      <w:pPr>
        <w:pStyle w:val="BodyText"/>
        <w:ind w:left="1" w:right="77" w:firstLine="426"/>
        <w:spacing w:before="153" w:line="337" w:lineRule="auto"/>
        <w:rPr/>
      </w:pPr>
      <w:r>
        <w:rPr>
          <w:rFonts w:ascii="Times New Roman" w:hAnsi="Times New Roman" w:eastAsia="Times New Roman" w:cs="Times New Roman"/>
          <w:spacing w:val="8"/>
        </w:rPr>
        <w:t>6.4  </w:t>
      </w:r>
      <w:r>
        <w:rPr>
          <w:rFonts w:ascii="KaiTi" w:hAnsi="KaiTi" w:eastAsia="KaiTi" w:cs="KaiTi"/>
          <w:spacing w:val="8"/>
        </w:rPr>
        <w:t>物资装备保障。</w:t>
      </w:r>
      <w:r>
        <w:rPr>
          <w:spacing w:val="8"/>
        </w:rPr>
        <w:t>应急指挥部有关成员</w:t>
      </w:r>
      <w:r>
        <w:rPr>
          <w:spacing w:val="15"/>
        </w:rPr>
        <w:t>单位要根据各自的职能和分工</w:t>
      </w:r>
      <w:r>
        <w:rPr>
          <w:spacing w:val="-39"/>
        </w:rPr>
        <w:t xml:space="preserve"> </w:t>
      </w:r>
      <w:r>
        <w:rPr>
          <w:spacing w:val="15"/>
        </w:rPr>
        <w:t>，配备种类齐</w:t>
      </w:r>
      <w:r>
        <w:rPr>
          <w:spacing w:val="7"/>
        </w:rPr>
        <w:t>全、数量充足的应急仪器、车辆和防护器材等</w:t>
      </w:r>
      <w:r>
        <w:rPr>
          <w:spacing w:val="7"/>
        </w:rPr>
        <w:t>硬件装备，进行日常管理和维护保养，保持良</w:t>
      </w:r>
      <w:r>
        <w:rPr>
          <w:spacing w:val="7"/>
        </w:rPr>
        <w:t>好工作状态。</w:t>
      </w:r>
    </w:p>
    <w:p>
      <w:pPr>
        <w:pStyle w:val="BodyText"/>
        <w:ind w:left="7" w:right="77" w:firstLine="420"/>
        <w:spacing w:before="172" w:line="314" w:lineRule="auto"/>
        <w:rPr/>
      </w:pPr>
      <w:r>
        <w:rPr>
          <w:rFonts w:ascii="Times New Roman" w:hAnsi="Times New Roman" w:eastAsia="Times New Roman" w:cs="Times New Roman"/>
          <w:spacing w:val="8"/>
        </w:rPr>
        <w:t>6.5  </w:t>
      </w:r>
      <w:r>
        <w:rPr>
          <w:rFonts w:ascii="KaiTi" w:hAnsi="KaiTi" w:eastAsia="KaiTi" w:cs="KaiTi"/>
          <w:spacing w:val="8"/>
        </w:rPr>
        <w:t>现场处置。</w:t>
      </w:r>
      <w:r>
        <w:rPr>
          <w:spacing w:val="8"/>
        </w:rPr>
        <w:t>由事发地政府设立重污染</w:t>
      </w:r>
      <w:r>
        <w:rPr>
          <w:spacing w:val="7"/>
        </w:rPr>
        <w:t>天气应急处置现场指挥部，具体负责指挥现场</w:t>
      </w:r>
      <w:r>
        <w:rPr>
          <w:spacing w:val="7"/>
        </w:rPr>
        <w:t>的应急处置工作。各有关成员单位按照职责参</w:t>
      </w:r>
    </w:p>
    <w:p>
      <w:pPr>
        <w:spacing w:line="314" w:lineRule="auto"/>
        <w:sectPr>
          <w:type w:val="continuous"/>
          <w:pgSz w:w="11906" w:h="16839"/>
          <w:pgMar w:top="1766" w:right="1513" w:bottom="1574" w:left="1579" w:header="1428" w:footer="1172" w:gutter="0"/>
          <w:cols w:equalWidth="0" w:num="2">
            <w:col w:w="4487" w:space="100"/>
            <w:col w:w="4227" w:space="0"/>
          </w:cols>
        </w:sectPr>
        <w:rPr/>
      </w:pPr>
    </w:p>
    <w:p>
      <w:pPr>
        <w:spacing w:before="78"/>
        <w:rPr/>
      </w:pPr>
      <w:r>
        <w:drawing>
          <wp:anchor distT="0" distB="0" distL="0" distR="0" simplePos="0" relativeHeight="254040064"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156" name="IM 2156"/>
            <wp:cNvGraphicFramePr/>
            <a:graphic>
              <a:graphicData uri="http://schemas.openxmlformats.org/drawingml/2006/picture">
                <pic:pic>
                  <pic:nvPicPr>
                    <pic:cNvPr id="2156" name="IM 2156"/>
                    <pic:cNvPicPr/>
                  </pic:nvPicPr>
                  <pic:blipFill>
                    <a:blip r:embed="rId1080"/>
                    <a:stretch>
                      <a:fillRect/>
                    </a:stretch>
                  </pic:blipFill>
                  <pic:spPr>
                    <a:xfrm rot="0">
                      <a:off x="0" y="0"/>
                      <a:ext cx="5579745" cy="7620"/>
                    </a:xfrm>
                    <a:prstGeom prst="rect">
                      <a:avLst/>
                    </a:prstGeom>
                  </pic:spPr>
                </pic:pic>
              </a:graphicData>
            </a:graphic>
          </wp:anchor>
        </w:drawing>
      </w:r>
      <w:r/>
    </w:p>
    <w:p>
      <w:pPr>
        <w:sectPr>
          <w:headerReference w:type="default" r:id="rId1048"/>
          <w:footerReference w:type="default" r:id="rId1079"/>
          <w:pgSz w:w="11906" w:h="16839"/>
          <w:pgMar w:top="1772" w:right="1489" w:bottom="1572" w:left="1571" w:header="1428" w:footer="1172" w:gutter="0"/>
          <w:cols w:equalWidth="0" w:num="1">
            <w:col w:w="8846" w:space="0"/>
          </w:cols>
        </w:sectPr>
        <w:rPr/>
      </w:pPr>
    </w:p>
    <w:p>
      <w:pPr>
        <w:pStyle w:val="BodyText"/>
        <w:ind w:left="22" w:right="329" w:firstLine="5"/>
        <w:spacing w:before="43" w:line="378" w:lineRule="auto"/>
        <w:jc w:val="both"/>
        <w:rPr/>
      </w:pPr>
      <w:r>
        <w:rPr>
          <w:spacing w:val="6"/>
        </w:rPr>
        <w:t>与处置工作，包括组织营救、伤员救治、疏散</w:t>
      </w:r>
      <w:r>
        <w:rPr>
          <w:spacing w:val="7"/>
        </w:rPr>
        <w:t>撤离和妥善安置受到威胁的人员，及时上报事</w:t>
      </w:r>
      <w:r>
        <w:rPr>
          <w:spacing w:val="7"/>
        </w:rPr>
        <w:t>件情况和人员伤亡情况，查明并及时组织力量</w:t>
      </w:r>
      <w:r>
        <w:rPr>
          <w:spacing w:val="7"/>
        </w:rPr>
        <w:t>消除次生灾害，组织抢修公共设施，接受与分</w:t>
      </w:r>
      <w:r>
        <w:rPr>
          <w:spacing w:val="7"/>
        </w:rPr>
        <w:t>配援助物资等。必要时，市重污染天气应急指</w:t>
      </w:r>
      <w:r>
        <w:rPr>
          <w:spacing w:val="7"/>
        </w:rPr>
        <w:t>挥部派出工作组赶赴事件现场，指导应急处置</w:t>
      </w:r>
      <w:r>
        <w:rPr>
          <w:spacing w:val="4"/>
        </w:rPr>
        <w:t>工作。</w:t>
      </w:r>
    </w:p>
    <w:p>
      <w:pPr>
        <w:pStyle w:val="BodyText"/>
        <w:ind w:left="21" w:right="252" w:firstLine="425"/>
        <w:spacing w:line="378" w:lineRule="auto"/>
        <w:jc w:val="both"/>
        <w:rPr/>
      </w:pPr>
      <w:r>
        <w:rPr>
          <w:rFonts w:ascii="Times New Roman" w:hAnsi="Times New Roman" w:eastAsia="Times New Roman" w:cs="Times New Roman"/>
          <w:spacing w:val="8"/>
        </w:rPr>
        <w:t>6.6  </w:t>
      </w:r>
      <w:r>
        <w:rPr>
          <w:rFonts w:ascii="KaiTi" w:hAnsi="KaiTi" w:eastAsia="KaiTi" w:cs="KaiTi"/>
          <w:spacing w:val="8"/>
        </w:rPr>
        <w:t>社会动员。</w:t>
      </w:r>
      <w:r>
        <w:rPr>
          <w:spacing w:val="8"/>
        </w:rPr>
        <w:t>各级政府及重污染天气应</w:t>
      </w:r>
      <w:r>
        <w:rPr>
          <w:spacing w:val="7"/>
        </w:rPr>
        <w:t>急指挥部根据重污染天气的性质、危害程度和</w:t>
      </w:r>
      <w:r>
        <w:rPr>
          <w:spacing w:val="7"/>
        </w:rPr>
        <w:t>范围，广泛调动社会力量参与事件处置，紧急</w:t>
      </w:r>
      <w:r>
        <w:rPr>
          <w:spacing w:val="1"/>
        </w:rPr>
        <w:t>情况下可依法征用、调用车辆、物资、人员等。</w:t>
      </w:r>
    </w:p>
    <w:p>
      <w:pPr>
        <w:pStyle w:val="BodyText"/>
        <w:ind w:left="20" w:right="329" w:firstLine="421"/>
        <w:spacing w:before="6" w:line="378" w:lineRule="auto"/>
        <w:jc w:val="both"/>
        <w:rPr/>
      </w:pPr>
      <w:r>
        <w:rPr>
          <w:spacing w:val="19"/>
        </w:rPr>
        <w:t>排放大气污染物的企事业单位应加强大</w:t>
      </w:r>
      <w:r>
        <w:rPr>
          <w:spacing w:val="13"/>
        </w:rPr>
        <w:t>气污染防治设施的管理和维护</w:t>
      </w:r>
      <w:r>
        <w:rPr>
          <w:spacing w:val="-52"/>
        </w:rPr>
        <w:t xml:space="preserve"> </w:t>
      </w:r>
      <w:r>
        <w:rPr>
          <w:spacing w:val="13"/>
        </w:rPr>
        <w:t>，</w:t>
      </w:r>
      <w:r>
        <w:rPr>
          <w:spacing w:val="-49"/>
        </w:rPr>
        <w:t xml:space="preserve"> </w:t>
      </w:r>
      <w:r>
        <w:rPr>
          <w:spacing w:val="13"/>
        </w:rPr>
        <w:t>自觉采取措</w:t>
      </w:r>
      <w:r>
        <w:rPr>
          <w:spacing w:val="7"/>
        </w:rPr>
        <w:t>施，减少大气污染物排放；列入重点大气排放</w:t>
      </w:r>
      <w:r>
        <w:rPr>
          <w:spacing w:val="7"/>
        </w:rPr>
        <w:t>源的企业，应制定相应的应急预案，明确响应</w:t>
      </w:r>
      <w:r>
        <w:rPr>
          <w:spacing w:val="7"/>
        </w:rPr>
        <w:t>措施，并对社会公布。在应急响应启动时，及</w:t>
      </w:r>
      <w:r>
        <w:rPr>
          <w:spacing w:val="7"/>
        </w:rPr>
        <w:t>时采取响应措施，降低生产负荷，减少污染物</w:t>
      </w:r>
      <w:r>
        <w:rPr>
          <w:spacing w:val="5"/>
        </w:rPr>
        <w:t>排放。</w:t>
      </w:r>
    </w:p>
    <w:p>
      <w:pPr>
        <w:pStyle w:val="BodyText"/>
        <w:ind w:left="21" w:right="329" w:firstLine="419"/>
        <w:spacing w:before="3" w:line="376" w:lineRule="auto"/>
        <w:jc w:val="both"/>
        <w:rPr/>
      </w:pPr>
      <w:r>
        <w:rPr>
          <w:spacing w:val="7"/>
        </w:rPr>
        <w:t>公众在收到预警信息后，应自觉参与应急</w:t>
      </w:r>
      <w:r>
        <w:rPr>
          <w:spacing w:val="7"/>
        </w:rPr>
        <w:t>行动，遵守机动车限行、禁燃禁烧等规定，减</w:t>
      </w:r>
      <w:r>
        <w:rPr>
          <w:spacing w:val="7"/>
        </w:rPr>
        <w:t>少生活源大气污染物排放。易感人群要积极采</w:t>
      </w:r>
      <w:r>
        <w:rPr>
          <w:spacing w:val="8"/>
        </w:rPr>
        <w:t>取健康防护措施，避免户外运动。</w:t>
      </w:r>
    </w:p>
    <w:p>
      <w:pPr>
        <w:ind w:left="445"/>
        <w:spacing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7</w:t>
      </w:r>
      <w:r>
        <w:rPr>
          <w:rFonts w:ascii="Microsoft YaHei" w:hAnsi="Microsoft YaHei" w:eastAsia="Microsoft YaHei" w:cs="Microsoft YaHei"/>
          <w:sz w:val="20"/>
          <w:szCs w:val="20"/>
          <w:spacing w:val="14"/>
        </w:rPr>
        <w:t xml:space="preserve">   </w:t>
      </w:r>
      <w:r>
        <w:rPr>
          <w:rFonts w:ascii="Microsoft YaHei" w:hAnsi="Microsoft YaHei" w:eastAsia="Microsoft YaHei" w:cs="Microsoft YaHei"/>
          <w:sz w:val="20"/>
          <w:szCs w:val="20"/>
          <w:spacing w:val="3"/>
        </w:rPr>
        <w:t>监督管理</w:t>
      </w:r>
    </w:p>
    <w:p>
      <w:pPr>
        <w:pStyle w:val="BodyText"/>
        <w:ind w:left="21" w:right="326" w:firstLine="424"/>
        <w:spacing w:before="109" w:line="347" w:lineRule="auto"/>
        <w:rPr/>
      </w:pPr>
      <w:r>
        <w:rPr>
          <w:rFonts w:ascii="Times New Roman" w:hAnsi="Times New Roman" w:eastAsia="Times New Roman" w:cs="Times New Roman"/>
          <w:spacing w:val="7"/>
        </w:rPr>
        <w:t>7.</w:t>
      </w:r>
      <w:r>
        <w:rPr>
          <w:rFonts w:ascii="Times New Roman" w:hAnsi="Times New Roman" w:eastAsia="Times New Roman" w:cs="Times New Roman"/>
          <w:spacing w:val="-23"/>
        </w:rPr>
        <w:t xml:space="preserve"> </w:t>
      </w:r>
      <w:r>
        <w:rPr>
          <w:rFonts w:ascii="Times New Roman" w:hAnsi="Times New Roman" w:eastAsia="Times New Roman" w:cs="Times New Roman"/>
          <w:spacing w:val="7"/>
        </w:rPr>
        <w:t>1  </w:t>
      </w:r>
      <w:r>
        <w:rPr>
          <w:rFonts w:ascii="KaiTi" w:hAnsi="KaiTi" w:eastAsia="KaiTi" w:cs="KaiTi"/>
          <w:spacing w:val="7"/>
        </w:rPr>
        <w:t>公众宣传。</w:t>
      </w:r>
      <w:r>
        <w:rPr>
          <w:spacing w:val="7"/>
        </w:rPr>
        <w:t>通过电视、广播、报纸、</w:t>
      </w:r>
      <w:r>
        <w:rPr>
          <w:spacing w:val="7"/>
        </w:rPr>
        <w:t>互联网、手册、刊物、宣传画等手段，广泛宣</w:t>
      </w:r>
      <w:r>
        <w:rPr>
          <w:spacing w:val="7"/>
        </w:rPr>
        <w:t>传针对重污染天气的各项应急法律、法规，积</w:t>
      </w:r>
      <w:r>
        <w:rPr>
          <w:spacing w:val="18"/>
        </w:rPr>
        <w:t>极向群众宣传重污染天气的健康防护常识和</w:t>
      </w:r>
      <w:r>
        <w:rPr>
          <w:spacing w:val="4"/>
        </w:rPr>
        <w:t>技能。</w:t>
      </w:r>
    </w:p>
    <w:p>
      <w:pPr>
        <w:ind w:left="445"/>
        <w:spacing w:before="168" w:line="241" w:lineRule="auto"/>
        <w:rPr>
          <w:rFonts w:ascii="KaiTi" w:hAnsi="KaiTi" w:eastAsia="KaiTi" w:cs="KaiTi"/>
          <w:sz w:val="20"/>
          <w:szCs w:val="20"/>
        </w:rPr>
      </w:pPr>
      <w:r>
        <w:rPr>
          <w:rFonts w:ascii="Times New Roman" w:hAnsi="Times New Roman" w:eastAsia="Times New Roman" w:cs="Times New Roman"/>
          <w:sz w:val="20"/>
          <w:szCs w:val="20"/>
          <w:spacing w:val="6"/>
        </w:rPr>
        <w:t>7.2  </w:t>
      </w:r>
      <w:r>
        <w:rPr>
          <w:rFonts w:ascii="KaiTi" w:hAnsi="KaiTi" w:eastAsia="KaiTi" w:cs="KaiTi"/>
          <w:sz w:val="20"/>
          <w:szCs w:val="20"/>
          <w:spacing w:val="6"/>
        </w:rPr>
        <w:t>信息发布与舆情引导。</w:t>
      </w:r>
    </w:p>
    <w:p>
      <w:pPr>
        <w:pStyle w:val="BodyText"/>
        <w:ind w:left="21" w:right="327" w:firstLine="424"/>
        <w:spacing w:before="151" w:line="315" w:lineRule="auto"/>
        <w:jc w:val="both"/>
        <w:rPr/>
      </w:pPr>
      <w:r>
        <w:rPr>
          <w:rFonts w:ascii="Times New Roman" w:hAnsi="Times New Roman" w:eastAsia="Times New Roman" w:cs="Times New Roman"/>
          <w:spacing w:val="3"/>
        </w:rPr>
        <w:t>7.2.1 </w:t>
      </w:r>
      <w:r>
        <w:rPr>
          <w:spacing w:val="3"/>
        </w:rPr>
        <w:t>信息发布主要原则。污染天气信息发</w:t>
      </w:r>
      <w:r>
        <w:rPr>
          <w:spacing w:val="18"/>
        </w:rPr>
        <w:t>布工作由各级政府新闻发言人或现场指挥指</w:t>
      </w:r>
      <w:r>
        <w:rPr>
          <w:spacing w:val="7"/>
        </w:rPr>
        <w:t>定的新闻发言人负责发布。重大、较大污染天</w:t>
      </w:r>
    </w:p>
    <w:p>
      <w:pPr>
        <w:spacing w:line="14" w:lineRule="auto"/>
        <w:rPr>
          <w:rFonts w:ascii="Arial"/>
          <w:sz w:val="2"/>
        </w:rPr>
      </w:pPr>
      <w:r>
        <w:rPr>
          <w:rFonts w:ascii="Arial" w:hAnsi="Arial" w:eastAsia="Arial" w:cs="Arial"/>
          <w:sz w:val="2"/>
          <w:szCs w:val="2"/>
        </w:rPr>
        <w:br w:type="column"/>
      </w:r>
    </w:p>
    <w:p>
      <w:pPr>
        <w:pStyle w:val="BodyText"/>
        <w:ind w:left="2" w:right="18" w:hanging="2"/>
        <w:spacing w:before="43" w:line="378" w:lineRule="auto"/>
        <w:rPr/>
      </w:pPr>
      <w:r>
        <w:rPr>
          <w:spacing w:val="7"/>
        </w:rPr>
        <w:t>气以市级政府名义，一般污染天气以县级政府</w:t>
      </w:r>
      <w:r>
        <w:rPr>
          <w:spacing w:val="-8"/>
        </w:rPr>
        <w:t>名义发布。信息发布要统一、及时、准确、客观。</w:t>
      </w:r>
    </w:p>
    <w:p>
      <w:pPr>
        <w:pStyle w:val="BodyText"/>
        <w:ind w:left="1" w:right="101" w:firstLine="422"/>
        <w:spacing w:before="1" w:line="378" w:lineRule="auto"/>
        <w:rPr/>
      </w:pPr>
      <w:r>
        <w:rPr>
          <w:spacing w:val="6"/>
        </w:rPr>
        <w:t>宣传、网信、公安等部门要密切关注舆情</w:t>
      </w:r>
      <w:r>
        <w:rPr>
          <w:spacing w:val="9"/>
        </w:rPr>
        <w:t>信息，及时做好舆情管控、引导工作。</w:t>
      </w:r>
    </w:p>
    <w:p>
      <w:pPr>
        <w:pStyle w:val="BodyText"/>
        <w:ind w:left="2" w:right="20" w:firstLine="422"/>
        <w:spacing w:before="1" w:line="352" w:lineRule="auto"/>
        <w:rPr/>
      </w:pPr>
      <w:r>
        <w:rPr>
          <w:rFonts w:ascii="Times New Roman" w:hAnsi="Times New Roman" w:eastAsia="Times New Roman" w:cs="Times New Roman"/>
          <w:spacing w:val="3"/>
        </w:rPr>
        <w:t>7.2.2 </w:t>
      </w:r>
      <w:r>
        <w:rPr>
          <w:spacing w:val="3"/>
        </w:rPr>
        <w:t>信息发布主要内容。重污染天气事件</w:t>
      </w:r>
      <w:r>
        <w:rPr>
          <w:spacing w:val="18"/>
        </w:rPr>
        <w:t>的种类及其次生、衍生灾害的监测和预警情</w:t>
      </w:r>
      <w:r>
        <w:rPr>
          <w:spacing w:val="7"/>
        </w:rPr>
        <w:t>况；事件发生时间、地点、人员伤亡（包括下</w:t>
      </w:r>
      <w:r>
        <w:rPr>
          <w:spacing w:val="1"/>
        </w:rPr>
        <w:t>落不明人数）和财产损失情况、救援进展情况、</w:t>
      </w:r>
      <w:r>
        <w:rPr>
          <w:spacing w:val="7"/>
        </w:rPr>
        <w:t>事件区域交通管制情况及临时交通措施；事件</w:t>
      </w:r>
      <w:r>
        <w:rPr>
          <w:spacing w:val="8"/>
        </w:rPr>
        <w:t>责任单位基本情况等。</w:t>
      </w:r>
    </w:p>
    <w:p>
      <w:pPr>
        <w:pStyle w:val="BodyText"/>
        <w:ind w:right="96" w:firstLine="425"/>
        <w:spacing w:before="169" w:line="326" w:lineRule="auto"/>
        <w:rPr/>
      </w:pPr>
      <w:r>
        <w:rPr>
          <w:rFonts w:ascii="Times New Roman" w:hAnsi="Times New Roman" w:eastAsia="Times New Roman" w:cs="Times New Roman"/>
          <w:spacing w:val="3"/>
        </w:rPr>
        <w:t>7.2.3 </w:t>
      </w:r>
      <w:r>
        <w:rPr>
          <w:spacing w:val="3"/>
        </w:rPr>
        <w:t>信息发布主要形式。权威发布、提供</w:t>
      </w:r>
      <w:r>
        <w:rPr>
          <w:spacing w:val="7"/>
        </w:rPr>
        <w:t>新闻稿、组织报道、接受记者采访、举行新闻</w:t>
      </w:r>
      <w:r>
        <w:rPr>
          <w:spacing w:val="7"/>
        </w:rPr>
        <w:t>发布会等。</w:t>
      </w:r>
    </w:p>
    <w:p>
      <w:pPr>
        <w:pStyle w:val="BodyText"/>
        <w:ind w:right="36" w:firstLine="425"/>
        <w:spacing w:before="169" w:line="363" w:lineRule="auto"/>
        <w:rPr/>
      </w:pPr>
      <w:r>
        <w:rPr>
          <w:rFonts w:ascii="Times New Roman" w:hAnsi="Times New Roman" w:eastAsia="Times New Roman" w:cs="Times New Roman"/>
          <w:spacing w:val="8"/>
        </w:rPr>
        <w:t>7.3  </w:t>
      </w:r>
      <w:r>
        <w:rPr>
          <w:rFonts w:ascii="KaiTi" w:hAnsi="KaiTi" w:eastAsia="KaiTi" w:cs="KaiTi"/>
          <w:spacing w:val="8"/>
        </w:rPr>
        <w:t>应急演练。</w:t>
      </w:r>
      <w:r>
        <w:rPr>
          <w:spacing w:val="8"/>
        </w:rPr>
        <w:t>适时组织应急演练。根据</w:t>
      </w:r>
      <w:r>
        <w:rPr>
          <w:spacing w:val="7"/>
        </w:rPr>
        <w:t>演练情况及时修改、完善相应的应急保障预案</w:t>
      </w:r>
      <w:r>
        <w:rPr>
          <w:spacing w:val="7"/>
        </w:rPr>
        <w:t>和实施方案。应急指挥部成员单位和相关企业</w:t>
      </w:r>
      <w:r>
        <w:rPr>
          <w:spacing w:val="7"/>
        </w:rPr>
        <w:t>对照本方案、部门专项实施方案以及企业操作</w:t>
      </w:r>
      <w:r>
        <w:rPr>
          <w:spacing w:val="7"/>
        </w:rPr>
        <w:t>方案进行演练，尤其对具体操作流程和岗位职</w:t>
      </w:r>
      <w:r>
        <w:rPr>
          <w:spacing w:val="7"/>
        </w:rPr>
        <w:t>责进行演练，提高应对能力。应急指挥部每年</w:t>
      </w:r>
      <w:r>
        <w:rPr>
          <w:spacing w:val="7"/>
        </w:rPr>
        <w:t>在进入采暖期前组织一次综合性演练，可采用</w:t>
      </w:r>
      <w:r>
        <w:rPr>
          <w:spacing w:val="7"/>
        </w:rPr>
        <w:t>桌面推演加部分环节拉动演练的形式。演练结</w:t>
      </w:r>
      <w:r>
        <w:rPr/>
        <w:t>束后，进行演练总结，针对演练暴露出的问题，</w:t>
      </w:r>
      <w:r>
        <w:rPr>
          <w:spacing w:val="8"/>
        </w:rPr>
        <w:t>及时改进和完善。</w:t>
      </w:r>
    </w:p>
    <w:p>
      <w:pPr>
        <w:pStyle w:val="BodyText"/>
        <w:ind w:right="48" w:firstLine="424"/>
        <w:spacing w:before="162" w:line="358" w:lineRule="auto"/>
        <w:rPr/>
      </w:pPr>
      <w:r>
        <w:rPr>
          <w:rFonts w:ascii="Times New Roman" w:hAnsi="Times New Roman" w:eastAsia="Times New Roman" w:cs="Times New Roman"/>
          <w:spacing w:val="8"/>
        </w:rPr>
        <w:t>7.4  </w:t>
      </w:r>
      <w:r>
        <w:rPr>
          <w:rFonts w:ascii="KaiTi" w:hAnsi="KaiTi" w:eastAsia="KaiTi" w:cs="KaiTi"/>
          <w:spacing w:val="8"/>
        </w:rPr>
        <w:t>应急培训。</w:t>
      </w:r>
      <w:r>
        <w:rPr>
          <w:spacing w:val="8"/>
        </w:rPr>
        <w:t>加强重污染天气应急管理</w:t>
      </w:r>
      <w:r>
        <w:rPr>
          <w:spacing w:val="4"/>
        </w:rPr>
        <w:t>培训，增强有关部门、各县（</w:t>
      </w:r>
      <w:r>
        <w:rPr>
          <w:spacing w:val="-35"/>
        </w:rPr>
        <w:t xml:space="preserve"> </w:t>
      </w:r>
      <w:r>
        <w:rPr>
          <w:spacing w:val="4"/>
        </w:rPr>
        <w:t>区）政府应对重</w:t>
      </w:r>
      <w:r>
        <w:rPr>
          <w:spacing w:val="9"/>
        </w:rPr>
        <w:t>污染天气的思想准备、技术准备、工作准备。</w:t>
      </w:r>
      <w:r>
        <w:rPr>
          <w:spacing w:val="7"/>
        </w:rPr>
        <w:t>市重污染天气应急指挥部办公室、各县（</w:t>
      </w:r>
      <w:r>
        <w:rPr>
          <w:spacing w:val="-43"/>
        </w:rPr>
        <w:t xml:space="preserve"> </w:t>
      </w:r>
      <w:r>
        <w:rPr>
          <w:spacing w:val="7"/>
        </w:rPr>
        <w:t>区）</w:t>
      </w:r>
      <w:r>
        <w:rPr>
          <w:spacing w:val="18"/>
        </w:rPr>
        <w:t>政府要建立健全重污染天气应急管理培训制</w:t>
      </w:r>
      <w:r>
        <w:rPr>
          <w:spacing w:val="7"/>
        </w:rPr>
        <w:t>度，充分利用广播、电视、互联网、报纸等各</w:t>
      </w:r>
      <w:r>
        <w:rPr>
          <w:spacing w:val="7"/>
        </w:rPr>
        <w:t>种媒体，加大对重污染天气应急管理工作的宣</w:t>
      </w:r>
      <w:r>
        <w:rPr>
          <w:spacing w:val="7"/>
        </w:rPr>
        <w:t>传、培训力度，做好重污染天气突发事件防范</w:t>
      </w:r>
      <w:r>
        <w:rPr>
          <w:spacing w:val="7"/>
        </w:rPr>
        <w:t>知识的宣传教育工作，不断提高公众的安全意</w:t>
      </w:r>
    </w:p>
    <w:p>
      <w:pPr>
        <w:spacing w:line="358" w:lineRule="auto"/>
        <w:sectPr>
          <w:type w:val="continuous"/>
          <w:pgSz w:w="11906" w:h="16839"/>
          <w:pgMar w:top="1772" w:right="1489" w:bottom="1572" w:left="1571" w:header="1428" w:footer="1172" w:gutter="0"/>
          <w:cols w:equalWidth="0" w:num="2">
            <w:col w:w="4498" w:space="100"/>
            <w:col w:w="4249" w:space="0"/>
          </w:cols>
        </w:sectPr>
        <w:rPr/>
      </w:pPr>
    </w:p>
    <w:p>
      <w:pPr>
        <w:spacing w:before="75"/>
        <w:rPr/>
      </w:pPr>
      <w:r/>
    </w:p>
    <w:p>
      <w:pPr>
        <w:sectPr>
          <w:headerReference w:type="default" r:id="rId539"/>
          <w:footerReference w:type="default" r:id="rId1081"/>
          <w:pgSz w:w="11906" w:h="16839"/>
          <w:pgMar w:top="1766" w:right="1513" w:bottom="1574" w:left="1579" w:header="1428" w:footer="1172" w:gutter="0"/>
          <w:cols w:equalWidth="0" w:num="1">
            <w:col w:w="8814" w:space="0"/>
          </w:cols>
        </w:sectPr>
        <w:rPr/>
      </w:pPr>
    </w:p>
    <w:p>
      <w:pPr>
        <w:pStyle w:val="BodyText"/>
        <w:ind w:left="10"/>
        <w:spacing w:before="52" w:line="220" w:lineRule="auto"/>
        <w:rPr/>
      </w:pPr>
      <w:r>
        <w:rPr>
          <w:spacing w:val="-4"/>
        </w:rPr>
        <w:t>识和自救互救能力。每年宣教活动不得少于</w:t>
      </w:r>
      <w:r>
        <w:rPr>
          <w:rFonts w:ascii="Times New Roman" w:hAnsi="Times New Roman" w:eastAsia="Times New Roman" w:cs="Times New Roman"/>
          <w:spacing w:val="-4"/>
        </w:rPr>
        <w:t>1 </w:t>
      </w:r>
      <w:r>
        <w:rPr>
          <w:spacing w:val="-4"/>
        </w:rPr>
        <w:t>次。</w:t>
      </w:r>
    </w:p>
    <w:p>
      <w:pPr>
        <w:pStyle w:val="BodyText"/>
        <w:ind w:left="11" w:right="322" w:firstLine="425"/>
        <w:spacing w:before="168" w:line="378" w:lineRule="auto"/>
        <w:jc w:val="both"/>
        <w:rPr/>
      </w:pPr>
      <w:r>
        <w:rPr>
          <w:rFonts w:ascii="Times New Roman" w:hAnsi="Times New Roman" w:eastAsia="Times New Roman" w:cs="Times New Roman"/>
          <w:spacing w:val="5"/>
        </w:rPr>
        <w:t>7.5  </w:t>
      </w:r>
      <w:r>
        <w:rPr>
          <w:rFonts w:ascii="KaiTi" w:hAnsi="KaiTi" w:eastAsia="KaiTi" w:cs="KaiTi"/>
          <w:spacing w:val="5"/>
        </w:rPr>
        <w:t>责任追究。</w:t>
      </w:r>
      <w:r>
        <w:rPr>
          <w:spacing w:val="5"/>
        </w:rPr>
        <w:t>市县（</w:t>
      </w:r>
      <w:r>
        <w:rPr>
          <w:spacing w:val="-35"/>
        </w:rPr>
        <w:t xml:space="preserve"> </w:t>
      </w:r>
      <w:r>
        <w:rPr>
          <w:spacing w:val="5"/>
        </w:rPr>
        <w:t>区）有关部门要加</w:t>
      </w:r>
      <w:r>
        <w:rPr>
          <w:spacing w:val="7"/>
        </w:rPr>
        <w:t>大应急响应期间的执法检查力度，确保各项措</w:t>
      </w:r>
      <w:r>
        <w:rPr>
          <w:spacing w:val="7"/>
        </w:rPr>
        <w:t>施落实到位，对重污染天气期间发现的露天烧</w:t>
      </w:r>
      <w:r>
        <w:rPr>
          <w:spacing w:val="7"/>
        </w:rPr>
        <w:t>烤，企业超标排放、违法排污和错峰生产未落</w:t>
      </w:r>
      <w:r>
        <w:rPr>
          <w:spacing w:val="9"/>
        </w:rPr>
        <w:t>实到位等问题要从严从重处理。</w:t>
      </w:r>
    </w:p>
    <w:p>
      <w:pPr>
        <w:pStyle w:val="BodyText"/>
        <w:ind w:left="4" w:right="322" w:firstLine="432"/>
        <w:spacing w:before="6" w:line="377" w:lineRule="auto"/>
        <w:jc w:val="both"/>
        <w:rPr/>
      </w:pPr>
      <w:r>
        <w:rPr>
          <w:spacing w:val="6"/>
        </w:rPr>
        <w:t>预警信息发布后，市重污染天气应急指挥</w:t>
      </w:r>
      <w:r>
        <w:rPr>
          <w:spacing w:val="18"/>
        </w:rPr>
        <w:t>部办公室会同有关部门及时以现场抽查和记</w:t>
      </w:r>
      <w:r>
        <w:rPr>
          <w:spacing w:val="7"/>
        </w:rPr>
        <w:t>录检查的方式，对因工作不力、履职缺位等问</w:t>
      </w:r>
      <w:r>
        <w:rPr>
          <w:spacing w:val="7"/>
        </w:rPr>
        <w:t>题导致应急措施未有效落实的，依据《宁夏党</w:t>
      </w:r>
      <w:r>
        <w:rPr>
          <w:spacing w:val="18"/>
        </w:rPr>
        <w:t>政领导干部生态环境损害责任追究实施细则</w:t>
      </w:r>
      <w:r>
        <w:rPr>
          <w:spacing w:val="6"/>
        </w:rPr>
        <w:t>（试行）</w:t>
      </w:r>
      <w:r>
        <w:rPr>
          <w:spacing w:val="-49"/>
        </w:rPr>
        <w:t xml:space="preserve"> </w:t>
      </w:r>
      <w:r>
        <w:rPr>
          <w:spacing w:val="6"/>
        </w:rPr>
        <w:t>》的追责程序进行追责。</w:t>
      </w:r>
    </w:p>
    <w:p>
      <w:pPr>
        <w:ind w:left="436"/>
        <w:spacing w:before="1"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8</w:t>
      </w:r>
      <w:r>
        <w:rPr>
          <w:rFonts w:ascii="Microsoft YaHei" w:hAnsi="Microsoft YaHei" w:eastAsia="Microsoft YaHei" w:cs="Microsoft YaHei"/>
          <w:sz w:val="20"/>
          <w:szCs w:val="20"/>
          <w:spacing w:val="17"/>
          <w:w w:val="101"/>
        </w:rPr>
        <w:t xml:space="preserve">   </w:t>
      </w:r>
      <w:r>
        <w:rPr>
          <w:rFonts w:ascii="Microsoft YaHei" w:hAnsi="Microsoft YaHei" w:eastAsia="Microsoft YaHei" w:cs="Microsoft YaHei"/>
          <w:sz w:val="20"/>
          <w:szCs w:val="20"/>
          <w:spacing w:val="-5"/>
        </w:rPr>
        <w:t>附则</w:t>
      </w:r>
    </w:p>
    <w:p>
      <w:pPr>
        <w:pStyle w:val="BodyText"/>
        <w:ind w:left="17" w:right="290" w:firstLine="424"/>
        <w:spacing w:before="105" w:line="369" w:lineRule="auto"/>
        <w:rPr/>
      </w:pPr>
      <w:r>
        <w:rPr>
          <w:rFonts w:ascii="Times New Roman" w:hAnsi="Times New Roman" w:eastAsia="Times New Roman" w:cs="Times New Roman"/>
          <w:spacing w:val="7"/>
        </w:rPr>
        <w:t>8.</w:t>
      </w:r>
      <w:r>
        <w:rPr>
          <w:rFonts w:ascii="Times New Roman" w:hAnsi="Times New Roman" w:eastAsia="Times New Roman" w:cs="Times New Roman"/>
          <w:spacing w:val="-12"/>
        </w:rPr>
        <w:t xml:space="preserve"> </w:t>
      </w:r>
      <w:r>
        <w:rPr>
          <w:rFonts w:ascii="Times New Roman" w:hAnsi="Times New Roman" w:eastAsia="Times New Roman" w:cs="Times New Roman"/>
          <w:spacing w:val="7"/>
        </w:rPr>
        <w:t>1  </w:t>
      </w:r>
      <w:r>
        <w:rPr>
          <w:rFonts w:ascii="KaiTi" w:hAnsi="KaiTi" w:eastAsia="KaiTi" w:cs="KaiTi"/>
          <w:spacing w:val="7"/>
        </w:rPr>
        <w:t>名词解释。</w:t>
      </w:r>
      <w:r>
        <w:rPr>
          <w:spacing w:val="7"/>
        </w:rPr>
        <w:t>重污染天气：根据《环境</w:t>
      </w:r>
      <w:r>
        <w:rPr>
          <w:spacing w:val="14"/>
        </w:rPr>
        <w:t>空气质量指数（</w:t>
      </w:r>
      <w:r>
        <w:rPr>
          <w:spacing w:val="-43"/>
        </w:rPr>
        <w:t xml:space="preserve"> </w:t>
      </w:r>
      <w:r>
        <w:rPr>
          <w:rFonts w:ascii="Times New Roman" w:hAnsi="Times New Roman" w:eastAsia="Times New Roman" w:cs="Times New Roman"/>
        </w:rPr>
        <w:t>AQI</w:t>
      </w:r>
      <w:r>
        <w:rPr>
          <w:rFonts w:ascii="Times New Roman" w:hAnsi="Times New Roman" w:eastAsia="Times New Roman" w:cs="Times New Roman"/>
          <w:spacing w:val="27"/>
        </w:rPr>
        <w:t xml:space="preserve"> </w:t>
      </w:r>
      <w:r>
        <w:rPr>
          <w:spacing w:val="14"/>
        </w:rPr>
        <w:t>）技术规定（试行</w:t>
      </w:r>
      <w:r>
        <w:rPr>
          <w:spacing w:val="-56"/>
        </w:rPr>
        <w:t xml:space="preserve"> </w:t>
      </w:r>
      <w:r>
        <w:rPr>
          <w:spacing w:val="14"/>
        </w:rPr>
        <w:t>）》</w:t>
      </w:r>
    </w:p>
    <w:p>
      <w:pPr>
        <w:spacing w:line="21" w:lineRule="exact"/>
        <w:rPr/>
      </w:pPr>
      <w:r/>
    </w:p>
    <w:p>
      <w:pPr>
        <w:spacing w:line="14" w:lineRule="auto"/>
        <w:rPr>
          <w:rFonts w:ascii="Arial"/>
          <w:sz w:val="2"/>
        </w:rPr>
      </w:pPr>
      <w:r>
        <w:rPr>
          <w:rFonts w:ascii="Arial" w:hAnsi="Arial" w:eastAsia="Arial" w:cs="Arial"/>
          <w:sz w:val="2"/>
          <w:szCs w:val="2"/>
        </w:rPr>
        <w:br w:type="column"/>
      </w:r>
    </w:p>
    <w:p>
      <w:pPr>
        <w:pStyle w:val="BodyText"/>
        <w:spacing w:before="46" w:line="369" w:lineRule="auto"/>
        <w:rPr/>
      </w:pPr>
      <w:r>
        <w:rPr>
          <w:spacing w:val="-6"/>
        </w:rPr>
        <w:t>（</w:t>
      </w:r>
      <w:r>
        <w:rPr>
          <w:rFonts w:ascii="Times New Roman" w:hAnsi="Times New Roman" w:eastAsia="Times New Roman" w:cs="Times New Roman"/>
          <w:spacing w:val="-6"/>
        </w:rPr>
        <w:t>HJ633-2012</w:t>
      </w:r>
      <w:r>
        <w:rPr>
          <w:spacing w:val="-32"/>
        </w:rPr>
        <w:t>），</w:t>
      </w:r>
      <w:r>
        <w:rPr>
          <w:spacing w:val="-6"/>
        </w:rPr>
        <w:t>重污染天气指环境空气质量指数</w:t>
      </w:r>
      <w:r>
        <w:rPr>
          <w:spacing w:val="-9"/>
        </w:rPr>
        <w:t>（</w:t>
      </w:r>
      <w:r>
        <w:rPr>
          <w:rFonts w:ascii="Times New Roman" w:hAnsi="Times New Roman" w:eastAsia="Times New Roman" w:cs="Times New Roman"/>
          <w:spacing w:val="-9"/>
        </w:rPr>
        <w:t>AQI</w:t>
      </w:r>
      <w:r>
        <w:rPr>
          <w:spacing w:val="-9"/>
        </w:rPr>
        <w:t>）大于或等于</w:t>
      </w:r>
      <w:r>
        <w:rPr>
          <w:rFonts w:ascii="Times New Roman" w:hAnsi="Times New Roman" w:eastAsia="Times New Roman" w:cs="Times New Roman"/>
          <w:spacing w:val="-9"/>
        </w:rPr>
        <w:t>201</w:t>
      </w:r>
      <w:r>
        <w:rPr>
          <w:spacing w:val="-9"/>
        </w:rPr>
        <w:t>以上污染程度的大气污染。</w:t>
      </w:r>
    </w:p>
    <w:p>
      <w:pPr>
        <w:pStyle w:val="BodyText"/>
        <w:ind w:left="25" w:right="77" w:firstLine="411"/>
        <w:spacing w:before="21" w:line="302" w:lineRule="auto"/>
        <w:rPr/>
      </w:pPr>
      <w:r>
        <w:rPr>
          <w:rFonts w:ascii="Times New Roman" w:hAnsi="Times New Roman" w:eastAsia="Times New Roman" w:cs="Times New Roman"/>
          <w:spacing w:val="7"/>
        </w:rPr>
        <w:t>8.2  </w:t>
      </w:r>
      <w:r>
        <w:rPr>
          <w:rFonts w:ascii="KaiTi" w:hAnsi="KaiTi" w:eastAsia="KaiTi" w:cs="KaiTi"/>
          <w:spacing w:val="7"/>
        </w:rPr>
        <w:t>以上、以下的含义。</w:t>
      </w:r>
      <w:r>
        <w:rPr>
          <w:spacing w:val="7"/>
        </w:rPr>
        <w:t>本预案有关数量</w:t>
      </w:r>
      <w:r>
        <w:rPr>
          <w:spacing w:val="5"/>
        </w:rPr>
        <w:t>的表述中，</w:t>
      </w:r>
      <w:r>
        <w:rPr>
          <w:rFonts w:ascii="Times New Roman" w:hAnsi="Times New Roman" w:eastAsia="Times New Roman" w:cs="Times New Roman"/>
          <w:spacing w:val="5"/>
        </w:rPr>
        <w:t>“</w:t>
      </w:r>
      <w:r>
        <w:rPr>
          <w:rFonts w:ascii="Times New Roman" w:hAnsi="Times New Roman" w:eastAsia="Times New Roman" w:cs="Times New Roman"/>
          <w:spacing w:val="-19"/>
        </w:rPr>
        <w:t xml:space="preserve"> </w:t>
      </w:r>
      <w:r>
        <w:rPr>
          <w:spacing w:val="5"/>
        </w:rPr>
        <w:t>以上</w:t>
      </w:r>
      <w:r>
        <w:rPr>
          <w:rFonts w:ascii="Times New Roman" w:hAnsi="Times New Roman" w:eastAsia="Times New Roman" w:cs="Times New Roman"/>
          <w:spacing w:val="5"/>
        </w:rPr>
        <w:t>”</w:t>
      </w:r>
      <w:r>
        <w:rPr>
          <w:spacing w:val="5"/>
        </w:rPr>
        <w:t>含本数，</w:t>
      </w:r>
      <w:r>
        <w:rPr>
          <w:rFonts w:ascii="Times New Roman" w:hAnsi="Times New Roman" w:eastAsia="Times New Roman" w:cs="Times New Roman"/>
          <w:spacing w:val="5"/>
        </w:rPr>
        <w:t>“</w:t>
      </w:r>
      <w:r>
        <w:rPr>
          <w:rFonts w:ascii="Times New Roman" w:hAnsi="Times New Roman" w:eastAsia="Times New Roman" w:cs="Times New Roman"/>
          <w:spacing w:val="-30"/>
        </w:rPr>
        <w:t xml:space="preserve"> </w:t>
      </w:r>
      <w:r>
        <w:rPr>
          <w:spacing w:val="5"/>
        </w:rPr>
        <w:t>以下</w:t>
      </w:r>
      <w:r>
        <w:rPr>
          <w:rFonts w:ascii="Times New Roman" w:hAnsi="Times New Roman" w:eastAsia="Times New Roman" w:cs="Times New Roman"/>
          <w:spacing w:val="5"/>
        </w:rPr>
        <w:t>”</w:t>
      </w:r>
      <w:r>
        <w:rPr>
          <w:spacing w:val="5"/>
        </w:rPr>
        <w:t>不含本数。</w:t>
      </w:r>
    </w:p>
    <w:p>
      <w:pPr>
        <w:pStyle w:val="BodyText"/>
        <w:ind w:right="68" w:firstLine="437"/>
        <w:spacing w:before="165" w:line="363" w:lineRule="auto"/>
        <w:rPr/>
      </w:pPr>
      <w:r>
        <w:rPr>
          <w:rFonts w:ascii="Times New Roman" w:hAnsi="Times New Roman" w:eastAsia="Times New Roman" w:cs="Times New Roman"/>
          <w:spacing w:val="8"/>
        </w:rPr>
        <w:t>8.3  </w:t>
      </w:r>
      <w:r>
        <w:rPr>
          <w:rFonts w:ascii="KaiTi" w:hAnsi="KaiTi" w:eastAsia="KaiTi" w:cs="KaiTi"/>
          <w:spacing w:val="8"/>
        </w:rPr>
        <w:t>制定应急保障实施方案。</w:t>
      </w:r>
      <w:r>
        <w:rPr>
          <w:spacing w:val="8"/>
        </w:rPr>
        <w:t>应急指挥部</w:t>
      </w:r>
      <w:r>
        <w:rPr>
          <w:spacing w:val="18"/>
        </w:rPr>
        <w:t>各成员单位要根据本预案制定本部门的重污</w:t>
      </w:r>
      <w:r>
        <w:rPr>
          <w:spacing w:val="7"/>
        </w:rPr>
        <w:t>染天气应急保障预案，对涉及本部门监管的单</w:t>
      </w:r>
      <w:r>
        <w:rPr>
          <w:spacing w:val="8"/>
        </w:rPr>
        <w:t>位要及时更新减排措施项目清单并落实措施；</w:t>
      </w:r>
      <w:r>
        <w:rPr>
          <w:spacing w:val="7"/>
        </w:rPr>
        <w:t>各县（区）政府要根据本预案制定本行政区域</w:t>
      </w:r>
      <w:r>
        <w:rPr>
          <w:spacing w:val="7"/>
        </w:rPr>
        <w:t>的重污染天气应急保障实施方案，方案中要包</w:t>
      </w:r>
      <w:r>
        <w:rPr>
          <w:spacing w:val="7"/>
        </w:rPr>
        <w:t>括本行政区域错峰生产、一般工业企业分批停</w:t>
      </w:r>
      <w:r>
        <w:rPr>
          <w:spacing w:val="18"/>
        </w:rPr>
        <w:t>产和扬尘源停工的减排措施项目清单。各县</w:t>
      </w:r>
      <w:r>
        <w:rPr>
          <w:spacing w:val="2"/>
        </w:rPr>
        <w:t>（</w:t>
      </w:r>
      <w:r>
        <w:rPr>
          <w:spacing w:val="-47"/>
        </w:rPr>
        <w:t xml:space="preserve"> </w:t>
      </w:r>
      <w:r>
        <w:rPr>
          <w:spacing w:val="2"/>
        </w:rPr>
        <w:t>区）政府、各责任单位每年</w:t>
      </w:r>
      <w:r>
        <w:rPr>
          <w:spacing w:val="-41"/>
        </w:rPr>
        <w:t xml:space="preserve"> </w:t>
      </w:r>
      <w:r>
        <w:rPr>
          <w:rFonts w:ascii="Times New Roman" w:hAnsi="Times New Roman" w:eastAsia="Times New Roman" w:cs="Times New Roman"/>
          <w:spacing w:val="2"/>
        </w:rPr>
        <w:t>4 </w:t>
      </w:r>
      <w:r>
        <w:rPr>
          <w:spacing w:val="2"/>
        </w:rPr>
        <w:t>月底、</w:t>
      </w:r>
      <w:r>
        <w:rPr>
          <w:rFonts w:ascii="Times New Roman" w:hAnsi="Times New Roman" w:eastAsia="Times New Roman" w:cs="Times New Roman"/>
          <w:spacing w:val="2"/>
        </w:rPr>
        <w:t>10 </w:t>
      </w:r>
      <w:r>
        <w:rPr>
          <w:spacing w:val="2"/>
        </w:rPr>
        <w:t>月底</w:t>
      </w:r>
      <w:r>
        <w:rPr>
          <w:spacing w:val="9"/>
        </w:rPr>
        <w:t>将更新的清单报应急指挥部办公室备案。</w:t>
      </w:r>
    </w:p>
    <w:p>
      <w:pPr>
        <w:ind w:left="433"/>
        <w:spacing w:before="159" w:line="21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9    附件</w:t>
      </w:r>
    </w:p>
    <w:p>
      <w:pPr>
        <w:spacing w:line="218" w:lineRule="auto"/>
        <w:sectPr>
          <w:type w:val="continuous"/>
          <w:pgSz w:w="11906" w:h="16839"/>
          <w:pgMar w:top="1766" w:right="1513" w:bottom="1574" w:left="1579" w:header="1428" w:footer="1172" w:gutter="0"/>
          <w:cols w:equalWidth="0" w:num="2">
            <w:col w:w="4482" w:space="100"/>
            <w:col w:w="4232" w:space="0"/>
          </w:cols>
        </w:sectPr>
        <w:rPr>
          <w:rFonts w:ascii="Microsoft YaHei" w:hAnsi="Microsoft YaHei" w:eastAsia="Microsoft YaHei" w:cs="Microsoft YaHei"/>
          <w:sz w:val="20"/>
          <w:szCs w:val="20"/>
        </w:rPr>
      </w:pPr>
    </w:p>
    <w:p>
      <w:pPr>
        <w:spacing w:line="256" w:lineRule="auto"/>
        <w:rPr>
          <w:rFonts w:ascii="Arial"/>
          <w:sz w:val="21"/>
        </w:rPr>
      </w:pPr>
      <w:r>
        <w:drawing>
          <wp:anchor distT="0" distB="0" distL="0" distR="0" simplePos="0" relativeHeight="254060544" behindDoc="0" locked="0" layoutInCell="1" allowOverlap="1">
            <wp:simplePos x="0" y="0"/>
            <wp:positionH relativeFrom="column">
              <wp:posOffset>5393</wp:posOffset>
            </wp:positionH>
            <wp:positionV relativeFrom="paragraph">
              <wp:posOffset>-4112734</wp:posOffset>
            </wp:positionV>
            <wp:extent cx="5579745" cy="7620"/>
            <wp:effectExtent l="0" t="0" r="0" b="0"/>
            <wp:wrapNone/>
            <wp:docPr id="2160" name="IM 2160"/>
            <wp:cNvGraphicFramePr/>
            <a:graphic>
              <a:graphicData uri="http://schemas.openxmlformats.org/drawingml/2006/picture">
                <pic:pic>
                  <pic:nvPicPr>
                    <pic:cNvPr id="2160" name="IM 2160"/>
                    <pic:cNvPicPr/>
                  </pic:nvPicPr>
                  <pic:blipFill>
                    <a:blip r:embed="rId1082"/>
                    <a:stretch>
                      <a:fillRect/>
                    </a:stretch>
                  </pic:blipFill>
                  <pic:spPr>
                    <a:xfrm rot="0">
                      <a:off x="0" y="0"/>
                      <a:ext cx="5579745" cy="7620"/>
                    </a:xfrm>
                    <a:prstGeom prst="rect">
                      <a:avLst/>
                    </a:prstGeom>
                  </pic:spPr>
                </pic:pic>
              </a:graphicData>
            </a:graphic>
          </wp:anchor>
        </w:drawing>
      </w:r>
      <w:r/>
    </w:p>
    <w:p>
      <w:pPr>
        <w:spacing w:line="256" w:lineRule="auto"/>
        <w:rPr>
          <w:rFonts w:ascii="Arial"/>
          <w:sz w:val="21"/>
        </w:rPr>
      </w:pPr>
      <w:r/>
    </w:p>
    <w:p>
      <w:pPr>
        <w:ind w:left="2020"/>
        <w:spacing w:before="120" w:line="210" w:lineRule="auto"/>
        <w:rPr>
          <w:rFonts w:ascii="Microsoft YaHei" w:hAnsi="Microsoft YaHei" w:eastAsia="Microsoft YaHei" w:cs="Microsoft YaHei"/>
          <w:sz w:val="28"/>
          <w:szCs w:val="28"/>
        </w:rPr>
      </w:pPr>
      <w:r>
        <w:rPr>
          <w:rFonts w:ascii="Microsoft YaHei" w:hAnsi="Microsoft YaHei" w:eastAsia="Microsoft YaHei" w:cs="Microsoft YaHei"/>
          <w:sz w:val="28"/>
          <w:szCs w:val="28"/>
          <w:spacing w:val="-2"/>
        </w:rPr>
        <w:t>9.1  固原市重污染天气应急管理组织机构图</w:t>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pStyle w:val="BodyText"/>
        <w:ind w:left="3446"/>
        <w:spacing w:before="59" w:line="213" w:lineRule="auto"/>
        <w:rPr>
          <w:sz w:val="18"/>
          <w:szCs w:val="18"/>
        </w:rPr>
      </w:pPr>
      <w:r>
        <w:drawing>
          <wp:anchor distT="0" distB="0" distL="0" distR="0" simplePos="0" relativeHeight="254054400" behindDoc="1" locked="0" layoutInCell="1" allowOverlap="1">
            <wp:simplePos x="0" y="0"/>
            <wp:positionH relativeFrom="column">
              <wp:posOffset>485453</wp:posOffset>
            </wp:positionH>
            <wp:positionV relativeFrom="paragraph">
              <wp:posOffset>-61772</wp:posOffset>
            </wp:positionV>
            <wp:extent cx="4617719" cy="2863850"/>
            <wp:effectExtent l="0" t="0" r="0" b="0"/>
            <wp:wrapNone/>
            <wp:docPr id="2162" name="IM 2162"/>
            <wp:cNvGraphicFramePr/>
            <a:graphic>
              <a:graphicData uri="http://schemas.openxmlformats.org/drawingml/2006/picture">
                <pic:pic>
                  <pic:nvPicPr>
                    <pic:cNvPr id="2162" name="IM 2162"/>
                    <pic:cNvPicPr/>
                  </pic:nvPicPr>
                  <pic:blipFill>
                    <a:blip r:embed="rId1083"/>
                    <a:stretch>
                      <a:fillRect/>
                    </a:stretch>
                  </pic:blipFill>
                  <pic:spPr>
                    <a:xfrm rot="0">
                      <a:off x="0" y="0"/>
                      <a:ext cx="4617719" cy="2863850"/>
                    </a:xfrm>
                    <a:prstGeom prst="rect">
                      <a:avLst/>
                    </a:prstGeom>
                  </pic:spPr>
                </pic:pic>
              </a:graphicData>
            </a:graphic>
          </wp:anchor>
        </w:drawing>
      </w:r>
      <w:r>
        <w:rPr>
          <w:sz w:val="18"/>
          <w:szCs w:val="18"/>
          <w:spacing w:val="-1"/>
        </w:rPr>
        <w:t>市重污染天气应急指挥部</w:t>
      </w:r>
    </w:p>
    <w:p>
      <w:pPr>
        <w:pStyle w:val="BodyText"/>
        <w:ind w:left="2546"/>
        <w:spacing w:before="69" w:line="240" w:lineRule="exact"/>
        <w:rPr>
          <w:sz w:val="18"/>
          <w:szCs w:val="18"/>
        </w:rPr>
      </w:pPr>
      <w:r>
        <w:rPr>
          <w:sz w:val="18"/>
          <w:szCs w:val="18"/>
          <w:spacing w:val="-1"/>
          <w:position w:val="1"/>
        </w:rPr>
        <w:t>指 挥 长：市人民政府分管环境保护工作副市长</w:t>
      </w:r>
    </w:p>
    <w:p>
      <w:pPr>
        <w:pStyle w:val="BodyText"/>
        <w:ind w:left="1558"/>
        <w:spacing w:before="38" w:line="240" w:lineRule="exact"/>
        <w:rPr>
          <w:sz w:val="18"/>
          <w:szCs w:val="18"/>
        </w:rPr>
      </w:pPr>
      <w:r>
        <w:rPr>
          <w:sz w:val="18"/>
          <w:szCs w:val="18"/>
          <w:position w:val="1"/>
        </w:rPr>
        <w:t>副指挥长：市政府分管副秘书长或市政府办分管副</w:t>
      </w:r>
      <w:r>
        <w:rPr>
          <w:sz w:val="18"/>
          <w:szCs w:val="18"/>
          <w:spacing w:val="-1"/>
          <w:position w:val="1"/>
        </w:rPr>
        <w:t>主任、市生态环境局长</w:t>
      </w:r>
    </w:p>
    <w:p>
      <w:pPr>
        <w:spacing w:line="312" w:lineRule="auto"/>
        <w:rPr>
          <w:rFonts w:ascii="Arial"/>
          <w:sz w:val="21"/>
        </w:rPr>
      </w:pPr>
      <w:r/>
    </w:p>
    <w:p>
      <w:pPr>
        <w:spacing w:line="313" w:lineRule="auto"/>
        <w:rPr>
          <w:rFonts w:ascii="Arial"/>
          <w:sz w:val="21"/>
        </w:rPr>
      </w:pPr>
      <w:r/>
    </w:p>
    <w:p>
      <w:pPr>
        <w:pStyle w:val="BodyText"/>
        <w:ind w:left="3146"/>
        <w:spacing w:before="60" w:line="213" w:lineRule="auto"/>
        <w:rPr>
          <w:sz w:val="18"/>
          <w:szCs w:val="18"/>
        </w:rPr>
      </w:pPr>
      <w:r>
        <w:rPr>
          <w:sz w:val="18"/>
          <w:szCs w:val="18"/>
          <w:spacing w:val="-1"/>
        </w:rPr>
        <w:t>市重污染天气应急指挥部办公室</w:t>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drawing>
          <wp:anchor distT="0" distB="0" distL="0" distR="0" simplePos="0" relativeHeight="254061568" behindDoc="0" locked="0" layoutInCell="1" allowOverlap="1">
            <wp:simplePos x="0" y="0"/>
            <wp:positionH relativeFrom="column">
              <wp:posOffset>625153</wp:posOffset>
            </wp:positionH>
            <wp:positionV relativeFrom="paragraph">
              <wp:posOffset>7064</wp:posOffset>
            </wp:positionV>
            <wp:extent cx="4319904" cy="7619"/>
            <wp:effectExtent l="0" t="0" r="0" b="0"/>
            <wp:wrapNone/>
            <wp:docPr id="2164" name="IM 2164"/>
            <wp:cNvGraphicFramePr/>
            <a:graphic>
              <a:graphicData uri="http://schemas.openxmlformats.org/drawingml/2006/picture">
                <pic:pic>
                  <pic:nvPicPr>
                    <pic:cNvPr id="2164" name="IM 2164"/>
                    <pic:cNvPicPr/>
                  </pic:nvPicPr>
                  <pic:blipFill>
                    <a:blip r:embed="rId1084"/>
                    <a:stretch>
                      <a:fillRect/>
                    </a:stretch>
                  </pic:blipFill>
                  <pic:spPr>
                    <a:xfrm rot="0">
                      <a:off x="0" y="0"/>
                      <a:ext cx="4319904" cy="7619"/>
                    </a:xfrm>
                    <a:prstGeom prst="rect">
                      <a:avLst/>
                    </a:prstGeom>
                  </pic:spPr>
                </pic:pic>
              </a:graphicData>
            </a:graphic>
          </wp:anchor>
        </w:drawing>
      </w:r>
      <w:r/>
    </w:p>
    <w:p>
      <w:pPr>
        <w:spacing w:line="250" w:lineRule="auto"/>
        <w:rPr>
          <w:rFonts w:ascii="Arial"/>
          <w:sz w:val="21"/>
        </w:rPr>
      </w:pPr>
      <w:r/>
    </w:p>
    <w:p>
      <w:pPr>
        <w:spacing w:line="250" w:lineRule="auto"/>
        <w:rPr>
          <w:rFonts w:ascii="Arial"/>
          <w:sz w:val="21"/>
        </w:rPr>
      </w:pPr>
      <w:r/>
    </w:p>
    <w:p>
      <w:pPr>
        <w:pStyle w:val="BodyText"/>
        <w:ind w:left="6336"/>
        <w:spacing w:before="58" w:line="215" w:lineRule="auto"/>
        <w:rPr>
          <w:sz w:val="18"/>
          <w:szCs w:val="18"/>
        </w:rPr>
      </w:pPr>
      <w:r>
        <w:pict>
          <v:shape id="_x0000_s192" style="position:absolute;margin-left:41.3327pt;margin-top:1.48908pt;mso-position-vertical-relative:text;mso-position-horizontal-relative:text;width:19.9pt;height:40.65pt;z-index:254056448;" filled="false" stroked="false" type="#_x0000_t202">
            <v:fill on="false"/>
            <v:stroke on="false"/>
            <v:path/>
            <v:imagedata o:title=""/>
            <o:lock v:ext="edit" aspectratio="false"/>
            <v:textbox inset="0mm,0mm,0mm,0mm">
              <w:txbxContent>
                <w:p>
                  <w:pPr>
                    <w:pStyle w:val="BodyText"/>
                    <w:ind w:left="20"/>
                    <w:spacing w:before="19" w:line="214" w:lineRule="auto"/>
                    <w:rPr>
                      <w:sz w:val="18"/>
                      <w:szCs w:val="18"/>
                    </w:rPr>
                  </w:pPr>
                  <w:r>
                    <w:rPr>
                      <w:sz w:val="18"/>
                      <w:szCs w:val="18"/>
                      <w:spacing w:val="-2"/>
                    </w:rPr>
                    <w:t>综合</w:t>
                  </w:r>
                </w:p>
                <w:p>
                  <w:pPr>
                    <w:pStyle w:val="BodyText"/>
                    <w:ind w:left="21"/>
                    <w:spacing w:before="74" w:line="209" w:lineRule="auto"/>
                    <w:rPr>
                      <w:sz w:val="18"/>
                      <w:szCs w:val="18"/>
                    </w:rPr>
                  </w:pPr>
                  <w:r>
                    <w:rPr>
                      <w:sz w:val="18"/>
                      <w:szCs w:val="18"/>
                      <w:spacing w:val="-2"/>
                    </w:rPr>
                    <w:t>协调</w:t>
                  </w:r>
                </w:p>
                <w:p>
                  <w:pPr>
                    <w:pStyle w:val="BodyText"/>
                    <w:ind w:left="110"/>
                    <w:spacing w:before="82" w:line="208" w:lineRule="auto"/>
                    <w:rPr>
                      <w:sz w:val="18"/>
                      <w:szCs w:val="18"/>
                    </w:rPr>
                  </w:pPr>
                  <w:r>
                    <w:rPr>
                      <w:sz w:val="18"/>
                      <w:szCs w:val="18"/>
                    </w:rPr>
                    <w:t>组</w:t>
                  </w:r>
                </w:p>
              </w:txbxContent>
            </v:textbox>
          </v:shape>
        </w:pict>
      </w:r>
      <w:r>
        <w:pict>
          <v:shape id="_x0000_s194" style="position:absolute;margin-left:252.245pt;margin-top:3.73115pt;mso-position-vertical-relative:text;mso-position-horizontal-relative:text;width:19.85pt;height:40.45pt;z-index:254059520;" filled="false" stroked="false" type="#_x0000_t202">
            <v:fill on="false"/>
            <v:stroke on="false"/>
            <v:path/>
            <v:imagedata o:title=""/>
            <o:lock v:ext="edit" aspectratio="false"/>
            <v:textbox inset="0mm,0mm,0mm,0mm">
              <w:txbxContent>
                <w:p>
                  <w:pPr>
                    <w:pStyle w:val="BodyText"/>
                    <w:ind w:left="31"/>
                    <w:spacing w:before="19" w:line="211" w:lineRule="auto"/>
                    <w:rPr>
                      <w:sz w:val="18"/>
                      <w:szCs w:val="18"/>
                    </w:rPr>
                  </w:pPr>
                  <w:r>
                    <w:rPr>
                      <w:sz w:val="18"/>
                      <w:szCs w:val="18"/>
                      <w:spacing w:val="-8"/>
                    </w:rPr>
                    <w:t>医疗</w:t>
                  </w:r>
                </w:p>
                <w:p>
                  <w:pPr>
                    <w:pStyle w:val="BodyText"/>
                    <w:ind w:left="20"/>
                    <w:spacing w:before="78" w:line="208" w:lineRule="auto"/>
                    <w:rPr>
                      <w:sz w:val="18"/>
                      <w:szCs w:val="18"/>
                    </w:rPr>
                  </w:pPr>
                  <w:r>
                    <w:rPr>
                      <w:sz w:val="18"/>
                      <w:szCs w:val="18"/>
                      <w:spacing w:val="-2"/>
                    </w:rPr>
                    <w:t>卫生</w:t>
                  </w:r>
                </w:p>
                <w:p>
                  <w:pPr>
                    <w:pStyle w:val="BodyText"/>
                    <w:ind w:left="111"/>
                    <w:spacing w:before="78" w:line="208" w:lineRule="auto"/>
                    <w:rPr>
                      <w:sz w:val="18"/>
                      <w:szCs w:val="18"/>
                    </w:rPr>
                  </w:pPr>
                  <w:r>
                    <w:rPr>
                      <w:sz w:val="18"/>
                      <w:szCs w:val="18"/>
                    </w:rPr>
                    <w:t>组</w:t>
                  </w:r>
                </w:p>
              </w:txbxContent>
            </v:textbox>
          </v:shape>
        </w:pict>
      </w:r>
      <w:r>
        <w:pict>
          <v:shape id="_x0000_s196" style="position:absolute;margin-left:164.009pt;margin-top:4.09114pt;mso-position-vertical-relative:text;mso-position-horizontal-relative:text;width:19.9pt;height:40.45pt;z-index:254058496;" filled="false" stroked="false" type="#_x0000_t202">
            <v:fill on="false"/>
            <v:stroke on="false"/>
            <v:path/>
            <v:imagedata o:title=""/>
            <o:lock v:ext="edit" aspectratio="false"/>
            <v:textbox inset="0mm,0mm,0mm,0mm">
              <w:txbxContent>
                <w:p>
                  <w:pPr>
                    <w:pStyle w:val="BodyText"/>
                    <w:ind w:left="20"/>
                    <w:spacing w:before="19" w:line="208" w:lineRule="auto"/>
                    <w:rPr>
                      <w:sz w:val="18"/>
                      <w:szCs w:val="18"/>
                    </w:rPr>
                  </w:pPr>
                  <w:r>
                    <w:rPr>
                      <w:sz w:val="18"/>
                      <w:szCs w:val="18"/>
                      <w:spacing w:val="-2"/>
                    </w:rPr>
                    <w:t>应对</w:t>
                  </w:r>
                </w:p>
                <w:p>
                  <w:pPr>
                    <w:pStyle w:val="BodyText"/>
                    <w:ind w:left="20"/>
                    <w:spacing w:before="80" w:line="208" w:lineRule="auto"/>
                    <w:rPr>
                      <w:sz w:val="18"/>
                      <w:szCs w:val="18"/>
                    </w:rPr>
                  </w:pPr>
                  <w:r>
                    <w:rPr>
                      <w:sz w:val="18"/>
                      <w:szCs w:val="18"/>
                      <w:spacing w:val="-2"/>
                    </w:rPr>
                    <w:t>处置</w:t>
                  </w:r>
                </w:p>
                <w:p>
                  <w:pPr>
                    <w:pStyle w:val="BodyText"/>
                    <w:ind w:left="111"/>
                    <w:spacing w:before="79" w:line="208" w:lineRule="auto"/>
                    <w:rPr>
                      <w:sz w:val="18"/>
                      <w:szCs w:val="18"/>
                    </w:rPr>
                  </w:pPr>
                  <w:r>
                    <w:rPr>
                      <w:sz w:val="18"/>
                      <w:szCs w:val="18"/>
                    </w:rPr>
                    <w:t>组</w:t>
                  </w:r>
                </w:p>
              </w:txbxContent>
            </v:textbox>
          </v:shape>
        </w:pict>
      </w:r>
      <w:r>
        <w:pict>
          <v:shape id="_x0000_s198" style="position:absolute;margin-left:97.9517pt;margin-top:4.16314pt;mso-position-vertical-relative:text;mso-position-horizontal-relative:text;width:19.8pt;height:54.4pt;z-index:254055424;" filled="false" stroked="false" type="#_x0000_t202">
            <v:fill on="false"/>
            <v:stroke on="false"/>
            <v:path/>
            <v:imagedata o:title=""/>
            <o:lock v:ext="edit" aspectratio="false"/>
            <v:textbox inset="0mm,0mm,0mm,0mm">
              <w:txbxContent>
                <w:p>
                  <w:pPr>
                    <w:pStyle w:val="BodyText"/>
                    <w:ind w:left="22"/>
                    <w:spacing w:before="20" w:line="208" w:lineRule="auto"/>
                    <w:rPr>
                      <w:sz w:val="18"/>
                      <w:szCs w:val="18"/>
                    </w:rPr>
                  </w:pPr>
                  <w:r>
                    <w:rPr>
                      <w:sz w:val="18"/>
                      <w:szCs w:val="18"/>
                      <w:spacing w:val="-4"/>
                    </w:rPr>
                    <w:t>预报</w:t>
                  </w:r>
                </w:p>
                <w:p>
                  <w:pPr>
                    <w:pStyle w:val="BodyText"/>
                    <w:ind w:left="22"/>
                    <w:spacing w:before="75" w:line="213" w:lineRule="auto"/>
                    <w:rPr>
                      <w:sz w:val="18"/>
                      <w:szCs w:val="18"/>
                    </w:rPr>
                  </w:pPr>
                  <w:r>
                    <w:rPr>
                      <w:sz w:val="18"/>
                      <w:szCs w:val="18"/>
                      <w:spacing w:val="-4"/>
                    </w:rPr>
                    <w:t>预警</w:t>
                  </w:r>
                </w:p>
                <w:p>
                  <w:pPr>
                    <w:pStyle w:val="BodyText"/>
                    <w:ind w:left="20"/>
                    <w:spacing w:before="70" w:line="212" w:lineRule="auto"/>
                    <w:rPr>
                      <w:sz w:val="18"/>
                      <w:szCs w:val="18"/>
                    </w:rPr>
                  </w:pPr>
                  <w:r>
                    <w:rPr>
                      <w:sz w:val="18"/>
                      <w:szCs w:val="18"/>
                      <w:spacing w:val="-3"/>
                    </w:rPr>
                    <w:t>工作</w:t>
                  </w:r>
                </w:p>
                <w:p>
                  <w:pPr>
                    <w:pStyle w:val="BodyText"/>
                    <w:ind w:left="108"/>
                    <w:spacing w:before="80" w:line="208" w:lineRule="auto"/>
                    <w:rPr>
                      <w:sz w:val="18"/>
                      <w:szCs w:val="18"/>
                    </w:rPr>
                  </w:pPr>
                  <w:r>
                    <w:rPr>
                      <w:sz w:val="18"/>
                      <w:szCs w:val="18"/>
                    </w:rPr>
                    <w:t>组</w:t>
                  </w:r>
                </w:p>
              </w:txbxContent>
            </v:textbox>
          </v:shape>
        </w:pict>
      </w:r>
      <w:r>
        <w:pict>
          <v:shape id="_x0000_s200" style="position:absolute;margin-left:378.892pt;margin-top:4.25013pt;mso-position-vertical-relative:text;mso-position-horizontal-relative:text;width:19.9pt;height:40.5pt;z-index:254057472;" filled="false" stroked="false" type="#_x0000_t202">
            <v:fill on="false"/>
            <v:stroke on="false"/>
            <v:path/>
            <v:imagedata o:title=""/>
            <o:lock v:ext="edit" aspectratio="false"/>
            <v:textbox inset="0mm,0mm,0mm,0mm">
              <w:txbxContent>
                <w:p>
                  <w:pPr>
                    <w:pStyle w:val="BodyText"/>
                    <w:ind w:left="24"/>
                    <w:spacing w:before="19" w:line="214" w:lineRule="auto"/>
                    <w:rPr>
                      <w:sz w:val="18"/>
                      <w:szCs w:val="18"/>
                    </w:rPr>
                  </w:pPr>
                  <w:r>
                    <w:rPr>
                      <w:sz w:val="18"/>
                      <w:szCs w:val="18"/>
                      <w:spacing w:val="-4"/>
                    </w:rPr>
                    <w:t>物资</w:t>
                  </w:r>
                </w:p>
                <w:p>
                  <w:pPr>
                    <w:pStyle w:val="BodyText"/>
                    <w:ind w:left="20"/>
                    <w:spacing w:before="71" w:line="214" w:lineRule="auto"/>
                    <w:rPr>
                      <w:sz w:val="18"/>
                      <w:szCs w:val="18"/>
                    </w:rPr>
                  </w:pPr>
                  <w:r>
                    <w:rPr>
                      <w:sz w:val="18"/>
                      <w:szCs w:val="18"/>
                      <w:spacing w:val="-2"/>
                    </w:rPr>
                    <w:t>保障</w:t>
                  </w:r>
                </w:p>
                <w:p>
                  <w:pPr>
                    <w:pStyle w:val="BodyText"/>
                    <w:ind w:left="112"/>
                    <w:spacing w:before="78" w:line="208" w:lineRule="auto"/>
                    <w:rPr>
                      <w:sz w:val="18"/>
                      <w:szCs w:val="18"/>
                    </w:rPr>
                  </w:pPr>
                  <w:r>
                    <w:rPr>
                      <w:sz w:val="18"/>
                      <w:szCs w:val="18"/>
                    </w:rPr>
                    <w:t>组</w:t>
                  </w:r>
                </w:p>
              </w:txbxContent>
            </v:textbox>
          </v:shape>
        </w:pict>
      </w:r>
      <w:r>
        <w:rPr>
          <w:sz w:val="18"/>
          <w:szCs w:val="18"/>
          <w:spacing w:val="-2"/>
        </w:rPr>
        <w:t>信息</w:t>
      </w:r>
    </w:p>
    <w:p>
      <w:pPr>
        <w:pStyle w:val="BodyText"/>
        <w:ind w:left="6338"/>
        <w:spacing w:before="74" w:line="210" w:lineRule="auto"/>
        <w:rPr>
          <w:sz w:val="18"/>
          <w:szCs w:val="18"/>
        </w:rPr>
      </w:pPr>
      <w:r>
        <w:rPr>
          <w:sz w:val="18"/>
          <w:szCs w:val="18"/>
          <w:spacing w:val="-3"/>
        </w:rPr>
        <w:t>发布</w:t>
      </w:r>
    </w:p>
    <w:p>
      <w:pPr>
        <w:pStyle w:val="BodyText"/>
        <w:ind w:left="6335"/>
        <w:spacing w:before="81" w:line="203" w:lineRule="auto"/>
        <w:rPr>
          <w:sz w:val="18"/>
          <w:szCs w:val="18"/>
        </w:rPr>
      </w:pPr>
      <w:r>
        <w:rPr>
          <w:sz w:val="18"/>
          <w:szCs w:val="18"/>
          <w:spacing w:val="-2"/>
        </w:rPr>
        <w:t>及宣</w:t>
      </w:r>
    </w:p>
    <w:p>
      <w:pPr>
        <w:pStyle w:val="BodyText"/>
        <w:ind w:left="6336"/>
        <w:spacing w:before="73" w:line="180" w:lineRule="auto"/>
        <w:rPr>
          <w:sz w:val="18"/>
          <w:szCs w:val="18"/>
        </w:rPr>
      </w:pPr>
      <w:r>
        <w:rPr>
          <w:sz w:val="18"/>
          <w:szCs w:val="18"/>
          <w:spacing w:val="-2"/>
        </w:rPr>
        <w:t>传组</w:t>
      </w:r>
    </w:p>
    <w:p>
      <w:pPr>
        <w:spacing w:line="180" w:lineRule="auto"/>
        <w:sectPr>
          <w:type w:val="continuous"/>
          <w:pgSz w:w="11906" w:h="16839"/>
          <w:pgMar w:top="1766" w:right="1513" w:bottom="1574" w:left="1579" w:header="1428" w:footer="1172" w:gutter="0"/>
          <w:cols w:equalWidth="0" w:num="1">
            <w:col w:w="8814" w:space="0"/>
          </w:cols>
        </w:sectPr>
        <w:rPr>
          <w:sz w:val="18"/>
          <w:szCs w:val="18"/>
        </w:rPr>
      </w:pPr>
    </w:p>
    <w:p>
      <w:pPr>
        <w:spacing w:line="296" w:lineRule="auto"/>
        <w:rPr>
          <w:rFonts w:ascii="Arial"/>
          <w:sz w:val="21"/>
        </w:rPr>
      </w:pPr>
      <w:r>
        <w:drawing>
          <wp:anchor distT="0" distB="0" distL="0" distR="0" simplePos="0" relativeHeight="254073856" behindDoc="0" locked="0" layoutInCell="0" allowOverlap="1">
            <wp:simplePos x="0" y="0"/>
            <wp:positionH relativeFrom="page">
              <wp:posOffset>1008380</wp:posOffset>
            </wp:positionH>
            <wp:positionV relativeFrom="page">
              <wp:posOffset>1124584</wp:posOffset>
            </wp:positionV>
            <wp:extent cx="8712200" cy="7620"/>
            <wp:effectExtent l="0" t="0" r="0" b="0"/>
            <wp:wrapNone/>
            <wp:docPr id="2168" name="IM 2168"/>
            <wp:cNvGraphicFramePr/>
            <a:graphic>
              <a:graphicData uri="http://schemas.openxmlformats.org/drawingml/2006/picture">
                <pic:pic>
                  <pic:nvPicPr>
                    <pic:cNvPr id="2168" name="IM 2168"/>
                    <pic:cNvPicPr/>
                  </pic:nvPicPr>
                  <pic:blipFill>
                    <a:blip r:embed="rId1086"/>
                    <a:stretch>
                      <a:fillRect/>
                    </a:stretch>
                  </pic:blipFill>
                  <pic:spPr>
                    <a:xfrm rot="0">
                      <a:off x="0" y="0"/>
                      <a:ext cx="8712200" cy="7620"/>
                    </a:xfrm>
                    <a:prstGeom prst="rect">
                      <a:avLst/>
                    </a:prstGeom>
                  </pic:spPr>
                </pic:pic>
              </a:graphicData>
            </a:graphic>
          </wp:anchor>
        </w:drawing>
      </w:r>
      <w:r/>
    </w:p>
    <w:p>
      <w:pPr>
        <w:ind w:left="4496"/>
        <w:spacing w:before="120" w:line="210" w:lineRule="auto"/>
        <w:rPr>
          <w:rFonts w:ascii="Microsoft YaHei" w:hAnsi="Microsoft YaHei" w:eastAsia="Microsoft YaHei" w:cs="Microsoft YaHei"/>
          <w:sz w:val="28"/>
          <w:szCs w:val="28"/>
        </w:rPr>
      </w:pPr>
      <w:r>
        <w:rPr>
          <w:rFonts w:ascii="Microsoft YaHei" w:hAnsi="Microsoft YaHei" w:eastAsia="Microsoft YaHei" w:cs="Microsoft YaHei"/>
          <w:sz w:val="28"/>
          <w:szCs w:val="28"/>
          <w:spacing w:val="-2"/>
        </w:rPr>
        <w:t>9.2  固原市重污染天气应急管理工作流程图</w:t>
      </w:r>
    </w:p>
    <w:p>
      <w:pPr>
        <w:pStyle w:val="BodyText"/>
        <w:ind w:left="6310"/>
        <w:spacing w:before="283" w:line="213" w:lineRule="auto"/>
        <w:rPr>
          <w:sz w:val="18"/>
          <w:szCs w:val="18"/>
        </w:rPr>
      </w:pPr>
      <w:r>
        <w:drawing>
          <wp:anchor distT="0" distB="0" distL="0" distR="0" simplePos="0" relativeHeight="254071808" behindDoc="1" locked="0" layoutInCell="1" allowOverlap="1">
            <wp:simplePos x="0" y="0"/>
            <wp:positionH relativeFrom="column">
              <wp:posOffset>719137</wp:posOffset>
            </wp:positionH>
            <wp:positionV relativeFrom="paragraph">
              <wp:posOffset>57076</wp:posOffset>
            </wp:positionV>
            <wp:extent cx="7339964" cy="4795519"/>
            <wp:effectExtent l="0" t="0" r="0" b="0"/>
            <wp:wrapNone/>
            <wp:docPr id="2170" name="IM 2170"/>
            <wp:cNvGraphicFramePr/>
            <a:graphic>
              <a:graphicData uri="http://schemas.openxmlformats.org/drawingml/2006/picture">
                <pic:pic>
                  <pic:nvPicPr>
                    <pic:cNvPr id="2170" name="IM 2170"/>
                    <pic:cNvPicPr/>
                  </pic:nvPicPr>
                  <pic:blipFill>
                    <a:blip r:embed="rId1087"/>
                    <a:stretch>
                      <a:fillRect/>
                    </a:stretch>
                  </pic:blipFill>
                  <pic:spPr>
                    <a:xfrm rot="0">
                      <a:off x="0" y="0"/>
                      <a:ext cx="7339964" cy="4795519"/>
                    </a:xfrm>
                    <a:prstGeom prst="rect">
                      <a:avLst/>
                    </a:prstGeom>
                  </pic:spPr>
                </pic:pic>
              </a:graphicData>
            </a:graphic>
          </wp:anchor>
        </w:drawing>
      </w:r>
      <w:r>
        <w:rPr>
          <w:sz w:val="18"/>
          <w:szCs w:val="18"/>
          <w:spacing w:val="-1"/>
        </w:rPr>
        <w:t>市气象局、市生态环境局</w:t>
      </w:r>
    </w:p>
    <w:p>
      <w:pPr>
        <w:spacing w:line="379" w:lineRule="auto"/>
        <w:rPr>
          <w:rFonts w:ascii="Arial"/>
          <w:sz w:val="21"/>
        </w:rPr>
      </w:pPr>
      <w:r/>
    </w:p>
    <w:p>
      <w:pPr>
        <w:pStyle w:val="BodyText"/>
        <w:ind w:left="6763"/>
        <w:spacing w:before="58" w:line="213" w:lineRule="auto"/>
        <w:rPr>
          <w:sz w:val="18"/>
          <w:szCs w:val="18"/>
        </w:rPr>
      </w:pPr>
      <w:r>
        <w:rPr>
          <w:sz w:val="18"/>
          <w:szCs w:val="18"/>
          <w:spacing w:val="-1"/>
        </w:rPr>
        <w:t>制作空气环境质量预报</w:t>
      </w:r>
    </w:p>
    <w:p>
      <w:pPr>
        <w:pStyle w:val="BodyText"/>
        <w:ind w:left="1432"/>
        <w:spacing w:before="79" w:line="211" w:lineRule="auto"/>
        <w:rPr>
          <w:sz w:val="18"/>
          <w:szCs w:val="18"/>
        </w:rPr>
      </w:pPr>
      <w:r>
        <w:rPr>
          <w:sz w:val="18"/>
          <w:szCs w:val="18"/>
          <w:spacing w:val="-1"/>
        </w:rPr>
        <w:t>进一步加强监测工作</w:t>
      </w:r>
    </w:p>
    <w:p>
      <w:pPr>
        <w:pStyle w:val="BodyText"/>
        <w:ind w:left="6109"/>
        <w:spacing w:before="163" w:line="213" w:lineRule="auto"/>
        <w:rPr>
          <w:sz w:val="18"/>
          <w:szCs w:val="18"/>
        </w:rPr>
      </w:pPr>
      <w:r>
        <w:rPr>
          <w:sz w:val="18"/>
          <w:szCs w:val="18"/>
          <w:spacing w:val="-1"/>
        </w:rPr>
        <w:t>市重污染天气应急指挥部办公室</w:t>
      </w:r>
    </w:p>
    <w:p>
      <w:pPr>
        <w:spacing w:line="273" w:lineRule="auto"/>
        <w:rPr>
          <w:rFonts w:ascii="Arial"/>
          <w:sz w:val="21"/>
        </w:rPr>
      </w:pPr>
      <w:r/>
    </w:p>
    <w:p>
      <w:pPr>
        <w:spacing w:line="273" w:lineRule="auto"/>
        <w:rPr>
          <w:rFonts w:ascii="Arial"/>
          <w:sz w:val="21"/>
        </w:rPr>
      </w:pPr>
      <w:r/>
    </w:p>
    <w:p>
      <w:pPr>
        <w:pStyle w:val="BodyText"/>
        <w:ind w:left="4769"/>
        <w:spacing w:before="59" w:line="212" w:lineRule="auto"/>
        <w:rPr>
          <w:sz w:val="18"/>
          <w:szCs w:val="18"/>
        </w:rPr>
      </w:pPr>
      <w:r>
        <w:rPr>
          <w:sz w:val="18"/>
          <w:szCs w:val="18"/>
        </w:rPr>
        <w:t>不同意启动应急预案案           </w:t>
      </w:r>
      <w:r>
        <w:rPr>
          <w:sz w:val="18"/>
          <w:szCs w:val="18"/>
          <w:spacing w:val="-1"/>
        </w:rPr>
        <w:t xml:space="preserve">        同意启动应急预案</w:t>
      </w:r>
    </w:p>
    <w:p>
      <w:pPr>
        <w:spacing w:line="255" w:lineRule="auto"/>
        <w:rPr>
          <w:rFonts w:ascii="Arial"/>
          <w:sz w:val="21"/>
        </w:rPr>
      </w:pPr>
      <w:r/>
    </w:p>
    <w:p>
      <w:pPr>
        <w:spacing w:line="255" w:lineRule="auto"/>
        <w:rPr>
          <w:rFonts w:ascii="Arial"/>
          <w:sz w:val="21"/>
        </w:rPr>
      </w:pPr>
      <w:r>
        <w:drawing>
          <wp:anchor distT="0" distB="0" distL="0" distR="0" simplePos="0" relativeHeight="254070784" behindDoc="1" locked="0" layoutInCell="1" allowOverlap="1">
            <wp:simplePos x="0" y="0"/>
            <wp:positionH relativeFrom="column">
              <wp:posOffset>1447800</wp:posOffset>
            </wp:positionH>
            <wp:positionV relativeFrom="paragraph">
              <wp:posOffset>12102</wp:posOffset>
            </wp:positionV>
            <wp:extent cx="6443980" cy="9525"/>
            <wp:effectExtent l="0" t="0" r="0" b="0"/>
            <wp:wrapNone/>
            <wp:docPr id="2172" name="IM 2172"/>
            <wp:cNvGraphicFramePr/>
            <a:graphic>
              <a:graphicData uri="http://schemas.openxmlformats.org/drawingml/2006/picture">
                <pic:pic>
                  <pic:nvPicPr>
                    <pic:cNvPr id="2172" name="IM 2172"/>
                    <pic:cNvPicPr/>
                  </pic:nvPicPr>
                  <pic:blipFill>
                    <a:blip r:embed="rId1088"/>
                    <a:stretch>
                      <a:fillRect/>
                    </a:stretch>
                  </pic:blipFill>
                  <pic:spPr>
                    <a:xfrm rot="0">
                      <a:off x="0" y="0"/>
                      <a:ext cx="6443980" cy="9525"/>
                    </a:xfrm>
                    <a:prstGeom prst="rect">
                      <a:avLst/>
                    </a:prstGeom>
                  </pic:spPr>
                </pic:pic>
              </a:graphicData>
            </a:graphic>
          </wp:anchor>
        </w:drawing>
      </w:r>
      <w:r/>
    </w:p>
    <w:p>
      <w:pPr>
        <w:spacing w:line="255" w:lineRule="auto"/>
        <w:rPr>
          <w:rFonts w:ascii="Arial"/>
          <w:sz w:val="21"/>
        </w:rPr>
      </w:pPr>
      <w:r>
        <w:pict>
          <v:shape id="_x0000_s202" style="position:absolute;margin-left:105.571pt;margin-top:2.73434pt;mso-position-vertical-relative:text;mso-position-horizontal-relative:text;width:520.2pt;height:62.75pt;z-index:254072832;" filled="false" stroked="false" type="#_x0000_t202">
            <v:fill on="false"/>
            <v:stroke on="false"/>
            <v:path/>
            <v:imagedata o:title=""/>
            <o:lock v:ext="edit" aspectratio="false"/>
            <v:textbox inset="0mm,0mm,0mm,0mm" style="layout-flow:vertical-ideographic;">
              <w:txbxContent>
                <w:p>
                  <w:pPr>
                    <w:pStyle w:val="BodyText"/>
                    <w:ind w:right="16"/>
                    <w:spacing w:before="20" w:line="213" w:lineRule="auto"/>
                    <w:jc w:val="right"/>
                    <w:rPr>
                      <w:sz w:val="18"/>
                      <w:szCs w:val="18"/>
                    </w:rPr>
                  </w:pPr>
                  <w:r>
                    <w:rPr>
                      <w:sz w:val="18"/>
                      <w:szCs w:val="18"/>
                      <w:spacing w:val="-7"/>
                    </w:rPr>
                    <w:t>相</w:t>
                  </w:r>
                  <w:r>
                    <w:rPr>
                      <w:sz w:val="18"/>
                      <w:szCs w:val="18"/>
                      <w:spacing w:val="8"/>
                    </w:rPr>
                    <w:t xml:space="preserve"> </w:t>
                  </w:r>
                  <w:r>
                    <w:rPr>
                      <w:sz w:val="18"/>
                      <w:szCs w:val="18"/>
                      <w:spacing w:val="-7"/>
                    </w:rPr>
                    <w:t>关 单 位</w:t>
                  </w:r>
                </w:p>
                <w:p>
                  <w:pPr>
                    <w:spacing w:line="337" w:lineRule="auto"/>
                    <w:rPr>
                      <w:rFonts w:ascii="Arial"/>
                      <w:sz w:val="21"/>
                    </w:rPr>
                  </w:pPr>
                  <w:r/>
                </w:p>
                <w:p>
                  <w:pPr>
                    <w:pStyle w:val="BodyText"/>
                    <w:ind w:left="24"/>
                    <w:spacing w:before="60" w:line="211" w:lineRule="auto"/>
                    <w:rPr>
                      <w:sz w:val="18"/>
                      <w:szCs w:val="18"/>
                    </w:rPr>
                  </w:pPr>
                  <w:r>
                    <w:rPr>
                      <w:sz w:val="18"/>
                      <w:szCs w:val="18"/>
                      <w:spacing w:val="-12"/>
                    </w:rPr>
                    <w:t>各</w:t>
                  </w:r>
                  <w:r>
                    <w:rPr>
                      <w:sz w:val="18"/>
                      <w:szCs w:val="18"/>
                      <w:spacing w:val="6"/>
                    </w:rPr>
                    <w:t xml:space="preserve"> </w:t>
                  </w:r>
                  <w:r>
                    <w:rPr>
                      <w:sz w:val="18"/>
                      <w:szCs w:val="18"/>
                      <w:spacing w:val="-12"/>
                    </w:rPr>
                    <w:t>县</w:t>
                  </w:r>
                  <w:r>
                    <w:rPr>
                      <w:sz w:val="18"/>
                      <w:szCs w:val="18"/>
                      <w:spacing w:val="12"/>
                    </w:rPr>
                    <w:t xml:space="preserve"> </w:t>
                  </w:r>
                  <w:r>
                    <w:rPr>
                      <w:sz w:val="18"/>
                      <w:szCs w:val="18"/>
                      <w:spacing w:val="-12"/>
                    </w:rPr>
                    <w:t>区</w:t>
                  </w:r>
                  <w:r>
                    <w:rPr>
                      <w:sz w:val="18"/>
                      <w:szCs w:val="18"/>
                      <w:spacing w:val="12"/>
                    </w:rPr>
                    <w:t xml:space="preserve"> </w:t>
                  </w:r>
                  <w:r>
                    <w:rPr>
                      <w:sz w:val="18"/>
                      <w:szCs w:val="18"/>
                      <w:spacing w:val="-12"/>
                    </w:rPr>
                    <w:t>政 府</w:t>
                  </w:r>
                </w:p>
                <w:p>
                  <w:pPr>
                    <w:spacing w:line="336" w:lineRule="auto"/>
                    <w:rPr>
                      <w:rFonts w:ascii="Arial"/>
                      <w:sz w:val="21"/>
                    </w:rPr>
                  </w:pPr>
                  <w:r/>
                </w:p>
                <w:p>
                  <w:pPr>
                    <w:pStyle w:val="BodyText"/>
                    <w:ind w:right="11"/>
                    <w:spacing w:before="60" w:line="212" w:lineRule="auto"/>
                    <w:jc w:val="right"/>
                    <w:rPr>
                      <w:sz w:val="18"/>
                      <w:szCs w:val="18"/>
                    </w:rPr>
                  </w:pPr>
                  <w:r>
                    <w:rPr>
                      <w:sz w:val="18"/>
                      <w:szCs w:val="18"/>
                      <w:spacing w:val="-7"/>
                    </w:rPr>
                    <w:t>供</w:t>
                  </w:r>
                  <w:r>
                    <w:rPr>
                      <w:sz w:val="18"/>
                      <w:szCs w:val="18"/>
                      <w:spacing w:val="5"/>
                    </w:rPr>
                    <w:t xml:space="preserve"> </w:t>
                  </w:r>
                  <w:r>
                    <w:rPr>
                      <w:sz w:val="18"/>
                      <w:szCs w:val="18"/>
                      <w:spacing w:val="-7"/>
                    </w:rPr>
                    <w:t>电 公</w:t>
                  </w:r>
                  <w:r>
                    <w:rPr>
                      <w:sz w:val="18"/>
                      <w:szCs w:val="18"/>
                      <w:spacing w:val="4"/>
                    </w:rPr>
                    <w:t xml:space="preserve"> </w:t>
                  </w:r>
                  <w:r>
                    <w:rPr>
                      <w:sz w:val="18"/>
                      <w:szCs w:val="18"/>
                      <w:spacing w:val="-7"/>
                    </w:rPr>
                    <w:t>司</w:t>
                  </w:r>
                </w:p>
                <w:p>
                  <w:pPr>
                    <w:spacing w:line="333" w:lineRule="auto"/>
                    <w:rPr>
                      <w:rFonts w:ascii="Arial"/>
                      <w:sz w:val="21"/>
                    </w:rPr>
                  </w:pPr>
                  <w:r/>
                </w:p>
                <w:p>
                  <w:pPr>
                    <w:pStyle w:val="BodyText"/>
                    <w:ind w:left="338"/>
                    <w:spacing w:before="60" w:line="212" w:lineRule="auto"/>
                    <w:rPr>
                      <w:sz w:val="18"/>
                      <w:szCs w:val="18"/>
                    </w:rPr>
                  </w:pPr>
                  <w:r>
                    <w:rPr>
                      <w:sz w:val="18"/>
                      <w:szCs w:val="18"/>
                      <w:spacing w:val="-3"/>
                    </w:rPr>
                    <w:t>气 象 局</w:t>
                  </w:r>
                </w:p>
                <w:p>
                  <w:pPr>
                    <w:spacing w:line="356" w:lineRule="auto"/>
                    <w:rPr>
                      <w:rFonts w:ascii="Arial"/>
                      <w:sz w:val="21"/>
                    </w:rPr>
                  </w:pPr>
                  <w:r/>
                </w:p>
                <w:p>
                  <w:pPr>
                    <w:pStyle w:val="BodyText"/>
                    <w:ind w:left="22"/>
                    <w:spacing w:before="61" w:line="212" w:lineRule="auto"/>
                    <w:rPr>
                      <w:sz w:val="18"/>
                      <w:szCs w:val="18"/>
                    </w:rPr>
                  </w:pPr>
                  <w:r>
                    <w:rPr>
                      <w:sz w:val="18"/>
                      <w:szCs w:val="18"/>
                      <w:spacing w:val="-13"/>
                    </w:rPr>
                    <w:t>卫</w:t>
                  </w:r>
                  <w:r>
                    <w:rPr>
                      <w:sz w:val="18"/>
                      <w:szCs w:val="18"/>
                      <w:spacing w:val="18"/>
                    </w:rPr>
                    <w:t xml:space="preserve"> </w:t>
                  </w:r>
                  <w:r>
                    <w:rPr>
                      <w:sz w:val="18"/>
                      <w:szCs w:val="18"/>
                      <w:spacing w:val="-13"/>
                    </w:rPr>
                    <w:t>生</w:t>
                  </w:r>
                  <w:r>
                    <w:rPr>
                      <w:sz w:val="18"/>
                      <w:szCs w:val="18"/>
                      <w:spacing w:val="9"/>
                    </w:rPr>
                    <w:t xml:space="preserve"> </w:t>
                  </w:r>
                  <w:r>
                    <w:rPr>
                      <w:sz w:val="18"/>
                      <w:szCs w:val="18"/>
                      <w:spacing w:val="-13"/>
                    </w:rPr>
                    <w:t>健 康</w:t>
                  </w:r>
                  <w:r>
                    <w:rPr>
                      <w:sz w:val="18"/>
                      <w:szCs w:val="18"/>
                      <w:spacing w:val="-1"/>
                    </w:rPr>
                    <w:t xml:space="preserve"> </w:t>
                  </w:r>
                  <w:r>
                    <w:rPr>
                      <w:sz w:val="18"/>
                      <w:szCs w:val="18"/>
                      <w:spacing w:val="-13"/>
                    </w:rPr>
                    <w:t>委</w:t>
                  </w:r>
                </w:p>
                <w:p>
                  <w:pPr>
                    <w:spacing w:line="343" w:lineRule="auto"/>
                    <w:rPr>
                      <w:rFonts w:ascii="Arial"/>
                      <w:sz w:val="21"/>
                    </w:rPr>
                  </w:pPr>
                  <w:r/>
                </w:p>
                <w:p>
                  <w:pPr>
                    <w:pStyle w:val="BodyText"/>
                    <w:ind w:left="342"/>
                    <w:spacing w:before="60" w:line="212" w:lineRule="auto"/>
                    <w:rPr>
                      <w:sz w:val="18"/>
                      <w:szCs w:val="18"/>
                    </w:rPr>
                  </w:pPr>
                  <w:r>
                    <w:rPr>
                      <w:sz w:val="18"/>
                      <w:szCs w:val="18"/>
                      <w:spacing w:val="-9"/>
                    </w:rPr>
                    <w:t>文</w:t>
                  </w:r>
                  <w:r>
                    <w:rPr>
                      <w:sz w:val="18"/>
                      <w:szCs w:val="18"/>
                      <w:spacing w:val="4"/>
                    </w:rPr>
                    <w:t xml:space="preserve"> </w:t>
                  </w:r>
                  <w:r>
                    <w:rPr>
                      <w:sz w:val="18"/>
                      <w:szCs w:val="18"/>
                      <w:spacing w:val="-9"/>
                    </w:rPr>
                    <w:t>广</w:t>
                  </w:r>
                  <w:r>
                    <w:rPr>
                      <w:sz w:val="18"/>
                      <w:szCs w:val="18"/>
                      <w:spacing w:val="4"/>
                    </w:rPr>
                    <w:t xml:space="preserve"> </w:t>
                  </w:r>
                  <w:r>
                    <w:rPr>
                      <w:sz w:val="18"/>
                      <w:szCs w:val="18"/>
                      <w:spacing w:val="-9"/>
                    </w:rPr>
                    <w:t>局</w:t>
                  </w:r>
                </w:p>
                <w:p>
                  <w:pPr>
                    <w:spacing w:line="359" w:lineRule="auto"/>
                    <w:rPr>
                      <w:rFonts w:ascii="Arial"/>
                      <w:sz w:val="21"/>
                    </w:rPr>
                  </w:pPr>
                  <w:r/>
                </w:p>
                <w:p>
                  <w:pPr>
                    <w:pStyle w:val="BodyText"/>
                    <w:ind w:left="20"/>
                    <w:spacing w:before="61" w:line="213" w:lineRule="auto"/>
                    <w:rPr>
                      <w:sz w:val="18"/>
                      <w:szCs w:val="18"/>
                    </w:rPr>
                  </w:pPr>
                  <w:r>
                    <w:rPr>
                      <w:sz w:val="18"/>
                      <w:szCs w:val="18"/>
                      <w:spacing w:val="-9"/>
                    </w:rPr>
                    <w:t>农</w:t>
                  </w:r>
                  <w:r>
                    <w:rPr>
                      <w:sz w:val="18"/>
                      <w:szCs w:val="18"/>
                      <w:spacing w:val="7"/>
                    </w:rPr>
                    <w:t xml:space="preserve"> </w:t>
                  </w:r>
                  <w:r>
                    <w:rPr>
                      <w:sz w:val="18"/>
                      <w:szCs w:val="18"/>
                      <w:spacing w:val="-9"/>
                    </w:rPr>
                    <w:t>业</w:t>
                  </w:r>
                  <w:r>
                    <w:rPr>
                      <w:sz w:val="18"/>
                      <w:szCs w:val="18"/>
                      <w:spacing w:val="6"/>
                    </w:rPr>
                    <w:t xml:space="preserve"> </w:t>
                  </w:r>
                  <w:r>
                    <w:rPr>
                      <w:sz w:val="18"/>
                      <w:szCs w:val="18"/>
                      <w:spacing w:val="-9"/>
                    </w:rPr>
                    <w:t>农 村</w:t>
                  </w:r>
                  <w:r>
                    <w:rPr>
                      <w:sz w:val="18"/>
                      <w:szCs w:val="18"/>
                      <w:spacing w:val="4"/>
                    </w:rPr>
                    <w:t xml:space="preserve"> </w:t>
                  </w:r>
                  <w:r>
                    <w:rPr>
                      <w:sz w:val="18"/>
                      <w:szCs w:val="18"/>
                      <w:spacing w:val="-9"/>
                    </w:rPr>
                    <w:t>局</w:t>
                  </w:r>
                </w:p>
                <w:p>
                  <w:pPr>
                    <w:spacing w:line="336" w:lineRule="auto"/>
                    <w:rPr>
                      <w:rFonts w:ascii="Arial"/>
                      <w:sz w:val="21"/>
                    </w:rPr>
                  </w:pPr>
                  <w:r/>
                </w:p>
                <w:p>
                  <w:pPr>
                    <w:pStyle w:val="BodyText"/>
                    <w:ind w:left="340"/>
                    <w:spacing w:before="60" w:line="213" w:lineRule="auto"/>
                    <w:rPr>
                      <w:sz w:val="18"/>
                      <w:szCs w:val="18"/>
                    </w:rPr>
                  </w:pPr>
                  <w:r>
                    <w:rPr>
                      <w:sz w:val="18"/>
                      <w:szCs w:val="18"/>
                      <w:spacing w:val="-12"/>
                    </w:rPr>
                    <w:t>交</w:t>
                  </w:r>
                  <w:r>
                    <w:rPr>
                      <w:sz w:val="18"/>
                      <w:szCs w:val="18"/>
                      <w:spacing w:val="9"/>
                    </w:rPr>
                    <w:t xml:space="preserve"> </w:t>
                  </w:r>
                  <w:r>
                    <w:rPr>
                      <w:sz w:val="18"/>
                      <w:szCs w:val="18"/>
                      <w:spacing w:val="-12"/>
                    </w:rPr>
                    <w:t>通</w:t>
                  </w:r>
                  <w:r>
                    <w:rPr>
                      <w:sz w:val="18"/>
                      <w:szCs w:val="18"/>
                      <w:spacing w:val="10"/>
                    </w:rPr>
                    <w:t xml:space="preserve"> </w:t>
                  </w:r>
                  <w:r>
                    <w:rPr>
                      <w:sz w:val="18"/>
                      <w:szCs w:val="18"/>
                      <w:spacing w:val="-12"/>
                    </w:rPr>
                    <w:t>局</w:t>
                  </w:r>
                </w:p>
                <w:p>
                  <w:pPr>
                    <w:spacing w:line="347" w:lineRule="auto"/>
                    <w:rPr>
                      <w:rFonts w:ascii="Arial"/>
                      <w:sz w:val="21"/>
                    </w:rPr>
                  </w:pPr>
                  <w:r/>
                </w:p>
                <w:p>
                  <w:pPr>
                    <w:pStyle w:val="BodyText"/>
                    <w:ind w:left="339"/>
                    <w:spacing w:before="61" w:line="213" w:lineRule="auto"/>
                    <w:rPr>
                      <w:sz w:val="18"/>
                      <w:szCs w:val="18"/>
                    </w:rPr>
                  </w:pPr>
                  <w:r>
                    <w:rPr>
                      <w:sz w:val="18"/>
                      <w:szCs w:val="18"/>
                      <w:spacing w:val="-5"/>
                    </w:rPr>
                    <w:t>住 建</w:t>
                  </w:r>
                  <w:r>
                    <w:rPr>
                      <w:sz w:val="18"/>
                      <w:szCs w:val="18"/>
                      <w:spacing w:val="4"/>
                    </w:rPr>
                    <w:t xml:space="preserve"> </w:t>
                  </w:r>
                  <w:r>
                    <w:rPr>
                      <w:sz w:val="18"/>
                      <w:szCs w:val="18"/>
                      <w:spacing w:val="-5"/>
                    </w:rPr>
                    <w:t>局</w:t>
                  </w:r>
                </w:p>
                <w:p>
                  <w:pPr>
                    <w:spacing w:line="331" w:lineRule="auto"/>
                    <w:rPr>
                      <w:rFonts w:ascii="Arial"/>
                      <w:sz w:val="21"/>
                    </w:rPr>
                  </w:pPr>
                  <w:r/>
                </w:p>
                <w:p>
                  <w:pPr>
                    <w:pStyle w:val="BodyText"/>
                    <w:ind w:left="25"/>
                    <w:spacing w:before="61" w:line="213" w:lineRule="auto"/>
                    <w:rPr>
                      <w:sz w:val="18"/>
                      <w:szCs w:val="18"/>
                    </w:rPr>
                  </w:pPr>
                  <w:r>
                    <w:rPr>
                      <w:sz w:val="18"/>
                      <w:szCs w:val="18"/>
                      <w:spacing w:val="-14"/>
                    </w:rPr>
                    <w:t>生</w:t>
                  </w:r>
                  <w:r>
                    <w:rPr>
                      <w:sz w:val="18"/>
                      <w:szCs w:val="18"/>
                      <w:spacing w:val="7"/>
                    </w:rPr>
                    <w:t xml:space="preserve"> </w:t>
                  </w:r>
                  <w:r>
                    <w:rPr>
                      <w:sz w:val="18"/>
                      <w:szCs w:val="18"/>
                      <w:spacing w:val="-14"/>
                    </w:rPr>
                    <w:t>态</w:t>
                  </w:r>
                  <w:r>
                    <w:rPr>
                      <w:sz w:val="18"/>
                      <w:szCs w:val="18"/>
                      <w:spacing w:val="11"/>
                    </w:rPr>
                    <w:t xml:space="preserve"> </w:t>
                  </w:r>
                  <w:r>
                    <w:rPr>
                      <w:sz w:val="18"/>
                      <w:szCs w:val="18"/>
                      <w:spacing w:val="-14"/>
                    </w:rPr>
                    <w:t>环</w:t>
                  </w:r>
                  <w:r>
                    <w:rPr>
                      <w:sz w:val="18"/>
                      <w:szCs w:val="18"/>
                      <w:spacing w:val="5"/>
                    </w:rPr>
                    <w:t xml:space="preserve"> </w:t>
                  </w:r>
                  <w:r>
                    <w:rPr>
                      <w:sz w:val="18"/>
                      <w:szCs w:val="18"/>
                      <w:spacing w:val="-14"/>
                    </w:rPr>
                    <w:t>境</w:t>
                  </w:r>
                  <w:r>
                    <w:rPr>
                      <w:sz w:val="18"/>
                      <w:szCs w:val="18"/>
                      <w:spacing w:val="4"/>
                    </w:rPr>
                    <w:t xml:space="preserve"> </w:t>
                  </w:r>
                  <w:r>
                    <w:rPr>
                      <w:sz w:val="18"/>
                      <w:szCs w:val="18"/>
                      <w:spacing w:val="-14"/>
                    </w:rPr>
                    <w:t>局</w:t>
                  </w:r>
                </w:p>
                <w:p>
                  <w:pPr>
                    <w:spacing w:line="349" w:lineRule="auto"/>
                    <w:rPr>
                      <w:rFonts w:ascii="Arial"/>
                      <w:sz w:val="21"/>
                    </w:rPr>
                  </w:pPr>
                  <w:r/>
                </w:p>
                <w:p>
                  <w:pPr>
                    <w:pStyle w:val="BodyText"/>
                    <w:ind w:left="20"/>
                    <w:spacing w:before="61" w:line="202" w:lineRule="auto"/>
                    <w:rPr>
                      <w:sz w:val="18"/>
                      <w:szCs w:val="18"/>
                    </w:rPr>
                  </w:pPr>
                  <w:r>
                    <w:rPr>
                      <w:sz w:val="18"/>
                      <w:szCs w:val="18"/>
                      <w:spacing w:val="-8"/>
                      <w:position w:val="1"/>
                    </w:rPr>
                    <w:t>自 </w:t>
                  </w:r>
                  <w:r>
                    <w:rPr>
                      <w:sz w:val="18"/>
                      <w:szCs w:val="18"/>
                      <w:spacing w:val="-8"/>
                    </w:rPr>
                    <w:t>然</w:t>
                  </w:r>
                  <w:r>
                    <w:rPr>
                      <w:sz w:val="18"/>
                      <w:szCs w:val="18"/>
                      <w:spacing w:val="-1"/>
                    </w:rPr>
                    <w:t xml:space="preserve"> </w:t>
                  </w:r>
                  <w:r>
                    <w:rPr>
                      <w:sz w:val="18"/>
                      <w:szCs w:val="18"/>
                      <w:spacing w:val="-8"/>
                    </w:rPr>
                    <w:t>资</w:t>
                  </w:r>
                  <w:r>
                    <w:rPr>
                      <w:sz w:val="18"/>
                      <w:szCs w:val="18"/>
                      <w:spacing w:val="3"/>
                    </w:rPr>
                    <w:t xml:space="preserve"> </w:t>
                  </w:r>
                  <w:r>
                    <w:rPr>
                      <w:sz w:val="18"/>
                      <w:szCs w:val="18"/>
                      <w:spacing w:val="-8"/>
                    </w:rPr>
                    <w:t>源</w:t>
                  </w:r>
                  <w:r>
                    <w:rPr>
                      <w:sz w:val="18"/>
                      <w:szCs w:val="18"/>
                      <w:spacing w:val="9"/>
                    </w:rPr>
                    <w:t xml:space="preserve"> </w:t>
                  </w:r>
                  <w:r>
                    <w:rPr>
                      <w:sz w:val="18"/>
                      <w:szCs w:val="18"/>
                      <w:spacing w:val="-8"/>
                    </w:rPr>
                    <w:t>局</w:t>
                  </w:r>
                </w:p>
                <w:p>
                  <w:pPr>
                    <w:spacing w:line="347" w:lineRule="auto"/>
                    <w:rPr>
                      <w:rFonts w:ascii="Arial"/>
                      <w:sz w:val="21"/>
                    </w:rPr>
                  </w:pPr>
                  <w:r/>
                </w:p>
                <w:p>
                  <w:pPr>
                    <w:pStyle w:val="BodyText"/>
                    <w:ind w:left="341"/>
                    <w:spacing w:before="60" w:line="212" w:lineRule="auto"/>
                    <w:rPr>
                      <w:sz w:val="18"/>
                      <w:szCs w:val="18"/>
                    </w:rPr>
                  </w:pPr>
                  <w:r>
                    <w:rPr>
                      <w:sz w:val="18"/>
                      <w:szCs w:val="18"/>
                      <w:spacing w:val="-8"/>
                    </w:rPr>
                    <w:t>财</w:t>
                  </w:r>
                  <w:r>
                    <w:rPr>
                      <w:sz w:val="18"/>
                      <w:szCs w:val="18"/>
                      <w:spacing w:val="2"/>
                    </w:rPr>
                    <w:t xml:space="preserve"> </w:t>
                  </w:r>
                  <w:r>
                    <w:rPr>
                      <w:sz w:val="18"/>
                      <w:szCs w:val="18"/>
                      <w:spacing w:val="-8"/>
                    </w:rPr>
                    <w:t>政</w:t>
                  </w:r>
                  <w:r>
                    <w:rPr>
                      <w:sz w:val="18"/>
                      <w:szCs w:val="18"/>
                      <w:spacing w:val="4"/>
                    </w:rPr>
                    <w:t xml:space="preserve"> </w:t>
                  </w:r>
                  <w:r>
                    <w:rPr>
                      <w:sz w:val="18"/>
                      <w:szCs w:val="18"/>
                      <w:spacing w:val="-8"/>
                    </w:rPr>
                    <w:t>局</w:t>
                  </w:r>
                </w:p>
                <w:p>
                  <w:pPr>
                    <w:spacing w:line="361" w:lineRule="auto"/>
                    <w:rPr>
                      <w:rFonts w:ascii="Arial"/>
                      <w:sz w:val="21"/>
                    </w:rPr>
                  </w:pPr>
                  <w:r/>
                </w:p>
                <w:p>
                  <w:pPr>
                    <w:pStyle w:val="BodyText"/>
                    <w:ind w:left="341"/>
                    <w:spacing w:before="61" w:line="214" w:lineRule="auto"/>
                    <w:rPr>
                      <w:sz w:val="18"/>
                      <w:szCs w:val="18"/>
                    </w:rPr>
                  </w:pPr>
                  <w:r>
                    <w:rPr>
                      <w:sz w:val="18"/>
                      <w:szCs w:val="18"/>
                      <w:spacing w:val="-9"/>
                    </w:rPr>
                    <w:t>公</w:t>
                  </w:r>
                  <w:r>
                    <w:rPr>
                      <w:sz w:val="18"/>
                      <w:szCs w:val="18"/>
                      <w:spacing w:val="4"/>
                    </w:rPr>
                    <w:t xml:space="preserve"> </w:t>
                  </w:r>
                  <w:r>
                    <w:rPr>
                      <w:sz w:val="18"/>
                      <w:szCs w:val="18"/>
                      <w:spacing w:val="-9"/>
                    </w:rPr>
                    <w:t>安</w:t>
                  </w:r>
                  <w:r>
                    <w:rPr>
                      <w:sz w:val="18"/>
                      <w:szCs w:val="18"/>
                      <w:spacing w:val="5"/>
                    </w:rPr>
                    <w:t xml:space="preserve"> </w:t>
                  </w:r>
                  <w:r>
                    <w:rPr>
                      <w:sz w:val="18"/>
                      <w:szCs w:val="18"/>
                      <w:spacing w:val="-9"/>
                    </w:rPr>
                    <w:t>局</w:t>
                  </w:r>
                </w:p>
                <w:p>
                  <w:pPr>
                    <w:spacing w:line="362" w:lineRule="auto"/>
                    <w:rPr>
                      <w:rFonts w:ascii="Arial"/>
                      <w:sz w:val="21"/>
                    </w:rPr>
                  </w:pPr>
                  <w:r/>
                </w:p>
                <w:p>
                  <w:pPr>
                    <w:pStyle w:val="BodyText"/>
                    <w:ind w:left="21"/>
                    <w:spacing w:before="60" w:line="211" w:lineRule="auto"/>
                    <w:rPr>
                      <w:sz w:val="18"/>
                      <w:szCs w:val="18"/>
                    </w:rPr>
                  </w:pPr>
                  <w:r>
                    <w:rPr>
                      <w:sz w:val="18"/>
                      <w:szCs w:val="18"/>
                      <w:spacing w:val="-5"/>
                    </w:rPr>
                    <w:t>教 育 体 育 局</w:t>
                  </w:r>
                </w:p>
                <w:p>
                  <w:pPr>
                    <w:spacing w:line="362" w:lineRule="auto"/>
                    <w:rPr>
                      <w:rFonts w:ascii="Arial"/>
                      <w:sz w:val="21"/>
                    </w:rPr>
                  </w:pPr>
                  <w:r/>
                </w:p>
                <w:p>
                  <w:pPr>
                    <w:pStyle w:val="BodyText"/>
                    <w:ind w:left="355"/>
                    <w:spacing w:before="61" w:line="211" w:lineRule="auto"/>
                    <w:rPr>
                      <w:sz w:val="18"/>
                      <w:szCs w:val="18"/>
                    </w:rPr>
                  </w:pPr>
                  <w:r>
                    <w:rPr>
                      <w:sz w:val="18"/>
                      <w:szCs w:val="18"/>
                      <w:spacing w:val="-16"/>
                    </w:rPr>
                    <w:t>工</w:t>
                  </w:r>
                  <w:r>
                    <w:rPr>
                      <w:sz w:val="18"/>
                      <w:szCs w:val="18"/>
                      <w:spacing w:val="15"/>
                    </w:rPr>
                    <w:t xml:space="preserve"> </w:t>
                  </w:r>
                  <w:r>
                    <w:rPr>
                      <w:sz w:val="18"/>
                      <w:szCs w:val="18"/>
                      <w:spacing w:val="-16"/>
                    </w:rPr>
                    <w:t>信</w:t>
                  </w:r>
                  <w:r>
                    <w:rPr>
                      <w:sz w:val="18"/>
                      <w:szCs w:val="18"/>
                      <w:spacing w:val="1"/>
                    </w:rPr>
                    <w:t xml:space="preserve"> </w:t>
                  </w:r>
                  <w:r>
                    <w:rPr>
                      <w:sz w:val="18"/>
                      <w:szCs w:val="18"/>
                      <w:spacing w:val="-16"/>
                    </w:rPr>
                    <w:t>局</w:t>
                  </w:r>
                </w:p>
                <w:p>
                  <w:pPr>
                    <w:spacing w:line="357" w:lineRule="auto"/>
                    <w:rPr>
                      <w:rFonts w:ascii="Arial"/>
                      <w:sz w:val="21"/>
                    </w:rPr>
                  </w:pPr>
                  <w:r/>
                </w:p>
                <w:p>
                  <w:pPr>
                    <w:pStyle w:val="BodyText"/>
                    <w:ind w:left="341"/>
                    <w:spacing w:before="61" w:line="210" w:lineRule="auto"/>
                    <w:rPr>
                      <w:sz w:val="18"/>
                      <w:szCs w:val="18"/>
                    </w:rPr>
                  </w:pPr>
                  <w:r>
                    <w:rPr>
                      <w:sz w:val="18"/>
                      <w:szCs w:val="18"/>
                      <w:spacing w:val="-9"/>
                    </w:rPr>
                    <w:t>发</w:t>
                  </w:r>
                  <w:r>
                    <w:rPr>
                      <w:sz w:val="18"/>
                      <w:szCs w:val="18"/>
                      <w:spacing w:val="4"/>
                    </w:rPr>
                    <w:t xml:space="preserve"> </w:t>
                  </w:r>
                  <w:r>
                    <w:rPr>
                      <w:sz w:val="18"/>
                      <w:szCs w:val="18"/>
                      <w:spacing w:val="-9"/>
                    </w:rPr>
                    <w:t>改</w:t>
                  </w:r>
                  <w:r>
                    <w:rPr>
                      <w:sz w:val="18"/>
                      <w:szCs w:val="18"/>
                      <w:spacing w:val="2"/>
                    </w:rPr>
                    <w:t xml:space="preserve"> </w:t>
                  </w:r>
                  <w:r>
                    <w:rPr>
                      <w:sz w:val="18"/>
                      <w:szCs w:val="18"/>
                      <w:spacing w:val="-9"/>
                    </w:rPr>
                    <w:t>委</w:t>
                  </w:r>
                </w:p>
                <w:p>
                  <w:pPr>
                    <w:spacing w:line="386" w:lineRule="auto"/>
                    <w:rPr>
                      <w:rFonts w:ascii="Arial"/>
                      <w:sz w:val="21"/>
                    </w:rPr>
                  </w:pPr>
                  <w:r/>
                </w:p>
                <w:p>
                  <w:pPr>
                    <w:pStyle w:val="BodyText"/>
                    <w:ind w:left="20"/>
                    <w:spacing w:before="61" w:line="211" w:lineRule="auto"/>
                    <w:rPr>
                      <w:sz w:val="18"/>
                      <w:szCs w:val="18"/>
                    </w:rPr>
                  </w:pPr>
                  <w:r>
                    <w:rPr>
                      <w:sz w:val="18"/>
                      <w:szCs w:val="18"/>
                      <w:spacing w:val="-8"/>
                    </w:rPr>
                    <w:t>市 委</w:t>
                  </w:r>
                  <w:r>
                    <w:rPr>
                      <w:sz w:val="18"/>
                      <w:szCs w:val="18"/>
                      <w:spacing w:val="13"/>
                    </w:rPr>
                    <w:t xml:space="preserve"> </w:t>
                  </w:r>
                  <w:r>
                    <w:rPr>
                      <w:sz w:val="18"/>
                      <w:szCs w:val="18"/>
                      <w:spacing w:val="-8"/>
                    </w:rPr>
                    <w:t>宣</w:t>
                  </w:r>
                  <w:r>
                    <w:rPr>
                      <w:sz w:val="18"/>
                      <w:szCs w:val="18"/>
                      <w:spacing w:val="1"/>
                    </w:rPr>
                    <w:t xml:space="preserve"> </w:t>
                  </w:r>
                  <w:r>
                    <w:rPr>
                      <w:sz w:val="18"/>
                      <w:szCs w:val="18"/>
                      <w:spacing w:val="-8"/>
                    </w:rPr>
                    <w:t>传 部</w:t>
                  </w:r>
                </w:p>
              </w:txbxContent>
            </v:textbox>
          </v:shape>
        </w:pict>
      </w: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drawing>
          <wp:anchor distT="0" distB="0" distL="0" distR="0" simplePos="0" relativeHeight="254069760" behindDoc="1" locked="0" layoutInCell="1" allowOverlap="1">
            <wp:simplePos x="0" y="0"/>
            <wp:positionH relativeFrom="column">
              <wp:posOffset>1451610</wp:posOffset>
            </wp:positionH>
            <wp:positionV relativeFrom="paragraph">
              <wp:posOffset>160673</wp:posOffset>
            </wp:positionV>
            <wp:extent cx="6443979" cy="9525"/>
            <wp:effectExtent l="0" t="0" r="0" b="0"/>
            <wp:wrapNone/>
            <wp:docPr id="2174" name="IM 2174"/>
            <wp:cNvGraphicFramePr/>
            <a:graphic>
              <a:graphicData uri="http://schemas.openxmlformats.org/drawingml/2006/picture">
                <pic:pic>
                  <pic:nvPicPr>
                    <pic:cNvPr id="2174" name="IM 2174"/>
                    <pic:cNvPicPr/>
                  </pic:nvPicPr>
                  <pic:blipFill>
                    <a:blip r:embed="rId1089"/>
                    <a:stretch>
                      <a:fillRect/>
                    </a:stretch>
                  </pic:blipFill>
                  <pic:spPr>
                    <a:xfrm rot="0">
                      <a:off x="0" y="0"/>
                      <a:ext cx="6443979" cy="9525"/>
                    </a:xfrm>
                    <a:prstGeom prst="rect">
                      <a:avLst/>
                    </a:prstGeom>
                  </pic:spPr>
                </pic:pic>
              </a:graphicData>
            </a:graphic>
          </wp:anchor>
        </w:drawing>
      </w:r>
      <w:r/>
    </w:p>
    <w:p>
      <w:pPr>
        <w:spacing w:line="256" w:lineRule="auto"/>
        <w:rPr>
          <w:rFonts w:ascii="Arial"/>
          <w:sz w:val="21"/>
        </w:rPr>
      </w:pPr>
      <w:r/>
    </w:p>
    <w:p>
      <w:pPr>
        <w:pStyle w:val="BodyText"/>
        <w:ind w:left="5542"/>
        <w:spacing w:before="60" w:line="215" w:lineRule="auto"/>
        <w:rPr>
          <w:sz w:val="18"/>
          <w:szCs w:val="18"/>
        </w:rPr>
      </w:pPr>
      <w:r>
        <w:rPr>
          <w:sz w:val="18"/>
          <w:szCs w:val="18"/>
          <w:spacing w:val="-1"/>
        </w:rPr>
        <w:t>根据职责分工，实施相对应的预防和减缓措施</w:t>
      </w:r>
    </w:p>
    <w:p>
      <w:pPr>
        <w:spacing w:line="331" w:lineRule="auto"/>
        <w:rPr>
          <w:rFonts w:ascii="Arial"/>
          <w:sz w:val="21"/>
        </w:rPr>
      </w:pPr>
      <w:r/>
    </w:p>
    <w:p>
      <w:pPr>
        <w:pStyle w:val="BodyText"/>
        <w:ind w:left="4246"/>
        <w:spacing w:before="58" w:line="213" w:lineRule="auto"/>
        <w:rPr>
          <w:sz w:val="18"/>
          <w:szCs w:val="18"/>
        </w:rPr>
      </w:pPr>
      <w:r>
        <w:rPr>
          <w:sz w:val="18"/>
          <w:szCs w:val="18"/>
        </w:rPr>
        <w:t>市气象局、市生态环境局环境空气质量监测明显好转，大气污染</w:t>
      </w:r>
      <w:r>
        <w:rPr>
          <w:sz w:val="18"/>
          <w:szCs w:val="18"/>
          <w:spacing w:val="-1"/>
        </w:rPr>
        <w:t>物基本消除后</w:t>
      </w:r>
    </w:p>
    <w:p>
      <w:pPr>
        <w:spacing w:line="389" w:lineRule="auto"/>
        <w:rPr>
          <w:rFonts w:ascii="Arial"/>
          <w:sz w:val="21"/>
        </w:rPr>
      </w:pPr>
      <w:r/>
    </w:p>
    <w:p>
      <w:pPr>
        <w:pStyle w:val="BodyText"/>
        <w:ind w:left="5098"/>
        <w:spacing w:before="59" w:line="215" w:lineRule="auto"/>
        <w:rPr>
          <w:sz w:val="18"/>
          <w:szCs w:val="18"/>
        </w:rPr>
      </w:pPr>
      <w:r>
        <w:rPr>
          <w:sz w:val="18"/>
          <w:szCs w:val="18"/>
        </w:rPr>
        <w:t>市应对重污染天气应急指挥部办公室提出终</w:t>
      </w:r>
      <w:r>
        <w:rPr>
          <w:sz w:val="18"/>
          <w:szCs w:val="18"/>
          <w:spacing w:val="-1"/>
        </w:rPr>
        <w:t>止响应的建议</w:t>
      </w:r>
    </w:p>
    <w:p>
      <w:pPr>
        <w:spacing w:line="376" w:lineRule="auto"/>
        <w:rPr>
          <w:rFonts w:ascii="Arial"/>
          <w:sz w:val="21"/>
        </w:rPr>
      </w:pPr>
      <w:r/>
    </w:p>
    <w:p>
      <w:pPr>
        <w:pStyle w:val="BodyText"/>
        <w:ind w:left="4647"/>
        <w:spacing w:before="59" w:line="212" w:lineRule="auto"/>
        <w:rPr>
          <w:sz w:val="18"/>
          <w:szCs w:val="18"/>
        </w:rPr>
      </w:pPr>
      <w:r>
        <w:rPr>
          <w:sz w:val="18"/>
          <w:szCs w:val="18"/>
        </w:rPr>
        <w:t>市重污染天气应急指挥部宣布终止应急响应并组织相关</w:t>
      </w:r>
      <w:r>
        <w:rPr>
          <w:sz w:val="18"/>
          <w:szCs w:val="18"/>
          <w:spacing w:val="-1"/>
        </w:rPr>
        <w:t>单位进行评估</w:t>
      </w:r>
    </w:p>
    <w:p>
      <w:pPr>
        <w:spacing w:line="376" w:lineRule="auto"/>
        <w:rPr>
          <w:rFonts w:ascii="Arial"/>
          <w:sz w:val="21"/>
        </w:rPr>
      </w:pPr>
      <w:r>
        <w:drawing>
          <wp:anchor distT="0" distB="0" distL="0" distR="0" simplePos="0" relativeHeight="254074880" behindDoc="0" locked="0" layoutInCell="1" allowOverlap="1">
            <wp:simplePos x="0" y="0"/>
            <wp:positionH relativeFrom="column">
              <wp:posOffset>0</wp:posOffset>
            </wp:positionH>
            <wp:positionV relativeFrom="paragraph">
              <wp:posOffset>233640</wp:posOffset>
            </wp:positionV>
            <wp:extent cx="8712200" cy="7619"/>
            <wp:effectExtent l="0" t="0" r="0" b="0"/>
            <wp:wrapNone/>
            <wp:docPr id="2176" name="IM 2176"/>
            <wp:cNvGraphicFramePr/>
            <a:graphic>
              <a:graphicData uri="http://schemas.openxmlformats.org/drawingml/2006/picture">
                <pic:pic>
                  <pic:nvPicPr>
                    <pic:cNvPr id="2176" name="IM 2176"/>
                    <pic:cNvPicPr/>
                  </pic:nvPicPr>
                  <pic:blipFill>
                    <a:blip r:embed="rId1090"/>
                    <a:stretch>
                      <a:fillRect/>
                    </a:stretch>
                  </pic:blipFill>
                  <pic:spPr>
                    <a:xfrm rot="0">
                      <a:off x="0" y="0"/>
                      <a:ext cx="8712200" cy="7619"/>
                    </a:xfrm>
                    <a:prstGeom prst="rect">
                      <a:avLst/>
                    </a:prstGeom>
                  </pic:spPr>
                </pic:pic>
              </a:graphicData>
            </a:graphic>
          </wp:anchor>
        </w:drawing>
      </w:r>
      <w:r/>
    </w:p>
    <w:p>
      <w:pPr>
        <w:ind w:left="22"/>
        <w:spacing w:before="87" w:line="21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450//2021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p>
      <w:pPr>
        <w:spacing w:line="212" w:lineRule="auto"/>
        <w:sectPr>
          <w:headerReference w:type="default" r:id="rId1085"/>
          <w:footerReference w:type="default" r:id="rId58"/>
          <w:pgSz w:w="16839" w:h="11906"/>
          <w:pgMar w:top="1772" w:right="1486" w:bottom="400" w:left="1571" w:header="1428" w:footer="0" w:gutter="0"/>
        </w:sectPr>
        <w:rPr>
          <w:rFonts w:ascii="Microsoft YaHei" w:hAnsi="Microsoft YaHei" w:eastAsia="Microsoft YaHei" w:cs="Microsoft YaHei"/>
          <w:sz w:val="20"/>
          <w:szCs w:val="20"/>
        </w:rPr>
      </w:pPr>
    </w:p>
    <w:p>
      <w:pPr>
        <w:spacing w:line="344" w:lineRule="auto"/>
        <w:rPr>
          <w:rFonts w:ascii="Arial"/>
          <w:sz w:val="21"/>
        </w:rPr>
      </w:pPr>
      <w:r>
        <w:drawing>
          <wp:anchor distT="0" distB="0" distL="0" distR="0" simplePos="0" relativeHeight="254087168" behindDoc="0" locked="0" layoutInCell="1" allowOverlap="1">
            <wp:simplePos x="0" y="0"/>
            <wp:positionH relativeFrom="column">
              <wp:posOffset>5393</wp:posOffset>
            </wp:positionH>
            <wp:positionV relativeFrom="paragraph">
              <wp:posOffset>26109</wp:posOffset>
            </wp:positionV>
            <wp:extent cx="5579745" cy="7620"/>
            <wp:effectExtent l="0" t="0" r="0" b="0"/>
            <wp:wrapNone/>
            <wp:docPr id="2182" name="IM 2182"/>
            <wp:cNvGraphicFramePr/>
            <a:graphic>
              <a:graphicData uri="http://schemas.openxmlformats.org/drawingml/2006/picture">
                <pic:pic>
                  <pic:nvPicPr>
                    <pic:cNvPr id="2182" name="IM 2182"/>
                    <pic:cNvPicPr/>
                  </pic:nvPicPr>
                  <pic:blipFill>
                    <a:blip r:embed="rId1093"/>
                    <a:stretch>
                      <a:fillRect/>
                    </a:stretch>
                  </pic:blipFill>
                  <pic:spPr>
                    <a:xfrm rot="0">
                      <a:off x="0" y="0"/>
                      <a:ext cx="5579745" cy="7620"/>
                    </a:xfrm>
                    <a:prstGeom prst="rect">
                      <a:avLst/>
                    </a:prstGeom>
                  </pic:spPr>
                </pic:pic>
              </a:graphicData>
            </a:graphic>
          </wp:anchor>
        </w:drawing>
      </w:r>
      <w:r/>
    </w:p>
    <w:p>
      <w:pPr>
        <w:spacing w:line="345" w:lineRule="auto"/>
        <w:rPr>
          <w:rFonts w:ascii="Arial"/>
          <w:sz w:val="21"/>
        </w:rPr>
      </w:pPr>
      <w:r/>
    </w:p>
    <w:p>
      <w:pPr>
        <w:ind w:left="1101"/>
        <w:spacing w:before="184" w:line="185"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8"/>
        </w:rPr>
        <w:t>固原市突发重大动物疫情应急预案</w:t>
      </w:r>
    </w:p>
    <w:p>
      <w:pPr>
        <w:spacing w:before="55"/>
        <w:rPr/>
      </w:pPr>
      <w:r/>
    </w:p>
    <w:p>
      <w:pPr>
        <w:spacing w:before="54"/>
        <w:rPr/>
      </w:pPr>
      <w:r/>
    </w:p>
    <w:p>
      <w:pPr>
        <w:sectPr>
          <w:headerReference w:type="default" r:id="rId1091"/>
          <w:footerReference w:type="default" r:id="rId1092"/>
          <w:pgSz w:w="11906" w:h="16839"/>
          <w:pgMar w:top="1766" w:right="1381" w:bottom="1574" w:left="1579" w:header="1428" w:footer="1172" w:gutter="0"/>
          <w:cols w:equalWidth="0" w:num="1">
            <w:col w:w="8945" w:space="0"/>
          </w:cols>
        </w:sectPr>
        <w:rPr/>
      </w:pPr>
    </w:p>
    <w:p>
      <w:pPr>
        <w:ind w:left="449"/>
        <w:spacing w:before="48"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1</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7"/>
        </w:rPr>
        <w:t>总则</w:t>
      </w:r>
    </w:p>
    <w:p>
      <w:pPr>
        <w:pStyle w:val="BodyText"/>
        <w:ind w:left="12" w:right="244" w:firstLine="441"/>
        <w:spacing w:before="103" w:line="348" w:lineRule="auto"/>
        <w:rPr/>
      </w:pPr>
      <w:r>
        <w:rPr>
          <w:rFonts w:ascii="Times New Roman" w:hAnsi="Times New Roman" w:eastAsia="Times New Roman" w:cs="Times New Roman"/>
          <w:spacing w:val="3"/>
        </w:rPr>
        <w:t>1.</w:t>
      </w:r>
      <w:r>
        <w:rPr>
          <w:rFonts w:ascii="Times New Roman" w:hAnsi="Times New Roman" w:eastAsia="Times New Roman" w:cs="Times New Roman"/>
          <w:spacing w:val="-9"/>
        </w:rPr>
        <w:t xml:space="preserve"> </w:t>
      </w:r>
      <w:r>
        <w:rPr>
          <w:rFonts w:ascii="Times New Roman" w:hAnsi="Times New Roman" w:eastAsia="Times New Roman" w:cs="Times New Roman"/>
          <w:spacing w:val="3"/>
        </w:rPr>
        <w:t>1  </w:t>
      </w:r>
      <w:r>
        <w:rPr>
          <w:rFonts w:ascii="KaiTi" w:hAnsi="KaiTi" w:eastAsia="KaiTi" w:cs="KaiTi"/>
          <w:spacing w:val="3"/>
        </w:rPr>
        <w:t>编制</w:t>
      </w:r>
      <w:r>
        <w:rPr>
          <w:rFonts w:ascii="KaiTi" w:hAnsi="KaiTi" w:eastAsia="KaiTi" w:cs="KaiTi"/>
          <w:spacing w:val="-50"/>
        </w:rPr>
        <w:t xml:space="preserve"> </w:t>
      </w:r>
      <w:r>
        <w:rPr>
          <w:rFonts w:ascii="KaiTi" w:hAnsi="KaiTi" w:eastAsia="KaiTi" w:cs="KaiTi"/>
          <w:spacing w:val="3"/>
        </w:rPr>
        <w:t>目的。</w:t>
      </w:r>
      <w:r>
        <w:rPr>
          <w:spacing w:val="3"/>
        </w:rPr>
        <w:t>为及时、有效地预防、控</w:t>
      </w:r>
      <w:r>
        <w:rPr>
          <w:spacing w:val="7"/>
        </w:rPr>
        <w:t>制和扑灭突发重大动物疫情，最大程度地减轻</w:t>
      </w:r>
      <w:r>
        <w:rPr>
          <w:spacing w:val="7"/>
        </w:rPr>
        <w:t>突发重大动物疫情对公共卫生安全、人民身体</w:t>
      </w:r>
      <w:r>
        <w:rPr>
          <w:spacing w:val="7"/>
        </w:rPr>
        <w:t>健康以及畜牧业造成的危害，保持经济持续稳</w:t>
      </w:r>
      <w:r>
        <w:rPr>
          <w:spacing w:val="-8"/>
        </w:rPr>
        <w:t>定健康发展，保障人民身体健康，特制定本预案。</w:t>
      </w:r>
    </w:p>
    <w:p>
      <w:pPr>
        <w:pStyle w:val="BodyText"/>
        <w:ind w:left="12" w:right="311" w:firstLine="441"/>
        <w:spacing w:before="166" w:line="361" w:lineRule="auto"/>
        <w:rPr/>
      </w:pPr>
      <w:r>
        <w:rPr>
          <w:rFonts w:ascii="Times New Roman" w:hAnsi="Times New Roman" w:eastAsia="Times New Roman" w:cs="Times New Roman"/>
          <w:spacing w:val="7"/>
        </w:rPr>
        <w:t>1.2  </w:t>
      </w:r>
      <w:r>
        <w:rPr>
          <w:rFonts w:ascii="KaiTi" w:hAnsi="KaiTi" w:eastAsia="KaiTi" w:cs="KaiTi"/>
          <w:spacing w:val="7"/>
        </w:rPr>
        <w:t>编制依据。</w:t>
      </w:r>
      <w:r>
        <w:rPr>
          <w:spacing w:val="7"/>
        </w:rPr>
        <w:t>《中华人民共和国突发事</w:t>
      </w:r>
      <w:r>
        <w:rPr>
          <w:spacing w:val="-3"/>
        </w:rPr>
        <w:t>件应对法》《中华人民共和国动物防疫法》《中</w:t>
      </w:r>
      <w:r>
        <w:rPr>
          <w:spacing w:val="7"/>
        </w:rPr>
        <w:t>华人民共和国进出境动植物检疫法》《重大动</w:t>
      </w:r>
      <w:r>
        <w:rPr>
          <w:spacing w:val="-2"/>
        </w:rPr>
        <w:t>物疫情应急条例》《国家突发重大动物疫情应急</w:t>
      </w:r>
      <w:r>
        <w:rPr>
          <w:spacing w:val="-11"/>
        </w:rPr>
        <w:t>预案》《宁夏回族自治区突发事件应对条例》《宁</w:t>
      </w:r>
      <w:r>
        <w:rPr>
          <w:spacing w:val="-2"/>
        </w:rPr>
        <w:t>夏回族自治区动物防疫条例》《宁夏回族自治区</w:t>
      </w:r>
      <w:r>
        <w:rPr>
          <w:spacing w:val="-5"/>
        </w:rPr>
        <w:t>突发公共事件应急预案》等。</w:t>
      </w:r>
    </w:p>
    <w:p>
      <w:pPr>
        <w:pStyle w:val="BodyText"/>
        <w:ind w:left="12" w:right="327" w:firstLine="441"/>
        <w:spacing w:before="144" w:line="346" w:lineRule="auto"/>
        <w:rPr/>
      </w:pPr>
      <w:r>
        <w:rPr>
          <w:rFonts w:ascii="Times New Roman" w:hAnsi="Times New Roman" w:eastAsia="Times New Roman" w:cs="Times New Roman"/>
          <w:spacing w:val="7"/>
        </w:rPr>
        <w:t>1.3  </w:t>
      </w:r>
      <w:r>
        <w:rPr>
          <w:rFonts w:ascii="KaiTi" w:hAnsi="KaiTi" w:eastAsia="KaiTi" w:cs="KaiTi"/>
          <w:spacing w:val="7"/>
        </w:rPr>
        <w:t>适用范围。</w:t>
      </w:r>
      <w:r>
        <w:rPr>
          <w:spacing w:val="7"/>
        </w:rPr>
        <w:t>本预案适用于固原市行政</w:t>
      </w:r>
      <w:r>
        <w:rPr>
          <w:spacing w:val="7"/>
        </w:rPr>
        <w:t>区域内对公共卫生安全、人民身体健康以及畜</w:t>
      </w:r>
      <w:r>
        <w:rPr>
          <w:spacing w:val="18"/>
        </w:rPr>
        <w:t>牧业造成或者可能造成危害的突发重大动物</w:t>
      </w:r>
      <w:r>
        <w:rPr>
          <w:spacing w:val="8"/>
        </w:rPr>
        <w:t>疫情的应急处置工作。</w:t>
      </w:r>
    </w:p>
    <w:p>
      <w:pPr>
        <w:ind w:left="453"/>
        <w:spacing w:before="176" w:line="241" w:lineRule="auto"/>
        <w:rPr>
          <w:rFonts w:ascii="KaiTi" w:hAnsi="KaiTi" w:eastAsia="KaiTi" w:cs="KaiTi"/>
          <w:sz w:val="20"/>
          <w:szCs w:val="20"/>
        </w:rPr>
      </w:pPr>
      <w:r>
        <w:rPr>
          <w:rFonts w:ascii="Times New Roman" w:hAnsi="Times New Roman" w:eastAsia="Times New Roman" w:cs="Times New Roman"/>
          <w:sz w:val="20"/>
          <w:szCs w:val="20"/>
          <w:spacing w:val="1"/>
        </w:rPr>
        <w:t>1.4</w:t>
      </w:r>
      <w:r>
        <w:rPr>
          <w:rFonts w:ascii="Times New Roman" w:hAnsi="Times New Roman" w:eastAsia="Times New Roman" w:cs="Times New Roman"/>
          <w:sz w:val="20"/>
          <w:szCs w:val="20"/>
          <w:spacing w:val="10"/>
        </w:rPr>
        <w:t xml:space="preserve">  </w:t>
      </w:r>
      <w:r>
        <w:rPr>
          <w:rFonts w:ascii="KaiTi" w:hAnsi="KaiTi" w:eastAsia="KaiTi" w:cs="KaiTi"/>
          <w:sz w:val="20"/>
          <w:szCs w:val="20"/>
          <w:spacing w:val="1"/>
        </w:rPr>
        <w:t>工作原则。</w:t>
      </w:r>
    </w:p>
    <w:p>
      <w:pPr>
        <w:pStyle w:val="BodyText"/>
        <w:ind w:left="11" w:right="327" w:firstLine="413"/>
        <w:spacing w:before="162" w:line="367"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）统一领导，分级管理。疫情应急处</w:t>
      </w:r>
      <w:r>
        <w:rPr>
          <w:spacing w:val="7"/>
        </w:rPr>
        <w:t>置工作实行属地管理，市县区政府统一领导和</w:t>
      </w:r>
      <w:r>
        <w:rPr>
          <w:spacing w:val="7"/>
        </w:rPr>
        <w:t>指挥突发重大动物疫情应急处置工作，负责扑</w:t>
      </w:r>
      <w:r>
        <w:rPr>
          <w:spacing w:val="7"/>
        </w:rPr>
        <w:t>灭本行政区域内的突发重大动物疫情，市直各</w:t>
      </w:r>
      <w:r>
        <w:rPr>
          <w:spacing w:val="7"/>
        </w:rPr>
        <w:t>有关部门按照预案规定，在各自职责范围内做</w:t>
      </w:r>
      <w:r>
        <w:rPr>
          <w:spacing w:val="7"/>
        </w:rPr>
        <w:t>好疫情应急处置的有关工作。根据突发重大动</w:t>
      </w:r>
      <w:r>
        <w:rPr>
          <w:spacing w:val="7"/>
        </w:rPr>
        <w:t>物疫情的范围、性质和危害程度，对突发重大</w:t>
      </w:r>
      <w:r>
        <w:rPr>
          <w:spacing w:val="8"/>
        </w:rPr>
        <w:t>动物疫情实行分级管理。</w:t>
      </w:r>
    </w:p>
    <w:p>
      <w:pPr>
        <w:pStyle w:val="BodyText"/>
        <w:ind w:left="424"/>
        <w:spacing w:before="177" w:line="277" w:lineRule="exact"/>
        <w:rPr/>
      </w:pPr>
      <w:r>
        <w:rPr>
          <w:spacing w:val="11"/>
          <w:position w:val="1"/>
        </w:rPr>
        <w:t>（</w:t>
      </w:r>
      <w:r>
        <w:rPr>
          <w:rFonts w:ascii="Times New Roman" w:hAnsi="Times New Roman" w:eastAsia="Times New Roman" w:cs="Times New Roman"/>
          <w:spacing w:val="11"/>
          <w:position w:val="1"/>
        </w:rPr>
        <w:t>2</w:t>
      </w:r>
      <w:r>
        <w:rPr>
          <w:rFonts w:ascii="Times New Roman" w:hAnsi="Times New Roman" w:eastAsia="Times New Roman" w:cs="Times New Roman"/>
          <w:spacing w:val="-18"/>
          <w:position w:val="1"/>
        </w:rPr>
        <w:t xml:space="preserve"> </w:t>
      </w:r>
      <w:r>
        <w:rPr>
          <w:spacing w:val="11"/>
          <w:position w:val="1"/>
        </w:rPr>
        <w:t>）快速反应，高效运转。各级政府和</w:t>
      </w:r>
    </w:p>
    <w:p>
      <w:pPr>
        <w:spacing w:line="14" w:lineRule="auto"/>
        <w:rPr>
          <w:rFonts w:ascii="Arial"/>
          <w:sz w:val="2"/>
        </w:rPr>
      </w:pPr>
      <w:r>
        <w:rPr>
          <w:rFonts w:ascii="Arial" w:hAnsi="Arial" w:eastAsia="Arial" w:cs="Arial"/>
          <w:sz w:val="2"/>
          <w:szCs w:val="2"/>
        </w:rPr>
        <w:br w:type="column"/>
      </w:r>
    </w:p>
    <w:p>
      <w:pPr>
        <w:pStyle w:val="BodyText"/>
        <w:ind w:left="3" w:right="208" w:hanging="3"/>
        <w:spacing w:before="66" w:line="387" w:lineRule="auto"/>
        <w:jc w:val="both"/>
        <w:rPr/>
      </w:pPr>
      <w:r>
        <w:rPr>
          <w:spacing w:val="7"/>
        </w:rPr>
        <w:t>农业农村部门要依照有关法律、法规，建立和</w:t>
      </w:r>
      <w:r>
        <w:rPr>
          <w:spacing w:val="7"/>
        </w:rPr>
        <w:t>完善突发重大动物疫情应急体系、应急反应机</w:t>
      </w:r>
      <w:r>
        <w:rPr>
          <w:spacing w:val="7"/>
        </w:rPr>
        <w:t>制和应急处置制度，提高突发重大动物疫情应</w:t>
      </w:r>
      <w:r>
        <w:rPr>
          <w:spacing w:val="7"/>
        </w:rPr>
        <w:t>急处置能力；发生突发重大动物疫情时，各级</w:t>
      </w:r>
      <w:r>
        <w:rPr>
          <w:spacing w:val="7"/>
        </w:rPr>
        <w:t>政府要迅速作出反应，采取果断措施，及时控</w:t>
      </w:r>
      <w:r>
        <w:rPr>
          <w:spacing w:val="8"/>
        </w:rPr>
        <w:t>制和扑灭突发重大动物疫情。</w:t>
      </w:r>
    </w:p>
    <w:p>
      <w:pPr>
        <w:pStyle w:val="BodyText"/>
        <w:ind w:left="2" w:right="208" w:firstLine="412"/>
        <w:spacing w:line="387" w:lineRule="auto"/>
        <w:jc w:val="both"/>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）预防为主，群防群控。贯彻预防为</w:t>
      </w:r>
      <w:r>
        <w:rPr>
          <w:spacing w:val="7"/>
        </w:rPr>
        <w:t>主的方针，加强防疫知识的宣传，提高全社会</w:t>
      </w:r>
      <w:r>
        <w:rPr>
          <w:spacing w:val="7"/>
        </w:rPr>
        <w:t>防范突发重大动物疫情的意识；落实各项防范</w:t>
      </w:r>
      <w:r>
        <w:rPr>
          <w:spacing w:val="7"/>
        </w:rPr>
        <w:t>措施，做好人员、技术、物资和设备的应急储</w:t>
      </w:r>
      <w:r>
        <w:rPr>
          <w:spacing w:val="7"/>
        </w:rPr>
        <w:t>备工作，并根据需要定期开展技术培训和应急</w:t>
      </w:r>
      <w:r>
        <w:rPr>
          <w:spacing w:val="7"/>
        </w:rPr>
        <w:t>演练；开展疫情监测和预警预报，对各类可能</w:t>
      </w:r>
      <w:r>
        <w:rPr>
          <w:spacing w:val="7"/>
        </w:rPr>
        <w:t>引发突发重大动物疫情的情况要及时分析、预</w:t>
      </w:r>
      <w:r>
        <w:rPr>
          <w:spacing w:val="7"/>
        </w:rPr>
        <w:t>警，做到疫情早发现、快行动、严处置。突发</w:t>
      </w:r>
      <w:r>
        <w:rPr>
          <w:spacing w:val="7"/>
        </w:rPr>
        <w:t>重大动物疫情应急管理工作要依靠群众，全民</w:t>
      </w:r>
      <w:r>
        <w:rPr>
          <w:spacing w:val="9"/>
        </w:rPr>
        <w:t>防疫，动员一切资源，做到群防群控。</w:t>
      </w:r>
    </w:p>
    <w:p>
      <w:pPr>
        <w:ind w:left="424"/>
        <w:spacing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2</w:t>
      </w:r>
      <w:r>
        <w:rPr>
          <w:rFonts w:ascii="Microsoft YaHei" w:hAnsi="Microsoft YaHei" w:eastAsia="Microsoft YaHei" w:cs="Microsoft YaHei"/>
          <w:sz w:val="20"/>
          <w:szCs w:val="20"/>
          <w:spacing w:val="15"/>
          <w:w w:val="101"/>
        </w:rPr>
        <w:t xml:space="preserve">   </w:t>
      </w:r>
      <w:r>
        <w:rPr>
          <w:rFonts w:ascii="Microsoft YaHei" w:hAnsi="Microsoft YaHei" w:eastAsia="Microsoft YaHei" w:cs="Microsoft YaHei"/>
          <w:sz w:val="20"/>
          <w:szCs w:val="20"/>
          <w:spacing w:val="3"/>
        </w:rPr>
        <w:t>组织体系</w:t>
      </w:r>
    </w:p>
    <w:p>
      <w:pPr>
        <w:ind w:left="423"/>
        <w:spacing w:before="116" w:line="242" w:lineRule="auto"/>
        <w:rPr>
          <w:rFonts w:ascii="KaiTi" w:hAnsi="KaiTi" w:eastAsia="KaiTi" w:cs="KaiTi"/>
          <w:sz w:val="20"/>
          <w:szCs w:val="20"/>
        </w:rPr>
      </w:pPr>
      <w:r>
        <w:rPr>
          <w:rFonts w:ascii="Times New Roman" w:hAnsi="Times New Roman" w:eastAsia="Times New Roman" w:cs="Times New Roman"/>
          <w:sz w:val="20"/>
          <w:szCs w:val="20"/>
          <w:spacing w:val="16"/>
        </w:rPr>
        <w:t>2.</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spacing w:val="16"/>
        </w:rPr>
        <w:t>1</w:t>
      </w:r>
      <w:r>
        <w:rPr>
          <w:rFonts w:ascii="Times New Roman" w:hAnsi="Times New Roman" w:eastAsia="Times New Roman" w:cs="Times New Roman"/>
          <w:sz w:val="20"/>
          <w:szCs w:val="20"/>
        </w:rPr>
        <w:t xml:space="preserve">   </w:t>
      </w:r>
      <w:r>
        <w:rPr>
          <w:rFonts w:ascii="KaiTi" w:hAnsi="KaiTi" w:eastAsia="KaiTi" w:cs="KaiTi"/>
          <w:sz w:val="20"/>
          <w:szCs w:val="20"/>
          <w:spacing w:val="16"/>
        </w:rPr>
        <w:t>固原市突发重大动物疫情应急指挥</w:t>
      </w:r>
    </w:p>
    <w:p>
      <w:pPr>
        <w:pStyle w:val="BodyText"/>
        <w:ind w:left="3" w:right="125"/>
        <w:spacing w:before="157" w:line="387" w:lineRule="auto"/>
        <w:rPr/>
      </w:pPr>
      <w:r>
        <w:rPr>
          <w:rFonts w:ascii="KaiTi" w:hAnsi="KaiTi" w:eastAsia="KaiTi" w:cs="KaiTi"/>
          <w:spacing w:val="4"/>
        </w:rPr>
        <w:t>部。</w:t>
      </w:r>
      <w:r>
        <w:rPr>
          <w:spacing w:val="4"/>
        </w:rPr>
        <w:t>市政府突发事件应急管理委员会（</w:t>
      </w:r>
      <w:r>
        <w:rPr>
          <w:spacing w:val="-36"/>
        </w:rPr>
        <w:t xml:space="preserve"> </w:t>
      </w:r>
      <w:r>
        <w:rPr>
          <w:spacing w:val="4"/>
        </w:rPr>
        <w:t>以下简</w:t>
      </w:r>
      <w:r>
        <w:rPr>
          <w:spacing w:val="8"/>
        </w:rPr>
        <w:t>称</w:t>
      </w:r>
      <w:r>
        <w:rPr>
          <w:rFonts w:ascii="Times New Roman" w:hAnsi="Times New Roman" w:eastAsia="Times New Roman" w:cs="Times New Roman"/>
          <w:spacing w:val="8"/>
        </w:rPr>
        <w:t>“</w:t>
      </w:r>
      <w:r>
        <w:rPr>
          <w:spacing w:val="8"/>
        </w:rPr>
        <w:t>市应急委</w:t>
      </w:r>
      <w:r>
        <w:rPr>
          <w:rFonts w:ascii="Times New Roman" w:hAnsi="Times New Roman" w:eastAsia="Times New Roman" w:cs="Times New Roman"/>
          <w:spacing w:val="8"/>
        </w:rPr>
        <w:t>”</w:t>
      </w:r>
      <w:r>
        <w:rPr>
          <w:spacing w:val="8"/>
        </w:rPr>
        <w:t>）下设市突发重大动物疫情</w:t>
      </w:r>
      <w:r>
        <w:rPr>
          <w:spacing w:val="7"/>
        </w:rPr>
        <w:t>应急</w:t>
      </w:r>
      <w:r>
        <w:rPr/>
        <w:t>指挥部（</w:t>
      </w:r>
      <w:r>
        <w:rPr>
          <w:spacing w:val="-48"/>
        </w:rPr>
        <w:t xml:space="preserve"> </w:t>
      </w:r>
      <w:r>
        <w:rPr/>
        <w:t>以下简称</w:t>
      </w:r>
      <w:r>
        <w:rPr>
          <w:rFonts w:ascii="Times New Roman" w:hAnsi="Times New Roman" w:eastAsia="Times New Roman" w:cs="Times New Roman"/>
        </w:rPr>
        <w:t>“</w:t>
      </w:r>
      <w:r>
        <w:rPr/>
        <w:t>市应急指挥部</w:t>
      </w:r>
      <w:r>
        <w:rPr>
          <w:rFonts w:ascii="Times New Roman" w:hAnsi="Times New Roman" w:eastAsia="Times New Roman" w:cs="Times New Roman"/>
        </w:rPr>
        <w:t>”</w:t>
      </w:r>
      <w:r>
        <w:rPr/>
        <w:t>）。在市</w:t>
      </w:r>
      <w:r>
        <w:rPr>
          <w:spacing w:val="-1"/>
        </w:rPr>
        <w:t>委、</w:t>
      </w:r>
    </w:p>
    <w:p>
      <w:pPr>
        <w:pStyle w:val="BodyText"/>
        <w:ind w:left="4" w:firstLine="8"/>
        <w:spacing w:before="8" w:line="388" w:lineRule="auto"/>
        <w:rPr/>
      </w:pPr>
      <w:r>
        <w:rPr>
          <w:spacing w:val="6"/>
        </w:rPr>
        <w:t>市政府安排部署下，负责领导、组织、协调突发</w:t>
      </w:r>
      <w:r>
        <w:rPr>
          <w:spacing w:val="7"/>
        </w:rPr>
        <w:t>重大动物疫情应急管理工作，统一指挥突发重</w:t>
      </w:r>
    </w:p>
    <w:p>
      <w:pPr>
        <w:pStyle w:val="BodyText"/>
        <w:ind w:left="8"/>
        <w:spacing w:line="220" w:lineRule="auto"/>
        <w:rPr/>
      </w:pPr>
      <w:r>
        <w:rPr>
          <w:spacing w:val="8"/>
        </w:rPr>
        <w:t>大动物疫情应急处置工作。</w:t>
      </w:r>
    </w:p>
    <w:p>
      <w:pPr>
        <w:pStyle w:val="BodyText"/>
        <w:ind w:left="425"/>
        <w:spacing w:before="176" w:line="277" w:lineRule="exact"/>
        <w:rPr/>
      </w:pPr>
      <w:r>
        <w:rPr>
          <w:spacing w:val="8"/>
          <w:position w:val="1"/>
        </w:rPr>
        <w:t>指 挥 长：市政府分管副市长</w:t>
      </w:r>
    </w:p>
    <w:p>
      <w:pPr>
        <w:pStyle w:val="BodyText"/>
        <w:ind w:left="5" w:right="209" w:firstLine="423"/>
        <w:spacing w:before="143" w:line="288" w:lineRule="auto"/>
        <w:rPr/>
      </w:pPr>
      <w:r>
        <w:rPr>
          <w:spacing w:val="6"/>
        </w:rPr>
        <w:t>副指挥长：市农业农村局局长、市政府分</w:t>
      </w:r>
      <w:r>
        <w:rPr>
          <w:spacing w:val="8"/>
        </w:rPr>
        <w:t>管副秘书长</w:t>
      </w:r>
    </w:p>
    <w:p>
      <w:pPr>
        <w:spacing w:line="288" w:lineRule="auto"/>
        <w:sectPr>
          <w:type w:val="continuous"/>
          <w:pgSz w:w="11906" w:h="16839"/>
          <w:pgMar w:top="1766" w:right="1381" w:bottom="1574" w:left="1579" w:header="1428" w:footer="1172" w:gutter="0"/>
          <w:cols w:equalWidth="0" w:num="2">
            <w:col w:w="4487" w:space="100"/>
            <w:col w:w="4358" w:space="0"/>
          </w:cols>
        </w:sectPr>
        <w:rPr/>
      </w:pPr>
    </w:p>
    <w:p>
      <w:pPr>
        <w:spacing w:before="70"/>
        <w:rPr/>
      </w:pPr>
      <w:r>
        <w:drawing>
          <wp:anchor distT="0" distB="0" distL="0" distR="0" simplePos="0" relativeHeight="254101504"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186" name="IM 2186"/>
            <wp:cNvGraphicFramePr/>
            <a:graphic>
              <a:graphicData uri="http://schemas.openxmlformats.org/drawingml/2006/picture">
                <pic:pic>
                  <pic:nvPicPr>
                    <pic:cNvPr id="2186" name="IM 2186"/>
                    <pic:cNvPicPr/>
                  </pic:nvPicPr>
                  <pic:blipFill>
                    <a:blip r:embed="rId1095"/>
                    <a:stretch>
                      <a:fillRect/>
                    </a:stretch>
                  </pic:blipFill>
                  <pic:spPr>
                    <a:xfrm rot="0">
                      <a:off x="0" y="0"/>
                      <a:ext cx="5579745" cy="7620"/>
                    </a:xfrm>
                    <a:prstGeom prst="rect">
                      <a:avLst/>
                    </a:prstGeom>
                  </pic:spPr>
                </pic:pic>
              </a:graphicData>
            </a:graphic>
          </wp:anchor>
        </w:drawing>
      </w:r>
      <w:r/>
    </w:p>
    <w:p>
      <w:pPr>
        <w:sectPr>
          <w:headerReference w:type="default" r:id="rId1048"/>
          <w:footerReference w:type="default" r:id="rId1094"/>
          <w:pgSz w:w="11906" w:h="16839"/>
          <w:pgMar w:top="1772" w:right="1489" w:bottom="1572" w:left="1571" w:header="1428" w:footer="1172" w:gutter="0"/>
          <w:cols w:equalWidth="0" w:num="1">
            <w:col w:w="8846" w:space="0"/>
          </w:cols>
        </w:sectPr>
        <w:rPr/>
      </w:pPr>
    </w:p>
    <w:p>
      <w:pPr>
        <w:pStyle w:val="BodyText"/>
        <w:ind w:left="18" w:right="249" w:firstLine="423"/>
        <w:spacing w:before="45" w:line="379" w:lineRule="auto"/>
        <w:jc w:val="both"/>
        <w:rPr/>
      </w:pPr>
      <w:r>
        <w:rPr/>
        <w:t>成员单位：市发展和改革委员会、财政局、</w:t>
      </w:r>
      <w:r>
        <w:rPr>
          <w:spacing w:val="10"/>
        </w:rPr>
        <w:t>公安局、民政局、科学技术局、交通运输局、</w:t>
      </w:r>
      <w:r>
        <w:rPr>
          <w:spacing w:val="10"/>
        </w:rPr>
        <w:t>农业农村局、市场监督管理局、商务投资局、</w:t>
      </w:r>
      <w:r>
        <w:rPr>
          <w:spacing w:val="7"/>
        </w:rPr>
        <w:t>卫生健康委员会、自然资源局、水务局、文化</w:t>
      </w:r>
      <w:r>
        <w:rPr>
          <w:spacing w:val="7"/>
        </w:rPr>
        <w:t>旅游广播电视局、监察局、人力资源社会保障</w:t>
      </w:r>
      <w:r>
        <w:rPr>
          <w:spacing w:val="1"/>
        </w:rPr>
        <w:t>局、固原车务段以及原州区、西吉县、隆德县、</w:t>
      </w:r>
      <w:r>
        <w:rPr>
          <w:spacing w:val="8"/>
        </w:rPr>
        <w:t>泾源县、彭阳县政府。</w:t>
      </w:r>
    </w:p>
    <w:p>
      <w:pPr>
        <w:pStyle w:val="BodyText"/>
        <w:ind w:left="22" w:right="330" w:firstLine="420"/>
        <w:spacing w:before="1" w:line="378" w:lineRule="auto"/>
        <w:jc w:val="both"/>
        <w:rPr/>
      </w:pPr>
      <w:r>
        <w:rPr>
          <w:spacing w:val="19"/>
        </w:rPr>
        <w:t>市应急指挥部按照职责分工和协同联动</w:t>
      </w:r>
      <w:r>
        <w:rPr>
          <w:spacing w:val="7"/>
        </w:rPr>
        <w:t>工作需要，组织各成员单位按照职责分工开展</w:t>
      </w:r>
      <w:r>
        <w:rPr>
          <w:spacing w:val="-5"/>
        </w:rPr>
        <w:t>突发重大动物疫情及衍生灾害的应急处置工作。</w:t>
      </w:r>
    </w:p>
    <w:p>
      <w:pPr>
        <w:ind w:left="442"/>
        <w:spacing w:line="242" w:lineRule="auto"/>
        <w:rPr>
          <w:rFonts w:ascii="KaiTi" w:hAnsi="KaiTi" w:eastAsia="KaiTi" w:cs="KaiTi"/>
          <w:sz w:val="20"/>
          <w:szCs w:val="20"/>
        </w:rPr>
      </w:pPr>
      <w:r>
        <w:rPr>
          <w:rFonts w:ascii="Times New Roman" w:hAnsi="Times New Roman" w:eastAsia="Times New Roman" w:cs="Times New Roman"/>
          <w:sz w:val="20"/>
          <w:szCs w:val="20"/>
          <w:spacing w:val="5"/>
        </w:rPr>
        <w:t>2.2  </w:t>
      </w:r>
      <w:r>
        <w:rPr>
          <w:rFonts w:ascii="KaiTi" w:hAnsi="KaiTi" w:eastAsia="KaiTi" w:cs="KaiTi"/>
          <w:sz w:val="20"/>
          <w:szCs w:val="20"/>
          <w:spacing w:val="5"/>
        </w:rPr>
        <w:t>成员单位职责。</w:t>
      </w:r>
    </w:p>
    <w:p>
      <w:pPr>
        <w:pStyle w:val="BodyText"/>
        <w:ind w:left="21" w:right="330" w:firstLine="422"/>
        <w:spacing w:before="146" w:line="374" w:lineRule="auto"/>
        <w:rPr/>
      </w:pPr>
      <w:r>
        <w:rPr>
          <w:spacing w:val="19"/>
        </w:rPr>
        <w:t>市发展和改革委员会：负责全市动物防</w:t>
      </w:r>
      <w:r>
        <w:rPr>
          <w:spacing w:val="7"/>
        </w:rPr>
        <w:t>疫、动物检疫监督执法及疫情应急物资储运等</w:t>
      </w:r>
      <w:r>
        <w:rPr>
          <w:spacing w:val="8"/>
        </w:rPr>
        <w:t>基础设施建设的计划安排。</w:t>
      </w:r>
    </w:p>
    <w:p>
      <w:pPr>
        <w:pStyle w:val="BodyText"/>
        <w:ind w:left="21" w:right="307" w:firstLine="422"/>
        <w:spacing w:before="16" w:line="373" w:lineRule="auto"/>
        <w:jc w:val="both"/>
        <w:rPr/>
      </w:pPr>
      <w:r>
        <w:rPr>
          <w:spacing w:val="8"/>
        </w:rPr>
        <w:t>市财政局：负责保障突发动物疫情预防、</w:t>
      </w:r>
      <w:r>
        <w:rPr>
          <w:spacing w:val="7"/>
        </w:rPr>
        <w:t>监测、应急处置工作所需经费，做好经费使用</w:t>
      </w:r>
      <w:r>
        <w:rPr>
          <w:spacing w:val="8"/>
        </w:rPr>
        <w:t>的监督管理工作。</w:t>
      </w:r>
    </w:p>
    <w:p>
      <w:pPr>
        <w:pStyle w:val="BodyText"/>
        <w:ind w:left="20" w:right="307" w:firstLine="423"/>
        <w:spacing w:before="15" w:line="374" w:lineRule="auto"/>
        <w:jc w:val="both"/>
        <w:rPr/>
      </w:pPr>
      <w:r>
        <w:rPr>
          <w:spacing w:val="6"/>
        </w:rPr>
        <w:t>市公安局：负责疫区社会治安管理和安全</w:t>
      </w:r>
      <w:r>
        <w:rPr>
          <w:spacing w:val="8"/>
        </w:rPr>
        <w:t>保卫工作，维护疫区社会秩序。依法、及时、</w:t>
      </w:r>
      <w:r>
        <w:rPr>
          <w:spacing w:val="9"/>
        </w:rPr>
        <w:t>妥善处置与疫情有关的突发事件。</w:t>
      </w:r>
    </w:p>
    <w:p>
      <w:pPr>
        <w:pStyle w:val="BodyText"/>
        <w:ind w:left="21" w:right="323" w:firstLine="421"/>
        <w:spacing w:before="15" w:line="373" w:lineRule="auto"/>
        <w:jc w:val="both"/>
        <w:rPr/>
      </w:pPr>
      <w:r>
        <w:rPr>
          <w:spacing w:val="6"/>
        </w:rPr>
        <w:t>市民政局：负责做好社会各界向疫区提供</w:t>
      </w:r>
      <w:r>
        <w:rPr>
          <w:spacing w:val="7"/>
        </w:rPr>
        <w:t>的救援物资及资金的接受、分配和使用工作，</w:t>
      </w:r>
      <w:r>
        <w:rPr>
          <w:spacing w:val="7"/>
        </w:rPr>
        <w:t>救助受灾群众。</w:t>
      </w:r>
    </w:p>
    <w:p>
      <w:pPr>
        <w:pStyle w:val="BodyText"/>
        <w:ind w:left="21" w:right="330" w:firstLine="422"/>
        <w:spacing w:before="18" w:line="372" w:lineRule="auto"/>
        <w:jc w:val="both"/>
        <w:rPr/>
      </w:pPr>
      <w:r>
        <w:rPr>
          <w:spacing w:val="6"/>
        </w:rPr>
        <w:t>市科学技术局：负责动物疫情应急控制技</w:t>
      </w:r>
      <w:r>
        <w:rPr>
          <w:spacing w:val="7"/>
        </w:rPr>
        <w:t>术储备和科普宣传，安排重大动物疫病防治课</w:t>
      </w:r>
      <w:r>
        <w:rPr>
          <w:spacing w:val="6"/>
        </w:rPr>
        <w:t>题的研究。</w:t>
      </w:r>
    </w:p>
    <w:p>
      <w:pPr>
        <w:pStyle w:val="BodyText"/>
        <w:ind w:left="21" w:right="330" w:firstLine="422"/>
        <w:spacing w:before="21" w:line="378" w:lineRule="auto"/>
        <w:jc w:val="both"/>
        <w:rPr/>
      </w:pPr>
      <w:r>
        <w:rPr>
          <w:spacing w:val="6"/>
        </w:rPr>
        <w:t>市交通运输局：协助做好公路交通设卡堵</w:t>
      </w:r>
      <w:r>
        <w:rPr>
          <w:spacing w:val="7"/>
        </w:rPr>
        <w:t>疫工作，保障应急处置人员以及疫苗、消毒药</w:t>
      </w:r>
      <w:r>
        <w:rPr>
          <w:spacing w:val="9"/>
        </w:rPr>
        <w:t>品、器械等应急物资运输车辆优先通行。</w:t>
      </w:r>
    </w:p>
    <w:p>
      <w:pPr>
        <w:pStyle w:val="BodyText"/>
        <w:ind w:left="21" w:right="330" w:firstLine="422"/>
        <w:spacing w:before="1" w:line="317" w:lineRule="auto"/>
        <w:jc w:val="both"/>
        <w:rPr/>
      </w:pPr>
      <w:r>
        <w:rPr>
          <w:spacing w:val="6"/>
        </w:rPr>
        <w:t>市农业农村局：负责制定突发重大动物疫</w:t>
      </w:r>
      <w:r>
        <w:rPr>
          <w:spacing w:val="7"/>
        </w:rPr>
        <w:t>情防治技术方案；统一组织实施突发重大动物</w:t>
      </w:r>
      <w:r>
        <w:rPr>
          <w:spacing w:val="7"/>
        </w:rPr>
        <w:t>疫情的防控措施，检查、督导防控工作；建立</w:t>
      </w:r>
    </w:p>
    <w:p>
      <w:pPr>
        <w:spacing w:line="14" w:lineRule="auto"/>
        <w:rPr>
          <w:rFonts w:ascii="Arial"/>
          <w:sz w:val="2"/>
        </w:rPr>
      </w:pPr>
      <w:r>
        <w:rPr>
          <w:rFonts w:ascii="Arial" w:hAnsi="Arial" w:eastAsia="Arial" w:cs="Arial"/>
          <w:sz w:val="2"/>
          <w:szCs w:val="2"/>
        </w:rPr>
        <w:br w:type="column"/>
      </w:r>
    </w:p>
    <w:p>
      <w:pPr>
        <w:pStyle w:val="BodyText"/>
        <w:ind w:right="34" w:firstLine="9"/>
        <w:spacing w:before="47" w:line="378" w:lineRule="auto"/>
        <w:jc w:val="both"/>
        <w:rPr/>
      </w:pPr>
      <w:r>
        <w:rPr>
          <w:spacing w:val="6"/>
        </w:rPr>
        <w:t>紧急防疫物资储备库，组建重大动物疫病应急</w:t>
      </w:r>
      <w:r>
        <w:rPr>
          <w:spacing w:val="7"/>
        </w:rPr>
        <w:t>处理专家组和应急处理预备队；组织开展重大</w:t>
      </w:r>
      <w:r>
        <w:rPr>
          <w:spacing w:val="7"/>
        </w:rPr>
        <w:t>动物疫情的控制和扑灭工作；划定疫点、疫区</w:t>
      </w:r>
      <w:r>
        <w:rPr/>
        <w:t>和受威胁区，提出封锁建议，并参与组织实施；</w:t>
      </w:r>
      <w:r>
        <w:rPr>
          <w:spacing w:val="18"/>
        </w:rPr>
        <w:t>组织对疫点内病畜禽及规定扑杀易感动物的</w:t>
      </w:r>
      <w:r>
        <w:rPr>
          <w:spacing w:val="7"/>
        </w:rPr>
        <w:t>扑杀及无害化处理工作与疫点、疫区封锁期内</w:t>
      </w:r>
      <w:r>
        <w:rPr>
          <w:spacing w:val="7"/>
        </w:rPr>
        <w:t>的消毒工作；组织对疫区、受威胁区内易感动</w:t>
      </w:r>
      <w:r>
        <w:rPr>
          <w:spacing w:val="7"/>
        </w:rPr>
        <w:t>物实施紧急免疫接种；开展疫情监测、预报和</w:t>
      </w:r>
      <w:r>
        <w:rPr>
          <w:spacing w:val="7"/>
        </w:rPr>
        <w:t>流行病学调查；提出启动、停止疫情应急控制</w:t>
      </w:r>
      <w:r>
        <w:rPr>
          <w:spacing w:val="7"/>
        </w:rPr>
        <w:t>措施建议；组织对扑杀及补偿等费用和疫情损</w:t>
      </w:r>
      <w:r>
        <w:rPr>
          <w:spacing w:val="10"/>
        </w:rPr>
        <w:t>失的评估。负责做好出入境动物及动物产品，</w:t>
      </w:r>
      <w:r>
        <w:rPr>
          <w:spacing w:val="18"/>
        </w:rPr>
        <w:t>特别是调入补栏动物的审核审批和检验检疫</w:t>
      </w:r>
      <w:r>
        <w:rPr>
          <w:spacing w:val="10"/>
        </w:rPr>
        <w:t>指导工作，防止疫病的传入传出；及时收集、</w:t>
      </w:r>
      <w:r>
        <w:rPr>
          <w:spacing w:val="7"/>
        </w:rPr>
        <w:t>分析境外重大动物疫情信息，并及时向应急指</w:t>
      </w:r>
      <w:r>
        <w:rPr>
          <w:spacing w:val="8"/>
        </w:rPr>
        <w:t>挥部报告有关情况。</w:t>
      </w:r>
    </w:p>
    <w:p>
      <w:pPr>
        <w:pStyle w:val="BodyText"/>
        <w:ind w:right="101" w:firstLine="422"/>
        <w:spacing w:before="7" w:line="372" w:lineRule="auto"/>
        <w:jc w:val="both"/>
        <w:rPr/>
      </w:pPr>
      <w:r>
        <w:rPr>
          <w:spacing w:val="6"/>
        </w:rPr>
        <w:t>市市场监督管理局：负责动物及动物产品</w:t>
      </w:r>
      <w:r>
        <w:rPr>
          <w:spacing w:val="7"/>
        </w:rPr>
        <w:t>交易市场监管；负责突发动物疫情期间市场运</w:t>
      </w:r>
      <w:r>
        <w:rPr>
          <w:spacing w:val="8"/>
        </w:rPr>
        <w:t>行和供应情况的监控。</w:t>
      </w:r>
    </w:p>
    <w:p>
      <w:pPr>
        <w:pStyle w:val="BodyText"/>
        <w:ind w:right="101" w:firstLine="422"/>
        <w:spacing w:before="20" w:line="373" w:lineRule="auto"/>
        <w:jc w:val="both"/>
        <w:rPr/>
      </w:pPr>
      <w:r>
        <w:rPr>
          <w:spacing w:val="6"/>
        </w:rPr>
        <w:t>市商务投资促进局：做好市场畜禽产品的</w:t>
      </w:r>
      <w:r>
        <w:rPr>
          <w:spacing w:val="7"/>
        </w:rPr>
        <w:t>供应和储备管理，适时组织市场调控，维护市</w:t>
      </w:r>
      <w:r>
        <w:rPr>
          <w:spacing w:val="6"/>
        </w:rPr>
        <w:t>场稳定。</w:t>
      </w:r>
    </w:p>
    <w:p>
      <w:pPr>
        <w:pStyle w:val="BodyText"/>
        <w:ind w:left="1" w:right="20" w:firstLine="420"/>
        <w:spacing w:before="19" w:line="378" w:lineRule="auto"/>
        <w:jc w:val="both"/>
        <w:rPr/>
      </w:pPr>
      <w:r>
        <w:rPr>
          <w:spacing w:val="6"/>
        </w:rPr>
        <w:t>市卫生健康委员会：负责人员防护技术指</w:t>
      </w:r>
      <w:r>
        <w:rPr>
          <w:spacing w:val="1"/>
        </w:rPr>
        <w:t>导，组织开展流行病学调查、密切接触者追踪、</w:t>
      </w:r>
      <w:r>
        <w:rPr>
          <w:spacing w:val="10"/>
        </w:rPr>
        <w:t>医学观察和病人救治工作。负责市场、酒店、</w:t>
      </w:r>
      <w:r>
        <w:rPr>
          <w:spacing w:val="8"/>
        </w:rPr>
        <w:t>宾馆肉类食品卫生的监督、检查工作。</w:t>
      </w:r>
    </w:p>
    <w:p>
      <w:pPr>
        <w:pStyle w:val="BodyText"/>
        <w:ind w:right="101" w:firstLine="422"/>
        <w:spacing w:line="377" w:lineRule="auto"/>
        <w:jc w:val="both"/>
        <w:rPr/>
      </w:pPr>
      <w:r>
        <w:rPr>
          <w:spacing w:val="6"/>
        </w:rPr>
        <w:t>市自然资源局：负责组织开展陆生野生动</w:t>
      </w:r>
      <w:r>
        <w:rPr>
          <w:spacing w:val="7"/>
        </w:rPr>
        <w:t>物的资源调查和疫病监测；发生陆生野生动物</w:t>
      </w:r>
      <w:r>
        <w:rPr>
          <w:spacing w:val="7"/>
        </w:rPr>
        <w:t>疫情后，及时上报市应急指挥部，并采取隔离</w:t>
      </w:r>
      <w:r>
        <w:rPr>
          <w:spacing w:val="7"/>
        </w:rPr>
        <w:t>控制等措施。</w:t>
      </w:r>
    </w:p>
    <w:p>
      <w:pPr>
        <w:pStyle w:val="BodyText"/>
        <w:ind w:right="101" w:firstLine="422"/>
        <w:spacing w:before="6" w:line="317" w:lineRule="auto"/>
        <w:jc w:val="both"/>
        <w:rPr/>
      </w:pPr>
      <w:r>
        <w:rPr>
          <w:spacing w:val="6"/>
        </w:rPr>
        <w:t>市水务局：负责组织开展水禽和候鸟的资</w:t>
      </w:r>
      <w:r>
        <w:rPr>
          <w:spacing w:val="7"/>
        </w:rPr>
        <w:t>源调查和观测，协助市农业农村局组织开展对</w:t>
      </w:r>
      <w:r>
        <w:rPr>
          <w:spacing w:val="7"/>
        </w:rPr>
        <w:t>水禽和候鸟动物疫源疫病的监测工作；发生水</w:t>
      </w:r>
    </w:p>
    <w:p>
      <w:pPr>
        <w:spacing w:line="317" w:lineRule="auto"/>
        <w:sectPr>
          <w:type w:val="continuous"/>
          <w:pgSz w:w="11906" w:h="16839"/>
          <w:pgMar w:top="1772" w:right="1489" w:bottom="1572" w:left="1571" w:header="1428" w:footer="1172" w:gutter="0"/>
          <w:cols w:equalWidth="0" w:num="2">
            <w:col w:w="4498" w:space="100"/>
            <w:col w:w="4248" w:space="0"/>
          </w:cols>
        </w:sectPr>
        <w:rPr/>
      </w:pPr>
    </w:p>
    <w:p>
      <w:pPr>
        <w:spacing w:before="75"/>
        <w:rPr/>
      </w:pPr>
      <w:r>
        <w:drawing>
          <wp:anchor distT="0" distB="0" distL="0" distR="0" simplePos="0" relativeHeight="254115840"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2190" name="IM 2190"/>
            <wp:cNvGraphicFramePr/>
            <a:graphic>
              <a:graphicData uri="http://schemas.openxmlformats.org/drawingml/2006/picture">
                <pic:pic>
                  <pic:nvPicPr>
                    <pic:cNvPr id="2190" name="IM 2190"/>
                    <pic:cNvPicPr/>
                  </pic:nvPicPr>
                  <pic:blipFill>
                    <a:blip r:embed="rId1097"/>
                    <a:stretch>
                      <a:fillRect/>
                    </a:stretch>
                  </pic:blipFill>
                  <pic:spPr>
                    <a:xfrm rot="0">
                      <a:off x="0" y="0"/>
                      <a:ext cx="5579745" cy="7620"/>
                    </a:xfrm>
                    <a:prstGeom prst="rect">
                      <a:avLst/>
                    </a:prstGeom>
                  </pic:spPr>
                </pic:pic>
              </a:graphicData>
            </a:graphic>
          </wp:anchor>
        </w:drawing>
      </w:r>
      <w:r/>
    </w:p>
    <w:p>
      <w:pPr>
        <w:sectPr>
          <w:headerReference w:type="default" r:id="rId533"/>
          <w:footerReference w:type="default" r:id="rId1096"/>
          <w:pgSz w:w="11906" w:h="16839"/>
          <w:pgMar w:top="1766" w:right="1526" w:bottom="1574" w:left="1579" w:header="1428" w:footer="1172" w:gutter="0"/>
          <w:cols w:equalWidth="0" w:num="1">
            <w:col w:w="8801" w:space="0"/>
          </w:cols>
        </w:sectPr>
        <w:rPr/>
      </w:pPr>
    </w:p>
    <w:p>
      <w:pPr>
        <w:pStyle w:val="BodyText"/>
        <w:ind w:left="13" w:right="329"/>
        <w:spacing w:before="54" w:line="376" w:lineRule="auto"/>
        <w:rPr/>
      </w:pPr>
      <w:r>
        <w:rPr>
          <w:spacing w:val="15"/>
        </w:rPr>
        <w:t>禽和候鸟动物疫情后</w:t>
      </w:r>
      <w:r>
        <w:rPr>
          <w:spacing w:val="-41"/>
        </w:rPr>
        <w:t xml:space="preserve"> </w:t>
      </w:r>
      <w:r>
        <w:rPr>
          <w:spacing w:val="15"/>
        </w:rPr>
        <w:t>，及时上报市应急指挥</w:t>
      </w:r>
      <w:r>
        <w:rPr>
          <w:spacing w:val="8"/>
        </w:rPr>
        <w:t>部，并采取隔离控制等措施。</w:t>
      </w:r>
    </w:p>
    <w:p>
      <w:pPr>
        <w:pStyle w:val="BodyText"/>
        <w:ind w:left="11" w:right="265" w:firstLine="423"/>
        <w:spacing w:before="3" w:line="376" w:lineRule="auto"/>
        <w:jc w:val="both"/>
        <w:rPr/>
      </w:pPr>
      <w:r>
        <w:rPr>
          <w:spacing w:val="6"/>
        </w:rPr>
        <w:t>市文化旅游广播电视局：组织新闻媒体和</w:t>
      </w:r>
      <w:r>
        <w:rPr>
          <w:spacing w:val="18"/>
        </w:rPr>
        <w:t>有关单位对疫情应急处置和防疫知识的宣传</w:t>
      </w:r>
      <w:r>
        <w:rPr/>
        <w:t>报道；负责跟踪社会舆论，及时对外澄清事实，</w:t>
      </w:r>
      <w:r>
        <w:rPr>
          <w:spacing w:val="9"/>
        </w:rPr>
        <w:t>公开相关信息，做好舆论导向工作。</w:t>
      </w:r>
    </w:p>
    <w:p>
      <w:pPr>
        <w:pStyle w:val="BodyText"/>
        <w:ind w:left="12" w:right="329" w:firstLine="422"/>
        <w:spacing w:before="4" w:line="378" w:lineRule="auto"/>
        <w:jc w:val="both"/>
        <w:rPr/>
      </w:pPr>
      <w:r>
        <w:rPr>
          <w:spacing w:val="6"/>
        </w:rPr>
        <w:t>市监察局：负责监督检查国家行政机关及</w:t>
      </w:r>
      <w:r>
        <w:rPr>
          <w:spacing w:val="18"/>
        </w:rPr>
        <w:t>其工作人员在突发重大动物疫情应急处置工</w:t>
      </w:r>
      <w:r>
        <w:rPr>
          <w:spacing w:val="7"/>
        </w:rPr>
        <w:t>作中履行职责的情况，对工作中的失职、渎职</w:t>
      </w:r>
      <w:r>
        <w:rPr>
          <w:spacing w:val="8"/>
        </w:rPr>
        <w:t>等违纪违法行为进行查处。</w:t>
      </w:r>
    </w:p>
    <w:p>
      <w:pPr>
        <w:pStyle w:val="BodyText"/>
        <w:ind w:left="10" w:right="329" w:firstLine="423"/>
        <w:spacing w:before="6" w:line="372" w:lineRule="auto"/>
        <w:jc w:val="both"/>
        <w:rPr/>
      </w:pPr>
      <w:r>
        <w:rPr>
          <w:spacing w:val="6"/>
        </w:rPr>
        <w:t>市人力资源社会保障局：负责组织制定并</w:t>
      </w:r>
      <w:r>
        <w:rPr>
          <w:spacing w:val="18"/>
        </w:rPr>
        <w:t>会同有关部门落实参与突发重大动物疫情应</w:t>
      </w:r>
      <w:r>
        <w:rPr>
          <w:spacing w:val="9"/>
        </w:rPr>
        <w:t>急处理工作人员的工伤待遇政策。</w:t>
      </w:r>
    </w:p>
    <w:p>
      <w:pPr>
        <w:pStyle w:val="BodyText"/>
        <w:ind w:left="12" w:right="309" w:firstLine="441"/>
        <w:spacing w:before="20" w:line="372" w:lineRule="auto"/>
        <w:jc w:val="both"/>
        <w:rPr/>
      </w:pPr>
      <w:r>
        <w:rPr>
          <w:spacing w:val="5"/>
        </w:rPr>
        <w:t>固原车务段：负责搞好动物及其产品的铁</w:t>
      </w:r>
      <w:r>
        <w:rPr>
          <w:spacing w:val="7"/>
        </w:rPr>
        <w:t>路运输检疫工作；优先运送突发重大动物疫情</w:t>
      </w:r>
      <w:r>
        <w:rPr>
          <w:spacing w:val="7"/>
        </w:rPr>
        <w:t>应急处理人员、防治药品、器械等应急物资和</w:t>
      </w:r>
      <w:r>
        <w:rPr>
          <w:spacing w:val="8"/>
        </w:rPr>
        <w:t>有关样本，确保安全、快速，防止疫病扩散。</w:t>
      </w:r>
    </w:p>
    <w:p>
      <w:pPr>
        <w:ind w:left="433"/>
        <w:spacing w:before="25" w:line="241" w:lineRule="auto"/>
        <w:rPr>
          <w:rFonts w:ascii="KaiTi" w:hAnsi="KaiTi" w:eastAsia="KaiTi" w:cs="KaiTi"/>
          <w:sz w:val="20"/>
          <w:szCs w:val="20"/>
        </w:rPr>
      </w:pPr>
      <w:r>
        <w:rPr>
          <w:rFonts w:ascii="Times New Roman" w:hAnsi="Times New Roman" w:eastAsia="Times New Roman" w:cs="Times New Roman"/>
          <w:sz w:val="20"/>
          <w:szCs w:val="20"/>
          <w:spacing w:val="6"/>
        </w:rPr>
        <w:t>2.3  </w:t>
      </w:r>
      <w:r>
        <w:rPr>
          <w:rFonts w:ascii="KaiTi" w:hAnsi="KaiTi" w:eastAsia="KaiTi" w:cs="KaiTi"/>
          <w:sz w:val="20"/>
          <w:szCs w:val="20"/>
          <w:spacing w:val="6"/>
        </w:rPr>
        <w:t>应急工作组及其职责。</w:t>
      </w:r>
    </w:p>
    <w:p>
      <w:pPr>
        <w:pStyle w:val="BodyText"/>
        <w:ind w:left="424"/>
        <w:spacing w:before="150" w:line="278" w:lineRule="exact"/>
        <w:rPr/>
      </w:pPr>
      <w:r>
        <w:rPr>
          <w:spacing w:val="1"/>
          <w:position w:val="1"/>
        </w:rPr>
        <w:t>（</w:t>
      </w:r>
      <w:r>
        <w:rPr>
          <w:spacing w:val="-44"/>
          <w:position w:val="1"/>
        </w:rPr>
        <w:t xml:space="preserve"> </w:t>
      </w:r>
      <w:r>
        <w:rPr>
          <w:rFonts w:ascii="Times New Roman" w:hAnsi="Times New Roman" w:eastAsia="Times New Roman" w:cs="Times New Roman"/>
          <w:spacing w:val="1"/>
          <w:position w:val="1"/>
        </w:rPr>
        <w:t>1</w:t>
      </w:r>
      <w:r>
        <w:rPr>
          <w:rFonts w:ascii="Times New Roman" w:hAnsi="Times New Roman" w:eastAsia="Times New Roman" w:cs="Times New Roman"/>
          <w:spacing w:val="-21"/>
          <w:position w:val="1"/>
        </w:rPr>
        <w:t xml:space="preserve"> </w:t>
      </w:r>
      <w:r>
        <w:rPr>
          <w:spacing w:val="1"/>
          <w:position w:val="1"/>
        </w:rPr>
        <w:t>）疫情处置工作组</w:t>
      </w:r>
    </w:p>
    <w:p>
      <w:pPr>
        <w:pStyle w:val="BodyText"/>
        <w:ind w:left="433"/>
        <w:spacing w:before="132" w:line="277" w:lineRule="exact"/>
        <w:rPr/>
      </w:pPr>
      <w:r>
        <w:rPr>
          <w:spacing w:val="9"/>
          <w:position w:val="1"/>
        </w:rPr>
        <w:t>组长单位：市农业农村局</w:t>
      </w:r>
    </w:p>
    <w:p>
      <w:pPr>
        <w:pStyle w:val="BodyText"/>
        <w:ind w:left="439"/>
        <w:spacing w:before="134" w:line="277" w:lineRule="exact"/>
        <w:rPr/>
      </w:pPr>
      <w:r>
        <w:rPr>
          <w:spacing w:val="8"/>
          <w:position w:val="1"/>
        </w:rPr>
        <w:t>副组长单位：市公安局</w:t>
      </w:r>
    </w:p>
    <w:p>
      <w:pPr>
        <w:pStyle w:val="BodyText"/>
        <w:ind w:left="12" w:right="329" w:firstLine="420"/>
        <w:spacing w:before="134" w:line="376" w:lineRule="auto"/>
        <w:jc w:val="both"/>
        <w:rPr/>
      </w:pPr>
      <w:r>
        <w:rPr>
          <w:spacing w:val="6"/>
        </w:rPr>
        <w:t>成员单位：市农业农村局、公安局、财政</w:t>
      </w:r>
      <w:r>
        <w:rPr>
          <w:spacing w:val="7"/>
        </w:rPr>
        <w:t>局、交通运输局、自然资源局、市场监督管理</w:t>
      </w:r>
      <w:r>
        <w:rPr>
          <w:spacing w:val="7"/>
        </w:rPr>
        <w:t>局，由市应急指挥部根据工作需要确定的非政</w:t>
      </w:r>
      <w:r>
        <w:rPr>
          <w:spacing w:val="7"/>
        </w:rPr>
        <w:t>府职能部门。</w:t>
      </w:r>
    </w:p>
    <w:p>
      <w:pPr>
        <w:pStyle w:val="BodyText"/>
        <w:ind w:left="12" w:right="248" w:firstLine="428"/>
        <w:spacing w:before="10" w:line="377" w:lineRule="auto"/>
        <w:jc w:val="both"/>
        <w:rPr/>
      </w:pPr>
      <w:r>
        <w:rPr>
          <w:spacing w:val="-1"/>
        </w:rPr>
        <w:t>主要职责：负责疫情的预测、预警、诊断、</w:t>
      </w:r>
      <w:r>
        <w:rPr>
          <w:spacing w:val="7"/>
        </w:rPr>
        <w:t>报告；负责疫点、疫区、受威胁区的划定；执</w:t>
      </w:r>
      <w:r>
        <w:rPr>
          <w:spacing w:val="7"/>
        </w:rPr>
        <w:t>行疫区封锁和现场处置；维护社会治安和社会</w:t>
      </w:r>
      <w:r>
        <w:rPr>
          <w:spacing w:val="7"/>
        </w:rPr>
        <w:t>秩序；关闭屠宰场；负责应急物资采购、调运</w:t>
      </w:r>
      <w:r>
        <w:rPr>
          <w:spacing w:val="6"/>
        </w:rPr>
        <w:t>和发放等。</w:t>
      </w:r>
    </w:p>
    <w:p>
      <w:pPr>
        <w:pStyle w:val="BodyText"/>
        <w:ind w:left="424"/>
        <w:spacing w:before="6" w:line="278" w:lineRule="exact"/>
        <w:rPr/>
      </w:pPr>
      <w:r>
        <w:rPr>
          <w:spacing w:val="6"/>
          <w:position w:val="1"/>
        </w:rPr>
        <w:t>（</w:t>
      </w:r>
      <w:r>
        <w:rPr>
          <w:rFonts w:ascii="Times New Roman" w:hAnsi="Times New Roman" w:eastAsia="Times New Roman" w:cs="Times New Roman"/>
          <w:spacing w:val="6"/>
          <w:position w:val="1"/>
        </w:rPr>
        <w:t>2</w:t>
      </w:r>
      <w:r>
        <w:rPr>
          <w:rFonts w:ascii="Times New Roman" w:hAnsi="Times New Roman" w:eastAsia="Times New Roman" w:cs="Times New Roman"/>
          <w:spacing w:val="-15"/>
          <w:position w:val="1"/>
        </w:rPr>
        <w:t xml:space="preserve"> </w:t>
      </w:r>
      <w:r>
        <w:rPr>
          <w:spacing w:val="6"/>
          <w:position w:val="1"/>
        </w:rPr>
        <w:t>）医疗救治工作组</w:t>
      </w:r>
    </w:p>
    <w:p>
      <w:pPr>
        <w:pStyle w:val="BodyText"/>
        <w:ind w:left="433"/>
        <w:spacing w:before="133" w:line="221" w:lineRule="auto"/>
        <w:rPr/>
      </w:pPr>
      <w:r>
        <w:rPr>
          <w:spacing w:val="9"/>
        </w:rPr>
        <w:t>组长单位：市卫生健康委员会</w:t>
      </w:r>
    </w:p>
    <w:p>
      <w:pPr>
        <w:spacing w:line="14" w:lineRule="auto"/>
        <w:rPr>
          <w:rFonts w:ascii="Arial"/>
          <w:sz w:val="2"/>
        </w:rPr>
      </w:pPr>
      <w:r>
        <w:rPr>
          <w:rFonts w:ascii="Arial" w:hAnsi="Arial" w:eastAsia="Arial" w:cs="Arial"/>
          <w:sz w:val="2"/>
          <w:szCs w:val="2"/>
        </w:rPr>
        <w:br w:type="column"/>
      </w:r>
    </w:p>
    <w:p>
      <w:pPr>
        <w:pStyle w:val="BodyText"/>
        <w:ind w:left="427"/>
        <w:spacing w:before="46" w:line="278" w:lineRule="exact"/>
        <w:rPr/>
      </w:pPr>
      <w:r>
        <w:rPr>
          <w:spacing w:val="9"/>
          <w:position w:val="1"/>
        </w:rPr>
        <w:t>副组长单位：市场监督管理局</w:t>
      </w:r>
    </w:p>
    <w:p>
      <w:pPr>
        <w:pStyle w:val="BodyText"/>
        <w:ind w:left="1" w:right="44" w:firstLine="420"/>
        <w:spacing w:before="132" w:line="379" w:lineRule="auto"/>
        <w:jc w:val="both"/>
        <w:rPr/>
      </w:pPr>
      <w:r>
        <w:rPr>
          <w:spacing w:val="6"/>
        </w:rPr>
        <w:t>成员单位：市卫生健康委员会、市场监督</w:t>
      </w:r>
      <w:r>
        <w:rPr>
          <w:spacing w:val="8"/>
        </w:rPr>
        <w:t>管理局、文化旅游广播电视局，由市应急指挥</w:t>
      </w:r>
      <w:r>
        <w:rPr>
          <w:spacing w:val="-16"/>
        </w:rPr>
        <w:t>部工作工作需要确定的非政府职能部门（单位）。</w:t>
      </w:r>
    </w:p>
    <w:p>
      <w:pPr>
        <w:pStyle w:val="BodyText"/>
        <w:ind w:left="1" w:right="64" w:firstLine="428"/>
        <w:spacing w:before="1" w:line="376" w:lineRule="auto"/>
        <w:jc w:val="both"/>
        <w:rPr/>
      </w:pPr>
      <w:r>
        <w:rPr>
          <w:spacing w:val="6"/>
        </w:rPr>
        <w:t>主要职责：负责病例及疑似病例的隔离和</w:t>
      </w:r>
      <w:r>
        <w:rPr>
          <w:spacing w:val="7"/>
        </w:rPr>
        <w:t>救治；开展流行病学调查；对密切接触者进行</w:t>
      </w:r>
      <w:r>
        <w:rPr>
          <w:spacing w:val="7"/>
        </w:rPr>
        <w:t>管理；开展人畜共患病人间监测；承担公共卫</w:t>
      </w:r>
      <w:r>
        <w:rPr>
          <w:spacing w:val="8"/>
        </w:rPr>
        <w:t>生知识宣传工作。</w:t>
      </w:r>
    </w:p>
    <w:p>
      <w:pPr>
        <w:pStyle w:val="BodyText"/>
        <w:ind w:left="413"/>
        <w:spacing w:before="8" w:line="277" w:lineRule="exact"/>
        <w:rPr/>
      </w:pPr>
      <w:r>
        <w:rPr>
          <w:spacing w:val="6"/>
          <w:position w:val="1"/>
        </w:rPr>
        <w:t>（</w:t>
      </w:r>
      <w:r>
        <w:rPr>
          <w:rFonts w:ascii="Times New Roman" w:hAnsi="Times New Roman" w:eastAsia="Times New Roman" w:cs="Times New Roman"/>
          <w:spacing w:val="6"/>
          <w:position w:val="1"/>
        </w:rPr>
        <w:t>3</w:t>
      </w:r>
      <w:r>
        <w:rPr>
          <w:rFonts w:ascii="Times New Roman" w:hAnsi="Times New Roman" w:eastAsia="Times New Roman" w:cs="Times New Roman"/>
          <w:spacing w:val="-15"/>
          <w:position w:val="1"/>
        </w:rPr>
        <w:t xml:space="preserve"> </w:t>
      </w:r>
      <w:r>
        <w:rPr>
          <w:spacing w:val="6"/>
          <w:position w:val="1"/>
        </w:rPr>
        <w:t>）新闻宣传工作组</w:t>
      </w:r>
    </w:p>
    <w:p>
      <w:pPr>
        <w:pStyle w:val="BodyText"/>
        <w:ind w:left="421"/>
        <w:spacing w:before="133" w:line="278" w:lineRule="exact"/>
        <w:rPr/>
      </w:pPr>
      <w:r>
        <w:rPr>
          <w:spacing w:val="9"/>
          <w:position w:val="1"/>
        </w:rPr>
        <w:t>组长单位：市文化旅游广播电视局</w:t>
      </w:r>
    </w:p>
    <w:p>
      <w:pPr>
        <w:pStyle w:val="BodyText"/>
        <w:ind w:left="427"/>
        <w:spacing w:before="132" w:line="277" w:lineRule="exact"/>
        <w:rPr/>
      </w:pPr>
      <w:r>
        <w:rPr>
          <w:spacing w:val="8"/>
          <w:position w:val="1"/>
        </w:rPr>
        <w:t>副组长单位：市科学技术局</w:t>
      </w:r>
    </w:p>
    <w:p>
      <w:pPr>
        <w:pStyle w:val="BodyText"/>
        <w:ind w:left="1" w:right="64" w:firstLine="420"/>
        <w:spacing w:before="132" w:line="358" w:lineRule="auto"/>
        <w:rPr/>
      </w:pPr>
      <w:r>
        <w:rPr>
          <w:spacing w:val="6"/>
        </w:rPr>
        <w:t>成员单位：市文化旅游广播电视局、科学</w:t>
      </w:r>
      <w:r>
        <w:rPr>
          <w:spacing w:val="9"/>
        </w:rPr>
        <w:t>技术局、农业农村局、市场监督管理局</w:t>
      </w:r>
    </w:p>
    <w:p>
      <w:pPr>
        <w:pStyle w:val="BodyText"/>
        <w:ind w:left="2" w:right="41" w:firstLine="427"/>
        <w:spacing w:before="45" w:line="373" w:lineRule="auto"/>
        <w:rPr/>
      </w:pPr>
      <w:r>
        <w:rPr>
          <w:spacing w:val="7"/>
        </w:rPr>
        <w:t>主要职责：负责疫情处置相关新闻审核、</w:t>
      </w:r>
      <w:r>
        <w:rPr>
          <w:spacing w:val="7"/>
        </w:rPr>
        <w:t>发布；负责召开新闻发布会；负责动物疫病防</w:t>
      </w:r>
      <w:r>
        <w:rPr>
          <w:spacing w:val="9"/>
        </w:rPr>
        <w:t>控知识、有关法律法规等宣传教育。</w:t>
      </w:r>
    </w:p>
    <w:p>
      <w:pPr>
        <w:pStyle w:val="BodyText"/>
        <w:ind w:left="413"/>
        <w:spacing w:before="18" w:line="279" w:lineRule="exact"/>
        <w:rPr/>
      </w:pPr>
      <w:r>
        <w:rPr>
          <w:spacing w:val="6"/>
          <w:position w:val="1"/>
        </w:rPr>
        <w:t>（</w:t>
      </w:r>
      <w:r>
        <w:rPr>
          <w:rFonts w:ascii="Times New Roman" w:hAnsi="Times New Roman" w:eastAsia="Times New Roman" w:cs="Times New Roman"/>
          <w:spacing w:val="6"/>
          <w:position w:val="1"/>
        </w:rPr>
        <w:t>4</w:t>
      </w:r>
      <w:r>
        <w:rPr>
          <w:rFonts w:ascii="Times New Roman" w:hAnsi="Times New Roman" w:eastAsia="Times New Roman" w:cs="Times New Roman"/>
          <w:spacing w:val="-15"/>
          <w:position w:val="1"/>
        </w:rPr>
        <w:t xml:space="preserve"> </w:t>
      </w:r>
      <w:r>
        <w:rPr>
          <w:spacing w:val="6"/>
          <w:position w:val="1"/>
        </w:rPr>
        <w:t>）善后处理工作组</w:t>
      </w:r>
    </w:p>
    <w:p>
      <w:pPr>
        <w:pStyle w:val="BodyText"/>
        <w:ind w:left="421"/>
        <w:spacing w:before="129" w:line="278" w:lineRule="exact"/>
        <w:rPr/>
      </w:pPr>
      <w:r>
        <w:rPr>
          <w:spacing w:val="9"/>
          <w:position w:val="1"/>
        </w:rPr>
        <w:t>组长单位：市民政局</w:t>
      </w:r>
    </w:p>
    <w:p>
      <w:pPr>
        <w:pStyle w:val="BodyText"/>
        <w:ind w:left="427"/>
        <w:spacing w:before="132" w:line="278" w:lineRule="exact"/>
        <w:rPr/>
      </w:pPr>
      <w:r>
        <w:rPr>
          <w:spacing w:val="8"/>
          <w:position w:val="1"/>
        </w:rPr>
        <w:t>副组长单位：市财政局</w:t>
      </w:r>
    </w:p>
    <w:p>
      <w:pPr>
        <w:pStyle w:val="BodyText"/>
        <w:ind w:left="1" w:firstLine="420"/>
        <w:spacing w:before="134" w:line="378" w:lineRule="auto"/>
        <w:jc w:val="both"/>
        <w:rPr/>
      </w:pPr>
      <w:r>
        <w:rPr>
          <w:spacing w:val="6"/>
        </w:rPr>
        <w:t>成员单位：市民政局、财政局、发展和改</w:t>
      </w:r>
      <w:r>
        <w:rPr/>
        <w:t>革委员会、农业农村局、人力资源社会保障局，</w:t>
      </w:r>
      <w:r>
        <w:rPr>
          <w:spacing w:val="18"/>
        </w:rPr>
        <w:t>由市应急指挥部根据工作需要确定的非政府</w:t>
      </w:r>
      <w:r>
        <w:rPr>
          <w:spacing w:val="-3"/>
        </w:rPr>
        <w:t>职能部门（单位）。</w:t>
      </w:r>
    </w:p>
    <w:p>
      <w:pPr>
        <w:pStyle w:val="BodyText"/>
        <w:ind w:left="4" w:right="64" w:firstLine="425"/>
        <w:spacing w:before="2" w:line="358" w:lineRule="auto"/>
        <w:rPr/>
      </w:pPr>
      <w:r>
        <w:rPr>
          <w:spacing w:val="6"/>
        </w:rPr>
        <w:t>主要职责：负责受灾群众安置、救助；负</w:t>
      </w:r>
      <w:r>
        <w:rPr>
          <w:spacing w:val="6"/>
        </w:rPr>
        <w:t>责生产恢复。</w:t>
      </w:r>
    </w:p>
    <w:p>
      <w:pPr>
        <w:pStyle w:val="BodyText"/>
        <w:ind w:right="64" w:firstLine="421"/>
        <w:spacing w:before="43" w:line="356" w:lineRule="auto"/>
        <w:jc w:val="both"/>
        <w:rPr/>
      </w:pPr>
      <w:r>
        <w:rPr>
          <w:rFonts w:ascii="Times New Roman" w:hAnsi="Times New Roman" w:eastAsia="Times New Roman" w:cs="Times New Roman"/>
          <w:spacing w:val="7"/>
        </w:rPr>
        <w:t>2.4</w:t>
      </w:r>
      <w:r>
        <w:rPr>
          <w:rFonts w:ascii="Times New Roman" w:hAnsi="Times New Roman" w:eastAsia="Times New Roman" w:cs="Times New Roman"/>
          <w:spacing w:val="20"/>
          <w:w w:val="101"/>
        </w:rPr>
        <w:t xml:space="preserve">  </w:t>
      </w:r>
      <w:r>
        <w:rPr>
          <w:rFonts w:ascii="KaiTi" w:hAnsi="KaiTi" w:eastAsia="KaiTi" w:cs="KaiTi"/>
          <w:spacing w:val="7"/>
        </w:rPr>
        <w:t>固原市突发重大动物疫情应急指挥部</w:t>
      </w:r>
      <w:r>
        <w:rPr>
          <w:rFonts w:ascii="KaiTi" w:hAnsi="KaiTi" w:eastAsia="KaiTi" w:cs="KaiTi"/>
          <w:spacing w:val="7"/>
        </w:rPr>
        <w:t>办公室。</w:t>
      </w:r>
      <w:r>
        <w:rPr>
          <w:spacing w:val="7"/>
        </w:rPr>
        <w:t>固原市突发重大动物疫情应急指挥部</w:t>
      </w:r>
      <w:r>
        <w:rPr>
          <w:spacing w:val="5"/>
        </w:rPr>
        <w:t>办公室（</w:t>
      </w:r>
      <w:r>
        <w:rPr>
          <w:spacing w:val="-50"/>
        </w:rPr>
        <w:t xml:space="preserve"> </w:t>
      </w:r>
      <w:r>
        <w:rPr>
          <w:spacing w:val="5"/>
        </w:rPr>
        <w:t>以下简称市应急指挥部办公室</w:t>
      </w:r>
      <w:r>
        <w:rPr>
          <w:spacing w:val="3"/>
        </w:rPr>
        <w:t>），</w:t>
      </w:r>
      <w:r>
        <w:rPr>
          <w:spacing w:val="5"/>
        </w:rPr>
        <w:t>是</w:t>
      </w:r>
      <w:r>
        <w:rPr>
          <w:spacing w:val="7"/>
        </w:rPr>
        <w:t>市应急指挥部的日常工作机构，设在市农业农</w:t>
      </w:r>
      <w:r>
        <w:rPr>
          <w:spacing w:val="7"/>
        </w:rPr>
        <w:t>村局。办公室主任由市农业农村局主管畜牧兽</w:t>
      </w:r>
      <w:r>
        <w:rPr>
          <w:spacing w:val="7"/>
        </w:rPr>
        <w:t>医工作的副局长兼任。市农业农村局畜牧兽医</w:t>
      </w:r>
      <w:r>
        <w:rPr>
          <w:spacing w:val="18"/>
        </w:rPr>
        <w:t>科负责指挥部办公室日常工作。值班电话为</w:t>
      </w:r>
    </w:p>
    <w:p>
      <w:pPr>
        <w:spacing w:line="356" w:lineRule="auto"/>
        <w:sectPr>
          <w:type w:val="continuous"/>
          <w:pgSz w:w="11906" w:h="16839"/>
          <w:pgMar w:top="1766" w:right="1526" w:bottom="1574" w:left="1579" w:header="1428" w:footer="1172" w:gutter="0"/>
          <w:cols w:equalWidth="0" w:num="2">
            <w:col w:w="4489" w:space="100"/>
            <w:col w:w="4212" w:space="0"/>
          </w:cols>
        </w:sectPr>
        <w:rPr/>
      </w:pPr>
    </w:p>
    <w:p>
      <w:pPr>
        <w:spacing w:before="85"/>
        <w:rPr/>
      </w:pPr>
      <w:r>
        <w:drawing>
          <wp:anchor distT="0" distB="0" distL="0" distR="0" simplePos="0" relativeHeight="254130176"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194" name="IM 2194"/>
            <wp:cNvGraphicFramePr/>
            <a:graphic>
              <a:graphicData uri="http://schemas.openxmlformats.org/drawingml/2006/picture">
                <pic:pic>
                  <pic:nvPicPr>
                    <pic:cNvPr id="2194" name="IM 2194"/>
                    <pic:cNvPicPr/>
                  </pic:nvPicPr>
                  <pic:blipFill>
                    <a:blip r:embed="rId1099"/>
                    <a:stretch>
                      <a:fillRect/>
                    </a:stretch>
                  </pic:blipFill>
                  <pic:spPr>
                    <a:xfrm rot="0">
                      <a:off x="0" y="0"/>
                      <a:ext cx="5579745" cy="7620"/>
                    </a:xfrm>
                    <a:prstGeom prst="rect">
                      <a:avLst/>
                    </a:prstGeom>
                  </pic:spPr>
                </pic:pic>
              </a:graphicData>
            </a:graphic>
          </wp:anchor>
        </w:drawing>
      </w:r>
      <w:r/>
    </w:p>
    <w:p>
      <w:pPr>
        <w:sectPr>
          <w:headerReference w:type="default" r:id="rId1048"/>
          <w:footerReference w:type="default" r:id="rId1098"/>
          <w:pgSz w:w="11906" w:h="16839"/>
          <w:pgMar w:top="1772" w:right="1489" w:bottom="1572" w:left="1571" w:header="1428" w:footer="1172" w:gutter="0"/>
          <w:cols w:equalWidth="0" w:num="1">
            <w:col w:w="8846" w:space="0"/>
          </w:cols>
        </w:sectPr>
        <w:rPr/>
      </w:pPr>
    </w:p>
    <w:p>
      <w:pPr>
        <w:pStyle w:val="BodyText"/>
        <w:ind w:left="25"/>
        <w:spacing w:before="69" w:line="199" w:lineRule="auto"/>
        <w:rPr/>
      </w:pPr>
      <w:r>
        <w:rPr>
          <w:rFonts w:ascii="Times New Roman" w:hAnsi="Times New Roman" w:eastAsia="Times New Roman" w:cs="Times New Roman"/>
          <w:spacing w:val="3"/>
        </w:rPr>
        <w:t>0954-2032887</w:t>
      </w:r>
      <w:r>
        <w:rPr>
          <w:spacing w:val="3"/>
        </w:rPr>
        <w:t>。</w:t>
      </w:r>
    </w:p>
    <w:p>
      <w:pPr>
        <w:pStyle w:val="BodyText"/>
        <w:ind w:left="13" w:right="329" w:firstLine="430"/>
        <w:spacing w:before="159" w:line="378" w:lineRule="auto"/>
        <w:jc w:val="both"/>
        <w:rPr/>
      </w:pPr>
      <w:r>
        <w:rPr>
          <w:spacing w:val="6"/>
        </w:rPr>
        <w:t>市应急指挥部办公室主要职责：按照市应</w:t>
      </w:r>
      <w:r>
        <w:rPr>
          <w:spacing w:val="7"/>
        </w:rPr>
        <w:t>急指挥部的工作部署，分类管理突发重大动物</w:t>
      </w:r>
      <w:r>
        <w:rPr>
          <w:spacing w:val="7"/>
        </w:rPr>
        <w:t>疫情。协调、组织成员单位按照各自职责迅速</w:t>
      </w:r>
      <w:r>
        <w:rPr>
          <w:spacing w:val="7"/>
        </w:rPr>
        <w:t>排查、控制、处置突发重大动物疫情；落实重</w:t>
      </w:r>
      <w:r>
        <w:rPr>
          <w:spacing w:val="7"/>
        </w:rPr>
        <w:t>大动物疫情预防、预警和控制措施；编制、执</w:t>
      </w:r>
      <w:r>
        <w:rPr>
          <w:spacing w:val="7"/>
        </w:rPr>
        <w:t>行相关应急预案；依据市应急管理体系总体规</w:t>
      </w:r>
      <w:r>
        <w:rPr>
          <w:spacing w:val="7"/>
        </w:rPr>
        <w:t>划落实应急体系建设任务和目标、应急演练活</w:t>
      </w:r>
      <w:r>
        <w:rPr>
          <w:spacing w:val="7"/>
        </w:rPr>
        <w:t>动、业务培训和科普宣传工作；指导、监督县</w:t>
      </w:r>
      <w:r>
        <w:rPr>
          <w:spacing w:val="7"/>
        </w:rPr>
        <w:t>（区）突发重大动物疫情应急指挥机构做好重</w:t>
      </w:r>
      <w:r>
        <w:rPr>
          <w:spacing w:val="7"/>
        </w:rPr>
        <w:t>大动物疫情防治工作和应急管理工作；承担市</w:t>
      </w:r>
      <w:r>
        <w:rPr>
          <w:spacing w:val="9"/>
        </w:rPr>
        <w:t>应急指挥部交办的其他工作。</w:t>
      </w:r>
    </w:p>
    <w:p>
      <w:pPr>
        <w:ind w:left="21" w:right="329" w:firstLine="421"/>
        <w:spacing w:before="2" w:line="380" w:lineRule="auto"/>
        <w:rPr>
          <w:rFonts w:ascii="KaiTi" w:hAnsi="KaiTi" w:eastAsia="KaiTi" w:cs="KaiTi"/>
          <w:sz w:val="20"/>
          <w:szCs w:val="20"/>
        </w:rPr>
      </w:pPr>
      <w:r>
        <w:rPr>
          <w:rFonts w:ascii="Times New Roman" w:hAnsi="Times New Roman" w:eastAsia="Times New Roman" w:cs="Times New Roman"/>
          <w:sz w:val="20"/>
          <w:szCs w:val="20"/>
          <w:spacing w:val="2"/>
        </w:rPr>
        <w:t>2.5  </w:t>
      </w:r>
      <w:r>
        <w:rPr>
          <w:rFonts w:ascii="KaiTi" w:hAnsi="KaiTi" w:eastAsia="KaiTi" w:cs="KaiTi"/>
          <w:sz w:val="20"/>
          <w:szCs w:val="20"/>
          <w:spacing w:val="2"/>
        </w:rPr>
        <w:t>县（</w:t>
      </w:r>
      <w:r>
        <w:rPr>
          <w:rFonts w:ascii="KaiTi" w:hAnsi="KaiTi" w:eastAsia="KaiTi" w:cs="KaiTi"/>
          <w:sz w:val="20"/>
          <w:szCs w:val="20"/>
          <w:spacing w:val="-27"/>
        </w:rPr>
        <w:t xml:space="preserve"> </w:t>
      </w:r>
      <w:r>
        <w:rPr>
          <w:rFonts w:ascii="KaiTi" w:hAnsi="KaiTi" w:eastAsia="KaiTi" w:cs="KaiTi"/>
          <w:sz w:val="20"/>
          <w:szCs w:val="20"/>
          <w:spacing w:val="2"/>
        </w:rPr>
        <w:t>区</w:t>
      </w:r>
      <w:r>
        <w:rPr>
          <w:rFonts w:ascii="KaiTi" w:hAnsi="KaiTi" w:eastAsia="KaiTi" w:cs="KaiTi"/>
          <w:sz w:val="20"/>
          <w:szCs w:val="20"/>
          <w:spacing w:val="-41"/>
        </w:rPr>
        <w:t xml:space="preserve"> </w:t>
      </w:r>
      <w:r>
        <w:rPr>
          <w:rFonts w:ascii="KaiTi" w:hAnsi="KaiTi" w:eastAsia="KaiTi" w:cs="KaiTi"/>
          <w:sz w:val="20"/>
          <w:szCs w:val="20"/>
          <w:spacing w:val="2"/>
        </w:rPr>
        <w:t>）突发重大动物疫情应急指挥</w:t>
      </w:r>
      <w:r>
        <w:rPr>
          <w:rFonts w:ascii="KaiTi" w:hAnsi="KaiTi" w:eastAsia="KaiTi" w:cs="KaiTi"/>
          <w:sz w:val="20"/>
          <w:szCs w:val="20"/>
          <w:spacing w:val="4"/>
        </w:rPr>
        <w:t>机构。</w:t>
      </w:r>
    </w:p>
    <w:p>
      <w:pPr>
        <w:pStyle w:val="BodyText"/>
        <w:ind w:left="21" w:right="329" w:firstLine="420"/>
        <w:spacing w:before="3" w:line="373" w:lineRule="auto"/>
        <w:jc w:val="both"/>
        <w:rPr/>
      </w:pPr>
      <w:r>
        <w:rPr>
          <w:spacing w:val="19"/>
        </w:rPr>
        <w:t>各县区政府负责本行政区域突发重大动</w:t>
      </w:r>
      <w:r>
        <w:rPr>
          <w:spacing w:val="7"/>
        </w:rPr>
        <w:t>物疫情的处置工作，其应急指挥机构、办事机</w:t>
      </w:r>
      <w:r>
        <w:rPr>
          <w:spacing w:val="4"/>
        </w:rPr>
        <w:t>构及其职责可参照本预案，结合县（</w:t>
      </w:r>
      <w:r>
        <w:rPr>
          <w:spacing w:val="-35"/>
        </w:rPr>
        <w:t xml:space="preserve"> </w:t>
      </w:r>
      <w:r>
        <w:rPr>
          <w:spacing w:val="4"/>
        </w:rPr>
        <w:t>区）实际</w:t>
      </w:r>
      <w:r>
        <w:rPr>
          <w:spacing w:val="6"/>
        </w:rPr>
        <w:t>情况确定。</w:t>
      </w:r>
    </w:p>
    <w:p>
      <w:pPr>
        <w:pStyle w:val="BodyText"/>
        <w:ind w:left="21" w:right="309" w:firstLine="421"/>
        <w:spacing w:before="20" w:line="378" w:lineRule="auto"/>
        <w:jc w:val="both"/>
        <w:rPr/>
      </w:pPr>
      <w:r>
        <w:rPr>
          <w:rFonts w:ascii="Times New Roman" w:hAnsi="Times New Roman" w:eastAsia="Times New Roman" w:cs="Times New Roman"/>
          <w:spacing w:val="8"/>
        </w:rPr>
        <w:t>2.6  </w:t>
      </w:r>
      <w:r>
        <w:rPr>
          <w:rFonts w:ascii="KaiTi" w:hAnsi="KaiTi" w:eastAsia="KaiTi" w:cs="KaiTi"/>
          <w:spacing w:val="8"/>
        </w:rPr>
        <w:t>专家组。</w:t>
      </w:r>
      <w:r>
        <w:rPr>
          <w:spacing w:val="8"/>
        </w:rPr>
        <w:t>市突发重大动物疫情应急指</w:t>
      </w:r>
      <w:r>
        <w:rPr>
          <w:spacing w:val="8"/>
        </w:rPr>
        <w:t>挥部组建突发重大动物疫情应急处置专家组。</w:t>
      </w:r>
      <w:r>
        <w:rPr>
          <w:spacing w:val="7"/>
        </w:rPr>
        <w:t>专家组由市县（区）有关专家和科研院校相关</w:t>
      </w:r>
      <w:r>
        <w:rPr>
          <w:spacing w:val="7"/>
        </w:rPr>
        <w:t>专家组成。完善相关咨询机制，为重大动物疫</w:t>
      </w:r>
      <w:r>
        <w:rPr>
          <w:spacing w:val="9"/>
        </w:rPr>
        <w:t>情应急处置提供技术支持。具体职责：</w:t>
      </w:r>
    </w:p>
    <w:p>
      <w:pPr>
        <w:pStyle w:val="BodyText"/>
        <w:ind w:left="27" w:right="332" w:firstLine="405"/>
        <w:spacing w:before="2" w:line="302"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）对突发重大动物疫情开展调查、诊</w:t>
      </w:r>
      <w:r>
        <w:rPr>
          <w:spacing w:val="5"/>
        </w:rPr>
        <w:t>断和评估；</w:t>
      </w:r>
    </w:p>
    <w:p>
      <w:pPr>
        <w:pStyle w:val="BodyText"/>
        <w:ind w:left="38" w:right="332" w:firstLine="395"/>
        <w:spacing w:before="164" w:line="304"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）对相应级别的突发重大动物疫情提</w:t>
      </w:r>
      <w:r>
        <w:rPr>
          <w:spacing w:val="6"/>
        </w:rPr>
        <w:t>出应对技术措施；</w:t>
      </w:r>
    </w:p>
    <w:p>
      <w:pPr>
        <w:pStyle w:val="BodyText"/>
        <w:ind w:left="23" w:right="329" w:firstLine="409"/>
        <w:spacing w:before="162" w:line="328"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）参与有关突发重大动物疫情应急处</w:t>
      </w:r>
      <w:r>
        <w:rPr>
          <w:spacing w:val="7"/>
        </w:rPr>
        <w:t>理的地方性法规、规章和应急预案、防治措施</w:t>
      </w:r>
      <w:r>
        <w:rPr>
          <w:spacing w:val="8"/>
        </w:rPr>
        <w:t>的起草、修订工作；</w:t>
      </w:r>
    </w:p>
    <w:p>
      <w:pPr>
        <w:pStyle w:val="BodyText"/>
        <w:ind w:left="21" w:right="320" w:firstLine="411"/>
        <w:spacing w:before="164" w:line="293"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）对突发重大动物疫情应急处置进行</w:t>
      </w:r>
      <w:r>
        <w:rPr>
          <w:spacing w:val="7"/>
        </w:rPr>
        <w:t>技术指导、并对有关兽医技术人员进行培训；</w:t>
      </w:r>
    </w:p>
    <w:p>
      <w:pPr>
        <w:spacing w:line="14" w:lineRule="auto"/>
        <w:rPr>
          <w:rFonts w:ascii="Arial"/>
          <w:sz w:val="2"/>
        </w:rPr>
      </w:pPr>
      <w:r>
        <w:rPr>
          <w:rFonts w:ascii="Arial" w:hAnsi="Arial" w:eastAsia="Arial" w:cs="Arial"/>
          <w:sz w:val="2"/>
          <w:szCs w:val="2"/>
        </w:rPr>
        <w:br w:type="column"/>
      </w:r>
    </w:p>
    <w:p>
      <w:pPr>
        <w:pStyle w:val="BodyText"/>
        <w:ind w:left="3" w:right="103" w:firstLine="409"/>
        <w:spacing w:before="30" w:line="303" w:lineRule="auto"/>
        <w:rPr/>
      </w:pPr>
      <w:r>
        <w:rPr>
          <w:spacing w:val="8"/>
        </w:rPr>
        <w:t>（</w:t>
      </w:r>
      <w:r>
        <w:rPr>
          <w:spacing w:val="-45"/>
        </w:rPr>
        <w:t xml:space="preserve"> </w:t>
      </w:r>
      <w:r>
        <w:rPr>
          <w:rFonts w:ascii="Times New Roman" w:hAnsi="Times New Roman" w:eastAsia="Times New Roman" w:cs="Times New Roman"/>
          <w:spacing w:val="8"/>
        </w:rPr>
        <w:t>5</w:t>
      </w:r>
      <w:r>
        <w:rPr>
          <w:rFonts w:ascii="Times New Roman" w:hAnsi="Times New Roman" w:eastAsia="Times New Roman" w:cs="Times New Roman"/>
          <w:spacing w:val="-19"/>
        </w:rPr>
        <w:t xml:space="preserve"> </w:t>
      </w:r>
      <w:r>
        <w:rPr>
          <w:spacing w:val="8"/>
        </w:rPr>
        <w:t>）对突发重大动物疫情应急反应的终</w:t>
      </w:r>
      <w:r>
        <w:rPr>
          <w:spacing w:val="8"/>
        </w:rPr>
        <w:t>止、后期评估提出建议；</w:t>
      </w:r>
    </w:p>
    <w:p>
      <w:pPr>
        <w:pStyle w:val="BodyText"/>
        <w:ind w:right="103" w:firstLine="412"/>
        <w:spacing w:before="164" w:line="302" w:lineRule="auto"/>
        <w:rPr/>
      </w:pPr>
      <w:r>
        <w:rPr>
          <w:spacing w:val="11"/>
        </w:rPr>
        <w:t>（</w:t>
      </w:r>
      <w:r>
        <w:rPr>
          <w:rFonts w:ascii="Times New Roman" w:hAnsi="Times New Roman" w:eastAsia="Times New Roman" w:cs="Times New Roman"/>
          <w:spacing w:val="11"/>
        </w:rPr>
        <w:t>6</w:t>
      </w:r>
      <w:r>
        <w:rPr>
          <w:rFonts w:ascii="Times New Roman" w:hAnsi="Times New Roman" w:eastAsia="Times New Roman" w:cs="Times New Roman"/>
          <w:spacing w:val="-18"/>
        </w:rPr>
        <w:t xml:space="preserve"> </w:t>
      </w:r>
      <w:r>
        <w:rPr>
          <w:spacing w:val="11"/>
        </w:rPr>
        <w:t>）承担市指挥部及其办事机构交办的</w:t>
      </w:r>
      <w:r>
        <w:rPr>
          <w:spacing w:val="6"/>
        </w:rPr>
        <w:t>其他工作。</w:t>
      </w:r>
    </w:p>
    <w:p>
      <w:pPr>
        <w:ind w:left="424"/>
        <w:spacing w:before="159"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3</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预报预警</w:t>
      </w:r>
    </w:p>
    <w:p>
      <w:pPr>
        <w:ind w:left="426"/>
        <w:spacing w:before="118" w:line="211" w:lineRule="auto"/>
        <w:rPr>
          <w:rFonts w:ascii="KaiTi" w:hAnsi="KaiTi" w:eastAsia="KaiTi" w:cs="KaiTi"/>
          <w:sz w:val="20"/>
          <w:szCs w:val="20"/>
        </w:rPr>
      </w:pPr>
      <w:r>
        <w:rPr>
          <w:rFonts w:ascii="Times New Roman" w:hAnsi="Times New Roman" w:eastAsia="Times New Roman" w:cs="Times New Roman"/>
          <w:sz w:val="20"/>
          <w:szCs w:val="20"/>
          <w:spacing w:val="2"/>
        </w:rPr>
        <w:t>3.</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  </w:t>
      </w:r>
      <w:r>
        <w:rPr>
          <w:rFonts w:ascii="KaiTi" w:hAnsi="KaiTi" w:eastAsia="KaiTi" w:cs="KaiTi"/>
          <w:sz w:val="20"/>
          <w:szCs w:val="20"/>
          <w:spacing w:val="2"/>
        </w:rPr>
        <w:t>监测预报。</w:t>
      </w:r>
    </w:p>
    <w:p>
      <w:pPr>
        <w:pStyle w:val="BodyText"/>
        <w:ind w:right="98" w:firstLine="426"/>
        <w:spacing w:before="173" w:line="379" w:lineRule="auto"/>
        <w:jc w:val="both"/>
        <w:rPr/>
      </w:pPr>
      <w:r>
        <w:rPr>
          <w:rFonts w:ascii="Times New Roman" w:hAnsi="Times New Roman" w:eastAsia="Times New Roman" w:cs="Times New Roman"/>
          <w:spacing w:val="2"/>
        </w:rPr>
        <w:t>3.</w:t>
      </w:r>
      <w:r>
        <w:rPr>
          <w:rFonts w:ascii="Times New Roman" w:hAnsi="Times New Roman" w:eastAsia="Times New Roman" w:cs="Times New Roman"/>
          <w:spacing w:val="-22"/>
        </w:rPr>
        <w:t xml:space="preserve"> </w:t>
      </w:r>
      <w:r>
        <w:rPr>
          <w:rFonts w:ascii="Times New Roman" w:hAnsi="Times New Roman" w:eastAsia="Times New Roman" w:cs="Times New Roman"/>
          <w:spacing w:val="2"/>
        </w:rPr>
        <w:t>1.1 </w:t>
      </w:r>
      <w:r>
        <w:rPr>
          <w:spacing w:val="2"/>
        </w:rPr>
        <w:t>监测。市县区要建立和完善重大动物</w:t>
      </w:r>
      <w:r>
        <w:rPr>
          <w:spacing w:val="7"/>
        </w:rPr>
        <w:t>疫情监测、报告机制，建立市、县、乡、村四</w:t>
      </w:r>
      <w:r>
        <w:rPr>
          <w:spacing w:val="7"/>
        </w:rPr>
        <w:t>级疫情监测网络，加强对监测工作的管理和监</w:t>
      </w:r>
      <w:r>
        <w:rPr>
          <w:spacing w:val="8"/>
        </w:rPr>
        <w:t>督，保证监测质量。</w:t>
      </w:r>
    </w:p>
    <w:p>
      <w:pPr>
        <w:pStyle w:val="BodyText"/>
        <w:ind w:right="101" w:firstLine="420"/>
        <w:spacing w:before="2" w:line="378" w:lineRule="auto"/>
        <w:jc w:val="both"/>
        <w:rPr/>
      </w:pPr>
      <w:r>
        <w:rPr>
          <w:spacing w:val="6"/>
        </w:rPr>
        <w:t>各级自然资源、水务部门要积极开展对陆</w:t>
      </w:r>
      <w:r>
        <w:rPr>
          <w:spacing w:val="7"/>
        </w:rPr>
        <w:t>生野生和水生动物疫源疫病的监测工作；各级</w:t>
      </w:r>
      <w:r>
        <w:rPr>
          <w:spacing w:val="18"/>
        </w:rPr>
        <w:t>其他有关部门要积极配合兽医主管部门做好</w:t>
      </w:r>
      <w:r>
        <w:rPr>
          <w:spacing w:val="8"/>
        </w:rPr>
        <w:t>重大动物疫情的监测工作。</w:t>
      </w:r>
    </w:p>
    <w:p>
      <w:pPr>
        <w:pStyle w:val="BodyText"/>
        <w:ind w:left="1" w:right="78" w:firstLine="424"/>
        <w:spacing w:before="7" w:line="377" w:lineRule="auto"/>
        <w:jc w:val="both"/>
        <w:rPr/>
      </w:pPr>
      <w:r>
        <w:rPr>
          <w:rFonts w:ascii="Times New Roman" w:hAnsi="Times New Roman" w:eastAsia="Times New Roman" w:cs="Times New Roman"/>
          <w:spacing w:val="2"/>
        </w:rPr>
        <w:t>3.</w:t>
      </w:r>
      <w:r>
        <w:rPr>
          <w:rFonts w:ascii="Times New Roman" w:hAnsi="Times New Roman" w:eastAsia="Times New Roman" w:cs="Times New Roman"/>
          <w:spacing w:val="-22"/>
        </w:rPr>
        <w:t xml:space="preserve"> </w:t>
      </w:r>
      <w:r>
        <w:rPr>
          <w:rFonts w:ascii="Times New Roman" w:hAnsi="Times New Roman" w:eastAsia="Times New Roman" w:cs="Times New Roman"/>
          <w:spacing w:val="2"/>
        </w:rPr>
        <w:t>1.2 </w:t>
      </w:r>
      <w:r>
        <w:rPr>
          <w:spacing w:val="2"/>
        </w:rPr>
        <w:t>预警。市县区政府畜牧兽医行政管理</w:t>
      </w:r>
      <w:r>
        <w:rPr>
          <w:spacing w:val="18"/>
        </w:rPr>
        <w:t>部门根据动物疾病预防控制机构提供的监测</w:t>
      </w:r>
      <w:r>
        <w:rPr>
          <w:spacing w:val="7"/>
        </w:rPr>
        <w:t>信息，按照重大动物疫情的发生、发展规律和</w:t>
      </w:r>
      <w:r>
        <w:rPr>
          <w:spacing w:val="7"/>
        </w:rPr>
        <w:t>特点，分析其危害程度、可能的发展趋势，及</w:t>
      </w:r>
      <w:r>
        <w:rPr>
          <w:spacing w:val="8"/>
        </w:rPr>
        <w:t>时做出相应级别的预警，依次用红色、橙色、</w:t>
      </w:r>
      <w:r>
        <w:rPr>
          <w:spacing w:val="7"/>
        </w:rPr>
        <w:t>黄色和蓝色表示特别严重、严重、较大和一般</w:t>
      </w:r>
      <w:r>
        <w:rPr>
          <w:spacing w:val="7"/>
        </w:rPr>
        <w:t>四个预警级别。</w:t>
      </w:r>
    </w:p>
    <w:p>
      <w:pPr>
        <w:pStyle w:val="BodyText"/>
        <w:ind w:left="3" w:right="18" w:firstLine="422"/>
        <w:spacing w:before="1" w:line="378" w:lineRule="auto"/>
        <w:jc w:val="both"/>
        <w:rPr/>
      </w:pPr>
      <w:r>
        <w:rPr>
          <w:rFonts w:ascii="Times New Roman" w:hAnsi="Times New Roman" w:eastAsia="Times New Roman" w:cs="Times New Roman"/>
          <w:spacing w:val="8"/>
        </w:rPr>
        <w:t>3.2  </w:t>
      </w:r>
      <w:r>
        <w:rPr>
          <w:rFonts w:ascii="KaiTi" w:hAnsi="KaiTi" w:eastAsia="KaiTi" w:cs="KaiTi"/>
          <w:spacing w:val="8"/>
        </w:rPr>
        <w:t>分级标准。</w:t>
      </w:r>
      <w:r>
        <w:rPr>
          <w:spacing w:val="8"/>
        </w:rPr>
        <w:t>根据有关规定和突发重大</w:t>
      </w:r>
      <w:r>
        <w:rPr>
          <w:spacing w:val="7"/>
        </w:rPr>
        <w:t>动物疫情的性质、危害程度、涉及范围，将突</w:t>
      </w:r>
      <w:r>
        <w:rPr>
          <w:spacing w:val="8"/>
        </w:rPr>
        <w:t>发重大动物疫情划分为特别重大 (</w:t>
      </w:r>
      <w:r>
        <w:rPr>
          <w:spacing w:val="-33"/>
        </w:rPr>
        <w:t xml:space="preserve"> </w:t>
      </w:r>
      <w:r>
        <w:rPr>
          <w:rFonts w:ascii="Times New Roman" w:hAnsi="Times New Roman" w:eastAsia="Times New Roman" w:cs="Times New Roman"/>
          <w:spacing w:val="8"/>
        </w:rPr>
        <w:t>Ⅰ</w:t>
      </w:r>
      <w:r>
        <w:rPr>
          <w:spacing w:val="8"/>
        </w:rPr>
        <w:t>级）</w:t>
      </w:r>
      <w:r>
        <w:rPr>
          <w:spacing w:val="-57"/>
        </w:rPr>
        <w:t xml:space="preserve"> </w:t>
      </w:r>
      <w:r>
        <w:rPr>
          <w:spacing w:val="8"/>
        </w:rPr>
        <w:t>、重</w:t>
      </w:r>
      <w:r>
        <w:rPr>
          <w:spacing w:val="-9"/>
        </w:rPr>
        <w:t>大</w:t>
      </w:r>
      <w:r>
        <w:rPr>
          <w:spacing w:val="-16"/>
        </w:rPr>
        <w:t xml:space="preserve"> </w:t>
      </w:r>
      <w:r>
        <w:rPr>
          <w:spacing w:val="-9"/>
        </w:rPr>
        <w:t>(</w:t>
      </w:r>
      <w:r>
        <w:rPr>
          <w:spacing w:val="-47"/>
        </w:rPr>
        <w:t xml:space="preserve"> </w:t>
      </w:r>
      <w:r>
        <w:rPr>
          <w:rFonts w:ascii="Times New Roman" w:hAnsi="Times New Roman" w:eastAsia="Times New Roman" w:cs="Times New Roman"/>
          <w:spacing w:val="-9"/>
        </w:rPr>
        <w:t>Ⅱ</w:t>
      </w:r>
      <w:r>
        <w:rPr>
          <w:spacing w:val="-9"/>
        </w:rPr>
        <w:t>级）、较大</w:t>
      </w:r>
      <w:r>
        <w:rPr>
          <w:spacing w:val="-24"/>
        </w:rPr>
        <w:t xml:space="preserve"> </w:t>
      </w:r>
      <w:r>
        <w:rPr>
          <w:spacing w:val="-9"/>
        </w:rPr>
        <w:t>(</w:t>
      </w:r>
      <w:r>
        <w:rPr>
          <w:spacing w:val="-48"/>
        </w:rPr>
        <w:t xml:space="preserve"> </w:t>
      </w:r>
      <w:r>
        <w:rPr>
          <w:rFonts w:ascii="Times New Roman" w:hAnsi="Times New Roman" w:eastAsia="Times New Roman" w:cs="Times New Roman"/>
          <w:spacing w:val="-9"/>
        </w:rPr>
        <w:t>Ⅲ</w:t>
      </w:r>
      <w:r>
        <w:rPr>
          <w:spacing w:val="-9"/>
        </w:rPr>
        <w:t>级）和一般</w:t>
      </w:r>
      <w:r>
        <w:rPr>
          <w:spacing w:val="-26"/>
        </w:rPr>
        <w:t xml:space="preserve"> </w:t>
      </w:r>
      <w:r>
        <w:rPr>
          <w:spacing w:val="-9"/>
        </w:rPr>
        <w:t>(</w:t>
      </w:r>
      <w:r>
        <w:rPr>
          <w:spacing w:val="-48"/>
        </w:rPr>
        <w:t xml:space="preserve"> </w:t>
      </w:r>
      <w:r>
        <w:rPr>
          <w:rFonts w:ascii="Times New Roman" w:hAnsi="Times New Roman" w:eastAsia="Times New Roman" w:cs="Times New Roman"/>
          <w:spacing w:val="-9"/>
        </w:rPr>
        <w:t>Ⅳ</w:t>
      </w:r>
      <w:r>
        <w:rPr>
          <w:spacing w:val="-9"/>
        </w:rPr>
        <w:t>级）四级。</w:t>
      </w:r>
    </w:p>
    <w:p>
      <w:pPr>
        <w:pStyle w:val="BodyText"/>
        <w:ind w:left="426"/>
        <w:spacing w:line="278" w:lineRule="exact"/>
        <w:rPr/>
      </w:pPr>
      <w:r>
        <w:rPr>
          <w:rFonts w:ascii="Times New Roman" w:hAnsi="Times New Roman" w:eastAsia="Times New Roman" w:cs="Times New Roman"/>
          <w:spacing w:val="2"/>
          <w:position w:val="1"/>
        </w:rPr>
        <w:t>3.2.1 </w:t>
      </w:r>
      <w:r>
        <w:rPr>
          <w:spacing w:val="2"/>
          <w:position w:val="1"/>
        </w:rPr>
        <w:t>特别重大 (</w:t>
      </w:r>
      <w:r>
        <w:rPr>
          <w:spacing w:val="-18"/>
          <w:position w:val="1"/>
        </w:rPr>
        <w:t xml:space="preserve"> </w:t>
      </w:r>
      <w:r>
        <w:rPr>
          <w:rFonts w:ascii="Times New Roman" w:hAnsi="Times New Roman" w:eastAsia="Times New Roman" w:cs="Times New Roman"/>
          <w:spacing w:val="2"/>
          <w:position w:val="1"/>
        </w:rPr>
        <w:t>Ⅰ</w:t>
      </w:r>
      <w:r>
        <w:rPr>
          <w:spacing w:val="2"/>
          <w:position w:val="1"/>
        </w:rPr>
        <w:t>级）动物疫情。</w:t>
      </w:r>
    </w:p>
    <w:p>
      <w:pPr>
        <w:pStyle w:val="BodyText"/>
        <w:ind w:right="89" w:firstLine="412"/>
        <w:spacing w:before="133" w:line="340" w:lineRule="auto"/>
        <w:rPr/>
      </w:pPr>
      <w:r>
        <w:rPr>
          <w:spacing w:val="-1"/>
        </w:rPr>
        <w:t>（</w:t>
      </w:r>
      <w:r>
        <w:rPr>
          <w:spacing w:val="-35"/>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1"/>
        </w:rPr>
        <w:t xml:space="preserve"> </w:t>
      </w:r>
      <w:r>
        <w:rPr>
          <w:spacing w:val="-1"/>
        </w:rPr>
        <w:t>）高致病性禽流感在</w:t>
      </w:r>
      <w:r>
        <w:rPr>
          <w:spacing w:val="-40"/>
        </w:rPr>
        <w:t xml:space="preserve"> </w:t>
      </w:r>
      <w:r>
        <w:rPr>
          <w:rFonts w:ascii="Times New Roman" w:hAnsi="Times New Roman" w:eastAsia="Times New Roman" w:cs="Times New Roman"/>
          <w:spacing w:val="-1"/>
        </w:rPr>
        <w:t>21  </w:t>
      </w:r>
      <w:r>
        <w:rPr>
          <w:spacing w:val="-1"/>
        </w:rPr>
        <w:t>日内，在本市</w:t>
      </w:r>
      <w:r>
        <w:rPr>
          <w:spacing w:val="6"/>
        </w:rPr>
        <w:t>行政区域内相邻县区</w:t>
      </w:r>
      <w:r>
        <w:rPr>
          <w:spacing w:val="-19"/>
        </w:rPr>
        <w:t xml:space="preserve"> </w:t>
      </w:r>
      <w:r>
        <w:rPr>
          <w:rFonts w:ascii="Times New Roman" w:hAnsi="Times New Roman" w:eastAsia="Times New Roman" w:cs="Times New Roman"/>
          <w:spacing w:val="6"/>
        </w:rPr>
        <w:t>5 </w:t>
      </w:r>
      <w:r>
        <w:rPr>
          <w:spacing w:val="6"/>
        </w:rPr>
        <w:t>个以上乡镇发生疫情；</w:t>
      </w:r>
      <w:r>
        <w:rPr>
          <w:spacing w:val="5"/>
        </w:rPr>
        <w:t>或在</w:t>
      </w:r>
      <w:r>
        <w:rPr>
          <w:spacing w:val="-26"/>
        </w:rPr>
        <w:t xml:space="preserve"> </w:t>
      </w:r>
      <w:r>
        <w:rPr>
          <w:rFonts w:ascii="Times New Roman" w:hAnsi="Times New Roman" w:eastAsia="Times New Roman" w:cs="Times New Roman"/>
          <w:spacing w:val="5"/>
        </w:rPr>
        <w:t>1 </w:t>
      </w:r>
      <w:r>
        <w:rPr>
          <w:spacing w:val="5"/>
        </w:rPr>
        <w:t>个县区内有</w:t>
      </w:r>
      <w:r>
        <w:rPr>
          <w:spacing w:val="-37"/>
        </w:rPr>
        <w:t xml:space="preserve"> </w:t>
      </w:r>
      <w:r>
        <w:rPr>
          <w:rFonts w:ascii="Times New Roman" w:hAnsi="Times New Roman" w:eastAsia="Times New Roman" w:cs="Times New Roman"/>
          <w:spacing w:val="5"/>
        </w:rPr>
        <w:t>3 </w:t>
      </w:r>
      <w:r>
        <w:rPr>
          <w:spacing w:val="5"/>
        </w:rPr>
        <w:t>个以上乡镇发生疫情；或</w:t>
      </w:r>
      <w:r>
        <w:rPr>
          <w:spacing w:val="9"/>
        </w:rPr>
        <w:t>成大面积扩散蔓延态势，并感染到人。</w:t>
      </w:r>
    </w:p>
    <w:p>
      <w:pPr>
        <w:pStyle w:val="BodyText"/>
        <w:ind w:left="3" w:right="93" w:firstLine="409"/>
        <w:spacing w:before="166" w:line="293" w:lineRule="auto"/>
        <w:rPr/>
      </w:pPr>
      <w:r>
        <w:rPr>
          <w:spacing w:val="1"/>
        </w:rPr>
        <w:t>（</w:t>
      </w:r>
      <w:r>
        <w:rPr>
          <w:rFonts w:ascii="Times New Roman" w:hAnsi="Times New Roman" w:eastAsia="Times New Roman" w:cs="Times New Roman"/>
          <w:spacing w:val="1"/>
        </w:rPr>
        <w:t>2</w:t>
      </w:r>
      <w:r>
        <w:rPr>
          <w:rFonts w:ascii="Times New Roman" w:hAnsi="Times New Roman" w:eastAsia="Times New Roman" w:cs="Times New Roman"/>
          <w:spacing w:val="-16"/>
        </w:rPr>
        <w:t xml:space="preserve"> </w:t>
      </w:r>
      <w:r>
        <w:rPr>
          <w:spacing w:val="1"/>
        </w:rPr>
        <w:t>）口蹄疫在</w:t>
      </w:r>
      <w:r>
        <w:rPr>
          <w:spacing w:val="-21"/>
        </w:rPr>
        <w:t xml:space="preserve"> </w:t>
      </w:r>
      <w:r>
        <w:rPr>
          <w:rFonts w:ascii="Times New Roman" w:hAnsi="Times New Roman" w:eastAsia="Times New Roman" w:cs="Times New Roman"/>
          <w:spacing w:val="1"/>
        </w:rPr>
        <w:t>14</w:t>
      </w:r>
      <w:r>
        <w:rPr>
          <w:rFonts w:ascii="Times New Roman" w:hAnsi="Times New Roman" w:eastAsia="Times New Roman" w:cs="Times New Roman"/>
        </w:rPr>
        <w:t xml:space="preserve">  </w:t>
      </w:r>
      <w:r>
        <w:rPr>
          <w:spacing w:val="1"/>
        </w:rPr>
        <w:t>日内，在</w:t>
      </w:r>
      <w:r>
        <w:rPr>
          <w:spacing w:val="-42"/>
        </w:rPr>
        <w:t xml:space="preserve"> </w:t>
      </w:r>
      <w:r>
        <w:rPr>
          <w:rFonts w:ascii="Times New Roman" w:hAnsi="Times New Roman" w:eastAsia="Times New Roman" w:cs="Times New Roman"/>
          <w:spacing w:val="1"/>
        </w:rPr>
        <w:t>2 </w:t>
      </w:r>
      <w:r>
        <w:rPr>
          <w:spacing w:val="1"/>
        </w:rPr>
        <w:t>个以上相邻</w:t>
      </w:r>
      <w:r>
        <w:rPr>
          <w:spacing w:val="7"/>
        </w:rPr>
        <w:t>县</w:t>
      </w:r>
      <w:r>
        <w:rPr>
          <w:rFonts w:ascii="Times New Roman" w:hAnsi="Times New Roman" w:eastAsia="Times New Roman" w:cs="Times New Roman"/>
          <w:spacing w:val="7"/>
        </w:rPr>
        <w:t>(</w:t>
      </w:r>
      <w:r>
        <w:rPr>
          <w:spacing w:val="7"/>
        </w:rPr>
        <w:t>区</w:t>
      </w:r>
      <w:r>
        <w:rPr>
          <w:rFonts w:ascii="Times New Roman" w:hAnsi="Times New Roman" w:eastAsia="Times New Roman" w:cs="Times New Roman"/>
          <w:spacing w:val="7"/>
        </w:rPr>
        <w:t>)</w:t>
      </w:r>
      <w:r>
        <w:rPr>
          <w:spacing w:val="7"/>
        </w:rPr>
        <w:t>发生疫情；或在</w:t>
      </w:r>
      <w:r>
        <w:rPr>
          <w:spacing w:val="-13"/>
        </w:rPr>
        <w:t xml:space="preserve"> </w:t>
      </w:r>
      <w:r>
        <w:rPr>
          <w:rFonts w:ascii="Times New Roman" w:hAnsi="Times New Roman" w:eastAsia="Times New Roman" w:cs="Times New Roman"/>
          <w:spacing w:val="7"/>
        </w:rPr>
        <w:t>1 </w:t>
      </w:r>
      <w:r>
        <w:rPr>
          <w:spacing w:val="7"/>
        </w:rPr>
        <w:t>个县区有</w:t>
      </w:r>
      <w:r>
        <w:rPr>
          <w:spacing w:val="-36"/>
        </w:rPr>
        <w:t xml:space="preserve"> </w:t>
      </w:r>
      <w:r>
        <w:rPr>
          <w:rFonts w:ascii="Times New Roman" w:hAnsi="Times New Roman" w:eastAsia="Times New Roman" w:cs="Times New Roman"/>
          <w:spacing w:val="7"/>
        </w:rPr>
        <w:t>3 </w:t>
      </w:r>
      <w:r>
        <w:rPr>
          <w:spacing w:val="7"/>
        </w:rPr>
        <w:t>个以上乡</w:t>
      </w:r>
    </w:p>
    <w:p>
      <w:pPr>
        <w:spacing w:line="293" w:lineRule="auto"/>
        <w:sectPr>
          <w:type w:val="continuous"/>
          <w:pgSz w:w="11906" w:h="16839"/>
          <w:pgMar w:top="1772" w:right="1489" w:bottom="1572" w:left="1571" w:header="1428" w:footer="1172" w:gutter="0"/>
          <w:cols w:equalWidth="0" w:num="2">
            <w:col w:w="4498" w:space="100"/>
            <w:col w:w="4249" w:space="0"/>
          </w:cols>
        </w:sectPr>
        <w:rPr/>
      </w:pPr>
    </w:p>
    <w:p>
      <w:pPr>
        <w:spacing w:before="85"/>
        <w:rPr/>
      </w:pPr>
      <w:r>
        <w:drawing>
          <wp:anchor distT="0" distB="0" distL="0" distR="0" simplePos="0" relativeHeight="254144512"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2198" name="IM 2198"/>
            <wp:cNvGraphicFramePr/>
            <a:graphic>
              <a:graphicData uri="http://schemas.openxmlformats.org/drawingml/2006/picture">
                <pic:pic>
                  <pic:nvPicPr>
                    <pic:cNvPr id="2198" name="IM 2198"/>
                    <pic:cNvPicPr/>
                  </pic:nvPicPr>
                  <pic:blipFill>
                    <a:blip r:embed="rId1101"/>
                    <a:stretch>
                      <a:fillRect/>
                    </a:stretch>
                  </pic:blipFill>
                  <pic:spPr>
                    <a:xfrm rot="0">
                      <a:off x="0" y="0"/>
                      <a:ext cx="5579745" cy="7620"/>
                    </a:xfrm>
                    <a:prstGeom prst="rect">
                      <a:avLst/>
                    </a:prstGeom>
                  </pic:spPr>
                </pic:pic>
              </a:graphicData>
            </a:graphic>
          </wp:anchor>
        </w:drawing>
      </w:r>
      <w:r/>
    </w:p>
    <w:p>
      <w:pPr>
        <w:sectPr>
          <w:headerReference w:type="default" r:id="rId549"/>
          <w:footerReference w:type="default" r:id="rId1100"/>
          <w:pgSz w:w="11906" w:h="16839"/>
          <w:pgMar w:top="1766" w:right="1530" w:bottom="1574" w:left="1579" w:header="1428" w:footer="1172" w:gutter="0"/>
          <w:cols w:equalWidth="0" w:num="1">
            <w:col w:w="8796" w:space="0"/>
          </w:cols>
        </w:sectPr>
        <w:rPr/>
      </w:pPr>
    </w:p>
    <w:p>
      <w:pPr>
        <w:pStyle w:val="BodyText"/>
        <w:ind w:left="14" w:right="314" w:hanging="3"/>
        <w:spacing w:before="42" w:line="377" w:lineRule="auto"/>
        <w:rPr/>
      </w:pPr>
      <w:r>
        <w:rPr>
          <w:spacing w:val="7"/>
        </w:rPr>
        <w:t>镇连片发生疫情；或有新的口蹄疫亚型病毒引</w:t>
      </w:r>
      <w:r>
        <w:rPr>
          <w:spacing w:val="6"/>
        </w:rPr>
        <w:t>发的疫情。</w:t>
      </w:r>
    </w:p>
    <w:p>
      <w:pPr>
        <w:pStyle w:val="BodyText"/>
        <w:ind w:left="12" w:right="316" w:firstLine="412"/>
        <w:spacing w:before="1" w:line="301"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）动物发生牛海绵状脑病等外来人畜</w:t>
      </w:r>
      <w:r>
        <w:rPr>
          <w:spacing w:val="9"/>
        </w:rPr>
        <w:t>共患病或非洲猪瘟等外来动物传染病。</w:t>
      </w:r>
    </w:p>
    <w:p>
      <w:pPr>
        <w:pStyle w:val="BodyText"/>
        <w:ind w:left="11" w:right="316" w:firstLine="413"/>
        <w:spacing w:before="167" w:line="300"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）市级以上应急指挥部认定的其他特</w:t>
      </w:r>
      <w:r>
        <w:rPr>
          <w:spacing w:val="8"/>
        </w:rPr>
        <w:t>别重大突发动物疫情。</w:t>
      </w:r>
    </w:p>
    <w:p>
      <w:pPr>
        <w:pStyle w:val="BodyText"/>
        <w:ind w:left="437"/>
        <w:spacing w:before="168" w:line="278" w:lineRule="exact"/>
        <w:rPr/>
      </w:pPr>
      <w:r>
        <w:rPr>
          <w:rFonts w:ascii="Times New Roman" w:hAnsi="Times New Roman" w:eastAsia="Times New Roman" w:cs="Times New Roman"/>
          <w:spacing w:val="2"/>
          <w:position w:val="1"/>
        </w:rPr>
        <w:t>3.2.2 </w:t>
      </w:r>
      <w:r>
        <w:rPr>
          <w:spacing w:val="2"/>
          <w:position w:val="1"/>
        </w:rPr>
        <w:t>重大 (</w:t>
      </w:r>
      <w:r>
        <w:rPr>
          <w:spacing w:val="-32"/>
          <w:position w:val="1"/>
        </w:rPr>
        <w:t xml:space="preserve"> </w:t>
      </w:r>
      <w:r>
        <w:rPr>
          <w:rFonts w:ascii="Times New Roman" w:hAnsi="Times New Roman" w:eastAsia="Times New Roman" w:cs="Times New Roman"/>
          <w:spacing w:val="2"/>
          <w:position w:val="1"/>
        </w:rPr>
        <w:t>Ⅱ</w:t>
      </w:r>
      <w:r>
        <w:rPr>
          <w:spacing w:val="2"/>
          <w:position w:val="1"/>
        </w:rPr>
        <w:t>级）动物疫情。</w:t>
      </w:r>
    </w:p>
    <w:p>
      <w:pPr>
        <w:pStyle w:val="BodyText"/>
        <w:ind w:left="12" w:right="311" w:firstLine="412"/>
        <w:spacing w:before="132" w:line="327" w:lineRule="auto"/>
        <w:rPr/>
      </w:pPr>
      <w:r>
        <w:rPr>
          <w:spacing w:val="-2"/>
        </w:rPr>
        <w:t>（</w:t>
      </w:r>
      <w:r>
        <w:rPr>
          <w:spacing w:val="-34"/>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21"/>
        </w:rPr>
        <w:t xml:space="preserve"> </w:t>
      </w:r>
      <w:r>
        <w:rPr>
          <w:spacing w:val="-2"/>
        </w:rPr>
        <w:t>）高致病性禽流感在</w:t>
      </w:r>
      <w:r>
        <w:rPr>
          <w:spacing w:val="-43"/>
        </w:rPr>
        <w:t xml:space="preserve"> </w:t>
      </w:r>
      <w:r>
        <w:rPr>
          <w:rFonts w:ascii="Times New Roman" w:hAnsi="Times New Roman" w:eastAsia="Times New Roman" w:cs="Times New Roman"/>
          <w:spacing w:val="-2"/>
        </w:rPr>
        <w:t>21  </w:t>
      </w:r>
      <w:r>
        <w:rPr>
          <w:spacing w:val="-2"/>
        </w:rPr>
        <w:t>日内，在</w:t>
      </w:r>
      <w:r>
        <w:rPr>
          <w:spacing w:val="-23"/>
        </w:rPr>
        <w:t xml:space="preserve"> </w:t>
      </w:r>
      <w:r>
        <w:rPr>
          <w:rFonts w:ascii="Times New Roman" w:hAnsi="Times New Roman" w:eastAsia="Times New Roman" w:cs="Times New Roman"/>
          <w:spacing w:val="-2"/>
        </w:rPr>
        <w:t>1 </w:t>
      </w:r>
      <w:r>
        <w:rPr>
          <w:spacing w:val="-2"/>
        </w:rPr>
        <w:t>个</w:t>
      </w:r>
      <w:r>
        <w:rPr>
          <w:spacing w:val="8"/>
        </w:rPr>
        <w:t>县区内有</w:t>
      </w:r>
      <w:r>
        <w:rPr>
          <w:spacing w:val="-45"/>
        </w:rPr>
        <w:t xml:space="preserve"> </w:t>
      </w:r>
      <w:r>
        <w:rPr>
          <w:rFonts w:ascii="Times New Roman" w:hAnsi="Times New Roman" w:eastAsia="Times New Roman" w:cs="Times New Roman"/>
          <w:spacing w:val="8"/>
        </w:rPr>
        <w:t>2-4 </w:t>
      </w:r>
      <w:r>
        <w:rPr>
          <w:spacing w:val="8"/>
        </w:rPr>
        <w:t>个乡镇发生疫情。或出现新的高</w:t>
      </w:r>
      <w:r>
        <w:rPr>
          <w:spacing w:val="9"/>
        </w:rPr>
        <w:t>致病性禽流感病毒毒株引发的疫情。</w:t>
      </w:r>
    </w:p>
    <w:p>
      <w:pPr>
        <w:pStyle w:val="BodyText"/>
        <w:ind w:left="34" w:right="236" w:firstLine="389"/>
        <w:spacing w:before="167" w:line="302" w:lineRule="auto"/>
        <w:rPr/>
      </w:pPr>
      <w:r>
        <w:rPr>
          <w:spacing w:val="1"/>
        </w:rPr>
        <w:t>（</w:t>
      </w:r>
      <w:r>
        <w:rPr>
          <w:rFonts w:ascii="Times New Roman" w:hAnsi="Times New Roman" w:eastAsia="Times New Roman" w:cs="Times New Roman"/>
          <w:spacing w:val="1"/>
        </w:rPr>
        <w:t>2</w:t>
      </w:r>
      <w:r>
        <w:rPr>
          <w:rFonts w:ascii="Times New Roman" w:hAnsi="Times New Roman" w:eastAsia="Times New Roman" w:cs="Times New Roman"/>
          <w:spacing w:val="-15"/>
        </w:rPr>
        <w:t xml:space="preserve"> </w:t>
      </w:r>
      <w:r>
        <w:rPr>
          <w:spacing w:val="1"/>
        </w:rPr>
        <w:t>）口蹄疫在</w:t>
      </w:r>
      <w:r>
        <w:rPr>
          <w:spacing w:val="-23"/>
        </w:rPr>
        <w:t xml:space="preserve"> </w:t>
      </w:r>
      <w:r>
        <w:rPr>
          <w:rFonts w:ascii="Times New Roman" w:hAnsi="Times New Roman" w:eastAsia="Times New Roman" w:cs="Times New Roman"/>
          <w:spacing w:val="1"/>
        </w:rPr>
        <w:t>14  </w:t>
      </w:r>
      <w:r>
        <w:rPr>
          <w:spacing w:val="1"/>
        </w:rPr>
        <w:t>日内，在本市行政区域</w:t>
      </w:r>
      <w:r>
        <w:rPr>
          <w:spacing w:val="-4"/>
        </w:rPr>
        <w:t>内</w:t>
      </w:r>
      <w:r>
        <w:rPr>
          <w:rFonts w:ascii="Times New Roman" w:hAnsi="Times New Roman" w:eastAsia="Times New Roman" w:cs="Times New Roman"/>
          <w:spacing w:val="-4"/>
        </w:rPr>
        <w:t>2 </w:t>
      </w:r>
      <w:r>
        <w:rPr>
          <w:spacing w:val="-4"/>
        </w:rPr>
        <w:t>个以上县区发生疫情或疫点数达到</w:t>
      </w:r>
      <w:r>
        <w:rPr>
          <w:rFonts w:ascii="Times New Roman" w:hAnsi="Times New Roman" w:eastAsia="Times New Roman" w:cs="Times New Roman"/>
          <w:spacing w:val="-4"/>
        </w:rPr>
        <w:t>5 </w:t>
      </w:r>
      <w:r>
        <w:rPr>
          <w:spacing w:val="-5"/>
        </w:rPr>
        <w:t>个以上。</w:t>
      </w:r>
    </w:p>
    <w:p>
      <w:pPr>
        <w:pStyle w:val="BodyText"/>
        <w:ind w:left="11" w:right="311" w:firstLine="413"/>
        <w:spacing w:before="166" w:line="327" w:lineRule="auto"/>
        <w:rPr/>
      </w:pPr>
      <w:r>
        <w:rPr>
          <w:spacing w:val="6"/>
        </w:rPr>
        <w:t>（</w:t>
      </w:r>
      <w:r>
        <w:rPr>
          <w:rFonts w:ascii="Times New Roman" w:hAnsi="Times New Roman" w:eastAsia="Times New Roman" w:cs="Times New Roman"/>
          <w:spacing w:val="6"/>
        </w:rPr>
        <w:t>3</w:t>
      </w:r>
      <w:r>
        <w:rPr>
          <w:rFonts w:ascii="Times New Roman" w:hAnsi="Times New Roman" w:eastAsia="Times New Roman" w:cs="Times New Roman"/>
          <w:spacing w:val="-5"/>
        </w:rPr>
        <w:t xml:space="preserve"> </w:t>
      </w:r>
      <w:r>
        <w:rPr>
          <w:spacing w:val="6"/>
        </w:rPr>
        <w:t>）在</w:t>
      </w:r>
      <w:r>
        <w:rPr>
          <w:spacing w:val="-18"/>
        </w:rPr>
        <w:t xml:space="preserve"> </w:t>
      </w:r>
      <w:r>
        <w:rPr>
          <w:rFonts w:ascii="Times New Roman" w:hAnsi="Times New Roman" w:eastAsia="Times New Roman" w:cs="Times New Roman"/>
          <w:spacing w:val="6"/>
        </w:rPr>
        <w:t>1 </w:t>
      </w:r>
      <w:r>
        <w:rPr>
          <w:spacing w:val="6"/>
        </w:rPr>
        <w:t>个潜伏期内</w:t>
      </w:r>
      <w:r>
        <w:rPr>
          <w:spacing w:val="-58"/>
        </w:rPr>
        <w:t xml:space="preserve"> </w:t>
      </w:r>
      <w:r>
        <w:rPr>
          <w:spacing w:val="6"/>
        </w:rPr>
        <w:t>，在本市行政区域</w:t>
      </w:r>
      <w:r>
        <w:rPr>
          <w:spacing w:val="6"/>
        </w:rPr>
        <w:t>内有</w:t>
      </w:r>
      <w:r>
        <w:rPr>
          <w:spacing w:val="-28"/>
        </w:rPr>
        <w:t xml:space="preserve"> </w:t>
      </w:r>
      <w:r>
        <w:rPr>
          <w:rFonts w:ascii="Times New Roman" w:hAnsi="Times New Roman" w:eastAsia="Times New Roman" w:cs="Times New Roman"/>
          <w:spacing w:val="6"/>
        </w:rPr>
        <w:t>5 </w:t>
      </w:r>
      <w:r>
        <w:rPr>
          <w:spacing w:val="6"/>
        </w:rPr>
        <w:t>个以上乡镇发生小反刍兽疫、猪瘟、鸡</w:t>
      </w:r>
      <w:r>
        <w:rPr>
          <w:spacing w:val="9"/>
        </w:rPr>
        <w:t>新城疫、羊痘等其他一类动物疫病疫情。</w:t>
      </w:r>
    </w:p>
    <w:p>
      <w:pPr>
        <w:pStyle w:val="BodyText"/>
        <w:ind w:left="17" w:right="314" w:firstLine="407"/>
        <w:spacing w:before="167" w:line="326"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）在我市已消灭或已达到国家控制标</w:t>
      </w:r>
      <w:r>
        <w:rPr>
          <w:spacing w:val="7"/>
        </w:rPr>
        <w:t>准的牛瘟、牛肺疫、马鼻疽、马传染性贫血等</w:t>
      </w:r>
      <w:r>
        <w:rPr>
          <w:spacing w:val="5"/>
        </w:rPr>
        <w:t>又有发生。</w:t>
      </w:r>
    </w:p>
    <w:p>
      <w:pPr>
        <w:pStyle w:val="BodyText"/>
        <w:ind w:left="11" w:right="247" w:firstLine="413"/>
        <w:spacing w:before="168" w:line="341" w:lineRule="auto"/>
        <w:rPr/>
      </w:pPr>
      <w:r>
        <w:rPr>
          <w:spacing w:val="4"/>
        </w:rPr>
        <w:t>（</w:t>
      </w:r>
      <w:r>
        <w:rPr>
          <w:spacing w:val="-48"/>
        </w:rPr>
        <w:t xml:space="preserve"> </w:t>
      </w:r>
      <w:r>
        <w:rPr>
          <w:rFonts w:ascii="Times New Roman" w:hAnsi="Times New Roman" w:eastAsia="Times New Roman" w:cs="Times New Roman"/>
          <w:spacing w:val="4"/>
        </w:rPr>
        <w:t>5</w:t>
      </w:r>
      <w:r>
        <w:rPr>
          <w:rFonts w:ascii="Times New Roman" w:hAnsi="Times New Roman" w:eastAsia="Times New Roman" w:cs="Times New Roman"/>
          <w:spacing w:val="-19"/>
        </w:rPr>
        <w:t xml:space="preserve"> </w:t>
      </w:r>
      <w:r>
        <w:rPr>
          <w:spacing w:val="4"/>
        </w:rPr>
        <w:t>）在</w:t>
      </w:r>
      <w:r>
        <w:rPr>
          <w:spacing w:val="-18"/>
        </w:rPr>
        <w:t xml:space="preserve"> </w:t>
      </w:r>
      <w:r>
        <w:rPr>
          <w:rFonts w:ascii="Times New Roman" w:hAnsi="Times New Roman" w:eastAsia="Times New Roman" w:cs="Times New Roman"/>
          <w:spacing w:val="4"/>
        </w:rPr>
        <w:t>1 </w:t>
      </w:r>
      <w:r>
        <w:rPr>
          <w:spacing w:val="4"/>
        </w:rPr>
        <w:t>个潜伏期内</w:t>
      </w:r>
      <w:r>
        <w:rPr>
          <w:spacing w:val="-58"/>
        </w:rPr>
        <w:t xml:space="preserve"> </w:t>
      </w:r>
      <w:r>
        <w:rPr>
          <w:spacing w:val="4"/>
        </w:rPr>
        <w:t>，布鲁氏菌病、结</w:t>
      </w:r>
      <w:r>
        <w:rPr>
          <w:spacing w:val="7"/>
        </w:rPr>
        <w:t>核病、狂犬病、炭疽等二类动物疫病呈暴发流</w:t>
      </w:r>
      <w:r>
        <w:rPr>
          <w:spacing w:val="-1"/>
        </w:rPr>
        <w:t>行，波及</w:t>
      </w:r>
      <w:r>
        <w:rPr>
          <w:spacing w:val="-15"/>
        </w:rPr>
        <w:t xml:space="preserve"> </w:t>
      </w:r>
      <w:r>
        <w:rPr>
          <w:rFonts w:ascii="Times New Roman" w:hAnsi="Times New Roman" w:eastAsia="Times New Roman" w:cs="Times New Roman"/>
          <w:spacing w:val="-1"/>
        </w:rPr>
        <w:t>1 </w:t>
      </w:r>
      <w:r>
        <w:rPr>
          <w:spacing w:val="-1"/>
        </w:rPr>
        <w:t>个以上县区，或有人畜共患病发生，</w:t>
      </w:r>
      <w:r>
        <w:rPr>
          <w:spacing w:val="9"/>
        </w:rPr>
        <w:t>并感染人的病例，并有继续扩散趋势。</w:t>
      </w:r>
    </w:p>
    <w:p>
      <w:pPr>
        <w:pStyle w:val="BodyText"/>
        <w:ind w:left="18" w:right="316" w:firstLine="406"/>
        <w:spacing w:before="166" w:line="300" w:lineRule="auto"/>
        <w:rPr/>
      </w:pPr>
      <w:r>
        <w:rPr>
          <w:spacing w:val="11"/>
        </w:rPr>
        <w:t>（</w:t>
      </w:r>
      <w:r>
        <w:rPr>
          <w:rFonts w:ascii="Times New Roman" w:hAnsi="Times New Roman" w:eastAsia="Times New Roman" w:cs="Times New Roman"/>
          <w:spacing w:val="11"/>
        </w:rPr>
        <w:t>6</w:t>
      </w:r>
      <w:r>
        <w:rPr>
          <w:rFonts w:ascii="Times New Roman" w:hAnsi="Times New Roman" w:eastAsia="Times New Roman" w:cs="Times New Roman"/>
          <w:spacing w:val="-18"/>
        </w:rPr>
        <w:t xml:space="preserve"> </w:t>
      </w:r>
      <w:r>
        <w:rPr>
          <w:spacing w:val="11"/>
        </w:rPr>
        <w:t>）市级以上应急指挥部认定的其他重</w:t>
      </w:r>
      <w:r>
        <w:rPr>
          <w:spacing w:val="7"/>
        </w:rPr>
        <w:t>大突发动物疫情。</w:t>
      </w:r>
    </w:p>
    <w:p>
      <w:pPr>
        <w:pStyle w:val="BodyText"/>
        <w:ind w:left="437"/>
        <w:spacing w:before="168" w:line="278" w:lineRule="exact"/>
        <w:rPr/>
      </w:pPr>
      <w:r>
        <w:rPr>
          <w:rFonts w:ascii="Times New Roman" w:hAnsi="Times New Roman" w:eastAsia="Times New Roman" w:cs="Times New Roman"/>
          <w:spacing w:val="2"/>
          <w:position w:val="1"/>
        </w:rPr>
        <w:t>3.2.3 </w:t>
      </w:r>
      <w:r>
        <w:rPr>
          <w:spacing w:val="2"/>
          <w:position w:val="1"/>
        </w:rPr>
        <w:t>较大 (</w:t>
      </w:r>
      <w:r>
        <w:rPr>
          <w:spacing w:val="-27"/>
          <w:position w:val="1"/>
        </w:rPr>
        <w:t xml:space="preserve"> </w:t>
      </w:r>
      <w:r>
        <w:rPr>
          <w:rFonts w:ascii="Times New Roman" w:hAnsi="Times New Roman" w:eastAsia="Times New Roman" w:cs="Times New Roman"/>
          <w:spacing w:val="2"/>
          <w:position w:val="1"/>
        </w:rPr>
        <w:t>Ⅲ</w:t>
      </w:r>
      <w:r>
        <w:rPr>
          <w:spacing w:val="2"/>
          <w:position w:val="1"/>
        </w:rPr>
        <w:t>级）动物疫情。</w:t>
      </w:r>
    </w:p>
    <w:p>
      <w:pPr>
        <w:pStyle w:val="BodyText"/>
        <w:ind w:left="424"/>
        <w:spacing w:before="132" w:line="278" w:lineRule="exact"/>
        <w:rPr/>
      </w:pPr>
      <w:r>
        <w:rPr>
          <w:spacing w:val="-8"/>
          <w:position w:val="1"/>
        </w:rPr>
        <w:t>（</w:t>
      </w:r>
      <w:r>
        <w:rPr>
          <w:spacing w:val="-33"/>
          <w:position w:val="1"/>
        </w:rPr>
        <w:t xml:space="preserve"> </w:t>
      </w:r>
      <w:r>
        <w:rPr>
          <w:rFonts w:ascii="Times New Roman" w:hAnsi="Times New Roman" w:eastAsia="Times New Roman" w:cs="Times New Roman"/>
          <w:spacing w:val="-8"/>
          <w:position w:val="1"/>
        </w:rPr>
        <w:t>1</w:t>
      </w:r>
      <w:r>
        <w:rPr>
          <w:rFonts w:ascii="Times New Roman" w:hAnsi="Times New Roman" w:eastAsia="Times New Roman" w:cs="Times New Roman"/>
          <w:spacing w:val="-20"/>
          <w:position w:val="1"/>
        </w:rPr>
        <w:t xml:space="preserve"> </w:t>
      </w:r>
      <w:r>
        <w:rPr>
          <w:spacing w:val="-8"/>
          <w:position w:val="1"/>
        </w:rPr>
        <w:t>）在</w:t>
      </w:r>
      <w:r>
        <w:rPr>
          <w:spacing w:val="-34"/>
          <w:position w:val="1"/>
        </w:rPr>
        <w:t xml:space="preserve"> </w:t>
      </w:r>
      <w:r>
        <w:rPr>
          <w:rFonts w:ascii="Times New Roman" w:hAnsi="Times New Roman" w:eastAsia="Times New Roman" w:cs="Times New Roman"/>
          <w:spacing w:val="-8"/>
          <w:position w:val="1"/>
        </w:rPr>
        <w:t>1 </w:t>
      </w:r>
      <w:r>
        <w:rPr>
          <w:spacing w:val="-8"/>
          <w:position w:val="1"/>
        </w:rPr>
        <w:t>个县区发生高致病性禽流感疫情。</w:t>
      </w:r>
    </w:p>
    <w:p>
      <w:pPr>
        <w:pStyle w:val="BodyText"/>
        <w:ind w:left="424"/>
        <w:spacing w:before="133" w:line="277" w:lineRule="exact"/>
        <w:rPr/>
      </w:pPr>
      <w:r>
        <w:rPr>
          <w:spacing w:val="5"/>
          <w:position w:val="1"/>
        </w:rPr>
        <w:t>（</w:t>
      </w:r>
      <w:r>
        <w:rPr>
          <w:rFonts w:ascii="Times New Roman" w:hAnsi="Times New Roman" w:eastAsia="Times New Roman" w:cs="Times New Roman"/>
          <w:spacing w:val="5"/>
          <w:position w:val="1"/>
        </w:rPr>
        <w:t>2</w:t>
      </w:r>
      <w:r>
        <w:rPr>
          <w:rFonts w:ascii="Times New Roman" w:hAnsi="Times New Roman" w:eastAsia="Times New Roman" w:cs="Times New Roman"/>
          <w:spacing w:val="-21"/>
          <w:position w:val="1"/>
        </w:rPr>
        <w:t xml:space="preserve"> </w:t>
      </w:r>
      <w:r>
        <w:rPr>
          <w:spacing w:val="5"/>
          <w:position w:val="1"/>
        </w:rPr>
        <w:t>）在</w:t>
      </w:r>
      <w:r>
        <w:rPr>
          <w:spacing w:val="-20"/>
          <w:position w:val="1"/>
        </w:rPr>
        <w:t xml:space="preserve"> </w:t>
      </w:r>
      <w:r>
        <w:rPr>
          <w:rFonts w:ascii="Times New Roman" w:hAnsi="Times New Roman" w:eastAsia="Times New Roman" w:cs="Times New Roman"/>
          <w:spacing w:val="5"/>
          <w:position w:val="1"/>
        </w:rPr>
        <w:t>1 </w:t>
      </w:r>
      <w:r>
        <w:rPr>
          <w:spacing w:val="5"/>
          <w:position w:val="1"/>
        </w:rPr>
        <w:t>个县区发生口蹄疫疫情。</w:t>
      </w:r>
    </w:p>
    <w:p>
      <w:pPr>
        <w:pStyle w:val="BodyText"/>
        <w:ind w:left="11" w:right="312" w:firstLine="413"/>
        <w:spacing w:before="134" w:line="326" w:lineRule="auto"/>
        <w:rPr/>
      </w:pPr>
      <w:r>
        <w:rPr>
          <w:spacing w:val="1"/>
        </w:rPr>
        <w:t>（</w:t>
      </w:r>
      <w:r>
        <w:rPr>
          <w:rFonts w:ascii="Times New Roman" w:hAnsi="Times New Roman" w:eastAsia="Times New Roman" w:cs="Times New Roman"/>
          <w:spacing w:val="1"/>
        </w:rPr>
        <w:t>3</w:t>
      </w:r>
      <w:r>
        <w:rPr>
          <w:rFonts w:ascii="Times New Roman" w:hAnsi="Times New Roman" w:eastAsia="Times New Roman" w:cs="Times New Roman"/>
          <w:spacing w:val="-13"/>
        </w:rPr>
        <w:t xml:space="preserve"> </w:t>
      </w:r>
      <w:r>
        <w:rPr>
          <w:spacing w:val="1"/>
        </w:rPr>
        <w:t>）在</w:t>
      </w:r>
      <w:r>
        <w:rPr>
          <w:spacing w:val="-23"/>
        </w:rPr>
        <w:t xml:space="preserve"> </w:t>
      </w:r>
      <w:r>
        <w:rPr>
          <w:rFonts w:ascii="Times New Roman" w:hAnsi="Times New Roman" w:eastAsia="Times New Roman" w:cs="Times New Roman"/>
          <w:spacing w:val="1"/>
        </w:rPr>
        <w:t>1 </w:t>
      </w:r>
      <w:r>
        <w:rPr>
          <w:spacing w:val="1"/>
        </w:rPr>
        <w:t>个潜伏期内，</w:t>
      </w:r>
      <w:r>
        <w:rPr>
          <w:rFonts w:ascii="Times New Roman" w:hAnsi="Times New Roman" w:eastAsia="Times New Roman" w:cs="Times New Roman"/>
          <w:spacing w:val="1"/>
        </w:rPr>
        <w:t>2 </w:t>
      </w:r>
      <w:r>
        <w:rPr>
          <w:spacing w:val="1"/>
        </w:rPr>
        <w:t>个以上县区发生</w:t>
      </w:r>
      <w:r>
        <w:rPr>
          <w:spacing w:val="7"/>
        </w:rPr>
        <w:t>小反刍兽疫、猪瘟、鸡新城疫、羊痘等其他一</w:t>
      </w:r>
      <w:r>
        <w:rPr>
          <w:spacing w:val="8"/>
        </w:rPr>
        <w:t>类动物疫病疫情。</w:t>
      </w:r>
    </w:p>
    <w:p>
      <w:pPr>
        <w:pStyle w:val="BodyText"/>
        <w:ind w:left="18" w:right="312" w:firstLine="406"/>
        <w:spacing w:before="169" w:line="284" w:lineRule="auto"/>
        <w:rPr/>
      </w:pPr>
      <w:r>
        <w:rPr>
          <w:spacing w:val="1"/>
        </w:rPr>
        <w:t>（</w:t>
      </w:r>
      <w:r>
        <w:rPr>
          <w:rFonts w:ascii="Times New Roman" w:hAnsi="Times New Roman" w:eastAsia="Times New Roman" w:cs="Times New Roman"/>
          <w:spacing w:val="1"/>
        </w:rPr>
        <w:t>4</w:t>
      </w:r>
      <w:r>
        <w:rPr>
          <w:rFonts w:ascii="Times New Roman" w:hAnsi="Times New Roman" w:eastAsia="Times New Roman" w:cs="Times New Roman"/>
          <w:spacing w:val="-13"/>
        </w:rPr>
        <w:t xml:space="preserve"> </w:t>
      </w:r>
      <w:r>
        <w:rPr>
          <w:spacing w:val="1"/>
        </w:rPr>
        <w:t>）在</w:t>
      </w:r>
      <w:r>
        <w:rPr>
          <w:spacing w:val="-23"/>
        </w:rPr>
        <w:t xml:space="preserve"> </w:t>
      </w:r>
      <w:r>
        <w:rPr>
          <w:rFonts w:ascii="Times New Roman" w:hAnsi="Times New Roman" w:eastAsia="Times New Roman" w:cs="Times New Roman"/>
          <w:spacing w:val="1"/>
        </w:rPr>
        <w:t>1 </w:t>
      </w:r>
      <w:r>
        <w:rPr>
          <w:spacing w:val="1"/>
        </w:rPr>
        <w:t>个潜伏期内，</w:t>
      </w:r>
      <w:r>
        <w:rPr>
          <w:rFonts w:ascii="Times New Roman" w:hAnsi="Times New Roman" w:eastAsia="Times New Roman" w:cs="Times New Roman"/>
          <w:spacing w:val="1"/>
        </w:rPr>
        <w:t>2 </w:t>
      </w:r>
      <w:r>
        <w:rPr>
          <w:spacing w:val="1"/>
        </w:rPr>
        <w:t>个以上县区暴发</w:t>
      </w:r>
      <w:r>
        <w:rPr>
          <w:spacing w:val="7"/>
        </w:rPr>
        <w:t>流行布鲁氏菌病、结核病、狂犬病、炭疽病等</w:t>
      </w:r>
    </w:p>
    <w:p>
      <w:pPr>
        <w:spacing w:line="14" w:lineRule="auto"/>
        <w:rPr>
          <w:rFonts w:ascii="Arial"/>
          <w:sz w:val="2"/>
        </w:rPr>
      </w:pPr>
      <w:r>
        <w:rPr>
          <w:rFonts w:ascii="Arial" w:hAnsi="Arial" w:eastAsia="Arial" w:cs="Arial"/>
          <w:sz w:val="2"/>
          <w:szCs w:val="2"/>
        </w:rPr>
        <w:br w:type="column"/>
      </w:r>
    </w:p>
    <w:p>
      <w:pPr>
        <w:pStyle w:val="BodyText"/>
        <w:ind w:left="15" w:right="59"/>
        <w:spacing w:before="40" w:line="377" w:lineRule="auto"/>
        <w:rPr/>
      </w:pPr>
      <w:r>
        <w:rPr>
          <w:spacing w:val="7"/>
        </w:rPr>
        <w:t>人畜共患传染病，或出现感染到人的病例，并</w:t>
      </w:r>
      <w:r>
        <w:rPr>
          <w:spacing w:val="7"/>
        </w:rPr>
        <w:t>有扩散趋势。</w:t>
      </w:r>
    </w:p>
    <w:p>
      <w:pPr>
        <w:pStyle w:val="BodyText"/>
        <w:ind w:left="16" w:right="57" w:firstLine="411"/>
        <w:spacing w:line="358" w:lineRule="auto"/>
        <w:rPr/>
      </w:pPr>
      <w:r>
        <w:rPr>
          <w:spacing w:val="7"/>
        </w:rPr>
        <w:t>（</w:t>
      </w:r>
      <w:r>
        <w:rPr>
          <w:spacing w:val="-44"/>
        </w:rPr>
        <w:t xml:space="preserve"> </w:t>
      </w:r>
      <w:r>
        <w:rPr>
          <w:rFonts w:ascii="Times New Roman" w:hAnsi="Times New Roman" w:eastAsia="Times New Roman" w:cs="Times New Roman"/>
          <w:spacing w:val="7"/>
        </w:rPr>
        <w:t>5</w:t>
      </w:r>
      <w:r>
        <w:rPr>
          <w:rFonts w:ascii="Times New Roman" w:hAnsi="Times New Roman" w:eastAsia="Times New Roman" w:cs="Times New Roman"/>
          <w:spacing w:val="-18"/>
        </w:rPr>
        <w:t xml:space="preserve"> </w:t>
      </w:r>
      <w:r>
        <w:rPr>
          <w:spacing w:val="7"/>
        </w:rPr>
        <w:t>）二、三类动物疫病在</w:t>
      </w:r>
      <w:r>
        <w:rPr>
          <w:spacing w:val="-36"/>
        </w:rPr>
        <w:t xml:space="preserve"> </w:t>
      </w:r>
      <w:r>
        <w:rPr>
          <w:rFonts w:ascii="Times New Roman" w:hAnsi="Times New Roman" w:eastAsia="Times New Roman" w:cs="Times New Roman"/>
          <w:spacing w:val="7"/>
        </w:rPr>
        <w:t>2 </w:t>
      </w:r>
      <w:r>
        <w:rPr>
          <w:spacing w:val="7"/>
        </w:rPr>
        <w:t>个以上县区</w:t>
      </w:r>
      <w:r>
        <w:rPr>
          <w:spacing w:val="7"/>
        </w:rPr>
        <w:t>呈暴发流行。</w:t>
      </w:r>
    </w:p>
    <w:p>
      <w:pPr>
        <w:pStyle w:val="BodyText"/>
        <w:ind w:left="441"/>
        <w:spacing w:before="44" w:line="278" w:lineRule="exact"/>
        <w:rPr/>
      </w:pPr>
      <w:r>
        <w:rPr>
          <w:rFonts w:ascii="Times New Roman" w:hAnsi="Times New Roman" w:eastAsia="Times New Roman" w:cs="Times New Roman"/>
          <w:spacing w:val="2"/>
          <w:position w:val="1"/>
        </w:rPr>
        <w:t>3.2.4 </w:t>
      </w:r>
      <w:r>
        <w:rPr>
          <w:spacing w:val="2"/>
          <w:position w:val="1"/>
        </w:rPr>
        <w:t>一般 (</w:t>
      </w:r>
      <w:r>
        <w:rPr>
          <w:spacing w:val="-26"/>
          <w:position w:val="1"/>
        </w:rPr>
        <w:t xml:space="preserve"> </w:t>
      </w:r>
      <w:r>
        <w:rPr>
          <w:rFonts w:ascii="Times New Roman" w:hAnsi="Times New Roman" w:eastAsia="Times New Roman" w:cs="Times New Roman"/>
          <w:spacing w:val="2"/>
          <w:position w:val="1"/>
        </w:rPr>
        <w:t>Ⅳ</w:t>
      </w:r>
      <w:r>
        <w:rPr>
          <w:spacing w:val="2"/>
          <w:position w:val="1"/>
        </w:rPr>
        <w:t>级）动物疫情。</w:t>
      </w:r>
    </w:p>
    <w:p>
      <w:pPr>
        <w:pStyle w:val="BodyText"/>
        <w:ind w:left="17" w:right="54" w:firstLine="410"/>
        <w:spacing w:before="131" w:line="327" w:lineRule="auto"/>
        <w:rPr/>
      </w:pPr>
      <w:r>
        <w:rPr>
          <w:spacing w:val="-4"/>
        </w:rPr>
        <w:t>（</w:t>
      </w:r>
      <w:r>
        <w:rPr>
          <w:spacing w:val="-37"/>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1"/>
        </w:rPr>
        <w:t xml:space="preserve"> </w:t>
      </w:r>
      <w:r>
        <w:rPr>
          <w:spacing w:val="-4"/>
        </w:rPr>
        <w:t>）在</w:t>
      </w:r>
      <w:r>
        <w:rPr>
          <w:spacing w:val="-20"/>
        </w:rPr>
        <w:t xml:space="preserve"> </w:t>
      </w:r>
      <w:r>
        <w:rPr>
          <w:rFonts w:ascii="Times New Roman" w:hAnsi="Times New Roman" w:eastAsia="Times New Roman" w:cs="Times New Roman"/>
          <w:spacing w:val="-4"/>
        </w:rPr>
        <w:t>1 </w:t>
      </w:r>
      <w:r>
        <w:rPr>
          <w:spacing w:val="-4"/>
        </w:rPr>
        <w:t>个潜伏期内，</w:t>
      </w:r>
      <w:r>
        <w:rPr>
          <w:rFonts w:ascii="Times New Roman" w:hAnsi="Times New Roman" w:eastAsia="Times New Roman" w:cs="Times New Roman"/>
          <w:spacing w:val="-4"/>
        </w:rPr>
        <w:t>1 </w:t>
      </w:r>
      <w:r>
        <w:rPr>
          <w:spacing w:val="-4"/>
        </w:rPr>
        <w:t>个县（</w:t>
      </w:r>
      <w:r>
        <w:rPr>
          <w:spacing w:val="-50"/>
        </w:rPr>
        <w:t xml:space="preserve"> </w:t>
      </w:r>
      <w:r>
        <w:rPr>
          <w:spacing w:val="-4"/>
        </w:rPr>
        <w:t>区）发生</w:t>
      </w:r>
      <w:r>
        <w:rPr>
          <w:spacing w:val="7"/>
        </w:rPr>
        <w:t>猪瘟、鸡新城疫、小反刍兽疫、羊痘等一类动</w:t>
      </w:r>
      <w:r>
        <w:rPr>
          <w:spacing w:val="7"/>
        </w:rPr>
        <w:t>物疫病疫情。</w:t>
      </w:r>
    </w:p>
    <w:p>
      <w:pPr>
        <w:pStyle w:val="BodyText"/>
        <w:ind w:left="15" w:right="54" w:firstLine="412"/>
        <w:spacing w:before="168" w:line="327" w:lineRule="auto"/>
        <w:rPr/>
      </w:pPr>
      <w:r>
        <w:rPr>
          <w:spacing w:val="-1"/>
        </w:rPr>
        <w:t>（</w:t>
      </w:r>
      <w:r>
        <w:rPr>
          <w:rFonts w:ascii="Times New Roman" w:hAnsi="Times New Roman" w:eastAsia="Times New Roman" w:cs="Times New Roman"/>
          <w:spacing w:val="-1"/>
        </w:rPr>
        <w:t>2</w:t>
      </w:r>
      <w:r>
        <w:rPr>
          <w:rFonts w:ascii="Times New Roman" w:hAnsi="Times New Roman" w:eastAsia="Times New Roman" w:cs="Times New Roman"/>
          <w:spacing w:val="-21"/>
        </w:rPr>
        <w:t xml:space="preserve"> </w:t>
      </w:r>
      <w:r>
        <w:rPr>
          <w:spacing w:val="-1"/>
        </w:rPr>
        <w:t>）在</w:t>
      </w:r>
      <w:r>
        <w:rPr>
          <w:spacing w:val="-20"/>
        </w:rPr>
        <w:t xml:space="preserve"> </w:t>
      </w:r>
      <w:r>
        <w:rPr>
          <w:rFonts w:ascii="Times New Roman" w:hAnsi="Times New Roman" w:eastAsia="Times New Roman" w:cs="Times New Roman"/>
          <w:spacing w:val="-1"/>
        </w:rPr>
        <w:t>1 </w:t>
      </w:r>
      <w:r>
        <w:rPr>
          <w:spacing w:val="-1"/>
        </w:rPr>
        <w:t>个潜伏期内，</w:t>
      </w:r>
      <w:r>
        <w:rPr>
          <w:rFonts w:ascii="Times New Roman" w:hAnsi="Times New Roman" w:eastAsia="Times New Roman" w:cs="Times New Roman"/>
          <w:spacing w:val="-1"/>
        </w:rPr>
        <w:t>1 </w:t>
      </w:r>
      <w:r>
        <w:rPr>
          <w:spacing w:val="-1"/>
        </w:rPr>
        <w:t>个县（</w:t>
      </w:r>
      <w:r>
        <w:rPr>
          <w:spacing w:val="-50"/>
        </w:rPr>
        <w:t xml:space="preserve"> </w:t>
      </w:r>
      <w:r>
        <w:rPr>
          <w:spacing w:val="-1"/>
        </w:rPr>
        <w:t>区）发生</w:t>
      </w:r>
      <w:r>
        <w:rPr>
          <w:spacing w:val="7"/>
        </w:rPr>
        <w:t>布鲁氏菌病、结核病、狂犬病、炭疽病等人畜</w:t>
      </w:r>
      <w:r>
        <w:rPr>
          <w:spacing w:val="7"/>
        </w:rPr>
        <w:t>共患传染病。</w:t>
      </w:r>
    </w:p>
    <w:p>
      <w:pPr>
        <w:pStyle w:val="BodyText"/>
        <w:ind w:left="16" w:right="52" w:firstLine="411"/>
        <w:spacing w:before="164" w:line="301" w:lineRule="auto"/>
        <w:rPr/>
      </w:pPr>
      <w:r>
        <w:rPr>
          <w:spacing w:val="6"/>
        </w:rPr>
        <w:t>（</w:t>
      </w:r>
      <w:r>
        <w:rPr>
          <w:rFonts w:ascii="Times New Roman" w:hAnsi="Times New Roman" w:eastAsia="Times New Roman" w:cs="Times New Roman"/>
          <w:spacing w:val="6"/>
        </w:rPr>
        <w:t>3</w:t>
      </w:r>
      <w:r>
        <w:rPr>
          <w:rFonts w:ascii="Times New Roman" w:hAnsi="Times New Roman" w:eastAsia="Times New Roman" w:cs="Times New Roman"/>
          <w:spacing w:val="-11"/>
        </w:rPr>
        <w:t xml:space="preserve"> </w:t>
      </w:r>
      <w:r>
        <w:rPr>
          <w:spacing w:val="6"/>
        </w:rPr>
        <w:t>）二、三类动物疫病在</w:t>
      </w:r>
      <w:r>
        <w:rPr>
          <w:spacing w:val="-16"/>
        </w:rPr>
        <w:t xml:space="preserve"> </w:t>
      </w:r>
      <w:r>
        <w:rPr>
          <w:rFonts w:ascii="Times New Roman" w:hAnsi="Times New Roman" w:eastAsia="Times New Roman" w:cs="Times New Roman"/>
          <w:spacing w:val="6"/>
        </w:rPr>
        <w:t>1 </w:t>
      </w:r>
      <w:r>
        <w:rPr>
          <w:spacing w:val="6"/>
        </w:rPr>
        <w:t>个县（</w:t>
      </w:r>
      <w:r>
        <w:rPr>
          <w:spacing w:val="-47"/>
        </w:rPr>
        <w:t xml:space="preserve"> </w:t>
      </w:r>
      <w:r>
        <w:rPr>
          <w:spacing w:val="6"/>
        </w:rPr>
        <w:t>区）</w:t>
      </w:r>
      <w:r>
        <w:rPr>
          <w:spacing w:val="7"/>
        </w:rPr>
        <w:t>呈暴发流行。</w:t>
      </w:r>
    </w:p>
    <w:p>
      <w:pPr>
        <w:pStyle w:val="BodyText"/>
        <w:ind w:left="17" w:right="52" w:firstLine="425"/>
        <w:spacing w:before="177" w:line="377" w:lineRule="auto"/>
        <w:jc w:val="both"/>
        <w:rPr/>
      </w:pPr>
      <w:r>
        <w:rPr>
          <w:spacing w:val="7"/>
        </w:rPr>
        <w:t>为了及时、有效应对突发重大动物疫情，</w:t>
      </w:r>
      <w:r>
        <w:rPr>
          <w:spacing w:val="18"/>
        </w:rPr>
        <w:t>市畜牧兽医行政管理部门可根据全市突发重</w:t>
      </w:r>
      <w:r>
        <w:rPr>
          <w:spacing w:val="7"/>
        </w:rPr>
        <w:t>大动物疫情的实际情况、应对能力等，对较大</w:t>
      </w:r>
      <w:r>
        <w:rPr>
          <w:spacing w:val="18"/>
        </w:rPr>
        <w:t>和一般突发重大动物疫情的分级标准进行补</w:t>
      </w:r>
      <w:r>
        <w:rPr>
          <w:spacing w:val="8"/>
        </w:rPr>
        <w:t>充和调整，并报市政府备案。</w:t>
      </w:r>
    </w:p>
    <w:p>
      <w:pPr>
        <w:pStyle w:val="BodyText"/>
        <w:ind w:right="39" w:firstLine="441"/>
        <w:spacing w:line="365" w:lineRule="auto"/>
        <w:jc w:val="both"/>
        <w:rPr/>
      </w:pPr>
      <w:r>
        <w:rPr>
          <w:rFonts w:ascii="Times New Roman" w:hAnsi="Times New Roman" w:eastAsia="Times New Roman" w:cs="Times New Roman"/>
          <w:spacing w:val="8"/>
        </w:rPr>
        <w:t>3.3  </w:t>
      </w:r>
      <w:r>
        <w:rPr>
          <w:rFonts w:ascii="KaiTi" w:hAnsi="KaiTi" w:eastAsia="KaiTi" w:cs="KaiTi"/>
          <w:spacing w:val="8"/>
        </w:rPr>
        <w:t>预警信息报告与发布。</w:t>
      </w:r>
      <w:r>
        <w:rPr>
          <w:spacing w:val="8"/>
        </w:rPr>
        <w:t>市突发重大动</w:t>
      </w:r>
      <w:r>
        <w:rPr>
          <w:spacing w:val="8"/>
        </w:rPr>
        <w:t>物疫情应急指挥部办公室接到信息报告后，要</w:t>
      </w:r>
      <w:r>
        <w:rPr>
          <w:spacing w:val="8"/>
        </w:rPr>
        <w:t>组织会商或进行分析研判，对可能引发一般和</w:t>
      </w:r>
      <w:r>
        <w:rPr>
          <w:spacing w:val="19"/>
        </w:rPr>
        <w:t>较大级别的重大动物疫情突发事件的监测预</w:t>
      </w:r>
      <w:r>
        <w:rPr>
          <w:spacing w:val="16"/>
        </w:rPr>
        <w:t>测预警信息</w:t>
      </w:r>
      <w:r>
        <w:rPr>
          <w:spacing w:val="-43"/>
        </w:rPr>
        <w:t xml:space="preserve"> </w:t>
      </w:r>
      <w:r>
        <w:rPr>
          <w:spacing w:val="16"/>
        </w:rPr>
        <w:t>，向市指挥部成员单位和有关县</w:t>
      </w:r>
      <w:r>
        <w:rPr>
          <w:spacing w:val="8"/>
        </w:rPr>
        <w:t>（区）通报，督促和指导按照相应预案做好处</w:t>
      </w:r>
      <w:r>
        <w:rPr>
          <w:spacing w:val="8"/>
        </w:rPr>
        <w:t>置工作；对可能引发特别重大、重大级别的重</w:t>
      </w:r>
      <w:r>
        <w:rPr>
          <w:spacing w:val="8"/>
        </w:rPr>
        <w:t>大动物疫情突发事件的监测预测预警信息，市</w:t>
      </w:r>
      <w:r>
        <w:rPr>
          <w:spacing w:val="8"/>
        </w:rPr>
        <w:t>相关单位（本预案涉及责任单位）或市突发重</w:t>
      </w:r>
      <w:r>
        <w:rPr>
          <w:spacing w:val="8"/>
        </w:rPr>
        <w:t>大动物疫情指挥部要及时报告市政府，并按照</w:t>
      </w:r>
      <w:r>
        <w:rPr>
          <w:spacing w:val="19"/>
        </w:rPr>
        <w:t>《宁夏回族自治区突发事件预警信息发布管</w:t>
      </w:r>
      <w:r>
        <w:rPr>
          <w:spacing w:val="8"/>
        </w:rPr>
        <w:t>理办法》，提出预警信息发布方案，并配合做</w:t>
      </w:r>
      <w:r>
        <w:rPr>
          <w:spacing w:val="8"/>
        </w:rPr>
        <w:t>好预警信息发布工作。同时，向市突发重大动</w:t>
      </w:r>
      <w:r>
        <w:rPr>
          <w:spacing w:val="9"/>
        </w:rPr>
        <w:t>物疫情应急指挥部各成员单位通报有关情况。</w:t>
      </w:r>
    </w:p>
    <w:p>
      <w:pPr>
        <w:spacing w:line="365" w:lineRule="auto"/>
        <w:sectPr>
          <w:type w:val="continuous"/>
          <w:pgSz w:w="11906" w:h="16839"/>
          <w:pgMar w:top="1766" w:right="1530" w:bottom="1574" w:left="1579" w:header="1428" w:footer="1172" w:gutter="0"/>
          <w:cols w:equalWidth="0" w:num="2">
            <w:col w:w="4474" w:space="100"/>
            <w:col w:w="4223" w:space="0"/>
          </w:cols>
        </w:sectPr>
        <w:rPr/>
      </w:pPr>
    </w:p>
    <w:p>
      <w:pPr>
        <w:spacing w:before="72"/>
        <w:rPr/>
      </w:pPr>
      <w:r>
        <w:drawing>
          <wp:anchor distT="0" distB="0" distL="0" distR="0" simplePos="0" relativeHeight="254158848"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202" name="IM 2202"/>
            <wp:cNvGraphicFramePr/>
            <a:graphic>
              <a:graphicData uri="http://schemas.openxmlformats.org/drawingml/2006/picture">
                <pic:pic>
                  <pic:nvPicPr>
                    <pic:cNvPr id="2202" name="IM 2202"/>
                    <pic:cNvPicPr/>
                  </pic:nvPicPr>
                  <pic:blipFill>
                    <a:blip r:embed="rId1103"/>
                    <a:stretch>
                      <a:fillRect/>
                    </a:stretch>
                  </pic:blipFill>
                  <pic:spPr>
                    <a:xfrm rot="0">
                      <a:off x="0" y="0"/>
                      <a:ext cx="5579745" cy="7620"/>
                    </a:xfrm>
                    <a:prstGeom prst="rect">
                      <a:avLst/>
                    </a:prstGeom>
                  </pic:spPr>
                </pic:pic>
              </a:graphicData>
            </a:graphic>
          </wp:anchor>
        </w:drawing>
      </w:r>
      <w:r/>
    </w:p>
    <w:p>
      <w:pPr>
        <w:sectPr>
          <w:headerReference w:type="default" r:id="rId1048"/>
          <w:footerReference w:type="default" r:id="rId1102"/>
          <w:pgSz w:w="11906" w:h="16839"/>
          <w:pgMar w:top="1772" w:right="1489" w:bottom="1572" w:left="1571" w:header="1428" w:footer="1172" w:gutter="0"/>
          <w:cols w:equalWidth="0" w:num="1">
            <w:col w:w="8846" w:space="0"/>
          </w:cols>
        </w:sectPr>
        <w:rPr/>
      </w:pPr>
    </w:p>
    <w:p>
      <w:pPr>
        <w:pStyle w:val="BodyText"/>
        <w:ind w:left="21" w:right="310" w:firstLine="425"/>
        <w:spacing w:before="43" w:line="378" w:lineRule="auto"/>
        <w:jc w:val="both"/>
        <w:rPr/>
      </w:pPr>
      <w:r>
        <w:rPr>
          <w:rFonts w:ascii="Times New Roman" w:hAnsi="Times New Roman" w:eastAsia="Times New Roman" w:cs="Times New Roman"/>
          <w:spacing w:val="8"/>
        </w:rPr>
        <w:t>3.4  </w:t>
      </w:r>
      <w:r>
        <w:rPr>
          <w:rFonts w:ascii="KaiTi" w:hAnsi="KaiTi" w:eastAsia="KaiTi" w:cs="KaiTi"/>
          <w:spacing w:val="8"/>
        </w:rPr>
        <w:t>预警行动。</w:t>
      </w:r>
      <w:r>
        <w:rPr>
          <w:spacing w:val="8"/>
        </w:rPr>
        <w:t>市突发重大动物疫情指挥</w:t>
      </w:r>
      <w:r>
        <w:rPr>
          <w:spacing w:val="7"/>
        </w:rPr>
        <w:t>部办公室接到可能导致特别重大、重大动物疫</w:t>
      </w:r>
      <w:r>
        <w:rPr>
          <w:spacing w:val="7"/>
        </w:rPr>
        <w:t>情突发事件的监测预测预警信息后，要密切关</w:t>
      </w:r>
      <w:r>
        <w:rPr>
          <w:spacing w:val="7"/>
        </w:rPr>
        <w:t>注事态进展。按照市突发重大动物疫情指挥部</w:t>
      </w:r>
      <w:r>
        <w:rPr>
          <w:spacing w:val="7"/>
        </w:rPr>
        <w:t>的统一安排部署，组织、协调市突发重大动物</w:t>
      </w:r>
      <w:r>
        <w:rPr>
          <w:spacing w:val="7"/>
        </w:rPr>
        <w:t>疫情应急指挥部成员单位和有关地区，按照预</w:t>
      </w:r>
      <w:r>
        <w:rPr>
          <w:spacing w:val="7"/>
        </w:rPr>
        <w:t>案做好应急准备和预防工作，并及时向市突发</w:t>
      </w:r>
      <w:r>
        <w:rPr>
          <w:spacing w:val="8"/>
        </w:rPr>
        <w:t>重大动物疫情应急指挥部动态报送有关信息。</w:t>
      </w:r>
    </w:p>
    <w:p>
      <w:pPr>
        <w:ind w:left="442"/>
        <w:spacing w:before="1"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4</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8"/>
        </w:rPr>
        <w:t>突发重大动物疫情的应急响应和终止</w:t>
      </w:r>
    </w:p>
    <w:p>
      <w:pPr>
        <w:pStyle w:val="BodyText"/>
        <w:ind w:left="21" w:right="330" w:firstLine="420"/>
        <w:spacing w:before="107" w:line="379" w:lineRule="auto"/>
        <w:jc w:val="both"/>
        <w:rPr/>
      </w:pPr>
      <w:r>
        <w:rPr>
          <w:rFonts w:ascii="Times New Roman" w:hAnsi="Times New Roman" w:eastAsia="Times New Roman" w:cs="Times New Roman"/>
          <w:spacing w:val="7"/>
        </w:rPr>
        <w:t>4.</w:t>
      </w:r>
      <w:r>
        <w:rPr>
          <w:rFonts w:ascii="Times New Roman" w:hAnsi="Times New Roman" w:eastAsia="Times New Roman" w:cs="Times New Roman"/>
          <w:spacing w:val="-22"/>
        </w:rPr>
        <w:t xml:space="preserve"> </w:t>
      </w:r>
      <w:r>
        <w:rPr>
          <w:rFonts w:ascii="Times New Roman" w:hAnsi="Times New Roman" w:eastAsia="Times New Roman" w:cs="Times New Roman"/>
          <w:spacing w:val="7"/>
        </w:rPr>
        <w:t>1  </w:t>
      </w:r>
      <w:r>
        <w:rPr>
          <w:rFonts w:ascii="KaiTi" w:hAnsi="KaiTi" w:eastAsia="KaiTi" w:cs="KaiTi"/>
          <w:spacing w:val="7"/>
        </w:rPr>
        <w:t>动物疫情报告。</w:t>
      </w:r>
      <w:r>
        <w:rPr>
          <w:spacing w:val="7"/>
        </w:rPr>
        <w:t>任何单位和个人有权</w:t>
      </w:r>
      <w:r>
        <w:rPr>
          <w:spacing w:val="7"/>
        </w:rPr>
        <w:t>向各级政府及其畜牧兽医主管部门、动物疾病</w:t>
      </w:r>
      <w:r>
        <w:rPr>
          <w:spacing w:val="18"/>
        </w:rPr>
        <w:t>预防控制机构和动物卫生监督机构报告动物</w:t>
      </w:r>
      <w:r>
        <w:rPr>
          <w:spacing w:val="7"/>
        </w:rPr>
        <w:t>疫情，并有权向县级以上政府及其有关部门举</w:t>
      </w:r>
      <w:r>
        <w:rPr>
          <w:spacing w:val="18"/>
        </w:rPr>
        <w:t>报不履行或者不按照规定履行突发重大动物</w:t>
      </w:r>
      <w:r>
        <w:rPr>
          <w:spacing w:val="9"/>
        </w:rPr>
        <w:t>疫情应急处理职责的部门、单位及个人。</w:t>
      </w:r>
    </w:p>
    <w:p>
      <w:pPr>
        <w:pStyle w:val="BodyText"/>
        <w:ind w:left="441"/>
        <w:spacing w:line="219" w:lineRule="auto"/>
        <w:rPr/>
      </w:pPr>
      <w:r>
        <w:rPr>
          <w:rFonts w:ascii="Times New Roman" w:hAnsi="Times New Roman" w:eastAsia="Times New Roman" w:cs="Times New Roman"/>
          <w:spacing w:val="5"/>
        </w:rPr>
        <w:t>4.</w:t>
      </w:r>
      <w:r>
        <w:rPr>
          <w:rFonts w:ascii="Times New Roman" w:hAnsi="Times New Roman" w:eastAsia="Times New Roman" w:cs="Times New Roman"/>
          <w:spacing w:val="-12"/>
        </w:rPr>
        <w:t xml:space="preserve"> </w:t>
      </w:r>
      <w:r>
        <w:rPr>
          <w:rFonts w:ascii="Times New Roman" w:hAnsi="Times New Roman" w:eastAsia="Times New Roman" w:cs="Times New Roman"/>
          <w:spacing w:val="5"/>
        </w:rPr>
        <w:t>1.1 </w:t>
      </w:r>
      <w:r>
        <w:rPr>
          <w:spacing w:val="5"/>
        </w:rPr>
        <w:t>责任报告单位和责任报告人。</w:t>
      </w:r>
    </w:p>
    <w:p>
      <w:pPr>
        <w:pStyle w:val="BodyText"/>
        <w:ind w:left="22" w:right="330" w:firstLine="410"/>
        <w:spacing w:before="168" w:line="353"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）责任报告单位。乡级以上政府所属</w:t>
      </w:r>
      <w:r>
        <w:rPr>
          <w:spacing w:val="18"/>
        </w:rPr>
        <w:t>的动物疾病预防控制机构和动物卫生监督机</w:t>
      </w:r>
      <w:r>
        <w:rPr>
          <w:spacing w:val="4"/>
        </w:rPr>
        <w:t>构；畜牧兽医行政主管部门；县（</w:t>
      </w:r>
      <w:r>
        <w:rPr>
          <w:spacing w:val="-37"/>
        </w:rPr>
        <w:t xml:space="preserve"> </w:t>
      </w:r>
      <w:r>
        <w:rPr>
          <w:spacing w:val="4"/>
        </w:rPr>
        <w:t>区）级以上</w:t>
      </w:r>
      <w:r>
        <w:rPr>
          <w:spacing w:val="7"/>
        </w:rPr>
        <w:t>政府；各相关技术院校；动物隔离、饲养、屠</w:t>
      </w:r>
      <w:r>
        <w:rPr>
          <w:spacing w:val="7"/>
        </w:rPr>
        <w:t>宰加工、运输、经营单位，动物产品生产、经</w:t>
      </w:r>
      <w:r>
        <w:rPr>
          <w:spacing w:val="8"/>
        </w:rPr>
        <w:t>营单位，动物诊疗机构。</w:t>
      </w:r>
    </w:p>
    <w:p>
      <w:pPr>
        <w:pStyle w:val="BodyText"/>
        <w:ind w:left="20" w:right="249" w:firstLine="413"/>
        <w:spacing w:before="167" w:line="347"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）责任报告人。各县区动物疾病预防</w:t>
      </w:r>
      <w:r>
        <w:rPr>
          <w:spacing w:val="7"/>
        </w:rPr>
        <w:t>控制机构和动物卫生监督机构的兽医人员；各</w:t>
      </w:r>
      <w:r>
        <w:rPr>
          <w:spacing w:val="1"/>
        </w:rPr>
        <w:t>类动物诊疗机构的兽医人员；动物隔离、饲养、</w:t>
      </w:r>
      <w:r>
        <w:rPr>
          <w:spacing w:val="7"/>
        </w:rPr>
        <w:t>屠宰加工、运输、经营和生产、经营动物产品</w:t>
      </w:r>
      <w:r>
        <w:rPr>
          <w:spacing w:val="6"/>
        </w:rPr>
        <w:t>的人员。</w:t>
      </w:r>
    </w:p>
    <w:p>
      <w:pPr>
        <w:pStyle w:val="BodyText"/>
        <w:ind w:left="22" w:right="328" w:firstLine="418"/>
        <w:spacing w:before="176" w:line="338" w:lineRule="auto"/>
        <w:rPr/>
      </w:pPr>
      <w:r>
        <w:rPr>
          <w:rFonts w:ascii="Times New Roman" w:hAnsi="Times New Roman" w:eastAsia="Times New Roman" w:cs="Times New Roman"/>
          <w:spacing w:val="2"/>
        </w:rPr>
        <w:t>4.</w:t>
      </w:r>
      <w:r>
        <w:rPr>
          <w:rFonts w:ascii="Times New Roman" w:hAnsi="Times New Roman" w:eastAsia="Times New Roman" w:cs="Times New Roman"/>
          <w:spacing w:val="-17"/>
        </w:rPr>
        <w:t xml:space="preserve"> </w:t>
      </w:r>
      <w:r>
        <w:rPr>
          <w:rFonts w:ascii="Times New Roman" w:hAnsi="Times New Roman" w:eastAsia="Times New Roman" w:cs="Times New Roman"/>
          <w:spacing w:val="2"/>
        </w:rPr>
        <w:t>1.2 </w:t>
      </w:r>
      <w:r>
        <w:rPr>
          <w:spacing w:val="2"/>
        </w:rPr>
        <w:t>报告形式。各县区动物疾病预防控制</w:t>
      </w:r>
      <w:r>
        <w:rPr>
          <w:spacing w:val="7"/>
        </w:rPr>
        <w:t>机构应按国家有关规定报告动物疫情；其他责</w:t>
      </w:r>
      <w:r>
        <w:rPr>
          <w:spacing w:val="18"/>
        </w:rPr>
        <w:t>任报告单位和个人以电话或书面形式报告动</w:t>
      </w:r>
      <w:r>
        <w:rPr>
          <w:spacing w:val="6"/>
        </w:rPr>
        <w:t>物疫情。</w:t>
      </w:r>
    </w:p>
    <w:p>
      <w:pPr>
        <w:pStyle w:val="BodyText"/>
        <w:ind w:left="441"/>
        <w:spacing w:before="170" w:line="189" w:lineRule="auto"/>
        <w:rPr/>
      </w:pPr>
      <w:r>
        <w:rPr>
          <w:rFonts w:ascii="Times New Roman" w:hAnsi="Times New Roman" w:eastAsia="Times New Roman" w:cs="Times New Roman"/>
          <w:spacing w:val="2"/>
        </w:rPr>
        <w:t>4.</w:t>
      </w:r>
      <w:r>
        <w:rPr>
          <w:rFonts w:ascii="Times New Roman" w:hAnsi="Times New Roman" w:eastAsia="Times New Roman" w:cs="Times New Roman"/>
          <w:spacing w:val="-17"/>
        </w:rPr>
        <w:t xml:space="preserve"> </w:t>
      </w:r>
      <w:r>
        <w:rPr>
          <w:rFonts w:ascii="Times New Roman" w:hAnsi="Times New Roman" w:eastAsia="Times New Roman" w:cs="Times New Roman"/>
          <w:spacing w:val="2"/>
        </w:rPr>
        <w:t>1.3 </w:t>
      </w:r>
      <w:r>
        <w:rPr>
          <w:spacing w:val="2"/>
        </w:rPr>
        <w:t>报告时限和程序。发现动物出现群体</w:t>
      </w:r>
    </w:p>
    <w:p>
      <w:pPr>
        <w:spacing w:line="14" w:lineRule="auto"/>
        <w:rPr>
          <w:rFonts w:ascii="Arial"/>
          <w:sz w:val="2"/>
        </w:rPr>
      </w:pPr>
      <w:r>
        <w:rPr>
          <w:rFonts w:ascii="Arial" w:hAnsi="Arial" w:eastAsia="Arial" w:cs="Arial"/>
          <w:sz w:val="2"/>
          <w:szCs w:val="2"/>
        </w:rPr>
        <w:br w:type="column"/>
      </w:r>
    </w:p>
    <w:p>
      <w:pPr>
        <w:pStyle w:val="BodyText"/>
        <w:ind w:right="81" w:firstLine="2"/>
        <w:spacing w:before="54" w:line="378" w:lineRule="auto"/>
        <w:jc w:val="both"/>
        <w:rPr/>
      </w:pPr>
      <w:r>
        <w:rPr>
          <w:spacing w:val="7"/>
        </w:rPr>
        <w:t>发病或者死亡的，必须立即向所在地的县区动</w:t>
      </w:r>
      <w:r>
        <w:rPr>
          <w:spacing w:val="7"/>
        </w:rPr>
        <w:t>物疾病预防控制机构报告。县区动物疾病预防</w:t>
      </w:r>
      <w:r>
        <w:rPr>
          <w:spacing w:val="6"/>
        </w:rPr>
        <w:t>控制机构接到报告后，应当立即派</w:t>
      </w:r>
      <w:r>
        <w:rPr>
          <w:spacing w:val="-29"/>
        </w:rPr>
        <w:t xml:space="preserve"> </w:t>
      </w:r>
      <w:r>
        <w:rPr>
          <w:rFonts w:ascii="Times New Roman" w:hAnsi="Times New Roman" w:eastAsia="Times New Roman" w:cs="Times New Roman"/>
          <w:spacing w:val="6"/>
        </w:rPr>
        <w:t>2 </w:t>
      </w:r>
      <w:r>
        <w:rPr>
          <w:spacing w:val="6"/>
        </w:rPr>
        <w:t>名以上兽</w:t>
      </w:r>
      <w:r>
        <w:rPr>
          <w:spacing w:val="7"/>
        </w:rPr>
        <w:t>医人员兽医师以上职称赶赴现场诊断，必要时</w:t>
      </w:r>
      <w:r>
        <w:rPr>
          <w:spacing w:val="18"/>
        </w:rPr>
        <w:t>可请区市动物疾病预防控制机构派专家协助</w:t>
      </w:r>
      <w:r>
        <w:rPr>
          <w:spacing w:val="8"/>
        </w:rPr>
        <w:t>进行现场诊断。怀疑为疑似重大动物疫情的，</w:t>
      </w:r>
      <w:r>
        <w:rPr>
          <w:spacing w:val="8"/>
        </w:rPr>
        <w:t>应当在</w:t>
      </w:r>
      <w:r>
        <w:rPr>
          <w:spacing w:val="-47"/>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6"/>
        </w:rPr>
        <w:t xml:space="preserve"> </w:t>
      </w:r>
      <w:r>
        <w:rPr>
          <w:spacing w:val="8"/>
        </w:rPr>
        <w:t>小时内将疫情逐级报至市动物疾病预</w:t>
      </w:r>
      <w:r>
        <w:rPr>
          <w:spacing w:val="7"/>
        </w:rPr>
        <w:t>防控制机构，并同时报所在地畜牧兽医行政管</w:t>
      </w:r>
      <w:r>
        <w:rPr>
          <w:spacing w:val="7"/>
        </w:rPr>
        <w:t>理部门。市动物疾病预防控制机构应当在接到</w:t>
      </w:r>
      <w:r>
        <w:rPr>
          <w:spacing w:val="5"/>
        </w:rPr>
        <w:t>报告后</w:t>
      </w:r>
      <w:r>
        <w:rPr>
          <w:spacing w:val="-8"/>
        </w:rPr>
        <w:t xml:space="preserve"> </w:t>
      </w:r>
      <w:r>
        <w:rPr>
          <w:rFonts w:ascii="Times New Roman" w:hAnsi="Times New Roman" w:eastAsia="Times New Roman" w:cs="Times New Roman"/>
          <w:spacing w:val="5"/>
        </w:rPr>
        <w:t>1 </w:t>
      </w:r>
      <w:r>
        <w:rPr>
          <w:spacing w:val="5"/>
        </w:rPr>
        <w:t>小时内，向自治区动物疾病预防控制</w:t>
      </w:r>
      <w:r>
        <w:rPr>
          <w:spacing w:val="7"/>
        </w:rPr>
        <w:t>机构和市畜牧兽医主管部门报告。市畜牧兽医</w:t>
      </w:r>
      <w:r>
        <w:rPr>
          <w:spacing w:val="8"/>
        </w:rPr>
        <w:t>主管部门应当在接到报告后的</w:t>
      </w:r>
      <w:r>
        <w:rPr>
          <w:spacing w:val="-47"/>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6"/>
        </w:rPr>
        <w:t xml:space="preserve"> </w:t>
      </w:r>
      <w:r>
        <w:rPr>
          <w:spacing w:val="8"/>
        </w:rPr>
        <w:t>小时内向自治</w:t>
      </w:r>
      <w:r>
        <w:rPr>
          <w:spacing w:val="8"/>
        </w:rPr>
        <w:t>区畜牧兽医主管部门报告，同时上报市政府。</w:t>
      </w:r>
    </w:p>
    <w:p>
      <w:pPr>
        <w:pStyle w:val="BodyText"/>
        <w:ind w:right="101" w:firstLine="420"/>
        <w:spacing w:line="369" w:lineRule="auto"/>
        <w:jc w:val="both"/>
        <w:rPr/>
      </w:pPr>
      <w:r>
        <w:rPr>
          <w:spacing w:val="19"/>
        </w:rPr>
        <w:t>怀疑为疑似重大动物疫情的应立即按要</w:t>
      </w:r>
      <w:r>
        <w:rPr>
          <w:spacing w:val="18"/>
        </w:rPr>
        <w:t>求采集病料样品送自治区动物疾病预防控制</w:t>
      </w:r>
      <w:r>
        <w:rPr>
          <w:spacing w:val="8"/>
        </w:rPr>
        <w:t>中心实验室诊断。</w:t>
      </w:r>
    </w:p>
    <w:p>
      <w:pPr>
        <w:pStyle w:val="BodyText"/>
        <w:ind w:left="420"/>
        <w:spacing w:before="34" w:line="216" w:lineRule="auto"/>
        <w:rPr/>
      </w:pPr>
      <w:r>
        <w:rPr>
          <w:rFonts w:ascii="Times New Roman" w:hAnsi="Times New Roman" w:eastAsia="Times New Roman" w:cs="Times New Roman"/>
          <w:spacing w:val="2"/>
        </w:rPr>
        <w:t>4.</w:t>
      </w:r>
      <w:r>
        <w:rPr>
          <w:rFonts w:ascii="Times New Roman" w:hAnsi="Times New Roman" w:eastAsia="Times New Roman" w:cs="Times New Roman"/>
          <w:spacing w:val="-19"/>
        </w:rPr>
        <w:t xml:space="preserve"> </w:t>
      </w:r>
      <w:r>
        <w:rPr>
          <w:rFonts w:ascii="Times New Roman" w:hAnsi="Times New Roman" w:eastAsia="Times New Roman" w:cs="Times New Roman"/>
          <w:spacing w:val="2"/>
        </w:rPr>
        <w:t>1.4 </w:t>
      </w:r>
      <w:r>
        <w:rPr>
          <w:spacing w:val="2"/>
        </w:rPr>
        <w:t>报告内容。</w:t>
      </w:r>
    </w:p>
    <w:p>
      <w:pPr>
        <w:pStyle w:val="BodyText"/>
        <w:ind w:left="412"/>
        <w:spacing w:before="167" w:line="279" w:lineRule="exact"/>
        <w:rPr/>
      </w:pPr>
      <w:r>
        <w:rPr>
          <w:spacing w:val="3"/>
          <w:position w:val="1"/>
        </w:rPr>
        <w:t>（</w:t>
      </w:r>
      <w:r>
        <w:rPr>
          <w:spacing w:val="-47"/>
          <w:position w:val="1"/>
        </w:rPr>
        <w:t xml:space="preserve"> </w:t>
      </w:r>
      <w:r>
        <w:rPr>
          <w:rFonts w:ascii="Times New Roman" w:hAnsi="Times New Roman" w:eastAsia="Times New Roman" w:cs="Times New Roman"/>
          <w:spacing w:val="3"/>
          <w:position w:val="1"/>
        </w:rPr>
        <w:t>1</w:t>
      </w:r>
      <w:r>
        <w:rPr>
          <w:rFonts w:ascii="Times New Roman" w:hAnsi="Times New Roman" w:eastAsia="Times New Roman" w:cs="Times New Roman"/>
          <w:spacing w:val="-21"/>
          <w:position w:val="1"/>
        </w:rPr>
        <w:t xml:space="preserve"> </w:t>
      </w:r>
      <w:r>
        <w:rPr>
          <w:spacing w:val="3"/>
          <w:position w:val="1"/>
        </w:rPr>
        <w:t>）疫情发生的时间、地点；</w:t>
      </w:r>
    </w:p>
    <w:p>
      <w:pPr>
        <w:pStyle w:val="BodyText"/>
        <w:ind w:left="1" w:right="92" w:firstLine="410"/>
        <w:spacing w:before="131" w:line="304"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5"/>
        </w:rPr>
        <w:t xml:space="preserve"> </w:t>
      </w:r>
      <w:r>
        <w:rPr>
          <w:spacing w:val="11"/>
        </w:rPr>
        <w:t>）发病的动物种类、存栏数、免疫情</w:t>
      </w:r>
      <w:r>
        <w:rPr>
          <w:spacing w:val="7"/>
        </w:rPr>
        <w:t>况、发病数、死亡数、临床症状、诊断情况；</w:t>
      </w:r>
    </w:p>
    <w:p>
      <w:pPr>
        <w:pStyle w:val="BodyText"/>
        <w:ind w:left="412"/>
        <w:spacing w:before="163" w:line="278" w:lineRule="exact"/>
        <w:rPr/>
      </w:pPr>
      <w:r>
        <w:rPr>
          <w:spacing w:val="6"/>
          <w:position w:val="1"/>
        </w:rPr>
        <w:t>（</w:t>
      </w:r>
      <w:r>
        <w:rPr>
          <w:rFonts w:ascii="Times New Roman" w:hAnsi="Times New Roman" w:eastAsia="Times New Roman" w:cs="Times New Roman"/>
          <w:spacing w:val="6"/>
          <w:position w:val="1"/>
        </w:rPr>
        <w:t>3</w:t>
      </w:r>
      <w:r>
        <w:rPr>
          <w:rFonts w:ascii="Times New Roman" w:hAnsi="Times New Roman" w:eastAsia="Times New Roman" w:cs="Times New Roman"/>
          <w:spacing w:val="-21"/>
          <w:position w:val="1"/>
        </w:rPr>
        <w:t xml:space="preserve"> </w:t>
      </w:r>
      <w:r>
        <w:rPr>
          <w:spacing w:val="6"/>
          <w:position w:val="1"/>
        </w:rPr>
        <w:t>）是否有人员感染；</w:t>
      </w:r>
    </w:p>
    <w:p>
      <w:pPr>
        <w:pStyle w:val="BodyText"/>
        <w:ind w:left="412"/>
        <w:spacing w:before="132" w:line="277" w:lineRule="exact"/>
        <w:rPr/>
      </w:pPr>
      <w:r>
        <w:rPr>
          <w:spacing w:val="4"/>
          <w:position w:val="1"/>
        </w:rPr>
        <w:t>（</w:t>
      </w:r>
      <w:r>
        <w:rPr>
          <w:rFonts w:ascii="Times New Roman" w:hAnsi="Times New Roman" w:eastAsia="Times New Roman" w:cs="Times New Roman"/>
          <w:spacing w:val="4"/>
          <w:position w:val="1"/>
        </w:rPr>
        <w:t>4 </w:t>
      </w:r>
      <w:r>
        <w:rPr>
          <w:spacing w:val="4"/>
          <w:position w:val="1"/>
        </w:rPr>
        <w:t>）已采取的控制措施；</w:t>
      </w:r>
    </w:p>
    <w:p>
      <w:pPr>
        <w:pStyle w:val="BodyText"/>
        <w:ind w:left="412"/>
        <w:spacing w:before="133" w:line="278" w:lineRule="exact"/>
        <w:rPr/>
      </w:pPr>
      <w:r>
        <w:rPr>
          <w:spacing w:val="7"/>
          <w:position w:val="1"/>
        </w:rPr>
        <w:t>（</w:t>
      </w:r>
      <w:r>
        <w:rPr>
          <w:rFonts w:ascii="Times New Roman" w:hAnsi="Times New Roman" w:eastAsia="Times New Roman" w:cs="Times New Roman"/>
          <w:spacing w:val="7"/>
          <w:position w:val="1"/>
        </w:rPr>
        <w:t>5</w:t>
      </w:r>
      <w:r>
        <w:rPr>
          <w:rFonts w:ascii="Times New Roman" w:hAnsi="Times New Roman" w:eastAsia="Times New Roman" w:cs="Times New Roman"/>
          <w:spacing w:val="-20"/>
          <w:position w:val="1"/>
        </w:rPr>
        <w:t xml:space="preserve"> </w:t>
      </w:r>
      <w:r>
        <w:rPr>
          <w:spacing w:val="7"/>
          <w:position w:val="1"/>
        </w:rPr>
        <w:t>）流行病学和疫源追溯情况；</w:t>
      </w:r>
    </w:p>
    <w:p>
      <w:pPr>
        <w:pStyle w:val="BodyText"/>
        <w:ind w:right="103" w:firstLine="411"/>
        <w:spacing w:before="130" w:line="302" w:lineRule="auto"/>
        <w:rPr/>
      </w:pPr>
      <w:r>
        <w:rPr>
          <w:spacing w:val="11"/>
        </w:rPr>
        <w:t>（</w:t>
      </w:r>
      <w:r>
        <w:rPr>
          <w:rFonts w:ascii="Times New Roman" w:hAnsi="Times New Roman" w:eastAsia="Times New Roman" w:cs="Times New Roman"/>
          <w:spacing w:val="11"/>
        </w:rPr>
        <w:t>6</w:t>
      </w:r>
      <w:r>
        <w:rPr>
          <w:rFonts w:ascii="Times New Roman" w:hAnsi="Times New Roman" w:eastAsia="Times New Roman" w:cs="Times New Roman"/>
          <w:spacing w:val="-18"/>
        </w:rPr>
        <w:t xml:space="preserve"> </w:t>
      </w:r>
      <w:r>
        <w:rPr>
          <w:spacing w:val="11"/>
        </w:rPr>
        <w:t>）报告单位、负责人、报告人及联系</w:t>
      </w:r>
      <w:r>
        <w:rPr>
          <w:spacing w:val="6"/>
        </w:rPr>
        <w:t>方式等。</w:t>
      </w:r>
    </w:p>
    <w:p>
      <w:pPr>
        <w:pStyle w:val="BodyText"/>
        <w:ind w:right="101" w:firstLine="420"/>
        <w:spacing w:before="165" w:line="352" w:lineRule="auto"/>
        <w:jc w:val="both"/>
        <w:rPr/>
      </w:pPr>
      <w:r>
        <w:rPr>
          <w:rFonts w:ascii="Times New Roman" w:hAnsi="Times New Roman" w:eastAsia="Times New Roman" w:cs="Times New Roman"/>
          <w:spacing w:val="8"/>
        </w:rPr>
        <w:t>4.2  </w:t>
      </w:r>
      <w:r>
        <w:rPr>
          <w:rFonts w:ascii="KaiTi" w:hAnsi="KaiTi" w:eastAsia="KaiTi" w:cs="KaiTi"/>
          <w:spacing w:val="8"/>
        </w:rPr>
        <w:t>特别重大、重大级别动物疫情信息报</w:t>
      </w:r>
      <w:r>
        <w:rPr>
          <w:rFonts w:ascii="KaiTi" w:hAnsi="KaiTi" w:eastAsia="KaiTi" w:cs="KaiTi"/>
          <w:spacing w:val="7"/>
        </w:rPr>
        <w:t>告。</w:t>
      </w:r>
      <w:r>
        <w:rPr>
          <w:spacing w:val="7"/>
        </w:rPr>
        <w:t>对特别重大、重大级别的动物疫情或者疫</w:t>
      </w:r>
      <w:r>
        <w:rPr>
          <w:spacing w:val="7"/>
        </w:rPr>
        <w:t>情本身比较敏感，可能演化为特别重大、重大</w:t>
      </w:r>
      <w:r>
        <w:rPr>
          <w:spacing w:val="4"/>
        </w:rPr>
        <w:t>动物疫情，动物疫情发生地县（</w:t>
      </w:r>
      <w:r>
        <w:rPr>
          <w:spacing w:val="-35"/>
        </w:rPr>
        <w:t xml:space="preserve"> </w:t>
      </w:r>
      <w:r>
        <w:rPr>
          <w:spacing w:val="4"/>
        </w:rPr>
        <w:t>区）、乡镇政</w:t>
      </w:r>
      <w:r>
        <w:rPr>
          <w:spacing w:val="7"/>
        </w:rPr>
        <w:t>府和各级畜牧兽医主管部门、责任单位及应急</w:t>
      </w:r>
      <w:r>
        <w:rPr>
          <w:spacing w:val="7"/>
        </w:rPr>
        <w:t>工作机构接到疫情报告后，要严格按照有关法</w:t>
      </w:r>
      <w:r>
        <w:rPr>
          <w:spacing w:val="7"/>
        </w:rPr>
        <w:t>律法规规定，及时向自治区应急指挥部办公室</w:t>
      </w:r>
    </w:p>
    <w:p>
      <w:pPr>
        <w:spacing w:line="352" w:lineRule="auto"/>
        <w:sectPr>
          <w:type w:val="continuous"/>
          <w:pgSz w:w="11906" w:h="16839"/>
          <w:pgMar w:top="1772" w:right="1489" w:bottom="1572" w:left="1571" w:header="1428" w:footer="1172" w:gutter="0"/>
          <w:cols w:equalWidth="0" w:num="2">
            <w:col w:w="4498" w:space="100"/>
            <w:col w:w="4248" w:space="0"/>
          </w:cols>
        </w:sectPr>
        <w:rPr/>
      </w:pPr>
    </w:p>
    <w:p>
      <w:pPr>
        <w:spacing w:before="86"/>
        <w:rPr/>
      </w:pPr>
      <w:r>
        <w:drawing>
          <wp:anchor distT="0" distB="0" distL="0" distR="0" simplePos="0" relativeHeight="254173184"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2206" name="IM 2206"/>
            <wp:cNvGraphicFramePr/>
            <a:graphic>
              <a:graphicData uri="http://schemas.openxmlformats.org/drawingml/2006/picture">
                <pic:pic>
                  <pic:nvPicPr>
                    <pic:cNvPr id="2206" name="IM 2206"/>
                    <pic:cNvPicPr/>
                  </pic:nvPicPr>
                  <pic:blipFill>
                    <a:blip r:embed="rId1105"/>
                    <a:stretch>
                      <a:fillRect/>
                    </a:stretch>
                  </pic:blipFill>
                  <pic:spPr>
                    <a:xfrm rot="0">
                      <a:off x="0" y="0"/>
                      <a:ext cx="5579745" cy="7620"/>
                    </a:xfrm>
                    <a:prstGeom prst="rect">
                      <a:avLst/>
                    </a:prstGeom>
                  </pic:spPr>
                </pic:pic>
              </a:graphicData>
            </a:graphic>
          </wp:anchor>
        </w:drawing>
      </w:r>
      <w:r/>
    </w:p>
    <w:p>
      <w:pPr>
        <w:sectPr>
          <w:headerReference w:type="default" r:id="rId533"/>
          <w:footerReference w:type="default" r:id="rId1104"/>
          <w:pgSz w:w="11906" w:h="16839"/>
          <w:pgMar w:top="1766" w:right="1526" w:bottom="1574" w:left="1579" w:header="1428" w:footer="1172" w:gutter="0"/>
          <w:cols w:equalWidth="0" w:num="1">
            <w:col w:w="8801" w:space="0"/>
          </w:cols>
        </w:sectPr>
        <w:rPr/>
      </w:pPr>
    </w:p>
    <w:p>
      <w:pPr>
        <w:pStyle w:val="BodyText"/>
        <w:ind w:left="14" w:right="315" w:firstLine="6"/>
        <w:spacing w:before="39" w:line="378" w:lineRule="auto"/>
        <w:jc w:val="both"/>
        <w:rPr/>
      </w:pPr>
      <w:r>
        <w:rPr>
          <w:spacing w:val="7"/>
        </w:rPr>
        <w:t>和自治区党委总值班室、政府办值班室报告，</w:t>
      </w:r>
      <w:r>
        <w:rPr>
          <w:spacing w:val="7"/>
        </w:rPr>
        <w:t>同时向市应急指挥部办公室和市委值班室、市</w:t>
      </w:r>
      <w:r>
        <w:rPr>
          <w:spacing w:val="8"/>
        </w:rPr>
        <w:t>政府值班室报告。</w:t>
      </w:r>
    </w:p>
    <w:p>
      <w:pPr>
        <w:pStyle w:val="BodyText"/>
        <w:ind w:left="13" w:right="299" w:firstLine="420"/>
        <w:spacing w:before="1" w:line="378" w:lineRule="auto"/>
        <w:jc w:val="both"/>
        <w:rPr/>
      </w:pPr>
      <w:r>
        <w:rPr>
          <w:spacing w:val="6"/>
        </w:rPr>
        <w:t>信息报告的主要内容主要包括：疫情发生</w:t>
      </w:r>
      <w:r>
        <w:rPr>
          <w:spacing w:val="8"/>
        </w:rPr>
        <w:t>的单位和个人概况，疫情发生的时间、地点、</w:t>
      </w:r>
      <w:r>
        <w:rPr>
          <w:spacing w:val="7"/>
        </w:rPr>
        <w:t>简要经过，已采取的应急处置措施，下一步拟</w:t>
      </w:r>
      <w:r>
        <w:rPr>
          <w:spacing w:val="18"/>
        </w:rPr>
        <w:t>采取的措施。上报的信息要按照疫情分级标</w:t>
      </w:r>
      <w:r>
        <w:rPr>
          <w:spacing w:val="8"/>
        </w:rPr>
        <w:t>准，注明疫情级别。</w:t>
      </w:r>
    </w:p>
    <w:p>
      <w:pPr>
        <w:pStyle w:val="BodyText"/>
        <w:ind w:left="4" w:right="322" w:firstLine="427"/>
        <w:spacing w:before="9" w:line="376" w:lineRule="auto"/>
        <w:jc w:val="both"/>
        <w:rPr/>
      </w:pPr>
      <w:r>
        <w:rPr>
          <w:spacing w:val="7"/>
        </w:rPr>
        <w:t>按照《自治区政府办公厅关于建立突发事</w:t>
      </w:r>
      <w:r>
        <w:rPr>
          <w:spacing w:val="7"/>
        </w:rPr>
        <w:t>件应急处置工作联络员报告制度的通知》（宁</w:t>
      </w:r>
      <w:r>
        <w:rPr>
          <w:spacing w:val="6"/>
        </w:rPr>
        <w:t>政发〔</w:t>
      </w:r>
      <w:r>
        <w:rPr>
          <w:rFonts w:ascii="Times New Roman" w:hAnsi="Times New Roman" w:eastAsia="Times New Roman" w:cs="Times New Roman"/>
          <w:spacing w:val="6"/>
        </w:rPr>
        <w:t>2016 </w:t>
      </w:r>
      <w:r>
        <w:rPr>
          <w:spacing w:val="6"/>
        </w:rPr>
        <w:t>〕</w:t>
      </w:r>
      <w:r>
        <w:rPr>
          <w:rFonts w:ascii="Times New Roman" w:hAnsi="Times New Roman" w:eastAsia="Times New Roman" w:cs="Times New Roman"/>
          <w:spacing w:val="6"/>
        </w:rPr>
        <w:t>146 </w:t>
      </w:r>
      <w:r>
        <w:rPr>
          <w:spacing w:val="6"/>
        </w:rPr>
        <w:t>号）要求，事件发生后，县</w:t>
      </w:r>
      <w:r>
        <w:rPr>
          <w:spacing w:val="5"/>
        </w:rPr>
        <w:t>（</w:t>
      </w:r>
      <w:r>
        <w:rPr>
          <w:spacing w:val="-47"/>
        </w:rPr>
        <w:t xml:space="preserve"> </w:t>
      </w:r>
      <w:r>
        <w:rPr>
          <w:spacing w:val="5"/>
        </w:rPr>
        <w:t>区）、乡政府和市应急指挥部各成员单位在</w:t>
      </w:r>
      <w:r>
        <w:rPr>
          <w:spacing w:val="7"/>
        </w:rPr>
        <w:t>向市政府首报突发特别重大、重大疫情信息的</w:t>
      </w:r>
      <w:r>
        <w:rPr>
          <w:spacing w:val="7"/>
        </w:rPr>
        <w:t>同时，要按照规定的联络员范围报告联络员姓</w:t>
      </w:r>
      <w:r>
        <w:rPr>
          <w:spacing w:val="7"/>
        </w:rPr>
        <w:t>名、职务、联系方式、出发时间、到达时间或</w:t>
      </w:r>
      <w:r>
        <w:rPr>
          <w:spacing w:val="7"/>
        </w:rPr>
        <w:t>拟到达现场时间。如在应急处置工程中更换联</w:t>
      </w:r>
      <w:r>
        <w:rPr>
          <w:spacing w:val="9"/>
        </w:rPr>
        <w:t>络员，要及时报告。</w:t>
      </w:r>
    </w:p>
    <w:p>
      <w:pPr>
        <w:pStyle w:val="BodyText"/>
        <w:ind w:left="4" w:right="270" w:firstLine="427"/>
        <w:spacing w:before="14" w:line="374" w:lineRule="auto"/>
        <w:jc w:val="both"/>
        <w:rPr/>
      </w:pPr>
      <w:r>
        <w:rPr>
          <w:spacing w:val="19"/>
        </w:rPr>
        <w:t>应急处置联络员包括：疫情发生地的县</w:t>
      </w:r>
      <w:r>
        <w:rPr>
          <w:spacing w:val="5"/>
        </w:rPr>
        <w:t>（</w:t>
      </w:r>
      <w:r>
        <w:rPr>
          <w:spacing w:val="-47"/>
        </w:rPr>
        <w:t xml:space="preserve"> </w:t>
      </w:r>
      <w:r>
        <w:rPr>
          <w:spacing w:val="5"/>
        </w:rPr>
        <w:t>区）、乡镇政府赶赴现场指挥先期处置工作</w:t>
      </w:r>
      <w:r>
        <w:rPr>
          <w:spacing w:val="7"/>
        </w:rPr>
        <w:t>的主要领导或分管领导和随同前往的县（</w:t>
      </w:r>
      <w:r>
        <w:rPr>
          <w:spacing w:val="-35"/>
        </w:rPr>
        <w:t xml:space="preserve"> </w:t>
      </w:r>
      <w:r>
        <w:rPr>
          <w:spacing w:val="7"/>
        </w:rPr>
        <w:t>区）</w:t>
      </w:r>
      <w:r>
        <w:rPr>
          <w:spacing w:val="18"/>
        </w:rPr>
        <w:t>突发重大动物疫情应急指挥机构的指挥长或</w:t>
      </w:r>
      <w:r>
        <w:rPr>
          <w:spacing w:val="-1"/>
        </w:rPr>
        <w:t>副指挥长；市应急指挥部办公室主任或副主任。</w:t>
      </w:r>
    </w:p>
    <w:p>
      <w:pPr>
        <w:pStyle w:val="BodyText"/>
        <w:ind w:left="12" w:right="245" w:firstLine="420"/>
        <w:spacing w:before="26" w:line="353" w:lineRule="auto"/>
        <w:rPr/>
      </w:pPr>
      <w:r>
        <w:rPr>
          <w:rFonts w:ascii="Times New Roman" w:hAnsi="Times New Roman" w:eastAsia="Times New Roman" w:cs="Times New Roman"/>
          <w:spacing w:val="8"/>
        </w:rPr>
        <w:t>4.3  </w:t>
      </w:r>
      <w:r>
        <w:rPr>
          <w:rFonts w:ascii="KaiTi" w:hAnsi="KaiTi" w:eastAsia="KaiTi" w:cs="KaiTi"/>
          <w:spacing w:val="8"/>
        </w:rPr>
        <w:t>先期处置。</w:t>
      </w:r>
      <w:r>
        <w:rPr>
          <w:spacing w:val="8"/>
        </w:rPr>
        <w:t>突发特别重大、重大动物</w:t>
      </w:r>
      <w:r>
        <w:rPr>
          <w:spacing w:val="7"/>
        </w:rPr>
        <w:t>疫情发生时，疫情发生地政府、突发重大动物</w:t>
      </w:r>
      <w:r>
        <w:rPr>
          <w:spacing w:val="18"/>
        </w:rPr>
        <w:t>疫情应急指挥机构和相关单位要第一时间赶</w:t>
      </w:r>
      <w:r>
        <w:rPr>
          <w:spacing w:val="1"/>
        </w:rPr>
        <w:t>赴现场，按照本预案，组织开展先期处置工作。</w:t>
      </w:r>
      <w:r>
        <w:rPr>
          <w:spacing w:val="7"/>
        </w:rPr>
        <w:t>应急处置要采取边调查、边处理、边核实的方</w:t>
      </w:r>
      <w:r>
        <w:rPr>
          <w:spacing w:val="8"/>
        </w:rPr>
        <w:t>式，有效控制动物疫情的发展。</w:t>
      </w:r>
    </w:p>
    <w:p>
      <w:pPr>
        <w:pStyle w:val="BodyText"/>
        <w:ind w:left="11" w:right="320" w:firstLine="420"/>
        <w:spacing w:before="167" w:line="331" w:lineRule="auto"/>
        <w:rPr/>
      </w:pPr>
      <w:r>
        <w:rPr>
          <w:rFonts w:ascii="Times New Roman" w:hAnsi="Times New Roman" w:eastAsia="Times New Roman" w:cs="Times New Roman"/>
          <w:spacing w:val="8"/>
        </w:rPr>
        <w:t>4.4  </w:t>
      </w:r>
      <w:r>
        <w:rPr>
          <w:rFonts w:ascii="KaiTi" w:hAnsi="KaiTi" w:eastAsia="KaiTi" w:cs="KaiTi"/>
          <w:spacing w:val="8"/>
        </w:rPr>
        <w:t>响应启动。</w:t>
      </w:r>
      <w:r>
        <w:rPr>
          <w:spacing w:val="8"/>
        </w:rPr>
        <w:t>按照突发重大动物疫情的</w:t>
      </w:r>
      <w:r>
        <w:rPr>
          <w:spacing w:val="7"/>
        </w:rPr>
        <w:t>性质、危害程度、涉及范围，突发重大动物疫</w:t>
      </w:r>
      <w:r>
        <w:rPr>
          <w:spacing w:val="7"/>
        </w:rPr>
        <w:t>情应急响应分为</w:t>
      </w:r>
      <w:r>
        <w:rPr>
          <w:rFonts w:ascii="Times New Roman" w:hAnsi="Times New Roman" w:eastAsia="Times New Roman" w:cs="Times New Roman"/>
          <w:spacing w:val="7"/>
        </w:rPr>
        <w:t>Ⅰ</w:t>
      </w:r>
      <w:r>
        <w:rPr>
          <w:spacing w:val="7"/>
        </w:rPr>
        <w:t>级、</w:t>
      </w:r>
      <w:r>
        <w:rPr>
          <w:rFonts w:ascii="Times New Roman" w:hAnsi="Times New Roman" w:eastAsia="Times New Roman" w:cs="Times New Roman"/>
          <w:spacing w:val="7"/>
        </w:rPr>
        <w:t>Ⅱ</w:t>
      </w:r>
      <w:r>
        <w:rPr>
          <w:spacing w:val="7"/>
        </w:rPr>
        <w:t>级、</w:t>
      </w:r>
      <w:r>
        <w:rPr>
          <w:rFonts w:ascii="Times New Roman" w:hAnsi="Times New Roman" w:eastAsia="Times New Roman" w:cs="Times New Roman"/>
          <w:spacing w:val="7"/>
        </w:rPr>
        <w:t>Ⅲ</w:t>
      </w:r>
      <w:r>
        <w:rPr>
          <w:spacing w:val="7"/>
        </w:rPr>
        <w:t>级和</w:t>
      </w:r>
      <w:r>
        <w:rPr>
          <w:rFonts w:ascii="Times New Roman" w:hAnsi="Times New Roman" w:eastAsia="Times New Roman" w:cs="Times New Roman"/>
          <w:spacing w:val="7"/>
        </w:rPr>
        <w:t>Ⅳ</w:t>
      </w:r>
      <w:r>
        <w:rPr>
          <w:spacing w:val="7"/>
        </w:rPr>
        <w:t>级四个级</w:t>
      </w:r>
      <w:r>
        <w:rPr>
          <w:spacing w:val="7"/>
        </w:rPr>
        <w:t>别，依次为特别重大、重大、较大、一般级别</w:t>
      </w:r>
    </w:p>
    <w:p>
      <w:pPr>
        <w:spacing w:line="14" w:lineRule="auto"/>
        <w:rPr>
          <w:rFonts w:ascii="Arial"/>
          <w:sz w:val="2"/>
        </w:rPr>
      </w:pPr>
      <w:r>
        <w:rPr>
          <w:rFonts w:ascii="Arial" w:hAnsi="Arial" w:eastAsia="Arial" w:cs="Arial"/>
          <w:sz w:val="2"/>
          <w:szCs w:val="2"/>
        </w:rPr>
        <w:br w:type="column"/>
      </w:r>
    </w:p>
    <w:p>
      <w:pPr>
        <w:pStyle w:val="BodyText"/>
        <w:ind w:left="25"/>
        <w:spacing w:before="40" w:line="219" w:lineRule="auto"/>
        <w:rPr/>
      </w:pPr>
      <w:r>
        <w:rPr>
          <w:spacing w:val="5"/>
        </w:rPr>
        <w:t>的重大动物疫情。</w:t>
      </w:r>
    </w:p>
    <w:p>
      <w:pPr>
        <w:pStyle w:val="BodyText"/>
        <w:ind w:right="64" w:firstLine="430"/>
        <w:spacing w:before="173" w:line="376" w:lineRule="auto"/>
        <w:jc w:val="both"/>
        <w:rPr/>
      </w:pPr>
      <w:r>
        <w:rPr>
          <w:spacing w:val="16"/>
        </w:rPr>
        <w:t>发生突发重大动物疫情时</w:t>
      </w:r>
      <w:r>
        <w:rPr>
          <w:spacing w:val="-49"/>
        </w:rPr>
        <w:t xml:space="preserve"> </w:t>
      </w:r>
      <w:r>
        <w:rPr>
          <w:spacing w:val="16"/>
        </w:rPr>
        <w:t>，事发地的县</w:t>
      </w:r>
      <w:r>
        <w:rPr>
          <w:spacing w:val="5"/>
        </w:rPr>
        <w:t>（</w:t>
      </w:r>
      <w:r>
        <w:rPr>
          <w:spacing w:val="-47"/>
        </w:rPr>
        <w:t xml:space="preserve"> </w:t>
      </w:r>
      <w:r>
        <w:rPr>
          <w:spacing w:val="5"/>
        </w:rPr>
        <w:t>区）、乡（镇）和市政府及其有关部门按照</w:t>
      </w:r>
      <w:r>
        <w:rPr>
          <w:spacing w:val="7"/>
        </w:rPr>
        <w:t>分级响应的原则作出应急响应，并根据疫情的</w:t>
      </w:r>
      <w:r>
        <w:rPr>
          <w:spacing w:val="7"/>
        </w:rPr>
        <w:t>性质、特点、疫情发展趋势和预防控制工作的</w:t>
      </w:r>
      <w:r>
        <w:rPr>
          <w:spacing w:val="9"/>
        </w:rPr>
        <w:t>需要，及时调整预警和响应级别。</w:t>
      </w:r>
    </w:p>
    <w:p>
      <w:pPr>
        <w:pStyle w:val="BodyText"/>
        <w:ind w:left="7" w:right="64" w:firstLine="420"/>
        <w:spacing w:before="12" w:line="378" w:lineRule="auto"/>
        <w:jc w:val="both"/>
        <w:rPr/>
      </w:pPr>
      <w:r>
        <w:rPr>
          <w:spacing w:val="7"/>
        </w:rPr>
        <w:t>应急响应启动后，可视动物疫情发生和蔓</w:t>
      </w:r>
      <w:r>
        <w:rPr>
          <w:spacing w:val="7"/>
        </w:rPr>
        <w:t>延情况对响应级别进行及时调整，避免响应不</w:t>
      </w:r>
      <w:r>
        <w:rPr>
          <w:spacing w:val="7"/>
        </w:rPr>
        <w:t>足或响应过度造成损失或恐慌。动物疫情有扩</w:t>
      </w:r>
      <w:r>
        <w:rPr>
          <w:spacing w:val="7"/>
        </w:rPr>
        <w:t>大蔓延趋势或已蔓延，需启动高级别应急响应</w:t>
      </w:r>
      <w:r>
        <w:rPr>
          <w:spacing w:val="7"/>
        </w:rPr>
        <w:t>时，应及时报告上一级突发重大动物疫情应急</w:t>
      </w:r>
      <w:r>
        <w:rPr>
          <w:spacing w:val="6"/>
        </w:rPr>
        <w:t>指挥机构。</w:t>
      </w:r>
    </w:p>
    <w:p>
      <w:pPr>
        <w:pStyle w:val="BodyText"/>
        <w:ind w:left="7" w:firstLine="421"/>
        <w:spacing w:before="2" w:line="378" w:lineRule="auto"/>
        <w:jc w:val="both"/>
        <w:rPr/>
      </w:pPr>
      <w:r>
        <w:rPr>
          <w:spacing w:val="6"/>
        </w:rPr>
        <w:t>未发生突发重大动物疫情的地区，当地政</w:t>
      </w:r>
      <w:r>
        <w:rPr>
          <w:spacing w:val="7"/>
        </w:rPr>
        <w:t>府畜牧兽医主管部门接到疫情通报后，要采取</w:t>
      </w:r>
      <w:r>
        <w:rPr>
          <w:spacing w:val="7"/>
        </w:rPr>
        <w:t>必要的防控措施，防止突发重大动物疫情在本</w:t>
      </w:r>
      <w:r>
        <w:rPr>
          <w:spacing w:val="7"/>
        </w:rPr>
        <w:t>行政区域内发生，并服从上一级政府畜牧兽医</w:t>
      </w:r>
      <w:r>
        <w:rPr>
          <w:spacing w:val="7"/>
        </w:rPr>
        <w:t>主管部门的统一指挥，支援突发重大动物疫情</w:t>
      </w:r>
      <w:r>
        <w:rPr>
          <w:spacing w:val="18"/>
        </w:rPr>
        <w:t>发生地的应急处置工作。同时要做好以下工</w:t>
      </w:r>
      <w:r>
        <w:rPr>
          <w:spacing w:val="7"/>
        </w:rPr>
        <w:t>作：密切保持与疫情发生地的联系，及时获取</w:t>
      </w:r>
      <w:r>
        <w:rPr>
          <w:spacing w:val="7"/>
        </w:rPr>
        <w:t>相关信息；组织做好本区域应急处置所需的人</w:t>
      </w:r>
      <w:r>
        <w:rPr>
          <w:spacing w:val="7"/>
        </w:rPr>
        <w:t>员与物资准备；开展对养殖、运输、屠宰和市</w:t>
      </w:r>
      <w:r>
        <w:rPr>
          <w:spacing w:val="7"/>
        </w:rPr>
        <w:t>场环节的动物疫情监测和防控工作，防止疫情</w:t>
      </w:r>
      <w:r>
        <w:rPr/>
        <w:t>的发生、传入和扩散；开展动物防疫知识宣传，</w:t>
      </w:r>
      <w:r>
        <w:rPr>
          <w:spacing w:val="10"/>
        </w:rPr>
        <w:t>提高公众防护能力和意识；按规定做好公路、</w:t>
      </w:r>
      <w:r>
        <w:rPr>
          <w:spacing w:val="9"/>
        </w:rPr>
        <w:t>铁路、航空、水运交通的检疫监督工作。</w:t>
      </w:r>
    </w:p>
    <w:p>
      <w:pPr>
        <w:pStyle w:val="BodyText"/>
        <w:ind w:left="6" w:right="61" w:firstLine="413"/>
        <w:spacing w:line="352" w:lineRule="auto"/>
        <w:jc w:val="both"/>
        <w:rPr/>
      </w:pPr>
      <w:r>
        <w:rPr>
          <w:spacing w:val="4"/>
        </w:rPr>
        <w:t>（</w:t>
      </w:r>
      <w:r>
        <w:rPr>
          <w:spacing w:val="-39"/>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1"/>
        </w:rPr>
        <w:t xml:space="preserve"> </w:t>
      </w:r>
      <w:r>
        <w:rPr>
          <w:spacing w:val="4"/>
        </w:rPr>
        <w:t>）</w:t>
      </w:r>
      <w:r>
        <w:rPr>
          <w:rFonts w:ascii="Times New Roman" w:hAnsi="Times New Roman" w:eastAsia="Times New Roman" w:cs="Times New Roman"/>
          <w:spacing w:val="4"/>
        </w:rPr>
        <w:t>Ⅰ</w:t>
      </w:r>
      <w:r>
        <w:rPr>
          <w:spacing w:val="4"/>
        </w:rPr>
        <w:t>级响应。发生特别重大突发动物疫</w:t>
      </w:r>
      <w:r>
        <w:rPr>
          <w:spacing w:val="7"/>
        </w:rPr>
        <w:t>情时，自治区应急指挥部办公室组织指挥部成</w:t>
      </w:r>
      <w:r>
        <w:rPr>
          <w:spacing w:val="18"/>
        </w:rPr>
        <w:t>员单位紧急会商或对事件影响及其发展趋势</w:t>
      </w:r>
      <w:r>
        <w:rPr>
          <w:spacing w:val="7"/>
        </w:rPr>
        <w:t>进行分析研判后，向自治区政府提出预案启动</w:t>
      </w:r>
      <w:r>
        <w:rPr>
          <w:spacing w:val="7"/>
        </w:rPr>
        <w:t>和响应级别建议。经批准，由自治区政府宣布</w:t>
      </w:r>
      <w:r>
        <w:rPr>
          <w:spacing w:val="11"/>
        </w:rPr>
        <w:t>启动</w:t>
      </w:r>
      <w:r>
        <w:rPr>
          <w:rFonts w:ascii="Times New Roman" w:hAnsi="Times New Roman" w:eastAsia="Times New Roman" w:cs="Times New Roman"/>
          <w:spacing w:val="11"/>
        </w:rPr>
        <w:t>Ⅰ</w:t>
      </w:r>
      <w:r>
        <w:rPr>
          <w:spacing w:val="11"/>
        </w:rPr>
        <w:t>级响应</w:t>
      </w:r>
      <w:r>
        <w:rPr>
          <w:spacing w:val="-38"/>
        </w:rPr>
        <w:t xml:space="preserve"> </w:t>
      </w:r>
      <w:r>
        <w:rPr>
          <w:spacing w:val="11"/>
        </w:rPr>
        <w:t>，并向各有关单位发布启动相关</w:t>
      </w:r>
      <w:r>
        <w:rPr>
          <w:spacing w:val="7"/>
        </w:rPr>
        <w:t>应急程序的命令。自治区政府统一领导和指挥</w:t>
      </w:r>
    </w:p>
    <w:p>
      <w:pPr>
        <w:spacing w:line="352" w:lineRule="auto"/>
        <w:sectPr>
          <w:type w:val="continuous"/>
          <w:pgSz w:w="11906" w:h="16839"/>
          <w:pgMar w:top="1766" w:right="1526" w:bottom="1574" w:left="1579" w:header="1428" w:footer="1172" w:gutter="0"/>
          <w:cols w:equalWidth="0" w:num="2">
            <w:col w:w="4482" w:space="100"/>
            <w:col w:w="4219" w:space="0"/>
          </w:cols>
        </w:sectPr>
        <w:rPr/>
      </w:pPr>
    </w:p>
    <w:p>
      <w:pPr>
        <w:spacing w:before="82"/>
        <w:rPr/>
      </w:pPr>
      <w:r>
        <w:drawing>
          <wp:anchor distT="0" distB="0" distL="0" distR="0" simplePos="0" relativeHeight="254187520"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210" name="IM 2210"/>
            <wp:cNvGraphicFramePr/>
            <a:graphic>
              <a:graphicData uri="http://schemas.openxmlformats.org/drawingml/2006/picture">
                <pic:pic>
                  <pic:nvPicPr>
                    <pic:cNvPr id="2210" name="IM 2210"/>
                    <pic:cNvPicPr/>
                  </pic:nvPicPr>
                  <pic:blipFill>
                    <a:blip r:embed="rId1107"/>
                    <a:stretch>
                      <a:fillRect/>
                    </a:stretch>
                  </pic:blipFill>
                  <pic:spPr>
                    <a:xfrm rot="0">
                      <a:off x="0" y="0"/>
                      <a:ext cx="5579745" cy="7620"/>
                    </a:xfrm>
                    <a:prstGeom prst="rect">
                      <a:avLst/>
                    </a:prstGeom>
                  </pic:spPr>
                </pic:pic>
              </a:graphicData>
            </a:graphic>
          </wp:anchor>
        </w:drawing>
      </w:r>
      <w:r/>
    </w:p>
    <w:p>
      <w:pPr>
        <w:sectPr>
          <w:headerReference w:type="default" r:id="rId1048"/>
          <w:footerReference w:type="default" r:id="rId1106"/>
          <w:pgSz w:w="11906" w:h="16839"/>
          <w:pgMar w:top="1772" w:right="1489" w:bottom="1572" w:left="1571" w:header="1428" w:footer="1172" w:gutter="0"/>
          <w:cols w:equalWidth="0" w:num="1">
            <w:col w:w="8846" w:space="0"/>
          </w:cols>
        </w:sectPr>
        <w:rPr/>
      </w:pPr>
    </w:p>
    <w:p>
      <w:pPr>
        <w:pStyle w:val="BodyText"/>
        <w:ind w:left="22" w:right="251" w:firstLine="39"/>
        <w:spacing w:before="41" w:line="376" w:lineRule="auto"/>
        <w:rPr/>
      </w:pPr>
      <w:r>
        <w:rPr>
          <w:spacing w:val="16"/>
        </w:rPr>
        <w:t>自治区突发重大动物疫情应急指挥部和有关</w:t>
      </w:r>
      <w:r>
        <w:rPr>
          <w:spacing w:val="1"/>
        </w:rPr>
        <w:t>地区、部门、单位组织开展应急处置各项工作。</w:t>
      </w:r>
    </w:p>
    <w:p>
      <w:pPr>
        <w:pStyle w:val="BodyText"/>
        <w:ind w:left="21" w:right="264" w:firstLine="412"/>
        <w:spacing w:before="9" w:line="362" w:lineRule="auto"/>
        <w:rPr/>
      </w:pPr>
      <w:r>
        <w:rPr>
          <w:spacing w:val="-3"/>
        </w:rPr>
        <w:t>（</w:t>
      </w:r>
      <w:r>
        <w:rPr>
          <w:rFonts w:ascii="Times New Roman" w:hAnsi="Times New Roman" w:eastAsia="Times New Roman" w:cs="Times New Roman"/>
          <w:spacing w:val="-3"/>
        </w:rPr>
        <w:t>2</w:t>
      </w:r>
      <w:r>
        <w:rPr>
          <w:rFonts w:ascii="Times New Roman" w:hAnsi="Times New Roman" w:eastAsia="Times New Roman" w:cs="Times New Roman"/>
          <w:spacing w:val="-21"/>
        </w:rPr>
        <w:t xml:space="preserve"> </w:t>
      </w:r>
      <w:r>
        <w:rPr>
          <w:spacing w:val="-3"/>
        </w:rPr>
        <w:t>）</w:t>
      </w:r>
      <w:r>
        <w:rPr>
          <w:rFonts w:ascii="Times New Roman" w:hAnsi="Times New Roman" w:eastAsia="Times New Roman" w:cs="Times New Roman"/>
          <w:spacing w:val="-3"/>
        </w:rPr>
        <w:t>Ⅱ</w:t>
      </w:r>
      <w:r>
        <w:rPr>
          <w:spacing w:val="-3"/>
        </w:rPr>
        <w:t>级响应。发生重大突发动物疫情时，</w:t>
      </w:r>
      <w:r>
        <w:rPr>
          <w:spacing w:val="18"/>
        </w:rPr>
        <w:t>自治区应急指挥部办公室组织指挥部成员单</w:t>
      </w:r>
      <w:r>
        <w:rPr>
          <w:spacing w:val="18"/>
        </w:rPr>
        <w:t>位紧急会商或对事件影响及其发展趋势进行</w:t>
      </w:r>
      <w:r>
        <w:rPr>
          <w:spacing w:val="7"/>
        </w:rPr>
        <w:t>分析研判后，会同自治区政府办值班室向自治</w:t>
      </w:r>
      <w:r>
        <w:rPr>
          <w:spacing w:val="10"/>
        </w:rPr>
        <w:t>区应急指挥部提出预案启动和响应级别建议，</w:t>
      </w:r>
      <w:r>
        <w:rPr>
          <w:spacing w:val="15"/>
        </w:rPr>
        <w:t>由</w:t>
      </w:r>
      <w:r>
        <w:rPr>
          <w:spacing w:val="-40"/>
        </w:rPr>
        <w:t xml:space="preserve"> </w:t>
      </w:r>
      <w:r>
        <w:rPr>
          <w:spacing w:val="15"/>
        </w:rPr>
        <w:t>自治区突发重大突发动物疫情应急指挥部</w:t>
      </w:r>
      <w:r>
        <w:rPr>
          <w:spacing w:val="10"/>
        </w:rPr>
        <w:t>宣布启动</w:t>
      </w:r>
      <w:r>
        <w:rPr>
          <w:rFonts w:ascii="Times New Roman" w:hAnsi="Times New Roman" w:eastAsia="Times New Roman" w:cs="Times New Roman"/>
          <w:spacing w:val="10"/>
        </w:rPr>
        <w:t>Ⅱ</w:t>
      </w:r>
      <w:r>
        <w:rPr>
          <w:spacing w:val="10"/>
        </w:rPr>
        <w:t>级响应，并向各有关单位发布启动</w:t>
      </w:r>
      <w:r>
        <w:rPr>
          <w:spacing w:val="7"/>
        </w:rPr>
        <w:t>相关应急程序的命令。自治区突发重大突发动</w:t>
      </w:r>
      <w:r>
        <w:rPr>
          <w:spacing w:val="7"/>
        </w:rPr>
        <w:t>物疫情指挥部统一领导、指挥和协调事发地政</w:t>
      </w:r>
      <w:r>
        <w:rPr/>
        <w:t>府和有关部门按照职责分工开展应急处置工作。</w:t>
      </w:r>
    </w:p>
    <w:p>
      <w:pPr>
        <w:pStyle w:val="BodyText"/>
        <w:ind w:left="21" w:right="326" w:firstLine="412"/>
        <w:spacing w:before="170" w:line="359"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5"/>
        </w:rPr>
        <w:t xml:space="preserve"> </w:t>
      </w:r>
      <w:r>
        <w:rPr>
          <w:spacing w:val="11"/>
        </w:rPr>
        <w:t>）</w:t>
      </w:r>
      <w:r>
        <w:rPr>
          <w:rFonts w:ascii="Times New Roman" w:hAnsi="Times New Roman" w:eastAsia="Times New Roman" w:cs="Times New Roman"/>
          <w:spacing w:val="11"/>
        </w:rPr>
        <w:t>Ⅲ</w:t>
      </w:r>
      <w:r>
        <w:rPr>
          <w:spacing w:val="11"/>
        </w:rPr>
        <w:t>级响应。发生较大突发动物疫情</w:t>
      </w:r>
      <w:r>
        <w:rPr>
          <w:spacing w:val="7"/>
        </w:rPr>
        <w:t>时，市应急指挥部办公室组织各成员单位和专</w:t>
      </w:r>
      <w:r>
        <w:rPr>
          <w:spacing w:val="7"/>
        </w:rPr>
        <w:t>家进行分析研判，对事故及其发展趋势进行综</w:t>
      </w:r>
      <w:r>
        <w:rPr>
          <w:spacing w:val="7"/>
        </w:rPr>
        <w:t>合评估后，由市应急指挥部决定启动</w:t>
      </w:r>
      <w:r>
        <w:rPr>
          <w:rFonts w:ascii="Times New Roman" w:hAnsi="Times New Roman" w:eastAsia="Times New Roman" w:cs="Times New Roman"/>
          <w:spacing w:val="7"/>
        </w:rPr>
        <w:t>Ⅲ</w:t>
      </w:r>
      <w:r>
        <w:rPr>
          <w:spacing w:val="7"/>
        </w:rPr>
        <w:t>级应急</w:t>
      </w:r>
      <w:r>
        <w:rPr>
          <w:spacing w:val="7"/>
        </w:rPr>
        <w:t>响应，并向各有关单位发布启动相关应急程序</w:t>
      </w:r>
      <w:r>
        <w:rPr>
          <w:spacing w:val="7"/>
        </w:rPr>
        <w:t>的命令。必要时，自治区突发重大突发动物疫</w:t>
      </w:r>
      <w:r>
        <w:rPr>
          <w:spacing w:val="7"/>
        </w:rPr>
        <w:t>情应急指挥部派出工作组赶赴事故现场，指导</w:t>
      </w:r>
      <w:r>
        <w:rPr>
          <w:spacing w:val="8"/>
        </w:rPr>
        <w:t>开展相关应急处置工作。</w:t>
      </w:r>
    </w:p>
    <w:p>
      <w:pPr>
        <w:pStyle w:val="BodyText"/>
        <w:ind w:left="21" w:right="326" w:firstLine="412"/>
        <w:spacing w:before="163" w:line="360" w:lineRule="auto"/>
        <w:rPr/>
      </w:pPr>
      <w:r>
        <w:rPr>
          <w:spacing w:val="10"/>
        </w:rPr>
        <w:t>（</w:t>
      </w:r>
      <w:r>
        <w:rPr>
          <w:rFonts w:ascii="Times New Roman" w:hAnsi="Times New Roman" w:eastAsia="Times New Roman" w:cs="Times New Roman"/>
          <w:spacing w:val="10"/>
        </w:rPr>
        <w:t>4</w:t>
      </w:r>
      <w:r>
        <w:rPr>
          <w:rFonts w:ascii="Times New Roman" w:hAnsi="Times New Roman" w:eastAsia="Times New Roman" w:cs="Times New Roman"/>
          <w:spacing w:val="-5"/>
        </w:rPr>
        <w:t xml:space="preserve"> </w:t>
      </w:r>
      <w:r>
        <w:rPr>
          <w:spacing w:val="10"/>
        </w:rPr>
        <w:t>）</w:t>
      </w:r>
      <w:r>
        <w:rPr>
          <w:rFonts w:ascii="Times New Roman" w:hAnsi="Times New Roman" w:eastAsia="Times New Roman" w:cs="Times New Roman"/>
          <w:spacing w:val="10"/>
        </w:rPr>
        <w:t>Ⅳ</w:t>
      </w:r>
      <w:r>
        <w:rPr>
          <w:spacing w:val="10"/>
        </w:rPr>
        <w:t>级响应。发生一般动物疫情时，</w:t>
      </w:r>
      <w:r>
        <w:rPr>
          <w:spacing w:val="7"/>
        </w:rPr>
        <w:t>事发地县（区）政府应急指挥机构组织各成员</w:t>
      </w:r>
      <w:r>
        <w:rPr>
          <w:spacing w:val="7"/>
        </w:rPr>
        <w:t>单位和专家进行分析研判，对事故影响及其发</w:t>
      </w:r>
      <w:r>
        <w:rPr>
          <w:spacing w:val="4"/>
        </w:rPr>
        <w:t>展趋势进行综合评估后，由各县（</w:t>
      </w:r>
      <w:r>
        <w:rPr>
          <w:spacing w:val="-35"/>
        </w:rPr>
        <w:t xml:space="preserve"> </w:t>
      </w:r>
      <w:r>
        <w:rPr>
          <w:spacing w:val="4"/>
        </w:rPr>
        <w:t>区）应急指</w:t>
      </w:r>
      <w:r>
        <w:rPr>
          <w:spacing w:val="6"/>
        </w:rPr>
        <w:t>挥机构决定启动</w:t>
      </w:r>
      <w:r>
        <w:rPr>
          <w:rFonts w:ascii="Times New Roman" w:hAnsi="Times New Roman" w:eastAsia="Times New Roman" w:cs="Times New Roman"/>
          <w:spacing w:val="6"/>
        </w:rPr>
        <w:t>Ⅳ</w:t>
      </w:r>
      <w:r>
        <w:rPr>
          <w:spacing w:val="6"/>
        </w:rPr>
        <w:t>级应急响应，并向有关单位</w:t>
      </w:r>
      <w:r>
        <w:rPr>
          <w:spacing w:val="7"/>
        </w:rPr>
        <w:t>发布启动相关应急程序的命令。必要时，市突</w:t>
      </w:r>
      <w:r>
        <w:rPr>
          <w:spacing w:val="18"/>
        </w:rPr>
        <w:t>发重大突发动物疫情应急指挥部派出工作组</w:t>
      </w:r>
      <w:r>
        <w:rPr>
          <w:spacing w:val="9"/>
        </w:rPr>
        <w:t>赶赴事故现场，指导开展应急处置工作。</w:t>
      </w:r>
    </w:p>
    <w:p>
      <w:pPr>
        <w:ind w:left="441"/>
        <w:spacing w:before="164" w:line="265" w:lineRule="exact"/>
        <w:rPr>
          <w:rFonts w:ascii="KaiTi" w:hAnsi="KaiTi" w:eastAsia="KaiTi" w:cs="KaiTi"/>
          <w:sz w:val="20"/>
          <w:szCs w:val="20"/>
        </w:rPr>
      </w:pPr>
      <w:r>
        <w:rPr>
          <w:rFonts w:ascii="Times New Roman" w:hAnsi="Times New Roman" w:eastAsia="Times New Roman" w:cs="Times New Roman"/>
          <w:sz w:val="20"/>
          <w:szCs w:val="20"/>
          <w:spacing w:val="5"/>
          <w:position w:val="1"/>
        </w:rPr>
        <w:t>4.5  </w:t>
      </w:r>
      <w:r>
        <w:rPr>
          <w:rFonts w:ascii="KaiTi" w:hAnsi="KaiTi" w:eastAsia="KaiTi" w:cs="KaiTi"/>
          <w:sz w:val="20"/>
          <w:szCs w:val="20"/>
          <w:spacing w:val="5"/>
          <w:position w:val="1"/>
        </w:rPr>
        <w:t>响应措施。</w:t>
      </w:r>
    </w:p>
    <w:p>
      <w:pPr>
        <w:pStyle w:val="BodyText"/>
        <w:ind w:left="21" w:right="326" w:firstLine="419"/>
        <w:spacing w:before="148" w:line="315" w:lineRule="auto"/>
        <w:jc w:val="both"/>
        <w:rPr/>
      </w:pPr>
      <w:r>
        <w:rPr>
          <w:rFonts w:ascii="Times New Roman" w:hAnsi="Times New Roman" w:eastAsia="Times New Roman" w:cs="Times New Roman"/>
          <w:spacing w:val="9"/>
        </w:rPr>
        <w:t>4.5.1 Ⅰ</w:t>
      </w:r>
      <w:r>
        <w:rPr>
          <w:spacing w:val="9"/>
        </w:rPr>
        <w:t>级应急响应措施。特别重大突发动</w:t>
      </w:r>
      <w:r>
        <w:rPr>
          <w:spacing w:val="7"/>
        </w:rPr>
        <w:t>物疫情确认后，按照自治区政府的命令或统一</w:t>
      </w:r>
      <w:r>
        <w:rPr>
          <w:spacing w:val="7"/>
        </w:rPr>
        <w:t>部署，由其启动响应机制，统一领导和指挥突</w:t>
      </w:r>
    </w:p>
    <w:p>
      <w:pPr>
        <w:spacing w:line="14" w:lineRule="auto"/>
        <w:rPr>
          <w:rFonts w:ascii="Arial"/>
          <w:sz w:val="2"/>
        </w:rPr>
      </w:pPr>
      <w:r>
        <w:rPr>
          <w:rFonts w:ascii="Arial" w:hAnsi="Arial" w:eastAsia="Arial" w:cs="Arial"/>
          <w:sz w:val="2"/>
          <w:szCs w:val="2"/>
        </w:rPr>
        <w:br w:type="column"/>
      </w:r>
    </w:p>
    <w:p>
      <w:pPr>
        <w:pStyle w:val="BodyText"/>
        <w:ind w:left="3"/>
        <w:spacing w:before="38" w:line="220" w:lineRule="auto"/>
        <w:rPr/>
      </w:pPr>
      <w:r>
        <w:rPr>
          <w:spacing w:val="8"/>
        </w:rPr>
        <w:t>发重大动物疫情的扑灭工作。</w:t>
      </w:r>
    </w:p>
    <w:p>
      <w:pPr>
        <w:pStyle w:val="BodyText"/>
        <w:ind w:left="2" w:right="48" w:firstLine="411"/>
        <w:spacing w:before="171" w:line="359"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）市政府拟请自治区启动设区市级应</w:t>
      </w:r>
      <w:r>
        <w:rPr>
          <w:spacing w:val="7"/>
        </w:rPr>
        <w:t>急响应机制；统一组织、统一领导和指挥突发</w:t>
      </w:r>
      <w:r>
        <w:rPr>
          <w:spacing w:val="7"/>
        </w:rPr>
        <w:t>重大动物疫情的扑灭工作；组织指挥县（</w:t>
      </w:r>
      <w:r>
        <w:rPr>
          <w:spacing w:val="-43"/>
        </w:rPr>
        <w:t xml:space="preserve"> </w:t>
      </w:r>
      <w:r>
        <w:rPr>
          <w:spacing w:val="7"/>
        </w:rPr>
        <w:t>区）</w:t>
      </w:r>
      <w:r>
        <w:rPr>
          <w:spacing w:val="7"/>
        </w:rPr>
        <w:t>政府以及有关部门开展群防群控工作；根据突</w:t>
      </w:r>
      <w:r>
        <w:rPr>
          <w:spacing w:val="7"/>
        </w:rPr>
        <w:t>发重大动物疫情处理需要，调集本行政区域内</w:t>
      </w:r>
      <w:r>
        <w:rPr>
          <w:spacing w:val="7"/>
        </w:rPr>
        <w:t>各类人员、物资、交通工具和相关设施参加应</w:t>
      </w:r>
      <w:r>
        <w:rPr>
          <w:spacing w:val="7"/>
        </w:rPr>
        <w:t>急处置工作；必要时，可请求自治区有关部门</w:t>
      </w:r>
      <w:r>
        <w:rPr>
          <w:spacing w:val="9"/>
        </w:rPr>
        <w:t>的支持，保证应急处置工作顺利进行。</w:t>
      </w:r>
    </w:p>
    <w:p>
      <w:pPr>
        <w:pStyle w:val="BodyText"/>
        <w:ind w:right="34" w:firstLine="413"/>
        <w:spacing w:before="164" w:line="371"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16"/>
        </w:rPr>
        <w:t xml:space="preserve"> </w:t>
      </w:r>
      <w:r>
        <w:rPr>
          <w:spacing w:val="8"/>
        </w:rPr>
        <w:t>）县（</w:t>
      </w:r>
      <w:r>
        <w:rPr>
          <w:spacing w:val="-48"/>
        </w:rPr>
        <w:t xml:space="preserve"> </w:t>
      </w:r>
      <w:r>
        <w:rPr>
          <w:spacing w:val="8"/>
        </w:rPr>
        <w:t>区）政府或突发重大动物疫情</w:t>
      </w:r>
      <w:r>
        <w:rPr>
          <w:spacing w:val="18"/>
        </w:rPr>
        <w:t>应急指挥机构组织协调有关部门参与突发重</w:t>
      </w:r>
      <w:r>
        <w:rPr>
          <w:spacing w:val="7"/>
        </w:rPr>
        <w:t>大动物事情的处理；根据突发重大动物疫情需</w:t>
      </w:r>
      <w:r>
        <w:rPr>
          <w:spacing w:val="7"/>
        </w:rPr>
        <w:t>要，调集本行政区域内调集本行政区域内各类</w:t>
      </w:r>
      <w:r>
        <w:rPr>
          <w:spacing w:val="7"/>
        </w:rPr>
        <w:t>人员、物资、交通工具和相关设施参加应急处</w:t>
      </w:r>
      <w:r>
        <w:rPr>
          <w:spacing w:val="7"/>
        </w:rPr>
        <w:t>置工作；发布封锁令、对疫区实施封锁。封锁</w:t>
      </w:r>
      <w:r>
        <w:rPr>
          <w:spacing w:val="7"/>
        </w:rPr>
        <w:t>疫区设计跨行政区域的，由涉及跨区域的上一</w:t>
      </w:r>
      <w:r>
        <w:rPr>
          <w:spacing w:val="10"/>
        </w:rPr>
        <w:t>级政府决定。封锁疫区导致中断干线交通的，</w:t>
      </w:r>
      <w:r>
        <w:rPr>
          <w:spacing w:val="7"/>
        </w:rPr>
        <w:t>报自治区政府研究决定；在本行政区域内采取</w:t>
      </w:r>
      <w:r>
        <w:rPr>
          <w:spacing w:val="7"/>
        </w:rPr>
        <w:t>限制或者停止动物及动物产品交易、扑杀染疫</w:t>
      </w:r>
      <w:r>
        <w:rPr/>
        <w:t>或相关动物，临时征用房屋、场所、交通工具；</w:t>
      </w:r>
      <w:r>
        <w:rPr>
          <w:spacing w:val="18"/>
        </w:rPr>
        <w:t>封闭被动物疫病病原体污染的公共饮用水源</w:t>
      </w:r>
      <w:r>
        <w:rPr>
          <w:spacing w:val="7"/>
        </w:rPr>
        <w:t>等紧急措施；组织有关部门依法设置临时性的</w:t>
      </w:r>
      <w:r>
        <w:rPr>
          <w:spacing w:val="7"/>
        </w:rPr>
        <w:t>动物卫生监督检查站、对进出疫区、出入境运</w:t>
      </w:r>
      <w:r>
        <w:rPr>
          <w:spacing w:val="7"/>
        </w:rPr>
        <w:t>载动物的交通工具进行检查和消毒；依照有关</w:t>
      </w:r>
      <w:r>
        <w:rPr>
          <w:spacing w:val="7"/>
        </w:rPr>
        <w:t>规定启动相应的应急响应程序，做好新闻发布</w:t>
      </w:r>
      <w:r>
        <w:rPr>
          <w:spacing w:val="7"/>
        </w:rPr>
        <w:t>工作；组织乡镇、街道、社区以及居委会、村</w:t>
      </w:r>
      <w:r>
        <w:rPr>
          <w:spacing w:val="7"/>
        </w:rPr>
        <w:t>委会，开展群防群控；组织有关部门保障商品</w:t>
      </w:r>
      <w:r>
        <w:rPr>
          <w:spacing w:val="7"/>
        </w:rPr>
        <w:t>供应，平抑物价，严厉打击造谣传谣、制假售</w:t>
      </w:r>
      <w:r>
        <w:rPr>
          <w:spacing w:val="7"/>
        </w:rPr>
        <w:t>假等违法犯罪和扰乱社会治安的行为，维护社</w:t>
      </w:r>
      <w:r>
        <w:rPr>
          <w:spacing w:val="6"/>
        </w:rPr>
        <w:t>会稳定。</w:t>
      </w:r>
    </w:p>
    <w:p>
      <w:pPr>
        <w:pStyle w:val="BodyText"/>
        <w:ind w:left="3" w:right="101" w:firstLine="410"/>
        <w:spacing w:before="169" w:line="285"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）各级畜牧兽医主管部门紧急措施组</w:t>
      </w:r>
      <w:r>
        <w:rPr>
          <w:spacing w:val="18"/>
        </w:rPr>
        <w:t>织动物疾病预防控制机构和动物卫生监督机</w:t>
      </w:r>
    </w:p>
    <w:p>
      <w:pPr>
        <w:spacing w:line="285" w:lineRule="auto"/>
        <w:sectPr>
          <w:type w:val="continuous"/>
          <w:pgSz w:w="11906" w:h="16839"/>
          <w:pgMar w:top="1772" w:right="1489" w:bottom="1572" w:left="1571" w:header="1428" w:footer="1172" w:gutter="0"/>
          <w:cols w:equalWidth="0" w:num="2">
            <w:col w:w="4497" w:space="100"/>
            <w:col w:w="4250" w:space="0"/>
          </w:cols>
        </w:sectPr>
        <w:rPr/>
      </w:pPr>
    </w:p>
    <w:p>
      <w:pPr>
        <w:spacing w:before="88"/>
        <w:rPr/>
      </w:pPr>
      <w:r>
        <w:drawing>
          <wp:anchor distT="0" distB="0" distL="0" distR="0" simplePos="0" relativeHeight="254201856"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2214" name="IM 2214"/>
            <wp:cNvGraphicFramePr/>
            <a:graphic>
              <a:graphicData uri="http://schemas.openxmlformats.org/drawingml/2006/picture">
                <pic:pic>
                  <pic:nvPicPr>
                    <pic:cNvPr id="2214" name="IM 2214"/>
                    <pic:cNvPicPr/>
                  </pic:nvPicPr>
                  <pic:blipFill>
                    <a:blip r:embed="rId1109"/>
                    <a:stretch>
                      <a:fillRect/>
                    </a:stretch>
                  </pic:blipFill>
                  <pic:spPr>
                    <a:xfrm rot="0">
                      <a:off x="0" y="0"/>
                      <a:ext cx="5579745" cy="7620"/>
                    </a:xfrm>
                    <a:prstGeom prst="rect">
                      <a:avLst/>
                    </a:prstGeom>
                  </pic:spPr>
                </pic:pic>
              </a:graphicData>
            </a:graphic>
          </wp:anchor>
        </w:drawing>
      </w:r>
      <w:r/>
    </w:p>
    <w:p>
      <w:pPr>
        <w:sectPr>
          <w:headerReference w:type="default" r:id="rId549"/>
          <w:footerReference w:type="default" r:id="rId1108"/>
          <w:pgSz w:w="11906" w:h="16839"/>
          <w:pgMar w:top="1766" w:right="1530" w:bottom="1574" w:left="1579" w:header="1428" w:footer="1172" w:gutter="0"/>
          <w:cols w:equalWidth="0" w:num="1">
            <w:col w:w="8796" w:space="0"/>
          </w:cols>
        </w:sectPr>
        <w:rPr/>
      </w:pPr>
    </w:p>
    <w:p>
      <w:pPr>
        <w:pStyle w:val="BodyText"/>
        <w:ind w:left="10" w:right="307" w:firstLine="3"/>
        <w:spacing w:before="42" w:line="378" w:lineRule="auto"/>
        <w:jc w:val="both"/>
        <w:rPr/>
      </w:pPr>
      <w:r>
        <w:rPr>
          <w:spacing w:val="7"/>
        </w:rPr>
        <w:t>构开展突发重大动物疫情的调查与处理；划定</w:t>
      </w:r>
      <w:r>
        <w:rPr>
          <w:spacing w:val="7"/>
        </w:rPr>
        <w:t>疫点、疫区、受威胁区；组织突发重大动物疫</w:t>
      </w:r>
      <w:r>
        <w:rPr>
          <w:spacing w:val="18"/>
        </w:rPr>
        <w:t>情应急处置专家组对突发重大动物疫情进行</w:t>
      </w:r>
      <w:r>
        <w:rPr>
          <w:spacing w:val="7"/>
        </w:rPr>
        <w:t>评估，提出启动突发动物疫情应急响应级别的</w:t>
      </w:r>
      <w:r>
        <w:rPr>
          <w:spacing w:val="15"/>
        </w:rPr>
        <w:t>建议</w:t>
      </w:r>
      <w:r>
        <w:rPr>
          <w:spacing w:val="-39"/>
        </w:rPr>
        <w:t xml:space="preserve"> </w:t>
      </w:r>
      <w:r>
        <w:rPr>
          <w:spacing w:val="15"/>
        </w:rPr>
        <w:t>；根据需要组织开展紧急免疫和预防用</w:t>
      </w:r>
      <w:r>
        <w:rPr>
          <w:spacing w:val="7"/>
        </w:rPr>
        <w:t>药；负责对本行政区域内应急处置工作的督导</w:t>
      </w:r>
      <w:r>
        <w:rPr>
          <w:spacing w:val="7"/>
        </w:rPr>
        <w:t>和检查；对新发现的动物疫病，及时按照国家</w:t>
      </w:r>
      <w:r>
        <w:rPr>
          <w:spacing w:val="7"/>
        </w:rPr>
        <w:t>规定，开展流行病学调查和防控技术规范的培</w:t>
      </w:r>
      <w:r>
        <w:rPr>
          <w:spacing w:val="8"/>
        </w:rPr>
        <w:t>训工作；有针对性地开展动物防疫知识宣教、</w:t>
      </w:r>
      <w:r>
        <w:rPr>
          <w:spacing w:val="7"/>
        </w:rPr>
        <w:t>提高群众防控意识和自我防护能力；组织专家</w:t>
      </w:r>
      <w:r>
        <w:rPr>
          <w:spacing w:val="18"/>
        </w:rPr>
        <w:t>对突发重大动物疫情的处理情况进行综合评</w:t>
      </w:r>
      <w:r>
        <w:rPr>
          <w:spacing w:val="7"/>
        </w:rPr>
        <w:t>估，包括疫情、现场调查情况、疫源追踪情况</w:t>
      </w:r>
      <w:r>
        <w:rPr>
          <w:spacing w:val="7"/>
        </w:rPr>
        <w:t>以及对扑杀动物、无害化处理、消毒、紧急免</w:t>
      </w:r>
      <w:r>
        <w:rPr>
          <w:spacing w:val="8"/>
        </w:rPr>
        <w:t>疫等措施的效果评价。</w:t>
      </w:r>
    </w:p>
    <w:p>
      <w:pPr>
        <w:pStyle w:val="BodyText"/>
        <w:ind w:left="12" w:right="330" w:firstLine="412"/>
        <w:spacing w:before="3" w:line="378" w:lineRule="auto"/>
        <w:jc w:val="both"/>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）各级动物疾病预防控制和动物卫生</w:t>
      </w:r>
      <w:r>
        <w:rPr>
          <w:spacing w:val="18"/>
        </w:rPr>
        <w:t>监督机构紧急措施负责做好突发重大动物疫</w:t>
      </w:r>
      <w:r>
        <w:rPr>
          <w:spacing w:val="7"/>
        </w:rPr>
        <w:t>情的信息收集、报告与分析；组织疫病诊断和</w:t>
      </w:r>
      <w:r>
        <w:rPr>
          <w:spacing w:val="7"/>
        </w:rPr>
        <w:t>流行病学调查，向畜牧兽医行政主管部门报告</w:t>
      </w:r>
      <w:r>
        <w:rPr>
          <w:spacing w:val="7"/>
        </w:rPr>
        <w:t>结果，提出并实施有针对性的防控措施；按规</w:t>
      </w:r>
      <w:r>
        <w:rPr>
          <w:spacing w:val="7"/>
        </w:rPr>
        <w:t>定采取病料，送自治区级实验室或国家参考实</w:t>
      </w:r>
      <w:r>
        <w:rPr>
          <w:spacing w:val="7"/>
        </w:rPr>
        <w:t>验室确诊；现场指导动物疫情处置工作；承担</w:t>
      </w:r>
      <w:r>
        <w:rPr>
          <w:spacing w:val="9"/>
        </w:rPr>
        <w:t>突发重大动物疫情处置人员的技术培训。</w:t>
      </w:r>
    </w:p>
    <w:p>
      <w:pPr>
        <w:pStyle w:val="BodyText"/>
        <w:ind w:left="10" w:right="323" w:firstLine="422"/>
        <w:spacing w:before="8" w:line="377" w:lineRule="auto"/>
        <w:jc w:val="both"/>
        <w:rPr/>
      </w:pPr>
      <w:r>
        <w:rPr>
          <w:rFonts w:ascii="Times New Roman" w:hAnsi="Times New Roman" w:eastAsia="Times New Roman" w:cs="Times New Roman"/>
          <w:spacing w:val="7"/>
        </w:rPr>
        <w:t>4.5.2 Ⅱ</w:t>
      </w:r>
      <w:r>
        <w:rPr>
          <w:spacing w:val="7"/>
        </w:rPr>
        <w:t>级应急响应措施。重大动物疫情确</w:t>
      </w:r>
      <w:r>
        <w:rPr>
          <w:spacing w:val="7"/>
        </w:rPr>
        <w:t>认后，自治区畜牧兽医主管部门或自治区应急</w:t>
      </w:r>
      <w:r>
        <w:rPr>
          <w:spacing w:val="18"/>
        </w:rPr>
        <w:t>指挥部办公室应及时自治区应急指挥部提出</w:t>
      </w:r>
      <w:r>
        <w:rPr>
          <w:spacing w:val="7"/>
        </w:rPr>
        <w:t>启动自治区级应急预案的建议，由自治区应急</w:t>
      </w:r>
      <w:r>
        <w:rPr>
          <w:spacing w:val="9"/>
        </w:rPr>
        <w:t>指挥部立即启动应急预案。</w:t>
      </w:r>
    </w:p>
    <w:p>
      <w:pPr>
        <w:pStyle w:val="BodyText"/>
        <w:ind w:left="12" w:right="266" w:firstLine="412"/>
        <w:spacing w:before="5" w:line="346" w:lineRule="auto"/>
        <w:jc w:val="both"/>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）市应急指挥部紧急措施。组织、指</w:t>
      </w:r>
      <w:r>
        <w:rPr>
          <w:spacing w:val="4"/>
        </w:rPr>
        <w:t>挥相关部门和县（</w:t>
      </w:r>
      <w:r>
        <w:rPr>
          <w:spacing w:val="-35"/>
        </w:rPr>
        <w:t xml:space="preserve"> </w:t>
      </w:r>
      <w:r>
        <w:rPr>
          <w:spacing w:val="4"/>
        </w:rPr>
        <w:t>区）扑疫工作和群防群控工</w:t>
      </w:r>
      <w:r>
        <w:rPr>
          <w:spacing w:val="7"/>
        </w:rPr>
        <w:t>作；根据需要调集各种应急处置物资、交通工</w:t>
      </w:r>
      <w:r>
        <w:rPr>
          <w:spacing w:val="7"/>
        </w:rPr>
        <w:t>具和相关设施设备；按国家规定做好信息发布</w:t>
      </w:r>
      <w:r>
        <w:rPr/>
        <w:t>工作；组织有关部门保障商品供应，平抑物价，</w:t>
      </w:r>
    </w:p>
    <w:p>
      <w:pPr>
        <w:spacing w:line="14" w:lineRule="auto"/>
        <w:rPr>
          <w:rFonts w:ascii="Arial"/>
          <w:sz w:val="2"/>
        </w:rPr>
      </w:pPr>
      <w:r>
        <w:rPr>
          <w:rFonts w:ascii="Arial" w:hAnsi="Arial" w:eastAsia="Arial" w:cs="Arial"/>
          <w:sz w:val="2"/>
          <w:szCs w:val="2"/>
        </w:rPr>
        <w:br w:type="column"/>
      </w:r>
    </w:p>
    <w:p>
      <w:pPr>
        <w:pStyle w:val="BodyText"/>
        <w:ind w:left="2"/>
        <w:spacing w:before="39" w:line="217" w:lineRule="auto"/>
        <w:rPr/>
      </w:pPr>
      <w:r>
        <w:rPr>
          <w:spacing w:val="7"/>
        </w:rPr>
        <w:t>维护社会稳定。</w:t>
      </w:r>
    </w:p>
    <w:p>
      <w:pPr>
        <w:pStyle w:val="BodyText"/>
        <w:ind w:right="50" w:firstLine="412"/>
        <w:spacing w:before="169" w:line="363"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）市畜牧兽医主管部门或市应急指挥</w:t>
      </w:r>
      <w:r>
        <w:rPr>
          <w:spacing w:val="7"/>
        </w:rPr>
        <w:t>部办公室紧急措施。重大动物疫情确认后，市</w:t>
      </w:r>
      <w:r>
        <w:rPr>
          <w:spacing w:val="18"/>
        </w:rPr>
        <w:t>畜牧兽医主管部门或市应急指挥部办公室迅</w:t>
      </w:r>
      <w:r>
        <w:rPr>
          <w:spacing w:val="7"/>
        </w:rPr>
        <w:t>速组织有关单位开展疫情应急处置工作。组织</w:t>
      </w:r>
      <w:r>
        <w:rPr>
          <w:spacing w:val="7"/>
        </w:rPr>
        <w:t>开展突发重大动物疫情的调查与处理；划定疫</w:t>
      </w:r>
      <w:r>
        <w:rPr>
          <w:spacing w:val="7"/>
        </w:rPr>
        <w:t>点、疫区、受威胁区；组织对突发重大动物疫</w:t>
      </w:r>
      <w:r>
        <w:rPr>
          <w:spacing w:val="7"/>
        </w:rPr>
        <w:t>情处置的评估；负责对本行政区域内应急处置</w:t>
      </w:r>
      <w:r>
        <w:rPr>
          <w:spacing w:val="7"/>
        </w:rPr>
        <w:t>工作的督导和检查；开展有关技术培训工作；</w:t>
      </w:r>
      <w:r>
        <w:rPr>
          <w:spacing w:val="7"/>
        </w:rPr>
        <w:t>有针对性地开展动物防疫知识宣教，提高群众</w:t>
      </w:r>
      <w:r>
        <w:rPr>
          <w:spacing w:val="8"/>
        </w:rPr>
        <w:t>防控意识和自我防护能力。</w:t>
      </w:r>
    </w:p>
    <w:p>
      <w:pPr>
        <w:pStyle w:val="BodyText"/>
        <w:ind w:right="59" w:firstLine="412"/>
        <w:spacing w:before="166" w:line="348" w:lineRule="auto"/>
        <w:rPr/>
      </w:pPr>
      <w:r>
        <w:rPr>
          <w:spacing w:val="8"/>
        </w:rPr>
        <w:t>（</w:t>
      </w:r>
      <w:r>
        <w:rPr>
          <w:rFonts w:ascii="Times New Roman" w:hAnsi="Times New Roman" w:eastAsia="Times New Roman" w:cs="Times New Roman"/>
          <w:spacing w:val="8"/>
        </w:rPr>
        <w:t>3</w:t>
      </w:r>
      <w:r>
        <w:rPr>
          <w:rFonts w:ascii="Times New Roman" w:hAnsi="Times New Roman" w:eastAsia="Times New Roman" w:cs="Times New Roman"/>
          <w:spacing w:val="-16"/>
        </w:rPr>
        <w:t xml:space="preserve"> </w:t>
      </w:r>
      <w:r>
        <w:rPr>
          <w:spacing w:val="8"/>
        </w:rPr>
        <w:t>）县（</w:t>
      </w:r>
      <w:r>
        <w:rPr>
          <w:spacing w:val="-48"/>
        </w:rPr>
        <w:t xml:space="preserve"> </w:t>
      </w:r>
      <w:r>
        <w:rPr>
          <w:spacing w:val="8"/>
        </w:rPr>
        <w:t>区）政府或突发重大动物疫情</w:t>
      </w:r>
      <w:r>
        <w:rPr>
          <w:spacing w:val="7"/>
        </w:rPr>
        <w:t>应急指挥机构。疫情发生地政府及有关部门在</w:t>
      </w:r>
      <w:r>
        <w:rPr>
          <w:spacing w:val="7"/>
        </w:rPr>
        <w:t>市政府或市应急指挥部的统一指挥下，按照要</w:t>
      </w:r>
      <w:r>
        <w:rPr>
          <w:spacing w:val="7"/>
        </w:rPr>
        <w:t>求认真履行职责，落实有关控制措施；具体组</w:t>
      </w:r>
      <w:r>
        <w:rPr>
          <w:spacing w:val="9"/>
        </w:rPr>
        <w:t>织实施突发重大动物疫情应急处置工作。</w:t>
      </w:r>
    </w:p>
    <w:p>
      <w:pPr>
        <w:pStyle w:val="BodyText"/>
        <w:ind w:right="49" w:firstLine="420"/>
        <w:spacing w:before="174" w:line="377" w:lineRule="auto"/>
        <w:jc w:val="both"/>
        <w:rPr/>
      </w:pPr>
      <w:r>
        <w:rPr>
          <w:rFonts w:ascii="Times New Roman" w:hAnsi="Times New Roman" w:eastAsia="Times New Roman" w:cs="Times New Roman"/>
          <w:spacing w:val="4"/>
        </w:rPr>
        <w:t>4.5.3 Ⅲ</w:t>
      </w:r>
      <w:r>
        <w:rPr>
          <w:spacing w:val="4"/>
        </w:rPr>
        <w:t>级应急响应措施。较大突发动物疫</w:t>
      </w:r>
      <w:r>
        <w:rPr>
          <w:spacing w:val="7"/>
        </w:rPr>
        <w:t>情确认后，市畜牧兽医主管部门或市应急指挥</w:t>
      </w:r>
      <w:r>
        <w:rPr>
          <w:spacing w:val="18"/>
        </w:rPr>
        <w:t>部办公室应及时向市应急指挥部提出启动应</w:t>
      </w:r>
      <w:r>
        <w:rPr>
          <w:spacing w:val="7"/>
        </w:rPr>
        <w:t>急预案的建议，由市应急指挥部立即启动应急</w:t>
      </w:r>
      <w:r>
        <w:rPr>
          <w:spacing w:val="4"/>
        </w:rPr>
        <w:t>预案。</w:t>
      </w:r>
    </w:p>
    <w:p>
      <w:pPr>
        <w:pStyle w:val="BodyText"/>
        <w:ind w:right="52" w:firstLine="412"/>
        <w:spacing w:before="3" w:line="347" w:lineRule="auto"/>
        <w:rPr/>
      </w:pPr>
      <w:r>
        <w:rPr>
          <w:spacing w:val="5"/>
        </w:rPr>
        <w:t>（</w:t>
      </w:r>
      <w:r>
        <w:rPr>
          <w:spacing w:val="-44"/>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）县（</w:t>
      </w:r>
      <w:r>
        <w:rPr>
          <w:spacing w:val="-48"/>
        </w:rPr>
        <w:t xml:space="preserve"> </w:t>
      </w:r>
      <w:r>
        <w:rPr>
          <w:spacing w:val="5"/>
        </w:rPr>
        <w:t>区）政府或突发重大动物疫情</w:t>
      </w:r>
      <w:r>
        <w:rPr>
          <w:spacing w:val="4"/>
        </w:rPr>
        <w:t>应急指挥机构紧急措施。县（</w:t>
      </w:r>
      <w:r>
        <w:rPr>
          <w:spacing w:val="-35"/>
        </w:rPr>
        <w:t xml:space="preserve"> </w:t>
      </w:r>
      <w:r>
        <w:rPr>
          <w:spacing w:val="4"/>
        </w:rPr>
        <w:t>区）政府根据本</w:t>
      </w:r>
      <w:r>
        <w:rPr>
          <w:spacing w:val="7"/>
        </w:rPr>
        <w:t>机畜牧兽医主管部门的建议，启动应急预案，</w:t>
      </w:r>
      <w:r>
        <w:rPr>
          <w:spacing w:val="7"/>
        </w:rPr>
        <w:t>采取相应的综合应急措施。必要时，可向政府</w:t>
      </w:r>
      <w:r>
        <w:rPr>
          <w:spacing w:val="8"/>
        </w:rPr>
        <w:t>申请资金、物资和技术支援。</w:t>
      </w:r>
    </w:p>
    <w:p>
      <w:pPr>
        <w:pStyle w:val="BodyText"/>
        <w:ind w:right="59" w:firstLine="412"/>
        <w:spacing w:before="167" w:line="347"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16"/>
        </w:rPr>
        <w:t xml:space="preserve"> </w:t>
      </w:r>
      <w:r>
        <w:rPr>
          <w:spacing w:val="8"/>
        </w:rPr>
        <w:t>）县（</w:t>
      </w:r>
      <w:r>
        <w:rPr>
          <w:spacing w:val="-48"/>
        </w:rPr>
        <w:t xml:space="preserve"> </w:t>
      </w:r>
      <w:r>
        <w:rPr>
          <w:spacing w:val="8"/>
        </w:rPr>
        <w:t>区）畜牧兽医主管部门或突发</w:t>
      </w:r>
      <w:r>
        <w:rPr>
          <w:spacing w:val="7"/>
        </w:rPr>
        <w:t>重大动物疫情应急指挥机构紧急措施。对较大</w:t>
      </w:r>
      <w:r>
        <w:rPr>
          <w:spacing w:val="7"/>
        </w:rPr>
        <w:t>突发动物疫情及时采取有效防控应急措施。并</w:t>
      </w:r>
      <w:r>
        <w:rPr>
          <w:spacing w:val="7"/>
        </w:rPr>
        <w:t>按照规定向事发地政府、市畜牧兽医主管部门</w:t>
      </w:r>
      <w:r>
        <w:rPr>
          <w:spacing w:val="8"/>
        </w:rPr>
        <w:t>报告调查处理情况。</w:t>
      </w:r>
    </w:p>
    <w:p>
      <w:pPr>
        <w:pStyle w:val="BodyText"/>
        <w:ind w:left="412"/>
        <w:spacing w:before="171" w:line="221"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）市畜牧兽医主管部门或市应急指挥</w:t>
      </w:r>
    </w:p>
    <w:p>
      <w:pPr>
        <w:spacing w:line="221" w:lineRule="auto"/>
        <w:sectPr>
          <w:type w:val="continuous"/>
          <w:pgSz w:w="11906" w:h="16839"/>
          <w:pgMar w:top="1766" w:right="1530" w:bottom="1574" w:left="1579" w:header="1428" w:footer="1172" w:gutter="0"/>
          <w:cols w:equalWidth="0" w:num="2">
            <w:col w:w="4490" w:space="100"/>
            <w:col w:w="4207" w:space="0"/>
          </w:cols>
        </w:sectPr>
        <w:rPr/>
      </w:pPr>
    </w:p>
    <w:p>
      <w:pPr>
        <w:spacing w:before="81"/>
        <w:rPr/>
      </w:pPr>
      <w:r>
        <w:drawing>
          <wp:anchor distT="0" distB="0" distL="0" distR="0" simplePos="0" relativeHeight="254216192"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218" name="IM 2218"/>
            <wp:cNvGraphicFramePr/>
            <a:graphic>
              <a:graphicData uri="http://schemas.openxmlformats.org/drawingml/2006/picture">
                <pic:pic>
                  <pic:nvPicPr>
                    <pic:cNvPr id="2218" name="IM 2218"/>
                    <pic:cNvPicPr/>
                  </pic:nvPicPr>
                  <pic:blipFill>
                    <a:blip r:embed="rId1111"/>
                    <a:stretch>
                      <a:fillRect/>
                    </a:stretch>
                  </pic:blipFill>
                  <pic:spPr>
                    <a:xfrm rot="0">
                      <a:off x="0" y="0"/>
                      <a:ext cx="5579745" cy="7620"/>
                    </a:xfrm>
                    <a:prstGeom prst="rect">
                      <a:avLst/>
                    </a:prstGeom>
                  </pic:spPr>
                </pic:pic>
              </a:graphicData>
            </a:graphic>
          </wp:anchor>
        </w:drawing>
      </w:r>
      <w:r/>
    </w:p>
    <w:p>
      <w:pPr>
        <w:sectPr>
          <w:headerReference w:type="default" r:id="rId1048"/>
          <w:footerReference w:type="default" r:id="rId1110"/>
          <w:pgSz w:w="11906" w:h="16839"/>
          <w:pgMar w:top="1772" w:right="1489" w:bottom="1572" w:left="1571" w:header="1428" w:footer="1172" w:gutter="0"/>
          <w:cols w:equalWidth="0" w:num="1">
            <w:col w:w="8846" w:space="0"/>
          </w:cols>
        </w:sectPr>
        <w:rPr/>
      </w:pPr>
    </w:p>
    <w:p>
      <w:pPr>
        <w:pStyle w:val="BodyText"/>
        <w:ind w:left="21" w:right="322"/>
        <w:spacing w:before="39" w:line="379" w:lineRule="auto"/>
        <w:jc w:val="both"/>
        <w:rPr/>
      </w:pPr>
      <w:r>
        <w:rPr>
          <w:spacing w:val="7"/>
        </w:rPr>
        <w:t>部办公室紧急措施。必要时组织专家对疫情应</w:t>
      </w:r>
      <w:r>
        <w:rPr>
          <w:spacing w:val="7"/>
        </w:rPr>
        <w:t>急处置工作提供技术指导和支持，并向市有关</w:t>
      </w:r>
      <w:r>
        <w:rPr>
          <w:spacing w:val="7"/>
        </w:rPr>
        <w:t>地区发出通报，及时采取预防控制措施，防止</w:t>
      </w:r>
      <w:r>
        <w:rPr>
          <w:spacing w:val="7"/>
        </w:rPr>
        <w:t>疫情扩散蔓延。</w:t>
      </w:r>
    </w:p>
    <w:p>
      <w:pPr>
        <w:pStyle w:val="BodyText"/>
        <w:ind w:left="441"/>
        <w:spacing w:before="2" w:line="218" w:lineRule="auto"/>
        <w:rPr/>
      </w:pPr>
      <w:r>
        <w:rPr>
          <w:rFonts w:ascii="Times New Roman" w:hAnsi="Times New Roman" w:eastAsia="Times New Roman" w:cs="Times New Roman"/>
          <w:spacing w:val="6"/>
        </w:rPr>
        <w:t>4.5.4 Ⅳ</w:t>
      </w:r>
      <w:r>
        <w:rPr>
          <w:spacing w:val="6"/>
        </w:rPr>
        <w:t>级应急响应措施。</w:t>
      </w:r>
    </w:p>
    <w:p>
      <w:pPr>
        <w:pStyle w:val="BodyText"/>
        <w:ind w:left="21" w:right="322" w:firstLine="421"/>
        <w:spacing w:before="167" w:line="377" w:lineRule="auto"/>
        <w:rPr/>
      </w:pPr>
      <w:r>
        <w:rPr>
          <w:spacing w:val="4"/>
        </w:rPr>
        <w:t>一般突发动物疫情确认后，县（</w:t>
      </w:r>
      <w:r>
        <w:rPr>
          <w:spacing w:val="-49"/>
        </w:rPr>
        <w:t xml:space="preserve"> </w:t>
      </w:r>
      <w:r>
        <w:rPr>
          <w:spacing w:val="4"/>
        </w:rPr>
        <w:t>区）政府</w:t>
      </w:r>
      <w:r>
        <w:rPr>
          <w:spacing w:val="18"/>
        </w:rPr>
        <w:t>应急指挥机构根据本级畜牧兽医主管部门的</w:t>
      </w:r>
      <w:r>
        <w:rPr>
          <w:spacing w:val="7"/>
        </w:rPr>
        <w:t>建议，启动应急预案，组织有关部门开展疫情</w:t>
      </w:r>
      <w:r>
        <w:rPr>
          <w:spacing w:val="7"/>
        </w:rPr>
        <w:t>应急处置工作。</w:t>
      </w:r>
    </w:p>
    <w:p>
      <w:pPr>
        <w:pStyle w:val="BodyText"/>
        <w:ind w:left="25" w:right="322" w:firstLine="417"/>
        <w:spacing w:before="6" w:line="376" w:lineRule="auto"/>
        <w:jc w:val="both"/>
        <w:rPr/>
      </w:pPr>
      <w:r>
        <w:rPr>
          <w:spacing w:val="4"/>
        </w:rPr>
        <w:t>县（</w:t>
      </w:r>
      <w:r>
        <w:rPr>
          <w:spacing w:val="-49"/>
        </w:rPr>
        <w:t xml:space="preserve"> </w:t>
      </w:r>
      <w:r>
        <w:rPr>
          <w:spacing w:val="4"/>
        </w:rPr>
        <w:t>区）畜牧兽医主管部门对一般突发重</w:t>
      </w:r>
      <w:r>
        <w:rPr>
          <w:spacing w:val="7"/>
        </w:rPr>
        <w:t>大动物疫情及时采取有效防控应急措施，并按</w:t>
      </w:r>
      <w:r>
        <w:rPr>
          <w:spacing w:val="17"/>
        </w:rPr>
        <w:t>照规定向本级政府和市畜牧兽医行政主管部</w:t>
      </w:r>
      <w:r>
        <w:rPr>
          <w:spacing w:val="5"/>
        </w:rPr>
        <w:t>门报告。</w:t>
      </w:r>
    </w:p>
    <w:p>
      <w:pPr>
        <w:pStyle w:val="BodyText"/>
        <w:ind w:left="21" w:right="322" w:firstLine="422"/>
        <w:spacing w:before="13" w:line="379" w:lineRule="auto"/>
        <w:rPr/>
      </w:pPr>
      <w:r>
        <w:rPr>
          <w:spacing w:val="19"/>
        </w:rPr>
        <w:t>市畜牧兽医行政主管部门应组织专家对</w:t>
      </w:r>
      <w:r>
        <w:rPr>
          <w:spacing w:val="8"/>
        </w:rPr>
        <w:t>疫情应急处置进行技术指导。</w:t>
      </w:r>
    </w:p>
    <w:p>
      <w:pPr>
        <w:pStyle w:val="BodyText"/>
        <w:ind w:left="20" w:right="293" w:firstLine="420"/>
        <w:spacing w:before="3" w:line="352" w:lineRule="auto"/>
        <w:rPr/>
      </w:pPr>
      <w:r>
        <w:rPr>
          <w:rFonts w:ascii="Times New Roman" w:hAnsi="Times New Roman" w:eastAsia="Times New Roman" w:cs="Times New Roman"/>
          <w:spacing w:val="8"/>
        </w:rPr>
        <w:t>4.6  </w:t>
      </w:r>
      <w:r>
        <w:rPr>
          <w:rFonts w:ascii="KaiTi" w:hAnsi="KaiTi" w:eastAsia="KaiTi" w:cs="KaiTi"/>
          <w:spacing w:val="8"/>
        </w:rPr>
        <w:t>现场处置。</w:t>
      </w:r>
      <w:r>
        <w:rPr>
          <w:spacing w:val="8"/>
        </w:rPr>
        <w:t>由动物疫情发生地政府设</w:t>
      </w:r>
      <w:r>
        <w:rPr>
          <w:spacing w:val="7"/>
        </w:rPr>
        <w:t>立突发重大动物疫情现场指挥部，具体负责指</w:t>
      </w:r>
      <w:r>
        <w:rPr>
          <w:spacing w:val="7"/>
        </w:rPr>
        <w:t>挥现场的应急处置工作。各有关单位按照职责</w:t>
      </w:r>
      <w:r>
        <w:rPr>
          <w:spacing w:val="7"/>
        </w:rPr>
        <w:t>参与处置工作，包括动物疫情处置、染疫或疑</w:t>
      </w:r>
      <w:r>
        <w:rPr>
          <w:spacing w:val="7"/>
        </w:rPr>
        <w:t>似染疫人员的隔离救治等。必要时，市应急指</w:t>
      </w:r>
      <w:r>
        <w:rPr>
          <w:spacing w:val="-2"/>
        </w:rPr>
        <w:t>挥部派出工作组赶赴现场，指导应急处置工作。</w:t>
      </w:r>
    </w:p>
    <w:p>
      <w:pPr>
        <w:pStyle w:val="BodyText"/>
        <w:ind w:left="21" w:right="322" w:firstLine="420"/>
        <w:spacing w:before="167" w:line="359" w:lineRule="auto"/>
        <w:rPr/>
      </w:pPr>
      <w:r>
        <w:rPr>
          <w:rFonts w:ascii="Times New Roman" w:hAnsi="Times New Roman" w:eastAsia="Times New Roman" w:cs="Times New Roman"/>
          <w:spacing w:val="8"/>
        </w:rPr>
        <w:t>4.7  </w:t>
      </w:r>
      <w:r>
        <w:rPr>
          <w:rFonts w:ascii="KaiTi" w:hAnsi="KaiTi" w:eastAsia="KaiTi" w:cs="KaiTi"/>
          <w:spacing w:val="8"/>
        </w:rPr>
        <w:t>安全防护。</w:t>
      </w:r>
      <w:r>
        <w:rPr>
          <w:spacing w:val="8"/>
        </w:rPr>
        <w:t>应急处置人员应当配备防</w:t>
      </w:r>
      <w:r>
        <w:rPr>
          <w:spacing w:val="7"/>
        </w:rPr>
        <w:t>护用品用具，采取安全防护措施。针对不同的</w:t>
      </w:r>
      <w:r>
        <w:rPr>
          <w:spacing w:val="7"/>
        </w:rPr>
        <w:t>重大动物疫情，特别是在处置一些危害严重的</w:t>
      </w:r>
      <w:r>
        <w:rPr>
          <w:spacing w:val="7"/>
        </w:rPr>
        <w:t>人畜共患病的突发重大动物疫情时，应急处理</w:t>
      </w:r>
      <w:r>
        <w:rPr>
          <w:spacing w:val="7"/>
        </w:rPr>
        <w:t>人员应采取疫苗接种、配备特制防护服、血清</w:t>
      </w:r>
      <w:r>
        <w:rPr>
          <w:spacing w:val="7"/>
        </w:rPr>
        <w:t>监测等特殊的防护措施，确保应急处置人员的</w:t>
      </w:r>
      <w:r>
        <w:rPr>
          <w:spacing w:val="7"/>
        </w:rPr>
        <w:t>安全。加强应急处理人员进出疫区的管理，严</w:t>
      </w:r>
      <w:r>
        <w:rPr>
          <w:spacing w:val="8"/>
        </w:rPr>
        <w:t>格进出疫区人员的消毒。</w:t>
      </w:r>
    </w:p>
    <w:p>
      <w:pPr>
        <w:pStyle w:val="BodyText"/>
        <w:ind w:left="21" w:right="322" w:firstLine="420"/>
        <w:spacing w:before="166" w:line="326" w:lineRule="auto"/>
        <w:rPr/>
      </w:pPr>
      <w:r>
        <w:rPr>
          <w:rFonts w:ascii="Times New Roman" w:hAnsi="Times New Roman" w:eastAsia="Times New Roman" w:cs="Times New Roman"/>
          <w:spacing w:val="8"/>
        </w:rPr>
        <w:t>4.8  </w:t>
      </w:r>
      <w:r>
        <w:rPr>
          <w:rFonts w:ascii="KaiTi" w:hAnsi="KaiTi" w:eastAsia="KaiTi" w:cs="KaiTi"/>
          <w:spacing w:val="8"/>
        </w:rPr>
        <w:t>信息发布与舆情引导。</w:t>
      </w:r>
      <w:r>
        <w:rPr>
          <w:spacing w:val="8"/>
        </w:rPr>
        <w:t>突发重大动物</w:t>
      </w:r>
      <w:r>
        <w:rPr>
          <w:spacing w:val="7"/>
        </w:rPr>
        <w:t>疫情处置的信息发布工作按照《宁夏回族自治</w:t>
      </w:r>
      <w:r>
        <w:rPr>
          <w:spacing w:val="7"/>
        </w:rPr>
        <w:t>区突发重大动物疫情应急预案》规定的原则进</w:t>
      </w:r>
    </w:p>
    <w:p>
      <w:pPr>
        <w:spacing w:line="14" w:lineRule="auto"/>
        <w:rPr>
          <w:rFonts w:ascii="Arial"/>
          <w:sz w:val="2"/>
        </w:rPr>
      </w:pPr>
      <w:r>
        <w:rPr>
          <w:rFonts w:ascii="Arial" w:hAnsi="Arial" w:eastAsia="Arial" w:cs="Arial"/>
          <w:sz w:val="2"/>
          <w:szCs w:val="2"/>
        </w:rPr>
        <w:br w:type="column"/>
      </w:r>
    </w:p>
    <w:p>
      <w:pPr>
        <w:pStyle w:val="BodyText"/>
        <w:ind w:left="7"/>
        <w:spacing w:before="40" w:line="221" w:lineRule="auto"/>
        <w:rPr/>
      </w:pPr>
      <w:r>
        <w:rPr>
          <w:spacing w:val="8"/>
        </w:rPr>
        <w:t>行，本预案不在另行规定。</w:t>
      </w:r>
    </w:p>
    <w:p>
      <w:pPr>
        <w:ind w:left="427"/>
        <w:spacing w:before="166" w:line="264" w:lineRule="exact"/>
        <w:rPr>
          <w:rFonts w:ascii="KaiTi" w:hAnsi="KaiTi" w:eastAsia="KaiTi" w:cs="KaiTi"/>
          <w:sz w:val="20"/>
          <w:szCs w:val="20"/>
        </w:rPr>
      </w:pPr>
      <w:r>
        <w:rPr>
          <w:rFonts w:ascii="Times New Roman" w:hAnsi="Times New Roman" w:eastAsia="Times New Roman" w:cs="Times New Roman"/>
          <w:sz w:val="20"/>
          <w:szCs w:val="20"/>
          <w:spacing w:val="5"/>
          <w:position w:val="1"/>
        </w:rPr>
        <w:t>4.9  </w:t>
      </w:r>
      <w:r>
        <w:rPr>
          <w:rFonts w:ascii="KaiTi" w:hAnsi="KaiTi" w:eastAsia="KaiTi" w:cs="KaiTi"/>
          <w:sz w:val="20"/>
          <w:szCs w:val="20"/>
          <w:spacing w:val="5"/>
          <w:position w:val="1"/>
        </w:rPr>
        <w:t>社会动员。</w:t>
      </w:r>
    </w:p>
    <w:p>
      <w:pPr>
        <w:pStyle w:val="BodyText"/>
        <w:ind w:left="6" w:right="101" w:firstLine="413"/>
        <w:spacing w:before="143" w:line="348"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）突发重大动物疫情发生地的各级政</w:t>
      </w:r>
      <w:r>
        <w:rPr>
          <w:spacing w:val="18"/>
        </w:rPr>
        <w:t>府或突发重大动物疫情应急指挥机构根据动</w:t>
      </w:r>
      <w:r>
        <w:rPr>
          <w:spacing w:val="7"/>
        </w:rPr>
        <w:t>物疫情的性质、危害程度和范围，广泛调动社</w:t>
      </w:r>
      <w:r>
        <w:rPr>
          <w:spacing w:val="7"/>
        </w:rPr>
        <w:t>会力量参与动物疫情处置，紧急情况下可征用</w:t>
      </w:r>
      <w:r>
        <w:rPr>
          <w:spacing w:val="8"/>
        </w:rPr>
        <w:t>和调运车辆、物资、人员等。</w:t>
      </w:r>
    </w:p>
    <w:p>
      <w:pPr>
        <w:pStyle w:val="BodyText"/>
        <w:ind w:left="6" w:right="81" w:firstLine="413"/>
        <w:spacing w:before="165" w:line="348"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5"/>
        </w:rPr>
        <w:t xml:space="preserve"> </w:t>
      </w:r>
      <w:r>
        <w:rPr>
          <w:spacing w:val="8"/>
        </w:rPr>
        <w:t>）突发重大动物疫情发生后</w:t>
      </w:r>
      <w:r>
        <w:rPr>
          <w:spacing w:val="-59"/>
        </w:rPr>
        <w:t xml:space="preserve"> </w:t>
      </w:r>
      <w:r>
        <w:rPr>
          <w:spacing w:val="8"/>
        </w:rPr>
        <w:t>，动物疫</w:t>
      </w:r>
      <w:r>
        <w:rPr>
          <w:spacing w:val="18"/>
        </w:rPr>
        <w:t>情发生地各级政府或突发重大动物疫情应急</w:t>
      </w:r>
      <w:r>
        <w:rPr>
          <w:spacing w:val="7"/>
        </w:rPr>
        <w:t>指挥机构组织各方力量开展应急处置工作；必</w:t>
      </w:r>
      <w:r>
        <w:rPr>
          <w:spacing w:val="4"/>
        </w:rPr>
        <w:t>要时，本市区域内邻近的县（</w:t>
      </w:r>
      <w:r>
        <w:rPr>
          <w:spacing w:val="-34"/>
        </w:rPr>
        <w:t xml:space="preserve"> </w:t>
      </w:r>
      <w:r>
        <w:rPr>
          <w:spacing w:val="4"/>
        </w:rPr>
        <w:t>区）政府组织和</w:t>
      </w:r>
      <w:r>
        <w:rPr>
          <w:spacing w:val="8"/>
        </w:rPr>
        <w:t>动员社会力量，对动物疫情发生地提供支援。</w:t>
      </w:r>
    </w:p>
    <w:p>
      <w:pPr>
        <w:pStyle w:val="BodyText"/>
        <w:ind w:right="94" w:firstLine="427"/>
        <w:spacing w:before="163" w:line="376" w:lineRule="auto"/>
        <w:jc w:val="both"/>
        <w:rPr/>
      </w:pPr>
      <w:r>
        <w:rPr>
          <w:rFonts w:ascii="Times New Roman" w:hAnsi="Times New Roman" w:eastAsia="Times New Roman" w:cs="Times New Roman"/>
          <w:spacing w:val="3"/>
        </w:rPr>
        <w:t>4.10  </w:t>
      </w:r>
      <w:r>
        <w:rPr>
          <w:rFonts w:ascii="KaiTi" w:hAnsi="KaiTi" w:eastAsia="KaiTi" w:cs="KaiTi"/>
          <w:spacing w:val="3"/>
        </w:rPr>
        <w:t>响应终止。</w:t>
      </w:r>
      <w:r>
        <w:rPr>
          <w:spacing w:val="3"/>
        </w:rPr>
        <w:t>突发重大动物疫情应急响</w:t>
      </w:r>
      <w:r>
        <w:rPr>
          <w:spacing w:val="7"/>
        </w:rPr>
        <w:t>应的终止需符合以下条件：自疫区内最后一头</w:t>
      </w:r>
      <w:r>
        <w:rPr>
          <w:spacing w:val="7"/>
        </w:rPr>
        <w:t>（只）发病动物及其同群动物处理完毕起，经</w:t>
      </w:r>
      <w:r>
        <w:rPr>
          <w:spacing w:val="8"/>
        </w:rPr>
        <w:t>过一个潜伏期以上的监测，未发现新的病例，</w:t>
      </w:r>
      <w:r>
        <w:rPr>
          <w:spacing w:val="11"/>
        </w:rPr>
        <w:t>经彻底消毒评估合格后</w:t>
      </w:r>
      <w:r>
        <w:rPr>
          <w:spacing w:val="-56"/>
        </w:rPr>
        <w:t xml:space="preserve"> </w:t>
      </w:r>
      <w:r>
        <w:rPr>
          <w:spacing w:val="11"/>
        </w:rPr>
        <w:t>，按照</w:t>
      </w:r>
      <w:r>
        <w:rPr>
          <w:rFonts w:ascii="Times New Roman" w:hAnsi="Times New Roman" w:eastAsia="Times New Roman" w:cs="Times New Roman"/>
          <w:spacing w:val="11"/>
        </w:rPr>
        <w:t>“</w:t>
      </w:r>
      <w:r>
        <w:rPr>
          <w:spacing w:val="11"/>
        </w:rPr>
        <w:t>应急响应与解</w:t>
      </w:r>
      <w:r>
        <w:rPr>
          <w:spacing w:val="11"/>
        </w:rPr>
        <w:t>除主体相一致</w:t>
      </w:r>
      <w:r>
        <w:rPr>
          <w:rFonts w:ascii="Times New Roman" w:hAnsi="Times New Roman" w:eastAsia="Times New Roman" w:cs="Times New Roman"/>
          <w:spacing w:val="11"/>
        </w:rPr>
        <w:t>”</w:t>
      </w:r>
      <w:r>
        <w:rPr>
          <w:spacing w:val="11"/>
        </w:rPr>
        <w:t>的原则</w:t>
      </w:r>
      <w:r>
        <w:rPr>
          <w:spacing w:val="-56"/>
        </w:rPr>
        <w:t xml:space="preserve"> </w:t>
      </w:r>
      <w:r>
        <w:rPr>
          <w:spacing w:val="11"/>
        </w:rPr>
        <w:t>，由应急响应启动机关</w:t>
      </w:r>
      <w:r>
        <w:rPr>
          <w:spacing w:val="8"/>
        </w:rPr>
        <w:t>决定终止响应。</w:t>
      </w:r>
    </w:p>
    <w:p>
      <w:pPr>
        <w:ind w:left="430"/>
        <w:spacing w:before="17"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5</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应急保障</w:t>
      </w:r>
    </w:p>
    <w:p>
      <w:pPr>
        <w:pStyle w:val="BodyText"/>
        <w:ind w:left="7" w:right="81" w:firstLine="426"/>
        <w:spacing w:before="105" w:line="363" w:lineRule="auto"/>
        <w:rPr/>
      </w:pPr>
      <w:r>
        <w:rPr>
          <w:rFonts w:ascii="Times New Roman" w:hAnsi="Times New Roman" w:eastAsia="Times New Roman" w:cs="Times New Roman"/>
          <w:spacing w:val="7"/>
        </w:rPr>
        <w:t>5.</w:t>
      </w:r>
      <w:r>
        <w:rPr>
          <w:rFonts w:ascii="Times New Roman" w:hAnsi="Times New Roman" w:eastAsia="Times New Roman" w:cs="Times New Roman"/>
          <w:spacing w:val="-9"/>
        </w:rPr>
        <w:t xml:space="preserve"> </w:t>
      </w:r>
      <w:r>
        <w:rPr>
          <w:rFonts w:ascii="Times New Roman" w:hAnsi="Times New Roman" w:eastAsia="Times New Roman" w:cs="Times New Roman"/>
          <w:spacing w:val="7"/>
        </w:rPr>
        <w:t>1  </w:t>
      </w:r>
      <w:r>
        <w:rPr>
          <w:rFonts w:ascii="KaiTi" w:hAnsi="KaiTi" w:eastAsia="KaiTi" w:cs="KaiTi"/>
          <w:spacing w:val="7"/>
        </w:rPr>
        <w:t>应急队伍保障。</w:t>
      </w:r>
      <w:r>
        <w:rPr>
          <w:spacing w:val="7"/>
        </w:rPr>
        <w:t>加强应急队伍建设；</w:t>
      </w:r>
      <w:r>
        <w:rPr>
          <w:spacing w:val="7"/>
        </w:rPr>
        <w:t>对应急队伍进行定期不定期的培训和考核；动</w:t>
      </w:r>
      <w:r>
        <w:rPr>
          <w:spacing w:val="8"/>
        </w:rPr>
        <w:t>态管理人员，实时调整人员数量和专业结构。</w:t>
      </w:r>
      <w:r>
        <w:rPr>
          <w:spacing w:val="7"/>
        </w:rPr>
        <w:t>市县区各级政府要建立由农业农村、公安、卫</w:t>
      </w:r>
      <w:r>
        <w:rPr>
          <w:spacing w:val="7"/>
        </w:rPr>
        <w:t>健、市场监督管理、交通、武警和军队等有关</w:t>
      </w:r>
      <w:r>
        <w:rPr>
          <w:spacing w:val="18"/>
        </w:rPr>
        <w:t>部门人员及专家组成的突发重大动物疫情应</w:t>
      </w:r>
      <w:r>
        <w:rPr>
          <w:spacing w:val="7"/>
        </w:rPr>
        <w:t>急处置预备队伍，具体实施扑杀、消毒、无害</w:t>
      </w:r>
      <w:r>
        <w:rPr>
          <w:spacing w:val="7"/>
        </w:rPr>
        <w:t>化处理等疫情处置工作。各级突发重大动物疫</w:t>
      </w:r>
      <w:r>
        <w:rPr>
          <w:spacing w:val="18"/>
        </w:rPr>
        <w:t>情应急指挥机构要加强对重大动物疫情处置</w:t>
      </w:r>
      <w:r>
        <w:rPr>
          <w:spacing w:val="8"/>
        </w:rPr>
        <w:t>预备队进行系统培训。</w:t>
      </w:r>
    </w:p>
    <w:p>
      <w:pPr>
        <w:pStyle w:val="BodyText"/>
        <w:ind w:left="9" w:right="101" w:firstLine="425"/>
        <w:spacing w:before="167" w:line="300" w:lineRule="auto"/>
        <w:rPr/>
      </w:pPr>
      <w:r>
        <w:rPr>
          <w:rFonts w:ascii="Times New Roman" w:hAnsi="Times New Roman" w:eastAsia="Times New Roman" w:cs="Times New Roman"/>
          <w:spacing w:val="8"/>
        </w:rPr>
        <w:t>5.2  </w:t>
      </w:r>
      <w:r>
        <w:rPr>
          <w:rFonts w:ascii="KaiTi" w:hAnsi="KaiTi" w:eastAsia="KaiTi" w:cs="KaiTi"/>
          <w:spacing w:val="8"/>
        </w:rPr>
        <w:t>经费物资保障。</w:t>
      </w:r>
      <w:r>
        <w:rPr>
          <w:spacing w:val="8"/>
        </w:rPr>
        <w:t>市县区财政局按照财</w:t>
      </w:r>
      <w:r>
        <w:rPr>
          <w:spacing w:val="7"/>
        </w:rPr>
        <w:t>政分级负担的原则，为突发重大动物疫情防治</w:t>
      </w:r>
    </w:p>
    <w:p>
      <w:pPr>
        <w:spacing w:line="300" w:lineRule="auto"/>
        <w:sectPr>
          <w:type w:val="continuous"/>
          <w:pgSz w:w="11906" w:h="16839"/>
          <w:pgMar w:top="1772" w:right="1489" w:bottom="1572" w:left="1571" w:header="1428" w:footer="1172" w:gutter="0"/>
          <w:cols w:equalWidth="0" w:num="2">
            <w:col w:w="4491" w:space="100"/>
            <w:col w:w="4256" w:space="0"/>
          </w:cols>
        </w:sectPr>
        <w:rPr/>
      </w:pPr>
    </w:p>
    <w:p>
      <w:pPr>
        <w:spacing w:before="69"/>
        <w:rPr/>
      </w:pPr>
      <w:r>
        <w:drawing>
          <wp:anchor distT="0" distB="0" distL="0" distR="0" simplePos="0" relativeHeight="254230528"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2224" name="IM 2224"/>
            <wp:cNvGraphicFramePr/>
            <a:graphic>
              <a:graphicData uri="http://schemas.openxmlformats.org/drawingml/2006/picture">
                <pic:pic>
                  <pic:nvPicPr>
                    <pic:cNvPr id="2224" name="IM 2224"/>
                    <pic:cNvPicPr/>
                  </pic:nvPicPr>
                  <pic:blipFill>
                    <a:blip r:embed="rId1114"/>
                    <a:stretch>
                      <a:fillRect/>
                    </a:stretch>
                  </pic:blipFill>
                  <pic:spPr>
                    <a:xfrm rot="0">
                      <a:off x="0" y="0"/>
                      <a:ext cx="5579745" cy="7620"/>
                    </a:xfrm>
                    <a:prstGeom prst="rect">
                      <a:avLst/>
                    </a:prstGeom>
                  </pic:spPr>
                </pic:pic>
              </a:graphicData>
            </a:graphic>
          </wp:anchor>
        </w:drawing>
      </w:r>
      <w:r/>
    </w:p>
    <w:p>
      <w:pPr>
        <w:sectPr>
          <w:headerReference w:type="default" r:id="rId1112"/>
          <w:footerReference w:type="default" r:id="rId1113"/>
          <w:pgSz w:w="11906" w:h="16839"/>
          <w:pgMar w:top="1766" w:right="1508" w:bottom="1574" w:left="1579" w:header="1428" w:footer="1172" w:gutter="0"/>
          <w:cols w:equalWidth="0" w:num="1">
            <w:col w:w="8819" w:space="0"/>
          </w:cols>
        </w:sectPr>
        <w:rPr/>
      </w:pPr>
    </w:p>
    <w:p>
      <w:pPr>
        <w:pStyle w:val="BodyText"/>
        <w:ind w:left="12" w:right="329" w:firstLine="1"/>
        <w:spacing w:before="59" w:line="378" w:lineRule="auto"/>
        <w:jc w:val="both"/>
        <w:rPr/>
      </w:pPr>
      <w:r>
        <w:rPr>
          <w:spacing w:val="7"/>
        </w:rPr>
        <w:t>工作提供合理而充足的资金保障，建立动物防</w:t>
      </w:r>
      <w:r>
        <w:rPr>
          <w:spacing w:val="7"/>
        </w:rPr>
        <w:t>疫储备金。每年用于紧急防疫物资储备、扑杀</w:t>
      </w:r>
      <w:r>
        <w:rPr>
          <w:spacing w:val="7"/>
        </w:rPr>
        <w:t>病畜补贴和疫情处置、疫情监测所需经费，财</w:t>
      </w:r>
      <w:r>
        <w:rPr>
          <w:spacing w:val="7"/>
        </w:rPr>
        <w:t>政要列入本级财政预算。如发生不可预测的重</w:t>
      </w:r>
      <w:r>
        <w:rPr>
          <w:spacing w:val="7"/>
        </w:rPr>
        <w:t>大疫情，实际资金需求与预算安排有差距，各</w:t>
      </w:r>
      <w:r>
        <w:rPr>
          <w:spacing w:val="7"/>
        </w:rPr>
        <w:t>级财政要予以追加，以保证支出需要。各级财</w:t>
      </w:r>
      <w:r>
        <w:rPr>
          <w:spacing w:val="18"/>
        </w:rPr>
        <w:t>政部门在保证防控经费及时、足额到位的同</w:t>
      </w:r>
      <w:r>
        <w:rPr>
          <w:spacing w:val="7"/>
        </w:rPr>
        <w:t>时，要加强对防控经费使用的管理和监督并建</w:t>
      </w:r>
      <w:r>
        <w:rPr>
          <w:spacing w:val="7"/>
        </w:rPr>
        <w:t>立资金使用管理制度。各级畜牧兽医主管部门</w:t>
      </w:r>
      <w:r>
        <w:rPr>
          <w:spacing w:val="7"/>
        </w:rPr>
        <w:t>应按照计划建立应急防控物资储备库，并负责</w:t>
      </w:r>
      <w:r>
        <w:rPr>
          <w:spacing w:val="8"/>
        </w:rPr>
        <w:t>物资管理、维护、保养和更新。</w:t>
      </w:r>
    </w:p>
    <w:p>
      <w:pPr>
        <w:pStyle w:val="BodyText"/>
        <w:ind w:left="13" w:right="329" w:firstLine="425"/>
        <w:spacing w:before="1" w:line="340" w:lineRule="auto"/>
        <w:rPr/>
      </w:pPr>
      <w:r>
        <w:rPr>
          <w:rFonts w:ascii="Times New Roman" w:hAnsi="Times New Roman" w:eastAsia="Times New Roman" w:cs="Times New Roman"/>
          <w:spacing w:val="5"/>
        </w:rPr>
        <w:t>5.3  </w:t>
      </w:r>
      <w:r>
        <w:rPr>
          <w:rFonts w:ascii="KaiTi" w:hAnsi="KaiTi" w:eastAsia="KaiTi" w:cs="KaiTi"/>
          <w:spacing w:val="5"/>
        </w:rPr>
        <w:t>基础设施保障。</w:t>
      </w:r>
      <w:r>
        <w:rPr>
          <w:spacing w:val="5"/>
        </w:rPr>
        <w:t>各县（</w:t>
      </w:r>
      <w:r>
        <w:rPr>
          <w:spacing w:val="-37"/>
        </w:rPr>
        <w:t xml:space="preserve"> </w:t>
      </w:r>
      <w:r>
        <w:rPr>
          <w:spacing w:val="5"/>
        </w:rPr>
        <w:t>区）应当具备</w:t>
      </w:r>
      <w:r>
        <w:rPr>
          <w:spacing w:val="7"/>
        </w:rPr>
        <w:t>符合生物安全要求的兽医系统实验室、病死动</w:t>
      </w:r>
      <w:r>
        <w:rPr>
          <w:spacing w:val="7"/>
        </w:rPr>
        <w:t>物无害化处理掩埋场、动物及动物产品指定通</w:t>
      </w:r>
      <w:r>
        <w:rPr>
          <w:spacing w:val="8"/>
        </w:rPr>
        <w:t>道等动物防疫体系基础设施。</w:t>
      </w:r>
    </w:p>
    <w:p>
      <w:pPr>
        <w:pStyle w:val="BodyText"/>
        <w:ind w:left="12" w:right="329" w:firstLine="426"/>
        <w:spacing w:before="168" w:line="326" w:lineRule="auto"/>
        <w:rPr/>
      </w:pPr>
      <w:r>
        <w:rPr>
          <w:rFonts w:ascii="Times New Roman" w:hAnsi="Times New Roman" w:eastAsia="Times New Roman" w:cs="Times New Roman"/>
          <w:spacing w:val="8"/>
        </w:rPr>
        <w:t>5.4  </w:t>
      </w:r>
      <w:r>
        <w:rPr>
          <w:rFonts w:ascii="KaiTi" w:hAnsi="KaiTi" w:eastAsia="KaiTi" w:cs="KaiTi"/>
          <w:spacing w:val="8"/>
        </w:rPr>
        <w:t>交通运输保障。</w:t>
      </w:r>
      <w:r>
        <w:rPr>
          <w:spacing w:val="8"/>
        </w:rPr>
        <w:t>交通运输部门要保证</w:t>
      </w:r>
      <w:r>
        <w:rPr>
          <w:spacing w:val="7"/>
        </w:rPr>
        <w:t>应急处置交通工具的优先安排和优先放行，运</w:t>
      </w:r>
      <w:r>
        <w:rPr>
          <w:spacing w:val="9"/>
        </w:rPr>
        <w:t>输部门要优先安排紧急防控物资的运输。</w:t>
      </w:r>
    </w:p>
    <w:p>
      <w:pPr>
        <w:pStyle w:val="BodyText"/>
        <w:ind w:left="12" w:right="329" w:firstLine="426"/>
        <w:spacing w:before="168" w:line="348" w:lineRule="auto"/>
        <w:rPr/>
      </w:pPr>
      <w:r>
        <w:rPr>
          <w:rFonts w:ascii="Times New Roman" w:hAnsi="Times New Roman" w:eastAsia="Times New Roman" w:cs="Times New Roman"/>
          <w:spacing w:val="8"/>
        </w:rPr>
        <w:t>5.5  </w:t>
      </w:r>
      <w:r>
        <w:rPr>
          <w:rFonts w:ascii="KaiTi" w:hAnsi="KaiTi" w:eastAsia="KaiTi" w:cs="KaiTi"/>
          <w:spacing w:val="8"/>
        </w:rPr>
        <w:t>通信与信息保障。</w:t>
      </w:r>
      <w:r>
        <w:rPr>
          <w:spacing w:val="8"/>
        </w:rPr>
        <w:t>建立意见处理信息</w:t>
      </w:r>
      <w:r>
        <w:rPr>
          <w:spacing w:val="7"/>
        </w:rPr>
        <w:t>平台和数据库，完善应急处置信息资源共享平</w:t>
      </w:r>
      <w:r>
        <w:rPr>
          <w:spacing w:val="7"/>
        </w:rPr>
        <w:t>台。各有关通讯主管部门要及时组织有关基础</w:t>
      </w:r>
      <w:r>
        <w:rPr>
          <w:spacing w:val="7"/>
        </w:rPr>
        <w:t>电信运营企业，保障突发重大动物疫情应急处</w:t>
      </w:r>
      <w:r>
        <w:rPr>
          <w:spacing w:val="8"/>
        </w:rPr>
        <w:t>置过程中的通信畅通。</w:t>
      </w:r>
    </w:p>
    <w:p>
      <w:pPr>
        <w:pStyle w:val="BodyText"/>
        <w:ind w:left="12" w:right="329" w:firstLine="426"/>
        <w:spacing w:before="166" w:line="353" w:lineRule="auto"/>
        <w:rPr/>
      </w:pPr>
      <w:r>
        <w:rPr>
          <w:rFonts w:ascii="Times New Roman" w:hAnsi="Times New Roman" w:eastAsia="Times New Roman" w:cs="Times New Roman"/>
          <w:spacing w:val="6"/>
        </w:rPr>
        <w:t>5.6</w:t>
      </w:r>
      <w:r>
        <w:rPr>
          <w:rFonts w:ascii="Times New Roman" w:hAnsi="Times New Roman" w:eastAsia="Times New Roman" w:cs="Times New Roman"/>
          <w:spacing w:val="27"/>
        </w:rPr>
        <w:t xml:space="preserve">  </w:t>
      </w:r>
      <w:r>
        <w:rPr>
          <w:rFonts w:ascii="KaiTi" w:hAnsi="KaiTi" w:eastAsia="KaiTi" w:cs="KaiTi"/>
          <w:spacing w:val="6"/>
        </w:rPr>
        <w:t>医疗卫生保障。</w:t>
      </w:r>
      <w:r>
        <w:rPr>
          <w:spacing w:val="6"/>
        </w:rPr>
        <w:t>卫健部门负责开展重</w:t>
      </w:r>
      <w:r>
        <w:rPr>
          <w:spacing w:val="9"/>
        </w:rPr>
        <w:t>大动物疫病</w:t>
      </w:r>
      <w:r>
        <w:rPr>
          <w:rFonts w:ascii="Times New Roman" w:hAnsi="Times New Roman" w:eastAsia="Times New Roman" w:cs="Times New Roman"/>
          <w:spacing w:val="9"/>
        </w:rPr>
        <w:t>(</w:t>
      </w:r>
      <w:r>
        <w:rPr>
          <w:spacing w:val="9"/>
        </w:rPr>
        <w:t>人畜共患病）</w:t>
      </w:r>
      <w:r>
        <w:rPr>
          <w:spacing w:val="-45"/>
        </w:rPr>
        <w:t xml:space="preserve"> </w:t>
      </w:r>
      <w:r>
        <w:rPr>
          <w:spacing w:val="9"/>
        </w:rPr>
        <w:t>的疫情监测</w:t>
      </w:r>
      <w:r>
        <w:rPr>
          <w:spacing w:val="-57"/>
        </w:rPr>
        <w:t xml:space="preserve"> </w:t>
      </w:r>
      <w:r>
        <w:rPr>
          <w:spacing w:val="9"/>
        </w:rPr>
        <w:t>，做好</w:t>
      </w:r>
      <w:r>
        <w:rPr>
          <w:spacing w:val="7"/>
        </w:rPr>
        <w:t>有关筛查、隔离与治疗工作，储备必要的应急</w:t>
      </w:r>
      <w:r>
        <w:rPr>
          <w:spacing w:val="7"/>
        </w:rPr>
        <w:t>物资和装备。各级畜牧兽医主管部门在做好疫</w:t>
      </w:r>
      <w:r>
        <w:rPr>
          <w:spacing w:val="18"/>
        </w:rPr>
        <w:t>情处置的同时应及时向卫健部门通报疫情信</w:t>
      </w:r>
      <w:r>
        <w:rPr>
          <w:spacing w:val="9"/>
        </w:rPr>
        <w:t>息，积极配合卫健部门做好相关工作。</w:t>
      </w:r>
    </w:p>
    <w:p>
      <w:pPr>
        <w:pStyle w:val="BodyText"/>
        <w:ind w:left="13" w:right="322" w:firstLine="425"/>
        <w:spacing w:before="162" w:line="316" w:lineRule="auto"/>
        <w:rPr/>
      </w:pPr>
      <w:r>
        <w:rPr>
          <w:rFonts w:ascii="Times New Roman" w:hAnsi="Times New Roman" w:eastAsia="Times New Roman" w:cs="Times New Roman"/>
          <w:spacing w:val="8"/>
        </w:rPr>
        <w:t>5.7  </w:t>
      </w:r>
      <w:r>
        <w:rPr>
          <w:rFonts w:ascii="KaiTi" w:hAnsi="KaiTi" w:eastAsia="KaiTi" w:cs="KaiTi"/>
          <w:spacing w:val="8"/>
        </w:rPr>
        <w:t>治安保障。</w:t>
      </w:r>
      <w:r>
        <w:rPr>
          <w:spacing w:val="8"/>
        </w:rPr>
        <w:t>公安部门、武警部队要协</w:t>
      </w:r>
      <w:r>
        <w:rPr>
          <w:spacing w:val="7"/>
        </w:rPr>
        <w:t>助做好强制免疫、强制扑杀和疫区封锁工作，</w:t>
      </w:r>
      <w:r>
        <w:rPr>
          <w:spacing w:val="9"/>
        </w:rPr>
        <w:t>做好疫区安全保卫和社会治安管理。</w:t>
      </w:r>
    </w:p>
    <w:p>
      <w:pPr>
        <w:spacing w:line="14" w:lineRule="auto"/>
        <w:rPr>
          <w:rFonts w:ascii="Arial"/>
          <w:sz w:val="2"/>
        </w:rPr>
      </w:pPr>
      <w:r>
        <w:rPr>
          <w:rFonts w:ascii="Arial" w:hAnsi="Arial" w:eastAsia="Arial" w:cs="Arial"/>
          <w:sz w:val="2"/>
          <w:szCs w:val="2"/>
        </w:rPr>
        <w:br w:type="column"/>
      </w:r>
    </w:p>
    <w:p>
      <w:pPr>
        <w:ind w:left="425"/>
        <w:spacing w:before="47"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6</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恢复重建</w:t>
      </w:r>
    </w:p>
    <w:p>
      <w:pPr>
        <w:pStyle w:val="BodyText"/>
        <w:ind w:right="52" w:firstLine="425"/>
        <w:spacing w:before="107" w:line="378" w:lineRule="auto"/>
        <w:jc w:val="both"/>
        <w:rPr/>
      </w:pPr>
      <w:r>
        <w:rPr>
          <w:rFonts w:ascii="Times New Roman" w:hAnsi="Times New Roman" w:eastAsia="Times New Roman" w:cs="Times New Roman"/>
          <w:spacing w:val="6"/>
        </w:rPr>
        <w:t>6.</w:t>
      </w:r>
      <w:r>
        <w:rPr>
          <w:rFonts w:ascii="Times New Roman" w:hAnsi="Times New Roman" w:eastAsia="Times New Roman" w:cs="Times New Roman"/>
          <w:spacing w:val="-7"/>
        </w:rPr>
        <w:t xml:space="preserve"> </w:t>
      </w:r>
      <w:r>
        <w:rPr>
          <w:rFonts w:ascii="Times New Roman" w:hAnsi="Times New Roman" w:eastAsia="Times New Roman" w:cs="Times New Roman"/>
          <w:spacing w:val="6"/>
        </w:rPr>
        <w:t>1  </w:t>
      </w:r>
      <w:r>
        <w:rPr>
          <w:rFonts w:ascii="KaiTi" w:hAnsi="KaiTi" w:eastAsia="KaiTi" w:cs="KaiTi"/>
          <w:spacing w:val="6"/>
        </w:rPr>
        <w:t>善后处置。</w:t>
      </w:r>
      <w:r>
        <w:rPr>
          <w:spacing w:val="6"/>
        </w:rPr>
        <w:t>按照各种重大动物疫情灾</w:t>
      </w:r>
      <w:r>
        <w:rPr>
          <w:spacing w:val="7"/>
        </w:rPr>
        <w:t>害补偿的规定，确定数额等级标准，按程序进</w:t>
      </w:r>
      <w:r>
        <w:rPr>
          <w:spacing w:val="7"/>
        </w:rPr>
        <w:t>行补偿。补偿的对象是为扑灭或防止重大动物</w:t>
      </w:r>
      <w:r>
        <w:rPr>
          <w:spacing w:val="15"/>
        </w:rPr>
        <w:t>疫情传播</w:t>
      </w:r>
      <w:r>
        <w:rPr>
          <w:spacing w:val="-40"/>
        </w:rPr>
        <w:t xml:space="preserve"> </w:t>
      </w:r>
      <w:r>
        <w:rPr>
          <w:spacing w:val="15"/>
        </w:rPr>
        <w:t>，其牲畜或财产受损失的单位和个</w:t>
      </w:r>
      <w:r>
        <w:rPr>
          <w:spacing w:val="-2"/>
        </w:rPr>
        <w:t>人。补偿标准按照国家和自治区有关规定执行。</w:t>
      </w:r>
    </w:p>
    <w:p>
      <w:pPr>
        <w:pStyle w:val="BodyText"/>
        <w:ind w:left="1" w:right="59" w:firstLine="421"/>
        <w:spacing w:before="5" w:line="378" w:lineRule="auto"/>
        <w:jc w:val="both"/>
        <w:rPr/>
      </w:pPr>
      <w:r>
        <w:rPr>
          <w:spacing w:val="19"/>
        </w:rPr>
        <w:t>市县区政府组织有关部门对参加应急处</w:t>
      </w:r>
      <w:r>
        <w:rPr>
          <w:spacing w:val="7"/>
        </w:rPr>
        <w:t>置的工作人员，按照国家有关规定，给予相应</w:t>
      </w:r>
      <w:r>
        <w:rPr>
          <w:spacing w:val="8"/>
        </w:rPr>
        <w:t>的补助；对因参与应急处置工作致病、致残、</w:t>
      </w:r>
      <w:r>
        <w:rPr>
          <w:spacing w:val="7"/>
        </w:rPr>
        <w:t>死亡的人员，按照国家有关规定，给予相应的</w:t>
      </w:r>
      <w:r>
        <w:rPr>
          <w:spacing w:val="7"/>
        </w:rPr>
        <w:t>补助和抚恤。</w:t>
      </w:r>
    </w:p>
    <w:p>
      <w:pPr>
        <w:pStyle w:val="BodyText"/>
        <w:ind w:firstLine="427"/>
        <w:spacing w:line="379" w:lineRule="auto"/>
        <w:jc w:val="both"/>
        <w:rPr/>
      </w:pPr>
      <w:r>
        <w:rPr>
          <w:spacing w:val="6"/>
        </w:rPr>
        <w:t>突发重大动物疫情扑灭后，取消交易限治</w:t>
      </w:r>
      <w:r>
        <w:rPr>
          <w:spacing w:val="7"/>
        </w:rPr>
        <w:t>及流通控制等限治性措施。根据各种重大动物</w:t>
      </w:r>
      <w:r>
        <w:rPr>
          <w:spacing w:val="7"/>
        </w:rPr>
        <w:t>疫病的特点，对疫点和疫区进行持续监测，符</w:t>
      </w:r>
      <w:r>
        <w:rPr>
          <w:spacing w:val="-8"/>
        </w:rPr>
        <w:t>合要求的，方可重新引进动物，恢复畜牧业生产。</w:t>
      </w:r>
    </w:p>
    <w:p>
      <w:pPr>
        <w:pStyle w:val="BodyText"/>
        <w:ind w:left="2" w:right="82" w:firstLine="425"/>
        <w:spacing w:before="3" w:line="374" w:lineRule="auto"/>
        <w:jc w:val="both"/>
        <w:rPr/>
      </w:pPr>
      <w:r>
        <w:rPr>
          <w:spacing w:val="6"/>
        </w:rPr>
        <w:t>突发重大动物疫情后，县区政府及有关部</w:t>
      </w:r>
      <w:r>
        <w:rPr>
          <w:spacing w:val="7"/>
        </w:rPr>
        <w:t>门要按照规定，认真做好疫区动物养殖户等的</w:t>
      </w:r>
      <w:r>
        <w:rPr>
          <w:spacing w:val="7"/>
        </w:rPr>
        <w:t>安置、安抚工作；民政部门应按《中华人民共</w:t>
      </w:r>
      <w:r>
        <w:rPr>
          <w:spacing w:val="7"/>
        </w:rPr>
        <w:t>和国公益事业捐赠法》和《救灾救济捐赠管理</w:t>
      </w:r>
      <w:r>
        <w:rPr>
          <w:spacing w:val="7"/>
        </w:rPr>
        <w:t>暂行办法》及国家有关政策规定，做好社会各</w:t>
      </w:r>
      <w:r>
        <w:rPr>
          <w:spacing w:val="7"/>
        </w:rPr>
        <w:t>界向疫区提供的救援物资及资金的接收、分配</w:t>
      </w:r>
      <w:r>
        <w:rPr>
          <w:spacing w:val="7"/>
        </w:rPr>
        <w:t>和使用工作。</w:t>
      </w:r>
    </w:p>
    <w:p>
      <w:pPr>
        <w:pStyle w:val="BodyText"/>
        <w:ind w:left="1" w:right="82" w:firstLine="424"/>
        <w:spacing w:before="25" w:line="377" w:lineRule="auto"/>
        <w:jc w:val="both"/>
        <w:rPr/>
      </w:pPr>
      <w:r>
        <w:rPr>
          <w:rFonts w:ascii="Times New Roman" w:hAnsi="Times New Roman" w:eastAsia="Times New Roman" w:cs="Times New Roman"/>
          <w:spacing w:val="8"/>
        </w:rPr>
        <w:t>6.2  </w:t>
      </w:r>
      <w:r>
        <w:rPr>
          <w:rFonts w:ascii="KaiTi" w:hAnsi="KaiTi" w:eastAsia="KaiTi" w:cs="KaiTi"/>
          <w:spacing w:val="8"/>
        </w:rPr>
        <w:t>总结评估。</w:t>
      </w:r>
      <w:r>
        <w:rPr>
          <w:spacing w:val="8"/>
        </w:rPr>
        <w:t>特别重大、重大动物疫情</w:t>
      </w:r>
      <w:r>
        <w:rPr>
          <w:spacing w:val="7"/>
        </w:rPr>
        <w:t>扑灭后，由自治区应急指挥部派出调查评估组</w:t>
      </w:r>
      <w:r>
        <w:rPr>
          <w:spacing w:val="7"/>
        </w:rPr>
        <w:t>进行调查评估；较大及一般动物疫情，由市应</w:t>
      </w:r>
      <w:r>
        <w:rPr>
          <w:spacing w:val="8"/>
        </w:rPr>
        <w:t>急指挥部组织调查评估。</w:t>
      </w:r>
    </w:p>
    <w:p>
      <w:pPr>
        <w:pStyle w:val="BodyText"/>
        <w:ind w:right="82" w:firstLine="426"/>
        <w:spacing w:before="9" w:line="371" w:lineRule="auto"/>
        <w:jc w:val="both"/>
        <w:rPr/>
      </w:pPr>
      <w:r>
        <w:rPr>
          <w:spacing w:val="6"/>
        </w:rPr>
        <w:t>突发动物疫情善后处置工作结束后，动物</w:t>
      </w:r>
      <w:r>
        <w:rPr>
          <w:spacing w:val="7"/>
        </w:rPr>
        <w:t>疫情发生地政府要总结经验教训，提出改进工</w:t>
      </w:r>
      <w:r>
        <w:rPr>
          <w:spacing w:val="15"/>
        </w:rPr>
        <w:t>作意见</w:t>
      </w:r>
      <w:r>
        <w:rPr>
          <w:spacing w:val="-40"/>
        </w:rPr>
        <w:t xml:space="preserve"> </w:t>
      </w:r>
      <w:r>
        <w:rPr>
          <w:spacing w:val="15"/>
        </w:rPr>
        <w:t>，形成处置突发动物疫情专项工作报</w:t>
      </w:r>
      <w:r>
        <w:rPr>
          <w:spacing w:val="9"/>
        </w:rPr>
        <w:t>告，报自治区、市应急指挥部办公室。</w:t>
      </w:r>
    </w:p>
    <w:p>
      <w:pPr>
        <w:ind w:left="424"/>
        <w:spacing w:before="1"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7</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3"/>
        </w:rPr>
        <w:t>日常管理</w:t>
      </w:r>
    </w:p>
    <w:p>
      <w:pPr>
        <w:pStyle w:val="BodyText"/>
        <w:ind w:left="425"/>
        <w:spacing w:before="76" w:line="238" w:lineRule="auto"/>
        <w:rPr/>
      </w:pPr>
      <w:r>
        <w:rPr>
          <w:rFonts w:ascii="Times New Roman" w:hAnsi="Times New Roman" w:eastAsia="Times New Roman" w:cs="Times New Roman"/>
          <w:spacing w:val="6"/>
        </w:rPr>
        <w:t>7.</w:t>
      </w:r>
      <w:r>
        <w:rPr>
          <w:rFonts w:ascii="Times New Roman" w:hAnsi="Times New Roman" w:eastAsia="Times New Roman" w:cs="Times New Roman"/>
          <w:spacing w:val="-25"/>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5"/>
          <w:w w:val="101"/>
        </w:rPr>
        <w:t xml:space="preserve">  </w:t>
      </w:r>
      <w:r>
        <w:rPr>
          <w:rFonts w:ascii="KaiTi" w:hAnsi="KaiTi" w:eastAsia="KaiTi" w:cs="KaiTi"/>
          <w:spacing w:val="6"/>
        </w:rPr>
        <w:t>宣教培训。</w:t>
      </w:r>
      <w:r>
        <w:rPr>
          <w:spacing w:val="6"/>
        </w:rPr>
        <w:t>县区政府按照国家有关规</w:t>
      </w:r>
    </w:p>
    <w:p>
      <w:pPr>
        <w:spacing w:line="238" w:lineRule="auto"/>
        <w:sectPr>
          <w:type w:val="continuous"/>
          <w:pgSz w:w="11906" w:h="16839"/>
          <w:pgMar w:top="1766" w:right="1508" w:bottom="1574" w:left="1579" w:header="1428" w:footer="1172" w:gutter="0"/>
          <w:cols w:equalWidth="0" w:num="2">
            <w:col w:w="4489" w:space="100"/>
            <w:col w:w="4230" w:space="0"/>
          </w:cols>
        </w:sectPr>
        <w:rPr/>
      </w:pPr>
    </w:p>
    <w:p>
      <w:pPr>
        <w:spacing w:before="58"/>
        <w:rPr/>
      </w:pPr>
      <w:r>
        <w:drawing>
          <wp:anchor distT="0" distB="0" distL="0" distR="0" simplePos="0" relativeHeight="254244864"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228" name="IM 2228"/>
            <wp:cNvGraphicFramePr/>
            <a:graphic>
              <a:graphicData uri="http://schemas.openxmlformats.org/drawingml/2006/picture">
                <pic:pic>
                  <pic:nvPicPr>
                    <pic:cNvPr id="2228" name="IM 2228"/>
                    <pic:cNvPicPr/>
                  </pic:nvPicPr>
                  <pic:blipFill>
                    <a:blip r:embed="rId1116"/>
                    <a:stretch>
                      <a:fillRect/>
                    </a:stretch>
                  </pic:blipFill>
                  <pic:spPr>
                    <a:xfrm rot="0">
                      <a:off x="0" y="0"/>
                      <a:ext cx="5579745" cy="7620"/>
                    </a:xfrm>
                    <a:prstGeom prst="rect">
                      <a:avLst/>
                    </a:prstGeom>
                  </pic:spPr>
                </pic:pic>
              </a:graphicData>
            </a:graphic>
          </wp:anchor>
        </w:drawing>
      </w:r>
      <w:r/>
    </w:p>
    <w:p>
      <w:pPr>
        <w:sectPr>
          <w:headerReference w:type="default" r:id="rId1048"/>
          <w:footerReference w:type="default" r:id="rId1115"/>
          <w:pgSz w:w="11906" w:h="16839"/>
          <w:pgMar w:top="1772" w:right="1489" w:bottom="1572" w:left="1571" w:header="1428" w:footer="1172" w:gutter="0"/>
          <w:cols w:equalWidth="0" w:num="1">
            <w:col w:w="8846" w:space="0"/>
          </w:cols>
        </w:sectPr>
        <w:rPr/>
      </w:pPr>
    </w:p>
    <w:p>
      <w:pPr>
        <w:pStyle w:val="BodyText"/>
        <w:ind w:left="19" w:right="322" w:firstLine="1"/>
        <w:spacing w:before="42" w:line="350" w:lineRule="auto"/>
        <w:jc w:val="both"/>
        <w:rPr/>
      </w:pPr>
      <w:r>
        <w:rPr>
          <w:spacing w:val="7"/>
        </w:rPr>
        <w:t>定，组织有关部门利用广播、电视、报刊、互</w:t>
      </w:r>
      <w:r>
        <w:rPr>
          <w:spacing w:val="7"/>
        </w:rPr>
        <w:t>联网、手册等多种形式对社会公众广泛开展突</w:t>
      </w:r>
      <w:r>
        <w:rPr>
          <w:spacing w:val="7"/>
        </w:rPr>
        <w:t>发重大动物疫情应急知识的普及教育，宣传动</w:t>
      </w:r>
      <w:r>
        <w:rPr>
          <w:spacing w:val="7"/>
        </w:rPr>
        <w:t>物防疫科普知识，指导群众以科学的行为和方</w:t>
      </w:r>
      <w:r>
        <w:rPr>
          <w:spacing w:val="7"/>
        </w:rPr>
        <w:t>式对待突发重大动物疫情。要充分发挥有关社</w:t>
      </w:r>
      <w:r>
        <w:rPr>
          <w:spacing w:val="7"/>
        </w:rPr>
        <w:t>会团体在普及动物防疫应急知识、科普知识方</w:t>
      </w:r>
      <w:r>
        <w:rPr>
          <w:spacing w:val="7"/>
        </w:rPr>
        <w:t>面的作用。</w:t>
      </w:r>
    </w:p>
    <w:p>
      <w:pPr>
        <w:pStyle w:val="BodyText"/>
        <w:ind w:left="21" w:right="322" w:firstLine="423"/>
        <w:spacing w:before="2" w:line="350" w:lineRule="auto"/>
        <w:jc w:val="both"/>
        <w:rPr/>
      </w:pPr>
      <w:r>
        <w:rPr>
          <w:rFonts w:ascii="Times New Roman" w:hAnsi="Times New Roman" w:eastAsia="Times New Roman" w:cs="Times New Roman"/>
          <w:spacing w:val="8"/>
        </w:rPr>
        <w:t>7.2  </w:t>
      </w:r>
      <w:r>
        <w:rPr>
          <w:rFonts w:ascii="KaiTi" w:hAnsi="KaiTi" w:eastAsia="KaiTi" w:cs="KaiTi"/>
          <w:spacing w:val="8"/>
        </w:rPr>
        <w:t>应急演练。</w:t>
      </w:r>
      <w:r>
        <w:rPr>
          <w:spacing w:val="8"/>
        </w:rPr>
        <w:t>市县区政府兽医行政管理</w:t>
      </w:r>
      <w:r>
        <w:rPr>
          <w:spacing w:val="18"/>
        </w:rPr>
        <w:t>部门要对重大动物疫情处置预备队成员进行</w:t>
      </w:r>
      <w:r>
        <w:rPr>
          <w:spacing w:val="8"/>
        </w:rPr>
        <w:t>系统培训。内容包括：</w:t>
      </w:r>
    </w:p>
    <w:p>
      <w:pPr>
        <w:pStyle w:val="BodyText"/>
        <w:ind w:left="21" w:right="258" w:firstLine="412"/>
        <w:spacing w:line="320" w:lineRule="auto"/>
        <w:rPr/>
      </w:pPr>
      <w:r>
        <w:rPr/>
        <w:t>（</w:t>
      </w:r>
      <w:r>
        <w:rPr>
          <w:spacing w:val="-32"/>
        </w:rPr>
        <w:t xml:space="preserve"> </w:t>
      </w:r>
      <w:r>
        <w:rPr>
          <w:rFonts w:ascii="Times New Roman" w:hAnsi="Times New Roman" w:eastAsia="Times New Roman" w:cs="Times New Roman"/>
        </w:rPr>
        <w:t>1</w:t>
      </w:r>
      <w:r>
        <w:rPr>
          <w:rFonts w:ascii="Times New Roman" w:hAnsi="Times New Roman" w:eastAsia="Times New Roman" w:cs="Times New Roman"/>
          <w:spacing w:val="-21"/>
        </w:rPr>
        <w:t xml:space="preserve"> </w:t>
      </w:r>
      <w:r>
        <w:rPr/>
        <w:t>）动物疫情的预防、控制和扑灭知识，</w:t>
      </w:r>
      <w:r>
        <w:rPr>
          <w:spacing w:val="7"/>
        </w:rPr>
        <w:t>包括免疫、流行病学调查、诊断、病料采集与</w:t>
      </w:r>
      <w:r>
        <w:rPr>
          <w:spacing w:val="7"/>
        </w:rPr>
        <w:t>送检、消毒、隔离、封锁、检疫、扑杀及无害</w:t>
      </w:r>
      <w:r>
        <w:rPr>
          <w:spacing w:val="7"/>
        </w:rPr>
        <w:t>化处理等措施；</w:t>
      </w:r>
    </w:p>
    <w:p>
      <w:pPr>
        <w:pStyle w:val="BodyText"/>
        <w:ind w:left="433"/>
        <w:spacing w:before="132" w:line="278" w:lineRule="exact"/>
        <w:rPr/>
      </w:pPr>
      <w:r>
        <w:rPr>
          <w:spacing w:val="6"/>
          <w:position w:val="1"/>
        </w:rPr>
        <w:t>（</w:t>
      </w:r>
      <w:r>
        <w:rPr>
          <w:rFonts w:ascii="Times New Roman" w:hAnsi="Times New Roman" w:eastAsia="Times New Roman" w:cs="Times New Roman"/>
          <w:spacing w:val="6"/>
          <w:position w:val="1"/>
        </w:rPr>
        <w:t>2</w:t>
      </w:r>
      <w:r>
        <w:rPr>
          <w:rFonts w:ascii="Times New Roman" w:hAnsi="Times New Roman" w:eastAsia="Times New Roman" w:cs="Times New Roman"/>
          <w:spacing w:val="-13"/>
          <w:position w:val="1"/>
        </w:rPr>
        <w:t xml:space="preserve"> </w:t>
      </w:r>
      <w:r>
        <w:rPr>
          <w:spacing w:val="6"/>
          <w:position w:val="1"/>
        </w:rPr>
        <w:t>）动物防疫法律、法规；</w:t>
      </w:r>
    </w:p>
    <w:p>
      <w:pPr>
        <w:pStyle w:val="BodyText"/>
        <w:ind w:left="433"/>
        <w:spacing w:before="101" w:line="278" w:lineRule="exact"/>
        <w:rPr/>
      </w:pPr>
      <w:r>
        <w:rPr>
          <w:spacing w:val="5"/>
          <w:position w:val="1"/>
        </w:rPr>
        <w:t>（</w:t>
      </w:r>
      <w:r>
        <w:rPr>
          <w:rFonts w:ascii="Times New Roman" w:hAnsi="Times New Roman" w:eastAsia="Times New Roman" w:cs="Times New Roman"/>
          <w:spacing w:val="5"/>
          <w:position w:val="1"/>
        </w:rPr>
        <w:t>3</w:t>
      </w:r>
      <w:r>
        <w:rPr>
          <w:rFonts w:ascii="Times New Roman" w:hAnsi="Times New Roman" w:eastAsia="Times New Roman" w:cs="Times New Roman"/>
          <w:spacing w:val="-14"/>
          <w:position w:val="1"/>
        </w:rPr>
        <w:t xml:space="preserve"> </w:t>
      </w:r>
      <w:r>
        <w:rPr>
          <w:spacing w:val="5"/>
          <w:position w:val="1"/>
        </w:rPr>
        <w:t>）个人防护知识；</w:t>
      </w:r>
    </w:p>
    <w:p>
      <w:pPr>
        <w:pStyle w:val="BodyText"/>
        <w:ind w:left="433"/>
        <w:spacing w:before="104" w:line="278" w:lineRule="exact"/>
        <w:rPr/>
      </w:pPr>
      <w:r>
        <w:rPr>
          <w:spacing w:val="6"/>
          <w:position w:val="1"/>
        </w:rPr>
        <w:t>（</w:t>
      </w:r>
      <w:r>
        <w:rPr>
          <w:rFonts w:ascii="Times New Roman" w:hAnsi="Times New Roman" w:eastAsia="Times New Roman" w:cs="Times New Roman"/>
          <w:spacing w:val="6"/>
          <w:position w:val="1"/>
        </w:rPr>
        <w:t>4</w:t>
      </w:r>
      <w:r>
        <w:rPr>
          <w:rFonts w:ascii="Times New Roman" w:hAnsi="Times New Roman" w:eastAsia="Times New Roman" w:cs="Times New Roman"/>
          <w:spacing w:val="-21"/>
          <w:position w:val="1"/>
        </w:rPr>
        <w:t xml:space="preserve"> </w:t>
      </w:r>
      <w:r>
        <w:rPr>
          <w:spacing w:val="6"/>
          <w:position w:val="1"/>
        </w:rPr>
        <w:t>）治安与环境保护；</w:t>
      </w:r>
    </w:p>
    <w:p>
      <w:pPr>
        <w:pStyle w:val="BodyText"/>
        <w:ind w:left="433"/>
        <w:spacing w:before="101" w:line="279" w:lineRule="exact"/>
        <w:rPr/>
      </w:pPr>
      <w:r>
        <w:rPr>
          <w:spacing w:val="6"/>
          <w:position w:val="1"/>
        </w:rPr>
        <w:t>（</w:t>
      </w:r>
      <w:r>
        <w:rPr>
          <w:rFonts w:ascii="Times New Roman" w:hAnsi="Times New Roman" w:eastAsia="Times New Roman" w:cs="Times New Roman"/>
          <w:spacing w:val="6"/>
          <w:position w:val="1"/>
        </w:rPr>
        <w:t>5</w:t>
      </w:r>
      <w:r>
        <w:rPr>
          <w:rFonts w:ascii="Times New Roman" w:hAnsi="Times New Roman" w:eastAsia="Times New Roman" w:cs="Times New Roman"/>
          <w:spacing w:val="-13"/>
          <w:position w:val="1"/>
        </w:rPr>
        <w:t xml:space="preserve"> </w:t>
      </w:r>
      <w:r>
        <w:rPr>
          <w:spacing w:val="6"/>
          <w:position w:val="1"/>
        </w:rPr>
        <w:t>）工作协调、配合要求。</w:t>
      </w:r>
    </w:p>
    <w:p>
      <w:pPr>
        <w:pStyle w:val="BodyText"/>
        <w:ind w:left="24" w:right="322" w:firstLine="419"/>
        <w:spacing w:before="103" w:line="350" w:lineRule="auto"/>
        <w:jc w:val="both"/>
        <w:rPr/>
      </w:pPr>
      <w:r>
        <w:rPr>
          <w:spacing w:val="6"/>
        </w:rPr>
        <w:t>在没有发生突发重大动物疫情状态下，每</w:t>
      </w:r>
      <w:r>
        <w:rPr>
          <w:spacing w:val="7"/>
        </w:rPr>
        <w:t>年要有计划地举行演练，确保预备队扑灭疫情</w:t>
      </w:r>
      <w:r>
        <w:rPr>
          <w:spacing w:val="7"/>
        </w:rPr>
        <w:t>的应急能力。</w:t>
      </w:r>
    </w:p>
    <w:p>
      <w:pPr>
        <w:ind w:left="445"/>
        <w:rPr>
          <w:rFonts w:ascii="KaiTi" w:hAnsi="KaiTi" w:eastAsia="KaiTi" w:cs="KaiTi"/>
          <w:sz w:val="20"/>
          <w:szCs w:val="20"/>
        </w:rPr>
      </w:pPr>
      <w:r>
        <w:rPr>
          <w:rFonts w:ascii="Times New Roman" w:hAnsi="Times New Roman" w:eastAsia="Times New Roman" w:cs="Times New Roman"/>
          <w:sz w:val="20"/>
          <w:szCs w:val="20"/>
          <w:spacing w:val="6"/>
        </w:rPr>
        <w:t>7.3  </w:t>
      </w:r>
      <w:r>
        <w:rPr>
          <w:rFonts w:ascii="KaiTi" w:hAnsi="KaiTi" w:eastAsia="KaiTi" w:cs="KaiTi"/>
          <w:sz w:val="20"/>
          <w:szCs w:val="20"/>
          <w:spacing w:val="6"/>
        </w:rPr>
        <w:t>预案管理与更新。</w:t>
      </w:r>
    </w:p>
    <w:p>
      <w:pPr>
        <w:pStyle w:val="BodyText"/>
        <w:ind w:left="21" w:right="302" w:firstLine="412"/>
        <w:spacing w:before="121" w:line="288" w:lineRule="auto"/>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）本预案由市农业农村局制定</w:t>
      </w:r>
      <w:r>
        <w:rPr>
          <w:spacing w:val="-59"/>
        </w:rPr>
        <w:t xml:space="preserve"> </w:t>
      </w:r>
      <w:r>
        <w:rPr>
          <w:spacing w:val="5"/>
        </w:rPr>
        <w:t>，经市</w:t>
      </w:r>
      <w:r>
        <w:rPr>
          <w:spacing w:val="8"/>
        </w:rPr>
        <w:t>人民政府审批后，由市人民政府办公室印发。</w:t>
      </w:r>
    </w:p>
    <w:p>
      <w:pPr>
        <w:pStyle w:val="BodyText"/>
        <w:ind w:left="21" w:right="258" w:firstLine="412"/>
        <w:spacing w:before="134" w:line="326"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16"/>
        </w:rPr>
        <w:t xml:space="preserve"> </w:t>
      </w:r>
      <w:r>
        <w:rPr>
          <w:spacing w:val="8"/>
        </w:rPr>
        <w:t>）各县（</w:t>
      </w:r>
      <w:r>
        <w:rPr>
          <w:spacing w:val="-48"/>
        </w:rPr>
        <w:t xml:space="preserve"> </w:t>
      </w:r>
      <w:r>
        <w:rPr>
          <w:spacing w:val="8"/>
        </w:rPr>
        <w:t>区）政府及其有关单位、群</w:t>
      </w:r>
      <w:r>
        <w:rPr>
          <w:spacing w:val="7"/>
        </w:rPr>
        <w:t>众自治组织、企事业单位等要按照本预案的规</w:t>
      </w:r>
      <w:r>
        <w:rPr/>
        <w:t>定履行职责，并制定、完善相应的应急预案后，</w:t>
      </w:r>
      <w:r>
        <w:rPr>
          <w:spacing w:val="18"/>
        </w:rPr>
        <w:t>报市突发重大动物疫情应急指挥部办公室和</w:t>
      </w:r>
      <w:r>
        <w:rPr>
          <w:spacing w:val="8"/>
        </w:rPr>
        <w:t>市政府办值班室备案。</w:t>
      </w:r>
    </w:p>
    <w:p>
      <w:pPr>
        <w:pStyle w:val="BodyText"/>
        <w:ind w:left="23" w:right="322" w:firstLine="409"/>
        <w:spacing w:before="136" w:line="309"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）市农业农村局要根据农业部重大动</w:t>
      </w:r>
      <w:r>
        <w:rPr>
          <w:spacing w:val="7"/>
        </w:rPr>
        <w:t>物疫病病种调整、预案演练时发现的问题、机</w:t>
      </w:r>
      <w:r>
        <w:rPr>
          <w:spacing w:val="9"/>
        </w:rPr>
        <w:t>构变化等情况，适时组织修订完善本预案。</w:t>
      </w:r>
    </w:p>
    <w:p>
      <w:pPr>
        <w:ind w:left="445"/>
        <w:spacing w:before="135" w:line="220" w:lineRule="auto"/>
        <w:rPr>
          <w:rFonts w:ascii="KaiTi" w:hAnsi="KaiTi" w:eastAsia="KaiTi" w:cs="KaiTi"/>
          <w:sz w:val="20"/>
          <w:szCs w:val="20"/>
        </w:rPr>
      </w:pPr>
      <w:r>
        <w:rPr>
          <w:rFonts w:ascii="Times New Roman" w:hAnsi="Times New Roman" w:eastAsia="Times New Roman" w:cs="Times New Roman"/>
          <w:sz w:val="20"/>
          <w:szCs w:val="20"/>
          <w:spacing w:val="4"/>
        </w:rPr>
        <w:t>7.4</w:t>
      </w:r>
      <w:r>
        <w:rPr>
          <w:rFonts w:ascii="Times New Roman" w:hAnsi="Times New Roman" w:eastAsia="Times New Roman" w:cs="Times New Roman"/>
          <w:sz w:val="20"/>
          <w:szCs w:val="20"/>
          <w:spacing w:val="10"/>
        </w:rPr>
        <w:t xml:space="preserve">  </w:t>
      </w:r>
      <w:r>
        <w:rPr>
          <w:rFonts w:ascii="KaiTi" w:hAnsi="KaiTi" w:eastAsia="KaiTi" w:cs="KaiTi"/>
          <w:sz w:val="20"/>
          <w:szCs w:val="20"/>
          <w:spacing w:val="4"/>
        </w:rPr>
        <w:t>责任与奖励。</w:t>
      </w:r>
    </w:p>
    <w:p>
      <w:pPr>
        <w:spacing w:line="14" w:lineRule="auto"/>
        <w:rPr>
          <w:rFonts w:ascii="Arial"/>
          <w:sz w:val="2"/>
        </w:rPr>
      </w:pPr>
      <w:r>
        <w:rPr>
          <w:rFonts w:ascii="Arial" w:hAnsi="Arial" w:eastAsia="Arial" w:cs="Arial"/>
          <w:sz w:val="2"/>
          <w:szCs w:val="2"/>
        </w:rPr>
        <w:br w:type="column"/>
      </w:r>
    </w:p>
    <w:p>
      <w:pPr>
        <w:pStyle w:val="BodyText"/>
        <w:ind w:left="8" w:right="101" w:firstLine="421"/>
        <w:spacing w:before="37" w:line="351" w:lineRule="auto"/>
        <w:jc w:val="both"/>
        <w:rPr/>
      </w:pPr>
      <w:r>
        <w:rPr>
          <w:spacing w:val="19"/>
        </w:rPr>
        <w:t>市县区政府对在突发重大动物疫情的监</w:t>
      </w:r>
      <w:r>
        <w:rPr>
          <w:spacing w:val="7"/>
        </w:rPr>
        <w:t>测预警、报告、调查、控制和处置过程中，有</w:t>
      </w:r>
      <w:r>
        <w:rPr>
          <w:spacing w:val="7"/>
        </w:rPr>
        <w:t>玩忽职守、失职、渎职等违纪违法行为的，依</w:t>
      </w:r>
      <w:r>
        <w:rPr>
          <w:spacing w:val="9"/>
        </w:rPr>
        <w:t>据有关法律法规追究当事人的责任。</w:t>
      </w:r>
    </w:p>
    <w:p>
      <w:pPr>
        <w:pStyle w:val="BodyText"/>
        <w:ind w:left="12" w:right="101" w:firstLine="417"/>
        <w:spacing w:line="348" w:lineRule="auto"/>
        <w:jc w:val="both"/>
        <w:rPr/>
      </w:pPr>
      <w:r>
        <w:rPr>
          <w:spacing w:val="19"/>
        </w:rPr>
        <w:t>市县区政府对参加突发重大动物疫情应</w:t>
      </w:r>
      <w:r>
        <w:rPr>
          <w:spacing w:val="15"/>
        </w:rPr>
        <w:t>急处置作出贡献的先进集体和个人</w:t>
      </w:r>
      <w:r>
        <w:rPr>
          <w:spacing w:val="-45"/>
        </w:rPr>
        <w:t xml:space="preserve"> </w:t>
      </w:r>
      <w:r>
        <w:rPr>
          <w:spacing w:val="15"/>
        </w:rPr>
        <w:t>，进行表</w:t>
      </w:r>
      <w:r>
        <w:rPr>
          <w:spacing w:val="7"/>
        </w:rPr>
        <w:t>彰；对在突发重大动物疫情应急处置工作中英</w:t>
      </w:r>
      <w:r>
        <w:rPr>
          <w:spacing w:val="8"/>
        </w:rPr>
        <w:t>勇献身的人员，按有关规定追认为烈士。</w:t>
      </w:r>
    </w:p>
    <w:p>
      <w:pPr>
        <w:ind w:left="431"/>
        <w:spacing w:before="1"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8    附则</w:t>
      </w:r>
    </w:p>
    <w:p>
      <w:pPr>
        <w:ind w:left="437"/>
        <w:spacing w:before="76" w:line="269" w:lineRule="exact"/>
        <w:rPr>
          <w:rFonts w:ascii="KaiTi" w:hAnsi="KaiTi" w:eastAsia="KaiTi" w:cs="KaiTi"/>
          <w:sz w:val="20"/>
          <w:szCs w:val="20"/>
        </w:rPr>
      </w:pPr>
      <w:r>
        <w:rPr>
          <w:rFonts w:ascii="Times New Roman" w:hAnsi="Times New Roman" w:eastAsia="Times New Roman" w:cs="Times New Roman"/>
          <w:sz w:val="20"/>
          <w:szCs w:val="20"/>
          <w:position w:val="1"/>
        </w:rPr>
        <w:t>8.</w:t>
      </w:r>
      <w:r>
        <w:rPr>
          <w:rFonts w:ascii="Times New Roman" w:hAnsi="Times New Roman" w:eastAsia="Times New Roman" w:cs="Times New Roman"/>
          <w:sz w:val="20"/>
          <w:szCs w:val="20"/>
          <w:spacing w:val="-25"/>
          <w:position w:val="1"/>
        </w:rPr>
        <w:t xml:space="preserve"> </w:t>
      </w:r>
      <w:r>
        <w:rPr>
          <w:rFonts w:ascii="Times New Roman" w:hAnsi="Times New Roman" w:eastAsia="Times New Roman" w:cs="Times New Roman"/>
          <w:sz w:val="20"/>
          <w:szCs w:val="20"/>
          <w:position w:val="1"/>
        </w:rPr>
        <w:t>1</w:t>
      </w:r>
      <w:r>
        <w:rPr>
          <w:rFonts w:ascii="Times New Roman" w:hAnsi="Times New Roman" w:eastAsia="Times New Roman" w:cs="Times New Roman"/>
          <w:sz w:val="20"/>
          <w:szCs w:val="20"/>
          <w:spacing w:val="8"/>
          <w:position w:val="1"/>
        </w:rPr>
        <w:t xml:space="preserve">  </w:t>
      </w:r>
      <w:r>
        <w:rPr>
          <w:rFonts w:ascii="KaiTi" w:hAnsi="KaiTi" w:eastAsia="KaiTi" w:cs="KaiTi"/>
          <w:sz w:val="20"/>
          <w:szCs w:val="20"/>
          <w:position w:val="1"/>
        </w:rPr>
        <w:t>名词术语。</w:t>
      </w:r>
    </w:p>
    <w:p>
      <w:pPr>
        <w:pStyle w:val="BodyText"/>
        <w:ind w:left="8" w:right="101" w:firstLine="411"/>
        <w:spacing w:before="111" w:line="333"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）重大动物疫情：是指陆生动物突然</w:t>
      </w:r>
      <w:r>
        <w:rPr>
          <w:spacing w:val="7"/>
        </w:rPr>
        <w:t>发生重大疫病，且迅速传播，导致动物发病率</w:t>
      </w:r>
      <w:r>
        <w:rPr>
          <w:spacing w:val="7"/>
        </w:rPr>
        <w:t>或者死亡率高，给养殖业生产安全造成严重危</w:t>
      </w:r>
      <w:r>
        <w:rPr>
          <w:spacing w:val="7"/>
        </w:rPr>
        <w:t>害，或者可能对人类身体健康和生命安全造成</w:t>
      </w:r>
      <w:r>
        <w:rPr>
          <w:spacing w:val="7"/>
        </w:rPr>
        <w:t>危害的，具有重要经济社会影响和公共卫生意</w:t>
      </w:r>
      <w:r>
        <w:rPr>
          <w:spacing w:val="7"/>
        </w:rPr>
        <w:t>义。目前，主要指口蹄疫、高致病性禽流感等</w:t>
      </w:r>
      <w:r>
        <w:rPr>
          <w:spacing w:val="6"/>
        </w:rPr>
        <w:t>动物疫病。</w:t>
      </w:r>
    </w:p>
    <w:p>
      <w:pPr>
        <w:pStyle w:val="BodyText"/>
        <w:ind w:left="10" w:right="20" w:firstLine="409"/>
        <w:spacing w:before="135" w:line="310" w:lineRule="auto"/>
        <w:rPr/>
      </w:pPr>
      <w:r>
        <w:rPr>
          <w:spacing w:val="4"/>
        </w:rPr>
        <w:t>（</w:t>
      </w:r>
      <w:r>
        <w:rPr>
          <w:rFonts w:ascii="Times New Roman" w:hAnsi="Times New Roman" w:eastAsia="Times New Roman" w:cs="Times New Roman"/>
          <w:spacing w:val="4"/>
        </w:rPr>
        <w:t>2</w:t>
      </w:r>
      <w:r>
        <w:rPr>
          <w:rFonts w:ascii="Times New Roman" w:hAnsi="Times New Roman" w:eastAsia="Times New Roman" w:cs="Times New Roman"/>
          <w:spacing w:val="-13"/>
        </w:rPr>
        <w:t xml:space="preserve"> </w:t>
      </w:r>
      <w:r>
        <w:rPr>
          <w:spacing w:val="4"/>
        </w:rPr>
        <w:t>）我区已消灭的动物疫病：是指牛瘟、</w:t>
      </w:r>
      <w:r>
        <w:rPr>
          <w:spacing w:val="7"/>
        </w:rPr>
        <w:t>牛肺疫、马鼻疽、马传染性贫血等在我区曾发</w:t>
      </w:r>
      <w:r>
        <w:rPr>
          <w:spacing w:val="8"/>
        </w:rPr>
        <w:t>生过，但已经扑灭净化的动物疫病。</w:t>
      </w:r>
    </w:p>
    <w:p>
      <w:pPr>
        <w:pStyle w:val="BodyText"/>
        <w:ind w:left="6" w:right="82" w:firstLine="413"/>
        <w:spacing w:before="134" w:line="309" w:lineRule="auto"/>
        <w:rPr/>
      </w:pPr>
      <w:r>
        <w:rPr>
          <w:spacing w:val="-2"/>
        </w:rPr>
        <w:t>（</w:t>
      </w:r>
      <w:r>
        <w:rPr>
          <w:spacing w:val="-47"/>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15"/>
        </w:rPr>
        <w:t xml:space="preserve"> </w:t>
      </w:r>
      <w:r>
        <w:rPr>
          <w:spacing w:val="-2"/>
        </w:rPr>
        <w:t>）暴发：是指一定区域短时间内发生波</w:t>
      </w:r>
      <w:r>
        <w:rPr>
          <w:spacing w:val="-11"/>
        </w:rPr>
        <w:t>及范围广泛、出现大量患病动物或死亡病例，其发</w:t>
      </w:r>
      <w:r>
        <w:rPr>
          <w:spacing w:val="-7"/>
        </w:rPr>
        <w:t>病率远远超过常年的发病水平。</w:t>
      </w:r>
    </w:p>
    <w:p>
      <w:pPr>
        <w:pStyle w:val="BodyText"/>
        <w:ind w:right="101" w:firstLine="420"/>
        <w:spacing w:before="134" w:line="320"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）疫点：患病动物所在的地点划定为</w:t>
      </w:r>
      <w:r>
        <w:rPr>
          <w:spacing w:val="16"/>
        </w:rPr>
        <w:t>疫点</w:t>
      </w:r>
      <w:r>
        <w:rPr>
          <w:spacing w:val="-51"/>
        </w:rPr>
        <w:t xml:space="preserve"> </w:t>
      </w:r>
      <w:r>
        <w:rPr>
          <w:spacing w:val="16"/>
        </w:rPr>
        <w:t>，疫点一般是指患病动物所在的养殖场</w:t>
      </w:r>
      <w:r>
        <w:rPr>
          <w:spacing w:val="9"/>
        </w:rPr>
        <w:t>（户）或其他有关屠宰、经营单位。</w:t>
      </w:r>
    </w:p>
    <w:p>
      <w:pPr>
        <w:pStyle w:val="BodyText"/>
        <w:ind w:left="9" w:right="101" w:firstLine="410"/>
        <w:spacing w:before="102" w:line="319" w:lineRule="auto"/>
        <w:rPr/>
      </w:pPr>
      <w:r>
        <w:rPr>
          <w:spacing w:val="8"/>
        </w:rPr>
        <w:t>（</w:t>
      </w:r>
      <w:r>
        <w:rPr>
          <w:spacing w:val="-45"/>
        </w:rPr>
        <w:t xml:space="preserve"> </w:t>
      </w:r>
      <w:r>
        <w:rPr>
          <w:rFonts w:ascii="Times New Roman" w:hAnsi="Times New Roman" w:eastAsia="Times New Roman" w:cs="Times New Roman"/>
          <w:spacing w:val="8"/>
        </w:rPr>
        <w:t>5</w:t>
      </w:r>
      <w:r>
        <w:rPr>
          <w:rFonts w:ascii="Times New Roman" w:hAnsi="Times New Roman" w:eastAsia="Times New Roman" w:cs="Times New Roman"/>
          <w:spacing w:val="-19"/>
        </w:rPr>
        <w:t xml:space="preserve"> </w:t>
      </w:r>
      <w:r>
        <w:rPr>
          <w:spacing w:val="8"/>
        </w:rPr>
        <w:t>）疫区：以疫点为中心的一定范围内</w:t>
      </w:r>
      <w:r>
        <w:rPr>
          <w:spacing w:val="7"/>
        </w:rPr>
        <w:t>的区域划定为疫区，疫区划分时注意考虑当地</w:t>
      </w:r>
      <w:r>
        <w:rPr>
          <w:spacing w:val="7"/>
        </w:rPr>
        <w:t>的饲养环境、天然屏障（如河流、山脉）和交</w:t>
      </w:r>
      <w:r>
        <w:rPr>
          <w:spacing w:val="6"/>
        </w:rPr>
        <w:t>通等因素。</w:t>
      </w:r>
    </w:p>
    <w:p>
      <w:pPr>
        <w:pStyle w:val="BodyText"/>
        <w:ind w:left="9" w:right="103" w:firstLine="410"/>
        <w:spacing w:before="136" w:line="288" w:lineRule="auto"/>
        <w:rPr/>
      </w:pPr>
      <w:r>
        <w:rPr>
          <w:spacing w:val="11"/>
        </w:rPr>
        <w:t>（</w:t>
      </w:r>
      <w:r>
        <w:rPr>
          <w:rFonts w:ascii="Times New Roman" w:hAnsi="Times New Roman" w:eastAsia="Times New Roman" w:cs="Times New Roman"/>
          <w:spacing w:val="11"/>
        </w:rPr>
        <w:t>6</w:t>
      </w:r>
      <w:r>
        <w:rPr>
          <w:rFonts w:ascii="Times New Roman" w:hAnsi="Times New Roman" w:eastAsia="Times New Roman" w:cs="Times New Roman"/>
          <w:spacing w:val="-18"/>
        </w:rPr>
        <w:t xml:space="preserve"> </w:t>
      </w:r>
      <w:r>
        <w:rPr>
          <w:spacing w:val="11"/>
        </w:rPr>
        <w:t>）受威胁区：疫区外一定范围内的区</w:t>
      </w:r>
      <w:r>
        <w:rPr>
          <w:spacing w:val="8"/>
        </w:rPr>
        <w:t>域划定为受威胁区。</w:t>
      </w:r>
    </w:p>
    <w:p>
      <w:pPr>
        <w:ind w:left="433"/>
        <w:spacing w:before="129" w:line="17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9    附件</w:t>
      </w:r>
    </w:p>
    <w:p>
      <w:pPr>
        <w:spacing w:line="172" w:lineRule="auto"/>
        <w:sectPr>
          <w:type w:val="continuous"/>
          <w:pgSz w:w="11906" w:h="16839"/>
          <w:pgMar w:top="1772" w:right="1489" w:bottom="1572" w:left="1571" w:header="1428" w:footer="1172" w:gutter="0"/>
          <w:cols w:equalWidth="0" w:num="2">
            <w:col w:w="4491" w:space="100"/>
            <w:col w:w="4256" w:space="0"/>
          </w:cols>
        </w:sectPr>
        <w:rPr>
          <w:rFonts w:ascii="Microsoft YaHei" w:hAnsi="Microsoft YaHei" w:eastAsia="Microsoft YaHei" w:cs="Microsoft YaHei"/>
          <w:sz w:val="20"/>
          <w:szCs w:val="20"/>
        </w:rPr>
      </w:pPr>
    </w:p>
    <w:p>
      <w:pPr>
        <w:spacing w:line="259" w:lineRule="auto"/>
        <w:rPr>
          <w:rFonts w:ascii="Arial"/>
          <w:sz w:val="21"/>
        </w:rPr>
      </w:pPr>
      <w:r>
        <w:drawing>
          <wp:anchor distT="0" distB="0" distL="0" distR="0" simplePos="0" relativeHeight="254259200" behindDoc="0" locked="0" layoutInCell="1" allowOverlap="1">
            <wp:simplePos x="0" y="0"/>
            <wp:positionH relativeFrom="column">
              <wp:posOffset>5393</wp:posOffset>
            </wp:positionH>
            <wp:positionV relativeFrom="paragraph">
              <wp:posOffset>25734</wp:posOffset>
            </wp:positionV>
            <wp:extent cx="8712200" cy="7620"/>
            <wp:effectExtent l="0" t="0" r="0" b="0"/>
            <wp:wrapNone/>
            <wp:docPr id="2234" name="IM 2234"/>
            <wp:cNvGraphicFramePr/>
            <a:graphic>
              <a:graphicData uri="http://schemas.openxmlformats.org/drawingml/2006/picture">
                <pic:pic>
                  <pic:nvPicPr>
                    <pic:cNvPr id="2234" name="IM 2234"/>
                    <pic:cNvPicPr/>
                  </pic:nvPicPr>
                  <pic:blipFill>
                    <a:blip r:embed="rId1119"/>
                    <a:stretch>
                      <a:fillRect/>
                    </a:stretch>
                  </pic:blipFill>
                  <pic:spPr>
                    <a:xfrm rot="0">
                      <a:off x="0" y="0"/>
                      <a:ext cx="8712200" cy="7620"/>
                    </a:xfrm>
                    <a:prstGeom prst="rect">
                      <a:avLst/>
                    </a:prstGeom>
                  </pic:spPr>
                </pic:pic>
              </a:graphicData>
            </a:graphic>
          </wp:anchor>
        </w:drawing>
      </w:r>
      <w:r/>
    </w:p>
    <w:p>
      <w:pPr>
        <w:ind w:left="3752"/>
        <w:spacing w:before="133" w:line="214"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7"/>
        </w:rPr>
        <w:t>9.1</w:t>
      </w:r>
      <w:r>
        <w:rPr>
          <w:rFonts w:ascii="Microsoft YaHei" w:hAnsi="Microsoft YaHei" w:eastAsia="Microsoft YaHei" w:cs="Microsoft YaHei"/>
          <w:sz w:val="31"/>
          <w:szCs w:val="31"/>
          <w:spacing w:val="21"/>
        </w:rPr>
        <w:t xml:space="preserve">   </w:t>
      </w:r>
      <w:r>
        <w:rPr>
          <w:rFonts w:ascii="Microsoft YaHei" w:hAnsi="Microsoft YaHei" w:eastAsia="Microsoft YaHei" w:cs="Microsoft YaHei"/>
          <w:sz w:val="31"/>
          <w:szCs w:val="31"/>
          <w:spacing w:val="7"/>
        </w:rPr>
        <w:t>突发重大动物疫情应急管理组织机构图</w:t>
      </w:r>
    </w:p>
    <w:p>
      <w:pPr>
        <w:ind w:firstLine="112"/>
        <w:spacing w:before="117" w:line="6958" w:lineRule="exact"/>
        <w:rPr/>
      </w:pPr>
      <w:r>
        <w:rPr>
          <w:position w:val="-139"/>
        </w:rPr>
        <w:drawing>
          <wp:inline distT="0" distB="0" distL="0" distR="0">
            <wp:extent cx="8267700" cy="4418075"/>
            <wp:effectExtent l="0" t="0" r="0" b="0"/>
            <wp:docPr id="2236" name="IM 2236"/>
            <wp:cNvGraphicFramePr/>
            <a:graphic>
              <a:graphicData uri="http://schemas.openxmlformats.org/drawingml/2006/picture">
                <pic:pic>
                  <pic:nvPicPr>
                    <pic:cNvPr id="2236" name="IM 2236"/>
                    <pic:cNvPicPr/>
                  </pic:nvPicPr>
                  <pic:blipFill>
                    <a:blip r:embed="rId1120"/>
                    <a:stretch>
                      <a:fillRect/>
                    </a:stretch>
                  </pic:blipFill>
                  <pic:spPr>
                    <a:xfrm rot="0">
                      <a:off x="0" y="0"/>
                      <a:ext cx="8267700" cy="4418075"/>
                    </a:xfrm>
                    <a:prstGeom prst="rect">
                      <a:avLst/>
                    </a:prstGeom>
                  </pic:spPr>
                </pic:pic>
              </a:graphicData>
            </a:graphic>
          </wp:inline>
        </w:drawing>
      </w:r>
    </w:p>
    <w:p>
      <w:pPr>
        <w:spacing w:line="6958" w:lineRule="exact"/>
        <w:sectPr>
          <w:headerReference w:type="default" r:id="rId1117"/>
          <w:footerReference w:type="default" r:id="rId1118"/>
          <w:pgSz w:w="16839" w:h="11906"/>
          <w:pgMar w:top="1767" w:right="1530" w:bottom="1574" w:left="1579" w:header="1428" w:footer="1172" w:gutter="0"/>
        </w:sectPr>
        <w:rPr/>
      </w:pPr>
    </w:p>
    <w:p>
      <w:pPr>
        <w:spacing w:line="296" w:lineRule="auto"/>
        <w:rPr>
          <w:rFonts w:ascii="Arial"/>
          <w:sz w:val="21"/>
        </w:rPr>
      </w:pPr>
      <w:r>
        <w:drawing>
          <wp:anchor distT="0" distB="0" distL="0" distR="0" simplePos="0" relativeHeight="254277632"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240" name="IM 2240"/>
            <wp:cNvGraphicFramePr/>
            <a:graphic>
              <a:graphicData uri="http://schemas.openxmlformats.org/drawingml/2006/picture">
                <pic:pic>
                  <pic:nvPicPr>
                    <pic:cNvPr id="2240" name="IM 2240"/>
                    <pic:cNvPicPr/>
                  </pic:nvPicPr>
                  <pic:blipFill>
                    <a:blip r:embed="rId1122"/>
                    <a:stretch>
                      <a:fillRect/>
                    </a:stretch>
                  </pic:blipFill>
                  <pic:spPr>
                    <a:xfrm rot="0">
                      <a:off x="0" y="0"/>
                      <a:ext cx="5579745" cy="7620"/>
                    </a:xfrm>
                    <a:prstGeom prst="rect">
                      <a:avLst/>
                    </a:prstGeom>
                  </pic:spPr>
                </pic:pic>
              </a:graphicData>
            </a:graphic>
          </wp:anchor>
        </w:drawing>
      </w:r>
      <w:r/>
    </w:p>
    <w:p>
      <w:pPr>
        <w:ind w:left="2590"/>
        <w:spacing w:before="120" w:line="210" w:lineRule="auto"/>
        <w:rPr>
          <w:rFonts w:ascii="Microsoft YaHei" w:hAnsi="Microsoft YaHei" w:eastAsia="Microsoft YaHei" w:cs="Microsoft YaHei"/>
          <w:sz w:val="28"/>
          <w:szCs w:val="28"/>
        </w:rPr>
      </w:pPr>
      <w:r>
        <w:rPr>
          <w:rFonts w:ascii="Microsoft YaHei" w:hAnsi="Microsoft YaHei" w:eastAsia="Microsoft YaHei" w:cs="Microsoft YaHei"/>
          <w:sz w:val="28"/>
          <w:szCs w:val="28"/>
          <w:spacing w:val="-3"/>
        </w:rPr>
        <w:t>9.2</w:t>
      </w:r>
      <w:r>
        <w:rPr>
          <w:rFonts w:ascii="Microsoft YaHei" w:hAnsi="Microsoft YaHei" w:eastAsia="Microsoft YaHei" w:cs="Microsoft YaHei"/>
          <w:sz w:val="28"/>
          <w:szCs w:val="28"/>
          <w:spacing w:val="80"/>
        </w:rPr>
        <w:t xml:space="preserve"> </w:t>
      </w:r>
      <w:r>
        <w:rPr>
          <w:rFonts w:ascii="Microsoft YaHei" w:hAnsi="Microsoft YaHei" w:eastAsia="Microsoft YaHei" w:cs="Microsoft YaHei"/>
          <w:sz w:val="28"/>
          <w:szCs w:val="28"/>
          <w:spacing w:val="-3"/>
        </w:rPr>
        <w:t>重大动物疫情处置流程图</w:t>
      </w:r>
    </w:p>
    <w:p>
      <w:pPr>
        <w:spacing w:line="280" w:lineRule="auto"/>
        <w:rPr>
          <w:rFonts w:ascii="Arial"/>
          <w:sz w:val="21"/>
        </w:rPr>
      </w:pPr>
      <w:r/>
    </w:p>
    <w:p>
      <w:pPr>
        <w:spacing w:line="281" w:lineRule="auto"/>
        <w:rPr>
          <w:rFonts w:ascii="Arial"/>
          <w:sz w:val="21"/>
        </w:rPr>
      </w:pPr>
      <w:r/>
    </w:p>
    <w:p>
      <w:pPr>
        <w:pStyle w:val="BodyText"/>
        <w:ind w:left="4047"/>
        <w:spacing w:before="59" w:line="208" w:lineRule="auto"/>
        <w:rPr>
          <w:sz w:val="18"/>
          <w:szCs w:val="18"/>
        </w:rPr>
      </w:pPr>
      <w:r>
        <w:drawing>
          <wp:anchor distT="0" distB="0" distL="0" distR="0" simplePos="0" relativeHeight="254273536" behindDoc="1" locked="0" layoutInCell="1" allowOverlap="1">
            <wp:simplePos x="0" y="0"/>
            <wp:positionH relativeFrom="column">
              <wp:posOffset>994092</wp:posOffset>
            </wp:positionH>
            <wp:positionV relativeFrom="paragraph">
              <wp:posOffset>-74747</wp:posOffset>
            </wp:positionV>
            <wp:extent cx="3645534" cy="1938337"/>
            <wp:effectExtent l="0" t="0" r="0" b="0"/>
            <wp:wrapNone/>
            <wp:docPr id="2242" name="IM 2242"/>
            <wp:cNvGraphicFramePr/>
            <a:graphic>
              <a:graphicData uri="http://schemas.openxmlformats.org/drawingml/2006/picture">
                <pic:pic>
                  <pic:nvPicPr>
                    <pic:cNvPr id="2242" name="IM 2242"/>
                    <pic:cNvPicPr/>
                  </pic:nvPicPr>
                  <pic:blipFill>
                    <a:blip r:embed="rId1123"/>
                    <a:stretch>
                      <a:fillRect/>
                    </a:stretch>
                  </pic:blipFill>
                  <pic:spPr>
                    <a:xfrm rot="0">
                      <a:off x="0" y="0"/>
                      <a:ext cx="3645534" cy="1938337"/>
                    </a:xfrm>
                    <a:prstGeom prst="rect">
                      <a:avLst/>
                    </a:prstGeom>
                  </pic:spPr>
                </pic:pic>
              </a:graphicData>
            </a:graphic>
          </wp:anchor>
        </w:drawing>
      </w:r>
      <w:r>
        <w:rPr>
          <w:sz w:val="18"/>
          <w:szCs w:val="18"/>
          <w:spacing w:val="-1"/>
        </w:rPr>
        <w:t>疫情报告</w:t>
      </w:r>
    </w:p>
    <w:p>
      <w:pPr>
        <w:spacing w:line="275" w:lineRule="auto"/>
        <w:rPr>
          <w:rFonts w:ascii="Arial"/>
          <w:sz w:val="21"/>
        </w:rPr>
      </w:pPr>
      <w:r/>
    </w:p>
    <w:p>
      <w:pPr>
        <w:spacing w:line="275" w:lineRule="auto"/>
        <w:rPr>
          <w:rFonts w:ascii="Arial"/>
          <w:sz w:val="21"/>
        </w:rPr>
      </w:pPr>
      <w:r/>
    </w:p>
    <w:p>
      <w:pPr>
        <w:pStyle w:val="BodyText"/>
        <w:ind w:left="2642"/>
        <w:spacing w:before="58" w:line="213" w:lineRule="auto"/>
        <w:rPr>
          <w:sz w:val="18"/>
          <w:szCs w:val="18"/>
        </w:rPr>
      </w:pPr>
      <w:r>
        <w:rPr>
          <w:sz w:val="18"/>
          <w:szCs w:val="18"/>
          <w:spacing w:val="-1"/>
        </w:rPr>
        <w:t>动物防疫机构采集病料送检并进行初步诊断，</w:t>
      </w:r>
    </w:p>
    <w:p>
      <w:pPr>
        <w:pStyle w:val="BodyText"/>
        <w:ind w:left="2368"/>
        <w:spacing w:before="72" w:line="212" w:lineRule="auto"/>
        <w:rPr>
          <w:sz w:val="18"/>
          <w:szCs w:val="18"/>
        </w:rPr>
      </w:pPr>
      <w:r>
        <w:rPr>
          <w:sz w:val="18"/>
          <w:szCs w:val="18"/>
          <w:spacing w:val="-1"/>
        </w:rPr>
        <w:t>怀疑为重大动物疫情的采取隔离、限制移动等措施。</w:t>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BodyText"/>
        <w:ind w:left="4074"/>
        <w:spacing w:before="58" w:line="211" w:lineRule="auto"/>
        <w:rPr>
          <w:sz w:val="18"/>
          <w:szCs w:val="18"/>
        </w:rPr>
      </w:pPr>
      <w:r>
        <w:drawing>
          <wp:anchor distT="0" distB="0" distL="0" distR="0" simplePos="0" relativeHeight="254280704" behindDoc="0" locked="0" layoutInCell="1" allowOverlap="1">
            <wp:simplePos x="0" y="0"/>
            <wp:positionH relativeFrom="column">
              <wp:posOffset>2743504</wp:posOffset>
            </wp:positionH>
            <wp:positionV relativeFrom="paragraph">
              <wp:posOffset>1014710</wp:posOffset>
            </wp:positionV>
            <wp:extent cx="76174" cy="360146"/>
            <wp:effectExtent l="0" t="0" r="0" b="0"/>
            <wp:wrapNone/>
            <wp:docPr id="2244" name="IM 2244"/>
            <wp:cNvGraphicFramePr/>
            <a:graphic>
              <a:graphicData uri="http://schemas.openxmlformats.org/drawingml/2006/picture">
                <pic:pic>
                  <pic:nvPicPr>
                    <pic:cNvPr id="2244" name="IM 2244"/>
                    <pic:cNvPicPr/>
                  </pic:nvPicPr>
                  <pic:blipFill>
                    <a:blip r:embed="rId1124"/>
                    <a:stretch>
                      <a:fillRect/>
                    </a:stretch>
                  </pic:blipFill>
                  <pic:spPr>
                    <a:xfrm rot="0">
                      <a:off x="0" y="0"/>
                      <a:ext cx="76174" cy="360146"/>
                    </a:xfrm>
                    <a:prstGeom prst="rect">
                      <a:avLst/>
                    </a:prstGeom>
                  </pic:spPr>
                </pic:pic>
              </a:graphicData>
            </a:graphic>
          </wp:anchor>
        </w:drawing>
      </w:r>
      <w:r>
        <w:rPr>
          <w:sz w:val="18"/>
          <w:szCs w:val="18"/>
          <w:spacing w:val="-1"/>
        </w:rPr>
        <w:t>疫情确认</w:t>
      </w:r>
    </w:p>
    <w:p>
      <w:pPr>
        <w:spacing w:before="35"/>
        <w:rPr/>
      </w:pPr>
      <w:r/>
    </w:p>
    <w:p>
      <w:pPr>
        <w:spacing w:before="34"/>
        <w:rPr/>
      </w:pPr>
      <w:r/>
    </w:p>
    <w:tbl>
      <w:tblPr>
        <w:tblStyle w:val="TableNormal"/>
        <w:tblW w:w="7540" w:type="dxa"/>
        <w:tblInd w:w="647" w:type="dxa"/>
        <w:tblLayout w:type="fixed"/>
        <w:tblBorders>
          <w:left w:val="single" w:color="000000" w:sz="4" w:space="0"/>
          <w:bottom w:val="single" w:color="000000" w:sz="4" w:space="0"/>
          <w:right w:val="single" w:color="000000" w:sz="4" w:space="0"/>
          <w:top w:val="single" w:color="000000" w:sz="4" w:space="0"/>
        </w:tblBorders>
      </w:tblPr>
      <w:tblGrid>
        <w:gridCol w:w="7540"/>
      </w:tblGrid>
      <w:tr>
        <w:trPr>
          <w:trHeight w:val="772" w:hRule="atLeast"/>
        </w:trPr>
        <w:tc>
          <w:tcPr>
            <w:tcW w:w="7540" w:type="dxa"/>
            <w:vAlign w:val="top"/>
          </w:tcPr>
          <w:p>
            <w:pPr>
              <w:pStyle w:val="TableText"/>
              <w:ind w:left="975"/>
              <w:spacing w:before="167" w:line="214" w:lineRule="auto"/>
              <w:rPr/>
            </w:pPr>
            <w:r>
              <w:rPr/>
              <w:t>兽医主管部门划定疫点、疫区和受威胁区，调查疫源，向本级</w:t>
            </w:r>
            <w:r>
              <w:rPr>
                <w:spacing w:val="-1"/>
              </w:rPr>
              <w:t>人民政府</w:t>
            </w:r>
          </w:p>
          <w:p>
            <w:pPr>
              <w:pStyle w:val="TableText"/>
              <w:ind w:left="1250"/>
              <w:spacing w:before="88" w:line="215" w:lineRule="auto"/>
              <w:rPr/>
            </w:pPr>
            <w:r>
              <w:rPr/>
              <w:t>提出启动突发重大动物疫情应急预案和对疫区</w:t>
            </w:r>
            <w:r>
              <w:rPr>
                <w:spacing w:val="-1"/>
              </w:rPr>
              <w:t>实行封锁的建议。</w:t>
            </w:r>
          </w:p>
        </w:tc>
      </w:tr>
    </w:tbl>
    <w:p>
      <w:pPr>
        <w:spacing w:line="255" w:lineRule="auto"/>
        <w:rPr>
          <w:rFonts w:ascii="Arial"/>
          <w:sz w:val="21"/>
        </w:rPr>
      </w:pPr>
      <w:r/>
    </w:p>
    <w:p>
      <w:pPr>
        <w:spacing w:line="255" w:lineRule="auto"/>
        <w:rPr>
          <w:rFonts w:ascii="Arial"/>
          <w:sz w:val="21"/>
        </w:rPr>
      </w:pPr>
      <w:r/>
    </w:p>
    <w:p>
      <w:pPr>
        <w:ind w:firstLine="1181"/>
        <w:spacing w:before="1" w:line="35" w:lineRule="exact"/>
        <w:rPr/>
      </w:pPr>
      <w:r>
        <w:drawing>
          <wp:anchor distT="0" distB="0" distL="0" distR="0" simplePos="0" relativeHeight="254279680" behindDoc="0" locked="0" layoutInCell="1" allowOverlap="1">
            <wp:simplePos x="0" y="0"/>
            <wp:positionH relativeFrom="column">
              <wp:posOffset>705485</wp:posOffset>
            </wp:positionH>
            <wp:positionV relativeFrom="paragraph">
              <wp:posOffset>5941</wp:posOffset>
            </wp:positionV>
            <wp:extent cx="76200" cy="281939"/>
            <wp:effectExtent l="0" t="0" r="0" b="0"/>
            <wp:wrapNone/>
            <wp:docPr id="2246" name="IM 2246"/>
            <wp:cNvGraphicFramePr/>
            <a:graphic>
              <a:graphicData uri="http://schemas.openxmlformats.org/drawingml/2006/picture">
                <pic:pic>
                  <pic:nvPicPr>
                    <pic:cNvPr id="2246" name="IM 2246"/>
                    <pic:cNvPicPr/>
                  </pic:nvPicPr>
                  <pic:blipFill>
                    <a:blip r:embed="rId1125"/>
                    <a:stretch>
                      <a:fillRect/>
                    </a:stretch>
                  </pic:blipFill>
                  <pic:spPr>
                    <a:xfrm rot="0">
                      <a:off x="0" y="0"/>
                      <a:ext cx="76200" cy="281939"/>
                    </a:xfrm>
                    <a:prstGeom prst="rect">
                      <a:avLst/>
                    </a:prstGeom>
                  </pic:spPr>
                </pic:pic>
              </a:graphicData>
            </a:graphic>
          </wp:anchor>
        </w:drawing>
      </w:r>
      <w:r>
        <w:drawing>
          <wp:anchor distT="0" distB="0" distL="0" distR="0" simplePos="0" relativeHeight="254278656" behindDoc="0" locked="0" layoutInCell="1" allowOverlap="1">
            <wp:simplePos x="0" y="0"/>
            <wp:positionH relativeFrom="column">
              <wp:posOffset>4991772</wp:posOffset>
            </wp:positionH>
            <wp:positionV relativeFrom="paragraph">
              <wp:posOffset>15427</wp:posOffset>
            </wp:positionV>
            <wp:extent cx="76200" cy="217208"/>
            <wp:effectExtent l="0" t="0" r="0" b="0"/>
            <wp:wrapNone/>
            <wp:docPr id="2248" name="IM 2248"/>
            <wp:cNvGraphicFramePr/>
            <a:graphic>
              <a:graphicData uri="http://schemas.openxmlformats.org/drawingml/2006/picture">
                <pic:pic>
                  <pic:nvPicPr>
                    <pic:cNvPr id="2248" name="IM 2248"/>
                    <pic:cNvPicPr/>
                  </pic:nvPicPr>
                  <pic:blipFill>
                    <a:blip r:embed="rId1126"/>
                    <a:stretch>
                      <a:fillRect/>
                    </a:stretch>
                  </pic:blipFill>
                  <pic:spPr>
                    <a:xfrm rot="0">
                      <a:off x="0" y="0"/>
                      <a:ext cx="76200" cy="217208"/>
                    </a:xfrm>
                    <a:prstGeom prst="rect">
                      <a:avLst/>
                    </a:prstGeom>
                  </pic:spPr>
                </pic:pic>
              </a:graphicData>
            </a:graphic>
          </wp:anchor>
        </w:drawing>
      </w:r>
      <w:r>
        <w:rPr/>
        <w:drawing>
          <wp:inline distT="0" distB="0" distL="0" distR="0">
            <wp:extent cx="4302150" cy="22224"/>
            <wp:effectExtent l="0" t="0" r="0" b="0"/>
            <wp:docPr id="2250" name="IM 2250"/>
            <wp:cNvGraphicFramePr/>
            <a:graphic>
              <a:graphicData uri="http://schemas.openxmlformats.org/drawingml/2006/picture">
                <pic:pic>
                  <pic:nvPicPr>
                    <pic:cNvPr id="2250" name="IM 2250"/>
                    <pic:cNvPicPr/>
                  </pic:nvPicPr>
                  <pic:blipFill>
                    <a:blip r:embed="rId1127"/>
                    <a:stretch>
                      <a:fillRect/>
                    </a:stretch>
                  </pic:blipFill>
                  <pic:spPr>
                    <a:xfrm rot="0">
                      <a:off x="0" y="0"/>
                      <a:ext cx="4302150" cy="22224"/>
                    </a:xfrm>
                    <a:prstGeom prst="rect">
                      <a:avLst/>
                    </a:prstGeom>
                  </pic:spPr>
                </pic:pic>
              </a:graphicData>
            </a:graphic>
          </wp:inline>
        </w:drawing>
      </w:r>
    </w:p>
    <w:p>
      <w:pPr>
        <w:spacing w:line="346" w:lineRule="auto"/>
        <w:rPr>
          <w:rFonts w:ascii="Arial"/>
          <w:sz w:val="21"/>
        </w:rPr>
      </w:pPr>
      <w:r/>
    </w:p>
    <w:p>
      <w:pPr>
        <w:pStyle w:val="BodyText"/>
        <w:ind w:firstLine="1907"/>
        <w:spacing w:before="1" w:line="4348" w:lineRule="exact"/>
        <w:rPr/>
      </w:pPr>
      <w:r>
        <w:pict>
          <v:shape id="_x0000_s204" style="position:absolute;margin-left:350.175pt;margin-top:2.44336pt;mso-position-vertical-relative:text;mso-position-horizontal-relative:text;width:93.1pt;height:198.15pt;z-index:254275584;" filled="false" stroked="false" type="#_x0000_t202">
            <v:fill on="false"/>
            <v:stroke on="false"/>
            <v:path/>
            <v:imagedata o:title=""/>
            <o:lock v:ext="edit" aspectratio="false"/>
            <v:textbox inset="0mm,0mm,0mm,0mm">
              <w:txbxContent>
                <w:p>
                  <w:pPr>
                    <w:spacing w:line="20" w:lineRule="exact"/>
                    <w:rPr/>
                  </w:pPr>
                  <w:r/>
                </w:p>
                <w:tbl>
                  <w:tblPr>
                    <w:tblStyle w:val="TableNormal"/>
                    <w:tblW w:w="1811" w:type="dxa"/>
                    <w:tblInd w:w="25" w:type="dxa"/>
                    <w:tblLayout w:type="fixed"/>
                    <w:tblBorders>
                      <w:left w:val="single" w:color="000000" w:sz="4" w:space="0"/>
                      <w:bottom w:val="single" w:color="000000" w:sz="4" w:space="0"/>
                      <w:right w:val="single" w:color="000000" w:sz="4" w:space="0"/>
                      <w:top w:val="single" w:color="000000" w:sz="4" w:space="0"/>
                    </w:tblBorders>
                  </w:tblPr>
                  <w:tblGrid>
                    <w:gridCol w:w="1811"/>
                  </w:tblGrid>
                  <w:tr>
                    <w:trPr>
                      <w:trHeight w:val="3902" w:hRule="atLeast"/>
                    </w:trPr>
                    <w:tc>
                      <w:tcPr>
                        <w:tcW w:w="1811" w:type="dxa"/>
                        <w:vAlign w:val="top"/>
                      </w:tcPr>
                      <w:p>
                        <w:pPr>
                          <w:pStyle w:val="TableText"/>
                          <w:ind w:left="151" w:right="150"/>
                          <w:spacing w:before="161" w:line="305" w:lineRule="auto"/>
                          <w:jc w:val="both"/>
                          <w:rPr/>
                        </w:pPr>
                        <w:r>
                          <w:rPr>
                            <w:spacing w:val="1"/>
                          </w:rPr>
                          <w:t>受威胁区</w:t>
                        </w:r>
                        <w:r>
                          <w:rPr>
                            <w:spacing w:val="24"/>
                          </w:rPr>
                          <w:t xml:space="preserve">  </w:t>
                        </w:r>
                        <w:r>
                          <w:rPr>
                            <w:spacing w:val="1"/>
                          </w:rPr>
                          <w:t>(一)对</w:t>
                        </w:r>
                        <w:r>
                          <w:rPr>
                            <w:spacing w:val="7"/>
                          </w:rPr>
                          <w:t>易感染的动物进行</w:t>
                        </w:r>
                        <w:r>
                          <w:rPr>
                            <w:spacing w:val="-1"/>
                          </w:rPr>
                          <w:t>监测。</w:t>
                        </w:r>
                      </w:p>
                      <w:p>
                        <w:pPr>
                          <w:pStyle w:val="TableText"/>
                          <w:ind w:left="154" w:right="150" w:firstLine="2"/>
                          <w:spacing w:before="8" w:line="306" w:lineRule="auto"/>
                          <w:jc w:val="both"/>
                          <w:rPr/>
                        </w:pPr>
                        <w:r>
                          <w:rPr>
                            <w:spacing w:val="5"/>
                          </w:rPr>
                          <w:t>(二)对易感染的动</w:t>
                        </w:r>
                        <w:r>
                          <w:rPr>
                            <w:spacing w:val="7"/>
                          </w:rPr>
                          <w:t>物根据需要实施紧</w:t>
                        </w:r>
                        <w:r>
                          <w:rPr>
                            <w:spacing w:val="-2"/>
                          </w:rPr>
                          <w:t>急免疫接种。</w:t>
                        </w:r>
                      </w:p>
                    </w:tc>
                  </w:tr>
                </w:tbl>
                <w:p>
                  <w:pPr>
                    <w:rPr>
                      <w:rFonts w:ascii="Arial"/>
                      <w:sz w:val="21"/>
                    </w:rPr>
                  </w:pPr>
                  <w:r/>
                </w:p>
              </w:txbxContent>
            </v:textbox>
          </v:shape>
        </w:pict>
      </w:r>
      <w:r>
        <w:pict>
          <v:shape id="_x0000_s206" style="position:absolute;margin-left:3.67499pt;margin-top:5.29337pt;mso-position-vertical-relative:text;mso-position-horizontal-relative:text;width:90.95pt;height:195.3pt;z-index:254276608;" filled="false" stroked="false" type="#_x0000_t202">
            <v:fill on="false"/>
            <v:stroke on="false"/>
            <v:path/>
            <v:imagedata o:title=""/>
            <o:lock v:ext="edit" aspectratio="false"/>
            <v:textbox inset="0mm,0mm,0mm,0mm">
              <w:txbxContent>
                <w:p>
                  <w:pPr>
                    <w:spacing w:line="20" w:lineRule="exact"/>
                    <w:rPr/>
                  </w:pPr>
                  <w:r/>
                </w:p>
                <w:tbl>
                  <w:tblPr>
                    <w:tblStyle w:val="TableNormal"/>
                    <w:tblW w:w="1768" w:type="dxa"/>
                    <w:tblInd w:w="25" w:type="dxa"/>
                    <w:tblLayout w:type="fixed"/>
                    <w:tblBorders>
                      <w:left w:val="single" w:color="000000" w:sz="4" w:space="0"/>
                      <w:bottom w:val="single" w:color="000000" w:sz="4" w:space="0"/>
                      <w:right w:val="single" w:color="000000" w:sz="4" w:space="0"/>
                      <w:top w:val="single" w:color="000000" w:sz="4" w:space="0"/>
                    </w:tblBorders>
                  </w:tblPr>
                  <w:tblGrid>
                    <w:gridCol w:w="1768"/>
                  </w:tblGrid>
                  <w:tr>
                    <w:trPr>
                      <w:trHeight w:val="3845" w:hRule="atLeast"/>
                    </w:trPr>
                    <w:tc>
                      <w:tcPr>
                        <w:tcW w:w="1768" w:type="dxa"/>
                        <w:vAlign w:val="top"/>
                      </w:tcPr>
                      <w:p>
                        <w:pPr>
                          <w:pStyle w:val="TableText"/>
                          <w:ind w:left="152"/>
                          <w:spacing w:before="168" w:line="214" w:lineRule="auto"/>
                          <w:rPr/>
                        </w:pPr>
                        <w:r>
                          <w:rPr>
                            <w:spacing w:val="-2"/>
                          </w:rPr>
                          <w:t>疫点</w:t>
                        </w:r>
                      </w:p>
                      <w:p>
                        <w:pPr>
                          <w:pStyle w:val="TableText"/>
                          <w:ind w:left="152" w:right="149" w:firstLine="5"/>
                          <w:spacing w:before="85" w:line="308" w:lineRule="auto"/>
                          <w:rPr/>
                        </w:pPr>
                        <w:r>
                          <w:rPr>
                            <w:spacing w:val="1"/>
                          </w:rPr>
                          <w:t>(一)扑杀并销毁染</w:t>
                        </w:r>
                        <w:r>
                          <w:rPr>
                            <w:spacing w:val="2"/>
                          </w:rPr>
                          <w:t>疫动物和易感染的</w:t>
                        </w:r>
                        <w:r>
                          <w:rPr>
                            <w:spacing w:val="-1"/>
                          </w:rPr>
                          <w:t>动物及其产品。</w:t>
                        </w:r>
                      </w:p>
                      <w:p>
                        <w:pPr>
                          <w:pStyle w:val="TableText"/>
                          <w:ind w:left="152" w:right="92" w:firstLine="5"/>
                          <w:spacing w:before="2" w:line="307" w:lineRule="auto"/>
                          <w:rPr/>
                        </w:pPr>
                        <w:r>
                          <w:rPr>
                            <w:spacing w:val="-12"/>
                          </w:rPr>
                          <w:t>(二)对病死的动物、</w:t>
                        </w:r>
                        <w:r>
                          <w:rPr>
                            <w:spacing w:val="2"/>
                          </w:rPr>
                          <w:t>动物排泄物、被污</w:t>
                        </w:r>
                        <w:r>
                          <w:rPr>
                            <w:spacing w:val="2"/>
                          </w:rPr>
                          <w:t>染饲料、垫料、污</w:t>
                        </w:r>
                        <w:r>
                          <w:rPr>
                            <w:spacing w:val="4"/>
                          </w:rPr>
                          <w:t>水进行无害化处。 </w:t>
                        </w:r>
                        <w:r>
                          <w:rPr>
                            <w:spacing w:val="1"/>
                          </w:rPr>
                          <w:t>(三)对被污染的物</w:t>
                        </w:r>
                        <w:r>
                          <w:rPr>
                            <w:spacing w:val="2"/>
                          </w:rPr>
                          <w:t>品、用具、动物圈</w:t>
                        </w:r>
                        <w:r>
                          <w:rPr>
                            <w:spacing w:val="2"/>
                          </w:rPr>
                          <w:t>舍、场地进行严格</w:t>
                        </w:r>
                        <w:r>
                          <w:rPr>
                            <w:spacing w:val="-1"/>
                          </w:rPr>
                          <w:t>消毒。</w:t>
                        </w:r>
                      </w:p>
                    </w:tc>
                  </w:tr>
                </w:tbl>
                <w:p>
                  <w:pPr>
                    <w:rPr>
                      <w:rFonts w:ascii="Arial"/>
                      <w:sz w:val="21"/>
                    </w:rPr>
                  </w:pPr>
                  <w:r/>
                </w:p>
              </w:txbxContent>
            </v:textbox>
          </v:shape>
        </w:pict>
      </w:r>
      <w:r>
        <w:rPr>
          <w:position w:val="-86"/>
        </w:rPr>
        <w:pict>
          <v:group id="_x0000_s208" style="mso-position-vertical-relative:line;mso-position-horizontal-relative:char;width:243.9pt;height:217.45pt;" filled="false" stroked="false" coordsize="4877,4348" coordorigin="0,0">
            <v:shape id="_x0000_s210" style="position:absolute;left:0;top:0;width:4877;height:4348;" filled="false" stroked="false" type="#_x0000_t75">
              <v:imagedata o:title="" r:id="rId1128"/>
            </v:shape>
            <v:shape id="_x0000_s212" style="position:absolute;left:-20;top:-20;width:4917;height:4388;" filled="false" stroked="false" type="#_x0000_t202">
              <v:fill on="false"/>
              <v:stroke on="false"/>
              <v:path/>
              <v:imagedata o:title=""/>
              <o:lock v:ext="edit" aspectratio="false"/>
              <v:textbox inset="0mm,0mm,0mm,0mm">
                <w:txbxContent>
                  <w:p>
                    <w:pPr>
                      <w:ind w:left="182"/>
                      <w:spacing w:before="197" w:line="211" w:lineRule="auto"/>
                      <w:rPr>
                        <w:rFonts w:ascii="SimSun" w:hAnsi="SimSun" w:eastAsia="SimSun" w:cs="SimSun"/>
                        <w:sz w:val="18"/>
                        <w:szCs w:val="18"/>
                      </w:rPr>
                    </w:pPr>
                    <w:r>
                      <w:rPr>
                        <w:rFonts w:ascii="SimSun" w:hAnsi="SimSun" w:eastAsia="SimSun" w:cs="SimSun"/>
                        <w:sz w:val="18"/>
                        <w:szCs w:val="18"/>
                        <w:spacing w:val="-2"/>
                      </w:rPr>
                      <w:t>疫区</w:t>
                    </w:r>
                  </w:p>
                  <w:p>
                    <w:pPr>
                      <w:ind w:left="193" w:right="179" w:hanging="5"/>
                      <w:spacing w:before="89" w:line="263" w:lineRule="auto"/>
                      <w:rPr>
                        <w:rFonts w:ascii="SimSun" w:hAnsi="SimSun" w:eastAsia="SimSun" w:cs="SimSun"/>
                        <w:sz w:val="18"/>
                        <w:szCs w:val="18"/>
                      </w:rPr>
                    </w:pPr>
                    <w:r>
                      <w:rPr>
                        <w:rFonts w:ascii="SimSun" w:hAnsi="SimSun" w:eastAsia="SimSun" w:cs="SimSun"/>
                        <w:sz w:val="18"/>
                        <w:szCs w:val="18"/>
                        <w:spacing w:val="-5"/>
                      </w:rPr>
                      <w:t>(一)在疫区周围设置警示标志，在出入疫区的交通路口设置</w:t>
                    </w:r>
                    <w:r>
                      <w:rPr>
                        <w:rFonts w:ascii="SimSun" w:hAnsi="SimSun" w:eastAsia="SimSun" w:cs="SimSun"/>
                        <w:sz w:val="18"/>
                        <w:szCs w:val="18"/>
                        <w:spacing w:val="-1"/>
                      </w:rPr>
                      <w:t>临时动物检疫消毒站，对出入的人员和车辆进行消毒。</w:t>
                    </w:r>
                  </w:p>
                  <w:p>
                    <w:pPr>
                      <w:ind w:left="182" w:right="179" w:firstLine="5"/>
                      <w:spacing w:before="87" w:line="278" w:lineRule="auto"/>
                      <w:rPr>
                        <w:rFonts w:ascii="SimSun" w:hAnsi="SimSun" w:eastAsia="SimSun" w:cs="SimSun"/>
                        <w:sz w:val="18"/>
                        <w:szCs w:val="18"/>
                      </w:rPr>
                    </w:pPr>
                    <w:r>
                      <w:rPr>
                        <w:rFonts w:ascii="SimSun" w:hAnsi="SimSun" w:eastAsia="SimSun" w:cs="SimSun"/>
                        <w:sz w:val="18"/>
                        <w:szCs w:val="18"/>
                        <w:spacing w:val="-5"/>
                      </w:rPr>
                      <w:t>(二)扑杀并销毁染疫和疑似染疫动物及其同群动物，销毁染</w:t>
                    </w:r>
                    <w:r>
                      <w:rPr>
                        <w:rFonts w:ascii="SimSun" w:hAnsi="SimSun" w:eastAsia="SimSun" w:cs="SimSun"/>
                        <w:sz w:val="18"/>
                        <w:szCs w:val="18"/>
                        <w:spacing w:val="2"/>
                      </w:rPr>
                      <w:t>疫和疑似染疫的动物产品，对其他易感染的动物实行圈养</w:t>
                    </w:r>
                    <w:r>
                      <w:rPr>
                        <w:rFonts w:ascii="SimSun" w:hAnsi="SimSun" w:eastAsia="SimSun" w:cs="SimSun"/>
                        <w:sz w:val="18"/>
                        <w:szCs w:val="18"/>
                      </w:rPr>
                      <w:t>或者在指定地点放养，役用动物限制在疫区</w:t>
                    </w:r>
                    <w:r>
                      <w:rPr>
                        <w:rFonts w:ascii="SimSun" w:hAnsi="SimSun" w:eastAsia="SimSun" w:cs="SimSun"/>
                        <w:sz w:val="18"/>
                        <w:szCs w:val="18"/>
                        <w:spacing w:val="-1"/>
                      </w:rPr>
                      <w:t>内使用。</w:t>
                    </w:r>
                  </w:p>
                  <w:p>
                    <w:pPr>
                      <w:ind w:left="184" w:right="179" w:firstLine="4"/>
                      <w:spacing w:before="86" w:line="263" w:lineRule="auto"/>
                      <w:rPr>
                        <w:rFonts w:ascii="SimSun" w:hAnsi="SimSun" w:eastAsia="SimSun" w:cs="SimSun"/>
                        <w:sz w:val="18"/>
                        <w:szCs w:val="18"/>
                      </w:rPr>
                    </w:pPr>
                    <w:r>
                      <w:rPr>
                        <w:rFonts w:ascii="SimSun" w:hAnsi="SimSun" w:eastAsia="SimSun" w:cs="SimSun"/>
                        <w:sz w:val="18"/>
                        <w:szCs w:val="18"/>
                        <w:spacing w:val="-5"/>
                      </w:rPr>
                      <w:t>(三)对易感染的动物进行监测，并按照规定实施紧急免疫接</w:t>
                    </w:r>
                    <w:r>
                      <w:rPr>
                        <w:rFonts w:ascii="SimSun" w:hAnsi="SimSun" w:eastAsia="SimSun" w:cs="SimSun"/>
                        <w:sz w:val="18"/>
                        <w:szCs w:val="18"/>
                        <w:spacing w:val="-1"/>
                      </w:rPr>
                      <w:t>种，必要时对易感染的动物进行扑杀。</w:t>
                    </w:r>
                  </w:p>
                  <w:p>
                    <w:pPr>
                      <w:ind w:left="186" w:right="179" w:firstLine="2"/>
                      <w:spacing w:before="88" w:line="277" w:lineRule="auto"/>
                      <w:rPr>
                        <w:rFonts w:ascii="SimSun" w:hAnsi="SimSun" w:eastAsia="SimSun" w:cs="SimSun"/>
                        <w:sz w:val="18"/>
                        <w:szCs w:val="18"/>
                      </w:rPr>
                    </w:pPr>
                    <w:r>
                      <w:rPr>
                        <w:rFonts w:ascii="SimSun" w:hAnsi="SimSun" w:eastAsia="SimSun" w:cs="SimSun"/>
                        <w:sz w:val="18"/>
                        <w:szCs w:val="18"/>
                        <w:spacing w:val="-5"/>
                      </w:rPr>
                      <w:t>(四)关闭动物及动物产品交易市场，禁止动物进出疫区和动</w:t>
                    </w:r>
                    <w:r>
                      <w:rPr>
                        <w:rFonts w:ascii="SimSun" w:hAnsi="SimSun" w:eastAsia="SimSun" w:cs="SimSun"/>
                        <w:sz w:val="18"/>
                        <w:szCs w:val="18"/>
                        <w:spacing w:val="-1"/>
                      </w:rPr>
                      <w:t>物产品运出疫区</w:t>
                    </w:r>
                  </w:p>
                  <w:p>
                    <w:pPr>
                      <w:ind w:left="182" w:right="179" w:firstLine="5"/>
                      <w:spacing w:before="60" w:line="277" w:lineRule="auto"/>
                      <w:rPr>
                        <w:rFonts w:ascii="SimSun" w:hAnsi="SimSun" w:eastAsia="SimSun" w:cs="SimSun"/>
                        <w:sz w:val="18"/>
                        <w:szCs w:val="18"/>
                      </w:rPr>
                    </w:pPr>
                    <w:r>
                      <w:rPr>
                        <w:rFonts w:ascii="SimSun" w:hAnsi="SimSun" w:eastAsia="SimSun" w:cs="SimSun"/>
                        <w:sz w:val="18"/>
                        <w:szCs w:val="18"/>
                        <w:spacing w:val="-5"/>
                      </w:rPr>
                      <w:t>(五)对动物圈舍、动物排泄物、垫料、污水和其他可能受污</w:t>
                    </w:r>
                    <w:r>
                      <w:rPr>
                        <w:rFonts w:ascii="SimSun" w:hAnsi="SimSun" w:eastAsia="SimSun" w:cs="SimSun"/>
                        <w:sz w:val="18"/>
                        <w:szCs w:val="18"/>
                        <w:spacing w:val="-1"/>
                      </w:rPr>
                      <w:t>染的物品、场地，进行消毒或者无害化处理。</w:t>
                    </w:r>
                  </w:p>
                </w:txbxContent>
              </v:textbox>
            </v:shape>
          </v:group>
        </w:pict>
      </w:r>
    </w:p>
    <w:p>
      <w:pPr>
        <w:pStyle w:val="BodyText"/>
        <w:ind w:firstLine="2635"/>
        <w:spacing w:before="8" w:line="482" w:lineRule="exact"/>
        <w:rPr/>
      </w:pPr>
      <w:r>
        <w:rPr>
          <w:position w:val="-9"/>
        </w:rPr>
        <w:pict>
          <v:group id="_x0000_s214" style="mso-position-vertical-relative:line;mso-position-horizontal-relative:char;width:167.4pt;height:24.1pt;" filled="false" stroked="false" coordsize="3347,482" coordorigin="0,0">
            <v:shape id="_x0000_s216" style="position:absolute;left:0;top:0;width:3347;height:482;" filled="false" stroked="false" type="#_x0000_t75">
              <v:imagedata o:title="" r:id="rId1129"/>
            </v:shape>
            <v:shape id="_x0000_s218" style="position:absolute;left:-20;top:-20;width:3387;height:522;" filled="false" stroked="false" type="#_x0000_t202">
              <v:fill on="false"/>
              <v:stroke on="false"/>
              <v:path/>
              <v:imagedata o:title=""/>
              <o:lock v:ext="edit" aspectratio="false"/>
              <v:textbox inset="0mm,0mm,0mm,0mm">
                <w:txbxContent>
                  <w:p>
                    <w:pPr>
                      <w:ind w:left="976"/>
                      <w:spacing w:before="196" w:line="212" w:lineRule="auto"/>
                      <w:rPr>
                        <w:rFonts w:ascii="SimSun" w:hAnsi="SimSun" w:eastAsia="SimSun" w:cs="SimSun"/>
                        <w:sz w:val="18"/>
                        <w:szCs w:val="18"/>
                      </w:rPr>
                    </w:pPr>
                    <w:r>
                      <w:rPr>
                        <w:rFonts w:ascii="SimSun" w:hAnsi="SimSun" w:eastAsia="SimSun" w:cs="SimSun"/>
                        <w:sz w:val="18"/>
                        <w:szCs w:val="18"/>
                        <w:spacing w:val="-1"/>
                      </w:rPr>
                      <w:t>疫情处置情况评估</w:t>
                    </w:r>
                  </w:p>
                </w:txbxContent>
              </v:textbox>
            </v:shape>
          </v:group>
        </w:pict>
      </w:r>
    </w:p>
    <w:p>
      <w:pPr>
        <w:ind w:left="4243"/>
        <w:spacing w:before="15" w:line="525" w:lineRule="exact"/>
        <w:rPr/>
      </w:pPr>
      <w:r>
        <w:rPr>
          <w:position w:val="-11"/>
        </w:rPr>
        <w:drawing>
          <wp:inline distT="0" distB="0" distL="0" distR="0">
            <wp:extent cx="76200" cy="333375"/>
            <wp:effectExtent l="0" t="0" r="0" b="0"/>
            <wp:docPr id="2252" name="IM 2252"/>
            <wp:cNvGraphicFramePr/>
            <a:graphic>
              <a:graphicData uri="http://schemas.openxmlformats.org/drawingml/2006/picture">
                <pic:pic>
                  <pic:nvPicPr>
                    <pic:cNvPr id="2252" name="IM 2252"/>
                    <pic:cNvPicPr/>
                  </pic:nvPicPr>
                  <pic:blipFill>
                    <a:blip r:embed="rId1130"/>
                    <a:stretch>
                      <a:fillRect/>
                    </a:stretch>
                  </pic:blipFill>
                  <pic:spPr>
                    <a:xfrm rot="0">
                      <a:off x="0" y="0"/>
                      <a:ext cx="76200" cy="333375"/>
                    </a:xfrm>
                    <a:prstGeom prst="rect">
                      <a:avLst/>
                    </a:prstGeom>
                  </pic:spPr>
                </pic:pic>
              </a:graphicData>
            </a:graphic>
          </wp:inline>
        </w:drawing>
      </w:r>
    </w:p>
    <w:p>
      <w:pPr>
        <w:pStyle w:val="BodyText"/>
        <w:ind w:left="3786"/>
        <w:spacing w:before="159" w:line="212" w:lineRule="auto"/>
        <w:rPr>
          <w:sz w:val="18"/>
          <w:szCs w:val="18"/>
        </w:rPr>
      </w:pPr>
      <w:r>
        <w:drawing>
          <wp:anchor distT="0" distB="0" distL="0" distR="0" simplePos="0" relativeHeight="254274560" behindDoc="1" locked="0" layoutInCell="1" allowOverlap="1">
            <wp:simplePos x="0" y="0"/>
            <wp:positionH relativeFrom="column">
              <wp:posOffset>1683067</wp:posOffset>
            </wp:positionH>
            <wp:positionV relativeFrom="paragraph">
              <wp:posOffset>-11696</wp:posOffset>
            </wp:positionV>
            <wp:extent cx="2125344" cy="306069"/>
            <wp:effectExtent l="0" t="0" r="0" b="0"/>
            <wp:wrapNone/>
            <wp:docPr id="2254" name="IM 2254"/>
            <wp:cNvGraphicFramePr/>
            <a:graphic>
              <a:graphicData uri="http://schemas.openxmlformats.org/drawingml/2006/picture">
                <pic:pic>
                  <pic:nvPicPr>
                    <pic:cNvPr id="2254" name="IM 2254"/>
                    <pic:cNvPicPr/>
                  </pic:nvPicPr>
                  <pic:blipFill>
                    <a:blip r:embed="rId1131"/>
                    <a:stretch>
                      <a:fillRect/>
                    </a:stretch>
                  </pic:blipFill>
                  <pic:spPr>
                    <a:xfrm rot="0">
                      <a:off x="0" y="0"/>
                      <a:ext cx="2125344" cy="306069"/>
                    </a:xfrm>
                    <a:prstGeom prst="rect">
                      <a:avLst/>
                    </a:prstGeom>
                  </pic:spPr>
                </pic:pic>
              </a:graphicData>
            </a:graphic>
          </wp:anchor>
        </w:drawing>
      </w:r>
      <w:r>
        <w:rPr>
          <w:sz w:val="18"/>
          <w:szCs w:val="18"/>
          <w:spacing w:val="-1"/>
        </w:rPr>
        <w:t>应急响应终止</w:t>
      </w:r>
    </w:p>
    <w:p>
      <w:pPr>
        <w:spacing w:line="212" w:lineRule="auto"/>
        <w:sectPr>
          <w:headerReference w:type="default" r:id="rId1048"/>
          <w:footerReference w:type="default" r:id="rId1121"/>
          <w:pgSz w:w="11906" w:h="16839"/>
          <w:pgMar w:top="1772" w:right="1489" w:bottom="1572" w:left="1571" w:header="1428" w:footer="1172" w:gutter="0"/>
        </w:sectPr>
        <w:rPr>
          <w:sz w:val="18"/>
          <w:szCs w:val="18"/>
        </w:rPr>
      </w:pPr>
    </w:p>
    <w:p>
      <w:pPr>
        <w:spacing w:line="344" w:lineRule="auto"/>
        <w:rPr>
          <w:rFonts w:ascii="Arial"/>
          <w:sz w:val="21"/>
        </w:rPr>
      </w:pPr>
      <w:r>
        <w:drawing>
          <wp:anchor distT="0" distB="0" distL="0" distR="0" simplePos="0" relativeHeight="254289920" behindDoc="0" locked="0" layoutInCell="1" allowOverlap="1">
            <wp:simplePos x="0" y="0"/>
            <wp:positionH relativeFrom="column">
              <wp:posOffset>7517</wp:posOffset>
            </wp:positionH>
            <wp:positionV relativeFrom="paragraph">
              <wp:posOffset>25272</wp:posOffset>
            </wp:positionV>
            <wp:extent cx="5579745" cy="7620"/>
            <wp:effectExtent l="0" t="0" r="0" b="0"/>
            <wp:wrapNone/>
            <wp:docPr id="2260" name="IM 2260"/>
            <wp:cNvGraphicFramePr/>
            <a:graphic>
              <a:graphicData uri="http://schemas.openxmlformats.org/drawingml/2006/picture">
                <pic:pic>
                  <pic:nvPicPr>
                    <pic:cNvPr id="2260" name="IM 2260"/>
                    <pic:cNvPicPr/>
                  </pic:nvPicPr>
                  <pic:blipFill>
                    <a:blip r:embed="rId1134"/>
                    <a:stretch>
                      <a:fillRect/>
                    </a:stretch>
                  </pic:blipFill>
                  <pic:spPr>
                    <a:xfrm rot="0">
                      <a:off x="0" y="0"/>
                      <a:ext cx="5579745" cy="7620"/>
                    </a:xfrm>
                    <a:prstGeom prst="rect">
                      <a:avLst/>
                    </a:prstGeom>
                  </pic:spPr>
                </pic:pic>
              </a:graphicData>
            </a:graphic>
          </wp:anchor>
        </w:drawing>
      </w:r>
      <w:r/>
    </w:p>
    <w:p>
      <w:pPr>
        <w:spacing w:line="344" w:lineRule="auto"/>
        <w:rPr>
          <w:rFonts w:ascii="Arial"/>
          <w:sz w:val="21"/>
        </w:rPr>
      </w:pPr>
      <w:r/>
    </w:p>
    <w:p>
      <w:pPr>
        <w:ind w:left="1546"/>
        <w:spacing w:before="184" w:line="186"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7"/>
        </w:rPr>
        <w:t>固原市金融突发事件应急预案</w:t>
      </w:r>
    </w:p>
    <w:p>
      <w:pPr>
        <w:spacing w:before="51"/>
        <w:rPr/>
      </w:pPr>
      <w:r/>
    </w:p>
    <w:p>
      <w:pPr>
        <w:spacing w:before="51"/>
        <w:rPr/>
      </w:pPr>
      <w:r/>
    </w:p>
    <w:p>
      <w:pPr>
        <w:sectPr>
          <w:headerReference w:type="default" r:id="rId1132"/>
          <w:footerReference w:type="default" r:id="rId1133"/>
          <w:pgSz w:w="11906" w:h="16839"/>
          <w:pgMar w:top="1766" w:right="1508" w:bottom="1574" w:left="1576" w:header="1428" w:footer="1172" w:gutter="0"/>
          <w:cols w:equalWidth="0" w:num="1">
            <w:col w:w="8822" w:space="0"/>
          </w:cols>
        </w:sectPr>
        <w:rPr/>
      </w:pPr>
    </w:p>
    <w:p>
      <w:pPr>
        <w:ind w:left="453"/>
        <w:spacing w:before="48"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1</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7"/>
        </w:rPr>
        <w:t>总则</w:t>
      </w:r>
    </w:p>
    <w:p>
      <w:pPr>
        <w:pStyle w:val="BodyText"/>
        <w:ind w:left="15" w:right="329" w:firstLine="441"/>
        <w:spacing w:before="99" w:line="352" w:lineRule="auto"/>
        <w:rPr/>
      </w:pPr>
      <w:r>
        <w:rPr>
          <w:rFonts w:ascii="Times New Roman" w:hAnsi="Times New Roman" w:eastAsia="Times New Roman" w:cs="Times New Roman"/>
          <w:spacing w:val="3"/>
        </w:rPr>
        <w:t>1.</w:t>
      </w:r>
      <w:r>
        <w:rPr>
          <w:rFonts w:ascii="Times New Roman" w:hAnsi="Times New Roman" w:eastAsia="Times New Roman" w:cs="Times New Roman"/>
          <w:spacing w:val="-9"/>
        </w:rPr>
        <w:t xml:space="preserve"> </w:t>
      </w:r>
      <w:r>
        <w:rPr>
          <w:rFonts w:ascii="Times New Roman" w:hAnsi="Times New Roman" w:eastAsia="Times New Roman" w:cs="Times New Roman"/>
          <w:spacing w:val="3"/>
        </w:rPr>
        <w:t>1  </w:t>
      </w:r>
      <w:r>
        <w:rPr>
          <w:rFonts w:ascii="KaiTi" w:hAnsi="KaiTi" w:eastAsia="KaiTi" w:cs="KaiTi"/>
          <w:spacing w:val="3"/>
        </w:rPr>
        <w:t>编制</w:t>
      </w:r>
      <w:r>
        <w:rPr>
          <w:rFonts w:ascii="KaiTi" w:hAnsi="KaiTi" w:eastAsia="KaiTi" w:cs="KaiTi"/>
          <w:spacing w:val="-50"/>
        </w:rPr>
        <w:t xml:space="preserve"> </w:t>
      </w:r>
      <w:r>
        <w:rPr>
          <w:rFonts w:ascii="KaiTi" w:hAnsi="KaiTi" w:eastAsia="KaiTi" w:cs="KaiTi"/>
          <w:spacing w:val="3"/>
        </w:rPr>
        <w:t>目的。</w:t>
      </w:r>
      <w:r>
        <w:rPr>
          <w:spacing w:val="3"/>
        </w:rPr>
        <w:t>进一步加强本市金融安全</w:t>
      </w:r>
      <w:r>
        <w:rPr>
          <w:spacing w:val="7"/>
        </w:rPr>
        <w:t>工作，防范、化解金融突发事件，明确各部门</w:t>
      </w:r>
      <w:r>
        <w:rPr>
          <w:spacing w:val="7"/>
        </w:rPr>
        <w:t>处置金融风险的职责与分工，建立健全金融突</w:t>
      </w:r>
      <w:r>
        <w:rPr>
          <w:spacing w:val="7"/>
        </w:rPr>
        <w:t>发事件快速反应机制，有效预防和科学处置金</w:t>
      </w:r>
      <w:r>
        <w:rPr>
          <w:spacing w:val="7"/>
        </w:rPr>
        <w:t>融突发事件，最大限度减少金融突发事件对经</w:t>
      </w:r>
      <w:r>
        <w:rPr>
          <w:spacing w:val="15"/>
        </w:rPr>
        <w:t>济社会造成的危害和损失</w:t>
      </w:r>
      <w:r>
        <w:rPr>
          <w:spacing w:val="-40"/>
        </w:rPr>
        <w:t xml:space="preserve"> </w:t>
      </w:r>
      <w:r>
        <w:rPr>
          <w:spacing w:val="15"/>
        </w:rPr>
        <w:t>，维护全市金融稳</w:t>
      </w:r>
      <w:r>
        <w:rPr>
          <w:spacing w:val="8"/>
        </w:rPr>
        <w:t>定，确保经济安全和社会稳定。</w:t>
      </w:r>
    </w:p>
    <w:p>
      <w:pPr>
        <w:pStyle w:val="BodyText"/>
        <w:ind w:right="242" w:firstLine="457"/>
        <w:spacing w:before="161" w:line="349" w:lineRule="auto"/>
        <w:rPr/>
      </w:pPr>
      <w:r>
        <w:rPr>
          <w:rFonts w:ascii="Times New Roman" w:hAnsi="Times New Roman" w:eastAsia="Times New Roman" w:cs="Times New Roman"/>
          <w:spacing w:val="7"/>
        </w:rPr>
        <w:t>1.2  </w:t>
      </w:r>
      <w:r>
        <w:rPr>
          <w:rFonts w:ascii="KaiTi" w:hAnsi="KaiTi" w:eastAsia="KaiTi" w:cs="KaiTi"/>
          <w:spacing w:val="7"/>
        </w:rPr>
        <w:t>编制依据。</w:t>
      </w:r>
      <w:r>
        <w:rPr>
          <w:spacing w:val="7"/>
        </w:rPr>
        <w:t>《中华人民共和国突发事</w:t>
      </w:r>
      <w:r>
        <w:rPr>
          <w:spacing w:val="-2"/>
        </w:rPr>
        <w:t>件应对法》《国家金融突发事件应急预案》《突</w:t>
      </w:r>
      <w:r>
        <w:rPr>
          <w:spacing w:val="8"/>
        </w:rPr>
        <w:t>发事件应急预案管理办法》《宁夏回族自治区</w:t>
      </w:r>
      <w:r>
        <w:rPr>
          <w:spacing w:val="9"/>
        </w:rPr>
        <w:t>实施</w:t>
      </w:r>
      <w:r>
        <w:rPr>
          <w:rFonts w:ascii="Times New Roman" w:hAnsi="Times New Roman" w:eastAsia="Times New Roman" w:cs="Times New Roman"/>
          <w:spacing w:val="9"/>
        </w:rPr>
        <w:t>&lt;</w:t>
      </w:r>
      <w:r>
        <w:rPr>
          <w:rFonts w:ascii="Times New Roman" w:hAnsi="Times New Roman" w:eastAsia="Times New Roman" w:cs="Times New Roman"/>
          <w:spacing w:val="-17"/>
        </w:rPr>
        <w:t xml:space="preserve"> </w:t>
      </w:r>
      <w:r>
        <w:rPr>
          <w:spacing w:val="9"/>
        </w:rPr>
        <w:t>中华人民共和国突发事件应对法</w:t>
      </w:r>
      <w:r>
        <w:rPr>
          <w:rFonts w:ascii="Times New Roman" w:hAnsi="Times New Roman" w:eastAsia="Times New Roman" w:cs="Times New Roman"/>
          <w:spacing w:val="9"/>
        </w:rPr>
        <w:t>&gt;</w:t>
      </w:r>
      <w:r>
        <w:rPr>
          <w:spacing w:val="9"/>
        </w:rPr>
        <w:t>办法》</w:t>
      </w:r>
      <w:r>
        <w:rPr/>
        <w:t xml:space="preserve"> </w:t>
      </w:r>
      <w:r>
        <w:rPr>
          <w:spacing w:val="10"/>
        </w:rPr>
        <w:t>《固原市突发公共事件总体应急预案》等。</w:t>
      </w:r>
    </w:p>
    <w:p>
      <w:pPr>
        <w:pStyle w:val="BodyText"/>
        <w:ind w:left="15" w:right="248" w:firstLine="441"/>
        <w:spacing w:before="130" w:line="353" w:lineRule="auto"/>
        <w:rPr/>
      </w:pPr>
      <w:r>
        <w:rPr>
          <w:rFonts w:ascii="Times New Roman" w:hAnsi="Times New Roman" w:eastAsia="Times New Roman" w:cs="Times New Roman"/>
          <w:spacing w:val="7"/>
        </w:rPr>
        <w:t>1.3  </w:t>
      </w:r>
      <w:r>
        <w:rPr>
          <w:rFonts w:ascii="KaiTi" w:hAnsi="KaiTi" w:eastAsia="KaiTi" w:cs="KaiTi"/>
          <w:spacing w:val="7"/>
        </w:rPr>
        <w:t>适用范围。</w:t>
      </w:r>
      <w:r>
        <w:rPr>
          <w:spacing w:val="7"/>
        </w:rPr>
        <w:t>本预案所称的金融突发事</w:t>
      </w:r>
      <w:r>
        <w:rPr>
          <w:spacing w:val="7"/>
        </w:rPr>
        <w:t>件，是指金融机构（包括金融市场以及登记结</w:t>
      </w:r>
      <w:r>
        <w:rPr>
          <w:spacing w:val="1"/>
        </w:rPr>
        <w:t>算公司等，下同）或其他金融领域突然发生的、</w:t>
      </w:r>
      <w:r>
        <w:rPr>
          <w:spacing w:val="7"/>
        </w:rPr>
        <w:t>无法预期或难以预期的、严重影响或可能严重</w:t>
      </w:r>
      <w:r>
        <w:rPr>
          <w:spacing w:val="7"/>
        </w:rPr>
        <w:t>影响金融稳定、需要立即处置的金融事件。主</w:t>
      </w:r>
      <w:r>
        <w:rPr>
          <w:spacing w:val="9"/>
        </w:rPr>
        <w:t>要适用于下列突发事件的应急处置：</w:t>
      </w:r>
    </w:p>
    <w:p>
      <w:pPr>
        <w:pStyle w:val="BodyText"/>
        <w:ind w:left="15" w:right="329" w:firstLine="412"/>
        <w:spacing w:before="128" w:line="324" w:lineRule="auto"/>
        <w:rPr/>
      </w:pPr>
      <w:r>
        <w:rPr>
          <w:spacing w:val="6"/>
        </w:rPr>
        <w:t>（</w:t>
      </w:r>
      <w:r>
        <w:rPr>
          <w:spacing w:val="-34"/>
        </w:rPr>
        <w:t xml:space="preserve"> </w:t>
      </w:r>
      <w:r>
        <w:rPr>
          <w:rFonts w:ascii="Times New Roman" w:hAnsi="Times New Roman" w:eastAsia="Times New Roman" w:cs="Times New Roman"/>
          <w:spacing w:val="6"/>
        </w:rPr>
        <w:t>1 </w:t>
      </w:r>
      <w:r>
        <w:rPr>
          <w:spacing w:val="6"/>
        </w:rPr>
        <w:t>）因自然灾害、事故灾难、公共突发</w:t>
      </w:r>
      <w:r>
        <w:rPr>
          <w:spacing w:val="7"/>
        </w:rPr>
        <w:t>事件、社会安全事件等引发的危及金融安全与</w:t>
      </w:r>
      <w:r>
        <w:rPr>
          <w:spacing w:val="8"/>
        </w:rPr>
        <w:t>稳定的突发事件；</w:t>
      </w:r>
    </w:p>
    <w:p>
      <w:pPr>
        <w:pStyle w:val="BodyText"/>
        <w:ind w:left="33" w:right="310" w:firstLine="394"/>
        <w:spacing w:before="159" w:line="300" w:lineRule="auto"/>
        <w:rPr/>
      </w:pPr>
      <w:r>
        <w:rPr>
          <w:spacing w:val="-9"/>
        </w:rPr>
        <w:t>（</w:t>
      </w:r>
      <w:r>
        <w:rPr>
          <w:rFonts w:ascii="Times New Roman" w:hAnsi="Times New Roman" w:eastAsia="Times New Roman" w:cs="Times New Roman"/>
          <w:spacing w:val="-9"/>
        </w:rPr>
        <w:t>2</w:t>
      </w:r>
      <w:r>
        <w:rPr>
          <w:rFonts w:ascii="Times New Roman" w:hAnsi="Times New Roman" w:eastAsia="Times New Roman" w:cs="Times New Roman"/>
          <w:spacing w:val="-18"/>
        </w:rPr>
        <w:t xml:space="preserve"> </w:t>
      </w:r>
      <w:r>
        <w:rPr>
          <w:spacing w:val="-9"/>
        </w:rPr>
        <w:t>）因被冲击、被盗、被抢、被袭击等引发</w:t>
      </w:r>
      <w:r>
        <w:rPr>
          <w:spacing w:val="-8"/>
        </w:rPr>
        <w:t>的金融突发事件；</w:t>
      </w:r>
    </w:p>
    <w:p>
      <w:pPr>
        <w:pStyle w:val="BodyText"/>
        <w:ind w:left="16" w:right="322" w:firstLine="411"/>
        <w:spacing w:before="156" w:line="325" w:lineRule="auto"/>
        <w:rPr/>
      </w:pPr>
      <w:r>
        <w:rPr>
          <w:spacing w:val="9"/>
        </w:rPr>
        <w:t>（</w:t>
      </w:r>
      <w:r>
        <w:rPr>
          <w:rFonts w:ascii="Times New Roman" w:hAnsi="Times New Roman" w:eastAsia="Times New Roman" w:cs="Times New Roman"/>
          <w:spacing w:val="9"/>
        </w:rPr>
        <w:t>3 </w:t>
      </w:r>
      <w:r>
        <w:rPr>
          <w:spacing w:val="9"/>
        </w:rPr>
        <w:t>）因计算机系统硬件设施受损或普遍</w:t>
      </w:r>
      <w:r>
        <w:rPr>
          <w:spacing w:val="7"/>
        </w:rPr>
        <w:t>遭受病毒侵袭、网络攻击、黑客入侵等情况，</w:t>
      </w:r>
      <w:r>
        <w:rPr>
          <w:spacing w:val="9"/>
        </w:rPr>
        <w:t>造成系统性故障而引发的金融突发事件；</w:t>
      </w:r>
    </w:p>
    <w:p>
      <w:pPr>
        <w:pStyle w:val="BodyText"/>
        <w:ind w:left="428"/>
        <w:spacing w:before="156" w:line="278" w:lineRule="exact"/>
        <w:rPr/>
      </w:pPr>
      <w:r>
        <w:rPr>
          <w:spacing w:val="8"/>
          <w:position w:val="1"/>
        </w:rPr>
        <w:t>（</w:t>
      </w:r>
      <w:r>
        <w:rPr>
          <w:rFonts w:ascii="Times New Roman" w:hAnsi="Times New Roman" w:eastAsia="Times New Roman" w:cs="Times New Roman"/>
          <w:spacing w:val="8"/>
          <w:position w:val="1"/>
        </w:rPr>
        <w:t>4 </w:t>
      </w:r>
      <w:r>
        <w:rPr>
          <w:spacing w:val="8"/>
          <w:position w:val="1"/>
        </w:rPr>
        <w:t>）因高级管理人员集体辞职、失踪、</w:t>
      </w:r>
    </w:p>
    <w:p>
      <w:pPr>
        <w:spacing w:line="14" w:lineRule="auto"/>
        <w:rPr>
          <w:rFonts w:ascii="Arial"/>
          <w:sz w:val="2"/>
        </w:rPr>
      </w:pPr>
      <w:r>
        <w:rPr>
          <w:rFonts w:ascii="Arial" w:hAnsi="Arial" w:eastAsia="Arial" w:cs="Arial"/>
          <w:sz w:val="2"/>
          <w:szCs w:val="2"/>
        </w:rPr>
        <w:br w:type="column"/>
      </w:r>
    </w:p>
    <w:p>
      <w:pPr>
        <w:pStyle w:val="BodyText"/>
        <w:ind w:left="1" w:right="82" w:firstLine="1"/>
        <w:spacing w:before="57" w:line="366" w:lineRule="auto"/>
        <w:jc w:val="both"/>
        <w:rPr/>
      </w:pPr>
      <w:r>
        <w:rPr>
          <w:spacing w:val="7"/>
        </w:rPr>
        <w:t>发生重大意外事件或者高级管理人员、业务人</w:t>
      </w:r>
      <w:r>
        <w:rPr>
          <w:spacing w:val="7"/>
        </w:rPr>
        <w:t>员携巨款潜逃，发生特大金融诈骗案件等重大</w:t>
      </w:r>
      <w:r>
        <w:rPr>
          <w:spacing w:val="9"/>
        </w:rPr>
        <w:t>金融犯罪案件而引发的金融突发事件；</w:t>
      </w:r>
    </w:p>
    <w:p>
      <w:pPr>
        <w:pStyle w:val="BodyText"/>
        <w:ind w:left="3" w:right="84" w:firstLine="409"/>
        <w:spacing w:before="18" w:line="301" w:lineRule="auto"/>
        <w:rPr/>
      </w:pPr>
      <w:r>
        <w:rPr>
          <w:spacing w:val="7"/>
        </w:rPr>
        <w:t>（</w:t>
      </w:r>
      <w:r>
        <w:rPr>
          <w:spacing w:val="-53"/>
        </w:rPr>
        <w:t xml:space="preserve"> </w:t>
      </w:r>
      <w:r>
        <w:rPr>
          <w:rFonts w:ascii="Times New Roman" w:hAnsi="Times New Roman" w:eastAsia="Times New Roman" w:cs="Times New Roman"/>
          <w:spacing w:val="7"/>
        </w:rPr>
        <w:t>5 </w:t>
      </w:r>
      <w:r>
        <w:rPr>
          <w:spacing w:val="7"/>
        </w:rPr>
        <w:t>）因发生支付困难、偿付能力恶化或</w:t>
      </w:r>
      <w:r>
        <w:rPr>
          <w:spacing w:val="9"/>
        </w:rPr>
        <w:t>者出现巨额亏损等引发的金融突发事件；</w:t>
      </w:r>
    </w:p>
    <w:p>
      <w:pPr>
        <w:pStyle w:val="BodyText"/>
        <w:ind w:left="1" w:right="82" w:firstLine="411"/>
        <w:spacing w:before="155" w:line="325" w:lineRule="auto"/>
        <w:rPr/>
      </w:pPr>
      <w:r>
        <w:rPr>
          <w:spacing w:val="9"/>
        </w:rPr>
        <w:t>（</w:t>
      </w:r>
      <w:r>
        <w:rPr>
          <w:rFonts w:ascii="Times New Roman" w:hAnsi="Times New Roman" w:eastAsia="Times New Roman" w:cs="Times New Roman"/>
          <w:spacing w:val="9"/>
        </w:rPr>
        <w:t>6 </w:t>
      </w:r>
      <w:r>
        <w:rPr>
          <w:spacing w:val="9"/>
        </w:rPr>
        <w:t>）因对金融业、金融机构等进行负面</w:t>
      </w:r>
      <w:r>
        <w:rPr>
          <w:spacing w:val="7"/>
        </w:rPr>
        <w:t>失实报道，严重影响金融业健康发展而引发的</w:t>
      </w:r>
      <w:r>
        <w:rPr>
          <w:spacing w:val="7"/>
        </w:rPr>
        <w:t>金融突发事件；</w:t>
      </w:r>
    </w:p>
    <w:p>
      <w:pPr>
        <w:pStyle w:val="BodyText"/>
        <w:ind w:left="2" w:right="84" w:firstLine="410"/>
        <w:spacing w:before="155" w:line="298" w:lineRule="auto"/>
        <w:rPr/>
      </w:pPr>
      <w:r>
        <w:rPr>
          <w:spacing w:val="11"/>
        </w:rPr>
        <w:t>（</w:t>
      </w:r>
      <w:r>
        <w:rPr>
          <w:rFonts w:ascii="Times New Roman" w:hAnsi="Times New Roman" w:eastAsia="Times New Roman" w:cs="Times New Roman"/>
          <w:spacing w:val="11"/>
        </w:rPr>
        <w:t>7</w:t>
      </w:r>
      <w:r>
        <w:rPr>
          <w:rFonts w:ascii="Times New Roman" w:hAnsi="Times New Roman" w:eastAsia="Times New Roman" w:cs="Times New Roman"/>
          <w:spacing w:val="-18"/>
        </w:rPr>
        <w:t xml:space="preserve"> </w:t>
      </w:r>
      <w:r>
        <w:rPr>
          <w:spacing w:val="11"/>
        </w:rPr>
        <w:t>）发生其他影响金融稳定运行的突发</w:t>
      </w:r>
      <w:r>
        <w:rPr>
          <w:spacing w:val="4"/>
        </w:rPr>
        <w:t>事件。</w:t>
      </w:r>
    </w:p>
    <w:p>
      <w:pPr>
        <w:ind w:left="441"/>
        <w:spacing w:before="164" w:line="241" w:lineRule="auto"/>
        <w:rPr>
          <w:rFonts w:ascii="KaiTi" w:hAnsi="KaiTi" w:eastAsia="KaiTi" w:cs="KaiTi"/>
          <w:sz w:val="20"/>
          <w:szCs w:val="20"/>
        </w:rPr>
      </w:pPr>
      <w:r>
        <w:rPr>
          <w:rFonts w:ascii="Times New Roman" w:hAnsi="Times New Roman" w:eastAsia="Times New Roman" w:cs="Times New Roman"/>
          <w:sz w:val="20"/>
          <w:szCs w:val="20"/>
          <w:spacing w:val="1"/>
        </w:rPr>
        <w:t>1.4</w:t>
      </w:r>
      <w:r>
        <w:rPr>
          <w:rFonts w:ascii="Times New Roman" w:hAnsi="Times New Roman" w:eastAsia="Times New Roman" w:cs="Times New Roman"/>
          <w:sz w:val="20"/>
          <w:szCs w:val="20"/>
          <w:spacing w:val="10"/>
        </w:rPr>
        <w:t xml:space="preserve">  </w:t>
      </w:r>
      <w:r>
        <w:rPr>
          <w:rFonts w:ascii="KaiTi" w:hAnsi="KaiTi" w:eastAsia="KaiTi" w:cs="KaiTi"/>
          <w:sz w:val="20"/>
          <w:szCs w:val="20"/>
          <w:spacing w:val="1"/>
        </w:rPr>
        <w:t>工作原则。</w:t>
      </w:r>
    </w:p>
    <w:p>
      <w:pPr>
        <w:pStyle w:val="BodyText"/>
        <w:ind w:right="15" w:firstLine="412"/>
        <w:spacing w:before="144" w:line="373" w:lineRule="auto"/>
        <w:jc w:val="both"/>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）关口前移，预防为主。各金融行业</w:t>
      </w:r>
      <w:r>
        <w:rPr>
          <w:spacing w:val="7"/>
        </w:rPr>
        <w:t>主管、监管部门应当按照上级部门的要求，在</w:t>
      </w:r>
      <w:r>
        <w:rPr>
          <w:spacing w:val="7"/>
        </w:rPr>
        <w:t>本预案的基础上，制定本系统的金融突发事件</w:t>
      </w:r>
      <w:r>
        <w:rPr>
          <w:spacing w:val="7"/>
        </w:rPr>
        <w:t>应急预案；指导、督促所管辖金融机构切实完</w:t>
      </w:r>
      <w:r>
        <w:rPr/>
        <w:t>善法人治理结构，建立科学、高效的内控机制；</w:t>
      </w:r>
      <w:r>
        <w:rPr>
          <w:spacing w:val="7"/>
        </w:rPr>
        <w:t>通过各类监管手段，检查金融机构相应制度的</w:t>
      </w:r>
      <w:r>
        <w:rPr>
          <w:spacing w:val="7"/>
        </w:rPr>
        <w:t>制订、落实和执行情况；积极推进本系统金融</w:t>
      </w:r>
      <w:r>
        <w:rPr/>
        <w:t>突发事件监测工作的科学化、信息化和实时化。</w:t>
      </w:r>
    </w:p>
    <w:p>
      <w:pPr>
        <w:pStyle w:val="BodyText"/>
        <w:ind w:left="1" w:firstLine="420"/>
        <w:spacing w:before="2" w:line="372" w:lineRule="auto"/>
        <w:jc w:val="both"/>
        <w:rPr/>
      </w:pPr>
      <w:r>
        <w:rPr>
          <w:spacing w:val="6"/>
        </w:rPr>
        <w:t>各金融机构要在行业主管、监管部门的指</w:t>
      </w:r>
      <w:r>
        <w:rPr>
          <w:spacing w:val="7"/>
        </w:rPr>
        <w:t>导和帮助下，完善法人治理结构，建立内控机</w:t>
      </w:r>
      <w:r>
        <w:rPr>
          <w:spacing w:val="7"/>
        </w:rPr>
        <w:t>制；成立金融突发事件应急指挥部，建立金融</w:t>
      </w:r>
      <w:r>
        <w:rPr>
          <w:spacing w:val="7"/>
        </w:rPr>
        <w:t>突发事件应急工作第一责任人制度，负责本单</w:t>
      </w:r>
      <w:r>
        <w:rPr>
          <w:spacing w:val="-8"/>
        </w:rPr>
        <w:t>位的金融突发事件防范、监测、决策和处置工作。</w:t>
      </w:r>
    </w:p>
    <w:p>
      <w:pPr>
        <w:pStyle w:val="BodyText"/>
        <w:ind w:right="84" w:firstLine="413"/>
        <w:spacing w:before="1" w:line="300" w:lineRule="auto"/>
        <w:rPr/>
      </w:pPr>
      <w:r>
        <w:rPr>
          <w:spacing w:val="12"/>
        </w:rPr>
        <w:t>（</w:t>
      </w:r>
      <w:r>
        <w:rPr>
          <w:rFonts w:ascii="Times New Roman" w:hAnsi="Times New Roman" w:eastAsia="Times New Roman" w:cs="Times New Roman"/>
          <w:spacing w:val="12"/>
        </w:rPr>
        <w:t>2</w:t>
      </w:r>
      <w:r>
        <w:rPr>
          <w:spacing w:val="12"/>
        </w:rPr>
        <w:t>）统一协调，科学决策。在自治区有</w:t>
      </w:r>
      <w:r>
        <w:rPr>
          <w:spacing w:val="7"/>
        </w:rPr>
        <w:t>关部门和市委、市政府的领导下，协调、整</w:t>
      </w:r>
    </w:p>
    <w:p>
      <w:pPr>
        <w:pStyle w:val="BodyText"/>
        <w:ind w:left="1" w:right="108" w:hanging="1"/>
        <w:spacing w:before="27" w:line="269" w:lineRule="auto"/>
        <w:rPr/>
      </w:pPr>
      <w:r>
        <w:rPr>
          <w:spacing w:val="7"/>
        </w:rPr>
        <w:t>合本市有关部门、机构的资源，开展金融突</w:t>
      </w:r>
      <w:r>
        <w:rPr>
          <w:spacing w:val="16"/>
        </w:rPr>
        <w:t>发事件应急工作，建立良好的突发事件应急</w:t>
      </w:r>
      <w:r>
        <w:rPr>
          <w:spacing w:val="13"/>
        </w:rPr>
        <w:t>工作机</w:t>
      </w:r>
    </w:p>
    <w:p>
      <w:pPr>
        <w:spacing w:line="269" w:lineRule="auto"/>
        <w:sectPr>
          <w:type w:val="continuous"/>
          <w:pgSz w:w="11906" w:h="16839"/>
          <w:pgMar w:top="1766" w:right="1508" w:bottom="1574" w:left="1576" w:header="1428" w:footer="1172" w:gutter="0"/>
          <w:cols w:equalWidth="0" w:num="2">
            <w:col w:w="4492" w:space="100"/>
            <w:col w:w="4230" w:space="0"/>
          </w:cols>
        </w:sectPr>
        <w:rPr/>
      </w:pPr>
    </w:p>
    <w:p>
      <w:pPr>
        <w:spacing w:before="68"/>
        <w:rPr/>
      </w:pPr>
      <w:r>
        <w:drawing>
          <wp:anchor distT="0" distB="0" distL="0" distR="0" simplePos="0" relativeHeight="254304256"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264" name="IM 2264"/>
            <wp:cNvGraphicFramePr/>
            <a:graphic>
              <a:graphicData uri="http://schemas.openxmlformats.org/drawingml/2006/picture">
                <pic:pic>
                  <pic:nvPicPr>
                    <pic:cNvPr id="2264" name="IM 2264"/>
                    <pic:cNvPicPr/>
                  </pic:nvPicPr>
                  <pic:blipFill>
                    <a:blip r:embed="rId1136"/>
                    <a:stretch>
                      <a:fillRect/>
                    </a:stretch>
                  </pic:blipFill>
                  <pic:spPr>
                    <a:xfrm rot="0">
                      <a:off x="0" y="0"/>
                      <a:ext cx="5579745" cy="7620"/>
                    </a:xfrm>
                    <a:prstGeom prst="rect">
                      <a:avLst/>
                    </a:prstGeom>
                  </pic:spPr>
                </pic:pic>
              </a:graphicData>
            </a:graphic>
          </wp:anchor>
        </w:drawing>
      </w:r>
      <w:r/>
    </w:p>
    <w:p>
      <w:pPr>
        <w:sectPr>
          <w:headerReference w:type="default" r:id="rId1048"/>
          <w:footerReference w:type="default" r:id="rId1135"/>
          <w:pgSz w:w="11906" w:h="16839"/>
          <w:pgMar w:top="1772" w:right="1489" w:bottom="1572" w:left="1571" w:header="1428" w:footer="1172" w:gutter="0"/>
          <w:cols w:equalWidth="0" w:num="1">
            <w:col w:w="8846" w:space="0"/>
          </w:cols>
        </w:sectPr>
        <w:rPr/>
      </w:pPr>
    </w:p>
    <w:p>
      <w:pPr>
        <w:pStyle w:val="BodyText"/>
        <w:ind w:left="25" w:right="322" w:hanging="3"/>
        <w:spacing w:before="48" w:line="375" w:lineRule="auto"/>
        <w:rPr/>
      </w:pPr>
      <w:r>
        <w:rPr>
          <w:spacing w:val="7"/>
        </w:rPr>
        <w:t>制，掌握信息、制定预案、整合力量、开展应</w:t>
      </w:r>
      <w:r>
        <w:rPr>
          <w:spacing w:val="5"/>
        </w:rPr>
        <w:t>急工作。</w:t>
      </w:r>
    </w:p>
    <w:p>
      <w:pPr>
        <w:pStyle w:val="BodyText"/>
        <w:ind w:left="20" w:right="322" w:firstLine="421"/>
        <w:spacing w:before="10" w:line="387" w:lineRule="auto"/>
        <w:jc w:val="both"/>
        <w:rPr/>
      </w:pPr>
      <w:r>
        <w:rPr>
          <w:spacing w:val="6"/>
        </w:rPr>
        <w:t>各行业主管、监管部门应当结合金融监管</w:t>
      </w:r>
      <w:r>
        <w:rPr>
          <w:spacing w:val="7"/>
        </w:rPr>
        <w:t>以及运行指标、国际国内宏观经济指标等，建</w:t>
      </w:r>
      <w:r>
        <w:rPr>
          <w:spacing w:val="7"/>
        </w:rPr>
        <w:t>立相应的金融突发事件预警监测系统，明确突</w:t>
      </w:r>
      <w:r>
        <w:rPr>
          <w:spacing w:val="7"/>
        </w:rPr>
        <w:t>发事件分类标准，对各类金融突发事件进行早</w:t>
      </w:r>
      <w:r>
        <w:rPr>
          <w:spacing w:val="7"/>
        </w:rPr>
        <w:t>期识别、及时预警、动态跟踪和科学评估。一</w:t>
      </w:r>
      <w:r>
        <w:rPr>
          <w:spacing w:val="7"/>
        </w:rPr>
        <w:t>旦发生金融突发事件，及时研判、提出分类分</w:t>
      </w:r>
      <w:r>
        <w:rPr>
          <w:spacing w:val="7"/>
        </w:rPr>
        <w:t>级意见，为进入相应决策程序及决策调整提供</w:t>
      </w:r>
      <w:r>
        <w:rPr>
          <w:spacing w:val="7"/>
        </w:rPr>
        <w:t>科学依据。</w:t>
      </w:r>
    </w:p>
    <w:p>
      <w:pPr>
        <w:pStyle w:val="BodyText"/>
        <w:ind w:left="21" w:right="322" w:firstLine="412"/>
        <w:spacing w:line="355" w:lineRule="auto"/>
        <w:rPr/>
      </w:pPr>
      <w:r>
        <w:rPr>
          <w:spacing w:val="9"/>
        </w:rPr>
        <w:t>（</w:t>
      </w:r>
      <w:r>
        <w:rPr>
          <w:rFonts w:ascii="Times New Roman" w:hAnsi="Times New Roman" w:eastAsia="Times New Roman" w:cs="Times New Roman"/>
          <w:spacing w:val="9"/>
        </w:rPr>
        <w:t>3 </w:t>
      </w:r>
      <w:r>
        <w:rPr>
          <w:spacing w:val="9"/>
        </w:rPr>
        <w:t>）明确责任，分级处理。各金融机构</w:t>
      </w:r>
      <w:r>
        <w:rPr>
          <w:spacing w:val="7"/>
        </w:rPr>
        <w:t>是本市金融突发事件的责任主体。不同级别和</w:t>
      </w:r>
      <w:r>
        <w:rPr>
          <w:spacing w:val="18"/>
        </w:rPr>
        <w:t>不同行业的金融突发事件应急工作由相应的</w:t>
      </w:r>
      <w:r>
        <w:rPr>
          <w:spacing w:val="7"/>
        </w:rPr>
        <w:t>行业主管、监管部门负责处理，相应部门、单</w:t>
      </w:r>
      <w:r>
        <w:rPr>
          <w:spacing w:val="8"/>
        </w:rPr>
        <w:t>位予以支持和配合。</w:t>
      </w:r>
    </w:p>
    <w:p>
      <w:pPr>
        <w:pStyle w:val="BodyText"/>
        <w:ind w:left="20" w:right="322" w:firstLine="413"/>
        <w:spacing w:before="178" w:line="367"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）整体规划，分步实施。本预案是本</w:t>
      </w:r>
      <w:r>
        <w:rPr>
          <w:spacing w:val="18"/>
        </w:rPr>
        <w:t>市金融突发事件应急工作总纲。相应政府部</w:t>
      </w:r>
      <w:r>
        <w:rPr>
          <w:spacing w:val="7"/>
        </w:rPr>
        <w:t>门、监管部门和金融机构应当按照各自上级主</w:t>
      </w:r>
      <w:r>
        <w:rPr>
          <w:spacing w:val="7"/>
        </w:rPr>
        <w:t>管部门的相关规定，结合前瞻性和可操作性的</w:t>
      </w:r>
      <w:r>
        <w:rPr>
          <w:spacing w:val="7"/>
        </w:rPr>
        <w:t>要求，逐步制定覆盖金融突发事件应急工作各</w:t>
      </w:r>
      <w:r>
        <w:rPr>
          <w:spacing w:val="7"/>
        </w:rPr>
        <w:t>个层面和环节的预警系统及子预案，并在实践</w:t>
      </w:r>
      <w:r>
        <w:rPr>
          <w:spacing w:val="7"/>
        </w:rPr>
        <w:t>中不断加以完善，最终形成金融突发事件应急</w:t>
      </w:r>
      <w:r>
        <w:rPr>
          <w:spacing w:val="8"/>
        </w:rPr>
        <w:t>工作的完整体系。</w:t>
      </w:r>
    </w:p>
    <w:p>
      <w:pPr>
        <w:ind w:left="443"/>
        <w:spacing w:before="173"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2</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3"/>
        </w:rPr>
        <w:t>组织体系</w:t>
      </w:r>
    </w:p>
    <w:p>
      <w:pPr>
        <w:pStyle w:val="BodyText"/>
        <w:ind w:left="21" w:right="322" w:firstLine="421"/>
        <w:spacing w:before="120" w:line="384" w:lineRule="auto"/>
        <w:rPr/>
      </w:pPr>
      <w:r>
        <w:rPr>
          <w:spacing w:val="6"/>
        </w:rPr>
        <w:t>鉴于金融行业垂直管理、分业监管的特殊</w:t>
      </w:r>
      <w:r>
        <w:rPr>
          <w:spacing w:val="7"/>
        </w:rPr>
        <w:t>性，金融突发事件的应急处置按照《国家金融</w:t>
      </w:r>
      <w:r>
        <w:rPr>
          <w:spacing w:val="7"/>
        </w:rPr>
        <w:t>突发事件应急预案》规定，以行业主管、监管</w:t>
      </w:r>
      <w:r>
        <w:rPr>
          <w:spacing w:val="7"/>
        </w:rPr>
        <w:t>部门为主，地方政府配合协调。市政府根据工</w:t>
      </w:r>
      <w:r>
        <w:rPr>
          <w:spacing w:val="7"/>
        </w:rPr>
        <w:t>作需要，成立市金融突发事件应急指挥部及其</w:t>
      </w:r>
      <w:r>
        <w:rPr>
          <w:spacing w:val="8"/>
        </w:rPr>
        <w:t>办公室，配合开展相关工作。</w:t>
      </w:r>
    </w:p>
    <w:p>
      <w:pPr>
        <w:pStyle w:val="BodyText"/>
        <w:ind w:left="442"/>
        <w:spacing w:before="18" w:line="242" w:lineRule="auto"/>
        <w:rPr/>
      </w:pPr>
      <w:r>
        <w:rPr>
          <w:rFonts w:ascii="Times New Roman" w:hAnsi="Times New Roman" w:eastAsia="Times New Roman" w:cs="Times New Roman"/>
          <w:spacing w:val="7"/>
        </w:rPr>
        <w:t>2.</w:t>
      </w:r>
      <w:r>
        <w:rPr>
          <w:rFonts w:ascii="Times New Roman" w:hAnsi="Times New Roman" w:eastAsia="Times New Roman" w:cs="Times New Roman"/>
          <w:spacing w:val="-23"/>
        </w:rPr>
        <w:t xml:space="preserve"> </w:t>
      </w:r>
      <w:r>
        <w:rPr>
          <w:rFonts w:ascii="Times New Roman" w:hAnsi="Times New Roman" w:eastAsia="Times New Roman" w:cs="Times New Roman"/>
          <w:spacing w:val="7"/>
        </w:rPr>
        <w:t>1  </w:t>
      </w:r>
      <w:r>
        <w:rPr>
          <w:rFonts w:ascii="KaiTi" w:hAnsi="KaiTi" w:eastAsia="KaiTi" w:cs="KaiTi"/>
          <w:spacing w:val="7"/>
        </w:rPr>
        <w:t>市处置金融突发事件应急指挥部。</w:t>
      </w:r>
      <w:r>
        <w:rPr>
          <w:spacing w:val="7"/>
        </w:rPr>
        <w:t>市</w:t>
      </w:r>
    </w:p>
    <w:p>
      <w:pPr>
        <w:spacing w:line="14" w:lineRule="auto"/>
        <w:rPr>
          <w:rFonts w:ascii="Arial"/>
          <w:sz w:val="2"/>
        </w:rPr>
      </w:pPr>
      <w:r>
        <w:rPr>
          <w:rFonts w:ascii="Arial" w:hAnsi="Arial" w:eastAsia="Arial" w:cs="Arial"/>
          <w:sz w:val="2"/>
          <w:szCs w:val="2"/>
        </w:rPr>
        <w:br w:type="column"/>
      </w:r>
    </w:p>
    <w:p>
      <w:pPr>
        <w:pStyle w:val="BodyText"/>
        <w:ind w:left="7" w:right="20"/>
        <w:spacing w:before="56" w:line="388" w:lineRule="auto"/>
        <w:jc w:val="both"/>
        <w:rPr/>
      </w:pPr>
      <w:r>
        <w:rPr>
          <w:spacing w:val="10"/>
        </w:rPr>
        <w:t>金融突发事件应急指挥部（</w:t>
      </w:r>
      <w:r>
        <w:rPr>
          <w:spacing w:val="-45"/>
        </w:rPr>
        <w:t xml:space="preserve"> </w:t>
      </w:r>
      <w:r>
        <w:rPr>
          <w:spacing w:val="10"/>
        </w:rPr>
        <w:t>以下简称</w:t>
      </w:r>
      <w:r>
        <w:rPr>
          <w:rFonts w:ascii="Times New Roman" w:hAnsi="Times New Roman" w:eastAsia="Times New Roman" w:cs="Times New Roman"/>
          <w:spacing w:val="10"/>
        </w:rPr>
        <w:t>“</w:t>
      </w:r>
      <w:r>
        <w:rPr>
          <w:spacing w:val="10"/>
        </w:rPr>
        <w:t>市指挥</w:t>
      </w:r>
      <w:r>
        <w:rPr>
          <w:spacing w:val="7"/>
        </w:rPr>
        <w:t>部</w:t>
      </w:r>
      <w:r>
        <w:rPr>
          <w:rFonts w:ascii="Times New Roman" w:hAnsi="Times New Roman" w:eastAsia="Times New Roman" w:cs="Times New Roman"/>
          <w:spacing w:val="7"/>
        </w:rPr>
        <w:t>” </w:t>
      </w:r>
      <w:r>
        <w:rPr>
          <w:spacing w:val="7"/>
        </w:rPr>
        <w:t>）由分管金融工作的副市长任组长</w:t>
      </w:r>
      <w:r>
        <w:rPr>
          <w:spacing w:val="-41"/>
        </w:rPr>
        <w:t xml:space="preserve"> </w:t>
      </w:r>
      <w:r>
        <w:rPr>
          <w:spacing w:val="7"/>
        </w:rPr>
        <w:t>，联系</w:t>
      </w:r>
      <w:r>
        <w:rPr>
          <w:spacing w:val="7"/>
        </w:rPr>
        <w:t>金融的市政府副秘书长任常务副组长，市金融</w:t>
      </w:r>
      <w:r>
        <w:rPr>
          <w:spacing w:val="7"/>
        </w:rPr>
        <w:t>工作局、人民银行固原市中心支行（外汇管理</w:t>
      </w:r>
      <w:r>
        <w:rPr>
          <w:spacing w:val="7"/>
        </w:rPr>
        <w:t>局固原市中心支局）、银保监分局主要负责人</w:t>
      </w:r>
      <w:r>
        <w:rPr>
          <w:spacing w:val="1"/>
        </w:rPr>
        <w:t>分别任副组长。成员由市委宣传部、市公安局、</w:t>
      </w:r>
      <w:r>
        <w:rPr>
          <w:spacing w:val="7"/>
        </w:rPr>
        <w:t>市财政局、市商务和投资促进局、市场监督管</w:t>
      </w:r>
      <w:r>
        <w:rPr>
          <w:spacing w:val="7"/>
        </w:rPr>
        <w:t>理局、事发地区县政府等部门和单位相关负责</w:t>
      </w:r>
      <w:r>
        <w:rPr>
          <w:spacing w:val="5"/>
        </w:rPr>
        <w:t>人组成。各成员单位确定</w:t>
      </w:r>
      <w:r>
        <w:rPr>
          <w:spacing w:val="-8"/>
        </w:rPr>
        <w:t xml:space="preserve"> </w:t>
      </w:r>
      <w:r>
        <w:rPr>
          <w:rFonts w:ascii="Times New Roman" w:hAnsi="Times New Roman" w:eastAsia="Times New Roman" w:cs="Times New Roman"/>
          <w:spacing w:val="5"/>
        </w:rPr>
        <w:t>1 </w:t>
      </w:r>
      <w:r>
        <w:rPr>
          <w:spacing w:val="5"/>
        </w:rPr>
        <w:t>名工作人员为联络</w:t>
      </w:r>
      <w:r>
        <w:rPr>
          <w:spacing w:val="10"/>
        </w:rPr>
        <w:t>员。成员单位构成可视具体情况作适当调整。</w:t>
      </w:r>
      <w:r>
        <w:rPr>
          <w:spacing w:val="7"/>
        </w:rPr>
        <w:t>其主要职责为：</w:t>
      </w:r>
    </w:p>
    <w:p>
      <w:pPr>
        <w:pStyle w:val="BodyText"/>
        <w:ind w:left="6" w:right="94" w:firstLine="423"/>
        <w:spacing w:before="8" w:line="387" w:lineRule="auto"/>
        <w:jc w:val="both"/>
        <w:rPr/>
      </w:pPr>
      <w:r>
        <w:rPr>
          <w:spacing w:val="6"/>
        </w:rPr>
        <w:t>根据行业主管、监管部门的建议，决定启</w:t>
      </w:r>
      <w:r>
        <w:rPr>
          <w:spacing w:val="7"/>
        </w:rPr>
        <w:t>动本预案和终止响应程序；配合行业主管、监</w:t>
      </w:r>
      <w:r>
        <w:rPr>
          <w:spacing w:val="18"/>
        </w:rPr>
        <w:t>管部门应急处置指挥机构对重大金融突发事</w:t>
      </w:r>
      <w:r>
        <w:rPr>
          <w:spacing w:val="7"/>
        </w:rPr>
        <w:t>件实施处置；确定本预案成员单位在应急处置</w:t>
      </w:r>
      <w:r>
        <w:rPr>
          <w:spacing w:val="7"/>
        </w:rPr>
        <w:t>过程中的具体职责分工，组织协调有关部门，</w:t>
      </w:r>
      <w:r>
        <w:rPr>
          <w:spacing w:val="18"/>
        </w:rPr>
        <w:t>协助金融突发事件发生单位恢复正常经营秩</w:t>
      </w:r>
      <w:r>
        <w:rPr>
          <w:spacing w:val="7"/>
        </w:rPr>
        <w:t>序，维护社会治安，防止因金融突发事件引发</w:t>
      </w:r>
      <w:r>
        <w:rPr>
          <w:spacing w:val="7"/>
        </w:rPr>
        <w:t>社会不稳定事件；分析研究本市金融安全事件</w:t>
      </w:r>
      <w:r>
        <w:rPr>
          <w:spacing w:val="7"/>
        </w:rPr>
        <w:t>的有关信息，制定应急措施；协调、指导有关</w:t>
      </w:r>
      <w:r>
        <w:rPr>
          <w:spacing w:val="7"/>
        </w:rPr>
        <w:t>金融机构的重组、关闭和破产事宜。必要时，</w:t>
      </w:r>
      <w:r>
        <w:rPr>
          <w:spacing w:val="18"/>
        </w:rPr>
        <w:t>市指挥部根据需要转为市金融突发事件应急</w:t>
      </w:r>
      <w:r>
        <w:rPr>
          <w:spacing w:val="7"/>
        </w:rPr>
        <w:t>处置协调保障组，协调本市相关资源，配合行</w:t>
      </w:r>
      <w:r>
        <w:rPr>
          <w:spacing w:val="18"/>
        </w:rPr>
        <w:t>业主管、监管部门处置金融突发事件指挥机</w:t>
      </w:r>
      <w:r>
        <w:rPr>
          <w:spacing w:val="8"/>
        </w:rPr>
        <w:t>构，做好有关保障工作。</w:t>
      </w:r>
    </w:p>
    <w:p>
      <w:pPr>
        <w:pStyle w:val="BodyText"/>
        <w:ind w:right="16" w:firstLine="428"/>
        <w:spacing w:before="6" w:line="359" w:lineRule="auto"/>
        <w:jc w:val="both"/>
        <w:rPr/>
      </w:pPr>
      <w:r>
        <w:rPr>
          <w:rFonts w:ascii="Times New Roman" w:hAnsi="Times New Roman" w:eastAsia="Times New Roman" w:cs="Times New Roman"/>
          <w:spacing w:val="8"/>
        </w:rPr>
        <w:t>2.2  </w:t>
      </w:r>
      <w:r>
        <w:rPr>
          <w:rFonts w:ascii="KaiTi" w:hAnsi="KaiTi" w:eastAsia="KaiTi" w:cs="KaiTi"/>
          <w:spacing w:val="8"/>
        </w:rPr>
        <w:t>市处置金融突发事件应急指挥部办公</w:t>
      </w:r>
      <w:r>
        <w:rPr>
          <w:rFonts w:ascii="KaiTi" w:hAnsi="KaiTi" w:eastAsia="KaiTi" w:cs="KaiTi"/>
          <w:spacing w:val="18"/>
        </w:rPr>
        <w:t>室。</w:t>
      </w:r>
      <w:r>
        <w:rPr>
          <w:spacing w:val="18"/>
        </w:rPr>
        <w:t>市金融突发事件应急指挥部下设办公室</w:t>
      </w:r>
      <w:r>
        <w:rPr>
          <w:spacing w:val="6"/>
        </w:rPr>
        <w:t>（</w:t>
      </w:r>
      <w:r>
        <w:rPr>
          <w:spacing w:val="-48"/>
        </w:rPr>
        <w:t xml:space="preserve"> </w:t>
      </w:r>
      <w:r>
        <w:rPr>
          <w:spacing w:val="6"/>
        </w:rPr>
        <w:t>以下简称</w:t>
      </w:r>
      <w:r>
        <w:rPr>
          <w:rFonts w:ascii="Times New Roman" w:hAnsi="Times New Roman" w:eastAsia="Times New Roman" w:cs="Times New Roman"/>
          <w:spacing w:val="6"/>
        </w:rPr>
        <w:t>“</w:t>
      </w:r>
      <w:r>
        <w:rPr>
          <w:spacing w:val="6"/>
        </w:rPr>
        <w:t>市指挥部办公室</w:t>
      </w:r>
      <w:r>
        <w:rPr>
          <w:rFonts w:ascii="Times New Roman" w:hAnsi="Times New Roman" w:eastAsia="Times New Roman" w:cs="Times New Roman"/>
          <w:spacing w:val="6"/>
        </w:rPr>
        <w:t>” </w:t>
      </w:r>
      <w:r>
        <w:rPr>
          <w:spacing w:val="-22"/>
        </w:rPr>
        <w:t>），</w:t>
      </w:r>
      <w:r>
        <w:rPr>
          <w:spacing w:val="6"/>
        </w:rPr>
        <w:t>设在市金融</w:t>
      </w:r>
      <w:r>
        <w:rPr>
          <w:spacing w:val="7"/>
        </w:rPr>
        <w:t>局，市金融局主要负责人任主任，负责市指挥</w:t>
      </w:r>
      <w:r>
        <w:rPr>
          <w:spacing w:val="-5"/>
        </w:rPr>
        <w:t>部日常工作。办公室值班电话为：</w:t>
      </w:r>
      <w:r>
        <w:rPr>
          <w:rFonts w:ascii="Times New Roman" w:hAnsi="Times New Roman" w:eastAsia="Times New Roman" w:cs="Times New Roman"/>
          <w:spacing w:val="-5"/>
        </w:rPr>
        <w:t>0954-2088156</w:t>
      </w:r>
      <w:r>
        <w:rPr>
          <w:spacing w:val="-5"/>
        </w:rPr>
        <w:t>。</w:t>
      </w:r>
      <w:r>
        <w:rPr>
          <w:spacing w:val="8"/>
        </w:rPr>
        <w:t>其主要职责为：</w:t>
      </w:r>
    </w:p>
    <w:p>
      <w:pPr>
        <w:spacing w:line="359" w:lineRule="auto"/>
        <w:sectPr>
          <w:type w:val="continuous"/>
          <w:pgSz w:w="11906" w:h="16839"/>
          <w:pgMar w:top="1772" w:right="1489" w:bottom="1572" w:left="1571" w:header="1428" w:footer="1172" w:gutter="0"/>
          <w:cols w:equalWidth="0" w:num="2">
            <w:col w:w="4491" w:space="100"/>
            <w:col w:w="4256" w:space="0"/>
          </w:cols>
        </w:sectPr>
        <w:rPr/>
      </w:pPr>
    </w:p>
    <w:p>
      <w:pPr>
        <w:spacing w:before="93"/>
        <w:rPr/>
      </w:pPr>
      <w:r>
        <w:drawing>
          <wp:anchor distT="0" distB="0" distL="0" distR="0" simplePos="0" relativeHeight="254318592"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2268" name="IM 2268"/>
            <wp:cNvGraphicFramePr/>
            <a:graphic>
              <a:graphicData uri="http://schemas.openxmlformats.org/drawingml/2006/picture">
                <pic:pic>
                  <pic:nvPicPr>
                    <pic:cNvPr id="2268" name="IM 2268"/>
                    <pic:cNvPicPr/>
                  </pic:nvPicPr>
                  <pic:blipFill>
                    <a:blip r:embed="rId1138"/>
                    <a:stretch>
                      <a:fillRect/>
                    </a:stretch>
                  </pic:blipFill>
                  <pic:spPr>
                    <a:xfrm rot="0">
                      <a:off x="0" y="0"/>
                      <a:ext cx="5579745" cy="7620"/>
                    </a:xfrm>
                    <a:prstGeom prst="rect">
                      <a:avLst/>
                    </a:prstGeom>
                  </pic:spPr>
                </pic:pic>
              </a:graphicData>
            </a:graphic>
          </wp:anchor>
        </w:drawing>
      </w:r>
      <w:r/>
    </w:p>
    <w:p>
      <w:pPr>
        <w:sectPr>
          <w:headerReference w:type="default" r:id="rId1112"/>
          <w:footerReference w:type="default" r:id="rId1137"/>
          <w:pgSz w:w="11906" w:h="16839"/>
          <w:pgMar w:top="1766" w:right="1508" w:bottom="1574" w:left="1579" w:header="1428" w:footer="1172" w:gutter="0"/>
          <w:cols w:equalWidth="0" w:num="1">
            <w:col w:w="8819" w:space="0"/>
          </w:cols>
        </w:sectPr>
        <w:rPr/>
      </w:pPr>
    </w:p>
    <w:p>
      <w:pPr>
        <w:pStyle w:val="BodyText"/>
        <w:ind w:left="11" w:right="248" w:firstLine="423"/>
        <w:spacing w:before="43" w:line="387" w:lineRule="auto"/>
        <w:jc w:val="both"/>
        <w:rPr/>
      </w:pPr>
      <w:r>
        <w:rPr>
          <w:spacing w:val="6"/>
        </w:rPr>
        <w:t>根据行业主管、监管部门建议，报请启动</w:t>
      </w:r>
      <w:r>
        <w:rPr>
          <w:spacing w:val="7"/>
        </w:rPr>
        <w:t>本预案或终止应急响应；收集、整理、上报有</w:t>
      </w:r>
      <w:r>
        <w:rPr>
          <w:spacing w:val="7"/>
        </w:rPr>
        <w:t>关信息资料，落实突发事件报告制度；协调调</w:t>
      </w:r>
      <w:r>
        <w:rPr>
          <w:spacing w:val="7"/>
        </w:rPr>
        <w:t>动相关地方资源，配合行业主管、监管部门处</w:t>
      </w:r>
      <w:r>
        <w:rPr>
          <w:spacing w:val="-8"/>
        </w:rPr>
        <w:t>置金融突发事件；完成市指挥部交办的其他事项。</w:t>
      </w:r>
    </w:p>
    <w:p>
      <w:pPr>
        <w:pStyle w:val="BodyText"/>
        <w:ind w:left="12" w:right="265" w:firstLine="421"/>
        <w:spacing w:line="360" w:lineRule="auto"/>
        <w:rPr/>
      </w:pPr>
      <w:r>
        <w:rPr>
          <w:rFonts w:ascii="Times New Roman" w:hAnsi="Times New Roman" w:eastAsia="Times New Roman" w:cs="Times New Roman"/>
          <w:spacing w:val="2"/>
        </w:rPr>
        <w:t>2.3  </w:t>
      </w:r>
      <w:r>
        <w:rPr>
          <w:rFonts w:ascii="KaiTi" w:hAnsi="KaiTi" w:eastAsia="KaiTi" w:cs="KaiTi"/>
          <w:spacing w:val="2"/>
        </w:rPr>
        <w:t>县（</w:t>
      </w:r>
      <w:r>
        <w:rPr>
          <w:rFonts w:ascii="KaiTi" w:hAnsi="KaiTi" w:eastAsia="KaiTi" w:cs="KaiTi"/>
          <w:spacing w:val="-27"/>
        </w:rPr>
        <w:t xml:space="preserve"> </w:t>
      </w:r>
      <w:r>
        <w:rPr>
          <w:rFonts w:ascii="KaiTi" w:hAnsi="KaiTi" w:eastAsia="KaiTi" w:cs="KaiTi"/>
          <w:spacing w:val="2"/>
        </w:rPr>
        <w:t>区</w:t>
      </w:r>
      <w:r>
        <w:rPr>
          <w:rFonts w:ascii="KaiTi" w:hAnsi="KaiTi" w:eastAsia="KaiTi" w:cs="KaiTi"/>
          <w:spacing w:val="-41"/>
        </w:rPr>
        <w:t xml:space="preserve"> </w:t>
      </w:r>
      <w:r>
        <w:rPr>
          <w:rFonts w:ascii="KaiTi" w:hAnsi="KaiTi" w:eastAsia="KaiTi" w:cs="KaiTi"/>
          <w:spacing w:val="2"/>
        </w:rPr>
        <w:t>）处置金融突发事件应急领导</w:t>
      </w:r>
      <w:r>
        <w:rPr>
          <w:rFonts w:ascii="KaiTi" w:hAnsi="KaiTi" w:eastAsia="KaiTi" w:cs="KaiTi"/>
          <w:spacing w:val="4"/>
        </w:rPr>
        <w:t>机构。</w:t>
      </w:r>
      <w:r>
        <w:rPr>
          <w:spacing w:val="4"/>
        </w:rPr>
        <w:t>各县（</w:t>
      </w:r>
      <w:r>
        <w:rPr>
          <w:spacing w:val="-35"/>
        </w:rPr>
        <w:t xml:space="preserve"> </w:t>
      </w:r>
      <w:r>
        <w:rPr>
          <w:spacing w:val="4"/>
        </w:rPr>
        <w:t>区）政府应当建立健全金融突发</w:t>
      </w:r>
      <w:r>
        <w:rPr>
          <w:spacing w:val="7"/>
        </w:rPr>
        <w:t>事件相应应急领导机构，根据本区域金融突发</w:t>
      </w:r>
      <w:r>
        <w:rPr/>
        <w:t>事件严重程度，协调配合行业主管、监管部门，</w:t>
      </w:r>
      <w:r>
        <w:rPr>
          <w:spacing w:val="7"/>
        </w:rPr>
        <w:t>组织做好有关保障工作，维护本行政区域内的</w:t>
      </w:r>
      <w:r>
        <w:rPr>
          <w:spacing w:val="6"/>
        </w:rPr>
        <w:t>社会稳定。</w:t>
      </w:r>
    </w:p>
    <w:p>
      <w:pPr>
        <w:pStyle w:val="BodyText"/>
        <w:ind w:left="13" w:right="329" w:firstLine="420"/>
        <w:spacing w:before="180" w:line="347" w:lineRule="auto"/>
        <w:rPr/>
      </w:pPr>
      <w:r>
        <w:rPr>
          <w:rFonts w:ascii="Times New Roman" w:hAnsi="Times New Roman" w:eastAsia="Times New Roman" w:cs="Times New Roman"/>
          <w:spacing w:val="8"/>
        </w:rPr>
        <w:t>2.4  </w:t>
      </w:r>
      <w:r>
        <w:rPr>
          <w:rFonts w:ascii="KaiTi" w:hAnsi="KaiTi" w:eastAsia="KaiTi" w:cs="KaiTi"/>
          <w:spacing w:val="8"/>
        </w:rPr>
        <w:t>专家组。</w:t>
      </w:r>
      <w:r>
        <w:rPr>
          <w:spacing w:val="8"/>
        </w:rPr>
        <w:t>市指挥部可根据需要，设立</w:t>
      </w:r>
      <w:r>
        <w:rPr>
          <w:spacing w:val="15"/>
        </w:rPr>
        <w:t>金融突发事件应急专家组</w:t>
      </w:r>
      <w:r>
        <w:rPr>
          <w:spacing w:val="-41"/>
        </w:rPr>
        <w:t xml:space="preserve"> </w:t>
      </w:r>
      <w:r>
        <w:rPr>
          <w:spacing w:val="15"/>
        </w:rPr>
        <w:t>，完善相关咨询机</w:t>
      </w:r>
      <w:r>
        <w:rPr>
          <w:spacing w:val="7"/>
        </w:rPr>
        <w:t>制，为金融突发事件的应急处置工作提供技术</w:t>
      </w:r>
      <w:r>
        <w:rPr>
          <w:spacing w:val="9"/>
        </w:rPr>
        <w:t>支持。市指挥部办公室负责落实相关工作。</w:t>
      </w:r>
    </w:p>
    <w:p>
      <w:pPr>
        <w:ind w:left="433"/>
        <w:spacing w:before="175" w:line="242" w:lineRule="auto"/>
        <w:rPr>
          <w:rFonts w:ascii="KaiTi" w:hAnsi="KaiTi" w:eastAsia="KaiTi" w:cs="KaiTi"/>
          <w:sz w:val="20"/>
          <w:szCs w:val="20"/>
        </w:rPr>
      </w:pPr>
      <w:r>
        <w:rPr>
          <w:rFonts w:ascii="Times New Roman" w:hAnsi="Times New Roman" w:eastAsia="Times New Roman" w:cs="Times New Roman"/>
          <w:sz w:val="20"/>
          <w:szCs w:val="20"/>
          <w:spacing w:val="6"/>
        </w:rPr>
        <w:t>2.5  </w:t>
      </w:r>
      <w:r>
        <w:rPr>
          <w:rFonts w:ascii="KaiTi" w:hAnsi="KaiTi" w:eastAsia="KaiTi" w:cs="KaiTi"/>
          <w:sz w:val="20"/>
          <w:szCs w:val="20"/>
          <w:spacing w:val="6"/>
        </w:rPr>
        <w:t>各成员单位职责。</w:t>
      </w:r>
    </w:p>
    <w:p>
      <w:pPr>
        <w:pStyle w:val="BodyText"/>
        <w:ind w:left="11" w:right="329" w:firstLine="413"/>
        <w:spacing w:before="156" w:line="356"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）人民银行固原市中心支行（含外汇</w:t>
      </w:r>
      <w:r>
        <w:rPr>
          <w:spacing w:val="14"/>
        </w:rPr>
        <w:t>管理局固原市中心支局</w:t>
      </w:r>
      <w:r>
        <w:rPr>
          <w:spacing w:val="-20"/>
        </w:rPr>
        <w:t xml:space="preserve"> </w:t>
      </w:r>
      <w:r>
        <w:rPr>
          <w:spacing w:val="14"/>
        </w:rPr>
        <w:t>）负责对本地区跨市</w:t>
      </w:r>
      <w:r>
        <w:rPr>
          <w:spacing w:val="7"/>
        </w:rPr>
        <w:t>场、跨行业交叉性金融业务的监测分析；及时</w:t>
      </w:r>
      <w:r>
        <w:rPr>
          <w:spacing w:val="7"/>
        </w:rPr>
        <w:t>启动本系统处置金融突发事件应急预案，负责</w:t>
      </w:r>
      <w:r>
        <w:rPr>
          <w:spacing w:val="-5"/>
        </w:rPr>
        <w:t>处理职责范围内的事项；提出启动本预案建议。</w:t>
      </w:r>
    </w:p>
    <w:p>
      <w:pPr>
        <w:pStyle w:val="BodyText"/>
        <w:ind w:left="15" w:right="329" w:firstLine="409"/>
        <w:spacing w:before="174" w:line="334" w:lineRule="auto"/>
        <w:rPr/>
      </w:pPr>
      <w:r>
        <w:rPr>
          <w:spacing w:val="9"/>
        </w:rPr>
        <w:t>（</w:t>
      </w:r>
      <w:r>
        <w:rPr>
          <w:rFonts w:ascii="Times New Roman" w:hAnsi="Times New Roman" w:eastAsia="Times New Roman" w:cs="Times New Roman"/>
          <w:spacing w:val="9"/>
        </w:rPr>
        <w:t>2 </w:t>
      </w:r>
      <w:r>
        <w:rPr>
          <w:spacing w:val="9"/>
        </w:rPr>
        <w:t>）固原银保监分局及时启动本系统处</w:t>
      </w:r>
      <w:r>
        <w:rPr>
          <w:spacing w:val="7"/>
        </w:rPr>
        <w:t>置金融突发事件应急预案，负责处理职责范围</w:t>
      </w:r>
      <w:r>
        <w:rPr>
          <w:spacing w:val="8"/>
        </w:rPr>
        <w:t>内的事项；提出启动本预案建议。</w:t>
      </w:r>
    </w:p>
    <w:p>
      <w:pPr>
        <w:pStyle w:val="BodyText"/>
        <w:ind w:left="13" w:right="320" w:firstLine="411"/>
        <w:spacing w:before="172" w:line="355"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）市金融工作局配合人民银行固原市</w:t>
      </w:r>
      <w:r>
        <w:rPr>
          <w:spacing w:val="7"/>
        </w:rPr>
        <w:t>中心支行对本市跨市场、跨行业交叉性金融业</w:t>
      </w:r>
      <w:r>
        <w:rPr>
          <w:spacing w:val="7"/>
        </w:rPr>
        <w:t>务的监测分析；及时启动本部门处置金融突发</w:t>
      </w:r>
      <w:r>
        <w:rPr>
          <w:spacing w:val="7"/>
        </w:rPr>
        <w:t>事件应急预案，负责处理职责范围内的事项；</w:t>
      </w:r>
      <w:r>
        <w:rPr>
          <w:spacing w:val="8"/>
        </w:rPr>
        <w:t>提出启动本预案建议。</w:t>
      </w:r>
    </w:p>
    <w:p>
      <w:pPr>
        <w:pStyle w:val="BodyText"/>
        <w:ind w:left="11" w:right="329" w:firstLine="413"/>
        <w:spacing w:before="180" w:line="289"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）市商务投资局及市场监督管理局时</w:t>
      </w:r>
      <w:r>
        <w:rPr>
          <w:spacing w:val="7"/>
        </w:rPr>
        <w:t>启动本部门处置金融突发事件应急预案，负责</w:t>
      </w:r>
    </w:p>
    <w:p>
      <w:pPr>
        <w:spacing w:line="14" w:lineRule="auto"/>
        <w:rPr>
          <w:rFonts w:ascii="Arial"/>
          <w:sz w:val="2"/>
        </w:rPr>
      </w:pPr>
      <w:r>
        <w:rPr>
          <w:rFonts w:ascii="Arial" w:hAnsi="Arial" w:eastAsia="Arial" w:cs="Arial"/>
          <w:sz w:val="2"/>
          <w:szCs w:val="2"/>
        </w:rPr>
        <w:br w:type="column"/>
      </w:r>
    </w:p>
    <w:p>
      <w:pPr>
        <w:pStyle w:val="BodyText"/>
        <w:ind w:left="1"/>
        <w:spacing w:before="39" w:line="226" w:lineRule="auto"/>
        <w:rPr/>
      </w:pPr>
      <w:r>
        <w:rPr/>
        <w:t>处理职责范围内的事项；提出启动本预案建议。</w:t>
      </w:r>
    </w:p>
    <w:p>
      <w:pPr>
        <w:pStyle w:val="BodyText"/>
        <w:ind w:right="82" w:firstLine="413"/>
        <w:spacing w:before="169" w:line="370" w:lineRule="auto"/>
        <w:rPr/>
      </w:pPr>
      <w:r>
        <w:rPr>
          <w:spacing w:val="6"/>
        </w:rPr>
        <w:t>（</w:t>
      </w:r>
      <w:r>
        <w:rPr>
          <w:spacing w:val="-51"/>
        </w:rPr>
        <w:t xml:space="preserve"> </w:t>
      </w:r>
      <w:r>
        <w:rPr>
          <w:rFonts w:ascii="Times New Roman" w:hAnsi="Times New Roman" w:eastAsia="Times New Roman" w:cs="Times New Roman"/>
          <w:spacing w:val="6"/>
        </w:rPr>
        <w:t>5</w:t>
      </w:r>
      <w:r>
        <w:rPr>
          <w:rFonts w:ascii="Times New Roman" w:hAnsi="Times New Roman" w:eastAsia="Times New Roman" w:cs="Times New Roman"/>
          <w:spacing w:val="-18"/>
        </w:rPr>
        <w:t xml:space="preserve"> </w:t>
      </w:r>
      <w:r>
        <w:rPr>
          <w:spacing w:val="6"/>
        </w:rPr>
        <w:t>）市公安局制定相关工作预案</w:t>
      </w:r>
      <w:r>
        <w:rPr>
          <w:spacing w:val="-59"/>
        </w:rPr>
        <w:t xml:space="preserve"> </w:t>
      </w:r>
      <w:r>
        <w:rPr>
          <w:spacing w:val="6"/>
        </w:rPr>
        <w:t>，依法</w:t>
      </w:r>
      <w:r>
        <w:rPr>
          <w:spacing w:val="7"/>
        </w:rPr>
        <w:t>参与或指导、协调各级公安机关派出警力参与</w:t>
      </w:r>
      <w:r>
        <w:rPr>
          <w:spacing w:val="7"/>
        </w:rPr>
        <w:t>金融突发事件的应急处置工作，对有关犯罪嫌</w:t>
      </w:r>
      <w:r>
        <w:rPr>
          <w:spacing w:val="7"/>
        </w:rPr>
        <w:t>疑人进行调查取证，必要时采取强制措施，查</w:t>
      </w:r>
      <w:r>
        <w:rPr>
          <w:spacing w:val="7"/>
        </w:rPr>
        <w:t>处违法犯罪行为，维护社会治安秩序；协助金</w:t>
      </w:r>
      <w:r>
        <w:rPr>
          <w:spacing w:val="7"/>
        </w:rPr>
        <w:t>融突发事件发生单位维护运行秩序，防止出现</w:t>
      </w:r>
      <w:r>
        <w:rPr>
          <w:spacing w:val="7"/>
        </w:rPr>
        <w:t>群体性事件，保证处置工作的顺利开展；会同</w:t>
      </w:r>
      <w:r>
        <w:rPr>
          <w:spacing w:val="7"/>
        </w:rPr>
        <w:t>相关行业主管、监管部门，监督、检查、指导</w:t>
      </w:r>
      <w:r>
        <w:rPr>
          <w:spacing w:val="9"/>
        </w:rPr>
        <w:t>本市金融机构的信息安全等级保护工作。</w:t>
      </w:r>
    </w:p>
    <w:p>
      <w:pPr>
        <w:pStyle w:val="BodyText"/>
        <w:ind w:right="82" w:firstLine="413"/>
        <w:spacing w:before="177" w:line="355" w:lineRule="auto"/>
        <w:rPr/>
      </w:pPr>
      <w:r>
        <w:rPr>
          <w:spacing w:val="11"/>
        </w:rPr>
        <w:t>（</w:t>
      </w:r>
      <w:r>
        <w:rPr>
          <w:rFonts w:ascii="Times New Roman" w:hAnsi="Times New Roman" w:eastAsia="Times New Roman" w:cs="Times New Roman"/>
          <w:spacing w:val="11"/>
        </w:rPr>
        <w:t>6</w:t>
      </w:r>
      <w:r>
        <w:rPr>
          <w:rFonts w:ascii="Times New Roman" w:hAnsi="Times New Roman" w:eastAsia="Times New Roman" w:cs="Times New Roman"/>
          <w:spacing w:val="-18"/>
        </w:rPr>
        <w:t xml:space="preserve"> </w:t>
      </w:r>
      <w:r>
        <w:rPr>
          <w:spacing w:val="11"/>
        </w:rPr>
        <w:t>）宣传部门根据金融突发事件的严重</w:t>
      </w:r>
      <w:r>
        <w:rPr>
          <w:spacing w:val="7"/>
        </w:rPr>
        <w:t>程度和其他需要，视情适时组织相关部门召开</w:t>
      </w:r>
      <w:r>
        <w:rPr>
          <w:spacing w:val="7"/>
        </w:rPr>
        <w:t>媒体通气会或新闻发布会。指导、协助有关行</w:t>
      </w:r>
      <w:r>
        <w:rPr>
          <w:spacing w:val="7"/>
        </w:rPr>
        <w:t>业主管、监管部门统一口径，视情组织媒体刊</w:t>
      </w:r>
      <w:r>
        <w:rPr>
          <w:spacing w:val="7"/>
        </w:rPr>
        <w:t>播相关新闻。</w:t>
      </w:r>
    </w:p>
    <w:p>
      <w:pPr>
        <w:pStyle w:val="BodyText"/>
        <w:ind w:right="82" w:firstLine="413"/>
        <w:spacing w:before="177" w:line="355" w:lineRule="auto"/>
        <w:rPr/>
      </w:pPr>
      <w:r>
        <w:rPr>
          <w:spacing w:val="8"/>
        </w:rPr>
        <w:t>（</w:t>
      </w:r>
      <w:r>
        <w:rPr>
          <w:rFonts w:ascii="Times New Roman" w:hAnsi="Times New Roman" w:eastAsia="Times New Roman" w:cs="Times New Roman"/>
          <w:spacing w:val="8"/>
        </w:rPr>
        <w:t>7</w:t>
      </w:r>
      <w:r>
        <w:rPr>
          <w:rFonts w:ascii="Times New Roman" w:hAnsi="Times New Roman" w:eastAsia="Times New Roman" w:cs="Times New Roman"/>
          <w:spacing w:val="-14"/>
        </w:rPr>
        <w:t xml:space="preserve"> </w:t>
      </w:r>
      <w:r>
        <w:rPr>
          <w:spacing w:val="8"/>
        </w:rPr>
        <w:t>）事发县（</w:t>
      </w:r>
      <w:r>
        <w:rPr>
          <w:spacing w:val="-50"/>
        </w:rPr>
        <w:t xml:space="preserve"> </w:t>
      </w:r>
      <w:r>
        <w:rPr>
          <w:spacing w:val="8"/>
        </w:rPr>
        <w:t>区）政府按照属地管理原</w:t>
      </w:r>
      <w:r>
        <w:rPr>
          <w:spacing w:val="7"/>
        </w:rPr>
        <w:t>则，指导并加强辖区内金融机构的安全防范工</w:t>
      </w:r>
      <w:r>
        <w:rPr>
          <w:spacing w:val="7"/>
        </w:rPr>
        <w:t>作，配合金融监管部门、金融机构及市级有关</w:t>
      </w:r>
      <w:r>
        <w:rPr>
          <w:spacing w:val="7"/>
        </w:rPr>
        <w:t>部门落实金融突发事件的处置措施，做好宣传</w:t>
      </w:r>
      <w:r>
        <w:rPr>
          <w:spacing w:val="9"/>
        </w:rPr>
        <w:t>解释工作，维护当地社会稳定。</w:t>
      </w:r>
    </w:p>
    <w:p>
      <w:pPr>
        <w:pStyle w:val="BodyText"/>
        <w:ind w:right="84" w:firstLine="412"/>
        <w:spacing w:before="176" w:line="307" w:lineRule="auto"/>
        <w:rPr/>
      </w:pPr>
      <w:r>
        <w:rPr>
          <w:spacing w:val="8"/>
        </w:rPr>
        <w:t>（</w:t>
      </w:r>
      <w:r>
        <w:rPr>
          <w:spacing w:val="-45"/>
        </w:rPr>
        <w:t xml:space="preserve"> </w:t>
      </w:r>
      <w:r>
        <w:rPr>
          <w:rFonts w:ascii="Times New Roman" w:hAnsi="Times New Roman" w:eastAsia="Times New Roman" w:cs="Times New Roman"/>
          <w:spacing w:val="8"/>
        </w:rPr>
        <w:t>8</w:t>
      </w:r>
      <w:r>
        <w:rPr>
          <w:rFonts w:ascii="Times New Roman" w:hAnsi="Times New Roman" w:eastAsia="Times New Roman" w:cs="Times New Roman"/>
          <w:spacing w:val="-19"/>
        </w:rPr>
        <w:t xml:space="preserve"> </w:t>
      </w:r>
      <w:r>
        <w:rPr>
          <w:spacing w:val="8"/>
        </w:rPr>
        <w:t>）其他有关部门根据本部门的职责规</w:t>
      </w:r>
      <w:r>
        <w:rPr>
          <w:spacing w:val="9"/>
        </w:rPr>
        <w:t>定，配合金融突发事件的处置工作。</w:t>
      </w:r>
    </w:p>
    <w:p>
      <w:pPr>
        <w:ind w:left="424"/>
        <w:spacing w:before="168"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3</w:t>
      </w:r>
      <w:r>
        <w:rPr>
          <w:rFonts w:ascii="Microsoft YaHei" w:hAnsi="Microsoft YaHei" w:eastAsia="Microsoft YaHei" w:cs="Microsoft YaHei"/>
          <w:sz w:val="20"/>
          <w:szCs w:val="20"/>
          <w:spacing w:val="14"/>
        </w:rPr>
        <w:t xml:space="preserve">   </w:t>
      </w:r>
      <w:r>
        <w:rPr>
          <w:rFonts w:ascii="Microsoft YaHei" w:hAnsi="Microsoft YaHei" w:eastAsia="Microsoft YaHei" w:cs="Microsoft YaHei"/>
          <w:sz w:val="20"/>
          <w:szCs w:val="20"/>
          <w:spacing w:val="5"/>
        </w:rPr>
        <w:t>预防与预警</w:t>
      </w:r>
    </w:p>
    <w:p>
      <w:pPr>
        <w:ind w:left="426"/>
        <w:spacing w:before="136" w:line="205" w:lineRule="auto"/>
        <w:rPr>
          <w:rFonts w:ascii="KaiTi" w:hAnsi="KaiTi" w:eastAsia="KaiTi" w:cs="KaiTi"/>
          <w:sz w:val="20"/>
          <w:szCs w:val="20"/>
        </w:rPr>
      </w:pPr>
      <w:r>
        <w:rPr>
          <w:rFonts w:ascii="Times New Roman" w:hAnsi="Times New Roman" w:eastAsia="Times New Roman" w:cs="Times New Roman"/>
          <w:sz w:val="20"/>
          <w:szCs w:val="20"/>
          <w:spacing w:val="2"/>
        </w:rPr>
        <w:t>3.</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  </w:t>
      </w:r>
      <w:r>
        <w:rPr>
          <w:rFonts w:ascii="KaiTi" w:hAnsi="KaiTi" w:eastAsia="KaiTi" w:cs="KaiTi"/>
          <w:sz w:val="20"/>
          <w:szCs w:val="20"/>
          <w:spacing w:val="2"/>
        </w:rPr>
        <w:t>预测预防。</w:t>
      </w:r>
    </w:p>
    <w:p>
      <w:pPr>
        <w:pStyle w:val="BodyText"/>
        <w:ind w:firstLine="425"/>
        <w:spacing w:before="185" w:line="346" w:lineRule="auto"/>
        <w:rPr/>
      </w:pPr>
      <w:r>
        <w:rPr>
          <w:rFonts w:ascii="Times New Roman" w:hAnsi="Times New Roman" w:eastAsia="Times New Roman" w:cs="Times New Roman"/>
          <w:spacing w:val="2"/>
        </w:rPr>
        <w:t>3.</w:t>
      </w:r>
      <w:r>
        <w:rPr>
          <w:rFonts w:ascii="Times New Roman" w:hAnsi="Times New Roman" w:eastAsia="Times New Roman" w:cs="Times New Roman"/>
          <w:spacing w:val="-19"/>
        </w:rPr>
        <w:t xml:space="preserve"> </w:t>
      </w:r>
      <w:r>
        <w:rPr>
          <w:rFonts w:ascii="Times New Roman" w:hAnsi="Times New Roman" w:eastAsia="Times New Roman" w:cs="Times New Roman"/>
          <w:spacing w:val="2"/>
        </w:rPr>
        <w:t>1.1 </w:t>
      </w:r>
      <w:r>
        <w:rPr>
          <w:spacing w:val="2"/>
        </w:rPr>
        <w:t>突出风险防范。行业主管、监管部门</w:t>
      </w:r>
      <w:r>
        <w:rPr>
          <w:spacing w:val="11"/>
        </w:rPr>
        <w:t>应当进一步完善并加强金融监管方式和手段，</w:t>
      </w:r>
      <w:r>
        <w:rPr>
          <w:spacing w:val="7"/>
        </w:rPr>
        <w:t>建立监管协调机制和信息共享机制，明确防范</w:t>
      </w:r>
      <w:r>
        <w:rPr>
          <w:spacing w:val="-8"/>
        </w:rPr>
        <w:t>工作要求，指导、督促各金融机构做好防范工作。</w:t>
      </w:r>
    </w:p>
    <w:p>
      <w:pPr>
        <w:pStyle w:val="BodyText"/>
        <w:ind w:left="1" w:right="79" w:firstLine="424"/>
        <w:spacing w:before="176" w:line="322" w:lineRule="auto"/>
        <w:rPr/>
      </w:pPr>
      <w:r>
        <w:rPr>
          <w:rFonts w:ascii="Times New Roman" w:hAnsi="Times New Roman" w:eastAsia="Times New Roman" w:cs="Times New Roman"/>
          <w:spacing w:val="2"/>
        </w:rPr>
        <w:t>3.</w:t>
      </w:r>
      <w:r>
        <w:rPr>
          <w:rFonts w:ascii="Times New Roman" w:hAnsi="Times New Roman" w:eastAsia="Times New Roman" w:cs="Times New Roman"/>
          <w:spacing w:val="-22"/>
        </w:rPr>
        <w:t xml:space="preserve"> </w:t>
      </w:r>
      <w:r>
        <w:rPr>
          <w:rFonts w:ascii="Times New Roman" w:hAnsi="Times New Roman" w:eastAsia="Times New Roman" w:cs="Times New Roman"/>
          <w:spacing w:val="2"/>
        </w:rPr>
        <w:t>1.2 </w:t>
      </w:r>
      <w:r>
        <w:rPr>
          <w:spacing w:val="2"/>
        </w:rPr>
        <w:t>建立健全防范制度。各金融机构应当</w:t>
      </w:r>
      <w:r>
        <w:rPr>
          <w:spacing w:val="7"/>
        </w:rPr>
        <w:t>建立健全金融突发事件防范制度，进一步完善</w:t>
      </w:r>
      <w:r>
        <w:rPr>
          <w:spacing w:val="16"/>
        </w:rPr>
        <w:t>法人治理结构</w:t>
      </w:r>
      <w:r>
        <w:rPr>
          <w:spacing w:val="-53"/>
        </w:rPr>
        <w:t xml:space="preserve"> </w:t>
      </w:r>
      <w:r>
        <w:rPr>
          <w:spacing w:val="16"/>
        </w:rPr>
        <w:t>，严格落实</w:t>
      </w:r>
      <w:r>
        <w:rPr>
          <w:rFonts w:ascii="Times New Roman" w:hAnsi="Times New Roman" w:eastAsia="Times New Roman" w:cs="Times New Roman"/>
          <w:spacing w:val="16"/>
        </w:rPr>
        <w:t>“</w:t>
      </w:r>
      <w:r>
        <w:rPr>
          <w:spacing w:val="16"/>
        </w:rPr>
        <w:t>谨慎经营</w:t>
      </w:r>
      <w:r>
        <w:rPr>
          <w:rFonts w:ascii="Times New Roman" w:hAnsi="Times New Roman" w:eastAsia="Times New Roman" w:cs="Times New Roman"/>
          <w:spacing w:val="16"/>
        </w:rPr>
        <w:t>”</w:t>
      </w:r>
      <w:r>
        <w:rPr>
          <w:spacing w:val="16"/>
        </w:rPr>
        <w:t>指导思</w:t>
      </w:r>
    </w:p>
    <w:p>
      <w:pPr>
        <w:spacing w:line="322" w:lineRule="auto"/>
        <w:sectPr>
          <w:type w:val="continuous"/>
          <w:pgSz w:w="11906" w:h="16839"/>
          <w:pgMar w:top="1766" w:right="1508" w:bottom="1574" w:left="1579" w:header="1428" w:footer="1172" w:gutter="0"/>
          <w:cols w:equalWidth="0" w:num="2">
            <w:col w:w="4489" w:space="100"/>
            <w:col w:w="4230" w:space="0"/>
          </w:cols>
        </w:sectPr>
        <w:rPr/>
      </w:pPr>
    </w:p>
    <w:p>
      <w:pPr>
        <w:spacing w:before="88"/>
        <w:rPr/>
      </w:pPr>
      <w:r>
        <w:drawing>
          <wp:anchor distT="0" distB="0" distL="0" distR="0" simplePos="0" relativeHeight="254332928"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272" name="IM 2272"/>
            <wp:cNvGraphicFramePr/>
            <a:graphic>
              <a:graphicData uri="http://schemas.openxmlformats.org/drawingml/2006/picture">
                <pic:pic>
                  <pic:nvPicPr>
                    <pic:cNvPr id="2272" name="IM 2272"/>
                    <pic:cNvPicPr/>
                  </pic:nvPicPr>
                  <pic:blipFill>
                    <a:blip r:embed="rId1140"/>
                    <a:stretch>
                      <a:fillRect/>
                    </a:stretch>
                  </pic:blipFill>
                  <pic:spPr>
                    <a:xfrm rot="0">
                      <a:off x="0" y="0"/>
                      <a:ext cx="5579745" cy="7620"/>
                    </a:xfrm>
                    <a:prstGeom prst="rect">
                      <a:avLst/>
                    </a:prstGeom>
                  </pic:spPr>
                </pic:pic>
              </a:graphicData>
            </a:graphic>
          </wp:anchor>
        </w:drawing>
      </w:r>
      <w:r/>
    </w:p>
    <w:p>
      <w:pPr>
        <w:sectPr>
          <w:headerReference w:type="default" r:id="rId1048"/>
          <w:footerReference w:type="default" r:id="rId1139"/>
          <w:pgSz w:w="11906" w:h="16839"/>
          <w:pgMar w:top="1772" w:right="1489" w:bottom="1572" w:left="1571" w:header="1428" w:footer="1172" w:gutter="0"/>
          <w:cols w:equalWidth="0" w:num="1">
            <w:col w:w="8846" w:space="0"/>
          </w:cols>
        </w:sectPr>
        <w:rPr/>
      </w:pPr>
    </w:p>
    <w:p>
      <w:pPr>
        <w:pStyle w:val="BodyText"/>
        <w:ind w:left="21" w:right="329"/>
        <w:spacing w:before="41" w:line="387" w:lineRule="auto"/>
        <w:jc w:val="both"/>
        <w:rPr/>
      </w:pPr>
      <w:r>
        <w:rPr>
          <w:spacing w:val="7"/>
        </w:rPr>
        <w:t>想，建立、健全科学、高效的内控机制，落实</w:t>
      </w:r>
      <w:r>
        <w:rPr>
          <w:spacing w:val="7"/>
        </w:rPr>
        <w:t>国家信息安全等级保护工作要求，成立突发事</w:t>
      </w:r>
      <w:r>
        <w:rPr>
          <w:spacing w:val="7"/>
        </w:rPr>
        <w:t>件应急指挥部，建立突发事件应急工作第一责</w:t>
      </w:r>
      <w:r>
        <w:rPr>
          <w:spacing w:val="8"/>
        </w:rPr>
        <w:t>任人制度和突发事件报告制度等。</w:t>
      </w:r>
    </w:p>
    <w:p>
      <w:pPr>
        <w:ind w:left="446"/>
        <w:spacing w:line="265" w:lineRule="exact"/>
        <w:rPr>
          <w:rFonts w:ascii="KaiTi" w:hAnsi="KaiTi" w:eastAsia="KaiTi" w:cs="KaiTi"/>
          <w:sz w:val="20"/>
          <w:szCs w:val="20"/>
        </w:rPr>
      </w:pPr>
      <w:r>
        <w:rPr>
          <w:rFonts w:ascii="Times New Roman" w:hAnsi="Times New Roman" w:eastAsia="Times New Roman" w:cs="Times New Roman"/>
          <w:sz w:val="20"/>
          <w:szCs w:val="20"/>
          <w:spacing w:val="4"/>
          <w:position w:val="1"/>
        </w:rPr>
        <w:t>3.2  </w:t>
      </w:r>
      <w:r>
        <w:rPr>
          <w:rFonts w:ascii="KaiTi" w:hAnsi="KaiTi" w:eastAsia="KaiTi" w:cs="KaiTi"/>
          <w:sz w:val="20"/>
          <w:szCs w:val="20"/>
          <w:spacing w:val="4"/>
          <w:position w:val="1"/>
        </w:rPr>
        <w:t>预警机制。</w:t>
      </w:r>
    </w:p>
    <w:p>
      <w:pPr>
        <w:pStyle w:val="BodyText"/>
        <w:ind w:left="446"/>
        <w:spacing w:before="157" w:line="223" w:lineRule="auto"/>
        <w:rPr/>
      </w:pPr>
      <w:r>
        <w:rPr>
          <w:rFonts w:ascii="Times New Roman" w:hAnsi="Times New Roman" w:eastAsia="Times New Roman" w:cs="Times New Roman"/>
          <w:spacing w:val="6"/>
        </w:rPr>
        <w:t>3.2.1 </w:t>
      </w:r>
      <w:r>
        <w:rPr>
          <w:spacing w:val="6"/>
        </w:rPr>
        <w:t>建立健全预警监测系统。</w:t>
      </w:r>
    </w:p>
    <w:p>
      <w:pPr>
        <w:pStyle w:val="BodyText"/>
        <w:ind w:left="21" w:right="322" w:firstLine="411"/>
        <w:spacing w:before="178" w:line="354"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）行业主管、监管部门应当建立金融</w:t>
      </w:r>
      <w:r>
        <w:rPr>
          <w:spacing w:val="7"/>
        </w:rPr>
        <w:t>突发事件监测预警系统，加强跟踪、监测、分</w:t>
      </w:r>
      <w:r>
        <w:rPr>
          <w:spacing w:val="7"/>
        </w:rPr>
        <w:t>析，及时向有关机构发布金融风险提示信息，</w:t>
      </w:r>
      <w:r>
        <w:rPr>
          <w:spacing w:val="7"/>
        </w:rPr>
        <w:t>逐步实现监测的信息化、科学化。重要信息及</w:t>
      </w:r>
      <w:r>
        <w:rPr>
          <w:spacing w:val="8"/>
        </w:rPr>
        <w:t>时报告市指挥部办公室。</w:t>
      </w:r>
    </w:p>
    <w:p>
      <w:pPr>
        <w:pStyle w:val="BodyText"/>
        <w:ind w:left="21" w:right="322" w:firstLine="411"/>
        <w:spacing w:before="180" w:line="355"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）市金融工作局会同人民银行固原市</w:t>
      </w:r>
      <w:r>
        <w:rPr>
          <w:spacing w:val="7"/>
        </w:rPr>
        <w:t>中心支行、固原银保监分局、市商务投资局等</w:t>
      </w:r>
      <w:r>
        <w:rPr>
          <w:spacing w:val="7"/>
        </w:rPr>
        <w:t>部门建立金融稳定协调机制，加强监管协调，</w:t>
      </w:r>
      <w:r>
        <w:rPr>
          <w:spacing w:val="7"/>
        </w:rPr>
        <w:t>重点监测、预防跨市场、跨行业、跨区域的金</w:t>
      </w:r>
      <w:r>
        <w:rPr>
          <w:spacing w:val="6"/>
        </w:rPr>
        <w:t>融风险。</w:t>
      </w:r>
    </w:p>
    <w:p>
      <w:pPr>
        <w:pStyle w:val="BodyText"/>
        <w:ind w:left="20" w:right="329" w:firstLine="413"/>
        <w:spacing w:before="178" w:line="355"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）各行业主管、监管部门之间加强信</w:t>
      </w:r>
      <w:r>
        <w:rPr>
          <w:spacing w:val="7"/>
        </w:rPr>
        <w:t>息沟通。人民银行固原市中心支行、固原银保</w:t>
      </w:r>
      <w:r>
        <w:rPr>
          <w:spacing w:val="7"/>
        </w:rPr>
        <w:t>监分局、市商务投资局等部门及时向市指挥部</w:t>
      </w:r>
      <w:r>
        <w:rPr>
          <w:spacing w:val="7"/>
        </w:rPr>
        <w:t>办公室通报本系统内的重大金融风险情况，必</w:t>
      </w:r>
      <w:r>
        <w:rPr>
          <w:spacing w:val="8"/>
        </w:rPr>
        <w:t>要时抄送其他成员单位。</w:t>
      </w:r>
    </w:p>
    <w:p>
      <w:pPr>
        <w:pStyle w:val="BodyText"/>
        <w:ind w:left="21" w:right="322" w:firstLine="425"/>
        <w:spacing w:before="179" w:line="387" w:lineRule="auto"/>
        <w:jc w:val="both"/>
        <w:rPr/>
      </w:pPr>
      <w:r>
        <w:rPr>
          <w:rFonts w:ascii="Times New Roman" w:hAnsi="Times New Roman" w:eastAsia="Times New Roman" w:cs="Times New Roman"/>
          <w:spacing w:val="3"/>
        </w:rPr>
        <w:t>3.2.2 </w:t>
      </w:r>
      <w:r>
        <w:rPr>
          <w:spacing w:val="3"/>
        </w:rPr>
        <w:t>建立金融机构预警监测系统。各金融</w:t>
      </w:r>
      <w:r>
        <w:rPr>
          <w:spacing w:val="7"/>
        </w:rPr>
        <w:t>机构在行业主管、监管部门的指导和帮助下，</w:t>
      </w:r>
      <w:r>
        <w:rPr>
          <w:spacing w:val="7"/>
        </w:rPr>
        <w:t>按照管理要求，结合实际情况，逐步建立本单</w:t>
      </w:r>
      <w:r>
        <w:rPr>
          <w:spacing w:val="8"/>
        </w:rPr>
        <w:t>位的金融突发事件预警监测系统。</w:t>
      </w:r>
    </w:p>
    <w:p>
      <w:pPr>
        <w:ind w:left="446"/>
        <w:spacing w:line="266" w:lineRule="exact"/>
        <w:rPr>
          <w:rFonts w:ascii="KaiTi" w:hAnsi="KaiTi" w:eastAsia="KaiTi" w:cs="KaiTi"/>
          <w:sz w:val="20"/>
          <w:szCs w:val="20"/>
        </w:rPr>
      </w:pPr>
      <w:r>
        <w:rPr>
          <w:rFonts w:ascii="Times New Roman" w:hAnsi="Times New Roman" w:eastAsia="Times New Roman" w:cs="Times New Roman"/>
          <w:sz w:val="20"/>
          <w:szCs w:val="20"/>
          <w:spacing w:val="4"/>
          <w:position w:val="1"/>
        </w:rPr>
        <w:t>3.3  </w:t>
      </w:r>
      <w:r>
        <w:rPr>
          <w:rFonts w:ascii="KaiTi" w:hAnsi="KaiTi" w:eastAsia="KaiTi" w:cs="KaiTi"/>
          <w:sz w:val="20"/>
          <w:szCs w:val="20"/>
          <w:spacing w:val="4"/>
          <w:position w:val="1"/>
        </w:rPr>
        <w:t>预警行动。</w:t>
      </w:r>
    </w:p>
    <w:p>
      <w:pPr>
        <w:pStyle w:val="BodyText"/>
        <w:ind w:left="21" w:right="327" w:firstLine="425"/>
        <w:spacing w:before="159" w:line="348" w:lineRule="auto"/>
        <w:jc w:val="both"/>
        <w:rPr/>
      </w:pPr>
      <w:r>
        <w:rPr>
          <w:rFonts w:ascii="Times New Roman" w:hAnsi="Times New Roman" w:eastAsia="Times New Roman" w:cs="Times New Roman"/>
          <w:spacing w:val="3"/>
        </w:rPr>
        <w:t>3.3.1 </w:t>
      </w:r>
      <w:r>
        <w:rPr>
          <w:spacing w:val="3"/>
        </w:rPr>
        <w:t>各行业主管、监管部门将其监管职责</w:t>
      </w:r>
      <w:r>
        <w:rPr>
          <w:spacing w:val="18"/>
        </w:rPr>
        <w:t>范围内可能发生的重大金融突发事件及时报</w:t>
      </w:r>
      <w:r>
        <w:rPr>
          <w:spacing w:val="7"/>
        </w:rPr>
        <w:t>送市指挥部办公室。市指挥部办公室在各单位</w:t>
      </w:r>
      <w:r>
        <w:rPr>
          <w:spacing w:val="7"/>
        </w:rPr>
        <w:t>报送的信息基础上，提出综合性预警报告，及</w:t>
      </w:r>
      <w:r>
        <w:rPr>
          <w:spacing w:val="7"/>
        </w:rPr>
        <w:t>时上报市指挥部，必要时，上报上级有关部门</w:t>
      </w:r>
    </w:p>
    <w:p>
      <w:pPr>
        <w:spacing w:line="14" w:lineRule="auto"/>
        <w:rPr>
          <w:rFonts w:ascii="Arial"/>
          <w:sz w:val="2"/>
        </w:rPr>
      </w:pPr>
      <w:r>
        <w:rPr>
          <w:rFonts w:ascii="Arial" w:hAnsi="Arial" w:eastAsia="Arial" w:cs="Arial"/>
          <w:sz w:val="2"/>
          <w:szCs w:val="2"/>
        </w:rPr>
        <w:br w:type="column"/>
      </w:r>
    </w:p>
    <w:p>
      <w:pPr>
        <w:pStyle w:val="BodyText"/>
        <w:ind w:left="8"/>
        <w:spacing w:before="42" w:line="218" w:lineRule="auto"/>
        <w:rPr/>
      </w:pPr>
      <w:r>
        <w:rPr>
          <w:spacing w:val="7"/>
        </w:rPr>
        <w:t>和市委、市政府。</w:t>
      </w:r>
    </w:p>
    <w:p>
      <w:pPr>
        <w:pStyle w:val="BodyText"/>
        <w:ind w:right="78" w:firstLine="425"/>
        <w:spacing w:before="183" w:line="378" w:lineRule="auto"/>
        <w:jc w:val="both"/>
        <w:rPr/>
      </w:pPr>
      <w:r>
        <w:rPr>
          <w:rFonts w:ascii="Times New Roman" w:hAnsi="Times New Roman" w:eastAsia="Times New Roman" w:cs="Times New Roman"/>
          <w:spacing w:val="12"/>
        </w:rPr>
        <w:t>3.3.2 </w:t>
      </w:r>
      <w:r>
        <w:rPr>
          <w:spacing w:val="12"/>
        </w:rPr>
        <w:t>各有关单位定期维护本单位的预警</w:t>
      </w:r>
      <w:r>
        <w:rPr>
          <w:spacing w:val="7"/>
        </w:rPr>
        <w:t>支持系统（包括报警服务系统、信息报送与反</w:t>
      </w:r>
      <w:r>
        <w:rPr>
          <w:spacing w:val="7"/>
        </w:rPr>
        <w:t>馈系统等</w:t>
      </w:r>
      <w:r>
        <w:rPr>
          <w:spacing w:val="-3"/>
        </w:rPr>
        <w:t>）</w:t>
      </w:r>
      <w:r>
        <w:rPr>
          <w:spacing w:val="-52"/>
        </w:rPr>
        <w:t xml:space="preserve"> </w:t>
      </w:r>
      <w:r>
        <w:rPr>
          <w:spacing w:val="-3"/>
        </w:rPr>
        <w:t>，</w:t>
      </w:r>
      <w:r>
        <w:rPr>
          <w:spacing w:val="7"/>
        </w:rPr>
        <w:t>定期开展相关演练，定期评估、</w:t>
      </w:r>
      <w:r>
        <w:rPr>
          <w:spacing w:val="8"/>
        </w:rPr>
        <w:t>修订相关应急预案。</w:t>
      </w:r>
    </w:p>
    <w:p>
      <w:pPr>
        <w:ind w:left="422"/>
        <w:spacing w:before="29"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4</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7"/>
        </w:rPr>
        <w:t>金融突发事件分级</w:t>
      </w:r>
    </w:p>
    <w:p>
      <w:pPr>
        <w:pStyle w:val="BodyText"/>
        <w:ind w:right="71" w:firstLine="420"/>
        <w:spacing w:before="120" w:line="385" w:lineRule="auto"/>
        <w:rPr/>
      </w:pPr>
      <w:r>
        <w:rPr>
          <w:spacing w:val="7"/>
        </w:rPr>
        <w:t>按照金融突发事件的性质、影响范围和危</w:t>
      </w:r>
      <w:r>
        <w:rPr>
          <w:spacing w:val="11"/>
        </w:rPr>
        <w:t>害程度等情况</w:t>
      </w:r>
      <w:r>
        <w:rPr>
          <w:spacing w:val="-41"/>
        </w:rPr>
        <w:t xml:space="preserve"> </w:t>
      </w:r>
      <w:r>
        <w:rPr>
          <w:spacing w:val="11"/>
        </w:rPr>
        <w:t>，划分为</w:t>
      </w:r>
      <w:r>
        <w:rPr>
          <w:rFonts w:ascii="Times New Roman" w:hAnsi="Times New Roman" w:eastAsia="Times New Roman" w:cs="Times New Roman"/>
          <w:spacing w:val="11"/>
        </w:rPr>
        <w:t>Ⅰ</w:t>
      </w:r>
      <w:r>
        <w:rPr>
          <w:spacing w:val="11"/>
        </w:rPr>
        <w:t>级（特大）金融突发</w:t>
      </w:r>
      <w:r>
        <w:rPr>
          <w:spacing w:val="11"/>
        </w:rPr>
        <w:t>事件、</w:t>
      </w:r>
      <w:r>
        <w:rPr>
          <w:rFonts w:ascii="Times New Roman" w:hAnsi="Times New Roman" w:eastAsia="Times New Roman" w:cs="Times New Roman"/>
          <w:spacing w:val="11"/>
        </w:rPr>
        <w:t>Ⅱ</w:t>
      </w:r>
      <w:r>
        <w:rPr>
          <w:spacing w:val="11"/>
        </w:rPr>
        <w:t>级（重大）金融突发事件、</w:t>
      </w:r>
      <w:r>
        <w:rPr>
          <w:rFonts w:ascii="Times New Roman" w:hAnsi="Times New Roman" w:eastAsia="Times New Roman" w:cs="Times New Roman"/>
          <w:spacing w:val="11"/>
        </w:rPr>
        <w:t>Ⅲ</w:t>
      </w:r>
      <w:r>
        <w:rPr>
          <w:spacing w:val="11"/>
        </w:rPr>
        <w:t>级（较</w:t>
      </w:r>
      <w:r>
        <w:rPr>
          <w:spacing w:val="6"/>
        </w:rPr>
        <w:t>大）金融突发事件、</w:t>
      </w:r>
      <w:r>
        <w:rPr>
          <w:rFonts w:ascii="Times New Roman" w:hAnsi="Times New Roman" w:eastAsia="Times New Roman" w:cs="Times New Roman"/>
          <w:spacing w:val="6"/>
        </w:rPr>
        <w:t>Ⅳ</w:t>
      </w:r>
      <w:r>
        <w:rPr>
          <w:spacing w:val="6"/>
        </w:rPr>
        <w:t>级（一般）金融突发事</w:t>
      </w:r>
      <w:r>
        <w:rPr>
          <w:spacing w:val="18"/>
        </w:rPr>
        <w:t>件四个等级。当金融突发事件等级指标有交</w:t>
      </w:r>
      <w:r>
        <w:rPr>
          <w:spacing w:val="7"/>
        </w:rPr>
        <w:t>叉、难以判定级别时，按照较高一级突发事件</w:t>
      </w:r>
      <w:r>
        <w:rPr>
          <w:spacing w:val="7"/>
        </w:rPr>
        <w:t>处置，防止风险扩散；当金融突发事件等级随</w:t>
      </w:r>
      <w:r>
        <w:rPr>
          <w:spacing w:val="-2"/>
        </w:rPr>
        <w:t>时间推移有所上升时，按照升级后的级别处置。</w:t>
      </w:r>
    </w:p>
    <w:p>
      <w:pPr>
        <w:pStyle w:val="BodyText"/>
        <w:ind w:right="94" w:firstLine="420"/>
        <w:spacing w:before="22" w:line="361" w:lineRule="auto"/>
        <w:rPr/>
      </w:pPr>
      <w:r>
        <w:rPr>
          <w:rFonts w:ascii="Times New Roman" w:hAnsi="Times New Roman" w:eastAsia="Times New Roman" w:cs="Times New Roman"/>
          <w:spacing w:val="8"/>
        </w:rPr>
        <w:t>4.</w:t>
      </w:r>
      <w:r>
        <w:rPr>
          <w:rFonts w:ascii="Times New Roman" w:hAnsi="Times New Roman" w:eastAsia="Times New Roman" w:cs="Times New Roman"/>
          <w:spacing w:val="-23"/>
        </w:rPr>
        <w:t xml:space="preserve"> </w:t>
      </w:r>
      <w:r>
        <w:rPr>
          <w:rFonts w:ascii="Times New Roman" w:hAnsi="Times New Roman" w:eastAsia="Times New Roman" w:cs="Times New Roman"/>
          <w:spacing w:val="8"/>
        </w:rPr>
        <w:t>1    Ⅰ</w:t>
      </w:r>
      <w:r>
        <w:rPr>
          <w:rFonts w:ascii="KaiTi" w:hAnsi="KaiTi" w:eastAsia="KaiTi" w:cs="KaiTi"/>
          <w:spacing w:val="8"/>
        </w:rPr>
        <w:t>级（特大）金融突发事件。</w:t>
      </w:r>
      <w:r>
        <w:rPr>
          <w:spacing w:val="8"/>
        </w:rPr>
        <w:t>对全国</w:t>
      </w:r>
      <w:r>
        <w:rPr>
          <w:spacing w:val="7"/>
        </w:rPr>
        <w:t>或者全国大部分地区产生影响的；国际上出现</w:t>
      </w:r>
      <w:r>
        <w:rPr>
          <w:spacing w:val="15"/>
        </w:rPr>
        <w:t>的</w:t>
      </w:r>
      <w:r>
        <w:rPr>
          <w:spacing w:val="-40"/>
        </w:rPr>
        <w:t xml:space="preserve"> </w:t>
      </w:r>
      <w:r>
        <w:rPr>
          <w:spacing w:val="15"/>
        </w:rPr>
        <w:t>，影响或极有可能影响国内宏观金融稳定</w:t>
      </w:r>
      <w:r>
        <w:rPr>
          <w:spacing w:val="7"/>
        </w:rPr>
        <w:t>的；金融各行业已出现或将要出现连锁反应，</w:t>
      </w:r>
      <w:r>
        <w:rPr>
          <w:spacing w:val="7"/>
        </w:rPr>
        <w:t>需要各有关行业监管部门协调配合、共同处置</w:t>
      </w:r>
      <w:r>
        <w:rPr>
          <w:spacing w:val="8"/>
        </w:rPr>
        <w:t>的；其他需要按照</w:t>
      </w:r>
      <w:r>
        <w:rPr>
          <w:rFonts w:ascii="Times New Roman" w:hAnsi="Times New Roman" w:eastAsia="Times New Roman" w:cs="Times New Roman"/>
          <w:spacing w:val="8"/>
        </w:rPr>
        <w:t>Ⅰ</w:t>
      </w:r>
      <w:r>
        <w:rPr>
          <w:spacing w:val="8"/>
        </w:rPr>
        <w:t>级应对的金融突发事件。</w:t>
      </w:r>
    </w:p>
    <w:p>
      <w:pPr>
        <w:pStyle w:val="BodyText"/>
        <w:ind w:left="6" w:right="98" w:firstLine="414"/>
        <w:spacing w:before="172" w:line="348" w:lineRule="auto"/>
        <w:rPr/>
      </w:pPr>
      <w:r>
        <w:rPr>
          <w:rFonts w:ascii="Times New Roman" w:hAnsi="Times New Roman" w:eastAsia="Times New Roman" w:cs="Times New Roman"/>
          <w:spacing w:val="6"/>
        </w:rPr>
        <w:t>4.2    Ⅱ</w:t>
      </w:r>
      <w:r>
        <w:rPr>
          <w:rFonts w:ascii="KaiTi" w:hAnsi="KaiTi" w:eastAsia="KaiTi" w:cs="KaiTi"/>
          <w:spacing w:val="6"/>
        </w:rPr>
        <w:t>级（重大）金融突发事件。</w:t>
      </w:r>
      <w:r>
        <w:rPr>
          <w:spacing w:val="6"/>
        </w:rPr>
        <w:t>对全国</w:t>
      </w:r>
      <w:r>
        <w:rPr>
          <w:spacing w:val="7"/>
        </w:rPr>
        <w:t>多个地区或多个金融行业产生影响的；本市不</w:t>
      </w:r>
      <w:r>
        <w:rPr>
          <w:spacing w:val="15"/>
        </w:rPr>
        <w:t>能单独应对</w:t>
      </w:r>
      <w:r>
        <w:rPr>
          <w:spacing w:val="-46"/>
        </w:rPr>
        <w:t xml:space="preserve"> </w:t>
      </w:r>
      <w:r>
        <w:rPr>
          <w:spacing w:val="15"/>
        </w:rPr>
        <w:t>，需要跨地区或跨监管部门协调</w:t>
      </w:r>
      <w:r>
        <w:rPr>
          <w:spacing w:val="8"/>
        </w:rPr>
        <w:t>的；其他需要按照</w:t>
      </w:r>
      <w:r>
        <w:rPr>
          <w:rFonts w:ascii="Times New Roman" w:hAnsi="Times New Roman" w:eastAsia="Times New Roman" w:cs="Times New Roman"/>
          <w:spacing w:val="8"/>
        </w:rPr>
        <w:t>Ⅱ</w:t>
      </w:r>
      <w:r>
        <w:rPr>
          <w:spacing w:val="8"/>
        </w:rPr>
        <w:t>级应对的金融突发事件。</w:t>
      </w:r>
    </w:p>
    <w:p>
      <w:pPr>
        <w:pStyle w:val="BodyText"/>
        <w:ind w:right="74" w:firstLine="420"/>
        <w:spacing w:before="172" w:line="348" w:lineRule="auto"/>
        <w:rPr/>
      </w:pPr>
      <w:r>
        <w:rPr>
          <w:rFonts w:ascii="Times New Roman" w:hAnsi="Times New Roman" w:eastAsia="Times New Roman" w:cs="Times New Roman"/>
          <w:spacing w:val="3"/>
        </w:rPr>
        <w:t>4.3    Ⅲ</w:t>
      </w:r>
      <w:r>
        <w:rPr>
          <w:rFonts w:ascii="KaiTi" w:hAnsi="KaiTi" w:eastAsia="KaiTi" w:cs="KaiTi"/>
          <w:spacing w:val="3"/>
        </w:rPr>
        <w:t>级（较大）金融突发事件。</w:t>
      </w:r>
      <w:r>
        <w:rPr>
          <w:spacing w:val="3"/>
        </w:rPr>
        <w:t>本市多</w:t>
      </w:r>
      <w:r>
        <w:rPr>
          <w:spacing w:val="7"/>
        </w:rPr>
        <w:t>个金融行业或某一金融机构整体出现的；或多</w:t>
      </w:r>
      <w:r>
        <w:rPr>
          <w:spacing w:val="7"/>
        </w:rPr>
        <w:t>个金融机构局部出现，并可能进一步蔓延、扩</w:t>
      </w:r>
      <w:r>
        <w:rPr>
          <w:spacing w:val="-1"/>
        </w:rPr>
        <w:t>大的；其他需要按照</w:t>
      </w:r>
      <w:r>
        <w:rPr>
          <w:rFonts w:ascii="Times New Roman" w:hAnsi="Times New Roman" w:eastAsia="Times New Roman" w:cs="Times New Roman"/>
          <w:spacing w:val="-1"/>
        </w:rPr>
        <w:t>Ⅲ</w:t>
      </w:r>
      <w:r>
        <w:rPr>
          <w:spacing w:val="-1"/>
        </w:rPr>
        <w:t>级应对的金融突发事件。</w:t>
      </w:r>
    </w:p>
    <w:p>
      <w:pPr>
        <w:pStyle w:val="BodyText"/>
        <w:ind w:left="2" w:right="101" w:firstLine="418"/>
        <w:spacing w:before="172" w:line="323" w:lineRule="auto"/>
        <w:rPr/>
      </w:pPr>
      <w:r>
        <w:rPr>
          <w:rFonts w:ascii="Times New Roman" w:hAnsi="Times New Roman" w:eastAsia="Times New Roman" w:cs="Times New Roman"/>
          <w:spacing w:val="10"/>
        </w:rPr>
        <w:t>4.4 Ⅳ</w:t>
      </w:r>
      <w:r>
        <w:rPr>
          <w:rFonts w:ascii="KaiTi" w:hAnsi="KaiTi" w:eastAsia="KaiTi" w:cs="KaiTi"/>
          <w:spacing w:val="10"/>
        </w:rPr>
        <w:t>级（一般）金融突发事件。</w:t>
      </w:r>
      <w:r>
        <w:rPr>
          <w:spacing w:val="10"/>
        </w:rPr>
        <w:t>本市某</w:t>
      </w:r>
      <w:r>
        <w:rPr>
          <w:spacing w:val="7"/>
        </w:rPr>
        <w:t>一金融机构或其他金融领域局部出现，并可能</w:t>
      </w:r>
      <w:r>
        <w:rPr>
          <w:spacing w:val="7"/>
        </w:rPr>
        <w:t>在该机构内部或小范围跨系统扩大的；其他需</w:t>
      </w:r>
    </w:p>
    <w:p>
      <w:pPr>
        <w:spacing w:line="323" w:lineRule="auto"/>
        <w:sectPr>
          <w:type w:val="continuous"/>
          <w:pgSz w:w="11906" w:h="16839"/>
          <w:pgMar w:top="1772" w:right="1489" w:bottom="1572" w:left="1571" w:header="1428" w:footer="1172" w:gutter="0"/>
          <w:cols w:equalWidth="0" w:num="2">
            <w:col w:w="4498" w:space="100"/>
            <w:col w:w="4249" w:space="0"/>
          </w:cols>
        </w:sectPr>
        <w:rPr/>
      </w:pPr>
    </w:p>
    <w:p>
      <w:pPr>
        <w:spacing w:before="96"/>
        <w:rPr/>
      </w:pPr>
      <w:r>
        <w:drawing>
          <wp:anchor distT="0" distB="0" distL="0" distR="0" simplePos="0" relativeHeight="254347264" behindDoc="0" locked="0" layoutInCell="0" allowOverlap="1">
            <wp:simplePos x="0" y="0"/>
            <wp:positionH relativeFrom="page">
              <wp:posOffset>1008380</wp:posOffset>
            </wp:positionH>
            <wp:positionV relativeFrom="page">
              <wp:posOffset>1147444</wp:posOffset>
            </wp:positionV>
            <wp:extent cx="5579745" cy="7620"/>
            <wp:effectExtent l="0" t="0" r="0" b="0"/>
            <wp:wrapNone/>
            <wp:docPr id="2276" name="IM 2276"/>
            <wp:cNvGraphicFramePr/>
            <a:graphic>
              <a:graphicData uri="http://schemas.openxmlformats.org/drawingml/2006/picture">
                <pic:pic>
                  <pic:nvPicPr>
                    <pic:cNvPr id="2276" name="IM 2276"/>
                    <pic:cNvPicPr/>
                  </pic:nvPicPr>
                  <pic:blipFill>
                    <a:blip r:embed="rId1142"/>
                    <a:stretch>
                      <a:fillRect/>
                    </a:stretch>
                  </pic:blipFill>
                  <pic:spPr>
                    <a:xfrm rot="0">
                      <a:off x="0" y="0"/>
                      <a:ext cx="5579745" cy="7620"/>
                    </a:xfrm>
                    <a:prstGeom prst="rect">
                      <a:avLst/>
                    </a:prstGeom>
                  </pic:spPr>
                </pic:pic>
              </a:graphicData>
            </a:graphic>
          </wp:anchor>
        </w:drawing>
      </w:r>
      <w:r/>
    </w:p>
    <w:p>
      <w:pPr>
        <w:sectPr>
          <w:headerReference w:type="default" r:id="rId597"/>
          <w:footerReference w:type="default" r:id="rId1141"/>
          <w:pgSz w:w="11906" w:h="16839"/>
          <w:pgMar w:top="1766" w:right="1509" w:bottom="1574" w:left="1579" w:header="1428" w:footer="1172" w:gutter="0"/>
          <w:cols w:equalWidth="0" w:num="1">
            <w:col w:w="8817" w:space="0"/>
          </w:cols>
        </w:sectPr>
        <w:rPr/>
      </w:pPr>
    </w:p>
    <w:p>
      <w:pPr>
        <w:pStyle w:val="BodyText"/>
        <w:ind w:left="11"/>
        <w:spacing w:before="40" w:line="219" w:lineRule="auto"/>
        <w:rPr/>
      </w:pPr>
      <w:r>
        <w:rPr>
          <w:spacing w:val="8"/>
        </w:rPr>
        <w:t>要按照</w:t>
      </w:r>
      <w:r>
        <w:rPr>
          <w:rFonts w:ascii="Times New Roman" w:hAnsi="Times New Roman" w:eastAsia="Times New Roman" w:cs="Times New Roman"/>
          <w:spacing w:val="8"/>
        </w:rPr>
        <w:t>Ⅳ</w:t>
      </w:r>
      <w:r>
        <w:rPr>
          <w:spacing w:val="8"/>
        </w:rPr>
        <w:t>级应对的金融突发事件。</w:t>
      </w:r>
    </w:p>
    <w:p>
      <w:pPr>
        <w:pStyle w:val="BodyText"/>
        <w:ind w:left="14" w:right="329" w:firstLine="419"/>
        <w:spacing w:before="181" w:line="383" w:lineRule="auto"/>
        <w:rPr/>
      </w:pPr>
      <w:r>
        <w:rPr>
          <w:spacing w:val="6"/>
        </w:rPr>
        <w:t>各具体金融突发事件的分级，根据实际情</w:t>
      </w:r>
      <w:r>
        <w:rPr>
          <w:spacing w:val="8"/>
        </w:rPr>
        <w:t>况，由各子预案进行详细定义和描述。</w:t>
      </w:r>
    </w:p>
    <w:p>
      <w:pPr>
        <w:ind w:left="435"/>
        <w:spacing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5</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应急处置</w:t>
      </w:r>
    </w:p>
    <w:p>
      <w:pPr>
        <w:pStyle w:val="BodyText"/>
        <w:ind w:left="12" w:right="247" w:firstLine="426"/>
        <w:spacing w:before="119" w:line="387" w:lineRule="auto"/>
        <w:jc w:val="both"/>
        <w:rPr/>
      </w:pPr>
      <w:r>
        <w:rPr>
          <w:rFonts w:ascii="Times New Roman" w:hAnsi="Times New Roman" w:eastAsia="Times New Roman" w:cs="Times New Roman"/>
          <w:spacing w:val="6"/>
        </w:rPr>
        <w:t>5.</w:t>
      </w:r>
      <w:r>
        <w:rPr>
          <w:rFonts w:ascii="Times New Roman" w:hAnsi="Times New Roman" w:eastAsia="Times New Roman" w:cs="Times New Roman"/>
          <w:spacing w:val="-8"/>
        </w:rPr>
        <w:t xml:space="preserve"> </w:t>
      </w:r>
      <w:r>
        <w:rPr>
          <w:rFonts w:ascii="Times New Roman" w:hAnsi="Times New Roman" w:eastAsia="Times New Roman" w:cs="Times New Roman"/>
          <w:spacing w:val="6"/>
        </w:rPr>
        <w:t>1  </w:t>
      </w:r>
      <w:r>
        <w:rPr>
          <w:rFonts w:ascii="KaiTi" w:hAnsi="KaiTi" w:eastAsia="KaiTi" w:cs="KaiTi"/>
          <w:spacing w:val="6"/>
        </w:rPr>
        <w:t>信息报告。</w:t>
      </w:r>
      <w:r>
        <w:rPr>
          <w:spacing w:val="6"/>
        </w:rPr>
        <w:t>各行业主管、监管部门及</w:t>
      </w:r>
      <w:r>
        <w:rPr>
          <w:spacing w:val="7"/>
        </w:rPr>
        <w:t>其负责人、工作人员为金融突发事件的报告责</w:t>
      </w:r>
      <w:r>
        <w:rPr>
          <w:spacing w:val="11"/>
        </w:rPr>
        <w:t>任单位和责任人。任何单位和个人发现问题，</w:t>
      </w:r>
      <w:r>
        <w:rPr>
          <w:spacing w:val="-8"/>
        </w:rPr>
        <w:t>都应当及时报告，不得瞒报、迟报、漏报、谎报。</w:t>
      </w:r>
    </w:p>
    <w:p>
      <w:pPr>
        <w:pStyle w:val="BodyText"/>
        <w:ind w:left="12" w:right="306" w:firstLine="412"/>
        <w:spacing w:before="3" w:line="332"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）金融突发事件事发单位要即时向相</w:t>
      </w:r>
      <w:r>
        <w:rPr>
          <w:spacing w:val="8"/>
        </w:rPr>
        <w:t>应的行业主管、监管部门、市指挥部办公室、</w:t>
      </w:r>
      <w:r>
        <w:rPr>
          <w:spacing w:val="8"/>
        </w:rPr>
        <w:t>事发地区县政府报告。</w:t>
      </w:r>
    </w:p>
    <w:p>
      <w:pPr>
        <w:pStyle w:val="BodyText"/>
        <w:ind w:left="11" w:right="252" w:firstLine="413"/>
        <w:spacing w:before="177" w:line="355" w:lineRule="auto"/>
        <w:rPr/>
      </w:pPr>
      <w:r>
        <w:rPr>
          <w:spacing w:val="9"/>
        </w:rPr>
        <w:t>（</w:t>
      </w:r>
      <w:r>
        <w:rPr>
          <w:rFonts w:ascii="Times New Roman" w:hAnsi="Times New Roman" w:eastAsia="Times New Roman" w:cs="Times New Roman"/>
          <w:spacing w:val="9"/>
        </w:rPr>
        <w:t>2</w:t>
      </w:r>
      <w:r>
        <w:rPr>
          <w:rFonts w:ascii="Times New Roman" w:hAnsi="Times New Roman" w:eastAsia="Times New Roman" w:cs="Times New Roman"/>
          <w:spacing w:val="-13"/>
        </w:rPr>
        <w:t xml:space="preserve"> </w:t>
      </w:r>
      <w:r>
        <w:rPr>
          <w:spacing w:val="9"/>
        </w:rPr>
        <w:t>）发生</w:t>
      </w:r>
      <w:r>
        <w:rPr>
          <w:rFonts w:ascii="Times New Roman" w:hAnsi="Times New Roman" w:eastAsia="Times New Roman" w:cs="Times New Roman"/>
          <w:spacing w:val="9"/>
        </w:rPr>
        <w:t>Ⅲ</w:t>
      </w:r>
      <w:r>
        <w:rPr>
          <w:spacing w:val="9"/>
        </w:rPr>
        <w:t>级以上金融突发事件</w:t>
      </w:r>
      <w:r>
        <w:rPr>
          <w:spacing w:val="-58"/>
        </w:rPr>
        <w:t xml:space="preserve"> </w:t>
      </w:r>
      <w:r>
        <w:rPr>
          <w:spacing w:val="9"/>
        </w:rPr>
        <w:t>，市指</w:t>
      </w:r>
      <w:r>
        <w:rPr>
          <w:spacing w:val="11"/>
        </w:rPr>
        <w:t>挥部办公室必须在接报后</w:t>
      </w:r>
      <w:r>
        <w:rPr>
          <w:spacing w:val="-35"/>
        </w:rPr>
        <w:t xml:space="preserve"> </w:t>
      </w:r>
      <w:r>
        <w:rPr>
          <w:rFonts w:ascii="Times New Roman" w:hAnsi="Times New Roman" w:eastAsia="Times New Roman" w:cs="Times New Roman"/>
          <w:spacing w:val="11"/>
        </w:rPr>
        <w:t>30 </w:t>
      </w:r>
      <w:r>
        <w:rPr>
          <w:spacing w:val="11"/>
        </w:rPr>
        <w:t>分钟内以口头方</w:t>
      </w:r>
      <w:r>
        <w:rPr>
          <w:spacing w:val="-1"/>
        </w:rPr>
        <w:t>式、</w:t>
      </w:r>
      <w:r>
        <w:rPr>
          <w:rFonts w:ascii="Times New Roman" w:hAnsi="Times New Roman" w:eastAsia="Times New Roman" w:cs="Times New Roman"/>
          <w:spacing w:val="-1"/>
        </w:rPr>
        <w:t>1 </w:t>
      </w:r>
      <w:r>
        <w:rPr>
          <w:spacing w:val="-1"/>
        </w:rPr>
        <w:t>小时内以书面方式向市政府办值班室（总</w:t>
      </w:r>
      <w:r>
        <w:rPr>
          <w:spacing w:val="1"/>
        </w:rPr>
        <w:t>值班室）报告。发生特殊情况，应当立即报告。</w:t>
      </w:r>
    </w:p>
    <w:p>
      <w:pPr>
        <w:pStyle w:val="BodyText"/>
        <w:ind w:left="12" w:right="252" w:firstLine="412"/>
        <w:spacing w:before="146" w:line="367"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）信息报告的内容主要包括：发生金</w:t>
      </w:r>
      <w:r>
        <w:rPr>
          <w:spacing w:val="7"/>
        </w:rPr>
        <w:t>融突发事件的机构名称、时间、地点；事件的</w:t>
      </w:r>
      <w:r>
        <w:rPr>
          <w:spacing w:val="10"/>
        </w:rPr>
        <w:t>原因、性质、等级、可能涉及的金额及人数、</w:t>
      </w:r>
      <w:r>
        <w:rPr>
          <w:spacing w:val="7"/>
        </w:rPr>
        <w:t>影响范围以及事件发生后的社会稳定情况；事</w:t>
      </w:r>
      <w:r>
        <w:rPr>
          <w:spacing w:val="7"/>
        </w:rPr>
        <w:t>态的发展趋势、可能造成的损失；已采取的应</w:t>
      </w:r>
      <w:r>
        <w:rPr>
          <w:spacing w:val="8"/>
        </w:rPr>
        <w:t>对措施及拟进一步采取的措施。如尚未完全掌</w:t>
      </w:r>
      <w:r>
        <w:rPr>
          <w:spacing w:val="-11"/>
        </w:rPr>
        <w:t>握有关情况，可先报初步情况，随后跟踪报告事态</w:t>
      </w:r>
      <w:r>
        <w:rPr>
          <w:spacing w:val="-17"/>
        </w:rPr>
        <w:t>发展、应急处置、社会舆情和原因分析等详细情况。</w:t>
      </w:r>
    </w:p>
    <w:p>
      <w:pPr>
        <w:pStyle w:val="BodyText"/>
        <w:ind w:left="11" w:right="324" w:firstLine="427"/>
        <w:spacing w:before="178" w:line="388" w:lineRule="auto"/>
        <w:jc w:val="both"/>
        <w:rPr/>
      </w:pPr>
      <w:r>
        <w:rPr>
          <w:rFonts w:ascii="Times New Roman" w:hAnsi="Times New Roman" w:eastAsia="Times New Roman" w:cs="Times New Roman"/>
          <w:spacing w:val="8"/>
        </w:rPr>
        <w:t>5.2  </w:t>
      </w:r>
      <w:r>
        <w:rPr>
          <w:rFonts w:ascii="KaiTi" w:hAnsi="KaiTi" w:eastAsia="KaiTi" w:cs="KaiTi"/>
          <w:spacing w:val="8"/>
        </w:rPr>
        <w:t>分级响应。</w:t>
      </w:r>
      <w:r>
        <w:rPr>
          <w:spacing w:val="8"/>
        </w:rPr>
        <w:t>金融突发事件应急响应级</w:t>
      </w:r>
      <w:r>
        <w:rPr>
          <w:spacing w:val="7"/>
        </w:rPr>
        <w:t>别分为</w:t>
      </w:r>
      <w:r>
        <w:rPr>
          <w:rFonts w:ascii="Times New Roman" w:hAnsi="Times New Roman" w:eastAsia="Times New Roman" w:cs="Times New Roman"/>
          <w:spacing w:val="7"/>
        </w:rPr>
        <w:t>Ⅰ</w:t>
      </w:r>
      <w:r>
        <w:rPr>
          <w:spacing w:val="7"/>
        </w:rPr>
        <w:t>级响应、</w:t>
      </w:r>
      <w:r>
        <w:rPr>
          <w:rFonts w:ascii="Times New Roman" w:hAnsi="Times New Roman" w:eastAsia="Times New Roman" w:cs="Times New Roman"/>
          <w:spacing w:val="7"/>
        </w:rPr>
        <w:t>Ⅱ</w:t>
      </w:r>
      <w:r>
        <w:rPr>
          <w:spacing w:val="7"/>
        </w:rPr>
        <w:t>级响应、</w:t>
      </w:r>
      <w:r>
        <w:rPr>
          <w:rFonts w:ascii="Times New Roman" w:hAnsi="Times New Roman" w:eastAsia="Times New Roman" w:cs="Times New Roman"/>
          <w:spacing w:val="7"/>
        </w:rPr>
        <w:t>Ⅲ</w:t>
      </w:r>
      <w:r>
        <w:rPr>
          <w:spacing w:val="7"/>
        </w:rPr>
        <w:t>级响应、</w:t>
      </w:r>
      <w:r>
        <w:rPr>
          <w:rFonts w:ascii="Times New Roman" w:hAnsi="Times New Roman" w:eastAsia="Times New Roman" w:cs="Times New Roman"/>
          <w:spacing w:val="7"/>
        </w:rPr>
        <w:t>Ⅳ</w:t>
      </w:r>
      <w:r>
        <w:rPr>
          <w:spacing w:val="7"/>
        </w:rPr>
        <w:t>级响</w:t>
      </w:r>
      <w:r>
        <w:rPr>
          <w:spacing w:val="7"/>
        </w:rPr>
        <w:t>应四个等级。各行业主管、监管部门根据金融</w:t>
      </w:r>
      <w:r>
        <w:rPr>
          <w:spacing w:val="7"/>
        </w:rPr>
        <w:t>突发事件的严重程度，向市指挥部提出启动本</w:t>
      </w:r>
      <w:r>
        <w:rPr>
          <w:spacing w:val="7"/>
        </w:rPr>
        <w:t>预案的建议和需要协调解决的具体事项，为市</w:t>
      </w:r>
      <w:r>
        <w:rPr>
          <w:spacing w:val="9"/>
        </w:rPr>
        <w:t>指挥部进入相应决策处置程序提供依据。</w:t>
      </w:r>
    </w:p>
    <w:p>
      <w:pPr>
        <w:pStyle w:val="BodyText"/>
        <w:ind w:left="30" w:right="329" w:firstLine="402"/>
        <w:spacing w:before="1" w:line="291" w:lineRule="auto"/>
        <w:rPr/>
      </w:pPr>
      <w:r>
        <w:rPr>
          <w:spacing w:val="19"/>
        </w:rPr>
        <w:t>金融突发事件应急处置指挥主体为相应</w:t>
      </w:r>
      <w:r>
        <w:rPr>
          <w:spacing w:val="6"/>
        </w:rPr>
        <w:t>的行业主管、监管部门，不同级别突发事件由</w:t>
      </w:r>
    </w:p>
    <w:p>
      <w:pPr>
        <w:spacing w:line="14" w:lineRule="auto"/>
        <w:rPr>
          <w:rFonts w:ascii="Arial"/>
          <w:sz w:val="2"/>
        </w:rPr>
      </w:pPr>
      <w:r>
        <w:rPr>
          <w:rFonts w:ascii="Arial" w:hAnsi="Arial" w:eastAsia="Arial" w:cs="Arial"/>
          <w:sz w:val="2"/>
          <w:szCs w:val="2"/>
        </w:rPr>
        <w:br w:type="column"/>
      </w:r>
    </w:p>
    <w:p>
      <w:pPr>
        <w:pStyle w:val="BodyText"/>
        <w:ind w:left="1" w:right="80"/>
        <w:spacing w:before="38" w:line="387" w:lineRule="auto"/>
        <w:jc w:val="both"/>
        <w:rPr/>
      </w:pPr>
      <w:r>
        <w:rPr>
          <w:spacing w:val="7"/>
        </w:rPr>
        <w:t>不同级别组织机构负责协调、支持。随着金融</w:t>
      </w:r>
      <w:r>
        <w:rPr>
          <w:spacing w:val="7"/>
        </w:rPr>
        <w:t>突发事件及处置工作的进展，行业主管、监管</w:t>
      </w:r>
      <w:r>
        <w:rPr>
          <w:spacing w:val="18"/>
        </w:rPr>
        <w:t>部门要对金融突发事件响应级别及时提出调</w:t>
      </w:r>
      <w:r>
        <w:rPr>
          <w:spacing w:val="6"/>
        </w:rPr>
        <w:t>整建议。</w:t>
      </w:r>
    </w:p>
    <w:p>
      <w:pPr>
        <w:pStyle w:val="BodyText"/>
        <w:ind w:right="57" w:firstLine="412"/>
        <w:spacing w:before="4" w:line="360" w:lineRule="auto"/>
        <w:rPr/>
      </w:pPr>
      <w:r>
        <w:rPr>
          <w:spacing w:val="5"/>
        </w:rPr>
        <w:t>（</w:t>
      </w:r>
      <w:r>
        <w:rPr>
          <w:spacing w:val="-35"/>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21"/>
        </w:rPr>
        <w:t xml:space="preserve"> </w:t>
      </w:r>
      <w:r>
        <w:rPr>
          <w:spacing w:val="5"/>
        </w:rPr>
        <w:t>）</w:t>
      </w:r>
      <w:r>
        <w:rPr>
          <w:rFonts w:ascii="Times New Roman" w:hAnsi="Times New Roman" w:eastAsia="Times New Roman" w:cs="Times New Roman"/>
          <w:spacing w:val="5"/>
        </w:rPr>
        <w:t>Ⅰ</w:t>
      </w:r>
      <w:r>
        <w:rPr>
          <w:spacing w:val="5"/>
        </w:rPr>
        <w:t>级响应。发生特大金融突发事件，</w:t>
      </w:r>
      <w:r>
        <w:rPr>
          <w:spacing w:val="8"/>
        </w:rPr>
        <w:t>市指挥部迅速组织各成员单位配合行业主管、</w:t>
      </w:r>
      <w:r>
        <w:rPr>
          <w:spacing w:val="7"/>
        </w:rPr>
        <w:t>监管部门立即开展先期处置，待自治区有关部</w:t>
      </w:r>
      <w:r>
        <w:rPr>
          <w:spacing w:val="7"/>
        </w:rPr>
        <w:t>门成立处置指挥机构后，应当在其统一领导和</w:t>
      </w:r>
      <w:r>
        <w:rPr>
          <w:spacing w:val="7"/>
        </w:rPr>
        <w:t>指挥下，协调本市有关部门和单位按照各自职</w:t>
      </w:r>
      <w:r>
        <w:rPr>
          <w:spacing w:val="8"/>
        </w:rPr>
        <w:t>责和分工，密切配合，共同处置。</w:t>
      </w:r>
    </w:p>
    <w:p>
      <w:pPr>
        <w:pStyle w:val="BodyText"/>
        <w:ind w:firstLine="413"/>
        <w:spacing w:before="172" w:line="361"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18"/>
        </w:rPr>
        <w:t xml:space="preserve"> </w:t>
      </w:r>
      <w:r>
        <w:rPr>
          <w:spacing w:val="8"/>
        </w:rPr>
        <w:t>）</w:t>
      </w:r>
      <w:r>
        <w:rPr>
          <w:rFonts w:ascii="Times New Roman" w:hAnsi="Times New Roman" w:eastAsia="Times New Roman" w:cs="Times New Roman"/>
          <w:spacing w:val="8"/>
        </w:rPr>
        <w:t>Ⅱ</w:t>
      </w:r>
      <w:r>
        <w:rPr>
          <w:spacing w:val="8"/>
        </w:rPr>
        <w:t>级响应。发生重大金融突发事件，</w:t>
      </w:r>
      <w:r>
        <w:rPr>
          <w:spacing w:val="18"/>
        </w:rPr>
        <w:t>市指挥部立即组织成员单位和专家进行分析</w:t>
      </w:r>
      <w:r>
        <w:rPr>
          <w:spacing w:val="7"/>
        </w:rPr>
        <w:t>研判，对金融突发事件影响及其发展趋势进行</w:t>
      </w:r>
      <w:r>
        <w:rPr>
          <w:spacing w:val="4"/>
        </w:rPr>
        <w:t>综合评估，启动</w:t>
      </w:r>
      <w:r>
        <w:rPr>
          <w:rFonts w:ascii="Times New Roman" w:hAnsi="Times New Roman" w:eastAsia="Times New Roman" w:cs="Times New Roman"/>
          <w:spacing w:val="4"/>
        </w:rPr>
        <w:t>Ⅱ</w:t>
      </w:r>
      <w:r>
        <w:rPr>
          <w:spacing w:val="4"/>
        </w:rPr>
        <w:t>级应急响应。相关行业主管、</w:t>
      </w:r>
      <w:r>
        <w:rPr>
          <w:spacing w:val="7"/>
        </w:rPr>
        <w:t>监管部门应迅速成立处置指挥机构，市指挥部</w:t>
      </w:r>
      <w:r>
        <w:rPr>
          <w:spacing w:val="9"/>
        </w:rPr>
        <w:t>协调有关成员单位和地方资源配合处置工作。</w:t>
      </w:r>
    </w:p>
    <w:p>
      <w:pPr>
        <w:pStyle w:val="BodyText"/>
        <w:ind w:right="16" w:firstLine="412"/>
        <w:spacing w:before="172" w:line="365" w:lineRule="auto"/>
        <w:rPr/>
      </w:pPr>
      <w:r>
        <w:rPr>
          <w:spacing w:val="4"/>
        </w:rPr>
        <w:t>（</w:t>
      </w:r>
      <w:r>
        <w:rPr>
          <w:rFonts w:ascii="Times New Roman" w:hAnsi="Times New Roman" w:eastAsia="Times New Roman" w:cs="Times New Roman"/>
          <w:spacing w:val="4"/>
        </w:rPr>
        <w:t>3</w:t>
      </w:r>
      <w:r>
        <w:rPr>
          <w:rFonts w:ascii="Times New Roman" w:hAnsi="Times New Roman" w:eastAsia="Times New Roman" w:cs="Times New Roman"/>
          <w:spacing w:val="-21"/>
        </w:rPr>
        <w:t xml:space="preserve"> </w:t>
      </w:r>
      <w:r>
        <w:rPr>
          <w:spacing w:val="4"/>
        </w:rPr>
        <w:t>）</w:t>
      </w:r>
      <w:r>
        <w:rPr>
          <w:rFonts w:ascii="Times New Roman" w:hAnsi="Times New Roman" w:eastAsia="Times New Roman" w:cs="Times New Roman"/>
          <w:spacing w:val="4"/>
        </w:rPr>
        <w:t>Ⅲ</w:t>
      </w:r>
      <w:r>
        <w:rPr>
          <w:spacing w:val="4"/>
        </w:rPr>
        <w:t>级响应。发生较大金融突发事件，</w:t>
      </w:r>
      <w:r>
        <w:rPr>
          <w:spacing w:val="7"/>
        </w:rPr>
        <w:t>行业主管、监管部门立即组织专家进行分析研</w:t>
      </w:r>
      <w:r>
        <w:rPr>
          <w:spacing w:val="7"/>
        </w:rPr>
        <w:t>判，对金融突发事件影响及其发展趋势进行综</w:t>
      </w:r>
      <w:r>
        <w:rPr>
          <w:spacing w:val="7"/>
        </w:rPr>
        <w:t>合评估，提出决定启动</w:t>
      </w:r>
      <w:r>
        <w:rPr>
          <w:rFonts w:ascii="Times New Roman" w:hAnsi="Times New Roman" w:eastAsia="Times New Roman" w:cs="Times New Roman"/>
          <w:spacing w:val="7"/>
        </w:rPr>
        <w:t>Ⅲ</w:t>
      </w:r>
      <w:r>
        <w:rPr>
          <w:spacing w:val="7"/>
        </w:rPr>
        <w:t>级应急响应建议，制</w:t>
      </w:r>
      <w:r>
        <w:rPr>
          <w:spacing w:val="7"/>
        </w:rPr>
        <w:t>订金融突发事件应急处置方案并组织实施。市</w:t>
      </w:r>
      <w:r>
        <w:rPr>
          <w:spacing w:val="18"/>
        </w:rPr>
        <w:t>指挥部向各有关单位发出启动相关应急程序</w:t>
      </w:r>
      <w:r>
        <w:rPr>
          <w:spacing w:val="8"/>
        </w:rPr>
        <w:t>的指令，配合做好处置保障。</w:t>
      </w:r>
    </w:p>
    <w:p>
      <w:pPr>
        <w:pStyle w:val="BodyText"/>
        <w:ind w:right="13" w:firstLine="412"/>
        <w:spacing w:before="173" w:line="361" w:lineRule="auto"/>
        <w:rPr/>
      </w:pPr>
      <w:r>
        <w:rPr>
          <w:spacing w:val="3"/>
        </w:rPr>
        <w:t>（</w:t>
      </w:r>
      <w:r>
        <w:rPr>
          <w:rFonts w:ascii="Times New Roman" w:hAnsi="Times New Roman" w:eastAsia="Times New Roman" w:cs="Times New Roman"/>
          <w:spacing w:val="3"/>
        </w:rPr>
        <w:t>4</w:t>
      </w:r>
      <w:r>
        <w:rPr>
          <w:rFonts w:ascii="Times New Roman" w:hAnsi="Times New Roman" w:eastAsia="Times New Roman" w:cs="Times New Roman"/>
          <w:spacing w:val="-18"/>
        </w:rPr>
        <w:t xml:space="preserve"> </w:t>
      </w:r>
      <w:r>
        <w:rPr>
          <w:spacing w:val="3"/>
        </w:rPr>
        <w:t>）</w:t>
      </w:r>
      <w:r>
        <w:rPr>
          <w:rFonts w:ascii="Times New Roman" w:hAnsi="Times New Roman" w:eastAsia="Times New Roman" w:cs="Times New Roman"/>
          <w:spacing w:val="3"/>
        </w:rPr>
        <w:t>Ⅳ</w:t>
      </w:r>
      <w:r>
        <w:rPr>
          <w:spacing w:val="3"/>
        </w:rPr>
        <w:t>级响应。发生一般金融突发事件，</w:t>
      </w:r>
      <w:r>
        <w:rPr>
          <w:spacing w:val="7"/>
        </w:rPr>
        <w:t>相关行业主管、监管部门对事件影响及其发展</w:t>
      </w:r>
      <w:r>
        <w:rPr>
          <w:spacing w:val="10"/>
        </w:rPr>
        <w:t>趋势进行综合评估，决定启动</w:t>
      </w:r>
      <w:r>
        <w:rPr>
          <w:rFonts w:ascii="Times New Roman" w:hAnsi="Times New Roman" w:eastAsia="Times New Roman" w:cs="Times New Roman"/>
          <w:spacing w:val="10"/>
        </w:rPr>
        <w:t>Ⅳ</w:t>
      </w:r>
      <w:r>
        <w:rPr>
          <w:spacing w:val="10"/>
        </w:rPr>
        <w:t>级应急响应，</w:t>
      </w:r>
      <w:r>
        <w:rPr>
          <w:spacing w:val="18"/>
        </w:rPr>
        <w:t>指导金融机构负责提出金融突发事件处置方</w:t>
      </w:r>
      <w:r>
        <w:rPr>
          <w:spacing w:val="7"/>
        </w:rPr>
        <w:t>案并组织实施，事后将情况上报市指挥部办公</w:t>
      </w:r>
      <w:r>
        <w:rPr>
          <w:spacing w:val="6"/>
        </w:rPr>
        <w:t>室备案。</w:t>
      </w:r>
    </w:p>
    <w:p>
      <w:pPr>
        <w:ind w:left="427"/>
        <w:spacing w:before="176" w:line="242" w:lineRule="auto"/>
        <w:rPr>
          <w:rFonts w:ascii="KaiTi" w:hAnsi="KaiTi" w:eastAsia="KaiTi" w:cs="KaiTi"/>
          <w:sz w:val="20"/>
          <w:szCs w:val="20"/>
        </w:rPr>
      </w:pPr>
      <w:r>
        <w:rPr>
          <w:rFonts w:ascii="Times New Roman" w:hAnsi="Times New Roman" w:eastAsia="Times New Roman" w:cs="Times New Roman"/>
          <w:sz w:val="20"/>
          <w:szCs w:val="20"/>
          <w:spacing w:val="4"/>
        </w:rPr>
        <w:t>5.3  </w:t>
      </w:r>
      <w:r>
        <w:rPr>
          <w:rFonts w:ascii="KaiTi" w:hAnsi="KaiTi" w:eastAsia="KaiTi" w:cs="KaiTi"/>
          <w:sz w:val="20"/>
          <w:szCs w:val="20"/>
          <w:spacing w:val="4"/>
        </w:rPr>
        <w:t>后期处置。</w:t>
      </w:r>
    </w:p>
    <w:p>
      <w:pPr>
        <w:pStyle w:val="BodyText"/>
        <w:ind w:left="420"/>
        <w:spacing w:before="169" w:line="188" w:lineRule="auto"/>
        <w:rPr/>
      </w:pPr>
      <w:r>
        <w:rPr>
          <w:spacing w:val="7"/>
        </w:rPr>
        <w:t>按照分级响应程序的职责分工，分别由各</w:t>
      </w:r>
    </w:p>
    <w:p>
      <w:pPr>
        <w:spacing w:line="188" w:lineRule="auto"/>
        <w:sectPr>
          <w:type w:val="continuous"/>
          <w:pgSz w:w="11906" w:h="16839"/>
          <w:pgMar w:top="1766" w:right="1509" w:bottom="1574" w:left="1579" w:header="1428" w:footer="1172" w:gutter="0"/>
          <w:cols w:equalWidth="0" w:num="2">
            <w:col w:w="4489" w:space="100"/>
            <w:col w:w="4228" w:space="0"/>
          </w:cols>
        </w:sectPr>
        <w:rPr/>
      </w:pPr>
    </w:p>
    <w:p>
      <w:pPr>
        <w:spacing w:before="97"/>
        <w:rPr/>
      </w:pPr>
      <w:r>
        <w:drawing>
          <wp:anchor distT="0" distB="0" distL="0" distR="0" simplePos="0" relativeHeight="254361600"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280" name="IM 2280"/>
            <wp:cNvGraphicFramePr/>
            <a:graphic>
              <a:graphicData uri="http://schemas.openxmlformats.org/drawingml/2006/picture">
                <pic:pic>
                  <pic:nvPicPr>
                    <pic:cNvPr id="2280" name="IM 2280"/>
                    <pic:cNvPicPr/>
                  </pic:nvPicPr>
                  <pic:blipFill>
                    <a:blip r:embed="rId1144"/>
                    <a:stretch>
                      <a:fillRect/>
                    </a:stretch>
                  </pic:blipFill>
                  <pic:spPr>
                    <a:xfrm rot="0">
                      <a:off x="0" y="0"/>
                      <a:ext cx="5579745" cy="7620"/>
                    </a:xfrm>
                    <a:prstGeom prst="rect">
                      <a:avLst/>
                    </a:prstGeom>
                  </pic:spPr>
                </pic:pic>
              </a:graphicData>
            </a:graphic>
          </wp:anchor>
        </w:drawing>
      </w:r>
      <w:r/>
    </w:p>
    <w:p>
      <w:pPr>
        <w:sectPr>
          <w:headerReference w:type="default" r:id="rId1048"/>
          <w:footerReference w:type="default" r:id="rId1143"/>
          <w:pgSz w:w="11906" w:h="16839"/>
          <w:pgMar w:top="1772" w:right="1489" w:bottom="1572" w:left="1571" w:header="1428" w:footer="1172" w:gutter="0"/>
          <w:cols w:equalWidth="0" w:num="1">
            <w:col w:w="8846" w:space="0"/>
          </w:cols>
        </w:sectPr>
        <w:rPr/>
      </w:pPr>
    </w:p>
    <w:p>
      <w:pPr>
        <w:pStyle w:val="BodyText"/>
        <w:ind w:left="21" w:right="328"/>
        <w:spacing w:before="41" w:line="395" w:lineRule="auto"/>
        <w:jc w:val="both"/>
        <w:rPr/>
      </w:pPr>
      <w:r>
        <w:rPr>
          <w:spacing w:val="7"/>
        </w:rPr>
        <w:t>行业主管、监管部门、有关单位及区县政府负</w:t>
      </w:r>
      <w:r>
        <w:rPr>
          <w:spacing w:val="7"/>
        </w:rPr>
        <w:t>责落实。不同类别、不同级别突发事件的具体</w:t>
      </w:r>
      <w:r>
        <w:rPr>
          <w:spacing w:val="9"/>
        </w:rPr>
        <w:t>处置方式，由各分类预案做出详细规定。</w:t>
      </w:r>
    </w:p>
    <w:p>
      <w:pPr>
        <w:ind w:left="447"/>
        <w:rPr>
          <w:rFonts w:ascii="KaiTi" w:hAnsi="KaiTi" w:eastAsia="KaiTi" w:cs="KaiTi"/>
          <w:sz w:val="20"/>
          <w:szCs w:val="20"/>
        </w:rPr>
      </w:pPr>
      <w:r>
        <w:rPr>
          <w:rFonts w:ascii="Times New Roman" w:hAnsi="Times New Roman" w:eastAsia="Times New Roman" w:cs="Times New Roman"/>
          <w:sz w:val="20"/>
          <w:szCs w:val="20"/>
          <w:spacing w:val="4"/>
        </w:rPr>
        <w:t>5.4  </w:t>
      </w:r>
      <w:r>
        <w:rPr>
          <w:rFonts w:ascii="KaiTi" w:hAnsi="KaiTi" w:eastAsia="KaiTi" w:cs="KaiTi"/>
          <w:sz w:val="20"/>
          <w:szCs w:val="20"/>
          <w:spacing w:val="4"/>
        </w:rPr>
        <w:t>调查评估。</w:t>
      </w:r>
    </w:p>
    <w:p>
      <w:pPr>
        <w:pStyle w:val="BodyText"/>
        <w:ind w:left="21" w:right="326" w:firstLine="425"/>
        <w:spacing w:before="176" w:line="352" w:lineRule="auto"/>
        <w:rPr/>
      </w:pPr>
      <w:r>
        <w:rPr>
          <w:rFonts w:ascii="Times New Roman" w:hAnsi="Times New Roman" w:eastAsia="Times New Roman" w:cs="Times New Roman"/>
          <w:spacing w:val="3"/>
        </w:rPr>
        <w:t>5.4.1 </w:t>
      </w:r>
      <w:r>
        <w:rPr>
          <w:spacing w:val="3"/>
        </w:rPr>
        <w:t>金融突发事件处置完毕后，参与处置</w:t>
      </w:r>
      <w:r>
        <w:rPr>
          <w:spacing w:val="18"/>
        </w:rPr>
        <w:t>的有关单位应当及时对应急处置工作进行总</w:t>
      </w:r>
      <w:r>
        <w:rPr>
          <w:spacing w:val="7"/>
        </w:rPr>
        <w:t>结，报告市指挥部办公室及有关行业主管、监</w:t>
      </w:r>
      <w:r>
        <w:rPr>
          <w:spacing w:val="6"/>
        </w:rPr>
        <w:t>管部门。</w:t>
      </w:r>
    </w:p>
    <w:p>
      <w:pPr>
        <w:pStyle w:val="BodyText"/>
        <w:ind w:left="22" w:right="326" w:firstLine="425"/>
        <w:spacing w:before="193" w:line="338" w:lineRule="auto"/>
        <w:rPr/>
      </w:pPr>
      <w:r>
        <w:rPr>
          <w:rFonts w:ascii="Times New Roman" w:hAnsi="Times New Roman" w:eastAsia="Times New Roman" w:cs="Times New Roman"/>
          <w:spacing w:val="3"/>
        </w:rPr>
        <w:t>5.4.2 </w:t>
      </w:r>
      <w:r>
        <w:rPr>
          <w:spacing w:val="3"/>
        </w:rPr>
        <w:t>各行业主管、监管部门应当针对处置</w:t>
      </w:r>
      <w:r>
        <w:rPr>
          <w:spacing w:val="7"/>
        </w:rPr>
        <w:t>过程中暴露出来的问题，及时提出修订预案及</w:t>
      </w:r>
      <w:r>
        <w:rPr>
          <w:spacing w:val="8"/>
        </w:rPr>
        <w:t>相关法律法规的意见和建议。</w:t>
      </w:r>
    </w:p>
    <w:p>
      <w:pPr>
        <w:pStyle w:val="BodyText"/>
        <w:ind w:left="21" w:right="328" w:firstLine="426"/>
        <w:spacing w:before="193" w:line="337" w:lineRule="auto"/>
        <w:rPr/>
      </w:pPr>
      <w:r>
        <w:rPr>
          <w:rFonts w:ascii="Times New Roman" w:hAnsi="Times New Roman" w:eastAsia="Times New Roman" w:cs="Times New Roman"/>
          <w:spacing w:val="12"/>
        </w:rPr>
        <w:t>5.4.3 </w:t>
      </w:r>
      <w:r>
        <w:rPr>
          <w:spacing w:val="12"/>
        </w:rPr>
        <w:t>市指挥部办公室应当对突发事件的</w:t>
      </w:r>
      <w:r>
        <w:rPr>
          <w:spacing w:val="7"/>
        </w:rPr>
        <w:t>应急处置进行评估与总结，并将总结报告上报</w:t>
      </w:r>
      <w:r>
        <w:rPr>
          <w:spacing w:val="6"/>
        </w:rPr>
        <w:t>市政府。</w:t>
      </w:r>
    </w:p>
    <w:p>
      <w:pPr>
        <w:ind w:left="445"/>
        <w:spacing w:before="184"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6</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4"/>
        </w:rPr>
        <w:t>应急保障</w:t>
      </w:r>
    </w:p>
    <w:p>
      <w:pPr>
        <w:pStyle w:val="BodyText"/>
        <w:ind w:left="22" w:right="328" w:firstLine="424"/>
        <w:spacing w:before="124" w:line="340" w:lineRule="auto"/>
        <w:rPr/>
      </w:pPr>
      <w:r>
        <w:rPr>
          <w:rFonts w:ascii="Times New Roman" w:hAnsi="Times New Roman" w:eastAsia="Times New Roman" w:cs="Times New Roman"/>
          <w:spacing w:val="6"/>
        </w:rPr>
        <w:t>6.</w:t>
      </w:r>
      <w:r>
        <w:rPr>
          <w:rFonts w:ascii="Times New Roman" w:hAnsi="Times New Roman" w:eastAsia="Times New Roman" w:cs="Times New Roman"/>
          <w:spacing w:val="-7"/>
        </w:rPr>
        <w:t xml:space="preserve"> </w:t>
      </w:r>
      <w:r>
        <w:rPr>
          <w:rFonts w:ascii="Times New Roman" w:hAnsi="Times New Roman" w:eastAsia="Times New Roman" w:cs="Times New Roman"/>
          <w:spacing w:val="6"/>
        </w:rPr>
        <w:t>1  </w:t>
      </w:r>
      <w:r>
        <w:rPr>
          <w:rFonts w:ascii="KaiTi" w:hAnsi="KaiTi" w:eastAsia="KaiTi" w:cs="KaiTi"/>
          <w:spacing w:val="6"/>
        </w:rPr>
        <w:t>安全保障。</w:t>
      </w:r>
      <w:r>
        <w:rPr>
          <w:spacing w:val="6"/>
        </w:rPr>
        <w:t>相关部门应当及时对工作</w:t>
      </w:r>
      <w:r>
        <w:rPr>
          <w:spacing w:val="7"/>
        </w:rPr>
        <w:t>场所采取安全性和保密性措施，确保有关人身</w:t>
      </w:r>
      <w:r>
        <w:rPr>
          <w:spacing w:val="8"/>
        </w:rPr>
        <w:t>安全和保密安全。</w:t>
      </w:r>
    </w:p>
    <w:p>
      <w:pPr>
        <w:pStyle w:val="BodyText"/>
        <w:ind w:left="21" w:right="328" w:firstLine="424"/>
        <w:spacing w:before="186" w:line="363" w:lineRule="auto"/>
        <w:rPr/>
      </w:pPr>
      <w:r>
        <w:rPr>
          <w:rFonts w:ascii="Times New Roman" w:hAnsi="Times New Roman" w:eastAsia="Times New Roman" w:cs="Times New Roman"/>
          <w:spacing w:val="8"/>
        </w:rPr>
        <w:t>6.2  </w:t>
      </w:r>
      <w:r>
        <w:rPr>
          <w:rFonts w:ascii="KaiTi" w:hAnsi="KaiTi" w:eastAsia="KaiTi" w:cs="KaiTi"/>
          <w:spacing w:val="8"/>
        </w:rPr>
        <w:t>通信、文电、技术、人力资源保障。</w:t>
      </w:r>
      <w:r>
        <w:rPr>
          <w:spacing w:val="18"/>
        </w:rPr>
        <w:t>各相关单位应当突发事件应对工作提供所需</w:t>
      </w:r>
      <w:r>
        <w:rPr>
          <w:spacing w:val="7"/>
        </w:rPr>
        <w:t>的各项保障，包括通信的畅通、文电的高效传</w:t>
      </w:r>
      <w:r>
        <w:rPr>
          <w:spacing w:val="7"/>
        </w:rPr>
        <w:t>递、计算机设备的正常运转、核心数据的异地</w:t>
      </w:r>
      <w:r>
        <w:rPr>
          <w:spacing w:val="9"/>
        </w:rPr>
        <w:t>备份、网络的保证和专家队伍的支撑等。</w:t>
      </w:r>
    </w:p>
    <w:p>
      <w:pPr>
        <w:pStyle w:val="BodyText"/>
        <w:ind w:left="21" w:right="328" w:firstLine="422"/>
        <w:spacing w:before="189" w:line="395" w:lineRule="auto"/>
        <w:jc w:val="both"/>
        <w:rPr/>
      </w:pPr>
      <w:r>
        <w:rPr>
          <w:spacing w:val="6"/>
        </w:rPr>
        <w:t>市指挥部及其办公室指导、协调相关单位</w:t>
      </w:r>
      <w:r>
        <w:rPr>
          <w:spacing w:val="7"/>
        </w:rPr>
        <w:t>定期或不定期举办各种培训，不断提高从业人</w:t>
      </w:r>
      <w:r>
        <w:rPr>
          <w:spacing w:val="9"/>
        </w:rPr>
        <w:t>员的监管水平，并根据需要及时调整补充。</w:t>
      </w:r>
    </w:p>
    <w:p>
      <w:pPr>
        <w:pStyle w:val="BodyText"/>
        <w:ind w:left="21" w:right="328" w:firstLine="425"/>
        <w:spacing w:before="2" w:line="353" w:lineRule="auto"/>
        <w:jc w:val="both"/>
        <w:rPr/>
      </w:pPr>
      <w:r>
        <w:rPr>
          <w:rFonts w:ascii="Times New Roman" w:hAnsi="Times New Roman" w:eastAsia="Times New Roman" w:cs="Times New Roman"/>
          <w:spacing w:val="8"/>
        </w:rPr>
        <w:t>6.3  </w:t>
      </w:r>
      <w:r>
        <w:rPr>
          <w:rFonts w:ascii="KaiTi" w:hAnsi="KaiTi" w:eastAsia="KaiTi" w:cs="KaiTi"/>
          <w:spacing w:val="8"/>
        </w:rPr>
        <w:t>预案培训和演练评估。</w:t>
      </w:r>
      <w:r>
        <w:rPr>
          <w:spacing w:val="8"/>
        </w:rPr>
        <w:t>各有关部门和</w:t>
      </w:r>
      <w:r>
        <w:rPr>
          <w:spacing w:val="7"/>
        </w:rPr>
        <w:t>单位应当按照本预案的要求，制订相应的子预</w:t>
      </w:r>
      <w:r>
        <w:rPr>
          <w:spacing w:val="7"/>
        </w:rPr>
        <w:t>案，组织本部门、本系统的相关人员，开展金</w:t>
      </w:r>
      <w:r>
        <w:rPr>
          <w:spacing w:val="7"/>
        </w:rPr>
        <w:t>融突发事件应急处置培训，熟悉和掌握实施预</w:t>
      </w:r>
    </w:p>
    <w:p>
      <w:pPr>
        <w:spacing w:line="14" w:lineRule="auto"/>
        <w:rPr>
          <w:rFonts w:ascii="Arial"/>
          <w:sz w:val="2"/>
        </w:rPr>
      </w:pPr>
      <w:r>
        <w:rPr>
          <w:rFonts w:ascii="Arial" w:hAnsi="Arial" w:eastAsia="Arial" w:cs="Arial"/>
          <w:sz w:val="2"/>
          <w:szCs w:val="2"/>
        </w:rPr>
        <w:br w:type="column"/>
      </w:r>
    </w:p>
    <w:p>
      <w:pPr>
        <w:pStyle w:val="BodyText"/>
        <w:ind w:left="2" w:right="101" w:firstLine="1"/>
        <w:spacing w:before="38" w:line="397" w:lineRule="auto"/>
        <w:rPr/>
      </w:pPr>
      <w:r>
        <w:rPr>
          <w:spacing w:val="7"/>
        </w:rPr>
        <w:t>案的工作程序和要求，做好实施预案的各项准</w:t>
      </w:r>
      <w:r>
        <w:rPr>
          <w:spacing w:val="6"/>
        </w:rPr>
        <w:t>备工作。</w:t>
      </w:r>
    </w:p>
    <w:p>
      <w:pPr>
        <w:pStyle w:val="BodyText"/>
        <w:ind w:right="78" w:firstLine="421"/>
        <w:spacing w:before="1" w:line="396" w:lineRule="auto"/>
        <w:jc w:val="both"/>
        <w:rPr/>
      </w:pPr>
      <w:r>
        <w:rPr>
          <w:spacing w:val="8"/>
        </w:rPr>
        <w:t>各有关部门和单位应当适时组织本部门、</w:t>
      </w:r>
      <w:r>
        <w:rPr>
          <w:spacing w:val="8"/>
        </w:rPr>
        <w:t>本系统开展金融突发事件应急处置实战演练，</w:t>
      </w:r>
      <w:r>
        <w:rPr>
          <w:spacing w:val="7"/>
        </w:rPr>
        <w:t>并对本预案进行评估，每年向市指挥部办公室</w:t>
      </w:r>
      <w:r>
        <w:rPr>
          <w:spacing w:val="8"/>
        </w:rPr>
        <w:t>报告演练和评估情况。</w:t>
      </w:r>
    </w:p>
    <w:p>
      <w:pPr>
        <w:pStyle w:val="BodyText"/>
        <w:ind w:left="4" w:right="101" w:firstLine="422"/>
        <w:spacing w:before="2" w:line="362" w:lineRule="auto"/>
        <w:rPr/>
      </w:pPr>
      <w:r>
        <w:rPr>
          <w:rFonts w:ascii="Times New Roman" w:hAnsi="Times New Roman" w:eastAsia="Times New Roman" w:cs="Times New Roman"/>
          <w:spacing w:val="8"/>
        </w:rPr>
        <w:t>6.4  </w:t>
      </w:r>
      <w:r>
        <w:rPr>
          <w:rFonts w:ascii="KaiTi" w:hAnsi="KaiTi" w:eastAsia="KaiTi" w:cs="KaiTi"/>
          <w:spacing w:val="8"/>
        </w:rPr>
        <w:t>完善规定。</w:t>
      </w:r>
      <w:r>
        <w:rPr>
          <w:spacing w:val="8"/>
        </w:rPr>
        <w:t>行业主管、监管部门应当</w:t>
      </w:r>
      <w:r>
        <w:rPr>
          <w:spacing w:val="7"/>
        </w:rPr>
        <w:t>梳理有关法律法规，提出逐步解决目前在金融</w:t>
      </w:r>
      <w:r>
        <w:rPr>
          <w:spacing w:val="18"/>
        </w:rPr>
        <w:t>突发事件应急工作过程中存在的制度盲点及</w:t>
      </w:r>
      <w:r>
        <w:rPr>
          <w:spacing w:val="7"/>
        </w:rPr>
        <w:t>障碍的措施，制定相关规定，为金融应急工作</w:t>
      </w:r>
      <w:r>
        <w:rPr>
          <w:spacing w:val="7"/>
        </w:rPr>
        <w:t>提供全面的保障。</w:t>
      </w:r>
    </w:p>
    <w:p>
      <w:pPr>
        <w:pStyle w:val="BodyText"/>
        <w:ind w:left="1" w:right="101" w:firstLine="425"/>
        <w:spacing w:before="186" w:line="354" w:lineRule="auto"/>
        <w:rPr/>
      </w:pPr>
      <w:r>
        <w:rPr>
          <w:rFonts w:ascii="Times New Roman" w:hAnsi="Times New Roman" w:eastAsia="Times New Roman" w:cs="Times New Roman"/>
          <w:spacing w:val="8"/>
        </w:rPr>
        <w:t>6.5  </w:t>
      </w:r>
      <w:r>
        <w:rPr>
          <w:rFonts w:ascii="KaiTi" w:hAnsi="KaiTi" w:eastAsia="KaiTi" w:cs="KaiTi"/>
          <w:spacing w:val="8"/>
        </w:rPr>
        <w:t>社会监督。</w:t>
      </w:r>
      <w:r>
        <w:rPr>
          <w:spacing w:val="8"/>
        </w:rPr>
        <w:t>行业主管、监管部门应当</w:t>
      </w:r>
      <w:r>
        <w:rPr>
          <w:spacing w:val="7"/>
        </w:rPr>
        <w:t>进一步督促金融机构增加透明度，向公众发布</w:t>
      </w:r>
      <w:r>
        <w:rPr>
          <w:spacing w:val="7"/>
        </w:rPr>
        <w:t>相关业务活动信息，在机构、公众间建立信息</w:t>
      </w:r>
      <w:r>
        <w:rPr>
          <w:spacing w:val="8"/>
        </w:rPr>
        <w:t>共享机制，加大社会监督的力度。</w:t>
      </w:r>
    </w:p>
    <w:p>
      <w:pPr>
        <w:pStyle w:val="BodyText"/>
        <w:ind w:right="18" w:firstLine="427"/>
        <w:spacing w:before="187" w:line="354" w:lineRule="auto"/>
        <w:rPr/>
      </w:pPr>
      <w:r>
        <w:rPr>
          <w:rFonts w:ascii="Times New Roman" w:hAnsi="Times New Roman" w:eastAsia="Times New Roman" w:cs="Times New Roman"/>
          <w:spacing w:val="7"/>
        </w:rPr>
        <w:t>6.6</w:t>
      </w:r>
      <w:r>
        <w:rPr>
          <w:rFonts w:ascii="Times New Roman" w:hAnsi="Times New Roman" w:eastAsia="Times New Roman" w:cs="Times New Roman"/>
          <w:spacing w:val="18"/>
        </w:rPr>
        <w:t xml:space="preserve">  </w:t>
      </w:r>
      <w:r>
        <w:rPr>
          <w:rFonts w:ascii="KaiTi" w:hAnsi="KaiTi" w:eastAsia="KaiTi" w:cs="KaiTi"/>
          <w:spacing w:val="7"/>
        </w:rPr>
        <w:t>宣传教育。</w:t>
      </w:r>
      <w:r>
        <w:rPr>
          <w:spacing w:val="7"/>
        </w:rPr>
        <w:t>行业主管、监管部门应当</w:t>
      </w:r>
      <w:r>
        <w:rPr>
          <w:spacing w:val="15"/>
        </w:rPr>
        <w:t>加强对公众的宣传教育</w:t>
      </w:r>
      <w:r>
        <w:rPr>
          <w:spacing w:val="-39"/>
        </w:rPr>
        <w:t xml:space="preserve"> </w:t>
      </w:r>
      <w:r>
        <w:rPr>
          <w:spacing w:val="15"/>
        </w:rPr>
        <w:t>，增进公众对金融体</w:t>
      </w:r>
      <w:r>
        <w:rPr>
          <w:spacing w:val="7"/>
        </w:rPr>
        <w:t>系、金融产品、金融服务及金融突发事件的认</w:t>
      </w:r>
      <w:r>
        <w:rPr>
          <w:spacing w:val="-8"/>
        </w:rPr>
        <w:t>识，增强公众的金融意识、风险意识和监督意识。</w:t>
      </w:r>
    </w:p>
    <w:p>
      <w:pPr>
        <w:pStyle w:val="BodyText"/>
        <w:ind w:left="1" w:right="101" w:firstLine="425"/>
        <w:spacing w:before="184" w:line="311" w:lineRule="auto"/>
        <w:rPr/>
      </w:pPr>
      <w:r>
        <w:rPr>
          <w:rFonts w:ascii="Times New Roman" w:hAnsi="Times New Roman" w:eastAsia="Times New Roman" w:cs="Times New Roman"/>
          <w:spacing w:val="8"/>
        </w:rPr>
        <w:t>6.7  </w:t>
      </w:r>
      <w:r>
        <w:rPr>
          <w:rFonts w:ascii="KaiTi" w:hAnsi="KaiTi" w:eastAsia="KaiTi" w:cs="KaiTi"/>
          <w:spacing w:val="8"/>
        </w:rPr>
        <w:t>经费保障。</w:t>
      </w:r>
      <w:r>
        <w:rPr>
          <w:spacing w:val="8"/>
        </w:rPr>
        <w:t>依照市政府有关处置应急</w:t>
      </w:r>
      <w:r>
        <w:rPr>
          <w:spacing w:val="8"/>
        </w:rPr>
        <w:t>情况的财政保障规定执行。</w:t>
      </w:r>
    </w:p>
    <w:p>
      <w:pPr>
        <w:ind w:left="425"/>
        <w:spacing w:before="182"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7</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预案管理</w:t>
      </w:r>
    </w:p>
    <w:p>
      <w:pPr>
        <w:pStyle w:val="BodyText"/>
        <w:ind w:left="3" w:right="101" w:firstLine="422"/>
        <w:spacing w:before="126" w:line="311" w:lineRule="auto"/>
        <w:rPr/>
      </w:pPr>
      <w:r>
        <w:rPr>
          <w:rFonts w:ascii="Times New Roman" w:hAnsi="Times New Roman" w:eastAsia="Times New Roman" w:cs="Times New Roman"/>
          <w:spacing w:val="7"/>
        </w:rPr>
        <w:t>7.</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1  </w:t>
      </w:r>
      <w:r>
        <w:rPr>
          <w:rFonts w:ascii="KaiTi" w:hAnsi="KaiTi" w:eastAsia="KaiTi" w:cs="KaiTi"/>
          <w:spacing w:val="7"/>
        </w:rPr>
        <w:t>预案修订。</w:t>
      </w:r>
      <w:r>
        <w:rPr>
          <w:spacing w:val="7"/>
        </w:rPr>
        <w:t>市金融工作局根据实</w:t>
      </w:r>
      <w:r>
        <w:rPr>
          <w:spacing w:val="6"/>
        </w:rPr>
        <w:t>际情</w:t>
      </w:r>
      <w:r>
        <w:rPr>
          <w:spacing w:val="8"/>
        </w:rPr>
        <w:t>况，适时评估修订本预案。</w:t>
      </w:r>
    </w:p>
    <w:p>
      <w:pPr>
        <w:pStyle w:val="BodyText"/>
        <w:ind w:left="3" w:right="101" w:firstLine="422"/>
        <w:spacing w:before="185" w:line="311" w:lineRule="auto"/>
        <w:rPr/>
      </w:pPr>
      <w:r>
        <w:rPr>
          <w:rFonts w:ascii="Times New Roman" w:hAnsi="Times New Roman" w:eastAsia="Times New Roman" w:cs="Times New Roman"/>
          <w:spacing w:val="8"/>
        </w:rPr>
        <w:t>7.2  </w:t>
      </w:r>
      <w:r>
        <w:rPr>
          <w:rFonts w:ascii="KaiTi" w:hAnsi="KaiTi" w:eastAsia="KaiTi" w:cs="KaiTi"/>
          <w:spacing w:val="8"/>
        </w:rPr>
        <w:t>预案报备。</w:t>
      </w:r>
      <w:r>
        <w:rPr>
          <w:spacing w:val="8"/>
        </w:rPr>
        <w:t>市金融工作局负责将本预</w:t>
      </w:r>
      <w:r>
        <w:rPr>
          <w:spacing w:val="8"/>
        </w:rPr>
        <w:t>案报上级有关部门备案。</w:t>
      </w:r>
    </w:p>
    <w:p>
      <w:pPr>
        <w:pStyle w:val="BodyText"/>
        <w:ind w:left="3" w:right="48" w:firstLine="418"/>
        <w:spacing w:before="187" w:line="393" w:lineRule="auto"/>
        <w:jc w:val="both"/>
        <w:rPr/>
      </w:pPr>
      <w:r>
        <w:rPr>
          <w:spacing w:val="7"/>
        </w:rPr>
        <w:t>各县（</w:t>
      </w:r>
      <w:r>
        <w:rPr>
          <w:spacing w:val="-49"/>
        </w:rPr>
        <w:t xml:space="preserve"> </w:t>
      </w:r>
      <w:r>
        <w:rPr>
          <w:spacing w:val="7"/>
        </w:rPr>
        <w:t>区）政府和本市相关部门（单位）</w:t>
      </w:r>
      <w:r>
        <w:rPr>
          <w:spacing w:val="7"/>
        </w:rPr>
        <w:t>根据本预案制订相关配套实施方案，作为本预</w:t>
      </w:r>
      <w:r>
        <w:rPr>
          <w:spacing w:val="9"/>
        </w:rPr>
        <w:t>案的子预案，并抄送市指挥部办公室备案。</w:t>
      </w:r>
    </w:p>
    <w:p>
      <w:pPr>
        <w:ind w:left="425"/>
        <w:spacing w:before="6" w:line="17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8    附件</w:t>
      </w:r>
    </w:p>
    <w:p>
      <w:pPr>
        <w:spacing w:line="173" w:lineRule="auto"/>
        <w:sectPr>
          <w:type w:val="continuous"/>
          <w:pgSz w:w="11906" w:h="16839"/>
          <w:pgMar w:top="1772" w:right="1489" w:bottom="1572" w:left="1571" w:header="1428" w:footer="1172" w:gutter="0"/>
          <w:cols w:equalWidth="0" w:num="2">
            <w:col w:w="4497" w:space="100"/>
            <w:col w:w="4250" w:space="0"/>
          </w:cols>
        </w:sectPr>
        <w:rPr>
          <w:rFonts w:ascii="Microsoft YaHei" w:hAnsi="Microsoft YaHei" w:eastAsia="Microsoft YaHei" w:cs="Microsoft YaHei"/>
          <w:sz w:val="20"/>
          <w:szCs w:val="20"/>
        </w:rPr>
      </w:pPr>
    </w:p>
    <w:p>
      <w:pPr>
        <w:spacing w:line="303" w:lineRule="auto"/>
        <w:rPr>
          <w:rFonts w:ascii="Arial"/>
          <w:sz w:val="21"/>
        </w:rPr>
      </w:pPr>
      <w:r/>
    </w:p>
    <w:p>
      <w:pPr>
        <w:ind w:left="4346"/>
        <w:spacing w:before="120" w:line="210" w:lineRule="auto"/>
        <w:rPr>
          <w:rFonts w:ascii="Microsoft YaHei" w:hAnsi="Microsoft YaHei" w:eastAsia="Microsoft YaHei" w:cs="Microsoft YaHei"/>
          <w:sz w:val="28"/>
          <w:szCs w:val="28"/>
        </w:rPr>
      </w:pPr>
      <w:r>
        <w:rPr>
          <w:rFonts w:ascii="Microsoft YaHei" w:hAnsi="Microsoft YaHei" w:eastAsia="Microsoft YaHei" w:cs="Microsoft YaHei"/>
          <w:sz w:val="28"/>
          <w:szCs w:val="28"/>
          <w:spacing w:val="-2"/>
        </w:rPr>
        <w:t>8.1  固原市突发金融事件应急组织体系框架图</w:t>
      </w:r>
    </w:p>
    <w:p>
      <w:pPr>
        <w:spacing w:line="230" w:lineRule="exact"/>
        <w:rPr/>
      </w:pPr>
      <w:r/>
    </w:p>
    <w:p>
      <w:pPr>
        <w:spacing w:line="230" w:lineRule="exact"/>
        <w:sectPr>
          <w:headerReference w:type="default" r:id="rId1145"/>
          <w:footerReference w:type="default" r:id="rId1146"/>
          <w:pgSz w:w="16839" w:h="11906"/>
          <w:pgMar w:top="1767" w:right="1530" w:bottom="1574" w:left="1579" w:header="1428" w:footer="1172" w:gutter="0"/>
          <w:cols w:equalWidth="0" w:num="1">
            <w:col w:w="13729" w:space="0"/>
          </w:cols>
        </w:sectPr>
        <w:rPr/>
      </w:pPr>
    </w:p>
    <w:p>
      <w:pPr>
        <w:pStyle w:val="BodyText"/>
        <w:ind w:left="7768" w:right="2970" w:hanging="269"/>
        <w:spacing w:before="210" w:line="311" w:lineRule="auto"/>
        <w:rPr>
          <w:sz w:val="18"/>
          <w:szCs w:val="18"/>
        </w:rPr>
      </w:pPr>
      <w:r>
        <w:drawing>
          <wp:anchor distT="0" distB="0" distL="0" distR="0" simplePos="0" relativeHeight="254375936" behindDoc="1" locked="0" layoutInCell="1" allowOverlap="1">
            <wp:simplePos x="0" y="0"/>
            <wp:positionH relativeFrom="column">
              <wp:posOffset>40001</wp:posOffset>
            </wp:positionH>
            <wp:positionV relativeFrom="paragraph">
              <wp:posOffset>21481</wp:posOffset>
            </wp:positionV>
            <wp:extent cx="7443051" cy="4030980"/>
            <wp:effectExtent l="0" t="0" r="0" b="0"/>
            <wp:wrapNone/>
            <wp:docPr id="2286" name="IM 2286"/>
            <wp:cNvGraphicFramePr/>
            <a:graphic>
              <a:graphicData uri="http://schemas.openxmlformats.org/drawingml/2006/picture">
                <pic:pic>
                  <pic:nvPicPr>
                    <pic:cNvPr id="2286" name="IM 2286"/>
                    <pic:cNvPicPr/>
                  </pic:nvPicPr>
                  <pic:blipFill>
                    <a:blip r:embed="rId1147"/>
                    <a:stretch>
                      <a:fillRect/>
                    </a:stretch>
                  </pic:blipFill>
                  <pic:spPr>
                    <a:xfrm rot="0">
                      <a:off x="0" y="0"/>
                      <a:ext cx="7443051" cy="4030980"/>
                    </a:xfrm>
                    <a:prstGeom prst="rect">
                      <a:avLst/>
                    </a:prstGeom>
                  </pic:spPr>
                </pic:pic>
              </a:graphicData>
            </a:graphic>
          </wp:anchor>
        </w:drawing>
      </w:r>
      <w:r>
        <w:rPr>
          <w:sz w:val="18"/>
          <w:szCs w:val="18"/>
          <w:spacing w:val="-1"/>
        </w:rPr>
        <w:t>全国突发金融事件</w:t>
      </w:r>
      <w:r>
        <w:rPr>
          <w:sz w:val="18"/>
          <w:szCs w:val="18"/>
          <w:spacing w:val="-1"/>
        </w:rPr>
        <w:t>应急指挥部</w:t>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BodyText"/>
        <w:ind w:left="959"/>
        <w:spacing w:before="58" w:line="211" w:lineRule="auto"/>
        <w:rPr>
          <w:sz w:val="18"/>
          <w:szCs w:val="18"/>
        </w:rPr>
      </w:pPr>
      <w:r>
        <w:pict>
          <v:shape id="_x0000_s220" style="position:absolute;margin-left:203.353pt;margin-top:2.66086pt;mso-position-vertical-relative:text;mso-position-horizontal-relative:text;width:117.95pt;height:27.3pt;z-index:254380032;" filled="false" stroked="false" type="#_x0000_t202">
            <v:fill on="false"/>
            <v:stroke on="false"/>
            <v:path/>
            <v:imagedata o:title=""/>
            <o:lock v:ext="edit" aspectratio="false"/>
            <v:textbox inset="0mm,0mm,0mm,0mm">
              <w:txbxContent>
                <w:p>
                  <w:pPr>
                    <w:pStyle w:val="BodyText"/>
                    <w:ind w:left="20"/>
                    <w:spacing w:before="19" w:line="211" w:lineRule="auto"/>
                    <w:rPr>
                      <w:sz w:val="18"/>
                      <w:szCs w:val="18"/>
                    </w:rPr>
                  </w:pPr>
                  <w:r>
                    <w:rPr>
                      <w:sz w:val="18"/>
                      <w:szCs w:val="18"/>
                      <w:spacing w:val="-2"/>
                    </w:rPr>
                    <w:t>国家金融局突发金融事件应急</w:t>
                  </w:r>
                </w:p>
                <w:p>
                  <w:pPr>
                    <w:pStyle w:val="BodyText"/>
                    <w:ind w:left="812"/>
                    <w:spacing w:before="95" w:line="210" w:lineRule="auto"/>
                    <w:rPr>
                      <w:sz w:val="18"/>
                      <w:szCs w:val="18"/>
                    </w:rPr>
                  </w:pPr>
                  <w:r>
                    <w:rPr>
                      <w:sz w:val="18"/>
                      <w:szCs w:val="18"/>
                      <w:spacing w:val="-2"/>
                    </w:rPr>
                    <w:t>指挥中心</w:t>
                  </w:r>
                </w:p>
              </w:txbxContent>
            </v:textbox>
          </v:shape>
        </w:pict>
      </w:r>
      <w:r>
        <w:pict>
          <v:shape id="_x0000_s222" style="position:absolute;margin-left:499.268pt;margin-top:3.65686pt;mso-position-vertical-relative:text;mso-position-horizontal-relative:text;width:82.8pt;height:208.45pt;z-index:254376960;" filled="false" stroked="false" type="#_x0000_t202">
            <v:fill on="false"/>
            <v:stroke on="false"/>
            <v:path/>
            <v:imagedata o:title=""/>
            <o:lock v:ext="edit" aspectratio="false"/>
            <v:textbox inset="0mm,0mm,0mm,0mm">
              <w:txbxContent>
                <w:p>
                  <w:pPr>
                    <w:pStyle w:val="BodyText"/>
                    <w:ind w:left="419" w:right="519" w:firstLine="107"/>
                    <w:spacing w:before="19" w:line="311" w:lineRule="auto"/>
                    <w:rPr>
                      <w:sz w:val="18"/>
                      <w:szCs w:val="18"/>
                    </w:rPr>
                  </w:pPr>
                  <w:r>
                    <w:rPr>
                      <w:sz w:val="18"/>
                      <w:szCs w:val="18"/>
                      <w:spacing w:val="-8"/>
                    </w:rPr>
                    <w:t>国务院</w:t>
                  </w:r>
                  <w:r>
                    <w:rPr>
                      <w:sz w:val="18"/>
                      <w:szCs w:val="18"/>
                      <w:spacing w:val="-1"/>
                    </w:rPr>
                    <w:t>有关部门</w:t>
                  </w:r>
                </w:p>
                <w:p>
                  <w:pPr>
                    <w:spacing w:line="272" w:lineRule="auto"/>
                    <w:rPr>
                      <w:rFonts w:ascii="Arial"/>
                      <w:sz w:val="21"/>
                    </w:rPr>
                  </w:pPr>
                  <w:r/>
                </w:p>
                <w:p>
                  <w:pPr>
                    <w:spacing w:line="273" w:lineRule="auto"/>
                    <w:rPr>
                      <w:rFonts w:ascii="Arial"/>
                      <w:sz w:val="21"/>
                    </w:rPr>
                  </w:pPr>
                  <w:r/>
                </w:p>
                <w:p>
                  <w:pPr>
                    <w:pStyle w:val="BodyText"/>
                    <w:ind w:left="617" w:right="51" w:hanging="596"/>
                    <w:spacing w:before="59" w:line="310" w:lineRule="auto"/>
                    <w:rPr>
                      <w:sz w:val="18"/>
                      <w:szCs w:val="18"/>
                    </w:rPr>
                  </w:pPr>
                  <w:r>
                    <w:rPr>
                      <w:sz w:val="18"/>
                      <w:szCs w:val="18"/>
                      <w:spacing w:val="-5"/>
                    </w:rPr>
                    <w:t>自治区人民政府有关</w:t>
                  </w:r>
                  <w:r>
                    <w:rPr>
                      <w:sz w:val="18"/>
                      <w:szCs w:val="18"/>
                      <w:spacing w:val="-2"/>
                    </w:rPr>
                    <w:t>部门</w:t>
                  </w:r>
                </w:p>
                <w:p>
                  <w:pPr>
                    <w:spacing w:line="274" w:lineRule="auto"/>
                    <w:rPr>
                      <w:rFonts w:ascii="Arial"/>
                      <w:sz w:val="21"/>
                    </w:rPr>
                  </w:pPr>
                  <w:r/>
                </w:p>
                <w:p>
                  <w:pPr>
                    <w:spacing w:line="274" w:lineRule="auto"/>
                    <w:rPr>
                      <w:rFonts w:ascii="Arial"/>
                      <w:sz w:val="21"/>
                    </w:rPr>
                  </w:pPr>
                  <w:r/>
                </w:p>
                <w:p>
                  <w:pPr>
                    <w:pStyle w:val="BodyText"/>
                    <w:ind w:left="437" w:right="411" w:hanging="89"/>
                    <w:spacing w:before="58" w:line="311" w:lineRule="auto"/>
                    <w:rPr>
                      <w:sz w:val="18"/>
                      <w:szCs w:val="18"/>
                    </w:rPr>
                  </w:pPr>
                  <w:r>
                    <w:rPr>
                      <w:sz w:val="18"/>
                      <w:szCs w:val="18"/>
                      <w:spacing w:val="-1"/>
                    </w:rPr>
                    <w:t>市人民政府</w:t>
                  </w:r>
                  <w:r>
                    <w:rPr>
                      <w:sz w:val="18"/>
                      <w:szCs w:val="18"/>
                      <w:spacing w:val="-1"/>
                    </w:rPr>
                    <w:t>有关部门</w:t>
                  </w:r>
                </w:p>
                <w:p>
                  <w:pPr>
                    <w:spacing w:line="261" w:lineRule="auto"/>
                    <w:rPr>
                      <w:rFonts w:ascii="Arial"/>
                      <w:sz w:val="21"/>
                    </w:rPr>
                  </w:pPr>
                  <w:r/>
                </w:p>
                <w:p>
                  <w:pPr>
                    <w:spacing w:line="261" w:lineRule="auto"/>
                    <w:rPr>
                      <w:rFonts w:ascii="Arial"/>
                      <w:sz w:val="21"/>
                    </w:rPr>
                  </w:pPr>
                  <w:r/>
                </w:p>
                <w:p>
                  <w:pPr>
                    <w:pStyle w:val="BodyText"/>
                    <w:ind w:left="557" w:right="20" w:hanging="537"/>
                    <w:spacing w:before="58" w:line="272" w:lineRule="auto"/>
                    <w:rPr>
                      <w:sz w:val="18"/>
                      <w:szCs w:val="18"/>
                    </w:rPr>
                  </w:pPr>
                  <w:r>
                    <w:rPr>
                      <w:sz w:val="18"/>
                      <w:szCs w:val="18"/>
                      <w:spacing w:val="-5"/>
                    </w:rPr>
                    <w:t>县（</w:t>
                  </w:r>
                  <w:r>
                    <w:rPr>
                      <w:sz w:val="18"/>
                      <w:szCs w:val="18"/>
                      <w:spacing w:val="-50"/>
                    </w:rPr>
                    <w:t xml:space="preserve"> </w:t>
                  </w:r>
                  <w:r>
                    <w:rPr>
                      <w:sz w:val="18"/>
                      <w:szCs w:val="18"/>
                      <w:spacing w:val="-5"/>
                    </w:rPr>
                    <w:t>区）人民政府有</w:t>
                  </w:r>
                  <w:r>
                    <w:rPr>
                      <w:sz w:val="18"/>
                      <w:szCs w:val="18"/>
                      <w:spacing w:val="-1"/>
                    </w:rPr>
                    <w:t>关部门</w:t>
                  </w:r>
                </w:p>
              </w:txbxContent>
            </v:textbox>
          </v:shape>
        </w:pict>
      </w:r>
      <w:r>
        <w:rPr>
          <w:sz w:val="18"/>
          <w:szCs w:val="18"/>
          <w:spacing w:val="-3"/>
        </w:rPr>
        <w:t>国家突发金融事件</w:t>
      </w:r>
    </w:p>
    <w:p>
      <w:pPr>
        <w:pStyle w:val="BodyText"/>
        <w:ind w:left="760"/>
        <w:spacing w:before="94" w:line="211" w:lineRule="auto"/>
        <w:rPr>
          <w:sz w:val="18"/>
          <w:szCs w:val="18"/>
        </w:rPr>
      </w:pPr>
      <w:r>
        <w:pict>
          <v:shape id="_x0000_s224" style="position:absolute;margin-left:358.483pt;margin-top:4.07458pt;mso-position-vertical-relative:text;mso-position-horizontal-relative:text;width:108.15pt;height:12.35pt;z-index:254382080;" filled="false" stroked="false" type="#_x0000_t202">
            <v:fill on="false"/>
            <v:stroke on="false"/>
            <v:path/>
            <v:imagedata o:title=""/>
            <o:lock v:ext="edit" aspectratio="false"/>
            <v:textbox inset="0mm,0mm,0mm,0mm">
              <w:txbxContent>
                <w:p>
                  <w:pPr>
                    <w:pStyle w:val="BodyText"/>
                    <w:ind w:left="20"/>
                    <w:spacing w:before="20" w:line="212" w:lineRule="auto"/>
                    <w:rPr>
                      <w:sz w:val="18"/>
                      <w:szCs w:val="18"/>
                    </w:rPr>
                  </w:pPr>
                  <w:r>
                    <w:rPr>
                      <w:sz w:val="18"/>
                      <w:szCs w:val="18"/>
                      <w:spacing w:val="-4"/>
                    </w:rPr>
                    <w:t>自治区突发金融事件应急指</w:t>
                  </w:r>
                </w:p>
              </w:txbxContent>
            </v:textbox>
          </v:shape>
        </w:pict>
      </w:r>
      <w:r>
        <w:rPr>
          <w:sz w:val="18"/>
          <w:szCs w:val="18"/>
          <w:spacing w:val="-1"/>
        </w:rPr>
        <w:t>应急处理技术支持机构</w:t>
      </w:r>
    </w:p>
    <w:p>
      <w:pPr>
        <w:pStyle w:val="BodyText"/>
        <w:ind w:left="8055"/>
        <w:spacing w:before="102" w:line="210" w:lineRule="auto"/>
        <w:rPr>
          <w:sz w:val="18"/>
          <w:szCs w:val="18"/>
        </w:rPr>
      </w:pPr>
      <w:r>
        <w:rPr>
          <w:sz w:val="18"/>
          <w:szCs w:val="18"/>
          <w:spacing w:val="-3"/>
        </w:rPr>
        <w:t>挥部</w:t>
      </w:r>
    </w:p>
    <w:p>
      <w:pPr>
        <w:spacing w:line="341" w:lineRule="auto"/>
        <w:rPr>
          <w:rFonts w:ascii="Arial"/>
          <w:sz w:val="21"/>
        </w:rPr>
      </w:pPr>
      <w:r/>
    </w:p>
    <w:p>
      <w:pPr>
        <w:pStyle w:val="BodyText"/>
        <w:ind w:left="337"/>
        <w:spacing w:before="59" w:line="160" w:lineRule="auto"/>
        <w:rPr>
          <w:sz w:val="18"/>
          <w:szCs w:val="18"/>
        </w:rPr>
      </w:pPr>
      <w:r>
        <w:pict>
          <v:shape id="_x0000_s226" style="position:absolute;margin-left:205.604pt;margin-top:-3.30767pt;mso-position-vertical-relative:text;mso-position-horizontal-relative:text;width:117.15pt;height:27.25pt;z-index:254381056;" filled="false" stroked="false" type="#_x0000_t202">
            <v:fill on="false"/>
            <v:stroke on="false"/>
            <v:path/>
            <v:imagedata o:title=""/>
            <o:lock v:ext="edit" aspectratio="false"/>
            <v:textbox inset="0mm,0mm,0mm,0mm">
              <w:txbxContent>
                <w:p>
                  <w:pPr>
                    <w:pStyle w:val="BodyText"/>
                    <w:ind w:left="345" w:right="20" w:hanging="326"/>
                    <w:spacing w:before="20" w:line="269" w:lineRule="auto"/>
                    <w:rPr>
                      <w:sz w:val="18"/>
                      <w:szCs w:val="18"/>
                    </w:rPr>
                  </w:pPr>
                  <w:r>
                    <w:rPr>
                      <w:sz w:val="18"/>
                      <w:szCs w:val="18"/>
                      <w:spacing w:val="-3"/>
                    </w:rPr>
                    <w:t>自治区地方金融监管局突发金</w:t>
                  </w:r>
                  <w:r>
                    <w:rPr>
                      <w:sz w:val="18"/>
                      <w:szCs w:val="18"/>
                      <w:spacing w:val="-1"/>
                    </w:rPr>
                    <w:t>融事件应急指挥中心</w:t>
                  </w:r>
                </w:p>
              </w:txbxContent>
            </v:textbox>
          </v:shape>
        </w:pict>
      </w:r>
      <w:r>
        <w:rPr>
          <w:sz w:val="18"/>
          <w:szCs w:val="18"/>
          <w:spacing w:val="-3"/>
        </w:rPr>
        <w:t>自治区突发金融事件应急处理技术</w:t>
      </w:r>
    </w:p>
    <w:p>
      <w:pPr>
        <w:pStyle w:val="BodyText"/>
        <w:ind w:left="7180"/>
        <w:spacing w:line="149" w:lineRule="exact"/>
        <w:rPr>
          <w:sz w:val="18"/>
          <w:szCs w:val="18"/>
        </w:rPr>
      </w:pPr>
      <w:r>
        <w:rPr>
          <w:sz w:val="18"/>
          <w:szCs w:val="18"/>
          <w:spacing w:val="-1"/>
          <w:position w:val="-1"/>
        </w:rPr>
        <w:t>市突发金融事件应急指挥部</w:t>
      </w:r>
    </w:p>
    <w:p>
      <w:pPr>
        <w:pStyle w:val="BodyText"/>
        <w:ind w:left="1293"/>
        <w:spacing w:line="205" w:lineRule="auto"/>
        <w:rPr>
          <w:sz w:val="18"/>
          <w:szCs w:val="18"/>
        </w:rPr>
      </w:pPr>
      <w:r>
        <w:rPr>
          <w:sz w:val="18"/>
          <w:szCs w:val="18"/>
          <w:spacing w:val="-2"/>
        </w:rPr>
        <w:t>支持机构</w:t>
      </w:r>
    </w:p>
    <w:p>
      <w:pPr>
        <w:spacing w:line="330" w:lineRule="auto"/>
        <w:rPr>
          <w:rFonts w:ascii="Arial"/>
          <w:sz w:val="21"/>
        </w:rPr>
      </w:pPr>
      <w:r/>
    </w:p>
    <w:p>
      <w:pPr>
        <w:spacing w:line="330" w:lineRule="auto"/>
        <w:rPr>
          <w:rFonts w:ascii="Arial"/>
          <w:sz w:val="21"/>
        </w:rPr>
      </w:pPr>
      <w:r/>
    </w:p>
    <w:p>
      <w:pPr>
        <w:pStyle w:val="BodyText"/>
        <w:ind w:left="945"/>
        <w:spacing w:before="59" w:line="211" w:lineRule="auto"/>
        <w:rPr>
          <w:sz w:val="18"/>
          <w:szCs w:val="18"/>
        </w:rPr>
      </w:pPr>
      <w:r>
        <w:pict>
          <v:shape id="_x0000_s228" style="position:absolute;margin-left:203.107pt;margin-top:1.94846pt;mso-position-vertical-relative:text;mso-position-horizontal-relative:text;width:118.8pt;height:27.3pt;z-index:254379008;" filled="false" stroked="false" type="#_x0000_t202">
            <v:fill on="false"/>
            <v:stroke on="false"/>
            <v:path/>
            <v:imagedata o:title=""/>
            <o:lock v:ext="edit" aspectratio="false"/>
            <v:textbox inset="0mm,0mm,0mm,0mm">
              <w:txbxContent>
                <w:p>
                  <w:pPr>
                    <w:pStyle w:val="BodyText"/>
                    <w:ind w:left="20"/>
                    <w:spacing w:before="20" w:line="211" w:lineRule="auto"/>
                    <w:rPr>
                      <w:sz w:val="18"/>
                      <w:szCs w:val="18"/>
                    </w:rPr>
                  </w:pPr>
                  <w:r>
                    <w:rPr>
                      <w:sz w:val="18"/>
                      <w:szCs w:val="18"/>
                      <w:spacing w:val="-1"/>
                    </w:rPr>
                    <w:t>市金融工作局突发金融事件应</w:t>
                  </w:r>
                </w:p>
                <w:p>
                  <w:pPr>
                    <w:pStyle w:val="BodyText"/>
                    <w:ind w:left="742"/>
                    <w:spacing w:before="94" w:line="210" w:lineRule="auto"/>
                    <w:rPr>
                      <w:sz w:val="18"/>
                      <w:szCs w:val="18"/>
                    </w:rPr>
                  </w:pPr>
                  <w:r>
                    <w:rPr>
                      <w:sz w:val="18"/>
                      <w:szCs w:val="18"/>
                      <w:spacing w:val="-2"/>
                    </w:rPr>
                    <w:t>急指挥中心</w:t>
                  </w:r>
                </w:p>
              </w:txbxContent>
            </v:textbox>
          </v:shape>
        </w:pict>
      </w:r>
      <w:r>
        <w:rPr>
          <w:sz w:val="18"/>
          <w:szCs w:val="18"/>
          <w:spacing w:val="-1"/>
        </w:rPr>
        <w:t>市级突发金融事件</w:t>
      </w:r>
    </w:p>
    <w:p>
      <w:pPr>
        <w:pStyle w:val="BodyText"/>
        <w:ind w:left="763"/>
        <w:spacing w:before="95" w:line="195" w:lineRule="auto"/>
        <w:rPr>
          <w:sz w:val="18"/>
          <w:szCs w:val="18"/>
        </w:rPr>
      </w:pPr>
      <w:r>
        <w:rPr>
          <w:sz w:val="18"/>
          <w:szCs w:val="18"/>
          <w:spacing w:val="-1"/>
        </w:rPr>
        <w:t>应急处理技术支持机构</w:t>
      </w:r>
    </w:p>
    <w:p>
      <w:pPr>
        <w:pStyle w:val="BodyText"/>
        <w:ind w:left="7528"/>
        <w:spacing w:line="240" w:lineRule="exact"/>
        <w:rPr>
          <w:sz w:val="18"/>
          <w:szCs w:val="18"/>
        </w:rPr>
      </w:pPr>
      <w:r>
        <w:rPr>
          <w:sz w:val="18"/>
          <w:szCs w:val="18"/>
          <w:spacing w:val="-6"/>
          <w:position w:val="1"/>
        </w:rPr>
        <w:t>县（</w:t>
      </w:r>
      <w:r>
        <w:rPr>
          <w:sz w:val="18"/>
          <w:szCs w:val="18"/>
          <w:spacing w:val="-48"/>
          <w:position w:val="1"/>
        </w:rPr>
        <w:t xml:space="preserve"> </w:t>
      </w:r>
      <w:r>
        <w:rPr>
          <w:sz w:val="18"/>
          <w:szCs w:val="18"/>
          <w:spacing w:val="-6"/>
          <w:position w:val="1"/>
        </w:rPr>
        <w:t>区）人民政府</w:t>
      </w:r>
    </w:p>
    <w:p>
      <w:pPr>
        <w:pStyle w:val="BodyText"/>
        <w:ind w:left="7609"/>
        <w:spacing w:before="60" w:line="240" w:lineRule="exact"/>
        <w:rPr>
          <w:sz w:val="18"/>
          <w:szCs w:val="18"/>
        </w:rPr>
      </w:pPr>
      <w:r>
        <w:rPr>
          <w:sz w:val="18"/>
          <w:szCs w:val="18"/>
          <w:position w:val="1"/>
        </w:rPr>
        <w:t>（或相应机构）</w:t>
      </w:r>
    </w:p>
    <w:p>
      <w:pPr>
        <w:pStyle w:val="BodyText"/>
        <w:ind w:left="959"/>
        <w:spacing w:before="134" w:line="211" w:lineRule="auto"/>
        <w:rPr>
          <w:sz w:val="18"/>
          <w:szCs w:val="18"/>
        </w:rPr>
      </w:pPr>
      <w:r>
        <w:pict>
          <v:shape id="_x0000_s230" style="position:absolute;margin-left:197.228pt;margin-top:7.62488pt;mso-position-vertical-relative:text;mso-position-horizontal-relative:text;width:126.95pt;height:27.5pt;z-index:254377984;" filled="false" stroked="false" type="#_x0000_t202">
            <v:fill on="false"/>
            <v:stroke on="false"/>
            <v:path/>
            <v:imagedata o:title=""/>
            <o:lock v:ext="edit" aspectratio="false"/>
            <v:textbox inset="0mm,0mm,0mm,0mm">
              <w:txbxContent>
                <w:p>
                  <w:pPr>
                    <w:pStyle w:val="BodyText"/>
                    <w:ind w:left="640" w:right="20" w:hanging="620"/>
                    <w:spacing w:before="19" w:line="272" w:lineRule="auto"/>
                    <w:rPr>
                      <w:sz w:val="18"/>
                      <w:szCs w:val="18"/>
                    </w:rPr>
                  </w:pPr>
                  <w:r>
                    <w:rPr>
                      <w:sz w:val="18"/>
                      <w:szCs w:val="18"/>
                      <w:spacing w:val="-5"/>
                    </w:rPr>
                    <w:t>县（</w:t>
                  </w:r>
                  <w:r>
                    <w:rPr>
                      <w:sz w:val="18"/>
                      <w:szCs w:val="18"/>
                      <w:spacing w:val="-43"/>
                    </w:rPr>
                    <w:t xml:space="preserve"> </w:t>
                  </w:r>
                  <w:r>
                    <w:rPr>
                      <w:sz w:val="18"/>
                      <w:szCs w:val="18"/>
                      <w:spacing w:val="-5"/>
                    </w:rPr>
                    <w:t>区）金融工作局突发金融事</w:t>
                  </w:r>
                  <w:r>
                    <w:rPr>
                      <w:sz w:val="18"/>
                      <w:szCs w:val="18"/>
                      <w:spacing w:val="-1"/>
                    </w:rPr>
                    <w:t>件应急指挥中心</w:t>
                  </w:r>
                </w:p>
              </w:txbxContent>
            </v:textbox>
          </v:shape>
        </w:pict>
      </w:r>
      <w:r>
        <w:rPr>
          <w:sz w:val="18"/>
          <w:szCs w:val="18"/>
          <w:spacing w:val="-1"/>
        </w:rPr>
        <w:t>县级突发金融事件</w:t>
      </w:r>
    </w:p>
    <w:p>
      <w:pPr>
        <w:pStyle w:val="BodyText"/>
        <w:ind w:left="777"/>
        <w:spacing w:before="94" w:line="211" w:lineRule="auto"/>
        <w:rPr>
          <w:sz w:val="18"/>
          <w:szCs w:val="18"/>
        </w:rPr>
      </w:pPr>
      <w:r>
        <w:rPr>
          <w:sz w:val="18"/>
          <w:szCs w:val="18"/>
          <w:spacing w:val="-1"/>
        </w:rPr>
        <w:t>应急处理技术支持机构</w:t>
      </w:r>
    </w:p>
    <w:p>
      <w:pPr>
        <w:spacing w:before="27"/>
        <w:rPr/>
      </w:pPr>
      <w:r/>
    </w:p>
    <w:p>
      <w:pPr>
        <w:spacing w:before="26"/>
        <w:rPr/>
      </w:pPr>
      <w:r/>
    </w:p>
    <w:p>
      <w:pPr>
        <w:spacing w:line="14" w:lineRule="auto"/>
        <w:rPr>
          <w:rFonts w:ascii="Arial"/>
          <w:sz w:val="2"/>
        </w:rPr>
      </w:pPr>
      <w:r>
        <w:rPr>
          <w:rFonts w:ascii="Arial" w:hAnsi="Arial" w:eastAsia="Arial" w:cs="Arial"/>
          <w:sz w:val="2"/>
          <w:szCs w:val="2"/>
        </w:rPr>
        <w:br w:type="column"/>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BodyText"/>
        <w:ind w:left="357" w:right="288" w:hanging="358"/>
        <w:spacing w:before="59" w:line="310" w:lineRule="auto"/>
        <w:rPr>
          <w:sz w:val="18"/>
          <w:szCs w:val="18"/>
        </w:rPr>
      </w:pPr>
      <w:r>
        <w:rPr>
          <w:sz w:val="18"/>
          <w:szCs w:val="18"/>
          <w:spacing w:val="-1"/>
        </w:rPr>
        <w:t>特别重大突发金融</w:t>
      </w:r>
      <w:r>
        <w:rPr>
          <w:sz w:val="18"/>
          <w:szCs w:val="18"/>
          <w:spacing w:val="-2"/>
        </w:rPr>
        <w:t>事件处理</w:t>
      </w:r>
    </w:p>
    <w:p>
      <w:pPr>
        <w:spacing w:line="260" w:lineRule="auto"/>
        <w:rPr>
          <w:rFonts w:ascii="Arial"/>
          <w:sz w:val="21"/>
        </w:rPr>
      </w:pPr>
      <w:r/>
    </w:p>
    <w:p>
      <w:pPr>
        <w:spacing w:line="260" w:lineRule="auto"/>
        <w:rPr>
          <w:rFonts w:ascii="Arial"/>
          <w:sz w:val="21"/>
        </w:rPr>
      </w:pPr>
      <w:r/>
    </w:p>
    <w:p>
      <w:pPr>
        <w:pStyle w:val="BodyText"/>
        <w:ind w:left="389" w:right="437" w:hanging="179"/>
        <w:spacing w:before="58" w:line="310" w:lineRule="auto"/>
        <w:rPr>
          <w:sz w:val="18"/>
          <w:szCs w:val="18"/>
        </w:rPr>
      </w:pPr>
      <w:r>
        <w:rPr>
          <w:sz w:val="18"/>
          <w:szCs w:val="18"/>
          <w:spacing w:val="-1"/>
        </w:rPr>
        <w:t>重大突发金融</w:t>
      </w:r>
      <w:r>
        <w:rPr>
          <w:sz w:val="18"/>
          <w:szCs w:val="18"/>
          <w:spacing w:val="-2"/>
        </w:rPr>
        <w:t>事件处理</w:t>
      </w:r>
    </w:p>
    <w:p>
      <w:pPr>
        <w:spacing w:line="290" w:lineRule="auto"/>
        <w:rPr>
          <w:rFonts w:ascii="Arial"/>
          <w:sz w:val="21"/>
        </w:rPr>
      </w:pPr>
      <w:r/>
    </w:p>
    <w:p>
      <w:pPr>
        <w:spacing w:line="291" w:lineRule="auto"/>
        <w:rPr>
          <w:rFonts w:ascii="Arial"/>
          <w:sz w:val="21"/>
        </w:rPr>
      </w:pPr>
      <w:r/>
    </w:p>
    <w:p>
      <w:pPr>
        <w:pStyle w:val="BodyText"/>
        <w:ind w:left="449" w:right="377" w:hanging="180"/>
        <w:spacing w:before="58" w:line="310" w:lineRule="auto"/>
        <w:rPr>
          <w:sz w:val="18"/>
          <w:szCs w:val="18"/>
        </w:rPr>
      </w:pPr>
      <w:r>
        <w:rPr>
          <w:sz w:val="18"/>
          <w:szCs w:val="18"/>
          <w:spacing w:val="-1"/>
        </w:rPr>
        <w:t>较大突发金融</w:t>
      </w:r>
      <w:r>
        <w:rPr>
          <w:sz w:val="18"/>
          <w:szCs w:val="18"/>
          <w:spacing w:val="-2"/>
        </w:rPr>
        <w:t>事件处理</w:t>
      </w:r>
    </w:p>
    <w:p>
      <w:pPr>
        <w:spacing w:line="268" w:lineRule="auto"/>
        <w:rPr>
          <w:rFonts w:ascii="Arial"/>
          <w:sz w:val="21"/>
        </w:rPr>
      </w:pPr>
      <w:r/>
    </w:p>
    <w:p>
      <w:pPr>
        <w:spacing w:line="268" w:lineRule="auto"/>
        <w:rPr>
          <w:rFonts w:ascii="Arial"/>
          <w:sz w:val="21"/>
        </w:rPr>
      </w:pPr>
      <w:r/>
    </w:p>
    <w:p>
      <w:pPr>
        <w:pStyle w:val="BodyText"/>
        <w:ind w:left="492" w:right="334" w:hanging="180"/>
        <w:spacing w:before="58" w:line="310" w:lineRule="auto"/>
        <w:rPr>
          <w:sz w:val="18"/>
          <w:szCs w:val="18"/>
        </w:rPr>
      </w:pPr>
      <w:r>
        <w:rPr>
          <w:sz w:val="18"/>
          <w:szCs w:val="18"/>
          <w:spacing w:val="-1"/>
        </w:rPr>
        <w:t>一般突发金融</w:t>
      </w:r>
      <w:r>
        <w:rPr>
          <w:sz w:val="18"/>
          <w:szCs w:val="18"/>
          <w:spacing w:val="-2"/>
        </w:rPr>
        <w:t>事件处理</w:t>
      </w:r>
    </w:p>
    <w:p>
      <w:pPr>
        <w:spacing w:line="310" w:lineRule="auto"/>
        <w:sectPr>
          <w:type w:val="continuous"/>
          <w:pgSz w:w="16839" w:h="11906"/>
          <w:pgMar w:top="1767" w:right="1530" w:bottom="1574" w:left="1579" w:header="1428" w:footer="1172" w:gutter="0"/>
          <w:cols w:equalWidth="0" w:num="2">
            <w:col w:w="11906" w:space="100"/>
            <w:col w:w="1724" w:space="0"/>
          </w:cols>
        </w:sectPr>
        <w:rPr>
          <w:sz w:val="18"/>
          <w:szCs w:val="18"/>
        </w:rPr>
      </w:pPr>
    </w:p>
    <w:p>
      <w:pPr>
        <w:pStyle w:val="BodyText"/>
        <w:ind w:left="1673"/>
        <w:spacing w:before="247" w:line="184" w:lineRule="auto"/>
        <w:tabs>
          <w:tab w:val="left" w:pos="3062"/>
        </w:tabs>
        <w:rPr>
          <w:sz w:val="18"/>
          <w:szCs w:val="18"/>
        </w:rPr>
      </w:pPr>
      <w:r>
        <w:drawing>
          <wp:anchor distT="0" distB="0" distL="0" distR="0" simplePos="0" relativeHeight="254383104" behindDoc="0" locked="0" layoutInCell="1" allowOverlap="1">
            <wp:simplePos x="0" y="0"/>
            <wp:positionH relativeFrom="column">
              <wp:posOffset>5393</wp:posOffset>
            </wp:positionH>
            <wp:positionV relativeFrom="paragraph">
              <wp:posOffset>-4792180</wp:posOffset>
            </wp:positionV>
            <wp:extent cx="8712200" cy="7620"/>
            <wp:effectExtent l="0" t="0" r="0" b="0"/>
            <wp:wrapNone/>
            <wp:docPr id="2288" name="IM 2288"/>
            <wp:cNvGraphicFramePr/>
            <a:graphic>
              <a:graphicData uri="http://schemas.openxmlformats.org/drawingml/2006/picture">
                <pic:pic>
                  <pic:nvPicPr>
                    <pic:cNvPr id="2288" name="IM 2288"/>
                    <pic:cNvPicPr/>
                  </pic:nvPicPr>
                  <pic:blipFill>
                    <a:blip r:embed="rId1148"/>
                    <a:stretch>
                      <a:fillRect/>
                    </a:stretch>
                  </pic:blipFill>
                  <pic:spPr>
                    <a:xfrm rot="0">
                      <a:off x="0" y="0"/>
                      <a:ext cx="8712200" cy="7620"/>
                    </a:xfrm>
                    <a:prstGeom prst="rect">
                      <a:avLst/>
                    </a:prstGeom>
                  </pic:spPr>
                </pic:pic>
              </a:graphicData>
            </a:graphic>
          </wp:anchor>
        </w:drawing>
      </w:r>
      <w:r>
        <w:rPr>
          <w:sz w:val="18"/>
          <w:szCs w:val="18"/>
          <w:strike/>
        </w:rPr>
        <w:tab/>
      </w:r>
      <w:r>
        <w:rPr>
          <w:sz w:val="18"/>
          <w:szCs w:val="18"/>
          <w:spacing w:val="6"/>
        </w:rPr>
        <w:t xml:space="preserve">    </w:t>
      </w:r>
      <w:r>
        <w:rPr>
          <w:sz w:val="18"/>
          <w:szCs w:val="18"/>
          <w:spacing w:val="-1"/>
        </w:rPr>
        <w:t>领导或业务指导     </w:t>
      </w:r>
      <w:r>
        <w:rPr>
          <w:sz w:val="18"/>
          <w:szCs w:val="18"/>
          <w:strike/>
          <w:spacing w:val="1"/>
        </w:rPr>
        <w:t xml:space="preserve">                </w:t>
      </w:r>
      <w:r>
        <w:rPr>
          <w:sz w:val="18"/>
          <w:szCs w:val="18"/>
          <w:spacing w:val="-1"/>
        </w:rPr>
        <w:t xml:space="preserve">        </w:t>
      </w:r>
      <w:r>
        <w:rPr>
          <w:sz w:val="18"/>
          <w:szCs w:val="18"/>
          <w:spacing w:val="-1"/>
          <w:position w:val="1"/>
        </w:rPr>
        <w:t>配合</w:t>
      </w:r>
    </w:p>
    <w:p>
      <w:pPr>
        <w:spacing w:line="184" w:lineRule="auto"/>
        <w:sectPr>
          <w:type w:val="continuous"/>
          <w:pgSz w:w="16839" w:h="11906"/>
          <w:pgMar w:top="1767" w:right="1530" w:bottom="1574" w:left="1579" w:header="1428" w:footer="1172" w:gutter="0"/>
          <w:cols w:equalWidth="0" w:num="1">
            <w:col w:w="13729" w:space="0"/>
          </w:cols>
        </w:sectPr>
        <w:rPr>
          <w:sz w:val="18"/>
          <w:szCs w:val="18"/>
        </w:rPr>
      </w:pPr>
    </w:p>
    <w:p>
      <w:pPr>
        <w:spacing w:line="298" w:lineRule="auto"/>
        <w:rPr>
          <w:rFonts w:ascii="Arial"/>
          <w:sz w:val="21"/>
        </w:rPr>
      </w:pPr>
      <w:r>
        <w:drawing>
          <wp:anchor distT="0" distB="0" distL="0" distR="0" simplePos="0" relativeHeight="254391296" behindDoc="0" locked="0" layoutInCell="0" allowOverlap="1">
            <wp:simplePos x="0" y="0"/>
            <wp:positionH relativeFrom="page">
              <wp:posOffset>1008380</wp:posOffset>
            </wp:positionH>
            <wp:positionV relativeFrom="page">
              <wp:posOffset>1124584</wp:posOffset>
            </wp:positionV>
            <wp:extent cx="8712200" cy="7620"/>
            <wp:effectExtent l="0" t="0" r="0" b="0"/>
            <wp:wrapNone/>
            <wp:docPr id="2294" name="IM 2294"/>
            <wp:cNvGraphicFramePr/>
            <a:graphic>
              <a:graphicData uri="http://schemas.openxmlformats.org/drawingml/2006/picture">
                <pic:pic>
                  <pic:nvPicPr>
                    <pic:cNvPr id="2294" name="IM 2294"/>
                    <pic:cNvPicPr/>
                  </pic:nvPicPr>
                  <pic:blipFill>
                    <a:blip r:embed="rId1151"/>
                    <a:stretch>
                      <a:fillRect/>
                    </a:stretch>
                  </pic:blipFill>
                  <pic:spPr>
                    <a:xfrm rot="0">
                      <a:off x="0" y="0"/>
                      <a:ext cx="8712200" cy="7620"/>
                    </a:xfrm>
                    <a:prstGeom prst="rect">
                      <a:avLst/>
                    </a:prstGeom>
                  </pic:spPr>
                </pic:pic>
              </a:graphicData>
            </a:graphic>
          </wp:anchor>
        </w:drawing>
      </w:r>
      <w:r/>
    </w:p>
    <w:p>
      <w:pPr>
        <w:ind w:left="4633"/>
        <w:spacing w:before="120" w:line="210" w:lineRule="auto"/>
        <w:rPr>
          <w:rFonts w:ascii="Microsoft YaHei" w:hAnsi="Microsoft YaHei" w:eastAsia="Microsoft YaHei" w:cs="Microsoft YaHei"/>
          <w:sz w:val="28"/>
          <w:szCs w:val="28"/>
        </w:rPr>
      </w:pPr>
      <w:r>
        <w:rPr>
          <w:rFonts w:ascii="Microsoft YaHei" w:hAnsi="Microsoft YaHei" w:eastAsia="Microsoft YaHei" w:cs="Microsoft YaHei"/>
          <w:sz w:val="28"/>
          <w:szCs w:val="28"/>
          <w:spacing w:val="-2"/>
        </w:rPr>
        <w:t>8.2  固原市突发金融事件报告系统示</w:t>
      </w:r>
      <w:r>
        <w:rPr>
          <w:rFonts w:ascii="Microsoft YaHei" w:hAnsi="Microsoft YaHei" w:eastAsia="Microsoft YaHei" w:cs="Microsoft YaHei"/>
          <w:sz w:val="28"/>
          <w:szCs w:val="28"/>
          <w:spacing w:val="-3"/>
        </w:rPr>
        <w:t>意图</w:t>
      </w:r>
    </w:p>
    <w:p>
      <w:pPr>
        <w:spacing w:line="333" w:lineRule="auto"/>
        <w:rPr>
          <w:rFonts w:ascii="Arial"/>
          <w:sz w:val="21"/>
        </w:rPr>
      </w:pPr>
      <w:r/>
    </w:p>
    <w:p>
      <w:pPr>
        <w:spacing w:line="333" w:lineRule="auto"/>
        <w:rPr>
          <w:rFonts w:ascii="Arial"/>
          <w:sz w:val="21"/>
        </w:rPr>
      </w:pPr>
      <w:r/>
    </w:p>
    <w:p>
      <w:pPr>
        <w:ind w:firstLine="488"/>
        <w:spacing w:line="6449" w:lineRule="exact"/>
        <w:rPr/>
      </w:pPr>
      <w:r>
        <w:rPr>
          <w:position w:val="-128"/>
        </w:rPr>
        <w:drawing>
          <wp:inline distT="0" distB="0" distL="0" distR="0">
            <wp:extent cx="8185404" cy="4094988"/>
            <wp:effectExtent l="0" t="0" r="0" b="0"/>
            <wp:docPr id="2296" name="IM 2296"/>
            <wp:cNvGraphicFramePr/>
            <a:graphic>
              <a:graphicData uri="http://schemas.openxmlformats.org/drawingml/2006/picture">
                <pic:pic>
                  <pic:nvPicPr>
                    <pic:cNvPr id="2296" name="IM 2296"/>
                    <pic:cNvPicPr/>
                  </pic:nvPicPr>
                  <pic:blipFill>
                    <a:blip r:embed="rId1152"/>
                    <a:stretch>
                      <a:fillRect/>
                    </a:stretch>
                  </pic:blipFill>
                  <pic:spPr>
                    <a:xfrm rot="0">
                      <a:off x="0" y="0"/>
                      <a:ext cx="8185404" cy="4094988"/>
                    </a:xfrm>
                    <a:prstGeom prst="rect">
                      <a:avLst/>
                    </a:prstGeom>
                  </pic:spPr>
                </pic:pic>
              </a:graphicData>
            </a:graphic>
          </wp:inline>
        </w:drawing>
      </w:r>
    </w:p>
    <w:p>
      <w:pPr>
        <w:spacing w:line="6449" w:lineRule="exact"/>
        <w:sectPr>
          <w:headerReference w:type="default" r:id="rId1149"/>
          <w:footerReference w:type="default" r:id="rId1150"/>
          <w:pgSz w:w="16839" w:h="11906"/>
          <w:pgMar w:top="1772" w:right="1377" w:bottom="1515" w:left="1571" w:header="1428" w:footer="1114" w:gutter="0"/>
        </w:sectPr>
        <w:rPr/>
      </w:pPr>
    </w:p>
    <w:p>
      <w:pPr>
        <w:spacing w:line="247" w:lineRule="auto"/>
        <w:rPr>
          <w:rFonts w:ascii="Arial"/>
          <w:sz w:val="21"/>
        </w:rPr>
      </w:pPr>
      <w:r>
        <w:drawing>
          <wp:anchor distT="0" distB="0" distL="0" distR="0" simplePos="0" relativeHeight="254405632" behindDoc="0" locked="0" layoutInCell="1" allowOverlap="1">
            <wp:simplePos x="0" y="0"/>
            <wp:positionH relativeFrom="column">
              <wp:posOffset>5393</wp:posOffset>
            </wp:positionH>
            <wp:positionV relativeFrom="paragraph">
              <wp:posOffset>26089</wp:posOffset>
            </wp:positionV>
            <wp:extent cx="5579745" cy="7619"/>
            <wp:effectExtent l="0" t="0" r="0" b="0"/>
            <wp:wrapNone/>
            <wp:docPr id="2302" name="IM 2302"/>
            <wp:cNvGraphicFramePr/>
            <a:graphic>
              <a:graphicData uri="http://schemas.openxmlformats.org/drawingml/2006/picture">
                <pic:pic>
                  <pic:nvPicPr>
                    <pic:cNvPr id="2302" name="IM 2302"/>
                    <pic:cNvPicPr/>
                  </pic:nvPicPr>
                  <pic:blipFill>
                    <a:blip r:embed="rId1155"/>
                    <a:stretch>
                      <a:fillRect/>
                    </a:stretch>
                  </pic:blipFill>
                  <pic:spPr>
                    <a:xfrm rot="0">
                      <a:off x="0" y="0"/>
                      <a:ext cx="5579745" cy="7619"/>
                    </a:xfrm>
                    <a:prstGeom prst="rect">
                      <a:avLst/>
                    </a:prstGeom>
                  </pic:spPr>
                </pic:pic>
              </a:graphicData>
            </a:graphic>
          </wp:anchor>
        </w:drawing>
      </w: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ind w:left="1543"/>
        <w:spacing w:before="184" w:line="215"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7"/>
        </w:rPr>
        <w:t>固原市突发地质灾害应急预案</w:t>
      </w:r>
    </w:p>
    <w:p>
      <w:pPr>
        <w:spacing w:before="16"/>
        <w:rPr/>
      </w:pPr>
      <w:r/>
    </w:p>
    <w:p>
      <w:pPr>
        <w:spacing w:before="15"/>
        <w:rPr/>
      </w:pPr>
      <w:r/>
    </w:p>
    <w:p>
      <w:pPr>
        <w:sectPr>
          <w:headerReference w:type="default" r:id="rId1153"/>
          <w:footerReference w:type="default" r:id="rId1154"/>
          <w:pgSz w:w="11906" w:h="16839"/>
          <w:pgMar w:top="1974" w:right="1526" w:bottom="1574" w:left="1579" w:header="1634" w:footer="1172" w:gutter="0"/>
          <w:cols w:equalWidth="0" w:num="1">
            <w:col w:w="8801" w:space="0"/>
          </w:cols>
        </w:sectPr>
        <w:rPr/>
      </w:pPr>
    </w:p>
    <w:p>
      <w:pPr>
        <w:ind w:left="449"/>
        <w:spacing w:before="48"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1</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7"/>
        </w:rPr>
        <w:t>总则</w:t>
      </w:r>
    </w:p>
    <w:p>
      <w:pPr>
        <w:pStyle w:val="BodyText"/>
        <w:ind w:left="13" w:right="331" w:firstLine="440"/>
        <w:spacing w:before="95" w:line="333" w:lineRule="auto"/>
        <w:rPr/>
      </w:pPr>
      <w:r>
        <w:rPr>
          <w:rFonts w:ascii="Times New Roman" w:hAnsi="Times New Roman" w:eastAsia="Times New Roman" w:cs="Times New Roman"/>
          <w:spacing w:val="3"/>
        </w:rPr>
        <w:t>1.</w:t>
      </w:r>
      <w:r>
        <w:rPr>
          <w:rFonts w:ascii="Times New Roman" w:hAnsi="Times New Roman" w:eastAsia="Times New Roman" w:cs="Times New Roman"/>
          <w:spacing w:val="-9"/>
        </w:rPr>
        <w:t xml:space="preserve"> </w:t>
      </w:r>
      <w:r>
        <w:rPr>
          <w:rFonts w:ascii="Times New Roman" w:hAnsi="Times New Roman" w:eastAsia="Times New Roman" w:cs="Times New Roman"/>
          <w:spacing w:val="3"/>
        </w:rPr>
        <w:t>1  </w:t>
      </w:r>
      <w:r>
        <w:rPr>
          <w:rFonts w:ascii="KaiTi" w:hAnsi="KaiTi" w:eastAsia="KaiTi" w:cs="KaiTi"/>
          <w:spacing w:val="3"/>
        </w:rPr>
        <w:t>编制</w:t>
      </w:r>
      <w:r>
        <w:rPr>
          <w:rFonts w:ascii="KaiTi" w:hAnsi="KaiTi" w:eastAsia="KaiTi" w:cs="KaiTi"/>
          <w:spacing w:val="-50"/>
        </w:rPr>
        <w:t xml:space="preserve"> </w:t>
      </w:r>
      <w:r>
        <w:rPr>
          <w:rFonts w:ascii="KaiTi" w:hAnsi="KaiTi" w:eastAsia="KaiTi" w:cs="KaiTi"/>
          <w:spacing w:val="3"/>
        </w:rPr>
        <w:t>目的。</w:t>
      </w:r>
      <w:r>
        <w:rPr>
          <w:spacing w:val="3"/>
        </w:rPr>
        <w:t>为了快速、高效、有序地</w:t>
      </w:r>
      <w:r>
        <w:rPr>
          <w:spacing w:val="7"/>
        </w:rPr>
        <w:t>做好突发地质灾害应急防范和处置工作，避免</w:t>
      </w:r>
      <w:r>
        <w:rPr>
          <w:spacing w:val="7"/>
        </w:rPr>
        <w:t>或最大程度地减轻灾害造成的损失，维护人民</w:t>
      </w:r>
      <w:r>
        <w:rPr>
          <w:spacing w:val="8"/>
        </w:rPr>
        <w:t>群众生命财产安全和社会稳定。</w:t>
      </w:r>
    </w:p>
    <w:p>
      <w:pPr>
        <w:pStyle w:val="BodyText"/>
        <w:ind w:left="11" w:right="327" w:firstLine="441"/>
        <w:spacing w:before="154" w:line="357" w:lineRule="auto"/>
        <w:rPr/>
      </w:pPr>
      <w:r>
        <w:rPr>
          <w:rFonts w:ascii="Times New Roman" w:hAnsi="Times New Roman" w:eastAsia="Times New Roman" w:cs="Times New Roman"/>
          <w:spacing w:val="7"/>
        </w:rPr>
        <w:t>1.2  </w:t>
      </w:r>
      <w:r>
        <w:rPr>
          <w:rFonts w:ascii="KaiTi" w:hAnsi="KaiTi" w:eastAsia="KaiTi" w:cs="KaiTi"/>
          <w:spacing w:val="7"/>
        </w:rPr>
        <w:t>编制依据。</w:t>
      </w:r>
      <w:r>
        <w:rPr>
          <w:spacing w:val="7"/>
        </w:rPr>
        <w:t>《中华人民共和国突发事</w:t>
      </w:r>
      <w:r>
        <w:rPr>
          <w:spacing w:val="4"/>
        </w:rPr>
        <w:t>件应对法》《地质灾害防治条例》（</w:t>
      </w:r>
      <w:r>
        <w:rPr>
          <w:spacing w:val="-34"/>
        </w:rPr>
        <w:t xml:space="preserve"> </w:t>
      </w:r>
      <w:r>
        <w:rPr>
          <w:spacing w:val="4"/>
        </w:rPr>
        <w:t>国务院令</w:t>
      </w:r>
      <w:r>
        <w:rPr>
          <w:spacing w:val="-3"/>
        </w:rPr>
        <w:t>第</w:t>
      </w:r>
      <w:r>
        <w:rPr>
          <w:spacing w:val="-33"/>
        </w:rPr>
        <w:t xml:space="preserve"> </w:t>
      </w:r>
      <w:r>
        <w:rPr>
          <w:rFonts w:ascii="Times New Roman" w:hAnsi="Times New Roman" w:eastAsia="Times New Roman" w:cs="Times New Roman"/>
          <w:spacing w:val="-3"/>
        </w:rPr>
        <w:t>394 </w:t>
      </w:r>
      <w:r>
        <w:rPr>
          <w:spacing w:val="-3"/>
        </w:rPr>
        <w:t>号）《国家突发地质灾害应急预案》《生</w:t>
      </w:r>
      <w:r>
        <w:rPr>
          <w:spacing w:val="7"/>
        </w:rPr>
        <w:t>产安全事故应急预案管理办法》（安监总局令</w:t>
      </w:r>
      <w:r>
        <w:rPr>
          <w:rFonts w:ascii="Times New Roman" w:hAnsi="Times New Roman" w:eastAsia="Times New Roman" w:cs="Times New Roman"/>
          <w:spacing w:val="2"/>
        </w:rPr>
        <w:t>88 </w:t>
      </w:r>
      <w:r>
        <w:rPr>
          <w:spacing w:val="2"/>
        </w:rPr>
        <w:t>号）《生产安全事故应急条例》（</w:t>
      </w:r>
      <w:r>
        <w:rPr>
          <w:spacing w:val="-43"/>
        </w:rPr>
        <w:t xml:space="preserve"> </w:t>
      </w:r>
      <w:r>
        <w:rPr>
          <w:spacing w:val="2"/>
        </w:rPr>
        <w:t>中华人民</w:t>
      </w:r>
      <w:r>
        <w:rPr>
          <w:spacing w:val="6"/>
        </w:rPr>
        <w:t>共和国国务院令第</w:t>
      </w:r>
      <w:r>
        <w:rPr>
          <w:spacing w:val="-36"/>
        </w:rPr>
        <w:t xml:space="preserve"> </w:t>
      </w:r>
      <w:r>
        <w:rPr>
          <w:rFonts w:ascii="Times New Roman" w:hAnsi="Times New Roman" w:eastAsia="Times New Roman" w:cs="Times New Roman"/>
          <w:spacing w:val="6"/>
        </w:rPr>
        <w:t>708 </w:t>
      </w:r>
      <w:r>
        <w:rPr>
          <w:spacing w:val="6"/>
        </w:rPr>
        <w:t>号）《宁夏回族自治区</w:t>
      </w:r>
      <w:r>
        <w:rPr>
          <w:spacing w:val="7"/>
        </w:rPr>
        <w:t>地质灾害防治管理办法》《固原市防灾减灾救</w:t>
      </w:r>
      <w:r>
        <w:rPr>
          <w:spacing w:val="7"/>
        </w:rPr>
        <w:t>灾责任规定》《固原市突发公共事件总体应急</w:t>
      </w:r>
      <w:r>
        <w:rPr>
          <w:spacing w:val="7"/>
        </w:rPr>
        <w:t>预案》等。</w:t>
      </w:r>
    </w:p>
    <w:p>
      <w:pPr>
        <w:pStyle w:val="BodyText"/>
        <w:ind w:left="15" w:right="331" w:firstLine="437"/>
        <w:spacing w:before="128" w:line="332" w:lineRule="auto"/>
        <w:rPr/>
      </w:pPr>
      <w:r>
        <w:rPr>
          <w:rFonts w:ascii="Times New Roman" w:hAnsi="Times New Roman" w:eastAsia="Times New Roman" w:cs="Times New Roman"/>
          <w:spacing w:val="7"/>
        </w:rPr>
        <w:t>1.3  </w:t>
      </w:r>
      <w:r>
        <w:rPr>
          <w:rFonts w:ascii="KaiTi" w:hAnsi="KaiTi" w:eastAsia="KaiTi" w:cs="KaiTi"/>
          <w:spacing w:val="7"/>
        </w:rPr>
        <w:t>适用范围。</w:t>
      </w:r>
      <w:r>
        <w:rPr>
          <w:spacing w:val="7"/>
        </w:rPr>
        <w:t>本预案适用于固原市行政</w:t>
      </w:r>
      <w:r>
        <w:rPr>
          <w:spacing w:val="7"/>
        </w:rPr>
        <w:t>区区域内发生的山体崩塌、滑坡、泥石流、地</w:t>
      </w:r>
      <w:r>
        <w:rPr>
          <w:spacing w:val="7"/>
        </w:rPr>
        <w:t>面塌陷、地裂缝等突发地质灾害防范和应急处</w:t>
      </w:r>
      <w:r>
        <w:rPr>
          <w:spacing w:val="5"/>
        </w:rPr>
        <w:t>置工作。</w:t>
      </w:r>
    </w:p>
    <w:p>
      <w:pPr>
        <w:pStyle w:val="BodyText"/>
        <w:ind w:left="14" w:right="331" w:firstLine="439"/>
        <w:spacing w:before="155" w:line="299" w:lineRule="auto"/>
        <w:rPr/>
      </w:pPr>
      <w:r>
        <w:rPr>
          <w:rFonts w:ascii="Times New Roman" w:hAnsi="Times New Roman" w:eastAsia="Times New Roman" w:cs="Times New Roman"/>
          <w:spacing w:val="7"/>
        </w:rPr>
        <w:t>1.4  </w:t>
      </w:r>
      <w:r>
        <w:rPr>
          <w:rFonts w:ascii="KaiTi" w:hAnsi="KaiTi" w:eastAsia="KaiTi" w:cs="KaiTi"/>
          <w:spacing w:val="7"/>
        </w:rPr>
        <w:t>工作原则。</w:t>
      </w:r>
      <w:r>
        <w:rPr>
          <w:spacing w:val="7"/>
        </w:rPr>
        <w:t>以人为本，预防为主；统</w:t>
      </w:r>
      <w:r>
        <w:rPr>
          <w:spacing w:val="9"/>
        </w:rPr>
        <w:t>一领导，分工负责；分级负责，属地管理。</w:t>
      </w:r>
    </w:p>
    <w:p>
      <w:pPr>
        <w:ind w:left="434"/>
        <w:spacing w:before="162"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2</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3"/>
        </w:rPr>
        <w:t>组织体系</w:t>
      </w:r>
    </w:p>
    <w:p>
      <w:pPr>
        <w:pStyle w:val="BodyText"/>
        <w:ind w:left="14" w:right="264" w:firstLine="419"/>
        <w:spacing w:before="134" w:line="340" w:lineRule="auto"/>
        <w:jc w:val="both"/>
        <w:rPr/>
      </w:pPr>
      <w:r>
        <w:rPr>
          <w:rFonts w:ascii="Times New Roman" w:hAnsi="Times New Roman" w:eastAsia="Times New Roman" w:cs="Times New Roman"/>
          <w:spacing w:val="7"/>
        </w:rPr>
        <w:t>2.1</w:t>
      </w:r>
      <w:r>
        <w:rPr>
          <w:rFonts w:ascii="Times New Roman" w:hAnsi="Times New Roman" w:eastAsia="Times New Roman" w:cs="Times New Roman"/>
          <w:spacing w:val="20"/>
          <w:w w:val="101"/>
        </w:rPr>
        <w:t xml:space="preserve">  </w:t>
      </w:r>
      <w:r>
        <w:rPr>
          <w:rFonts w:ascii="KaiTi" w:hAnsi="KaiTi" w:eastAsia="KaiTi" w:cs="KaiTi"/>
          <w:spacing w:val="7"/>
        </w:rPr>
        <w:t>固原市突发地质灾害应急指挥部。</w:t>
      </w:r>
      <w:r>
        <w:rPr>
          <w:spacing w:val="7"/>
        </w:rPr>
        <w:t>市</w:t>
      </w:r>
      <w:r>
        <w:rPr>
          <w:spacing w:val="7"/>
        </w:rPr>
        <w:t>政府设固原市突发地质灾害应急指挥部。在市</w:t>
      </w:r>
      <w:r>
        <w:rPr>
          <w:spacing w:val="7"/>
        </w:rPr>
        <w:t>委、市政府安排部署下，负责领导、组织、协</w:t>
      </w:r>
      <w:r>
        <w:rPr>
          <w:spacing w:val="7"/>
        </w:rPr>
        <w:t>调突发地质灾害方面的应急管理工作，统一指</w:t>
      </w:r>
      <w:r>
        <w:rPr/>
        <w:t>挥地质灾害及其次生、衍生灾害的应急处置工作</w:t>
      </w:r>
      <w:r>
        <w:rPr>
          <w:spacing w:val="11"/>
        </w:rPr>
        <w:t xml:space="preserve"> </w:t>
      </w:r>
      <w:r>
        <w:rPr>
          <w:spacing w:val="6"/>
        </w:rPr>
        <w:t>。  发生重大或特别重大地质灾害，或者地质</w:t>
      </w:r>
    </w:p>
    <w:p>
      <w:pPr>
        <w:spacing w:line="14" w:lineRule="auto"/>
        <w:rPr>
          <w:rFonts w:ascii="Arial"/>
          <w:sz w:val="2"/>
        </w:rPr>
      </w:pPr>
      <w:r>
        <w:rPr>
          <w:rFonts w:ascii="Arial" w:hAnsi="Arial" w:eastAsia="Arial" w:cs="Arial"/>
          <w:sz w:val="2"/>
          <w:szCs w:val="2"/>
        </w:rPr>
        <w:br w:type="column"/>
      </w:r>
    </w:p>
    <w:p>
      <w:pPr>
        <w:pStyle w:val="BodyText"/>
        <w:ind w:left="1" w:right="64" w:hanging="1"/>
        <w:spacing w:before="56" w:line="368" w:lineRule="auto"/>
        <w:jc w:val="both"/>
        <w:rPr/>
      </w:pPr>
      <w:r>
        <w:rPr>
          <w:spacing w:val="7"/>
        </w:rPr>
        <w:t>灾害出现复杂情况，超出市突发地质灾害应急</w:t>
      </w:r>
      <w:r>
        <w:rPr>
          <w:spacing w:val="7"/>
        </w:rPr>
        <w:t>指挥部处置能力和工作职责时，由市应急委负</w:t>
      </w:r>
      <w:r>
        <w:rPr>
          <w:spacing w:val="8"/>
        </w:rPr>
        <w:t>责指挥应急处置工作。</w:t>
      </w:r>
    </w:p>
    <w:p>
      <w:pPr>
        <w:pStyle w:val="BodyText"/>
        <w:ind w:right="64" w:firstLine="420"/>
        <w:spacing w:before="1" w:line="350" w:lineRule="auto"/>
        <w:rPr/>
      </w:pPr>
      <w:r>
        <w:rPr>
          <w:spacing w:val="6"/>
        </w:rPr>
        <w:t>指 挥 长：市政府分管自然资源工作的副</w:t>
      </w:r>
      <w:r>
        <w:rPr>
          <w:spacing w:val="6"/>
        </w:rPr>
        <w:t>市长</w:t>
      </w:r>
    </w:p>
    <w:p>
      <w:pPr>
        <w:pStyle w:val="BodyText"/>
        <w:ind w:right="64" w:firstLine="425"/>
        <w:spacing w:before="43" w:line="348" w:lineRule="auto"/>
        <w:rPr/>
      </w:pPr>
      <w:r>
        <w:rPr>
          <w:spacing w:val="6"/>
        </w:rPr>
        <w:t>副指挥长：市政府分管副秘书长、固原军</w:t>
      </w:r>
      <w:r>
        <w:rPr>
          <w:spacing w:val="9"/>
        </w:rPr>
        <w:t>分区战备建设处处长、市自然资源局局长</w:t>
      </w:r>
    </w:p>
    <w:p>
      <w:pPr>
        <w:pStyle w:val="BodyText"/>
        <w:ind w:right="25"/>
        <w:spacing w:before="44" w:line="277" w:lineRule="exact"/>
        <w:jc w:val="right"/>
        <w:rPr/>
      </w:pPr>
      <w:r>
        <w:rPr>
          <w:spacing w:val="9"/>
          <w:position w:val="1"/>
        </w:rPr>
        <w:t>单位成员：发展和改革委员会、公安局、</w:t>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BodyText"/>
        <w:spacing w:before="65" w:line="220" w:lineRule="auto"/>
        <w:rPr/>
      </w:pPr>
      <w:r>
        <w:rPr>
          <w:spacing w:val="9"/>
        </w:rPr>
        <w:t>县、彭阳县政府等部门和单位的负责人。</w:t>
      </w:r>
    </w:p>
    <w:p>
      <w:pPr>
        <w:pStyle w:val="BodyText"/>
        <w:ind w:right="64" w:firstLine="420"/>
        <w:spacing w:before="162" w:line="368" w:lineRule="auto"/>
        <w:jc w:val="both"/>
        <w:rPr/>
      </w:pPr>
      <w:r>
        <w:rPr>
          <w:spacing w:val="19"/>
        </w:rPr>
        <w:t>市突发地质灾害应急指挥部按照职责分</w:t>
      </w:r>
      <w:r>
        <w:rPr>
          <w:spacing w:val="7"/>
        </w:rPr>
        <w:t>工和协同联动工作需要，将各成员单位按照职</w:t>
      </w:r>
      <w:r>
        <w:rPr>
          <w:spacing w:val="7"/>
        </w:rPr>
        <w:t>责分组开展地质灾害及其次生、衍生灾害的应</w:t>
      </w:r>
      <w:r>
        <w:rPr>
          <w:spacing w:val="7"/>
        </w:rPr>
        <w:t>急处置工作。</w:t>
      </w:r>
    </w:p>
    <w:p>
      <w:pPr>
        <w:pStyle w:val="BodyText"/>
        <w:ind w:left="410"/>
        <w:spacing w:line="278" w:lineRule="exact"/>
        <w:rPr/>
      </w:pPr>
      <w:r>
        <w:rPr>
          <w:spacing w:val="-1"/>
          <w:position w:val="1"/>
        </w:rPr>
        <w:t>（</w:t>
      </w:r>
      <w:r>
        <w:rPr>
          <w:spacing w:val="-45"/>
          <w:position w:val="1"/>
        </w:rPr>
        <w:t xml:space="preserve"> </w:t>
      </w:r>
      <w:r>
        <w:rPr>
          <w:rFonts w:ascii="Times New Roman" w:hAnsi="Times New Roman" w:eastAsia="Times New Roman" w:cs="Times New Roman"/>
          <w:spacing w:val="-1"/>
          <w:position w:val="1"/>
        </w:rPr>
        <w:t>1</w:t>
      </w:r>
      <w:r>
        <w:rPr>
          <w:rFonts w:ascii="Times New Roman" w:hAnsi="Times New Roman" w:eastAsia="Times New Roman" w:cs="Times New Roman"/>
          <w:spacing w:val="-21"/>
          <w:position w:val="1"/>
        </w:rPr>
        <w:t xml:space="preserve"> </w:t>
      </w:r>
      <w:r>
        <w:rPr>
          <w:spacing w:val="-1"/>
          <w:position w:val="1"/>
        </w:rPr>
        <w:t>）综合协调组。</w:t>
      </w:r>
    </w:p>
    <w:p>
      <w:pPr>
        <w:pStyle w:val="BodyText"/>
        <w:ind w:left="419"/>
        <w:spacing w:before="123" w:line="277" w:lineRule="exact"/>
        <w:rPr/>
      </w:pPr>
      <w:r>
        <w:rPr>
          <w:spacing w:val="8"/>
          <w:position w:val="1"/>
        </w:rPr>
        <w:t>组    长：市自然资源局局长</w:t>
      </w:r>
    </w:p>
    <w:p>
      <w:pPr>
        <w:pStyle w:val="BodyText"/>
        <w:ind w:left="419"/>
        <w:spacing w:before="123" w:line="278" w:lineRule="exact"/>
        <w:rPr/>
      </w:pPr>
      <w:r>
        <w:rPr>
          <w:spacing w:val="-4"/>
          <w:position w:val="1"/>
        </w:rPr>
        <w:t>成员单位：市应急管理局、地震局、气象局</w:t>
      </w:r>
    </w:p>
    <w:p>
      <w:pPr>
        <w:pStyle w:val="BodyText"/>
        <w:ind w:firstLine="427"/>
        <w:spacing w:before="121" w:line="311" w:lineRule="auto"/>
        <w:jc w:val="both"/>
        <w:rPr/>
      </w:pPr>
      <w:r>
        <w:rPr>
          <w:spacing w:val="6"/>
        </w:rPr>
        <w:t>主要职责：组织专家开展现场调查，查明</w:t>
      </w:r>
      <w:r>
        <w:rPr/>
        <w:t>灾害形成的条件、引发因素、影响范围等情况，</w:t>
      </w:r>
      <w:r>
        <w:rPr>
          <w:spacing w:val="7"/>
        </w:rPr>
        <w:t>确定地质灾害等级；设立专业监测网点，对灾</w:t>
      </w:r>
    </w:p>
    <w:p>
      <w:pPr>
        <w:spacing w:line="311" w:lineRule="auto"/>
        <w:sectPr>
          <w:type w:val="continuous"/>
          <w:pgSz w:w="11906" w:h="16839"/>
          <w:pgMar w:top="1974" w:right="1526" w:bottom="1574" w:left="1579" w:header="1634" w:footer="1172" w:gutter="0"/>
          <w:cols w:equalWidth="0" w:num="2">
            <w:col w:w="4491" w:space="100"/>
            <w:col w:w="4210" w:space="0"/>
          </w:cols>
        </w:sectPr>
        <w:rPr/>
      </w:pPr>
    </w:p>
    <w:p>
      <w:pPr>
        <w:spacing w:before="73"/>
        <w:rPr/>
      </w:pPr>
      <w:r>
        <w:drawing>
          <wp:anchor distT="0" distB="0" distL="0" distR="0" simplePos="0" relativeHeight="254419968"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308" name="IM 2308"/>
            <wp:cNvGraphicFramePr/>
            <a:graphic>
              <a:graphicData uri="http://schemas.openxmlformats.org/drawingml/2006/picture">
                <pic:pic>
                  <pic:nvPicPr>
                    <pic:cNvPr id="2308" name="IM 2308"/>
                    <pic:cNvPicPr/>
                  </pic:nvPicPr>
                  <pic:blipFill>
                    <a:blip r:embed="rId1158"/>
                    <a:stretch>
                      <a:fillRect/>
                    </a:stretch>
                  </pic:blipFill>
                  <pic:spPr>
                    <a:xfrm rot="0">
                      <a:off x="0" y="0"/>
                      <a:ext cx="5579745" cy="7620"/>
                    </a:xfrm>
                    <a:prstGeom prst="rect">
                      <a:avLst/>
                    </a:prstGeom>
                  </pic:spPr>
                </pic:pic>
              </a:graphicData>
            </a:graphic>
          </wp:anchor>
        </w:drawing>
      </w:r>
      <w:r/>
    </w:p>
    <w:p>
      <w:pPr>
        <w:sectPr>
          <w:headerReference w:type="default" r:id="rId1156"/>
          <w:footerReference w:type="default" r:id="rId1157"/>
          <w:pgSz w:w="11906" w:h="16839"/>
          <w:pgMar w:top="1772" w:right="1465" w:bottom="1572" w:left="1571" w:header="1428" w:footer="1172" w:gutter="0"/>
          <w:cols w:equalWidth="0" w:num="1">
            <w:col w:w="8870" w:space="0"/>
          </w:cols>
        </w:sectPr>
        <w:rPr/>
      </w:pPr>
    </w:p>
    <w:p>
      <w:pPr>
        <w:pStyle w:val="BodyText"/>
        <w:ind w:left="20" w:right="246" w:firstLine="6"/>
        <w:spacing w:before="39" w:line="369" w:lineRule="auto"/>
        <w:jc w:val="both"/>
        <w:rPr/>
      </w:pPr>
      <w:r>
        <w:rPr>
          <w:spacing w:val="7"/>
        </w:rPr>
        <w:t>害点现状稳定性进行监测和评估；对可能再次</w:t>
      </w:r>
      <w:r>
        <w:rPr>
          <w:spacing w:val="7"/>
        </w:rPr>
        <w:t>发生次生灾害提出能够阻止或延缓的措施；提</w:t>
      </w:r>
      <w:r>
        <w:rPr>
          <w:spacing w:val="7"/>
        </w:rPr>
        <w:t>供灾害发生地详细准确的气象预报；提出人员</w:t>
      </w:r>
      <w:r>
        <w:rPr>
          <w:spacing w:val="7"/>
        </w:rPr>
        <w:t>财产的撤离、转移最佳线路和灾民临时安置地</w:t>
      </w:r>
      <w:r>
        <w:rPr>
          <w:spacing w:val="7"/>
        </w:rPr>
        <w:t>点的意见；联络各小组在发生突发地质灾害时</w:t>
      </w:r>
      <w:r>
        <w:rPr>
          <w:spacing w:val="-8"/>
        </w:rPr>
        <w:t>参与抢险营救工作；完成指挥部交办的其它工作。</w:t>
      </w:r>
    </w:p>
    <w:p>
      <w:pPr>
        <w:pStyle w:val="BodyText"/>
        <w:ind w:left="433"/>
        <w:spacing w:line="277" w:lineRule="exact"/>
        <w:rPr/>
      </w:pPr>
      <w:r>
        <w:rPr>
          <w:spacing w:val="5"/>
          <w:position w:val="1"/>
        </w:rPr>
        <w:t>（</w:t>
      </w:r>
      <w:r>
        <w:rPr>
          <w:rFonts w:ascii="Times New Roman" w:hAnsi="Times New Roman" w:eastAsia="Times New Roman" w:cs="Times New Roman"/>
          <w:spacing w:val="5"/>
          <w:position w:val="1"/>
        </w:rPr>
        <w:t>2</w:t>
      </w:r>
      <w:r>
        <w:rPr>
          <w:rFonts w:ascii="Times New Roman" w:hAnsi="Times New Roman" w:eastAsia="Times New Roman" w:cs="Times New Roman"/>
          <w:spacing w:val="-20"/>
          <w:position w:val="1"/>
        </w:rPr>
        <w:t xml:space="preserve"> </w:t>
      </w:r>
      <w:r>
        <w:rPr>
          <w:spacing w:val="5"/>
          <w:position w:val="1"/>
        </w:rPr>
        <w:t>）抢险救灾组。</w:t>
      </w:r>
    </w:p>
    <w:p>
      <w:pPr>
        <w:pStyle w:val="BodyText"/>
        <w:ind w:left="441"/>
        <w:spacing w:before="123" w:line="277" w:lineRule="exact"/>
        <w:rPr/>
      </w:pPr>
      <w:r>
        <w:rPr>
          <w:spacing w:val="8"/>
          <w:position w:val="1"/>
        </w:rPr>
        <w:t>组    长：由应急指挥部根据需要确定</w:t>
      </w:r>
    </w:p>
    <w:p>
      <w:pPr>
        <w:pStyle w:val="BodyText"/>
        <w:ind w:left="23" w:right="329" w:firstLine="418"/>
        <w:spacing w:before="119" w:line="369" w:lineRule="auto"/>
        <w:rPr/>
      </w:pPr>
      <w:r>
        <w:rPr>
          <w:spacing w:val="6"/>
        </w:rPr>
        <w:t>成员单位：市消防支队，由市应急指挥部</w:t>
      </w:r>
      <w:r>
        <w:rPr>
          <w:spacing w:val="9"/>
        </w:rPr>
        <w:t>确定的非政府职能部门（单位）</w:t>
      </w:r>
    </w:p>
    <w:p>
      <w:pPr>
        <w:pStyle w:val="BodyText"/>
        <w:ind w:left="20" w:right="320" w:firstLine="429"/>
        <w:spacing w:before="4" w:line="369" w:lineRule="auto"/>
        <w:jc w:val="both"/>
        <w:rPr/>
      </w:pPr>
      <w:r>
        <w:rPr>
          <w:spacing w:val="7"/>
        </w:rPr>
        <w:t>主要职责：组织人员赶赴灾区抢险救灾；</w:t>
      </w:r>
      <w:r>
        <w:rPr>
          <w:spacing w:val="7"/>
        </w:rPr>
        <w:t>负责统一调集、指挥现场施救队伍，实施现场</w:t>
      </w:r>
      <w:r>
        <w:rPr>
          <w:spacing w:val="7"/>
        </w:rPr>
        <w:t>抢险救灾；组织、指导遇险人员开展自救和互</w:t>
      </w:r>
      <w:r>
        <w:rPr>
          <w:spacing w:val="15"/>
        </w:rPr>
        <w:t>救工作</w:t>
      </w:r>
      <w:r>
        <w:rPr>
          <w:spacing w:val="-39"/>
        </w:rPr>
        <w:t xml:space="preserve"> </w:t>
      </w:r>
      <w:r>
        <w:rPr>
          <w:spacing w:val="15"/>
        </w:rPr>
        <w:t>；抢救遇险人员和转移灾害现场的财</w:t>
      </w:r>
      <w:r>
        <w:rPr>
          <w:spacing w:val="9"/>
        </w:rPr>
        <w:t>产；完成指挥部交办的其它工作。</w:t>
      </w:r>
    </w:p>
    <w:p>
      <w:pPr>
        <w:pStyle w:val="BodyText"/>
        <w:ind w:left="433"/>
        <w:spacing w:line="279" w:lineRule="exact"/>
        <w:rPr/>
      </w:pPr>
      <w:r>
        <w:rPr>
          <w:spacing w:val="5"/>
          <w:position w:val="1"/>
        </w:rPr>
        <w:t>（</w:t>
      </w:r>
      <w:r>
        <w:rPr>
          <w:rFonts w:ascii="Times New Roman" w:hAnsi="Times New Roman" w:eastAsia="Times New Roman" w:cs="Times New Roman"/>
          <w:spacing w:val="5"/>
          <w:position w:val="1"/>
        </w:rPr>
        <w:t>3</w:t>
      </w:r>
      <w:r>
        <w:rPr>
          <w:rFonts w:ascii="Times New Roman" w:hAnsi="Times New Roman" w:eastAsia="Times New Roman" w:cs="Times New Roman"/>
          <w:spacing w:val="-20"/>
          <w:position w:val="1"/>
        </w:rPr>
        <w:t xml:space="preserve"> </w:t>
      </w:r>
      <w:r>
        <w:rPr>
          <w:spacing w:val="5"/>
          <w:position w:val="1"/>
        </w:rPr>
        <w:t>）交通治安组。</w:t>
      </w:r>
    </w:p>
    <w:p>
      <w:pPr>
        <w:pStyle w:val="BodyText"/>
        <w:ind w:left="441"/>
        <w:spacing w:before="126" w:line="278" w:lineRule="exact"/>
        <w:rPr/>
      </w:pPr>
      <w:r>
        <w:rPr>
          <w:spacing w:val="8"/>
          <w:position w:val="1"/>
        </w:rPr>
        <w:t>组    长：市公安局分管副局长</w:t>
      </w:r>
    </w:p>
    <w:p>
      <w:pPr>
        <w:pStyle w:val="BodyText"/>
        <w:ind w:left="441"/>
        <w:spacing w:before="130" w:line="278" w:lineRule="exact"/>
        <w:rPr/>
      </w:pPr>
      <w:r>
        <w:rPr>
          <w:spacing w:val="9"/>
          <w:position w:val="1"/>
        </w:rPr>
        <w:t>成员单位：市水务局</w:t>
      </w:r>
    </w:p>
    <w:p>
      <w:pPr>
        <w:pStyle w:val="BodyText"/>
        <w:ind w:left="21" w:right="320" w:firstLine="428"/>
        <w:spacing w:before="132" w:line="374" w:lineRule="auto"/>
        <w:jc w:val="both"/>
        <w:rPr/>
      </w:pPr>
      <w:r>
        <w:rPr>
          <w:spacing w:val="7"/>
        </w:rPr>
        <w:t>主要职责：对地质灾害区实施戒严封锁；</w:t>
      </w:r>
      <w:r>
        <w:rPr>
          <w:spacing w:val="7"/>
        </w:rPr>
        <w:t>组织灾区现场治安巡逻保护，疏散灾区内无关</w:t>
      </w:r>
      <w:r>
        <w:rPr>
          <w:spacing w:val="7"/>
        </w:rPr>
        <w:t>人员，维护灾害现场治安秩序和交通秩序；完</w:t>
      </w:r>
      <w:r>
        <w:rPr>
          <w:spacing w:val="8"/>
        </w:rPr>
        <w:t>成指挥部交办的其它工作。</w:t>
      </w:r>
    </w:p>
    <w:p>
      <w:pPr>
        <w:pStyle w:val="BodyText"/>
        <w:ind w:left="433"/>
        <w:spacing w:before="10" w:line="278" w:lineRule="exact"/>
        <w:rPr/>
      </w:pPr>
      <w:r>
        <w:rPr>
          <w:spacing w:val="5"/>
          <w:position w:val="1"/>
        </w:rPr>
        <w:t>（</w:t>
      </w:r>
      <w:r>
        <w:rPr>
          <w:rFonts w:ascii="Times New Roman" w:hAnsi="Times New Roman" w:eastAsia="Times New Roman" w:cs="Times New Roman"/>
          <w:spacing w:val="5"/>
          <w:position w:val="1"/>
        </w:rPr>
        <w:t>4</w:t>
      </w:r>
      <w:r>
        <w:rPr>
          <w:rFonts w:ascii="Times New Roman" w:hAnsi="Times New Roman" w:eastAsia="Times New Roman" w:cs="Times New Roman"/>
          <w:spacing w:val="-20"/>
          <w:position w:val="1"/>
        </w:rPr>
        <w:t xml:space="preserve"> </w:t>
      </w:r>
      <w:r>
        <w:rPr>
          <w:spacing w:val="5"/>
          <w:position w:val="1"/>
        </w:rPr>
        <w:t>）医疗卫生组。</w:t>
      </w:r>
    </w:p>
    <w:p>
      <w:pPr>
        <w:pStyle w:val="BodyText"/>
        <w:ind w:left="441"/>
        <w:spacing w:before="130" w:line="276" w:lineRule="exact"/>
        <w:rPr/>
      </w:pPr>
      <w:r>
        <w:rPr>
          <w:spacing w:val="8"/>
          <w:position w:val="1"/>
        </w:rPr>
        <w:t>组    长：市卫生健康委员会副主任</w:t>
      </w:r>
    </w:p>
    <w:p>
      <w:pPr>
        <w:pStyle w:val="BodyText"/>
        <w:ind w:left="23" w:right="306" w:firstLine="418"/>
        <w:spacing w:before="132" w:line="356" w:lineRule="auto"/>
        <w:rPr/>
      </w:pPr>
      <w:r>
        <w:rPr>
          <w:spacing w:val="8"/>
        </w:rPr>
        <w:t>成员单位：生态环境局、市商务投资局、</w:t>
      </w:r>
      <w:r>
        <w:rPr>
          <w:spacing w:val="9"/>
        </w:rPr>
        <w:t>市文化旅游广电局、市农业农村局</w:t>
      </w:r>
    </w:p>
    <w:p>
      <w:pPr>
        <w:pStyle w:val="BodyText"/>
        <w:ind w:left="21" w:right="262" w:firstLine="428"/>
        <w:spacing w:before="44" w:line="365" w:lineRule="auto"/>
        <w:rPr/>
      </w:pPr>
      <w:r>
        <w:rPr>
          <w:spacing w:val="-1"/>
        </w:rPr>
        <w:t>主要职责：迅速组建、调集医疗救治队伍；</w:t>
      </w:r>
      <w:r>
        <w:rPr>
          <w:spacing w:val="7"/>
        </w:rPr>
        <w:t>负责联系、指定、安排救治医院，组织指挥现</w:t>
      </w:r>
      <w:r>
        <w:rPr>
          <w:spacing w:val="7"/>
        </w:rPr>
        <w:t>场受伤人员接受紧急救治和转送医院救治，减</w:t>
      </w:r>
      <w:r>
        <w:rPr>
          <w:spacing w:val="7"/>
        </w:rPr>
        <w:t>少人员伤亡；负责调集、安排医疗器材和救护</w:t>
      </w:r>
      <w:r>
        <w:rPr>
          <w:spacing w:val="7"/>
        </w:rPr>
        <w:t>车辆；负责向上级医疗机构求援；认真搞好灾</w:t>
      </w:r>
      <w:r>
        <w:rPr>
          <w:spacing w:val="7"/>
        </w:rPr>
        <w:t>区的卫生防疫工作，确保在灾情发生后不发生</w:t>
      </w:r>
    </w:p>
    <w:p>
      <w:pPr>
        <w:spacing w:line="14" w:lineRule="auto"/>
        <w:rPr>
          <w:rFonts w:ascii="Arial"/>
          <w:sz w:val="2"/>
        </w:rPr>
      </w:pPr>
      <w:r>
        <w:rPr>
          <w:rFonts w:ascii="Arial" w:hAnsi="Arial" w:eastAsia="Arial" w:cs="Arial"/>
          <w:sz w:val="2"/>
          <w:szCs w:val="2"/>
        </w:rPr>
        <w:br w:type="column"/>
      </w:r>
    </w:p>
    <w:p>
      <w:pPr>
        <w:pStyle w:val="BodyText"/>
        <w:ind w:left="1"/>
        <w:spacing w:before="43" w:line="225" w:lineRule="auto"/>
        <w:rPr/>
      </w:pPr>
      <w:r>
        <w:rPr/>
        <w:t>各种传染性疫病；完成指挥部交办的其它工作。</w:t>
      </w:r>
    </w:p>
    <w:p>
      <w:pPr>
        <w:pStyle w:val="BodyText"/>
        <w:ind w:left="413"/>
        <w:spacing w:before="161" w:line="278" w:lineRule="exact"/>
        <w:rPr/>
      </w:pPr>
      <w:r>
        <w:rPr>
          <w:spacing w:val="5"/>
          <w:position w:val="1"/>
        </w:rPr>
        <w:t>（</w:t>
      </w:r>
      <w:r>
        <w:rPr>
          <w:rFonts w:ascii="Times New Roman" w:hAnsi="Times New Roman" w:eastAsia="Times New Roman" w:cs="Times New Roman"/>
          <w:spacing w:val="5"/>
          <w:position w:val="1"/>
        </w:rPr>
        <w:t>5</w:t>
      </w:r>
      <w:r>
        <w:rPr>
          <w:rFonts w:ascii="Times New Roman" w:hAnsi="Times New Roman" w:eastAsia="Times New Roman" w:cs="Times New Roman"/>
          <w:spacing w:val="-20"/>
          <w:position w:val="1"/>
        </w:rPr>
        <w:t xml:space="preserve"> </w:t>
      </w:r>
      <w:r>
        <w:rPr>
          <w:spacing w:val="5"/>
          <w:position w:val="1"/>
        </w:rPr>
        <w:t>）转移安置组。</w:t>
      </w:r>
    </w:p>
    <w:p>
      <w:pPr>
        <w:pStyle w:val="BodyText"/>
        <w:ind w:left="421"/>
        <w:spacing w:before="129" w:line="278" w:lineRule="exact"/>
        <w:rPr/>
      </w:pPr>
      <w:r>
        <w:rPr>
          <w:spacing w:val="8"/>
          <w:position w:val="1"/>
        </w:rPr>
        <w:t>组    长：市民政局分管副局长</w:t>
      </w:r>
    </w:p>
    <w:p>
      <w:pPr>
        <w:pStyle w:val="BodyText"/>
        <w:ind w:left="2" w:right="125" w:firstLine="419"/>
        <w:spacing w:before="130" w:line="356" w:lineRule="auto"/>
        <w:rPr/>
      </w:pPr>
      <w:r>
        <w:rPr>
          <w:spacing w:val="6"/>
        </w:rPr>
        <w:t>成员单位：市财政局、市粮食储备局、市</w:t>
      </w:r>
      <w:r>
        <w:rPr>
          <w:spacing w:val="9"/>
        </w:rPr>
        <w:t>扶贫开发办公室、市教育体育局</w:t>
      </w:r>
    </w:p>
    <w:p>
      <w:pPr>
        <w:pStyle w:val="BodyText"/>
        <w:ind w:left="1" w:right="125" w:firstLine="428"/>
        <w:spacing w:before="46" w:line="374" w:lineRule="auto"/>
        <w:rPr/>
      </w:pPr>
      <w:r>
        <w:rPr>
          <w:spacing w:val="6"/>
        </w:rPr>
        <w:t>主要职责：负责抢险救灾经费及时足额到</w:t>
      </w:r>
      <w:r>
        <w:rPr>
          <w:spacing w:val="7"/>
        </w:rPr>
        <w:t>位；负责灾民的临时安置工作；负责救灾物资</w:t>
      </w:r>
      <w:r>
        <w:rPr>
          <w:spacing w:val="7"/>
        </w:rPr>
        <w:t>的调运、储存和发放；为灾民提供维持基本生</w:t>
      </w:r>
      <w:r>
        <w:rPr>
          <w:spacing w:val="7"/>
        </w:rPr>
        <w:t>活必需品和抢险救灾人员的生活保障，统计灾</w:t>
      </w:r>
      <w:r>
        <w:rPr>
          <w:spacing w:val="7"/>
        </w:rPr>
        <w:t>区人员财产损失情况；完成指挥部交办的其它</w:t>
      </w:r>
      <w:r>
        <w:rPr>
          <w:spacing w:val="4"/>
        </w:rPr>
        <w:t>工作。</w:t>
      </w:r>
    </w:p>
    <w:p>
      <w:pPr>
        <w:pStyle w:val="BodyText"/>
        <w:ind w:left="413"/>
        <w:spacing w:before="16" w:line="278" w:lineRule="exact"/>
        <w:rPr/>
      </w:pPr>
      <w:r>
        <w:rPr>
          <w:spacing w:val="5"/>
          <w:position w:val="1"/>
        </w:rPr>
        <w:t>（</w:t>
      </w:r>
      <w:r>
        <w:rPr>
          <w:rFonts w:ascii="Times New Roman" w:hAnsi="Times New Roman" w:eastAsia="Times New Roman" w:cs="Times New Roman"/>
          <w:spacing w:val="5"/>
          <w:position w:val="1"/>
        </w:rPr>
        <w:t>6</w:t>
      </w:r>
      <w:r>
        <w:rPr>
          <w:rFonts w:ascii="Times New Roman" w:hAnsi="Times New Roman" w:eastAsia="Times New Roman" w:cs="Times New Roman"/>
          <w:spacing w:val="-15"/>
          <w:position w:val="1"/>
        </w:rPr>
        <w:t xml:space="preserve"> </w:t>
      </w:r>
      <w:r>
        <w:rPr>
          <w:spacing w:val="5"/>
          <w:position w:val="1"/>
        </w:rPr>
        <w:t>）设施抢险组</w:t>
      </w:r>
    </w:p>
    <w:p>
      <w:pPr>
        <w:pStyle w:val="BodyText"/>
        <w:ind w:left="421"/>
        <w:spacing w:before="130" w:line="277" w:lineRule="exact"/>
        <w:rPr/>
      </w:pPr>
      <w:r>
        <w:rPr>
          <w:spacing w:val="8"/>
          <w:position w:val="1"/>
        </w:rPr>
        <w:t>组    长：市交通运输局分管副局长</w:t>
      </w:r>
    </w:p>
    <w:p>
      <w:pPr>
        <w:pStyle w:val="BodyText"/>
        <w:ind w:left="3" w:firstLine="418"/>
        <w:spacing w:before="129" w:line="377" w:lineRule="auto"/>
        <w:jc w:val="both"/>
        <w:rPr/>
      </w:pPr>
      <w:r>
        <w:rPr>
          <w:spacing w:val="6"/>
        </w:rPr>
        <w:t>成员单位：市发展和改革委员会、市住房</w:t>
      </w:r>
      <w:r>
        <w:rPr>
          <w:spacing w:val="7"/>
        </w:rPr>
        <w:t>和城乡建设局、市城市管理局，由应急指挥部</w:t>
      </w:r>
      <w:r>
        <w:rPr>
          <w:spacing w:val="3"/>
        </w:rPr>
        <w:t>根据工作需要确定的非政府职能部门（单位）。</w:t>
      </w:r>
    </w:p>
    <w:p>
      <w:pPr>
        <w:pStyle w:val="BodyText"/>
        <w:ind w:left="1" w:right="125" w:firstLine="428"/>
        <w:spacing w:before="3" w:line="376" w:lineRule="auto"/>
        <w:jc w:val="both"/>
        <w:rPr/>
      </w:pPr>
      <w:r>
        <w:rPr>
          <w:spacing w:val="6"/>
        </w:rPr>
        <w:t>主要职责：负责公路、桥梁、电力、通讯</w:t>
      </w:r>
      <w:r>
        <w:rPr>
          <w:spacing w:val="7"/>
        </w:rPr>
        <w:t>等设施的安全和抢修。确保抢险通讯联络的优</w:t>
      </w:r>
      <w:r>
        <w:rPr>
          <w:spacing w:val="7"/>
        </w:rPr>
        <w:t>先畅通。对危房进行鉴定，提出灾民回迁和重</w:t>
      </w:r>
      <w:r>
        <w:rPr>
          <w:spacing w:val="9"/>
        </w:rPr>
        <w:t>建方案；完成指挥部交办的其它工作。</w:t>
      </w:r>
    </w:p>
    <w:p>
      <w:pPr>
        <w:pStyle w:val="BodyText"/>
        <w:ind w:left="413"/>
        <w:spacing w:line="277" w:lineRule="exact"/>
        <w:rPr/>
      </w:pPr>
      <w:r>
        <w:rPr>
          <w:spacing w:val="7"/>
          <w:position w:val="1"/>
        </w:rPr>
        <w:t>（</w:t>
      </w:r>
      <w:r>
        <w:rPr>
          <w:rFonts w:ascii="Times New Roman" w:hAnsi="Times New Roman" w:eastAsia="Times New Roman" w:cs="Times New Roman"/>
          <w:spacing w:val="7"/>
          <w:position w:val="1"/>
        </w:rPr>
        <w:t>7</w:t>
      </w:r>
      <w:r>
        <w:rPr>
          <w:rFonts w:ascii="Times New Roman" w:hAnsi="Times New Roman" w:eastAsia="Times New Roman" w:cs="Times New Roman"/>
          <w:spacing w:val="-15"/>
          <w:position w:val="1"/>
        </w:rPr>
        <w:t xml:space="preserve"> </w:t>
      </w:r>
      <w:r>
        <w:rPr>
          <w:spacing w:val="7"/>
          <w:position w:val="1"/>
        </w:rPr>
        <w:t>）信息发布及宣传报道组</w:t>
      </w:r>
    </w:p>
    <w:p>
      <w:pPr>
        <w:pStyle w:val="BodyText"/>
        <w:ind w:left="3" w:right="125" w:firstLine="418"/>
        <w:spacing w:before="131" w:line="357" w:lineRule="auto"/>
        <w:rPr/>
      </w:pPr>
      <w:r>
        <w:rPr>
          <w:spacing w:val="6"/>
        </w:rPr>
        <w:t>组    长：由市应急指挥部根据工作需要</w:t>
      </w:r>
      <w:r>
        <w:rPr>
          <w:spacing w:val="6"/>
        </w:rPr>
        <w:t>确定</w:t>
      </w:r>
    </w:p>
    <w:p>
      <w:pPr>
        <w:pStyle w:val="BodyText"/>
        <w:ind w:left="2" w:right="125" w:firstLine="419"/>
        <w:spacing w:before="43" w:line="357" w:lineRule="auto"/>
        <w:rPr/>
      </w:pPr>
      <w:r>
        <w:rPr>
          <w:spacing w:val="6"/>
        </w:rPr>
        <w:t>成员单位：市文化旅游广电局、自然资源</w:t>
      </w:r>
      <w:r>
        <w:rPr>
          <w:spacing w:val="9"/>
        </w:rPr>
        <w:t>局、气象局、新闻传媒中心</w:t>
      </w:r>
    </w:p>
    <w:p>
      <w:pPr>
        <w:pStyle w:val="BodyText"/>
        <w:ind w:right="118" w:firstLine="429"/>
        <w:spacing w:before="41" w:line="372" w:lineRule="auto"/>
        <w:rPr/>
      </w:pPr>
      <w:r>
        <w:rPr>
          <w:spacing w:val="6"/>
        </w:rPr>
        <w:t>主要职责：组织做好地质灾害信息发布和</w:t>
      </w:r>
      <w:r>
        <w:rPr>
          <w:spacing w:val="7"/>
        </w:rPr>
        <w:t>抢险救灾宣传报道工作，加强舆情收集分析，</w:t>
      </w:r>
      <w:r>
        <w:rPr>
          <w:spacing w:val="8"/>
        </w:rPr>
        <w:t>正确引导舆论宣传。</w:t>
      </w:r>
    </w:p>
    <w:p>
      <w:pPr>
        <w:pStyle w:val="BodyText"/>
        <w:ind w:left="3" w:right="125" w:firstLine="418"/>
        <w:spacing w:before="16" w:line="330" w:lineRule="auto"/>
        <w:jc w:val="both"/>
        <w:rPr/>
      </w:pPr>
      <w:r>
        <w:rPr>
          <w:rFonts w:ascii="Times New Roman" w:hAnsi="Times New Roman" w:eastAsia="Times New Roman" w:cs="Times New Roman"/>
          <w:spacing w:val="7"/>
        </w:rPr>
        <w:t>2.2</w:t>
      </w:r>
      <w:r>
        <w:rPr>
          <w:rFonts w:ascii="Times New Roman" w:hAnsi="Times New Roman" w:eastAsia="Times New Roman" w:cs="Times New Roman"/>
          <w:spacing w:val="20"/>
          <w:w w:val="101"/>
        </w:rPr>
        <w:t xml:space="preserve">  </w:t>
      </w:r>
      <w:r>
        <w:rPr>
          <w:rFonts w:ascii="KaiTi" w:hAnsi="KaiTi" w:eastAsia="KaiTi" w:cs="KaiTi"/>
          <w:spacing w:val="7"/>
        </w:rPr>
        <w:t>固原市突发地质灾害应急指挥部办公</w:t>
      </w:r>
      <w:r>
        <w:rPr>
          <w:rFonts w:ascii="KaiTi" w:hAnsi="KaiTi" w:eastAsia="KaiTi" w:cs="KaiTi"/>
          <w:spacing w:val="7"/>
        </w:rPr>
        <w:t>室。</w:t>
      </w:r>
      <w:r>
        <w:rPr>
          <w:spacing w:val="7"/>
        </w:rPr>
        <w:t>市突发地质灾害应急指挥部办公室是市突</w:t>
      </w:r>
      <w:r>
        <w:rPr>
          <w:spacing w:val="7"/>
        </w:rPr>
        <w:t>发地质灾害应急指挥部的日常工作机构，设在</w:t>
      </w:r>
      <w:r>
        <w:rPr>
          <w:spacing w:val="7"/>
        </w:rPr>
        <w:t>市自然资源局。办公室主任由市自然资源局分</w:t>
      </w:r>
    </w:p>
    <w:p>
      <w:pPr>
        <w:spacing w:line="330" w:lineRule="auto"/>
        <w:sectPr>
          <w:type w:val="continuous"/>
          <w:pgSz w:w="11906" w:h="16839"/>
          <w:pgMar w:top="1772" w:right="1465" w:bottom="1572" w:left="1571" w:header="1428" w:footer="1172" w:gutter="0"/>
          <w:cols w:equalWidth="0" w:num="2">
            <w:col w:w="4498" w:space="100"/>
            <w:col w:w="4273" w:space="0"/>
          </w:cols>
        </w:sectPr>
        <w:rPr/>
      </w:pPr>
    </w:p>
    <w:p>
      <w:pPr>
        <w:spacing w:before="78"/>
        <w:rPr/>
      </w:pPr>
      <w:r>
        <w:drawing>
          <wp:anchor distT="0" distB="0" distL="0" distR="0" simplePos="0" relativeHeight="254434304" behindDoc="0" locked="0" layoutInCell="0" allowOverlap="1">
            <wp:simplePos x="0" y="0"/>
            <wp:positionH relativeFrom="page">
              <wp:posOffset>1008380</wp:posOffset>
            </wp:positionH>
            <wp:positionV relativeFrom="page">
              <wp:posOffset>1278890</wp:posOffset>
            </wp:positionV>
            <wp:extent cx="5579745" cy="7619"/>
            <wp:effectExtent l="0" t="0" r="0" b="0"/>
            <wp:wrapNone/>
            <wp:docPr id="2314" name="IM 2314"/>
            <wp:cNvGraphicFramePr/>
            <a:graphic>
              <a:graphicData uri="http://schemas.openxmlformats.org/drawingml/2006/picture">
                <pic:pic>
                  <pic:nvPicPr>
                    <pic:cNvPr id="2314" name="IM 2314"/>
                    <pic:cNvPicPr/>
                  </pic:nvPicPr>
                  <pic:blipFill>
                    <a:blip r:embed="rId1161"/>
                    <a:stretch>
                      <a:fillRect/>
                    </a:stretch>
                  </pic:blipFill>
                  <pic:spPr>
                    <a:xfrm rot="0">
                      <a:off x="0" y="0"/>
                      <a:ext cx="5579745" cy="7619"/>
                    </a:xfrm>
                    <a:prstGeom prst="rect">
                      <a:avLst/>
                    </a:prstGeom>
                  </pic:spPr>
                </pic:pic>
              </a:graphicData>
            </a:graphic>
          </wp:anchor>
        </w:drawing>
      </w:r>
      <w:r/>
    </w:p>
    <w:p>
      <w:pPr>
        <w:sectPr>
          <w:headerReference w:type="default" r:id="rId1159"/>
          <w:footerReference w:type="default" r:id="rId1160"/>
          <w:pgSz w:w="11906" w:h="16839"/>
          <w:pgMar w:top="1974" w:right="1509" w:bottom="1574" w:left="1579" w:header="1634" w:footer="1172" w:gutter="0"/>
          <w:cols w:equalWidth="0" w:num="1">
            <w:col w:w="8817" w:space="0"/>
          </w:cols>
        </w:sectPr>
        <w:rPr/>
      </w:pPr>
    </w:p>
    <w:p>
      <w:pPr>
        <w:pStyle w:val="BodyText"/>
        <w:ind w:left="16" w:right="329" w:hanging="1"/>
        <w:spacing w:before="48" w:line="374" w:lineRule="auto"/>
        <w:rPr/>
      </w:pPr>
      <w:r>
        <w:rPr/>
        <w:t>管</w:t>
      </w:r>
      <w:r>
        <w:rPr>
          <w:spacing w:val="-11"/>
        </w:rPr>
        <w:t xml:space="preserve"> </w:t>
      </w:r>
      <w:r>
        <w:rPr/>
        <w:t>副</w:t>
      </w:r>
      <w:r>
        <w:rPr>
          <w:spacing w:val="-21"/>
        </w:rPr>
        <w:t xml:space="preserve"> </w:t>
      </w:r>
      <w:r>
        <w:rPr/>
        <w:t>局</w:t>
      </w:r>
      <w:r>
        <w:rPr>
          <w:spacing w:val="-22"/>
        </w:rPr>
        <w:t xml:space="preserve"> </w:t>
      </w:r>
      <w:r>
        <w:rPr/>
        <w:t>长</w:t>
      </w:r>
      <w:r>
        <w:rPr>
          <w:spacing w:val="-26"/>
        </w:rPr>
        <w:t xml:space="preserve"> </w:t>
      </w:r>
      <w:r>
        <w:rPr/>
        <w:t>兼</w:t>
      </w:r>
      <w:r>
        <w:rPr>
          <w:spacing w:val="-21"/>
        </w:rPr>
        <w:t xml:space="preserve"> </w:t>
      </w:r>
      <w:r>
        <w:rPr/>
        <w:t>任 。</w:t>
      </w:r>
      <w:r>
        <w:rPr>
          <w:spacing w:val="-21"/>
        </w:rPr>
        <w:t xml:space="preserve"> </w:t>
      </w:r>
      <w:r>
        <w:rPr/>
        <w:t>办</w:t>
      </w:r>
      <w:r>
        <w:rPr>
          <w:spacing w:val="-24"/>
        </w:rPr>
        <w:t xml:space="preserve"> </w:t>
      </w:r>
      <w:r>
        <w:rPr/>
        <w:t>公</w:t>
      </w:r>
      <w:r>
        <w:rPr>
          <w:spacing w:val="-20"/>
        </w:rPr>
        <w:t xml:space="preserve"> </w:t>
      </w:r>
      <w:r>
        <w:rPr/>
        <w:t>室</w:t>
      </w:r>
      <w:r>
        <w:rPr>
          <w:spacing w:val="-26"/>
        </w:rPr>
        <w:t xml:space="preserve"> </w:t>
      </w:r>
      <w:r>
        <w:rPr/>
        <w:t>值</w:t>
      </w:r>
      <w:r>
        <w:rPr>
          <w:spacing w:val="-21"/>
        </w:rPr>
        <w:t xml:space="preserve"> </w:t>
      </w:r>
      <w:r>
        <w:rPr/>
        <w:t>班 电</w:t>
      </w:r>
      <w:r>
        <w:rPr>
          <w:spacing w:val="-27"/>
        </w:rPr>
        <w:t xml:space="preserve"> </w:t>
      </w:r>
      <w:r>
        <w:rPr/>
        <w:t>话</w:t>
      </w:r>
      <w:r>
        <w:rPr>
          <w:spacing w:val="-18"/>
        </w:rPr>
        <w:t xml:space="preserve"> </w:t>
      </w:r>
      <w:r>
        <w:rPr/>
        <w:t>为</w:t>
      </w:r>
      <w:r>
        <w:rPr>
          <w:rFonts w:ascii="Times New Roman" w:hAnsi="Times New Roman" w:eastAsia="Times New Roman" w:cs="Times New Roman"/>
          <w:spacing w:val="3"/>
        </w:rPr>
        <w:t>0954-2688554</w:t>
      </w:r>
      <w:r>
        <w:rPr>
          <w:spacing w:val="3"/>
        </w:rPr>
        <w:t>。</w:t>
      </w:r>
    </w:p>
    <w:p>
      <w:pPr>
        <w:pStyle w:val="BodyText"/>
        <w:ind w:left="11" w:right="262" w:firstLine="423"/>
        <w:spacing w:before="1" w:line="368" w:lineRule="auto"/>
        <w:jc w:val="both"/>
        <w:rPr/>
      </w:pPr>
      <w:r>
        <w:rPr>
          <w:spacing w:val="19"/>
        </w:rPr>
        <w:t>市突发地质灾害应急指挥部办公室主要</w:t>
      </w:r>
      <w:r>
        <w:rPr>
          <w:spacing w:val="7"/>
        </w:rPr>
        <w:t>职责：负责突发地质灾害应急管理工作，具体</w:t>
      </w:r>
      <w:r>
        <w:rPr>
          <w:spacing w:val="7"/>
        </w:rPr>
        <w:t>承担市应急指挥部日常事务。贯彻落实自治区</w:t>
      </w:r>
      <w:r>
        <w:rPr>
          <w:spacing w:val="7"/>
        </w:rPr>
        <w:t>自然资源厅、市政府关于突发地质灾害应急管</w:t>
      </w:r>
      <w:r>
        <w:rPr>
          <w:spacing w:val="7"/>
        </w:rPr>
        <w:t>理工作的决定事项，及时向市政府和自然资源</w:t>
      </w:r>
      <w:r>
        <w:rPr>
          <w:spacing w:val="7"/>
        </w:rPr>
        <w:t>厅报告重要情况和提出建议；协调各县（</w:t>
      </w:r>
      <w:r>
        <w:rPr>
          <w:spacing w:val="-42"/>
        </w:rPr>
        <w:t xml:space="preserve"> </w:t>
      </w:r>
      <w:r>
        <w:rPr>
          <w:spacing w:val="7"/>
        </w:rPr>
        <w:t>区）</w:t>
      </w:r>
      <w:r>
        <w:rPr>
          <w:spacing w:val="7"/>
        </w:rPr>
        <w:t>应急指挥部、市应急指挥部成员单位之间的应</w:t>
      </w:r>
      <w:r>
        <w:rPr>
          <w:spacing w:val="7"/>
        </w:rPr>
        <w:t>急工作，并督促落实；负责汇集、上报地质灾</w:t>
      </w:r>
      <w:r>
        <w:rPr>
          <w:spacing w:val="7"/>
        </w:rPr>
        <w:t>害险（灾）情和应急处置与救灾进展情况；组</w:t>
      </w:r>
      <w:r>
        <w:rPr>
          <w:spacing w:val="7"/>
        </w:rPr>
        <w:t>织有关部门和专家分析灾害发展趋势，对灾害</w:t>
      </w:r>
      <w:r>
        <w:rPr>
          <w:spacing w:val="7"/>
        </w:rPr>
        <w:t>损失及影响进行评估，为市应急指挥部提供依</w:t>
      </w:r>
      <w:r>
        <w:rPr>
          <w:spacing w:val="4"/>
        </w:rPr>
        <w:t>据；指导和协调各县（</w:t>
      </w:r>
      <w:r>
        <w:rPr>
          <w:spacing w:val="-34"/>
        </w:rPr>
        <w:t xml:space="preserve"> </w:t>
      </w:r>
      <w:r>
        <w:rPr>
          <w:spacing w:val="4"/>
        </w:rPr>
        <w:t>区）做好突发地质灾害</w:t>
      </w:r>
      <w:r>
        <w:rPr/>
        <w:t>的预防、应急准备、应急处置和恢复重建工作；</w:t>
      </w:r>
      <w:r>
        <w:rPr>
          <w:spacing w:val="7"/>
        </w:rPr>
        <w:t>负责市应急指挥部各类文书资料的准备、整理</w:t>
      </w:r>
      <w:r>
        <w:rPr>
          <w:spacing w:val="7"/>
        </w:rPr>
        <w:t>归档工作。</w:t>
      </w:r>
    </w:p>
    <w:p>
      <w:pPr>
        <w:pStyle w:val="BodyText"/>
        <w:ind w:left="13" w:right="329" w:firstLine="421"/>
        <w:spacing w:before="17" w:line="369" w:lineRule="auto"/>
        <w:rPr/>
      </w:pPr>
      <w:r>
        <w:rPr>
          <w:spacing w:val="6"/>
        </w:rPr>
        <w:t>接到监测、预测和预警信息，或发生地质</w:t>
      </w:r>
      <w:r>
        <w:rPr>
          <w:spacing w:val="7"/>
        </w:rPr>
        <w:t>灾害后，市突发地质灾害应急指挥部办公室要</w:t>
      </w:r>
      <w:r>
        <w:rPr>
          <w:spacing w:val="18"/>
        </w:rPr>
        <w:t>立即组织各成员单位开展会商或分析研判灾</w:t>
      </w:r>
      <w:r>
        <w:rPr>
          <w:spacing w:val="7"/>
        </w:rPr>
        <w:t>害发展趋势、灾害影响程度和范围；及时向市</w:t>
      </w:r>
      <w:r>
        <w:rPr>
          <w:spacing w:val="8"/>
        </w:rPr>
        <w:t>委、市政府、市突发地质灾害应急指挥部报</w:t>
      </w:r>
    </w:p>
    <w:p>
      <w:pPr>
        <w:pStyle w:val="BodyText"/>
        <w:ind w:left="12"/>
        <w:spacing w:before="3" w:line="220" w:lineRule="auto"/>
        <w:rPr/>
      </w:pPr>
      <w:r>
        <w:rPr>
          <w:spacing w:val="7"/>
        </w:rPr>
        <w:t>告情况，提出启动或终止应急响应级别和处</w:t>
      </w:r>
    </w:p>
    <w:p>
      <w:pPr>
        <w:pStyle w:val="BodyText"/>
        <w:ind w:left="12" w:right="329" w:firstLine="3"/>
        <w:spacing w:before="156" w:line="369" w:lineRule="auto"/>
        <w:rPr/>
      </w:pPr>
      <w:r>
        <w:rPr>
          <w:spacing w:val="7"/>
        </w:rPr>
        <w:t>置措施等工作建议；根据突发性地质灾害应急</w:t>
      </w:r>
      <w:r>
        <w:rPr>
          <w:spacing w:val="7"/>
        </w:rPr>
        <w:t>指挥部的决定，协调组织各成员单位到指定地</w:t>
      </w:r>
      <w:r>
        <w:rPr>
          <w:spacing w:val="7"/>
        </w:rPr>
        <w:t>点集结或赶赴突发事件现场；落实事件处置工</w:t>
      </w:r>
      <w:r>
        <w:rPr>
          <w:spacing w:val="9"/>
        </w:rPr>
        <w:t>作中综合协调、信息报送和值守应急工作。</w:t>
      </w:r>
    </w:p>
    <w:p>
      <w:pPr>
        <w:pStyle w:val="BodyText"/>
        <w:ind w:left="12" w:right="329" w:firstLine="421"/>
        <w:spacing w:before="2" w:line="333" w:lineRule="auto"/>
        <w:rPr/>
      </w:pPr>
      <w:r>
        <w:rPr>
          <w:rFonts w:ascii="Times New Roman" w:hAnsi="Times New Roman" w:eastAsia="Times New Roman" w:cs="Times New Roman"/>
          <w:spacing w:val="4"/>
        </w:rPr>
        <w:t>2.3  </w:t>
      </w:r>
      <w:r>
        <w:rPr>
          <w:rFonts w:ascii="KaiTi" w:hAnsi="KaiTi" w:eastAsia="KaiTi" w:cs="KaiTi"/>
          <w:spacing w:val="4"/>
        </w:rPr>
        <w:t>各县（</w:t>
      </w:r>
      <w:r>
        <w:rPr>
          <w:rFonts w:ascii="KaiTi" w:hAnsi="KaiTi" w:eastAsia="KaiTi" w:cs="KaiTi"/>
          <w:spacing w:val="-10"/>
        </w:rPr>
        <w:t xml:space="preserve"> </w:t>
      </w:r>
      <w:r>
        <w:rPr>
          <w:rFonts w:ascii="KaiTi" w:hAnsi="KaiTi" w:eastAsia="KaiTi" w:cs="KaiTi"/>
          <w:spacing w:val="4"/>
        </w:rPr>
        <w:t>区）地质灾害应急指挥机构。</w:t>
      </w:r>
      <w:r>
        <w:rPr>
          <w:spacing w:val="7"/>
        </w:rPr>
        <w:t>各县（区）政府按照固原市突发地质灾害分级</w:t>
      </w:r>
      <w:r>
        <w:rPr>
          <w:spacing w:val="7"/>
        </w:rPr>
        <w:t>标准，参考本预案，建立健全相应的应急指挥</w:t>
      </w:r>
      <w:r>
        <w:rPr>
          <w:spacing w:val="9"/>
        </w:rPr>
        <w:t>机构，组织做好先期处置和应对工作。</w:t>
      </w:r>
    </w:p>
    <w:p>
      <w:pPr>
        <w:pStyle w:val="BodyText"/>
        <w:ind w:left="433"/>
        <w:spacing w:before="156" w:line="210" w:lineRule="auto"/>
        <w:rPr/>
      </w:pPr>
      <w:r>
        <w:rPr>
          <w:rFonts w:ascii="Times New Roman" w:hAnsi="Times New Roman" w:eastAsia="Times New Roman" w:cs="Times New Roman"/>
          <w:spacing w:val="8"/>
        </w:rPr>
        <w:t>2.4  </w:t>
      </w:r>
      <w:r>
        <w:rPr>
          <w:rFonts w:ascii="KaiTi" w:hAnsi="KaiTi" w:eastAsia="KaiTi" w:cs="KaiTi"/>
          <w:spacing w:val="8"/>
        </w:rPr>
        <w:t>专家组。</w:t>
      </w:r>
      <w:r>
        <w:rPr>
          <w:spacing w:val="8"/>
        </w:rPr>
        <w:t>市自然资源局成立突发地质</w:t>
      </w:r>
    </w:p>
    <w:p>
      <w:pPr>
        <w:spacing w:line="14" w:lineRule="auto"/>
        <w:rPr>
          <w:rFonts w:ascii="Arial"/>
          <w:sz w:val="2"/>
        </w:rPr>
      </w:pPr>
      <w:r>
        <w:rPr>
          <w:rFonts w:ascii="Arial" w:hAnsi="Arial" w:eastAsia="Arial" w:cs="Arial"/>
          <w:sz w:val="2"/>
          <w:szCs w:val="2"/>
        </w:rPr>
        <w:br w:type="column"/>
      </w:r>
    </w:p>
    <w:p>
      <w:pPr>
        <w:pStyle w:val="BodyText"/>
        <w:ind w:left="2" w:right="80"/>
        <w:spacing w:before="39" w:line="368" w:lineRule="auto"/>
        <w:jc w:val="both"/>
        <w:rPr/>
      </w:pPr>
      <w:r>
        <w:rPr>
          <w:spacing w:val="7"/>
        </w:rPr>
        <w:t>灾害应急专家组，专家组组长由市自然资源局</w:t>
      </w:r>
      <w:r>
        <w:rPr>
          <w:spacing w:val="7"/>
        </w:rPr>
        <w:t>局长担任，为应急管理提供决策建议，为地质</w:t>
      </w:r>
      <w:r>
        <w:rPr>
          <w:spacing w:val="9"/>
        </w:rPr>
        <w:t>灾害防御和应急处置工作提供技术支撑。</w:t>
      </w:r>
    </w:p>
    <w:p>
      <w:pPr>
        <w:pStyle w:val="BodyText"/>
        <w:ind w:left="1" w:right="51" w:firstLine="428"/>
        <w:spacing w:before="1" w:line="368" w:lineRule="auto"/>
        <w:jc w:val="both"/>
        <w:rPr/>
      </w:pPr>
      <w:r>
        <w:rPr>
          <w:spacing w:val="6"/>
        </w:rPr>
        <w:t>主要职责：对应急处置工作进行现场技术</w:t>
      </w:r>
      <w:r>
        <w:rPr>
          <w:spacing w:val="7"/>
        </w:rPr>
        <w:t>指导和会商咨询，指导救灾工作。对灾情及趋</w:t>
      </w:r>
      <w:r>
        <w:rPr>
          <w:spacing w:val="15"/>
        </w:rPr>
        <w:t>势进行应急评估</w:t>
      </w:r>
      <w:r>
        <w:rPr>
          <w:spacing w:val="-41"/>
        </w:rPr>
        <w:t xml:space="preserve"> </w:t>
      </w:r>
      <w:r>
        <w:rPr>
          <w:spacing w:val="15"/>
        </w:rPr>
        <w:t>，提出地质灾害成因分析意</w:t>
      </w:r>
      <w:r>
        <w:rPr>
          <w:spacing w:val="-2"/>
        </w:rPr>
        <w:t>见，为固原市应急指挥部决策提出意见或建议。</w:t>
      </w:r>
    </w:p>
    <w:p>
      <w:pPr>
        <w:ind w:left="421"/>
        <w:spacing w:before="4" w:line="242" w:lineRule="auto"/>
        <w:rPr>
          <w:rFonts w:ascii="KaiTi" w:hAnsi="KaiTi" w:eastAsia="KaiTi" w:cs="KaiTi"/>
          <w:sz w:val="20"/>
          <w:szCs w:val="20"/>
        </w:rPr>
      </w:pPr>
      <w:r>
        <w:rPr>
          <w:rFonts w:ascii="Times New Roman" w:hAnsi="Times New Roman" w:eastAsia="Times New Roman" w:cs="Times New Roman"/>
          <w:sz w:val="20"/>
          <w:szCs w:val="20"/>
          <w:spacing w:val="6"/>
        </w:rPr>
        <w:t>2.5  </w:t>
      </w:r>
      <w:r>
        <w:rPr>
          <w:rFonts w:ascii="KaiTi" w:hAnsi="KaiTi" w:eastAsia="KaiTi" w:cs="KaiTi"/>
          <w:sz w:val="20"/>
          <w:szCs w:val="20"/>
          <w:spacing w:val="6"/>
        </w:rPr>
        <w:t>指挥部成员单位及职责。</w:t>
      </w:r>
    </w:p>
    <w:p>
      <w:pPr>
        <w:spacing w:line="472" w:lineRule="auto"/>
        <w:rPr>
          <w:rFonts w:ascii="Arial"/>
          <w:sz w:val="21"/>
        </w:rPr>
      </w:pPr>
      <w:r/>
    </w:p>
    <w:p>
      <w:pPr>
        <w:pStyle w:val="BodyText"/>
        <w:spacing w:before="65" w:line="221" w:lineRule="auto"/>
        <w:rPr/>
      </w:pPr>
      <w:r>
        <w:rPr>
          <w:spacing w:val="8"/>
        </w:rPr>
        <w:t>并参与抢险救灾行动。</w:t>
      </w:r>
    </w:p>
    <w:p>
      <w:pPr>
        <w:pStyle w:val="BodyText"/>
        <w:ind w:left="1" w:right="80" w:firstLine="421"/>
        <w:spacing w:before="158" w:line="350" w:lineRule="auto"/>
        <w:rPr/>
      </w:pPr>
      <w:r>
        <w:rPr>
          <w:spacing w:val="6"/>
        </w:rPr>
        <w:t>市发展和改革委员会：负责灾前基础设施</w:t>
      </w:r>
      <w:r>
        <w:rPr>
          <w:spacing w:val="8"/>
        </w:rPr>
        <w:t>建设和灾后重建计划的制定。</w:t>
      </w:r>
    </w:p>
    <w:p>
      <w:pPr>
        <w:pStyle w:val="BodyText"/>
        <w:ind w:right="80" w:firstLine="423"/>
        <w:spacing w:before="44" w:line="369" w:lineRule="auto"/>
        <w:jc w:val="both"/>
        <w:rPr/>
      </w:pPr>
      <w:r>
        <w:rPr>
          <w:spacing w:val="6"/>
        </w:rPr>
        <w:t>市公安局：负责灾区的治安管理，重要设</w:t>
      </w:r>
      <w:r>
        <w:rPr>
          <w:spacing w:val="7"/>
        </w:rPr>
        <w:t>施、对象的保护等；根据险情灾情需要，情况</w:t>
      </w:r>
      <w:r>
        <w:rPr>
          <w:spacing w:val="7"/>
        </w:rPr>
        <w:t>紧急时强制组织避灾疏散、发布紧急交通管制</w:t>
      </w:r>
      <w:r>
        <w:rPr>
          <w:spacing w:val="7"/>
        </w:rPr>
        <w:t>及治安管理通告；对因灾导致已经发生或可能</w:t>
      </w:r>
      <w:r>
        <w:rPr>
          <w:spacing w:val="7"/>
        </w:rPr>
        <w:t>引发的火灾、爆炸等次生灾害进行处置，预防</w:t>
      </w:r>
      <w:r>
        <w:rPr>
          <w:spacing w:val="7"/>
        </w:rPr>
        <w:t>和打击违法犯罪行为，维护社会治安和交通秩</w:t>
      </w:r>
      <w:r>
        <w:rPr>
          <w:spacing w:val="9"/>
        </w:rPr>
        <w:t>序，保障抢险救灾工作顺利进行。</w:t>
      </w:r>
    </w:p>
    <w:p>
      <w:pPr>
        <w:pStyle w:val="BodyText"/>
        <w:ind w:firstLine="422"/>
        <w:spacing w:before="3" w:line="369" w:lineRule="auto"/>
        <w:jc w:val="both"/>
        <w:rPr/>
      </w:pPr>
      <w:r>
        <w:rPr>
          <w:spacing w:val="6"/>
        </w:rPr>
        <w:t>市自然资源局：负责组织应急调查、核查</w:t>
      </w:r>
      <w:r>
        <w:rPr>
          <w:spacing w:val="1"/>
        </w:rPr>
        <w:t>险情灾情发生的时间、地点、规模、潜在威胁、</w:t>
      </w:r>
      <w:r>
        <w:rPr>
          <w:spacing w:val="7"/>
        </w:rPr>
        <w:t>影响范围以及诱发因素；组织应急监测，实时</w:t>
      </w:r>
      <w:r>
        <w:rPr>
          <w:spacing w:val="1"/>
        </w:rPr>
        <w:t>掌握险情灾情动态，及时分析，预测发展趋势，</w:t>
      </w:r>
      <w:r>
        <w:rPr>
          <w:spacing w:val="7"/>
        </w:rPr>
        <w:t>根据险情灾情变化及时提出应对措施，并报告</w:t>
      </w:r>
      <w:r>
        <w:rPr>
          <w:spacing w:val="7"/>
        </w:rPr>
        <w:t>市应急指挥部；指导地质灾害监测、评价和预</w:t>
      </w:r>
      <w:r>
        <w:rPr>
          <w:spacing w:val="7"/>
        </w:rPr>
        <w:t>报，与气象部门联合发布地质灾害气象风险预</w:t>
      </w:r>
      <w:r>
        <w:rPr>
          <w:spacing w:val="7"/>
        </w:rPr>
        <w:t>警；组织应急治理项目，指导当地政府做好灾</w:t>
      </w:r>
      <w:r>
        <w:rPr>
          <w:spacing w:val="7"/>
        </w:rPr>
        <w:t>后恢复重建工作。负责灾前基础设施建设和灾</w:t>
      </w:r>
      <w:r>
        <w:rPr>
          <w:spacing w:val="8"/>
        </w:rPr>
        <w:t>后重建规划编制。</w:t>
      </w:r>
    </w:p>
    <w:p>
      <w:pPr>
        <w:pStyle w:val="BodyText"/>
        <w:ind w:right="80" w:firstLine="423"/>
        <w:spacing w:line="321" w:lineRule="auto"/>
        <w:jc w:val="both"/>
        <w:rPr/>
      </w:pPr>
      <w:r>
        <w:rPr>
          <w:spacing w:val="6"/>
        </w:rPr>
        <w:t>市应急管理局：负责掌握和报告地质灾害</w:t>
      </w:r>
      <w:r>
        <w:rPr>
          <w:spacing w:val="7"/>
        </w:rPr>
        <w:t>情况和动态；办理市政府决定的有关事项；督</w:t>
      </w:r>
      <w:r>
        <w:rPr>
          <w:spacing w:val="18"/>
        </w:rPr>
        <w:t>促落实自治区政府和市政府领导对突发事件</w:t>
      </w:r>
    </w:p>
    <w:p>
      <w:pPr>
        <w:spacing w:line="321" w:lineRule="auto"/>
        <w:sectPr>
          <w:type w:val="continuous"/>
          <w:pgSz w:w="11906" w:h="16839"/>
          <w:pgMar w:top="1974" w:right="1509" w:bottom="1574" w:left="1579" w:header="1634" w:footer="1172" w:gutter="0"/>
          <w:cols w:equalWidth="0" w:num="2">
            <w:col w:w="4489" w:space="100"/>
            <w:col w:w="4228" w:space="0"/>
          </w:cols>
        </w:sectPr>
        <w:rPr/>
      </w:pPr>
    </w:p>
    <w:p>
      <w:pPr>
        <w:spacing w:before="74"/>
        <w:rPr/>
      </w:pPr>
      <w:r>
        <w:drawing>
          <wp:anchor distT="0" distB="0" distL="0" distR="0" simplePos="0" relativeHeight="254448640"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318" name="IM 2318"/>
            <wp:cNvGraphicFramePr/>
            <a:graphic>
              <a:graphicData uri="http://schemas.openxmlformats.org/drawingml/2006/picture">
                <pic:pic>
                  <pic:nvPicPr>
                    <pic:cNvPr id="2318" name="IM 2318"/>
                    <pic:cNvPicPr/>
                  </pic:nvPicPr>
                  <pic:blipFill>
                    <a:blip r:embed="rId1163"/>
                    <a:stretch>
                      <a:fillRect/>
                    </a:stretch>
                  </pic:blipFill>
                  <pic:spPr>
                    <a:xfrm rot="0">
                      <a:off x="0" y="0"/>
                      <a:ext cx="5579745" cy="7620"/>
                    </a:xfrm>
                    <a:prstGeom prst="rect">
                      <a:avLst/>
                    </a:prstGeom>
                  </pic:spPr>
                </pic:pic>
              </a:graphicData>
            </a:graphic>
          </wp:anchor>
        </w:drawing>
      </w:r>
      <w:r/>
    </w:p>
    <w:p>
      <w:pPr>
        <w:sectPr>
          <w:headerReference w:type="default" r:id="rId1048"/>
          <w:footerReference w:type="default" r:id="rId1162"/>
          <w:pgSz w:w="11906" w:h="16839"/>
          <w:pgMar w:top="1772" w:right="1489" w:bottom="1572" w:left="1571" w:header="1428" w:footer="1172" w:gutter="0"/>
          <w:cols w:equalWidth="0" w:num="1">
            <w:col w:w="8846" w:space="0"/>
          </w:cols>
        </w:sectPr>
        <w:rPr/>
      </w:pPr>
    </w:p>
    <w:p>
      <w:pPr>
        <w:pStyle w:val="BodyText"/>
        <w:ind w:left="21" w:right="329" w:firstLine="17"/>
        <w:spacing w:before="42" w:line="368" w:lineRule="auto"/>
        <w:jc w:val="both"/>
        <w:rPr/>
      </w:pPr>
      <w:r>
        <w:rPr>
          <w:spacing w:val="14"/>
        </w:rPr>
        <w:t>的批示指示</w:t>
      </w:r>
      <w:r>
        <w:rPr>
          <w:spacing w:val="-39"/>
        </w:rPr>
        <w:t xml:space="preserve"> </w:t>
      </w:r>
      <w:r>
        <w:rPr>
          <w:spacing w:val="14"/>
        </w:rPr>
        <w:t>；指导全市做好地质灾害应急工</w:t>
      </w:r>
      <w:r>
        <w:rPr>
          <w:spacing w:val="7"/>
        </w:rPr>
        <w:t>作。负责协调指导有关部门，监督相关行业生</w:t>
      </w:r>
      <w:r>
        <w:rPr>
          <w:spacing w:val="18"/>
        </w:rPr>
        <w:t>产经营单位做好地质灾害引发的生产安全事</w:t>
      </w:r>
      <w:r>
        <w:rPr>
          <w:spacing w:val="8"/>
        </w:rPr>
        <w:t>故防范和隐患治理工作。</w:t>
      </w:r>
    </w:p>
    <w:p>
      <w:pPr>
        <w:pStyle w:val="BodyText"/>
        <w:ind w:left="21" w:right="329" w:firstLine="421"/>
        <w:spacing w:before="7" w:line="368" w:lineRule="auto"/>
        <w:jc w:val="both"/>
        <w:rPr/>
      </w:pPr>
      <w:r>
        <w:rPr>
          <w:spacing w:val="6"/>
        </w:rPr>
        <w:t>市文化旅游广电局：负责播发地质灾害监</w:t>
      </w:r>
      <w:r>
        <w:rPr>
          <w:spacing w:val="7"/>
        </w:rPr>
        <w:t>测、预测预报、气象风险预警等信息，及时准</w:t>
      </w:r>
      <w:r>
        <w:rPr>
          <w:spacing w:val="7"/>
        </w:rPr>
        <w:t>确报道灾情和抢险救灾工作；协助做好救灾法</w:t>
      </w:r>
      <w:r>
        <w:rPr>
          <w:spacing w:val="7"/>
        </w:rPr>
        <w:t>规、政策的宣传。负责组织旅游景区内地质灾</w:t>
      </w:r>
      <w:r>
        <w:rPr>
          <w:spacing w:val="7"/>
        </w:rPr>
        <w:t>害的排查监测和治理工作，制定景区的撤离路</w:t>
      </w:r>
      <w:r>
        <w:rPr>
          <w:spacing w:val="7"/>
        </w:rPr>
        <w:t>线、应急避难场所的建设，紧急情况下负责旅</w:t>
      </w:r>
      <w:r>
        <w:rPr>
          <w:spacing w:val="7"/>
        </w:rPr>
        <w:t>游景区的人员安全转移和安置工作，组织修复</w:t>
      </w:r>
      <w:r>
        <w:rPr>
          <w:spacing w:val="9"/>
        </w:rPr>
        <w:t>被毁的旅游基础设施和旅游服务设施。</w:t>
      </w:r>
    </w:p>
    <w:p>
      <w:pPr>
        <w:pStyle w:val="BodyText"/>
        <w:ind w:left="21" w:right="329" w:firstLine="421"/>
        <w:spacing w:line="367" w:lineRule="auto"/>
        <w:jc w:val="both"/>
        <w:rPr/>
      </w:pPr>
      <w:r>
        <w:rPr>
          <w:spacing w:val="6"/>
        </w:rPr>
        <w:t>市教育体育局：负责学校、幼儿园的险情</w:t>
      </w:r>
      <w:r>
        <w:rPr>
          <w:spacing w:val="7"/>
        </w:rPr>
        <w:t>排查；组织对学生进行防灾减灾应急知识宣传</w:t>
      </w:r>
      <w:r>
        <w:rPr>
          <w:spacing w:val="7"/>
        </w:rPr>
        <w:t>教育；发现险情或发生灾害时做好在校学生疏</w:t>
      </w:r>
      <w:r>
        <w:rPr>
          <w:spacing w:val="7"/>
        </w:rPr>
        <w:t>散避险等工作。</w:t>
      </w:r>
    </w:p>
    <w:p>
      <w:pPr>
        <w:pStyle w:val="BodyText"/>
        <w:ind w:left="21" w:right="329" w:firstLine="422"/>
        <w:spacing w:before="18" w:line="376" w:lineRule="auto"/>
        <w:jc w:val="both"/>
        <w:rPr/>
      </w:pPr>
      <w:r>
        <w:rPr>
          <w:spacing w:val="19"/>
        </w:rPr>
        <w:t>市民政局：负责转移和妥善安置受灾群</w:t>
      </w:r>
      <w:r>
        <w:rPr>
          <w:spacing w:val="7"/>
        </w:rPr>
        <w:t>众，调查受灾人口，申请、筹备、分配应急救</w:t>
      </w:r>
      <w:r>
        <w:rPr>
          <w:spacing w:val="7"/>
        </w:rPr>
        <w:t>灾物资并监督发放使用，保障灾区群众的基本</w:t>
      </w:r>
      <w:r>
        <w:rPr>
          <w:spacing w:val="8"/>
        </w:rPr>
        <w:t>生活；组织救灾捐赠等工作。</w:t>
      </w:r>
    </w:p>
    <w:p>
      <w:pPr>
        <w:pStyle w:val="BodyText"/>
        <w:ind w:left="21" w:right="329" w:firstLine="422"/>
        <w:spacing w:before="1" w:line="373" w:lineRule="auto"/>
        <w:jc w:val="both"/>
        <w:rPr/>
      </w:pPr>
      <w:r>
        <w:rPr>
          <w:spacing w:val="6"/>
        </w:rPr>
        <w:t>市财政局：负责筹集应急救灾资金，审查</w:t>
      </w:r>
      <w:r>
        <w:rPr>
          <w:spacing w:val="18"/>
        </w:rPr>
        <w:t>应急救灾资金的分配、投向和救灾款项的拨</w:t>
      </w:r>
      <w:r>
        <w:rPr>
          <w:spacing w:val="8"/>
        </w:rPr>
        <w:t>付，并监督资金的使用。</w:t>
      </w:r>
    </w:p>
    <w:p>
      <w:pPr>
        <w:pStyle w:val="BodyText"/>
        <w:ind w:left="21" w:right="329" w:firstLine="422"/>
        <w:spacing w:before="13" w:line="371" w:lineRule="auto"/>
        <w:jc w:val="both"/>
        <w:rPr/>
      </w:pPr>
      <w:r>
        <w:rPr>
          <w:spacing w:val="6"/>
        </w:rPr>
        <w:t>市生态环境局：做好地质灾害后水体环境</w:t>
      </w:r>
      <w:r>
        <w:rPr>
          <w:spacing w:val="7"/>
        </w:rPr>
        <w:t>监测，及时提供监测信息，负责地质灾害引发</w:t>
      </w:r>
      <w:r>
        <w:rPr>
          <w:spacing w:val="8"/>
        </w:rPr>
        <w:t>的突发环境事件的应急处置工作。</w:t>
      </w:r>
    </w:p>
    <w:p>
      <w:pPr>
        <w:pStyle w:val="BodyText"/>
        <w:ind w:left="22" w:right="329" w:firstLine="420"/>
        <w:spacing w:before="17" w:line="357" w:lineRule="auto"/>
        <w:rPr/>
      </w:pPr>
      <w:r>
        <w:rPr>
          <w:spacing w:val="6"/>
        </w:rPr>
        <w:t>市住房和城乡建设局：负责受损房屋的安</w:t>
      </w:r>
      <w:r>
        <w:rPr>
          <w:spacing w:val="6"/>
        </w:rPr>
        <w:t>全性鉴定。</w:t>
      </w:r>
    </w:p>
    <w:p>
      <w:pPr>
        <w:pStyle w:val="BodyText"/>
        <w:ind w:left="20" w:right="329" w:firstLine="423"/>
        <w:spacing w:before="43" w:line="371" w:lineRule="auto"/>
        <w:jc w:val="both"/>
        <w:rPr/>
      </w:pPr>
      <w:r>
        <w:rPr>
          <w:spacing w:val="6"/>
        </w:rPr>
        <w:t>市城市管理局：指导损毁供水，供气等设</w:t>
      </w:r>
      <w:r>
        <w:rPr>
          <w:spacing w:val="7"/>
        </w:rPr>
        <w:t>施的抢修，保障供水、供气等设施正常运行及</w:t>
      </w:r>
      <w:r>
        <w:rPr>
          <w:spacing w:val="8"/>
        </w:rPr>
        <w:t>城市应急抢险工作。</w:t>
      </w:r>
    </w:p>
    <w:p>
      <w:pPr>
        <w:pStyle w:val="BodyText"/>
        <w:ind w:left="443"/>
        <w:spacing w:before="18" w:line="278" w:lineRule="exact"/>
        <w:rPr/>
      </w:pPr>
      <w:r>
        <w:rPr>
          <w:spacing w:val="6"/>
          <w:position w:val="1"/>
        </w:rPr>
        <w:t>市水务局：负责水利设施沿线地质灾害隐</w:t>
      </w:r>
    </w:p>
    <w:p>
      <w:pPr>
        <w:spacing w:line="14" w:lineRule="auto"/>
        <w:rPr>
          <w:rFonts w:ascii="Arial"/>
          <w:sz w:val="2"/>
        </w:rPr>
      </w:pPr>
      <w:r>
        <w:rPr>
          <w:rFonts w:ascii="Arial" w:hAnsi="Arial" w:eastAsia="Arial" w:cs="Arial"/>
          <w:sz w:val="2"/>
          <w:szCs w:val="2"/>
        </w:rPr>
        <w:br w:type="column"/>
      </w:r>
    </w:p>
    <w:p>
      <w:pPr>
        <w:pStyle w:val="BodyText"/>
        <w:ind w:right="101" w:firstLine="5"/>
        <w:spacing w:before="42" w:line="376" w:lineRule="auto"/>
        <w:jc w:val="both"/>
        <w:rPr/>
      </w:pPr>
      <w:r>
        <w:rPr>
          <w:spacing w:val="7"/>
        </w:rPr>
        <w:t>患的排查，检查、监测库、坝等水利工程损坏</w:t>
      </w:r>
      <w:r>
        <w:rPr>
          <w:spacing w:val="7"/>
        </w:rPr>
        <w:t>情况；负责水情、汛情监测以及地质灾害引发</w:t>
      </w:r>
      <w:r>
        <w:rPr>
          <w:spacing w:val="7"/>
        </w:rPr>
        <w:t>的次生洪涝灾害的处置、水利工程抢险和毁坏</w:t>
      </w:r>
      <w:r>
        <w:rPr>
          <w:spacing w:val="7"/>
        </w:rPr>
        <w:t>水利设施的修复等工作；及时为灾区提供生活</w:t>
      </w:r>
      <w:r>
        <w:rPr>
          <w:spacing w:val="6"/>
        </w:rPr>
        <w:t>用水保障。</w:t>
      </w:r>
    </w:p>
    <w:p>
      <w:pPr>
        <w:pStyle w:val="BodyText"/>
        <w:ind w:right="94" w:firstLine="423"/>
        <w:spacing w:before="3" w:line="376" w:lineRule="auto"/>
        <w:jc w:val="both"/>
        <w:rPr/>
      </w:pPr>
      <w:r>
        <w:rPr>
          <w:spacing w:val="7"/>
        </w:rPr>
        <w:t>市农业农村局：负责灾区动物防疫工作，</w:t>
      </w:r>
      <w:r>
        <w:rPr>
          <w:spacing w:val="18"/>
        </w:rPr>
        <w:t>协调和指导当地畜牧兽医部门开展死亡动物</w:t>
      </w:r>
      <w:r>
        <w:rPr>
          <w:spacing w:val="7"/>
        </w:rPr>
        <w:t>无害化处理和消毒灭源工作，做好动物疫情监</w:t>
      </w:r>
      <w:r>
        <w:rPr>
          <w:spacing w:val="7"/>
        </w:rPr>
        <w:t>测，有预防和控制动物疫情和人畜共患病的发</w:t>
      </w:r>
      <w:r>
        <w:rPr>
          <w:spacing w:val="7"/>
        </w:rPr>
        <w:t>生；及时开展灾后农牧业灾害调查、生产恢复</w:t>
      </w:r>
      <w:r>
        <w:rPr>
          <w:spacing w:val="7"/>
        </w:rPr>
        <w:t>和自救工作。</w:t>
      </w:r>
    </w:p>
    <w:p>
      <w:pPr>
        <w:pStyle w:val="BodyText"/>
        <w:ind w:left="2" w:right="101" w:firstLine="420"/>
        <w:spacing w:before="1" w:line="357" w:lineRule="auto"/>
        <w:rPr/>
      </w:pPr>
      <w:r>
        <w:rPr>
          <w:spacing w:val="6"/>
        </w:rPr>
        <w:t>市粮食储备局：负责抢险救灾物资的储备</w:t>
      </w:r>
      <w:r>
        <w:rPr>
          <w:spacing w:val="4"/>
        </w:rPr>
        <w:t>工作。</w:t>
      </w:r>
    </w:p>
    <w:p>
      <w:pPr>
        <w:pStyle w:val="BodyText"/>
        <w:ind w:left="18" w:right="101" w:firstLine="404"/>
        <w:spacing w:before="42" w:line="357" w:lineRule="auto"/>
        <w:rPr/>
      </w:pPr>
      <w:r>
        <w:rPr>
          <w:spacing w:val="6"/>
        </w:rPr>
        <w:t>市商务投资局：灾区生活必需品市场供应</w:t>
      </w:r>
      <w:r>
        <w:rPr>
          <w:spacing w:val="4"/>
        </w:rPr>
        <w:t>的协调工作。</w:t>
      </w:r>
    </w:p>
    <w:p>
      <w:pPr>
        <w:pStyle w:val="BodyText"/>
        <w:ind w:right="94" w:firstLine="423"/>
        <w:spacing w:before="39" w:line="377" w:lineRule="auto"/>
        <w:jc w:val="both"/>
        <w:rPr/>
      </w:pPr>
      <w:r>
        <w:rPr>
          <w:spacing w:val="6"/>
        </w:rPr>
        <w:t>市卫生健康委员会：负责灾区医疗救护与</w:t>
      </w:r>
      <w:r>
        <w:rPr>
          <w:spacing w:val="7"/>
        </w:rPr>
        <w:t>卫生防疫，调度医疗卫生技术力量，做好医疗</w:t>
      </w:r>
      <w:r>
        <w:rPr>
          <w:spacing w:val="7"/>
        </w:rPr>
        <w:t>救护和抢救伤病员工作，加强卫生防疫工作，</w:t>
      </w:r>
      <w:r>
        <w:rPr>
          <w:spacing w:val="7"/>
        </w:rPr>
        <w:t>预防控制疫情的发生和蔓延；指导灾区卫生行</w:t>
      </w:r>
      <w:r>
        <w:rPr>
          <w:spacing w:val="18"/>
        </w:rPr>
        <w:t>政部门充分利用各种手段和传播媒介开展公</w:t>
      </w:r>
      <w:r>
        <w:rPr>
          <w:spacing w:val="7"/>
        </w:rPr>
        <w:t>众健康教育，并根据卫生救援需要，组织专业</w:t>
      </w:r>
      <w:r>
        <w:rPr>
          <w:spacing w:val="7"/>
        </w:rPr>
        <w:t>人员开展心理疏导和心理危机干预工作，消除</w:t>
      </w:r>
      <w:r>
        <w:rPr>
          <w:spacing w:val="9"/>
        </w:rPr>
        <w:t>公众心理焦虑、恐慌等负面情绪。</w:t>
      </w:r>
    </w:p>
    <w:p>
      <w:pPr>
        <w:pStyle w:val="BodyText"/>
        <w:ind w:right="101" w:firstLine="423"/>
        <w:spacing w:before="3" w:line="375" w:lineRule="auto"/>
        <w:jc w:val="both"/>
        <w:rPr/>
      </w:pPr>
      <w:r>
        <w:rPr>
          <w:spacing w:val="6"/>
        </w:rPr>
        <w:t>市交通运输局：负责公路、铁路交通沿线</w:t>
      </w:r>
      <w:r>
        <w:rPr>
          <w:spacing w:val="7"/>
        </w:rPr>
        <w:t>地质灾害险情的排查，负责公路、铁路交通沿</w:t>
      </w:r>
      <w:r>
        <w:rPr>
          <w:spacing w:val="18"/>
        </w:rPr>
        <w:t>线路域范围内地质灾害抢险和损毁道路修复</w:t>
      </w:r>
      <w:r>
        <w:rPr>
          <w:spacing w:val="7"/>
        </w:rPr>
        <w:t>工作，保障道路畅通；组织应急运输力量，保</w:t>
      </w:r>
      <w:r>
        <w:rPr>
          <w:spacing w:val="7"/>
        </w:rPr>
        <w:t>证抢险人员、救灾物资的运输和受灾群众疏散</w:t>
      </w:r>
      <w:r>
        <w:rPr>
          <w:spacing w:val="5"/>
        </w:rPr>
        <w:t>运送。</w:t>
      </w:r>
    </w:p>
    <w:p>
      <w:pPr>
        <w:pStyle w:val="BodyText"/>
        <w:ind w:left="18" w:right="101" w:firstLine="404"/>
        <w:spacing w:before="6" w:line="357" w:lineRule="auto"/>
        <w:rPr/>
      </w:pPr>
      <w:r>
        <w:rPr>
          <w:spacing w:val="6"/>
        </w:rPr>
        <w:t>市扶贫开发办公室：负责指导受灾贫困村</w:t>
      </w:r>
      <w:r>
        <w:rPr>
          <w:spacing w:val="7"/>
        </w:rPr>
        <w:t>的恢复建设工作和扶贫开发工作。</w:t>
      </w:r>
    </w:p>
    <w:p>
      <w:pPr>
        <w:pStyle w:val="BodyText"/>
        <w:ind w:left="423"/>
        <w:spacing w:before="44" w:line="221" w:lineRule="auto"/>
        <w:rPr/>
      </w:pPr>
      <w:r>
        <w:rPr>
          <w:spacing w:val="6"/>
        </w:rPr>
        <w:t>市气象局：负责提供地质灾害预警所需的</w:t>
      </w:r>
    </w:p>
    <w:p>
      <w:pPr>
        <w:spacing w:line="221" w:lineRule="auto"/>
        <w:sectPr>
          <w:type w:val="continuous"/>
          <w:pgSz w:w="11906" w:h="16839"/>
          <w:pgMar w:top="1772" w:right="1489" w:bottom="1572" w:left="1571" w:header="1428" w:footer="1172" w:gutter="0"/>
          <w:cols w:equalWidth="0" w:num="2">
            <w:col w:w="4498" w:space="100"/>
            <w:col w:w="4249" w:space="0"/>
          </w:cols>
        </w:sectPr>
        <w:rPr/>
      </w:pPr>
    </w:p>
    <w:p>
      <w:pPr>
        <w:spacing w:before="74"/>
        <w:rPr/>
      </w:pPr>
      <w:r>
        <w:drawing>
          <wp:anchor distT="0" distB="0" distL="0" distR="0" simplePos="0" relativeHeight="254462976" behindDoc="0" locked="0" layoutInCell="0" allowOverlap="1">
            <wp:simplePos x="0" y="0"/>
            <wp:positionH relativeFrom="page">
              <wp:posOffset>1008380</wp:posOffset>
            </wp:positionH>
            <wp:positionV relativeFrom="page">
              <wp:posOffset>1278890</wp:posOffset>
            </wp:positionV>
            <wp:extent cx="5579745" cy="7619"/>
            <wp:effectExtent l="0" t="0" r="0" b="0"/>
            <wp:wrapNone/>
            <wp:docPr id="2324" name="IM 2324"/>
            <wp:cNvGraphicFramePr/>
            <a:graphic>
              <a:graphicData uri="http://schemas.openxmlformats.org/drawingml/2006/picture">
                <pic:pic>
                  <pic:nvPicPr>
                    <pic:cNvPr id="2324" name="IM 2324"/>
                    <pic:cNvPicPr/>
                  </pic:nvPicPr>
                  <pic:blipFill>
                    <a:blip r:embed="rId1166"/>
                    <a:stretch>
                      <a:fillRect/>
                    </a:stretch>
                  </pic:blipFill>
                  <pic:spPr>
                    <a:xfrm rot="0">
                      <a:off x="0" y="0"/>
                      <a:ext cx="5579745" cy="7619"/>
                    </a:xfrm>
                    <a:prstGeom prst="rect">
                      <a:avLst/>
                    </a:prstGeom>
                  </pic:spPr>
                </pic:pic>
              </a:graphicData>
            </a:graphic>
          </wp:anchor>
        </w:drawing>
      </w:r>
      <w:r/>
    </w:p>
    <w:p>
      <w:pPr>
        <w:sectPr>
          <w:headerReference w:type="default" r:id="rId1164"/>
          <w:footerReference w:type="default" r:id="rId1165"/>
          <w:pgSz w:w="11906" w:h="16839"/>
          <w:pgMar w:top="1974" w:right="1480" w:bottom="1574" w:left="1576" w:header="1634" w:footer="1172" w:gutter="0"/>
          <w:cols w:equalWidth="0" w:num="1">
            <w:col w:w="8850" w:space="0"/>
          </w:cols>
        </w:sectPr>
        <w:rPr/>
      </w:pPr>
    </w:p>
    <w:p>
      <w:pPr>
        <w:pStyle w:val="BodyText"/>
        <w:ind w:left="18" w:right="322" w:firstLine="2"/>
        <w:spacing w:before="50" w:line="372" w:lineRule="auto"/>
        <w:rPr/>
      </w:pPr>
      <w:r>
        <w:rPr>
          <w:spacing w:val="15"/>
        </w:rPr>
        <w:t>天气和雨情等气象信息</w:t>
      </w:r>
      <w:r>
        <w:rPr>
          <w:spacing w:val="-45"/>
        </w:rPr>
        <w:t xml:space="preserve"> </w:t>
      </w:r>
      <w:r>
        <w:rPr>
          <w:spacing w:val="15"/>
        </w:rPr>
        <w:t>，与自然资源部门会</w:t>
      </w:r>
      <w:r>
        <w:rPr>
          <w:spacing w:val="8"/>
        </w:rPr>
        <w:t>商，联合发布地质灾害气象风险预警。</w:t>
      </w:r>
    </w:p>
    <w:p>
      <w:pPr>
        <w:pStyle w:val="BodyText"/>
        <w:ind w:left="15" w:right="322" w:firstLine="422"/>
        <w:spacing w:line="351" w:lineRule="auto"/>
        <w:rPr/>
      </w:pPr>
      <w:r>
        <w:rPr>
          <w:spacing w:val="6"/>
        </w:rPr>
        <w:t>市地震局：负责灾区地震趋势预测及地震</w:t>
      </w:r>
      <w:r>
        <w:rPr>
          <w:spacing w:val="9"/>
        </w:rPr>
        <w:t>监测设施的保</w:t>
      </w:r>
    </w:p>
    <w:p>
      <w:pPr>
        <w:pStyle w:val="BodyText"/>
        <w:ind w:left="20"/>
        <w:spacing w:before="43" w:line="223" w:lineRule="auto"/>
        <w:rPr/>
      </w:pPr>
      <w:r>
        <w:rPr>
          <w:spacing w:val="8"/>
        </w:rPr>
        <w:t>护，提供抢险救灾所需的地震资料信息。</w:t>
      </w:r>
    </w:p>
    <w:p>
      <w:pPr>
        <w:pStyle w:val="BodyText"/>
        <w:ind w:left="17" w:right="299" w:firstLine="417"/>
        <w:spacing w:before="152" w:line="368" w:lineRule="auto"/>
        <w:jc w:val="both"/>
        <w:rPr/>
      </w:pPr>
      <w:r>
        <w:rPr>
          <w:spacing w:val="8"/>
        </w:rPr>
        <w:t>新闻传媒中心：负责播发地质灾害监测、</w:t>
      </w:r>
      <w:r>
        <w:rPr>
          <w:spacing w:val="7"/>
        </w:rPr>
        <w:t>预测预报、气象风险预警等信息，及时准确报</w:t>
      </w:r>
      <w:r>
        <w:rPr>
          <w:spacing w:val="8"/>
        </w:rPr>
        <w:t>道灾情和抢险救灾工作；协助做好救灾法规、</w:t>
      </w:r>
      <w:r>
        <w:rPr>
          <w:spacing w:val="7"/>
        </w:rPr>
        <w:t>政策的宣传。</w:t>
      </w:r>
    </w:p>
    <w:p>
      <w:pPr>
        <w:pStyle w:val="BodyText"/>
        <w:ind w:right="204" w:firstLine="437"/>
        <w:spacing w:before="7" w:line="366" w:lineRule="auto"/>
        <w:jc w:val="both"/>
        <w:rPr/>
      </w:pPr>
      <w:r>
        <w:rPr>
          <w:spacing w:val="1"/>
        </w:rPr>
        <w:t>原州区、西吉、隆德、泾源、彭阳县政府：</w:t>
      </w:r>
      <w:r>
        <w:rPr>
          <w:spacing w:val="8"/>
        </w:rPr>
        <w:t>负责贯彻落实《地质灾害防治条例》《宁夏回</w:t>
      </w:r>
      <w:r>
        <w:rPr>
          <w:spacing w:val="8"/>
        </w:rPr>
        <w:t>族自治区地质灾害防治管理办法》《固原市地</w:t>
      </w:r>
      <w:r>
        <w:rPr>
          <w:spacing w:val="3"/>
        </w:rPr>
        <w:t>质灾害防治方案》《固原市地质灾害应急预案》</w:t>
      </w:r>
      <w:r>
        <w:rPr>
          <w:spacing w:val="16"/>
        </w:rPr>
        <w:t xml:space="preserve"> </w:t>
      </w:r>
      <w:r>
        <w:rPr>
          <w:spacing w:val="8"/>
        </w:rPr>
        <w:t>《固原市防灾减灾救灾责任规定》，落实与市</w:t>
      </w:r>
      <w:r>
        <w:rPr>
          <w:spacing w:val="8"/>
        </w:rPr>
        <w:t>政府签订的地质灾害防治目标责任书，做好辖</w:t>
      </w:r>
      <w:r>
        <w:rPr>
          <w:spacing w:val="19"/>
        </w:rPr>
        <w:t>区内地质灾害防治工作和地质灾害应急抢险</w:t>
      </w:r>
      <w:r>
        <w:rPr>
          <w:spacing w:val="10"/>
        </w:rPr>
        <w:t>救援及保障工作。</w:t>
      </w:r>
    </w:p>
    <w:p>
      <w:pPr>
        <w:pStyle w:val="BodyText"/>
        <w:ind w:left="17" w:right="322" w:firstLine="418"/>
        <w:spacing w:before="28" w:line="352" w:lineRule="auto"/>
        <w:rPr/>
      </w:pPr>
      <w:r>
        <w:rPr>
          <w:spacing w:val="7"/>
        </w:rPr>
        <w:t>其他部门（单位）按照职责分工和应急指</w:t>
      </w:r>
      <w:r>
        <w:rPr>
          <w:spacing w:val="9"/>
        </w:rPr>
        <w:t>挥部的要求，承担相应的应急救援任务。</w:t>
      </w:r>
    </w:p>
    <w:p>
      <w:pPr>
        <w:ind w:left="439"/>
        <w:spacing w:before="33"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3</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4"/>
        </w:rPr>
        <w:t>预报预警</w:t>
      </w:r>
    </w:p>
    <w:p>
      <w:pPr>
        <w:pStyle w:val="BodyText"/>
        <w:ind w:left="16" w:right="322" w:firstLine="424"/>
        <w:spacing w:before="98" w:line="369" w:lineRule="auto"/>
        <w:jc w:val="both"/>
        <w:rPr/>
      </w:pPr>
      <w:r>
        <w:rPr>
          <w:rFonts w:ascii="Times New Roman" w:hAnsi="Times New Roman" w:eastAsia="Times New Roman" w:cs="Times New Roman"/>
          <w:spacing w:val="7"/>
        </w:rPr>
        <w:t>3.</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1  </w:t>
      </w:r>
      <w:r>
        <w:rPr>
          <w:rFonts w:ascii="KaiTi" w:hAnsi="KaiTi" w:eastAsia="KaiTi" w:cs="KaiTi"/>
          <w:spacing w:val="7"/>
        </w:rPr>
        <w:t>监测预报。</w:t>
      </w:r>
      <w:r>
        <w:rPr>
          <w:spacing w:val="7"/>
        </w:rPr>
        <w:t>市自然资源局与市气</w:t>
      </w:r>
      <w:r>
        <w:rPr>
          <w:spacing w:val="6"/>
        </w:rPr>
        <w:t>象局</w:t>
      </w:r>
      <w:r>
        <w:rPr>
          <w:spacing w:val="7"/>
        </w:rPr>
        <w:t>建立地质灾害预警预报平台，开展地质灾害防</w:t>
      </w:r>
      <w:r>
        <w:rPr>
          <w:spacing w:val="7"/>
        </w:rPr>
        <w:t>治监测预警预报工作，及时会商气象形势和发</w:t>
      </w:r>
      <w:r>
        <w:rPr>
          <w:spacing w:val="8"/>
        </w:rPr>
        <w:t>布地质灾害防治等级预警信息。</w:t>
      </w:r>
    </w:p>
    <w:p>
      <w:pPr>
        <w:pStyle w:val="BodyText"/>
        <w:ind w:left="17" w:right="241" w:firstLine="423"/>
        <w:spacing w:before="1" w:line="369" w:lineRule="auto"/>
        <w:jc w:val="both"/>
        <w:rPr/>
      </w:pPr>
      <w:r>
        <w:rPr>
          <w:rFonts w:ascii="Times New Roman" w:hAnsi="Times New Roman" w:eastAsia="Times New Roman" w:cs="Times New Roman"/>
          <w:spacing w:val="8"/>
        </w:rPr>
        <w:t>3.2  </w:t>
      </w:r>
      <w:r>
        <w:rPr>
          <w:rFonts w:ascii="KaiTi" w:hAnsi="KaiTi" w:eastAsia="KaiTi" w:cs="KaiTi"/>
          <w:spacing w:val="8"/>
        </w:rPr>
        <w:t>分级标准。</w:t>
      </w:r>
      <w:r>
        <w:rPr>
          <w:spacing w:val="8"/>
        </w:rPr>
        <w:t>报告市委、市政府和市突</w:t>
      </w:r>
      <w:r>
        <w:rPr>
          <w:spacing w:val="17"/>
        </w:rPr>
        <w:t>发地质灾害应急指挥部的信息要按照突发性</w:t>
      </w:r>
      <w:r>
        <w:rPr>
          <w:spacing w:val="7"/>
        </w:rPr>
        <w:t>地质灾害的性质、社会危害程度、可控性和影</w:t>
      </w:r>
      <w:r>
        <w:rPr>
          <w:spacing w:val="9"/>
        </w:rPr>
        <w:t>响范围等因素，注明可能引发地质灾害的级别</w:t>
      </w:r>
      <w:r>
        <w:rPr>
          <w:spacing w:val="12"/>
        </w:rPr>
        <w:t xml:space="preserve"> </w:t>
      </w:r>
      <w:r>
        <w:rPr>
          <w:spacing w:val="1"/>
        </w:rPr>
        <w:t>。  地质灾害灾情分为特别重大、重大、较大、</w:t>
      </w:r>
      <w:r>
        <w:rPr>
          <w:spacing w:val="8"/>
        </w:rPr>
        <w:t>一般四个级别。其分级标准为：</w:t>
      </w:r>
    </w:p>
    <w:p>
      <w:pPr>
        <w:pStyle w:val="BodyText"/>
        <w:ind w:left="33" w:right="320" w:firstLine="423"/>
        <w:spacing w:before="2" w:line="281" w:lineRule="auto"/>
        <w:rPr/>
      </w:pPr>
      <w:r>
        <w:rPr>
          <w:rFonts w:ascii="Times New Roman" w:hAnsi="Times New Roman" w:eastAsia="Times New Roman" w:cs="Times New Roman"/>
          <w:spacing w:val="5"/>
        </w:rPr>
        <w:t>1.  </w:t>
      </w:r>
      <w:r>
        <w:rPr>
          <w:spacing w:val="5"/>
        </w:rPr>
        <w:t>特别重大（特大型</w:t>
      </w:r>
      <w:r>
        <w:rPr>
          <w:spacing w:val="-2"/>
        </w:rPr>
        <w:t>）</w:t>
      </w:r>
      <w:r>
        <w:rPr>
          <w:spacing w:val="-51"/>
        </w:rPr>
        <w:t xml:space="preserve"> </w:t>
      </w:r>
      <w:r>
        <w:rPr>
          <w:spacing w:val="-2"/>
        </w:rPr>
        <w:t>：</w:t>
      </w:r>
      <w:r>
        <w:rPr>
          <w:spacing w:val="5"/>
        </w:rPr>
        <w:t>因灾死亡</w:t>
      </w:r>
      <w:r>
        <w:rPr>
          <w:spacing w:val="-39"/>
        </w:rPr>
        <w:t xml:space="preserve"> </w:t>
      </w:r>
      <w:r>
        <w:rPr>
          <w:rFonts w:ascii="Times New Roman" w:hAnsi="Times New Roman" w:eastAsia="Times New Roman" w:cs="Times New Roman"/>
          <w:spacing w:val="5"/>
        </w:rPr>
        <w:t>30 </w:t>
      </w:r>
      <w:r>
        <w:rPr>
          <w:spacing w:val="5"/>
        </w:rPr>
        <w:t>人</w:t>
      </w:r>
      <w:r>
        <w:rPr>
          <w:spacing w:val="5"/>
        </w:rPr>
        <w:t>以上或者直接经济损失</w:t>
      </w:r>
      <w:r>
        <w:rPr>
          <w:spacing w:val="-6"/>
        </w:rPr>
        <w:t xml:space="preserve"> </w:t>
      </w:r>
      <w:r>
        <w:rPr>
          <w:rFonts w:ascii="Times New Roman" w:hAnsi="Times New Roman" w:eastAsia="Times New Roman" w:cs="Times New Roman"/>
          <w:spacing w:val="5"/>
        </w:rPr>
        <w:t>1000 </w:t>
      </w:r>
      <w:r>
        <w:rPr>
          <w:spacing w:val="5"/>
        </w:rPr>
        <w:t>万元以上的；</w:t>
      </w:r>
    </w:p>
    <w:p>
      <w:pPr>
        <w:spacing w:line="14" w:lineRule="auto"/>
        <w:rPr>
          <w:rFonts w:ascii="Arial"/>
          <w:sz w:val="2"/>
        </w:rPr>
      </w:pPr>
      <w:r>
        <w:rPr>
          <w:rFonts w:ascii="Arial" w:hAnsi="Arial" w:eastAsia="Arial" w:cs="Arial"/>
          <w:sz w:val="2"/>
          <w:szCs w:val="2"/>
        </w:rPr>
        <w:br w:type="column"/>
      </w:r>
    </w:p>
    <w:p>
      <w:pPr>
        <w:pStyle w:val="BodyText"/>
        <w:ind w:left="7" w:right="106" w:firstLine="421"/>
        <w:spacing w:before="39" w:line="323" w:lineRule="auto"/>
        <w:rPr/>
      </w:pPr>
      <w:r>
        <w:rPr>
          <w:rFonts w:ascii="Times New Roman" w:hAnsi="Times New Roman" w:eastAsia="Times New Roman" w:cs="Times New Roman"/>
          <w:spacing w:val="3"/>
        </w:rPr>
        <w:t>2.  </w:t>
      </w:r>
      <w:r>
        <w:rPr>
          <w:spacing w:val="3"/>
        </w:rPr>
        <w:t>重大（大型</w:t>
      </w:r>
      <w:r>
        <w:rPr>
          <w:spacing w:val="12"/>
        </w:rPr>
        <w:t>）：</w:t>
      </w:r>
      <w:r>
        <w:rPr>
          <w:spacing w:val="3"/>
        </w:rPr>
        <w:t>因灾死亡</w:t>
      </w:r>
      <w:r>
        <w:rPr>
          <w:spacing w:val="-23"/>
        </w:rPr>
        <w:t xml:space="preserve"> </w:t>
      </w:r>
      <w:r>
        <w:rPr>
          <w:rFonts w:ascii="Times New Roman" w:hAnsi="Times New Roman" w:eastAsia="Times New Roman" w:cs="Times New Roman"/>
          <w:spacing w:val="3"/>
        </w:rPr>
        <w:t>10 </w:t>
      </w:r>
      <w:r>
        <w:rPr>
          <w:spacing w:val="3"/>
        </w:rPr>
        <w:t>人以上</w:t>
      </w:r>
      <w:r>
        <w:rPr>
          <w:spacing w:val="-37"/>
        </w:rPr>
        <w:t xml:space="preserve"> </w:t>
      </w:r>
      <w:r>
        <w:rPr>
          <w:rFonts w:ascii="Times New Roman" w:hAnsi="Times New Roman" w:eastAsia="Times New Roman" w:cs="Times New Roman"/>
          <w:spacing w:val="3"/>
        </w:rPr>
        <w:t>30</w:t>
      </w:r>
      <w:r>
        <w:rPr>
          <w:spacing w:val="10"/>
        </w:rPr>
        <w:t>人以下或者直接经济损失</w:t>
      </w:r>
      <w:r>
        <w:rPr>
          <w:spacing w:val="-18"/>
        </w:rPr>
        <w:t xml:space="preserve"> </w:t>
      </w:r>
      <w:r>
        <w:rPr>
          <w:rFonts w:ascii="Times New Roman" w:hAnsi="Times New Roman" w:eastAsia="Times New Roman" w:cs="Times New Roman"/>
          <w:spacing w:val="10"/>
        </w:rPr>
        <w:t>500 </w:t>
      </w:r>
      <w:r>
        <w:rPr>
          <w:spacing w:val="10"/>
        </w:rPr>
        <w:t>万元以上</w:t>
      </w:r>
      <w:r>
        <w:rPr>
          <w:spacing w:val="-16"/>
        </w:rPr>
        <w:t xml:space="preserve"> </w:t>
      </w:r>
      <w:r>
        <w:rPr>
          <w:rFonts w:ascii="Times New Roman" w:hAnsi="Times New Roman" w:eastAsia="Times New Roman" w:cs="Times New Roman"/>
          <w:spacing w:val="10"/>
        </w:rPr>
        <w:t>1000</w:t>
      </w:r>
      <w:r>
        <w:rPr>
          <w:spacing w:val="7"/>
        </w:rPr>
        <w:t>万元以下的；</w:t>
      </w:r>
    </w:p>
    <w:p>
      <w:pPr>
        <w:pStyle w:val="BodyText"/>
        <w:ind w:left="6" w:right="106" w:firstLine="426"/>
        <w:spacing w:before="150" w:line="323" w:lineRule="auto"/>
        <w:rPr/>
      </w:pPr>
      <w:r>
        <w:rPr>
          <w:rFonts w:ascii="Times New Roman" w:hAnsi="Times New Roman" w:eastAsia="Times New Roman" w:cs="Times New Roman"/>
          <w:spacing w:val="3"/>
        </w:rPr>
        <w:t>3.  </w:t>
      </w:r>
      <w:r>
        <w:rPr>
          <w:spacing w:val="3"/>
        </w:rPr>
        <w:t>较大（</w:t>
      </w:r>
      <w:r>
        <w:rPr>
          <w:spacing w:val="-41"/>
        </w:rPr>
        <w:t xml:space="preserve"> </w:t>
      </w:r>
      <w:r>
        <w:rPr>
          <w:spacing w:val="3"/>
        </w:rPr>
        <w:t>中型</w:t>
      </w:r>
      <w:r>
        <w:rPr/>
        <w:t>）</w:t>
      </w:r>
      <w:r>
        <w:rPr>
          <w:spacing w:val="-44"/>
        </w:rPr>
        <w:t xml:space="preserve"> </w:t>
      </w:r>
      <w:r>
        <w:rPr/>
        <w:t>：</w:t>
      </w:r>
      <w:r>
        <w:rPr>
          <w:spacing w:val="3"/>
        </w:rPr>
        <w:t>因灾死亡</w:t>
      </w:r>
      <w:r>
        <w:rPr>
          <w:spacing w:val="-34"/>
        </w:rPr>
        <w:t xml:space="preserve"> </w:t>
      </w:r>
      <w:r>
        <w:rPr>
          <w:rFonts w:ascii="Times New Roman" w:hAnsi="Times New Roman" w:eastAsia="Times New Roman" w:cs="Times New Roman"/>
          <w:spacing w:val="3"/>
        </w:rPr>
        <w:t>3 </w:t>
      </w:r>
      <w:r>
        <w:rPr>
          <w:spacing w:val="3"/>
        </w:rPr>
        <w:t>人以上</w:t>
      </w:r>
      <w:r>
        <w:rPr>
          <w:spacing w:val="-18"/>
        </w:rPr>
        <w:t xml:space="preserve"> </w:t>
      </w:r>
      <w:r>
        <w:rPr>
          <w:rFonts w:ascii="Times New Roman" w:hAnsi="Times New Roman" w:eastAsia="Times New Roman" w:cs="Times New Roman"/>
          <w:spacing w:val="3"/>
        </w:rPr>
        <w:t>10</w:t>
      </w:r>
      <w:r>
        <w:rPr>
          <w:spacing w:val="5"/>
        </w:rPr>
        <w:t>人以下或者直接经济损失</w:t>
      </w:r>
      <w:r>
        <w:rPr>
          <w:spacing w:val="-25"/>
        </w:rPr>
        <w:t xml:space="preserve"> </w:t>
      </w:r>
      <w:r>
        <w:rPr>
          <w:rFonts w:ascii="Times New Roman" w:hAnsi="Times New Roman" w:eastAsia="Times New Roman" w:cs="Times New Roman"/>
          <w:spacing w:val="5"/>
        </w:rPr>
        <w:t>100 </w:t>
      </w:r>
      <w:r>
        <w:rPr>
          <w:spacing w:val="5"/>
        </w:rPr>
        <w:t>万元以上</w:t>
      </w:r>
      <w:r>
        <w:rPr>
          <w:spacing w:val="-47"/>
        </w:rPr>
        <w:t xml:space="preserve"> </w:t>
      </w:r>
      <w:r>
        <w:rPr>
          <w:rFonts w:ascii="Times New Roman" w:hAnsi="Times New Roman" w:eastAsia="Times New Roman" w:cs="Times New Roman"/>
          <w:spacing w:val="5"/>
        </w:rPr>
        <w:t>500 </w:t>
      </w:r>
      <w:r>
        <w:rPr>
          <w:spacing w:val="5"/>
        </w:rPr>
        <w:t>万</w:t>
      </w:r>
      <w:r>
        <w:rPr>
          <w:spacing w:val="7"/>
        </w:rPr>
        <w:t>元以下的；</w:t>
      </w:r>
    </w:p>
    <w:p>
      <w:pPr>
        <w:pStyle w:val="BodyText"/>
        <w:ind w:left="10" w:right="107" w:firstLine="417"/>
        <w:spacing w:before="149" w:line="298" w:lineRule="auto"/>
        <w:rPr/>
      </w:pPr>
      <w:r>
        <w:rPr>
          <w:rFonts w:ascii="Times New Roman" w:hAnsi="Times New Roman" w:eastAsia="Times New Roman" w:cs="Times New Roman"/>
          <w:spacing w:val="4"/>
        </w:rPr>
        <w:t>4.  </w:t>
      </w:r>
      <w:r>
        <w:rPr>
          <w:spacing w:val="4"/>
        </w:rPr>
        <w:t>一般（小型</w:t>
      </w:r>
      <w:r>
        <w:rPr>
          <w:spacing w:val="-7"/>
        </w:rPr>
        <w:t>）：</w:t>
      </w:r>
      <w:r>
        <w:rPr>
          <w:spacing w:val="4"/>
        </w:rPr>
        <w:t>因灾死亡</w:t>
      </w:r>
      <w:r>
        <w:rPr>
          <w:spacing w:val="-39"/>
        </w:rPr>
        <w:t xml:space="preserve"> </w:t>
      </w:r>
      <w:r>
        <w:rPr>
          <w:rFonts w:ascii="Times New Roman" w:hAnsi="Times New Roman" w:eastAsia="Times New Roman" w:cs="Times New Roman"/>
          <w:spacing w:val="4"/>
        </w:rPr>
        <w:t>3 </w:t>
      </w:r>
      <w:r>
        <w:rPr>
          <w:spacing w:val="4"/>
        </w:rPr>
        <w:t>人以下或者</w:t>
      </w:r>
      <w:r>
        <w:rPr>
          <w:spacing w:val="6"/>
        </w:rPr>
        <w:t>直接经济损失</w:t>
      </w:r>
      <w:r>
        <w:rPr>
          <w:spacing w:val="-23"/>
        </w:rPr>
        <w:t xml:space="preserve"> </w:t>
      </w:r>
      <w:r>
        <w:rPr>
          <w:rFonts w:ascii="Times New Roman" w:hAnsi="Times New Roman" w:eastAsia="Times New Roman" w:cs="Times New Roman"/>
          <w:spacing w:val="6"/>
        </w:rPr>
        <w:t>100 </w:t>
      </w:r>
      <w:r>
        <w:rPr>
          <w:spacing w:val="6"/>
        </w:rPr>
        <w:t>万元以下的。</w:t>
      </w:r>
    </w:p>
    <w:p>
      <w:pPr>
        <w:pStyle w:val="BodyText"/>
        <w:ind w:right="110" w:firstLine="433"/>
        <w:spacing w:before="156" w:line="345" w:lineRule="auto"/>
        <w:rPr/>
      </w:pPr>
      <w:r>
        <w:rPr>
          <w:rFonts w:ascii="Times New Roman" w:hAnsi="Times New Roman" w:eastAsia="Times New Roman" w:cs="Times New Roman"/>
          <w:spacing w:val="8"/>
        </w:rPr>
        <w:t>3.3  </w:t>
      </w:r>
      <w:r>
        <w:rPr>
          <w:rFonts w:ascii="KaiTi" w:hAnsi="KaiTi" w:eastAsia="KaiTi" w:cs="KaiTi"/>
          <w:spacing w:val="8"/>
        </w:rPr>
        <w:t>预警信息报告与发布。</w:t>
      </w:r>
      <w:r>
        <w:rPr>
          <w:spacing w:val="8"/>
        </w:rPr>
        <w:t>市突发地质灾</w:t>
      </w:r>
      <w:r>
        <w:rPr>
          <w:spacing w:val="7"/>
        </w:rPr>
        <w:t>害应急指挥部办公室接到信息报告后，要组织</w:t>
      </w:r>
      <w:r>
        <w:rPr>
          <w:spacing w:val="16"/>
        </w:rPr>
        <w:t>会商或进行分析研判</w:t>
      </w:r>
      <w:r>
        <w:rPr>
          <w:spacing w:val="-51"/>
        </w:rPr>
        <w:t xml:space="preserve"> </w:t>
      </w:r>
      <w:r>
        <w:rPr>
          <w:spacing w:val="16"/>
        </w:rPr>
        <w:t>，通过地质灾害信息专</w:t>
      </w:r>
      <w:r>
        <w:rPr>
          <w:spacing w:val="7"/>
        </w:rPr>
        <w:t>报、手机短信平台向指挥部成员单位和有关县</w:t>
      </w:r>
      <w:r>
        <w:rPr>
          <w:spacing w:val="7"/>
        </w:rPr>
        <w:t>（区）通报，督促和指导按照相应预案做好处</w:t>
      </w:r>
      <w:r>
        <w:rPr>
          <w:spacing w:val="8"/>
        </w:rPr>
        <w:t>置工作。</w:t>
      </w:r>
    </w:p>
    <w:p>
      <w:pPr>
        <w:pStyle w:val="BodyText"/>
        <w:ind w:left="10" w:right="110" w:firstLine="422"/>
        <w:spacing w:before="158" w:line="340" w:lineRule="auto"/>
        <w:rPr/>
      </w:pPr>
      <w:r>
        <w:rPr>
          <w:rFonts w:ascii="Times New Roman" w:hAnsi="Times New Roman" w:eastAsia="Times New Roman" w:cs="Times New Roman"/>
          <w:spacing w:val="8"/>
        </w:rPr>
        <w:t>3.4  </w:t>
      </w:r>
      <w:r>
        <w:rPr>
          <w:rFonts w:ascii="KaiTi" w:hAnsi="KaiTi" w:eastAsia="KaiTi" w:cs="KaiTi"/>
          <w:spacing w:val="8"/>
        </w:rPr>
        <w:t>预警行动。</w:t>
      </w:r>
      <w:r>
        <w:rPr>
          <w:spacing w:val="8"/>
        </w:rPr>
        <w:t>一般地质灾害预测预警信</w:t>
      </w:r>
      <w:r>
        <w:rPr>
          <w:spacing w:val="4"/>
        </w:rPr>
        <w:t>息发布后，预测预警信息涉及县（</w:t>
      </w:r>
      <w:r>
        <w:rPr>
          <w:spacing w:val="-37"/>
        </w:rPr>
        <w:t xml:space="preserve"> </w:t>
      </w:r>
      <w:r>
        <w:rPr>
          <w:spacing w:val="4"/>
        </w:rPr>
        <w:t>区）政府及</w:t>
      </w:r>
      <w:r>
        <w:rPr>
          <w:spacing w:val="18"/>
        </w:rPr>
        <w:t>市地质灾害应急指挥部成员单位要密切关注</w:t>
      </w:r>
      <w:r>
        <w:rPr>
          <w:spacing w:val="7"/>
        </w:rPr>
        <w:t>天气情况和预警变化。加强监测巡查工作，按</w:t>
      </w:r>
      <w:r>
        <w:rPr>
          <w:spacing w:val="8"/>
        </w:rPr>
        <w:t>照预案做好应急准备和预防工作。</w:t>
      </w:r>
    </w:p>
    <w:p>
      <w:pPr>
        <w:pStyle w:val="BodyText"/>
        <w:ind w:left="6" w:right="110" w:firstLine="423"/>
        <w:spacing w:before="164" w:line="367" w:lineRule="auto"/>
        <w:jc w:val="both"/>
        <w:rPr/>
      </w:pPr>
      <w:r>
        <w:rPr>
          <w:spacing w:val="6"/>
        </w:rPr>
        <w:t>特别重大、重大及较大地质灾害预测预警</w:t>
      </w:r>
      <w:r>
        <w:rPr>
          <w:spacing w:val="4"/>
        </w:rPr>
        <w:t>信息发布后，预测预警信息涉及县（</w:t>
      </w:r>
      <w:r>
        <w:rPr>
          <w:spacing w:val="-34"/>
        </w:rPr>
        <w:t xml:space="preserve"> </w:t>
      </w:r>
      <w:r>
        <w:rPr>
          <w:spacing w:val="4"/>
        </w:rPr>
        <w:t>区）政府</w:t>
      </w:r>
      <w:r>
        <w:rPr>
          <w:spacing w:val="18"/>
        </w:rPr>
        <w:t>及市地质灾害应急指挥部成员单位要关注天</w:t>
      </w:r>
      <w:r>
        <w:rPr>
          <w:spacing w:val="7"/>
        </w:rPr>
        <w:t>气情况、预警变化和事态进展，进一步加强监</w:t>
      </w:r>
      <w:r>
        <w:rPr>
          <w:spacing w:val="7"/>
        </w:rPr>
        <w:t>测巡查工作，按照预案做好应急准备和预防工</w:t>
      </w:r>
      <w:r>
        <w:rPr>
          <w:spacing w:val="9"/>
        </w:rPr>
        <w:t>作，市应急指挥部进入待命状态。</w:t>
      </w:r>
    </w:p>
    <w:p>
      <w:pPr>
        <w:ind w:left="429"/>
        <w:spacing w:before="1"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4</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5"/>
        </w:rPr>
        <w:t>应急处置</w:t>
      </w:r>
    </w:p>
    <w:p>
      <w:pPr>
        <w:ind w:left="427"/>
        <w:spacing w:before="99" w:line="263" w:lineRule="exact"/>
        <w:rPr>
          <w:rFonts w:ascii="KaiTi" w:hAnsi="KaiTi" w:eastAsia="KaiTi" w:cs="KaiTi"/>
          <w:sz w:val="20"/>
          <w:szCs w:val="20"/>
        </w:rPr>
      </w:pPr>
      <w:r>
        <w:rPr>
          <w:rFonts w:ascii="Times New Roman" w:hAnsi="Times New Roman" w:eastAsia="Times New Roman" w:cs="Times New Roman"/>
          <w:sz w:val="20"/>
          <w:szCs w:val="20"/>
          <w:spacing w:val="5"/>
          <w:position w:val="1"/>
        </w:rPr>
        <w:t>4.</w:t>
      </w:r>
      <w:r>
        <w:rPr>
          <w:rFonts w:ascii="Times New Roman" w:hAnsi="Times New Roman" w:eastAsia="Times New Roman" w:cs="Times New Roman"/>
          <w:sz w:val="20"/>
          <w:szCs w:val="20"/>
          <w:spacing w:val="-14"/>
          <w:position w:val="1"/>
        </w:rPr>
        <w:t xml:space="preserve"> </w:t>
      </w:r>
      <w:r>
        <w:rPr>
          <w:rFonts w:ascii="Times New Roman" w:hAnsi="Times New Roman" w:eastAsia="Times New Roman" w:cs="Times New Roman"/>
          <w:sz w:val="20"/>
          <w:szCs w:val="20"/>
          <w:spacing w:val="5"/>
          <w:position w:val="1"/>
        </w:rPr>
        <w:t>1  </w:t>
      </w:r>
      <w:r>
        <w:rPr>
          <w:rFonts w:ascii="KaiTi" w:hAnsi="KaiTi" w:eastAsia="KaiTi" w:cs="KaiTi"/>
          <w:sz w:val="20"/>
          <w:szCs w:val="20"/>
          <w:spacing w:val="5"/>
          <w:position w:val="1"/>
        </w:rPr>
        <w:t>地质灾害速报和处理程序。</w:t>
      </w:r>
    </w:p>
    <w:p>
      <w:pPr>
        <w:pStyle w:val="BodyText"/>
        <w:ind w:left="10" w:right="45" w:firstLine="419"/>
        <w:spacing w:before="134" w:line="353" w:lineRule="auto"/>
        <w:rPr/>
      </w:pPr>
      <w:r>
        <w:rPr>
          <w:spacing w:val="-1"/>
        </w:rPr>
        <w:t>地质灾害速报原则：情况准确，上报迅速，</w:t>
      </w:r>
      <w:r>
        <w:rPr>
          <w:spacing w:val="8"/>
        </w:rPr>
        <w:t>县为基础，续报完整。</w:t>
      </w:r>
    </w:p>
    <w:p>
      <w:pPr>
        <w:pStyle w:val="BodyText"/>
        <w:ind w:left="429"/>
        <w:spacing w:before="38" w:line="278" w:lineRule="exact"/>
        <w:rPr/>
      </w:pPr>
      <w:r>
        <w:rPr>
          <w:spacing w:val="8"/>
          <w:position w:val="1"/>
        </w:rPr>
        <w:t>地质灾害速报程序：</w:t>
      </w:r>
    </w:p>
    <w:p>
      <w:pPr>
        <w:pStyle w:val="BodyText"/>
        <w:ind w:left="9" w:firstLine="439"/>
        <w:spacing w:before="121" w:line="289" w:lineRule="auto"/>
        <w:rPr/>
      </w:pPr>
      <w:r>
        <w:rPr>
          <w:rFonts w:ascii="Times New Roman" w:hAnsi="Times New Roman" w:eastAsia="Times New Roman" w:cs="Times New Roman"/>
          <w:spacing w:val="-4"/>
        </w:rPr>
        <w:t>1.  </w:t>
      </w:r>
      <w:r>
        <w:rPr>
          <w:spacing w:val="-4"/>
        </w:rPr>
        <w:t>发生小型地质灾害后，灾害所在县（</w:t>
      </w:r>
      <w:r>
        <w:rPr>
          <w:spacing w:val="-48"/>
        </w:rPr>
        <w:t xml:space="preserve"> </w:t>
      </w:r>
      <w:r>
        <w:rPr>
          <w:spacing w:val="-4"/>
        </w:rPr>
        <w:t>区）</w:t>
      </w:r>
      <w:r>
        <w:rPr>
          <w:spacing w:val="7"/>
        </w:rPr>
        <w:t>政府应于</w:t>
      </w:r>
      <w:r>
        <w:rPr>
          <w:spacing w:val="-31"/>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16"/>
        </w:rPr>
        <w:t xml:space="preserve"> </w:t>
      </w:r>
      <w:r>
        <w:rPr>
          <w:spacing w:val="7"/>
        </w:rPr>
        <w:t>小时内向固原市地质灾害应急指挥</w:t>
      </w:r>
    </w:p>
    <w:p>
      <w:pPr>
        <w:spacing w:line="289" w:lineRule="auto"/>
        <w:sectPr>
          <w:type w:val="continuous"/>
          <w:pgSz w:w="11906" w:h="16839"/>
          <w:pgMar w:top="1974" w:right="1480" w:bottom="1574" w:left="1576" w:header="1634" w:footer="1172" w:gutter="0"/>
          <w:cols w:equalWidth="0" w:num="2">
            <w:col w:w="4485" w:space="100"/>
            <w:col w:w="4265" w:space="0"/>
          </w:cols>
        </w:sectPr>
        <w:rPr/>
      </w:pPr>
    </w:p>
    <w:p>
      <w:pPr>
        <w:spacing w:before="62"/>
        <w:rPr/>
      </w:pPr>
      <w:r>
        <w:drawing>
          <wp:anchor distT="0" distB="0" distL="0" distR="0" simplePos="0" relativeHeight="254477312"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330" name="IM 2330"/>
            <wp:cNvGraphicFramePr/>
            <a:graphic>
              <a:graphicData uri="http://schemas.openxmlformats.org/drawingml/2006/picture">
                <pic:pic>
                  <pic:nvPicPr>
                    <pic:cNvPr id="2330" name="IM 2330"/>
                    <pic:cNvPicPr/>
                  </pic:nvPicPr>
                  <pic:blipFill>
                    <a:blip r:embed="rId1169"/>
                    <a:stretch>
                      <a:fillRect/>
                    </a:stretch>
                  </pic:blipFill>
                  <pic:spPr>
                    <a:xfrm rot="0">
                      <a:off x="0" y="0"/>
                      <a:ext cx="5579745" cy="7620"/>
                    </a:xfrm>
                    <a:prstGeom prst="rect">
                      <a:avLst/>
                    </a:prstGeom>
                  </pic:spPr>
                </pic:pic>
              </a:graphicData>
            </a:graphic>
          </wp:anchor>
        </w:drawing>
      </w:r>
      <w:r/>
    </w:p>
    <w:p>
      <w:pPr>
        <w:sectPr>
          <w:headerReference w:type="default" r:id="rId1167"/>
          <w:footerReference w:type="default" r:id="rId1168"/>
          <w:pgSz w:w="11906" w:h="16839"/>
          <w:pgMar w:top="1772" w:right="1475" w:bottom="1572" w:left="1571" w:header="1428" w:footer="1172" w:gutter="0"/>
          <w:cols w:equalWidth="0" w:num="1">
            <w:col w:w="8860" w:space="0"/>
          </w:cols>
        </w:sectPr>
        <w:rPr/>
      </w:pPr>
    </w:p>
    <w:p>
      <w:pPr>
        <w:pStyle w:val="BodyText"/>
        <w:ind w:left="25" w:right="310" w:hanging="4"/>
        <w:spacing w:before="47" w:line="352" w:lineRule="auto"/>
        <w:rPr/>
      </w:pPr>
      <w:r>
        <w:rPr>
          <w:spacing w:val="4"/>
        </w:rPr>
        <w:t>部办公室、县（</w:t>
      </w:r>
      <w:r>
        <w:rPr>
          <w:spacing w:val="-36"/>
        </w:rPr>
        <w:t xml:space="preserve"> </w:t>
      </w:r>
      <w:r>
        <w:rPr>
          <w:spacing w:val="4"/>
        </w:rPr>
        <w:t>区）政府报告，同时报市自然</w:t>
      </w:r>
      <w:r>
        <w:rPr>
          <w:spacing w:val="8"/>
        </w:rPr>
        <w:t>资源部门，并负责组织协调和做出应急处理。</w:t>
      </w:r>
    </w:p>
    <w:p>
      <w:pPr>
        <w:pStyle w:val="BodyText"/>
        <w:ind w:left="20" w:right="220" w:firstLine="421"/>
        <w:spacing w:before="39" w:line="348" w:lineRule="auto"/>
        <w:rPr/>
      </w:pPr>
      <w:r>
        <w:rPr>
          <w:rFonts w:ascii="Times New Roman" w:hAnsi="Times New Roman" w:eastAsia="Times New Roman" w:cs="Times New Roman"/>
          <w:spacing w:val="-3"/>
        </w:rPr>
        <w:t>2.  </w:t>
      </w:r>
      <w:r>
        <w:rPr>
          <w:spacing w:val="-3"/>
        </w:rPr>
        <w:t>发生中型地质灾害后，灾害所在县（</w:t>
      </w:r>
      <w:r>
        <w:rPr>
          <w:spacing w:val="-50"/>
        </w:rPr>
        <w:t xml:space="preserve"> </w:t>
      </w:r>
      <w:r>
        <w:rPr>
          <w:spacing w:val="-3"/>
        </w:rPr>
        <w:t>区）</w:t>
      </w:r>
      <w:r>
        <w:rPr>
          <w:spacing w:val="10"/>
        </w:rPr>
        <w:t>政府应于</w:t>
      </w:r>
      <w:r>
        <w:rPr>
          <w:rFonts w:ascii="Times New Roman" w:hAnsi="Times New Roman" w:eastAsia="Times New Roman" w:cs="Times New Roman"/>
          <w:spacing w:val="10"/>
        </w:rPr>
        <w:t>2</w:t>
      </w:r>
      <w:r>
        <w:rPr>
          <w:rFonts w:ascii="Times New Roman" w:hAnsi="Times New Roman" w:eastAsia="Times New Roman" w:cs="Times New Roman"/>
          <w:spacing w:val="-4"/>
        </w:rPr>
        <w:t xml:space="preserve"> </w:t>
      </w:r>
      <w:r>
        <w:rPr>
          <w:spacing w:val="10"/>
        </w:rPr>
        <w:t>小时内速报固原市地质灾害应急指</w:t>
      </w:r>
      <w:r>
        <w:rPr>
          <w:spacing w:val="2"/>
        </w:rPr>
        <w:t>挥部办公室、县（区）级政府和自然资源部门，</w:t>
      </w:r>
      <w:r>
        <w:rPr>
          <w:spacing w:val="18"/>
        </w:rPr>
        <w:t>同时越级速报自治区政府和自治区自然资源</w:t>
      </w:r>
      <w:r>
        <w:rPr>
          <w:spacing w:val="4"/>
        </w:rPr>
        <w:t>厅。中型地质灾害由县（</w:t>
      </w:r>
      <w:r>
        <w:rPr>
          <w:spacing w:val="-34"/>
        </w:rPr>
        <w:t xml:space="preserve"> </w:t>
      </w:r>
      <w:r>
        <w:rPr>
          <w:spacing w:val="4"/>
        </w:rPr>
        <w:t>区）级自然资源主管</w:t>
      </w:r>
      <w:r>
        <w:rPr>
          <w:spacing w:val="7"/>
        </w:rPr>
        <w:t>部门及时组织调查和做出应急处理，并将应急</w:t>
      </w:r>
      <w:r>
        <w:rPr/>
        <w:t>调查报告上报自治区政府和自治区自然资源厅。</w:t>
      </w:r>
    </w:p>
    <w:p>
      <w:pPr>
        <w:pStyle w:val="BodyText"/>
        <w:ind w:left="20" w:right="300" w:firstLine="426"/>
        <w:spacing w:before="170" w:line="355" w:lineRule="auto"/>
        <w:rPr/>
      </w:pPr>
      <w:r>
        <w:rPr>
          <w:rFonts w:ascii="Times New Roman" w:hAnsi="Times New Roman" w:eastAsia="Times New Roman" w:cs="Times New Roman"/>
          <w:spacing w:val="3"/>
        </w:rPr>
        <w:t>3.  </w:t>
      </w:r>
      <w:r>
        <w:rPr>
          <w:spacing w:val="3"/>
        </w:rPr>
        <w:t>发生大型或大型以上地质灾害后，灾害</w:t>
      </w:r>
      <w:r>
        <w:rPr>
          <w:spacing w:val="13"/>
        </w:rPr>
        <w:t>所在县</w:t>
      </w:r>
      <w:r>
        <w:rPr>
          <w:rFonts w:ascii="Times New Roman" w:hAnsi="Times New Roman" w:eastAsia="Times New Roman" w:cs="Times New Roman"/>
          <w:spacing w:val="13"/>
        </w:rPr>
        <w:t>(</w:t>
      </w:r>
      <w:r>
        <w:rPr>
          <w:spacing w:val="13"/>
        </w:rPr>
        <w:t>区</w:t>
      </w:r>
      <w:r>
        <w:rPr>
          <w:rFonts w:ascii="Times New Roman" w:hAnsi="Times New Roman" w:eastAsia="Times New Roman" w:cs="Times New Roman"/>
          <w:spacing w:val="13"/>
        </w:rPr>
        <w:t>)</w:t>
      </w:r>
      <w:r>
        <w:rPr>
          <w:spacing w:val="13"/>
        </w:rPr>
        <w:t>自然资源主管部门应于</w:t>
      </w:r>
      <w:r>
        <w:rPr>
          <w:spacing w:val="-19"/>
        </w:rPr>
        <w:t xml:space="preserve"> </w:t>
      </w:r>
      <w:r>
        <w:rPr>
          <w:rFonts w:ascii="Times New Roman" w:hAnsi="Times New Roman" w:eastAsia="Times New Roman" w:cs="Times New Roman"/>
          <w:spacing w:val="13"/>
        </w:rPr>
        <w:t>30 </w:t>
      </w:r>
      <w:r>
        <w:rPr>
          <w:spacing w:val="13"/>
        </w:rPr>
        <w:t>分钟内</w:t>
      </w:r>
      <w:r>
        <w:rPr>
          <w:spacing w:val="10"/>
        </w:rPr>
        <w:t>速报市地质灾害应急指挥部办公室、县</w:t>
      </w:r>
      <w:r>
        <w:rPr>
          <w:rFonts w:ascii="Times New Roman" w:hAnsi="Times New Roman" w:eastAsia="Times New Roman" w:cs="Times New Roman"/>
          <w:spacing w:val="10"/>
        </w:rPr>
        <w:t>(</w:t>
      </w:r>
      <w:r>
        <w:rPr>
          <w:spacing w:val="10"/>
        </w:rPr>
        <w:t>区</w:t>
      </w:r>
      <w:r>
        <w:rPr>
          <w:rFonts w:ascii="Times New Roman" w:hAnsi="Times New Roman" w:eastAsia="Times New Roman" w:cs="Times New Roman"/>
          <w:spacing w:val="10"/>
        </w:rPr>
        <w:t>)</w:t>
      </w:r>
      <w:r>
        <w:rPr>
          <w:spacing w:val="10"/>
        </w:rPr>
        <w:t>政</w:t>
      </w:r>
      <w:r>
        <w:rPr>
          <w:spacing w:val="15"/>
        </w:rPr>
        <w:t>府和自然资源部门</w:t>
      </w:r>
      <w:r>
        <w:rPr>
          <w:spacing w:val="-39"/>
        </w:rPr>
        <w:t xml:space="preserve"> </w:t>
      </w:r>
      <w:r>
        <w:rPr>
          <w:spacing w:val="15"/>
        </w:rPr>
        <w:t>，同时越级速报自治区政</w:t>
      </w:r>
      <w:r>
        <w:rPr>
          <w:spacing w:val="7"/>
        </w:rPr>
        <w:t>府、自治区自然资源厅，并根据灾情进展，随</w:t>
      </w:r>
      <w:r>
        <w:rPr>
          <w:spacing w:val="7"/>
        </w:rPr>
        <w:t>时续报，直至调查结束。大型地质灾害由自治</w:t>
      </w:r>
      <w:r>
        <w:rPr>
          <w:spacing w:val="8"/>
        </w:rPr>
        <w:t>区自然资源厅及时组织调查和做出应急处理，</w:t>
      </w:r>
      <w:r>
        <w:rPr>
          <w:spacing w:val="-2"/>
        </w:rPr>
        <w:t>并将最终形成的应急调查报告上报自治区政府。</w:t>
      </w:r>
    </w:p>
    <w:p>
      <w:pPr>
        <w:pStyle w:val="BodyText"/>
        <w:ind w:left="20" w:right="258" w:firstLine="420"/>
        <w:spacing w:before="169" w:line="338" w:lineRule="auto"/>
        <w:rPr/>
      </w:pPr>
      <w:r>
        <w:rPr>
          <w:rFonts w:ascii="Times New Roman" w:hAnsi="Times New Roman" w:eastAsia="Times New Roman" w:cs="Times New Roman"/>
          <w:spacing w:val="13"/>
        </w:rPr>
        <w:t>4.  </w:t>
      </w:r>
      <w:r>
        <w:rPr>
          <w:spacing w:val="13"/>
        </w:rPr>
        <w:t>对于发现的直接受地质灾害威胁人数</w:t>
      </w:r>
      <w:r>
        <w:rPr>
          <w:spacing w:val="5"/>
        </w:rPr>
        <w:t>超过</w:t>
      </w:r>
      <w:r>
        <w:rPr>
          <w:spacing w:val="-23"/>
        </w:rPr>
        <w:t xml:space="preserve"> </w:t>
      </w:r>
      <w:r>
        <w:rPr>
          <w:rFonts w:ascii="Times New Roman" w:hAnsi="Times New Roman" w:eastAsia="Times New Roman" w:cs="Times New Roman"/>
          <w:spacing w:val="5"/>
        </w:rPr>
        <w:t>1000 </w:t>
      </w:r>
      <w:r>
        <w:rPr>
          <w:spacing w:val="5"/>
        </w:rPr>
        <w:t>人或者潜在</w:t>
      </w:r>
      <w:hyperlink w:history="true" r:id="rId1170">
        <w:r>
          <w:rPr>
            <w:rFonts w:ascii="FangSong" w:hAnsi="FangSong" w:eastAsia="FangSong" w:cs="FangSong"/>
            <w:sz w:val="24"/>
            <w:szCs w:val="24"/>
            <w:spacing w:val="5"/>
          </w:rPr>
          <w:t>经济</w:t>
        </w:r>
      </w:hyperlink>
      <w:r>
        <w:rPr>
          <w:spacing w:val="5"/>
        </w:rPr>
        <w:t>损失超过</w:t>
      </w:r>
      <w:r>
        <w:rPr>
          <w:spacing w:val="-21"/>
        </w:rPr>
        <w:t xml:space="preserve"> </w:t>
      </w:r>
      <w:r>
        <w:rPr>
          <w:rFonts w:ascii="Times New Roman" w:hAnsi="Times New Roman" w:eastAsia="Times New Roman" w:cs="Times New Roman"/>
          <w:spacing w:val="5"/>
        </w:rPr>
        <w:t>1 </w:t>
      </w:r>
      <w:r>
        <w:rPr>
          <w:spacing w:val="4"/>
        </w:rPr>
        <w:t>亿元的</w:t>
      </w:r>
      <w:r>
        <w:rPr/>
        <w:t>特大型地质灾害隐患点，地方各级政府接报后，</w:t>
      </w:r>
      <w:r>
        <w:rPr>
          <w:spacing w:val="-4"/>
        </w:rPr>
        <w:t>要在</w:t>
      </w:r>
      <w:r>
        <w:rPr>
          <w:rFonts w:ascii="Times New Roman" w:hAnsi="Times New Roman" w:eastAsia="Times New Roman" w:cs="Times New Roman"/>
          <w:spacing w:val="-4"/>
        </w:rPr>
        <w:t>24</w:t>
      </w:r>
      <w:r>
        <w:rPr>
          <w:rFonts w:ascii="Times New Roman" w:hAnsi="Times New Roman" w:eastAsia="Times New Roman" w:cs="Times New Roman"/>
        </w:rPr>
        <w:t xml:space="preserve"> </w:t>
      </w:r>
      <w:r>
        <w:rPr>
          <w:spacing w:val="-4"/>
        </w:rPr>
        <w:t>小时之内将险情和采取的应急防治措施上</w:t>
      </w:r>
      <w:r>
        <w:rPr>
          <w:spacing w:val="7"/>
        </w:rPr>
        <w:t>报自治区政府和自然资源厅，并根据地质灾害</w:t>
      </w:r>
      <w:r>
        <w:rPr>
          <w:spacing w:val="9"/>
        </w:rPr>
        <w:t>隐患变化情况，随时做好续报工作。</w:t>
      </w:r>
    </w:p>
    <w:p>
      <w:pPr>
        <w:pStyle w:val="BodyText"/>
        <w:ind w:left="443"/>
        <w:spacing w:before="161" w:line="276" w:lineRule="exact"/>
        <w:rPr/>
      </w:pPr>
      <w:r>
        <w:rPr>
          <w:spacing w:val="8"/>
          <w:position w:val="1"/>
        </w:rPr>
        <w:t>报告内容主要包括：</w:t>
      </w:r>
    </w:p>
    <w:p>
      <w:pPr>
        <w:pStyle w:val="BodyText"/>
        <w:ind w:left="21" w:right="249" w:firstLine="411"/>
        <w:spacing w:before="129" w:line="350"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）尽可能详细说明地质灾害发生的地</w:t>
      </w:r>
      <w:r>
        <w:rPr>
          <w:spacing w:val="1"/>
        </w:rPr>
        <w:t>点、时间、伤亡和失踪的人数、地质灾害类型、</w:t>
      </w:r>
      <w:r>
        <w:rPr>
          <w:spacing w:val="7"/>
        </w:rPr>
        <w:t>灾害体的规模、诱发因素和成灾原因、可能造</w:t>
      </w:r>
      <w:r>
        <w:rPr>
          <w:spacing w:val="7"/>
        </w:rPr>
        <w:t>成的危害程度、影响范围、直接经济损失，已</w:t>
      </w:r>
      <w:r>
        <w:rPr>
          <w:spacing w:val="13"/>
        </w:rPr>
        <w:t>采取的应急处置措施</w:t>
      </w:r>
      <w:r>
        <w:rPr>
          <w:spacing w:val="-53"/>
        </w:rPr>
        <w:t xml:space="preserve"> </w:t>
      </w:r>
      <w:r>
        <w:rPr>
          <w:spacing w:val="13"/>
        </w:rPr>
        <w:t>，</w:t>
      </w:r>
      <w:r>
        <w:rPr>
          <w:spacing w:val="-50"/>
        </w:rPr>
        <w:t xml:space="preserve"> </w:t>
      </w:r>
      <w:r>
        <w:rPr>
          <w:spacing w:val="13"/>
        </w:rPr>
        <w:t>目前事件处置进展情</w:t>
      </w:r>
      <w:r>
        <w:rPr>
          <w:spacing w:val="8"/>
        </w:rPr>
        <w:t>况，下一步拟采取的措施。</w:t>
      </w:r>
    </w:p>
    <w:p>
      <w:pPr>
        <w:pStyle w:val="BodyText"/>
        <w:ind w:left="27" w:right="330" w:firstLine="405"/>
        <w:spacing w:before="162" w:line="298"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）按照《固原市政府办公室关于建立</w:t>
      </w:r>
      <w:r>
        <w:rPr>
          <w:spacing w:val="17"/>
        </w:rPr>
        <w:t>突发事件应急处置工作联络员报告制度的通</w:t>
      </w:r>
    </w:p>
    <w:p>
      <w:pPr>
        <w:spacing w:line="14" w:lineRule="auto"/>
        <w:rPr>
          <w:rFonts w:ascii="Arial"/>
          <w:sz w:val="2"/>
        </w:rPr>
      </w:pPr>
      <w:r>
        <w:rPr>
          <w:rFonts w:ascii="Arial" w:hAnsi="Arial" w:eastAsia="Arial" w:cs="Arial"/>
          <w:sz w:val="2"/>
          <w:szCs w:val="2"/>
        </w:rPr>
        <w:br w:type="column"/>
      </w:r>
    </w:p>
    <w:p>
      <w:pPr>
        <w:pStyle w:val="BodyText"/>
        <w:ind w:left="1" w:firstLine="2"/>
        <w:spacing w:before="49" w:line="375" w:lineRule="auto"/>
        <w:jc w:val="both"/>
        <w:rPr/>
      </w:pPr>
      <w:r>
        <w:rPr>
          <w:spacing w:val="-12"/>
        </w:rPr>
        <w:t>知》（</w:t>
      </w:r>
      <w:r>
        <w:rPr>
          <w:spacing w:val="-47"/>
        </w:rPr>
        <w:t xml:space="preserve"> </w:t>
      </w:r>
      <w:r>
        <w:rPr>
          <w:spacing w:val="-12"/>
        </w:rPr>
        <w:t>固政办发〔</w:t>
      </w:r>
      <w:r>
        <w:rPr>
          <w:rFonts w:ascii="Times New Roman" w:hAnsi="Times New Roman" w:eastAsia="Times New Roman" w:cs="Times New Roman"/>
          <w:spacing w:val="-12"/>
        </w:rPr>
        <w:t>2016</w:t>
      </w:r>
      <w:r>
        <w:rPr>
          <w:rFonts w:ascii="Times New Roman" w:hAnsi="Times New Roman" w:eastAsia="Times New Roman" w:cs="Times New Roman"/>
          <w:spacing w:val="-28"/>
        </w:rPr>
        <w:t xml:space="preserve"> </w:t>
      </w:r>
      <w:r>
        <w:rPr>
          <w:spacing w:val="-12"/>
        </w:rPr>
        <w:t>〕</w:t>
      </w:r>
      <w:r>
        <w:rPr>
          <w:rFonts w:ascii="Times New Roman" w:hAnsi="Times New Roman" w:eastAsia="Times New Roman" w:cs="Times New Roman"/>
          <w:spacing w:val="-12"/>
        </w:rPr>
        <w:t>87 </w:t>
      </w:r>
      <w:r>
        <w:rPr>
          <w:spacing w:val="-12"/>
        </w:rPr>
        <w:t>号）要求，</w:t>
      </w:r>
      <w:r>
        <w:rPr>
          <w:spacing w:val="-13"/>
        </w:rPr>
        <w:t>各县（</w:t>
      </w:r>
      <w:r>
        <w:rPr>
          <w:spacing w:val="-52"/>
        </w:rPr>
        <w:t xml:space="preserve"> </w:t>
      </w:r>
      <w:r>
        <w:rPr>
          <w:spacing w:val="-13"/>
        </w:rPr>
        <w:t>区）</w:t>
      </w:r>
      <w:r>
        <w:rPr>
          <w:spacing w:val="18"/>
        </w:rPr>
        <w:t>政府和市地质灾害应急指挥部在向市政府首</w:t>
      </w:r>
      <w:r>
        <w:rPr>
          <w:spacing w:val="7"/>
        </w:rPr>
        <w:t>报突发事件信息的同时，要按照文件规定的联</w:t>
      </w:r>
      <w:r>
        <w:rPr>
          <w:spacing w:val="10"/>
        </w:rPr>
        <w:t>络员范围报告联络员姓名、职务、联系方式、</w:t>
      </w:r>
      <w:r>
        <w:rPr>
          <w:spacing w:val="10"/>
        </w:rPr>
        <w:t>出发时间、到达现场时间或拟达到现场时间。</w:t>
      </w:r>
      <w:r>
        <w:rPr>
          <w:spacing w:val="9"/>
        </w:rPr>
        <w:t>如在处置过程中更换联络员，要及时报备。</w:t>
      </w:r>
    </w:p>
    <w:p>
      <w:pPr>
        <w:pStyle w:val="BodyText"/>
        <w:ind w:right="48" w:firstLine="419"/>
        <w:spacing w:before="4" w:line="373" w:lineRule="auto"/>
        <w:jc w:val="both"/>
        <w:rPr/>
      </w:pPr>
      <w:r>
        <w:rPr>
          <w:spacing w:val="4"/>
        </w:rPr>
        <w:t>应急处置联络员包括：事发县（</w:t>
      </w:r>
      <w:r>
        <w:rPr>
          <w:spacing w:val="-47"/>
        </w:rPr>
        <w:t xml:space="preserve"> </w:t>
      </w:r>
      <w:r>
        <w:rPr>
          <w:spacing w:val="4"/>
        </w:rPr>
        <w:t>区）政府</w:t>
      </w:r>
      <w:r>
        <w:rPr>
          <w:spacing w:val="7"/>
        </w:rPr>
        <w:t>赶赴现场指挥先期处置工作的主要领导、分管</w:t>
      </w:r>
      <w:r>
        <w:rPr/>
        <w:t>领导和随同前往的县（区）政府办公室负责人；</w:t>
      </w:r>
      <w:r>
        <w:rPr>
          <w:spacing w:val="18"/>
        </w:rPr>
        <w:t>市地质灾害应急指挥部各成员或成员单位负</w:t>
      </w:r>
      <w:r>
        <w:rPr>
          <w:spacing w:val="7"/>
        </w:rPr>
        <w:t>责人及指挥部办公室主任；赶赴现场的市有关</w:t>
      </w:r>
      <w:r>
        <w:rPr>
          <w:spacing w:val="7"/>
        </w:rPr>
        <w:t>部门、单位领导和地质灾害应急指挥部办公室</w:t>
      </w:r>
      <w:r>
        <w:rPr>
          <w:spacing w:val="6"/>
        </w:rPr>
        <w:t>负责人。</w:t>
      </w:r>
    </w:p>
    <w:p>
      <w:pPr>
        <w:pStyle w:val="BodyText"/>
        <w:ind w:left="1" w:right="108" w:firstLine="418"/>
        <w:spacing w:before="7" w:line="350" w:lineRule="auto"/>
        <w:rPr/>
      </w:pPr>
      <w:r>
        <w:rPr>
          <w:rFonts w:ascii="Times New Roman" w:hAnsi="Times New Roman" w:eastAsia="Times New Roman" w:cs="Times New Roman"/>
          <w:spacing w:val="8"/>
        </w:rPr>
        <w:t>4.2  </w:t>
      </w:r>
      <w:r>
        <w:rPr>
          <w:rFonts w:ascii="KaiTi" w:hAnsi="KaiTi" w:eastAsia="KaiTi" w:cs="KaiTi"/>
          <w:spacing w:val="8"/>
        </w:rPr>
        <w:t>先期处置。</w:t>
      </w:r>
      <w:r>
        <w:rPr>
          <w:spacing w:val="8"/>
        </w:rPr>
        <w:t>对特别重大、重大、较大</w:t>
      </w:r>
      <w:r>
        <w:rPr>
          <w:spacing w:val="7"/>
        </w:rPr>
        <w:t>突发地质灾害或者事件本身比较敏感，可能演</w:t>
      </w:r>
      <w:r>
        <w:rPr>
          <w:spacing w:val="7"/>
        </w:rPr>
        <w:t>化为特别重大、重大、较大突发地质灾害的，</w:t>
      </w:r>
      <w:r>
        <w:rPr>
          <w:spacing w:val="4"/>
        </w:rPr>
        <w:t>事发县（</w:t>
      </w:r>
      <w:r>
        <w:rPr>
          <w:spacing w:val="-37"/>
        </w:rPr>
        <w:t xml:space="preserve"> </w:t>
      </w:r>
      <w:r>
        <w:rPr>
          <w:spacing w:val="4"/>
        </w:rPr>
        <w:t>区）政府和相关单位要第一时间赶到</w:t>
      </w:r>
      <w:r>
        <w:rPr>
          <w:spacing w:val="7"/>
        </w:rPr>
        <w:t>现场，按照相关应急预案，组织开展先期处置</w:t>
      </w:r>
      <w:r>
        <w:rPr>
          <w:spacing w:val="4"/>
        </w:rPr>
        <w:t>工作。</w:t>
      </w:r>
    </w:p>
    <w:p>
      <w:pPr>
        <w:pStyle w:val="BodyText"/>
        <w:ind w:left="3" w:right="114" w:firstLine="416"/>
        <w:spacing w:before="162" w:line="300" w:lineRule="auto"/>
        <w:rPr/>
      </w:pPr>
      <w:r>
        <w:rPr>
          <w:rFonts w:ascii="Times New Roman" w:hAnsi="Times New Roman" w:eastAsia="Times New Roman" w:cs="Times New Roman"/>
          <w:spacing w:val="8"/>
        </w:rPr>
        <w:t>4.3  </w:t>
      </w:r>
      <w:r>
        <w:rPr>
          <w:rFonts w:ascii="KaiTi" w:hAnsi="KaiTi" w:eastAsia="KaiTi" w:cs="KaiTi"/>
          <w:spacing w:val="8"/>
        </w:rPr>
        <w:t>响应启动。</w:t>
      </w:r>
      <w:r>
        <w:rPr>
          <w:spacing w:val="8"/>
        </w:rPr>
        <w:t>按照地质灾害突发事件的</w:t>
      </w:r>
      <w:r>
        <w:rPr>
          <w:spacing w:val="7"/>
        </w:rPr>
        <w:t>可控性、严重程度和影响范围、应急响应分为</w:t>
      </w:r>
    </w:p>
    <w:p>
      <w:pPr>
        <w:pStyle w:val="BodyText"/>
        <w:ind w:left="1" w:right="37"/>
        <w:spacing w:before="165" w:line="297" w:lineRule="auto"/>
        <w:rPr/>
      </w:pPr>
      <w:r>
        <w:rPr>
          <w:rFonts w:ascii="Times New Roman" w:hAnsi="Times New Roman" w:eastAsia="Times New Roman" w:cs="Times New Roman"/>
        </w:rPr>
        <w:t>IV</w:t>
      </w:r>
      <w:r>
        <w:rPr>
          <w:rFonts w:ascii="Times New Roman" w:hAnsi="Times New Roman" w:eastAsia="Times New Roman" w:cs="Times New Roman"/>
          <w:spacing w:val="6"/>
        </w:rPr>
        <w:t xml:space="preserve"> </w:t>
      </w:r>
      <w:r>
        <w:rPr>
          <w:spacing w:val="6"/>
        </w:rPr>
        <w:t>级、</w:t>
      </w:r>
      <w:r>
        <w:rPr>
          <w:rFonts w:ascii="Times New Roman" w:hAnsi="Times New Roman" w:eastAsia="Times New Roman" w:cs="Times New Roman"/>
        </w:rPr>
        <w:t>III</w:t>
      </w:r>
      <w:r>
        <w:rPr>
          <w:rFonts w:ascii="Times New Roman" w:hAnsi="Times New Roman" w:eastAsia="Times New Roman" w:cs="Times New Roman"/>
          <w:spacing w:val="6"/>
        </w:rPr>
        <w:t xml:space="preserve"> </w:t>
      </w:r>
      <w:r>
        <w:rPr>
          <w:spacing w:val="6"/>
        </w:rPr>
        <w:t>级、</w:t>
      </w:r>
      <w:r>
        <w:rPr>
          <w:rFonts w:ascii="Times New Roman" w:hAnsi="Times New Roman" w:eastAsia="Times New Roman" w:cs="Times New Roman"/>
        </w:rPr>
        <w:t>II</w:t>
      </w:r>
      <w:r>
        <w:rPr>
          <w:rFonts w:ascii="Times New Roman" w:hAnsi="Times New Roman" w:eastAsia="Times New Roman" w:cs="Times New Roman"/>
          <w:spacing w:val="6"/>
        </w:rPr>
        <w:t xml:space="preserve"> </w:t>
      </w:r>
      <w:r>
        <w:rPr>
          <w:spacing w:val="6"/>
        </w:rPr>
        <w:t>级、</w:t>
      </w:r>
      <w:r>
        <w:rPr>
          <w:rFonts w:ascii="Times New Roman" w:hAnsi="Times New Roman" w:eastAsia="Times New Roman" w:cs="Times New Roman"/>
          <w:spacing w:val="6"/>
        </w:rPr>
        <w:t>I </w:t>
      </w:r>
      <w:r>
        <w:rPr>
          <w:spacing w:val="6"/>
        </w:rPr>
        <w:t>级四级，依次分别对应</w:t>
      </w:r>
      <w:r>
        <w:rPr>
          <w:spacing w:val="1"/>
        </w:rPr>
        <w:t>一般、较大、重大、特别重大级别的突发事件。</w:t>
      </w:r>
    </w:p>
    <w:p>
      <w:pPr>
        <w:pStyle w:val="BodyText"/>
        <w:ind w:left="1" w:right="114" w:firstLine="418"/>
        <w:spacing w:before="169" w:line="374" w:lineRule="auto"/>
        <w:jc w:val="both"/>
        <w:rPr/>
      </w:pPr>
      <w:r>
        <w:rPr>
          <w:spacing w:val="7"/>
        </w:rPr>
        <w:t>应急响应启动后，可视事态发展及其情况</w:t>
      </w:r>
      <w:r>
        <w:rPr>
          <w:spacing w:val="7"/>
        </w:rPr>
        <w:t>变化对响应级别及时进行响应调整，避免响应</w:t>
      </w:r>
      <w:r>
        <w:rPr>
          <w:spacing w:val="7"/>
        </w:rPr>
        <w:t>不足或响应过度造成损失。地质灾害有扩大趋</w:t>
      </w:r>
      <w:r>
        <w:rPr>
          <w:spacing w:val="7"/>
        </w:rPr>
        <w:t>势或已扩大，需启动高级别应急响应时，应及</w:t>
      </w:r>
      <w:r>
        <w:rPr>
          <w:spacing w:val="8"/>
        </w:rPr>
        <w:t>时报告上一级应急救援指挥机构。</w:t>
      </w:r>
    </w:p>
    <w:p>
      <w:pPr>
        <w:pStyle w:val="BodyText"/>
        <w:ind w:right="48" w:firstLine="412"/>
        <w:spacing w:before="1" w:line="328" w:lineRule="auto"/>
        <w:jc w:val="both"/>
        <w:rPr/>
      </w:pPr>
      <w:r>
        <w:rPr>
          <w:spacing w:val="-5"/>
        </w:rPr>
        <w:t>（</w:t>
      </w:r>
      <w:r>
        <w:rPr>
          <w:spacing w:val="-41"/>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21"/>
        </w:rPr>
        <w:t xml:space="preserve"> </w:t>
      </w:r>
      <w:r>
        <w:rPr>
          <w:spacing w:val="-5"/>
        </w:rPr>
        <w:t>）</w:t>
      </w:r>
      <w:r>
        <w:rPr>
          <w:rFonts w:ascii="Times New Roman" w:hAnsi="Times New Roman" w:eastAsia="Times New Roman" w:cs="Times New Roman"/>
          <w:spacing w:val="-5"/>
        </w:rPr>
        <w:t>I </w:t>
      </w:r>
      <w:r>
        <w:rPr>
          <w:spacing w:val="-5"/>
        </w:rPr>
        <w:t>级响应。发生特别重大地质灾害时，</w:t>
      </w:r>
      <w:r>
        <w:rPr>
          <w:spacing w:val="8"/>
        </w:rPr>
        <w:t>由自治区政府宣布启动</w:t>
      </w:r>
      <w:r>
        <w:rPr>
          <w:spacing w:val="-40"/>
        </w:rPr>
        <w:t xml:space="preserve"> </w:t>
      </w:r>
      <w:r>
        <w:rPr>
          <w:rFonts w:ascii="Times New Roman" w:hAnsi="Times New Roman" w:eastAsia="Times New Roman" w:cs="Times New Roman"/>
          <w:spacing w:val="8"/>
        </w:rPr>
        <w:t>I </w:t>
      </w:r>
      <w:r>
        <w:rPr>
          <w:spacing w:val="8"/>
        </w:rPr>
        <w:t>级响应。在自治区政</w:t>
      </w:r>
      <w:r>
        <w:rPr>
          <w:spacing w:val="7"/>
        </w:rPr>
        <w:t>府的统一领导、指挥、协调下，市政府组织市</w:t>
      </w:r>
      <w:r>
        <w:rPr>
          <w:spacing w:val="7"/>
        </w:rPr>
        <w:t>地质灾害应急指挥部和事发地政府、有关部门</w:t>
      </w:r>
    </w:p>
    <w:p>
      <w:pPr>
        <w:spacing w:line="328" w:lineRule="auto"/>
        <w:sectPr>
          <w:type w:val="continuous"/>
          <w:pgSz w:w="11906" w:h="16839"/>
          <w:pgMar w:top="1772" w:right="1475" w:bottom="1572" w:left="1571" w:header="1428" w:footer="1172" w:gutter="0"/>
          <w:cols w:equalWidth="0" w:num="2">
            <w:col w:w="4498" w:space="100"/>
            <w:col w:w="4262" w:space="0"/>
          </w:cols>
        </w:sectPr>
        <w:rPr/>
      </w:pPr>
    </w:p>
    <w:p>
      <w:pPr>
        <w:spacing w:before="84"/>
        <w:rPr/>
      </w:pPr>
      <w:r>
        <w:drawing>
          <wp:anchor distT="0" distB="0" distL="0" distR="0" simplePos="0" relativeHeight="254491648" behindDoc="0" locked="0" layoutInCell="0" allowOverlap="1">
            <wp:simplePos x="0" y="0"/>
            <wp:positionH relativeFrom="page">
              <wp:posOffset>1008380</wp:posOffset>
            </wp:positionH>
            <wp:positionV relativeFrom="page">
              <wp:posOffset>1278890</wp:posOffset>
            </wp:positionV>
            <wp:extent cx="5579745" cy="7619"/>
            <wp:effectExtent l="0" t="0" r="0" b="0"/>
            <wp:wrapNone/>
            <wp:docPr id="2336" name="IM 2336"/>
            <wp:cNvGraphicFramePr/>
            <a:graphic>
              <a:graphicData uri="http://schemas.openxmlformats.org/drawingml/2006/picture">
                <pic:pic>
                  <pic:nvPicPr>
                    <pic:cNvPr id="2336" name="IM 2336"/>
                    <pic:cNvPicPr/>
                  </pic:nvPicPr>
                  <pic:blipFill>
                    <a:blip r:embed="rId1173"/>
                    <a:stretch>
                      <a:fillRect/>
                    </a:stretch>
                  </pic:blipFill>
                  <pic:spPr>
                    <a:xfrm rot="0">
                      <a:off x="0" y="0"/>
                      <a:ext cx="5579745" cy="7619"/>
                    </a:xfrm>
                    <a:prstGeom prst="rect">
                      <a:avLst/>
                    </a:prstGeom>
                  </pic:spPr>
                </pic:pic>
              </a:graphicData>
            </a:graphic>
          </wp:anchor>
        </w:drawing>
      </w:r>
      <w:r/>
    </w:p>
    <w:p>
      <w:pPr>
        <w:sectPr>
          <w:headerReference w:type="default" r:id="rId1171"/>
          <w:footerReference w:type="default" r:id="rId1172"/>
          <w:pgSz w:w="11906" w:h="16839"/>
          <w:pgMar w:top="1974" w:right="1480" w:bottom="1574" w:left="1579" w:header="1634" w:footer="1172" w:gutter="0"/>
          <w:cols w:equalWidth="0" w:num="1">
            <w:col w:w="8846" w:space="0"/>
          </w:cols>
        </w:sectPr>
        <w:rPr/>
      </w:pPr>
    </w:p>
    <w:p>
      <w:pPr>
        <w:pStyle w:val="BodyText"/>
        <w:ind w:left="17"/>
        <w:spacing w:before="40" w:line="220" w:lineRule="auto"/>
        <w:rPr/>
      </w:pPr>
      <w:r>
        <w:rPr>
          <w:spacing w:val="7"/>
        </w:rPr>
        <w:t>开展应急处置工作。</w:t>
      </w:r>
    </w:p>
    <w:p>
      <w:pPr>
        <w:pStyle w:val="BodyText"/>
        <w:ind w:left="37" w:right="329" w:firstLine="386"/>
        <w:spacing w:before="167" w:line="359" w:lineRule="auto"/>
        <w:rPr/>
      </w:pPr>
      <w:r>
        <w:rPr>
          <w:spacing w:val="12"/>
        </w:rPr>
        <w:t>（</w:t>
      </w:r>
      <w:r>
        <w:rPr>
          <w:rFonts w:ascii="Times New Roman" w:hAnsi="Times New Roman" w:eastAsia="Times New Roman" w:cs="Times New Roman"/>
          <w:spacing w:val="12"/>
        </w:rPr>
        <w:t>2</w:t>
      </w:r>
      <w:r>
        <w:rPr>
          <w:rFonts w:ascii="Times New Roman" w:hAnsi="Times New Roman" w:eastAsia="Times New Roman" w:cs="Times New Roman"/>
          <w:spacing w:val="-16"/>
        </w:rPr>
        <w:t xml:space="preserve"> </w:t>
      </w:r>
      <w:r>
        <w:rPr>
          <w:spacing w:val="12"/>
        </w:rPr>
        <w:t>）</w:t>
      </w:r>
      <w:r>
        <w:rPr>
          <w:rFonts w:ascii="Times New Roman" w:hAnsi="Times New Roman" w:eastAsia="Times New Roman" w:cs="Times New Roman"/>
        </w:rPr>
        <w:t>II</w:t>
      </w:r>
      <w:r>
        <w:rPr>
          <w:rFonts w:ascii="Times New Roman" w:hAnsi="Times New Roman" w:eastAsia="Times New Roman" w:cs="Times New Roman"/>
          <w:spacing w:val="12"/>
        </w:rPr>
        <w:t xml:space="preserve"> </w:t>
      </w:r>
      <w:r>
        <w:rPr>
          <w:spacing w:val="12"/>
        </w:rPr>
        <w:t>级响应。发生重大地质灾害时，</w:t>
      </w:r>
      <w:r>
        <w:rPr>
          <w:spacing w:val="14"/>
        </w:rPr>
        <w:t>由</w:t>
      </w:r>
      <w:r>
        <w:rPr>
          <w:spacing w:val="-46"/>
        </w:rPr>
        <w:t xml:space="preserve"> </w:t>
      </w:r>
      <w:r>
        <w:rPr>
          <w:spacing w:val="14"/>
        </w:rPr>
        <w:t>自治区突发地质灾害应急指挥部宣布启动</w:t>
      </w:r>
    </w:p>
    <w:p>
      <w:pPr>
        <w:pStyle w:val="BodyText"/>
        <w:ind w:left="14" w:right="327"/>
        <w:spacing w:before="45" w:line="339" w:lineRule="auto"/>
        <w:rPr/>
      </w:pPr>
      <w:r>
        <w:rPr>
          <w:rFonts w:ascii="Times New Roman" w:hAnsi="Times New Roman" w:eastAsia="Times New Roman" w:cs="Times New Roman"/>
        </w:rPr>
        <w:t>II</w:t>
      </w:r>
      <w:r>
        <w:rPr>
          <w:rFonts w:ascii="Times New Roman" w:hAnsi="Times New Roman" w:eastAsia="Times New Roman" w:cs="Times New Roman"/>
          <w:spacing w:val="8"/>
        </w:rPr>
        <w:t xml:space="preserve"> </w:t>
      </w:r>
      <w:r>
        <w:rPr>
          <w:spacing w:val="8"/>
        </w:rPr>
        <w:t>级响应，在自治区突发地质灾害应急指挥部</w:t>
      </w:r>
      <w:r>
        <w:rPr>
          <w:spacing w:val="7"/>
        </w:rPr>
        <w:t>的统一领导、指挥和协调下，市政府组织市突</w:t>
      </w:r>
      <w:r>
        <w:rPr>
          <w:spacing w:val="7"/>
        </w:rPr>
        <w:t>发地质灾害应急指挥部、事发地政府和有关部</w:t>
      </w:r>
      <w:r>
        <w:rPr>
          <w:spacing w:val="8"/>
        </w:rPr>
        <w:t>门按照职责分工开展应急处置工作。</w:t>
      </w:r>
    </w:p>
    <w:p>
      <w:pPr>
        <w:pStyle w:val="BodyText"/>
        <w:ind w:left="12" w:right="327" w:firstLine="412"/>
        <w:spacing w:before="165" w:line="353" w:lineRule="auto"/>
        <w:rPr/>
      </w:pPr>
      <w:r>
        <w:rPr>
          <w:spacing w:val="8"/>
        </w:rPr>
        <w:t>（</w:t>
      </w:r>
      <w:r>
        <w:rPr>
          <w:rFonts w:ascii="Times New Roman" w:hAnsi="Times New Roman" w:eastAsia="Times New Roman" w:cs="Times New Roman"/>
          <w:spacing w:val="8"/>
        </w:rPr>
        <w:t>3</w:t>
      </w:r>
      <w:r>
        <w:rPr>
          <w:rFonts w:ascii="Times New Roman" w:hAnsi="Times New Roman" w:eastAsia="Times New Roman" w:cs="Times New Roman"/>
          <w:spacing w:val="-9"/>
        </w:rPr>
        <w:t xml:space="preserve"> </w:t>
      </w:r>
      <w:r>
        <w:rPr>
          <w:spacing w:val="8"/>
        </w:rPr>
        <w:t>）</w:t>
      </w:r>
      <w:r>
        <w:rPr>
          <w:rFonts w:ascii="Times New Roman" w:hAnsi="Times New Roman" w:eastAsia="Times New Roman" w:cs="Times New Roman"/>
        </w:rPr>
        <w:t>III</w:t>
      </w:r>
      <w:r>
        <w:rPr>
          <w:rFonts w:ascii="Times New Roman" w:hAnsi="Times New Roman" w:eastAsia="Times New Roman" w:cs="Times New Roman"/>
          <w:spacing w:val="8"/>
        </w:rPr>
        <w:t xml:space="preserve"> </w:t>
      </w:r>
      <w:r>
        <w:rPr>
          <w:spacing w:val="8"/>
        </w:rPr>
        <w:t>级响应。发生较大地质灾害时，</w:t>
      </w:r>
      <w:r>
        <w:rPr>
          <w:spacing w:val="18"/>
        </w:rPr>
        <w:t>市突发地质灾害应急指挥部办公室组织各成</w:t>
      </w:r>
      <w:r>
        <w:rPr>
          <w:spacing w:val="7"/>
        </w:rPr>
        <w:t>员单位和专家进行分析研判，对事件及其发展</w:t>
      </w:r>
      <w:r>
        <w:rPr>
          <w:spacing w:val="7"/>
        </w:rPr>
        <w:t>趋势进行综合评估后，由市突发地质灾害应急</w:t>
      </w:r>
      <w:r>
        <w:rPr>
          <w:spacing w:val="12"/>
        </w:rPr>
        <w:t>指挥部决定启动</w:t>
      </w:r>
      <w:r>
        <w:rPr>
          <w:spacing w:val="-31"/>
        </w:rPr>
        <w:t xml:space="preserve"> </w:t>
      </w:r>
      <w:r>
        <w:rPr>
          <w:rFonts w:ascii="Times New Roman" w:hAnsi="Times New Roman" w:eastAsia="Times New Roman" w:cs="Times New Roman"/>
        </w:rPr>
        <w:t>III</w:t>
      </w:r>
      <w:r>
        <w:rPr>
          <w:rFonts w:ascii="Times New Roman" w:hAnsi="Times New Roman" w:eastAsia="Times New Roman" w:cs="Times New Roman"/>
          <w:spacing w:val="12"/>
        </w:rPr>
        <w:t xml:space="preserve"> </w:t>
      </w:r>
      <w:r>
        <w:rPr>
          <w:spacing w:val="12"/>
        </w:rPr>
        <w:t>级应急响应，并向各有关</w:t>
      </w:r>
      <w:r>
        <w:rPr>
          <w:spacing w:val="9"/>
        </w:rPr>
        <w:t>单位发布启动相关应急程序的命令。</w:t>
      </w:r>
    </w:p>
    <w:p>
      <w:pPr>
        <w:pStyle w:val="BodyText"/>
        <w:ind w:left="11" w:right="322" w:firstLine="413"/>
        <w:spacing w:before="166" w:line="365"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9"/>
        </w:rPr>
        <w:t xml:space="preserve"> </w:t>
      </w:r>
      <w:r>
        <w:rPr>
          <w:spacing w:val="11"/>
        </w:rPr>
        <w:t>）</w:t>
      </w:r>
      <w:r>
        <w:rPr>
          <w:rFonts w:ascii="Times New Roman" w:hAnsi="Times New Roman" w:eastAsia="Times New Roman" w:cs="Times New Roman"/>
          <w:spacing w:val="11"/>
        </w:rPr>
        <w:t>Ⅳ</w:t>
      </w:r>
      <w:r>
        <w:rPr>
          <w:spacing w:val="11"/>
        </w:rPr>
        <w:t>级响应。发生一般地质灾害时，</w:t>
      </w:r>
      <w:r>
        <w:rPr>
          <w:spacing w:val="4"/>
        </w:rPr>
        <w:t>事发县（</w:t>
      </w:r>
      <w:r>
        <w:rPr>
          <w:spacing w:val="-34"/>
        </w:rPr>
        <w:t xml:space="preserve"> </w:t>
      </w:r>
      <w:r>
        <w:rPr>
          <w:spacing w:val="4"/>
        </w:rPr>
        <w:t>区）政府或其地质灾害突发事件应急</w:t>
      </w:r>
      <w:r>
        <w:rPr>
          <w:spacing w:val="7"/>
        </w:rPr>
        <w:t>指挥部组织各成员单位和专家进行分析研判，</w:t>
      </w:r>
      <w:r>
        <w:rPr>
          <w:spacing w:val="7"/>
        </w:rPr>
        <w:t>对事件影响及其发展趋势进行综合评估后，由</w:t>
      </w:r>
      <w:r>
        <w:rPr>
          <w:spacing w:val="4"/>
        </w:rPr>
        <w:t>事发县（</w:t>
      </w:r>
      <w:r>
        <w:rPr>
          <w:spacing w:val="-34"/>
        </w:rPr>
        <w:t xml:space="preserve"> </w:t>
      </w:r>
      <w:r>
        <w:rPr>
          <w:spacing w:val="4"/>
        </w:rPr>
        <w:t>区）突发地质灾害应急指挥部决定启</w:t>
      </w:r>
      <w:r>
        <w:rPr>
          <w:spacing w:val="6"/>
        </w:rPr>
        <w:t>动</w:t>
      </w:r>
      <w:r>
        <w:rPr>
          <w:rFonts w:ascii="Times New Roman" w:hAnsi="Times New Roman" w:eastAsia="Times New Roman" w:cs="Times New Roman"/>
          <w:spacing w:val="6"/>
        </w:rPr>
        <w:t>Ⅳ</w:t>
      </w:r>
      <w:r>
        <w:rPr>
          <w:spacing w:val="6"/>
        </w:rPr>
        <w:t>级应急响应，并向各有关单位发布启动相</w:t>
      </w:r>
      <w:r>
        <w:rPr>
          <w:spacing w:val="7"/>
        </w:rPr>
        <w:t>关应急程序的命令。必要时，市突发地质灾害</w:t>
      </w:r>
      <w:r>
        <w:rPr>
          <w:spacing w:val="7"/>
        </w:rPr>
        <w:t>应急指挥部派出工作组赶赴事件现场，指导开</w:t>
      </w:r>
      <w:r>
        <w:rPr>
          <w:spacing w:val="8"/>
        </w:rPr>
        <w:t>展相关应急处置工作。</w:t>
      </w:r>
    </w:p>
    <w:p>
      <w:pPr>
        <w:ind w:left="432"/>
        <w:spacing w:before="170" w:line="265" w:lineRule="exact"/>
        <w:rPr>
          <w:rFonts w:ascii="KaiTi" w:hAnsi="KaiTi" w:eastAsia="KaiTi" w:cs="KaiTi"/>
          <w:sz w:val="20"/>
          <w:szCs w:val="20"/>
        </w:rPr>
      </w:pPr>
      <w:r>
        <w:rPr>
          <w:rFonts w:ascii="Times New Roman" w:hAnsi="Times New Roman" w:eastAsia="Times New Roman" w:cs="Times New Roman"/>
          <w:sz w:val="20"/>
          <w:szCs w:val="20"/>
          <w:spacing w:val="5"/>
          <w:position w:val="1"/>
        </w:rPr>
        <w:t>4.4  </w:t>
      </w:r>
      <w:r>
        <w:rPr>
          <w:rFonts w:ascii="KaiTi" w:hAnsi="KaiTi" w:eastAsia="KaiTi" w:cs="KaiTi"/>
          <w:sz w:val="20"/>
          <w:szCs w:val="20"/>
          <w:spacing w:val="5"/>
          <w:position w:val="1"/>
        </w:rPr>
        <w:t>响应措施。</w:t>
      </w:r>
    </w:p>
    <w:p>
      <w:pPr>
        <w:pStyle w:val="BodyText"/>
        <w:ind w:left="17" w:right="332" w:firstLine="407"/>
        <w:spacing w:before="150" w:line="302" w:lineRule="auto"/>
        <w:rPr/>
      </w:pPr>
      <w:r>
        <w:rPr>
          <w:spacing w:val="6"/>
        </w:rPr>
        <w:t>（</w:t>
      </w:r>
      <w:r>
        <w:rPr>
          <w:spacing w:val="-34"/>
        </w:rPr>
        <w:t xml:space="preserve"> </w:t>
      </w:r>
      <w:r>
        <w:rPr>
          <w:rFonts w:ascii="Times New Roman" w:hAnsi="Times New Roman" w:eastAsia="Times New Roman" w:cs="Times New Roman"/>
          <w:spacing w:val="6"/>
        </w:rPr>
        <w:t>1 </w:t>
      </w:r>
      <w:r>
        <w:rPr>
          <w:spacing w:val="6"/>
        </w:rPr>
        <w:t>）固原市突发地质灾害应急指挥部紧</w:t>
      </w:r>
      <w:r>
        <w:rPr>
          <w:spacing w:val="6"/>
        </w:rPr>
        <w:t>急处置措施。</w:t>
      </w:r>
    </w:p>
    <w:p>
      <w:pPr>
        <w:pStyle w:val="BodyText"/>
        <w:ind w:left="4" w:right="306" w:firstLine="426"/>
        <w:spacing w:before="180" w:line="358" w:lineRule="auto"/>
        <w:jc w:val="both"/>
        <w:rPr/>
      </w:pPr>
      <w:r>
        <w:rPr>
          <w:spacing w:val="7"/>
        </w:rPr>
        <w:t>启动</w:t>
      </w:r>
      <w:r>
        <w:rPr>
          <w:rFonts w:ascii="Times New Roman" w:hAnsi="Times New Roman" w:eastAsia="Times New Roman" w:cs="Times New Roman"/>
          <w:spacing w:val="7"/>
        </w:rPr>
        <w:t>Ⅰ</w:t>
      </w:r>
      <w:r>
        <w:rPr>
          <w:spacing w:val="7"/>
        </w:rPr>
        <w:t>级、</w:t>
      </w:r>
      <w:r>
        <w:rPr>
          <w:rFonts w:ascii="Times New Roman" w:hAnsi="Times New Roman" w:eastAsia="Times New Roman" w:cs="Times New Roman"/>
          <w:spacing w:val="7"/>
        </w:rPr>
        <w:t>Ⅱ</w:t>
      </w:r>
      <w:r>
        <w:rPr>
          <w:spacing w:val="7"/>
        </w:rPr>
        <w:t>级和</w:t>
      </w:r>
      <w:r>
        <w:rPr>
          <w:rFonts w:ascii="Times New Roman" w:hAnsi="Times New Roman" w:eastAsia="Times New Roman" w:cs="Times New Roman"/>
          <w:spacing w:val="7"/>
        </w:rPr>
        <w:t>Ⅲ</w:t>
      </w:r>
      <w:r>
        <w:rPr>
          <w:spacing w:val="7"/>
        </w:rPr>
        <w:t>级应急响应时，市突发</w:t>
      </w:r>
      <w:r>
        <w:rPr>
          <w:spacing w:val="5"/>
        </w:rPr>
        <w:t>地质灾害应急指挥部指导有关县（</w:t>
      </w:r>
      <w:r>
        <w:rPr>
          <w:spacing w:val="-47"/>
        </w:rPr>
        <w:t xml:space="preserve"> </w:t>
      </w:r>
      <w:r>
        <w:rPr>
          <w:spacing w:val="5"/>
        </w:rPr>
        <w:t>区）、部门</w:t>
      </w:r>
      <w:r>
        <w:rPr>
          <w:spacing w:val="7"/>
        </w:rPr>
        <w:t>（单位）开展先期处置工作；派出各个职能小</w:t>
      </w:r>
      <w:r>
        <w:rPr>
          <w:spacing w:val="8"/>
        </w:rPr>
        <w:t>组参与抢险救灾，包括组织营救、伤员救治、</w:t>
      </w:r>
      <w:r>
        <w:rPr>
          <w:spacing w:val="7"/>
        </w:rPr>
        <w:t>疏散撤离和妥善安置受到威胁的人员，及时上</w:t>
      </w:r>
      <w:r>
        <w:rPr>
          <w:spacing w:val="8"/>
        </w:rPr>
        <w:t>报事件情况和人员伤亡情况，分配救援任务，</w:t>
      </w:r>
    </w:p>
    <w:p>
      <w:pPr>
        <w:spacing w:line="14" w:lineRule="auto"/>
        <w:rPr>
          <w:rFonts w:ascii="Arial"/>
          <w:sz w:val="2"/>
        </w:rPr>
      </w:pPr>
      <w:r>
        <w:rPr>
          <w:rFonts w:ascii="Arial" w:hAnsi="Arial" w:eastAsia="Arial" w:cs="Arial"/>
          <w:sz w:val="2"/>
          <w:szCs w:val="2"/>
        </w:rPr>
        <w:br w:type="column"/>
      </w:r>
    </w:p>
    <w:p>
      <w:pPr>
        <w:pStyle w:val="BodyText"/>
        <w:ind w:left="4" w:right="110" w:hanging="3"/>
        <w:spacing w:before="44" w:line="381" w:lineRule="auto"/>
        <w:jc w:val="both"/>
        <w:rPr/>
      </w:pPr>
      <w:r>
        <w:rPr>
          <w:spacing w:val="7"/>
        </w:rPr>
        <w:t>协调各级各类救援队伍，查明并及时组织力量</w:t>
      </w:r>
      <w:r>
        <w:rPr>
          <w:spacing w:val="7"/>
        </w:rPr>
        <w:t>消除次生灾害，组织抢修公共设施，接受与分</w:t>
      </w:r>
      <w:r>
        <w:rPr>
          <w:spacing w:val="7"/>
        </w:rPr>
        <w:t>配援助物资等。</w:t>
      </w:r>
    </w:p>
    <w:p>
      <w:pPr>
        <w:pStyle w:val="BodyText"/>
        <w:ind w:right="45" w:firstLine="419"/>
        <w:spacing w:before="3" w:line="376" w:lineRule="auto"/>
        <w:jc w:val="both"/>
        <w:rPr/>
      </w:pPr>
      <w:r>
        <w:rPr>
          <w:spacing w:val="7"/>
        </w:rPr>
        <w:t>启动</w:t>
      </w:r>
      <w:r>
        <w:rPr>
          <w:rFonts w:ascii="Times New Roman" w:hAnsi="Times New Roman" w:eastAsia="Times New Roman" w:cs="Times New Roman"/>
          <w:spacing w:val="7"/>
        </w:rPr>
        <w:t>Ⅳ</w:t>
      </w:r>
      <w:r>
        <w:rPr>
          <w:spacing w:val="7"/>
        </w:rPr>
        <w:t>级应急响应时，指导事发县（</w:t>
      </w:r>
      <w:r>
        <w:rPr>
          <w:spacing w:val="-46"/>
        </w:rPr>
        <w:t xml:space="preserve"> </w:t>
      </w:r>
      <w:r>
        <w:rPr>
          <w:spacing w:val="7"/>
        </w:rPr>
        <w:t>区）</w:t>
      </w:r>
      <w:r>
        <w:rPr>
          <w:spacing w:val="7"/>
        </w:rPr>
        <w:t>政府做好具体应急处置工作。必要时，派出工</w:t>
      </w:r>
      <w:r>
        <w:rPr>
          <w:spacing w:val="8"/>
        </w:rPr>
        <w:t>作组给予指导支援。</w:t>
      </w:r>
    </w:p>
    <w:p>
      <w:pPr>
        <w:pStyle w:val="BodyText"/>
        <w:ind w:left="1" w:right="112" w:firstLine="411"/>
        <w:spacing w:before="17" w:line="361"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）市突发地质灾害指挥部办公室紧急</w:t>
      </w:r>
      <w:r>
        <w:rPr>
          <w:spacing w:val="6"/>
        </w:rPr>
        <w:t>处置措施。</w:t>
      </w:r>
    </w:p>
    <w:p>
      <w:pPr>
        <w:pStyle w:val="BodyText"/>
        <w:ind w:left="2" w:right="107" w:firstLine="417"/>
        <w:spacing w:before="50" w:line="382" w:lineRule="auto"/>
        <w:jc w:val="both"/>
        <w:rPr/>
      </w:pPr>
      <w:r>
        <w:rPr>
          <w:spacing w:val="7"/>
        </w:rPr>
        <w:t>启动</w:t>
      </w:r>
      <w:r>
        <w:rPr>
          <w:rFonts w:ascii="Times New Roman" w:hAnsi="Times New Roman" w:eastAsia="Times New Roman" w:cs="Times New Roman"/>
          <w:spacing w:val="7"/>
        </w:rPr>
        <w:t>Ⅰ</w:t>
      </w:r>
      <w:r>
        <w:rPr>
          <w:spacing w:val="7"/>
        </w:rPr>
        <w:t>级、</w:t>
      </w:r>
      <w:r>
        <w:rPr>
          <w:rFonts w:ascii="Times New Roman" w:hAnsi="Times New Roman" w:eastAsia="Times New Roman" w:cs="Times New Roman"/>
          <w:spacing w:val="7"/>
        </w:rPr>
        <w:t>Ⅱ</w:t>
      </w:r>
      <w:r>
        <w:rPr>
          <w:spacing w:val="7"/>
        </w:rPr>
        <w:t>级和</w:t>
      </w:r>
      <w:r>
        <w:rPr>
          <w:rFonts w:ascii="Times New Roman" w:hAnsi="Times New Roman" w:eastAsia="Times New Roman" w:cs="Times New Roman"/>
          <w:spacing w:val="7"/>
        </w:rPr>
        <w:t>Ⅲ</w:t>
      </w:r>
      <w:r>
        <w:rPr>
          <w:spacing w:val="7"/>
        </w:rPr>
        <w:t>级应急响应时，市地质</w:t>
      </w:r>
      <w:r>
        <w:rPr>
          <w:spacing w:val="7"/>
        </w:rPr>
        <w:t>灾害应急指挥部办公室根据指挥部决定，立即</w:t>
      </w:r>
      <w:r>
        <w:rPr>
          <w:spacing w:val="7"/>
        </w:rPr>
        <w:t>通知各工作组开展应急处置工作；跟踪抢险救</w:t>
      </w:r>
      <w:r>
        <w:rPr>
          <w:spacing w:val="7"/>
        </w:rPr>
        <w:t>灾工作开展情况，做好信息的收集上报和通报</w:t>
      </w:r>
      <w:r>
        <w:rPr>
          <w:spacing w:val="4"/>
        </w:rPr>
        <w:t>工作。</w:t>
      </w:r>
    </w:p>
    <w:p>
      <w:pPr>
        <w:pStyle w:val="BodyText"/>
        <w:ind w:firstLine="420"/>
        <w:spacing w:before="4" w:line="378" w:lineRule="auto"/>
        <w:jc w:val="both"/>
        <w:rPr/>
      </w:pPr>
      <w:r>
        <w:rPr>
          <w:spacing w:val="6"/>
        </w:rPr>
        <w:t>启动</w:t>
      </w:r>
      <w:r>
        <w:rPr>
          <w:rFonts w:ascii="Times New Roman" w:hAnsi="Times New Roman" w:eastAsia="Times New Roman" w:cs="Times New Roman"/>
          <w:spacing w:val="6"/>
        </w:rPr>
        <w:t>Ⅳ</w:t>
      </w:r>
      <w:r>
        <w:rPr>
          <w:spacing w:val="6"/>
        </w:rPr>
        <w:t>级应急响应时，市地质灾害应急指</w:t>
      </w:r>
      <w:r>
        <w:rPr>
          <w:spacing w:val="7"/>
        </w:rPr>
        <w:t>挥部办公室向指挥部各成员单位通报灾情，督</w:t>
      </w:r>
      <w:r>
        <w:rPr/>
        <w:t>促、指导做好应急准备工作；指导有关县（</w:t>
      </w:r>
      <w:r>
        <w:rPr>
          <w:spacing w:val="-44"/>
        </w:rPr>
        <w:t xml:space="preserve"> </w:t>
      </w:r>
      <w:r>
        <w:rPr/>
        <w:t>区）</w:t>
      </w:r>
      <w:r>
        <w:rPr>
          <w:spacing w:val="7"/>
        </w:rPr>
        <w:t>做好抢险救灾工作；做好灾情信息的收集上报</w:t>
      </w:r>
      <w:r>
        <w:rPr>
          <w:spacing w:val="5"/>
        </w:rPr>
        <w:t>工作。</w:t>
      </w:r>
    </w:p>
    <w:p>
      <w:pPr>
        <w:pStyle w:val="BodyText"/>
        <w:ind w:right="15"/>
        <w:spacing w:before="15" w:line="277" w:lineRule="exact"/>
        <w:jc w:val="right"/>
        <w:rPr/>
      </w:pPr>
      <w:r>
        <w:rPr>
          <w:spacing w:val="5"/>
          <w:position w:val="1"/>
        </w:rPr>
        <w:t>（</w:t>
      </w:r>
      <w:r>
        <w:rPr>
          <w:rFonts w:ascii="Times New Roman" w:hAnsi="Times New Roman" w:eastAsia="Times New Roman" w:cs="Times New Roman"/>
          <w:spacing w:val="5"/>
          <w:position w:val="1"/>
        </w:rPr>
        <w:t>3</w:t>
      </w:r>
      <w:r>
        <w:rPr>
          <w:rFonts w:ascii="Times New Roman" w:hAnsi="Times New Roman" w:eastAsia="Times New Roman" w:cs="Times New Roman"/>
          <w:spacing w:val="-18"/>
          <w:position w:val="1"/>
        </w:rPr>
        <w:t xml:space="preserve"> </w:t>
      </w:r>
      <w:r>
        <w:rPr>
          <w:spacing w:val="5"/>
          <w:position w:val="1"/>
        </w:rPr>
        <w:t>）各成员单位或工作组紧急处置措施。</w:t>
      </w:r>
    </w:p>
    <w:p>
      <w:pPr>
        <w:pStyle w:val="BodyText"/>
        <w:ind w:left="2" w:right="107" w:firstLine="417"/>
        <w:spacing w:before="142" w:line="382" w:lineRule="auto"/>
        <w:rPr/>
      </w:pPr>
      <w:r>
        <w:rPr>
          <w:spacing w:val="7"/>
        </w:rPr>
        <w:t>启动</w:t>
      </w:r>
      <w:r>
        <w:rPr>
          <w:rFonts w:ascii="Times New Roman" w:hAnsi="Times New Roman" w:eastAsia="Times New Roman" w:cs="Times New Roman"/>
          <w:spacing w:val="7"/>
        </w:rPr>
        <w:t>Ⅰ</w:t>
      </w:r>
      <w:r>
        <w:rPr>
          <w:spacing w:val="7"/>
        </w:rPr>
        <w:t>级、</w:t>
      </w:r>
      <w:r>
        <w:rPr>
          <w:rFonts w:ascii="Times New Roman" w:hAnsi="Times New Roman" w:eastAsia="Times New Roman" w:cs="Times New Roman"/>
          <w:spacing w:val="7"/>
        </w:rPr>
        <w:t>Ⅱ</w:t>
      </w:r>
      <w:r>
        <w:rPr>
          <w:spacing w:val="7"/>
        </w:rPr>
        <w:t>级和</w:t>
      </w:r>
      <w:r>
        <w:rPr>
          <w:rFonts w:ascii="Times New Roman" w:hAnsi="Times New Roman" w:eastAsia="Times New Roman" w:cs="Times New Roman"/>
          <w:spacing w:val="7"/>
        </w:rPr>
        <w:t>Ⅲ</w:t>
      </w:r>
      <w:r>
        <w:rPr>
          <w:spacing w:val="7"/>
        </w:rPr>
        <w:t>级应急响应时，市地质</w:t>
      </w:r>
      <w:r>
        <w:rPr>
          <w:spacing w:val="18"/>
        </w:rPr>
        <w:t>灾害应急指挥部各成员单位按照本预案规定</w:t>
      </w:r>
      <w:r>
        <w:rPr>
          <w:spacing w:val="7"/>
        </w:rPr>
        <w:t>的职责，在指挥部的统一指挥下，立即开展抢</w:t>
      </w:r>
      <w:r>
        <w:rPr>
          <w:spacing w:val="7"/>
        </w:rPr>
        <w:t>险救灾工作。</w:t>
      </w:r>
    </w:p>
    <w:p>
      <w:pPr>
        <w:pStyle w:val="BodyText"/>
        <w:ind w:left="2" w:right="107" w:firstLine="417"/>
        <w:spacing w:before="1" w:line="382" w:lineRule="auto"/>
        <w:jc w:val="both"/>
        <w:rPr/>
      </w:pPr>
      <w:r>
        <w:rPr>
          <w:spacing w:val="6"/>
        </w:rPr>
        <w:t>启动</w:t>
      </w:r>
      <w:r>
        <w:rPr>
          <w:rFonts w:ascii="Times New Roman" w:hAnsi="Times New Roman" w:eastAsia="Times New Roman" w:cs="Times New Roman"/>
          <w:spacing w:val="6"/>
        </w:rPr>
        <w:t>Ⅳ</w:t>
      </w:r>
      <w:r>
        <w:rPr>
          <w:spacing w:val="6"/>
        </w:rPr>
        <w:t>级应急响应时，市地质灾害应急指</w:t>
      </w:r>
      <w:r>
        <w:rPr>
          <w:spacing w:val="7"/>
        </w:rPr>
        <w:t>挥部成员单位应按照职责分工，做好抢险救灾</w:t>
      </w:r>
      <w:r>
        <w:rPr>
          <w:spacing w:val="8"/>
        </w:rPr>
        <w:t>的应急准备工作，以备随时支援。</w:t>
      </w:r>
    </w:p>
    <w:p>
      <w:pPr>
        <w:pStyle w:val="BodyText"/>
        <w:ind w:right="100" w:firstLine="420"/>
        <w:spacing w:line="343" w:lineRule="auto"/>
        <w:jc w:val="both"/>
        <w:rPr/>
      </w:pPr>
      <w:r>
        <w:rPr>
          <w:rFonts w:ascii="Times New Roman" w:hAnsi="Times New Roman" w:eastAsia="Times New Roman" w:cs="Times New Roman"/>
          <w:spacing w:val="8"/>
        </w:rPr>
        <w:t>4.5  </w:t>
      </w:r>
      <w:r>
        <w:rPr>
          <w:rFonts w:ascii="KaiTi" w:hAnsi="KaiTi" w:eastAsia="KaiTi" w:cs="KaiTi"/>
          <w:spacing w:val="8"/>
        </w:rPr>
        <w:t>现场处置。</w:t>
      </w:r>
      <w:r>
        <w:rPr>
          <w:spacing w:val="8"/>
        </w:rPr>
        <w:t>由事发地政府设立地质灾</w:t>
      </w:r>
      <w:r>
        <w:rPr>
          <w:spacing w:val="7"/>
        </w:rPr>
        <w:t>害应急处置现场指挥部，具体负责指挥现场的</w:t>
      </w:r>
      <w:r>
        <w:rPr>
          <w:spacing w:val="7"/>
        </w:rPr>
        <w:t>应急处置工作。各有关单位按照职责参与处置</w:t>
      </w:r>
      <w:r>
        <w:rPr>
          <w:spacing w:val="-3"/>
        </w:rPr>
        <w:t>工作，包括组织营救、伤员救治、疏散撤离和妥</w:t>
      </w:r>
      <w:r>
        <w:rPr>
          <w:spacing w:val="-3"/>
        </w:rPr>
        <w:t>善安置受到威胁的人员，及时上报事件情况和人</w:t>
      </w:r>
    </w:p>
    <w:p>
      <w:pPr>
        <w:spacing w:line="343" w:lineRule="auto"/>
        <w:sectPr>
          <w:type w:val="continuous"/>
          <w:pgSz w:w="11906" w:h="16839"/>
          <w:pgMar w:top="1974" w:right="1480" w:bottom="1574" w:left="1579" w:header="1634" w:footer="1172" w:gutter="0"/>
          <w:cols w:equalWidth="0" w:num="2">
            <w:col w:w="4489" w:space="100"/>
            <w:col w:w="4258" w:space="0"/>
          </w:cols>
        </w:sectPr>
        <w:rPr/>
      </w:pPr>
    </w:p>
    <w:p>
      <w:pPr>
        <w:spacing w:before="77"/>
        <w:rPr/>
      </w:pPr>
      <w:r>
        <w:drawing>
          <wp:anchor distT="0" distB="0" distL="0" distR="0" simplePos="0" relativeHeight="254505984"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340" name="IM 2340"/>
            <wp:cNvGraphicFramePr/>
            <a:graphic>
              <a:graphicData uri="http://schemas.openxmlformats.org/drawingml/2006/picture">
                <pic:pic>
                  <pic:nvPicPr>
                    <pic:cNvPr id="2340" name="IM 2340"/>
                    <pic:cNvPicPr/>
                  </pic:nvPicPr>
                  <pic:blipFill>
                    <a:blip r:embed="rId1175"/>
                    <a:stretch>
                      <a:fillRect/>
                    </a:stretch>
                  </pic:blipFill>
                  <pic:spPr>
                    <a:xfrm rot="0">
                      <a:off x="0" y="0"/>
                      <a:ext cx="5579745" cy="7620"/>
                    </a:xfrm>
                    <a:prstGeom prst="rect">
                      <a:avLst/>
                    </a:prstGeom>
                  </pic:spPr>
                </pic:pic>
              </a:graphicData>
            </a:graphic>
          </wp:anchor>
        </w:drawing>
      </w:r>
      <w:r/>
    </w:p>
    <w:p>
      <w:pPr>
        <w:sectPr>
          <w:headerReference w:type="default" r:id="rId1048"/>
          <w:footerReference w:type="default" r:id="rId1174"/>
          <w:pgSz w:w="11906" w:h="16839"/>
          <w:pgMar w:top="1772" w:right="1489" w:bottom="1572" w:left="1571" w:header="1428" w:footer="1172" w:gutter="0"/>
          <w:cols w:equalWidth="0" w:num="1">
            <w:col w:w="8846" w:space="0"/>
          </w:cols>
        </w:sectPr>
        <w:rPr/>
      </w:pPr>
    </w:p>
    <w:p>
      <w:pPr>
        <w:pStyle w:val="BodyText"/>
        <w:ind w:left="21" w:right="248"/>
        <w:spacing w:before="50" w:line="380" w:lineRule="auto"/>
        <w:jc w:val="both"/>
        <w:rPr/>
      </w:pPr>
      <w:r>
        <w:rPr>
          <w:spacing w:val="7"/>
        </w:rPr>
        <w:t>员伤亡情况，查明并及时组织力量消除次生灾</w:t>
      </w:r>
      <w:r>
        <w:rPr>
          <w:spacing w:val="-8"/>
        </w:rPr>
        <w:t>害，组织抢修公共设施，接受与分配援助物资等。</w:t>
      </w:r>
      <w:r>
        <w:rPr>
          <w:spacing w:val="7"/>
        </w:rPr>
        <w:t>必要时，市突发地质灾害应急指挥部派出工作</w:t>
      </w:r>
      <w:r>
        <w:rPr>
          <w:spacing w:val="9"/>
        </w:rPr>
        <w:t>组赶赴事件现场，指导应急处置工作。</w:t>
      </w:r>
    </w:p>
    <w:p>
      <w:pPr>
        <w:ind w:left="441"/>
        <w:spacing w:line="241" w:lineRule="auto"/>
        <w:rPr>
          <w:rFonts w:ascii="KaiTi" w:hAnsi="KaiTi" w:eastAsia="KaiTi" w:cs="KaiTi"/>
          <w:sz w:val="20"/>
          <w:szCs w:val="20"/>
        </w:rPr>
      </w:pPr>
      <w:r>
        <w:rPr>
          <w:rFonts w:ascii="Times New Roman" w:hAnsi="Times New Roman" w:eastAsia="Times New Roman" w:cs="Times New Roman"/>
          <w:sz w:val="20"/>
          <w:szCs w:val="20"/>
          <w:spacing w:val="6"/>
        </w:rPr>
        <w:t>4.6  </w:t>
      </w:r>
      <w:r>
        <w:rPr>
          <w:rFonts w:ascii="KaiTi" w:hAnsi="KaiTi" w:eastAsia="KaiTi" w:cs="KaiTi"/>
          <w:sz w:val="20"/>
          <w:szCs w:val="20"/>
          <w:spacing w:val="6"/>
        </w:rPr>
        <w:t>信息发布与舆情引导。</w:t>
      </w:r>
    </w:p>
    <w:p>
      <w:pPr>
        <w:pStyle w:val="BodyText"/>
        <w:ind w:left="23" w:right="330" w:firstLine="409"/>
        <w:spacing w:before="148" w:line="379" w:lineRule="auto"/>
        <w:jc w:val="both"/>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）按照分级响应原则</w:t>
      </w:r>
      <w:r>
        <w:rPr>
          <w:spacing w:val="-59"/>
        </w:rPr>
        <w:t xml:space="preserve"> </w:t>
      </w:r>
      <w:r>
        <w:rPr>
          <w:spacing w:val="5"/>
        </w:rPr>
        <w:t>，突发事件信息</w:t>
      </w:r>
      <w:r>
        <w:rPr>
          <w:spacing w:val="18"/>
        </w:rPr>
        <w:t>发布工作由各级政府新闻发言人或现场指挥</w:t>
      </w:r>
      <w:r>
        <w:rPr>
          <w:spacing w:val="7"/>
        </w:rPr>
        <w:t>指定的新闻发言人负责发布。重大以上地质灾</w:t>
      </w:r>
      <w:r>
        <w:rPr>
          <w:spacing w:val="7"/>
        </w:rPr>
        <w:t>害一般以自治区政府名义、较大地质灾害以市</w:t>
      </w:r>
      <w:r>
        <w:rPr>
          <w:spacing w:val="7"/>
        </w:rPr>
        <w:t>级政府名义，一般地质灾害以县级政府名义发</w:t>
      </w:r>
      <w:r>
        <w:rPr>
          <w:spacing w:val="9"/>
        </w:rPr>
        <w:t>布。信息发布要统一、及时、准确、客观。</w:t>
      </w:r>
    </w:p>
    <w:p>
      <w:pPr>
        <w:pStyle w:val="BodyText"/>
        <w:ind w:left="21" w:right="330" w:firstLine="422"/>
        <w:spacing w:before="1" w:line="377" w:lineRule="auto"/>
        <w:rPr/>
      </w:pPr>
      <w:r>
        <w:rPr>
          <w:spacing w:val="6"/>
        </w:rPr>
        <w:t>宣传、网信、公安等部门要密切关注舆情</w:t>
      </w:r>
      <w:r>
        <w:rPr>
          <w:spacing w:val="9"/>
        </w:rPr>
        <w:t>信息，及时做好舆情管控、引导工作。</w:t>
      </w:r>
    </w:p>
    <w:p>
      <w:pPr>
        <w:pStyle w:val="BodyText"/>
        <w:ind w:left="22" w:right="249" w:firstLine="410"/>
        <w:spacing w:before="4" w:line="352"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）信息发布主要内容：地质灾害事件</w:t>
      </w:r>
      <w:r>
        <w:rPr>
          <w:spacing w:val="18"/>
        </w:rPr>
        <w:t>的种类及其次生、衍生灾害的监测和预警情</w:t>
      </w:r>
      <w:r>
        <w:rPr>
          <w:spacing w:val="7"/>
        </w:rPr>
        <w:t>况；事件发生时间、地点、人员伤亡（包括下</w:t>
      </w:r>
      <w:r>
        <w:rPr>
          <w:spacing w:val="1"/>
        </w:rPr>
        <w:t>落不明人数）和财产损失情况、救援进展情况、</w:t>
      </w:r>
      <w:r>
        <w:rPr>
          <w:spacing w:val="7"/>
        </w:rPr>
        <w:t>事件区域交通管制情况及临时交通措施；事件</w:t>
      </w:r>
      <w:r>
        <w:rPr>
          <w:spacing w:val="8"/>
        </w:rPr>
        <w:t>责任单位基本情况等。</w:t>
      </w:r>
    </w:p>
    <w:p>
      <w:pPr>
        <w:pStyle w:val="BodyText"/>
        <w:ind w:left="20" w:right="249" w:firstLine="413"/>
        <w:spacing w:before="169" w:line="326" w:lineRule="auto"/>
        <w:rPr/>
      </w:pPr>
      <w:r>
        <w:rPr>
          <w:spacing w:val="4"/>
        </w:rPr>
        <w:t>（</w:t>
      </w:r>
      <w:r>
        <w:rPr>
          <w:rFonts w:ascii="Times New Roman" w:hAnsi="Times New Roman" w:eastAsia="Times New Roman" w:cs="Times New Roman"/>
          <w:spacing w:val="4"/>
        </w:rPr>
        <w:t>3</w:t>
      </w:r>
      <w:r>
        <w:rPr>
          <w:rFonts w:ascii="Times New Roman" w:hAnsi="Times New Roman" w:eastAsia="Times New Roman" w:cs="Times New Roman"/>
          <w:spacing w:val="-13"/>
        </w:rPr>
        <w:t xml:space="preserve"> </w:t>
      </w:r>
      <w:r>
        <w:rPr>
          <w:spacing w:val="4"/>
        </w:rPr>
        <w:t>）信息发布形式主要包括：权威发布、</w:t>
      </w:r>
      <w:r>
        <w:rPr>
          <w:spacing w:val="7"/>
        </w:rPr>
        <w:t>提供新闻稿、组织报道、接受记者采访、举行</w:t>
      </w:r>
      <w:r>
        <w:rPr>
          <w:spacing w:val="7"/>
        </w:rPr>
        <w:t>新闻发布会等。</w:t>
      </w:r>
    </w:p>
    <w:p>
      <w:pPr>
        <w:ind w:left="441"/>
        <w:spacing w:before="167" w:line="265" w:lineRule="exact"/>
        <w:rPr>
          <w:rFonts w:ascii="KaiTi" w:hAnsi="KaiTi" w:eastAsia="KaiTi" w:cs="KaiTi"/>
          <w:sz w:val="20"/>
          <w:szCs w:val="20"/>
        </w:rPr>
      </w:pPr>
      <w:r>
        <w:rPr>
          <w:rFonts w:ascii="Times New Roman" w:hAnsi="Times New Roman" w:eastAsia="Times New Roman" w:cs="Times New Roman"/>
          <w:sz w:val="20"/>
          <w:szCs w:val="20"/>
          <w:spacing w:val="5"/>
          <w:position w:val="1"/>
        </w:rPr>
        <w:t>4.7  </w:t>
      </w:r>
      <w:r>
        <w:rPr>
          <w:rFonts w:ascii="KaiTi" w:hAnsi="KaiTi" w:eastAsia="KaiTi" w:cs="KaiTi"/>
          <w:sz w:val="20"/>
          <w:szCs w:val="20"/>
          <w:spacing w:val="5"/>
          <w:position w:val="1"/>
        </w:rPr>
        <w:t>社会动员。</w:t>
      </w:r>
    </w:p>
    <w:p>
      <w:pPr>
        <w:pStyle w:val="BodyText"/>
        <w:ind w:left="21" w:right="252" w:firstLine="412"/>
        <w:spacing w:before="146" w:line="340" w:lineRule="auto"/>
        <w:rPr/>
      </w:pPr>
      <w:r>
        <w:rPr>
          <w:spacing w:val="5"/>
        </w:rPr>
        <w:t>（</w:t>
      </w:r>
      <w:r>
        <w:rPr>
          <w:spacing w:val="-44"/>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）各级政府和县（</w:t>
      </w:r>
      <w:r>
        <w:rPr>
          <w:spacing w:val="-48"/>
        </w:rPr>
        <w:t xml:space="preserve"> </w:t>
      </w:r>
      <w:r>
        <w:rPr>
          <w:spacing w:val="5"/>
        </w:rPr>
        <w:t>区）突发地质灾害</w:t>
      </w:r>
      <w:r>
        <w:rPr>
          <w:spacing w:val="7"/>
        </w:rPr>
        <w:t>应急指挥部根据地质灾害的性质、危害程度和</w:t>
      </w:r>
      <w:r>
        <w:rPr>
          <w:spacing w:val="7"/>
        </w:rPr>
        <w:t>范围，广泛调动社会力量参与事件处置，紧急</w:t>
      </w:r>
      <w:r>
        <w:rPr>
          <w:spacing w:val="1"/>
        </w:rPr>
        <w:t>情况下可依法征用、调用车辆、物资、人员等。</w:t>
      </w:r>
    </w:p>
    <w:p>
      <w:pPr>
        <w:pStyle w:val="BodyText"/>
        <w:ind w:left="20" w:right="263" w:firstLine="413"/>
        <w:spacing w:before="167" w:line="341"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5"/>
        </w:rPr>
        <w:t xml:space="preserve"> </w:t>
      </w:r>
      <w:r>
        <w:rPr>
          <w:spacing w:val="8"/>
        </w:rPr>
        <w:t>）地质灾害发生后</w:t>
      </w:r>
      <w:r>
        <w:rPr>
          <w:spacing w:val="-59"/>
        </w:rPr>
        <w:t xml:space="preserve"> </w:t>
      </w:r>
      <w:r>
        <w:rPr>
          <w:spacing w:val="8"/>
        </w:rPr>
        <w:t>，事发地政府或相</w:t>
      </w:r>
      <w:r>
        <w:rPr>
          <w:spacing w:val="18"/>
        </w:rPr>
        <w:t>应应急指挥机构组织各方面力量开展应急处</w:t>
      </w:r>
      <w:r>
        <w:rPr/>
        <w:t>置工作，组织基层单位或人民开展自救、互救；</w:t>
      </w:r>
      <w:r>
        <w:rPr>
          <w:spacing w:val="7"/>
        </w:rPr>
        <w:t>邻近的县（区）政府根据灾情组织和社会动员</w:t>
      </w:r>
      <w:r>
        <w:rPr>
          <w:spacing w:val="9"/>
        </w:rPr>
        <w:t>社会力量，对事发地提供援助。</w:t>
      </w:r>
    </w:p>
    <w:p>
      <w:pPr>
        <w:spacing w:line="14" w:lineRule="auto"/>
        <w:rPr>
          <w:rFonts w:ascii="Arial"/>
          <w:sz w:val="2"/>
        </w:rPr>
      </w:pPr>
      <w:r>
        <w:rPr>
          <w:rFonts w:ascii="Arial" w:hAnsi="Arial" w:eastAsia="Arial" w:cs="Arial"/>
          <w:sz w:val="2"/>
          <w:szCs w:val="2"/>
        </w:rPr>
        <w:br w:type="column"/>
      </w:r>
    </w:p>
    <w:p>
      <w:pPr>
        <w:pStyle w:val="BodyText"/>
        <w:ind w:right="101" w:firstLine="412"/>
        <w:spacing w:before="40" w:line="340" w:lineRule="auto"/>
        <w:rPr/>
      </w:pPr>
      <w:r>
        <w:rPr/>
        <w:t>（</w:t>
      </w:r>
      <w:r>
        <w:rPr>
          <w:rFonts w:ascii="Times New Roman" w:hAnsi="Times New Roman" w:eastAsia="Times New Roman" w:cs="Times New Roman"/>
        </w:rPr>
        <w:t>3</w:t>
      </w:r>
      <w:r>
        <w:rPr>
          <w:rFonts w:ascii="Times New Roman" w:hAnsi="Times New Roman" w:eastAsia="Times New Roman" w:cs="Times New Roman"/>
          <w:spacing w:val="-17"/>
        </w:rPr>
        <w:t xml:space="preserve"> </w:t>
      </w:r>
      <w:r>
        <w:rPr/>
        <w:t>）鼓励公民、法人和其他组织按照《中</w:t>
      </w:r>
      <w:r>
        <w:rPr>
          <w:spacing w:val="7"/>
        </w:rPr>
        <w:t>华人民共和国公益捐赠法》等有关法律法规的</w:t>
      </w:r>
      <w:r>
        <w:rPr>
          <w:spacing w:val="7"/>
        </w:rPr>
        <w:t>规定进行捐赠和援助。审计、监察部门对捐赠</w:t>
      </w:r>
      <w:r>
        <w:rPr>
          <w:spacing w:val="9"/>
        </w:rPr>
        <w:t>资金与物资的使用情况进行审计和监督。</w:t>
      </w:r>
    </w:p>
    <w:p>
      <w:pPr>
        <w:pStyle w:val="BodyText"/>
        <w:ind w:right="101" w:firstLine="412"/>
        <w:spacing w:before="166" w:line="348"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5"/>
        </w:rPr>
        <w:t xml:space="preserve"> </w:t>
      </w:r>
      <w:r>
        <w:rPr>
          <w:spacing w:val="11"/>
        </w:rPr>
        <w:t>）根据地质灾害突发事件发展情况，</w:t>
      </w:r>
      <w:r>
        <w:rPr>
          <w:spacing w:val="7"/>
        </w:rPr>
        <w:t>向全社会公布志愿服务需求指南，明确专门人</w:t>
      </w:r>
      <w:r>
        <w:rPr>
          <w:spacing w:val="7"/>
        </w:rPr>
        <w:t>员，及时开通志愿服务联系电话，统一接收志</w:t>
      </w:r>
      <w:r>
        <w:rPr>
          <w:spacing w:val="7"/>
        </w:rPr>
        <w:t>愿者组织报名，做好志愿者派遣和相关服务工</w:t>
      </w:r>
      <w:r>
        <w:rPr>
          <w:spacing w:val="9"/>
        </w:rPr>
        <w:t>作，引导志愿者有序参与救援工作。</w:t>
      </w:r>
    </w:p>
    <w:p>
      <w:pPr>
        <w:ind w:left="420"/>
        <w:spacing w:before="165" w:line="268" w:lineRule="exact"/>
        <w:rPr>
          <w:rFonts w:ascii="KaiTi" w:hAnsi="KaiTi" w:eastAsia="KaiTi" w:cs="KaiTi"/>
          <w:sz w:val="20"/>
          <w:szCs w:val="20"/>
        </w:rPr>
      </w:pPr>
      <w:r>
        <w:rPr>
          <w:rFonts w:ascii="Times New Roman" w:hAnsi="Times New Roman" w:eastAsia="Times New Roman" w:cs="Times New Roman"/>
          <w:sz w:val="20"/>
          <w:szCs w:val="20"/>
          <w:spacing w:val="5"/>
          <w:position w:val="1"/>
        </w:rPr>
        <w:t>4.8  </w:t>
      </w:r>
      <w:r>
        <w:rPr>
          <w:rFonts w:ascii="KaiTi" w:hAnsi="KaiTi" w:eastAsia="KaiTi" w:cs="KaiTi"/>
          <w:sz w:val="20"/>
          <w:szCs w:val="20"/>
          <w:spacing w:val="5"/>
          <w:position w:val="1"/>
        </w:rPr>
        <w:t>响应终止。</w:t>
      </w:r>
    </w:p>
    <w:p>
      <w:pPr>
        <w:pStyle w:val="BodyText"/>
        <w:ind w:right="101" w:firstLine="412"/>
        <w:spacing w:before="145" w:line="356"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）应对特大、重大地质灾害工作基本</w:t>
      </w:r>
      <w:r>
        <w:rPr>
          <w:spacing w:val="7"/>
        </w:rPr>
        <w:t>结束，紧急转移和安置工作基本完成，次生灾</w:t>
      </w:r>
      <w:r>
        <w:rPr>
          <w:spacing w:val="7"/>
        </w:rPr>
        <w:t>害的后果基本消除，以及交通、电力、通信和</w:t>
      </w:r>
      <w:r>
        <w:rPr>
          <w:spacing w:val="7"/>
        </w:rPr>
        <w:t>供水等基本抢修抢通，群众生活秩序基本恢复</w:t>
      </w:r>
      <w:r>
        <w:rPr>
          <w:spacing w:val="7"/>
        </w:rPr>
        <w:t>后，自治区地质灾害应急指挥部办公室会同自</w:t>
      </w:r>
      <w:r>
        <w:rPr>
          <w:spacing w:val="7"/>
        </w:rPr>
        <w:t>治区政府办值班室提出建议，由自治区政府决</w:t>
      </w:r>
      <w:r>
        <w:rPr>
          <w:spacing w:val="8"/>
        </w:rPr>
        <w:t>定终止应急响应。</w:t>
      </w:r>
    </w:p>
    <w:p>
      <w:pPr>
        <w:pStyle w:val="BodyText"/>
        <w:ind w:left="2" w:right="36" w:firstLine="409"/>
        <w:spacing w:before="165" w:line="327" w:lineRule="auto"/>
        <w:rPr/>
      </w:pPr>
      <w:r>
        <w:rPr>
          <w:spacing w:val="3"/>
        </w:rPr>
        <w:t>（</w:t>
      </w:r>
      <w:r>
        <w:rPr>
          <w:rFonts w:ascii="Times New Roman" w:hAnsi="Times New Roman" w:eastAsia="Times New Roman" w:cs="Times New Roman"/>
          <w:spacing w:val="3"/>
        </w:rPr>
        <w:t>2</w:t>
      </w:r>
      <w:r>
        <w:rPr>
          <w:rFonts w:ascii="Times New Roman" w:hAnsi="Times New Roman" w:eastAsia="Times New Roman" w:cs="Times New Roman"/>
          <w:spacing w:val="-10"/>
        </w:rPr>
        <w:t xml:space="preserve"> </w:t>
      </w:r>
      <w:r>
        <w:rPr>
          <w:spacing w:val="3"/>
        </w:rPr>
        <w:t>）应对较大地质灾害工作基本结束后，</w:t>
      </w:r>
      <w:r>
        <w:rPr>
          <w:spacing w:val="7"/>
        </w:rPr>
        <w:t>市自然资源局提出建议，由市突发地质灾害应</w:t>
      </w:r>
      <w:r>
        <w:rPr>
          <w:spacing w:val="8"/>
        </w:rPr>
        <w:t>急指挥部决定终止应急响应。</w:t>
      </w:r>
    </w:p>
    <w:p>
      <w:pPr>
        <w:pStyle w:val="BodyText"/>
        <w:ind w:left="1" w:right="36" w:firstLine="410"/>
        <w:spacing w:before="170" w:line="339" w:lineRule="auto"/>
        <w:rPr/>
      </w:pPr>
      <w:r>
        <w:rPr>
          <w:spacing w:val="3"/>
        </w:rPr>
        <w:t>（</w:t>
      </w:r>
      <w:r>
        <w:rPr>
          <w:rFonts w:ascii="Times New Roman" w:hAnsi="Times New Roman" w:eastAsia="Times New Roman" w:cs="Times New Roman"/>
          <w:spacing w:val="3"/>
        </w:rPr>
        <w:t>3</w:t>
      </w:r>
      <w:r>
        <w:rPr>
          <w:rFonts w:ascii="Times New Roman" w:hAnsi="Times New Roman" w:eastAsia="Times New Roman" w:cs="Times New Roman"/>
          <w:spacing w:val="-10"/>
        </w:rPr>
        <w:t xml:space="preserve"> </w:t>
      </w:r>
      <w:r>
        <w:rPr>
          <w:spacing w:val="3"/>
        </w:rPr>
        <w:t>）应对一般地质灾害突发事件结束后，</w:t>
      </w:r>
      <w:r>
        <w:rPr>
          <w:spacing w:val="4"/>
        </w:rPr>
        <w:t>事发县（</w:t>
      </w:r>
      <w:r>
        <w:rPr>
          <w:spacing w:val="-37"/>
        </w:rPr>
        <w:t xml:space="preserve"> </w:t>
      </w:r>
      <w:r>
        <w:rPr>
          <w:spacing w:val="4"/>
        </w:rPr>
        <w:t>区）政府办值班室提出建议，由事发</w:t>
      </w:r>
      <w:r>
        <w:rPr>
          <w:spacing w:val="18"/>
        </w:rPr>
        <w:t>地县级政府或同级地质灾害突发事件应急指</w:t>
      </w:r>
      <w:r>
        <w:rPr>
          <w:spacing w:val="8"/>
        </w:rPr>
        <w:t>挥部决定终止应急响应。</w:t>
      </w:r>
    </w:p>
    <w:p>
      <w:pPr>
        <w:ind w:left="423"/>
        <w:spacing w:before="164"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5</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应急保障</w:t>
      </w:r>
    </w:p>
    <w:p>
      <w:pPr>
        <w:pStyle w:val="BodyText"/>
        <w:ind w:right="20" w:firstLine="426"/>
        <w:spacing w:before="102" w:line="348" w:lineRule="auto"/>
        <w:rPr/>
      </w:pPr>
      <w:r>
        <w:rPr>
          <w:rFonts w:ascii="Times New Roman" w:hAnsi="Times New Roman" w:eastAsia="Times New Roman" w:cs="Times New Roman"/>
          <w:spacing w:val="8"/>
        </w:rPr>
        <w:t>5.</w:t>
      </w:r>
      <w:r>
        <w:rPr>
          <w:rFonts w:ascii="Times New Roman" w:hAnsi="Times New Roman" w:eastAsia="Times New Roman" w:cs="Times New Roman"/>
          <w:spacing w:val="-23"/>
        </w:rPr>
        <w:t xml:space="preserve"> </w:t>
      </w:r>
      <w:r>
        <w:rPr>
          <w:rFonts w:ascii="Times New Roman" w:hAnsi="Times New Roman" w:eastAsia="Times New Roman" w:cs="Times New Roman"/>
          <w:spacing w:val="8"/>
        </w:rPr>
        <w:t>1  </w:t>
      </w:r>
      <w:r>
        <w:rPr>
          <w:rFonts w:ascii="KaiTi" w:hAnsi="KaiTi" w:eastAsia="KaiTi" w:cs="KaiTi"/>
          <w:spacing w:val="8"/>
        </w:rPr>
        <w:t>队伍保障。</w:t>
      </w:r>
      <w:r>
        <w:rPr>
          <w:spacing w:val="8"/>
        </w:rPr>
        <w:t>加强应急救援队伍建设；</w:t>
      </w:r>
      <w:r>
        <w:rPr>
          <w:spacing w:val="18"/>
        </w:rPr>
        <w:t>对应急救援队伍进行定期、不定期培训与考</w:t>
      </w:r>
      <w:r>
        <w:rPr>
          <w:spacing w:val="7"/>
        </w:rPr>
        <w:t>核，动态管理人员和设施、设备；适时调整人</w:t>
      </w:r>
      <w:r>
        <w:rPr>
          <w:spacing w:val="1"/>
        </w:rPr>
        <w:t>员数量及专业结构，及时更新相关设施、设备、</w:t>
      </w:r>
      <w:r>
        <w:rPr>
          <w:spacing w:val="9"/>
        </w:rPr>
        <w:t>确保随时处于良好的应急备战状态等。</w:t>
      </w:r>
    </w:p>
    <w:p>
      <w:pPr>
        <w:pStyle w:val="BodyText"/>
        <w:ind w:left="4" w:right="101" w:firstLine="421"/>
        <w:spacing w:before="167" w:line="293" w:lineRule="auto"/>
        <w:rPr/>
      </w:pPr>
      <w:r>
        <w:rPr>
          <w:rFonts w:ascii="Times New Roman" w:hAnsi="Times New Roman" w:eastAsia="Times New Roman" w:cs="Times New Roman"/>
          <w:spacing w:val="8"/>
        </w:rPr>
        <w:t>5.2  </w:t>
      </w:r>
      <w:r>
        <w:rPr>
          <w:rFonts w:ascii="KaiTi" w:hAnsi="KaiTi" w:eastAsia="KaiTi" w:cs="KaiTi"/>
          <w:spacing w:val="8"/>
        </w:rPr>
        <w:t>经费保障。</w:t>
      </w:r>
      <w:r>
        <w:rPr>
          <w:spacing w:val="8"/>
        </w:rPr>
        <w:t>各级政府要把地质灾害应</w:t>
      </w:r>
      <w:r>
        <w:rPr>
          <w:spacing w:val="7"/>
        </w:rPr>
        <w:t>急工作纳入国民经济和社会发展计划，将年度</w:t>
      </w:r>
    </w:p>
    <w:p>
      <w:pPr>
        <w:spacing w:line="293" w:lineRule="auto"/>
        <w:sectPr>
          <w:type w:val="continuous"/>
          <w:pgSz w:w="11906" w:h="16839"/>
          <w:pgMar w:top="1772" w:right="1489" w:bottom="1572" w:left="1571" w:header="1428" w:footer="1172" w:gutter="0"/>
          <w:cols w:equalWidth="0" w:num="2">
            <w:col w:w="4498" w:space="100"/>
            <w:col w:w="4248" w:space="0"/>
          </w:cols>
        </w:sectPr>
        <w:rPr/>
      </w:pPr>
    </w:p>
    <w:p>
      <w:pPr>
        <w:spacing w:before="87"/>
        <w:rPr/>
      </w:pPr>
      <w:r>
        <w:drawing>
          <wp:anchor distT="0" distB="0" distL="0" distR="0" simplePos="0" relativeHeight="254520320" behindDoc="0" locked="0" layoutInCell="0" allowOverlap="1">
            <wp:simplePos x="0" y="0"/>
            <wp:positionH relativeFrom="page">
              <wp:posOffset>1008380</wp:posOffset>
            </wp:positionH>
            <wp:positionV relativeFrom="page">
              <wp:posOffset>1278890</wp:posOffset>
            </wp:positionV>
            <wp:extent cx="5579745" cy="7619"/>
            <wp:effectExtent l="0" t="0" r="0" b="0"/>
            <wp:wrapNone/>
            <wp:docPr id="2346" name="IM 2346"/>
            <wp:cNvGraphicFramePr/>
            <a:graphic>
              <a:graphicData uri="http://schemas.openxmlformats.org/drawingml/2006/picture">
                <pic:pic>
                  <pic:nvPicPr>
                    <pic:cNvPr id="2346" name="IM 2346"/>
                    <pic:cNvPicPr/>
                  </pic:nvPicPr>
                  <pic:blipFill>
                    <a:blip r:embed="rId1178"/>
                    <a:stretch>
                      <a:fillRect/>
                    </a:stretch>
                  </pic:blipFill>
                  <pic:spPr>
                    <a:xfrm rot="0">
                      <a:off x="0" y="0"/>
                      <a:ext cx="5579745" cy="7619"/>
                    </a:xfrm>
                    <a:prstGeom prst="rect">
                      <a:avLst/>
                    </a:prstGeom>
                  </pic:spPr>
                </pic:pic>
              </a:graphicData>
            </a:graphic>
          </wp:anchor>
        </w:drawing>
      </w:r>
      <w:r/>
    </w:p>
    <w:p>
      <w:pPr>
        <w:sectPr>
          <w:headerReference w:type="default" r:id="rId1176"/>
          <w:footerReference w:type="default" r:id="rId1177"/>
          <w:pgSz w:w="11906" w:h="16839"/>
          <w:pgMar w:top="1974" w:right="1507" w:bottom="1574" w:left="1579" w:header="1634" w:footer="1172" w:gutter="0"/>
          <w:cols w:equalWidth="0" w:num="1">
            <w:col w:w="8819" w:space="0"/>
          </w:cols>
        </w:sectPr>
        <w:rPr/>
      </w:pPr>
    </w:p>
    <w:p>
      <w:pPr>
        <w:pStyle w:val="BodyText"/>
        <w:ind w:left="13" w:right="329"/>
        <w:spacing w:before="41" w:line="376" w:lineRule="auto"/>
        <w:rPr/>
      </w:pPr>
      <w:r>
        <w:rPr>
          <w:spacing w:val="18"/>
        </w:rPr>
        <w:t>地质灾害应急抢险救灾经费列入年度财政计</w:t>
      </w:r>
      <w:r>
        <w:rPr>
          <w:spacing w:val="8"/>
        </w:rPr>
        <w:t>划和预算，并保证足额到位。</w:t>
      </w:r>
    </w:p>
    <w:p>
      <w:pPr>
        <w:pStyle w:val="BodyText"/>
        <w:ind w:left="10" w:right="329" w:firstLine="428"/>
        <w:spacing w:before="3" w:line="352" w:lineRule="auto"/>
        <w:rPr/>
      </w:pPr>
      <w:r>
        <w:rPr>
          <w:rFonts w:ascii="Times New Roman" w:hAnsi="Times New Roman" w:eastAsia="Times New Roman" w:cs="Times New Roman"/>
          <w:spacing w:val="8"/>
        </w:rPr>
        <w:t>5.3  </w:t>
      </w:r>
      <w:r>
        <w:rPr>
          <w:rFonts w:ascii="KaiTi" w:hAnsi="KaiTi" w:eastAsia="KaiTi" w:cs="KaiTi"/>
          <w:spacing w:val="8"/>
        </w:rPr>
        <w:t>物资保障。</w:t>
      </w:r>
      <w:r>
        <w:rPr>
          <w:spacing w:val="8"/>
        </w:rPr>
        <w:t>各级政府要制定救灾物资</w:t>
      </w:r>
      <w:r>
        <w:rPr>
          <w:spacing w:val="7"/>
        </w:rPr>
        <w:t>储备规划，合理确定储备品种和规模。建立健</w:t>
      </w:r>
      <w:r>
        <w:rPr>
          <w:spacing w:val="7"/>
        </w:rPr>
        <w:t>全救灾物资采购和储备制度，完善救灾物资储</w:t>
      </w:r>
      <w:r>
        <w:rPr>
          <w:spacing w:val="7"/>
        </w:rPr>
        <w:t>备管理信息系统。建立物资紧急调拨和运输机</w:t>
      </w:r>
      <w:r>
        <w:rPr>
          <w:spacing w:val="7"/>
        </w:rPr>
        <w:t>制，保证灾害发生后，救灾物资能及时运抵灾</w:t>
      </w:r>
      <w:r>
        <w:rPr>
          <w:spacing w:val="6"/>
        </w:rPr>
        <w:t>害现场。</w:t>
      </w:r>
    </w:p>
    <w:p>
      <w:pPr>
        <w:pStyle w:val="BodyText"/>
        <w:ind w:left="13" w:right="329" w:firstLine="425"/>
        <w:spacing w:before="168" w:line="348" w:lineRule="auto"/>
        <w:rPr/>
      </w:pPr>
      <w:r>
        <w:rPr>
          <w:rFonts w:ascii="Times New Roman" w:hAnsi="Times New Roman" w:eastAsia="Times New Roman" w:cs="Times New Roman"/>
          <w:spacing w:val="8"/>
        </w:rPr>
        <w:t>5.4  </w:t>
      </w:r>
      <w:r>
        <w:rPr>
          <w:rFonts w:ascii="KaiTi" w:hAnsi="KaiTi" w:eastAsia="KaiTi" w:cs="KaiTi"/>
          <w:spacing w:val="8"/>
        </w:rPr>
        <w:t>通信保障。</w:t>
      </w:r>
      <w:r>
        <w:rPr>
          <w:spacing w:val="8"/>
        </w:rPr>
        <w:t>建立应急救援信息平台和</w:t>
      </w:r>
      <w:r>
        <w:rPr>
          <w:spacing w:val="7"/>
        </w:rPr>
        <w:t>数据库，完善应急救援信息资源共享机制。各</w:t>
      </w:r>
      <w:r>
        <w:rPr>
          <w:spacing w:val="18"/>
        </w:rPr>
        <w:t>级基础通信管理部门要保障地质灾害突发事</w:t>
      </w:r>
      <w:r>
        <w:rPr>
          <w:spacing w:val="7"/>
        </w:rPr>
        <w:t>件处理过程中的通信畅通，必要时，在现场开</w:t>
      </w:r>
      <w:r>
        <w:rPr>
          <w:spacing w:val="8"/>
        </w:rPr>
        <w:t>通应急通信设施。</w:t>
      </w:r>
    </w:p>
    <w:p>
      <w:pPr>
        <w:pStyle w:val="BodyText"/>
        <w:ind w:left="14" w:right="329" w:firstLine="424"/>
        <w:spacing w:before="167" w:line="328" w:lineRule="auto"/>
        <w:rPr/>
      </w:pPr>
      <w:r>
        <w:rPr>
          <w:rFonts w:ascii="Times New Roman" w:hAnsi="Times New Roman" w:eastAsia="Times New Roman" w:cs="Times New Roman"/>
          <w:spacing w:val="8"/>
        </w:rPr>
        <w:t>5.5  </w:t>
      </w:r>
      <w:r>
        <w:rPr>
          <w:rFonts w:ascii="KaiTi" w:hAnsi="KaiTi" w:eastAsia="KaiTi" w:cs="KaiTi"/>
          <w:spacing w:val="8"/>
        </w:rPr>
        <w:t>治安保障。</w:t>
      </w:r>
      <w:r>
        <w:rPr>
          <w:spacing w:val="8"/>
        </w:rPr>
        <w:t>公安部门要对地质灾害突</w:t>
      </w:r>
      <w:r>
        <w:rPr>
          <w:spacing w:val="18"/>
        </w:rPr>
        <w:t>发事件应急处置中的灾情发生地和危险区域</w:t>
      </w:r>
      <w:r>
        <w:rPr>
          <w:spacing w:val="8"/>
        </w:rPr>
        <w:t>实施治安、警戒和交通道路管制。</w:t>
      </w:r>
    </w:p>
    <w:p>
      <w:pPr>
        <w:pStyle w:val="BodyText"/>
        <w:ind w:left="17" w:right="329" w:firstLine="421"/>
        <w:spacing w:before="170" w:line="328" w:lineRule="auto"/>
        <w:rPr/>
      </w:pPr>
      <w:r>
        <w:rPr>
          <w:rFonts w:ascii="Times New Roman" w:hAnsi="Times New Roman" w:eastAsia="Times New Roman" w:cs="Times New Roman"/>
          <w:spacing w:val="6"/>
        </w:rPr>
        <w:t>5.6</w:t>
      </w:r>
      <w:r>
        <w:rPr>
          <w:rFonts w:ascii="Times New Roman" w:hAnsi="Times New Roman" w:eastAsia="Times New Roman" w:cs="Times New Roman"/>
          <w:spacing w:val="27"/>
        </w:rPr>
        <w:t xml:space="preserve">  </w:t>
      </w:r>
      <w:r>
        <w:rPr>
          <w:rFonts w:ascii="KaiTi" w:hAnsi="KaiTi" w:eastAsia="KaiTi" w:cs="KaiTi"/>
          <w:spacing w:val="6"/>
        </w:rPr>
        <w:t>医疗卫生保障。</w:t>
      </w:r>
      <w:r>
        <w:rPr>
          <w:spacing w:val="6"/>
        </w:rPr>
        <w:t>各级卫生行政主管部</w:t>
      </w:r>
      <w:r>
        <w:rPr>
          <w:spacing w:val="7"/>
        </w:rPr>
        <w:t>门要按照有关应急预案要求，做好医疗卫生应</w:t>
      </w:r>
      <w:r>
        <w:rPr>
          <w:spacing w:val="7"/>
        </w:rPr>
        <w:t>急的各项保障措施。</w:t>
      </w:r>
    </w:p>
    <w:p>
      <w:pPr>
        <w:ind w:left="437"/>
        <w:spacing w:before="162"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6</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4"/>
        </w:rPr>
        <w:t>恢复重建</w:t>
      </w:r>
    </w:p>
    <w:p>
      <w:pPr>
        <w:pStyle w:val="BodyText"/>
        <w:ind w:left="11" w:right="248" w:firstLine="426"/>
        <w:spacing w:before="109" w:line="358" w:lineRule="auto"/>
        <w:rPr/>
      </w:pPr>
      <w:r>
        <w:rPr>
          <w:rFonts w:ascii="Times New Roman" w:hAnsi="Times New Roman" w:eastAsia="Times New Roman" w:cs="Times New Roman"/>
          <w:spacing w:val="6"/>
        </w:rPr>
        <w:t>6.</w:t>
      </w:r>
      <w:r>
        <w:rPr>
          <w:rFonts w:ascii="Times New Roman" w:hAnsi="Times New Roman" w:eastAsia="Times New Roman" w:cs="Times New Roman"/>
          <w:spacing w:val="-7"/>
        </w:rPr>
        <w:t xml:space="preserve"> </w:t>
      </w:r>
      <w:r>
        <w:rPr>
          <w:rFonts w:ascii="Times New Roman" w:hAnsi="Times New Roman" w:eastAsia="Times New Roman" w:cs="Times New Roman"/>
          <w:spacing w:val="6"/>
        </w:rPr>
        <w:t>1  </w:t>
      </w:r>
      <w:r>
        <w:rPr>
          <w:rFonts w:ascii="KaiTi" w:hAnsi="KaiTi" w:eastAsia="KaiTi" w:cs="KaiTi"/>
          <w:spacing w:val="6"/>
        </w:rPr>
        <w:t>善后处置。</w:t>
      </w:r>
      <w:r>
        <w:rPr>
          <w:spacing w:val="6"/>
        </w:rPr>
        <w:t>地质灾害应急处置工作结</w:t>
      </w:r>
      <w:r>
        <w:rPr>
          <w:spacing w:val="11"/>
        </w:rPr>
        <w:t>束后，事发地政府及有关单位根据各自职责，</w:t>
      </w:r>
      <w:r>
        <w:rPr>
          <w:spacing w:val="1"/>
        </w:rPr>
        <w:t>开展善后处置工作。包括人员安置、抚恤补偿、</w:t>
      </w:r>
      <w:r>
        <w:rPr>
          <w:spacing w:val="7"/>
        </w:rPr>
        <w:t>保险理赔、征用补偿、救援物资供应、环境污</w:t>
      </w:r>
      <w:r>
        <w:rPr>
          <w:spacing w:val="7"/>
        </w:rPr>
        <w:t>染消除、灾后重建、危险源监控和治理等，防</w:t>
      </w:r>
      <w:r>
        <w:rPr>
          <w:spacing w:val="7"/>
        </w:rPr>
        <w:t>止事件造成次生、衍生危害，尽快恢复正常秩</w:t>
      </w:r>
      <w:r>
        <w:rPr>
          <w:spacing w:val="8"/>
        </w:rPr>
        <w:t>序，确保社会稳定。</w:t>
      </w:r>
    </w:p>
    <w:p>
      <w:pPr>
        <w:ind w:left="438"/>
        <w:spacing w:before="168" w:line="241" w:lineRule="auto"/>
        <w:rPr>
          <w:rFonts w:ascii="KaiTi" w:hAnsi="KaiTi" w:eastAsia="KaiTi" w:cs="KaiTi"/>
          <w:sz w:val="20"/>
          <w:szCs w:val="20"/>
        </w:rPr>
      </w:pPr>
      <w:r>
        <w:rPr>
          <w:rFonts w:ascii="Times New Roman" w:hAnsi="Times New Roman" w:eastAsia="Times New Roman" w:cs="Times New Roman"/>
          <w:sz w:val="20"/>
          <w:szCs w:val="20"/>
          <w:spacing w:val="2"/>
        </w:rPr>
        <w:t>6.2</w:t>
      </w:r>
      <w:r>
        <w:rPr>
          <w:rFonts w:ascii="Times New Roman" w:hAnsi="Times New Roman" w:eastAsia="Times New Roman" w:cs="Times New Roman"/>
          <w:sz w:val="20"/>
          <w:szCs w:val="20"/>
          <w:spacing w:val="14"/>
        </w:rPr>
        <w:t xml:space="preserve">  </w:t>
      </w:r>
      <w:r>
        <w:rPr>
          <w:rFonts w:ascii="KaiTi" w:hAnsi="KaiTi" w:eastAsia="KaiTi" w:cs="KaiTi"/>
          <w:sz w:val="20"/>
          <w:szCs w:val="20"/>
          <w:spacing w:val="2"/>
        </w:rPr>
        <w:t>总结评估。</w:t>
      </w:r>
    </w:p>
    <w:p>
      <w:pPr>
        <w:pStyle w:val="BodyText"/>
        <w:ind w:left="28" w:right="329" w:firstLine="395"/>
        <w:spacing w:before="153" w:line="335" w:lineRule="auto"/>
        <w:jc w:val="both"/>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）特别重大、重大地质灾害</w:t>
      </w:r>
      <w:r>
        <w:rPr>
          <w:spacing w:val="-59"/>
        </w:rPr>
        <w:t xml:space="preserve"> </w:t>
      </w:r>
      <w:r>
        <w:rPr>
          <w:spacing w:val="5"/>
        </w:rPr>
        <w:t>，由自治</w:t>
      </w:r>
      <w:r>
        <w:rPr>
          <w:spacing w:val="6"/>
        </w:rPr>
        <w:t>区政府派出调查组进行调查总结；较大及较大</w:t>
      </w:r>
      <w:r>
        <w:rPr>
          <w:spacing w:val="6"/>
        </w:rPr>
        <w:t>以下地质灾害，由市突发地质灾害应急指挥部</w:t>
      </w:r>
    </w:p>
    <w:p>
      <w:pPr>
        <w:spacing w:line="14" w:lineRule="auto"/>
        <w:rPr>
          <w:rFonts w:ascii="Arial"/>
          <w:sz w:val="2"/>
        </w:rPr>
      </w:pPr>
      <w:r>
        <w:rPr>
          <w:rFonts w:ascii="Arial" w:hAnsi="Arial" w:eastAsia="Arial" w:cs="Arial"/>
          <w:sz w:val="2"/>
          <w:szCs w:val="2"/>
        </w:rPr>
        <w:br w:type="column"/>
      </w:r>
    </w:p>
    <w:p>
      <w:pPr>
        <w:pStyle w:val="BodyText"/>
        <w:ind w:left="3"/>
        <w:spacing w:before="39" w:line="221" w:lineRule="auto"/>
        <w:rPr/>
      </w:pPr>
      <w:r>
        <w:rPr>
          <w:spacing w:val="9"/>
        </w:rPr>
        <w:t>报请示市政府同意组成调查组进行调查。</w:t>
      </w:r>
    </w:p>
    <w:p>
      <w:pPr>
        <w:pStyle w:val="BodyText"/>
        <w:ind w:right="76" w:firstLine="412"/>
        <w:spacing w:before="170" w:line="341"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5"/>
        </w:rPr>
        <w:t xml:space="preserve"> </w:t>
      </w:r>
      <w:r>
        <w:rPr>
          <w:spacing w:val="8"/>
        </w:rPr>
        <w:t>）地质灾害善后处置工作结束后</w:t>
      </w:r>
      <w:r>
        <w:rPr>
          <w:spacing w:val="-59"/>
        </w:rPr>
        <w:t xml:space="preserve"> </w:t>
      </w:r>
      <w:r>
        <w:rPr>
          <w:spacing w:val="8"/>
        </w:rPr>
        <w:t>，事</w:t>
      </w:r>
      <w:r>
        <w:rPr>
          <w:spacing w:val="4"/>
        </w:rPr>
        <w:t>发县（</w:t>
      </w:r>
      <w:r>
        <w:rPr>
          <w:spacing w:val="-35"/>
        </w:rPr>
        <w:t xml:space="preserve"> </w:t>
      </w:r>
      <w:r>
        <w:rPr>
          <w:spacing w:val="4"/>
        </w:rPr>
        <w:t>区）政府要总结经验教训，提出改进工</w:t>
      </w:r>
      <w:r>
        <w:rPr>
          <w:spacing w:val="7"/>
        </w:rPr>
        <w:t>作的建议，形成处置突发事件专项工作报告，</w:t>
      </w:r>
      <w:r>
        <w:rPr>
          <w:spacing w:val="9"/>
        </w:rPr>
        <w:t>报市突发地质灾害应急指挥部办公室。</w:t>
      </w:r>
    </w:p>
    <w:p>
      <w:pPr>
        <w:pStyle w:val="BodyText"/>
        <w:ind w:right="83" w:firstLine="413"/>
        <w:spacing w:before="166" w:line="350"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）市突发地质灾害应急指挥部办公室</w:t>
      </w:r>
      <w:r>
        <w:rPr>
          <w:spacing w:val="7"/>
        </w:rPr>
        <w:t>要根据事发县（区）政府提交的处置突发事件</w:t>
      </w:r>
      <w:r>
        <w:rPr>
          <w:spacing w:val="7"/>
        </w:rPr>
        <w:t>专项工作报告，组织分析、研究，提出改进应</w:t>
      </w:r>
      <w:r>
        <w:rPr>
          <w:spacing w:val="7"/>
        </w:rPr>
        <w:t>急工作的意见，形成工作专报报市政府办值班</w:t>
      </w:r>
      <w:r>
        <w:rPr>
          <w:spacing w:val="9"/>
        </w:rPr>
        <w:t>室，并抄送指挥部各成员单位。</w:t>
      </w:r>
    </w:p>
    <w:p>
      <w:pPr>
        <w:ind w:left="424"/>
        <w:spacing w:before="161"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7</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3"/>
        </w:rPr>
        <w:t>日常管理</w:t>
      </w:r>
    </w:p>
    <w:p>
      <w:pPr>
        <w:pStyle w:val="BodyText"/>
        <w:ind w:right="60" w:firstLine="425"/>
        <w:spacing w:before="103" w:line="361" w:lineRule="auto"/>
        <w:rPr/>
      </w:pPr>
      <w:r>
        <w:rPr>
          <w:rFonts w:ascii="Times New Roman" w:hAnsi="Times New Roman" w:eastAsia="Times New Roman" w:cs="Times New Roman"/>
          <w:spacing w:val="6"/>
        </w:rPr>
        <w:t>7.</w:t>
      </w:r>
      <w:r>
        <w:rPr>
          <w:rFonts w:ascii="Times New Roman" w:hAnsi="Times New Roman" w:eastAsia="Times New Roman" w:cs="Times New Roman"/>
          <w:spacing w:val="-25"/>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5"/>
          <w:w w:val="101"/>
        </w:rPr>
        <w:t xml:space="preserve">  </w:t>
      </w:r>
      <w:r>
        <w:rPr>
          <w:rFonts w:ascii="KaiTi" w:hAnsi="KaiTi" w:eastAsia="KaiTi" w:cs="KaiTi"/>
          <w:spacing w:val="6"/>
        </w:rPr>
        <w:t>宣教培训。</w:t>
      </w:r>
      <w:r>
        <w:rPr>
          <w:spacing w:val="6"/>
        </w:rPr>
        <w:t>市突发地质灾害应急指挥</w:t>
      </w:r>
      <w:r>
        <w:rPr>
          <w:spacing w:val="4"/>
        </w:rPr>
        <w:t>部办公室、各县（</w:t>
      </w:r>
      <w:r>
        <w:rPr>
          <w:spacing w:val="-34"/>
        </w:rPr>
        <w:t xml:space="preserve"> </w:t>
      </w:r>
      <w:r>
        <w:rPr>
          <w:spacing w:val="4"/>
        </w:rPr>
        <w:t>区）政府要建立健全地质灾</w:t>
      </w:r>
      <w:r>
        <w:rPr>
          <w:spacing w:val="8"/>
        </w:rPr>
        <w:t>害应急管理培训制度，充分利用广播、电视、</w:t>
      </w:r>
      <w:r>
        <w:rPr>
          <w:spacing w:val="7"/>
        </w:rPr>
        <w:t>互联网、报纸等各种媒体，加大对地质灾害应</w:t>
      </w:r>
      <w:r>
        <w:rPr>
          <w:spacing w:val="7"/>
        </w:rPr>
        <w:t>急管理工作的宣传、培训力度，做好地质灾害</w:t>
      </w:r>
      <w:r>
        <w:rPr>
          <w:spacing w:val="7"/>
        </w:rPr>
        <w:t>突发事件防范知识的宣传教育工作，不断提高</w:t>
      </w:r>
      <w:r>
        <w:rPr>
          <w:spacing w:val="7"/>
        </w:rPr>
        <w:t>公众的安全意识和自救互救能力。每年宣教活</w:t>
      </w:r>
      <w:r>
        <w:rPr>
          <w:spacing w:val="4"/>
        </w:rPr>
        <w:t>动不得少于</w:t>
      </w:r>
      <w:r>
        <w:rPr>
          <w:spacing w:val="-21"/>
        </w:rPr>
        <w:t xml:space="preserve"> </w:t>
      </w:r>
      <w:r>
        <w:rPr>
          <w:rFonts w:ascii="Times New Roman" w:hAnsi="Times New Roman" w:eastAsia="Times New Roman" w:cs="Times New Roman"/>
          <w:spacing w:val="4"/>
        </w:rPr>
        <w:t>1 </w:t>
      </w:r>
      <w:r>
        <w:rPr>
          <w:spacing w:val="4"/>
        </w:rPr>
        <w:t>次。</w:t>
      </w:r>
    </w:p>
    <w:p>
      <w:pPr>
        <w:pStyle w:val="BodyText"/>
        <w:ind w:left="4" w:right="76" w:firstLine="420"/>
        <w:spacing w:before="172" w:line="328" w:lineRule="auto"/>
        <w:rPr/>
      </w:pPr>
      <w:r>
        <w:rPr>
          <w:rFonts w:ascii="Times New Roman" w:hAnsi="Times New Roman" w:eastAsia="Times New Roman" w:cs="Times New Roman"/>
          <w:spacing w:val="8"/>
        </w:rPr>
        <w:t>7.2  </w:t>
      </w:r>
      <w:r>
        <w:rPr>
          <w:rFonts w:ascii="KaiTi" w:hAnsi="KaiTi" w:eastAsia="KaiTi" w:cs="KaiTi"/>
          <w:spacing w:val="8"/>
        </w:rPr>
        <w:t>预案演练。</w:t>
      </w:r>
      <w:r>
        <w:rPr>
          <w:spacing w:val="8"/>
        </w:rPr>
        <w:t>由市地质灾害应急指挥部</w:t>
      </w:r>
      <w:r>
        <w:rPr>
          <w:spacing w:val="7"/>
        </w:rPr>
        <w:t>办公室牵头，定期组织开展本预案应急演练，</w:t>
      </w:r>
      <w:r>
        <w:rPr>
          <w:spacing w:val="3"/>
        </w:rPr>
        <w:t>每年不少于</w:t>
      </w:r>
      <w:r>
        <w:rPr>
          <w:spacing w:val="-17"/>
        </w:rPr>
        <w:t xml:space="preserve"> </w:t>
      </w:r>
      <w:r>
        <w:rPr>
          <w:rFonts w:ascii="Times New Roman" w:hAnsi="Times New Roman" w:eastAsia="Times New Roman" w:cs="Times New Roman"/>
          <w:spacing w:val="3"/>
        </w:rPr>
        <w:t>1 </w:t>
      </w:r>
      <w:r>
        <w:rPr>
          <w:spacing w:val="3"/>
        </w:rPr>
        <w:t>次。</w:t>
      </w:r>
    </w:p>
    <w:p>
      <w:pPr>
        <w:ind w:left="425"/>
        <w:spacing w:before="170" w:line="241" w:lineRule="auto"/>
        <w:rPr>
          <w:rFonts w:ascii="KaiTi" w:hAnsi="KaiTi" w:eastAsia="KaiTi" w:cs="KaiTi"/>
          <w:sz w:val="20"/>
          <w:szCs w:val="20"/>
        </w:rPr>
      </w:pPr>
      <w:r>
        <w:rPr>
          <w:rFonts w:ascii="Times New Roman" w:hAnsi="Times New Roman" w:eastAsia="Times New Roman" w:cs="Times New Roman"/>
          <w:sz w:val="20"/>
          <w:szCs w:val="20"/>
          <w:spacing w:val="6"/>
        </w:rPr>
        <w:t>7.3  </w:t>
      </w:r>
      <w:r>
        <w:rPr>
          <w:rFonts w:ascii="KaiTi" w:hAnsi="KaiTi" w:eastAsia="KaiTi" w:cs="KaiTi"/>
          <w:sz w:val="20"/>
          <w:szCs w:val="20"/>
          <w:spacing w:val="6"/>
        </w:rPr>
        <w:t>预案管理与更新。</w:t>
      </w:r>
    </w:p>
    <w:p>
      <w:pPr>
        <w:pStyle w:val="BodyText"/>
        <w:ind w:firstLine="412"/>
        <w:spacing w:before="150" w:line="303" w:lineRule="auto"/>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）本预案由市自然资源局制定</w:t>
      </w:r>
      <w:r>
        <w:rPr>
          <w:spacing w:val="-59"/>
        </w:rPr>
        <w:t xml:space="preserve"> </w:t>
      </w:r>
      <w:r>
        <w:rPr>
          <w:spacing w:val="5"/>
        </w:rPr>
        <w:t>，经市</w:t>
      </w:r>
      <w:r>
        <w:rPr>
          <w:spacing w:val="-8"/>
        </w:rPr>
        <w:t>人民政府审批后，由固原市人民政府办公室印发。</w:t>
      </w:r>
    </w:p>
    <w:p>
      <w:pPr>
        <w:pStyle w:val="BodyText"/>
        <w:ind w:right="83" w:firstLine="413"/>
        <w:spacing w:before="169" w:line="349" w:lineRule="auto"/>
        <w:rPr/>
      </w:pPr>
      <w:r>
        <w:rPr>
          <w:spacing w:val="2"/>
        </w:rPr>
        <w:t>（</w:t>
      </w:r>
      <w:r>
        <w:rPr>
          <w:rFonts w:ascii="Times New Roman" w:hAnsi="Times New Roman" w:eastAsia="Times New Roman" w:cs="Times New Roman"/>
          <w:spacing w:val="2"/>
        </w:rPr>
        <w:t>2</w:t>
      </w:r>
      <w:r>
        <w:rPr>
          <w:rFonts w:ascii="Times New Roman" w:hAnsi="Times New Roman" w:eastAsia="Times New Roman" w:cs="Times New Roman"/>
          <w:spacing w:val="-2"/>
        </w:rPr>
        <w:t xml:space="preserve"> </w:t>
      </w:r>
      <w:r>
        <w:rPr>
          <w:spacing w:val="2"/>
        </w:rPr>
        <w:t>）各县（</w:t>
      </w:r>
      <w:r>
        <w:rPr>
          <w:spacing w:val="-47"/>
        </w:rPr>
        <w:t xml:space="preserve"> </w:t>
      </w:r>
      <w:r>
        <w:rPr>
          <w:spacing w:val="2"/>
        </w:rPr>
        <w:t>区）政府</w:t>
      </w:r>
      <w:r>
        <w:rPr>
          <w:spacing w:val="-59"/>
        </w:rPr>
        <w:t xml:space="preserve"> </w:t>
      </w:r>
      <w:r>
        <w:rPr>
          <w:spacing w:val="2"/>
        </w:rPr>
        <w:t>，市县（</w:t>
      </w:r>
      <w:r>
        <w:rPr>
          <w:spacing w:val="-48"/>
        </w:rPr>
        <w:t xml:space="preserve"> </w:t>
      </w:r>
      <w:r>
        <w:rPr>
          <w:spacing w:val="2"/>
        </w:rPr>
        <w:t>区）有关</w:t>
      </w:r>
      <w:r>
        <w:rPr>
          <w:spacing w:val="7"/>
        </w:rPr>
        <w:t>单位、群众自治组织、企事业单位等要按照预</w:t>
      </w:r>
      <w:r>
        <w:rPr>
          <w:spacing w:val="7"/>
        </w:rPr>
        <w:t>案的规定履行职责，并制定、完善相应的应急</w:t>
      </w:r>
      <w:r>
        <w:rPr>
          <w:spacing w:val="7"/>
        </w:rPr>
        <w:t>预案，报市地质灾害指挥部办公室和市政府办</w:t>
      </w:r>
      <w:r>
        <w:rPr>
          <w:spacing w:val="7"/>
        </w:rPr>
        <w:t>值班室备案。</w:t>
      </w:r>
    </w:p>
    <w:p>
      <w:pPr>
        <w:pStyle w:val="BodyText"/>
        <w:ind w:left="413"/>
        <w:spacing w:before="169" w:line="221"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）市自然资源局要根据预案演练时发</w:t>
      </w:r>
    </w:p>
    <w:p>
      <w:pPr>
        <w:spacing w:line="221" w:lineRule="auto"/>
        <w:sectPr>
          <w:type w:val="continuous"/>
          <w:pgSz w:w="11906" w:h="16839"/>
          <w:pgMar w:top="1974" w:right="1507" w:bottom="1574" w:left="1579" w:header="1634" w:footer="1172" w:gutter="0"/>
          <w:cols w:equalWidth="0" w:num="2">
            <w:col w:w="4489" w:space="100"/>
            <w:col w:w="4231" w:space="0"/>
          </w:cols>
        </w:sectPr>
        <w:rPr/>
      </w:pPr>
    </w:p>
    <w:p>
      <w:pPr>
        <w:spacing w:before="80"/>
        <w:rPr/>
      </w:pPr>
      <w:r/>
    </w:p>
    <w:p>
      <w:pPr>
        <w:sectPr>
          <w:headerReference w:type="default" r:id="rId1179"/>
          <w:footerReference w:type="default" r:id="rId1180"/>
          <w:pgSz w:w="11906" w:h="16839"/>
          <w:pgMar w:top="1772" w:right="1489" w:bottom="1572" w:left="1399" w:header="1428" w:footer="1172" w:gutter="0"/>
          <w:cols w:equalWidth="0" w:num="1">
            <w:col w:w="9018" w:space="0"/>
          </w:cols>
        </w:sectPr>
        <w:rPr/>
      </w:pPr>
    </w:p>
    <w:p>
      <w:pPr>
        <w:pStyle w:val="BodyText"/>
        <w:ind w:left="194" w:right="334" w:firstLine="2"/>
        <w:spacing w:before="44" w:line="378" w:lineRule="auto"/>
        <w:rPr/>
      </w:pPr>
      <w:r>
        <w:rPr>
          <w:spacing w:val="7"/>
        </w:rPr>
        <w:t>现的问题、机构变化等情况，适时组织修订完</w:t>
      </w:r>
      <w:r>
        <w:rPr>
          <w:spacing w:val="6"/>
        </w:rPr>
        <w:t>善本预案。</w:t>
      </w:r>
    </w:p>
    <w:p>
      <w:pPr>
        <w:pStyle w:val="BodyText"/>
        <w:ind w:left="194" w:right="311" w:firstLine="422"/>
        <w:spacing w:before="4" w:line="377" w:lineRule="auto"/>
        <w:jc w:val="both"/>
        <w:rPr/>
      </w:pPr>
      <w:r>
        <w:rPr>
          <w:rFonts w:ascii="Times New Roman" w:hAnsi="Times New Roman" w:eastAsia="Times New Roman" w:cs="Times New Roman"/>
          <w:spacing w:val="8"/>
        </w:rPr>
        <w:t>7.4  </w:t>
      </w:r>
      <w:r>
        <w:rPr>
          <w:rFonts w:ascii="KaiTi" w:hAnsi="KaiTi" w:eastAsia="KaiTi" w:cs="KaiTi"/>
          <w:spacing w:val="8"/>
        </w:rPr>
        <w:t>责任与奖励。</w:t>
      </w:r>
      <w:r>
        <w:rPr>
          <w:spacing w:val="8"/>
        </w:rPr>
        <w:t>对在应对地质灾害突发</w:t>
      </w:r>
      <w:r>
        <w:rPr>
          <w:spacing w:val="8"/>
        </w:rPr>
        <w:t>事件工作中玩忽职守造成损失的，严重虚报、</w:t>
      </w:r>
      <w:r>
        <w:rPr>
          <w:spacing w:val="7"/>
        </w:rPr>
        <w:t>瞒报事件情况的，依据国家有关法律法规追究</w:t>
      </w:r>
      <w:r>
        <w:rPr>
          <w:spacing w:val="7"/>
        </w:rPr>
        <w:t>当事人的责任，构成犯罪的，依法追究其刑事</w:t>
      </w:r>
    </w:p>
    <w:p>
      <w:pPr>
        <w:spacing w:before="202"/>
        <w:rPr/>
      </w:pPr>
      <w:r/>
    </w:p>
    <w:p>
      <w:pPr>
        <w:spacing w:line="14" w:lineRule="auto"/>
        <w:rPr>
          <w:rFonts w:ascii="Arial"/>
          <w:sz w:val="2"/>
        </w:rPr>
      </w:pPr>
      <w:r>
        <w:rPr>
          <w:rFonts w:ascii="Arial" w:hAnsi="Arial" w:eastAsia="Arial" w:cs="Arial"/>
          <w:sz w:val="2"/>
          <w:szCs w:val="2"/>
        </w:rPr>
        <w:br w:type="column"/>
      </w:r>
    </w:p>
    <w:p>
      <w:pPr>
        <w:pStyle w:val="BodyText"/>
        <w:ind w:right="101"/>
        <w:spacing w:before="41" w:line="375" w:lineRule="auto"/>
        <w:jc w:val="both"/>
        <w:rPr/>
      </w:pPr>
      <w:r>
        <w:rPr>
          <w:spacing w:val="7"/>
        </w:rPr>
        <w:t>责任；在对地质灾害处置工作过程中做出突出</w:t>
      </w:r>
      <w:r>
        <w:rPr>
          <w:spacing w:val="7"/>
        </w:rPr>
        <w:t>贡献的先进集体和个人，按照有关规定给予表</w:t>
      </w:r>
      <w:r>
        <w:rPr>
          <w:spacing w:val="5"/>
        </w:rPr>
        <w:t>彰和奖励。</w:t>
      </w:r>
    </w:p>
    <w:p>
      <w:pPr>
        <w:ind w:left="420"/>
        <w:spacing w:before="1"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8    附则</w:t>
      </w:r>
    </w:p>
    <w:p>
      <w:pPr>
        <w:pStyle w:val="BodyText"/>
        <w:ind w:left="14" w:right="101" w:firstLine="411"/>
        <w:spacing w:before="108" w:line="365" w:lineRule="auto"/>
        <w:rPr/>
      </w:pPr>
      <w:r>
        <w:rPr>
          <w:rFonts w:ascii="Times New Roman" w:hAnsi="Times New Roman" w:eastAsia="Times New Roman" w:cs="Times New Roman"/>
          <w:spacing w:val="5"/>
        </w:rPr>
        <w:t>8.</w:t>
      </w:r>
      <w:r>
        <w:rPr>
          <w:rFonts w:ascii="Times New Roman" w:hAnsi="Times New Roman" w:eastAsia="Times New Roman" w:cs="Times New Roman"/>
          <w:spacing w:val="-10"/>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5"/>
        </w:rPr>
        <w:t xml:space="preserve">  </w:t>
      </w:r>
      <w:r>
        <w:rPr>
          <w:rFonts w:ascii="KaiTi" w:hAnsi="KaiTi" w:eastAsia="KaiTi" w:cs="KaiTi"/>
          <w:spacing w:val="5"/>
        </w:rPr>
        <w:t>以上、以下的含义。</w:t>
      </w:r>
      <w:r>
        <w:rPr>
          <w:spacing w:val="5"/>
        </w:rPr>
        <w:t>本预案有关数量</w:t>
      </w:r>
      <w:r>
        <w:rPr>
          <w:spacing w:val="5"/>
        </w:rPr>
        <w:t>的表述中，</w:t>
      </w:r>
      <w:r>
        <w:rPr>
          <w:rFonts w:ascii="Times New Roman" w:hAnsi="Times New Roman" w:eastAsia="Times New Roman" w:cs="Times New Roman"/>
          <w:spacing w:val="5"/>
        </w:rPr>
        <w:t>“</w:t>
      </w:r>
      <w:r>
        <w:rPr>
          <w:rFonts w:ascii="Times New Roman" w:hAnsi="Times New Roman" w:eastAsia="Times New Roman" w:cs="Times New Roman"/>
          <w:spacing w:val="-19"/>
        </w:rPr>
        <w:t xml:space="preserve"> </w:t>
      </w:r>
      <w:r>
        <w:rPr>
          <w:spacing w:val="5"/>
        </w:rPr>
        <w:t>以上</w:t>
      </w:r>
      <w:r>
        <w:rPr>
          <w:rFonts w:ascii="Times New Roman" w:hAnsi="Times New Roman" w:eastAsia="Times New Roman" w:cs="Times New Roman"/>
          <w:spacing w:val="5"/>
        </w:rPr>
        <w:t>”</w:t>
      </w:r>
      <w:r>
        <w:rPr>
          <w:spacing w:val="5"/>
        </w:rPr>
        <w:t>含本数，</w:t>
      </w:r>
      <w:r>
        <w:rPr>
          <w:rFonts w:ascii="Times New Roman" w:hAnsi="Times New Roman" w:eastAsia="Times New Roman" w:cs="Times New Roman"/>
          <w:spacing w:val="5"/>
        </w:rPr>
        <w:t>“</w:t>
      </w:r>
      <w:r>
        <w:rPr>
          <w:rFonts w:ascii="Times New Roman" w:hAnsi="Times New Roman" w:eastAsia="Times New Roman" w:cs="Times New Roman"/>
          <w:spacing w:val="-30"/>
        </w:rPr>
        <w:t xml:space="preserve"> </w:t>
      </w:r>
      <w:r>
        <w:rPr>
          <w:spacing w:val="5"/>
        </w:rPr>
        <w:t>以下</w:t>
      </w:r>
      <w:r>
        <w:rPr>
          <w:rFonts w:ascii="Times New Roman" w:hAnsi="Times New Roman" w:eastAsia="Times New Roman" w:cs="Times New Roman"/>
          <w:spacing w:val="5"/>
        </w:rPr>
        <w:t>”</w:t>
      </w:r>
      <w:r>
        <w:rPr>
          <w:spacing w:val="5"/>
        </w:rPr>
        <w:t>不含本数。</w:t>
      </w:r>
    </w:p>
    <w:p>
      <w:pPr>
        <w:ind w:left="421"/>
        <w:spacing w:before="21" w:line="21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9    附件</w:t>
      </w:r>
    </w:p>
    <w:p>
      <w:pPr>
        <w:spacing w:line="218" w:lineRule="auto"/>
        <w:sectPr>
          <w:type w:val="continuous"/>
          <w:pgSz w:w="11906" w:h="16839"/>
          <w:pgMar w:top="1772" w:right="1489" w:bottom="1572" w:left="1399" w:header="1428" w:footer="1172" w:gutter="0"/>
          <w:cols w:equalWidth="0" w:num="2">
            <w:col w:w="4674" w:space="100"/>
            <w:col w:w="4244" w:space="0"/>
          </w:cols>
        </w:sectPr>
        <w:rPr>
          <w:rFonts w:ascii="Microsoft YaHei" w:hAnsi="Microsoft YaHei" w:eastAsia="Microsoft YaHei" w:cs="Microsoft YaHei"/>
          <w:sz w:val="20"/>
          <w:szCs w:val="20"/>
        </w:rPr>
      </w:pPr>
    </w:p>
    <w:p>
      <w:pPr>
        <w:spacing w:line="475" w:lineRule="auto"/>
        <w:rPr>
          <w:rFonts w:ascii="Arial"/>
          <w:sz w:val="21"/>
        </w:rPr>
      </w:pPr>
      <w:r>
        <w:drawing>
          <wp:anchor distT="0" distB="0" distL="0" distR="0" simplePos="0" relativeHeight="254548992" behindDoc="0" locked="0" layoutInCell="1" allowOverlap="1">
            <wp:simplePos x="0" y="0"/>
            <wp:positionH relativeFrom="column">
              <wp:posOffset>120014</wp:posOffset>
            </wp:positionH>
            <wp:positionV relativeFrom="paragraph">
              <wp:posOffset>-2075639</wp:posOffset>
            </wp:positionV>
            <wp:extent cx="5579745" cy="7620"/>
            <wp:effectExtent l="0" t="0" r="0" b="0"/>
            <wp:wrapNone/>
            <wp:docPr id="2352" name="IM 2352"/>
            <wp:cNvGraphicFramePr/>
            <a:graphic>
              <a:graphicData uri="http://schemas.openxmlformats.org/drawingml/2006/picture">
                <pic:pic>
                  <pic:nvPicPr>
                    <pic:cNvPr id="2352" name="IM 2352"/>
                    <pic:cNvPicPr/>
                  </pic:nvPicPr>
                  <pic:blipFill>
                    <a:blip r:embed="rId1181"/>
                    <a:stretch>
                      <a:fillRect/>
                    </a:stretch>
                  </pic:blipFill>
                  <pic:spPr>
                    <a:xfrm rot="0">
                      <a:off x="0" y="0"/>
                      <a:ext cx="5579745" cy="7620"/>
                    </a:xfrm>
                    <a:prstGeom prst="rect">
                      <a:avLst/>
                    </a:prstGeom>
                  </pic:spPr>
                </pic:pic>
              </a:graphicData>
            </a:graphic>
          </wp:anchor>
        </w:drawing>
      </w:r>
      <w:r/>
    </w:p>
    <w:p>
      <w:pPr>
        <w:ind w:left="2061"/>
        <w:spacing w:before="120" w:line="210" w:lineRule="auto"/>
        <w:rPr>
          <w:rFonts w:ascii="Microsoft YaHei" w:hAnsi="Microsoft YaHei" w:eastAsia="Microsoft YaHei" w:cs="Microsoft YaHei"/>
          <w:sz w:val="28"/>
          <w:szCs w:val="28"/>
        </w:rPr>
      </w:pPr>
      <w:r>
        <w:rPr>
          <w:rFonts w:ascii="Microsoft YaHei" w:hAnsi="Microsoft YaHei" w:eastAsia="Microsoft YaHei" w:cs="Microsoft YaHei"/>
          <w:sz w:val="28"/>
          <w:szCs w:val="28"/>
          <w:spacing w:val="-2"/>
        </w:rPr>
        <w:t>9.1  固原市突发地质灾害应急管理组织机构图</w:t>
      </w:r>
    </w:p>
    <w:p>
      <w:pPr>
        <w:spacing w:line="255" w:lineRule="auto"/>
        <w:rPr>
          <w:rFonts w:ascii="Arial"/>
          <w:sz w:val="21"/>
        </w:rPr>
      </w:pPr>
      <w:r/>
    </w:p>
    <w:p>
      <w:pPr>
        <w:spacing w:line="255" w:lineRule="auto"/>
        <w:rPr>
          <w:rFonts w:ascii="Arial"/>
          <w:sz w:val="21"/>
        </w:rPr>
      </w:pPr>
      <w:r/>
    </w:p>
    <w:p>
      <w:pPr>
        <w:pStyle w:val="BodyText"/>
        <w:ind w:left="4137"/>
        <w:spacing w:before="65" w:line="218" w:lineRule="auto"/>
        <w:rPr/>
      </w:pPr>
      <w:r>
        <w:drawing>
          <wp:anchor distT="0" distB="0" distL="0" distR="0" simplePos="0" relativeHeight="254534656" behindDoc="1" locked="0" layoutInCell="1" allowOverlap="1">
            <wp:simplePos x="0" y="0"/>
            <wp:positionH relativeFrom="column">
              <wp:posOffset>0</wp:posOffset>
            </wp:positionH>
            <wp:positionV relativeFrom="paragraph">
              <wp:posOffset>-41834</wp:posOffset>
            </wp:positionV>
            <wp:extent cx="5657850" cy="5351144"/>
            <wp:effectExtent l="0" t="0" r="0" b="0"/>
            <wp:wrapNone/>
            <wp:docPr id="2354" name="IM 2354"/>
            <wp:cNvGraphicFramePr/>
            <a:graphic>
              <a:graphicData uri="http://schemas.openxmlformats.org/drawingml/2006/picture">
                <pic:pic>
                  <pic:nvPicPr>
                    <pic:cNvPr id="2354" name="IM 2354"/>
                    <pic:cNvPicPr/>
                  </pic:nvPicPr>
                  <pic:blipFill>
                    <a:blip r:embed="rId1182"/>
                    <a:stretch>
                      <a:fillRect/>
                    </a:stretch>
                  </pic:blipFill>
                  <pic:spPr>
                    <a:xfrm rot="0">
                      <a:off x="0" y="0"/>
                      <a:ext cx="5657850" cy="5351144"/>
                    </a:xfrm>
                    <a:prstGeom prst="rect">
                      <a:avLst/>
                    </a:prstGeom>
                  </pic:spPr>
                </pic:pic>
              </a:graphicData>
            </a:graphic>
          </wp:anchor>
        </w:drawing>
      </w:r>
      <w:r>
        <w:rPr>
          <w:spacing w:val="7"/>
        </w:rPr>
        <w:t>指挥长</w:t>
      </w:r>
    </w:p>
    <w:p>
      <w:pPr>
        <w:pStyle w:val="BodyText"/>
        <w:ind w:left="3180"/>
        <w:spacing w:before="40" w:line="277" w:lineRule="exact"/>
        <w:rPr/>
      </w:pPr>
      <w:r>
        <w:rPr>
          <w:spacing w:val="10"/>
          <w:position w:val="1"/>
        </w:rPr>
        <w:t>（市人民政府分管副市长）</w:t>
      </w:r>
    </w:p>
    <w:p>
      <w:pPr>
        <w:spacing w:line="364" w:lineRule="auto"/>
        <w:rPr>
          <w:rFonts w:ascii="Arial"/>
          <w:sz w:val="21"/>
        </w:rPr>
      </w:pPr>
      <w:r/>
    </w:p>
    <w:p>
      <w:pPr>
        <w:pStyle w:val="BodyText"/>
        <w:ind w:left="4042"/>
        <w:spacing w:before="65" w:line="218" w:lineRule="auto"/>
        <w:rPr/>
      </w:pPr>
      <w:r>
        <w:rPr>
          <w:spacing w:val="6"/>
        </w:rPr>
        <w:t>副指挥长</w:t>
      </w:r>
    </w:p>
    <w:p>
      <w:pPr>
        <w:pStyle w:val="BodyText"/>
        <w:ind w:left="3082"/>
        <w:spacing w:before="20" w:line="239" w:lineRule="auto"/>
        <w:rPr/>
      </w:pPr>
      <w:r>
        <w:rPr>
          <w:spacing w:val="10"/>
        </w:rPr>
        <w:t>（市人民政府分管副秘书长）</w:t>
      </w:r>
    </w:p>
    <w:p>
      <w:pPr>
        <w:pStyle w:val="BodyText"/>
        <w:ind w:left="3396"/>
        <w:spacing w:line="278" w:lineRule="exact"/>
        <w:rPr/>
      </w:pPr>
      <w:r>
        <w:rPr>
          <w:spacing w:val="10"/>
          <w:position w:val="1"/>
        </w:rPr>
        <w:t>（市自然资源局局长）</w:t>
      </w:r>
    </w:p>
    <w:p>
      <w:pPr>
        <w:spacing w:line="248" w:lineRule="auto"/>
        <w:rPr>
          <w:rFonts w:ascii="Arial"/>
          <w:sz w:val="21"/>
        </w:rPr>
      </w:pPr>
      <w:r/>
    </w:p>
    <w:p>
      <w:pPr>
        <w:spacing w:line="249" w:lineRule="auto"/>
        <w:rPr>
          <w:rFonts w:ascii="Arial"/>
          <w:sz w:val="21"/>
        </w:rPr>
      </w:pPr>
      <w:r/>
    </w:p>
    <w:p>
      <w:pPr>
        <w:pStyle w:val="BodyText"/>
        <w:ind w:left="3827"/>
        <w:spacing w:before="65" w:line="218" w:lineRule="auto"/>
        <w:rPr/>
      </w:pPr>
      <w:r>
        <w:rPr>
          <w:spacing w:val="8"/>
        </w:rPr>
        <w:t>指挥部办公室</w:t>
      </w:r>
    </w:p>
    <w:p>
      <w:pPr>
        <w:pStyle w:val="BodyText"/>
        <w:ind w:left="3396"/>
        <w:spacing w:before="37" w:line="278" w:lineRule="exact"/>
        <w:rPr/>
      </w:pPr>
      <w:r>
        <w:rPr>
          <w:spacing w:val="10"/>
          <w:position w:val="1"/>
        </w:rPr>
        <w:t>（设在市自然资源局）</w:t>
      </w:r>
    </w:p>
    <w:p>
      <w:pPr>
        <w:spacing w:line="261" w:lineRule="auto"/>
        <w:rPr>
          <w:rFonts w:ascii="Arial"/>
          <w:sz w:val="21"/>
        </w:rPr>
      </w:pPr>
      <w:r/>
    </w:p>
    <w:p>
      <w:pPr>
        <w:spacing w:line="261" w:lineRule="auto"/>
        <w:rPr>
          <w:rFonts w:ascii="Arial"/>
          <w:sz w:val="21"/>
        </w:rPr>
      </w:pPr>
      <w:r>
        <w:drawing>
          <wp:anchor distT="0" distB="0" distL="0" distR="0" simplePos="0" relativeHeight="254550016" behindDoc="0" locked="0" layoutInCell="1" allowOverlap="1">
            <wp:simplePos x="0" y="0"/>
            <wp:positionH relativeFrom="column">
              <wp:posOffset>438150</wp:posOffset>
            </wp:positionH>
            <wp:positionV relativeFrom="paragraph">
              <wp:posOffset>124824</wp:posOffset>
            </wp:positionV>
            <wp:extent cx="4895850" cy="7620"/>
            <wp:effectExtent l="0" t="0" r="0" b="0"/>
            <wp:wrapNone/>
            <wp:docPr id="2356" name="IM 2356"/>
            <wp:cNvGraphicFramePr/>
            <a:graphic>
              <a:graphicData uri="http://schemas.openxmlformats.org/drawingml/2006/picture">
                <pic:pic>
                  <pic:nvPicPr>
                    <pic:cNvPr id="2356" name="IM 2356"/>
                    <pic:cNvPicPr/>
                  </pic:nvPicPr>
                  <pic:blipFill>
                    <a:blip r:embed="rId1183"/>
                    <a:stretch>
                      <a:fillRect/>
                    </a:stretch>
                  </pic:blipFill>
                  <pic:spPr>
                    <a:xfrm rot="0">
                      <a:off x="0" y="0"/>
                      <a:ext cx="4895850" cy="7620"/>
                    </a:xfrm>
                    <a:prstGeom prst="rect">
                      <a:avLst/>
                    </a:prstGeom>
                  </pic:spPr>
                </pic:pic>
              </a:graphicData>
            </a:graphic>
          </wp:anchor>
        </w:drawing>
      </w:r>
      <w:r/>
    </w:p>
    <w:p>
      <w:pPr>
        <w:spacing w:line="261" w:lineRule="auto"/>
        <w:rPr>
          <w:rFonts w:ascii="Arial"/>
          <w:sz w:val="21"/>
        </w:rPr>
      </w:pPr>
      <w:r/>
    </w:p>
    <w:p>
      <w:pPr>
        <w:spacing w:line="261" w:lineRule="auto"/>
        <w:rPr>
          <w:rFonts w:ascii="Arial"/>
          <w:sz w:val="21"/>
        </w:rPr>
      </w:pPr>
      <w:r>
        <w:pict>
          <v:shape id="_x0000_s232" style="position:absolute;margin-left:28.3768pt;margin-top:8.93683pt;mso-position-vertical-relative:text;mso-position-horizontal-relative:text;width:14.05pt;height:62.5pt;z-index:254546944;" filled="false" stroked="false" type="#_x0000_t202">
            <v:fill on="false"/>
            <v:stroke on="false"/>
            <v:path/>
            <v:imagedata o:title=""/>
            <o:lock v:ext="edit" aspectratio="false"/>
            <v:textbox inset="0mm,0mm,0mm,0mm" style="layout-flow:vertical-ideographic;">
              <w:txbxContent>
                <w:p>
                  <w:pPr>
                    <w:pStyle w:val="BodyText"/>
                    <w:ind w:left="20"/>
                    <w:spacing w:before="19" w:line="216" w:lineRule="auto"/>
                    <w:rPr/>
                  </w:pPr>
                  <w:r>
                    <w:rPr>
                      <w:spacing w:val="41"/>
                    </w:rPr>
                    <w:t>综合协调组</w:t>
                  </w:r>
                </w:p>
              </w:txbxContent>
            </v:textbox>
          </v:shape>
        </w:pict>
      </w:r>
      <w:r>
        <w:pict>
          <v:shape id="_x0000_s234" style="position:absolute;margin-left:89.1348pt;margin-top:8.93787pt;mso-position-vertical-relative:text;mso-position-horizontal-relative:text;width:14.05pt;height:62.5pt;z-index:254544896;" filled="false" stroked="false" type="#_x0000_t202">
            <v:fill on="false"/>
            <v:stroke on="false"/>
            <v:path/>
            <v:imagedata o:title=""/>
            <o:lock v:ext="edit" aspectratio="false"/>
            <v:textbox inset="0mm,0mm,0mm,0mm" style="layout-flow:vertical-ideographic;">
              <w:txbxContent>
                <w:p>
                  <w:pPr>
                    <w:pStyle w:val="BodyText"/>
                    <w:ind w:left="20"/>
                    <w:spacing w:before="19" w:line="216" w:lineRule="auto"/>
                    <w:rPr/>
                  </w:pPr>
                  <w:r>
                    <w:rPr>
                      <w:spacing w:val="41"/>
                    </w:rPr>
                    <w:t>抢险救灾组</w:t>
                  </w:r>
                </w:p>
              </w:txbxContent>
            </v:textbox>
          </v:shape>
        </w:pict>
      </w:r>
      <w:r>
        <w:pict>
          <v:shape id="_x0000_s236" style="position:absolute;margin-left:151.781pt;margin-top:8.93683pt;mso-position-vertical-relative:text;mso-position-horizontal-relative:text;width:14.1pt;height:62.5pt;z-index:254545920;" filled="false" stroked="false" type="#_x0000_t202">
            <v:fill on="false"/>
            <v:stroke on="false"/>
            <v:path/>
            <v:imagedata o:title=""/>
            <o:lock v:ext="edit" aspectratio="false"/>
            <v:textbox inset="0mm,0mm,0mm,0mm" style="layout-flow:vertical-ideographic;">
              <w:txbxContent>
                <w:p>
                  <w:pPr>
                    <w:pStyle w:val="BodyText"/>
                    <w:ind w:left="20"/>
                    <w:spacing w:before="20" w:line="216" w:lineRule="auto"/>
                    <w:rPr/>
                  </w:pPr>
                  <w:r>
                    <w:rPr>
                      <w:spacing w:val="41"/>
                    </w:rPr>
                    <w:t>交通治安组</w:t>
                  </w:r>
                </w:p>
              </w:txbxContent>
            </v:textbox>
          </v:shape>
        </w:pict>
      </w:r>
      <w:r>
        <w:pict>
          <v:shape id="_x0000_s238" style="position:absolute;margin-left:217.856pt;margin-top:9.6579pt;mso-position-vertical-relative:text;mso-position-horizontal-relative:text;width:14.1pt;height:62.5pt;z-index:254543872;" filled="false" stroked="false" type="#_x0000_t202">
            <v:fill on="false"/>
            <v:stroke on="false"/>
            <v:path/>
            <v:imagedata o:title=""/>
            <o:lock v:ext="edit" aspectratio="false"/>
            <v:textbox inset="0mm,0mm,0mm,0mm" style="layout-flow:vertical-ideographic;">
              <w:txbxContent>
                <w:p>
                  <w:pPr>
                    <w:pStyle w:val="BodyText"/>
                    <w:ind w:left="20"/>
                    <w:spacing w:before="20" w:line="217" w:lineRule="auto"/>
                    <w:rPr/>
                  </w:pPr>
                  <w:r>
                    <w:rPr>
                      <w:spacing w:val="41"/>
                    </w:rPr>
                    <w:t>医疗卫生组</w:t>
                  </w:r>
                </w:p>
              </w:txbxContent>
            </v:textbox>
          </v:shape>
        </w:pict>
      </w:r>
      <w:r>
        <w:pict>
          <v:shape id="_x0000_s240" style="position:absolute;margin-left:283.82pt;margin-top:8.93683pt;mso-position-vertical-relative:text;mso-position-horizontal-relative:text;width:13.95pt;height:62.5pt;z-index:254547968;" filled="false" stroked="false" type="#_x0000_t202">
            <v:fill on="false"/>
            <v:stroke on="false"/>
            <v:path/>
            <v:imagedata o:title=""/>
            <o:lock v:ext="edit" aspectratio="false"/>
            <v:textbox inset="0mm,0mm,0mm,0mm" style="layout-flow:vertical-ideographic;">
              <w:txbxContent>
                <w:p>
                  <w:pPr>
                    <w:pStyle w:val="BodyText"/>
                    <w:ind w:left="20"/>
                    <w:spacing w:before="20" w:line="214" w:lineRule="auto"/>
                    <w:rPr/>
                  </w:pPr>
                  <w:r>
                    <w:rPr>
                      <w:spacing w:val="41"/>
                    </w:rPr>
                    <w:t>转移安置组</w:t>
                  </w:r>
                </w:p>
              </w:txbxContent>
            </v:textbox>
          </v:shape>
        </w:pict>
      </w:r>
      <w:r>
        <w:pict>
          <v:shape id="_x0000_s242" style="position:absolute;margin-left:412.259pt;margin-top:8.21783pt;mso-position-vertical-relative:text;mso-position-horizontal-relative:text;width:14pt;height:64.9pt;z-index:254541824;" filled="false" stroked="false" type="#_x0000_t202">
            <v:fill on="false"/>
            <v:stroke on="false"/>
            <v:path/>
            <v:imagedata o:title=""/>
            <o:lock v:ext="edit" aspectratio="false"/>
            <v:textbox inset="0mm,0mm,0mm,0mm" style="layout-flow:vertical-ideographic;">
              <w:txbxContent>
                <w:p>
                  <w:pPr>
                    <w:pStyle w:val="BodyText"/>
                    <w:ind w:left="20"/>
                    <w:spacing w:before="19" w:line="215" w:lineRule="auto"/>
                    <w:rPr/>
                  </w:pPr>
                  <w:r>
                    <w:rPr>
                      <w:spacing w:val="9"/>
                    </w:rPr>
                    <w:t>信</w:t>
                  </w:r>
                  <w:r>
                    <w:rPr>
                      <w:spacing w:val="-49"/>
                    </w:rPr>
                    <w:t xml:space="preserve"> </w:t>
                  </w:r>
                  <w:r>
                    <w:rPr>
                      <w:spacing w:val="9"/>
                    </w:rPr>
                    <w:t>息</w:t>
                  </w:r>
                  <w:r>
                    <w:rPr>
                      <w:spacing w:val="-45"/>
                    </w:rPr>
                    <w:t xml:space="preserve"> </w:t>
                  </w:r>
                  <w:r>
                    <w:rPr>
                      <w:spacing w:val="9"/>
                    </w:rPr>
                    <w:t>报</w:t>
                  </w:r>
                  <w:r>
                    <w:rPr>
                      <w:spacing w:val="-47"/>
                    </w:rPr>
                    <w:t xml:space="preserve"> </w:t>
                  </w:r>
                  <w:r>
                    <w:rPr>
                      <w:spacing w:val="9"/>
                    </w:rPr>
                    <w:t>道</w:t>
                  </w:r>
                  <w:r>
                    <w:rPr>
                      <w:spacing w:val="-48"/>
                    </w:rPr>
                    <w:t xml:space="preserve"> </w:t>
                  </w:r>
                  <w:r>
                    <w:rPr>
                      <w:spacing w:val="9"/>
                    </w:rPr>
                    <w:t>组</w:t>
                  </w:r>
                </w:p>
              </w:txbxContent>
            </v:textbox>
          </v:shape>
        </w:pict>
      </w:r>
      <w:r>
        <w:pict>
          <v:shape id="_x0000_s244" style="position:absolute;margin-left:349.293pt;margin-top:8.21783pt;mso-position-vertical-relative:text;mso-position-horizontal-relative:text;width:14.2pt;height:62.5pt;z-index:254542848;" filled="false" stroked="false" type="#_x0000_t202">
            <v:fill on="false"/>
            <v:stroke on="false"/>
            <v:path/>
            <v:imagedata o:title=""/>
            <o:lock v:ext="edit" aspectratio="false"/>
            <v:textbox inset="0mm,0mm,0mm,0mm" style="layout-flow:vertical-ideographic;">
              <w:txbxContent>
                <w:p>
                  <w:pPr>
                    <w:pStyle w:val="BodyText"/>
                    <w:ind w:left="20"/>
                    <w:spacing w:before="19" w:line="219" w:lineRule="auto"/>
                    <w:rPr/>
                  </w:pPr>
                  <w:r>
                    <w:rPr>
                      <w:spacing w:val="41"/>
                    </w:rPr>
                    <w:t>设施抢险组</w:t>
                  </w:r>
                </w:p>
              </w:txbxContent>
            </v:textbox>
          </v:shape>
        </w:pict>
      </w: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BodyText"/>
        <w:ind w:left="6648" w:right="1494" w:firstLine="1"/>
        <w:spacing w:before="59" w:line="291" w:lineRule="auto"/>
        <w:jc w:val="both"/>
        <w:rPr>
          <w:sz w:val="18"/>
          <w:szCs w:val="18"/>
        </w:rPr>
      </w:pPr>
      <w:r>
        <w:pict>
          <v:shape id="_x0000_s246" style="position:absolute;margin-left:133.849pt;margin-top:1.16342pt;mso-position-vertical-relative:text;mso-position-horizontal-relative:text;width:43.6pt;height:61.35pt;z-index:254540800;" filled="false" stroked="false" type="#_x0000_t202">
            <v:fill on="false"/>
            <v:stroke on="false"/>
            <v:path/>
            <v:imagedata o:title=""/>
            <o:lock v:ext="edit" aspectratio="false"/>
            <v:textbox inset="0mm,0mm,0mm,0mm">
              <w:txbxContent>
                <w:p>
                  <w:pPr>
                    <w:pStyle w:val="BodyText"/>
                    <w:ind w:left="20" w:right="20" w:firstLine="1"/>
                    <w:spacing w:before="20" w:line="293" w:lineRule="auto"/>
                    <w:jc w:val="both"/>
                    <w:rPr>
                      <w:sz w:val="19"/>
                      <w:szCs w:val="19"/>
                    </w:rPr>
                  </w:pPr>
                  <w:r>
                    <w:rPr>
                      <w:sz w:val="19"/>
                      <w:szCs w:val="19"/>
                      <w:spacing w:val="4"/>
                    </w:rPr>
                    <w:t>市</w:t>
                  </w:r>
                  <w:r>
                    <w:rPr>
                      <w:sz w:val="19"/>
                      <w:szCs w:val="19"/>
                      <w:spacing w:val="26"/>
                    </w:rPr>
                    <w:t xml:space="preserve"> </w:t>
                  </w:r>
                  <w:r>
                    <w:rPr>
                      <w:sz w:val="19"/>
                      <w:szCs w:val="19"/>
                      <w:spacing w:val="4"/>
                    </w:rPr>
                    <w:t>公</w:t>
                  </w:r>
                  <w:r>
                    <w:rPr>
                      <w:sz w:val="19"/>
                      <w:szCs w:val="19"/>
                      <w:spacing w:val="30"/>
                    </w:rPr>
                    <w:t xml:space="preserve"> </w:t>
                  </w:r>
                  <w:r>
                    <w:rPr>
                      <w:sz w:val="19"/>
                      <w:szCs w:val="19"/>
                      <w:spacing w:val="4"/>
                    </w:rPr>
                    <w:t>安</w:t>
                  </w:r>
                  <w:r>
                    <w:rPr>
                      <w:sz w:val="19"/>
                      <w:szCs w:val="19"/>
                      <w:spacing w:val="17"/>
                    </w:rPr>
                    <w:t>局、水务</w:t>
                  </w:r>
                  <w:r>
                    <w:rPr>
                      <w:sz w:val="19"/>
                      <w:szCs w:val="19"/>
                      <w:spacing w:val="17"/>
                    </w:rPr>
                    <w:t>局等部门</w:t>
                  </w:r>
                  <w:r>
                    <w:rPr>
                      <w:sz w:val="19"/>
                      <w:szCs w:val="19"/>
                      <w:spacing w:val="4"/>
                    </w:rPr>
                    <w:t>组成。</w:t>
                  </w:r>
                </w:p>
              </w:txbxContent>
            </v:textbox>
          </v:shape>
        </w:pict>
      </w:r>
      <w:r>
        <w:pict>
          <v:shape id="_x0000_s248" style="position:absolute;margin-left:70.489pt;margin-top:1.20323pt;mso-position-vertical-relative:text;mso-position-horizontal-relative:text;width:43.6pt;height:109.35pt;z-index:254538752;" filled="false" stroked="false" type="#_x0000_t202">
            <v:fill on="false"/>
            <v:stroke on="false"/>
            <v:path/>
            <v:imagedata o:title=""/>
            <o:lock v:ext="edit" aspectratio="false"/>
            <v:textbox inset="0mm,0mm,0mm,0mm">
              <w:txbxContent>
                <w:p>
                  <w:pPr>
                    <w:pStyle w:val="BodyText"/>
                    <w:ind w:left="20" w:right="20" w:firstLine="20"/>
                    <w:spacing w:before="17" w:line="301" w:lineRule="auto"/>
                    <w:jc w:val="both"/>
                    <w:rPr>
                      <w:sz w:val="19"/>
                      <w:szCs w:val="19"/>
                    </w:rPr>
                  </w:pPr>
                  <w:r>
                    <w:rPr>
                      <w:sz w:val="19"/>
                      <w:szCs w:val="19"/>
                      <w:spacing w:val="12"/>
                    </w:rPr>
                    <w:t>固原军分</w:t>
                  </w:r>
                  <w:r>
                    <w:rPr>
                      <w:sz w:val="19"/>
                      <w:szCs w:val="19"/>
                      <w:spacing w:val="17"/>
                    </w:rPr>
                    <w:t>区、武警</w:t>
                  </w:r>
                  <w:r>
                    <w:rPr>
                      <w:sz w:val="19"/>
                      <w:szCs w:val="19"/>
                      <w:spacing w:val="4"/>
                    </w:rPr>
                    <w:t>固</w:t>
                  </w:r>
                  <w:r>
                    <w:rPr>
                      <w:sz w:val="19"/>
                      <w:szCs w:val="19"/>
                      <w:spacing w:val="27"/>
                    </w:rPr>
                    <w:t xml:space="preserve"> </w:t>
                  </w:r>
                  <w:r>
                    <w:rPr>
                      <w:sz w:val="19"/>
                      <w:szCs w:val="19"/>
                      <w:spacing w:val="4"/>
                    </w:rPr>
                    <w:t>原</w:t>
                  </w:r>
                  <w:r>
                    <w:rPr>
                      <w:sz w:val="19"/>
                      <w:szCs w:val="19"/>
                      <w:spacing w:val="31"/>
                    </w:rPr>
                    <w:t xml:space="preserve"> </w:t>
                  </w:r>
                  <w:r>
                    <w:rPr>
                      <w:sz w:val="19"/>
                      <w:szCs w:val="19"/>
                      <w:spacing w:val="4"/>
                    </w:rPr>
                    <w:t>支</w:t>
                  </w:r>
                  <w:r>
                    <w:rPr>
                      <w:sz w:val="19"/>
                      <w:szCs w:val="19"/>
                      <w:spacing w:val="17"/>
                    </w:rPr>
                    <w:t>队、消防</w:t>
                  </w:r>
                  <w:r>
                    <w:rPr>
                      <w:sz w:val="19"/>
                      <w:szCs w:val="19"/>
                      <w:spacing w:val="17"/>
                    </w:rPr>
                    <w:t>救援支队</w:t>
                  </w:r>
                  <w:r>
                    <w:rPr>
                      <w:sz w:val="19"/>
                      <w:szCs w:val="19"/>
                      <w:spacing w:val="17"/>
                    </w:rPr>
                    <w:t>等部门组</w:t>
                  </w:r>
                  <w:r>
                    <w:rPr>
                      <w:sz w:val="19"/>
                      <w:szCs w:val="19"/>
                      <w:spacing w:val="2"/>
                    </w:rPr>
                    <w:t>成。</w:t>
                  </w:r>
                </w:p>
              </w:txbxContent>
            </v:textbox>
          </v:shape>
        </w:pict>
      </w:r>
      <w:r>
        <w:pict>
          <v:shape id="_x0000_s250" style="position:absolute;margin-left:395.07pt;margin-top:1.84062pt;mso-position-vertical-relative:text;mso-position-horizontal-relative:text;width:44.3pt;height:117.5pt;z-index:254535680;" filled="false" stroked="false" type="#_x0000_t202">
            <v:fill on="false"/>
            <v:stroke on="false"/>
            <v:path/>
            <v:imagedata o:title=""/>
            <o:lock v:ext="edit" aspectratio="false"/>
            <v:textbox inset="0mm,0mm,0mm,0mm">
              <w:txbxContent>
                <w:p>
                  <w:pPr>
                    <w:pStyle w:val="BodyText"/>
                    <w:ind w:left="20" w:right="20" w:firstLine="1"/>
                    <w:spacing w:before="16" w:line="299" w:lineRule="auto"/>
                    <w:rPr>
                      <w:sz w:val="18"/>
                      <w:szCs w:val="18"/>
                    </w:rPr>
                  </w:pPr>
                  <w:r>
                    <w:rPr>
                      <w:sz w:val="18"/>
                      <w:szCs w:val="18"/>
                      <w:spacing w:val="30"/>
                    </w:rPr>
                    <w:t>市委宣传</w:t>
                  </w:r>
                  <w:r>
                    <w:rPr>
                      <w:sz w:val="18"/>
                      <w:szCs w:val="18"/>
                      <w:spacing w:val="-11"/>
                    </w:rPr>
                    <w:t>部、文化旅</w:t>
                  </w:r>
                  <w:r>
                    <w:rPr>
                      <w:sz w:val="18"/>
                      <w:szCs w:val="18"/>
                      <w:spacing w:val="-11"/>
                    </w:rPr>
                    <w:t>游广电局、</w:t>
                  </w:r>
                  <w:r>
                    <w:rPr>
                      <w:sz w:val="18"/>
                      <w:szCs w:val="18"/>
                      <w:spacing w:val="30"/>
                    </w:rPr>
                    <w:t>自然资源</w:t>
                  </w:r>
                  <w:r>
                    <w:rPr>
                      <w:sz w:val="18"/>
                      <w:szCs w:val="18"/>
                      <w:spacing w:val="5"/>
                    </w:rPr>
                    <w:t>局</w:t>
                  </w:r>
                  <w:r>
                    <w:rPr>
                      <w:sz w:val="18"/>
                      <w:szCs w:val="18"/>
                      <w:spacing w:val="-26"/>
                    </w:rPr>
                    <w:t xml:space="preserve"> </w:t>
                  </w:r>
                  <w:r>
                    <w:rPr>
                      <w:sz w:val="18"/>
                      <w:szCs w:val="18"/>
                      <w:spacing w:val="5"/>
                    </w:rPr>
                    <w:t>、</w:t>
                  </w:r>
                  <w:r>
                    <w:rPr>
                      <w:sz w:val="18"/>
                      <w:szCs w:val="18"/>
                      <w:spacing w:val="-52"/>
                    </w:rPr>
                    <w:t xml:space="preserve"> </w:t>
                  </w:r>
                  <w:r>
                    <w:rPr>
                      <w:sz w:val="18"/>
                      <w:szCs w:val="18"/>
                      <w:spacing w:val="5"/>
                    </w:rPr>
                    <w:t>气象</w:t>
                  </w:r>
                  <w:r>
                    <w:rPr>
                      <w:sz w:val="18"/>
                      <w:szCs w:val="18"/>
                      <w:spacing w:val="-11"/>
                    </w:rPr>
                    <w:t>局、固原日</w:t>
                  </w:r>
                  <w:r>
                    <w:rPr>
                      <w:sz w:val="18"/>
                      <w:szCs w:val="18"/>
                      <w:spacing w:val="30"/>
                    </w:rPr>
                    <w:t>报社等部</w:t>
                  </w:r>
                  <w:r>
                    <w:rPr>
                      <w:sz w:val="18"/>
                      <w:szCs w:val="18"/>
                      <w:spacing w:val="-7"/>
                    </w:rPr>
                    <w:t>门组成。</w:t>
                  </w:r>
                </w:p>
              </w:txbxContent>
            </v:textbox>
          </v:shape>
        </w:pict>
      </w:r>
      <w:r>
        <w:pict>
          <v:shape id="_x0000_s252" style="position:absolute;margin-left:6.88899pt;margin-top:2.87393pt;mso-position-vertical-relative:text;mso-position-horizontal-relative:text;width:43.6pt;height:109.45pt;z-index:254537728;" filled="false" stroked="false" type="#_x0000_t202">
            <v:fill on="false"/>
            <v:stroke on="false"/>
            <v:path/>
            <v:imagedata o:title=""/>
            <o:lock v:ext="edit" aspectratio="false"/>
            <v:textbox inset="0mm,0mm,0mm,0mm">
              <w:txbxContent>
                <w:p>
                  <w:pPr>
                    <w:pStyle w:val="BodyText"/>
                    <w:ind w:left="20" w:right="20" w:firstLine="1"/>
                    <w:spacing w:before="20" w:line="301" w:lineRule="auto"/>
                    <w:jc w:val="both"/>
                    <w:rPr>
                      <w:sz w:val="19"/>
                      <w:szCs w:val="19"/>
                    </w:rPr>
                  </w:pPr>
                  <w:r>
                    <w:rPr>
                      <w:sz w:val="19"/>
                      <w:szCs w:val="19"/>
                      <w:spacing w:val="8"/>
                    </w:rPr>
                    <w:t>市自然资</w:t>
                  </w:r>
                  <w:r>
                    <w:rPr>
                      <w:sz w:val="19"/>
                      <w:szCs w:val="19"/>
                      <w:spacing w:val="17"/>
                    </w:rPr>
                    <w:t>源局、应</w:t>
                  </w:r>
                  <w:r>
                    <w:rPr>
                      <w:sz w:val="19"/>
                      <w:szCs w:val="19"/>
                      <w:spacing w:val="3"/>
                    </w:rPr>
                    <w:t>急</w:t>
                  </w:r>
                  <w:r>
                    <w:rPr>
                      <w:sz w:val="19"/>
                      <w:szCs w:val="19"/>
                      <w:spacing w:val="30"/>
                    </w:rPr>
                    <w:t xml:space="preserve"> </w:t>
                  </w:r>
                  <w:r>
                    <w:rPr>
                      <w:sz w:val="19"/>
                      <w:szCs w:val="19"/>
                      <w:spacing w:val="3"/>
                    </w:rPr>
                    <w:t>管</w:t>
                  </w:r>
                  <w:r>
                    <w:rPr>
                      <w:sz w:val="19"/>
                      <w:szCs w:val="19"/>
                      <w:spacing w:val="31"/>
                    </w:rPr>
                    <w:t xml:space="preserve"> </w:t>
                  </w:r>
                  <w:r>
                    <w:rPr>
                      <w:sz w:val="19"/>
                      <w:szCs w:val="19"/>
                      <w:spacing w:val="3"/>
                    </w:rPr>
                    <w:t>理</w:t>
                  </w:r>
                  <w:r>
                    <w:rPr>
                      <w:sz w:val="19"/>
                      <w:szCs w:val="19"/>
                      <w:spacing w:val="17"/>
                    </w:rPr>
                    <w:t>局、地震</w:t>
                  </w:r>
                  <w:r>
                    <w:rPr>
                      <w:sz w:val="19"/>
                      <w:szCs w:val="19"/>
                      <w:spacing w:val="17"/>
                    </w:rPr>
                    <w:t>局、气象</w:t>
                  </w:r>
                  <w:r>
                    <w:rPr>
                      <w:sz w:val="19"/>
                      <w:szCs w:val="19"/>
                      <w:spacing w:val="17"/>
                    </w:rPr>
                    <w:t>局等部门</w:t>
                  </w:r>
                  <w:r>
                    <w:rPr>
                      <w:sz w:val="19"/>
                      <w:szCs w:val="19"/>
                      <w:spacing w:val="4"/>
                    </w:rPr>
                    <w:t>组成。</w:t>
                  </w:r>
                </w:p>
              </w:txbxContent>
            </v:textbox>
          </v:shape>
        </w:pict>
      </w:r>
      <w:r>
        <w:pict>
          <v:shape id="_x0000_s254" style="position:absolute;margin-left:265.893pt;margin-top:3.51762pt;mso-position-vertical-relative:text;mso-position-horizontal-relative:text;width:45.65pt;height:92.3pt;z-index:254539776;" filled="false" stroked="false" type="#_x0000_t202">
            <v:fill on="false"/>
            <v:stroke on="false"/>
            <v:path/>
            <v:imagedata o:title=""/>
            <o:lock v:ext="edit" aspectratio="false"/>
            <v:textbox inset="0mm,0mm,0mm,0mm">
              <w:txbxContent>
                <w:p>
                  <w:pPr>
                    <w:pStyle w:val="BodyText"/>
                    <w:spacing w:before="19" w:line="210" w:lineRule="auto"/>
                    <w:jc w:val="right"/>
                    <w:rPr>
                      <w:sz w:val="18"/>
                      <w:szCs w:val="18"/>
                    </w:rPr>
                  </w:pPr>
                  <w:r>
                    <w:rPr>
                      <w:sz w:val="18"/>
                      <w:szCs w:val="18"/>
                      <w:spacing w:val="-6"/>
                    </w:rPr>
                    <w:t>市民政局、</w:t>
                  </w:r>
                </w:p>
                <w:p>
                  <w:pPr>
                    <w:pStyle w:val="BodyText"/>
                    <w:ind w:left="20"/>
                    <w:spacing w:before="114" w:line="210" w:lineRule="auto"/>
                    <w:rPr>
                      <w:sz w:val="18"/>
                      <w:szCs w:val="18"/>
                    </w:rPr>
                  </w:pPr>
                  <w:r>
                    <w:rPr>
                      <w:sz w:val="18"/>
                      <w:szCs w:val="18"/>
                      <w:spacing w:val="-13"/>
                    </w:rPr>
                    <w:t>财政局、扶</w:t>
                  </w:r>
                </w:p>
                <w:p>
                  <w:pPr>
                    <w:pStyle w:val="BodyText"/>
                    <w:ind w:left="20"/>
                    <w:spacing w:before="115" w:line="209" w:lineRule="auto"/>
                    <w:rPr>
                      <w:sz w:val="18"/>
                      <w:szCs w:val="18"/>
                    </w:rPr>
                  </w:pPr>
                  <w:r>
                    <w:rPr>
                      <w:sz w:val="18"/>
                      <w:szCs w:val="18"/>
                      <w:spacing w:val="32"/>
                    </w:rPr>
                    <w:t>贫和移民</w:t>
                  </w:r>
                </w:p>
                <w:p>
                  <w:pPr>
                    <w:pStyle w:val="BodyText"/>
                    <w:ind w:left="21"/>
                    <w:spacing w:before="113" w:line="214" w:lineRule="auto"/>
                    <w:rPr>
                      <w:sz w:val="18"/>
                      <w:szCs w:val="18"/>
                    </w:rPr>
                  </w:pPr>
                  <w:r>
                    <w:rPr>
                      <w:sz w:val="18"/>
                      <w:szCs w:val="18"/>
                      <w:spacing w:val="-14"/>
                    </w:rPr>
                    <w:t>办、教育体</w:t>
                  </w:r>
                </w:p>
                <w:p>
                  <w:pPr>
                    <w:pStyle w:val="BodyText"/>
                    <w:ind w:left="20"/>
                    <w:spacing w:before="112" w:line="213" w:lineRule="auto"/>
                    <w:rPr>
                      <w:sz w:val="18"/>
                      <w:szCs w:val="18"/>
                    </w:rPr>
                  </w:pPr>
                  <w:r>
                    <w:rPr>
                      <w:sz w:val="18"/>
                      <w:szCs w:val="18"/>
                      <w:spacing w:val="28"/>
                    </w:rPr>
                    <w:t>育局等部</w:t>
                  </w:r>
                </w:p>
                <w:p>
                  <w:pPr>
                    <w:pStyle w:val="BodyText"/>
                    <w:ind w:left="35"/>
                    <w:spacing w:before="114" w:line="211" w:lineRule="auto"/>
                    <w:rPr>
                      <w:sz w:val="18"/>
                      <w:szCs w:val="18"/>
                    </w:rPr>
                  </w:pPr>
                  <w:r>
                    <w:rPr>
                      <w:sz w:val="18"/>
                      <w:szCs w:val="18"/>
                      <w:spacing w:val="-6"/>
                    </w:rPr>
                    <w:t>门组成。</w:t>
                  </w:r>
                </w:p>
              </w:txbxContent>
            </v:textbox>
          </v:shape>
        </w:pict>
      </w:r>
      <w:r>
        <w:pict>
          <v:shape id="_x0000_s256" style="position:absolute;margin-left:199.23pt;margin-top:4.23869pt;mso-position-vertical-relative:text;mso-position-horizontal-relative:text;width:45.7pt;height:108.35pt;z-index:254536704;" filled="false" stroked="false" type="#_x0000_t202">
            <v:fill on="false"/>
            <v:stroke on="false"/>
            <v:path/>
            <v:imagedata o:title=""/>
            <o:lock v:ext="edit" aspectratio="false"/>
            <v:textbox inset="0mm,0mm,0mm,0mm">
              <w:txbxContent>
                <w:p>
                  <w:pPr>
                    <w:pStyle w:val="BodyText"/>
                    <w:spacing w:before="19" w:line="210" w:lineRule="auto"/>
                    <w:jc w:val="right"/>
                    <w:rPr>
                      <w:sz w:val="18"/>
                      <w:szCs w:val="18"/>
                    </w:rPr>
                  </w:pPr>
                  <w:r>
                    <w:rPr>
                      <w:sz w:val="18"/>
                      <w:szCs w:val="18"/>
                      <w:spacing w:val="-6"/>
                    </w:rPr>
                    <w:t>市卫健委、</w:t>
                  </w:r>
                </w:p>
                <w:p>
                  <w:pPr>
                    <w:pStyle w:val="BodyText"/>
                    <w:ind w:left="21"/>
                    <w:spacing w:before="114" w:line="210" w:lineRule="auto"/>
                    <w:rPr>
                      <w:sz w:val="18"/>
                      <w:szCs w:val="18"/>
                    </w:rPr>
                  </w:pPr>
                  <w:r>
                    <w:rPr>
                      <w:sz w:val="18"/>
                      <w:szCs w:val="18"/>
                      <w:spacing w:val="28"/>
                    </w:rPr>
                    <w:t>生态环境</w:t>
                  </w:r>
                </w:p>
                <w:p>
                  <w:pPr>
                    <w:pStyle w:val="BodyText"/>
                    <w:ind w:left="20"/>
                    <w:spacing w:before="115" w:line="213" w:lineRule="auto"/>
                    <w:rPr>
                      <w:sz w:val="18"/>
                      <w:szCs w:val="18"/>
                    </w:rPr>
                  </w:pPr>
                  <w:r>
                    <w:rPr>
                      <w:sz w:val="18"/>
                      <w:szCs w:val="18"/>
                      <w:spacing w:val="-14"/>
                    </w:rPr>
                    <w:t>局、商务投</w:t>
                  </w:r>
                </w:p>
                <w:p>
                  <w:pPr>
                    <w:pStyle w:val="BodyText"/>
                    <w:ind w:left="24"/>
                    <w:spacing w:before="111" w:line="213" w:lineRule="auto"/>
                    <w:rPr>
                      <w:sz w:val="18"/>
                      <w:szCs w:val="18"/>
                    </w:rPr>
                  </w:pPr>
                  <w:r>
                    <w:rPr>
                      <w:sz w:val="18"/>
                      <w:szCs w:val="18"/>
                      <w:spacing w:val="-15"/>
                    </w:rPr>
                    <w:t>资局、旅游</w:t>
                  </w:r>
                </w:p>
                <w:p>
                  <w:pPr>
                    <w:pStyle w:val="BodyText"/>
                    <w:ind w:left="21"/>
                    <w:spacing w:before="113" w:line="211" w:lineRule="auto"/>
                    <w:rPr>
                      <w:sz w:val="18"/>
                      <w:szCs w:val="18"/>
                    </w:rPr>
                  </w:pPr>
                  <w:r>
                    <w:rPr>
                      <w:sz w:val="18"/>
                      <w:szCs w:val="18"/>
                      <w:spacing w:val="-14"/>
                    </w:rPr>
                    <w:t>委、农业农</w:t>
                  </w:r>
                </w:p>
                <w:p>
                  <w:pPr>
                    <w:pStyle w:val="BodyText"/>
                    <w:ind w:left="20"/>
                    <w:spacing w:before="114" w:line="212" w:lineRule="auto"/>
                    <w:rPr>
                      <w:sz w:val="18"/>
                      <w:szCs w:val="18"/>
                    </w:rPr>
                  </w:pPr>
                  <w:r>
                    <w:rPr>
                      <w:sz w:val="18"/>
                      <w:szCs w:val="18"/>
                      <w:spacing w:val="28"/>
                    </w:rPr>
                    <w:t>村局等部</w:t>
                  </w:r>
                </w:p>
                <w:p>
                  <w:pPr>
                    <w:pStyle w:val="BodyText"/>
                    <w:ind w:left="36"/>
                    <w:spacing w:before="115" w:line="211" w:lineRule="auto"/>
                    <w:rPr>
                      <w:sz w:val="18"/>
                      <w:szCs w:val="18"/>
                    </w:rPr>
                  </w:pPr>
                  <w:r>
                    <w:rPr>
                      <w:sz w:val="18"/>
                      <w:szCs w:val="18"/>
                      <w:spacing w:val="-6"/>
                    </w:rPr>
                    <w:t>门组成。</w:t>
                  </w:r>
                </w:p>
              </w:txbxContent>
            </v:textbox>
          </v:shape>
        </w:pict>
      </w:r>
      <w:r>
        <w:rPr>
          <w:sz w:val="18"/>
          <w:szCs w:val="18"/>
          <w:spacing w:val="-6"/>
        </w:rPr>
        <w:t>市交通局、</w:t>
      </w:r>
      <w:r>
        <w:rPr>
          <w:sz w:val="18"/>
          <w:szCs w:val="18"/>
          <w:spacing w:val="28"/>
        </w:rPr>
        <w:t>发展和改</w:t>
      </w:r>
      <w:r>
        <w:rPr>
          <w:sz w:val="18"/>
          <w:szCs w:val="18"/>
          <w:spacing w:val="-6"/>
        </w:rPr>
        <w:t>革委员会、</w:t>
      </w:r>
      <w:r>
        <w:rPr>
          <w:sz w:val="18"/>
          <w:szCs w:val="18"/>
          <w:spacing w:val="-14"/>
        </w:rPr>
        <w:t>住建局、电</w:t>
      </w:r>
      <w:r>
        <w:rPr>
          <w:sz w:val="18"/>
          <w:szCs w:val="18"/>
          <w:spacing w:val="-14"/>
        </w:rPr>
        <w:t>信公司、固</w:t>
      </w:r>
      <w:r>
        <w:rPr>
          <w:sz w:val="18"/>
          <w:szCs w:val="18"/>
          <w:spacing w:val="28"/>
        </w:rPr>
        <w:t>原供电公</w:t>
      </w:r>
      <w:r>
        <w:rPr>
          <w:sz w:val="18"/>
          <w:szCs w:val="18"/>
          <w:spacing w:val="28"/>
        </w:rPr>
        <w:t>司等部门</w:t>
      </w:r>
      <w:r>
        <w:rPr>
          <w:sz w:val="18"/>
          <w:szCs w:val="18"/>
          <w:spacing w:val="-1"/>
        </w:rPr>
        <w:t>组成。</w:t>
      </w:r>
    </w:p>
    <w:p>
      <w:pPr>
        <w:spacing w:line="291" w:lineRule="auto"/>
        <w:sectPr>
          <w:type w:val="continuous"/>
          <w:pgSz w:w="11906" w:h="16839"/>
          <w:pgMar w:top="1772" w:right="1489" w:bottom="1572" w:left="1399" w:header="1428" w:footer="1172" w:gutter="0"/>
          <w:cols w:equalWidth="0" w:num="1">
            <w:col w:w="9018" w:space="0"/>
          </w:cols>
        </w:sectPr>
        <w:rPr>
          <w:sz w:val="18"/>
          <w:szCs w:val="18"/>
        </w:rPr>
      </w:pPr>
    </w:p>
    <w:p>
      <w:pPr>
        <w:spacing w:line="304" w:lineRule="auto"/>
        <w:rPr>
          <w:rFonts w:ascii="Arial"/>
          <w:sz w:val="21"/>
        </w:rPr>
      </w:pPr>
      <w:r>
        <w:drawing>
          <wp:anchor distT="0" distB="0" distL="0" distR="0" simplePos="0" relativeHeight="254554112" behindDoc="0" locked="0" layoutInCell="1" allowOverlap="1">
            <wp:simplePos x="0" y="0"/>
            <wp:positionH relativeFrom="column">
              <wp:posOffset>5393</wp:posOffset>
            </wp:positionH>
            <wp:positionV relativeFrom="paragraph">
              <wp:posOffset>25293</wp:posOffset>
            </wp:positionV>
            <wp:extent cx="5579745" cy="7619"/>
            <wp:effectExtent l="0" t="0" r="0" b="0"/>
            <wp:wrapNone/>
            <wp:docPr id="2362" name="IM 2362"/>
            <wp:cNvGraphicFramePr/>
            <a:graphic>
              <a:graphicData uri="http://schemas.openxmlformats.org/drawingml/2006/picture">
                <pic:pic>
                  <pic:nvPicPr>
                    <pic:cNvPr id="2362" name="IM 2362"/>
                    <pic:cNvPicPr/>
                  </pic:nvPicPr>
                  <pic:blipFill>
                    <a:blip r:embed="rId1186"/>
                    <a:stretch>
                      <a:fillRect/>
                    </a:stretch>
                  </pic:blipFill>
                  <pic:spPr>
                    <a:xfrm rot="0">
                      <a:off x="0" y="0"/>
                      <a:ext cx="5579745" cy="7619"/>
                    </a:xfrm>
                    <a:prstGeom prst="rect">
                      <a:avLst/>
                    </a:prstGeom>
                  </pic:spPr>
                </pic:pic>
              </a:graphicData>
            </a:graphic>
          </wp:anchor>
        </w:drawing>
      </w:r>
      <w:r/>
    </w:p>
    <w:p>
      <w:pPr>
        <w:ind w:left="1881"/>
        <w:spacing w:before="120" w:line="210" w:lineRule="auto"/>
        <w:rPr>
          <w:rFonts w:ascii="Microsoft YaHei" w:hAnsi="Microsoft YaHei" w:eastAsia="Microsoft YaHei" w:cs="Microsoft YaHei"/>
          <w:sz w:val="28"/>
          <w:szCs w:val="28"/>
        </w:rPr>
      </w:pPr>
      <w:r>
        <w:rPr>
          <w:rFonts w:ascii="Microsoft YaHei" w:hAnsi="Microsoft YaHei" w:eastAsia="Microsoft YaHei" w:cs="Microsoft YaHei"/>
          <w:sz w:val="28"/>
          <w:szCs w:val="28"/>
          <w:spacing w:val="-2"/>
        </w:rPr>
        <w:t>9.2  固原市突发地质灾害应急管理工作流程图</w:t>
      </w:r>
    </w:p>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pStyle w:val="BodyText"/>
        <w:ind w:left="3218"/>
        <w:spacing w:before="65" w:line="218" w:lineRule="auto"/>
        <w:rPr/>
      </w:pPr>
      <w:r>
        <w:drawing>
          <wp:anchor distT="0" distB="0" distL="0" distR="0" simplePos="0" relativeHeight="254553088" behindDoc="1" locked="0" layoutInCell="1" allowOverlap="1">
            <wp:simplePos x="0" y="0"/>
            <wp:positionH relativeFrom="column">
              <wp:posOffset>631</wp:posOffset>
            </wp:positionH>
            <wp:positionV relativeFrom="paragraph">
              <wp:posOffset>-106179</wp:posOffset>
            </wp:positionV>
            <wp:extent cx="5415597" cy="6364605"/>
            <wp:effectExtent l="0" t="0" r="0" b="0"/>
            <wp:wrapNone/>
            <wp:docPr id="2364" name="IM 2364"/>
            <wp:cNvGraphicFramePr/>
            <a:graphic>
              <a:graphicData uri="http://schemas.openxmlformats.org/drawingml/2006/picture">
                <pic:pic>
                  <pic:nvPicPr>
                    <pic:cNvPr id="2364" name="IM 2364"/>
                    <pic:cNvPicPr/>
                  </pic:nvPicPr>
                  <pic:blipFill>
                    <a:blip r:embed="rId1187"/>
                    <a:stretch>
                      <a:fillRect/>
                    </a:stretch>
                  </pic:blipFill>
                  <pic:spPr>
                    <a:xfrm rot="0">
                      <a:off x="0" y="0"/>
                      <a:ext cx="5415597" cy="6364605"/>
                    </a:xfrm>
                    <a:prstGeom prst="rect">
                      <a:avLst/>
                    </a:prstGeom>
                  </pic:spPr>
                </pic:pic>
              </a:graphicData>
            </a:graphic>
          </wp:anchor>
        </w:drawing>
      </w:r>
      <w:r>
        <w:rPr>
          <w:spacing w:val="9"/>
        </w:rPr>
        <w:t>灾害发生地乡镇政府</w:t>
      </w:r>
    </w:p>
    <w:p>
      <w:pPr>
        <w:spacing w:line="315" w:lineRule="auto"/>
        <w:rPr>
          <w:rFonts w:ascii="Arial"/>
          <w:sz w:val="21"/>
        </w:rPr>
      </w:pPr>
      <w:r/>
    </w:p>
    <w:p>
      <w:pPr>
        <w:spacing w:line="315" w:lineRule="auto"/>
        <w:rPr>
          <w:rFonts w:ascii="Arial"/>
          <w:sz w:val="21"/>
        </w:rPr>
      </w:pPr>
      <w:r/>
    </w:p>
    <w:p>
      <w:pPr>
        <w:spacing w:line="315" w:lineRule="auto"/>
        <w:rPr>
          <w:rFonts w:ascii="Arial"/>
          <w:sz w:val="21"/>
        </w:rPr>
      </w:pPr>
      <w:r/>
    </w:p>
    <w:p>
      <w:pPr>
        <w:pStyle w:val="BodyText"/>
        <w:ind w:left="1340"/>
        <w:spacing w:before="65" w:line="282" w:lineRule="exact"/>
        <w:rPr/>
      </w:pPr>
      <w:r>
        <w:rPr>
          <w:spacing w:val="1"/>
          <w:position w:val="1"/>
        </w:rPr>
        <w:t>各县（</w:t>
      </w:r>
      <w:r>
        <w:rPr>
          <w:spacing w:val="-45"/>
          <w:position w:val="1"/>
        </w:rPr>
        <w:t xml:space="preserve"> </w:t>
      </w:r>
      <w:r>
        <w:rPr>
          <w:spacing w:val="1"/>
          <w:position w:val="1"/>
        </w:rPr>
        <w:t>区）</w:t>
      </w:r>
      <w:r>
        <w:rPr>
          <w:spacing w:val="-45"/>
          <w:position w:val="1"/>
        </w:rPr>
        <w:t xml:space="preserve"> </w:t>
      </w:r>
      <w:r>
        <w:rPr>
          <w:spacing w:val="1"/>
          <w:position w:val="1"/>
        </w:rPr>
        <w:t>自然资源局</w:t>
      </w:r>
      <w:r>
        <w:rPr>
          <w:spacing w:val="4"/>
          <w:position w:val="1"/>
        </w:rPr>
        <w:t xml:space="preserve">               </w:t>
      </w:r>
      <w:r>
        <w:rPr>
          <w:spacing w:val="1"/>
          <w:position w:val="1"/>
        </w:rPr>
        <w:t>各县（</w:t>
      </w:r>
      <w:r>
        <w:rPr>
          <w:spacing w:val="-48"/>
          <w:position w:val="1"/>
        </w:rPr>
        <w:t xml:space="preserve"> </w:t>
      </w:r>
      <w:r>
        <w:rPr>
          <w:spacing w:val="1"/>
          <w:position w:val="1"/>
        </w:rPr>
        <w:t>区）人民政府</w:t>
      </w:r>
    </w:p>
    <w:p>
      <w:pPr>
        <w:spacing w:line="271" w:lineRule="auto"/>
        <w:rPr>
          <w:rFonts w:ascii="Arial"/>
          <w:sz w:val="21"/>
        </w:rPr>
      </w:pPr>
      <w:r/>
    </w:p>
    <w:p>
      <w:pPr>
        <w:spacing w:line="272" w:lineRule="auto"/>
        <w:rPr>
          <w:rFonts w:ascii="Arial"/>
          <w:sz w:val="21"/>
        </w:rPr>
      </w:pPr>
      <w:r/>
    </w:p>
    <w:p>
      <w:pPr>
        <w:pStyle w:val="BodyText"/>
        <w:ind w:left="1759"/>
        <w:spacing w:before="65" w:line="220" w:lineRule="auto"/>
        <w:rPr/>
      </w:pPr>
      <w:r>
        <w:rPr>
          <w:spacing w:val="6"/>
        </w:rPr>
        <w:t>市自然资源局                       市人民政府</w:t>
      </w:r>
    </w:p>
    <w:p>
      <w:pPr>
        <w:spacing w:line="297" w:lineRule="auto"/>
        <w:rPr>
          <w:rFonts w:ascii="Arial"/>
          <w:sz w:val="21"/>
        </w:rPr>
      </w:pPr>
      <w:r/>
    </w:p>
    <w:p>
      <w:pPr>
        <w:spacing w:line="297" w:lineRule="auto"/>
        <w:rPr>
          <w:rFonts w:ascii="Arial"/>
          <w:sz w:val="21"/>
        </w:rPr>
      </w:pPr>
      <w:r/>
    </w:p>
    <w:p>
      <w:pPr>
        <w:pStyle w:val="BodyText"/>
        <w:ind w:left="1337"/>
        <w:spacing w:before="65" w:line="219" w:lineRule="auto"/>
        <w:rPr/>
      </w:pPr>
      <w:r>
        <w:rPr>
          <w:spacing w:val="9"/>
        </w:rPr>
        <w:t>初步判定应急响应级别</w:t>
      </w:r>
    </w:p>
    <w:p>
      <w:pPr>
        <w:spacing w:line="300" w:lineRule="auto"/>
        <w:rPr>
          <w:rFonts w:ascii="Arial"/>
          <w:sz w:val="21"/>
        </w:rPr>
      </w:pPr>
      <w:r/>
    </w:p>
    <w:p>
      <w:pPr>
        <w:spacing w:line="301" w:lineRule="auto"/>
        <w:rPr>
          <w:rFonts w:ascii="Arial"/>
          <w:sz w:val="21"/>
        </w:rPr>
      </w:pPr>
      <w:r/>
    </w:p>
    <w:p>
      <w:pPr>
        <w:pStyle w:val="BodyText"/>
        <w:ind w:left="1334"/>
        <w:spacing w:before="65" w:line="219" w:lineRule="auto"/>
        <w:rPr/>
      </w:pPr>
      <w:r>
        <w:rPr>
          <w:spacing w:val="9"/>
        </w:rPr>
        <w:t>市指挥部确定应急响应</w:t>
      </w:r>
    </w:p>
    <w:p>
      <w:pPr>
        <w:spacing w:line="256" w:lineRule="auto"/>
        <w:rPr>
          <w:rFonts w:ascii="Arial"/>
          <w:sz w:val="21"/>
        </w:rPr>
      </w:pPr>
      <w:r/>
    </w:p>
    <w:p>
      <w:pPr>
        <w:spacing w:line="256" w:lineRule="auto"/>
        <w:rPr>
          <w:rFonts w:ascii="Arial"/>
          <w:sz w:val="21"/>
        </w:rPr>
      </w:pPr>
      <w:r/>
    </w:p>
    <w:p>
      <w:pPr>
        <w:pStyle w:val="BodyText"/>
        <w:ind w:left="3739"/>
        <w:spacing w:before="65" w:line="218" w:lineRule="auto"/>
        <w:rPr/>
      </w:pPr>
      <w:r>
        <w:rPr>
          <w:spacing w:val="8"/>
        </w:rPr>
        <w:t>应急处置</w:t>
      </w:r>
    </w:p>
    <w:p>
      <w:pPr>
        <w:spacing w:line="312" w:lineRule="auto"/>
        <w:rPr>
          <w:rFonts w:ascii="Arial"/>
          <w:sz w:val="21"/>
        </w:rPr>
      </w:pPr>
      <w:r/>
    </w:p>
    <w:p>
      <w:pPr>
        <w:spacing w:line="312" w:lineRule="auto"/>
        <w:rPr>
          <w:rFonts w:ascii="Arial"/>
          <w:sz w:val="21"/>
        </w:rPr>
      </w:pPr>
      <w:r>
        <w:drawing>
          <wp:anchor distT="0" distB="0" distL="0" distR="0" simplePos="0" relativeHeight="254552064" behindDoc="1" locked="0" layoutInCell="1" allowOverlap="1">
            <wp:simplePos x="0" y="0"/>
            <wp:positionH relativeFrom="column">
              <wp:posOffset>504884</wp:posOffset>
            </wp:positionH>
            <wp:positionV relativeFrom="paragraph">
              <wp:posOffset>68438</wp:posOffset>
            </wp:positionV>
            <wp:extent cx="4408169" cy="13969"/>
            <wp:effectExtent l="0" t="0" r="0" b="0"/>
            <wp:wrapNone/>
            <wp:docPr id="2366" name="IM 2366"/>
            <wp:cNvGraphicFramePr/>
            <a:graphic>
              <a:graphicData uri="http://schemas.openxmlformats.org/drawingml/2006/picture">
                <pic:pic>
                  <pic:nvPicPr>
                    <pic:cNvPr id="2366" name="IM 2366"/>
                    <pic:cNvPicPr/>
                  </pic:nvPicPr>
                  <pic:blipFill>
                    <a:blip r:embed="rId1188"/>
                    <a:stretch>
                      <a:fillRect/>
                    </a:stretch>
                  </pic:blipFill>
                  <pic:spPr>
                    <a:xfrm rot="0">
                      <a:off x="0" y="0"/>
                      <a:ext cx="4408169" cy="13969"/>
                    </a:xfrm>
                    <a:prstGeom prst="rect">
                      <a:avLst/>
                    </a:prstGeom>
                  </pic:spPr>
                </pic:pic>
              </a:graphicData>
            </a:graphic>
          </wp:anchor>
        </w:drawing>
      </w:r>
      <w:r/>
    </w:p>
    <w:p>
      <w:pPr>
        <w:spacing w:line="312" w:lineRule="auto"/>
        <w:rPr>
          <w:rFonts w:ascii="Arial"/>
          <w:sz w:val="21"/>
        </w:rPr>
      </w:pPr>
      <w:r/>
    </w:p>
    <w:p>
      <w:pPr>
        <w:pStyle w:val="BodyText"/>
        <w:ind w:left="163"/>
        <w:spacing w:before="66" w:line="226" w:lineRule="auto"/>
        <w:rPr/>
      </w:pPr>
      <w:r>
        <w:rPr>
          <w:spacing w:val="8"/>
        </w:rPr>
        <w:t>设置警示标志    组织转移避让    组织人员搜救     救治伤员和防     制定安置方案</w:t>
      </w:r>
    </w:p>
    <w:p>
      <w:pPr>
        <w:spacing w:line="242" w:lineRule="auto"/>
        <w:rPr>
          <w:rFonts w:ascii="Arial"/>
          <w:sz w:val="21"/>
        </w:rPr>
      </w:pPr>
      <w:r/>
    </w:p>
    <w:p>
      <w:pPr>
        <w:spacing w:line="242" w:lineRule="auto"/>
        <w:rPr>
          <w:rFonts w:ascii="Arial"/>
          <w:sz w:val="21"/>
        </w:rPr>
      </w:pPr>
      <w:r>
        <w:drawing>
          <wp:anchor distT="0" distB="0" distL="0" distR="0" simplePos="0" relativeHeight="254551040" behindDoc="1" locked="0" layoutInCell="1" allowOverlap="1">
            <wp:simplePos x="0" y="0"/>
            <wp:positionH relativeFrom="column">
              <wp:posOffset>504884</wp:posOffset>
            </wp:positionH>
            <wp:positionV relativeFrom="paragraph">
              <wp:posOffset>115370</wp:posOffset>
            </wp:positionV>
            <wp:extent cx="4408169" cy="13969"/>
            <wp:effectExtent l="0" t="0" r="0" b="0"/>
            <wp:wrapNone/>
            <wp:docPr id="2368" name="IM 2368"/>
            <wp:cNvGraphicFramePr/>
            <a:graphic>
              <a:graphicData uri="http://schemas.openxmlformats.org/drawingml/2006/picture">
                <pic:pic>
                  <pic:nvPicPr>
                    <pic:cNvPr id="2368" name="IM 2368"/>
                    <pic:cNvPicPr/>
                  </pic:nvPicPr>
                  <pic:blipFill>
                    <a:blip r:embed="rId1189"/>
                    <a:stretch>
                      <a:fillRect/>
                    </a:stretch>
                  </pic:blipFill>
                  <pic:spPr>
                    <a:xfrm rot="0">
                      <a:off x="0" y="0"/>
                      <a:ext cx="4408169" cy="13969"/>
                    </a:xfrm>
                    <a:prstGeom prst="rect">
                      <a:avLst/>
                    </a:prstGeom>
                  </pic:spPr>
                </pic:pic>
              </a:graphicData>
            </a:graphic>
          </wp:anchor>
        </w:drawing>
      </w:r>
      <w:r/>
    </w:p>
    <w:p>
      <w:pPr>
        <w:spacing w:line="242" w:lineRule="auto"/>
        <w:rPr>
          <w:rFonts w:ascii="Arial"/>
          <w:sz w:val="21"/>
        </w:rPr>
      </w:pPr>
      <w:r/>
    </w:p>
    <w:p>
      <w:pPr>
        <w:spacing w:line="243" w:lineRule="auto"/>
        <w:rPr>
          <w:rFonts w:ascii="Arial"/>
          <w:sz w:val="21"/>
        </w:rPr>
      </w:pPr>
      <w:r/>
    </w:p>
    <w:p>
      <w:pPr>
        <w:pStyle w:val="BodyText"/>
        <w:ind w:left="3319"/>
        <w:spacing w:before="65" w:line="218" w:lineRule="auto"/>
        <w:rPr/>
      </w:pPr>
      <w:r>
        <w:rPr>
          <w:spacing w:val="9"/>
        </w:rPr>
        <w:t>应急响应状态终止</w:t>
      </w:r>
    </w:p>
    <w:p>
      <w:pPr>
        <w:spacing w:line="293" w:lineRule="auto"/>
        <w:rPr>
          <w:rFonts w:ascii="Arial"/>
          <w:sz w:val="21"/>
        </w:rPr>
      </w:pPr>
      <w:r/>
    </w:p>
    <w:p>
      <w:pPr>
        <w:spacing w:line="294" w:lineRule="auto"/>
        <w:rPr>
          <w:rFonts w:ascii="Arial"/>
          <w:sz w:val="21"/>
        </w:rPr>
      </w:pPr>
      <w:r/>
    </w:p>
    <w:p>
      <w:pPr>
        <w:pStyle w:val="BodyText"/>
        <w:ind w:left="3739"/>
        <w:spacing w:before="66" w:line="219" w:lineRule="auto"/>
        <w:rPr/>
      </w:pPr>
      <w:r>
        <w:rPr>
          <w:spacing w:val="8"/>
        </w:rPr>
        <w:t>后期处置</w:t>
      </w:r>
    </w:p>
    <w:p>
      <w:pPr>
        <w:spacing w:line="312" w:lineRule="auto"/>
        <w:rPr>
          <w:rFonts w:ascii="Arial"/>
          <w:sz w:val="21"/>
        </w:rPr>
      </w:pPr>
      <w:r/>
    </w:p>
    <w:p>
      <w:pPr>
        <w:spacing w:line="313" w:lineRule="auto"/>
        <w:rPr>
          <w:rFonts w:ascii="Arial"/>
          <w:sz w:val="21"/>
        </w:rPr>
      </w:pPr>
      <w:r/>
    </w:p>
    <w:p>
      <w:pPr>
        <w:spacing w:line="313" w:lineRule="auto"/>
        <w:rPr>
          <w:rFonts w:ascii="Arial"/>
          <w:sz w:val="21"/>
        </w:rPr>
      </w:pPr>
      <w:r/>
    </w:p>
    <w:p>
      <w:pPr>
        <w:pStyle w:val="BodyText"/>
        <w:ind w:left="1960"/>
        <w:spacing w:before="65" w:line="220" w:lineRule="auto"/>
        <w:rPr/>
      </w:pPr>
      <w:r>
        <w:rPr>
          <w:spacing w:val="5"/>
        </w:rPr>
        <w:t>善后处置                          总结评估</w:t>
      </w:r>
    </w:p>
    <w:p>
      <w:pPr>
        <w:spacing w:line="220" w:lineRule="auto"/>
        <w:sectPr>
          <w:headerReference w:type="default" r:id="rId1184"/>
          <w:footerReference w:type="default" r:id="rId1185"/>
          <w:pgSz w:w="11906" w:h="16839"/>
          <w:pgMar w:top="1974" w:right="1530" w:bottom="1574" w:left="1579" w:header="1634" w:footer="1172" w:gutter="0"/>
        </w:sectPr>
        <w:rPr/>
      </w:pPr>
    </w:p>
    <w:p>
      <w:pPr>
        <w:spacing w:line="341" w:lineRule="auto"/>
        <w:rPr>
          <w:rFonts w:ascii="Arial"/>
          <w:sz w:val="21"/>
        </w:rPr>
      </w:pPr>
      <w:r>
        <w:drawing>
          <wp:anchor distT="0" distB="0" distL="0" distR="0" simplePos="0" relativeHeight="254569472" behindDoc="0" locked="0" layoutInCell="1" allowOverlap="1">
            <wp:simplePos x="0" y="0"/>
            <wp:positionH relativeFrom="column">
              <wp:posOffset>10794</wp:posOffset>
            </wp:positionH>
            <wp:positionV relativeFrom="paragraph">
              <wp:posOffset>-968</wp:posOffset>
            </wp:positionV>
            <wp:extent cx="5579745" cy="7620"/>
            <wp:effectExtent l="0" t="0" r="0" b="0"/>
            <wp:wrapNone/>
            <wp:docPr id="2372" name="IM 2372"/>
            <wp:cNvGraphicFramePr/>
            <a:graphic>
              <a:graphicData uri="http://schemas.openxmlformats.org/drawingml/2006/picture">
                <pic:pic>
                  <pic:nvPicPr>
                    <pic:cNvPr id="2372" name="IM 2372"/>
                    <pic:cNvPicPr/>
                  </pic:nvPicPr>
                  <pic:blipFill>
                    <a:blip r:embed="rId1191"/>
                    <a:stretch>
                      <a:fillRect/>
                    </a:stretch>
                  </pic:blipFill>
                  <pic:spPr>
                    <a:xfrm rot="0">
                      <a:off x="0" y="0"/>
                      <a:ext cx="5579745" cy="7620"/>
                    </a:xfrm>
                    <a:prstGeom prst="rect">
                      <a:avLst/>
                    </a:prstGeom>
                  </pic:spPr>
                </pic:pic>
              </a:graphicData>
            </a:graphic>
          </wp:anchor>
        </w:drawing>
      </w:r>
      <w:r/>
    </w:p>
    <w:p>
      <w:pPr>
        <w:spacing w:line="341" w:lineRule="auto"/>
        <w:rPr>
          <w:rFonts w:ascii="Arial"/>
          <w:sz w:val="21"/>
        </w:rPr>
      </w:pPr>
      <w:r/>
    </w:p>
    <w:p>
      <w:pPr>
        <w:ind w:left="1109"/>
        <w:spacing w:before="185" w:line="186"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8"/>
        </w:rPr>
        <w:t>固原市城市防汛抢险应急救援预案</w:t>
      </w:r>
    </w:p>
    <w:p>
      <w:pPr>
        <w:spacing w:before="54"/>
        <w:rPr/>
      </w:pPr>
      <w:r/>
    </w:p>
    <w:p>
      <w:pPr>
        <w:spacing w:before="54"/>
        <w:rPr/>
      </w:pPr>
      <w:r/>
    </w:p>
    <w:p>
      <w:pPr>
        <w:sectPr>
          <w:headerReference w:type="default" r:id="rId1048"/>
          <w:footerReference w:type="default" r:id="rId1190"/>
          <w:pgSz w:w="11906" w:h="16839"/>
          <w:pgMar w:top="1772" w:right="1489" w:bottom="1572" w:left="1571" w:header="1428" w:footer="1172" w:gutter="0"/>
          <w:cols w:equalWidth="0" w:num="1">
            <w:col w:w="8846" w:space="0"/>
          </w:cols>
        </w:sectPr>
        <w:rPr/>
      </w:pPr>
    </w:p>
    <w:p>
      <w:pPr>
        <w:ind w:left="1158"/>
        <w:spacing w:before="172" w:line="181"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第一部分</w:t>
      </w:r>
      <w:r>
        <w:rPr>
          <w:rFonts w:ascii="Microsoft YaHei" w:hAnsi="Microsoft YaHei" w:eastAsia="Microsoft YaHei" w:cs="Microsoft YaHei"/>
          <w:sz w:val="20"/>
          <w:szCs w:val="20"/>
          <w:spacing w:val="16"/>
        </w:rPr>
        <w:t xml:space="preserve">   </w:t>
      </w:r>
      <w:r>
        <w:rPr>
          <w:rFonts w:ascii="Microsoft YaHei" w:hAnsi="Microsoft YaHei" w:eastAsia="Microsoft YaHei" w:cs="Microsoft YaHei"/>
          <w:sz w:val="20"/>
          <w:szCs w:val="20"/>
          <w:spacing w:val="6"/>
        </w:rPr>
        <w:t>总体预案</w:t>
      </w:r>
    </w:p>
    <w:p>
      <w:pPr>
        <w:ind w:left="458"/>
        <w:spacing w:before="247" w:line="217"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1</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7"/>
        </w:rPr>
        <w:t>总则</w:t>
      </w:r>
    </w:p>
    <w:p>
      <w:pPr>
        <w:pStyle w:val="BodyText"/>
        <w:ind w:left="36" w:right="329" w:firstLine="425"/>
        <w:spacing w:before="100" w:line="299" w:lineRule="auto"/>
        <w:outlineLvl w:val="0"/>
        <w:rPr/>
      </w:pPr>
      <w:r>
        <w:rPr>
          <w:rFonts w:ascii="Times New Roman" w:hAnsi="Times New Roman" w:eastAsia="Times New Roman" w:cs="Times New Roman"/>
          <w:spacing w:val="3"/>
        </w:rPr>
        <w:t>1.</w:t>
      </w:r>
      <w:r>
        <w:rPr>
          <w:rFonts w:ascii="Times New Roman" w:hAnsi="Times New Roman" w:eastAsia="Times New Roman" w:cs="Times New Roman"/>
          <w:spacing w:val="-9"/>
        </w:rPr>
        <w:t xml:space="preserve"> </w:t>
      </w:r>
      <w:r>
        <w:rPr>
          <w:rFonts w:ascii="Times New Roman" w:hAnsi="Times New Roman" w:eastAsia="Times New Roman" w:cs="Times New Roman"/>
          <w:spacing w:val="3"/>
        </w:rPr>
        <w:t>1  </w:t>
      </w:r>
      <w:r>
        <w:rPr>
          <w:rFonts w:ascii="KaiTi" w:hAnsi="KaiTi" w:eastAsia="KaiTi" w:cs="KaiTi"/>
          <w:spacing w:val="3"/>
        </w:rPr>
        <w:t>编制</w:t>
      </w:r>
      <w:r>
        <w:rPr>
          <w:rFonts w:ascii="KaiTi" w:hAnsi="KaiTi" w:eastAsia="KaiTi" w:cs="KaiTi"/>
          <w:spacing w:val="-50"/>
        </w:rPr>
        <w:t xml:space="preserve"> </w:t>
      </w:r>
      <w:r>
        <w:rPr>
          <w:rFonts w:ascii="KaiTi" w:hAnsi="KaiTi" w:eastAsia="KaiTi" w:cs="KaiTi"/>
          <w:spacing w:val="3"/>
        </w:rPr>
        <w:t>目的。</w:t>
      </w:r>
      <w:r>
        <w:rPr>
          <w:spacing w:val="3"/>
        </w:rPr>
        <w:t>为适应机构改革后新时期</w:t>
      </w:r>
      <w:r>
        <w:rPr>
          <w:spacing w:val="6"/>
        </w:rPr>
        <w:t>防汛工作，进一步做好水灾害突发事件的监测</w:t>
      </w:r>
    </w:p>
    <w:p>
      <w:pPr>
        <w:pStyle w:val="BodyText"/>
        <w:ind w:left="21" w:right="329" w:firstLine="4"/>
        <w:spacing w:before="164" w:line="372" w:lineRule="auto"/>
        <w:jc w:val="both"/>
        <w:rPr/>
      </w:pPr>
      <w:r>
        <w:rPr>
          <w:spacing w:val="15"/>
        </w:rPr>
        <w:t>预防和应急处置能力</w:t>
      </w:r>
      <w:r>
        <w:rPr>
          <w:spacing w:val="-45"/>
        </w:rPr>
        <w:t xml:space="preserve"> </w:t>
      </w:r>
      <w:r>
        <w:rPr>
          <w:spacing w:val="15"/>
        </w:rPr>
        <w:t>，使水灾害处于可控状</w:t>
      </w:r>
      <w:r>
        <w:rPr>
          <w:spacing w:val="7"/>
        </w:rPr>
        <w:t>态，保证防汛抢险救灾工作高效有序进行，提</w:t>
      </w:r>
      <w:r>
        <w:rPr>
          <w:spacing w:val="7"/>
        </w:rPr>
        <w:t>高抗御水灾害的预见性、主动性和科学性，最</w:t>
      </w:r>
      <w:r>
        <w:rPr>
          <w:spacing w:val="7"/>
        </w:rPr>
        <w:t>大限度的减少人员伤亡和财产损失，促进经济</w:t>
      </w:r>
      <w:r>
        <w:rPr>
          <w:spacing w:val="7"/>
        </w:rPr>
        <w:t>社会全面、协调、可持续发展，结合固原市水</w:t>
      </w:r>
      <w:r>
        <w:rPr>
          <w:spacing w:val="8"/>
        </w:rPr>
        <w:t>灾害实际，特制定本预案。</w:t>
      </w:r>
    </w:p>
    <w:p>
      <w:pPr>
        <w:pStyle w:val="BodyText"/>
        <w:ind w:left="5" w:right="211" w:firstLine="457"/>
        <w:spacing w:before="17" w:line="372" w:lineRule="auto"/>
        <w:jc w:val="both"/>
        <w:rPr/>
      </w:pPr>
      <w:r>
        <w:rPr>
          <w:rFonts w:ascii="Times New Roman" w:hAnsi="Times New Roman" w:eastAsia="Times New Roman" w:cs="Times New Roman"/>
          <w:spacing w:val="-11"/>
        </w:rPr>
        <w:t>1.2  </w:t>
      </w:r>
      <w:r>
        <w:rPr>
          <w:rFonts w:ascii="KaiTi" w:hAnsi="KaiTi" w:eastAsia="KaiTi" w:cs="KaiTi"/>
          <w:spacing w:val="-11"/>
        </w:rPr>
        <w:t>编制依据。</w:t>
      </w:r>
      <w:r>
        <w:rPr>
          <w:spacing w:val="-11"/>
        </w:rPr>
        <w:t>《中华人民共和国水法》《中</w:t>
      </w:r>
      <w:r>
        <w:rPr>
          <w:spacing w:val="8"/>
        </w:rPr>
        <w:t>华人民共和国防洪法》《中华人民共和国水土</w:t>
      </w:r>
      <w:r>
        <w:rPr>
          <w:spacing w:val="-2"/>
        </w:rPr>
        <w:t>保持法》《中华人民共和国防汛条例》《中华人</w:t>
      </w:r>
      <w:r>
        <w:rPr>
          <w:spacing w:val="8"/>
        </w:rPr>
        <w:t>民共和国抗旱条例》《中华人民共和国河道管</w:t>
      </w:r>
      <w:r>
        <w:rPr>
          <w:spacing w:val="3"/>
        </w:rPr>
        <w:t>理条例》《宁夏回族自治区突发事件应对条例》</w:t>
      </w:r>
      <w:r>
        <w:rPr>
          <w:spacing w:val="16"/>
        </w:rPr>
        <w:t xml:space="preserve"> </w:t>
      </w:r>
      <w:r>
        <w:rPr>
          <w:spacing w:val="8"/>
        </w:rPr>
        <w:t>《宁夏回族自治区抗旱防汛条例》《国家防汛</w:t>
      </w:r>
      <w:r>
        <w:rPr>
          <w:spacing w:val="8"/>
        </w:rPr>
        <w:t>应急预案》《宁夏回族自治区突发公共事件应</w:t>
      </w:r>
      <w:r>
        <w:rPr>
          <w:spacing w:val="8"/>
        </w:rPr>
        <w:t>急预案》《宁夏回族自治区突发公共事件应急</w:t>
      </w:r>
      <w:r>
        <w:rPr>
          <w:spacing w:val="8"/>
        </w:rPr>
        <w:t>预案管理办法》《宁夏回族自治区突发事件预</w:t>
      </w:r>
      <w:r>
        <w:rPr>
          <w:spacing w:val="8"/>
        </w:rPr>
        <w:t>警信息发布管理办法》《固原市突发公共事件</w:t>
      </w:r>
      <w:r>
        <w:rPr>
          <w:spacing w:val="-2"/>
        </w:rPr>
        <w:t>总体应急预案》《水库大坝安全管理条例》《水</w:t>
      </w:r>
      <w:r>
        <w:rPr>
          <w:spacing w:val="3"/>
        </w:rPr>
        <w:t>灾害统计报表制度》《城市节约用水管理规定》</w:t>
      </w:r>
      <w:r>
        <w:rPr>
          <w:spacing w:val="16"/>
        </w:rPr>
        <w:t xml:space="preserve"> </w:t>
      </w:r>
      <w:r>
        <w:rPr>
          <w:spacing w:val="7"/>
        </w:rPr>
        <w:t>《城市防洪预案编制导则》</w:t>
      </w:r>
      <w:r>
        <w:rPr>
          <w:rFonts w:ascii="Times New Roman" w:hAnsi="Times New Roman" w:eastAsia="Times New Roman" w:cs="Times New Roman"/>
        </w:rPr>
        <w:t>SL</w:t>
      </w:r>
      <w:r>
        <w:rPr>
          <w:rFonts w:ascii="Times New Roman" w:hAnsi="Times New Roman" w:eastAsia="Times New Roman" w:cs="Times New Roman"/>
          <w:spacing w:val="7"/>
        </w:rPr>
        <w:t>754-2017</w:t>
      </w:r>
      <w:r>
        <w:rPr>
          <w:spacing w:val="7"/>
        </w:rPr>
        <w:t>《生产</w:t>
      </w:r>
      <w:r>
        <w:rPr>
          <w:spacing w:val="19"/>
        </w:rPr>
        <w:t>经营单位生产安全事故应急预案编制导则》</w:t>
      </w:r>
      <w:r>
        <w:rPr>
          <w:spacing w:val="6"/>
        </w:rPr>
        <w:t xml:space="preserve"> </w:t>
      </w:r>
      <w:r>
        <w:rPr>
          <w:rFonts w:ascii="Times New Roman" w:hAnsi="Times New Roman" w:eastAsia="Times New Roman" w:cs="Times New Roman"/>
        </w:rPr>
        <w:t>GB</w:t>
      </w:r>
      <w:r>
        <w:rPr>
          <w:rFonts w:ascii="Times New Roman" w:hAnsi="Times New Roman" w:eastAsia="Times New Roman" w:cs="Times New Roman"/>
          <w:spacing w:val="5"/>
        </w:rPr>
        <w:t>/T29639-2013</w:t>
      </w:r>
      <w:r>
        <w:rPr>
          <w:spacing w:val="5"/>
        </w:rPr>
        <w:t>《生产安全事故应急预案管理</w:t>
      </w:r>
      <w:r>
        <w:rPr>
          <w:spacing w:val="7"/>
        </w:rPr>
        <w:t>办法》应急管理部第</w:t>
      </w:r>
      <w:r>
        <w:rPr>
          <w:spacing w:val="-36"/>
        </w:rPr>
        <w:t xml:space="preserve"> </w:t>
      </w:r>
      <w:r>
        <w:rPr>
          <w:rFonts w:ascii="Times New Roman" w:hAnsi="Times New Roman" w:eastAsia="Times New Roman" w:cs="Times New Roman"/>
          <w:spacing w:val="7"/>
        </w:rPr>
        <w:t>2 </w:t>
      </w:r>
      <w:r>
        <w:rPr>
          <w:spacing w:val="7"/>
        </w:rPr>
        <w:t>号令《固原市防灾减灾</w:t>
      </w:r>
      <w:r>
        <w:rPr>
          <w:spacing w:val="8"/>
        </w:rPr>
        <w:t>救灾责任规定》《固原市突发事件总体应急预</w:t>
      </w:r>
    </w:p>
    <w:p>
      <w:pPr>
        <w:spacing w:line="14" w:lineRule="auto"/>
        <w:rPr>
          <w:rFonts w:ascii="Arial"/>
          <w:sz w:val="2"/>
        </w:rPr>
      </w:pPr>
      <w:r>
        <w:rPr>
          <w:rFonts w:ascii="Arial" w:hAnsi="Arial" w:eastAsia="Arial" w:cs="Arial"/>
          <w:sz w:val="2"/>
          <w:szCs w:val="2"/>
        </w:rPr>
        <w:br w:type="column"/>
      </w:r>
    </w:p>
    <w:p>
      <w:pPr>
        <w:pStyle w:val="BodyText"/>
        <w:ind w:left="3"/>
        <w:spacing w:before="46" w:line="278" w:lineRule="exact"/>
        <w:rPr/>
      </w:pPr>
      <w:r>
        <w:rPr>
          <w:spacing w:val="7"/>
          <w:position w:val="1"/>
        </w:rPr>
        <w:t>案》等</w:t>
      </w:r>
    </w:p>
    <w:p>
      <w:pPr>
        <w:pStyle w:val="BodyText"/>
        <w:ind w:left="3" w:right="20" w:firstLine="438"/>
        <w:spacing w:before="133" w:line="347" w:lineRule="auto"/>
        <w:rPr/>
      </w:pPr>
      <w:r>
        <w:rPr>
          <w:rFonts w:ascii="Times New Roman" w:hAnsi="Times New Roman" w:eastAsia="Times New Roman" w:cs="Times New Roman"/>
          <w:spacing w:val="7"/>
        </w:rPr>
        <w:t>1.3  </w:t>
      </w:r>
      <w:r>
        <w:rPr>
          <w:rFonts w:ascii="KaiTi" w:hAnsi="KaiTi" w:eastAsia="KaiTi" w:cs="KaiTi"/>
          <w:spacing w:val="7"/>
        </w:rPr>
        <w:t>适用范围。</w:t>
      </w:r>
      <w:r>
        <w:rPr>
          <w:spacing w:val="7"/>
        </w:rPr>
        <w:t>本预案适用于固原市市区</w:t>
      </w:r>
      <w:r>
        <w:rPr>
          <w:spacing w:val="18"/>
        </w:rPr>
        <w:t>范围内突发性水灾害的预防和应急处置。包</w:t>
      </w:r>
      <w:r>
        <w:rPr>
          <w:spacing w:val="1"/>
        </w:rPr>
        <w:t>括：市区境内溪河洪水、山体滑坡、山洪灾害、</w:t>
      </w:r>
      <w:r>
        <w:rPr>
          <w:spacing w:val="7"/>
        </w:rPr>
        <w:t>内涝灾害、以及由洪水、地震、恐怖活动等引</w:t>
      </w:r>
      <w:r>
        <w:rPr>
          <w:spacing w:val="7"/>
        </w:rPr>
        <w:t>发的水库垮坝、堤防决口、渠道坍塌等次生衍</w:t>
      </w:r>
      <w:r>
        <w:rPr>
          <w:spacing w:val="5"/>
        </w:rPr>
        <w:t>生灾害。</w:t>
      </w:r>
    </w:p>
    <w:p>
      <w:pPr>
        <w:ind w:left="441"/>
        <w:spacing w:before="162" w:line="241" w:lineRule="auto"/>
        <w:rPr>
          <w:rFonts w:ascii="KaiTi" w:hAnsi="KaiTi" w:eastAsia="KaiTi" w:cs="KaiTi"/>
          <w:sz w:val="20"/>
          <w:szCs w:val="20"/>
        </w:rPr>
      </w:pPr>
      <w:r>
        <w:rPr>
          <w:rFonts w:ascii="Times New Roman" w:hAnsi="Times New Roman" w:eastAsia="Times New Roman" w:cs="Times New Roman"/>
          <w:sz w:val="20"/>
          <w:szCs w:val="20"/>
          <w:spacing w:val="1"/>
        </w:rPr>
        <w:t>1.4</w:t>
      </w:r>
      <w:r>
        <w:rPr>
          <w:rFonts w:ascii="Times New Roman" w:hAnsi="Times New Roman" w:eastAsia="Times New Roman" w:cs="Times New Roman"/>
          <w:sz w:val="20"/>
          <w:szCs w:val="20"/>
          <w:spacing w:val="10"/>
        </w:rPr>
        <w:t xml:space="preserve">  </w:t>
      </w:r>
      <w:r>
        <w:rPr>
          <w:rFonts w:ascii="KaiTi" w:hAnsi="KaiTi" w:eastAsia="KaiTi" w:cs="KaiTi"/>
          <w:sz w:val="20"/>
          <w:szCs w:val="20"/>
          <w:spacing w:val="1"/>
        </w:rPr>
        <w:t>工作原则。</w:t>
      </w:r>
    </w:p>
    <w:p>
      <w:pPr>
        <w:pStyle w:val="BodyText"/>
        <w:ind w:left="1" w:right="94" w:firstLine="411"/>
        <w:spacing w:before="140" w:line="352" w:lineRule="auto"/>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）认真贯彻落实科学发展观</w:t>
      </w:r>
      <w:r>
        <w:rPr>
          <w:spacing w:val="-59"/>
        </w:rPr>
        <w:t xml:space="preserve"> </w:t>
      </w:r>
      <w:r>
        <w:rPr>
          <w:spacing w:val="5"/>
        </w:rPr>
        <w:t>，坚持以</w:t>
      </w:r>
      <w:r>
        <w:rPr>
          <w:spacing w:val="7"/>
        </w:rPr>
        <w:t>以防为主、防抗救相结合，常态减灾和非常态</w:t>
      </w:r>
      <w:r>
        <w:rPr>
          <w:spacing w:val="7"/>
        </w:rPr>
        <w:t>救灾相统一，努力实现由控制洪水向管理利用</w:t>
      </w:r>
      <w:r>
        <w:rPr>
          <w:spacing w:val="7"/>
        </w:rPr>
        <w:t>洪水转变，由注重灾后救助向灾前预防转变，</w:t>
      </w:r>
      <w:r>
        <w:rPr>
          <w:spacing w:val="7"/>
        </w:rPr>
        <w:t>由应对单一灾种向综合减灾转变，从减少灾害</w:t>
      </w:r>
      <w:r>
        <w:rPr>
          <w:spacing w:val="7"/>
        </w:rPr>
        <w:t>损失向降低灾害风险转变的防灾减灾新理念，</w:t>
      </w:r>
      <w:r>
        <w:rPr>
          <w:spacing w:val="9"/>
        </w:rPr>
        <w:t>不断提高水灾害综合防范和处置能力。</w:t>
      </w:r>
    </w:p>
    <w:p>
      <w:pPr>
        <w:pStyle w:val="BodyText"/>
        <w:ind w:right="101" w:firstLine="412"/>
        <w:spacing w:before="158" w:line="336"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5"/>
        </w:rPr>
        <w:t xml:space="preserve"> </w:t>
      </w:r>
      <w:r>
        <w:rPr>
          <w:spacing w:val="8"/>
        </w:rPr>
        <w:t>）坚持以人民为中心</w:t>
      </w:r>
      <w:r>
        <w:rPr>
          <w:spacing w:val="-59"/>
        </w:rPr>
        <w:t xml:space="preserve"> </w:t>
      </w:r>
      <w:r>
        <w:rPr>
          <w:spacing w:val="8"/>
        </w:rPr>
        <w:t>，始终把人民群</w:t>
      </w:r>
      <w:r>
        <w:rPr>
          <w:spacing w:val="7"/>
        </w:rPr>
        <w:t>众生命安全放在首位，广泛宣传普及公众防灾</w:t>
      </w:r>
      <w:r>
        <w:rPr>
          <w:spacing w:val="7"/>
        </w:rPr>
        <w:t>减灾知识和自救互救技能，最大限度减少人员</w:t>
      </w:r>
      <w:r>
        <w:rPr>
          <w:spacing w:val="8"/>
        </w:rPr>
        <w:t>伤亡和财产损失。</w:t>
      </w:r>
    </w:p>
    <w:p>
      <w:pPr>
        <w:pStyle w:val="BodyText"/>
        <w:ind w:right="94" w:firstLine="412"/>
        <w:spacing w:before="162" w:line="336"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）坚持水灾害防御抢险工作实行各级</w:t>
      </w:r>
      <w:r>
        <w:rPr>
          <w:spacing w:val="7"/>
        </w:rPr>
        <w:t>人民政府行政首长负责制，统一指挥，分级分</w:t>
      </w:r>
      <w:r>
        <w:rPr>
          <w:spacing w:val="7"/>
        </w:rPr>
        <w:t>部门负责，属地管理，社会动员，军地联防，</w:t>
      </w:r>
      <w:r>
        <w:rPr>
          <w:spacing w:val="6"/>
        </w:rPr>
        <w:t>全民参与。</w:t>
      </w:r>
    </w:p>
    <w:p>
      <w:pPr>
        <w:pStyle w:val="BodyText"/>
        <w:ind w:right="101" w:firstLine="413"/>
        <w:spacing w:before="162" w:line="336" w:lineRule="auto"/>
        <w:rPr/>
      </w:pPr>
      <w:r>
        <w:rPr>
          <w:spacing w:val="6"/>
        </w:rPr>
        <w:t>（</w:t>
      </w:r>
      <w:r>
        <w:rPr>
          <w:rFonts w:ascii="Times New Roman" w:hAnsi="Times New Roman" w:eastAsia="Times New Roman" w:cs="Times New Roman"/>
          <w:spacing w:val="6"/>
        </w:rPr>
        <w:t>4</w:t>
      </w:r>
      <w:r>
        <w:rPr>
          <w:rFonts w:ascii="Times New Roman" w:hAnsi="Times New Roman" w:eastAsia="Times New Roman" w:cs="Times New Roman"/>
          <w:spacing w:val="-10"/>
        </w:rPr>
        <w:t xml:space="preserve"> </w:t>
      </w:r>
      <w:r>
        <w:rPr>
          <w:spacing w:val="6"/>
        </w:rPr>
        <w:t>）坚持统一规划</w:t>
      </w:r>
      <w:r>
        <w:rPr>
          <w:spacing w:val="-59"/>
        </w:rPr>
        <w:t xml:space="preserve"> </w:t>
      </w:r>
      <w:r>
        <w:rPr>
          <w:spacing w:val="6"/>
        </w:rPr>
        <w:t>，科学调度</w:t>
      </w:r>
      <w:r>
        <w:rPr>
          <w:spacing w:val="-59"/>
        </w:rPr>
        <w:t xml:space="preserve"> </w:t>
      </w:r>
      <w:r>
        <w:rPr>
          <w:spacing w:val="6"/>
        </w:rPr>
        <w:t>，因地制</w:t>
      </w:r>
      <w:r>
        <w:rPr>
          <w:spacing w:val="7"/>
        </w:rPr>
        <w:t>宜、区域统筹、突出重点、兼顾一般，局部利</w:t>
      </w:r>
      <w:r>
        <w:rPr>
          <w:spacing w:val="7"/>
        </w:rPr>
        <w:t>益服从全局利益。常备不懈，以防为主，安全</w:t>
      </w:r>
      <w:r>
        <w:rPr>
          <w:spacing w:val="8"/>
        </w:rPr>
        <w:t>第一，全力抢险的原则。</w:t>
      </w:r>
    </w:p>
    <w:p>
      <w:pPr>
        <w:ind w:left="423"/>
        <w:spacing w:before="153" w:line="17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2</w:t>
      </w:r>
      <w:r>
        <w:rPr>
          <w:rFonts w:ascii="Microsoft YaHei" w:hAnsi="Microsoft YaHei" w:eastAsia="Microsoft YaHei" w:cs="Microsoft YaHei"/>
          <w:sz w:val="20"/>
          <w:szCs w:val="20"/>
          <w:spacing w:val="14"/>
        </w:rPr>
        <w:t xml:space="preserve">   </w:t>
      </w:r>
      <w:r>
        <w:rPr>
          <w:rFonts w:ascii="Microsoft YaHei" w:hAnsi="Microsoft YaHei" w:eastAsia="Microsoft YaHei" w:cs="Microsoft YaHei"/>
          <w:sz w:val="20"/>
          <w:szCs w:val="20"/>
          <w:spacing w:val="4"/>
        </w:rPr>
        <w:t>城市概况</w:t>
      </w:r>
    </w:p>
    <w:p>
      <w:pPr>
        <w:spacing w:line="172" w:lineRule="auto"/>
        <w:sectPr>
          <w:type w:val="continuous"/>
          <w:pgSz w:w="11906" w:h="16839"/>
          <w:pgMar w:top="1772" w:right="1489" w:bottom="1572" w:left="1571" w:header="1428" w:footer="1172" w:gutter="0"/>
          <w:cols w:equalWidth="0" w:num="2">
            <w:col w:w="4498" w:space="100"/>
            <w:col w:w="4249" w:space="0"/>
          </w:cols>
        </w:sectPr>
        <w:rPr>
          <w:rFonts w:ascii="Microsoft YaHei" w:hAnsi="Microsoft YaHei" w:eastAsia="Microsoft YaHei" w:cs="Microsoft YaHei"/>
          <w:sz w:val="20"/>
          <w:szCs w:val="20"/>
        </w:rPr>
      </w:pPr>
    </w:p>
    <w:p>
      <w:pPr>
        <w:spacing w:before="67"/>
        <w:rPr/>
      </w:pPr>
      <w:r>
        <w:drawing>
          <wp:anchor distT="0" distB="0" distL="0" distR="0" simplePos="0" relativeHeight="254584832" behindDoc="0" locked="0" layoutInCell="0" allowOverlap="1">
            <wp:simplePos x="0" y="0"/>
            <wp:positionH relativeFrom="page">
              <wp:posOffset>1008380</wp:posOffset>
            </wp:positionH>
            <wp:positionV relativeFrom="page">
              <wp:posOffset>1278890</wp:posOffset>
            </wp:positionV>
            <wp:extent cx="5579745" cy="7619"/>
            <wp:effectExtent l="0" t="0" r="0" b="0"/>
            <wp:wrapNone/>
            <wp:docPr id="2376" name="IM 2376"/>
            <wp:cNvGraphicFramePr/>
            <a:graphic>
              <a:graphicData uri="http://schemas.openxmlformats.org/drawingml/2006/picture">
                <pic:pic>
                  <pic:nvPicPr>
                    <pic:cNvPr id="2376" name="IM 2376"/>
                    <pic:cNvPicPr/>
                  </pic:nvPicPr>
                  <pic:blipFill>
                    <a:blip r:embed="rId1193"/>
                    <a:stretch>
                      <a:fillRect/>
                    </a:stretch>
                  </pic:blipFill>
                  <pic:spPr>
                    <a:xfrm rot="0">
                      <a:off x="0" y="0"/>
                      <a:ext cx="5579745" cy="7619"/>
                    </a:xfrm>
                    <a:prstGeom prst="rect">
                      <a:avLst/>
                    </a:prstGeom>
                  </pic:spPr>
                </pic:pic>
              </a:graphicData>
            </a:graphic>
          </wp:anchor>
        </w:drawing>
      </w:r>
      <w:r/>
    </w:p>
    <w:p>
      <w:pPr>
        <w:sectPr>
          <w:headerReference w:type="default" r:id="rId1184"/>
          <w:footerReference w:type="default" r:id="rId1192"/>
          <w:pgSz w:w="11906" w:h="16839"/>
          <w:pgMar w:top="1974" w:right="1530" w:bottom="1574" w:left="1579" w:header="1634" w:footer="1172" w:gutter="0"/>
          <w:cols w:equalWidth="0" w:num="1">
            <w:col w:w="8796" w:space="0"/>
          </w:cols>
        </w:sectPr>
        <w:rPr/>
      </w:pPr>
    </w:p>
    <w:p>
      <w:pPr>
        <w:pStyle w:val="BodyText"/>
        <w:ind w:left="404"/>
        <w:spacing w:before="47" w:line="277" w:lineRule="exact"/>
        <w:rPr/>
      </w:pPr>
      <w:r>
        <w:rPr>
          <w:rFonts w:ascii="Times New Roman" w:hAnsi="Times New Roman" w:eastAsia="Times New Roman" w:cs="Times New Roman"/>
          <w:spacing w:val="-7"/>
          <w:position w:val="1"/>
        </w:rPr>
        <w:t>2.1</w:t>
      </w:r>
      <w:r>
        <w:rPr>
          <w:rFonts w:ascii="Times New Roman" w:hAnsi="Times New Roman" w:eastAsia="Times New Roman" w:cs="Times New Roman"/>
          <w:spacing w:val="26"/>
          <w:position w:val="1"/>
        </w:rPr>
        <w:t xml:space="preserve">  </w:t>
      </w:r>
      <w:r>
        <w:rPr>
          <w:rFonts w:ascii="KaiTi" w:hAnsi="KaiTi" w:eastAsia="KaiTi" w:cs="KaiTi"/>
          <w:spacing w:val="-7"/>
          <w:position w:val="1"/>
        </w:rPr>
        <w:t>自然地理。</w:t>
      </w:r>
      <w:r>
        <w:rPr>
          <w:spacing w:val="-7"/>
          <w:position w:val="1"/>
        </w:rPr>
        <w:t>地理位置，地形与地貌特点：</w:t>
      </w:r>
    </w:p>
    <w:p>
      <w:pPr>
        <w:pStyle w:val="BodyText"/>
        <w:ind w:left="13" w:right="244" w:firstLine="440"/>
        <w:spacing w:before="126" w:line="369" w:lineRule="auto"/>
        <w:rPr/>
      </w:pPr>
      <w:r>
        <w:rPr>
          <w:spacing w:val="5"/>
        </w:rPr>
        <w:t>固原市位于中国黄土高原的西北边缘，境</w:t>
      </w:r>
      <w:r>
        <w:rPr>
          <w:spacing w:val="7"/>
        </w:rPr>
        <w:t>内以六盘山为南北脊柱，将固原市分为东西两</w:t>
      </w:r>
      <w:r>
        <w:rPr>
          <w:spacing w:val="9"/>
        </w:rPr>
        <w:t>壁</w:t>
      </w:r>
      <w:r>
        <w:rPr>
          <w:spacing w:val="-45"/>
        </w:rPr>
        <w:t xml:space="preserve"> </w:t>
      </w:r>
      <w:r>
        <w:rPr>
          <w:spacing w:val="9"/>
        </w:rPr>
        <w:t>，呈南高北低之势。海拔大部分在</w:t>
      </w:r>
      <w:r>
        <w:rPr>
          <w:spacing w:val="-16"/>
        </w:rPr>
        <w:t xml:space="preserve"> </w:t>
      </w:r>
      <w:r>
        <w:rPr>
          <w:rFonts w:ascii="Times New Roman" w:hAnsi="Times New Roman" w:eastAsia="Times New Roman" w:cs="Times New Roman"/>
          <w:spacing w:val="9"/>
        </w:rPr>
        <w:t>1500 </w:t>
      </w:r>
      <w:r>
        <w:rPr>
          <w:spacing w:val="9"/>
        </w:rPr>
        <w:t>~</w:t>
      </w:r>
      <w:r>
        <w:rPr/>
        <w:t xml:space="preserve"> </w:t>
      </w:r>
      <w:r>
        <w:rPr>
          <w:rFonts w:ascii="Times New Roman" w:hAnsi="Times New Roman" w:eastAsia="Times New Roman" w:cs="Times New Roman"/>
          <w:spacing w:val="4"/>
        </w:rPr>
        <w:t>2200 </w:t>
      </w:r>
      <w:r>
        <w:rPr>
          <w:spacing w:val="4"/>
        </w:rPr>
        <w:t>米之间。由于受河水切割、冲击，形成丘</w:t>
      </w:r>
      <w:r>
        <w:rPr>
          <w:spacing w:val="1"/>
        </w:rPr>
        <w:t>陵起伏，沟壑纵横，梁峁交错，山多川少，塬、</w:t>
      </w:r>
      <w:r>
        <w:rPr>
          <w:spacing w:val="7"/>
        </w:rPr>
        <w:t>梁、峁、壕交错的地理特征。属黄土丘陵沟壑</w:t>
      </w:r>
      <w:r>
        <w:rPr>
          <w:spacing w:val="7"/>
        </w:rPr>
        <w:t>区。主要山脉有六盘山呈南北走向，主峰美高</w:t>
      </w:r>
      <w:r>
        <w:rPr>
          <w:spacing w:val="9"/>
        </w:rPr>
        <w:t>山（米缸山）海拔</w:t>
      </w:r>
      <w:r>
        <w:rPr>
          <w:spacing w:val="-32"/>
        </w:rPr>
        <w:t xml:space="preserve"> </w:t>
      </w:r>
      <w:r>
        <w:rPr>
          <w:rFonts w:ascii="Times New Roman" w:hAnsi="Times New Roman" w:eastAsia="Times New Roman" w:cs="Times New Roman"/>
          <w:spacing w:val="9"/>
        </w:rPr>
        <w:t>2942 </w:t>
      </w:r>
      <w:r>
        <w:rPr>
          <w:spacing w:val="9"/>
        </w:rPr>
        <w:t>米</w:t>
      </w:r>
      <w:r>
        <w:rPr>
          <w:spacing w:val="-58"/>
        </w:rPr>
        <w:t xml:space="preserve"> </w:t>
      </w:r>
      <w:r>
        <w:rPr>
          <w:spacing w:val="9"/>
        </w:rPr>
        <w:t>，为固原市最大、</w:t>
      </w:r>
      <w:r>
        <w:rPr>
          <w:spacing w:val="9"/>
        </w:rPr>
        <w:t>最高山脉。月亮山海拔</w:t>
      </w:r>
      <w:r>
        <w:rPr>
          <w:spacing w:val="-40"/>
        </w:rPr>
        <w:t xml:space="preserve"> </w:t>
      </w:r>
      <w:r>
        <w:rPr>
          <w:rFonts w:ascii="Times New Roman" w:hAnsi="Times New Roman" w:eastAsia="Times New Roman" w:cs="Times New Roman"/>
          <w:spacing w:val="9"/>
        </w:rPr>
        <w:t>2633 </w:t>
      </w:r>
      <w:r>
        <w:rPr>
          <w:spacing w:val="9"/>
        </w:rPr>
        <w:t>米</w:t>
      </w:r>
      <w:r>
        <w:rPr>
          <w:spacing w:val="-59"/>
        </w:rPr>
        <w:t xml:space="preserve"> </w:t>
      </w:r>
      <w:r>
        <w:rPr>
          <w:spacing w:val="9"/>
        </w:rPr>
        <w:t>，云雾</w:t>
      </w:r>
      <w:r>
        <w:rPr>
          <w:spacing w:val="8"/>
        </w:rPr>
        <w:t>山海拔</w:t>
      </w:r>
      <w:r>
        <w:rPr>
          <w:rFonts w:ascii="Times New Roman" w:hAnsi="Times New Roman" w:eastAsia="Times New Roman" w:cs="Times New Roman"/>
          <w:spacing w:val="4"/>
        </w:rPr>
        <w:t>2148 </w:t>
      </w:r>
      <w:r>
        <w:rPr>
          <w:spacing w:val="4"/>
        </w:rPr>
        <w:t>米。有六盘山高山丘陵区，葫芦河西部黄</w:t>
      </w:r>
      <w:r>
        <w:rPr>
          <w:spacing w:val="7"/>
        </w:rPr>
        <w:t>土梁、峁丘陵地区，葫芦河东部黄土梁状丘陵</w:t>
      </w:r>
      <w:r>
        <w:rPr>
          <w:spacing w:val="7"/>
        </w:rPr>
        <w:t>地区，茹河流域黄土梁、塬丘陵地区，清水河</w:t>
      </w:r>
      <w:r>
        <w:rPr>
          <w:spacing w:val="7"/>
        </w:rPr>
        <w:t>中上游洪积</w:t>
      </w:r>
      <w:r>
        <w:rPr>
          <w:rFonts w:ascii="Times New Roman" w:hAnsi="Times New Roman" w:eastAsia="Times New Roman" w:cs="Times New Roman"/>
          <w:spacing w:val="7"/>
        </w:rPr>
        <w:t>—</w:t>
      </w:r>
      <w:r>
        <w:rPr>
          <w:spacing w:val="7"/>
        </w:rPr>
        <w:t>冲积平原区，清水河中游西侧黄</w:t>
      </w:r>
      <w:r>
        <w:rPr>
          <w:spacing w:val="7"/>
        </w:rPr>
        <w:t>土丘陵、盆、埫区，清水河中游东侧黄土丘陵</w:t>
      </w:r>
      <w:r>
        <w:rPr>
          <w:spacing w:val="7"/>
        </w:rPr>
        <w:t>山地区等类型。</w:t>
      </w:r>
    </w:p>
    <w:p>
      <w:pPr>
        <w:pStyle w:val="BodyText"/>
        <w:ind w:left="12" w:right="318" w:firstLine="441"/>
        <w:spacing w:before="6" w:line="368" w:lineRule="auto"/>
        <w:jc w:val="both"/>
        <w:rPr/>
      </w:pPr>
      <w:r>
        <w:rPr>
          <w:spacing w:val="5"/>
        </w:rPr>
        <w:t>固原市城区地市西高东低，南北狭长、西</w:t>
      </w:r>
      <w:r>
        <w:rPr>
          <w:spacing w:val="7"/>
        </w:rPr>
        <w:t>南部坡度较大，西南新区最高处至东关路六盘</w:t>
      </w:r>
      <w:r>
        <w:rPr>
          <w:spacing w:val="5"/>
        </w:rPr>
        <w:t>山电厂，高差约</w:t>
      </w:r>
      <w:r>
        <w:rPr>
          <w:spacing w:val="-6"/>
        </w:rPr>
        <w:t xml:space="preserve"> </w:t>
      </w:r>
      <w:r>
        <w:rPr>
          <w:rFonts w:ascii="Times New Roman" w:hAnsi="Times New Roman" w:eastAsia="Times New Roman" w:cs="Times New Roman"/>
          <w:spacing w:val="5"/>
        </w:rPr>
        <w:t>140 </w:t>
      </w:r>
      <w:r>
        <w:rPr>
          <w:spacing w:val="5"/>
        </w:rPr>
        <w:t>米，南至东北落差较大，</w:t>
      </w:r>
      <w:r>
        <w:rPr>
          <w:spacing w:val="7"/>
        </w:rPr>
        <w:t>在突发、历时短、降雨量集中的情况下，极易</w:t>
      </w:r>
      <w:r>
        <w:rPr>
          <w:spacing w:val="7"/>
        </w:rPr>
        <w:t>形成街道洪水。</w:t>
      </w:r>
    </w:p>
    <w:p>
      <w:pPr>
        <w:pStyle w:val="BodyText"/>
        <w:ind w:left="432"/>
        <w:spacing w:line="278" w:lineRule="exact"/>
        <w:outlineLvl w:val="0"/>
        <w:rPr/>
      </w:pPr>
      <w:r>
        <w:rPr>
          <w:spacing w:val="7"/>
          <w:position w:val="1"/>
        </w:rPr>
        <w:t>气象水文特征：</w:t>
      </w:r>
    </w:p>
    <w:p>
      <w:pPr>
        <w:pStyle w:val="BodyText"/>
        <w:ind w:left="11" w:right="247" w:firstLine="442"/>
        <w:spacing w:before="128" w:line="354" w:lineRule="auto"/>
        <w:jc w:val="both"/>
        <w:rPr>
          <w:rFonts w:ascii="Times New Roman" w:hAnsi="Times New Roman" w:eastAsia="Times New Roman" w:cs="Times New Roman"/>
        </w:rPr>
      </w:pPr>
      <w:r>
        <w:rPr>
          <w:spacing w:val="5"/>
        </w:rPr>
        <w:t>固原地处黄土高原暖温半干旱气候区，是</w:t>
      </w:r>
      <w:r>
        <w:rPr>
          <w:spacing w:val="7"/>
        </w:rPr>
        <w:t>典型的大陆性气候，形成冬季漫长寒冷、春季</w:t>
      </w:r>
      <w:r>
        <w:rPr>
          <w:spacing w:val="7"/>
        </w:rPr>
        <w:t>气温多变、夏季短暂凉爽、秋季降温迅速，昼</w:t>
      </w:r>
      <w:r>
        <w:rPr>
          <w:spacing w:val="7"/>
        </w:rPr>
        <w:t>夜温差大，春季和夏初雨量偏少，灾害性天气</w:t>
      </w:r>
      <w:r>
        <w:rPr>
          <w:spacing w:val="7"/>
        </w:rPr>
        <w:t>多，区域降水差异大等气候特征。固原市平均</w:t>
      </w:r>
      <w:r>
        <w:rPr>
          <w:spacing w:val="-1"/>
        </w:rPr>
        <w:t>气温为</w:t>
      </w:r>
      <w:r>
        <w:rPr>
          <w:spacing w:val="-22"/>
        </w:rPr>
        <w:t xml:space="preserve"> </w:t>
      </w:r>
      <w:r>
        <w:rPr>
          <w:rFonts w:ascii="Times New Roman" w:hAnsi="Times New Roman" w:eastAsia="Times New Roman" w:cs="Times New Roman"/>
          <w:spacing w:val="-1"/>
        </w:rPr>
        <w:t>6.7</w:t>
      </w:r>
      <w:r>
        <w:rPr>
          <w:rFonts w:ascii="Times New Roman" w:hAnsi="Times New Roman" w:eastAsia="Times New Roman" w:cs="Times New Roman"/>
          <w:spacing w:val="-9"/>
        </w:rPr>
        <w:t xml:space="preserve"> </w:t>
      </w:r>
      <w:r>
        <w:rPr>
          <w:spacing w:val="-1"/>
        </w:rPr>
        <w:t>～</w:t>
      </w:r>
      <w:r>
        <w:rPr>
          <w:spacing w:val="-45"/>
        </w:rPr>
        <w:t xml:space="preserve"> </w:t>
      </w:r>
      <w:r>
        <w:rPr>
          <w:rFonts w:ascii="Times New Roman" w:hAnsi="Times New Roman" w:eastAsia="Times New Roman" w:cs="Times New Roman"/>
          <w:spacing w:val="-1"/>
        </w:rPr>
        <w:t>8.8℃</w:t>
      </w:r>
      <w:r>
        <w:rPr>
          <w:rFonts w:ascii="Times New Roman" w:hAnsi="Times New Roman" w:eastAsia="Times New Roman" w:cs="Times New Roman"/>
          <w:spacing w:val="-11"/>
        </w:rPr>
        <w:t xml:space="preserve"> </w:t>
      </w:r>
      <w:r>
        <w:rPr>
          <w:spacing w:val="-1"/>
        </w:rPr>
        <w:t>,</w:t>
      </w:r>
      <w:r>
        <w:rPr>
          <w:spacing w:val="53"/>
        </w:rPr>
        <w:t xml:space="preserve"> </w:t>
      </w:r>
      <w:r>
        <w:rPr>
          <w:spacing w:val="-1"/>
        </w:rPr>
        <w:t>与历年同期值相比，泾源</w:t>
      </w:r>
      <w:r>
        <w:rPr>
          <w:spacing w:val="-5"/>
        </w:rPr>
        <w:t>偏高</w:t>
      </w:r>
      <w:r>
        <w:rPr>
          <w:spacing w:val="-29"/>
        </w:rPr>
        <w:t xml:space="preserve"> </w:t>
      </w:r>
      <w:r>
        <w:rPr>
          <w:rFonts w:ascii="Times New Roman" w:hAnsi="Times New Roman" w:eastAsia="Times New Roman" w:cs="Times New Roman"/>
          <w:spacing w:val="-5"/>
        </w:rPr>
        <w:t>0.5℃</w:t>
      </w:r>
      <w:r>
        <w:rPr>
          <w:rFonts w:ascii="Times New Roman" w:hAnsi="Times New Roman" w:eastAsia="Times New Roman" w:cs="Times New Roman"/>
          <w:spacing w:val="-13"/>
        </w:rPr>
        <w:t xml:space="preserve"> </w:t>
      </w:r>
      <w:r>
        <w:rPr>
          <w:spacing w:val="-5"/>
        </w:rPr>
        <w:t>,</w:t>
      </w:r>
      <w:r>
        <w:rPr>
          <w:spacing w:val="44"/>
        </w:rPr>
        <w:t xml:space="preserve"> </w:t>
      </w:r>
      <w:r>
        <w:rPr>
          <w:spacing w:val="-5"/>
        </w:rPr>
        <w:t>其他各县（</w:t>
      </w:r>
      <w:r>
        <w:rPr>
          <w:spacing w:val="-50"/>
        </w:rPr>
        <w:t xml:space="preserve"> </w:t>
      </w:r>
      <w:r>
        <w:rPr>
          <w:spacing w:val="-5"/>
        </w:rPr>
        <w:t>区）偏高</w:t>
      </w:r>
      <w:r>
        <w:rPr>
          <w:spacing w:val="-23"/>
        </w:rPr>
        <w:t xml:space="preserve"> </w:t>
      </w:r>
      <w:r>
        <w:rPr>
          <w:rFonts w:ascii="Times New Roman" w:hAnsi="Times New Roman" w:eastAsia="Times New Roman" w:cs="Times New Roman"/>
          <w:spacing w:val="-5"/>
        </w:rPr>
        <w:t>1.0 </w:t>
      </w:r>
      <w:r>
        <w:rPr>
          <w:spacing w:val="-5"/>
        </w:rPr>
        <w:t>～</w:t>
      </w:r>
      <w:r>
        <w:rPr>
          <w:spacing w:val="-33"/>
        </w:rPr>
        <w:t xml:space="preserve"> </w:t>
      </w:r>
      <w:r>
        <w:rPr>
          <w:rFonts w:ascii="Times New Roman" w:hAnsi="Times New Roman" w:eastAsia="Times New Roman" w:cs="Times New Roman"/>
          <w:spacing w:val="-5"/>
        </w:rPr>
        <w:t>1.3℃</w:t>
      </w:r>
      <w:r>
        <w:rPr>
          <w:spacing w:val="-5"/>
        </w:rPr>
        <w:t>。</w:t>
      </w:r>
      <w:r>
        <w:rPr>
          <w:spacing w:val="3"/>
        </w:rPr>
        <w:t>各县（</w:t>
      </w:r>
      <w:r>
        <w:rPr>
          <w:spacing w:val="-36"/>
        </w:rPr>
        <w:t xml:space="preserve"> </w:t>
      </w:r>
      <w:r>
        <w:rPr>
          <w:spacing w:val="3"/>
        </w:rPr>
        <w:t>区）降水量为</w:t>
      </w:r>
      <w:r>
        <w:rPr>
          <w:spacing w:val="-44"/>
        </w:rPr>
        <w:t xml:space="preserve"> </w:t>
      </w:r>
      <w:r>
        <w:rPr>
          <w:rFonts w:ascii="Times New Roman" w:hAnsi="Times New Roman" w:eastAsia="Times New Roman" w:cs="Times New Roman"/>
          <w:spacing w:val="3"/>
        </w:rPr>
        <w:t>458.6</w:t>
      </w:r>
      <w:r>
        <w:rPr>
          <w:spacing w:val="3"/>
        </w:rPr>
        <w:t>～</w:t>
      </w:r>
      <w:r>
        <w:rPr>
          <w:rFonts w:ascii="Times New Roman" w:hAnsi="Times New Roman" w:eastAsia="Times New Roman" w:cs="Times New Roman"/>
          <w:spacing w:val="3"/>
        </w:rPr>
        <w:t>668.2 </w:t>
      </w:r>
      <w:r>
        <w:rPr>
          <w:spacing w:val="3"/>
        </w:rPr>
        <w:t>毫米，与历</w:t>
      </w:r>
      <w:r>
        <w:rPr>
          <w:spacing w:val="8"/>
        </w:rPr>
        <w:t>年同期值相比</w:t>
      </w:r>
      <w:r>
        <w:rPr>
          <w:spacing w:val="-28"/>
        </w:rPr>
        <w:t xml:space="preserve"> </w:t>
      </w:r>
      <w:r>
        <w:rPr>
          <w:spacing w:val="8"/>
        </w:rPr>
        <w:t>，各县（ 区</w:t>
      </w:r>
      <w:r>
        <w:rPr>
          <w:spacing w:val="-22"/>
        </w:rPr>
        <w:t xml:space="preserve"> </w:t>
      </w:r>
      <w:r>
        <w:rPr>
          <w:spacing w:val="8"/>
        </w:rPr>
        <w:t>）均偏多</w:t>
      </w:r>
      <w:r>
        <w:rPr>
          <w:spacing w:val="-20"/>
        </w:rPr>
        <w:t xml:space="preserve"> </w:t>
      </w:r>
      <w:r>
        <w:rPr>
          <w:rFonts w:ascii="Times New Roman" w:hAnsi="Times New Roman" w:eastAsia="Times New Roman" w:cs="Times New Roman"/>
          <w:spacing w:val="8"/>
        </w:rPr>
        <w:t>3.6%</w:t>
      </w:r>
      <w:r>
        <w:rPr>
          <w:rFonts w:ascii="Times New Roman" w:hAnsi="Times New Roman" w:eastAsia="Times New Roman" w:cs="Times New Roman"/>
          <w:spacing w:val="27"/>
          <w:w w:val="101"/>
        </w:rPr>
        <w:t xml:space="preserve"> </w:t>
      </w:r>
      <w:r>
        <w:rPr>
          <w:spacing w:val="8"/>
        </w:rPr>
        <w:t>~</w:t>
      </w:r>
      <w:r>
        <w:rPr/>
        <w:t xml:space="preserve"> </w:t>
      </w:r>
      <w:r>
        <w:rPr>
          <w:rFonts w:ascii="Times New Roman" w:hAnsi="Times New Roman" w:eastAsia="Times New Roman" w:cs="Times New Roman"/>
          <w:spacing w:val="-2"/>
        </w:rPr>
        <w:t>23.3%</w:t>
      </w:r>
      <w:r>
        <w:rPr>
          <w:spacing w:val="-2"/>
        </w:rPr>
        <w:t>。各县（</w:t>
      </w:r>
      <w:r>
        <w:rPr>
          <w:spacing w:val="-53"/>
        </w:rPr>
        <w:t xml:space="preserve"> </w:t>
      </w:r>
      <w:r>
        <w:rPr>
          <w:spacing w:val="-2"/>
        </w:rPr>
        <w:t>区）日照时数为</w:t>
      </w:r>
      <w:r>
        <w:rPr>
          <w:spacing w:val="-43"/>
        </w:rPr>
        <w:t xml:space="preserve"> </w:t>
      </w:r>
      <w:r>
        <w:rPr>
          <w:rFonts w:ascii="Times New Roman" w:hAnsi="Times New Roman" w:eastAsia="Times New Roman" w:cs="Times New Roman"/>
          <w:spacing w:val="-2"/>
        </w:rPr>
        <w:t>2056.9 </w:t>
      </w:r>
      <w:r>
        <w:rPr>
          <w:spacing w:val="-2"/>
        </w:rPr>
        <w:t>～</w:t>
      </w:r>
      <w:r>
        <w:rPr>
          <w:spacing w:val="-53"/>
        </w:rPr>
        <w:t xml:space="preserve"> </w:t>
      </w:r>
      <w:r>
        <w:rPr>
          <w:rFonts w:ascii="Times New Roman" w:hAnsi="Times New Roman" w:eastAsia="Times New Roman" w:cs="Times New Roman"/>
          <w:spacing w:val="-3"/>
        </w:rPr>
        <w:t>2384.4</w:t>
      </w:r>
    </w:p>
    <w:p>
      <w:pPr>
        <w:spacing w:line="14" w:lineRule="auto"/>
        <w:rPr>
          <w:rFonts w:ascii="Arial"/>
          <w:sz w:val="2"/>
        </w:rPr>
      </w:pPr>
      <w:r>
        <w:rPr>
          <w:rFonts w:ascii="Arial" w:hAnsi="Arial" w:eastAsia="Arial" w:cs="Arial"/>
          <w:sz w:val="2"/>
          <w:szCs w:val="2"/>
        </w:rPr>
        <w:br w:type="column"/>
      </w:r>
    </w:p>
    <w:p>
      <w:pPr>
        <w:pStyle w:val="BodyText"/>
        <w:ind w:left="2" w:right="54" w:firstLine="1"/>
        <w:spacing w:before="49" w:line="369" w:lineRule="auto"/>
        <w:jc w:val="both"/>
        <w:rPr/>
      </w:pPr>
      <w:r>
        <w:rPr>
          <w:spacing w:val="7"/>
        </w:rPr>
        <w:t>小时，与历年同期值相比，西吉偏多</w:t>
      </w:r>
      <w:r>
        <w:rPr>
          <w:spacing w:val="-15"/>
        </w:rPr>
        <w:t xml:space="preserve"> </w:t>
      </w:r>
      <w:r>
        <w:rPr>
          <w:rFonts w:ascii="Times New Roman" w:hAnsi="Times New Roman" w:eastAsia="Times New Roman" w:cs="Times New Roman"/>
          <w:spacing w:val="7"/>
        </w:rPr>
        <w:t>119.3 </w:t>
      </w:r>
      <w:r>
        <w:rPr>
          <w:spacing w:val="7"/>
        </w:rPr>
        <w:t>小</w:t>
      </w:r>
      <w:r>
        <w:rPr>
          <w:spacing w:val="4"/>
        </w:rPr>
        <w:t>时，原州区偏少</w:t>
      </w:r>
      <w:r>
        <w:rPr>
          <w:spacing w:val="-19"/>
        </w:rPr>
        <w:t xml:space="preserve"> </w:t>
      </w:r>
      <w:r>
        <w:rPr>
          <w:rFonts w:ascii="Times New Roman" w:hAnsi="Times New Roman" w:eastAsia="Times New Roman" w:cs="Times New Roman"/>
          <w:spacing w:val="4"/>
        </w:rPr>
        <w:t>196.7 </w:t>
      </w:r>
      <w:r>
        <w:rPr>
          <w:spacing w:val="4"/>
        </w:rPr>
        <w:t>小时，隆德偏少</w:t>
      </w:r>
      <w:r>
        <w:rPr>
          <w:spacing w:val="-38"/>
        </w:rPr>
        <w:t xml:space="preserve"> </w:t>
      </w:r>
      <w:r>
        <w:rPr>
          <w:rFonts w:ascii="Times New Roman" w:hAnsi="Times New Roman" w:eastAsia="Times New Roman" w:cs="Times New Roman"/>
          <w:spacing w:val="4"/>
        </w:rPr>
        <w:t>57.8 </w:t>
      </w:r>
      <w:r>
        <w:rPr>
          <w:spacing w:val="4"/>
        </w:rPr>
        <w:t>小</w:t>
      </w:r>
      <w:r>
        <w:rPr>
          <w:spacing w:val="3"/>
        </w:rPr>
        <w:t>时，泾源偏少</w:t>
      </w:r>
      <w:r>
        <w:rPr>
          <w:spacing w:val="-35"/>
        </w:rPr>
        <w:t xml:space="preserve"> </w:t>
      </w:r>
      <w:r>
        <w:rPr>
          <w:rFonts w:ascii="Times New Roman" w:hAnsi="Times New Roman" w:eastAsia="Times New Roman" w:cs="Times New Roman"/>
          <w:spacing w:val="3"/>
        </w:rPr>
        <w:t>213.8</w:t>
      </w:r>
      <w:r>
        <w:rPr>
          <w:spacing w:val="3"/>
        </w:rPr>
        <w:t>，彭阳偏少</w:t>
      </w:r>
      <w:r>
        <w:rPr>
          <w:spacing w:val="-43"/>
        </w:rPr>
        <w:t xml:space="preserve"> </w:t>
      </w:r>
      <w:r>
        <w:rPr>
          <w:rFonts w:ascii="Times New Roman" w:hAnsi="Times New Roman" w:eastAsia="Times New Roman" w:cs="Times New Roman"/>
          <w:spacing w:val="3"/>
        </w:rPr>
        <w:t>216.3 </w:t>
      </w:r>
      <w:r>
        <w:rPr>
          <w:spacing w:val="3"/>
        </w:rPr>
        <w:t>小时。从</w:t>
      </w:r>
      <w:r>
        <w:rPr>
          <w:spacing w:val="2"/>
        </w:rPr>
        <w:t>各月来看，</w:t>
      </w:r>
      <w:r>
        <w:rPr>
          <w:rFonts w:ascii="Times New Roman" w:hAnsi="Times New Roman" w:eastAsia="Times New Roman" w:cs="Times New Roman"/>
          <w:spacing w:val="2"/>
        </w:rPr>
        <w:t>1</w:t>
      </w:r>
      <w:r>
        <w:rPr>
          <w:rFonts w:ascii="Times New Roman" w:hAnsi="Times New Roman" w:eastAsia="Times New Roman" w:cs="Times New Roman"/>
          <w:spacing w:val="-12"/>
        </w:rPr>
        <w:t xml:space="preserve"> </w:t>
      </w:r>
      <w:r>
        <w:rPr>
          <w:spacing w:val="2"/>
        </w:rPr>
        <w:t>、</w:t>
      </w:r>
      <w:r>
        <w:rPr>
          <w:rFonts w:ascii="Times New Roman" w:hAnsi="Times New Roman" w:eastAsia="Times New Roman" w:cs="Times New Roman"/>
          <w:spacing w:val="2"/>
        </w:rPr>
        <w:t>3</w:t>
      </w:r>
      <w:r>
        <w:rPr>
          <w:rFonts w:ascii="Times New Roman" w:hAnsi="Times New Roman" w:eastAsia="Times New Roman" w:cs="Times New Roman"/>
          <w:spacing w:val="-24"/>
        </w:rPr>
        <w:t xml:space="preserve"> </w:t>
      </w:r>
      <w:r>
        <w:rPr>
          <w:spacing w:val="2"/>
        </w:rPr>
        <w:t>、</w:t>
      </w:r>
      <w:r>
        <w:rPr>
          <w:rFonts w:ascii="Times New Roman" w:hAnsi="Times New Roman" w:eastAsia="Times New Roman" w:cs="Times New Roman"/>
          <w:spacing w:val="2"/>
        </w:rPr>
        <w:t>4</w:t>
      </w:r>
      <w:r>
        <w:rPr>
          <w:rFonts w:ascii="Times New Roman" w:hAnsi="Times New Roman" w:eastAsia="Times New Roman" w:cs="Times New Roman"/>
          <w:spacing w:val="-24"/>
        </w:rPr>
        <w:t xml:space="preserve"> </w:t>
      </w:r>
      <w:r>
        <w:rPr>
          <w:spacing w:val="2"/>
        </w:rPr>
        <w:t>、</w:t>
      </w:r>
      <w:r>
        <w:rPr>
          <w:rFonts w:ascii="Times New Roman" w:hAnsi="Times New Roman" w:eastAsia="Times New Roman" w:cs="Times New Roman"/>
          <w:spacing w:val="2"/>
        </w:rPr>
        <w:t>8-11 </w:t>
      </w:r>
      <w:r>
        <w:rPr>
          <w:spacing w:val="2"/>
        </w:rPr>
        <w:t>月</w:t>
      </w:r>
      <w:r>
        <w:rPr>
          <w:spacing w:val="-46"/>
        </w:rPr>
        <w:t xml:space="preserve"> </w:t>
      </w:r>
      <w:r>
        <w:rPr>
          <w:spacing w:val="2"/>
        </w:rPr>
        <w:t>日照时数偏少</w:t>
      </w:r>
      <w:r>
        <w:rPr>
          <w:spacing w:val="-59"/>
        </w:rPr>
        <w:t xml:space="preserve"> </w:t>
      </w:r>
      <w:r>
        <w:rPr>
          <w:spacing w:val="2"/>
        </w:rPr>
        <w:t>，</w:t>
      </w:r>
      <w:r>
        <w:rPr>
          <w:spacing w:val="7"/>
        </w:rPr>
        <w:t>其他各月偏多。</w:t>
      </w:r>
    </w:p>
    <w:p>
      <w:pPr>
        <w:pStyle w:val="BodyText"/>
        <w:ind w:right="53" w:firstLine="414"/>
        <w:spacing w:before="7" w:line="348" w:lineRule="auto"/>
        <w:jc w:val="both"/>
        <w:rPr/>
      </w:pPr>
      <w:r>
        <w:rPr>
          <w:spacing w:val="6"/>
        </w:rPr>
        <w:t>（</w:t>
      </w:r>
      <w:r>
        <w:rPr>
          <w:spacing w:val="-34"/>
        </w:rPr>
        <w:t xml:space="preserve"> </w:t>
      </w:r>
      <w:r>
        <w:rPr>
          <w:rFonts w:ascii="Times New Roman" w:hAnsi="Times New Roman" w:eastAsia="Times New Roman" w:cs="Times New Roman"/>
          <w:spacing w:val="6"/>
        </w:rPr>
        <w:t>1 </w:t>
      </w:r>
      <w:r>
        <w:rPr>
          <w:spacing w:val="6"/>
        </w:rPr>
        <w:t>）固原市境内有泾河、清水河、葫芦</w:t>
      </w:r>
      <w:r>
        <w:rPr>
          <w:spacing w:val="7"/>
        </w:rPr>
        <w:t>河、祖厉河、颉河、乃河、红河、茹河几大水</w:t>
      </w:r>
      <w:r>
        <w:rPr>
          <w:spacing w:val="3"/>
        </w:rPr>
        <w:t>系，年径流量约</w:t>
      </w:r>
      <w:r>
        <w:rPr>
          <w:spacing w:val="-37"/>
        </w:rPr>
        <w:t xml:space="preserve"> </w:t>
      </w:r>
      <w:r>
        <w:rPr>
          <w:rFonts w:ascii="Times New Roman" w:hAnsi="Times New Roman" w:eastAsia="Times New Roman" w:cs="Times New Roman"/>
          <w:spacing w:val="3"/>
        </w:rPr>
        <w:t>7.3 </w:t>
      </w:r>
      <w:r>
        <w:rPr>
          <w:spacing w:val="3"/>
        </w:rPr>
        <w:t>亿</w:t>
      </w:r>
      <w:r>
        <w:rPr>
          <w:spacing w:val="-46"/>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7"/>
        </w:rPr>
        <w:t>3</w:t>
      </w:r>
      <w:r>
        <w:rPr>
          <w:spacing w:val="3"/>
        </w:rPr>
        <w:t>。年平均径流</w:t>
      </w:r>
      <w:r>
        <w:rPr>
          <w:spacing w:val="2"/>
        </w:rPr>
        <w:t>量</w:t>
      </w:r>
      <w:r>
        <w:rPr>
          <w:spacing w:val="-39"/>
        </w:rPr>
        <w:t xml:space="preserve"> </w:t>
      </w:r>
      <w:r>
        <w:rPr>
          <w:rFonts w:ascii="Times New Roman" w:hAnsi="Times New Roman" w:eastAsia="Times New Roman" w:cs="Times New Roman"/>
          <w:spacing w:val="2"/>
        </w:rPr>
        <w:t>7.28</w:t>
      </w:r>
      <w:r>
        <w:rPr>
          <w:spacing w:val="6"/>
        </w:rPr>
        <w:t>亿立方米。地下水总储量约</w:t>
      </w:r>
      <w:r>
        <w:rPr>
          <w:spacing w:val="-31"/>
        </w:rPr>
        <w:t xml:space="preserve"> </w:t>
      </w:r>
      <w:r>
        <w:rPr>
          <w:rFonts w:ascii="Times New Roman" w:hAnsi="Times New Roman" w:eastAsia="Times New Roman" w:cs="Times New Roman"/>
          <w:spacing w:val="6"/>
        </w:rPr>
        <w:t>3.24 </w:t>
      </w:r>
      <w:r>
        <w:rPr>
          <w:spacing w:val="6"/>
        </w:rPr>
        <w:t>亿</w:t>
      </w:r>
      <w:r>
        <w:rPr>
          <w:spacing w:val="-46"/>
        </w:rPr>
        <w:t xml:space="preserve"> </w:t>
      </w:r>
      <w:r>
        <w:rPr>
          <w:rFonts w:ascii="Times New Roman" w:hAnsi="Times New Roman" w:eastAsia="Times New Roman" w:cs="Times New Roman"/>
          <w:spacing w:val="6"/>
        </w:rPr>
        <w:t>m</w:t>
      </w:r>
      <w:r>
        <w:rPr>
          <w:rFonts w:ascii="Times New Roman" w:hAnsi="Times New Roman" w:eastAsia="Times New Roman" w:cs="Times New Roman"/>
          <w:spacing w:val="6"/>
          <w:position w:val="7"/>
        </w:rPr>
        <w:t>3</w:t>
      </w:r>
      <w:r>
        <w:rPr>
          <w:rFonts w:ascii="Times New Roman" w:hAnsi="Times New Roman" w:eastAsia="Times New Roman" w:cs="Times New Roman"/>
          <w:spacing w:val="-14"/>
          <w:position w:val="7"/>
        </w:rPr>
        <w:t xml:space="preserve"> </w:t>
      </w:r>
      <w:r>
        <w:rPr>
          <w:spacing w:val="6"/>
        </w:rPr>
        <w:t>，其中</w:t>
      </w:r>
      <w:r>
        <w:rPr>
          <w:spacing w:val="7"/>
        </w:rPr>
        <w:t>有</w:t>
      </w:r>
      <w:r>
        <w:rPr>
          <w:spacing w:val="-54"/>
        </w:rPr>
        <w:t xml:space="preserve"> </w:t>
      </w:r>
      <w:r>
        <w:rPr>
          <w:rFonts w:ascii="Times New Roman" w:hAnsi="Times New Roman" w:eastAsia="Times New Roman" w:cs="Times New Roman"/>
          <w:spacing w:val="7"/>
        </w:rPr>
        <w:t>0.8</w:t>
      </w:r>
      <w:r>
        <w:rPr>
          <w:rFonts w:ascii="Times New Roman" w:hAnsi="Times New Roman" w:eastAsia="Times New Roman" w:cs="Times New Roman"/>
          <w:spacing w:val="-9"/>
        </w:rPr>
        <w:t xml:space="preserve"> </w:t>
      </w:r>
      <w:r>
        <w:rPr>
          <w:spacing w:val="7"/>
        </w:rPr>
        <w:t>亿立方米因埋藏太深或矿化度高于</w:t>
      </w:r>
      <w:r>
        <w:rPr>
          <w:spacing w:val="-49"/>
        </w:rPr>
        <w:t xml:space="preserve"> </w:t>
      </w:r>
      <w:r>
        <w:rPr>
          <w:rFonts w:ascii="Times New Roman" w:hAnsi="Times New Roman" w:eastAsia="Times New Roman" w:cs="Times New Roman"/>
          <w:spacing w:val="6"/>
        </w:rPr>
        <w:t>5 </w:t>
      </w:r>
      <w:r>
        <w:rPr>
          <w:spacing w:val="6"/>
        </w:rPr>
        <w:t>克</w:t>
      </w:r>
      <w:r>
        <w:rPr>
          <w:rFonts w:ascii="Times New Roman" w:hAnsi="Times New Roman" w:eastAsia="Times New Roman" w:cs="Times New Roman"/>
          <w:spacing w:val="6"/>
        </w:rPr>
        <w:t>/</w:t>
      </w:r>
      <w:r>
        <w:rPr>
          <w:spacing w:val="6"/>
        </w:rPr>
        <w:t>升而难以开采利用，真正能开发利用的有</w:t>
      </w:r>
      <w:r>
        <w:rPr>
          <w:spacing w:val="-33"/>
        </w:rPr>
        <w:t xml:space="preserve"> </w:t>
      </w:r>
      <w:r>
        <w:rPr>
          <w:rFonts w:ascii="Times New Roman" w:hAnsi="Times New Roman" w:eastAsia="Times New Roman" w:cs="Times New Roman"/>
          <w:spacing w:val="6"/>
        </w:rPr>
        <w:t>2.44</w:t>
      </w:r>
      <w:r>
        <w:rPr>
          <w:spacing w:val="8"/>
        </w:rPr>
        <w:t>亿</w:t>
      </w:r>
      <w:r>
        <w:rPr>
          <w:spacing w:val="-38"/>
        </w:rPr>
        <w:t xml:space="preserve"> </w:t>
      </w:r>
      <w:r>
        <w:rPr>
          <w:rFonts w:ascii="Times New Roman" w:hAnsi="Times New Roman" w:eastAsia="Times New Roman" w:cs="Times New Roman"/>
          <w:spacing w:val="8"/>
        </w:rPr>
        <w:t>m</w:t>
      </w:r>
      <w:r>
        <w:rPr>
          <w:rFonts w:ascii="Times New Roman" w:hAnsi="Times New Roman" w:eastAsia="Times New Roman" w:cs="Times New Roman"/>
          <w:spacing w:val="8"/>
          <w:position w:val="7"/>
        </w:rPr>
        <w:t>3</w:t>
      </w:r>
      <w:r>
        <w:rPr>
          <w:rFonts w:ascii="Times New Roman" w:hAnsi="Times New Roman" w:eastAsia="Times New Roman" w:cs="Times New Roman"/>
          <w:spacing w:val="-22"/>
          <w:position w:val="7"/>
        </w:rPr>
        <w:t xml:space="preserve"> </w:t>
      </w:r>
      <w:r>
        <w:rPr>
          <w:spacing w:val="8"/>
        </w:rPr>
        <w:t>。六盘山区年降水充沛</w:t>
      </w:r>
      <w:r>
        <w:rPr>
          <w:spacing w:val="-58"/>
        </w:rPr>
        <w:t xml:space="preserve"> </w:t>
      </w:r>
      <w:r>
        <w:rPr>
          <w:spacing w:val="8"/>
        </w:rPr>
        <w:t>，平均每平方公</w:t>
      </w:r>
      <w:r>
        <w:rPr>
          <w:spacing w:val="3"/>
        </w:rPr>
        <w:t>里产水</w:t>
      </w:r>
      <w:r>
        <w:rPr>
          <w:spacing w:val="-30"/>
        </w:rPr>
        <w:t xml:space="preserve"> </w:t>
      </w:r>
      <w:r>
        <w:rPr>
          <w:rFonts w:ascii="Times New Roman" w:hAnsi="Times New Roman" w:eastAsia="Times New Roman" w:cs="Times New Roman"/>
          <w:spacing w:val="3"/>
        </w:rPr>
        <w:t>20.5 </w:t>
      </w:r>
      <w:r>
        <w:rPr>
          <w:spacing w:val="3"/>
        </w:rPr>
        <w:t>万</w:t>
      </w:r>
      <w:r>
        <w:rPr>
          <w:spacing w:val="-43"/>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7"/>
        </w:rPr>
        <w:t>3</w:t>
      </w:r>
      <w:r>
        <w:rPr>
          <w:spacing w:val="3"/>
        </w:rPr>
        <w:t>，年均径流量</w:t>
      </w:r>
      <w:r>
        <w:rPr>
          <w:spacing w:val="-43"/>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25"/>
        </w:rPr>
        <w:t xml:space="preserve"> </w:t>
      </w:r>
      <w:r>
        <w:rPr>
          <w:rFonts w:ascii="Times New Roman" w:hAnsi="Times New Roman" w:eastAsia="Times New Roman" w:cs="Times New Roman"/>
          <w:spacing w:val="3"/>
        </w:rPr>
        <w:t>1 </w:t>
      </w:r>
      <w:r>
        <w:rPr>
          <w:spacing w:val="3"/>
        </w:rPr>
        <w:t>亿</w:t>
      </w:r>
      <w:r>
        <w:rPr>
          <w:spacing w:val="-46"/>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7"/>
        </w:rPr>
        <w:t>3</w:t>
      </w:r>
      <w:r>
        <w:rPr>
          <w:spacing w:val="3"/>
        </w:rPr>
        <w:t>；森</w:t>
      </w:r>
      <w:r>
        <w:rPr>
          <w:spacing w:val="8"/>
        </w:rPr>
        <w:t>林的总调蓄能力为</w:t>
      </w:r>
      <w:r>
        <w:rPr>
          <w:spacing w:val="-20"/>
        </w:rPr>
        <w:t xml:space="preserve"> </w:t>
      </w:r>
      <w:r>
        <w:rPr>
          <w:rFonts w:ascii="Times New Roman" w:hAnsi="Times New Roman" w:eastAsia="Times New Roman" w:cs="Times New Roman"/>
          <w:spacing w:val="8"/>
        </w:rPr>
        <w:t>2840 </w:t>
      </w:r>
      <w:r>
        <w:rPr>
          <w:spacing w:val="8"/>
        </w:rPr>
        <w:t>万吨</w:t>
      </w:r>
      <w:r>
        <w:rPr>
          <w:spacing w:val="-59"/>
        </w:rPr>
        <w:t xml:space="preserve"> </w:t>
      </w:r>
      <w:r>
        <w:rPr>
          <w:spacing w:val="8"/>
        </w:rPr>
        <w:t>，相当于径流总</w:t>
      </w:r>
      <w:r>
        <w:rPr>
          <w:spacing w:val="7"/>
        </w:rPr>
        <w:t>量的</w:t>
      </w:r>
      <w:r>
        <w:rPr>
          <w:spacing w:val="-32"/>
        </w:rPr>
        <w:t xml:space="preserve"> </w:t>
      </w:r>
      <w:r>
        <w:rPr>
          <w:rFonts w:ascii="Times New Roman" w:hAnsi="Times New Roman" w:eastAsia="Times New Roman" w:cs="Times New Roman"/>
          <w:spacing w:val="7"/>
        </w:rPr>
        <w:t>3.5%</w:t>
      </w:r>
      <w:r>
        <w:rPr>
          <w:rFonts w:ascii="Times New Roman" w:hAnsi="Times New Roman" w:eastAsia="Times New Roman" w:cs="Times New Roman"/>
          <w:spacing w:val="-7"/>
        </w:rPr>
        <w:t xml:space="preserve"> </w:t>
      </w:r>
      <w:r>
        <w:rPr>
          <w:spacing w:val="7"/>
        </w:rPr>
        <w:t>，地下径流量的</w:t>
      </w:r>
      <w:r>
        <w:rPr>
          <w:spacing w:val="-39"/>
        </w:rPr>
        <w:t xml:space="preserve"> </w:t>
      </w:r>
      <w:r>
        <w:rPr>
          <w:rFonts w:ascii="Times New Roman" w:hAnsi="Times New Roman" w:eastAsia="Times New Roman" w:cs="Times New Roman"/>
          <w:spacing w:val="7"/>
        </w:rPr>
        <w:t>20%</w:t>
      </w:r>
      <w:r>
        <w:rPr>
          <w:rFonts w:ascii="Times New Roman" w:hAnsi="Times New Roman" w:eastAsia="Times New Roman" w:cs="Times New Roman"/>
          <w:spacing w:val="-7"/>
        </w:rPr>
        <w:t xml:space="preserve"> </w:t>
      </w:r>
      <w:r>
        <w:rPr>
          <w:spacing w:val="7"/>
        </w:rPr>
        <w:t>，是宁夏水资</w:t>
      </w:r>
      <w:r>
        <w:rPr>
          <w:spacing w:val="8"/>
        </w:rPr>
        <w:t>源最丰富的地区，被誉为</w:t>
      </w:r>
      <w:r>
        <w:rPr>
          <w:rFonts w:ascii="Times New Roman" w:hAnsi="Times New Roman" w:eastAsia="Times New Roman" w:cs="Times New Roman"/>
          <w:spacing w:val="8"/>
        </w:rPr>
        <w:t>“</w:t>
      </w:r>
      <w:r>
        <w:rPr>
          <w:spacing w:val="8"/>
        </w:rPr>
        <w:t>天然水塔</w:t>
      </w:r>
      <w:r>
        <w:rPr>
          <w:rFonts w:ascii="Times New Roman" w:hAnsi="Times New Roman" w:eastAsia="Times New Roman" w:cs="Times New Roman"/>
          <w:spacing w:val="8"/>
        </w:rPr>
        <w:t>”</w:t>
      </w:r>
      <w:r>
        <w:rPr>
          <w:spacing w:val="8"/>
        </w:rPr>
        <w:t>。</w:t>
      </w:r>
    </w:p>
    <w:p>
      <w:pPr>
        <w:pStyle w:val="BodyText"/>
        <w:ind w:left="2" w:right="48" w:firstLine="421"/>
        <w:spacing w:before="22" w:line="370" w:lineRule="auto"/>
        <w:jc w:val="both"/>
        <w:rPr/>
      </w:pPr>
      <w:r>
        <w:rPr>
          <w:spacing w:val="6"/>
        </w:rPr>
        <w:t>全年总体降雨与蒸发情况：固原市中心城</w:t>
      </w:r>
      <w:r>
        <w:rPr>
          <w:spacing w:val="7"/>
        </w:rPr>
        <w:t>区属于清水河流域，降水年内分配不均，降水</w:t>
      </w:r>
      <w:r>
        <w:rPr>
          <w:spacing w:val="4"/>
        </w:rPr>
        <w:t>主要集中在</w:t>
      </w:r>
      <w:r>
        <w:rPr>
          <w:spacing w:val="-34"/>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21"/>
        </w:rPr>
        <w:t xml:space="preserve"> </w:t>
      </w:r>
      <w:r>
        <w:rPr>
          <w:spacing w:val="4"/>
        </w:rPr>
        <w:t>、</w:t>
      </w:r>
      <w:r>
        <w:rPr>
          <w:rFonts w:ascii="Times New Roman" w:hAnsi="Times New Roman" w:eastAsia="Times New Roman" w:cs="Times New Roman"/>
          <w:spacing w:val="4"/>
        </w:rPr>
        <w:t>8</w:t>
      </w:r>
      <w:r>
        <w:rPr>
          <w:rFonts w:ascii="Times New Roman" w:hAnsi="Times New Roman" w:eastAsia="Times New Roman" w:cs="Times New Roman"/>
          <w:spacing w:val="-28"/>
        </w:rPr>
        <w:t xml:space="preserve"> </w:t>
      </w:r>
      <w:r>
        <w:rPr>
          <w:spacing w:val="4"/>
        </w:rPr>
        <w:t>、</w:t>
      </w:r>
      <w:r>
        <w:rPr>
          <w:rFonts w:ascii="Times New Roman" w:hAnsi="Times New Roman" w:eastAsia="Times New Roman" w:cs="Times New Roman"/>
          <w:spacing w:val="4"/>
        </w:rPr>
        <w:t>9 </w:t>
      </w:r>
      <w:r>
        <w:rPr>
          <w:spacing w:val="4"/>
        </w:rPr>
        <w:t>三个月，连续最大四个月</w:t>
      </w:r>
      <w:r>
        <w:rPr>
          <w:spacing w:val="-1"/>
        </w:rPr>
        <w:t>降水量均出现在</w:t>
      </w:r>
      <w:r>
        <w:rPr>
          <w:spacing w:val="-50"/>
        </w:rPr>
        <w:t xml:space="preserve"> </w:t>
      </w:r>
      <w:r>
        <w:rPr>
          <w:rFonts w:ascii="Times New Roman" w:hAnsi="Times New Roman" w:eastAsia="Times New Roman" w:cs="Times New Roman"/>
          <w:spacing w:val="-1"/>
        </w:rPr>
        <w:t>6-9 </w:t>
      </w:r>
      <w:r>
        <w:rPr>
          <w:spacing w:val="-1"/>
        </w:rPr>
        <w:t>月，其量占年降水量的</w:t>
      </w:r>
      <w:r>
        <w:rPr>
          <w:spacing w:val="-52"/>
        </w:rPr>
        <w:t xml:space="preserve"> </w:t>
      </w:r>
      <w:r>
        <w:rPr>
          <w:rFonts w:ascii="Times New Roman" w:hAnsi="Times New Roman" w:eastAsia="Times New Roman" w:cs="Times New Roman"/>
          <w:spacing w:val="-1"/>
        </w:rPr>
        <w:t>7</w:t>
      </w:r>
      <w:r>
        <w:rPr>
          <w:rFonts w:ascii="Times New Roman" w:hAnsi="Times New Roman" w:eastAsia="Times New Roman" w:cs="Times New Roman"/>
          <w:spacing w:val="-2"/>
        </w:rPr>
        <w:t>0%</w:t>
      </w:r>
      <w:r>
        <w:rPr>
          <w:spacing w:val="-2"/>
        </w:rPr>
        <w:t>左右，最大降水量出现在</w:t>
      </w:r>
      <w:r>
        <w:rPr>
          <w:spacing w:val="-52"/>
        </w:rPr>
        <w:t xml:space="preserve"> </w:t>
      </w:r>
      <w:r>
        <w:rPr>
          <w:rFonts w:ascii="Times New Roman" w:hAnsi="Times New Roman" w:eastAsia="Times New Roman" w:cs="Times New Roman"/>
          <w:spacing w:val="-2"/>
        </w:rPr>
        <w:t>7 </w:t>
      </w:r>
      <w:r>
        <w:rPr>
          <w:spacing w:val="-2"/>
        </w:rPr>
        <w:t>月或</w:t>
      </w:r>
      <w:r>
        <w:rPr>
          <w:spacing w:val="-46"/>
        </w:rPr>
        <w:t xml:space="preserve"> </w:t>
      </w:r>
      <w:r>
        <w:rPr>
          <w:rFonts w:ascii="Times New Roman" w:hAnsi="Times New Roman" w:eastAsia="Times New Roman" w:cs="Times New Roman"/>
          <w:spacing w:val="-2"/>
        </w:rPr>
        <w:t>8 </w:t>
      </w:r>
      <w:r>
        <w:rPr>
          <w:spacing w:val="-2"/>
        </w:rPr>
        <w:t>月，</w:t>
      </w:r>
      <w:r>
        <w:rPr>
          <w:spacing w:val="-3"/>
        </w:rPr>
        <w:t>以</w:t>
      </w:r>
      <w:r>
        <w:rPr>
          <w:spacing w:val="-44"/>
        </w:rPr>
        <w:t xml:space="preserve"> </w:t>
      </w:r>
      <w:r>
        <w:rPr>
          <w:rFonts w:ascii="Times New Roman" w:hAnsi="Times New Roman" w:eastAsia="Times New Roman" w:cs="Times New Roman"/>
          <w:spacing w:val="-3"/>
        </w:rPr>
        <w:t>8 </w:t>
      </w:r>
      <w:r>
        <w:rPr>
          <w:spacing w:val="-3"/>
        </w:rPr>
        <w:t>月出</w:t>
      </w:r>
      <w:r>
        <w:rPr>
          <w:spacing w:val="-1"/>
        </w:rPr>
        <w:t>现次数居多，最小月降水量出现在</w:t>
      </w:r>
      <w:r>
        <w:rPr>
          <w:spacing w:val="-26"/>
        </w:rPr>
        <w:t xml:space="preserve"> </w:t>
      </w:r>
      <w:r>
        <w:rPr>
          <w:rFonts w:ascii="Times New Roman" w:hAnsi="Times New Roman" w:eastAsia="Times New Roman" w:cs="Times New Roman"/>
          <w:spacing w:val="-1"/>
        </w:rPr>
        <w:t>12 </w:t>
      </w:r>
      <w:r>
        <w:rPr>
          <w:spacing w:val="-1"/>
        </w:rPr>
        <w:t>月。</w:t>
      </w:r>
    </w:p>
    <w:p>
      <w:pPr>
        <w:pStyle w:val="BodyText"/>
        <w:ind w:right="52" w:firstLine="426"/>
        <w:spacing w:before="6" w:line="361" w:lineRule="auto"/>
        <w:jc w:val="both"/>
        <w:rPr/>
      </w:pPr>
      <w:r>
        <w:rPr>
          <w:spacing w:val="10"/>
        </w:rPr>
        <w:t>清水河流域多年平均降水量</w:t>
      </w:r>
      <w:r>
        <w:rPr>
          <w:spacing w:val="-21"/>
        </w:rPr>
        <w:t xml:space="preserve"> </w:t>
      </w:r>
      <w:r>
        <w:rPr>
          <w:rFonts w:ascii="Times New Roman" w:hAnsi="Times New Roman" w:eastAsia="Times New Roman" w:cs="Times New Roman"/>
          <w:spacing w:val="10"/>
        </w:rPr>
        <w:t>466</w:t>
      </w:r>
      <w:r>
        <w:rPr>
          <w:rFonts w:ascii="Times New Roman" w:hAnsi="Times New Roman" w:eastAsia="Times New Roman" w:cs="Times New Roman"/>
        </w:rPr>
        <w:t>mm</w:t>
      </w:r>
      <w:r>
        <w:rPr>
          <w:rFonts w:ascii="Times New Roman" w:hAnsi="Times New Roman" w:eastAsia="Times New Roman" w:cs="Times New Roman"/>
          <w:spacing w:val="10"/>
        </w:rPr>
        <w:t xml:space="preserve"> </w:t>
      </w:r>
      <w:r>
        <w:rPr>
          <w:spacing w:val="10"/>
        </w:rPr>
        <w:t>，多</w:t>
      </w:r>
      <w:r>
        <w:rPr>
          <w:spacing w:val="2"/>
        </w:rPr>
        <w:t>年平均水面蒸发量为</w:t>
      </w:r>
      <w:r>
        <w:rPr>
          <w:spacing w:val="-16"/>
        </w:rPr>
        <w:t xml:space="preserve"> </w:t>
      </w:r>
      <w:r>
        <w:rPr>
          <w:rFonts w:ascii="Times New Roman" w:hAnsi="Times New Roman" w:eastAsia="Times New Roman" w:cs="Times New Roman"/>
          <w:spacing w:val="2"/>
        </w:rPr>
        <w:t>1471</w:t>
      </w:r>
      <w:r>
        <w:rPr>
          <w:rFonts w:ascii="Times New Roman" w:hAnsi="Times New Roman" w:eastAsia="Times New Roman" w:cs="Times New Roman"/>
        </w:rPr>
        <w:t>mm</w:t>
      </w:r>
      <w:r>
        <w:rPr>
          <w:spacing w:val="2"/>
        </w:rPr>
        <w:t>，年蒸发量</w:t>
      </w:r>
      <w:r>
        <w:rPr>
          <w:spacing w:val="-41"/>
        </w:rPr>
        <w:t xml:space="preserve"> </w:t>
      </w:r>
      <w:r>
        <w:rPr>
          <w:rFonts w:ascii="Times New Roman" w:hAnsi="Times New Roman" w:eastAsia="Times New Roman" w:cs="Times New Roman"/>
          <w:spacing w:val="2"/>
        </w:rPr>
        <w:t>30.25</w:t>
      </w:r>
      <w:r>
        <w:rPr>
          <w:spacing w:val="9"/>
        </w:rPr>
        <w:t>亿</w:t>
      </w:r>
      <w:r>
        <w:rPr>
          <w:spacing w:val="-29"/>
        </w:rPr>
        <w:t xml:space="preserve"> </w:t>
      </w:r>
      <w:r>
        <w:rPr>
          <w:rFonts w:ascii="Times New Roman" w:hAnsi="Times New Roman" w:eastAsia="Times New Roman" w:cs="Times New Roman"/>
          <w:spacing w:val="9"/>
        </w:rPr>
        <w:t>m</w:t>
      </w:r>
      <w:r>
        <w:rPr>
          <w:rFonts w:ascii="Times New Roman" w:hAnsi="Times New Roman" w:eastAsia="Times New Roman" w:cs="Times New Roman"/>
          <w:spacing w:val="9"/>
          <w:position w:val="7"/>
        </w:rPr>
        <w:t>3</w:t>
      </w:r>
      <w:r>
        <w:rPr>
          <w:rFonts w:ascii="Times New Roman" w:hAnsi="Times New Roman" w:eastAsia="Times New Roman" w:cs="Times New Roman"/>
          <w:spacing w:val="-10"/>
          <w:position w:val="7"/>
        </w:rPr>
        <w:t xml:space="preserve"> </w:t>
      </w:r>
      <w:r>
        <w:rPr>
          <w:spacing w:val="9"/>
        </w:rPr>
        <w:t>，蒸发量始终高于降雨量。清水河流域</w:t>
      </w:r>
      <w:r>
        <w:rPr>
          <w:spacing w:val="7"/>
        </w:rPr>
        <w:t>地表径流主要来源于大气降水，径流的空间分</w:t>
      </w:r>
      <w:r>
        <w:rPr>
          <w:spacing w:val="7"/>
        </w:rPr>
        <w:t>布趋势与降水大体一致，由南向北逐渐减小，</w:t>
      </w:r>
      <w:r>
        <w:rPr>
          <w:spacing w:val="6"/>
        </w:rPr>
        <w:t>变化幅度相差较大</w:t>
      </w:r>
      <w:r>
        <w:rPr>
          <w:spacing w:val="-43"/>
        </w:rPr>
        <w:t xml:space="preserve"> </w:t>
      </w:r>
      <w:r>
        <w:rPr>
          <w:spacing w:val="6"/>
        </w:rPr>
        <w:t>，在</w:t>
      </w:r>
      <w:r>
        <w:rPr>
          <w:spacing w:val="-18"/>
        </w:rPr>
        <w:t xml:space="preserve"> </w:t>
      </w:r>
      <w:r>
        <w:rPr>
          <w:rFonts w:ascii="Times New Roman" w:hAnsi="Times New Roman" w:eastAsia="Times New Roman" w:cs="Times New Roman"/>
          <w:spacing w:val="6"/>
        </w:rPr>
        <w:t>100</w:t>
      </w:r>
      <w:r>
        <w:rPr>
          <w:rFonts w:ascii="Times New Roman" w:hAnsi="Times New Roman" w:eastAsia="Times New Roman" w:cs="Times New Roman"/>
        </w:rPr>
        <w:t>mm</w:t>
      </w:r>
      <w:r>
        <w:rPr>
          <w:rFonts w:ascii="Times New Roman" w:hAnsi="Times New Roman" w:eastAsia="Times New Roman" w:cs="Times New Roman"/>
          <w:spacing w:val="6"/>
        </w:rPr>
        <w:t>-20</w:t>
      </w:r>
      <w:r>
        <w:rPr>
          <w:rFonts w:ascii="Times New Roman" w:hAnsi="Times New Roman" w:eastAsia="Times New Roman" w:cs="Times New Roman"/>
        </w:rPr>
        <w:t>mm</w:t>
      </w:r>
      <w:r>
        <w:rPr>
          <w:rFonts w:ascii="Times New Roman" w:hAnsi="Times New Roman" w:eastAsia="Times New Roman" w:cs="Times New Roman"/>
          <w:spacing w:val="18"/>
        </w:rPr>
        <w:t xml:space="preserve"> </w:t>
      </w:r>
      <w:r>
        <w:rPr>
          <w:spacing w:val="6"/>
        </w:rPr>
        <w:t>之间</w:t>
      </w:r>
      <w:r>
        <w:rPr>
          <w:spacing w:val="-57"/>
        </w:rPr>
        <w:t xml:space="preserve"> </w:t>
      </w:r>
      <w:r>
        <w:rPr>
          <w:spacing w:val="6"/>
        </w:rPr>
        <w:t>，</w:t>
      </w:r>
      <w:r>
        <w:rPr>
          <w:spacing w:val="6"/>
        </w:rPr>
        <w:t>相差</w:t>
      </w:r>
      <w:r>
        <w:rPr>
          <w:spacing w:val="-15"/>
        </w:rPr>
        <w:t xml:space="preserve"> </w:t>
      </w:r>
      <w:r>
        <w:rPr>
          <w:rFonts w:ascii="Times New Roman" w:hAnsi="Times New Roman" w:eastAsia="Times New Roman" w:cs="Times New Roman"/>
          <w:spacing w:val="6"/>
        </w:rPr>
        <w:t>80</w:t>
      </w:r>
      <w:r>
        <w:rPr>
          <w:rFonts w:ascii="Times New Roman" w:hAnsi="Times New Roman" w:eastAsia="Times New Roman" w:cs="Times New Roman"/>
        </w:rPr>
        <w:t>mm</w:t>
      </w:r>
      <w:r>
        <w:rPr>
          <w:rFonts w:ascii="Times New Roman" w:hAnsi="Times New Roman" w:eastAsia="Times New Roman" w:cs="Times New Roman"/>
          <w:spacing w:val="6"/>
        </w:rPr>
        <w:t xml:space="preserve"> </w:t>
      </w:r>
      <w:r>
        <w:rPr>
          <w:spacing w:val="6"/>
        </w:rPr>
        <w:t>，平均径流深</w:t>
      </w:r>
      <w:r>
        <w:rPr>
          <w:spacing w:val="-32"/>
        </w:rPr>
        <w:t xml:space="preserve"> </w:t>
      </w:r>
      <w:r>
        <w:rPr>
          <w:rFonts w:ascii="Times New Roman" w:hAnsi="Times New Roman" w:eastAsia="Times New Roman" w:cs="Times New Roman"/>
          <w:spacing w:val="6"/>
        </w:rPr>
        <w:t>35.3</w:t>
      </w:r>
      <w:r>
        <w:rPr>
          <w:rFonts w:ascii="Times New Roman" w:hAnsi="Times New Roman" w:eastAsia="Times New Roman" w:cs="Times New Roman"/>
        </w:rPr>
        <w:t>mm</w:t>
      </w:r>
      <w:r>
        <w:rPr>
          <w:rFonts w:ascii="Times New Roman" w:hAnsi="Times New Roman" w:eastAsia="Times New Roman" w:cs="Times New Roman"/>
          <w:spacing w:val="6"/>
        </w:rPr>
        <w:t xml:space="preserve"> </w:t>
      </w:r>
      <w:r>
        <w:rPr>
          <w:spacing w:val="6"/>
        </w:rPr>
        <w:t>，年径流系</w:t>
      </w:r>
      <w:r>
        <w:rPr>
          <w:spacing w:val="3"/>
        </w:rPr>
        <w:t>数</w:t>
      </w:r>
      <w:r>
        <w:rPr>
          <w:spacing w:val="-40"/>
        </w:rPr>
        <w:t xml:space="preserve"> </w:t>
      </w:r>
      <w:r>
        <w:rPr>
          <w:rFonts w:ascii="Times New Roman" w:hAnsi="Times New Roman" w:eastAsia="Times New Roman" w:cs="Times New Roman"/>
          <w:spacing w:val="3"/>
        </w:rPr>
        <w:t>0.09</w:t>
      </w:r>
      <w:r>
        <w:rPr>
          <w:spacing w:val="3"/>
        </w:rPr>
        <w:t>。</w:t>
      </w:r>
    </w:p>
    <w:p>
      <w:pPr>
        <w:pStyle w:val="BodyText"/>
        <w:ind w:left="2" w:right="59" w:firstLine="412"/>
        <w:spacing w:before="7" w:line="296"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）暴雨强度公式。历史上固原市未制</w:t>
      </w:r>
      <w:r>
        <w:rPr>
          <w:spacing w:val="7"/>
        </w:rPr>
        <w:t>定本市暴雨强度公式，《固原市城市总体规划</w:t>
      </w:r>
    </w:p>
    <w:p>
      <w:pPr>
        <w:spacing w:line="296" w:lineRule="auto"/>
        <w:sectPr>
          <w:type w:val="continuous"/>
          <w:pgSz w:w="11906" w:h="16839"/>
          <w:pgMar w:top="1974" w:right="1530" w:bottom="1574" w:left="1579" w:header="1634" w:footer="1172" w:gutter="0"/>
          <w:cols w:equalWidth="0" w:num="2">
            <w:col w:w="4487" w:space="100"/>
            <w:col w:w="4209" w:space="0"/>
          </w:cols>
        </w:sectPr>
        <w:rPr/>
      </w:pPr>
    </w:p>
    <w:p>
      <w:pPr>
        <w:spacing w:before="62"/>
        <w:rPr/>
      </w:pPr>
      <w:r>
        <w:drawing>
          <wp:anchor distT="0" distB="0" distL="0" distR="0" simplePos="0" relativeHeight="254600192"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382" name="IM 2382"/>
            <wp:cNvGraphicFramePr/>
            <a:graphic>
              <a:graphicData uri="http://schemas.openxmlformats.org/drawingml/2006/picture">
                <pic:pic>
                  <pic:nvPicPr>
                    <pic:cNvPr id="2382" name="IM 2382"/>
                    <pic:cNvPicPr/>
                  </pic:nvPicPr>
                  <pic:blipFill>
                    <a:blip r:embed="rId1196"/>
                    <a:stretch>
                      <a:fillRect/>
                    </a:stretch>
                  </pic:blipFill>
                  <pic:spPr>
                    <a:xfrm rot="0">
                      <a:off x="0" y="0"/>
                      <a:ext cx="5579745" cy="7620"/>
                    </a:xfrm>
                    <a:prstGeom prst="rect">
                      <a:avLst/>
                    </a:prstGeom>
                  </pic:spPr>
                </pic:pic>
              </a:graphicData>
            </a:graphic>
          </wp:anchor>
        </w:drawing>
      </w:r>
      <w:r/>
    </w:p>
    <w:p>
      <w:pPr>
        <w:sectPr>
          <w:headerReference w:type="default" r:id="rId1194"/>
          <w:footerReference w:type="default" r:id="rId1195"/>
          <w:pgSz w:w="11906" w:h="16839"/>
          <w:pgMar w:top="1772" w:right="1278" w:bottom="1572" w:left="1380" w:header="1428" w:footer="1172" w:gutter="0"/>
          <w:cols w:equalWidth="0" w:num="1">
            <w:col w:w="9248" w:space="0"/>
          </w:cols>
        </w:sectPr>
        <w:rPr/>
      </w:pPr>
    </w:p>
    <w:p>
      <w:pPr>
        <w:pStyle w:val="BodyText"/>
        <w:ind w:left="211" w:right="324" w:hanging="7"/>
        <w:spacing w:before="46" w:line="348" w:lineRule="auto"/>
        <w:jc w:val="both"/>
        <w:rPr/>
      </w:pPr>
      <w:r>
        <w:rPr>
          <w:spacing w:val="-6"/>
        </w:rPr>
        <w:t>（</w:t>
      </w:r>
      <w:r>
        <w:rPr>
          <w:rFonts w:ascii="Times New Roman" w:hAnsi="Times New Roman" w:eastAsia="Times New Roman" w:cs="Times New Roman"/>
          <w:spacing w:val="-6"/>
        </w:rPr>
        <w:t>2011-2030 </w:t>
      </w:r>
      <w:r>
        <w:rPr>
          <w:spacing w:val="-6"/>
        </w:rPr>
        <w:t>）》、《固原市海绵城市建设专项规</w:t>
      </w:r>
      <w:r>
        <w:rPr/>
        <w:t>划（</w:t>
      </w:r>
      <w:r>
        <w:rPr>
          <w:rFonts w:ascii="Times New Roman" w:hAnsi="Times New Roman" w:eastAsia="Times New Roman" w:cs="Times New Roman"/>
        </w:rPr>
        <w:t>2016-2030</w:t>
      </w:r>
      <w:r>
        <w:rPr>
          <w:rFonts w:ascii="Times New Roman" w:hAnsi="Times New Roman" w:eastAsia="Times New Roman" w:cs="Times New Roman"/>
          <w:spacing w:val="-19"/>
        </w:rPr>
        <w:t xml:space="preserve"> </w:t>
      </w:r>
      <w:r>
        <w:rPr/>
        <w:t>）》（</w:t>
      </w:r>
      <w:r>
        <w:rPr>
          <w:rFonts w:ascii="Times New Roman" w:hAnsi="Times New Roman" w:eastAsia="Times New Roman" w:cs="Times New Roman"/>
        </w:rPr>
        <w:t>2016 </w:t>
      </w:r>
      <w:r>
        <w:rPr/>
        <w:t>年深化版）引</w:t>
      </w:r>
      <w:r>
        <w:rPr>
          <w:spacing w:val="-1"/>
        </w:rPr>
        <w:t>用的是</w:t>
      </w:r>
      <w:r>
        <w:rPr>
          <w:spacing w:val="7"/>
        </w:rPr>
        <w:t>银川市暴雨强度公式，《固原城市供排水及道</w:t>
      </w:r>
      <w:r>
        <w:rPr>
          <w:spacing w:val="7"/>
        </w:rPr>
        <w:t>路交通专项规划》引用的是平凉市暴雨强度公</w:t>
      </w:r>
      <w:r>
        <w:rPr>
          <w:spacing w:val="7"/>
        </w:rPr>
        <w:t>式；目前，固原市正在组织编制固原市中心城</w:t>
      </w:r>
      <w:r>
        <w:rPr>
          <w:spacing w:val="9"/>
        </w:rPr>
        <w:t>区暴雨强度公式，已有初稿，待审定。</w:t>
      </w:r>
    </w:p>
    <w:p>
      <w:pPr>
        <w:spacing w:line="6815" w:lineRule="exact"/>
        <w:rPr/>
      </w:pPr>
      <w:r>
        <w:rPr>
          <w:position w:val="-136"/>
        </w:rPr>
        <w:drawing>
          <wp:inline distT="0" distB="0" distL="0" distR="0">
            <wp:extent cx="2866644" cy="4328159"/>
            <wp:effectExtent l="0" t="0" r="0" b="0"/>
            <wp:docPr id="2384" name="IM 2384"/>
            <wp:cNvGraphicFramePr/>
            <a:graphic>
              <a:graphicData uri="http://schemas.openxmlformats.org/drawingml/2006/picture">
                <pic:pic>
                  <pic:nvPicPr>
                    <pic:cNvPr id="2384" name="IM 2384"/>
                    <pic:cNvPicPr/>
                  </pic:nvPicPr>
                  <pic:blipFill>
                    <a:blip r:embed="rId1197"/>
                    <a:stretch>
                      <a:fillRect/>
                    </a:stretch>
                  </pic:blipFill>
                  <pic:spPr>
                    <a:xfrm rot="0">
                      <a:off x="0" y="0"/>
                      <a:ext cx="2866644" cy="4328159"/>
                    </a:xfrm>
                    <a:prstGeom prst="rect">
                      <a:avLst/>
                    </a:prstGeom>
                  </pic:spPr>
                </pic:pic>
              </a:graphicData>
            </a:graphic>
          </wp:inline>
        </w:drawing>
      </w:r>
    </w:p>
    <w:p>
      <w:pPr>
        <w:pStyle w:val="BodyText"/>
        <w:ind w:left="212" w:right="322" w:firstLine="441"/>
        <w:spacing w:before="183" w:line="415" w:lineRule="auto"/>
        <w:jc w:val="both"/>
        <w:rPr/>
      </w:pPr>
      <w:r>
        <w:rPr>
          <w:spacing w:val="5"/>
        </w:rPr>
        <w:t>固原暴雨强度公式目前尚未审定，考虑到</w:t>
      </w:r>
      <w:r>
        <w:rPr>
          <w:spacing w:val="7"/>
        </w:rPr>
        <w:t>固原公式对应的降雨量大于平凉公式，模型模</w:t>
      </w:r>
      <w:r>
        <w:rPr>
          <w:spacing w:val="7"/>
        </w:rPr>
        <w:t>拟时从偏安全角度选择固原公式；由于固原公</w:t>
      </w:r>
      <w:r>
        <w:rPr>
          <w:spacing w:val="6"/>
        </w:rPr>
        <w:t>式适用范围是</w:t>
      </w:r>
      <w:r>
        <w:rPr>
          <w:spacing w:val="-40"/>
        </w:rPr>
        <w:t xml:space="preserve"> </w:t>
      </w:r>
      <w:r>
        <w:rPr>
          <w:rFonts w:ascii="Times New Roman" w:hAnsi="Times New Roman" w:eastAsia="Times New Roman" w:cs="Times New Roman"/>
          <w:spacing w:val="6"/>
        </w:rPr>
        <w:t>0.25a-10a</w:t>
      </w:r>
      <w:r>
        <w:rPr>
          <w:spacing w:val="6"/>
        </w:rPr>
        <w:t>，</w:t>
      </w:r>
      <w:r>
        <w:rPr>
          <w:rFonts w:ascii="Times New Roman" w:hAnsi="Times New Roman" w:eastAsia="Times New Roman" w:cs="Times New Roman"/>
          <w:spacing w:val="6"/>
        </w:rPr>
        <w:t>30a </w:t>
      </w:r>
      <w:r>
        <w:rPr>
          <w:spacing w:val="6"/>
        </w:rPr>
        <w:t>重</w:t>
      </w:r>
      <w:r>
        <w:rPr>
          <w:spacing w:val="5"/>
        </w:rPr>
        <w:t>现期降雨情景</w:t>
      </w:r>
      <w:r>
        <w:rPr>
          <w:spacing w:val="7"/>
        </w:rPr>
        <w:t>采用平凉公式。</w:t>
      </w:r>
    </w:p>
    <w:p>
      <w:pPr>
        <w:pStyle w:val="BodyText"/>
        <w:ind w:left="212" w:right="324" w:firstLine="411"/>
        <w:spacing w:before="3" w:line="340" w:lineRule="auto"/>
        <w:jc w:val="both"/>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）短历时暴雨雨型。将各降雨历时的</w:t>
      </w:r>
      <w:r>
        <w:rPr>
          <w:spacing w:val="9"/>
        </w:rPr>
        <w:t>逐年最大降雨过程样本</w:t>
      </w:r>
      <w:r>
        <w:rPr>
          <w:spacing w:val="-58"/>
        </w:rPr>
        <w:t xml:space="preserve"> </w:t>
      </w:r>
      <w:r>
        <w:rPr>
          <w:spacing w:val="9"/>
        </w:rPr>
        <w:t>，以</w:t>
      </w:r>
      <w:r>
        <w:rPr>
          <w:spacing w:val="-35"/>
        </w:rPr>
        <w:t xml:space="preserve"> </w:t>
      </w:r>
      <w:r>
        <w:rPr>
          <w:rFonts w:ascii="Times New Roman" w:hAnsi="Times New Roman" w:eastAsia="Times New Roman" w:cs="Times New Roman"/>
          <w:spacing w:val="9"/>
        </w:rPr>
        <w:t>5</w:t>
      </w:r>
      <w:r>
        <w:rPr>
          <w:rFonts w:ascii="Times New Roman" w:hAnsi="Times New Roman" w:eastAsia="Times New Roman" w:cs="Times New Roman"/>
        </w:rPr>
        <w:t>min</w:t>
      </w:r>
      <w:r>
        <w:rPr>
          <w:rFonts w:ascii="Times New Roman" w:hAnsi="Times New Roman" w:eastAsia="Times New Roman" w:cs="Times New Roman"/>
          <w:spacing w:val="16"/>
          <w:w w:val="101"/>
        </w:rPr>
        <w:t xml:space="preserve"> </w:t>
      </w:r>
      <w:r>
        <w:rPr>
          <w:spacing w:val="9"/>
        </w:rPr>
        <w:t>为间隔进行</w:t>
      </w:r>
      <w:r>
        <w:rPr>
          <w:spacing w:val="7"/>
        </w:rPr>
        <w:t>分段，统计降雨过程的雨峰位置系数，再将历</w:t>
      </w:r>
    </w:p>
    <w:p>
      <w:pPr>
        <w:spacing w:line="14" w:lineRule="auto"/>
        <w:rPr>
          <w:rFonts w:ascii="Arial"/>
          <w:sz w:val="2"/>
        </w:rPr>
      </w:pPr>
      <w:r>
        <w:rPr>
          <w:rFonts w:ascii="Arial" w:hAnsi="Arial" w:eastAsia="Arial" w:cs="Arial"/>
          <w:sz w:val="2"/>
          <w:szCs w:val="2"/>
        </w:rPr>
        <w:br w:type="column"/>
      </w:r>
    </w:p>
    <w:p>
      <w:pPr>
        <w:pStyle w:val="BodyText"/>
        <w:ind w:left="3" w:right="308" w:firstLine="11"/>
        <w:spacing w:before="91" w:line="387" w:lineRule="auto"/>
        <w:jc w:val="both"/>
        <w:rPr/>
      </w:pPr>
      <w:r>
        <w:rPr>
          <w:spacing w:val="17"/>
        </w:rPr>
        <w:t>时相同的逐年最大降雨样本的雨峰位置系数</w:t>
      </w:r>
      <w:r>
        <w:rPr>
          <w:spacing w:val="7"/>
        </w:rPr>
        <w:t>进行算术平均，最后将各历时的雨峰位置系数</w:t>
      </w:r>
      <w:r>
        <w:rPr>
          <w:spacing w:val="7"/>
        </w:rPr>
        <w:t>按照各历时的长度进行加权平均，求出综合雨</w:t>
      </w:r>
      <w:r>
        <w:rPr>
          <w:spacing w:val="18"/>
        </w:rPr>
        <w:t>峰位置系数</w:t>
      </w:r>
      <w:r>
        <w:rPr>
          <w:spacing w:val="-17"/>
        </w:rPr>
        <w:t xml:space="preserve"> </w:t>
      </w:r>
      <w:r>
        <w:rPr>
          <w:rFonts w:ascii="Times New Roman" w:hAnsi="Times New Roman" w:eastAsia="Times New Roman" w:cs="Times New Roman"/>
          <w:spacing w:val="18"/>
        </w:rPr>
        <w:t>r</w:t>
      </w:r>
      <w:r>
        <w:rPr>
          <w:rFonts w:ascii="Times New Roman" w:hAnsi="Times New Roman" w:eastAsia="Times New Roman" w:cs="Times New Roman"/>
          <w:spacing w:val="-10"/>
        </w:rPr>
        <w:t xml:space="preserve"> </w:t>
      </w:r>
      <w:r>
        <w:rPr>
          <w:spacing w:val="18"/>
        </w:rPr>
        <w:t>。得出固原雨型雨峰系数</w:t>
      </w:r>
      <w:r>
        <w:rPr>
          <w:spacing w:val="-29"/>
        </w:rPr>
        <w:t xml:space="preserve"> </w:t>
      </w:r>
      <w:r>
        <w:rPr>
          <w:rFonts w:ascii="Times New Roman" w:hAnsi="Times New Roman" w:eastAsia="Times New Roman" w:cs="Times New Roman"/>
          <w:spacing w:val="18"/>
        </w:rPr>
        <w:t>r</w:t>
      </w:r>
      <w:r>
        <w:rPr>
          <w:rFonts w:ascii="Times New Roman" w:hAnsi="Times New Roman" w:eastAsia="Times New Roman" w:cs="Times New Roman"/>
          <w:spacing w:val="28"/>
          <w:w w:val="101"/>
        </w:rPr>
        <w:t xml:space="preserve"> </w:t>
      </w:r>
      <w:r>
        <w:rPr>
          <w:spacing w:val="18"/>
        </w:rPr>
        <w:t>为</w:t>
      </w:r>
      <w:r>
        <w:rPr>
          <w:rFonts w:ascii="Times New Roman" w:hAnsi="Times New Roman" w:eastAsia="Times New Roman" w:cs="Times New Roman"/>
          <w:spacing w:val="6"/>
        </w:rPr>
        <w:t>0.374</w:t>
      </w:r>
      <w:r>
        <w:rPr>
          <w:rFonts w:ascii="Times New Roman" w:hAnsi="Times New Roman" w:eastAsia="Times New Roman" w:cs="Times New Roman"/>
          <w:spacing w:val="-16"/>
        </w:rPr>
        <w:t xml:space="preserve"> </w:t>
      </w:r>
      <w:r>
        <w:rPr>
          <w:spacing w:val="6"/>
        </w:rPr>
        <w:t>。固原雨型</w:t>
      </w:r>
      <w:r>
        <w:rPr>
          <w:spacing w:val="-16"/>
        </w:rPr>
        <w:t xml:space="preserve"> </w:t>
      </w:r>
      <w:r>
        <w:rPr>
          <w:rFonts w:ascii="Times New Roman" w:hAnsi="Times New Roman" w:eastAsia="Times New Roman" w:cs="Times New Roman"/>
          <w:spacing w:val="6"/>
        </w:rPr>
        <w:t>120</w:t>
      </w:r>
      <w:r>
        <w:rPr>
          <w:rFonts w:ascii="Times New Roman" w:hAnsi="Times New Roman" w:eastAsia="Times New Roman" w:cs="Times New Roman"/>
        </w:rPr>
        <w:t>min</w:t>
      </w:r>
      <w:r>
        <w:rPr>
          <w:rFonts w:ascii="Times New Roman" w:hAnsi="Times New Roman" w:eastAsia="Times New Roman" w:cs="Times New Roman"/>
          <w:spacing w:val="33"/>
        </w:rPr>
        <w:t xml:space="preserve"> </w:t>
      </w:r>
      <w:r>
        <w:rPr>
          <w:spacing w:val="6"/>
        </w:rPr>
        <w:t>的降雨雨型如图</w:t>
      </w:r>
      <w:r>
        <w:rPr>
          <w:spacing w:val="-18"/>
        </w:rPr>
        <w:t xml:space="preserve"> </w:t>
      </w:r>
      <w:r>
        <w:rPr>
          <w:rFonts w:ascii="Times New Roman" w:hAnsi="Times New Roman" w:eastAsia="Times New Roman" w:cs="Times New Roman"/>
          <w:spacing w:val="6"/>
        </w:rPr>
        <w:t>1-4</w:t>
      </w:r>
      <w:r>
        <w:rPr>
          <w:spacing w:val="4"/>
        </w:rPr>
        <w:t>所示。</w:t>
      </w:r>
    </w:p>
    <w:p>
      <w:pPr>
        <w:spacing w:line="2743" w:lineRule="exact"/>
        <w:rPr/>
      </w:pPr>
      <w:r>
        <w:rPr>
          <w:position w:val="-54"/>
        </w:rPr>
        <w:drawing>
          <wp:inline distT="0" distB="0" distL="0" distR="0">
            <wp:extent cx="2833115" cy="1741932"/>
            <wp:effectExtent l="0" t="0" r="0" b="0"/>
            <wp:docPr id="2386" name="IM 2386"/>
            <wp:cNvGraphicFramePr/>
            <a:graphic>
              <a:graphicData uri="http://schemas.openxmlformats.org/drawingml/2006/picture">
                <pic:pic>
                  <pic:nvPicPr>
                    <pic:cNvPr id="2386" name="IM 2386"/>
                    <pic:cNvPicPr/>
                  </pic:nvPicPr>
                  <pic:blipFill>
                    <a:blip r:embed="rId1198"/>
                    <a:stretch>
                      <a:fillRect/>
                    </a:stretch>
                  </pic:blipFill>
                  <pic:spPr>
                    <a:xfrm rot="0">
                      <a:off x="0" y="0"/>
                      <a:ext cx="2833115" cy="1741932"/>
                    </a:xfrm>
                    <a:prstGeom prst="rect">
                      <a:avLst/>
                    </a:prstGeom>
                  </pic:spPr>
                </pic:pic>
              </a:graphicData>
            </a:graphic>
          </wp:inline>
        </w:drawing>
      </w:r>
    </w:p>
    <w:p>
      <w:pPr>
        <w:pStyle w:val="BodyText"/>
        <w:ind w:left="4" w:right="331" w:firstLine="411"/>
        <w:spacing w:before="140" w:line="337" w:lineRule="auto"/>
        <w:jc w:val="both"/>
        <w:rPr/>
      </w:pPr>
      <w:r>
        <w:rPr>
          <w:spacing w:val="10"/>
        </w:rPr>
        <w:t>（</w:t>
      </w:r>
      <w:r>
        <w:rPr>
          <w:rFonts w:ascii="Times New Roman" w:hAnsi="Times New Roman" w:eastAsia="Times New Roman" w:cs="Times New Roman"/>
          <w:spacing w:val="10"/>
        </w:rPr>
        <w:t>4</w:t>
      </w:r>
      <w:r>
        <w:rPr>
          <w:rFonts w:ascii="Times New Roman" w:hAnsi="Times New Roman" w:eastAsia="Times New Roman" w:cs="Times New Roman"/>
          <w:spacing w:val="-19"/>
        </w:rPr>
        <w:t xml:space="preserve"> </w:t>
      </w:r>
      <w:r>
        <w:rPr>
          <w:spacing w:val="10"/>
        </w:rPr>
        <w:t>）长历时暴雨雨型。根据固原基准站</w:t>
      </w:r>
      <w:r>
        <w:rPr>
          <w:rFonts w:ascii="Times New Roman" w:hAnsi="Times New Roman" w:eastAsia="Times New Roman" w:cs="Times New Roman"/>
          <w:spacing w:val="17"/>
        </w:rPr>
        <w:t>1985-2015</w:t>
      </w:r>
      <w:r>
        <w:rPr>
          <w:rFonts w:ascii="Times New Roman" w:hAnsi="Times New Roman" w:eastAsia="Times New Roman" w:cs="Times New Roman"/>
          <w:spacing w:val="45"/>
        </w:rPr>
        <w:t xml:space="preserve"> </w:t>
      </w:r>
      <w:r>
        <w:rPr>
          <w:spacing w:val="17"/>
        </w:rPr>
        <w:t>年</w:t>
      </w:r>
      <w:r>
        <w:rPr>
          <w:spacing w:val="-23"/>
        </w:rPr>
        <w:t xml:space="preserve"> </w:t>
      </w:r>
      <w:r>
        <w:rPr>
          <w:spacing w:val="17"/>
        </w:rPr>
        <w:t>日最大</w:t>
      </w:r>
      <w:r>
        <w:rPr>
          <w:spacing w:val="-55"/>
        </w:rPr>
        <w:t xml:space="preserve"> </w:t>
      </w:r>
      <w:r>
        <w:rPr>
          <w:spacing w:val="17"/>
        </w:rPr>
        <w:t>降雨量</w:t>
      </w:r>
      <w:r>
        <w:rPr>
          <w:spacing w:val="-35"/>
        </w:rPr>
        <w:t xml:space="preserve"> </w:t>
      </w:r>
      <w:r>
        <w:rPr>
          <w:spacing w:val="17"/>
        </w:rPr>
        <w:t>，利用皮尔逊</w:t>
      </w:r>
      <w:r>
        <w:rPr>
          <w:rFonts w:ascii="Times New Roman" w:hAnsi="Times New Roman" w:eastAsia="Times New Roman" w:cs="Times New Roman"/>
        </w:rPr>
        <w:t>III</w:t>
      </w:r>
      <w:r>
        <w:rPr>
          <w:rFonts w:ascii="Times New Roman" w:hAnsi="Times New Roman" w:eastAsia="Times New Roman" w:cs="Times New Roman"/>
          <w:spacing w:val="33"/>
          <w:w w:val="101"/>
        </w:rPr>
        <w:t xml:space="preserve"> </w:t>
      </w:r>
      <w:r>
        <w:rPr>
          <w:spacing w:val="26"/>
        </w:rPr>
        <w:t>型分布曲线拟合，不同重现期对应的长</w:t>
      </w:r>
      <w:r>
        <w:rPr>
          <w:spacing w:val="24"/>
        </w:rPr>
        <w:t>历时雨型。</w:t>
      </w:r>
    </w:p>
    <w:p>
      <w:pPr>
        <w:spacing w:line="2320" w:lineRule="exact"/>
        <w:rPr/>
      </w:pPr>
      <w:r>
        <w:rPr>
          <w:position w:val="-46"/>
        </w:rPr>
        <w:drawing>
          <wp:inline distT="0" distB="0" distL="0" distR="0">
            <wp:extent cx="2651760" cy="1473708"/>
            <wp:effectExtent l="0" t="0" r="0" b="0"/>
            <wp:docPr id="2388" name="IM 2388"/>
            <wp:cNvGraphicFramePr/>
            <a:graphic>
              <a:graphicData uri="http://schemas.openxmlformats.org/drawingml/2006/picture">
                <pic:pic>
                  <pic:nvPicPr>
                    <pic:cNvPr id="2388" name="IM 2388"/>
                    <pic:cNvPicPr/>
                  </pic:nvPicPr>
                  <pic:blipFill>
                    <a:blip r:embed="rId1199"/>
                    <a:stretch>
                      <a:fillRect/>
                    </a:stretch>
                  </pic:blipFill>
                  <pic:spPr>
                    <a:xfrm rot="0">
                      <a:off x="0" y="0"/>
                      <a:ext cx="2651760" cy="1473708"/>
                    </a:xfrm>
                    <a:prstGeom prst="rect">
                      <a:avLst/>
                    </a:prstGeom>
                  </pic:spPr>
                </pic:pic>
              </a:graphicData>
            </a:graphic>
          </wp:inline>
        </w:drawing>
      </w:r>
    </w:p>
    <w:p>
      <w:pPr>
        <w:spacing w:line="310" w:lineRule="auto"/>
        <w:rPr>
          <w:rFonts w:ascii="Arial"/>
          <w:sz w:val="21"/>
        </w:rPr>
      </w:pPr>
      <w:r/>
    </w:p>
    <w:p>
      <w:pPr>
        <w:pStyle w:val="BodyText"/>
        <w:ind w:left="424"/>
        <w:spacing w:before="66" w:line="277" w:lineRule="exact"/>
        <w:outlineLvl w:val="0"/>
        <w:rPr/>
      </w:pPr>
      <w:r>
        <w:rPr>
          <w:spacing w:val="8"/>
          <w:position w:val="1"/>
        </w:rPr>
        <w:t>城市水系与河道、水库等情况：</w:t>
      </w:r>
    </w:p>
    <w:p>
      <w:pPr>
        <w:pStyle w:val="BodyText"/>
        <w:ind w:left="4" w:right="234" w:firstLine="441"/>
        <w:spacing w:before="130" w:line="339" w:lineRule="auto"/>
        <w:jc w:val="both"/>
        <w:rPr/>
      </w:pPr>
      <w:r>
        <w:rPr>
          <w:spacing w:val="5"/>
        </w:rPr>
        <w:t>固原市地处黄河流域的内陆区，境内河流</w:t>
      </w:r>
      <w:r>
        <w:rPr>
          <w:spacing w:val="7"/>
        </w:rPr>
        <w:t>有清水河、葫芦河、泾河、茹河，分属于清水</w:t>
      </w:r>
      <w:r>
        <w:rPr>
          <w:spacing w:val="1"/>
        </w:rPr>
        <w:t>河水系、葫芦河水系、泾河水系和祖厉河水系。</w:t>
      </w:r>
      <w:r>
        <w:rPr>
          <w:spacing w:val="11"/>
        </w:rPr>
        <w:t>清水河是宁夏境内直接入黄河的第一大支流，</w:t>
      </w:r>
      <w:r>
        <w:rPr>
          <w:spacing w:val="7"/>
        </w:rPr>
        <w:t>发源于固原市原州区南部的六盘山区，固原市</w:t>
      </w:r>
      <w:r>
        <w:rPr>
          <w:spacing w:val="6"/>
        </w:rPr>
        <w:t>内流域面积 </w:t>
      </w:r>
      <w:r>
        <w:rPr>
          <w:rFonts w:ascii="Times New Roman" w:hAnsi="Times New Roman" w:eastAsia="Times New Roman" w:cs="Times New Roman"/>
          <w:spacing w:val="6"/>
        </w:rPr>
        <w:t>2525 </w:t>
      </w:r>
      <w:r>
        <w:rPr>
          <w:rFonts w:ascii="Times New Roman" w:hAnsi="Times New Roman" w:eastAsia="Times New Roman" w:cs="Times New Roman"/>
        </w:rPr>
        <w:t>km</w:t>
      </w:r>
      <w:r>
        <w:rPr>
          <w:rFonts w:ascii="Times New Roman" w:hAnsi="Times New Roman" w:eastAsia="Times New Roman" w:cs="Times New Roman"/>
          <w:spacing w:val="6"/>
          <w:position w:val="5"/>
        </w:rPr>
        <w:t>2</w:t>
      </w:r>
      <w:r>
        <w:rPr>
          <w:rFonts w:ascii="Times New Roman" w:hAnsi="Times New Roman" w:eastAsia="Times New Roman" w:cs="Times New Roman"/>
          <w:spacing w:val="-3"/>
          <w:position w:val="5"/>
        </w:rPr>
        <w:t xml:space="preserve"> </w:t>
      </w:r>
      <w:r>
        <w:rPr>
          <w:spacing w:val="6"/>
        </w:rPr>
        <w:t>，支流 </w:t>
      </w:r>
      <w:r>
        <w:rPr>
          <w:rFonts w:ascii="Times New Roman" w:hAnsi="Times New Roman" w:eastAsia="Times New Roman" w:cs="Times New Roman"/>
          <w:spacing w:val="6"/>
        </w:rPr>
        <w:t>30  </w:t>
      </w:r>
      <w:r>
        <w:rPr>
          <w:spacing w:val="6"/>
        </w:rPr>
        <w:t>余条</w:t>
      </w:r>
      <w:r>
        <w:rPr>
          <w:spacing w:val="-58"/>
        </w:rPr>
        <w:t xml:space="preserve"> </w:t>
      </w:r>
      <w:r>
        <w:rPr>
          <w:spacing w:val="6"/>
        </w:rPr>
        <w:t>，是为</w:t>
      </w:r>
      <w:r>
        <w:rPr>
          <w:spacing w:val="8"/>
        </w:rPr>
        <w:t>原州区提供水资源的主要水系。</w:t>
      </w:r>
    </w:p>
    <w:p>
      <w:pPr>
        <w:spacing w:line="339" w:lineRule="auto"/>
        <w:sectPr>
          <w:type w:val="continuous"/>
          <w:pgSz w:w="11906" w:h="16839"/>
          <w:pgMar w:top="1772" w:right="1278" w:bottom="1572" w:left="1380" w:header="1428" w:footer="1172" w:gutter="0"/>
          <w:cols w:equalWidth="0" w:num="2">
            <w:col w:w="4686" w:space="100"/>
            <w:col w:w="4462" w:space="0"/>
          </w:cols>
        </w:sectPr>
        <w:rPr/>
      </w:pPr>
    </w:p>
    <w:p>
      <w:pPr>
        <w:spacing w:line="169" w:lineRule="exact"/>
        <w:rPr/>
      </w:pPr>
      <w:r>
        <w:drawing>
          <wp:anchor distT="0" distB="0" distL="0" distR="0" simplePos="0" relativeHeight="254615552" behindDoc="0" locked="0" layoutInCell="0" allowOverlap="1">
            <wp:simplePos x="0" y="0"/>
            <wp:positionH relativeFrom="page">
              <wp:posOffset>1008380</wp:posOffset>
            </wp:positionH>
            <wp:positionV relativeFrom="page">
              <wp:posOffset>1278890</wp:posOffset>
            </wp:positionV>
            <wp:extent cx="5579745" cy="7619"/>
            <wp:effectExtent l="0" t="0" r="0" b="0"/>
            <wp:wrapNone/>
            <wp:docPr id="2394" name="IM 2394"/>
            <wp:cNvGraphicFramePr/>
            <a:graphic>
              <a:graphicData uri="http://schemas.openxmlformats.org/drawingml/2006/picture">
                <pic:pic>
                  <pic:nvPicPr>
                    <pic:cNvPr id="2394" name="IM 2394"/>
                    <pic:cNvPicPr/>
                  </pic:nvPicPr>
                  <pic:blipFill>
                    <a:blip r:embed="rId1202"/>
                    <a:stretch>
                      <a:fillRect/>
                    </a:stretch>
                  </pic:blipFill>
                  <pic:spPr>
                    <a:xfrm rot="0">
                      <a:off x="0" y="0"/>
                      <a:ext cx="5579745" cy="7619"/>
                    </a:xfrm>
                    <a:prstGeom prst="rect">
                      <a:avLst/>
                    </a:prstGeom>
                  </pic:spPr>
                </pic:pic>
              </a:graphicData>
            </a:graphic>
          </wp:anchor>
        </w:drawing>
      </w:r>
      <w:r/>
    </w:p>
    <w:p>
      <w:pPr>
        <w:spacing w:line="169" w:lineRule="exact"/>
        <w:sectPr>
          <w:headerReference w:type="default" r:id="rId1200"/>
          <w:footerReference w:type="default" r:id="rId1201"/>
          <w:pgSz w:w="11906" w:h="16839"/>
          <w:pgMar w:top="1974" w:right="1523" w:bottom="1574" w:left="1579" w:header="1634" w:footer="1172" w:gutter="0"/>
          <w:cols w:equalWidth="0" w:num="1">
            <w:col w:w="8803" w:space="0"/>
          </w:cols>
        </w:sectPr>
        <w:rPr/>
      </w:pPr>
    </w:p>
    <w:p>
      <w:pPr>
        <w:ind w:firstLine="9"/>
        <w:spacing w:before="47" w:line="2770" w:lineRule="exact"/>
        <w:rPr/>
      </w:pPr>
      <w:r>
        <w:rPr>
          <w:position w:val="-55"/>
        </w:rPr>
        <w:drawing>
          <wp:inline distT="0" distB="0" distL="0" distR="0">
            <wp:extent cx="2729483" cy="1758695"/>
            <wp:effectExtent l="0" t="0" r="0" b="0"/>
            <wp:docPr id="2396" name="IM 2396"/>
            <wp:cNvGraphicFramePr/>
            <a:graphic>
              <a:graphicData uri="http://schemas.openxmlformats.org/drawingml/2006/picture">
                <pic:pic>
                  <pic:nvPicPr>
                    <pic:cNvPr id="2396" name="IM 2396"/>
                    <pic:cNvPicPr/>
                  </pic:nvPicPr>
                  <pic:blipFill>
                    <a:blip r:embed="rId1203"/>
                    <a:stretch>
                      <a:fillRect/>
                    </a:stretch>
                  </pic:blipFill>
                  <pic:spPr>
                    <a:xfrm rot="0">
                      <a:off x="0" y="0"/>
                      <a:ext cx="2729483" cy="1758695"/>
                    </a:xfrm>
                    <a:prstGeom prst="rect">
                      <a:avLst/>
                    </a:prstGeom>
                  </pic:spPr>
                </pic:pic>
              </a:graphicData>
            </a:graphic>
          </wp:inline>
        </w:drawing>
      </w:r>
    </w:p>
    <w:p>
      <w:pPr>
        <w:pStyle w:val="BodyText"/>
        <w:ind w:left="13" w:right="328" w:firstLine="441"/>
        <w:spacing w:before="144" w:line="356" w:lineRule="auto"/>
        <w:jc w:val="both"/>
        <w:rPr/>
      </w:pPr>
      <w:r>
        <w:rPr>
          <w:spacing w:val="5"/>
        </w:rPr>
        <w:t>中心城区境内的主要河流有清水河、马饮</w:t>
      </w:r>
      <w:r>
        <w:rPr>
          <w:spacing w:val="7"/>
        </w:rPr>
        <w:t>河、饮马河、大营河、中河等，清水河自南向</w:t>
      </w:r>
      <w:r>
        <w:rPr>
          <w:spacing w:val="7"/>
        </w:rPr>
        <w:t>北从城区东侧流过。马饮河、饮马河属清水河</w:t>
      </w:r>
      <w:r>
        <w:rPr>
          <w:spacing w:val="7"/>
        </w:rPr>
        <w:t>一级支流，自西南向东北先后汇入清水河。西</w:t>
      </w:r>
      <w:r>
        <w:rPr>
          <w:spacing w:val="7"/>
        </w:rPr>
        <w:t>部新区有大营河、中河由南向北穿过，现状河</w:t>
      </w:r>
      <w:r>
        <w:rPr>
          <w:spacing w:val="7"/>
        </w:rPr>
        <w:t>道常年干枯。西南新区原本有深沟河，但随新</w:t>
      </w:r>
      <w:r>
        <w:rPr>
          <w:spacing w:val="7"/>
        </w:rPr>
        <w:t>区城市发展建设推进，逐渐被被填埋掉。结合</w:t>
      </w:r>
      <w:r>
        <w:rPr>
          <w:spacing w:val="7"/>
        </w:rPr>
        <w:t>城市建设恢复和疏通城区内部水系，要尽可能</w:t>
      </w:r>
      <w:r>
        <w:rPr>
          <w:spacing w:val="7"/>
        </w:rPr>
        <w:t>避免填埋河道的情况发生，这样既可保障城市</w:t>
      </w:r>
      <w:r>
        <w:rPr>
          <w:spacing w:val="9"/>
        </w:rPr>
        <w:t>防洪安全也可改善城市景观和生态环境。</w:t>
      </w:r>
    </w:p>
    <w:p>
      <w:pPr>
        <w:ind w:firstLine="9"/>
        <w:spacing w:line="4056" w:lineRule="exact"/>
        <w:rPr/>
      </w:pPr>
      <w:r>
        <w:rPr>
          <w:position w:val="-81"/>
        </w:rPr>
        <w:drawing>
          <wp:inline distT="0" distB="0" distL="0" distR="0">
            <wp:extent cx="2634995" cy="2575560"/>
            <wp:effectExtent l="0" t="0" r="0" b="0"/>
            <wp:docPr id="2398" name="IM 2398"/>
            <wp:cNvGraphicFramePr/>
            <a:graphic>
              <a:graphicData uri="http://schemas.openxmlformats.org/drawingml/2006/picture">
                <pic:pic>
                  <pic:nvPicPr>
                    <pic:cNvPr id="2398" name="IM 2398"/>
                    <pic:cNvPicPr/>
                  </pic:nvPicPr>
                  <pic:blipFill>
                    <a:blip r:embed="rId1204"/>
                    <a:stretch>
                      <a:fillRect/>
                    </a:stretch>
                  </pic:blipFill>
                  <pic:spPr>
                    <a:xfrm rot="0">
                      <a:off x="0" y="0"/>
                      <a:ext cx="2634995" cy="2575560"/>
                    </a:xfrm>
                    <a:prstGeom prst="rect">
                      <a:avLst/>
                    </a:prstGeom>
                  </pic:spPr>
                </pic:pic>
              </a:graphicData>
            </a:graphic>
          </wp:inline>
        </w:drawing>
      </w:r>
    </w:p>
    <w:p>
      <w:pPr>
        <w:pStyle w:val="BodyText"/>
        <w:ind w:left="10" w:right="248" w:firstLine="426"/>
        <w:spacing w:before="130" w:line="343" w:lineRule="auto"/>
        <w:jc w:val="both"/>
        <w:rPr/>
      </w:pPr>
      <w:r>
        <w:rPr>
          <w:spacing w:val="18"/>
        </w:rPr>
        <w:t>清水河作为流经固原市市区的唯一的主</w:t>
      </w:r>
      <w:r>
        <w:rPr>
          <w:spacing w:val="7"/>
        </w:rPr>
        <w:t>要河流，是典型的季节性河流，径流量小，纳</w:t>
      </w:r>
      <w:r>
        <w:rPr>
          <w:spacing w:val="1"/>
        </w:rPr>
        <w:t>污容量低。随着原州区城区人口的增加，生活、</w:t>
      </w:r>
      <w:r>
        <w:rPr>
          <w:spacing w:val="12"/>
        </w:rPr>
        <w:t>工业污水量日益增大</w:t>
      </w:r>
      <w:r>
        <w:rPr>
          <w:spacing w:val="-41"/>
        </w:rPr>
        <w:t xml:space="preserve"> </w:t>
      </w:r>
      <w:r>
        <w:rPr>
          <w:spacing w:val="12"/>
        </w:rPr>
        <w:t>，</w:t>
      </w:r>
      <w:r>
        <w:rPr>
          <w:spacing w:val="-40"/>
        </w:rPr>
        <w:t xml:space="preserve"> </w:t>
      </w:r>
      <w:r>
        <w:rPr>
          <w:spacing w:val="12"/>
        </w:rPr>
        <w:t>日排放污水约</w:t>
      </w:r>
      <w:r>
        <w:rPr>
          <w:spacing w:val="-31"/>
        </w:rPr>
        <w:t xml:space="preserve"> </w:t>
      </w:r>
      <w:r>
        <w:rPr>
          <w:rFonts w:ascii="Times New Roman" w:hAnsi="Times New Roman" w:eastAsia="Times New Roman" w:cs="Times New Roman"/>
          <w:spacing w:val="12"/>
        </w:rPr>
        <w:t>2.0</w:t>
      </w:r>
      <w:r>
        <w:rPr>
          <w:rFonts w:ascii="Times New Roman" w:hAnsi="Times New Roman" w:eastAsia="Times New Roman" w:cs="Times New Roman"/>
          <w:spacing w:val="21"/>
          <w:w w:val="101"/>
        </w:rPr>
        <w:t xml:space="preserve"> </w:t>
      </w:r>
      <w:r>
        <w:rPr>
          <w:spacing w:val="12"/>
        </w:rPr>
        <w:t>万</w:t>
      </w:r>
      <w:r>
        <w:rPr>
          <w:rFonts w:ascii="Times New Roman" w:hAnsi="Times New Roman" w:eastAsia="Times New Roman" w:cs="Times New Roman"/>
          <w:spacing w:val="5"/>
        </w:rPr>
        <w:t>m</w:t>
      </w:r>
      <w:r>
        <w:rPr>
          <w:rFonts w:ascii="Times New Roman" w:hAnsi="Times New Roman" w:eastAsia="Times New Roman" w:cs="Times New Roman"/>
          <w:sz w:val="18"/>
          <w:szCs w:val="18"/>
          <w:spacing w:val="5"/>
          <w:position w:val="9"/>
        </w:rPr>
        <w:t>3</w:t>
      </w:r>
      <w:r>
        <w:rPr>
          <w:rFonts w:ascii="Times New Roman" w:hAnsi="Times New Roman" w:eastAsia="Times New Roman" w:cs="Times New Roman"/>
          <w:spacing w:val="5"/>
        </w:rPr>
        <w:t>/d</w:t>
      </w:r>
      <w:r>
        <w:rPr>
          <w:rFonts w:ascii="Times New Roman" w:hAnsi="Times New Roman" w:eastAsia="Times New Roman" w:cs="Times New Roman"/>
          <w:spacing w:val="-12"/>
        </w:rPr>
        <w:t xml:space="preserve"> </w:t>
      </w:r>
      <w:r>
        <w:rPr>
          <w:spacing w:val="5"/>
        </w:rPr>
        <w:t>。河道坡降平缓，行洪能力低，城区（雨</w:t>
      </w:r>
    </w:p>
    <w:p>
      <w:pPr>
        <w:spacing w:line="14" w:lineRule="auto"/>
        <w:rPr>
          <w:rFonts w:ascii="Arial"/>
          <w:sz w:val="2"/>
        </w:rPr>
      </w:pPr>
      <w:r>
        <w:rPr>
          <w:rFonts w:ascii="Arial" w:hAnsi="Arial" w:eastAsia="Arial" w:cs="Arial"/>
          <w:sz w:val="2"/>
          <w:szCs w:val="2"/>
        </w:rPr>
        <w:br w:type="column"/>
      </w:r>
    </w:p>
    <w:p>
      <w:pPr>
        <w:pStyle w:val="BodyText"/>
        <w:ind w:left="1" w:right="59"/>
        <w:spacing w:before="172" w:line="348" w:lineRule="auto"/>
        <w:jc w:val="both"/>
        <w:rPr/>
      </w:pPr>
      <w:r>
        <w:rPr>
          <w:spacing w:val="7"/>
        </w:rPr>
        <w:t>水）排水管网系统短期内难以全部完善健全，</w:t>
      </w:r>
      <w:r>
        <w:rPr>
          <w:spacing w:val="7"/>
        </w:rPr>
        <w:t>排水能力有限，易造成低洼地区大量积水，形</w:t>
      </w:r>
      <w:r>
        <w:rPr>
          <w:spacing w:val="6"/>
        </w:rPr>
        <w:t>成内涝；</w:t>
      </w:r>
    </w:p>
    <w:p>
      <w:pPr>
        <w:pStyle w:val="BodyText"/>
        <w:ind w:right="43" w:firstLine="423"/>
        <w:spacing w:before="9" w:line="320" w:lineRule="auto"/>
        <w:jc w:val="both"/>
        <w:rPr/>
      </w:pPr>
      <w:r>
        <w:rPr>
          <w:spacing w:val="7"/>
        </w:rPr>
        <w:t>城区上游有</w:t>
      </w:r>
      <w:r>
        <w:rPr>
          <w:spacing w:val="-36"/>
        </w:rPr>
        <w:t xml:space="preserve"> </w:t>
      </w:r>
      <w:r>
        <w:rPr>
          <w:rFonts w:ascii="Times New Roman" w:hAnsi="Times New Roman" w:eastAsia="Times New Roman" w:cs="Times New Roman"/>
          <w:spacing w:val="7"/>
        </w:rPr>
        <w:t>7 </w:t>
      </w:r>
      <w:r>
        <w:rPr>
          <w:spacing w:val="7"/>
        </w:rPr>
        <w:t>座水库，分别海子峡水库、</w:t>
      </w:r>
      <w:r>
        <w:rPr>
          <w:spacing w:val="7"/>
        </w:rPr>
        <w:t>贺家湾水库、柯庄水库、大马庄水库、郭庙水</w:t>
      </w:r>
      <w:r>
        <w:rPr>
          <w:spacing w:val="8"/>
        </w:rPr>
        <w:t>库、中庄水库和青石峡水库</w:t>
      </w:r>
      <w:r>
        <w:rPr>
          <w:spacing w:val="-45"/>
        </w:rPr>
        <w:t xml:space="preserve"> </w:t>
      </w:r>
      <w:r>
        <w:rPr>
          <w:spacing w:val="8"/>
        </w:rPr>
        <w:t>；总库容</w:t>
      </w:r>
      <w:r>
        <w:rPr>
          <w:spacing w:val="-32"/>
        </w:rPr>
        <w:t xml:space="preserve"> </w:t>
      </w:r>
      <w:r>
        <w:rPr>
          <w:rFonts w:ascii="Times New Roman" w:hAnsi="Times New Roman" w:eastAsia="Times New Roman" w:cs="Times New Roman"/>
          <w:spacing w:val="8"/>
        </w:rPr>
        <w:t>8745 </w:t>
      </w:r>
      <w:r>
        <w:rPr>
          <w:spacing w:val="8"/>
        </w:rPr>
        <w:t>万</w:t>
      </w:r>
      <w:r>
        <w:rPr>
          <w:rFonts w:ascii="Times New Roman" w:hAnsi="Times New Roman" w:eastAsia="Times New Roman" w:cs="Times New Roman"/>
          <w:spacing w:val="7"/>
        </w:rPr>
        <w:t>m</w:t>
      </w:r>
      <w:r>
        <w:rPr>
          <w:rFonts w:ascii="Times New Roman" w:hAnsi="Times New Roman" w:eastAsia="Times New Roman" w:cs="Times New Roman"/>
          <w:spacing w:val="7"/>
          <w:position w:val="9"/>
        </w:rPr>
        <w:t>3</w:t>
      </w:r>
      <w:r>
        <w:rPr>
          <w:rFonts w:ascii="Times New Roman" w:hAnsi="Times New Roman" w:eastAsia="Times New Roman" w:cs="Times New Roman"/>
          <w:spacing w:val="-10"/>
          <w:position w:val="9"/>
        </w:rPr>
        <w:t xml:space="preserve"> </w:t>
      </w:r>
      <w:r>
        <w:rPr>
          <w:spacing w:val="7"/>
        </w:rPr>
        <w:t>。已建水库总设计库容</w:t>
      </w:r>
      <w:r>
        <w:rPr>
          <w:spacing w:val="-32"/>
        </w:rPr>
        <w:t xml:space="preserve"> </w:t>
      </w:r>
      <w:r>
        <w:rPr>
          <w:rFonts w:ascii="Times New Roman" w:hAnsi="Times New Roman" w:eastAsia="Times New Roman" w:cs="Times New Roman"/>
          <w:spacing w:val="7"/>
        </w:rPr>
        <w:t>6180 </w:t>
      </w:r>
      <w:r>
        <w:rPr>
          <w:spacing w:val="7"/>
        </w:rPr>
        <w:t>万</w:t>
      </w:r>
      <w:r>
        <w:rPr>
          <w:spacing w:val="-38"/>
        </w:rPr>
        <w:t xml:space="preserve"> </w:t>
      </w:r>
      <w:r>
        <w:rPr>
          <w:rFonts w:ascii="Times New Roman" w:hAnsi="Times New Roman" w:eastAsia="Times New Roman" w:cs="Times New Roman"/>
          <w:spacing w:val="7"/>
        </w:rPr>
        <w:t>m</w:t>
      </w:r>
      <w:r>
        <w:rPr>
          <w:rFonts w:ascii="Times New Roman" w:hAnsi="Times New Roman" w:eastAsia="Times New Roman" w:cs="Times New Roman"/>
          <w:spacing w:val="7"/>
          <w:position w:val="9"/>
        </w:rPr>
        <w:t>3 </w:t>
      </w:r>
      <w:r>
        <w:rPr>
          <w:spacing w:val="7"/>
        </w:rPr>
        <w:t>，因多</w:t>
      </w:r>
      <w:r>
        <w:rPr>
          <w:spacing w:val="6"/>
        </w:rPr>
        <w:t>年运行淤积，有效库容</w:t>
      </w:r>
      <w:r>
        <w:rPr>
          <w:spacing w:val="-25"/>
        </w:rPr>
        <w:t xml:space="preserve"> </w:t>
      </w:r>
      <w:r>
        <w:rPr>
          <w:rFonts w:ascii="Times New Roman" w:hAnsi="Times New Roman" w:eastAsia="Times New Roman" w:cs="Times New Roman"/>
          <w:spacing w:val="6"/>
        </w:rPr>
        <w:t>3533 </w:t>
      </w:r>
      <w:r>
        <w:rPr>
          <w:spacing w:val="6"/>
        </w:rPr>
        <w:t>万</w:t>
      </w:r>
      <w:r>
        <w:rPr>
          <w:spacing w:val="-43"/>
        </w:rPr>
        <w:t xml:space="preserve"> </w:t>
      </w:r>
      <w:r>
        <w:rPr>
          <w:rFonts w:ascii="Times New Roman" w:hAnsi="Times New Roman" w:eastAsia="Times New Roman" w:cs="Times New Roman"/>
          <w:spacing w:val="6"/>
        </w:rPr>
        <w:t>m</w:t>
      </w:r>
      <w:r>
        <w:rPr>
          <w:rFonts w:ascii="Times New Roman" w:hAnsi="Times New Roman" w:eastAsia="Times New Roman" w:cs="Times New Roman"/>
          <w:spacing w:val="6"/>
          <w:position w:val="9"/>
        </w:rPr>
        <w:t>3</w:t>
      </w:r>
      <w:r>
        <w:rPr>
          <w:spacing w:val="6"/>
        </w:rPr>
        <w:t>。</w:t>
      </w:r>
    </w:p>
    <w:p>
      <w:pPr>
        <w:pStyle w:val="BodyText"/>
        <w:ind w:right="60" w:firstLine="421"/>
        <w:spacing w:before="12" w:line="350" w:lineRule="auto"/>
        <w:jc w:val="both"/>
        <w:rPr/>
      </w:pPr>
      <w:r>
        <w:rPr>
          <w:rFonts w:ascii="Times New Roman" w:hAnsi="Times New Roman" w:eastAsia="Times New Roman" w:cs="Times New Roman"/>
          <w:spacing w:val="3"/>
        </w:rPr>
        <w:t>2.2  </w:t>
      </w:r>
      <w:r>
        <w:rPr>
          <w:rFonts w:ascii="KaiTi" w:hAnsi="KaiTi" w:eastAsia="KaiTi" w:cs="KaiTi"/>
          <w:spacing w:val="3"/>
        </w:rPr>
        <w:t>社会经济。</w:t>
      </w:r>
      <w:r>
        <w:rPr>
          <w:spacing w:val="3"/>
        </w:rPr>
        <w:t>据</w:t>
      </w:r>
      <w:r>
        <w:rPr>
          <w:spacing w:val="-41"/>
        </w:rPr>
        <w:t xml:space="preserve"> </w:t>
      </w:r>
      <w:r>
        <w:rPr>
          <w:rFonts w:ascii="Times New Roman" w:hAnsi="Times New Roman" w:eastAsia="Times New Roman" w:cs="Times New Roman"/>
          <w:spacing w:val="3"/>
        </w:rPr>
        <w:t>2018 </w:t>
      </w:r>
      <w:r>
        <w:rPr>
          <w:spacing w:val="3"/>
        </w:rPr>
        <w:t>年人口</w:t>
      </w:r>
      <w:r>
        <w:rPr>
          <w:spacing w:val="2"/>
        </w:rPr>
        <w:t>变动抽样调</w:t>
      </w:r>
      <w:r>
        <w:rPr>
          <w:spacing w:val="7"/>
        </w:rPr>
        <w:t>查数据显示，年末全区常住总户数为</w:t>
      </w:r>
      <w:r>
        <w:rPr>
          <w:spacing w:val="-13"/>
        </w:rPr>
        <w:t xml:space="preserve"> </w:t>
      </w:r>
      <w:r>
        <w:rPr>
          <w:rFonts w:ascii="Times New Roman" w:hAnsi="Times New Roman" w:eastAsia="Times New Roman" w:cs="Times New Roman"/>
          <w:spacing w:val="7"/>
        </w:rPr>
        <w:t>12.83 </w:t>
      </w:r>
      <w:r>
        <w:rPr>
          <w:spacing w:val="7"/>
        </w:rPr>
        <w:t>万</w:t>
      </w:r>
      <w:r>
        <w:rPr>
          <w:spacing w:val="6"/>
        </w:rPr>
        <w:t>户，常住总人口</w:t>
      </w:r>
      <w:r>
        <w:rPr>
          <w:spacing w:val="-27"/>
        </w:rPr>
        <w:t xml:space="preserve"> </w:t>
      </w:r>
      <w:r>
        <w:rPr>
          <w:rFonts w:ascii="Times New Roman" w:hAnsi="Times New Roman" w:eastAsia="Times New Roman" w:cs="Times New Roman"/>
          <w:spacing w:val="6"/>
        </w:rPr>
        <w:t>43.</w:t>
      </w:r>
      <w:r>
        <w:rPr>
          <w:rFonts w:ascii="Times New Roman" w:hAnsi="Times New Roman" w:eastAsia="Times New Roman" w:cs="Times New Roman"/>
          <w:spacing w:val="-25"/>
        </w:rPr>
        <w:t xml:space="preserve"> </w:t>
      </w:r>
      <w:r>
        <w:rPr>
          <w:rFonts w:ascii="Times New Roman" w:hAnsi="Times New Roman" w:eastAsia="Times New Roman" w:cs="Times New Roman"/>
          <w:spacing w:val="6"/>
        </w:rPr>
        <w:t>11 </w:t>
      </w:r>
      <w:r>
        <w:rPr>
          <w:spacing w:val="6"/>
        </w:rPr>
        <w:t>万人，其中：城镇人口</w:t>
      </w:r>
      <w:r>
        <w:rPr>
          <w:rFonts w:ascii="Times New Roman" w:hAnsi="Times New Roman" w:eastAsia="Times New Roman" w:cs="Times New Roman"/>
          <w:spacing w:val="16"/>
        </w:rPr>
        <w:t>22.07</w:t>
      </w:r>
      <w:r>
        <w:rPr>
          <w:rFonts w:ascii="Times New Roman" w:hAnsi="Times New Roman" w:eastAsia="Times New Roman" w:cs="Times New Roman"/>
          <w:spacing w:val="52"/>
        </w:rPr>
        <w:t xml:space="preserve"> </w:t>
      </w:r>
      <w:r>
        <w:rPr>
          <w:spacing w:val="16"/>
        </w:rPr>
        <w:t>万人</w:t>
      </w:r>
      <w:r>
        <w:rPr>
          <w:spacing w:val="-45"/>
        </w:rPr>
        <w:t xml:space="preserve"> </w:t>
      </w:r>
      <w:r>
        <w:rPr>
          <w:spacing w:val="16"/>
        </w:rPr>
        <w:t>。</w:t>
      </w:r>
      <w:r>
        <w:rPr>
          <w:rFonts w:ascii="Times New Roman" w:hAnsi="Times New Roman" w:eastAsia="Times New Roman" w:cs="Times New Roman"/>
          <w:spacing w:val="16"/>
        </w:rPr>
        <w:t>2018</w:t>
      </w:r>
      <w:r>
        <w:rPr>
          <w:rFonts w:ascii="Times New Roman" w:hAnsi="Times New Roman" w:eastAsia="Times New Roman" w:cs="Times New Roman"/>
          <w:spacing w:val="40"/>
        </w:rPr>
        <w:t xml:space="preserve"> </w:t>
      </w:r>
      <w:r>
        <w:rPr>
          <w:spacing w:val="16"/>
        </w:rPr>
        <w:t>年</w:t>
      </w:r>
      <w:r>
        <w:rPr>
          <w:spacing w:val="-44"/>
        </w:rPr>
        <w:t xml:space="preserve"> </w:t>
      </w:r>
      <w:r>
        <w:rPr>
          <w:spacing w:val="16"/>
        </w:rPr>
        <w:t>固原市实现生产</w:t>
      </w:r>
      <w:r>
        <w:rPr>
          <w:spacing w:val="-57"/>
        </w:rPr>
        <w:t xml:space="preserve"> </w:t>
      </w:r>
      <w:r>
        <w:rPr>
          <w:spacing w:val="16"/>
        </w:rPr>
        <w:t>总值</w:t>
      </w:r>
      <w:r>
        <w:rPr>
          <w:rFonts w:ascii="Times New Roman" w:hAnsi="Times New Roman" w:eastAsia="Times New Roman" w:cs="Times New Roman"/>
          <w:spacing w:val="5"/>
        </w:rPr>
        <w:t>303.</w:t>
      </w:r>
      <w:r>
        <w:rPr>
          <w:rFonts w:ascii="Times New Roman" w:hAnsi="Times New Roman" w:eastAsia="Times New Roman" w:cs="Times New Roman"/>
          <w:spacing w:val="-24"/>
        </w:rPr>
        <w:t xml:space="preserve"> </w:t>
      </w:r>
      <w:r>
        <w:rPr>
          <w:rFonts w:ascii="Times New Roman" w:hAnsi="Times New Roman" w:eastAsia="Times New Roman" w:cs="Times New Roman"/>
          <w:spacing w:val="5"/>
        </w:rPr>
        <w:t>19 </w:t>
      </w:r>
      <w:r>
        <w:rPr>
          <w:spacing w:val="5"/>
        </w:rPr>
        <w:t>亿元，剔除物价因素，实际比上年增长</w:t>
      </w:r>
      <w:r>
        <w:rPr>
          <w:rFonts w:ascii="Times New Roman" w:hAnsi="Times New Roman" w:eastAsia="Times New Roman" w:cs="Times New Roman"/>
          <w:spacing w:val="6"/>
        </w:rPr>
        <w:t>6.6%</w:t>
      </w:r>
      <w:r>
        <w:rPr>
          <w:rFonts w:ascii="Times New Roman" w:hAnsi="Times New Roman" w:eastAsia="Times New Roman" w:cs="Times New Roman"/>
          <w:spacing w:val="-27"/>
        </w:rPr>
        <w:t xml:space="preserve"> </w:t>
      </w:r>
      <w:r>
        <w:rPr>
          <w:spacing w:val="6"/>
        </w:rPr>
        <w:t>。其中：第一产业增加值</w:t>
      </w:r>
      <w:r>
        <w:rPr>
          <w:spacing w:val="-37"/>
        </w:rPr>
        <w:t xml:space="preserve"> </w:t>
      </w:r>
      <w:r>
        <w:rPr>
          <w:rFonts w:ascii="Times New Roman" w:hAnsi="Times New Roman" w:eastAsia="Times New Roman" w:cs="Times New Roman"/>
          <w:spacing w:val="6"/>
        </w:rPr>
        <w:t>57.82 </w:t>
      </w:r>
      <w:r>
        <w:rPr>
          <w:spacing w:val="6"/>
        </w:rPr>
        <w:t>亿元</w:t>
      </w:r>
      <w:r>
        <w:rPr>
          <w:spacing w:val="5"/>
        </w:rPr>
        <w:t>，增</w:t>
      </w:r>
      <w:r>
        <w:rPr>
          <w:spacing w:val="7"/>
        </w:rPr>
        <w:t>长</w:t>
      </w:r>
      <w:r>
        <w:rPr>
          <w:spacing w:val="-17"/>
        </w:rPr>
        <w:t xml:space="preserve"> </w:t>
      </w:r>
      <w:r>
        <w:rPr>
          <w:rFonts w:ascii="Times New Roman" w:hAnsi="Times New Roman" w:eastAsia="Times New Roman" w:cs="Times New Roman"/>
          <w:spacing w:val="7"/>
        </w:rPr>
        <w:t>4.0% </w:t>
      </w:r>
      <w:r>
        <w:rPr>
          <w:spacing w:val="7"/>
        </w:rPr>
        <w:t>；第二产业增加值</w:t>
      </w:r>
      <w:r>
        <w:rPr>
          <w:spacing w:val="-23"/>
        </w:rPr>
        <w:t xml:space="preserve"> </w:t>
      </w:r>
      <w:r>
        <w:rPr>
          <w:rFonts w:ascii="Times New Roman" w:hAnsi="Times New Roman" w:eastAsia="Times New Roman" w:cs="Times New Roman"/>
          <w:spacing w:val="7"/>
        </w:rPr>
        <w:t>84.56 </w:t>
      </w:r>
      <w:r>
        <w:rPr>
          <w:spacing w:val="7"/>
        </w:rPr>
        <w:t>亿元</w:t>
      </w:r>
      <w:r>
        <w:rPr>
          <w:spacing w:val="-53"/>
        </w:rPr>
        <w:t xml:space="preserve"> </w:t>
      </w:r>
      <w:r>
        <w:rPr>
          <w:spacing w:val="7"/>
        </w:rPr>
        <w:t>，增长</w:t>
      </w:r>
      <w:r>
        <w:rPr>
          <w:rFonts w:ascii="Times New Roman" w:hAnsi="Times New Roman" w:eastAsia="Times New Roman" w:cs="Times New Roman"/>
          <w:spacing w:val="12"/>
        </w:rPr>
        <w:t>7.5% </w:t>
      </w:r>
      <w:r>
        <w:rPr>
          <w:spacing w:val="12"/>
        </w:rPr>
        <w:t>；第三产业增加值 </w:t>
      </w:r>
      <w:r>
        <w:rPr>
          <w:rFonts w:ascii="Times New Roman" w:hAnsi="Times New Roman" w:eastAsia="Times New Roman" w:cs="Times New Roman"/>
          <w:spacing w:val="12"/>
        </w:rPr>
        <w:t>160.82</w:t>
      </w:r>
      <w:r>
        <w:rPr>
          <w:rFonts w:ascii="Times New Roman" w:hAnsi="Times New Roman" w:eastAsia="Times New Roman" w:cs="Times New Roman"/>
          <w:spacing w:val="24"/>
          <w:w w:val="101"/>
        </w:rPr>
        <w:t xml:space="preserve"> </w:t>
      </w:r>
      <w:r>
        <w:rPr>
          <w:spacing w:val="12"/>
        </w:rPr>
        <w:t>亿元</w:t>
      </w:r>
      <w:r>
        <w:rPr>
          <w:spacing w:val="-42"/>
        </w:rPr>
        <w:t xml:space="preserve"> </w:t>
      </w:r>
      <w:r>
        <w:rPr>
          <w:spacing w:val="12"/>
        </w:rPr>
        <w:t>，增长</w:t>
      </w:r>
      <w:r>
        <w:rPr>
          <w:rFonts w:ascii="Times New Roman" w:hAnsi="Times New Roman" w:eastAsia="Times New Roman" w:cs="Times New Roman"/>
          <w:spacing w:val="2"/>
        </w:rPr>
        <w:t>7.0%</w:t>
      </w:r>
      <w:r>
        <w:rPr>
          <w:rFonts w:ascii="Times New Roman" w:hAnsi="Times New Roman" w:eastAsia="Times New Roman" w:cs="Times New Roman"/>
          <w:spacing w:val="-11"/>
        </w:rPr>
        <w:t xml:space="preserve"> </w:t>
      </w:r>
      <w:r>
        <w:rPr>
          <w:spacing w:val="2"/>
        </w:rPr>
        <w:t>。经济结构由</w:t>
      </w:r>
      <w:r>
        <w:rPr>
          <w:spacing w:val="-43"/>
        </w:rPr>
        <w:t xml:space="preserve"> </w:t>
      </w:r>
      <w:r>
        <w:rPr>
          <w:rFonts w:ascii="Times New Roman" w:hAnsi="Times New Roman" w:eastAsia="Times New Roman" w:cs="Times New Roman"/>
          <w:spacing w:val="2"/>
        </w:rPr>
        <w:t>2017 </w:t>
      </w:r>
      <w:r>
        <w:rPr>
          <w:spacing w:val="2"/>
        </w:rPr>
        <w:t>年的</w:t>
      </w:r>
      <w:r>
        <w:rPr>
          <w:spacing w:val="-23"/>
        </w:rPr>
        <w:t xml:space="preserve"> </w:t>
      </w:r>
      <w:r>
        <w:rPr>
          <w:rFonts w:ascii="Times New Roman" w:hAnsi="Times New Roman" w:eastAsia="Times New Roman" w:cs="Times New Roman"/>
          <w:spacing w:val="2"/>
        </w:rPr>
        <w:t>18.9</w:t>
      </w:r>
      <w:r>
        <w:rPr>
          <w:spacing w:val="2"/>
        </w:rPr>
        <w:t>：</w:t>
      </w:r>
      <w:r>
        <w:rPr>
          <w:rFonts w:ascii="Times New Roman" w:hAnsi="Times New Roman" w:eastAsia="Times New Roman" w:cs="Times New Roman"/>
          <w:spacing w:val="2"/>
        </w:rPr>
        <w:t>27.4</w:t>
      </w:r>
      <w:r>
        <w:rPr>
          <w:spacing w:val="2"/>
        </w:rPr>
        <w:t>：</w:t>
      </w:r>
      <w:r>
        <w:rPr>
          <w:rFonts w:ascii="Times New Roman" w:hAnsi="Times New Roman" w:eastAsia="Times New Roman" w:cs="Times New Roman"/>
          <w:spacing w:val="2"/>
        </w:rPr>
        <w:t>53.7</w:t>
      </w:r>
      <w:r>
        <w:rPr>
          <w:spacing w:val="1"/>
        </w:rPr>
        <w:t>转变为</w:t>
      </w:r>
      <w:r>
        <w:rPr>
          <w:spacing w:val="-32"/>
        </w:rPr>
        <w:t xml:space="preserve"> </w:t>
      </w:r>
      <w:r>
        <w:rPr>
          <w:rFonts w:ascii="Times New Roman" w:hAnsi="Times New Roman" w:eastAsia="Times New Roman" w:cs="Times New Roman"/>
          <w:spacing w:val="1"/>
        </w:rPr>
        <w:t>2018 </w:t>
      </w:r>
      <w:r>
        <w:rPr>
          <w:spacing w:val="1"/>
        </w:rPr>
        <w:t>年的</w:t>
      </w:r>
      <w:r>
        <w:rPr>
          <w:spacing w:val="-23"/>
        </w:rPr>
        <w:t xml:space="preserve"> </w:t>
      </w:r>
      <w:r>
        <w:rPr>
          <w:rFonts w:ascii="Times New Roman" w:hAnsi="Times New Roman" w:eastAsia="Times New Roman" w:cs="Times New Roman"/>
          <w:spacing w:val="1"/>
        </w:rPr>
        <w:t>19.</w:t>
      </w:r>
      <w:r>
        <w:rPr>
          <w:rFonts w:ascii="Times New Roman" w:hAnsi="Times New Roman" w:eastAsia="Times New Roman" w:cs="Times New Roman"/>
          <w:spacing w:val="-25"/>
        </w:rPr>
        <w:t xml:space="preserve"> </w:t>
      </w:r>
      <w:r>
        <w:rPr>
          <w:rFonts w:ascii="Times New Roman" w:hAnsi="Times New Roman" w:eastAsia="Times New Roman" w:cs="Times New Roman"/>
          <w:spacing w:val="1"/>
        </w:rPr>
        <w:t>1</w:t>
      </w:r>
      <w:r>
        <w:rPr>
          <w:spacing w:val="1"/>
        </w:rPr>
        <w:t>：</w:t>
      </w:r>
      <w:r>
        <w:rPr>
          <w:rFonts w:ascii="Times New Roman" w:hAnsi="Times New Roman" w:eastAsia="Times New Roman" w:cs="Times New Roman"/>
          <w:spacing w:val="1"/>
        </w:rPr>
        <w:t>27.9</w:t>
      </w:r>
      <w:r>
        <w:rPr>
          <w:spacing w:val="1"/>
        </w:rPr>
        <w:t>：</w:t>
      </w:r>
      <w:r>
        <w:rPr>
          <w:rFonts w:ascii="Times New Roman" w:hAnsi="Times New Roman" w:eastAsia="Times New Roman" w:cs="Times New Roman"/>
          <w:spacing w:val="1"/>
        </w:rPr>
        <w:t>53</w:t>
      </w:r>
      <w:r>
        <w:rPr>
          <w:spacing w:val="1"/>
        </w:rPr>
        <w:t>，第一产业比</w:t>
      </w:r>
      <w:r>
        <w:rPr>
          <w:spacing w:val="5"/>
        </w:rPr>
        <w:t>重提高</w:t>
      </w:r>
      <w:r>
        <w:rPr>
          <w:spacing w:val="-38"/>
        </w:rPr>
        <w:t xml:space="preserve"> </w:t>
      </w:r>
      <w:r>
        <w:rPr>
          <w:rFonts w:ascii="Times New Roman" w:hAnsi="Times New Roman" w:eastAsia="Times New Roman" w:cs="Times New Roman"/>
          <w:spacing w:val="5"/>
        </w:rPr>
        <w:t>0.2%</w:t>
      </w:r>
      <w:r>
        <w:rPr>
          <w:rFonts w:ascii="Times New Roman" w:hAnsi="Times New Roman" w:eastAsia="Times New Roman" w:cs="Times New Roman"/>
          <w:spacing w:val="-13"/>
        </w:rPr>
        <w:t xml:space="preserve"> </w:t>
      </w:r>
      <w:r>
        <w:rPr>
          <w:spacing w:val="5"/>
        </w:rPr>
        <w:t>，第二产业比重提高</w:t>
      </w:r>
      <w:r>
        <w:rPr>
          <w:spacing w:val="-37"/>
        </w:rPr>
        <w:t xml:space="preserve"> </w:t>
      </w:r>
      <w:r>
        <w:rPr>
          <w:rFonts w:ascii="Times New Roman" w:hAnsi="Times New Roman" w:eastAsia="Times New Roman" w:cs="Times New Roman"/>
          <w:spacing w:val="5"/>
        </w:rPr>
        <w:t>0.5%</w:t>
      </w:r>
      <w:r>
        <w:rPr>
          <w:rFonts w:ascii="Times New Roman" w:hAnsi="Times New Roman" w:eastAsia="Times New Roman" w:cs="Times New Roman"/>
          <w:spacing w:val="-12"/>
        </w:rPr>
        <w:t xml:space="preserve"> </w:t>
      </w:r>
      <w:r>
        <w:rPr>
          <w:spacing w:val="5"/>
        </w:rPr>
        <w:t>，第三</w:t>
      </w:r>
      <w:r>
        <w:rPr>
          <w:spacing w:val="11"/>
        </w:rPr>
        <w:t>产业比重下降</w:t>
      </w:r>
      <w:r>
        <w:rPr>
          <w:spacing w:val="-30"/>
        </w:rPr>
        <w:t xml:space="preserve"> </w:t>
      </w:r>
      <w:r>
        <w:rPr>
          <w:rFonts w:ascii="Times New Roman" w:hAnsi="Times New Roman" w:eastAsia="Times New Roman" w:cs="Times New Roman"/>
          <w:spacing w:val="11"/>
        </w:rPr>
        <w:t>0.7%</w:t>
      </w:r>
      <w:r>
        <w:rPr>
          <w:rFonts w:ascii="Times New Roman" w:hAnsi="Times New Roman" w:eastAsia="Times New Roman" w:cs="Times New Roman"/>
          <w:spacing w:val="-19"/>
        </w:rPr>
        <w:t xml:space="preserve"> </w:t>
      </w:r>
      <w:r>
        <w:rPr>
          <w:spacing w:val="11"/>
        </w:rPr>
        <w:t>。按常住人口计算人均生</w:t>
      </w:r>
      <w:r>
        <w:rPr>
          <w:spacing w:val="6"/>
        </w:rPr>
        <w:t>产总值达到</w:t>
      </w:r>
      <w:r>
        <w:rPr>
          <w:spacing w:val="-37"/>
        </w:rPr>
        <w:t xml:space="preserve"> </w:t>
      </w:r>
      <w:r>
        <w:rPr>
          <w:rFonts w:ascii="Times New Roman" w:hAnsi="Times New Roman" w:eastAsia="Times New Roman" w:cs="Times New Roman"/>
          <w:spacing w:val="6"/>
        </w:rPr>
        <w:t>24544 </w:t>
      </w:r>
      <w:r>
        <w:rPr>
          <w:spacing w:val="6"/>
        </w:rPr>
        <w:t>元，同比增长</w:t>
      </w:r>
      <w:r>
        <w:rPr>
          <w:spacing w:val="-37"/>
        </w:rPr>
        <w:t xml:space="preserve"> </w:t>
      </w:r>
      <w:r>
        <w:rPr>
          <w:rFonts w:ascii="Times New Roman" w:hAnsi="Times New Roman" w:eastAsia="Times New Roman" w:cs="Times New Roman"/>
          <w:spacing w:val="6"/>
        </w:rPr>
        <w:t>5.7%</w:t>
      </w:r>
      <w:r>
        <w:rPr>
          <w:spacing w:val="6"/>
        </w:rPr>
        <w:t>。</w:t>
      </w:r>
    </w:p>
    <w:p>
      <w:pPr>
        <w:pStyle w:val="BodyText"/>
        <w:ind w:left="423"/>
        <w:spacing w:before="14" w:line="277" w:lineRule="exact"/>
        <w:rPr/>
      </w:pPr>
      <w:r>
        <w:rPr>
          <w:spacing w:val="7"/>
          <w:position w:val="1"/>
        </w:rPr>
        <w:t>重要交通干线：</w:t>
      </w:r>
    </w:p>
    <w:p>
      <w:pPr>
        <w:pStyle w:val="BodyText"/>
        <w:ind w:left="1" w:right="46" w:firstLine="420"/>
        <w:spacing w:before="107" w:line="350" w:lineRule="auto"/>
        <w:rPr/>
      </w:pPr>
      <w:r>
        <w:rPr>
          <w:spacing w:val="19"/>
        </w:rPr>
        <w:t>依据城市总体规划和控制性详细规划路</w:t>
      </w:r>
      <w:r>
        <w:rPr>
          <w:spacing w:val="7"/>
        </w:rPr>
        <w:t>网，制定等级清晰，布局合理的道路骨架，突</w:t>
      </w:r>
      <w:r>
        <w:rPr>
          <w:spacing w:val="8"/>
        </w:rPr>
        <w:t>出道路交通系统的可通性、可达性和安全性。</w:t>
      </w:r>
      <w:r>
        <w:rPr>
          <w:spacing w:val="7"/>
        </w:rPr>
        <w:t>结合相关规划，综合考虑城市道路的功能发挥</w:t>
      </w:r>
      <w:r>
        <w:rPr>
          <w:spacing w:val="7"/>
        </w:rPr>
        <w:t>和土地开发的灵活应用等因素，科学合理的确</w:t>
      </w:r>
      <w:r>
        <w:rPr>
          <w:spacing w:val="7"/>
        </w:rPr>
        <w:t>定规划路网。</w:t>
      </w:r>
    </w:p>
    <w:p>
      <w:pPr>
        <w:pStyle w:val="BodyText"/>
        <w:ind w:left="1" w:firstLine="412"/>
        <w:spacing w:line="327" w:lineRule="auto"/>
        <w:rPr/>
      </w:pPr>
      <w:r>
        <w:rPr>
          <w:spacing w:val="2"/>
        </w:rPr>
        <w:t>（</w:t>
      </w:r>
      <w:r>
        <w:rPr>
          <w:spacing w:val="-47"/>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21"/>
        </w:rPr>
        <w:t xml:space="preserve"> </w:t>
      </w:r>
      <w:r>
        <w:rPr>
          <w:spacing w:val="2"/>
        </w:rPr>
        <w:t>）老城区：主干路可分为</w:t>
      </w:r>
      <w:r>
        <w:rPr>
          <w:rFonts w:ascii="Times New Roman" w:hAnsi="Times New Roman" w:eastAsia="Times New Roman" w:cs="Times New Roman"/>
          <w:spacing w:val="2"/>
        </w:rPr>
        <w:t>“</w:t>
      </w:r>
      <w:r>
        <w:rPr>
          <w:spacing w:val="2"/>
        </w:rPr>
        <w:t>七横六纵</w:t>
      </w:r>
      <w:r>
        <w:rPr>
          <w:rFonts w:ascii="Times New Roman" w:hAnsi="Times New Roman" w:eastAsia="Times New Roman" w:cs="Times New Roman"/>
          <w:spacing w:val="2"/>
        </w:rPr>
        <w:t>”</w:t>
      </w:r>
      <w:r>
        <w:rPr>
          <w:spacing w:val="2"/>
        </w:rPr>
        <w:t>，</w:t>
      </w:r>
      <w:r>
        <w:rPr>
          <w:spacing w:val="8"/>
        </w:rPr>
        <w:t>共 </w:t>
      </w:r>
      <w:r>
        <w:rPr>
          <w:rFonts w:ascii="Times New Roman" w:hAnsi="Times New Roman" w:eastAsia="Times New Roman" w:cs="Times New Roman"/>
          <w:spacing w:val="8"/>
        </w:rPr>
        <w:t>13  </w:t>
      </w:r>
      <w:r>
        <w:rPr>
          <w:spacing w:val="8"/>
        </w:rPr>
        <w:t>条道路，</w:t>
      </w:r>
      <w:r>
        <w:rPr>
          <w:rFonts w:ascii="Times New Roman" w:hAnsi="Times New Roman" w:eastAsia="Times New Roman" w:cs="Times New Roman"/>
          <w:spacing w:val="8"/>
        </w:rPr>
        <w:t>“</w:t>
      </w:r>
      <w:r>
        <w:rPr>
          <w:spacing w:val="8"/>
        </w:rPr>
        <w:t>七横</w:t>
      </w:r>
      <w:r>
        <w:rPr>
          <w:rFonts w:ascii="Times New Roman" w:hAnsi="Times New Roman" w:eastAsia="Times New Roman" w:cs="Times New Roman"/>
          <w:spacing w:val="8"/>
        </w:rPr>
        <w:t>”</w:t>
      </w:r>
      <w:r>
        <w:rPr>
          <w:spacing w:val="8"/>
        </w:rPr>
        <w:t>自北向南为：高红路、</w:t>
      </w:r>
      <w:r>
        <w:rPr>
          <w:spacing w:val="8"/>
        </w:rPr>
        <w:t>六盘山东路、文化路、南城路等；</w:t>
      </w:r>
      <w:r>
        <w:rPr>
          <w:rFonts w:ascii="Times New Roman" w:hAnsi="Times New Roman" w:eastAsia="Times New Roman" w:cs="Times New Roman"/>
          <w:spacing w:val="8"/>
        </w:rPr>
        <w:t>“</w:t>
      </w:r>
      <w:r>
        <w:rPr>
          <w:spacing w:val="8"/>
        </w:rPr>
        <w:t>六纵</w:t>
      </w:r>
      <w:r>
        <w:rPr>
          <w:rFonts w:ascii="Times New Roman" w:hAnsi="Times New Roman" w:eastAsia="Times New Roman" w:cs="Times New Roman"/>
          <w:spacing w:val="8"/>
        </w:rPr>
        <w:t>”</w:t>
      </w:r>
      <w:r>
        <w:rPr>
          <w:spacing w:val="8"/>
        </w:rPr>
        <w:t>自东</w:t>
      </w:r>
      <w:r>
        <w:rPr>
          <w:spacing w:val="9"/>
        </w:rPr>
        <w:t>向西为：中山街、东海路、六盘山西路等。</w:t>
      </w:r>
    </w:p>
    <w:p>
      <w:pPr>
        <w:pStyle w:val="BodyText"/>
        <w:ind w:left="7" w:right="66" w:firstLine="406"/>
        <w:spacing w:before="102" w:line="271"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）新区：新区道路规划为主干路、次</w:t>
      </w:r>
      <w:r>
        <w:rPr>
          <w:spacing w:val="7"/>
        </w:rPr>
        <w:t>干路和支路三个等级。主干路为长城东路、古</w:t>
      </w:r>
    </w:p>
    <w:p>
      <w:pPr>
        <w:spacing w:line="271" w:lineRule="auto"/>
        <w:sectPr>
          <w:type w:val="continuous"/>
          <w:pgSz w:w="11906" w:h="16839"/>
          <w:pgMar w:top="1974" w:right="1523" w:bottom="1574" w:left="1579" w:header="1634" w:footer="1172" w:gutter="0"/>
          <w:cols w:equalWidth="0" w:num="2">
            <w:col w:w="4488" w:space="100"/>
            <w:col w:w="4215" w:space="0"/>
          </w:cols>
        </w:sectPr>
        <w:rPr/>
      </w:pPr>
    </w:p>
    <w:p>
      <w:pPr>
        <w:spacing w:before="48"/>
        <w:rPr/>
      </w:pPr>
      <w:r>
        <w:drawing>
          <wp:anchor distT="0" distB="0" distL="0" distR="0" simplePos="0" relativeHeight="254630912"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402" name="IM 2402"/>
            <wp:cNvGraphicFramePr/>
            <a:graphic>
              <a:graphicData uri="http://schemas.openxmlformats.org/drawingml/2006/picture">
                <pic:pic>
                  <pic:nvPicPr>
                    <pic:cNvPr id="2402" name="IM 2402"/>
                    <pic:cNvPicPr/>
                  </pic:nvPicPr>
                  <pic:blipFill>
                    <a:blip r:embed="rId1206"/>
                    <a:stretch>
                      <a:fillRect/>
                    </a:stretch>
                  </pic:blipFill>
                  <pic:spPr>
                    <a:xfrm rot="0">
                      <a:off x="0" y="0"/>
                      <a:ext cx="5579745" cy="7620"/>
                    </a:xfrm>
                    <a:prstGeom prst="rect">
                      <a:avLst/>
                    </a:prstGeom>
                  </pic:spPr>
                </pic:pic>
              </a:graphicData>
            </a:graphic>
          </wp:anchor>
        </w:drawing>
      </w:r>
      <w:r/>
    </w:p>
    <w:p>
      <w:pPr>
        <w:sectPr>
          <w:headerReference w:type="default" r:id="rId1048"/>
          <w:footerReference w:type="default" r:id="rId1205"/>
          <w:pgSz w:w="11906" w:h="16839"/>
          <w:pgMar w:top="1772" w:right="1489" w:bottom="1572" w:left="1571" w:header="1428" w:footer="1172" w:gutter="0"/>
          <w:cols w:equalWidth="0" w:num="1">
            <w:col w:w="8846" w:space="0"/>
          </w:cols>
        </w:sectPr>
        <w:rPr/>
      </w:pPr>
    </w:p>
    <w:p>
      <w:pPr>
        <w:pStyle w:val="BodyText"/>
        <w:ind w:left="22" w:right="286" w:hanging="3"/>
        <w:spacing w:before="47" w:line="350" w:lineRule="auto"/>
        <w:rPr/>
      </w:pPr>
      <w:r>
        <w:rPr>
          <w:spacing w:val="3"/>
        </w:rPr>
        <w:t>雁西路、安康路、雁岭北路、学院路等，共</w:t>
      </w:r>
      <w:r>
        <w:rPr>
          <w:spacing w:val="-13"/>
        </w:rPr>
        <w:t xml:space="preserve"> </w:t>
      </w:r>
      <w:r>
        <w:rPr>
          <w:rFonts w:ascii="Times New Roman" w:hAnsi="Times New Roman" w:eastAsia="Times New Roman" w:cs="Times New Roman"/>
          <w:spacing w:val="3"/>
        </w:rPr>
        <w:t>10</w:t>
      </w:r>
      <w:r>
        <w:rPr>
          <w:spacing w:val="6"/>
        </w:rPr>
        <w:t>条道路。</w:t>
      </w:r>
    </w:p>
    <w:p>
      <w:pPr>
        <w:pStyle w:val="BodyText"/>
        <w:ind w:left="22" w:right="289" w:firstLine="410"/>
        <w:spacing w:before="2" w:line="319"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）西部新区：西部新区道路规划为主</w:t>
      </w:r>
      <w:r>
        <w:rPr>
          <w:spacing w:val="12"/>
        </w:rPr>
        <w:t>干路、次干路和支路三个等级。主干路为</w:t>
      </w:r>
      <w:r>
        <w:rPr>
          <w:rFonts w:ascii="Times New Roman" w:hAnsi="Times New Roman" w:eastAsia="Times New Roman" w:cs="Times New Roman"/>
          <w:spacing w:val="12"/>
        </w:rPr>
        <w:t>“</w:t>
      </w:r>
      <w:r>
        <w:rPr>
          <w:spacing w:val="12"/>
        </w:rPr>
        <w:t>四</w:t>
      </w:r>
      <w:r>
        <w:rPr>
          <w:spacing w:val="7"/>
        </w:rPr>
        <w:t>横三纵</w:t>
      </w:r>
      <w:r>
        <w:rPr>
          <w:rFonts w:ascii="Times New Roman" w:hAnsi="Times New Roman" w:eastAsia="Times New Roman" w:cs="Times New Roman"/>
          <w:spacing w:val="7"/>
        </w:rPr>
        <w:t>”</w:t>
      </w:r>
      <w:r>
        <w:rPr>
          <w:rFonts w:ascii="Times New Roman" w:hAnsi="Times New Roman" w:eastAsia="Times New Roman" w:cs="Times New Roman"/>
          <w:spacing w:val="1"/>
        </w:rPr>
        <w:t xml:space="preserve"> </w:t>
      </w:r>
      <w:r>
        <w:rPr>
          <w:spacing w:val="7"/>
        </w:rPr>
        <w:t>，共</w:t>
      </w:r>
      <w:r>
        <w:rPr>
          <w:spacing w:val="-35"/>
        </w:rPr>
        <w:t xml:space="preserve"> </w:t>
      </w:r>
      <w:r>
        <w:rPr>
          <w:rFonts w:ascii="Times New Roman" w:hAnsi="Times New Roman" w:eastAsia="Times New Roman" w:cs="Times New Roman"/>
          <w:spacing w:val="7"/>
        </w:rPr>
        <w:t>7 </w:t>
      </w:r>
      <w:r>
        <w:rPr>
          <w:spacing w:val="7"/>
        </w:rPr>
        <w:t>条道路</w:t>
      </w:r>
      <w:r>
        <w:rPr>
          <w:spacing w:val="-58"/>
        </w:rPr>
        <w:t xml:space="preserve"> </w:t>
      </w:r>
      <w:r>
        <w:rPr>
          <w:spacing w:val="7"/>
        </w:rPr>
        <w:t>，四横为兴业路、油坊</w:t>
      </w:r>
      <w:r>
        <w:rPr>
          <w:spacing w:val="8"/>
        </w:rPr>
        <w:t>路等，三纵为中河街、营城路等。</w:t>
      </w:r>
    </w:p>
    <w:p>
      <w:pPr>
        <w:pStyle w:val="BodyText"/>
        <w:ind w:left="22" w:right="289" w:firstLine="410"/>
        <w:spacing w:before="135" w:line="309"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）西南新区：西南新区道路规划为主</w:t>
      </w:r>
      <w:r>
        <w:rPr>
          <w:spacing w:val="7"/>
        </w:rPr>
        <w:t>干路、次干路和支路三个等级。主干路为九龙</w:t>
      </w:r>
      <w:r>
        <w:rPr>
          <w:spacing w:val="8"/>
        </w:rPr>
        <w:t>路、长城西路、南平街等，共</w:t>
      </w:r>
      <w:r>
        <w:rPr>
          <w:spacing w:val="-39"/>
        </w:rPr>
        <w:t xml:space="preserve"> </w:t>
      </w:r>
      <w:r>
        <w:rPr>
          <w:rFonts w:ascii="Times New Roman" w:hAnsi="Times New Roman" w:eastAsia="Times New Roman" w:cs="Times New Roman"/>
          <w:spacing w:val="8"/>
        </w:rPr>
        <w:t>4 </w:t>
      </w:r>
      <w:r>
        <w:rPr>
          <w:spacing w:val="8"/>
        </w:rPr>
        <w:t>条道路。</w:t>
      </w:r>
    </w:p>
    <w:p>
      <w:pPr>
        <w:pStyle w:val="BodyText"/>
        <w:ind w:left="443"/>
        <w:spacing w:before="135" w:line="277" w:lineRule="exact"/>
        <w:rPr/>
      </w:pPr>
      <w:r>
        <w:rPr>
          <w:spacing w:val="7"/>
          <w:position w:val="1"/>
        </w:rPr>
        <w:t>重要基础设施等：</w:t>
      </w:r>
    </w:p>
    <w:p>
      <w:pPr>
        <w:pStyle w:val="BodyText"/>
        <w:ind w:left="21" w:right="287" w:firstLine="441"/>
        <w:spacing w:before="105" w:line="289" w:lineRule="auto"/>
        <w:rPr/>
      </w:pPr>
      <w:r>
        <w:rPr>
          <w:rFonts w:ascii="Times New Roman" w:hAnsi="Times New Roman" w:eastAsia="Times New Roman" w:cs="Times New Roman"/>
          <w:spacing w:val="2"/>
        </w:rPr>
        <w:t>1.  </w:t>
      </w:r>
      <w:r>
        <w:rPr>
          <w:spacing w:val="2"/>
        </w:rPr>
        <w:t>能源供应系统：包括电力、煤气、天然</w:t>
      </w:r>
      <w:r>
        <w:rPr>
          <w:spacing w:val="8"/>
        </w:rPr>
        <w:t>气、液化石油气和暖气等；</w:t>
      </w:r>
    </w:p>
    <w:p>
      <w:pPr>
        <w:pStyle w:val="BodyText"/>
        <w:ind w:left="21" w:right="287" w:firstLine="421"/>
        <w:spacing w:before="131" w:line="290" w:lineRule="auto"/>
        <w:rPr/>
      </w:pPr>
      <w:r>
        <w:rPr>
          <w:rFonts w:ascii="Times New Roman" w:hAnsi="Times New Roman" w:eastAsia="Times New Roman" w:cs="Times New Roman"/>
          <w:spacing w:val="3"/>
        </w:rPr>
        <w:t>2.  </w:t>
      </w:r>
      <w:r>
        <w:rPr>
          <w:spacing w:val="3"/>
        </w:rPr>
        <w:t>供水排水系统：包括水资源保护、自来</w:t>
      </w:r>
      <w:r>
        <w:rPr>
          <w:spacing w:val="9"/>
        </w:rPr>
        <w:t>水厂、供水管网、排水和污水处理；</w:t>
      </w:r>
    </w:p>
    <w:p>
      <w:pPr>
        <w:pStyle w:val="BodyText"/>
        <w:ind w:left="20" w:right="266" w:firstLine="426"/>
        <w:spacing w:before="138" w:line="334" w:lineRule="auto"/>
        <w:rPr/>
      </w:pPr>
      <w:r>
        <w:rPr>
          <w:rFonts w:ascii="Times New Roman" w:hAnsi="Times New Roman" w:eastAsia="Times New Roman" w:cs="Times New Roman"/>
          <w:spacing w:val="3"/>
        </w:rPr>
        <w:t>3.  </w:t>
      </w:r>
      <w:r>
        <w:rPr>
          <w:spacing w:val="3"/>
        </w:rPr>
        <w:t>交通运输系统：分为对外交通设施和对</w:t>
      </w:r>
      <w:r>
        <w:rPr>
          <w:spacing w:val="7"/>
        </w:rPr>
        <w:t>内交通设施。前者包括航空、铁路、航运、长</w:t>
      </w:r>
      <w:r>
        <w:rPr>
          <w:spacing w:val="7"/>
        </w:rPr>
        <w:t>途汽车和高速公路；后者包括道路、桥梁、隧</w:t>
      </w:r>
      <w:r>
        <w:rPr>
          <w:spacing w:val="8"/>
        </w:rPr>
        <w:t>道、地铁、轻轨高架、公共交通、出租汽车、</w:t>
      </w:r>
      <w:r>
        <w:rPr>
          <w:spacing w:val="8"/>
        </w:rPr>
        <w:t>停车场、轮渡等；</w:t>
      </w:r>
    </w:p>
    <w:p>
      <w:pPr>
        <w:pStyle w:val="BodyText"/>
        <w:ind w:left="18" w:right="287" w:firstLine="422"/>
        <w:spacing w:before="157" w:line="301" w:lineRule="auto"/>
        <w:rPr/>
      </w:pPr>
      <w:r>
        <w:rPr>
          <w:rFonts w:ascii="Times New Roman" w:hAnsi="Times New Roman" w:eastAsia="Times New Roman" w:cs="Times New Roman"/>
          <w:spacing w:val="3"/>
        </w:rPr>
        <w:t>4.  </w:t>
      </w:r>
      <w:r>
        <w:rPr>
          <w:spacing w:val="3"/>
        </w:rPr>
        <w:t>邮电通讯系统：如邮政、电报、固定电</w:t>
      </w:r>
      <w:r>
        <w:rPr>
          <w:spacing w:val="9"/>
        </w:rPr>
        <w:t>话、移动电话、互联网、广播电视等；</w:t>
      </w:r>
    </w:p>
    <w:p>
      <w:pPr>
        <w:pStyle w:val="BodyText"/>
        <w:ind w:left="27" w:right="287" w:firstLine="420"/>
        <w:spacing w:before="159" w:line="301" w:lineRule="auto"/>
        <w:rPr/>
      </w:pPr>
      <w:r>
        <w:rPr>
          <w:rFonts w:ascii="Times New Roman" w:hAnsi="Times New Roman" w:eastAsia="Times New Roman" w:cs="Times New Roman"/>
          <w:spacing w:val="3"/>
        </w:rPr>
        <w:t>5.  </w:t>
      </w:r>
      <w:r>
        <w:rPr>
          <w:spacing w:val="3"/>
        </w:rPr>
        <w:t>环保环卫系统：如园林绿化、垃圾收集</w:t>
      </w:r>
      <w:r>
        <w:rPr>
          <w:spacing w:val="7"/>
        </w:rPr>
        <w:t>与处理、污染治理等；</w:t>
      </w:r>
    </w:p>
    <w:p>
      <w:pPr>
        <w:pStyle w:val="BodyText"/>
        <w:ind w:left="20" w:right="287" w:firstLine="426"/>
        <w:spacing w:before="157" w:line="301" w:lineRule="auto"/>
        <w:rPr/>
      </w:pPr>
      <w:r>
        <w:rPr>
          <w:rFonts w:ascii="Times New Roman" w:hAnsi="Times New Roman" w:eastAsia="Times New Roman" w:cs="Times New Roman"/>
          <w:spacing w:val="3"/>
        </w:rPr>
        <w:t>6.  </w:t>
      </w:r>
      <w:r>
        <w:rPr>
          <w:spacing w:val="3"/>
        </w:rPr>
        <w:t>防卫防灾安全系统：如消防、防汛、防</w:t>
      </w:r>
      <w:r>
        <w:rPr>
          <w:spacing w:val="9"/>
        </w:rPr>
        <w:t>震、防风沙、防地面沉降、防空等。</w:t>
      </w:r>
    </w:p>
    <w:p>
      <w:pPr>
        <w:ind w:left="442"/>
        <w:spacing w:before="163" w:line="263" w:lineRule="exact"/>
        <w:rPr>
          <w:rFonts w:ascii="KaiTi" w:hAnsi="KaiTi" w:eastAsia="KaiTi" w:cs="KaiTi"/>
          <w:sz w:val="20"/>
          <w:szCs w:val="20"/>
        </w:rPr>
      </w:pPr>
      <w:r>
        <w:rPr>
          <w:rFonts w:ascii="Times New Roman" w:hAnsi="Times New Roman" w:eastAsia="Times New Roman" w:cs="Times New Roman"/>
          <w:sz w:val="20"/>
          <w:szCs w:val="20"/>
          <w:spacing w:val="4"/>
          <w:position w:val="1"/>
        </w:rPr>
        <w:t>2.3</w:t>
      </w:r>
      <w:r>
        <w:rPr>
          <w:rFonts w:ascii="Times New Roman" w:hAnsi="Times New Roman" w:eastAsia="Times New Roman" w:cs="Times New Roman"/>
          <w:sz w:val="20"/>
          <w:szCs w:val="20"/>
          <w:spacing w:val="14"/>
          <w:w w:val="101"/>
          <w:position w:val="1"/>
        </w:rPr>
        <w:t xml:space="preserve">  </w:t>
      </w:r>
      <w:r>
        <w:rPr>
          <w:rFonts w:ascii="KaiTi" w:hAnsi="KaiTi" w:eastAsia="KaiTi" w:cs="KaiTi"/>
          <w:sz w:val="20"/>
          <w:szCs w:val="20"/>
          <w:spacing w:val="4"/>
          <w:position w:val="1"/>
        </w:rPr>
        <w:t>洪涝风险分析。</w:t>
      </w:r>
    </w:p>
    <w:p>
      <w:pPr>
        <w:pStyle w:val="BodyText"/>
        <w:ind w:left="22" w:right="287" w:firstLine="420"/>
        <w:spacing w:before="144" w:line="371" w:lineRule="auto"/>
        <w:rPr>
          <w:sz w:val="21"/>
          <w:szCs w:val="21"/>
        </w:rPr>
      </w:pPr>
      <w:r>
        <w:rPr>
          <w:spacing w:val="2"/>
        </w:rPr>
        <w:t>根据</w:t>
      </w:r>
      <w:r>
        <w:rPr>
          <w:spacing w:val="-45"/>
        </w:rPr>
        <w:t xml:space="preserve"> </w:t>
      </w:r>
      <w:r>
        <w:rPr>
          <w:rFonts w:ascii="Times New Roman" w:hAnsi="Times New Roman" w:eastAsia="Times New Roman" w:cs="Times New Roman"/>
          <w:spacing w:val="2"/>
        </w:rPr>
        <w:t>2019 </w:t>
      </w:r>
      <w:r>
        <w:rPr>
          <w:spacing w:val="2"/>
        </w:rPr>
        <w:t>年</w:t>
      </w:r>
      <w:r>
        <w:rPr>
          <w:spacing w:val="-32"/>
        </w:rPr>
        <w:t xml:space="preserve"> </w:t>
      </w:r>
      <w:r>
        <w:rPr>
          <w:rFonts w:ascii="Times New Roman" w:hAnsi="Times New Roman" w:eastAsia="Times New Roman" w:cs="Times New Roman"/>
          <w:spacing w:val="2"/>
        </w:rPr>
        <w:t>8 </w:t>
      </w:r>
      <w:r>
        <w:rPr>
          <w:spacing w:val="2"/>
        </w:rPr>
        <w:t>月</w:t>
      </w:r>
      <w:r>
        <w:rPr>
          <w:spacing w:val="-41"/>
        </w:rPr>
        <w:t xml:space="preserve"> </w:t>
      </w:r>
      <w:r>
        <w:rPr>
          <w:rFonts w:ascii="Times New Roman" w:hAnsi="Times New Roman" w:eastAsia="Times New Roman" w:cs="Times New Roman"/>
          <w:spacing w:val="2"/>
        </w:rPr>
        <w:t>26  </w:t>
      </w:r>
      <w:r>
        <w:rPr>
          <w:spacing w:val="2"/>
        </w:rPr>
        <w:t>日留存影</w:t>
      </w:r>
      <w:r>
        <w:rPr>
          <w:spacing w:val="1"/>
        </w:rPr>
        <w:t>像资料，对</w:t>
      </w:r>
      <w:r>
        <w:rPr>
          <w:spacing w:val="7"/>
        </w:rPr>
        <w:t>于城市暴雨内涝灾害模拟中积水来源分析，内</w:t>
      </w:r>
      <w:r>
        <w:rPr>
          <w:spacing w:val="7"/>
        </w:rPr>
        <w:t>涝产生地点主要集中在南河滩、东关路、六盘</w:t>
      </w:r>
      <w:r>
        <w:rPr>
          <w:spacing w:val="6"/>
        </w:rPr>
        <w:t>山东路</w:t>
      </w:r>
      <w:r>
        <w:rPr>
          <w:sz w:val="21"/>
          <w:szCs w:val="21"/>
          <w:i/>
          <w:iCs/>
          <w:spacing w:val="6"/>
        </w:rPr>
        <w:t>。</w:t>
      </w:r>
    </w:p>
    <w:p>
      <w:pPr>
        <w:pStyle w:val="BodyText"/>
        <w:ind w:left="21" w:right="289" w:firstLine="441"/>
        <w:spacing w:before="2" w:line="323" w:lineRule="auto"/>
        <w:jc w:val="both"/>
        <w:rPr/>
      </w:pPr>
      <w:r>
        <w:rPr>
          <w:spacing w:val="5"/>
        </w:rPr>
        <w:t>固原市处在黄土丘陵沟壑区，受极端天气</w:t>
      </w:r>
      <w:r>
        <w:rPr>
          <w:spacing w:val="7"/>
        </w:rPr>
        <w:t>影响，汛期极易发生局地暴雨、冰雹、泥石流</w:t>
      </w:r>
      <w:r>
        <w:rPr>
          <w:spacing w:val="7"/>
        </w:rPr>
        <w:t>等自然灾害，历史上固原市就发生过无数次的</w:t>
      </w:r>
    </w:p>
    <w:p>
      <w:pPr>
        <w:spacing w:line="14" w:lineRule="auto"/>
        <w:rPr>
          <w:rFonts w:ascii="Arial"/>
          <w:sz w:val="2"/>
        </w:rPr>
      </w:pPr>
      <w:r>
        <w:rPr>
          <w:rFonts w:ascii="Arial" w:hAnsi="Arial" w:eastAsia="Arial" w:cs="Arial"/>
          <w:sz w:val="2"/>
          <w:szCs w:val="2"/>
        </w:rPr>
        <w:br w:type="column"/>
      </w:r>
    </w:p>
    <w:p>
      <w:pPr>
        <w:pStyle w:val="BodyText"/>
        <w:ind w:left="38" w:right="96" w:firstLine="5"/>
        <w:spacing w:before="63" w:line="375" w:lineRule="auto"/>
        <w:jc w:val="both"/>
        <w:rPr/>
      </w:pPr>
      <w:r>
        <w:rPr>
          <w:spacing w:val="7"/>
        </w:rPr>
        <w:t>特大洪灾。据《明实录》记载，明代正德四年</w:t>
      </w:r>
      <w:r>
        <w:rPr>
          <w:spacing w:val="10"/>
        </w:rPr>
        <w:t>固原市曾发生了瞬间特大暴雨</w:t>
      </w:r>
      <w:r>
        <w:rPr>
          <w:spacing w:val="-41"/>
        </w:rPr>
        <w:t xml:space="preserve"> </w:t>
      </w:r>
      <w:r>
        <w:rPr>
          <w:spacing w:val="10"/>
        </w:rPr>
        <w:t>，</w:t>
      </w:r>
      <w:r>
        <w:rPr>
          <w:rFonts w:ascii="Times New Roman" w:hAnsi="Times New Roman" w:eastAsia="Times New Roman" w:cs="Times New Roman"/>
          <w:spacing w:val="10"/>
        </w:rPr>
        <w:t>“</w:t>
      </w:r>
      <w:r>
        <w:rPr>
          <w:spacing w:val="10"/>
        </w:rPr>
        <w:t>平地积水盈</w:t>
      </w:r>
      <w:r>
        <w:rPr>
          <w:spacing w:val="4"/>
        </w:rPr>
        <w:t>尺，牛马溺死者无数</w:t>
      </w:r>
      <w:r>
        <w:rPr>
          <w:rFonts w:ascii="Times New Roman" w:hAnsi="Times New Roman" w:eastAsia="Times New Roman" w:cs="Times New Roman"/>
          <w:spacing w:val="4"/>
        </w:rPr>
        <w:t>”</w:t>
      </w:r>
      <w:r>
        <w:rPr>
          <w:spacing w:val="4"/>
        </w:rPr>
        <w:t>。</w:t>
      </w:r>
      <w:r>
        <w:rPr>
          <w:rFonts w:ascii="Times New Roman" w:hAnsi="Times New Roman" w:eastAsia="Times New Roman" w:cs="Times New Roman"/>
          <w:spacing w:val="4"/>
        </w:rPr>
        <w:t>20 </w:t>
      </w:r>
      <w:r>
        <w:rPr>
          <w:spacing w:val="4"/>
        </w:rPr>
        <w:t>世纪</w:t>
      </w:r>
      <w:r>
        <w:rPr>
          <w:spacing w:val="-33"/>
        </w:rPr>
        <w:t xml:space="preserve"> </w:t>
      </w:r>
      <w:r>
        <w:rPr>
          <w:rFonts w:ascii="Times New Roman" w:hAnsi="Times New Roman" w:eastAsia="Times New Roman" w:cs="Times New Roman"/>
          <w:spacing w:val="4"/>
        </w:rPr>
        <w:t>50 </w:t>
      </w:r>
      <w:r>
        <w:rPr>
          <w:spacing w:val="4"/>
        </w:rPr>
        <w:t>年代，清水</w:t>
      </w:r>
      <w:r>
        <w:rPr>
          <w:spacing w:val="7"/>
        </w:rPr>
        <w:t>河流域也发生过数次特大洪涝灾害。根据调查</w:t>
      </w:r>
      <w:r>
        <w:rPr>
          <w:spacing w:val="5"/>
        </w:rPr>
        <w:t>和实测资料，</w:t>
      </w:r>
      <w:r>
        <w:rPr>
          <w:rFonts w:ascii="Times New Roman" w:hAnsi="Times New Roman" w:eastAsia="Times New Roman" w:cs="Times New Roman"/>
          <w:spacing w:val="5"/>
        </w:rPr>
        <w:t>1926 </w:t>
      </w:r>
      <w:r>
        <w:rPr>
          <w:spacing w:val="5"/>
        </w:rPr>
        <w:t>年</w:t>
      </w:r>
      <w:r>
        <w:rPr>
          <w:spacing w:val="-40"/>
        </w:rPr>
        <w:t xml:space="preserve"> </w:t>
      </w:r>
      <w:r>
        <w:rPr>
          <w:rFonts w:ascii="Times New Roman" w:hAnsi="Times New Roman" w:eastAsia="Times New Roman" w:cs="Times New Roman"/>
          <w:spacing w:val="5"/>
        </w:rPr>
        <w:t>7 </w:t>
      </w:r>
      <w:r>
        <w:rPr>
          <w:spacing w:val="5"/>
        </w:rPr>
        <w:t>月</w:t>
      </w:r>
      <w:r>
        <w:rPr>
          <w:spacing w:val="-40"/>
        </w:rPr>
        <w:t xml:space="preserve"> </w:t>
      </w:r>
      <w:r>
        <w:rPr>
          <w:rFonts w:ascii="Times New Roman" w:hAnsi="Times New Roman" w:eastAsia="Times New Roman" w:cs="Times New Roman"/>
          <w:spacing w:val="5"/>
        </w:rPr>
        <w:t>26  </w:t>
      </w:r>
      <w:r>
        <w:rPr>
          <w:spacing w:val="5"/>
        </w:rPr>
        <w:t>日，发生了一次</w:t>
      </w:r>
      <w:r>
        <w:rPr>
          <w:spacing w:val="6"/>
        </w:rPr>
        <w:t>面积较大的暴雨洪水</w:t>
      </w:r>
      <w:r>
        <w:rPr>
          <w:spacing w:val="-52"/>
        </w:rPr>
        <w:t xml:space="preserve"> </w:t>
      </w:r>
      <w:r>
        <w:rPr>
          <w:spacing w:val="6"/>
        </w:rPr>
        <w:t>，洪峰流量</w:t>
      </w:r>
      <w:r>
        <w:rPr>
          <w:spacing w:val="-32"/>
        </w:rPr>
        <w:t xml:space="preserve"> </w:t>
      </w:r>
      <w:r>
        <w:rPr>
          <w:rFonts w:ascii="Times New Roman" w:hAnsi="Times New Roman" w:eastAsia="Times New Roman" w:cs="Times New Roman"/>
          <w:spacing w:val="6"/>
        </w:rPr>
        <w:t>811m</w:t>
      </w:r>
      <w:r>
        <w:rPr>
          <w:rFonts w:ascii="Times New Roman" w:hAnsi="Times New Roman" w:eastAsia="Times New Roman" w:cs="Times New Roman"/>
          <w:sz w:val="13"/>
          <w:szCs w:val="13"/>
          <w:spacing w:val="6"/>
          <w:position w:val="6"/>
        </w:rPr>
        <w:t>3</w:t>
      </w:r>
      <w:r>
        <w:rPr>
          <w:rFonts w:ascii="Times New Roman" w:hAnsi="Times New Roman" w:eastAsia="Times New Roman" w:cs="Times New Roman"/>
          <w:spacing w:val="6"/>
        </w:rPr>
        <w:t>/s</w:t>
      </w:r>
      <w:r>
        <w:rPr>
          <w:rFonts w:ascii="Times New Roman" w:hAnsi="Times New Roman" w:eastAsia="Times New Roman" w:cs="Times New Roman"/>
          <w:spacing w:val="-8"/>
        </w:rPr>
        <w:t xml:space="preserve"> </w:t>
      </w:r>
      <w:r>
        <w:rPr>
          <w:spacing w:val="6"/>
        </w:rPr>
        <w:t>，洪</w:t>
      </w:r>
      <w:r>
        <w:rPr>
          <w:spacing w:val="2"/>
        </w:rPr>
        <w:t>水进了固原城区南门。</w:t>
      </w:r>
      <w:r>
        <w:rPr>
          <w:rFonts w:ascii="Times New Roman" w:hAnsi="Times New Roman" w:eastAsia="Times New Roman" w:cs="Times New Roman"/>
          <w:spacing w:val="2"/>
        </w:rPr>
        <w:t>1943 </w:t>
      </w:r>
      <w:r>
        <w:rPr>
          <w:spacing w:val="2"/>
        </w:rPr>
        <w:t>年、</w:t>
      </w:r>
      <w:r>
        <w:rPr>
          <w:rFonts w:ascii="Times New Roman" w:hAnsi="Times New Roman" w:eastAsia="Times New Roman" w:cs="Times New Roman"/>
          <w:spacing w:val="2"/>
        </w:rPr>
        <w:t>1959</w:t>
      </w:r>
      <w:r>
        <w:rPr>
          <w:rFonts w:ascii="Times New Roman" w:hAnsi="Times New Roman" w:eastAsia="Times New Roman" w:cs="Times New Roman"/>
          <w:spacing w:val="1"/>
        </w:rPr>
        <w:t xml:space="preserve"> </w:t>
      </w:r>
      <w:r>
        <w:rPr>
          <w:spacing w:val="1"/>
        </w:rPr>
        <w:t>年、</w:t>
      </w:r>
      <w:r>
        <w:rPr>
          <w:rFonts w:ascii="Times New Roman" w:hAnsi="Times New Roman" w:eastAsia="Times New Roman" w:cs="Times New Roman"/>
          <w:spacing w:val="1"/>
        </w:rPr>
        <w:t>1964</w:t>
      </w:r>
      <w:r>
        <w:rPr>
          <w:spacing w:val="5"/>
        </w:rPr>
        <w:t>年、</w:t>
      </w:r>
      <w:r>
        <w:rPr>
          <w:rFonts w:ascii="Times New Roman" w:hAnsi="Times New Roman" w:eastAsia="Times New Roman" w:cs="Times New Roman"/>
          <w:spacing w:val="5"/>
        </w:rPr>
        <w:t>1973 </w:t>
      </w:r>
      <w:r>
        <w:rPr>
          <w:spacing w:val="5"/>
        </w:rPr>
        <w:t>年、</w:t>
      </w:r>
      <w:r>
        <w:rPr>
          <w:rFonts w:ascii="Times New Roman" w:hAnsi="Times New Roman" w:eastAsia="Times New Roman" w:cs="Times New Roman"/>
          <w:spacing w:val="5"/>
        </w:rPr>
        <w:t>1978 </w:t>
      </w:r>
      <w:r>
        <w:rPr>
          <w:spacing w:val="5"/>
        </w:rPr>
        <w:t>年、</w:t>
      </w:r>
      <w:r>
        <w:rPr>
          <w:rFonts w:ascii="Times New Roman" w:hAnsi="Times New Roman" w:eastAsia="Times New Roman" w:cs="Times New Roman"/>
          <w:spacing w:val="5"/>
        </w:rPr>
        <w:t>1988 </w:t>
      </w:r>
      <w:r>
        <w:rPr>
          <w:spacing w:val="5"/>
        </w:rPr>
        <w:t>年、</w:t>
      </w:r>
      <w:r>
        <w:rPr>
          <w:rFonts w:ascii="Times New Roman" w:hAnsi="Times New Roman" w:eastAsia="Times New Roman" w:cs="Times New Roman"/>
          <w:spacing w:val="5"/>
        </w:rPr>
        <w:t>199</w:t>
      </w:r>
      <w:r>
        <w:rPr>
          <w:rFonts w:ascii="Times New Roman" w:hAnsi="Times New Roman" w:eastAsia="Times New Roman" w:cs="Times New Roman"/>
          <w:spacing w:val="4"/>
        </w:rPr>
        <w:t>6 </w:t>
      </w:r>
      <w:r>
        <w:rPr>
          <w:spacing w:val="4"/>
        </w:rPr>
        <w:t>年发生</w:t>
      </w:r>
      <w:r>
        <w:rPr>
          <w:spacing w:val="7"/>
        </w:rPr>
        <w:t>较大洪水，使部分地区受灾，给人民群众的生</w:t>
      </w:r>
      <w:r>
        <w:rPr>
          <w:spacing w:val="4"/>
        </w:rPr>
        <w:t>命财产安全造成重大损失。</w:t>
      </w:r>
      <w:r>
        <w:rPr>
          <w:rFonts w:ascii="Times New Roman" w:hAnsi="Times New Roman" w:eastAsia="Times New Roman" w:cs="Times New Roman"/>
          <w:spacing w:val="4"/>
        </w:rPr>
        <w:t>1992 </w:t>
      </w:r>
      <w:r>
        <w:rPr>
          <w:spacing w:val="4"/>
        </w:rPr>
        <w:t>年</w:t>
      </w:r>
      <w:r>
        <w:rPr>
          <w:spacing w:val="-17"/>
        </w:rPr>
        <w:t xml:space="preserve"> </w:t>
      </w:r>
      <w:r>
        <w:rPr>
          <w:rFonts w:ascii="Times New Roman" w:hAnsi="Times New Roman" w:eastAsia="Times New Roman" w:cs="Times New Roman"/>
          <w:spacing w:val="4"/>
        </w:rPr>
        <w:t>8 </w:t>
      </w:r>
      <w:r>
        <w:rPr>
          <w:spacing w:val="4"/>
        </w:rPr>
        <w:t>月</w:t>
      </w:r>
      <w:r>
        <w:rPr>
          <w:spacing w:val="-32"/>
        </w:rPr>
        <w:t xml:space="preserve"> </w:t>
      </w:r>
      <w:r>
        <w:rPr>
          <w:rFonts w:ascii="Times New Roman" w:hAnsi="Times New Roman" w:eastAsia="Times New Roman" w:cs="Times New Roman"/>
          <w:spacing w:val="4"/>
        </w:rPr>
        <w:t>8―10</w:t>
      </w:r>
      <w:r>
        <w:rPr>
          <w:spacing w:val="7"/>
        </w:rPr>
        <w:t>日清水河上游发生暴雨洪水，使城区街道、路</w:t>
      </w:r>
      <w:r>
        <w:rPr>
          <w:spacing w:val="4"/>
        </w:rPr>
        <w:t>面洪水漫流，附近支沟洪水暴涨，使城区</w:t>
      </w:r>
      <w:r>
        <w:rPr>
          <w:spacing w:val="-37"/>
        </w:rPr>
        <w:t xml:space="preserve"> </w:t>
      </w:r>
      <w:r>
        <w:rPr>
          <w:rFonts w:ascii="Times New Roman" w:hAnsi="Times New Roman" w:eastAsia="Times New Roman" w:cs="Times New Roman"/>
          <w:spacing w:val="4"/>
        </w:rPr>
        <w:t>2028</w:t>
      </w:r>
      <w:r>
        <w:rPr>
          <w:spacing w:val="8"/>
        </w:rPr>
        <w:t>人受灾，</w:t>
      </w:r>
      <w:r>
        <w:rPr>
          <w:rFonts w:ascii="Times New Roman" w:hAnsi="Times New Roman" w:eastAsia="Times New Roman" w:cs="Times New Roman"/>
          <w:spacing w:val="8"/>
        </w:rPr>
        <w:t>646</w:t>
      </w:r>
      <w:r>
        <w:rPr>
          <w:rFonts w:ascii="Times New Roman" w:hAnsi="Times New Roman" w:eastAsia="Times New Roman" w:cs="Times New Roman"/>
          <w:spacing w:val="29"/>
          <w:w w:val="101"/>
        </w:rPr>
        <w:t xml:space="preserve"> </w:t>
      </w:r>
      <w:r>
        <w:rPr>
          <w:spacing w:val="8"/>
        </w:rPr>
        <w:t>间房屋倒塌，市政公用设施也遭</w:t>
      </w:r>
      <w:r>
        <w:rPr>
          <w:spacing w:val="10"/>
        </w:rPr>
        <w:t>破坏</w:t>
      </w:r>
      <w:r>
        <w:rPr>
          <w:spacing w:val="-49"/>
        </w:rPr>
        <w:t xml:space="preserve"> </w:t>
      </w:r>
      <w:r>
        <w:rPr>
          <w:spacing w:val="10"/>
        </w:rPr>
        <w:t>，冲毁路面 </w:t>
      </w:r>
      <w:r>
        <w:rPr>
          <w:rFonts w:ascii="Times New Roman" w:hAnsi="Times New Roman" w:eastAsia="Times New Roman" w:cs="Times New Roman"/>
          <w:spacing w:val="10"/>
        </w:rPr>
        <w:t>16600m</w:t>
      </w:r>
      <w:r>
        <w:rPr>
          <w:rFonts w:ascii="Times New Roman" w:hAnsi="Times New Roman" w:eastAsia="Times New Roman" w:cs="Times New Roman"/>
          <w:sz w:val="13"/>
          <w:szCs w:val="13"/>
          <w:spacing w:val="10"/>
          <w:position w:val="6"/>
        </w:rPr>
        <w:t>2</w:t>
      </w:r>
      <w:r>
        <w:rPr>
          <w:rFonts w:ascii="Times New Roman" w:hAnsi="Times New Roman" w:eastAsia="Times New Roman" w:cs="Times New Roman"/>
          <w:sz w:val="13"/>
          <w:szCs w:val="13"/>
          <w:spacing w:val="17"/>
          <w:w w:val="102"/>
          <w:position w:val="6"/>
        </w:rPr>
        <w:t xml:space="preserve"> </w:t>
      </w:r>
      <w:r>
        <w:rPr>
          <w:spacing w:val="10"/>
        </w:rPr>
        <w:t>，淤塞自</w:t>
      </w:r>
      <w:r>
        <w:rPr>
          <w:spacing w:val="9"/>
        </w:rPr>
        <w:t>来水管道</w:t>
      </w:r>
      <w:r>
        <w:rPr>
          <w:rFonts w:ascii="Times New Roman" w:hAnsi="Times New Roman" w:eastAsia="Times New Roman" w:cs="Times New Roman"/>
          <w:spacing w:val="3"/>
        </w:rPr>
        <w:t>400m</w:t>
      </w:r>
      <w:r>
        <w:rPr>
          <w:rFonts w:ascii="Times New Roman" w:hAnsi="Times New Roman" w:eastAsia="Times New Roman" w:cs="Times New Roman"/>
          <w:spacing w:val="-10"/>
        </w:rPr>
        <w:t xml:space="preserve"> </w:t>
      </w:r>
      <w:r>
        <w:rPr>
          <w:spacing w:val="3"/>
        </w:rPr>
        <w:t>，河道堤岸</w:t>
      </w:r>
      <w:r>
        <w:rPr>
          <w:spacing w:val="-37"/>
        </w:rPr>
        <w:t xml:space="preserve"> </w:t>
      </w:r>
      <w:r>
        <w:rPr>
          <w:rFonts w:ascii="Times New Roman" w:hAnsi="Times New Roman" w:eastAsia="Times New Roman" w:cs="Times New Roman"/>
          <w:spacing w:val="3"/>
        </w:rPr>
        <w:t>596m</w:t>
      </w:r>
      <w:r>
        <w:rPr>
          <w:spacing w:val="3"/>
        </w:rPr>
        <w:t>。</w:t>
      </w:r>
    </w:p>
    <w:p>
      <w:pPr>
        <w:pStyle w:val="BodyText"/>
        <w:ind w:right="97" w:firstLine="459"/>
        <w:spacing w:before="15" w:line="363" w:lineRule="auto"/>
        <w:rPr/>
      </w:pPr>
      <w:r>
        <w:rPr>
          <w:spacing w:val="8"/>
        </w:rPr>
        <w:t>从</w:t>
      </w:r>
      <w:r>
        <w:rPr>
          <w:spacing w:val="-27"/>
        </w:rPr>
        <w:t xml:space="preserve"> </w:t>
      </w:r>
      <w:r>
        <w:rPr>
          <w:rFonts w:ascii="Times New Roman" w:hAnsi="Times New Roman" w:eastAsia="Times New Roman" w:cs="Times New Roman"/>
          <w:spacing w:val="8"/>
        </w:rPr>
        <w:t>2014 </w:t>
      </w:r>
      <w:r>
        <w:rPr>
          <w:spacing w:val="8"/>
        </w:rPr>
        <w:t>年入汛以来</w:t>
      </w:r>
      <w:r>
        <w:rPr>
          <w:spacing w:val="-56"/>
        </w:rPr>
        <w:t xml:space="preserve"> </w:t>
      </w:r>
      <w:r>
        <w:rPr>
          <w:spacing w:val="8"/>
        </w:rPr>
        <w:t>，降水量较历年同期</w:t>
      </w:r>
      <w:r>
        <w:rPr>
          <w:spacing w:val="6"/>
        </w:rPr>
        <w:t>相比偏多</w:t>
      </w:r>
      <w:r>
        <w:rPr>
          <w:spacing w:val="-2"/>
        </w:rPr>
        <w:t xml:space="preserve"> </w:t>
      </w:r>
      <w:r>
        <w:rPr>
          <w:rFonts w:ascii="Times New Roman" w:hAnsi="Times New Roman" w:eastAsia="Times New Roman" w:cs="Times New Roman"/>
          <w:spacing w:val="6"/>
        </w:rPr>
        <w:t>1.3 </w:t>
      </w:r>
      <w:r>
        <w:rPr>
          <w:spacing w:val="6"/>
        </w:rPr>
        <w:t>～</w:t>
      </w:r>
      <w:r>
        <w:rPr>
          <w:rFonts w:ascii="Times New Roman" w:hAnsi="Times New Roman" w:eastAsia="Times New Roman" w:cs="Times New Roman"/>
          <w:spacing w:val="6"/>
        </w:rPr>
        <w:t>2.3 </w:t>
      </w:r>
      <w:r>
        <w:rPr>
          <w:spacing w:val="6"/>
        </w:rPr>
        <w:t>倍。尤其是</w:t>
      </w:r>
      <w:r>
        <w:rPr>
          <w:spacing w:val="-33"/>
        </w:rPr>
        <w:t xml:space="preserve"> </w:t>
      </w:r>
      <w:r>
        <w:rPr>
          <w:rFonts w:ascii="Times New Roman" w:hAnsi="Times New Roman" w:eastAsia="Times New Roman" w:cs="Times New Roman"/>
          <w:spacing w:val="6"/>
        </w:rPr>
        <w:t>7</w:t>
      </w:r>
      <w:r>
        <w:rPr>
          <w:rFonts w:ascii="Times New Roman" w:hAnsi="Times New Roman" w:eastAsia="Times New Roman" w:cs="Times New Roman"/>
          <w:spacing w:val="19"/>
        </w:rPr>
        <w:t xml:space="preserve"> </w:t>
      </w:r>
      <w:r>
        <w:rPr>
          <w:spacing w:val="6"/>
        </w:rPr>
        <w:t>月</w:t>
      </w:r>
      <w:r>
        <w:rPr>
          <w:spacing w:val="-57"/>
        </w:rPr>
        <w:t xml:space="preserve"> </w:t>
      </w:r>
      <w:r>
        <w:rPr>
          <w:spacing w:val="6"/>
        </w:rPr>
        <w:t>，出现</w:t>
      </w:r>
      <w:r>
        <w:rPr>
          <w:spacing w:val="-38"/>
        </w:rPr>
        <w:t xml:space="preserve"> </w:t>
      </w:r>
      <w:r>
        <w:rPr>
          <w:rFonts w:ascii="Times New Roman" w:hAnsi="Times New Roman" w:eastAsia="Times New Roman" w:cs="Times New Roman"/>
          <w:spacing w:val="6"/>
        </w:rPr>
        <w:t>20</w:t>
      </w:r>
      <w:r>
        <w:rPr>
          <w:spacing w:val="9"/>
        </w:rPr>
        <w:t>年来最大的一次持续强降雨天气过程，降水量</w:t>
      </w:r>
      <w:r>
        <w:rPr>
          <w:spacing w:val="8"/>
        </w:rPr>
        <w:t>普遍超过</w:t>
      </w:r>
      <w:r>
        <w:rPr/>
        <w:t xml:space="preserve"> </w:t>
      </w:r>
      <w:r>
        <w:rPr>
          <w:rFonts w:ascii="Times New Roman" w:hAnsi="Times New Roman" w:eastAsia="Times New Roman" w:cs="Times New Roman"/>
          <w:spacing w:val="8"/>
        </w:rPr>
        <w:t>120</w:t>
      </w:r>
      <w:r>
        <w:rPr>
          <w:rFonts w:ascii="Times New Roman" w:hAnsi="Times New Roman" w:eastAsia="Times New Roman" w:cs="Times New Roman"/>
        </w:rPr>
        <w:t>mm</w:t>
      </w:r>
      <w:r>
        <w:rPr>
          <w:rFonts w:ascii="Times New Roman" w:hAnsi="Times New Roman" w:eastAsia="Times New Roman" w:cs="Times New Roman"/>
          <w:spacing w:val="8"/>
        </w:rPr>
        <w:t xml:space="preserve"> </w:t>
      </w:r>
      <w:r>
        <w:rPr>
          <w:spacing w:val="8"/>
        </w:rPr>
        <w:t>，最大降水量达</w:t>
      </w:r>
      <w:r>
        <w:rPr>
          <w:spacing w:val="-36"/>
        </w:rPr>
        <w:t xml:space="preserve"> </w:t>
      </w:r>
      <w:r>
        <w:rPr>
          <w:rFonts w:ascii="Times New Roman" w:hAnsi="Times New Roman" w:eastAsia="Times New Roman" w:cs="Times New Roman"/>
          <w:spacing w:val="8"/>
        </w:rPr>
        <w:t>274.4</w:t>
      </w:r>
      <w:r>
        <w:rPr>
          <w:rFonts w:ascii="Times New Roman" w:hAnsi="Times New Roman" w:eastAsia="Times New Roman" w:cs="Times New Roman"/>
        </w:rPr>
        <w:t>mm</w:t>
      </w:r>
      <w:r>
        <w:rPr>
          <w:rFonts w:ascii="Times New Roman" w:hAnsi="Times New Roman" w:eastAsia="Times New Roman" w:cs="Times New Roman"/>
          <w:spacing w:val="-15"/>
        </w:rPr>
        <w:t xml:space="preserve"> </w:t>
      </w:r>
      <w:r>
        <w:rPr>
          <w:spacing w:val="8"/>
        </w:rPr>
        <w:t>。</w:t>
      </w:r>
      <w:r>
        <w:rPr>
          <w:spacing w:val="9"/>
        </w:rPr>
        <w:t>水库决口、河道冲毁、山体滑坡，打乱了城市</w:t>
      </w:r>
      <w:r>
        <w:rPr>
          <w:spacing w:val="9"/>
        </w:rPr>
        <w:t>的正常生活秩序，给居民生活和生产带来了极</w:t>
      </w:r>
      <w:r>
        <w:rPr>
          <w:spacing w:val="9"/>
        </w:rPr>
        <w:t>大影响。另外，由于城市洪涝、径流污染、雨</w:t>
      </w:r>
      <w:r>
        <w:rPr>
          <w:spacing w:val="9"/>
        </w:rPr>
        <w:t>水资源流失、排水系统的老化落后造成水环境</w:t>
      </w:r>
      <w:r>
        <w:rPr>
          <w:spacing w:val="20"/>
        </w:rPr>
        <w:t>及生态环境的恶化已经成为城市可持续发展</w:t>
      </w:r>
      <w:r>
        <w:rPr>
          <w:spacing w:val="9"/>
        </w:rPr>
        <w:t>的制约因素。目前北方整体进入丰水期，降水</w:t>
      </w:r>
      <w:r>
        <w:rPr>
          <w:spacing w:val="10"/>
        </w:rPr>
        <w:t>量将有所增加</w:t>
      </w:r>
      <w:r>
        <w:rPr>
          <w:spacing w:val="-41"/>
        </w:rPr>
        <w:t xml:space="preserve"> </w:t>
      </w:r>
      <w:r>
        <w:rPr>
          <w:spacing w:val="10"/>
        </w:rPr>
        <w:t>，特别是极容易出现像</w:t>
      </w:r>
      <w:r>
        <w:rPr>
          <w:spacing w:val="-41"/>
        </w:rPr>
        <w:t xml:space="preserve"> </w:t>
      </w:r>
      <w:r>
        <w:rPr>
          <w:rFonts w:ascii="Times New Roman" w:hAnsi="Times New Roman" w:eastAsia="Times New Roman" w:cs="Times New Roman"/>
          <w:spacing w:val="10"/>
        </w:rPr>
        <w:t>2014 </w:t>
      </w:r>
      <w:r>
        <w:rPr>
          <w:spacing w:val="10"/>
        </w:rPr>
        <w:t>年</w:t>
      </w:r>
      <w:r>
        <w:rPr>
          <w:spacing w:val="9"/>
        </w:rPr>
        <w:t>夏季这样持续集中的降雨天气。多年来，固原</w:t>
      </w:r>
      <w:r>
        <w:rPr>
          <w:spacing w:val="18"/>
        </w:rPr>
        <w:t>市素有</w:t>
      </w:r>
      <w:r>
        <w:rPr>
          <w:rFonts w:ascii="Times New Roman" w:hAnsi="Times New Roman" w:eastAsia="Times New Roman" w:cs="Times New Roman"/>
          <w:spacing w:val="18"/>
        </w:rPr>
        <w:t>“</w:t>
      </w:r>
      <w:r>
        <w:rPr>
          <w:spacing w:val="18"/>
        </w:rPr>
        <w:t>十年九旱</w:t>
      </w:r>
      <w:r>
        <w:rPr>
          <w:rFonts w:ascii="Times New Roman" w:hAnsi="Times New Roman" w:eastAsia="Times New Roman" w:cs="Times New Roman"/>
          <w:spacing w:val="18"/>
        </w:rPr>
        <w:t>”</w:t>
      </w:r>
      <w:r>
        <w:rPr>
          <w:spacing w:val="18"/>
        </w:rPr>
        <w:t>之称</w:t>
      </w:r>
      <w:r>
        <w:rPr>
          <w:spacing w:val="-52"/>
        </w:rPr>
        <w:t xml:space="preserve"> </w:t>
      </w:r>
      <w:r>
        <w:rPr>
          <w:spacing w:val="18"/>
        </w:rPr>
        <w:t>，干部群众思想陷入</w:t>
      </w:r>
      <w:r>
        <w:rPr>
          <w:rFonts w:ascii="Times New Roman" w:hAnsi="Times New Roman" w:eastAsia="Times New Roman" w:cs="Times New Roman"/>
          <w:spacing w:val="10"/>
        </w:rPr>
        <w:t>“</w:t>
      </w:r>
      <w:r>
        <w:rPr>
          <w:spacing w:val="10"/>
        </w:rPr>
        <w:t>年年抗旱、月月抗旱</w:t>
      </w:r>
      <w:r>
        <w:rPr>
          <w:rFonts w:ascii="Times New Roman" w:hAnsi="Times New Roman" w:eastAsia="Times New Roman" w:cs="Times New Roman"/>
          <w:spacing w:val="10"/>
        </w:rPr>
        <w:t>”</w:t>
      </w:r>
      <w:r>
        <w:rPr>
          <w:spacing w:val="10"/>
        </w:rPr>
        <w:t>的惯性思维中，对于防</w:t>
      </w:r>
      <w:r>
        <w:rPr>
          <w:spacing w:val="9"/>
        </w:rPr>
        <w:t>汛存在麻痹大意的思想。尤其是一些地方填沟</w:t>
      </w:r>
      <w:r>
        <w:rPr>
          <w:spacing w:val="9"/>
        </w:rPr>
        <w:t>造地、侵占河道、人为造成防洪安全隐患的问</w:t>
      </w:r>
      <w:r>
        <w:rPr>
          <w:spacing w:val="9"/>
        </w:rPr>
        <w:t>题比较突出，一旦遭遇大暴雨、大洪水，形势</w:t>
      </w:r>
    </w:p>
    <w:p>
      <w:pPr>
        <w:spacing w:line="363" w:lineRule="auto"/>
        <w:sectPr>
          <w:type w:val="continuous"/>
          <w:pgSz w:w="11906" w:h="16839"/>
          <w:pgMar w:top="1772" w:right="1489" w:bottom="1572" w:left="1571" w:header="1428" w:footer="1172" w:gutter="0"/>
          <w:cols w:equalWidth="0" w:num="2">
            <w:col w:w="4458" w:space="100"/>
            <w:col w:w="4289" w:space="0"/>
          </w:cols>
        </w:sectPr>
        <w:rPr/>
      </w:pPr>
    </w:p>
    <w:p>
      <w:pPr>
        <w:spacing w:before="63"/>
        <w:rPr/>
      </w:pPr>
      <w:r>
        <w:drawing>
          <wp:anchor distT="0" distB="0" distL="0" distR="0" simplePos="0" relativeHeight="254646272" behindDoc="0" locked="0" layoutInCell="0" allowOverlap="1">
            <wp:simplePos x="0" y="0"/>
            <wp:positionH relativeFrom="page">
              <wp:posOffset>1008380</wp:posOffset>
            </wp:positionH>
            <wp:positionV relativeFrom="page">
              <wp:posOffset>1278890</wp:posOffset>
            </wp:positionV>
            <wp:extent cx="5579745" cy="7619"/>
            <wp:effectExtent l="0" t="0" r="0" b="0"/>
            <wp:wrapNone/>
            <wp:docPr id="2408" name="IM 2408"/>
            <wp:cNvGraphicFramePr/>
            <a:graphic>
              <a:graphicData uri="http://schemas.openxmlformats.org/drawingml/2006/picture">
                <pic:pic>
                  <pic:nvPicPr>
                    <pic:cNvPr id="2408" name="IM 2408"/>
                    <pic:cNvPicPr/>
                  </pic:nvPicPr>
                  <pic:blipFill>
                    <a:blip r:embed="rId1209"/>
                    <a:stretch>
                      <a:fillRect/>
                    </a:stretch>
                  </pic:blipFill>
                  <pic:spPr>
                    <a:xfrm rot="0">
                      <a:off x="0" y="0"/>
                      <a:ext cx="5579745" cy="7619"/>
                    </a:xfrm>
                    <a:prstGeom prst="rect">
                      <a:avLst/>
                    </a:prstGeom>
                  </pic:spPr>
                </pic:pic>
              </a:graphicData>
            </a:graphic>
          </wp:anchor>
        </w:drawing>
      </w:r>
      <w:r/>
    </w:p>
    <w:p>
      <w:pPr>
        <w:sectPr>
          <w:headerReference w:type="default" r:id="rId1207"/>
          <w:footerReference w:type="default" r:id="rId1208"/>
          <w:pgSz w:w="11906" w:h="16839"/>
          <w:pgMar w:top="1974" w:right="1508" w:bottom="1574" w:left="1579" w:header="1634" w:footer="1172" w:gutter="0"/>
          <w:cols w:equalWidth="0" w:num="1">
            <w:col w:w="8819" w:space="0"/>
          </w:cols>
        </w:sectPr>
        <w:rPr/>
      </w:pPr>
    </w:p>
    <w:p>
      <w:pPr>
        <w:pStyle w:val="BodyText"/>
        <w:ind w:left="11"/>
        <w:spacing w:before="61" w:line="219" w:lineRule="auto"/>
        <w:rPr/>
      </w:pPr>
      <w:r>
        <w:rPr>
          <w:spacing w:val="7"/>
        </w:rPr>
        <w:t>令人担忧。</w:t>
      </w:r>
    </w:p>
    <w:p>
      <w:pPr>
        <w:ind w:left="69"/>
        <w:spacing w:before="274" w:line="221" w:lineRule="auto"/>
        <w:rPr>
          <w:rFonts w:ascii="SimHei" w:hAnsi="SimHei" w:eastAsia="SimHei" w:cs="SimHei"/>
          <w:sz w:val="24"/>
          <w:szCs w:val="24"/>
        </w:rPr>
      </w:pPr>
      <w:r>
        <w:rPr>
          <w:rFonts w:ascii="Times New Roman" w:hAnsi="Times New Roman" w:eastAsia="Times New Roman" w:cs="Times New Roman"/>
          <w:sz w:val="24"/>
          <w:szCs w:val="24"/>
          <w:spacing w:val="-1"/>
        </w:rPr>
        <w:t>2004 </w:t>
      </w:r>
      <w:r>
        <w:rPr>
          <w:rFonts w:ascii="SimHei" w:hAnsi="SimHei" w:eastAsia="SimHei" w:cs="SimHei"/>
          <w:sz w:val="24"/>
          <w:szCs w:val="24"/>
          <w:spacing w:val="-1"/>
        </w:rPr>
        <w:t>年</w:t>
      </w:r>
      <w:r>
        <w:rPr>
          <w:rFonts w:ascii="Times New Roman" w:hAnsi="Times New Roman" w:eastAsia="Times New Roman" w:cs="Times New Roman"/>
          <w:sz w:val="24"/>
          <w:szCs w:val="24"/>
          <w:spacing w:val="-1"/>
        </w:rPr>
        <w:t>-2015 </w:t>
      </w:r>
      <w:r>
        <w:rPr>
          <w:rFonts w:ascii="SimHei" w:hAnsi="SimHei" w:eastAsia="SimHei" w:cs="SimHei"/>
          <w:sz w:val="24"/>
          <w:szCs w:val="24"/>
          <w:spacing w:val="-1"/>
        </w:rPr>
        <w:t>年降雨场次数据统计分析</w:t>
      </w:r>
    </w:p>
    <w:p>
      <w:pPr>
        <w:ind w:firstLine="9"/>
        <w:spacing w:before="35" w:line="2441" w:lineRule="exact"/>
        <w:rPr/>
      </w:pPr>
      <w:r>
        <w:rPr>
          <w:position w:val="-48"/>
        </w:rPr>
        <w:drawing>
          <wp:inline distT="0" distB="0" distL="0" distR="0">
            <wp:extent cx="2731007" cy="1549907"/>
            <wp:effectExtent l="0" t="0" r="0" b="0"/>
            <wp:docPr id="2410" name="IM 2410"/>
            <wp:cNvGraphicFramePr/>
            <a:graphic>
              <a:graphicData uri="http://schemas.openxmlformats.org/drawingml/2006/picture">
                <pic:pic>
                  <pic:nvPicPr>
                    <pic:cNvPr id="2410" name="IM 2410"/>
                    <pic:cNvPicPr/>
                  </pic:nvPicPr>
                  <pic:blipFill>
                    <a:blip r:embed="rId1210"/>
                    <a:stretch>
                      <a:fillRect/>
                    </a:stretch>
                  </pic:blipFill>
                  <pic:spPr>
                    <a:xfrm rot="0">
                      <a:off x="0" y="0"/>
                      <a:ext cx="2731007" cy="1549907"/>
                    </a:xfrm>
                    <a:prstGeom prst="rect">
                      <a:avLst/>
                    </a:prstGeom>
                  </pic:spPr>
                </pic:pic>
              </a:graphicData>
            </a:graphic>
          </wp:inline>
        </w:drawing>
      </w:r>
    </w:p>
    <w:p>
      <w:pPr>
        <w:pStyle w:val="BodyText"/>
        <w:ind w:left="433"/>
        <w:spacing w:before="137" w:line="276" w:lineRule="exact"/>
        <w:rPr/>
      </w:pPr>
      <w:r>
        <w:rPr>
          <w:spacing w:val="9"/>
          <w:position w:val="1"/>
        </w:rPr>
        <w:t>各排水分区洪涝淹没风险模拟评估：</w:t>
      </w:r>
    </w:p>
    <w:p>
      <w:pPr>
        <w:pStyle w:val="BodyText"/>
        <w:ind w:left="14" w:right="384" w:firstLine="409"/>
        <w:spacing w:before="125" w:line="350" w:lineRule="auto"/>
        <w:rPr/>
      </w:pPr>
      <w:r>
        <w:rPr>
          <w:spacing w:val="5"/>
        </w:rPr>
        <w:t>（</w:t>
      </w:r>
      <w:r>
        <w:rPr>
          <w:spacing w:val="-44"/>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21"/>
        </w:rPr>
        <w:t xml:space="preserve"> </w:t>
      </w:r>
      <w:r>
        <w:rPr>
          <w:spacing w:val="5"/>
        </w:rPr>
        <w:t>）根据首创技术部提供的实测降雨数</w:t>
      </w:r>
      <w:r>
        <w:rPr>
          <w:spacing w:val="9"/>
        </w:rPr>
        <w:t>据下城市内涝灾害模拟</w:t>
      </w:r>
    </w:p>
    <w:p>
      <w:pPr>
        <w:pStyle w:val="BodyText"/>
        <w:ind w:left="14" w:right="320" w:firstLine="420"/>
        <w:spacing w:before="43" w:line="353" w:lineRule="auto"/>
        <w:rPr/>
      </w:pPr>
      <w:r>
        <w:rPr>
          <w:spacing w:val="7"/>
        </w:rPr>
        <w:t>针对以上不同重现期条件下模拟的结果，</w:t>
      </w:r>
      <w:r>
        <w:rPr>
          <w:spacing w:val="9"/>
        </w:rPr>
        <w:t>与实际情况进行对比分析。根据实际调研情</w:t>
      </w:r>
      <w:r>
        <w:rPr>
          <w:spacing w:val="7"/>
        </w:rPr>
        <w:t>况，由下图可看出固原市内涝模拟的水深以及</w:t>
      </w:r>
      <w:r>
        <w:rPr>
          <w:spacing w:val="7"/>
        </w:rPr>
        <w:t>淹没范围与实际情况基本一致，可反映出该地</w:t>
      </w:r>
      <w:r>
        <w:rPr>
          <w:spacing w:val="7"/>
        </w:rPr>
        <w:t>区城市内涝积水情况以及演进机理，故本次采</w:t>
      </w:r>
      <w:r>
        <w:rPr>
          <w:spacing w:val="6"/>
        </w:rPr>
        <w:t>用的</w:t>
      </w:r>
      <w:r>
        <w:rPr>
          <w:spacing w:val="-37"/>
        </w:rPr>
        <w:t xml:space="preserve"> </w:t>
      </w:r>
      <w:r>
        <w:rPr>
          <w:rFonts w:ascii="Times New Roman" w:hAnsi="Times New Roman" w:eastAsia="Times New Roman" w:cs="Times New Roman"/>
        </w:rPr>
        <w:t>GAST</w:t>
      </w:r>
      <w:r>
        <w:rPr>
          <w:rFonts w:ascii="Times New Roman" w:hAnsi="Times New Roman" w:eastAsia="Times New Roman" w:cs="Times New Roman"/>
          <w:spacing w:val="6"/>
        </w:rPr>
        <w:t xml:space="preserve"> </w:t>
      </w:r>
      <w:r>
        <w:rPr>
          <w:spacing w:val="6"/>
        </w:rPr>
        <w:t>模型具有较好的实用性，能对城市</w:t>
      </w:r>
      <w:r>
        <w:rPr>
          <w:spacing w:val="7"/>
        </w:rPr>
        <w:t>内涝的实际情况进行模拟及计算，有着重要的</w:t>
      </w:r>
      <w:r>
        <w:rPr>
          <w:spacing w:val="7"/>
        </w:rPr>
        <w:t>实际应用值。</w:t>
      </w:r>
    </w:p>
    <w:p>
      <w:pPr>
        <w:ind w:firstLine="69"/>
        <w:spacing w:line="2395" w:lineRule="exact"/>
        <w:rPr/>
      </w:pPr>
      <w:r>
        <w:rPr>
          <w:position w:val="-47"/>
        </w:rPr>
        <w:drawing>
          <wp:inline distT="0" distB="0" distL="0" distR="0">
            <wp:extent cx="2558795" cy="1520952"/>
            <wp:effectExtent l="0" t="0" r="0" b="0"/>
            <wp:docPr id="2412" name="IM 2412"/>
            <wp:cNvGraphicFramePr/>
            <a:graphic>
              <a:graphicData uri="http://schemas.openxmlformats.org/drawingml/2006/picture">
                <pic:pic>
                  <pic:nvPicPr>
                    <pic:cNvPr id="2412" name="IM 2412"/>
                    <pic:cNvPicPr/>
                  </pic:nvPicPr>
                  <pic:blipFill>
                    <a:blip r:embed="rId1211"/>
                    <a:stretch>
                      <a:fillRect/>
                    </a:stretch>
                  </pic:blipFill>
                  <pic:spPr>
                    <a:xfrm rot="0">
                      <a:off x="0" y="0"/>
                      <a:ext cx="2558795" cy="1520952"/>
                    </a:xfrm>
                    <a:prstGeom prst="rect">
                      <a:avLst/>
                    </a:prstGeom>
                  </pic:spPr>
                </pic:pic>
              </a:graphicData>
            </a:graphic>
          </wp:inline>
        </w:drawing>
      </w:r>
    </w:p>
    <w:p>
      <w:pPr>
        <w:ind w:left="112"/>
        <w:spacing w:before="268" w:line="234" w:lineRule="auto"/>
        <w:rPr>
          <w:rFonts w:ascii="KaiTi" w:hAnsi="KaiTi" w:eastAsia="KaiTi" w:cs="KaiTi"/>
          <w:sz w:val="18"/>
          <w:szCs w:val="18"/>
        </w:rPr>
      </w:pPr>
      <w:r>
        <w:rPr>
          <w:rFonts w:ascii="KaiTi" w:hAnsi="KaiTi" w:eastAsia="KaiTi" w:cs="KaiTi"/>
          <w:sz w:val="18"/>
          <w:szCs w:val="18"/>
          <w:spacing w:val="-1"/>
        </w:rPr>
        <w:t>上图为区域实际降雨内涝点位和模拟降雨内涝对照</w:t>
      </w:r>
    </w:p>
    <w:p>
      <w:pPr>
        <w:pStyle w:val="BodyText"/>
        <w:ind w:left="424"/>
        <w:spacing w:before="138" w:line="277" w:lineRule="exact"/>
        <w:rPr/>
      </w:pPr>
      <w:r>
        <w:rPr>
          <w:spacing w:val="7"/>
          <w:position w:val="1"/>
        </w:rPr>
        <w:t>（</w:t>
      </w:r>
      <w:r>
        <w:rPr>
          <w:rFonts w:ascii="Times New Roman" w:hAnsi="Times New Roman" w:eastAsia="Times New Roman" w:cs="Times New Roman"/>
          <w:spacing w:val="7"/>
          <w:position w:val="1"/>
        </w:rPr>
        <w:t>2</w:t>
      </w:r>
      <w:r>
        <w:rPr>
          <w:rFonts w:ascii="Times New Roman" w:hAnsi="Times New Roman" w:eastAsia="Times New Roman" w:cs="Times New Roman"/>
          <w:spacing w:val="-20"/>
          <w:position w:val="1"/>
        </w:rPr>
        <w:t xml:space="preserve"> </w:t>
      </w:r>
      <w:r>
        <w:rPr>
          <w:spacing w:val="7"/>
          <w:position w:val="1"/>
        </w:rPr>
        <w:t>）设计降雨条件下内涝模拟。</w:t>
      </w:r>
    </w:p>
    <w:p>
      <w:pPr>
        <w:pStyle w:val="BodyText"/>
        <w:ind w:left="15" w:right="325" w:firstLine="414"/>
        <w:spacing w:before="109" w:line="342" w:lineRule="auto"/>
        <w:rPr/>
      </w:pPr>
      <w:r>
        <w:rPr>
          <w:spacing w:val="4"/>
        </w:rPr>
        <w:t>设计降雨重现期为</w:t>
      </w:r>
      <w:r>
        <w:rPr>
          <w:spacing w:val="-13"/>
        </w:rPr>
        <w:t xml:space="preserve"> </w:t>
      </w:r>
      <w:r>
        <w:rPr>
          <w:rFonts w:ascii="Times New Roman" w:hAnsi="Times New Roman" w:eastAsia="Times New Roman" w:cs="Times New Roman"/>
          <w:spacing w:val="4"/>
        </w:rPr>
        <w:t>1 </w:t>
      </w:r>
      <w:r>
        <w:rPr>
          <w:spacing w:val="4"/>
        </w:rPr>
        <w:t>年、</w:t>
      </w:r>
      <w:r>
        <w:rPr>
          <w:rFonts w:ascii="Times New Roman" w:hAnsi="Times New Roman" w:eastAsia="Times New Roman" w:cs="Times New Roman"/>
          <w:spacing w:val="4"/>
        </w:rPr>
        <w:t>2 </w:t>
      </w:r>
      <w:r>
        <w:rPr>
          <w:spacing w:val="4"/>
        </w:rPr>
        <w:t>年、</w:t>
      </w:r>
      <w:r>
        <w:rPr>
          <w:rFonts w:ascii="Times New Roman" w:hAnsi="Times New Roman" w:eastAsia="Times New Roman" w:cs="Times New Roman"/>
          <w:spacing w:val="4"/>
        </w:rPr>
        <w:t>20 </w:t>
      </w:r>
      <w:r>
        <w:rPr>
          <w:spacing w:val="4"/>
        </w:rPr>
        <w:t>年、</w:t>
      </w:r>
      <w:r>
        <w:rPr>
          <w:rFonts w:ascii="Times New Roman" w:hAnsi="Times New Roman" w:eastAsia="Times New Roman" w:cs="Times New Roman"/>
          <w:spacing w:val="4"/>
        </w:rPr>
        <w:t>50</w:t>
      </w:r>
      <w:r>
        <w:rPr>
          <w:spacing w:val="8"/>
        </w:rPr>
        <w:t>年、</w:t>
      </w:r>
      <w:r>
        <w:rPr>
          <w:rFonts w:ascii="Times New Roman" w:hAnsi="Times New Roman" w:eastAsia="Times New Roman" w:cs="Times New Roman"/>
          <w:spacing w:val="8"/>
        </w:rPr>
        <w:t>100 </w:t>
      </w:r>
      <w:r>
        <w:rPr>
          <w:spacing w:val="8"/>
        </w:rPr>
        <w:t>年；为了得到内涝退水过程，本次模</w:t>
      </w:r>
      <w:r>
        <w:rPr>
          <w:spacing w:val="6"/>
        </w:rPr>
        <w:t>拟过程至时间</w:t>
      </w:r>
      <w:r>
        <w:rPr>
          <w:spacing w:val="-45"/>
        </w:rPr>
        <w:t xml:space="preserve"> </w:t>
      </w:r>
      <w:r>
        <w:rPr>
          <w:rFonts w:ascii="Times New Roman" w:hAnsi="Times New Roman" w:eastAsia="Times New Roman" w:cs="Times New Roman"/>
          <w:spacing w:val="6"/>
        </w:rPr>
        <w:t>t=4h</w:t>
      </w:r>
      <w:r>
        <w:rPr>
          <w:rFonts w:ascii="Times New Roman" w:hAnsi="Times New Roman" w:eastAsia="Times New Roman" w:cs="Times New Roman"/>
          <w:spacing w:val="-10"/>
        </w:rPr>
        <w:t xml:space="preserve"> </w:t>
      </w:r>
      <w:r>
        <w:rPr>
          <w:spacing w:val="6"/>
        </w:rPr>
        <w:t>，在降雨重现期为</w:t>
      </w:r>
      <w:r>
        <w:rPr>
          <w:spacing w:val="-43"/>
        </w:rPr>
        <w:t xml:space="preserve"> </w:t>
      </w:r>
      <w:r>
        <w:rPr>
          <w:rFonts w:ascii="Times New Roman" w:hAnsi="Times New Roman" w:eastAsia="Times New Roman" w:cs="Times New Roman"/>
          <w:spacing w:val="6"/>
        </w:rPr>
        <w:t>2 </w:t>
      </w:r>
      <w:r>
        <w:rPr>
          <w:spacing w:val="5"/>
        </w:rPr>
        <w:t>年和</w:t>
      </w:r>
      <w:r>
        <w:rPr/>
        <w:t xml:space="preserve"> </w:t>
      </w:r>
      <w:r>
        <w:rPr>
          <w:rFonts w:ascii="Times New Roman" w:hAnsi="Times New Roman" w:eastAsia="Times New Roman" w:cs="Times New Roman"/>
          <w:spacing w:val="3"/>
        </w:rPr>
        <w:t>100 </w:t>
      </w:r>
      <w:r>
        <w:rPr>
          <w:spacing w:val="3"/>
        </w:rPr>
        <w:t>年情况下内涝积水情况如图</w:t>
      </w:r>
      <w:r>
        <w:rPr>
          <w:spacing w:val="-30"/>
        </w:rPr>
        <w:t xml:space="preserve"> </w:t>
      </w:r>
      <w:r>
        <w:rPr>
          <w:rFonts w:ascii="Times New Roman" w:hAnsi="Times New Roman" w:eastAsia="Times New Roman" w:cs="Times New Roman"/>
          <w:spacing w:val="3"/>
        </w:rPr>
        <w:t>6</w:t>
      </w:r>
      <w:r>
        <w:rPr>
          <w:spacing w:val="3"/>
        </w:rPr>
        <w:t>、</w:t>
      </w:r>
      <w:r>
        <w:rPr>
          <w:rFonts w:ascii="Times New Roman" w:hAnsi="Times New Roman" w:eastAsia="Times New Roman" w:cs="Times New Roman"/>
          <w:spacing w:val="3"/>
        </w:rPr>
        <w:t>7 </w:t>
      </w:r>
      <w:r>
        <w:rPr>
          <w:spacing w:val="3"/>
        </w:rPr>
        <w:t>所示。通</w:t>
      </w:r>
    </w:p>
    <w:p>
      <w:pPr>
        <w:spacing w:line="14" w:lineRule="auto"/>
        <w:rPr>
          <w:rFonts w:ascii="Arial"/>
          <w:sz w:val="2"/>
        </w:rPr>
      </w:pPr>
      <w:r>
        <w:rPr>
          <w:rFonts w:ascii="Arial" w:hAnsi="Arial" w:eastAsia="Arial" w:cs="Arial"/>
          <w:sz w:val="2"/>
          <w:szCs w:val="2"/>
        </w:rPr>
        <w:br w:type="column"/>
      </w:r>
    </w:p>
    <w:p>
      <w:pPr>
        <w:pStyle w:val="BodyText"/>
        <w:ind w:left="4" w:right="82"/>
        <w:spacing w:before="39" w:line="350" w:lineRule="auto"/>
        <w:jc w:val="both"/>
        <w:rPr/>
      </w:pPr>
      <w:r>
        <w:rPr>
          <w:spacing w:val="6"/>
        </w:rPr>
        <w:t>过下图可看出，在</w:t>
      </w:r>
      <w:r>
        <w:rPr>
          <w:spacing w:val="-33"/>
        </w:rPr>
        <w:t xml:space="preserve"> </w:t>
      </w:r>
      <w:r>
        <w:rPr>
          <w:rFonts w:ascii="Times New Roman" w:hAnsi="Times New Roman" w:eastAsia="Times New Roman" w:cs="Times New Roman"/>
          <w:spacing w:val="6"/>
        </w:rPr>
        <w:t>2 </w:t>
      </w:r>
      <w:r>
        <w:rPr>
          <w:spacing w:val="6"/>
        </w:rPr>
        <w:t>年降雨重现期规划情况下</w:t>
      </w:r>
      <w:r>
        <w:rPr>
          <w:spacing w:val="5"/>
        </w:rPr>
        <w:t>内涝基本消除；在</w:t>
      </w:r>
      <w:r>
        <w:rPr>
          <w:spacing w:val="-17"/>
        </w:rPr>
        <w:t xml:space="preserve"> </w:t>
      </w:r>
      <w:r>
        <w:rPr>
          <w:rFonts w:ascii="Times New Roman" w:hAnsi="Times New Roman" w:eastAsia="Times New Roman" w:cs="Times New Roman"/>
          <w:spacing w:val="5"/>
        </w:rPr>
        <w:t>100 </w:t>
      </w:r>
      <w:r>
        <w:rPr>
          <w:spacing w:val="5"/>
        </w:rPr>
        <w:t>年降雨重现期规划情况</w:t>
      </w:r>
      <w:r>
        <w:rPr>
          <w:spacing w:val="7"/>
        </w:rPr>
        <w:t>下部分道路仍存在积水，但相对于现状而言内</w:t>
      </w:r>
      <w:r>
        <w:rPr>
          <w:spacing w:val="8"/>
        </w:rPr>
        <w:t>涝发生明显改善。</w:t>
      </w:r>
    </w:p>
    <w:p>
      <w:pPr>
        <w:pStyle w:val="BodyText"/>
        <w:ind w:left="446"/>
        <w:spacing w:line="277" w:lineRule="exact"/>
        <w:rPr/>
      </w:pPr>
      <w:r>
        <w:rPr>
          <w:spacing w:val="6"/>
          <w:position w:val="1"/>
        </w:rPr>
        <w:t>内涝积水点成因剖析：</w:t>
      </w:r>
    </w:p>
    <w:p>
      <w:pPr>
        <w:pStyle w:val="BodyText"/>
        <w:ind w:left="4" w:right="82" w:firstLine="420"/>
        <w:spacing w:before="106" w:line="349" w:lineRule="auto"/>
        <w:rPr/>
      </w:pPr>
      <w:r>
        <w:rPr>
          <w:spacing w:val="6"/>
        </w:rPr>
        <w:t>根据固原市城市内涝积水点调查情况，内</w:t>
      </w:r>
      <w:r>
        <w:rPr>
          <w:spacing w:val="9"/>
        </w:rPr>
        <w:t>涝积水产生的原因主要有以下几个方面：</w:t>
      </w:r>
    </w:p>
    <w:p>
      <w:pPr>
        <w:pStyle w:val="BodyText"/>
        <w:ind w:left="6" w:right="139" w:firstLine="409"/>
        <w:spacing w:line="289" w:lineRule="auto"/>
        <w:rPr/>
      </w:pPr>
      <w:r>
        <w:rPr>
          <w:spacing w:val="5"/>
        </w:rPr>
        <w:t>（</w:t>
      </w:r>
      <w:r>
        <w:rPr>
          <w:spacing w:val="-44"/>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21"/>
        </w:rPr>
        <w:t xml:space="preserve"> </w:t>
      </w:r>
      <w:r>
        <w:rPr>
          <w:spacing w:val="5"/>
        </w:rPr>
        <w:t>）城区地形坡度大，雨水地面径流流</w:t>
      </w:r>
      <w:r>
        <w:rPr>
          <w:spacing w:val="8"/>
        </w:rPr>
        <w:t>速快，雨水口来不及排空；</w:t>
      </w:r>
    </w:p>
    <w:p>
      <w:pPr>
        <w:pStyle w:val="BodyText"/>
        <w:ind w:left="2" w:right="139" w:firstLine="413"/>
        <w:spacing w:before="134" w:line="289"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19"/>
        </w:rPr>
        <w:t xml:space="preserve"> </w:t>
      </w:r>
      <w:r>
        <w:rPr>
          <w:spacing w:val="8"/>
        </w:rPr>
        <w:t>）老城区合流制管网造成下游管网及</w:t>
      </w:r>
      <w:r>
        <w:rPr>
          <w:spacing w:val="8"/>
        </w:rPr>
        <w:t>末端污水处理厂压力过大；</w:t>
      </w:r>
    </w:p>
    <w:p>
      <w:pPr>
        <w:pStyle w:val="BodyText"/>
        <w:ind w:left="8" w:right="139" w:firstLine="407"/>
        <w:spacing w:before="131" w:line="291" w:lineRule="auto"/>
        <w:rPr/>
      </w:pPr>
      <w:r>
        <w:rPr>
          <w:spacing w:val="8"/>
        </w:rPr>
        <w:t>（</w:t>
      </w:r>
      <w:r>
        <w:rPr>
          <w:rFonts w:ascii="Times New Roman" w:hAnsi="Times New Roman" w:eastAsia="Times New Roman" w:cs="Times New Roman"/>
          <w:spacing w:val="8"/>
        </w:rPr>
        <w:t>3</w:t>
      </w:r>
      <w:r>
        <w:rPr>
          <w:rFonts w:ascii="Times New Roman" w:hAnsi="Times New Roman" w:eastAsia="Times New Roman" w:cs="Times New Roman"/>
          <w:spacing w:val="-19"/>
        </w:rPr>
        <w:t xml:space="preserve"> </w:t>
      </w:r>
      <w:r>
        <w:rPr>
          <w:spacing w:val="8"/>
        </w:rPr>
        <w:t>）管网老旧长时间未进行清理，管网</w:t>
      </w:r>
      <w:r>
        <w:rPr>
          <w:spacing w:val="4"/>
        </w:rPr>
        <w:t>淤积；</w:t>
      </w:r>
    </w:p>
    <w:p>
      <w:pPr>
        <w:pStyle w:val="BodyText"/>
        <w:ind w:left="8" w:right="139" w:firstLine="407"/>
        <w:spacing w:before="131" w:line="289" w:lineRule="auto"/>
        <w:rPr/>
      </w:pPr>
      <w:r>
        <w:rPr>
          <w:spacing w:val="8"/>
        </w:rPr>
        <w:t>（</w:t>
      </w:r>
      <w:r>
        <w:rPr>
          <w:rFonts w:ascii="Times New Roman" w:hAnsi="Times New Roman" w:eastAsia="Times New Roman" w:cs="Times New Roman"/>
          <w:spacing w:val="8"/>
        </w:rPr>
        <w:t>4</w:t>
      </w:r>
      <w:r>
        <w:rPr>
          <w:rFonts w:ascii="Times New Roman" w:hAnsi="Times New Roman" w:eastAsia="Times New Roman" w:cs="Times New Roman"/>
          <w:spacing w:val="-19"/>
        </w:rPr>
        <w:t xml:space="preserve"> </w:t>
      </w:r>
      <w:r>
        <w:rPr>
          <w:spacing w:val="8"/>
        </w:rPr>
        <w:t>）地势较低属低洼点区域，管径不满</w:t>
      </w:r>
      <w:r>
        <w:rPr>
          <w:spacing w:val="8"/>
        </w:rPr>
        <w:t>足排水要求，导致地面雍水；</w:t>
      </w:r>
    </w:p>
    <w:p>
      <w:pPr>
        <w:pStyle w:val="BodyText"/>
        <w:ind w:left="431" w:hanging="16"/>
        <w:spacing w:before="135" w:line="288" w:lineRule="auto"/>
        <w:rPr/>
      </w:pPr>
      <w:r>
        <w:rPr>
          <w:spacing w:val="-6"/>
        </w:rPr>
        <w:t>（</w:t>
      </w:r>
      <w:r>
        <w:rPr>
          <w:rFonts w:ascii="Times New Roman" w:hAnsi="Times New Roman" w:eastAsia="Times New Roman" w:cs="Times New Roman"/>
          <w:spacing w:val="-6"/>
        </w:rPr>
        <w:t>5</w:t>
      </w:r>
      <w:r>
        <w:rPr>
          <w:rFonts w:ascii="Times New Roman" w:hAnsi="Times New Roman" w:eastAsia="Times New Roman" w:cs="Times New Roman"/>
          <w:spacing w:val="-15"/>
        </w:rPr>
        <w:t xml:space="preserve"> </w:t>
      </w:r>
      <w:r>
        <w:rPr>
          <w:spacing w:val="-6"/>
        </w:rPr>
        <w:t>）管网错接，造成雨污混流，雨水淤积。</w:t>
      </w:r>
      <w:r>
        <w:rPr>
          <w:spacing w:val="6"/>
        </w:rPr>
        <w:t>主要积水点出现在宋家巷、火车站桥、六</w:t>
      </w:r>
    </w:p>
    <w:p>
      <w:pPr>
        <w:pStyle w:val="BodyText"/>
        <w:ind w:left="6"/>
        <w:spacing w:before="134" w:line="236" w:lineRule="auto"/>
        <w:rPr/>
      </w:pPr>
      <w:r>
        <w:rPr>
          <w:spacing w:val="9"/>
        </w:rPr>
        <w:t>盘山热电厂、九龙路、六盘山西路等区域：</w:t>
      </w:r>
    </w:p>
    <w:p>
      <w:pPr>
        <w:spacing w:line="5549" w:lineRule="exact"/>
        <w:rPr/>
      </w:pPr>
      <w:r>
        <w:rPr>
          <w:position w:val="-110"/>
        </w:rPr>
        <w:drawing>
          <wp:inline distT="0" distB="0" distL="0" distR="0">
            <wp:extent cx="2560320" cy="3523488"/>
            <wp:effectExtent l="0" t="0" r="0" b="0"/>
            <wp:docPr id="2414" name="IM 2414"/>
            <wp:cNvGraphicFramePr/>
            <a:graphic>
              <a:graphicData uri="http://schemas.openxmlformats.org/drawingml/2006/picture">
                <pic:pic>
                  <pic:nvPicPr>
                    <pic:cNvPr id="2414" name="IM 2414"/>
                    <pic:cNvPicPr/>
                  </pic:nvPicPr>
                  <pic:blipFill>
                    <a:blip r:embed="rId1212"/>
                    <a:stretch>
                      <a:fillRect/>
                    </a:stretch>
                  </pic:blipFill>
                  <pic:spPr>
                    <a:xfrm rot="0">
                      <a:off x="0" y="0"/>
                      <a:ext cx="2560320" cy="3523488"/>
                    </a:xfrm>
                    <a:prstGeom prst="rect">
                      <a:avLst/>
                    </a:prstGeom>
                  </pic:spPr>
                </pic:pic>
              </a:graphicData>
            </a:graphic>
          </wp:inline>
        </w:drawing>
      </w:r>
    </w:p>
    <w:p>
      <w:pPr>
        <w:ind w:left="424"/>
        <w:spacing w:before="123" w:line="210" w:lineRule="auto"/>
        <w:rPr>
          <w:rFonts w:ascii="KaiTi" w:hAnsi="KaiTi" w:eastAsia="KaiTi" w:cs="KaiTi"/>
          <w:sz w:val="20"/>
          <w:szCs w:val="20"/>
        </w:rPr>
      </w:pPr>
      <w:r>
        <w:rPr>
          <w:rFonts w:ascii="Times New Roman" w:hAnsi="Times New Roman" w:eastAsia="Times New Roman" w:cs="Times New Roman"/>
          <w:sz w:val="20"/>
          <w:szCs w:val="20"/>
          <w:spacing w:val="4"/>
        </w:rPr>
        <w:t>2.4</w:t>
      </w:r>
      <w:r>
        <w:rPr>
          <w:rFonts w:ascii="Times New Roman" w:hAnsi="Times New Roman" w:eastAsia="Times New Roman" w:cs="Times New Roman"/>
          <w:sz w:val="20"/>
          <w:szCs w:val="20"/>
          <w:spacing w:val="14"/>
          <w:w w:val="101"/>
        </w:rPr>
        <w:t xml:space="preserve">  </w:t>
      </w:r>
      <w:r>
        <w:rPr>
          <w:rFonts w:ascii="KaiTi" w:hAnsi="KaiTi" w:eastAsia="KaiTi" w:cs="KaiTi"/>
          <w:sz w:val="20"/>
          <w:szCs w:val="20"/>
          <w:spacing w:val="4"/>
        </w:rPr>
        <w:t>洪涝防御体系。</w:t>
      </w:r>
    </w:p>
    <w:p>
      <w:pPr>
        <w:spacing w:line="210" w:lineRule="auto"/>
        <w:sectPr>
          <w:type w:val="continuous"/>
          <w:pgSz w:w="11906" w:h="16839"/>
          <w:pgMar w:top="1974" w:right="1508" w:bottom="1574" w:left="1579" w:header="1634" w:footer="1172" w:gutter="0"/>
          <w:cols w:equalWidth="0" w:num="2">
            <w:col w:w="4487" w:space="100"/>
            <w:col w:w="4233" w:space="0"/>
          </w:cols>
        </w:sectPr>
        <w:rPr>
          <w:rFonts w:ascii="KaiTi" w:hAnsi="KaiTi" w:eastAsia="KaiTi" w:cs="KaiTi"/>
          <w:sz w:val="20"/>
          <w:szCs w:val="20"/>
        </w:rPr>
      </w:pPr>
    </w:p>
    <w:p>
      <w:pPr>
        <w:spacing w:before="57"/>
        <w:rPr/>
      </w:pPr>
      <w:r>
        <w:drawing>
          <wp:anchor distT="0" distB="0" distL="0" distR="0" simplePos="0" relativeHeight="254661632"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418" name="IM 2418"/>
            <wp:cNvGraphicFramePr/>
            <a:graphic>
              <a:graphicData uri="http://schemas.openxmlformats.org/drawingml/2006/picture">
                <pic:pic>
                  <pic:nvPicPr>
                    <pic:cNvPr id="2418" name="IM 2418"/>
                    <pic:cNvPicPr/>
                  </pic:nvPicPr>
                  <pic:blipFill>
                    <a:blip r:embed="rId1214"/>
                    <a:stretch>
                      <a:fillRect/>
                    </a:stretch>
                  </pic:blipFill>
                  <pic:spPr>
                    <a:xfrm rot="0">
                      <a:off x="0" y="0"/>
                      <a:ext cx="5579745" cy="7620"/>
                    </a:xfrm>
                    <a:prstGeom prst="rect">
                      <a:avLst/>
                    </a:prstGeom>
                  </pic:spPr>
                </pic:pic>
              </a:graphicData>
            </a:graphic>
          </wp:anchor>
        </w:drawing>
      </w:r>
      <w:r/>
    </w:p>
    <w:p>
      <w:pPr>
        <w:sectPr>
          <w:headerReference w:type="default" r:id="rId1048"/>
          <w:footerReference w:type="default" r:id="rId1213"/>
          <w:pgSz w:w="11906" w:h="16839"/>
          <w:pgMar w:top="1772" w:right="1489" w:bottom="1572" w:left="1571" w:header="1428" w:footer="1172" w:gutter="0"/>
          <w:cols w:equalWidth="0" w:num="1">
            <w:col w:w="8846" w:space="0"/>
          </w:cols>
        </w:sectPr>
        <w:rPr/>
      </w:pPr>
    </w:p>
    <w:p>
      <w:pPr>
        <w:pStyle w:val="BodyText"/>
        <w:ind w:left="21" w:right="324" w:firstLine="441"/>
        <w:spacing w:before="41" w:line="349" w:lineRule="auto"/>
        <w:jc w:val="both"/>
        <w:rPr/>
      </w:pPr>
      <w:r>
        <w:rPr>
          <w:spacing w:val="17"/>
        </w:rPr>
        <w:t>固原市现状排水系统老城区主要采用雨</w:t>
      </w:r>
      <w:r>
        <w:rPr>
          <w:spacing w:val="6"/>
        </w:rPr>
        <w:t>污合流制，约占</w:t>
      </w:r>
      <w:r>
        <w:rPr>
          <w:spacing w:val="-38"/>
        </w:rPr>
        <w:t xml:space="preserve"> </w:t>
      </w:r>
      <w:r>
        <w:rPr>
          <w:rFonts w:ascii="Times New Roman" w:hAnsi="Times New Roman" w:eastAsia="Times New Roman" w:cs="Times New Roman"/>
          <w:spacing w:val="6"/>
        </w:rPr>
        <w:t>4.96%</w:t>
      </w:r>
      <w:r>
        <w:rPr>
          <w:rFonts w:ascii="Times New Roman" w:hAnsi="Times New Roman" w:eastAsia="Times New Roman" w:cs="Times New Roman"/>
          <w:spacing w:val="-12"/>
        </w:rPr>
        <w:t xml:space="preserve"> </w:t>
      </w:r>
      <w:r>
        <w:rPr>
          <w:spacing w:val="6"/>
        </w:rPr>
        <w:t>，排放方式采用排水管</w:t>
      </w:r>
      <w:r>
        <w:rPr>
          <w:spacing w:val="7"/>
        </w:rPr>
        <w:t>道或砖石排水暗沟或渠，西南新区、新区、西</w:t>
      </w:r>
      <w:r>
        <w:rPr>
          <w:spacing w:val="7"/>
        </w:rPr>
        <w:t>部新区主采用雨污分流制</w:t>
      </w:r>
      <w:r>
        <w:rPr>
          <w:spacing w:val="-47"/>
        </w:rPr>
        <w:t xml:space="preserve"> </w:t>
      </w:r>
      <w:r>
        <w:rPr>
          <w:spacing w:val="7"/>
        </w:rPr>
        <w:t>，约占</w:t>
      </w:r>
      <w:r>
        <w:rPr>
          <w:spacing w:val="-34"/>
        </w:rPr>
        <w:t xml:space="preserve"> </w:t>
      </w:r>
      <w:r>
        <w:rPr>
          <w:rFonts w:ascii="Times New Roman" w:hAnsi="Times New Roman" w:eastAsia="Times New Roman" w:cs="Times New Roman"/>
          <w:spacing w:val="7"/>
        </w:rPr>
        <w:t>35.04% </w:t>
      </w:r>
      <w:r>
        <w:rPr>
          <w:spacing w:val="7"/>
        </w:rPr>
        <w:t>，产</w:t>
      </w:r>
      <w:r>
        <w:rPr>
          <w:spacing w:val="18"/>
        </w:rPr>
        <w:t>生的污水均进入老城区的六盘山热电厂的第</w:t>
      </w:r>
      <w:r>
        <w:rPr>
          <w:spacing w:val="8"/>
        </w:rPr>
        <w:t>一、二污水处理厂进行处理。</w:t>
      </w:r>
    </w:p>
    <w:p>
      <w:pPr>
        <w:pStyle w:val="BodyText"/>
        <w:ind w:left="21" w:right="308" w:firstLine="441"/>
        <w:spacing w:before="8" w:line="308" w:lineRule="auto"/>
        <w:jc w:val="both"/>
        <w:rPr/>
      </w:pPr>
      <w:r>
        <w:rPr>
          <w:spacing w:val="17"/>
        </w:rPr>
        <w:t>固原市中心城区建成区内现有雨污合流</w:t>
      </w:r>
      <w:r>
        <w:rPr>
          <w:spacing w:val="4"/>
        </w:rPr>
        <w:t>长度为</w:t>
      </w:r>
      <w:r>
        <w:rPr>
          <w:spacing w:val="-15"/>
        </w:rPr>
        <w:t xml:space="preserve"> </w:t>
      </w:r>
      <w:r>
        <w:rPr>
          <w:rFonts w:ascii="Times New Roman" w:hAnsi="Times New Roman" w:eastAsia="Times New Roman" w:cs="Times New Roman"/>
          <w:spacing w:val="4"/>
        </w:rPr>
        <w:t>190.64</w:t>
      </w:r>
      <w:r>
        <w:rPr>
          <w:rFonts w:ascii="Times New Roman" w:hAnsi="Times New Roman" w:eastAsia="Times New Roman" w:cs="Times New Roman"/>
        </w:rPr>
        <w:t>km</w:t>
      </w:r>
      <w:r>
        <w:rPr>
          <w:spacing w:val="4"/>
        </w:rPr>
        <w:t>，雨水管长为</w:t>
      </w:r>
      <w:r>
        <w:rPr>
          <w:spacing w:val="-41"/>
        </w:rPr>
        <w:t xml:space="preserve"> </w:t>
      </w:r>
      <w:r>
        <w:rPr>
          <w:rFonts w:ascii="Times New Roman" w:hAnsi="Times New Roman" w:eastAsia="Times New Roman" w:cs="Times New Roman"/>
          <w:spacing w:val="4"/>
        </w:rPr>
        <w:t>24.66</w:t>
      </w:r>
      <w:r>
        <w:rPr>
          <w:rFonts w:ascii="Times New Roman" w:hAnsi="Times New Roman" w:eastAsia="Times New Roman" w:cs="Times New Roman"/>
        </w:rPr>
        <w:t>km</w:t>
      </w:r>
      <w:r>
        <w:rPr>
          <w:spacing w:val="4"/>
        </w:rPr>
        <w:t>，总长</w:t>
      </w:r>
      <w:r>
        <w:rPr>
          <w:spacing w:val="4"/>
        </w:rPr>
        <w:t>共</w:t>
      </w:r>
      <w:r>
        <w:rPr>
          <w:spacing w:val="-34"/>
        </w:rPr>
        <w:t xml:space="preserve"> </w:t>
      </w:r>
      <w:r>
        <w:rPr>
          <w:rFonts w:ascii="Times New Roman" w:hAnsi="Times New Roman" w:eastAsia="Times New Roman" w:cs="Times New Roman"/>
          <w:spacing w:val="4"/>
        </w:rPr>
        <w:t>215.3</w:t>
      </w:r>
      <w:r>
        <w:rPr>
          <w:rFonts w:ascii="Times New Roman" w:hAnsi="Times New Roman" w:eastAsia="Times New Roman" w:cs="Times New Roman"/>
        </w:rPr>
        <w:t>km</w:t>
      </w:r>
      <w:r>
        <w:rPr>
          <w:rFonts w:ascii="Times New Roman" w:hAnsi="Times New Roman" w:eastAsia="Times New Roman" w:cs="Times New Roman"/>
          <w:spacing w:val="-10"/>
        </w:rPr>
        <w:t xml:space="preserve"> </w:t>
      </w:r>
      <w:r>
        <w:rPr>
          <w:spacing w:val="4"/>
        </w:rPr>
        <w:t>，现状管网覆盖面积约</w:t>
      </w:r>
      <w:r>
        <w:rPr>
          <w:spacing w:val="-43"/>
        </w:rPr>
        <w:t xml:space="preserve"> </w:t>
      </w:r>
      <w:r>
        <w:rPr>
          <w:rFonts w:ascii="Times New Roman" w:hAnsi="Times New Roman" w:eastAsia="Times New Roman" w:cs="Times New Roman"/>
          <w:spacing w:val="4"/>
        </w:rPr>
        <w:t>23.00</w:t>
      </w:r>
      <w:r>
        <w:rPr>
          <w:rFonts w:ascii="Times New Roman" w:hAnsi="Times New Roman" w:eastAsia="Times New Roman" w:cs="Times New Roman"/>
        </w:rPr>
        <w:t>km</w:t>
      </w:r>
      <w:r>
        <w:rPr>
          <w:rFonts w:ascii="Times New Roman" w:hAnsi="Times New Roman" w:eastAsia="Times New Roman" w:cs="Times New Roman"/>
          <w:spacing w:val="4"/>
          <w:position w:val="9"/>
        </w:rPr>
        <w:t>2</w:t>
      </w:r>
      <w:r>
        <w:rPr>
          <w:spacing w:val="4"/>
        </w:rPr>
        <w:t>，</w:t>
      </w:r>
      <w:r>
        <w:rPr>
          <w:spacing w:val="7"/>
        </w:rPr>
        <w:t>管网覆盖程度</w:t>
      </w:r>
      <w:r>
        <w:rPr>
          <w:spacing w:val="-33"/>
        </w:rPr>
        <w:t xml:space="preserve"> </w:t>
      </w:r>
      <w:r>
        <w:rPr>
          <w:rFonts w:ascii="Times New Roman" w:hAnsi="Times New Roman" w:eastAsia="Times New Roman" w:cs="Times New Roman"/>
          <w:spacing w:val="7"/>
        </w:rPr>
        <w:t>9.36</w:t>
      </w:r>
      <w:r>
        <w:rPr>
          <w:rFonts w:ascii="Times New Roman" w:hAnsi="Times New Roman" w:eastAsia="Times New Roman" w:cs="Times New Roman"/>
        </w:rPr>
        <w:t>km</w:t>
      </w:r>
      <w:r>
        <w:rPr>
          <w:rFonts w:ascii="Times New Roman" w:hAnsi="Times New Roman" w:eastAsia="Times New Roman" w:cs="Times New Roman"/>
          <w:spacing w:val="7"/>
        </w:rPr>
        <w:t>/</w:t>
      </w:r>
      <w:r>
        <w:rPr>
          <w:rFonts w:ascii="Times New Roman" w:hAnsi="Times New Roman" w:eastAsia="Times New Roman" w:cs="Times New Roman"/>
        </w:rPr>
        <w:t>km</w:t>
      </w:r>
      <w:r>
        <w:rPr>
          <w:rFonts w:ascii="Times New Roman" w:hAnsi="Times New Roman" w:eastAsia="Times New Roman" w:cs="Times New Roman"/>
          <w:spacing w:val="7"/>
          <w:position w:val="9"/>
        </w:rPr>
        <w:t>2</w:t>
      </w:r>
      <w:r>
        <w:rPr>
          <w:spacing w:val="7"/>
        </w:rPr>
        <w:t>。</w:t>
      </w:r>
    </w:p>
    <w:p>
      <w:pPr>
        <w:pStyle w:val="BodyText"/>
        <w:ind w:left="19" w:right="248" w:firstLine="426"/>
        <w:spacing w:before="45" w:line="339" w:lineRule="auto"/>
        <w:jc w:val="both"/>
        <w:rPr/>
      </w:pPr>
      <w:r>
        <w:rPr>
          <w:spacing w:val="18"/>
        </w:rPr>
        <w:t>清水河作为流经固原市市区的唯一的主</w:t>
      </w:r>
      <w:r>
        <w:rPr>
          <w:spacing w:val="7"/>
        </w:rPr>
        <w:t>要河流，是典型的季节性河流，径流量小，纳</w:t>
      </w:r>
      <w:r>
        <w:rPr>
          <w:spacing w:val="1"/>
        </w:rPr>
        <w:t>污容量低。随着原州区城区人口的增加，生活、</w:t>
      </w:r>
      <w:r>
        <w:rPr>
          <w:spacing w:val="12"/>
        </w:rPr>
        <w:t>工业污水量日益增大</w:t>
      </w:r>
      <w:r>
        <w:rPr>
          <w:spacing w:val="-41"/>
        </w:rPr>
        <w:t xml:space="preserve"> </w:t>
      </w:r>
      <w:r>
        <w:rPr>
          <w:spacing w:val="12"/>
        </w:rPr>
        <w:t>，</w:t>
      </w:r>
      <w:r>
        <w:rPr>
          <w:spacing w:val="-40"/>
        </w:rPr>
        <w:t xml:space="preserve"> </w:t>
      </w:r>
      <w:r>
        <w:rPr>
          <w:spacing w:val="12"/>
        </w:rPr>
        <w:t>日排放污水约</w:t>
      </w:r>
      <w:r>
        <w:rPr>
          <w:spacing w:val="-31"/>
        </w:rPr>
        <w:t xml:space="preserve"> </w:t>
      </w:r>
      <w:r>
        <w:rPr>
          <w:rFonts w:ascii="Times New Roman" w:hAnsi="Times New Roman" w:eastAsia="Times New Roman" w:cs="Times New Roman"/>
          <w:spacing w:val="12"/>
        </w:rPr>
        <w:t>2.0</w:t>
      </w:r>
      <w:r>
        <w:rPr>
          <w:rFonts w:ascii="Times New Roman" w:hAnsi="Times New Roman" w:eastAsia="Times New Roman" w:cs="Times New Roman"/>
          <w:spacing w:val="21"/>
          <w:w w:val="101"/>
        </w:rPr>
        <w:t xml:space="preserve"> </w:t>
      </w:r>
      <w:r>
        <w:rPr>
          <w:spacing w:val="12"/>
        </w:rPr>
        <w:t>万</w:t>
      </w:r>
      <w:r>
        <w:rPr>
          <w:rFonts w:ascii="Times New Roman" w:hAnsi="Times New Roman" w:eastAsia="Times New Roman" w:cs="Times New Roman"/>
          <w:spacing w:val="5"/>
        </w:rPr>
        <w:t>m</w:t>
      </w:r>
      <w:r>
        <w:rPr>
          <w:rFonts w:ascii="Times New Roman" w:hAnsi="Times New Roman" w:eastAsia="Times New Roman" w:cs="Times New Roman"/>
          <w:spacing w:val="5"/>
          <w:position w:val="9"/>
        </w:rPr>
        <w:t>3</w:t>
      </w:r>
      <w:r>
        <w:rPr>
          <w:rFonts w:ascii="Times New Roman" w:hAnsi="Times New Roman" w:eastAsia="Times New Roman" w:cs="Times New Roman"/>
          <w:spacing w:val="5"/>
        </w:rPr>
        <w:t>/d</w:t>
      </w:r>
      <w:r>
        <w:rPr>
          <w:rFonts w:ascii="Times New Roman" w:hAnsi="Times New Roman" w:eastAsia="Times New Roman" w:cs="Times New Roman"/>
          <w:spacing w:val="-22"/>
        </w:rPr>
        <w:t xml:space="preserve"> </w:t>
      </w:r>
      <w:r>
        <w:rPr>
          <w:spacing w:val="5"/>
        </w:rPr>
        <w:t>。河道坡降平缓，行洪能力低，城区（雨</w:t>
      </w:r>
      <w:r>
        <w:rPr>
          <w:spacing w:val="11"/>
        </w:rPr>
        <w:t>水）排水管网系统短期内难以全部完善健全，</w:t>
      </w:r>
      <w:r>
        <w:rPr>
          <w:spacing w:val="7"/>
        </w:rPr>
        <w:t>排水能力有限，易造成低洼地区大量积水，形</w:t>
      </w:r>
      <w:r>
        <w:rPr>
          <w:spacing w:val="6"/>
        </w:rPr>
        <w:t>成内涝；</w:t>
      </w:r>
    </w:p>
    <w:p>
      <w:pPr>
        <w:pStyle w:val="BodyText"/>
        <w:ind w:left="21" w:right="300" w:firstLine="421"/>
        <w:spacing w:before="14" w:line="350" w:lineRule="auto"/>
        <w:jc w:val="both"/>
        <w:rPr/>
      </w:pPr>
      <w:r>
        <w:rPr>
          <w:rFonts w:ascii="Times New Roman" w:hAnsi="Times New Roman" w:eastAsia="Times New Roman" w:cs="Times New Roman"/>
          <w:spacing w:val="8"/>
        </w:rPr>
        <w:t>2.5  </w:t>
      </w:r>
      <w:r>
        <w:rPr>
          <w:rFonts w:ascii="KaiTi" w:hAnsi="KaiTi" w:eastAsia="KaiTi" w:cs="KaiTi"/>
          <w:spacing w:val="8"/>
        </w:rPr>
        <w:t>重点防护对象。</w:t>
      </w:r>
      <w:r>
        <w:rPr>
          <w:spacing w:val="8"/>
        </w:rPr>
        <w:t>党政机关要地、部队</w:t>
      </w:r>
      <w:r>
        <w:rPr>
          <w:spacing w:val="7"/>
        </w:rPr>
        <w:t>驻地、城市经济中心、电台、电视台等重点部</w:t>
      </w:r>
      <w:r>
        <w:rPr>
          <w:spacing w:val="7"/>
        </w:rPr>
        <w:t>门和重点单位，地下商场、人防工程等重要地</w:t>
      </w:r>
      <w:r>
        <w:rPr>
          <w:spacing w:val="7"/>
        </w:rPr>
        <w:t>下设施，以及供水、供电、供气、供热等生命</w:t>
      </w:r>
      <w:r>
        <w:rPr>
          <w:spacing w:val="15"/>
        </w:rPr>
        <w:t>线工程设施</w:t>
      </w:r>
      <w:r>
        <w:rPr>
          <w:spacing w:val="-40"/>
        </w:rPr>
        <w:t xml:space="preserve"> </w:t>
      </w:r>
      <w:r>
        <w:rPr>
          <w:spacing w:val="15"/>
        </w:rPr>
        <w:t>，重要有毒害污染物生产或仓储</w:t>
      </w:r>
      <w:r>
        <w:rPr>
          <w:spacing w:val="-2"/>
        </w:rPr>
        <w:t>地，城区易积水交通干道及危房稠密居民区等。</w:t>
      </w:r>
    </w:p>
    <w:p>
      <w:pPr>
        <w:ind w:left="445"/>
        <w:spacing w:before="2"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3</w:t>
      </w:r>
      <w:r>
        <w:rPr>
          <w:rFonts w:ascii="Microsoft YaHei" w:hAnsi="Microsoft YaHei" w:eastAsia="Microsoft YaHei" w:cs="Microsoft YaHei"/>
          <w:sz w:val="20"/>
          <w:szCs w:val="20"/>
          <w:spacing w:val="14"/>
        </w:rPr>
        <w:t xml:space="preserve">   </w:t>
      </w:r>
      <w:r>
        <w:rPr>
          <w:rFonts w:ascii="Microsoft YaHei" w:hAnsi="Microsoft YaHei" w:eastAsia="Microsoft YaHei" w:cs="Microsoft YaHei"/>
          <w:sz w:val="20"/>
          <w:szCs w:val="20"/>
          <w:spacing w:val="6"/>
        </w:rPr>
        <w:t>组织体系与职责</w:t>
      </w:r>
    </w:p>
    <w:p>
      <w:pPr>
        <w:ind w:left="446"/>
        <w:spacing w:before="76" w:line="241" w:lineRule="auto"/>
        <w:rPr>
          <w:rFonts w:ascii="KaiTi" w:hAnsi="KaiTi" w:eastAsia="KaiTi" w:cs="KaiTi"/>
          <w:sz w:val="20"/>
          <w:szCs w:val="20"/>
        </w:rPr>
      </w:pPr>
      <w:r>
        <w:rPr>
          <w:rFonts w:ascii="Times New Roman" w:hAnsi="Times New Roman" w:eastAsia="Times New Roman" w:cs="Times New Roman"/>
          <w:sz w:val="20"/>
          <w:szCs w:val="20"/>
          <w:spacing w:val="4"/>
        </w:rPr>
        <w:t>3.</w:t>
      </w:r>
      <w:r>
        <w:rPr>
          <w:rFonts w:ascii="Times New Roman" w:hAnsi="Times New Roman" w:eastAsia="Times New Roman" w:cs="Times New Roman"/>
          <w:sz w:val="20"/>
          <w:szCs w:val="20"/>
          <w:spacing w:val="-21"/>
        </w:rPr>
        <w:t xml:space="preserve"> </w:t>
      </w:r>
      <w:r>
        <w:rPr>
          <w:rFonts w:ascii="Times New Roman" w:hAnsi="Times New Roman" w:eastAsia="Times New Roman" w:cs="Times New Roman"/>
          <w:sz w:val="20"/>
          <w:szCs w:val="20"/>
          <w:spacing w:val="4"/>
        </w:rPr>
        <w:t>1  </w:t>
      </w:r>
      <w:r>
        <w:rPr>
          <w:rFonts w:ascii="KaiTi" w:hAnsi="KaiTi" w:eastAsia="KaiTi" w:cs="KaiTi"/>
          <w:sz w:val="20"/>
          <w:szCs w:val="20"/>
          <w:spacing w:val="4"/>
        </w:rPr>
        <w:t>领导小组主要职责。</w:t>
      </w:r>
    </w:p>
    <w:p>
      <w:pPr>
        <w:pStyle w:val="BodyText"/>
        <w:ind w:left="21" w:right="356" w:firstLine="411"/>
        <w:spacing w:before="117" w:line="287" w:lineRule="auto"/>
        <w:rPr/>
      </w:pPr>
      <w:r>
        <w:rPr>
          <w:spacing w:val="6"/>
        </w:rPr>
        <w:t>（</w:t>
      </w:r>
      <w:r>
        <w:rPr>
          <w:spacing w:val="-34"/>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9"/>
        </w:rPr>
        <w:t xml:space="preserve"> </w:t>
      </w:r>
      <w:r>
        <w:rPr>
          <w:spacing w:val="6"/>
        </w:rPr>
        <w:t>）领导小组负责领导、组织、监督、</w:t>
      </w:r>
      <w:r>
        <w:rPr>
          <w:spacing w:val="8"/>
        </w:rPr>
        <w:t>协调城市防汛工作。</w:t>
      </w:r>
    </w:p>
    <w:p>
      <w:pPr>
        <w:pStyle w:val="BodyText"/>
        <w:ind w:left="22" w:right="310" w:firstLine="410"/>
        <w:spacing w:before="139" w:line="289"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）贯彻实施有关防汛工作的法律、法</w:t>
      </w:r>
      <w:r>
        <w:rPr>
          <w:spacing w:val="-2"/>
        </w:rPr>
        <w:t>规和方针政策，执行市应急管理指挥部的命令；</w:t>
      </w:r>
    </w:p>
    <w:p>
      <w:pPr>
        <w:pStyle w:val="BodyText"/>
        <w:ind w:left="433"/>
        <w:spacing w:before="132" w:line="278" w:lineRule="exact"/>
        <w:rPr/>
      </w:pPr>
      <w:r>
        <w:rPr>
          <w:spacing w:val="7"/>
          <w:position w:val="1"/>
        </w:rPr>
        <w:t>（</w:t>
      </w:r>
      <w:r>
        <w:rPr>
          <w:rFonts w:ascii="Times New Roman" w:hAnsi="Times New Roman" w:eastAsia="Times New Roman" w:cs="Times New Roman"/>
          <w:spacing w:val="7"/>
          <w:position w:val="1"/>
        </w:rPr>
        <w:t>3</w:t>
      </w:r>
      <w:r>
        <w:rPr>
          <w:rFonts w:ascii="Times New Roman" w:hAnsi="Times New Roman" w:eastAsia="Times New Roman" w:cs="Times New Roman"/>
          <w:spacing w:val="-21"/>
          <w:position w:val="1"/>
        </w:rPr>
        <w:t xml:space="preserve"> </w:t>
      </w:r>
      <w:r>
        <w:rPr>
          <w:spacing w:val="7"/>
          <w:position w:val="1"/>
        </w:rPr>
        <w:t>）全面负责城区防汛工作；</w:t>
      </w:r>
    </w:p>
    <w:p>
      <w:pPr>
        <w:pStyle w:val="BodyText"/>
        <w:ind w:left="433"/>
        <w:spacing w:before="104" w:line="277" w:lineRule="exact"/>
        <w:rPr/>
      </w:pPr>
      <w:r>
        <w:rPr>
          <w:spacing w:val="5"/>
          <w:position w:val="1"/>
        </w:rPr>
        <w:t>（</w:t>
      </w:r>
      <w:r>
        <w:rPr>
          <w:rFonts w:ascii="Times New Roman" w:hAnsi="Times New Roman" w:eastAsia="Times New Roman" w:cs="Times New Roman"/>
          <w:spacing w:val="5"/>
          <w:position w:val="1"/>
        </w:rPr>
        <w:t>4</w:t>
      </w:r>
      <w:r>
        <w:rPr>
          <w:rFonts w:ascii="Times New Roman" w:hAnsi="Times New Roman" w:eastAsia="Times New Roman" w:cs="Times New Roman"/>
          <w:spacing w:val="-18"/>
          <w:position w:val="1"/>
        </w:rPr>
        <w:t xml:space="preserve"> </w:t>
      </w:r>
      <w:r>
        <w:rPr>
          <w:spacing w:val="5"/>
          <w:position w:val="1"/>
        </w:rPr>
        <w:t>）承担市委、市政府交办的其他事项。</w:t>
      </w:r>
    </w:p>
    <w:p>
      <w:pPr>
        <w:pStyle w:val="BodyText"/>
        <w:ind w:left="441" w:right="329" w:firstLine="4"/>
        <w:spacing w:before="102" w:line="286" w:lineRule="auto"/>
        <w:rPr/>
      </w:pPr>
      <w:r>
        <w:rPr>
          <w:rFonts w:ascii="Times New Roman" w:hAnsi="Times New Roman" w:eastAsia="Times New Roman" w:cs="Times New Roman"/>
          <w:spacing w:val="8"/>
        </w:rPr>
        <w:t>3.2  </w:t>
      </w:r>
      <w:r>
        <w:rPr>
          <w:rFonts w:ascii="KaiTi" w:hAnsi="KaiTi" w:eastAsia="KaiTi" w:cs="KaiTi"/>
          <w:spacing w:val="8"/>
        </w:rPr>
        <w:t>领导小组组长、副组长的主要职责。</w:t>
      </w:r>
      <w:r>
        <w:rPr>
          <w:spacing w:val="6"/>
        </w:rPr>
        <w:t>组  长：领导小组由市政府分管副市长担</w:t>
      </w:r>
    </w:p>
    <w:p>
      <w:pPr>
        <w:spacing w:line="14" w:lineRule="auto"/>
        <w:rPr>
          <w:rFonts w:ascii="Arial"/>
          <w:sz w:val="2"/>
        </w:rPr>
      </w:pPr>
      <w:r>
        <w:rPr>
          <w:rFonts w:ascii="Arial" w:hAnsi="Arial" w:eastAsia="Arial" w:cs="Arial"/>
          <w:sz w:val="2"/>
          <w:szCs w:val="2"/>
        </w:rPr>
        <w:br w:type="column"/>
      </w:r>
    </w:p>
    <w:p>
      <w:pPr>
        <w:pStyle w:val="BodyText"/>
        <w:ind w:left="2"/>
        <w:spacing w:before="38" w:line="223" w:lineRule="auto"/>
        <w:rPr/>
      </w:pPr>
      <w:r>
        <w:rPr>
          <w:spacing w:val="9"/>
        </w:rPr>
        <w:t>任，全面负责领导小组的领导工作。</w:t>
      </w:r>
    </w:p>
    <w:p>
      <w:pPr>
        <w:pStyle w:val="BodyText"/>
        <w:ind w:right="101" w:firstLine="426"/>
        <w:spacing w:before="139" w:line="350" w:lineRule="auto"/>
        <w:jc w:val="both"/>
        <w:rPr/>
      </w:pPr>
      <w:r>
        <w:rPr>
          <w:spacing w:val="6"/>
        </w:rPr>
        <w:t>副组长：领导小组副组长由应急管理、原</w:t>
      </w:r>
      <w:r>
        <w:rPr>
          <w:spacing w:val="7"/>
        </w:rPr>
        <w:t>州区政府、开发区管委会负责人担任。协助指</w:t>
      </w:r>
      <w:r>
        <w:rPr>
          <w:spacing w:val="7"/>
        </w:rPr>
        <w:t>挥好城市防汛工作，组织协调领导小组及相关</w:t>
      </w:r>
      <w:r>
        <w:rPr>
          <w:spacing w:val="7"/>
        </w:rPr>
        <w:t>单位工作，监督检查责任落实情况；或受领导</w:t>
      </w:r>
      <w:r>
        <w:rPr>
          <w:spacing w:val="8"/>
        </w:rPr>
        <w:t>小组委托，行使指挥职权。</w:t>
      </w:r>
    </w:p>
    <w:p>
      <w:pPr>
        <w:pStyle w:val="BodyText"/>
        <w:ind w:left="2" w:right="33" w:firstLine="423"/>
        <w:spacing w:line="351" w:lineRule="auto"/>
        <w:jc w:val="both"/>
        <w:rPr/>
      </w:pPr>
      <w:r>
        <w:rPr>
          <w:rFonts w:ascii="Times New Roman" w:hAnsi="Times New Roman" w:eastAsia="Times New Roman" w:cs="Times New Roman"/>
          <w:spacing w:val="8"/>
        </w:rPr>
        <w:t>3.3  </w:t>
      </w:r>
      <w:r>
        <w:rPr>
          <w:rFonts w:ascii="KaiTi" w:hAnsi="KaiTi" w:eastAsia="KaiTi" w:cs="KaiTi"/>
          <w:spacing w:val="8"/>
        </w:rPr>
        <w:t>市城区防汛领导小组办公室。</w:t>
      </w:r>
      <w:r>
        <w:rPr>
          <w:spacing w:val="8"/>
        </w:rPr>
        <w:t>市城区</w:t>
      </w:r>
      <w:r>
        <w:rPr>
          <w:spacing w:val="10"/>
        </w:rPr>
        <w:t>防汛抢险领导小组办公室（</w:t>
      </w:r>
      <w:r>
        <w:rPr>
          <w:spacing w:val="-45"/>
        </w:rPr>
        <w:t xml:space="preserve"> </w:t>
      </w:r>
      <w:r>
        <w:rPr>
          <w:spacing w:val="10"/>
        </w:rPr>
        <w:t>以下简称</w:t>
      </w:r>
      <w:r>
        <w:rPr>
          <w:rFonts w:ascii="Times New Roman" w:hAnsi="Times New Roman" w:eastAsia="Times New Roman" w:cs="Times New Roman"/>
          <w:spacing w:val="10"/>
        </w:rPr>
        <w:t>“</w:t>
      </w:r>
      <w:r>
        <w:rPr>
          <w:spacing w:val="10"/>
        </w:rPr>
        <w:t>城区防</w:t>
      </w:r>
      <w:r>
        <w:rPr>
          <w:spacing w:val="11"/>
        </w:rPr>
        <w:t>汛办</w:t>
      </w:r>
      <w:r>
        <w:rPr>
          <w:rFonts w:ascii="Times New Roman" w:hAnsi="Times New Roman" w:eastAsia="Times New Roman" w:cs="Times New Roman"/>
          <w:spacing w:val="11"/>
        </w:rPr>
        <w:t>”</w:t>
      </w:r>
      <w:r>
        <w:rPr>
          <w:rFonts w:ascii="Times New Roman" w:hAnsi="Times New Roman" w:eastAsia="Times New Roman" w:cs="Times New Roman"/>
          <w:spacing w:val="-15"/>
        </w:rPr>
        <w:t xml:space="preserve"> </w:t>
      </w:r>
      <w:r>
        <w:rPr>
          <w:spacing w:val="11"/>
        </w:rPr>
        <w:t>）作为领导小组办事机构。办公室设在</w:t>
      </w:r>
      <w:r>
        <w:rPr>
          <w:spacing w:val="-9"/>
        </w:rPr>
        <w:t>市城市管理局，局长兼任办公室主任。主要职责：</w:t>
      </w:r>
    </w:p>
    <w:p>
      <w:pPr>
        <w:pStyle w:val="BodyText"/>
        <w:ind w:left="3" w:right="101" w:firstLine="409"/>
        <w:spacing w:before="2" w:line="307"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）贯彻国家有关防汛工作的法规和方</w:t>
      </w:r>
      <w:r>
        <w:rPr>
          <w:spacing w:val="7"/>
        </w:rPr>
        <w:t>针、政策，执行市委、市政府、领导小组下达</w:t>
      </w:r>
      <w:r>
        <w:rPr>
          <w:spacing w:val="7"/>
        </w:rPr>
        <w:t>的各项指令。</w:t>
      </w:r>
    </w:p>
    <w:p>
      <w:pPr>
        <w:pStyle w:val="BodyText"/>
        <w:ind w:left="2" w:right="103" w:firstLine="410"/>
        <w:spacing w:before="141" w:line="288"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5"/>
        </w:rPr>
        <w:t xml:space="preserve"> </w:t>
      </w:r>
      <w:r>
        <w:rPr>
          <w:spacing w:val="8"/>
        </w:rPr>
        <w:t>）执行领导小组的指令</w:t>
      </w:r>
      <w:r>
        <w:rPr>
          <w:spacing w:val="-59"/>
        </w:rPr>
        <w:t xml:space="preserve"> </w:t>
      </w:r>
      <w:r>
        <w:rPr>
          <w:spacing w:val="8"/>
        </w:rPr>
        <w:t>，负责向领导</w:t>
      </w:r>
      <w:r>
        <w:rPr>
          <w:spacing w:val="7"/>
        </w:rPr>
        <w:t>小组报告工作；</w:t>
      </w:r>
    </w:p>
    <w:p>
      <w:pPr>
        <w:pStyle w:val="BodyText"/>
        <w:ind w:left="1" w:right="101" w:firstLine="411"/>
        <w:spacing w:before="133" w:line="310"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）具体负责领导小组日常工作。研究</w:t>
      </w:r>
      <w:r>
        <w:rPr>
          <w:spacing w:val="7"/>
        </w:rPr>
        <w:t>部署城区防汛工作，开展城市防汛宣传，提高</w:t>
      </w:r>
      <w:r>
        <w:rPr>
          <w:spacing w:val="8"/>
        </w:rPr>
        <w:t>全社会的防洪减灾意识；</w:t>
      </w:r>
    </w:p>
    <w:p>
      <w:pPr>
        <w:pStyle w:val="BodyText"/>
        <w:ind w:left="5" w:right="103" w:firstLine="407"/>
        <w:spacing w:before="132" w:line="291"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）编制、修订并组织实施城区防汛应</w:t>
      </w:r>
      <w:r>
        <w:rPr>
          <w:spacing w:val="5"/>
        </w:rPr>
        <w:t>急预案；</w:t>
      </w:r>
    </w:p>
    <w:p>
      <w:pPr>
        <w:pStyle w:val="BodyText"/>
        <w:ind w:right="103" w:firstLine="413"/>
        <w:spacing w:before="130" w:line="288" w:lineRule="auto"/>
        <w:rPr/>
      </w:pPr>
      <w:r>
        <w:rPr>
          <w:spacing w:val="6"/>
        </w:rPr>
        <w:t>（</w:t>
      </w:r>
      <w:r>
        <w:rPr>
          <w:spacing w:val="-51"/>
        </w:rPr>
        <w:t xml:space="preserve"> </w:t>
      </w:r>
      <w:r>
        <w:rPr>
          <w:rFonts w:ascii="Times New Roman" w:hAnsi="Times New Roman" w:eastAsia="Times New Roman" w:cs="Times New Roman"/>
          <w:spacing w:val="6"/>
        </w:rPr>
        <w:t>5</w:t>
      </w:r>
      <w:r>
        <w:rPr>
          <w:rFonts w:ascii="Times New Roman" w:hAnsi="Times New Roman" w:eastAsia="Times New Roman" w:cs="Times New Roman"/>
          <w:spacing w:val="-18"/>
        </w:rPr>
        <w:t xml:space="preserve"> </w:t>
      </w:r>
      <w:r>
        <w:rPr>
          <w:spacing w:val="6"/>
        </w:rPr>
        <w:t>）组织开展防汛检查</w:t>
      </w:r>
      <w:r>
        <w:rPr>
          <w:spacing w:val="-59"/>
        </w:rPr>
        <w:t xml:space="preserve"> </w:t>
      </w:r>
      <w:r>
        <w:rPr>
          <w:spacing w:val="6"/>
        </w:rPr>
        <w:t>，建立城区防汛</w:t>
      </w:r>
      <w:r>
        <w:rPr>
          <w:spacing w:val="9"/>
        </w:rPr>
        <w:t>督查组织，督促并协</w:t>
      </w:r>
    </w:p>
    <w:p>
      <w:pPr>
        <w:pStyle w:val="BodyText"/>
        <w:ind w:left="2"/>
        <w:spacing w:before="141" w:line="225" w:lineRule="auto"/>
        <w:rPr/>
      </w:pPr>
      <w:r>
        <w:rPr>
          <w:spacing w:val="9"/>
        </w:rPr>
        <w:t>调有关单位和部门全面做好城区防汛工作；</w:t>
      </w:r>
    </w:p>
    <w:p>
      <w:pPr>
        <w:pStyle w:val="BodyText"/>
        <w:ind w:left="1" w:right="103" w:firstLine="411"/>
        <w:spacing w:before="131" w:line="290" w:lineRule="auto"/>
        <w:rPr/>
      </w:pPr>
      <w:r>
        <w:rPr>
          <w:spacing w:val="11"/>
        </w:rPr>
        <w:t>（</w:t>
      </w:r>
      <w:r>
        <w:rPr>
          <w:rFonts w:ascii="Times New Roman" w:hAnsi="Times New Roman" w:eastAsia="Times New Roman" w:cs="Times New Roman"/>
          <w:spacing w:val="11"/>
        </w:rPr>
        <w:t>6</w:t>
      </w:r>
      <w:r>
        <w:rPr>
          <w:rFonts w:ascii="Times New Roman" w:hAnsi="Times New Roman" w:eastAsia="Times New Roman" w:cs="Times New Roman"/>
          <w:spacing w:val="-18"/>
        </w:rPr>
        <w:t xml:space="preserve"> </w:t>
      </w:r>
      <w:r>
        <w:rPr>
          <w:spacing w:val="11"/>
        </w:rPr>
        <w:t>）负责推广先进防汛科学技术和新材</w:t>
      </w:r>
      <w:r>
        <w:rPr>
          <w:spacing w:val="6"/>
        </w:rPr>
        <w:t>料的应用；</w:t>
      </w:r>
    </w:p>
    <w:p>
      <w:pPr>
        <w:pStyle w:val="BodyText"/>
        <w:ind w:right="96" w:firstLine="412"/>
        <w:spacing w:before="134" w:line="289" w:lineRule="auto"/>
        <w:rPr/>
      </w:pPr>
      <w:r>
        <w:rPr>
          <w:spacing w:val="5"/>
        </w:rPr>
        <w:t>（</w:t>
      </w:r>
      <w:r>
        <w:rPr>
          <w:rFonts w:ascii="Times New Roman" w:hAnsi="Times New Roman" w:eastAsia="Times New Roman" w:cs="Times New Roman"/>
          <w:spacing w:val="5"/>
        </w:rPr>
        <w:t>7</w:t>
      </w:r>
      <w:r>
        <w:rPr>
          <w:rFonts w:ascii="Times New Roman" w:hAnsi="Times New Roman" w:eastAsia="Times New Roman" w:cs="Times New Roman"/>
          <w:spacing w:val="-19"/>
        </w:rPr>
        <w:t xml:space="preserve"> </w:t>
      </w:r>
      <w:r>
        <w:rPr>
          <w:spacing w:val="5"/>
        </w:rPr>
        <w:t>）通过相关媒体向社会发布</w:t>
      </w:r>
      <w:r>
        <w:rPr>
          <w:spacing w:val="-39"/>
        </w:rPr>
        <w:t xml:space="preserve"> </w:t>
      </w:r>
      <w:r>
        <w:rPr>
          <w:rFonts w:ascii="Times New Roman" w:hAnsi="Times New Roman" w:eastAsia="Times New Roman" w:cs="Times New Roman"/>
        </w:rPr>
        <w:t>III</w:t>
      </w:r>
      <w:r>
        <w:rPr>
          <w:spacing w:val="5"/>
        </w:rPr>
        <w:t>、</w:t>
      </w:r>
      <w:r>
        <w:rPr>
          <w:rFonts w:ascii="Times New Roman" w:hAnsi="Times New Roman" w:eastAsia="Times New Roman" w:cs="Times New Roman"/>
        </w:rPr>
        <w:t>IV</w:t>
      </w:r>
      <w:r>
        <w:rPr>
          <w:rFonts w:ascii="Times New Roman" w:hAnsi="Times New Roman" w:eastAsia="Times New Roman" w:cs="Times New Roman"/>
          <w:spacing w:val="5"/>
        </w:rPr>
        <w:t xml:space="preserve"> </w:t>
      </w:r>
      <w:r>
        <w:rPr>
          <w:spacing w:val="5"/>
        </w:rPr>
        <w:t>级</w:t>
      </w:r>
      <w:r>
        <w:rPr>
          <w:spacing w:val="7"/>
        </w:rPr>
        <w:t>应急预警信息；</w:t>
      </w:r>
    </w:p>
    <w:p>
      <w:pPr>
        <w:pStyle w:val="BodyText"/>
        <w:ind w:left="413"/>
        <w:spacing w:before="132" w:line="277" w:lineRule="exact"/>
        <w:rPr/>
      </w:pPr>
      <w:r>
        <w:rPr>
          <w:spacing w:val="4"/>
          <w:position w:val="1"/>
        </w:rPr>
        <w:t>（</w:t>
      </w:r>
      <w:r>
        <w:rPr>
          <w:spacing w:val="-47"/>
          <w:position w:val="1"/>
        </w:rPr>
        <w:t xml:space="preserve"> </w:t>
      </w:r>
      <w:r>
        <w:rPr>
          <w:rFonts w:ascii="Times New Roman" w:hAnsi="Times New Roman" w:eastAsia="Times New Roman" w:cs="Times New Roman"/>
          <w:spacing w:val="4"/>
          <w:position w:val="1"/>
        </w:rPr>
        <w:t>8</w:t>
      </w:r>
      <w:r>
        <w:rPr>
          <w:rFonts w:ascii="Times New Roman" w:hAnsi="Times New Roman" w:eastAsia="Times New Roman" w:cs="Times New Roman"/>
          <w:spacing w:val="-21"/>
          <w:position w:val="1"/>
        </w:rPr>
        <w:t xml:space="preserve"> </w:t>
      </w:r>
      <w:r>
        <w:rPr>
          <w:spacing w:val="4"/>
          <w:position w:val="1"/>
        </w:rPr>
        <w:t>）做好其他有关防汛抗洪工作。</w:t>
      </w:r>
    </w:p>
    <w:p>
      <w:pPr>
        <w:ind w:left="426"/>
        <w:spacing w:before="104" w:line="242" w:lineRule="auto"/>
        <w:rPr>
          <w:rFonts w:ascii="KaiTi" w:hAnsi="KaiTi" w:eastAsia="KaiTi" w:cs="KaiTi"/>
          <w:sz w:val="20"/>
          <w:szCs w:val="20"/>
        </w:rPr>
      </w:pPr>
      <w:r>
        <w:rPr>
          <w:rFonts w:ascii="Times New Roman" w:hAnsi="Times New Roman" w:eastAsia="Times New Roman" w:cs="Times New Roman"/>
          <w:sz w:val="20"/>
          <w:szCs w:val="20"/>
          <w:spacing w:val="5"/>
        </w:rPr>
        <w:t>3.4  </w:t>
      </w:r>
      <w:r>
        <w:rPr>
          <w:rFonts w:ascii="KaiTi" w:hAnsi="KaiTi" w:eastAsia="KaiTi" w:cs="KaiTi"/>
          <w:sz w:val="20"/>
          <w:szCs w:val="20"/>
          <w:spacing w:val="5"/>
        </w:rPr>
        <w:t>成员单位职责。</w:t>
      </w:r>
    </w:p>
    <w:p>
      <w:pPr>
        <w:pStyle w:val="BodyText"/>
        <w:ind w:left="3" w:right="101" w:firstLine="419"/>
        <w:spacing w:before="117" w:line="349" w:lineRule="auto"/>
        <w:rPr/>
      </w:pPr>
      <w:r>
        <w:rPr>
          <w:spacing w:val="6"/>
        </w:rPr>
        <w:t>市发展和改革委员会：负责城市防汛设施</w:t>
      </w:r>
      <w:r>
        <w:rPr>
          <w:spacing w:val="18"/>
        </w:rPr>
        <w:t>和重点水利工程除险加固的协调安排和监督</w:t>
      </w:r>
      <w:r>
        <w:rPr>
          <w:spacing w:val="9"/>
        </w:rPr>
        <w:t>管理；负责城市防汛工程立项审批或核准。</w:t>
      </w:r>
    </w:p>
    <w:p>
      <w:pPr>
        <w:pStyle w:val="BodyText"/>
        <w:ind w:left="1" w:right="101" w:firstLine="421"/>
        <w:spacing w:before="6" w:line="286" w:lineRule="auto"/>
        <w:rPr/>
      </w:pPr>
      <w:r>
        <w:rPr>
          <w:spacing w:val="6"/>
        </w:rPr>
        <w:t>市教育体育局：负责全市教育系统的防汛</w:t>
      </w:r>
      <w:r>
        <w:rPr>
          <w:spacing w:val="7"/>
        </w:rPr>
        <w:t>救灾和安全教育工作，做好校舍的排查和抢修</w:t>
      </w:r>
    </w:p>
    <w:p>
      <w:pPr>
        <w:spacing w:line="286" w:lineRule="auto"/>
        <w:sectPr>
          <w:type w:val="continuous"/>
          <w:pgSz w:w="11906" w:h="16839"/>
          <w:pgMar w:top="1772" w:right="1489" w:bottom="1572" w:left="1571" w:header="1428" w:footer="1172" w:gutter="0"/>
          <w:cols w:equalWidth="0" w:num="2">
            <w:col w:w="4498" w:space="100"/>
            <w:col w:w="4249" w:space="0"/>
          </w:cols>
        </w:sectPr>
        <w:rPr/>
      </w:pPr>
    </w:p>
    <w:p>
      <w:pPr>
        <w:spacing w:before="61"/>
        <w:rPr/>
      </w:pPr>
      <w:r>
        <w:drawing>
          <wp:anchor distT="0" distB="0" distL="0" distR="0" simplePos="0" relativeHeight="254676992" behindDoc="0" locked="0" layoutInCell="0" allowOverlap="1">
            <wp:simplePos x="0" y="0"/>
            <wp:positionH relativeFrom="page">
              <wp:posOffset>1008380</wp:posOffset>
            </wp:positionH>
            <wp:positionV relativeFrom="page">
              <wp:posOffset>1278890</wp:posOffset>
            </wp:positionV>
            <wp:extent cx="5579745" cy="7619"/>
            <wp:effectExtent l="0" t="0" r="0" b="0"/>
            <wp:wrapNone/>
            <wp:docPr id="2422" name="IM 2422"/>
            <wp:cNvGraphicFramePr/>
            <a:graphic>
              <a:graphicData uri="http://schemas.openxmlformats.org/drawingml/2006/picture">
                <pic:pic>
                  <pic:nvPicPr>
                    <pic:cNvPr id="2422" name="IM 2422"/>
                    <pic:cNvPicPr/>
                  </pic:nvPicPr>
                  <pic:blipFill>
                    <a:blip r:embed="rId1216"/>
                    <a:stretch>
                      <a:fillRect/>
                    </a:stretch>
                  </pic:blipFill>
                  <pic:spPr>
                    <a:xfrm rot="0">
                      <a:off x="0" y="0"/>
                      <a:ext cx="5579745" cy="7619"/>
                    </a:xfrm>
                    <a:prstGeom prst="rect">
                      <a:avLst/>
                    </a:prstGeom>
                  </pic:spPr>
                </pic:pic>
              </a:graphicData>
            </a:graphic>
          </wp:anchor>
        </w:drawing>
      </w:r>
      <w:r/>
    </w:p>
    <w:p>
      <w:pPr>
        <w:sectPr>
          <w:headerReference w:type="default" r:id="rId1176"/>
          <w:footerReference w:type="default" r:id="rId1215"/>
          <w:pgSz w:w="11906" w:h="16839"/>
          <w:pgMar w:top="1974" w:right="1507" w:bottom="1574" w:left="1579" w:header="1634" w:footer="1172" w:gutter="0"/>
          <w:cols w:equalWidth="0" w:num="1">
            <w:col w:w="8819" w:space="0"/>
          </w:cols>
        </w:sectPr>
        <w:rPr/>
      </w:pPr>
    </w:p>
    <w:p>
      <w:pPr>
        <w:pStyle w:val="BodyText"/>
        <w:ind w:left="15" w:right="327" w:hanging="1"/>
        <w:spacing w:before="42" w:line="349" w:lineRule="auto"/>
        <w:rPr/>
      </w:pPr>
      <w:r>
        <w:rPr>
          <w:spacing w:val="7"/>
        </w:rPr>
        <w:t>加固，做好学生的安全转移和疏散工作，确保</w:t>
      </w:r>
      <w:r>
        <w:rPr>
          <w:spacing w:val="8"/>
        </w:rPr>
        <w:t>学生和教师的人身安全。</w:t>
      </w:r>
    </w:p>
    <w:p>
      <w:pPr>
        <w:pStyle w:val="BodyText"/>
        <w:ind w:left="434"/>
        <w:spacing w:line="277" w:lineRule="exact"/>
        <w:rPr/>
      </w:pPr>
      <w:r>
        <w:rPr>
          <w:spacing w:val="6"/>
          <w:position w:val="1"/>
        </w:rPr>
        <w:t>市公安局：负责维护防汛抢险工作秩序和</w:t>
      </w:r>
    </w:p>
    <w:p>
      <w:pPr>
        <w:pStyle w:val="BodyText"/>
        <w:ind w:left="11" w:right="322" w:firstLine="2"/>
        <w:spacing w:before="105" w:line="350" w:lineRule="auto"/>
        <w:jc w:val="both"/>
        <w:rPr/>
      </w:pPr>
      <w:r>
        <w:rPr>
          <w:spacing w:val="7"/>
        </w:rPr>
        <w:t>灾区社会治安铁序。保障人民生命财产安全：</w:t>
      </w:r>
      <w:r>
        <w:rPr>
          <w:spacing w:val="7"/>
        </w:rPr>
        <w:t>疏导受灾地区及积水地区的道路交通，必要时</w:t>
      </w:r>
      <w:r>
        <w:rPr>
          <w:spacing w:val="4"/>
        </w:rPr>
        <w:t>实施严格交通管制等措施</w:t>
      </w:r>
      <w:r>
        <w:rPr>
          <w:rFonts w:ascii="Times New Roman" w:hAnsi="Times New Roman" w:eastAsia="Times New Roman" w:cs="Times New Roman"/>
          <w:spacing w:val="4"/>
        </w:rPr>
        <w:t>,</w:t>
      </w:r>
      <w:r>
        <w:rPr>
          <w:spacing w:val="4"/>
        </w:rPr>
        <w:t>保障指挥、抢险、救</w:t>
      </w:r>
      <w:r>
        <w:rPr>
          <w:spacing w:val="7"/>
        </w:rPr>
        <w:t>灾车辆优先通行；查处破坏防汛救灾工作的各</w:t>
      </w:r>
      <w:r>
        <w:rPr>
          <w:spacing w:val="4"/>
        </w:rPr>
        <w:t>类案件</w:t>
      </w:r>
      <w:r>
        <w:rPr>
          <w:rFonts w:ascii="Times New Roman" w:hAnsi="Times New Roman" w:eastAsia="Times New Roman" w:cs="Times New Roman"/>
          <w:spacing w:val="4"/>
        </w:rPr>
        <w:t>,</w:t>
      </w:r>
      <w:r>
        <w:rPr>
          <w:spacing w:val="4"/>
        </w:rPr>
        <w:t>严厉打击违法犯罪活动；伤亡人员死因</w:t>
      </w:r>
      <w:r>
        <w:rPr>
          <w:spacing w:val="7"/>
        </w:rPr>
        <w:t>鉴定；组织指挥消防官兵做好应急救援和抢险</w:t>
      </w:r>
      <w:r>
        <w:rPr>
          <w:spacing w:val="5"/>
        </w:rPr>
        <w:t>工作。</w:t>
      </w:r>
    </w:p>
    <w:p>
      <w:pPr>
        <w:pStyle w:val="BodyText"/>
        <w:ind w:left="11" w:right="318" w:firstLine="423"/>
        <w:spacing w:before="4" w:line="350" w:lineRule="auto"/>
        <w:jc w:val="both"/>
        <w:rPr/>
      </w:pPr>
      <w:r>
        <w:rPr>
          <w:spacing w:val="3"/>
        </w:rPr>
        <w:t>市民政局：负责洪涝灾害调查</w:t>
      </w:r>
      <w:r>
        <w:rPr>
          <w:rFonts w:ascii="Times New Roman" w:hAnsi="Times New Roman" w:eastAsia="Times New Roman" w:cs="Times New Roman"/>
          <w:spacing w:val="3"/>
        </w:rPr>
        <w:t>,</w:t>
      </w:r>
      <w:r>
        <w:rPr>
          <w:spacing w:val="3"/>
        </w:rPr>
        <w:t>做好灾情统</w:t>
      </w:r>
      <w:r>
        <w:rPr>
          <w:spacing w:val="7"/>
        </w:rPr>
        <w:t>计接收、分配和监督救灾款物的管理和使用；</w:t>
      </w:r>
      <w:r>
        <w:rPr>
          <w:spacing w:val="7"/>
        </w:rPr>
        <w:t>做好灾民转移安置和生活安排；妥善处理遇难</w:t>
      </w:r>
      <w:r>
        <w:rPr>
          <w:spacing w:val="8"/>
        </w:rPr>
        <w:t>者的善后事宜；组织救灾捐赠。</w:t>
      </w:r>
    </w:p>
    <w:p>
      <w:pPr>
        <w:pStyle w:val="BodyText"/>
        <w:ind w:left="13" w:right="321" w:firstLine="421"/>
        <w:spacing w:before="1" w:line="334" w:lineRule="auto"/>
        <w:rPr/>
      </w:pPr>
      <w:r>
        <w:rPr>
          <w:spacing w:val="7"/>
        </w:rPr>
        <w:t>市财政局：负责协调防汛抢险救灾资金，</w:t>
      </w:r>
      <w:r>
        <w:rPr>
          <w:spacing w:val="8"/>
        </w:rPr>
        <w:t>做好资金管理</w:t>
      </w:r>
      <w:r>
        <w:rPr>
          <w:rFonts w:ascii="Times New Roman" w:hAnsi="Times New Roman" w:eastAsia="Times New Roman" w:cs="Times New Roman"/>
          <w:spacing w:val="8"/>
        </w:rPr>
        <w:t>,</w:t>
      </w:r>
      <w:r>
        <w:rPr>
          <w:spacing w:val="8"/>
        </w:rPr>
        <w:t>保证资金及时到位。</w:t>
      </w:r>
    </w:p>
    <w:p>
      <w:pPr>
        <w:pStyle w:val="BodyText"/>
        <w:ind w:left="10" w:right="327" w:firstLine="424"/>
        <w:spacing w:before="34" w:line="349" w:lineRule="auto"/>
        <w:jc w:val="both"/>
        <w:rPr/>
      </w:pPr>
      <w:r>
        <w:rPr>
          <w:spacing w:val="6"/>
        </w:rPr>
        <w:t>市自然资源局：负责协调重大防洪工程建</w:t>
      </w:r>
      <w:r>
        <w:rPr>
          <w:spacing w:val="7"/>
        </w:rPr>
        <w:t>设、滞洪区、灾后重建等永久和临时性占地的</w:t>
      </w:r>
      <w:r>
        <w:rPr>
          <w:spacing w:val="7"/>
        </w:rPr>
        <w:t>审批，上报工作；组织对山体滑坡、崩塌、地</w:t>
      </w:r>
      <w:r>
        <w:rPr>
          <w:spacing w:val="7"/>
        </w:rPr>
        <w:t>面塌陷、泥石流等地质灾害的监测、防治等工</w:t>
      </w:r>
      <w:r>
        <w:rPr>
          <w:spacing w:val="7"/>
        </w:rPr>
        <w:t>作，及时准确地提供地质灾害的相关信息。负</w:t>
      </w:r>
      <w:r>
        <w:rPr>
          <w:spacing w:val="14"/>
        </w:rPr>
        <w:t>责城市防洪规划的编制</w:t>
      </w:r>
      <w:r>
        <w:rPr>
          <w:rFonts w:ascii="Times New Roman" w:hAnsi="Times New Roman" w:eastAsia="Times New Roman" w:cs="Times New Roman"/>
          <w:spacing w:val="14"/>
        </w:rPr>
        <w:t>,</w:t>
      </w:r>
      <w:r>
        <w:rPr>
          <w:spacing w:val="14"/>
        </w:rPr>
        <w:t>负责城市防洪工程建</w:t>
      </w:r>
      <w:r>
        <w:rPr>
          <w:spacing w:val="7"/>
        </w:rPr>
        <w:t>设的审批；配合城市防汛指挥部及市城管执法</w:t>
      </w:r>
      <w:r>
        <w:rPr>
          <w:spacing w:val="9"/>
        </w:rPr>
        <w:t>部门认定影响城市防汛、排洪违章建筑等。</w:t>
      </w:r>
    </w:p>
    <w:p>
      <w:pPr>
        <w:pStyle w:val="BodyText"/>
        <w:ind w:left="14" w:right="327" w:firstLine="420"/>
        <w:spacing w:before="1" w:line="344" w:lineRule="auto"/>
        <w:jc w:val="both"/>
        <w:rPr/>
      </w:pPr>
      <w:r>
        <w:rPr>
          <w:spacing w:val="6"/>
        </w:rPr>
        <w:t>市住房和城乡建设局：负责城区各建筑工</w:t>
      </w:r>
      <w:r>
        <w:rPr>
          <w:spacing w:val="7"/>
        </w:rPr>
        <w:t>地、拆迁工地安全，督促各建筑工地建筑垃圾</w:t>
      </w:r>
      <w:r>
        <w:rPr>
          <w:spacing w:val="7"/>
        </w:rPr>
        <w:t>的清理工作。</w:t>
      </w:r>
    </w:p>
    <w:p>
      <w:pPr>
        <w:pStyle w:val="BodyText"/>
        <w:ind w:left="14" w:right="327" w:firstLine="420"/>
        <w:spacing w:before="15" w:line="347" w:lineRule="auto"/>
        <w:jc w:val="both"/>
        <w:rPr/>
      </w:pPr>
      <w:r>
        <w:rPr>
          <w:spacing w:val="6"/>
        </w:rPr>
        <w:t>市城市管理局：负责城市供水、供气、供</w:t>
      </w:r>
      <w:r>
        <w:rPr>
          <w:spacing w:val="7"/>
        </w:rPr>
        <w:t>热、道桥等市政公用设施的抢修维护工作，保</w:t>
      </w:r>
      <w:r>
        <w:rPr>
          <w:spacing w:val="7"/>
        </w:rPr>
        <w:t>障城市生活、生产的稳定；做好雨、污水管道</w:t>
      </w:r>
      <w:r>
        <w:rPr>
          <w:spacing w:val="7"/>
        </w:rPr>
        <w:t>的疏浚与畅通、道桥等市政公用设施在汛期正</w:t>
      </w:r>
      <w:r>
        <w:rPr>
          <w:spacing w:val="7"/>
        </w:rPr>
        <w:t>常运转；组织城区抗洪抢险及水毁工程的修复</w:t>
      </w:r>
      <w:r>
        <w:rPr>
          <w:spacing w:val="4"/>
        </w:rPr>
        <w:t>工作。</w:t>
      </w:r>
    </w:p>
    <w:p>
      <w:pPr>
        <w:pStyle w:val="BodyText"/>
        <w:ind w:left="434"/>
        <w:spacing w:before="14" w:line="221" w:lineRule="auto"/>
        <w:rPr/>
      </w:pPr>
      <w:r>
        <w:rPr>
          <w:spacing w:val="6"/>
        </w:rPr>
        <w:t>市生态环境局：负责监督重点环境安全隐</w:t>
      </w:r>
    </w:p>
    <w:p>
      <w:pPr>
        <w:spacing w:line="14" w:lineRule="auto"/>
        <w:rPr>
          <w:rFonts w:ascii="Arial"/>
          <w:sz w:val="2"/>
        </w:rPr>
      </w:pPr>
      <w:r>
        <w:rPr>
          <w:rFonts w:ascii="Arial" w:hAnsi="Arial" w:eastAsia="Arial" w:cs="Arial"/>
          <w:sz w:val="2"/>
          <w:szCs w:val="2"/>
        </w:rPr>
        <w:br w:type="column"/>
      </w:r>
    </w:p>
    <w:p>
      <w:pPr>
        <w:pStyle w:val="BodyText"/>
        <w:ind w:left="2" w:firstLine="5"/>
        <w:spacing w:before="40" w:line="348" w:lineRule="auto"/>
        <w:jc w:val="both"/>
        <w:rPr/>
      </w:pPr>
      <w:r>
        <w:rPr>
          <w:spacing w:val="7"/>
        </w:rPr>
        <w:t>患单位汛期环境污染防治措施的落实，确保汛</w:t>
      </w:r>
      <w:r>
        <w:rPr>
          <w:spacing w:val="7"/>
        </w:rPr>
        <w:t>期不发生重大环境污染事件；加强对汛期市区</w:t>
      </w:r>
      <w:r>
        <w:rPr>
          <w:spacing w:val="4"/>
        </w:rPr>
        <w:t>河流污染物的监测工作</w:t>
      </w:r>
      <w:r>
        <w:rPr>
          <w:rFonts w:ascii="Times New Roman" w:hAnsi="Times New Roman" w:eastAsia="Times New Roman" w:cs="Times New Roman"/>
          <w:spacing w:val="4"/>
        </w:rPr>
        <w:t>,</w:t>
      </w:r>
      <w:r>
        <w:rPr>
          <w:spacing w:val="4"/>
        </w:rPr>
        <w:t>及时上报领导小组，为</w:t>
      </w:r>
      <w:r>
        <w:rPr>
          <w:spacing w:val="-8"/>
        </w:rPr>
        <w:t>领导小组决策提供技术支持，确保汛期环境安全。</w:t>
      </w:r>
    </w:p>
    <w:p>
      <w:pPr>
        <w:pStyle w:val="BodyText"/>
        <w:ind w:right="83" w:firstLine="424"/>
        <w:spacing w:before="2" w:line="346" w:lineRule="auto"/>
        <w:jc w:val="both"/>
        <w:rPr/>
      </w:pPr>
      <w:r>
        <w:rPr>
          <w:spacing w:val="6"/>
        </w:rPr>
        <w:t>市交通运输局：负责做好公路交通设施的</w:t>
      </w:r>
      <w:r>
        <w:rPr>
          <w:spacing w:val="7"/>
        </w:rPr>
        <w:t>防洪安全工作，组织运力做好防汛物资及设备</w:t>
      </w:r>
      <w:r>
        <w:rPr>
          <w:spacing w:val="7"/>
        </w:rPr>
        <w:t>的运输工作。及时组织抢修公路、桥梁和路面</w:t>
      </w:r>
      <w:r>
        <w:rPr>
          <w:spacing w:val="5"/>
        </w:rPr>
        <w:t>设施。</w:t>
      </w:r>
    </w:p>
    <w:p>
      <w:pPr>
        <w:pStyle w:val="BodyText"/>
        <w:ind w:left="3" w:right="53" w:firstLine="420"/>
        <w:spacing w:before="9" w:line="344" w:lineRule="auto"/>
        <w:jc w:val="both"/>
        <w:rPr/>
      </w:pPr>
      <w:r>
        <w:rPr>
          <w:spacing w:val="6"/>
        </w:rPr>
        <w:t>市水务局：确保水库、水利防洪工程的安</w:t>
      </w:r>
      <w:r>
        <w:rPr>
          <w:spacing w:val="7"/>
        </w:rPr>
        <w:t>全运行情况，及时提供水情和险情信息；组织</w:t>
      </w:r>
      <w:r>
        <w:rPr>
          <w:spacing w:val="-2"/>
        </w:rPr>
        <w:t>内河水利抗洪抢险及水毁工程的抢修加固工作。</w:t>
      </w:r>
    </w:p>
    <w:p>
      <w:pPr>
        <w:pStyle w:val="BodyText"/>
        <w:ind w:left="1" w:right="60" w:firstLine="423"/>
        <w:spacing w:before="13" w:line="345" w:lineRule="auto"/>
        <w:jc w:val="both"/>
        <w:rPr/>
      </w:pPr>
      <w:r>
        <w:rPr>
          <w:spacing w:val="8"/>
        </w:rPr>
        <w:t>市卫生健康委员会：负责组织医疗救护、</w:t>
      </w:r>
      <w:r>
        <w:rPr>
          <w:spacing w:val="7"/>
        </w:rPr>
        <w:t>抢救伤员、建立防汛卫生救援应急小分队，做</w:t>
      </w:r>
      <w:r>
        <w:rPr>
          <w:spacing w:val="8"/>
        </w:rPr>
        <w:t>好汛期及洪灾后的医疗救治和卫生防疫工作。</w:t>
      </w:r>
    </w:p>
    <w:p>
      <w:pPr>
        <w:pStyle w:val="BodyText"/>
        <w:ind w:left="2" w:right="19" w:firstLine="422"/>
        <w:spacing w:before="17" w:line="347" w:lineRule="auto"/>
        <w:jc w:val="both"/>
        <w:rPr/>
      </w:pPr>
      <w:r>
        <w:rPr>
          <w:spacing w:val="6"/>
        </w:rPr>
        <w:t>市文化旅游广播电视局：负责组织、协调</w:t>
      </w:r>
      <w:r>
        <w:rPr>
          <w:spacing w:val="18"/>
        </w:rPr>
        <w:t>广播、电视等新闻媒体做好汛期宣传报道工</w:t>
      </w:r>
      <w:r>
        <w:rPr>
          <w:spacing w:val="7"/>
        </w:rPr>
        <w:t>作；根据应急管理指挥部的部署，安排有关雨</w:t>
      </w:r>
      <w:r>
        <w:rPr>
          <w:spacing w:val="-9"/>
        </w:rPr>
        <w:t>情汛情、防汛预警等重要信息的播发方式和频率。</w:t>
      </w:r>
    </w:p>
    <w:p>
      <w:pPr>
        <w:pStyle w:val="BodyText"/>
        <w:ind w:left="2" w:right="53" w:firstLine="422"/>
        <w:spacing w:before="5" w:line="343" w:lineRule="auto"/>
        <w:jc w:val="both"/>
        <w:rPr/>
      </w:pPr>
      <w:r>
        <w:rPr>
          <w:spacing w:val="6"/>
        </w:rPr>
        <w:t>市应急管理局：负责监督、指导和协调汛</w:t>
      </w:r>
      <w:r>
        <w:rPr>
          <w:spacing w:val="7"/>
        </w:rPr>
        <w:t>期安全生产工作；负责防汛抢险事故的调查处</w:t>
      </w:r>
      <w:r>
        <w:rPr>
          <w:spacing w:val="8"/>
        </w:rPr>
        <w:t>理：在汛期特别要加强对有防汛任务的部门、</w:t>
      </w:r>
      <w:r>
        <w:rPr>
          <w:spacing w:val="-2"/>
        </w:rPr>
        <w:t>单位和生产经营单位安全生产工作的监督检查。</w:t>
      </w:r>
    </w:p>
    <w:p>
      <w:pPr>
        <w:pStyle w:val="BodyText"/>
        <w:ind w:left="1" w:right="63" w:firstLine="431"/>
        <w:spacing w:before="26" w:line="347" w:lineRule="auto"/>
        <w:jc w:val="both"/>
        <w:rPr/>
      </w:pPr>
      <w:r>
        <w:rPr>
          <w:spacing w:val="6"/>
        </w:rPr>
        <w:t>宁夏水文水利勘测局固原分局：负责做好</w:t>
      </w:r>
      <w:r>
        <w:rPr>
          <w:spacing w:val="7"/>
        </w:rPr>
        <w:t>暴雨洪水测报工作。及时、准确的向市城应急</w:t>
      </w:r>
      <w:r>
        <w:rPr>
          <w:spacing w:val="8"/>
        </w:rPr>
        <w:t>管理指挥部提供各水文站点的雨情水情信息。</w:t>
      </w:r>
    </w:p>
    <w:p>
      <w:pPr>
        <w:pStyle w:val="BodyText"/>
        <w:ind w:left="7" w:right="83" w:firstLine="417"/>
        <w:spacing w:before="7" w:line="333" w:lineRule="auto"/>
        <w:jc w:val="both"/>
        <w:rPr/>
      </w:pPr>
      <w:r>
        <w:rPr>
          <w:spacing w:val="6"/>
        </w:rPr>
        <w:t>市气象局：负责及时向领导小组机构提供</w:t>
      </w:r>
      <w:r>
        <w:rPr>
          <w:spacing w:val="8"/>
        </w:rPr>
        <w:t>天气预报预警和</w:t>
      </w:r>
    </w:p>
    <w:p>
      <w:pPr>
        <w:pStyle w:val="BodyText"/>
        <w:ind w:left="6" w:right="83" w:hanging="3"/>
        <w:spacing w:before="36" w:line="348" w:lineRule="auto"/>
        <w:rPr/>
      </w:pPr>
      <w:r>
        <w:rPr>
          <w:spacing w:val="7"/>
        </w:rPr>
        <w:t>河道设永值雨情分析等气象信息，及时发布暴</w:t>
      </w:r>
      <w:r>
        <w:rPr>
          <w:spacing w:val="8"/>
        </w:rPr>
        <w:t>丽和雷电预警预报，并做好预防宣传工作。</w:t>
      </w:r>
    </w:p>
    <w:p>
      <w:pPr>
        <w:pStyle w:val="BodyText"/>
        <w:ind w:left="3" w:right="83" w:firstLine="420"/>
        <w:spacing w:before="2" w:line="347" w:lineRule="auto"/>
        <w:jc w:val="both"/>
        <w:rPr/>
      </w:pPr>
      <w:r>
        <w:rPr>
          <w:spacing w:val="6"/>
        </w:rPr>
        <w:t>原州区人民政府：按照属地管理原则，负</w:t>
      </w:r>
      <w:r>
        <w:rPr>
          <w:spacing w:val="7"/>
        </w:rPr>
        <w:t>责城乡结合部、城中村，街道民房及住宅小区</w:t>
      </w:r>
      <w:r>
        <w:rPr>
          <w:spacing w:val="7"/>
        </w:rPr>
        <w:t>内设施防汛抢险、物资保障和户外广告设施安</w:t>
      </w:r>
      <w:r>
        <w:rPr>
          <w:spacing w:val="6"/>
        </w:rPr>
        <w:t>全运行。</w:t>
      </w:r>
    </w:p>
    <w:p>
      <w:pPr>
        <w:pStyle w:val="BodyText"/>
        <w:ind w:left="427"/>
        <w:spacing w:before="6" w:line="242" w:lineRule="auto"/>
        <w:rPr/>
      </w:pPr>
      <w:r>
        <w:rPr>
          <w:rFonts w:ascii="Times New Roman" w:hAnsi="Times New Roman" w:eastAsia="Times New Roman" w:cs="Times New Roman"/>
          <w:spacing w:val="8"/>
        </w:rPr>
        <w:t>3.5  </w:t>
      </w:r>
      <w:r>
        <w:rPr>
          <w:rFonts w:ascii="KaiTi" w:hAnsi="KaiTi" w:eastAsia="KaiTi" w:cs="KaiTi"/>
          <w:spacing w:val="8"/>
        </w:rPr>
        <w:t>指挥机构。</w:t>
      </w:r>
      <w:r>
        <w:rPr>
          <w:spacing w:val="8"/>
        </w:rPr>
        <w:t>固原市防汛指挥部在自治</w:t>
      </w:r>
    </w:p>
    <w:p>
      <w:pPr>
        <w:spacing w:line="242" w:lineRule="auto"/>
        <w:sectPr>
          <w:type w:val="continuous"/>
          <w:pgSz w:w="11906" w:h="16839"/>
          <w:pgMar w:top="1974" w:right="1507" w:bottom="1574" w:left="1579" w:header="1634" w:footer="1172" w:gutter="0"/>
          <w:cols w:equalWidth="0" w:num="2">
            <w:col w:w="4487" w:space="100"/>
            <w:col w:w="4233" w:space="0"/>
          </w:cols>
        </w:sectPr>
        <w:rPr/>
      </w:pPr>
    </w:p>
    <w:p>
      <w:pPr>
        <w:spacing w:before="48"/>
        <w:rPr/>
      </w:pPr>
      <w:r>
        <w:drawing>
          <wp:anchor distT="0" distB="0" distL="0" distR="0" simplePos="0" relativeHeight="254692352"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426" name="IM 2426"/>
            <wp:cNvGraphicFramePr/>
            <a:graphic>
              <a:graphicData uri="http://schemas.openxmlformats.org/drawingml/2006/picture">
                <pic:pic>
                  <pic:nvPicPr>
                    <pic:cNvPr id="2426" name="IM 2426"/>
                    <pic:cNvPicPr/>
                  </pic:nvPicPr>
                  <pic:blipFill>
                    <a:blip r:embed="rId1218"/>
                    <a:stretch>
                      <a:fillRect/>
                    </a:stretch>
                  </pic:blipFill>
                  <pic:spPr>
                    <a:xfrm rot="0">
                      <a:off x="0" y="0"/>
                      <a:ext cx="5579745" cy="7620"/>
                    </a:xfrm>
                    <a:prstGeom prst="rect">
                      <a:avLst/>
                    </a:prstGeom>
                  </pic:spPr>
                </pic:pic>
              </a:graphicData>
            </a:graphic>
          </wp:anchor>
        </w:drawing>
      </w:r>
      <w:r/>
    </w:p>
    <w:p>
      <w:pPr>
        <w:sectPr>
          <w:headerReference w:type="default" r:id="rId1062"/>
          <w:footerReference w:type="default" r:id="rId1217"/>
          <w:pgSz w:w="11906" w:h="16839"/>
          <w:pgMar w:top="1772" w:right="1489" w:bottom="1572" w:left="1571" w:header="1428" w:footer="1172" w:gutter="0"/>
          <w:cols w:equalWidth="0" w:num="1">
            <w:col w:w="8846" w:space="0"/>
          </w:cols>
        </w:sectPr>
        <w:rPr/>
      </w:pPr>
    </w:p>
    <w:p>
      <w:pPr>
        <w:pStyle w:val="BodyText"/>
        <w:ind w:left="21" w:right="204" w:firstLine="15"/>
        <w:spacing w:before="48" w:line="346" w:lineRule="auto"/>
        <w:rPr/>
      </w:pPr>
      <w:r>
        <w:rPr>
          <w:spacing w:val="6"/>
        </w:rPr>
        <w:t>区防汛指挥部，市委，市政府的领导下，领导</w:t>
      </w:r>
      <w:r>
        <w:rPr>
          <w:spacing w:val="-6"/>
        </w:rPr>
        <w:t>组织全市防汛工作。城市防汛指挥部人员组成如下</w:t>
      </w:r>
      <w:r>
        <w:rPr>
          <w:spacing w:val="1"/>
        </w:rPr>
        <w:t xml:space="preserve"> </w:t>
      </w:r>
      <w:r>
        <w:rPr>
          <w:spacing w:val="5"/>
        </w:rPr>
        <w:t>：  指   挥</w:t>
      </w:r>
      <w:r>
        <w:rPr>
          <w:spacing w:val="13"/>
        </w:rPr>
        <w:t xml:space="preserve">   </w:t>
      </w:r>
      <w:r>
        <w:rPr>
          <w:spacing w:val="5"/>
        </w:rPr>
        <w:t>长：市人民政府分管应急工作</w:t>
      </w:r>
      <w:r>
        <w:rPr>
          <w:spacing w:val="8"/>
        </w:rPr>
        <w:t>的市长</w:t>
      </w:r>
    </w:p>
    <w:p>
      <w:pPr>
        <w:pStyle w:val="BodyText"/>
        <w:ind w:left="27" w:right="329" w:firstLine="421"/>
        <w:spacing w:before="14" w:line="332" w:lineRule="auto"/>
        <w:rPr/>
      </w:pPr>
      <w:r>
        <w:rPr>
          <w:spacing w:val="6"/>
        </w:rPr>
        <w:t>常务副指挥长：固原市分管城市管理工作</w:t>
      </w:r>
      <w:r>
        <w:rPr>
          <w:spacing w:val="6"/>
        </w:rPr>
        <w:t>副市长</w:t>
      </w:r>
    </w:p>
    <w:p>
      <w:pPr>
        <w:pStyle w:val="BodyText"/>
        <w:ind w:left="21" w:right="329" w:firstLine="426"/>
        <w:spacing w:before="43" w:line="350" w:lineRule="auto"/>
        <w:jc w:val="both"/>
        <w:rPr/>
      </w:pPr>
      <w:r>
        <w:rPr>
          <w:spacing w:val="5"/>
        </w:rPr>
        <w:t>副  指 挥 长：市政府分管副秘书长、公</w:t>
      </w:r>
      <w:r>
        <w:rPr>
          <w:spacing w:val="7"/>
        </w:rPr>
        <w:t>安局分管副局长、水务局局长、农业农村局局</w:t>
      </w:r>
      <w:r>
        <w:rPr>
          <w:spacing w:val="7"/>
        </w:rPr>
        <w:t>长、应急管理局局长、气象局局局长、消防救</w:t>
      </w:r>
      <w:r>
        <w:rPr>
          <w:spacing w:val="7"/>
        </w:rPr>
        <w:t>援支队支队长，由指挥部根据应急工作需要确</w:t>
      </w:r>
      <w:r>
        <w:rPr>
          <w:spacing w:val="8"/>
        </w:rPr>
        <w:t>定的非政府职能部门（单位）。</w:t>
      </w:r>
    </w:p>
    <w:p>
      <w:pPr>
        <w:pStyle w:val="BodyText"/>
        <w:ind w:left="18" w:right="248" w:firstLine="427"/>
        <w:spacing w:before="6" w:line="351" w:lineRule="auto"/>
        <w:jc w:val="both"/>
        <w:rPr/>
      </w:pPr>
      <w:r>
        <w:rPr>
          <w:rFonts w:ascii="Times New Roman" w:hAnsi="Times New Roman" w:eastAsia="Times New Roman" w:cs="Times New Roman"/>
          <w:spacing w:val="8"/>
        </w:rPr>
        <w:t>3.6  </w:t>
      </w:r>
      <w:r>
        <w:rPr>
          <w:rFonts w:ascii="KaiTi" w:hAnsi="KaiTi" w:eastAsia="KaiTi" w:cs="KaiTi"/>
          <w:spacing w:val="8"/>
        </w:rPr>
        <w:t>成员单位及职责。</w:t>
      </w:r>
      <w:r>
        <w:rPr>
          <w:spacing w:val="8"/>
        </w:rPr>
        <w:t>政府办公室、发展</w:t>
      </w:r>
      <w:r>
        <w:rPr>
          <w:spacing w:val="1"/>
        </w:rPr>
        <w:t>和改革委员会、教育体育局、工业和信息化局、</w:t>
      </w:r>
      <w:r>
        <w:rPr>
          <w:spacing w:val="7"/>
        </w:rPr>
        <w:t>公安局、民政局、财政局、国资委、自然资源</w:t>
      </w:r>
      <w:r>
        <w:rPr>
          <w:spacing w:val="1"/>
        </w:rPr>
        <w:t>局、住房和城乡建设局、交通运输局、水务局、</w:t>
      </w:r>
      <w:r>
        <w:rPr>
          <w:spacing w:val="7"/>
        </w:rPr>
        <w:t>农业农村局、商务投资局、文化旅游广播电视</w:t>
      </w:r>
      <w:r>
        <w:rPr>
          <w:spacing w:val="-1"/>
        </w:rPr>
        <w:t>局、卫生健康委员会、应急管理局</w:t>
      </w:r>
      <w:r>
        <w:rPr>
          <w:rFonts w:ascii="Times New Roman" w:hAnsi="Times New Roman" w:eastAsia="Times New Roman" w:cs="Times New Roman"/>
          <w:spacing w:val="-1"/>
        </w:rPr>
        <w:t>,</w:t>
      </w:r>
      <w:r>
        <w:rPr>
          <w:spacing w:val="-1"/>
        </w:rPr>
        <w:t>城市管理局、</w:t>
      </w:r>
      <w:r>
        <w:rPr>
          <w:spacing w:val="7"/>
        </w:rPr>
        <w:t>气象局、消防救援支队，粮食储备局、固原车</w:t>
      </w:r>
      <w:r>
        <w:rPr>
          <w:spacing w:val="7"/>
        </w:rPr>
        <w:t>务段的负责同志，由指挥部根据应急工作需要</w:t>
      </w:r>
      <w:r>
        <w:rPr>
          <w:spacing w:val="2"/>
        </w:rPr>
        <w:t>确定的非政府职能部门（单位）。</w:t>
      </w:r>
    </w:p>
    <w:p>
      <w:pPr>
        <w:pStyle w:val="BodyText"/>
        <w:ind w:left="20" w:right="219" w:firstLine="423"/>
        <w:spacing w:before="1" w:line="348" w:lineRule="auto"/>
        <w:rPr/>
      </w:pPr>
      <w:r>
        <w:rPr>
          <w:spacing w:val="19"/>
        </w:rPr>
        <w:t>指挥部负责贯彻落实党中央、国务院及</w:t>
      </w:r>
      <w:r>
        <w:rPr>
          <w:spacing w:val="18"/>
        </w:rPr>
        <w:t>区、市党委和政府关于防汛抗旱工作决策部</w:t>
      </w:r>
      <w:r>
        <w:rPr>
          <w:spacing w:val="7"/>
        </w:rPr>
        <w:t>署；负责落实国家防汛抗旱总指挥部及市应急</w:t>
      </w:r>
      <w:r>
        <w:rPr>
          <w:spacing w:val="18"/>
        </w:rPr>
        <w:t>管理指挥部关于防汛抗旱相关工作的安排部</w:t>
      </w:r>
      <w:r>
        <w:rPr>
          <w:spacing w:val="2"/>
        </w:rPr>
        <w:t>署；负责组织、指导、监督全市防汛抗旱工作；</w:t>
      </w:r>
      <w:r>
        <w:rPr/>
        <w:t>负责制定防汛抗旱重要措施，指导市、县（</w:t>
      </w:r>
      <w:r>
        <w:rPr>
          <w:spacing w:val="-44"/>
        </w:rPr>
        <w:t xml:space="preserve"> </w:t>
      </w:r>
      <w:r>
        <w:rPr/>
        <w:t>区）</w:t>
      </w:r>
      <w:r>
        <w:rPr>
          <w:spacing w:val="7"/>
        </w:rPr>
        <w:t>水利部门开展水旱灾害监测预警、风险防范化</w:t>
      </w:r>
      <w:r>
        <w:rPr>
          <w:spacing w:val="7"/>
        </w:rPr>
        <w:t>解、隐患排查治理和工程巡查防守、应急水量</w:t>
      </w:r>
      <w:r>
        <w:rPr>
          <w:spacing w:val="7"/>
        </w:rPr>
        <w:t>调度等日常防治工作，指导各级应急管理部门</w:t>
      </w:r>
      <w:r>
        <w:rPr>
          <w:spacing w:val="7"/>
        </w:rPr>
        <w:t>编制并实施防汛抗旱专项应急预案、组织各类</w:t>
      </w:r>
      <w:r>
        <w:rPr>
          <w:spacing w:val="7"/>
        </w:rPr>
        <w:t>救援队伍开展应急演练、储备防汛抗旱应急物</w:t>
      </w:r>
      <w:r>
        <w:rPr>
          <w:spacing w:val="7"/>
        </w:rPr>
        <w:t>资、开展应急救援和灾后调查评估等工作；负</w:t>
      </w:r>
      <w:r>
        <w:rPr>
          <w:spacing w:val="7"/>
        </w:rPr>
        <w:t>责组织指挥较大水旱灾害的应急救援处置，指</w:t>
      </w:r>
      <w:r>
        <w:rPr>
          <w:spacing w:val="4"/>
        </w:rPr>
        <w:t>导水利部门和市县（</w:t>
      </w:r>
      <w:r>
        <w:rPr>
          <w:spacing w:val="-34"/>
        </w:rPr>
        <w:t xml:space="preserve"> </w:t>
      </w:r>
      <w:r>
        <w:rPr>
          <w:spacing w:val="4"/>
        </w:rPr>
        <w:t>区）开展三级及以下水旱</w:t>
      </w:r>
    </w:p>
    <w:p>
      <w:pPr>
        <w:spacing w:line="14" w:lineRule="auto"/>
        <w:rPr>
          <w:rFonts w:ascii="Arial"/>
          <w:sz w:val="2"/>
        </w:rPr>
      </w:pPr>
      <w:r>
        <w:rPr>
          <w:rFonts w:ascii="Arial" w:hAnsi="Arial" w:eastAsia="Arial" w:cs="Arial"/>
          <w:sz w:val="2"/>
          <w:szCs w:val="2"/>
        </w:rPr>
        <w:br w:type="column"/>
      </w:r>
    </w:p>
    <w:p>
      <w:pPr>
        <w:pStyle w:val="BodyText"/>
        <w:ind w:right="307" w:firstLine="1"/>
        <w:spacing w:before="49" w:line="336" w:lineRule="auto"/>
        <w:rPr/>
      </w:pPr>
      <w:r>
        <w:rPr>
          <w:spacing w:val="7"/>
        </w:rPr>
        <w:t>灾害的应急救援处置；负责做好市委、市政</w:t>
      </w:r>
      <w:r>
        <w:rPr>
          <w:spacing w:val="8"/>
        </w:rPr>
        <w:t>府安排的其他防汛抗旱工作。</w:t>
      </w:r>
    </w:p>
    <w:p>
      <w:pPr>
        <w:pStyle w:val="BodyText"/>
        <w:ind w:left="3" w:right="101" w:firstLine="420"/>
        <w:spacing w:before="45" w:line="353" w:lineRule="auto"/>
        <w:jc w:val="both"/>
        <w:rPr/>
      </w:pPr>
      <w:r>
        <w:rPr>
          <w:spacing w:val="6"/>
        </w:rPr>
        <w:t>指挥部办公室设在市应急管理局，应急管</w:t>
      </w:r>
      <w:r>
        <w:rPr>
          <w:spacing w:val="7"/>
        </w:rPr>
        <w:t>理局局长兼任办公室主任；市水务局局长兼任</w:t>
      </w:r>
      <w:r>
        <w:rPr>
          <w:spacing w:val="7"/>
        </w:rPr>
        <w:t>办公室常务副主任，负责水旱灾害防治的日常</w:t>
      </w:r>
      <w:r>
        <w:rPr>
          <w:spacing w:val="6"/>
        </w:rPr>
        <w:t>管理工作。</w:t>
      </w:r>
    </w:p>
    <w:p>
      <w:pPr>
        <w:pStyle w:val="BodyText"/>
        <w:ind w:left="1" w:right="101" w:firstLine="424"/>
        <w:spacing w:before="2" w:line="351" w:lineRule="auto"/>
        <w:jc w:val="both"/>
        <w:rPr/>
      </w:pPr>
      <w:r>
        <w:rPr>
          <w:rFonts w:ascii="Times New Roman" w:hAnsi="Times New Roman" w:eastAsia="Times New Roman" w:cs="Times New Roman"/>
          <w:spacing w:val="7"/>
        </w:rPr>
        <w:t>3.7</w:t>
      </w:r>
      <w:r>
        <w:rPr>
          <w:rFonts w:ascii="Times New Roman" w:hAnsi="Times New Roman" w:eastAsia="Times New Roman" w:cs="Times New Roman"/>
          <w:spacing w:val="18"/>
          <w:w w:val="101"/>
        </w:rPr>
        <w:t xml:space="preserve">  </w:t>
      </w:r>
      <w:r>
        <w:rPr>
          <w:rFonts w:ascii="KaiTi" w:hAnsi="KaiTi" w:eastAsia="KaiTi" w:cs="KaiTi"/>
          <w:spacing w:val="7"/>
        </w:rPr>
        <w:t>办事机构。</w:t>
      </w:r>
      <w:r>
        <w:rPr>
          <w:spacing w:val="7"/>
        </w:rPr>
        <w:t>固原市防汛指挥部办公室</w:t>
      </w:r>
      <w:r>
        <w:rPr>
          <w:spacing w:val="7"/>
        </w:rPr>
        <w:t>是固原市防汛指挥部的日常办事机构，设在固</w:t>
      </w:r>
      <w:r>
        <w:rPr>
          <w:spacing w:val="8"/>
        </w:rPr>
        <w:t>原市应急管理局。</w:t>
      </w:r>
    </w:p>
    <w:p>
      <w:pPr>
        <w:pStyle w:val="BodyText"/>
        <w:ind w:right="34" w:firstLine="429"/>
        <w:spacing w:before="11" w:line="354" w:lineRule="auto"/>
        <w:jc w:val="both"/>
        <w:rPr/>
      </w:pPr>
      <w:r>
        <w:rPr>
          <w:spacing w:val="6"/>
        </w:rPr>
        <w:t>主要职责：在固原市防汛指挥部的统一领</w:t>
      </w:r>
      <w:r>
        <w:rPr/>
        <w:t>导下，组织、协调、指导、监督全市防汛工作，</w:t>
      </w:r>
      <w:r>
        <w:rPr>
          <w:spacing w:val="7"/>
        </w:rPr>
        <w:t>传达执行上级业务主管部门指令。组织协调各</w:t>
      </w:r>
      <w:r>
        <w:rPr>
          <w:spacing w:val="7"/>
        </w:rPr>
        <w:t>成员单位做好防洪隐患的排查治理；督促落实</w:t>
      </w:r>
      <w:r>
        <w:rPr>
          <w:spacing w:val="7"/>
        </w:rPr>
        <w:t>水灾害预防、预警措施；及时编制修订防汛应</w:t>
      </w:r>
      <w:r>
        <w:rPr>
          <w:spacing w:val="7"/>
        </w:rPr>
        <w:t>急预案；指导重要河流及重要水利工程实施水</w:t>
      </w:r>
      <w:r>
        <w:rPr>
          <w:spacing w:val="10"/>
        </w:rPr>
        <w:t>量应急调度并组织协调水灾害应急救援工作；</w:t>
      </w:r>
      <w:r>
        <w:rPr>
          <w:spacing w:val="7"/>
        </w:rPr>
        <w:t>监督、指导区、管委会、乡镇（街道）、有关</w:t>
      </w:r>
      <w:r>
        <w:rPr>
          <w:spacing w:val="7"/>
        </w:rPr>
        <w:t>部门（单位）加强防汛应急管理和全市水灾害</w:t>
      </w:r>
      <w:r>
        <w:rPr>
          <w:spacing w:val="10"/>
        </w:rPr>
        <w:t>突发事件应急处置工作；监督指导预案演练、</w:t>
      </w:r>
      <w:r>
        <w:rPr>
          <w:spacing w:val="7"/>
        </w:rPr>
        <w:t>业务培训和防灾避灾知识宣传，落实应急体系</w:t>
      </w:r>
      <w:r>
        <w:rPr>
          <w:spacing w:val="7"/>
        </w:rPr>
        <w:t>建设各项目标任务。及时完成固原市防汛指挥</w:t>
      </w:r>
      <w:r>
        <w:rPr>
          <w:spacing w:val="8"/>
        </w:rPr>
        <w:t>部交办的其他工作。</w:t>
      </w:r>
    </w:p>
    <w:p>
      <w:pPr>
        <w:pStyle w:val="BodyText"/>
        <w:ind w:left="1" w:right="101" w:firstLine="424"/>
        <w:spacing w:before="8" w:line="354" w:lineRule="auto"/>
        <w:rPr/>
      </w:pPr>
      <w:r>
        <w:rPr>
          <w:rFonts w:ascii="Times New Roman" w:hAnsi="Times New Roman" w:eastAsia="Times New Roman" w:cs="Times New Roman"/>
          <w:spacing w:val="8"/>
        </w:rPr>
        <w:t>3.8  </w:t>
      </w:r>
      <w:r>
        <w:rPr>
          <w:rFonts w:ascii="KaiTi" w:hAnsi="KaiTi" w:eastAsia="KaiTi" w:cs="KaiTi"/>
          <w:spacing w:val="8"/>
        </w:rPr>
        <w:t>各工作组组成及职责。</w:t>
      </w:r>
      <w:r>
        <w:rPr>
          <w:spacing w:val="8"/>
        </w:rPr>
        <w:t>当固原市行政</w:t>
      </w:r>
      <w:r>
        <w:rPr>
          <w:spacing w:val="7"/>
        </w:rPr>
        <w:t>区域内发生较大水灾害启动应急响应时，固原</w:t>
      </w:r>
      <w:r>
        <w:rPr>
          <w:spacing w:val="18"/>
        </w:rPr>
        <w:t>市防汛指挥部按照职责分工和协同联动工作</w:t>
      </w:r>
      <w:r>
        <w:rPr>
          <w:spacing w:val="6"/>
        </w:rPr>
        <w:t>机制，成立</w:t>
      </w:r>
      <w:r>
        <w:rPr>
          <w:spacing w:val="-32"/>
        </w:rPr>
        <w:t xml:space="preserve"> </w:t>
      </w:r>
      <w:r>
        <w:rPr>
          <w:rFonts w:ascii="Times New Roman" w:hAnsi="Times New Roman" w:eastAsia="Times New Roman" w:cs="Times New Roman"/>
          <w:spacing w:val="6"/>
        </w:rPr>
        <w:t>7 </w:t>
      </w:r>
      <w:r>
        <w:rPr>
          <w:spacing w:val="6"/>
        </w:rPr>
        <w:t>个专业工作组，在应急响应期间</w:t>
      </w:r>
      <w:r>
        <w:rPr>
          <w:spacing w:val="11"/>
        </w:rPr>
        <w:t>实行</w:t>
      </w:r>
      <w:r>
        <w:rPr>
          <w:spacing w:val="-37"/>
        </w:rPr>
        <w:t xml:space="preserve"> </w:t>
      </w:r>
      <w:r>
        <w:rPr>
          <w:rFonts w:ascii="Times New Roman" w:hAnsi="Times New Roman" w:eastAsia="Times New Roman" w:cs="Times New Roman"/>
          <w:spacing w:val="11"/>
        </w:rPr>
        <w:t>24 </w:t>
      </w:r>
      <w:r>
        <w:rPr>
          <w:spacing w:val="11"/>
        </w:rPr>
        <w:t>小时值班，开展水灾害应急处置工。</w:t>
      </w:r>
      <w:r>
        <w:rPr>
          <w:spacing w:val="18"/>
        </w:rPr>
        <w:t>各工作组成员单位可根据工作实际相互调整</w:t>
      </w:r>
      <w:r>
        <w:rPr>
          <w:spacing w:val="-4"/>
        </w:rPr>
        <w:t>或增补，配合组长单位做好应急救援相关工作。</w:t>
      </w:r>
    </w:p>
    <w:p>
      <w:pPr>
        <w:pStyle w:val="BodyText"/>
        <w:ind w:left="413"/>
        <w:spacing w:line="276" w:lineRule="exact"/>
        <w:rPr/>
      </w:pPr>
      <w:r>
        <w:rPr>
          <w:spacing w:val="-1"/>
          <w:position w:val="1"/>
        </w:rPr>
        <w:t>（</w:t>
      </w:r>
      <w:r>
        <w:rPr>
          <w:spacing w:val="-45"/>
          <w:position w:val="1"/>
        </w:rPr>
        <w:t xml:space="preserve"> </w:t>
      </w:r>
      <w:r>
        <w:rPr>
          <w:rFonts w:ascii="Times New Roman" w:hAnsi="Times New Roman" w:eastAsia="Times New Roman" w:cs="Times New Roman"/>
          <w:spacing w:val="-1"/>
          <w:position w:val="1"/>
        </w:rPr>
        <w:t>1</w:t>
      </w:r>
      <w:r>
        <w:rPr>
          <w:rFonts w:ascii="Times New Roman" w:hAnsi="Times New Roman" w:eastAsia="Times New Roman" w:cs="Times New Roman"/>
          <w:spacing w:val="-21"/>
          <w:position w:val="1"/>
        </w:rPr>
        <w:t xml:space="preserve"> </w:t>
      </w:r>
      <w:r>
        <w:rPr>
          <w:spacing w:val="-1"/>
          <w:position w:val="1"/>
        </w:rPr>
        <w:t>）宣传报道组。</w:t>
      </w:r>
    </w:p>
    <w:p>
      <w:pPr>
        <w:pStyle w:val="BodyText"/>
        <w:ind w:left="423"/>
        <w:spacing w:before="108" w:line="276" w:lineRule="exact"/>
        <w:rPr/>
      </w:pPr>
      <w:r>
        <w:rPr>
          <w:spacing w:val="9"/>
          <w:position w:val="1"/>
        </w:rPr>
        <w:t>牵头单位：市文化旅游广播电视局</w:t>
      </w:r>
    </w:p>
    <w:p>
      <w:pPr>
        <w:pStyle w:val="BodyText"/>
        <w:ind w:right="101" w:firstLine="420"/>
        <w:spacing w:before="107" w:line="300" w:lineRule="auto"/>
        <w:jc w:val="both"/>
        <w:rPr/>
      </w:pPr>
      <w:r>
        <w:rPr>
          <w:spacing w:val="6"/>
        </w:rPr>
        <w:t>成员单位：市应急管理局、水务局、自然</w:t>
      </w:r>
      <w:r>
        <w:rPr>
          <w:spacing w:val="7"/>
        </w:rPr>
        <w:t>资源局、公安局、农业农村局、民政局、卫生</w:t>
      </w:r>
      <w:r>
        <w:rPr>
          <w:spacing w:val="8"/>
        </w:rPr>
        <w:t>健康委员会等有关单位。</w:t>
      </w:r>
    </w:p>
    <w:p>
      <w:pPr>
        <w:spacing w:line="300" w:lineRule="auto"/>
        <w:sectPr>
          <w:type w:val="continuous"/>
          <w:pgSz w:w="11906" w:h="16839"/>
          <w:pgMar w:top="1772" w:right="1489" w:bottom="1572" w:left="1571" w:header="1428" w:footer="1172" w:gutter="0"/>
          <w:cols w:equalWidth="0" w:num="2">
            <w:col w:w="4498" w:space="100"/>
            <w:col w:w="4249" w:space="0"/>
          </w:cols>
        </w:sectPr>
        <w:rPr/>
      </w:pPr>
    </w:p>
    <w:p>
      <w:pPr>
        <w:spacing w:before="67"/>
        <w:rPr/>
      </w:pPr>
      <w:r>
        <w:drawing>
          <wp:anchor distT="0" distB="0" distL="0" distR="0" simplePos="0" relativeHeight="254707712" behindDoc="0" locked="0" layoutInCell="0" allowOverlap="1">
            <wp:simplePos x="0" y="0"/>
            <wp:positionH relativeFrom="page">
              <wp:posOffset>1008380</wp:posOffset>
            </wp:positionH>
            <wp:positionV relativeFrom="page">
              <wp:posOffset>1278890</wp:posOffset>
            </wp:positionV>
            <wp:extent cx="5579745" cy="7619"/>
            <wp:effectExtent l="0" t="0" r="0" b="0"/>
            <wp:wrapNone/>
            <wp:docPr id="2432" name="IM 2432"/>
            <wp:cNvGraphicFramePr/>
            <a:graphic>
              <a:graphicData uri="http://schemas.openxmlformats.org/drawingml/2006/picture">
                <pic:pic>
                  <pic:nvPicPr>
                    <pic:cNvPr id="2432" name="IM 2432"/>
                    <pic:cNvPicPr/>
                  </pic:nvPicPr>
                  <pic:blipFill>
                    <a:blip r:embed="rId1221"/>
                    <a:stretch>
                      <a:fillRect/>
                    </a:stretch>
                  </pic:blipFill>
                  <pic:spPr>
                    <a:xfrm rot="0">
                      <a:off x="0" y="0"/>
                      <a:ext cx="5579745" cy="7619"/>
                    </a:xfrm>
                    <a:prstGeom prst="rect">
                      <a:avLst/>
                    </a:prstGeom>
                  </pic:spPr>
                </pic:pic>
              </a:graphicData>
            </a:graphic>
          </wp:anchor>
        </w:drawing>
      </w:r>
      <w:r/>
    </w:p>
    <w:p>
      <w:pPr>
        <w:sectPr>
          <w:headerReference w:type="default" r:id="rId1219"/>
          <w:footerReference w:type="default" r:id="rId1220"/>
          <w:pgSz w:w="11906" w:h="16839"/>
          <w:pgMar w:top="1974" w:right="1465" w:bottom="1574" w:left="1579" w:header="1634" w:footer="1172" w:gutter="0"/>
          <w:cols w:equalWidth="0" w:num="1">
            <w:col w:w="8862" w:space="0"/>
          </w:cols>
        </w:sectPr>
        <w:rPr/>
      </w:pPr>
    </w:p>
    <w:p>
      <w:pPr>
        <w:pStyle w:val="BodyText"/>
        <w:ind w:left="12" w:right="327" w:firstLine="428"/>
        <w:spacing w:before="45" w:line="369" w:lineRule="auto"/>
        <w:jc w:val="both"/>
        <w:rPr/>
      </w:pPr>
      <w:r>
        <w:rPr>
          <w:spacing w:val="6"/>
        </w:rPr>
        <w:t>主要职责：负责组织、协调报社、电台等</w:t>
      </w:r>
      <w:r>
        <w:rPr>
          <w:spacing w:val="7"/>
        </w:rPr>
        <w:t>有关新闻媒体单位及时报道水害灾害动态，统</w:t>
      </w:r>
      <w:r>
        <w:rPr>
          <w:spacing w:val="18"/>
        </w:rPr>
        <w:t>一对外发布灾害发展和应急抢险救援进展等</w:t>
      </w:r>
      <w:r>
        <w:rPr>
          <w:spacing w:val="-4"/>
        </w:rPr>
        <w:t>情况，及时正确引导和处置灾害过程相关舆情。</w:t>
      </w:r>
    </w:p>
    <w:p>
      <w:pPr>
        <w:pStyle w:val="BodyText"/>
        <w:ind w:left="424"/>
        <w:spacing w:before="3" w:line="278" w:lineRule="exact"/>
        <w:rPr/>
      </w:pPr>
      <w:r>
        <w:rPr>
          <w:spacing w:val="6"/>
          <w:position w:val="1"/>
        </w:rPr>
        <w:t>（</w:t>
      </w:r>
      <w:r>
        <w:rPr>
          <w:rFonts w:ascii="Times New Roman" w:hAnsi="Times New Roman" w:eastAsia="Times New Roman" w:cs="Times New Roman"/>
          <w:spacing w:val="6"/>
          <w:position w:val="1"/>
        </w:rPr>
        <w:t>2</w:t>
      </w:r>
      <w:r>
        <w:rPr>
          <w:rFonts w:ascii="Times New Roman" w:hAnsi="Times New Roman" w:eastAsia="Times New Roman" w:cs="Times New Roman"/>
          <w:spacing w:val="-21"/>
          <w:position w:val="1"/>
        </w:rPr>
        <w:t xml:space="preserve"> </w:t>
      </w:r>
      <w:r>
        <w:rPr>
          <w:spacing w:val="6"/>
          <w:position w:val="1"/>
        </w:rPr>
        <w:t>）监测预警预报组。</w:t>
      </w:r>
    </w:p>
    <w:p>
      <w:pPr>
        <w:pStyle w:val="BodyText"/>
        <w:ind w:left="435"/>
        <w:spacing w:before="123" w:line="277" w:lineRule="exact"/>
        <w:rPr/>
      </w:pPr>
      <w:r>
        <w:rPr>
          <w:spacing w:val="9"/>
          <w:position w:val="1"/>
        </w:rPr>
        <w:t>牵头单位：市气象局</w:t>
      </w:r>
    </w:p>
    <w:p>
      <w:pPr>
        <w:pStyle w:val="BodyText"/>
        <w:ind w:left="10" w:right="327" w:firstLine="423"/>
        <w:spacing w:before="121" w:line="366" w:lineRule="auto"/>
        <w:jc w:val="both"/>
        <w:rPr/>
      </w:pPr>
      <w:r>
        <w:rPr>
          <w:spacing w:val="6"/>
        </w:rPr>
        <w:t>成员单位：市应急管理局、水务局、农业</w:t>
      </w:r>
      <w:r>
        <w:rPr>
          <w:spacing w:val="7"/>
        </w:rPr>
        <w:t>农村局、自然资源局、交通运输局等有关成员</w:t>
      </w:r>
      <w:r>
        <w:rPr>
          <w:spacing w:val="5"/>
        </w:rPr>
        <w:t>单位。</w:t>
      </w:r>
    </w:p>
    <w:p>
      <w:pPr>
        <w:pStyle w:val="BodyText"/>
        <w:ind w:left="14" w:right="327" w:firstLine="427"/>
        <w:spacing w:before="12" w:line="369" w:lineRule="auto"/>
        <w:jc w:val="both"/>
        <w:rPr/>
      </w:pPr>
      <w:r>
        <w:rPr>
          <w:spacing w:val="6"/>
        </w:rPr>
        <w:t>主要职责：对全市气象形势、干旱、洪涝</w:t>
      </w:r>
      <w:r>
        <w:rPr>
          <w:spacing w:val="7"/>
        </w:rPr>
        <w:t>地质灾害进行监测预报预警，为固原市防汛指</w:t>
      </w:r>
      <w:r>
        <w:rPr>
          <w:spacing w:val="7"/>
        </w:rPr>
        <w:t>挥部及时提供准确的中、短期天气预报和气候</w:t>
      </w:r>
      <w:r>
        <w:rPr>
          <w:spacing w:val="7"/>
        </w:rPr>
        <w:t>变化趋势预测等气象信息，并对重要天气形势</w:t>
      </w:r>
      <w:r>
        <w:rPr>
          <w:spacing w:val="7"/>
        </w:rPr>
        <w:t>可能引发的干旱、洪涝、地质等灾害作出预警</w:t>
      </w:r>
      <w:r>
        <w:rPr>
          <w:spacing w:val="8"/>
        </w:rPr>
        <w:t>预报信息发布建议。</w:t>
      </w:r>
    </w:p>
    <w:p>
      <w:pPr>
        <w:pStyle w:val="BodyText"/>
        <w:ind w:left="424"/>
        <w:spacing w:line="278" w:lineRule="exact"/>
        <w:rPr/>
      </w:pPr>
      <w:r>
        <w:rPr>
          <w:spacing w:val="6"/>
          <w:position w:val="1"/>
        </w:rPr>
        <w:t>（</w:t>
      </w:r>
      <w:r>
        <w:rPr>
          <w:rFonts w:ascii="Times New Roman" w:hAnsi="Times New Roman" w:eastAsia="Times New Roman" w:cs="Times New Roman"/>
          <w:spacing w:val="6"/>
          <w:position w:val="1"/>
        </w:rPr>
        <w:t>3</w:t>
      </w:r>
      <w:r>
        <w:rPr>
          <w:rFonts w:ascii="Times New Roman" w:hAnsi="Times New Roman" w:eastAsia="Times New Roman" w:cs="Times New Roman"/>
          <w:spacing w:val="-16"/>
          <w:position w:val="1"/>
        </w:rPr>
        <w:t xml:space="preserve"> </w:t>
      </w:r>
      <w:r>
        <w:rPr>
          <w:spacing w:val="6"/>
          <w:position w:val="1"/>
        </w:rPr>
        <w:t>）水量及洪水调度组。</w:t>
      </w:r>
    </w:p>
    <w:p>
      <w:pPr>
        <w:pStyle w:val="BodyText"/>
        <w:ind w:left="435"/>
        <w:spacing w:before="123" w:line="277" w:lineRule="exact"/>
        <w:rPr/>
      </w:pPr>
      <w:r>
        <w:rPr>
          <w:spacing w:val="9"/>
          <w:position w:val="1"/>
        </w:rPr>
        <w:t>牵头单位：市水务局</w:t>
      </w:r>
    </w:p>
    <w:p>
      <w:pPr>
        <w:pStyle w:val="BodyText"/>
        <w:ind w:left="13" w:right="304" w:firstLine="420"/>
        <w:spacing w:before="123" w:line="366" w:lineRule="auto"/>
        <w:jc w:val="both"/>
        <w:rPr/>
      </w:pPr>
      <w:r>
        <w:rPr>
          <w:spacing w:val="5"/>
        </w:rPr>
        <w:t>成员单位：市应急管理局、</w:t>
      </w:r>
      <w:r>
        <w:rPr>
          <w:spacing w:val="-43"/>
        </w:rPr>
        <w:t xml:space="preserve"> </w:t>
      </w:r>
      <w:r>
        <w:rPr>
          <w:spacing w:val="5"/>
        </w:rPr>
        <w:t>自然资源局、</w:t>
      </w:r>
      <w:r>
        <w:rPr>
          <w:spacing w:val="7"/>
        </w:rPr>
        <w:t>交通运输局、公安局、农业农村局、固原水文</w:t>
      </w:r>
      <w:r>
        <w:rPr>
          <w:spacing w:val="8"/>
        </w:rPr>
        <w:t>分局等有关成员单位。</w:t>
      </w:r>
    </w:p>
    <w:p>
      <w:pPr>
        <w:pStyle w:val="BodyText"/>
        <w:ind w:left="11" w:right="304" w:firstLine="429"/>
        <w:spacing w:before="12" w:line="369" w:lineRule="auto"/>
        <w:jc w:val="both"/>
        <w:rPr/>
      </w:pPr>
      <w:r>
        <w:rPr>
          <w:spacing w:val="6"/>
        </w:rPr>
        <w:t>主要职责：负责辖市水利工程建设和防洪</w:t>
      </w:r>
      <w:r>
        <w:rPr>
          <w:spacing w:val="7"/>
        </w:rPr>
        <w:t>安全。做好旱情、水情调查监测预警工作，组</w:t>
      </w:r>
      <w:r>
        <w:rPr>
          <w:spacing w:val="8"/>
        </w:rPr>
        <w:t>织实施重要河流重点水利工程设施防御洪水、</w:t>
      </w:r>
      <w:r>
        <w:rPr>
          <w:spacing w:val="7"/>
        </w:rPr>
        <w:t>抗御旱灾水量应急调度，及时向固原市防汛指</w:t>
      </w:r>
      <w:r>
        <w:rPr>
          <w:spacing w:val="7"/>
        </w:rPr>
        <w:t>挥部提供报送旱情、雨情、险情、灾情。负责</w:t>
      </w:r>
      <w:r>
        <w:rPr>
          <w:spacing w:val="7"/>
        </w:rPr>
        <w:t>洪水资源调度、利用和管理，做好水灾害应急</w:t>
      </w:r>
      <w:r>
        <w:rPr>
          <w:spacing w:val="7"/>
        </w:rPr>
        <w:t>抢险救援技术、设备支撑和工程调度工作，及</w:t>
      </w:r>
      <w:r>
        <w:rPr>
          <w:spacing w:val="9"/>
        </w:rPr>
        <w:t>时做好灾后水利工程维修重建等工作。</w:t>
      </w:r>
    </w:p>
    <w:p>
      <w:pPr>
        <w:pStyle w:val="BodyText"/>
        <w:ind w:left="424"/>
        <w:spacing w:line="278" w:lineRule="exact"/>
        <w:rPr/>
      </w:pPr>
      <w:r>
        <w:rPr>
          <w:spacing w:val="5"/>
          <w:position w:val="1"/>
        </w:rPr>
        <w:t>（</w:t>
      </w:r>
      <w:r>
        <w:rPr>
          <w:rFonts w:ascii="Times New Roman" w:hAnsi="Times New Roman" w:eastAsia="Times New Roman" w:cs="Times New Roman"/>
          <w:spacing w:val="5"/>
          <w:position w:val="1"/>
        </w:rPr>
        <w:t>4</w:t>
      </w:r>
      <w:r>
        <w:rPr>
          <w:rFonts w:ascii="Times New Roman" w:hAnsi="Times New Roman" w:eastAsia="Times New Roman" w:cs="Times New Roman"/>
          <w:spacing w:val="-20"/>
          <w:position w:val="1"/>
        </w:rPr>
        <w:t xml:space="preserve"> </w:t>
      </w:r>
      <w:r>
        <w:rPr>
          <w:spacing w:val="5"/>
          <w:position w:val="1"/>
        </w:rPr>
        <w:t>）应急救援组。</w:t>
      </w:r>
    </w:p>
    <w:p>
      <w:pPr>
        <w:pStyle w:val="BodyText"/>
        <w:ind w:left="435"/>
        <w:spacing w:before="123" w:line="277" w:lineRule="exact"/>
        <w:rPr/>
      </w:pPr>
      <w:r>
        <w:rPr>
          <w:spacing w:val="9"/>
          <w:position w:val="1"/>
        </w:rPr>
        <w:t>牵头单位：市应急管理局</w:t>
      </w:r>
    </w:p>
    <w:p>
      <w:pPr>
        <w:pStyle w:val="BodyText"/>
        <w:ind w:left="14" w:right="327" w:firstLine="419"/>
        <w:spacing w:before="121" w:line="296" w:lineRule="auto"/>
        <w:rPr/>
      </w:pPr>
      <w:r>
        <w:rPr>
          <w:spacing w:val="6"/>
        </w:rPr>
        <w:t>成员单位：市消防救援支队，水务局、公</w:t>
      </w:r>
      <w:r>
        <w:rPr>
          <w:spacing w:val="7"/>
        </w:rPr>
        <w:t>安局、交通运输局、工业和信息化局、文化旅</w:t>
      </w:r>
    </w:p>
    <w:p>
      <w:pPr>
        <w:spacing w:line="14" w:lineRule="auto"/>
        <w:rPr>
          <w:rFonts w:ascii="Arial"/>
          <w:sz w:val="2"/>
        </w:rPr>
      </w:pPr>
      <w:r>
        <w:rPr>
          <w:rFonts w:ascii="Arial" w:hAnsi="Arial" w:eastAsia="Arial" w:cs="Arial"/>
          <w:sz w:val="2"/>
          <w:szCs w:val="2"/>
        </w:rPr>
        <w:br w:type="column"/>
      </w:r>
    </w:p>
    <w:p>
      <w:pPr>
        <w:pStyle w:val="BodyText"/>
        <w:ind w:left="2" w:firstLine="1"/>
        <w:spacing w:before="50" w:line="368" w:lineRule="auto"/>
        <w:rPr/>
      </w:pPr>
      <w:r>
        <w:rPr>
          <w:spacing w:val="7"/>
        </w:rPr>
        <w:t>游广播电视局等有关成员单位，由指挥部根据</w:t>
      </w:r>
      <w:r>
        <w:rPr>
          <w:spacing w:val="3"/>
        </w:rPr>
        <w:t>应急工作需要确定的非政府职能部门（单位）。</w:t>
      </w:r>
    </w:p>
    <w:p>
      <w:pPr>
        <w:pStyle w:val="BodyText"/>
        <w:ind w:left="1" w:right="118" w:firstLine="429"/>
        <w:spacing w:before="3" w:line="368" w:lineRule="auto"/>
        <w:jc w:val="both"/>
        <w:rPr/>
      </w:pPr>
      <w:r>
        <w:rPr>
          <w:spacing w:val="6"/>
        </w:rPr>
        <w:t>主要职责：组织、协调和开展水灾害应急</w:t>
      </w:r>
      <w:r>
        <w:rPr>
          <w:spacing w:val="7"/>
        </w:rPr>
        <w:t>抢险救援工作，协调指导重要河流和重点水利</w:t>
      </w:r>
      <w:r>
        <w:rPr>
          <w:spacing w:val="7"/>
        </w:rPr>
        <w:t>工程抗御水灾害应急调度相关工作，指导、组</w:t>
      </w:r>
      <w:r>
        <w:rPr>
          <w:spacing w:val="7"/>
        </w:rPr>
        <w:t>织相关乡镇（街道）、部门（单位）开展防洪</w:t>
      </w:r>
      <w:r>
        <w:rPr>
          <w:spacing w:val="7"/>
        </w:rPr>
        <w:t>抢险、抗旱救灾，统筹水灾害应急救援经费，</w:t>
      </w:r>
      <w:r>
        <w:rPr>
          <w:spacing w:val="7"/>
        </w:rPr>
        <w:t>组织、协调水灾害救灾和受灾群众灾后生活救</w:t>
      </w:r>
      <w:r>
        <w:rPr>
          <w:spacing w:val="7"/>
        </w:rPr>
        <w:t>助等应急工作。</w:t>
      </w:r>
    </w:p>
    <w:p>
      <w:pPr>
        <w:pStyle w:val="BodyText"/>
        <w:ind w:left="414"/>
        <w:spacing w:before="4" w:line="278" w:lineRule="exact"/>
        <w:rPr/>
      </w:pPr>
      <w:r>
        <w:rPr>
          <w:spacing w:val="5"/>
          <w:position w:val="1"/>
        </w:rPr>
        <w:t>（</w:t>
      </w:r>
      <w:r>
        <w:rPr>
          <w:rFonts w:ascii="Times New Roman" w:hAnsi="Times New Roman" w:eastAsia="Times New Roman" w:cs="Times New Roman"/>
          <w:spacing w:val="5"/>
          <w:position w:val="1"/>
        </w:rPr>
        <w:t>5</w:t>
      </w:r>
      <w:r>
        <w:rPr>
          <w:rFonts w:ascii="Times New Roman" w:hAnsi="Times New Roman" w:eastAsia="Times New Roman" w:cs="Times New Roman"/>
          <w:spacing w:val="-20"/>
          <w:position w:val="1"/>
        </w:rPr>
        <w:t xml:space="preserve"> </w:t>
      </w:r>
      <w:r>
        <w:rPr>
          <w:spacing w:val="5"/>
          <w:position w:val="1"/>
        </w:rPr>
        <w:t>）应急抢险组。</w:t>
      </w:r>
    </w:p>
    <w:p>
      <w:pPr>
        <w:pStyle w:val="BodyText"/>
        <w:ind w:left="425"/>
        <w:spacing w:before="122" w:line="277" w:lineRule="exact"/>
        <w:rPr/>
      </w:pPr>
      <w:r>
        <w:rPr>
          <w:spacing w:val="9"/>
          <w:position w:val="1"/>
        </w:rPr>
        <w:t>牵头单位：市城市管理局</w:t>
      </w:r>
    </w:p>
    <w:p>
      <w:pPr>
        <w:pStyle w:val="BodyText"/>
        <w:ind w:left="2" w:right="125" w:firstLine="420"/>
        <w:spacing w:before="126" w:line="370" w:lineRule="auto"/>
        <w:jc w:val="both"/>
        <w:rPr/>
      </w:pPr>
      <w:r>
        <w:rPr>
          <w:spacing w:val="6"/>
        </w:rPr>
        <w:t>成员单位：市消防支队，水务局、交通运</w:t>
      </w:r>
      <w:r>
        <w:rPr>
          <w:spacing w:val="7"/>
        </w:rPr>
        <w:t>输局，由指挥部根据应急工作需要确定的非政</w:t>
      </w:r>
      <w:r>
        <w:rPr>
          <w:spacing w:val="7"/>
        </w:rPr>
        <w:t>府职能部门（单位）。</w:t>
      </w:r>
    </w:p>
    <w:p>
      <w:pPr>
        <w:pStyle w:val="BodyText"/>
        <w:ind w:left="1" w:right="22" w:firstLine="429"/>
        <w:spacing w:before="3" w:line="368" w:lineRule="auto"/>
        <w:jc w:val="both"/>
        <w:rPr/>
      </w:pPr>
      <w:r>
        <w:rPr>
          <w:spacing w:val="7"/>
        </w:rPr>
        <w:t>主要职责：认真执行市委、市政府有关防</w:t>
      </w:r>
      <w:r>
        <w:rPr>
          <w:spacing w:val="7"/>
        </w:rPr>
        <w:t>汛工作的总体部署和要求。研究制定防汛应急</w:t>
      </w:r>
      <w:r>
        <w:rPr>
          <w:spacing w:val="7"/>
        </w:rPr>
        <w:t>抢险工作的管理制度；依据职权对防汛抢险重</w:t>
      </w:r>
      <w:r>
        <w:rPr>
          <w:spacing w:val="7"/>
        </w:rPr>
        <w:t>大问题进行指导、协调和决策；根据权限决定</w:t>
      </w:r>
      <w:r>
        <w:rPr>
          <w:spacing w:val="7"/>
        </w:rPr>
        <w:t>启动和终止防汛抢险应急预案。组织指挥防汛</w:t>
      </w:r>
      <w:r>
        <w:rPr>
          <w:spacing w:val="2"/>
        </w:rPr>
        <w:t>抢险、排涝工作，确保市区排水管网的正常运行</w:t>
      </w:r>
      <w:r>
        <w:rPr>
          <w:spacing w:val="7"/>
        </w:rPr>
        <w:t xml:space="preserve"> </w:t>
      </w:r>
      <w:r>
        <w:rPr>
          <w:spacing w:val="4"/>
        </w:rPr>
        <w:t>,</w:t>
      </w:r>
      <w:r>
        <w:rPr>
          <w:spacing w:val="67"/>
        </w:rPr>
        <w:t xml:space="preserve"> </w:t>
      </w:r>
      <w:r>
        <w:rPr>
          <w:spacing w:val="4"/>
        </w:rPr>
        <w:t>降低和减少洪涝灾害的损失。</w:t>
      </w:r>
    </w:p>
    <w:p>
      <w:pPr>
        <w:pStyle w:val="BodyText"/>
        <w:ind w:left="414"/>
        <w:spacing w:line="279" w:lineRule="exact"/>
        <w:rPr/>
      </w:pPr>
      <w:r>
        <w:rPr>
          <w:spacing w:val="5"/>
          <w:position w:val="1"/>
        </w:rPr>
        <w:t>（</w:t>
      </w:r>
      <w:r>
        <w:rPr>
          <w:rFonts w:ascii="Times New Roman" w:hAnsi="Times New Roman" w:eastAsia="Times New Roman" w:cs="Times New Roman"/>
          <w:spacing w:val="5"/>
          <w:position w:val="1"/>
        </w:rPr>
        <w:t>6</w:t>
      </w:r>
      <w:r>
        <w:rPr>
          <w:rFonts w:ascii="Times New Roman" w:hAnsi="Times New Roman" w:eastAsia="Times New Roman" w:cs="Times New Roman"/>
          <w:spacing w:val="-20"/>
          <w:position w:val="1"/>
        </w:rPr>
        <w:t xml:space="preserve"> </w:t>
      </w:r>
      <w:r>
        <w:rPr>
          <w:spacing w:val="5"/>
          <w:position w:val="1"/>
        </w:rPr>
        <w:t>）安全保卫组。</w:t>
      </w:r>
    </w:p>
    <w:p>
      <w:pPr>
        <w:pStyle w:val="BodyText"/>
        <w:ind w:left="425"/>
        <w:spacing w:before="122" w:line="277" w:lineRule="exact"/>
        <w:rPr/>
      </w:pPr>
      <w:r>
        <w:rPr>
          <w:spacing w:val="9"/>
          <w:position w:val="1"/>
        </w:rPr>
        <w:t>牵头单位：市公安局</w:t>
      </w:r>
    </w:p>
    <w:p>
      <w:pPr>
        <w:pStyle w:val="BodyText"/>
        <w:ind w:left="2" w:right="125" w:firstLine="420"/>
        <w:spacing w:before="125" w:line="369" w:lineRule="auto"/>
        <w:jc w:val="both"/>
        <w:rPr/>
      </w:pPr>
      <w:r>
        <w:rPr>
          <w:spacing w:val="6"/>
        </w:rPr>
        <w:t>成员单位：市应急管理局、水务局、市消</w:t>
      </w:r>
      <w:r>
        <w:rPr>
          <w:spacing w:val="7"/>
        </w:rPr>
        <w:t>防支队等有关成员单位，由指挥部根据应急工</w:t>
      </w:r>
      <w:r>
        <w:rPr>
          <w:spacing w:val="8"/>
        </w:rPr>
        <w:t>作需要确定的非政府职能部门（单位）。</w:t>
      </w:r>
    </w:p>
    <w:p>
      <w:pPr>
        <w:pStyle w:val="BodyText"/>
        <w:ind w:right="61" w:firstLine="431"/>
        <w:spacing w:line="368" w:lineRule="auto"/>
        <w:rPr/>
      </w:pPr>
      <w:r>
        <w:rPr>
          <w:spacing w:val="6"/>
        </w:rPr>
        <w:t>主要职责：组织力量对灾害进行控制、警</w:t>
      </w:r>
      <w:r>
        <w:rPr/>
        <w:t>戒，帮助群众迅速撤离和转移，进行交通管制，</w:t>
      </w:r>
      <w:r>
        <w:rPr>
          <w:spacing w:val="10"/>
        </w:rPr>
        <w:t>维护灾害社会治安，确保应急抢险救灾人员、</w:t>
      </w:r>
      <w:r>
        <w:rPr>
          <w:spacing w:val="8"/>
        </w:rPr>
        <w:t>设备、物资和受灾群众安全。</w:t>
      </w:r>
    </w:p>
    <w:p>
      <w:pPr>
        <w:pStyle w:val="BodyText"/>
        <w:ind w:left="414"/>
        <w:spacing w:before="4" w:line="277" w:lineRule="exact"/>
        <w:rPr/>
      </w:pPr>
      <w:r>
        <w:rPr>
          <w:spacing w:val="5"/>
          <w:position w:val="1"/>
        </w:rPr>
        <w:t>（</w:t>
      </w:r>
      <w:r>
        <w:rPr>
          <w:rFonts w:ascii="Times New Roman" w:hAnsi="Times New Roman" w:eastAsia="Times New Roman" w:cs="Times New Roman"/>
          <w:spacing w:val="5"/>
          <w:position w:val="1"/>
        </w:rPr>
        <w:t>7</w:t>
      </w:r>
      <w:r>
        <w:rPr>
          <w:rFonts w:ascii="Times New Roman" w:hAnsi="Times New Roman" w:eastAsia="Times New Roman" w:cs="Times New Roman"/>
          <w:spacing w:val="-20"/>
          <w:position w:val="1"/>
        </w:rPr>
        <w:t xml:space="preserve"> </w:t>
      </w:r>
      <w:r>
        <w:rPr>
          <w:spacing w:val="5"/>
          <w:position w:val="1"/>
        </w:rPr>
        <w:t>）交通保障组。</w:t>
      </w:r>
    </w:p>
    <w:p>
      <w:pPr>
        <w:pStyle w:val="BodyText"/>
        <w:ind w:left="425"/>
        <w:spacing w:before="124" w:line="221" w:lineRule="auto"/>
        <w:rPr/>
      </w:pPr>
      <w:r>
        <w:rPr>
          <w:spacing w:val="9"/>
        </w:rPr>
        <w:t>牵头单位：市交通运输局</w:t>
      </w:r>
    </w:p>
    <w:p>
      <w:pPr>
        <w:spacing w:line="221" w:lineRule="auto"/>
        <w:sectPr>
          <w:type w:val="continuous"/>
          <w:pgSz w:w="11906" w:h="16839"/>
          <w:pgMar w:top="1974" w:right="1465" w:bottom="1574" w:left="1579" w:header="1634" w:footer="1172" w:gutter="0"/>
          <w:cols w:equalWidth="0" w:num="2">
            <w:col w:w="4487" w:space="100"/>
            <w:col w:w="4275" w:space="0"/>
          </w:cols>
        </w:sectPr>
        <w:rPr/>
      </w:pPr>
    </w:p>
    <w:p>
      <w:pPr>
        <w:spacing w:before="62"/>
        <w:rPr/>
      </w:pPr>
      <w:r>
        <w:drawing>
          <wp:anchor distT="0" distB="0" distL="0" distR="0" simplePos="0" relativeHeight="254723072"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436" name="IM 2436"/>
            <wp:cNvGraphicFramePr/>
            <a:graphic>
              <a:graphicData uri="http://schemas.openxmlformats.org/drawingml/2006/picture">
                <pic:pic>
                  <pic:nvPicPr>
                    <pic:cNvPr id="2436" name="IM 2436"/>
                    <pic:cNvPicPr/>
                  </pic:nvPicPr>
                  <pic:blipFill>
                    <a:blip r:embed="rId1223"/>
                    <a:stretch>
                      <a:fillRect/>
                    </a:stretch>
                  </pic:blipFill>
                  <pic:spPr>
                    <a:xfrm rot="0">
                      <a:off x="0" y="0"/>
                      <a:ext cx="5579745" cy="7620"/>
                    </a:xfrm>
                    <a:prstGeom prst="rect">
                      <a:avLst/>
                    </a:prstGeom>
                  </pic:spPr>
                </pic:pic>
              </a:graphicData>
            </a:graphic>
          </wp:anchor>
        </w:drawing>
      </w:r>
      <w:r/>
    </w:p>
    <w:p>
      <w:pPr>
        <w:sectPr>
          <w:headerReference w:type="default" r:id="rId1048"/>
          <w:footerReference w:type="default" r:id="rId1222"/>
          <w:pgSz w:w="11906" w:h="16839"/>
          <w:pgMar w:top="1772" w:right="1489" w:bottom="1572" w:left="1571" w:header="1428" w:footer="1172" w:gutter="0"/>
          <w:cols w:equalWidth="0" w:num="1">
            <w:col w:w="8846" w:space="0"/>
          </w:cols>
        </w:sectPr>
        <w:rPr/>
      </w:pPr>
    </w:p>
    <w:p>
      <w:pPr>
        <w:pStyle w:val="BodyText"/>
        <w:ind w:left="26" w:right="329" w:firstLine="415"/>
        <w:spacing w:before="48" w:line="351" w:lineRule="auto"/>
        <w:rPr/>
      </w:pPr>
      <w:r>
        <w:rPr>
          <w:spacing w:val="6"/>
        </w:rPr>
        <w:t>成员单位：市公安局、应急管理局、自然</w:t>
      </w:r>
      <w:r>
        <w:rPr>
          <w:spacing w:val="-4"/>
        </w:rPr>
        <w:t>资源局、文化旅游广播电视局等有关成员单位。</w:t>
      </w:r>
    </w:p>
    <w:p>
      <w:pPr>
        <w:pStyle w:val="BodyText"/>
        <w:ind w:left="21" w:right="322" w:firstLine="428"/>
        <w:spacing w:before="40" w:line="369" w:lineRule="auto"/>
        <w:rPr/>
      </w:pPr>
      <w:r>
        <w:rPr>
          <w:spacing w:val="6"/>
        </w:rPr>
        <w:t>主要职责：负责所辖公路交通设施的防洪</w:t>
      </w:r>
      <w:r>
        <w:rPr>
          <w:spacing w:val="7"/>
        </w:rPr>
        <w:t>安全，确保应急抢险救灾道路畅通。协调道路</w:t>
      </w:r>
      <w:r>
        <w:rPr>
          <w:spacing w:val="18"/>
        </w:rPr>
        <w:t>运输企业为紧急抢险和撤离人员提供必要的</w:t>
      </w:r>
      <w:r>
        <w:rPr>
          <w:spacing w:val="7"/>
        </w:rPr>
        <w:t>交通运输工具，执行固原市防汛指挥部命令，</w:t>
      </w:r>
      <w:r>
        <w:rPr>
          <w:spacing w:val="7"/>
        </w:rPr>
        <w:t>为水灾害应急抢险救灾运送人员、物资设备开</w:t>
      </w:r>
      <w:r>
        <w:rPr>
          <w:spacing w:val="8"/>
        </w:rPr>
        <w:t>通免费绿色通道。</w:t>
      </w:r>
    </w:p>
    <w:p>
      <w:pPr>
        <w:pStyle w:val="BodyText"/>
        <w:ind w:left="433"/>
        <w:spacing w:line="277" w:lineRule="exact"/>
        <w:rPr/>
      </w:pPr>
      <w:r>
        <w:rPr>
          <w:position w:val="1"/>
        </w:rPr>
        <w:t>（</w:t>
      </w:r>
      <w:r>
        <w:rPr>
          <w:spacing w:val="-54"/>
          <w:position w:val="1"/>
        </w:rPr>
        <w:t xml:space="preserve"> </w:t>
      </w:r>
      <w:r>
        <w:rPr>
          <w:rFonts w:ascii="Times New Roman" w:hAnsi="Times New Roman" w:eastAsia="Times New Roman" w:cs="Times New Roman"/>
          <w:position w:val="1"/>
        </w:rPr>
        <w:t>8</w:t>
      </w:r>
      <w:r>
        <w:rPr>
          <w:rFonts w:ascii="Times New Roman" w:hAnsi="Times New Roman" w:eastAsia="Times New Roman" w:cs="Times New Roman"/>
          <w:spacing w:val="-21"/>
          <w:position w:val="1"/>
        </w:rPr>
        <w:t xml:space="preserve"> </w:t>
      </w:r>
      <w:r>
        <w:rPr>
          <w:position w:val="1"/>
        </w:rPr>
        <w:t>）医疗救护组。</w:t>
      </w:r>
    </w:p>
    <w:p>
      <w:pPr>
        <w:pStyle w:val="BodyText"/>
        <w:ind w:left="444"/>
        <w:spacing w:before="123" w:line="277" w:lineRule="exact"/>
        <w:rPr/>
      </w:pPr>
      <w:r>
        <w:rPr>
          <w:spacing w:val="9"/>
          <w:position w:val="1"/>
        </w:rPr>
        <w:t>牵头单位：市卫生健康委员会</w:t>
      </w:r>
    </w:p>
    <w:p>
      <w:pPr>
        <w:pStyle w:val="BodyText"/>
        <w:ind w:left="22" w:right="329" w:firstLine="419"/>
        <w:spacing w:before="124" w:line="348" w:lineRule="auto"/>
        <w:rPr/>
      </w:pPr>
      <w:r>
        <w:rPr>
          <w:spacing w:val="6"/>
        </w:rPr>
        <w:t>成员单位：市公安局、应急管理局、财政</w:t>
      </w:r>
      <w:r>
        <w:rPr>
          <w:spacing w:val="9"/>
        </w:rPr>
        <w:t>局、民政局、教育体育局等有关成员单位。</w:t>
      </w:r>
    </w:p>
    <w:p>
      <w:pPr>
        <w:pStyle w:val="BodyText"/>
        <w:ind w:left="32" w:right="329" w:firstLine="417"/>
        <w:spacing w:before="45" w:line="368" w:lineRule="auto"/>
        <w:rPr/>
      </w:pPr>
      <w:r>
        <w:rPr>
          <w:spacing w:val="6"/>
        </w:rPr>
        <w:t>主要职责：组织有关机构和救援人员第一</w:t>
      </w:r>
      <w:r>
        <w:rPr>
          <w:spacing w:val="6"/>
        </w:rPr>
        <w:t>时间赶赴灾害现场进行伤员救助，负责开展灾</w:t>
      </w:r>
      <w:r>
        <w:rPr>
          <w:spacing w:val="6"/>
        </w:rPr>
        <w:t>民生活救助、疾病预防和疫情控制，及时向市</w:t>
      </w:r>
      <w:r>
        <w:rPr>
          <w:spacing w:val="-4"/>
        </w:rPr>
        <w:t>防汛指挥部提供伤员救治和疫情控制相关信息。</w:t>
      </w:r>
    </w:p>
    <w:p>
      <w:pPr>
        <w:ind w:left="442"/>
        <w:spacing w:before="6"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4</w:t>
      </w:r>
      <w:r>
        <w:rPr>
          <w:rFonts w:ascii="Microsoft YaHei" w:hAnsi="Microsoft YaHei" w:eastAsia="Microsoft YaHei" w:cs="Microsoft YaHei"/>
          <w:sz w:val="20"/>
          <w:szCs w:val="20"/>
          <w:spacing w:val="14"/>
        </w:rPr>
        <w:t xml:space="preserve">   </w:t>
      </w:r>
      <w:r>
        <w:rPr>
          <w:rFonts w:ascii="Microsoft YaHei" w:hAnsi="Microsoft YaHei" w:eastAsia="Microsoft YaHei" w:cs="Microsoft YaHei"/>
          <w:sz w:val="20"/>
          <w:szCs w:val="20"/>
          <w:spacing w:val="5"/>
        </w:rPr>
        <w:t>预防与预警</w:t>
      </w:r>
    </w:p>
    <w:p>
      <w:pPr>
        <w:pStyle w:val="BodyText"/>
        <w:ind w:left="21" w:right="322" w:firstLine="441"/>
        <w:spacing w:before="110" w:line="378" w:lineRule="auto"/>
        <w:rPr/>
      </w:pPr>
      <w:r>
        <w:rPr>
          <w:spacing w:val="17"/>
        </w:rPr>
        <w:t>固原市应急管理局会同有关部门建立统</w:t>
      </w:r>
      <w:r>
        <w:rPr>
          <w:spacing w:val="7"/>
        </w:rPr>
        <w:t>一的应急管理信息平台，建立完善的水灾害监</w:t>
      </w:r>
      <w:r>
        <w:rPr>
          <w:spacing w:val="7"/>
        </w:rPr>
        <w:t>测预警和灾情报告制度，建立健全自然灾害信</w:t>
      </w:r>
      <w:r>
        <w:rPr>
          <w:spacing w:val="7"/>
        </w:rPr>
        <w:t>息资源获取和共享机制，依法统一发布灾情，</w:t>
      </w:r>
      <w:r>
        <w:rPr>
          <w:spacing w:val="9"/>
        </w:rPr>
        <w:t>开展多灾种和灾害链综合监测预警。</w:t>
      </w:r>
    </w:p>
    <w:p>
      <w:pPr>
        <w:pStyle w:val="BodyText"/>
        <w:ind w:left="21" w:right="329" w:firstLine="420"/>
        <w:spacing w:before="5" w:line="374" w:lineRule="auto"/>
        <w:jc w:val="both"/>
        <w:rPr/>
      </w:pPr>
      <w:r>
        <w:rPr>
          <w:rFonts w:ascii="Times New Roman" w:hAnsi="Times New Roman" w:eastAsia="Times New Roman" w:cs="Times New Roman"/>
          <w:spacing w:val="7"/>
        </w:rPr>
        <w:t>4.</w:t>
      </w:r>
      <w:r>
        <w:rPr>
          <w:rFonts w:ascii="Times New Roman" w:hAnsi="Times New Roman" w:eastAsia="Times New Roman" w:cs="Times New Roman"/>
          <w:spacing w:val="-22"/>
        </w:rPr>
        <w:t xml:space="preserve"> </w:t>
      </w:r>
      <w:r>
        <w:rPr>
          <w:rFonts w:ascii="Times New Roman" w:hAnsi="Times New Roman" w:eastAsia="Times New Roman" w:cs="Times New Roman"/>
          <w:spacing w:val="7"/>
        </w:rPr>
        <w:t>1  </w:t>
      </w:r>
      <w:r>
        <w:rPr>
          <w:rFonts w:ascii="KaiTi" w:hAnsi="KaiTi" w:eastAsia="KaiTi" w:cs="KaiTi"/>
          <w:spacing w:val="7"/>
        </w:rPr>
        <w:t>预防预警信息。</w:t>
      </w:r>
      <w:r>
        <w:rPr>
          <w:spacing w:val="7"/>
        </w:rPr>
        <w:t>气象局负责天气监测</w:t>
      </w:r>
      <w:r>
        <w:rPr>
          <w:spacing w:val="7"/>
        </w:rPr>
        <w:t>和降雨预测预报工作，从气象角度对汛情作出</w:t>
      </w:r>
      <w:r>
        <w:rPr>
          <w:spacing w:val="7"/>
        </w:rPr>
        <w:t>分析、评估和预测。原州区水务局承担水情旱</w:t>
      </w:r>
      <w:r>
        <w:rPr>
          <w:spacing w:val="7"/>
        </w:rPr>
        <w:t>情监测预警工作，负责辖区重点河流、沟道水</w:t>
      </w:r>
      <w:r>
        <w:rPr>
          <w:spacing w:val="7"/>
        </w:rPr>
        <w:t>情监测，及时提供水情实时信息，提出水灾害</w:t>
      </w:r>
      <w:r>
        <w:rPr>
          <w:spacing w:val="7"/>
        </w:rPr>
        <w:t>重点监测防御区域和年度监测工作意见。自然</w:t>
      </w:r>
      <w:r>
        <w:rPr>
          <w:spacing w:val="7"/>
        </w:rPr>
        <w:t>资源局、农业农村局等部门应加强对全区农业</w:t>
      </w:r>
      <w:r>
        <w:rPr>
          <w:spacing w:val="7"/>
        </w:rPr>
        <w:t>商情、地质灾害易发区监测。各相关部门依据</w:t>
      </w:r>
      <w:r>
        <w:rPr>
          <w:spacing w:val="7"/>
        </w:rPr>
        <w:t>职责对容易发生或可能发生的重、特大洪水灾</w:t>
      </w:r>
      <w:r>
        <w:rPr>
          <w:spacing w:val="7"/>
        </w:rPr>
        <w:t>害和次生灾害及时作出评估和预判，及时发布</w:t>
      </w:r>
    </w:p>
    <w:p>
      <w:pPr>
        <w:spacing w:line="14" w:lineRule="auto"/>
        <w:rPr>
          <w:rFonts w:ascii="Arial"/>
          <w:sz w:val="2"/>
        </w:rPr>
      </w:pPr>
      <w:r>
        <w:rPr>
          <w:rFonts w:ascii="Arial" w:hAnsi="Arial" w:eastAsia="Arial" w:cs="Arial"/>
          <w:sz w:val="2"/>
          <w:szCs w:val="2"/>
        </w:rPr>
        <w:br w:type="column"/>
      </w:r>
    </w:p>
    <w:p>
      <w:pPr>
        <w:pStyle w:val="BodyText"/>
        <w:ind w:left="1" w:right="101"/>
        <w:spacing w:before="57" w:line="377" w:lineRule="auto"/>
        <w:rPr/>
      </w:pPr>
      <w:r>
        <w:rPr>
          <w:spacing w:val="7"/>
        </w:rPr>
        <w:t>专业监测预报预警信息，并报送固原市防汛指</w:t>
      </w:r>
      <w:r>
        <w:rPr>
          <w:spacing w:val="4"/>
        </w:rPr>
        <w:t>挥部。</w:t>
      </w:r>
    </w:p>
    <w:p>
      <w:pPr>
        <w:pStyle w:val="BodyText"/>
        <w:ind w:right="13" w:firstLine="420"/>
        <w:spacing w:before="2" w:line="376" w:lineRule="auto"/>
        <w:jc w:val="both"/>
        <w:rPr/>
      </w:pPr>
      <w:r>
        <w:rPr>
          <w:rFonts w:ascii="Times New Roman" w:hAnsi="Times New Roman" w:eastAsia="Times New Roman" w:cs="Times New Roman"/>
          <w:spacing w:val="8"/>
        </w:rPr>
        <w:t>4.2  </w:t>
      </w:r>
      <w:r>
        <w:rPr>
          <w:rFonts w:ascii="KaiTi" w:hAnsi="KaiTi" w:eastAsia="KaiTi" w:cs="KaiTi"/>
          <w:spacing w:val="8"/>
        </w:rPr>
        <w:t>预警级别划分。</w:t>
      </w:r>
      <w:r>
        <w:rPr>
          <w:spacing w:val="8"/>
        </w:rPr>
        <w:t>根据天气预报、已出</w:t>
      </w:r>
      <w:r>
        <w:rPr>
          <w:spacing w:val="7"/>
        </w:rPr>
        <w:t>现的降雨情况和实时汛情等，将防汛预警级别</w:t>
      </w:r>
      <w:r>
        <w:rPr/>
        <w:t>由重到轻分为</w:t>
      </w:r>
      <w:r>
        <w:rPr>
          <w:spacing w:val="-33"/>
        </w:rPr>
        <w:t xml:space="preserve"> </w:t>
      </w:r>
      <w:r>
        <w:rPr>
          <w:rFonts w:ascii="Times New Roman" w:hAnsi="Times New Roman" w:eastAsia="Times New Roman" w:cs="Times New Roman"/>
        </w:rPr>
        <w:t>I</w:t>
      </w:r>
      <w:r>
        <w:rPr>
          <w:rFonts w:ascii="Times New Roman" w:hAnsi="Times New Roman" w:eastAsia="Times New Roman" w:cs="Times New Roman"/>
          <w:spacing w:val="-25"/>
        </w:rPr>
        <w:t xml:space="preserve"> </w:t>
      </w:r>
      <w:r>
        <w:rPr/>
        <w:t>、</w:t>
      </w:r>
      <w:r>
        <w:rPr>
          <w:rFonts w:ascii="Times New Roman" w:hAnsi="Times New Roman" w:eastAsia="Times New Roman" w:cs="Times New Roman"/>
        </w:rPr>
        <w:t>II</w:t>
      </w:r>
      <w:r>
        <w:rPr>
          <w:rFonts w:ascii="Times New Roman" w:hAnsi="Times New Roman" w:eastAsia="Times New Roman" w:cs="Times New Roman"/>
          <w:spacing w:val="-24"/>
        </w:rPr>
        <w:t xml:space="preserve"> </w:t>
      </w:r>
      <w:r>
        <w:rPr/>
        <w:t>、</w:t>
      </w:r>
      <w:r>
        <w:rPr>
          <w:rFonts w:ascii="Times New Roman" w:hAnsi="Times New Roman" w:eastAsia="Times New Roman" w:cs="Times New Roman"/>
        </w:rPr>
        <w:t>III</w:t>
      </w:r>
      <w:r>
        <w:rPr>
          <w:rFonts w:ascii="Times New Roman" w:hAnsi="Times New Roman" w:eastAsia="Times New Roman" w:cs="Times New Roman"/>
          <w:spacing w:val="-25"/>
        </w:rPr>
        <w:t xml:space="preserve"> </w:t>
      </w:r>
      <w:r>
        <w:rPr/>
        <w:t>、</w:t>
      </w:r>
      <w:r>
        <w:rPr>
          <w:rFonts w:ascii="Times New Roman" w:hAnsi="Times New Roman" w:eastAsia="Times New Roman" w:cs="Times New Roman"/>
        </w:rPr>
        <w:t>IV</w:t>
      </w:r>
      <w:r>
        <w:rPr>
          <w:rFonts w:ascii="Times New Roman" w:hAnsi="Times New Roman" w:eastAsia="Times New Roman" w:cs="Times New Roman"/>
          <w:spacing w:val="29"/>
          <w:w w:val="101"/>
        </w:rPr>
        <w:t xml:space="preserve"> </w:t>
      </w:r>
      <w:r>
        <w:rPr/>
        <w:t>四级，分别用红、</w:t>
      </w:r>
      <w:r>
        <w:rPr>
          <w:spacing w:val="8"/>
        </w:rPr>
        <w:t>橙、黄、蓝色表示。</w:t>
      </w:r>
    </w:p>
    <w:p>
      <w:pPr>
        <w:pStyle w:val="BodyText"/>
        <w:ind w:left="1" w:right="27" w:firstLine="421"/>
        <w:spacing w:before="10" w:line="302" w:lineRule="auto"/>
        <w:rPr/>
      </w:pPr>
      <w:r>
        <w:rPr>
          <w:rFonts w:ascii="Times New Roman" w:hAnsi="Times New Roman" w:eastAsia="Times New Roman" w:cs="Times New Roman"/>
          <w:spacing w:val="7"/>
        </w:rPr>
        <w:t>I </w:t>
      </w:r>
      <w:r>
        <w:rPr>
          <w:spacing w:val="7"/>
        </w:rPr>
        <w:t>级预警是指</w:t>
      </w:r>
      <w:r>
        <w:rPr>
          <w:spacing w:val="-27"/>
        </w:rPr>
        <w:t xml:space="preserve"> </w:t>
      </w:r>
      <w:r>
        <w:rPr>
          <w:rFonts w:ascii="Times New Roman" w:hAnsi="Times New Roman" w:eastAsia="Times New Roman" w:cs="Times New Roman"/>
          <w:spacing w:val="7"/>
        </w:rPr>
        <w:t>3 </w:t>
      </w:r>
      <w:r>
        <w:rPr>
          <w:spacing w:val="7"/>
        </w:rPr>
        <w:t>小时内降雨量将达</w:t>
      </w:r>
      <w:r>
        <w:rPr>
          <w:spacing w:val="-18"/>
        </w:rPr>
        <w:t xml:space="preserve"> </w:t>
      </w:r>
      <w:r>
        <w:rPr>
          <w:rFonts w:ascii="Times New Roman" w:hAnsi="Times New Roman" w:eastAsia="Times New Roman" w:cs="Times New Roman"/>
          <w:spacing w:val="7"/>
        </w:rPr>
        <w:t>100 </w:t>
      </w:r>
      <w:r>
        <w:rPr>
          <w:spacing w:val="7"/>
        </w:rPr>
        <w:t>毫</w:t>
      </w:r>
      <w:r>
        <w:rPr>
          <w:spacing w:val="-8"/>
        </w:rPr>
        <w:t>米以上，或者已达</w:t>
      </w:r>
      <w:r>
        <w:rPr>
          <w:spacing w:val="-40"/>
        </w:rPr>
        <w:t xml:space="preserve"> </w:t>
      </w:r>
      <w:r>
        <w:rPr>
          <w:rFonts w:ascii="Times New Roman" w:hAnsi="Times New Roman" w:eastAsia="Times New Roman" w:cs="Times New Roman"/>
          <w:spacing w:val="-8"/>
        </w:rPr>
        <w:t>100 </w:t>
      </w:r>
      <w:r>
        <w:rPr>
          <w:spacing w:val="-8"/>
        </w:rPr>
        <w:t>毫米以上且降雨可能持续；</w:t>
      </w:r>
    </w:p>
    <w:p>
      <w:pPr>
        <w:pStyle w:val="BodyText"/>
        <w:ind w:left="1" w:right="63" w:firstLine="421"/>
        <w:spacing w:before="167" w:line="302" w:lineRule="auto"/>
        <w:rPr/>
      </w:pPr>
      <w:r>
        <w:rPr>
          <w:rFonts w:ascii="Times New Roman" w:hAnsi="Times New Roman" w:eastAsia="Times New Roman" w:cs="Times New Roman"/>
        </w:rPr>
        <w:t>II</w:t>
      </w:r>
      <w:r>
        <w:rPr>
          <w:rFonts w:ascii="Times New Roman" w:hAnsi="Times New Roman" w:eastAsia="Times New Roman" w:cs="Times New Roman"/>
          <w:spacing w:val="10"/>
        </w:rPr>
        <w:t xml:space="preserve"> </w:t>
      </w:r>
      <w:r>
        <w:rPr>
          <w:spacing w:val="10"/>
        </w:rPr>
        <w:t>级预警是指</w:t>
      </w:r>
      <w:r>
        <w:rPr>
          <w:spacing w:val="-28"/>
        </w:rPr>
        <w:t xml:space="preserve"> </w:t>
      </w:r>
      <w:r>
        <w:rPr>
          <w:rFonts w:ascii="Times New Roman" w:hAnsi="Times New Roman" w:eastAsia="Times New Roman" w:cs="Times New Roman"/>
          <w:spacing w:val="10"/>
        </w:rPr>
        <w:t>3 </w:t>
      </w:r>
      <w:r>
        <w:rPr>
          <w:spacing w:val="10"/>
        </w:rPr>
        <w:t>小时内降雨量将达</w:t>
      </w:r>
      <w:r>
        <w:rPr>
          <w:spacing w:val="-33"/>
        </w:rPr>
        <w:t xml:space="preserve"> </w:t>
      </w:r>
      <w:r>
        <w:rPr>
          <w:rFonts w:ascii="Times New Roman" w:hAnsi="Times New Roman" w:eastAsia="Times New Roman" w:cs="Times New Roman"/>
          <w:spacing w:val="10"/>
        </w:rPr>
        <w:t>50</w:t>
      </w:r>
      <w:r>
        <w:rPr>
          <w:rFonts w:ascii="Times New Roman" w:hAnsi="Times New Roman" w:eastAsia="Times New Roman" w:cs="Times New Roman"/>
          <w:spacing w:val="13"/>
          <w:w w:val="101"/>
        </w:rPr>
        <w:t xml:space="preserve"> </w:t>
      </w:r>
      <w:r>
        <w:rPr>
          <w:spacing w:val="10"/>
        </w:rPr>
        <w:t>毫</w:t>
      </w:r>
      <w:r>
        <w:rPr>
          <w:spacing w:val="-5"/>
        </w:rPr>
        <w:t>米以上，或者已达</w:t>
      </w:r>
      <w:r>
        <w:rPr>
          <w:spacing w:val="-53"/>
        </w:rPr>
        <w:t xml:space="preserve"> </w:t>
      </w:r>
      <w:r>
        <w:rPr>
          <w:rFonts w:ascii="Times New Roman" w:hAnsi="Times New Roman" w:eastAsia="Times New Roman" w:cs="Times New Roman"/>
          <w:spacing w:val="-5"/>
        </w:rPr>
        <w:t>50 </w:t>
      </w:r>
      <w:r>
        <w:rPr>
          <w:spacing w:val="-5"/>
        </w:rPr>
        <w:t>毫米以上且降雨可能持续；</w:t>
      </w:r>
    </w:p>
    <w:p>
      <w:pPr>
        <w:pStyle w:val="BodyText"/>
        <w:ind w:left="1" w:right="63" w:firstLine="421"/>
        <w:spacing w:before="166" w:line="301" w:lineRule="auto"/>
        <w:rPr/>
      </w:pPr>
      <w:r>
        <w:rPr>
          <w:rFonts w:ascii="Times New Roman" w:hAnsi="Times New Roman" w:eastAsia="Times New Roman" w:cs="Times New Roman"/>
        </w:rPr>
        <w:t>III</w:t>
      </w:r>
      <w:r>
        <w:rPr>
          <w:rFonts w:ascii="Times New Roman" w:hAnsi="Times New Roman" w:eastAsia="Times New Roman" w:cs="Times New Roman"/>
          <w:spacing w:val="7"/>
        </w:rPr>
        <w:t xml:space="preserve"> </w:t>
      </w:r>
      <w:r>
        <w:rPr>
          <w:spacing w:val="7"/>
        </w:rPr>
        <w:t>级预警是指</w:t>
      </w:r>
      <w:r>
        <w:rPr>
          <w:spacing w:val="-25"/>
        </w:rPr>
        <w:t xml:space="preserve"> </w:t>
      </w:r>
      <w:r>
        <w:rPr>
          <w:rFonts w:ascii="Times New Roman" w:hAnsi="Times New Roman" w:eastAsia="Times New Roman" w:cs="Times New Roman"/>
          <w:spacing w:val="7"/>
        </w:rPr>
        <w:t>6 </w:t>
      </w:r>
      <w:r>
        <w:rPr>
          <w:spacing w:val="7"/>
        </w:rPr>
        <w:t>小时内降雨量将达</w:t>
      </w:r>
      <w:r>
        <w:rPr>
          <w:spacing w:val="-37"/>
        </w:rPr>
        <w:t xml:space="preserve"> </w:t>
      </w:r>
      <w:r>
        <w:rPr>
          <w:rFonts w:ascii="Times New Roman" w:hAnsi="Times New Roman" w:eastAsia="Times New Roman" w:cs="Times New Roman"/>
          <w:spacing w:val="7"/>
        </w:rPr>
        <w:t>50 </w:t>
      </w:r>
      <w:r>
        <w:rPr>
          <w:spacing w:val="7"/>
        </w:rPr>
        <w:t>毫</w:t>
      </w:r>
      <w:r>
        <w:rPr>
          <w:spacing w:val="-5"/>
        </w:rPr>
        <w:t>米以上，或者已达</w:t>
      </w:r>
      <w:r>
        <w:rPr>
          <w:spacing w:val="-53"/>
        </w:rPr>
        <w:t xml:space="preserve"> </w:t>
      </w:r>
      <w:r>
        <w:rPr>
          <w:rFonts w:ascii="Times New Roman" w:hAnsi="Times New Roman" w:eastAsia="Times New Roman" w:cs="Times New Roman"/>
          <w:spacing w:val="-5"/>
        </w:rPr>
        <w:t>50 </w:t>
      </w:r>
      <w:r>
        <w:rPr>
          <w:spacing w:val="-5"/>
        </w:rPr>
        <w:t>毫米以上且降雨可能持续；</w:t>
      </w:r>
    </w:p>
    <w:p>
      <w:pPr>
        <w:pStyle w:val="BodyText"/>
        <w:ind w:left="3" w:right="97" w:firstLine="419"/>
        <w:spacing w:before="167" w:line="326" w:lineRule="auto"/>
        <w:rPr/>
      </w:pPr>
      <w:r>
        <w:rPr>
          <w:rFonts w:ascii="Times New Roman" w:hAnsi="Times New Roman" w:eastAsia="Times New Roman" w:cs="Times New Roman"/>
        </w:rPr>
        <w:t>IV</w:t>
      </w:r>
      <w:r>
        <w:rPr>
          <w:rFonts w:ascii="Times New Roman" w:hAnsi="Times New Roman" w:eastAsia="Times New Roman" w:cs="Times New Roman"/>
          <w:spacing w:val="32"/>
        </w:rPr>
        <w:t xml:space="preserve"> </w:t>
      </w:r>
      <w:r>
        <w:rPr>
          <w:spacing w:val="12"/>
        </w:rPr>
        <w:t>级预警是指</w:t>
      </w:r>
      <w:r>
        <w:rPr>
          <w:spacing w:val="-13"/>
        </w:rPr>
        <w:t xml:space="preserve"> </w:t>
      </w:r>
      <w:r>
        <w:rPr>
          <w:rFonts w:ascii="Times New Roman" w:hAnsi="Times New Roman" w:eastAsia="Times New Roman" w:cs="Times New Roman"/>
          <w:spacing w:val="12"/>
        </w:rPr>
        <w:t>12</w:t>
      </w:r>
      <w:r>
        <w:rPr>
          <w:rFonts w:ascii="Times New Roman" w:hAnsi="Times New Roman" w:eastAsia="Times New Roman" w:cs="Times New Roman"/>
          <w:spacing w:val="18"/>
        </w:rPr>
        <w:t xml:space="preserve"> </w:t>
      </w:r>
      <w:r>
        <w:rPr>
          <w:spacing w:val="12"/>
        </w:rPr>
        <w:t>小时内降雨量将达</w:t>
      </w:r>
      <w:r>
        <w:rPr>
          <w:spacing w:val="-25"/>
        </w:rPr>
        <w:t xml:space="preserve"> </w:t>
      </w:r>
      <w:r>
        <w:rPr>
          <w:rFonts w:ascii="Times New Roman" w:hAnsi="Times New Roman" w:eastAsia="Times New Roman" w:cs="Times New Roman"/>
          <w:spacing w:val="12"/>
        </w:rPr>
        <w:t>50</w:t>
      </w:r>
      <w:r>
        <w:rPr>
          <w:spacing w:val="11"/>
        </w:rPr>
        <w:t>毫米以上，或者已达</w:t>
      </w:r>
      <w:r>
        <w:rPr>
          <w:spacing w:val="-35"/>
        </w:rPr>
        <w:t xml:space="preserve"> </w:t>
      </w:r>
      <w:r>
        <w:rPr>
          <w:rFonts w:ascii="Times New Roman" w:hAnsi="Times New Roman" w:eastAsia="Times New Roman" w:cs="Times New Roman"/>
          <w:spacing w:val="11"/>
        </w:rPr>
        <w:t>50 </w:t>
      </w:r>
      <w:r>
        <w:rPr>
          <w:spacing w:val="11"/>
        </w:rPr>
        <w:t>毫米以上且降雨可能</w:t>
      </w:r>
      <w:r>
        <w:rPr>
          <w:spacing w:val="4"/>
        </w:rPr>
        <w:t>持续。</w:t>
      </w:r>
    </w:p>
    <w:p>
      <w:pPr>
        <w:ind w:left="420"/>
        <w:spacing w:before="168" w:line="265" w:lineRule="exact"/>
        <w:rPr>
          <w:rFonts w:ascii="KaiTi" w:hAnsi="KaiTi" w:eastAsia="KaiTi" w:cs="KaiTi"/>
          <w:sz w:val="20"/>
          <w:szCs w:val="20"/>
        </w:rPr>
      </w:pPr>
      <w:r>
        <w:rPr>
          <w:rFonts w:ascii="Times New Roman" w:hAnsi="Times New Roman" w:eastAsia="Times New Roman" w:cs="Times New Roman"/>
          <w:sz w:val="20"/>
          <w:szCs w:val="20"/>
          <w:spacing w:val="5"/>
          <w:position w:val="1"/>
        </w:rPr>
        <w:t>4.3  </w:t>
      </w:r>
      <w:r>
        <w:rPr>
          <w:rFonts w:ascii="KaiTi" w:hAnsi="KaiTi" w:eastAsia="KaiTi" w:cs="KaiTi"/>
          <w:sz w:val="20"/>
          <w:szCs w:val="20"/>
          <w:spacing w:val="5"/>
          <w:position w:val="1"/>
        </w:rPr>
        <w:t>预防预警行动。</w:t>
      </w:r>
    </w:p>
    <w:p>
      <w:pPr>
        <w:pStyle w:val="BodyText"/>
        <w:ind w:left="420"/>
        <w:spacing w:before="149" w:line="222" w:lineRule="auto"/>
        <w:rPr/>
      </w:pPr>
      <w:r>
        <w:rPr>
          <w:rFonts w:ascii="Times New Roman" w:hAnsi="Times New Roman" w:eastAsia="Times New Roman" w:cs="Times New Roman"/>
          <w:spacing w:val="5"/>
        </w:rPr>
        <w:t>4.3.1 </w:t>
      </w:r>
      <w:r>
        <w:rPr>
          <w:spacing w:val="5"/>
        </w:rPr>
        <w:t>预防预警准备。</w:t>
      </w:r>
    </w:p>
    <w:p>
      <w:pPr>
        <w:pStyle w:val="BodyText"/>
        <w:ind w:right="36" w:firstLine="413"/>
        <w:spacing w:before="162" w:line="341" w:lineRule="auto"/>
        <w:rPr/>
      </w:pPr>
      <w:r>
        <w:rPr>
          <w:spacing w:val="6"/>
        </w:rPr>
        <w:t>（</w:t>
      </w:r>
      <w:r>
        <w:rPr>
          <w:spacing w:val="-37"/>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8"/>
        </w:rPr>
        <w:t xml:space="preserve"> </w:t>
      </w:r>
      <w:r>
        <w:rPr>
          <w:spacing w:val="6"/>
        </w:rPr>
        <w:t>）思想准备。加强宣传</w:t>
      </w:r>
      <w:r>
        <w:rPr>
          <w:spacing w:val="-59"/>
        </w:rPr>
        <w:t xml:space="preserve"> </w:t>
      </w:r>
      <w:r>
        <w:rPr>
          <w:spacing w:val="6"/>
        </w:rPr>
        <w:t>，利用报纸、</w:t>
      </w:r>
      <w:r>
        <w:rPr/>
        <w:t>网络、广播、电视等新闻媒体，向全社会宣传，</w:t>
      </w:r>
      <w:r>
        <w:rPr>
          <w:spacing w:val="7"/>
        </w:rPr>
        <w:t>增强全民预防洪涝灾害和自我保护的意识，做</w:t>
      </w:r>
      <w:r>
        <w:rPr>
          <w:spacing w:val="9"/>
        </w:rPr>
        <w:t>好防大汛，抗大灾的思想准备。</w:t>
      </w:r>
    </w:p>
    <w:p>
      <w:pPr>
        <w:pStyle w:val="BodyText"/>
        <w:ind w:right="101" w:firstLine="413"/>
        <w:spacing w:before="166" w:line="340"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5"/>
        </w:rPr>
        <w:t xml:space="preserve"> </w:t>
      </w:r>
      <w:r>
        <w:rPr>
          <w:spacing w:val="8"/>
        </w:rPr>
        <w:t>）组织准备。每年汛前</w:t>
      </w:r>
      <w:r>
        <w:rPr>
          <w:spacing w:val="-59"/>
        </w:rPr>
        <w:t xml:space="preserve"> </w:t>
      </w:r>
      <w:r>
        <w:rPr>
          <w:spacing w:val="8"/>
        </w:rPr>
        <w:t>，城区防办各</w:t>
      </w:r>
      <w:r>
        <w:rPr>
          <w:spacing w:val="7"/>
        </w:rPr>
        <w:t>成员单位成立防汛指挥机构，完善防汛抗灾网</w:t>
      </w:r>
      <w:r>
        <w:rPr>
          <w:spacing w:val="7"/>
        </w:rPr>
        <w:t>络，成立抢险队伍，并对抢险队伍进行汛前培</w:t>
      </w:r>
      <w:r>
        <w:rPr>
          <w:spacing w:val="8"/>
        </w:rPr>
        <w:t>训，落实各项防汛责任制。</w:t>
      </w:r>
    </w:p>
    <w:p>
      <w:pPr>
        <w:pStyle w:val="BodyText"/>
        <w:ind w:right="101" w:firstLine="413"/>
        <w:spacing w:before="165" w:line="348"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）工程准备。城区防办要科学提升城</w:t>
      </w:r>
      <w:r>
        <w:rPr>
          <w:spacing w:val="7"/>
        </w:rPr>
        <w:t>区防汛排涝能力，制订年度防汛工程计划并组</w:t>
      </w:r>
      <w:r>
        <w:rPr>
          <w:spacing w:val="7"/>
        </w:rPr>
        <w:t>织实施；督促成员单位落实防汛隐患整改，督</w:t>
      </w:r>
      <w:r>
        <w:rPr>
          <w:spacing w:val="18"/>
        </w:rPr>
        <w:t>促成员单位做好城区排涝站及地下室机泵设</w:t>
      </w:r>
      <w:r>
        <w:rPr>
          <w:spacing w:val="9"/>
        </w:rPr>
        <w:t>施的调试工作，确保汛期正常运转。</w:t>
      </w:r>
    </w:p>
    <w:p>
      <w:pPr>
        <w:pStyle w:val="BodyText"/>
        <w:ind w:left="16" w:right="101" w:firstLine="396"/>
        <w:spacing w:before="165" w:line="285" w:lineRule="auto"/>
        <w:rPr/>
      </w:pPr>
      <w:r>
        <w:rPr>
          <w:spacing w:val="8"/>
        </w:rPr>
        <w:t>（</w:t>
      </w:r>
      <w:r>
        <w:rPr>
          <w:rFonts w:ascii="Times New Roman" w:hAnsi="Times New Roman" w:eastAsia="Times New Roman" w:cs="Times New Roman"/>
          <w:spacing w:val="8"/>
        </w:rPr>
        <w:t>4</w:t>
      </w:r>
      <w:r>
        <w:rPr>
          <w:rFonts w:ascii="Times New Roman" w:hAnsi="Times New Roman" w:eastAsia="Times New Roman" w:cs="Times New Roman"/>
          <w:spacing w:val="-5"/>
        </w:rPr>
        <w:t xml:space="preserve"> </w:t>
      </w:r>
      <w:r>
        <w:rPr>
          <w:spacing w:val="8"/>
        </w:rPr>
        <w:t>）抢险物资准备。在每年汛前</w:t>
      </w:r>
      <w:r>
        <w:rPr>
          <w:spacing w:val="-59"/>
        </w:rPr>
        <w:t xml:space="preserve"> </w:t>
      </w:r>
      <w:r>
        <w:rPr>
          <w:spacing w:val="8"/>
        </w:rPr>
        <w:t>，完成</w:t>
      </w:r>
      <w:r>
        <w:rPr>
          <w:spacing w:val="6"/>
        </w:rPr>
        <w:t>防汛物资储备、防汛物资的补充更新，确保储</w:t>
      </w:r>
    </w:p>
    <w:p>
      <w:pPr>
        <w:spacing w:line="285" w:lineRule="auto"/>
        <w:sectPr>
          <w:type w:val="continuous"/>
          <w:pgSz w:w="11906" w:h="16839"/>
          <w:pgMar w:top="1772" w:right="1489" w:bottom="1572" w:left="1571" w:header="1428" w:footer="1172" w:gutter="0"/>
          <w:cols w:equalWidth="0" w:num="2">
            <w:col w:w="4498" w:space="100"/>
            <w:col w:w="4249" w:space="0"/>
          </w:cols>
        </w:sectPr>
        <w:rPr/>
      </w:pPr>
    </w:p>
    <w:p>
      <w:pPr>
        <w:spacing w:before="78"/>
        <w:rPr/>
      </w:pPr>
      <w:r>
        <w:drawing>
          <wp:anchor distT="0" distB="0" distL="0" distR="0" simplePos="0" relativeHeight="254738432" behindDoc="0" locked="0" layoutInCell="0" allowOverlap="1">
            <wp:simplePos x="0" y="0"/>
            <wp:positionH relativeFrom="page">
              <wp:posOffset>1008380</wp:posOffset>
            </wp:positionH>
            <wp:positionV relativeFrom="page">
              <wp:posOffset>1278890</wp:posOffset>
            </wp:positionV>
            <wp:extent cx="5579745" cy="7619"/>
            <wp:effectExtent l="0" t="0" r="0" b="0"/>
            <wp:wrapNone/>
            <wp:docPr id="2440" name="IM 2440"/>
            <wp:cNvGraphicFramePr/>
            <a:graphic>
              <a:graphicData uri="http://schemas.openxmlformats.org/drawingml/2006/picture">
                <pic:pic>
                  <pic:nvPicPr>
                    <pic:cNvPr id="2440" name="IM 2440"/>
                    <pic:cNvPicPr/>
                  </pic:nvPicPr>
                  <pic:blipFill>
                    <a:blip r:embed="rId1225"/>
                    <a:stretch>
                      <a:fillRect/>
                    </a:stretch>
                  </pic:blipFill>
                  <pic:spPr>
                    <a:xfrm rot="0">
                      <a:off x="0" y="0"/>
                      <a:ext cx="5579745" cy="7619"/>
                    </a:xfrm>
                    <a:prstGeom prst="rect">
                      <a:avLst/>
                    </a:prstGeom>
                  </pic:spPr>
                </pic:pic>
              </a:graphicData>
            </a:graphic>
          </wp:anchor>
        </w:drawing>
      </w:r>
      <w:r/>
    </w:p>
    <w:p>
      <w:pPr>
        <w:sectPr>
          <w:headerReference w:type="default" r:id="rId1207"/>
          <w:footerReference w:type="default" r:id="rId1224"/>
          <w:pgSz w:w="11906" w:h="16839"/>
          <w:pgMar w:top="1974" w:right="1508" w:bottom="1574" w:left="1579" w:header="1634" w:footer="1172" w:gutter="0"/>
          <w:cols w:equalWidth="0" w:num="1">
            <w:col w:w="8819" w:space="0"/>
          </w:cols>
        </w:sectPr>
        <w:rPr/>
      </w:pPr>
    </w:p>
    <w:p>
      <w:pPr>
        <w:pStyle w:val="BodyText"/>
        <w:ind w:left="13"/>
        <w:spacing w:before="50" w:line="221" w:lineRule="auto"/>
        <w:rPr/>
      </w:pPr>
      <w:r>
        <w:rPr>
          <w:spacing w:val="7"/>
        </w:rPr>
        <w:t>备数量及质量。</w:t>
      </w:r>
    </w:p>
    <w:p>
      <w:pPr>
        <w:pStyle w:val="BodyText"/>
        <w:ind w:left="14" w:right="329" w:firstLine="410"/>
        <w:spacing w:before="158" w:line="364" w:lineRule="auto"/>
        <w:jc w:val="both"/>
        <w:rPr/>
      </w:pPr>
      <w:r>
        <w:rPr>
          <w:spacing w:val="6"/>
        </w:rPr>
        <w:t>（</w:t>
      </w:r>
      <w:r>
        <w:rPr>
          <w:spacing w:val="-51"/>
        </w:rPr>
        <w:t xml:space="preserve"> </w:t>
      </w:r>
      <w:r>
        <w:rPr>
          <w:rFonts w:ascii="Times New Roman" w:hAnsi="Times New Roman" w:eastAsia="Times New Roman" w:cs="Times New Roman"/>
          <w:spacing w:val="6"/>
        </w:rPr>
        <w:t>5</w:t>
      </w:r>
      <w:r>
        <w:rPr>
          <w:rFonts w:ascii="Times New Roman" w:hAnsi="Times New Roman" w:eastAsia="Times New Roman" w:cs="Times New Roman"/>
          <w:spacing w:val="-18"/>
        </w:rPr>
        <w:t xml:space="preserve"> </w:t>
      </w:r>
      <w:r>
        <w:rPr>
          <w:spacing w:val="6"/>
        </w:rPr>
        <w:t>）通信准备。进入汛期</w:t>
      </w:r>
      <w:r>
        <w:rPr>
          <w:spacing w:val="-59"/>
        </w:rPr>
        <w:t xml:space="preserve"> </w:t>
      </w:r>
      <w:r>
        <w:rPr>
          <w:spacing w:val="6"/>
        </w:rPr>
        <w:t>，城区防办将</w:t>
      </w:r>
      <w:r>
        <w:rPr>
          <w:spacing w:val="7"/>
        </w:rPr>
        <w:t>城区防办各成员单位的防汛值班电话、传真等</w:t>
      </w:r>
      <w:r>
        <w:rPr>
          <w:spacing w:val="8"/>
        </w:rPr>
        <w:t>通信信息向全市公布。</w:t>
      </w:r>
    </w:p>
    <w:p>
      <w:pPr>
        <w:pStyle w:val="BodyText"/>
        <w:ind w:left="432"/>
        <w:spacing w:before="20" w:line="220" w:lineRule="auto"/>
        <w:rPr/>
      </w:pPr>
      <w:r>
        <w:rPr>
          <w:rFonts w:ascii="Times New Roman" w:hAnsi="Times New Roman" w:eastAsia="Times New Roman" w:cs="Times New Roman"/>
          <w:spacing w:val="6"/>
        </w:rPr>
        <w:t>4.3.2 </w:t>
      </w:r>
      <w:r>
        <w:rPr>
          <w:spacing w:val="6"/>
        </w:rPr>
        <w:t>河流洪水预警行动。</w:t>
      </w:r>
    </w:p>
    <w:p>
      <w:pPr>
        <w:pStyle w:val="BodyText"/>
        <w:ind w:left="15" w:right="329" w:firstLine="197"/>
        <w:spacing w:before="158" w:line="295" w:lineRule="auto"/>
        <w:outlineLvl w:val="0"/>
        <w:rPr/>
      </w:pPr>
      <w:r>
        <w:rPr>
          <w:spacing w:val="4"/>
        </w:rPr>
        <w:t>（</w:t>
      </w:r>
      <w:r>
        <w:rPr>
          <w:spacing w:val="-28"/>
        </w:rPr>
        <w:t xml:space="preserve"> </w:t>
      </w:r>
      <w:r>
        <w:rPr>
          <w:rFonts w:ascii="Times New Roman" w:hAnsi="Times New Roman" w:eastAsia="Times New Roman" w:cs="Times New Roman"/>
          <w:spacing w:val="4"/>
        </w:rPr>
        <w:t>1 </w:t>
      </w:r>
      <w:r>
        <w:rPr>
          <w:spacing w:val="4"/>
        </w:rPr>
        <w:t>）当河道水位达到警戒水位后</w:t>
      </w:r>
      <w:r>
        <w:rPr>
          <w:spacing w:val="-58"/>
        </w:rPr>
        <w:t xml:space="preserve"> </w:t>
      </w:r>
      <w:r>
        <w:rPr>
          <w:spacing w:val="4"/>
        </w:rPr>
        <w:t>，市防汛</w:t>
      </w:r>
      <w:r>
        <w:rPr>
          <w:spacing w:val="18"/>
        </w:rPr>
        <w:t>指挥机构在本区域内通过新闻媒体向社会发</w:t>
      </w:r>
    </w:p>
    <w:p>
      <w:pPr>
        <w:pStyle w:val="BodyText"/>
        <w:ind w:left="12" w:right="248" w:firstLine="5"/>
        <w:spacing w:before="164" w:line="368" w:lineRule="auto"/>
        <w:jc w:val="both"/>
        <w:rPr/>
      </w:pPr>
      <w:r>
        <w:rPr>
          <w:spacing w:val="1"/>
        </w:rPr>
        <w:t>布汛情信息。当河道水位接近保证水位，堤防、</w:t>
      </w:r>
      <w:r>
        <w:rPr>
          <w:spacing w:val="7"/>
        </w:rPr>
        <w:t>涵闸等发生重大险情时，市防汛指挥机构可视</w:t>
      </w:r>
      <w:r>
        <w:rPr>
          <w:spacing w:val="8"/>
        </w:rPr>
        <w:t>情依法宣布进入紧急防汛期。</w:t>
      </w:r>
    </w:p>
    <w:p>
      <w:pPr>
        <w:pStyle w:val="BodyText"/>
        <w:ind w:left="15" w:right="329" w:firstLine="197"/>
        <w:spacing w:line="298" w:lineRule="auto"/>
        <w:outlineLvl w:val="0"/>
        <w:rPr/>
      </w:pPr>
      <w:r>
        <w:rPr>
          <w:spacing w:val="9"/>
        </w:rPr>
        <w:t>（</w:t>
      </w:r>
      <w:r>
        <w:rPr>
          <w:rFonts w:ascii="Times New Roman" w:hAnsi="Times New Roman" w:eastAsia="Times New Roman" w:cs="Times New Roman"/>
          <w:spacing w:val="9"/>
        </w:rPr>
        <w:t>2 </w:t>
      </w:r>
      <w:r>
        <w:rPr>
          <w:spacing w:val="9"/>
        </w:rPr>
        <w:t>）当城市区河道堤防及涵闸、泵站等穿</w:t>
      </w:r>
      <w:r>
        <w:rPr>
          <w:spacing w:val="7"/>
        </w:rPr>
        <w:t>堤建筑物出现重大险情时，水工程管理单位或</w:t>
      </w:r>
    </w:p>
    <w:p>
      <w:pPr>
        <w:pStyle w:val="BodyText"/>
        <w:ind w:left="13" w:right="329" w:firstLine="3"/>
        <w:spacing w:before="156" w:line="369" w:lineRule="auto"/>
        <w:jc w:val="both"/>
        <w:rPr/>
      </w:pPr>
      <w:r>
        <w:rPr>
          <w:spacing w:val="18"/>
        </w:rPr>
        <w:t>现场防汛指挥机构应及时向当地防汛指挥机</w:t>
      </w:r>
      <w:r>
        <w:rPr>
          <w:spacing w:val="7"/>
        </w:rPr>
        <w:t>构和水工程主管部门报告，相关部门应迅速成</w:t>
      </w:r>
      <w:r>
        <w:rPr>
          <w:spacing w:val="7"/>
        </w:rPr>
        <w:t>立现场抢险指挥机构，负责组织抢险，并立即</w:t>
      </w:r>
      <w:r>
        <w:rPr>
          <w:spacing w:val="7"/>
        </w:rPr>
        <w:t>向可能淹没的区域发出预警，同时向市防汛指</w:t>
      </w:r>
      <w:r>
        <w:rPr>
          <w:spacing w:val="6"/>
        </w:rPr>
        <w:t>挥部报告。</w:t>
      </w:r>
    </w:p>
    <w:p>
      <w:pPr>
        <w:pStyle w:val="BodyText"/>
        <w:ind w:left="32" w:right="329" w:firstLine="181"/>
        <w:spacing w:before="2" w:line="296" w:lineRule="auto"/>
        <w:outlineLvl w:val="0"/>
        <w:rPr/>
      </w:pPr>
      <w:r>
        <w:rPr>
          <w:spacing w:val="7"/>
        </w:rPr>
        <w:t>（</w:t>
      </w:r>
      <w:r>
        <w:rPr>
          <w:spacing w:val="-46"/>
        </w:rPr>
        <w:t xml:space="preserve"> </w:t>
      </w:r>
      <w:r>
        <w:rPr>
          <w:rFonts w:ascii="Times New Roman" w:hAnsi="Times New Roman" w:eastAsia="Times New Roman" w:cs="Times New Roman"/>
          <w:spacing w:val="7"/>
        </w:rPr>
        <w:t>3 </w:t>
      </w:r>
      <w:r>
        <w:rPr>
          <w:spacing w:val="7"/>
        </w:rPr>
        <w:t>）当遭遇特大暴雨洪水或其他不可抗拒</w:t>
      </w:r>
      <w:r>
        <w:rPr>
          <w:spacing w:val="6"/>
        </w:rPr>
        <w:t>因素可能导致内圩堤溃破时，所在地防汛指挥</w:t>
      </w:r>
    </w:p>
    <w:p>
      <w:pPr>
        <w:pStyle w:val="BodyText"/>
        <w:ind w:left="14" w:right="329"/>
        <w:spacing w:before="160" w:line="369" w:lineRule="auto"/>
        <w:rPr/>
      </w:pPr>
      <w:r>
        <w:rPr>
          <w:spacing w:val="7"/>
        </w:rPr>
        <w:t>机构应及时向下游预警，同时向市防汛指挥部</w:t>
      </w:r>
      <w:r>
        <w:rPr>
          <w:spacing w:val="4"/>
        </w:rPr>
        <w:t>报告。</w:t>
      </w:r>
    </w:p>
    <w:p>
      <w:pPr>
        <w:pStyle w:val="BodyText"/>
        <w:ind w:left="432"/>
        <w:spacing w:before="1" w:line="220" w:lineRule="auto"/>
        <w:outlineLvl w:val="0"/>
        <w:rPr/>
      </w:pPr>
      <w:r>
        <w:rPr>
          <w:rFonts w:ascii="Times New Roman" w:hAnsi="Times New Roman" w:eastAsia="Times New Roman" w:cs="Times New Roman"/>
          <w:spacing w:val="5"/>
        </w:rPr>
        <w:t>4.3.3</w:t>
      </w:r>
      <w:r>
        <w:rPr>
          <w:rFonts w:ascii="Times New Roman" w:hAnsi="Times New Roman" w:eastAsia="Times New Roman" w:cs="Times New Roman"/>
          <w:spacing w:val="23"/>
          <w:w w:val="101"/>
        </w:rPr>
        <w:t xml:space="preserve"> </w:t>
      </w:r>
      <w:r>
        <w:rPr>
          <w:spacing w:val="5"/>
        </w:rPr>
        <w:t>山洪灾害预警行动。</w:t>
      </w:r>
    </w:p>
    <w:p>
      <w:pPr>
        <w:pStyle w:val="BodyText"/>
        <w:ind w:left="424"/>
        <w:spacing w:before="157" w:line="277" w:lineRule="exact"/>
        <w:rPr/>
      </w:pPr>
      <w:r>
        <w:rPr>
          <w:spacing w:val="8"/>
          <w:position w:val="1"/>
        </w:rPr>
        <w:t>（</w:t>
      </w:r>
      <w:r>
        <w:rPr>
          <w:spacing w:val="-45"/>
          <w:position w:val="1"/>
        </w:rPr>
        <w:t xml:space="preserve"> </w:t>
      </w:r>
      <w:r>
        <w:rPr>
          <w:rFonts w:ascii="Times New Roman" w:hAnsi="Times New Roman" w:eastAsia="Times New Roman" w:cs="Times New Roman"/>
          <w:spacing w:val="8"/>
          <w:position w:val="1"/>
        </w:rPr>
        <w:t>1</w:t>
      </w:r>
      <w:r>
        <w:rPr>
          <w:rFonts w:ascii="Times New Roman" w:hAnsi="Times New Roman" w:eastAsia="Times New Roman" w:cs="Times New Roman"/>
          <w:spacing w:val="-19"/>
          <w:position w:val="1"/>
        </w:rPr>
        <w:t xml:space="preserve"> </w:t>
      </w:r>
      <w:r>
        <w:rPr>
          <w:spacing w:val="8"/>
          <w:position w:val="1"/>
        </w:rPr>
        <w:t>）城市区山洪灾害易发地区政府应明</w:t>
      </w:r>
    </w:p>
    <w:p>
      <w:pPr>
        <w:pStyle w:val="BodyText"/>
        <w:ind w:left="14"/>
        <w:spacing w:before="127" w:line="222" w:lineRule="auto"/>
        <w:outlineLvl w:val="0"/>
        <w:rPr/>
      </w:pPr>
      <w:r>
        <w:rPr>
          <w:spacing w:val="7"/>
        </w:rPr>
        <w:t>确山洪监测防治机构的设置及职责，国土、水</w:t>
      </w:r>
    </w:p>
    <w:p>
      <w:pPr>
        <w:pStyle w:val="BodyText"/>
        <w:ind w:left="13" w:right="329"/>
        <w:spacing w:before="158" w:line="369" w:lineRule="auto"/>
        <w:jc w:val="both"/>
        <w:rPr/>
      </w:pPr>
      <w:r>
        <w:rPr>
          <w:spacing w:val="7"/>
        </w:rPr>
        <w:t>利、气象等部门应密切联系，相互配合，实现</w:t>
      </w:r>
      <w:r>
        <w:rPr>
          <w:spacing w:val="7"/>
        </w:rPr>
        <w:t>信息共享，组织制定、完善本区域山洪灾害防</w:t>
      </w:r>
      <w:r>
        <w:rPr>
          <w:spacing w:val="7"/>
        </w:rPr>
        <w:t>治预案，划分并确定易发山洪灾害的地点及范</w:t>
      </w:r>
      <w:r>
        <w:rPr>
          <w:spacing w:val="7"/>
        </w:rPr>
        <w:t>围，制定群众、重要物资安全转移方案，及时</w:t>
      </w:r>
      <w:r>
        <w:rPr>
          <w:spacing w:val="7"/>
        </w:rPr>
        <w:t>发布预警预报。</w:t>
      </w:r>
    </w:p>
    <w:p>
      <w:pPr>
        <w:pStyle w:val="BodyText"/>
        <w:ind w:left="424"/>
        <w:spacing w:line="277" w:lineRule="exact"/>
        <w:rPr/>
      </w:pPr>
      <w:r>
        <w:rPr>
          <w:spacing w:val="9"/>
          <w:position w:val="1"/>
        </w:rPr>
        <w:t>（</w:t>
      </w:r>
      <w:r>
        <w:rPr>
          <w:rFonts w:ascii="Times New Roman" w:hAnsi="Times New Roman" w:eastAsia="Times New Roman" w:cs="Times New Roman"/>
          <w:spacing w:val="9"/>
          <w:position w:val="1"/>
        </w:rPr>
        <w:t>2 </w:t>
      </w:r>
      <w:r>
        <w:rPr>
          <w:spacing w:val="9"/>
          <w:position w:val="1"/>
        </w:rPr>
        <w:t>）山洪灾害易发区由国土部门负责建</w:t>
      </w:r>
    </w:p>
    <w:p>
      <w:pPr>
        <w:pStyle w:val="BodyText"/>
        <w:ind w:left="13"/>
        <w:spacing w:before="123" w:line="224" w:lineRule="auto"/>
        <w:outlineLvl w:val="0"/>
        <w:rPr/>
      </w:pPr>
      <w:r>
        <w:rPr>
          <w:spacing w:val="7"/>
        </w:rPr>
        <w:t>立专业监测与群测群防相结合的监测体系，落</w:t>
      </w:r>
    </w:p>
    <w:p>
      <w:pPr>
        <w:pStyle w:val="BodyText"/>
        <w:ind w:left="16"/>
        <w:spacing w:before="159" w:line="188" w:lineRule="auto"/>
        <w:rPr/>
      </w:pPr>
      <w:r>
        <w:rPr>
          <w:spacing w:val="9"/>
        </w:rPr>
        <w:t>实观测和预报措施。当预报或发生强降雨时，</w:t>
      </w:r>
    </w:p>
    <w:p>
      <w:pPr>
        <w:spacing w:line="14" w:lineRule="auto"/>
        <w:rPr>
          <w:rFonts w:ascii="Arial"/>
          <w:sz w:val="2"/>
        </w:rPr>
      </w:pPr>
      <w:r>
        <w:rPr>
          <w:rFonts w:ascii="Arial" w:hAnsi="Arial" w:eastAsia="Arial" w:cs="Arial"/>
          <w:sz w:val="2"/>
          <w:szCs w:val="2"/>
        </w:rPr>
        <w:br w:type="column"/>
      </w:r>
    </w:p>
    <w:p>
      <w:pPr>
        <w:pStyle w:val="BodyText"/>
        <w:ind w:left="1" w:right="79" w:firstLine="3"/>
        <w:spacing w:before="39" w:line="369" w:lineRule="auto"/>
        <w:jc w:val="both"/>
        <w:rPr/>
      </w:pPr>
      <w:r>
        <w:rPr>
          <w:spacing w:val="9"/>
        </w:rPr>
        <w:t>实行</w:t>
      </w:r>
      <w:r>
        <w:rPr>
          <w:spacing w:val="-37"/>
        </w:rPr>
        <w:t xml:space="preserve"> </w:t>
      </w:r>
      <w:r>
        <w:rPr>
          <w:rFonts w:ascii="Times New Roman" w:hAnsi="Times New Roman" w:eastAsia="Times New Roman" w:cs="Times New Roman"/>
          <w:spacing w:val="9"/>
        </w:rPr>
        <w:t>24 </w:t>
      </w:r>
      <w:r>
        <w:rPr>
          <w:spacing w:val="9"/>
        </w:rPr>
        <w:t>小时值班巡逻</w:t>
      </w:r>
      <w:r>
        <w:rPr>
          <w:spacing w:val="-59"/>
        </w:rPr>
        <w:t xml:space="preserve"> </w:t>
      </w:r>
      <w:r>
        <w:rPr>
          <w:spacing w:val="9"/>
        </w:rPr>
        <w:t>，加强观测。街道办事</w:t>
      </w:r>
      <w:r>
        <w:rPr>
          <w:spacing w:val="7"/>
        </w:rPr>
        <w:t>处、社区和相关单位都要落实信号发送员，一</w:t>
      </w:r>
      <w:r>
        <w:rPr>
          <w:spacing w:val="7"/>
        </w:rPr>
        <w:t>旦发现危险征兆，立即向周边群众报警，实现</w:t>
      </w:r>
      <w:r>
        <w:rPr>
          <w:spacing w:val="7"/>
        </w:rPr>
        <w:t>快速转移，并报本地防汛指挥机构，以便及时</w:t>
      </w:r>
      <w:r>
        <w:rPr>
          <w:spacing w:val="7"/>
        </w:rPr>
        <w:t>组织抗灾救灾。</w:t>
      </w:r>
    </w:p>
    <w:p>
      <w:pPr>
        <w:pStyle w:val="BodyText"/>
        <w:ind w:left="420"/>
        <w:spacing w:before="3" w:line="219" w:lineRule="auto"/>
        <w:outlineLvl w:val="0"/>
        <w:rPr/>
      </w:pPr>
      <w:r>
        <w:rPr>
          <w:rFonts w:ascii="Times New Roman" w:hAnsi="Times New Roman" w:eastAsia="Times New Roman" w:cs="Times New Roman"/>
          <w:spacing w:val="6"/>
        </w:rPr>
        <w:t>4.3.4 </w:t>
      </w:r>
      <w:r>
        <w:rPr>
          <w:spacing w:val="6"/>
        </w:rPr>
        <w:t>暴雨渍涝预警行动。</w:t>
      </w:r>
    </w:p>
    <w:p>
      <w:pPr>
        <w:pStyle w:val="BodyText"/>
        <w:ind w:right="82" w:firstLine="412"/>
        <w:spacing w:before="155" w:line="298" w:lineRule="auto"/>
        <w:outlineLvl w:val="0"/>
        <w:rPr/>
      </w:pPr>
      <w:r>
        <w:rPr>
          <w:spacing w:val="6"/>
        </w:rPr>
        <w:t>（</w:t>
      </w:r>
      <w:r>
        <w:rPr>
          <w:spacing w:val="-46"/>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21"/>
        </w:rPr>
        <w:t xml:space="preserve"> </w:t>
      </w:r>
      <w:r>
        <w:rPr>
          <w:spacing w:val="6"/>
        </w:rPr>
        <w:t>）市气象局应密切监视暴风雨</w:t>
      </w:r>
      <w:r>
        <w:rPr>
          <w:spacing w:val="-58"/>
        </w:rPr>
        <w:t xml:space="preserve"> </w:t>
      </w:r>
      <w:r>
        <w:rPr>
          <w:spacing w:val="6"/>
        </w:rPr>
        <w:t>，做好</w:t>
      </w:r>
      <w:r>
        <w:rPr>
          <w:spacing w:val="7"/>
        </w:rPr>
        <w:t>趋势预报。对可能造成灾害的暴雨，及时将暴</w:t>
      </w:r>
    </w:p>
    <w:p>
      <w:pPr>
        <w:pStyle w:val="BodyText"/>
        <w:ind w:left="1" w:right="82" w:firstLine="3"/>
        <w:spacing w:before="162" w:line="368" w:lineRule="auto"/>
        <w:jc w:val="both"/>
        <w:rPr/>
      </w:pPr>
      <w:r>
        <w:rPr>
          <w:spacing w:val="7"/>
        </w:rPr>
        <w:t>风雨中心位置、强度、移动方向、速度和暴风</w:t>
      </w:r>
      <w:r>
        <w:rPr>
          <w:spacing w:val="7"/>
        </w:rPr>
        <w:t>雨的量级和雨区分布等信息，与水利部门、防</w:t>
      </w:r>
      <w:r>
        <w:rPr>
          <w:spacing w:val="7"/>
        </w:rPr>
        <w:t>汛指挥机构会商，并报告同级人民政府。暴风</w:t>
      </w:r>
      <w:r>
        <w:rPr>
          <w:spacing w:val="18"/>
        </w:rPr>
        <w:t>雨影响临近时及时将有关信息通过新闻媒体</w:t>
      </w:r>
      <w:r>
        <w:rPr>
          <w:spacing w:val="7"/>
        </w:rPr>
        <w:t>向社会发布。</w:t>
      </w:r>
    </w:p>
    <w:p>
      <w:pPr>
        <w:pStyle w:val="BodyText"/>
        <w:ind w:left="1" w:right="82" w:firstLine="411"/>
        <w:spacing w:before="2" w:line="296" w:lineRule="auto"/>
        <w:outlineLvl w:val="0"/>
        <w:rPr/>
      </w:pPr>
      <w:r>
        <w:rPr>
          <w:spacing w:val="9"/>
        </w:rPr>
        <w:t>（</w:t>
      </w:r>
      <w:r>
        <w:rPr>
          <w:rFonts w:ascii="Times New Roman" w:hAnsi="Times New Roman" w:eastAsia="Times New Roman" w:cs="Times New Roman"/>
          <w:spacing w:val="9"/>
        </w:rPr>
        <w:t>2</w:t>
      </w:r>
      <w:r>
        <w:rPr>
          <w:rFonts w:ascii="Times New Roman" w:hAnsi="Times New Roman" w:eastAsia="Times New Roman" w:cs="Times New Roman"/>
          <w:spacing w:val="-21"/>
        </w:rPr>
        <w:t xml:space="preserve"> </w:t>
      </w:r>
      <w:r>
        <w:rPr>
          <w:spacing w:val="9"/>
        </w:rPr>
        <w:t>）预报城市区将受暴风雨影响</w:t>
      </w:r>
      <w:r>
        <w:rPr>
          <w:spacing w:val="-58"/>
        </w:rPr>
        <w:t xml:space="preserve"> </w:t>
      </w:r>
      <w:r>
        <w:rPr>
          <w:spacing w:val="9"/>
        </w:rPr>
        <w:t>，各级</w:t>
      </w:r>
      <w:r>
        <w:rPr>
          <w:spacing w:val="9"/>
        </w:rPr>
        <w:t>各部门防汛指挥</w:t>
      </w:r>
    </w:p>
    <w:p>
      <w:pPr>
        <w:pStyle w:val="BodyText"/>
        <w:ind w:left="3" w:right="82"/>
        <w:spacing w:before="160" w:line="296" w:lineRule="auto"/>
        <w:outlineLvl w:val="0"/>
        <w:rPr/>
      </w:pPr>
      <w:r>
        <w:rPr>
          <w:spacing w:val="7"/>
        </w:rPr>
        <w:t>机构应加强值班，组织气象、水利、自然资源</w:t>
      </w:r>
      <w:r>
        <w:rPr>
          <w:spacing w:val="8"/>
        </w:rPr>
        <w:t>等部门会商，并</w:t>
      </w:r>
    </w:p>
    <w:p>
      <w:pPr>
        <w:pStyle w:val="BodyText"/>
        <w:spacing w:before="159" w:line="222" w:lineRule="auto"/>
        <w:outlineLvl w:val="0"/>
        <w:rPr/>
      </w:pPr>
      <w:r>
        <w:rPr>
          <w:spacing w:val="8"/>
        </w:rPr>
        <w:t>将有关信息及时向社会发布。</w:t>
      </w:r>
    </w:p>
    <w:p>
      <w:pPr>
        <w:ind w:left="423"/>
        <w:spacing w:before="151" w:line="217"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5</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应急响应</w:t>
      </w:r>
    </w:p>
    <w:p>
      <w:pPr>
        <w:ind w:left="427"/>
        <w:spacing w:before="95" w:line="266" w:lineRule="exact"/>
        <w:outlineLvl w:val="0"/>
        <w:rPr>
          <w:rFonts w:ascii="KaiTi" w:hAnsi="KaiTi" w:eastAsia="KaiTi" w:cs="KaiTi"/>
          <w:sz w:val="20"/>
          <w:szCs w:val="20"/>
        </w:rPr>
      </w:pPr>
      <w:r>
        <w:rPr>
          <w:rFonts w:ascii="Times New Roman" w:hAnsi="Times New Roman" w:eastAsia="Times New Roman" w:cs="Times New Roman"/>
          <w:sz w:val="20"/>
          <w:szCs w:val="20"/>
          <w:spacing w:val="4"/>
          <w:position w:val="1"/>
        </w:rPr>
        <w:t>5.</w:t>
      </w:r>
      <w:r>
        <w:rPr>
          <w:rFonts w:ascii="Times New Roman" w:hAnsi="Times New Roman" w:eastAsia="Times New Roman" w:cs="Times New Roman"/>
          <w:sz w:val="20"/>
          <w:szCs w:val="20"/>
          <w:spacing w:val="-15"/>
          <w:position w:val="1"/>
        </w:rPr>
        <w:t xml:space="preserve"> </w:t>
      </w:r>
      <w:r>
        <w:rPr>
          <w:rFonts w:ascii="Times New Roman" w:hAnsi="Times New Roman" w:eastAsia="Times New Roman" w:cs="Times New Roman"/>
          <w:sz w:val="20"/>
          <w:szCs w:val="20"/>
          <w:spacing w:val="4"/>
          <w:position w:val="1"/>
        </w:rPr>
        <w:t>1  </w:t>
      </w:r>
      <w:r>
        <w:rPr>
          <w:rFonts w:ascii="KaiTi" w:hAnsi="KaiTi" w:eastAsia="KaiTi" w:cs="KaiTi"/>
          <w:sz w:val="20"/>
          <w:szCs w:val="20"/>
          <w:spacing w:val="4"/>
          <w:position w:val="1"/>
        </w:rPr>
        <w:t>应急响应的总体要求。</w:t>
      </w:r>
    </w:p>
    <w:p>
      <w:pPr>
        <w:pStyle w:val="BodyText"/>
        <w:ind w:left="4" w:right="82" w:firstLine="408"/>
        <w:spacing w:before="136" w:line="312" w:lineRule="auto"/>
        <w:outlineLvl w:val="0"/>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）按洪涝严重程度和范围</w:t>
      </w:r>
      <w:r>
        <w:rPr>
          <w:spacing w:val="-59"/>
        </w:rPr>
        <w:t xml:space="preserve"> </w:t>
      </w:r>
      <w:r>
        <w:rPr>
          <w:spacing w:val="5"/>
        </w:rPr>
        <w:t>，参照《国</w:t>
      </w:r>
      <w:r>
        <w:rPr>
          <w:spacing w:val="-3"/>
        </w:rPr>
        <w:t>家防汛应急预案》、《宁夏回族自治区防汛应急</w:t>
      </w:r>
    </w:p>
    <w:p>
      <w:pPr>
        <w:pStyle w:val="BodyText"/>
        <w:spacing w:before="122" w:line="278" w:lineRule="exact"/>
        <w:jc w:val="right"/>
        <w:rPr/>
      </w:pPr>
      <w:r>
        <w:rPr>
          <w:spacing w:val="-11"/>
          <w:position w:val="1"/>
        </w:rPr>
        <w:t>预案》，将应急响应行动分为</w:t>
      </w:r>
      <w:r>
        <w:rPr>
          <w:spacing w:val="-56"/>
          <w:position w:val="1"/>
        </w:rPr>
        <w:t xml:space="preserve"> </w:t>
      </w:r>
      <w:r>
        <w:rPr>
          <w:rFonts w:ascii="Times New Roman" w:hAnsi="Times New Roman" w:eastAsia="Times New Roman" w:cs="Times New Roman"/>
          <w:spacing w:val="-11"/>
          <w:position w:val="1"/>
        </w:rPr>
        <w:t>I</w:t>
      </w:r>
      <w:r>
        <w:rPr>
          <w:spacing w:val="-11"/>
          <w:position w:val="1"/>
        </w:rPr>
        <w:t>、</w:t>
      </w:r>
      <w:r>
        <w:rPr>
          <w:rFonts w:ascii="Times New Roman" w:hAnsi="Times New Roman" w:eastAsia="Times New Roman" w:cs="Times New Roman"/>
          <w:spacing w:val="-11"/>
          <w:position w:val="1"/>
        </w:rPr>
        <w:t>II</w:t>
      </w:r>
      <w:r>
        <w:rPr>
          <w:spacing w:val="-11"/>
          <w:position w:val="1"/>
        </w:rPr>
        <w:t>、</w:t>
      </w:r>
      <w:r>
        <w:rPr>
          <w:rFonts w:ascii="Times New Roman" w:hAnsi="Times New Roman" w:eastAsia="Times New Roman" w:cs="Times New Roman"/>
          <w:spacing w:val="-11"/>
          <w:position w:val="1"/>
        </w:rPr>
        <w:t>III</w:t>
      </w:r>
      <w:r>
        <w:rPr>
          <w:spacing w:val="-11"/>
          <w:position w:val="1"/>
        </w:rPr>
        <w:t>、</w:t>
      </w:r>
      <w:r>
        <w:rPr>
          <w:rFonts w:ascii="Times New Roman" w:hAnsi="Times New Roman" w:eastAsia="Times New Roman" w:cs="Times New Roman"/>
          <w:spacing w:val="-11"/>
          <w:position w:val="1"/>
        </w:rPr>
        <w:t>IV</w:t>
      </w:r>
      <w:r>
        <w:rPr>
          <w:rFonts w:ascii="Times New Roman" w:hAnsi="Times New Roman" w:eastAsia="Times New Roman" w:cs="Times New Roman"/>
          <w:spacing w:val="17"/>
          <w:position w:val="1"/>
        </w:rPr>
        <w:t xml:space="preserve"> </w:t>
      </w:r>
      <w:r>
        <w:rPr>
          <w:spacing w:val="-11"/>
          <w:position w:val="1"/>
        </w:rPr>
        <w:t>四</w:t>
      </w:r>
      <w:r>
        <w:rPr>
          <w:spacing w:val="-12"/>
          <w:position w:val="1"/>
        </w:rPr>
        <w:t>级。</w:t>
      </w:r>
    </w:p>
    <w:p>
      <w:pPr>
        <w:pStyle w:val="BodyText"/>
        <w:ind w:left="413"/>
        <w:spacing w:before="123" w:line="277" w:lineRule="exact"/>
        <w:rPr/>
      </w:pPr>
      <w:r>
        <w:rPr>
          <w:spacing w:val="11"/>
          <w:position w:val="1"/>
        </w:rPr>
        <w:t>（</w:t>
      </w:r>
      <w:r>
        <w:rPr>
          <w:rFonts w:ascii="Times New Roman" w:hAnsi="Times New Roman" w:eastAsia="Times New Roman" w:cs="Times New Roman"/>
          <w:spacing w:val="11"/>
          <w:position w:val="1"/>
        </w:rPr>
        <w:t>2</w:t>
      </w:r>
      <w:r>
        <w:rPr>
          <w:rFonts w:ascii="Times New Roman" w:hAnsi="Times New Roman" w:eastAsia="Times New Roman" w:cs="Times New Roman"/>
          <w:spacing w:val="-18"/>
          <w:position w:val="1"/>
        </w:rPr>
        <w:t xml:space="preserve"> </w:t>
      </w:r>
      <w:r>
        <w:rPr>
          <w:spacing w:val="11"/>
          <w:position w:val="1"/>
        </w:rPr>
        <w:t>）进入汛期，各级防汛指挥机构应实</w:t>
      </w:r>
    </w:p>
    <w:p>
      <w:pPr>
        <w:pStyle w:val="BodyText"/>
        <w:spacing w:before="125" w:line="223" w:lineRule="auto"/>
        <w:outlineLvl w:val="0"/>
        <w:jc w:val="right"/>
        <w:rPr/>
      </w:pPr>
      <w:r>
        <w:rPr>
          <w:spacing w:val="5"/>
        </w:rPr>
        <w:t>行</w:t>
      </w:r>
      <w:r>
        <w:rPr>
          <w:spacing w:val="-34"/>
        </w:rPr>
        <w:t xml:space="preserve"> </w:t>
      </w:r>
      <w:r>
        <w:rPr>
          <w:rFonts w:ascii="Times New Roman" w:hAnsi="Times New Roman" w:eastAsia="Times New Roman" w:cs="Times New Roman"/>
          <w:spacing w:val="5"/>
        </w:rPr>
        <w:t>24 </w:t>
      </w:r>
      <w:r>
        <w:rPr>
          <w:spacing w:val="5"/>
        </w:rPr>
        <w:t>小时值班制度，跟踪掌握雨水情、工情、</w:t>
      </w:r>
    </w:p>
    <w:p>
      <w:pPr>
        <w:pStyle w:val="BodyText"/>
        <w:ind w:right="82" w:firstLine="1"/>
        <w:spacing w:before="164" w:line="344" w:lineRule="auto"/>
        <w:jc w:val="both"/>
        <w:rPr/>
      </w:pPr>
      <w:r>
        <w:rPr>
          <w:spacing w:val="7"/>
        </w:rPr>
        <w:t>灾情，并根据不同情况启动相关预案。水务局</w:t>
      </w:r>
      <w:r>
        <w:rPr>
          <w:spacing w:val="7"/>
        </w:rPr>
        <w:t>应配合当地应急管理指挥部加强巡查，发现险</w:t>
      </w:r>
      <w:r>
        <w:rPr>
          <w:spacing w:val="18"/>
        </w:rPr>
        <w:t>情立即向当地应急管理指挥部和主管部门报</w:t>
      </w:r>
      <w:r>
        <w:rPr>
          <w:spacing w:val="7"/>
        </w:rPr>
        <w:t>告，同时采取措施，努力控制险情。应急管理</w:t>
      </w:r>
      <w:r>
        <w:rPr>
          <w:spacing w:val="18"/>
        </w:rPr>
        <w:t>指挥部各成员单位应按照防汛指挥机构的统</w:t>
      </w:r>
      <w:r>
        <w:rPr>
          <w:spacing w:val="18"/>
        </w:rPr>
        <w:t>一部署和职责分工开展工作并及时报告有关</w:t>
      </w:r>
      <w:r>
        <w:rPr>
          <w:spacing w:val="6"/>
        </w:rPr>
        <w:t>工作情况。</w:t>
      </w:r>
    </w:p>
    <w:p>
      <w:pPr>
        <w:spacing w:line="344" w:lineRule="auto"/>
        <w:sectPr>
          <w:type w:val="continuous"/>
          <w:pgSz w:w="11906" w:h="16839"/>
          <w:pgMar w:top="1974" w:right="1508" w:bottom="1574" w:left="1579" w:header="1634" w:footer="1172" w:gutter="0"/>
          <w:cols w:equalWidth="0" w:num="2">
            <w:col w:w="4489" w:space="100"/>
            <w:col w:w="4230" w:space="0"/>
          </w:cols>
        </w:sectPr>
        <w:rPr/>
      </w:pPr>
    </w:p>
    <w:p>
      <w:pPr>
        <w:spacing w:before="62"/>
        <w:rPr/>
      </w:pPr>
      <w:r>
        <w:drawing>
          <wp:anchor distT="0" distB="0" distL="0" distR="0" simplePos="0" relativeHeight="254753792"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444" name="IM 2444"/>
            <wp:cNvGraphicFramePr/>
            <a:graphic>
              <a:graphicData uri="http://schemas.openxmlformats.org/drawingml/2006/picture">
                <pic:pic>
                  <pic:nvPicPr>
                    <pic:cNvPr id="2444" name="IM 2444"/>
                    <pic:cNvPicPr/>
                  </pic:nvPicPr>
                  <pic:blipFill>
                    <a:blip r:embed="rId1227"/>
                    <a:stretch>
                      <a:fillRect/>
                    </a:stretch>
                  </pic:blipFill>
                  <pic:spPr>
                    <a:xfrm rot="0">
                      <a:off x="0" y="0"/>
                      <a:ext cx="5579745" cy="7620"/>
                    </a:xfrm>
                    <a:prstGeom prst="rect">
                      <a:avLst/>
                    </a:prstGeom>
                  </pic:spPr>
                </pic:pic>
              </a:graphicData>
            </a:graphic>
          </wp:anchor>
        </w:drawing>
      </w:r>
      <w:r/>
    </w:p>
    <w:p>
      <w:pPr>
        <w:sectPr>
          <w:headerReference w:type="default" r:id="rId1048"/>
          <w:footerReference w:type="default" r:id="rId1226"/>
          <w:pgSz w:w="11906" w:h="16839"/>
          <w:pgMar w:top="1772" w:right="1489" w:bottom="1572" w:left="1571" w:header="1428" w:footer="1172" w:gutter="0"/>
          <w:cols w:equalWidth="0" w:num="1">
            <w:col w:w="8846" w:space="0"/>
          </w:cols>
        </w:sectPr>
        <w:rPr/>
      </w:pPr>
    </w:p>
    <w:p>
      <w:pPr>
        <w:pStyle w:val="BodyText"/>
        <w:ind w:left="433"/>
        <w:spacing w:before="47" w:line="278" w:lineRule="exact"/>
        <w:rPr/>
      </w:pPr>
      <w:r>
        <w:rPr>
          <w:spacing w:val="8"/>
          <w:position w:val="1"/>
        </w:rPr>
        <w:t>（</w:t>
      </w:r>
      <w:r>
        <w:rPr>
          <w:rFonts w:ascii="Times New Roman" w:hAnsi="Times New Roman" w:eastAsia="Times New Roman" w:cs="Times New Roman"/>
          <w:spacing w:val="8"/>
          <w:position w:val="1"/>
        </w:rPr>
        <w:t>3</w:t>
      </w:r>
      <w:r>
        <w:rPr>
          <w:rFonts w:ascii="Times New Roman" w:hAnsi="Times New Roman" w:eastAsia="Times New Roman" w:cs="Times New Roman"/>
          <w:spacing w:val="-5"/>
          <w:position w:val="1"/>
        </w:rPr>
        <w:t xml:space="preserve"> </w:t>
      </w:r>
      <w:r>
        <w:rPr>
          <w:spacing w:val="8"/>
          <w:position w:val="1"/>
        </w:rPr>
        <w:t>）洪涝灾害发生后</w:t>
      </w:r>
      <w:r>
        <w:rPr>
          <w:spacing w:val="-59"/>
          <w:position w:val="1"/>
        </w:rPr>
        <w:t xml:space="preserve"> </w:t>
      </w:r>
      <w:r>
        <w:rPr>
          <w:spacing w:val="8"/>
          <w:position w:val="1"/>
        </w:rPr>
        <w:t>，按照属地管理原</w:t>
      </w:r>
    </w:p>
    <w:p>
      <w:pPr>
        <w:pStyle w:val="BodyText"/>
        <w:ind w:left="21"/>
        <w:spacing w:before="126" w:line="222" w:lineRule="auto"/>
        <w:outlineLvl w:val="0"/>
        <w:rPr/>
      </w:pPr>
      <w:r>
        <w:rPr>
          <w:spacing w:val="7"/>
        </w:rPr>
        <w:t>则，由当地政府和防汛指挥机构负责组织实施</w:t>
      </w:r>
    </w:p>
    <w:p>
      <w:pPr>
        <w:pStyle w:val="BodyText"/>
        <w:ind w:left="20" w:right="322"/>
        <w:spacing w:before="157" w:line="369" w:lineRule="auto"/>
        <w:jc w:val="both"/>
        <w:rPr/>
      </w:pPr>
      <w:r>
        <w:rPr>
          <w:spacing w:val="7"/>
        </w:rPr>
        <w:t>抗洪抢险、排涝、抗旱等方面工作。按照权限</w:t>
      </w:r>
      <w:r>
        <w:rPr>
          <w:spacing w:val="7"/>
        </w:rPr>
        <w:t>和职责负责所辖水工程的调度，并向本级政府</w:t>
      </w:r>
      <w:r>
        <w:rPr>
          <w:spacing w:val="7"/>
        </w:rPr>
        <w:t>和上一级防汛指挥机构及时报告情况，重大突</w:t>
      </w:r>
      <w:r>
        <w:rPr>
          <w:spacing w:val="7"/>
        </w:rPr>
        <w:t>发事件可直接向自治区防汛指挥部报告。任何</w:t>
      </w:r>
      <w:r>
        <w:rPr>
          <w:spacing w:val="7"/>
        </w:rPr>
        <w:t>单位和个人发现堤防等工程发生险情时，应立</w:t>
      </w:r>
      <w:r>
        <w:rPr>
          <w:spacing w:val="18"/>
        </w:rPr>
        <w:t>即向有关部门报告。对跨区域发生的洪涝灾</w:t>
      </w:r>
      <w:r>
        <w:rPr>
          <w:spacing w:val="7"/>
        </w:rPr>
        <w:t>害，或者突发事件将影响到临近行政区域的，</w:t>
      </w:r>
      <w:r>
        <w:rPr>
          <w:spacing w:val="18"/>
        </w:rPr>
        <w:t>在报告同级人民政府和上级防汛指挥机构的</w:t>
      </w:r>
      <w:r>
        <w:rPr>
          <w:spacing w:val="7"/>
        </w:rPr>
        <w:t>同时，应及时向受影响地的防汛指挥机构通报</w:t>
      </w:r>
      <w:r>
        <w:rPr>
          <w:spacing w:val="4"/>
        </w:rPr>
        <w:t>情况。</w:t>
      </w:r>
    </w:p>
    <w:p>
      <w:pPr>
        <w:ind w:left="447"/>
        <w:spacing w:line="266" w:lineRule="exact"/>
        <w:outlineLvl w:val="0"/>
        <w:rPr>
          <w:rFonts w:ascii="KaiTi" w:hAnsi="KaiTi" w:eastAsia="KaiTi" w:cs="KaiTi"/>
          <w:sz w:val="20"/>
          <w:szCs w:val="20"/>
        </w:rPr>
      </w:pPr>
      <w:r>
        <w:rPr>
          <w:rFonts w:ascii="Times New Roman" w:hAnsi="Times New Roman" w:eastAsia="Times New Roman" w:cs="Times New Roman"/>
          <w:sz w:val="20"/>
          <w:szCs w:val="20"/>
          <w:spacing w:val="6"/>
          <w:position w:val="1"/>
        </w:rPr>
        <w:t>5.2  </w:t>
      </w:r>
      <w:r>
        <w:rPr>
          <w:rFonts w:ascii="KaiTi" w:hAnsi="KaiTi" w:eastAsia="KaiTi" w:cs="KaiTi"/>
          <w:sz w:val="20"/>
          <w:szCs w:val="20"/>
          <w:spacing w:val="6"/>
          <w:position w:val="1"/>
        </w:rPr>
        <w:t>应急响应分级与行动。</w:t>
      </w:r>
    </w:p>
    <w:p>
      <w:pPr>
        <w:pStyle w:val="BodyText"/>
        <w:ind w:left="39" w:right="327" w:firstLine="408"/>
        <w:spacing w:before="145" w:line="299" w:lineRule="auto"/>
        <w:outlineLvl w:val="0"/>
        <w:rPr/>
      </w:pPr>
      <w:r>
        <w:rPr>
          <w:rFonts w:ascii="Times New Roman" w:hAnsi="Times New Roman" w:eastAsia="Times New Roman" w:cs="Times New Roman"/>
          <w:spacing w:val="7"/>
        </w:rPr>
        <w:t>5.2.1 I </w:t>
      </w:r>
      <w:r>
        <w:rPr>
          <w:spacing w:val="7"/>
        </w:rPr>
        <w:t>级应急响应。当出现</w:t>
      </w:r>
      <w:r>
        <w:rPr>
          <w:spacing w:val="-31"/>
        </w:rPr>
        <w:t xml:space="preserve"> </w:t>
      </w:r>
      <w:r>
        <w:rPr>
          <w:rFonts w:ascii="Times New Roman" w:hAnsi="Times New Roman" w:eastAsia="Times New Roman" w:cs="Times New Roman"/>
          <w:spacing w:val="7"/>
        </w:rPr>
        <w:t>I </w:t>
      </w:r>
      <w:r>
        <w:rPr>
          <w:spacing w:val="7"/>
        </w:rPr>
        <w:t>级应急响应</w:t>
      </w:r>
      <w:r>
        <w:rPr>
          <w:spacing w:val="6"/>
        </w:rPr>
        <w:t>的汛情时，城区防办将情况上报市防汛防旱指</w:t>
      </w:r>
    </w:p>
    <w:p>
      <w:pPr>
        <w:pStyle w:val="BodyText"/>
        <w:ind w:left="20" w:right="329" w:firstLine="2"/>
        <w:spacing w:before="162" w:line="377" w:lineRule="auto"/>
        <w:jc w:val="both"/>
        <w:rPr/>
      </w:pPr>
      <w:r>
        <w:rPr>
          <w:spacing w:val="7"/>
        </w:rPr>
        <w:t>挥部和市政府，城区防办全体成员立即进入城</w:t>
      </w:r>
      <w:r>
        <w:rPr>
          <w:spacing w:val="7"/>
        </w:rPr>
        <w:t>区防汛指挥大厅办公，由市政府领导指挥抢险</w:t>
      </w:r>
      <w:r>
        <w:rPr>
          <w:spacing w:val="7"/>
        </w:rPr>
        <w:t>工作。市防汛防旱指挥部视情派出相关领导率</w:t>
      </w:r>
      <w:r>
        <w:rPr>
          <w:spacing w:val="7"/>
        </w:rPr>
        <w:t>工作组、专家组赴一线指导防汛；城区防办通</w:t>
      </w:r>
      <w:r>
        <w:rPr>
          <w:spacing w:val="7"/>
        </w:rPr>
        <w:t>过城区防汛指挥和管理信息系统，密切监视汛</w:t>
      </w:r>
      <w:r>
        <w:rPr>
          <w:spacing w:val="7"/>
        </w:rPr>
        <w:t>情的发展变化，做好险情预测预报，做好应急</w:t>
      </w:r>
      <w:r>
        <w:rPr>
          <w:spacing w:val="7"/>
        </w:rPr>
        <w:t>抢险的调度工作。城区防办报经市防汛抗旱指</w:t>
      </w:r>
      <w:r>
        <w:rPr>
          <w:spacing w:val="7"/>
        </w:rPr>
        <w:t>挥部同意，每天通过电视、网络、短信等媒体</w:t>
      </w:r>
      <w:r>
        <w:rPr>
          <w:spacing w:val="7"/>
        </w:rPr>
        <w:t>发布汛情通报，报道汛情及防汛措施。城区防</w:t>
      </w:r>
      <w:r>
        <w:rPr>
          <w:spacing w:val="7"/>
        </w:rPr>
        <w:t>办成员单位按照职责分工，随时准备投入抢险</w:t>
      </w:r>
      <w:r>
        <w:rPr>
          <w:spacing w:val="7"/>
        </w:rPr>
        <w:t>救灾行动，并将相关情况上报城区防办，城区</w:t>
      </w:r>
      <w:r>
        <w:rPr>
          <w:spacing w:val="7"/>
        </w:rPr>
        <w:t>防办及时汇总相关情况，上报市防汛防旱指挥</w:t>
      </w:r>
      <w:r>
        <w:rPr>
          <w:spacing w:val="9"/>
        </w:rPr>
        <w:t>部和市政府，并通报城区防办各成员单位。</w:t>
      </w:r>
    </w:p>
    <w:p>
      <w:pPr>
        <w:pStyle w:val="BodyText"/>
        <w:ind w:left="20" w:right="324" w:firstLine="636"/>
        <w:spacing w:before="5" w:line="352" w:lineRule="auto"/>
        <w:jc w:val="both"/>
        <w:rPr/>
      </w:pPr>
      <w:r>
        <w:rPr>
          <w:rFonts w:ascii="Times New Roman" w:hAnsi="Times New Roman" w:eastAsia="Times New Roman" w:cs="Times New Roman"/>
          <w:spacing w:val="11"/>
        </w:rPr>
        <w:t>5.2.2 </w:t>
      </w:r>
      <w:r>
        <w:rPr>
          <w:rFonts w:ascii="Times New Roman" w:hAnsi="Times New Roman" w:eastAsia="Times New Roman" w:cs="Times New Roman"/>
        </w:rPr>
        <w:t>II</w:t>
      </w:r>
      <w:r>
        <w:rPr>
          <w:rFonts w:ascii="Times New Roman" w:hAnsi="Times New Roman" w:eastAsia="Times New Roman" w:cs="Times New Roman"/>
          <w:spacing w:val="24"/>
        </w:rPr>
        <w:t xml:space="preserve"> </w:t>
      </w:r>
      <w:r>
        <w:rPr>
          <w:spacing w:val="11"/>
        </w:rPr>
        <w:t>级应急响应。当出现</w:t>
      </w:r>
      <w:r>
        <w:rPr>
          <w:spacing w:val="-35"/>
        </w:rPr>
        <w:t xml:space="preserve"> </w:t>
      </w:r>
      <w:r>
        <w:rPr>
          <w:rFonts w:ascii="Times New Roman" w:hAnsi="Times New Roman" w:eastAsia="Times New Roman" w:cs="Times New Roman"/>
        </w:rPr>
        <w:t>II</w:t>
      </w:r>
      <w:r>
        <w:rPr>
          <w:rFonts w:ascii="Times New Roman" w:hAnsi="Times New Roman" w:eastAsia="Times New Roman" w:cs="Times New Roman"/>
          <w:spacing w:val="11"/>
        </w:rPr>
        <w:t xml:space="preserve"> </w:t>
      </w:r>
      <w:r>
        <w:rPr>
          <w:spacing w:val="11"/>
        </w:rPr>
        <w:t>级应急</w:t>
      </w:r>
      <w:r>
        <w:rPr>
          <w:spacing w:val="7"/>
        </w:rPr>
        <w:t>响应的汛情时，城区防办全体成员立即进入城</w:t>
      </w:r>
      <w:r>
        <w:rPr>
          <w:spacing w:val="7"/>
        </w:rPr>
        <w:t>区防汛指挥大厅办公，由市防汛防旱指挥部主</w:t>
      </w:r>
      <w:r>
        <w:rPr>
          <w:spacing w:val="7"/>
        </w:rPr>
        <w:t>要领导指挥抢险工作。城区防办视情派出相关</w:t>
      </w:r>
    </w:p>
    <w:p>
      <w:pPr>
        <w:spacing w:line="14" w:lineRule="auto"/>
        <w:rPr>
          <w:rFonts w:ascii="Arial"/>
          <w:sz w:val="2"/>
        </w:rPr>
      </w:pPr>
      <w:r>
        <w:rPr>
          <w:rFonts w:ascii="Arial" w:hAnsi="Arial" w:eastAsia="Arial" w:cs="Arial"/>
          <w:sz w:val="2"/>
          <w:szCs w:val="2"/>
        </w:rPr>
        <w:br w:type="column"/>
      </w:r>
    </w:p>
    <w:p>
      <w:pPr>
        <w:pStyle w:val="BodyText"/>
        <w:ind w:right="94" w:firstLine="1"/>
        <w:spacing w:before="52" w:line="377" w:lineRule="auto"/>
        <w:jc w:val="both"/>
        <w:rPr/>
      </w:pPr>
      <w:r>
        <w:rPr>
          <w:spacing w:val="7"/>
        </w:rPr>
        <w:t>领导率工作组、专家组赴一线指导防汛；城区</w:t>
      </w:r>
      <w:r>
        <w:rPr>
          <w:spacing w:val="7"/>
        </w:rPr>
        <w:t>防办加强值班力量，通过城区防汛指挥和管理</w:t>
      </w:r>
      <w:r>
        <w:rPr>
          <w:spacing w:val="7"/>
        </w:rPr>
        <w:t>信息系统，密切监视险情的发展变化，做好险</w:t>
      </w:r>
      <w:r>
        <w:rPr>
          <w:spacing w:val="7"/>
        </w:rPr>
        <w:t>情预测预报，做好应急抢险的调度工作；城区</w:t>
      </w:r>
      <w:r>
        <w:rPr>
          <w:spacing w:val="7"/>
        </w:rPr>
        <w:t>防办报经市防汛防旱指挥部同意，不定期通过</w:t>
      </w:r>
      <w:r>
        <w:rPr>
          <w:spacing w:val="7"/>
        </w:rPr>
        <w:t>电视、网络、短信等媒体发布汛情通报。城区</w:t>
      </w:r>
      <w:r>
        <w:rPr>
          <w:spacing w:val="7"/>
        </w:rPr>
        <w:t>防办成员单位按照职责分工，做好有关工作，</w:t>
      </w:r>
      <w:r>
        <w:rPr>
          <w:spacing w:val="7"/>
        </w:rPr>
        <w:t>随时将情况上报城区防办，城区防办及时汇总</w:t>
      </w:r>
      <w:r>
        <w:rPr>
          <w:spacing w:val="7"/>
        </w:rPr>
        <w:t>相关情况，上报市防汛防旱指挥部，并通报城</w:t>
      </w:r>
      <w:r>
        <w:rPr>
          <w:spacing w:val="8"/>
        </w:rPr>
        <w:t>区防办各成员单位。</w:t>
      </w:r>
    </w:p>
    <w:p>
      <w:pPr>
        <w:pStyle w:val="BodyText"/>
        <w:ind w:left="1" w:right="86" w:firstLine="425"/>
        <w:spacing w:before="3" w:line="354" w:lineRule="auto"/>
        <w:rPr/>
      </w:pPr>
      <w:r>
        <w:rPr>
          <w:rFonts w:ascii="Times New Roman" w:hAnsi="Times New Roman" w:eastAsia="Times New Roman" w:cs="Times New Roman"/>
          <w:spacing w:val="4"/>
        </w:rPr>
        <w:t>5.2.3 Ⅲ</w:t>
      </w:r>
      <w:r>
        <w:rPr>
          <w:spacing w:val="4"/>
        </w:rPr>
        <w:t>级应急响应。当出现</w:t>
      </w:r>
      <w:r>
        <w:rPr>
          <w:rFonts w:ascii="Times New Roman" w:hAnsi="Times New Roman" w:eastAsia="Times New Roman" w:cs="Times New Roman"/>
          <w:spacing w:val="4"/>
        </w:rPr>
        <w:t>Ⅲ</w:t>
      </w:r>
      <w:r>
        <w:rPr>
          <w:spacing w:val="4"/>
        </w:rPr>
        <w:t>级应急响应</w:t>
      </w:r>
      <w:r>
        <w:rPr>
          <w:spacing w:val="7"/>
        </w:rPr>
        <w:t>的汛情时，由城区防办主任主持召集城区防办</w:t>
      </w:r>
      <w:r>
        <w:rPr>
          <w:spacing w:val="7"/>
        </w:rPr>
        <w:t>成员会商，做出相应工作安排，有关成员进入</w:t>
      </w:r>
      <w:r>
        <w:rPr>
          <w:spacing w:val="7"/>
        </w:rPr>
        <w:t>城区防汛指挥大厅办公。城区防办通过城区防</w:t>
      </w:r>
      <w:r>
        <w:rPr>
          <w:spacing w:val="7"/>
        </w:rPr>
        <w:t>汛指挥和管理信息系统，密切监视汛情、险情</w:t>
      </w:r>
      <w:r>
        <w:rPr>
          <w:spacing w:val="8"/>
        </w:rPr>
        <w:t>发展变化，视情况派出工作组、专家组指导防</w:t>
      </w:r>
      <w:r>
        <w:rPr>
          <w:spacing w:val="-4"/>
        </w:rPr>
        <w:t>汛工作，并及时将情况上报市防汛防旱指挥部。</w:t>
      </w:r>
    </w:p>
    <w:p>
      <w:pPr>
        <w:pStyle w:val="BodyText"/>
        <w:ind w:right="96" w:firstLine="426"/>
        <w:spacing w:before="169" w:line="350" w:lineRule="auto"/>
        <w:rPr/>
      </w:pPr>
      <w:r>
        <w:rPr>
          <w:rFonts w:ascii="Times New Roman" w:hAnsi="Times New Roman" w:eastAsia="Times New Roman" w:cs="Times New Roman"/>
          <w:spacing w:val="4"/>
        </w:rPr>
        <w:t>5.2.4 </w:t>
      </w:r>
      <w:r>
        <w:rPr>
          <w:rFonts w:ascii="Times New Roman" w:hAnsi="Times New Roman" w:eastAsia="Times New Roman" w:cs="Times New Roman"/>
        </w:rPr>
        <w:t>IV</w:t>
      </w:r>
      <w:r>
        <w:rPr>
          <w:rFonts w:ascii="Times New Roman" w:hAnsi="Times New Roman" w:eastAsia="Times New Roman" w:cs="Times New Roman"/>
          <w:spacing w:val="4"/>
        </w:rPr>
        <w:t xml:space="preserve"> </w:t>
      </w:r>
      <w:r>
        <w:rPr>
          <w:spacing w:val="4"/>
        </w:rPr>
        <w:t>级应急响应。当出现</w:t>
      </w:r>
      <w:r>
        <w:rPr>
          <w:spacing w:val="-33"/>
        </w:rPr>
        <w:t xml:space="preserve"> </w:t>
      </w:r>
      <w:r>
        <w:rPr>
          <w:rFonts w:ascii="Times New Roman" w:hAnsi="Times New Roman" w:eastAsia="Times New Roman" w:cs="Times New Roman"/>
        </w:rPr>
        <w:t>IV</w:t>
      </w:r>
      <w:r>
        <w:rPr>
          <w:rFonts w:ascii="Times New Roman" w:hAnsi="Times New Roman" w:eastAsia="Times New Roman" w:cs="Times New Roman"/>
          <w:spacing w:val="4"/>
        </w:rPr>
        <w:t xml:space="preserve"> </w:t>
      </w:r>
      <w:r>
        <w:rPr>
          <w:spacing w:val="4"/>
        </w:rPr>
        <w:t>级应急响</w:t>
      </w:r>
      <w:r>
        <w:rPr>
          <w:spacing w:val="7"/>
        </w:rPr>
        <w:t>应的汛情时，由城区防办主任主持召集城区防</w:t>
      </w:r>
      <w:r>
        <w:rPr>
          <w:spacing w:val="7"/>
        </w:rPr>
        <w:t>办成员会商，做出相应工作安排；加强对险情</w:t>
      </w:r>
      <w:r>
        <w:rPr>
          <w:spacing w:val="15"/>
        </w:rPr>
        <w:t>的监视和对防汛工作的指导</w:t>
      </w:r>
      <w:r>
        <w:rPr>
          <w:spacing w:val="-40"/>
        </w:rPr>
        <w:t xml:space="preserve"> </w:t>
      </w:r>
      <w:r>
        <w:rPr>
          <w:spacing w:val="15"/>
        </w:rPr>
        <w:t>，视情况派工作</w:t>
      </w:r>
      <w:r>
        <w:rPr>
          <w:spacing w:val="7"/>
        </w:rPr>
        <w:t>组、专家组指导防汛，并及时将情况上报市防</w:t>
      </w:r>
      <w:r>
        <w:rPr>
          <w:spacing w:val="7"/>
        </w:rPr>
        <w:t>汛防旱指挥部。</w:t>
      </w:r>
    </w:p>
    <w:p>
      <w:pPr>
        <w:ind w:left="427"/>
        <w:spacing w:before="166" w:line="265" w:lineRule="exact"/>
        <w:rPr>
          <w:rFonts w:ascii="KaiTi" w:hAnsi="KaiTi" w:eastAsia="KaiTi" w:cs="KaiTi"/>
          <w:sz w:val="20"/>
          <w:szCs w:val="20"/>
        </w:rPr>
      </w:pPr>
      <w:r>
        <w:rPr>
          <w:rFonts w:ascii="Times New Roman" w:hAnsi="Times New Roman" w:eastAsia="Times New Roman" w:cs="Times New Roman"/>
          <w:sz w:val="20"/>
          <w:szCs w:val="20"/>
          <w:spacing w:val="6"/>
          <w:position w:val="1"/>
        </w:rPr>
        <w:t>5.3  </w:t>
      </w:r>
      <w:r>
        <w:rPr>
          <w:rFonts w:ascii="KaiTi" w:hAnsi="KaiTi" w:eastAsia="KaiTi" w:cs="KaiTi"/>
          <w:sz w:val="20"/>
          <w:szCs w:val="20"/>
          <w:spacing w:val="6"/>
          <w:position w:val="1"/>
        </w:rPr>
        <w:t>主要应急响应措施。</w:t>
      </w:r>
    </w:p>
    <w:p>
      <w:pPr>
        <w:pStyle w:val="BodyText"/>
        <w:ind w:right="98" w:firstLine="427"/>
        <w:spacing w:before="149" w:line="374" w:lineRule="auto"/>
        <w:rPr/>
      </w:pPr>
      <w:r>
        <w:rPr>
          <w:rFonts w:ascii="Times New Roman" w:hAnsi="Times New Roman" w:eastAsia="Times New Roman" w:cs="Times New Roman"/>
          <w:spacing w:val="3"/>
        </w:rPr>
        <w:t>5.3.1 </w:t>
      </w:r>
      <w:r>
        <w:rPr>
          <w:spacing w:val="3"/>
        </w:rPr>
        <w:t>河流洪水。当河道水位达到设防水位</w:t>
      </w:r>
      <w:r>
        <w:rPr>
          <w:spacing w:val="7"/>
        </w:rPr>
        <w:t>并继续上涨时：</w:t>
      </w:r>
    </w:p>
    <w:p>
      <w:pPr>
        <w:pStyle w:val="BodyText"/>
        <w:ind w:left="3" w:right="103" w:firstLine="409"/>
        <w:spacing w:before="1" w:line="302" w:lineRule="auto"/>
        <w:outlineLvl w:val="0"/>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）水务部门进入防汛工作状态。堤防</w:t>
      </w:r>
      <w:r>
        <w:rPr>
          <w:spacing w:val="13"/>
        </w:rPr>
        <w:t>管理单位要组织管理人员</w:t>
      </w:r>
      <w:r>
        <w:rPr>
          <w:rFonts w:ascii="Times New Roman" w:hAnsi="Times New Roman" w:eastAsia="Times New Roman" w:cs="Times New Roman"/>
          <w:spacing w:val="13"/>
        </w:rPr>
        <w:t>24 </w:t>
      </w:r>
      <w:r>
        <w:rPr>
          <w:spacing w:val="13"/>
        </w:rPr>
        <w:t>小时值班巡查；</w:t>
      </w:r>
    </w:p>
    <w:p>
      <w:pPr>
        <w:pStyle w:val="BodyText"/>
        <w:ind w:left="1" w:right="98"/>
        <w:spacing w:before="164" w:line="375" w:lineRule="auto"/>
        <w:rPr/>
      </w:pPr>
      <w:r>
        <w:rPr>
          <w:spacing w:val="11"/>
        </w:rPr>
        <w:t>泵站、涵闸管理人员</w:t>
      </w:r>
      <w:r>
        <w:rPr>
          <w:spacing w:val="-35"/>
        </w:rPr>
        <w:t xml:space="preserve"> </w:t>
      </w:r>
      <w:r>
        <w:rPr>
          <w:rFonts w:ascii="Times New Roman" w:hAnsi="Times New Roman" w:eastAsia="Times New Roman" w:cs="Times New Roman"/>
          <w:spacing w:val="11"/>
        </w:rPr>
        <w:t>24 </w:t>
      </w:r>
      <w:r>
        <w:rPr>
          <w:spacing w:val="11"/>
        </w:rPr>
        <w:t>小时值班，做好设备</w:t>
      </w:r>
      <w:r>
        <w:rPr>
          <w:spacing w:val="6"/>
        </w:rPr>
        <w:t>调试工作。</w:t>
      </w:r>
    </w:p>
    <w:p>
      <w:pPr>
        <w:pStyle w:val="BodyText"/>
        <w:ind w:left="2" w:right="94" w:firstLine="410"/>
        <w:spacing w:before="2" w:line="283" w:lineRule="auto"/>
        <w:outlineLvl w:val="0"/>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）参加防汛分工的各级领导要深入分</w:t>
      </w:r>
      <w:r>
        <w:rPr>
          <w:spacing w:val="7"/>
        </w:rPr>
        <w:t>工负责的地区和工程现场，进行督查和指导，</w:t>
      </w:r>
    </w:p>
    <w:p>
      <w:pPr>
        <w:spacing w:line="283" w:lineRule="auto"/>
        <w:sectPr>
          <w:type w:val="continuous"/>
          <w:pgSz w:w="11906" w:h="16839"/>
          <w:pgMar w:top="1772" w:right="1489" w:bottom="1572" w:left="1571" w:header="1428" w:footer="1172" w:gutter="0"/>
          <w:cols w:equalWidth="0" w:num="2">
            <w:col w:w="4498" w:space="100"/>
            <w:col w:w="4249" w:space="0"/>
          </w:cols>
        </w:sectPr>
        <w:rPr/>
      </w:pPr>
    </w:p>
    <w:p>
      <w:pPr>
        <w:spacing w:before="77"/>
        <w:rPr/>
      </w:pPr>
      <w:r/>
    </w:p>
    <w:p>
      <w:pPr>
        <w:sectPr>
          <w:headerReference w:type="default" r:id="rId1228"/>
          <w:footerReference w:type="default" r:id="rId58"/>
          <w:pgSz w:w="11906" w:h="16839"/>
          <w:pgMar w:top="1974" w:right="1530" w:bottom="400" w:left="1579" w:header="1634" w:footer="0" w:gutter="0"/>
          <w:cols w:equalWidth="0" w:num="1">
            <w:col w:w="8796" w:space="0"/>
          </w:cols>
        </w:sectPr>
        <w:rPr/>
      </w:pPr>
    </w:p>
    <w:p>
      <w:pPr>
        <w:pStyle w:val="BodyText"/>
        <w:ind w:left="19"/>
        <w:spacing w:before="47" w:line="222" w:lineRule="auto"/>
        <w:rPr/>
      </w:pPr>
      <w:r>
        <w:rPr>
          <w:spacing w:val="8"/>
        </w:rPr>
        <w:t>帮助解决具体困难和问题。</w:t>
      </w:r>
    </w:p>
    <w:p>
      <w:pPr>
        <w:pStyle w:val="BodyText"/>
        <w:ind w:left="10" w:right="332" w:firstLine="413"/>
        <w:spacing w:before="158" w:line="297" w:lineRule="auto"/>
        <w:outlineLvl w:val="0"/>
        <w:rPr/>
      </w:pPr>
      <w:r>
        <w:rPr>
          <w:spacing w:val="9"/>
        </w:rPr>
        <w:t>（</w:t>
      </w:r>
      <w:r>
        <w:rPr>
          <w:rFonts w:ascii="Times New Roman" w:hAnsi="Times New Roman" w:eastAsia="Times New Roman" w:cs="Times New Roman"/>
          <w:spacing w:val="9"/>
        </w:rPr>
        <w:t>3 </w:t>
      </w:r>
      <w:r>
        <w:rPr>
          <w:spacing w:val="9"/>
        </w:rPr>
        <w:t>）防汛物资器材落实到位并定点现场</w:t>
      </w:r>
      <w:r>
        <w:rPr>
          <w:spacing w:val="5"/>
        </w:rPr>
        <w:t>存放。</w:t>
      </w:r>
    </w:p>
    <w:p>
      <w:pPr>
        <w:pStyle w:val="BodyText"/>
        <w:ind w:left="13" w:right="373" w:firstLine="411"/>
        <w:spacing w:before="159" w:line="297" w:lineRule="auto"/>
        <w:outlineLvl w:val="0"/>
        <w:rPr/>
      </w:pPr>
      <w:r>
        <w:rPr>
          <w:spacing w:val="6"/>
        </w:rPr>
        <w:t>（</w:t>
      </w:r>
      <w:r>
        <w:rPr>
          <w:rFonts w:ascii="Times New Roman" w:hAnsi="Times New Roman" w:eastAsia="Times New Roman" w:cs="Times New Roman"/>
          <w:spacing w:val="6"/>
        </w:rPr>
        <w:t>4</w:t>
      </w:r>
      <w:r>
        <w:rPr>
          <w:rFonts w:ascii="Times New Roman" w:hAnsi="Times New Roman" w:eastAsia="Times New Roman" w:cs="Times New Roman"/>
          <w:spacing w:val="-10"/>
        </w:rPr>
        <w:t xml:space="preserve"> </w:t>
      </w:r>
      <w:r>
        <w:rPr>
          <w:spacing w:val="6"/>
        </w:rPr>
        <w:t>）抢险队伍要完成编成</w:t>
      </w:r>
      <w:r>
        <w:rPr>
          <w:spacing w:val="-59"/>
        </w:rPr>
        <w:t xml:space="preserve"> </w:t>
      </w:r>
      <w:r>
        <w:rPr>
          <w:spacing w:val="6"/>
        </w:rPr>
        <w:t>，明确分工，</w:t>
      </w:r>
      <w:r>
        <w:rPr>
          <w:spacing w:val="9"/>
        </w:rPr>
        <w:t>进行战前动员，组织技能培训和实战演练。</w:t>
      </w:r>
    </w:p>
    <w:p>
      <w:pPr>
        <w:pStyle w:val="BodyText"/>
        <w:ind w:left="14" w:right="329" w:firstLine="410"/>
        <w:spacing w:before="155" w:line="297" w:lineRule="auto"/>
        <w:outlineLvl w:val="0"/>
        <w:rPr/>
      </w:pPr>
      <w:r>
        <w:rPr>
          <w:spacing w:val="8"/>
        </w:rPr>
        <w:t>（</w:t>
      </w:r>
      <w:r>
        <w:rPr>
          <w:spacing w:val="-45"/>
        </w:rPr>
        <w:t xml:space="preserve"> </w:t>
      </w:r>
      <w:r>
        <w:rPr>
          <w:rFonts w:ascii="Times New Roman" w:hAnsi="Times New Roman" w:eastAsia="Times New Roman" w:cs="Times New Roman"/>
          <w:spacing w:val="8"/>
        </w:rPr>
        <w:t>5</w:t>
      </w:r>
      <w:r>
        <w:rPr>
          <w:rFonts w:ascii="Times New Roman" w:hAnsi="Times New Roman" w:eastAsia="Times New Roman" w:cs="Times New Roman"/>
          <w:spacing w:val="-19"/>
        </w:rPr>
        <w:t xml:space="preserve"> </w:t>
      </w:r>
      <w:r>
        <w:rPr>
          <w:spacing w:val="8"/>
        </w:rPr>
        <w:t>）水务部门根据气象部门反馈的气象</w:t>
      </w:r>
      <w:r>
        <w:rPr>
          <w:spacing w:val="18"/>
        </w:rPr>
        <w:t>条件决定启用蓄滞洪区运用的准备和批准权</w:t>
      </w:r>
    </w:p>
    <w:p>
      <w:pPr>
        <w:pStyle w:val="BodyText"/>
        <w:ind w:left="28"/>
        <w:spacing w:before="158" w:line="221" w:lineRule="auto"/>
        <w:rPr/>
      </w:pPr>
      <w:r>
        <w:rPr>
          <w:spacing w:val="8"/>
        </w:rPr>
        <w:t>限、进入紧急防汛期的条件和发布权限等。</w:t>
      </w:r>
    </w:p>
    <w:p>
      <w:pPr>
        <w:pStyle w:val="BodyText"/>
        <w:ind w:left="439"/>
        <w:spacing w:before="162" w:line="221" w:lineRule="auto"/>
        <w:outlineLvl w:val="0"/>
        <w:rPr/>
      </w:pPr>
      <w:r>
        <w:rPr>
          <w:rFonts w:ascii="Times New Roman" w:hAnsi="Times New Roman" w:eastAsia="Times New Roman" w:cs="Times New Roman"/>
          <w:spacing w:val="6"/>
        </w:rPr>
        <w:t>5.3.2 </w:t>
      </w:r>
      <w:r>
        <w:rPr>
          <w:spacing w:val="6"/>
        </w:rPr>
        <w:t>堤防决口、水库溃坝。</w:t>
      </w:r>
    </w:p>
    <w:p>
      <w:pPr>
        <w:pStyle w:val="BodyText"/>
        <w:ind w:left="424"/>
        <w:spacing w:before="157" w:line="278" w:lineRule="exact"/>
        <w:rPr/>
      </w:pPr>
      <w:r>
        <w:rPr>
          <w:spacing w:val="4"/>
          <w:position w:val="1"/>
        </w:rPr>
        <w:t>（</w:t>
      </w:r>
      <w:r>
        <w:rPr>
          <w:spacing w:val="-37"/>
          <w:position w:val="1"/>
        </w:rPr>
        <w:t xml:space="preserve"> </w:t>
      </w:r>
      <w:r>
        <w:rPr>
          <w:rFonts w:ascii="Times New Roman" w:hAnsi="Times New Roman" w:eastAsia="Times New Roman" w:cs="Times New Roman"/>
          <w:spacing w:val="4"/>
          <w:position w:val="1"/>
        </w:rPr>
        <w:t>1 </w:t>
      </w:r>
      <w:r>
        <w:rPr>
          <w:spacing w:val="4"/>
          <w:position w:val="1"/>
        </w:rPr>
        <w:t>）当出现堤防决口前期征兆时</w:t>
      </w:r>
      <w:r>
        <w:rPr>
          <w:spacing w:val="-59"/>
          <w:position w:val="1"/>
        </w:rPr>
        <w:t xml:space="preserve"> </w:t>
      </w:r>
      <w:r>
        <w:rPr>
          <w:spacing w:val="4"/>
          <w:position w:val="1"/>
        </w:rPr>
        <w:t>，当地</w:t>
      </w:r>
    </w:p>
    <w:p>
      <w:pPr>
        <w:pStyle w:val="BodyText"/>
        <w:ind w:left="28"/>
        <w:spacing w:before="125" w:line="221" w:lineRule="auto"/>
        <w:outlineLvl w:val="0"/>
        <w:rPr/>
      </w:pPr>
      <w:r>
        <w:rPr>
          <w:spacing w:val="6"/>
        </w:rPr>
        <w:t>防汛指挥机构要立即启动抢险预案，迅速调集</w:t>
      </w:r>
    </w:p>
    <w:p>
      <w:pPr>
        <w:pStyle w:val="BodyText"/>
        <w:ind w:left="14" w:right="309" w:hanging="2"/>
        <w:spacing w:before="161" w:line="368" w:lineRule="auto"/>
        <w:jc w:val="both"/>
        <w:rPr/>
      </w:pPr>
      <w:r>
        <w:rPr>
          <w:spacing w:val="8"/>
        </w:rPr>
        <w:t>人力、物力全力组织抢险，尽可能控制险情，</w:t>
      </w:r>
      <w:r>
        <w:rPr>
          <w:spacing w:val="18"/>
        </w:rPr>
        <w:t>同时立即向当地政府和上级应急管理指挥部</w:t>
      </w:r>
      <w:r>
        <w:rPr>
          <w:spacing w:val="8"/>
        </w:rPr>
        <w:t>报告，向下游可能受灾区域的当地政府预警。</w:t>
      </w:r>
    </w:p>
    <w:p>
      <w:pPr>
        <w:pStyle w:val="BodyText"/>
        <w:ind w:left="14" w:right="329" w:firstLine="410"/>
        <w:spacing w:before="1" w:line="296" w:lineRule="auto"/>
        <w:outlineLvl w:val="0"/>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）工程出险地点的下游地区政府或防</w:t>
      </w:r>
      <w:r>
        <w:rPr>
          <w:spacing w:val="18"/>
        </w:rPr>
        <w:t>汛指挥机构应迅速组织转移淹没区或洪水风</w:t>
      </w:r>
    </w:p>
    <w:p>
      <w:pPr>
        <w:pStyle w:val="BodyText"/>
        <w:ind w:left="13" w:right="329" w:firstLine="12"/>
        <w:spacing w:before="161" w:line="368" w:lineRule="auto"/>
        <w:rPr/>
      </w:pPr>
      <w:r>
        <w:rPr>
          <w:spacing w:val="6"/>
        </w:rPr>
        <w:t>险区内群众，控制洪水影响范围或减缓洪水推</w:t>
      </w:r>
      <w:r>
        <w:rPr>
          <w:spacing w:val="6"/>
        </w:rPr>
        <w:t>进速度。</w:t>
      </w:r>
    </w:p>
    <w:p>
      <w:pPr>
        <w:pStyle w:val="BodyText"/>
        <w:ind w:left="424"/>
        <w:spacing w:line="277" w:lineRule="exact"/>
        <w:rPr/>
      </w:pPr>
      <w:r>
        <w:rPr>
          <w:spacing w:val="6"/>
          <w:position w:val="1"/>
        </w:rPr>
        <w:t>（</w:t>
      </w:r>
      <w:r>
        <w:rPr>
          <w:rFonts w:ascii="Times New Roman" w:hAnsi="Times New Roman" w:eastAsia="Times New Roman" w:cs="Times New Roman"/>
          <w:spacing w:val="6"/>
          <w:position w:val="1"/>
        </w:rPr>
        <w:t>3 </w:t>
      </w:r>
      <w:r>
        <w:rPr>
          <w:spacing w:val="6"/>
          <w:position w:val="1"/>
        </w:rPr>
        <w:t>）当堤防决口</w:t>
      </w:r>
      <w:r>
        <w:rPr>
          <w:spacing w:val="-45"/>
          <w:position w:val="1"/>
        </w:rPr>
        <w:t xml:space="preserve"> </w:t>
      </w:r>
      <w:r>
        <w:rPr>
          <w:spacing w:val="6"/>
          <w:position w:val="1"/>
        </w:rPr>
        <w:t>，启动堵口抢护预案，</w:t>
      </w:r>
    </w:p>
    <w:p>
      <w:pPr>
        <w:pStyle w:val="BodyText"/>
        <w:ind w:left="14"/>
        <w:spacing w:before="124" w:line="223" w:lineRule="auto"/>
        <w:outlineLvl w:val="0"/>
        <w:rPr/>
      </w:pPr>
      <w:r>
        <w:rPr>
          <w:spacing w:val="7"/>
        </w:rPr>
        <w:t>充实现场抢险领导力量，设立技术专家组、施</w:t>
      </w:r>
    </w:p>
    <w:p>
      <w:pPr>
        <w:pStyle w:val="BodyText"/>
        <w:ind w:left="15" w:right="329" w:hanging="1"/>
        <w:spacing w:before="156" w:line="352" w:lineRule="auto"/>
        <w:rPr/>
      </w:pPr>
      <w:r>
        <w:rPr>
          <w:spacing w:val="7"/>
        </w:rPr>
        <w:t>工组、物资器材组、后勤保障组、转移安置组</w:t>
      </w:r>
      <w:r>
        <w:rPr>
          <w:spacing w:val="8"/>
        </w:rPr>
        <w:t>等，迅速实施堵口抢护。</w:t>
      </w:r>
    </w:p>
    <w:p>
      <w:pPr>
        <w:ind w:left="439"/>
        <w:spacing w:before="37" w:line="241" w:lineRule="auto"/>
        <w:rPr>
          <w:rFonts w:ascii="KaiTi" w:hAnsi="KaiTi" w:eastAsia="KaiTi" w:cs="KaiTi"/>
          <w:sz w:val="20"/>
          <w:szCs w:val="20"/>
        </w:rPr>
      </w:pPr>
      <w:r>
        <w:rPr>
          <w:rFonts w:ascii="Times New Roman" w:hAnsi="Times New Roman" w:eastAsia="Times New Roman" w:cs="Times New Roman"/>
          <w:sz w:val="20"/>
          <w:szCs w:val="20"/>
          <w:spacing w:val="6"/>
        </w:rPr>
        <w:t>5.4  </w:t>
      </w:r>
      <w:r>
        <w:rPr>
          <w:rFonts w:ascii="KaiTi" w:hAnsi="KaiTi" w:eastAsia="KaiTi" w:cs="KaiTi"/>
          <w:sz w:val="20"/>
          <w:szCs w:val="20"/>
          <w:spacing w:val="6"/>
        </w:rPr>
        <w:t>应急响应的组织工作。</w:t>
      </w:r>
    </w:p>
    <w:p>
      <w:pPr>
        <w:pStyle w:val="BodyText"/>
        <w:ind w:left="439"/>
        <w:spacing w:before="142" w:line="223" w:lineRule="auto"/>
        <w:outlineLvl w:val="0"/>
        <w:rPr/>
      </w:pPr>
      <w:r>
        <w:rPr>
          <w:rFonts w:ascii="Times New Roman" w:hAnsi="Times New Roman" w:eastAsia="Times New Roman" w:cs="Times New Roman"/>
          <w:spacing w:val="5"/>
        </w:rPr>
        <w:t>5.4.1 </w:t>
      </w:r>
      <w:r>
        <w:rPr>
          <w:spacing w:val="5"/>
        </w:rPr>
        <w:t>信息报送、处理。</w:t>
      </w:r>
    </w:p>
    <w:p>
      <w:pPr>
        <w:pStyle w:val="BodyText"/>
        <w:ind w:left="13" w:right="266" w:firstLine="411"/>
        <w:spacing w:before="157" w:line="297" w:lineRule="auto"/>
        <w:outlineLvl w:val="0"/>
        <w:rPr/>
      </w:pPr>
      <w:r>
        <w:rPr/>
        <w:t>（</w:t>
      </w:r>
      <w:r>
        <w:rPr>
          <w:spacing w:val="-34"/>
        </w:rPr>
        <w:t xml:space="preserve"> </w:t>
      </w:r>
      <w:r>
        <w:rPr>
          <w:rFonts w:ascii="Times New Roman" w:hAnsi="Times New Roman" w:eastAsia="Times New Roman" w:cs="Times New Roman"/>
        </w:rPr>
        <w:t>1</w:t>
      </w:r>
      <w:r>
        <w:rPr>
          <w:rFonts w:ascii="Times New Roman" w:hAnsi="Times New Roman" w:eastAsia="Times New Roman" w:cs="Times New Roman"/>
          <w:spacing w:val="-21"/>
        </w:rPr>
        <w:t xml:space="preserve"> </w:t>
      </w:r>
      <w:r>
        <w:rPr/>
        <w:t>）信息内容。防汛抗洪信息主要包括：</w:t>
      </w:r>
      <w:r>
        <w:rPr>
          <w:spacing w:val="7"/>
        </w:rPr>
        <w:t>雨水情、汛情、工情、险情、灾情，水工程调</w:t>
      </w:r>
    </w:p>
    <w:p>
      <w:pPr>
        <w:pStyle w:val="BodyText"/>
        <w:ind w:left="12" w:right="329"/>
        <w:spacing w:before="159" w:line="368" w:lineRule="auto"/>
        <w:jc w:val="both"/>
        <w:rPr/>
      </w:pPr>
      <w:r>
        <w:rPr>
          <w:spacing w:val="7"/>
        </w:rPr>
        <w:t>度运用情况，参加防汛抗洪人力调集情况，防</w:t>
      </w:r>
      <w:r>
        <w:rPr>
          <w:spacing w:val="7"/>
        </w:rPr>
        <w:t>汛抗洪物资及资金投入情况，因洪涝灾害转移</w:t>
      </w:r>
      <w:r>
        <w:rPr>
          <w:spacing w:val="8"/>
        </w:rPr>
        <w:t>人口及安置等情况。</w:t>
      </w:r>
    </w:p>
    <w:p>
      <w:pPr>
        <w:pStyle w:val="BodyText"/>
        <w:ind w:left="15" w:right="332" w:firstLine="409"/>
        <w:spacing w:before="1" w:line="298" w:lineRule="auto"/>
        <w:outlineLvl w:val="0"/>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）信息报送。防汛抗洪信息实行归口</w:t>
      </w:r>
      <w:r>
        <w:rPr>
          <w:spacing w:val="7"/>
        </w:rPr>
        <w:t>管理，逐级上报。</w:t>
      </w:r>
    </w:p>
    <w:p>
      <w:pPr>
        <w:pStyle w:val="BodyText"/>
        <w:ind w:left="448"/>
        <w:spacing w:before="156" w:line="223" w:lineRule="auto"/>
        <w:outlineLvl w:val="0"/>
        <w:rPr/>
      </w:pPr>
      <w:r>
        <w:rPr>
          <w:spacing w:val="18"/>
        </w:rPr>
        <w:t>防汛抗洪信息的报送和处理应快速、准</w:t>
      </w:r>
    </w:p>
    <w:p>
      <w:pPr>
        <w:spacing w:line="14" w:lineRule="auto"/>
        <w:rPr>
          <w:rFonts w:ascii="Arial"/>
          <w:sz w:val="2"/>
        </w:rPr>
      </w:pPr>
      <w:r>
        <w:rPr>
          <w:rFonts w:ascii="Arial" w:hAnsi="Arial" w:eastAsia="Arial" w:cs="Arial"/>
          <w:sz w:val="2"/>
          <w:szCs w:val="2"/>
        </w:rPr>
        <w:br w:type="column"/>
      </w:r>
    </w:p>
    <w:p>
      <w:pPr>
        <w:pStyle w:val="BodyText"/>
        <w:ind w:right="59" w:firstLine="2"/>
        <w:spacing w:before="40" w:line="368" w:lineRule="auto"/>
        <w:jc w:val="both"/>
        <w:rPr/>
      </w:pPr>
      <w:r>
        <w:rPr>
          <w:spacing w:val="7"/>
        </w:rPr>
        <w:t>确、详实，重要信息实行一事一报，因客观原</w:t>
      </w:r>
      <w:r>
        <w:rPr>
          <w:spacing w:val="7"/>
        </w:rPr>
        <w:t>因一时难以准确掌握的信息，应及时报告基木</w:t>
      </w:r>
      <w:r>
        <w:rPr>
          <w:spacing w:val="9"/>
        </w:rPr>
        <w:t>情况，同时抓紧了解核实，随后补报详情。</w:t>
      </w:r>
    </w:p>
    <w:p>
      <w:pPr>
        <w:pStyle w:val="BodyText"/>
        <w:ind w:left="2" w:right="59" w:firstLine="410"/>
        <w:spacing w:line="298" w:lineRule="auto"/>
        <w:outlineLvl w:val="0"/>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）信息处理。一般信息由应急管理指</w:t>
      </w:r>
      <w:r>
        <w:rPr>
          <w:spacing w:val="7"/>
        </w:rPr>
        <w:t>挥部办负责人审核签字后报出，重要和需要上</w:t>
      </w:r>
    </w:p>
    <w:p>
      <w:pPr>
        <w:pStyle w:val="BodyText"/>
        <w:ind w:right="59" w:firstLine="3"/>
        <w:spacing w:before="157" w:line="369" w:lineRule="auto"/>
        <w:jc w:val="both"/>
        <w:rPr/>
      </w:pPr>
      <w:r>
        <w:rPr>
          <w:spacing w:val="7"/>
        </w:rPr>
        <w:t>级帮助、指导处理的信息，须经应急管理指挥</w:t>
      </w:r>
      <w:r>
        <w:rPr>
          <w:spacing w:val="7"/>
        </w:rPr>
        <w:t>部负责人审签。本级防汛抗洪的一般信息，报</w:t>
      </w:r>
      <w:r>
        <w:rPr>
          <w:spacing w:val="7"/>
        </w:rPr>
        <w:t>送本级应急管理指挥部办有关负责人处理；重</w:t>
      </w:r>
      <w:r>
        <w:rPr>
          <w:spacing w:val="18"/>
        </w:rPr>
        <w:t>要信息经本级防汛抗洪指挥机构负责人签批</w:t>
      </w:r>
      <w:r>
        <w:rPr>
          <w:spacing w:val="7"/>
        </w:rPr>
        <w:t>后，按领导批示分头办理，应急管理指挥部办</w:t>
      </w:r>
      <w:r>
        <w:rPr>
          <w:spacing w:val="7"/>
        </w:rPr>
        <w:t>负责督办。</w:t>
      </w:r>
    </w:p>
    <w:p>
      <w:pPr>
        <w:pStyle w:val="BodyText"/>
        <w:ind w:left="3" w:right="59" w:firstLine="409"/>
        <w:spacing w:before="1" w:line="295" w:lineRule="auto"/>
        <w:outlineLvl w:val="0"/>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）信息核查。凡本级或上级防汛抗洪</w:t>
      </w:r>
      <w:r>
        <w:rPr>
          <w:spacing w:val="7"/>
        </w:rPr>
        <w:t>指挥机构准备采用和发布的洪涝灾害、工程抢</w:t>
      </w:r>
    </w:p>
    <w:p>
      <w:pPr>
        <w:pStyle w:val="BodyText"/>
        <w:ind w:left="1" w:right="59" w:firstLine="12"/>
        <w:spacing w:before="161" w:line="370" w:lineRule="auto"/>
        <w:rPr/>
      </w:pPr>
      <w:r>
        <w:rPr>
          <w:spacing w:val="6"/>
        </w:rPr>
        <w:t>险等信息，由当地防汛指挥机构根据上级部署</w:t>
      </w:r>
      <w:r>
        <w:rPr>
          <w:spacing w:val="7"/>
        </w:rPr>
        <w:t>立即调查核实。</w:t>
      </w:r>
    </w:p>
    <w:p>
      <w:pPr>
        <w:pStyle w:val="BodyText"/>
        <w:ind w:left="427"/>
        <w:spacing w:before="1" w:line="217" w:lineRule="auto"/>
        <w:outlineLvl w:val="0"/>
        <w:rPr/>
      </w:pPr>
      <w:r>
        <w:rPr>
          <w:rFonts w:ascii="Times New Roman" w:hAnsi="Times New Roman" w:eastAsia="Times New Roman" w:cs="Times New Roman"/>
          <w:spacing w:val="4"/>
        </w:rPr>
        <w:t>5.4.2 </w:t>
      </w:r>
      <w:r>
        <w:rPr>
          <w:spacing w:val="4"/>
        </w:rPr>
        <w:t>指挥和调度。</w:t>
      </w:r>
    </w:p>
    <w:p>
      <w:pPr>
        <w:pStyle w:val="BodyText"/>
        <w:ind w:left="2" w:right="59" w:firstLine="410"/>
        <w:spacing w:before="159" w:line="298" w:lineRule="auto"/>
        <w:outlineLvl w:val="0"/>
        <w:rPr/>
      </w:pPr>
      <w:r>
        <w:rPr>
          <w:spacing w:val="4"/>
        </w:rPr>
        <w:t>（</w:t>
      </w:r>
      <w:r>
        <w:rPr>
          <w:spacing w:val="-37"/>
        </w:rPr>
        <w:t xml:space="preserve"> </w:t>
      </w:r>
      <w:r>
        <w:rPr>
          <w:rFonts w:ascii="Times New Roman" w:hAnsi="Times New Roman" w:eastAsia="Times New Roman" w:cs="Times New Roman"/>
          <w:spacing w:val="4"/>
        </w:rPr>
        <w:t>1 </w:t>
      </w:r>
      <w:r>
        <w:rPr>
          <w:spacing w:val="4"/>
        </w:rPr>
        <w:t>）出现洪涝灾害后</w:t>
      </w:r>
      <w:r>
        <w:rPr>
          <w:spacing w:val="-59"/>
        </w:rPr>
        <w:t xml:space="preserve"> </w:t>
      </w:r>
      <w:r>
        <w:rPr>
          <w:spacing w:val="4"/>
        </w:rPr>
        <w:t>，事发地的防汛指</w:t>
      </w:r>
      <w:r>
        <w:rPr>
          <w:spacing w:val="7"/>
        </w:rPr>
        <w:t>挥机构应立即启动应急预案，并根据需要成立</w:t>
      </w:r>
    </w:p>
    <w:p>
      <w:pPr>
        <w:pStyle w:val="BodyText"/>
        <w:ind w:right="59" w:firstLine="3"/>
        <w:spacing w:before="160" w:line="368" w:lineRule="auto"/>
        <w:jc w:val="both"/>
        <w:rPr/>
      </w:pPr>
      <w:r>
        <w:rPr>
          <w:spacing w:val="7"/>
        </w:rPr>
        <w:t>现场指挥部。在采取紧急措施的同时，向上一</w:t>
      </w:r>
      <w:r>
        <w:rPr>
          <w:spacing w:val="7"/>
        </w:rPr>
        <w:t>级防汛指挥机构报告。根据现场情况，及时收</w:t>
      </w:r>
      <w:r>
        <w:rPr>
          <w:spacing w:val="7"/>
        </w:rPr>
        <w:t>集、掌握相关信息，判明事件的性质和危害程</w:t>
      </w:r>
      <w:r>
        <w:rPr>
          <w:spacing w:val="9"/>
        </w:rPr>
        <w:t>度，并及时上报事态的发展变化情况。</w:t>
      </w:r>
    </w:p>
    <w:p>
      <w:pPr>
        <w:pStyle w:val="BodyText"/>
        <w:ind w:left="3" w:right="59" w:firstLine="409"/>
        <w:spacing w:line="298" w:lineRule="auto"/>
        <w:outlineLvl w:val="0"/>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）事发地的防汛指挥机构负责人应迅</w:t>
      </w:r>
      <w:r>
        <w:rPr>
          <w:spacing w:val="7"/>
        </w:rPr>
        <w:t>速上岗到位，分析事件的性质，预测事态发展</w:t>
      </w:r>
    </w:p>
    <w:p>
      <w:pPr>
        <w:pStyle w:val="BodyText"/>
        <w:ind w:left="1" w:right="59" w:hanging="1"/>
        <w:spacing w:before="161" w:line="367" w:lineRule="auto"/>
        <w:jc w:val="both"/>
        <w:rPr/>
      </w:pPr>
      <w:r>
        <w:rPr>
          <w:spacing w:val="7"/>
        </w:rPr>
        <w:t>趋势和可能造成的危害程度，并按规定的处置</w:t>
      </w:r>
      <w:r>
        <w:rPr>
          <w:spacing w:val="15"/>
        </w:rPr>
        <w:t>程序</w:t>
      </w:r>
      <w:r>
        <w:rPr>
          <w:spacing w:val="-42"/>
        </w:rPr>
        <w:t xml:space="preserve"> </w:t>
      </w:r>
      <w:r>
        <w:rPr>
          <w:spacing w:val="15"/>
        </w:rPr>
        <w:t>，组织指挥有关单位或部门按照职责分</w:t>
      </w:r>
      <w:r>
        <w:rPr>
          <w:spacing w:val="9"/>
        </w:rPr>
        <w:t>工，迅速采取处置措施，控制事态发展。</w:t>
      </w:r>
    </w:p>
    <w:p>
      <w:pPr>
        <w:pStyle w:val="BodyText"/>
        <w:ind w:right="59" w:firstLine="413"/>
        <w:spacing w:before="1" w:line="321" w:lineRule="auto"/>
        <w:outlineLvl w:val="0"/>
        <w:rPr/>
      </w:pPr>
      <w:r>
        <w:rPr>
          <w:spacing w:val="8"/>
        </w:rPr>
        <w:t>（</w:t>
      </w:r>
      <w:r>
        <w:rPr>
          <w:rFonts w:ascii="Times New Roman" w:hAnsi="Times New Roman" w:eastAsia="Times New Roman" w:cs="Times New Roman"/>
          <w:spacing w:val="8"/>
        </w:rPr>
        <w:t>3</w:t>
      </w:r>
      <w:r>
        <w:rPr>
          <w:rFonts w:ascii="Times New Roman" w:hAnsi="Times New Roman" w:eastAsia="Times New Roman" w:cs="Times New Roman"/>
          <w:spacing w:val="-5"/>
        </w:rPr>
        <w:t xml:space="preserve"> </w:t>
      </w:r>
      <w:r>
        <w:rPr>
          <w:spacing w:val="8"/>
        </w:rPr>
        <w:t>）发生重大洪涝灾害后</w:t>
      </w:r>
      <w:r>
        <w:rPr>
          <w:spacing w:val="-59"/>
        </w:rPr>
        <w:t xml:space="preserve"> </w:t>
      </w:r>
      <w:r>
        <w:rPr>
          <w:spacing w:val="8"/>
        </w:rPr>
        <w:t>，上一级防汛</w:t>
      </w:r>
      <w:r>
        <w:rPr>
          <w:spacing w:val="7"/>
        </w:rPr>
        <w:t>指挥机构应派出工作组赶赴现场指导工作，必</w:t>
      </w:r>
      <w:r>
        <w:rPr>
          <w:spacing w:val="8"/>
        </w:rPr>
        <w:t>要时成立前线指挥部。</w:t>
      </w:r>
    </w:p>
    <w:p>
      <w:pPr>
        <w:pStyle w:val="BodyText"/>
        <w:ind w:left="413"/>
        <w:spacing w:before="156" w:line="277" w:lineRule="exact"/>
        <w:rPr/>
      </w:pPr>
      <w:r>
        <w:rPr>
          <w:spacing w:val="12"/>
          <w:position w:val="1"/>
        </w:rPr>
        <w:t>（</w:t>
      </w:r>
      <w:r>
        <w:rPr>
          <w:rFonts w:ascii="Times New Roman" w:hAnsi="Times New Roman" w:eastAsia="Times New Roman" w:cs="Times New Roman"/>
          <w:spacing w:val="12"/>
          <w:position w:val="1"/>
        </w:rPr>
        <w:t>4</w:t>
      </w:r>
      <w:r>
        <w:rPr>
          <w:spacing w:val="12"/>
          <w:position w:val="1"/>
        </w:rPr>
        <w:t>）根据受灾程度和影响范围，市委、</w:t>
      </w:r>
    </w:p>
    <w:p>
      <w:pPr>
        <w:pStyle w:val="BodyText"/>
        <w:ind w:left="11"/>
        <w:spacing w:before="127" w:line="222" w:lineRule="auto"/>
        <w:outlineLvl w:val="0"/>
        <w:rPr/>
      </w:pPr>
      <w:r>
        <w:rPr>
          <w:spacing w:val="2"/>
        </w:rPr>
        <w:t>市政府适时派工作组（包括专家组）赴灾区慰</w:t>
      </w:r>
    </w:p>
    <w:p>
      <w:pPr>
        <w:pStyle w:val="BodyText"/>
        <w:ind w:left="17"/>
        <w:spacing w:before="161" w:line="209" w:lineRule="auto"/>
        <w:rPr/>
      </w:pPr>
      <w:r>
        <w:drawing>
          <wp:anchor distT="0" distB="0" distL="0" distR="0" simplePos="0" relativeHeight="254769152" behindDoc="1" locked="0" layoutInCell="1" allowOverlap="1">
            <wp:simplePos x="0" y="0"/>
            <wp:positionH relativeFrom="column">
              <wp:posOffset>-2908368</wp:posOffset>
            </wp:positionH>
            <wp:positionV relativeFrom="paragraph">
              <wp:posOffset>182642</wp:posOffset>
            </wp:positionV>
            <wp:extent cx="5579745" cy="7619"/>
            <wp:effectExtent l="0" t="0" r="0" b="0"/>
            <wp:wrapNone/>
            <wp:docPr id="2448" name="IM 2448"/>
            <wp:cNvGraphicFramePr/>
            <a:graphic>
              <a:graphicData uri="http://schemas.openxmlformats.org/drawingml/2006/picture">
                <pic:pic>
                  <pic:nvPicPr>
                    <pic:cNvPr id="2448" name="IM 2448"/>
                    <pic:cNvPicPr/>
                  </pic:nvPicPr>
                  <pic:blipFill>
                    <a:blip r:embed="rId1229"/>
                    <a:stretch>
                      <a:fillRect/>
                    </a:stretch>
                  </pic:blipFill>
                  <pic:spPr>
                    <a:xfrm rot="0">
                      <a:off x="0" y="0"/>
                      <a:ext cx="5579745" cy="7619"/>
                    </a:xfrm>
                    <a:prstGeom prst="rect">
                      <a:avLst/>
                    </a:prstGeom>
                  </pic:spPr>
                </pic:pic>
              </a:graphicData>
            </a:graphic>
          </wp:anchor>
        </w:drawing>
      </w:r>
      <w:r>
        <w:rPr>
          <w:spacing w:val="-6"/>
        </w:rPr>
        <w:t>问、</w:t>
      </w:r>
    </w:p>
    <w:p>
      <w:pPr>
        <w:spacing w:line="209" w:lineRule="auto"/>
        <w:sectPr>
          <w:type w:val="continuous"/>
          <w:pgSz w:w="11906" w:h="16839"/>
          <w:pgMar w:top="1974" w:right="1530" w:bottom="400" w:left="1579" w:header="1634" w:footer="0" w:gutter="0"/>
          <w:cols w:equalWidth="0" w:num="2">
            <w:col w:w="4489" w:space="100"/>
            <w:col w:w="4207" w:space="0"/>
          </w:cols>
        </w:sectPr>
        <w:rPr/>
      </w:pPr>
    </w:p>
    <w:p>
      <w:pPr>
        <w:ind w:left="6199"/>
        <w:spacing w:line="167" w:lineRule="auto"/>
        <w:rPr>
          <w:rFonts w:ascii="Microsoft YaHei" w:hAnsi="Microsoft YaHei" w:eastAsia="Microsoft YaHei" w:cs="Microsoft YaHei"/>
          <w:sz w:val="20"/>
          <w:szCs w:val="20"/>
        </w:rPr>
      </w:pPr>
      <w:r>
        <w:drawing>
          <wp:anchor distT="0" distB="0" distL="0" distR="0" simplePos="0" relativeHeight="254770176" behindDoc="0" locked="0" layoutInCell="1" allowOverlap="1">
            <wp:simplePos x="0" y="0"/>
            <wp:positionH relativeFrom="column">
              <wp:posOffset>5393</wp:posOffset>
            </wp:positionH>
            <wp:positionV relativeFrom="paragraph">
              <wp:posOffset>-8476549</wp:posOffset>
            </wp:positionV>
            <wp:extent cx="5579745" cy="7619"/>
            <wp:effectExtent l="0" t="0" r="0" b="0"/>
            <wp:wrapNone/>
            <wp:docPr id="2450" name="IM 2450"/>
            <wp:cNvGraphicFramePr/>
            <a:graphic>
              <a:graphicData uri="http://schemas.openxmlformats.org/drawingml/2006/picture">
                <pic:pic>
                  <pic:nvPicPr>
                    <pic:cNvPr id="2450" name="IM 2450"/>
                    <pic:cNvPicPr/>
                  </pic:nvPicPr>
                  <pic:blipFill>
                    <a:blip r:embed="rId1230"/>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期/497</w:t>
      </w:r>
    </w:p>
    <w:p>
      <w:pPr>
        <w:spacing w:line="167" w:lineRule="auto"/>
        <w:sectPr>
          <w:type w:val="continuous"/>
          <w:pgSz w:w="11906" w:h="16839"/>
          <w:pgMar w:top="1974" w:right="1530" w:bottom="400" w:left="1579" w:header="1634" w:footer="0" w:gutter="0"/>
          <w:cols w:equalWidth="0" w:num="1">
            <w:col w:w="8796" w:space="0"/>
          </w:cols>
        </w:sectPr>
        <w:rPr>
          <w:rFonts w:ascii="Microsoft YaHei" w:hAnsi="Microsoft YaHei" w:eastAsia="Microsoft YaHei" w:cs="Microsoft YaHei"/>
          <w:sz w:val="20"/>
          <w:szCs w:val="20"/>
        </w:rPr>
      </w:pPr>
    </w:p>
    <w:p>
      <w:pPr>
        <w:spacing w:before="66"/>
        <w:rPr/>
      </w:pPr>
      <w:r>
        <w:drawing>
          <wp:anchor distT="0" distB="0" distL="0" distR="0" simplePos="0" relativeHeight="254785536"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454" name="IM 2454"/>
            <wp:cNvGraphicFramePr/>
            <a:graphic>
              <a:graphicData uri="http://schemas.openxmlformats.org/drawingml/2006/picture">
                <pic:pic>
                  <pic:nvPicPr>
                    <pic:cNvPr id="2454" name="IM 2454"/>
                    <pic:cNvPicPr/>
                  </pic:nvPicPr>
                  <pic:blipFill>
                    <a:blip r:embed="rId1232"/>
                    <a:stretch>
                      <a:fillRect/>
                    </a:stretch>
                  </pic:blipFill>
                  <pic:spPr>
                    <a:xfrm rot="0">
                      <a:off x="0" y="0"/>
                      <a:ext cx="5579745" cy="7620"/>
                    </a:xfrm>
                    <a:prstGeom prst="rect">
                      <a:avLst/>
                    </a:prstGeom>
                  </pic:spPr>
                </pic:pic>
              </a:graphicData>
            </a:graphic>
          </wp:anchor>
        </w:drawing>
      </w:r>
      <w:r/>
    </w:p>
    <w:p>
      <w:pPr>
        <w:sectPr>
          <w:headerReference w:type="default" r:id="rId1048"/>
          <w:footerReference w:type="default" r:id="rId1231"/>
          <w:pgSz w:w="11906" w:h="16839"/>
          <w:pgMar w:top="1772" w:right="1489" w:bottom="1572" w:left="1571" w:header="1428" w:footer="1172" w:gutter="0"/>
          <w:cols w:equalWidth="0" w:num="1">
            <w:col w:w="8846" w:space="0"/>
          </w:cols>
        </w:sectPr>
        <w:rPr/>
      </w:pPr>
    </w:p>
    <w:p>
      <w:pPr>
        <w:pStyle w:val="BodyText"/>
        <w:ind w:left="20" w:right="329" w:firstLine="3"/>
        <w:spacing w:before="48" w:line="369" w:lineRule="auto"/>
        <w:jc w:val="both"/>
        <w:rPr/>
      </w:pPr>
      <w:r>
        <w:rPr>
          <w:spacing w:val="7"/>
        </w:rPr>
        <w:t>指导工作；或委托市应急管理指挥部及其他有</w:t>
      </w:r>
      <w:r>
        <w:rPr>
          <w:spacing w:val="7"/>
        </w:rPr>
        <w:t>关部门向灾区派工作组协助指导工作，并表示</w:t>
      </w:r>
      <w:r>
        <w:rPr>
          <w:spacing w:val="5"/>
        </w:rPr>
        <w:t>慰问。</w:t>
      </w:r>
    </w:p>
    <w:p>
      <w:pPr>
        <w:pStyle w:val="BodyText"/>
        <w:ind w:left="447"/>
        <w:spacing w:before="2" w:line="218" w:lineRule="auto"/>
        <w:outlineLvl w:val="0"/>
        <w:rPr/>
      </w:pPr>
      <w:r>
        <w:rPr>
          <w:rFonts w:ascii="Times New Roman" w:hAnsi="Times New Roman" w:eastAsia="Times New Roman" w:cs="Times New Roman"/>
          <w:spacing w:val="5"/>
        </w:rPr>
        <w:t>5.4.3 </w:t>
      </w:r>
      <w:r>
        <w:rPr>
          <w:spacing w:val="5"/>
        </w:rPr>
        <w:t>群众转移和安全。</w:t>
      </w:r>
    </w:p>
    <w:p>
      <w:pPr>
        <w:pStyle w:val="BodyText"/>
        <w:ind w:left="21" w:right="248" w:firstLine="411"/>
        <w:spacing w:before="158" w:line="296" w:lineRule="auto"/>
        <w:outlineLvl w:val="0"/>
        <w:rPr/>
      </w:pPr>
      <w:r>
        <w:rPr>
          <w:spacing w:val="1"/>
        </w:rPr>
        <w:t>（</w:t>
      </w:r>
      <w:r>
        <w:rPr>
          <w:spacing w:val="-35"/>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1"/>
        </w:rPr>
        <w:t xml:space="preserve"> </w:t>
      </w:r>
      <w:r>
        <w:rPr>
          <w:spacing w:val="1"/>
        </w:rPr>
        <w:t>）人员转移的原则：人员转移以集体、</w:t>
      </w:r>
      <w:r>
        <w:rPr>
          <w:spacing w:val="7"/>
        </w:rPr>
        <w:t>有组织转移为主。遵循先人员后财产、先老弱</w:t>
      </w:r>
    </w:p>
    <w:p>
      <w:pPr>
        <w:pStyle w:val="BodyText"/>
        <w:ind w:left="21" w:right="309"/>
        <w:spacing w:before="165" w:line="369" w:lineRule="auto"/>
        <w:jc w:val="both"/>
        <w:rPr/>
      </w:pPr>
      <w:r>
        <w:rPr>
          <w:spacing w:val="7"/>
        </w:rPr>
        <w:t>病残人员后一般人员、先转移危险区人员后转</w:t>
      </w:r>
      <w:r>
        <w:rPr>
          <w:spacing w:val="7"/>
        </w:rPr>
        <w:t>移警戒区人员、信号发布责任人和转移组织者</w:t>
      </w:r>
      <w:r>
        <w:rPr>
          <w:spacing w:val="7"/>
        </w:rPr>
        <w:t>最后撤离的原则。信号发送和转移责任人有权</w:t>
      </w:r>
      <w:r>
        <w:rPr>
          <w:spacing w:val="8"/>
        </w:rPr>
        <w:t>对不服从转移命令的人员采取强制转移措施。</w:t>
      </w:r>
    </w:p>
    <w:p>
      <w:pPr>
        <w:pStyle w:val="BodyText"/>
        <w:ind w:left="22"/>
        <w:spacing w:line="219" w:lineRule="auto"/>
        <w:rPr/>
      </w:pPr>
      <w:r>
        <w:rPr>
          <w:spacing w:val="9"/>
        </w:rPr>
        <w:t>转移安置好的人员应在危险解除后方可返回。</w:t>
      </w:r>
    </w:p>
    <w:p>
      <w:pPr>
        <w:pStyle w:val="BodyText"/>
        <w:ind w:left="433"/>
        <w:spacing w:before="156" w:line="277" w:lineRule="exact"/>
        <w:rPr/>
      </w:pPr>
      <w:r>
        <w:rPr>
          <w:spacing w:val="5"/>
          <w:position w:val="1"/>
        </w:rPr>
        <w:t>（</w:t>
      </w:r>
      <w:r>
        <w:rPr>
          <w:rFonts w:ascii="Times New Roman" w:hAnsi="Times New Roman" w:eastAsia="Times New Roman" w:cs="Times New Roman"/>
          <w:spacing w:val="5"/>
          <w:position w:val="1"/>
        </w:rPr>
        <w:t>2</w:t>
      </w:r>
      <w:r>
        <w:rPr>
          <w:rFonts w:ascii="Times New Roman" w:hAnsi="Times New Roman" w:eastAsia="Times New Roman" w:cs="Times New Roman"/>
          <w:spacing w:val="-18"/>
          <w:position w:val="1"/>
        </w:rPr>
        <w:t xml:space="preserve"> </w:t>
      </w:r>
      <w:r>
        <w:rPr>
          <w:spacing w:val="5"/>
          <w:position w:val="1"/>
        </w:rPr>
        <w:t>）转移地点、路线的确定：转移地点、</w:t>
      </w:r>
    </w:p>
    <w:p>
      <w:pPr>
        <w:pStyle w:val="BodyText"/>
        <w:ind w:left="22"/>
        <w:spacing w:before="123" w:line="278" w:lineRule="exact"/>
        <w:outlineLvl w:val="0"/>
        <w:rPr/>
      </w:pPr>
      <w:r>
        <w:rPr>
          <w:spacing w:val="-7"/>
          <w:position w:val="1"/>
        </w:rPr>
        <w:t>路线的确定遵循就近、安全的原则。各乡（镇）、</w:t>
      </w:r>
    </w:p>
    <w:p>
      <w:pPr>
        <w:pStyle w:val="BodyText"/>
        <w:ind w:left="21" w:right="329"/>
        <w:spacing w:before="123" w:line="368" w:lineRule="auto"/>
        <w:jc w:val="both"/>
        <w:rPr/>
      </w:pPr>
      <w:r>
        <w:rPr>
          <w:spacing w:val="7"/>
        </w:rPr>
        <w:t>街道（办事处）、村（居委会）汛前拟定好转</w:t>
      </w:r>
      <w:r>
        <w:rPr>
          <w:spacing w:val="7"/>
        </w:rPr>
        <w:t>移路线、安置地点，汛期必须经常检查转移路</w:t>
      </w:r>
      <w:r>
        <w:rPr>
          <w:spacing w:val="7"/>
        </w:rPr>
        <w:t>线、安置地点是否出现异常，如有异常应及时</w:t>
      </w:r>
      <w:r>
        <w:rPr>
          <w:spacing w:val="8"/>
        </w:rPr>
        <w:t>修补或改变线路。</w:t>
      </w:r>
    </w:p>
    <w:p>
      <w:pPr>
        <w:pStyle w:val="BodyText"/>
        <w:ind w:left="22" w:right="329" w:firstLine="410"/>
        <w:spacing w:before="14" w:line="301" w:lineRule="auto"/>
        <w:outlineLvl w:val="0"/>
        <w:rPr/>
      </w:pPr>
      <w:r>
        <w:rPr>
          <w:spacing w:val="8"/>
        </w:rPr>
        <w:t>（</w:t>
      </w:r>
      <w:r>
        <w:rPr>
          <w:rFonts w:ascii="Times New Roman" w:hAnsi="Times New Roman" w:eastAsia="Times New Roman" w:cs="Times New Roman"/>
          <w:spacing w:val="8"/>
        </w:rPr>
        <w:t>3</w:t>
      </w:r>
      <w:r>
        <w:rPr>
          <w:rFonts w:ascii="Times New Roman" w:hAnsi="Times New Roman" w:eastAsia="Times New Roman" w:cs="Times New Roman"/>
          <w:spacing w:val="-5"/>
        </w:rPr>
        <w:t xml:space="preserve"> </w:t>
      </w:r>
      <w:r>
        <w:rPr>
          <w:spacing w:val="8"/>
        </w:rPr>
        <w:t>）安置方式：按通常的做法</w:t>
      </w:r>
      <w:r>
        <w:rPr>
          <w:spacing w:val="-59"/>
        </w:rPr>
        <w:t xml:space="preserve"> </w:t>
      </w:r>
      <w:r>
        <w:rPr>
          <w:spacing w:val="8"/>
        </w:rPr>
        <w:t>，应根据</w:t>
      </w:r>
      <w:r>
        <w:rPr>
          <w:spacing w:val="18"/>
        </w:rPr>
        <w:t>不同受灾点急需安置的人数分别采取不同的</w:t>
      </w:r>
    </w:p>
    <w:p>
      <w:pPr>
        <w:pStyle w:val="BodyText"/>
        <w:ind w:left="19" w:right="248" w:firstLine="2"/>
        <w:spacing w:before="166" w:line="378" w:lineRule="auto"/>
        <w:jc w:val="both"/>
        <w:rPr/>
      </w:pPr>
      <w:r>
        <w:rPr>
          <w:spacing w:val="7"/>
        </w:rPr>
        <w:t>方式进行安置：人数少时，可采取投亲靠友或</w:t>
      </w:r>
      <w:r>
        <w:rPr>
          <w:spacing w:val="7"/>
        </w:rPr>
        <w:t>对户挂靠的方式分散安置，使灾民迅速安定下</w:t>
      </w:r>
      <w:r>
        <w:rPr>
          <w:spacing w:val="1"/>
        </w:rPr>
        <w:t>来；人数较多的地方，有条件的可以利用村部、</w:t>
      </w:r>
      <w:r>
        <w:rPr>
          <w:spacing w:val="15"/>
        </w:rPr>
        <w:t>学校等公用房屋</w:t>
      </w:r>
      <w:r>
        <w:rPr>
          <w:spacing w:val="-39"/>
        </w:rPr>
        <w:t xml:space="preserve"> </w:t>
      </w:r>
      <w:r>
        <w:rPr>
          <w:spacing w:val="15"/>
        </w:rPr>
        <w:t>，没有条件的则搭建临时帐</w:t>
      </w:r>
      <w:r>
        <w:rPr>
          <w:spacing w:val="9"/>
        </w:rPr>
        <w:t>篷，以本村为主进行集中安置、统一管理。</w:t>
      </w:r>
    </w:p>
    <w:p>
      <w:pPr>
        <w:pStyle w:val="BodyText"/>
        <w:ind w:left="21" w:right="248" w:firstLine="411"/>
        <w:spacing w:before="3" w:line="327" w:lineRule="auto"/>
        <w:outlineLvl w:val="0"/>
        <w:rPr/>
      </w:pPr>
      <w:r>
        <w:rPr>
          <w:spacing w:val="4"/>
        </w:rPr>
        <w:t>（</w:t>
      </w:r>
      <w:r>
        <w:rPr>
          <w:rFonts w:ascii="Times New Roman" w:hAnsi="Times New Roman" w:eastAsia="Times New Roman" w:cs="Times New Roman"/>
          <w:spacing w:val="4"/>
        </w:rPr>
        <w:t>4</w:t>
      </w:r>
      <w:r>
        <w:rPr>
          <w:rFonts w:ascii="Times New Roman" w:hAnsi="Times New Roman" w:eastAsia="Times New Roman" w:cs="Times New Roman"/>
          <w:spacing w:val="-13"/>
        </w:rPr>
        <w:t xml:space="preserve"> </w:t>
      </w:r>
      <w:r>
        <w:rPr>
          <w:spacing w:val="4"/>
        </w:rPr>
        <w:t>）人员转移安置后，各级政府的民政、</w:t>
      </w:r>
      <w:r>
        <w:rPr>
          <w:spacing w:val="10"/>
        </w:rPr>
        <w:t>医疗部门要着手解决吃住穿医等问题；对伤、</w:t>
      </w:r>
      <w:r>
        <w:rPr>
          <w:spacing w:val="8"/>
        </w:rPr>
        <w:t>病员要及时就近转送医院救治。</w:t>
      </w:r>
    </w:p>
    <w:p>
      <w:pPr>
        <w:pStyle w:val="BodyText"/>
        <w:ind w:left="447"/>
        <w:spacing w:before="172" w:line="219" w:lineRule="auto"/>
        <w:outlineLvl w:val="0"/>
        <w:rPr/>
      </w:pPr>
      <w:r>
        <w:rPr>
          <w:rFonts w:ascii="Times New Roman" w:hAnsi="Times New Roman" w:eastAsia="Times New Roman" w:cs="Times New Roman"/>
          <w:spacing w:val="4"/>
        </w:rPr>
        <w:t>5.4.4 </w:t>
      </w:r>
      <w:r>
        <w:rPr>
          <w:spacing w:val="4"/>
        </w:rPr>
        <w:t>抢险与救灾。</w:t>
      </w:r>
    </w:p>
    <w:p>
      <w:pPr>
        <w:pStyle w:val="BodyText"/>
        <w:ind w:left="34" w:right="329" w:firstLine="399"/>
        <w:spacing w:before="169" w:line="302" w:lineRule="auto"/>
        <w:outlineLvl w:val="0"/>
        <w:rPr/>
      </w:pPr>
      <w:r>
        <w:rPr>
          <w:spacing w:val="6"/>
        </w:rPr>
        <w:t>（</w:t>
      </w:r>
      <w:r>
        <w:rPr>
          <w:spacing w:val="-31"/>
        </w:rPr>
        <w:t xml:space="preserve"> </w:t>
      </w:r>
      <w:r>
        <w:rPr>
          <w:rFonts w:ascii="Times New Roman" w:hAnsi="Times New Roman" w:eastAsia="Times New Roman" w:cs="Times New Roman"/>
          <w:spacing w:val="6"/>
        </w:rPr>
        <w:t>1 </w:t>
      </w:r>
      <w:r>
        <w:rPr>
          <w:spacing w:val="6"/>
        </w:rPr>
        <w:t>）出现洪涝灾害或防洪工程发生重大</w:t>
      </w:r>
      <w:r>
        <w:rPr>
          <w:spacing w:val="6"/>
        </w:rPr>
        <w:t>险情后，事发地的防汛指挥机构应根据事件的</w:t>
      </w:r>
    </w:p>
    <w:p>
      <w:pPr>
        <w:pStyle w:val="BodyText"/>
        <w:ind w:left="22" w:right="329" w:hanging="1"/>
        <w:spacing w:before="167" w:line="360" w:lineRule="auto"/>
        <w:rPr/>
      </w:pPr>
      <w:r>
        <w:rPr>
          <w:spacing w:val="7"/>
        </w:rPr>
        <w:t>性质，迅速对事件进行监控、追踪，并立即与</w:t>
      </w:r>
      <w:r>
        <w:rPr>
          <w:spacing w:val="7"/>
        </w:rPr>
        <w:t>相关部门联系。</w:t>
      </w:r>
    </w:p>
    <w:p>
      <w:pPr>
        <w:spacing w:line="14" w:lineRule="auto"/>
        <w:rPr>
          <w:rFonts w:ascii="Arial"/>
          <w:sz w:val="2"/>
        </w:rPr>
      </w:pPr>
      <w:r>
        <w:rPr>
          <w:rFonts w:ascii="Arial" w:hAnsi="Arial" w:eastAsia="Arial" w:cs="Arial"/>
          <w:sz w:val="2"/>
          <w:szCs w:val="2"/>
        </w:rPr>
        <w:br w:type="column"/>
      </w:r>
    </w:p>
    <w:p>
      <w:pPr>
        <w:pStyle w:val="BodyText"/>
        <w:ind w:left="413"/>
        <w:spacing w:before="50" w:line="276" w:lineRule="exact"/>
        <w:rPr/>
      </w:pPr>
      <w:r>
        <w:rPr>
          <w:spacing w:val="11"/>
          <w:position w:val="1"/>
        </w:rPr>
        <w:t>（</w:t>
      </w:r>
      <w:r>
        <w:rPr>
          <w:rFonts w:ascii="Times New Roman" w:hAnsi="Times New Roman" w:eastAsia="Times New Roman" w:cs="Times New Roman"/>
          <w:spacing w:val="11"/>
          <w:position w:val="1"/>
        </w:rPr>
        <w:t>2</w:t>
      </w:r>
      <w:r>
        <w:rPr>
          <w:rFonts w:ascii="Times New Roman" w:hAnsi="Times New Roman" w:eastAsia="Times New Roman" w:cs="Times New Roman"/>
          <w:spacing w:val="-18"/>
          <w:position w:val="1"/>
        </w:rPr>
        <w:t xml:space="preserve"> </w:t>
      </w:r>
      <w:r>
        <w:rPr>
          <w:spacing w:val="11"/>
          <w:position w:val="1"/>
        </w:rPr>
        <w:t>）事发地的防汛指挥机构应根据事件</w:t>
      </w:r>
    </w:p>
    <w:p>
      <w:pPr>
        <w:pStyle w:val="BodyText"/>
        <w:spacing w:before="135" w:line="224" w:lineRule="auto"/>
        <w:outlineLvl w:val="0"/>
        <w:rPr/>
      </w:pPr>
      <w:r>
        <w:rPr>
          <w:spacing w:val="9"/>
        </w:rPr>
        <w:t>具体情况，按照预案立即提出紧急处置措施，</w:t>
      </w:r>
    </w:p>
    <w:p>
      <w:pPr>
        <w:pStyle w:val="BodyText"/>
        <w:spacing w:before="169" w:line="220" w:lineRule="auto"/>
        <w:rPr/>
      </w:pPr>
      <w:r>
        <w:rPr>
          <w:spacing w:val="9"/>
        </w:rPr>
        <w:t>供当地政府或上一级相关部门指挥决策。</w:t>
      </w:r>
    </w:p>
    <w:p>
      <w:pPr>
        <w:pStyle w:val="BodyText"/>
        <w:ind w:left="1" w:right="101" w:firstLine="411"/>
        <w:spacing w:before="169" w:line="303" w:lineRule="auto"/>
        <w:outlineLvl w:val="0"/>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）事发地防汛指挥机构应迅速调集本</w:t>
      </w:r>
      <w:r>
        <w:rPr>
          <w:spacing w:val="7"/>
        </w:rPr>
        <w:t>部门的资源和力量，提供技术支持；组织当地</w:t>
      </w:r>
    </w:p>
    <w:p>
      <w:pPr>
        <w:pStyle w:val="BodyText"/>
        <w:ind w:right="101"/>
        <w:spacing w:before="165" w:line="378" w:lineRule="auto"/>
        <w:jc w:val="both"/>
        <w:rPr/>
      </w:pPr>
      <w:r>
        <w:rPr>
          <w:spacing w:val="7"/>
        </w:rPr>
        <w:t>有关部门和人员，迅速开展现场处置或救援工</w:t>
      </w:r>
      <w:r>
        <w:rPr>
          <w:spacing w:val="7"/>
        </w:rPr>
        <w:t>作。干流堤防决口的堵复应按照事先制定的抢</w:t>
      </w:r>
      <w:r>
        <w:rPr>
          <w:spacing w:val="7"/>
        </w:rPr>
        <w:t>险预案进行，并由防汛机动抢险队或抗洪抢险</w:t>
      </w:r>
      <w:r>
        <w:rPr>
          <w:spacing w:val="8"/>
        </w:rPr>
        <w:t>专业部队等实施。</w:t>
      </w:r>
    </w:p>
    <w:p>
      <w:pPr>
        <w:pStyle w:val="BodyText"/>
        <w:ind w:right="94" w:firstLine="412"/>
        <w:spacing w:line="302" w:lineRule="auto"/>
        <w:outlineLvl w:val="0"/>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8"/>
        </w:rPr>
        <w:t xml:space="preserve"> </w:t>
      </w:r>
      <w:r>
        <w:rPr>
          <w:spacing w:val="11"/>
        </w:rPr>
        <w:t>）处置洪涝灾害和工程重大险情时，</w:t>
      </w:r>
      <w:r>
        <w:rPr>
          <w:spacing w:val="7"/>
        </w:rPr>
        <w:t>应按照职能分工，由防汛指挥机构统一指挥，</w:t>
      </w:r>
    </w:p>
    <w:p>
      <w:pPr>
        <w:pStyle w:val="BodyText"/>
        <w:ind w:left="1" w:right="101"/>
        <w:spacing w:before="168" w:line="379" w:lineRule="auto"/>
        <w:rPr/>
      </w:pPr>
      <w:r>
        <w:rPr>
          <w:spacing w:val="7"/>
        </w:rPr>
        <w:t>各单位或各部门应各司其职，团结协作，快速</w:t>
      </w:r>
      <w:r>
        <w:rPr>
          <w:spacing w:val="9"/>
        </w:rPr>
        <w:t>反应，高效处置，最大程度地减少损失。</w:t>
      </w:r>
    </w:p>
    <w:p>
      <w:pPr>
        <w:pStyle w:val="BodyText"/>
        <w:ind w:left="427"/>
        <w:spacing w:before="1" w:line="218" w:lineRule="auto"/>
        <w:outlineLvl w:val="0"/>
        <w:rPr/>
      </w:pPr>
      <w:r>
        <w:rPr>
          <w:rFonts w:ascii="Times New Roman" w:hAnsi="Times New Roman" w:eastAsia="Times New Roman" w:cs="Times New Roman"/>
          <w:spacing w:val="6"/>
        </w:rPr>
        <w:t>5.4.5 </w:t>
      </w:r>
      <w:r>
        <w:rPr>
          <w:spacing w:val="6"/>
        </w:rPr>
        <w:t>安全防护和医疗救护。</w:t>
      </w:r>
    </w:p>
    <w:p>
      <w:pPr>
        <w:pStyle w:val="BodyText"/>
        <w:ind w:left="1" w:right="101" w:firstLine="411"/>
        <w:spacing w:before="170" w:line="302" w:lineRule="auto"/>
        <w:outlineLvl w:val="0"/>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）各级人民政府和防汛指挥机构应高</w:t>
      </w:r>
      <w:r>
        <w:rPr>
          <w:spacing w:val="7"/>
        </w:rPr>
        <w:t>度重视应急人员的安全，调集和储备必要的防</w:t>
      </w:r>
    </w:p>
    <w:p>
      <w:pPr>
        <w:pStyle w:val="BodyText"/>
        <w:ind w:left="18" w:right="101" w:hanging="13"/>
        <w:spacing w:before="166" w:line="358" w:lineRule="auto"/>
        <w:rPr/>
      </w:pPr>
      <w:r>
        <w:rPr>
          <w:spacing w:val="7"/>
        </w:rPr>
        <w:t>护器材、消毒药品、备用电源和抢救伤员必备</w:t>
      </w:r>
      <w:r>
        <w:rPr>
          <w:spacing w:val="7"/>
        </w:rPr>
        <w:t>的器械等，以备随时应用。</w:t>
      </w:r>
    </w:p>
    <w:p>
      <w:pPr>
        <w:pStyle w:val="BodyText"/>
        <w:ind w:left="2" w:right="101" w:firstLine="410"/>
        <w:spacing w:before="42" w:line="301" w:lineRule="auto"/>
        <w:outlineLvl w:val="0"/>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）抢险人员进入和撤出现场由防汛指</w:t>
      </w:r>
      <w:r>
        <w:rPr>
          <w:spacing w:val="7"/>
        </w:rPr>
        <w:t>挥机构视情况作出决定。抢险人员进入受威胁</w:t>
      </w:r>
    </w:p>
    <w:p>
      <w:pPr>
        <w:pStyle w:val="BodyText"/>
        <w:ind w:right="81" w:firstLine="18"/>
        <w:spacing w:before="174" w:line="377" w:lineRule="auto"/>
        <w:jc w:val="both"/>
        <w:rPr/>
      </w:pPr>
      <w:r>
        <w:rPr>
          <w:spacing w:val="7"/>
        </w:rPr>
        <w:t>的现场前，应采取防护措施以保证自身安全。</w:t>
      </w:r>
      <w:r>
        <w:rPr>
          <w:spacing w:val="7"/>
        </w:rPr>
        <w:t>参加一线抗洪抢险的人员，必须穿救生衣。当</w:t>
      </w:r>
      <w:r>
        <w:rPr>
          <w:spacing w:val="7"/>
        </w:rPr>
        <w:t>现场受到污染时，应按要求为抢险人员配备防</w:t>
      </w:r>
      <w:r>
        <w:rPr>
          <w:spacing w:val="9"/>
        </w:rPr>
        <w:t>护设施，撤离时应进行消毒、去污处理。</w:t>
      </w:r>
    </w:p>
    <w:p>
      <w:pPr>
        <w:pStyle w:val="BodyText"/>
        <w:ind w:left="3" w:right="103" w:firstLine="409"/>
        <w:spacing w:before="2" w:line="300" w:lineRule="auto"/>
        <w:outlineLvl w:val="0"/>
        <w:rPr/>
      </w:pPr>
      <w:r>
        <w:rPr>
          <w:spacing w:val="7"/>
        </w:rPr>
        <w:t>（</w:t>
      </w:r>
      <w:r>
        <w:rPr>
          <w:rFonts w:ascii="Times New Roman" w:hAnsi="Times New Roman" w:eastAsia="Times New Roman" w:cs="Times New Roman"/>
          <w:spacing w:val="7"/>
        </w:rPr>
        <w:t>3 </w:t>
      </w:r>
      <w:r>
        <w:rPr>
          <w:spacing w:val="7"/>
        </w:rPr>
        <w:t>）出现洪涝灾害后</w:t>
      </w:r>
      <w:r>
        <w:rPr>
          <w:spacing w:val="-53"/>
        </w:rPr>
        <w:t xml:space="preserve"> </w:t>
      </w:r>
      <w:r>
        <w:rPr>
          <w:spacing w:val="7"/>
        </w:rPr>
        <w:t>，事发地防汛指挥</w:t>
      </w:r>
      <w:r>
        <w:rPr>
          <w:spacing w:val="-4"/>
        </w:rPr>
        <w:t>机构应及时做好群众的救援、转移和疏散工作。</w:t>
      </w:r>
    </w:p>
    <w:p>
      <w:pPr>
        <w:pStyle w:val="BodyText"/>
        <w:ind w:right="101" w:firstLine="412"/>
        <w:spacing w:before="168" w:line="302" w:lineRule="auto"/>
        <w:outlineLvl w:val="0"/>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）事发地防汛指挥机构应按照当地政</w:t>
      </w:r>
      <w:r>
        <w:rPr>
          <w:spacing w:val="7"/>
        </w:rPr>
        <w:t>府和上级领导机构的指令，及时发布通告，防</w:t>
      </w:r>
    </w:p>
    <w:p>
      <w:pPr>
        <w:pStyle w:val="BodyText"/>
        <w:ind w:left="3"/>
        <w:spacing w:before="172" w:line="220" w:lineRule="auto"/>
        <w:rPr/>
      </w:pPr>
      <w:r>
        <w:rPr>
          <w:spacing w:val="9"/>
        </w:rPr>
        <w:t>止人畜进入危险区域或饮用被污染的水源。</w:t>
      </w:r>
    </w:p>
    <w:p>
      <w:pPr>
        <w:pStyle w:val="BodyText"/>
        <w:ind w:right="101" w:firstLine="413"/>
        <w:spacing w:before="165" w:line="315" w:lineRule="auto"/>
        <w:outlineLvl w:val="0"/>
        <w:rPr/>
      </w:pPr>
      <w:r>
        <w:rPr>
          <w:spacing w:val="6"/>
        </w:rPr>
        <w:t>（</w:t>
      </w:r>
      <w:r>
        <w:rPr>
          <w:spacing w:val="-51"/>
        </w:rPr>
        <w:t xml:space="preserve"> </w:t>
      </w:r>
      <w:r>
        <w:rPr>
          <w:rFonts w:ascii="Times New Roman" w:hAnsi="Times New Roman" w:eastAsia="Times New Roman" w:cs="Times New Roman"/>
          <w:spacing w:val="6"/>
        </w:rPr>
        <w:t>5</w:t>
      </w:r>
      <w:r>
        <w:rPr>
          <w:rFonts w:ascii="Times New Roman" w:hAnsi="Times New Roman" w:eastAsia="Times New Roman" w:cs="Times New Roman"/>
          <w:spacing w:val="-18"/>
        </w:rPr>
        <w:t xml:space="preserve"> </w:t>
      </w:r>
      <w:r>
        <w:rPr>
          <w:spacing w:val="6"/>
        </w:rPr>
        <w:t>）对转移的群众</w:t>
      </w:r>
      <w:r>
        <w:rPr>
          <w:spacing w:val="-59"/>
        </w:rPr>
        <w:t xml:space="preserve"> </w:t>
      </w:r>
      <w:r>
        <w:rPr>
          <w:spacing w:val="6"/>
        </w:rPr>
        <w:t>，由当地人民政府负</w:t>
      </w:r>
      <w:r>
        <w:rPr>
          <w:spacing w:val="7"/>
        </w:rPr>
        <w:t>责提供紧急避难场所，妥善安置灾区群众，保</w:t>
      </w:r>
      <w:r>
        <w:rPr>
          <w:spacing w:val="7"/>
        </w:rPr>
        <w:t>证基本生活。</w:t>
      </w:r>
    </w:p>
    <w:p>
      <w:pPr>
        <w:spacing w:line="315" w:lineRule="auto"/>
        <w:sectPr>
          <w:type w:val="continuous"/>
          <w:pgSz w:w="11906" w:h="16839"/>
          <w:pgMar w:top="1772" w:right="1489" w:bottom="1572" w:left="1571" w:header="1428" w:footer="1172" w:gutter="0"/>
          <w:cols w:equalWidth="0" w:num="2">
            <w:col w:w="4498" w:space="100"/>
            <w:col w:w="4249" w:space="0"/>
          </w:cols>
        </w:sectPr>
        <w:rPr/>
      </w:pPr>
    </w:p>
    <w:p>
      <w:pPr>
        <w:spacing w:before="67"/>
        <w:rPr/>
      </w:pPr>
      <w:r>
        <w:drawing>
          <wp:anchor distT="0" distB="0" distL="0" distR="0" simplePos="0" relativeHeight="254800896" behindDoc="0" locked="0" layoutInCell="0" allowOverlap="1">
            <wp:simplePos x="0" y="0"/>
            <wp:positionH relativeFrom="page">
              <wp:posOffset>1008380</wp:posOffset>
            </wp:positionH>
            <wp:positionV relativeFrom="page">
              <wp:posOffset>1278890</wp:posOffset>
            </wp:positionV>
            <wp:extent cx="5579745" cy="7619"/>
            <wp:effectExtent l="0" t="0" r="0" b="0"/>
            <wp:wrapNone/>
            <wp:docPr id="2460" name="IM 2460"/>
            <wp:cNvGraphicFramePr/>
            <a:graphic>
              <a:graphicData uri="http://schemas.openxmlformats.org/drawingml/2006/picture">
                <pic:pic>
                  <pic:nvPicPr>
                    <pic:cNvPr id="2460" name="IM 2460"/>
                    <pic:cNvPicPr/>
                  </pic:nvPicPr>
                  <pic:blipFill>
                    <a:blip r:embed="rId1235"/>
                    <a:stretch>
                      <a:fillRect/>
                    </a:stretch>
                  </pic:blipFill>
                  <pic:spPr>
                    <a:xfrm rot="0">
                      <a:off x="0" y="0"/>
                      <a:ext cx="5579745" cy="7619"/>
                    </a:xfrm>
                    <a:prstGeom prst="rect">
                      <a:avLst/>
                    </a:prstGeom>
                  </pic:spPr>
                </pic:pic>
              </a:graphicData>
            </a:graphic>
          </wp:anchor>
        </w:drawing>
      </w:r>
      <w:r/>
    </w:p>
    <w:p>
      <w:pPr>
        <w:sectPr>
          <w:headerReference w:type="default" r:id="rId1233"/>
          <w:footerReference w:type="default" r:id="rId1234"/>
          <w:pgSz w:w="11906" w:h="16839"/>
          <w:pgMar w:top="1974" w:right="1505" w:bottom="1574" w:left="1579" w:header="1634" w:footer="1172" w:gutter="0"/>
          <w:cols w:equalWidth="0" w:num="1">
            <w:col w:w="8821" w:space="0"/>
          </w:cols>
        </w:sectPr>
        <w:rPr/>
      </w:pPr>
    </w:p>
    <w:p>
      <w:pPr>
        <w:pStyle w:val="BodyText"/>
        <w:ind w:left="424"/>
        <w:spacing w:before="47" w:line="277" w:lineRule="exact"/>
        <w:rPr/>
      </w:pPr>
      <w:r>
        <w:rPr>
          <w:spacing w:val="7"/>
          <w:position w:val="1"/>
        </w:rPr>
        <w:t>（</w:t>
      </w:r>
      <w:r>
        <w:rPr>
          <w:rFonts w:ascii="Times New Roman" w:hAnsi="Times New Roman" w:eastAsia="Times New Roman" w:cs="Times New Roman"/>
          <w:spacing w:val="7"/>
          <w:position w:val="1"/>
        </w:rPr>
        <w:t>6 </w:t>
      </w:r>
      <w:r>
        <w:rPr>
          <w:spacing w:val="7"/>
          <w:position w:val="1"/>
        </w:rPr>
        <w:t>）出现水灾害后</w:t>
      </w:r>
      <w:r>
        <w:rPr>
          <w:spacing w:val="-53"/>
          <w:position w:val="1"/>
        </w:rPr>
        <w:t xml:space="preserve"> </w:t>
      </w:r>
      <w:r>
        <w:rPr>
          <w:spacing w:val="7"/>
          <w:position w:val="1"/>
        </w:rPr>
        <w:t>，事发地人民政府和</w:t>
      </w:r>
    </w:p>
    <w:p>
      <w:pPr>
        <w:pStyle w:val="BodyText"/>
        <w:ind w:left="28"/>
        <w:spacing w:before="129" w:line="217" w:lineRule="auto"/>
        <w:outlineLvl w:val="0"/>
        <w:rPr/>
      </w:pPr>
      <w:r>
        <w:rPr>
          <w:spacing w:val="17"/>
        </w:rPr>
        <w:t>防汛指挥机构应组织卫生部门加强受影响地</w:t>
      </w:r>
    </w:p>
    <w:p>
      <w:pPr>
        <w:pStyle w:val="BodyText"/>
        <w:ind w:left="12" w:right="322" w:firstLine="16"/>
        <w:spacing w:before="163" w:line="369" w:lineRule="auto"/>
        <w:jc w:val="both"/>
        <w:rPr/>
      </w:pPr>
      <w:r>
        <w:rPr>
          <w:spacing w:val="17"/>
        </w:rPr>
        <w:t>区的疾病和突发公共卫生事件监测、报告工</w:t>
      </w:r>
      <w:r>
        <w:rPr>
          <w:spacing w:val="7"/>
        </w:rPr>
        <w:t>作，落实各项防病措施，并派出医疗小分队，</w:t>
      </w:r>
      <w:r>
        <w:rPr>
          <w:spacing w:val="7"/>
        </w:rPr>
        <w:t>对受伤的人员进行紧急救护。必要时，事发地</w:t>
      </w:r>
      <w:r>
        <w:rPr>
          <w:spacing w:val="18"/>
        </w:rPr>
        <w:t>政府可紧急动员当地医疗机构在现场设立紧</w:t>
      </w:r>
      <w:r>
        <w:rPr>
          <w:spacing w:val="6"/>
        </w:rPr>
        <w:t>急救护所。</w:t>
      </w:r>
    </w:p>
    <w:p>
      <w:pPr>
        <w:pStyle w:val="BodyText"/>
        <w:ind w:left="439"/>
        <w:spacing w:before="1" w:line="218" w:lineRule="auto"/>
        <w:outlineLvl w:val="0"/>
        <w:rPr/>
      </w:pPr>
      <w:r>
        <w:rPr>
          <w:rFonts w:ascii="Times New Roman" w:hAnsi="Times New Roman" w:eastAsia="Times New Roman" w:cs="Times New Roman"/>
          <w:spacing w:val="6"/>
        </w:rPr>
        <w:t>5.4.6 </w:t>
      </w:r>
      <w:r>
        <w:rPr>
          <w:spacing w:val="6"/>
        </w:rPr>
        <w:t>社会力量动员与参与。</w:t>
      </w:r>
    </w:p>
    <w:p>
      <w:pPr>
        <w:pStyle w:val="BodyText"/>
        <w:ind w:left="14" w:right="329" w:firstLine="410"/>
        <w:spacing w:before="160" w:line="297" w:lineRule="auto"/>
        <w:outlineLvl w:val="0"/>
        <w:rPr/>
      </w:pPr>
      <w:r>
        <w:rPr>
          <w:spacing w:val="4"/>
        </w:rPr>
        <w:t>（</w:t>
      </w:r>
      <w:r>
        <w:rPr>
          <w:spacing w:val="-37"/>
        </w:rPr>
        <w:t xml:space="preserve"> </w:t>
      </w:r>
      <w:r>
        <w:rPr>
          <w:rFonts w:ascii="Times New Roman" w:hAnsi="Times New Roman" w:eastAsia="Times New Roman" w:cs="Times New Roman"/>
          <w:spacing w:val="4"/>
        </w:rPr>
        <w:t>1 </w:t>
      </w:r>
      <w:r>
        <w:rPr>
          <w:spacing w:val="4"/>
        </w:rPr>
        <w:t>）出现洪涝灾害后</w:t>
      </w:r>
      <w:r>
        <w:rPr>
          <w:spacing w:val="-59"/>
        </w:rPr>
        <w:t xml:space="preserve"> </w:t>
      </w:r>
      <w:r>
        <w:rPr>
          <w:spacing w:val="4"/>
        </w:rPr>
        <w:t>，事发地的防汛指</w:t>
      </w:r>
      <w:r>
        <w:rPr>
          <w:spacing w:val="7"/>
        </w:rPr>
        <w:t>挥机构可根据事件的性质和危害程度，报经当</w:t>
      </w:r>
    </w:p>
    <w:p>
      <w:pPr>
        <w:pStyle w:val="BodyText"/>
        <w:ind w:left="14" w:right="329"/>
        <w:spacing w:before="160" w:line="367" w:lineRule="auto"/>
        <w:rPr/>
      </w:pPr>
      <w:r>
        <w:rPr>
          <w:spacing w:val="7"/>
        </w:rPr>
        <w:t>地政府批准，对重点地区和重点部位实施紧急</w:t>
      </w:r>
      <w:r>
        <w:rPr>
          <w:spacing w:val="9"/>
        </w:rPr>
        <w:t>控制，防止事态及其危害的进一步扩大。</w:t>
      </w:r>
    </w:p>
    <w:p>
      <w:pPr>
        <w:pStyle w:val="BodyText"/>
        <w:ind w:left="424"/>
        <w:spacing w:line="277" w:lineRule="exact"/>
        <w:rPr/>
      </w:pPr>
      <w:r>
        <w:rPr>
          <w:spacing w:val="11"/>
          <w:position w:val="1"/>
        </w:rPr>
        <w:t>（</w:t>
      </w:r>
      <w:r>
        <w:rPr>
          <w:rFonts w:ascii="Times New Roman" w:hAnsi="Times New Roman" w:eastAsia="Times New Roman" w:cs="Times New Roman"/>
          <w:spacing w:val="11"/>
          <w:position w:val="1"/>
        </w:rPr>
        <w:t>2</w:t>
      </w:r>
      <w:r>
        <w:rPr>
          <w:rFonts w:ascii="Times New Roman" w:hAnsi="Times New Roman" w:eastAsia="Times New Roman" w:cs="Times New Roman"/>
          <w:spacing w:val="-18"/>
          <w:position w:val="1"/>
        </w:rPr>
        <w:t xml:space="preserve"> </w:t>
      </w:r>
      <w:r>
        <w:rPr>
          <w:spacing w:val="11"/>
          <w:position w:val="1"/>
        </w:rPr>
        <w:t>）必要时可通过当地人民政府广泛调</w:t>
      </w:r>
    </w:p>
    <w:p>
      <w:pPr>
        <w:pStyle w:val="BodyText"/>
        <w:ind w:left="16"/>
        <w:spacing w:before="127" w:line="223" w:lineRule="auto"/>
        <w:outlineLvl w:val="0"/>
        <w:rPr/>
      </w:pPr>
      <w:r>
        <w:rPr>
          <w:spacing w:val="7"/>
        </w:rPr>
        <w:t>动社会力量积极参与应急突发事件的处置，紧</w:t>
      </w:r>
    </w:p>
    <w:p>
      <w:pPr>
        <w:pStyle w:val="BodyText"/>
        <w:ind w:left="15" w:right="329" w:firstLine="1"/>
        <w:spacing w:before="160" w:line="367" w:lineRule="auto"/>
        <w:rPr/>
      </w:pPr>
      <w:r>
        <w:rPr>
          <w:spacing w:val="7"/>
        </w:rPr>
        <w:t>急情况下可依法征用、调用车辆、物资、人员</w:t>
      </w:r>
      <w:r>
        <w:rPr>
          <w:spacing w:val="8"/>
        </w:rPr>
        <w:t>等，全力投入抗洪抢险。</w:t>
      </w:r>
    </w:p>
    <w:p>
      <w:pPr>
        <w:ind w:left="439"/>
        <w:spacing w:before="1"/>
        <w:outlineLvl w:val="0"/>
        <w:rPr>
          <w:rFonts w:ascii="KaiTi" w:hAnsi="KaiTi" w:eastAsia="KaiTi" w:cs="KaiTi"/>
          <w:sz w:val="20"/>
          <w:szCs w:val="20"/>
        </w:rPr>
      </w:pPr>
      <w:r>
        <w:rPr>
          <w:rFonts w:ascii="Times New Roman" w:hAnsi="Times New Roman" w:eastAsia="Times New Roman" w:cs="Times New Roman"/>
          <w:sz w:val="20"/>
          <w:szCs w:val="20"/>
          <w:spacing w:val="5"/>
        </w:rPr>
        <w:t>5.5  </w:t>
      </w:r>
      <w:r>
        <w:rPr>
          <w:rFonts w:ascii="KaiTi" w:hAnsi="KaiTi" w:eastAsia="KaiTi" w:cs="KaiTi"/>
          <w:sz w:val="20"/>
          <w:szCs w:val="20"/>
          <w:spacing w:val="5"/>
        </w:rPr>
        <w:t>应急响应结束。</w:t>
      </w:r>
    </w:p>
    <w:p>
      <w:pPr>
        <w:pStyle w:val="BodyText"/>
        <w:ind w:left="13" w:right="327" w:firstLine="440"/>
        <w:spacing w:before="144" w:line="295" w:lineRule="auto"/>
        <w:outlineLvl w:val="0"/>
        <w:rPr/>
      </w:pPr>
      <w:r>
        <w:rPr>
          <w:rFonts w:ascii="Times New Roman" w:hAnsi="Times New Roman" w:eastAsia="Times New Roman" w:cs="Times New Roman"/>
          <w:spacing w:val="2"/>
        </w:rPr>
        <w:t>1.  </w:t>
      </w:r>
      <w:r>
        <w:rPr>
          <w:spacing w:val="2"/>
        </w:rPr>
        <w:t>河道水位落至设防水位以下、险情得到</w:t>
      </w:r>
      <w:r>
        <w:rPr>
          <w:spacing w:val="7"/>
        </w:rPr>
        <w:t>有效控制，并预报无较大汛情时，市防汛指挥</w:t>
      </w:r>
    </w:p>
    <w:p>
      <w:pPr>
        <w:pStyle w:val="BodyText"/>
        <w:ind w:left="14"/>
        <w:spacing w:before="162" w:line="218" w:lineRule="auto"/>
        <w:rPr/>
      </w:pPr>
      <w:r>
        <w:rPr>
          <w:spacing w:val="9"/>
        </w:rPr>
        <w:t>机构可按规定的权限宣布解除紧急防汛期。</w:t>
      </w:r>
    </w:p>
    <w:p>
      <w:pPr>
        <w:pStyle w:val="BodyText"/>
        <w:ind w:left="16" w:right="329" w:firstLine="417"/>
        <w:spacing w:before="163" w:line="295" w:lineRule="auto"/>
        <w:outlineLvl w:val="0"/>
        <w:rPr/>
      </w:pPr>
      <w:r>
        <w:rPr>
          <w:rFonts w:ascii="Times New Roman" w:hAnsi="Times New Roman" w:eastAsia="Times New Roman" w:cs="Times New Roman"/>
          <w:spacing w:val="3"/>
        </w:rPr>
        <w:t>2.  </w:t>
      </w:r>
      <w:r>
        <w:rPr>
          <w:spacing w:val="3"/>
        </w:rPr>
        <w:t>依照有关紧急防汛期规定征用、调用的</w:t>
      </w:r>
      <w:r>
        <w:rPr>
          <w:spacing w:val="7"/>
        </w:rPr>
        <w:t>物资、设备、交通运输工具等，在汛期结束后</w:t>
      </w:r>
    </w:p>
    <w:p>
      <w:pPr>
        <w:pStyle w:val="BodyText"/>
        <w:ind w:left="12"/>
        <w:spacing w:before="161" w:line="220" w:lineRule="auto"/>
        <w:rPr/>
      </w:pPr>
      <w:r>
        <w:rPr>
          <w:spacing w:val="9"/>
        </w:rPr>
        <w:t>应及时归还或按有关规定给予适当补偿。</w:t>
      </w:r>
    </w:p>
    <w:p>
      <w:pPr>
        <w:pStyle w:val="BodyText"/>
        <w:ind w:left="14" w:right="329" w:firstLine="422"/>
        <w:spacing w:before="160" w:line="294" w:lineRule="auto"/>
        <w:outlineLvl w:val="0"/>
        <w:rPr/>
      </w:pPr>
      <w:r>
        <w:rPr>
          <w:rFonts w:ascii="Times New Roman" w:hAnsi="Times New Roman" w:eastAsia="Times New Roman" w:cs="Times New Roman"/>
          <w:spacing w:val="3"/>
        </w:rPr>
        <w:t>3.  </w:t>
      </w:r>
      <w:r>
        <w:rPr>
          <w:spacing w:val="3"/>
        </w:rPr>
        <w:t>紧急处置工作结束后，事发地防汛指挥</w:t>
      </w:r>
      <w:r>
        <w:rPr>
          <w:spacing w:val="7"/>
        </w:rPr>
        <w:t>机构应协助当地政府进一步恢复正常生活、生</w:t>
      </w:r>
    </w:p>
    <w:p>
      <w:pPr>
        <w:pStyle w:val="BodyText"/>
        <w:ind w:left="13" w:right="329"/>
        <w:spacing w:before="163" w:line="365" w:lineRule="auto"/>
        <w:rPr/>
      </w:pPr>
      <w:r>
        <w:rPr>
          <w:spacing w:val="7"/>
        </w:rPr>
        <w:t>产、工作秩序，修复水毁基础设施，尽可能减</w:t>
      </w:r>
      <w:r>
        <w:rPr>
          <w:spacing w:val="8"/>
        </w:rPr>
        <w:t>少突发事件带来的损失和影响。</w:t>
      </w:r>
    </w:p>
    <w:p>
      <w:pPr>
        <w:ind w:left="437"/>
        <w:spacing w:line="217"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6</w:t>
      </w:r>
      <w:r>
        <w:rPr>
          <w:rFonts w:ascii="Microsoft YaHei" w:hAnsi="Microsoft YaHei" w:eastAsia="Microsoft YaHei" w:cs="Microsoft YaHei"/>
          <w:sz w:val="20"/>
          <w:szCs w:val="20"/>
          <w:spacing w:val="12"/>
        </w:rPr>
        <w:t xml:space="preserve">   </w:t>
      </w:r>
      <w:r>
        <w:rPr>
          <w:rFonts w:ascii="Microsoft YaHei" w:hAnsi="Microsoft YaHei" w:eastAsia="Microsoft YaHei" w:cs="Microsoft YaHei"/>
          <w:sz w:val="20"/>
          <w:szCs w:val="20"/>
          <w:spacing w:val="4"/>
        </w:rPr>
        <w:t>应急保障</w:t>
      </w:r>
    </w:p>
    <w:p>
      <w:pPr>
        <w:ind w:left="438"/>
        <w:spacing w:before="95" w:line="265" w:lineRule="exact"/>
        <w:rPr>
          <w:rFonts w:ascii="KaiTi" w:hAnsi="KaiTi" w:eastAsia="KaiTi" w:cs="KaiTi"/>
          <w:sz w:val="20"/>
          <w:szCs w:val="20"/>
        </w:rPr>
      </w:pPr>
      <w:r>
        <w:rPr>
          <w:rFonts w:ascii="Times New Roman" w:hAnsi="Times New Roman" w:eastAsia="Times New Roman" w:cs="Times New Roman"/>
          <w:sz w:val="20"/>
          <w:szCs w:val="20"/>
          <w:spacing w:val="4"/>
          <w:position w:val="1"/>
        </w:rPr>
        <w:t>6.</w:t>
      </w:r>
      <w:r>
        <w:rPr>
          <w:rFonts w:ascii="Times New Roman" w:hAnsi="Times New Roman" w:eastAsia="Times New Roman" w:cs="Times New Roman"/>
          <w:sz w:val="20"/>
          <w:szCs w:val="20"/>
          <w:spacing w:val="-26"/>
          <w:position w:val="1"/>
        </w:rPr>
        <w:t xml:space="preserve"> </w:t>
      </w:r>
      <w:r>
        <w:rPr>
          <w:rFonts w:ascii="Times New Roman" w:hAnsi="Times New Roman" w:eastAsia="Times New Roman" w:cs="Times New Roman"/>
          <w:sz w:val="20"/>
          <w:szCs w:val="20"/>
          <w:spacing w:val="4"/>
          <w:position w:val="1"/>
        </w:rPr>
        <w:t>1  </w:t>
      </w:r>
      <w:r>
        <w:rPr>
          <w:rFonts w:ascii="KaiTi" w:hAnsi="KaiTi" w:eastAsia="KaiTi" w:cs="KaiTi"/>
          <w:sz w:val="20"/>
          <w:szCs w:val="20"/>
          <w:spacing w:val="4"/>
          <w:position w:val="1"/>
        </w:rPr>
        <w:t>通信与信息保障。</w:t>
      </w:r>
    </w:p>
    <w:p>
      <w:pPr>
        <w:pStyle w:val="BodyText"/>
        <w:ind w:left="13" w:right="329" w:firstLine="440"/>
        <w:spacing w:before="140" w:line="295" w:lineRule="auto"/>
        <w:outlineLvl w:val="0"/>
        <w:rPr/>
      </w:pPr>
      <w:r>
        <w:rPr>
          <w:rFonts w:ascii="Times New Roman" w:hAnsi="Times New Roman" w:eastAsia="Times New Roman" w:cs="Times New Roman"/>
          <w:spacing w:val="9"/>
        </w:rPr>
        <w:t>1</w:t>
      </w:r>
      <w:r>
        <w:rPr>
          <w:rFonts w:ascii="Times New Roman" w:hAnsi="Times New Roman" w:eastAsia="Times New Roman" w:cs="Times New Roman"/>
          <w:spacing w:val="-8"/>
        </w:rPr>
        <w:t xml:space="preserve"> </w:t>
      </w:r>
      <w:r>
        <w:rPr>
          <w:spacing w:val="9"/>
        </w:rPr>
        <w:t>．任何通信运营部门都有依法保障防汛</w:t>
      </w:r>
      <w:r>
        <w:rPr>
          <w:spacing w:val="8"/>
        </w:rPr>
        <w:t>信息畅通的责任。</w:t>
      </w:r>
    </w:p>
    <w:p>
      <w:pPr>
        <w:pStyle w:val="BodyText"/>
        <w:ind w:left="433"/>
        <w:spacing w:before="160" w:line="207" w:lineRule="auto"/>
        <w:outlineLvl w:val="0"/>
        <w:rPr/>
      </w:pPr>
      <w:r>
        <w:rPr>
          <w:rFonts w:ascii="Times New Roman" w:hAnsi="Times New Roman" w:eastAsia="Times New Roman" w:cs="Times New Roman"/>
          <w:spacing w:val="8"/>
        </w:rPr>
        <w:t>2</w:t>
      </w:r>
      <w:r>
        <w:rPr>
          <w:rFonts w:ascii="Times New Roman" w:hAnsi="Times New Roman" w:eastAsia="Times New Roman" w:cs="Times New Roman"/>
          <w:spacing w:val="-12"/>
        </w:rPr>
        <w:t xml:space="preserve"> </w:t>
      </w:r>
      <w:r>
        <w:rPr>
          <w:spacing w:val="8"/>
        </w:rPr>
        <w:t>．出现突发事件后</w:t>
      </w:r>
      <w:r>
        <w:rPr>
          <w:spacing w:val="-58"/>
        </w:rPr>
        <w:t xml:space="preserve"> </w:t>
      </w:r>
      <w:r>
        <w:rPr>
          <w:spacing w:val="8"/>
        </w:rPr>
        <w:t>，通信部门应启动应</w:t>
      </w:r>
    </w:p>
    <w:p>
      <w:pPr>
        <w:spacing w:line="14" w:lineRule="auto"/>
        <w:rPr>
          <w:rFonts w:ascii="Arial"/>
          <w:sz w:val="2"/>
        </w:rPr>
      </w:pPr>
      <w:r>
        <w:rPr>
          <w:rFonts w:ascii="Arial" w:hAnsi="Arial" w:eastAsia="Arial" w:cs="Arial"/>
          <w:sz w:val="2"/>
          <w:szCs w:val="2"/>
        </w:rPr>
        <w:br w:type="column"/>
      </w:r>
    </w:p>
    <w:p>
      <w:pPr>
        <w:pStyle w:val="BodyText"/>
        <w:ind w:right="84" w:firstLine="5"/>
        <w:spacing w:before="51" w:line="369" w:lineRule="auto"/>
        <w:jc w:val="both"/>
        <w:rPr/>
      </w:pPr>
      <w:r>
        <w:rPr>
          <w:spacing w:val="7"/>
        </w:rPr>
        <w:t>急通信保障预案，迅速调集力量抢修损坏的通</w:t>
      </w:r>
      <w:r>
        <w:rPr>
          <w:spacing w:val="7"/>
        </w:rPr>
        <w:t>信设施，保证防汛通信畅通。必要时，调度应</w:t>
      </w:r>
      <w:r>
        <w:rPr>
          <w:spacing w:val="7"/>
        </w:rPr>
        <w:t>急通信设备，为防汛通信和现场指挥提供通信</w:t>
      </w:r>
      <w:r>
        <w:rPr>
          <w:spacing w:val="5"/>
        </w:rPr>
        <w:t>保障。</w:t>
      </w:r>
    </w:p>
    <w:p>
      <w:pPr>
        <w:pStyle w:val="BodyText"/>
        <w:ind w:left="21" w:right="84" w:firstLine="404"/>
        <w:spacing w:before="1" w:line="295" w:lineRule="auto"/>
        <w:outlineLvl w:val="0"/>
        <w:rPr/>
      </w:pPr>
      <w:r>
        <w:rPr>
          <w:rFonts w:ascii="Times New Roman" w:hAnsi="Times New Roman" w:eastAsia="Times New Roman" w:cs="Times New Roman"/>
          <w:spacing w:val="8"/>
        </w:rPr>
        <w:t>3</w:t>
      </w:r>
      <w:r>
        <w:rPr>
          <w:rFonts w:ascii="Times New Roman" w:hAnsi="Times New Roman" w:eastAsia="Times New Roman" w:cs="Times New Roman"/>
          <w:spacing w:val="-16"/>
        </w:rPr>
        <w:t xml:space="preserve"> </w:t>
      </w:r>
      <w:r>
        <w:rPr>
          <w:spacing w:val="8"/>
        </w:rPr>
        <w:t>．紧急情况下</w:t>
      </w:r>
      <w:r>
        <w:rPr>
          <w:spacing w:val="-58"/>
        </w:rPr>
        <w:t xml:space="preserve"> </w:t>
      </w:r>
      <w:r>
        <w:rPr>
          <w:spacing w:val="8"/>
        </w:rPr>
        <w:t>，应充分利用公共广播和</w:t>
      </w:r>
      <w:r>
        <w:rPr>
          <w:spacing w:val="6"/>
        </w:rPr>
        <w:t>电视等媒体以及手机短信、微信公众号等手段</w:t>
      </w:r>
    </w:p>
    <w:p>
      <w:pPr>
        <w:pStyle w:val="BodyText"/>
        <w:ind w:left="18" w:right="84" w:hanging="15"/>
        <w:spacing w:before="157" w:line="369" w:lineRule="auto"/>
        <w:rPr/>
      </w:pPr>
      <w:r>
        <w:rPr>
          <w:spacing w:val="7"/>
        </w:rPr>
        <w:t>发布信息，通知群众快速撤离，确保人民生命</w:t>
      </w:r>
      <w:r>
        <w:rPr>
          <w:spacing w:val="1"/>
        </w:rPr>
        <w:t>的安全。</w:t>
      </w:r>
    </w:p>
    <w:p>
      <w:pPr>
        <w:ind w:left="426"/>
        <w:spacing w:line="264" w:lineRule="exact"/>
        <w:rPr>
          <w:rFonts w:ascii="KaiTi" w:hAnsi="KaiTi" w:eastAsia="KaiTi" w:cs="KaiTi"/>
          <w:sz w:val="20"/>
          <w:szCs w:val="20"/>
        </w:rPr>
      </w:pPr>
      <w:r>
        <w:rPr>
          <w:rFonts w:ascii="Times New Roman" w:hAnsi="Times New Roman" w:eastAsia="Times New Roman" w:cs="Times New Roman"/>
          <w:sz w:val="20"/>
          <w:szCs w:val="20"/>
          <w:spacing w:val="5"/>
          <w:position w:val="1"/>
        </w:rPr>
        <w:t>6.2  </w:t>
      </w:r>
      <w:r>
        <w:rPr>
          <w:rFonts w:ascii="KaiTi" w:hAnsi="KaiTi" w:eastAsia="KaiTi" w:cs="KaiTi"/>
          <w:sz w:val="20"/>
          <w:szCs w:val="20"/>
          <w:spacing w:val="5"/>
          <w:position w:val="1"/>
        </w:rPr>
        <w:t>抢险与救援保障。</w:t>
      </w:r>
    </w:p>
    <w:p>
      <w:pPr>
        <w:pStyle w:val="BodyText"/>
        <w:ind w:right="84" w:firstLine="441"/>
        <w:spacing w:before="138" w:line="296" w:lineRule="auto"/>
        <w:outlineLvl w:val="0"/>
        <w:rPr/>
      </w:pPr>
      <w:r>
        <w:rPr>
          <w:rFonts w:ascii="Times New Roman" w:hAnsi="Times New Roman" w:eastAsia="Times New Roman" w:cs="Times New Roman"/>
          <w:spacing w:val="9"/>
        </w:rPr>
        <w:t>1</w:t>
      </w:r>
      <w:r>
        <w:rPr>
          <w:rFonts w:ascii="Times New Roman" w:hAnsi="Times New Roman" w:eastAsia="Times New Roman" w:cs="Times New Roman"/>
          <w:spacing w:val="-8"/>
        </w:rPr>
        <w:t xml:space="preserve"> </w:t>
      </w:r>
      <w:r>
        <w:rPr>
          <w:spacing w:val="9"/>
        </w:rPr>
        <w:t>．对历史上的重点险工险段或易出险的</w:t>
      </w:r>
      <w:r>
        <w:rPr>
          <w:spacing w:val="15"/>
        </w:rPr>
        <w:t>水利工程设施</w:t>
      </w:r>
      <w:r>
        <w:rPr>
          <w:spacing w:val="-40"/>
        </w:rPr>
        <w:t xml:space="preserve"> </w:t>
      </w:r>
      <w:r>
        <w:rPr>
          <w:spacing w:val="15"/>
        </w:rPr>
        <w:t>，应提前编制工程应急抢险预</w:t>
      </w:r>
    </w:p>
    <w:p>
      <w:pPr>
        <w:pStyle w:val="BodyText"/>
        <w:ind w:firstLine="2"/>
        <w:spacing w:before="161" w:line="369" w:lineRule="auto"/>
        <w:jc w:val="both"/>
        <w:rPr/>
      </w:pPr>
      <w:r>
        <w:rPr>
          <w:spacing w:val="7"/>
        </w:rPr>
        <w:t>案，以备紧急情况下因险施策；当出现新的险</w:t>
      </w:r>
      <w:r>
        <w:rPr>
          <w:spacing w:val="7"/>
        </w:rPr>
        <w:t>情后，应派水利工程技术人员赶赴现场，研究</w:t>
      </w:r>
      <w:r>
        <w:rPr>
          <w:spacing w:val="-8"/>
        </w:rPr>
        <w:t>优化除险方案，并由防汛行政首长负责组织实施。</w:t>
      </w:r>
    </w:p>
    <w:p>
      <w:pPr>
        <w:pStyle w:val="BodyText"/>
        <w:ind w:right="84" w:firstLine="421"/>
        <w:spacing w:before="2" w:line="294" w:lineRule="auto"/>
        <w:outlineLvl w:val="0"/>
        <w:rPr/>
      </w:pPr>
      <w:r>
        <w:rPr>
          <w:rFonts w:ascii="Times New Roman" w:hAnsi="Times New Roman" w:eastAsia="Times New Roman" w:cs="Times New Roman"/>
          <w:spacing w:val="10"/>
        </w:rPr>
        <w:t>2</w:t>
      </w:r>
      <w:r>
        <w:rPr>
          <w:rFonts w:ascii="Times New Roman" w:hAnsi="Times New Roman" w:eastAsia="Times New Roman" w:cs="Times New Roman"/>
          <w:spacing w:val="-6"/>
        </w:rPr>
        <w:t xml:space="preserve"> </w:t>
      </w:r>
      <w:r>
        <w:rPr>
          <w:spacing w:val="10"/>
        </w:rPr>
        <w:t>．防汛指挥机构和防洪工程管理单位以</w:t>
      </w:r>
      <w:r>
        <w:rPr>
          <w:spacing w:val="7"/>
        </w:rPr>
        <w:t>及受洪水威胁的其他单位，储备的常规抢险机</w:t>
      </w:r>
    </w:p>
    <w:p>
      <w:pPr>
        <w:pStyle w:val="BodyText"/>
        <w:spacing w:before="156" w:line="277" w:lineRule="exact"/>
        <w:jc w:val="right"/>
        <w:rPr/>
      </w:pPr>
      <w:r>
        <w:rPr>
          <w:spacing w:val="1"/>
          <w:position w:val="1"/>
        </w:rPr>
        <w:t>械、设备物资和救生器材，应能满足抢险急</w:t>
      </w:r>
      <w:r>
        <w:rPr>
          <w:position w:val="1"/>
        </w:rPr>
        <w:t>需。</w:t>
      </w:r>
    </w:p>
    <w:p>
      <w:pPr>
        <w:pStyle w:val="BodyText"/>
        <w:ind w:left="3" w:right="84" w:firstLine="422"/>
        <w:spacing w:before="128" w:line="294" w:lineRule="auto"/>
        <w:outlineLvl w:val="0"/>
        <w:rPr/>
      </w:pPr>
      <w:r>
        <w:rPr>
          <w:rFonts w:ascii="Times New Roman" w:hAnsi="Times New Roman" w:eastAsia="Times New Roman" w:cs="Times New Roman"/>
          <w:spacing w:val="10"/>
        </w:rPr>
        <w:t>3</w:t>
      </w:r>
      <w:r>
        <w:rPr>
          <w:rFonts w:ascii="Times New Roman" w:hAnsi="Times New Roman" w:eastAsia="Times New Roman" w:cs="Times New Roman"/>
          <w:spacing w:val="-10"/>
        </w:rPr>
        <w:t xml:space="preserve"> </w:t>
      </w:r>
      <w:r>
        <w:rPr>
          <w:spacing w:val="10"/>
        </w:rPr>
        <w:t>．任何单位和个人都有依法参加防汛抗</w:t>
      </w:r>
      <w:r>
        <w:rPr>
          <w:spacing w:val="7"/>
        </w:rPr>
        <w:t>洪的义务。解放军、武警部队和民兵是抗洪抢</w:t>
      </w:r>
    </w:p>
    <w:p>
      <w:pPr>
        <w:pStyle w:val="BodyText"/>
        <w:ind w:left="18" w:right="64" w:hanging="5"/>
        <w:spacing w:before="158" w:line="352" w:lineRule="auto"/>
        <w:rPr/>
      </w:pPr>
      <w:r>
        <w:rPr>
          <w:spacing w:val="6"/>
        </w:rPr>
        <w:t>险的重要力量。防汛抢险队伍分为：群众抢险</w:t>
      </w:r>
      <w:r>
        <w:rPr>
          <w:spacing w:val="7"/>
        </w:rPr>
        <w:t>队伍、非专业部队抢险队伍和专业抢险队伍。</w:t>
      </w:r>
    </w:p>
    <w:p>
      <w:pPr>
        <w:ind w:left="426"/>
        <w:spacing w:before="37" w:line="264" w:lineRule="exact"/>
        <w:outlineLvl w:val="0"/>
        <w:rPr>
          <w:rFonts w:ascii="KaiTi" w:hAnsi="KaiTi" w:eastAsia="KaiTi" w:cs="KaiTi"/>
          <w:sz w:val="20"/>
          <w:szCs w:val="20"/>
        </w:rPr>
      </w:pPr>
      <w:r>
        <w:rPr>
          <w:rFonts w:ascii="Times New Roman" w:hAnsi="Times New Roman" w:eastAsia="Times New Roman" w:cs="Times New Roman"/>
          <w:sz w:val="20"/>
          <w:szCs w:val="20"/>
          <w:spacing w:val="5"/>
          <w:position w:val="1"/>
        </w:rPr>
        <w:t>6.3  </w:t>
      </w:r>
      <w:r>
        <w:rPr>
          <w:rFonts w:ascii="KaiTi" w:hAnsi="KaiTi" w:eastAsia="KaiTi" w:cs="KaiTi"/>
          <w:sz w:val="20"/>
          <w:szCs w:val="20"/>
          <w:spacing w:val="5"/>
          <w:position w:val="1"/>
        </w:rPr>
        <w:t>供电与运输保障。</w:t>
      </w:r>
    </w:p>
    <w:p>
      <w:pPr>
        <w:pStyle w:val="BodyText"/>
        <w:ind w:left="3" w:right="84" w:firstLine="438"/>
        <w:spacing w:before="141" w:line="319" w:lineRule="auto"/>
        <w:outlineLvl w:val="0"/>
        <w:rPr/>
      </w:pPr>
      <w:r>
        <w:rPr>
          <w:rFonts w:ascii="Times New Roman" w:hAnsi="Times New Roman" w:eastAsia="Times New Roman" w:cs="Times New Roman"/>
          <w:spacing w:val="9"/>
        </w:rPr>
        <w:t>1</w:t>
      </w:r>
      <w:r>
        <w:rPr>
          <w:rFonts w:ascii="Times New Roman" w:hAnsi="Times New Roman" w:eastAsia="Times New Roman" w:cs="Times New Roman"/>
          <w:spacing w:val="-8"/>
        </w:rPr>
        <w:t xml:space="preserve"> </w:t>
      </w:r>
      <w:r>
        <w:rPr>
          <w:spacing w:val="9"/>
        </w:rPr>
        <w:t>．供电部门负责城市区抗洪抢险、抢排</w:t>
      </w:r>
      <w:r>
        <w:rPr>
          <w:spacing w:val="7"/>
        </w:rPr>
        <w:t>渍涝、抗洪救灾等方面的供电需要和应急救援</w:t>
      </w:r>
      <w:r>
        <w:rPr>
          <w:spacing w:val="7"/>
        </w:rPr>
        <w:t>现场的临时供电。</w:t>
      </w:r>
    </w:p>
    <w:p>
      <w:pPr>
        <w:pStyle w:val="BodyText"/>
        <w:ind w:right="20" w:firstLine="421"/>
        <w:spacing w:before="164" w:line="297" w:lineRule="auto"/>
        <w:outlineLvl w:val="0"/>
        <w:rPr/>
      </w:pPr>
      <w:r>
        <w:rPr>
          <w:rFonts w:ascii="Times New Roman" w:hAnsi="Times New Roman" w:eastAsia="Times New Roman" w:cs="Times New Roman"/>
          <w:spacing w:val="10"/>
        </w:rPr>
        <w:t>2</w:t>
      </w:r>
      <w:r>
        <w:rPr>
          <w:rFonts w:ascii="Times New Roman" w:hAnsi="Times New Roman" w:eastAsia="Times New Roman" w:cs="Times New Roman"/>
          <w:spacing w:val="-6"/>
        </w:rPr>
        <w:t xml:space="preserve"> </w:t>
      </w:r>
      <w:r>
        <w:rPr>
          <w:spacing w:val="10"/>
        </w:rPr>
        <w:t>．交通运输部门负责优先保证防汛抢险</w:t>
      </w:r>
      <w:r>
        <w:rPr/>
        <w:t>人员、防汛救灾物资运输；危险区安全转移时，</w:t>
      </w:r>
    </w:p>
    <w:p>
      <w:pPr>
        <w:pStyle w:val="BodyText"/>
        <w:ind w:left="2" w:right="84" w:firstLine="4"/>
        <w:spacing w:before="154" w:line="368" w:lineRule="auto"/>
        <w:jc w:val="both"/>
        <w:rPr/>
      </w:pPr>
      <w:r>
        <w:rPr>
          <w:spacing w:val="17"/>
        </w:rPr>
        <w:t>负责群众安全转移所需地方车辆、船舶的调</w:t>
      </w:r>
      <w:r>
        <w:rPr>
          <w:spacing w:val="7"/>
        </w:rPr>
        <w:t>配；负责大洪水时河道航行和渡口的安全；负</w:t>
      </w:r>
      <w:r>
        <w:rPr>
          <w:spacing w:val="7"/>
        </w:rPr>
        <w:t>责大洪水时用于抢险、救灾车辆、船舶的及时</w:t>
      </w:r>
      <w:r>
        <w:rPr>
          <w:spacing w:val="4"/>
        </w:rPr>
        <w:t>调配。</w:t>
      </w:r>
    </w:p>
    <w:p>
      <w:pPr>
        <w:ind w:left="426"/>
        <w:spacing w:before="3" w:line="210" w:lineRule="auto"/>
        <w:rPr>
          <w:rFonts w:ascii="KaiTi" w:hAnsi="KaiTi" w:eastAsia="KaiTi" w:cs="KaiTi"/>
          <w:sz w:val="20"/>
          <w:szCs w:val="20"/>
        </w:rPr>
      </w:pPr>
      <w:r>
        <w:rPr>
          <w:rFonts w:ascii="Times New Roman" w:hAnsi="Times New Roman" w:eastAsia="Times New Roman" w:cs="Times New Roman"/>
          <w:sz w:val="20"/>
          <w:szCs w:val="20"/>
          <w:spacing w:val="4"/>
        </w:rPr>
        <w:t>6.4</w:t>
      </w:r>
      <w:r>
        <w:rPr>
          <w:rFonts w:ascii="Times New Roman" w:hAnsi="Times New Roman" w:eastAsia="Times New Roman" w:cs="Times New Roman"/>
          <w:sz w:val="20"/>
          <w:szCs w:val="20"/>
          <w:spacing w:val="16"/>
        </w:rPr>
        <w:t xml:space="preserve">  </w:t>
      </w:r>
      <w:r>
        <w:rPr>
          <w:rFonts w:ascii="KaiTi" w:hAnsi="KaiTi" w:eastAsia="KaiTi" w:cs="KaiTi"/>
          <w:sz w:val="20"/>
          <w:szCs w:val="20"/>
          <w:spacing w:val="4"/>
        </w:rPr>
        <w:t>治安与医疗保障。</w:t>
      </w:r>
    </w:p>
    <w:p>
      <w:pPr>
        <w:spacing w:line="210" w:lineRule="auto"/>
        <w:sectPr>
          <w:type w:val="continuous"/>
          <w:pgSz w:w="11906" w:h="16839"/>
          <w:pgMar w:top="1974" w:right="1505" w:bottom="1574" w:left="1579" w:header="1634" w:footer="1172" w:gutter="0"/>
          <w:cols w:equalWidth="0" w:num="2">
            <w:col w:w="4489" w:space="100"/>
            <w:col w:w="4232" w:space="0"/>
          </w:cols>
        </w:sectPr>
        <w:rPr>
          <w:rFonts w:ascii="KaiTi" w:hAnsi="KaiTi" w:eastAsia="KaiTi" w:cs="KaiTi"/>
          <w:sz w:val="20"/>
          <w:szCs w:val="20"/>
        </w:rPr>
      </w:pPr>
    </w:p>
    <w:p>
      <w:pPr>
        <w:spacing w:before="66"/>
        <w:rPr/>
      </w:pPr>
      <w:r>
        <w:drawing>
          <wp:anchor distT="0" distB="0" distL="0" distR="0" simplePos="0" relativeHeight="254816256"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464" name="IM 2464"/>
            <wp:cNvGraphicFramePr/>
            <a:graphic>
              <a:graphicData uri="http://schemas.openxmlformats.org/drawingml/2006/picture">
                <pic:pic>
                  <pic:nvPicPr>
                    <pic:cNvPr id="2464" name="IM 2464"/>
                    <pic:cNvPicPr/>
                  </pic:nvPicPr>
                  <pic:blipFill>
                    <a:blip r:embed="rId1237"/>
                    <a:stretch>
                      <a:fillRect/>
                    </a:stretch>
                  </pic:blipFill>
                  <pic:spPr>
                    <a:xfrm rot="0">
                      <a:off x="0" y="0"/>
                      <a:ext cx="5579745" cy="7620"/>
                    </a:xfrm>
                    <a:prstGeom prst="rect">
                      <a:avLst/>
                    </a:prstGeom>
                  </pic:spPr>
                </pic:pic>
              </a:graphicData>
            </a:graphic>
          </wp:anchor>
        </w:drawing>
      </w:r>
      <w:r/>
    </w:p>
    <w:p>
      <w:pPr>
        <w:sectPr>
          <w:headerReference w:type="default" r:id="rId1048"/>
          <w:footerReference w:type="default" r:id="rId1236"/>
          <w:pgSz w:w="11906" w:h="16839"/>
          <w:pgMar w:top="1772" w:right="1489" w:bottom="1572" w:left="1571" w:header="1428" w:footer="1172" w:gutter="0"/>
          <w:cols w:equalWidth="0" w:num="1">
            <w:col w:w="8846" w:space="0"/>
          </w:cols>
        </w:sectPr>
        <w:rPr/>
      </w:pPr>
    </w:p>
    <w:p>
      <w:pPr>
        <w:pStyle w:val="BodyText"/>
        <w:ind w:left="462"/>
        <w:spacing w:before="48" w:line="221" w:lineRule="auto"/>
        <w:rPr/>
      </w:pPr>
      <w:r>
        <w:rPr>
          <w:rFonts w:ascii="Times New Roman" w:hAnsi="Times New Roman" w:eastAsia="Times New Roman" w:cs="Times New Roman"/>
          <w:spacing w:val="9"/>
        </w:rPr>
        <w:t>1</w:t>
      </w:r>
      <w:r>
        <w:rPr>
          <w:rFonts w:ascii="Times New Roman" w:hAnsi="Times New Roman" w:eastAsia="Times New Roman" w:cs="Times New Roman"/>
          <w:spacing w:val="-8"/>
        </w:rPr>
        <w:t xml:space="preserve"> </w:t>
      </w:r>
      <w:r>
        <w:rPr>
          <w:spacing w:val="9"/>
        </w:rPr>
        <w:t>．公安部门主要负责做好洪涝灾区的治</w:t>
      </w:r>
    </w:p>
    <w:p>
      <w:pPr>
        <w:pStyle w:val="BodyText"/>
        <w:ind w:left="22"/>
        <w:spacing w:before="161" w:line="222" w:lineRule="auto"/>
        <w:outlineLvl w:val="0"/>
        <w:rPr/>
      </w:pPr>
      <w:r>
        <w:rPr>
          <w:spacing w:val="7"/>
        </w:rPr>
        <w:t>安管理工作，依法严厉打击破坏抗洪抢险救灾</w:t>
      </w:r>
    </w:p>
    <w:p>
      <w:pPr>
        <w:pStyle w:val="BodyText"/>
        <w:ind w:left="21" w:right="329"/>
        <w:spacing w:before="158" w:line="369" w:lineRule="auto"/>
        <w:jc w:val="both"/>
        <w:rPr/>
      </w:pPr>
      <w:r>
        <w:rPr>
          <w:spacing w:val="7"/>
        </w:rPr>
        <w:t>行动和工程设施安全的行为，保证抗灾救灾工</w:t>
      </w:r>
      <w:r>
        <w:rPr>
          <w:spacing w:val="7"/>
        </w:rPr>
        <w:t>作的顺利进行；负责组织搞好防汛抢险、群众</w:t>
      </w:r>
      <w:r>
        <w:rPr>
          <w:spacing w:val="7"/>
        </w:rPr>
        <w:t>转移、分洪爆破时的戒严、警卫工作，维护灾</w:t>
      </w:r>
      <w:r>
        <w:rPr>
          <w:spacing w:val="8"/>
        </w:rPr>
        <w:t>区的社会治安秩序。</w:t>
      </w:r>
    </w:p>
    <w:p>
      <w:pPr>
        <w:pStyle w:val="BodyText"/>
        <w:ind w:left="442"/>
        <w:spacing w:before="1" w:line="220" w:lineRule="auto"/>
        <w:rPr/>
      </w:pPr>
      <w:r>
        <w:rPr>
          <w:rFonts w:ascii="Times New Roman" w:hAnsi="Times New Roman" w:eastAsia="Times New Roman" w:cs="Times New Roman"/>
          <w:spacing w:val="10"/>
        </w:rPr>
        <w:t>2</w:t>
      </w:r>
      <w:r>
        <w:rPr>
          <w:rFonts w:ascii="Times New Roman" w:hAnsi="Times New Roman" w:eastAsia="Times New Roman" w:cs="Times New Roman"/>
          <w:spacing w:val="-6"/>
        </w:rPr>
        <w:t xml:space="preserve"> </w:t>
      </w:r>
      <w:r>
        <w:rPr>
          <w:spacing w:val="10"/>
        </w:rPr>
        <w:t>．医疗卫生防疫部门主要负责洪涝灾区</w:t>
      </w:r>
    </w:p>
    <w:p>
      <w:pPr>
        <w:pStyle w:val="BodyText"/>
        <w:ind w:left="21"/>
        <w:spacing w:before="163" w:line="224" w:lineRule="auto"/>
        <w:outlineLvl w:val="0"/>
        <w:rPr/>
      </w:pPr>
      <w:r>
        <w:rPr>
          <w:spacing w:val="7"/>
        </w:rPr>
        <w:t>疾病防治的业务技术指导；组织医疗卫生队赴</w:t>
      </w:r>
    </w:p>
    <w:p>
      <w:pPr>
        <w:pStyle w:val="BodyText"/>
        <w:ind w:left="23" w:right="329" w:hanging="1"/>
        <w:spacing w:before="155" w:line="368" w:lineRule="auto"/>
        <w:rPr/>
      </w:pPr>
      <w:r>
        <w:rPr>
          <w:spacing w:val="7"/>
        </w:rPr>
        <w:t>灾区巡医问诊，负责灾区防疫消毒、抢救伤员</w:t>
      </w:r>
      <w:r>
        <w:rPr>
          <w:spacing w:val="5"/>
        </w:rPr>
        <w:t>等工作。</w:t>
      </w:r>
    </w:p>
    <w:p>
      <w:pPr>
        <w:ind w:left="446"/>
        <w:spacing w:line="264" w:lineRule="exact"/>
        <w:rPr>
          <w:rFonts w:ascii="KaiTi" w:hAnsi="KaiTi" w:eastAsia="KaiTi" w:cs="KaiTi"/>
          <w:sz w:val="20"/>
          <w:szCs w:val="20"/>
        </w:rPr>
      </w:pPr>
      <w:r>
        <w:rPr>
          <w:rFonts w:ascii="Times New Roman" w:hAnsi="Times New Roman" w:eastAsia="Times New Roman" w:cs="Times New Roman"/>
          <w:sz w:val="20"/>
          <w:szCs w:val="20"/>
          <w:spacing w:val="5"/>
          <w:position w:val="1"/>
        </w:rPr>
        <w:t>6.5  </w:t>
      </w:r>
      <w:r>
        <w:rPr>
          <w:rFonts w:ascii="KaiTi" w:hAnsi="KaiTi" w:eastAsia="KaiTi" w:cs="KaiTi"/>
          <w:sz w:val="20"/>
          <w:szCs w:val="20"/>
          <w:spacing w:val="5"/>
          <w:position w:val="1"/>
        </w:rPr>
        <w:t>物资与资金保障。</w:t>
      </w:r>
    </w:p>
    <w:p>
      <w:pPr>
        <w:pStyle w:val="BodyText"/>
        <w:ind w:left="446"/>
        <w:spacing w:before="138" w:line="221" w:lineRule="auto"/>
        <w:outlineLvl w:val="0"/>
        <w:rPr/>
      </w:pPr>
      <w:r>
        <w:rPr>
          <w:rFonts w:ascii="Times New Roman" w:hAnsi="Times New Roman" w:eastAsia="Times New Roman" w:cs="Times New Roman"/>
          <w:spacing w:val="5"/>
        </w:rPr>
        <w:t>6.5.1 </w:t>
      </w:r>
      <w:r>
        <w:rPr>
          <w:spacing w:val="5"/>
        </w:rPr>
        <w:t>物资储备和调拨。</w:t>
      </w:r>
    </w:p>
    <w:p>
      <w:pPr>
        <w:pStyle w:val="BodyText"/>
        <w:ind w:left="433"/>
        <w:spacing w:before="158" w:line="278" w:lineRule="exact"/>
        <w:outlineLvl w:val="0"/>
        <w:rPr/>
      </w:pPr>
      <w:r>
        <w:rPr>
          <w:spacing w:val="-2"/>
          <w:position w:val="1"/>
        </w:rPr>
        <w:t>（</w:t>
      </w:r>
      <w:r>
        <w:rPr>
          <w:spacing w:val="-47"/>
          <w:position w:val="1"/>
        </w:rPr>
        <w:t xml:space="preserve"> </w:t>
      </w:r>
      <w:r>
        <w:rPr>
          <w:rFonts w:ascii="Times New Roman" w:hAnsi="Times New Roman" w:eastAsia="Times New Roman" w:cs="Times New Roman"/>
          <w:spacing w:val="-2"/>
          <w:position w:val="1"/>
        </w:rPr>
        <w:t>1</w:t>
      </w:r>
      <w:r>
        <w:rPr>
          <w:rFonts w:ascii="Times New Roman" w:hAnsi="Times New Roman" w:eastAsia="Times New Roman" w:cs="Times New Roman"/>
          <w:spacing w:val="-21"/>
          <w:position w:val="1"/>
        </w:rPr>
        <w:t xml:space="preserve"> </w:t>
      </w:r>
      <w:r>
        <w:rPr>
          <w:spacing w:val="-2"/>
          <w:position w:val="1"/>
        </w:rPr>
        <w:t>）物资储备。</w:t>
      </w:r>
    </w:p>
    <w:p>
      <w:pPr>
        <w:pStyle w:val="BodyText"/>
        <w:ind w:left="23" w:right="327" w:firstLine="418"/>
        <w:spacing w:before="129" w:line="304" w:lineRule="auto"/>
        <w:outlineLvl w:val="0"/>
        <w:rPr/>
      </w:pPr>
      <w:r>
        <w:rPr>
          <w:rFonts w:ascii="KaiTi" w:hAnsi="KaiTi" w:eastAsia="KaiTi" w:cs="KaiTi"/>
          <w:spacing w:val="7"/>
        </w:rPr>
        <w:t>①</w:t>
      </w:r>
      <w:r>
        <w:rPr>
          <w:spacing w:val="7"/>
        </w:rPr>
        <w:t>按照</w:t>
      </w:r>
      <w:r>
        <w:rPr>
          <w:rFonts w:ascii="Times New Roman" w:hAnsi="Times New Roman" w:eastAsia="Times New Roman" w:cs="Times New Roman"/>
          <w:spacing w:val="7"/>
        </w:rPr>
        <w:t>“</w:t>
      </w:r>
      <w:r>
        <w:rPr>
          <w:spacing w:val="7"/>
        </w:rPr>
        <w:t>分级负担、分级管理</w:t>
      </w:r>
      <w:r>
        <w:rPr>
          <w:rFonts w:ascii="Times New Roman" w:hAnsi="Times New Roman" w:eastAsia="Times New Roman" w:cs="Times New Roman"/>
          <w:spacing w:val="7"/>
        </w:rPr>
        <w:t>”</w:t>
      </w:r>
      <w:r>
        <w:rPr>
          <w:spacing w:val="7"/>
        </w:rPr>
        <w:t>的原则，各</w:t>
      </w:r>
      <w:r>
        <w:rPr>
          <w:spacing w:val="7"/>
        </w:rPr>
        <w:t>级防汛指挥机构、重点防洪工程管理单位以及</w:t>
      </w:r>
    </w:p>
    <w:p>
      <w:pPr>
        <w:pStyle w:val="BodyText"/>
        <w:ind w:left="21" w:right="329"/>
        <w:spacing w:before="167" w:line="370" w:lineRule="auto"/>
        <w:jc w:val="both"/>
        <w:rPr/>
      </w:pPr>
      <w:r>
        <w:rPr>
          <w:spacing w:val="7"/>
        </w:rPr>
        <w:t>受洪水威胁的其他单位（包括有防汛抗洪任务</w:t>
      </w:r>
      <w:r>
        <w:rPr>
          <w:spacing w:val="7"/>
        </w:rPr>
        <w:t>的企业）应按规定储备防汛抢险救灾物资。防</w:t>
      </w:r>
      <w:r>
        <w:rPr>
          <w:spacing w:val="7"/>
        </w:rPr>
        <w:t>汛物资管理部门应及时掌握新材料、新设备的</w:t>
      </w:r>
      <w:r>
        <w:rPr>
          <w:spacing w:val="7"/>
        </w:rPr>
        <w:t>应用情况，及时调整储备物资品种，提高科技</w:t>
      </w:r>
      <w:r>
        <w:rPr>
          <w:spacing w:val="4"/>
        </w:rPr>
        <w:t>含量。</w:t>
      </w:r>
    </w:p>
    <w:p>
      <w:pPr>
        <w:pStyle w:val="BodyText"/>
        <w:ind w:left="441"/>
        <w:spacing w:before="56" w:line="263" w:lineRule="exact"/>
        <w:rPr/>
      </w:pPr>
      <w:r>
        <w:rPr>
          <w:rFonts w:ascii="KaiTi" w:hAnsi="KaiTi" w:eastAsia="KaiTi" w:cs="KaiTi"/>
          <w:spacing w:val="19"/>
          <w:position w:val="1"/>
        </w:rPr>
        <w:t>②</w:t>
      </w:r>
      <w:r>
        <w:rPr>
          <w:spacing w:val="19"/>
          <w:position w:val="1"/>
        </w:rPr>
        <w:t>城市防汛抗洪抢险的物资储备由市应</w:t>
      </w:r>
    </w:p>
    <w:p>
      <w:pPr>
        <w:pStyle w:val="BodyText"/>
        <w:ind w:left="25"/>
        <w:spacing w:before="153" w:line="221" w:lineRule="auto"/>
        <w:outlineLvl w:val="0"/>
        <w:rPr/>
      </w:pPr>
      <w:r>
        <w:rPr>
          <w:spacing w:val="7"/>
        </w:rPr>
        <w:t>急管理指挥部负责储备。市防指储备的防汛物</w:t>
      </w:r>
    </w:p>
    <w:p>
      <w:pPr>
        <w:pStyle w:val="BodyText"/>
        <w:ind w:left="21" w:right="329" w:firstLine="5"/>
        <w:spacing w:before="171" w:line="376" w:lineRule="auto"/>
        <w:jc w:val="both"/>
        <w:rPr/>
      </w:pPr>
      <w:r>
        <w:rPr>
          <w:spacing w:val="7"/>
        </w:rPr>
        <w:t>资，主要用于城市防汛抗洪抢险，并支援遭受</w:t>
      </w:r>
      <w:r>
        <w:rPr>
          <w:spacing w:val="4"/>
        </w:rPr>
        <w:t>大洪涝灾害县（</w:t>
      </w:r>
      <w:r>
        <w:rPr>
          <w:spacing w:val="-35"/>
        </w:rPr>
        <w:t xml:space="preserve"> </w:t>
      </w:r>
      <w:r>
        <w:rPr>
          <w:spacing w:val="4"/>
        </w:rPr>
        <w:t>区）、乡镇办事处防汛抢险的</w:t>
      </w:r>
      <w:r>
        <w:rPr>
          <w:spacing w:val="7"/>
        </w:rPr>
        <w:t>应急需要。必要时，市应急管理指挥部向自治</w:t>
      </w:r>
      <w:r>
        <w:rPr>
          <w:spacing w:val="8"/>
        </w:rPr>
        <w:t>区应急管理指挥部请求支持。</w:t>
      </w:r>
    </w:p>
    <w:p>
      <w:pPr>
        <w:pStyle w:val="BodyText"/>
        <w:ind w:left="441"/>
        <w:spacing w:before="16" w:line="275" w:lineRule="exact"/>
        <w:rPr/>
      </w:pPr>
      <w:r>
        <w:rPr>
          <w:rFonts w:ascii="KaiTi" w:hAnsi="KaiTi" w:eastAsia="KaiTi" w:cs="KaiTi"/>
          <w:spacing w:val="19"/>
          <w:position w:val="1"/>
        </w:rPr>
        <w:t>③</w:t>
      </w:r>
      <w:r>
        <w:rPr>
          <w:spacing w:val="19"/>
          <w:position w:val="1"/>
        </w:rPr>
        <w:t>各级防汛指挥机构储备的防汛物资品</w:t>
      </w:r>
    </w:p>
    <w:p>
      <w:pPr>
        <w:pStyle w:val="BodyText"/>
        <w:ind w:left="22"/>
        <w:spacing w:before="140" w:line="223" w:lineRule="auto"/>
        <w:outlineLvl w:val="0"/>
        <w:rPr/>
      </w:pPr>
      <w:r>
        <w:rPr>
          <w:spacing w:val="7"/>
        </w:rPr>
        <w:t>种及数量，根据本地抗洪抢险的需要和具体情</w:t>
      </w:r>
    </w:p>
    <w:p>
      <w:pPr>
        <w:pStyle w:val="BodyText"/>
        <w:ind w:left="13" w:right="211" w:firstLine="9"/>
        <w:spacing w:before="166" w:line="380" w:lineRule="auto"/>
        <w:rPr/>
      </w:pPr>
      <w:r>
        <w:rPr>
          <w:spacing w:val="3"/>
        </w:rPr>
        <w:t>况，按照水利部《防汛物资储备定额编制规程》</w:t>
      </w:r>
      <w:r>
        <w:rPr/>
        <w:t xml:space="preserve"> </w:t>
      </w:r>
      <w:r>
        <w:rPr>
          <w:spacing w:val="-5"/>
        </w:rPr>
        <w:t>（</w:t>
      </w:r>
      <w:r>
        <w:rPr>
          <w:rFonts w:ascii="Times New Roman" w:hAnsi="Times New Roman" w:eastAsia="Times New Roman" w:cs="Times New Roman"/>
          <w:spacing w:val="-5"/>
        </w:rPr>
        <w:t>SL298-2004</w:t>
      </w:r>
      <w:r>
        <w:rPr>
          <w:spacing w:val="-5"/>
        </w:rPr>
        <w:t>）要求，由各级防汛指挥机构确定。</w:t>
      </w:r>
    </w:p>
    <w:p>
      <w:pPr>
        <w:pStyle w:val="BodyText"/>
        <w:ind w:left="22" w:right="329" w:firstLine="419"/>
        <w:spacing w:before="3" w:line="300" w:lineRule="auto"/>
        <w:outlineLvl w:val="0"/>
        <w:rPr/>
      </w:pPr>
      <w:r>
        <w:rPr>
          <w:rFonts w:ascii="KaiTi" w:hAnsi="KaiTi" w:eastAsia="KaiTi" w:cs="KaiTi"/>
          <w:spacing w:val="6"/>
        </w:rPr>
        <w:t>④</w:t>
      </w:r>
      <w:r>
        <w:rPr>
          <w:spacing w:val="6"/>
        </w:rPr>
        <w:t>按照水利部《防汛物资储备定额编制规</w:t>
      </w:r>
      <w:r>
        <w:rPr>
          <w:spacing w:val="-6"/>
        </w:rPr>
        <w:t>程》（</w:t>
      </w:r>
      <w:r>
        <w:rPr>
          <w:spacing w:val="-49"/>
        </w:rPr>
        <w:t xml:space="preserve"> </w:t>
      </w:r>
      <w:r>
        <w:rPr>
          <w:rFonts w:ascii="Times New Roman" w:hAnsi="Times New Roman" w:eastAsia="Times New Roman" w:cs="Times New Roman"/>
          <w:spacing w:val="-6"/>
        </w:rPr>
        <w:t>SL298-2004</w:t>
      </w:r>
      <w:r>
        <w:rPr>
          <w:rFonts w:ascii="Times New Roman" w:hAnsi="Times New Roman" w:eastAsia="Times New Roman" w:cs="Times New Roman"/>
          <w:spacing w:val="-21"/>
        </w:rPr>
        <w:t xml:space="preserve"> </w:t>
      </w:r>
      <w:r>
        <w:rPr>
          <w:spacing w:val="-6"/>
        </w:rPr>
        <w:t>）</w:t>
      </w:r>
    </w:p>
    <w:p>
      <w:pPr>
        <w:spacing w:line="14" w:lineRule="auto"/>
        <w:rPr>
          <w:rFonts w:ascii="Arial"/>
          <w:sz w:val="2"/>
        </w:rPr>
      </w:pPr>
      <w:r>
        <w:rPr>
          <w:rFonts w:ascii="Arial" w:hAnsi="Arial" w:eastAsia="Arial" w:cs="Arial"/>
          <w:sz w:val="2"/>
          <w:szCs w:val="2"/>
        </w:rPr>
        <w:br w:type="column"/>
      </w:r>
    </w:p>
    <w:p>
      <w:pPr>
        <w:pStyle w:val="BodyText"/>
        <w:spacing w:before="52" w:line="278" w:lineRule="exact"/>
        <w:rPr/>
      </w:pPr>
      <w:r>
        <w:rPr>
          <w:spacing w:val="7"/>
          <w:position w:val="1"/>
        </w:rPr>
        <w:t>要求，市级应储备的防汛物资品种及数量为袋</w:t>
      </w:r>
    </w:p>
    <w:p>
      <w:pPr>
        <w:pStyle w:val="BodyText"/>
        <w:spacing w:before="136" w:line="223" w:lineRule="auto"/>
        <w:outlineLvl w:val="0"/>
        <w:rPr/>
      </w:pPr>
      <w:r>
        <w:rPr>
          <w:spacing w:val="3"/>
        </w:rPr>
        <w:t>类</w:t>
      </w:r>
      <w:r>
        <w:rPr>
          <w:spacing w:val="-38"/>
        </w:rPr>
        <w:t xml:space="preserve"> </w:t>
      </w:r>
      <w:r>
        <w:rPr>
          <w:rFonts w:ascii="Times New Roman" w:hAnsi="Times New Roman" w:eastAsia="Times New Roman" w:cs="Times New Roman"/>
          <w:spacing w:val="3"/>
        </w:rPr>
        <w:t>20 </w:t>
      </w:r>
      <w:r>
        <w:rPr>
          <w:spacing w:val="3"/>
        </w:rPr>
        <w:t>万条</w:t>
      </w:r>
      <w:r>
        <w:rPr>
          <w:spacing w:val="-59"/>
        </w:rPr>
        <w:t xml:space="preserve"> </w:t>
      </w:r>
      <w:r>
        <w:rPr>
          <w:spacing w:val="3"/>
        </w:rPr>
        <w:t>，砂石料</w:t>
      </w:r>
      <w:r>
        <w:rPr>
          <w:spacing w:val="-41"/>
        </w:rPr>
        <w:t xml:space="preserve"> </w:t>
      </w:r>
      <w:r>
        <w:rPr>
          <w:rFonts w:ascii="Times New Roman" w:hAnsi="Times New Roman" w:eastAsia="Times New Roman" w:cs="Times New Roman"/>
          <w:spacing w:val="3"/>
        </w:rPr>
        <w:t>2000</w:t>
      </w:r>
      <w:r>
        <w:rPr>
          <w:rFonts w:ascii="Times New Roman" w:hAnsi="Times New Roman" w:eastAsia="Times New Roman" w:cs="Times New Roman"/>
          <w:spacing w:val="25"/>
        </w:rPr>
        <w:t xml:space="preserve"> </w:t>
      </w:r>
      <w:r>
        <w:rPr>
          <w:spacing w:val="3"/>
        </w:rPr>
        <w:t>吨</w:t>
      </w:r>
      <w:r>
        <w:rPr>
          <w:spacing w:val="-59"/>
        </w:rPr>
        <w:t xml:space="preserve"> </w:t>
      </w:r>
      <w:r>
        <w:rPr>
          <w:spacing w:val="3"/>
        </w:rPr>
        <w:t>，块石</w:t>
      </w:r>
      <w:r>
        <w:rPr>
          <w:spacing w:val="-36"/>
        </w:rPr>
        <w:t xml:space="preserve"> </w:t>
      </w:r>
      <w:r>
        <w:rPr>
          <w:rFonts w:ascii="Times New Roman" w:hAnsi="Times New Roman" w:eastAsia="Times New Roman" w:cs="Times New Roman"/>
          <w:spacing w:val="3"/>
        </w:rPr>
        <w:t>20</w:t>
      </w:r>
      <w:r>
        <w:rPr>
          <w:rFonts w:ascii="Times New Roman" w:hAnsi="Times New Roman" w:eastAsia="Times New Roman" w:cs="Times New Roman"/>
          <w:spacing w:val="2"/>
        </w:rPr>
        <w:t>00</w:t>
      </w:r>
      <w:r>
        <w:rPr>
          <w:rFonts w:ascii="Times New Roman" w:hAnsi="Times New Roman" w:eastAsia="Times New Roman" w:cs="Times New Roman"/>
          <w:spacing w:val="25"/>
        </w:rPr>
        <w:t xml:space="preserve"> </w:t>
      </w:r>
      <w:r>
        <w:rPr>
          <w:spacing w:val="2"/>
        </w:rPr>
        <w:t>吨，</w:t>
      </w:r>
    </w:p>
    <w:p>
      <w:pPr>
        <w:pStyle w:val="BodyText"/>
        <w:ind w:left="6"/>
        <w:spacing w:before="104" w:line="340" w:lineRule="exact"/>
        <w:rPr/>
      </w:pPr>
      <w:r>
        <w:rPr>
          <w:spacing w:val="2"/>
        </w:rPr>
        <w:t>土工布</w:t>
      </w:r>
      <w:r>
        <w:rPr>
          <w:spacing w:val="-11"/>
        </w:rPr>
        <w:t xml:space="preserve"> </w:t>
      </w:r>
      <w:r>
        <w:rPr>
          <w:rFonts w:ascii="Times New Roman" w:hAnsi="Times New Roman" w:eastAsia="Times New Roman" w:cs="Times New Roman"/>
          <w:spacing w:val="2"/>
        </w:rPr>
        <w:t>10 </w:t>
      </w:r>
      <w:r>
        <w:rPr>
          <w:spacing w:val="2"/>
        </w:rPr>
        <w:t>万</w:t>
      </w:r>
      <w:r>
        <w:rPr>
          <w:spacing w:val="-43"/>
        </w:rPr>
        <w:t xml:space="preserve"> </w:t>
      </w:r>
      <w:r>
        <w:rPr>
          <w:rFonts w:ascii="Times New Roman" w:hAnsi="Times New Roman" w:eastAsia="Times New Roman" w:cs="Times New Roman"/>
          <w:spacing w:val="2"/>
        </w:rPr>
        <w:t>m</w:t>
      </w:r>
      <w:r>
        <w:rPr>
          <w:rFonts w:ascii="Times New Roman" w:hAnsi="Times New Roman" w:eastAsia="Times New Roman" w:cs="Times New Roman"/>
          <w:spacing w:val="2"/>
          <w:position w:val="9"/>
        </w:rPr>
        <w:t>2</w:t>
      </w:r>
      <w:r>
        <w:rPr>
          <w:rFonts w:ascii="Times New Roman" w:hAnsi="Times New Roman" w:eastAsia="Times New Roman" w:cs="Times New Roman"/>
          <w:spacing w:val="-14"/>
          <w:position w:val="9"/>
        </w:rPr>
        <w:t xml:space="preserve"> </w:t>
      </w:r>
      <w:r>
        <w:rPr>
          <w:spacing w:val="2"/>
        </w:rPr>
        <w:t>，木材</w:t>
      </w:r>
      <w:r>
        <w:rPr>
          <w:spacing w:val="-41"/>
        </w:rPr>
        <w:t xml:space="preserve"> </w:t>
      </w:r>
      <w:r>
        <w:rPr>
          <w:rFonts w:ascii="Times New Roman" w:hAnsi="Times New Roman" w:eastAsia="Times New Roman" w:cs="Times New Roman"/>
          <w:spacing w:val="2"/>
        </w:rPr>
        <w:t>200m</w:t>
      </w:r>
      <w:r>
        <w:rPr>
          <w:rFonts w:ascii="Times New Roman" w:hAnsi="Times New Roman" w:eastAsia="Times New Roman" w:cs="Times New Roman"/>
          <w:spacing w:val="2"/>
          <w:position w:val="2"/>
        </w:rPr>
        <w:t>3 </w:t>
      </w:r>
      <w:r>
        <w:rPr>
          <w:spacing w:val="2"/>
          <w:position w:val="2"/>
        </w:rPr>
        <w:t>等</w:t>
      </w:r>
      <w:r>
        <w:rPr>
          <w:spacing w:val="2"/>
        </w:rPr>
        <w:t>。</w:t>
      </w:r>
    </w:p>
    <w:p>
      <w:pPr>
        <w:pStyle w:val="BodyText"/>
        <w:ind w:left="413"/>
        <w:spacing w:before="135" w:line="278" w:lineRule="exact"/>
        <w:outlineLvl w:val="0"/>
        <w:rPr/>
      </w:pPr>
      <w:r>
        <w:rPr>
          <w:spacing w:val="4"/>
          <w:position w:val="1"/>
        </w:rPr>
        <w:t>（</w:t>
      </w:r>
      <w:r>
        <w:rPr>
          <w:rFonts w:ascii="Times New Roman" w:hAnsi="Times New Roman" w:eastAsia="Times New Roman" w:cs="Times New Roman"/>
          <w:spacing w:val="4"/>
          <w:position w:val="1"/>
        </w:rPr>
        <w:t>2</w:t>
      </w:r>
      <w:r>
        <w:rPr>
          <w:rFonts w:ascii="Times New Roman" w:hAnsi="Times New Roman" w:eastAsia="Times New Roman" w:cs="Times New Roman"/>
          <w:spacing w:val="-16"/>
          <w:position w:val="1"/>
        </w:rPr>
        <w:t xml:space="preserve"> </w:t>
      </w:r>
      <w:r>
        <w:rPr>
          <w:spacing w:val="4"/>
          <w:position w:val="1"/>
        </w:rPr>
        <w:t>）物资调拨。</w:t>
      </w:r>
    </w:p>
    <w:p>
      <w:pPr>
        <w:pStyle w:val="BodyText"/>
        <w:ind w:left="3" w:right="98" w:firstLine="417"/>
        <w:spacing w:before="131" w:line="330" w:lineRule="auto"/>
        <w:outlineLvl w:val="0"/>
        <w:rPr/>
      </w:pPr>
      <w:r>
        <w:rPr>
          <w:rFonts w:ascii="KaiTi" w:hAnsi="KaiTi" w:eastAsia="KaiTi" w:cs="KaiTi"/>
          <w:spacing w:val="24"/>
        </w:rPr>
        <w:t>①</w:t>
      </w:r>
      <w:r>
        <w:rPr>
          <w:spacing w:val="24"/>
        </w:rPr>
        <w:t>市级防汛物资的调用应本着</w:t>
      </w:r>
      <w:r>
        <w:rPr>
          <w:rFonts w:ascii="Times New Roman" w:hAnsi="Times New Roman" w:eastAsia="Times New Roman" w:cs="Times New Roman"/>
          <w:spacing w:val="24"/>
        </w:rPr>
        <w:t>“</w:t>
      </w:r>
      <w:r>
        <w:rPr>
          <w:rFonts w:ascii="Times New Roman" w:hAnsi="Times New Roman" w:eastAsia="Times New Roman" w:cs="Times New Roman"/>
          <w:spacing w:val="-20"/>
        </w:rPr>
        <w:t xml:space="preserve"> </w:t>
      </w:r>
      <w:r>
        <w:rPr>
          <w:spacing w:val="24"/>
        </w:rPr>
        <w:t>先主后</w:t>
      </w:r>
      <w:r>
        <w:rPr>
          <w:spacing w:val="6"/>
        </w:rPr>
        <w:t>次</w:t>
      </w:r>
      <w:r>
        <w:rPr>
          <w:spacing w:val="-50"/>
        </w:rPr>
        <w:t xml:space="preserve"> </w:t>
      </w:r>
      <w:r>
        <w:rPr>
          <w:spacing w:val="6"/>
        </w:rPr>
        <w:t>，满足急需</w:t>
      </w:r>
      <w:r>
        <w:rPr>
          <w:spacing w:val="-58"/>
        </w:rPr>
        <w:t xml:space="preserve"> </w:t>
      </w:r>
      <w:r>
        <w:rPr>
          <w:spacing w:val="6"/>
        </w:rPr>
        <w:t>，及时高效</w:t>
      </w:r>
      <w:r>
        <w:rPr>
          <w:rFonts w:ascii="Times New Roman" w:hAnsi="Times New Roman" w:eastAsia="Times New Roman" w:cs="Times New Roman"/>
          <w:spacing w:val="6"/>
        </w:rPr>
        <w:t>”</w:t>
      </w:r>
      <w:r>
        <w:rPr>
          <w:spacing w:val="6"/>
        </w:rPr>
        <w:t>原则</w:t>
      </w:r>
      <w:r>
        <w:rPr>
          <w:spacing w:val="-59"/>
        </w:rPr>
        <w:t xml:space="preserve"> </w:t>
      </w:r>
      <w:r>
        <w:rPr>
          <w:spacing w:val="6"/>
        </w:rPr>
        <w:t>，优先保证重</w:t>
      </w:r>
      <w:r>
        <w:rPr>
          <w:spacing w:val="8"/>
        </w:rPr>
        <w:t>点地区的防汛抢险和抗旱物资急需。</w:t>
      </w:r>
    </w:p>
    <w:p>
      <w:pPr>
        <w:pStyle w:val="BodyText"/>
        <w:ind w:left="3" w:right="94" w:firstLine="417"/>
        <w:spacing w:before="169" w:line="307" w:lineRule="auto"/>
        <w:outlineLvl w:val="0"/>
        <w:rPr/>
      </w:pPr>
      <w:r>
        <w:rPr>
          <w:rFonts w:ascii="KaiTi" w:hAnsi="KaiTi" w:eastAsia="KaiTi" w:cs="KaiTi"/>
          <w:spacing w:val="7"/>
        </w:rPr>
        <w:t>②</w:t>
      </w:r>
      <w:r>
        <w:rPr>
          <w:spacing w:val="7"/>
        </w:rPr>
        <w:t>市级储备的防汛物资调拨须逐级申请，</w:t>
      </w:r>
      <w:r>
        <w:rPr>
          <w:spacing w:val="7"/>
        </w:rPr>
        <w:t>经市应急管理指挥部批准，由市应急管理指挥</w:t>
      </w:r>
    </w:p>
    <w:p>
      <w:pPr>
        <w:pStyle w:val="BodyText"/>
        <w:ind w:left="1" w:right="78"/>
        <w:spacing w:before="176" w:line="382" w:lineRule="auto"/>
        <w:jc w:val="both"/>
        <w:rPr/>
      </w:pPr>
      <w:r>
        <w:rPr>
          <w:spacing w:val="18"/>
        </w:rPr>
        <w:t>部向各储备单位签发调拨令。紧急抢险情况</w:t>
      </w:r>
      <w:r>
        <w:rPr>
          <w:spacing w:val="8"/>
        </w:rPr>
        <w:t>下，可用电话申请批准调动，用后补办手续。</w:t>
      </w:r>
      <w:r>
        <w:rPr>
          <w:spacing w:val="8"/>
        </w:rPr>
        <w:t>申请内容包括用途和需用物资的品种、数量、</w:t>
      </w:r>
      <w:r>
        <w:rPr>
          <w:spacing w:val="8"/>
        </w:rPr>
        <w:t>运往地点、时间等。</w:t>
      </w:r>
    </w:p>
    <w:p>
      <w:pPr>
        <w:pStyle w:val="BodyText"/>
        <w:ind w:left="2" w:right="94" w:firstLine="419"/>
        <w:spacing w:before="11" w:line="307" w:lineRule="auto"/>
        <w:outlineLvl w:val="0"/>
        <w:rPr/>
      </w:pPr>
      <w:r>
        <w:rPr>
          <w:rFonts w:ascii="KaiTi" w:hAnsi="KaiTi" w:eastAsia="KaiTi" w:cs="KaiTi"/>
          <w:spacing w:val="7"/>
        </w:rPr>
        <w:t>③</w:t>
      </w:r>
      <w:r>
        <w:rPr>
          <w:spacing w:val="7"/>
        </w:rPr>
        <w:t>市级各储备单位、仓库接到调拨令后，</w:t>
      </w:r>
      <w:r>
        <w:rPr>
          <w:spacing w:val="7"/>
        </w:rPr>
        <w:t>必须立即组织发货，申请单位负责组织运输，</w:t>
      </w:r>
    </w:p>
    <w:p>
      <w:pPr>
        <w:pStyle w:val="BodyText"/>
        <w:ind w:right="101"/>
        <w:spacing w:before="179" w:line="383" w:lineRule="auto"/>
        <w:rPr/>
      </w:pPr>
      <w:r>
        <w:rPr>
          <w:spacing w:val="18"/>
        </w:rPr>
        <w:t>并及时向市应急管理指挥部办公室反馈调拨</w:t>
      </w:r>
      <w:r>
        <w:rPr>
          <w:spacing w:val="4"/>
        </w:rPr>
        <w:t>情况。</w:t>
      </w:r>
    </w:p>
    <w:p>
      <w:pPr>
        <w:pStyle w:val="BodyText"/>
        <w:ind w:left="3" w:right="101" w:firstLine="418"/>
        <w:spacing w:before="1" w:line="305" w:lineRule="auto"/>
        <w:outlineLvl w:val="0"/>
        <w:rPr/>
      </w:pPr>
      <w:r>
        <w:rPr>
          <w:rFonts w:ascii="KaiTi" w:hAnsi="KaiTi" w:eastAsia="KaiTi" w:cs="KaiTi"/>
          <w:spacing w:val="6"/>
        </w:rPr>
        <w:t>④</w:t>
      </w:r>
      <w:r>
        <w:rPr>
          <w:spacing w:val="6"/>
        </w:rPr>
        <w:t>进入紧急防汛期，各级防汛指挥机构根</w:t>
      </w:r>
      <w:r>
        <w:rPr>
          <w:spacing w:val="7"/>
        </w:rPr>
        <w:t>据防汛抗洪的需要，可在其管辖范围内调用物</w:t>
      </w:r>
    </w:p>
    <w:p>
      <w:pPr>
        <w:pStyle w:val="BodyText"/>
        <w:ind w:left="1" w:right="20" w:firstLine="4"/>
        <w:spacing w:before="176" w:line="386" w:lineRule="auto"/>
        <w:jc w:val="both"/>
        <w:rPr/>
      </w:pPr>
      <w:r>
        <w:rPr>
          <w:spacing w:val="1"/>
        </w:rPr>
        <w:t>资、设备、交通运输工具等。凡运送防汛人员、</w:t>
      </w:r>
      <w:r>
        <w:rPr>
          <w:spacing w:val="7"/>
        </w:rPr>
        <w:t>物资的车辆根据自治区规定在各等级公路、桥</w:t>
      </w:r>
      <w:r>
        <w:rPr>
          <w:spacing w:val="10"/>
        </w:rPr>
        <w:t>梁和渡口均免费通行。电力部门要保障防洪、</w:t>
      </w:r>
      <w:r>
        <w:rPr>
          <w:spacing w:val="8"/>
        </w:rPr>
        <w:t>排涝、抗旱供电。</w:t>
      </w:r>
    </w:p>
    <w:p>
      <w:pPr>
        <w:pStyle w:val="BodyText"/>
        <w:ind w:left="426"/>
        <w:spacing w:before="1" w:line="221" w:lineRule="auto"/>
        <w:outlineLvl w:val="0"/>
        <w:rPr/>
      </w:pPr>
      <w:r>
        <w:rPr>
          <w:rFonts w:ascii="Times New Roman" w:hAnsi="Times New Roman" w:eastAsia="Times New Roman" w:cs="Times New Roman"/>
          <w:spacing w:val="4"/>
        </w:rPr>
        <w:t>6.5.2 </w:t>
      </w:r>
      <w:r>
        <w:rPr>
          <w:spacing w:val="4"/>
        </w:rPr>
        <w:t>资金保障</w:t>
      </w:r>
    </w:p>
    <w:p>
      <w:pPr>
        <w:pStyle w:val="BodyText"/>
        <w:ind w:left="413"/>
        <w:spacing w:before="175" w:line="277" w:lineRule="exact"/>
        <w:rPr/>
      </w:pPr>
      <w:r>
        <w:rPr>
          <w:spacing w:val="20"/>
          <w:position w:val="1"/>
        </w:rPr>
        <w:t>（</w:t>
      </w:r>
      <w:r>
        <w:rPr>
          <w:spacing w:val="-37"/>
          <w:position w:val="1"/>
        </w:rPr>
        <w:t xml:space="preserve"> </w:t>
      </w:r>
      <w:r>
        <w:rPr>
          <w:rFonts w:ascii="Times New Roman" w:hAnsi="Times New Roman" w:eastAsia="Times New Roman" w:cs="Times New Roman"/>
          <w:spacing w:val="20"/>
          <w:position w:val="1"/>
        </w:rPr>
        <w:t>1</w:t>
      </w:r>
      <w:r>
        <w:rPr>
          <w:rFonts w:ascii="Times New Roman" w:hAnsi="Times New Roman" w:eastAsia="Times New Roman" w:cs="Times New Roman"/>
          <w:spacing w:val="-20"/>
          <w:position w:val="1"/>
        </w:rPr>
        <w:t xml:space="preserve"> </w:t>
      </w:r>
      <w:r>
        <w:rPr>
          <w:spacing w:val="20"/>
          <w:position w:val="1"/>
        </w:rPr>
        <w:t>）各级财政预算每年要安排防汛经</w:t>
      </w:r>
    </w:p>
    <w:p>
      <w:pPr>
        <w:pStyle w:val="BodyText"/>
        <w:ind w:left="8"/>
        <w:spacing w:before="144" w:line="222" w:lineRule="auto"/>
        <w:outlineLvl w:val="0"/>
        <w:rPr/>
      </w:pPr>
      <w:r>
        <w:rPr>
          <w:spacing w:val="6"/>
        </w:rPr>
        <w:t>费，用于辖区内防汛物资储备、水利设施运行</w:t>
      </w:r>
    </w:p>
    <w:p>
      <w:pPr>
        <w:pStyle w:val="BodyText"/>
        <w:ind w:left="2" w:right="36" w:firstLine="5"/>
        <w:spacing w:before="182" w:line="384" w:lineRule="auto"/>
        <w:jc w:val="both"/>
        <w:rPr/>
      </w:pPr>
      <w:r>
        <w:rPr>
          <w:spacing w:val="6"/>
        </w:rPr>
        <w:t>与维护、水利工程应急除险、抗旱应急水源工</w:t>
      </w:r>
      <w:r>
        <w:rPr/>
        <w:t>程、防汛抢险和卫生防疫。因汛情、旱情需要，</w:t>
      </w:r>
      <w:r>
        <w:rPr>
          <w:spacing w:val="18"/>
        </w:rPr>
        <w:t>可争取中央财政和省级财政的特大防汛补助</w:t>
      </w:r>
      <w:r>
        <w:rPr>
          <w:spacing w:val="6"/>
        </w:rPr>
        <w:t>费支持。</w:t>
      </w:r>
    </w:p>
    <w:p>
      <w:pPr>
        <w:pStyle w:val="BodyText"/>
        <w:ind w:left="413"/>
        <w:spacing w:line="278" w:lineRule="exact"/>
        <w:outlineLvl w:val="0"/>
        <w:rPr/>
      </w:pPr>
      <w:r>
        <w:rPr>
          <w:spacing w:val="8"/>
          <w:position w:val="1"/>
        </w:rPr>
        <w:t>（</w:t>
      </w:r>
      <w:r>
        <w:rPr>
          <w:rFonts w:ascii="Times New Roman" w:hAnsi="Times New Roman" w:eastAsia="Times New Roman" w:cs="Times New Roman"/>
          <w:spacing w:val="8"/>
          <w:position w:val="1"/>
        </w:rPr>
        <w:t>2</w:t>
      </w:r>
      <w:r>
        <w:rPr>
          <w:rFonts w:ascii="Times New Roman" w:hAnsi="Times New Roman" w:eastAsia="Times New Roman" w:cs="Times New Roman"/>
          <w:spacing w:val="-5"/>
          <w:position w:val="1"/>
        </w:rPr>
        <w:t xml:space="preserve"> </w:t>
      </w:r>
      <w:r>
        <w:rPr>
          <w:spacing w:val="8"/>
          <w:position w:val="1"/>
        </w:rPr>
        <w:t>）按照有关规定</w:t>
      </w:r>
      <w:r>
        <w:rPr>
          <w:spacing w:val="-59"/>
          <w:position w:val="1"/>
        </w:rPr>
        <w:t xml:space="preserve"> </w:t>
      </w:r>
      <w:r>
        <w:rPr>
          <w:spacing w:val="8"/>
          <w:position w:val="1"/>
        </w:rPr>
        <w:t>，可以在防洪保护区</w:t>
      </w:r>
    </w:p>
    <w:p>
      <w:pPr>
        <w:spacing w:line="278" w:lineRule="exact"/>
        <w:sectPr>
          <w:type w:val="continuous"/>
          <w:pgSz w:w="11906" w:h="16839"/>
          <w:pgMar w:top="1772" w:right="1489" w:bottom="1572" w:left="1571" w:header="1428" w:footer="1172" w:gutter="0"/>
          <w:cols w:equalWidth="0" w:num="2">
            <w:col w:w="4498" w:space="100"/>
            <w:col w:w="4249" w:space="0"/>
          </w:cols>
        </w:sectPr>
        <w:rPr/>
      </w:pPr>
    </w:p>
    <w:p>
      <w:pPr>
        <w:spacing w:before="65"/>
        <w:rPr/>
      </w:pPr>
      <w:r>
        <w:drawing>
          <wp:anchor distT="0" distB="0" distL="0" distR="0" simplePos="0" relativeHeight="254831616" behindDoc="0" locked="0" layoutInCell="0" allowOverlap="1">
            <wp:simplePos x="0" y="0"/>
            <wp:positionH relativeFrom="page">
              <wp:posOffset>1008380</wp:posOffset>
            </wp:positionH>
            <wp:positionV relativeFrom="page">
              <wp:posOffset>1278890</wp:posOffset>
            </wp:positionV>
            <wp:extent cx="5579745" cy="7619"/>
            <wp:effectExtent l="0" t="0" r="0" b="0"/>
            <wp:wrapNone/>
            <wp:docPr id="2468" name="IM 2468"/>
            <wp:cNvGraphicFramePr/>
            <a:graphic>
              <a:graphicData uri="http://schemas.openxmlformats.org/drawingml/2006/picture">
                <pic:pic>
                  <pic:nvPicPr>
                    <pic:cNvPr id="2468" name="IM 2468"/>
                    <pic:cNvPicPr/>
                  </pic:nvPicPr>
                  <pic:blipFill>
                    <a:blip r:embed="rId1239"/>
                    <a:stretch>
                      <a:fillRect/>
                    </a:stretch>
                  </pic:blipFill>
                  <pic:spPr>
                    <a:xfrm rot="0">
                      <a:off x="0" y="0"/>
                      <a:ext cx="5579745" cy="7619"/>
                    </a:xfrm>
                    <a:prstGeom prst="rect">
                      <a:avLst/>
                    </a:prstGeom>
                  </pic:spPr>
                </pic:pic>
              </a:graphicData>
            </a:graphic>
          </wp:anchor>
        </w:drawing>
      </w:r>
      <w:r/>
    </w:p>
    <w:p>
      <w:pPr>
        <w:sectPr>
          <w:headerReference w:type="default" r:id="rId1184"/>
          <w:footerReference w:type="default" r:id="rId1238"/>
          <w:pgSz w:w="11906" w:h="16839"/>
          <w:pgMar w:top="1974" w:right="1530" w:bottom="1574" w:left="1579" w:header="1634" w:footer="1172" w:gutter="0"/>
          <w:cols w:equalWidth="0" w:num="1">
            <w:col w:w="8796" w:space="0"/>
          </w:cols>
        </w:sectPr>
        <w:rPr/>
      </w:pPr>
    </w:p>
    <w:p>
      <w:pPr>
        <w:pStyle w:val="BodyText"/>
        <w:ind w:left="20" w:right="329" w:hanging="3"/>
        <w:spacing w:before="65" w:line="376" w:lineRule="auto"/>
        <w:jc w:val="both"/>
        <w:rPr/>
      </w:pPr>
      <w:r>
        <w:rPr>
          <w:spacing w:val="7"/>
        </w:rPr>
        <w:t>范围内依法征收河道工程修建维护管理费。征</w:t>
      </w:r>
      <w:r>
        <w:rPr>
          <w:spacing w:val="17"/>
        </w:rPr>
        <w:t>收河道工程修建维护管理费应足额用于城市</w:t>
      </w:r>
      <w:r>
        <w:rPr>
          <w:spacing w:val="6"/>
        </w:rPr>
        <w:t>防洪工程建设。</w:t>
      </w:r>
    </w:p>
    <w:p>
      <w:pPr>
        <w:pStyle w:val="BodyText"/>
        <w:ind w:left="17" w:right="332" w:firstLine="407"/>
        <w:spacing w:before="1" w:line="287" w:lineRule="auto"/>
        <w:outlineLvl w:val="0"/>
        <w:rPr/>
      </w:pPr>
      <w:r>
        <w:rPr>
          <w:spacing w:val="8"/>
        </w:rPr>
        <w:t>（</w:t>
      </w:r>
      <w:r>
        <w:rPr>
          <w:rFonts w:ascii="Times New Roman" w:hAnsi="Times New Roman" w:eastAsia="Times New Roman" w:cs="Times New Roman"/>
          <w:spacing w:val="8"/>
        </w:rPr>
        <w:t>3</w:t>
      </w:r>
      <w:r>
        <w:rPr>
          <w:rFonts w:ascii="Times New Roman" w:hAnsi="Times New Roman" w:eastAsia="Times New Roman" w:cs="Times New Roman"/>
          <w:spacing w:val="-5"/>
        </w:rPr>
        <w:t xml:space="preserve"> </w:t>
      </w:r>
      <w:r>
        <w:rPr>
          <w:spacing w:val="8"/>
        </w:rPr>
        <w:t>）按照有关规定</w:t>
      </w:r>
      <w:r>
        <w:rPr>
          <w:spacing w:val="-59"/>
        </w:rPr>
        <w:t xml:space="preserve"> </w:t>
      </w:r>
      <w:r>
        <w:rPr>
          <w:spacing w:val="8"/>
        </w:rPr>
        <w:t>，每年从城市建设维</w:t>
      </w:r>
      <w:r>
        <w:rPr>
          <w:spacing w:val="6"/>
        </w:rPr>
        <w:t>护费中拿出</w:t>
      </w:r>
      <w:r>
        <w:rPr>
          <w:spacing w:val="-7"/>
        </w:rPr>
        <w:t xml:space="preserve"> </w:t>
      </w:r>
      <w:r>
        <w:rPr>
          <w:rFonts w:ascii="Times New Roman" w:hAnsi="Times New Roman" w:eastAsia="Times New Roman" w:cs="Times New Roman"/>
          <w:spacing w:val="6"/>
        </w:rPr>
        <w:t>15%</w:t>
      </w:r>
      <w:r>
        <w:rPr>
          <w:spacing w:val="6"/>
        </w:rPr>
        <w:t>用于城市防洪工程建设。</w:t>
      </w:r>
    </w:p>
    <w:p>
      <w:pPr>
        <w:ind w:left="438"/>
        <w:spacing w:before="137" w:line="265" w:lineRule="exact"/>
        <w:rPr>
          <w:rFonts w:ascii="KaiTi" w:hAnsi="KaiTi" w:eastAsia="KaiTi" w:cs="KaiTi"/>
          <w:sz w:val="20"/>
          <w:szCs w:val="20"/>
        </w:rPr>
      </w:pPr>
      <w:r>
        <w:rPr>
          <w:rFonts w:ascii="Times New Roman" w:hAnsi="Times New Roman" w:eastAsia="Times New Roman" w:cs="Times New Roman"/>
          <w:sz w:val="20"/>
          <w:szCs w:val="20"/>
          <w:spacing w:val="5"/>
          <w:position w:val="1"/>
        </w:rPr>
        <w:t>6.6  </w:t>
      </w:r>
      <w:r>
        <w:rPr>
          <w:rFonts w:ascii="KaiTi" w:hAnsi="KaiTi" w:eastAsia="KaiTi" w:cs="KaiTi"/>
          <w:sz w:val="20"/>
          <w:szCs w:val="20"/>
          <w:spacing w:val="5"/>
          <w:position w:val="1"/>
        </w:rPr>
        <w:t>社会动员保障。</w:t>
      </w:r>
    </w:p>
    <w:p>
      <w:pPr>
        <w:pStyle w:val="BodyText"/>
        <w:ind w:left="14" w:right="329" w:firstLine="409"/>
        <w:spacing w:before="114" w:line="309" w:lineRule="auto"/>
        <w:outlineLvl w:val="0"/>
        <w:rPr/>
      </w:pPr>
      <w:r>
        <w:rPr>
          <w:spacing w:val="4"/>
        </w:rPr>
        <w:t>（</w:t>
      </w:r>
      <w:r>
        <w:rPr>
          <w:spacing w:val="-37"/>
        </w:rPr>
        <w:t xml:space="preserve"> </w:t>
      </w:r>
      <w:r>
        <w:rPr>
          <w:rFonts w:ascii="Times New Roman" w:hAnsi="Times New Roman" w:eastAsia="Times New Roman" w:cs="Times New Roman"/>
          <w:spacing w:val="4"/>
        </w:rPr>
        <w:t>1 </w:t>
      </w:r>
      <w:r>
        <w:rPr>
          <w:spacing w:val="4"/>
        </w:rPr>
        <w:t>）防汛是社会公益性事业</w:t>
      </w:r>
      <w:r>
        <w:rPr>
          <w:spacing w:val="-59"/>
        </w:rPr>
        <w:t xml:space="preserve"> </w:t>
      </w:r>
      <w:r>
        <w:rPr>
          <w:spacing w:val="4"/>
        </w:rPr>
        <w:t>，任何单位</w:t>
      </w:r>
      <w:r>
        <w:rPr>
          <w:spacing w:val="18"/>
        </w:rPr>
        <w:t>和个人都有保护水利工程设施和参加防汛抗</w:t>
      </w:r>
      <w:r>
        <w:rPr>
          <w:spacing w:val="6"/>
        </w:rPr>
        <w:t>洪的责任。</w:t>
      </w:r>
    </w:p>
    <w:p>
      <w:pPr>
        <w:pStyle w:val="BodyText"/>
        <w:ind w:left="424"/>
        <w:spacing w:before="136" w:line="277" w:lineRule="exact"/>
        <w:rPr/>
      </w:pPr>
      <w:r>
        <w:rPr>
          <w:spacing w:val="8"/>
          <w:position w:val="1"/>
        </w:rPr>
        <w:t>（</w:t>
      </w:r>
      <w:r>
        <w:rPr>
          <w:rFonts w:ascii="Times New Roman" w:hAnsi="Times New Roman" w:eastAsia="Times New Roman" w:cs="Times New Roman"/>
          <w:spacing w:val="8"/>
          <w:position w:val="1"/>
        </w:rPr>
        <w:t>2</w:t>
      </w:r>
      <w:r>
        <w:rPr>
          <w:rFonts w:ascii="Times New Roman" w:hAnsi="Times New Roman" w:eastAsia="Times New Roman" w:cs="Times New Roman"/>
          <w:spacing w:val="-5"/>
          <w:position w:val="1"/>
        </w:rPr>
        <w:t xml:space="preserve"> </w:t>
      </w:r>
      <w:r>
        <w:rPr>
          <w:spacing w:val="8"/>
          <w:position w:val="1"/>
        </w:rPr>
        <w:t>）汛期</w:t>
      </w:r>
      <w:r>
        <w:rPr>
          <w:spacing w:val="-59"/>
          <w:position w:val="1"/>
        </w:rPr>
        <w:t xml:space="preserve"> </w:t>
      </w:r>
      <w:r>
        <w:rPr>
          <w:spacing w:val="8"/>
          <w:position w:val="1"/>
        </w:rPr>
        <w:t>，防汛指挥机构应根据洪涝灾</w:t>
      </w:r>
    </w:p>
    <w:p>
      <w:pPr>
        <w:pStyle w:val="BodyText"/>
        <w:ind w:left="18"/>
        <w:spacing w:before="107" w:line="221" w:lineRule="auto"/>
        <w:outlineLvl w:val="0"/>
        <w:rPr/>
      </w:pPr>
      <w:r>
        <w:rPr>
          <w:spacing w:val="7"/>
        </w:rPr>
        <w:t>害的发展，做好动员工作，组织社会力量投入</w:t>
      </w:r>
    </w:p>
    <w:p>
      <w:pPr>
        <w:pStyle w:val="BodyText"/>
        <w:ind w:left="28"/>
        <w:spacing w:before="146" w:line="215" w:lineRule="auto"/>
        <w:rPr/>
      </w:pPr>
      <w:r>
        <w:rPr>
          <w:spacing w:val="-1"/>
        </w:rPr>
        <w:t>防汛。</w:t>
      </w:r>
    </w:p>
    <w:p>
      <w:pPr>
        <w:pStyle w:val="BodyText"/>
        <w:ind w:left="424"/>
        <w:spacing w:before="138" w:line="277" w:lineRule="exact"/>
        <w:rPr/>
      </w:pPr>
      <w:r>
        <w:rPr>
          <w:spacing w:val="7"/>
          <w:position w:val="1"/>
        </w:rPr>
        <w:t>（</w:t>
      </w:r>
      <w:r>
        <w:rPr>
          <w:rFonts w:ascii="Times New Roman" w:hAnsi="Times New Roman" w:eastAsia="Times New Roman" w:cs="Times New Roman"/>
          <w:spacing w:val="7"/>
          <w:position w:val="1"/>
        </w:rPr>
        <w:t>3 </w:t>
      </w:r>
      <w:r>
        <w:rPr>
          <w:spacing w:val="7"/>
          <w:position w:val="1"/>
        </w:rPr>
        <w:t>）防汛指挥机构的组成部门</w:t>
      </w:r>
      <w:r>
        <w:rPr>
          <w:spacing w:val="-53"/>
          <w:position w:val="1"/>
        </w:rPr>
        <w:t xml:space="preserve"> </w:t>
      </w:r>
      <w:r>
        <w:rPr>
          <w:spacing w:val="7"/>
          <w:position w:val="1"/>
        </w:rPr>
        <w:t>，在严重</w:t>
      </w:r>
    </w:p>
    <w:p>
      <w:pPr>
        <w:pStyle w:val="BodyText"/>
        <w:ind w:left="12"/>
        <w:spacing w:before="107" w:line="222" w:lineRule="auto"/>
        <w:outlineLvl w:val="0"/>
        <w:rPr/>
      </w:pPr>
      <w:r>
        <w:rPr>
          <w:spacing w:val="7"/>
        </w:rPr>
        <w:t>水灾害期间，应按照分工，特事特办，急事急</w:t>
      </w:r>
    </w:p>
    <w:p>
      <w:pPr>
        <w:pStyle w:val="BodyText"/>
        <w:ind w:left="12" w:right="329" w:firstLine="3"/>
        <w:spacing w:before="142" w:line="349" w:lineRule="auto"/>
        <w:jc w:val="both"/>
        <w:rPr/>
      </w:pPr>
      <w:r>
        <w:rPr>
          <w:spacing w:val="7"/>
        </w:rPr>
        <w:t>办，解决防汛抗洪的实际问题，同时充分调动</w:t>
      </w:r>
      <w:r>
        <w:rPr>
          <w:spacing w:val="7"/>
        </w:rPr>
        <w:t>本系统的力量，全力支持抗灾救灾和灾后重建</w:t>
      </w:r>
      <w:r>
        <w:rPr>
          <w:spacing w:val="4"/>
        </w:rPr>
        <w:t>工作。</w:t>
      </w:r>
    </w:p>
    <w:p>
      <w:pPr>
        <w:pStyle w:val="BodyText"/>
        <w:ind w:left="424"/>
        <w:spacing w:line="278" w:lineRule="exact"/>
        <w:rPr/>
      </w:pPr>
      <w:r>
        <w:rPr>
          <w:spacing w:val="10"/>
          <w:position w:val="1"/>
        </w:rPr>
        <w:t>（</w:t>
      </w:r>
      <w:r>
        <w:rPr>
          <w:rFonts w:ascii="Times New Roman" w:hAnsi="Times New Roman" w:eastAsia="Times New Roman" w:cs="Times New Roman"/>
          <w:spacing w:val="10"/>
          <w:position w:val="1"/>
        </w:rPr>
        <w:t>4</w:t>
      </w:r>
      <w:r>
        <w:rPr>
          <w:rFonts w:ascii="Times New Roman" w:hAnsi="Times New Roman" w:eastAsia="Times New Roman" w:cs="Times New Roman"/>
          <w:spacing w:val="-11"/>
          <w:position w:val="1"/>
        </w:rPr>
        <w:t xml:space="preserve"> </w:t>
      </w:r>
      <w:r>
        <w:rPr>
          <w:spacing w:val="10"/>
          <w:position w:val="1"/>
        </w:rPr>
        <w:t>）加强对防汛抗洪工作的统一领导，</w:t>
      </w:r>
    </w:p>
    <w:p>
      <w:pPr>
        <w:pStyle w:val="BodyText"/>
        <w:ind w:left="13"/>
        <w:spacing w:before="105" w:line="222" w:lineRule="auto"/>
        <w:outlineLvl w:val="0"/>
        <w:rPr/>
      </w:pPr>
      <w:r>
        <w:rPr>
          <w:spacing w:val="7"/>
        </w:rPr>
        <w:t>组织有关部门和单位，动员全社会的力量，做</w:t>
      </w:r>
    </w:p>
    <w:p>
      <w:pPr>
        <w:pStyle w:val="BodyText"/>
        <w:ind w:left="17" w:right="329" w:hanging="6"/>
        <w:spacing w:before="141" w:line="349" w:lineRule="auto"/>
        <w:jc w:val="both"/>
        <w:rPr/>
      </w:pPr>
      <w:r>
        <w:rPr>
          <w:spacing w:val="7"/>
        </w:rPr>
        <w:t>好城市防汛抗洪工作。在城市防汛抗洪的关键</w:t>
      </w:r>
      <w:r>
        <w:rPr>
          <w:spacing w:val="7"/>
        </w:rPr>
        <w:t>时刻，各级防汛行政首长应靠前指挥，组织广</w:t>
      </w:r>
      <w:r>
        <w:rPr>
          <w:spacing w:val="8"/>
        </w:rPr>
        <w:t>大干部群众奋力抗灾减灾。</w:t>
      </w:r>
    </w:p>
    <w:p>
      <w:pPr>
        <w:pStyle w:val="BodyText"/>
        <w:ind w:left="424"/>
        <w:spacing w:line="277" w:lineRule="exact"/>
        <w:rPr/>
      </w:pPr>
      <w:r>
        <w:rPr>
          <w:spacing w:val="5"/>
          <w:position w:val="1"/>
        </w:rPr>
        <w:t>（</w:t>
      </w:r>
      <w:r>
        <w:rPr>
          <w:spacing w:val="-56"/>
          <w:position w:val="1"/>
        </w:rPr>
        <w:t xml:space="preserve"> </w:t>
      </w:r>
      <w:r>
        <w:rPr>
          <w:rFonts w:ascii="Times New Roman" w:hAnsi="Times New Roman" w:eastAsia="Times New Roman" w:cs="Times New Roman"/>
          <w:spacing w:val="5"/>
          <w:position w:val="1"/>
        </w:rPr>
        <w:t>5 </w:t>
      </w:r>
      <w:r>
        <w:rPr>
          <w:spacing w:val="5"/>
          <w:position w:val="1"/>
        </w:rPr>
        <w:t>）防汛指挥机构应建立专家库</w:t>
      </w:r>
      <w:r>
        <w:rPr>
          <w:spacing w:val="-59"/>
          <w:position w:val="1"/>
        </w:rPr>
        <w:t xml:space="preserve"> </w:t>
      </w:r>
      <w:r>
        <w:rPr>
          <w:spacing w:val="5"/>
          <w:position w:val="1"/>
        </w:rPr>
        <w:t>，当发</w:t>
      </w:r>
    </w:p>
    <w:p>
      <w:pPr>
        <w:pStyle w:val="BodyText"/>
        <w:ind w:left="15"/>
        <w:spacing w:before="110" w:line="220" w:lineRule="auto"/>
        <w:outlineLvl w:val="0"/>
        <w:rPr/>
      </w:pPr>
      <w:r>
        <w:rPr>
          <w:spacing w:val="7"/>
        </w:rPr>
        <w:t>生水灾害时，由防汛指挥机构统一调度，派出</w:t>
      </w:r>
    </w:p>
    <w:p>
      <w:pPr>
        <w:pStyle w:val="BodyText"/>
        <w:ind w:left="13"/>
        <w:spacing w:before="139" w:line="223" w:lineRule="auto"/>
        <w:rPr/>
      </w:pPr>
      <w:r>
        <w:rPr>
          <w:spacing w:val="8"/>
        </w:rPr>
        <w:t>专家组，指导城市防洪工作。</w:t>
      </w:r>
    </w:p>
    <w:p>
      <w:pPr>
        <w:ind w:left="438"/>
        <w:spacing w:before="134" w:line="268" w:lineRule="exact"/>
        <w:outlineLvl w:val="0"/>
        <w:rPr>
          <w:rFonts w:ascii="KaiTi" w:hAnsi="KaiTi" w:eastAsia="KaiTi" w:cs="KaiTi"/>
          <w:sz w:val="20"/>
          <w:szCs w:val="20"/>
        </w:rPr>
      </w:pPr>
      <w:r>
        <w:rPr>
          <w:rFonts w:ascii="Times New Roman" w:hAnsi="Times New Roman" w:eastAsia="Times New Roman" w:cs="Times New Roman"/>
          <w:sz w:val="20"/>
          <w:szCs w:val="20"/>
          <w:spacing w:val="4"/>
          <w:position w:val="1"/>
        </w:rPr>
        <w:t>6.7</w:t>
      </w:r>
      <w:r>
        <w:rPr>
          <w:rFonts w:ascii="Times New Roman" w:hAnsi="Times New Roman" w:eastAsia="Times New Roman" w:cs="Times New Roman"/>
          <w:sz w:val="20"/>
          <w:szCs w:val="20"/>
          <w:spacing w:val="18"/>
          <w:position w:val="1"/>
        </w:rPr>
        <w:t xml:space="preserve">  </w:t>
      </w:r>
      <w:r>
        <w:rPr>
          <w:rFonts w:ascii="KaiTi" w:hAnsi="KaiTi" w:eastAsia="KaiTi" w:cs="KaiTi"/>
          <w:sz w:val="20"/>
          <w:szCs w:val="20"/>
          <w:spacing w:val="4"/>
          <w:position w:val="1"/>
        </w:rPr>
        <w:t>宣传、培训和演习。</w:t>
      </w:r>
    </w:p>
    <w:p>
      <w:pPr>
        <w:pStyle w:val="BodyText"/>
        <w:ind w:left="438"/>
        <w:spacing w:before="116" w:line="222" w:lineRule="auto"/>
        <w:outlineLvl w:val="0"/>
        <w:rPr/>
      </w:pPr>
      <w:r>
        <w:rPr>
          <w:rFonts w:ascii="Times New Roman" w:hAnsi="Times New Roman" w:eastAsia="Times New Roman" w:cs="Times New Roman"/>
          <w:spacing w:val="3"/>
        </w:rPr>
        <w:t>6.7.1 </w:t>
      </w:r>
      <w:r>
        <w:rPr>
          <w:spacing w:val="3"/>
        </w:rPr>
        <w:t>宣传。</w:t>
      </w:r>
    </w:p>
    <w:p>
      <w:pPr>
        <w:pStyle w:val="BodyText"/>
        <w:ind w:left="424"/>
        <w:spacing w:before="136" w:line="278" w:lineRule="exact"/>
        <w:rPr/>
      </w:pPr>
      <w:r>
        <w:rPr>
          <w:spacing w:val="8"/>
          <w:position w:val="1"/>
        </w:rPr>
        <w:t>（</w:t>
      </w:r>
      <w:r>
        <w:rPr>
          <w:spacing w:val="-45"/>
          <w:position w:val="1"/>
        </w:rPr>
        <w:t xml:space="preserve"> </w:t>
      </w:r>
      <w:r>
        <w:rPr>
          <w:rFonts w:ascii="Times New Roman" w:hAnsi="Times New Roman" w:eastAsia="Times New Roman" w:cs="Times New Roman"/>
          <w:spacing w:val="8"/>
          <w:position w:val="1"/>
        </w:rPr>
        <w:t>1</w:t>
      </w:r>
      <w:r>
        <w:rPr>
          <w:rFonts w:ascii="Times New Roman" w:hAnsi="Times New Roman" w:eastAsia="Times New Roman" w:cs="Times New Roman"/>
          <w:spacing w:val="-19"/>
          <w:position w:val="1"/>
        </w:rPr>
        <w:t xml:space="preserve"> </w:t>
      </w:r>
      <w:r>
        <w:rPr>
          <w:spacing w:val="8"/>
          <w:position w:val="1"/>
        </w:rPr>
        <w:t>）汛情、工情、灾情及防汛工作等方</w:t>
      </w:r>
    </w:p>
    <w:p>
      <w:pPr>
        <w:pStyle w:val="BodyText"/>
        <w:ind w:left="20"/>
        <w:spacing w:before="105" w:line="223" w:lineRule="auto"/>
        <w:outlineLvl w:val="0"/>
        <w:rPr/>
      </w:pPr>
      <w:r>
        <w:rPr>
          <w:spacing w:val="6"/>
        </w:rPr>
        <w:t>面的公众信息交流，实行分级负责制，一般公</w:t>
      </w:r>
    </w:p>
    <w:p>
      <w:pPr>
        <w:pStyle w:val="BodyText"/>
        <w:ind w:left="12"/>
        <w:spacing w:before="138" w:line="223" w:lineRule="auto"/>
        <w:rPr/>
      </w:pPr>
      <w:r>
        <w:rPr>
          <w:spacing w:val="8"/>
        </w:rPr>
        <w:t>众信息可通过媒体向社会发布。</w:t>
      </w:r>
    </w:p>
    <w:p>
      <w:pPr>
        <w:pStyle w:val="BodyText"/>
        <w:ind w:left="12" w:right="329" w:firstLine="412"/>
        <w:spacing w:before="136" w:line="289" w:lineRule="auto"/>
        <w:outlineLvl w:val="0"/>
        <w:rPr/>
      </w:pPr>
      <w:r>
        <w:rPr>
          <w:spacing w:val="9"/>
        </w:rPr>
        <w:t>（</w:t>
      </w:r>
      <w:r>
        <w:rPr>
          <w:rFonts w:ascii="Times New Roman" w:hAnsi="Times New Roman" w:eastAsia="Times New Roman" w:cs="Times New Roman"/>
          <w:spacing w:val="9"/>
        </w:rPr>
        <w:t>2 </w:t>
      </w:r>
      <w:r>
        <w:rPr>
          <w:spacing w:val="9"/>
        </w:rPr>
        <w:t>）当主要河流发生超警戒水位以上洪</w:t>
      </w:r>
      <w:r>
        <w:rPr>
          <w:spacing w:val="7"/>
        </w:rPr>
        <w:t>水，呈上涨趋势；山区发生暴雨山洪，造成较</w:t>
      </w:r>
    </w:p>
    <w:p>
      <w:pPr>
        <w:pStyle w:val="BodyText"/>
        <w:ind w:left="19"/>
        <w:spacing w:before="141" w:line="222" w:lineRule="auto"/>
        <w:rPr/>
      </w:pPr>
      <w:r>
        <w:rPr>
          <w:spacing w:val="6"/>
        </w:rPr>
        <w:t>为严重影响；按分管权限，由本地区的防汛指</w:t>
      </w:r>
    </w:p>
    <w:p>
      <w:pPr>
        <w:spacing w:line="14" w:lineRule="auto"/>
        <w:rPr>
          <w:rFonts w:ascii="Arial"/>
          <w:sz w:val="2"/>
        </w:rPr>
      </w:pPr>
      <w:r>
        <w:rPr>
          <w:rFonts w:ascii="Arial" w:hAnsi="Arial" w:eastAsia="Arial" w:cs="Arial"/>
          <w:sz w:val="2"/>
          <w:szCs w:val="2"/>
        </w:rPr>
        <w:br w:type="column"/>
      </w:r>
    </w:p>
    <w:p>
      <w:pPr>
        <w:pStyle w:val="BodyText"/>
        <w:ind w:left="6" w:right="59" w:hanging="4"/>
        <w:spacing w:before="39" w:line="351" w:lineRule="auto"/>
        <w:rPr/>
      </w:pPr>
      <w:r>
        <w:rPr>
          <w:spacing w:val="15"/>
        </w:rPr>
        <w:t>挥部统一发布汛情通报</w:t>
      </w:r>
      <w:r>
        <w:rPr>
          <w:spacing w:val="-42"/>
        </w:rPr>
        <w:t xml:space="preserve"> </w:t>
      </w:r>
      <w:r>
        <w:rPr>
          <w:spacing w:val="15"/>
        </w:rPr>
        <w:t>，以引起社会公众关</w:t>
      </w:r>
      <w:r>
        <w:rPr>
          <w:spacing w:val="8"/>
        </w:rPr>
        <w:t>注，参与防汛救灾工作。</w:t>
      </w:r>
    </w:p>
    <w:p>
      <w:pPr>
        <w:pStyle w:val="BodyText"/>
        <w:ind w:left="426"/>
        <w:spacing w:line="216" w:lineRule="auto"/>
        <w:outlineLvl w:val="0"/>
        <w:rPr/>
      </w:pPr>
      <w:r>
        <w:rPr>
          <w:rFonts w:ascii="Times New Roman" w:hAnsi="Times New Roman" w:eastAsia="Times New Roman" w:cs="Times New Roman"/>
          <w:spacing w:val="3"/>
        </w:rPr>
        <w:t>6.7.2 </w:t>
      </w:r>
      <w:r>
        <w:rPr>
          <w:spacing w:val="3"/>
        </w:rPr>
        <w:t>培训。</w:t>
      </w:r>
    </w:p>
    <w:p>
      <w:pPr>
        <w:pStyle w:val="BodyText"/>
        <w:ind w:left="2" w:right="62" w:firstLine="410"/>
        <w:spacing w:before="139" w:line="286" w:lineRule="auto"/>
        <w:outlineLvl w:val="0"/>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）采取分级负责原则</w:t>
      </w:r>
      <w:r>
        <w:rPr>
          <w:spacing w:val="-59"/>
        </w:rPr>
        <w:t xml:space="preserve"> </w:t>
      </w:r>
      <w:r>
        <w:rPr>
          <w:spacing w:val="5"/>
        </w:rPr>
        <w:t>，由各级防汛指</w:t>
      </w:r>
      <w:r>
        <w:rPr>
          <w:spacing w:val="8"/>
        </w:rPr>
        <w:t>挥机构统一组织培训。</w:t>
      </w:r>
    </w:p>
    <w:p>
      <w:pPr>
        <w:pStyle w:val="BodyText"/>
        <w:ind w:left="1" w:right="62" w:firstLine="411"/>
        <w:spacing w:before="139" w:line="289" w:lineRule="auto"/>
        <w:outlineLvl w:val="0"/>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）培训工作应合理规范课程、考核严</w:t>
      </w:r>
      <w:r>
        <w:rPr>
          <w:spacing w:val="9"/>
        </w:rPr>
        <w:t>格、分类指导，保证培训工作质量。</w:t>
      </w:r>
    </w:p>
    <w:p>
      <w:pPr>
        <w:pStyle w:val="BodyText"/>
        <w:ind w:left="413"/>
        <w:spacing w:before="134" w:line="277" w:lineRule="exact"/>
        <w:rPr/>
      </w:pPr>
      <w:r>
        <w:rPr>
          <w:spacing w:val="8"/>
          <w:position w:val="1"/>
        </w:rPr>
        <w:t>（</w:t>
      </w:r>
      <w:r>
        <w:rPr>
          <w:rFonts w:ascii="Times New Roman" w:hAnsi="Times New Roman" w:eastAsia="Times New Roman" w:cs="Times New Roman"/>
          <w:spacing w:val="8"/>
          <w:position w:val="1"/>
        </w:rPr>
        <w:t>3</w:t>
      </w:r>
      <w:r>
        <w:rPr>
          <w:rFonts w:ascii="Times New Roman" w:hAnsi="Times New Roman" w:eastAsia="Times New Roman" w:cs="Times New Roman"/>
          <w:spacing w:val="-5"/>
          <w:position w:val="1"/>
        </w:rPr>
        <w:t xml:space="preserve"> </w:t>
      </w:r>
      <w:r>
        <w:rPr>
          <w:spacing w:val="8"/>
          <w:position w:val="1"/>
        </w:rPr>
        <w:t>）培训工作应结合实际</w:t>
      </w:r>
      <w:r>
        <w:rPr>
          <w:spacing w:val="-59"/>
          <w:position w:val="1"/>
        </w:rPr>
        <w:t xml:space="preserve"> </w:t>
      </w:r>
      <w:r>
        <w:rPr>
          <w:spacing w:val="8"/>
          <w:position w:val="1"/>
        </w:rPr>
        <w:t>，采取多种组</w:t>
      </w:r>
    </w:p>
    <w:p>
      <w:pPr>
        <w:pStyle w:val="BodyText"/>
        <w:ind w:left="2"/>
        <w:spacing w:before="106" w:line="223" w:lineRule="auto"/>
        <w:outlineLvl w:val="0"/>
        <w:rPr/>
      </w:pPr>
      <w:r>
        <w:rPr>
          <w:spacing w:val="7"/>
        </w:rPr>
        <w:t>织形式，定期与不定期相结合，每年汛前至少</w:t>
      </w:r>
    </w:p>
    <w:p>
      <w:pPr>
        <w:pStyle w:val="BodyText"/>
        <w:ind w:left="1"/>
        <w:spacing w:before="143" w:line="216" w:lineRule="auto"/>
        <w:rPr/>
      </w:pPr>
      <w:r>
        <w:rPr>
          <w:spacing w:val="7"/>
        </w:rPr>
        <w:t>组织一次培训。</w:t>
      </w:r>
    </w:p>
    <w:p>
      <w:pPr>
        <w:pStyle w:val="BodyText"/>
        <w:ind w:left="426"/>
        <w:spacing w:before="144" w:line="222" w:lineRule="auto"/>
        <w:outlineLvl w:val="0"/>
        <w:rPr/>
      </w:pPr>
      <w:r>
        <w:rPr>
          <w:rFonts w:ascii="Times New Roman" w:hAnsi="Times New Roman" w:eastAsia="Times New Roman" w:cs="Times New Roman"/>
          <w:spacing w:val="3"/>
        </w:rPr>
        <w:t>6.7.3 </w:t>
      </w:r>
      <w:r>
        <w:rPr>
          <w:spacing w:val="3"/>
        </w:rPr>
        <w:t>演习。</w:t>
      </w:r>
    </w:p>
    <w:p>
      <w:pPr>
        <w:pStyle w:val="BodyText"/>
        <w:ind w:right="59" w:firstLine="413"/>
        <w:spacing w:before="133" w:line="309" w:lineRule="auto"/>
        <w:outlineLvl w:val="0"/>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）各级防汛指挥机构应定期举行不同</w:t>
      </w:r>
      <w:r>
        <w:rPr>
          <w:spacing w:val="7"/>
        </w:rPr>
        <w:t>类型的应急演习，以检验、改善和强化应急准</w:t>
      </w:r>
      <w:r>
        <w:rPr>
          <w:spacing w:val="8"/>
        </w:rPr>
        <w:t>备和应急响应能力。</w:t>
      </w:r>
    </w:p>
    <w:p>
      <w:pPr>
        <w:pStyle w:val="BodyText"/>
        <w:ind w:left="18" w:right="62" w:firstLine="394"/>
        <w:spacing w:before="136" w:line="289" w:lineRule="auto"/>
        <w:outlineLvl w:val="0"/>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）专业抢险队伍必须针对当地易发生</w:t>
      </w:r>
      <w:r>
        <w:rPr>
          <w:spacing w:val="-5"/>
        </w:rPr>
        <w:t>的各类险情有针对性地每年进行抗洪抢险演习。</w:t>
      </w:r>
    </w:p>
    <w:p>
      <w:pPr>
        <w:ind w:left="424"/>
        <w:spacing w:before="128" w:line="216"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7</w:t>
      </w:r>
      <w:r>
        <w:rPr>
          <w:rFonts w:ascii="Microsoft YaHei" w:hAnsi="Microsoft YaHei" w:eastAsia="Microsoft YaHei" w:cs="Microsoft YaHei"/>
          <w:sz w:val="20"/>
          <w:szCs w:val="20"/>
          <w:spacing w:val="13"/>
        </w:rPr>
        <w:t xml:space="preserve">   </w:t>
      </w:r>
      <w:r>
        <w:rPr>
          <w:rFonts w:ascii="Microsoft YaHei" w:hAnsi="Microsoft YaHei" w:eastAsia="Microsoft YaHei" w:cs="Microsoft YaHei"/>
          <w:sz w:val="20"/>
          <w:szCs w:val="20"/>
          <w:spacing w:val="4"/>
        </w:rPr>
        <w:t>后期处置</w:t>
      </w:r>
    </w:p>
    <w:p>
      <w:pPr>
        <w:pStyle w:val="BodyText"/>
        <w:ind w:right="59" w:firstLine="422"/>
        <w:spacing w:before="81" w:line="352" w:lineRule="auto"/>
        <w:jc w:val="both"/>
        <w:rPr/>
      </w:pPr>
      <w:r>
        <w:rPr>
          <w:spacing w:val="19"/>
        </w:rPr>
        <w:t>发生水灾害的地方人民政府应组织有关</w:t>
      </w:r>
      <w:r>
        <w:rPr>
          <w:spacing w:val="7"/>
        </w:rPr>
        <w:t>部门做好灾区生活供给、卫生防疫、救灾物资</w:t>
      </w:r>
      <w:r>
        <w:rPr>
          <w:spacing w:val="7"/>
        </w:rPr>
        <w:t>供应、治安管理、学校复课、水毁修复、恢复</w:t>
      </w:r>
      <w:r>
        <w:rPr>
          <w:spacing w:val="8"/>
        </w:rPr>
        <w:t>生产和重建家园等善后工作。</w:t>
      </w:r>
    </w:p>
    <w:p>
      <w:pPr>
        <w:ind w:left="425"/>
        <w:spacing w:before="4" w:line="212" w:lineRule="auto"/>
        <w:rPr>
          <w:rFonts w:ascii="KaiTi" w:hAnsi="KaiTi" w:eastAsia="KaiTi" w:cs="KaiTi"/>
          <w:sz w:val="20"/>
          <w:szCs w:val="20"/>
        </w:rPr>
      </w:pPr>
      <w:r>
        <w:rPr>
          <w:rFonts w:ascii="Times New Roman" w:hAnsi="Times New Roman" w:eastAsia="Times New Roman" w:cs="Times New Roman"/>
          <w:sz w:val="20"/>
          <w:szCs w:val="20"/>
          <w:spacing w:val="-2"/>
        </w:rPr>
        <w:t>7.</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16"/>
        </w:rPr>
        <w:t xml:space="preserve">  </w:t>
      </w:r>
      <w:r>
        <w:rPr>
          <w:rFonts w:ascii="KaiTi" w:hAnsi="KaiTi" w:eastAsia="KaiTi" w:cs="KaiTi"/>
          <w:sz w:val="20"/>
          <w:szCs w:val="20"/>
          <w:spacing w:val="-2"/>
        </w:rPr>
        <w:t>灾后救助。</w:t>
      </w:r>
    </w:p>
    <w:p>
      <w:pPr>
        <w:pStyle w:val="BodyText"/>
        <w:ind w:right="36" w:firstLine="413"/>
        <w:spacing w:before="135" w:line="326" w:lineRule="auto"/>
        <w:rPr/>
      </w:pPr>
      <w:r>
        <w:rPr>
          <w:spacing w:val="7"/>
        </w:rPr>
        <w:t>（</w:t>
      </w:r>
      <w:r>
        <w:rPr>
          <w:spacing w:val="-37"/>
        </w:rPr>
        <w:t xml:space="preserve"> </w:t>
      </w:r>
      <w:r>
        <w:rPr>
          <w:rFonts w:ascii="Times New Roman" w:hAnsi="Times New Roman" w:eastAsia="Times New Roman" w:cs="Times New Roman"/>
          <w:spacing w:val="7"/>
        </w:rPr>
        <w:t>1 </w:t>
      </w:r>
      <w:r>
        <w:rPr>
          <w:spacing w:val="7"/>
        </w:rPr>
        <w:t>）民政部门负责受灾群众生活救助。</w:t>
      </w:r>
      <w:r>
        <w:rPr>
          <w:spacing w:val="7"/>
        </w:rPr>
        <w:t>应及时调配救灾款物，组织安置受灾群众，作</w:t>
      </w:r>
      <w:r>
        <w:rPr>
          <w:spacing w:val="7"/>
        </w:rPr>
        <w:t>好受灾群众临时生活安排，负责受灾群众倒塌</w:t>
      </w:r>
      <w:r>
        <w:rPr>
          <w:spacing w:val="8"/>
        </w:rPr>
        <w:t>房屋的恢复重建，保证灾民有粮吃、有衣穿、</w:t>
      </w:r>
      <w:r>
        <w:rPr>
          <w:spacing w:val="8"/>
        </w:rPr>
        <w:t>有房住，切实解决受灾群众的基本生活问题。</w:t>
      </w:r>
    </w:p>
    <w:p>
      <w:pPr>
        <w:pStyle w:val="BodyText"/>
        <w:ind w:right="52" w:firstLine="413"/>
        <w:spacing w:before="139" w:line="319"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8"/>
        </w:rPr>
        <w:t xml:space="preserve"> </w:t>
      </w:r>
      <w:r>
        <w:rPr>
          <w:spacing w:val="11"/>
        </w:rPr>
        <w:t>）卫生部门负责调配医务技术力量，</w:t>
      </w:r>
      <w:r>
        <w:rPr>
          <w:spacing w:val="7"/>
        </w:rPr>
        <w:t>抢救因灾伤病人员，对污染源进行消毒处理，</w:t>
      </w:r>
      <w:r>
        <w:rPr>
          <w:spacing w:val="7"/>
        </w:rPr>
        <w:t>对灾区重大疫情、病情实施紧急处理，防止疫</w:t>
      </w:r>
      <w:r>
        <w:rPr>
          <w:spacing w:val="8"/>
        </w:rPr>
        <w:t>病的传播、蔓延。</w:t>
      </w:r>
    </w:p>
    <w:p>
      <w:pPr>
        <w:pStyle w:val="BodyText"/>
        <w:ind w:right="62" w:firstLine="412"/>
        <w:spacing w:before="135" w:line="287" w:lineRule="auto"/>
        <w:rPr/>
      </w:pPr>
      <w:r>
        <w:rPr>
          <w:spacing w:val="9"/>
        </w:rPr>
        <w:t>（</w:t>
      </w:r>
      <w:r>
        <w:rPr>
          <w:rFonts w:ascii="Times New Roman" w:hAnsi="Times New Roman" w:eastAsia="Times New Roman" w:cs="Times New Roman"/>
          <w:spacing w:val="9"/>
        </w:rPr>
        <w:t>3 </w:t>
      </w:r>
      <w:r>
        <w:rPr>
          <w:spacing w:val="9"/>
        </w:rPr>
        <w:t>）当地政府应组织对可能造成环境污</w:t>
      </w:r>
      <w:r>
        <w:rPr>
          <w:spacing w:val="8"/>
        </w:rPr>
        <w:t>染的污染物进行清除。</w:t>
      </w:r>
    </w:p>
    <w:p>
      <w:pPr>
        <w:pStyle w:val="BodyText"/>
        <w:ind w:left="425"/>
        <w:spacing w:before="140" w:line="210" w:lineRule="auto"/>
        <w:rPr/>
      </w:pPr>
      <w:r>
        <w:rPr>
          <w:rFonts w:ascii="Times New Roman" w:hAnsi="Times New Roman" w:eastAsia="Times New Roman" w:cs="Times New Roman"/>
          <w:spacing w:val="8"/>
        </w:rPr>
        <w:t>7.2  </w:t>
      </w:r>
      <w:r>
        <w:rPr>
          <w:rFonts w:ascii="KaiTi" w:hAnsi="KaiTi" w:eastAsia="KaiTi" w:cs="KaiTi"/>
          <w:spacing w:val="8"/>
        </w:rPr>
        <w:t>抢险物资补充。</w:t>
      </w:r>
      <w:r>
        <w:rPr>
          <w:spacing w:val="8"/>
        </w:rPr>
        <w:t>针对当年防汛抢险物</w:t>
      </w:r>
    </w:p>
    <w:p>
      <w:pPr>
        <w:spacing w:line="210" w:lineRule="auto"/>
        <w:sectPr>
          <w:type w:val="continuous"/>
          <w:pgSz w:w="11906" w:h="16839"/>
          <w:pgMar w:top="1974" w:right="1530" w:bottom="1574" w:left="1579" w:header="1634" w:footer="1172" w:gutter="0"/>
          <w:cols w:equalWidth="0" w:num="2">
            <w:col w:w="4489" w:space="100"/>
            <w:col w:w="4207" w:space="0"/>
          </w:cols>
        </w:sectPr>
        <w:rPr/>
      </w:pPr>
    </w:p>
    <w:p>
      <w:pPr>
        <w:spacing w:before="57"/>
        <w:rPr/>
      </w:pPr>
      <w:r>
        <w:drawing>
          <wp:anchor distT="0" distB="0" distL="0" distR="0" simplePos="0" relativeHeight="254846976"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472" name="IM 2472"/>
            <wp:cNvGraphicFramePr/>
            <a:graphic>
              <a:graphicData uri="http://schemas.openxmlformats.org/drawingml/2006/picture">
                <pic:pic>
                  <pic:nvPicPr>
                    <pic:cNvPr id="2472" name="IM 2472"/>
                    <pic:cNvPicPr/>
                  </pic:nvPicPr>
                  <pic:blipFill>
                    <a:blip r:embed="rId1241"/>
                    <a:stretch>
                      <a:fillRect/>
                    </a:stretch>
                  </pic:blipFill>
                  <pic:spPr>
                    <a:xfrm rot="0">
                      <a:off x="0" y="0"/>
                      <a:ext cx="5579745" cy="7620"/>
                    </a:xfrm>
                    <a:prstGeom prst="rect">
                      <a:avLst/>
                    </a:prstGeom>
                  </pic:spPr>
                </pic:pic>
              </a:graphicData>
            </a:graphic>
          </wp:anchor>
        </w:drawing>
      </w:r>
      <w:r/>
    </w:p>
    <w:p>
      <w:pPr>
        <w:sectPr>
          <w:headerReference w:type="default" r:id="rId1048"/>
          <w:footerReference w:type="default" r:id="rId1240"/>
          <w:pgSz w:w="11906" w:h="16839"/>
          <w:pgMar w:top="1772" w:right="1489" w:bottom="1572" w:left="1571" w:header="1428" w:footer="1172" w:gutter="0"/>
          <w:cols w:equalWidth="0" w:num="1">
            <w:col w:w="8846" w:space="0"/>
          </w:cols>
        </w:sectPr>
        <w:rPr/>
      </w:pPr>
    </w:p>
    <w:p>
      <w:pPr>
        <w:pStyle w:val="BodyText"/>
        <w:ind w:left="21" w:right="329"/>
        <w:spacing w:before="41" w:line="349" w:lineRule="auto"/>
        <w:rPr/>
      </w:pPr>
      <w:r>
        <w:rPr>
          <w:spacing w:val="15"/>
        </w:rPr>
        <w:t>料消耗情况</w:t>
      </w:r>
      <w:r>
        <w:rPr>
          <w:spacing w:val="-41"/>
        </w:rPr>
        <w:t xml:space="preserve"> </w:t>
      </w:r>
      <w:r>
        <w:rPr>
          <w:spacing w:val="15"/>
        </w:rPr>
        <w:t>，按照分级筹措和常规防汛的要</w:t>
      </w:r>
      <w:r>
        <w:rPr>
          <w:spacing w:val="7"/>
        </w:rPr>
        <w:t>求，及时补充。</w:t>
      </w:r>
    </w:p>
    <w:p>
      <w:pPr>
        <w:ind w:left="445"/>
        <w:spacing w:line="267" w:lineRule="exact"/>
        <w:rPr>
          <w:rFonts w:ascii="KaiTi" w:hAnsi="KaiTi" w:eastAsia="KaiTi" w:cs="KaiTi"/>
          <w:sz w:val="20"/>
          <w:szCs w:val="20"/>
        </w:rPr>
      </w:pPr>
      <w:r>
        <w:rPr>
          <w:rFonts w:ascii="Times New Roman" w:hAnsi="Times New Roman" w:eastAsia="Times New Roman" w:cs="Times New Roman"/>
          <w:sz w:val="20"/>
          <w:szCs w:val="20"/>
          <w:spacing w:val="5"/>
          <w:position w:val="1"/>
        </w:rPr>
        <w:t>7.3  </w:t>
      </w:r>
      <w:r>
        <w:rPr>
          <w:rFonts w:ascii="KaiTi" w:hAnsi="KaiTi" w:eastAsia="KaiTi" w:cs="KaiTi"/>
          <w:sz w:val="20"/>
          <w:szCs w:val="20"/>
          <w:spacing w:val="5"/>
          <w:position w:val="1"/>
        </w:rPr>
        <w:t>水毁工程修复。</w:t>
      </w:r>
    </w:p>
    <w:p>
      <w:pPr>
        <w:pStyle w:val="BodyText"/>
        <w:ind w:left="21" w:right="329" w:firstLine="412"/>
        <w:spacing w:before="111" w:line="319" w:lineRule="auto"/>
        <w:rPr/>
      </w:pPr>
      <w:r>
        <w:rPr>
          <w:spacing w:val="8"/>
        </w:rPr>
        <w:t>（</w:t>
      </w:r>
      <w:r>
        <w:rPr>
          <w:spacing w:val="-43"/>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8"/>
        </w:rPr>
        <w:t xml:space="preserve"> </w:t>
      </w:r>
      <w:r>
        <w:rPr>
          <w:spacing w:val="8"/>
        </w:rPr>
        <w:t>）对影响当年防洪安全的水毁工程，</w:t>
      </w:r>
      <w:r>
        <w:rPr>
          <w:spacing w:val="7"/>
        </w:rPr>
        <w:t>应尽快修复。防洪工程应力争在下次洪水到来</w:t>
      </w:r>
      <w:r>
        <w:rPr>
          <w:spacing w:val="7"/>
        </w:rPr>
        <w:t>之前，做到恢复主体功能；抗旱水源工程应尽</w:t>
      </w:r>
      <w:r>
        <w:rPr>
          <w:spacing w:val="7"/>
        </w:rPr>
        <w:t>快恢复功能。</w:t>
      </w:r>
    </w:p>
    <w:p>
      <w:pPr>
        <w:pStyle w:val="BodyText"/>
        <w:ind w:left="17" w:right="322" w:firstLine="415"/>
        <w:spacing w:before="139" w:line="308" w:lineRule="auto"/>
        <w:rPr/>
      </w:pPr>
      <w:r>
        <w:rPr>
          <w:spacing w:val="11"/>
        </w:rPr>
        <w:t>（</w:t>
      </w:r>
      <w:r>
        <w:rPr>
          <w:rFonts w:ascii="Times New Roman" w:hAnsi="Times New Roman" w:eastAsia="Times New Roman" w:cs="Times New Roman"/>
          <w:spacing w:val="11"/>
        </w:rPr>
        <w:t>2</w:t>
      </w:r>
      <w:r>
        <w:rPr>
          <w:rFonts w:ascii="Times New Roman" w:hAnsi="Times New Roman" w:eastAsia="Times New Roman" w:cs="Times New Roman"/>
          <w:spacing w:val="-18"/>
        </w:rPr>
        <w:t xml:space="preserve"> </w:t>
      </w:r>
      <w:r>
        <w:rPr>
          <w:spacing w:val="11"/>
        </w:rPr>
        <w:t>）遭到毁坏的交通、电力、通信、水</w:t>
      </w:r>
      <w:r>
        <w:rPr>
          <w:spacing w:val="7"/>
        </w:rPr>
        <w:t>文以及防汛专用通信设施，应尽快组织修复，</w:t>
      </w:r>
      <w:r>
        <w:rPr>
          <w:spacing w:val="7"/>
        </w:rPr>
        <w:t>恢复功能。</w:t>
      </w:r>
    </w:p>
    <w:p>
      <w:pPr>
        <w:pStyle w:val="BodyText"/>
        <w:ind w:left="21" w:right="332" w:firstLine="412"/>
        <w:spacing w:before="139" w:line="287"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）各级财政要安排一定的资金用于水</w:t>
      </w:r>
      <w:r>
        <w:rPr>
          <w:spacing w:val="7"/>
        </w:rPr>
        <w:t>毁工程修复。</w:t>
      </w:r>
    </w:p>
    <w:p>
      <w:pPr>
        <w:pStyle w:val="BodyText"/>
        <w:ind w:left="21" w:right="322" w:firstLine="424"/>
        <w:spacing w:before="138" w:line="309" w:lineRule="auto"/>
        <w:rPr/>
      </w:pPr>
      <w:r>
        <w:rPr>
          <w:rFonts w:ascii="Times New Roman" w:hAnsi="Times New Roman" w:eastAsia="Times New Roman" w:cs="Times New Roman"/>
          <w:spacing w:val="7"/>
        </w:rPr>
        <w:t>7.4</w:t>
      </w:r>
      <w:r>
        <w:rPr>
          <w:rFonts w:ascii="Times New Roman" w:hAnsi="Times New Roman" w:eastAsia="Times New Roman" w:cs="Times New Roman"/>
          <w:spacing w:val="18"/>
          <w:w w:val="101"/>
        </w:rPr>
        <w:t xml:space="preserve">  </w:t>
      </w:r>
      <w:r>
        <w:rPr>
          <w:rFonts w:ascii="KaiTi" w:hAnsi="KaiTi" w:eastAsia="KaiTi" w:cs="KaiTi"/>
          <w:spacing w:val="7"/>
        </w:rPr>
        <w:t>灾后重建。</w:t>
      </w:r>
      <w:r>
        <w:rPr>
          <w:spacing w:val="7"/>
        </w:rPr>
        <w:t>各相关部门应尽快组织灾</w:t>
      </w:r>
      <w:r>
        <w:rPr>
          <w:spacing w:val="7"/>
        </w:rPr>
        <w:t>后重建工作。灾后重建原则上按原标准恢复，</w:t>
      </w:r>
      <w:r>
        <w:rPr>
          <w:spacing w:val="9"/>
        </w:rPr>
        <w:t>在条件允许情况下，可提高标准重建。</w:t>
      </w:r>
    </w:p>
    <w:p>
      <w:pPr>
        <w:pStyle w:val="BodyText"/>
        <w:ind w:left="22" w:right="329" w:firstLine="422"/>
        <w:spacing w:before="134" w:line="288" w:lineRule="auto"/>
        <w:rPr/>
      </w:pPr>
      <w:r>
        <w:rPr>
          <w:rFonts w:ascii="Times New Roman" w:hAnsi="Times New Roman" w:eastAsia="Times New Roman" w:cs="Times New Roman"/>
          <w:spacing w:val="8"/>
        </w:rPr>
        <w:t>7.5  </w:t>
      </w:r>
      <w:r>
        <w:rPr>
          <w:rFonts w:ascii="KaiTi" w:hAnsi="KaiTi" w:eastAsia="KaiTi" w:cs="KaiTi"/>
          <w:spacing w:val="8"/>
        </w:rPr>
        <w:t>保险与补偿。</w:t>
      </w:r>
      <w:r>
        <w:rPr>
          <w:spacing w:val="8"/>
        </w:rPr>
        <w:t>各相关保险公司负责洪</w:t>
      </w:r>
      <w:r>
        <w:rPr>
          <w:spacing w:val="9"/>
        </w:rPr>
        <w:t>涝旱灾发生后的灾后保险理赔监督工作。</w:t>
      </w:r>
    </w:p>
    <w:p>
      <w:pPr>
        <w:pStyle w:val="BodyText"/>
        <w:ind w:left="21" w:right="248" w:firstLine="423"/>
        <w:spacing w:before="138" w:line="335" w:lineRule="auto"/>
        <w:rPr/>
      </w:pPr>
      <w:r>
        <w:rPr>
          <w:rFonts w:ascii="Times New Roman" w:hAnsi="Times New Roman" w:eastAsia="Times New Roman" w:cs="Times New Roman"/>
          <w:spacing w:val="8"/>
        </w:rPr>
        <w:t>7.6  </w:t>
      </w:r>
      <w:r>
        <w:rPr>
          <w:rFonts w:ascii="KaiTi" w:hAnsi="KaiTi" w:eastAsia="KaiTi" w:cs="KaiTi"/>
          <w:spacing w:val="8"/>
        </w:rPr>
        <w:t>调查与总结。</w:t>
      </w:r>
      <w:r>
        <w:rPr>
          <w:spacing w:val="8"/>
        </w:rPr>
        <w:t>每年汛后有关部门应组</w:t>
      </w:r>
      <w:r>
        <w:rPr>
          <w:spacing w:val="7"/>
        </w:rPr>
        <w:t>织专家开展调查研究，针对城市防汛抗洪工作</w:t>
      </w:r>
      <w:r>
        <w:rPr>
          <w:spacing w:val="7"/>
        </w:rPr>
        <w:t>的各个方面和环节进行定性和定量的总结、分</w:t>
      </w:r>
      <w:r>
        <w:rPr>
          <w:spacing w:val="7"/>
        </w:rPr>
        <w:t>析、评估。引进外部评价机制，征求社会各界</w:t>
      </w:r>
      <w:r>
        <w:rPr>
          <w:spacing w:val="7"/>
        </w:rPr>
        <w:t>和群众对城市防汛抗洪工作的意见和建议，总</w:t>
      </w:r>
      <w:r>
        <w:rPr>
          <w:spacing w:val="1"/>
        </w:rPr>
        <w:t>结经验，找出问题，从防洪工程的规划、设计、</w:t>
      </w:r>
      <w:r>
        <w:rPr>
          <w:spacing w:val="7"/>
        </w:rPr>
        <w:t>运行、管理以及防汛抗洪工作的各个方面提出</w:t>
      </w:r>
      <w:r>
        <w:rPr>
          <w:spacing w:val="9"/>
        </w:rPr>
        <w:t>改进建议，以进一步做好城市防汛抗洪工作。</w:t>
      </w:r>
    </w:p>
    <w:p>
      <w:pPr>
        <w:spacing w:line="434" w:lineRule="auto"/>
        <w:rPr>
          <w:rFonts w:ascii="Arial"/>
          <w:sz w:val="21"/>
        </w:rPr>
      </w:pPr>
      <w:r/>
    </w:p>
    <w:p>
      <w:pPr>
        <w:ind w:left="1158"/>
        <w:spacing w:before="86" w:line="181"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第二部分</w:t>
      </w:r>
      <w:r>
        <w:rPr>
          <w:rFonts w:ascii="Microsoft YaHei" w:hAnsi="Microsoft YaHei" w:eastAsia="Microsoft YaHei" w:cs="Microsoft YaHei"/>
          <w:sz w:val="20"/>
          <w:szCs w:val="20"/>
          <w:spacing w:val="16"/>
        </w:rPr>
        <w:t xml:space="preserve">   </w:t>
      </w:r>
      <w:r>
        <w:rPr>
          <w:rFonts w:ascii="Microsoft YaHei" w:hAnsi="Microsoft YaHei" w:eastAsia="Microsoft YaHei" w:cs="Microsoft YaHei"/>
          <w:sz w:val="20"/>
          <w:szCs w:val="20"/>
          <w:spacing w:val="6"/>
        </w:rPr>
        <w:t>专题预案</w:t>
      </w:r>
    </w:p>
    <w:p>
      <w:pPr>
        <w:spacing w:line="399" w:lineRule="auto"/>
        <w:rPr>
          <w:rFonts w:ascii="Arial"/>
          <w:sz w:val="21"/>
        </w:rPr>
      </w:pPr>
      <w:r/>
    </w:p>
    <w:p>
      <w:pPr>
        <w:ind w:left="445"/>
        <w:spacing w:before="86" w:line="217" w:lineRule="auto"/>
        <w:outlineLvl w:val="0"/>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8</w:t>
      </w:r>
      <w:r>
        <w:rPr>
          <w:rFonts w:ascii="Microsoft YaHei" w:hAnsi="Microsoft YaHei" w:eastAsia="Microsoft YaHei" w:cs="Microsoft YaHei"/>
          <w:sz w:val="20"/>
          <w:szCs w:val="20"/>
          <w:spacing w:val="14"/>
        </w:rPr>
        <w:t xml:space="preserve">   </w:t>
      </w:r>
      <w:r>
        <w:rPr>
          <w:rFonts w:ascii="Microsoft YaHei" w:hAnsi="Microsoft YaHei" w:eastAsia="Microsoft YaHei" w:cs="Microsoft YaHei"/>
          <w:sz w:val="20"/>
          <w:szCs w:val="20"/>
          <w:spacing w:val="5"/>
        </w:rPr>
        <w:t>主要防御方案</w:t>
      </w:r>
    </w:p>
    <w:p>
      <w:pPr>
        <w:ind w:left="450"/>
        <w:spacing w:before="76"/>
        <w:outlineLvl w:val="0"/>
        <w:rPr>
          <w:rFonts w:ascii="KaiTi" w:hAnsi="KaiTi" w:eastAsia="KaiTi" w:cs="KaiTi"/>
          <w:sz w:val="20"/>
          <w:szCs w:val="20"/>
        </w:rPr>
      </w:pPr>
      <w:r>
        <w:rPr>
          <w:rFonts w:ascii="Times New Roman" w:hAnsi="Times New Roman" w:eastAsia="Times New Roman" w:cs="Times New Roman"/>
          <w:sz w:val="20"/>
          <w:szCs w:val="20"/>
          <w:spacing w:val="4"/>
        </w:rPr>
        <w:t>8.</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4"/>
        </w:rPr>
        <w:t>1  </w:t>
      </w:r>
      <w:r>
        <w:rPr>
          <w:rFonts w:ascii="KaiTi" w:hAnsi="KaiTi" w:eastAsia="KaiTi" w:cs="KaiTi"/>
          <w:sz w:val="20"/>
          <w:szCs w:val="20"/>
          <w:spacing w:val="4"/>
        </w:rPr>
        <w:t>河流洪水防御方案。</w:t>
      </w:r>
    </w:p>
    <w:p>
      <w:pPr>
        <w:pStyle w:val="BodyText"/>
        <w:ind w:left="22" w:right="332" w:firstLine="410"/>
        <w:spacing w:before="120" w:line="305" w:lineRule="auto"/>
        <w:rPr/>
      </w:pPr>
      <w:r>
        <w:rPr>
          <w:spacing w:val="6"/>
        </w:rPr>
        <w:t>（</w:t>
      </w:r>
      <w:r>
        <w:rPr>
          <w:spacing w:val="-34"/>
        </w:rPr>
        <w:t xml:space="preserve"> </w:t>
      </w:r>
      <w:r>
        <w:rPr>
          <w:rFonts w:ascii="Times New Roman" w:hAnsi="Times New Roman" w:eastAsia="Times New Roman" w:cs="Times New Roman"/>
          <w:spacing w:val="6"/>
        </w:rPr>
        <w:t>1 </w:t>
      </w:r>
      <w:r>
        <w:rPr>
          <w:spacing w:val="6"/>
        </w:rPr>
        <w:t>）当河道水位达到设防水位并继续上</w:t>
      </w:r>
      <w:r>
        <w:rPr>
          <w:spacing w:val="4"/>
        </w:rPr>
        <w:t>涨时：</w:t>
      </w:r>
    </w:p>
    <w:p>
      <w:pPr>
        <w:pStyle w:val="BodyText"/>
        <w:ind w:left="24" w:right="329" w:firstLine="417"/>
        <w:spacing w:before="99" w:line="280" w:lineRule="auto"/>
        <w:rPr/>
      </w:pPr>
      <w:r>
        <w:rPr>
          <w:rFonts w:ascii="KaiTi" w:hAnsi="KaiTi" w:eastAsia="KaiTi" w:cs="KaiTi"/>
          <w:spacing w:val="6"/>
        </w:rPr>
        <w:t>①</w:t>
      </w:r>
      <w:r>
        <w:rPr>
          <w:spacing w:val="6"/>
        </w:rPr>
        <w:t>工程管理单位进入防汛工作状态。堤防</w:t>
      </w:r>
      <w:r>
        <w:rPr>
          <w:spacing w:val="13"/>
        </w:rPr>
        <w:t>管理单位要组织管理人员</w:t>
      </w:r>
      <w:r>
        <w:rPr>
          <w:rFonts w:ascii="Times New Roman" w:hAnsi="Times New Roman" w:eastAsia="Times New Roman" w:cs="Times New Roman"/>
          <w:spacing w:val="13"/>
        </w:rPr>
        <w:t>24 </w:t>
      </w:r>
      <w:r>
        <w:rPr>
          <w:spacing w:val="13"/>
        </w:rPr>
        <w:t>小时值班巡查；</w:t>
      </w:r>
    </w:p>
    <w:p>
      <w:pPr>
        <w:spacing w:line="14" w:lineRule="auto"/>
        <w:rPr>
          <w:rFonts w:ascii="Arial"/>
          <w:sz w:val="2"/>
        </w:rPr>
      </w:pPr>
      <w:r>
        <w:rPr>
          <w:rFonts w:ascii="Arial" w:hAnsi="Arial" w:eastAsia="Arial" w:cs="Arial"/>
          <w:sz w:val="2"/>
          <w:szCs w:val="2"/>
        </w:rPr>
        <w:br w:type="column"/>
      </w:r>
    </w:p>
    <w:p>
      <w:pPr>
        <w:pStyle w:val="BodyText"/>
        <w:ind w:left="1" w:right="98"/>
        <w:spacing w:before="40" w:line="349" w:lineRule="auto"/>
        <w:rPr/>
      </w:pPr>
      <w:r>
        <w:rPr>
          <w:spacing w:val="11"/>
        </w:rPr>
        <w:t>泵站、涵闸管理人员</w:t>
      </w:r>
      <w:r>
        <w:rPr>
          <w:spacing w:val="-35"/>
        </w:rPr>
        <w:t xml:space="preserve"> </w:t>
      </w:r>
      <w:r>
        <w:rPr>
          <w:rFonts w:ascii="Times New Roman" w:hAnsi="Times New Roman" w:eastAsia="Times New Roman" w:cs="Times New Roman"/>
          <w:spacing w:val="11"/>
        </w:rPr>
        <w:t>24 </w:t>
      </w:r>
      <w:r>
        <w:rPr>
          <w:spacing w:val="11"/>
        </w:rPr>
        <w:t>小时值班，做好设备</w:t>
      </w:r>
      <w:r>
        <w:rPr>
          <w:spacing w:val="6"/>
        </w:rPr>
        <w:t>调试工作。</w:t>
      </w:r>
    </w:p>
    <w:p>
      <w:pPr>
        <w:pStyle w:val="BodyText"/>
        <w:ind w:left="4" w:right="101" w:firstLine="416"/>
        <w:spacing w:before="2" w:line="308" w:lineRule="auto"/>
        <w:rPr/>
      </w:pPr>
      <w:r>
        <w:rPr>
          <w:rFonts w:ascii="KaiTi" w:hAnsi="KaiTi" w:eastAsia="KaiTi" w:cs="KaiTi"/>
          <w:spacing w:val="19"/>
        </w:rPr>
        <w:t>②</w:t>
      </w:r>
      <w:r>
        <w:rPr>
          <w:spacing w:val="19"/>
        </w:rPr>
        <w:t>参加防汛分工的各级领导要深入分工</w:t>
      </w:r>
      <w:r>
        <w:rPr>
          <w:spacing w:val="7"/>
        </w:rPr>
        <w:t>负责的地区和工程现场，进行督查和指导，帮</w:t>
      </w:r>
      <w:r>
        <w:rPr>
          <w:spacing w:val="8"/>
        </w:rPr>
        <w:t>助解决具体困难和问题。</w:t>
      </w:r>
    </w:p>
    <w:p>
      <w:pPr>
        <w:pStyle w:val="BodyText"/>
        <w:ind w:left="421"/>
        <w:spacing w:before="136" w:line="276" w:lineRule="exact"/>
        <w:rPr/>
      </w:pPr>
      <w:r>
        <w:rPr>
          <w:rFonts w:ascii="KaiTi" w:hAnsi="KaiTi" w:eastAsia="KaiTi" w:cs="KaiTi"/>
          <w:spacing w:val="-3"/>
          <w:position w:val="1"/>
        </w:rPr>
        <w:t>③</w:t>
      </w:r>
      <w:r>
        <w:rPr>
          <w:spacing w:val="-3"/>
          <w:position w:val="1"/>
        </w:rPr>
        <w:t>防汛物资器材落实到位并定点现场存放。</w:t>
      </w:r>
    </w:p>
    <w:p>
      <w:pPr>
        <w:pStyle w:val="BodyText"/>
        <w:ind w:left="13" w:right="101" w:firstLine="407"/>
        <w:spacing w:before="102" w:line="290" w:lineRule="auto"/>
        <w:rPr/>
      </w:pPr>
      <w:r>
        <w:rPr>
          <w:rFonts w:ascii="KaiTi" w:hAnsi="KaiTi" w:eastAsia="KaiTi" w:cs="KaiTi"/>
          <w:spacing w:val="6"/>
        </w:rPr>
        <w:t>④</w:t>
      </w:r>
      <w:r>
        <w:rPr>
          <w:spacing w:val="6"/>
        </w:rPr>
        <w:t>抢险队伍要完成编成，明确分工，进行</w:t>
      </w:r>
      <w:r>
        <w:rPr>
          <w:spacing w:val="8"/>
        </w:rPr>
        <w:t>战前动员，组织技能培训和实战演练。</w:t>
      </w:r>
    </w:p>
    <w:p>
      <w:pPr>
        <w:pStyle w:val="BodyText"/>
        <w:ind w:left="2" w:right="103" w:firstLine="410"/>
        <w:spacing w:before="134" w:line="304" w:lineRule="auto"/>
        <w:rPr/>
      </w:pPr>
      <w:r>
        <w:rPr>
          <w:spacing w:val="9"/>
        </w:rPr>
        <w:t>（</w:t>
      </w:r>
      <w:r>
        <w:rPr>
          <w:rFonts w:ascii="Times New Roman" w:hAnsi="Times New Roman" w:eastAsia="Times New Roman" w:cs="Times New Roman"/>
          <w:spacing w:val="9"/>
        </w:rPr>
        <w:t>2 </w:t>
      </w:r>
      <w:r>
        <w:rPr>
          <w:spacing w:val="9"/>
        </w:rPr>
        <w:t>）当河道水位达到警戒水位并继续上</w:t>
      </w:r>
      <w:r>
        <w:rPr>
          <w:spacing w:val="4"/>
        </w:rPr>
        <w:t>涨时：</w:t>
      </w:r>
    </w:p>
    <w:p>
      <w:pPr>
        <w:pStyle w:val="BodyText"/>
        <w:ind w:right="94" w:firstLine="420"/>
        <w:spacing w:before="102" w:line="329" w:lineRule="auto"/>
        <w:rPr/>
      </w:pPr>
      <w:r>
        <w:rPr>
          <w:rFonts w:ascii="KaiTi" w:hAnsi="KaiTi" w:eastAsia="KaiTi" w:cs="KaiTi"/>
          <w:spacing w:val="6"/>
        </w:rPr>
        <w:t>①</w:t>
      </w:r>
      <w:r>
        <w:rPr>
          <w:spacing w:val="6"/>
        </w:rPr>
        <w:t>市（区）应急管理指挥部主持日常工作</w:t>
      </w:r>
      <w:r>
        <w:rPr>
          <w:spacing w:val="7"/>
        </w:rPr>
        <w:t>的指挥长及主要成员和技术人员上岗办公。县</w:t>
      </w:r>
      <w:r>
        <w:rPr>
          <w:spacing w:val="7"/>
        </w:rPr>
        <w:t>区参加防汛分工的领导进驻一线，坐阵现场，</w:t>
      </w:r>
      <w:r>
        <w:rPr>
          <w:spacing w:val="7"/>
        </w:rPr>
        <w:t>靠前指挥协调。气象、电信、公安、物资、交</w:t>
      </w:r>
      <w:r>
        <w:rPr>
          <w:spacing w:val="14"/>
        </w:rPr>
        <w:t>通等有关部门安排人员</w:t>
      </w:r>
      <w:r>
        <w:rPr>
          <w:rFonts w:ascii="Times New Roman" w:hAnsi="Times New Roman" w:eastAsia="Times New Roman" w:cs="Times New Roman"/>
          <w:spacing w:val="14"/>
        </w:rPr>
        <w:t>24 </w:t>
      </w:r>
      <w:r>
        <w:rPr>
          <w:spacing w:val="14"/>
        </w:rPr>
        <w:t>小时值班，确保与</w:t>
      </w:r>
      <w:r>
        <w:rPr>
          <w:spacing w:val="8"/>
        </w:rPr>
        <w:t>同级应急管理指挥部联系畅通。</w:t>
      </w:r>
    </w:p>
    <w:p>
      <w:pPr>
        <w:pStyle w:val="BodyText"/>
        <w:ind w:left="2" w:right="94" w:firstLine="419"/>
        <w:spacing w:before="140" w:line="288" w:lineRule="auto"/>
        <w:rPr/>
      </w:pPr>
      <w:r>
        <w:rPr>
          <w:rFonts w:ascii="KaiTi" w:hAnsi="KaiTi" w:eastAsia="KaiTi" w:cs="KaiTi"/>
          <w:spacing w:val="7"/>
        </w:rPr>
        <w:t>②</w:t>
      </w:r>
      <w:r>
        <w:rPr>
          <w:spacing w:val="7"/>
        </w:rPr>
        <w:t>河道堤防的前线指挥部全部进驻一线，</w:t>
      </w:r>
      <w:r>
        <w:rPr>
          <w:spacing w:val="8"/>
        </w:rPr>
        <w:t>上岗办公，组织防守、巡查工作。</w:t>
      </w:r>
    </w:p>
    <w:p>
      <w:pPr>
        <w:pStyle w:val="BodyText"/>
        <w:ind w:left="2" w:right="101" w:firstLine="419"/>
        <w:spacing w:before="135" w:line="308" w:lineRule="auto"/>
        <w:rPr/>
      </w:pPr>
      <w:r>
        <w:rPr>
          <w:rFonts w:ascii="KaiTi" w:hAnsi="KaiTi" w:eastAsia="KaiTi" w:cs="KaiTi"/>
          <w:spacing w:val="19"/>
        </w:rPr>
        <w:t>③</w:t>
      </w:r>
      <w:r>
        <w:rPr>
          <w:spacing w:val="19"/>
        </w:rPr>
        <w:t>增加防守力量。要按规定上足防汛民</w:t>
      </w:r>
      <w:r>
        <w:rPr>
          <w:spacing w:val="7"/>
        </w:rPr>
        <w:t>工，巡堤查险和防守。河道堤防按平均每公里</w:t>
      </w:r>
      <w:r>
        <w:rPr>
          <w:rFonts w:ascii="Times New Roman" w:hAnsi="Times New Roman" w:eastAsia="Times New Roman" w:cs="Times New Roman"/>
          <w:spacing w:val="6"/>
        </w:rPr>
        <w:t>5—10 </w:t>
      </w:r>
      <w:r>
        <w:rPr>
          <w:spacing w:val="6"/>
        </w:rPr>
        <w:t>人组织防守力量。</w:t>
      </w:r>
    </w:p>
    <w:p>
      <w:pPr>
        <w:pStyle w:val="BodyText"/>
        <w:ind w:right="16" w:firstLine="421"/>
        <w:spacing w:before="138" w:line="320" w:lineRule="auto"/>
        <w:rPr/>
      </w:pPr>
      <w:r>
        <w:rPr>
          <w:rFonts w:ascii="KaiTi" w:hAnsi="KaiTi" w:eastAsia="KaiTi" w:cs="KaiTi"/>
          <w:spacing w:val="3"/>
        </w:rPr>
        <w:t>④</w:t>
      </w:r>
      <w:r>
        <w:rPr>
          <w:spacing w:val="3"/>
        </w:rPr>
        <w:t>强化防守措施。接通照明，</w:t>
      </w:r>
      <w:r>
        <w:rPr>
          <w:rFonts w:ascii="Times New Roman" w:hAnsi="Times New Roman" w:eastAsia="Times New Roman" w:cs="Times New Roman"/>
          <w:spacing w:val="3"/>
        </w:rPr>
        <w:t>24 </w:t>
      </w:r>
      <w:r>
        <w:rPr>
          <w:spacing w:val="3"/>
        </w:rPr>
        <w:t>小时不间</w:t>
      </w:r>
      <w:r>
        <w:rPr>
          <w:spacing w:val="7"/>
        </w:rPr>
        <w:t>断巡查，发现险情，及时处理并报告；认真做</w:t>
      </w:r>
      <w:r>
        <w:rPr>
          <w:spacing w:val="7"/>
        </w:rPr>
        <w:t>好清障、挡浪、预备土料、调运抢险物料等工</w:t>
      </w:r>
      <w:r>
        <w:rPr>
          <w:spacing w:val="-8"/>
        </w:rPr>
        <w:t>作。加强险工险段、穿堤涵闸等重点部位的防守。</w:t>
      </w:r>
    </w:p>
    <w:p>
      <w:pPr>
        <w:pStyle w:val="BodyText"/>
        <w:ind w:right="101" w:firstLine="421"/>
        <w:spacing w:before="136" w:line="288" w:lineRule="auto"/>
        <w:rPr/>
      </w:pPr>
      <w:r>
        <w:rPr>
          <w:rFonts w:ascii="KaiTi" w:hAnsi="KaiTi" w:eastAsia="KaiTi" w:cs="KaiTi"/>
          <w:spacing w:val="6"/>
        </w:rPr>
        <w:t>⑤</w:t>
      </w:r>
      <w:r>
        <w:rPr>
          <w:spacing w:val="6"/>
        </w:rPr>
        <w:t>常备抢险队、机动抢险队集结待命，做</w:t>
      </w:r>
      <w:r>
        <w:rPr>
          <w:spacing w:val="9"/>
        </w:rPr>
        <w:t>好抢险的各项准备，随时投入抢险。</w:t>
      </w:r>
    </w:p>
    <w:p>
      <w:pPr>
        <w:pStyle w:val="BodyText"/>
        <w:ind w:left="2" w:right="16" w:firstLine="419"/>
        <w:spacing w:before="134" w:line="289" w:lineRule="auto"/>
        <w:rPr/>
      </w:pPr>
      <w:r>
        <w:rPr>
          <w:rFonts w:ascii="KaiTi" w:hAnsi="KaiTi" w:eastAsia="KaiTi" w:cs="KaiTi"/>
          <w:spacing w:val="6"/>
        </w:rPr>
        <w:t>⑥</w:t>
      </w:r>
      <w:r>
        <w:rPr>
          <w:spacing w:val="6"/>
        </w:rPr>
        <w:t>科学稳妥地处理防洪与内涝的矛盾，以</w:t>
      </w:r>
      <w:r>
        <w:rPr>
          <w:spacing w:val="-8"/>
        </w:rPr>
        <w:t>控制内外水头差，尽可能减小渗透压力，保安全。</w:t>
      </w:r>
    </w:p>
    <w:p>
      <w:pPr>
        <w:pStyle w:val="BodyText"/>
        <w:ind w:left="3" w:right="103" w:firstLine="409"/>
        <w:spacing w:before="135" w:line="303" w:lineRule="auto"/>
        <w:rPr/>
      </w:pPr>
      <w:r>
        <w:rPr>
          <w:spacing w:val="7"/>
        </w:rPr>
        <w:t>（</w:t>
      </w:r>
      <w:r>
        <w:rPr>
          <w:rFonts w:ascii="Times New Roman" w:hAnsi="Times New Roman" w:eastAsia="Times New Roman" w:cs="Times New Roman"/>
          <w:spacing w:val="7"/>
        </w:rPr>
        <w:t>3 </w:t>
      </w:r>
      <w:r>
        <w:rPr>
          <w:spacing w:val="7"/>
        </w:rPr>
        <w:t>）当河道水位达到河堤保证水位</w:t>
      </w:r>
      <w:r>
        <w:rPr>
          <w:spacing w:val="-53"/>
        </w:rPr>
        <w:t xml:space="preserve"> </w:t>
      </w:r>
      <w:r>
        <w:rPr>
          <w:spacing w:val="7"/>
        </w:rPr>
        <w:t>，发</w:t>
      </w:r>
      <w:r>
        <w:rPr>
          <w:spacing w:val="7"/>
        </w:rPr>
        <w:t>生特大洪水时：</w:t>
      </w:r>
    </w:p>
    <w:p>
      <w:pPr>
        <w:pStyle w:val="BodyText"/>
        <w:ind w:left="3" w:right="101" w:firstLine="417"/>
        <w:spacing w:before="105" w:line="286" w:lineRule="auto"/>
        <w:rPr/>
      </w:pPr>
      <w:r>
        <w:rPr>
          <w:rFonts w:ascii="KaiTi" w:hAnsi="KaiTi" w:eastAsia="KaiTi" w:cs="KaiTi"/>
          <w:spacing w:val="6"/>
        </w:rPr>
        <w:t>①</w:t>
      </w:r>
      <w:r>
        <w:rPr>
          <w:spacing w:val="6"/>
        </w:rPr>
        <w:t>动员全社会力量，支援抗洪抢险，确保</w:t>
      </w:r>
      <w:r>
        <w:rPr>
          <w:spacing w:val="7"/>
        </w:rPr>
        <w:t>堤防安全度汛。</w:t>
      </w:r>
    </w:p>
    <w:p>
      <w:pPr>
        <w:pStyle w:val="BodyText"/>
        <w:ind w:left="421"/>
        <w:spacing w:before="138" w:line="210" w:lineRule="auto"/>
        <w:rPr/>
      </w:pPr>
      <w:r>
        <w:rPr>
          <w:rFonts w:ascii="KaiTi" w:hAnsi="KaiTi" w:eastAsia="KaiTi" w:cs="KaiTi"/>
          <w:spacing w:val="9"/>
        </w:rPr>
        <w:t>②</w:t>
      </w:r>
      <w:r>
        <w:rPr>
          <w:spacing w:val="9"/>
        </w:rPr>
        <w:t>组织堤防保护范围内老、弱、病、残、</w:t>
      </w:r>
    </w:p>
    <w:p>
      <w:pPr>
        <w:spacing w:line="210" w:lineRule="auto"/>
        <w:sectPr>
          <w:type w:val="continuous"/>
          <w:pgSz w:w="11906" w:h="16839"/>
          <w:pgMar w:top="1772" w:right="1489" w:bottom="1572" w:left="1571" w:header="1428" w:footer="1172" w:gutter="0"/>
          <w:cols w:equalWidth="0" w:num="2">
            <w:col w:w="4498" w:space="100"/>
            <w:col w:w="4249" w:space="0"/>
          </w:cols>
        </w:sectPr>
        <w:rPr/>
      </w:pPr>
    </w:p>
    <w:p>
      <w:pPr>
        <w:spacing w:before="61"/>
        <w:rPr/>
      </w:pPr>
      <w:r>
        <w:drawing>
          <wp:anchor distT="0" distB="0" distL="0" distR="0" simplePos="0" relativeHeight="254862336" behindDoc="0" locked="0" layoutInCell="0" allowOverlap="1">
            <wp:simplePos x="0" y="0"/>
            <wp:positionH relativeFrom="page">
              <wp:posOffset>1008380</wp:posOffset>
            </wp:positionH>
            <wp:positionV relativeFrom="page">
              <wp:posOffset>1278890</wp:posOffset>
            </wp:positionV>
            <wp:extent cx="5579745" cy="7619"/>
            <wp:effectExtent l="0" t="0" r="0" b="0"/>
            <wp:wrapNone/>
            <wp:docPr id="2478" name="IM 2478"/>
            <wp:cNvGraphicFramePr/>
            <a:graphic>
              <a:graphicData uri="http://schemas.openxmlformats.org/drawingml/2006/picture">
                <pic:pic>
                  <pic:nvPicPr>
                    <pic:cNvPr id="2478" name="IM 2478"/>
                    <pic:cNvPicPr/>
                  </pic:nvPicPr>
                  <pic:blipFill>
                    <a:blip r:embed="rId1244"/>
                    <a:stretch>
                      <a:fillRect/>
                    </a:stretch>
                  </pic:blipFill>
                  <pic:spPr>
                    <a:xfrm rot="0">
                      <a:off x="0" y="0"/>
                      <a:ext cx="5579745" cy="7619"/>
                    </a:xfrm>
                    <a:prstGeom prst="rect">
                      <a:avLst/>
                    </a:prstGeom>
                  </pic:spPr>
                </pic:pic>
              </a:graphicData>
            </a:graphic>
          </wp:anchor>
        </w:drawing>
      </w:r>
      <w:r/>
    </w:p>
    <w:p>
      <w:pPr>
        <w:sectPr>
          <w:headerReference w:type="default" r:id="rId1242"/>
          <w:footerReference w:type="default" r:id="rId1243"/>
          <w:pgSz w:w="11906" w:h="16839"/>
          <w:pgMar w:top="1974" w:right="1509" w:bottom="1574" w:left="1579" w:header="1634" w:footer="1172" w:gutter="0"/>
          <w:cols w:equalWidth="0" w:num="1">
            <w:col w:w="8817" w:space="0"/>
          </w:cols>
        </w:sectPr>
        <w:rPr/>
      </w:pPr>
    </w:p>
    <w:p>
      <w:pPr>
        <w:pStyle w:val="BodyText"/>
        <w:ind w:left="13" w:right="330" w:hanging="1"/>
        <w:spacing w:before="44" w:line="348" w:lineRule="auto"/>
        <w:rPr/>
      </w:pPr>
      <w:r>
        <w:rPr>
          <w:spacing w:val="7"/>
        </w:rPr>
        <w:t>妇女、儿童及粮食、大牲畜和重要财产首批转</w:t>
      </w:r>
      <w:r>
        <w:rPr>
          <w:spacing w:val="7"/>
        </w:rPr>
        <w:t>移至安全地带。</w:t>
      </w:r>
    </w:p>
    <w:p>
      <w:pPr>
        <w:pStyle w:val="BodyText"/>
        <w:ind w:left="14" w:right="329" w:firstLine="418"/>
        <w:spacing w:before="2" w:line="325" w:lineRule="auto"/>
        <w:rPr/>
      </w:pPr>
      <w:r>
        <w:rPr>
          <w:rFonts w:ascii="KaiTi" w:hAnsi="KaiTi" w:eastAsia="KaiTi" w:cs="KaiTi"/>
          <w:spacing w:val="6"/>
        </w:rPr>
        <w:t>③</w:t>
      </w:r>
      <w:r>
        <w:rPr>
          <w:spacing w:val="6"/>
        </w:rPr>
        <w:t>遇超标准洪水，人力确实不可抗拒，要</w:t>
      </w:r>
      <w:r>
        <w:rPr>
          <w:spacing w:val="12"/>
        </w:rPr>
        <w:t>预先把群众全部转移到安全地带</w:t>
      </w:r>
      <w:r>
        <w:rPr>
          <w:spacing w:val="-52"/>
        </w:rPr>
        <w:t xml:space="preserve"> </w:t>
      </w:r>
      <w:r>
        <w:rPr>
          <w:spacing w:val="12"/>
        </w:rPr>
        <w:t>，具体由区</w:t>
      </w:r>
      <w:r>
        <w:rPr>
          <w:rFonts w:ascii="Times New Roman" w:hAnsi="Times New Roman" w:eastAsia="Times New Roman" w:cs="Times New Roman"/>
          <w:spacing w:val="12"/>
        </w:rPr>
        <w:t>/</w:t>
      </w:r>
      <w:r>
        <w:rPr>
          <w:spacing w:val="7"/>
        </w:rPr>
        <w:t>县防汛指挥部负责；确保不死人，确保无大疫</w:t>
      </w:r>
      <w:r>
        <w:rPr>
          <w:spacing w:val="7"/>
        </w:rPr>
        <w:t>发生，尽最大努力保堤护堤，把灾害损失减小</w:t>
      </w:r>
      <w:r>
        <w:rPr>
          <w:spacing w:val="7"/>
        </w:rPr>
        <w:t>到最低限度。</w:t>
      </w:r>
    </w:p>
    <w:p>
      <w:pPr>
        <w:pStyle w:val="BodyText"/>
        <w:ind w:left="10" w:right="307" w:firstLine="431"/>
        <w:spacing w:before="137" w:line="343" w:lineRule="auto"/>
        <w:rPr/>
      </w:pPr>
      <w:r>
        <w:rPr>
          <w:rFonts w:ascii="Times New Roman" w:hAnsi="Times New Roman" w:eastAsia="Times New Roman" w:cs="Times New Roman"/>
          <w:spacing w:val="7"/>
        </w:rPr>
        <w:t>8.2</w:t>
      </w:r>
      <w:r>
        <w:rPr>
          <w:rFonts w:ascii="Times New Roman" w:hAnsi="Times New Roman" w:eastAsia="Times New Roman" w:cs="Times New Roman"/>
          <w:spacing w:val="16"/>
        </w:rPr>
        <w:t xml:space="preserve">  </w:t>
      </w:r>
      <w:r>
        <w:rPr>
          <w:rFonts w:ascii="KaiTi" w:hAnsi="KaiTi" w:eastAsia="KaiTi" w:cs="KaiTi"/>
          <w:spacing w:val="7"/>
        </w:rPr>
        <w:t>山洪灾害防御方案。</w:t>
      </w:r>
      <w:r>
        <w:rPr>
          <w:spacing w:val="7"/>
        </w:rPr>
        <w:t>当预报可能发生</w:t>
      </w:r>
      <w:r>
        <w:rPr>
          <w:spacing w:val="7"/>
        </w:rPr>
        <w:t>山洪灾害时，由防汛指挥部及时发出警报，当</w:t>
      </w:r>
      <w:r>
        <w:rPr>
          <w:spacing w:val="7"/>
        </w:rPr>
        <w:t>地政府对是否紧急转移群众作出决策，如需转</w:t>
      </w:r>
      <w:r>
        <w:rPr>
          <w:spacing w:val="7"/>
        </w:rPr>
        <w:t>移，应立即组织人员安全撤离。转移群众应本</w:t>
      </w:r>
      <w:r>
        <w:rPr>
          <w:spacing w:val="7"/>
        </w:rPr>
        <w:t>着就近、迅速、安全、有序的原则进行，先人</w:t>
      </w:r>
      <w:r>
        <w:rPr>
          <w:spacing w:val="7"/>
        </w:rPr>
        <w:t>员后财产，先老幼病残后其他人员，先转移危</w:t>
      </w:r>
      <w:r>
        <w:rPr>
          <w:spacing w:val="7"/>
        </w:rPr>
        <w:t>险区人员后警戒区人员。转移过程中要防止出</w:t>
      </w:r>
      <w:r>
        <w:rPr>
          <w:spacing w:val="7"/>
        </w:rPr>
        <w:t>现道路堵塞和意外事件的发生。当发生山洪泥</w:t>
      </w:r>
      <w:r>
        <w:rPr>
          <w:spacing w:val="7"/>
        </w:rPr>
        <w:t>石流等灾害时，国土资源部门应组织专家和技</w:t>
      </w:r>
      <w:r>
        <w:rPr>
          <w:spacing w:val="7"/>
        </w:rPr>
        <w:t>术人员及时赶赴灾害点，加强监测，采取应急</w:t>
      </w:r>
      <w:r>
        <w:rPr>
          <w:spacing w:val="7"/>
        </w:rPr>
        <w:t>措施；当地政府应组织民政、水利、交通、电</w:t>
      </w:r>
      <w:r>
        <w:rPr>
          <w:spacing w:val="7"/>
        </w:rPr>
        <w:t>力、通信等有关部门，采取相应措施，防止山</w:t>
      </w:r>
      <w:r>
        <w:rPr>
          <w:spacing w:val="8"/>
        </w:rPr>
        <w:t>洪灾害造成更大灾害损失。发生山洪灾害后，</w:t>
      </w:r>
      <w:r>
        <w:rPr>
          <w:spacing w:val="7"/>
        </w:rPr>
        <w:t>若有人员伤亡，或滑坡体堵塞河道，当地政府</w:t>
      </w:r>
      <w:r>
        <w:rPr>
          <w:spacing w:val="8"/>
        </w:rPr>
        <w:t>应立即组织人员或抢险突击队进行紧急抢救、</w:t>
      </w:r>
      <w:r>
        <w:rPr>
          <w:spacing w:val="9"/>
        </w:rPr>
        <w:t>抢险，必要时向上级</w:t>
      </w:r>
    </w:p>
    <w:p>
      <w:pPr>
        <w:pStyle w:val="BodyText"/>
        <w:ind w:left="28"/>
        <w:spacing w:before="136" w:line="222" w:lineRule="auto"/>
        <w:rPr/>
      </w:pPr>
      <w:r>
        <w:rPr>
          <w:spacing w:val="7"/>
        </w:rPr>
        <w:t>防汛指挥部请求增援。</w:t>
      </w:r>
    </w:p>
    <w:p>
      <w:pPr>
        <w:ind w:left="442"/>
        <w:spacing w:before="138"/>
        <w:rPr>
          <w:rFonts w:ascii="KaiTi" w:hAnsi="KaiTi" w:eastAsia="KaiTi" w:cs="KaiTi"/>
          <w:sz w:val="20"/>
          <w:szCs w:val="20"/>
        </w:rPr>
      </w:pPr>
      <w:r>
        <w:rPr>
          <w:rFonts w:ascii="Times New Roman" w:hAnsi="Times New Roman" w:eastAsia="Times New Roman" w:cs="Times New Roman"/>
          <w:sz w:val="20"/>
          <w:szCs w:val="20"/>
          <w:spacing w:val="6"/>
        </w:rPr>
        <w:t>8.3  </w:t>
      </w:r>
      <w:r>
        <w:rPr>
          <w:rFonts w:ascii="KaiTi" w:hAnsi="KaiTi" w:eastAsia="KaiTi" w:cs="KaiTi"/>
          <w:sz w:val="20"/>
          <w:szCs w:val="20"/>
          <w:spacing w:val="6"/>
        </w:rPr>
        <w:t>暴风雨渍涝防御方案。</w:t>
      </w:r>
    </w:p>
    <w:p>
      <w:pPr>
        <w:pStyle w:val="BodyText"/>
        <w:ind w:left="11" w:right="330" w:firstLine="413"/>
        <w:spacing w:before="122" w:line="333" w:lineRule="auto"/>
        <w:jc w:val="both"/>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）暴风雨可能影响地区的各级政府及</w:t>
      </w:r>
      <w:r>
        <w:rPr>
          <w:spacing w:val="7"/>
        </w:rPr>
        <w:t>有关部门防汛负责人应立即上岗到位，根据当</w:t>
      </w:r>
      <w:r>
        <w:rPr>
          <w:spacing w:val="18"/>
        </w:rPr>
        <w:t>地防御暴风雨方案进一步检查各项防御措施</w:t>
      </w:r>
      <w:r>
        <w:rPr>
          <w:spacing w:val="7"/>
        </w:rPr>
        <w:t>落实情况。对暴风雨可能严重影响的地区，当</w:t>
      </w:r>
      <w:r>
        <w:rPr>
          <w:spacing w:val="7"/>
        </w:rPr>
        <w:t>地县级以上人民政府发布防暴风雨动员令，组</w:t>
      </w:r>
      <w:r>
        <w:rPr>
          <w:spacing w:val="7"/>
        </w:rPr>
        <w:t>织防暴风雨工作，派出工作组深入第一线，做</w:t>
      </w:r>
      <w:r>
        <w:rPr>
          <w:spacing w:val="7"/>
        </w:rPr>
        <w:t>好宣传和组织发动工作，落实防暴风雨措施和</w:t>
      </w:r>
      <w:r>
        <w:rPr>
          <w:spacing w:val="7"/>
        </w:rPr>
        <w:t>群众安全转移措施，指挥防暴风雨和抢险排涝</w:t>
      </w:r>
      <w:r>
        <w:rPr>
          <w:spacing w:val="5"/>
        </w:rPr>
        <w:t>工作。</w:t>
      </w:r>
    </w:p>
    <w:p>
      <w:pPr>
        <w:spacing w:line="14" w:lineRule="auto"/>
        <w:rPr>
          <w:rFonts w:ascii="Arial"/>
          <w:sz w:val="2"/>
        </w:rPr>
      </w:pPr>
      <w:r>
        <w:rPr>
          <w:rFonts w:ascii="Arial" w:hAnsi="Arial" w:eastAsia="Arial" w:cs="Arial"/>
          <w:sz w:val="2"/>
          <w:szCs w:val="2"/>
        </w:rPr>
        <w:br w:type="column"/>
      </w:r>
    </w:p>
    <w:p>
      <w:pPr>
        <w:pStyle w:val="BodyText"/>
        <w:ind w:right="60" w:firstLine="411"/>
        <w:spacing w:before="39" w:line="326" w:lineRule="auto"/>
        <w:rPr/>
      </w:pPr>
      <w:r>
        <w:rPr>
          <w:spacing w:val="9"/>
        </w:rPr>
        <w:t>（</w:t>
      </w:r>
      <w:r>
        <w:rPr>
          <w:rFonts w:ascii="Times New Roman" w:hAnsi="Times New Roman" w:eastAsia="Times New Roman" w:cs="Times New Roman"/>
          <w:spacing w:val="9"/>
        </w:rPr>
        <w:t>2 </w:t>
      </w:r>
      <w:r>
        <w:rPr>
          <w:spacing w:val="9"/>
        </w:rPr>
        <w:t>）防汛指挥机构督促相关地区组织力</w:t>
      </w:r>
      <w:r>
        <w:rPr>
          <w:spacing w:val="7"/>
        </w:rPr>
        <w:t>量加强巡查，督促对病险堤防、涵闸进行抢护</w:t>
      </w:r>
      <w:r>
        <w:rPr>
          <w:spacing w:val="7"/>
        </w:rPr>
        <w:t>或采取必要的紧急处置措施。暴风雨可能明显</w:t>
      </w:r>
      <w:r>
        <w:rPr>
          <w:spacing w:val="7"/>
        </w:rPr>
        <w:t>影响的地区，根据降雨量、洪水预测，控制河</w:t>
      </w:r>
      <w:r>
        <w:rPr>
          <w:spacing w:val="8"/>
        </w:rPr>
        <w:t>道洪水调度运行；水库水位高的应适当预排。</w:t>
      </w:r>
    </w:p>
    <w:p>
      <w:pPr>
        <w:pStyle w:val="BodyText"/>
        <w:ind w:right="57" w:firstLine="411"/>
        <w:spacing w:before="134" w:line="338"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）暴风雨中心可能经过或严重影响的</w:t>
      </w:r>
      <w:r>
        <w:rPr>
          <w:spacing w:val="8"/>
        </w:rPr>
        <w:t>地区，当地政府应动员和组织居住在低洼地、</w:t>
      </w:r>
      <w:r>
        <w:rPr>
          <w:spacing w:val="7"/>
        </w:rPr>
        <w:t>危险区、危旧房特别是人员集中的学校、医院</w:t>
      </w:r>
      <w:r>
        <w:rPr>
          <w:spacing w:val="8"/>
        </w:rPr>
        <w:t>等人员的及时转移，高空作业人员停止作业。</w:t>
      </w:r>
      <w:r>
        <w:rPr>
          <w:spacing w:val="7"/>
        </w:rPr>
        <w:t>电力、通信部门落实抢修人员，一旦损坏迅速</w:t>
      </w:r>
      <w:r>
        <w:rPr>
          <w:spacing w:val="7"/>
        </w:rPr>
        <w:t>组织抢修，保证供电和通信畅通。城市管理部</w:t>
      </w:r>
      <w:r>
        <w:rPr>
          <w:spacing w:val="7"/>
        </w:rPr>
        <w:t>门部门做好市区广告宣传标牌固定、树木的保</w:t>
      </w:r>
      <w:r>
        <w:rPr>
          <w:spacing w:val="7"/>
        </w:rPr>
        <w:t>护工作。医疗卫生部门做好抢救伤员的应急处</w:t>
      </w:r>
      <w:r>
        <w:rPr>
          <w:spacing w:val="7"/>
        </w:rPr>
        <w:t>置方案。自然资源部门对山洪泥石流、滑坡易</w:t>
      </w:r>
      <w:r>
        <w:rPr>
          <w:spacing w:val="9"/>
        </w:rPr>
        <w:t>发地区加强监测频次，采取应急措施。</w:t>
      </w:r>
    </w:p>
    <w:p>
      <w:pPr>
        <w:pStyle w:val="BodyText"/>
        <w:ind w:right="80" w:firstLine="412"/>
        <w:spacing w:before="136" w:line="308" w:lineRule="auto"/>
        <w:rPr/>
      </w:pPr>
      <w:r>
        <w:rPr>
          <w:spacing w:val="9"/>
        </w:rPr>
        <w:t>（</w:t>
      </w:r>
      <w:r>
        <w:rPr>
          <w:rFonts w:ascii="Times New Roman" w:hAnsi="Times New Roman" w:eastAsia="Times New Roman" w:cs="Times New Roman"/>
          <w:spacing w:val="9"/>
        </w:rPr>
        <w:t>4 </w:t>
      </w:r>
      <w:r>
        <w:rPr>
          <w:spacing w:val="9"/>
        </w:rPr>
        <w:t>）电视、广播、报纸等新闻媒体及时</w:t>
      </w:r>
      <w:r>
        <w:rPr>
          <w:spacing w:val="7"/>
        </w:rPr>
        <w:t>播发台风预报警报、防暴风雨措施以及防汛指</w:t>
      </w:r>
      <w:r>
        <w:rPr>
          <w:spacing w:val="8"/>
        </w:rPr>
        <w:t>挥部的防御部署。</w:t>
      </w:r>
    </w:p>
    <w:p>
      <w:pPr>
        <w:ind w:left="429"/>
        <w:spacing w:before="140" w:line="266" w:lineRule="exact"/>
        <w:rPr>
          <w:rFonts w:ascii="KaiTi" w:hAnsi="KaiTi" w:eastAsia="KaiTi" w:cs="KaiTi"/>
          <w:sz w:val="20"/>
          <w:szCs w:val="20"/>
        </w:rPr>
      </w:pPr>
      <w:r>
        <w:rPr>
          <w:rFonts w:ascii="Times New Roman" w:hAnsi="Times New Roman" w:eastAsia="Times New Roman" w:cs="Times New Roman"/>
          <w:sz w:val="20"/>
          <w:szCs w:val="20"/>
          <w:spacing w:val="1"/>
          <w:position w:val="1"/>
        </w:rPr>
        <w:t>8.4</w:t>
      </w:r>
      <w:r>
        <w:rPr>
          <w:rFonts w:ascii="Times New Roman" w:hAnsi="Times New Roman" w:eastAsia="Times New Roman" w:cs="Times New Roman"/>
          <w:sz w:val="20"/>
          <w:szCs w:val="20"/>
          <w:spacing w:val="16"/>
          <w:w w:val="101"/>
          <w:position w:val="1"/>
        </w:rPr>
        <w:t xml:space="preserve">  </w:t>
      </w:r>
      <w:r>
        <w:rPr>
          <w:rFonts w:ascii="KaiTi" w:hAnsi="KaiTi" w:eastAsia="KaiTi" w:cs="KaiTi"/>
          <w:sz w:val="20"/>
          <w:szCs w:val="20"/>
          <w:spacing w:val="1"/>
          <w:position w:val="1"/>
        </w:rPr>
        <w:t>山洪灾害。</w:t>
      </w:r>
    </w:p>
    <w:p>
      <w:pPr>
        <w:pStyle w:val="BodyText"/>
        <w:ind w:left="1" w:right="80" w:firstLine="410"/>
        <w:spacing w:before="113" w:line="319" w:lineRule="auto"/>
        <w:rPr/>
      </w:pPr>
      <w:r>
        <w:rPr>
          <w:spacing w:val="8"/>
        </w:rPr>
        <w:t>（</w:t>
      </w:r>
      <w:r>
        <w:rPr>
          <w:spacing w:val="-41"/>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20"/>
        </w:rPr>
        <w:t xml:space="preserve"> </w:t>
      </w:r>
      <w:r>
        <w:rPr>
          <w:spacing w:val="8"/>
        </w:rPr>
        <w:t>）加强领导。县区要建立健全山洪灾</w:t>
      </w:r>
      <w:r>
        <w:rPr>
          <w:spacing w:val="7"/>
        </w:rPr>
        <w:t>害防御工作指挥机构。各部门在政府统一领导</w:t>
      </w:r>
      <w:r>
        <w:rPr>
          <w:spacing w:val="7"/>
        </w:rPr>
        <w:t>下，履行各自职责，密切配合，协同做好山洪</w:t>
      </w:r>
      <w:r>
        <w:rPr>
          <w:spacing w:val="8"/>
        </w:rPr>
        <w:t>灾害的防御工作。</w:t>
      </w:r>
    </w:p>
    <w:p>
      <w:pPr>
        <w:pStyle w:val="BodyText"/>
        <w:ind w:firstLine="411"/>
        <w:spacing w:before="136" w:line="319"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12"/>
        </w:rPr>
        <w:t xml:space="preserve"> </w:t>
      </w:r>
      <w:r>
        <w:rPr>
          <w:spacing w:val="8"/>
        </w:rPr>
        <w:t>）务实调查。</w:t>
      </w:r>
      <w:r>
        <w:rPr>
          <w:spacing w:val="-52"/>
        </w:rPr>
        <w:t xml:space="preserve"> </w:t>
      </w:r>
      <w:r>
        <w:rPr>
          <w:spacing w:val="8"/>
        </w:rPr>
        <w:t>自然资源部门对山洪灾</w:t>
      </w:r>
      <w:r>
        <w:rPr>
          <w:spacing w:val="1"/>
        </w:rPr>
        <w:t>害易发区内的社会经济、自然地理、气象水文、</w:t>
      </w:r>
      <w:r>
        <w:rPr>
          <w:spacing w:val="7"/>
        </w:rPr>
        <w:t>历年洪灾、现有防御体系、灾害隐患点等情况</w:t>
      </w:r>
      <w:r>
        <w:rPr>
          <w:spacing w:val="8"/>
        </w:rPr>
        <w:t>进行全面的调查摸底。</w:t>
      </w:r>
    </w:p>
    <w:p>
      <w:pPr>
        <w:pStyle w:val="BodyText"/>
        <w:ind w:right="57" w:firstLine="411"/>
        <w:spacing w:before="140" w:line="328"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）科学论证，编制预案。县区防汛指</w:t>
      </w:r>
      <w:r>
        <w:rPr>
          <w:spacing w:val="8"/>
        </w:rPr>
        <w:t>挥部门在实际调查的基础上，从气象、水文、</w:t>
      </w:r>
      <w:r>
        <w:rPr>
          <w:spacing w:val="7"/>
        </w:rPr>
        <w:t>地质、生态环境等多种因素对区域山洪灾害的</w:t>
      </w:r>
      <w:r>
        <w:rPr>
          <w:spacing w:val="7"/>
        </w:rPr>
        <w:t>成因、特点及发展趋势进行科学的论证。在充</w:t>
      </w:r>
      <w:r>
        <w:rPr>
          <w:spacing w:val="7"/>
        </w:rPr>
        <w:t>分掌握第一手资料的基础上，精心编写区域山</w:t>
      </w:r>
      <w:r>
        <w:rPr>
          <w:spacing w:val="15"/>
        </w:rPr>
        <w:t>洪灾害防御预案</w:t>
      </w:r>
      <w:r>
        <w:rPr>
          <w:spacing w:val="-41"/>
        </w:rPr>
        <w:t xml:space="preserve"> </w:t>
      </w:r>
      <w:r>
        <w:rPr>
          <w:spacing w:val="15"/>
        </w:rPr>
        <w:t>，绘制区域内山洪灾害风险</w:t>
      </w:r>
      <w:r>
        <w:rPr>
          <w:spacing w:val="8"/>
        </w:rPr>
        <w:t>图，划分并确定区域内</w:t>
      </w:r>
      <w:r>
        <w:rPr>
          <w:rFonts w:ascii="Times New Roman" w:hAnsi="Times New Roman" w:eastAsia="Times New Roman" w:cs="Times New Roman"/>
          <w:spacing w:val="8"/>
        </w:rPr>
        <w:t>“</w:t>
      </w:r>
      <w:r>
        <w:rPr>
          <w:spacing w:val="8"/>
        </w:rPr>
        <w:t>三区</w:t>
      </w:r>
      <w:r>
        <w:rPr>
          <w:rFonts w:ascii="Times New Roman" w:hAnsi="Times New Roman" w:eastAsia="Times New Roman" w:cs="Times New Roman"/>
          <w:spacing w:val="8"/>
        </w:rPr>
        <w:t>”</w:t>
      </w:r>
      <w:r>
        <w:rPr>
          <w:spacing w:val="8"/>
        </w:rPr>
        <w:t>地点、范围，制</w:t>
      </w:r>
    </w:p>
    <w:p>
      <w:pPr>
        <w:spacing w:line="328" w:lineRule="auto"/>
        <w:sectPr>
          <w:type w:val="continuous"/>
          <w:pgSz w:w="11906" w:h="16839"/>
          <w:pgMar w:top="1974" w:right="1509" w:bottom="1574" w:left="1579" w:header="1634" w:footer="1172" w:gutter="0"/>
          <w:cols w:equalWidth="0" w:num="2">
            <w:col w:w="4490" w:space="100"/>
            <w:col w:w="4228" w:space="0"/>
          </w:cols>
        </w:sectPr>
        <w:rPr/>
      </w:pPr>
    </w:p>
    <w:p>
      <w:pPr>
        <w:spacing w:before="53"/>
        <w:rPr/>
      </w:pPr>
      <w:r>
        <w:drawing>
          <wp:anchor distT="0" distB="0" distL="0" distR="0" simplePos="0" relativeHeight="254877696" behindDoc="0" locked="0" layoutInCell="0" allowOverlap="1">
            <wp:simplePos x="0" y="0"/>
            <wp:positionH relativeFrom="page">
              <wp:posOffset>1008380</wp:posOffset>
            </wp:positionH>
            <wp:positionV relativeFrom="page">
              <wp:posOffset>1124584</wp:posOffset>
            </wp:positionV>
            <wp:extent cx="5579745" cy="7620"/>
            <wp:effectExtent l="0" t="0" r="0" b="0"/>
            <wp:wrapNone/>
            <wp:docPr id="2482" name="IM 2482"/>
            <wp:cNvGraphicFramePr/>
            <a:graphic>
              <a:graphicData uri="http://schemas.openxmlformats.org/drawingml/2006/picture">
                <pic:pic>
                  <pic:nvPicPr>
                    <pic:cNvPr id="2482" name="IM 2482"/>
                    <pic:cNvPicPr/>
                  </pic:nvPicPr>
                  <pic:blipFill>
                    <a:blip r:embed="rId1246"/>
                    <a:stretch>
                      <a:fillRect/>
                    </a:stretch>
                  </pic:blipFill>
                  <pic:spPr>
                    <a:xfrm rot="0">
                      <a:off x="0" y="0"/>
                      <a:ext cx="5579745" cy="7620"/>
                    </a:xfrm>
                    <a:prstGeom prst="rect">
                      <a:avLst/>
                    </a:prstGeom>
                  </pic:spPr>
                </pic:pic>
              </a:graphicData>
            </a:graphic>
          </wp:anchor>
        </w:drawing>
      </w:r>
      <w:r/>
    </w:p>
    <w:p>
      <w:pPr>
        <w:sectPr>
          <w:headerReference w:type="default" r:id="rId1048"/>
          <w:footerReference w:type="default" r:id="rId1245"/>
          <w:pgSz w:w="11906" w:h="16839"/>
          <w:pgMar w:top="1772" w:right="1489" w:bottom="1572" w:left="1571" w:header="1428" w:footer="1172" w:gutter="0"/>
          <w:cols w:equalWidth="0" w:num="1">
            <w:col w:w="8846" w:space="0"/>
          </w:cols>
        </w:sectPr>
        <w:rPr/>
      </w:pPr>
    </w:p>
    <w:p>
      <w:pPr>
        <w:pStyle w:val="BodyText"/>
        <w:ind w:left="21" w:right="322"/>
        <w:spacing w:before="46" w:line="349" w:lineRule="auto"/>
        <w:jc w:val="both"/>
        <w:rPr/>
      </w:pPr>
      <w:r>
        <w:rPr>
          <w:spacing w:val="15"/>
        </w:rPr>
        <w:t>定安全转移方案</w:t>
      </w:r>
      <w:r>
        <w:rPr>
          <w:spacing w:val="-40"/>
        </w:rPr>
        <w:t xml:space="preserve"> </w:t>
      </w:r>
      <w:r>
        <w:rPr>
          <w:spacing w:val="15"/>
        </w:rPr>
        <w:t>，明确组织机构的设置及职</w:t>
      </w:r>
      <w:r>
        <w:rPr>
          <w:spacing w:val="15"/>
        </w:rPr>
        <w:t>责</w:t>
      </w:r>
      <w:r>
        <w:rPr>
          <w:spacing w:val="-41"/>
        </w:rPr>
        <w:t xml:space="preserve"> </w:t>
      </w:r>
      <w:r>
        <w:rPr>
          <w:spacing w:val="15"/>
        </w:rPr>
        <w:t>，并制定防御防治的工程和非工程措施规</w:t>
      </w:r>
      <w:r>
        <w:rPr>
          <w:spacing w:val="7"/>
        </w:rPr>
        <w:t>划，逐步实施。</w:t>
      </w:r>
    </w:p>
    <w:p>
      <w:pPr>
        <w:pStyle w:val="BodyText"/>
        <w:ind w:left="21" w:right="299" w:firstLine="411"/>
        <w:spacing w:line="337"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）落实各项制度。落实值班制度。山</w:t>
      </w:r>
      <w:r>
        <w:rPr>
          <w:spacing w:val="6"/>
        </w:rPr>
        <w:t>洪灾害易发区每年</w:t>
      </w:r>
      <w:r>
        <w:rPr>
          <w:spacing w:val="-36"/>
        </w:rPr>
        <w:t xml:space="preserve"> </w:t>
      </w:r>
      <w:r>
        <w:rPr>
          <w:rFonts w:ascii="Times New Roman" w:hAnsi="Times New Roman" w:eastAsia="Times New Roman" w:cs="Times New Roman"/>
          <w:spacing w:val="6"/>
        </w:rPr>
        <w:t>6—9 </w:t>
      </w:r>
      <w:r>
        <w:rPr>
          <w:spacing w:val="6"/>
        </w:rPr>
        <w:t>月份要坚持</w:t>
      </w:r>
      <w:r>
        <w:rPr>
          <w:spacing w:val="-55"/>
        </w:rPr>
        <w:t xml:space="preserve"> </w:t>
      </w:r>
      <w:r>
        <w:rPr>
          <w:rFonts w:ascii="Times New Roman" w:hAnsi="Times New Roman" w:eastAsia="Times New Roman" w:cs="Times New Roman"/>
          <w:spacing w:val="6"/>
        </w:rPr>
        <w:t>24 </w:t>
      </w:r>
      <w:r>
        <w:rPr>
          <w:spacing w:val="6"/>
        </w:rPr>
        <w:t>小时值</w:t>
      </w:r>
      <w:r>
        <w:rPr>
          <w:spacing w:val="8"/>
        </w:rPr>
        <w:t>班制；落实预警信号制度。每个村（社区）、</w:t>
      </w:r>
      <w:r>
        <w:rPr>
          <w:spacing w:val="13"/>
        </w:rPr>
        <w:t>组、院落都要确定</w:t>
      </w:r>
      <w:r>
        <w:rPr>
          <w:spacing w:val="-32"/>
        </w:rPr>
        <w:t xml:space="preserve"> </w:t>
      </w:r>
      <w:r>
        <w:rPr>
          <w:rFonts w:ascii="Times New Roman" w:hAnsi="Times New Roman" w:eastAsia="Times New Roman" w:cs="Times New Roman"/>
          <w:spacing w:val="13"/>
        </w:rPr>
        <w:t>l—2 </w:t>
      </w:r>
      <w:r>
        <w:rPr>
          <w:spacing w:val="13"/>
        </w:rPr>
        <w:t>名信号发送人。信号</w:t>
      </w:r>
      <w:r>
        <w:rPr>
          <w:spacing w:val="7"/>
        </w:rPr>
        <w:t>一般为预先设定的如口哨、打锣、放铳或警报</w:t>
      </w:r>
      <w:r>
        <w:rPr>
          <w:spacing w:val="7"/>
        </w:rPr>
        <w:t>器等；各级应急管理指挥部要落实应急资金和</w:t>
      </w:r>
      <w:r>
        <w:rPr>
          <w:spacing w:val="7"/>
        </w:rPr>
        <w:t>物资器材；落实避灾演习。县区应急管理指挥</w:t>
      </w:r>
      <w:r>
        <w:rPr>
          <w:spacing w:val="18"/>
        </w:rPr>
        <w:t>部每年在重点防范区组织群众进行一次避灾</w:t>
      </w:r>
      <w:r>
        <w:rPr>
          <w:spacing w:val="8"/>
        </w:rPr>
        <w:t>演习活动，提高群众的防范意识。</w:t>
      </w:r>
    </w:p>
    <w:p>
      <w:pPr>
        <w:pStyle w:val="BodyText"/>
        <w:ind w:left="20" w:right="255" w:firstLine="413"/>
        <w:spacing w:before="137" w:line="335" w:lineRule="auto"/>
        <w:rPr/>
      </w:pPr>
      <w:r>
        <w:rPr>
          <w:spacing w:val="8"/>
        </w:rPr>
        <w:t>（</w:t>
      </w:r>
      <w:r>
        <w:rPr>
          <w:spacing w:val="-45"/>
        </w:rPr>
        <w:t xml:space="preserve"> </w:t>
      </w:r>
      <w:r>
        <w:rPr>
          <w:rFonts w:ascii="Times New Roman" w:hAnsi="Times New Roman" w:eastAsia="Times New Roman" w:cs="Times New Roman"/>
          <w:spacing w:val="8"/>
        </w:rPr>
        <w:t>5</w:t>
      </w:r>
      <w:r>
        <w:rPr>
          <w:rFonts w:ascii="Times New Roman" w:hAnsi="Times New Roman" w:eastAsia="Times New Roman" w:cs="Times New Roman"/>
          <w:spacing w:val="-19"/>
        </w:rPr>
        <w:t xml:space="preserve"> </w:t>
      </w:r>
      <w:r>
        <w:rPr>
          <w:spacing w:val="8"/>
        </w:rPr>
        <w:t>）加大宣传力度。为进一步提高山区</w:t>
      </w:r>
      <w:r>
        <w:rPr/>
        <w:t>群众对山洪灾害的认识，强化躲灾、避灾意识，</w:t>
      </w:r>
      <w:r>
        <w:rPr>
          <w:spacing w:val="7"/>
        </w:rPr>
        <w:t>县区应急管理指挥部每年进行一次全方位、多</w:t>
      </w:r>
      <w:r>
        <w:rPr/>
        <w:t>层次、多形式的宣传发动，采取层层召开会议；</w:t>
      </w:r>
      <w:r>
        <w:rPr>
          <w:spacing w:val="7"/>
        </w:rPr>
        <w:t>出动宣传车，出标语、横幅、宣传栏；设立警</w:t>
      </w:r>
      <w:r>
        <w:rPr>
          <w:spacing w:val="7"/>
        </w:rPr>
        <w:t>示牌；编印发送山洪灾害防御手册等多种形式</w:t>
      </w:r>
      <w:r>
        <w:rPr>
          <w:spacing w:val="7"/>
        </w:rPr>
        <w:t>的宣传活动，使有关法律、法规、山洪灾害防</w:t>
      </w:r>
      <w:r>
        <w:rPr>
          <w:spacing w:val="9"/>
        </w:rPr>
        <w:t>御常识和对策做到家喻户晓，人人皆知。</w:t>
      </w:r>
    </w:p>
    <w:p>
      <w:pPr>
        <w:pStyle w:val="BodyText"/>
        <w:ind w:left="22" w:right="315" w:firstLine="410"/>
        <w:spacing w:before="135" w:line="330" w:lineRule="auto"/>
        <w:rPr/>
      </w:pPr>
      <w:r>
        <w:rPr>
          <w:spacing w:val="11"/>
        </w:rPr>
        <w:t>（</w:t>
      </w:r>
      <w:r>
        <w:rPr>
          <w:rFonts w:ascii="Times New Roman" w:hAnsi="Times New Roman" w:eastAsia="Times New Roman" w:cs="Times New Roman"/>
          <w:spacing w:val="11"/>
        </w:rPr>
        <w:t>6</w:t>
      </w:r>
      <w:r>
        <w:rPr>
          <w:rFonts w:ascii="Times New Roman" w:hAnsi="Times New Roman" w:eastAsia="Times New Roman" w:cs="Times New Roman"/>
          <w:spacing w:val="-18"/>
        </w:rPr>
        <w:t xml:space="preserve"> </w:t>
      </w:r>
      <w:r>
        <w:rPr>
          <w:spacing w:val="11"/>
        </w:rPr>
        <w:t>）强化工程措施。水务部门要通过山</w:t>
      </w:r>
      <w:r>
        <w:rPr>
          <w:spacing w:val="7"/>
        </w:rPr>
        <w:t>洪灾害易发区内的工程措施规划，逐年实施工</w:t>
      </w:r>
      <w:r>
        <w:rPr>
          <w:spacing w:val="7"/>
        </w:rPr>
        <w:t>程措施。搞好水毁工程恢复，治理水土流失，</w:t>
      </w:r>
      <w:r>
        <w:rPr>
          <w:spacing w:val="7"/>
        </w:rPr>
        <w:t>加大对病险水库、山塘的处理力度，开展退耕</w:t>
      </w:r>
      <w:r>
        <w:rPr>
          <w:spacing w:val="7"/>
        </w:rPr>
        <w:t>还林还草工作，提高生态质量，有效预防水土</w:t>
      </w:r>
      <w:r>
        <w:rPr>
          <w:spacing w:val="8"/>
        </w:rPr>
        <w:t>流失，减轻山洪灾害损失。</w:t>
      </w:r>
    </w:p>
    <w:p>
      <w:pPr>
        <w:pStyle w:val="BodyText"/>
        <w:ind w:left="22" w:right="322" w:firstLine="410"/>
        <w:spacing w:before="134" w:line="309" w:lineRule="auto"/>
        <w:rPr/>
      </w:pPr>
      <w:r>
        <w:rPr>
          <w:spacing w:val="8"/>
        </w:rPr>
        <w:t>（</w:t>
      </w:r>
      <w:r>
        <w:rPr>
          <w:rFonts w:ascii="Times New Roman" w:hAnsi="Times New Roman" w:eastAsia="Times New Roman" w:cs="Times New Roman"/>
          <w:spacing w:val="8"/>
        </w:rPr>
        <w:t>7</w:t>
      </w:r>
      <w:r>
        <w:rPr>
          <w:rFonts w:ascii="Times New Roman" w:hAnsi="Times New Roman" w:eastAsia="Times New Roman" w:cs="Times New Roman"/>
          <w:spacing w:val="-5"/>
        </w:rPr>
        <w:t xml:space="preserve"> </w:t>
      </w:r>
      <w:r>
        <w:rPr>
          <w:spacing w:val="8"/>
        </w:rPr>
        <w:t>）发现险情征兆时</w:t>
      </w:r>
      <w:r>
        <w:rPr>
          <w:spacing w:val="-59"/>
        </w:rPr>
        <w:t xml:space="preserve"> </w:t>
      </w:r>
      <w:r>
        <w:rPr>
          <w:spacing w:val="8"/>
        </w:rPr>
        <w:t>，县区应急管理指</w:t>
      </w:r>
      <w:r>
        <w:rPr>
          <w:spacing w:val="18"/>
        </w:rPr>
        <w:t>挥部要及时果断地按预定方案组织人员撤离</w:t>
      </w:r>
      <w:r>
        <w:rPr>
          <w:spacing w:val="6"/>
        </w:rPr>
        <w:t>或转移。</w:t>
      </w:r>
    </w:p>
    <w:p>
      <w:pPr>
        <w:ind w:left="450"/>
        <w:spacing w:before="135" w:line="241" w:lineRule="auto"/>
        <w:rPr>
          <w:rFonts w:ascii="KaiTi" w:hAnsi="KaiTi" w:eastAsia="KaiTi" w:cs="KaiTi"/>
          <w:sz w:val="20"/>
          <w:szCs w:val="20"/>
        </w:rPr>
      </w:pPr>
      <w:r>
        <w:rPr>
          <w:rFonts w:ascii="Times New Roman" w:hAnsi="Times New Roman" w:eastAsia="Times New Roman" w:cs="Times New Roman"/>
          <w:sz w:val="20"/>
          <w:szCs w:val="20"/>
          <w:spacing w:val="4"/>
        </w:rPr>
        <w:t>8.5  </w:t>
      </w:r>
      <w:r>
        <w:rPr>
          <w:rFonts w:ascii="KaiTi" w:hAnsi="KaiTi" w:eastAsia="KaiTi" w:cs="KaiTi"/>
          <w:sz w:val="20"/>
          <w:szCs w:val="20"/>
          <w:spacing w:val="4"/>
        </w:rPr>
        <w:t>暴雨渍涝。</w:t>
      </w:r>
    </w:p>
    <w:p>
      <w:pPr>
        <w:pStyle w:val="BodyText"/>
        <w:ind w:left="21" w:right="320" w:firstLine="411"/>
        <w:spacing w:before="119" w:line="322" w:lineRule="auto"/>
        <w:jc w:val="both"/>
        <w:rPr/>
      </w:pPr>
      <w:r>
        <w:rPr>
          <w:spacing w:val="5"/>
        </w:rPr>
        <w:t>（</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8"/>
        </w:rPr>
        <w:t xml:space="preserve"> </w:t>
      </w:r>
      <w:r>
        <w:rPr>
          <w:spacing w:val="5"/>
        </w:rPr>
        <w:t>）市气象局要加强观测</w:t>
      </w:r>
      <w:r>
        <w:rPr>
          <w:spacing w:val="-59"/>
        </w:rPr>
        <w:t xml:space="preserve"> </w:t>
      </w:r>
      <w:r>
        <w:rPr>
          <w:spacing w:val="5"/>
        </w:rPr>
        <w:t>，及时发布台</w:t>
      </w:r>
      <w:r>
        <w:rPr>
          <w:spacing w:val="7"/>
        </w:rPr>
        <w:t>风的最新情况，密切关注暴风雨动向。排涝泵</w:t>
      </w:r>
      <w:r>
        <w:rPr>
          <w:spacing w:val="11"/>
        </w:rPr>
        <w:t>站管理人员要坚持</w:t>
      </w:r>
      <w:r>
        <w:rPr>
          <w:spacing w:val="-35"/>
        </w:rPr>
        <w:t xml:space="preserve"> </w:t>
      </w:r>
      <w:r>
        <w:rPr>
          <w:rFonts w:ascii="Times New Roman" w:hAnsi="Times New Roman" w:eastAsia="Times New Roman" w:cs="Times New Roman"/>
          <w:spacing w:val="11"/>
        </w:rPr>
        <w:t>24 </w:t>
      </w:r>
      <w:r>
        <w:rPr>
          <w:spacing w:val="11"/>
        </w:rPr>
        <w:t>小时值班，密切关注降</w:t>
      </w:r>
      <w:r>
        <w:rPr>
          <w:spacing w:val="8"/>
        </w:rPr>
        <w:t>雨情况，随时开机排涝。</w:t>
      </w:r>
    </w:p>
    <w:p>
      <w:pPr>
        <w:spacing w:line="14" w:lineRule="auto"/>
        <w:rPr>
          <w:rFonts w:ascii="Arial"/>
          <w:sz w:val="2"/>
        </w:rPr>
      </w:pPr>
      <w:r>
        <w:rPr>
          <w:rFonts w:ascii="Arial" w:hAnsi="Arial" w:eastAsia="Arial" w:cs="Arial"/>
          <w:sz w:val="2"/>
          <w:szCs w:val="2"/>
        </w:rPr>
        <w:br w:type="column"/>
      </w:r>
    </w:p>
    <w:p>
      <w:pPr>
        <w:pStyle w:val="BodyText"/>
        <w:ind w:left="8" w:right="101" w:firstLine="411"/>
        <w:spacing w:before="39" w:line="327" w:lineRule="auto"/>
        <w:rPr/>
      </w:pPr>
      <w:r>
        <w:rPr>
          <w:spacing w:val="8"/>
        </w:rPr>
        <w:t>（</w:t>
      </w:r>
      <w:r>
        <w:rPr>
          <w:rFonts w:ascii="Times New Roman" w:hAnsi="Times New Roman" w:eastAsia="Times New Roman" w:cs="Times New Roman"/>
          <w:spacing w:val="8"/>
        </w:rPr>
        <w:t>2</w:t>
      </w:r>
      <w:r>
        <w:rPr>
          <w:rFonts w:ascii="Times New Roman" w:hAnsi="Times New Roman" w:eastAsia="Times New Roman" w:cs="Times New Roman"/>
          <w:spacing w:val="-3"/>
        </w:rPr>
        <w:t xml:space="preserve"> </w:t>
      </w:r>
      <w:r>
        <w:rPr>
          <w:spacing w:val="8"/>
        </w:rPr>
        <w:t>）在暴风雨来临之前</w:t>
      </w:r>
      <w:r>
        <w:rPr>
          <w:spacing w:val="-58"/>
        </w:rPr>
        <w:t xml:space="preserve"> </w:t>
      </w:r>
      <w:r>
        <w:rPr>
          <w:spacing w:val="8"/>
        </w:rPr>
        <w:t>，街道（镇）、</w:t>
      </w:r>
      <w:r>
        <w:rPr>
          <w:spacing w:val="7"/>
        </w:rPr>
        <w:t>村（社区）要督促居民固定好花盆、空调室外</w:t>
      </w:r>
      <w:r>
        <w:rPr>
          <w:spacing w:val="7"/>
        </w:rPr>
        <w:t>机、雨篷，建筑工地上的零星物品等，防止强</w:t>
      </w:r>
      <w:r>
        <w:rPr>
          <w:spacing w:val="9"/>
        </w:rPr>
        <w:t>风吹落高空物品，造成砸伤砸死事故。</w:t>
      </w:r>
    </w:p>
    <w:p>
      <w:pPr>
        <w:pStyle w:val="BodyText"/>
        <w:ind w:right="78" w:firstLine="420"/>
        <w:spacing w:before="104" w:line="334" w:lineRule="auto"/>
        <w:rPr/>
      </w:pPr>
      <w:r>
        <w:rPr>
          <w:spacing w:val="8"/>
        </w:rPr>
        <w:t>（</w:t>
      </w:r>
      <w:r>
        <w:rPr>
          <w:rFonts w:ascii="Times New Roman" w:hAnsi="Times New Roman" w:eastAsia="Times New Roman" w:cs="Times New Roman"/>
          <w:spacing w:val="8"/>
        </w:rPr>
        <w:t>3</w:t>
      </w:r>
      <w:r>
        <w:rPr>
          <w:rFonts w:ascii="Times New Roman" w:hAnsi="Times New Roman" w:eastAsia="Times New Roman" w:cs="Times New Roman"/>
          <w:spacing w:val="-5"/>
        </w:rPr>
        <w:t xml:space="preserve"> </w:t>
      </w:r>
      <w:r>
        <w:rPr>
          <w:spacing w:val="8"/>
        </w:rPr>
        <w:t>）住建、城管部门和街道（镇）</w:t>
      </w:r>
      <w:r>
        <w:rPr>
          <w:spacing w:val="-59"/>
        </w:rPr>
        <w:t xml:space="preserve"> </w:t>
      </w:r>
      <w:r>
        <w:rPr>
          <w:spacing w:val="8"/>
        </w:rPr>
        <w:t>、村</w:t>
      </w:r>
      <w:r>
        <w:rPr>
          <w:spacing w:val="7"/>
        </w:rPr>
        <w:t>（社区）要组织力量做好在建工程脚手架、户</w:t>
      </w:r>
      <w:r>
        <w:rPr>
          <w:spacing w:val="7"/>
        </w:rPr>
        <w:t>外广告、高空设施以及各类危房加固。停止高</w:t>
      </w:r>
      <w:r>
        <w:rPr>
          <w:spacing w:val="7"/>
        </w:rPr>
        <w:t>空及户外危险作业；停止各种露天集体活动和</w:t>
      </w:r>
      <w:r>
        <w:rPr>
          <w:spacing w:val="7"/>
        </w:rPr>
        <w:t>室内大型集会。居民不要随意外出，不要在危</w:t>
      </w:r>
      <w:r>
        <w:rPr>
          <w:spacing w:val="8"/>
        </w:rPr>
        <w:t>旧住房、工棚、临时建筑、脚手架、电线杆、</w:t>
      </w:r>
      <w:r>
        <w:rPr>
          <w:spacing w:val="7"/>
        </w:rPr>
        <w:t>树木、广告牌、铁塔等容易造成伤亡的地点避</w:t>
      </w:r>
      <w:r>
        <w:rPr>
          <w:spacing w:val="8"/>
        </w:rPr>
        <w:t>风避雨。</w:t>
      </w:r>
    </w:p>
    <w:p>
      <w:pPr>
        <w:pStyle w:val="BodyText"/>
        <w:ind w:left="7" w:right="101" w:firstLine="412"/>
        <w:spacing w:before="141" w:line="320"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）暴风雨携带的暴雨容易引发山体滑</w:t>
      </w:r>
      <w:r>
        <w:rPr>
          <w:spacing w:val="7"/>
        </w:rPr>
        <w:t>坡、泥石流等地质灾害，造成人员伤亡。山地</w:t>
      </w:r>
      <w:r>
        <w:rPr>
          <w:spacing w:val="7"/>
        </w:rPr>
        <w:t>灾害易发地区和已发生高强度大暴雨地区，要</w:t>
      </w:r>
      <w:r>
        <w:rPr>
          <w:spacing w:val="8"/>
        </w:rPr>
        <w:t>提高警惕，及时撤离。</w:t>
      </w:r>
    </w:p>
    <w:p>
      <w:pPr>
        <w:pStyle w:val="BodyText"/>
        <w:ind w:left="8" w:right="101" w:firstLine="411"/>
        <w:spacing w:before="136" w:line="308" w:lineRule="auto"/>
        <w:rPr/>
      </w:pPr>
      <w:r>
        <w:rPr>
          <w:spacing w:val="6"/>
        </w:rPr>
        <w:t>（</w:t>
      </w:r>
      <w:r>
        <w:rPr>
          <w:spacing w:val="-50"/>
        </w:rPr>
        <w:t xml:space="preserve"> </w:t>
      </w:r>
      <w:r>
        <w:rPr>
          <w:rFonts w:ascii="Times New Roman" w:hAnsi="Times New Roman" w:eastAsia="Times New Roman" w:cs="Times New Roman"/>
          <w:spacing w:val="6"/>
        </w:rPr>
        <w:t>5</w:t>
      </w:r>
      <w:r>
        <w:rPr>
          <w:rFonts w:ascii="Times New Roman" w:hAnsi="Times New Roman" w:eastAsia="Times New Roman" w:cs="Times New Roman"/>
          <w:spacing w:val="-18"/>
        </w:rPr>
        <w:t xml:space="preserve"> </w:t>
      </w:r>
      <w:r>
        <w:rPr>
          <w:spacing w:val="6"/>
        </w:rPr>
        <w:t>）要迅速转移危房住户应</w:t>
      </w:r>
      <w:r>
        <w:rPr>
          <w:spacing w:val="-60"/>
        </w:rPr>
        <w:t xml:space="preserve"> </w:t>
      </w:r>
      <w:r>
        <w:rPr>
          <w:spacing w:val="6"/>
        </w:rPr>
        <w:t>；切断霓虹</w:t>
      </w:r>
      <w:r>
        <w:rPr>
          <w:spacing w:val="7"/>
        </w:rPr>
        <w:t>灯、广告牌的室外电源。中小学、幼儿园、托</w:t>
      </w:r>
      <w:r>
        <w:rPr>
          <w:spacing w:val="8"/>
        </w:rPr>
        <w:t>儿所可视情决定临时停课。</w:t>
      </w:r>
    </w:p>
    <w:p>
      <w:pPr>
        <w:pStyle w:val="BodyText"/>
        <w:ind w:left="8" w:right="78" w:firstLine="411"/>
        <w:spacing w:before="141" w:line="329" w:lineRule="auto"/>
        <w:rPr/>
      </w:pPr>
      <w:r>
        <w:rPr>
          <w:spacing w:val="7"/>
        </w:rPr>
        <w:t>（</w:t>
      </w:r>
      <w:r>
        <w:rPr>
          <w:rFonts w:ascii="Times New Roman" w:hAnsi="Times New Roman" w:eastAsia="Times New Roman" w:cs="Times New Roman"/>
          <w:spacing w:val="7"/>
        </w:rPr>
        <w:t>6 </w:t>
      </w:r>
      <w:r>
        <w:rPr>
          <w:spacing w:val="7"/>
        </w:rPr>
        <w:t>）当暴风雨信号解除以后</w:t>
      </w:r>
      <w:r>
        <w:rPr>
          <w:spacing w:val="-53"/>
        </w:rPr>
        <w:t xml:space="preserve"> </w:t>
      </w:r>
      <w:r>
        <w:rPr>
          <w:spacing w:val="7"/>
        </w:rPr>
        <w:t>，要在撤离</w:t>
      </w:r>
      <w:r>
        <w:rPr>
          <w:spacing w:val="7"/>
        </w:rPr>
        <w:t>地区被宣布为安全以后才可以返回，并要遵守</w:t>
      </w:r>
      <w:r>
        <w:rPr>
          <w:spacing w:val="7"/>
        </w:rPr>
        <w:t>规定，不要涉足危险和未知的区域，在尚未得</w:t>
      </w:r>
      <w:r>
        <w:rPr>
          <w:spacing w:val="6"/>
        </w:rPr>
        <w:t>知是否安全时，不要随意使用煤气、</w:t>
      </w:r>
      <w:r>
        <w:rPr>
          <w:spacing w:val="-53"/>
        </w:rPr>
        <w:t xml:space="preserve"> </w:t>
      </w:r>
      <w:r>
        <w:rPr>
          <w:spacing w:val="6"/>
        </w:rPr>
        <w:t>自来水、</w:t>
      </w:r>
      <w:r>
        <w:rPr>
          <w:spacing w:val="7"/>
        </w:rPr>
        <w:t>电线线路等，并随时准备在危险发生时向有关</w:t>
      </w:r>
      <w:r>
        <w:rPr>
          <w:spacing w:val="6"/>
        </w:rPr>
        <w:t>部门呼救。</w:t>
      </w:r>
    </w:p>
    <w:p>
      <w:pPr>
        <w:ind w:left="433"/>
        <w:spacing w:before="132" w:line="21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9    附则</w:t>
      </w:r>
    </w:p>
    <w:p>
      <w:pPr>
        <w:ind w:left="432"/>
        <w:spacing w:before="77" w:line="268" w:lineRule="exact"/>
        <w:rPr>
          <w:rFonts w:ascii="KaiTi" w:hAnsi="KaiTi" w:eastAsia="KaiTi" w:cs="KaiTi"/>
          <w:sz w:val="20"/>
          <w:szCs w:val="20"/>
        </w:rPr>
      </w:pPr>
      <w:r>
        <w:rPr>
          <w:rFonts w:ascii="Times New Roman" w:hAnsi="Times New Roman" w:eastAsia="Times New Roman" w:cs="Times New Roman"/>
          <w:sz w:val="20"/>
          <w:szCs w:val="20"/>
          <w:spacing w:val="3"/>
          <w:position w:val="1"/>
        </w:rPr>
        <w:t>9.</w:t>
      </w:r>
      <w:r>
        <w:rPr>
          <w:rFonts w:ascii="Times New Roman" w:hAnsi="Times New Roman" w:eastAsia="Times New Roman" w:cs="Times New Roman"/>
          <w:sz w:val="20"/>
          <w:szCs w:val="20"/>
          <w:spacing w:val="-21"/>
          <w:position w:val="1"/>
        </w:rPr>
        <w:t xml:space="preserve"> </w:t>
      </w:r>
      <w:r>
        <w:rPr>
          <w:rFonts w:ascii="Times New Roman" w:hAnsi="Times New Roman" w:eastAsia="Times New Roman" w:cs="Times New Roman"/>
          <w:sz w:val="20"/>
          <w:szCs w:val="20"/>
          <w:spacing w:val="3"/>
          <w:position w:val="1"/>
        </w:rPr>
        <w:t>1  </w:t>
      </w:r>
      <w:r>
        <w:rPr>
          <w:rFonts w:ascii="KaiTi" w:hAnsi="KaiTi" w:eastAsia="KaiTi" w:cs="KaiTi"/>
          <w:sz w:val="20"/>
          <w:szCs w:val="20"/>
          <w:spacing w:val="3"/>
          <w:position w:val="1"/>
        </w:rPr>
        <w:t>名词术语定义。</w:t>
      </w:r>
    </w:p>
    <w:p>
      <w:pPr>
        <w:pStyle w:val="BodyText"/>
        <w:ind w:left="6" w:right="101" w:firstLine="413"/>
        <w:spacing w:before="109" w:line="330" w:lineRule="auto"/>
        <w:rPr/>
      </w:pPr>
      <w:r>
        <w:rPr>
          <w:spacing w:val="8"/>
        </w:rPr>
        <w:t>（</w:t>
      </w:r>
      <w:r>
        <w:rPr>
          <w:spacing w:val="-45"/>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19"/>
        </w:rPr>
        <w:t xml:space="preserve"> </w:t>
      </w:r>
      <w:r>
        <w:rPr>
          <w:spacing w:val="8"/>
        </w:rPr>
        <w:t>）洪水风险图：是融合地理、社会经</w:t>
      </w:r>
      <w:r>
        <w:rPr>
          <w:spacing w:val="7"/>
        </w:rPr>
        <w:t>济信息、洪水特征信息，通过资料调查、洪水</w:t>
      </w:r>
      <w:r>
        <w:rPr>
          <w:spacing w:val="7"/>
        </w:rPr>
        <w:t>计算和成果整理，以地图形式直观反映某一地</w:t>
      </w:r>
      <w:r>
        <w:rPr>
          <w:spacing w:val="7"/>
        </w:rPr>
        <w:t>区发生洪水后可能淹没的范围和水深，用以分</w:t>
      </w:r>
      <w:r>
        <w:rPr>
          <w:spacing w:val="18"/>
        </w:rPr>
        <w:t>析和预评估不同量级洪水可能造成的风险和</w:t>
      </w:r>
      <w:r>
        <w:rPr>
          <w:spacing w:val="7"/>
        </w:rPr>
        <w:t>危害的工具。</w:t>
      </w:r>
    </w:p>
    <w:p>
      <w:pPr>
        <w:pStyle w:val="BodyText"/>
        <w:ind w:left="420"/>
        <w:spacing w:before="154" w:line="221" w:lineRule="auto"/>
        <w:rPr/>
      </w:pPr>
      <w:r>
        <w:rPr>
          <w:spacing w:val="9"/>
        </w:rPr>
        <w:t>（</w:t>
      </w:r>
      <w:r>
        <w:rPr>
          <w:rFonts w:ascii="Times New Roman" w:hAnsi="Times New Roman" w:eastAsia="Times New Roman" w:cs="Times New Roman"/>
          <w:spacing w:val="9"/>
        </w:rPr>
        <w:t>2 </w:t>
      </w:r>
      <w:r>
        <w:rPr>
          <w:spacing w:val="9"/>
        </w:rPr>
        <w:t>）防御洪水方案：是有防汛抗洪任务</w:t>
      </w:r>
    </w:p>
    <w:p>
      <w:pPr>
        <w:spacing w:line="221" w:lineRule="auto"/>
        <w:sectPr>
          <w:type w:val="continuous"/>
          <w:pgSz w:w="11906" w:h="16839"/>
          <w:pgMar w:top="1772" w:right="1489" w:bottom="1572" w:left="1571" w:header="1428" w:footer="1172" w:gutter="0"/>
          <w:cols w:equalWidth="0" w:num="2">
            <w:col w:w="4491" w:space="100"/>
            <w:col w:w="4256" w:space="0"/>
          </w:cols>
        </w:sectPr>
        <w:rPr/>
      </w:pPr>
    </w:p>
    <w:p>
      <w:pPr>
        <w:spacing w:before="78"/>
        <w:rPr/>
      </w:pPr>
      <w:r>
        <w:drawing>
          <wp:anchor distT="0" distB="0" distL="0" distR="0" simplePos="0" relativeHeight="254893056" behindDoc="0" locked="0" layoutInCell="0" allowOverlap="1">
            <wp:simplePos x="0" y="0"/>
            <wp:positionH relativeFrom="page">
              <wp:posOffset>1008380</wp:posOffset>
            </wp:positionH>
            <wp:positionV relativeFrom="page">
              <wp:posOffset>1278890</wp:posOffset>
            </wp:positionV>
            <wp:extent cx="5579745" cy="7619"/>
            <wp:effectExtent l="0" t="0" r="0" b="0"/>
            <wp:wrapNone/>
            <wp:docPr id="2486" name="IM 2486"/>
            <wp:cNvGraphicFramePr/>
            <a:graphic>
              <a:graphicData uri="http://schemas.openxmlformats.org/drawingml/2006/picture">
                <pic:pic>
                  <pic:nvPicPr>
                    <pic:cNvPr id="2486" name="IM 2486"/>
                    <pic:cNvPicPr/>
                  </pic:nvPicPr>
                  <pic:blipFill>
                    <a:blip r:embed="rId1248"/>
                    <a:stretch>
                      <a:fillRect/>
                    </a:stretch>
                  </pic:blipFill>
                  <pic:spPr>
                    <a:xfrm rot="0">
                      <a:off x="0" y="0"/>
                      <a:ext cx="5579745" cy="7619"/>
                    </a:xfrm>
                    <a:prstGeom prst="rect">
                      <a:avLst/>
                    </a:prstGeom>
                  </pic:spPr>
                </pic:pic>
              </a:graphicData>
            </a:graphic>
          </wp:anchor>
        </w:drawing>
      </w:r>
      <w:r/>
    </w:p>
    <w:p>
      <w:pPr>
        <w:sectPr>
          <w:headerReference w:type="default" r:id="rId1184"/>
          <w:footerReference w:type="default" r:id="rId1247"/>
          <w:pgSz w:w="11906" w:h="16839"/>
          <w:pgMar w:top="1974" w:right="1530" w:bottom="1574" w:left="1579" w:header="1634" w:footer="1172" w:gutter="0"/>
          <w:cols w:equalWidth="0" w:num="1">
            <w:col w:w="8796" w:space="0"/>
          </w:cols>
        </w:sectPr>
        <w:rPr/>
      </w:pPr>
    </w:p>
    <w:p>
      <w:pPr>
        <w:pStyle w:val="BodyText"/>
        <w:ind w:left="12" w:right="306" w:firstLine="17"/>
        <w:spacing w:before="41" w:line="364" w:lineRule="auto"/>
        <w:jc w:val="both"/>
        <w:rPr/>
      </w:pPr>
      <w:r>
        <w:rPr>
          <w:spacing w:val="7"/>
        </w:rPr>
        <w:t>的县级以上地方人民政府根据流域综合规划、</w:t>
      </w:r>
      <w:r>
        <w:rPr>
          <w:spacing w:val="7"/>
        </w:rPr>
        <w:t>防洪工程实际状况和国家规定的防洪标准，制</w:t>
      </w:r>
      <w:r>
        <w:rPr>
          <w:spacing w:val="7"/>
        </w:rPr>
        <w:t>定的防御河流洪水（包括对特大洪水）、山洪</w:t>
      </w:r>
      <w:r>
        <w:rPr>
          <w:spacing w:val="7"/>
        </w:rPr>
        <w:t>灾害（山洪、泥石流、滑坡等）、台风暴潮灾</w:t>
      </w:r>
      <w:r>
        <w:rPr>
          <w:spacing w:val="8"/>
        </w:rPr>
        <w:t>害等方案的统称。</w:t>
      </w:r>
    </w:p>
    <w:p>
      <w:pPr>
        <w:pStyle w:val="BodyText"/>
        <w:ind w:left="12" w:right="332" w:firstLine="412"/>
        <w:spacing w:before="24" w:line="296" w:lineRule="auto"/>
        <w:rPr/>
      </w:pPr>
      <w:r>
        <w:rPr>
          <w:spacing w:val="11"/>
        </w:rPr>
        <w:t>（</w:t>
      </w:r>
      <w:r>
        <w:rPr>
          <w:rFonts w:ascii="Times New Roman" w:hAnsi="Times New Roman" w:eastAsia="Times New Roman" w:cs="Times New Roman"/>
          <w:spacing w:val="11"/>
        </w:rPr>
        <w:t>3</w:t>
      </w:r>
      <w:r>
        <w:rPr>
          <w:rFonts w:ascii="Times New Roman" w:hAnsi="Times New Roman" w:eastAsia="Times New Roman" w:cs="Times New Roman"/>
          <w:spacing w:val="-18"/>
        </w:rPr>
        <w:t xml:space="preserve"> </w:t>
      </w:r>
      <w:r>
        <w:rPr>
          <w:spacing w:val="11"/>
        </w:rPr>
        <w:t>）一般洪水：洪峰流量或洪量的重现</w:t>
      </w:r>
      <w:r>
        <w:rPr>
          <w:spacing w:val="4"/>
        </w:rPr>
        <w:t>期</w:t>
      </w:r>
      <w:r>
        <w:rPr>
          <w:spacing w:val="-37"/>
        </w:rPr>
        <w:t xml:space="preserve"> </w:t>
      </w:r>
      <w:r>
        <w:rPr>
          <w:rFonts w:ascii="Times New Roman" w:hAnsi="Times New Roman" w:eastAsia="Times New Roman" w:cs="Times New Roman"/>
          <w:spacing w:val="4"/>
        </w:rPr>
        <w:t>5 </w:t>
      </w:r>
      <w:r>
        <w:rPr>
          <w:spacing w:val="4"/>
        </w:rPr>
        <w:t>至</w:t>
      </w:r>
      <w:r>
        <w:rPr>
          <w:spacing w:val="-23"/>
        </w:rPr>
        <w:t xml:space="preserve"> </w:t>
      </w:r>
      <w:r>
        <w:rPr>
          <w:rFonts w:ascii="Times New Roman" w:hAnsi="Times New Roman" w:eastAsia="Times New Roman" w:cs="Times New Roman"/>
          <w:spacing w:val="4"/>
        </w:rPr>
        <w:t>10 </w:t>
      </w:r>
      <w:r>
        <w:rPr>
          <w:spacing w:val="4"/>
        </w:rPr>
        <w:t>年一遇的洪水。</w:t>
      </w:r>
    </w:p>
    <w:p>
      <w:pPr>
        <w:pStyle w:val="BodyText"/>
        <w:ind w:left="12" w:right="332" w:firstLine="412"/>
        <w:spacing w:before="158" w:line="297" w:lineRule="auto"/>
        <w:rPr/>
      </w:pPr>
      <w:r>
        <w:rPr>
          <w:spacing w:val="11"/>
        </w:rPr>
        <w:t>（</w:t>
      </w:r>
      <w:r>
        <w:rPr>
          <w:rFonts w:ascii="Times New Roman" w:hAnsi="Times New Roman" w:eastAsia="Times New Roman" w:cs="Times New Roman"/>
          <w:spacing w:val="11"/>
        </w:rPr>
        <w:t>4</w:t>
      </w:r>
      <w:r>
        <w:rPr>
          <w:rFonts w:ascii="Times New Roman" w:hAnsi="Times New Roman" w:eastAsia="Times New Roman" w:cs="Times New Roman"/>
          <w:spacing w:val="-18"/>
        </w:rPr>
        <w:t xml:space="preserve"> </w:t>
      </w:r>
      <w:r>
        <w:rPr>
          <w:spacing w:val="11"/>
        </w:rPr>
        <w:t>）较大洪水：洪峰流量或洪量的重现</w:t>
      </w:r>
      <w:r>
        <w:rPr>
          <w:spacing w:val="4"/>
        </w:rPr>
        <w:t>期</w:t>
      </w:r>
      <w:r>
        <w:rPr>
          <w:spacing w:val="-18"/>
        </w:rPr>
        <w:t xml:space="preserve"> </w:t>
      </w:r>
      <w:r>
        <w:rPr>
          <w:rFonts w:ascii="Times New Roman" w:hAnsi="Times New Roman" w:eastAsia="Times New Roman" w:cs="Times New Roman"/>
          <w:spacing w:val="4"/>
        </w:rPr>
        <w:t>10 </w:t>
      </w:r>
      <w:r>
        <w:rPr>
          <w:spacing w:val="4"/>
        </w:rPr>
        <w:t>至</w:t>
      </w:r>
      <w:r>
        <w:rPr>
          <w:spacing w:val="-40"/>
        </w:rPr>
        <w:t xml:space="preserve"> </w:t>
      </w:r>
      <w:r>
        <w:rPr>
          <w:rFonts w:ascii="Times New Roman" w:hAnsi="Times New Roman" w:eastAsia="Times New Roman" w:cs="Times New Roman"/>
          <w:spacing w:val="4"/>
        </w:rPr>
        <w:t>20 </w:t>
      </w:r>
      <w:r>
        <w:rPr>
          <w:spacing w:val="4"/>
        </w:rPr>
        <w:t>年一遇的洪水。</w:t>
      </w:r>
    </w:p>
    <w:p>
      <w:pPr>
        <w:pStyle w:val="BodyText"/>
        <w:ind w:left="424"/>
        <w:spacing w:before="156" w:line="277" w:lineRule="exact"/>
        <w:rPr/>
      </w:pPr>
      <w:r>
        <w:rPr>
          <w:spacing w:val="9"/>
          <w:position w:val="1"/>
        </w:rPr>
        <w:t>（</w:t>
      </w:r>
      <w:r>
        <w:rPr>
          <w:spacing w:val="-60"/>
          <w:position w:val="1"/>
        </w:rPr>
        <w:t xml:space="preserve"> </w:t>
      </w:r>
      <w:r>
        <w:rPr>
          <w:rFonts w:ascii="Times New Roman" w:hAnsi="Times New Roman" w:eastAsia="Times New Roman" w:cs="Times New Roman"/>
          <w:spacing w:val="9"/>
          <w:position w:val="1"/>
        </w:rPr>
        <w:t>5</w:t>
      </w:r>
      <w:r>
        <w:rPr>
          <w:rFonts w:ascii="Times New Roman" w:hAnsi="Times New Roman" w:eastAsia="Times New Roman" w:cs="Times New Roman"/>
          <w:spacing w:val="-19"/>
          <w:position w:val="1"/>
        </w:rPr>
        <w:t xml:space="preserve"> </w:t>
      </w:r>
      <w:r>
        <w:rPr>
          <w:spacing w:val="9"/>
          <w:position w:val="1"/>
        </w:rPr>
        <w:t>）大洪水：洪峰流量或洪量的重现期</w:t>
      </w:r>
    </w:p>
    <w:p>
      <w:pPr>
        <w:pStyle w:val="BodyText"/>
        <w:ind w:left="13"/>
        <w:spacing w:before="129" w:line="219" w:lineRule="auto"/>
        <w:rPr/>
      </w:pPr>
      <w:r>
        <w:rPr>
          <w:rFonts w:ascii="Times New Roman" w:hAnsi="Times New Roman" w:eastAsia="Times New Roman" w:cs="Times New Roman"/>
          <w:spacing w:val="5"/>
        </w:rPr>
        <w:t>20 </w:t>
      </w:r>
      <w:r>
        <w:rPr>
          <w:spacing w:val="5"/>
        </w:rPr>
        <w:t>至</w:t>
      </w:r>
      <w:r>
        <w:rPr>
          <w:spacing w:val="-31"/>
        </w:rPr>
        <w:t xml:space="preserve"> </w:t>
      </w:r>
      <w:r>
        <w:rPr>
          <w:rFonts w:ascii="Times New Roman" w:hAnsi="Times New Roman" w:eastAsia="Times New Roman" w:cs="Times New Roman"/>
          <w:spacing w:val="5"/>
        </w:rPr>
        <w:t>50 </w:t>
      </w:r>
      <w:r>
        <w:rPr>
          <w:spacing w:val="5"/>
        </w:rPr>
        <w:t>年一遇的洪水。</w:t>
      </w:r>
    </w:p>
    <w:p>
      <w:pPr>
        <w:pStyle w:val="BodyText"/>
        <w:ind w:left="12" w:right="332" w:firstLine="412"/>
        <w:spacing w:before="157" w:line="296" w:lineRule="auto"/>
        <w:rPr/>
      </w:pPr>
      <w:r>
        <w:rPr>
          <w:spacing w:val="11"/>
        </w:rPr>
        <w:t>（</w:t>
      </w:r>
      <w:r>
        <w:rPr>
          <w:rFonts w:ascii="Times New Roman" w:hAnsi="Times New Roman" w:eastAsia="Times New Roman" w:cs="Times New Roman"/>
          <w:spacing w:val="11"/>
        </w:rPr>
        <w:t>6</w:t>
      </w:r>
      <w:r>
        <w:rPr>
          <w:rFonts w:ascii="Times New Roman" w:hAnsi="Times New Roman" w:eastAsia="Times New Roman" w:cs="Times New Roman"/>
          <w:spacing w:val="-18"/>
        </w:rPr>
        <w:t xml:space="preserve"> </w:t>
      </w:r>
      <w:r>
        <w:rPr>
          <w:spacing w:val="11"/>
        </w:rPr>
        <w:t>）特大洪水：洪峰流量或洪量的重现</w:t>
      </w:r>
      <w:r>
        <w:rPr>
          <w:spacing w:val="6"/>
        </w:rPr>
        <w:t>期大于</w:t>
      </w:r>
      <w:r>
        <w:rPr>
          <w:spacing w:val="-32"/>
        </w:rPr>
        <w:t xml:space="preserve"> </w:t>
      </w:r>
      <w:r>
        <w:rPr>
          <w:rFonts w:ascii="Times New Roman" w:hAnsi="Times New Roman" w:eastAsia="Times New Roman" w:cs="Times New Roman"/>
          <w:spacing w:val="6"/>
        </w:rPr>
        <w:t>50 </w:t>
      </w:r>
      <w:r>
        <w:rPr>
          <w:spacing w:val="6"/>
        </w:rPr>
        <w:t>年一遇的洪水。</w:t>
      </w:r>
    </w:p>
    <w:p>
      <w:pPr>
        <w:pStyle w:val="BodyText"/>
        <w:ind w:left="14" w:right="329" w:firstLine="410"/>
        <w:spacing w:before="158" w:line="345" w:lineRule="auto"/>
        <w:rPr/>
      </w:pPr>
      <w:r>
        <w:rPr>
          <w:spacing w:val="11"/>
        </w:rPr>
        <w:t>（</w:t>
      </w:r>
      <w:r>
        <w:rPr>
          <w:rFonts w:ascii="Times New Roman" w:hAnsi="Times New Roman" w:eastAsia="Times New Roman" w:cs="Times New Roman"/>
          <w:spacing w:val="11"/>
        </w:rPr>
        <w:t>7</w:t>
      </w:r>
      <w:r>
        <w:rPr>
          <w:rFonts w:ascii="Times New Roman" w:hAnsi="Times New Roman" w:eastAsia="Times New Roman" w:cs="Times New Roman"/>
          <w:spacing w:val="-18"/>
        </w:rPr>
        <w:t xml:space="preserve"> </w:t>
      </w:r>
      <w:r>
        <w:rPr>
          <w:spacing w:val="11"/>
        </w:rPr>
        <w:t>）紧急防汛期：根据《中华人民共和</w:t>
      </w:r>
      <w:r>
        <w:rPr>
          <w:spacing w:val="7"/>
        </w:rPr>
        <w:t>国防洪法》规定，当河道的水情接近保证水位</w:t>
      </w:r>
      <w:r>
        <w:rPr>
          <w:spacing w:val="7"/>
        </w:rPr>
        <w:t>或者安全流量，水库水位接近设计洪水位，或</w:t>
      </w:r>
      <w:r>
        <w:rPr>
          <w:spacing w:val="7"/>
        </w:rPr>
        <w:t>者防洪工程设施发生重大险情时，有关县级以</w:t>
      </w:r>
      <w:r>
        <w:rPr>
          <w:spacing w:val="18"/>
        </w:rPr>
        <w:t>上人民政府防汛指挥机构可以宣布进入紧急</w:t>
      </w:r>
      <w:r>
        <w:rPr>
          <w:spacing w:val="6"/>
        </w:rPr>
        <w:t>防汛期。</w:t>
      </w:r>
    </w:p>
    <w:p>
      <w:pPr>
        <w:pStyle w:val="BodyText"/>
        <w:ind w:left="14" w:right="327" w:firstLine="409"/>
        <w:spacing w:before="157" w:line="345" w:lineRule="auto"/>
        <w:rPr/>
      </w:pPr>
      <w:r>
        <w:rPr>
          <w:spacing w:val="8"/>
        </w:rPr>
        <w:t>（</w:t>
      </w:r>
      <w:r>
        <w:rPr>
          <w:spacing w:val="-45"/>
        </w:rPr>
        <w:t xml:space="preserve"> </w:t>
      </w:r>
      <w:r>
        <w:rPr>
          <w:rFonts w:ascii="Times New Roman" w:hAnsi="Times New Roman" w:eastAsia="Times New Roman" w:cs="Times New Roman"/>
          <w:spacing w:val="8"/>
        </w:rPr>
        <w:t>8</w:t>
      </w:r>
      <w:r>
        <w:rPr>
          <w:rFonts w:ascii="Times New Roman" w:hAnsi="Times New Roman" w:eastAsia="Times New Roman" w:cs="Times New Roman"/>
          <w:spacing w:val="-19"/>
        </w:rPr>
        <w:t xml:space="preserve"> </w:t>
      </w:r>
      <w:r>
        <w:rPr>
          <w:spacing w:val="8"/>
        </w:rPr>
        <w:t>）特大型山洪灾害险情和灾情：受灾</w:t>
      </w:r>
      <w:r>
        <w:rPr>
          <w:spacing w:val="8"/>
        </w:rPr>
        <w:t>害威胁</w:t>
      </w:r>
      <w:r>
        <w:rPr>
          <w:spacing w:val="-58"/>
        </w:rPr>
        <w:t xml:space="preserve"> </w:t>
      </w:r>
      <w:r>
        <w:rPr>
          <w:spacing w:val="8"/>
        </w:rPr>
        <w:t>，需搬迁转移人数在</w:t>
      </w:r>
      <w:r>
        <w:rPr>
          <w:spacing w:val="-21"/>
        </w:rPr>
        <w:t xml:space="preserve"> </w:t>
      </w:r>
      <w:r>
        <w:rPr>
          <w:rFonts w:ascii="Times New Roman" w:hAnsi="Times New Roman" w:eastAsia="Times New Roman" w:cs="Times New Roman"/>
          <w:spacing w:val="8"/>
        </w:rPr>
        <w:t>1000 </w:t>
      </w:r>
      <w:r>
        <w:rPr>
          <w:spacing w:val="8"/>
        </w:rPr>
        <w:t>人以上</w:t>
      </w:r>
      <w:r>
        <w:rPr>
          <w:spacing w:val="7"/>
        </w:rPr>
        <w:t>或潜</w:t>
      </w:r>
      <w:r>
        <w:rPr>
          <w:spacing w:val="7"/>
        </w:rPr>
        <w:t>在可能造成的经济损失</w:t>
      </w:r>
      <w:r>
        <w:rPr>
          <w:spacing w:val="-27"/>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20"/>
        </w:rPr>
        <w:t xml:space="preserve"> </w:t>
      </w:r>
      <w:r>
        <w:rPr>
          <w:spacing w:val="7"/>
        </w:rPr>
        <w:t>亿元以上的山洪灾害</w:t>
      </w:r>
      <w:r>
        <w:rPr>
          <w:spacing w:val="10"/>
        </w:rPr>
        <w:t>险情为特大型山洪灾害险情。因灾死亡</w:t>
      </w:r>
      <w:r>
        <w:rPr>
          <w:spacing w:val="-17"/>
        </w:rPr>
        <w:t xml:space="preserve"> </w:t>
      </w:r>
      <w:r>
        <w:rPr>
          <w:rFonts w:ascii="Times New Roman" w:hAnsi="Times New Roman" w:eastAsia="Times New Roman" w:cs="Times New Roman"/>
          <w:spacing w:val="10"/>
        </w:rPr>
        <w:t>30 </w:t>
      </w:r>
      <w:r>
        <w:rPr>
          <w:spacing w:val="10"/>
        </w:rPr>
        <w:t>人</w:t>
      </w:r>
      <w:r>
        <w:rPr>
          <w:spacing w:val="9"/>
        </w:rPr>
        <w:t>以上或因灾造成直接经济损失</w:t>
      </w:r>
      <w:r>
        <w:rPr>
          <w:spacing w:val="-5"/>
        </w:rPr>
        <w:t xml:space="preserve"> </w:t>
      </w:r>
      <w:r>
        <w:rPr>
          <w:rFonts w:ascii="Times New Roman" w:hAnsi="Times New Roman" w:eastAsia="Times New Roman" w:cs="Times New Roman"/>
          <w:spacing w:val="9"/>
        </w:rPr>
        <w:t>1000 </w:t>
      </w:r>
      <w:r>
        <w:rPr>
          <w:spacing w:val="9"/>
        </w:rPr>
        <w:t>万元以上</w:t>
      </w:r>
      <w:r>
        <w:rPr>
          <w:spacing w:val="9"/>
        </w:rPr>
        <w:t>的山洪灾害灾情为特大型山洪灾害灾情。</w:t>
      </w:r>
    </w:p>
    <w:p>
      <w:pPr>
        <w:pStyle w:val="BodyText"/>
        <w:ind w:left="12" w:right="326" w:firstLine="412"/>
        <w:spacing w:before="155" w:line="349" w:lineRule="auto"/>
        <w:rPr/>
      </w:pPr>
      <w:r>
        <w:rPr>
          <w:spacing w:val="11"/>
        </w:rPr>
        <w:t>（</w:t>
      </w:r>
      <w:r>
        <w:rPr>
          <w:rFonts w:ascii="Times New Roman" w:hAnsi="Times New Roman" w:eastAsia="Times New Roman" w:cs="Times New Roman"/>
          <w:spacing w:val="11"/>
        </w:rPr>
        <w:t>9</w:t>
      </w:r>
      <w:r>
        <w:rPr>
          <w:rFonts w:ascii="Times New Roman" w:hAnsi="Times New Roman" w:eastAsia="Times New Roman" w:cs="Times New Roman"/>
          <w:spacing w:val="-18"/>
        </w:rPr>
        <w:t xml:space="preserve"> </w:t>
      </w:r>
      <w:r>
        <w:rPr>
          <w:spacing w:val="11"/>
        </w:rPr>
        <w:t>）大型山洪灾害险情和灾情：受灾害</w:t>
      </w:r>
      <w:r>
        <w:rPr>
          <w:spacing w:val="12"/>
        </w:rPr>
        <w:t>威胁</w:t>
      </w:r>
      <w:r>
        <w:rPr>
          <w:spacing w:val="-52"/>
        </w:rPr>
        <w:t xml:space="preserve"> </w:t>
      </w:r>
      <w:r>
        <w:rPr>
          <w:spacing w:val="12"/>
        </w:rPr>
        <w:t>，需搬迁转移人数在</w:t>
      </w:r>
      <w:r>
        <w:rPr>
          <w:spacing w:val="-28"/>
        </w:rPr>
        <w:t xml:space="preserve"> </w:t>
      </w:r>
      <w:r>
        <w:rPr>
          <w:rFonts w:ascii="Times New Roman" w:hAnsi="Times New Roman" w:eastAsia="Times New Roman" w:cs="Times New Roman"/>
          <w:spacing w:val="12"/>
        </w:rPr>
        <w:t>500 </w:t>
      </w:r>
      <w:r>
        <w:rPr>
          <w:spacing w:val="12"/>
        </w:rPr>
        <w:t>人以上、</w:t>
      </w:r>
      <w:r>
        <w:rPr>
          <w:rFonts w:ascii="Times New Roman" w:hAnsi="Times New Roman" w:eastAsia="Times New Roman" w:cs="Times New Roman"/>
          <w:spacing w:val="12"/>
        </w:rPr>
        <w:t>1000</w:t>
      </w:r>
      <w:r>
        <w:rPr>
          <w:spacing w:val="1"/>
        </w:rPr>
        <w:t>人以下，或潜在经济损失</w:t>
      </w:r>
      <w:r>
        <w:rPr>
          <w:spacing w:val="-27"/>
        </w:rPr>
        <w:t xml:space="preserve"> </w:t>
      </w:r>
      <w:r>
        <w:rPr>
          <w:rFonts w:ascii="Times New Roman" w:hAnsi="Times New Roman" w:eastAsia="Times New Roman" w:cs="Times New Roman"/>
          <w:spacing w:val="1"/>
        </w:rPr>
        <w:t>5000 </w:t>
      </w:r>
      <w:r>
        <w:rPr>
          <w:spacing w:val="1"/>
        </w:rPr>
        <w:t>万元以上、</w:t>
      </w:r>
      <w:r>
        <w:rPr>
          <w:rFonts w:ascii="Times New Roman" w:hAnsi="Times New Roman" w:eastAsia="Times New Roman" w:cs="Times New Roman"/>
          <w:spacing w:val="1"/>
        </w:rPr>
        <w:t>1000</w:t>
      </w:r>
      <w:r>
        <w:rPr>
          <w:spacing w:val="18"/>
        </w:rPr>
        <w:t>万元以下的山洪灾害险情为大型山洪灾害险</w:t>
      </w:r>
      <w:r>
        <w:rPr>
          <w:spacing w:val="7"/>
        </w:rPr>
        <w:t>情。因灾死亡</w:t>
      </w:r>
      <w:r>
        <w:rPr>
          <w:spacing w:val="-14"/>
        </w:rPr>
        <w:t xml:space="preserve"> </w:t>
      </w:r>
      <w:r>
        <w:rPr>
          <w:rFonts w:ascii="Times New Roman" w:hAnsi="Times New Roman" w:eastAsia="Times New Roman" w:cs="Times New Roman"/>
          <w:spacing w:val="7"/>
        </w:rPr>
        <w:t>10 </w:t>
      </w:r>
      <w:r>
        <w:rPr>
          <w:spacing w:val="7"/>
        </w:rPr>
        <w:t>人以上、</w:t>
      </w:r>
      <w:r>
        <w:rPr>
          <w:rFonts w:ascii="Times New Roman" w:hAnsi="Times New Roman" w:eastAsia="Times New Roman" w:cs="Times New Roman"/>
          <w:spacing w:val="7"/>
        </w:rPr>
        <w:t>30 </w:t>
      </w:r>
      <w:r>
        <w:rPr>
          <w:spacing w:val="7"/>
        </w:rPr>
        <w:t>人以下，或因灾</w:t>
      </w:r>
      <w:r>
        <w:rPr>
          <w:spacing w:val="3"/>
        </w:rPr>
        <w:t>造成直接经济损失</w:t>
      </w:r>
      <w:r>
        <w:rPr>
          <w:spacing w:val="-28"/>
        </w:rPr>
        <w:t xml:space="preserve"> </w:t>
      </w:r>
      <w:r>
        <w:rPr>
          <w:rFonts w:ascii="Times New Roman" w:hAnsi="Times New Roman" w:eastAsia="Times New Roman" w:cs="Times New Roman"/>
          <w:spacing w:val="3"/>
        </w:rPr>
        <w:t>500 </w:t>
      </w:r>
      <w:r>
        <w:rPr>
          <w:spacing w:val="3"/>
        </w:rPr>
        <w:t>万元以上、</w:t>
      </w:r>
      <w:r>
        <w:rPr>
          <w:rFonts w:ascii="Times New Roman" w:hAnsi="Times New Roman" w:eastAsia="Times New Roman" w:cs="Times New Roman"/>
          <w:spacing w:val="3"/>
        </w:rPr>
        <w:t>1000 </w:t>
      </w:r>
      <w:r>
        <w:rPr>
          <w:spacing w:val="3"/>
        </w:rPr>
        <w:t>万元以</w:t>
      </w:r>
      <w:r>
        <w:rPr>
          <w:spacing w:val="9"/>
        </w:rPr>
        <w:t>下的山洪灾害灾情为大型山洪灾害灾情。</w:t>
      </w:r>
    </w:p>
    <w:p>
      <w:pPr>
        <w:spacing w:line="14" w:lineRule="auto"/>
        <w:rPr>
          <w:rFonts w:ascii="Arial"/>
          <w:sz w:val="2"/>
        </w:rPr>
      </w:pPr>
      <w:r>
        <w:rPr>
          <w:rFonts w:ascii="Arial" w:hAnsi="Arial" w:eastAsia="Arial" w:cs="Arial"/>
          <w:sz w:val="2"/>
          <w:szCs w:val="2"/>
        </w:rPr>
        <w:br w:type="column"/>
      </w:r>
    </w:p>
    <w:p>
      <w:pPr>
        <w:pStyle w:val="BodyText"/>
        <w:ind w:right="54" w:firstLine="412"/>
        <w:spacing w:before="54" w:line="371" w:lineRule="auto"/>
        <w:rPr/>
      </w:pPr>
      <w:r>
        <w:rPr>
          <w:spacing w:val="2"/>
        </w:rPr>
        <w:t>（</w:t>
      </w:r>
      <w:r>
        <w:rPr>
          <w:spacing w:val="-35"/>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20"/>
        </w:rPr>
        <w:t xml:space="preserve"> </w:t>
      </w:r>
      <w:r>
        <w:rPr>
          <w:spacing w:val="2"/>
        </w:rPr>
        <w:t>）中型山洪灾害险情和灾情：受灾害</w:t>
      </w:r>
      <w:r>
        <w:rPr>
          <w:spacing w:val="7"/>
        </w:rPr>
        <w:t>威胁，需搬迁转移人数在</w:t>
      </w:r>
      <w:r>
        <w:rPr>
          <w:spacing w:val="-21"/>
        </w:rPr>
        <w:t xml:space="preserve"> </w:t>
      </w:r>
      <w:r>
        <w:rPr>
          <w:rFonts w:ascii="Times New Roman" w:hAnsi="Times New Roman" w:eastAsia="Times New Roman" w:cs="Times New Roman"/>
          <w:spacing w:val="7"/>
        </w:rPr>
        <w:t>100 </w:t>
      </w:r>
      <w:r>
        <w:rPr>
          <w:spacing w:val="7"/>
        </w:rPr>
        <w:t>人以上、</w:t>
      </w:r>
      <w:r>
        <w:rPr>
          <w:rFonts w:ascii="Times New Roman" w:hAnsi="Times New Roman" w:eastAsia="Times New Roman" w:cs="Times New Roman"/>
          <w:spacing w:val="7"/>
        </w:rPr>
        <w:t>500 </w:t>
      </w:r>
      <w:r>
        <w:rPr>
          <w:spacing w:val="7"/>
        </w:rPr>
        <w:t>人</w:t>
      </w:r>
      <w:r>
        <w:rPr>
          <w:spacing w:val="12"/>
        </w:rPr>
        <w:t>以下</w:t>
      </w:r>
      <w:r>
        <w:rPr>
          <w:spacing w:val="-52"/>
        </w:rPr>
        <w:t xml:space="preserve"> </w:t>
      </w:r>
      <w:r>
        <w:rPr>
          <w:spacing w:val="12"/>
        </w:rPr>
        <w:t>，或潜在经济损失</w:t>
      </w:r>
      <w:r>
        <w:rPr>
          <w:spacing w:val="-28"/>
        </w:rPr>
        <w:t xml:space="preserve"> </w:t>
      </w:r>
      <w:r>
        <w:rPr>
          <w:rFonts w:ascii="Times New Roman" w:hAnsi="Times New Roman" w:eastAsia="Times New Roman" w:cs="Times New Roman"/>
          <w:spacing w:val="12"/>
        </w:rPr>
        <w:t>500 </w:t>
      </w:r>
      <w:r>
        <w:rPr>
          <w:spacing w:val="12"/>
        </w:rPr>
        <w:t>万元以上、</w:t>
      </w:r>
      <w:r>
        <w:rPr>
          <w:rFonts w:ascii="Times New Roman" w:hAnsi="Times New Roman" w:eastAsia="Times New Roman" w:cs="Times New Roman"/>
          <w:spacing w:val="12"/>
        </w:rPr>
        <w:t>5000</w:t>
      </w:r>
      <w:r>
        <w:rPr>
          <w:spacing w:val="18"/>
        </w:rPr>
        <w:t>万元以下的山洪灾害险情为中型山洪灾害险</w:t>
      </w:r>
      <w:r>
        <w:rPr>
          <w:spacing w:val="4"/>
        </w:rPr>
        <w:t>情。因灾死亡</w:t>
      </w:r>
      <w:r>
        <w:rPr>
          <w:spacing w:val="-39"/>
        </w:rPr>
        <w:t xml:space="preserve"> </w:t>
      </w:r>
      <w:r>
        <w:rPr>
          <w:rFonts w:ascii="Times New Roman" w:hAnsi="Times New Roman" w:eastAsia="Times New Roman" w:cs="Times New Roman"/>
          <w:spacing w:val="4"/>
        </w:rPr>
        <w:t>3 </w:t>
      </w:r>
      <w:r>
        <w:rPr>
          <w:spacing w:val="4"/>
        </w:rPr>
        <w:t>人以上、</w:t>
      </w:r>
      <w:r>
        <w:rPr>
          <w:rFonts w:ascii="Times New Roman" w:hAnsi="Times New Roman" w:eastAsia="Times New Roman" w:cs="Times New Roman"/>
          <w:spacing w:val="4"/>
        </w:rPr>
        <w:t>10 </w:t>
      </w:r>
      <w:r>
        <w:rPr>
          <w:spacing w:val="4"/>
        </w:rPr>
        <w:t>人以下，或</w:t>
      </w:r>
      <w:r>
        <w:rPr>
          <w:spacing w:val="3"/>
        </w:rPr>
        <w:t>因灾造</w:t>
      </w:r>
      <w:r>
        <w:rPr>
          <w:spacing w:val="7"/>
        </w:rPr>
        <w:t>成直接经济损失</w:t>
      </w:r>
      <w:r>
        <w:rPr>
          <w:spacing w:val="-21"/>
        </w:rPr>
        <w:t xml:space="preserve"> </w:t>
      </w:r>
      <w:r>
        <w:rPr>
          <w:rFonts w:ascii="Times New Roman" w:hAnsi="Times New Roman" w:eastAsia="Times New Roman" w:cs="Times New Roman"/>
          <w:spacing w:val="7"/>
        </w:rPr>
        <w:t>100 </w:t>
      </w:r>
      <w:r>
        <w:rPr>
          <w:spacing w:val="7"/>
        </w:rPr>
        <w:t>万元以上、</w:t>
      </w:r>
      <w:r>
        <w:rPr>
          <w:rFonts w:ascii="Times New Roman" w:hAnsi="Times New Roman" w:eastAsia="Times New Roman" w:cs="Times New Roman"/>
          <w:spacing w:val="7"/>
        </w:rPr>
        <w:t>500 </w:t>
      </w:r>
      <w:r>
        <w:rPr>
          <w:spacing w:val="7"/>
        </w:rPr>
        <w:t>万元以下</w:t>
      </w:r>
      <w:r>
        <w:rPr>
          <w:spacing w:val="9"/>
        </w:rPr>
        <w:t>的山洪灾害灾情为中型山洪灾害灾情。</w:t>
      </w:r>
    </w:p>
    <w:p>
      <w:pPr>
        <w:pStyle w:val="BodyText"/>
        <w:ind w:right="57" w:firstLine="412"/>
        <w:spacing w:before="188" w:line="366" w:lineRule="auto"/>
        <w:rPr/>
      </w:pPr>
      <w:r>
        <w:rPr>
          <w:spacing w:val="2"/>
        </w:rPr>
        <w:t>（</w:t>
      </w:r>
      <w:r>
        <w:rPr>
          <w:spacing w:val="-35"/>
        </w:rPr>
        <w:t xml:space="preserve"> </w:t>
      </w:r>
      <w:r>
        <w:rPr>
          <w:rFonts w:ascii="Times New Roman" w:hAnsi="Times New Roman" w:eastAsia="Times New Roman" w:cs="Times New Roman"/>
          <w:spacing w:val="2"/>
        </w:rPr>
        <w:t>11</w:t>
      </w:r>
      <w:r>
        <w:rPr>
          <w:rFonts w:ascii="Times New Roman" w:hAnsi="Times New Roman" w:eastAsia="Times New Roman" w:cs="Times New Roman"/>
          <w:spacing w:val="-20"/>
        </w:rPr>
        <w:t xml:space="preserve"> </w:t>
      </w:r>
      <w:r>
        <w:rPr>
          <w:spacing w:val="2"/>
        </w:rPr>
        <w:t>）小型山洪灾害险情和灾情：受灾害</w:t>
      </w:r>
      <w:r>
        <w:rPr>
          <w:spacing w:val="5"/>
        </w:rPr>
        <w:t>威胁，需搬迁转移人数在</w:t>
      </w:r>
      <w:r>
        <w:rPr>
          <w:spacing w:val="-15"/>
        </w:rPr>
        <w:t xml:space="preserve"> </w:t>
      </w:r>
      <w:r>
        <w:rPr>
          <w:rFonts w:ascii="Times New Roman" w:hAnsi="Times New Roman" w:eastAsia="Times New Roman" w:cs="Times New Roman"/>
          <w:spacing w:val="5"/>
        </w:rPr>
        <w:t>100 </w:t>
      </w:r>
      <w:r>
        <w:rPr>
          <w:spacing w:val="5"/>
        </w:rPr>
        <w:t>人以下，或潜在</w:t>
      </w:r>
      <w:r>
        <w:rPr>
          <w:spacing w:val="10"/>
        </w:rPr>
        <w:t>经济损失</w:t>
      </w:r>
      <w:r>
        <w:rPr>
          <w:rFonts w:ascii="Times New Roman" w:hAnsi="Times New Roman" w:eastAsia="Times New Roman" w:cs="Times New Roman"/>
          <w:spacing w:val="10"/>
        </w:rPr>
        <w:t>500</w:t>
      </w:r>
      <w:r>
        <w:rPr>
          <w:rFonts w:ascii="Times New Roman" w:hAnsi="Times New Roman" w:eastAsia="Times New Roman" w:cs="Times New Roman"/>
          <w:spacing w:val="-13"/>
        </w:rPr>
        <w:t xml:space="preserve"> </w:t>
      </w:r>
      <w:r>
        <w:rPr>
          <w:spacing w:val="10"/>
        </w:rPr>
        <w:t>万元以下的山洪灾害险情为小型</w:t>
      </w:r>
      <w:r>
        <w:rPr>
          <w:spacing w:val="6"/>
        </w:rPr>
        <w:t>山洪灾害险情。因灾死亡</w:t>
      </w:r>
      <w:r>
        <w:rPr>
          <w:spacing w:val="-29"/>
        </w:rPr>
        <w:t xml:space="preserve"> </w:t>
      </w:r>
      <w:r>
        <w:rPr>
          <w:rFonts w:ascii="Times New Roman" w:hAnsi="Times New Roman" w:eastAsia="Times New Roman" w:cs="Times New Roman"/>
          <w:spacing w:val="6"/>
        </w:rPr>
        <w:t>3 </w:t>
      </w:r>
      <w:r>
        <w:rPr>
          <w:spacing w:val="6"/>
        </w:rPr>
        <w:t>人以下，或因灾造</w:t>
      </w:r>
      <w:r>
        <w:rPr>
          <w:spacing w:val="7"/>
        </w:rPr>
        <w:t>成直接经济损失</w:t>
      </w:r>
      <w:r>
        <w:rPr>
          <w:spacing w:val="-37"/>
        </w:rPr>
        <w:t xml:space="preserve"> </w:t>
      </w:r>
      <w:r>
        <w:rPr>
          <w:rFonts w:ascii="Times New Roman" w:hAnsi="Times New Roman" w:eastAsia="Times New Roman" w:cs="Times New Roman"/>
          <w:spacing w:val="7"/>
        </w:rPr>
        <w:t>100</w:t>
      </w:r>
      <w:r>
        <w:rPr>
          <w:rFonts w:ascii="Times New Roman" w:hAnsi="Times New Roman" w:eastAsia="Times New Roman" w:cs="Times New Roman"/>
          <w:spacing w:val="-15"/>
        </w:rPr>
        <w:t xml:space="preserve"> </w:t>
      </w:r>
      <w:r>
        <w:rPr>
          <w:spacing w:val="7"/>
        </w:rPr>
        <w:t>万元以下的山洪灾害灾情</w:t>
      </w:r>
      <w:r>
        <w:rPr>
          <w:spacing w:val="8"/>
        </w:rPr>
        <w:t>为小型山洪灾害灾情。</w:t>
      </w:r>
    </w:p>
    <w:p>
      <w:pPr>
        <w:pStyle w:val="BodyText"/>
        <w:ind w:left="1" w:right="14" w:firstLine="411"/>
        <w:spacing w:before="186" w:line="310" w:lineRule="auto"/>
        <w:rPr/>
      </w:pPr>
      <w:r>
        <w:rPr>
          <w:spacing w:val="5"/>
        </w:rPr>
        <w:t>（</w:t>
      </w:r>
      <w:r>
        <w:rPr>
          <w:spacing w:val="-48"/>
        </w:rPr>
        <w:t xml:space="preserve"> </w:t>
      </w:r>
      <w:r>
        <w:rPr>
          <w:rFonts w:ascii="Times New Roman" w:hAnsi="Times New Roman" w:eastAsia="Times New Roman" w:cs="Times New Roman"/>
          <w:spacing w:val="5"/>
        </w:rPr>
        <w:t>12</w:t>
      </w:r>
      <w:r>
        <w:rPr>
          <w:rFonts w:ascii="Times New Roman" w:hAnsi="Times New Roman" w:eastAsia="Times New Roman" w:cs="Times New Roman"/>
          <w:spacing w:val="-21"/>
        </w:rPr>
        <w:t xml:space="preserve"> </w:t>
      </w:r>
      <w:r>
        <w:rPr>
          <w:spacing w:val="5"/>
        </w:rPr>
        <w:t>）本预案有关数量的表述中，</w:t>
      </w:r>
      <w:r>
        <w:rPr>
          <w:rFonts w:ascii="Times New Roman" w:hAnsi="Times New Roman" w:eastAsia="Times New Roman" w:cs="Times New Roman"/>
          <w:spacing w:val="5"/>
        </w:rPr>
        <w:t>“</w:t>
      </w:r>
      <w:r>
        <w:rPr>
          <w:rFonts w:ascii="Times New Roman" w:hAnsi="Times New Roman" w:eastAsia="Times New Roman" w:cs="Times New Roman"/>
          <w:spacing w:val="-30"/>
        </w:rPr>
        <w:t xml:space="preserve"> </w:t>
      </w:r>
      <w:r>
        <w:rPr>
          <w:spacing w:val="5"/>
        </w:rPr>
        <w:t>以上</w:t>
      </w:r>
      <w:r>
        <w:rPr>
          <w:rFonts w:ascii="Times New Roman" w:hAnsi="Times New Roman" w:eastAsia="Times New Roman" w:cs="Times New Roman"/>
          <w:spacing w:val="5"/>
        </w:rPr>
        <w:t>”</w:t>
      </w:r>
      <w:r>
        <w:rPr>
          <w:spacing w:val="6"/>
        </w:rPr>
        <w:t>含本数，</w:t>
      </w:r>
      <w:r>
        <w:rPr>
          <w:rFonts w:ascii="Times New Roman" w:hAnsi="Times New Roman" w:eastAsia="Times New Roman" w:cs="Times New Roman"/>
          <w:spacing w:val="6"/>
        </w:rPr>
        <w:t>“</w:t>
      </w:r>
      <w:r>
        <w:rPr>
          <w:rFonts w:ascii="Times New Roman" w:hAnsi="Times New Roman" w:eastAsia="Times New Roman" w:cs="Times New Roman"/>
          <w:spacing w:val="-29"/>
        </w:rPr>
        <w:t xml:space="preserve"> </w:t>
      </w:r>
      <w:r>
        <w:rPr>
          <w:spacing w:val="6"/>
        </w:rPr>
        <w:t>以下</w:t>
      </w:r>
      <w:r>
        <w:rPr>
          <w:rFonts w:ascii="Times New Roman" w:hAnsi="Times New Roman" w:eastAsia="Times New Roman" w:cs="Times New Roman"/>
          <w:spacing w:val="6"/>
        </w:rPr>
        <w:t>”</w:t>
      </w:r>
      <w:r>
        <w:rPr>
          <w:spacing w:val="6"/>
        </w:rPr>
        <w:t>不含本数。</w:t>
      </w:r>
    </w:p>
    <w:p>
      <w:pPr>
        <w:pStyle w:val="BodyText"/>
        <w:ind w:right="59" w:firstLine="425"/>
        <w:spacing w:before="184" w:line="361" w:lineRule="auto"/>
        <w:rPr/>
      </w:pPr>
      <w:r>
        <w:rPr>
          <w:rFonts w:ascii="Times New Roman" w:hAnsi="Times New Roman" w:eastAsia="Times New Roman" w:cs="Times New Roman"/>
          <w:spacing w:val="8"/>
        </w:rPr>
        <w:t>9.2  </w:t>
      </w:r>
      <w:r>
        <w:rPr>
          <w:rFonts w:ascii="KaiTi" w:hAnsi="KaiTi" w:eastAsia="KaiTi" w:cs="KaiTi"/>
          <w:spacing w:val="8"/>
        </w:rPr>
        <w:t>预案管理与更新。</w:t>
      </w:r>
      <w:r>
        <w:rPr>
          <w:spacing w:val="8"/>
        </w:rPr>
        <w:t>本预案由市防汛指</w:t>
      </w:r>
      <w:r>
        <w:rPr>
          <w:spacing w:val="7"/>
        </w:rPr>
        <w:t>挥部办公室负责管理，并负责组织对预案进行</w:t>
      </w:r>
      <w:r>
        <w:rPr>
          <w:spacing w:val="7"/>
        </w:rPr>
        <w:t>评估。每年对本预案修订一次。各级防汛指挥</w:t>
      </w:r>
      <w:r>
        <w:rPr>
          <w:spacing w:val="12"/>
        </w:rPr>
        <w:t>机构 （包括有关部门）根据本预案制定相关</w:t>
      </w:r>
      <w:r>
        <w:rPr>
          <w:spacing w:val="7"/>
        </w:rPr>
        <w:t>防汛应急预案。</w:t>
      </w:r>
    </w:p>
    <w:p>
      <w:pPr>
        <w:pStyle w:val="BodyText"/>
        <w:ind w:left="1" w:right="59" w:firstLine="424"/>
        <w:spacing w:before="186" w:line="376" w:lineRule="auto"/>
        <w:rPr/>
      </w:pPr>
      <w:r>
        <w:rPr>
          <w:rFonts w:ascii="Times New Roman" w:hAnsi="Times New Roman" w:eastAsia="Times New Roman" w:cs="Times New Roman"/>
          <w:spacing w:val="8"/>
        </w:rPr>
        <w:t>9.3  </w:t>
      </w:r>
      <w:r>
        <w:rPr>
          <w:rFonts w:ascii="KaiTi" w:hAnsi="KaiTi" w:eastAsia="KaiTi" w:cs="KaiTi"/>
          <w:spacing w:val="8"/>
        </w:rPr>
        <w:t>奖励与责任追究。</w:t>
      </w:r>
      <w:r>
        <w:rPr>
          <w:spacing w:val="8"/>
        </w:rPr>
        <w:t>对防汛抢险工作作</w:t>
      </w:r>
      <w:r>
        <w:rPr>
          <w:spacing w:val="7"/>
        </w:rPr>
        <w:t>出突出贡献的劳动模范、先进集体和个人，由</w:t>
      </w:r>
      <w:r>
        <w:rPr>
          <w:spacing w:val="7"/>
        </w:rPr>
        <w:t>市人事局和市防汛指挥部联合表彰；对防汛抢</w:t>
      </w:r>
      <w:r>
        <w:rPr>
          <w:spacing w:val="7"/>
        </w:rPr>
        <w:t>险工作中英勇献身的人员，按有关规定追认为</w:t>
      </w:r>
      <w:r>
        <w:rPr>
          <w:spacing w:val="7"/>
        </w:rPr>
        <w:t>烈士；对防汛工作中玩忽职守造成损失的，依</w:t>
      </w:r>
      <w:r>
        <w:rPr>
          <w:spacing w:val="7"/>
        </w:rPr>
        <w:t>据《中华人民共和国防洪法》、《中华人民共</w:t>
      </w:r>
      <w:r>
        <w:rPr>
          <w:spacing w:val="7"/>
        </w:rPr>
        <w:t>和国防汛条例》、《公务员管理条例》追究当</w:t>
      </w:r>
      <w:r>
        <w:rPr>
          <w:spacing w:val="7"/>
        </w:rPr>
        <w:t>事人的责任，并予以处罚，构成犯罪的，依法</w:t>
      </w:r>
      <w:r>
        <w:rPr>
          <w:spacing w:val="8"/>
        </w:rPr>
        <w:t>追究其刑事责任。</w:t>
      </w:r>
    </w:p>
    <w:p>
      <w:pPr>
        <w:ind w:left="437"/>
        <w:spacing w:before="177" w:line="17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10    附件</w:t>
      </w:r>
    </w:p>
    <w:p>
      <w:pPr>
        <w:spacing w:line="172" w:lineRule="auto"/>
        <w:sectPr>
          <w:type w:val="continuous"/>
          <w:pgSz w:w="11906" w:h="16839"/>
          <w:pgMar w:top="1974" w:right="1530" w:bottom="1574" w:left="1579" w:header="1634" w:footer="1172" w:gutter="0"/>
          <w:cols w:equalWidth="0" w:num="2">
            <w:col w:w="4489" w:space="100"/>
            <w:col w:w="4207" w:space="0"/>
          </w:cols>
        </w:sectPr>
        <w:rPr>
          <w:rFonts w:ascii="Microsoft YaHei" w:hAnsi="Microsoft YaHei" w:eastAsia="Microsoft YaHei" w:cs="Microsoft YaHei"/>
          <w:sz w:val="20"/>
          <w:szCs w:val="20"/>
        </w:rPr>
      </w:pP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before="86" w:line="165" w:lineRule="auto"/>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p>
      <w:pPr>
        <w:ind w:firstLine="16"/>
        <w:spacing w:line="78" w:lineRule="exact"/>
        <w:rPr/>
      </w:pPr>
      <w:r>
        <w:rPr>
          <w:position w:val="-1"/>
        </w:rPr>
        <w:drawing>
          <wp:inline distT="0" distB="0" distL="0" distR="0">
            <wp:extent cx="8712200" cy="49748"/>
            <wp:effectExtent l="0" t="0" r="0" b="0"/>
            <wp:docPr id="2490" name="IM 2490"/>
            <wp:cNvGraphicFramePr/>
            <a:graphic>
              <a:graphicData uri="http://schemas.openxmlformats.org/drawingml/2006/picture">
                <pic:pic>
                  <pic:nvPicPr>
                    <pic:cNvPr id="2490" name="IM 2490"/>
                    <pic:cNvPicPr/>
                  </pic:nvPicPr>
                  <pic:blipFill>
                    <a:blip r:embed="rId1250"/>
                    <a:stretch>
                      <a:fillRect/>
                    </a:stretch>
                  </pic:blipFill>
                  <pic:spPr>
                    <a:xfrm rot="0">
                      <a:off x="0" y="0"/>
                      <a:ext cx="8712200" cy="49748"/>
                    </a:xfrm>
                    <a:prstGeom prst="rect">
                      <a:avLst/>
                    </a:prstGeom>
                  </pic:spPr>
                </pic:pic>
              </a:graphicData>
            </a:graphic>
          </wp:inline>
        </w:drawing>
      </w:r>
    </w:p>
    <w:p>
      <w:pPr>
        <w:spacing w:line="287" w:lineRule="auto"/>
        <w:rPr>
          <w:rFonts w:ascii="Arial"/>
          <w:sz w:val="21"/>
        </w:rPr>
      </w:pPr>
      <w:r/>
    </w:p>
    <w:p>
      <w:pPr>
        <w:ind w:left="4713"/>
        <w:spacing w:before="120" w:line="210" w:lineRule="auto"/>
        <w:rPr>
          <w:rFonts w:ascii="Microsoft YaHei" w:hAnsi="Microsoft YaHei" w:eastAsia="Microsoft YaHei" w:cs="Microsoft YaHei"/>
          <w:sz w:val="28"/>
          <w:szCs w:val="28"/>
        </w:rPr>
      </w:pPr>
      <w:r>
        <w:rPr>
          <w:rFonts w:ascii="Microsoft YaHei" w:hAnsi="Microsoft YaHei" w:eastAsia="Microsoft YaHei" w:cs="Microsoft YaHei"/>
          <w:sz w:val="28"/>
          <w:szCs w:val="28"/>
          <w:spacing w:val="-4"/>
        </w:rPr>
        <w:t>10.1  固原市防汛应急指挥部组织架构图</w:t>
      </w:r>
    </w:p>
    <w:p>
      <w:pPr>
        <w:ind w:firstLine="106"/>
        <w:spacing w:before="214" w:line="6900" w:lineRule="exact"/>
        <w:rPr/>
      </w:pPr>
      <w:r>
        <w:rPr>
          <w:position w:val="-138"/>
        </w:rPr>
        <w:drawing>
          <wp:inline distT="0" distB="0" distL="0" distR="0">
            <wp:extent cx="8677656" cy="4381500"/>
            <wp:effectExtent l="0" t="0" r="0" b="0"/>
            <wp:docPr id="2492" name="IM 2492"/>
            <wp:cNvGraphicFramePr/>
            <a:graphic>
              <a:graphicData uri="http://schemas.openxmlformats.org/drawingml/2006/picture">
                <pic:pic>
                  <pic:nvPicPr>
                    <pic:cNvPr id="2492" name="IM 2492"/>
                    <pic:cNvPicPr/>
                  </pic:nvPicPr>
                  <pic:blipFill>
                    <a:blip r:embed="rId1251"/>
                    <a:stretch>
                      <a:fillRect/>
                    </a:stretch>
                  </pic:blipFill>
                  <pic:spPr>
                    <a:xfrm rot="0">
                      <a:off x="0" y="0"/>
                      <a:ext cx="8677656" cy="4381500"/>
                    </a:xfrm>
                    <a:prstGeom prst="rect">
                      <a:avLst/>
                    </a:prstGeom>
                  </pic:spPr>
                </pic:pic>
              </a:graphicData>
            </a:graphic>
          </wp:inline>
        </w:drawing>
      </w:r>
    </w:p>
    <w:p>
      <w:pPr>
        <w:spacing w:line="6900" w:lineRule="exact"/>
        <w:sectPr>
          <w:headerReference w:type="default" r:id="rId1"/>
          <w:footerReference w:type="default" r:id="rId1249"/>
          <w:pgSz w:w="16839" w:h="11905"/>
          <w:pgMar w:top="400" w:right="1486" w:bottom="1630" w:left="1571" w:header="0" w:footer="1228" w:gutter="0"/>
        </w:sectPr>
        <w:rPr/>
      </w:pPr>
    </w:p>
    <w:p>
      <w:pPr>
        <w:spacing w:line="272" w:lineRule="auto"/>
        <w:rPr>
          <w:rFonts w:ascii="Arial"/>
          <w:sz w:val="21"/>
        </w:rPr>
      </w:pPr>
      <w:r>
        <w:drawing>
          <wp:anchor distT="0" distB="0" distL="0" distR="0" simplePos="0" relativeHeight="254923776" behindDoc="0" locked="0" layoutInCell="1" allowOverlap="1">
            <wp:simplePos x="0" y="0"/>
            <wp:positionH relativeFrom="column">
              <wp:posOffset>5393</wp:posOffset>
            </wp:positionH>
            <wp:positionV relativeFrom="paragraph">
              <wp:posOffset>26352</wp:posOffset>
            </wp:positionV>
            <wp:extent cx="5579745" cy="7619"/>
            <wp:effectExtent l="0" t="0" r="0" b="0"/>
            <wp:wrapNone/>
            <wp:docPr id="2498" name="IM 2498"/>
            <wp:cNvGraphicFramePr/>
            <a:graphic>
              <a:graphicData uri="http://schemas.openxmlformats.org/drawingml/2006/picture">
                <pic:pic>
                  <pic:nvPicPr>
                    <pic:cNvPr id="2498" name="IM 2498"/>
                    <pic:cNvPicPr/>
                  </pic:nvPicPr>
                  <pic:blipFill>
                    <a:blip r:embed="rId1254"/>
                    <a:stretch>
                      <a:fillRect/>
                    </a:stretch>
                  </pic:blipFill>
                  <pic:spPr>
                    <a:xfrm rot="0">
                      <a:off x="0" y="0"/>
                      <a:ext cx="5579745" cy="7619"/>
                    </a:xfrm>
                    <a:prstGeom prst="rect">
                      <a:avLst/>
                    </a:prstGeom>
                  </pic:spPr>
                </pic:pic>
              </a:graphicData>
            </a:graphic>
          </wp:anchor>
        </w:drawing>
      </w:r>
      <w:r/>
    </w:p>
    <w:p>
      <w:pPr>
        <w:spacing w:line="273" w:lineRule="auto"/>
        <w:rPr>
          <w:rFonts w:ascii="Arial"/>
          <w:sz w:val="21"/>
        </w:rPr>
      </w:pPr>
      <w:r/>
    </w:p>
    <w:p>
      <w:pPr>
        <w:spacing w:line="273" w:lineRule="auto"/>
        <w:rPr>
          <w:rFonts w:ascii="Arial"/>
          <w:sz w:val="21"/>
        </w:rPr>
      </w:pPr>
      <w:r/>
    </w:p>
    <w:p>
      <w:pPr>
        <w:ind w:left="2863"/>
        <w:spacing w:before="184" w:line="183"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5"/>
        </w:rPr>
        <w:t>固原市人民政府</w:t>
      </w:r>
    </w:p>
    <w:p>
      <w:pPr>
        <w:ind w:left="1737"/>
        <w:spacing w:before="4" w:line="187"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9"/>
        </w:rPr>
        <w:t>关于尤国富同志免职的通知</w:t>
      </w:r>
    </w:p>
    <w:p>
      <w:pPr>
        <w:spacing w:line="290" w:lineRule="auto"/>
        <w:rPr>
          <w:rFonts w:ascii="Arial"/>
          <w:sz w:val="21"/>
        </w:rPr>
      </w:pPr>
      <w:r/>
    </w:p>
    <w:p>
      <w:pPr>
        <w:pStyle w:val="BodyText"/>
        <w:ind w:left="6396"/>
        <w:spacing w:before="65" w:line="277" w:lineRule="exact"/>
        <w:rPr/>
      </w:pPr>
      <w:r>
        <w:rPr>
          <w:spacing w:val="1"/>
          <w:position w:val="1"/>
        </w:rPr>
        <w:t>固政干发〔</w:t>
      </w:r>
      <w:r>
        <w:rPr>
          <w:rFonts w:ascii="Times New Roman" w:hAnsi="Times New Roman" w:eastAsia="Times New Roman" w:cs="Times New Roman"/>
          <w:spacing w:val="1"/>
          <w:position w:val="1"/>
        </w:rPr>
        <w:t>2021 </w:t>
      </w:r>
      <w:r>
        <w:rPr>
          <w:spacing w:val="1"/>
          <w:position w:val="1"/>
        </w:rPr>
        <w:t>〕</w:t>
      </w:r>
      <w:r>
        <w:rPr>
          <w:rFonts w:ascii="Times New Roman" w:hAnsi="Times New Roman" w:eastAsia="Times New Roman" w:cs="Times New Roman"/>
          <w:spacing w:val="1"/>
          <w:position w:val="1"/>
        </w:rPr>
        <w:t>1 </w:t>
      </w:r>
      <w:r>
        <w:rPr>
          <w:spacing w:val="1"/>
          <w:position w:val="1"/>
        </w:rPr>
        <w:t>号</w:t>
      </w:r>
    </w:p>
    <w:p>
      <w:pPr>
        <w:spacing w:line="471" w:lineRule="auto"/>
        <w:rPr>
          <w:rFonts w:ascii="Arial"/>
          <w:sz w:val="21"/>
        </w:rPr>
      </w:pPr>
      <w:r/>
    </w:p>
    <w:p>
      <w:pPr>
        <w:pStyle w:val="BodyText"/>
        <w:ind w:left="13"/>
        <w:spacing w:before="65" w:line="277" w:lineRule="exact"/>
        <w:rPr/>
      </w:pPr>
      <w:r>
        <w:rPr>
          <w:spacing w:val="7"/>
          <w:position w:val="1"/>
        </w:rPr>
        <w:t>各县（</w:t>
      </w:r>
      <w:r>
        <w:rPr>
          <w:spacing w:val="-37"/>
          <w:position w:val="1"/>
        </w:rPr>
        <w:t xml:space="preserve"> </w:t>
      </w:r>
      <w:r>
        <w:rPr>
          <w:spacing w:val="7"/>
          <w:position w:val="1"/>
        </w:rPr>
        <w:t>区）人民政府，市政府各部门、派出机构、事业单位：</w:t>
      </w:r>
    </w:p>
    <w:p>
      <w:pPr>
        <w:pStyle w:val="BodyText"/>
        <w:ind w:left="434"/>
        <w:spacing w:before="121" w:line="277" w:lineRule="exact"/>
        <w:rPr/>
      </w:pPr>
      <w:r>
        <w:rPr>
          <w:spacing w:val="7"/>
          <w:position w:val="1"/>
        </w:rPr>
        <w:t>市人民政府决定：</w:t>
      </w:r>
    </w:p>
    <w:p>
      <w:pPr>
        <w:pStyle w:val="BodyText"/>
        <w:ind w:left="434"/>
        <w:spacing w:before="129" w:line="218" w:lineRule="auto"/>
        <w:rPr/>
      </w:pPr>
      <w:r>
        <w:rPr>
          <w:spacing w:val="9"/>
        </w:rPr>
        <w:t>免去尤国富同志市审批服务管理局副局长职务。</w:t>
      </w:r>
    </w:p>
    <w:p>
      <w:pPr>
        <w:spacing w:line="247" w:lineRule="auto"/>
        <w:rPr>
          <w:rFonts w:ascii="Arial"/>
          <w:sz w:val="21"/>
        </w:rPr>
      </w:pPr>
      <w:r/>
    </w:p>
    <w:p>
      <w:pPr>
        <w:spacing w:line="247" w:lineRule="auto"/>
        <w:rPr>
          <w:rFonts w:ascii="Arial"/>
          <w:sz w:val="21"/>
        </w:rPr>
      </w:pPr>
      <w:r/>
    </w:p>
    <w:p>
      <w:pPr>
        <w:pStyle w:val="BodyText"/>
        <w:ind w:left="7076"/>
        <w:spacing w:before="66" w:line="218" w:lineRule="auto"/>
        <w:rPr/>
      </w:pPr>
      <w:r>
        <w:rPr>
          <w:spacing w:val="6"/>
        </w:rPr>
        <w:t>固原市人民政府</w:t>
      </w:r>
    </w:p>
    <w:p>
      <w:pPr>
        <w:pStyle w:val="BodyText"/>
        <w:ind w:left="7105"/>
        <w:spacing w:before="165" w:line="218" w:lineRule="auto"/>
        <w:rPr/>
      </w:pPr>
      <w:r>
        <w:rPr>
          <w:rFonts w:ascii="Times New Roman" w:hAnsi="Times New Roman" w:eastAsia="Times New Roman" w:cs="Times New Roman"/>
        </w:rPr>
        <w:t>2021 </w:t>
      </w:r>
      <w:r>
        <w:rPr/>
        <w:t>年</w:t>
      </w:r>
      <w:r>
        <w:rPr>
          <w:spacing w:val="-19"/>
        </w:rPr>
        <w:t xml:space="preserve"> </w:t>
      </w:r>
      <w:r>
        <w:rPr>
          <w:rFonts w:ascii="Times New Roman" w:hAnsi="Times New Roman" w:eastAsia="Times New Roman" w:cs="Times New Roman"/>
        </w:rPr>
        <w:t>1</w:t>
      </w:r>
      <w:r>
        <w:rPr>
          <w:rFonts w:ascii="Times New Roman" w:hAnsi="Times New Roman" w:eastAsia="Times New Roman" w:cs="Times New Roman"/>
          <w:spacing w:val="8"/>
        </w:rPr>
        <w:t xml:space="preserve"> </w:t>
      </w:r>
      <w:r>
        <w:rPr/>
        <w:t>月</w:t>
      </w:r>
      <w:r>
        <w:rPr>
          <w:spacing w:val="-36"/>
        </w:rPr>
        <w:t xml:space="preserve"> </w:t>
      </w:r>
      <w:r>
        <w:rPr>
          <w:rFonts w:ascii="Times New Roman" w:hAnsi="Times New Roman" w:eastAsia="Times New Roman" w:cs="Times New Roman"/>
        </w:rPr>
        <w:t>6  </w:t>
      </w:r>
      <w:r>
        <w:rPr/>
        <w:t>日</w:t>
      </w:r>
    </w:p>
    <w:p>
      <w:pPr>
        <w:pStyle w:val="BodyText"/>
        <w:ind w:left="424"/>
        <w:spacing w:before="159" w:line="277" w:lineRule="exact"/>
        <w:rPr/>
      </w:pPr>
      <w:r>
        <w:rPr>
          <w:spacing w:val="10"/>
          <w:position w:val="1"/>
        </w:rPr>
        <w:t>（此件公开发布）</w:t>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2863"/>
        <w:spacing w:before="185" w:line="167"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5"/>
        </w:rPr>
        <w:t>固原市人民政府</w:t>
      </w:r>
    </w:p>
    <w:p>
      <w:pPr>
        <w:ind w:left="1077"/>
        <w:spacing w:before="2" w:line="186"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9"/>
        </w:rPr>
        <w:t>关于马永福等同志职务任免的通知</w:t>
      </w:r>
    </w:p>
    <w:p>
      <w:pPr>
        <w:spacing w:line="276" w:lineRule="auto"/>
        <w:rPr>
          <w:rFonts w:ascii="Arial"/>
          <w:sz w:val="21"/>
        </w:rPr>
      </w:pPr>
      <w:r/>
    </w:p>
    <w:p>
      <w:pPr>
        <w:pStyle w:val="BodyText"/>
        <w:ind w:left="6396"/>
        <w:spacing w:before="66" w:line="277" w:lineRule="exact"/>
        <w:rPr/>
      </w:pPr>
      <w:r>
        <w:rPr>
          <w:spacing w:val="5"/>
          <w:position w:val="1"/>
        </w:rPr>
        <w:t>固政干发〔</w:t>
      </w:r>
      <w:r>
        <w:rPr>
          <w:rFonts w:ascii="Times New Roman" w:hAnsi="Times New Roman" w:eastAsia="Times New Roman" w:cs="Times New Roman"/>
          <w:spacing w:val="5"/>
          <w:position w:val="1"/>
        </w:rPr>
        <w:t>2021</w:t>
      </w:r>
      <w:r>
        <w:rPr>
          <w:spacing w:val="5"/>
          <w:position w:val="1"/>
        </w:rPr>
        <w:t>〕</w:t>
      </w:r>
      <w:r>
        <w:rPr>
          <w:rFonts w:ascii="Times New Roman" w:hAnsi="Times New Roman" w:eastAsia="Times New Roman" w:cs="Times New Roman"/>
          <w:spacing w:val="5"/>
          <w:position w:val="1"/>
        </w:rPr>
        <w:t>2 </w:t>
      </w:r>
      <w:r>
        <w:rPr>
          <w:spacing w:val="5"/>
          <w:position w:val="1"/>
        </w:rPr>
        <w:t>号</w:t>
      </w:r>
    </w:p>
    <w:p>
      <w:pPr>
        <w:spacing w:line="471" w:lineRule="auto"/>
        <w:rPr>
          <w:rFonts w:ascii="Arial"/>
          <w:sz w:val="21"/>
        </w:rPr>
      </w:pPr>
      <w:r/>
    </w:p>
    <w:p>
      <w:pPr>
        <w:pStyle w:val="BodyText"/>
        <w:ind w:left="13"/>
        <w:spacing w:before="65" w:line="277" w:lineRule="exact"/>
        <w:rPr/>
      </w:pPr>
      <w:r>
        <w:rPr>
          <w:spacing w:val="7"/>
          <w:position w:val="1"/>
        </w:rPr>
        <w:t>各县（</w:t>
      </w:r>
      <w:r>
        <w:rPr>
          <w:spacing w:val="-37"/>
          <w:position w:val="1"/>
        </w:rPr>
        <w:t xml:space="preserve"> </w:t>
      </w:r>
      <w:r>
        <w:rPr>
          <w:spacing w:val="7"/>
          <w:position w:val="1"/>
        </w:rPr>
        <w:t>区）人民政府，市政府各部门、派出机构、事业单位：</w:t>
      </w:r>
    </w:p>
    <w:p>
      <w:pPr>
        <w:pStyle w:val="BodyText"/>
        <w:ind w:left="434"/>
        <w:spacing w:before="124" w:line="277" w:lineRule="exact"/>
        <w:rPr/>
      </w:pPr>
      <w:r>
        <w:rPr>
          <w:spacing w:val="7"/>
          <w:position w:val="1"/>
        </w:rPr>
        <w:t>市人民政府决定：</w:t>
      </w:r>
    </w:p>
    <w:p>
      <w:pPr>
        <w:pStyle w:val="BodyText"/>
        <w:ind w:left="440"/>
        <w:spacing w:before="124" w:line="277" w:lineRule="exact"/>
        <w:rPr/>
      </w:pPr>
      <w:r>
        <w:rPr>
          <w:spacing w:val="9"/>
          <w:position w:val="1"/>
        </w:rPr>
        <w:t>马永福同志任市交通运输局副局长（兼</w:t>
      </w:r>
      <w:r>
        <w:rPr>
          <w:spacing w:val="-42"/>
          <w:position w:val="1"/>
        </w:rPr>
        <w:t>）；</w:t>
      </w:r>
    </w:p>
    <w:p>
      <w:pPr>
        <w:pStyle w:val="BodyText"/>
        <w:ind w:left="434"/>
        <w:spacing w:before="124" w:line="226" w:lineRule="auto"/>
        <w:rPr/>
      </w:pPr>
      <w:r>
        <w:rPr>
          <w:spacing w:val="9"/>
        </w:rPr>
        <w:t>免去张立同志市住房和城乡建设局副局长职务；</w:t>
      </w:r>
    </w:p>
    <w:p>
      <w:pPr>
        <w:pStyle w:val="BodyText"/>
        <w:ind w:left="434"/>
        <w:spacing w:before="155" w:line="225" w:lineRule="auto"/>
        <w:rPr/>
      </w:pPr>
      <w:r>
        <w:rPr>
          <w:spacing w:val="9"/>
        </w:rPr>
        <w:t>免去李延宏同志市老龄办专职副主任职务，退休。</w:t>
      </w:r>
    </w:p>
    <w:p>
      <w:pPr>
        <w:pStyle w:val="BodyText"/>
        <w:ind w:left="433"/>
        <w:spacing w:before="157" w:line="225" w:lineRule="auto"/>
        <w:rPr/>
      </w:pPr>
      <w:r>
        <w:rPr>
          <w:spacing w:val="9"/>
        </w:rPr>
        <w:t>退休人员请按有关规定办理退休手续。</w:t>
      </w:r>
    </w:p>
    <w:p>
      <w:pPr>
        <w:spacing w:line="245" w:lineRule="auto"/>
        <w:rPr>
          <w:rFonts w:ascii="Arial"/>
          <w:sz w:val="21"/>
        </w:rPr>
      </w:pPr>
      <w:r/>
    </w:p>
    <w:p>
      <w:pPr>
        <w:spacing w:line="245" w:lineRule="auto"/>
        <w:rPr>
          <w:rFonts w:ascii="Arial"/>
          <w:sz w:val="21"/>
        </w:rPr>
      </w:pPr>
      <w:r/>
    </w:p>
    <w:p>
      <w:pPr>
        <w:pStyle w:val="BodyText"/>
        <w:ind w:left="7294"/>
        <w:spacing w:before="65" w:line="218" w:lineRule="auto"/>
        <w:rPr/>
      </w:pPr>
      <w:r>
        <w:rPr>
          <w:spacing w:val="6"/>
        </w:rPr>
        <w:t>固原市人民政府</w:t>
      </w:r>
    </w:p>
    <w:p>
      <w:pPr>
        <w:pStyle w:val="BodyText"/>
        <w:ind w:right="29"/>
        <w:spacing w:before="166" w:line="218" w:lineRule="auto"/>
        <w:jc w:val="right"/>
        <w:rPr/>
      </w:pPr>
      <w:r>
        <w:rPr>
          <w:rFonts w:ascii="Times New Roman" w:hAnsi="Times New Roman" w:eastAsia="Times New Roman" w:cs="Times New Roman"/>
          <w:spacing w:val="1"/>
        </w:rPr>
        <w:t>2021 </w:t>
      </w:r>
      <w:r>
        <w:rPr>
          <w:spacing w:val="1"/>
        </w:rPr>
        <w:t>年</w:t>
      </w:r>
      <w:r>
        <w:rPr>
          <w:spacing w:val="-33"/>
        </w:rPr>
        <w:t xml:space="preserve"> </w:t>
      </w:r>
      <w:r>
        <w:rPr>
          <w:rFonts w:ascii="Times New Roman" w:hAnsi="Times New Roman" w:eastAsia="Times New Roman" w:cs="Times New Roman"/>
          <w:spacing w:val="1"/>
        </w:rPr>
        <w:t>2</w:t>
      </w:r>
      <w:r>
        <w:rPr>
          <w:rFonts w:ascii="Times New Roman" w:hAnsi="Times New Roman" w:eastAsia="Times New Roman" w:cs="Times New Roman"/>
          <w:spacing w:val="9"/>
        </w:rPr>
        <w:t xml:space="preserve"> </w:t>
      </w:r>
      <w:r>
        <w:rPr>
          <w:spacing w:val="1"/>
        </w:rPr>
        <w:t>月</w:t>
      </w:r>
      <w:r>
        <w:rPr>
          <w:spacing w:val="-32"/>
        </w:rPr>
        <w:t xml:space="preserve"> </w:t>
      </w:r>
      <w:r>
        <w:rPr>
          <w:rFonts w:ascii="Times New Roman" w:hAnsi="Times New Roman" w:eastAsia="Times New Roman" w:cs="Times New Roman"/>
          <w:spacing w:val="1"/>
        </w:rPr>
        <w:t>8  </w:t>
      </w:r>
      <w:r>
        <w:rPr>
          <w:spacing w:val="1"/>
        </w:rPr>
        <w:t>日</w:t>
      </w:r>
    </w:p>
    <w:p>
      <w:pPr>
        <w:pStyle w:val="BodyText"/>
        <w:ind w:left="424"/>
        <w:spacing w:before="156" w:line="277" w:lineRule="exact"/>
        <w:rPr/>
      </w:pPr>
      <w:r>
        <w:rPr>
          <w:spacing w:val="10"/>
          <w:position w:val="1"/>
        </w:rPr>
        <w:t>（此件公开发布）</w:t>
      </w:r>
    </w:p>
    <w:p>
      <w:pPr>
        <w:spacing w:line="277" w:lineRule="exact"/>
        <w:sectPr>
          <w:headerReference w:type="default" r:id="rId1252"/>
          <w:footerReference w:type="default" r:id="rId1253"/>
          <w:pgSz w:w="11906" w:h="16839"/>
          <w:pgMar w:top="1974" w:right="1530" w:bottom="1574" w:left="1579" w:header="1617" w:footer="1172" w:gutter="0"/>
        </w:sectPr>
        <w:rPr/>
      </w:pP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642"/>
        <w:spacing w:before="103" w:line="209" w:lineRule="auto"/>
        <w:rPr>
          <w:sz w:val="24"/>
          <w:szCs w:val="24"/>
        </w:rPr>
      </w:pPr>
      <w:r>
        <w:rPr>
          <w:rFonts w:ascii="Microsoft YaHei" w:hAnsi="Microsoft YaHei" w:eastAsia="Microsoft YaHei" w:cs="Microsoft YaHei"/>
          <w:sz w:val="24"/>
          <w:szCs w:val="24"/>
          <w:spacing w:val="-6"/>
        </w:rPr>
        <w:t>资</w:t>
      </w:r>
      <w:r>
        <w:rPr>
          <w:rFonts w:ascii="Microsoft YaHei" w:hAnsi="Microsoft YaHei" w:eastAsia="Microsoft YaHei" w:cs="Microsoft YaHei"/>
          <w:sz w:val="24"/>
          <w:szCs w:val="24"/>
          <w:spacing w:val="27"/>
          <w:w w:val="101"/>
        </w:rPr>
        <w:t xml:space="preserve"> </w:t>
      </w:r>
      <w:r>
        <w:rPr>
          <w:rFonts w:ascii="Microsoft YaHei" w:hAnsi="Microsoft YaHei" w:eastAsia="Microsoft YaHei" w:cs="Microsoft YaHei"/>
          <w:sz w:val="24"/>
          <w:szCs w:val="24"/>
          <w:spacing w:val="-6"/>
        </w:rPr>
        <w:t>料</w:t>
      </w:r>
      <w:r>
        <w:rPr>
          <w:rFonts w:ascii="Microsoft YaHei" w:hAnsi="Microsoft YaHei" w:eastAsia="Microsoft YaHei" w:cs="Microsoft YaHei"/>
          <w:sz w:val="24"/>
          <w:szCs w:val="24"/>
          <w:spacing w:val="21"/>
        </w:rPr>
        <w:t xml:space="preserve"> </w:t>
      </w:r>
      <w:r>
        <w:rPr>
          <w:rFonts w:ascii="Microsoft YaHei" w:hAnsi="Microsoft YaHei" w:eastAsia="Microsoft YaHei" w:cs="Microsoft YaHei"/>
          <w:sz w:val="24"/>
          <w:szCs w:val="24"/>
          <w:spacing w:val="-6"/>
        </w:rPr>
        <w:t>名</w:t>
      </w:r>
      <w:r>
        <w:rPr>
          <w:rFonts w:ascii="Microsoft YaHei" w:hAnsi="Microsoft YaHei" w:eastAsia="Microsoft YaHei" w:cs="Microsoft YaHei"/>
          <w:sz w:val="24"/>
          <w:szCs w:val="24"/>
          <w:spacing w:val="18"/>
        </w:rPr>
        <w:t xml:space="preserve"> </w:t>
      </w:r>
      <w:r>
        <w:rPr>
          <w:rFonts w:ascii="Microsoft YaHei" w:hAnsi="Microsoft YaHei" w:eastAsia="Microsoft YaHei" w:cs="Microsoft YaHei"/>
          <w:sz w:val="24"/>
          <w:szCs w:val="24"/>
          <w:spacing w:val="-6"/>
        </w:rPr>
        <w:t>称：</w:t>
      </w:r>
      <w:r>
        <w:rPr>
          <w:rFonts w:ascii="Microsoft YaHei" w:hAnsi="Microsoft YaHei" w:eastAsia="Microsoft YaHei" w:cs="Microsoft YaHei"/>
          <w:sz w:val="24"/>
          <w:szCs w:val="24"/>
          <w:spacing w:val="-42"/>
        </w:rPr>
        <w:t xml:space="preserve"> </w:t>
      </w:r>
      <w:r>
        <w:rPr>
          <w:sz w:val="24"/>
          <w:szCs w:val="24"/>
          <w:spacing w:val="-6"/>
        </w:rPr>
        <w:t>固原市人民政府公报</w:t>
      </w:r>
    </w:p>
    <w:p>
      <w:pPr>
        <w:pStyle w:val="BodyText"/>
        <w:ind w:left="638"/>
        <w:spacing w:before="101" w:line="210" w:lineRule="auto"/>
        <w:rPr>
          <w:sz w:val="24"/>
          <w:szCs w:val="24"/>
        </w:rPr>
      </w:pPr>
      <w:r>
        <w:rPr>
          <w:rFonts w:ascii="Microsoft YaHei" w:hAnsi="Microsoft YaHei" w:eastAsia="Microsoft YaHei" w:cs="Microsoft YaHei"/>
          <w:sz w:val="24"/>
          <w:szCs w:val="24"/>
          <w:spacing w:val="-5"/>
        </w:rPr>
        <w:t>编</w:t>
      </w:r>
      <w:r>
        <w:rPr>
          <w:rFonts w:ascii="Microsoft YaHei" w:hAnsi="Microsoft YaHei" w:eastAsia="Microsoft YaHei" w:cs="Microsoft YaHei"/>
          <w:sz w:val="24"/>
          <w:szCs w:val="24"/>
          <w:spacing w:val="40"/>
          <w:w w:val="101"/>
        </w:rPr>
        <w:t xml:space="preserve"> </w:t>
      </w:r>
      <w:r>
        <w:rPr>
          <w:rFonts w:ascii="Microsoft YaHei" w:hAnsi="Microsoft YaHei" w:eastAsia="Microsoft YaHei" w:cs="Microsoft YaHei"/>
          <w:sz w:val="24"/>
          <w:szCs w:val="24"/>
          <w:spacing w:val="-5"/>
        </w:rPr>
        <w:t>写</w:t>
      </w:r>
      <w:r>
        <w:rPr>
          <w:rFonts w:ascii="Microsoft YaHei" w:hAnsi="Microsoft YaHei" w:eastAsia="Microsoft YaHei" w:cs="Microsoft YaHei"/>
          <w:sz w:val="24"/>
          <w:szCs w:val="24"/>
          <w:spacing w:val="25"/>
          <w:w w:val="101"/>
        </w:rPr>
        <w:t xml:space="preserve"> </w:t>
      </w:r>
      <w:r>
        <w:rPr>
          <w:rFonts w:ascii="Microsoft YaHei" w:hAnsi="Microsoft YaHei" w:eastAsia="Microsoft YaHei" w:cs="Microsoft YaHei"/>
          <w:sz w:val="24"/>
          <w:szCs w:val="24"/>
          <w:spacing w:val="-5"/>
        </w:rPr>
        <w:t>单</w:t>
      </w:r>
      <w:r>
        <w:rPr>
          <w:rFonts w:ascii="Microsoft YaHei" w:hAnsi="Microsoft YaHei" w:eastAsia="Microsoft YaHei" w:cs="Microsoft YaHei"/>
          <w:sz w:val="24"/>
          <w:szCs w:val="24"/>
          <w:spacing w:val="16"/>
        </w:rPr>
        <w:t xml:space="preserve"> </w:t>
      </w:r>
      <w:r>
        <w:rPr>
          <w:rFonts w:ascii="Microsoft YaHei" w:hAnsi="Microsoft YaHei" w:eastAsia="Microsoft YaHei" w:cs="Microsoft YaHei"/>
          <w:sz w:val="24"/>
          <w:szCs w:val="24"/>
          <w:spacing w:val="-5"/>
        </w:rPr>
        <w:t>位：</w:t>
      </w:r>
      <w:r>
        <w:rPr>
          <w:rFonts w:ascii="Microsoft YaHei" w:hAnsi="Microsoft YaHei" w:eastAsia="Microsoft YaHei" w:cs="Microsoft YaHei"/>
          <w:sz w:val="24"/>
          <w:szCs w:val="24"/>
          <w:spacing w:val="-42"/>
        </w:rPr>
        <w:t xml:space="preserve"> </w:t>
      </w:r>
      <w:r>
        <w:rPr>
          <w:sz w:val="24"/>
          <w:szCs w:val="24"/>
          <w:spacing w:val="-5"/>
        </w:rPr>
        <w:t>固原市人民政府政务公开办公室</w:t>
      </w:r>
    </w:p>
    <w:p>
      <w:pPr>
        <w:pStyle w:val="BodyText"/>
        <w:ind w:left="642"/>
        <w:spacing w:before="101" w:line="211" w:lineRule="auto"/>
        <w:rPr>
          <w:sz w:val="24"/>
          <w:szCs w:val="24"/>
        </w:rPr>
      </w:pPr>
      <w:r>
        <w:rPr>
          <w:rFonts w:ascii="Microsoft YaHei" w:hAnsi="Microsoft YaHei" w:eastAsia="Microsoft YaHei" w:cs="Microsoft YaHei"/>
          <w:sz w:val="24"/>
          <w:szCs w:val="24"/>
          <w:spacing w:val="-6"/>
        </w:rPr>
        <w:t>准</w:t>
      </w:r>
      <w:r>
        <w:rPr>
          <w:rFonts w:ascii="Microsoft YaHei" w:hAnsi="Microsoft YaHei" w:eastAsia="Microsoft YaHei" w:cs="Microsoft YaHei"/>
          <w:sz w:val="24"/>
          <w:szCs w:val="24"/>
          <w:spacing w:val="28"/>
          <w:w w:val="101"/>
        </w:rPr>
        <w:t xml:space="preserve"> </w:t>
      </w:r>
      <w:r>
        <w:rPr>
          <w:rFonts w:ascii="Microsoft YaHei" w:hAnsi="Microsoft YaHei" w:eastAsia="Microsoft YaHei" w:cs="Microsoft YaHei"/>
          <w:sz w:val="24"/>
          <w:szCs w:val="24"/>
          <w:spacing w:val="-6"/>
        </w:rPr>
        <w:t>印</w:t>
      </w:r>
      <w:r>
        <w:rPr>
          <w:rFonts w:ascii="Microsoft YaHei" w:hAnsi="Microsoft YaHei" w:eastAsia="Microsoft YaHei" w:cs="Microsoft YaHei"/>
          <w:sz w:val="24"/>
          <w:szCs w:val="24"/>
          <w:spacing w:val="20"/>
        </w:rPr>
        <w:t xml:space="preserve"> </w:t>
      </w:r>
      <w:r>
        <w:rPr>
          <w:rFonts w:ascii="Microsoft YaHei" w:hAnsi="Microsoft YaHei" w:eastAsia="Microsoft YaHei" w:cs="Microsoft YaHei"/>
          <w:sz w:val="24"/>
          <w:szCs w:val="24"/>
          <w:spacing w:val="-6"/>
        </w:rPr>
        <w:t>证</w:t>
      </w:r>
      <w:r>
        <w:rPr>
          <w:rFonts w:ascii="Microsoft YaHei" w:hAnsi="Microsoft YaHei" w:eastAsia="Microsoft YaHei" w:cs="Microsoft YaHei"/>
          <w:sz w:val="24"/>
          <w:szCs w:val="24"/>
          <w:spacing w:val="23"/>
        </w:rPr>
        <w:t xml:space="preserve"> </w:t>
      </w:r>
      <w:r>
        <w:rPr>
          <w:rFonts w:ascii="Microsoft YaHei" w:hAnsi="Microsoft YaHei" w:eastAsia="Microsoft YaHei" w:cs="Microsoft YaHei"/>
          <w:sz w:val="24"/>
          <w:szCs w:val="24"/>
          <w:spacing w:val="-6"/>
        </w:rPr>
        <w:t>号</w:t>
      </w:r>
      <w:r>
        <w:rPr>
          <w:rFonts w:ascii="Microsoft YaHei" w:hAnsi="Microsoft YaHei" w:eastAsia="Microsoft YaHei" w:cs="Microsoft YaHei"/>
          <w:sz w:val="24"/>
          <w:szCs w:val="24"/>
          <w:spacing w:val="-70"/>
        </w:rPr>
        <w:t>：</w:t>
      </w:r>
      <w:r>
        <w:rPr>
          <w:sz w:val="24"/>
          <w:szCs w:val="24"/>
          <w:spacing w:val="-70"/>
        </w:rPr>
        <w:t>（</w:t>
      </w:r>
      <w:r>
        <w:rPr>
          <w:sz w:val="24"/>
          <w:szCs w:val="24"/>
          <w:spacing w:val="-60"/>
        </w:rPr>
        <w:t xml:space="preserve"> </w:t>
      </w:r>
      <w:r>
        <w:rPr>
          <w:sz w:val="24"/>
          <w:szCs w:val="24"/>
          <w:spacing w:val="-6"/>
        </w:rPr>
        <w:t>固）行审许可［</w:t>
      </w:r>
      <w:r>
        <w:rPr>
          <w:rFonts w:ascii="Times New Roman" w:hAnsi="Times New Roman" w:eastAsia="Times New Roman" w:cs="Times New Roman"/>
          <w:sz w:val="24"/>
          <w:szCs w:val="24"/>
          <w:spacing w:val="-6"/>
        </w:rPr>
        <w:t>2021</w:t>
      </w:r>
      <w:r>
        <w:rPr>
          <w:rFonts w:ascii="Times New Roman" w:hAnsi="Times New Roman" w:eastAsia="Times New Roman" w:cs="Times New Roman"/>
          <w:sz w:val="24"/>
          <w:szCs w:val="24"/>
          <w:spacing w:val="-24"/>
        </w:rPr>
        <w:t xml:space="preserve"> </w:t>
      </w:r>
      <w:r>
        <w:rPr>
          <w:sz w:val="24"/>
          <w:szCs w:val="24"/>
          <w:spacing w:val="-6"/>
        </w:rPr>
        <w:t>］第</w:t>
      </w:r>
      <w:r>
        <w:rPr>
          <w:sz w:val="24"/>
          <w:szCs w:val="24"/>
          <w:spacing w:val="-51"/>
        </w:rPr>
        <w:t xml:space="preserve"> </w:t>
      </w:r>
      <w:r>
        <w:rPr>
          <w:rFonts w:ascii="Times New Roman" w:hAnsi="Times New Roman" w:eastAsia="Times New Roman" w:cs="Times New Roman"/>
          <w:sz w:val="24"/>
          <w:szCs w:val="24"/>
          <w:spacing w:val="-6"/>
        </w:rPr>
        <w:t>0060 </w:t>
      </w:r>
      <w:r>
        <w:rPr>
          <w:sz w:val="24"/>
          <w:szCs w:val="24"/>
          <w:spacing w:val="-6"/>
        </w:rPr>
        <w:t>号</w:t>
      </w:r>
    </w:p>
    <w:p>
      <w:pPr>
        <w:pStyle w:val="BodyText"/>
        <w:ind w:left="643"/>
        <w:spacing w:before="95" w:line="212" w:lineRule="auto"/>
        <w:rPr>
          <w:sz w:val="24"/>
          <w:szCs w:val="24"/>
        </w:rPr>
      </w:pPr>
      <w:r>
        <w:rPr>
          <w:rFonts w:ascii="Microsoft YaHei" w:hAnsi="Microsoft YaHei" w:eastAsia="Microsoft YaHei" w:cs="Microsoft YaHei"/>
          <w:sz w:val="24"/>
          <w:szCs w:val="24"/>
          <w:spacing w:val="7"/>
        </w:rPr>
        <w:t>开</w:t>
      </w:r>
      <w:r>
        <w:rPr>
          <w:rFonts w:ascii="Microsoft YaHei" w:hAnsi="Microsoft YaHei" w:eastAsia="Microsoft YaHei" w:cs="Microsoft YaHei"/>
          <w:sz w:val="24"/>
          <w:szCs w:val="24"/>
          <w:spacing w:val="1"/>
        </w:rPr>
        <w:t xml:space="preserve">          </w:t>
      </w:r>
      <w:r>
        <w:rPr>
          <w:rFonts w:ascii="Microsoft YaHei" w:hAnsi="Microsoft YaHei" w:eastAsia="Microsoft YaHei" w:cs="Microsoft YaHei"/>
          <w:sz w:val="24"/>
          <w:szCs w:val="24"/>
          <w:spacing w:val="7"/>
        </w:rPr>
        <w:t>本：</w:t>
      </w:r>
      <w:r>
        <w:rPr>
          <w:sz w:val="24"/>
          <w:szCs w:val="24"/>
          <w:spacing w:val="7"/>
        </w:rPr>
        <w:t>980</w:t>
      </w:r>
      <w:r>
        <w:rPr>
          <w:sz w:val="24"/>
          <w:szCs w:val="24"/>
        </w:rPr>
        <w:t>mm</w:t>
      </w:r>
      <w:r>
        <w:rPr>
          <w:sz w:val="24"/>
          <w:szCs w:val="24"/>
          <w:spacing w:val="7"/>
        </w:rPr>
        <w:t>*720</w:t>
      </w:r>
      <w:r>
        <w:rPr>
          <w:sz w:val="24"/>
          <w:szCs w:val="24"/>
        </w:rPr>
        <w:t>mm</w:t>
      </w:r>
      <w:r>
        <w:rPr>
          <w:sz w:val="24"/>
          <w:szCs w:val="24"/>
          <w:spacing w:val="-27"/>
        </w:rPr>
        <w:t xml:space="preserve"> </w:t>
      </w:r>
      <w:r>
        <w:rPr>
          <w:sz w:val="24"/>
          <w:szCs w:val="24"/>
          <w:spacing w:val="7"/>
        </w:rPr>
        <w:t>1/16</w:t>
      </w:r>
    </w:p>
    <w:p>
      <w:pPr>
        <w:pStyle w:val="BodyText"/>
        <w:ind w:left="642"/>
        <w:spacing w:before="97" w:line="208" w:lineRule="auto"/>
        <w:rPr>
          <w:sz w:val="24"/>
          <w:szCs w:val="24"/>
        </w:rPr>
      </w:pPr>
      <w:r>
        <w:rPr>
          <w:rFonts w:ascii="Microsoft YaHei" w:hAnsi="Microsoft YaHei" w:eastAsia="Microsoft YaHei" w:cs="Microsoft YaHei"/>
          <w:sz w:val="24"/>
          <w:szCs w:val="24"/>
          <w:spacing w:val="-3"/>
        </w:rPr>
        <w:t>字</w:t>
      </w:r>
      <w:r>
        <w:rPr>
          <w:rFonts w:ascii="Microsoft YaHei" w:hAnsi="Microsoft YaHei" w:eastAsia="Microsoft YaHei" w:cs="Microsoft YaHei"/>
          <w:sz w:val="24"/>
          <w:szCs w:val="24"/>
          <w:spacing w:val="2"/>
        </w:rPr>
        <w:t xml:space="preserve">          </w:t>
      </w:r>
      <w:r>
        <w:rPr>
          <w:rFonts w:ascii="Microsoft YaHei" w:hAnsi="Microsoft YaHei" w:eastAsia="Microsoft YaHei" w:cs="Microsoft YaHei"/>
          <w:sz w:val="24"/>
          <w:szCs w:val="24"/>
          <w:spacing w:val="-3"/>
        </w:rPr>
        <w:t>数：</w:t>
      </w:r>
      <w:r>
        <w:rPr>
          <w:rFonts w:ascii="Times New Roman" w:hAnsi="Times New Roman" w:eastAsia="Times New Roman" w:cs="Times New Roman"/>
          <w:sz w:val="24"/>
          <w:szCs w:val="24"/>
          <w:spacing w:val="-3"/>
        </w:rPr>
        <w:t>48 </w:t>
      </w:r>
      <w:r>
        <w:rPr>
          <w:sz w:val="24"/>
          <w:szCs w:val="24"/>
          <w:spacing w:val="-3"/>
        </w:rPr>
        <w:t>万</w:t>
      </w:r>
    </w:p>
    <w:p>
      <w:pPr>
        <w:ind w:left="648"/>
        <w:spacing w:before="104" w:line="210" w:lineRule="auto"/>
        <w:rPr>
          <w:rFonts w:ascii="Times New Roman" w:hAnsi="Times New Roman" w:eastAsia="Times New Roman" w:cs="Times New Roman"/>
          <w:sz w:val="24"/>
          <w:szCs w:val="24"/>
        </w:rPr>
      </w:pPr>
      <w:r>
        <w:rPr>
          <w:rFonts w:ascii="Microsoft YaHei" w:hAnsi="Microsoft YaHei" w:eastAsia="Microsoft YaHei" w:cs="Microsoft YaHei"/>
          <w:sz w:val="24"/>
          <w:szCs w:val="24"/>
          <w:spacing w:val="-6"/>
        </w:rPr>
        <w:t>印</w:t>
      </w:r>
      <w:r>
        <w:rPr>
          <w:rFonts w:ascii="Microsoft YaHei" w:hAnsi="Microsoft YaHei" w:eastAsia="Microsoft YaHei" w:cs="Microsoft YaHei"/>
          <w:sz w:val="24"/>
          <w:szCs w:val="24"/>
          <w:spacing w:val="3"/>
        </w:rPr>
        <w:t xml:space="preserve">          </w:t>
      </w:r>
      <w:r>
        <w:rPr>
          <w:rFonts w:ascii="Microsoft YaHei" w:hAnsi="Microsoft YaHei" w:eastAsia="Microsoft YaHei" w:cs="Microsoft YaHei"/>
          <w:sz w:val="24"/>
          <w:szCs w:val="24"/>
          <w:spacing w:val="-6"/>
        </w:rPr>
        <w:t>张：</w:t>
      </w:r>
      <w:r>
        <w:rPr>
          <w:rFonts w:ascii="Times New Roman" w:hAnsi="Times New Roman" w:eastAsia="Times New Roman" w:cs="Times New Roman"/>
          <w:sz w:val="24"/>
          <w:szCs w:val="24"/>
          <w:spacing w:val="-6"/>
        </w:rPr>
        <w:t>25.5</w:t>
      </w:r>
    </w:p>
    <w:p>
      <w:pPr>
        <w:pStyle w:val="BodyText"/>
        <w:ind w:left="648"/>
        <w:spacing w:before="98" w:line="208" w:lineRule="auto"/>
        <w:rPr>
          <w:sz w:val="24"/>
          <w:szCs w:val="24"/>
        </w:rPr>
      </w:pPr>
      <w:r>
        <w:rPr>
          <w:rFonts w:ascii="Microsoft YaHei" w:hAnsi="Microsoft YaHei" w:eastAsia="Microsoft YaHei" w:cs="Microsoft YaHei"/>
          <w:sz w:val="24"/>
          <w:szCs w:val="24"/>
          <w:spacing w:val="-3"/>
        </w:rPr>
        <w:t>印</w:t>
      </w:r>
      <w:r>
        <w:rPr>
          <w:rFonts w:ascii="Microsoft YaHei" w:hAnsi="Microsoft YaHei" w:eastAsia="Microsoft YaHei" w:cs="Microsoft YaHei"/>
          <w:sz w:val="24"/>
          <w:szCs w:val="24"/>
          <w:spacing w:val="2"/>
        </w:rPr>
        <w:t xml:space="preserve">          </w:t>
      </w:r>
      <w:r>
        <w:rPr>
          <w:rFonts w:ascii="Microsoft YaHei" w:hAnsi="Microsoft YaHei" w:eastAsia="Microsoft YaHei" w:cs="Microsoft YaHei"/>
          <w:sz w:val="24"/>
          <w:szCs w:val="24"/>
          <w:spacing w:val="-3"/>
        </w:rPr>
        <w:t>数：</w:t>
      </w:r>
      <w:r>
        <w:rPr>
          <w:rFonts w:ascii="Times New Roman" w:hAnsi="Times New Roman" w:eastAsia="Times New Roman" w:cs="Times New Roman"/>
          <w:sz w:val="24"/>
          <w:szCs w:val="24"/>
          <w:spacing w:val="-3"/>
        </w:rPr>
        <w:t>2000 </w:t>
      </w:r>
      <w:r>
        <w:rPr>
          <w:sz w:val="24"/>
          <w:szCs w:val="24"/>
          <w:spacing w:val="-3"/>
        </w:rPr>
        <w:t>本</w:t>
      </w:r>
    </w:p>
    <w:p>
      <w:pPr>
        <w:pStyle w:val="BodyText"/>
        <w:ind w:left="648"/>
        <w:spacing w:before="104" w:line="210" w:lineRule="auto"/>
        <w:rPr>
          <w:sz w:val="24"/>
          <w:szCs w:val="24"/>
        </w:rPr>
      </w:pPr>
      <w:r>
        <w:rPr>
          <w:rFonts w:ascii="Microsoft YaHei" w:hAnsi="Microsoft YaHei" w:eastAsia="Microsoft YaHei" w:cs="Microsoft YaHei"/>
          <w:sz w:val="24"/>
          <w:szCs w:val="24"/>
          <w:spacing w:val="-5"/>
        </w:rPr>
        <w:t>印</w:t>
      </w:r>
      <w:r>
        <w:rPr>
          <w:rFonts w:ascii="Microsoft YaHei" w:hAnsi="Microsoft YaHei" w:eastAsia="Microsoft YaHei" w:cs="Microsoft YaHei"/>
          <w:sz w:val="24"/>
          <w:szCs w:val="24"/>
          <w:spacing w:val="13"/>
        </w:rPr>
        <w:t xml:space="preserve">   </w:t>
      </w:r>
      <w:r>
        <w:rPr>
          <w:rFonts w:ascii="Microsoft YaHei" w:hAnsi="Microsoft YaHei" w:eastAsia="Microsoft YaHei" w:cs="Microsoft YaHei"/>
          <w:sz w:val="24"/>
          <w:szCs w:val="24"/>
          <w:spacing w:val="-5"/>
        </w:rPr>
        <w:t>刷</w:t>
      </w:r>
      <w:r>
        <w:rPr>
          <w:rFonts w:ascii="Microsoft YaHei" w:hAnsi="Microsoft YaHei" w:eastAsia="Microsoft YaHei" w:cs="Microsoft YaHei"/>
          <w:sz w:val="24"/>
          <w:szCs w:val="24"/>
          <w:spacing w:val="11"/>
        </w:rPr>
        <w:t xml:space="preserve">   </w:t>
      </w:r>
      <w:r>
        <w:rPr>
          <w:rFonts w:ascii="Microsoft YaHei" w:hAnsi="Microsoft YaHei" w:eastAsia="Microsoft YaHei" w:cs="Microsoft YaHei"/>
          <w:sz w:val="24"/>
          <w:szCs w:val="24"/>
          <w:spacing w:val="-5"/>
        </w:rPr>
        <w:t>厂：</w:t>
      </w:r>
      <w:r>
        <w:rPr>
          <w:rFonts w:ascii="Microsoft YaHei" w:hAnsi="Microsoft YaHei" w:eastAsia="Microsoft YaHei" w:cs="Microsoft YaHei"/>
          <w:sz w:val="24"/>
          <w:szCs w:val="24"/>
          <w:spacing w:val="-40"/>
        </w:rPr>
        <w:t xml:space="preserve"> </w:t>
      </w:r>
      <w:r>
        <w:rPr>
          <w:sz w:val="24"/>
          <w:szCs w:val="24"/>
          <w:spacing w:val="-5"/>
        </w:rPr>
        <w:t>固原萧关印刷有限公司</w:t>
      </w:r>
    </w:p>
    <w:p>
      <w:pPr>
        <w:pStyle w:val="BodyText"/>
        <w:ind w:left="648"/>
        <w:spacing w:before="100" w:line="210" w:lineRule="auto"/>
        <w:rPr>
          <w:sz w:val="24"/>
          <w:szCs w:val="24"/>
        </w:rPr>
      </w:pPr>
      <w:r>
        <w:rPr>
          <w:rFonts w:ascii="Microsoft YaHei" w:hAnsi="Microsoft YaHei" w:eastAsia="Microsoft YaHei" w:cs="Microsoft YaHei"/>
          <w:sz w:val="24"/>
          <w:szCs w:val="24"/>
          <w:spacing w:val="-3"/>
        </w:rPr>
        <w:t>印刷厂地址：</w:t>
      </w:r>
      <w:r>
        <w:rPr>
          <w:rFonts w:ascii="Microsoft YaHei" w:hAnsi="Microsoft YaHei" w:eastAsia="Microsoft YaHei" w:cs="Microsoft YaHei"/>
          <w:sz w:val="24"/>
          <w:szCs w:val="24"/>
          <w:spacing w:val="-29"/>
        </w:rPr>
        <w:t xml:space="preserve"> </w:t>
      </w:r>
      <w:r>
        <w:rPr>
          <w:sz w:val="24"/>
          <w:szCs w:val="24"/>
          <w:spacing w:val="-3"/>
        </w:rPr>
        <w:t>固原市原州区南关街峡口社区二组</w:t>
      </w:r>
    </w:p>
    <w:p>
      <w:pPr>
        <w:pStyle w:val="BodyText"/>
        <w:ind w:left="662" w:right="6436" w:hanging="14"/>
        <w:spacing w:before="96" w:line="319"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6"/>
        </w:rPr>
        <w:t>印 刷  日</w:t>
      </w:r>
      <w:r>
        <w:rPr>
          <w:rFonts w:ascii="Microsoft YaHei" w:hAnsi="Microsoft YaHei" w:eastAsia="Microsoft YaHei" w:cs="Microsoft YaHei"/>
          <w:sz w:val="24"/>
          <w:szCs w:val="24"/>
          <w:spacing w:val="19"/>
        </w:rPr>
        <w:t xml:space="preserve"> </w:t>
      </w:r>
      <w:r>
        <w:rPr>
          <w:rFonts w:ascii="Microsoft YaHei" w:hAnsi="Microsoft YaHei" w:eastAsia="Microsoft YaHei" w:cs="Microsoft YaHei"/>
          <w:sz w:val="24"/>
          <w:szCs w:val="24"/>
          <w:spacing w:val="-6"/>
        </w:rPr>
        <w:t>期：</w:t>
      </w:r>
      <w:r>
        <w:rPr>
          <w:rFonts w:ascii="Times New Roman" w:hAnsi="Times New Roman" w:eastAsia="Times New Roman" w:cs="Times New Roman"/>
          <w:sz w:val="24"/>
          <w:szCs w:val="24"/>
          <w:spacing w:val="-6"/>
        </w:rPr>
        <w:t>2021 </w:t>
      </w:r>
      <w:r>
        <w:rPr>
          <w:sz w:val="24"/>
          <w:szCs w:val="24"/>
          <w:spacing w:val="-6"/>
        </w:rPr>
        <w:t>年</w:t>
      </w:r>
      <w:r>
        <w:rPr>
          <w:sz w:val="24"/>
          <w:szCs w:val="24"/>
          <w:spacing w:val="-57"/>
        </w:rPr>
        <w:t xml:space="preserve"> </w:t>
      </w:r>
      <w:r>
        <w:rPr>
          <w:rFonts w:ascii="Times New Roman" w:hAnsi="Times New Roman" w:eastAsia="Times New Roman" w:cs="Times New Roman"/>
          <w:sz w:val="24"/>
          <w:szCs w:val="24"/>
          <w:spacing w:val="-6"/>
        </w:rPr>
        <w:t>4</w:t>
      </w:r>
      <w:r>
        <w:rPr>
          <w:rFonts w:ascii="Times New Roman" w:hAnsi="Times New Roman" w:eastAsia="Times New Roman" w:cs="Times New Roman"/>
          <w:sz w:val="24"/>
          <w:szCs w:val="24"/>
          <w:spacing w:val="9"/>
        </w:rPr>
        <w:t xml:space="preserve"> </w:t>
      </w:r>
      <w:r>
        <w:rPr>
          <w:sz w:val="24"/>
          <w:szCs w:val="24"/>
          <w:spacing w:val="-6"/>
        </w:rPr>
        <w:t>月</w:t>
      </w:r>
      <w:r>
        <w:rPr>
          <w:rFonts w:ascii="Microsoft YaHei" w:hAnsi="Microsoft YaHei" w:eastAsia="Microsoft YaHei" w:cs="Microsoft YaHei"/>
          <w:sz w:val="24"/>
          <w:szCs w:val="24"/>
          <w:spacing w:val="-6"/>
        </w:rPr>
        <w:t>内部资料</w:t>
      </w:r>
      <w:r>
        <w:rPr>
          <w:rFonts w:ascii="Microsoft YaHei" w:hAnsi="Microsoft YaHei" w:eastAsia="Microsoft YaHei" w:cs="Microsoft YaHei"/>
          <w:sz w:val="24"/>
          <w:szCs w:val="24"/>
          <w:spacing w:val="3"/>
        </w:rPr>
        <w:t xml:space="preserve">     </w:t>
      </w:r>
      <w:r>
        <w:rPr>
          <w:rFonts w:ascii="Microsoft YaHei" w:hAnsi="Microsoft YaHei" w:eastAsia="Microsoft YaHei" w:cs="Microsoft YaHei"/>
          <w:sz w:val="24"/>
          <w:szCs w:val="24"/>
          <w:spacing w:val="-6"/>
        </w:rPr>
        <w:t>免费交流</w:t>
      </w:r>
    </w:p>
    <w:sectPr>
      <w:headerReference w:type="default" r:id="rId1"/>
      <w:footerReference w:type="default" r:id="rId1255"/>
      <w:pgSz w:w="11906" w:h="16839"/>
      <w:pgMar w:top="400" w:right="868" w:bottom="1573" w:left="1271" w:header="0" w:footer="1172"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Microsoft YaHei">
    <w:panose1 w:val="020B0503020204020204"/>
    <w:charset w:val="86"/>
    <w:family w:val="auto"/>
    <w:pitch w:val="variable"/>
    <w:sig w:usb0="80000287" w:usb1="2ACF3C50" w:usb2="00000016" w:usb3="00000000" w:csb0="0004001F" w:csb1="00000000"/>
  </w:font>
  <w:font w:name="FangSong">
    <w:panose1 w:val="02010609060101010101"/>
    <w:charset w:val="86"/>
    <w:family w:val="auto"/>
    <w:pitch w:val="default"/>
    <w:sig w:usb0="800002BF" w:usb1="38CF7CFA" w:usb2="00000016" w:usb3="00000000" w:csb0="00040001" w:csb1="00000000"/>
  </w:font>
  <w:font w:name="Times New Roman">
    <w:panose1 w:val="02020603050405020304"/>
    <w:charset w:val="00"/>
    <w:family w:val="auto"/>
    <w:pitch w:val="variable"/>
    <w:sig w:usb0="E0002EFF" w:usb1="C000785B" w:usb2="00000009" w:usb3="00000000" w:csb0="400001FF" w:csb1="FFFF0000"/>
  </w:font>
  <w:font w:name="KaiTi">
    <w:panose1 w:val="02010609060101010101"/>
    <w:charset w:val="86"/>
    <w:family w:val="auto"/>
    <w:pitch w:val="default"/>
    <w:sig w:usb0="800002BF" w:usb1="38CF7CFA" w:usb2="00000016" w:usb3="00000000" w:csb0="00040001" w:csb1="00000000"/>
  </w:font>
  <w:font w:name="MS Gothic">
    <w:panose1 w:val="020B0609070205080204"/>
    <w:charset w:val="86"/>
    <w:family w:val="auto"/>
    <w:pitch w:val="default"/>
    <w:sig w:usb0="E00002FF" w:usb1="6AC7FDFB" w:usb2="08000012" w:usb3="00000000" w:csb0="4002009F" w:csb1="DFD7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1"/>
      <w:spacing w:before="90" w:line="205" w:lineRule="auto"/>
      <w:rPr>
        <w:rFonts w:ascii="Microsoft YaHei" w:hAnsi="Microsoft YaHei" w:eastAsia="Microsoft YaHei" w:cs="Microsoft YaHei"/>
        <w:sz w:val="20"/>
        <w:szCs w:val="20"/>
      </w:rPr>
    </w:pPr>
    <w:r>
      <w:drawing>
        <wp:anchor distT="0" distB="0" distL="0" distR="0" simplePos="0" relativeHeight="251658240" behindDoc="0" locked="0" layoutInCell="0" allowOverlap="1">
          <wp:simplePos x="0" y="0"/>
          <wp:positionH relativeFrom="page">
            <wp:posOffset>990600</wp:posOffset>
          </wp:positionH>
          <wp:positionV relativeFrom="page">
            <wp:posOffset>9630409</wp:posOffset>
          </wp:positionV>
          <wp:extent cx="5579744" cy="7619"/>
          <wp:effectExtent l="0" t="0" r="0" b="0"/>
          <wp:wrapNone/>
          <wp:docPr id="4" name="IM 4"/>
          <wp:cNvGraphicFramePr/>
          <a:graphic>
            <a:graphicData uri="http://schemas.openxmlformats.org/drawingml/2006/picture">
              <pic:pic>
                <pic:nvPicPr>
                  <pic:cNvPr id="4" name="IM 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2//2021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6"/>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期总 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28"/>
      <w:spacing w:before="66" w:line="206" w:lineRule="auto"/>
      <w:rPr>
        <w:rFonts w:ascii="Microsoft YaHei" w:hAnsi="Microsoft YaHei" w:eastAsia="Microsoft YaHei" w:cs="Microsoft YaHei"/>
        <w:sz w:val="20"/>
        <w:szCs w:val="20"/>
      </w:rPr>
    </w:pPr>
    <w:r>
      <w:drawing>
        <wp:anchor distT="0" distB="0" distL="0" distR="0" simplePos="0" relativeHeight="251667456" behindDoc="0" locked="0" layoutInCell="0" allowOverlap="1">
          <wp:simplePos x="0" y="0"/>
          <wp:positionH relativeFrom="page">
            <wp:posOffset>985519</wp:posOffset>
          </wp:positionH>
          <wp:positionV relativeFrom="page">
            <wp:posOffset>9637394</wp:posOffset>
          </wp:positionV>
          <wp:extent cx="5579744" cy="7619"/>
          <wp:effectExtent l="0" t="0" r="0" b="0"/>
          <wp:wrapNone/>
          <wp:docPr id="38" name="IM 38"/>
          <wp:cNvGraphicFramePr/>
          <a:graphic>
            <a:graphicData uri="http://schemas.openxmlformats.org/drawingml/2006/picture">
              <pic:pic>
                <pic:nvPicPr>
                  <pic:cNvPr id="38" name="IM 3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7"/>
      </w:rPr>
      <w:t>2021 年第</w:t>
    </w:r>
    <w:r>
      <w:rPr>
        <w:rFonts w:ascii="Microsoft YaHei" w:hAnsi="Microsoft YaHei" w:eastAsia="Microsoft YaHei" w:cs="Microsoft YaHei"/>
        <w:sz w:val="20"/>
        <w:szCs w:val="20"/>
        <w:spacing w:val="32"/>
      </w:rPr>
      <w:t xml:space="preserve"> </w:t>
    </w:r>
    <w:r>
      <w:rPr>
        <w:rFonts w:ascii="Microsoft YaHei" w:hAnsi="Microsoft YaHei" w:eastAsia="Microsoft YaHei" w:cs="Microsoft YaHei"/>
        <w:sz w:val="20"/>
        <w:szCs w:val="20"/>
        <w:spacing w:val="-7"/>
      </w:rPr>
      <w:t>1 期总</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7"/>
      </w:rPr>
      <w:t>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7"/>
      </w:rPr>
      <w:t>期//</w:t>
    </w:r>
    <w:r>
      <w:rPr>
        <w:rFonts w:ascii="Microsoft YaHei" w:hAnsi="Microsoft YaHei" w:eastAsia="Microsoft YaHei" w:cs="Microsoft YaHei"/>
        <w:sz w:val="20"/>
        <w:szCs w:val="20"/>
        <w:spacing w:val="20"/>
      </w:rPr>
      <w:t xml:space="preserve"> </w:t>
    </w:r>
    <w:r>
      <w:rPr>
        <w:rFonts w:ascii="Microsoft YaHei" w:hAnsi="Microsoft YaHei" w:eastAsia="Microsoft YaHei" w:cs="Microsoft YaHei"/>
        <w:sz w:val="20"/>
        <w:szCs w:val="20"/>
        <w:spacing w:val="-7"/>
      </w:rPr>
      <w:t>11</w:t>
    </w:r>
  </w:p>
</w:ftr>
</file>

<file path=word/footer1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10"/>
      <w:spacing w:before="94" w:line="205" w:lineRule="auto"/>
      <w:rPr>
        <w:rFonts w:ascii="Microsoft YaHei" w:hAnsi="Microsoft YaHei" w:eastAsia="Microsoft YaHei" w:cs="Microsoft YaHei"/>
        <w:sz w:val="20"/>
        <w:szCs w:val="20"/>
      </w:rPr>
    </w:pPr>
    <w:r>
      <w:drawing>
        <wp:anchor distT="0" distB="0" distL="0" distR="0" simplePos="0" relativeHeight="251759616"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368" name="IM 368"/>
          <wp:cNvGraphicFramePr/>
          <a:graphic>
            <a:graphicData uri="http://schemas.openxmlformats.org/drawingml/2006/picture">
              <pic:pic>
                <pic:nvPicPr>
                  <pic:cNvPr id="368" name="IM 36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期//101</w:t>
    </w:r>
  </w:p>
</w:ftr>
</file>

<file path=word/footer1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
      <w:spacing w:before="91" w:line="205" w:lineRule="auto"/>
      <w:rPr>
        <w:rFonts w:ascii="Microsoft YaHei" w:hAnsi="Microsoft YaHei" w:eastAsia="Microsoft YaHei" w:cs="Microsoft YaHei"/>
        <w:sz w:val="20"/>
        <w:szCs w:val="20"/>
      </w:rPr>
    </w:pPr>
    <w:r>
      <w:drawing>
        <wp:anchor distT="0" distB="0" distL="0" distR="0" simplePos="0" relativeHeight="251760640"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374" name="IM 374"/>
          <wp:cNvGraphicFramePr/>
          <a:graphic>
            <a:graphicData uri="http://schemas.openxmlformats.org/drawingml/2006/picture">
              <pic:pic>
                <pic:nvPicPr>
                  <pic:cNvPr id="374" name="IM 37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100//2021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10"/>
      <w:spacing w:before="94" w:line="205" w:lineRule="auto"/>
      <w:rPr>
        <w:rFonts w:ascii="Microsoft YaHei" w:hAnsi="Microsoft YaHei" w:eastAsia="Microsoft YaHei" w:cs="Microsoft YaHei"/>
        <w:sz w:val="20"/>
        <w:szCs w:val="20"/>
      </w:rPr>
    </w:pPr>
    <w:r>
      <w:drawing>
        <wp:anchor distT="0" distB="0" distL="0" distR="0" simplePos="0" relativeHeight="251761664"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380" name="IM 380"/>
          <wp:cNvGraphicFramePr/>
          <a:graphic>
            <a:graphicData uri="http://schemas.openxmlformats.org/drawingml/2006/picture">
              <pic:pic>
                <pic:nvPicPr>
                  <pic:cNvPr id="380" name="IM 38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期//101</w:t>
    </w:r>
  </w:p>
</w:ftr>
</file>

<file path=word/footer1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
      <w:spacing w:before="91" w:line="205" w:lineRule="auto"/>
      <w:rPr>
        <w:rFonts w:ascii="Microsoft YaHei" w:hAnsi="Microsoft YaHei" w:eastAsia="Microsoft YaHei" w:cs="Microsoft YaHei"/>
        <w:sz w:val="20"/>
        <w:szCs w:val="20"/>
      </w:rPr>
    </w:pPr>
    <w:r>
      <w:drawing>
        <wp:anchor distT="0" distB="0" distL="0" distR="0" simplePos="0" relativeHeight="251762688"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386" name="IM 386"/>
          <wp:cNvGraphicFramePr/>
          <a:graphic>
            <a:graphicData uri="http://schemas.openxmlformats.org/drawingml/2006/picture">
              <pic:pic>
                <pic:nvPicPr>
                  <pic:cNvPr id="386" name="IM 38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102//2021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10"/>
      <w:spacing w:before="94" w:line="205" w:lineRule="auto"/>
      <w:rPr>
        <w:rFonts w:ascii="Microsoft YaHei" w:hAnsi="Microsoft YaHei" w:eastAsia="Microsoft YaHei" w:cs="Microsoft YaHei"/>
        <w:sz w:val="20"/>
        <w:szCs w:val="20"/>
      </w:rPr>
    </w:pPr>
    <w:r>
      <w:drawing>
        <wp:anchor distT="0" distB="0" distL="0" distR="0" simplePos="0" relativeHeight="251763712"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390" name="IM 390"/>
          <wp:cNvGraphicFramePr/>
          <a:graphic>
            <a:graphicData uri="http://schemas.openxmlformats.org/drawingml/2006/picture">
              <pic:pic>
                <pic:nvPicPr>
                  <pic:cNvPr id="390" name="IM 39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期//103</w:t>
    </w:r>
  </w:p>
</w:ftr>
</file>

<file path=word/footer1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
      <w:spacing w:before="91" w:line="205" w:lineRule="auto"/>
      <w:rPr>
        <w:rFonts w:ascii="Microsoft YaHei" w:hAnsi="Microsoft YaHei" w:eastAsia="Microsoft YaHei" w:cs="Microsoft YaHei"/>
        <w:sz w:val="20"/>
        <w:szCs w:val="20"/>
      </w:rPr>
    </w:pPr>
    <w:r>
      <w:drawing>
        <wp:anchor distT="0" distB="0" distL="0" distR="0" simplePos="0" relativeHeight="251764736"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396" name="IM 396"/>
          <wp:cNvGraphicFramePr/>
          <a:graphic>
            <a:graphicData uri="http://schemas.openxmlformats.org/drawingml/2006/picture">
              <pic:pic>
                <pic:nvPicPr>
                  <pic:cNvPr id="396" name="IM 39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104//2021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6"/>
      <w:spacing w:before="94" w:line="205" w:lineRule="auto"/>
      <w:rPr>
        <w:rFonts w:ascii="Microsoft YaHei" w:hAnsi="Microsoft YaHei" w:eastAsia="Microsoft YaHei" w:cs="Microsoft YaHei"/>
        <w:sz w:val="20"/>
        <w:szCs w:val="20"/>
      </w:rPr>
    </w:pPr>
    <w:r>
      <w:drawing>
        <wp:anchor distT="0" distB="0" distL="0" distR="0" simplePos="0" relativeHeight="251765760"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400" name="IM 400"/>
          <wp:cNvGraphicFramePr/>
          <a:graphic>
            <a:graphicData uri="http://schemas.openxmlformats.org/drawingml/2006/picture">
              <pic:pic>
                <pic:nvPicPr>
                  <pic:cNvPr id="400" name="IM 40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期//105</w:t>
    </w:r>
  </w:p>
</w:ftr>
</file>

<file path=word/footer1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
      <w:spacing w:before="91" w:line="205" w:lineRule="auto"/>
      <w:rPr>
        <w:rFonts w:ascii="Microsoft YaHei" w:hAnsi="Microsoft YaHei" w:eastAsia="Microsoft YaHei" w:cs="Microsoft YaHei"/>
        <w:sz w:val="20"/>
        <w:szCs w:val="20"/>
      </w:rPr>
    </w:pPr>
    <w:r>
      <w:drawing>
        <wp:anchor distT="0" distB="0" distL="0" distR="0" simplePos="0" relativeHeight="251766784"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404" name="IM 404"/>
          <wp:cNvGraphicFramePr/>
          <a:graphic>
            <a:graphicData uri="http://schemas.openxmlformats.org/drawingml/2006/picture">
              <pic:pic>
                <pic:nvPicPr>
                  <pic:cNvPr id="404" name="IM 40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106//2021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6"/>
      <w:spacing w:before="94" w:line="205" w:lineRule="auto"/>
      <w:rPr>
        <w:rFonts w:ascii="Microsoft YaHei" w:hAnsi="Microsoft YaHei" w:eastAsia="Microsoft YaHei" w:cs="Microsoft YaHei"/>
        <w:sz w:val="20"/>
        <w:szCs w:val="20"/>
      </w:rPr>
    </w:pPr>
    <w:r>
      <w:drawing>
        <wp:anchor distT="0" distB="0" distL="0" distR="0" simplePos="0" relativeHeight="251767808"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408" name="IM 408"/>
          <wp:cNvGraphicFramePr/>
          <a:graphic>
            <a:graphicData uri="http://schemas.openxmlformats.org/drawingml/2006/picture">
              <pic:pic>
                <pic:nvPicPr>
                  <pic:cNvPr id="408" name="IM 40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期//107</w:t>
    </w:r>
  </w:p>
</w:ftr>
</file>

<file path=word/footer1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
      <w:spacing w:before="91" w:line="205" w:lineRule="auto"/>
      <w:rPr>
        <w:rFonts w:ascii="Microsoft YaHei" w:hAnsi="Microsoft YaHei" w:eastAsia="Microsoft YaHei" w:cs="Microsoft YaHei"/>
        <w:sz w:val="20"/>
        <w:szCs w:val="20"/>
      </w:rPr>
    </w:pPr>
    <w:r>
      <w:drawing>
        <wp:anchor distT="0" distB="0" distL="0" distR="0" simplePos="0" relativeHeight="251768832"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412" name="IM 412"/>
          <wp:cNvGraphicFramePr/>
          <a:graphic>
            <a:graphicData uri="http://schemas.openxmlformats.org/drawingml/2006/picture">
              <pic:pic>
                <pic:nvPicPr>
                  <pic:cNvPr id="412" name="IM 41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108//2021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2"/>
      <w:spacing w:before="90" w:line="205" w:lineRule="auto"/>
      <w:rPr>
        <w:rFonts w:ascii="Microsoft YaHei" w:hAnsi="Microsoft YaHei" w:eastAsia="Microsoft YaHei" w:cs="Microsoft YaHei"/>
        <w:sz w:val="20"/>
        <w:szCs w:val="20"/>
      </w:rPr>
    </w:pPr>
    <w:r>
      <w:drawing>
        <wp:anchor distT="0" distB="0" distL="0" distR="0" simplePos="0" relativeHeight="251668480" behindDoc="0" locked="0" layoutInCell="0" allowOverlap="1">
          <wp:simplePos x="0" y="0"/>
          <wp:positionH relativeFrom="page">
            <wp:posOffset>990600</wp:posOffset>
          </wp:positionH>
          <wp:positionV relativeFrom="page">
            <wp:posOffset>9630409</wp:posOffset>
          </wp:positionV>
          <wp:extent cx="5579744" cy="7619"/>
          <wp:effectExtent l="0" t="0" r="0" b="0"/>
          <wp:wrapNone/>
          <wp:docPr id="42" name="IM 42"/>
          <wp:cNvGraphicFramePr/>
          <a:graphic>
            <a:graphicData uri="http://schemas.openxmlformats.org/drawingml/2006/picture">
              <pic:pic>
                <pic:nvPicPr>
                  <pic:cNvPr id="42" name="IM 4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12//2021 年第</w:t>
    </w:r>
    <w:r>
      <w:rPr>
        <w:rFonts w:ascii="Microsoft YaHei" w:hAnsi="Microsoft YaHei" w:eastAsia="Microsoft YaHei" w:cs="Microsoft YaHei"/>
        <w:sz w:val="20"/>
        <w:szCs w:val="20"/>
        <w:spacing w:val="23"/>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1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6"/>
      <w:spacing w:before="94" w:line="205" w:lineRule="auto"/>
      <w:rPr>
        <w:rFonts w:ascii="Microsoft YaHei" w:hAnsi="Microsoft YaHei" w:eastAsia="Microsoft YaHei" w:cs="Microsoft YaHei"/>
        <w:sz w:val="20"/>
        <w:szCs w:val="20"/>
      </w:rPr>
    </w:pPr>
    <w:r>
      <w:drawing>
        <wp:anchor distT="0" distB="0" distL="0" distR="0" simplePos="0" relativeHeight="251769856"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416" name="IM 416"/>
          <wp:cNvGraphicFramePr/>
          <a:graphic>
            <a:graphicData uri="http://schemas.openxmlformats.org/drawingml/2006/picture">
              <pic:pic>
                <pic:nvPicPr>
                  <pic:cNvPr id="416" name="IM 41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期//109</w:t>
    </w:r>
  </w:p>
</w:ftr>
</file>

<file path=word/footer1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
      <w:spacing w:before="91" w:line="205" w:lineRule="auto"/>
      <w:rPr>
        <w:rFonts w:ascii="Microsoft YaHei" w:hAnsi="Microsoft YaHei" w:eastAsia="Microsoft YaHei" w:cs="Microsoft YaHei"/>
        <w:sz w:val="20"/>
        <w:szCs w:val="20"/>
      </w:rPr>
    </w:pPr>
    <w:r>
      <w:drawing>
        <wp:anchor distT="0" distB="0" distL="0" distR="0" simplePos="0" relativeHeight="251770880"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422" name="IM 422"/>
          <wp:cNvGraphicFramePr/>
          <a:graphic>
            <a:graphicData uri="http://schemas.openxmlformats.org/drawingml/2006/picture">
              <pic:pic>
                <pic:nvPicPr>
                  <pic:cNvPr id="422" name="IM 42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110//2021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6"/>
      <w:spacing w:before="94" w:line="205" w:lineRule="auto"/>
      <w:rPr>
        <w:rFonts w:ascii="Microsoft YaHei" w:hAnsi="Microsoft YaHei" w:eastAsia="Microsoft YaHei" w:cs="Microsoft YaHei"/>
        <w:sz w:val="20"/>
        <w:szCs w:val="20"/>
      </w:rPr>
    </w:pPr>
    <w:r>
      <w:drawing>
        <wp:anchor distT="0" distB="0" distL="0" distR="0" simplePos="0" relativeHeight="251771904"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426" name="IM 426"/>
          <wp:cNvGraphicFramePr/>
          <a:graphic>
            <a:graphicData uri="http://schemas.openxmlformats.org/drawingml/2006/picture">
              <pic:pic>
                <pic:nvPicPr>
                  <pic:cNvPr id="426" name="IM 42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期//111</w:t>
    </w:r>
  </w:p>
</w:ftr>
</file>

<file path=word/footer1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0"/>
      <w:spacing w:before="91" w:line="205" w:lineRule="auto"/>
      <w:rPr>
        <w:rFonts w:ascii="Microsoft YaHei" w:hAnsi="Microsoft YaHei" w:eastAsia="Microsoft YaHei" w:cs="Microsoft YaHei"/>
        <w:sz w:val="20"/>
        <w:szCs w:val="20"/>
      </w:rPr>
    </w:pPr>
    <w:r>
      <w:drawing>
        <wp:anchor distT="0" distB="0" distL="0" distR="0" simplePos="0" relativeHeight="251772928"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432" name="IM 432"/>
          <wp:cNvGraphicFramePr/>
          <a:graphic>
            <a:graphicData uri="http://schemas.openxmlformats.org/drawingml/2006/picture">
              <pic:pic>
                <pic:nvPicPr>
                  <pic:cNvPr id="432" name="IM 43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112//2021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6"/>
      <w:spacing w:before="94" w:line="205" w:lineRule="auto"/>
      <w:rPr>
        <w:rFonts w:ascii="Microsoft YaHei" w:hAnsi="Microsoft YaHei" w:eastAsia="Microsoft YaHei" w:cs="Microsoft YaHei"/>
        <w:sz w:val="20"/>
        <w:szCs w:val="20"/>
      </w:rPr>
    </w:pPr>
    <w:r>
      <w:drawing>
        <wp:anchor distT="0" distB="0" distL="0" distR="0" simplePos="0" relativeHeight="251773952"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436" name="IM 436"/>
          <wp:cNvGraphicFramePr/>
          <a:graphic>
            <a:graphicData uri="http://schemas.openxmlformats.org/drawingml/2006/picture">
              <pic:pic>
                <pic:nvPicPr>
                  <pic:cNvPr id="436" name="IM 43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期//113</w:t>
    </w:r>
  </w:p>
</w:ftr>
</file>

<file path=word/footer1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
      <w:spacing w:before="91" w:line="205" w:lineRule="auto"/>
      <w:rPr>
        <w:rFonts w:ascii="Microsoft YaHei" w:hAnsi="Microsoft YaHei" w:eastAsia="Microsoft YaHei" w:cs="Microsoft YaHei"/>
        <w:sz w:val="20"/>
        <w:szCs w:val="20"/>
      </w:rPr>
    </w:pPr>
    <w:r>
      <w:drawing>
        <wp:anchor distT="0" distB="0" distL="0" distR="0" simplePos="0" relativeHeight="251774976"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440" name="IM 440"/>
          <wp:cNvGraphicFramePr/>
          <a:graphic>
            <a:graphicData uri="http://schemas.openxmlformats.org/drawingml/2006/picture">
              <pic:pic>
                <pic:nvPicPr>
                  <pic:cNvPr id="440" name="IM 44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114//2021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10"/>
      <w:spacing w:before="94" w:line="205" w:lineRule="auto"/>
      <w:rPr>
        <w:rFonts w:ascii="Microsoft YaHei" w:hAnsi="Microsoft YaHei" w:eastAsia="Microsoft YaHei" w:cs="Microsoft YaHei"/>
        <w:sz w:val="20"/>
        <w:szCs w:val="20"/>
      </w:rPr>
    </w:pPr>
    <w:r>
      <w:drawing>
        <wp:anchor distT="0" distB="0" distL="0" distR="0" simplePos="0" relativeHeight="251776000"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446" name="IM 446"/>
          <wp:cNvGraphicFramePr/>
          <a:graphic>
            <a:graphicData uri="http://schemas.openxmlformats.org/drawingml/2006/picture">
              <pic:pic>
                <pic:nvPicPr>
                  <pic:cNvPr id="446" name="IM 44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期//115</w:t>
    </w:r>
  </w:p>
</w:ftr>
</file>

<file path=word/footer1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
      <w:spacing w:before="91" w:line="205" w:lineRule="auto"/>
      <w:rPr>
        <w:rFonts w:ascii="Microsoft YaHei" w:hAnsi="Microsoft YaHei" w:eastAsia="Microsoft YaHei" w:cs="Microsoft YaHei"/>
        <w:sz w:val="20"/>
        <w:szCs w:val="20"/>
      </w:rPr>
    </w:pPr>
    <w:r>
      <w:drawing>
        <wp:anchor distT="0" distB="0" distL="0" distR="0" simplePos="0" relativeHeight="251777024"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450" name="IM 450"/>
          <wp:cNvGraphicFramePr/>
          <a:graphic>
            <a:graphicData uri="http://schemas.openxmlformats.org/drawingml/2006/picture">
              <pic:pic>
                <pic:nvPicPr>
                  <pic:cNvPr id="450" name="IM 45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116//2021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14"/>
      <w:spacing w:before="94" w:line="205" w:lineRule="auto"/>
      <w:rPr>
        <w:rFonts w:ascii="Microsoft YaHei" w:hAnsi="Microsoft YaHei" w:eastAsia="Microsoft YaHei" w:cs="Microsoft YaHei"/>
        <w:sz w:val="20"/>
        <w:szCs w:val="20"/>
      </w:rPr>
    </w:pPr>
    <w:r>
      <w:drawing>
        <wp:anchor distT="0" distB="0" distL="0" distR="0" simplePos="0" relativeHeight="251778048"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454" name="IM 454"/>
          <wp:cNvGraphicFramePr/>
          <a:graphic>
            <a:graphicData uri="http://schemas.openxmlformats.org/drawingml/2006/picture">
              <pic:pic>
                <pic:nvPicPr>
                  <pic:cNvPr id="454" name="IM 45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期//117</w:t>
    </w:r>
  </w:p>
</w:ftr>
</file>

<file path=word/footer1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
      <w:spacing w:before="91" w:line="205" w:lineRule="auto"/>
      <w:rPr>
        <w:rFonts w:ascii="Microsoft YaHei" w:hAnsi="Microsoft YaHei" w:eastAsia="Microsoft YaHei" w:cs="Microsoft YaHei"/>
        <w:sz w:val="20"/>
        <w:szCs w:val="20"/>
      </w:rPr>
    </w:pPr>
    <w:r>
      <w:drawing>
        <wp:anchor distT="0" distB="0" distL="0" distR="0" simplePos="0" relativeHeight="251779072"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458" name="IM 458"/>
          <wp:cNvGraphicFramePr/>
          <a:graphic>
            <a:graphicData uri="http://schemas.openxmlformats.org/drawingml/2006/picture">
              <pic:pic>
                <pic:nvPicPr>
                  <pic:cNvPr id="458" name="IM 45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118//2021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73"/>
      <w:spacing w:before="66" w:line="206" w:lineRule="auto"/>
      <w:rPr>
        <w:rFonts w:ascii="Microsoft YaHei" w:hAnsi="Microsoft YaHei" w:eastAsia="Microsoft YaHei" w:cs="Microsoft YaHei"/>
        <w:sz w:val="20"/>
        <w:szCs w:val="20"/>
      </w:rPr>
    </w:pPr>
    <w:r>
      <w:drawing>
        <wp:anchor distT="0" distB="0" distL="0" distR="0" simplePos="0" relativeHeight="251669504" behindDoc="0" locked="0" layoutInCell="0" allowOverlap="1">
          <wp:simplePos x="0" y="0"/>
          <wp:positionH relativeFrom="page">
            <wp:posOffset>985519</wp:posOffset>
          </wp:positionH>
          <wp:positionV relativeFrom="page">
            <wp:posOffset>9638665</wp:posOffset>
          </wp:positionV>
          <wp:extent cx="5579744" cy="7619"/>
          <wp:effectExtent l="0" t="0" r="0" b="0"/>
          <wp:wrapNone/>
          <wp:docPr id="46" name="IM 46"/>
          <wp:cNvGraphicFramePr/>
          <a:graphic>
            <a:graphicData uri="http://schemas.openxmlformats.org/drawingml/2006/picture">
              <pic:pic>
                <pic:nvPicPr>
                  <pic:cNvPr id="46" name="IM 4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8"/>
      </w:rPr>
      <w:t>2021 年第</w:t>
    </w:r>
    <w:r>
      <w:rPr>
        <w:rFonts w:ascii="Microsoft YaHei" w:hAnsi="Microsoft YaHei" w:eastAsia="Microsoft YaHei" w:cs="Microsoft YaHei"/>
        <w:sz w:val="20"/>
        <w:szCs w:val="20"/>
        <w:spacing w:val="33"/>
        <w:w w:val="101"/>
      </w:rPr>
      <w:t xml:space="preserve"> </w:t>
    </w:r>
    <w:r>
      <w:rPr>
        <w:rFonts w:ascii="Microsoft YaHei" w:hAnsi="Microsoft YaHei" w:eastAsia="Microsoft YaHei" w:cs="Microsoft YaHei"/>
        <w:sz w:val="20"/>
        <w:szCs w:val="20"/>
        <w:spacing w:val="-8"/>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8"/>
      </w:rPr>
      <w:t>期总</w:t>
    </w:r>
    <w:r>
      <w:rPr>
        <w:rFonts w:ascii="Microsoft YaHei" w:hAnsi="Microsoft YaHei" w:eastAsia="Microsoft YaHei" w:cs="Microsoft YaHei"/>
        <w:sz w:val="20"/>
        <w:szCs w:val="20"/>
        <w:spacing w:val="7"/>
      </w:rPr>
      <w:t xml:space="preserve"> </w:t>
    </w:r>
    <w:r>
      <w:rPr>
        <w:rFonts w:ascii="Microsoft YaHei" w:hAnsi="Microsoft YaHei" w:eastAsia="Microsoft YaHei" w:cs="Microsoft YaHei"/>
        <w:sz w:val="20"/>
        <w:szCs w:val="20"/>
        <w:spacing w:val="-8"/>
      </w:rPr>
      <w:t>21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8"/>
      </w:rPr>
      <w:t>期//</w:t>
    </w:r>
    <w:r>
      <w:rPr>
        <w:rFonts w:ascii="Microsoft YaHei" w:hAnsi="Microsoft YaHei" w:eastAsia="Microsoft YaHei" w:cs="Microsoft YaHei"/>
        <w:sz w:val="20"/>
        <w:szCs w:val="20"/>
        <w:spacing w:val="20"/>
        <w:w w:val="101"/>
      </w:rPr>
      <w:t xml:space="preserve"> </w:t>
    </w:r>
    <w:r>
      <w:rPr>
        <w:rFonts w:ascii="Microsoft YaHei" w:hAnsi="Microsoft YaHei" w:eastAsia="Microsoft YaHei" w:cs="Microsoft YaHei"/>
        <w:sz w:val="20"/>
        <w:szCs w:val="20"/>
        <w:spacing w:val="-8"/>
      </w:rPr>
      <w:t>13</w:t>
    </w:r>
  </w:p>
</w:ftr>
</file>

<file path=word/footer1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14"/>
      <w:spacing w:before="94" w:line="205" w:lineRule="auto"/>
      <w:rPr>
        <w:rFonts w:ascii="Microsoft YaHei" w:hAnsi="Microsoft YaHei" w:eastAsia="Microsoft YaHei" w:cs="Microsoft YaHei"/>
        <w:sz w:val="20"/>
        <w:szCs w:val="20"/>
      </w:rPr>
    </w:pPr>
    <w:r>
      <w:drawing>
        <wp:anchor distT="0" distB="0" distL="0" distR="0" simplePos="0" relativeHeight="251780096"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464" name="IM 464"/>
          <wp:cNvGraphicFramePr/>
          <a:graphic>
            <a:graphicData uri="http://schemas.openxmlformats.org/drawingml/2006/picture">
              <pic:pic>
                <pic:nvPicPr>
                  <pic:cNvPr id="464" name="IM 46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期//119</w:t>
    </w:r>
  </w:p>
</w:ftr>
</file>

<file path=word/footer1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1"/>
      <w:spacing w:before="91" w:line="205" w:lineRule="auto"/>
      <w:rPr>
        <w:rFonts w:ascii="Microsoft YaHei" w:hAnsi="Microsoft YaHei" w:eastAsia="Microsoft YaHei" w:cs="Microsoft YaHei"/>
        <w:sz w:val="20"/>
        <w:szCs w:val="20"/>
      </w:rPr>
    </w:pPr>
    <w:r>
      <w:drawing>
        <wp:anchor distT="0" distB="0" distL="0" distR="0" simplePos="0" relativeHeight="251781120"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470" name="IM 470"/>
          <wp:cNvGraphicFramePr/>
          <a:graphic>
            <a:graphicData uri="http://schemas.openxmlformats.org/drawingml/2006/picture">
              <pic:pic>
                <pic:nvPicPr>
                  <pic:cNvPr id="470" name="IM 47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120//2021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6"/>
      <w:spacing w:before="94" w:line="205" w:lineRule="auto"/>
      <w:rPr>
        <w:rFonts w:ascii="Microsoft YaHei" w:hAnsi="Microsoft YaHei" w:eastAsia="Microsoft YaHei" w:cs="Microsoft YaHei"/>
        <w:sz w:val="20"/>
        <w:szCs w:val="20"/>
      </w:rPr>
    </w:pPr>
    <w:r>
      <w:drawing>
        <wp:anchor distT="0" distB="0" distL="0" distR="0" simplePos="0" relativeHeight="251782144"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476" name="IM 476"/>
          <wp:cNvGraphicFramePr/>
          <a:graphic>
            <a:graphicData uri="http://schemas.openxmlformats.org/drawingml/2006/picture">
              <pic:pic>
                <pic:nvPicPr>
                  <pic:cNvPr id="476" name="IM 47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期//121</w:t>
    </w:r>
  </w:p>
</w:ftr>
</file>

<file path=word/footer1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
      <w:spacing w:before="91" w:line="205" w:lineRule="auto"/>
      <w:rPr>
        <w:rFonts w:ascii="Microsoft YaHei" w:hAnsi="Microsoft YaHei" w:eastAsia="Microsoft YaHei" w:cs="Microsoft YaHei"/>
        <w:sz w:val="20"/>
        <w:szCs w:val="20"/>
      </w:rPr>
    </w:pPr>
    <w:r>
      <w:drawing>
        <wp:anchor distT="0" distB="0" distL="0" distR="0" simplePos="0" relativeHeight="251783168"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480" name="IM 480"/>
          <wp:cNvGraphicFramePr/>
          <a:graphic>
            <a:graphicData uri="http://schemas.openxmlformats.org/drawingml/2006/picture">
              <pic:pic>
                <pic:nvPicPr>
                  <pic:cNvPr id="480" name="IM 48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122//2021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10"/>
      <w:spacing w:before="94" w:line="205" w:lineRule="auto"/>
      <w:rPr>
        <w:rFonts w:ascii="Microsoft YaHei" w:hAnsi="Microsoft YaHei" w:eastAsia="Microsoft YaHei" w:cs="Microsoft YaHei"/>
        <w:sz w:val="20"/>
        <w:szCs w:val="20"/>
      </w:rPr>
    </w:pPr>
    <w:r>
      <w:drawing>
        <wp:anchor distT="0" distB="0" distL="0" distR="0" simplePos="0" relativeHeight="251784192"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484" name="IM 484"/>
          <wp:cNvGraphicFramePr/>
          <a:graphic>
            <a:graphicData uri="http://schemas.openxmlformats.org/drawingml/2006/picture">
              <pic:pic>
                <pic:nvPicPr>
                  <pic:cNvPr id="484" name="IM 48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期//123</w:t>
    </w:r>
  </w:p>
</w:ftr>
</file>

<file path=word/footer1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
      <w:spacing w:before="91" w:line="205" w:lineRule="auto"/>
      <w:rPr>
        <w:rFonts w:ascii="Microsoft YaHei" w:hAnsi="Microsoft YaHei" w:eastAsia="Microsoft YaHei" w:cs="Microsoft YaHei"/>
        <w:sz w:val="20"/>
        <w:szCs w:val="20"/>
      </w:rPr>
    </w:pPr>
    <w:r>
      <w:drawing>
        <wp:anchor distT="0" distB="0" distL="0" distR="0" simplePos="0" relativeHeight="251785216"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490" name="IM 490"/>
          <wp:cNvGraphicFramePr/>
          <a:graphic>
            <a:graphicData uri="http://schemas.openxmlformats.org/drawingml/2006/picture">
              <pic:pic>
                <pic:nvPicPr>
                  <pic:cNvPr id="490" name="IM 49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124//2021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14"/>
      <w:spacing w:before="94" w:line="205" w:lineRule="auto"/>
      <w:rPr>
        <w:rFonts w:ascii="Microsoft YaHei" w:hAnsi="Microsoft YaHei" w:eastAsia="Microsoft YaHei" w:cs="Microsoft YaHei"/>
        <w:sz w:val="20"/>
        <w:szCs w:val="20"/>
      </w:rPr>
    </w:pPr>
    <w:r>
      <w:drawing>
        <wp:anchor distT="0" distB="0" distL="0" distR="0" simplePos="0" relativeHeight="251786240"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496" name="IM 496"/>
          <wp:cNvGraphicFramePr/>
          <a:graphic>
            <a:graphicData uri="http://schemas.openxmlformats.org/drawingml/2006/picture">
              <pic:pic>
                <pic:nvPicPr>
                  <pic:cNvPr id="496" name="IM 49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期//125</w:t>
    </w:r>
  </w:p>
</w:ftr>
</file>

<file path=word/footer1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
      <w:spacing w:before="91" w:line="205" w:lineRule="auto"/>
      <w:rPr>
        <w:rFonts w:ascii="Microsoft YaHei" w:hAnsi="Microsoft YaHei" w:eastAsia="Microsoft YaHei" w:cs="Microsoft YaHei"/>
        <w:sz w:val="20"/>
        <w:szCs w:val="20"/>
      </w:rPr>
    </w:pPr>
    <w:r>
      <w:drawing>
        <wp:anchor distT="0" distB="0" distL="0" distR="0" simplePos="0" relativeHeight="251787264"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502" name="IM 502"/>
          <wp:cNvGraphicFramePr/>
          <a:graphic>
            <a:graphicData uri="http://schemas.openxmlformats.org/drawingml/2006/picture">
              <pic:pic>
                <pic:nvPicPr>
                  <pic:cNvPr id="502" name="IM 50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126//2021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6"/>
      <w:spacing w:before="94" w:line="205" w:lineRule="auto"/>
      <w:rPr>
        <w:rFonts w:ascii="Microsoft YaHei" w:hAnsi="Microsoft YaHei" w:eastAsia="Microsoft YaHei" w:cs="Microsoft YaHei"/>
        <w:sz w:val="20"/>
        <w:szCs w:val="20"/>
      </w:rPr>
    </w:pPr>
    <w:r>
      <w:drawing>
        <wp:anchor distT="0" distB="0" distL="0" distR="0" simplePos="0" relativeHeight="251788288"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506" name="IM 506"/>
          <wp:cNvGraphicFramePr/>
          <a:graphic>
            <a:graphicData uri="http://schemas.openxmlformats.org/drawingml/2006/picture">
              <pic:pic>
                <pic:nvPicPr>
                  <pic:cNvPr id="506" name="IM 50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期//127</w:t>
    </w:r>
  </w:p>
</w:ftr>
</file>

<file path=word/footer1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
      <w:spacing w:before="91" w:line="205" w:lineRule="auto"/>
      <w:rPr>
        <w:rFonts w:ascii="Microsoft YaHei" w:hAnsi="Microsoft YaHei" w:eastAsia="Microsoft YaHei" w:cs="Microsoft YaHei"/>
        <w:sz w:val="20"/>
        <w:szCs w:val="20"/>
      </w:rPr>
    </w:pPr>
    <w:r>
      <w:drawing>
        <wp:anchor distT="0" distB="0" distL="0" distR="0" simplePos="0" relativeHeight="251789312"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512" name="IM 512"/>
          <wp:cNvGraphicFramePr/>
          <a:graphic>
            <a:graphicData uri="http://schemas.openxmlformats.org/drawingml/2006/picture">
              <pic:pic>
                <pic:nvPicPr>
                  <pic:cNvPr id="512" name="IM 51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128//2021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
      <w:spacing w:before="91" w:line="205" w:lineRule="auto"/>
      <w:rPr>
        <w:rFonts w:ascii="Microsoft YaHei" w:hAnsi="Microsoft YaHei" w:eastAsia="Microsoft YaHei" w:cs="Microsoft YaHei"/>
        <w:sz w:val="20"/>
        <w:szCs w:val="20"/>
      </w:rPr>
    </w:pPr>
    <w:r>
      <w:drawing>
        <wp:anchor distT="0" distB="0" distL="0" distR="0" simplePos="0" relativeHeight="251670528" behindDoc="0" locked="0" layoutInCell="0" allowOverlap="1">
          <wp:simplePos x="0" y="0"/>
          <wp:positionH relativeFrom="page">
            <wp:posOffset>990600</wp:posOffset>
          </wp:positionH>
          <wp:positionV relativeFrom="page">
            <wp:posOffset>9631680</wp:posOffset>
          </wp:positionV>
          <wp:extent cx="5579744" cy="7619"/>
          <wp:effectExtent l="0" t="0" r="0" b="0"/>
          <wp:wrapNone/>
          <wp:docPr id="50" name="IM 50"/>
          <wp:cNvGraphicFramePr/>
          <a:graphic>
            <a:graphicData uri="http://schemas.openxmlformats.org/drawingml/2006/picture">
              <pic:pic>
                <pic:nvPicPr>
                  <pic:cNvPr id="50" name="IM 5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14//2021 年第</w:t>
    </w:r>
    <w:r>
      <w:rPr>
        <w:rFonts w:ascii="Microsoft YaHei" w:hAnsi="Microsoft YaHei" w:eastAsia="Microsoft YaHei" w:cs="Microsoft YaHei"/>
        <w:sz w:val="20"/>
        <w:szCs w:val="20"/>
        <w:spacing w:val="23"/>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1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10"/>
      <w:spacing w:before="94" w:line="205" w:lineRule="auto"/>
      <w:rPr>
        <w:rFonts w:ascii="Microsoft YaHei" w:hAnsi="Microsoft YaHei" w:eastAsia="Microsoft YaHei" w:cs="Microsoft YaHei"/>
        <w:sz w:val="20"/>
        <w:szCs w:val="20"/>
      </w:rPr>
    </w:pPr>
    <w:r>
      <w:drawing>
        <wp:anchor distT="0" distB="0" distL="0" distR="0" simplePos="0" relativeHeight="251790336"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516" name="IM 516"/>
          <wp:cNvGraphicFramePr/>
          <a:graphic>
            <a:graphicData uri="http://schemas.openxmlformats.org/drawingml/2006/picture">
              <pic:pic>
                <pic:nvPicPr>
                  <pic:cNvPr id="516" name="IM 51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期//129</w:t>
    </w:r>
  </w:p>
</w:ftr>
</file>

<file path=word/footer1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
      <w:spacing w:before="91" w:line="205" w:lineRule="auto"/>
      <w:rPr>
        <w:rFonts w:ascii="Microsoft YaHei" w:hAnsi="Microsoft YaHei" w:eastAsia="Microsoft YaHei" w:cs="Microsoft YaHei"/>
        <w:sz w:val="20"/>
        <w:szCs w:val="20"/>
      </w:rPr>
    </w:pPr>
    <w:r>
      <w:drawing>
        <wp:anchor distT="0" distB="0" distL="0" distR="0" simplePos="0" relativeHeight="251791360"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520" name="IM 520"/>
          <wp:cNvGraphicFramePr/>
          <a:graphic>
            <a:graphicData uri="http://schemas.openxmlformats.org/drawingml/2006/picture">
              <pic:pic>
                <pic:nvPicPr>
                  <pic:cNvPr id="520" name="IM 52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130//2021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6"/>
      <w:spacing w:before="94" w:line="205" w:lineRule="auto"/>
      <w:rPr>
        <w:rFonts w:ascii="Microsoft YaHei" w:hAnsi="Microsoft YaHei" w:eastAsia="Microsoft YaHei" w:cs="Microsoft YaHei"/>
        <w:sz w:val="20"/>
        <w:szCs w:val="20"/>
      </w:rPr>
    </w:pPr>
    <w:r>
      <w:drawing>
        <wp:anchor distT="0" distB="0" distL="0" distR="0" simplePos="0" relativeHeight="251792384"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524" name="IM 524"/>
          <wp:cNvGraphicFramePr/>
          <a:graphic>
            <a:graphicData uri="http://schemas.openxmlformats.org/drawingml/2006/picture">
              <pic:pic>
                <pic:nvPicPr>
                  <pic:cNvPr id="524" name="IM 52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期//131</w:t>
    </w:r>
  </w:p>
</w:ftr>
</file>

<file path=word/footer1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
      <w:spacing w:before="91" w:line="205" w:lineRule="auto"/>
      <w:rPr>
        <w:rFonts w:ascii="Microsoft YaHei" w:hAnsi="Microsoft YaHei" w:eastAsia="Microsoft YaHei" w:cs="Microsoft YaHei"/>
        <w:sz w:val="20"/>
        <w:szCs w:val="20"/>
      </w:rPr>
    </w:pPr>
    <w:r>
      <w:drawing>
        <wp:anchor distT="0" distB="0" distL="0" distR="0" simplePos="0" relativeHeight="251793408"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528" name="IM 528"/>
          <wp:cNvGraphicFramePr/>
          <a:graphic>
            <a:graphicData uri="http://schemas.openxmlformats.org/drawingml/2006/picture">
              <pic:pic>
                <pic:nvPicPr>
                  <pic:cNvPr id="528" name="IM 52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132//2021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6"/>
      <w:spacing w:before="94" w:line="205" w:lineRule="auto"/>
      <w:rPr>
        <w:rFonts w:ascii="Microsoft YaHei" w:hAnsi="Microsoft YaHei" w:eastAsia="Microsoft YaHei" w:cs="Microsoft YaHei"/>
        <w:sz w:val="20"/>
        <w:szCs w:val="20"/>
      </w:rPr>
    </w:pPr>
    <w:r>
      <w:drawing>
        <wp:anchor distT="0" distB="0" distL="0" distR="0" simplePos="0" relativeHeight="251794432"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532" name="IM 532"/>
          <wp:cNvGraphicFramePr/>
          <a:graphic>
            <a:graphicData uri="http://schemas.openxmlformats.org/drawingml/2006/picture">
              <pic:pic>
                <pic:nvPicPr>
                  <pic:cNvPr id="532" name="IM 53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期//133</w:t>
    </w:r>
  </w:p>
</w:ftr>
</file>

<file path=word/footer1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
      <w:spacing w:before="91" w:line="205" w:lineRule="auto"/>
      <w:rPr>
        <w:rFonts w:ascii="Microsoft YaHei" w:hAnsi="Microsoft YaHei" w:eastAsia="Microsoft YaHei" w:cs="Microsoft YaHei"/>
        <w:sz w:val="20"/>
        <w:szCs w:val="20"/>
      </w:rPr>
    </w:pPr>
    <w:r>
      <w:drawing>
        <wp:anchor distT="0" distB="0" distL="0" distR="0" simplePos="0" relativeHeight="251795456"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536" name="IM 536"/>
          <wp:cNvGraphicFramePr/>
          <a:graphic>
            <a:graphicData uri="http://schemas.openxmlformats.org/drawingml/2006/picture">
              <pic:pic>
                <pic:nvPicPr>
                  <pic:cNvPr id="536" name="IM 53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134//2021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6"/>
      <w:spacing w:before="94" w:line="205" w:lineRule="auto"/>
      <w:rPr>
        <w:rFonts w:ascii="Microsoft YaHei" w:hAnsi="Microsoft YaHei" w:eastAsia="Microsoft YaHei" w:cs="Microsoft YaHei"/>
        <w:sz w:val="20"/>
        <w:szCs w:val="20"/>
      </w:rPr>
    </w:pPr>
    <w:r>
      <w:drawing>
        <wp:anchor distT="0" distB="0" distL="0" distR="0" simplePos="0" relativeHeight="251796480"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540" name="IM 540"/>
          <wp:cNvGraphicFramePr/>
          <a:graphic>
            <a:graphicData uri="http://schemas.openxmlformats.org/drawingml/2006/picture">
              <pic:pic>
                <pic:nvPicPr>
                  <pic:cNvPr id="540" name="IM 54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期//135</w:t>
    </w:r>
  </w:p>
</w:ftr>
</file>

<file path=word/footer1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
      <w:spacing w:before="91" w:line="205" w:lineRule="auto"/>
      <w:rPr>
        <w:rFonts w:ascii="Microsoft YaHei" w:hAnsi="Microsoft YaHei" w:eastAsia="Microsoft YaHei" w:cs="Microsoft YaHei"/>
        <w:sz w:val="20"/>
        <w:szCs w:val="20"/>
      </w:rPr>
    </w:pPr>
    <w:r>
      <w:drawing>
        <wp:anchor distT="0" distB="0" distL="0" distR="0" simplePos="0" relativeHeight="251797504"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544" name="IM 544"/>
          <wp:cNvGraphicFramePr/>
          <a:graphic>
            <a:graphicData uri="http://schemas.openxmlformats.org/drawingml/2006/picture">
              <pic:pic>
                <pic:nvPicPr>
                  <pic:cNvPr id="544" name="IM 54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136//2021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6"/>
      <w:spacing w:before="94" w:line="205" w:lineRule="auto"/>
      <w:rPr>
        <w:rFonts w:ascii="Microsoft YaHei" w:hAnsi="Microsoft YaHei" w:eastAsia="Microsoft YaHei" w:cs="Microsoft YaHei"/>
        <w:sz w:val="20"/>
        <w:szCs w:val="20"/>
      </w:rPr>
    </w:pPr>
    <w:r>
      <w:drawing>
        <wp:anchor distT="0" distB="0" distL="0" distR="0" simplePos="0" relativeHeight="251798528"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550" name="IM 550"/>
          <wp:cNvGraphicFramePr/>
          <a:graphic>
            <a:graphicData uri="http://schemas.openxmlformats.org/drawingml/2006/picture">
              <pic:pic>
                <pic:nvPicPr>
                  <pic:cNvPr id="550" name="IM 55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期//137</w:t>
    </w:r>
  </w:p>
</w:ftr>
</file>

<file path=word/footer1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
      <w:spacing w:before="91" w:line="205" w:lineRule="auto"/>
      <w:rPr>
        <w:rFonts w:ascii="Microsoft YaHei" w:hAnsi="Microsoft YaHei" w:eastAsia="Microsoft YaHei" w:cs="Microsoft YaHei"/>
        <w:sz w:val="20"/>
        <w:szCs w:val="20"/>
      </w:rPr>
    </w:pPr>
    <w:r>
      <w:drawing>
        <wp:anchor distT="0" distB="0" distL="0" distR="0" simplePos="0" relativeHeight="251799552"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554" name="IM 554"/>
          <wp:cNvGraphicFramePr/>
          <a:graphic>
            <a:graphicData uri="http://schemas.openxmlformats.org/drawingml/2006/picture">
              <pic:pic>
                <pic:nvPicPr>
                  <pic:cNvPr id="554" name="IM 55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138//2021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73"/>
      <w:spacing w:before="66" w:line="206" w:lineRule="auto"/>
      <w:rPr>
        <w:rFonts w:ascii="Microsoft YaHei" w:hAnsi="Microsoft YaHei" w:eastAsia="Microsoft YaHei" w:cs="Microsoft YaHei"/>
        <w:sz w:val="20"/>
        <w:szCs w:val="20"/>
      </w:rPr>
    </w:pPr>
    <w:r>
      <w:drawing>
        <wp:anchor distT="0" distB="0" distL="0" distR="0" simplePos="0" relativeHeight="251671552" behindDoc="0" locked="0" layoutInCell="0" allowOverlap="1">
          <wp:simplePos x="0" y="0"/>
          <wp:positionH relativeFrom="page">
            <wp:posOffset>985519</wp:posOffset>
          </wp:positionH>
          <wp:positionV relativeFrom="page">
            <wp:posOffset>9638665</wp:posOffset>
          </wp:positionV>
          <wp:extent cx="5579744" cy="7619"/>
          <wp:effectExtent l="0" t="0" r="0" b="0"/>
          <wp:wrapNone/>
          <wp:docPr id="52" name="IM 52"/>
          <wp:cNvGraphicFramePr/>
          <a:graphic>
            <a:graphicData uri="http://schemas.openxmlformats.org/drawingml/2006/picture">
              <pic:pic>
                <pic:nvPicPr>
                  <pic:cNvPr id="52" name="IM 5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8"/>
      </w:rPr>
      <w:t>2021 年第</w:t>
    </w:r>
    <w:r>
      <w:rPr>
        <w:rFonts w:ascii="Microsoft YaHei" w:hAnsi="Microsoft YaHei" w:eastAsia="Microsoft YaHei" w:cs="Microsoft YaHei"/>
        <w:sz w:val="20"/>
        <w:szCs w:val="20"/>
        <w:spacing w:val="33"/>
        <w:w w:val="101"/>
      </w:rPr>
      <w:t xml:space="preserve"> </w:t>
    </w:r>
    <w:r>
      <w:rPr>
        <w:rFonts w:ascii="Microsoft YaHei" w:hAnsi="Microsoft YaHei" w:eastAsia="Microsoft YaHei" w:cs="Microsoft YaHei"/>
        <w:sz w:val="20"/>
        <w:szCs w:val="20"/>
        <w:spacing w:val="-8"/>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8"/>
      </w:rPr>
      <w:t>期总</w:t>
    </w:r>
    <w:r>
      <w:rPr>
        <w:rFonts w:ascii="Microsoft YaHei" w:hAnsi="Microsoft YaHei" w:eastAsia="Microsoft YaHei" w:cs="Microsoft YaHei"/>
        <w:sz w:val="20"/>
        <w:szCs w:val="20"/>
        <w:spacing w:val="7"/>
      </w:rPr>
      <w:t xml:space="preserve"> </w:t>
    </w:r>
    <w:r>
      <w:rPr>
        <w:rFonts w:ascii="Microsoft YaHei" w:hAnsi="Microsoft YaHei" w:eastAsia="Microsoft YaHei" w:cs="Microsoft YaHei"/>
        <w:sz w:val="20"/>
        <w:szCs w:val="20"/>
        <w:spacing w:val="-8"/>
      </w:rPr>
      <w:t>21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8"/>
      </w:rPr>
      <w:t>期//</w:t>
    </w:r>
    <w:r>
      <w:rPr>
        <w:rFonts w:ascii="Microsoft YaHei" w:hAnsi="Microsoft YaHei" w:eastAsia="Microsoft YaHei" w:cs="Microsoft YaHei"/>
        <w:sz w:val="20"/>
        <w:szCs w:val="20"/>
        <w:spacing w:val="20"/>
        <w:w w:val="101"/>
      </w:rPr>
      <w:t xml:space="preserve"> </w:t>
    </w:r>
    <w:r>
      <w:rPr>
        <w:rFonts w:ascii="Microsoft YaHei" w:hAnsi="Microsoft YaHei" w:eastAsia="Microsoft YaHei" w:cs="Microsoft YaHei"/>
        <w:sz w:val="20"/>
        <w:szCs w:val="20"/>
        <w:spacing w:val="-8"/>
      </w:rPr>
      <w:t>15</w:t>
    </w:r>
  </w:p>
</w:ftr>
</file>

<file path=word/footer1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83"/>
      <w:spacing w:before="94" w:line="205" w:lineRule="auto"/>
      <w:rPr>
        <w:rFonts w:ascii="Microsoft YaHei" w:hAnsi="Microsoft YaHei" w:eastAsia="Microsoft YaHei" w:cs="Microsoft YaHei"/>
        <w:sz w:val="20"/>
        <w:szCs w:val="20"/>
      </w:rPr>
    </w:pPr>
    <w:r>
      <w:drawing>
        <wp:anchor distT="0" distB="0" distL="0" distR="0" simplePos="0" relativeHeight="251800576"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560" name="IM 560"/>
          <wp:cNvGraphicFramePr/>
          <a:graphic>
            <a:graphicData uri="http://schemas.openxmlformats.org/drawingml/2006/picture">
              <pic:pic>
                <pic:nvPicPr>
                  <pic:cNvPr id="560" name="IM 56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期//139</w:t>
    </w:r>
  </w:p>
</w:ftr>
</file>

<file path=word/footer1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
      <w:spacing w:before="91" w:line="205" w:lineRule="auto"/>
      <w:rPr>
        <w:rFonts w:ascii="Microsoft YaHei" w:hAnsi="Microsoft YaHei" w:eastAsia="Microsoft YaHei" w:cs="Microsoft YaHei"/>
        <w:sz w:val="20"/>
        <w:szCs w:val="20"/>
      </w:rPr>
    </w:pPr>
    <w:r>
      <w:drawing>
        <wp:anchor distT="0" distB="0" distL="0" distR="0" simplePos="0" relativeHeight="251801600"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564" name="IM 564"/>
          <wp:cNvGraphicFramePr/>
          <a:graphic>
            <a:graphicData uri="http://schemas.openxmlformats.org/drawingml/2006/picture">
              <pic:pic>
                <pic:nvPicPr>
                  <pic:cNvPr id="564" name="IM 56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140//2021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10"/>
      <w:spacing w:before="94" w:line="205" w:lineRule="auto"/>
      <w:rPr>
        <w:rFonts w:ascii="Microsoft YaHei" w:hAnsi="Microsoft YaHei" w:eastAsia="Microsoft YaHei" w:cs="Microsoft YaHei"/>
        <w:sz w:val="20"/>
        <w:szCs w:val="20"/>
      </w:rPr>
    </w:pPr>
    <w:r>
      <w:drawing>
        <wp:anchor distT="0" distB="0" distL="0" distR="0" simplePos="0" relativeHeight="251802624"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568" name="IM 568"/>
          <wp:cNvGraphicFramePr/>
          <a:graphic>
            <a:graphicData uri="http://schemas.openxmlformats.org/drawingml/2006/picture">
              <pic:pic>
                <pic:nvPicPr>
                  <pic:cNvPr id="568" name="IM 56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期//141</w:t>
    </w:r>
  </w:p>
</w:ftr>
</file>

<file path=word/footer1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
      <w:spacing w:before="91" w:line="205" w:lineRule="auto"/>
      <w:rPr>
        <w:rFonts w:ascii="Microsoft YaHei" w:hAnsi="Microsoft YaHei" w:eastAsia="Microsoft YaHei" w:cs="Microsoft YaHei"/>
        <w:sz w:val="20"/>
        <w:szCs w:val="20"/>
      </w:rPr>
    </w:pPr>
    <w:r>
      <w:drawing>
        <wp:anchor distT="0" distB="0" distL="0" distR="0" simplePos="0" relativeHeight="251803648"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572" name="IM 572"/>
          <wp:cNvGraphicFramePr/>
          <a:graphic>
            <a:graphicData uri="http://schemas.openxmlformats.org/drawingml/2006/picture">
              <pic:pic>
                <pic:nvPicPr>
                  <pic:cNvPr id="572" name="IM 57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142//2021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6"/>
      <w:spacing w:before="94" w:line="205" w:lineRule="auto"/>
      <w:rPr>
        <w:rFonts w:ascii="Microsoft YaHei" w:hAnsi="Microsoft YaHei" w:eastAsia="Microsoft YaHei" w:cs="Microsoft YaHei"/>
        <w:sz w:val="20"/>
        <w:szCs w:val="20"/>
      </w:rPr>
    </w:pPr>
    <w:r>
      <w:drawing>
        <wp:anchor distT="0" distB="0" distL="0" distR="0" simplePos="0" relativeHeight="251804672"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578" name="IM 578"/>
          <wp:cNvGraphicFramePr/>
          <a:graphic>
            <a:graphicData uri="http://schemas.openxmlformats.org/drawingml/2006/picture">
              <pic:pic>
                <pic:nvPicPr>
                  <pic:cNvPr id="578" name="IM 57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期//143</w:t>
    </w:r>
  </w:p>
</w:ftr>
</file>

<file path=word/footer1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
      <w:spacing w:before="91" w:line="205" w:lineRule="auto"/>
      <w:rPr>
        <w:rFonts w:ascii="Microsoft YaHei" w:hAnsi="Microsoft YaHei" w:eastAsia="Microsoft YaHei" w:cs="Microsoft YaHei"/>
        <w:sz w:val="20"/>
        <w:szCs w:val="20"/>
      </w:rPr>
    </w:pPr>
    <w:r>
      <w:drawing>
        <wp:anchor distT="0" distB="0" distL="0" distR="0" simplePos="0" relativeHeight="251805696"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582" name="IM 582"/>
          <wp:cNvGraphicFramePr/>
          <a:graphic>
            <a:graphicData uri="http://schemas.openxmlformats.org/drawingml/2006/picture">
              <pic:pic>
                <pic:nvPicPr>
                  <pic:cNvPr id="582" name="IM 58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144//2021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10"/>
      <w:spacing w:before="94" w:line="205" w:lineRule="auto"/>
      <w:rPr>
        <w:rFonts w:ascii="Microsoft YaHei" w:hAnsi="Microsoft YaHei" w:eastAsia="Microsoft YaHei" w:cs="Microsoft YaHei"/>
        <w:sz w:val="20"/>
        <w:szCs w:val="20"/>
      </w:rPr>
    </w:pPr>
    <w:r>
      <w:drawing>
        <wp:anchor distT="0" distB="0" distL="0" distR="0" simplePos="0" relativeHeight="251806720"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586" name="IM 586"/>
          <wp:cNvGraphicFramePr/>
          <a:graphic>
            <a:graphicData uri="http://schemas.openxmlformats.org/drawingml/2006/picture">
              <pic:pic>
                <pic:nvPicPr>
                  <pic:cNvPr id="586" name="IM 58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期//145</w:t>
    </w:r>
  </w:p>
</w:ftr>
</file>

<file path=word/footer1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
      <w:spacing w:before="91" w:line="205" w:lineRule="auto"/>
      <w:rPr>
        <w:rFonts w:ascii="Microsoft YaHei" w:hAnsi="Microsoft YaHei" w:eastAsia="Microsoft YaHei" w:cs="Microsoft YaHei"/>
        <w:sz w:val="20"/>
        <w:szCs w:val="20"/>
      </w:rPr>
    </w:pPr>
    <w:r>
      <w:drawing>
        <wp:anchor distT="0" distB="0" distL="0" distR="0" simplePos="0" relativeHeight="251807744"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592" name="IM 592"/>
          <wp:cNvGraphicFramePr/>
          <a:graphic>
            <a:graphicData uri="http://schemas.openxmlformats.org/drawingml/2006/picture">
              <pic:pic>
                <pic:nvPicPr>
                  <pic:cNvPr id="592" name="IM 59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146//2021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6"/>
      <w:spacing w:before="94" w:line="205" w:lineRule="auto"/>
      <w:rPr>
        <w:rFonts w:ascii="Microsoft YaHei" w:hAnsi="Microsoft YaHei" w:eastAsia="Microsoft YaHei" w:cs="Microsoft YaHei"/>
        <w:sz w:val="20"/>
        <w:szCs w:val="20"/>
      </w:rPr>
    </w:pPr>
    <w:r>
      <w:drawing>
        <wp:anchor distT="0" distB="0" distL="0" distR="0" simplePos="0" relativeHeight="251808768"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598" name="IM 598"/>
          <wp:cNvGraphicFramePr/>
          <a:graphic>
            <a:graphicData uri="http://schemas.openxmlformats.org/drawingml/2006/picture">
              <pic:pic>
                <pic:nvPicPr>
                  <pic:cNvPr id="598" name="IM 59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期//147</w:t>
    </w:r>
  </w:p>
</w:ftr>
</file>

<file path=word/footer1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
      <w:spacing w:before="91" w:line="205" w:lineRule="auto"/>
      <w:rPr>
        <w:rFonts w:ascii="Microsoft YaHei" w:hAnsi="Microsoft YaHei" w:eastAsia="Microsoft YaHei" w:cs="Microsoft YaHei"/>
        <w:sz w:val="20"/>
        <w:szCs w:val="20"/>
      </w:rPr>
    </w:pPr>
    <w:r>
      <w:drawing>
        <wp:anchor distT="0" distB="0" distL="0" distR="0" simplePos="0" relativeHeight="251809792"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602" name="IM 602"/>
          <wp:cNvGraphicFramePr/>
          <a:graphic>
            <a:graphicData uri="http://schemas.openxmlformats.org/drawingml/2006/picture">
              <pic:pic>
                <pic:nvPicPr>
                  <pic:cNvPr id="602" name="IM 60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148//2021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
      <w:spacing w:before="91" w:line="205" w:lineRule="auto"/>
      <w:rPr>
        <w:rFonts w:ascii="Microsoft YaHei" w:hAnsi="Microsoft YaHei" w:eastAsia="Microsoft YaHei" w:cs="Microsoft YaHei"/>
        <w:sz w:val="20"/>
        <w:szCs w:val="20"/>
      </w:rPr>
    </w:pPr>
    <w:r>
      <w:drawing>
        <wp:anchor distT="0" distB="0" distL="0" distR="0" simplePos="0" relativeHeight="251672576" behindDoc="0" locked="0" layoutInCell="0" allowOverlap="1">
          <wp:simplePos x="0" y="0"/>
          <wp:positionH relativeFrom="page">
            <wp:posOffset>990600</wp:posOffset>
          </wp:positionH>
          <wp:positionV relativeFrom="page">
            <wp:posOffset>9631680</wp:posOffset>
          </wp:positionV>
          <wp:extent cx="5579744" cy="7619"/>
          <wp:effectExtent l="0" t="0" r="0" b="0"/>
          <wp:wrapNone/>
          <wp:docPr id="54" name="IM 54"/>
          <wp:cNvGraphicFramePr/>
          <a:graphic>
            <a:graphicData uri="http://schemas.openxmlformats.org/drawingml/2006/picture">
              <pic:pic>
                <pic:nvPicPr>
                  <pic:cNvPr id="54" name="IM 5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16//2021 年第</w:t>
    </w:r>
    <w:r>
      <w:rPr>
        <w:rFonts w:ascii="Microsoft YaHei" w:hAnsi="Microsoft YaHei" w:eastAsia="Microsoft YaHei" w:cs="Microsoft YaHei"/>
        <w:sz w:val="20"/>
        <w:szCs w:val="20"/>
        <w:spacing w:val="23"/>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1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6"/>
      <w:spacing w:before="94" w:line="205" w:lineRule="auto"/>
      <w:rPr>
        <w:rFonts w:ascii="Microsoft YaHei" w:hAnsi="Microsoft YaHei" w:eastAsia="Microsoft YaHei" w:cs="Microsoft YaHei"/>
        <w:sz w:val="20"/>
        <w:szCs w:val="20"/>
      </w:rPr>
    </w:pPr>
    <w:r>
      <w:drawing>
        <wp:anchor distT="0" distB="0" distL="0" distR="0" simplePos="0" relativeHeight="251810816"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606" name="IM 606"/>
          <wp:cNvGraphicFramePr/>
          <a:graphic>
            <a:graphicData uri="http://schemas.openxmlformats.org/drawingml/2006/picture">
              <pic:pic>
                <pic:nvPicPr>
                  <pic:cNvPr id="606" name="IM 60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期//149</w:t>
    </w:r>
  </w:p>
</w:ftr>
</file>

<file path=word/footer1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
      <w:spacing w:before="91" w:line="205" w:lineRule="auto"/>
      <w:rPr>
        <w:rFonts w:ascii="Microsoft YaHei" w:hAnsi="Microsoft YaHei" w:eastAsia="Microsoft YaHei" w:cs="Microsoft YaHei"/>
        <w:sz w:val="20"/>
        <w:szCs w:val="20"/>
      </w:rPr>
    </w:pPr>
    <w:r>
      <w:drawing>
        <wp:anchor distT="0" distB="0" distL="0" distR="0" simplePos="0" relativeHeight="251811840"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610" name="IM 610"/>
          <wp:cNvGraphicFramePr/>
          <a:graphic>
            <a:graphicData uri="http://schemas.openxmlformats.org/drawingml/2006/picture">
              <pic:pic>
                <pic:nvPicPr>
                  <pic:cNvPr id="610" name="IM 61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150//2021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6"/>
      <w:spacing w:before="94" w:line="205" w:lineRule="auto"/>
      <w:rPr>
        <w:rFonts w:ascii="Microsoft YaHei" w:hAnsi="Microsoft YaHei" w:eastAsia="Microsoft YaHei" w:cs="Microsoft YaHei"/>
        <w:sz w:val="20"/>
        <w:szCs w:val="20"/>
      </w:rPr>
    </w:pPr>
    <w:r>
      <w:drawing>
        <wp:anchor distT="0" distB="0" distL="0" distR="0" simplePos="0" relativeHeight="251812864"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616" name="IM 616"/>
          <wp:cNvGraphicFramePr/>
          <a:graphic>
            <a:graphicData uri="http://schemas.openxmlformats.org/drawingml/2006/picture">
              <pic:pic>
                <pic:nvPicPr>
                  <pic:cNvPr id="616" name="IM 61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期//151</w:t>
    </w:r>
  </w:p>
</w:ftr>
</file>

<file path=word/footer1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
      <w:spacing w:before="91" w:line="205" w:lineRule="auto"/>
      <w:rPr>
        <w:rFonts w:ascii="Microsoft YaHei" w:hAnsi="Microsoft YaHei" w:eastAsia="Microsoft YaHei" w:cs="Microsoft YaHei"/>
        <w:sz w:val="20"/>
        <w:szCs w:val="20"/>
      </w:rPr>
    </w:pPr>
    <w:r>
      <w:drawing>
        <wp:anchor distT="0" distB="0" distL="0" distR="0" simplePos="0" relativeHeight="251813888"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626" name="IM 626"/>
          <wp:cNvGraphicFramePr/>
          <a:graphic>
            <a:graphicData uri="http://schemas.openxmlformats.org/drawingml/2006/picture">
              <pic:pic>
                <pic:nvPicPr>
                  <pic:cNvPr id="626" name="IM 62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152//2021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6"/>
      <w:spacing w:before="94" w:line="205" w:lineRule="auto"/>
      <w:rPr>
        <w:rFonts w:ascii="Microsoft YaHei" w:hAnsi="Microsoft YaHei" w:eastAsia="Microsoft YaHei" w:cs="Microsoft YaHei"/>
        <w:sz w:val="20"/>
        <w:szCs w:val="20"/>
      </w:rPr>
    </w:pPr>
    <w:r>
      <w:drawing>
        <wp:anchor distT="0" distB="0" distL="0" distR="0" simplePos="0" relativeHeight="251814912"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632" name="IM 632"/>
          <wp:cNvGraphicFramePr/>
          <a:graphic>
            <a:graphicData uri="http://schemas.openxmlformats.org/drawingml/2006/picture">
              <pic:pic>
                <pic:nvPicPr>
                  <pic:cNvPr id="632" name="IM 63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期//153</w:t>
    </w:r>
  </w:p>
</w:ftr>
</file>

<file path=word/footer1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
      <w:spacing w:before="91" w:line="205" w:lineRule="auto"/>
      <w:rPr>
        <w:rFonts w:ascii="Microsoft YaHei" w:hAnsi="Microsoft YaHei" w:eastAsia="Microsoft YaHei" w:cs="Microsoft YaHei"/>
        <w:sz w:val="20"/>
        <w:szCs w:val="20"/>
      </w:rPr>
    </w:pPr>
    <w:r>
      <w:drawing>
        <wp:anchor distT="0" distB="0" distL="0" distR="0" simplePos="0" relativeHeight="251815936"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636" name="IM 636"/>
          <wp:cNvGraphicFramePr/>
          <a:graphic>
            <a:graphicData uri="http://schemas.openxmlformats.org/drawingml/2006/picture">
              <pic:pic>
                <pic:nvPicPr>
                  <pic:cNvPr id="636" name="IM 63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154//2021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60"/>
      <w:spacing w:before="94" w:line="205" w:lineRule="auto"/>
      <w:rPr>
        <w:rFonts w:ascii="Microsoft YaHei" w:hAnsi="Microsoft YaHei" w:eastAsia="Microsoft YaHei" w:cs="Microsoft YaHei"/>
        <w:sz w:val="20"/>
        <w:szCs w:val="20"/>
      </w:rPr>
    </w:pPr>
    <w:r>
      <w:drawing>
        <wp:anchor distT="0" distB="0" distL="0" distR="0" simplePos="0" relativeHeight="251816960"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642" name="IM 642"/>
          <wp:cNvGraphicFramePr/>
          <a:graphic>
            <a:graphicData uri="http://schemas.openxmlformats.org/drawingml/2006/picture">
              <pic:pic>
                <pic:nvPicPr>
                  <pic:cNvPr id="642" name="IM 64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期//155</w:t>
    </w:r>
  </w:p>
</w:ftr>
</file>

<file path=word/footer1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195"/>
      <w:spacing w:before="94" w:line="205" w:lineRule="auto"/>
      <w:rPr>
        <w:rFonts w:ascii="Microsoft YaHei" w:hAnsi="Microsoft YaHei" w:eastAsia="Microsoft YaHei" w:cs="Microsoft YaHei"/>
        <w:sz w:val="20"/>
        <w:szCs w:val="20"/>
      </w:rPr>
    </w:pPr>
    <w:r>
      <w:drawing>
        <wp:anchor distT="0" distB="0" distL="0" distR="0" simplePos="0" relativeHeight="251819008" behindDoc="0" locked="0" layoutInCell="0" allowOverlap="1">
          <wp:simplePos x="0" y="0"/>
          <wp:positionH relativeFrom="page">
            <wp:posOffset>1008380</wp:posOffset>
          </wp:positionH>
          <wp:positionV relativeFrom="page">
            <wp:posOffset>6563359</wp:posOffset>
          </wp:positionV>
          <wp:extent cx="8712200" cy="7619"/>
          <wp:effectExtent l="0" t="0" r="0" b="0"/>
          <wp:wrapNone/>
          <wp:docPr id="654" name="IM 654"/>
          <wp:cNvGraphicFramePr/>
          <a:graphic>
            <a:graphicData uri="http://schemas.openxmlformats.org/drawingml/2006/picture">
              <pic:pic>
                <pic:nvPicPr>
                  <pic:cNvPr id="654" name="IM 654"/>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期//157</w:t>
    </w:r>
  </w:p>
</w:ftr>
</file>

<file path=word/footer1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9"/>
      <w:spacing w:before="91" w:line="205" w:lineRule="auto"/>
      <w:rPr>
        <w:rFonts w:ascii="Microsoft YaHei" w:hAnsi="Microsoft YaHei" w:eastAsia="Microsoft YaHei" w:cs="Microsoft YaHei"/>
        <w:sz w:val="20"/>
        <w:szCs w:val="20"/>
      </w:rPr>
    </w:pPr>
    <w:r>
      <w:drawing>
        <wp:anchor distT="0" distB="0" distL="0" distR="0" simplePos="0" relativeHeight="251820032" behindDoc="0" locked="0" layoutInCell="0" allowOverlap="1">
          <wp:simplePos x="0" y="0"/>
          <wp:positionH relativeFrom="page">
            <wp:posOffset>993775</wp:posOffset>
          </wp:positionH>
          <wp:positionV relativeFrom="page">
            <wp:posOffset>6497954</wp:posOffset>
          </wp:positionV>
          <wp:extent cx="8712200" cy="7620"/>
          <wp:effectExtent l="0" t="0" r="0" b="0"/>
          <wp:wrapNone/>
          <wp:docPr id="660" name="IM 660"/>
          <wp:cNvGraphicFramePr/>
          <a:graphic>
            <a:graphicData uri="http://schemas.openxmlformats.org/drawingml/2006/picture">
              <pic:pic>
                <pic:nvPicPr>
                  <pic:cNvPr id="660" name="IM 660"/>
                  <pic:cNvPicPr/>
                </pic:nvPicPr>
                <pic:blipFill>
                  <a:blip r:embed="rId1"/>
                  <a:stretch>
                    <a:fillRect/>
                  </a:stretch>
                </pic:blipFill>
                <pic:spPr>
                  <a:xfrm rot="0">
                    <a:off x="0" y="0"/>
                    <a:ext cx="8712200" cy="7620"/>
                  </a:xfrm>
                  <a:prstGeom prst="rect">
                    <a:avLst/>
                  </a:prstGeom>
                </pic:spPr>
              </pic:pic>
            </a:graphicData>
          </a:graphic>
        </wp:anchor>
      </w:drawing>
    </w:r>
    <w:r>
      <w:rPr>
        <w:rFonts w:ascii="Microsoft YaHei" w:hAnsi="Microsoft YaHei" w:eastAsia="Microsoft YaHei" w:cs="Microsoft YaHei"/>
        <w:sz w:val="20"/>
        <w:szCs w:val="20"/>
        <w:spacing w:val="-6"/>
      </w:rPr>
      <w:t>158//2021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04"/>
      <w:spacing w:before="94" w:line="205" w:lineRule="auto"/>
      <w:rPr>
        <w:rFonts w:ascii="Microsoft YaHei" w:hAnsi="Microsoft YaHei" w:eastAsia="Microsoft YaHei" w:cs="Microsoft YaHei"/>
        <w:sz w:val="20"/>
        <w:szCs w:val="20"/>
      </w:rPr>
    </w:pPr>
    <w:r>
      <w:drawing>
        <wp:anchor distT="0" distB="0" distL="0" distR="0" simplePos="0" relativeHeight="251821056" behindDoc="0" locked="0" layoutInCell="0" allowOverlap="1">
          <wp:simplePos x="0" y="0"/>
          <wp:positionH relativeFrom="page">
            <wp:posOffset>1008380</wp:posOffset>
          </wp:positionH>
          <wp:positionV relativeFrom="page">
            <wp:posOffset>6563359</wp:posOffset>
          </wp:positionV>
          <wp:extent cx="8712200" cy="7619"/>
          <wp:effectExtent l="0" t="0" r="0" b="0"/>
          <wp:wrapNone/>
          <wp:docPr id="666" name="IM 666"/>
          <wp:cNvGraphicFramePr/>
          <a:graphic>
            <a:graphicData uri="http://schemas.openxmlformats.org/drawingml/2006/picture">
              <pic:pic>
                <pic:nvPicPr>
                  <pic:cNvPr id="666" name="IM 666"/>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期//159</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73"/>
      <w:spacing w:before="66" w:line="206" w:lineRule="auto"/>
      <w:rPr>
        <w:rFonts w:ascii="Microsoft YaHei" w:hAnsi="Microsoft YaHei" w:eastAsia="Microsoft YaHei" w:cs="Microsoft YaHei"/>
        <w:sz w:val="20"/>
        <w:szCs w:val="20"/>
      </w:rPr>
    </w:pPr>
    <w:r>
      <w:drawing>
        <wp:anchor distT="0" distB="0" distL="0" distR="0" simplePos="0" relativeHeight="251673600" behindDoc="0" locked="0" layoutInCell="0" allowOverlap="1">
          <wp:simplePos x="0" y="0"/>
          <wp:positionH relativeFrom="page">
            <wp:posOffset>985519</wp:posOffset>
          </wp:positionH>
          <wp:positionV relativeFrom="page">
            <wp:posOffset>9638665</wp:posOffset>
          </wp:positionV>
          <wp:extent cx="5579744" cy="7619"/>
          <wp:effectExtent l="0" t="0" r="0" b="0"/>
          <wp:wrapNone/>
          <wp:docPr id="56" name="IM 56"/>
          <wp:cNvGraphicFramePr/>
          <a:graphic>
            <a:graphicData uri="http://schemas.openxmlformats.org/drawingml/2006/picture">
              <pic:pic>
                <pic:nvPicPr>
                  <pic:cNvPr id="56" name="IM 5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8"/>
      </w:rPr>
      <w:t>2021 年第</w:t>
    </w:r>
    <w:r>
      <w:rPr>
        <w:rFonts w:ascii="Microsoft YaHei" w:hAnsi="Microsoft YaHei" w:eastAsia="Microsoft YaHei" w:cs="Microsoft YaHei"/>
        <w:sz w:val="20"/>
        <w:szCs w:val="20"/>
        <w:spacing w:val="33"/>
        <w:w w:val="101"/>
      </w:rPr>
      <w:t xml:space="preserve"> </w:t>
    </w:r>
    <w:r>
      <w:rPr>
        <w:rFonts w:ascii="Microsoft YaHei" w:hAnsi="Microsoft YaHei" w:eastAsia="Microsoft YaHei" w:cs="Microsoft YaHei"/>
        <w:sz w:val="20"/>
        <w:szCs w:val="20"/>
        <w:spacing w:val="-8"/>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8"/>
      </w:rPr>
      <w:t>期总</w:t>
    </w:r>
    <w:r>
      <w:rPr>
        <w:rFonts w:ascii="Microsoft YaHei" w:hAnsi="Microsoft YaHei" w:eastAsia="Microsoft YaHei" w:cs="Microsoft YaHei"/>
        <w:sz w:val="20"/>
        <w:szCs w:val="20"/>
        <w:spacing w:val="7"/>
      </w:rPr>
      <w:t xml:space="preserve"> </w:t>
    </w:r>
    <w:r>
      <w:rPr>
        <w:rFonts w:ascii="Microsoft YaHei" w:hAnsi="Microsoft YaHei" w:eastAsia="Microsoft YaHei" w:cs="Microsoft YaHei"/>
        <w:sz w:val="20"/>
        <w:szCs w:val="20"/>
        <w:spacing w:val="-8"/>
      </w:rPr>
      <w:t>21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8"/>
      </w:rPr>
      <w:t>期//</w:t>
    </w:r>
    <w:r>
      <w:rPr>
        <w:rFonts w:ascii="Microsoft YaHei" w:hAnsi="Microsoft YaHei" w:eastAsia="Microsoft YaHei" w:cs="Microsoft YaHei"/>
        <w:sz w:val="20"/>
        <w:szCs w:val="20"/>
        <w:spacing w:val="20"/>
        <w:w w:val="101"/>
      </w:rPr>
      <w:t xml:space="preserve"> </w:t>
    </w:r>
    <w:r>
      <w:rPr>
        <w:rFonts w:ascii="Microsoft YaHei" w:hAnsi="Microsoft YaHei" w:eastAsia="Microsoft YaHei" w:cs="Microsoft YaHei"/>
        <w:sz w:val="20"/>
        <w:szCs w:val="20"/>
        <w:spacing w:val="-8"/>
      </w:rPr>
      <w:t>17</w:t>
    </w:r>
  </w:p>
</w:ftr>
</file>

<file path=word/footer1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9"/>
      <w:spacing w:before="91" w:line="205" w:lineRule="auto"/>
      <w:rPr>
        <w:rFonts w:ascii="Microsoft YaHei" w:hAnsi="Microsoft YaHei" w:eastAsia="Microsoft YaHei" w:cs="Microsoft YaHei"/>
        <w:sz w:val="20"/>
        <w:szCs w:val="20"/>
      </w:rPr>
    </w:pPr>
    <w:r>
      <w:drawing>
        <wp:anchor distT="0" distB="0" distL="0" distR="0" simplePos="0" relativeHeight="251822080" behindDoc="0" locked="0" layoutInCell="0" allowOverlap="1">
          <wp:simplePos x="0" y="0"/>
          <wp:positionH relativeFrom="page">
            <wp:posOffset>993775</wp:posOffset>
          </wp:positionH>
          <wp:positionV relativeFrom="page">
            <wp:posOffset>6497954</wp:posOffset>
          </wp:positionV>
          <wp:extent cx="8712200" cy="7620"/>
          <wp:effectExtent l="0" t="0" r="0" b="0"/>
          <wp:wrapNone/>
          <wp:docPr id="670" name="IM 670"/>
          <wp:cNvGraphicFramePr/>
          <a:graphic>
            <a:graphicData uri="http://schemas.openxmlformats.org/drawingml/2006/picture">
              <pic:pic>
                <pic:nvPicPr>
                  <pic:cNvPr id="670" name="IM 670"/>
                  <pic:cNvPicPr/>
                </pic:nvPicPr>
                <pic:blipFill>
                  <a:blip r:embed="rId1"/>
                  <a:stretch>
                    <a:fillRect/>
                  </a:stretch>
                </pic:blipFill>
                <pic:spPr>
                  <a:xfrm rot="0">
                    <a:off x="0" y="0"/>
                    <a:ext cx="8712200" cy="7620"/>
                  </a:xfrm>
                  <a:prstGeom prst="rect">
                    <a:avLst/>
                  </a:prstGeom>
                </pic:spPr>
              </pic:pic>
            </a:graphicData>
          </a:graphic>
        </wp:anchor>
      </w:drawing>
    </w:r>
    <w:r>
      <w:rPr>
        <w:rFonts w:ascii="Microsoft YaHei" w:hAnsi="Microsoft YaHei" w:eastAsia="Microsoft YaHei" w:cs="Microsoft YaHei"/>
        <w:sz w:val="20"/>
        <w:szCs w:val="20"/>
        <w:spacing w:val="-6"/>
      </w:rPr>
      <w:t>160//2021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04"/>
      <w:spacing w:before="94" w:line="205" w:lineRule="auto"/>
      <w:rPr>
        <w:rFonts w:ascii="Microsoft YaHei" w:hAnsi="Microsoft YaHei" w:eastAsia="Microsoft YaHei" w:cs="Microsoft YaHei"/>
        <w:sz w:val="20"/>
        <w:szCs w:val="20"/>
      </w:rPr>
    </w:pPr>
    <w:r>
      <w:drawing>
        <wp:anchor distT="0" distB="0" distL="0" distR="0" simplePos="0" relativeHeight="251823104" behindDoc="0" locked="0" layoutInCell="0" allowOverlap="1">
          <wp:simplePos x="0" y="0"/>
          <wp:positionH relativeFrom="page">
            <wp:posOffset>1008380</wp:posOffset>
          </wp:positionH>
          <wp:positionV relativeFrom="page">
            <wp:posOffset>6563359</wp:posOffset>
          </wp:positionV>
          <wp:extent cx="8712200" cy="7619"/>
          <wp:effectExtent l="0" t="0" r="0" b="0"/>
          <wp:wrapNone/>
          <wp:docPr id="676" name="IM 676"/>
          <wp:cNvGraphicFramePr/>
          <a:graphic>
            <a:graphicData uri="http://schemas.openxmlformats.org/drawingml/2006/picture">
              <pic:pic>
                <pic:nvPicPr>
                  <pic:cNvPr id="676" name="IM 676"/>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期//161</w:t>
    </w:r>
  </w:p>
</w:ftr>
</file>

<file path=word/footer1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
      <w:spacing w:before="91" w:line="205" w:lineRule="auto"/>
      <w:rPr>
        <w:rFonts w:ascii="Microsoft YaHei" w:hAnsi="Microsoft YaHei" w:eastAsia="Microsoft YaHei" w:cs="Microsoft YaHei"/>
        <w:sz w:val="20"/>
        <w:szCs w:val="20"/>
      </w:rPr>
    </w:pPr>
    <w:r>
      <w:drawing>
        <wp:anchor distT="0" distB="0" distL="0" distR="0" simplePos="0" relativeHeight="251824128"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682" name="IM 682"/>
          <wp:cNvGraphicFramePr/>
          <a:graphic>
            <a:graphicData uri="http://schemas.openxmlformats.org/drawingml/2006/picture">
              <pic:pic>
                <pic:nvPicPr>
                  <pic:cNvPr id="682" name="IM 68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162//2021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6"/>
      <w:spacing w:before="94" w:line="205" w:lineRule="auto"/>
      <w:rPr>
        <w:rFonts w:ascii="Microsoft YaHei" w:hAnsi="Microsoft YaHei" w:eastAsia="Microsoft YaHei" w:cs="Microsoft YaHei"/>
        <w:sz w:val="20"/>
        <w:szCs w:val="20"/>
      </w:rPr>
    </w:pPr>
    <w:r>
      <w:drawing>
        <wp:anchor distT="0" distB="0" distL="0" distR="0" simplePos="0" relativeHeight="251825152"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692" name="IM 692"/>
          <wp:cNvGraphicFramePr/>
          <a:graphic>
            <a:graphicData uri="http://schemas.openxmlformats.org/drawingml/2006/picture">
              <pic:pic>
                <pic:nvPicPr>
                  <pic:cNvPr id="692" name="IM 69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期//163</w:t>
    </w:r>
  </w:p>
</w:ftr>
</file>

<file path=word/footer1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
      <w:spacing w:before="91" w:line="205" w:lineRule="auto"/>
      <w:rPr>
        <w:rFonts w:ascii="Microsoft YaHei" w:hAnsi="Microsoft YaHei" w:eastAsia="Microsoft YaHei" w:cs="Microsoft YaHei"/>
        <w:sz w:val="20"/>
        <w:szCs w:val="20"/>
      </w:rPr>
    </w:pPr>
    <w:r>
      <w:drawing>
        <wp:anchor distT="0" distB="0" distL="0" distR="0" simplePos="0" relativeHeight="251826176"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698" name="IM 698"/>
          <wp:cNvGraphicFramePr/>
          <a:graphic>
            <a:graphicData uri="http://schemas.openxmlformats.org/drawingml/2006/picture">
              <pic:pic>
                <pic:nvPicPr>
                  <pic:cNvPr id="698" name="IM 69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164//2021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6"/>
      <w:spacing w:before="94" w:line="205" w:lineRule="auto"/>
      <w:rPr>
        <w:rFonts w:ascii="Microsoft YaHei" w:hAnsi="Microsoft YaHei" w:eastAsia="Microsoft YaHei" w:cs="Microsoft YaHei"/>
        <w:sz w:val="20"/>
        <w:szCs w:val="20"/>
      </w:rPr>
    </w:pPr>
    <w:r>
      <w:drawing>
        <wp:anchor distT="0" distB="0" distL="0" distR="0" simplePos="0" relativeHeight="251827200"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704" name="IM 704"/>
          <wp:cNvGraphicFramePr/>
          <a:graphic>
            <a:graphicData uri="http://schemas.openxmlformats.org/drawingml/2006/picture">
              <pic:pic>
                <pic:nvPicPr>
                  <pic:cNvPr id="704" name="IM 70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期//165</w:t>
    </w:r>
  </w:p>
</w:ftr>
</file>

<file path=word/footer1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
      <w:spacing w:before="91" w:line="205" w:lineRule="auto"/>
      <w:rPr>
        <w:rFonts w:ascii="Microsoft YaHei" w:hAnsi="Microsoft YaHei" w:eastAsia="Microsoft YaHei" w:cs="Microsoft YaHei"/>
        <w:sz w:val="20"/>
        <w:szCs w:val="20"/>
      </w:rPr>
    </w:pPr>
    <w:r>
      <w:drawing>
        <wp:anchor distT="0" distB="0" distL="0" distR="0" simplePos="0" relativeHeight="251828224"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710" name="IM 710"/>
          <wp:cNvGraphicFramePr/>
          <a:graphic>
            <a:graphicData uri="http://schemas.openxmlformats.org/drawingml/2006/picture">
              <pic:pic>
                <pic:nvPicPr>
                  <pic:cNvPr id="710" name="IM 71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166//2021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00"/>
      <w:spacing w:before="94" w:line="205" w:lineRule="auto"/>
      <w:rPr>
        <w:rFonts w:ascii="Microsoft YaHei" w:hAnsi="Microsoft YaHei" w:eastAsia="Microsoft YaHei" w:cs="Microsoft YaHei"/>
        <w:sz w:val="20"/>
        <w:szCs w:val="20"/>
      </w:rPr>
    </w:pPr>
    <w:r>
      <w:drawing>
        <wp:anchor distT="0" distB="0" distL="0" distR="0" simplePos="0" relativeHeight="251829248" behindDoc="0" locked="0" layoutInCell="0" allowOverlap="1">
          <wp:simplePos x="0" y="0"/>
          <wp:positionH relativeFrom="page">
            <wp:posOffset>1008380</wp:posOffset>
          </wp:positionH>
          <wp:positionV relativeFrom="page">
            <wp:posOffset>6563359</wp:posOffset>
          </wp:positionV>
          <wp:extent cx="8712200" cy="7619"/>
          <wp:effectExtent l="0" t="0" r="0" b="0"/>
          <wp:wrapNone/>
          <wp:docPr id="716" name="IM 716"/>
          <wp:cNvGraphicFramePr/>
          <a:graphic>
            <a:graphicData uri="http://schemas.openxmlformats.org/drawingml/2006/picture">
              <pic:pic>
                <pic:nvPicPr>
                  <pic:cNvPr id="716" name="IM 716"/>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期//167</w:t>
    </w:r>
  </w:p>
</w:ftr>
</file>

<file path=word/footer1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50"/>
      <w:spacing w:before="91" w:line="205" w:lineRule="auto"/>
      <w:rPr>
        <w:rFonts w:ascii="Microsoft YaHei" w:hAnsi="Microsoft YaHei" w:eastAsia="Microsoft YaHei" w:cs="Microsoft YaHei"/>
        <w:sz w:val="20"/>
        <w:szCs w:val="20"/>
      </w:rPr>
    </w:pPr>
    <w:r>
      <w:drawing>
        <wp:anchor distT="0" distB="0" distL="0" distR="0" simplePos="0" relativeHeight="251830272" behindDoc="0" locked="0" layoutInCell="0" allowOverlap="1">
          <wp:simplePos x="0" y="0"/>
          <wp:positionH relativeFrom="page">
            <wp:posOffset>993775</wp:posOffset>
          </wp:positionH>
          <wp:positionV relativeFrom="page">
            <wp:posOffset>6497954</wp:posOffset>
          </wp:positionV>
          <wp:extent cx="8712200" cy="7620"/>
          <wp:effectExtent l="0" t="0" r="0" b="0"/>
          <wp:wrapNone/>
          <wp:docPr id="722" name="IM 722"/>
          <wp:cNvGraphicFramePr/>
          <a:graphic>
            <a:graphicData uri="http://schemas.openxmlformats.org/drawingml/2006/picture">
              <pic:pic>
                <pic:nvPicPr>
                  <pic:cNvPr id="722" name="IM 722"/>
                  <pic:cNvPicPr/>
                </pic:nvPicPr>
                <pic:blipFill>
                  <a:blip r:embed="rId1"/>
                  <a:stretch>
                    <a:fillRect/>
                  </a:stretch>
                </pic:blipFill>
                <pic:spPr>
                  <a:xfrm rot="0">
                    <a:off x="0" y="0"/>
                    <a:ext cx="8712200" cy="7620"/>
                  </a:xfrm>
                  <a:prstGeom prst="rect">
                    <a:avLst/>
                  </a:prstGeom>
                </pic:spPr>
              </pic:pic>
            </a:graphicData>
          </a:graphic>
        </wp:anchor>
      </w:drawing>
    </w:r>
    <w:r>
      <w:rPr>
        <w:rFonts w:ascii="Microsoft YaHei" w:hAnsi="Microsoft YaHei" w:eastAsia="Microsoft YaHei" w:cs="Microsoft YaHei"/>
        <w:sz w:val="20"/>
        <w:szCs w:val="20"/>
        <w:spacing w:val="-6"/>
      </w:rPr>
      <w:t>168//2021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05"/>
      <w:spacing w:before="94" w:line="205" w:lineRule="auto"/>
      <w:rPr>
        <w:rFonts w:ascii="Microsoft YaHei" w:hAnsi="Microsoft YaHei" w:eastAsia="Microsoft YaHei" w:cs="Microsoft YaHei"/>
        <w:sz w:val="20"/>
        <w:szCs w:val="20"/>
      </w:rPr>
    </w:pPr>
    <w:r>
      <w:drawing>
        <wp:anchor distT="0" distB="0" distL="0" distR="0" simplePos="0" relativeHeight="251831296" behindDoc="0" locked="0" layoutInCell="0" allowOverlap="1">
          <wp:simplePos x="0" y="0"/>
          <wp:positionH relativeFrom="page">
            <wp:posOffset>1008380</wp:posOffset>
          </wp:positionH>
          <wp:positionV relativeFrom="page">
            <wp:posOffset>6563359</wp:posOffset>
          </wp:positionV>
          <wp:extent cx="8712200" cy="7619"/>
          <wp:effectExtent l="0" t="0" r="0" b="0"/>
          <wp:wrapNone/>
          <wp:docPr id="728" name="IM 728"/>
          <wp:cNvGraphicFramePr/>
          <a:graphic>
            <a:graphicData uri="http://schemas.openxmlformats.org/drawingml/2006/picture">
              <pic:pic>
                <pic:nvPicPr>
                  <pic:cNvPr id="728" name="IM 728"/>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期//169</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
      <w:spacing w:before="91" w:line="205" w:lineRule="auto"/>
      <w:rPr>
        <w:rFonts w:ascii="Microsoft YaHei" w:hAnsi="Microsoft YaHei" w:eastAsia="Microsoft YaHei" w:cs="Microsoft YaHei"/>
        <w:sz w:val="20"/>
        <w:szCs w:val="20"/>
      </w:rPr>
    </w:pPr>
    <w:r>
      <w:drawing>
        <wp:anchor distT="0" distB="0" distL="0" distR="0" simplePos="0" relativeHeight="251674624" behindDoc="0" locked="0" layoutInCell="0" allowOverlap="1">
          <wp:simplePos x="0" y="0"/>
          <wp:positionH relativeFrom="page">
            <wp:posOffset>990600</wp:posOffset>
          </wp:positionH>
          <wp:positionV relativeFrom="page">
            <wp:posOffset>9631680</wp:posOffset>
          </wp:positionV>
          <wp:extent cx="5579744" cy="7619"/>
          <wp:effectExtent l="0" t="0" r="0" b="0"/>
          <wp:wrapNone/>
          <wp:docPr id="58" name="IM 58"/>
          <wp:cNvGraphicFramePr/>
          <a:graphic>
            <a:graphicData uri="http://schemas.openxmlformats.org/drawingml/2006/picture">
              <pic:pic>
                <pic:nvPicPr>
                  <pic:cNvPr id="58" name="IM 5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18//2021 年第</w:t>
    </w:r>
    <w:r>
      <w:rPr>
        <w:rFonts w:ascii="Microsoft YaHei" w:hAnsi="Microsoft YaHei" w:eastAsia="Microsoft YaHei" w:cs="Microsoft YaHei"/>
        <w:sz w:val="20"/>
        <w:szCs w:val="20"/>
        <w:spacing w:val="23"/>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1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50"/>
      <w:spacing w:before="91" w:line="205" w:lineRule="auto"/>
      <w:rPr>
        <w:rFonts w:ascii="Microsoft YaHei" w:hAnsi="Microsoft YaHei" w:eastAsia="Microsoft YaHei" w:cs="Microsoft YaHei"/>
        <w:sz w:val="20"/>
        <w:szCs w:val="20"/>
      </w:rPr>
    </w:pPr>
    <w:r>
      <w:drawing>
        <wp:anchor distT="0" distB="0" distL="0" distR="0" simplePos="0" relativeHeight="251832320" behindDoc="0" locked="0" layoutInCell="0" allowOverlap="1">
          <wp:simplePos x="0" y="0"/>
          <wp:positionH relativeFrom="page">
            <wp:posOffset>993775</wp:posOffset>
          </wp:positionH>
          <wp:positionV relativeFrom="page">
            <wp:posOffset>6497954</wp:posOffset>
          </wp:positionV>
          <wp:extent cx="8712200" cy="7620"/>
          <wp:effectExtent l="0" t="0" r="0" b="0"/>
          <wp:wrapNone/>
          <wp:docPr id="734" name="IM 734"/>
          <wp:cNvGraphicFramePr/>
          <a:graphic>
            <a:graphicData uri="http://schemas.openxmlformats.org/drawingml/2006/picture">
              <pic:pic>
                <pic:nvPicPr>
                  <pic:cNvPr id="734" name="IM 734"/>
                  <pic:cNvPicPr/>
                </pic:nvPicPr>
                <pic:blipFill>
                  <a:blip r:embed="rId1"/>
                  <a:stretch>
                    <a:fillRect/>
                  </a:stretch>
                </pic:blipFill>
                <pic:spPr>
                  <a:xfrm rot="0">
                    <a:off x="0" y="0"/>
                    <a:ext cx="8712200" cy="7620"/>
                  </a:xfrm>
                  <a:prstGeom prst="rect">
                    <a:avLst/>
                  </a:prstGeom>
                </pic:spPr>
              </pic:pic>
            </a:graphicData>
          </a:graphic>
        </wp:anchor>
      </w:drawing>
    </w:r>
    <w:r>
      <w:rPr>
        <w:rFonts w:ascii="Microsoft YaHei" w:hAnsi="Microsoft YaHei" w:eastAsia="Microsoft YaHei" w:cs="Microsoft YaHei"/>
        <w:sz w:val="20"/>
        <w:szCs w:val="20"/>
        <w:spacing w:val="-6"/>
      </w:rPr>
      <w:t>170//2021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05"/>
      <w:spacing w:before="94" w:line="205" w:lineRule="auto"/>
      <w:rPr>
        <w:rFonts w:ascii="Microsoft YaHei" w:hAnsi="Microsoft YaHei" w:eastAsia="Microsoft YaHei" w:cs="Microsoft YaHei"/>
        <w:sz w:val="20"/>
        <w:szCs w:val="20"/>
      </w:rPr>
    </w:pPr>
    <w:r>
      <w:drawing>
        <wp:anchor distT="0" distB="0" distL="0" distR="0" simplePos="0" relativeHeight="251833344" behindDoc="0" locked="0" layoutInCell="0" allowOverlap="1">
          <wp:simplePos x="0" y="0"/>
          <wp:positionH relativeFrom="page">
            <wp:posOffset>1008380</wp:posOffset>
          </wp:positionH>
          <wp:positionV relativeFrom="page">
            <wp:posOffset>6563359</wp:posOffset>
          </wp:positionV>
          <wp:extent cx="8712200" cy="7619"/>
          <wp:effectExtent l="0" t="0" r="0" b="0"/>
          <wp:wrapNone/>
          <wp:docPr id="740" name="IM 740"/>
          <wp:cNvGraphicFramePr/>
          <a:graphic>
            <a:graphicData uri="http://schemas.openxmlformats.org/drawingml/2006/picture">
              <pic:pic>
                <pic:nvPicPr>
                  <pic:cNvPr id="740" name="IM 740"/>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期//171</w:t>
    </w:r>
  </w:p>
</w:ftr>
</file>

<file path=word/footer1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50"/>
      <w:spacing w:before="91" w:line="205" w:lineRule="auto"/>
      <w:rPr>
        <w:rFonts w:ascii="Microsoft YaHei" w:hAnsi="Microsoft YaHei" w:eastAsia="Microsoft YaHei" w:cs="Microsoft YaHei"/>
        <w:sz w:val="20"/>
        <w:szCs w:val="20"/>
      </w:rPr>
    </w:pPr>
    <w:r>
      <w:drawing>
        <wp:anchor distT="0" distB="0" distL="0" distR="0" simplePos="0" relativeHeight="251834368" behindDoc="0" locked="0" layoutInCell="0" allowOverlap="1">
          <wp:simplePos x="0" y="0"/>
          <wp:positionH relativeFrom="page">
            <wp:posOffset>993775</wp:posOffset>
          </wp:positionH>
          <wp:positionV relativeFrom="page">
            <wp:posOffset>6497954</wp:posOffset>
          </wp:positionV>
          <wp:extent cx="8712200" cy="7620"/>
          <wp:effectExtent l="0" t="0" r="0" b="0"/>
          <wp:wrapNone/>
          <wp:docPr id="744" name="IM 744"/>
          <wp:cNvGraphicFramePr/>
          <a:graphic>
            <a:graphicData uri="http://schemas.openxmlformats.org/drawingml/2006/picture">
              <pic:pic>
                <pic:nvPicPr>
                  <pic:cNvPr id="744" name="IM 744"/>
                  <pic:cNvPicPr/>
                </pic:nvPicPr>
                <pic:blipFill>
                  <a:blip r:embed="rId1"/>
                  <a:stretch>
                    <a:fillRect/>
                  </a:stretch>
                </pic:blipFill>
                <pic:spPr>
                  <a:xfrm rot="0">
                    <a:off x="0" y="0"/>
                    <a:ext cx="8712200" cy="7620"/>
                  </a:xfrm>
                  <a:prstGeom prst="rect">
                    <a:avLst/>
                  </a:prstGeom>
                </pic:spPr>
              </pic:pic>
            </a:graphicData>
          </a:graphic>
        </wp:anchor>
      </w:drawing>
    </w:r>
    <w:r>
      <w:rPr>
        <w:rFonts w:ascii="Microsoft YaHei" w:hAnsi="Microsoft YaHei" w:eastAsia="Microsoft YaHei" w:cs="Microsoft YaHei"/>
        <w:sz w:val="20"/>
        <w:szCs w:val="20"/>
        <w:spacing w:val="-6"/>
      </w:rPr>
      <w:t>172//2021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6"/>
      <w:spacing w:before="94" w:line="205" w:lineRule="auto"/>
      <w:rPr>
        <w:rFonts w:ascii="Microsoft YaHei" w:hAnsi="Microsoft YaHei" w:eastAsia="Microsoft YaHei" w:cs="Microsoft YaHei"/>
        <w:sz w:val="20"/>
        <w:szCs w:val="20"/>
      </w:rPr>
    </w:pPr>
    <w:r>
      <w:drawing>
        <wp:anchor distT="0" distB="0" distL="0" distR="0" simplePos="0" relativeHeight="251835392" behindDoc="0" locked="0" layoutInCell="0" allowOverlap="1">
          <wp:simplePos x="0" y="0"/>
          <wp:positionH relativeFrom="page">
            <wp:posOffset>1008380</wp:posOffset>
          </wp:positionH>
          <wp:positionV relativeFrom="page">
            <wp:posOffset>9695180</wp:posOffset>
          </wp:positionV>
          <wp:extent cx="5507990" cy="7619"/>
          <wp:effectExtent l="0" t="0" r="0" b="0"/>
          <wp:wrapNone/>
          <wp:docPr id="750" name="IM 750"/>
          <wp:cNvGraphicFramePr/>
          <a:graphic>
            <a:graphicData uri="http://schemas.openxmlformats.org/drawingml/2006/picture">
              <pic:pic>
                <pic:nvPicPr>
                  <pic:cNvPr id="750" name="IM 750"/>
                  <pic:cNvPicPr/>
                </pic:nvPicPr>
                <pic:blipFill>
                  <a:blip r:embed="rId1"/>
                  <a:stretch>
                    <a:fillRect/>
                  </a:stretch>
                </pic:blipFill>
                <pic:spPr>
                  <a:xfrm rot="0">
                    <a:off x="0" y="0"/>
                    <a:ext cx="5507990"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期//173</w:t>
    </w:r>
  </w:p>
</w:ftr>
</file>

<file path=word/footer1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
      <w:spacing w:before="91" w:line="205" w:lineRule="auto"/>
      <w:rPr>
        <w:rFonts w:ascii="Microsoft YaHei" w:hAnsi="Microsoft YaHei" w:eastAsia="Microsoft YaHei" w:cs="Microsoft YaHei"/>
        <w:sz w:val="20"/>
        <w:szCs w:val="20"/>
      </w:rPr>
    </w:pPr>
    <w:r>
      <w:drawing>
        <wp:anchor distT="0" distB="0" distL="0" distR="0" simplePos="0" relativeHeight="251836416"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758" name="IM 758"/>
          <wp:cNvGraphicFramePr/>
          <a:graphic>
            <a:graphicData uri="http://schemas.openxmlformats.org/drawingml/2006/picture">
              <pic:pic>
                <pic:nvPicPr>
                  <pic:cNvPr id="758" name="IM 75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174//2021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6"/>
      <w:spacing w:before="94" w:line="205" w:lineRule="auto"/>
      <w:rPr>
        <w:rFonts w:ascii="Microsoft YaHei" w:hAnsi="Microsoft YaHei" w:eastAsia="Microsoft YaHei" w:cs="Microsoft YaHei"/>
        <w:sz w:val="20"/>
        <w:szCs w:val="20"/>
      </w:rPr>
    </w:pPr>
    <w:r>
      <w:drawing>
        <wp:anchor distT="0" distB="0" distL="0" distR="0" simplePos="0" relativeHeight="251837440"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764" name="IM 764"/>
          <wp:cNvGraphicFramePr/>
          <a:graphic>
            <a:graphicData uri="http://schemas.openxmlformats.org/drawingml/2006/picture">
              <pic:pic>
                <pic:nvPicPr>
                  <pic:cNvPr id="764" name="IM 76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期//175</w:t>
    </w:r>
  </w:p>
</w:ftr>
</file>

<file path=word/footer1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
      <w:spacing w:before="91" w:line="205" w:lineRule="auto"/>
      <w:rPr>
        <w:rFonts w:ascii="Microsoft YaHei" w:hAnsi="Microsoft YaHei" w:eastAsia="Microsoft YaHei" w:cs="Microsoft YaHei"/>
        <w:sz w:val="20"/>
        <w:szCs w:val="20"/>
      </w:rPr>
    </w:pPr>
    <w:r>
      <w:drawing>
        <wp:anchor distT="0" distB="0" distL="0" distR="0" simplePos="0" relativeHeight="251838464"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768" name="IM 768"/>
          <wp:cNvGraphicFramePr/>
          <a:graphic>
            <a:graphicData uri="http://schemas.openxmlformats.org/drawingml/2006/picture">
              <pic:pic>
                <pic:nvPicPr>
                  <pic:cNvPr id="768" name="IM 76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176//2021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5"/>
      <w:spacing w:before="91" w:line="205" w:lineRule="auto"/>
      <w:rPr>
        <w:rFonts w:ascii="Microsoft YaHei" w:hAnsi="Microsoft YaHei" w:eastAsia="Microsoft YaHei" w:cs="Microsoft YaHei"/>
        <w:sz w:val="20"/>
        <w:szCs w:val="20"/>
      </w:rPr>
    </w:pPr>
    <w:r>
      <w:drawing>
        <wp:anchor distT="0" distB="0" distL="0" distR="0" simplePos="0" relativeHeight="251840512" behindDoc="0" locked="0" layoutInCell="0" allowOverlap="1">
          <wp:simplePos x="0" y="0"/>
          <wp:positionH relativeFrom="page">
            <wp:posOffset>993775</wp:posOffset>
          </wp:positionH>
          <wp:positionV relativeFrom="page">
            <wp:posOffset>6497954</wp:posOffset>
          </wp:positionV>
          <wp:extent cx="8712200" cy="7620"/>
          <wp:effectExtent l="0" t="0" r="0" b="0"/>
          <wp:wrapNone/>
          <wp:docPr id="780" name="IM 780"/>
          <wp:cNvGraphicFramePr/>
          <a:graphic>
            <a:graphicData uri="http://schemas.openxmlformats.org/drawingml/2006/picture">
              <pic:pic>
                <pic:nvPicPr>
                  <pic:cNvPr id="780" name="IM 780"/>
                  <pic:cNvPicPr/>
                </pic:nvPicPr>
                <pic:blipFill>
                  <a:blip r:embed="rId1"/>
                  <a:stretch>
                    <a:fillRect/>
                  </a:stretch>
                </pic:blipFill>
                <pic:spPr>
                  <a:xfrm rot="0">
                    <a:off x="0" y="0"/>
                    <a:ext cx="8712200" cy="7620"/>
                  </a:xfrm>
                  <a:prstGeom prst="rect">
                    <a:avLst/>
                  </a:prstGeom>
                </pic:spPr>
              </pic:pic>
            </a:graphicData>
          </a:graphic>
        </wp:anchor>
      </w:drawing>
    </w:r>
    <w:r>
      <w:rPr>
        <w:rFonts w:ascii="Microsoft YaHei" w:hAnsi="Microsoft YaHei" w:eastAsia="Microsoft YaHei" w:cs="Microsoft YaHei"/>
        <w:sz w:val="20"/>
        <w:szCs w:val="20"/>
        <w:spacing w:val="-6"/>
      </w:rPr>
      <w:t>178//2021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140"/>
      <w:spacing w:before="94" w:line="205" w:lineRule="auto"/>
      <w:rPr>
        <w:rFonts w:ascii="Microsoft YaHei" w:hAnsi="Microsoft YaHei" w:eastAsia="Microsoft YaHei" w:cs="Microsoft YaHei"/>
        <w:sz w:val="20"/>
        <w:szCs w:val="20"/>
      </w:rPr>
    </w:pPr>
    <w:r>
      <w:drawing>
        <wp:anchor distT="0" distB="0" distL="0" distR="0" simplePos="0" relativeHeight="251841536" behindDoc="0" locked="0" layoutInCell="0" allowOverlap="1">
          <wp:simplePos x="0" y="0"/>
          <wp:positionH relativeFrom="page">
            <wp:posOffset>1008380</wp:posOffset>
          </wp:positionH>
          <wp:positionV relativeFrom="page">
            <wp:posOffset>6563359</wp:posOffset>
          </wp:positionV>
          <wp:extent cx="8712200" cy="7619"/>
          <wp:effectExtent l="0" t="0" r="0" b="0"/>
          <wp:wrapNone/>
          <wp:docPr id="786" name="IM 786"/>
          <wp:cNvGraphicFramePr/>
          <a:graphic>
            <a:graphicData uri="http://schemas.openxmlformats.org/drawingml/2006/picture">
              <pic:pic>
                <pic:nvPicPr>
                  <pic:cNvPr id="786" name="IM 786"/>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期//179</w:t>
    </w:r>
  </w:p>
</w:ftr>
</file>

<file path=word/footer1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5"/>
      <w:spacing w:before="91" w:line="205" w:lineRule="auto"/>
      <w:rPr>
        <w:rFonts w:ascii="Microsoft YaHei" w:hAnsi="Microsoft YaHei" w:eastAsia="Microsoft YaHei" w:cs="Microsoft YaHei"/>
        <w:sz w:val="20"/>
        <w:szCs w:val="20"/>
      </w:rPr>
    </w:pPr>
    <w:r>
      <w:drawing>
        <wp:anchor distT="0" distB="0" distL="0" distR="0" simplePos="0" relativeHeight="251842560" behindDoc="0" locked="0" layoutInCell="0" allowOverlap="1">
          <wp:simplePos x="0" y="0"/>
          <wp:positionH relativeFrom="page">
            <wp:posOffset>993775</wp:posOffset>
          </wp:positionH>
          <wp:positionV relativeFrom="page">
            <wp:posOffset>6497954</wp:posOffset>
          </wp:positionV>
          <wp:extent cx="8712200" cy="7620"/>
          <wp:effectExtent l="0" t="0" r="0" b="0"/>
          <wp:wrapNone/>
          <wp:docPr id="790" name="IM 790"/>
          <wp:cNvGraphicFramePr/>
          <a:graphic>
            <a:graphicData uri="http://schemas.openxmlformats.org/drawingml/2006/picture">
              <pic:pic>
                <pic:nvPicPr>
                  <pic:cNvPr id="790" name="IM 790"/>
                  <pic:cNvPicPr/>
                </pic:nvPicPr>
                <pic:blipFill>
                  <a:blip r:embed="rId1"/>
                  <a:stretch>
                    <a:fillRect/>
                  </a:stretch>
                </pic:blipFill>
                <pic:spPr>
                  <a:xfrm rot="0">
                    <a:off x="0" y="0"/>
                    <a:ext cx="8712200" cy="7620"/>
                  </a:xfrm>
                  <a:prstGeom prst="rect">
                    <a:avLst/>
                  </a:prstGeom>
                </pic:spPr>
              </pic:pic>
            </a:graphicData>
          </a:graphic>
        </wp:anchor>
      </w:drawing>
    </w:r>
    <w:r>
      <w:rPr>
        <w:rFonts w:ascii="Microsoft YaHei" w:hAnsi="Microsoft YaHei" w:eastAsia="Microsoft YaHei" w:cs="Microsoft YaHei"/>
        <w:sz w:val="20"/>
        <w:szCs w:val="20"/>
        <w:spacing w:val="-6"/>
      </w:rPr>
      <w:t>180//2021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73"/>
      <w:spacing w:before="66" w:line="206" w:lineRule="auto"/>
      <w:rPr>
        <w:rFonts w:ascii="Microsoft YaHei" w:hAnsi="Microsoft YaHei" w:eastAsia="Microsoft YaHei" w:cs="Microsoft YaHei"/>
        <w:sz w:val="20"/>
        <w:szCs w:val="20"/>
      </w:rPr>
    </w:pPr>
    <w:r>
      <w:drawing>
        <wp:anchor distT="0" distB="0" distL="0" distR="0" simplePos="0" relativeHeight="251675648" behindDoc="0" locked="0" layoutInCell="0" allowOverlap="1">
          <wp:simplePos x="0" y="0"/>
          <wp:positionH relativeFrom="page">
            <wp:posOffset>985519</wp:posOffset>
          </wp:positionH>
          <wp:positionV relativeFrom="page">
            <wp:posOffset>9638665</wp:posOffset>
          </wp:positionV>
          <wp:extent cx="5579744" cy="7619"/>
          <wp:effectExtent l="0" t="0" r="0" b="0"/>
          <wp:wrapNone/>
          <wp:docPr id="60" name="IM 60"/>
          <wp:cNvGraphicFramePr/>
          <a:graphic>
            <a:graphicData uri="http://schemas.openxmlformats.org/drawingml/2006/picture">
              <pic:pic>
                <pic:nvPicPr>
                  <pic:cNvPr id="60" name="IM 6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8"/>
      </w:rPr>
      <w:t>2021 年第</w:t>
    </w:r>
    <w:r>
      <w:rPr>
        <w:rFonts w:ascii="Microsoft YaHei" w:hAnsi="Microsoft YaHei" w:eastAsia="Microsoft YaHei" w:cs="Microsoft YaHei"/>
        <w:sz w:val="20"/>
        <w:szCs w:val="20"/>
        <w:spacing w:val="33"/>
        <w:w w:val="101"/>
      </w:rPr>
      <w:t xml:space="preserve"> </w:t>
    </w:r>
    <w:r>
      <w:rPr>
        <w:rFonts w:ascii="Microsoft YaHei" w:hAnsi="Microsoft YaHei" w:eastAsia="Microsoft YaHei" w:cs="Microsoft YaHei"/>
        <w:sz w:val="20"/>
        <w:szCs w:val="20"/>
        <w:spacing w:val="-8"/>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8"/>
      </w:rPr>
      <w:t>期总</w:t>
    </w:r>
    <w:r>
      <w:rPr>
        <w:rFonts w:ascii="Microsoft YaHei" w:hAnsi="Microsoft YaHei" w:eastAsia="Microsoft YaHei" w:cs="Microsoft YaHei"/>
        <w:sz w:val="20"/>
        <w:szCs w:val="20"/>
        <w:spacing w:val="7"/>
      </w:rPr>
      <w:t xml:space="preserve"> </w:t>
    </w:r>
    <w:r>
      <w:rPr>
        <w:rFonts w:ascii="Microsoft YaHei" w:hAnsi="Microsoft YaHei" w:eastAsia="Microsoft YaHei" w:cs="Microsoft YaHei"/>
        <w:sz w:val="20"/>
        <w:szCs w:val="20"/>
        <w:spacing w:val="-8"/>
      </w:rPr>
      <w:t>21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8"/>
      </w:rPr>
      <w:t>期//</w:t>
    </w:r>
    <w:r>
      <w:rPr>
        <w:rFonts w:ascii="Microsoft YaHei" w:hAnsi="Microsoft YaHei" w:eastAsia="Microsoft YaHei" w:cs="Microsoft YaHei"/>
        <w:sz w:val="20"/>
        <w:szCs w:val="20"/>
        <w:spacing w:val="20"/>
        <w:w w:val="101"/>
      </w:rPr>
      <w:t xml:space="preserve"> </w:t>
    </w:r>
    <w:r>
      <w:rPr>
        <w:rFonts w:ascii="Microsoft YaHei" w:hAnsi="Microsoft YaHei" w:eastAsia="Microsoft YaHei" w:cs="Microsoft YaHei"/>
        <w:sz w:val="20"/>
        <w:szCs w:val="20"/>
        <w:spacing w:val="-8"/>
      </w:rPr>
      <w:t>19</w:t>
    </w:r>
  </w:p>
</w:ftr>
</file>

<file path=word/footer1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140"/>
      <w:spacing w:before="94" w:line="205" w:lineRule="auto"/>
      <w:rPr>
        <w:rFonts w:ascii="Microsoft YaHei" w:hAnsi="Microsoft YaHei" w:eastAsia="Microsoft YaHei" w:cs="Microsoft YaHei"/>
        <w:sz w:val="20"/>
        <w:szCs w:val="20"/>
      </w:rPr>
    </w:pPr>
    <w:r>
      <w:drawing>
        <wp:anchor distT="0" distB="0" distL="0" distR="0" simplePos="0" relativeHeight="251843584" behindDoc="0" locked="0" layoutInCell="0" allowOverlap="1">
          <wp:simplePos x="0" y="0"/>
          <wp:positionH relativeFrom="page">
            <wp:posOffset>1008380</wp:posOffset>
          </wp:positionH>
          <wp:positionV relativeFrom="page">
            <wp:posOffset>6563359</wp:posOffset>
          </wp:positionV>
          <wp:extent cx="8712200" cy="7619"/>
          <wp:effectExtent l="0" t="0" r="0" b="0"/>
          <wp:wrapNone/>
          <wp:docPr id="794" name="IM 794"/>
          <wp:cNvGraphicFramePr/>
          <a:graphic>
            <a:graphicData uri="http://schemas.openxmlformats.org/drawingml/2006/picture">
              <pic:pic>
                <pic:nvPicPr>
                  <pic:cNvPr id="794" name="IM 794"/>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期//181</w:t>
    </w:r>
  </w:p>
</w:ftr>
</file>

<file path=word/footer1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5"/>
      <w:spacing w:before="91" w:line="205" w:lineRule="auto"/>
      <w:rPr>
        <w:rFonts w:ascii="Microsoft YaHei" w:hAnsi="Microsoft YaHei" w:eastAsia="Microsoft YaHei" w:cs="Microsoft YaHei"/>
        <w:sz w:val="20"/>
        <w:szCs w:val="20"/>
      </w:rPr>
    </w:pPr>
    <w:r>
      <w:drawing>
        <wp:anchor distT="0" distB="0" distL="0" distR="0" simplePos="0" relativeHeight="251844608" behindDoc="0" locked="0" layoutInCell="0" allowOverlap="1">
          <wp:simplePos x="0" y="0"/>
          <wp:positionH relativeFrom="page">
            <wp:posOffset>993775</wp:posOffset>
          </wp:positionH>
          <wp:positionV relativeFrom="page">
            <wp:posOffset>6497954</wp:posOffset>
          </wp:positionV>
          <wp:extent cx="8712200" cy="7620"/>
          <wp:effectExtent l="0" t="0" r="0" b="0"/>
          <wp:wrapNone/>
          <wp:docPr id="798" name="IM 798"/>
          <wp:cNvGraphicFramePr/>
          <a:graphic>
            <a:graphicData uri="http://schemas.openxmlformats.org/drawingml/2006/picture">
              <pic:pic>
                <pic:nvPicPr>
                  <pic:cNvPr id="798" name="IM 798"/>
                  <pic:cNvPicPr/>
                </pic:nvPicPr>
                <pic:blipFill>
                  <a:blip r:embed="rId1"/>
                  <a:stretch>
                    <a:fillRect/>
                  </a:stretch>
                </pic:blipFill>
                <pic:spPr>
                  <a:xfrm rot="0">
                    <a:off x="0" y="0"/>
                    <a:ext cx="8712200" cy="7620"/>
                  </a:xfrm>
                  <a:prstGeom prst="rect">
                    <a:avLst/>
                  </a:prstGeom>
                </pic:spPr>
              </pic:pic>
            </a:graphicData>
          </a:graphic>
        </wp:anchor>
      </w:drawing>
    </w:r>
    <w:r>
      <w:rPr>
        <w:rFonts w:ascii="Microsoft YaHei" w:hAnsi="Microsoft YaHei" w:eastAsia="Microsoft YaHei" w:cs="Microsoft YaHei"/>
        <w:sz w:val="20"/>
        <w:szCs w:val="20"/>
        <w:spacing w:val="-6"/>
      </w:rPr>
      <w:t>182//2021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140"/>
      <w:spacing w:before="94" w:line="205" w:lineRule="auto"/>
      <w:rPr>
        <w:rFonts w:ascii="Microsoft YaHei" w:hAnsi="Microsoft YaHei" w:eastAsia="Microsoft YaHei" w:cs="Microsoft YaHei"/>
        <w:sz w:val="20"/>
        <w:szCs w:val="20"/>
      </w:rPr>
    </w:pPr>
    <w:r>
      <w:drawing>
        <wp:anchor distT="0" distB="0" distL="0" distR="0" simplePos="0" relativeHeight="251845632" behindDoc="0" locked="0" layoutInCell="0" allowOverlap="1">
          <wp:simplePos x="0" y="0"/>
          <wp:positionH relativeFrom="page">
            <wp:posOffset>1008380</wp:posOffset>
          </wp:positionH>
          <wp:positionV relativeFrom="page">
            <wp:posOffset>6563359</wp:posOffset>
          </wp:positionV>
          <wp:extent cx="8712200" cy="7619"/>
          <wp:effectExtent l="0" t="0" r="0" b="0"/>
          <wp:wrapNone/>
          <wp:docPr id="802" name="IM 802"/>
          <wp:cNvGraphicFramePr/>
          <a:graphic>
            <a:graphicData uri="http://schemas.openxmlformats.org/drawingml/2006/picture">
              <pic:pic>
                <pic:nvPicPr>
                  <pic:cNvPr id="802" name="IM 802"/>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期//183</w:t>
    </w:r>
  </w:p>
</w:ftr>
</file>

<file path=word/footer1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5"/>
      <w:spacing w:before="91" w:line="205" w:lineRule="auto"/>
      <w:rPr>
        <w:rFonts w:ascii="Microsoft YaHei" w:hAnsi="Microsoft YaHei" w:eastAsia="Microsoft YaHei" w:cs="Microsoft YaHei"/>
        <w:sz w:val="20"/>
        <w:szCs w:val="20"/>
      </w:rPr>
    </w:pPr>
    <w:r>
      <w:drawing>
        <wp:anchor distT="0" distB="0" distL="0" distR="0" simplePos="0" relativeHeight="251846656" behindDoc="0" locked="0" layoutInCell="0" allowOverlap="1">
          <wp:simplePos x="0" y="0"/>
          <wp:positionH relativeFrom="page">
            <wp:posOffset>993775</wp:posOffset>
          </wp:positionH>
          <wp:positionV relativeFrom="page">
            <wp:posOffset>6497954</wp:posOffset>
          </wp:positionV>
          <wp:extent cx="8712200" cy="7620"/>
          <wp:effectExtent l="0" t="0" r="0" b="0"/>
          <wp:wrapNone/>
          <wp:docPr id="806" name="IM 806"/>
          <wp:cNvGraphicFramePr/>
          <a:graphic>
            <a:graphicData uri="http://schemas.openxmlformats.org/drawingml/2006/picture">
              <pic:pic>
                <pic:nvPicPr>
                  <pic:cNvPr id="806" name="IM 806"/>
                  <pic:cNvPicPr/>
                </pic:nvPicPr>
                <pic:blipFill>
                  <a:blip r:embed="rId1"/>
                  <a:stretch>
                    <a:fillRect/>
                  </a:stretch>
                </pic:blipFill>
                <pic:spPr>
                  <a:xfrm rot="0">
                    <a:off x="0" y="0"/>
                    <a:ext cx="8712200" cy="7620"/>
                  </a:xfrm>
                  <a:prstGeom prst="rect">
                    <a:avLst/>
                  </a:prstGeom>
                </pic:spPr>
              </pic:pic>
            </a:graphicData>
          </a:graphic>
        </wp:anchor>
      </w:drawing>
    </w:r>
    <w:r>
      <w:rPr>
        <w:rFonts w:ascii="Microsoft YaHei" w:hAnsi="Microsoft YaHei" w:eastAsia="Microsoft YaHei" w:cs="Microsoft YaHei"/>
        <w:sz w:val="20"/>
        <w:szCs w:val="20"/>
        <w:spacing w:val="-6"/>
      </w:rPr>
      <w:t>184//2021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6"/>
      <w:spacing w:before="94" w:line="205" w:lineRule="auto"/>
      <w:rPr>
        <w:rFonts w:ascii="Microsoft YaHei" w:hAnsi="Microsoft YaHei" w:eastAsia="Microsoft YaHei" w:cs="Microsoft YaHei"/>
        <w:sz w:val="20"/>
        <w:szCs w:val="20"/>
      </w:rPr>
    </w:pPr>
    <w:r>
      <w:drawing>
        <wp:anchor distT="0" distB="0" distL="0" distR="0" simplePos="0" relativeHeight="251847680"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812" name="IM 812"/>
          <wp:cNvGraphicFramePr/>
          <a:graphic>
            <a:graphicData uri="http://schemas.openxmlformats.org/drawingml/2006/picture">
              <pic:pic>
                <pic:nvPicPr>
                  <pic:cNvPr id="812" name="IM 81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期//185</w:t>
    </w:r>
  </w:p>
</w:ftr>
</file>

<file path=word/footer1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
      <w:spacing w:before="91" w:line="205" w:lineRule="auto"/>
      <w:rPr>
        <w:rFonts w:ascii="Microsoft YaHei" w:hAnsi="Microsoft YaHei" w:eastAsia="Microsoft YaHei" w:cs="Microsoft YaHei"/>
        <w:sz w:val="20"/>
        <w:szCs w:val="20"/>
      </w:rPr>
    </w:pPr>
    <w:r>
      <w:drawing>
        <wp:anchor distT="0" distB="0" distL="0" distR="0" simplePos="0" relativeHeight="251848704"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818" name="IM 818"/>
          <wp:cNvGraphicFramePr/>
          <a:graphic>
            <a:graphicData uri="http://schemas.openxmlformats.org/drawingml/2006/picture">
              <pic:pic>
                <pic:nvPicPr>
                  <pic:cNvPr id="818" name="IM 81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186//2021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6"/>
      <w:spacing w:before="94" w:line="205" w:lineRule="auto"/>
      <w:rPr>
        <w:rFonts w:ascii="Microsoft YaHei" w:hAnsi="Microsoft YaHei" w:eastAsia="Microsoft YaHei" w:cs="Microsoft YaHei"/>
        <w:sz w:val="20"/>
        <w:szCs w:val="20"/>
      </w:rPr>
    </w:pPr>
    <w:r>
      <w:drawing>
        <wp:anchor distT="0" distB="0" distL="0" distR="0" simplePos="0" relativeHeight="251849728"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824" name="IM 824"/>
          <wp:cNvGraphicFramePr/>
          <a:graphic>
            <a:graphicData uri="http://schemas.openxmlformats.org/drawingml/2006/picture">
              <pic:pic>
                <pic:nvPicPr>
                  <pic:cNvPr id="824" name="IM 82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期//187</w:t>
    </w:r>
  </w:p>
</w:ftr>
</file>

<file path=word/footer1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
      <w:spacing w:before="91" w:line="205" w:lineRule="auto"/>
      <w:rPr>
        <w:rFonts w:ascii="Microsoft YaHei" w:hAnsi="Microsoft YaHei" w:eastAsia="Microsoft YaHei" w:cs="Microsoft YaHei"/>
        <w:sz w:val="20"/>
        <w:szCs w:val="20"/>
      </w:rPr>
    </w:pPr>
    <w:r>
      <w:drawing>
        <wp:anchor distT="0" distB="0" distL="0" distR="0" simplePos="0" relativeHeight="251850752"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828" name="IM 828"/>
          <wp:cNvGraphicFramePr/>
          <a:graphic>
            <a:graphicData uri="http://schemas.openxmlformats.org/drawingml/2006/picture">
              <pic:pic>
                <pic:nvPicPr>
                  <pic:cNvPr id="828" name="IM 82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188//2021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02"/>
      <w:spacing w:before="94" w:line="205" w:lineRule="auto"/>
      <w:rPr>
        <w:rFonts w:ascii="Microsoft YaHei" w:hAnsi="Microsoft YaHei" w:eastAsia="Microsoft YaHei" w:cs="Microsoft YaHei"/>
        <w:sz w:val="20"/>
        <w:szCs w:val="20"/>
      </w:rPr>
    </w:pPr>
    <w:r>
      <w:drawing>
        <wp:anchor distT="0" distB="0" distL="0" distR="0" simplePos="0" relativeHeight="251851776" behindDoc="0" locked="0" layoutInCell="0" allowOverlap="1">
          <wp:simplePos x="0" y="0"/>
          <wp:positionH relativeFrom="page">
            <wp:posOffset>1008380</wp:posOffset>
          </wp:positionH>
          <wp:positionV relativeFrom="page">
            <wp:posOffset>6563359</wp:posOffset>
          </wp:positionV>
          <wp:extent cx="8712200" cy="7619"/>
          <wp:effectExtent l="0" t="0" r="0" b="0"/>
          <wp:wrapNone/>
          <wp:docPr id="834" name="IM 834"/>
          <wp:cNvGraphicFramePr/>
          <a:graphic>
            <a:graphicData uri="http://schemas.openxmlformats.org/drawingml/2006/picture">
              <pic:pic>
                <pic:nvPicPr>
                  <pic:cNvPr id="834" name="IM 834"/>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期//189</w:t>
    </w:r>
  </w:p>
</w:ftr>
</file>

<file path=word/footer1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7"/>
      <w:spacing w:before="91" w:line="205" w:lineRule="auto"/>
      <w:rPr>
        <w:rFonts w:ascii="Microsoft YaHei" w:hAnsi="Microsoft YaHei" w:eastAsia="Microsoft YaHei" w:cs="Microsoft YaHei"/>
        <w:sz w:val="20"/>
        <w:szCs w:val="20"/>
      </w:rPr>
    </w:pPr>
    <w:r>
      <w:drawing>
        <wp:anchor distT="0" distB="0" distL="0" distR="0" simplePos="0" relativeHeight="251852800" behindDoc="0" locked="0" layoutInCell="0" allowOverlap="1">
          <wp:simplePos x="0" y="0"/>
          <wp:positionH relativeFrom="page">
            <wp:posOffset>993775</wp:posOffset>
          </wp:positionH>
          <wp:positionV relativeFrom="page">
            <wp:posOffset>6497954</wp:posOffset>
          </wp:positionV>
          <wp:extent cx="8712200" cy="7620"/>
          <wp:effectExtent l="0" t="0" r="0" b="0"/>
          <wp:wrapNone/>
          <wp:docPr id="840" name="IM 840"/>
          <wp:cNvGraphicFramePr/>
          <a:graphic>
            <a:graphicData uri="http://schemas.openxmlformats.org/drawingml/2006/picture">
              <pic:pic>
                <pic:nvPicPr>
                  <pic:cNvPr id="840" name="IM 840"/>
                  <pic:cNvPicPr/>
                </pic:nvPicPr>
                <pic:blipFill>
                  <a:blip r:embed="rId1"/>
                  <a:stretch>
                    <a:fillRect/>
                  </a:stretch>
                </pic:blipFill>
                <pic:spPr>
                  <a:xfrm rot="0">
                    <a:off x="0" y="0"/>
                    <a:ext cx="8712200" cy="7620"/>
                  </a:xfrm>
                  <a:prstGeom prst="rect">
                    <a:avLst/>
                  </a:prstGeom>
                </pic:spPr>
              </pic:pic>
            </a:graphicData>
          </a:graphic>
        </wp:anchor>
      </w:drawing>
    </w:r>
    <w:r>
      <w:rPr>
        <w:rFonts w:ascii="Microsoft YaHei" w:hAnsi="Microsoft YaHei" w:eastAsia="Microsoft YaHei" w:cs="Microsoft YaHei"/>
        <w:sz w:val="20"/>
        <w:szCs w:val="20"/>
        <w:spacing w:val="-6"/>
      </w:rPr>
      <w:t>190//2021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4"/>
      <w:spacing w:before="91" w:line="205" w:lineRule="auto"/>
      <w:rPr>
        <w:rFonts w:ascii="Microsoft YaHei" w:hAnsi="Microsoft YaHei" w:eastAsia="Microsoft YaHei" w:cs="Microsoft YaHei"/>
        <w:sz w:val="20"/>
        <w:szCs w:val="20"/>
      </w:rPr>
    </w:pPr>
    <w:r>
      <w:drawing>
        <wp:anchor distT="0" distB="0" distL="0" distR="0" simplePos="0" relativeHeight="251676672" behindDoc="0" locked="0" layoutInCell="0" allowOverlap="1">
          <wp:simplePos x="0" y="0"/>
          <wp:positionH relativeFrom="page">
            <wp:posOffset>990600</wp:posOffset>
          </wp:positionH>
          <wp:positionV relativeFrom="page">
            <wp:posOffset>9631680</wp:posOffset>
          </wp:positionV>
          <wp:extent cx="5579744" cy="7619"/>
          <wp:effectExtent l="0" t="0" r="0" b="0"/>
          <wp:wrapNone/>
          <wp:docPr id="62" name="IM 62"/>
          <wp:cNvGraphicFramePr/>
          <a:graphic>
            <a:graphicData uri="http://schemas.openxmlformats.org/drawingml/2006/picture">
              <pic:pic>
                <pic:nvPicPr>
                  <pic:cNvPr id="62" name="IM 6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20//2021 年第</w:t>
    </w:r>
    <w:r>
      <w:rPr>
        <w:rFonts w:ascii="Microsoft YaHei" w:hAnsi="Microsoft YaHei" w:eastAsia="Microsoft YaHei" w:cs="Microsoft YaHei"/>
        <w:sz w:val="20"/>
        <w:szCs w:val="20"/>
        <w:spacing w:val="37"/>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1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02"/>
      <w:spacing w:before="94" w:line="205" w:lineRule="auto"/>
      <w:rPr>
        <w:rFonts w:ascii="Microsoft YaHei" w:hAnsi="Microsoft YaHei" w:eastAsia="Microsoft YaHei" w:cs="Microsoft YaHei"/>
        <w:sz w:val="20"/>
        <w:szCs w:val="20"/>
      </w:rPr>
    </w:pPr>
    <w:r>
      <w:drawing>
        <wp:anchor distT="0" distB="0" distL="0" distR="0" simplePos="0" relativeHeight="251853824" behindDoc="0" locked="0" layoutInCell="0" allowOverlap="1">
          <wp:simplePos x="0" y="0"/>
          <wp:positionH relativeFrom="page">
            <wp:posOffset>1008380</wp:posOffset>
          </wp:positionH>
          <wp:positionV relativeFrom="page">
            <wp:posOffset>6563359</wp:posOffset>
          </wp:positionV>
          <wp:extent cx="8712200" cy="7619"/>
          <wp:effectExtent l="0" t="0" r="0" b="0"/>
          <wp:wrapNone/>
          <wp:docPr id="846" name="IM 846"/>
          <wp:cNvGraphicFramePr/>
          <a:graphic>
            <a:graphicData uri="http://schemas.openxmlformats.org/drawingml/2006/picture">
              <pic:pic>
                <pic:nvPicPr>
                  <pic:cNvPr id="846" name="IM 846"/>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期//191</w:t>
    </w:r>
  </w:p>
</w:ftr>
</file>

<file path=word/footer1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7"/>
      <w:spacing w:before="91" w:line="205" w:lineRule="auto"/>
      <w:rPr>
        <w:rFonts w:ascii="Microsoft YaHei" w:hAnsi="Microsoft YaHei" w:eastAsia="Microsoft YaHei" w:cs="Microsoft YaHei"/>
        <w:sz w:val="20"/>
        <w:szCs w:val="20"/>
      </w:rPr>
    </w:pPr>
    <w:r>
      <w:drawing>
        <wp:anchor distT="0" distB="0" distL="0" distR="0" simplePos="0" relativeHeight="251854848" behindDoc="0" locked="0" layoutInCell="0" allowOverlap="1">
          <wp:simplePos x="0" y="0"/>
          <wp:positionH relativeFrom="page">
            <wp:posOffset>993775</wp:posOffset>
          </wp:positionH>
          <wp:positionV relativeFrom="page">
            <wp:posOffset>6497954</wp:posOffset>
          </wp:positionV>
          <wp:extent cx="8712200" cy="7620"/>
          <wp:effectExtent l="0" t="0" r="0" b="0"/>
          <wp:wrapNone/>
          <wp:docPr id="852" name="IM 852"/>
          <wp:cNvGraphicFramePr/>
          <a:graphic>
            <a:graphicData uri="http://schemas.openxmlformats.org/drawingml/2006/picture">
              <pic:pic>
                <pic:nvPicPr>
                  <pic:cNvPr id="852" name="IM 852"/>
                  <pic:cNvPicPr/>
                </pic:nvPicPr>
                <pic:blipFill>
                  <a:blip r:embed="rId1"/>
                  <a:stretch>
                    <a:fillRect/>
                  </a:stretch>
                </pic:blipFill>
                <pic:spPr>
                  <a:xfrm rot="0">
                    <a:off x="0" y="0"/>
                    <a:ext cx="8712200" cy="7620"/>
                  </a:xfrm>
                  <a:prstGeom prst="rect">
                    <a:avLst/>
                  </a:prstGeom>
                </pic:spPr>
              </pic:pic>
            </a:graphicData>
          </a:graphic>
        </wp:anchor>
      </w:drawing>
    </w:r>
    <w:r>
      <w:rPr>
        <w:rFonts w:ascii="Microsoft YaHei" w:hAnsi="Microsoft YaHei" w:eastAsia="Microsoft YaHei" w:cs="Microsoft YaHei"/>
        <w:sz w:val="20"/>
        <w:szCs w:val="20"/>
        <w:spacing w:val="-6"/>
      </w:rPr>
      <w:t>192//2021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02"/>
      <w:spacing w:before="94" w:line="205" w:lineRule="auto"/>
      <w:rPr>
        <w:rFonts w:ascii="Microsoft YaHei" w:hAnsi="Microsoft YaHei" w:eastAsia="Microsoft YaHei" w:cs="Microsoft YaHei"/>
        <w:sz w:val="20"/>
        <w:szCs w:val="20"/>
      </w:rPr>
    </w:pPr>
    <w:r>
      <w:drawing>
        <wp:anchor distT="0" distB="0" distL="0" distR="0" simplePos="0" relativeHeight="251855872" behindDoc="0" locked="0" layoutInCell="0" allowOverlap="1">
          <wp:simplePos x="0" y="0"/>
          <wp:positionH relativeFrom="page">
            <wp:posOffset>1008380</wp:posOffset>
          </wp:positionH>
          <wp:positionV relativeFrom="page">
            <wp:posOffset>6563359</wp:posOffset>
          </wp:positionV>
          <wp:extent cx="8712200" cy="7619"/>
          <wp:effectExtent l="0" t="0" r="0" b="0"/>
          <wp:wrapNone/>
          <wp:docPr id="858" name="IM 858"/>
          <wp:cNvGraphicFramePr/>
          <a:graphic>
            <a:graphicData uri="http://schemas.openxmlformats.org/drawingml/2006/picture">
              <pic:pic>
                <pic:nvPicPr>
                  <pic:cNvPr id="858" name="IM 858"/>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期//193</w:t>
    </w:r>
  </w:p>
</w:ftr>
</file>

<file path=word/footer1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6"/>
      <w:spacing w:before="94" w:line="205" w:lineRule="auto"/>
      <w:rPr>
        <w:rFonts w:ascii="Microsoft YaHei" w:hAnsi="Microsoft YaHei" w:eastAsia="Microsoft YaHei" w:cs="Microsoft YaHei"/>
        <w:sz w:val="20"/>
        <w:szCs w:val="20"/>
      </w:rPr>
    </w:pPr>
    <w:r>
      <w:drawing>
        <wp:anchor distT="0" distB="0" distL="0" distR="0" simplePos="0" relativeHeight="251857920"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870" name="IM 870"/>
          <wp:cNvGraphicFramePr/>
          <a:graphic>
            <a:graphicData uri="http://schemas.openxmlformats.org/drawingml/2006/picture">
              <pic:pic>
                <pic:nvPicPr>
                  <pic:cNvPr id="870" name="IM 87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期//195</w:t>
    </w:r>
  </w:p>
</w:ftr>
</file>

<file path=word/footer1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
      <w:spacing w:before="91" w:line="205" w:lineRule="auto"/>
      <w:rPr>
        <w:rFonts w:ascii="Microsoft YaHei" w:hAnsi="Microsoft YaHei" w:eastAsia="Microsoft YaHei" w:cs="Microsoft YaHei"/>
        <w:sz w:val="20"/>
        <w:szCs w:val="20"/>
      </w:rPr>
    </w:pPr>
    <w:r>
      <w:drawing>
        <wp:anchor distT="0" distB="0" distL="0" distR="0" simplePos="0" relativeHeight="251858944"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876" name="IM 876"/>
          <wp:cNvGraphicFramePr/>
          <a:graphic>
            <a:graphicData uri="http://schemas.openxmlformats.org/drawingml/2006/picture">
              <pic:pic>
                <pic:nvPicPr>
                  <pic:cNvPr id="876" name="IM 87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196//2021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6"/>
      <w:spacing w:before="94" w:line="205" w:lineRule="auto"/>
      <w:rPr>
        <w:rFonts w:ascii="Microsoft YaHei" w:hAnsi="Microsoft YaHei" w:eastAsia="Microsoft YaHei" w:cs="Microsoft YaHei"/>
        <w:sz w:val="20"/>
        <w:szCs w:val="20"/>
      </w:rPr>
    </w:pPr>
    <w:r>
      <w:drawing>
        <wp:anchor distT="0" distB="0" distL="0" distR="0" simplePos="0" relativeHeight="251859968"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882" name="IM 882"/>
          <wp:cNvGraphicFramePr/>
          <a:graphic>
            <a:graphicData uri="http://schemas.openxmlformats.org/drawingml/2006/picture">
              <pic:pic>
                <pic:nvPicPr>
                  <pic:cNvPr id="882" name="IM 88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期//197</w:t>
    </w:r>
  </w:p>
</w:ftr>
</file>

<file path=word/footer1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
      <w:spacing w:before="91" w:line="205" w:lineRule="auto"/>
      <w:rPr>
        <w:rFonts w:ascii="Microsoft YaHei" w:hAnsi="Microsoft YaHei" w:eastAsia="Microsoft YaHei" w:cs="Microsoft YaHei"/>
        <w:sz w:val="20"/>
        <w:szCs w:val="20"/>
      </w:rPr>
    </w:pPr>
    <w:r>
      <w:drawing>
        <wp:anchor distT="0" distB="0" distL="0" distR="0" simplePos="0" relativeHeight="251860992"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888" name="IM 888"/>
          <wp:cNvGraphicFramePr/>
          <a:graphic>
            <a:graphicData uri="http://schemas.openxmlformats.org/drawingml/2006/picture">
              <pic:pic>
                <pic:nvPicPr>
                  <pic:cNvPr id="888" name="IM 88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198//2021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footer1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6"/>
      <w:spacing w:before="94" w:line="205" w:lineRule="auto"/>
      <w:rPr>
        <w:rFonts w:ascii="Microsoft YaHei" w:hAnsi="Microsoft YaHei" w:eastAsia="Microsoft YaHei" w:cs="Microsoft YaHei"/>
        <w:sz w:val="20"/>
        <w:szCs w:val="20"/>
      </w:rPr>
    </w:pPr>
    <w:r>
      <w:drawing>
        <wp:anchor distT="0" distB="0" distL="0" distR="0" simplePos="0" relativeHeight="251862016"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894" name="IM 894"/>
          <wp:cNvGraphicFramePr/>
          <a:graphic>
            <a:graphicData uri="http://schemas.openxmlformats.org/drawingml/2006/picture">
              <pic:pic>
                <pic:nvPicPr>
                  <pic:cNvPr id="894" name="IM 89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期//199</w:t>
    </w:r>
  </w:p>
</w:ftr>
</file>

<file path=word/footer1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4"/>
      <w:spacing w:before="91" w:line="205" w:lineRule="auto"/>
      <w:rPr>
        <w:rFonts w:ascii="Microsoft YaHei" w:hAnsi="Microsoft YaHei" w:eastAsia="Microsoft YaHei" w:cs="Microsoft YaHei"/>
        <w:sz w:val="20"/>
        <w:szCs w:val="20"/>
      </w:rPr>
    </w:pPr>
    <w:r>
      <w:drawing>
        <wp:anchor distT="0" distB="0" distL="0" distR="0" simplePos="0" relativeHeight="251863040"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900" name="IM 900"/>
          <wp:cNvGraphicFramePr/>
          <a:graphic>
            <a:graphicData uri="http://schemas.openxmlformats.org/drawingml/2006/picture">
              <pic:pic>
                <pic:nvPicPr>
                  <pic:cNvPr id="900" name="IM 90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200//2021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1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6"/>
      <w:spacing w:before="94" w:line="205" w:lineRule="auto"/>
      <w:rPr>
        <w:rFonts w:ascii="Microsoft YaHei" w:hAnsi="Microsoft YaHei" w:eastAsia="Microsoft YaHei" w:cs="Microsoft YaHei"/>
        <w:sz w:val="20"/>
        <w:szCs w:val="20"/>
      </w:rPr>
    </w:pPr>
    <w:r>
      <w:drawing>
        <wp:anchor distT="0" distB="0" distL="0" distR="0" simplePos="0" relativeHeight="251864064"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906" name="IM 906"/>
          <wp:cNvGraphicFramePr/>
          <a:graphic>
            <a:graphicData uri="http://schemas.openxmlformats.org/drawingml/2006/picture">
              <pic:pic>
                <pic:nvPicPr>
                  <pic:cNvPr id="906" name="IM 90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期//201</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8"/>
      <w:spacing w:before="66" w:line="206" w:lineRule="auto"/>
      <w:jc w:val="right"/>
      <w:rPr>
        <w:rFonts w:ascii="Microsoft YaHei" w:hAnsi="Microsoft YaHei" w:eastAsia="Microsoft YaHei" w:cs="Microsoft YaHei"/>
        <w:sz w:val="20"/>
        <w:szCs w:val="20"/>
      </w:rPr>
    </w:pPr>
    <w:r>
      <w:drawing>
        <wp:anchor distT="0" distB="0" distL="0" distR="0" simplePos="0" relativeHeight="251659264" behindDoc="0" locked="0" layoutInCell="0" allowOverlap="1">
          <wp:simplePos x="0" y="0"/>
          <wp:positionH relativeFrom="page">
            <wp:posOffset>985519</wp:posOffset>
          </wp:positionH>
          <wp:positionV relativeFrom="page">
            <wp:posOffset>9637394</wp:posOffset>
          </wp:positionV>
          <wp:extent cx="5579744" cy="7619"/>
          <wp:effectExtent l="0" t="0" r="0" b="0"/>
          <wp:wrapNone/>
          <wp:docPr id="10" name="IM 10"/>
          <wp:cNvGraphicFramePr/>
          <a:graphic>
            <a:graphicData uri="http://schemas.openxmlformats.org/drawingml/2006/picture">
              <pic:pic>
                <pic:nvPicPr>
                  <pic:cNvPr id="10" name="IM 1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27"/>
        <w:w w:val="101"/>
      </w:rPr>
      <w:t xml:space="preserve"> </w:t>
    </w:r>
    <w:r>
      <w:rPr>
        <w:rFonts w:ascii="Microsoft YaHei" w:hAnsi="Microsoft YaHei" w:eastAsia="Microsoft YaHei" w:cs="Microsoft YaHei"/>
        <w:sz w:val="20"/>
        <w:szCs w:val="20"/>
        <w:spacing w:val="-6"/>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期总</w:t>
    </w:r>
    <w:r>
      <w:rPr>
        <w:rFonts w:ascii="Microsoft YaHei" w:hAnsi="Microsoft YaHei" w:eastAsia="Microsoft YaHei" w:cs="Microsoft YaHei"/>
        <w:sz w:val="20"/>
        <w:szCs w:val="20"/>
        <w:spacing w:val="7"/>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期// 3</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73"/>
      <w:spacing w:before="66" w:line="206" w:lineRule="auto"/>
      <w:rPr>
        <w:rFonts w:ascii="Microsoft YaHei" w:hAnsi="Microsoft YaHei" w:eastAsia="Microsoft YaHei" w:cs="Microsoft YaHei"/>
        <w:sz w:val="20"/>
        <w:szCs w:val="20"/>
      </w:rPr>
    </w:pPr>
    <w:r>
      <w:drawing>
        <wp:anchor distT="0" distB="0" distL="0" distR="0" simplePos="0" relativeHeight="251677696" behindDoc="0" locked="0" layoutInCell="0" allowOverlap="1">
          <wp:simplePos x="0" y="0"/>
          <wp:positionH relativeFrom="page">
            <wp:posOffset>985519</wp:posOffset>
          </wp:positionH>
          <wp:positionV relativeFrom="page">
            <wp:posOffset>9638665</wp:posOffset>
          </wp:positionV>
          <wp:extent cx="5579744" cy="7619"/>
          <wp:effectExtent l="0" t="0" r="0" b="0"/>
          <wp:wrapNone/>
          <wp:docPr id="64" name="IM 64"/>
          <wp:cNvGraphicFramePr/>
          <a:graphic>
            <a:graphicData uri="http://schemas.openxmlformats.org/drawingml/2006/picture">
              <pic:pic>
                <pic:nvPicPr>
                  <pic:cNvPr id="64" name="IM 6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25"/>
        <w:w w:val="101"/>
      </w:rPr>
      <w:t xml:space="preserve"> </w:t>
    </w:r>
    <w:r>
      <w:rPr>
        <w:rFonts w:ascii="Microsoft YaHei" w:hAnsi="Microsoft YaHei" w:eastAsia="Microsoft YaHei" w:cs="Microsoft YaHei"/>
        <w:sz w:val="20"/>
        <w:szCs w:val="20"/>
        <w:spacing w:val="-6"/>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期总</w:t>
    </w:r>
    <w:r>
      <w:rPr>
        <w:rFonts w:ascii="Microsoft YaHei" w:hAnsi="Microsoft YaHei" w:eastAsia="Microsoft YaHei" w:cs="Microsoft YaHei"/>
        <w:sz w:val="20"/>
        <w:szCs w:val="20"/>
        <w:spacing w:val="7"/>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期// 21</w:t>
    </w:r>
  </w:p>
</w:ftr>
</file>

<file path=word/footer2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4"/>
      <w:spacing w:before="91" w:line="205" w:lineRule="auto"/>
      <w:rPr>
        <w:rFonts w:ascii="Microsoft YaHei" w:hAnsi="Microsoft YaHei" w:eastAsia="Microsoft YaHei" w:cs="Microsoft YaHei"/>
        <w:sz w:val="20"/>
        <w:szCs w:val="20"/>
      </w:rPr>
    </w:pPr>
    <w:r>
      <w:drawing>
        <wp:anchor distT="0" distB="0" distL="0" distR="0" simplePos="0" relativeHeight="251865088"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912" name="IM 912"/>
          <wp:cNvGraphicFramePr/>
          <a:graphic>
            <a:graphicData uri="http://schemas.openxmlformats.org/drawingml/2006/picture">
              <pic:pic>
                <pic:nvPicPr>
                  <pic:cNvPr id="912" name="IM 91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202//2021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6"/>
      <w:spacing w:before="94" w:line="205" w:lineRule="auto"/>
      <w:rPr>
        <w:rFonts w:ascii="Microsoft YaHei" w:hAnsi="Microsoft YaHei" w:eastAsia="Microsoft YaHei" w:cs="Microsoft YaHei"/>
        <w:sz w:val="20"/>
        <w:szCs w:val="20"/>
      </w:rPr>
    </w:pPr>
    <w:r>
      <w:drawing>
        <wp:anchor distT="0" distB="0" distL="0" distR="0" simplePos="0" relativeHeight="251866112"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918" name="IM 918"/>
          <wp:cNvGraphicFramePr/>
          <a:graphic>
            <a:graphicData uri="http://schemas.openxmlformats.org/drawingml/2006/picture">
              <pic:pic>
                <pic:nvPicPr>
                  <pic:cNvPr id="918" name="IM 91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期//203</w:t>
    </w:r>
  </w:p>
</w:ftr>
</file>

<file path=word/footer2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4"/>
      <w:spacing w:before="91" w:line="205" w:lineRule="auto"/>
      <w:rPr>
        <w:rFonts w:ascii="Microsoft YaHei" w:hAnsi="Microsoft YaHei" w:eastAsia="Microsoft YaHei" w:cs="Microsoft YaHei"/>
        <w:sz w:val="20"/>
        <w:szCs w:val="20"/>
      </w:rPr>
    </w:pPr>
    <w:r>
      <w:drawing>
        <wp:anchor distT="0" distB="0" distL="0" distR="0" simplePos="0" relativeHeight="251867136"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924" name="IM 924"/>
          <wp:cNvGraphicFramePr/>
          <a:graphic>
            <a:graphicData uri="http://schemas.openxmlformats.org/drawingml/2006/picture">
              <pic:pic>
                <pic:nvPicPr>
                  <pic:cNvPr id="924" name="IM 92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204//2021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6"/>
      <w:spacing w:before="94" w:line="205" w:lineRule="auto"/>
      <w:rPr>
        <w:rFonts w:ascii="Microsoft YaHei" w:hAnsi="Microsoft YaHei" w:eastAsia="Microsoft YaHei" w:cs="Microsoft YaHei"/>
        <w:sz w:val="20"/>
        <w:szCs w:val="20"/>
      </w:rPr>
    </w:pPr>
    <w:r>
      <w:drawing>
        <wp:anchor distT="0" distB="0" distL="0" distR="0" simplePos="0" relativeHeight="251868160"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930" name="IM 930"/>
          <wp:cNvGraphicFramePr/>
          <a:graphic>
            <a:graphicData uri="http://schemas.openxmlformats.org/drawingml/2006/picture">
              <pic:pic>
                <pic:nvPicPr>
                  <pic:cNvPr id="930" name="IM 93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期//205</w:t>
    </w:r>
  </w:p>
</w:ftr>
</file>

<file path=word/footer2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4"/>
      <w:spacing w:before="91" w:line="205" w:lineRule="auto"/>
      <w:rPr>
        <w:rFonts w:ascii="Microsoft YaHei" w:hAnsi="Microsoft YaHei" w:eastAsia="Microsoft YaHei" w:cs="Microsoft YaHei"/>
        <w:sz w:val="20"/>
        <w:szCs w:val="20"/>
      </w:rPr>
    </w:pPr>
    <w:r>
      <w:drawing>
        <wp:anchor distT="0" distB="0" distL="0" distR="0" simplePos="0" relativeHeight="251869184" behindDoc="0" locked="0" layoutInCell="0" allowOverlap="1">
          <wp:simplePos x="0" y="0"/>
          <wp:positionH relativeFrom="page">
            <wp:posOffset>993775</wp:posOffset>
          </wp:positionH>
          <wp:positionV relativeFrom="page">
            <wp:posOffset>9629775</wp:posOffset>
          </wp:positionV>
          <wp:extent cx="5579744" cy="7619"/>
          <wp:effectExtent l="0" t="0" r="0" b="0"/>
          <wp:wrapNone/>
          <wp:docPr id="936" name="IM 936"/>
          <wp:cNvGraphicFramePr/>
          <a:graphic>
            <a:graphicData uri="http://schemas.openxmlformats.org/drawingml/2006/picture">
              <pic:pic>
                <pic:nvPicPr>
                  <pic:cNvPr id="936" name="IM 93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206//2021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56"/>
      <w:spacing w:before="94" w:line="205" w:lineRule="auto"/>
      <w:rPr>
        <w:rFonts w:ascii="Microsoft YaHei" w:hAnsi="Microsoft YaHei" w:eastAsia="Microsoft YaHei" w:cs="Microsoft YaHei"/>
        <w:sz w:val="20"/>
        <w:szCs w:val="20"/>
      </w:rPr>
    </w:pPr>
    <w:r>
      <w:drawing>
        <wp:anchor distT="0" distB="0" distL="0" distR="0" simplePos="0" relativeHeight="251870208"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942" name="IM 942"/>
          <wp:cNvGraphicFramePr/>
          <a:graphic>
            <a:graphicData uri="http://schemas.openxmlformats.org/drawingml/2006/picture">
              <pic:pic>
                <pic:nvPicPr>
                  <pic:cNvPr id="942" name="IM 94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期//207</w:t>
    </w:r>
  </w:p>
</w:ftr>
</file>

<file path=word/footer2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140"/>
      <w:spacing w:before="94" w:line="205" w:lineRule="auto"/>
      <w:rPr>
        <w:rFonts w:ascii="Microsoft YaHei" w:hAnsi="Microsoft YaHei" w:eastAsia="Microsoft YaHei" w:cs="Microsoft YaHei"/>
        <w:sz w:val="20"/>
        <w:szCs w:val="20"/>
      </w:rPr>
    </w:pPr>
    <w:r>
      <w:drawing>
        <wp:anchor distT="0" distB="0" distL="0" distR="0" simplePos="0" relativeHeight="251872256" behindDoc="0" locked="0" layoutInCell="0" allowOverlap="1">
          <wp:simplePos x="0" y="0"/>
          <wp:positionH relativeFrom="page">
            <wp:posOffset>1008380</wp:posOffset>
          </wp:positionH>
          <wp:positionV relativeFrom="page">
            <wp:posOffset>6563359</wp:posOffset>
          </wp:positionV>
          <wp:extent cx="8712200" cy="7619"/>
          <wp:effectExtent l="0" t="0" r="0" b="0"/>
          <wp:wrapNone/>
          <wp:docPr id="954" name="IM 954"/>
          <wp:cNvGraphicFramePr/>
          <a:graphic>
            <a:graphicData uri="http://schemas.openxmlformats.org/drawingml/2006/picture">
              <pic:pic>
                <pic:nvPicPr>
                  <pic:cNvPr id="954" name="IM 954"/>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期//209</w:t>
    </w:r>
  </w:p>
</w:ftr>
</file>

<file path=word/footer2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
      <w:spacing w:before="91" w:line="205" w:lineRule="auto"/>
      <w:rPr>
        <w:rFonts w:ascii="Microsoft YaHei" w:hAnsi="Microsoft YaHei" w:eastAsia="Microsoft YaHei" w:cs="Microsoft YaHei"/>
        <w:sz w:val="20"/>
        <w:szCs w:val="20"/>
      </w:rPr>
    </w:pPr>
    <w:r>
      <w:drawing>
        <wp:anchor distT="0" distB="0" distL="0" distR="0" simplePos="0" relativeHeight="251873280" behindDoc="0" locked="0" layoutInCell="0" allowOverlap="1">
          <wp:simplePos x="0" y="0"/>
          <wp:positionH relativeFrom="page">
            <wp:posOffset>993775</wp:posOffset>
          </wp:positionH>
          <wp:positionV relativeFrom="page">
            <wp:posOffset>6497954</wp:posOffset>
          </wp:positionV>
          <wp:extent cx="8712200" cy="7620"/>
          <wp:effectExtent l="0" t="0" r="0" b="0"/>
          <wp:wrapNone/>
          <wp:docPr id="960" name="IM 960"/>
          <wp:cNvGraphicFramePr/>
          <a:graphic>
            <a:graphicData uri="http://schemas.openxmlformats.org/drawingml/2006/picture">
              <pic:pic>
                <pic:nvPicPr>
                  <pic:cNvPr id="960" name="IM 960"/>
                  <pic:cNvPicPr/>
                </pic:nvPicPr>
                <pic:blipFill>
                  <a:blip r:embed="rId1"/>
                  <a:stretch>
                    <a:fillRect/>
                  </a:stretch>
                </pic:blipFill>
                <pic:spPr>
                  <a:xfrm rot="0">
                    <a:off x="0" y="0"/>
                    <a:ext cx="8712200" cy="7620"/>
                  </a:xfrm>
                  <a:prstGeom prst="rect">
                    <a:avLst/>
                  </a:prstGeom>
                </pic:spPr>
              </pic:pic>
            </a:graphicData>
          </a:graphic>
        </wp:anchor>
      </w:drawing>
    </w:r>
    <w:r>
      <w:rPr>
        <w:rFonts w:ascii="Microsoft YaHei" w:hAnsi="Microsoft YaHei" w:eastAsia="Microsoft YaHei" w:cs="Microsoft YaHei"/>
        <w:sz w:val="20"/>
        <w:szCs w:val="20"/>
        <w:spacing w:val="-5"/>
      </w:rPr>
      <w:t>210//2021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133"/>
      <w:spacing w:before="94" w:line="205" w:lineRule="auto"/>
      <w:rPr>
        <w:rFonts w:ascii="Microsoft YaHei" w:hAnsi="Microsoft YaHei" w:eastAsia="Microsoft YaHei" w:cs="Microsoft YaHei"/>
        <w:sz w:val="20"/>
        <w:szCs w:val="20"/>
      </w:rPr>
    </w:pPr>
    <w:r>
      <w:drawing>
        <wp:anchor distT="0" distB="0" distL="0" distR="0" simplePos="0" relativeHeight="251874304" behindDoc="0" locked="0" layoutInCell="0" allowOverlap="1">
          <wp:simplePos x="0" y="0"/>
          <wp:positionH relativeFrom="page">
            <wp:posOffset>1008380</wp:posOffset>
          </wp:positionH>
          <wp:positionV relativeFrom="page">
            <wp:posOffset>6563359</wp:posOffset>
          </wp:positionV>
          <wp:extent cx="8712200" cy="7619"/>
          <wp:effectExtent l="0" t="0" r="0" b="0"/>
          <wp:wrapNone/>
          <wp:docPr id="966" name="IM 966"/>
          <wp:cNvGraphicFramePr/>
          <a:graphic>
            <a:graphicData uri="http://schemas.openxmlformats.org/drawingml/2006/picture">
              <pic:pic>
                <pic:nvPicPr>
                  <pic:cNvPr id="966" name="IM 966"/>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5"/>
      </w:rPr>
      <w:t>期总 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期//211</w:t>
    </w:r>
  </w:p>
</w:ftr>
</file>

<file path=word/footer2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94" w:line="205" w:lineRule="auto"/>
      <w:rPr>
        <w:rFonts w:ascii="Microsoft YaHei" w:hAnsi="Microsoft YaHei" w:eastAsia="Microsoft YaHei" w:cs="Microsoft YaHei"/>
        <w:sz w:val="20"/>
        <w:szCs w:val="20"/>
      </w:rPr>
    </w:pPr>
    <w:r>
      <w:drawing>
        <wp:anchor distT="0" distB="0" distL="0" distR="0" simplePos="0" relativeHeight="251875328"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972" name="IM 972"/>
          <wp:cNvGraphicFramePr/>
          <a:graphic>
            <a:graphicData uri="http://schemas.openxmlformats.org/drawingml/2006/picture">
              <pic:pic>
                <pic:nvPicPr>
                  <pic:cNvPr id="972" name="IM 97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212//2021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4"/>
      <w:spacing w:before="91" w:line="205" w:lineRule="auto"/>
      <w:rPr>
        <w:rFonts w:ascii="Microsoft YaHei" w:hAnsi="Microsoft YaHei" w:eastAsia="Microsoft YaHei" w:cs="Microsoft YaHei"/>
        <w:sz w:val="20"/>
        <w:szCs w:val="20"/>
      </w:rPr>
    </w:pPr>
    <w:r>
      <w:drawing>
        <wp:anchor distT="0" distB="0" distL="0" distR="0" simplePos="0" relativeHeight="251678720" behindDoc="0" locked="0" layoutInCell="0" allowOverlap="1">
          <wp:simplePos x="0" y="0"/>
          <wp:positionH relativeFrom="page">
            <wp:posOffset>990600</wp:posOffset>
          </wp:positionH>
          <wp:positionV relativeFrom="page">
            <wp:posOffset>9631680</wp:posOffset>
          </wp:positionV>
          <wp:extent cx="5579744" cy="7619"/>
          <wp:effectExtent l="0" t="0" r="0" b="0"/>
          <wp:wrapNone/>
          <wp:docPr id="66" name="IM 66"/>
          <wp:cNvGraphicFramePr/>
          <a:graphic>
            <a:graphicData uri="http://schemas.openxmlformats.org/drawingml/2006/picture">
              <pic:pic>
                <pic:nvPicPr>
                  <pic:cNvPr id="66" name="IM 6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22//2021 年第</w:t>
    </w:r>
    <w:r>
      <w:rPr>
        <w:rFonts w:ascii="Microsoft YaHei" w:hAnsi="Microsoft YaHei" w:eastAsia="Microsoft YaHei" w:cs="Microsoft YaHei"/>
        <w:sz w:val="20"/>
        <w:szCs w:val="20"/>
        <w:spacing w:val="37"/>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2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87" w:line="205" w:lineRule="auto"/>
      <w:rPr>
        <w:rFonts w:ascii="Microsoft YaHei" w:hAnsi="Microsoft YaHei" w:eastAsia="Microsoft YaHei" w:cs="Microsoft YaHei"/>
        <w:sz w:val="20"/>
        <w:szCs w:val="20"/>
      </w:rPr>
    </w:pPr>
    <w:r>
      <w:drawing>
        <wp:anchor distT="0" distB="0" distL="0" distR="0" simplePos="0" relativeHeight="251877376" behindDoc="0" locked="0" layoutInCell="0" allowOverlap="1">
          <wp:simplePos x="0" y="0"/>
          <wp:positionH relativeFrom="page">
            <wp:posOffset>1008380</wp:posOffset>
          </wp:positionH>
          <wp:positionV relativeFrom="page">
            <wp:posOffset>9699625</wp:posOffset>
          </wp:positionV>
          <wp:extent cx="5579745" cy="7619"/>
          <wp:effectExtent l="0" t="0" r="0" b="0"/>
          <wp:wrapNone/>
          <wp:docPr id="978" name="IM 978"/>
          <wp:cNvGraphicFramePr/>
          <a:graphic>
            <a:graphicData uri="http://schemas.openxmlformats.org/drawingml/2006/picture">
              <pic:pic>
                <pic:nvPicPr>
                  <pic:cNvPr id="978" name="IM 97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期/213</w:t>
    </w:r>
  </w:p>
</w:ftr>
</file>

<file path=word/footer2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94" w:line="205" w:lineRule="auto"/>
      <w:rPr>
        <w:rFonts w:ascii="Microsoft YaHei" w:hAnsi="Microsoft YaHei" w:eastAsia="Microsoft YaHei" w:cs="Microsoft YaHei"/>
        <w:sz w:val="20"/>
        <w:szCs w:val="20"/>
      </w:rPr>
    </w:pPr>
    <w:r>
      <w:drawing>
        <wp:anchor distT="0" distB="0" distL="0" distR="0" simplePos="0" relativeHeight="251879424"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982" name="IM 982"/>
          <wp:cNvGraphicFramePr/>
          <a:graphic>
            <a:graphicData uri="http://schemas.openxmlformats.org/drawingml/2006/picture">
              <pic:pic>
                <pic:nvPicPr>
                  <pic:cNvPr id="982" name="IM 98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214//2021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87" w:line="205" w:lineRule="auto"/>
      <w:rPr>
        <w:rFonts w:ascii="Microsoft YaHei" w:hAnsi="Microsoft YaHei" w:eastAsia="Microsoft YaHei" w:cs="Microsoft YaHei"/>
        <w:sz w:val="20"/>
        <w:szCs w:val="20"/>
      </w:rPr>
    </w:pPr>
    <w:r>
      <w:drawing>
        <wp:anchor distT="0" distB="0" distL="0" distR="0" simplePos="0" relativeHeight="251881472" behindDoc="0" locked="0" layoutInCell="0" allowOverlap="1">
          <wp:simplePos x="0" y="0"/>
          <wp:positionH relativeFrom="page">
            <wp:posOffset>1008380</wp:posOffset>
          </wp:positionH>
          <wp:positionV relativeFrom="page">
            <wp:posOffset>9699625</wp:posOffset>
          </wp:positionV>
          <wp:extent cx="5579745" cy="7619"/>
          <wp:effectExtent l="0" t="0" r="0" b="0"/>
          <wp:wrapNone/>
          <wp:docPr id="986" name="IM 986"/>
          <wp:cNvGraphicFramePr/>
          <a:graphic>
            <a:graphicData uri="http://schemas.openxmlformats.org/drawingml/2006/picture">
              <pic:pic>
                <pic:nvPicPr>
                  <pic:cNvPr id="986" name="IM 98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期/215</w:t>
    </w:r>
  </w:p>
</w:ftr>
</file>

<file path=word/footer2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94" w:line="205" w:lineRule="auto"/>
      <w:rPr>
        <w:rFonts w:ascii="Microsoft YaHei" w:hAnsi="Microsoft YaHei" w:eastAsia="Microsoft YaHei" w:cs="Microsoft YaHei"/>
        <w:sz w:val="20"/>
        <w:szCs w:val="20"/>
      </w:rPr>
    </w:pPr>
    <w:r>
      <w:drawing>
        <wp:anchor distT="0" distB="0" distL="0" distR="0" simplePos="0" relativeHeight="251883520"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990" name="IM 990"/>
          <wp:cNvGraphicFramePr/>
          <a:graphic>
            <a:graphicData uri="http://schemas.openxmlformats.org/drawingml/2006/picture">
              <pic:pic>
                <pic:nvPicPr>
                  <pic:cNvPr id="990" name="IM 99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216//2021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87" w:line="205" w:lineRule="auto"/>
      <w:rPr>
        <w:rFonts w:ascii="Microsoft YaHei" w:hAnsi="Microsoft YaHei" w:eastAsia="Microsoft YaHei" w:cs="Microsoft YaHei"/>
        <w:sz w:val="20"/>
        <w:szCs w:val="20"/>
      </w:rPr>
    </w:pPr>
    <w:r>
      <w:drawing>
        <wp:anchor distT="0" distB="0" distL="0" distR="0" simplePos="0" relativeHeight="251885568" behindDoc="0" locked="0" layoutInCell="0" allowOverlap="1">
          <wp:simplePos x="0" y="0"/>
          <wp:positionH relativeFrom="page">
            <wp:posOffset>1008380</wp:posOffset>
          </wp:positionH>
          <wp:positionV relativeFrom="page">
            <wp:posOffset>9699625</wp:posOffset>
          </wp:positionV>
          <wp:extent cx="5579745" cy="7619"/>
          <wp:effectExtent l="0" t="0" r="0" b="0"/>
          <wp:wrapNone/>
          <wp:docPr id="996" name="IM 996"/>
          <wp:cNvGraphicFramePr/>
          <a:graphic>
            <a:graphicData uri="http://schemas.openxmlformats.org/drawingml/2006/picture">
              <pic:pic>
                <pic:nvPicPr>
                  <pic:cNvPr id="996" name="IM 99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期/217</w:t>
    </w:r>
  </w:p>
</w:ftr>
</file>

<file path=word/footer2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5"/>
      <w:spacing w:before="94" w:line="205" w:lineRule="auto"/>
      <w:rPr>
        <w:rFonts w:ascii="Microsoft YaHei" w:hAnsi="Microsoft YaHei" w:eastAsia="Microsoft YaHei" w:cs="Microsoft YaHei"/>
        <w:sz w:val="20"/>
        <w:szCs w:val="20"/>
      </w:rPr>
    </w:pPr>
    <w:r>
      <w:drawing>
        <wp:anchor distT="0" distB="0" distL="0" distR="0" simplePos="0" relativeHeight="251887616"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1002" name="IM 1002"/>
          <wp:cNvGraphicFramePr/>
          <a:graphic>
            <a:graphicData uri="http://schemas.openxmlformats.org/drawingml/2006/picture">
              <pic:pic>
                <pic:nvPicPr>
                  <pic:cNvPr id="1002" name="IM 100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218//2021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04"/>
      <w:spacing w:before="87" w:line="205" w:lineRule="auto"/>
      <w:rPr>
        <w:rFonts w:ascii="Microsoft YaHei" w:hAnsi="Microsoft YaHei" w:eastAsia="Microsoft YaHei" w:cs="Microsoft YaHei"/>
        <w:sz w:val="20"/>
        <w:szCs w:val="20"/>
      </w:rPr>
    </w:pPr>
    <w:r>
      <w:drawing>
        <wp:anchor distT="0" distB="0" distL="0" distR="0" simplePos="0" relativeHeight="251889664" behindDoc="0" locked="0" layoutInCell="0" allowOverlap="1">
          <wp:simplePos x="0" y="0"/>
          <wp:positionH relativeFrom="page">
            <wp:posOffset>1008380</wp:posOffset>
          </wp:positionH>
          <wp:positionV relativeFrom="page">
            <wp:posOffset>9699625</wp:posOffset>
          </wp:positionV>
          <wp:extent cx="5579745" cy="7619"/>
          <wp:effectExtent l="0" t="0" r="0" b="0"/>
          <wp:wrapNone/>
          <wp:docPr id="1008" name="IM 1008"/>
          <wp:cNvGraphicFramePr/>
          <a:graphic>
            <a:graphicData uri="http://schemas.openxmlformats.org/drawingml/2006/picture">
              <pic:pic>
                <pic:nvPicPr>
                  <pic:cNvPr id="1008" name="IM 100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期/219</w:t>
    </w:r>
  </w:p>
</w:ftr>
</file>

<file path=word/footer2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94" w:line="205" w:lineRule="auto"/>
      <w:rPr>
        <w:rFonts w:ascii="Microsoft YaHei" w:hAnsi="Microsoft YaHei" w:eastAsia="Microsoft YaHei" w:cs="Microsoft YaHei"/>
        <w:sz w:val="20"/>
        <w:szCs w:val="20"/>
      </w:rPr>
    </w:pPr>
    <w:r>
      <w:drawing>
        <wp:anchor distT="0" distB="0" distL="0" distR="0" simplePos="0" relativeHeight="251891712"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1012" name="IM 1012"/>
          <wp:cNvGraphicFramePr/>
          <a:graphic>
            <a:graphicData uri="http://schemas.openxmlformats.org/drawingml/2006/picture">
              <pic:pic>
                <pic:nvPicPr>
                  <pic:cNvPr id="1012" name="IM 101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220//2021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87" w:line="205" w:lineRule="auto"/>
      <w:rPr>
        <w:rFonts w:ascii="Microsoft YaHei" w:hAnsi="Microsoft YaHei" w:eastAsia="Microsoft YaHei" w:cs="Microsoft YaHei"/>
        <w:sz w:val="20"/>
        <w:szCs w:val="20"/>
      </w:rPr>
    </w:pPr>
    <w:r>
      <w:drawing>
        <wp:anchor distT="0" distB="0" distL="0" distR="0" simplePos="0" relativeHeight="251893760" behindDoc="0" locked="0" layoutInCell="0" allowOverlap="1">
          <wp:simplePos x="0" y="0"/>
          <wp:positionH relativeFrom="page">
            <wp:posOffset>1008380</wp:posOffset>
          </wp:positionH>
          <wp:positionV relativeFrom="page">
            <wp:posOffset>9699625</wp:posOffset>
          </wp:positionV>
          <wp:extent cx="5579745" cy="7619"/>
          <wp:effectExtent l="0" t="0" r="0" b="0"/>
          <wp:wrapNone/>
          <wp:docPr id="1018" name="IM 1018"/>
          <wp:cNvGraphicFramePr/>
          <a:graphic>
            <a:graphicData uri="http://schemas.openxmlformats.org/drawingml/2006/picture">
              <pic:pic>
                <pic:nvPicPr>
                  <pic:cNvPr id="1018" name="IM 101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期/221</w:t>
    </w:r>
  </w:p>
</w:ftr>
</file>

<file path=word/footer2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94" w:line="205" w:lineRule="auto"/>
      <w:rPr>
        <w:rFonts w:ascii="Microsoft YaHei" w:hAnsi="Microsoft YaHei" w:eastAsia="Microsoft YaHei" w:cs="Microsoft YaHei"/>
        <w:sz w:val="20"/>
        <w:szCs w:val="20"/>
      </w:rPr>
    </w:pPr>
    <w:r>
      <w:drawing>
        <wp:anchor distT="0" distB="0" distL="0" distR="0" simplePos="0" relativeHeight="251895808"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1024" name="IM 1024"/>
          <wp:cNvGraphicFramePr/>
          <a:graphic>
            <a:graphicData uri="http://schemas.openxmlformats.org/drawingml/2006/picture">
              <pic:pic>
                <pic:nvPicPr>
                  <pic:cNvPr id="1024" name="IM 102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222//2021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73"/>
      <w:spacing w:before="66" w:line="206" w:lineRule="auto"/>
      <w:rPr>
        <w:rFonts w:ascii="Microsoft YaHei" w:hAnsi="Microsoft YaHei" w:eastAsia="Microsoft YaHei" w:cs="Microsoft YaHei"/>
        <w:sz w:val="20"/>
        <w:szCs w:val="20"/>
      </w:rPr>
    </w:pPr>
    <w:r>
      <w:drawing>
        <wp:anchor distT="0" distB="0" distL="0" distR="0" simplePos="0" relativeHeight="251679744" behindDoc="0" locked="0" layoutInCell="0" allowOverlap="1">
          <wp:simplePos x="0" y="0"/>
          <wp:positionH relativeFrom="page">
            <wp:posOffset>985519</wp:posOffset>
          </wp:positionH>
          <wp:positionV relativeFrom="page">
            <wp:posOffset>9638665</wp:posOffset>
          </wp:positionV>
          <wp:extent cx="5579744" cy="7619"/>
          <wp:effectExtent l="0" t="0" r="0" b="0"/>
          <wp:wrapNone/>
          <wp:docPr id="68" name="IM 68"/>
          <wp:cNvGraphicFramePr/>
          <a:graphic>
            <a:graphicData uri="http://schemas.openxmlformats.org/drawingml/2006/picture">
              <pic:pic>
                <pic:nvPicPr>
                  <pic:cNvPr id="68" name="IM 6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25"/>
        <w:w w:val="101"/>
      </w:rPr>
      <w:t xml:space="preserve"> </w:t>
    </w:r>
    <w:r>
      <w:rPr>
        <w:rFonts w:ascii="Microsoft YaHei" w:hAnsi="Microsoft YaHei" w:eastAsia="Microsoft YaHei" w:cs="Microsoft YaHei"/>
        <w:sz w:val="20"/>
        <w:szCs w:val="20"/>
        <w:spacing w:val="-6"/>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期总</w:t>
    </w:r>
    <w:r>
      <w:rPr>
        <w:rFonts w:ascii="Microsoft YaHei" w:hAnsi="Microsoft YaHei" w:eastAsia="Microsoft YaHei" w:cs="Microsoft YaHei"/>
        <w:sz w:val="20"/>
        <w:szCs w:val="20"/>
        <w:spacing w:val="7"/>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期// 23</w:t>
    </w:r>
  </w:p>
</w:ftr>
</file>

<file path=word/footer2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87" w:line="205" w:lineRule="auto"/>
      <w:rPr>
        <w:rFonts w:ascii="Microsoft YaHei" w:hAnsi="Microsoft YaHei" w:eastAsia="Microsoft YaHei" w:cs="Microsoft YaHei"/>
        <w:sz w:val="20"/>
        <w:szCs w:val="20"/>
      </w:rPr>
    </w:pPr>
    <w:r>
      <w:drawing>
        <wp:anchor distT="0" distB="0" distL="0" distR="0" simplePos="0" relativeHeight="251897856" behindDoc="0" locked="0" layoutInCell="0" allowOverlap="1">
          <wp:simplePos x="0" y="0"/>
          <wp:positionH relativeFrom="page">
            <wp:posOffset>1008380</wp:posOffset>
          </wp:positionH>
          <wp:positionV relativeFrom="page">
            <wp:posOffset>9699625</wp:posOffset>
          </wp:positionV>
          <wp:extent cx="5579745" cy="7619"/>
          <wp:effectExtent l="0" t="0" r="0" b="0"/>
          <wp:wrapNone/>
          <wp:docPr id="1030" name="IM 1030"/>
          <wp:cNvGraphicFramePr/>
          <a:graphic>
            <a:graphicData uri="http://schemas.openxmlformats.org/drawingml/2006/picture">
              <pic:pic>
                <pic:nvPicPr>
                  <pic:cNvPr id="1030" name="IM 103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期/223</w:t>
    </w:r>
  </w:p>
</w:ftr>
</file>

<file path=word/footer2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94" w:line="205" w:lineRule="auto"/>
      <w:rPr>
        <w:rFonts w:ascii="Microsoft YaHei" w:hAnsi="Microsoft YaHei" w:eastAsia="Microsoft YaHei" w:cs="Microsoft YaHei"/>
        <w:sz w:val="20"/>
        <w:szCs w:val="20"/>
      </w:rPr>
    </w:pPr>
    <w:r>
      <w:drawing>
        <wp:anchor distT="0" distB="0" distL="0" distR="0" simplePos="0" relativeHeight="251899904"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1034" name="IM 1034"/>
          <wp:cNvGraphicFramePr/>
          <a:graphic>
            <a:graphicData uri="http://schemas.openxmlformats.org/drawingml/2006/picture">
              <pic:pic>
                <pic:nvPicPr>
                  <pic:cNvPr id="1034" name="IM 103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224//2021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87" w:line="205" w:lineRule="auto"/>
      <w:rPr>
        <w:rFonts w:ascii="Microsoft YaHei" w:hAnsi="Microsoft YaHei" w:eastAsia="Microsoft YaHei" w:cs="Microsoft YaHei"/>
        <w:sz w:val="20"/>
        <w:szCs w:val="20"/>
      </w:rPr>
    </w:pPr>
    <w:r>
      <w:drawing>
        <wp:anchor distT="0" distB="0" distL="0" distR="0" simplePos="0" relativeHeight="251901952" behindDoc="0" locked="0" layoutInCell="0" allowOverlap="1">
          <wp:simplePos x="0" y="0"/>
          <wp:positionH relativeFrom="page">
            <wp:posOffset>1008380</wp:posOffset>
          </wp:positionH>
          <wp:positionV relativeFrom="page">
            <wp:posOffset>9699625</wp:posOffset>
          </wp:positionV>
          <wp:extent cx="5579745" cy="7619"/>
          <wp:effectExtent l="0" t="0" r="0" b="0"/>
          <wp:wrapNone/>
          <wp:docPr id="1040" name="IM 1040"/>
          <wp:cNvGraphicFramePr/>
          <a:graphic>
            <a:graphicData uri="http://schemas.openxmlformats.org/drawingml/2006/picture">
              <pic:pic>
                <pic:nvPicPr>
                  <pic:cNvPr id="1040" name="IM 104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期/225</w:t>
    </w:r>
  </w:p>
</w:ftr>
</file>

<file path=word/footer2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0"/>
      <w:spacing w:before="94" w:line="205" w:lineRule="auto"/>
      <w:rPr>
        <w:rFonts w:ascii="Microsoft YaHei" w:hAnsi="Microsoft YaHei" w:eastAsia="Microsoft YaHei" w:cs="Microsoft YaHei"/>
        <w:sz w:val="20"/>
        <w:szCs w:val="20"/>
      </w:rPr>
    </w:pPr>
    <w:r>
      <w:drawing>
        <wp:anchor distT="0" distB="0" distL="0" distR="0" simplePos="0" relativeHeight="251904000"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1046" name="IM 1046"/>
          <wp:cNvGraphicFramePr/>
          <a:graphic>
            <a:graphicData uri="http://schemas.openxmlformats.org/drawingml/2006/picture">
              <pic:pic>
                <pic:nvPicPr>
                  <pic:cNvPr id="1046" name="IM 104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226//2021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87" w:line="205" w:lineRule="auto"/>
      <w:rPr>
        <w:rFonts w:ascii="Microsoft YaHei" w:hAnsi="Microsoft YaHei" w:eastAsia="Microsoft YaHei" w:cs="Microsoft YaHei"/>
        <w:sz w:val="20"/>
        <w:szCs w:val="20"/>
      </w:rPr>
    </w:pPr>
    <w:r>
      <w:drawing>
        <wp:anchor distT="0" distB="0" distL="0" distR="0" simplePos="0" relativeHeight="251906048" behindDoc="0" locked="0" layoutInCell="0" allowOverlap="1">
          <wp:simplePos x="0" y="0"/>
          <wp:positionH relativeFrom="page">
            <wp:posOffset>1008380</wp:posOffset>
          </wp:positionH>
          <wp:positionV relativeFrom="page">
            <wp:posOffset>9699625</wp:posOffset>
          </wp:positionV>
          <wp:extent cx="5579745" cy="7619"/>
          <wp:effectExtent l="0" t="0" r="0" b="0"/>
          <wp:wrapNone/>
          <wp:docPr id="1052" name="IM 1052"/>
          <wp:cNvGraphicFramePr/>
          <a:graphic>
            <a:graphicData uri="http://schemas.openxmlformats.org/drawingml/2006/picture">
              <pic:pic>
                <pic:nvPicPr>
                  <pic:cNvPr id="1052" name="IM 105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期/227</w:t>
    </w:r>
  </w:p>
</w:ftr>
</file>

<file path=word/footer2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94" w:line="205" w:lineRule="auto"/>
      <w:rPr>
        <w:rFonts w:ascii="Microsoft YaHei" w:hAnsi="Microsoft YaHei" w:eastAsia="Microsoft YaHei" w:cs="Microsoft YaHei"/>
        <w:sz w:val="20"/>
        <w:szCs w:val="20"/>
      </w:rPr>
    </w:pPr>
    <w:r>
      <w:drawing>
        <wp:anchor distT="0" distB="0" distL="0" distR="0" simplePos="0" relativeHeight="251908096"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1058" name="IM 1058"/>
          <wp:cNvGraphicFramePr/>
          <a:graphic>
            <a:graphicData uri="http://schemas.openxmlformats.org/drawingml/2006/picture">
              <pic:pic>
                <pic:nvPicPr>
                  <pic:cNvPr id="1058" name="IM 105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228//2021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87" w:line="205" w:lineRule="auto"/>
      <w:rPr>
        <w:rFonts w:ascii="Microsoft YaHei" w:hAnsi="Microsoft YaHei" w:eastAsia="Microsoft YaHei" w:cs="Microsoft YaHei"/>
        <w:sz w:val="20"/>
        <w:szCs w:val="20"/>
      </w:rPr>
    </w:pPr>
    <w:r>
      <w:drawing>
        <wp:anchor distT="0" distB="0" distL="0" distR="0" simplePos="0" relativeHeight="251910144" behindDoc="0" locked="0" layoutInCell="0" allowOverlap="1">
          <wp:simplePos x="0" y="0"/>
          <wp:positionH relativeFrom="page">
            <wp:posOffset>1008380</wp:posOffset>
          </wp:positionH>
          <wp:positionV relativeFrom="page">
            <wp:posOffset>9699625</wp:posOffset>
          </wp:positionV>
          <wp:extent cx="5579745" cy="7619"/>
          <wp:effectExtent l="0" t="0" r="0" b="0"/>
          <wp:wrapNone/>
          <wp:docPr id="1064" name="IM 1064"/>
          <wp:cNvGraphicFramePr/>
          <a:graphic>
            <a:graphicData uri="http://schemas.openxmlformats.org/drawingml/2006/picture">
              <pic:pic>
                <pic:nvPicPr>
                  <pic:cNvPr id="1064" name="IM 106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期/229</w:t>
    </w:r>
  </w:p>
</w:ftr>
</file>

<file path=word/footer2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94" w:line="205" w:lineRule="auto"/>
      <w:rPr>
        <w:rFonts w:ascii="Microsoft YaHei" w:hAnsi="Microsoft YaHei" w:eastAsia="Microsoft YaHei" w:cs="Microsoft YaHei"/>
        <w:sz w:val="20"/>
        <w:szCs w:val="20"/>
      </w:rPr>
    </w:pPr>
    <w:r>
      <w:drawing>
        <wp:anchor distT="0" distB="0" distL="0" distR="0" simplePos="0" relativeHeight="251912192"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1070" name="IM 1070"/>
          <wp:cNvGraphicFramePr/>
          <a:graphic>
            <a:graphicData uri="http://schemas.openxmlformats.org/drawingml/2006/picture">
              <pic:pic>
                <pic:nvPicPr>
                  <pic:cNvPr id="1070" name="IM 107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230//2021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87" w:line="205" w:lineRule="auto"/>
      <w:rPr>
        <w:rFonts w:ascii="Microsoft YaHei" w:hAnsi="Microsoft YaHei" w:eastAsia="Microsoft YaHei" w:cs="Microsoft YaHei"/>
        <w:sz w:val="20"/>
        <w:szCs w:val="20"/>
      </w:rPr>
    </w:pPr>
    <w:r>
      <w:drawing>
        <wp:anchor distT="0" distB="0" distL="0" distR="0" simplePos="0" relativeHeight="251914240" behindDoc="0" locked="0" layoutInCell="0" allowOverlap="1">
          <wp:simplePos x="0" y="0"/>
          <wp:positionH relativeFrom="page">
            <wp:posOffset>1008380</wp:posOffset>
          </wp:positionH>
          <wp:positionV relativeFrom="page">
            <wp:posOffset>9699625</wp:posOffset>
          </wp:positionV>
          <wp:extent cx="5579745" cy="7619"/>
          <wp:effectExtent l="0" t="0" r="0" b="0"/>
          <wp:wrapNone/>
          <wp:docPr id="1076" name="IM 1076"/>
          <wp:cNvGraphicFramePr/>
          <a:graphic>
            <a:graphicData uri="http://schemas.openxmlformats.org/drawingml/2006/picture">
              <pic:pic>
                <pic:nvPicPr>
                  <pic:cNvPr id="1076" name="IM 107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期/231</w:t>
    </w:r>
  </w:p>
</w:ftr>
</file>

<file path=word/footer2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94" w:line="205" w:lineRule="auto"/>
      <w:rPr>
        <w:rFonts w:ascii="Microsoft YaHei" w:hAnsi="Microsoft YaHei" w:eastAsia="Microsoft YaHei" w:cs="Microsoft YaHei"/>
        <w:sz w:val="20"/>
        <w:szCs w:val="20"/>
      </w:rPr>
    </w:pPr>
    <w:r>
      <w:drawing>
        <wp:anchor distT="0" distB="0" distL="0" distR="0" simplePos="0" relativeHeight="251916288"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1080" name="IM 1080"/>
          <wp:cNvGraphicFramePr/>
          <a:graphic>
            <a:graphicData uri="http://schemas.openxmlformats.org/drawingml/2006/picture">
              <pic:pic>
                <pic:nvPicPr>
                  <pic:cNvPr id="1080" name="IM 108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232//2021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4"/>
      <w:spacing w:before="91" w:line="205" w:lineRule="auto"/>
      <w:rPr>
        <w:rFonts w:ascii="Microsoft YaHei" w:hAnsi="Microsoft YaHei" w:eastAsia="Microsoft YaHei" w:cs="Microsoft YaHei"/>
        <w:sz w:val="20"/>
        <w:szCs w:val="20"/>
      </w:rPr>
    </w:pPr>
    <w:r>
      <w:drawing>
        <wp:anchor distT="0" distB="0" distL="0" distR="0" simplePos="0" relativeHeight="251680768" behindDoc="0" locked="0" layoutInCell="0" allowOverlap="1">
          <wp:simplePos x="0" y="0"/>
          <wp:positionH relativeFrom="page">
            <wp:posOffset>990600</wp:posOffset>
          </wp:positionH>
          <wp:positionV relativeFrom="page">
            <wp:posOffset>9631680</wp:posOffset>
          </wp:positionV>
          <wp:extent cx="5579744" cy="7619"/>
          <wp:effectExtent l="0" t="0" r="0" b="0"/>
          <wp:wrapNone/>
          <wp:docPr id="70" name="IM 70"/>
          <wp:cNvGraphicFramePr/>
          <a:graphic>
            <a:graphicData uri="http://schemas.openxmlformats.org/drawingml/2006/picture">
              <pic:pic>
                <pic:nvPicPr>
                  <pic:cNvPr id="70" name="IM 7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24//2021 年第</w:t>
    </w:r>
    <w:r>
      <w:rPr>
        <w:rFonts w:ascii="Microsoft YaHei" w:hAnsi="Microsoft YaHei" w:eastAsia="Microsoft YaHei" w:cs="Microsoft YaHei"/>
        <w:sz w:val="20"/>
        <w:szCs w:val="20"/>
        <w:spacing w:val="37"/>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2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87" w:line="205" w:lineRule="auto"/>
      <w:rPr>
        <w:rFonts w:ascii="Microsoft YaHei" w:hAnsi="Microsoft YaHei" w:eastAsia="Microsoft YaHei" w:cs="Microsoft YaHei"/>
        <w:sz w:val="20"/>
        <w:szCs w:val="20"/>
      </w:rPr>
    </w:pPr>
    <w:r>
      <w:drawing>
        <wp:anchor distT="0" distB="0" distL="0" distR="0" simplePos="0" relativeHeight="251918336" behindDoc="0" locked="0" layoutInCell="0" allowOverlap="1">
          <wp:simplePos x="0" y="0"/>
          <wp:positionH relativeFrom="page">
            <wp:posOffset>1008380</wp:posOffset>
          </wp:positionH>
          <wp:positionV relativeFrom="page">
            <wp:posOffset>9699625</wp:posOffset>
          </wp:positionV>
          <wp:extent cx="5579745" cy="7619"/>
          <wp:effectExtent l="0" t="0" r="0" b="0"/>
          <wp:wrapNone/>
          <wp:docPr id="1086" name="IM 1086"/>
          <wp:cNvGraphicFramePr/>
          <a:graphic>
            <a:graphicData uri="http://schemas.openxmlformats.org/drawingml/2006/picture">
              <pic:pic>
                <pic:nvPicPr>
                  <pic:cNvPr id="1086" name="IM 108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期/233</w:t>
    </w:r>
  </w:p>
</w:ftr>
</file>

<file path=word/footer2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94" w:line="205" w:lineRule="auto"/>
      <w:rPr>
        <w:rFonts w:ascii="Microsoft YaHei" w:hAnsi="Microsoft YaHei" w:eastAsia="Microsoft YaHei" w:cs="Microsoft YaHei"/>
        <w:sz w:val="20"/>
        <w:szCs w:val="20"/>
      </w:rPr>
    </w:pPr>
    <w:r>
      <w:drawing>
        <wp:anchor distT="0" distB="0" distL="0" distR="0" simplePos="0" relativeHeight="251920384"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1090" name="IM 1090"/>
          <wp:cNvGraphicFramePr/>
          <a:graphic>
            <a:graphicData uri="http://schemas.openxmlformats.org/drawingml/2006/picture">
              <pic:pic>
                <pic:nvPicPr>
                  <pic:cNvPr id="1090" name="IM 109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234//2021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87" w:line="205" w:lineRule="auto"/>
      <w:rPr>
        <w:rFonts w:ascii="Microsoft YaHei" w:hAnsi="Microsoft YaHei" w:eastAsia="Microsoft YaHei" w:cs="Microsoft YaHei"/>
        <w:sz w:val="20"/>
        <w:szCs w:val="20"/>
      </w:rPr>
    </w:pPr>
    <w:r>
      <w:drawing>
        <wp:anchor distT="0" distB="0" distL="0" distR="0" simplePos="0" relativeHeight="251922432" behindDoc="0" locked="0" layoutInCell="0" allowOverlap="1">
          <wp:simplePos x="0" y="0"/>
          <wp:positionH relativeFrom="page">
            <wp:posOffset>1008380</wp:posOffset>
          </wp:positionH>
          <wp:positionV relativeFrom="page">
            <wp:posOffset>9699625</wp:posOffset>
          </wp:positionV>
          <wp:extent cx="5579745" cy="7619"/>
          <wp:effectExtent l="0" t="0" r="0" b="0"/>
          <wp:wrapNone/>
          <wp:docPr id="1096" name="IM 1096"/>
          <wp:cNvGraphicFramePr/>
          <a:graphic>
            <a:graphicData uri="http://schemas.openxmlformats.org/drawingml/2006/picture">
              <pic:pic>
                <pic:nvPicPr>
                  <pic:cNvPr id="1096" name="IM 109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期/235</w:t>
    </w:r>
  </w:p>
</w:ftr>
</file>

<file path=word/footer2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5"/>
      <w:spacing w:before="94" w:line="205" w:lineRule="auto"/>
      <w:rPr>
        <w:rFonts w:ascii="Microsoft YaHei" w:hAnsi="Microsoft YaHei" w:eastAsia="Microsoft YaHei" w:cs="Microsoft YaHei"/>
        <w:sz w:val="20"/>
        <w:szCs w:val="20"/>
      </w:rPr>
    </w:pPr>
    <w:r>
      <w:drawing>
        <wp:anchor distT="0" distB="0" distL="0" distR="0" simplePos="0" relativeHeight="251924480"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1102" name="IM 1102"/>
          <wp:cNvGraphicFramePr/>
          <a:graphic>
            <a:graphicData uri="http://schemas.openxmlformats.org/drawingml/2006/picture">
              <pic:pic>
                <pic:nvPicPr>
                  <pic:cNvPr id="1102" name="IM 110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236//2021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28"/>
      <w:spacing w:before="87" w:line="205" w:lineRule="auto"/>
      <w:rPr>
        <w:rFonts w:ascii="Microsoft YaHei" w:hAnsi="Microsoft YaHei" w:eastAsia="Microsoft YaHei" w:cs="Microsoft YaHei"/>
        <w:sz w:val="20"/>
        <w:szCs w:val="20"/>
      </w:rPr>
    </w:pPr>
    <w:r>
      <w:drawing>
        <wp:anchor distT="0" distB="0" distL="0" distR="0" simplePos="0" relativeHeight="251926528" behindDoc="0" locked="0" layoutInCell="0" allowOverlap="1">
          <wp:simplePos x="0" y="0"/>
          <wp:positionH relativeFrom="page">
            <wp:posOffset>1008380</wp:posOffset>
          </wp:positionH>
          <wp:positionV relativeFrom="page">
            <wp:posOffset>9699625</wp:posOffset>
          </wp:positionV>
          <wp:extent cx="5579745" cy="7619"/>
          <wp:effectExtent l="0" t="0" r="0" b="0"/>
          <wp:wrapNone/>
          <wp:docPr id="1108" name="IM 1108"/>
          <wp:cNvGraphicFramePr/>
          <a:graphic>
            <a:graphicData uri="http://schemas.openxmlformats.org/drawingml/2006/picture">
              <pic:pic>
                <pic:nvPicPr>
                  <pic:cNvPr id="1108" name="IM 110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期/237</w:t>
    </w:r>
  </w:p>
</w:ftr>
</file>

<file path=word/footer2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5"/>
      <w:spacing w:before="94" w:line="205" w:lineRule="auto"/>
      <w:rPr>
        <w:rFonts w:ascii="Microsoft YaHei" w:hAnsi="Microsoft YaHei" w:eastAsia="Microsoft YaHei" w:cs="Microsoft YaHei"/>
        <w:sz w:val="20"/>
        <w:szCs w:val="20"/>
      </w:rPr>
    </w:pPr>
    <w:r>
      <w:drawing>
        <wp:anchor distT="0" distB="0" distL="0" distR="0" simplePos="0" relativeHeight="251928576"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1114" name="IM 1114"/>
          <wp:cNvGraphicFramePr/>
          <a:graphic>
            <a:graphicData uri="http://schemas.openxmlformats.org/drawingml/2006/picture">
              <pic:pic>
                <pic:nvPicPr>
                  <pic:cNvPr id="1114" name="IM 111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238//2021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87" w:line="205" w:lineRule="auto"/>
      <w:rPr>
        <w:rFonts w:ascii="Microsoft YaHei" w:hAnsi="Microsoft YaHei" w:eastAsia="Microsoft YaHei" w:cs="Microsoft YaHei"/>
        <w:sz w:val="20"/>
        <w:szCs w:val="20"/>
      </w:rPr>
    </w:pPr>
    <w:r>
      <w:drawing>
        <wp:anchor distT="0" distB="0" distL="0" distR="0" simplePos="0" relativeHeight="251930624" behindDoc="0" locked="0" layoutInCell="0" allowOverlap="1">
          <wp:simplePos x="0" y="0"/>
          <wp:positionH relativeFrom="page">
            <wp:posOffset>1008380</wp:posOffset>
          </wp:positionH>
          <wp:positionV relativeFrom="page">
            <wp:posOffset>9699625</wp:posOffset>
          </wp:positionV>
          <wp:extent cx="5579745" cy="7619"/>
          <wp:effectExtent l="0" t="0" r="0" b="0"/>
          <wp:wrapNone/>
          <wp:docPr id="1120" name="IM 1120"/>
          <wp:cNvGraphicFramePr/>
          <a:graphic>
            <a:graphicData uri="http://schemas.openxmlformats.org/drawingml/2006/picture">
              <pic:pic>
                <pic:nvPicPr>
                  <pic:cNvPr id="1120" name="IM 112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期/239</w:t>
    </w:r>
  </w:p>
</w:ftr>
</file>

<file path=word/footer2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5"/>
      <w:spacing w:before="94" w:line="205" w:lineRule="auto"/>
      <w:rPr>
        <w:rFonts w:ascii="Microsoft YaHei" w:hAnsi="Microsoft YaHei" w:eastAsia="Microsoft YaHei" w:cs="Microsoft YaHei"/>
        <w:sz w:val="20"/>
        <w:szCs w:val="20"/>
      </w:rPr>
    </w:pPr>
    <w:r>
      <w:drawing>
        <wp:anchor distT="0" distB="0" distL="0" distR="0" simplePos="0" relativeHeight="251932672"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1126" name="IM 1126"/>
          <wp:cNvGraphicFramePr/>
          <a:graphic>
            <a:graphicData uri="http://schemas.openxmlformats.org/drawingml/2006/picture">
              <pic:pic>
                <pic:nvPicPr>
                  <pic:cNvPr id="1126" name="IM 112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240//2021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87" w:line="205" w:lineRule="auto"/>
      <w:rPr>
        <w:rFonts w:ascii="Microsoft YaHei" w:hAnsi="Microsoft YaHei" w:eastAsia="Microsoft YaHei" w:cs="Microsoft YaHei"/>
        <w:sz w:val="20"/>
        <w:szCs w:val="20"/>
      </w:rPr>
    </w:pPr>
    <w:r>
      <w:drawing>
        <wp:anchor distT="0" distB="0" distL="0" distR="0" simplePos="0" relativeHeight="251934720" behindDoc="0" locked="0" layoutInCell="0" allowOverlap="1">
          <wp:simplePos x="0" y="0"/>
          <wp:positionH relativeFrom="page">
            <wp:posOffset>1008380</wp:posOffset>
          </wp:positionH>
          <wp:positionV relativeFrom="page">
            <wp:posOffset>9699625</wp:posOffset>
          </wp:positionV>
          <wp:extent cx="5579745" cy="7619"/>
          <wp:effectExtent l="0" t="0" r="0" b="0"/>
          <wp:wrapNone/>
          <wp:docPr id="1130" name="IM 1130"/>
          <wp:cNvGraphicFramePr/>
          <a:graphic>
            <a:graphicData uri="http://schemas.openxmlformats.org/drawingml/2006/picture">
              <pic:pic>
                <pic:nvPicPr>
                  <pic:cNvPr id="1130" name="IM 113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期/241</w:t>
    </w:r>
  </w:p>
</w:ftr>
</file>

<file path=word/footer2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
      <w:spacing w:before="94" w:line="205" w:lineRule="auto"/>
      <w:rPr>
        <w:rFonts w:ascii="Microsoft YaHei" w:hAnsi="Microsoft YaHei" w:eastAsia="Microsoft YaHei" w:cs="Microsoft YaHei"/>
        <w:sz w:val="20"/>
        <w:szCs w:val="20"/>
      </w:rPr>
    </w:pPr>
    <w:r>
      <w:drawing>
        <wp:anchor distT="0" distB="0" distL="0" distR="0" simplePos="0" relativeHeight="251936768"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1136" name="IM 1136"/>
          <wp:cNvGraphicFramePr/>
          <a:graphic>
            <a:graphicData uri="http://schemas.openxmlformats.org/drawingml/2006/picture">
              <pic:pic>
                <pic:nvPicPr>
                  <pic:cNvPr id="1136" name="IM 113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242//2021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73"/>
      <w:spacing w:before="66" w:line="206" w:lineRule="auto"/>
      <w:rPr>
        <w:rFonts w:ascii="Microsoft YaHei" w:hAnsi="Microsoft YaHei" w:eastAsia="Microsoft YaHei" w:cs="Microsoft YaHei"/>
        <w:sz w:val="20"/>
        <w:szCs w:val="20"/>
      </w:rPr>
    </w:pPr>
    <w:r>
      <w:drawing>
        <wp:anchor distT="0" distB="0" distL="0" distR="0" simplePos="0" relativeHeight="251681792" behindDoc="0" locked="0" layoutInCell="0" allowOverlap="1">
          <wp:simplePos x="0" y="0"/>
          <wp:positionH relativeFrom="page">
            <wp:posOffset>985519</wp:posOffset>
          </wp:positionH>
          <wp:positionV relativeFrom="page">
            <wp:posOffset>9638665</wp:posOffset>
          </wp:positionV>
          <wp:extent cx="5579744" cy="7619"/>
          <wp:effectExtent l="0" t="0" r="0" b="0"/>
          <wp:wrapNone/>
          <wp:docPr id="72" name="IM 72"/>
          <wp:cNvGraphicFramePr/>
          <a:graphic>
            <a:graphicData uri="http://schemas.openxmlformats.org/drawingml/2006/picture">
              <pic:pic>
                <pic:nvPicPr>
                  <pic:cNvPr id="72" name="IM 7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25"/>
        <w:w w:val="101"/>
      </w:rPr>
      <w:t xml:space="preserve"> </w:t>
    </w:r>
    <w:r>
      <w:rPr>
        <w:rFonts w:ascii="Microsoft YaHei" w:hAnsi="Microsoft YaHei" w:eastAsia="Microsoft YaHei" w:cs="Microsoft YaHei"/>
        <w:sz w:val="20"/>
        <w:szCs w:val="20"/>
        <w:spacing w:val="-6"/>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期总</w:t>
    </w:r>
    <w:r>
      <w:rPr>
        <w:rFonts w:ascii="Microsoft YaHei" w:hAnsi="Microsoft YaHei" w:eastAsia="Microsoft YaHei" w:cs="Microsoft YaHei"/>
        <w:sz w:val="20"/>
        <w:szCs w:val="20"/>
        <w:spacing w:val="7"/>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期// 25</w:t>
    </w:r>
  </w:p>
</w:ftr>
</file>

<file path=word/footer2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28"/>
      <w:spacing w:before="87" w:line="205" w:lineRule="auto"/>
      <w:rPr>
        <w:rFonts w:ascii="Microsoft YaHei" w:hAnsi="Microsoft YaHei" w:eastAsia="Microsoft YaHei" w:cs="Microsoft YaHei"/>
        <w:sz w:val="20"/>
        <w:szCs w:val="20"/>
      </w:rPr>
    </w:pPr>
    <w:r>
      <w:drawing>
        <wp:anchor distT="0" distB="0" distL="0" distR="0" simplePos="0" relativeHeight="251938816" behindDoc="0" locked="0" layoutInCell="0" allowOverlap="1">
          <wp:simplePos x="0" y="0"/>
          <wp:positionH relativeFrom="page">
            <wp:posOffset>1008380</wp:posOffset>
          </wp:positionH>
          <wp:positionV relativeFrom="page">
            <wp:posOffset>9699625</wp:posOffset>
          </wp:positionV>
          <wp:extent cx="5579745" cy="7619"/>
          <wp:effectExtent l="0" t="0" r="0" b="0"/>
          <wp:wrapNone/>
          <wp:docPr id="1142" name="IM 1142"/>
          <wp:cNvGraphicFramePr/>
          <a:graphic>
            <a:graphicData uri="http://schemas.openxmlformats.org/drawingml/2006/picture">
              <pic:pic>
                <pic:nvPicPr>
                  <pic:cNvPr id="1142" name="IM 114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期/243</w:t>
    </w:r>
  </w:p>
</w:ftr>
</file>

<file path=word/footer2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3"/>
      <w:spacing w:before="94" w:line="205" w:lineRule="auto"/>
      <w:rPr>
        <w:rFonts w:ascii="Microsoft YaHei" w:hAnsi="Microsoft YaHei" w:eastAsia="Microsoft YaHei" w:cs="Microsoft YaHei"/>
        <w:sz w:val="20"/>
        <w:szCs w:val="20"/>
      </w:rPr>
    </w:pPr>
    <w:r>
      <w:drawing>
        <wp:anchor distT="0" distB="0" distL="0" distR="0" simplePos="0" relativeHeight="251940864"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1148" name="IM 1148"/>
          <wp:cNvGraphicFramePr/>
          <a:graphic>
            <a:graphicData uri="http://schemas.openxmlformats.org/drawingml/2006/picture">
              <pic:pic>
                <pic:nvPicPr>
                  <pic:cNvPr id="1148" name="IM 114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244//2021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87" w:line="205" w:lineRule="auto"/>
      <w:rPr>
        <w:rFonts w:ascii="Microsoft YaHei" w:hAnsi="Microsoft YaHei" w:eastAsia="Microsoft YaHei" w:cs="Microsoft YaHei"/>
        <w:sz w:val="20"/>
        <w:szCs w:val="20"/>
      </w:rPr>
    </w:pPr>
    <w:r>
      <w:drawing>
        <wp:anchor distT="0" distB="0" distL="0" distR="0" simplePos="0" relativeHeight="251942912" behindDoc="0" locked="0" layoutInCell="0" allowOverlap="1">
          <wp:simplePos x="0" y="0"/>
          <wp:positionH relativeFrom="page">
            <wp:posOffset>1008380</wp:posOffset>
          </wp:positionH>
          <wp:positionV relativeFrom="page">
            <wp:posOffset>9699625</wp:posOffset>
          </wp:positionV>
          <wp:extent cx="5579745" cy="7619"/>
          <wp:effectExtent l="0" t="0" r="0" b="0"/>
          <wp:wrapNone/>
          <wp:docPr id="1154" name="IM 1154"/>
          <wp:cNvGraphicFramePr/>
          <a:graphic>
            <a:graphicData uri="http://schemas.openxmlformats.org/drawingml/2006/picture">
              <pic:pic>
                <pic:nvPicPr>
                  <pic:cNvPr id="1154" name="IM 115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期/245</w:t>
    </w:r>
  </w:p>
</w:ftr>
</file>

<file path=word/footer2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94" w:line="205" w:lineRule="auto"/>
      <w:rPr>
        <w:rFonts w:ascii="Microsoft YaHei" w:hAnsi="Microsoft YaHei" w:eastAsia="Microsoft YaHei" w:cs="Microsoft YaHei"/>
        <w:sz w:val="20"/>
        <w:szCs w:val="20"/>
      </w:rPr>
    </w:pPr>
    <w:r>
      <w:drawing>
        <wp:anchor distT="0" distB="0" distL="0" distR="0" simplePos="0" relativeHeight="251944960"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1158" name="IM 1158"/>
          <wp:cNvGraphicFramePr/>
          <a:graphic>
            <a:graphicData uri="http://schemas.openxmlformats.org/drawingml/2006/picture">
              <pic:pic>
                <pic:nvPicPr>
                  <pic:cNvPr id="1158" name="IM 115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246//2021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87" w:line="205" w:lineRule="auto"/>
      <w:rPr>
        <w:rFonts w:ascii="Microsoft YaHei" w:hAnsi="Microsoft YaHei" w:eastAsia="Microsoft YaHei" w:cs="Microsoft YaHei"/>
        <w:sz w:val="20"/>
        <w:szCs w:val="20"/>
      </w:rPr>
    </w:pPr>
    <w:r>
      <w:drawing>
        <wp:anchor distT="0" distB="0" distL="0" distR="0" simplePos="0" relativeHeight="251947008" behindDoc="0" locked="0" layoutInCell="0" allowOverlap="1">
          <wp:simplePos x="0" y="0"/>
          <wp:positionH relativeFrom="page">
            <wp:posOffset>1008380</wp:posOffset>
          </wp:positionH>
          <wp:positionV relativeFrom="page">
            <wp:posOffset>9699625</wp:posOffset>
          </wp:positionV>
          <wp:extent cx="5579745" cy="7619"/>
          <wp:effectExtent l="0" t="0" r="0" b="0"/>
          <wp:wrapNone/>
          <wp:docPr id="1164" name="IM 1164"/>
          <wp:cNvGraphicFramePr/>
          <a:graphic>
            <a:graphicData uri="http://schemas.openxmlformats.org/drawingml/2006/picture">
              <pic:pic>
                <pic:nvPicPr>
                  <pic:cNvPr id="1164" name="IM 116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期/247</w:t>
    </w:r>
  </w:p>
</w:ftr>
</file>

<file path=word/footer2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94" w:line="205" w:lineRule="auto"/>
      <w:rPr>
        <w:rFonts w:ascii="Microsoft YaHei" w:hAnsi="Microsoft YaHei" w:eastAsia="Microsoft YaHei" w:cs="Microsoft YaHei"/>
        <w:sz w:val="20"/>
        <w:szCs w:val="20"/>
      </w:rPr>
    </w:pPr>
    <w:r>
      <w:drawing>
        <wp:anchor distT="0" distB="0" distL="0" distR="0" simplePos="0" relativeHeight="251949056"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1170" name="IM 1170"/>
          <wp:cNvGraphicFramePr/>
          <a:graphic>
            <a:graphicData uri="http://schemas.openxmlformats.org/drawingml/2006/picture">
              <pic:pic>
                <pic:nvPicPr>
                  <pic:cNvPr id="1170" name="IM 117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248//2021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87" w:line="205" w:lineRule="auto"/>
      <w:rPr>
        <w:rFonts w:ascii="Microsoft YaHei" w:hAnsi="Microsoft YaHei" w:eastAsia="Microsoft YaHei" w:cs="Microsoft YaHei"/>
        <w:sz w:val="20"/>
        <w:szCs w:val="20"/>
      </w:rPr>
    </w:pPr>
    <w:r>
      <w:drawing>
        <wp:anchor distT="0" distB="0" distL="0" distR="0" simplePos="0" relativeHeight="251951104" behindDoc="0" locked="0" layoutInCell="0" allowOverlap="1">
          <wp:simplePos x="0" y="0"/>
          <wp:positionH relativeFrom="page">
            <wp:posOffset>1008380</wp:posOffset>
          </wp:positionH>
          <wp:positionV relativeFrom="page">
            <wp:posOffset>9699625</wp:posOffset>
          </wp:positionV>
          <wp:extent cx="5579745" cy="7619"/>
          <wp:effectExtent l="0" t="0" r="0" b="0"/>
          <wp:wrapNone/>
          <wp:docPr id="1174" name="IM 1174"/>
          <wp:cNvGraphicFramePr/>
          <a:graphic>
            <a:graphicData uri="http://schemas.openxmlformats.org/drawingml/2006/picture">
              <pic:pic>
                <pic:nvPicPr>
                  <pic:cNvPr id="1174" name="IM 117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期/249</w:t>
    </w:r>
  </w:p>
</w:ftr>
</file>

<file path=word/footer2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94" w:line="205" w:lineRule="auto"/>
      <w:rPr>
        <w:rFonts w:ascii="Microsoft YaHei" w:hAnsi="Microsoft YaHei" w:eastAsia="Microsoft YaHei" w:cs="Microsoft YaHei"/>
        <w:sz w:val="20"/>
        <w:szCs w:val="20"/>
      </w:rPr>
    </w:pPr>
    <w:r>
      <w:drawing>
        <wp:anchor distT="0" distB="0" distL="0" distR="0" simplePos="0" relativeHeight="251953152"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1178" name="IM 1178"/>
          <wp:cNvGraphicFramePr/>
          <a:graphic>
            <a:graphicData uri="http://schemas.openxmlformats.org/drawingml/2006/picture">
              <pic:pic>
                <pic:nvPicPr>
                  <pic:cNvPr id="1178" name="IM 117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250//2021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87" w:line="205" w:lineRule="auto"/>
      <w:rPr>
        <w:rFonts w:ascii="Microsoft YaHei" w:hAnsi="Microsoft YaHei" w:eastAsia="Microsoft YaHei" w:cs="Microsoft YaHei"/>
        <w:sz w:val="20"/>
        <w:szCs w:val="20"/>
      </w:rPr>
    </w:pPr>
    <w:r>
      <w:drawing>
        <wp:anchor distT="0" distB="0" distL="0" distR="0" simplePos="0" relativeHeight="251955200" behindDoc="0" locked="0" layoutInCell="0" allowOverlap="1">
          <wp:simplePos x="0" y="0"/>
          <wp:positionH relativeFrom="page">
            <wp:posOffset>1008380</wp:posOffset>
          </wp:positionH>
          <wp:positionV relativeFrom="page">
            <wp:posOffset>9699625</wp:posOffset>
          </wp:positionV>
          <wp:extent cx="5579745" cy="7619"/>
          <wp:effectExtent l="0" t="0" r="0" b="0"/>
          <wp:wrapNone/>
          <wp:docPr id="1182" name="IM 1182"/>
          <wp:cNvGraphicFramePr/>
          <a:graphic>
            <a:graphicData uri="http://schemas.openxmlformats.org/drawingml/2006/picture">
              <pic:pic>
                <pic:nvPicPr>
                  <pic:cNvPr id="1182" name="IM 118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期/251</w:t>
    </w:r>
  </w:p>
</w:ftr>
</file>

<file path=word/footer2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94" w:line="205" w:lineRule="auto"/>
      <w:rPr>
        <w:rFonts w:ascii="Microsoft YaHei" w:hAnsi="Microsoft YaHei" w:eastAsia="Microsoft YaHei" w:cs="Microsoft YaHei"/>
        <w:sz w:val="20"/>
        <w:szCs w:val="20"/>
      </w:rPr>
    </w:pPr>
    <w:r>
      <w:drawing>
        <wp:anchor distT="0" distB="0" distL="0" distR="0" simplePos="0" relativeHeight="251957248"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1186" name="IM 1186"/>
          <wp:cNvGraphicFramePr/>
          <a:graphic>
            <a:graphicData uri="http://schemas.openxmlformats.org/drawingml/2006/picture">
              <pic:pic>
                <pic:nvPicPr>
                  <pic:cNvPr id="1186" name="IM 118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252//2021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4"/>
      <w:spacing w:before="91" w:line="205" w:lineRule="auto"/>
      <w:rPr>
        <w:rFonts w:ascii="Microsoft YaHei" w:hAnsi="Microsoft YaHei" w:eastAsia="Microsoft YaHei" w:cs="Microsoft YaHei"/>
        <w:sz w:val="20"/>
        <w:szCs w:val="20"/>
      </w:rPr>
    </w:pPr>
    <w:r>
      <w:drawing>
        <wp:anchor distT="0" distB="0" distL="0" distR="0" simplePos="0" relativeHeight="251682816" behindDoc="0" locked="0" layoutInCell="0" allowOverlap="1">
          <wp:simplePos x="0" y="0"/>
          <wp:positionH relativeFrom="page">
            <wp:posOffset>990600</wp:posOffset>
          </wp:positionH>
          <wp:positionV relativeFrom="page">
            <wp:posOffset>9631680</wp:posOffset>
          </wp:positionV>
          <wp:extent cx="5579744" cy="7619"/>
          <wp:effectExtent l="0" t="0" r="0" b="0"/>
          <wp:wrapNone/>
          <wp:docPr id="74" name="IM 74"/>
          <wp:cNvGraphicFramePr/>
          <a:graphic>
            <a:graphicData uri="http://schemas.openxmlformats.org/drawingml/2006/picture">
              <pic:pic>
                <pic:nvPicPr>
                  <pic:cNvPr id="74" name="IM 7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26//2021 年第</w:t>
    </w:r>
    <w:r>
      <w:rPr>
        <w:rFonts w:ascii="Microsoft YaHei" w:hAnsi="Microsoft YaHei" w:eastAsia="Microsoft YaHei" w:cs="Microsoft YaHei"/>
        <w:sz w:val="20"/>
        <w:szCs w:val="20"/>
        <w:spacing w:val="37"/>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2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87" w:line="205" w:lineRule="auto"/>
      <w:rPr>
        <w:rFonts w:ascii="Microsoft YaHei" w:hAnsi="Microsoft YaHei" w:eastAsia="Microsoft YaHei" w:cs="Microsoft YaHei"/>
        <w:sz w:val="20"/>
        <w:szCs w:val="20"/>
      </w:rPr>
    </w:pPr>
    <w:r>
      <w:drawing>
        <wp:anchor distT="0" distB="0" distL="0" distR="0" simplePos="0" relativeHeight="251959296" behindDoc="0" locked="0" layoutInCell="0" allowOverlap="1">
          <wp:simplePos x="0" y="0"/>
          <wp:positionH relativeFrom="page">
            <wp:posOffset>1008380</wp:posOffset>
          </wp:positionH>
          <wp:positionV relativeFrom="page">
            <wp:posOffset>9699625</wp:posOffset>
          </wp:positionV>
          <wp:extent cx="5579745" cy="7619"/>
          <wp:effectExtent l="0" t="0" r="0" b="0"/>
          <wp:wrapNone/>
          <wp:docPr id="1192" name="IM 1192"/>
          <wp:cNvGraphicFramePr/>
          <a:graphic>
            <a:graphicData uri="http://schemas.openxmlformats.org/drawingml/2006/picture">
              <pic:pic>
                <pic:nvPicPr>
                  <pic:cNvPr id="1192" name="IM 119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期/253</w:t>
    </w:r>
  </w:p>
</w:ftr>
</file>

<file path=word/footer2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94" w:line="205" w:lineRule="auto"/>
      <w:rPr>
        <w:rFonts w:ascii="Microsoft YaHei" w:hAnsi="Microsoft YaHei" w:eastAsia="Microsoft YaHei" w:cs="Microsoft YaHei"/>
        <w:sz w:val="20"/>
        <w:szCs w:val="20"/>
      </w:rPr>
    </w:pPr>
    <w:r>
      <w:drawing>
        <wp:anchor distT="0" distB="0" distL="0" distR="0" simplePos="0" relativeHeight="251961344"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1198" name="IM 1198"/>
          <wp:cNvGraphicFramePr/>
          <a:graphic>
            <a:graphicData uri="http://schemas.openxmlformats.org/drawingml/2006/picture">
              <pic:pic>
                <pic:nvPicPr>
                  <pic:cNvPr id="1198" name="IM 119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254//2021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28"/>
      <w:spacing w:before="87" w:line="205" w:lineRule="auto"/>
      <w:rPr>
        <w:rFonts w:ascii="Microsoft YaHei" w:hAnsi="Microsoft YaHei" w:eastAsia="Microsoft YaHei" w:cs="Microsoft YaHei"/>
        <w:sz w:val="20"/>
        <w:szCs w:val="20"/>
      </w:rPr>
    </w:pPr>
    <w:r>
      <w:drawing>
        <wp:anchor distT="0" distB="0" distL="0" distR="0" simplePos="0" relativeHeight="251963392" behindDoc="0" locked="0" layoutInCell="0" allowOverlap="1">
          <wp:simplePos x="0" y="0"/>
          <wp:positionH relativeFrom="page">
            <wp:posOffset>1008380</wp:posOffset>
          </wp:positionH>
          <wp:positionV relativeFrom="page">
            <wp:posOffset>9699625</wp:posOffset>
          </wp:positionV>
          <wp:extent cx="5579745" cy="7619"/>
          <wp:effectExtent l="0" t="0" r="0" b="0"/>
          <wp:wrapNone/>
          <wp:docPr id="1204" name="IM 1204"/>
          <wp:cNvGraphicFramePr/>
          <a:graphic>
            <a:graphicData uri="http://schemas.openxmlformats.org/drawingml/2006/picture">
              <pic:pic>
                <pic:nvPicPr>
                  <pic:cNvPr id="1204" name="IM 120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期/255</w:t>
    </w:r>
  </w:p>
</w:ftr>
</file>

<file path=word/footer2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94" w:line="205" w:lineRule="auto"/>
      <w:rPr>
        <w:rFonts w:ascii="Microsoft YaHei" w:hAnsi="Microsoft YaHei" w:eastAsia="Microsoft YaHei" w:cs="Microsoft YaHei"/>
        <w:sz w:val="20"/>
        <w:szCs w:val="20"/>
      </w:rPr>
    </w:pPr>
    <w:r>
      <w:drawing>
        <wp:anchor distT="0" distB="0" distL="0" distR="0" simplePos="0" relativeHeight="251965440"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1210" name="IM 1210"/>
          <wp:cNvGraphicFramePr/>
          <a:graphic>
            <a:graphicData uri="http://schemas.openxmlformats.org/drawingml/2006/picture">
              <pic:pic>
                <pic:nvPicPr>
                  <pic:cNvPr id="1210" name="IM 121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256//2021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87" w:line="205" w:lineRule="auto"/>
      <w:rPr>
        <w:rFonts w:ascii="Microsoft YaHei" w:hAnsi="Microsoft YaHei" w:eastAsia="Microsoft YaHei" w:cs="Microsoft YaHei"/>
        <w:sz w:val="20"/>
        <w:szCs w:val="20"/>
      </w:rPr>
    </w:pPr>
    <w:r>
      <w:drawing>
        <wp:anchor distT="0" distB="0" distL="0" distR="0" simplePos="0" relativeHeight="251967488" behindDoc="0" locked="0" layoutInCell="0" allowOverlap="1">
          <wp:simplePos x="0" y="0"/>
          <wp:positionH relativeFrom="page">
            <wp:posOffset>1008380</wp:posOffset>
          </wp:positionH>
          <wp:positionV relativeFrom="page">
            <wp:posOffset>9699625</wp:posOffset>
          </wp:positionV>
          <wp:extent cx="5579745" cy="7619"/>
          <wp:effectExtent l="0" t="0" r="0" b="0"/>
          <wp:wrapNone/>
          <wp:docPr id="1216" name="IM 1216"/>
          <wp:cNvGraphicFramePr/>
          <a:graphic>
            <a:graphicData uri="http://schemas.openxmlformats.org/drawingml/2006/picture">
              <pic:pic>
                <pic:nvPicPr>
                  <pic:cNvPr id="1216" name="IM 121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期/257</w:t>
    </w:r>
  </w:p>
</w:ftr>
</file>

<file path=word/footer2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94" w:line="205" w:lineRule="auto"/>
      <w:rPr>
        <w:rFonts w:ascii="Microsoft YaHei" w:hAnsi="Microsoft YaHei" w:eastAsia="Microsoft YaHei" w:cs="Microsoft YaHei"/>
        <w:sz w:val="20"/>
        <w:szCs w:val="20"/>
      </w:rPr>
    </w:pPr>
    <w:r>
      <w:drawing>
        <wp:anchor distT="0" distB="0" distL="0" distR="0" simplePos="0" relativeHeight="251969536"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1224" name="IM 1224"/>
          <wp:cNvGraphicFramePr/>
          <a:graphic>
            <a:graphicData uri="http://schemas.openxmlformats.org/drawingml/2006/picture">
              <pic:pic>
                <pic:nvPicPr>
                  <pic:cNvPr id="1224" name="IM 122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258//2021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87" w:line="205" w:lineRule="auto"/>
      <w:rPr>
        <w:rFonts w:ascii="Microsoft YaHei" w:hAnsi="Microsoft YaHei" w:eastAsia="Microsoft YaHei" w:cs="Microsoft YaHei"/>
        <w:sz w:val="20"/>
        <w:szCs w:val="20"/>
      </w:rPr>
    </w:pPr>
    <w:r>
      <w:drawing>
        <wp:anchor distT="0" distB="0" distL="0" distR="0" simplePos="0" relativeHeight="251971584" behindDoc="0" locked="0" layoutInCell="0" allowOverlap="1">
          <wp:simplePos x="0" y="0"/>
          <wp:positionH relativeFrom="page">
            <wp:posOffset>1008380</wp:posOffset>
          </wp:positionH>
          <wp:positionV relativeFrom="page">
            <wp:posOffset>9699625</wp:posOffset>
          </wp:positionV>
          <wp:extent cx="5579745" cy="7619"/>
          <wp:effectExtent l="0" t="0" r="0" b="0"/>
          <wp:wrapNone/>
          <wp:docPr id="1228" name="IM 1228"/>
          <wp:cNvGraphicFramePr/>
          <a:graphic>
            <a:graphicData uri="http://schemas.openxmlformats.org/drawingml/2006/picture">
              <pic:pic>
                <pic:nvPicPr>
                  <pic:cNvPr id="1228" name="IM 122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期/259</w:t>
    </w:r>
  </w:p>
</w:ftr>
</file>

<file path=word/footer2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94" w:line="205" w:lineRule="auto"/>
      <w:rPr>
        <w:rFonts w:ascii="Microsoft YaHei" w:hAnsi="Microsoft YaHei" w:eastAsia="Microsoft YaHei" w:cs="Microsoft YaHei"/>
        <w:sz w:val="20"/>
        <w:szCs w:val="20"/>
      </w:rPr>
    </w:pPr>
    <w:r>
      <w:drawing>
        <wp:anchor distT="0" distB="0" distL="0" distR="0" simplePos="0" relativeHeight="251973632"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1232" name="IM 1232"/>
          <wp:cNvGraphicFramePr/>
          <a:graphic>
            <a:graphicData uri="http://schemas.openxmlformats.org/drawingml/2006/picture">
              <pic:pic>
                <pic:nvPicPr>
                  <pic:cNvPr id="1232" name="IM 123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260//2021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87" w:line="205" w:lineRule="auto"/>
      <w:rPr>
        <w:rFonts w:ascii="Microsoft YaHei" w:hAnsi="Microsoft YaHei" w:eastAsia="Microsoft YaHei" w:cs="Microsoft YaHei"/>
        <w:sz w:val="20"/>
        <w:szCs w:val="20"/>
      </w:rPr>
    </w:pPr>
    <w:r>
      <w:drawing>
        <wp:anchor distT="0" distB="0" distL="0" distR="0" simplePos="0" relativeHeight="251975680" behindDoc="0" locked="0" layoutInCell="0" allowOverlap="1">
          <wp:simplePos x="0" y="0"/>
          <wp:positionH relativeFrom="page">
            <wp:posOffset>1008380</wp:posOffset>
          </wp:positionH>
          <wp:positionV relativeFrom="page">
            <wp:posOffset>9699625</wp:posOffset>
          </wp:positionV>
          <wp:extent cx="5579745" cy="7619"/>
          <wp:effectExtent l="0" t="0" r="0" b="0"/>
          <wp:wrapNone/>
          <wp:docPr id="1236" name="IM 1236"/>
          <wp:cNvGraphicFramePr/>
          <a:graphic>
            <a:graphicData uri="http://schemas.openxmlformats.org/drawingml/2006/picture">
              <pic:pic>
                <pic:nvPicPr>
                  <pic:cNvPr id="1236" name="IM 123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期/261</w:t>
    </w:r>
  </w:p>
</w:ftr>
</file>

<file path=word/footer2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94" w:line="205" w:lineRule="auto"/>
      <w:rPr>
        <w:rFonts w:ascii="Microsoft YaHei" w:hAnsi="Microsoft YaHei" w:eastAsia="Microsoft YaHei" w:cs="Microsoft YaHei"/>
        <w:sz w:val="20"/>
        <w:szCs w:val="20"/>
      </w:rPr>
    </w:pPr>
    <w:r>
      <w:drawing>
        <wp:anchor distT="0" distB="0" distL="0" distR="0" simplePos="0" relativeHeight="251977728"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1240" name="IM 1240"/>
          <wp:cNvGraphicFramePr/>
          <a:graphic>
            <a:graphicData uri="http://schemas.openxmlformats.org/drawingml/2006/picture">
              <pic:pic>
                <pic:nvPicPr>
                  <pic:cNvPr id="1240" name="IM 124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262//2021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73"/>
      <w:spacing w:before="66" w:line="206" w:lineRule="auto"/>
      <w:rPr>
        <w:rFonts w:ascii="Microsoft YaHei" w:hAnsi="Microsoft YaHei" w:eastAsia="Microsoft YaHei" w:cs="Microsoft YaHei"/>
        <w:sz w:val="20"/>
        <w:szCs w:val="20"/>
      </w:rPr>
    </w:pPr>
    <w:r>
      <w:drawing>
        <wp:anchor distT="0" distB="0" distL="0" distR="0" simplePos="0" relativeHeight="251683840" behindDoc="0" locked="0" layoutInCell="0" allowOverlap="1">
          <wp:simplePos x="0" y="0"/>
          <wp:positionH relativeFrom="page">
            <wp:posOffset>985519</wp:posOffset>
          </wp:positionH>
          <wp:positionV relativeFrom="page">
            <wp:posOffset>9638665</wp:posOffset>
          </wp:positionV>
          <wp:extent cx="5579744" cy="7619"/>
          <wp:effectExtent l="0" t="0" r="0" b="0"/>
          <wp:wrapNone/>
          <wp:docPr id="76" name="IM 76"/>
          <wp:cNvGraphicFramePr/>
          <a:graphic>
            <a:graphicData uri="http://schemas.openxmlformats.org/drawingml/2006/picture">
              <pic:pic>
                <pic:nvPicPr>
                  <pic:cNvPr id="76" name="IM 7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25"/>
        <w:w w:val="101"/>
      </w:rPr>
      <w:t xml:space="preserve"> </w:t>
    </w:r>
    <w:r>
      <w:rPr>
        <w:rFonts w:ascii="Microsoft YaHei" w:hAnsi="Microsoft YaHei" w:eastAsia="Microsoft YaHei" w:cs="Microsoft YaHei"/>
        <w:sz w:val="20"/>
        <w:szCs w:val="20"/>
        <w:spacing w:val="-6"/>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期总</w:t>
    </w:r>
    <w:r>
      <w:rPr>
        <w:rFonts w:ascii="Microsoft YaHei" w:hAnsi="Microsoft YaHei" w:eastAsia="Microsoft YaHei" w:cs="Microsoft YaHei"/>
        <w:sz w:val="20"/>
        <w:szCs w:val="20"/>
        <w:spacing w:val="7"/>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期// 27</w:t>
    </w:r>
  </w:p>
</w:ftr>
</file>

<file path=word/footer2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87" w:line="205" w:lineRule="auto"/>
      <w:rPr>
        <w:rFonts w:ascii="Microsoft YaHei" w:hAnsi="Microsoft YaHei" w:eastAsia="Microsoft YaHei" w:cs="Microsoft YaHei"/>
        <w:sz w:val="20"/>
        <w:szCs w:val="20"/>
      </w:rPr>
    </w:pPr>
    <w:r>
      <w:drawing>
        <wp:anchor distT="0" distB="0" distL="0" distR="0" simplePos="0" relativeHeight="251979776" behindDoc="0" locked="0" layoutInCell="0" allowOverlap="1">
          <wp:simplePos x="0" y="0"/>
          <wp:positionH relativeFrom="page">
            <wp:posOffset>1008380</wp:posOffset>
          </wp:positionH>
          <wp:positionV relativeFrom="page">
            <wp:posOffset>9699625</wp:posOffset>
          </wp:positionV>
          <wp:extent cx="5579745" cy="7619"/>
          <wp:effectExtent l="0" t="0" r="0" b="0"/>
          <wp:wrapNone/>
          <wp:docPr id="1244" name="IM 1244"/>
          <wp:cNvGraphicFramePr/>
          <a:graphic>
            <a:graphicData uri="http://schemas.openxmlformats.org/drawingml/2006/picture">
              <pic:pic>
                <pic:nvPicPr>
                  <pic:cNvPr id="1244" name="IM 124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期/263</w:t>
    </w:r>
  </w:p>
</w:ftr>
</file>

<file path=word/footer2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
      <w:spacing w:before="94" w:line="205" w:lineRule="auto"/>
      <w:rPr>
        <w:rFonts w:ascii="Microsoft YaHei" w:hAnsi="Microsoft YaHei" w:eastAsia="Microsoft YaHei" w:cs="Microsoft YaHei"/>
        <w:sz w:val="20"/>
        <w:szCs w:val="20"/>
      </w:rPr>
    </w:pPr>
    <w:r>
      <w:drawing>
        <wp:anchor distT="0" distB="0" distL="0" distR="0" simplePos="0" relativeHeight="251981824"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1248" name="IM 1248"/>
          <wp:cNvGraphicFramePr/>
          <a:graphic>
            <a:graphicData uri="http://schemas.openxmlformats.org/drawingml/2006/picture">
              <pic:pic>
                <pic:nvPicPr>
                  <pic:cNvPr id="1248" name="IM 124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264//2021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87" w:line="205" w:lineRule="auto"/>
      <w:rPr>
        <w:rFonts w:ascii="Microsoft YaHei" w:hAnsi="Microsoft YaHei" w:eastAsia="Microsoft YaHei" w:cs="Microsoft YaHei"/>
        <w:sz w:val="20"/>
        <w:szCs w:val="20"/>
      </w:rPr>
    </w:pPr>
    <w:r>
      <w:drawing>
        <wp:anchor distT="0" distB="0" distL="0" distR="0" simplePos="0" relativeHeight="251983872" behindDoc="0" locked="0" layoutInCell="0" allowOverlap="1">
          <wp:simplePos x="0" y="0"/>
          <wp:positionH relativeFrom="page">
            <wp:posOffset>1008380</wp:posOffset>
          </wp:positionH>
          <wp:positionV relativeFrom="page">
            <wp:posOffset>9699625</wp:posOffset>
          </wp:positionV>
          <wp:extent cx="5579745" cy="7619"/>
          <wp:effectExtent l="0" t="0" r="0" b="0"/>
          <wp:wrapNone/>
          <wp:docPr id="1252" name="IM 1252"/>
          <wp:cNvGraphicFramePr/>
          <a:graphic>
            <a:graphicData uri="http://schemas.openxmlformats.org/drawingml/2006/picture">
              <pic:pic>
                <pic:nvPicPr>
                  <pic:cNvPr id="1252" name="IM 125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期/265</w:t>
    </w:r>
  </w:p>
</w:ftr>
</file>

<file path=word/footer2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1"/>
      <w:spacing w:before="71" w:line="205" w:lineRule="auto"/>
      <w:rPr>
        <w:rFonts w:ascii="Microsoft YaHei" w:hAnsi="Microsoft YaHei" w:eastAsia="Microsoft YaHei" w:cs="Microsoft YaHei"/>
        <w:sz w:val="20"/>
        <w:szCs w:val="20"/>
      </w:rPr>
    </w:pPr>
    <w:r>
      <w:drawing>
        <wp:anchor distT="0" distB="0" distL="0" distR="0" simplePos="0" relativeHeight="251985920" behindDoc="0" locked="0" layoutInCell="0" allowOverlap="1">
          <wp:simplePos x="0" y="0"/>
          <wp:positionH relativeFrom="page">
            <wp:posOffset>1008380</wp:posOffset>
          </wp:positionH>
          <wp:positionV relativeFrom="page">
            <wp:posOffset>9709784</wp:posOffset>
          </wp:positionV>
          <wp:extent cx="5579745" cy="7619"/>
          <wp:effectExtent l="0" t="0" r="0" b="0"/>
          <wp:wrapNone/>
          <wp:docPr id="1260" name="IM 1260"/>
          <wp:cNvGraphicFramePr/>
          <a:graphic>
            <a:graphicData uri="http://schemas.openxmlformats.org/drawingml/2006/picture">
              <pic:pic>
                <pic:nvPicPr>
                  <pic:cNvPr id="1260" name="IM 126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266//2021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87" w:line="205" w:lineRule="auto"/>
      <w:rPr>
        <w:rFonts w:ascii="Microsoft YaHei" w:hAnsi="Microsoft YaHei" w:eastAsia="Microsoft YaHei" w:cs="Microsoft YaHei"/>
        <w:sz w:val="20"/>
        <w:szCs w:val="20"/>
      </w:rPr>
    </w:pPr>
    <w:r>
      <w:drawing>
        <wp:anchor distT="0" distB="0" distL="0" distR="0" simplePos="0" relativeHeight="251987968" behindDoc="0" locked="0" layoutInCell="0" allowOverlap="1">
          <wp:simplePos x="0" y="0"/>
          <wp:positionH relativeFrom="page">
            <wp:posOffset>1000760</wp:posOffset>
          </wp:positionH>
          <wp:positionV relativeFrom="page">
            <wp:posOffset>9699625</wp:posOffset>
          </wp:positionV>
          <wp:extent cx="5579744" cy="7619"/>
          <wp:effectExtent l="0" t="0" r="0" b="0"/>
          <wp:wrapNone/>
          <wp:docPr id="1268" name="IM 1268"/>
          <wp:cNvGraphicFramePr/>
          <a:graphic>
            <a:graphicData uri="http://schemas.openxmlformats.org/drawingml/2006/picture">
              <pic:pic>
                <pic:nvPicPr>
                  <pic:cNvPr id="1268" name="IM 126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期/267</w:t>
    </w:r>
  </w:p>
</w:ftr>
</file>

<file path=word/footer2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71" w:line="205" w:lineRule="auto"/>
      <w:rPr>
        <w:rFonts w:ascii="Microsoft YaHei" w:hAnsi="Microsoft YaHei" w:eastAsia="Microsoft YaHei" w:cs="Microsoft YaHei"/>
        <w:sz w:val="20"/>
        <w:szCs w:val="20"/>
      </w:rPr>
    </w:pPr>
    <w:r>
      <w:drawing>
        <wp:anchor distT="0" distB="0" distL="0" distR="0" simplePos="0" relativeHeight="251990016" behindDoc="0" locked="0" layoutInCell="0" allowOverlap="1">
          <wp:simplePos x="0" y="0"/>
          <wp:positionH relativeFrom="page">
            <wp:posOffset>1008380</wp:posOffset>
          </wp:positionH>
          <wp:positionV relativeFrom="page">
            <wp:posOffset>9709784</wp:posOffset>
          </wp:positionV>
          <wp:extent cx="5579745" cy="7619"/>
          <wp:effectExtent l="0" t="0" r="0" b="0"/>
          <wp:wrapNone/>
          <wp:docPr id="1274" name="IM 1274"/>
          <wp:cNvGraphicFramePr/>
          <a:graphic>
            <a:graphicData uri="http://schemas.openxmlformats.org/drawingml/2006/picture">
              <pic:pic>
                <pic:nvPicPr>
                  <pic:cNvPr id="1274" name="IM 127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268//2021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87" w:line="205" w:lineRule="auto"/>
      <w:rPr>
        <w:rFonts w:ascii="Microsoft YaHei" w:hAnsi="Microsoft YaHei" w:eastAsia="Microsoft YaHei" w:cs="Microsoft YaHei"/>
        <w:sz w:val="20"/>
        <w:szCs w:val="20"/>
      </w:rPr>
    </w:pPr>
    <w:r>
      <w:drawing>
        <wp:anchor distT="0" distB="0" distL="0" distR="0" simplePos="0" relativeHeight="251992064" behindDoc="0" locked="0" layoutInCell="0" allowOverlap="1">
          <wp:simplePos x="0" y="0"/>
          <wp:positionH relativeFrom="page">
            <wp:posOffset>1000760</wp:posOffset>
          </wp:positionH>
          <wp:positionV relativeFrom="page">
            <wp:posOffset>9699625</wp:posOffset>
          </wp:positionV>
          <wp:extent cx="5579744" cy="7619"/>
          <wp:effectExtent l="0" t="0" r="0" b="0"/>
          <wp:wrapNone/>
          <wp:docPr id="1280" name="IM 1280"/>
          <wp:cNvGraphicFramePr/>
          <a:graphic>
            <a:graphicData uri="http://schemas.openxmlformats.org/drawingml/2006/picture">
              <pic:pic>
                <pic:nvPicPr>
                  <pic:cNvPr id="1280" name="IM 128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期/269</w:t>
    </w:r>
  </w:p>
</w:ftr>
</file>

<file path=word/footer2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71" w:line="205" w:lineRule="auto"/>
      <w:rPr>
        <w:rFonts w:ascii="Microsoft YaHei" w:hAnsi="Microsoft YaHei" w:eastAsia="Microsoft YaHei" w:cs="Microsoft YaHei"/>
        <w:sz w:val="20"/>
        <w:szCs w:val="20"/>
      </w:rPr>
    </w:pPr>
    <w:r>
      <w:drawing>
        <wp:anchor distT="0" distB="0" distL="0" distR="0" simplePos="0" relativeHeight="251994112" behindDoc="0" locked="0" layoutInCell="0" allowOverlap="1">
          <wp:simplePos x="0" y="0"/>
          <wp:positionH relativeFrom="page">
            <wp:posOffset>1008380</wp:posOffset>
          </wp:positionH>
          <wp:positionV relativeFrom="page">
            <wp:posOffset>9709784</wp:posOffset>
          </wp:positionV>
          <wp:extent cx="5579745" cy="7619"/>
          <wp:effectExtent l="0" t="0" r="0" b="0"/>
          <wp:wrapNone/>
          <wp:docPr id="1286" name="IM 1286"/>
          <wp:cNvGraphicFramePr/>
          <a:graphic>
            <a:graphicData uri="http://schemas.openxmlformats.org/drawingml/2006/picture">
              <pic:pic>
                <pic:nvPicPr>
                  <pic:cNvPr id="1286" name="IM 128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270//2021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87" w:line="205" w:lineRule="auto"/>
      <w:rPr>
        <w:rFonts w:ascii="Microsoft YaHei" w:hAnsi="Microsoft YaHei" w:eastAsia="Microsoft YaHei" w:cs="Microsoft YaHei"/>
        <w:sz w:val="20"/>
        <w:szCs w:val="20"/>
      </w:rPr>
    </w:pPr>
    <w:r>
      <w:drawing>
        <wp:anchor distT="0" distB="0" distL="0" distR="0" simplePos="0" relativeHeight="251996160" behindDoc="0" locked="0" layoutInCell="0" allowOverlap="1">
          <wp:simplePos x="0" y="0"/>
          <wp:positionH relativeFrom="page">
            <wp:posOffset>1000760</wp:posOffset>
          </wp:positionH>
          <wp:positionV relativeFrom="page">
            <wp:posOffset>9699625</wp:posOffset>
          </wp:positionV>
          <wp:extent cx="5579744" cy="7619"/>
          <wp:effectExtent l="0" t="0" r="0" b="0"/>
          <wp:wrapNone/>
          <wp:docPr id="1292" name="IM 1292"/>
          <wp:cNvGraphicFramePr/>
          <a:graphic>
            <a:graphicData uri="http://schemas.openxmlformats.org/drawingml/2006/picture">
              <pic:pic>
                <pic:nvPicPr>
                  <pic:cNvPr id="1292" name="IM 129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期/271</w:t>
    </w:r>
  </w:p>
</w:ftr>
</file>

<file path=word/footer2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71" w:line="205" w:lineRule="auto"/>
      <w:rPr>
        <w:rFonts w:ascii="Microsoft YaHei" w:hAnsi="Microsoft YaHei" w:eastAsia="Microsoft YaHei" w:cs="Microsoft YaHei"/>
        <w:sz w:val="20"/>
        <w:szCs w:val="20"/>
      </w:rPr>
    </w:pPr>
    <w:r>
      <w:drawing>
        <wp:anchor distT="0" distB="0" distL="0" distR="0" simplePos="0" relativeHeight="251998208" behindDoc="0" locked="0" layoutInCell="0" allowOverlap="1">
          <wp:simplePos x="0" y="0"/>
          <wp:positionH relativeFrom="page">
            <wp:posOffset>1008380</wp:posOffset>
          </wp:positionH>
          <wp:positionV relativeFrom="page">
            <wp:posOffset>9709784</wp:posOffset>
          </wp:positionV>
          <wp:extent cx="5579745" cy="7619"/>
          <wp:effectExtent l="0" t="0" r="0" b="0"/>
          <wp:wrapNone/>
          <wp:docPr id="1296" name="IM 1296"/>
          <wp:cNvGraphicFramePr/>
          <a:graphic>
            <a:graphicData uri="http://schemas.openxmlformats.org/drawingml/2006/picture">
              <pic:pic>
                <pic:nvPicPr>
                  <pic:cNvPr id="1296" name="IM 129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272//2021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4"/>
      <w:spacing w:before="91" w:line="205" w:lineRule="auto"/>
      <w:rPr>
        <w:rFonts w:ascii="Microsoft YaHei" w:hAnsi="Microsoft YaHei" w:eastAsia="Microsoft YaHei" w:cs="Microsoft YaHei"/>
        <w:sz w:val="20"/>
        <w:szCs w:val="20"/>
      </w:rPr>
    </w:pPr>
    <w:r>
      <w:drawing>
        <wp:anchor distT="0" distB="0" distL="0" distR="0" simplePos="0" relativeHeight="251684864" behindDoc="0" locked="0" layoutInCell="0" allowOverlap="1">
          <wp:simplePos x="0" y="0"/>
          <wp:positionH relativeFrom="page">
            <wp:posOffset>990600</wp:posOffset>
          </wp:positionH>
          <wp:positionV relativeFrom="page">
            <wp:posOffset>9631680</wp:posOffset>
          </wp:positionV>
          <wp:extent cx="5579744" cy="7619"/>
          <wp:effectExtent l="0" t="0" r="0" b="0"/>
          <wp:wrapNone/>
          <wp:docPr id="78" name="IM 78"/>
          <wp:cNvGraphicFramePr/>
          <a:graphic>
            <a:graphicData uri="http://schemas.openxmlformats.org/drawingml/2006/picture">
              <pic:pic>
                <pic:nvPicPr>
                  <pic:cNvPr id="78" name="IM 7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28//2021 年第</w:t>
    </w:r>
    <w:r>
      <w:rPr>
        <w:rFonts w:ascii="Microsoft YaHei" w:hAnsi="Microsoft YaHei" w:eastAsia="Microsoft YaHei" w:cs="Microsoft YaHei"/>
        <w:sz w:val="20"/>
        <w:szCs w:val="20"/>
        <w:spacing w:val="37"/>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2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87" w:line="205" w:lineRule="auto"/>
      <w:rPr>
        <w:rFonts w:ascii="Microsoft YaHei" w:hAnsi="Microsoft YaHei" w:eastAsia="Microsoft YaHei" w:cs="Microsoft YaHei"/>
        <w:sz w:val="20"/>
        <w:szCs w:val="20"/>
      </w:rPr>
    </w:pPr>
    <w:r>
      <w:drawing>
        <wp:anchor distT="0" distB="0" distL="0" distR="0" simplePos="0" relativeHeight="252000256" behindDoc="0" locked="0" layoutInCell="0" allowOverlap="1">
          <wp:simplePos x="0" y="0"/>
          <wp:positionH relativeFrom="page">
            <wp:posOffset>1000760</wp:posOffset>
          </wp:positionH>
          <wp:positionV relativeFrom="page">
            <wp:posOffset>9699625</wp:posOffset>
          </wp:positionV>
          <wp:extent cx="5579744" cy="7619"/>
          <wp:effectExtent l="0" t="0" r="0" b="0"/>
          <wp:wrapNone/>
          <wp:docPr id="1300" name="IM 1300"/>
          <wp:cNvGraphicFramePr/>
          <a:graphic>
            <a:graphicData uri="http://schemas.openxmlformats.org/drawingml/2006/picture">
              <pic:pic>
                <pic:nvPicPr>
                  <pic:cNvPr id="1300" name="IM 130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期/273</w:t>
    </w:r>
  </w:p>
</w:ftr>
</file>

<file path=word/footer2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71" w:line="205" w:lineRule="auto"/>
      <w:rPr>
        <w:rFonts w:ascii="Microsoft YaHei" w:hAnsi="Microsoft YaHei" w:eastAsia="Microsoft YaHei" w:cs="Microsoft YaHei"/>
        <w:sz w:val="20"/>
        <w:szCs w:val="20"/>
      </w:rPr>
    </w:pPr>
    <w:r>
      <w:drawing>
        <wp:anchor distT="0" distB="0" distL="0" distR="0" simplePos="0" relativeHeight="252002304" behindDoc="0" locked="0" layoutInCell="0" allowOverlap="1">
          <wp:simplePos x="0" y="0"/>
          <wp:positionH relativeFrom="page">
            <wp:posOffset>1008380</wp:posOffset>
          </wp:positionH>
          <wp:positionV relativeFrom="page">
            <wp:posOffset>9709784</wp:posOffset>
          </wp:positionV>
          <wp:extent cx="5579745" cy="7619"/>
          <wp:effectExtent l="0" t="0" r="0" b="0"/>
          <wp:wrapNone/>
          <wp:docPr id="1306" name="IM 1306"/>
          <wp:cNvGraphicFramePr/>
          <a:graphic>
            <a:graphicData uri="http://schemas.openxmlformats.org/drawingml/2006/picture">
              <pic:pic>
                <pic:nvPicPr>
                  <pic:cNvPr id="1306" name="IM 130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274//2021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87" w:line="205" w:lineRule="auto"/>
      <w:rPr>
        <w:rFonts w:ascii="Microsoft YaHei" w:hAnsi="Microsoft YaHei" w:eastAsia="Microsoft YaHei" w:cs="Microsoft YaHei"/>
        <w:sz w:val="20"/>
        <w:szCs w:val="20"/>
      </w:rPr>
    </w:pPr>
    <w:r>
      <w:drawing>
        <wp:anchor distT="0" distB="0" distL="0" distR="0" simplePos="0" relativeHeight="252004352" behindDoc="0" locked="0" layoutInCell="0" allowOverlap="1">
          <wp:simplePos x="0" y="0"/>
          <wp:positionH relativeFrom="page">
            <wp:posOffset>1000760</wp:posOffset>
          </wp:positionH>
          <wp:positionV relativeFrom="page">
            <wp:posOffset>9699625</wp:posOffset>
          </wp:positionV>
          <wp:extent cx="5579744" cy="7619"/>
          <wp:effectExtent l="0" t="0" r="0" b="0"/>
          <wp:wrapNone/>
          <wp:docPr id="1312" name="IM 1312"/>
          <wp:cNvGraphicFramePr/>
          <a:graphic>
            <a:graphicData uri="http://schemas.openxmlformats.org/drawingml/2006/picture">
              <pic:pic>
                <pic:nvPicPr>
                  <pic:cNvPr id="1312" name="IM 131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期/275</w:t>
    </w:r>
  </w:p>
</w:ftr>
</file>

<file path=word/footer2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71" w:line="205" w:lineRule="auto"/>
      <w:rPr>
        <w:rFonts w:ascii="Microsoft YaHei" w:hAnsi="Microsoft YaHei" w:eastAsia="Microsoft YaHei" w:cs="Microsoft YaHei"/>
        <w:sz w:val="20"/>
        <w:szCs w:val="20"/>
      </w:rPr>
    </w:pPr>
    <w:r>
      <w:drawing>
        <wp:anchor distT="0" distB="0" distL="0" distR="0" simplePos="0" relativeHeight="252006400" behindDoc="0" locked="0" layoutInCell="0" allowOverlap="1">
          <wp:simplePos x="0" y="0"/>
          <wp:positionH relativeFrom="page">
            <wp:posOffset>1008380</wp:posOffset>
          </wp:positionH>
          <wp:positionV relativeFrom="page">
            <wp:posOffset>9709784</wp:posOffset>
          </wp:positionV>
          <wp:extent cx="5579745" cy="7619"/>
          <wp:effectExtent l="0" t="0" r="0" b="0"/>
          <wp:wrapNone/>
          <wp:docPr id="1316" name="IM 1316"/>
          <wp:cNvGraphicFramePr/>
          <a:graphic>
            <a:graphicData uri="http://schemas.openxmlformats.org/drawingml/2006/picture">
              <pic:pic>
                <pic:nvPicPr>
                  <pic:cNvPr id="1316" name="IM 131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276//2021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87" w:line="205" w:lineRule="auto"/>
      <w:rPr>
        <w:rFonts w:ascii="Microsoft YaHei" w:hAnsi="Microsoft YaHei" w:eastAsia="Microsoft YaHei" w:cs="Microsoft YaHei"/>
        <w:sz w:val="20"/>
        <w:szCs w:val="20"/>
      </w:rPr>
    </w:pPr>
    <w:r>
      <w:drawing>
        <wp:anchor distT="0" distB="0" distL="0" distR="0" simplePos="0" relativeHeight="252008448" behindDoc="0" locked="0" layoutInCell="0" allowOverlap="1">
          <wp:simplePos x="0" y="0"/>
          <wp:positionH relativeFrom="page">
            <wp:posOffset>1000760</wp:posOffset>
          </wp:positionH>
          <wp:positionV relativeFrom="page">
            <wp:posOffset>9699625</wp:posOffset>
          </wp:positionV>
          <wp:extent cx="5579744" cy="7619"/>
          <wp:effectExtent l="0" t="0" r="0" b="0"/>
          <wp:wrapNone/>
          <wp:docPr id="1322" name="IM 1322"/>
          <wp:cNvGraphicFramePr/>
          <a:graphic>
            <a:graphicData uri="http://schemas.openxmlformats.org/drawingml/2006/picture">
              <pic:pic>
                <pic:nvPicPr>
                  <pic:cNvPr id="1322" name="IM 132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期/277</w:t>
    </w:r>
  </w:p>
</w:ftr>
</file>

<file path=word/footer2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71" w:line="205" w:lineRule="auto"/>
      <w:rPr>
        <w:rFonts w:ascii="Microsoft YaHei" w:hAnsi="Microsoft YaHei" w:eastAsia="Microsoft YaHei" w:cs="Microsoft YaHei"/>
        <w:sz w:val="20"/>
        <w:szCs w:val="20"/>
      </w:rPr>
    </w:pPr>
    <w:r>
      <w:drawing>
        <wp:anchor distT="0" distB="0" distL="0" distR="0" simplePos="0" relativeHeight="252010496" behindDoc="0" locked="0" layoutInCell="0" allowOverlap="1">
          <wp:simplePos x="0" y="0"/>
          <wp:positionH relativeFrom="page">
            <wp:posOffset>1008380</wp:posOffset>
          </wp:positionH>
          <wp:positionV relativeFrom="page">
            <wp:posOffset>9709784</wp:posOffset>
          </wp:positionV>
          <wp:extent cx="5579745" cy="7619"/>
          <wp:effectExtent l="0" t="0" r="0" b="0"/>
          <wp:wrapNone/>
          <wp:docPr id="1328" name="IM 1328"/>
          <wp:cNvGraphicFramePr/>
          <a:graphic>
            <a:graphicData uri="http://schemas.openxmlformats.org/drawingml/2006/picture">
              <pic:pic>
                <pic:nvPicPr>
                  <pic:cNvPr id="1328" name="IM 132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278//2021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87" w:line="205" w:lineRule="auto"/>
      <w:rPr>
        <w:rFonts w:ascii="Microsoft YaHei" w:hAnsi="Microsoft YaHei" w:eastAsia="Microsoft YaHei" w:cs="Microsoft YaHei"/>
        <w:sz w:val="20"/>
        <w:szCs w:val="20"/>
      </w:rPr>
    </w:pPr>
    <w:r>
      <w:drawing>
        <wp:anchor distT="0" distB="0" distL="0" distR="0" simplePos="0" relativeHeight="252012544" behindDoc="0" locked="0" layoutInCell="0" allowOverlap="1">
          <wp:simplePos x="0" y="0"/>
          <wp:positionH relativeFrom="page">
            <wp:posOffset>1000760</wp:posOffset>
          </wp:positionH>
          <wp:positionV relativeFrom="page">
            <wp:posOffset>9699625</wp:posOffset>
          </wp:positionV>
          <wp:extent cx="5579744" cy="7619"/>
          <wp:effectExtent l="0" t="0" r="0" b="0"/>
          <wp:wrapNone/>
          <wp:docPr id="1334" name="IM 1334"/>
          <wp:cNvGraphicFramePr/>
          <a:graphic>
            <a:graphicData uri="http://schemas.openxmlformats.org/drawingml/2006/picture">
              <pic:pic>
                <pic:nvPicPr>
                  <pic:cNvPr id="1334" name="IM 133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期/279</w:t>
    </w:r>
  </w:p>
</w:ftr>
</file>

<file path=word/footer2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71" w:line="205" w:lineRule="auto"/>
      <w:rPr>
        <w:rFonts w:ascii="Microsoft YaHei" w:hAnsi="Microsoft YaHei" w:eastAsia="Microsoft YaHei" w:cs="Microsoft YaHei"/>
        <w:sz w:val="20"/>
        <w:szCs w:val="20"/>
      </w:rPr>
    </w:pPr>
    <w:r>
      <w:drawing>
        <wp:anchor distT="0" distB="0" distL="0" distR="0" simplePos="0" relativeHeight="252014592" behindDoc="0" locked="0" layoutInCell="0" allowOverlap="1">
          <wp:simplePos x="0" y="0"/>
          <wp:positionH relativeFrom="page">
            <wp:posOffset>1008380</wp:posOffset>
          </wp:positionH>
          <wp:positionV relativeFrom="page">
            <wp:posOffset>9709784</wp:posOffset>
          </wp:positionV>
          <wp:extent cx="5579745" cy="7619"/>
          <wp:effectExtent l="0" t="0" r="0" b="0"/>
          <wp:wrapNone/>
          <wp:docPr id="1338" name="IM 1338"/>
          <wp:cNvGraphicFramePr/>
          <a:graphic>
            <a:graphicData uri="http://schemas.openxmlformats.org/drawingml/2006/picture">
              <pic:pic>
                <pic:nvPicPr>
                  <pic:cNvPr id="1338" name="IM 133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280//2021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87" w:line="205" w:lineRule="auto"/>
      <w:rPr>
        <w:rFonts w:ascii="Microsoft YaHei" w:hAnsi="Microsoft YaHei" w:eastAsia="Microsoft YaHei" w:cs="Microsoft YaHei"/>
        <w:sz w:val="20"/>
        <w:szCs w:val="20"/>
      </w:rPr>
    </w:pPr>
    <w:r>
      <w:drawing>
        <wp:anchor distT="0" distB="0" distL="0" distR="0" simplePos="0" relativeHeight="252016640" behindDoc="0" locked="0" layoutInCell="0" allowOverlap="1">
          <wp:simplePos x="0" y="0"/>
          <wp:positionH relativeFrom="page">
            <wp:posOffset>1000760</wp:posOffset>
          </wp:positionH>
          <wp:positionV relativeFrom="page">
            <wp:posOffset>9699625</wp:posOffset>
          </wp:positionV>
          <wp:extent cx="5579744" cy="7619"/>
          <wp:effectExtent l="0" t="0" r="0" b="0"/>
          <wp:wrapNone/>
          <wp:docPr id="1342" name="IM 1342"/>
          <wp:cNvGraphicFramePr/>
          <a:graphic>
            <a:graphicData uri="http://schemas.openxmlformats.org/drawingml/2006/picture">
              <pic:pic>
                <pic:nvPicPr>
                  <pic:cNvPr id="1342" name="IM 134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期/281</w:t>
    </w:r>
  </w:p>
</w:ftr>
</file>

<file path=word/footer2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71" w:line="205" w:lineRule="auto"/>
      <w:rPr>
        <w:rFonts w:ascii="Microsoft YaHei" w:hAnsi="Microsoft YaHei" w:eastAsia="Microsoft YaHei" w:cs="Microsoft YaHei"/>
        <w:sz w:val="20"/>
        <w:szCs w:val="20"/>
      </w:rPr>
    </w:pPr>
    <w:r>
      <w:drawing>
        <wp:anchor distT="0" distB="0" distL="0" distR="0" simplePos="0" relativeHeight="252018688" behindDoc="0" locked="0" layoutInCell="0" allowOverlap="1">
          <wp:simplePos x="0" y="0"/>
          <wp:positionH relativeFrom="page">
            <wp:posOffset>1008380</wp:posOffset>
          </wp:positionH>
          <wp:positionV relativeFrom="page">
            <wp:posOffset>9709784</wp:posOffset>
          </wp:positionV>
          <wp:extent cx="5579745" cy="7619"/>
          <wp:effectExtent l="0" t="0" r="0" b="0"/>
          <wp:wrapNone/>
          <wp:docPr id="1346" name="IM 1346"/>
          <wp:cNvGraphicFramePr/>
          <a:graphic>
            <a:graphicData uri="http://schemas.openxmlformats.org/drawingml/2006/picture">
              <pic:pic>
                <pic:nvPicPr>
                  <pic:cNvPr id="1346" name="IM 134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282//2021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73"/>
      <w:spacing w:before="66" w:line="206" w:lineRule="auto"/>
      <w:rPr>
        <w:rFonts w:ascii="Microsoft YaHei" w:hAnsi="Microsoft YaHei" w:eastAsia="Microsoft YaHei" w:cs="Microsoft YaHei"/>
        <w:sz w:val="20"/>
        <w:szCs w:val="20"/>
      </w:rPr>
    </w:pPr>
    <w:r>
      <w:drawing>
        <wp:anchor distT="0" distB="0" distL="0" distR="0" simplePos="0" relativeHeight="251685888" behindDoc="0" locked="0" layoutInCell="0" allowOverlap="1">
          <wp:simplePos x="0" y="0"/>
          <wp:positionH relativeFrom="page">
            <wp:posOffset>985519</wp:posOffset>
          </wp:positionH>
          <wp:positionV relativeFrom="page">
            <wp:posOffset>9638665</wp:posOffset>
          </wp:positionV>
          <wp:extent cx="5579744" cy="7619"/>
          <wp:effectExtent l="0" t="0" r="0" b="0"/>
          <wp:wrapNone/>
          <wp:docPr id="80" name="IM 80"/>
          <wp:cNvGraphicFramePr/>
          <a:graphic>
            <a:graphicData uri="http://schemas.openxmlformats.org/drawingml/2006/picture">
              <pic:pic>
                <pic:nvPicPr>
                  <pic:cNvPr id="80" name="IM 8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25"/>
        <w:w w:val="101"/>
      </w:rPr>
      <w:t xml:space="preserve"> </w:t>
    </w:r>
    <w:r>
      <w:rPr>
        <w:rFonts w:ascii="Microsoft YaHei" w:hAnsi="Microsoft YaHei" w:eastAsia="Microsoft YaHei" w:cs="Microsoft YaHei"/>
        <w:sz w:val="20"/>
        <w:szCs w:val="20"/>
        <w:spacing w:val="-6"/>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期总</w:t>
    </w:r>
    <w:r>
      <w:rPr>
        <w:rFonts w:ascii="Microsoft YaHei" w:hAnsi="Microsoft YaHei" w:eastAsia="Microsoft YaHei" w:cs="Microsoft YaHei"/>
        <w:sz w:val="20"/>
        <w:szCs w:val="20"/>
        <w:spacing w:val="7"/>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期// 29</w:t>
    </w:r>
  </w:p>
</w:ftr>
</file>

<file path=word/footer2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87" w:line="205" w:lineRule="auto"/>
      <w:rPr>
        <w:rFonts w:ascii="Microsoft YaHei" w:hAnsi="Microsoft YaHei" w:eastAsia="Microsoft YaHei" w:cs="Microsoft YaHei"/>
        <w:sz w:val="20"/>
        <w:szCs w:val="20"/>
      </w:rPr>
    </w:pPr>
    <w:r>
      <w:drawing>
        <wp:anchor distT="0" distB="0" distL="0" distR="0" simplePos="0" relativeHeight="252020736" behindDoc="0" locked="0" layoutInCell="0" allowOverlap="1">
          <wp:simplePos x="0" y="0"/>
          <wp:positionH relativeFrom="page">
            <wp:posOffset>1000760</wp:posOffset>
          </wp:positionH>
          <wp:positionV relativeFrom="page">
            <wp:posOffset>9699625</wp:posOffset>
          </wp:positionV>
          <wp:extent cx="5579744" cy="7619"/>
          <wp:effectExtent l="0" t="0" r="0" b="0"/>
          <wp:wrapNone/>
          <wp:docPr id="1352" name="IM 1352"/>
          <wp:cNvGraphicFramePr/>
          <a:graphic>
            <a:graphicData uri="http://schemas.openxmlformats.org/drawingml/2006/picture">
              <pic:pic>
                <pic:nvPicPr>
                  <pic:cNvPr id="1352" name="IM 135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期/283</w:t>
    </w:r>
  </w:p>
</w:ftr>
</file>

<file path=word/footer2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71" w:line="205" w:lineRule="auto"/>
      <w:rPr>
        <w:rFonts w:ascii="Microsoft YaHei" w:hAnsi="Microsoft YaHei" w:eastAsia="Microsoft YaHei" w:cs="Microsoft YaHei"/>
        <w:sz w:val="20"/>
        <w:szCs w:val="20"/>
      </w:rPr>
    </w:pPr>
    <w:r>
      <w:drawing>
        <wp:anchor distT="0" distB="0" distL="0" distR="0" simplePos="0" relativeHeight="252022784" behindDoc="0" locked="0" layoutInCell="0" allowOverlap="1">
          <wp:simplePos x="0" y="0"/>
          <wp:positionH relativeFrom="page">
            <wp:posOffset>1008380</wp:posOffset>
          </wp:positionH>
          <wp:positionV relativeFrom="page">
            <wp:posOffset>9709784</wp:posOffset>
          </wp:positionV>
          <wp:extent cx="5579745" cy="7619"/>
          <wp:effectExtent l="0" t="0" r="0" b="0"/>
          <wp:wrapNone/>
          <wp:docPr id="1356" name="IM 1356"/>
          <wp:cNvGraphicFramePr/>
          <a:graphic>
            <a:graphicData uri="http://schemas.openxmlformats.org/drawingml/2006/picture">
              <pic:pic>
                <pic:nvPicPr>
                  <pic:cNvPr id="1356" name="IM 135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284//2021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87" w:line="205" w:lineRule="auto"/>
      <w:rPr>
        <w:rFonts w:ascii="Microsoft YaHei" w:hAnsi="Microsoft YaHei" w:eastAsia="Microsoft YaHei" w:cs="Microsoft YaHei"/>
        <w:sz w:val="20"/>
        <w:szCs w:val="20"/>
      </w:rPr>
    </w:pPr>
    <w:r>
      <w:drawing>
        <wp:anchor distT="0" distB="0" distL="0" distR="0" simplePos="0" relativeHeight="252024832" behindDoc="0" locked="0" layoutInCell="0" allowOverlap="1">
          <wp:simplePos x="0" y="0"/>
          <wp:positionH relativeFrom="page">
            <wp:posOffset>1000760</wp:posOffset>
          </wp:positionH>
          <wp:positionV relativeFrom="page">
            <wp:posOffset>9699625</wp:posOffset>
          </wp:positionV>
          <wp:extent cx="5579744" cy="7619"/>
          <wp:effectExtent l="0" t="0" r="0" b="0"/>
          <wp:wrapNone/>
          <wp:docPr id="1360" name="IM 1360"/>
          <wp:cNvGraphicFramePr/>
          <a:graphic>
            <a:graphicData uri="http://schemas.openxmlformats.org/drawingml/2006/picture">
              <pic:pic>
                <pic:nvPicPr>
                  <pic:cNvPr id="1360" name="IM 136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期/285</w:t>
    </w:r>
  </w:p>
</w:ftr>
</file>

<file path=word/footer2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71" w:line="205" w:lineRule="auto"/>
      <w:rPr>
        <w:rFonts w:ascii="Microsoft YaHei" w:hAnsi="Microsoft YaHei" w:eastAsia="Microsoft YaHei" w:cs="Microsoft YaHei"/>
        <w:sz w:val="20"/>
        <w:szCs w:val="20"/>
      </w:rPr>
    </w:pPr>
    <w:r>
      <w:drawing>
        <wp:anchor distT="0" distB="0" distL="0" distR="0" simplePos="0" relativeHeight="252026880" behindDoc="0" locked="0" layoutInCell="0" allowOverlap="1">
          <wp:simplePos x="0" y="0"/>
          <wp:positionH relativeFrom="page">
            <wp:posOffset>1008380</wp:posOffset>
          </wp:positionH>
          <wp:positionV relativeFrom="page">
            <wp:posOffset>9709784</wp:posOffset>
          </wp:positionV>
          <wp:extent cx="5579745" cy="7619"/>
          <wp:effectExtent l="0" t="0" r="0" b="0"/>
          <wp:wrapNone/>
          <wp:docPr id="1364" name="IM 1364"/>
          <wp:cNvGraphicFramePr/>
          <a:graphic>
            <a:graphicData uri="http://schemas.openxmlformats.org/drawingml/2006/picture">
              <pic:pic>
                <pic:nvPicPr>
                  <pic:cNvPr id="1364" name="IM 136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286//2021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56"/>
      <w:spacing w:before="87" w:line="205" w:lineRule="auto"/>
      <w:rPr>
        <w:rFonts w:ascii="Microsoft YaHei" w:hAnsi="Microsoft YaHei" w:eastAsia="Microsoft YaHei" w:cs="Microsoft YaHei"/>
        <w:sz w:val="20"/>
        <w:szCs w:val="20"/>
      </w:rPr>
    </w:pPr>
    <w:r>
      <w:drawing>
        <wp:anchor distT="0" distB="0" distL="0" distR="0" simplePos="0" relativeHeight="252028928" behindDoc="0" locked="0" layoutInCell="0" allowOverlap="1">
          <wp:simplePos x="0" y="0"/>
          <wp:positionH relativeFrom="page">
            <wp:posOffset>1000760</wp:posOffset>
          </wp:positionH>
          <wp:positionV relativeFrom="page">
            <wp:posOffset>9699625</wp:posOffset>
          </wp:positionV>
          <wp:extent cx="5579744" cy="7619"/>
          <wp:effectExtent l="0" t="0" r="0" b="0"/>
          <wp:wrapNone/>
          <wp:docPr id="1370" name="IM 1370"/>
          <wp:cNvGraphicFramePr/>
          <a:graphic>
            <a:graphicData uri="http://schemas.openxmlformats.org/drawingml/2006/picture">
              <pic:pic>
                <pic:nvPicPr>
                  <pic:cNvPr id="1370" name="IM 137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期/287</w:t>
    </w:r>
  </w:p>
</w:ftr>
</file>

<file path=word/footer2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2"/>
      <w:spacing w:before="71" w:line="205" w:lineRule="auto"/>
      <w:rPr>
        <w:rFonts w:ascii="Microsoft YaHei" w:hAnsi="Microsoft YaHei" w:eastAsia="Microsoft YaHei" w:cs="Microsoft YaHei"/>
        <w:sz w:val="20"/>
        <w:szCs w:val="20"/>
      </w:rPr>
    </w:pPr>
    <w:r>
      <w:drawing>
        <wp:anchor distT="0" distB="0" distL="0" distR="0" simplePos="0" relativeHeight="252030976" behindDoc="0" locked="0" layoutInCell="0" allowOverlap="1">
          <wp:simplePos x="0" y="0"/>
          <wp:positionH relativeFrom="page">
            <wp:posOffset>1008380</wp:posOffset>
          </wp:positionH>
          <wp:positionV relativeFrom="page">
            <wp:posOffset>9709784</wp:posOffset>
          </wp:positionV>
          <wp:extent cx="5579745" cy="7619"/>
          <wp:effectExtent l="0" t="0" r="0" b="0"/>
          <wp:wrapNone/>
          <wp:docPr id="1376" name="IM 1376"/>
          <wp:cNvGraphicFramePr/>
          <a:graphic>
            <a:graphicData uri="http://schemas.openxmlformats.org/drawingml/2006/picture">
              <pic:pic>
                <pic:nvPicPr>
                  <pic:cNvPr id="1376" name="IM 137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288//2021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02"/>
      <w:spacing w:before="87" w:line="205" w:lineRule="auto"/>
      <w:rPr>
        <w:rFonts w:ascii="Microsoft YaHei" w:hAnsi="Microsoft YaHei" w:eastAsia="Microsoft YaHei" w:cs="Microsoft YaHei"/>
        <w:sz w:val="20"/>
        <w:szCs w:val="20"/>
      </w:rPr>
    </w:pPr>
    <w:r>
      <w:drawing>
        <wp:anchor distT="0" distB="0" distL="0" distR="0" simplePos="0" relativeHeight="252033024" behindDoc="0" locked="0" layoutInCell="0" allowOverlap="1">
          <wp:simplePos x="0" y="0"/>
          <wp:positionH relativeFrom="page">
            <wp:posOffset>1000760</wp:posOffset>
          </wp:positionH>
          <wp:positionV relativeFrom="page">
            <wp:posOffset>9699625</wp:posOffset>
          </wp:positionV>
          <wp:extent cx="5579744" cy="7619"/>
          <wp:effectExtent l="0" t="0" r="0" b="0"/>
          <wp:wrapNone/>
          <wp:docPr id="1382" name="IM 1382"/>
          <wp:cNvGraphicFramePr/>
          <a:graphic>
            <a:graphicData uri="http://schemas.openxmlformats.org/drawingml/2006/picture">
              <pic:pic>
                <pic:nvPicPr>
                  <pic:cNvPr id="1382" name="IM 138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期/289</w:t>
    </w:r>
  </w:p>
</w:ftr>
</file>

<file path=word/footer2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2"/>
      <w:spacing w:before="71" w:line="205" w:lineRule="auto"/>
      <w:rPr>
        <w:rFonts w:ascii="Microsoft YaHei" w:hAnsi="Microsoft YaHei" w:eastAsia="Microsoft YaHei" w:cs="Microsoft YaHei"/>
        <w:sz w:val="20"/>
        <w:szCs w:val="20"/>
      </w:rPr>
    </w:pPr>
    <w:r>
      <w:drawing>
        <wp:anchor distT="0" distB="0" distL="0" distR="0" simplePos="0" relativeHeight="252035072" behindDoc="0" locked="0" layoutInCell="0" allowOverlap="1">
          <wp:simplePos x="0" y="0"/>
          <wp:positionH relativeFrom="page">
            <wp:posOffset>1008380</wp:posOffset>
          </wp:positionH>
          <wp:positionV relativeFrom="page">
            <wp:posOffset>9709784</wp:posOffset>
          </wp:positionV>
          <wp:extent cx="5579745" cy="7619"/>
          <wp:effectExtent l="0" t="0" r="0" b="0"/>
          <wp:wrapNone/>
          <wp:docPr id="1386" name="IM 1386"/>
          <wp:cNvGraphicFramePr/>
          <a:graphic>
            <a:graphicData uri="http://schemas.openxmlformats.org/drawingml/2006/picture">
              <pic:pic>
                <pic:nvPicPr>
                  <pic:cNvPr id="1386" name="IM 138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290//2021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02"/>
      <w:spacing w:before="87" w:line="205" w:lineRule="auto"/>
      <w:rPr>
        <w:rFonts w:ascii="Microsoft YaHei" w:hAnsi="Microsoft YaHei" w:eastAsia="Microsoft YaHei" w:cs="Microsoft YaHei"/>
        <w:sz w:val="20"/>
        <w:szCs w:val="20"/>
      </w:rPr>
    </w:pPr>
    <w:r>
      <w:drawing>
        <wp:anchor distT="0" distB="0" distL="0" distR="0" simplePos="0" relativeHeight="252037120" behindDoc="0" locked="0" layoutInCell="0" allowOverlap="1">
          <wp:simplePos x="0" y="0"/>
          <wp:positionH relativeFrom="page">
            <wp:posOffset>1000760</wp:posOffset>
          </wp:positionH>
          <wp:positionV relativeFrom="page">
            <wp:posOffset>9699625</wp:posOffset>
          </wp:positionV>
          <wp:extent cx="5579744" cy="7619"/>
          <wp:effectExtent l="0" t="0" r="0" b="0"/>
          <wp:wrapNone/>
          <wp:docPr id="1390" name="IM 1390"/>
          <wp:cNvGraphicFramePr/>
          <a:graphic>
            <a:graphicData uri="http://schemas.openxmlformats.org/drawingml/2006/picture">
              <pic:pic>
                <pic:nvPicPr>
                  <pic:cNvPr id="1390" name="IM 139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期/291</w:t>
    </w:r>
  </w:p>
</w:ftr>
</file>

<file path=word/footer2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71" w:line="205" w:lineRule="auto"/>
      <w:rPr>
        <w:rFonts w:ascii="Microsoft YaHei" w:hAnsi="Microsoft YaHei" w:eastAsia="Microsoft YaHei" w:cs="Microsoft YaHei"/>
        <w:sz w:val="20"/>
        <w:szCs w:val="20"/>
      </w:rPr>
    </w:pPr>
    <w:r>
      <w:drawing>
        <wp:anchor distT="0" distB="0" distL="0" distR="0" simplePos="0" relativeHeight="252039168" behindDoc="0" locked="0" layoutInCell="0" allowOverlap="1">
          <wp:simplePos x="0" y="0"/>
          <wp:positionH relativeFrom="page">
            <wp:posOffset>1008380</wp:posOffset>
          </wp:positionH>
          <wp:positionV relativeFrom="page">
            <wp:posOffset>9709784</wp:posOffset>
          </wp:positionV>
          <wp:extent cx="5579745" cy="7619"/>
          <wp:effectExtent l="0" t="0" r="0" b="0"/>
          <wp:wrapNone/>
          <wp:docPr id="1394" name="IM 1394"/>
          <wp:cNvGraphicFramePr/>
          <a:graphic>
            <a:graphicData uri="http://schemas.openxmlformats.org/drawingml/2006/picture">
              <pic:pic>
                <pic:nvPicPr>
                  <pic:cNvPr id="1394" name="IM 139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292//2021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
      <w:spacing w:before="91" w:line="205" w:lineRule="auto"/>
      <w:rPr>
        <w:rFonts w:ascii="Microsoft YaHei" w:hAnsi="Microsoft YaHei" w:eastAsia="Microsoft YaHei" w:cs="Microsoft YaHei"/>
        <w:sz w:val="20"/>
        <w:szCs w:val="20"/>
      </w:rPr>
    </w:pPr>
    <w:r>
      <w:drawing>
        <wp:anchor distT="0" distB="0" distL="0" distR="0" simplePos="0" relativeHeight="251686912" behindDoc="0" locked="0" layoutInCell="0" allowOverlap="1">
          <wp:simplePos x="0" y="0"/>
          <wp:positionH relativeFrom="page">
            <wp:posOffset>990600</wp:posOffset>
          </wp:positionH>
          <wp:positionV relativeFrom="page">
            <wp:posOffset>9631680</wp:posOffset>
          </wp:positionV>
          <wp:extent cx="5579744" cy="7619"/>
          <wp:effectExtent l="0" t="0" r="0" b="0"/>
          <wp:wrapNone/>
          <wp:docPr id="82" name="IM 82"/>
          <wp:cNvGraphicFramePr/>
          <a:graphic>
            <a:graphicData uri="http://schemas.openxmlformats.org/drawingml/2006/picture">
              <pic:pic>
                <pic:nvPicPr>
                  <pic:cNvPr id="82" name="IM 8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30//2021 年第</w:t>
    </w:r>
    <w:r>
      <w:rPr>
        <w:rFonts w:ascii="Microsoft YaHei" w:hAnsi="Microsoft YaHei" w:eastAsia="Microsoft YaHei" w:cs="Microsoft YaHei"/>
        <w:sz w:val="20"/>
        <w:szCs w:val="20"/>
        <w:spacing w:val="23"/>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5"/>
      </w:rPr>
      <w:t>期</w:t>
    </w:r>
  </w:p>
</w:ftr>
</file>

<file path=word/footer2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87" w:line="205" w:lineRule="auto"/>
      <w:rPr>
        <w:rFonts w:ascii="Microsoft YaHei" w:hAnsi="Microsoft YaHei" w:eastAsia="Microsoft YaHei" w:cs="Microsoft YaHei"/>
        <w:sz w:val="20"/>
        <w:szCs w:val="20"/>
      </w:rPr>
    </w:pPr>
    <w:r>
      <w:drawing>
        <wp:anchor distT="0" distB="0" distL="0" distR="0" simplePos="0" relativeHeight="252041216" behindDoc="0" locked="0" layoutInCell="0" allowOverlap="1">
          <wp:simplePos x="0" y="0"/>
          <wp:positionH relativeFrom="page">
            <wp:posOffset>1000760</wp:posOffset>
          </wp:positionH>
          <wp:positionV relativeFrom="page">
            <wp:posOffset>9699625</wp:posOffset>
          </wp:positionV>
          <wp:extent cx="5579744" cy="7619"/>
          <wp:effectExtent l="0" t="0" r="0" b="0"/>
          <wp:wrapNone/>
          <wp:docPr id="1398" name="IM 1398"/>
          <wp:cNvGraphicFramePr/>
          <a:graphic>
            <a:graphicData uri="http://schemas.openxmlformats.org/drawingml/2006/picture">
              <pic:pic>
                <pic:nvPicPr>
                  <pic:cNvPr id="1398" name="IM 139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期/293</w:t>
    </w:r>
  </w:p>
</w:ftr>
</file>

<file path=word/footer2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71" w:line="205" w:lineRule="auto"/>
      <w:rPr>
        <w:rFonts w:ascii="Microsoft YaHei" w:hAnsi="Microsoft YaHei" w:eastAsia="Microsoft YaHei" w:cs="Microsoft YaHei"/>
        <w:sz w:val="20"/>
        <w:szCs w:val="20"/>
      </w:rPr>
    </w:pPr>
    <w:r>
      <w:drawing>
        <wp:anchor distT="0" distB="0" distL="0" distR="0" simplePos="0" relativeHeight="252043264" behindDoc="0" locked="0" layoutInCell="0" allowOverlap="1">
          <wp:simplePos x="0" y="0"/>
          <wp:positionH relativeFrom="page">
            <wp:posOffset>1008380</wp:posOffset>
          </wp:positionH>
          <wp:positionV relativeFrom="page">
            <wp:posOffset>9709784</wp:posOffset>
          </wp:positionV>
          <wp:extent cx="5579745" cy="7619"/>
          <wp:effectExtent l="0" t="0" r="0" b="0"/>
          <wp:wrapNone/>
          <wp:docPr id="1402" name="IM 1402"/>
          <wp:cNvGraphicFramePr/>
          <a:graphic>
            <a:graphicData uri="http://schemas.openxmlformats.org/drawingml/2006/picture">
              <pic:pic>
                <pic:nvPicPr>
                  <pic:cNvPr id="1402" name="IM 140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294//2021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87" w:line="205" w:lineRule="auto"/>
      <w:rPr>
        <w:rFonts w:ascii="Microsoft YaHei" w:hAnsi="Microsoft YaHei" w:eastAsia="Microsoft YaHei" w:cs="Microsoft YaHei"/>
        <w:sz w:val="20"/>
        <w:szCs w:val="20"/>
      </w:rPr>
    </w:pPr>
    <w:r>
      <w:drawing>
        <wp:anchor distT="0" distB="0" distL="0" distR="0" simplePos="0" relativeHeight="252045312" behindDoc="0" locked="0" layoutInCell="0" allowOverlap="1">
          <wp:simplePos x="0" y="0"/>
          <wp:positionH relativeFrom="page">
            <wp:posOffset>1000760</wp:posOffset>
          </wp:positionH>
          <wp:positionV relativeFrom="page">
            <wp:posOffset>9699625</wp:posOffset>
          </wp:positionV>
          <wp:extent cx="5579744" cy="7619"/>
          <wp:effectExtent l="0" t="0" r="0" b="0"/>
          <wp:wrapNone/>
          <wp:docPr id="1406" name="IM 1406"/>
          <wp:cNvGraphicFramePr/>
          <a:graphic>
            <a:graphicData uri="http://schemas.openxmlformats.org/drawingml/2006/picture">
              <pic:pic>
                <pic:nvPicPr>
                  <pic:cNvPr id="1406" name="IM 140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期/295</w:t>
    </w:r>
  </w:p>
</w:ftr>
</file>

<file path=word/footer2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71" w:line="205" w:lineRule="auto"/>
      <w:rPr>
        <w:rFonts w:ascii="Microsoft YaHei" w:hAnsi="Microsoft YaHei" w:eastAsia="Microsoft YaHei" w:cs="Microsoft YaHei"/>
        <w:sz w:val="20"/>
        <w:szCs w:val="20"/>
      </w:rPr>
    </w:pPr>
    <w:r>
      <w:drawing>
        <wp:anchor distT="0" distB="0" distL="0" distR="0" simplePos="0" relativeHeight="252047360" behindDoc="0" locked="0" layoutInCell="0" allowOverlap="1">
          <wp:simplePos x="0" y="0"/>
          <wp:positionH relativeFrom="page">
            <wp:posOffset>1008380</wp:posOffset>
          </wp:positionH>
          <wp:positionV relativeFrom="page">
            <wp:posOffset>9709784</wp:posOffset>
          </wp:positionV>
          <wp:extent cx="5579745" cy="7619"/>
          <wp:effectExtent l="0" t="0" r="0" b="0"/>
          <wp:wrapNone/>
          <wp:docPr id="1412" name="IM 1412"/>
          <wp:cNvGraphicFramePr/>
          <a:graphic>
            <a:graphicData uri="http://schemas.openxmlformats.org/drawingml/2006/picture">
              <pic:pic>
                <pic:nvPicPr>
                  <pic:cNvPr id="1412" name="IM 141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296//2021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87" w:line="205" w:lineRule="auto"/>
      <w:rPr>
        <w:rFonts w:ascii="Microsoft YaHei" w:hAnsi="Microsoft YaHei" w:eastAsia="Microsoft YaHei" w:cs="Microsoft YaHei"/>
        <w:sz w:val="20"/>
        <w:szCs w:val="20"/>
      </w:rPr>
    </w:pPr>
    <w:r>
      <w:drawing>
        <wp:anchor distT="0" distB="0" distL="0" distR="0" simplePos="0" relativeHeight="252049408" behindDoc="0" locked="0" layoutInCell="0" allowOverlap="1">
          <wp:simplePos x="0" y="0"/>
          <wp:positionH relativeFrom="page">
            <wp:posOffset>1000760</wp:posOffset>
          </wp:positionH>
          <wp:positionV relativeFrom="page">
            <wp:posOffset>9699625</wp:posOffset>
          </wp:positionV>
          <wp:extent cx="5579744" cy="7619"/>
          <wp:effectExtent l="0" t="0" r="0" b="0"/>
          <wp:wrapNone/>
          <wp:docPr id="1416" name="IM 1416"/>
          <wp:cNvGraphicFramePr/>
          <a:graphic>
            <a:graphicData uri="http://schemas.openxmlformats.org/drawingml/2006/picture">
              <pic:pic>
                <pic:nvPicPr>
                  <pic:cNvPr id="1416" name="IM 141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期/297</w:t>
    </w:r>
  </w:p>
</w:ftr>
</file>

<file path=word/footer2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
      <w:spacing w:before="71" w:line="205" w:lineRule="auto"/>
      <w:rPr>
        <w:rFonts w:ascii="Microsoft YaHei" w:hAnsi="Microsoft YaHei" w:eastAsia="Microsoft YaHei" w:cs="Microsoft YaHei"/>
        <w:sz w:val="20"/>
        <w:szCs w:val="20"/>
      </w:rPr>
    </w:pPr>
    <w:r>
      <w:drawing>
        <wp:anchor distT="0" distB="0" distL="0" distR="0" simplePos="0" relativeHeight="252051456" behindDoc="0" locked="0" layoutInCell="0" allowOverlap="1">
          <wp:simplePos x="0" y="0"/>
          <wp:positionH relativeFrom="page">
            <wp:posOffset>1008380</wp:posOffset>
          </wp:positionH>
          <wp:positionV relativeFrom="page">
            <wp:posOffset>9709784</wp:posOffset>
          </wp:positionV>
          <wp:extent cx="5579745" cy="7619"/>
          <wp:effectExtent l="0" t="0" r="0" b="0"/>
          <wp:wrapNone/>
          <wp:docPr id="1422" name="IM 1422"/>
          <wp:cNvGraphicFramePr/>
          <a:graphic>
            <a:graphicData uri="http://schemas.openxmlformats.org/drawingml/2006/picture">
              <pic:pic>
                <pic:nvPicPr>
                  <pic:cNvPr id="1422" name="IM 142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5"/>
      </w:rPr>
      <w:t>298//2021 年第</w:t>
    </w:r>
    <w:r>
      <w:rPr>
        <w:rFonts w:ascii="Microsoft YaHei" w:hAnsi="Microsoft YaHei" w:eastAsia="Microsoft YaHei" w:cs="Microsoft YaHei"/>
        <w:sz w:val="20"/>
        <w:szCs w:val="20"/>
        <w:spacing w:val="24"/>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87" w:line="205" w:lineRule="auto"/>
      <w:rPr>
        <w:rFonts w:ascii="Microsoft YaHei" w:hAnsi="Microsoft YaHei" w:eastAsia="Microsoft YaHei" w:cs="Microsoft YaHei"/>
        <w:sz w:val="20"/>
        <w:szCs w:val="20"/>
      </w:rPr>
    </w:pPr>
    <w:r>
      <w:drawing>
        <wp:anchor distT="0" distB="0" distL="0" distR="0" simplePos="0" relativeHeight="252053504" behindDoc="0" locked="0" layoutInCell="0" allowOverlap="1">
          <wp:simplePos x="0" y="0"/>
          <wp:positionH relativeFrom="page">
            <wp:posOffset>1000760</wp:posOffset>
          </wp:positionH>
          <wp:positionV relativeFrom="page">
            <wp:posOffset>9699625</wp:posOffset>
          </wp:positionV>
          <wp:extent cx="5579744" cy="7619"/>
          <wp:effectExtent l="0" t="0" r="0" b="0"/>
          <wp:wrapNone/>
          <wp:docPr id="1426" name="IM 1426"/>
          <wp:cNvGraphicFramePr/>
          <a:graphic>
            <a:graphicData uri="http://schemas.openxmlformats.org/drawingml/2006/picture">
              <pic:pic>
                <pic:nvPicPr>
                  <pic:cNvPr id="1426" name="IM 142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期/299</w:t>
    </w:r>
  </w:p>
</w:ftr>
</file>

<file path=word/footer2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1"/>
      <w:spacing w:before="87" w:line="206" w:lineRule="auto"/>
      <w:rPr>
        <w:rFonts w:ascii="Microsoft YaHei" w:hAnsi="Microsoft YaHei" w:eastAsia="Microsoft YaHei" w:cs="Microsoft YaHei"/>
        <w:sz w:val="20"/>
        <w:szCs w:val="20"/>
      </w:rPr>
    </w:pPr>
    <w:r>
      <w:drawing>
        <wp:anchor distT="0" distB="0" distL="0" distR="0" simplePos="0" relativeHeight="252055552" behindDoc="0" locked="0" layoutInCell="0" allowOverlap="1">
          <wp:simplePos x="0" y="0"/>
          <wp:positionH relativeFrom="page">
            <wp:posOffset>977900</wp:posOffset>
          </wp:positionH>
          <wp:positionV relativeFrom="page">
            <wp:posOffset>6531609</wp:posOffset>
          </wp:positionV>
          <wp:extent cx="8747759" cy="7619"/>
          <wp:effectExtent l="0" t="0" r="0" b="0"/>
          <wp:wrapNone/>
          <wp:docPr id="1432" name="IM 1432"/>
          <wp:cNvGraphicFramePr/>
          <a:graphic>
            <a:graphicData uri="http://schemas.openxmlformats.org/drawingml/2006/picture">
              <pic:pic>
                <pic:nvPicPr>
                  <pic:cNvPr id="1432" name="IM 1432"/>
                  <pic:cNvPicPr/>
                </pic:nvPicPr>
                <pic:blipFill>
                  <a:blip r:embed="rId1"/>
                  <a:stretch>
                    <a:fillRect/>
                  </a:stretch>
                </pic:blipFill>
                <pic:spPr>
                  <a:xfrm rot="0">
                    <a:off x="0" y="0"/>
                    <a:ext cx="8747759" cy="7619"/>
                  </a:xfrm>
                  <a:prstGeom prst="rect">
                    <a:avLst/>
                  </a:prstGeom>
                </pic:spPr>
              </pic:pic>
            </a:graphicData>
          </a:graphic>
        </wp:anchor>
      </w:drawing>
    </w:r>
    <w:r>
      <w:rPr>
        <w:rFonts w:ascii="Microsoft YaHei" w:hAnsi="Microsoft YaHei" w:eastAsia="Microsoft YaHei" w:cs="Microsoft YaHei"/>
        <w:sz w:val="20"/>
        <w:szCs w:val="20"/>
        <w:spacing w:val="-5"/>
      </w:rPr>
      <w:t>300//2021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2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75" w:line="205" w:lineRule="auto"/>
      <w:rPr>
        <w:rFonts w:ascii="Microsoft YaHei" w:hAnsi="Microsoft YaHei" w:eastAsia="Microsoft YaHei" w:cs="Microsoft YaHei"/>
        <w:sz w:val="20"/>
        <w:szCs w:val="20"/>
      </w:rPr>
    </w:pPr>
    <w:r>
      <w:drawing>
        <wp:anchor distT="0" distB="0" distL="0" distR="0" simplePos="0" relativeHeight="252057600" behindDoc="0" locked="0" layoutInCell="0" allowOverlap="1">
          <wp:simplePos x="0" y="0"/>
          <wp:positionH relativeFrom="page">
            <wp:posOffset>1000760</wp:posOffset>
          </wp:positionH>
          <wp:positionV relativeFrom="page">
            <wp:posOffset>9707244</wp:posOffset>
          </wp:positionV>
          <wp:extent cx="5579744" cy="7619"/>
          <wp:effectExtent l="0" t="0" r="0" b="0"/>
          <wp:wrapNone/>
          <wp:docPr id="1438" name="IM 1438"/>
          <wp:cNvGraphicFramePr/>
          <a:graphic>
            <a:graphicData uri="http://schemas.openxmlformats.org/drawingml/2006/picture">
              <pic:pic>
                <pic:nvPicPr>
                  <pic:cNvPr id="1438" name="IM 143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期/301</w:t>
    </w:r>
  </w:p>
</w:ftr>
</file>

<file path=word/footer2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0" w:line="205" w:lineRule="auto"/>
      <w:rPr>
        <w:rFonts w:ascii="Microsoft YaHei" w:hAnsi="Microsoft YaHei" w:eastAsia="Microsoft YaHei" w:cs="Microsoft YaHei"/>
        <w:sz w:val="20"/>
        <w:szCs w:val="20"/>
      </w:rPr>
    </w:pPr>
    <w:r>
      <w:drawing>
        <wp:anchor distT="0" distB="0" distL="0" distR="0" simplePos="0" relativeHeight="252059648" behindDoc="0" locked="0" layoutInCell="0" allowOverlap="1">
          <wp:simplePos x="0" y="0"/>
          <wp:positionH relativeFrom="page">
            <wp:posOffset>995045</wp:posOffset>
          </wp:positionH>
          <wp:positionV relativeFrom="page">
            <wp:posOffset>9704069</wp:posOffset>
          </wp:positionV>
          <wp:extent cx="5579743" cy="7619"/>
          <wp:effectExtent l="0" t="0" r="0" b="0"/>
          <wp:wrapNone/>
          <wp:docPr id="1444" name="IM 1444"/>
          <wp:cNvGraphicFramePr/>
          <a:graphic>
            <a:graphicData uri="http://schemas.openxmlformats.org/drawingml/2006/picture">
              <pic:pic>
                <pic:nvPicPr>
                  <pic:cNvPr id="1444" name="IM 1444"/>
                  <pic:cNvPicPr/>
                </pic:nvPicPr>
                <pic:blipFill>
                  <a:blip r:embed="rId1"/>
                  <a:stretch>
                    <a:fillRect/>
                  </a:stretch>
                </pic:blipFill>
                <pic:spPr>
                  <a:xfrm rot="0">
                    <a:off x="0" y="0"/>
                    <a:ext cx="5579743" cy="7619"/>
                  </a:xfrm>
                  <a:prstGeom prst="rect">
                    <a:avLst/>
                  </a:prstGeom>
                </pic:spPr>
              </pic:pic>
            </a:graphicData>
          </a:graphic>
        </wp:anchor>
      </w:drawing>
    </w:r>
    <w:r>
      <w:rPr>
        <w:rFonts w:ascii="Microsoft YaHei" w:hAnsi="Microsoft YaHei" w:eastAsia="Microsoft YaHei" w:cs="Microsoft YaHei"/>
        <w:sz w:val="20"/>
        <w:szCs w:val="20"/>
        <w:spacing w:val="-5"/>
      </w:rPr>
      <w:t>302//2021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3"/>
      <w:spacing w:before="90" w:line="205" w:lineRule="auto"/>
      <w:rPr>
        <w:rFonts w:ascii="Microsoft YaHei" w:hAnsi="Microsoft YaHei" w:eastAsia="Microsoft YaHei" w:cs="Microsoft YaHei"/>
        <w:sz w:val="20"/>
        <w:szCs w:val="20"/>
      </w:rPr>
    </w:pPr>
    <w:r>
      <w:drawing>
        <wp:anchor distT="0" distB="0" distL="0" distR="0" simplePos="0" relativeHeight="251660288" behindDoc="0" locked="0" layoutInCell="0" allowOverlap="1">
          <wp:simplePos x="0" y="0"/>
          <wp:positionH relativeFrom="page">
            <wp:posOffset>990600</wp:posOffset>
          </wp:positionH>
          <wp:positionV relativeFrom="page">
            <wp:posOffset>9630409</wp:posOffset>
          </wp:positionV>
          <wp:extent cx="5579744" cy="7619"/>
          <wp:effectExtent l="0" t="0" r="0" b="0"/>
          <wp:wrapNone/>
          <wp:docPr id="14" name="IM 14"/>
          <wp:cNvGraphicFramePr/>
          <a:graphic>
            <a:graphicData uri="http://schemas.openxmlformats.org/drawingml/2006/picture">
              <pic:pic>
                <pic:nvPicPr>
                  <pic:cNvPr id="14" name="IM 1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4//2021 年第</w:t>
    </w:r>
    <w:r>
      <w:rPr>
        <w:rFonts w:ascii="Microsoft YaHei" w:hAnsi="Microsoft YaHei" w:eastAsia="Microsoft YaHei" w:cs="Microsoft YaHei"/>
        <w:sz w:val="20"/>
        <w:szCs w:val="20"/>
        <w:spacing w:val="35"/>
      </w:rPr>
      <w:t xml:space="preserve"> </w:t>
    </w:r>
    <w:r>
      <w:rPr>
        <w:rFonts w:ascii="Microsoft YaHei" w:hAnsi="Microsoft YaHei" w:eastAsia="Microsoft YaHei" w:cs="Microsoft YaHei"/>
        <w:sz w:val="20"/>
        <w:szCs w:val="20"/>
        <w:spacing w:val="-6"/>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期总 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73"/>
      <w:spacing w:before="66" w:line="206" w:lineRule="auto"/>
      <w:rPr>
        <w:rFonts w:ascii="Microsoft YaHei" w:hAnsi="Microsoft YaHei" w:eastAsia="Microsoft YaHei" w:cs="Microsoft YaHei"/>
        <w:sz w:val="20"/>
        <w:szCs w:val="20"/>
      </w:rPr>
    </w:pPr>
    <w:r>
      <w:drawing>
        <wp:anchor distT="0" distB="0" distL="0" distR="0" simplePos="0" relativeHeight="251687936" behindDoc="0" locked="0" layoutInCell="0" allowOverlap="1">
          <wp:simplePos x="0" y="0"/>
          <wp:positionH relativeFrom="page">
            <wp:posOffset>985519</wp:posOffset>
          </wp:positionH>
          <wp:positionV relativeFrom="page">
            <wp:posOffset>9638665</wp:posOffset>
          </wp:positionV>
          <wp:extent cx="5579744" cy="7619"/>
          <wp:effectExtent l="0" t="0" r="0" b="0"/>
          <wp:wrapNone/>
          <wp:docPr id="84" name="IM 84"/>
          <wp:cNvGraphicFramePr/>
          <a:graphic>
            <a:graphicData uri="http://schemas.openxmlformats.org/drawingml/2006/picture">
              <pic:pic>
                <pic:nvPicPr>
                  <pic:cNvPr id="84" name="IM 8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期总 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r>
      <w:rPr>
        <w:rFonts w:ascii="Microsoft YaHei" w:hAnsi="Microsoft YaHei" w:eastAsia="Microsoft YaHei" w:cs="Microsoft YaHei"/>
        <w:sz w:val="20"/>
        <w:szCs w:val="20"/>
        <w:spacing w:val="2"/>
      </w:rPr>
      <w:t xml:space="preserve"> </w:t>
    </w:r>
    <w:r>
      <w:rPr>
        <w:rFonts w:ascii="Microsoft YaHei" w:hAnsi="Microsoft YaHei" w:eastAsia="Microsoft YaHei" w:cs="Microsoft YaHei"/>
        <w:sz w:val="20"/>
        <w:szCs w:val="20"/>
        <w:spacing w:val="-6"/>
      </w:rPr>
      <w:t>31</w:t>
    </w:r>
  </w:p>
</w:ftr>
</file>

<file path=word/footer3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75" w:line="205" w:lineRule="auto"/>
      <w:rPr>
        <w:rFonts w:ascii="Microsoft YaHei" w:hAnsi="Microsoft YaHei" w:eastAsia="Microsoft YaHei" w:cs="Microsoft YaHei"/>
        <w:sz w:val="20"/>
        <w:szCs w:val="20"/>
      </w:rPr>
    </w:pPr>
    <w:r>
      <w:drawing>
        <wp:anchor distT="0" distB="0" distL="0" distR="0" simplePos="0" relativeHeight="252061696" behindDoc="0" locked="0" layoutInCell="0" allowOverlap="1">
          <wp:simplePos x="0" y="0"/>
          <wp:positionH relativeFrom="page">
            <wp:posOffset>1000760</wp:posOffset>
          </wp:positionH>
          <wp:positionV relativeFrom="page">
            <wp:posOffset>9707244</wp:posOffset>
          </wp:positionV>
          <wp:extent cx="5579744" cy="7619"/>
          <wp:effectExtent l="0" t="0" r="0" b="0"/>
          <wp:wrapNone/>
          <wp:docPr id="1448" name="IM 1448"/>
          <wp:cNvGraphicFramePr/>
          <a:graphic>
            <a:graphicData uri="http://schemas.openxmlformats.org/drawingml/2006/picture">
              <pic:pic>
                <pic:nvPicPr>
                  <pic:cNvPr id="1448" name="IM 144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期/303</w:t>
    </w:r>
  </w:p>
</w:ftr>
</file>

<file path=word/footer3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0" w:line="205" w:lineRule="auto"/>
      <w:rPr>
        <w:rFonts w:ascii="Microsoft YaHei" w:hAnsi="Microsoft YaHei" w:eastAsia="Microsoft YaHei" w:cs="Microsoft YaHei"/>
        <w:sz w:val="20"/>
        <w:szCs w:val="20"/>
      </w:rPr>
    </w:pPr>
    <w:r>
      <w:drawing>
        <wp:anchor distT="0" distB="0" distL="0" distR="0" simplePos="0" relativeHeight="252063744" behindDoc="0" locked="0" layoutInCell="0" allowOverlap="1">
          <wp:simplePos x="0" y="0"/>
          <wp:positionH relativeFrom="page">
            <wp:posOffset>995045</wp:posOffset>
          </wp:positionH>
          <wp:positionV relativeFrom="page">
            <wp:posOffset>9704069</wp:posOffset>
          </wp:positionV>
          <wp:extent cx="5579744" cy="7619"/>
          <wp:effectExtent l="0" t="0" r="0" b="0"/>
          <wp:wrapNone/>
          <wp:docPr id="1454" name="IM 1454"/>
          <wp:cNvGraphicFramePr/>
          <a:graphic>
            <a:graphicData uri="http://schemas.openxmlformats.org/drawingml/2006/picture">
              <pic:pic>
                <pic:nvPicPr>
                  <pic:cNvPr id="1454" name="IM 145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304//2021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75" w:line="205" w:lineRule="auto"/>
      <w:rPr>
        <w:rFonts w:ascii="Microsoft YaHei" w:hAnsi="Microsoft YaHei" w:eastAsia="Microsoft YaHei" w:cs="Microsoft YaHei"/>
        <w:sz w:val="20"/>
        <w:szCs w:val="20"/>
      </w:rPr>
    </w:pPr>
    <w:r>
      <w:drawing>
        <wp:anchor distT="0" distB="0" distL="0" distR="0" simplePos="0" relativeHeight="252065792" behindDoc="0" locked="0" layoutInCell="0" allowOverlap="1">
          <wp:simplePos x="0" y="0"/>
          <wp:positionH relativeFrom="page">
            <wp:posOffset>1000760</wp:posOffset>
          </wp:positionH>
          <wp:positionV relativeFrom="page">
            <wp:posOffset>9707244</wp:posOffset>
          </wp:positionV>
          <wp:extent cx="5579744" cy="7619"/>
          <wp:effectExtent l="0" t="0" r="0" b="0"/>
          <wp:wrapNone/>
          <wp:docPr id="1458" name="IM 1458"/>
          <wp:cNvGraphicFramePr/>
          <a:graphic>
            <a:graphicData uri="http://schemas.openxmlformats.org/drawingml/2006/picture">
              <pic:pic>
                <pic:nvPicPr>
                  <pic:cNvPr id="1458" name="IM 145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期/305</w:t>
    </w:r>
  </w:p>
</w:ftr>
</file>

<file path=word/footer3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0" w:line="205" w:lineRule="auto"/>
      <w:rPr>
        <w:rFonts w:ascii="Microsoft YaHei" w:hAnsi="Microsoft YaHei" w:eastAsia="Microsoft YaHei" w:cs="Microsoft YaHei"/>
        <w:sz w:val="20"/>
        <w:szCs w:val="20"/>
      </w:rPr>
    </w:pPr>
    <w:r>
      <w:drawing>
        <wp:anchor distT="0" distB="0" distL="0" distR="0" simplePos="0" relativeHeight="252067840" behindDoc="0" locked="0" layoutInCell="0" allowOverlap="1">
          <wp:simplePos x="0" y="0"/>
          <wp:positionH relativeFrom="page">
            <wp:posOffset>995045</wp:posOffset>
          </wp:positionH>
          <wp:positionV relativeFrom="page">
            <wp:posOffset>9704069</wp:posOffset>
          </wp:positionV>
          <wp:extent cx="5579744" cy="7619"/>
          <wp:effectExtent l="0" t="0" r="0" b="0"/>
          <wp:wrapNone/>
          <wp:docPr id="1462" name="IM 1462"/>
          <wp:cNvGraphicFramePr/>
          <a:graphic>
            <a:graphicData uri="http://schemas.openxmlformats.org/drawingml/2006/picture">
              <pic:pic>
                <pic:nvPicPr>
                  <pic:cNvPr id="1462" name="IM 146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306//2021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06"/>
      <w:spacing w:before="75" w:line="205" w:lineRule="auto"/>
      <w:rPr>
        <w:rFonts w:ascii="Microsoft YaHei" w:hAnsi="Microsoft YaHei" w:eastAsia="Microsoft YaHei" w:cs="Microsoft YaHei"/>
        <w:sz w:val="20"/>
        <w:szCs w:val="20"/>
      </w:rPr>
    </w:pPr>
    <w:r>
      <w:drawing>
        <wp:anchor distT="0" distB="0" distL="0" distR="0" simplePos="0" relativeHeight="252069888" behindDoc="0" locked="0" layoutInCell="0" allowOverlap="1">
          <wp:simplePos x="0" y="0"/>
          <wp:positionH relativeFrom="page">
            <wp:posOffset>1000760</wp:posOffset>
          </wp:positionH>
          <wp:positionV relativeFrom="page">
            <wp:posOffset>9707244</wp:posOffset>
          </wp:positionV>
          <wp:extent cx="5579744" cy="7619"/>
          <wp:effectExtent l="0" t="0" r="0" b="0"/>
          <wp:wrapNone/>
          <wp:docPr id="1472" name="IM 1472"/>
          <wp:cNvGraphicFramePr/>
          <a:graphic>
            <a:graphicData uri="http://schemas.openxmlformats.org/drawingml/2006/picture">
              <pic:pic>
                <pic:nvPicPr>
                  <pic:cNvPr id="1472" name="IM 147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期/307</w:t>
    </w:r>
  </w:p>
</w:ftr>
</file>

<file path=word/footer3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0" w:line="205" w:lineRule="auto"/>
      <w:rPr>
        <w:rFonts w:ascii="Microsoft YaHei" w:hAnsi="Microsoft YaHei" w:eastAsia="Microsoft YaHei" w:cs="Microsoft YaHei"/>
        <w:sz w:val="20"/>
        <w:szCs w:val="20"/>
      </w:rPr>
    </w:pPr>
    <w:r>
      <w:drawing>
        <wp:anchor distT="0" distB="0" distL="0" distR="0" simplePos="0" relativeHeight="252071936" behindDoc="0" locked="0" layoutInCell="0" allowOverlap="1">
          <wp:simplePos x="0" y="0"/>
          <wp:positionH relativeFrom="page">
            <wp:posOffset>995045</wp:posOffset>
          </wp:positionH>
          <wp:positionV relativeFrom="page">
            <wp:posOffset>9704069</wp:posOffset>
          </wp:positionV>
          <wp:extent cx="5579743" cy="7619"/>
          <wp:effectExtent l="0" t="0" r="0" b="0"/>
          <wp:wrapNone/>
          <wp:docPr id="1484" name="IM 1484"/>
          <wp:cNvGraphicFramePr/>
          <a:graphic>
            <a:graphicData uri="http://schemas.openxmlformats.org/drawingml/2006/picture">
              <pic:pic>
                <pic:nvPicPr>
                  <pic:cNvPr id="1484" name="IM 1484"/>
                  <pic:cNvPicPr/>
                </pic:nvPicPr>
                <pic:blipFill>
                  <a:blip r:embed="rId1"/>
                  <a:stretch>
                    <a:fillRect/>
                  </a:stretch>
                </pic:blipFill>
                <pic:spPr>
                  <a:xfrm rot="0">
                    <a:off x="0" y="0"/>
                    <a:ext cx="5579743" cy="7619"/>
                  </a:xfrm>
                  <a:prstGeom prst="rect">
                    <a:avLst/>
                  </a:prstGeom>
                </pic:spPr>
              </pic:pic>
            </a:graphicData>
          </a:graphic>
        </wp:anchor>
      </w:drawing>
    </w:r>
    <w:r>
      <w:rPr>
        <w:rFonts w:ascii="Microsoft YaHei" w:hAnsi="Microsoft YaHei" w:eastAsia="Microsoft YaHei" w:cs="Microsoft YaHei"/>
        <w:sz w:val="20"/>
        <w:szCs w:val="20"/>
        <w:spacing w:val="-5"/>
      </w:rPr>
      <w:t>308//2021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75" w:line="205" w:lineRule="auto"/>
      <w:rPr>
        <w:rFonts w:ascii="Microsoft YaHei" w:hAnsi="Microsoft YaHei" w:eastAsia="Microsoft YaHei" w:cs="Microsoft YaHei"/>
        <w:sz w:val="20"/>
        <w:szCs w:val="20"/>
      </w:rPr>
    </w:pPr>
    <w:r>
      <w:drawing>
        <wp:anchor distT="0" distB="0" distL="0" distR="0" simplePos="0" relativeHeight="252073984" behindDoc="0" locked="0" layoutInCell="0" allowOverlap="1">
          <wp:simplePos x="0" y="0"/>
          <wp:positionH relativeFrom="page">
            <wp:posOffset>1000760</wp:posOffset>
          </wp:positionH>
          <wp:positionV relativeFrom="page">
            <wp:posOffset>9707244</wp:posOffset>
          </wp:positionV>
          <wp:extent cx="5579744" cy="7619"/>
          <wp:effectExtent l="0" t="0" r="0" b="0"/>
          <wp:wrapNone/>
          <wp:docPr id="1488" name="IM 1488"/>
          <wp:cNvGraphicFramePr/>
          <a:graphic>
            <a:graphicData uri="http://schemas.openxmlformats.org/drawingml/2006/picture">
              <pic:pic>
                <pic:nvPicPr>
                  <pic:cNvPr id="1488" name="IM 148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期/309</w:t>
    </w:r>
  </w:p>
</w:ftr>
</file>

<file path=word/footer3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0" w:line="205" w:lineRule="auto"/>
      <w:rPr>
        <w:rFonts w:ascii="Microsoft YaHei" w:hAnsi="Microsoft YaHei" w:eastAsia="Microsoft YaHei" w:cs="Microsoft YaHei"/>
        <w:sz w:val="20"/>
        <w:szCs w:val="20"/>
      </w:rPr>
    </w:pPr>
    <w:r>
      <w:drawing>
        <wp:anchor distT="0" distB="0" distL="0" distR="0" simplePos="0" relativeHeight="252076032" behindDoc="0" locked="0" layoutInCell="0" allowOverlap="1">
          <wp:simplePos x="0" y="0"/>
          <wp:positionH relativeFrom="page">
            <wp:posOffset>995045</wp:posOffset>
          </wp:positionH>
          <wp:positionV relativeFrom="page">
            <wp:posOffset>9704069</wp:posOffset>
          </wp:positionV>
          <wp:extent cx="5579744" cy="7619"/>
          <wp:effectExtent l="0" t="0" r="0" b="0"/>
          <wp:wrapNone/>
          <wp:docPr id="1492" name="IM 1492"/>
          <wp:cNvGraphicFramePr/>
          <a:graphic>
            <a:graphicData uri="http://schemas.openxmlformats.org/drawingml/2006/picture">
              <pic:pic>
                <pic:nvPicPr>
                  <pic:cNvPr id="1492" name="IM 149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310//2021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75" w:line="205" w:lineRule="auto"/>
      <w:rPr>
        <w:rFonts w:ascii="Microsoft YaHei" w:hAnsi="Microsoft YaHei" w:eastAsia="Microsoft YaHei" w:cs="Microsoft YaHei"/>
        <w:sz w:val="20"/>
        <w:szCs w:val="20"/>
      </w:rPr>
    </w:pPr>
    <w:r>
      <w:drawing>
        <wp:anchor distT="0" distB="0" distL="0" distR="0" simplePos="0" relativeHeight="252078080" behindDoc="0" locked="0" layoutInCell="0" allowOverlap="1">
          <wp:simplePos x="0" y="0"/>
          <wp:positionH relativeFrom="page">
            <wp:posOffset>1000760</wp:posOffset>
          </wp:positionH>
          <wp:positionV relativeFrom="page">
            <wp:posOffset>9707244</wp:posOffset>
          </wp:positionV>
          <wp:extent cx="5579744" cy="7619"/>
          <wp:effectExtent l="0" t="0" r="0" b="0"/>
          <wp:wrapNone/>
          <wp:docPr id="1498" name="IM 1498"/>
          <wp:cNvGraphicFramePr/>
          <a:graphic>
            <a:graphicData uri="http://schemas.openxmlformats.org/drawingml/2006/picture">
              <pic:pic>
                <pic:nvPicPr>
                  <pic:cNvPr id="1498" name="IM 149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期/311</w:t>
    </w:r>
  </w:p>
</w:ftr>
</file>

<file path=word/footer3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0" w:line="205" w:lineRule="auto"/>
      <w:rPr>
        <w:rFonts w:ascii="Microsoft YaHei" w:hAnsi="Microsoft YaHei" w:eastAsia="Microsoft YaHei" w:cs="Microsoft YaHei"/>
        <w:sz w:val="20"/>
        <w:szCs w:val="20"/>
      </w:rPr>
    </w:pPr>
    <w:r>
      <w:drawing>
        <wp:anchor distT="0" distB="0" distL="0" distR="0" simplePos="0" relativeHeight="252080128" behindDoc="0" locked="0" layoutInCell="0" allowOverlap="1">
          <wp:simplePos x="0" y="0"/>
          <wp:positionH relativeFrom="page">
            <wp:posOffset>995045</wp:posOffset>
          </wp:positionH>
          <wp:positionV relativeFrom="page">
            <wp:posOffset>9704069</wp:posOffset>
          </wp:positionV>
          <wp:extent cx="5579744" cy="7619"/>
          <wp:effectExtent l="0" t="0" r="0" b="0"/>
          <wp:wrapNone/>
          <wp:docPr id="1502" name="IM 1502"/>
          <wp:cNvGraphicFramePr/>
          <a:graphic>
            <a:graphicData uri="http://schemas.openxmlformats.org/drawingml/2006/picture">
              <pic:pic>
                <pic:nvPicPr>
                  <pic:cNvPr id="1502" name="IM 150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312//2021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
      <w:spacing w:before="91" w:line="205" w:lineRule="auto"/>
      <w:rPr>
        <w:rFonts w:ascii="Microsoft YaHei" w:hAnsi="Microsoft YaHei" w:eastAsia="Microsoft YaHei" w:cs="Microsoft YaHei"/>
        <w:sz w:val="20"/>
        <w:szCs w:val="20"/>
      </w:rPr>
    </w:pPr>
    <w:r>
      <w:drawing>
        <wp:anchor distT="0" distB="0" distL="0" distR="0" simplePos="0" relativeHeight="251688960" behindDoc="0" locked="0" layoutInCell="0" allowOverlap="1">
          <wp:simplePos x="0" y="0"/>
          <wp:positionH relativeFrom="page">
            <wp:posOffset>990600</wp:posOffset>
          </wp:positionH>
          <wp:positionV relativeFrom="page">
            <wp:posOffset>9631680</wp:posOffset>
          </wp:positionV>
          <wp:extent cx="5579744" cy="7619"/>
          <wp:effectExtent l="0" t="0" r="0" b="0"/>
          <wp:wrapNone/>
          <wp:docPr id="86" name="IM 86"/>
          <wp:cNvGraphicFramePr/>
          <a:graphic>
            <a:graphicData uri="http://schemas.openxmlformats.org/drawingml/2006/picture">
              <pic:pic>
                <pic:nvPicPr>
                  <pic:cNvPr id="86" name="IM 8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32//2021 年第</w:t>
    </w:r>
    <w:r>
      <w:rPr>
        <w:rFonts w:ascii="Microsoft YaHei" w:hAnsi="Microsoft YaHei" w:eastAsia="Microsoft YaHei" w:cs="Microsoft YaHei"/>
        <w:sz w:val="20"/>
        <w:szCs w:val="20"/>
        <w:spacing w:val="23"/>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5"/>
      </w:rPr>
      <w:t>期</w:t>
    </w:r>
  </w:p>
</w:ftr>
</file>

<file path=word/footer3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75" w:line="205" w:lineRule="auto"/>
      <w:rPr>
        <w:rFonts w:ascii="Microsoft YaHei" w:hAnsi="Microsoft YaHei" w:eastAsia="Microsoft YaHei" w:cs="Microsoft YaHei"/>
        <w:sz w:val="20"/>
        <w:szCs w:val="20"/>
      </w:rPr>
    </w:pPr>
    <w:r>
      <w:drawing>
        <wp:anchor distT="0" distB="0" distL="0" distR="0" simplePos="0" relativeHeight="252082176" behindDoc="0" locked="0" layoutInCell="0" allowOverlap="1">
          <wp:simplePos x="0" y="0"/>
          <wp:positionH relativeFrom="page">
            <wp:posOffset>1000760</wp:posOffset>
          </wp:positionH>
          <wp:positionV relativeFrom="page">
            <wp:posOffset>9707244</wp:posOffset>
          </wp:positionV>
          <wp:extent cx="5579744" cy="7619"/>
          <wp:effectExtent l="0" t="0" r="0" b="0"/>
          <wp:wrapNone/>
          <wp:docPr id="1506" name="IM 1506"/>
          <wp:cNvGraphicFramePr/>
          <a:graphic>
            <a:graphicData uri="http://schemas.openxmlformats.org/drawingml/2006/picture">
              <pic:pic>
                <pic:nvPicPr>
                  <pic:cNvPr id="1506" name="IM 150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期/313</w:t>
    </w:r>
  </w:p>
</w:ftr>
</file>

<file path=word/footer3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0" w:line="205" w:lineRule="auto"/>
      <w:rPr>
        <w:rFonts w:ascii="Microsoft YaHei" w:hAnsi="Microsoft YaHei" w:eastAsia="Microsoft YaHei" w:cs="Microsoft YaHei"/>
        <w:sz w:val="20"/>
        <w:szCs w:val="20"/>
      </w:rPr>
    </w:pPr>
    <w:r>
      <w:drawing>
        <wp:anchor distT="0" distB="0" distL="0" distR="0" simplePos="0" relativeHeight="252084224" behindDoc="0" locked="0" layoutInCell="0" allowOverlap="1">
          <wp:simplePos x="0" y="0"/>
          <wp:positionH relativeFrom="page">
            <wp:posOffset>995045</wp:posOffset>
          </wp:positionH>
          <wp:positionV relativeFrom="page">
            <wp:posOffset>9704069</wp:posOffset>
          </wp:positionV>
          <wp:extent cx="5579743" cy="7619"/>
          <wp:effectExtent l="0" t="0" r="0" b="0"/>
          <wp:wrapNone/>
          <wp:docPr id="1510" name="IM 1510"/>
          <wp:cNvGraphicFramePr/>
          <a:graphic>
            <a:graphicData uri="http://schemas.openxmlformats.org/drawingml/2006/picture">
              <pic:pic>
                <pic:nvPicPr>
                  <pic:cNvPr id="1510" name="IM 1510"/>
                  <pic:cNvPicPr/>
                </pic:nvPicPr>
                <pic:blipFill>
                  <a:blip r:embed="rId1"/>
                  <a:stretch>
                    <a:fillRect/>
                  </a:stretch>
                </pic:blipFill>
                <pic:spPr>
                  <a:xfrm rot="0">
                    <a:off x="0" y="0"/>
                    <a:ext cx="5579743" cy="7619"/>
                  </a:xfrm>
                  <a:prstGeom prst="rect">
                    <a:avLst/>
                  </a:prstGeom>
                </pic:spPr>
              </pic:pic>
            </a:graphicData>
          </a:graphic>
        </wp:anchor>
      </w:drawing>
    </w:r>
    <w:r>
      <w:rPr>
        <w:rFonts w:ascii="Microsoft YaHei" w:hAnsi="Microsoft YaHei" w:eastAsia="Microsoft YaHei" w:cs="Microsoft YaHei"/>
        <w:sz w:val="20"/>
        <w:szCs w:val="20"/>
        <w:spacing w:val="-5"/>
      </w:rPr>
      <w:t>314//2021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75" w:line="205" w:lineRule="auto"/>
      <w:rPr>
        <w:rFonts w:ascii="Microsoft YaHei" w:hAnsi="Microsoft YaHei" w:eastAsia="Microsoft YaHei" w:cs="Microsoft YaHei"/>
        <w:sz w:val="20"/>
        <w:szCs w:val="20"/>
      </w:rPr>
    </w:pPr>
    <w:r>
      <w:drawing>
        <wp:anchor distT="0" distB="0" distL="0" distR="0" simplePos="0" relativeHeight="252086272" behindDoc="0" locked="0" layoutInCell="0" allowOverlap="1">
          <wp:simplePos x="0" y="0"/>
          <wp:positionH relativeFrom="page">
            <wp:posOffset>1000760</wp:posOffset>
          </wp:positionH>
          <wp:positionV relativeFrom="page">
            <wp:posOffset>9707244</wp:posOffset>
          </wp:positionV>
          <wp:extent cx="5579744" cy="7619"/>
          <wp:effectExtent l="0" t="0" r="0" b="0"/>
          <wp:wrapNone/>
          <wp:docPr id="1514" name="IM 1514"/>
          <wp:cNvGraphicFramePr/>
          <a:graphic>
            <a:graphicData uri="http://schemas.openxmlformats.org/drawingml/2006/picture">
              <pic:pic>
                <pic:nvPicPr>
                  <pic:cNvPr id="1514" name="IM 151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期/315</w:t>
    </w:r>
  </w:p>
</w:ftr>
</file>

<file path=word/footer3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0" w:line="205" w:lineRule="auto"/>
      <w:rPr>
        <w:rFonts w:ascii="Microsoft YaHei" w:hAnsi="Microsoft YaHei" w:eastAsia="Microsoft YaHei" w:cs="Microsoft YaHei"/>
        <w:sz w:val="20"/>
        <w:szCs w:val="20"/>
      </w:rPr>
    </w:pPr>
    <w:r>
      <w:drawing>
        <wp:anchor distT="0" distB="0" distL="0" distR="0" simplePos="0" relativeHeight="252088320" behindDoc="0" locked="0" layoutInCell="0" allowOverlap="1">
          <wp:simplePos x="0" y="0"/>
          <wp:positionH relativeFrom="page">
            <wp:posOffset>995045</wp:posOffset>
          </wp:positionH>
          <wp:positionV relativeFrom="page">
            <wp:posOffset>9704069</wp:posOffset>
          </wp:positionV>
          <wp:extent cx="5579743" cy="7619"/>
          <wp:effectExtent l="0" t="0" r="0" b="0"/>
          <wp:wrapNone/>
          <wp:docPr id="1520" name="IM 1520"/>
          <wp:cNvGraphicFramePr/>
          <a:graphic>
            <a:graphicData uri="http://schemas.openxmlformats.org/drawingml/2006/picture">
              <pic:pic>
                <pic:nvPicPr>
                  <pic:cNvPr id="1520" name="IM 1520"/>
                  <pic:cNvPicPr/>
                </pic:nvPicPr>
                <pic:blipFill>
                  <a:blip r:embed="rId1"/>
                  <a:stretch>
                    <a:fillRect/>
                  </a:stretch>
                </pic:blipFill>
                <pic:spPr>
                  <a:xfrm rot="0">
                    <a:off x="0" y="0"/>
                    <a:ext cx="5579743" cy="7619"/>
                  </a:xfrm>
                  <a:prstGeom prst="rect">
                    <a:avLst/>
                  </a:prstGeom>
                </pic:spPr>
              </pic:pic>
            </a:graphicData>
          </a:graphic>
        </wp:anchor>
      </w:drawing>
    </w:r>
    <w:r>
      <w:rPr>
        <w:rFonts w:ascii="Microsoft YaHei" w:hAnsi="Microsoft YaHei" w:eastAsia="Microsoft YaHei" w:cs="Microsoft YaHei"/>
        <w:sz w:val="20"/>
        <w:szCs w:val="20"/>
        <w:spacing w:val="-5"/>
      </w:rPr>
      <w:t>316//2021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75" w:line="205" w:lineRule="auto"/>
      <w:rPr>
        <w:rFonts w:ascii="Microsoft YaHei" w:hAnsi="Microsoft YaHei" w:eastAsia="Microsoft YaHei" w:cs="Microsoft YaHei"/>
        <w:sz w:val="20"/>
        <w:szCs w:val="20"/>
      </w:rPr>
    </w:pPr>
    <w:r>
      <w:drawing>
        <wp:anchor distT="0" distB="0" distL="0" distR="0" simplePos="0" relativeHeight="252090368" behindDoc="0" locked="0" layoutInCell="0" allowOverlap="1">
          <wp:simplePos x="0" y="0"/>
          <wp:positionH relativeFrom="page">
            <wp:posOffset>1000760</wp:posOffset>
          </wp:positionH>
          <wp:positionV relativeFrom="page">
            <wp:posOffset>9707244</wp:posOffset>
          </wp:positionV>
          <wp:extent cx="5579744" cy="7619"/>
          <wp:effectExtent l="0" t="0" r="0" b="0"/>
          <wp:wrapNone/>
          <wp:docPr id="1524" name="IM 1524"/>
          <wp:cNvGraphicFramePr/>
          <a:graphic>
            <a:graphicData uri="http://schemas.openxmlformats.org/drawingml/2006/picture">
              <pic:pic>
                <pic:nvPicPr>
                  <pic:cNvPr id="1524" name="IM 152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期/317</w:t>
    </w:r>
  </w:p>
</w:ftr>
</file>

<file path=word/footer3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0" w:line="205" w:lineRule="auto"/>
      <w:rPr>
        <w:rFonts w:ascii="Microsoft YaHei" w:hAnsi="Microsoft YaHei" w:eastAsia="Microsoft YaHei" w:cs="Microsoft YaHei"/>
        <w:sz w:val="20"/>
        <w:szCs w:val="20"/>
      </w:rPr>
    </w:pPr>
    <w:r>
      <w:drawing>
        <wp:anchor distT="0" distB="0" distL="0" distR="0" simplePos="0" relativeHeight="252092416" behindDoc="0" locked="0" layoutInCell="0" allowOverlap="1">
          <wp:simplePos x="0" y="0"/>
          <wp:positionH relativeFrom="page">
            <wp:posOffset>995045</wp:posOffset>
          </wp:positionH>
          <wp:positionV relativeFrom="page">
            <wp:posOffset>9704069</wp:posOffset>
          </wp:positionV>
          <wp:extent cx="5579744" cy="7619"/>
          <wp:effectExtent l="0" t="0" r="0" b="0"/>
          <wp:wrapNone/>
          <wp:docPr id="1528" name="IM 1528"/>
          <wp:cNvGraphicFramePr/>
          <a:graphic>
            <a:graphicData uri="http://schemas.openxmlformats.org/drawingml/2006/picture">
              <pic:pic>
                <pic:nvPicPr>
                  <pic:cNvPr id="1528" name="IM 152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318//2021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75" w:line="205" w:lineRule="auto"/>
      <w:rPr>
        <w:rFonts w:ascii="Microsoft YaHei" w:hAnsi="Microsoft YaHei" w:eastAsia="Microsoft YaHei" w:cs="Microsoft YaHei"/>
        <w:sz w:val="20"/>
        <w:szCs w:val="20"/>
      </w:rPr>
    </w:pPr>
    <w:r>
      <w:drawing>
        <wp:anchor distT="0" distB="0" distL="0" distR="0" simplePos="0" relativeHeight="252094464" behindDoc="0" locked="0" layoutInCell="0" allowOverlap="1">
          <wp:simplePos x="0" y="0"/>
          <wp:positionH relativeFrom="page">
            <wp:posOffset>1000760</wp:posOffset>
          </wp:positionH>
          <wp:positionV relativeFrom="page">
            <wp:posOffset>9707244</wp:posOffset>
          </wp:positionV>
          <wp:extent cx="5579744" cy="7619"/>
          <wp:effectExtent l="0" t="0" r="0" b="0"/>
          <wp:wrapNone/>
          <wp:docPr id="1532" name="IM 1532"/>
          <wp:cNvGraphicFramePr/>
          <a:graphic>
            <a:graphicData uri="http://schemas.openxmlformats.org/drawingml/2006/picture">
              <pic:pic>
                <pic:nvPicPr>
                  <pic:cNvPr id="1532" name="IM 153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期/319</w:t>
    </w:r>
  </w:p>
</w:ftr>
</file>

<file path=word/footer3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0" w:line="205" w:lineRule="auto"/>
      <w:rPr>
        <w:rFonts w:ascii="Microsoft YaHei" w:hAnsi="Microsoft YaHei" w:eastAsia="Microsoft YaHei" w:cs="Microsoft YaHei"/>
        <w:sz w:val="20"/>
        <w:szCs w:val="20"/>
      </w:rPr>
    </w:pPr>
    <w:r>
      <w:drawing>
        <wp:anchor distT="0" distB="0" distL="0" distR="0" simplePos="0" relativeHeight="252096512" behindDoc="0" locked="0" layoutInCell="0" allowOverlap="1">
          <wp:simplePos x="0" y="0"/>
          <wp:positionH relativeFrom="page">
            <wp:posOffset>995045</wp:posOffset>
          </wp:positionH>
          <wp:positionV relativeFrom="page">
            <wp:posOffset>9704069</wp:posOffset>
          </wp:positionV>
          <wp:extent cx="5579743" cy="7619"/>
          <wp:effectExtent l="0" t="0" r="0" b="0"/>
          <wp:wrapNone/>
          <wp:docPr id="1536" name="IM 1536"/>
          <wp:cNvGraphicFramePr/>
          <a:graphic>
            <a:graphicData uri="http://schemas.openxmlformats.org/drawingml/2006/picture">
              <pic:pic>
                <pic:nvPicPr>
                  <pic:cNvPr id="1536" name="IM 1536"/>
                  <pic:cNvPicPr/>
                </pic:nvPicPr>
                <pic:blipFill>
                  <a:blip r:embed="rId1"/>
                  <a:stretch>
                    <a:fillRect/>
                  </a:stretch>
                </pic:blipFill>
                <pic:spPr>
                  <a:xfrm rot="0">
                    <a:off x="0" y="0"/>
                    <a:ext cx="5579743" cy="7619"/>
                  </a:xfrm>
                  <a:prstGeom prst="rect">
                    <a:avLst/>
                  </a:prstGeom>
                </pic:spPr>
              </pic:pic>
            </a:graphicData>
          </a:graphic>
        </wp:anchor>
      </w:drawing>
    </w:r>
    <w:r>
      <w:rPr>
        <w:rFonts w:ascii="Microsoft YaHei" w:hAnsi="Microsoft YaHei" w:eastAsia="Microsoft YaHei" w:cs="Microsoft YaHei"/>
        <w:sz w:val="20"/>
        <w:szCs w:val="20"/>
        <w:spacing w:val="-5"/>
      </w:rPr>
      <w:t>320//2021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75" w:line="205" w:lineRule="auto"/>
      <w:rPr>
        <w:rFonts w:ascii="Microsoft YaHei" w:hAnsi="Microsoft YaHei" w:eastAsia="Microsoft YaHei" w:cs="Microsoft YaHei"/>
        <w:sz w:val="20"/>
        <w:szCs w:val="20"/>
      </w:rPr>
    </w:pPr>
    <w:r>
      <w:drawing>
        <wp:anchor distT="0" distB="0" distL="0" distR="0" simplePos="0" relativeHeight="252098560" behindDoc="0" locked="0" layoutInCell="0" allowOverlap="1">
          <wp:simplePos x="0" y="0"/>
          <wp:positionH relativeFrom="page">
            <wp:posOffset>1000760</wp:posOffset>
          </wp:positionH>
          <wp:positionV relativeFrom="page">
            <wp:posOffset>9707244</wp:posOffset>
          </wp:positionV>
          <wp:extent cx="5579744" cy="7619"/>
          <wp:effectExtent l="0" t="0" r="0" b="0"/>
          <wp:wrapNone/>
          <wp:docPr id="1540" name="IM 1540"/>
          <wp:cNvGraphicFramePr/>
          <a:graphic>
            <a:graphicData uri="http://schemas.openxmlformats.org/drawingml/2006/picture">
              <pic:pic>
                <pic:nvPicPr>
                  <pic:cNvPr id="1540" name="IM 154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期/321</w:t>
    </w:r>
  </w:p>
</w:ftr>
</file>

<file path=word/footer3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0" w:line="205" w:lineRule="auto"/>
      <w:rPr>
        <w:rFonts w:ascii="Microsoft YaHei" w:hAnsi="Microsoft YaHei" w:eastAsia="Microsoft YaHei" w:cs="Microsoft YaHei"/>
        <w:sz w:val="20"/>
        <w:szCs w:val="20"/>
      </w:rPr>
    </w:pPr>
    <w:r>
      <w:drawing>
        <wp:anchor distT="0" distB="0" distL="0" distR="0" simplePos="0" relativeHeight="252100608" behindDoc="0" locked="0" layoutInCell="0" allowOverlap="1">
          <wp:simplePos x="0" y="0"/>
          <wp:positionH relativeFrom="page">
            <wp:posOffset>995045</wp:posOffset>
          </wp:positionH>
          <wp:positionV relativeFrom="page">
            <wp:posOffset>9704069</wp:posOffset>
          </wp:positionV>
          <wp:extent cx="5579744" cy="7619"/>
          <wp:effectExtent l="0" t="0" r="0" b="0"/>
          <wp:wrapNone/>
          <wp:docPr id="1544" name="IM 1544"/>
          <wp:cNvGraphicFramePr/>
          <a:graphic>
            <a:graphicData uri="http://schemas.openxmlformats.org/drawingml/2006/picture">
              <pic:pic>
                <pic:nvPicPr>
                  <pic:cNvPr id="1544" name="IM 154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322//2021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73"/>
      <w:spacing w:before="66" w:line="206" w:lineRule="auto"/>
      <w:rPr>
        <w:rFonts w:ascii="Microsoft YaHei" w:hAnsi="Microsoft YaHei" w:eastAsia="Microsoft YaHei" w:cs="Microsoft YaHei"/>
        <w:sz w:val="20"/>
        <w:szCs w:val="20"/>
      </w:rPr>
    </w:pPr>
    <w:r>
      <w:drawing>
        <wp:anchor distT="0" distB="0" distL="0" distR="0" simplePos="0" relativeHeight="251689984" behindDoc="0" locked="0" layoutInCell="0" allowOverlap="1">
          <wp:simplePos x="0" y="0"/>
          <wp:positionH relativeFrom="page">
            <wp:posOffset>985519</wp:posOffset>
          </wp:positionH>
          <wp:positionV relativeFrom="page">
            <wp:posOffset>9638665</wp:posOffset>
          </wp:positionV>
          <wp:extent cx="5579744" cy="7619"/>
          <wp:effectExtent l="0" t="0" r="0" b="0"/>
          <wp:wrapNone/>
          <wp:docPr id="88" name="IM 88"/>
          <wp:cNvGraphicFramePr/>
          <a:graphic>
            <a:graphicData uri="http://schemas.openxmlformats.org/drawingml/2006/picture">
              <pic:pic>
                <pic:nvPicPr>
                  <pic:cNvPr id="88" name="IM 8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期总 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r>
      <w:rPr>
        <w:rFonts w:ascii="Microsoft YaHei" w:hAnsi="Microsoft YaHei" w:eastAsia="Microsoft YaHei" w:cs="Microsoft YaHei"/>
        <w:sz w:val="20"/>
        <w:szCs w:val="20"/>
        <w:spacing w:val="2"/>
      </w:rPr>
      <w:t xml:space="preserve"> </w:t>
    </w:r>
    <w:r>
      <w:rPr>
        <w:rFonts w:ascii="Microsoft YaHei" w:hAnsi="Microsoft YaHei" w:eastAsia="Microsoft YaHei" w:cs="Microsoft YaHei"/>
        <w:sz w:val="20"/>
        <w:szCs w:val="20"/>
        <w:spacing w:val="-6"/>
      </w:rPr>
      <w:t>33</w:t>
    </w:r>
  </w:p>
</w:ftr>
</file>

<file path=word/footer3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75" w:line="205" w:lineRule="auto"/>
      <w:rPr>
        <w:rFonts w:ascii="Microsoft YaHei" w:hAnsi="Microsoft YaHei" w:eastAsia="Microsoft YaHei" w:cs="Microsoft YaHei"/>
        <w:sz w:val="20"/>
        <w:szCs w:val="20"/>
      </w:rPr>
    </w:pPr>
    <w:r>
      <w:drawing>
        <wp:anchor distT="0" distB="0" distL="0" distR="0" simplePos="0" relativeHeight="252102656" behindDoc="0" locked="0" layoutInCell="0" allowOverlap="1">
          <wp:simplePos x="0" y="0"/>
          <wp:positionH relativeFrom="page">
            <wp:posOffset>1000760</wp:posOffset>
          </wp:positionH>
          <wp:positionV relativeFrom="page">
            <wp:posOffset>9707244</wp:posOffset>
          </wp:positionV>
          <wp:extent cx="5579744" cy="7619"/>
          <wp:effectExtent l="0" t="0" r="0" b="0"/>
          <wp:wrapNone/>
          <wp:docPr id="1548" name="IM 1548"/>
          <wp:cNvGraphicFramePr/>
          <a:graphic>
            <a:graphicData uri="http://schemas.openxmlformats.org/drawingml/2006/picture">
              <pic:pic>
                <pic:nvPicPr>
                  <pic:cNvPr id="1548" name="IM 154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期/323</w:t>
    </w:r>
  </w:p>
</w:ftr>
</file>

<file path=word/footer3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0" w:line="205" w:lineRule="auto"/>
      <w:rPr>
        <w:rFonts w:ascii="Microsoft YaHei" w:hAnsi="Microsoft YaHei" w:eastAsia="Microsoft YaHei" w:cs="Microsoft YaHei"/>
        <w:sz w:val="20"/>
        <w:szCs w:val="20"/>
      </w:rPr>
    </w:pPr>
    <w:r>
      <w:drawing>
        <wp:anchor distT="0" distB="0" distL="0" distR="0" simplePos="0" relativeHeight="252104704" behindDoc="0" locked="0" layoutInCell="0" allowOverlap="1">
          <wp:simplePos x="0" y="0"/>
          <wp:positionH relativeFrom="page">
            <wp:posOffset>995045</wp:posOffset>
          </wp:positionH>
          <wp:positionV relativeFrom="page">
            <wp:posOffset>9704069</wp:posOffset>
          </wp:positionV>
          <wp:extent cx="5579744" cy="7619"/>
          <wp:effectExtent l="0" t="0" r="0" b="0"/>
          <wp:wrapNone/>
          <wp:docPr id="1552" name="IM 1552"/>
          <wp:cNvGraphicFramePr/>
          <a:graphic>
            <a:graphicData uri="http://schemas.openxmlformats.org/drawingml/2006/picture">
              <pic:pic>
                <pic:nvPicPr>
                  <pic:cNvPr id="1552" name="IM 155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324//2021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75" w:line="205" w:lineRule="auto"/>
      <w:rPr>
        <w:rFonts w:ascii="Microsoft YaHei" w:hAnsi="Microsoft YaHei" w:eastAsia="Microsoft YaHei" w:cs="Microsoft YaHei"/>
        <w:sz w:val="20"/>
        <w:szCs w:val="20"/>
      </w:rPr>
    </w:pPr>
    <w:r>
      <w:drawing>
        <wp:anchor distT="0" distB="0" distL="0" distR="0" simplePos="0" relativeHeight="252106752" behindDoc="0" locked="0" layoutInCell="0" allowOverlap="1">
          <wp:simplePos x="0" y="0"/>
          <wp:positionH relativeFrom="page">
            <wp:posOffset>1000760</wp:posOffset>
          </wp:positionH>
          <wp:positionV relativeFrom="page">
            <wp:posOffset>9707244</wp:posOffset>
          </wp:positionV>
          <wp:extent cx="5579744" cy="7619"/>
          <wp:effectExtent l="0" t="0" r="0" b="0"/>
          <wp:wrapNone/>
          <wp:docPr id="1556" name="IM 1556"/>
          <wp:cNvGraphicFramePr/>
          <a:graphic>
            <a:graphicData uri="http://schemas.openxmlformats.org/drawingml/2006/picture">
              <pic:pic>
                <pic:nvPicPr>
                  <pic:cNvPr id="1556" name="IM 155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期/325</w:t>
    </w:r>
  </w:p>
</w:ftr>
</file>

<file path=word/footer3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0" w:line="205" w:lineRule="auto"/>
      <w:rPr>
        <w:rFonts w:ascii="Microsoft YaHei" w:hAnsi="Microsoft YaHei" w:eastAsia="Microsoft YaHei" w:cs="Microsoft YaHei"/>
        <w:sz w:val="20"/>
        <w:szCs w:val="20"/>
      </w:rPr>
    </w:pPr>
    <w:r>
      <w:drawing>
        <wp:anchor distT="0" distB="0" distL="0" distR="0" simplePos="0" relativeHeight="252108800" behindDoc="0" locked="0" layoutInCell="0" allowOverlap="1">
          <wp:simplePos x="0" y="0"/>
          <wp:positionH relativeFrom="page">
            <wp:posOffset>995045</wp:posOffset>
          </wp:positionH>
          <wp:positionV relativeFrom="page">
            <wp:posOffset>9704069</wp:posOffset>
          </wp:positionV>
          <wp:extent cx="5579743" cy="7619"/>
          <wp:effectExtent l="0" t="0" r="0" b="0"/>
          <wp:wrapNone/>
          <wp:docPr id="1560" name="IM 1560"/>
          <wp:cNvGraphicFramePr/>
          <a:graphic>
            <a:graphicData uri="http://schemas.openxmlformats.org/drawingml/2006/picture">
              <pic:pic>
                <pic:nvPicPr>
                  <pic:cNvPr id="1560" name="IM 1560"/>
                  <pic:cNvPicPr/>
                </pic:nvPicPr>
                <pic:blipFill>
                  <a:blip r:embed="rId1"/>
                  <a:stretch>
                    <a:fillRect/>
                  </a:stretch>
                </pic:blipFill>
                <pic:spPr>
                  <a:xfrm rot="0">
                    <a:off x="0" y="0"/>
                    <a:ext cx="5579743" cy="7619"/>
                  </a:xfrm>
                  <a:prstGeom prst="rect">
                    <a:avLst/>
                  </a:prstGeom>
                </pic:spPr>
              </pic:pic>
            </a:graphicData>
          </a:graphic>
        </wp:anchor>
      </w:drawing>
    </w:r>
    <w:r>
      <w:rPr>
        <w:rFonts w:ascii="Microsoft YaHei" w:hAnsi="Microsoft YaHei" w:eastAsia="Microsoft YaHei" w:cs="Microsoft YaHei"/>
        <w:sz w:val="20"/>
        <w:szCs w:val="20"/>
        <w:spacing w:val="-5"/>
      </w:rPr>
      <w:t>326//2021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75" w:line="205" w:lineRule="auto"/>
      <w:rPr>
        <w:rFonts w:ascii="Microsoft YaHei" w:hAnsi="Microsoft YaHei" w:eastAsia="Microsoft YaHei" w:cs="Microsoft YaHei"/>
        <w:sz w:val="20"/>
        <w:szCs w:val="20"/>
      </w:rPr>
    </w:pPr>
    <w:r>
      <w:drawing>
        <wp:anchor distT="0" distB="0" distL="0" distR="0" simplePos="0" relativeHeight="252110848" behindDoc="0" locked="0" layoutInCell="0" allowOverlap="1">
          <wp:simplePos x="0" y="0"/>
          <wp:positionH relativeFrom="page">
            <wp:posOffset>1000760</wp:posOffset>
          </wp:positionH>
          <wp:positionV relativeFrom="page">
            <wp:posOffset>9707244</wp:posOffset>
          </wp:positionV>
          <wp:extent cx="5579744" cy="7619"/>
          <wp:effectExtent l="0" t="0" r="0" b="0"/>
          <wp:wrapNone/>
          <wp:docPr id="1564" name="IM 1564"/>
          <wp:cNvGraphicFramePr/>
          <a:graphic>
            <a:graphicData uri="http://schemas.openxmlformats.org/drawingml/2006/picture">
              <pic:pic>
                <pic:nvPicPr>
                  <pic:cNvPr id="1564" name="IM 156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期/327</w:t>
    </w:r>
  </w:p>
</w:ftr>
</file>

<file path=word/footer3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0" w:line="205" w:lineRule="auto"/>
      <w:rPr>
        <w:rFonts w:ascii="Microsoft YaHei" w:hAnsi="Microsoft YaHei" w:eastAsia="Microsoft YaHei" w:cs="Microsoft YaHei"/>
        <w:sz w:val="20"/>
        <w:szCs w:val="20"/>
      </w:rPr>
    </w:pPr>
    <w:r>
      <w:drawing>
        <wp:anchor distT="0" distB="0" distL="0" distR="0" simplePos="0" relativeHeight="252112896" behindDoc="0" locked="0" layoutInCell="0" allowOverlap="1">
          <wp:simplePos x="0" y="0"/>
          <wp:positionH relativeFrom="page">
            <wp:posOffset>995045</wp:posOffset>
          </wp:positionH>
          <wp:positionV relativeFrom="page">
            <wp:posOffset>9704069</wp:posOffset>
          </wp:positionV>
          <wp:extent cx="5579743" cy="7619"/>
          <wp:effectExtent l="0" t="0" r="0" b="0"/>
          <wp:wrapNone/>
          <wp:docPr id="1570" name="IM 1570"/>
          <wp:cNvGraphicFramePr/>
          <a:graphic>
            <a:graphicData uri="http://schemas.openxmlformats.org/drawingml/2006/picture">
              <pic:pic>
                <pic:nvPicPr>
                  <pic:cNvPr id="1570" name="IM 1570"/>
                  <pic:cNvPicPr/>
                </pic:nvPicPr>
                <pic:blipFill>
                  <a:blip r:embed="rId1"/>
                  <a:stretch>
                    <a:fillRect/>
                  </a:stretch>
                </pic:blipFill>
                <pic:spPr>
                  <a:xfrm rot="0">
                    <a:off x="0" y="0"/>
                    <a:ext cx="5579743" cy="7619"/>
                  </a:xfrm>
                  <a:prstGeom prst="rect">
                    <a:avLst/>
                  </a:prstGeom>
                </pic:spPr>
              </pic:pic>
            </a:graphicData>
          </a:graphic>
        </wp:anchor>
      </w:drawing>
    </w:r>
    <w:r>
      <w:rPr>
        <w:rFonts w:ascii="Microsoft YaHei" w:hAnsi="Microsoft YaHei" w:eastAsia="Microsoft YaHei" w:cs="Microsoft YaHei"/>
        <w:sz w:val="20"/>
        <w:szCs w:val="20"/>
        <w:spacing w:val="-5"/>
      </w:rPr>
      <w:t>328//2021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75" w:line="205" w:lineRule="auto"/>
      <w:rPr>
        <w:rFonts w:ascii="Microsoft YaHei" w:hAnsi="Microsoft YaHei" w:eastAsia="Microsoft YaHei" w:cs="Microsoft YaHei"/>
        <w:sz w:val="20"/>
        <w:szCs w:val="20"/>
      </w:rPr>
    </w:pPr>
    <w:r>
      <w:drawing>
        <wp:anchor distT="0" distB="0" distL="0" distR="0" simplePos="0" relativeHeight="252114944" behindDoc="0" locked="0" layoutInCell="0" allowOverlap="1">
          <wp:simplePos x="0" y="0"/>
          <wp:positionH relativeFrom="page">
            <wp:posOffset>1000760</wp:posOffset>
          </wp:positionH>
          <wp:positionV relativeFrom="page">
            <wp:posOffset>9707244</wp:posOffset>
          </wp:positionV>
          <wp:extent cx="5579744" cy="7619"/>
          <wp:effectExtent l="0" t="0" r="0" b="0"/>
          <wp:wrapNone/>
          <wp:docPr id="1576" name="IM 1576"/>
          <wp:cNvGraphicFramePr/>
          <a:graphic>
            <a:graphicData uri="http://schemas.openxmlformats.org/drawingml/2006/picture">
              <pic:pic>
                <pic:nvPicPr>
                  <pic:cNvPr id="1576" name="IM 157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期/329</w:t>
    </w:r>
  </w:p>
</w:ftr>
</file>

<file path=word/footer3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0" w:line="205" w:lineRule="auto"/>
      <w:rPr>
        <w:rFonts w:ascii="Microsoft YaHei" w:hAnsi="Microsoft YaHei" w:eastAsia="Microsoft YaHei" w:cs="Microsoft YaHei"/>
        <w:sz w:val="20"/>
        <w:szCs w:val="20"/>
      </w:rPr>
    </w:pPr>
    <w:r>
      <w:drawing>
        <wp:anchor distT="0" distB="0" distL="0" distR="0" simplePos="0" relativeHeight="252116992" behindDoc="0" locked="0" layoutInCell="0" allowOverlap="1">
          <wp:simplePos x="0" y="0"/>
          <wp:positionH relativeFrom="page">
            <wp:posOffset>995045</wp:posOffset>
          </wp:positionH>
          <wp:positionV relativeFrom="page">
            <wp:posOffset>9704069</wp:posOffset>
          </wp:positionV>
          <wp:extent cx="5579744" cy="7619"/>
          <wp:effectExtent l="0" t="0" r="0" b="0"/>
          <wp:wrapNone/>
          <wp:docPr id="1580" name="IM 1580"/>
          <wp:cNvGraphicFramePr/>
          <a:graphic>
            <a:graphicData uri="http://schemas.openxmlformats.org/drawingml/2006/picture">
              <pic:pic>
                <pic:nvPicPr>
                  <pic:cNvPr id="1580" name="IM 158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330//2021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75" w:line="205" w:lineRule="auto"/>
      <w:rPr>
        <w:rFonts w:ascii="Microsoft YaHei" w:hAnsi="Microsoft YaHei" w:eastAsia="Microsoft YaHei" w:cs="Microsoft YaHei"/>
        <w:sz w:val="20"/>
        <w:szCs w:val="20"/>
      </w:rPr>
    </w:pPr>
    <w:r>
      <w:drawing>
        <wp:anchor distT="0" distB="0" distL="0" distR="0" simplePos="0" relativeHeight="252119040" behindDoc="0" locked="0" layoutInCell="0" allowOverlap="1">
          <wp:simplePos x="0" y="0"/>
          <wp:positionH relativeFrom="page">
            <wp:posOffset>1000760</wp:posOffset>
          </wp:positionH>
          <wp:positionV relativeFrom="page">
            <wp:posOffset>9707244</wp:posOffset>
          </wp:positionV>
          <wp:extent cx="5579744" cy="7619"/>
          <wp:effectExtent l="0" t="0" r="0" b="0"/>
          <wp:wrapNone/>
          <wp:docPr id="1586" name="IM 1586"/>
          <wp:cNvGraphicFramePr/>
          <a:graphic>
            <a:graphicData uri="http://schemas.openxmlformats.org/drawingml/2006/picture">
              <pic:pic>
                <pic:nvPicPr>
                  <pic:cNvPr id="1586" name="IM 158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期/331</w:t>
    </w:r>
  </w:p>
</w:ftr>
</file>

<file path=word/footer3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0" w:line="205" w:lineRule="auto"/>
      <w:rPr>
        <w:rFonts w:ascii="Microsoft YaHei" w:hAnsi="Microsoft YaHei" w:eastAsia="Microsoft YaHei" w:cs="Microsoft YaHei"/>
        <w:sz w:val="20"/>
        <w:szCs w:val="20"/>
      </w:rPr>
    </w:pPr>
    <w:r>
      <w:drawing>
        <wp:anchor distT="0" distB="0" distL="0" distR="0" simplePos="0" relativeHeight="252121088" behindDoc="0" locked="0" layoutInCell="0" allowOverlap="1">
          <wp:simplePos x="0" y="0"/>
          <wp:positionH relativeFrom="page">
            <wp:posOffset>995045</wp:posOffset>
          </wp:positionH>
          <wp:positionV relativeFrom="page">
            <wp:posOffset>9704069</wp:posOffset>
          </wp:positionV>
          <wp:extent cx="5579744" cy="7619"/>
          <wp:effectExtent l="0" t="0" r="0" b="0"/>
          <wp:wrapNone/>
          <wp:docPr id="1590" name="IM 1590"/>
          <wp:cNvGraphicFramePr/>
          <a:graphic>
            <a:graphicData uri="http://schemas.openxmlformats.org/drawingml/2006/picture">
              <pic:pic>
                <pic:nvPicPr>
                  <pic:cNvPr id="1590" name="IM 159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332//2021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
      <w:spacing w:before="91" w:line="205" w:lineRule="auto"/>
      <w:rPr>
        <w:rFonts w:ascii="Microsoft YaHei" w:hAnsi="Microsoft YaHei" w:eastAsia="Microsoft YaHei" w:cs="Microsoft YaHei"/>
        <w:sz w:val="20"/>
        <w:szCs w:val="20"/>
      </w:rPr>
    </w:pPr>
    <w:r>
      <w:drawing>
        <wp:anchor distT="0" distB="0" distL="0" distR="0" simplePos="0" relativeHeight="251691008" behindDoc="0" locked="0" layoutInCell="0" allowOverlap="1">
          <wp:simplePos x="0" y="0"/>
          <wp:positionH relativeFrom="page">
            <wp:posOffset>990600</wp:posOffset>
          </wp:positionH>
          <wp:positionV relativeFrom="page">
            <wp:posOffset>9631680</wp:posOffset>
          </wp:positionV>
          <wp:extent cx="5579744" cy="7619"/>
          <wp:effectExtent l="0" t="0" r="0" b="0"/>
          <wp:wrapNone/>
          <wp:docPr id="90" name="IM 90"/>
          <wp:cNvGraphicFramePr/>
          <a:graphic>
            <a:graphicData uri="http://schemas.openxmlformats.org/drawingml/2006/picture">
              <pic:pic>
                <pic:nvPicPr>
                  <pic:cNvPr id="90" name="IM 9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34//2021 年第</w:t>
    </w:r>
    <w:r>
      <w:rPr>
        <w:rFonts w:ascii="Microsoft YaHei" w:hAnsi="Microsoft YaHei" w:eastAsia="Microsoft YaHei" w:cs="Microsoft YaHei"/>
        <w:sz w:val="20"/>
        <w:szCs w:val="20"/>
        <w:spacing w:val="23"/>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5"/>
      </w:rPr>
      <w:t>期</w:t>
    </w:r>
  </w:p>
</w:ftr>
</file>

<file path=word/footer3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131"/>
      <w:spacing w:before="99" w:line="206" w:lineRule="auto"/>
      <w:rPr>
        <w:rFonts w:ascii="Microsoft YaHei" w:hAnsi="Microsoft YaHei" w:eastAsia="Microsoft YaHei" w:cs="Microsoft YaHei"/>
        <w:sz w:val="20"/>
        <w:szCs w:val="20"/>
      </w:rPr>
    </w:pPr>
    <w:r>
      <w:drawing>
        <wp:anchor distT="0" distB="0" distL="0" distR="0" simplePos="0" relativeHeight="252123136" behindDoc="0" locked="0" layoutInCell="0" allowOverlap="1">
          <wp:simplePos x="0" y="0"/>
          <wp:positionH relativeFrom="page">
            <wp:posOffset>1008380</wp:posOffset>
          </wp:positionH>
          <wp:positionV relativeFrom="page">
            <wp:posOffset>6308090</wp:posOffset>
          </wp:positionV>
          <wp:extent cx="8747759" cy="7620"/>
          <wp:effectExtent l="0" t="0" r="0" b="0"/>
          <wp:wrapNone/>
          <wp:docPr id="1596" name="IM 1596"/>
          <wp:cNvGraphicFramePr/>
          <a:graphic>
            <a:graphicData uri="http://schemas.openxmlformats.org/drawingml/2006/picture">
              <pic:pic>
                <pic:nvPicPr>
                  <pic:cNvPr id="1596" name="IM 1596"/>
                  <pic:cNvPicPr/>
                </pic:nvPicPr>
                <pic:blipFill>
                  <a:blip r:embed="rId1"/>
                  <a:stretch>
                    <a:fillRect/>
                  </a:stretch>
                </pic:blipFill>
                <pic:spPr>
                  <a:xfrm rot="0">
                    <a:off x="0" y="0"/>
                    <a:ext cx="8747759" cy="7620"/>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期/333</w:t>
    </w:r>
  </w:p>
</w:ftr>
</file>

<file path=word/footer3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0"/>
      <w:spacing w:before="108" w:line="206" w:lineRule="auto"/>
      <w:rPr>
        <w:rFonts w:ascii="Microsoft YaHei" w:hAnsi="Microsoft YaHei" w:eastAsia="Microsoft YaHei" w:cs="Microsoft YaHei"/>
        <w:sz w:val="20"/>
        <w:szCs w:val="20"/>
      </w:rPr>
    </w:pPr>
    <w:r>
      <w:drawing>
        <wp:anchor distT="0" distB="0" distL="0" distR="0" simplePos="0" relativeHeight="252125184" behindDoc="0" locked="0" layoutInCell="0" allowOverlap="1">
          <wp:simplePos x="0" y="0"/>
          <wp:positionH relativeFrom="page">
            <wp:posOffset>995045</wp:posOffset>
          </wp:positionH>
          <wp:positionV relativeFrom="page">
            <wp:posOffset>6302375</wp:posOffset>
          </wp:positionV>
          <wp:extent cx="8747760" cy="7620"/>
          <wp:effectExtent l="0" t="0" r="0" b="0"/>
          <wp:wrapNone/>
          <wp:docPr id="1604" name="IM 1604"/>
          <wp:cNvGraphicFramePr/>
          <a:graphic>
            <a:graphicData uri="http://schemas.openxmlformats.org/drawingml/2006/picture">
              <pic:pic>
                <pic:nvPicPr>
                  <pic:cNvPr id="1604" name="IM 1604"/>
                  <pic:cNvPicPr/>
                </pic:nvPicPr>
                <pic:blipFill>
                  <a:blip r:embed="rId1"/>
                  <a:stretch>
                    <a:fillRect/>
                  </a:stretch>
                </pic:blipFill>
                <pic:spPr>
                  <a:xfrm rot="0">
                    <a:off x="0" y="0"/>
                    <a:ext cx="8747760" cy="7620"/>
                  </a:xfrm>
                  <a:prstGeom prst="rect">
                    <a:avLst/>
                  </a:prstGeom>
                </pic:spPr>
              </pic:pic>
            </a:graphicData>
          </a:graphic>
        </wp:anchor>
      </w:drawing>
    </w:r>
    <w:r>
      <w:rPr>
        <w:rFonts w:ascii="Microsoft YaHei" w:hAnsi="Microsoft YaHei" w:eastAsia="Microsoft YaHei" w:cs="Microsoft YaHei"/>
        <w:sz w:val="20"/>
        <w:szCs w:val="20"/>
        <w:spacing w:val="-5"/>
      </w:rPr>
      <w:t>334//2021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99" w:line="205" w:lineRule="auto"/>
      <w:rPr>
        <w:rFonts w:ascii="Microsoft YaHei" w:hAnsi="Microsoft YaHei" w:eastAsia="Microsoft YaHei" w:cs="Microsoft YaHei"/>
        <w:sz w:val="20"/>
        <w:szCs w:val="20"/>
      </w:rPr>
    </w:pPr>
    <w:r>
      <w:drawing>
        <wp:anchor distT="0" distB="0" distL="0" distR="0" simplePos="0" relativeHeight="252127232"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612" name="IM 1612"/>
          <wp:cNvGraphicFramePr/>
          <a:graphic>
            <a:graphicData uri="http://schemas.openxmlformats.org/drawingml/2006/picture">
              <pic:pic>
                <pic:nvPicPr>
                  <pic:cNvPr id="1612" name="IM 161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期/335</w:t>
    </w:r>
  </w:p>
</w:ftr>
</file>

<file path=word/footer3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108" w:line="205" w:lineRule="auto"/>
      <w:rPr>
        <w:rFonts w:ascii="Microsoft YaHei" w:hAnsi="Microsoft YaHei" w:eastAsia="Microsoft YaHei" w:cs="Microsoft YaHei"/>
        <w:sz w:val="20"/>
        <w:szCs w:val="20"/>
      </w:rPr>
    </w:pPr>
    <w:r>
      <w:drawing>
        <wp:anchor distT="0" distB="0" distL="0" distR="0" simplePos="0" relativeHeight="252129280" behindDoc="0" locked="0" layoutInCell="0" allowOverlap="1">
          <wp:simplePos x="0" y="0"/>
          <wp:positionH relativeFrom="page">
            <wp:posOffset>995045</wp:posOffset>
          </wp:positionH>
          <wp:positionV relativeFrom="page">
            <wp:posOffset>9686290</wp:posOffset>
          </wp:positionV>
          <wp:extent cx="5579743" cy="7619"/>
          <wp:effectExtent l="0" t="0" r="0" b="0"/>
          <wp:wrapNone/>
          <wp:docPr id="1618" name="IM 1618"/>
          <wp:cNvGraphicFramePr/>
          <a:graphic>
            <a:graphicData uri="http://schemas.openxmlformats.org/drawingml/2006/picture">
              <pic:pic>
                <pic:nvPicPr>
                  <pic:cNvPr id="1618" name="IM 1618"/>
                  <pic:cNvPicPr/>
                </pic:nvPicPr>
                <pic:blipFill>
                  <a:blip r:embed="rId1"/>
                  <a:stretch>
                    <a:fillRect/>
                  </a:stretch>
                </pic:blipFill>
                <pic:spPr>
                  <a:xfrm rot="0">
                    <a:off x="0" y="0"/>
                    <a:ext cx="5579743" cy="7619"/>
                  </a:xfrm>
                  <a:prstGeom prst="rect">
                    <a:avLst/>
                  </a:prstGeom>
                </pic:spPr>
              </pic:pic>
            </a:graphicData>
          </a:graphic>
        </wp:anchor>
      </w:drawing>
    </w:r>
    <w:r>
      <w:rPr>
        <w:rFonts w:ascii="Microsoft YaHei" w:hAnsi="Microsoft YaHei" w:eastAsia="Microsoft YaHei" w:cs="Microsoft YaHei"/>
        <w:sz w:val="20"/>
        <w:szCs w:val="20"/>
        <w:spacing w:val="-5"/>
      </w:rPr>
      <w:t>336//2021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131328"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624" name="IM 1624"/>
          <wp:cNvGraphicFramePr/>
          <a:graphic>
            <a:graphicData uri="http://schemas.openxmlformats.org/drawingml/2006/picture">
              <pic:pic>
                <pic:nvPicPr>
                  <pic:cNvPr id="1624" name="IM 162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期/337</w:t>
    </w:r>
  </w:p>
</w:ftr>
</file>

<file path=word/footer3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108" w:line="205" w:lineRule="auto"/>
      <w:rPr>
        <w:rFonts w:ascii="Microsoft YaHei" w:hAnsi="Microsoft YaHei" w:eastAsia="Microsoft YaHei" w:cs="Microsoft YaHei"/>
        <w:sz w:val="20"/>
        <w:szCs w:val="20"/>
      </w:rPr>
    </w:pPr>
    <w:r>
      <w:drawing>
        <wp:anchor distT="0" distB="0" distL="0" distR="0" simplePos="0" relativeHeight="252133376" behindDoc="0" locked="0" layoutInCell="0" allowOverlap="1">
          <wp:simplePos x="0" y="0"/>
          <wp:positionH relativeFrom="page">
            <wp:posOffset>995045</wp:posOffset>
          </wp:positionH>
          <wp:positionV relativeFrom="page">
            <wp:posOffset>9686290</wp:posOffset>
          </wp:positionV>
          <wp:extent cx="5579744" cy="7619"/>
          <wp:effectExtent l="0" t="0" r="0" b="0"/>
          <wp:wrapNone/>
          <wp:docPr id="1630" name="IM 1630"/>
          <wp:cNvGraphicFramePr/>
          <a:graphic>
            <a:graphicData uri="http://schemas.openxmlformats.org/drawingml/2006/picture">
              <pic:pic>
                <pic:nvPicPr>
                  <pic:cNvPr id="1630" name="IM 163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338//2021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135424"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636" name="IM 1636"/>
          <wp:cNvGraphicFramePr/>
          <a:graphic>
            <a:graphicData uri="http://schemas.openxmlformats.org/drawingml/2006/picture">
              <pic:pic>
                <pic:nvPicPr>
                  <pic:cNvPr id="1636" name="IM 163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期/339</w:t>
    </w:r>
  </w:p>
</w:ftr>
</file>

<file path=word/footer3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108" w:line="205" w:lineRule="auto"/>
      <w:rPr>
        <w:rFonts w:ascii="Microsoft YaHei" w:hAnsi="Microsoft YaHei" w:eastAsia="Microsoft YaHei" w:cs="Microsoft YaHei"/>
        <w:sz w:val="20"/>
        <w:szCs w:val="20"/>
      </w:rPr>
    </w:pPr>
    <w:r>
      <w:drawing>
        <wp:anchor distT="0" distB="0" distL="0" distR="0" simplePos="0" relativeHeight="252137472" behindDoc="0" locked="0" layoutInCell="0" allowOverlap="1">
          <wp:simplePos x="0" y="0"/>
          <wp:positionH relativeFrom="page">
            <wp:posOffset>995045</wp:posOffset>
          </wp:positionH>
          <wp:positionV relativeFrom="page">
            <wp:posOffset>9686290</wp:posOffset>
          </wp:positionV>
          <wp:extent cx="5579744" cy="7619"/>
          <wp:effectExtent l="0" t="0" r="0" b="0"/>
          <wp:wrapNone/>
          <wp:docPr id="1640" name="IM 1640"/>
          <wp:cNvGraphicFramePr/>
          <a:graphic>
            <a:graphicData uri="http://schemas.openxmlformats.org/drawingml/2006/picture">
              <pic:pic>
                <pic:nvPicPr>
                  <pic:cNvPr id="1640" name="IM 164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340//2021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139520"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644" name="IM 1644"/>
          <wp:cNvGraphicFramePr/>
          <a:graphic>
            <a:graphicData uri="http://schemas.openxmlformats.org/drawingml/2006/picture">
              <pic:pic>
                <pic:nvPicPr>
                  <pic:cNvPr id="1644" name="IM 164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期/341</w:t>
    </w:r>
  </w:p>
</w:ftr>
</file>

<file path=word/footer3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108" w:line="205" w:lineRule="auto"/>
      <w:rPr>
        <w:rFonts w:ascii="Microsoft YaHei" w:hAnsi="Microsoft YaHei" w:eastAsia="Microsoft YaHei" w:cs="Microsoft YaHei"/>
        <w:sz w:val="20"/>
        <w:szCs w:val="20"/>
      </w:rPr>
    </w:pPr>
    <w:r>
      <w:drawing>
        <wp:anchor distT="0" distB="0" distL="0" distR="0" simplePos="0" relativeHeight="252141568" behindDoc="0" locked="0" layoutInCell="0" allowOverlap="1">
          <wp:simplePos x="0" y="0"/>
          <wp:positionH relativeFrom="page">
            <wp:posOffset>995045</wp:posOffset>
          </wp:positionH>
          <wp:positionV relativeFrom="page">
            <wp:posOffset>9686290</wp:posOffset>
          </wp:positionV>
          <wp:extent cx="5579743" cy="7619"/>
          <wp:effectExtent l="0" t="0" r="0" b="0"/>
          <wp:wrapNone/>
          <wp:docPr id="1650" name="IM 1650"/>
          <wp:cNvGraphicFramePr/>
          <a:graphic>
            <a:graphicData uri="http://schemas.openxmlformats.org/drawingml/2006/picture">
              <pic:pic>
                <pic:nvPicPr>
                  <pic:cNvPr id="1650" name="IM 1650"/>
                  <pic:cNvPicPr/>
                </pic:nvPicPr>
                <pic:blipFill>
                  <a:blip r:embed="rId1"/>
                  <a:stretch>
                    <a:fillRect/>
                  </a:stretch>
                </pic:blipFill>
                <pic:spPr>
                  <a:xfrm rot="0">
                    <a:off x="0" y="0"/>
                    <a:ext cx="5579743" cy="7619"/>
                  </a:xfrm>
                  <a:prstGeom prst="rect">
                    <a:avLst/>
                  </a:prstGeom>
                </pic:spPr>
              </pic:pic>
            </a:graphicData>
          </a:graphic>
        </wp:anchor>
      </w:drawing>
    </w:r>
    <w:r>
      <w:rPr>
        <w:rFonts w:ascii="Microsoft YaHei" w:hAnsi="Microsoft YaHei" w:eastAsia="Microsoft YaHei" w:cs="Microsoft YaHei"/>
        <w:sz w:val="20"/>
        <w:szCs w:val="20"/>
        <w:spacing w:val="-5"/>
      </w:rPr>
      <w:t>342//2021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73"/>
      <w:spacing w:before="66" w:line="206" w:lineRule="auto"/>
      <w:rPr>
        <w:rFonts w:ascii="Microsoft YaHei" w:hAnsi="Microsoft YaHei" w:eastAsia="Microsoft YaHei" w:cs="Microsoft YaHei"/>
        <w:sz w:val="20"/>
        <w:szCs w:val="20"/>
      </w:rPr>
    </w:pPr>
    <w:r>
      <w:drawing>
        <wp:anchor distT="0" distB="0" distL="0" distR="0" simplePos="0" relativeHeight="251692032" behindDoc="0" locked="0" layoutInCell="0" allowOverlap="1">
          <wp:simplePos x="0" y="0"/>
          <wp:positionH relativeFrom="page">
            <wp:posOffset>985519</wp:posOffset>
          </wp:positionH>
          <wp:positionV relativeFrom="page">
            <wp:posOffset>9638665</wp:posOffset>
          </wp:positionV>
          <wp:extent cx="5579744" cy="7619"/>
          <wp:effectExtent l="0" t="0" r="0" b="0"/>
          <wp:wrapNone/>
          <wp:docPr id="92" name="IM 92"/>
          <wp:cNvGraphicFramePr/>
          <a:graphic>
            <a:graphicData uri="http://schemas.openxmlformats.org/drawingml/2006/picture">
              <pic:pic>
                <pic:nvPicPr>
                  <pic:cNvPr id="92" name="IM 9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期总 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r>
      <w:rPr>
        <w:rFonts w:ascii="Microsoft YaHei" w:hAnsi="Microsoft YaHei" w:eastAsia="Microsoft YaHei" w:cs="Microsoft YaHei"/>
        <w:sz w:val="20"/>
        <w:szCs w:val="20"/>
        <w:spacing w:val="2"/>
      </w:rPr>
      <w:t xml:space="preserve"> </w:t>
    </w:r>
    <w:r>
      <w:rPr>
        <w:rFonts w:ascii="Microsoft YaHei" w:hAnsi="Microsoft YaHei" w:eastAsia="Microsoft YaHei" w:cs="Microsoft YaHei"/>
        <w:sz w:val="20"/>
        <w:szCs w:val="20"/>
        <w:spacing w:val="-6"/>
      </w:rPr>
      <w:t>35</w:t>
    </w:r>
  </w:p>
</w:ftr>
</file>

<file path=word/footer3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143616"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654" name="IM 1654"/>
          <wp:cNvGraphicFramePr/>
          <a:graphic>
            <a:graphicData uri="http://schemas.openxmlformats.org/drawingml/2006/picture">
              <pic:pic>
                <pic:nvPicPr>
                  <pic:cNvPr id="1654" name="IM 165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期/343</w:t>
    </w:r>
  </w:p>
</w:ftr>
</file>

<file path=word/footer3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108" w:line="205" w:lineRule="auto"/>
      <w:rPr>
        <w:rFonts w:ascii="Microsoft YaHei" w:hAnsi="Microsoft YaHei" w:eastAsia="Microsoft YaHei" w:cs="Microsoft YaHei"/>
        <w:sz w:val="20"/>
        <w:szCs w:val="20"/>
      </w:rPr>
    </w:pPr>
    <w:r>
      <w:drawing>
        <wp:anchor distT="0" distB="0" distL="0" distR="0" simplePos="0" relativeHeight="252145664" behindDoc="0" locked="0" layoutInCell="0" allowOverlap="1">
          <wp:simplePos x="0" y="0"/>
          <wp:positionH relativeFrom="page">
            <wp:posOffset>995045</wp:posOffset>
          </wp:positionH>
          <wp:positionV relativeFrom="page">
            <wp:posOffset>9686290</wp:posOffset>
          </wp:positionV>
          <wp:extent cx="5579744" cy="7619"/>
          <wp:effectExtent l="0" t="0" r="0" b="0"/>
          <wp:wrapNone/>
          <wp:docPr id="1658" name="IM 1658"/>
          <wp:cNvGraphicFramePr/>
          <a:graphic>
            <a:graphicData uri="http://schemas.openxmlformats.org/drawingml/2006/picture">
              <pic:pic>
                <pic:nvPicPr>
                  <pic:cNvPr id="1658" name="IM 165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344//2021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147712"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662" name="IM 1662"/>
          <wp:cNvGraphicFramePr/>
          <a:graphic>
            <a:graphicData uri="http://schemas.openxmlformats.org/drawingml/2006/picture">
              <pic:pic>
                <pic:nvPicPr>
                  <pic:cNvPr id="1662" name="IM 166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期/345</w:t>
    </w:r>
  </w:p>
</w:ftr>
</file>

<file path=word/footer3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108" w:line="205" w:lineRule="auto"/>
      <w:rPr>
        <w:rFonts w:ascii="Microsoft YaHei" w:hAnsi="Microsoft YaHei" w:eastAsia="Microsoft YaHei" w:cs="Microsoft YaHei"/>
        <w:sz w:val="20"/>
        <w:szCs w:val="20"/>
      </w:rPr>
    </w:pPr>
    <w:r>
      <w:drawing>
        <wp:anchor distT="0" distB="0" distL="0" distR="0" simplePos="0" relativeHeight="252149760" behindDoc="0" locked="0" layoutInCell="0" allowOverlap="1">
          <wp:simplePos x="0" y="0"/>
          <wp:positionH relativeFrom="page">
            <wp:posOffset>995045</wp:posOffset>
          </wp:positionH>
          <wp:positionV relativeFrom="page">
            <wp:posOffset>9686290</wp:posOffset>
          </wp:positionV>
          <wp:extent cx="5579744" cy="7619"/>
          <wp:effectExtent l="0" t="0" r="0" b="0"/>
          <wp:wrapNone/>
          <wp:docPr id="1666" name="IM 1666"/>
          <wp:cNvGraphicFramePr/>
          <a:graphic>
            <a:graphicData uri="http://schemas.openxmlformats.org/drawingml/2006/picture">
              <pic:pic>
                <pic:nvPicPr>
                  <pic:cNvPr id="1666" name="IM 166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346//2021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78"/>
      <w:spacing w:before="99" w:line="205" w:lineRule="auto"/>
      <w:rPr>
        <w:rFonts w:ascii="Microsoft YaHei" w:hAnsi="Microsoft YaHei" w:eastAsia="Microsoft YaHei" w:cs="Microsoft YaHei"/>
        <w:sz w:val="20"/>
        <w:szCs w:val="20"/>
      </w:rPr>
    </w:pPr>
    <w:r>
      <w:drawing>
        <wp:anchor distT="0" distB="0" distL="0" distR="0" simplePos="0" relativeHeight="252151808"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672" name="IM 1672"/>
          <wp:cNvGraphicFramePr/>
          <a:graphic>
            <a:graphicData uri="http://schemas.openxmlformats.org/drawingml/2006/picture">
              <pic:pic>
                <pic:nvPicPr>
                  <pic:cNvPr id="1672" name="IM 167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期/347</w:t>
    </w:r>
  </w:p>
</w:ftr>
</file>

<file path=word/footer3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109" w:line="205" w:lineRule="auto"/>
      <w:rPr>
        <w:rFonts w:ascii="Microsoft YaHei" w:hAnsi="Microsoft YaHei" w:eastAsia="Microsoft YaHei" w:cs="Microsoft YaHei"/>
        <w:sz w:val="20"/>
        <w:szCs w:val="20"/>
      </w:rPr>
    </w:pPr>
    <w:r>
      <w:drawing>
        <wp:anchor distT="0" distB="0" distL="0" distR="0" simplePos="0" relativeHeight="252153856" behindDoc="0" locked="0" layoutInCell="0" allowOverlap="1">
          <wp:simplePos x="0" y="0"/>
          <wp:positionH relativeFrom="page">
            <wp:posOffset>995045</wp:posOffset>
          </wp:positionH>
          <wp:positionV relativeFrom="page">
            <wp:posOffset>9685337</wp:posOffset>
          </wp:positionV>
          <wp:extent cx="5579743" cy="9525"/>
          <wp:effectExtent l="0" t="0" r="0" b="0"/>
          <wp:wrapNone/>
          <wp:docPr id="1682" name="IM 1682"/>
          <wp:cNvGraphicFramePr/>
          <a:graphic>
            <a:graphicData uri="http://schemas.openxmlformats.org/drawingml/2006/picture">
              <pic:pic>
                <pic:nvPicPr>
                  <pic:cNvPr id="1682" name="IM 1682"/>
                  <pic:cNvPicPr/>
                </pic:nvPicPr>
                <pic:blipFill>
                  <a:blip r:embed="rId1"/>
                  <a:stretch>
                    <a:fillRect/>
                  </a:stretch>
                </pic:blipFill>
                <pic:spPr>
                  <a:xfrm rot="0">
                    <a:off x="0" y="0"/>
                    <a:ext cx="5579743" cy="9525"/>
                  </a:xfrm>
                  <a:prstGeom prst="rect">
                    <a:avLst/>
                  </a:prstGeom>
                </pic:spPr>
              </pic:pic>
            </a:graphicData>
          </a:graphic>
        </wp:anchor>
      </w:drawing>
    </w:r>
    <w:r>
      <w:rPr>
        <w:rFonts w:ascii="Microsoft YaHei" w:hAnsi="Microsoft YaHei" w:eastAsia="Microsoft YaHei" w:cs="Microsoft YaHei"/>
        <w:sz w:val="20"/>
        <w:szCs w:val="20"/>
        <w:spacing w:val="-5"/>
      </w:rPr>
      <w:t>348//2021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100" w:line="205" w:lineRule="auto"/>
      <w:rPr>
        <w:rFonts w:ascii="Microsoft YaHei" w:hAnsi="Microsoft YaHei" w:eastAsia="Microsoft YaHei" w:cs="Microsoft YaHei"/>
        <w:sz w:val="20"/>
        <w:szCs w:val="20"/>
      </w:rPr>
    </w:pPr>
    <w:r>
      <w:drawing>
        <wp:anchor distT="0" distB="0" distL="0" distR="0" simplePos="0" relativeHeight="252155904" behindDoc="0" locked="0" layoutInCell="0" allowOverlap="1">
          <wp:simplePos x="0" y="0"/>
          <wp:positionH relativeFrom="page">
            <wp:posOffset>1008380</wp:posOffset>
          </wp:positionH>
          <wp:positionV relativeFrom="page">
            <wp:posOffset>9691052</wp:posOffset>
          </wp:positionV>
          <wp:extent cx="5579745" cy="9525"/>
          <wp:effectExtent l="0" t="0" r="0" b="0"/>
          <wp:wrapNone/>
          <wp:docPr id="1692" name="IM 1692"/>
          <wp:cNvGraphicFramePr/>
          <a:graphic>
            <a:graphicData uri="http://schemas.openxmlformats.org/drawingml/2006/picture">
              <pic:pic>
                <pic:nvPicPr>
                  <pic:cNvPr id="1692" name="IM 1692"/>
                  <pic:cNvPicPr/>
                </pic:nvPicPr>
                <pic:blipFill>
                  <a:blip r:embed="rId1"/>
                  <a:stretch>
                    <a:fillRect/>
                  </a:stretch>
                </pic:blipFill>
                <pic:spPr>
                  <a:xfrm rot="0">
                    <a:off x="0" y="0"/>
                    <a:ext cx="5579745" cy="9525"/>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期/349</w:t>
    </w:r>
  </w:p>
</w:ftr>
</file>

<file path=word/footer3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6" w:line="205" w:lineRule="auto"/>
      <w:rPr>
        <w:rFonts w:ascii="Microsoft YaHei" w:hAnsi="Microsoft YaHei" w:eastAsia="Microsoft YaHei" w:cs="Microsoft YaHei"/>
        <w:sz w:val="20"/>
        <w:szCs w:val="20"/>
      </w:rPr>
    </w:pPr>
    <w:r>
      <w:drawing>
        <wp:anchor distT="0" distB="0" distL="0" distR="0" simplePos="0" relativeHeight="252157952" behindDoc="0" locked="0" layoutInCell="0" allowOverlap="1">
          <wp:simplePos x="0" y="0"/>
          <wp:positionH relativeFrom="page">
            <wp:posOffset>995045</wp:posOffset>
          </wp:positionH>
          <wp:positionV relativeFrom="page">
            <wp:posOffset>9700259</wp:posOffset>
          </wp:positionV>
          <wp:extent cx="5579744" cy="7619"/>
          <wp:effectExtent l="0" t="0" r="0" b="0"/>
          <wp:wrapNone/>
          <wp:docPr id="1696" name="IM 1696"/>
          <wp:cNvGraphicFramePr/>
          <a:graphic>
            <a:graphicData uri="http://schemas.openxmlformats.org/drawingml/2006/picture">
              <pic:pic>
                <pic:nvPicPr>
                  <pic:cNvPr id="1696" name="IM 169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350//2021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160000"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700" name="IM 1700"/>
          <wp:cNvGraphicFramePr/>
          <a:graphic>
            <a:graphicData uri="http://schemas.openxmlformats.org/drawingml/2006/picture">
              <pic:pic>
                <pic:nvPicPr>
                  <pic:cNvPr id="1700" name="IM 170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期/351</w:t>
    </w:r>
  </w:p>
</w:ftr>
</file>

<file path=word/footer3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6" w:line="205" w:lineRule="auto"/>
      <w:rPr>
        <w:rFonts w:ascii="Microsoft YaHei" w:hAnsi="Microsoft YaHei" w:eastAsia="Microsoft YaHei" w:cs="Microsoft YaHei"/>
        <w:sz w:val="20"/>
        <w:szCs w:val="20"/>
      </w:rPr>
    </w:pPr>
    <w:r>
      <w:drawing>
        <wp:anchor distT="0" distB="0" distL="0" distR="0" simplePos="0" relativeHeight="252162048" behindDoc="0" locked="0" layoutInCell="0" allowOverlap="1">
          <wp:simplePos x="0" y="0"/>
          <wp:positionH relativeFrom="page">
            <wp:posOffset>995045</wp:posOffset>
          </wp:positionH>
          <wp:positionV relativeFrom="page">
            <wp:posOffset>9700259</wp:posOffset>
          </wp:positionV>
          <wp:extent cx="5579744" cy="7619"/>
          <wp:effectExtent l="0" t="0" r="0" b="0"/>
          <wp:wrapNone/>
          <wp:docPr id="1704" name="IM 1704"/>
          <wp:cNvGraphicFramePr/>
          <a:graphic>
            <a:graphicData uri="http://schemas.openxmlformats.org/drawingml/2006/picture">
              <pic:pic>
                <pic:nvPicPr>
                  <pic:cNvPr id="1704" name="IM 170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352//2021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
      <w:spacing w:before="91" w:line="205" w:lineRule="auto"/>
      <w:rPr>
        <w:rFonts w:ascii="Microsoft YaHei" w:hAnsi="Microsoft YaHei" w:eastAsia="Microsoft YaHei" w:cs="Microsoft YaHei"/>
        <w:sz w:val="20"/>
        <w:szCs w:val="20"/>
      </w:rPr>
    </w:pPr>
    <w:r>
      <w:drawing>
        <wp:anchor distT="0" distB="0" distL="0" distR="0" simplePos="0" relativeHeight="251693056" behindDoc="0" locked="0" layoutInCell="0" allowOverlap="1">
          <wp:simplePos x="0" y="0"/>
          <wp:positionH relativeFrom="page">
            <wp:posOffset>990600</wp:posOffset>
          </wp:positionH>
          <wp:positionV relativeFrom="page">
            <wp:posOffset>9631680</wp:posOffset>
          </wp:positionV>
          <wp:extent cx="5579744" cy="7619"/>
          <wp:effectExtent l="0" t="0" r="0" b="0"/>
          <wp:wrapNone/>
          <wp:docPr id="94" name="IM 94"/>
          <wp:cNvGraphicFramePr/>
          <a:graphic>
            <a:graphicData uri="http://schemas.openxmlformats.org/drawingml/2006/picture">
              <pic:pic>
                <pic:nvPicPr>
                  <pic:cNvPr id="94" name="IM 9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36//2021 年第</w:t>
    </w:r>
    <w:r>
      <w:rPr>
        <w:rFonts w:ascii="Microsoft YaHei" w:hAnsi="Microsoft YaHei" w:eastAsia="Microsoft YaHei" w:cs="Microsoft YaHei"/>
        <w:sz w:val="20"/>
        <w:szCs w:val="20"/>
        <w:spacing w:val="23"/>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5"/>
      </w:rPr>
      <w:t>期</w:t>
    </w:r>
  </w:p>
</w:ftr>
</file>

<file path=word/footer3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99" w:line="205" w:lineRule="auto"/>
      <w:rPr>
        <w:rFonts w:ascii="Microsoft YaHei" w:hAnsi="Microsoft YaHei" w:eastAsia="Microsoft YaHei" w:cs="Microsoft YaHei"/>
        <w:sz w:val="20"/>
        <w:szCs w:val="20"/>
      </w:rPr>
    </w:pPr>
    <w:r>
      <w:drawing>
        <wp:anchor distT="0" distB="0" distL="0" distR="0" simplePos="0" relativeHeight="252164096"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710" name="IM 1710"/>
          <wp:cNvGraphicFramePr/>
          <a:graphic>
            <a:graphicData uri="http://schemas.openxmlformats.org/drawingml/2006/picture">
              <pic:pic>
                <pic:nvPicPr>
                  <pic:cNvPr id="1710" name="IM 171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期/353</w:t>
    </w:r>
  </w:p>
</w:ftr>
</file>

<file path=word/footer3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6" w:line="205" w:lineRule="auto"/>
      <w:rPr>
        <w:rFonts w:ascii="Microsoft YaHei" w:hAnsi="Microsoft YaHei" w:eastAsia="Microsoft YaHei" w:cs="Microsoft YaHei"/>
        <w:sz w:val="20"/>
        <w:szCs w:val="20"/>
      </w:rPr>
    </w:pPr>
    <w:r>
      <w:drawing>
        <wp:anchor distT="0" distB="0" distL="0" distR="0" simplePos="0" relativeHeight="252166144" behindDoc="0" locked="0" layoutInCell="0" allowOverlap="1">
          <wp:simplePos x="0" y="0"/>
          <wp:positionH relativeFrom="page">
            <wp:posOffset>995045</wp:posOffset>
          </wp:positionH>
          <wp:positionV relativeFrom="page">
            <wp:posOffset>9700259</wp:posOffset>
          </wp:positionV>
          <wp:extent cx="5579744" cy="7619"/>
          <wp:effectExtent l="0" t="0" r="0" b="0"/>
          <wp:wrapNone/>
          <wp:docPr id="1714" name="IM 1714"/>
          <wp:cNvGraphicFramePr/>
          <a:graphic>
            <a:graphicData uri="http://schemas.openxmlformats.org/drawingml/2006/picture">
              <pic:pic>
                <pic:nvPicPr>
                  <pic:cNvPr id="1714" name="IM 171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354//2021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168192"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718" name="IM 1718"/>
          <wp:cNvGraphicFramePr/>
          <a:graphic>
            <a:graphicData uri="http://schemas.openxmlformats.org/drawingml/2006/picture">
              <pic:pic>
                <pic:nvPicPr>
                  <pic:cNvPr id="1718" name="IM 171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期/355</w:t>
    </w:r>
  </w:p>
</w:ftr>
</file>

<file path=word/footer3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6" w:line="205" w:lineRule="auto"/>
      <w:rPr>
        <w:rFonts w:ascii="Microsoft YaHei" w:hAnsi="Microsoft YaHei" w:eastAsia="Microsoft YaHei" w:cs="Microsoft YaHei"/>
        <w:sz w:val="20"/>
        <w:szCs w:val="20"/>
      </w:rPr>
    </w:pPr>
    <w:r>
      <w:drawing>
        <wp:anchor distT="0" distB="0" distL="0" distR="0" simplePos="0" relativeHeight="252170240" behindDoc="0" locked="0" layoutInCell="0" allowOverlap="1">
          <wp:simplePos x="0" y="0"/>
          <wp:positionH relativeFrom="page">
            <wp:posOffset>995045</wp:posOffset>
          </wp:positionH>
          <wp:positionV relativeFrom="page">
            <wp:posOffset>9700259</wp:posOffset>
          </wp:positionV>
          <wp:extent cx="5579744" cy="7619"/>
          <wp:effectExtent l="0" t="0" r="0" b="0"/>
          <wp:wrapNone/>
          <wp:docPr id="1722" name="IM 1722"/>
          <wp:cNvGraphicFramePr/>
          <a:graphic>
            <a:graphicData uri="http://schemas.openxmlformats.org/drawingml/2006/picture">
              <pic:pic>
                <pic:nvPicPr>
                  <pic:cNvPr id="1722" name="IM 172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356//2021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172288"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726" name="IM 1726"/>
          <wp:cNvGraphicFramePr/>
          <a:graphic>
            <a:graphicData uri="http://schemas.openxmlformats.org/drawingml/2006/picture">
              <pic:pic>
                <pic:nvPicPr>
                  <pic:cNvPr id="1726" name="IM 172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期/357</w:t>
    </w:r>
  </w:p>
</w:ftr>
</file>

<file path=word/footer3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6" w:line="205" w:lineRule="auto"/>
      <w:rPr>
        <w:rFonts w:ascii="Microsoft YaHei" w:hAnsi="Microsoft YaHei" w:eastAsia="Microsoft YaHei" w:cs="Microsoft YaHei"/>
        <w:sz w:val="20"/>
        <w:szCs w:val="20"/>
      </w:rPr>
    </w:pPr>
    <w:r>
      <w:drawing>
        <wp:anchor distT="0" distB="0" distL="0" distR="0" simplePos="0" relativeHeight="252174336" behindDoc="0" locked="0" layoutInCell="0" allowOverlap="1">
          <wp:simplePos x="0" y="0"/>
          <wp:positionH relativeFrom="page">
            <wp:posOffset>995045</wp:posOffset>
          </wp:positionH>
          <wp:positionV relativeFrom="page">
            <wp:posOffset>9700259</wp:posOffset>
          </wp:positionV>
          <wp:extent cx="5579743" cy="7619"/>
          <wp:effectExtent l="0" t="0" r="0" b="0"/>
          <wp:wrapNone/>
          <wp:docPr id="1732" name="IM 1732"/>
          <wp:cNvGraphicFramePr/>
          <a:graphic>
            <a:graphicData uri="http://schemas.openxmlformats.org/drawingml/2006/picture">
              <pic:pic>
                <pic:nvPicPr>
                  <pic:cNvPr id="1732" name="IM 1732"/>
                  <pic:cNvPicPr/>
                </pic:nvPicPr>
                <pic:blipFill>
                  <a:blip r:embed="rId1"/>
                  <a:stretch>
                    <a:fillRect/>
                  </a:stretch>
                </pic:blipFill>
                <pic:spPr>
                  <a:xfrm rot="0">
                    <a:off x="0" y="0"/>
                    <a:ext cx="5579743" cy="7619"/>
                  </a:xfrm>
                  <a:prstGeom prst="rect">
                    <a:avLst/>
                  </a:prstGeom>
                </pic:spPr>
              </pic:pic>
            </a:graphicData>
          </a:graphic>
        </wp:anchor>
      </w:drawing>
    </w:r>
    <w:r>
      <w:rPr>
        <w:rFonts w:ascii="Microsoft YaHei" w:hAnsi="Microsoft YaHei" w:eastAsia="Microsoft YaHei" w:cs="Microsoft YaHei"/>
        <w:sz w:val="20"/>
        <w:szCs w:val="20"/>
        <w:spacing w:val="-5"/>
      </w:rPr>
      <w:t>358//2021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176384"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736" name="IM 1736"/>
          <wp:cNvGraphicFramePr/>
          <a:graphic>
            <a:graphicData uri="http://schemas.openxmlformats.org/drawingml/2006/picture">
              <pic:pic>
                <pic:nvPicPr>
                  <pic:cNvPr id="1736" name="IM 173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期/359</w:t>
    </w:r>
  </w:p>
</w:ftr>
</file>

<file path=word/footer3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6" w:line="205" w:lineRule="auto"/>
      <w:rPr>
        <w:rFonts w:ascii="Microsoft YaHei" w:hAnsi="Microsoft YaHei" w:eastAsia="Microsoft YaHei" w:cs="Microsoft YaHei"/>
        <w:sz w:val="20"/>
        <w:szCs w:val="20"/>
      </w:rPr>
    </w:pPr>
    <w:r>
      <w:drawing>
        <wp:anchor distT="0" distB="0" distL="0" distR="0" simplePos="0" relativeHeight="252178432" behindDoc="0" locked="0" layoutInCell="0" allowOverlap="1">
          <wp:simplePos x="0" y="0"/>
          <wp:positionH relativeFrom="page">
            <wp:posOffset>995045</wp:posOffset>
          </wp:positionH>
          <wp:positionV relativeFrom="page">
            <wp:posOffset>9700259</wp:posOffset>
          </wp:positionV>
          <wp:extent cx="5579744" cy="7619"/>
          <wp:effectExtent l="0" t="0" r="0" b="0"/>
          <wp:wrapNone/>
          <wp:docPr id="1740" name="IM 1740"/>
          <wp:cNvGraphicFramePr/>
          <a:graphic>
            <a:graphicData uri="http://schemas.openxmlformats.org/drawingml/2006/picture">
              <pic:pic>
                <pic:nvPicPr>
                  <pic:cNvPr id="1740" name="IM 174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360//2021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180480"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746" name="IM 1746"/>
          <wp:cNvGraphicFramePr/>
          <a:graphic>
            <a:graphicData uri="http://schemas.openxmlformats.org/drawingml/2006/picture">
              <pic:pic>
                <pic:nvPicPr>
                  <pic:cNvPr id="1746" name="IM 174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期/361</w:t>
    </w:r>
  </w:p>
</w:ftr>
</file>

<file path=word/footer3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6" w:line="205" w:lineRule="auto"/>
      <w:rPr>
        <w:rFonts w:ascii="Microsoft YaHei" w:hAnsi="Microsoft YaHei" w:eastAsia="Microsoft YaHei" w:cs="Microsoft YaHei"/>
        <w:sz w:val="20"/>
        <w:szCs w:val="20"/>
      </w:rPr>
    </w:pPr>
    <w:r>
      <w:drawing>
        <wp:anchor distT="0" distB="0" distL="0" distR="0" simplePos="0" relativeHeight="252182528" behindDoc="0" locked="0" layoutInCell="0" allowOverlap="1">
          <wp:simplePos x="0" y="0"/>
          <wp:positionH relativeFrom="page">
            <wp:posOffset>995045</wp:posOffset>
          </wp:positionH>
          <wp:positionV relativeFrom="page">
            <wp:posOffset>9700259</wp:posOffset>
          </wp:positionV>
          <wp:extent cx="5579744" cy="7619"/>
          <wp:effectExtent l="0" t="0" r="0" b="0"/>
          <wp:wrapNone/>
          <wp:docPr id="1750" name="IM 1750"/>
          <wp:cNvGraphicFramePr/>
          <a:graphic>
            <a:graphicData uri="http://schemas.openxmlformats.org/drawingml/2006/picture">
              <pic:pic>
                <pic:nvPicPr>
                  <pic:cNvPr id="1750" name="IM 175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362//2021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73"/>
      <w:spacing w:before="66" w:line="206" w:lineRule="auto"/>
      <w:rPr>
        <w:rFonts w:ascii="Microsoft YaHei" w:hAnsi="Microsoft YaHei" w:eastAsia="Microsoft YaHei" w:cs="Microsoft YaHei"/>
        <w:sz w:val="20"/>
        <w:szCs w:val="20"/>
      </w:rPr>
    </w:pPr>
    <w:r>
      <w:drawing>
        <wp:anchor distT="0" distB="0" distL="0" distR="0" simplePos="0" relativeHeight="251694080" behindDoc="0" locked="0" layoutInCell="0" allowOverlap="1">
          <wp:simplePos x="0" y="0"/>
          <wp:positionH relativeFrom="page">
            <wp:posOffset>985519</wp:posOffset>
          </wp:positionH>
          <wp:positionV relativeFrom="page">
            <wp:posOffset>9638665</wp:posOffset>
          </wp:positionV>
          <wp:extent cx="5579744" cy="7619"/>
          <wp:effectExtent l="0" t="0" r="0" b="0"/>
          <wp:wrapNone/>
          <wp:docPr id="96" name="IM 96"/>
          <wp:cNvGraphicFramePr/>
          <a:graphic>
            <a:graphicData uri="http://schemas.openxmlformats.org/drawingml/2006/picture">
              <pic:pic>
                <pic:nvPicPr>
                  <pic:cNvPr id="96" name="IM 9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期总 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r>
      <w:rPr>
        <w:rFonts w:ascii="Microsoft YaHei" w:hAnsi="Microsoft YaHei" w:eastAsia="Microsoft YaHei" w:cs="Microsoft YaHei"/>
        <w:sz w:val="20"/>
        <w:szCs w:val="20"/>
        <w:spacing w:val="2"/>
      </w:rPr>
      <w:t xml:space="preserve"> </w:t>
    </w:r>
    <w:r>
      <w:rPr>
        <w:rFonts w:ascii="Microsoft YaHei" w:hAnsi="Microsoft YaHei" w:eastAsia="Microsoft YaHei" w:cs="Microsoft YaHei"/>
        <w:sz w:val="20"/>
        <w:szCs w:val="20"/>
        <w:spacing w:val="-6"/>
      </w:rPr>
      <w:t>37</w:t>
    </w:r>
  </w:p>
</w:ftr>
</file>

<file path=word/footer3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184576"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754" name="IM 1754"/>
          <wp:cNvGraphicFramePr/>
          <a:graphic>
            <a:graphicData uri="http://schemas.openxmlformats.org/drawingml/2006/picture">
              <pic:pic>
                <pic:nvPicPr>
                  <pic:cNvPr id="1754" name="IM 175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期/363</w:t>
    </w:r>
  </w:p>
</w:ftr>
</file>

<file path=word/footer3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6" w:line="205" w:lineRule="auto"/>
      <w:rPr>
        <w:rFonts w:ascii="Microsoft YaHei" w:hAnsi="Microsoft YaHei" w:eastAsia="Microsoft YaHei" w:cs="Microsoft YaHei"/>
        <w:sz w:val="20"/>
        <w:szCs w:val="20"/>
      </w:rPr>
    </w:pPr>
    <w:r>
      <w:drawing>
        <wp:anchor distT="0" distB="0" distL="0" distR="0" simplePos="0" relativeHeight="252186624" behindDoc="0" locked="0" layoutInCell="0" allowOverlap="1">
          <wp:simplePos x="0" y="0"/>
          <wp:positionH relativeFrom="page">
            <wp:posOffset>995045</wp:posOffset>
          </wp:positionH>
          <wp:positionV relativeFrom="page">
            <wp:posOffset>9700259</wp:posOffset>
          </wp:positionV>
          <wp:extent cx="5579744" cy="7619"/>
          <wp:effectExtent l="0" t="0" r="0" b="0"/>
          <wp:wrapNone/>
          <wp:docPr id="1758" name="IM 1758"/>
          <wp:cNvGraphicFramePr/>
          <a:graphic>
            <a:graphicData uri="http://schemas.openxmlformats.org/drawingml/2006/picture">
              <pic:pic>
                <pic:nvPicPr>
                  <pic:cNvPr id="1758" name="IM 175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364//2021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188672"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764" name="IM 1764"/>
          <wp:cNvGraphicFramePr/>
          <a:graphic>
            <a:graphicData uri="http://schemas.openxmlformats.org/drawingml/2006/picture">
              <pic:pic>
                <pic:nvPicPr>
                  <pic:cNvPr id="1764" name="IM 176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期/365</w:t>
    </w:r>
  </w:p>
</w:ftr>
</file>

<file path=word/footer3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6" w:line="205" w:lineRule="auto"/>
      <w:rPr>
        <w:rFonts w:ascii="Microsoft YaHei" w:hAnsi="Microsoft YaHei" w:eastAsia="Microsoft YaHei" w:cs="Microsoft YaHei"/>
        <w:sz w:val="20"/>
        <w:szCs w:val="20"/>
      </w:rPr>
    </w:pPr>
    <w:r>
      <w:drawing>
        <wp:anchor distT="0" distB="0" distL="0" distR="0" simplePos="0" relativeHeight="252190720" behindDoc="0" locked="0" layoutInCell="0" allowOverlap="1">
          <wp:simplePos x="0" y="0"/>
          <wp:positionH relativeFrom="page">
            <wp:posOffset>995045</wp:posOffset>
          </wp:positionH>
          <wp:positionV relativeFrom="page">
            <wp:posOffset>9700259</wp:posOffset>
          </wp:positionV>
          <wp:extent cx="5579744" cy="7619"/>
          <wp:effectExtent l="0" t="0" r="0" b="0"/>
          <wp:wrapNone/>
          <wp:docPr id="1768" name="IM 1768"/>
          <wp:cNvGraphicFramePr/>
          <a:graphic>
            <a:graphicData uri="http://schemas.openxmlformats.org/drawingml/2006/picture">
              <pic:pic>
                <pic:nvPicPr>
                  <pic:cNvPr id="1768" name="IM 176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366//2021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192768"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772" name="IM 1772"/>
          <wp:cNvGraphicFramePr/>
          <a:graphic>
            <a:graphicData uri="http://schemas.openxmlformats.org/drawingml/2006/picture">
              <pic:pic>
                <pic:nvPicPr>
                  <pic:cNvPr id="1772" name="IM 177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期/367</w:t>
    </w:r>
  </w:p>
</w:ftr>
</file>

<file path=word/footer3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6" w:line="205" w:lineRule="auto"/>
      <w:rPr>
        <w:rFonts w:ascii="Microsoft YaHei" w:hAnsi="Microsoft YaHei" w:eastAsia="Microsoft YaHei" w:cs="Microsoft YaHei"/>
        <w:sz w:val="20"/>
        <w:szCs w:val="20"/>
      </w:rPr>
    </w:pPr>
    <w:r>
      <w:drawing>
        <wp:anchor distT="0" distB="0" distL="0" distR="0" simplePos="0" relativeHeight="252194816" behindDoc="0" locked="0" layoutInCell="0" allowOverlap="1">
          <wp:simplePos x="0" y="0"/>
          <wp:positionH relativeFrom="page">
            <wp:posOffset>995045</wp:posOffset>
          </wp:positionH>
          <wp:positionV relativeFrom="page">
            <wp:posOffset>9700259</wp:posOffset>
          </wp:positionV>
          <wp:extent cx="5579744" cy="7619"/>
          <wp:effectExtent l="0" t="0" r="0" b="0"/>
          <wp:wrapNone/>
          <wp:docPr id="1778" name="IM 1778"/>
          <wp:cNvGraphicFramePr/>
          <a:graphic>
            <a:graphicData uri="http://schemas.openxmlformats.org/drawingml/2006/picture">
              <pic:pic>
                <pic:nvPicPr>
                  <pic:cNvPr id="1778" name="IM 177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368//2021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196864"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782" name="IM 1782"/>
          <wp:cNvGraphicFramePr/>
          <a:graphic>
            <a:graphicData uri="http://schemas.openxmlformats.org/drawingml/2006/picture">
              <pic:pic>
                <pic:nvPicPr>
                  <pic:cNvPr id="1782" name="IM 178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期/369</w:t>
    </w:r>
  </w:p>
</w:ftr>
</file>

<file path=word/footer3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6" w:line="205" w:lineRule="auto"/>
      <w:rPr>
        <w:rFonts w:ascii="Microsoft YaHei" w:hAnsi="Microsoft YaHei" w:eastAsia="Microsoft YaHei" w:cs="Microsoft YaHei"/>
        <w:sz w:val="20"/>
        <w:szCs w:val="20"/>
      </w:rPr>
    </w:pPr>
    <w:r>
      <w:drawing>
        <wp:anchor distT="0" distB="0" distL="0" distR="0" simplePos="0" relativeHeight="252198912" behindDoc="0" locked="0" layoutInCell="0" allowOverlap="1">
          <wp:simplePos x="0" y="0"/>
          <wp:positionH relativeFrom="page">
            <wp:posOffset>995045</wp:posOffset>
          </wp:positionH>
          <wp:positionV relativeFrom="page">
            <wp:posOffset>9700259</wp:posOffset>
          </wp:positionV>
          <wp:extent cx="5579744" cy="7619"/>
          <wp:effectExtent l="0" t="0" r="0" b="0"/>
          <wp:wrapNone/>
          <wp:docPr id="1786" name="IM 1786"/>
          <wp:cNvGraphicFramePr/>
          <a:graphic>
            <a:graphicData uri="http://schemas.openxmlformats.org/drawingml/2006/picture">
              <pic:pic>
                <pic:nvPicPr>
                  <pic:cNvPr id="1786" name="IM 178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370//2021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200960"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790" name="IM 1790"/>
          <wp:cNvGraphicFramePr/>
          <a:graphic>
            <a:graphicData uri="http://schemas.openxmlformats.org/drawingml/2006/picture">
              <pic:pic>
                <pic:nvPicPr>
                  <pic:cNvPr id="1790" name="IM 179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期/371</w:t>
    </w:r>
  </w:p>
</w:ftr>
</file>

<file path=word/footer3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6" w:line="205" w:lineRule="auto"/>
      <w:rPr>
        <w:rFonts w:ascii="Microsoft YaHei" w:hAnsi="Microsoft YaHei" w:eastAsia="Microsoft YaHei" w:cs="Microsoft YaHei"/>
        <w:sz w:val="20"/>
        <w:szCs w:val="20"/>
      </w:rPr>
    </w:pPr>
    <w:r>
      <w:drawing>
        <wp:anchor distT="0" distB="0" distL="0" distR="0" simplePos="0" relativeHeight="252203008" behindDoc="0" locked="0" layoutInCell="0" allowOverlap="1">
          <wp:simplePos x="0" y="0"/>
          <wp:positionH relativeFrom="page">
            <wp:posOffset>995045</wp:posOffset>
          </wp:positionH>
          <wp:positionV relativeFrom="page">
            <wp:posOffset>9700259</wp:posOffset>
          </wp:positionV>
          <wp:extent cx="5579744" cy="7619"/>
          <wp:effectExtent l="0" t="0" r="0" b="0"/>
          <wp:wrapNone/>
          <wp:docPr id="1794" name="IM 1794"/>
          <wp:cNvGraphicFramePr/>
          <a:graphic>
            <a:graphicData uri="http://schemas.openxmlformats.org/drawingml/2006/picture">
              <pic:pic>
                <pic:nvPicPr>
                  <pic:cNvPr id="1794" name="IM 179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372//2021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
      <w:spacing w:before="91" w:line="205" w:lineRule="auto"/>
      <w:rPr>
        <w:rFonts w:ascii="Microsoft YaHei" w:hAnsi="Microsoft YaHei" w:eastAsia="Microsoft YaHei" w:cs="Microsoft YaHei"/>
        <w:sz w:val="20"/>
        <w:szCs w:val="20"/>
      </w:rPr>
    </w:pPr>
    <w:r>
      <w:drawing>
        <wp:anchor distT="0" distB="0" distL="0" distR="0" simplePos="0" relativeHeight="251695104" behindDoc="0" locked="0" layoutInCell="0" allowOverlap="1">
          <wp:simplePos x="0" y="0"/>
          <wp:positionH relativeFrom="page">
            <wp:posOffset>990600</wp:posOffset>
          </wp:positionH>
          <wp:positionV relativeFrom="page">
            <wp:posOffset>9631680</wp:posOffset>
          </wp:positionV>
          <wp:extent cx="5579744" cy="7619"/>
          <wp:effectExtent l="0" t="0" r="0" b="0"/>
          <wp:wrapNone/>
          <wp:docPr id="98" name="IM 98"/>
          <wp:cNvGraphicFramePr/>
          <a:graphic>
            <a:graphicData uri="http://schemas.openxmlformats.org/drawingml/2006/picture">
              <pic:pic>
                <pic:nvPicPr>
                  <pic:cNvPr id="98" name="IM 9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38//2021 年第</w:t>
    </w:r>
    <w:r>
      <w:rPr>
        <w:rFonts w:ascii="Microsoft YaHei" w:hAnsi="Microsoft YaHei" w:eastAsia="Microsoft YaHei" w:cs="Microsoft YaHei"/>
        <w:sz w:val="20"/>
        <w:szCs w:val="20"/>
        <w:spacing w:val="23"/>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5"/>
      </w:rPr>
      <w:t>期</w:t>
    </w:r>
  </w:p>
</w:ftr>
</file>

<file path=word/footer3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205056"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798" name="IM 1798"/>
          <wp:cNvGraphicFramePr/>
          <a:graphic>
            <a:graphicData uri="http://schemas.openxmlformats.org/drawingml/2006/picture">
              <pic:pic>
                <pic:nvPicPr>
                  <pic:cNvPr id="1798" name="IM 179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期/373</w:t>
    </w:r>
  </w:p>
</w:ftr>
</file>

<file path=word/footer3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6" w:line="205" w:lineRule="auto"/>
      <w:rPr>
        <w:rFonts w:ascii="Microsoft YaHei" w:hAnsi="Microsoft YaHei" w:eastAsia="Microsoft YaHei" w:cs="Microsoft YaHei"/>
        <w:sz w:val="20"/>
        <w:szCs w:val="20"/>
      </w:rPr>
    </w:pPr>
    <w:r>
      <w:drawing>
        <wp:anchor distT="0" distB="0" distL="0" distR="0" simplePos="0" relativeHeight="252207104" behindDoc="0" locked="0" layoutInCell="0" allowOverlap="1">
          <wp:simplePos x="0" y="0"/>
          <wp:positionH relativeFrom="page">
            <wp:posOffset>995045</wp:posOffset>
          </wp:positionH>
          <wp:positionV relativeFrom="page">
            <wp:posOffset>9700259</wp:posOffset>
          </wp:positionV>
          <wp:extent cx="5579744" cy="7619"/>
          <wp:effectExtent l="0" t="0" r="0" b="0"/>
          <wp:wrapNone/>
          <wp:docPr id="1802" name="IM 1802"/>
          <wp:cNvGraphicFramePr/>
          <a:graphic>
            <a:graphicData uri="http://schemas.openxmlformats.org/drawingml/2006/picture">
              <pic:pic>
                <pic:nvPicPr>
                  <pic:cNvPr id="1802" name="IM 180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374//2021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99" w:line="205" w:lineRule="auto"/>
      <w:rPr>
        <w:rFonts w:ascii="Microsoft YaHei" w:hAnsi="Microsoft YaHei" w:eastAsia="Microsoft YaHei" w:cs="Microsoft YaHei"/>
        <w:sz w:val="20"/>
        <w:szCs w:val="20"/>
      </w:rPr>
    </w:pPr>
    <w:r>
      <w:drawing>
        <wp:anchor distT="0" distB="0" distL="0" distR="0" simplePos="0" relativeHeight="252209152"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806" name="IM 1806"/>
          <wp:cNvGraphicFramePr/>
          <a:graphic>
            <a:graphicData uri="http://schemas.openxmlformats.org/drawingml/2006/picture">
              <pic:pic>
                <pic:nvPicPr>
                  <pic:cNvPr id="1806" name="IM 180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期/375</w:t>
    </w:r>
  </w:p>
</w:ftr>
</file>

<file path=word/footer3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6" w:line="205" w:lineRule="auto"/>
      <w:rPr>
        <w:rFonts w:ascii="Microsoft YaHei" w:hAnsi="Microsoft YaHei" w:eastAsia="Microsoft YaHei" w:cs="Microsoft YaHei"/>
        <w:sz w:val="20"/>
        <w:szCs w:val="20"/>
      </w:rPr>
    </w:pPr>
    <w:r>
      <w:drawing>
        <wp:anchor distT="0" distB="0" distL="0" distR="0" simplePos="0" relativeHeight="252211200" behindDoc="0" locked="0" layoutInCell="0" allowOverlap="1">
          <wp:simplePos x="0" y="0"/>
          <wp:positionH relativeFrom="page">
            <wp:posOffset>995045</wp:posOffset>
          </wp:positionH>
          <wp:positionV relativeFrom="page">
            <wp:posOffset>9700259</wp:posOffset>
          </wp:positionV>
          <wp:extent cx="5579744" cy="7619"/>
          <wp:effectExtent l="0" t="0" r="0" b="0"/>
          <wp:wrapNone/>
          <wp:docPr id="1810" name="IM 1810"/>
          <wp:cNvGraphicFramePr/>
          <a:graphic>
            <a:graphicData uri="http://schemas.openxmlformats.org/drawingml/2006/picture">
              <pic:pic>
                <pic:nvPicPr>
                  <pic:cNvPr id="1810" name="IM 181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376//2021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213248"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814" name="IM 1814"/>
          <wp:cNvGraphicFramePr/>
          <a:graphic>
            <a:graphicData uri="http://schemas.openxmlformats.org/drawingml/2006/picture">
              <pic:pic>
                <pic:nvPicPr>
                  <pic:cNvPr id="1814" name="IM 181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期/377</w:t>
    </w:r>
  </w:p>
</w:ftr>
</file>

<file path=word/footer3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6" w:line="205" w:lineRule="auto"/>
      <w:rPr>
        <w:rFonts w:ascii="Microsoft YaHei" w:hAnsi="Microsoft YaHei" w:eastAsia="Microsoft YaHei" w:cs="Microsoft YaHei"/>
        <w:sz w:val="20"/>
        <w:szCs w:val="20"/>
      </w:rPr>
    </w:pPr>
    <w:r>
      <w:drawing>
        <wp:anchor distT="0" distB="0" distL="0" distR="0" simplePos="0" relativeHeight="252215296" behindDoc="0" locked="0" layoutInCell="0" allowOverlap="1">
          <wp:simplePos x="0" y="0"/>
          <wp:positionH relativeFrom="page">
            <wp:posOffset>995045</wp:posOffset>
          </wp:positionH>
          <wp:positionV relativeFrom="page">
            <wp:posOffset>9700259</wp:posOffset>
          </wp:positionV>
          <wp:extent cx="5579744" cy="7619"/>
          <wp:effectExtent l="0" t="0" r="0" b="0"/>
          <wp:wrapNone/>
          <wp:docPr id="1818" name="IM 1818"/>
          <wp:cNvGraphicFramePr/>
          <a:graphic>
            <a:graphicData uri="http://schemas.openxmlformats.org/drawingml/2006/picture">
              <pic:pic>
                <pic:nvPicPr>
                  <pic:cNvPr id="1818" name="IM 181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378//2021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217344"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822" name="IM 1822"/>
          <wp:cNvGraphicFramePr/>
          <a:graphic>
            <a:graphicData uri="http://schemas.openxmlformats.org/drawingml/2006/picture">
              <pic:pic>
                <pic:nvPicPr>
                  <pic:cNvPr id="1822" name="IM 182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期/379</w:t>
    </w:r>
  </w:p>
</w:ftr>
</file>

<file path=word/footer3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6" w:line="205" w:lineRule="auto"/>
      <w:rPr>
        <w:rFonts w:ascii="Microsoft YaHei" w:hAnsi="Microsoft YaHei" w:eastAsia="Microsoft YaHei" w:cs="Microsoft YaHei"/>
        <w:sz w:val="20"/>
        <w:szCs w:val="20"/>
      </w:rPr>
    </w:pPr>
    <w:r>
      <w:drawing>
        <wp:anchor distT="0" distB="0" distL="0" distR="0" simplePos="0" relativeHeight="252219392" behindDoc="0" locked="0" layoutInCell="0" allowOverlap="1">
          <wp:simplePos x="0" y="0"/>
          <wp:positionH relativeFrom="page">
            <wp:posOffset>995045</wp:posOffset>
          </wp:positionH>
          <wp:positionV relativeFrom="page">
            <wp:posOffset>9700259</wp:posOffset>
          </wp:positionV>
          <wp:extent cx="5579744" cy="7619"/>
          <wp:effectExtent l="0" t="0" r="0" b="0"/>
          <wp:wrapNone/>
          <wp:docPr id="1826" name="IM 1826"/>
          <wp:cNvGraphicFramePr/>
          <a:graphic>
            <a:graphicData uri="http://schemas.openxmlformats.org/drawingml/2006/picture">
              <pic:pic>
                <pic:nvPicPr>
                  <pic:cNvPr id="1826" name="IM 182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380//2021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221440"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830" name="IM 1830"/>
          <wp:cNvGraphicFramePr/>
          <a:graphic>
            <a:graphicData uri="http://schemas.openxmlformats.org/drawingml/2006/picture">
              <pic:pic>
                <pic:nvPicPr>
                  <pic:cNvPr id="1830" name="IM 183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期/381</w:t>
    </w:r>
  </w:p>
</w:ftr>
</file>

<file path=word/footer3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6" w:line="205" w:lineRule="auto"/>
      <w:rPr>
        <w:rFonts w:ascii="Microsoft YaHei" w:hAnsi="Microsoft YaHei" w:eastAsia="Microsoft YaHei" w:cs="Microsoft YaHei"/>
        <w:sz w:val="20"/>
        <w:szCs w:val="20"/>
      </w:rPr>
    </w:pPr>
    <w:r>
      <w:drawing>
        <wp:anchor distT="0" distB="0" distL="0" distR="0" simplePos="0" relativeHeight="252223488" behindDoc="0" locked="0" layoutInCell="0" allowOverlap="1">
          <wp:simplePos x="0" y="0"/>
          <wp:positionH relativeFrom="page">
            <wp:posOffset>995045</wp:posOffset>
          </wp:positionH>
          <wp:positionV relativeFrom="page">
            <wp:posOffset>9700259</wp:posOffset>
          </wp:positionV>
          <wp:extent cx="5579744" cy="7619"/>
          <wp:effectExtent l="0" t="0" r="0" b="0"/>
          <wp:wrapNone/>
          <wp:docPr id="1834" name="IM 1834"/>
          <wp:cNvGraphicFramePr/>
          <a:graphic>
            <a:graphicData uri="http://schemas.openxmlformats.org/drawingml/2006/picture">
              <pic:pic>
                <pic:nvPicPr>
                  <pic:cNvPr id="1834" name="IM 183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382//2021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73"/>
      <w:spacing w:before="66" w:line="206" w:lineRule="auto"/>
      <w:rPr>
        <w:rFonts w:ascii="Microsoft YaHei" w:hAnsi="Microsoft YaHei" w:eastAsia="Microsoft YaHei" w:cs="Microsoft YaHei"/>
        <w:sz w:val="20"/>
        <w:szCs w:val="20"/>
      </w:rPr>
    </w:pPr>
    <w:r>
      <w:drawing>
        <wp:anchor distT="0" distB="0" distL="0" distR="0" simplePos="0" relativeHeight="251696128" behindDoc="0" locked="0" layoutInCell="0" allowOverlap="1">
          <wp:simplePos x="0" y="0"/>
          <wp:positionH relativeFrom="page">
            <wp:posOffset>985519</wp:posOffset>
          </wp:positionH>
          <wp:positionV relativeFrom="page">
            <wp:posOffset>9638665</wp:posOffset>
          </wp:positionV>
          <wp:extent cx="5579744" cy="7619"/>
          <wp:effectExtent l="0" t="0" r="0" b="0"/>
          <wp:wrapNone/>
          <wp:docPr id="100" name="IM 100"/>
          <wp:cNvGraphicFramePr/>
          <a:graphic>
            <a:graphicData uri="http://schemas.openxmlformats.org/drawingml/2006/picture">
              <pic:pic>
                <pic:nvPicPr>
                  <pic:cNvPr id="100" name="IM 10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期总 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r>
      <w:rPr>
        <w:rFonts w:ascii="Microsoft YaHei" w:hAnsi="Microsoft YaHei" w:eastAsia="Microsoft YaHei" w:cs="Microsoft YaHei"/>
        <w:sz w:val="20"/>
        <w:szCs w:val="20"/>
        <w:spacing w:val="2"/>
      </w:rPr>
      <w:t xml:space="preserve"> </w:t>
    </w:r>
    <w:r>
      <w:rPr>
        <w:rFonts w:ascii="Microsoft YaHei" w:hAnsi="Microsoft YaHei" w:eastAsia="Microsoft YaHei" w:cs="Microsoft YaHei"/>
        <w:sz w:val="20"/>
        <w:szCs w:val="20"/>
        <w:spacing w:val="-6"/>
      </w:rPr>
      <w:t>39</w:t>
    </w:r>
  </w:p>
</w:ftr>
</file>

<file path=word/footer3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225536"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840" name="IM 1840"/>
          <wp:cNvGraphicFramePr/>
          <a:graphic>
            <a:graphicData uri="http://schemas.openxmlformats.org/drawingml/2006/picture">
              <pic:pic>
                <pic:nvPicPr>
                  <pic:cNvPr id="1840" name="IM 184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期/383</w:t>
    </w:r>
  </w:p>
</w:ftr>
</file>

<file path=word/footer3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6" w:line="205" w:lineRule="auto"/>
      <w:rPr>
        <w:rFonts w:ascii="Microsoft YaHei" w:hAnsi="Microsoft YaHei" w:eastAsia="Microsoft YaHei" w:cs="Microsoft YaHei"/>
        <w:sz w:val="20"/>
        <w:szCs w:val="20"/>
      </w:rPr>
    </w:pPr>
    <w:r>
      <w:drawing>
        <wp:anchor distT="0" distB="0" distL="0" distR="0" simplePos="0" relativeHeight="252227584" behindDoc="0" locked="0" layoutInCell="0" allowOverlap="1">
          <wp:simplePos x="0" y="0"/>
          <wp:positionH relativeFrom="page">
            <wp:posOffset>995045</wp:posOffset>
          </wp:positionH>
          <wp:positionV relativeFrom="page">
            <wp:posOffset>9700259</wp:posOffset>
          </wp:positionV>
          <wp:extent cx="5579744" cy="7619"/>
          <wp:effectExtent l="0" t="0" r="0" b="0"/>
          <wp:wrapNone/>
          <wp:docPr id="1844" name="IM 1844"/>
          <wp:cNvGraphicFramePr/>
          <a:graphic>
            <a:graphicData uri="http://schemas.openxmlformats.org/drawingml/2006/picture">
              <pic:pic>
                <pic:nvPicPr>
                  <pic:cNvPr id="1844" name="IM 184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384//2021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229632"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848" name="IM 1848"/>
          <wp:cNvGraphicFramePr/>
          <a:graphic>
            <a:graphicData uri="http://schemas.openxmlformats.org/drawingml/2006/picture">
              <pic:pic>
                <pic:nvPicPr>
                  <pic:cNvPr id="1848" name="IM 184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期/385</w:t>
    </w:r>
  </w:p>
</w:ftr>
</file>

<file path=word/footer3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6" w:line="205" w:lineRule="auto"/>
      <w:rPr>
        <w:rFonts w:ascii="Microsoft YaHei" w:hAnsi="Microsoft YaHei" w:eastAsia="Microsoft YaHei" w:cs="Microsoft YaHei"/>
        <w:sz w:val="20"/>
        <w:szCs w:val="20"/>
      </w:rPr>
    </w:pPr>
    <w:r>
      <w:drawing>
        <wp:anchor distT="0" distB="0" distL="0" distR="0" simplePos="0" relativeHeight="252231680" behindDoc="0" locked="0" layoutInCell="0" allowOverlap="1">
          <wp:simplePos x="0" y="0"/>
          <wp:positionH relativeFrom="page">
            <wp:posOffset>995045</wp:posOffset>
          </wp:positionH>
          <wp:positionV relativeFrom="page">
            <wp:posOffset>9700259</wp:posOffset>
          </wp:positionV>
          <wp:extent cx="5579743" cy="7619"/>
          <wp:effectExtent l="0" t="0" r="0" b="0"/>
          <wp:wrapNone/>
          <wp:docPr id="1852" name="IM 1852"/>
          <wp:cNvGraphicFramePr/>
          <a:graphic>
            <a:graphicData uri="http://schemas.openxmlformats.org/drawingml/2006/picture">
              <pic:pic>
                <pic:nvPicPr>
                  <pic:cNvPr id="1852" name="IM 1852"/>
                  <pic:cNvPicPr/>
                </pic:nvPicPr>
                <pic:blipFill>
                  <a:blip r:embed="rId1"/>
                  <a:stretch>
                    <a:fillRect/>
                  </a:stretch>
                </pic:blipFill>
                <pic:spPr>
                  <a:xfrm rot="0">
                    <a:off x="0" y="0"/>
                    <a:ext cx="5579743" cy="7619"/>
                  </a:xfrm>
                  <a:prstGeom prst="rect">
                    <a:avLst/>
                  </a:prstGeom>
                </pic:spPr>
              </pic:pic>
            </a:graphicData>
          </a:graphic>
        </wp:anchor>
      </w:drawing>
    </w:r>
    <w:r>
      <w:rPr>
        <w:rFonts w:ascii="Microsoft YaHei" w:hAnsi="Microsoft YaHei" w:eastAsia="Microsoft YaHei" w:cs="Microsoft YaHei"/>
        <w:sz w:val="20"/>
        <w:szCs w:val="20"/>
        <w:spacing w:val="-5"/>
      </w:rPr>
      <w:t>386//2021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233728"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856" name="IM 1856"/>
          <wp:cNvGraphicFramePr/>
          <a:graphic>
            <a:graphicData uri="http://schemas.openxmlformats.org/drawingml/2006/picture">
              <pic:pic>
                <pic:nvPicPr>
                  <pic:cNvPr id="1856" name="IM 185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期/387</w:t>
    </w:r>
  </w:p>
</w:ftr>
</file>

<file path=word/footer3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6" w:line="205" w:lineRule="auto"/>
      <w:rPr>
        <w:rFonts w:ascii="Microsoft YaHei" w:hAnsi="Microsoft YaHei" w:eastAsia="Microsoft YaHei" w:cs="Microsoft YaHei"/>
        <w:sz w:val="20"/>
        <w:szCs w:val="20"/>
      </w:rPr>
    </w:pPr>
    <w:r>
      <w:drawing>
        <wp:anchor distT="0" distB="0" distL="0" distR="0" simplePos="0" relativeHeight="252235776" behindDoc="0" locked="0" layoutInCell="0" allowOverlap="1">
          <wp:simplePos x="0" y="0"/>
          <wp:positionH relativeFrom="page">
            <wp:posOffset>995045</wp:posOffset>
          </wp:positionH>
          <wp:positionV relativeFrom="page">
            <wp:posOffset>9700259</wp:posOffset>
          </wp:positionV>
          <wp:extent cx="5579744" cy="7619"/>
          <wp:effectExtent l="0" t="0" r="0" b="0"/>
          <wp:wrapNone/>
          <wp:docPr id="1860" name="IM 1860"/>
          <wp:cNvGraphicFramePr/>
          <a:graphic>
            <a:graphicData uri="http://schemas.openxmlformats.org/drawingml/2006/picture">
              <pic:pic>
                <pic:nvPicPr>
                  <pic:cNvPr id="1860" name="IM 186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388//2021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237824"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864" name="IM 1864"/>
          <wp:cNvGraphicFramePr/>
          <a:graphic>
            <a:graphicData uri="http://schemas.openxmlformats.org/drawingml/2006/picture">
              <pic:pic>
                <pic:nvPicPr>
                  <pic:cNvPr id="1864" name="IM 186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期/389</w:t>
    </w:r>
  </w:p>
</w:ftr>
</file>

<file path=word/footer3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6" w:line="205" w:lineRule="auto"/>
      <w:rPr>
        <w:rFonts w:ascii="Microsoft YaHei" w:hAnsi="Microsoft YaHei" w:eastAsia="Microsoft YaHei" w:cs="Microsoft YaHei"/>
        <w:sz w:val="20"/>
        <w:szCs w:val="20"/>
      </w:rPr>
    </w:pPr>
    <w:r>
      <w:drawing>
        <wp:anchor distT="0" distB="0" distL="0" distR="0" simplePos="0" relativeHeight="252239872" behindDoc="0" locked="0" layoutInCell="0" allowOverlap="1">
          <wp:simplePos x="0" y="0"/>
          <wp:positionH relativeFrom="page">
            <wp:posOffset>995045</wp:posOffset>
          </wp:positionH>
          <wp:positionV relativeFrom="page">
            <wp:posOffset>9700259</wp:posOffset>
          </wp:positionV>
          <wp:extent cx="5579744" cy="7619"/>
          <wp:effectExtent l="0" t="0" r="0" b="0"/>
          <wp:wrapNone/>
          <wp:docPr id="1868" name="IM 1868"/>
          <wp:cNvGraphicFramePr/>
          <a:graphic>
            <a:graphicData uri="http://schemas.openxmlformats.org/drawingml/2006/picture">
              <pic:pic>
                <pic:nvPicPr>
                  <pic:cNvPr id="1868" name="IM 186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390//2021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241920"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872" name="IM 1872"/>
          <wp:cNvGraphicFramePr/>
          <a:graphic>
            <a:graphicData uri="http://schemas.openxmlformats.org/drawingml/2006/picture">
              <pic:pic>
                <pic:nvPicPr>
                  <pic:cNvPr id="1872" name="IM 187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期/391</w:t>
    </w:r>
  </w:p>
</w:ftr>
</file>

<file path=word/footer3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6" w:line="205" w:lineRule="auto"/>
      <w:rPr>
        <w:rFonts w:ascii="Microsoft YaHei" w:hAnsi="Microsoft YaHei" w:eastAsia="Microsoft YaHei" w:cs="Microsoft YaHei"/>
        <w:sz w:val="20"/>
        <w:szCs w:val="20"/>
      </w:rPr>
    </w:pPr>
    <w:r>
      <w:drawing>
        <wp:anchor distT="0" distB="0" distL="0" distR="0" simplePos="0" relativeHeight="252243968" behindDoc="0" locked="0" layoutInCell="0" allowOverlap="1">
          <wp:simplePos x="0" y="0"/>
          <wp:positionH relativeFrom="page">
            <wp:posOffset>995045</wp:posOffset>
          </wp:positionH>
          <wp:positionV relativeFrom="page">
            <wp:posOffset>9700259</wp:posOffset>
          </wp:positionV>
          <wp:extent cx="5579744" cy="7619"/>
          <wp:effectExtent l="0" t="0" r="0" b="0"/>
          <wp:wrapNone/>
          <wp:docPr id="1880" name="IM 1880"/>
          <wp:cNvGraphicFramePr/>
          <a:graphic>
            <a:graphicData uri="http://schemas.openxmlformats.org/drawingml/2006/picture">
              <pic:pic>
                <pic:nvPicPr>
                  <pic:cNvPr id="1880" name="IM 188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392//2021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
      <w:spacing w:before="91" w:line="205" w:lineRule="auto"/>
      <w:rPr>
        <w:rFonts w:ascii="Microsoft YaHei" w:hAnsi="Microsoft YaHei" w:eastAsia="Microsoft YaHei" w:cs="Microsoft YaHei"/>
        <w:sz w:val="20"/>
        <w:szCs w:val="20"/>
      </w:rPr>
    </w:pPr>
    <w:r>
      <w:drawing>
        <wp:anchor distT="0" distB="0" distL="0" distR="0" simplePos="0" relativeHeight="251697152" behindDoc="0" locked="0" layoutInCell="0" allowOverlap="1">
          <wp:simplePos x="0" y="0"/>
          <wp:positionH relativeFrom="page">
            <wp:posOffset>990600</wp:posOffset>
          </wp:positionH>
          <wp:positionV relativeFrom="page">
            <wp:posOffset>9631680</wp:posOffset>
          </wp:positionV>
          <wp:extent cx="5579744" cy="7619"/>
          <wp:effectExtent l="0" t="0" r="0" b="0"/>
          <wp:wrapNone/>
          <wp:docPr id="102" name="IM 102"/>
          <wp:cNvGraphicFramePr/>
          <a:graphic>
            <a:graphicData uri="http://schemas.openxmlformats.org/drawingml/2006/picture">
              <pic:pic>
                <pic:nvPicPr>
                  <pic:cNvPr id="102" name="IM 10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40//2021 年第</w:t>
    </w:r>
    <w:r>
      <w:rPr>
        <w:rFonts w:ascii="Microsoft YaHei" w:hAnsi="Microsoft YaHei" w:eastAsia="Microsoft YaHei" w:cs="Microsoft YaHei"/>
        <w:sz w:val="20"/>
        <w:szCs w:val="20"/>
        <w:spacing w:val="25"/>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5"/>
      </w:rPr>
      <w:t>期</w:t>
    </w:r>
  </w:p>
</w:ftr>
</file>

<file path=word/footer3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246016"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884" name="IM 1884"/>
          <wp:cNvGraphicFramePr/>
          <a:graphic>
            <a:graphicData uri="http://schemas.openxmlformats.org/drawingml/2006/picture">
              <pic:pic>
                <pic:nvPicPr>
                  <pic:cNvPr id="1884" name="IM 188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期/393</w:t>
    </w:r>
  </w:p>
</w:ftr>
</file>

<file path=word/footer3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6" w:line="205" w:lineRule="auto"/>
      <w:rPr>
        <w:rFonts w:ascii="Microsoft YaHei" w:hAnsi="Microsoft YaHei" w:eastAsia="Microsoft YaHei" w:cs="Microsoft YaHei"/>
        <w:sz w:val="20"/>
        <w:szCs w:val="20"/>
      </w:rPr>
    </w:pPr>
    <w:r>
      <w:drawing>
        <wp:anchor distT="0" distB="0" distL="0" distR="0" simplePos="0" relativeHeight="252248064" behindDoc="0" locked="0" layoutInCell="0" allowOverlap="1">
          <wp:simplePos x="0" y="0"/>
          <wp:positionH relativeFrom="page">
            <wp:posOffset>995045</wp:posOffset>
          </wp:positionH>
          <wp:positionV relativeFrom="page">
            <wp:posOffset>9700259</wp:posOffset>
          </wp:positionV>
          <wp:extent cx="5579744" cy="7619"/>
          <wp:effectExtent l="0" t="0" r="0" b="0"/>
          <wp:wrapNone/>
          <wp:docPr id="1888" name="IM 1888"/>
          <wp:cNvGraphicFramePr/>
          <a:graphic>
            <a:graphicData uri="http://schemas.openxmlformats.org/drawingml/2006/picture">
              <pic:pic>
                <pic:nvPicPr>
                  <pic:cNvPr id="1888" name="IM 188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394//2021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250112"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892" name="IM 1892"/>
          <wp:cNvGraphicFramePr/>
          <a:graphic>
            <a:graphicData uri="http://schemas.openxmlformats.org/drawingml/2006/picture">
              <pic:pic>
                <pic:nvPicPr>
                  <pic:cNvPr id="1892" name="IM 189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期/395</w:t>
    </w:r>
  </w:p>
</w:ftr>
</file>

<file path=word/footer3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6" w:line="205" w:lineRule="auto"/>
      <w:rPr>
        <w:rFonts w:ascii="Microsoft YaHei" w:hAnsi="Microsoft YaHei" w:eastAsia="Microsoft YaHei" w:cs="Microsoft YaHei"/>
        <w:sz w:val="20"/>
        <w:szCs w:val="20"/>
      </w:rPr>
    </w:pPr>
    <w:r>
      <w:drawing>
        <wp:anchor distT="0" distB="0" distL="0" distR="0" simplePos="0" relativeHeight="252252160" behindDoc="0" locked="0" layoutInCell="0" allowOverlap="1">
          <wp:simplePos x="0" y="0"/>
          <wp:positionH relativeFrom="page">
            <wp:posOffset>995045</wp:posOffset>
          </wp:positionH>
          <wp:positionV relativeFrom="page">
            <wp:posOffset>9700259</wp:posOffset>
          </wp:positionV>
          <wp:extent cx="5579744" cy="7619"/>
          <wp:effectExtent l="0" t="0" r="0" b="0"/>
          <wp:wrapNone/>
          <wp:docPr id="1896" name="IM 1896"/>
          <wp:cNvGraphicFramePr/>
          <a:graphic>
            <a:graphicData uri="http://schemas.openxmlformats.org/drawingml/2006/picture">
              <pic:pic>
                <pic:nvPicPr>
                  <pic:cNvPr id="1896" name="IM 189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396//2021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254208"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900" name="IM 1900"/>
          <wp:cNvGraphicFramePr/>
          <a:graphic>
            <a:graphicData uri="http://schemas.openxmlformats.org/drawingml/2006/picture">
              <pic:pic>
                <pic:nvPicPr>
                  <pic:cNvPr id="1900" name="IM 190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期/397</w:t>
    </w:r>
  </w:p>
</w:ftr>
</file>

<file path=word/footer3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86" w:line="205" w:lineRule="auto"/>
      <w:rPr>
        <w:rFonts w:ascii="Microsoft YaHei" w:hAnsi="Microsoft YaHei" w:eastAsia="Microsoft YaHei" w:cs="Microsoft YaHei"/>
        <w:sz w:val="20"/>
        <w:szCs w:val="20"/>
      </w:rPr>
    </w:pPr>
    <w:r>
      <w:drawing>
        <wp:anchor distT="0" distB="0" distL="0" distR="0" simplePos="0" relativeHeight="252256256" behindDoc="0" locked="0" layoutInCell="0" allowOverlap="1">
          <wp:simplePos x="0" y="0"/>
          <wp:positionH relativeFrom="page">
            <wp:posOffset>995045</wp:posOffset>
          </wp:positionH>
          <wp:positionV relativeFrom="page">
            <wp:posOffset>9700259</wp:posOffset>
          </wp:positionV>
          <wp:extent cx="5579744" cy="7619"/>
          <wp:effectExtent l="0" t="0" r="0" b="0"/>
          <wp:wrapNone/>
          <wp:docPr id="1904" name="IM 1904"/>
          <wp:cNvGraphicFramePr/>
          <a:graphic>
            <a:graphicData uri="http://schemas.openxmlformats.org/drawingml/2006/picture">
              <pic:pic>
                <pic:nvPicPr>
                  <pic:cNvPr id="1904" name="IM 190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398//2021 年第</w:t>
    </w:r>
    <w:r>
      <w:rPr>
        <w:rFonts w:ascii="Microsoft YaHei" w:hAnsi="Microsoft YaHei" w:eastAsia="Microsoft YaHei" w:cs="Microsoft YaHei"/>
        <w:sz w:val="20"/>
        <w:szCs w:val="20"/>
        <w:spacing w:val="29"/>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258304"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908" name="IM 1908"/>
          <wp:cNvGraphicFramePr/>
          <a:graphic>
            <a:graphicData uri="http://schemas.openxmlformats.org/drawingml/2006/picture">
              <pic:pic>
                <pic:nvPicPr>
                  <pic:cNvPr id="1908" name="IM 190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期/399</w:t>
    </w:r>
  </w:p>
</w:ftr>
</file>

<file path=word/footer3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
      <w:spacing w:before="86" w:line="205" w:lineRule="auto"/>
      <w:rPr>
        <w:rFonts w:ascii="Microsoft YaHei" w:hAnsi="Microsoft YaHei" w:eastAsia="Microsoft YaHei" w:cs="Microsoft YaHei"/>
        <w:sz w:val="20"/>
        <w:szCs w:val="20"/>
      </w:rPr>
    </w:pPr>
    <w:r>
      <w:drawing>
        <wp:anchor distT="0" distB="0" distL="0" distR="0" simplePos="0" relativeHeight="252260352" behindDoc="0" locked="0" layoutInCell="0" allowOverlap="1">
          <wp:simplePos x="0" y="0"/>
          <wp:positionH relativeFrom="page">
            <wp:posOffset>995045</wp:posOffset>
          </wp:positionH>
          <wp:positionV relativeFrom="page">
            <wp:posOffset>9700259</wp:posOffset>
          </wp:positionV>
          <wp:extent cx="5579744" cy="7619"/>
          <wp:effectExtent l="0" t="0" r="0" b="0"/>
          <wp:wrapNone/>
          <wp:docPr id="1912" name="IM 1912"/>
          <wp:cNvGraphicFramePr/>
          <a:graphic>
            <a:graphicData uri="http://schemas.openxmlformats.org/drawingml/2006/picture">
              <pic:pic>
                <pic:nvPicPr>
                  <pic:cNvPr id="1912" name="IM 191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400//2021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3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262400"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916" name="IM 1916"/>
          <wp:cNvGraphicFramePr/>
          <a:graphic>
            <a:graphicData uri="http://schemas.openxmlformats.org/drawingml/2006/picture">
              <pic:pic>
                <pic:nvPicPr>
                  <pic:cNvPr id="1916" name="IM 191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期/401</w:t>
    </w:r>
  </w:p>
</w:ftr>
</file>

<file path=word/footer3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
      <w:spacing w:before="86" w:line="205" w:lineRule="auto"/>
      <w:rPr>
        <w:rFonts w:ascii="Microsoft YaHei" w:hAnsi="Microsoft YaHei" w:eastAsia="Microsoft YaHei" w:cs="Microsoft YaHei"/>
        <w:sz w:val="20"/>
        <w:szCs w:val="20"/>
      </w:rPr>
    </w:pPr>
    <w:r>
      <w:drawing>
        <wp:anchor distT="0" distB="0" distL="0" distR="0" simplePos="0" relativeHeight="252264448" behindDoc="0" locked="0" layoutInCell="0" allowOverlap="1">
          <wp:simplePos x="0" y="0"/>
          <wp:positionH relativeFrom="page">
            <wp:posOffset>995045</wp:posOffset>
          </wp:positionH>
          <wp:positionV relativeFrom="page">
            <wp:posOffset>9700259</wp:posOffset>
          </wp:positionV>
          <wp:extent cx="5579744" cy="7619"/>
          <wp:effectExtent l="0" t="0" r="0" b="0"/>
          <wp:wrapNone/>
          <wp:docPr id="1920" name="IM 1920"/>
          <wp:cNvGraphicFramePr/>
          <a:graphic>
            <a:graphicData uri="http://schemas.openxmlformats.org/drawingml/2006/picture">
              <pic:pic>
                <pic:nvPicPr>
                  <pic:cNvPr id="1920" name="IM 192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402//2021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1"/>
      <w:spacing w:before="66" w:line="206" w:lineRule="auto"/>
      <w:jc w:val="right"/>
      <w:rPr>
        <w:rFonts w:ascii="Microsoft YaHei" w:hAnsi="Microsoft YaHei" w:eastAsia="Microsoft YaHei" w:cs="Microsoft YaHei"/>
        <w:sz w:val="20"/>
        <w:szCs w:val="20"/>
      </w:rPr>
    </w:pPr>
    <w:r>
      <w:drawing>
        <wp:anchor distT="0" distB="0" distL="0" distR="0" simplePos="0" relativeHeight="251661312" behindDoc="0" locked="0" layoutInCell="0" allowOverlap="1">
          <wp:simplePos x="0" y="0"/>
          <wp:positionH relativeFrom="page">
            <wp:posOffset>985519</wp:posOffset>
          </wp:positionH>
          <wp:positionV relativeFrom="page">
            <wp:posOffset>9637394</wp:posOffset>
          </wp:positionV>
          <wp:extent cx="5579744" cy="7619"/>
          <wp:effectExtent l="0" t="0" r="0" b="0"/>
          <wp:wrapNone/>
          <wp:docPr id="16" name="IM 16"/>
          <wp:cNvGraphicFramePr/>
          <a:graphic>
            <a:graphicData uri="http://schemas.openxmlformats.org/drawingml/2006/picture">
              <pic:pic>
                <pic:nvPicPr>
                  <pic:cNvPr id="16" name="IM 1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19"/>
        <w:w w:val="101"/>
      </w:rPr>
      <w:t xml:space="preserve"> </w:t>
    </w:r>
    <w:r>
      <w:rPr>
        <w:rFonts w:ascii="Microsoft YaHei" w:hAnsi="Microsoft YaHei" w:eastAsia="Microsoft YaHei" w:cs="Microsoft YaHei"/>
        <w:sz w:val="20"/>
        <w:szCs w:val="20"/>
        <w:spacing w:val="-6"/>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期总</w:t>
    </w:r>
    <w:r>
      <w:rPr>
        <w:rFonts w:ascii="Microsoft YaHei" w:hAnsi="Microsoft YaHei" w:eastAsia="Microsoft YaHei" w:cs="Microsoft YaHei"/>
        <w:sz w:val="20"/>
        <w:szCs w:val="20"/>
        <w:spacing w:val="7"/>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期//</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5</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73"/>
      <w:spacing w:before="66" w:line="206" w:lineRule="auto"/>
      <w:rPr>
        <w:rFonts w:ascii="Microsoft YaHei" w:hAnsi="Microsoft YaHei" w:eastAsia="Microsoft YaHei" w:cs="Microsoft YaHei"/>
        <w:sz w:val="20"/>
        <w:szCs w:val="20"/>
      </w:rPr>
    </w:pPr>
    <w:r>
      <w:drawing>
        <wp:anchor distT="0" distB="0" distL="0" distR="0" simplePos="0" relativeHeight="251698176" behindDoc="0" locked="0" layoutInCell="0" allowOverlap="1">
          <wp:simplePos x="0" y="0"/>
          <wp:positionH relativeFrom="page">
            <wp:posOffset>985519</wp:posOffset>
          </wp:positionH>
          <wp:positionV relativeFrom="page">
            <wp:posOffset>9638665</wp:posOffset>
          </wp:positionV>
          <wp:extent cx="5579744" cy="7619"/>
          <wp:effectExtent l="0" t="0" r="0" b="0"/>
          <wp:wrapNone/>
          <wp:docPr id="104" name="IM 104"/>
          <wp:cNvGraphicFramePr/>
          <a:graphic>
            <a:graphicData uri="http://schemas.openxmlformats.org/drawingml/2006/picture">
              <pic:pic>
                <pic:nvPicPr>
                  <pic:cNvPr id="104" name="IM 10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31"/>
        <w:w w:val="101"/>
      </w:rPr>
      <w:t xml:space="preserve"> </w:t>
    </w:r>
    <w:r>
      <w:rPr>
        <w:rFonts w:ascii="Microsoft YaHei" w:hAnsi="Microsoft YaHei" w:eastAsia="Microsoft YaHei" w:cs="Microsoft YaHei"/>
        <w:sz w:val="20"/>
        <w:szCs w:val="20"/>
        <w:spacing w:val="-6"/>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期总 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6"/>
      </w:rPr>
      <w:t>41</w:t>
    </w:r>
  </w:p>
</w:ftr>
</file>

<file path=word/footer4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
      <w:spacing w:before="109" w:line="205" w:lineRule="auto"/>
      <w:rPr>
        <w:rFonts w:ascii="Microsoft YaHei" w:hAnsi="Microsoft YaHei" w:eastAsia="Microsoft YaHei" w:cs="Microsoft YaHei"/>
        <w:sz w:val="20"/>
        <w:szCs w:val="20"/>
      </w:rPr>
    </w:pPr>
    <w:r>
      <w:drawing>
        <wp:anchor distT="0" distB="0" distL="0" distR="0" simplePos="0" relativeHeight="252268544" behindDoc="0" locked="0" layoutInCell="0" allowOverlap="1">
          <wp:simplePos x="0" y="0"/>
          <wp:positionH relativeFrom="page">
            <wp:posOffset>995045</wp:posOffset>
          </wp:positionH>
          <wp:positionV relativeFrom="page">
            <wp:posOffset>6553517</wp:posOffset>
          </wp:positionV>
          <wp:extent cx="8747760" cy="9525"/>
          <wp:effectExtent l="0" t="0" r="0" b="0"/>
          <wp:wrapNone/>
          <wp:docPr id="1934" name="IM 1934"/>
          <wp:cNvGraphicFramePr/>
          <a:graphic>
            <a:graphicData uri="http://schemas.openxmlformats.org/drawingml/2006/picture">
              <pic:pic>
                <pic:nvPicPr>
                  <pic:cNvPr id="1934" name="IM 1934"/>
                  <pic:cNvPicPr/>
                </pic:nvPicPr>
                <pic:blipFill>
                  <a:blip r:embed="rId1"/>
                  <a:stretch>
                    <a:fillRect/>
                  </a:stretch>
                </pic:blipFill>
                <pic:spPr>
                  <a:xfrm rot="0">
                    <a:off x="0" y="0"/>
                    <a:ext cx="8747760" cy="9525"/>
                  </a:xfrm>
                  <a:prstGeom prst="rect">
                    <a:avLst/>
                  </a:prstGeom>
                </pic:spPr>
              </pic:pic>
            </a:graphicData>
          </a:graphic>
        </wp:anchor>
      </w:drawing>
    </w:r>
    <w:r>
      <w:rPr>
        <w:rFonts w:ascii="Microsoft YaHei" w:hAnsi="Microsoft YaHei" w:eastAsia="Microsoft YaHei" w:cs="Microsoft YaHei"/>
        <w:sz w:val="20"/>
        <w:szCs w:val="20"/>
        <w:spacing w:val="-5"/>
      </w:rPr>
      <w:t>404//2021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48"/>
      <w:spacing w:before="99" w:line="205" w:lineRule="auto"/>
      <w:rPr>
        <w:rFonts w:ascii="Microsoft YaHei" w:hAnsi="Microsoft YaHei" w:eastAsia="Microsoft YaHei" w:cs="Microsoft YaHei"/>
        <w:sz w:val="20"/>
        <w:szCs w:val="20"/>
      </w:rPr>
    </w:pPr>
    <w:r>
      <w:drawing>
        <wp:anchor distT="0" distB="0" distL="0" distR="0" simplePos="0" relativeHeight="252270592" behindDoc="0" locked="0" layoutInCell="0" allowOverlap="1">
          <wp:simplePos x="0" y="0"/>
          <wp:positionH relativeFrom="page">
            <wp:posOffset>972185</wp:posOffset>
          </wp:positionH>
          <wp:positionV relativeFrom="page">
            <wp:posOffset>9692004</wp:posOffset>
          </wp:positionV>
          <wp:extent cx="5579744" cy="7619"/>
          <wp:effectExtent l="0" t="0" r="0" b="0"/>
          <wp:wrapNone/>
          <wp:docPr id="1942" name="IM 1942"/>
          <wp:cNvGraphicFramePr/>
          <a:graphic>
            <a:graphicData uri="http://schemas.openxmlformats.org/drawingml/2006/picture">
              <pic:pic>
                <pic:nvPicPr>
                  <pic:cNvPr id="1942" name="IM 194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期/405</w:t>
    </w:r>
  </w:p>
</w:ftr>
</file>

<file path=word/footer4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
      <w:spacing w:before="108" w:line="205" w:lineRule="auto"/>
      <w:rPr>
        <w:rFonts w:ascii="Microsoft YaHei" w:hAnsi="Microsoft YaHei" w:eastAsia="Microsoft YaHei" w:cs="Microsoft YaHei"/>
        <w:sz w:val="20"/>
        <w:szCs w:val="20"/>
      </w:rPr>
    </w:pPr>
    <w:r>
      <w:drawing>
        <wp:anchor distT="0" distB="0" distL="0" distR="0" simplePos="0" relativeHeight="252272640" behindDoc="0" locked="0" layoutInCell="0" allowOverlap="1">
          <wp:simplePos x="0" y="0"/>
          <wp:positionH relativeFrom="page">
            <wp:posOffset>995045</wp:posOffset>
          </wp:positionH>
          <wp:positionV relativeFrom="page">
            <wp:posOffset>9686290</wp:posOffset>
          </wp:positionV>
          <wp:extent cx="5579744" cy="7619"/>
          <wp:effectExtent l="0" t="0" r="0" b="0"/>
          <wp:wrapNone/>
          <wp:docPr id="1946" name="IM 1946"/>
          <wp:cNvGraphicFramePr/>
          <a:graphic>
            <a:graphicData uri="http://schemas.openxmlformats.org/drawingml/2006/picture">
              <pic:pic>
                <pic:nvPicPr>
                  <pic:cNvPr id="1946" name="IM 194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406//2021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274688"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950" name="IM 1950"/>
          <wp:cNvGraphicFramePr/>
          <a:graphic>
            <a:graphicData uri="http://schemas.openxmlformats.org/drawingml/2006/picture">
              <pic:pic>
                <pic:nvPicPr>
                  <pic:cNvPr id="1950" name="IM 195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期/407</w:t>
    </w:r>
  </w:p>
</w:ftr>
</file>

<file path=word/footer4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
      <w:spacing w:before="108" w:line="205" w:lineRule="auto"/>
      <w:rPr>
        <w:rFonts w:ascii="Microsoft YaHei" w:hAnsi="Microsoft YaHei" w:eastAsia="Microsoft YaHei" w:cs="Microsoft YaHei"/>
        <w:sz w:val="20"/>
        <w:szCs w:val="20"/>
      </w:rPr>
    </w:pPr>
    <w:r>
      <w:drawing>
        <wp:anchor distT="0" distB="0" distL="0" distR="0" simplePos="0" relativeHeight="252276736" behindDoc="0" locked="0" layoutInCell="0" allowOverlap="1">
          <wp:simplePos x="0" y="0"/>
          <wp:positionH relativeFrom="page">
            <wp:posOffset>995045</wp:posOffset>
          </wp:positionH>
          <wp:positionV relativeFrom="page">
            <wp:posOffset>9686290</wp:posOffset>
          </wp:positionV>
          <wp:extent cx="5579744" cy="7619"/>
          <wp:effectExtent l="0" t="0" r="0" b="0"/>
          <wp:wrapNone/>
          <wp:docPr id="1954" name="IM 1954"/>
          <wp:cNvGraphicFramePr/>
          <a:graphic>
            <a:graphicData uri="http://schemas.openxmlformats.org/drawingml/2006/picture">
              <pic:pic>
                <pic:nvPicPr>
                  <pic:cNvPr id="1954" name="IM 195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408//2021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278784"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958" name="IM 1958"/>
          <wp:cNvGraphicFramePr/>
          <a:graphic>
            <a:graphicData uri="http://schemas.openxmlformats.org/drawingml/2006/picture">
              <pic:pic>
                <pic:nvPicPr>
                  <pic:cNvPr id="1958" name="IM 195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期/409</w:t>
    </w:r>
  </w:p>
</w:ftr>
</file>

<file path=word/footer4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
      <w:spacing w:before="108" w:line="205" w:lineRule="auto"/>
      <w:rPr>
        <w:rFonts w:ascii="Microsoft YaHei" w:hAnsi="Microsoft YaHei" w:eastAsia="Microsoft YaHei" w:cs="Microsoft YaHei"/>
        <w:sz w:val="20"/>
        <w:szCs w:val="20"/>
      </w:rPr>
    </w:pPr>
    <w:r>
      <w:drawing>
        <wp:anchor distT="0" distB="0" distL="0" distR="0" simplePos="0" relativeHeight="252280832" behindDoc="0" locked="0" layoutInCell="0" allowOverlap="1">
          <wp:simplePos x="0" y="0"/>
          <wp:positionH relativeFrom="page">
            <wp:posOffset>995045</wp:posOffset>
          </wp:positionH>
          <wp:positionV relativeFrom="page">
            <wp:posOffset>9686290</wp:posOffset>
          </wp:positionV>
          <wp:extent cx="5579744" cy="7619"/>
          <wp:effectExtent l="0" t="0" r="0" b="0"/>
          <wp:wrapNone/>
          <wp:docPr id="1964" name="IM 1964"/>
          <wp:cNvGraphicFramePr/>
          <a:graphic>
            <a:graphicData uri="http://schemas.openxmlformats.org/drawingml/2006/picture">
              <pic:pic>
                <pic:nvPicPr>
                  <pic:cNvPr id="1964" name="IM 196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410//2021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282880"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968" name="IM 1968"/>
          <wp:cNvGraphicFramePr/>
          <a:graphic>
            <a:graphicData uri="http://schemas.openxmlformats.org/drawingml/2006/picture">
              <pic:pic>
                <pic:nvPicPr>
                  <pic:cNvPr id="1968" name="IM 196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期/411</w:t>
    </w:r>
  </w:p>
</w:ftr>
</file>

<file path=word/footer4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
      <w:spacing w:before="108" w:line="205" w:lineRule="auto"/>
      <w:rPr>
        <w:rFonts w:ascii="Microsoft YaHei" w:hAnsi="Microsoft YaHei" w:eastAsia="Microsoft YaHei" w:cs="Microsoft YaHei"/>
        <w:sz w:val="20"/>
        <w:szCs w:val="20"/>
      </w:rPr>
    </w:pPr>
    <w:r>
      <w:drawing>
        <wp:anchor distT="0" distB="0" distL="0" distR="0" simplePos="0" relativeHeight="252284928" behindDoc="0" locked="0" layoutInCell="0" allowOverlap="1">
          <wp:simplePos x="0" y="0"/>
          <wp:positionH relativeFrom="page">
            <wp:posOffset>995045</wp:posOffset>
          </wp:positionH>
          <wp:positionV relativeFrom="page">
            <wp:posOffset>9686290</wp:posOffset>
          </wp:positionV>
          <wp:extent cx="5579744" cy="7619"/>
          <wp:effectExtent l="0" t="0" r="0" b="0"/>
          <wp:wrapNone/>
          <wp:docPr id="1972" name="IM 1972"/>
          <wp:cNvGraphicFramePr/>
          <a:graphic>
            <a:graphicData uri="http://schemas.openxmlformats.org/drawingml/2006/picture">
              <pic:pic>
                <pic:nvPicPr>
                  <pic:cNvPr id="1972" name="IM 197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412//2021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286976"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976" name="IM 1976"/>
          <wp:cNvGraphicFramePr/>
          <a:graphic>
            <a:graphicData uri="http://schemas.openxmlformats.org/drawingml/2006/picture">
              <pic:pic>
                <pic:nvPicPr>
                  <pic:cNvPr id="1976" name="IM 197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期/413</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
      <w:spacing w:before="91" w:line="205" w:lineRule="auto"/>
      <w:rPr>
        <w:rFonts w:ascii="Microsoft YaHei" w:hAnsi="Microsoft YaHei" w:eastAsia="Microsoft YaHei" w:cs="Microsoft YaHei"/>
        <w:sz w:val="20"/>
        <w:szCs w:val="20"/>
      </w:rPr>
    </w:pPr>
    <w:r>
      <w:drawing>
        <wp:anchor distT="0" distB="0" distL="0" distR="0" simplePos="0" relativeHeight="251699200" behindDoc="0" locked="0" layoutInCell="0" allowOverlap="1">
          <wp:simplePos x="0" y="0"/>
          <wp:positionH relativeFrom="page">
            <wp:posOffset>990600</wp:posOffset>
          </wp:positionH>
          <wp:positionV relativeFrom="page">
            <wp:posOffset>9631680</wp:posOffset>
          </wp:positionV>
          <wp:extent cx="5579744" cy="7619"/>
          <wp:effectExtent l="0" t="0" r="0" b="0"/>
          <wp:wrapNone/>
          <wp:docPr id="106" name="IM 106"/>
          <wp:cNvGraphicFramePr/>
          <a:graphic>
            <a:graphicData uri="http://schemas.openxmlformats.org/drawingml/2006/picture">
              <pic:pic>
                <pic:nvPicPr>
                  <pic:cNvPr id="106" name="IM 10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42//2021 年第</w:t>
    </w:r>
    <w:r>
      <w:rPr>
        <w:rFonts w:ascii="Microsoft YaHei" w:hAnsi="Microsoft YaHei" w:eastAsia="Microsoft YaHei" w:cs="Microsoft YaHei"/>
        <w:sz w:val="20"/>
        <w:szCs w:val="20"/>
        <w:spacing w:val="25"/>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5"/>
      </w:rPr>
      <w:t>期</w:t>
    </w:r>
  </w:p>
</w:ftr>
</file>

<file path=word/footer4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
      <w:spacing w:before="108" w:line="205" w:lineRule="auto"/>
      <w:rPr>
        <w:rFonts w:ascii="Microsoft YaHei" w:hAnsi="Microsoft YaHei" w:eastAsia="Microsoft YaHei" w:cs="Microsoft YaHei"/>
        <w:sz w:val="20"/>
        <w:szCs w:val="20"/>
      </w:rPr>
    </w:pPr>
    <w:r>
      <w:drawing>
        <wp:anchor distT="0" distB="0" distL="0" distR="0" simplePos="0" relativeHeight="252289024" behindDoc="0" locked="0" layoutInCell="0" allowOverlap="1">
          <wp:simplePos x="0" y="0"/>
          <wp:positionH relativeFrom="page">
            <wp:posOffset>995045</wp:posOffset>
          </wp:positionH>
          <wp:positionV relativeFrom="page">
            <wp:posOffset>9686290</wp:posOffset>
          </wp:positionV>
          <wp:extent cx="5579744" cy="7619"/>
          <wp:effectExtent l="0" t="0" r="0" b="0"/>
          <wp:wrapNone/>
          <wp:docPr id="1980" name="IM 1980"/>
          <wp:cNvGraphicFramePr/>
          <a:graphic>
            <a:graphicData uri="http://schemas.openxmlformats.org/drawingml/2006/picture">
              <pic:pic>
                <pic:nvPicPr>
                  <pic:cNvPr id="1980" name="IM 198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414//2021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291072"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984" name="IM 1984"/>
          <wp:cNvGraphicFramePr/>
          <a:graphic>
            <a:graphicData uri="http://schemas.openxmlformats.org/drawingml/2006/picture">
              <pic:pic>
                <pic:nvPicPr>
                  <pic:cNvPr id="1984" name="IM 198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期/415</w:t>
    </w:r>
  </w:p>
</w:ftr>
</file>

<file path=word/footer4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
      <w:spacing w:before="108" w:line="205" w:lineRule="auto"/>
      <w:rPr>
        <w:rFonts w:ascii="Microsoft YaHei" w:hAnsi="Microsoft YaHei" w:eastAsia="Microsoft YaHei" w:cs="Microsoft YaHei"/>
        <w:sz w:val="20"/>
        <w:szCs w:val="20"/>
      </w:rPr>
    </w:pPr>
    <w:r>
      <w:drawing>
        <wp:anchor distT="0" distB="0" distL="0" distR="0" simplePos="0" relativeHeight="252293120" behindDoc="0" locked="0" layoutInCell="0" allowOverlap="1">
          <wp:simplePos x="0" y="0"/>
          <wp:positionH relativeFrom="page">
            <wp:posOffset>995045</wp:posOffset>
          </wp:positionH>
          <wp:positionV relativeFrom="page">
            <wp:posOffset>9686290</wp:posOffset>
          </wp:positionV>
          <wp:extent cx="5579744" cy="7619"/>
          <wp:effectExtent l="0" t="0" r="0" b="0"/>
          <wp:wrapNone/>
          <wp:docPr id="1988" name="IM 1988"/>
          <wp:cNvGraphicFramePr/>
          <a:graphic>
            <a:graphicData uri="http://schemas.openxmlformats.org/drawingml/2006/picture">
              <pic:pic>
                <pic:nvPicPr>
                  <pic:cNvPr id="1988" name="IM 198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416//2021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295168"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1992" name="IM 1992"/>
          <wp:cNvGraphicFramePr/>
          <a:graphic>
            <a:graphicData uri="http://schemas.openxmlformats.org/drawingml/2006/picture">
              <pic:pic>
                <pic:nvPicPr>
                  <pic:cNvPr id="1992" name="IM 199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期/417</w:t>
    </w:r>
  </w:p>
</w:ftr>
</file>

<file path=word/footer4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
      <w:spacing w:before="108" w:line="205" w:lineRule="auto"/>
      <w:rPr>
        <w:rFonts w:ascii="Microsoft YaHei" w:hAnsi="Microsoft YaHei" w:eastAsia="Microsoft YaHei" w:cs="Microsoft YaHei"/>
        <w:sz w:val="20"/>
        <w:szCs w:val="20"/>
      </w:rPr>
    </w:pPr>
    <w:r>
      <w:drawing>
        <wp:anchor distT="0" distB="0" distL="0" distR="0" simplePos="0" relativeHeight="252297216" behindDoc="0" locked="0" layoutInCell="0" allowOverlap="1">
          <wp:simplePos x="0" y="0"/>
          <wp:positionH relativeFrom="page">
            <wp:posOffset>995045</wp:posOffset>
          </wp:positionH>
          <wp:positionV relativeFrom="page">
            <wp:posOffset>9686290</wp:posOffset>
          </wp:positionV>
          <wp:extent cx="5579743" cy="7619"/>
          <wp:effectExtent l="0" t="0" r="0" b="0"/>
          <wp:wrapNone/>
          <wp:docPr id="1996" name="IM 1996"/>
          <wp:cNvGraphicFramePr/>
          <a:graphic>
            <a:graphicData uri="http://schemas.openxmlformats.org/drawingml/2006/picture">
              <pic:pic>
                <pic:nvPicPr>
                  <pic:cNvPr id="1996" name="IM 1996"/>
                  <pic:cNvPicPr/>
                </pic:nvPicPr>
                <pic:blipFill>
                  <a:blip r:embed="rId1"/>
                  <a:stretch>
                    <a:fillRect/>
                  </a:stretch>
                </pic:blipFill>
                <pic:spPr>
                  <a:xfrm rot="0">
                    <a:off x="0" y="0"/>
                    <a:ext cx="5579743" cy="7619"/>
                  </a:xfrm>
                  <a:prstGeom prst="rect">
                    <a:avLst/>
                  </a:prstGeom>
                </pic:spPr>
              </pic:pic>
            </a:graphicData>
          </a:graphic>
        </wp:anchor>
      </w:drawing>
    </w:r>
    <w:r>
      <w:rPr>
        <w:rFonts w:ascii="Microsoft YaHei" w:hAnsi="Microsoft YaHei" w:eastAsia="Microsoft YaHei" w:cs="Microsoft YaHei"/>
        <w:sz w:val="20"/>
        <w:szCs w:val="20"/>
        <w:spacing w:val="-5"/>
      </w:rPr>
      <w:t>418//2021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9" w:line="205" w:lineRule="auto"/>
      <w:rPr>
        <w:rFonts w:ascii="Microsoft YaHei" w:hAnsi="Microsoft YaHei" w:eastAsia="Microsoft YaHei" w:cs="Microsoft YaHei"/>
        <w:sz w:val="20"/>
        <w:szCs w:val="20"/>
      </w:rPr>
    </w:pPr>
    <w:r>
      <w:drawing>
        <wp:anchor distT="0" distB="0" distL="0" distR="0" simplePos="0" relativeHeight="252299264" behindDoc="0" locked="0" layoutInCell="0" allowOverlap="1">
          <wp:simplePos x="0" y="0"/>
          <wp:positionH relativeFrom="page">
            <wp:posOffset>1008380</wp:posOffset>
          </wp:positionH>
          <wp:positionV relativeFrom="page">
            <wp:posOffset>9692004</wp:posOffset>
          </wp:positionV>
          <wp:extent cx="5579745" cy="7619"/>
          <wp:effectExtent l="0" t="0" r="0" b="0"/>
          <wp:wrapNone/>
          <wp:docPr id="2000" name="IM 2000"/>
          <wp:cNvGraphicFramePr/>
          <a:graphic>
            <a:graphicData uri="http://schemas.openxmlformats.org/drawingml/2006/picture">
              <pic:pic>
                <pic:nvPicPr>
                  <pic:cNvPr id="2000" name="IM 200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期/419</w:t>
    </w:r>
  </w:p>
</w:ftr>
</file>

<file path=word/footer4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
      <w:spacing w:before="108" w:line="205" w:lineRule="auto"/>
      <w:rPr>
        <w:rFonts w:ascii="Microsoft YaHei" w:hAnsi="Microsoft YaHei" w:eastAsia="Microsoft YaHei" w:cs="Microsoft YaHei"/>
        <w:sz w:val="20"/>
        <w:szCs w:val="20"/>
      </w:rPr>
    </w:pPr>
    <w:r>
      <w:drawing>
        <wp:anchor distT="0" distB="0" distL="0" distR="0" simplePos="0" relativeHeight="252301312" behindDoc="0" locked="0" layoutInCell="0" allowOverlap="1">
          <wp:simplePos x="0" y="0"/>
          <wp:positionH relativeFrom="page">
            <wp:posOffset>995045</wp:posOffset>
          </wp:positionH>
          <wp:positionV relativeFrom="page">
            <wp:posOffset>9686290</wp:posOffset>
          </wp:positionV>
          <wp:extent cx="5579744" cy="7619"/>
          <wp:effectExtent l="0" t="0" r="0" b="0"/>
          <wp:wrapNone/>
          <wp:docPr id="2004" name="IM 2004"/>
          <wp:cNvGraphicFramePr/>
          <a:graphic>
            <a:graphicData uri="http://schemas.openxmlformats.org/drawingml/2006/picture">
              <pic:pic>
                <pic:nvPicPr>
                  <pic:cNvPr id="2004" name="IM 200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420//2021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
      <w:spacing w:before="71" w:line="206" w:lineRule="auto"/>
      <w:rPr>
        <w:rFonts w:ascii="Microsoft YaHei" w:hAnsi="Microsoft YaHei" w:eastAsia="Microsoft YaHei" w:cs="Microsoft YaHei"/>
        <w:sz w:val="20"/>
        <w:szCs w:val="20"/>
      </w:rPr>
    </w:pPr>
    <w:r>
      <w:drawing>
        <wp:anchor distT="0" distB="0" distL="0" distR="0" simplePos="0" relativeHeight="252305408" behindDoc="0" locked="0" layoutInCell="0" allowOverlap="1">
          <wp:simplePos x="0" y="0"/>
          <wp:positionH relativeFrom="page">
            <wp:posOffset>1013460</wp:posOffset>
          </wp:positionH>
          <wp:positionV relativeFrom="page">
            <wp:posOffset>6613525</wp:posOffset>
          </wp:positionV>
          <wp:extent cx="8667750" cy="7619"/>
          <wp:effectExtent l="0" t="0" r="0" b="0"/>
          <wp:wrapNone/>
          <wp:docPr id="2020" name="IM 2020"/>
          <wp:cNvGraphicFramePr/>
          <a:graphic>
            <a:graphicData uri="http://schemas.openxmlformats.org/drawingml/2006/picture">
              <pic:pic>
                <pic:nvPicPr>
                  <pic:cNvPr id="2020" name="IM 2020"/>
                  <pic:cNvPicPr/>
                </pic:nvPicPr>
                <pic:blipFill>
                  <a:blip r:embed="rId1"/>
                  <a:stretch>
                    <a:fillRect/>
                  </a:stretch>
                </pic:blipFill>
                <pic:spPr>
                  <a:xfrm rot="0">
                    <a:off x="0" y="0"/>
                    <a:ext cx="8667750" cy="7619"/>
                  </a:xfrm>
                  <a:prstGeom prst="rect">
                    <a:avLst/>
                  </a:prstGeom>
                </pic:spPr>
              </pic:pic>
            </a:graphicData>
          </a:graphic>
        </wp:anchor>
      </w:drawing>
    </w:r>
    <w:r>
      <w:rPr>
        <w:rFonts w:ascii="Microsoft YaHei" w:hAnsi="Microsoft YaHei" w:eastAsia="Microsoft YaHei" w:cs="Microsoft YaHei"/>
        <w:sz w:val="20"/>
        <w:szCs w:val="20"/>
        <w:spacing w:val="-5"/>
      </w:rPr>
      <w:t>422//2021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98" w:line="205" w:lineRule="auto"/>
      <w:rPr>
        <w:rFonts w:ascii="Microsoft YaHei" w:hAnsi="Microsoft YaHei" w:eastAsia="Microsoft YaHei" w:cs="Microsoft YaHei"/>
        <w:sz w:val="20"/>
        <w:szCs w:val="20"/>
      </w:rPr>
    </w:pPr>
    <w:r>
      <w:drawing>
        <wp:anchor distT="0" distB="0" distL="0" distR="0" simplePos="0" relativeHeight="252307456"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032" name="IM 2032"/>
          <wp:cNvGraphicFramePr/>
          <a:graphic>
            <a:graphicData uri="http://schemas.openxmlformats.org/drawingml/2006/picture">
              <pic:pic>
                <pic:nvPicPr>
                  <pic:cNvPr id="2032" name="IM 203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期/423</w:t>
    </w:r>
  </w:p>
</w:ftr>
</file>

<file path=word/footer4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309504"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038" name="IM 2038"/>
          <wp:cNvGraphicFramePr/>
          <a:graphic>
            <a:graphicData uri="http://schemas.openxmlformats.org/drawingml/2006/picture">
              <pic:pic>
                <pic:nvPicPr>
                  <pic:cNvPr id="2038" name="IM 203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424//2021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73"/>
      <w:spacing w:before="66" w:line="206" w:lineRule="auto"/>
      <w:rPr>
        <w:rFonts w:ascii="Microsoft YaHei" w:hAnsi="Microsoft YaHei" w:eastAsia="Microsoft YaHei" w:cs="Microsoft YaHei"/>
        <w:sz w:val="20"/>
        <w:szCs w:val="20"/>
      </w:rPr>
    </w:pPr>
    <w:r>
      <w:drawing>
        <wp:anchor distT="0" distB="0" distL="0" distR="0" simplePos="0" relativeHeight="251700224" behindDoc="0" locked="0" layoutInCell="0" allowOverlap="1">
          <wp:simplePos x="0" y="0"/>
          <wp:positionH relativeFrom="page">
            <wp:posOffset>985519</wp:posOffset>
          </wp:positionH>
          <wp:positionV relativeFrom="page">
            <wp:posOffset>9638665</wp:posOffset>
          </wp:positionV>
          <wp:extent cx="5579744" cy="7619"/>
          <wp:effectExtent l="0" t="0" r="0" b="0"/>
          <wp:wrapNone/>
          <wp:docPr id="108" name="IM 108"/>
          <wp:cNvGraphicFramePr/>
          <a:graphic>
            <a:graphicData uri="http://schemas.openxmlformats.org/drawingml/2006/picture">
              <pic:pic>
                <pic:nvPicPr>
                  <pic:cNvPr id="108" name="IM 10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31"/>
        <w:w w:val="101"/>
      </w:rPr>
      <w:t xml:space="preserve"> </w:t>
    </w:r>
    <w:r>
      <w:rPr>
        <w:rFonts w:ascii="Microsoft YaHei" w:hAnsi="Microsoft YaHei" w:eastAsia="Microsoft YaHei" w:cs="Microsoft YaHei"/>
        <w:sz w:val="20"/>
        <w:szCs w:val="20"/>
        <w:spacing w:val="-6"/>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期总 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6"/>
      </w:rPr>
      <w:t>43</w:t>
    </w:r>
  </w:p>
</w:ftr>
</file>

<file path=word/footer4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6" w:line="205" w:lineRule="auto"/>
      <w:rPr>
        <w:rFonts w:ascii="Microsoft YaHei" w:hAnsi="Microsoft YaHei" w:eastAsia="Microsoft YaHei" w:cs="Microsoft YaHei"/>
        <w:sz w:val="20"/>
        <w:szCs w:val="20"/>
      </w:rPr>
    </w:pPr>
    <w:r>
      <w:drawing>
        <wp:anchor distT="0" distB="0" distL="0" distR="0" simplePos="0" relativeHeight="252311552" behindDoc="0" locked="0" layoutInCell="0" allowOverlap="1">
          <wp:simplePos x="0" y="0"/>
          <wp:positionH relativeFrom="page">
            <wp:posOffset>1008380</wp:posOffset>
          </wp:positionH>
          <wp:positionV relativeFrom="page">
            <wp:posOffset>9693592</wp:posOffset>
          </wp:positionV>
          <wp:extent cx="5579745" cy="9525"/>
          <wp:effectExtent l="0" t="0" r="0" b="0"/>
          <wp:wrapNone/>
          <wp:docPr id="2044" name="IM 2044"/>
          <wp:cNvGraphicFramePr/>
          <a:graphic>
            <a:graphicData uri="http://schemas.openxmlformats.org/drawingml/2006/picture">
              <pic:pic>
                <pic:nvPicPr>
                  <pic:cNvPr id="2044" name="IM 2044"/>
                  <pic:cNvPicPr/>
                </pic:nvPicPr>
                <pic:blipFill>
                  <a:blip r:embed="rId1"/>
                  <a:stretch>
                    <a:fillRect/>
                  </a:stretch>
                </pic:blipFill>
                <pic:spPr>
                  <a:xfrm rot="0">
                    <a:off x="0" y="0"/>
                    <a:ext cx="5579745" cy="9525"/>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期/425</w:t>
    </w:r>
  </w:p>
</w:ftr>
</file>

<file path=word/footer4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313600"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050" name="IM 2050"/>
          <wp:cNvGraphicFramePr/>
          <a:graphic>
            <a:graphicData uri="http://schemas.openxmlformats.org/drawingml/2006/picture">
              <pic:pic>
                <pic:nvPicPr>
                  <pic:cNvPr id="2050" name="IM 205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426//2021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6" w:line="205" w:lineRule="auto"/>
      <w:rPr>
        <w:rFonts w:ascii="Microsoft YaHei" w:hAnsi="Microsoft YaHei" w:eastAsia="Microsoft YaHei" w:cs="Microsoft YaHei"/>
        <w:sz w:val="20"/>
        <w:szCs w:val="20"/>
      </w:rPr>
    </w:pPr>
    <w:r>
      <w:drawing>
        <wp:anchor distT="0" distB="0" distL="0" distR="0" simplePos="0" relativeHeight="252315648" behindDoc="0" locked="0" layoutInCell="0" allowOverlap="1">
          <wp:simplePos x="0" y="0"/>
          <wp:positionH relativeFrom="page">
            <wp:posOffset>1008380</wp:posOffset>
          </wp:positionH>
          <wp:positionV relativeFrom="page">
            <wp:posOffset>9693592</wp:posOffset>
          </wp:positionV>
          <wp:extent cx="5579745" cy="9525"/>
          <wp:effectExtent l="0" t="0" r="0" b="0"/>
          <wp:wrapNone/>
          <wp:docPr id="2054" name="IM 2054"/>
          <wp:cNvGraphicFramePr/>
          <a:graphic>
            <a:graphicData uri="http://schemas.openxmlformats.org/drawingml/2006/picture">
              <pic:pic>
                <pic:nvPicPr>
                  <pic:cNvPr id="2054" name="IM 2054"/>
                  <pic:cNvPicPr/>
                </pic:nvPicPr>
                <pic:blipFill>
                  <a:blip r:embed="rId1"/>
                  <a:stretch>
                    <a:fillRect/>
                  </a:stretch>
                </pic:blipFill>
                <pic:spPr>
                  <a:xfrm rot="0">
                    <a:off x="0" y="0"/>
                    <a:ext cx="5579745" cy="9525"/>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期/427</w:t>
    </w:r>
  </w:p>
</w:ftr>
</file>

<file path=word/footer4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317696"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058" name="IM 2058"/>
          <wp:cNvGraphicFramePr/>
          <a:graphic>
            <a:graphicData uri="http://schemas.openxmlformats.org/drawingml/2006/picture">
              <pic:pic>
                <pic:nvPicPr>
                  <pic:cNvPr id="2058" name="IM 205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428//2021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6" w:line="205" w:lineRule="auto"/>
      <w:rPr>
        <w:rFonts w:ascii="Microsoft YaHei" w:hAnsi="Microsoft YaHei" w:eastAsia="Microsoft YaHei" w:cs="Microsoft YaHei"/>
        <w:sz w:val="20"/>
        <w:szCs w:val="20"/>
      </w:rPr>
    </w:pPr>
    <w:r>
      <w:drawing>
        <wp:anchor distT="0" distB="0" distL="0" distR="0" simplePos="0" relativeHeight="252319744" behindDoc="0" locked="0" layoutInCell="0" allowOverlap="1">
          <wp:simplePos x="0" y="0"/>
          <wp:positionH relativeFrom="page">
            <wp:posOffset>1008380</wp:posOffset>
          </wp:positionH>
          <wp:positionV relativeFrom="page">
            <wp:posOffset>9693592</wp:posOffset>
          </wp:positionV>
          <wp:extent cx="5579745" cy="9525"/>
          <wp:effectExtent l="0" t="0" r="0" b="0"/>
          <wp:wrapNone/>
          <wp:docPr id="2064" name="IM 2064"/>
          <wp:cNvGraphicFramePr/>
          <a:graphic>
            <a:graphicData uri="http://schemas.openxmlformats.org/drawingml/2006/picture">
              <pic:pic>
                <pic:nvPicPr>
                  <pic:cNvPr id="2064" name="IM 2064"/>
                  <pic:cNvPicPr/>
                </pic:nvPicPr>
                <pic:blipFill>
                  <a:blip r:embed="rId1"/>
                  <a:stretch>
                    <a:fillRect/>
                  </a:stretch>
                </pic:blipFill>
                <pic:spPr>
                  <a:xfrm rot="0">
                    <a:off x="0" y="0"/>
                    <a:ext cx="5579745" cy="9525"/>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期/429</w:t>
    </w:r>
  </w:p>
</w:ftr>
</file>

<file path=word/footer4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321792"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070" name="IM 2070"/>
          <wp:cNvGraphicFramePr/>
          <a:graphic>
            <a:graphicData uri="http://schemas.openxmlformats.org/drawingml/2006/picture">
              <pic:pic>
                <pic:nvPicPr>
                  <pic:cNvPr id="2070" name="IM 207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430//2021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6" w:line="205" w:lineRule="auto"/>
      <w:rPr>
        <w:rFonts w:ascii="Microsoft YaHei" w:hAnsi="Microsoft YaHei" w:eastAsia="Microsoft YaHei" w:cs="Microsoft YaHei"/>
        <w:sz w:val="20"/>
        <w:szCs w:val="20"/>
      </w:rPr>
    </w:pPr>
    <w:r>
      <w:drawing>
        <wp:anchor distT="0" distB="0" distL="0" distR="0" simplePos="0" relativeHeight="252323840" behindDoc="0" locked="0" layoutInCell="0" allowOverlap="1">
          <wp:simplePos x="0" y="0"/>
          <wp:positionH relativeFrom="page">
            <wp:posOffset>1008380</wp:posOffset>
          </wp:positionH>
          <wp:positionV relativeFrom="page">
            <wp:posOffset>9693592</wp:posOffset>
          </wp:positionV>
          <wp:extent cx="5579745" cy="9525"/>
          <wp:effectExtent l="0" t="0" r="0" b="0"/>
          <wp:wrapNone/>
          <wp:docPr id="2074" name="IM 2074"/>
          <wp:cNvGraphicFramePr/>
          <a:graphic>
            <a:graphicData uri="http://schemas.openxmlformats.org/drawingml/2006/picture">
              <pic:pic>
                <pic:nvPicPr>
                  <pic:cNvPr id="2074" name="IM 2074"/>
                  <pic:cNvPicPr/>
                </pic:nvPicPr>
                <pic:blipFill>
                  <a:blip r:embed="rId1"/>
                  <a:stretch>
                    <a:fillRect/>
                  </a:stretch>
                </pic:blipFill>
                <pic:spPr>
                  <a:xfrm rot="0">
                    <a:off x="0" y="0"/>
                    <a:ext cx="5579745" cy="9525"/>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期/431</w:t>
    </w:r>
  </w:p>
</w:ftr>
</file>

<file path=word/footer4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593"/>
      <w:spacing w:before="96" w:line="206" w:lineRule="auto"/>
      <w:rPr>
        <w:rFonts w:ascii="Microsoft YaHei" w:hAnsi="Microsoft YaHei" w:eastAsia="Microsoft YaHei" w:cs="Microsoft YaHei"/>
        <w:sz w:val="20"/>
        <w:szCs w:val="20"/>
      </w:rPr>
    </w:pPr>
    <w:r>
      <w:drawing>
        <wp:anchor distT="0" distB="0" distL="0" distR="0" simplePos="0" relativeHeight="252325888" behindDoc="0" locked="0" layoutInCell="0" allowOverlap="1">
          <wp:simplePos x="0" y="0"/>
          <wp:positionH relativeFrom="page">
            <wp:posOffset>997585</wp:posOffset>
          </wp:positionH>
          <wp:positionV relativeFrom="page">
            <wp:posOffset>6525894</wp:posOffset>
          </wp:positionV>
          <wp:extent cx="8712200" cy="7619"/>
          <wp:effectExtent l="0" t="0" r="0" b="0"/>
          <wp:wrapNone/>
          <wp:docPr id="2080" name="IM 2080"/>
          <wp:cNvGraphicFramePr/>
          <a:graphic>
            <a:graphicData uri="http://schemas.openxmlformats.org/drawingml/2006/picture">
              <pic:pic>
                <pic:nvPicPr>
                  <pic:cNvPr id="2080" name="IM 2080"/>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5"/>
      </w:rPr>
      <w:t>432//2021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8" w:line="205" w:lineRule="auto"/>
      <w:rPr>
        <w:rFonts w:ascii="Microsoft YaHei" w:hAnsi="Microsoft YaHei" w:eastAsia="Microsoft YaHei" w:cs="Microsoft YaHei"/>
        <w:sz w:val="20"/>
        <w:szCs w:val="20"/>
      </w:rPr>
    </w:pPr>
    <w:r>
      <w:drawing>
        <wp:anchor distT="0" distB="0" distL="0" distR="0" simplePos="0" relativeHeight="252327936"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086" name="IM 2086"/>
          <wp:cNvGraphicFramePr/>
          <a:graphic>
            <a:graphicData uri="http://schemas.openxmlformats.org/drawingml/2006/picture">
              <pic:pic>
                <pic:nvPicPr>
                  <pic:cNvPr id="2086" name="IM 208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期/433</w:t>
    </w:r>
  </w:p>
</w:ftr>
</file>

<file path=word/footer4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329984"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094" name="IM 2094"/>
          <wp:cNvGraphicFramePr/>
          <a:graphic>
            <a:graphicData uri="http://schemas.openxmlformats.org/drawingml/2006/picture">
              <pic:pic>
                <pic:nvPicPr>
                  <pic:cNvPr id="2094" name="IM 209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434//2021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
      <w:spacing w:before="91" w:line="205" w:lineRule="auto"/>
      <w:rPr>
        <w:rFonts w:ascii="Microsoft YaHei" w:hAnsi="Microsoft YaHei" w:eastAsia="Microsoft YaHei" w:cs="Microsoft YaHei"/>
        <w:sz w:val="20"/>
        <w:szCs w:val="20"/>
      </w:rPr>
    </w:pPr>
    <w:r>
      <w:drawing>
        <wp:anchor distT="0" distB="0" distL="0" distR="0" simplePos="0" relativeHeight="251701248" behindDoc="0" locked="0" layoutInCell="0" allowOverlap="1">
          <wp:simplePos x="0" y="0"/>
          <wp:positionH relativeFrom="page">
            <wp:posOffset>990600</wp:posOffset>
          </wp:positionH>
          <wp:positionV relativeFrom="page">
            <wp:posOffset>9631680</wp:posOffset>
          </wp:positionV>
          <wp:extent cx="5579744" cy="7619"/>
          <wp:effectExtent l="0" t="0" r="0" b="0"/>
          <wp:wrapNone/>
          <wp:docPr id="110" name="IM 110"/>
          <wp:cNvGraphicFramePr/>
          <a:graphic>
            <a:graphicData uri="http://schemas.openxmlformats.org/drawingml/2006/picture">
              <pic:pic>
                <pic:nvPicPr>
                  <pic:cNvPr id="110" name="IM 11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44//2021 年第</w:t>
    </w:r>
    <w:r>
      <w:rPr>
        <w:rFonts w:ascii="Microsoft YaHei" w:hAnsi="Microsoft YaHei" w:eastAsia="Microsoft YaHei" w:cs="Microsoft YaHei"/>
        <w:sz w:val="20"/>
        <w:szCs w:val="20"/>
        <w:spacing w:val="25"/>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5"/>
      </w:rPr>
      <w:t>期</w:t>
    </w:r>
  </w:p>
</w:ftr>
</file>

<file path=word/footer4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8" w:line="205" w:lineRule="auto"/>
      <w:rPr>
        <w:rFonts w:ascii="Microsoft YaHei" w:hAnsi="Microsoft YaHei" w:eastAsia="Microsoft YaHei" w:cs="Microsoft YaHei"/>
        <w:sz w:val="20"/>
        <w:szCs w:val="20"/>
      </w:rPr>
    </w:pPr>
    <w:r>
      <w:drawing>
        <wp:anchor distT="0" distB="0" distL="0" distR="0" simplePos="0" relativeHeight="252332032"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098" name="IM 2098"/>
          <wp:cNvGraphicFramePr/>
          <a:graphic>
            <a:graphicData uri="http://schemas.openxmlformats.org/drawingml/2006/picture">
              <pic:pic>
                <pic:nvPicPr>
                  <pic:cNvPr id="2098" name="IM 209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期/435</w:t>
    </w:r>
  </w:p>
</w:ftr>
</file>

<file path=word/footer4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334080"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102" name="IM 2102"/>
          <wp:cNvGraphicFramePr/>
          <a:graphic>
            <a:graphicData uri="http://schemas.openxmlformats.org/drawingml/2006/picture">
              <pic:pic>
                <pic:nvPicPr>
                  <pic:cNvPr id="2102" name="IM 210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436//2021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28"/>
      <w:spacing w:before="98" w:line="205" w:lineRule="auto"/>
      <w:rPr>
        <w:rFonts w:ascii="Microsoft YaHei" w:hAnsi="Microsoft YaHei" w:eastAsia="Microsoft YaHei" w:cs="Microsoft YaHei"/>
        <w:sz w:val="20"/>
        <w:szCs w:val="20"/>
      </w:rPr>
    </w:pPr>
    <w:r>
      <w:drawing>
        <wp:anchor distT="0" distB="0" distL="0" distR="0" simplePos="0" relativeHeight="252336128"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108" name="IM 2108"/>
          <wp:cNvGraphicFramePr/>
          <a:graphic>
            <a:graphicData uri="http://schemas.openxmlformats.org/drawingml/2006/picture">
              <pic:pic>
                <pic:nvPicPr>
                  <pic:cNvPr id="2108" name="IM 210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期/437</w:t>
    </w:r>
  </w:p>
</w:ftr>
</file>

<file path=word/footer4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338176"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112" name="IM 2112"/>
          <wp:cNvGraphicFramePr/>
          <a:graphic>
            <a:graphicData uri="http://schemas.openxmlformats.org/drawingml/2006/picture">
              <pic:pic>
                <pic:nvPicPr>
                  <pic:cNvPr id="2112" name="IM 211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438//2021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8" w:line="205" w:lineRule="auto"/>
      <w:rPr>
        <w:rFonts w:ascii="Microsoft YaHei" w:hAnsi="Microsoft YaHei" w:eastAsia="Microsoft YaHei" w:cs="Microsoft YaHei"/>
        <w:sz w:val="20"/>
        <w:szCs w:val="20"/>
      </w:rPr>
    </w:pPr>
    <w:r>
      <w:drawing>
        <wp:anchor distT="0" distB="0" distL="0" distR="0" simplePos="0" relativeHeight="252340224"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116" name="IM 2116"/>
          <wp:cNvGraphicFramePr/>
          <a:graphic>
            <a:graphicData uri="http://schemas.openxmlformats.org/drawingml/2006/picture">
              <pic:pic>
                <pic:nvPicPr>
                  <pic:cNvPr id="2116" name="IM 211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期/439</w:t>
    </w:r>
  </w:p>
</w:ftr>
</file>

<file path=word/footer4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342272"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122" name="IM 2122"/>
          <wp:cNvGraphicFramePr/>
          <a:graphic>
            <a:graphicData uri="http://schemas.openxmlformats.org/drawingml/2006/picture">
              <pic:pic>
                <pic:nvPicPr>
                  <pic:cNvPr id="2122" name="IM 212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440//2021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8" w:line="205" w:lineRule="auto"/>
      <w:rPr>
        <w:rFonts w:ascii="Microsoft YaHei" w:hAnsi="Microsoft YaHei" w:eastAsia="Microsoft YaHei" w:cs="Microsoft YaHei"/>
        <w:sz w:val="20"/>
        <w:szCs w:val="20"/>
      </w:rPr>
    </w:pPr>
    <w:r>
      <w:drawing>
        <wp:anchor distT="0" distB="0" distL="0" distR="0" simplePos="0" relativeHeight="252344320"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126" name="IM 2126"/>
          <wp:cNvGraphicFramePr/>
          <a:graphic>
            <a:graphicData uri="http://schemas.openxmlformats.org/drawingml/2006/picture">
              <pic:pic>
                <pic:nvPicPr>
                  <pic:cNvPr id="2126" name="IM 212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期/441</w:t>
    </w:r>
  </w:p>
</w:ftr>
</file>

<file path=word/footer4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346368"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130" name="IM 2130"/>
          <wp:cNvGraphicFramePr/>
          <a:graphic>
            <a:graphicData uri="http://schemas.openxmlformats.org/drawingml/2006/picture">
              <pic:pic>
                <pic:nvPicPr>
                  <pic:cNvPr id="2130" name="IM 213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442//2021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8" w:line="205" w:lineRule="auto"/>
      <w:rPr>
        <w:rFonts w:ascii="Microsoft YaHei" w:hAnsi="Microsoft YaHei" w:eastAsia="Microsoft YaHei" w:cs="Microsoft YaHei"/>
        <w:sz w:val="20"/>
        <w:szCs w:val="20"/>
      </w:rPr>
    </w:pPr>
    <w:r>
      <w:drawing>
        <wp:anchor distT="0" distB="0" distL="0" distR="0" simplePos="0" relativeHeight="252348416"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134" name="IM 2134"/>
          <wp:cNvGraphicFramePr/>
          <a:graphic>
            <a:graphicData uri="http://schemas.openxmlformats.org/drawingml/2006/picture">
              <pic:pic>
                <pic:nvPicPr>
                  <pic:cNvPr id="2134" name="IM 213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期/443</w:t>
    </w:r>
  </w:p>
</w:ftr>
</file>

<file path=word/footer4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350464"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138" name="IM 2138"/>
          <wp:cNvGraphicFramePr/>
          <a:graphic>
            <a:graphicData uri="http://schemas.openxmlformats.org/drawingml/2006/picture">
              <pic:pic>
                <pic:nvPicPr>
                  <pic:cNvPr id="2138" name="IM 213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444//2021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4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8" w:line="205" w:lineRule="auto"/>
      <w:rPr>
        <w:rFonts w:ascii="Microsoft YaHei" w:hAnsi="Microsoft YaHei" w:eastAsia="Microsoft YaHei" w:cs="Microsoft YaHei"/>
        <w:sz w:val="20"/>
        <w:szCs w:val="20"/>
      </w:rPr>
    </w:pPr>
    <w:r>
      <w:drawing>
        <wp:anchor distT="0" distB="0" distL="0" distR="0" simplePos="0" relativeHeight="252352512"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142" name="IM 2142"/>
          <wp:cNvGraphicFramePr/>
          <a:graphic>
            <a:graphicData uri="http://schemas.openxmlformats.org/drawingml/2006/picture">
              <pic:pic>
                <pic:nvPicPr>
                  <pic:cNvPr id="2142" name="IM 214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期/445</w:t>
    </w:r>
  </w:p>
</w:ftr>
</file>

<file path=word/footer4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354560"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146" name="IM 2146"/>
          <wp:cNvGraphicFramePr/>
          <a:graphic>
            <a:graphicData uri="http://schemas.openxmlformats.org/drawingml/2006/picture">
              <pic:pic>
                <pic:nvPicPr>
                  <pic:cNvPr id="2146" name="IM 214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446//2021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8" w:line="205" w:lineRule="auto"/>
      <w:rPr>
        <w:rFonts w:ascii="Microsoft YaHei" w:hAnsi="Microsoft YaHei" w:eastAsia="Microsoft YaHei" w:cs="Microsoft YaHei"/>
        <w:sz w:val="20"/>
        <w:szCs w:val="20"/>
      </w:rPr>
    </w:pPr>
    <w:r>
      <w:drawing>
        <wp:anchor distT="0" distB="0" distL="0" distR="0" simplePos="0" relativeHeight="252356608"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150" name="IM 2150"/>
          <wp:cNvGraphicFramePr/>
          <a:graphic>
            <a:graphicData uri="http://schemas.openxmlformats.org/drawingml/2006/picture">
              <pic:pic>
                <pic:nvPicPr>
                  <pic:cNvPr id="2150" name="IM 215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期/447</w:t>
    </w:r>
  </w:p>
</w:ftr>
</file>

<file path=word/footer4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358656"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154" name="IM 2154"/>
          <wp:cNvGraphicFramePr/>
          <a:graphic>
            <a:graphicData uri="http://schemas.openxmlformats.org/drawingml/2006/picture">
              <pic:pic>
                <pic:nvPicPr>
                  <pic:cNvPr id="2154" name="IM 215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448//2021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8" w:line="205" w:lineRule="auto"/>
      <w:rPr>
        <w:rFonts w:ascii="Microsoft YaHei" w:hAnsi="Microsoft YaHei" w:eastAsia="Microsoft YaHei" w:cs="Microsoft YaHei"/>
        <w:sz w:val="20"/>
        <w:szCs w:val="20"/>
      </w:rPr>
    </w:pPr>
    <w:r>
      <w:drawing>
        <wp:anchor distT="0" distB="0" distL="0" distR="0" simplePos="0" relativeHeight="252360704"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158" name="IM 2158"/>
          <wp:cNvGraphicFramePr/>
          <a:graphic>
            <a:graphicData uri="http://schemas.openxmlformats.org/drawingml/2006/picture">
              <pic:pic>
                <pic:nvPicPr>
                  <pic:cNvPr id="2158" name="IM 215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期/449</w:t>
    </w:r>
  </w:p>
</w:ftr>
</file>

<file path=word/footer4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8" w:line="205" w:lineRule="auto"/>
      <w:rPr>
        <w:rFonts w:ascii="Microsoft YaHei" w:hAnsi="Microsoft YaHei" w:eastAsia="Microsoft YaHei" w:cs="Microsoft YaHei"/>
        <w:sz w:val="20"/>
        <w:szCs w:val="20"/>
      </w:rPr>
    </w:pPr>
    <w:r>
      <w:drawing>
        <wp:anchor distT="0" distB="0" distL="0" distR="0" simplePos="0" relativeHeight="252364800"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180" name="IM 2180"/>
          <wp:cNvGraphicFramePr/>
          <a:graphic>
            <a:graphicData uri="http://schemas.openxmlformats.org/drawingml/2006/picture">
              <pic:pic>
                <pic:nvPicPr>
                  <pic:cNvPr id="2180" name="IM 218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期/451</w:t>
    </w:r>
  </w:p>
</w:ftr>
</file>

<file path=word/footer4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366848"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184" name="IM 2184"/>
          <wp:cNvGraphicFramePr/>
          <a:graphic>
            <a:graphicData uri="http://schemas.openxmlformats.org/drawingml/2006/picture">
              <pic:pic>
                <pic:nvPicPr>
                  <pic:cNvPr id="2184" name="IM 218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452//2021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8" w:line="205" w:lineRule="auto"/>
      <w:rPr>
        <w:rFonts w:ascii="Microsoft YaHei" w:hAnsi="Microsoft YaHei" w:eastAsia="Microsoft YaHei" w:cs="Microsoft YaHei"/>
        <w:sz w:val="20"/>
        <w:szCs w:val="20"/>
      </w:rPr>
    </w:pPr>
    <w:r>
      <w:drawing>
        <wp:anchor distT="0" distB="0" distL="0" distR="0" simplePos="0" relativeHeight="252368896"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188" name="IM 2188"/>
          <wp:cNvGraphicFramePr/>
          <a:graphic>
            <a:graphicData uri="http://schemas.openxmlformats.org/drawingml/2006/picture">
              <pic:pic>
                <pic:nvPicPr>
                  <pic:cNvPr id="2188" name="IM 218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期/453</w:t>
    </w:r>
  </w:p>
</w:ftr>
</file>

<file path=word/footer4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370944"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192" name="IM 2192"/>
          <wp:cNvGraphicFramePr/>
          <a:graphic>
            <a:graphicData uri="http://schemas.openxmlformats.org/drawingml/2006/picture">
              <pic:pic>
                <pic:nvPicPr>
                  <pic:cNvPr id="2192" name="IM 219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454//2021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8" w:line="205" w:lineRule="auto"/>
      <w:rPr>
        <w:rFonts w:ascii="Microsoft YaHei" w:hAnsi="Microsoft YaHei" w:eastAsia="Microsoft YaHei" w:cs="Microsoft YaHei"/>
        <w:sz w:val="20"/>
        <w:szCs w:val="20"/>
      </w:rPr>
    </w:pPr>
    <w:r>
      <w:drawing>
        <wp:anchor distT="0" distB="0" distL="0" distR="0" simplePos="0" relativeHeight="252372992"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196" name="IM 2196"/>
          <wp:cNvGraphicFramePr/>
          <a:graphic>
            <a:graphicData uri="http://schemas.openxmlformats.org/drawingml/2006/picture">
              <pic:pic>
                <pic:nvPicPr>
                  <pic:cNvPr id="2196" name="IM 219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期/455</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
      <w:spacing w:before="90" w:line="205" w:lineRule="auto"/>
      <w:rPr>
        <w:rFonts w:ascii="Microsoft YaHei" w:hAnsi="Microsoft YaHei" w:eastAsia="Microsoft YaHei" w:cs="Microsoft YaHei"/>
        <w:sz w:val="20"/>
        <w:szCs w:val="20"/>
      </w:rPr>
    </w:pPr>
    <w:r>
      <w:drawing>
        <wp:anchor distT="0" distB="0" distL="0" distR="0" simplePos="0" relativeHeight="251703296" behindDoc="0" locked="0" layoutInCell="0" allowOverlap="1">
          <wp:simplePos x="0" y="0"/>
          <wp:positionH relativeFrom="page">
            <wp:posOffset>990600</wp:posOffset>
          </wp:positionH>
          <wp:positionV relativeFrom="page">
            <wp:posOffset>6498590</wp:posOffset>
          </wp:positionV>
          <wp:extent cx="8712200" cy="7619"/>
          <wp:effectExtent l="0" t="0" r="0" b="0"/>
          <wp:wrapNone/>
          <wp:docPr id="120" name="IM 120"/>
          <wp:cNvGraphicFramePr/>
          <a:graphic>
            <a:graphicData uri="http://schemas.openxmlformats.org/drawingml/2006/picture">
              <pic:pic>
                <pic:nvPicPr>
                  <pic:cNvPr id="120" name="IM 120"/>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5"/>
      </w:rPr>
      <w:t>46//2021 年第</w:t>
    </w:r>
    <w:r>
      <w:rPr>
        <w:rFonts w:ascii="Microsoft YaHei" w:hAnsi="Microsoft YaHei" w:eastAsia="Microsoft YaHei" w:cs="Microsoft YaHei"/>
        <w:sz w:val="20"/>
        <w:szCs w:val="20"/>
        <w:spacing w:val="25"/>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5"/>
      </w:rPr>
      <w:t>期</w:t>
    </w:r>
  </w:p>
</w:ftr>
</file>

<file path=word/footer4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375040"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200" name="IM 2200"/>
          <wp:cNvGraphicFramePr/>
          <a:graphic>
            <a:graphicData uri="http://schemas.openxmlformats.org/drawingml/2006/picture">
              <pic:pic>
                <pic:nvPicPr>
                  <pic:cNvPr id="2200" name="IM 220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456//2021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8" w:line="205" w:lineRule="auto"/>
      <w:rPr>
        <w:rFonts w:ascii="Microsoft YaHei" w:hAnsi="Microsoft YaHei" w:eastAsia="Microsoft YaHei" w:cs="Microsoft YaHei"/>
        <w:sz w:val="20"/>
        <w:szCs w:val="20"/>
      </w:rPr>
    </w:pPr>
    <w:r>
      <w:drawing>
        <wp:anchor distT="0" distB="0" distL="0" distR="0" simplePos="0" relativeHeight="252377088"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204" name="IM 2204"/>
          <wp:cNvGraphicFramePr/>
          <a:graphic>
            <a:graphicData uri="http://schemas.openxmlformats.org/drawingml/2006/picture">
              <pic:pic>
                <pic:nvPicPr>
                  <pic:cNvPr id="2204" name="IM 220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期/457</w:t>
    </w:r>
  </w:p>
</w:ftr>
</file>

<file path=word/footer4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379136"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208" name="IM 2208"/>
          <wp:cNvGraphicFramePr/>
          <a:graphic>
            <a:graphicData uri="http://schemas.openxmlformats.org/drawingml/2006/picture">
              <pic:pic>
                <pic:nvPicPr>
                  <pic:cNvPr id="2208" name="IM 220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458//2021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8" w:line="205" w:lineRule="auto"/>
      <w:rPr>
        <w:rFonts w:ascii="Microsoft YaHei" w:hAnsi="Microsoft YaHei" w:eastAsia="Microsoft YaHei" w:cs="Microsoft YaHei"/>
        <w:sz w:val="20"/>
        <w:szCs w:val="20"/>
      </w:rPr>
    </w:pPr>
    <w:r>
      <w:drawing>
        <wp:anchor distT="0" distB="0" distL="0" distR="0" simplePos="0" relativeHeight="252381184"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212" name="IM 2212"/>
          <wp:cNvGraphicFramePr/>
          <a:graphic>
            <a:graphicData uri="http://schemas.openxmlformats.org/drawingml/2006/picture">
              <pic:pic>
                <pic:nvPicPr>
                  <pic:cNvPr id="2212" name="IM 221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期/459</w:t>
    </w:r>
  </w:p>
</w:ftr>
</file>

<file path=word/footer4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383232"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216" name="IM 2216"/>
          <wp:cNvGraphicFramePr/>
          <a:graphic>
            <a:graphicData uri="http://schemas.openxmlformats.org/drawingml/2006/picture">
              <pic:pic>
                <pic:nvPicPr>
                  <pic:cNvPr id="2216" name="IM 221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460//2021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8" w:line="205" w:lineRule="auto"/>
      <w:rPr>
        <w:rFonts w:ascii="Microsoft YaHei" w:hAnsi="Microsoft YaHei" w:eastAsia="Microsoft YaHei" w:cs="Microsoft YaHei"/>
        <w:sz w:val="20"/>
        <w:szCs w:val="20"/>
      </w:rPr>
    </w:pPr>
    <w:r>
      <w:drawing>
        <wp:anchor distT="0" distB="0" distL="0" distR="0" simplePos="0" relativeHeight="252385280"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222" name="IM 2222"/>
          <wp:cNvGraphicFramePr/>
          <a:graphic>
            <a:graphicData uri="http://schemas.openxmlformats.org/drawingml/2006/picture">
              <pic:pic>
                <pic:nvPicPr>
                  <pic:cNvPr id="2222" name="IM 222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期/461</w:t>
    </w:r>
  </w:p>
</w:ftr>
</file>

<file path=word/footer4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387328"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226" name="IM 2226"/>
          <wp:cNvGraphicFramePr/>
          <a:graphic>
            <a:graphicData uri="http://schemas.openxmlformats.org/drawingml/2006/picture">
              <pic:pic>
                <pic:nvPicPr>
                  <pic:cNvPr id="2226" name="IM 222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462//2021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131"/>
      <w:spacing w:before="98" w:line="205" w:lineRule="auto"/>
      <w:rPr>
        <w:rFonts w:ascii="Microsoft YaHei" w:hAnsi="Microsoft YaHei" w:eastAsia="Microsoft YaHei" w:cs="Microsoft YaHei"/>
        <w:sz w:val="20"/>
        <w:szCs w:val="20"/>
      </w:rPr>
    </w:pPr>
    <w:r>
      <w:drawing>
        <wp:anchor distT="0" distB="0" distL="0" distR="0" simplePos="0" relativeHeight="252389376" behindDoc="0" locked="0" layoutInCell="0" allowOverlap="1">
          <wp:simplePos x="0" y="0"/>
          <wp:positionH relativeFrom="page">
            <wp:posOffset>1008380</wp:posOffset>
          </wp:positionH>
          <wp:positionV relativeFrom="page">
            <wp:posOffset>6560819</wp:posOffset>
          </wp:positionV>
          <wp:extent cx="8712200" cy="7619"/>
          <wp:effectExtent l="0" t="0" r="0" b="0"/>
          <wp:wrapNone/>
          <wp:docPr id="2232" name="IM 2232"/>
          <wp:cNvGraphicFramePr/>
          <a:graphic>
            <a:graphicData uri="http://schemas.openxmlformats.org/drawingml/2006/picture">
              <pic:pic>
                <pic:nvPicPr>
                  <pic:cNvPr id="2232" name="IM 2232"/>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期/463</w:t>
    </w:r>
  </w:p>
</w:ftr>
</file>

<file path=word/footer4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391424" behindDoc="0" locked="0" layoutInCell="0" allowOverlap="1">
          <wp:simplePos x="0" y="0"/>
          <wp:positionH relativeFrom="page">
            <wp:posOffset>997585</wp:posOffset>
          </wp:positionH>
          <wp:positionV relativeFrom="page">
            <wp:posOffset>9693909</wp:posOffset>
          </wp:positionV>
          <wp:extent cx="5507990" cy="7619"/>
          <wp:effectExtent l="0" t="0" r="0" b="0"/>
          <wp:wrapNone/>
          <wp:docPr id="2238" name="IM 2238"/>
          <wp:cNvGraphicFramePr/>
          <a:graphic>
            <a:graphicData uri="http://schemas.openxmlformats.org/drawingml/2006/picture">
              <pic:pic>
                <pic:nvPicPr>
                  <pic:cNvPr id="2238" name="IM 2238"/>
                  <pic:cNvPicPr/>
                </pic:nvPicPr>
                <pic:blipFill>
                  <a:blip r:embed="rId1"/>
                  <a:stretch>
                    <a:fillRect/>
                  </a:stretch>
                </pic:blipFill>
                <pic:spPr>
                  <a:xfrm rot="0">
                    <a:off x="0" y="0"/>
                    <a:ext cx="5507990" cy="7619"/>
                  </a:xfrm>
                  <a:prstGeom prst="rect">
                    <a:avLst/>
                  </a:prstGeom>
                </pic:spPr>
              </pic:pic>
            </a:graphicData>
          </a:graphic>
        </wp:anchor>
      </w:drawing>
    </w:r>
    <w:r>
      <w:rPr>
        <w:rFonts w:ascii="Microsoft YaHei" w:hAnsi="Microsoft YaHei" w:eastAsia="Microsoft YaHei" w:cs="Microsoft YaHei"/>
        <w:sz w:val="20"/>
        <w:szCs w:val="20"/>
        <w:spacing w:val="-5"/>
      </w:rPr>
      <w:t>464//2021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98" w:line="205" w:lineRule="auto"/>
      <w:rPr>
        <w:rFonts w:ascii="Microsoft YaHei" w:hAnsi="Microsoft YaHei" w:eastAsia="Microsoft YaHei" w:cs="Microsoft YaHei"/>
        <w:sz w:val="20"/>
        <w:szCs w:val="20"/>
      </w:rPr>
    </w:pPr>
    <w:r>
      <w:drawing>
        <wp:anchor distT="0" distB="0" distL="0" distR="0" simplePos="0" relativeHeight="252393472"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258" name="IM 2258"/>
          <wp:cNvGraphicFramePr/>
          <a:graphic>
            <a:graphicData uri="http://schemas.openxmlformats.org/drawingml/2006/picture">
              <pic:pic>
                <pic:nvPicPr>
                  <pic:cNvPr id="2258" name="IM 225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期/465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67"/>
      <w:spacing w:before="66" w:line="206" w:lineRule="auto"/>
      <w:rPr>
        <w:rFonts w:ascii="Microsoft YaHei" w:hAnsi="Microsoft YaHei" w:eastAsia="Microsoft YaHei" w:cs="Microsoft YaHei"/>
        <w:sz w:val="20"/>
        <w:szCs w:val="20"/>
      </w:rPr>
    </w:pPr>
    <w:r>
      <w:drawing>
        <wp:anchor distT="0" distB="0" distL="0" distR="0" simplePos="0" relativeHeight="251704320" behindDoc="0" locked="0" layoutInCell="0" allowOverlap="1">
          <wp:simplePos x="0" y="0"/>
          <wp:positionH relativeFrom="page">
            <wp:posOffset>985519</wp:posOffset>
          </wp:positionH>
          <wp:positionV relativeFrom="page">
            <wp:posOffset>6505575</wp:posOffset>
          </wp:positionV>
          <wp:extent cx="8712200" cy="7619"/>
          <wp:effectExtent l="0" t="0" r="0" b="0"/>
          <wp:wrapNone/>
          <wp:docPr id="124" name="IM 124"/>
          <wp:cNvGraphicFramePr/>
          <a:graphic>
            <a:graphicData uri="http://schemas.openxmlformats.org/drawingml/2006/picture">
              <pic:pic>
                <pic:nvPicPr>
                  <pic:cNvPr id="124" name="IM 124"/>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 47</w:t>
    </w:r>
  </w:p>
</w:ftr>
</file>

<file path=word/footer4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395520" behindDoc="0" locked="0" layoutInCell="0" allowOverlap="1">
          <wp:simplePos x="0" y="0"/>
          <wp:positionH relativeFrom="page">
            <wp:posOffset>997585</wp:posOffset>
          </wp:positionH>
          <wp:positionV relativeFrom="page">
            <wp:posOffset>9693909</wp:posOffset>
          </wp:positionV>
          <wp:extent cx="5507990" cy="7619"/>
          <wp:effectExtent l="0" t="0" r="0" b="0"/>
          <wp:wrapNone/>
          <wp:docPr id="2262" name="IM 2262"/>
          <wp:cNvGraphicFramePr/>
          <a:graphic>
            <a:graphicData uri="http://schemas.openxmlformats.org/drawingml/2006/picture">
              <pic:pic>
                <pic:nvPicPr>
                  <pic:cNvPr id="2262" name="IM 2262"/>
                  <pic:cNvPicPr/>
                </pic:nvPicPr>
                <pic:blipFill>
                  <a:blip r:embed="rId1"/>
                  <a:stretch>
                    <a:fillRect/>
                  </a:stretch>
                </pic:blipFill>
                <pic:spPr>
                  <a:xfrm rot="0">
                    <a:off x="0" y="0"/>
                    <a:ext cx="5507990" cy="7619"/>
                  </a:xfrm>
                  <a:prstGeom prst="rect">
                    <a:avLst/>
                  </a:prstGeom>
                </pic:spPr>
              </pic:pic>
            </a:graphicData>
          </a:graphic>
        </wp:anchor>
      </w:drawing>
    </w:r>
    <w:r>
      <w:rPr>
        <w:rFonts w:ascii="Microsoft YaHei" w:hAnsi="Microsoft YaHei" w:eastAsia="Microsoft YaHei" w:cs="Microsoft YaHei"/>
        <w:sz w:val="20"/>
        <w:szCs w:val="20"/>
        <w:spacing w:val="-5"/>
      </w:rPr>
      <w:t>466//2021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8" w:line="205" w:lineRule="auto"/>
      <w:rPr>
        <w:rFonts w:ascii="Microsoft YaHei" w:hAnsi="Microsoft YaHei" w:eastAsia="Microsoft YaHei" w:cs="Microsoft YaHei"/>
        <w:sz w:val="20"/>
        <w:szCs w:val="20"/>
      </w:rPr>
    </w:pPr>
    <w:r>
      <w:drawing>
        <wp:anchor distT="0" distB="0" distL="0" distR="0" simplePos="0" relativeHeight="252397568"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266" name="IM 2266"/>
          <wp:cNvGraphicFramePr/>
          <a:graphic>
            <a:graphicData uri="http://schemas.openxmlformats.org/drawingml/2006/picture">
              <pic:pic>
                <pic:nvPicPr>
                  <pic:cNvPr id="2266" name="IM 226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期/467</w:t>
    </w:r>
  </w:p>
</w:ftr>
</file>

<file path=word/footer4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399616" behindDoc="0" locked="0" layoutInCell="0" allowOverlap="1">
          <wp:simplePos x="0" y="0"/>
          <wp:positionH relativeFrom="page">
            <wp:posOffset>997585</wp:posOffset>
          </wp:positionH>
          <wp:positionV relativeFrom="page">
            <wp:posOffset>9693909</wp:posOffset>
          </wp:positionV>
          <wp:extent cx="5507990" cy="7619"/>
          <wp:effectExtent l="0" t="0" r="0" b="0"/>
          <wp:wrapNone/>
          <wp:docPr id="2270" name="IM 2270"/>
          <wp:cNvGraphicFramePr/>
          <a:graphic>
            <a:graphicData uri="http://schemas.openxmlformats.org/drawingml/2006/picture">
              <pic:pic>
                <pic:nvPicPr>
                  <pic:cNvPr id="2270" name="IM 2270"/>
                  <pic:cNvPicPr/>
                </pic:nvPicPr>
                <pic:blipFill>
                  <a:blip r:embed="rId1"/>
                  <a:stretch>
                    <a:fillRect/>
                  </a:stretch>
                </pic:blipFill>
                <pic:spPr>
                  <a:xfrm rot="0">
                    <a:off x="0" y="0"/>
                    <a:ext cx="5507990" cy="7619"/>
                  </a:xfrm>
                  <a:prstGeom prst="rect">
                    <a:avLst/>
                  </a:prstGeom>
                </pic:spPr>
              </pic:pic>
            </a:graphicData>
          </a:graphic>
        </wp:anchor>
      </w:drawing>
    </w:r>
    <w:r>
      <w:rPr>
        <w:rFonts w:ascii="Microsoft YaHei" w:hAnsi="Microsoft YaHei" w:eastAsia="Microsoft YaHei" w:cs="Microsoft YaHei"/>
        <w:sz w:val="20"/>
        <w:szCs w:val="20"/>
        <w:spacing w:val="-5"/>
      </w:rPr>
      <w:t>468//2021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8" w:line="205" w:lineRule="auto"/>
      <w:rPr>
        <w:rFonts w:ascii="Microsoft YaHei" w:hAnsi="Microsoft YaHei" w:eastAsia="Microsoft YaHei" w:cs="Microsoft YaHei"/>
        <w:sz w:val="20"/>
        <w:szCs w:val="20"/>
      </w:rPr>
    </w:pPr>
    <w:r>
      <w:drawing>
        <wp:anchor distT="0" distB="0" distL="0" distR="0" simplePos="0" relativeHeight="252401664"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274" name="IM 2274"/>
          <wp:cNvGraphicFramePr/>
          <a:graphic>
            <a:graphicData uri="http://schemas.openxmlformats.org/drawingml/2006/picture">
              <pic:pic>
                <pic:nvPicPr>
                  <pic:cNvPr id="2274" name="IM 227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期/469</w:t>
    </w:r>
  </w:p>
</w:ftr>
</file>

<file path=word/footer4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403712" behindDoc="0" locked="0" layoutInCell="0" allowOverlap="1">
          <wp:simplePos x="0" y="0"/>
          <wp:positionH relativeFrom="page">
            <wp:posOffset>997585</wp:posOffset>
          </wp:positionH>
          <wp:positionV relativeFrom="page">
            <wp:posOffset>9693909</wp:posOffset>
          </wp:positionV>
          <wp:extent cx="5507990" cy="7619"/>
          <wp:effectExtent l="0" t="0" r="0" b="0"/>
          <wp:wrapNone/>
          <wp:docPr id="2278" name="IM 2278"/>
          <wp:cNvGraphicFramePr/>
          <a:graphic>
            <a:graphicData uri="http://schemas.openxmlformats.org/drawingml/2006/picture">
              <pic:pic>
                <pic:nvPicPr>
                  <pic:cNvPr id="2278" name="IM 2278"/>
                  <pic:cNvPicPr/>
                </pic:nvPicPr>
                <pic:blipFill>
                  <a:blip r:embed="rId1"/>
                  <a:stretch>
                    <a:fillRect/>
                  </a:stretch>
                </pic:blipFill>
                <pic:spPr>
                  <a:xfrm rot="0">
                    <a:off x="0" y="0"/>
                    <a:ext cx="5507990" cy="7619"/>
                  </a:xfrm>
                  <a:prstGeom prst="rect">
                    <a:avLst/>
                  </a:prstGeom>
                </pic:spPr>
              </pic:pic>
            </a:graphicData>
          </a:graphic>
        </wp:anchor>
      </w:drawing>
    </w:r>
    <w:r>
      <w:rPr>
        <w:rFonts w:ascii="Microsoft YaHei" w:hAnsi="Microsoft YaHei" w:eastAsia="Microsoft YaHei" w:cs="Microsoft YaHei"/>
        <w:sz w:val="20"/>
        <w:szCs w:val="20"/>
        <w:spacing w:val="-5"/>
      </w:rPr>
      <w:t>470//2021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131"/>
      <w:spacing w:before="98" w:line="205" w:lineRule="auto"/>
      <w:rPr>
        <w:rFonts w:ascii="Microsoft YaHei" w:hAnsi="Microsoft YaHei" w:eastAsia="Microsoft YaHei" w:cs="Microsoft YaHei"/>
        <w:sz w:val="20"/>
        <w:szCs w:val="20"/>
      </w:rPr>
    </w:pPr>
    <w:r>
      <w:drawing>
        <wp:anchor distT="0" distB="0" distL="0" distR="0" simplePos="0" relativeHeight="252405760" behindDoc="0" locked="0" layoutInCell="0" allowOverlap="1">
          <wp:simplePos x="0" y="0"/>
          <wp:positionH relativeFrom="page">
            <wp:posOffset>1008380</wp:posOffset>
          </wp:positionH>
          <wp:positionV relativeFrom="page">
            <wp:posOffset>6560819</wp:posOffset>
          </wp:positionV>
          <wp:extent cx="8712200" cy="7619"/>
          <wp:effectExtent l="0" t="0" r="0" b="0"/>
          <wp:wrapNone/>
          <wp:docPr id="2284" name="IM 2284"/>
          <wp:cNvGraphicFramePr/>
          <a:graphic>
            <a:graphicData uri="http://schemas.openxmlformats.org/drawingml/2006/picture">
              <pic:pic>
                <pic:nvPicPr>
                  <pic:cNvPr id="2284" name="IM 2284"/>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期/471</w:t>
    </w:r>
  </w:p>
</w:ftr>
</file>

<file path=word/footer4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7" w:line="205" w:lineRule="auto"/>
      <w:rPr>
        <w:rFonts w:ascii="Microsoft YaHei" w:hAnsi="Microsoft YaHei" w:eastAsia="Microsoft YaHei" w:cs="Microsoft YaHei"/>
        <w:sz w:val="20"/>
        <w:szCs w:val="20"/>
      </w:rPr>
    </w:pPr>
    <w:r>
      <w:drawing>
        <wp:anchor distT="0" distB="0" distL="0" distR="0" simplePos="0" relativeHeight="252407808" behindDoc="0" locked="0" layoutInCell="0" allowOverlap="1">
          <wp:simplePos x="0" y="0"/>
          <wp:positionH relativeFrom="page">
            <wp:posOffset>997585</wp:posOffset>
          </wp:positionH>
          <wp:positionV relativeFrom="page">
            <wp:posOffset>6598284</wp:posOffset>
          </wp:positionV>
          <wp:extent cx="8820150" cy="7619"/>
          <wp:effectExtent l="0" t="0" r="0" b="0"/>
          <wp:wrapNone/>
          <wp:docPr id="2292" name="IM 2292"/>
          <wp:cNvGraphicFramePr/>
          <a:graphic>
            <a:graphicData uri="http://schemas.openxmlformats.org/drawingml/2006/picture">
              <pic:pic>
                <pic:nvPicPr>
                  <pic:cNvPr id="2292" name="IM 2292"/>
                  <pic:cNvPicPr/>
                </pic:nvPicPr>
                <pic:blipFill>
                  <a:blip r:embed="rId1"/>
                  <a:stretch>
                    <a:fillRect/>
                  </a:stretch>
                </pic:blipFill>
                <pic:spPr>
                  <a:xfrm rot="0">
                    <a:off x="0" y="0"/>
                    <a:ext cx="8820150" cy="7619"/>
                  </a:xfrm>
                  <a:prstGeom prst="rect">
                    <a:avLst/>
                  </a:prstGeom>
                </pic:spPr>
              </pic:pic>
            </a:graphicData>
          </a:graphic>
        </wp:anchor>
      </w:drawing>
    </w:r>
    <w:r>
      <w:rPr>
        <w:rFonts w:ascii="Microsoft YaHei" w:hAnsi="Microsoft YaHei" w:eastAsia="Microsoft YaHei" w:cs="Microsoft YaHei"/>
        <w:sz w:val="20"/>
        <w:szCs w:val="20"/>
        <w:spacing w:val="-5"/>
      </w:rPr>
      <w:t>472//2021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8" w:line="205" w:lineRule="auto"/>
      <w:rPr>
        <w:rFonts w:ascii="Microsoft YaHei" w:hAnsi="Microsoft YaHei" w:eastAsia="Microsoft YaHei" w:cs="Microsoft YaHei"/>
        <w:sz w:val="20"/>
        <w:szCs w:val="20"/>
      </w:rPr>
    </w:pPr>
    <w:r>
      <w:drawing>
        <wp:anchor distT="0" distB="0" distL="0" distR="0" simplePos="0" relativeHeight="252409856"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300" name="IM 2300"/>
          <wp:cNvGraphicFramePr/>
          <a:graphic>
            <a:graphicData uri="http://schemas.openxmlformats.org/drawingml/2006/picture">
              <pic:pic>
                <pic:nvPicPr>
                  <pic:cNvPr id="2300" name="IM 230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期/473</w:t>
    </w:r>
  </w:p>
</w:ftr>
</file>

<file path=word/footer4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411904"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306" name="IM 2306"/>
          <wp:cNvGraphicFramePr/>
          <a:graphic>
            <a:graphicData uri="http://schemas.openxmlformats.org/drawingml/2006/picture">
              <pic:pic>
                <pic:nvPicPr>
                  <pic:cNvPr id="2306" name="IM 230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474//2021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8" w:line="205" w:lineRule="auto"/>
      <w:rPr>
        <w:rFonts w:ascii="Microsoft YaHei" w:hAnsi="Microsoft YaHei" w:eastAsia="Microsoft YaHei" w:cs="Microsoft YaHei"/>
        <w:sz w:val="20"/>
        <w:szCs w:val="20"/>
      </w:rPr>
    </w:pPr>
    <w:r>
      <w:drawing>
        <wp:anchor distT="0" distB="0" distL="0" distR="0" simplePos="0" relativeHeight="252413952"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312" name="IM 2312"/>
          <wp:cNvGraphicFramePr/>
          <a:graphic>
            <a:graphicData uri="http://schemas.openxmlformats.org/drawingml/2006/picture">
              <pic:pic>
                <pic:nvPicPr>
                  <pic:cNvPr id="2312" name="IM 231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期/475</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
      <w:spacing w:before="90" w:line="205" w:lineRule="auto"/>
      <w:rPr>
        <w:rFonts w:ascii="Microsoft YaHei" w:hAnsi="Microsoft YaHei" w:eastAsia="Microsoft YaHei" w:cs="Microsoft YaHei"/>
        <w:sz w:val="20"/>
        <w:szCs w:val="20"/>
      </w:rPr>
    </w:pPr>
    <w:r>
      <w:drawing>
        <wp:anchor distT="0" distB="0" distL="0" distR="0" simplePos="0" relativeHeight="251705344" behindDoc="0" locked="0" layoutInCell="0" allowOverlap="1">
          <wp:simplePos x="0" y="0"/>
          <wp:positionH relativeFrom="page">
            <wp:posOffset>990600</wp:posOffset>
          </wp:positionH>
          <wp:positionV relativeFrom="page">
            <wp:posOffset>6498590</wp:posOffset>
          </wp:positionV>
          <wp:extent cx="8712200" cy="7619"/>
          <wp:effectExtent l="0" t="0" r="0" b="0"/>
          <wp:wrapNone/>
          <wp:docPr id="128" name="IM 128"/>
          <wp:cNvGraphicFramePr/>
          <a:graphic>
            <a:graphicData uri="http://schemas.openxmlformats.org/drawingml/2006/picture">
              <pic:pic>
                <pic:nvPicPr>
                  <pic:cNvPr id="128" name="IM 128"/>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5"/>
      </w:rPr>
      <w:t>48//2021 年第</w:t>
    </w:r>
    <w:r>
      <w:rPr>
        <w:rFonts w:ascii="Microsoft YaHei" w:hAnsi="Microsoft YaHei" w:eastAsia="Microsoft YaHei" w:cs="Microsoft YaHei"/>
        <w:sz w:val="20"/>
        <w:szCs w:val="20"/>
        <w:spacing w:val="25"/>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5"/>
      </w:rPr>
      <w:t>期</w:t>
    </w:r>
  </w:p>
</w:ftr>
</file>

<file path=word/footer4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416000"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316" name="IM 2316"/>
          <wp:cNvGraphicFramePr/>
          <a:graphic>
            <a:graphicData uri="http://schemas.openxmlformats.org/drawingml/2006/picture">
              <pic:pic>
                <pic:nvPicPr>
                  <pic:cNvPr id="2316" name="IM 231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476//2021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03"/>
      <w:spacing w:before="98" w:line="205" w:lineRule="auto"/>
      <w:rPr>
        <w:rFonts w:ascii="Microsoft YaHei" w:hAnsi="Microsoft YaHei" w:eastAsia="Microsoft YaHei" w:cs="Microsoft YaHei"/>
        <w:sz w:val="20"/>
        <w:szCs w:val="20"/>
      </w:rPr>
    </w:pPr>
    <w:r>
      <w:drawing>
        <wp:anchor distT="0" distB="0" distL="0" distR="0" simplePos="0" relativeHeight="252418048"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322" name="IM 2322"/>
          <wp:cNvGraphicFramePr/>
          <a:graphic>
            <a:graphicData uri="http://schemas.openxmlformats.org/drawingml/2006/picture">
              <pic:pic>
                <pic:nvPicPr>
                  <pic:cNvPr id="2322" name="IM 232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期/477</w:t>
    </w:r>
  </w:p>
</w:ftr>
</file>

<file path=word/footer4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420096"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328" name="IM 2328"/>
          <wp:cNvGraphicFramePr/>
          <a:graphic>
            <a:graphicData uri="http://schemas.openxmlformats.org/drawingml/2006/picture">
              <pic:pic>
                <pic:nvPicPr>
                  <pic:cNvPr id="2328" name="IM 232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478//2021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8" w:line="205" w:lineRule="auto"/>
      <w:rPr>
        <w:rFonts w:ascii="Microsoft YaHei" w:hAnsi="Microsoft YaHei" w:eastAsia="Microsoft YaHei" w:cs="Microsoft YaHei"/>
        <w:sz w:val="20"/>
        <w:szCs w:val="20"/>
      </w:rPr>
    </w:pPr>
    <w:r>
      <w:drawing>
        <wp:anchor distT="0" distB="0" distL="0" distR="0" simplePos="0" relativeHeight="252422144"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334" name="IM 2334"/>
          <wp:cNvGraphicFramePr/>
          <a:graphic>
            <a:graphicData uri="http://schemas.openxmlformats.org/drawingml/2006/picture">
              <pic:pic>
                <pic:nvPicPr>
                  <pic:cNvPr id="2334" name="IM 233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期/479</w:t>
    </w:r>
  </w:p>
</w:ftr>
</file>

<file path=word/footer4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424192"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338" name="IM 2338"/>
          <wp:cNvGraphicFramePr/>
          <a:graphic>
            <a:graphicData uri="http://schemas.openxmlformats.org/drawingml/2006/picture">
              <pic:pic>
                <pic:nvPicPr>
                  <pic:cNvPr id="2338" name="IM 233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480//2021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8" w:line="205" w:lineRule="auto"/>
      <w:rPr>
        <w:rFonts w:ascii="Microsoft YaHei" w:hAnsi="Microsoft YaHei" w:eastAsia="Microsoft YaHei" w:cs="Microsoft YaHei"/>
        <w:sz w:val="20"/>
        <w:szCs w:val="20"/>
      </w:rPr>
    </w:pPr>
    <w:r>
      <w:drawing>
        <wp:anchor distT="0" distB="0" distL="0" distR="0" simplePos="0" relativeHeight="252426240"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344" name="IM 2344"/>
          <wp:cNvGraphicFramePr/>
          <a:graphic>
            <a:graphicData uri="http://schemas.openxmlformats.org/drawingml/2006/picture">
              <pic:pic>
                <pic:nvPicPr>
                  <pic:cNvPr id="2344" name="IM 234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期/481</w:t>
    </w:r>
  </w:p>
</w:ftr>
</file>

<file path=word/footer4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4"/>
      <w:spacing w:before="96" w:line="205" w:lineRule="auto"/>
      <w:rPr>
        <w:rFonts w:ascii="Microsoft YaHei" w:hAnsi="Microsoft YaHei" w:eastAsia="Microsoft YaHei" w:cs="Microsoft YaHei"/>
        <w:sz w:val="20"/>
        <w:szCs w:val="20"/>
      </w:rPr>
    </w:pPr>
    <w:r>
      <w:drawing>
        <wp:anchor distT="0" distB="0" distL="0" distR="0" simplePos="0" relativeHeight="252428288"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350" name="IM 2350"/>
          <wp:cNvGraphicFramePr/>
          <a:graphic>
            <a:graphicData uri="http://schemas.openxmlformats.org/drawingml/2006/picture">
              <pic:pic>
                <pic:nvPicPr>
                  <pic:cNvPr id="2350" name="IM 235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482//2021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8" w:line="205" w:lineRule="auto"/>
      <w:rPr>
        <w:rFonts w:ascii="Microsoft YaHei" w:hAnsi="Microsoft YaHei" w:eastAsia="Microsoft YaHei" w:cs="Microsoft YaHei"/>
        <w:sz w:val="20"/>
        <w:szCs w:val="20"/>
      </w:rPr>
    </w:pPr>
    <w:r>
      <w:drawing>
        <wp:anchor distT="0" distB="0" distL="0" distR="0" simplePos="0" relativeHeight="252430336"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360" name="IM 2360"/>
          <wp:cNvGraphicFramePr/>
          <a:graphic>
            <a:graphicData uri="http://schemas.openxmlformats.org/drawingml/2006/picture">
              <pic:pic>
                <pic:nvPicPr>
                  <pic:cNvPr id="2360" name="IM 236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期/483</w:t>
    </w:r>
  </w:p>
</w:ftr>
</file>

<file path=word/footer4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432384"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370" name="IM 2370"/>
          <wp:cNvGraphicFramePr/>
          <a:graphic>
            <a:graphicData uri="http://schemas.openxmlformats.org/drawingml/2006/picture">
              <pic:pic>
                <pic:nvPicPr>
                  <pic:cNvPr id="2370" name="IM 237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484//2021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8" w:line="205" w:lineRule="auto"/>
      <w:rPr>
        <w:rFonts w:ascii="Microsoft YaHei" w:hAnsi="Microsoft YaHei" w:eastAsia="Microsoft YaHei" w:cs="Microsoft YaHei"/>
        <w:sz w:val="20"/>
        <w:szCs w:val="20"/>
      </w:rPr>
    </w:pPr>
    <w:r>
      <w:drawing>
        <wp:anchor distT="0" distB="0" distL="0" distR="0" simplePos="0" relativeHeight="252434432"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374" name="IM 2374"/>
          <wp:cNvGraphicFramePr/>
          <a:graphic>
            <a:graphicData uri="http://schemas.openxmlformats.org/drawingml/2006/picture">
              <pic:pic>
                <pic:nvPicPr>
                  <pic:cNvPr id="2374" name="IM 237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期/485</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67"/>
      <w:spacing w:before="66" w:line="206" w:lineRule="auto"/>
      <w:rPr>
        <w:rFonts w:ascii="Microsoft YaHei" w:hAnsi="Microsoft YaHei" w:eastAsia="Microsoft YaHei" w:cs="Microsoft YaHei"/>
        <w:sz w:val="20"/>
        <w:szCs w:val="20"/>
      </w:rPr>
    </w:pPr>
    <w:r>
      <w:drawing>
        <wp:anchor distT="0" distB="0" distL="0" distR="0" simplePos="0" relativeHeight="251706368" behindDoc="0" locked="0" layoutInCell="0" allowOverlap="1">
          <wp:simplePos x="0" y="0"/>
          <wp:positionH relativeFrom="page">
            <wp:posOffset>985519</wp:posOffset>
          </wp:positionH>
          <wp:positionV relativeFrom="page">
            <wp:posOffset>6505575</wp:posOffset>
          </wp:positionV>
          <wp:extent cx="8712200" cy="7619"/>
          <wp:effectExtent l="0" t="0" r="0" b="0"/>
          <wp:wrapNone/>
          <wp:docPr id="132" name="IM 132"/>
          <wp:cNvGraphicFramePr/>
          <a:graphic>
            <a:graphicData uri="http://schemas.openxmlformats.org/drawingml/2006/picture">
              <pic:pic>
                <pic:nvPicPr>
                  <pic:cNvPr id="132" name="IM 132"/>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5"/>
      </w:rPr>
      <w:t>2021 年第</w:t>
    </w:r>
    <w:r>
      <w:rPr>
        <w:rFonts w:ascii="Microsoft YaHei" w:hAnsi="Microsoft YaHei" w:eastAsia="Microsoft YaHei" w:cs="Microsoft YaHei"/>
        <w:sz w:val="20"/>
        <w:szCs w:val="20"/>
        <w:spacing w:val="2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5"/>
      </w:rPr>
      <w:t>期// 49</w:t>
    </w:r>
  </w:p>
</w:ftr>
</file>

<file path=word/footer4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13"/>
      <w:spacing w:before="96" w:line="205" w:lineRule="auto"/>
      <w:rPr>
        <w:rFonts w:ascii="Microsoft YaHei" w:hAnsi="Microsoft YaHei" w:eastAsia="Microsoft YaHei" w:cs="Microsoft YaHei"/>
        <w:sz w:val="20"/>
        <w:szCs w:val="20"/>
      </w:rPr>
    </w:pPr>
    <w:r>
      <w:drawing>
        <wp:anchor distT="0" distB="0" distL="0" distR="0" simplePos="0" relativeHeight="252436480"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380" name="IM 2380"/>
          <wp:cNvGraphicFramePr/>
          <a:graphic>
            <a:graphicData uri="http://schemas.openxmlformats.org/drawingml/2006/picture">
              <pic:pic>
                <pic:nvPicPr>
                  <pic:cNvPr id="2380" name="IM 238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486//2021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8" w:line="205" w:lineRule="auto"/>
      <w:rPr>
        <w:rFonts w:ascii="Microsoft YaHei" w:hAnsi="Microsoft YaHei" w:eastAsia="Microsoft YaHei" w:cs="Microsoft YaHei"/>
        <w:sz w:val="20"/>
        <w:szCs w:val="20"/>
      </w:rPr>
    </w:pPr>
    <w:r>
      <w:drawing>
        <wp:anchor distT="0" distB="0" distL="0" distR="0" simplePos="0" relativeHeight="252438528"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392" name="IM 2392"/>
          <wp:cNvGraphicFramePr/>
          <a:graphic>
            <a:graphicData uri="http://schemas.openxmlformats.org/drawingml/2006/picture">
              <pic:pic>
                <pic:nvPicPr>
                  <pic:cNvPr id="2392" name="IM 239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期/487</w:t>
    </w:r>
  </w:p>
</w:ftr>
</file>

<file path=word/footer4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440576"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400" name="IM 2400"/>
          <wp:cNvGraphicFramePr/>
          <a:graphic>
            <a:graphicData uri="http://schemas.openxmlformats.org/drawingml/2006/picture">
              <pic:pic>
                <pic:nvPicPr>
                  <pic:cNvPr id="2400" name="IM 240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488//2021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8" w:line="205" w:lineRule="auto"/>
      <w:rPr>
        <w:rFonts w:ascii="Microsoft YaHei" w:hAnsi="Microsoft YaHei" w:eastAsia="Microsoft YaHei" w:cs="Microsoft YaHei"/>
        <w:sz w:val="20"/>
        <w:szCs w:val="20"/>
      </w:rPr>
    </w:pPr>
    <w:r>
      <w:drawing>
        <wp:anchor distT="0" distB="0" distL="0" distR="0" simplePos="0" relativeHeight="252442624"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406" name="IM 2406"/>
          <wp:cNvGraphicFramePr/>
          <a:graphic>
            <a:graphicData uri="http://schemas.openxmlformats.org/drawingml/2006/picture">
              <pic:pic>
                <pic:nvPicPr>
                  <pic:cNvPr id="2406" name="IM 240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期/489</w:t>
    </w:r>
  </w:p>
</w:ftr>
</file>

<file path=word/footer4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444672"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416" name="IM 2416"/>
          <wp:cNvGraphicFramePr/>
          <a:graphic>
            <a:graphicData uri="http://schemas.openxmlformats.org/drawingml/2006/picture">
              <pic:pic>
                <pic:nvPicPr>
                  <pic:cNvPr id="2416" name="IM 241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490//2021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8" w:line="205" w:lineRule="auto"/>
      <w:rPr>
        <w:rFonts w:ascii="Microsoft YaHei" w:hAnsi="Microsoft YaHei" w:eastAsia="Microsoft YaHei" w:cs="Microsoft YaHei"/>
        <w:sz w:val="20"/>
        <w:szCs w:val="20"/>
      </w:rPr>
    </w:pPr>
    <w:r>
      <w:drawing>
        <wp:anchor distT="0" distB="0" distL="0" distR="0" simplePos="0" relativeHeight="252446720"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420" name="IM 2420"/>
          <wp:cNvGraphicFramePr/>
          <a:graphic>
            <a:graphicData uri="http://schemas.openxmlformats.org/drawingml/2006/picture">
              <pic:pic>
                <pic:nvPicPr>
                  <pic:cNvPr id="2420" name="IM 242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期/491</w:t>
    </w:r>
  </w:p>
</w:ftr>
</file>

<file path=word/footer4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448768"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424" name="IM 2424"/>
          <wp:cNvGraphicFramePr/>
          <a:graphic>
            <a:graphicData uri="http://schemas.openxmlformats.org/drawingml/2006/picture">
              <pic:pic>
                <pic:nvPicPr>
                  <pic:cNvPr id="2424" name="IM 242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492//2021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8" w:line="205" w:lineRule="auto"/>
      <w:rPr>
        <w:rFonts w:ascii="Microsoft YaHei" w:hAnsi="Microsoft YaHei" w:eastAsia="Microsoft YaHei" w:cs="Microsoft YaHei"/>
        <w:sz w:val="20"/>
        <w:szCs w:val="20"/>
      </w:rPr>
    </w:pPr>
    <w:r>
      <w:drawing>
        <wp:anchor distT="0" distB="0" distL="0" distR="0" simplePos="0" relativeHeight="252450816"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430" name="IM 2430"/>
          <wp:cNvGraphicFramePr/>
          <a:graphic>
            <a:graphicData uri="http://schemas.openxmlformats.org/drawingml/2006/picture">
              <pic:pic>
                <pic:nvPicPr>
                  <pic:cNvPr id="2430" name="IM 243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期/493</w:t>
    </w:r>
  </w:p>
</w:ftr>
</file>

<file path=word/footer4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452864"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434" name="IM 2434"/>
          <wp:cNvGraphicFramePr/>
          <a:graphic>
            <a:graphicData uri="http://schemas.openxmlformats.org/drawingml/2006/picture">
              <pic:pic>
                <pic:nvPicPr>
                  <pic:cNvPr id="2434" name="IM 243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494//2021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8" w:line="205" w:lineRule="auto"/>
      <w:rPr>
        <w:rFonts w:ascii="Microsoft YaHei" w:hAnsi="Microsoft YaHei" w:eastAsia="Microsoft YaHei" w:cs="Microsoft YaHei"/>
        <w:sz w:val="20"/>
        <w:szCs w:val="20"/>
      </w:rPr>
    </w:pPr>
    <w:r>
      <w:drawing>
        <wp:anchor distT="0" distB="0" distL="0" distR="0" simplePos="0" relativeHeight="252454912"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438" name="IM 2438"/>
          <wp:cNvGraphicFramePr/>
          <a:graphic>
            <a:graphicData uri="http://schemas.openxmlformats.org/drawingml/2006/picture">
              <pic:pic>
                <pic:nvPicPr>
                  <pic:cNvPr id="2438" name="IM 243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期/495</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8"/>
      <w:spacing w:before="90" w:line="205" w:lineRule="auto"/>
      <w:rPr>
        <w:rFonts w:ascii="Microsoft YaHei" w:hAnsi="Microsoft YaHei" w:eastAsia="Microsoft YaHei" w:cs="Microsoft YaHei"/>
        <w:sz w:val="20"/>
        <w:szCs w:val="20"/>
      </w:rPr>
    </w:pPr>
    <w:r>
      <w:drawing>
        <wp:anchor distT="0" distB="0" distL="0" distR="0" simplePos="0" relativeHeight="251707392" behindDoc="0" locked="0" layoutInCell="0" allowOverlap="1">
          <wp:simplePos x="0" y="0"/>
          <wp:positionH relativeFrom="page">
            <wp:posOffset>990600</wp:posOffset>
          </wp:positionH>
          <wp:positionV relativeFrom="page">
            <wp:posOffset>6498590</wp:posOffset>
          </wp:positionV>
          <wp:extent cx="8712200" cy="7619"/>
          <wp:effectExtent l="0" t="0" r="0" b="0"/>
          <wp:wrapNone/>
          <wp:docPr id="136" name="IM 136"/>
          <wp:cNvGraphicFramePr/>
          <a:graphic>
            <a:graphicData uri="http://schemas.openxmlformats.org/drawingml/2006/picture">
              <pic:pic>
                <pic:nvPicPr>
                  <pic:cNvPr id="136" name="IM 136"/>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50//2021 年第</w:t>
    </w:r>
    <w:r>
      <w:rPr>
        <w:rFonts w:ascii="Microsoft YaHei" w:hAnsi="Microsoft YaHei" w:eastAsia="Microsoft YaHei" w:cs="Microsoft YaHei"/>
        <w:sz w:val="20"/>
        <w:szCs w:val="20"/>
        <w:spacing w:val="35"/>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4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456960"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442" name="IM 2442"/>
          <wp:cNvGraphicFramePr/>
          <a:graphic>
            <a:graphicData uri="http://schemas.openxmlformats.org/drawingml/2006/picture">
              <pic:pic>
                <pic:nvPicPr>
                  <pic:cNvPr id="2442" name="IM 244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496//2021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
      <w:spacing w:before="96" w:line="205" w:lineRule="auto"/>
      <w:rPr>
        <w:rFonts w:ascii="Microsoft YaHei" w:hAnsi="Microsoft YaHei" w:eastAsia="Microsoft YaHei" w:cs="Microsoft YaHei"/>
        <w:sz w:val="20"/>
        <w:szCs w:val="20"/>
      </w:rPr>
    </w:pPr>
    <w:r>
      <w:drawing>
        <wp:anchor distT="0" distB="0" distL="0" distR="0" simplePos="0" relativeHeight="252461056"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452" name="IM 2452"/>
          <wp:cNvGraphicFramePr/>
          <a:graphic>
            <a:graphicData uri="http://schemas.openxmlformats.org/drawingml/2006/picture">
              <pic:pic>
                <pic:nvPicPr>
                  <pic:cNvPr id="2452" name="IM 245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498//2021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8" w:line="205" w:lineRule="auto"/>
      <w:rPr>
        <w:rFonts w:ascii="Microsoft YaHei" w:hAnsi="Microsoft YaHei" w:eastAsia="Microsoft YaHei" w:cs="Microsoft YaHei"/>
        <w:sz w:val="20"/>
        <w:szCs w:val="20"/>
      </w:rPr>
    </w:pPr>
    <w:r>
      <w:drawing>
        <wp:anchor distT="0" distB="0" distL="0" distR="0" simplePos="0" relativeHeight="252463104"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458" name="IM 2458"/>
          <wp:cNvGraphicFramePr/>
          <a:graphic>
            <a:graphicData uri="http://schemas.openxmlformats.org/drawingml/2006/picture">
              <pic:pic>
                <pic:nvPicPr>
                  <pic:cNvPr id="2458" name="IM 245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期/499</w:t>
    </w:r>
  </w:p>
</w:ftr>
</file>

<file path=word/footer4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0"/>
      <w:spacing w:before="96" w:line="205" w:lineRule="auto"/>
      <w:rPr>
        <w:rFonts w:ascii="Microsoft YaHei" w:hAnsi="Microsoft YaHei" w:eastAsia="Microsoft YaHei" w:cs="Microsoft YaHei"/>
        <w:sz w:val="20"/>
        <w:szCs w:val="20"/>
      </w:rPr>
    </w:pPr>
    <w:r>
      <w:drawing>
        <wp:anchor distT="0" distB="0" distL="0" distR="0" simplePos="0" relativeHeight="252465152"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462" name="IM 2462"/>
          <wp:cNvGraphicFramePr/>
          <a:graphic>
            <a:graphicData uri="http://schemas.openxmlformats.org/drawingml/2006/picture">
              <pic:pic>
                <pic:nvPicPr>
                  <pic:cNvPr id="2462" name="IM 246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500//2021 年第</w:t>
    </w:r>
    <w:r>
      <w:rPr>
        <w:rFonts w:ascii="Microsoft YaHei" w:hAnsi="Microsoft YaHei" w:eastAsia="Microsoft YaHei" w:cs="Microsoft YaHei"/>
        <w:sz w:val="20"/>
        <w:szCs w:val="20"/>
        <w:spacing w:val="22"/>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8" w:line="205" w:lineRule="auto"/>
      <w:rPr>
        <w:rFonts w:ascii="Microsoft YaHei" w:hAnsi="Microsoft YaHei" w:eastAsia="Microsoft YaHei" w:cs="Microsoft YaHei"/>
        <w:sz w:val="20"/>
        <w:szCs w:val="20"/>
      </w:rPr>
    </w:pPr>
    <w:r>
      <w:drawing>
        <wp:anchor distT="0" distB="0" distL="0" distR="0" simplePos="0" relativeHeight="252467200"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466" name="IM 2466"/>
          <wp:cNvGraphicFramePr/>
          <a:graphic>
            <a:graphicData uri="http://schemas.openxmlformats.org/drawingml/2006/picture">
              <pic:pic>
                <pic:nvPicPr>
                  <pic:cNvPr id="2466" name="IM 246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期/501</w:t>
    </w:r>
  </w:p>
</w:ftr>
</file>

<file path=word/footer4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0"/>
      <w:spacing w:before="96" w:line="205" w:lineRule="auto"/>
      <w:rPr>
        <w:rFonts w:ascii="Microsoft YaHei" w:hAnsi="Microsoft YaHei" w:eastAsia="Microsoft YaHei" w:cs="Microsoft YaHei"/>
        <w:sz w:val="20"/>
        <w:szCs w:val="20"/>
      </w:rPr>
    </w:pPr>
    <w:r>
      <w:drawing>
        <wp:anchor distT="0" distB="0" distL="0" distR="0" simplePos="0" relativeHeight="252469248"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470" name="IM 2470"/>
          <wp:cNvGraphicFramePr/>
          <a:graphic>
            <a:graphicData uri="http://schemas.openxmlformats.org/drawingml/2006/picture">
              <pic:pic>
                <pic:nvPicPr>
                  <pic:cNvPr id="2470" name="IM 247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502//2021 年第</w:t>
    </w:r>
    <w:r>
      <w:rPr>
        <w:rFonts w:ascii="Microsoft YaHei" w:hAnsi="Microsoft YaHei" w:eastAsia="Microsoft YaHei" w:cs="Microsoft YaHei"/>
        <w:sz w:val="20"/>
        <w:szCs w:val="20"/>
        <w:spacing w:val="22"/>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8" w:line="205" w:lineRule="auto"/>
      <w:rPr>
        <w:rFonts w:ascii="Microsoft YaHei" w:hAnsi="Microsoft YaHei" w:eastAsia="Microsoft YaHei" w:cs="Microsoft YaHei"/>
        <w:sz w:val="20"/>
        <w:szCs w:val="20"/>
      </w:rPr>
    </w:pPr>
    <w:r>
      <w:drawing>
        <wp:anchor distT="0" distB="0" distL="0" distR="0" simplePos="0" relativeHeight="252471296"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476" name="IM 2476"/>
          <wp:cNvGraphicFramePr/>
          <a:graphic>
            <a:graphicData uri="http://schemas.openxmlformats.org/drawingml/2006/picture">
              <pic:pic>
                <pic:nvPicPr>
                  <pic:cNvPr id="2476" name="IM 247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期/503</w:t>
    </w:r>
  </w:p>
</w:ftr>
</file>

<file path=word/footer4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0"/>
      <w:spacing w:before="96" w:line="205" w:lineRule="auto"/>
      <w:rPr>
        <w:rFonts w:ascii="Microsoft YaHei" w:hAnsi="Microsoft YaHei" w:eastAsia="Microsoft YaHei" w:cs="Microsoft YaHei"/>
        <w:sz w:val="20"/>
        <w:szCs w:val="20"/>
      </w:rPr>
    </w:pPr>
    <w:r>
      <w:drawing>
        <wp:anchor distT="0" distB="0" distL="0" distR="0" simplePos="0" relativeHeight="252473344" behindDoc="0" locked="0" layoutInCell="0" allowOverlap="1">
          <wp:simplePos x="0" y="0"/>
          <wp:positionH relativeFrom="page">
            <wp:posOffset>997585</wp:posOffset>
          </wp:positionH>
          <wp:positionV relativeFrom="page">
            <wp:posOffset>9693909</wp:posOffset>
          </wp:positionV>
          <wp:extent cx="5579744" cy="7619"/>
          <wp:effectExtent l="0" t="0" r="0" b="0"/>
          <wp:wrapNone/>
          <wp:docPr id="2480" name="IM 2480"/>
          <wp:cNvGraphicFramePr/>
          <a:graphic>
            <a:graphicData uri="http://schemas.openxmlformats.org/drawingml/2006/picture">
              <pic:pic>
                <pic:nvPicPr>
                  <pic:cNvPr id="2480" name="IM 248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5"/>
      </w:rPr>
      <w:t>504//2021 年第</w:t>
    </w:r>
    <w:r>
      <w:rPr>
        <w:rFonts w:ascii="Microsoft YaHei" w:hAnsi="Microsoft YaHei" w:eastAsia="Microsoft YaHei" w:cs="Microsoft YaHei"/>
        <w:sz w:val="20"/>
        <w:szCs w:val="20"/>
        <w:spacing w:val="22"/>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4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9"/>
      <w:spacing w:before="98" w:line="205" w:lineRule="auto"/>
      <w:rPr>
        <w:rFonts w:ascii="Microsoft YaHei" w:hAnsi="Microsoft YaHei" w:eastAsia="Microsoft YaHei" w:cs="Microsoft YaHei"/>
        <w:sz w:val="20"/>
        <w:szCs w:val="20"/>
      </w:rPr>
    </w:pPr>
    <w:r>
      <w:drawing>
        <wp:anchor distT="0" distB="0" distL="0" distR="0" simplePos="0" relativeHeight="252475392"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484" name="IM 2484"/>
          <wp:cNvGraphicFramePr/>
          <a:graphic>
            <a:graphicData uri="http://schemas.openxmlformats.org/drawingml/2006/picture">
              <pic:pic>
                <pic:nvPicPr>
                  <pic:cNvPr id="2484" name="IM 2484"/>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期/505</w:t>
    </w:r>
  </w:p>
</w:ftr>
</file>

<file path=word/footer4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0"/>
      <w:spacing w:before="98" w:line="205" w:lineRule="auto"/>
      <w:rPr>
        <w:rFonts w:ascii="Microsoft YaHei" w:hAnsi="Microsoft YaHei" w:eastAsia="Microsoft YaHei" w:cs="Microsoft YaHei"/>
        <w:sz w:val="20"/>
        <w:szCs w:val="20"/>
      </w:rPr>
    </w:pPr>
    <w:r>
      <w:drawing>
        <wp:anchor distT="0" distB="0" distL="0" distR="0" simplePos="0" relativeHeight="252477440" behindDoc="0" locked="0" layoutInCell="0" allowOverlap="1">
          <wp:simplePos x="0" y="0"/>
          <wp:positionH relativeFrom="page">
            <wp:posOffset>997585</wp:posOffset>
          </wp:positionH>
          <wp:positionV relativeFrom="page">
            <wp:posOffset>6524307</wp:posOffset>
          </wp:positionV>
          <wp:extent cx="8712200" cy="9525"/>
          <wp:effectExtent l="0" t="0" r="0" b="0"/>
          <wp:wrapNone/>
          <wp:docPr id="2488" name="IM 2488"/>
          <wp:cNvGraphicFramePr/>
          <a:graphic>
            <a:graphicData uri="http://schemas.openxmlformats.org/drawingml/2006/picture">
              <pic:pic>
                <pic:nvPicPr>
                  <pic:cNvPr id="2488" name="IM 2488"/>
                  <pic:cNvPicPr/>
                </pic:nvPicPr>
                <pic:blipFill>
                  <a:blip r:embed="rId1"/>
                  <a:stretch>
                    <a:fillRect/>
                  </a:stretch>
                </pic:blipFill>
                <pic:spPr>
                  <a:xfrm rot="0">
                    <a:off x="0" y="0"/>
                    <a:ext cx="8712200" cy="9525"/>
                  </a:xfrm>
                  <a:prstGeom prst="rect">
                    <a:avLst/>
                  </a:prstGeom>
                </pic:spPr>
              </pic:pic>
            </a:graphicData>
          </a:graphic>
        </wp:anchor>
      </w:drawing>
    </w:r>
    <w:r>
      <w:rPr>
        <w:rFonts w:ascii="Microsoft YaHei" w:hAnsi="Microsoft YaHei" w:eastAsia="Microsoft YaHei" w:cs="Microsoft YaHei"/>
        <w:sz w:val="20"/>
        <w:szCs w:val="20"/>
        <w:spacing w:val="-5"/>
      </w:rPr>
      <w:t>506//2021 年第</w:t>
    </w:r>
    <w:r>
      <w:rPr>
        <w:rFonts w:ascii="Microsoft YaHei" w:hAnsi="Microsoft YaHei" w:eastAsia="Microsoft YaHei" w:cs="Microsoft YaHei"/>
        <w:sz w:val="20"/>
        <w:szCs w:val="20"/>
        <w:spacing w:val="22"/>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
      <w:spacing w:before="90" w:line="205" w:lineRule="auto"/>
      <w:rPr>
        <w:rFonts w:ascii="Microsoft YaHei" w:hAnsi="Microsoft YaHei" w:eastAsia="Microsoft YaHei" w:cs="Microsoft YaHei"/>
        <w:sz w:val="20"/>
        <w:szCs w:val="20"/>
      </w:rPr>
    </w:pPr>
    <w:r>
      <w:drawing>
        <wp:anchor distT="0" distB="0" distL="0" distR="0" simplePos="0" relativeHeight="251662336" behindDoc="0" locked="0" layoutInCell="0" allowOverlap="1">
          <wp:simplePos x="0" y="0"/>
          <wp:positionH relativeFrom="page">
            <wp:posOffset>990600</wp:posOffset>
          </wp:positionH>
          <wp:positionV relativeFrom="page">
            <wp:posOffset>9630409</wp:posOffset>
          </wp:positionV>
          <wp:extent cx="5579744" cy="7619"/>
          <wp:effectExtent l="0" t="0" r="0" b="0"/>
          <wp:wrapNone/>
          <wp:docPr id="18" name="IM 18"/>
          <wp:cNvGraphicFramePr/>
          <a:graphic>
            <a:graphicData uri="http://schemas.openxmlformats.org/drawingml/2006/picture">
              <pic:pic>
                <pic:nvPicPr>
                  <pic:cNvPr id="18" name="IM 18"/>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6//2021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6"/>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期总 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67"/>
      <w:spacing w:before="66" w:line="206" w:lineRule="auto"/>
      <w:rPr>
        <w:rFonts w:ascii="Microsoft YaHei" w:hAnsi="Microsoft YaHei" w:eastAsia="Microsoft YaHei" w:cs="Microsoft YaHei"/>
        <w:sz w:val="20"/>
        <w:szCs w:val="20"/>
      </w:rPr>
    </w:pPr>
    <w:r>
      <w:drawing>
        <wp:anchor distT="0" distB="0" distL="0" distR="0" simplePos="0" relativeHeight="251708416" behindDoc="0" locked="0" layoutInCell="0" allowOverlap="1">
          <wp:simplePos x="0" y="0"/>
          <wp:positionH relativeFrom="page">
            <wp:posOffset>985519</wp:posOffset>
          </wp:positionH>
          <wp:positionV relativeFrom="page">
            <wp:posOffset>6505575</wp:posOffset>
          </wp:positionV>
          <wp:extent cx="8712200" cy="7619"/>
          <wp:effectExtent l="0" t="0" r="0" b="0"/>
          <wp:wrapNone/>
          <wp:docPr id="140" name="IM 140"/>
          <wp:cNvGraphicFramePr/>
          <a:graphic>
            <a:graphicData uri="http://schemas.openxmlformats.org/drawingml/2006/picture">
              <pic:pic>
                <pic:nvPicPr>
                  <pic:cNvPr id="140" name="IM 140"/>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25"/>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7"/>
      </w:rPr>
      <w:t xml:space="preserve"> </w:t>
    </w:r>
    <w:r>
      <w:rPr>
        <w:rFonts w:ascii="Microsoft YaHei" w:hAnsi="Microsoft YaHei" w:eastAsia="Microsoft YaHei" w:cs="Microsoft YaHei"/>
        <w:sz w:val="20"/>
        <w:szCs w:val="20"/>
        <w:spacing w:val="-6"/>
      </w:rPr>
      <w:t>期//</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51</w:t>
    </w:r>
  </w:p>
</w:ftr>
</file>

<file path=word/footer5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95"/>
      <w:spacing w:before="98" w:line="205" w:lineRule="auto"/>
      <w:rPr>
        <w:rFonts w:ascii="Microsoft YaHei" w:hAnsi="Microsoft YaHei" w:eastAsia="Microsoft YaHei" w:cs="Microsoft YaHei"/>
        <w:sz w:val="20"/>
        <w:szCs w:val="20"/>
      </w:rPr>
    </w:pPr>
    <w:r>
      <w:drawing>
        <wp:anchor distT="0" distB="0" distL="0" distR="0" simplePos="0" relativeHeight="252479488" behindDoc="0" locked="0" layoutInCell="0" allowOverlap="1">
          <wp:simplePos x="0" y="0"/>
          <wp:positionH relativeFrom="page">
            <wp:posOffset>1008380</wp:posOffset>
          </wp:positionH>
          <wp:positionV relativeFrom="page">
            <wp:posOffset>9692640</wp:posOffset>
          </wp:positionV>
          <wp:extent cx="5579745" cy="7619"/>
          <wp:effectExtent l="0" t="0" r="0" b="0"/>
          <wp:wrapNone/>
          <wp:docPr id="2496" name="IM 2496"/>
          <wp:cNvGraphicFramePr/>
          <a:graphic>
            <a:graphicData uri="http://schemas.openxmlformats.org/drawingml/2006/picture">
              <pic:pic>
                <pic:nvPicPr>
                  <pic:cNvPr id="2496" name="IM 2496"/>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4"/>
      </w:rPr>
      <w:t>2021 年第</w:t>
    </w:r>
    <w:r>
      <w:rPr>
        <w:rFonts w:ascii="Microsoft YaHei" w:hAnsi="Microsoft YaHei" w:eastAsia="Microsoft YaHei" w:cs="Microsoft YaHei"/>
        <w:sz w:val="20"/>
        <w:szCs w:val="20"/>
        <w:spacing w:val="31"/>
        <w:w w:val="101"/>
      </w:rPr>
      <w:t xml:space="preserve"> </w:t>
    </w:r>
    <w:r>
      <w:rPr>
        <w:rFonts w:ascii="Microsoft YaHei" w:hAnsi="Microsoft YaHei" w:eastAsia="Microsoft YaHei" w:cs="Microsoft YaHei"/>
        <w:sz w:val="20"/>
        <w:szCs w:val="20"/>
        <w:spacing w:val="-4"/>
      </w:rPr>
      <w:t>1 期总</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4"/>
      </w:rPr>
      <w:t>期</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4"/>
      </w:rPr>
      <w:t>507</w:t>
    </w:r>
  </w:p>
</w:ftr>
</file>

<file path=word/footer5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9"/>
      <w:spacing w:before="97" w:line="205" w:lineRule="auto"/>
      <w:rPr>
        <w:rFonts w:ascii="Microsoft YaHei" w:hAnsi="Microsoft YaHei" w:eastAsia="Microsoft YaHei" w:cs="Microsoft YaHei"/>
        <w:sz w:val="20"/>
        <w:szCs w:val="20"/>
      </w:rPr>
    </w:pPr>
    <w:r>
      <w:drawing>
        <wp:anchor distT="0" distB="0" distL="0" distR="0" simplePos="0" relativeHeight="252481536" behindDoc="0" locked="0" layoutInCell="0" allowOverlap="1">
          <wp:simplePos x="0" y="0"/>
          <wp:positionH relativeFrom="page">
            <wp:posOffset>997585</wp:posOffset>
          </wp:positionH>
          <wp:positionV relativeFrom="page">
            <wp:posOffset>9692957</wp:posOffset>
          </wp:positionV>
          <wp:extent cx="5579744" cy="9525"/>
          <wp:effectExtent l="0" t="0" r="0" b="0"/>
          <wp:wrapNone/>
          <wp:docPr id="2500" name="IM 2500"/>
          <wp:cNvGraphicFramePr/>
          <a:graphic>
            <a:graphicData uri="http://schemas.openxmlformats.org/drawingml/2006/picture">
              <pic:pic>
                <pic:nvPicPr>
                  <pic:cNvPr id="2500" name="IM 2500"/>
                  <pic:cNvPicPr/>
                </pic:nvPicPr>
                <pic:blipFill>
                  <a:blip r:embed="rId1"/>
                  <a:stretch>
                    <a:fillRect/>
                  </a:stretch>
                </pic:blipFill>
                <pic:spPr>
                  <a:xfrm rot="0">
                    <a:off x="0" y="0"/>
                    <a:ext cx="5579744" cy="9525"/>
                  </a:xfrm>
                  <a:prstGeom prst="rect">
                    <a:avLst/>
                  </a:prstGeom>
                </pic:spPr>
              </pic:pic>
            </a:graphicData>
          </a:graphic>
        </wp:anchor>
      </w:drawing>
    </w:r>
    <w:r>
      <w:rPr>
        <w:rFonts w:ascii="Microsoft YaHei" w:hAnsi="Microsoft YaHei" w:eastAsia="Microsoft YaHei" w:cs="Microsoft YaHei"/>
        <w:sz w:val="20"/>
        <w:szCs w:val="20"/>
        <w:spacing w:val="-5"/>
      </w:rPr>
      <w:t>508//2021 年第</w:t>
    </w:r>
    <w:r>
      <w:rPr>
        <w:rFonts w:ascii="Microsoft YaHei" w:hAnsi="Microsoft YaHei" w:eastAsia="Microsoft YaHei" w:cs="Microsoft YaHei"/>
        <w:sz w:val="20"/>
        <w:szCs w:val="20"/>
        <w:spacing w:val="22"/>
      </w:rPr>
      <w:t xml:space="preserve"> </w:t>
    </w:r>
    <w:r>
      <w:rPr>
        <w:rFonts w:ascii="Microsoft YaHei" w:hAnsi="Microsoft YaHei" w:eastAsia="Microsoft YaHei" w:cs="Microsoft YaHei"/>
        <w:sz w:val="20"/>
        <w:szCs w:val="20"/>
        <w:spacing w:val="-5"/>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5"/>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5"/>
      </w:rPr>
      <w:t>期</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8"/>
      <w:spacing w:before="90" w:line="205" w:lineRule="auto"/>
      <w:rPr>
        <w:rFonts w:ascii="Microsoft YaHei" w:hAnsi="Microsoft YaHei" w:eastAsia="Microsoft YaHei" w:cs="Microsoft YaHei"/>
        <w:sz w:val="20"/>
        <w:szCs w:val="20"/>
      </w:rPr>
    </w:pPr>
    <w:r>
      <w:drawing>
        <wp:anchor distT="0" distB="0" distL="0" distR="0" simplePos="0" relativeHeight="251709440" behindDoc="0" locked="0" layoutInCell="0" allowOverlap="1">
          <wp:simplePos x="0" y="0"/>
          <wp:positionH relativeFrom="page">
            <wp:posOffset>990600</wp:posOffset>
          </wp:positionH>
          <wp:positionV relativeFrom="page">
            <wp:posOffset>6498590</wp:posOffset>
          </wp:positionV>
          <wp:extent cx="8712200" cy="7619"/>
          <wp:effectExtent l="0" t="0" r="0" b="0"/>
          <wp:wrapNone/>
          <wp:docPr id="144" name="IM 144"/>
          <wp:cNvGraphicFramePr/>
          <a:graphic>
            <a:graphicData uri="http://schemas.openxmlformats.org/drawingml/2006/picture">
              <pic:pic>
                <pic:nvPicPr>
                  <pic:cNvPr id="144" name="IM 144"/>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52//2021 年第</w:t>
    </w:r>
    <w:r>
      <w:rPr>
        <w:rFonts w:ascii="Microsoft YaHei" w:hAnsi="Microsoft YaHei" w:eastAsia="Microsoft YaHei" w:cs="Microsoft YaHei"/>
        <w:sz w:val="20"/>
        <w:szCs w:val="20"/>
        <w:spacing w:val="35"/>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67"/>
      <w:spacing w:before="66" w:line="206" w:lineRule="auto"/>
      <w:rPr>
        <w:rFonts w:ascii="Microsoft YaHei" w:hAnsi="Microsoft YaHei" w:eastAsia="Microsoft YaHei" w:cs="Microsoft YaHei"/>
        <w:sz w:val="20"/>
        <w:szCs w:val="20"/>
      </w:rPr>
    </w:pPr>
    <w:r>
      <w:drawing>
        <wp:anchor distT="0" distB="0" distL="0" distR="0" simplePos="0" relativeHeight="251710464" behindDoc="0" locked="0" layoutInCell="0" allowOverlap="1">
          <wp:simplePos x="0" y="0"/>
          <wp:positionH relativeFrom="page">
            <wp:posOffset>985519</wp:posOffset>
          </wp:positionH>
          <wp:positionV relativeFrom="page">
            <wp:posOffset>6505575</wp:posOffset>
          </wp:positionV>
          <wp:extent cx="8712200" cy="7619"/>
          <wp:effectExtent l="0" t="0" r="0" b="0"/>
          <wp:wrapNone/>
          <wp:docPr id="148" name="IM 148"/>
          <wp:cNvGraphicFramePr/>
          <a:graphic>
            <a:graphicData uri="http://schemas.openxmlformats.org/drawingml/2006/picture">
              <pic:pic>
                <pic:nvPicPr>
                  <pic:cNvPr id="148" name="IM 148"/>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25"/>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7"/>
      </w:rPr>
      <w:t xml:space="preserve"> </w:t>
    </w:r>
    <w:r>
      <w:rPr>
        <w:rFonts w:ascii="Microsoft YaHei" w:hAnsi="Microsoft YaHei" w:eastAsia="Microsoft YaHei" w:cs="Microsoft YaHei"/>
        <w:sz w:val="20"/>
        <w:szCs w:val="20"/>
        <w:spacing w:val="-6"/>
      </w:rPr>
      <w:t>期//</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53</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8"/>
      <w:spacing w:before="90" w:line="205" w:lineRule="auto"/>
      <w:rPr>
        <w:rFonts w:ascii="Microsoft YaHei" w:hAnsi="Microsoft YaHei" w:eastAsia="Microsoft YaHei" w:cs="Microsoft YaHei"/>
        <w:sz w:val="20"/>
        <w:szCs w:val="20"/>
      </w:rPr>
    </w:pPr>
    <w:r>
      <w:drawing>
        <wp:anchor distT="0" distB="0" distL="0" distR="0" simplePos="0" relativeHeight="251711488" behindDoc="0" locked="0" layoutInCell="0" allowOverlap="1">
          <wp:simplePos x="0" y="0"/>
          <wp:positionH relativeFrom="page">
            <wp:posOffset>990600</wp:posOffset>
          </wp:positionH>
          <wp:positionV relativeFrom="page">
            <wp:posOffset>6498590</wp:posOffset>
          </wp:positionV>
          <wp:extent cx="8712200" cy="7619"/>
          <wp:effectExtent l="0" t="0" r="0" b="0"/>
          <wp:wrapNone/>
          <wp:docPr id="152" name="IM 152"/>
          <wp:cNvGraphicFramePr/>
          <a:graphic>
            <a:graphicData uri="http://schemas.openxmlformats.org/drawingml/2006/picture">
              <pic:pic>
                <pic:nvPicPr>
                  <pic:cNvPr id="152" name="IM 152"/>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54//2021 年第</w:t>
    </w:r>
    <w:r>
      <w:rPr>
        <w:rFonts w:ascii="Microsoft YaHei" w:hAnsi="Microsoft YaHei" w:eastAsia="Microsoft YaHei" w:cs="Microsoft YaHei"/>
        <w:sz w:val="20"/>
        <w:szCs w:val="20"/>
        <w:spacing w:val="35"/>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67"/>
      <w:spacing w:before="66" w:line="206" w:lineRule="auto"/>
      <w:rPr>
        <w:rFonts w:ascii="Microsoft YaHei" w:hAnsi="Microsoft YaHei" w:eastAsia="Microsoft YaHei" w:cs="Microsoft YaHei"/>
        <w:sz w:val="20"/>
        <w:szCs w:val="20"/>
      </w:rPr>
    </w:pPr>
    <w:r>
      <w:drawing>
        <wp:anchor distT="0" distB="0" distL="0" distR="0" simplePos="0" relativeHeight="251712512" behindDoc="0" locked="0" layoutInCell="0" allowOverlap="1">
          <wp:simplePos x="0" y="0"/>
          <wp:positionH relativeFrom="page">
            <wp:posOffset>985519</wp:posOffset>
          </wp:positionH>
          <wp:positionV relativeFrom="page">
            <wp:posOffset>6505575</wp:posOffset>
          </wp:positionV>
          <wp:extent cx="8712200" cy="7619"/>
          <wp:effectExtent l="0" t="0" r="0" b="0"/>
          <wp:wrapNone/>
          <wp:docPr id="156" name="IM 156"/>
          <wp:cNvGraphicFramePr/>
          <a:graphic>
            <a:graphicData uri="http://schemas.openxmlformats.org/drawingml/2006/picture">
              <pic:pic>
                <pic:nvPicPr>
                  <pic:cNvPr id="156" name="IM 156"/>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25"/>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7"/>
      </w:rPr>
      <w:t xml:space="preserve"> </w:t>
    </w:r>
    <w:r>
      <w:rPr>
        <w:rFonts w:ascii="Microsoft YaHei" w:hAnsi="Microsoft YaHei" w:eastAsia="Microsoft YaHei" w:cs="Microsoft YaHei"/>
        <w:sz w:val="20"/>
        <w:szCs w:val="20"/>
        <w:spacing w:val="-6"/>
      </w:rPr>
      <w:t>期//</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55</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8"/>
      <w:spacing w:before="90" w:line="205" w:lineRule="auto"/>
      <w:rPr>
        <w:rFonts w:ascii="Microsoft YaHei" w:hAnsi="Microsoft YaHei" w:eastAsia="Microsoft YaHei" w:cs="Microsoft YaHei"/>
        <w:sz w:val="20"/>
        <w:szCs w:val="20"/>
      </w:rPr>
    </w:pPr>
    <w:r>
      <w:drawing>
        <wp:anchor distT="0" distB="0" distL="0" distR="0" simplePos="0" relativeHeight="251713536" behindDoc="0" locked="0" layoutInCell="0" allowOverlap="1">
          <wp:simplePos x="0" y="0"/>
          <wp:positionH relativeFrom="page">
            <wp:posOffset>990600</wp:posOffset>
          </wp:positionH>
          <wp:positionV relativeFrom="page">
            <wp:posOffset>6498590</wp:posOffset>
          </wp:positionV>
          <wp:extent cx="8712200" cy="7619"/>
          <wp:effectExtent l="0" t="0" r="0" b="0"/>
          <wp:wrapNone/>
          <wp:docPr id="160" name="IM 160"/>
          <wp:cNvGraphicFramePr/>
          <a:graphic>
            <a:graphicData uri="http://schemas.openxmlformats.org/drawingml/2006/picture">
              <pic:pic>
                <pic:nvPicPr>
                  <pic:cNvPr id="160" name="IM 160"/>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56//2021 年第</w:t>
    </w:r>
    <w:r>
      <w:rPr>
        <w:rFonts w:ascii="Microsoft YaHei" w:hAnsi="Microsoft YaHei" w:eastAsia="Microsoft YaHei" w:cs="Microsoft YaHei"/>
        <w:sz w:val="20"/>
        <w:szCs w:val="20"/>
        <w:spacing w:val="35"/>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67"/>
      <w:spacing w:before="66" w:line="206" w:lineRule="auto"/>
      <w:rPr>
        <w:rFonts w:ascii="Microsoft YaHei" w:hAnsi="Microsoft YaHei" w:eastAsia="Microsoft YaHei" w:cs="Microsoft YaHei"/>
        <w:sz w:val="20"/>
        <w:szCs w:val="20"/>
      </w:rPr>
    </w:pPr>
    <w:r>
      <w:drawing>
        <wp:anchor distT="0" distB="0" distL="0" distR="0" simplePos="0" relativeHeight="251714560" behindDoc="0" locked="0" layoutInCell="0" allowOverlap="1">
          <wp:simplePos x="0" y="0"/>
          <wp:positionH relativeFrom="page">
            <wp:posOffset>985519</wp:posOffset>
          </wp:positionH>
          <wp:positionV relativeFrom="page">
            <wp:posOffset>6505575</wp:posOffset>
          </wp:positionV>
          <wp:extent cx="8712200" cy="7619"/>
          <wp:effectExtent l="0" t="0" r="0" b="0"/>
          <wp:wrapNone/>
          <wp:docPr id="164" name="IM 164"/>
          <wp:cNvGraphicFramePr/>
          <a:graphic>
            <a:graphicData uri="http://schemas.openxmlformats.org/drawingml/2006/picture">
              <pic:pic>
                <pic:nvPicPr>
                  <pic:cNvPr id="164" name="IM 164"/>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25"/>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7"/>
      </w:rPr>
      <w:t xml:space="preserve"> </w:t>
    </w:r>
    <w:r>
      <w:rPr>
        <w:rFonts w:ascii="Microsoft YaHei" w:hAnsi="Microsoft YaHei" w:eastAsia="Microsoft YaHei" w:cs="Microsoft YaHei"/>
        <w:sz w:val="20"/>
        <w:szCs w:val="20"/>
        <w:spacing w:val="-6"/>
      </w:rPr>
      <w:t>期//</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57</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8"/>
      <w:spacing w:before="90" w:line="205" w:lineRule="auto"/>
      <w:rPr>
        <w:rFonts w:ascii="Microsoft YaHei" w:hAnsi="Microsoft YaHei" w:eastAsia="Microsoft YaHei" w:cs="Microsoft YaHei"/>
        <w:sz w:val="20"/>
        <w:szCs w:val="20"/>
      </w:rPr>
    </w:pPr>
    <w:r>
      <w:drawing>
        <wp:anchor distT="0" distB="0" distL="0" distR="0" simplePos="0" relativeHeight="251715584" behindDoc="0" locked="0" layoutInCell="0" allowOverlap="1">
          <wp:simplePos x="0" y="0"/>
          <wp:positionH relativeFrom="page">
            <wp:posOffset>990600</wp:posOffset>
          </wp:positionH>
          <wp:positionV relativeFrom="page">
            <wp:posOffset>6498590</wp:posOffset>
          </wp:positionV>
          <wp:extent cx="8712200" cy="7619"/>
          <wp:effectExtent l="0" t="0" r="0" b="0"/>
          <wp:wrapNone/>
          <wp:docPr id="168" name="IM 168"/>
          <wp:cNvGraphicFramePr/>
          <a:graphic>
            <a:graphicData uri="http://schemas.openxmlformats.org/drawingml/2006/picture">
              <pic:pic>
                <pic:nvPicPr>
                  <pic:cNvPr id="168" name="IM 168"/>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58//2021 年第</w:t>
    </w:r>
    <w:r>
      <w:rPr>
        <w:rFonts w:ascii="Microsoft YaHei" w:hAnsi="Microsoft YaHei" w:eastAsia="Microsoft YaHei" w:cs="Microsoft YaHei"/>
        <w:sz w:val="20"/>
        <w:szCs w:val="20"/>
        <w:spacing w:val="35"/>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50"/>
      <w:spacing w:before="66" w:line="206" w:lineRule="auto"/>
      <w:rPr>
        <w:rFonts w:ascii="Microsoft YaHei" w:hAnsi="Microsoft YaHei" w:eastAsia="Microsoft YaHei" w:cs="Microsoft YaHei"/>
        <w:sz w:val="20"/>
        <w:szCs w:val="20"/>
      </w:rPr>
    </w:pPr>
    <w:r>
      <w:drawing>
        <wp:anchor distT="0" distB="0" distL="0" distR="0" simplePos="0" relativeHeight="251716608" behindDoc="0" locked="0" layoutInCell="0" allowOverlap="1">
          <wp:simplePos x="0" y="0"/>
          <wp:positionH relativeFrom="page">
            <wp:posOffset>985519</wp:posOffset>
          </wp:positionH>
          <wp:positionV relativeFrom="page">
            <wp:posOffset>9637394</wp:posOffset>
          </wp:positionV>
          <wp:extent cx="5579744" cy="7619"/>
          <wp:effectExtent l="0" t="0" r="0" b="0"/>
          <wp:wrapNone/>
          <wp:docPr id="174" name="IM 174"/>
          <wp:cNvGraphicFramePr/>
          <a:graphic>
            <a:graphicData uri="http://schemas.openxmlformats.org/drawingml/2006/picture">
              <pic:pic>
                <pic:nvPicPr>
                  <pic:cNvPr id="174" name="IM 17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25"/>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7"/>
      </w:rPr>
      <w:t xml:space="preserve"> </w:t>
    </w:r>
    <w:r>
      <w:rPr>
        <w:rFonts w:ascii="Microsoft YaHei" w:hAnsi="Microsoft YaHei" w:eastAsia="Microsoft YaHei" w:cs="Microsoft YaHei"/>
        <w:sz w:val="20"/>
        <w:szCs w:val="20"/>
        <w:spacing w:val="-6"/>
      </w:rPr>
      <w:t>期//</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59</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
      <w:spacing w:before="90" w:line="205" w:lineRule="auto"/>
      <w:rPr>
        <w:rFonts w:ascii="Microsoft YaHei" w:hAnsi="Microsoft YaHei" w:eastAsia="Microsoft YaHei" w:cs="Microsoft YaHei"/>
        <w:sz w:val="20"/>
        <w:szCs w:val="20"/>
      </w:rPr>
    </w:pPr>
    <w:r>
      <w:drawing>
        <wp:anchor distT="0" distB="0" distL="0" distR="0" simplePos="0" relativeHeight="251717632" behindDoc="0" locked="0" layoutInCell="0" allowOverlap="1">
          <wp:simplePos x="0" y="0"/>
          <wp:positionH relativeFrom="page">
            <wp:posOffset>990600</wp:posOffset>
          </wp:positionH>
          <wp:positionV relativeFrom="page">
            <wp:posOffset>9630409</wp:posOffset>
          </wp:positionV>
          <wp:extent cx="5579744" cy="7619"/>
          <wp:effectExtent l="0" t="0" r="0" b="0"/>
          <wp:wrapNone/>
          <wp:docPr id="180" name="IM 180"/>
          <wp:cNvGraphicFramePr/>
          <a:graphic>
            <a:graphicData uri="http://schemas.openxmlformats.org/drawingml/2006/picture">
              <pic:pic>
                <pic:nvPicPr>
                  <pic:cNvPr id="180" name="IM 18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60//2021 年第</w:t>
    </w:r>
    <w:r>
      <w:rPr>
        <w:rFonts w:ascii="Microsoft YaHei" w:hAnsi="Microsoft YaHei" w:eastAsia="Microsoft YaHei" w:cs="Microsoft YaHei"/>
        <w:sz w:val="20"/>
        <w:szCs w:val="20"/>
        <w:spacing w:val="39"/>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1"/>
      <w:spacing w:before="66" w:line="206" w:lineRule="auto"/>
      <w:rPr>
        <w:rFonts w:ascii="Microsoft YaHei" w:hAnsi="Microsoft YaHei" w:eastAsia="Microsoft YaHei" w:cs="Microsoft YaHei"/>
        <w:sz w:val="20"/>
        <w:szCs w:val="20"/>
      </w:rPr>
    </w:pPr>
    <w:r>
      <w:drawing>
        <wp:anchor distT="0" distB="0" distL="0" distR="0" simplePos="0" relativeHeight="251663360" behindDoc="0" locked="0" layoutInCell="0" allowOverlap="1">
          <wp:simplePos x="0" y="0"/>
          <wp:positionH relativeFrom="page">
            <wp:posOffset>985519</wp:posOffset>
          </wp:positionH>
          <wp:positionV relativeFrom="page">
            <wp:posOffset>9637394</wp:posOffset>
          </wp:positionV>
          <wp:extent cx="5579744" cy="7619"/>
          <wp:effectExtent l="0" t="0" r="0" b="0"/>
          <wp:wrapNone/>
          <wp:docPr id="22" name="IM 22"/>
          <wp:cNvGraphicFramePr/>
          <a:graphic>
            <a:graphicData uri="http://schemas.openxmlformats.org/drawingml/2006/picture">
              <pic:pic>
                <pic:nvPicPr>
                  <pic:cNvPr id="22" name="IM 2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19"/>
        <w:w w:val="101"/>
      </w:rPr>
      <w:t xml:space="preserve"> </w:t>
    </w:r>
    <w:r>
      <w:rPr>
        <w:rFonts w:ascii="Microsoft YaHei" w:hAnsi="Microsoft YaHei" w:eastAsia="Microsoft YaHei" w:cs="Microsoft YaHei"/>
        <w:sz w:val="20"/>
        <w:szCs w:val="20"/>
        <w:spacing w:val="-6"/>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期总</w:t>
    </w:r>
    <w:r>
      <w:rPr>
        <w:rFonts w:ascii="Microsoft YaHei" w:hAnsi="Microsoft YaHei" w:eastAsia="Microsoft YaHei" w:cs="Microsoft YaHei"/>
        <w:sz w:val="20"/>
        <w:szCs w:val="20"/>
        <w:spacing w:val="7"/>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期//</w:t>
    </w:r>
    <w:r>
      <w:rPr>
        <w:rFonts w:ascii="Microsoft YaHei" w:hAnsi="Microsoft YaHei" w:eastAsia="Microsoft YaHei" w:cs="Microsoft YaHei"/>
        <w:sz w:val="20"/>
        <w:szCs w:val="20"/>
        <w:spacing w:val="7"/>
      </w:rPr>
      <w:t xml:space="preserve"> </w:t>
    </w:r>
    <w:r>
      <w:rPr>
        <w:rFonts w:ascii="Microsoft YaHei" w:hAnsi="Microsoft YaHei" w:eastAsia="Microsoft YaHei" w:cs="Microsoft YaHei"/>
        <w:sz w:val="20"/>
        <w:szCs w:val="20"/>
        <w:spacing w:val="-6"/>
      </w:rPr>
      <w:t>7</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50"/>
      <w:spacing w:before="66" w:line="206" w:lineRule="auto"/>
      <w:rPr>
        <w:rFonts w:ascii="Microsoft YaHei" w:hAnsi="Microsoft YaHei" w:eastAsia="Microsoft YaHei" w:cs="Microsoft YaHei"/>
        <w:sz w:val="20"/>
        <w:szCs w:val="20"/>
      </w:rPr>
    </w:pPr>
    <w:r>
      <w:drawing>
        <wp:anchor distT="0" distB="0" distL="0" distR="0" simplePos="0" relativeHeight="251718656" behindDoc="0" locked="0" layoutInCell="0" allowOverlap="1">
          <wp:simplePos x="0" y="0"/>
          <wp:positionH relativeFrom="page">
            <wp:posOffset>985519</wp:posOffset>
          </wp:positionH>
          <wp:positionV relativeFrom="page">
            <wp:posOffset>9637394</wp:posOffset>
          </wp:positionV>
          <wp:extent cx="5579744" cy="7619"/>
          <wp:effectExtent l="0" t="0" r="0" b="0"/>
          <wp:wrapNone/>
          <wp:docPr id="184" name="IM 184"/>
          <wp:cNvGraphicFramePr/>
          <a:graphic>
            <a:graphicData uri="http://schemas.openxmlformats.org/drawingml/2006/picture">
              <pic:pic>
                <pic:nvPicPr>
                  <pic:cNvPr id="184" name="IM 18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29"/>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期//</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61</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0"/>
      <w:spacing w:before="90" w:line="205" w:lineRule="auto"/>
      <w:rPr>
        <w:rFonts w:ascii="Microsoft YaHei" w:hAnsi="Microsoft YaHei" w:eastAsia="Microsoft YaHei" w:cs="Microsoft YaHei"/>
        <w:sz w:val="20"/>
        <w:szCs w:val="20"/>
      </w:rPr>
    </w:pPr>
    <w:r>
      <w:drawing>
        <wp:anchor distT="0" distB="0" distL="0" distR="0" simplePos="0" relativeHeight="251719680" behindDoc="0" locked="0" layoutInCell="0" allowOverlap="1">
          <wp:simplePos x="0" y="0"/>
          <wp:positionH relativeFrom="page">
            <wp:posOffset>990600</wp:posOffset>
          </wp:positionH>
          <wp:positionV relativeFrom="page">
            <wp:posOffset>6498590</wp:posOffset>
          </wp:positionV>
          <wp:extent cx="8712200" cy="7619"/>
          <wp:effectExtent l="0" t="0" r="0" b="0"/>
          <wp:wrapNone/>
          <wp:docPr id="190" name="IM 190"/>
          <wp:cNvGraphicFramePr/>
          <a:graphic>
            <a:graphicData uri="http://schemas.openxmlformats.org/drawingml/2006/picture">
              <pic:pic>
                <pic:nvPicPr>
                  <pic:cNvPr id="190" name="IM 190"/>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62//2021 年第</w:t>
    </w:r>
    <w:r>
      <w:rPr>
        <w:rFonts w:ascii="Microsoft YaHei" w:hAnsi="Microsoft YaHei" w:eastAsia="Microsoft YaHei" w:cs="Microsoft YaHei"/>
        <w:sz w:val="20"/>
        <w:szCs w:val="20"/>
        <w:spacing w:val="39"/>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73"/>
      <w:spacing w:before="66" w:line="206" w:lineRule="auto"/>
      <w:rPr>
        <w:rFonts w:ascii="Microsoft YaHei" w:hAnsi="Microsoft YaHei" w:eastAsia="Microsoft YaHei" w:cs="Microsoft YaHei"/>
        <w:sz w:val="20"/>
        <w:szCs w:val="20"/>
      </w:rPr>
    </w:pPr>
    <w:r>
      <w:drawing>
        <wp:anchor distT="0" distB="0" distL="0" distR="0" simplePos="0" relativeHeight="251720704" behindDoc="0" locked="0" layoutInCell="0" allowOverlap="1">
          <wp:simplePos x="0" y="0"/>
          <wp:positionH relativeFrom="page">
            <wp:posOffset>985519</wp:posOffset>
          </wp:positionH>
          <wp:positionV relativeFrom="page">
            <wp:posOffset>6505575</wp:posOffset>
          </wp:positionV>
          <wp:extent cx="8712200" cy="7619"/>
          <wp:effectExtent l="0" t="0" r="0" b="0"/>
          <wp:wrapNone/>
          <wp:docPr id="196" name="IM 196"/>
          <wp:cNvGraphicFramePr/>
          <a:graphic>
            <a:graphicData uri="http://schemas.openxmlformats.org/drawingml/2006/picture">
              <pic:pic>
                <pic:nvPicPr>
                  <pic:cNvPr id="196" name="IM 196"/>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29"/>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期//</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63</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4"/>
      <w:spacing w:before="90" w:line="205" w:lineRule="auto"/>
      <w:rPr>
        <w:rFonts w:ascii="Microsoft YaHei" w:hAnsi="Microsoft YaHei" w:eastAsia="Microsoft YaHei" w:cs="Microsoft YaHei"/>
        <w:sz w:val="20"/>
        <w:szCs w:val="20"/>
      </w:rPr>
    </w:pPr>
    <w:r>
      <w:drawing>
        <wp:anchor distT="0" distB="0" distL="0" distR="0" simplePos="0" relativeHeight="251721728" behindDoc="0" locked="0" layoutInCell="0" allowOverlap="1">
          <wp:simplePos x="0" y="0"/>
          <wp:positionH relativeFrom="page">
            <wp:posOffset>990600</wp:posOffset>
          </wp:positionH>
          <wp:positionV relativeFrom="page">
            <wp:posOffset>6498590</wp:posOffset>
          </wp:positionV>
          <wp:extent cx="8712200" cy="7619"/>
          <wp:effectExtent l="0" t="0" r="0" b="0"/>
          <wp:wrapNone/>
          <wp:docPr id="200" name="IM 200"/>
          <wp:cNvGraphicFramePr/>
          <a:graphic>
            <a:graphicData uri="http://schemas.openxmlformats.org/drawingml/2006/picture">
              <pic:pic>
                <pic:nvPicPr>
                  <pic:cNvPr id="200" name="IM 200"/>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64//2021 年第</w:t>
    </w:r>
    <w:r>
      <w:rPr>
        <w:rFonts w:ascii="Microsoft YaHei" w:hAnsi="Microsoft YaHei" w:eastAsia="Microsoft YaHei" w:cs="Microsoft YaHei"/>
        <w:sz w:val="20"/>
        <w:szCs w:val="20"/>
        <w:spacing w:val="39"/>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67"/>
      <w:spacing w:before="66" w:line="206" w:lineRule="auto"/>
      <w:rPr>
        <w:rFonts w:ascii="Microsoft YaHei" w:hAnsi="Microsoft YaHei" w:eastAsia="Microsoft YaHei" w:cs="Microsoft YaHei"/>
        <w:sz w:val="20"/>
        <w:szCs w:val="20"/>
      </w:rPr>
    </w:pPr>
    <w:r>
      <w:drawing>
        <wp:anchor distT="0" distB="0" distL="0" distR="0" simplePos="0" relativeHeight="251722752" behindDoc="0" locked="0" layoutInCell="0" allowOverlap="1">
          <wp:simplePos x="0" y="0"/>
          <wp:positionH relativeFrom="page">
            <wp:posOffset>985519</wp:posOffset>
          </wp:positionH>
          <wp:positionV relativeFrom="page">
            <wp:posOffset>6505575</wp:posOffset>
          </wp:positionV>
          <wp:extent cx="8712200" cy="7619"/>
          <wp:effectExtent l="0" t="0" r="0" b="0"/>
          <wp:wrapNone/>
          <wp:docPr id="206" name="IM 206"/>
          <wp:cNvGraphicFramePr/>
          <a:graphic>
            <a:graphicData uri="http://schemas.openxmlformats.org/drawingml/2006/picture">
              <pic:pic>
                <pic:nvPicPr>
                  <pic:cNvPr id="206" name="IM 206"/>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29"/>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期//</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65</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4"/>
      <w:spacing w:before="90" w:line="205" w:lineRule="auto"/>
      <w:rPr>
        <w:rFonts w:ascii="Microsoft YaHei" w:hAnsi="Microsoft YaHei" w:eastAsia="Microsoft YaHei" w:cs="Microsoft YaHei"/>
        <w:sz w:val="20"/>
        <w:szCs w:val="20"/>
      </w:rPr>
    </w:pPr>
    <w:r>
      <w:drawing>
        <wp:anchor distT="0" distB="0" distL="0" distR="0" simplePos="0" relativeHeight="251723776" behindDoc="0" locked="0" layoutInCell="0" allowOverlap="1">
          <wp:simplePos x="0" y="0"/>
          <wp:positionH relativeFrom="page">
            <wp:posOffset>990600</wp:posOffset>
          </wp:positionH>
          <wp:positionV relativeFrom="page">
            <wp:posOffset>6498590</wp:posOffset>
          </wp:positionV>
          <wp:extent cx="8712200" cy="7619"/>
          <wp:effectExtent l="0" t="0" r="0" b="0"/>
          <wp:wrapNone/>
          <wp:docPr id="210" name="IM 210"/>
          <wp:cNvGraphicFramePr/>
          <a:graphic>
            <a:graphicData uri="http://schemas.openxmlformats.org/drawingml/2006/picture">
              <pic:pic>
                <pic:nvPicPr>
                  <pic:cNvPr id="210" name="IM 210"/>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66//2021 年第</w:t>
    </w:r>
    <w:r>
      <w:rPr>
        <w:rFonts w:ascii="Microsoft YaHei" w:hAnsi="Microsoft YaHei" w:eastAsia="Microsoft YaHei" w:cs="Microsoft YaHei"/>
        <w:sz w:val="20"/>
        <w:szCs w:val="20"/>
        <w:spacing w:val="39"/>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67"/>
      <w:spacing w:before="66" w:line="206" w:lineRule="auto"/>
      <w:rPr>
        <w:rFonts w:ascii="Microsoft YaHei" w:hAnsi="Microsoft YaHei" w:eastAsia="Microsoft YaHei" w:cs="Microsoft YaHei"/>
        <w:sz w:val="20"/>
        <w:szCs w:val="20"/>
      </w:rPr>
    </w:pPr>
    <w:r>
      <w:drawing>
        <wp:anchor distT="0" distB="0" distL="0" distR="0" simplePos="0" relativeHeight="251724800" behindDoc="0" locked="0" layoutInCell="0" allowOverlap="1">
          <wp:simplePos x="0" y="0"/>
          <wp:positionH relativeFrom="page">
            <wp:posOffset>985519</wp:posOffset>
          </wp:positionH>
          <wp:positionV relativeFrom="page">
            <wp:posOffset>6505575</wp:posOffset>
          </wp:positionV>
          <wp:extent cx="8712200" cy="7619"/>
          <wp:effectExtent l="0" t="0" r="0" b="0"/>
          <wp:wrapNone/>
          <wp:docPr id="214" name="IM 214"/>
          <wp:cNvGraphicFramePr/>
          <a:graphic>
            <a:graphicData uri="http://schemas.openxmlformats.org/drawingml/2006/picture">
              <pic:pic>
                <pic:nvPicPr>
                  <pic:cNvPr id="214" name="IM 214"/>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29"/>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期//</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67</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4"/>
      <w:spacing w:before="90" w:line="205" w:lineRule="auto"/>
      <w:rPr>
        <w:rFonts w:ascii="Microsoft YaHei" w:hAnsi="Microsoft YaHei" w:eastAsia="Microsoft YaHei" w:cs="Microsoft YaHei"/>
        <w:sz w:val="20"/>
        <w:szCs w:val="20"/>
      </w:rPr>
    </w:pPr>
    <w:r>
      <w:drawing>
        <wp:anchor distT="0" distB="0" distL="0" distR="0" simplePos="0" relativeHeight="251725824" behindDoc="0" locked="0" layoutInCell="0" allowOverlap="1">
          <wp:simplePos x="0" y="0"/>
          <wp:positionH relativeFrom="page">
            <wp:posOffset>990600</wp:posOffset>
          </wp:positionH>
          <wp:positionV relativeFrom="page">
            <wp:posOffset>6498590</wp:posOffset>
          </wp:positionV>
          <wp:extent cx="8712200" cy="7619"/>
          <wp:effectExtent l="0" t="0" r="0" b="0"/>
          <wp:wrapNone/>
          <wp:docPr id="218" name="IM 218"/>
          <wp:cNvGraphicFramePr/>
          <a:graphic>
            <a:graphicData uri="http://schemas.openxmlformats.org/drawingml/2006/picture">
              <pic:pic>
                <pic:nvPicPr>
                  <pic:cNvPr id="218" name="IM 218"/>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68//2021 年第</w:t>
    </w:r>
    <w:r>
      <w:rPr>
        <w:rFonts w:ascii="Microsoft YaHei" w:hAnsi="Microsoft YaHei" w:eastAsia="Microsoft YaHei" w:cs="Microsoft YaHei"/>
        <w:sz w:val="20"/>
        <w:szCs w:val="20"/>
        <w:spacing w:val="39"/>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67"/>
      <w:spacing w:before="66" w:line="206" w:lineRule="auto"/>
      <w:rPr>
        <w:rFonts w:ascii="Microsoft YaHei" w:hAnsi="Microsoft YaHei" w:eastAsia="Microsoft YaHei" w:cs="Microsoft YaHei"/>
        <w:sz w:val="20"/>
        <w:szCs w:val="20"/>
      </w:rPr>
    </w:pPr>
    <w:r>
      <w:drawing>
        <wp:anchor distT="0" distB="0" distL="0" distR="0" simplePos="0" relativeHeight="251726848" behindDoc="0" locked="0" layoutInCell="0" allowOverlap="1">
          <wp:simplePos x="0" y="0"/>
          <wp:positionH relativeFrom="page">
            <wp:posOffset>985519</wp:posOffset>
          </wp:positionH>
          <wp:positionV relativeFrom="page">
            <wp:posOffset>6505575</wp:posOffset>
          </wp:positionV>
          <wp:extent cx="8712200" cy="7619"/>
          <wp:effectExtent l="0" t="0" r="0" b="0"/>
          <wp:wrapNone/>
          <wp:docPr id="222" name="IM 222"/>
          <wp:cNvGraphicFramePr/>
          <a:graphic>
            <a:graphicData uri="http://schemas.openxmlformats.org/drawingml/2006/picture">
              <pic:pic>
                <pic:nvPicPr>
                  <pic:cNvPr id="222" name="IM 222"/>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29"/>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期//</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69</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6"/>
      <w:spacing w:before="90" w:line="205" w:lineRule="auto"/>
      <w:rPr>
        <w:rFonts w:ascii="Microsoft YaHei" w:hAnsi="Microsoft YaHei" w:eastAsia="Microsoft YaHei" w:cs="Microsoft YaHei"/>
        <w:sz w:val="20"/>
        <w:szCs w:val="20"/>
      </w:rPr>
    </w:pPr>
    <w:r>
      <w:drawing>
        <wp:anchor distT="0" distB="0" distL="0" distR="0" simplePos="0" relativeHeight="251727872" behindDoc="0" locked="0" layoutInCell="0" allowOverlap="1">
          <wp:simplePos x="0" y="0"/>
          <wp:positionH relativeFrom="page">
            <wp:posOffset>990600</wp:posOffset>
          </wp:positionH>
          <wp:positionV relativeFrom="page">
            <wp:posOffset>6498590</wp:posOffset>
          </wp:positionV>
          <wp:extent cx="8712200" cy="7619"/>
          <wp:effectExtent l="0" t="0" r="0" b="0"/>
          <wp:wrapNone/>
          <wp:docPr id="226" name="IM 226"/>
          <wp:cNvGraphicFramePr/>
          <a:graphic>
            <a:graphicData uri="http://schemas.openxmlformats.org/drawingml/2006/picture">
              <pic:pic>
                <pic:nvPicPr>
                  <pic:cNvPr id="226" name="IM 226"/>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70//2021 年第</w:t>
    </w:r>
    <w:r>
      <w:rPr>
        <w:rFonts w:ascii="Microsoft YaHei" w:hAnsi="Microsoft YaHei" w:eastAsia="Microsoft YaHei" w:cs="Microsoft YaHei"/>
        <w:sz w:val="20"/>
        <w:szCs w:val="20"/>
        <w:spacing w:val="37"/>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
      <w:spacing w:before="90" w:line="205" w:lineRule="auto"/>
      <w:rPr>
        <w:rFonts w:ascii="Microsoft YaHei" w:hAnsi="Microsoft YaHei" w:eastAsia="Microsoft YaHei" w:cs="Microsoft YaHei"/>
        <w:sz w:val="20"/>
        <w:szCs w:val="20"/>
      </w:rPr>
    </w:pPr>
    <w:r>
      <w:drawing>
        <wp:anchor distT="0" distB="0" distL="0" distR="0" simplePos="0" relativeHeight="251664384" behindDoc="0" locked="0" layoutInCell="0" allowOverlap="1">
          <wp:simplePos x="0" y="0"/>
          <wp:positionH relativeFrom="page">
            <wp:posOffset>990600</wp:posOffset>
          </wp:positionH>
          <wp:positionV relativeFrom="page">
            <wp:posOffset>9630409</wp:posOffset>
          </wp:positionV>
          <wp:extent cx="5579744" cy="7619"/>
          <wp:effectExtent l="0" t="0" r="0" b="0"/>
          <wp:wrapNone/>
          <wp:docPr id="26" name="IM 26"/>
          <wp:cNvGraphicFramePr/>
          <a:graphic>
            <a:graphicData uri="http://schemas.openxmlformats.org/drawingml/2006/picture">
              <pic:pic>
                <pic:nvPicPr>
                  <pic:cNvPr id="26" name="IM 2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8//2021 年第</w:t>
    </w:r>
    <w:r>
      <w:rPr>
        <w:rFonts w:ascii="Microsoft YaHei" w:hAnsi="Microsoft YaHei" w:eastAsia="Microsoft YaHei" w:cs="Microsoft YaHei"/>
        <w:sz w:val="20"/>
        <w:szCs w:val="20"/>
        <w:spacing w:val="30"/>
        <w:w w:val="101"/>
      </w:rPr>
      <w:t xml:space="preserve"> </w:t>
    </w:r>
    <w:r>
      <w:rPr>
        <w:rFonts w:ascii="Microsoft YaHei" w:hAnsi="Microsoft YaHei" w:eastAsia="Microsoft YaHei" w:cs="Microsoft YaHei"/>
        <w:sz w:val="20"/>
        <w:szCs w:val="20"/>
        <w:spacing w:val="-6"/>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期总 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67"/>
      <w:spacing w:before="66" w:line="206" w:lineRule="auto"/>
      <w:rPr>
        <w:rFonts w:ascii="Microsoft YaHei" w:hAnsi="Microsoft YaHei" w:eastAsia="Microsoft YaHei" w:cs="Microsoft YaHei"/>
        <w:sz w:val="20"/>
        <w:szCs w:val="20"/>
      </w:rPr>
    </w:pPr>
    <w:r>
      <w:drawing>
        <wp:anchor distT="0" distB="0" distL="0" distR="0" simplePos="0" relativeHeight="251728896" behindDoc="0" locked="0" layoutInCell="0" allowOverlap="1">
          <wp:simplePos x="0" y="0"/>
          <wp:positionH relativeFrom="page">
            <wp:posOffset>985519</wp:posOffset>
          </wp:positionH>
          <wp:positionV relativeFrom="page">
            <wp:posOffset>6505575</wp:posOffset>
          </wp:positionV>
          <wp:extent cx="8712200" cy="7619"/>
          <wp:effectExtent l="0" t="0" r="0" b="0"/>
          <wp:wrapNone/>
          <wp:docPr id="230" name="IM 230"/>
          <wp:cNvGraphicFramePr/>
          <a:graphic>
            <a:graphicData uri="http://schemas.openxmlformats.org/drawingml/2006/picture">
              <pic:pic>
                <pic:nvPicPr>
                  <pic:cNvPr id="230" name="IM 230"/>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28"/>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期//</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71</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6"/>
      <w:spacing w:before="90" w:line="205" w:lineRule="auto"/>
      <w:rPr>
        <w:rFonts w:ascii="Microsoft YaHei" w:hAnsi="Microsoft YaHei" w:eastAsia="Microsoft YaHei" w:cs="Microsoft YaHei"/>
        <w:sz w:val="20"/>
        <w:szCs w:val="20"/>
      </w:rPr>
    </w:pPr>
    <w:r>
      <w:drawing>
        <wp:anchor distT="0" distB="0" distL="0" distR="0" simplePos="0" relativeHeight="251729920" behindDoc="0" locked="0" layoutInCell="0" allowOverlap="1">
          <wp:simplePos x="0" y="0"/>
          <wp:positionH relativeFrom="page">
            <wp:posOffset>990600</wp:posOffset>
          </wp:positionH>
          <wp:positionV relativeFrom="page">
            <wp:posOffset>6498590</wp:posOffset>
          </wp:positionV>
          <wp:extent cx="8712200" cy="7619"/>
          <wp:effectExtent l="0" t="0" r="0" b="0"/>
          <wp:wrapNone/>
          <wp:docPr id="234" name="IM 234"/>
          <wp:cNvGraphicFramePr/>
          <a:graphic>
            <a:graphicData uri="http://schemas.openxmlformats.org/drawingml/2006/picture">
              <pic:pic>
                <pic:nvPicPr>
                  <pic:cNvPr id="234" name="IM 234"/>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72//2021 年第</w:t>
    </w:r>
    <w:r>
      <w:rPr>
        <w:rFonts w:ascii="Microsoft YaHei" w:hAnsi="Microsoft YaHei" w:eastAsia="Microsoft YaHei" w:cs="Microsoft YaHei"/>
        <w:sz w:val="20"/>
        <w:szCs w:val="20"/>
        <w:spacing w:val="37"/>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67"/>
      <w:spacing w:before="66" w:line="206" w:lineRule="auto"/>
      <w:rPr>
        <w:rFonts w:ascii="Microsoft YaHei" w:hAnsi="Microsoft YaHei" w:eastAsia="Microsoft YaHei" w:cs="Microsoft YaHei"/>
        <w:sz w:val="20"/>
        <w:szCs w:val="20"/>
      </w:rPr>
    </w:pPr>
    <w:r>
      <w:drawing>
        <wp:anchor distT="0" distB="0" distL="0" distR="0" simplePos="0" relativeHeight="251730944" behindDoc="0" locked="0" layoutInCell="0" allowOverlap="1">
          <wp:simplePos x="0" y="0"/>
          <wp:positionH relativeFrom="page">
            <wp:posOffset>985519</wp:posOffset>
          </wp:positionH>
          <wp:positionV relativeFrom="page">
            <wp:posOffset>6505575</wp:posOffset>
          </wp:positionV>
          <wp:extent cx="8712200" cy="7619"/>
          <wp:effectExtent l="0" t="0" r="0" b="0"/>
          <wp:wrapNone/>
          <wp:docPr id="238" name="IM 238"/>
          <wp:cNvGraphicFramePr/>
          <a:graphic>
            <a:graphicData uri="http://schemas.openxmlformats.org/drawingml/2006/picture">
              <pic:pic>
                <pic:nvPicPr>
                  <pic:cNvPr id="238" name="IM 238"/>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28"/>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期//</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73</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6"/>
      <w:spacing w:before="90" w:line="205" w:lineRule="auto"/>
      <w:rPr>
        <w:rFonts w:ascii="Microsoft YaHei" w:hAnsi="Microsoft YaHei" w:eastAsia="Microsoft YaHei" w:cs="Microsoft YaHei"/>
        <w:sz w:val="20"/>
        <w:szCs w:val="20"/>
      </w:rPr>
    </w:pPr>
    <w:r>
      <w:drawing>
        <wp:anchor distT="0" distB="0" distL="0" distR="0" simplePos="0" relativeHeight="251731968" behindDoc="0" locked="0" layoutInCell="0" allowOverlap="1">
          <wp:simplePos x="0" y="0"/>
          <wp:positionH relativeFrom="page">
            <wp:posOffset>990600</wp:posOffset>
          </wp:positionH>
          <wp:positionV relativeFrom="page">
            <wp:posOffset>6498590</wp:posOffset>
          </wp:positionV>
          <wp:extent cx="8712200" cy="7619"/>
          <wp:effectExtent l="0" t="0" r="0" b="0"/>
          <wp:wrapNone/>
          <wp:docPr id="242" name="IM 242"/>
          <wp:cNvGraphicFramePr/>
          <a:graphic>
            <a:graphicData uri="http://schemas.openxmlformats.org/drawingml/2006/picture">
              <pic:pic>
                <pic:nvPicPr>
                  <pic:cNvPr id="242" name="IM 242"/>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74//2021 年第</w:t>
    </w:r>
    <w:r>
      <w:rPr>
        <w:rFonts w:ascii="Microsoft YaHei" w:hAnsi="Microsoft YaHei" w:eastAsia="Microsoft YaHei" w:cs="Microsoft YaHei"/>
        <w:sz w:val="20"/>
        <w:szCs w:val="20"/>
        <w:spacing w:val="37"/>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67"/>
      <w:spacing w:before="66" w:line="206" w:lineRule="auto"/>
      <w:rPr>
        <w:rFonts w:ascii="Microsoft YaHei" w:hAnsi="Microsoft YaHei" w:eastAsia="Microsoft YaHei" w:cs="Microsoft YaHei"/>
        <w:sz w:val="20"/>
        <w:szCs w:val="20"/>
      </w:rPr>
    </w:pPr>
    <w:r>
      <w:drawing>
        <wp:anchor distT="0" distB="0" distL="0" distR="0" simplePos="0" relativeHeight="251732992" behindDoc="0" locked="0" layoutInCell="0" allowOverlap="1">
          <wp:simplePos x="0" y="0"/>
          <wp:positionH relativeFrom="page">
            <wp:posOffset>985519</wp:posOffset>
          </wp:positionH>
          <wp:positionV relativeFrom="page">
            <wp:posOffset>6505575</wp:posOffset>
          </wp:positionV>
          <wp:extent cx="8712200" cy="7619"/>
          <wp:effectExtent l="0" t="0" r="0" b="0"/>
          <wp:wrapNone/>
          <wp:docPr id="246" name="IM 246"/>
          <wp:cNvGraphicFramePr/>
          <a:graphic>
            <a:graphicData uri="http://schemas.openxmlformats.org/drawingml/2006/picture">
              <pic:pic>
                <pic:nvPicPr>
                  <pic:cNvPr id="246" name="IM 246"/>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28"/>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期//</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75</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6"/>
      <w:spacing w:before="90" w:line="205" w:lineRule="auto"/>
      <w:rPr>
        <w:rFonts w:ascii="Microsoft YaHei" w:hAnsi="Microsoft YaHei" w:eastAsia="Microsoft YaHei" w:cs="Microsoft YaHei"/>
        <w:sz w:val="20"/>
        <w:szCs w:val="20"/>
      </w:rPr>
    </w:pPr>
    <w:r>
      <w:drawing>
        <wp:anchor distT="0" distB="0" distL="0" distR="0" simplePos="0" relativeHeight="251734016" behindDoc="0" locked="0" layoutInCell="0" allowOverlap="1">
          <wp:simplePos x="0" y="0"/>
          <wp:positionH relativeFrom="page">
            <wp:posOffset>990600</wp:posOffset>
          </wp:positionH>
          <wp:positionV relativeFrom="page">
            <wp:posOffset>6498590</wp:posOffset>
          </wp:positionV>
          <wp:extent cx="8712200" cy="7619"/>
          <wp:effectExtent l="0" t="0" r="0" b="0"/>
          <wp:wrapNone/>
          <wp:docPr id="250" name="IM 250"/>
          <wp:cNvGraphicFramePr/>
          <a:graphic>
            <a:graphicData uri="http://schemas.openxmlformats.org/drawingml/2006/picture">
              <pic:pic>
                <pic:nvPicPr>
                  <pic:cNvPr id="250" name="IM 250"/>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76//2021 年第</w:t>
    </w:r>
    <w:r>
      <w:rPr>
        <w:rFonts w:ascii="Microsoft YaHei" w:hAnsi="Microsoft YaHei" w:eastAsia="Microsoft YaHei" w:cs="Microsoft YaHei"/>
        <w:sz w:val="20"/>
        <w:szCs w:val="20"/>
        <w:spacing w:val="37"/>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67"/>
      <w:spacing w:before="66" w:line="206" w:lineRule="auto"/>
      <w:rPr>
        <w:rFonts w:ascii="Microsoft YaHei" w:hAnsi="Microsoft YaHei" w:eastAsia="Microsoft YaHei" w:cs="Microsoft YaHei"/>
        <w:sz w:val="20"/>
        <w:szCs w:val="20"/>
      </w:rPr>
    </w:pPr>
    <w:r>
      <w:drawing>
        <wp:anchor distT="0" distB="0" distL="0" distR="0" simplePos="0" relativeHeight="251735040" behindDoc="0" locked="0" layoutInCell="0" allowOverlap="1">
          <wp:simplePos x="0" y="0"/>
          <wp:positionH relativeFrom="page">
            <wp:posOffset>985519</wp:posOffset>
          </wp:positionH>
          <wp:positionV relativeFrom="page">
            <wp:posOffset>6505575</wp:posOffset>
          </wp:positionV>
          <wp:extent cx="8712200" cy="7619"/>
          <wp:effectExtent l="0" t="0" r="0" b="0"/>
          <wp:wrapNone/>
          <wp:docPr id="254" name="IM 254"/>
          <wp:cNvGraphicFramePr/>
          <a:graphic>
            <a:graphicData uri="http://schemas.openxmlformats.org/drawingml/2006/picture">
              <pic:pic>
                <pic:nvPicPr>
                  <pic:cNvPr id="254" name="IM 254"/>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28"/>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期//</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77</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6"/>
      <w:spacing w:before="90" w:line="205" w:lineRule="auto"/>
      <w:rPr>
        <w:rFonts w:ascii="Microsoft YaHei" w:hAnsi="Microsoft YaHei" w:eastAsia="Microsoft YaHei" w:cs="Microsoft YaHei"/>
        <w:sz w:val="20"/>
        <w:szCs w:val="20"/>
      </w:rPr>
    </w:pPr>
    <w:r>
      <w:drawing>
        <wp:anchor distT="0" distB="0" distL="0" distR="0" simplePos="0" relativeHeight="251736064" behindDoc="0" locked="0" layoutInCell="0" allowOverlap="1">
          <wp:simplePos x="0" y="0"/>
          <wp:positionH relativeFrom="page">
            <wp:posOffset>990600</wp:posOffset>
          </wp:positionH>
          <wp:positionV relativeFrom="page">
            <wp:posOffset>6498590</wp:posOffset>
          </wp:positionV>
          <wp:extent cx="8712200" cy="7619"/>
          <wp:effectExtent l="0" t="0" r="0" b="0"/>
          <wp:wrapNone/>
          <wp:docPr id="258" name="IM 258"/>
          <wp:cNvGraphicFramePr/>
          <a:graphic>
            <a:graphicData uri="http://schemas.openxmlformats.org/drawingml/2006/picture">
              <pic:pic>
                <pic:nvPicPr>
                  <pic:cNvPr id="258" name="IM 258"/>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78//2021 年第</w:t>
    </w:r>
    <w:r>
      <w:rPr>
        <w:rFonts w:ascii="Microsoft YaHei" w:hAnsi="Microsoft YaHei" w:eastAsia="Microsoft YaHei" w:cs="Microsoft YaHei"/>
        <w:sz w:val="20"/>
        <w:szCs w:val="20"/>
        <w:spacing w:val="37"/>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67"/>
      <w:spacing w:before="66" w:line="206" w:lineRule="auto"/>
      <w:rPr>
        <w:rFonts w:ascii="Microsoft YaHei" w:hAnsi="Microsoft YaHei" w:eastAsia="Microsoft YaHei" w:cs="Microsoft YaHei"/>
        <w:sz w:val="20"/>
        <w:szCs w:val="20"/>
      </w:rPr>
    </w:pPr>
    <w:r>
      <w:drawing>
        <wp:anchor distT="0" distB="0" distL="0" distR="0" simplePos="0" relativeHeight="251737088" behindDoc="0" locked="0" layoutInCell="0" allowOverlap="1">
          <wp:simplePos x="0" y="0"/>
          <wp:positionH relativeFrom="page">
            <wp:posOffset>985519</wp:posOffset>
          </wp:positionH>
          <wp:positionV relativeFrom="page">
            <wp:posOffset>6505575</wp:posOffset>
          </wp:positionV>
          <wp:extent cx="8712200" cy="7619"/>
          <wp:effectExtent l="0" t="0" r="0" b="0"/>
          <wp:wrapNone/>
          <wp:docPr id="262" name="IM 262"/>
          <wp:cNvGraphicFramePr/>
          <a:graphic>
            <a:graphicData uri="http://schemas.openxmlformats.org/drawingml/2006/picture">
              <pic:pic>
                <pic:nvPicPr>
                  <pic:cNvPr id="262" name="IM 262"/>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28"/>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期//</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79</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4"/>
      <w:spacing w:before="90" w:line="205" w:lineRule="auto"/>
      <w:rPr>
        <w:rFonts w:ascii="Microsoft YaHei" w:hAnsi="Microsoft YaHei" w:eastAsia="Microsoft YaHei" w:cs="Microsoft YaHei"/>
        <w:sz w:val="20"/>
        <w:szCs w:val="20"/>
      </w:rPr>
    </w:pPr>
    <w:r>
      <w:drawing>
        <wp:anchor distT="0" distB="0" distL="0" distR="0" simplePos="0" relativeHeight="251738112" behindDoc="0" locked="0" layoutInCell="0" allowOverlap="1">
          <wp:simplePos x="0" y="0"/>
          <wp:positionH relativeFrom="page">
            <wp:posOffset>990600</wp:posOffset>
          </wp:positionH>
          <wp:positionV relativeFrom="page">
            <wp:posOffset>6498590</wp:posOffset>
          </wp:positionV>
          <wp:extent cx="8712200" cy="7619"/>
          <wp:effectExtent l="0" t="0" r="0" b="0"/>
          <wp:wrapNone/>
          <wp:docPr id="266" name="IM 266"/>
          <wp:cNvGraphicFramePr/>
          <a:graphic>
            <a:graphicData uri="http://schemas.openxmlformats.org/drawingml/2006/picture">
              <pic:pic>
                <pic:nvPicPr>
                  <pic:cNvPr id="266" name="IM 266"/>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80//2021 年第</w:t>
    </w:r>
    <w:r>
      <w:rPr>
        <w:rFonts w:ascii="Microsoft YaHei" w:hAnsi="Microsoft YaHei" w:eastAsia="Microsoft YaHei" w:cs="Microsoft YaHei"/>
        <w:sz w:val="20"/>
        <w:szCs w:val="20"/>
        <w:spacing w:val="39"/>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1"/>
      <w:spacing w:before="66" w:line="206" w:lineRule="auto"/>
      <w:rPr>
        <w:rFonts w:ascii="Microsoft YaHei" w:hAnsi="Microsoft YaHei" w:eastAsia="Microsoft YaHei" w:cs="Microsoft YaHei"/>
        <w:sz w:val="20"/>
        <w:szCs w:val="20"/>
      </w:rPr>
    </w:pPr>
    <w:r>
      <w:drawing>
        <wp:anchor distT="0" distB="0" distL="0" distR="0" simplePos="0" relativeHeight="251665408" behindDoc="0" locked="0" layoutInCell="0" allowOverlap="1">
          <wp:simplePos x="0" y="0"/>
          <wp:positionH relativeFrom="page">
            <wp:posOffset>985519</wp:posOffset>
          </wp:positionH>
          <wp:positionV relativeFrom="page">
            <wp:posOffset>9637394</wp:posOffset>
          </wp:positionV>
          <wp:extent cx="5579744" cy="7619"/>
          <wp:effectExtent l="0" t="0" r="0" b="0"/>
          <wp:wrapNone/>
          <wp:docPr id="30" name="IM 30"/>
          <wp:cNvGraphicFramePr/>
          <a:graphic>
            <a:graphicData uri="http://schemas.openxmlformats.org/drawingml/2006/picture">
              <pic:pic>
                <pic:nvPicPr>
                  <pic:cNvPr id="30" name="IM 30"/>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31"/>
      </w:rPr>
      <w:t xml:space="preserve"> </w:t>
    </w:r>
    <w:r>
      <w:rPr>
        <w:rFonts w:ascii="Microsoft YaHei" w:hAnsi="Microsoft YaHei" w:eastAsia="Microsoft YaHei" w:cs="Microsoft YaHei"/>
        <w:sz w:val="20"/>
        <w:szCs w:val="20"/>
        <w:spacing w:val="-6"/>
      </w:rPr>
      <w:t>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期总</w:t>
    </w:r>
    <w:r>
      <w:rPr>
        <w:rFonts w:ascii="Microsoft YaHei" w:hAnsi="Microsoft YaHei" w:eastAsia="Microsoft YaHei" w:cs="Microsoft YaHei"/>
        <w:sz w:val="20"/>
        <w:szCs w:val="20"/>
        <w:spacing w:val="7"/>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8"/>
      </w:rPr>
      <w:t xml:space="preserve"> </w:t>
    </w:r>
    <w:r>
      <w:rPr>
        <w:rFonts w:ascii="Microsoft YaHei" w:hAnsi="Microsoft YaHei" w:eastAsia="Microsoft YaHei" w:cs="Microsoft YaHei"/>
        <w:sz w:val="20"/>
        <w:szCs w:val="20"/>
        <w:spacing w:val="-6"/>
      </w:rPr>
      <w:t>期// 9</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67"/>
      <w:spacing w:before="66" w:line="206" w:lineRule="auto"/>
      <w:rPr>
        <w:rFonts w:ascii="Microsoft YaHei" w:hAnsi="Microsoft YaHei" w:eastAsia="Microsoft YaHei" w:cs="Microsoft YaHei"/>
        <w:sz w:val="20"/>
        <w:szCs w:val="20"/>
      </w:rPr>
    </w:pPr>
    <w:r>
      <w:drawing>
        <wp:anchor distT="0" distB="0" distL="0" distR="0" simplePos="0" relativeHeight="251739136" behindDoc="0" locked="0" layoutInCell="0" allowOverlap="1">
          <wp:simplePos x="0" y="0"/>
          <wp:positionH relativeFrom="page">
            <wp:posOffset>985519</wp:posOffset>
          </wp:positionH>
          <wp:positionV relativeFrom="page">
            <wp:posOffset>6505575</wp:posOffset>
          </wp:positionV>
          <wp:extent cx="8712200" cy="7619"/>
          <wp:effectExtent l="0" t="0" r="0" b="0"/>
          <wp:wrapNone/>
          <wp:docPr id="270" name="IM 270"/>
          <wp:cNvGraphicFramePr/>
          <a:graphic>
            <a:graphicData uri="http://schemas.openxmlformats.org/drawingml/2006/picture">
              <pic:pic>
                <pic:nvPicPr>
                  <pic:cNvPr id="270" name="IM 270"/>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29"/>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期//</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81</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4"/>
      <w:spacing w:before="90" w:line="205" w:lineRule="auto"/>
      <w:rPr>
        <w:rFonts w:ascii="Microsoft YaHei" w:hAnsi="Microsoft YaHei" w:eastAsia="Microsoft YaHei" w:cs="Microsoft YaHei"/>
        <w:sz w:val="20"/>
        <w:szCs w:val="20"/>
      </w:rPr>
    </w:pPr>
    <w:r>
      <w:drawing>
        <wp:anchor distT="0" distB="0" distL="0" distR="0" simplePos="0" relativeHeight="251740160" behindDoc="0" locked="0" layoutInCell="0" allowOverlap="1">
          <wp:simplePos x="0" y="0"/>
          <wp:positionH relativeFrom="page">
            <wp:posOffset>990600</wp:posOffset>
          </wp:positionH>
          <wp:positionV relativeFrom="page">
            <wp:posOffset>6498590</wp:posOffset>
          </wp:positionV>
          <wp:extent cx="8712200" cy="7619"/>
          <wp:effectExtent l="0" t="0" r="0" b="0"/>
          <wp:wrapNone/>
          <wp:docPr id="274" name="IM 274"/>
          <wp:cNvGraphicFramePr/>
          <a:graphic>
            <a:graphicData uri="http://schemas.openxmlformats.org/drawingml/2006/picture">
              <pic:pic>
                <pic:nvPicPr>
                  <pic:cNvPr id="274" name="IM 274"/>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82//2021 年第</w:t>
    </w:r>
    <w:r>
      <w:rPr>
        <w:rFonts w:ascii="Microsoft YaHei" w:hAnsi="Microsoft YaHei" w:eastAsia="Microsoft YaHei" w:cs="Microsoft YaHei"/>
        <w:sz w:val="20"/>
        <w:szCs w:val="20"/>
        <w:spacing w:val="39"/>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67"/>
      <w:spacing w:before="66" w:line="206" w:lineRule="auto"/>
      <w:rPr>
        <w:rFonts w:ascii="Microsoft YaHei" w:hAnsi="Microsoft YaHei" w:eastAsia="Microsoft YaHei" w:cs="Microsoft YaHei"/>
        <w:sz w:val="20"/>
        <w:szCs w:val="20"/>
      </w:rPr>
    </w:pPr>
    <w:r>
      <w:drawing>
        <wp:anchor distT="0" distB="0" distL="0" distR="0" simplePos="0" relativeHeight="251741184" behindDoc="0" locked="0" layoutInCell="0" allowOverlap="1">
          <wp:simplePos x="0" y="0"/>
          <wp:positionH relativeFrom="page">
            <wp:posOffset>985519</wp:posOffset>
          </wp:positionH>
          <wp:positionV relativeFrom="page">
            <wp:posOffset>6505575</wp:posOffset>
          </wp:positionV>
          <wp:extent cx="8712200" cy="7619"/>
          <wp:effectExtent l="0" t="0" r="0" b="0"/>
          <wp:wrapNone/>
          <wp:docPr id="278" name="IM 278"/>
          <wp:cNvGraphicFramePr/>
          <a:graphic>
            <a:graphicData uri="http://schemas.openxmlformats.org/drawingml/2006/picture">
              <pic:pic>
                <pic:nvPicPr>
                  <pic:cNvPr id="278" name="IM 278"/>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29"/>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期//</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83</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4"/>
      <w:spacing w:before="90" w:line="205" w:lineRule="auto"/>
      <w:rPr>
        <w:rFonts w:ascii="Microsoft YaHei" w:hAnsi="Microsoft YaHei" w:eastAsia="Microsoft YaHei" w:cs="Microsoft YaHei"/>
        <w:sz w:val="20"/>
        <w:szCs w:val="20"/>
      </w:rPr>
    </w:pPr>
    <w:r>
      <w:drawing>
        <wp:anchor distT="0" distB="0" distL="0" distR="0" simplePos="0" relativeHeight="251742208" behindDoc="0" locked="0" layoutInCell="0" allowOverlap="1">
          <wp:simplePos x="0" y="0"/>
          <wp:positionH relativeFrom="page">
            <wp:posOffset>990600</wp:posOffset>
          </wp:positionH>
          <wp:positionV relativeFrom="page">
            <wp:posOffset>6498590</wp:posOffset>
          </wp:positionV>
          <wp:extent cx="8712200" cy="7619"/>
          <wp:effectExtent l="0" t="0" r="0" b="0"/>
          <wp:wrapNone/>
          <wp:docPr id="282" name="IM 282"/>
          <wp:cNvGraphicFramePr/>
          <a:graphic>
            <a:graphicData uri="http://schemas.openxmlformats.org/drawingml/2006/picture">
              <pic:pic>
                <pic:nvPicPr>
                  <pic:cNvPr id="282" name="IM 282"/>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84//2021 年第</w:t>
    </w:r>
    <w:r>
      <w:rPr>
        <w:rFonts w:ascii="Microsoft YaHei" w:hAnsi="Microsoft YaHei" w:eastAsia="Microsoft YaHei" w:cs="Microsoft YaHei"/>
        <w:sz w:val="20"/>
        <w:szCs w:val="20"/>
        <w:spacing w:val="39"/>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267"/>
      <w:spacing w:before="66" w:line="206" w:lineRule="auto"/>
      <w:rPr>
        <w:rFonts w:ascii="Microsoft YaHei" w:hAnsi="Microsoft YaHei" w:eastAsia="Microsoft YaHei" w:cs="Microsoft YaHei"/>
        <w:sz w:val="20"/>
        <w:szCs w:val="20"/>
      </w:rPr>
    </w:pPr>
    <w:r>
      <w:drawing>
        <wp:anchor distT="0" distB="0" distL="0" distR="0" simplePos="0" relativeHeight="251743232" behindDoc="0" locked="0" layoutInCell="0" allowOverlap="1">
          <wp:simplePos x="0" y="0"/>
          <wp:positionH relativeFrom="page">
            <wp:posOffset>985519</wp:posOffset>
          </wp:positionH>
          <wp:positionV relativeFrom="page">
            <wp:posOffset>6505575</wp:posOffset>
          </wp:positionV>
          <wp:extent cx="8712200" cy="7619"/>
          <wp:effectExtent l="0" t="0" r="0" b="0"/>
          <wp:wrapNone/>
          <wp:docPr id="286" name="IM 286"/>
          <wp:cNvGraphicFramePr/>
          <a:graphic>
            <a:graphicData uri="http://schemas.openxmlformats.org/drawingml/2006/picture">
              <pic:pic>
                <pic:nvPicPr>
                  <pic:cNvPr id="286" name="IM 286"/>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29"/>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期//</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85</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
      <w:spacing w:before="90" w:line="205" w:lineRule="auto"/>
      <w:rPr>
        <w:rFonts w:ascii="Microsoft YaHei" w:hAnsi="Microsoft YaHei" w:eastAsia="Microsoft YaHei" w:cs="Microsoft YaHei"/>
        <w:sz w:val="20"/>
        <w:szCs w:val="20"/>
      </w:rPr>
    </w:pPr>
    <w:r>
      <w:drawing>
        <wp:anchor distT="0" distB="0" distL="0" distR="0" simplePos="0" relativeHeight="251744256" behindDoc="0" locked="0" layoutInCell="0" allowOverlap="1">
          <wp:simplePos x="0" y="0"/>
          <wp:positionH relativeFrom="page">
            <wp:posOffset>990600</wp:posOffset>
          </wp:positionH>
          <wp:positionV relativeFrom="page">
            <wp:posOffset>6498590</wp:posOffset>
          </wp:positionV>
          <wp:extent cx="8712200" cy="7619"/>
          <wp:effectExtent l="0" t="0" r="0" b="0"/>
          <wp:wrapNone/>
          <wp:docPr id="292" name="IM 292"/>
          <wp:cNvGraphicFramePr/>
          <a:graphic>
            <a:graphicData uri="http://schemas.openxmlformats.org/drawingml/2006/picture">
              <pic:pic>
                <pic:nvPicPr>
                  <pic:cNvPr id="292" name="IM 292"/>
                  <pic:cNvPicPr/>
                </pic:nvPicPr>
                <pic:blipFill>
                  <a:blip r:embed="rId1"/>
                  <a:stretch>
                    <a:fillRect/>
                  </a:stretch>
                </pic:blipFill>
                <pic:spPr>
                  <a:xfrm rot="0">
                    <a:off x="0" y="0"/>
                    <a:ext cx="8712200" cy="7619"/>
                  </a:xfrm>
                  <a:prstGeom prst="rect">
                    <a:avLst/>
                  </a:prstGeom>
                </pic:spPr>
              </pic:pic>
            </a:graphicData>
          </a:graphic>
        </wp:anchor>
      </w:drawing>
    </w:r>
    <w:r>
      <w:rPr>
        <w:rFonts w:ascii="Microsoft YaHei" w:hAnsi="Microsoft YaHei" w:eastAsia="Microsoft YaHei" w:cs="Microsoft YaHei"/>
        <w:sz w:val="20"/>
        <w:szCs w:val="20"/>
        <w:spacing w:val="-6"/>
      </w:rPr>
      <w:t>86//2021 年第</w:t>
    </w:r>
    <w:r>
      <w:rPr>
        <w:rFonts w:ascii="Microsoft YaHei" w:hAnsi="Microsoft YaHei" w:eastAsia="Microsoft YaHei" w:cs="Microsoft YaHei"/>
        <w:sz w:val="20"/>
        <w:szCs w:val="20"/>
        <w:spacing w:val="39"/>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71"/>
      <w:spacing w:before="94" w:line="205" w:lineRule="auto"/>
      <w:rPr>
        <w:rFonts w:ascii="Microsoft YaHei" w:hAnsi="Microsoft YaHei" w:eastAsia="Microsoft YaHei" w:cs="Microsoft YaHei"/>
        <w:sz w:val="20"/>
        <w:szCs w:val="20"/>
      </w:rPr>
    </w:pPr>
    <w:r>
      <w:drawing>
        <wp:anchor distT="0" distB="0" distL="0" distR="0" simplePos="0" relativeHeight="251745280" behindDoc="0" locked="0" layoutInCell="0" allowOverlap="1">
          <wp:simplePos x="0" y="0"/>
          <wp:positionH relativeFrom="page">
            <wp:posOffset>1008380</wp:posOffset>
          </wp:positionH>
          <wp:positionV relativeFrom="page">
            <wp:posOffset>9893300</wp:posOffset>
          </wp:positionV>
          <wp:extent cx="5579745" cy="7619"/>
          <wp:effectExtent l="0" t="0" r="0" b="0"/>
          <wp:wrapNone/>
          <wp:docPr id="298" name="IM 298"/>
          <wp:cNvGraphicFramePr/>
          <a:graphic>
            <a:graphicData uri="http://schemas.openxmlformats.org/drawingml/2006/picture">
              <pic:pic>
                <pic:nvPicPr>
                  <pic:cNvPr id="298" name="IM 29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35"/>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期//87</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
      <w:spacing w:before="90" w:line="205" w:lineRule="auto"/>
      <w:rPr>
        <w:rFonts w:ascii="Microsoft YaHei" w:hAnsi="Microsoft YaHei" w:eastAsia="Microsoft YaHei" w:cs="Microsoft YaHei"/>
        <w:sz w:val="20"/>
        <w:szCs w:val="20"/>
      </w:rPr>
    </w:pPr>
    <w:r>
      <w:drawing>
        <wp:anchor distT="0" distB="0" distL="0" distR="0" simplePos="0" relativeHeight="251746304" behindDoc="0" locked="0" layoutInCell="0" allowOverlap="1">
          <wp:simplePos x="0" y="0"/>
          <wp:positionH relativeFrom="page">
            <wp:posOffset>990600</wp:posOffset>
          </wp:positionH>
          <wp:positionV relativeFrom="page">
            <wp:posOffset>9630409</wp:posOffset>
          </wp:positionV>
          <wp:extent cx="5579744" cy="7619"/>
          <wp:effectExtent l="0" t="0" r="0" b="0"/>
          <wp:wrapNone/>
          <wp:docPr id="304" name="IM 304"/>
          <wp:cNvGraphicFramePr/>
          <a:graphic>
            <a:graphicData uri="http://schemas.openxmlformats.org/drawingml/2006/picture">
              <pic:pic>
                <pic:nvPicPr>
                  <pic:cNvPr id="304" name="IM 30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88//2021 年第</w:t>
    </w:r>
    <w:r>
      <w:rPr>
        <w:rFonts w:ascii="Microsoft YaHei" w:hAnsi="Microsoft YaHei" w:eastAsia="Microsoft YaHei" w:cs="Microsoft YaHei"/>
        <w:sz w:val="20"/>
        <w:szCs w:val="20"/>
        <w:spacing w:val="39"/>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71"/>
      <w:spacing w:before="94" w:line="205" w:lineRule="auto"/>
      <w:rPr>
        <w:rFonts w:ascii="Microsoft YaHei" w:hAnsi="Microsoft YaHei" w:eastAsia="Microsoft YaHei" w:cs="Microsoft YaHei"/>
        <w:sz w:val="20"/>
        <w:szCs w:val="20"/>
      </w:rPr>
    </w:pPr>
    <w:r>
      <w:drawing>
        <wp:anchor distT="0" distB="0" distL="0" distR="0" simplePos="0" relativeHeight="251747328"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310" name="IM 310"/>
          <wp:cNvGraphicFramePr/>
          <a:graphic>
            <a:graphicData uri="http://schemas.openxmlformats.org/drawingml/2006/picture">
              <pic:pic>
                <pic:nvPicPr>
                  <pic:cNvPr id="310" name="IM 31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35"/>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期//89</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7"/>
      <w:spacing w:before="90" w:line="205" w:lineRule="auto"/>
      <w:rPr>
        <w:rFonts w:ascii="Microsoft YaHei" w:hAnsi="Microsoft YaHei" w:eastAsia="Microsoft YaHei" w:cs="Microsoft YaHei"/>
        <w:sz w:val="20"/>
        <w:szCs w:val="20"/>
      </w:rPr>
    </w:pPr>
    <w:r>
      <w:drawing>
        <wp:anchor distT="0" distB="0" distL="0" distR="0" simplePos="0" relativeHeight="251748352" behindDoc="0" locked="0" layoutInCell="0" allowOverlap="1">
          <wp:simplePos x="0" y="0"/>
          <wp:positionH relativeFrom="page">
            <wp:posOffset>990600</wp:posOffset>
          </wp:positionH>
          <wp:positionV relativeFrom="page">
            <wp:posOffset>9630409</wp:posOffset>
          </wp:positionV>
          <wp:extent cx="5579744" cy="7619"/>
          <wp:effectExtent l="0" t="0" r="0" b="0"/>
          <wp:wrapNone/>
          <wp:docPr id="316" name="IM 316"/>
          <wp:cNvGraphicFramePr/>
          <a:graphic>
            <a:graphicData uri="http://schemas.openxmlformats.org/drawingml/2006/picture">
              <pic:pic>
                <pic:nvPicPr>
                  <pic:cNvPr id="316" name="IM 31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90//2021 年第</w:t>
    </w:r>
    <w:r>
      <w:rPr>
        <w:rFonts w:ascii="Microsoft YaHei" w:hAnsi="Microsoft YaHei" w:eastAsia="Microsoft YaHei" w:cs="Microsoft YaHei"/>
        <w:sz w:val="20"/>
        <w:szCs w:val="20"/>
        <w:spacing w:val="38"/>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before="90" w:line="205" w:lineRule="auto"/>
      <w:rPr>
        <w:rFonts w:ascii="Microsoft YaHei" w:hAnsi="Microsoft YaHei" w:eastAsia="Microsoft YaHei" w:cs="Microsoft YaHei"/>
        <w:sz w:val="20"/>
        <w:szCs w:val="20"/>
      </w:rPr>
    </w:pPr>
    <w:r>
      <w:drawing>
        <wp:anchor distT="0" distB="0" distL="0" distR="0" simplePos="0" relativeHeight="251666432" behindDoc="0" locked="0" layoutInCell="0" allowOverlap="1">
          <wp:simplePos x="0" y="0"/>
          <wp:positionH relativeFrom="page">
            <wp:posOffset>990600</wp:posOffset>
          </wp:positionH>
          <wp:positionV relativeFrom="page">
            <wp:posOffset>9630409</wp:posOffset>
          </wp:positionV>
          <wp:extent cx="5579744" cy="7619"/>
          <wp:effectExtent l="0" t="0" r="0" b="0"/>
          <wp:wrapNone/>
          <wp:docPr id="34" name="IM 34"/>
          <wp:cNvGraphicFramePr/>
          <a:graphic>
            <a:graphicData uri="http://schemas.openxmlformats.org/drawingml/2006/picture">
              <pic:pic>
                <pic:nvPicPr>
                  <pic:cNvPr id="34" name="IM 3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10//2021 年第</w:t>
    </w:r>
    <w:r>
      <w:rPr>
        <w:rFonts w:ascii="Microsoft YaHei" w:hAnsi="Microsoft YaHei" w:eastAsia="Microsoft YaHei" w:cs="Microsoft YaHei"/>
        <w:sz w:val="20"/>
        <w:szCs w:val="20"/>
        <w:spacing w:val="23"/>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30"/>
      <w:spacing w:before="94" w:line="205" w:lineRule="auto"/>
      <w:rPr>
        <w:rFonts w:ascii="Microsoft YaHei" w:hAnsi="Microsoft YaHei" w:eastAsia="Microsoft YaHei" w:cs="Microsoft YaHei"/>
        <w:sz w:val="20"/>
        <w:szCs w:val="20"/>
      </w:rPr>
    </w:pPr>
    <w:r>
      <w:drawing>
        <wp:anchor distT="0" distB="0" distL="0" distR="0" simplePos="0" relativeHeight="251749376"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322" name="IM 322"/>
          <wp:cNvGraphicFramePr/>
          <a:graphic>
            <a:graphicData uri="http://schemas.openxmlformats.org/drawingml/2006/picture">
              <pic:pic>
                <pic:nvPicPr>
                  <pic:cNvPr id="322" name="IM 32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35"/>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期//91</w:t>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
      <w:spacing w:before="90" w:line="205" w:lineRule="auto"/>
      <w:rPr>
        <w:rFonts w:ascii="Microsoft YaHei" w:hAnsi="Microsoft YaHei" w:eastAsia="Microsoft YaHei" w:cs="Microsoft YaHei"/>
        <w:sz w:val="20"/>
        <w:szCs w:val="20"/>
      </w:rPr>
    </w:pPr>
    <w:r>
      <w:drawing>
        <wp:anchor distT="0" distB="0" distL="0" distR="0" simplePos="0" relativeHeight="251750400" behindDoc="0" locked="0" layoutInCell="0" allowOverlap="1">
          <wp:simplePos x="0" y="0"/>
          <wp:positionH relativeFrom="page">
            <wp:posOffset>990600</wp:posOffset>
          </wp:positionH>
          <wp:positionV relativeFrom="page">
            <wp:posOffset>9630409</wp:posOffset>
          </wp:positionV>
          <wp:extent cx="5579744" cy="7619"/>
          <wp:effectExtent l="0" t="0" r="0" b="0"/>
          <wp:wrapNone/>
          <wp:docPr id="326" name="IM 326"/>
          <wp:cNvGraphicFramePr/>
          <a:graphic>
            <a:graphicData uri="http://schemas.openxmlformats.org/drawingml/2006/picture">
              <pic:pic>
                <pic:nvPicPr>
                  <pic:cNvPr id="326" name="IM 32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92//2021 年第</w:t>
    </w:r>
    <w:r>
      <w:rPr>
        <w:rFonts w:ascii="Microsoft YaHei" w:hAnsi="Microsoft YaHei" w:eastAsia="Microsoft YaHei" w:cs="Microsoft YaHei"/>
        <w:sz w:val="20"/>
        <w:szCs w:val="20"/>
        <w:spacing w:val="38"/>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71"/>
      <w:spacing w:before="94" w:line="205" w:lineRule="auto"/>
      <w:rPr>
        <w:rFonts w:ascii="Microsoft YaHei" w:hAnsi="Microsoft YaHei" w:eastAsia="Microsoft YaHei" w:cs="Microsoft YaHei"/>
        <w:sz w:val="20"/>
        <w:szCs w:val="20"/>
      </w:rPr>
    </w:pPr>
    <w:r>
      <w:drawing>
        <wp:anchor distT="0" distB="0" distL="0" distR="0" simplePos="0" relativeHeight="251751424"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332" name="IM 332"/>
          <wp:cNvGraphicFramePr/>
          <a:graphic>
            <a:graphicData uri="http://schemas.openxmlformats.org/drawingml/2006/picture">
              <pic:pic>
                <pic:nvPicPr>
                  <pic:cNvPr id="332" name="IM 33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35"/>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期//93</w:t>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
      <w:spacing w:before="90" w:line="205" w:lineRule="auto"/>
      <w:rPr>
        <w:rFonts w:ascii="Microsoft YaHei" w:hAnsi="Microsoft YaHei" w:eastAsia="Microsoft YaHei" w:cs="Microsoft YaHei"/>
        <w:sz w:val="20"/>
        <w:szCs w:val="20"/>
      </w:rPr>
    </w:pPr>
    <w:r>
      <w:drawing>
        <wp:anchor distT="0" distB="0" distL="0" distR="0" simplePos="0" relativeHeight="251752448" behindDoc="0" locked="0" layoutInCell="0" allowOverlap="1">
          <wp:simplePos x="0" y="0"/>
          <wp:positionH relativeFrom="page">
            <wp:posOffset>990600</wp:posOffset>
          </wp:positionH>
          <wp:positionV relativeFrom="page">
            <wp:posOffset>9630409</wp:posOffset>
          </wp:positionV>
          <wp:extent cx="5579744" cy="7619"/>
          <wp:effectExtent l="0" t="0" r="0" b="0"/>
          <wp:wrapNone/>
          <wp:docPr id="336" name="IM 336"/>
          <wp:cNvGraphicFramePr/>
          <a:graphic>
            <a:graphicData uri="http://schemas.openxmlformats.org/drawingml/2006/picture">
              <pic:pic>
                <pic:nvPicPr>
                  <pic:cNvPr id="336" name="IM 33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94//2021 年第</w:t>
    </w:r>
    <w:r>
      <w:rPr>
        <w:rFonts w:ascii="Microsoft YaHei" w:hAnsi="Microsoft YaHei" w:eastAsia="Microsoft YaHei" w:cs="Microsoft YaHei"/>
        <w:sz w:val="20"/>
        <w:szCs w:val="20"/>
        <w:spacing w:val="38"/>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86"/>
      <w:spacing w:before="94" w:line="205" w:lineRule="auto"/>
      <w:rPr>
        <w:rFonts w:ascii="Microsoft YaHei" w:hAnsi="Microsoft YaHei" w:eastAsia="Microsoft YaHei" w:cs="Microsoft YaHei"/>
        <w:sz w:val="20"/>
        <w:szCs w:val="20"/>
      </w:rPr>
    </w:pPr>
    <w:r>
      <w:drawing>
        <wp:anchor distT="0" distB="0" distL="0" distR="0" simplePos="0" relativeHeight="251753472"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342" name="IM 342"/>
          <wp:cNvGraphicFramePr/>
          <a:graphic>
            <a:graphicData uri="http://schemas.openxmlformats.org/drawingml/2006/picture">
              <pic:pic>
                <pic:nvPicPr>
                  <pic:cNvPr id="342" name="IM 342"/>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35"/>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期//95</w:t>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
      <w:spacing w:before="90" w:line="205" w:lineRule="auto"/>
      <w:rPr>
        <w:rFonts w:ascii="Microsoft YaHei" w:hAnsi="Microsoft YaHei" w:eastAsia="Microsoft YaHei" w:cs="Microsoft YaHei"/>
        <w:sz w:val="20"/>
        <w:szCs w:val="20"/>
      </w:rPr>
    </w:pPr>
    <w:r>
      <w:drawing>
        <wp:anchor distT="0" distB="0" distL="0" distR="0" simplePos="0" relativeHeight="251754496" behindDoc="0" locked="0" layoutInCell="0" allowOverlap="1">
          <wp:simplePos x="0" y="0"/>
          <wp:positionH relativeFrom="page">
            <wp:posOffset>990600</wp:posOffset>
          </wp:positionH>
          <wp:positionV relativeFrom="page">
            <wp:posOffset>9630409</wp:posOffset>
          </wp:positionV>
          <wp:extent cx="5579744" cy="7619"/>
          <wp:effectExtent l="0" t="0" r="0" b="0"/>
          <wp:wrapNone/>
          <wp:docPr id="346" name="IM 346"/>
          <wp:cNvGraphicFramePr/>
          <a:graphic>
            <a:graphicData uri="http://schemas.openxmlformats.org/drawingml/2006/picture">
              <pic:pic>
                <pic:nvPicPr>
                  <pic:cNvPr id="346" name="IM 346"/>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96//2021 年第</w:t>
    </w:r>
    <w:r>
      <w:rPr>
        <w:rFonts w:ascii="Microsoft YaHei" w:hAnsi="Microsoft YaHei" w:eastAsia="Microsoft YaHei" w:cs="Microsoft YaHei"/>
        <w:sz w:val="20"/>
        <w:szCs w:val="20"/>
        <w:spacing w:val="38"/>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71"/>
      <w:spacing w:before="94" w:line="205" w:lineRule="auto"/>
      <w:rPr>
        <w:rFonts w:ascii="Microsoft YaHei" w:hAnsi="Microsoft YaHei" w:eastAsia="Microsoft YaHei" w:cs="Microsoft YaHei"/>
        <w:sz w:val="20"/>
        <w:szCs w:val="20"/>
      </w:rPr>
    </w:pPr>
    <w:r>
      <w:drawing>
        <wp:anchor distT="0" distB="0" distL="0" distR="0" simplePos="0" relativeHeight="251755520"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350" name="IM 350"/>
          <wp:cNvGraphicFramePr/>
          <a:graphic>
            <a:graphicData uri="http://schemas.openxmlformats.org/drawingml/2006/picture">
              <pic:pic>
                <pic:nvPicPr>
                  <pic:cNvPr id="350" name="IM 350"/>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35"/>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期//97</w:t>
    </w:r>
  </w:p>
</w:ftr>
</file>

<file path=word/footer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
      <w:spacing w:before="90" w:line="205" w:lineRule="auto"/>
      <w:rPr>
        <w:rFonts w:ascii="Microsoft YaHei" w:hAnsi="Microsoft YaHei" w:eastAsia="Microsoft YaHei" w:cs="Microsoft YaHei"/>
        <w:sz w:val="20"/>
        <w:szCs w:val="20"/>
      </w:rPr>
    </w:pPr>
    <w:r>
      <w:drawing>
        <wp:anchor distT="0" distB="0" distL="0" distR="0" simplePos="0" relativeHeight="251756544" behindDoc="0" locked="0" layoutInCell="0" allowOverlap="1">
          <wp:simplePos x="0" y="0"/>
          <wp:positionH relativeFrom="page">
            <wp:posOffset>990600</wp:posOffset>
          </wp:positionH>
          <wp:positionV relativeFrom="page">
            <wp:posOffset>9630409</wp:posOffset>
          </wp:positionV>
          <wp:extent cx="5579744" cy="7619"/>
          <wp:effectExtent l="0" t="0" r="0" b="0"/>
          <wp:wrapNone/>
          <wp:docPr id="354" name="IM 354"/>
          <wp:cNvGraphicFramePr/>
          <a:graphic>
            <a:graphicData uri="http://schemas.openxmlformats.org/drawingml/2006/picture">
              <pic:pic>
                <pic:nvPicPr>
                  <pic:cNvPr id="354" name="IM 354"/>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98//2021 年第</w:t>
    </w:r>
    <w:r>
      <w:rPr>
        <w:rFonts w:ascii="Microsoft YaHei" w:hAnsi="Microsoft YaHei" w:eastAsia="Microsoft YaHei" w:cs="Microsoft YaHei"/>
        <w:sz w:val="20"/>
        <w:szCs w:val="20"/>
        <w:spacing w:val="38"/>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w:t>
    </w:r>
  </w:p>
</w:ftr>
</file>

<file path=word/footer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271"/>
      <w:spacing w:before="94" w:line="205" w:lineRule="auto"/>
      <w:rPr>
        <w:rFonts w:ascii="Microsoft YaHei" w:hAnsi="Microsoft YaHei" w:eastAsia="Microsoft YaHei" w:cs="Microsoft YaHei"/>
        <w:sz w:val="20"/>
        <w:szCs w:val="20"/>
      </w:rPr>
    </w:pPr>
    <w:r>
      <w:drawing>
        <wp:anchor distT="0" distB="0" distL="0" distR="0" simplePos="0" relativeHeight="251757568" behindDoc="0" locked="0" layoutInCell="0" allowOverlap="1">
          <wp:simplePos x="0" y="0"/>
          <wp:positionH relativeFrom="page">
            <wp:posOffset>1008380</wp:posOffset>
          </wp:positionH>
          <wp:positionV relativeFrom="page">
            <wp:posOffset>9695180</wp:posOffset>
          </wp:positionV>
          <wp:extent cx="5579745" cy="7619"/>
          <wp:effectExtent l="0" t="0" r="0" b="0"/>
          <wp:wrapNone/>
          <wp:docPr id="358" name="IM 358"/>
          <wp:cNvGraphicFramePr/>
          <a:graphic>
            <a:graphicData uri="http://schemas.openxmlformats.org/drawingml/2006/picture">
              <pic:pic>
                <pic:nvPicPr>
                  <pic:cNvPr id="358" name="IM 358"/>
                  <pic:cNvPicPr/>
                </pic:nvPicPr>
                <pic:blipFill>
                  <a:blip r:embed="rId1"/>
                  <a:stretch>
                    <a:fillRect/>
                  </a:stretch>
                </pic:blipFill>
                <pic:spPr>
                  <a:xfrm rot="0">
                    <a:off x="0" y="0"/>
                    <a:ext cx="5579745" cy="7619"/>
                  </a:xfrm>
                  <a:prstGeom prst="rect">
                    <a:avLst/>
                  </a:prstGeom>
                </pic:spPr>
              </pic:pic>
            </a:graphicData>
          </a:graphic>
        </wp:anchor>
      </w:drawing>
    </w:r>
    <w:r>
      <w:rPr>
        <w:rFonts w:ascii="Microsoft YaHei" w:hAnsi="Microsoft YaHei" w:eastAsia="Microsoft YaHei" w:cs="Microsoft YaHei"/>
        <w:sz w:val="20"/>
        <w:szCs w:val="20"/>
        <w:spacing w:val="-6"/>
      </w:rPr>
      <w:t>2021 年第</w:t>
    </w:r>
    <w:r>
      <w:rPr>
        <w:rFonts w:ascii="Microsoft YaHei" w:hAnsi="Microsoft YaHei" w:eastAsia="Microsoft YaHei" w:cs="Microsoft YaHei"/>
        <w:sz w:val="20"/>
        <w:szCs w:val="20"/>
        <w:spacing w:val="35"/>
        <w:w w:val="101"/>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6"/>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9"/>
      </w:rPr>
      <w:t xml:space="preserve"> </w:t>
    </w:r>
    <w:r>
      <w:rPr>
        <w:rFonts w:ascii="Microsoft YaHei" w:hAnsi="Microsoft YaHei" w:eastAsia="Microsoft YaHei" w:cs="Microsoft YaHei"/>
        <w:sz w:val="20"/>
        <w:szCs w:val="20"/>
        <w:spacing w:val="-6"/>
      </w:rPr>
      <w:t>期//99</w:t>
    </w:r>
  </w:p>
</w:ftr>
</file>

<file path=word/footer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before="90" w:line="205" w:lineRule="auto"/>
      <w:rPr>
        <w:rFonts w:ascii="Microsoft YaHei" w:hAnsi="Microsoft YaHei" w:eastAsia="Microsoft YaHei" w:cs="Microsoft YaHei"/>
        <w:sz w:val="20"/>
        <w:szCs w:val="20"/>
      </w:rPr>
    </w:pPr>
    <w:r>
      <w:drawing>
        <wp:anchor distT="0" distB="0" distL="0" distR="0" simplePos="0" relativeHeight="251758592" behindDoc="0" locked="0" layoutInCell="0" allowOverlap="1">
          <wp:simplePos x="0" y="0"/>
          <wp:positionH relativeFrom="page">
            <wp:posOffset>990600</wp:posOffset>
          </wp:positionH>
          <wp:positionV relativeFrom="page">
            <wp:posOffset>9630409</wp:posOffset>
          </wp:positionV>
          <wp:extent cx="5579744" cy="7619"/>
          <wp:effectExtent l="0" t="0" r="0" b="0"/>
          <wp:wrapNone/>
          <wp:docPr id="362" name="IM 362"/>
          <wp:cNvGraphicFramePr/>
          <a:graphic>
            <a:graphicData uri="http://schemas.openxmlformats.org/drawingml/2006/picture">
              <pic:pic>
                <pic:nvPicPr>
                  <pic:cNvPr id="362" name="IM 362"/>
                  <pic:cNvPicPr/>
                </pic:nvPicPr>
                <pic:blipFill>
                  <a:blip r:embed="rId1"/>
                  <a:stretch>
                    <a:fillRect/>
                  </a:stretch>
                </pic:blipFill>
                <pic:spPr>
                  <a:xfrm rot="0">
                    <a:off x="0" y="0"/>
                    <a:ext cx="5579744" cy="7619"/>
                  </a:xfrm>
                  <a:prstGeom prst="rect">
                    <a:avLst/>
                  </a:prstGeom>
                </pic:spPr>
              </pic:pic>
            </a:graphicData>
          </a:graphic>
        </wp:anchor>
      </w:drawing>
    </w:r>
    <w:r>
      <w:rPr>
        <w:rFonts w:ascii="Microsoft YaHei" w:hAnsi="Microsoft YaHei" w:eastAsia="Microsoft YaHei" w:cs="Microsoft YaHei"/>
        <w:sz w:val="20"/>
        <w:szCs w:val="20"/>
        <w:spacing w:val="-6"/>
      </w:rPr>
      <w:t>100//2021 年第</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6"/>
      </w:rPr>
      <w:t>1 期总</w:t>
    </w:r>
    <w:r>
      <w:rPr>
        <w:rFonts w:ascii="Microsoft YaHei" w:hAnsi="Microsoft YaHei" w:eastAsia="Microsoft YaHei" w:cs="Microsoft YaHei"/>
        <w:sz w:val="20"/>
        <w:szCs w:val="20"/>
        <w:spacing w:val="4"/>
      </w:rPr>
      <w:t xml:space="preserve"> </w:t>
    </w:r>
    <w:r>
      <w:rPr>
        <w:rFonts w:ascii="Microsoft YaHei" w:hAnsi="Microsoft YaHei" w:eastAsia="Microsoft YaHei" w:cs="Microsoft YaHei"/>
        <w:sz w:val="20"/>
        <w:szCs w:val="20"/>
        <w:spacing w:val="-6"/>
      </w:rPr>
      <w:t>21</w:t>
    </w:r>
    <w:r>
      <w:rPr>
        <w:rFonts w:ascii="Microsoft YaHei" w:hAnsi="Microsoft YaHei" w:eastAsia="Microsoft YaHei" w:cs="Microsoft YaHei"/>
        <w:sz w:val="20"/>
        <w:szCs w:val="20"/>
        <w:spacing w:val="11"/>
      </w:rPr>
      <w:t xml:space="preserve"> </w:t>
    </w:r>
    <w:r>
      <w:rPr>
        <w:rFonts w:ascii="Microsoft YaHei" w:hAnsi="Microsoft YaHei" w:eastAsia="Microsoft YaHei" w:cs="Microsoft YaHei"/>
        <w:sz w:val="20"/>
        <w:szCs w:val="20"/>
        <w:spacing w:val="-6"/>
      </w:rPr>
      <w:t>期</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4"/>
      <w:spacing w:before="41" w:line="17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市政府文件</w:t>
    </w:r>
  </w:p>
  <w:p>
    <w:pPr>
      <w:ind w:firstLine="17"/>
      <w:spacing w:line="71" w:lineRule="exact"/>
      <w:rPr/>
    </w:pPr>
    <w:r>
      <w:rPr>
        <w:position w:val="-1"/>
      </w:rPr>
      <w:drawing>
        <wp:inline distT="0" distB="0" distL="0" distR="0">
          <wp:extent cx="5579745" cy="45719"/>
          <wp:effectExtent l="0" t="0" r="0" b="0"/>
          <wp:docPr id="44" name="IM 44"/>
          <wp:cNvGraphicFramePr/>
          <a:graphic>
            <a:graphicData uri="http://schemas.openxmlformats.org/drawingml/2006/picture">
              <pic:pic>
                <pic:nvPicPr>
                  <pic:cNvPr id="44" name="IM 44"/>
                  <pic:cNvPicPr/>
                </pic:nvPicPr>
                <pic:blipFill>
                  <a:blip r:embed="rId1"/>
                  <a:stretch>
                    <a:fillRect/>
                  </a:stretch>
                </pic:blipFill>
                <pic:spPr>
                  <a:xfrm rot="0">
                    <a:off x="0" y="0"/>
                    <a:ext cx="5579745" cy="45719"/>
                  </a:xfrm>
                  <a:prstGeom prst="rect">
                    <a:avLst/>
                  </a:prstGeom>
                </pic:spPr>
              </pic:pic>
            </a:graphicData>
          </a:graphic>
        </wp:inline>
      </w:drawing>
    </w:r>
  </w:p>
</w:hdr>
</file>

<file path=word/header10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0" w:line="203" w:lineRule="auto"/>
      <w:jc w:val="right"/>
      <w:rPr>
        <w:rFonts w:ascii="Microsoft YaHei" w:hAnsi="Microsoft YaHei" w:eastAsia="Microsoft YaHei" w:cs="Microsoft YaHei"/>
        <w:sz w:val="20"/>
        <w:szCs w:val="20"/>
      </w:rPr>
    </w:pPr>
    <w:r>
      <w:drawing>
        <wp:anchor distT="0" distB="0" distL="0" distR="0" simplePos="0" relativeHeight="251888640" behindDoc="0" locked="0" layoutInCell="1" allowOverlap="1">
          <wp:simplePos x="0" y="0"/>
          <wp:positionH relativeFrom="column">
            <wp:posOffset>2341</wp:posOffset>
          </wp:positionH>
          <wp:positionV relativeFrom="paragraph">
            <wp:posOffset>171164</wp:posOffset>
          </wp:positionV>
          <wp:extent cx="5579745" cy="19050"/>
          <wp:effectExtent l="0" t="0" r="0" b="0"/>
          <wp:wrapNone/>
          <wp:docPr id="1000" name="IM 1000"/>
          <wp:cNvGraphicFramePr/>
          <a:graphic>
            <a:graphicData uri="http://schemas.openxmlformats.org/drawingml/2006/picture">
              <pic:pic>
                <pic:nvPicPr>
                  <pic:cNvPr id="1000" name="IM 1000"/>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9"/>
      </w:rPr>
      <w:t>市委办、</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9"/>
      </w:rPr>
      <w:t>市政府办文件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《固原市人民政府公</w:t>
    </w:r>
    <w:r>
      <w:rPr>
        <w:rFonts w:ascii="Microsoft YaHei" w:hAnsi="Microsoft YaHei" w:eastAsia="Microsoft YaHei" w:cs="Microsoft YaHei"/>
        <w:sz w:val="20"/>
        <w:szCs w:val="20"/>
        <w:spacing w:val="8"/>
      </w:rPr>
      <w:t>报》</w:t>
    </w:r>
  </w:p>
</w:hdr>
</file>

<file path=word/header10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4"/>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市委办、</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8"/>
      </w:rPr>
      <w:t>市政府办文件</w:t>
    </w:r>
  </w:p>
  <w:p>
    <w:pPr>
      <w:ind w:firstLine="112"/>
      <w:spacing w:line="20" w:lineRule="exact"/>
      <w:rPr/>
    </w:pPr>
    <w:r>
      <w:rPr/>
      <w:drawing>
        <wp:inline distT="0" distB="0" distL="0" distR="0">
          <wp:extent cx="5579745" cy="12700"/>
          <wp:effectExtent l="0" t="0" r="0" b="0"/>
          <wp:docPr id="1006" name="IM 1006"/>
          <wp:cNvGraphicFramePr/>
          <a:graphic>
            <a:graphicData uri="http://schemas.openxmlformats.org/drawingml/2006/picture">
              <pic:pic>
                <pic:nvPicPr>
                  <pic:cNvPr id="1006" name="IM 1006"/>
                  <pic:cNvPicPr/>
                </pic:nvPicPr>
                <pic:blipFill>
                  <a:blip r:embed="rId1"/>
                  <a:stretch>
                    <a:fillRect/>
                  </a:stretch>
                </pic:blipFill>
                <pic:spPr>
                  <a:xfrm rot="0">
                    <a:off x="0" y="0"/>
                    <a:ext cx="5579745" cy="12700"/>
                  </a:xfrm>
                  <a:prstGeom prst="rect">
                    <a:avLst/>
                  </a:prstGeom>
                </pic:spPr>
              </pic:pic>
            </a:graphicData>
          </a:graphic>
        </wp:inline>
      </w:drawing>
    </w:r>
  </w:p>
</w:hdr>
</file>

<file path=word/header10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市委办、</w:t>
    </w:r>
    <w:r>
      <w:rPr>
        <w:rFonts w:ascii="Microsoft YaHei" w:hAnsi="Microsoft YaHei" w:eastAsia="Microsoft YaHei" w:cs="Microsoft YaHei"/>
        <w:sz w:val="20"/>
        <w:szCs w:val="20"/>
        <w:spacing w:val="-33"/>
      </w:rPr>
      <w:t xml:space="preserve"> </w:t>
    </w:r>
    <w:r>
      <w:rPr>
        <w:rFonts w:ascii="Microsoft YaHei" w:hAnsi="Microsoft YaHei" w:eastAsia="Microsoft YaHei" w:cs="Microsoft YaHei"/>
        <w:sz w:val="20"/>
        <w:szCs w:val="20"/>
        <w:spacing w:val="8"/>
      </w:rPr>
      <w:t>市政府办文件</w:t>
    </w:r>
  </w:p>
  <w:p>
    <w:pPr>
      <w:ind w:firstLine="8"/>
      <w:spacing w:line="20" w:lineRule="exact"/>
      <w:rPr/>
    </w:pPr>
    <w:r>
      <w:rPr/>
      <w:drawing>
        <wp:inline distT="0" distB="0" distL="0" distR="0">
          <wp:extent cx="5579745" cy="12700"/>
          <wp:effectExtent l="0" t="0" r="0" b="0"/>
          <wp:docPr id="1016" name="IM 1016"/>
          <wp:cNvGraphicFramePr/>
          <a:graphic>
            <a:graphicData uri="http://schemas.openxmlformats.org/drawingml/2006/picture">
              <pic:pic>
                <pic:nvPicPr>
                  <pic:cNvPr id="1016" name="IM 1016"/>
                  <pic:cNvPicPr/>
                </pic:nvPicPr>
                <pic:blipFill>
                  <a:blip r:embed="rId1"/>
                  <a:stretch>
                    <a:fillRect/>
                  </a:stretch>
                </pic:blipFill>
                <pic:spPr>
                  <a:xfrm rot="0">
                    <a:off x="0" y="0"/>
                    <a:ext cx="5579745" cy="12700"/>
                  </a:xfrm>
                  <a:prstGeom prst="rect">
                    <a:avLst/>
                  </a:prstGeom>
                </pic:spPr>
              </pic:pic>
            </a:graphicData>
          </a:graphic>
        </wp:inline>
      </w:drawing>
    </w:r>
  </w:p>
</w:hdr>
</file>

<file path=word/header10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
      <w:spacing w:before="40" w:line="203" w:lineRule="auto"/>
      <w:rPr>
        <w:rFonts w:ascii="Microsoft YaHei" w:hAnsi="Microsoft YaHei" w:eastAsia="Microsoft YaHei" w:cs="Microsoft YaHei"/>
        <w:sz w:val="20"/>
        <w:szCs w:val="20"/>
      </w:rPr>
    </w:pPr>
    <w:r>
      <w:drawing>
        <wp:anchor distT="0" distB="0" distL="0" distR="0" simplePos="0" relativeHeight="251896832" behindDoc="0" locked="0" layoutInCell="1" allowOverlap="1">
          <wp:simplePos x="0" y="0"/>
          <wp:positionH relativeFrom="column">
            <wp:posOffset>0</wp:posOffset>
          </wp:positionH>
          <wp:positionV relativeFrom="paragraph">
            <wp:posOffset>171164</wp:posOffset>
          </wp:positionV>
          <wp:extent cx="5579745" cy="19050"/>
          <wp:effectExtent l="0" t="0" r="0" b="0"/>
          <wp:wrapNone/>
          <wp:docPr id="1022" name="IM 1022"/>
          <wp:cNvGraphicFramePr/>
          <a:graphic>
            <a:graphicData uri="http://schemas.openxmlformats.org/drawingml/2006/picture">
              <pic:pic>
                <pic:nvPicPr>
                  <pic:cNvPr id="1022" name="IM 1022"/>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9"/>
      </w:rPr>
      <w:t>市委办、</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9"/>
      </w:rPr>
      <w:t>市政府办文件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《固原市人民政府公</w:t>
    </w:r>
    <w:r>
      <w:rPr>
        <w:rFonts w:ascii="Microsoft YaHei" w:hAnsi="Microsoft YaHei" w:eastAsia="Microsoft YaHei" w:cs="Microsoft YaHei"/>
        <w:sz w:val="20"/>
        <w:szCs w:val="20"/>
        <w:spacing w:val="8"/>
      </w:rPr>
      <w:t>报》</w:t>
    </w:r>
  </w:p>
</w:hdr>
</file>

<file path=word/header10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市委办、</w:t>
    </w:r>
    <w:r>
      <w:rPr>
        <w:rFonts w:ascii="Microsoft YaHei" w:hAnsi="Microsoft YaHei" w:eastAsia="Microsoft YaHei" w:cs="Microsoft YaHei"/>
        <w:sz w:val="20"/>
        <w:szCs w:val="20"/>
        <w:spacing w:val="-33"/>
      </w:rPr>
      <w:t xml:space="preserve"> </w:t>
    </w:r>
    <w:r>
      <w:rPr>
        <w:rFonts w:ascii="Microsoft YaHei" w:hAnsi="Microsoft YaHei" w:eastAsia="Microsoft YaHei" w:cs="Microsoft YaHei"/>
        <w:sz w:val="20"/>
        <w:szCs w:val="20"/>
        <w:spacing w:val="8"/>
      </w:rPr>
      <w:t>市政府办文件</w:t>
    </w:r>
  </w:p>
  <w:p>
    <w:pPr>
      <w:ind w:firstLine="8"/>
      <w:spacing w:line="20" w:lineRule="exact"/>
      <w:rPr/>
    </w:pPr>
    <w:r>
      <w:rPr/>
      <w:drawing>
        <wp:inline distT="0" distB="0" distL="0" distR="0">
          <wp:extent cx="5579745" cy="12700"/>
          <wp:effectExtent l="0" t="0" r="0" b="0"/>
          <wp:docPr id="1028" name="IM 1028"/>
          <wp:cNvGraphicFramePr/>
          <a:graphic>
            <a:graphicData uri="http://schemas.openxmlformats.org/drawingml/2006/picture">
              <pic:pic>
                <pic:nvPicPr>
                  <pic:cNvPr id="1028" name="IM 1028"/>
                  <pic:cNvPicPr/>
                </pic:nvPicPr>
                <pic:blipFill>
                  <a:blip r:embed="rId1"/>
                  <a:stretch>
                    <a:fillRect/>
                  </a:stretch>
                </pic:blipFill>
                <pic:spPr>
                  <a:xfrm rot="0">
                    <a:off x="0" y="0"/>
                    <a:ext cx="5579745" cy="12700"/>
                  </a:xfrm>
                  <a:prstGeom prst="rect">
                    <a:avLst/>
                  </a:prstGeom>
                </pic:spPr>
              </pic:pic>
            </a:graphicData>
          </a:graphic>
        </wp:inline>
      </w:drawing>
    </w:r>
  </w:p>
</w:hdr>
</file>

<file path=word/header10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9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市委办、</w:t>
    </w:r>
    <w:r>
      <w:rPr>
        <w:rFonts w:ascii="Microsoft YaHei" w:hAnsi="Microsoft YaHei" w:eastAsia="Microsoft YaHei" w:cs="Microsoft YaHei"/>
        <w:sz w:val="20"/>
        <w:szCs w:val="20"/>
        <w:spacing w:val="-23"/>
      </w:rPr>
      <w:t xml:space="preserve"> </w:t>
    </w:r>
    <w:r>
      <w:rPr>
        <w:rFonts w:ascii="Microsoft YaHei" w:hAnsi="Microsoft YaHei" w:eastAsia="Microsoft YaHei" w:cs="Microsoft YaHei"/>
        <w:sz w:val="20"/>
        <w:szCs w:val="20"/>
        <w:spacing w:val="8"/>
      </w:rPr>
      <w:t>市政府办文件</w:t>
    </w:r>
  </w:p>
  <w:p>
    <w:pPr>
      <w:ind w:firstLine="8"/>
      <w:spacing w:line="20" w:lineRule="exact"/>
      <w:rPr/>
    </w:pPr>
    <w:r>
      <w:rPr/>
      <w:drawing>
        <wp:inline distT="0" distB="0" distL="0" distR="0">
          <wp:extent cx="5579745" cy="12700"/>
          <wp:effectExtent l="0" t="0" r="0" b="0"/>
          <wp:docPr id="1038" name="IM 1038"/>
          <wp:cNvGraphicFramePr/>
          <a:graphic>
            <a:graphicData uri="http://schemas.openxmlformats.org/drawingml/2006/picture">
              <pic:pic>
                <pic:nvPicPr>
                  <pic:cNvPr id="1038" name="IM 1038"/>
                  <pic:cNvPicPr/>
                </pic:nvPicPr>
                <pic:blipFill>
                  <a:blip r:embed="rId1"/>
                  <a:stretch>
                    <a:fillRect/>
                  </a:stretch>
                </pic:blipFill>
                <pic:spPr>
                  <a:xfrm rot="0">
                    <a:off x="0" y="0"/>
                    <a:ext cx="5579745" cy="12700"/>
                  </a:xfrm>
                  <a:prstGeom prst="rect">
                    <a:avLst/>
                  </a:prstGeom>
                </pic:spPr>
              </pic:pic>
            </a:graphicData>
          </a:graphic>
        </wp:inline>
      </w:drawing>
    </w:r>
  </w:p>
</w:hdr>
</file>

<file path=word/header10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0" w:line="210" w:lineRule="auto"/>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市委办、</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9"/>
      </w:rPr>
      <w:t>市政府办文件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《固原市人民政府公</w:t>
    </w:r>
    <w:r>
      <w:rPr>
        <w:rFonts w:ascii="Microsoft YaHei" w:hAnsi="Microsoft YaHei" w:eastAsia="Microsoft YaHei" w:cs="Microsoft YaHei"/>
        <w:sz w:val="20"/>
        <w:szCs w:val="20"/>
        <w:spacing w:val="8"/>
      </w:rPr>
      <w:t>报》</w:t>
    </w:r>
  </w:p>
  <w:p>
    <w:pPr>
      <w:ind w:firstLine="88"/>
      <w:spacing w:line="20" w:lineRule="exact"/>
      <w:rPr/>
    </w:pPr>
    <w:r>
      <w:rPr/>
      <w:drawing>
        <wp:inline distT="0" distB="0" distL="0" distR="0">
          <wp:extent cx="5579745" cy="12700"/>
          <wp:effectExtent l="0" t="0" r="0" b="0"/>
          <wp:docPr id="1044" name="IM 1044"/>
          <wp:cNvGraphicFramePr/>
          <a:graphic>
            <a:graphicData uri="http://schemas.openxmlformats.org/drawingml/2006/picture">
              <pic:pic>
                <pic:nvPicPr>
                  <pic:cNvPr id="1044" name="IM 1044"/>
                  <pic:cNvPicPr/>
                </pic:nvPicPr>
                <pic:blipFill>
                  <a:blip r:embed="rId1"/>
                  <a:stretch>
                    <a:fillRect/>
                  </a:stretch>
                </pic:blipFill>
                <pic:spPr>
                  <a:xfrm rot="0">
                    <a:off x="0" y="0"/>
                    <a:ext cx="5579745" cy="12700"/>
                  </a:xfrm>
                  <a:prstGeom prst="rect">
                    <a:avLst/>
                  </a:prstGeom>
                </pic:spPr>
              </pic:pic>
            </a:graphicData>
          </a:graphic>
        </wp:inline>
      </w:drawing>
    </w:r>
  </w:p>
</w:hdr>
</file>

<file path=word/header10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市委办、</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8"/>
      </w:rPr>
      <w:t>市政府办文件</w:t>
    </w:r>
  </w:p>
  <w:p>
    <w:pPr>
      <w:ind w:firstLine="8"/>
      <w:spacing w:line="20" w:lineRule="exact"/>
      <w:rPr/>
    </w:pPr>
    <w:r>
      <w:rPr/>
      <w:drawing>
        <wp:inline distT="0" distB="0" distL="0" distR="0">
          <wp:extent cx="5579745" cy="12700"/>
          <wp:effectExtent l="0" t="0" r="0" b="0"/>
          <wp:docPr id="1050" name="IM 1050"/>
          <wp:cNvGraphicFramePr/>
          <a:graphic>
            <a:graphicData uri="http://schemas.openxmlformats.org/drawingml/2006/picture">
              <pic:pic>
                <pic:nvPicPr>
                  <pic:cNvPr id="1050" name="IM 1050"/>
                  <pic:cNvPicPr/>
                </pic:nvPicPr>
                <pic:blipFill>
                  <a:blip r:embed="rId1"/>
                  <a:stretch>
                    <a:fillRect/>
                  </a:stretch>
                </pic:blipFill>
                <pic:spPr>
                  <a:xfrm rot="0">
                    <a:off x="0" y="0"/>
                    <a:ext cx="5579745" cy="12700"/>
                  </a:xfrm>
                  <a:prstGeom prst="rect">
                    <a:avLst/>
                  </a:prstGeom>
                </pic:spPr>
              </pic:pic>
            </a:graphicData>
          </a:graphic>
        </wp:inline>
      </w:drawing>
    </w:r>
  </w:p>
</w:hdr>
</file>

<file path=word/header10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
      <w:spacing w:before="40" w:line="203" w:lineRule="auto"/>
      <w:rPr>
        <w:rFonts w:ascii="Microsoft YaHei" w:hAnsi="Microsoft YaHei" w:eastAsia="Microsoft YaHei" w:cs="Microsoft YaHei"/>
        <w:sz w:val="20"/>
        <w:szCs w:val="20"/>
      </w:rPr>
    </w:pPr>
    <w:r>
      <w:drawing>
        <wp:anchor distT="0" distB="0" distL="0" distR="0" simplePos="0" relativeHeight="251909120" behindDoc="0" locked="0" layoutInCell="1" allowOverlap="1">
          <wp:simplePos x="0" y="0"/>
          <wp:positionH relativeFrom="column">
            <wp:posOffset>0</wp:posOffset>
          </wp:positionH>
          <wp:positionV relativeFrom="paragraph">
            <wp:posOffset>171164</wp:posOffset>
          </wp:positionV>
          <wp:extent cx="5579745" cy="19050"/>
          <wp:effectExtent l="0" t="0" r="0" b="0"/>
          <wp:wrapNone/>
          <wp:docPr id="1056" name="IM 1056"/>
          <wp:cNvGraphicFramePr/>
          <a:graphic>
            <a:graphicData uri="http://schemas.openxmlformats.org/drawingml/2006/picture">
              <pic:pic>
                <pic:nvPicPr>
                  <pic:cNvPr id="1056" name="IM 1056"/>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9"/>
      </w:rPr>
      <w:t>市委办、</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9"/>
      </w:rPr>
      <w:t>市政府办文件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《固原市人民政府公</w:t>
    </w:r>
    <w:r>
      <w:rPr>
        <w:rFonts w:ascii="Microsoft YaHei" w:hAnsi="Microsoft YaHei" w:eastAsia="Microsoft YaHei" w:cs="Microsoft YaHei"/>
        <w:sz w:val="20"/>
        <w:szCs w:val="20"/>
        <w:spacing w:val="8"/>
      </w:rPr>
      <w:t>报》</w:t>
    </w:r>
  </w:p>
</w:hdr>
</file>

<file path=word/header10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8"/>
      <w:spacing w:line="20" w:lineRule="exact"/>
      <w:rPr/>
    </w:pPr>
    <w:r>
      <w:rPr/>
      <w:drawing>
        <wp:inline distT="0" distB="0" distL="0" distR="0">
          <wp:extent cx="5579745" cy="12700"/>
          <wp:effectExtent l="0" t="0" r="0" b="0"/>
          <wp:docPr id="1062" name="IM 1062"/>
          <wp:cNvGraphicFramePr/>
          <a:graphic>
            <a:graphicData uri="http://schemas.openxmlformats.org/drawingml/2006/picture">
              <pic:pic>
                <pic:nvPicPr>
                  <pic:cNvPr id="1062" name="IM 1062"/>
                  <pic:cNvPicPr/>
                </pic:nvPicPr>
                <pic:blipFill>
                  <a:blip r:embed="rId1"/>
                  <a:stretch>
                    <a:fillRect/>
                  </a:stretch>
                </pic:blipFill>
                <pic:spPr>
                  <a:xfrm rot="0">
                    <a:off x="0" y="0"/>
                    <a:ext cx="5579745" cy="12700"/>
                  </a:xfrm>
                  <a:prstGeom prst="rect">
                    <a:avLst/>
                  </a:prstGeom>
                </pic:spPr>
              </pic:pic>
            </a:graphicData>
          </a:graphic>
        </wp:inline>
      </w:drawing>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5"/>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0"/>
      </w:rPr>
      <w:t>市政府文件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p>
    <w:pPr>
      <w:ind w:firstLine="62"/>
      <w:spacing w:line="71" w:lineRule="exact"/>
      <w:rPr/>
    </w:pPr>
    <w:r>
      <w:rPr>
        <w:position w:val="-1"/>
      </w:rPr>
      <w:drawing>
        <wp:inline distT="0" distB="0" distL="0" distR="0">
          <wp:extent cx="5579745" cy="45719"/>
          <wp:effectExtent l="0" t="0" r="0" b="0"/>
          <wp:docPr id="48" name="IM 48"/>
          <wp:cNvGraphicFramePr/>
          <a:graphic>
            <a:graphicData uri="http://schemas.openxmlformats.org/drawingml/2006/picture">
              <pic:pic>
                <pic:nvPicPr>
                  <pic:cNvPr id="48" name="IM 48"/>
                  <pic:cNvPicPr/>
                </pic:nvPicPr>
                <pic:blipFill>
                  <a:blip r:embed="rId1"/>
                  <a:stretch>
                    <a:fillRect/>
                  </a:stretch>
                </pic:blipFill>
                <pic:spPr>
                  <a:xfrm rot="0">
                    <a:off x="0" y="0"/>
                    <a:ext cx="5579745" cy="45719"/>
                  </a:xfrm>
                  <a:prstGeom prst="rect">
                    <a:avLst/>
                  </a:prstGeom>
                </pic:spPr>
              </pic:pic>
            </a:graphicData>
          </a:graphic>
        </wp:inline>
      </w:drawing>
    </w:r>
  </w:p>
</w:hdr>
</file>

<file path=word/header1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0" w:line="203" w:lineRule="auto"/>
      <w:jc w:val="right"/>
      <w:rPr>
        <w:rFonts w:ascii="Microsoft YaHei" w:hAnsi="Microsoft YaHei" w:eastAsia="Microsoft YaHei" w:cs="Microsoft YaHei"/>
        <w:sz w:val="20"/>
        <w:szCs w:val="20"/>
      </w:rPr>
    </w:pPr>
    <w:r>
      <w:drawing>
        <wp:anchor distT="0" distB="0" distL="0" distR="0" simplePos="0" relativeHeight="251913216" behindDoc="0" locked="0" layoutInCell="1" allowOverlap="1">
          <wp:simplePos x="0" y="0"/>
          <wp:positionH relativeFrom="column">
            <wp:posOffset>0</wp:posOffset>
          </wp:positionH>
          <wp:positionV relativeFrom="paragraph">
            <wp:posOffset>171164</wp:posOffset>
          </wp:positionV>
          <wp:extent cx="5579745" cy="19050"/>
          <wp:effectExtent l="0" t="0" r="0" b="0"/>
          <wp:wrapNone/>
          <wp:docPr id="1068" name="IM 1068"/>
          <wp:cNvGraphicFramePr/>
          <a:graphic>
            <a:graphicData uri="http://schemas.openxmlformats.org/drawingml/2006/picture">
              <pic:pic>
                <pic:nvPicPr>
                  <pic:cNvPr id="1068" name="IM 1068"/>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8"/>
      <w:spacing w:line="20" w:lineRule="exact"/>
      <w:rPr/>
    </w:pPr>
    <w:r>
      <w:rPr/>
      <w:drawing>
        <wp:inline distT="0" distB="0" distL="0" distR="0">
          <wp:extent cx="5579745" cy="12700"/>
          <wp:effectExtent l="0" t="0" r="0" b="0"/>
          <wp:docPr id="1074" name="IM 1074"/>
          <wp:cNvGraphicFramePr/>
          <a:graphic>
            <a:graphicData uri="http://schemas.openxmlformats.org/drawingml/2006/picture">
              <pic:pic>
                <pic:nvPicPr>
                  <pic:cNvPr id="1074" name="IM 1074"/>
                  <pic:cNvPicPr/>
                </pic:nvPicPr>
                <pic:blipFill>
                  <a:blip r:embed="rId1"/>
                  <a:stretch>
                    <a:fillRect/>
                  </a:stretch>
                </pic:blipFill>
                <pic:spPr>
                  <a:xfrm rot="0">
                    <a:off x="0" y="0"/>
                    <a:ext cx="5579745" cy="12700"/>
                  </a:xfrm>
                  <a:prstGeom prst="rect">
                    <a:avLst/>
                  </a:prstGeom>
                </pic:spPr>
              </pic:pic>
            </a:graphicData>
          </a:graphic>
        </wp:inline>
      </w:drawing>
    </w:r>
  </w:p>
</w:hdr>
</file>

<file path=word/header1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8"/>
      <w:spacing w:line="20" w:lineRule="exact"/>
      <w:rPr/>
    </w:pPr>
    <w:r>
      <w:rPr/>
      <w:drawing>
        <wp:inline distT="0" distB="0" distL="0" distR="0">
          <wp:extent cx="5579745" cy="12700"/>
          <wp:effectExtent l="0" t="0" r="0" b="0"/>
          <wp:docPr id="1084" name="IM 1084"/>
          <wp:cNvGraphicFramePr/>
          <a:graphic>
            <a:graphicData uri="http://schemas.openxmlformats.org/drawingml/2006/picture">
              <pic:pic>
                <pic:nvPicPr>
                  <pic:cNvPr id="1084" name="IM 1084"/>
                  <pic:cNvPicPr/>
                </pic:nvPicPr>
                <pic:blipFill>
                  <a:blip r:embed="rId1"/>
                  <a:stretch>
                    <a:fillRect/>
                  </a:stretch>
                </pic:blipFill>
                <pic:spPr>
                  <a:xfrm rot="0">
                    <a:off x="0" y="0"/>
                    <a:ext cx="5579745" cy="12700"/>
                  </a:xfrm>
                  <a:prstGeom prst="rect">
                    <a:avLst/>
                  </a:prstGeom>
                </pic:spPr>
              </pic:pic>
            </a:graphicData>
          </a:graphic>
        </wp:inline>
      </w:drawing>
    </w:r>
  </w:p>
</w:hdr>
</file>

<file path=word/header1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8"/>
      <w:spacing w:line="20" w:lineRule="exact"/>
      <w:rPr/>
    </w:pPr>
    <w:r>
      <w:rPr/>
      <w:drawing>
        <wp:inline distT="0" distB="0" distL="0" distR="0">
          <wp:extent cx="5579745" cy="12700"/>
          <wp:effectExtent l="0" t="0" r="0" b="0"/>
          <wp:docPr id="1094" name="IM 1094"/>
          <wp:cNvGraphicFramePr/>
          <a:graphic>
            <a:graphicData uri="http://schemas.openxmlformats.org/drawingml/2006/picture">
              <pic:pic>
                <pic:nvPicPr>
                  <pic:cNvPr id="1094" name="IM 1094"/>
                  <pic:cNvPicPr/>
                </pic:nvPicPr>
                <pic:blipFill>
                  <a:blip r:embed="rId1"/>
                  <a:stretch>
                    <a:fillRect/>
                  </a:stretch>
                </pic:blipFill>
                <pic:spPr>
                  <a:xfrm rot="0">
                    <a:off x="0" y="0"/>
                    <a:ext cx="5579745" cy="12700"/>
                  </a:xfrm>
                  <a:prstGeom prst="rect">
                    <a:avLst/>
                  </a:prstGeom>
                </pic:spPr>
              </pic:pic>
            </a:graphicData>
          </a:graphic>
        </wp:inline>
      </w:drawing>
    </w:r>
  </w:p>
</w:hdr>
</file>

<file path=word/header1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
      <w:spacing w:before="40" w:line="203" w:lineRule="auto"/>
      <w:rPr>
        <w:rFonts w:ascii="Microsoft YaHei" w:hAnsi="Microsoft YaHei" w:eastAsia="Microsoft YaHei" w:cs="Microsoft YaHei"/>
        <w:sz w:val="20"/>
        <w:szCs w:val="20"/>
      </w:rPr>
    </w:pPr>
    <w:r>
      <w:drawing>
        <wp:anchor distT="0" distB="0" distL="0" distR="0" simplePos="0" relativeHeight="251925504" behindDoc="0" locked="0" layoutInCell="1" allowOverlap="1">
          <wp:simplePos x="0" y="0"/>
          <wp:positionH relativeFrom="column">
            <wp:posOffset>2341</wp:posOffset>
          </wp:positionH>
          <wp:positionV relativeFrom="paragraph">
            <wp:posOffset>171164</wp:posOffset>
          </wp:positionV>
          <wp:extent cx="5579745" cy="19050"/>
          <wp:effectExtent l="0" t="0" r="0" b="0"/>
          <wp:wrapNone/>
          <wp:docPr id="1100" name="IM 1100"/>
          <wp:cNvGraphicFramePr/>
          <a:graphic>
            <a:graphicData uri="http://schemas.openxmlformats.org/drawingml/2006/picture">
              <pic:pic>
                <pic:nvPicPr>
                  <pic:cNvPr id="1100" name="IM 1100"/>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36"/>
      <w:spacing w:line="20" w:lineRule="exact"/>
      <w:rPr/>
    </w:pPr>
    <w:r>
      <w:rPr/>
      <w:drawing>
        <wp:inline distT="0" distB="0" distL="0" distR="0">
          <wp:extent cx="5579745" cy="12700"/>
          <wp:effectExtent l="0" t="0" r="0" b="0"/>
          <wp:docPr id="1106" name="IM 1106"/>
          <wp:cNvGraphicFramePr/>
          <a:graphic>
            <a:graphicData uri="http://schemas.openxmlformats.org/drawingml/2006/picture">
              <pic:pic>
                <pic:nvPicPr>
                  <pic:cNvPr id="1106" name="IM 1106"/>
                  <pic:cNvPicPr/>
                </pic:nvPicPr>
                <pic:blipFill>
                  <a:blip r:embed="rId1"/>
                  <a:stretch>
                    <a:fillRect/>
                  </a:stretch>
                </pic:blipFill>
                <pic:spPr>
                  <a:xfrm rot="0">
                    <a:off x="0" y="0"/>
                    <a:ext cx="5579745" cy="12700"/>
                  </a:xfrm>
                  <a:prstGeom prst="rect">
                    <a:avLst/>
                  </a:prstGeom>
                </pic:spPr>
              </pic:pic>
            </a:graphicData>
          </a:graphic>
        </wp:inline>
      </w:drawing>
    </w:r>
  </w:p>
</w:hdr>
</file>

<file path=word/header1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
      <w:spacing w:before="40" w:line="203" w:lineRule="auto"/>
      <w:rPr>
        <w:rFonts w:ascii="Microsoft YaHei" w:hAnsi="Microsoft YaHei" w:eastAsia="Microsoft YaHei" w:cs="Microsoft YaHei"/>
        <w:sz w:val="20"/>
        <w:szCs w:val="20"/>
      </w:rPr>
    </w:pPr>
    <w:r>
      <w:drawing>
        <wp:anchor distT="0" distB="0" distL="0" distR="0" simplePos="0" relativeHeight="251929600" behindDoc="0" locked="0" layoutInCell="1" allowOverlap="1">
          <wp:simplePos x="0" y="0"/>
          <wp:positionH relativeFrom="column">
            <wp:posOffset>2341</wp:posOffset>
          </wp:positionH>
          <wp:positionV relativeFrom="paragraph">
            <wp:posOffset>171164</wp:posOffset>
          </wp:positionV>
          <wp:extent cx="5579745" cy="19050"/>
          <wp:effectExtent l="0" t="0" r="0" b="0"/>
          <wp:wrapNone/>
          <wp:docPr id="1112" name="IM 1112"/>
          <wp:cNvGraphicFramePr/>
          <a:graphic>
            <a:graphicData uri="http://schemas.openxmlformats.org/drawingml/2006/picture">
              <pic:pic>
                <pic:nvPicPr>
                  <pic:cNvPr id="1112" name="IM 1112"/>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8"/>
      <w:spacing w:line="20" w:lineRule="exact"/>
      <w:rPr/>
    </w:pPr>
    <w:r>
      <w:rPr/>
      <w:drawing>
        <wp:inline distT="0" distB="0" distL="0" distR="0">
          <wp:extent cx="5579745" cy="12700"/>
          <wp:effectExtent l="0" t="0" r="0" b="0"/>
          <wp:docPr id="1118" name="IM 1118"/>
          <wp:cNvGraphicFramePr/>
          <a:graphic>
            <a:graphicData uri="http://schemas.openxmlformats.org/drawingml/2006/picture">
              <pic:pic>
                <pic:nvPicPr>
                  <pic:cNvPr id="1118" name="IM 1118"/>
                  <pic:cNvPicPr/>
                </pic:nvPicPr>
                <pic:blipFill>
                  <a:blip r:embed="rId1"/>
                  <a:stretch>
                    <a:fillRect/>
                  </a:stretch>
                </pic:blipFill>
                <pic:spPr>
                  <a:xfrm rot="0">
                    <a:off x="0" y="0"/>
                    <a:ext cx="5579745" cy="12700"/>
                  </a:xfrm>
                  <a:prstGeom prst="rect">
                    <a:avLst/>
                  </a:prstGeom>
                </pic:spPr>
              </pic:pic>
            </a:graphicData>
          </a:graphic>
        </wp:inline>
      </w:drawing>
    </w:r>
  </w:p>
</w:hdr>
</file>

<file path=word/header1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0" w:line="203" w:lineRule="auto"/>
      <w:jc w:val="right"/>
      <w:rPr>
        <w:rFonts w:ascii="Microsoft YaHei" w:hAnsi="Microsoft YaHei" w:eastAsia="Microsoft YaHei" w:cs="Microsoft YaHei"/>
        <w:sz w:val="20"/>
        <w:szCs w:val="20"/>
      </w:rPr>
    </w:pPr>
    <w:r>
      <w:drawing>
        <wp:anchor distT="0" distB="0" distL="0" distR="0" simplePos="0" relativeHeight="251933696" behindDoc="0" locked="0" layoutInCell="1" allowOverlap="1">
          <wp:simplePos x="0" y="0"/>
          <wp:positionH relativeFrom="column">
            <wp:posOffset>2341</wp:posOffset>
          </wp:positionH>
          <wp:positionV relativeFrom="paragraph">
            <wp:posOffset>171164</wp:posOffset>
          </wp:positionV>
          <wp:extent cx="5579745" cy="19050"/>
          <wp:effectExtent l="0" t="0" r="0" b="0"/>
          <wp:wrapNone/>
          <wp:docPr id="1124" name="IM 1124"/>
          <wp:cNvGraphicFramePr/>
          <a:graphic>
            <a:graphicData uri="http://schemas.openxmlformats.org/drawingml/2006/picture">
              <pic:pic>
                <pic:nvPicPr>
                  <pic:cNvPr id="1124" name="IM 1124"/>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0" w:line="203" w:lineRule="auto"/>
      <w:jc w:val="right"/>
      <w:rPr>
        <w:rFonts w:ascii="Microsoft YaHei" w:hAnsi="Microsoft YaHei" w:eastAsia="Microsoft YaHei" w:cs="Microsoft YaHei"/>
        <w:sz w:val="20"/>
        <w:szCs w:val="20"/>
      </w:rPr>
    </w:pPr>
    <w:r>
      <w:drawing>
        <wp:anchor distT="0" distB="0" distL="0" distR="0" simplePos="0" relativeHeight="251937792" behindDoc="0" locked="0" layoutInCell="1" allowOverlap="1">
          <wp:simplePos x="0" y="0"/>
          <wp:positionH relativeFrom="column">
            <wp:posOffset>23296</wp:posOffset>
          </wp:positionH>
          <wp:positionV relativeFrom="paragraph">
            <wp:posOffset>171164</wp:posOffset>
          </wp:positionV>
          <wp:extent cx="5579745" cy="19050"/>
          <wp:effectExtent l="0" t="0" r="0" b="0"/>
          <wp:wrapNone/>
          <wp:docPr id="1134" name="IM 1134"/>
          <wp:cNvGraphicFramePr/>
          <a:graphic>
            <a:graphicData uri="http://schemas.openxmlformats.org/drawingml/2006/picture">
              <pic:pic>
                <pic:nvPicPr>
                  <pic:cNvPr id="1134" name="IM 1134"/>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6"/>
      <w:spacing w:before="41" w:line="19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市政府文件</w:t>
    </w:r>
  </w:p>
  <w:p>
    <w:pPr>
      <w:ind w:firstLine="79"/>
      <w:spacing w:line="20" w:lineRule="exact"/>
      <w:rPr/>
    </w:pPr>
    <w:r>
      <w:rPr/>
      <w:drawing>
        <wp:inline distT="0" distB="0" distL="0" distR="0">
          <wp:extent cx="8712200" cy="12700"/>
          <wp:effectExtent l="0" t="0" r="0" b="0"/>
          <wp:docPr id="112" name="IM 112"/>
          <wp:cNvGraphicFramePr/>
          <a:graphic>
            <a:graphicData uri="http://schemas.openxmlformats.org/drawingml/2006/picture">
              <pic:pic>
                <pic:nvPicPr>
                  <pic:cNvPr id="112" name="IM 112"/>
                  <pic:cNvPicPr/>
                </pic:nvPicPr>
                <pic:blipFill>
                  <a:blip r:embed="rId1"/>
                  <a:stretch>
                    <a:fillRect/>
                  </a:stretch>
                </pic:blipFill>
                <pic:spPr>
                  <a:xfrm rot="0">
                    <a:off x="0" y="0"/>
                    <a:ext cx="8712200" cy="12700"/>
                  </a:xfrm>
                  <a:prstGeom prst="rect">
                    <a:avLst/>
                  </a:prstGeom>
                </pic:spPr>
              </pic:pic>
            </a:graphicData>
          </a:graphic>
        </wp:inline>
      </w:drawing>
    </w:r>
  </w:p>
</w:hdr>
</file>

<file path=word/header1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36"/>
      <w:spacing w:line="20" w:lineRule="exact"/>
      <w:rPr/>
    </w:pPr>
    <w:r>
      <w:rPr/>
      <w:drawing>
        <wp:inline distT="0" distB="0" distL="0" distR="0">
          <wp:extent cx="5579745" cy="12700"/>
          <wp:effectExtent l="0" t="0" r="0" b="0"/>
          <wp:docPr id="1140" name="IM 1140"/>
          <wp:cNvGraphicFramePr/>
          <a:graphic>
            <a:graphicData uri="http://schemas.openxmlformats.org/drawingml/2006/picture">
              <pic:pic>
                <pic:nvPicPr>
                  <pic:cNvPr id="1140" name="IM 1140"/>
                  <pic:cNvPicPr/>
                </pic:nvPicPr>
                <pic:blipFill>
                  <a:blip r:embed="rId1"/>
                  <a:stretch>
                    <a:fillRect/>
                  </a:stretch>
                </pic:blipFill>
                <pic:spPr>
                  <a:xfrm rot="0">
                    <a:off x="0" y="0"/>
                    <a:ext cx="5579745" cy="12700"/>
                  </a:xfrm>
                  <a:prstGeom prst="rect">
                    <a:avLst/>
                  </a:prstGeom>
                </pic:spPr>
              </pic:pic>
            </a:graphicData>
          </a:graphic>
        </wp:inline>
      </w:drawing>
    </w:r>
  </w:p>
</w:hdr>
</file>

<file path=word/header1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0" w:line="203" w:lineRule="auto"/>
      <w:jc w:val="right"/>
      <w:rPr>
        <w:rFonts w:ascii="Microsoft YaHei" w:hAnsi="Microsoft YaHei" w:eastAsia="Microsoft YaHei" w:cs="Microsoft YaHei"/>
        <w:sz w:val="20"/>
        <w:szCs w:val="20"/>
      </w:rPr>
    </w:pPr>
    <w:r>
      <w:drawing>
        <wp:anchor distT="0" distB="0" distL="0" distR="0" simplePos="0" relativeHeight="251941888" behindDoc="0" locked="0" layoutInCell="1" allowOverlap="1">
          <wp:simplePos x="0" y="0"/>
          <wp:positionH relativeFrom="column">
            <wp:posOffset>7517</wp:posOffset>
          </wp:positionH>
          <wp:positionV relativeFrom="paragraph">
            <wp:posOffset>171164</wp:posOffset>
          </wp:positionV>
          <wp:extent cx="5579745" cy="19050"/>
          <wp:effectExtent l="0" t="0" r="0" b="0"/>
          <wp:wrapNone/>
          <wp:docPr id="1146" name="IM 1146"/>
          <wp:cNvGraphicFramePr/>
          <a:graphic>
            <a:graphicData uri="http://schemas.openxmlformats.org/drawingml/2006/picture">
              <pic:pic>
                <pic:nvPicPr>
                  <pic:cNvPr id="1146" name="IM 1146"/>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11"/>
      <w:spacing w:line="20" w:lineRule="exact"/>
      <w:rPr/>
    </w:pPr>
    <w:r>
      <w:rPr/>
      <w:drawing>
        <wp:inline distT="0" distB="0" distL="0" distR="0">
          <wp:extent cx="5579745" cy="12700"/>
          <wp:effectExtent l="0" t="0" r="0" b="0"/>
          <wp:docPr id="1152" name="IM 1152"/>
          <wp:cNvGraphicFramePr/>
          <a:graphic>
            <a:graphicData uri="http://schemas.openxmlformats.org/drawingml/2006/picture">
              <pic:pic>
                <pic:nvPicPr>
                  <pic:cNvPr id="1152" name="IM 1152"/>
                  <pic:cNvPicPr/>
                </pic:nvPicPr>
                <pic:blipFill>
                  <a:blip r:embed="rId1"/>
                  <a:stretch>
                    <a:fillRect/>
                  </a:stretch>
                </pic:blipFill>
                <pic:spPr>
                  <a:xfrm rot="0">
                    <a:off x="0" y="0"/>
                    <a:ext cx="5579745" cy="12700"/>
                  </a:xfrm>
                  <a:prstGeom prst="rect">
                    <a:avLst/>
                  </a:prstGeom>
                </pic:spPr>
              </pic:pic>
            </a:graphicData>
          </a:graphic>
        </wp:inline>
      </w:drawing>
    </w:r>
  </w:p>
</w:hdr>
</file>

<file path=word/header1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8"/>
      <w:spacing w:line="20" w:lineRule="exact"/>
      <w:rPr/>
    </w:pPr>
    <w:r>
      <w:rPr/>
      <w:drawing>
        <wp:inline distT="0" distB="0" distL="0" distR="0">
          <wp:extent cx="5579745" cy="12700"/>
          <wp:effectExtent l="0" t="0" r="0" b="0"/>
          <wp:docPr id="1162" name="IM 1162"/>
          <wp:cNvGraphicFramePr/>
          <a:graphic>
            <a:graphicData uri="http://schemas.openxmlformats.org/drawingml/2006/picture">
              <pic:pic>
                <pic:nvPicPr>
                  <pic:cNvPr id="1162" name="IM 1162"/>
                  <pic:cNvPicPr/>
                </pic:nvPicPr>
                <pic:blipFill>
                  <a:blip r:embed="rId1"/>
                  <a:stretch>
                    <a:fillRect/>
                  </a:stretch>
                </pic:blipFill>
                <pic:spPr>
                  <a:xfrm rot="0">
                    <a:off x="0" y="0"/>
                    <a:ext cx="5579745" cy="12700"/>
                  </a:xfrm>
                  <a:prstGeom prst="rect">
                    <a:avLst/>
                  </a:prstGeom>
                </pic:spPr>
              </pic:pic>
            </a:graphicData>
          </a:graphic>
        </wp:inline>
      </w:drawing>
    </w:r>
  </w:p>
</w:hdr>
</file>

<file path=word/header1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
      <w:spacing w:before="40" w:line="203" w:lineRule="auto"/>
      <w:rPr>
        <w:rFonts w:ascii="Microsoft YaHei" w:hAnsi="Microsoft YaHei" w:eastAsia="Microsoft YaHei" w:cs="Microsoft YaHei"/>
        <w:sz w:val="20"/>
        <w:szCs w:val="20"/>
      </w:rPr>
    </w:pPr>
    <w:r>
      <w:drawing>
        <wp:anchor distT="0" distB="0" distL="0" distR="0" simplePos="0" relativeHeight="251950080" behindDoc="0" locked="0" layoutInCell="1" allowOverlap="1">
          <wp:simplePos x="0" y="0"/>
          <wp:positionH relativeFrom="column">
            <wp:posOffset>0</wp:posOffset>
          </wp:positionH>
          <wp:positionV relativeFrom="paragraph">
            <wp:posOffset>171164</wp:posOffset>
          </wp:positionV>
          <wp:extent cx="5579745" cy="19050"/>
          <wp:effectExtent l="0" t="0" r="0" b="0"/>
          <wp:wrapNone/>
          <wp:docPr id="1168" name="IM 1168"/>
          <wp:cNvGraphicFramePr/>
          <a:graphic>
            <a:graphicData uri="http://schemas.openxmlformats.org/drawingml/2006/picture">
              <pic:pic>
                <pic:nvPicPr>
                  <pic:cNvPr id="1168" name="IM 1168"/>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8"/>
      <w:spacing w:line="20" w:lineRule="exact"/>
      <w:rPr/>
    </w:pPr>
    <w:r>
      <w:rPr/>
      <w:drawing>
        <wp:inline distT="0" distB="0" distL="0" distR="0">
          <wp:extent cx="5579745" cy="12700"/>
          <wp:effectExtent l="0" t="0" r="0" b="0"/>
          <wp:docPr id="1190" name="IM 1190"/>
          <wp:cNvGraphicFramePr/>
          <a:graphic>
            <a:graphicData uri="http://schemas.openxmlformats.org/drawingml/2006/picture">
              <pic:pic>
                <pic:nvPicPr>
                  <pic:cNvPr id="1190" name="IM 1190"/>
                  <pic:cNvPicPr/>
                </pic:nvPicPr>
                <pic:blipFill>
                  <a:blip r:embed="rId1"/>
                  <a:stretch>
                    <a:fillRect/>
                  </a:stretch>
                </pic:blipFill>
                <pic:spPr>
                  <a:xfrm rot="0">
                    <a:off x="0" y="0"/>
                    <a:ext cx="5579745" cy="12700"/>
                  </a:xfrm>
                  <a:prstGeom prst="rect">
                    <a:avLst/>
                  </a:prstGeom>
                </pic:spPr>
              </pic:pic>
            </a:graphicData>
          </a:graphic>
        </wp:inline>
      </w:drawing>
    </w:r>
  </w:p>
</w:hdr>
</file>

<file path=word/header1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
      <w:spacing w:before="40" w:line="203" w:lineRule="auto"/>
      <w:rPr>
        <w:rFonts w:ascii="Microsoft YaHei" w:hAnsi="Microsoft YaHei" w:eastAsia="Microsoft YaHei" w:cs="Microsoft YaHei"/>
        <w:sz w:val="20"/>
        <w:szCs w:val="20"/>
      </w:rPr>
    </w:pPr>
    <w:r>
      <w:drawing>
        <wp:anchor distT="0" distB="0" distL="0" distR="0" simplePos="0" relativeHeight="251962368" behindDoc="0" locked="0" layoutInCell="1" allowOverlap="1">
          <wp:simplePos x="0" y="0"/>
          <wp:positionH relativeFrom="column">
            <wp:posOffset>0</wp:posOffset>
          </wp:positionH>
          <wp:positionV relativeFrom="paragraph">
            <wp:posOffset>171164</wp:posOffset>
          </wp:positionV>
          <wp:extent cx="5579745" cy="19050"/>
          <wp:effectExtent l="0" t="0" r="0" b="0"/>
          <wp:wrapNone/>
          <wp:docPr id="1196" name="IM 1196"/>
          <wp:cNvGraphicFramePr/>
          <a:graphic>
            <a:graphicData uri="http://schemas.openxmlformats.org/drawingml/2006/picture">
              <pic:pic>
                <pic:nvPicPr>
                  <pic:cNvPr id="1196" name="IM 1196"/>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36"/>
      <w:spacing w:line="20" w:lineRule="exact"/>
      <w:rPr/>
    </w:pPr>
    <w:r>
      <w:rPr/>
      <w:drawing>
        <wp:inline distT="0" distB="0" distL="0" distR="0">
          <wp:extent cx="5579745" cy="12700"/>
          <wp:effectExtent l="0" t="0" r="0" b="0"/>
          <wp:docPr id="1202" name="IM 1202"/>
          <wp:cNvGraphicFramePr/>
          <a:graphic>
            <a:graphicData uri="http://schemas.openxmlformats.org/drawingml/2006/picture">
              <pic:pic>
                <pic:nvPicPr>
                  <pic:cNvPr id="1202" name="IM 1202"/>
                  <pic:cNvPicPr/>
                </pic:nvPicPr>
                <pic:blipFill>
                  <a:blip r:embed="rId1"/>
                  <a:stretch>
                    <a:fillRect/>
                  </a:stretch>
                </pic:blipFill>
                <pic:spPr>
                  <a:xfrm rot="0">
                    <a:off x="0" y="0"/>
                    <a:ext cx="5579745" cy="12700"/>
                  </a:xfrm>
                  <a:prstGeom prst="rect">
                    <a:avLst/>
                  </a:prstGeom>
                </pic:spPr>
              </pic:pic>
            </a:graphicData>
          </a:graphic>
        </wp:inline>
      </w:drawing>
    </w:r>
  </w:p>
</w:hdr>
</file>

<file path=word/header1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0" w:line="203" w:lineRule="auto"/>
      <w:jc w:val="right"/>
      <w:rPr>
        <w:rFonts w:ascii="Microsoft YaHei" w:hAnsi="Microsoft YaHei" w:eastAsia="Microsoft YaHei" w:cs="Microsoft YaHei"/>
        <w:sz w:val="20"/>
        <w:szCs w:val="20"/>
      </w:rPr>
    </w:pPr>
    <w:r>
      <w:drawing>
        <wp:anchor distT="0" distB="0" distL="0" distR="0" simplePos="0" relativeHeight="251966464" behindDoc="0" locked="0" layoutInCell="1" allowOverlap="1">
          <wp:simplePos x="0" y="0"/>
          <wp:positionH relativeFrom="column">
            <wp:posOffset>0</wp:posOffset>
          </wp:positionH>
          <wp:positionV relativeFrom="paragraph">
            <wp:posOffset>171164</wp:posOffset>
          </wp:positionV>
          <wp:extent cx="5579745" cy="19050"/>
          <wp:effectExtent l="0" t="0" r="0" b="0"/>
          <wp:wrapNone/>
          <wp:docPr id="1208" name="IM 1208"/>
          <wp:cNvGraphicFramePr/>
          <a:graphic>
            <a:graphicData uri="http://schemas.openxmlformats.org/drawingml/2006/picture">
              <pic:pic>
                <pic:nvPicPr>
                  <pic:cNvPr id="1208" name="IM 1208"/>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11"/>
      <w:spacing w:line="20" w:lineRule="exact"/>
      <w:rPr/>
    </w:pPr>
    <w:r>
      <w:rPr/>
      <w:drawing>
        <wp:inline distT="0" distB="0" distL="0" distR="0">
          <wp:extent cx="5579745" cy="12700"/>
          <wp:effectExtent l="0" t="0" r="0" b="0"/>
          <wp:docPr id="1214" name="IM 1214"/>
          <wp:cNvGraphicFramePr/>
          <a:graphic>
            <a:graphicData uri="http://schemas.openxmlformats.org/drawingml/2006/picture">
              <pic:pic>
                <pic:nvPicPr>
                  <pic:cNvPr id="1214" name="IM 1214"/>
                  <pic:cNvPicPr/>
                </pic:nvPicPr>
                <pic:blipFill>
                  <a:blip r:embed="rId1"/>
                  <a:stretch>
                    <a:fillRect/>
                  </a:stretch>
                </pic:blipFill>
                <pic:spPr>
                  <a:xfrm rot="0">
                    <a:off x="0" y="0"/>
                    <a:ext cx="5579745" cy="12700"/>
                  </a:xfrm>
                  <a:prstGeom prst="rect">
                    <a:avLst/>
                  </a:prstGeom>
                </pic:spPr>
              </pic:pic>
            </a:graphicData>
          </a:graphic>
        </wp:inline>
      </w:drawing>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7"/>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0"/>
      </w:rPr>
      <w:t>市政府文件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p>
    <w:pPr>
      <w:ind w:firstLine="124"/>
      <w:spacing w:line="20" w:lineRule="exact"/>
      <w:rPr/>
    </w:pPr>
    <w:r>
      <w:rPr/>
      <w:drawing>
        <wp:inline distT="0" distB="0" distL="0" distR="0">
          <wp:extent cx="8712200" cy="12700"/>
          <wp:effectExtent l="0" t="0" r="0" b="0"/>
          <wp:docPr id="118" name="IM 118"/>
          <wp:cNvGraphicFramePr/>
          <a:graphic>
            <a:graphicData uri="http://schemas.openxmlformats.org/drawingml/2006/picture">
              <pic:pic>
                <pic:nvPicPr>
                  <pic:cNvPr id="118" name="IM 118"/>
                  <pic:cNvPicPr/>
                </pic:nvPicPr>
                <pic:blipFill>
                  <a:blip r:embed="rId1"/>
                  <a:stretch>
                    <a:fillRect/>
                  </a:stretch>
                </pic:blipFill>
                <pic:spPr>
                  <a:xfrm rot="0">
                    <a:off x="0" y="0"/>
                    <a:ext cx="8712200" cy="12700"/>
                  </a:xfrm>
                  <a:prstGeom prst="rect">
                    <a:avLst/>
                  </a:prstGeom>
                </pic:spPr>
              </pic:pic>
            </a:graphicData>
          </a:graphic>
        </wp:inline>
      </w:drawing>
    </w:r>
  </w:p>
</w:hdr>
</file>

<file path=word/header1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
      <w:spacing w:before="40" w:line="203" w:lineRule="auto"/>
      <w:rPr>
        <w:rFonts w:ascii="Microsoft YaHei" w:hAnsi="Microsoft YaHei" w:eastAsia="Microsoft YaHei" w:cs="Microsoft YaHei"/>
        <w:sz w:val="20"/>
        <w:szCs w:val="20"/>
      </w:rPr>
    </w:pPr>
    <w:r>
      <w:drawing>
        <wp:anchor distT="0" distB="0" distL="0" distR="0" simplePos="0" relativeHeight="251970560" behindDoc="0" locked="0" layoutInCell="1" allowOverlap="1">
          <wp:simplePos x="0" y="0"/>
          <wp:positionH relativeFrom="column">
            <wp:posOffset>0</wp:posOffset>
          </wp:positionH>
          <wp:positionV relativeFrom="paragraph">
            <wp:posOffset>171164</wp:posOffset>
          </wp:positionV>
          <wp:extent cx="5579745" cy="19050"/>
          <wp:effectExtent l="0" t="0" r="0" b="0"/>
          <wp:wrapNone/>
          <wp:docPr id="1222" name="IM 1222"/>
          <wp:cNvGraphicFramePr/>
          <a:graphic>
            <a:graphicData uri="http://schemas.openxmlformats.org/drawingml/2006/picture">
              <pic:pic>
                <pic:nvPicPr>
                  <pic:cNvPr id="1222" name="IM 1222"/>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4"/>
      <w:spacing w:before="41" w:line="205" w:lineRule="auto"/>
      <w:rPr>
        <w:rFonts w:ascii="Microsoft YaHei" w:hAnsi="Microsoft YaHei" w:eastAsia="Microsoft YaHei" w:cs="Microsoft YaHei"/>
        <w:sz w:val="20"/>
        <w:szCs w:val="20"/>
      </w:rPr>
    </w:pPr>
    <w:r>
      <w:drawing>
        <wp:anchor distT="0" distB="0" distL="0" distR="0" simplePos="0" relativeHeight="251986944" behindDoc="0" locked="0" layoutInCell="1" allowOverlap="1">
          <wp:simplePos x="0" y="0"/>
          <wp:positionH relativeFrom="column">
            <wp:posOffset>133603</wp:posOffset>
          </wp:positionH>
          <wp:positionV relativeFrom="paragraph">
            <wp:posOffset>173158</wp:posOffset>
          </wp:positionV>
          <wp:extent cx="5579745" cy="19050"/>
          <wp:effectExtent l="0" t="0" r="0" b="0"/>
          <wp:wrapNone/>
          <wp:docPr id="1258" name="IM 1258"/>
          <wp:cNvGraphicFramePr/>
          <a:graphic>
            <a:graphicData uri="http://schemas.openxmlformats.org/drawingml/2006/picture">
              <pic:pic>
                <pic:nvPicPr>
                  <pic:cNvPr id="1258" name="IM 1258"/>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11"/>
      <w:spacing w:line="20" w:lineRule="exact"/>
      <w:rPr/>
    </w:pPr>
    <w:r>
      <w:rPr/>
      <w:drawing>
        <wp:inline distT="0" distB="0" distL="0" distR="0">
          <wp:extent cx="5579745" cy="12700"/>
          <wp:effectExtent l="0" t="0" r="0" b="0"/>
          <wp:docPr id="1266" name="IM 1266"/>
          <wp:cNvGraphicFramePr/>
          <a:graphic>
            <a:graphicData uri="http://schemas.openxmlformats.org/drawingml/2006/picture">
              <pic:pic>
                <pic:nvPicPr>
                  <pic:cNvPr id="1266" name="IM 1266"/>
                  <pic:cNvPicPr/>
                </pic:nvPicPr>
                <pic:blipFill>
                  <a:blip r:embed="rId1"/>
                  <a:stretch>
                    <a:fillRect/>
                  </a:stretch>
                </pic:blipFill>
                <pic:spPr>
                  <a:xfrm rot="0">
                    <a:off x="0" y="0"/>
                    <a:ext cx="5579745" cy="12700"/>
                  </a:xfrm>
                  <a:prstGeom prst="rect">
                    <a:avLst/>
                  </a:prstGeom>
                </pic:spPr>
              </pic:pic>
            </a:graphicData>
          </a:graphic>
        </wp:inline>
      </w:drawing>
    </w:r>
  </w:p>
</w:hdr>
</file>

<file path=word/header1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
      <w:spacing w:before="41" w:line="205" w:lineRule="auto"/>
      <w:rPr>
        <w:rFonts w:ascii="Microsoft YaHei" w:hAnsi="Microsoft YaHei" w:eastAsia="Microsoft YaHei" w:cs="Microsoft YaHei"/>
        <w:sz w:val="20"/>
        <w:szCs w:val="20"/>
      </w:rPr>
    </w:pPr>
    <w:r>
      <w:drawing>
        <wp:anchor distT="0" distB="0" distL="0" distR="0" simplePos="0" relativeHeight="251991040" behindDoc="0" locked="0" layoutInCell="1" allowOverlap="1">
          <wp:simplePos x="0" y="0"/>
          <wp:positionH relativeFrom="column">
            <wp:posOffset>0</wp:posOffset>
          </wp:positionH>
          <wp:positionV relativeFrom="paragraph">
            <wp:posOffset>173158</wp:posOffset>
          </wp:positionV>
          <wp:extent cx="5579745" cy="19050"/>
          <wp:effectExtent l="0" t="0" r="0" b="0"/>
          <wp:wrapNone/>
          <wp:docPr id="1272" name="IM 1272"/>
          <wp:cNvGraphicFramePr/>
          <a:graphic>
            <a:graphicData uri="http://schemas.openxmlformats.org/drawingml/2006/picture">
              <pic:pic>
                <pic:nvPicPr>
                  <pic:cNvPr id="1272" name="IM 1272"/>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11"/>
      <w:spacing w:line="20" w:lineRule="exact"/>
      <w:rPr/>
    </w:pPr>
    <w:r>
      <w:rPr/>
      <w:drawing>
        <wp:inline distT="0" distB="0" distL="0" distR="0">
          <wp:extent cx="5579745" cy="12700"/>
          <wp:effectExtent l="0" t="0" r="0" b="0"/>
          <wp:docPr id="1278" name="IM 1278"/>
          <wp:cNvGraphicFramePr/>
          <a:graphic>
            <a:graphicData uri="http://schemas.openxmlformats.org/drawingml/2006/picture">
              <pic:pic>
                <pic:nvPicPr>
                  <pic:cNvPr id="1278" name="IM 1278"/>
                  <pic:cNvPicPr/>
                </pic:nvPicPr>
                <pic:blipFill>
                  <a:blip r:embed="rId1"/>
                  <a:stretch>
                    <a:fillRect/>
                  </a:stretch>
                </pic:blipFill>
                <pic:spPr>
                  <a:xfrm rot="0">
                    <a:off x="0" y="0"/>
                    <a:ext cx="5579745" cy="12700"/>
                  </a:xfrm>
                  <a:prstGeom prst="rect">
                    <a:avLst/>
                  </a:prstGeom>
                </pic:spPr>
              </pic:pic>
            </a:graphicData>
          </a:graphic>
        </wp:inline>
      </w:drawing>
    </w:r>
  </w:p>
</w:hdr>
</file>

<file path=word/header1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205" w:lineRule="auto"/>
      <w:jc w:val="right"/>
      <w:rPr>
        <w:rFonts w:ascii="Microsoft YaHei" w:hAnsi="Microsoft YaHei" w:eastAsia="Microsoft YaHei" w:cs="Microsoft YaHei"/>
        <w:sz w:val="20"/>
        <w:szCs w:val="20"/>
      </w:rPr>
    </w:pPr>
    <w:r>
      <w:drawing>
        <wp:anchor distT="0" distB="0" distL="0" distR="0" simplePos="0" relativeHeight="251995136" behindDoc="0" locked="0" layoutInCell="1" allowOverlap="1">
          <wp:simplePos x="0" y="0"/>
          <wp:positionH relativeFrom="column">
            <wp:posOffset>0</wp:posOffset>
          </wp:positionH>
          <wp:positionV relativeFrom="paragraph">
            <wp:posOffset>173158</wp:posOffset>
          </wp:positionV>
          <wp:extent cx="5579745" cy="19050"/>
          <wp:effectExtent l="0" t="0" r="0" b="0"/>
          <wp:wrapNone/>
          <wp:docPr id="1284" name="IM 1284"/>
          <wp:cNvGraphicFramePr/>
          <a:graphic>
            <a:graphicData uri="http://schemas.openxmlformats.org/drawingml/2006/picture">
              <pic:pic>
                <pic:nvPicPr>
                  <pic:cNvPr id="1284" name="IM 1284"/>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11"/>
      <w:spacing w:line="20" w:lineRule="exact"/>
      <w:rPr/>
    </w:pPr>
    <w:r>
      <w:rPr/>
      <w:drawing>
        <wp:inline distT="0" distB="0" distL="0" distR="0">
          <wp:extent cx="5579745" cy="12700"/>
          <wp:effectExtent l="0" t="0" r="0" b="0"/>
          <wp:docPr id="1290" name="IM 1290"/>
          <wp:cNvGraphicFramePr/>
          <a:graphic>
            <a:graphicData uri="http://schemas.openxmlformats.org/drawingml/2006/picture">
              <pic:pic>
                <pic:nvPicPr>
                  <pic:cNvPr id="1290" name="IM 1290"/>
                  <pic:cNvPicPr/>
                </pic:nvPicPr>
                <pic:blipFill>
                  <a:blip r:embed="rId1"/>
                  <a:stretch>
                    <a:fillRect/>
                  </a:stretch>
                </pic:blipFill>
                <pic:spPr>
                  <a:xfrm rot="0">
                    <a:off x="0" y="0"/>
                    <a:ext cx="5579745" cy="12700"/>
                  </a:xfrm>
                  <a:prstGeom prst="rect">
                    <a:avLst/>
                  </a:prstGeom>
                </pic:spPr>
              </pic:pic>
            </a:graphicData>
          </a:graphic>
        </wp:inline>
      </w:drawing>
    </w:r>
  </w:p>
</w:hdr>
</file>

<file path=word/header1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
      <w:spacing w:before="41" w:line="205" w:lineRule="auto"/>
      <w:rPr>
        <w:rFonts w:ascii="Microsoft YaHei" w:hAnsi="Microsoft YaHei" w:eastAsia="Microsoft YaHei" w:cs="Microsoft YaHei"/>
        <w:sz w:val="20"/>
        <w:szCs w:val="20"/>
      </w:rPr>
    </w:pPr>
    <w:r>
      <w:drawing>
        <wp:anchor distT="0" distB="0" distL="0" distR="0" simplePos="0" relativeHeight="252003328" behindDoc="0" locked="0" layoutInCell="1" allowOverlap="1">
          <wp:simplePos x="0" y="0"/>
          <wp:positionH relativeFrom="column">
            <wp:posOffset>0</wp:posOffset>
          </wp:positionH>
          <wp:positionV relativeFrom="paragraph">
            <wp:posOffset>173158</wp:posOffset>
          </wp:positionV>
          <wp:extent cx="5579745" cy="19050"/>
          <wp:effectExtent l="0" t="0" r="0" b="0"/>
          <wp:wrapNone/>
          <wp:docPr id="1304" name="IM 1304"/>
          <wp:cNvGraphicFramePr/>
          <a:graphic>
            <a:graphicData uri="http://schemas.openxmlformats.org/drawingml/2006/picture">
              <pic:pic>
                <pic:nvPicPr>
                  <pic:cNvPr id="1304" name="IM 1304"/>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11"/>
      <w:spacing w:line="20" w:lineRule="exact"/>
      <w:rPr/>
    </w:pPr>
    <w:r>
      <w:rPr/>
      <w:drawing>
        <wp:inline distT="0" distB="0" distL="0" distR="0">
          <wp:extent cx="5579745" cy="12700"/>
          <wp:effectExtent l="0" t="0" r="0" b="0"/>
          <wp:docPr id="1310" name="IM 1310"/>
          <wp:cNvGraphicFramePr/>
          <a:graphic>
            <a:graphicData uri="http://schemas.openxmlformats.org/drawingml/2006/picture">
              <pic:pic>
                <pic:nvPicPr>
                  <pic:cNvPr id="1310" name="IM 1310"/>
                  <pic:cNvPicPr/>
                </pic:nvPicPr>
                <pic:blipFill>
                  <a:blip r:embed="rId1"/>
                  <a:stretch>
                    <a:fillRect/>
                  </a:stretch>
                </pic:blipFill>
                <pic:spPr>
                  <a:xfrm rot="0">
                    <a:off x="0" y="0"/>
                    <a:ext cx="5579745" cy="12700"/>
                  </a:xfrm>
                  <a:prstGeom prst="rect">
                    <a:avLst/>
                  </a:prstGeom>
                </pic:spPr>
              </pic:pic>
            </a:graphicData>
          </a:graphic>
        </wp:inline>
      </w:drawing>
    </w:r>
  </w:p>
</w:hdr>
</file>

<file path=word/header13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11"/>
      <w:spacing w:line="20" w:lineRule="exact"/>
      <w:rPr/>
    </w:pPr>
    <w:r>
      <w:rPr/>
      <w:drawing>
        <wp:inline distT="0" distB="0" distL="0" distR="0">
          <wp:extent cx="5579745" cy="12700"/>
          <wp:effectExtent l="0" t="0" r="0" b="0"/>
          <wp:docPr id="1320" name="IM 1320"/>
          <wp:cNvGraphicFramePr/>
          <a:graphic>
            <a:graphicData uri="http://schemas.openxmlformats.org/drawingml/2006/picture">
              <pic:pic>
                <pic:nvPicPr>
                  <pic:cNvPr id="1320" name="IM 1320"/>
                  <pic:cNvPicPr/>
                </pic:nvPicPr>
                <pic:blipFill>
                  <a:blip r:embed="rId1"/>
                  <a:stretch>
                    <a:fillRect/>
                  </a:stretch>
                </pic:blipFill>
                <pic:spPr>
                  <a:xfrm rot="0">
                    <a:off x="0" y="0"/>
                    <a:ext cx="5579745" cy="12700"/>
                  </a:xfrm>
                  <a:prstGeom prst="rect">
                    <a:avLst/>
                  </a:prstGeom>
                </pic:spPr>
              </pic:pic>
            </a:graphicData>
          </a:graphic>
        </wp:inline>
      </w:drawing>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1"/>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市政府文件</w:t>
    </w:r>
  </w:p>
  <w:p>
    <w:pPr>
      <w:ind w:firstLine="39"/>
      <w:spacing w:line="20" w:lineRule="exact"/>
      <w:rPr/>
    </w:pPr>
    <w:r>
      <w:rPr/>
      <w:drawing>
        <wp:inline distT="0" distB="0" distL="0" distR="0">
          <wp:extent cx="5579745" cy="12700"/>
          <wp:effectExtent l="0" t="0" r="0" b="0"/>
          <wp:docPr id="172" name="IM 172"/>
          <wp:cNvGraphicFramePr/>
          <a:graphic>
            <a:graphicData uri="http://schemas.openxmlformats.org/drawingml/2006/picture">
              <pic:pic>
                <pic:nvPicPr>
                  <pic:cNvPr id="172" name="IM 172"/>
                  <pic:cNvPicPr/>
                </pic:nvPicPr>
                <pic:blipFill>
                  <a:blip r:embed="rId1"/>
                  <a:stretch>
                    <a:fillRect/>
                  </a:stretch>
                </pic:blipFill>
                <pic:spPr>
                  <a:xfrm rot="0">
                    <a:off x="0" y="0"/>
                    <a:ext cx="5579745" cy="12700"/>
                  </a:xfrm>
                  <a:prstGeom prst="rect">
                    <a:avLst/>
                  </a:prstGeom>
                </pic:spPr>
              </pic:pic>
            </a:graphicData>
          </a:graphic>
        </wp:inline>
      </w:drawing>
    </w:r>
  </w:p>
</w:hdr>
</file>

<file path=word/header14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205" w:lineRule="auto"/>
      <w:jc w:val="right"/>
      <w:rPr>
        <w:rFonts w:ascii="Microsoft YaHei" w:hAnsi="Microsoft YaHei" w:eastAsia="Microsoft YaHei" w:cs="Microsoft YaHei"/>
        <w:sz w:val="20"/>
        <w:szCs w:val="20"/>
      </w:rPr>
    </w:pPr>
    <w:r>
      <w:drawing>
        <wp:anchor distT="0" distB="0" distL="0" distR="0" simplePos="0" relativeHeight="252011520" behindDoc="0" locked="0" layoutInCell="1" allowOverlap="1">
          <wp:simplePos x="0" y="0"/>
          <wp:positionH relativeFrom="column">
            <wp:posOffset>0</wp:posOffset>
          </wp:positionH>
          <wp:positionV relativeFrom="paragraph">
            <wp:posOffset>173158</wp:posOffset>
          </wp:positionV>
          <wp:extent cx="5579745" cy="19050"/>
          <wp:effectExtent l="0" t="0" r="0" b="0"/>
          <wp:wrapNone/>
          <wp:docPr id="1326" name="IM 1326"/>
          <wp:cNvGraphicFramePr/>
          <a:graphic>
            <a:graphicData uri="http://schemas.openxmlformats.org/drawingml/2006/picture">
              <pic:pic>
                <pic:nvPicPr>
                  <pic:cNvPr id="1326" name="IM 1326"/>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4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11"/>
      <w:spacing w:line="20" w:lineRule="exact"/>
      <w:rPr/>
    </w:pPr>
    <w:r>
      <w:rPr/>
      <w:drawing>
        <wp:inline distT="0" distB="0" distL="0" distR="0">
          <wp:extent cx="5579745" cy="12700"/>
          <wp:effectExtent l="0" t="0" r="0" b="0"/>
          <wp:docPr id="1332" name="IM 1332"/>
          <wp:cNvGraphicFramePr/>
          <a:graphic>
            <a:graphicData uri="http://schemas.openxmlformats.org/drawingml/2006/picture">
              <pic:pic>
                <pic:nvPicPr>
                  <pic:cNvPr id="1332" name="IM 1332"/>
                  <pic:cNvPicPr/>
                </pic:nvPicPr>
                <pic:blipFill>
                  <a:blip r:embed="rId1"/>
                  <a:stretch>
                    <a:fillRect/>
                  </a:stretch>
                </pic:blipFill>
                <pic:spPr>
                  <a:xfrm rot="0">
                    <a:off x="0" y="0"/>
                    <a:ext cx="5579745" cy="12700"/>
                  </a:xfrm>
                  <a:prstGeom prst="rect">
                    <a:avLst/>
                  </a:prstGeom>
                </pic:spPr>
              </pic:pic>
            </a:graphicData>
          </a:graphic>
        </wp:inline>
      </w:drawing>
    </w:r>
  </w:p>
</w:hdr>
</file>

<file path=word/header14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11"/>
      <w:spacing w:line="20" w:lineRule="exact"/>
      <w:rPr/>
    </w:pPr>
    <w:r>
      <w:rPr/>
      <w:drawing>
        <wp:inline distT="0" distB="0" distL="0" distR="0">
          <wp:extent cx="5579745" cy="12700"/>
          <wp:effectExtent l="0" t="0" r="0" b="0"/>
          <wp:docPr id="1350" name="IM 1350"/>
          <wp:cNvGraphicFramePr/>
          <a:graphic>
            <a:graphicData uri="http://schemas.openxmlformats.org/drawingml/2006/picture">
              <pic:pic>
                <pic:nvPicPr>
                  <pic:cNvPr id="1350" name="IM 1350"/>
                  <pic:cNvPicPr/>
                </pic:nvPicPr>
                <pic:blipFill>
                  <a:blip r:embed="rId1"/>
                  <a:stretch>
                    <a:fillRect/>
                  </a:stretch>
                </pic:blipFill>
                <pic:spPr>
                  <a:xfrm rot="0">
                    <a:off x="0" y="0"/>
                    <a:ext cx="5579745" cy="12700"/>
                  </a:xfrm>
                  <a:prstGeom prst="rect">
                    <a:avLst/>
                  </a:prstGeom>
                </pic:spPr>
              </pic:pic>
            </a:graphicData>
          </a:graphic>
        </wp:inline>
      </w:drawing>
    </w:r>
  </w:p>
</w:hdr>
</file>

<file path=word/header14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6"/>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64"/>
      <w:spacing w:line="20" w:lineRule="exact"/>
      <w:rPr/>
    </w:pPr>
    <w:r>
      <w:rPr/>
      <w:drawing>
        <wp:inline distT="0" distB="0" distL="0" distR="0">
          <wp:extent cx="5579745" cy="12700"/>
          <wp:effectExtent l="0" t="0" r="0" b="0"/>
          <wp:docPr id="1368" name="IM 1368"/>
          <wp:cNvGraphicFramePr/>
          <a:graphic>
            <a:graphicData uri="http://schemas.openxmlformats.org/drawingml/2006/picture">
              <pic:pic>
                <pic:nvPicPr>
                  <pic:cNvPr id="1368" name="IM 1368"/>
                  <pic:cNvPicPr/>
                </pic:nvPicPr>
                <pic:blipFill>
                  <a:blip r:embed="rId1"/>
                  <a:stretch>
                    <a:fillRect/>
                  </a:stretch>
                </pic:blipFill>
                <pic:spPr>
                  <a:xfrm rot="0">
                    <a:off x="0" y="0"/>
                    <a:ext cx="5579745" cy="12700"/>
                  </a:xfrm>
                  <a:prstGeom prst="rect">
                    <a:avLst/>
                  </a:prstGeom>
                </pic:spPr>
              </pic:pic>
            </a:graphicData>
          </a:graphic>
        </wp:inline>
      </w:drawing>
    </w:r>
  </w:p>
</w:hdr>
</file>

<file path=word/header14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0"/>
      <w:spacing w:before="41" w:line="205" w:lineRule="auto"/>
      <w:jc w:val="right"/>
      <w:rPr>
        <w:rFonts w:ascii="Microsoft YaHei" w:hAnsi="Microsoft YaHei" w:eastAsia="Microsoft YaHei" w:cs="Microsoft YaHei"/>
        <w:sz w:val="20"/>
        <w:szCs w:val="20"/>
      </w:rPr>
    </w:pPr>
    <w:r>
      <w:drawing>
        <wp:anchor distT="0" distB="0" distL="0" distR="0" simplePos="0" relativeHeight="252032000" behindDoc="0" locked="0" layoutInCell="1" allowOverlap="1">
          <wp:simplePos x="0" y="0"/>
          <wp:positionH relativeFrom="column">
            <wp:posOffset>70230</wp:posOffset>
          </wp:positionH>
          <wp:positionV relativeFrom="paragraph">
            <wp:posOffset>173158</wp:posOffset>
          </wp:positionV>
          <wp:extent cx="5579745" cy="19050"/>
          <wp:effectExtent l="0" t="0" r="0" b="0"/>
          <wp:wrapNone/>
          <wp:docPr id="1374" name="IM 1374"/>
          <wp:cNvGraphicFramePr/>
          <a:graphic>
            <a:graphicData uri="http://schemas.openxmlformats.org/drawingml/2006/picture">
              <pic:pic>
                <pic:nvPicPr>
                  <pic:cNvPr id="1374" name="IM 1374"/>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4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2"/>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110"/>
      <w:spacing w:line="20" w:lineRule="exact"/>
      <w:rPr/>
    </w:pPr>
    <w:r>
      <w:rPr/>
      <w:drawing>
        <wp:inline distT="0" distB="0" distL="0" distR="0">
          <wp:extent cx="5579745" cy="12700"/>
          <wp:effectExtent l="0" t="0" r="0" b="0"/>
          <wp:docPr id="1380" name="IM 1380"/>
          <wp:cNvGraphicFramePr/>
          <a:graphic>
            <a:graphicData uri="http://schemas.openxmlformats.org/drawingml/2006/picture">
              <pic:pic>
                <pic:nvPicPr>
                  <pic:cNvPr id="1380" name="IM 1380"/>
                  <pic:cNvPicPr/>
                </pic:nvPicPr>
                <pic:blipFill>
                  <a:blip r:embed="rId1"/>
                  <a:stretch>
                    <a:fillRect/>
                  </a:stretch>
                </pic:blipFill>
                <pic:spPr>
                  <a:xfrm rot="0">
                    <a:off x="0" y="0"/>
                    <a:ext cx="5579745" cy="12700"/>
                  </a:xfrm>
                  <a:prstGeom prst="rect">
                    <a:avLst/>
                  </a:prstGeom>
                </pic:spPr>
              </pic:pic>
            </a:graphicData>
          </a:graphic>
        </wp:inline>
      </w:drawing>
    </w:r>
  </w:p>
</w:hdr>
</file>

<file path=word/header14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
      <w:spacing w:before="41" w:line="205" w:lineRule="auto"/>
      <w:rPr>
        <w:rFonts w:ascii="Microsoft YaHei" w:hAnsi="Microsoft YaHei" w:eastAsia="Microsoft YaHei" w:cs="Microsoft YaHei"/>
        <w:sz w:val="20"/>
        <w:szCs w:val="20"/>
      </w:rPr>
    </w:pPr>
    <w:r>
      <w:drawing>
        <wp:anchor distT="0" distB="0" distL="0" distR="0" simplePos="0" relativeHeight="252048384" behindDoc="0" locked="0" layoutInCell="1" allowOverlap="1">
          <wp:simplePos x="0" y="0"/>
          <wp:positionH relativeFrom="column">
            <wp:posOffset>0</wp:posOffset>
          </wp:positionH>
          <wp:positionV relativeFrom="paragraph">
            <wp:posOffset>173158</wp:posOffset>
          </wp:positionV>
          <wp:extent cx="5579745" cy="19050"/>
          <wp:effectExtent l="0" t="0" r="0" b="0"/>
          <wp:wrapNone/>
          <wp:docPr id="1410" name="IM 1410"/>
          <wp:cNvGraphicFramePr/>
          <a:graphic>
            <a:graphicData uri="http://schemas.openxmlformats.org/drawingml/2006/picture">
              <pic:pic>
                <pic:nvPicPr>
                  <pic:cNvPr id="1410" name="IM 1410"/>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4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9"/>
      <w:spacing w:before="41" w:line="205" w:lineRule="auto"/>
      <w:rPr>
        <w:rFonts w:ascii="Microsoft YaHei" w:hAnsi="Microsoft YaHei" w:eastAsia="Microsoft YaHei" w:cs="Microsoft YaHei"/>
        <w:sz w:val="20"/>
        <w:szCs w:val="20"/>
      </w:rPr>
    </w:pPr>
    <w:r>
      <w:drawing>
        <wp:anchor distT="0" distB="0" distL="0" distR="0" simplePos="0" relativeHeight="252056576" behindDoc="0" locked="0" layoutInCell="1" allowOverlap="1">
          <wp:simplePos x="0" y="0"/>
          <wp:positionH relativeFrom="column">
            <wp:posOffset>79121</wp:posOffset>
          </wp:positionH>
          <wp:positionV relativeFrom="paragraph">
            <wp:posOffset>173158</wp:posOffset>
          </wp:positionV>
          <wp:extent cx="8712200" cy="19050"/>
          <wp:effectExtent l="0" t="0" r="0" b="0"/>
          <wp:wrapNone/>
          <wp:docPr id="1430" name="IM 1430"/>
          <wp:cNvGraphicFramePr/>
          <a:graphic>
            <a:graphicData uri="http://schemas.openxmlformats.org/drawingml/2006/picture">
              <pic:pic>
                <pic:nvPicPr>
                  <pic:cNvPr id="1430" name="IM 1430"/>
                  <pic:cNvPicPr/>
                </pic:nvPicPr>
                <pic:blipFill>
                  <a:blip r:embed="rId1"/>
                  <a:stretch>
                    <a:fillRect/>
                  </a:stretch>
                </pic:blipFill>
                <pic:spPr>
                  <a:xfrm rot="0">
                    <a:off x="0" y="0"/>
                    <a:ext cx="8712200"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4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11"/>
      <w:spacing w:line="20" w:lineRule="exact"/>
      <w:rPr/>
    </w:pPr>
    <w:r>
      <w:rPr/>
      <w:drawing>
        <wp:inline distT="0" distB="0" distL="0" distR="0">
          <wp:extent cx="5579745" cy="12700"/>
          <wp:effectExtent l="0" t="0" r="0" b="0"/>
          <wp:docPr id="1436" name="IM 1436"/>
          <wp:cNvGraphicFramePr/>
          <a:graphic>
            <a:graphicData uri="http://schemas.openxmlformats.org/drawingml/2006/picture">
              <pic:pic>
                <pic:nvPicPr>
                  <pic:cNvPr id="1436" name="IM 1436"/>
                  <pic:cNvPicPr/>
                </pic:nvPicPr>
                <pic:blipFill>
                  <a:blip r:embed="rId1"/>
                  <a:stretch>
                    <a:fillRect/>
                  </a:stretch>
                </pic:blipFill>
                <pic:spPr>
                  <a:xfrm rot="0">
                    <a:off x="0" y="0"/>
                    <a:ext cx="5579745" cy="12700"/>
                  </a:xfrm>
                  <a:prstGeom prst="rect">
                    <a:avLst/>
                  </a:prstGeom>
                </pic:spPr>
              </pic:pic>
            </a:graphicData>
          </a:graphic>
        </wp:inline>
      </w:drawing>
    </w:r>
  </w:p>
</w:hdr>
</file>

<file path=word/header14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5"/>
      <w:spacing w:before="41" w:line="21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p>
    <w:pPr>
      <w:ind w:firstLine="20"/>
      <w:spacing w:before="25" w:line="20" w:lineRule="exact"/>
      <w:rPr/>
    </w:pPr>
    <w:r>
      <w:rPr/>
      <w:drawing>
        <wp:inline distT="0" distB="0" distL="0" distR="0">
          <wp:extent cx="5579745" cy="12700"/>
          <wp:effectExtent l="0" t="0" r="0" b="0"/>
          <wp:docPr id="1442" name="IM 1442"/>
          <wp:cNvGraphicFramePr/>
          <a:graphic>
            <a:graphicData uri="http://schemas.openxmlformats.org/drawingml/2006/picture">
              <pic:pic>
                <pic:nvPicPr>
                  <pic:cNvPr id="1442" name="IM 1442"/>
                  <pic:cNvPicPr/>
                </pic:nvPicPr>
                <pic:blipFill>
                  <a:blip r:embed="rId1"/>
                  <a:stretch>
                    <a:fillRect/>
                  </a:stretch>
                </pic:blipFill>
                <pic:spPr>
                  <a:xfrm rot="0">
                    <a:off x="0" y="0"/>
                    <a:ext cx="5579745" cy="12700"/>
                  </a:xfrm>
                  <a:prstGeom prst="rect">
                    <a:avLst/>
                  </a:prstGeom>
                </pic:spPr>
              </pic:pic>
            </a:graphicData>
          </a:graphic>
        </wp:inline>
      </w:drawing>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0"/>
      </w:rPr>
      <w:t>市政府文件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p>
    <w:pPr>
      <w:ind w:firstLine="39"/>
      <w:spacing w:line="20" w:lineRule="exact"/>
      <w:rPr/>
    </w:pPr>
    <w:r>
      <w:rPr/>
      <w:drawing>
        <wp:inline distT="0" distB="0" distL="0" distR="0">
          <wp:extent cx="5579745" cy="12700"/>
          <wp:effectExtent l="0" t="0" r="0" b="0"/>
          <wp:docPr id="178" name="IM 178"/>
          <wp:cNvGraphicFramePr/>
          <a:graphic>
            <a:graphicData uri="http://schemas.openxmlformats.org/drawingml/2006/picture">
              <pic:pic>
                <pic:nvPicPr>
                  <pic:cNvPr id="178" name="IM 178"/>
                  <pic:cNvPicPr/>
                </pic:nvPicPr>
                <pic:blipFill>
                  <a:blip r:embed="rId1"/>
                  <a:stretch>
                    <a:fillRect/>
                  </a:stretch>
                </pic:blipFill>
                <pic:spPr>
                  <a:xfrm rot="0">
                    <a:off x="0" y="0"/>
                    <a:ext cx="5579745" cy="12700"/>
                  </a:xfrm>
                  <a:prstGeom prst="rect">
                    <a:avLst/>
                  </a:prstGeom>
                </pic:spPr>
              </pic:pic>
            </a:graphicData>
          </a:graphic>
        </wp:inline>
      </w:drawing>
    </w:r>
  </w:p>
</w:hdr>
</file>

<file path=word/header15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212" w:lineRule="auto"/>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p>
    <w:pPr>
      <w:ind w:firstLine="20"/>
      <w:spacing w:before="25" w:line="20" w:lineRule="exact"/>
      <w:rPr/>
    </w:pPr>
    <w:r>
      <w:rPr/>
      <w:drawing>
        <wp:inline distT="0" distB="0" distL="0" distR="0">
          <wp:extent cx="5579745" cy="12700"/>
          <wp:effectExtent l="0" t="0" r="0" b="0"/>
          <wp:docPr id="1452" name="IM 1452"/>
          <wp:cNvGraphicFramePr/>
          <a:graphic>
            <a:graphicData uri="http://schemas.openxmlformats.org/drawingml/2006/picture">
              <pic:pic>
                <pic:nvPicPr>
                  <pic:cNvPr id="1452" name="IM 1452"/>
                  <pic:cNvPicPr/>
                </pic:nvPicPr>
                <pic:blipFill>
                  <a:blip r:embed="rId1"/>
                  <a:stretch>
                    <a:fillRect/>
                  </a:stretch>
                </pic:blipFill>
                <pic:spPr>
                  <a:xfrm rot="0">
                    <a:off x="0" y="0"/>
                    <a:ext cx="5579745" cy="12700"/>
                  </a:xfrm>
                  <a:prstGeom prst="rect">
                    <a:avLst/>
                  </a:prstGeom>
                </pic:spPr>
              </pic:pic>
            </a:graphicData>
          </a:graphic>
        </wp:inline>
      </w:drawing>
    </w:r>
  </w:p>
</w:hdr>
</file>

<file path=word/header15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07"/>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215"/>
      <w:spacing w:line="20" w:lineRule="exact"/>
      <w:rPr/>
    </w:pPr>
    <w:r>
      <w:rPr/>
      <w:drawing>
        <wp:inline distT="0" distB="0" distL="0" distR="0">
          <wp:extent cx="5579745" cy="12700"/>
          <wp:effectExtent l="0" t="0" r="0" b="0"/>
          <wp:docPr id="1470" name="IM 1470"/>
          <wp:cNvGraphicFramePr/>
          <a:graphic>
            <a:graphicData uri="http://schemas.openxmlformats.org/drawingml/2006/picture">
              <pic:pic>
                <pic:nvPicPr>
                  <pic:cNvPr id="1470" name="IM 1470"/>
                  <pic:cNvPicPr/>
                </pic:nvPicPr>
                <pic:blipFill>
                  <a:blip r:embed="rId1"/>
                  <a:stretch>
                    <a:fillRect/>
                  </a:stretch>
                </pic:blipFill>
                <pic:spPr>
                  <a:xfrm rot="0">
                    <a:off x="0" y="0"/>
                    <a:ext cx="5579745" cy="12700"/>
                  </a:xfrm>
                  <a:prstGeom prst="rect">
                    <a:avLst/>
                  </a:prstGeom>
                </pic:spPr>
              </pic:pic>
            </a:graphicData>
          </a:graphic>
        </wp:inline>
      </w:drawing>
    </w:r>
  </w:p>
</w:hdr>
</file>

<file path=word/header15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212" w:lineRule="auto"/>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p>
    <w:pPr>
      <w:ind w:firstLine="20"/>
      <w:spacing w:before="25" w:line="20" w:lineRule="exact"/>
      <w:rPr/>
    </w:pPr>
    <w:r>
      <w:rPr/>
      <w:drawing>
        <wp:inline distT="0" distB="0" distL="0" distR="0">
          <wp:extent cx="5579745" cy="12700"/>
          <wp:effectExtent l="0" t="0" r="0" b="0"/>
          <wp:docPr id="1482" name="IM 1482"/>
          <wp:cNvGraphicFramePr/>
          <a:graphic>
            <a:graphicData uri="http://schemas.openxmlformats.org/drawingml/2006/picture">
              <pic:pic>
                <pic:nvPicPr>
                  <pic:cNvPr id="1482" name="IM 1482"/>
                  <pic:cNvPicPr/>
                </pic:nvPicPr>
                <pic:blipFill>
                  <a:blip r:embed="rId1"/>
                  <a:stretch>
                    <a:fillRect/>
                  </a:stretch>
                </pic:blipFill>
                <pic:spPr>
                  <a:xfrm rot="0">
                    <a:off x="0" y="0"/>
                    <a:ext cx="5579745" cy="12700"/>
                  </a:xfrm>
                  <a:prstGeom prst="rect">
                    <a:avLst/>
                  </a:prstGeom>
                </pic:spPr>
              </pic:pic>
            </a:graphicData>
          </a:graphic>
        </wp:inline>
      </w:drawing>
    </w:r>
  </w:p>
</w:hdr>
</file>

<file path=word/header15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11"/>
      <w:spacing w:line="20" w:lineRule="exact"/>
      <w:rPr/>
    </w:pPr>
    <w:r>
      <w:rPr/>
      <w:drawing>
        <wp:inline distT="0" distB="0" distL="0" distR="0">
          <wp:extent cx="5579745" cy="12700"/>
          <wp:effectExtent l="0" t="0" r="0" b="0"/>
          <wp:docPr id="1496" name="IM 1496"/>
          <wp:cNvGraphicFramePr/>
          <a:graphic>
            <a:graphicData uri="http://schemas.openxmlformats.org/drawingml/2006/picture">
              <pic:pic>
                <pic:nvPicPr>
                  <pic:cNvPr id="1496" name="IM 1496"/>
                  <pic:cNvPicPr/>
                </pic:nvPicPr>
                <pic:blipFill>
                  <a:blip r:embed="rId1"/>
                  <a:stretch>
                    <a:fillRect/>
                  </a:stretch>
                </pic:blipFill>
                <pic:spPr>
                  <a:xfrm rot="0">
                    <a:off x="0" y="0"/>
                    <a:ext cx="5579745" cy="12700"/>
                  </a:xfrm>
                  <a:prstGeom prst="rect">
                    <a:avLst/>
                  </a:prstGeom>
                </pic:spPr>
              </pic:pic>
            </a:graphicData>
          </a:graphic>
        </wp:inline>
      </w:drawing>
    </w:r>
  </w:p>
</w:hdr>
</file>

<file path=word/header15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5"/>
      <w:spacing w:before="41" w:line="21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p>
    <w:pPr>
      <w:ind w:firstLine="20"/>
      <w:spacing w:before="25" w:line="20" w:lineRule="exact"/>
      <w:rPr/>
    </w:pPr>
    <w:r>
      <w:rPr/>
      <w:drawing>
        <wp:inline distT="0" distB="0" distL="0" distR="0">
          <wp:extent cx="5579745" cy="12700"/>
          <wp:effectExtent l="0" t="0" r="0" b="0"/>
          <wp:docPr id="1568" name="IM 1568"/>
          <wp:cNvGraphicFramePr/>
          <a:graphic>
            <a:graphicData uri="http://schemas.openxmlformats.org/drawingml/2006/picture">
              <pic:pic>
                <pic:nvPicPr>
                  <pic:cNvPr id="1568" name="IM 1568"/>
                  <pic:cNvPicPr/>
                </pic:nvPicPr>
                <pic:blipFill>
                  <a:blip r:embed="rId1"/>
                  <a:stretch>
                    <a:fillRect/>
                  </a:stretch>
                </pic:blipFill>
                <pic:spPr>
                  <a:xfrm rot="0">
                    <a:off x="0" y="0"/>
                    <a:ext cx="5579745" cy="12700"/>
                  </a:xfrm>
                  <a:prstGeom prst="rect">
                    <a:avLst/>
                  </a:prstGeom>
                </pic:spPr>
              </pic:pic>
            </a:graphicData>
          </a:graphic>
        </wp:inline>
      </w:drawing>
    </w:r>
  </w:p>
</w:hdr>
</file>

<file path=word/header15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11"/>
      <w:spacing w:line="20" w:lineRule="exact"/>
      <w:rPr/>
    </w:pPr>
    <w:r>
      <w:rPr/>
      <w:drawing>
        <wp:inline distT="0" distB="0" distL="0" distR="0">
          <wp:extent cx="5579745" cy="12700"/>
          <wp:effectExtent l="0" t="0" r="0" b="0"/>
          <wp:docPr id="1574" name="IM 1574"/>
          <wp:cNvGraphicFramePr/>
          <a:graphic>
            <a:graphicData uri="http://schemas.openxmlformats.org/drawingml/2006/picture">
              <pic:pic>
                <pic:nvPicPr>
                  <pic:cNvPr id="1574" name="IM 1574"/>
                  <pic:cNvPicPr/>
                </pic:nvPicPr>
                <pic:blipFill>
                  <a:blip r:embed="rId1"/>
                  <a:stretch>
                    <a:fillRect/>
                  </a:stretch>
                </pic:blipFill>
                <pic:spPr>
                  <a:xfrm rot="0">
                    <a:off x="0" y="0"/>
                    <a:ext cx="5579745" cy="12700"/>
                  </a:xfrm>
                  <a:prstGeom prst="rect">
                    <a:avLst/>
                  </a:prstGeom>
                </pic:spPr>
              </pic:pic>
            </a:graphicData>
          </a:graphic>
        </wp:inline>
      </w:drawing>
    </w:r>
  </w:p>
</w:hdr>
</file>

<file path=word/header15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11"/>
      <w:spacing w:line="20" w:lineRule="exact"/>
      <w:rPr/>
    </w:pPr>
    <w:r>
      <w:rPr/>
      <w:drawing>
        <wp:inline distT="0" distB="0" distL="0" distR="0">
          <wp:extent cx="5579745" cy="12700"/>
          <wp:effectExtent l="0" t="0" r="0" b="0"/>
          <wp:docPr id="1584" name="IM 1584"/>
          <wp:cNvGraphicFramePr/>
          <a:graphic>
            <a:graphicData uri="http://schemas.openxmlformats.org/drawingml/2006/picture">
              <pic:pic>
                <pic:nvPicPr>
                  <pic:cNvPr id="1584" name="IM 1584"/>
                  <pic:cNvPicPr/>
                </pic:nvPicPr>
                <pic:blipFill>
                  <a:blip r:embed="rId1"/>
                  <a:stretch>
                    <a:fillRect/>
                  </a:stretch>
                </pic:blipFill>
                <pic:spPr>
                  <a:xfrm rot="0">
                    <a:off x="0" y="0"/>
                    <a:ext cx="5579745" cy="12700"/>
                  </a:xfrm>
                  <a:prstGeom prst="rect">
                    <a:avLst/>
                  </a:prstGeom>
                </pic:spPr>
              </pic:pic>
            </a:graphicData>
          </a:graphic>
        </wp:inline>
      </w:drawing>
    </w:r>
  </w:p>
</w:hdr>
</file>

<file path=word/header15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8"/>
      <w:spacing w:line="20" w:lineRule="exact"/>
      <w:rPr/>
    </w:pPr>
    <w:r>
      <w:rPr/>
      <w:drawing>
        <wp:inline distT="0" distB="0" distL="0" distR="0">
          <wp:extent cx="8712200" cy="12700"/>
          <wp:effectExtent l="0" t="0" r="0" b="0"/>
          <wp:docPr id="1594" name="IM 1594"/>
          <wp:cNvGraphicFramePr/>
          <a:graphic>
            <a:graphicData uri="http://schemas.openxmlformats.org/drawingml/2006/picture">
              <pic:pic>
                <pic:nvPicPr>
                  <pic:cNvPr id="1594" name="IM 1594"/>
                  <pic:cNvPicPr/>
                </pic:nvPicPr>
                <pic:blipFill>
                  <a:blip r:embed="rId1"/>
                  <a:stretch>
                    <a:fillRect/>
                  </a:stretch>
                </pic:blipFill>
                <pic:spPr>
                  <a:xfrm rot="0">
                    <a:off x="0" y="0"/>
                    <a:ext cx="8712200" cy="12700"/>
                  </a:xfrm>
                  <a:prstGeom prst="rect">
                    <a:avLst/>
                  </a:prstGeom>
                </pic:spPr>
              </pic:pic>
            </a:graphicData>
          </a:graphic>
        </wp:inline>
      </w:drawing>
    </w:r>
  </w:p>
</w:hdr>
</file>

<file path=word/header15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205" w:lineRule="auto"/>
      <w:jc w:val="right"/>
      <w:rPr>
        <w:rFonts w:ascii="Microsoft YaHei" w:hAnsi="Microsoft YaHei" w:eastAsia="Microsoft YaHei" w:cs="Microsoft YaHei"/>
        <w:sz w:val="20"/>
        <w:szCs w:val="20"/>
      </w:rPr>
    </w:pPr>
    <w:r>
      <w:drawing>
        <wp:anchor distT="0" distB="0" distL="0" distR="0" simplePos="0" relativeHeight="252126208" behindDoc="0" locked="0" layoutInCell="1" allowOverlap="1">
          <wp:simplePos x="0" y="0"/>
          <wp:positionH relativeFrom="column">
            <wp:posOffset>249427</wp:posOffset>
          </wp:positionH>
          <wp:positionV relativeFrom="paragraph">
            <wp:posOffset>173158</wp:posOffset>
          </wp:positionV>
          <wp:extent cx="8712200" cy="19050"/>
          <wp:effectExtent l="0" t="0" r="0" b="0"/>
          <wp:wrapNone/>
          <wp:docPr id="1602" name="IM 1602"/>
          <wp:cNvGraphicFramePr/>
          <a:graphic>
            <a:graphicData uri="http://schemas.openxmlformats.org/drawingml/2006/picture">
              <pic:pic>
                <pic:nvPicPr>
                  <pic:cNvPr id="1602" name="IM 1602"/>
                  <pic:cNvPicPr/>
                </pic:nvPicPr>
                <pic:blipFill>
                  <a:blip r:embed="rId1"/>
                  <a:stretch>
                    <a:fillRect/>
                  </a:stretch>
                </pic:blipFill>
                <pic:spPr>
                  <a:xfrm rot="0">
                    <a:off x="0" y="0"/>
                    <a:ext cx="8712200"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5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11"/>
      <w:spacing w:line="20" w:lineRule="exact"/>
      <w:rPr/>
    </w:pPr>
    <w:r>
      <w:rPr/>
      <w:drawing>
        <wp:inline distT="0" distB="0" distL="0" distR="0">
          <wp:extent cx="5579745" cy="12700"/>
          <wp:effectExtent l="0" t="0" r="0" b="0"/>
          <wp:docPr id="1610" name="IM 1610"/>
          <wp:cNvGraphicFramePr/>
          <a:graphic>
            <a:graphicData uri="http://schemas.openxmlformats.org/drawingml/2006/picture">
              <pic:pic>
                <pic:nvPicPr>
                  <pic:cNvPr id="1610" name="IM 1610"/>
                  <pic:cNvPicPr/>
                </pic:nvPicPr>
                <pic:blipFill>
                  <a:blip r:embed="rId1"/>
                  <a:stretch>
                    <a:fillRect/>
                  </a:stretch>
                </pic:blipFill>
                <pic:spPr>
                  <a:xfrm rot="0">
                    <a:off x="0" y="0"/>
                    <a:ext cx="5579745" cy="12700"/>
                  </a:xfrm>
                  <a:prstGeom prst="rect">
                    <a:avLst/>
                  </a:prstGeom>
                </pic:spPr>
              </pic:pic>
            </a:graphicData>
          </a:graphic>
        </wp:inline>
      </w:drawing>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3"/>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0"/>
      </w:rPr>
      <w:t>市政府文件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p>
    <w:pPr>
      <w:ind w:firstLine="130"/>
      <w:spacing w:line="20" w:lineRule="exact"/>
      <w:rPr/>
    </w:pPr>
    <w:r>
      <w:rPr/>
      <w:drawing>
        <wp:inline distT="0" distB="0" distL="0" distR="0">
          <wp:extent cx="8712200" cy="12700"/>
          <wp:effectExtent l="0" t="0" r="0" b="0"/>
          <wp:docPr id="188" name="IM 188"/>
          <wp:cNvGraphicFramePr/>
          <a:graphic>
            <a:graphicData uri="http://schemas.openxmlformats.org/drawingml/2006/picture">
              <pic:pic>
                <pic:nvPicPr>
                  <pic:cNvPr id="188" name="IM 188"/>
                  <pic:cNvPicPr/>
                </pic:nvPicPr>
                <pic:blipFill>
                  <a:blip r:embed="rId1"/>
                  <a:stretch>
                    <a:fillRect/>
                  </a:stretch>
                </pic:blipFill>
                <pic:spPr>
                  <a:xfrm rot="0">
                    <a:off x="0" y="0"/>
                    <a:ext cx="8712200" cy="12700"/>
                  </a:xfrm>
                  <a:prstGeom prst="rect">
                    <a:avLst/>
                  </a:prstGeom>
                </pic:spPr>
              </pic:pic>
            </a:graphicData>
          </a:graphic>
        </wp:inline>
      </w:drawing>
    </w:r>
  </w:p>
</w:hdr>
</file>

<file path=word/header16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205" w:lineRule="auto"/>
      <w:jc w:val="right"/>
      <w:rPr>
        <w:rFonts w:ascii="Microsoft YaHei" w:hAnsi="Microsoft YaHei" w:eastAsia="Microsoft YaHei" w:cs="Microsoft YaHei"/>
        <w:sz w:val="20"/>
        <w:szCs w:val="20"/>
      </w:rPr>
    </w:pPr>
    <w:r>
      <w:drawing>
        <wp:anchor distT="0" distB="0" distL="0" distR="0" simplePos="0" relativeHeight="252130304" behindDoc="0" locked="0" layoutInCell="1" allowOverlap="1">
          <wp:simplePos x="0" y="0"/>
          <wp:positionH relativeFrom="column">
            <wp:posOffset>13334</wp:posOffset>
          </wp:positionH>
          <wp:positionV relativeFrom="paragraph">
            <wp:posOffset>173158</wp:posOffset>
          </wp:positionV>
          <wp:extent cx="5579745" cy="19050"/>
          <wp:effectExtent l="0" t="0" r="0" b="0"/>
          <wp:wrapNone/>
          <wp:docPr id="1616" name="IM 1616"/>
          <wp:cNvGraphicFramePr/>
          <a:graphic>
            <a:graphicData uri="http://schemas.openxmlformats.org/drawingml/2006/picture">
              <pic:pic>
                <pic:nvPicPr>
                  <pic:cNvPr id="1616" name="IM 1616"/>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6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8"/>
      <w:spacing w:line="20" w:lineRule="exact"/>
      <w:rPr/>
    </w:pPr>
    <w:r>
      <w:rPr/>
      <w:drawing>
        <wp:inline distT="0" distB="0" distL="0" distR="0">
          <wp:extent cx="5579745" cy="12700"/>
          <wp:effectExtent l="0" t="0" r="0" b="0"/>
          <wp:docPr id="1622" name="IM 1622"/>
          <wp:cNvGraphicFramePr/>
          <a:graphic>
            <a:graphicData uri="http://schemas.openxmlformats.org/drawingml/2006/picture">
              <pic:pic>
                <pic:nvPicPr>
                  <pic:cNvPr id="1622" name="IM 1622"/>
                  <pic:cNvPicPr/>
                </pic:nvPicPr>
                <pic:blipFill>
                  <a:blip r:embed="rId1"/>
                  <a:stretch>
                    <a:fillRect/>
                  </a:stretch>
                </pic:blipFill>
                <pic:spPr>
                  <a:xfrm rot="0">
                    <a:off x="0" y="0"/>
                    <a:ext cx="5579745" cy="12700"/>
                  </a:xfrm>
                  <a:prstGeom prst="rect">
                    <a:avLst/>
                  </a:prstGeom>
                </pic:spPr>
              </pic:pic>
            </a:graphicData>
          </a:graphic>
        </wp:inline>
      </w:drawing>
    </w:r>
  </w:p>
</w:hdr>
</file>

<file path=word/header16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205" w:lineRule="auto"/>
      <w:jc w:val="right"/>
      <w:rPr>
        <w:rFonts w:ascii="Microsoft YaHei" w:hAnsi="Microsoft YaHei" w:eastAsia="Microsoft YaHei" w:cs="Microsoft YaHei"/>
        <w:sz w:val="20"/>
        <w:szCs w:val="20"/>
      </w:rPr>
    </w:pPr>
    <w:r>
      <w:drawing>
        <wp:anchor distT="0" distB="0" distL="0" distR="0" simplePos="0" relativeHeight="252134400" behindDoc="0" locked="0" layoutInCell="1" allowOverlap="1">
          <wp:simplePos x="0" y="0"/>
          <wp:positionH relativeFrom="column">
            <wp:posOffset>13334</wp:posOffset>
          </wp:positionH>
          <wp:positionV relativeFrom="paragraph">
            <wp:posOffset>173158</wp:posOffset>
          </wp:positionV>
          <wp:extent cx="5579745" cy="19050"/>
          <wp:effectExtent l="0" t="0" r="0" b="0"/>
          <wp:wrapNone/>
          <wp:docPr id="1628" name="IM 1628"/>
          <wp:cNvGraphicFramePr/>
          <a:graphic>
            <a:graphicData uri="http://schemas.openxmlformats.org/drawingml/2006/picture">
              <pic:pic>
                <pic:nvPicPr>
                  <pic:cNvPr id="1628" name="IM 1628"/>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6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8"/>
      <w:spacing w:line="20" w:lineRule="exact"/>
      <w:rPr/>
    </w:pPr>
    <w:r>
      <w:rPr/>
      <w:drawing>
        <wp:inline distT="0" distB="0" distL="0" distR="0">
          <wp:extent cx="5579745" cy="12700"/>
          <wp:effectExtent l="0" t="0" r="0" b="0"/>
          <wp:docPr id="1634" name="IM 1634"/>
          <wp:cNvGraphicFramePr/>
          <a:graphic>
            <a:graphicData uri="http://schemas.openxmlformats.org/drawingml/2006/picture">
              <pic:pic>
                <pic:nvPicPr>
                  <pic:cNvPr id="1634" name="IM 1634"/>
                  <pic:cNvPicPr/>
                </pic:nvPicPr>
                <pic:blipFill>
                  <a:blip r:embed="rId1"/>
                  <a:stretch>
                    <a:fillRect/>
                  </a:stretch>
                </pic:blipFill>
                <pic:spPr>
                  <a:xfrm rot="0">
                    <a:off x="0" y="0"/>
                    <a:ext cx="5579745" cy="12700"/>
                  </a:xfrm>
                  <a:prstGeom prst="rect">
                    <a:avLst/>
                  </a:prstGeom>
                </pic:spPr>
              </pic:pic>
            </a:graphicData>
          </a:graphic>
        </wp:inline>
      </w:drawing>
    </w:r>
  </w:p>
</w:hdr>
</file>

<file path=word/header16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5"/>
      <w:spacing w:before="41" w:line="205" w:lineRule="auto"/>
      <w:rPr>
        <w:rFonts w:ascii="Microsoft YaHei" w:hAnsi="Microsoft YaHei" w:eastAsia="Microsoft YaHei" w:cs="Microsoft YaHei"/>
        <w:sz w:val="20"/>
        <w:szCs w:val="20"/>
      </w:rPr>
    </w:pPr>
    <w:r>
      <w:drawing>
        <wp:anchor distT="0" distB="0" distL="0" distR="0" simplePos="0" relativeHeight="252142592" behindDoc="0" locked="0" layoutInCell="1" allowOverlap="1">
          <wp:simplePos x="0" y="0"/>
          <wp:positionH relativeFrom="column">
            <wp:posOffset>13334</wp:posOffset>
          </wp:positionH>
          <wp:positionV relativeFrom="paragraph">
            <wp:posOffset>173158</wp:posOffset>
          </wp:positionV>
          <wp:extent cx="5579745" cy="19050"/>
          <wp:effectExtent l="0" t="0" r="0" b="0"/>
          <wp:wrapNone/>
          <wp:docPr id="1648" name="IM 1648"/>
          <wp:cNvGraphicFramePr/>
          <a:graphic>
            <a:graphicData uri="http://schemas.openxmlformats.org/drawingml/2006/picture">
              <pic:pic>
                <pic:nvPicPr>
                  <pic:cNvPr id="1648" name="IM 1648"/>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6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8"/>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86"/>
      <w:spacing w:line="20" w:lineRule="exact"/>
      <w:rPr/>
    </w:pPr>
    <w:r>
      <w:rPr/>
      <w:drawing>
        <wp:inline distT="0" distB="0" distL="0" distR="0">
          <wp:extent cx="5579745" cy="12700"/>
          <wp:effectExtent l="0" t="0" r="0" b="0"/>
          <wp:docPr id="1670" name="IM 1670"/>
          <wp:cNvGraphicFramePr/>
          <a:graphic>
            <a:graphicData uri="http://schemas.openxmlformats.org/drawingml/2006/picture">
              <pic:pic>
                <pic:nvPicPr>
                  <pic:cNvPr id="1670" name="IM 1670"/>
                  <pic:cNvPicPr/>
                </pic:nvPicPr>
                <pic:blipFill>
                  <a:blip r:embed="rId1"/>
                  <a:stretch>
                    <a:fillRect/>
                  </a:stretch>
                </pic:blipFill>
                <pic:spPr>
                  <a:xfrm rot="0">
                    <a:off x="0" y="0"/>
                    <a:ext cx="5579745" cy="12700"/>
                  </a:xfrm>
                  <a:prstGeom prst="rect">
                    <a:avLst/>
                  </a:prstGeom>
                </pic:spPr>
              </pic:pic>
            </a:graphicData>
          </a:graphic>
        </wp:inline>
      </w:drawing>
    </w:r>
  </w:p>
</w:hdr>
</file>

<file path=word/header16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5"/>
      <w:spacing w:before="41" w:line="205" w:lineRule="auto"/>
      <w:rPr>
        <w:rFonts w:ascii="Microsoft YaHei" w:hAnsi="Microsoft YaHei" w:eastAsia="Microsoft YaHei" w:cs="Microsoft YaHei"/>
        <w:sz w:val="20"/>
        <w:szCs w:val="20"/>
      </w:rPr>
    </w:pPr>
    <w:r>
      <w:drawing>
        <wp:anchor distT="0" distB="0" distL="0" distR="0" simplePos="0" relativeHeight="252154880" behindDoc="0" locked="0" layoutInCell="1" allowOverlap="1">
          <wp:simplePos x="0" y="0"/>
          <wp:positionH relativeFrom="column">
            <wp:posOffset>13334</wp:posOffset>
          </wp:positionH>
          <wp:positionV relativeFrom="paragraph">
            <wp:posOffset>173158</wp:posOffset>
          </wp:positionV>
          <wp:extent cx="5579745" cy="19050"/>
          <wp:effectExtent l="0" t="0" r="0" b="0"/>
          <wp:wrapNone/>
          <wp:docPr id="1680" name="IM 1680"/>
          <wp:cNvGraphicFramePr/>
          <a:graphic>
            <a:graphicData uri="http://schemas.openxmlformats.org/drawingml/2006/picture">
              <pic:pic>
                <pic:nvPicPr>
                  <pic:cNvPr id="1680" name="IM 1680"/>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6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11"/>
      <w:spacing w:line="20" w:lineRule="exact"/>
      <w:rPr/>
    </w:pPr>
    <w:r>
      <w:rPr/>
      <w:drawing>
        <wp:inline distT="0" distB="0" distL="0" distR="0">
          <wp:extent cx="5579745" cy="12700"/>
          <wp:effectExtent l="0" t="0" r="0" b="0"/>
          <wp:docPr id="1708" name="IM 1708"/>
          <wp:cNvGraphicFramePr/>
          <a:graphic>
            <a:graphicData uri="http://schemas.openxmlformats.org/drawingml/2006/picture">
              <pic:pic>
                <pic:nvPicPr>
                  <pic:cNvPr id="1708" name="IM 1708"/>
                  <pic:cNvPicPr/>
                </pic:nvPicPr>
                <pic:blipFill>
                  <a:blip r:embed="rId1"/>
                  <a:stretch>
                    <a:fillRect/>
                  </a:stretch>
                </pic:blipFill>
                <pic:spPr>
                  <a:xfrm rot="0">
                    <a:off x="0" y="0"/>
                    <a:ext cx="5579745" cy="12700"/>
                  </a:xfrm>
                  <a:prstGeom prst="rect">
                    <a:avLst/>
                  </a:prstGeom>
                </pic:spPr>
              </pic:pic>
            </a:graphicData>
          </a:graphic>
        </wp:inline>
      </w:drawing>
    </w:r>
  </w:p>
</w:hdr>
</file>

<file path=word/header16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8"/>
      <w:spacing w:line="20" w:lineRule="exact"/>
      <w:rPr/>
    </w:pPr>
    <w:r>
      <w:rPr/>
      <w:drawing>
        <wp:inline distT="0" distB="0" distL="0" distR="0">
          <wp:extent cx="5579745" cy="12700"/>
          <wp:effectExtent l="0" t="0" r="0" b="0"/>
          <wp:docPr id="1744" name="IM 1744"/>
          <wp:cNvGraphicFramePr/>
          <a:graphic>
            <a:graphicData uri="http://schemas.openxmlformats.org/drawingml/2006/picture">
              <pic:pic>
                <pic:nvPicPr>
                  <pic:cNvPr id="1744" name="IM 1744"/>
                  <pic:cNvPicPr/>
                </pic:nvPicPr>
                <pic:blipFill>
                  <a:blip r:embed="rId1"/>
                  <a:stretch>
                    <a:fillRect/>
                  </a:stretch>
                </pic:blipFill>
                <pic:spPr>
                  <a:xfrm rot="0">
                    <a:off x="0" y="0"/>
                    <a:ext cx="5579745" cy="12700"/>
                  </a:xfrm>
                  <a:prstGeom prst="rect">
                    <a:avLst/>
                  </a:prstGeom>
                </pic:spPr>
              </pic:pic>
            </a:graphicData>
          </a:graphic>
        </wp:inline>
      </w:drawing>
    </w:r>
  </w:p>
</w:hdr>
</file>

<file path=word/header16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4"/>
      <w:spacing w:before="41" w:line="205" w:lineRule="auto"/>
      <w:jc w:val="right"/>
      <w:rPr>
        <w:rFonts w:ascii="Microsoft YaHei" w:hAnsi="Microsoft YaHei" w:eastAsia="Microsoft YaHei" w:cs="Microsoft YaHei"/>
        <w:sz w:val="20"/>
        <w:szCs w:val="20"/>
      </w:rPr>
    </w:pPr>
    <w:r>
      <w:drawing>
        <wp:anchor distT="0" distB="0" distL="0" distR="0" simplePos="0" relativeHeight="252195840" behindDoc="0" locked="0" layoutInCell="1" allowOverlap="1">
          <wp:simplePos x="0" y="0"/>
          <wp:positionH relativeFrom="column">
            <wp:posOffset>13334</wp:posOffset>
          </wp:positionH>
          <wp:positionV relativeFrom="paragraph">
            <wp:posOffset>173158</wp:posOffset>
          </wp:positionV>
          <wp:extent cx="5579745" cy="19050"/>
          <wp:effectExtent l="0" t="0" r="0" b="0"/>
          <wp:wrapNone/>
          <wp:docPr id="1776" name="IM 1776"/>
          <wp:cNvGraphicFramePr/>
          <a:graphic>
            <a:graphicData uri="http://schemas.openxmlformats.org/drawingml/2006/picture">
              <pic:pic>
                <pic:nvPicPr>
                  <pic:cNvPr id="1776" name="IM 1776"/>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2"/>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市政府文件</w:t>
    </w:r>
  </w:p>
  <w:p>
    <w:pPr>
      <w:ind w:firstLine="130"/>
      <w:spacing w:line="20" w:lineRule="exact"/>
      <w:rPr/>
    </w:pPr>
    <w:r>
      <w:rPr/>
      <w:drawing>
        <wp:inline distT="0" distB="0" distL="0" distR="0">
          <wp:extent cx="8712200" cy="12700"/>
          <wp:effectExtent l="0" t="0" r="0" b="0"/>
          <wp:docPr id="194" name="IM 194"/>
          <wp:cNvGraphicFramePr/>
          <a:graphic>
            <a:graphicData uri="http://schemas.openxmlformats.org/drawingml/2006/picture">
              <pic:pic>
                <pic:nvPicPr>
                  <pic:cNvPr id="194" name="IM 194"/>
                  <pic:cNvPicPr/>
                </pic:nvPicPr>
                <pic:blipFill>
                  <a:blip r:embed="rId1"/>
                  <a:stretch>
                    <a:fillRect/>
                  </a:stretch>
                </pic:blipFill>
                <pic:spPr>
                  <a:xfrm rot="0">
                    <a:off x="0" y="0"/>
                    <a:ext cx="8712200" cy="12700"/>
                  </a:xfrm>
                  <a:prstGeom prst="rect">
                    <a:avLst/>
                  </a:prstGeom>
                </pic:spPr>
              </pic:pic>
            </a:graphicData>
          </a:graphic>
        </wp:inline>
      </w:drawing>
    </w:r>
  </w:p>
</w:hdr>
</file>

<file path=word/header17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8"/>
      <w:spacing w:line="20" w:lineRule="exact"/>
      <w:rPr/>
    </w:pPr>
    <w:r>
      <w:rPr/>
      <w:drawing>
        <wp:inline distT="0" distB="0" distL="0" distR="0">
          <wp:extent cx="5579745" cy="12700"/>
          <wp:effectExtent l="0" t="0" r="0" b="0"/>
          <wp:docPr id="1838" name="IM 1838"/>
          <wp:cNvGraphicFramePr/>
          <a:graphic>
            <a:graphicData uri="http://schemas.openxmlformats.org/drawingml/2006/picture">
              <pic:pic>
                <pic:nvPicPr>
                  <pic:cNvPr id="1838" name="IM 1838"/>
                  <pic:cNvPicPr/>
                </pic:nvPicPr>
                <pic:blipFill>
                  <a:blip r:embed="rId1"/>
                  <a:stretch>
                    <a:fillRect/>
                  </a:stretch>
                </pic:blipFill>
                <pic:spPr>
                  <a:xfrm rot="0">
                    <a:off x="0" y="0"/>
                    <a:ext cx="5579745" cy="12700"/>
                  </a:xfrm>
                  <a:prstGeom prst="rect">
                    <a:avLst/>
                  </a:prstGeom>
                </pic:spPr>
              </pic:pic>
            </a:graphicData>
          </a:graphic>
        </wp:inline>
      </w:drawing>
    </w:r>
  </w:p>
</w:hdr>
</file>

<file path=word/header17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56"/>
      <w:spacing w:line="20" w:lineRule="exact"/>
      <w:rPr/>
    </w:pPr>
    <w:r>
      <w:rPr/>
      <w:drawing>
        <wp:inline distT="0" distB="0" distL="0" distR="0">
          <wp:extent cx="8712200" cy="12700"/>
          <wp:effectExtent l="0" t="0" r="0" b="0"/>
          <wp:docPr id="1924" name="IM 1924"/>
          <wp:cNvGraphicFramePr/>
          <a:graphic>
            <a:graphicData uri="http://schemas.openxmlformats.org/drawingml/2006/picture">
              <pic:pic>
                <pic:nvPicPr>
                  <pic:cNvPr id="1924" name="IM 1924"/>
                  <pic:cNvPicPr/>
                </pic:nvPicPr>
                <pic:blipFill>
                  <a:blip r:embed="rId1"/>
                  <a:stretch>
                    <a:fillRect/>
                  </a:stretch>
                </pic:blipFill>
                <pic:spPr>
                  <a:xfrm rot="0">
                    <a:off x="0" y="0"/>
                    <a:ext cx="8712200" cy="12700"/>
                  </a:xfrm>
                  <a:prstGeom prst="rect">
                    <a:avLst/>
                  </a:prstGeom>
                </pic:spPr>
              </pic:pic>
            </a:graphicData>
          </a:graphic>
        </wp:inline>
      </w:drawing>
    </w:r>
  </w:p>
</w:hdr>
</file>

<file path=word/header17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5"/>
      <w:spacing w:before="41" w:line="205" w:lineRule="auto"/>
      <w:rPr>
        <w:rFonts w:ascii="Microsoft YaHei" w:hAnsi="Microsoft YaHei" w:eastAsia="Microsoft YaHei" w:cs="Microsoft YaHei"/>
        <w:sz w:val="20"/>
        <w:szCs w:val="20"/>
      </w:rPr>
    </w:pPr>
    <w:r>
      <w:drawing>
        <wp:anchor distT="0" distB="0" distL="0" distR="0" simplePos="0" relativeHeight="252269568" behindDoc="0" locked="0" layoutInCell="1" allowOverlap="1">
          <wp:simplePos x="0" y="0"/>
          <wp:positionH relativeFrom="column">
            <wp:posOffset>13334</wp:posOffset>
          </wp:positionH>
          <wp:positionV relativeFrom="paragraph">
            <wp:posOffset>173158</wp:posOffset>
          </wp:positionV>
          <wp:extent cx="8712200" cy="19050"/>
          <wp:effectExtent l="0" t="0" r="0" b="0"/>
          <wp:wrapNone/>
          <wp:docPr id="1932" name="IM 1932"/>
          <wp:cNvGraphicFramePr/>
          <a:graphic>
            <a:graphicData uri="http://schemas.openxmlformats.org/drawingml/2006/picture">
              <pic:pic>
                <pic:nvPicPr>
                  <pic:cNvPr id="1932" name="IM 1932"/>
                  <pic:cNvPicPr/>
                </pic:nvPicPr>
                <pic:blipFill>
                  <a:blip r:embed="rId1"/>
                  <a:stretch>
                    <a:fillRect/>
                  </a:stretch>
                </pic:blipFill>
                <pic:spPr>
                  <a:xfrm rot="0">
                    <a:off x="0" y="0"/>
                    <a:ext cx="8712200"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7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56"/>
      <w:spacing w:line="20" w:lineRule="exact"/>
      <w:rPr/>
    </w:pPr>
    <w:r>
      <w:rPr/>
      <w:drawing>
        <wp:inline distT="0" distB="0" distL="0" distR="0">
          <wp:extent cx="5579745" cy="12700"/>
          <wp:effectExtent l="0" t="0" r="0" b="0"/>
          <wp:docPr id="1940" name="IM 1940"/>
          <wp:cNvGraphicFramePr/>
          <a:graphic>
            <a:graphicData uri="http://schemas.openxmlformats.org/drawingml/2006/picture">
              <pic:pic>
                <pic:nvPicPr>
                  <pic:cNvPr id="1940" name="IM 1940"/>
                  <pic:cNvPicPr/>
                </pic:nvPicPr>
                <pic:blipFill>
                  <a:blip r:embed="rId1"/>
                  <a:stretch>
                    <a:fillRect/>
                  </a:stretch>
                </pic:blipFill>
                <pic:spPr>
                  <a:xfrm rot="0">
                    <a:off x="0" y="0"/>
                    <a:ext cx="5579745" cy="12700"/>
                  </a:xfrm>
                  <a:prstGeom prst="rect">
                    <a:avLst/>
                  </a:prstGeom>
                </pic:spPr>
              </pic:pic>
            </a:graphicData>
          </a:graphic>
        </wp:inline>
      </w:drawing>
    </w:r>
  </w:p>
</w:hdr>
</file>

<file path=word/header17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5"/>
      <w:spacing w:before="41" w:line="205" w:lineRule="auto"/>
      <w:rPr>
        <w:rFonts w:ascii="Microsoft YaHei" w:hAnsi="Microsoft YaHei" w:eastAsia="Microsoft YaHei" w:cs="Microsoft YaHei"/>
        <w:sz w:val="20"/>
        <w:szCs w:val="20"/>
      </w:rPr>
    </w:pPr>
    <w:r>
      <w:drawing>
        <wp:anchor distT="0" distB="0" distL="0" distR="0" simplePos="0" relativeHeight="252281856" behindDoc="0" locked="0" layoutInCell="1" allowOverlap="1">
          <wp:simplePos x="0" y="0"/>
          <wp:positionH relativeFrom="column">
            <wp:posOffset>13334</wp:posOffset>
          </wp:positionH>
          <wp:positionV relativeFrom="paragraph">
            <wp:posOffset>173158</wp:posOffset>
          </wp:positionV>
          <wp:extent cx="5579745" cy="19050"/>
          <wp:effectExtent l="0" t="0" r="0" b="0"/>
          <wp:wrapNone/>
          <wp:docPr id="1962" name="IM 1962"/>
          <wp:cNvGraphicFramePr/>
          <a:graphic>
            <a:graphicData uri="http://schemas.openxmlformats.org/drawingml/2006/picture">
              <pic:pic>
                <pic:nvPicPr>
                  <pic:cNvPr id="1962" name="IM 1962"/>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7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《固原市人民政府公报》</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市委办、政府办文件</w:t>
    </w:r>
  </w:p>
  <w:p>
    <w:pPr>
      <w:ind w:firstLine="8"/>
      <w:spacing w:line="20" w:lineRule="exact"/>
      <w:rPr/>
    </w:pPr>
    <w:r>
      <w:rPr/>
      <w:drawing>
        <wp:inline distT="0" distB="0" distL="0" distR="0">
          <wp:extent cx="8712200" cy="12700"/>
          <wp:effectExtent l="0" t="0" r="0" b="0"/>
          <wp:docPr id="2008" name="IM 2008"/>
          <wp:cNvGraphicFramePr/>
          <a:graphic>
            <a:graphicData uri="http://schemas.openxmlformats.org/drawingml/2006/picture">
              <pic:pic>
                <pic:nvPicPr>
                  <pic:cNvPr id="2008" name="IM 2008"/>
                  <pic:cNvPicPr/>
                </pic:nvPicPr>
                <pic:blipFill>
                  <a:blip r:embed="rId1"/>
                  <a:stretch>
                    <a:fillRect/>
                  </a:stretch>
                </pic:blipFill>
                <pic:spPr>
                  <a:xfrm rot="0">
                    <a:off x="0" y="0"/>
                    <a:ext cx="8712200" cy="12700"/>
                  </a:xfrm>
                  <a:prstGeom prst="rect">
                    <a:avLst/>
                  </a:prstGeom>
                </pic:spPr>
              </pic:pic>
            </a:graphicData>
          </a:graphic>
        </wp:inline>
      </w:drawing>
    </w:r>
  </w:p>
</w:hdr>
</file>

<file path=word/header17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205" w:lineRule="auto"/>
      <w:jc w:val="right"/>
      <w:rPr>
        <w:rFonts w:ascii="Microsoft YaHei" w:hAnsi="Microsoft YaHei" w:eastAsia="Microsoft YaHei" w:cs="Microsoft YaHei"/>
        <w:sz w:val="20"/>
        <w:szCs w:val="20"/>
      </w:rPr>
    </w:pPr>
    <w:r>
      <w:drawing>
        <wp:anchor distT="0" distB="0" distL="0" distR="0" simplePos="0" relativeHeight="252306432" behindDoc="0" locked="0" layoutInCell="1" allowOverlap="1">
          <wp:simplePos x="0" y="0"/>
          <wp:positionH relativeFrom="column">
            <wp:posOffset>0</wp:posOffset>
          </wp:positionH>
          <wp:positionV relativeFrom="paragraph">
            <wp:posOffset>173158</wp:posOffset>
          </wp:positionV>
          <wp:extent cx="8712200" cy="19050"/>
          <wp:effectExtent l="0" t="0" r="0" b="0"/>
          <wp:wrapNone/>
          <wp:docPr id="2018" name="IM 2018"/>
          <wp:cNvGraphicFramePr/>
          <a:graphic>
            <a:graphicData uri="http://schemas.openxmlformats.org/drawingml/2006/picture">
              <pic:pic>
                <pic:nvPicPr>
                  <pic:cNvPr id="2018" name="IM 2018"/>
                  <pic:cNvPicPr/>
                </pic:nvPicPr>
                <pic:blipFill>
                  <a:blip r:embed="rId1"/>
                  <a:stretch>
                    <a:fillRect/>
                  </a:stretch>
                </pic:blipFill>
                <pic:spPr>
                  <a:xfrm rot="0">
                    <a:off x="0" y="0"/>
                    <a:ext cx="8712200" cy="19050"/>
                  </a:xfrm>
                  <a:prstGeom prst="rect">
                    <a:avLst/>
                  </a:prstGeom>
                </pic:spPr>
              </pic:pic>
            </a:graphicData>
          </a:graphic>
        </wp:anchor>
      </w:drawing>
    </w:r>
    <w:r>
      <w:rPr>
        <w:rFonts w:ascii="Microsoft YaHei" w:hAnsi="Microsoft YaHei" w:eastAsia="Microsoft YaHei" w:cs="Microsoft YaHei"/>
        <w:sz w:val="20"/>
        <w:szCs w:val="20"/>
        <w:spacing w:val="9"/>
      </w:rPr>
      <w:t>市委办、</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9"/>
      </w:rPr>
      <w:t>市政府办文件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《固原市人民政府公</w:t>
    </w:r>
    <w:r>
      <w:rPr>
        <w:rFonts w:ascii="Microsoft YaHei" w:hAnsi="Microsoft YaHei" w:eastAsia="Microsoft YaHei" w:cs="Microsoft YaHei"/>
        <w:sz w:val="20"/>
        <w:szCs w:val="20"/>
        <w:spacing w:val="8"/>
      </w:rPr>
      <w:t>报》</w:t>
    </w:r>
  </w:p>
</w:hdr>
</file>

<file path=word/header17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市委办、</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8"/>
      </w:rPr>
      <w:t>市政府办文件</w:t>
    </w:r>
  </w:p>
  <w:p>
    <w:pPr>
      <w:ind w:firstLine="11"/>
      <w:spacing w:line="20" w:lineRule="exact"/>
      <w:rPr/>
    </w:pPr>
    <w:r>
      <w:rPr/>
      <w:drawing>
        <wp:inline distT="0" distB="0" distL="0" distR="0">
          <wp:extent cx="5579745" cy="12700"/>
          <wp:effectExtent l="0" t="0" r="0" b="0"/>
          <wp:docPr id="2030" name="IM 2030"/>
          <wp:cNvGraphicFramePr/>
          <a:graphic>
            <a:graphicData uri="http://schemas.openxmlformats.org/drawingml/2006/picture">
              <pic:pic>
                <pic:nvPicPr>
                  <pic:cNvPr id="2030" name="IM 2030"/>
                  <pic:cNvPicPr/>
                </pic:nvPicPr>
                <pic:blipFill>
                  <a:blip r:embed="rId1"/>
                  <a:stretch>
                    <a:fillRect/>
                  </a:stretch>
                </pic:blipFill>
                <pic:spPr>
                  <a:xfrm rot="0">
                    <a:off x="0" y="0"/>
                    <a:ext cx="5579745" cy="12700"/>
                  </a:xfrm>
                  <a:prstGeom prst="rect">
                    <a:avLst/>
                  </a:prstGeom>
                </pic:spPr>
              </pic:pic>
            </a:graphicData>
          </a:graphic>
        </wp:inline>
      </w:drawing>
    </w:r>
  </w:p>
</w:hdr>
</file>

<file path=word/header17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205" w:lineRule="auto"/>
      <w:jc w:val="right"/>
      <w:rPr>
        <w:rFonts w:ascii="Microsoft YaHei" w:hAnsi="Microsoft YaHei" w:eastAsia="Microsoft YaHei" w:cs="Microsoft YaHei"/>
        <w:sz w:val="20"/>
        <w:szCs w:val="20"/>
      </w:rPr>
    </w:pPr>
    <w:r>
      <w:drawing>
        <wp:anchor distT="0" distB="0" distL="0" distR="0" simplePos="0" relativeHeight="252310528" behindDoc="0" locked="0" layoutInCell="1" allowOverlap="1">
          <wp:simplePos x="0" y="0"/>
          <wp:positionH relativeFrom="column">
            <wp:posOffset>10794</wp:posOffset>
          </wp:positionH>
          <wp:positionV relativeFrom="paragraph">
            <wp:posOffset>173158</wp:posOffset>
          </wp:positionV>
          <wp:extent cx="5579745" cy="19050"/>
          <wp:effectExtent l="0" t="0" r="0" b="0"/>
          <wp:wrapNone/>
          <wp:docPr id="2036" name="IM 2036"/>
          <wp:cNvGraphicFramePr/>
          <a:graphic>
            <a:graphicData uri="http://schemas.openxmlformats.org/drawingml/2006/picture">
              <pic:pic>
                <pic:nvPicPr>
                  <pic:cNvPr id="2036" name="IM 2036"/>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9"/>
      </w:rPr>
      <w:t>市委办、</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9"/>
      </w:rPr>
      <w:t>市政府办文件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《固原市人民政府公</w:t>
    </w:r>
    <w:r>
      <w:rPr>
        <w:rFonts w:ascii="Microsoft YaHei" w:hAnsi="Microsoft YaHei" w:eastAsia="Microsoft YaHei" w:cs="Microsoft YaHei"/>
        <w:sz w:val="20"/>
        <w:szCs w:val="20"/>
        <w:spacing w:val="8"/>
      </w:rPr>
      <w:t>报》</w:t>
    </w:r>
  </w:p>
</w:hdr>
</file>

<file path=word/header17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市委办、</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8"/>
      </w:rPr>
      <w:t>市政府办文件</w:t>
    </w:r>
  </w:p>
  <w:p>
    <w:pPr>
      <w:ind w:firstLine="8"/>
      <w:spacing w:line="20" w:lineRule="exact"/>
      <w:rPr/>
    </w:pPr>
    <w:r>
      <w:rPr/>
      <w:drawing>
        <wp:inline distT="0" distB="0" distL="0" distR="0">
          <wp:extent cx="5579745" cy="12700"/>
          <wp:effectExtent l="0" t="0" r="0" b="0"/>
          <wp:docPr id="2042" name="IM 2042"/>
          <wp:cNvGraphicFramePr/>
          <a:graphic>
            <a:graphicData uri="http://schemas.openxmlformats.org/drawingml/2006/picture">
              <pic:pic>
                <pic:nvPicPr>
                  <pic:cNvPr id="2042" name="IM 2042"/>
                  <pic:cNvPicPr/>
                </pic:nvPicPr>
                <pic:blipFill>
                  <a:blip r:embed="rId1"/>
                  <a:stretch>
                    <a:fillRect/>
                  </a:stretch>
                </pic:blipFill>
                <pic:spPr>
                  <a:xfrm rot="0">
                    <a:off x="0" y="0"/>
                    <a:ext cx="5579745" cy="12700"/>
                  </a:xfrm>
                  <a:prstGeom prst="rect">
                    <a:avLst/>
                  </a:prstGeom>
                </pic:spPr>
              </pic:pic>
            </a:graphicData>
          </a:graphic>
        </wp:inline>
      </w:drawing>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6"/>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市政府文件</w:t>
    </w:r>
  </w:p>
  <w:p>
    <w:pPr>
      <w:ind w:firstLine="124"/>
      <w:spacing w:line="20" w:lineRule="exact"/>
      <w:rPr/>
    </w:pPr>
    <w:r>
      <w:rPr/>
      <w:drawing>
        <wp:inline distT="0" distB="0" distL="0" distR="0">
          <wp:extent cx="8712200" cy="12700"/>
          <wp:effectExtent l="0" t="0" r="0" b="0"/>
          <wp:docPr id="204" name="IM 204"/>
          <wp:cNvGraphicFramePr/>
          <a:graphic>
            <a:graphicData uri="http://schemas.openxmlformats.org/drawingml/2006/picture">
              <pic:pic>
                <pic:nvPicPr>
                  <pic:cNvPr id="204" name="IM 204"/>
                  <pic:cNvPicPr/>
                </pic:nvPicPr>
                <pic:blipFill>
                  <a:blip r:embed="rId1"/>
                  <a:stretch>
                    <a:fillRect/>
                  </a:stretch>
                </pic:blipFill>
                <pic:spPr>
                  <a:xfrm rot="0">
                    <a:off x="0" y="0"/>
                    <a:ext cx="8712200" cy="12700"/>
                  </a:xfrm>
                  <a:prstGeom prst="rect">
                    <a:avLst/>
                  </a:prstGeom>
                </pic:spPr>
              </pic:pic>
            </a:graphicData>
          </a:graphic>
        </wp:inline>
      </w:drawing>
    </w:r>
  </w:p>
</w:hdr>
</file>

<file path=word/header18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0"/>
      <w:spacing w:before="41" w:line="205" w:lineRule="auto"/>
      <w:rPr>
        <w:rFonts w:ascii="Microsoft YaHei" w:hAnsi="Microsoft YaHei" w:eastAsia="Microsoft YaHei" w:cs="Microsoft YaHei"/>
        <w:sz w:val="20"/>
        <w:szCs w:val="20"/>
      </w:rPr>
    </w:pPr>
    <w:r>
      <w:drawing>
        <wp:anchor distT="0" distB="0" distL="0" distR="0" simplePos="0" relativeHeight="252314624" behindDoc="0" locked="0" layoutInCell="1" allowOverlap="1">
          <wp:simplePos x="0" y="0"/>
          <wp:positionH relativeFrom="column">
            <wp:posOffset>10794</wp:posOffset>
          </wp:positionH>
          <wp:positionV relativeFrom="paragraph">
            <wp:posOffset>173158</wp:posOffset>
          </wp:positionV>
          <wp:extent cx="5579745" cy="19050"/>
          <wp:effectExtent l="0" t="0" r="0" b="0"/>
          <wp:wrapNone/>
          <wp:docPr id="2048" name="IM 2048"/>
          <wp:cNvGraphicFramePr/>
          <a:graphic>
            <a:graphicData uri="http://schemas.openxmlformats.org/drawingml/2006/picture">
              <pic:pic>
                <pic:nvPicPr>
                  <pic:cNvPr id="2048" name="IM 2048"/>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9"/>
      </w:rPr>
      <w:t>市委办、</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9"/>
      </w:rPr>
      <w:t>市政府办文件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《固原市人民政府公</w:t>
    </w:r>
    <w:r>
      <w:rPr>
        <w:rFonts w:ascii="Microsoft YaHei" w:hAnsi="Microsoft YaHei" w:eastAsia="Microsoft YaHei" w:cs="Microsoft YaHei"/>
        <w:sz w:val="20"/>
        <w:szCs w:val="20"/>
        <w:spacing w:val="8"/>
      </w:rPr>
      <w:t>报》</w:t>
    </w:r>
  </w:p>
</w:hdr>
</file>

<file path=word/header18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市委办、政府办文件</w:t>
    </w:r>
  </w:p>
  <w:p>
    <w:pPr>
      <w:ind w:firstLine="8"/>
      <w:spacing w:line="20" w:lineRule="exact"/>
      <w:rPr/>
    </w:pPr>
    <w:r>
      <w:rPr/>
      <w:drawing>
        <wp:inline distT="0" distB="0" distL="0" distR="0">
          <wp:extent cx="5579745" cy="12700"/>
          <wp:effectExtent l="0" t="0" r="0" b="0"/>
          <wp:docPr id="2062" name="IM 2062"/>
          <wp:cNvGraphicFramePr/>
          <a:graphic>
            <a:graphicData uri="http://schemas.openxmlformats.org/drawingml/2006/picture">
              <pic:pic>
                <pic:nvPicPr>
                  <pic:cNvPr id="2062" name="IM 2062"/>
                  <pic:cNvPicPr/>
                </pic:nvPicPr>
                <pic:blipFill>
                  <a:blip r:embed="rId1"/>
                  <a:stretch>
                    <a:fillRect/>
                  </a:stretch>
                </pic:blipFill>
                <pic:spPr>
                  <a:xfrm rot="0">
                    <a:off x="0" y="0"/>
                    <a:ext cx="5579745" cy="12700"/>
                  </a:xfrm>
                  <a:prstGeom prst="rect">
                    <a:avLst/>
                  </a:prstGeom>
                </pic:spPr>
              </pic:pic>
            </a:graphicData>
          </a:graphic>
        </wp:inline>
      </w:drawing>
    </w:r>
  </w:p>
</w:hdr>
</file>

<file path=word/header18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0"/>
      <w:spacing w:before="41" w:line="205" w:lineRule="auto"/>
      <w:rPr>
        <w:rFonts w:ascii="Microsoft YaHei" w:hAnsi="Microsoft YaHei" w:eastAsia="Microsoft YaHei" w:cs="Microsoft YaHei"/>
        <w:sz w:val="20"/>
        <w:szCs w:val="20"/>
      </w:rPr>
    </w:pPr>
    <w:r>
      <w:drawing>
        <wp:anchor distT="0" distB="0" distL="0" distR="0" simplePos="0" relativeHeight="252322816" behindDoc="0" locked="0" layoutInCell="1" allowOverlap="1">
          <wp:simplePos x="0" y="0"/>
          <wp:positionH relativeFrom="column">
            <wp:posOffset>10794</wp:posOffset>
          </wp:positionH>
          <wp:positionV relativeFrom="paragraph">
            <wp:posOffset>173158</wp:posOffset>
          </wp:positionV>
          <wp:extent cx="5579745" cy="19050"/>
          <wp:effectExtent l="0" t="0" r="0" b="0"/>
          <wp:wrapNone/>
          <wp:docPr id="2068" name="IM 2068"/>
          <wp:cNvGraphicFramePr/>
          <a:graphic>
            <a:graphicData uri="http://schemas.openxmlformats.org/drawingml/2006/picture">
              <pic:pic>
                <pic:nvPicPr>
                  <pic:cNvPr id="2068" name="IM 2068"/>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9"/>
      </w:rPr>
      <w:t>市委办、</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9"/>
      </w:rPr>
      <w:t>市政府办文件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《固原市人民政府公</w:t>
    </w:r>
    <w:r>
      <w:rPr>
        <w:rFonts w:ascii="Microsoft YaHei" w:hAnsi="Microsoft YaHei" w:eastAsia="Microsoft YaHei" w:cs="Microsoft YaHei"/>
        <w:sz w:val="20"/>
        <w:szCs w:val="20"/>
        <w:spacing w:val="8"/>
      </w:rPr>
      <w:t>报》</w:t>
    </w:r>
  </w:p>
</w:hdr>
</file>

<file path=word/header18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02"/>
      <w:spacing w:before="41" w:line="205" w:lineRule="auto"/>
      <w:rPr>
        <w:rFonts w:ascii="Microsoft YaHei" w:hAnsi="Microsoft YaHei" w:eastAsia="Microsoft YaHei" w:cs="Microsoft YaHei"/>
        <w:sz w:val="20"/>
        <w:szCs w:val="20"/>
      </w:rPr>
    </w:pPr>
    <w:r>
      <w:drawing>
        <wp:anchor distT="0" distB="0" distL="0" distR="0" simplePos="0" relativeHeight="252326912" behindDoc="0" locked="0" layoutInCell="1" allowOverlap="1">
          <wp:simplePos x="0" y="0"/>
          <wp:positionH relativeFrom="column">
            <wp:posOffset>1008380</wp:posOffset>
          </wp:positionH>
          <wp:positionV relativeFrom="paragraph">
            <wp:posOffset>173158</wp:posOffset>
          </wp:positionV>
          <wp:extent cx="8712200" cy="19050"/>
          <wp:effectExtent l="0" t="0" r="0" b="0"/>
          <wp:wrapNone/>
          <wp:docPr id="2078" name="IM 2078"/>
          <wp:cNvGraphicFramePr/>
          <a:graphic>
            <a:graphicData uri="http://schemas.openxmlformats.org/drawingml/2006/picture">
              <pic:pic>
                <pic:nvPicPr>
                  <pic:cNvPr id="2078" name="IM 2078"/>
                  <pic:cNvPicPr/>
                </pic:nvPicPr>
                <pic:blipFill>
                  <a:blip r:embed="rId1"/>
                  <a:stretch>
                    <a:fillRect/>
                  </a:stretch>
                </pic:blipFill>
                <pic:spPr>
                  <a:xfrm rot="0">
                    <a:off x="0" y="0"/>
                    <a:ext cx="8712200"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8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205" w:lineRule="auto"/>
      <w:jc w:val="right"/>
      <w:rPr>
        <w:rFonts w:ascii="Microsoft YaHei" w:hAnsi="Microsoft YaHei" w:eastAsia="Microsoft YaHei" w:cs="Microsoft YaHei"/>
        <w:sz w:val="20"/>
        <w:szCs w:val="20"/>
      </w:rPr>
    </w:pPr>
    <w:r>
      <w:drawing>
        <wp:anchor distT="0" distB="0" distL="0" distR="0" simplePos="0" relativeHeight="252331008" behindDoc="0" locked="0" layoutInCell="1" allowOverlap="1">
          <wp:simplePos x="0" y="0"/>
          <wp:positionH relativeFrom="column">
            <wp:posOffset>10794</wp:posOffset>
          </wp:positionH>
          <wp:positionV relativeFrom="paragraph">
            <wp:posOffset>173158</wp:posOffset>
          </wp:positionV>
          <wp:extent cx="5579745" cy="19050"/>
          <wp:effectExtent l="0" t="0" r="0" b="0"/>
          <wp:wrapNone/>
          <wp:docPr id="2092" name="IM 2092"/>
          <wp:cNvGraphicFramePr/>
          <a:graphic>
            <a:graphicData uri="http://schemas.openxmlformats.org/drawingml/2006/picture">
              <pic:pic>
                <pic:nvPicPr>
                  <pic:cNvPr id="2092" name="IM 2092"/>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8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8"/>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36"/>
      <w:spacing w:line="20" w:lineRule="exact"/>
      <w:rPr/>
    </w:pPr>
    <w:r>
      <w:rPr/>
      <w:drawing>
        <wp:inline distT="0" distB="0" distL="0" distR="0">
          <wp:extent cx="5579745" cy="12700"/>
          <wp:effectExtent l="0" t="0" r="0" b="0"/>
          <wp:docPr id="2106" name="IM 2106"/>
          <wp:cNvGraphicFramePr/>
          <a:graphic>
            <a:graphicData uri="http://schemas.openxmlformats.org/drawingml/2006/picture">
              <pic:pic>
                <pic:nvPicPr>
                  <pic:cNvPr id="2106" name="IM 2106"/>
                  <pic:cNvPicPr/>
                </pic:nvPicPr>
                <pic:blipFill>
                  <a:blip r:embed="rId1"/>
                  <a:stretch>
                    <a:fillRect/>
                  </a:stretch>
                </pic:blipFill>
                <pic:spPr>
                  <a:xfrm rot="0">
                    <a:off x="0" y="0"/>
                    <a:ext cx="5579745" cy="12700"/>
                  </a:xfrm>
                  <a:prstGeom prst="rect">
                    <a:avLst/>
                  </a:prstGeom>
                </pic:spPr>
              </pic:pic>
            </a:graphicData>
          </a:graphic>
        </wp:inline>
      </w:drawing>
    </w:r>
  </w:p>
</w:hdr>
</file>

<file path=word/header18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205" w:lineRule="auto"/>
      <w:jc w:val="right"/>
      <w:rPr>
        <w:rFonts w:ascii="Microsoft YaHei" w:hAnsi="Microsoft YaHei" w:eastAsia="Microsoft YaHei" w:cs="Microsoft YaHei"/>
        <w:sz w:val="20"/>
        <w:szCs w:val="20"/>
      </w:rPr>
    </w:pPr>
    <w:r>
      <w:drawing>
        <wp:anchor distT="0" distB="0" distL="0" distR="0" simplePos="0" relativeHeight="252343296" behindDoc="0" locked="0" layoutInCell="1" allowOverlap="1">
          <wp:simplePos x="0" y="0"/>
          <wp:positionH relativeFrom="column">
            <wp:posOffset>10794</wp:posOffset>
          </wp:positionH>
          <wp:positionV relativeFrom="paragraph">
            <wp:posOffset>173158</wp:posOffset>
          </wp:positionV>
          <wp:extent cx="5579745" cy="19050"/>
          <wp:effectExtent l="0" t="0" r="0" b="0"/>
          <wp:wrapNone/>
          <wp:docPr id="2120" name="IM 2120"/>
          <wp:cNvGraphicFramePr/>
          <a:graphic>
            <a:graphicData uri="http://schemas.openxmlformats.org/drawingml/2006/picture">
              <pic:pic>
                <pic:nvPicPr>
                  <pic:cNvPr id="2120" name="IM 2120"/>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8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205" w:lineRule="auto"/>
      <w:jc w:val="right"/>
      <w:rPr>
        <w:rFonts w:ascii="Microsoft YaHei" w:hAnsi="Microsoft YaHei" w:eastAsia="Microsoft YaHei" w:cs="Microsoft YaHei"/>
        <w:sz w:val="20"/>
        <w:szCs w:val="20"/>
      </w:rPr>
    </w:pPr>
    <w:r>
      <w:drawing>
        <wp:anchor distT="0" distB="0" distL="0" distR="0" simplePos="0" relativeHeight="252362752" behindDoc="0" locked="0" layoutInCell="1" allowOverlap="1">
          <wp:simplePos x="0" y="0"/>
          <wp:positionH relativeFrom="column">
            <wp:posOffset>10794</wp:posOffset>
          </wp:positionH>
          <wp:positionV relativeFrom="paragraph">
            <wp:posOffset>173158</wp:posOffset>
          </wp:positionV>
          <wp:extent cx="8712200" cy="19050"/>
          <wp:effectExtent l="0" t="0" r="0" b="0"/>
          <wp:wrapNone/>
          <wp:docPr id="2166" name="IM 2166"/>
          <wp:cNvGraphicFramePr/>
          <a:graphic>
            <a:graphicData uri="http://schemas.openxmlformats.org/drawingml/2006/picture">
              <pic:pic>
                <pic:nvPicPr>
                  <pic:cNvPr id="2166" name="IM 2166"/>
                  <pic:cNvPicPr/>
                </pic:nvPicPr>
                <pic:blipFill>
                  <a:blip r:embed="rId1"/>
                  <a:stretch>
                    <a:fillRect/>
                  </a:stretch>
                </pic:blipFill>
                <pic:spPr>
                  <a:xfrm rot="0">
                    <a:off x="0" y="0"/>
                    <a:ext cx="8712200"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8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8"/>
      <w:spacing w:line="20" w:lineRule="exact"/>
      <w:rPr/>
    </w:pPr>
    <w:r>
      <w:rPr/>
      <w:drawing>
        <wp:inline distT="0" distB="0" distL="0" distR="0">
          <wp:extent cx="5579745" cy="12700"/>
          <wp:effectExtent l="0" t="0" r="0" b="0"/>
          <wp:docPr id="2178" name="IM 2178"/>
          <wp:cNvGraphicFramePr/>
          <a:graphic>
            <a:graphicData uri="http://schemas.openxmlformats.org/drawingml/2006/picture">
              <pic:pic>
                <pic:nvPicPr>
                  <pic:cNvPr id="2178" name="IM 2178"/>
                  <pic:cNvPicPr/>
                </pic:nvPicPr>
                <pic:blipFill>
                  <a:blip r:embed="rId1"/>
                  <a:stretch>
                    <a:fillRect/>
                  </a:stretch>
                </pic:blipFill>
                <pic:spPr>
                  <a:xfrm rot="0">
                    <a:off x="0" y="0"/>
                    <a:ext cx="5579745" cy="12700"/>
                  </a:xfrm>
                  <a:prstGeom prst="rect">
                    <a:avLst/>
                  </a:prstGeom>
                </pic:spPr>
              </pic:pic>
            </a:graphicData>
          </a:graphic>
        </wp:inline>
      </w:drawing>
    </w:r>
  </w:p>
</w:hdr>
</file>

<file path=word/header18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8"/>
      <w:spacing w:line="20" w:lineRule="exact"/>
      <w:rPr/>
    </w:pPr>
    <w:r>
      <w:rPr/>
      <w:drawing>
        <wp:inline distT="0" distB="0" distL="0" distR="0">
          <wp:extent cx="5579745" cy="12700"/>
          <wp:effectExtent l="0" t="0" r="0" b="0"/>
          <wp:docPr id="2220" name="IM 2220"/>
          <wp:cNvGraphicFramePr/>
          <a:graphic>
            <a:graphicData uri="http://schemas.openxmlformats.org/drawingml/2006/picture">
              <pic:pic>
                <pic:nvPicPr>
                  <pic:cNvPr id="2220" name="IM 2220"/>
                  <pic:cNvPicPr/>
                </pic:nvPicPr>
                <pic:blipFill>
                  <a:blip r:embed="rId1"/>
                  <a:stretch>
                    <a:fillRect/>
                  </a:stretch>
                </pic:blipFill>
                <pic:spPr>
                  <a:xfrm rot="0">
                    <a:off x="0" y="0"/>
                    <a:ext cx="5579745" cy="12700"/>
                  </a:xfrm>
                  <a:prstGeom prst="rect">
                    <a:avLst/>
                  </a:prstGeom>
                </pic:spPr>
              </pic:pic>
            </a:graphicData>
          </a:graphic>
        </wp:inline>
      </w:drawing>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8"/>
      <w:spacing w:before="41" w:line="205" w:lineRule="auto"/>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10"/>
      </w:rPr>
      <w:t>市政府文件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p>
    <w:pPr>
      <w:ind w:firstLine="120"/>
      <w:spacing w:line="20" w:lineRule="exact"/>
      <w:rPr/>
    </w:pPr>
    <w:r>
      <w:rPr/>
      <w:drawing>
        <wp:inline distT="0" distB="0" distL="0" distR="0">
          <wp:extent cx="8712200" cy="12700"/>
          <wp:effectExtent l="0" t="0" r="0" b="0"/>
          <wp:docPr id="290" name="IM 290"/>
          <wp:cNvGraphicFramePr/>
          <a:graphic>
            <a:graphicData uri="http://schemas.openxmlformats.org/drawingml/2006/picture">
              <pic:pic>
                <pic:nvPicPr>
                  <pic:cNvPr id="290" name="IM 290"/>
                  <pic:cNvPicPr/>
                </pic:nvPicPr>
                <pic:blipFill>
                  <a:blip r:embed="rId1"/>
                  <a:stretch>
                    <a:fillRect/>
                  </a:stretch>
                </pic:blipFill>
                <pic:spPr>
                  <a:xfrm rot="0">
                    <a:off x="0" y="0"/>
                    <a:ext cx="8712200" cy="12700"/>
                  </a:xfrm>
                  <a:prstGeom prst="rect">
                    <a:avLst/>
                  </a:prstGeom>
                </pic:spPr>
              </pic:pic>
            </a:graphicData>
          </a:graphic>
        </wp:inline>
      </w:drawing>
    </w:r>
  </w:p>
</w:hdr>
</file>

<file path=word/header19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市委办、政府办文件</w:t>
    </w:r>
  </w:p>
  <w:p>
    <w:pPr>
      <w:ind w:firstLine="8"/>
      <w:spacing w:line="20" w:lineRule="exact"/>
      <w:rPr/>
    </w:pPr>
    <w:r>
      <w:rPr/>
      <w:drawing>
        <wp:inline distT="0" distB="0" distL="0" distR="0">
          <wp:extent cx="8712200" cy="12700"/>
          <wp:effectExtent l="0" t="0" r="0" b="0"/>
          <wp:docPr id="2230" name="IM 2230"/>
          <wp:cNvGraphicFramePr/>
          <a:graphic>
            <a:graphicData uri="http://schemas.openxmlformats.org/drawingml/2006/picture">
              <pic:pic>
                <pic:nvPicPr>
                  <pic:cNvPr id="2230" name="IM 2230"/>
                  <pic:cNvPicPr/>
                </pic:nvPicPr>
                <pic:blipFill>
                  <a:blip r:embed="rId1"/>
                  <a:stretch>
                    <a:fillRect/>
                  </a:stretch>
                </pic:blipFill>
                <pic:spPr>
                  <a:xfrm rot="0">
                    <a:off x="0" y="0"/>
                    <a:ext cx="8712200" cy="12700"/>
                  </a:xfrm>
                  <a:prstGeom prst="rect">
                    <a:avLst/>
                  </a:prstGeom>
                </pic:spPr>
              </pic:pic>
            </a:graphicData>
          </a:graphic>
        </wp:inline>
      </w:drawing>
    </w:r>
  </w:p>
</w:hdr>
</file>

<file path=word/header19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11"/>
      <w:spacing w:line="20" w:lineRule="exact"/>
      <w:rPr/>
    </w:pPr>
    <w:r>
      <w:rPr/>
      <w:drawing>
        <wp:inline distT="0" distB="0" distL="0" distR="0">
          <wp:extent cx="5579745" cy="12700"/>
          <wp:effectExtent l="0" t="0" r="0" b="0"/>
          <wp:docPr id="2256" name="IM 2256"/>
          <wp:cNvGraphicFramePr/>
          <a:graphic>
            <a:graphicData uri="http://schemas.openxmlformats.org/drawingml/2006/picture">
              <pic:pic>
                <pic:nvPicPr>
                  <pic:cNvPr id="2256" name="IM 2256"/>
                  <pic:cNvPicPr/>
                </pic:nvPicPr>
                <pic:blipFill>
                  <a:blip r:embed="rId1"/>
                  <a:stretch>
                    <a:fillRect/>
                  </a:stretch>
                </pic:blipFill>
                <pic:spPr>
                  <a:xfrm rot="0">
                    <a:off x="0" y="0"/>
                    <a:ext cx="5579745" cy="12700"/>
                  </a:xfrm>
                  <a:prstGeom prst="rect">
                    <a:avLst/>
                  </a:prstGeom>
                </pic:spPr>
              </pic:pic>
            </a:graphicData>
          </a:graphic>
        </wp:inline>
      </w:drawing>
    </w:r>
  </w:p>
</w:hdr>
</file>

<file path=word/header19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8"/>
      <w:spacing w:line="20" w:lineRule="exact"/>
      <w:rPr/>
    </w:pPr>
    <w:r>
      <w:rPr/>
      <w:drawing>
        <wp:inline distT="0" distB="0" distL="0" distR="0">
          <wp:extent cx="8712200" cy="12700"/>
          <wp:effectExtent l="0" t="0" r="0" b="0"/>
          <wp:docPr id="2282" name="IM 2282"/>
          <wp:cNvGraphicFramePr/>
          <a:graphic>
            <a:graphicData uri="http://schemas.openxmlformats.org/drawingml/2006/picture">
              <pic:pic>
                <pic:nvPicPr>
                  <pic:cNvPr id="2282" name="IM 2282"/>
                  <pic:cNvPicPr/>
                </pic:nvPicPr>
                <pic:blipFill>
                  <a:blip r:embed="rId1"/>
                  <a:stretch>
                    <a:fillRect/>
                  </a:stretch>
                </pic:blipFill>
                <pic:spPr>
                  <a:xfrm rot="0">
                    <a:off x="0" y="0"/>
                    <a:ext cx="8712200" cy="12700"/>
                  </a:xfrm>
                  <a:prstGeom prst="rect">
                    <a:avLst/>
                  </a:prstGeom>
                </pic:spPr>
              </pic:pic>
            </a:graphicData>
          </a:graphic>
        </wp:inline>
      </w:drawing>
    </w:r>
  </w:p>
</w:hdr>
</file>

<file path=word/header19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1"/>
      <w:spacing w:before="41" w:line="205" w:lineRule="auto"/>
      <w:rPr>
        <w:rFonts w:ascii="Microsoft YaHei" w:hAnsi="Microsoft YaHei" w:eastAsia="Microsoft YaHei" w:cs="Microsoft YaHei"/>
        <w:sz w:val="20"/>
        <w:szCs w:val="20"/>
      </w:rPr>
    </w:pPr>
    <w:r>
      <w:drawing>
        <wp:anchor distT="0" distB="0" distL="0" distR="0" simplePos="0" relativeHeight="252408832" behindDoc="0" locked="0" layoutInCell="1" allowOverlap="1">
          <wp:simplePos x="0" y="0"/>
          <wp:positionH relativeFrom="column">
            <wp:posOffset>10794</wp:posOffset>
          </wp:positionH>
          <wp:positionV relativeFrom="paragraph">
            <wp:posOffset>173158</wp:posOffset>
          </wp:positionV>
          <wp:extent cx="8712200" cy="19050"/>
          <wp:effectExtent l="0" t="0" r="0" b="0"/>
          <wp:wrapNone/>
          <wp:docPr id="2290" name="IM 2290"/>
          <wp:cNvGraphicFramePr/>
          <a:graphic>
            <a:graphicData uri="http://schemas.openxmlformats.org/drawingml/2006/picture">
              <pic:pic>
                <pic:nvPicPr>
                  <pic:cNvPr id="2290" name="IM 2290"/>
                  <pic:cNvPicPr/>
                </pic:nvPicPr>
                <pic:blipFill>
                  <a:blip r:embed="rId1"/>
                  <a:stretch>
                    <a:fillRect/>
                  </a:stretch>
                </pic:blipFill>
                <pic:spPr>
                  <a:xfrm rot="0">
                    <a:off x="0" y="0"/>
                    <a:ext cx="8712200"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9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0" w:line="18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8"/>
      <w:spacing w:line="20" w:lineRule="exact"/>
      <w:rPr/>
    </w:pPr>
    <w:r>
      <w:rPr/>
      <w:drawing>
        <wp:inline distT="0" distB="0" distL="0" distR="0">
          <wp:extent cx="5579745" cy="12700"/>
          <wp:effectExtent l="0" t="0" r="0" b="0"/>
          <wp:docPr id="2298" name="IM 2298"/>
          <wp:cNvGraphicFramePr/>
          <a:graphic>
            <a:graphicData uri="http://schemas.openxmlformats.org/drawingml/2006/picture">
              <pic:pic>
                <pic:nvPicPr>
                  <pic:cNvPr id="2298" name="IM 2298"/>
                  <pic:cNvPicPr/>
                </pic:nvPicPr>
                <pic:blipFill>
                  <a:blip r:embed="rId1"/>
                  <a:stretch>
                    <a:fillRect/>
                  </a:stretch>
                </pic:blipFill>
                <pic:spPr>
                  <a:xfrm rot="0">
                    <a:off x="0" y="0"/>
                    <a:ext cx="5579745" cy="12700"/>
                  </a:xfrm>
                  <a:prstGeom prst="rect">
                    <a:avLst/>
                  </a:prstGeom>
                </pic:spPr>
              </pic:pic>
            </a:graphicData>
          </a:graphic>
        </wp:inline>
      </w:drawing>
    </w:r>
  </w:p>
</w:hdr>
</file>

<file path=word/header19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1"/>
      <w:spacing w:before="41" w:line="205" w:lineRule="auto"/>
      <w:rPr>
        <w:rFonts w:ascii="Microsoft YaHei" w:hAnsi="Microsoft YaHei" w:eastAsia="Microsoft YaHei" w:cs="Microsoft YaHei"/>
        <w:sz w:val="20"/>
        <w:szCs w:val="20"/>
      </w:rPr>
    </w:pPr>
    <w:r>
      <w:drawing>
        <wp:anchor distT="0" distB="0" distL="0" distR="0" simplePos="0" relativeHeight="252412928" behindDoc="0" locked="0" layoutInCell="1" allowOverlap="1">
          <wp:simplePos x="0" y="0"/>
          <wp:positionH relativeFrom="column">
            <wp:posOffset>10794</wp:posOffset>
          </wp:positionH>
          <wp:positionV relativeFrom="paragraph">
            <wp:posOffset>173158</wp:posOffset>
          </wp:positionV>
          <wp:extent cx="5579745" cy="19050"/>
          <wp:effectExtent l="0" t="0" r="0" b="0"/>
          <wp:wrapNone/>
          <wp:docPr id="2304" name="IM 2304"/>
          <wp:cNvGraphicFramePr/>
          <a:graphic>
            <a:graphicData uri="http://schemas.openxmlformats.org/drawingml/2006/picture">
              <pic:pic>
                <pic:nvPicPr>
                  <pic:cNvPr id="2304" name="IM 2304"/>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9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0" w:line="18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8"/>
      <w:spacing w:line="20" w:lineRule="exact"/>
      <w:rPr/>
    </w:pPr>
    <w:r>
      <w:rPr/>
      <w:drawing>
        <wp:inline distT="0" distB="0" distL="0" distR="0">
          <wp:extent cx="5579745" cy="12700"/>
          <wp:effectExtent l="0" t="0" r="0" b="0"/>
          <wp:docPr id="2310" name="IM 2310"/>
          <wp:cNvGraphicFramePr/>
          <a:graphic>
            <a:graphicData uri="http://schemas.openxmlformats.org/drawingml/2006/picture">
              <pic:pic>
                <pic:nvPicPr>
                  <pic:cNvPr id="2310" name="IM 2310"/>
                  <pic:cNvPicPr/>
                </pic:nvPicPr>
                <pic:blipFill>
                  <a:blip r:embed="rId1"/>
                  <a:stretch>
                    <a:fillRect/>
                  </a:stretch>
                </pic:blipFill>
                <pic:spPr>
                  <a:xfrm rot="0">
                    <a:off x="0" y="0"/>
                    <a:ext cx="5579745" cy="12700"/>
                  </a:xfrm>
                  <a:prstGeom prst="rect">
                    <a:avLst/>
                  </a:prstGeom>
                </pic:spPr>
              </pic:pic>
            </a:graphicData>
          </a:graphic>
        </wp:inline>
      </w:drawing>
    </w:r>
  </w:p>
</w:hdr>
</file>

<file path=word/header19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
      <w:spacing w:before="40" w:line="18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11"/>
      <w:spacing w:line="20" w:lineRule="exact"/>
      <w:rPr/>
    </w:pPr>
    <w:r>
      <w:rPr/>
      <w:drawing>
        <wp:inline distT="0" distB="0" distL="0" distR="0">
          <wp:extent cx="5579745" cy="12700"/>
          <wp:effectExtent l="0" t="0" r="0" b="0"/>
          <wp:docPr id="2320" name="IM 2320"/>
          <wp:cNvGraphicFramePr/>
          <a:graphic>
            <a:graphicData uri="http://schemas.openxmlformats.org/drawingml/2006/picture">
              <pic:pic>
                <pic:nvPicPr>
                  <pic:cNvPr id="2320" name="IM 2320"/>
                  <pic:cNvPicPr/>
                </pic:nvPicPr>
                <pic:blipFill>
                  <a:blip r:embed="rId1"/>
                  <a:stretch>
                    <a:fillRect/>
                  </a:stretch>
                </pic:blipFill>
                <pic:spPr>
                  <a:xfrm rot="0">
                    <a:off x="0" y="0"/>
                    <a:ext cx="5579745" cy="12700"/>
                  </a:xfrm>
                  <a:prstGeom prst="rect">
                    <a:avLst/>
                  </a:prstGeom>
                </pic:spPr>
              </pic:pic>
            </a:graphicData>
          </a:graphic>
        </wp:inline>
      </w:drawing>
    </w:r>
  </w:p>
</w:hdr>
</file>

<file path=word/header19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1"/>
      <w:spacing w:before="41" w:line="205" w:lineRule="auto"/>
      <w:rPr>
        <w:rFonts w:ascii="Microsoft YaHei" w:hAnsi="Microsoft YaHei" w:eastAsia="Microsoft YaHei" w:cs="Microsoft YaHei"/>
        <w:sz w:val="20"/>
        <w:szCs w:val="20"/>
      </w:rPr>
    </w:pPr>
    <w:r>
      <w:drawing>
        <wp:anchor distT="0" distB="0" distL="0" distR="0" simplePos="0" relativeHeight="252421120" behindDoc="0" locked="0" layoutInCell="1" allowOverlap="1">
          <wp:simplePos x="0" y="0"/>
          <wp:positionH relativeFrom="column">
            <wp:posOffset>10794</wp:posOffset>
          </wp:positionH>
          <wp:positionV relativeFrom="paragraph">
            <wp:posOffset>173158</wp:posOffset>
          </wp:positionV>
          <wp:extent cx="5579745" cy="19050"/>
          <wp:effectExtent l="0" t="0" r="0" b="0"/>
          <wp:wrapNone/>
          <wp:docPr id="2326" name="IM 2326"/>
          <wp:cNvGraphicFramePr/>
          <a:graphic>
            <a:graphicData uri="http://schemas.openxmlformats.org/drawingml/2006/picture">
              <pic:pic>
                <pic:nvPicPr>
                  <pic:cNvPr id="2326" name="IM 2326"/>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19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0" w:line="18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8"/>
      <w:spacing w:line="20" w:lineRule="exact"/>
      <w:rPr/>
    </w:pPr>
    <w:r>
      <w:rPr/>
      <w:drawing>
        <wp:inline distT="0" distB="0" distL="0" distR="0">
          <wp:extent cx="5579745" cy="12700"/>
          <wp:effectExtent l="0" t="0" r="0" b="0"/>
          <wp:docPr id="2332" name="IM 2332"/>
          <wp:cNvGraphicFramePr/>
          <a:graphic>
            <a:graphicData uri="http://schemas.openxmlformats.org/drawingml/2006/picture">
              <pic:pic>
                <pic:nvPicPr>
                  <pic:cNvPr id="2332" name="IM 2332"/>
                  <pic:cNvPicPr/>
                </pic:nvPicPr>
                <pic:blipFill>
                  <a:blip r:embed="rId1"/>
                  <a:stretch>
                    <a:fillRect/>
                  </a:stretch>
                </pic:blipFill>
                <pic:spPr>
                  <a:xfrm rot="0">
                    <a:off x="0" y="0"/>
                    <a:ext cx="5579745" cy="12700"/>
                  </a:xfrm>
                  <a:prstGeom prst="rect">
                    <a:avLst/>
                  </a:prstGeom>
                </pic:spPr>
              </pic:pic>
            </a:graphicData>
          </a:graphic>
        </wp:inline>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205" w:lineRule="auto"/>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市政府文件</w:t>
    </w:r>
  </w:p>
  <w:p>
    <w:pPr>
      <w:spacing w:line="71" w:lineRule="exact"/>
      <w:rPr/>
    </w:pPr>
    <w:r>
      <w:rPr>
        <w:position w:val="-1"/>
      </w:rPr>
      <w:drawing>
        <wp:inline distT="0" distB="0" distL="0" distR="0">
          <wp:extent cx="5579744" cy="45719"/>
          <wp:effectExtent l="0" t="0" r="0" b="0"/>
          <wp:docPr id="8" name="IM 8"/>
          <wp:cNvGraphicFramePr/>
          <a:graphic>
            <a:graphicData uri="http://schemas.openxmlformats.org/drawingml/2006/picture">
              <pic:pic>
                <pic:nvPicPr>
                  <pic:cNvPr id="8" name="IM 8"/>
                  <pic:cNvPicPr/>
                </pic:nvPicPr>
                <pic:blipFill>
                  <a:blip r:embed="rId1"/>
                  <a:stretch>
                    <a:fillRect/>
                  </a:stretch>
                </pic:blipFill>
                <pic:spPr>
                  <a:xfrm rot="0">
                    <a:off x="0" y="0"/>
                    <a:ext cx="5579744" cy="45719"/>
                  </a:xfrm>
                  <a:prstGeom prst="rect">
                    <a:avLst/>
                  </a:prstGeom>
                </pic:spPr>
              </pic:pic>
            </a:graphicData>
          </a:graphic>
        </wp:inline>
      </w:drawing>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市政府文件</w:t>
    </w:r>
  </w:p>
  <w:p>
    <w:pPr>
      <w:ind w:firstLine="8"/>
      <w:spacing w:line="20" w:lineRule="exact"/>
      <w:rPr/>
    </w:pPr>
    <w:r>
      <w:rPr/>
      <w:drawing>
        <wp:inline distT="0" distB="0" distL="0" distR="0">
          <wp:extent cx="5579745" cy="12700"/>
          <wp:effectExtent l="0" t="0" r="0" b="0"/>
          <wp:docPr id="296" name="IM 296"/>
          <wp:cNvGraphicFramePr/>
          <a:graphic>
            <a:graphicData uri="http://schemas.openxmlformats.org/drawingml/2006/picture">
              <pic:pic>
                <pic:nvPicPr>
                  <pic:cNvPr id="296" name="IM 296"/>
                  <pic:cNvPicPr/>
                </pic:nvPicPr>
                <pic:blipFill>
                  <a:blip r:embed="rId1"/>
                  <a:stretch>
                    <a:fillRect/>
                  </a:stretch>
                </pic:blipFill>
                <pic:spPr>
                  <a:xfrm rot="0">
                    <a:off x="0" y="0"/>
                    <a:ext cx="5579745" cy="12700"/>
                  </a:xfrm>
                  <a:prstGeom prst="rect">
                    <a:avLst/>
                  </a:prstGeom>
                </pic:spPr>
              </pic:pic>
            </a:graphicData>
          </a:graphic>
        </wp:inline>
      </w:drawing>
    </w:r>
  </w:p>
</w:hdr>
</file>

<file path=word/header20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0" w:line="18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8"/>
      <w:spacing w:line="20" w:lineRule="exact"/>
      <w:rPr/>
    </w:pPr>
    <w:r>
      <w:rPr/>
      <w:drawing>
        <wp:inline distT="0" distB="0" distL="0" distR="0">
          <wp:extent cx="5579745" cy="12700"/>
          <wp:effectExtent l="0" t="0" r="0" b="0"/>
          <wp:docPr id="2342" name="IM 2342"/>
          <wp:cNvGraphicFramePr/>
          <a:graphic>
            <a:graphicData uri="http://schemas.openxmlformats.org/drawingml/2006/picture">
              <pic:pic>
                <pic:nvPicPr>
                  <pic:cNvPr id="2342" name="IM 2342"/>
                  <pic:cNvPicPr/>
                </pic:nvPicPr>
                <pic:blipFill>
                  <a:blip r:embed="rId1"/>
                  <a:stretch>
                    <a:fillRect/>
                  </a:stretch>
                </pic:blipFill>
                <pic:spPr>
                  <a:xfrm rot="0">
                    <a:off x="0" y="0"/>
                    <a:ext cx="5579745" cy="12700"/>
                  </a:xfrm>
                  <a:prstGeom prst="rect">
                    <a:avLst/>
                  </a:prstGeom>
                </pic:spPr>
              </pic:pic>
            </a:graphicData>
          </a:graphic>
        </wp:inline>
      </w:drawing>
    </w:r>
  </w:p>
</w:hdr>
</file>

<file path=word/header20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205" w:lineRule="auto"/>
      <w:jc w:val="right"/>
      <w:rPr>
        <w:rFonts w:ascii="Microsoft YaHei" w:hAnsi="Microsoft YaHei" w:eastAsia="Microsoft YaHei" w:cs="Microsoft YaHei"/>
        <w:sz w:val="20"/>
        <w:szCs w:val="20"/>
      </w:rPr>
    </w:pPr>
    <w:r>
      <w:drawing>
        <wp:anchor distT="0" distB="0" distL="0" distR="0" simplePos="0" relativeHeight="252429312" behindDoc="0" locked="0" layoutInCell="1" allowOverlap="1">
          <wp:simplePos x="0" y="0"/>
          <wp:positionH relativeFrom="column">
            <wp:posOffset>120014</wp:posOffset>
          </wp:positionH>
          <wp:positionV relativeFrom="paragraph">
            <wp:posOffset>173158</wp:posOffset>
          </wp:positionV>
          <wp:extent cx="5579745" cy="19050"/>
          <wp:effectExtent l="0" t="0" r="0" b="0"/>
          <wp:wrapNone/>
          <wp:docPr id="2348" name="IM 2348"/>
          <wp:cNvGraphicFramePr/>
          <a:graphic>
            <a:graphicData uri="http://schemas.openxmlformats.org/drawingml/2006/picture">
              <pic:pic>
                <pic:nvPicPr>
                  <pic:cNvPr id="2348" name="IM 2348"/>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20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0" w:line="18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8"/>
      <w:spacing w:line="20" w:lineRule="exact"/>
      <w:rPr/>
    </w:pPr>
    <w:r>
      <w:rPr/>
      <w:drawing>
        <wp:inline distT="0" distB="0" distL="0" distR="0">
          <wp:extent cx="5579745" cy="12700"/>
          <wp:effectExtent l="0" t="0" r="0" b="0"/>
          <wp:docPr id="2358" name="IM 2358"/>
          <wp:cNvGraphicFramePr/>
          <a:graphic>
            <a:graphicData uri="http://schemas.openxmlformats.org/drawingml/2006/picture">
              <pic:pic>
                <pic:nvPicPr>
                  <pic:cNvPr id="2358" name="IM 2358"/>
                  <pic:cNvPicPr/>
                </pic:nvPicPr>
                <pic:blipFill>
                  <a:blip r:embed="rId1"/>
                  <a:stretch>
                    <a:fillRect/>
                  </a:stretch>
                </pic:blipFill>
                <pic:spPr>
                  <a:xfrm rot="0">
                    <a:off x="0" y="0"/>
                    <a:ext cx="5579745" cy="12700"/>
                  </a:xfrm>
                  <a:prstGeom prst="rect">
                    <a:avLst/>
                  </a:prstGeom>
                </pic:spPr>
              </pic:pic>
            </a:graphicData>
          </a:graphic>
        </wp:inline>
      </w:drawing>
    </w:r>
  </w:p>
</w:hdr>
</file>

<file path=word/header20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22"/>
      <w:spacing w:before="41" w:line="205" w:lineRule="auto"/>
      <w:rPr>
        <w:rFonts w:ascii="Microsoft YaHei" w:hAnsi="Microsoft YaHei" w:eastAsia="Microsoft YaHei" w:cs="Microsoft YaHei"/>
        <w:sz w:val="20"/>
        <w:szCs w:val="20"/>
      </w:rPr>
    </w:pPr>
    <w:r>
      <w:drawing>
        <wp:anchor distT="0" distB="0" distL="0" distR="0" simplePos="0" relativeHeight="252437504" behindDoc="0" locked="0" layoutInCell="1" allowOverlap="1">
          <wp:simplePos x="0" y="0"/>
          <wp:positionH relativeFrom="column">
            <wp:posOffset>132080</wp:posOffset>
          </wp:positionH>
          <wp:positionV relativeFrom="paragraph">
            <wp:posOffset>173158</wp:posOffset>
          </wp:positionV>
          <wp:extent cx="5579745" cy="19050"/>
          <wp:effectExtent l="0" t="0" r="0" b="0"/>
          <wp:wrapNone/>
          <wp:docPr id="2378" name="IM 2378"/>
          <wp:cNvGraphicFramePr/>
          <a:graphic>
            <a:graphicData uri="http://schemas.openxmlformats.org/drawingml/2006/picture">
              <pic:pic>
                <pic:nvPicPr>
                  <pic:cNvPr id="2378" name="IM 2378"/>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10"/>
      </w:rPr>
      <w:t>规范性文件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hdr>
</file>

<file path=word/header20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0" w:line="18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8"/>
      <w:spacing w:line="20" w:lineRule="exact"/>
      <w:rPr/>
    </w:pPr>
    <w:r>
      <w:rPr/>
      <w:drawing>
        <wp:inline distT="0" distB="0" distL="0" distR="0">
          <wp:extent cx="5579745" cy="12700"/>
          <wp:effectExtent l="0" t="0" r="0" b="0"/>
          <wp:docPr id="2390" name="IM 2390"/>
          <wp:cNvGraphicFramePr/>
          <a:graphic>
            <a:graphicData uri="http://schemas.openxmlformats.org/drawingml/2006/picture">
              <pic:pic>
                <pic:nvPicPr>
                  <pic:cNvPr id="2390" name="IM 2390"/>
                  <pic:cNvPicPr/>
                </pic:nvPicPr>
                <pic:blipFill>
                  <a:blip r:embed="rId1"/>
                  <a:stretch>
                    <a:fillRect/>
                  </a:stretch>
                </pic:blipFill>
                <pic:spPr>
                  <a:xfrm rot="0">
                    <a:off x="0" y="0"/>
                    <a:ext cx="5579745" cy="12700"/>
                  </a:xfrm>
                  <a:prstGeom prst="rect">
                    <a:avLst/>
                  </a:prstGeom>
                </pic:spPr>
              </pic:pic>
            </a:graphicData>
          </a:graphic>
        </wp:inline>
      </w:drawing>
    </w:r>
  </w:p>
</w:hdr>
</file>

<file path=word/header20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0" w:line="18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8"/>
      <w:spacing w:line="20" w:lineRule="exact"/>
      <w:rPr/>
    </w:pPr>
    <w:r>
      <w:rPr/>
      <w:drawing>
        <wp:inline distT="0" distB="0" distL="0" distR="0">
          <wp:extent cx="5579745" cy="12700"/>
          <wp:effectExtent l="0" t="0" r="0" b="0"/>
          <wp:docPr id="2404" name="IM 2404"/>
          <wp:cNvGraphicFramePr/>
          <a:graphic>
            <a:graphicData uri="http://schemas.openxmlformats.org/drawingml/2006/picture">
              <pic:pic>
                <pic:nvPicPr>
                  <pic:cNvPr id="2404" name="IM 2404"/>
                  <pic:cNvPicPr/>
                </pic:nvPicPr>
                <pic:blipFill>
                  <a:blip r:embed="rId1"/>
                  <a:stretch>
                    <a:fillRect/>
                  </a:stretch>
                </pic:blipFill>
                <pic:spPr>
                  <a:xfrm rot="0">
                    <a:off x="0" y="0"/>
                    <a:ext cx="5579745" cy="12700"/>
                  </a:xfrm>
                  <a:prstGeom prst="rect">
                    <a:avLst/>
                  </a:prstGeom>
                </pic:spPr>
              </pic:pic>
            </a:graphicData>
          </a:graphic>
        </wp:inline>
      </w:drawing>
    </w:r>
  </w:p>
</w:hdr>
</file>

<file path=word/header20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0" w:line="18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8"/>
      <w:spacing w:line="20" w:lineRule="exact"/>
      <w:rPr/>
    </w:pPr>
    <w:r>
      <w:rPr/>
      <w:drawing>
        <wp:inline distT="0" distB="0" distL="0" distR="0">
          <wp:extent cx="5579745" cy="12700"/>
          <wp:effectExtent l="0" t="0" r="0" b="0"/>
          <wp:docPr id="2428" name="IM 2428"/>
          <wp:cNvGraphicFramePr/>
          <a:graphic>
            <a:graphicData uri="http://schemas.openxmlformats.org/drawingml/2006/picture">
              <pic:pic>
                <pic:nvPicPr>
                  <pic:cNvPr id="2428" name="IM 2428"/>
                  <pic:cNvPicPr/>
                </pic:nvPicPr>
                <pic:blipFill>
                  <a:blip r:embed="rId1"/>
                  <a:stretch>
                    <a:fillRect/>
                  </a:stretch>
                </pic:blipFill>
                <pic:spPr>
                  <a:xfrm rot="0">
                    <a:off x="0" y="0"/>
                    <a:ext cx="5579745" cy="12700"/>
                  </a:xfrm>
                  <a:prstGeom prst="rect">
                    <a:avLst/>
                  </a:prstGeom>
                </pic:spPr>
              </pic:pic>
            </a:graphicData>
          </a:graphic>
        </wp:inline>
      </w:drawing>
    </w:r>
  </w:p>
</w:hdr>
</file>

<file path=word/header20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0" w:line="18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8"/>
      <w:spacing w:line="20" w:lineRule="exact"/>
      <w:rPr/>
    </w:pPr>
    <w:r>
      <w:rPr/>
      <w:drawing>
        <wp:inline distT="0" distB="0" distL="0" distR="0">
          <wp:extent cx="5579745" cy="12700"/>
          <wp:effectExtent l="0" t="0" r="0" b="0"/>
          <wp:docPr id="2446" name="IM 2446"/>
          <wp:cNvGraphicFramePr/>
          <a:graphic>
            <a:graphicData uri="http://schemas.openxmlformats.org/drawingml/2006/picture">
              <pic:pic>
                <pic:nvPicPr>
                  <pic:cNvPr id="2446" name="IM 2446"/>
                  <pic:cNvPicPr/>
                </pic:nvPicPr>
                <pic:blipFill>
                  <a:blip r:embed="rId1"/>
                  <a:stretch>
                    <a:fillRect/>
                  </a:stretch>
                </pic:blipFill>
                <pic:spPr>
                  <a:xfrm rot="0">
                    <a:off x="0" y="0"/>
                    <a:ext cx="5579745" cy="12700"/>
                  </a:xfrm>
                  <a:prstGeom prst="rect">
                    <a:avLst/>
                  </a:prstGeom>
                </pic:spPr>
              </pic:pic>
            </a:graphicData>
          </a:graphic>
        </wp:inline>
      </w:drawing>
    </w:r>
  </w:p>
</w:hdr>
</file>

<file path=word/header20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0" w:line="18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8"/>
      <w:spacing w:line="20" w:lineRule="exact"/>
      <w:rPr/>
    </w:pPr>
    <w:r>
      <w:rPr/>
      <w:drawing>
        <wp:inline distT="0" distB="0" distL="0" distR="0">
          <wp:extent cx="5579745" cy="12700"/>
          <wp:effectExtent l="0" t="0" r="0" b="0"/>
          <wp:docPr id="2456" name="IM 2456"/>
          <wp:cNvGraphicFramePr/>
          <a:graphic>
            <a:graphicData uri="http://schemas.openxmlformats.org/drawingml/2006/picture">
              <pic:pic>
                <pic:nvPicPr>
                  <pic:cNvPr id="2456" name="IM 2456"/>
                  <pic:cNvPicPr/>
                </pic:nvPicPr>
                <pic:blipFill>
                  <a:blip r:embed="rId1"/>
                  <a:stretch>
                    <a:fillRect/>
                  </a:stretch>
                </pic:blipFill>
                <pic:spPr>
                  <a:xfrm rot="0">
                    <a:off x="0" y="0"/>
                    <a:ext cx="5579745" cy="12700"/>
                  </a:xfrm>
                  <a:prstGeom prst="rect">
                    <a:avLst/>
                  </a:prstGeom>
                </pic:spPr>
              </pic:pic>
            </a:graphicData>
          </a:graphic>
        </wp:inline>
      </w:drawing>
    </w:r>
  </w:p>
</w:hdr>
</file>

<file path=word/header20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0" w:line="18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规范性文件</w:t>
    </w:r>
  </w:p>
  <w:p>
    <w:pPr>
      <w:ind w:firstLine="8"/>
      <w:spacing w:line="20" w:lineRule="exact"/>
      <w:rPr/>
    </w:pPr>
    <w:r>
      <w:rPr/>
      <w:drawing>
        <wp:inline distT="0" distB="0" distL="0" distR="0">
          <wp:extent cx="5579745" cy="12700"/>
          <wp:effectExtent l="0" t="0" r="0" b="0"/>
          <wp:docPr id="2474" name="IM 2474"/>
          <wp:cNvGraphicFramePr/>
          <a:graphic>
            <a:graphicData uri="http://schemas.openxmlformats.org/drawingml/2006/picture">
              <pic:pic>
                <pic:nvPicPr>
                  <pic:cNvPr id="2474" name="IM 2474"/>
                  <pic:cNvPicPr/>
                </pic:nvPicPr>
                <pic:blipFill>
                  <a:blip r:embed="rId1"/>
                  <a:stretch>
                    <a:fillRect/>
                  </a:stretch>
                </pic:blipFill>
                <pic:spPr>
                  <a:xfrm rot="0">
                    <a:off x="0" y="0"/>
                    <a:ext cx="5579745" cy="12700"/>
                  </a:xfrm>
                  <a:prstGeom prst="rect">
                    <a:avLst/>
                  </a:prstGeom>
                </pic:spPr>
              </pic:pic>
            </a:graphicData>
          </a:graphic>
        </wp:inline>
      </w:drawing>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205" w:lineRule="auto"/>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10"/>
      </w:rPr>
      <w:t>市政府文件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p>
    <w:pPr>
      <w:ind w:firstLine="28"/>
      <w:spacing w:line="20" w:lineRule="exact"/>
      <w:rPr/>
    </w:pPr>
    <w:r>
      <w:rPr/>
      <w:drawing>
        <wp:inline distT="0" distB="0" distL="0" distR="0">
          <wp:extent cx="5579745" cy="12700"/>
          <wp:effectExtent l="0" t="0" r="0" b="0"/>
          <wp:docPr id="302" name="IM 302"/>
          <wp:cNvGraphicFramePr/>
          <a:graphic>
            <a:graphicData uri="http://schemas.openxmlformats.org/drawingml/2006/picture">
              <pic:pic>
                <pic:nvPicPr>
                  <pic:cNvPr id="302" name="IM 302"/>
                  <pic:cNvPicPr/>
                </pic:nvPicPr>
                <pic:blipFill>
                  <a:blip r:embed="rId1"/>
                  <a:stretch>
                    <a:fillRect/>
                  </a:stretch>
                </pic:blipFill>
                <pic:spPr>
                  <a:xfrm rot="0">
                    <a:off x="0" y="0"/>
                    <a:ext cx="5579745" cy="12700"/>
                  </a:xfrm>
                  <a:prstGeom prst="rect">
                    <a:avLst/>
                  </a:prstGeom>
                </pic:spPr>
              </pic:pic>
            </a:graphicData>
          </a:graphic>
        </wp:inline>
      </w:drawing>
    </w:r>
  </w:p>
</w:hdr>
</file>

<file path=word/header2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31" w:line="19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position w:val="-1"/>
      </w:rPr>
      <w:t>《固原市人民政府公报》</w:t>
    </w:r>
    <w:r>
      <w:rPr>
        <w:rFonts w:ascii="Microsoft YaHei" w:hAnsi="Microsoft YaHei" w:eastAsia="Microsoft YaHei" w:cs="Microsoft YaHei"/>
        <w:sz w:val="20"/>
        <w:szCs w:val="20"/>
        <w:spacing w:val="1"/>
        <w:position w:val="-1"/>
      </w:rPr>
      <w:t xml:space="preserve">                                </w:t>
    </w:r>
    <w:r>
      <w:rPr>
        <w:rFonts w:ascii="Microsoft YaHei" w:hAnsi="Microsoft YaHei" w:eastAsia="Microsoft YaHei" w:cs="Microsoft YaHei"/>
        <w:sz w:val="20"/>
        <w:szCs w:val="20"/>
        <w:position w:val="-1"/>
      </w:rPr>
      <w:t xml:space="preserve">                                                    </w:t>
    </w:r>
    <w:r>
      <w:rPr>
        <w:rFonts w:ascii="Microsoft YaHei" w:hAnsi="Microsoft YaHei" w:eastAsia="Microsoft YaHei" w:cs="Microsoft YaHei"/>
        <w:sz w:val="20"/>
        <w:szCs w:val="20"/>
        <w:spacing w:val="9"/>
        <w:position w:val="1"/>
      </w:rPr>
      <w:t>人事任免文件</w:t>
    </w:r>
  </w:p>
  <w:p>
    <w:pPr>
      <w:ind w:firstLine="8"/>
      <w:spacing w:line="20" w:lineRule="exact"/>
      <w:rPr/>
    </w:pPr>
    <w:r>
      <w:rPr/>
      <w:drawing>
        <wp:inline distT="0" distB="0" distL="0" distR="0">
          <wp:extent cx="5579745" cy="12700"/>
          <wp:effectExtent l="0" t="0" r="0" b="0"/>
          <wp:docPr id="2494" name="IM 2494"/>
          <wp:cNvGraphicFramePr/>
          <a:graphic>
            <a:graphicData uri="http://schemas.openxmlformats.org/drawingml/2006/picture">
              <pic:pic>
                <pic:nvPicPr>
                  <pic:cNvPr id="2494" name="IM 2494"/>
                  <pic:cNvPicPr/>
                </pic:nvPicPr>
                <pic:blipFill>
                  <a:blip r:embed="rId1"/>
                  <a:stretch>
                    <a:fillRect/>
                  </a:stretch>
                </pic:blipFill>
                <pic:spPr>
                  <a:xfrm rot="0">
                    <a:off x="0" y="0"/>
                    <a:ext cx="5579745" cy="12700"/>
                  </a:xfrm>
                  <a:prstGeom prst="rect">
                    <a:avLst/>
                  </a:prstGeom>
                </pic:spPr>
              </pic:pic>
            </a:graphicData>
          </a:graphic>
        </wp:inline>
      </w:drawing>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市政府文件</w:t>
    </w:r>
  </w:p>
  <w:p>
    <w:pPr>
      <w:ind w:firstLine="8"/>
      <w:spacing w:line="20" w:lineRule="exact"/>
      <w:rPr/>
    </w:pPr>
    <w:r>
      <w:rPr/>
      <w:drawing>
        <wp:inline distT="0" distB="0" distL="0" distR="0">
          <wp:extent cx="5579745" cy="12700"/>
          <wp:effectExtent l="0" t="0" r="0" b="0"/>
          <wp:docPr id="308" name="IM 308"/>
          <wp:cNvGraphicFramePr/>
          <a:graphic>
            <a:graphicData uri="http://schemas.openxmlformats.org/drawingml/2006/picture">
              <pic:pic>
                <pic:nvPicPr>
                  <pic:cNvPr id="308" name="IM 308"/>
                  <pic:cNvPicPr/>
                </pic:nvPicPr>
                <pic:blipFill>
                  <a:blip r:embed="rId1"/>
                  <a:stretch>
                    <a:fillRect/>
                  </a:stretch>
                </pic:blipFill>
                <pic:spPr>
                  <a:xfrm rot="0">
                    <a:off x="0" y="0"/>
                    <a:ext cx="5579745" cy="12700"/>
                  </a:xfrm>
                  <a:prstGeom prst="rect">
                    <a:avLst/>
                  </a:prstGeom>
                </pic:spPr>
              </pic:pic>
            </a:graphicData>
          </a:graphic>
        </wp:inline>
      </w:drawing>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0"/>
      </w:rPr>
      <w:t>市政府文件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p>
    <w:pPr>
      <w:ind w:firstLine="66"/>
      <w:spacing w:line="20" w:lineRule="exact"/>
      <w:rPr/>
    </w:pPr>
    <w:r>
      <w:rPr/>
      <w:drawing>
        <wp:inline distT="0" distB="0" distL="0" distR="0">
          <wp:extent cx="5579745" cy="12700"/>
          <wp:effectExtent l="0" t="0" r="0" b="0"/>
          <wp:docPr id="314" name="IM 314"/>
          <wp:cNvGraphicFramePr/>
          <a:graphic>
            <a:graphicData uri="http://schemas.openxmlformats.org/drawingml/2006/picture">
              <pic:pic>
                <pic:nvPicPr>
                  <pic:cNvPr id="314" name="IM 314"/>
                  <pic:cNvPicPr/>
                </pic:nvPicPr>
                <pic:blipFill>
                  <a:blip r:embed="rId1"/>
                  <a:stretch>
                    <a:fillRect/>
                  </a:stretch>
                </pic:blipFill>
                <pic:spPr>
                  <a:xfrm rot="0">
                    <a:off x="0" y="0"/>
                    <a:ext cx="5579745" cy="12700"/>
                  </a:xfrm>
                  <a:prstGeom prst="rect">
                    <a:avLst/>
                  </a:prstGeom>
                </pic:spPr>
              </pic:pic>
            </a:graphicData>
          </a:graphic>
        </wp:inline>
      </w:drawing>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市政府文件</w:t>
    </w:r>
  </w:p>
  <w:p>
    <w:pPr>
      <w:ind w:firstLine="66"/>
      <w:spacing w:line="20" w:lineRule="exact"/>
      <w:rPr/>
    </w:pPr>
    <w:r>
      <w:rPr/>
      <w:drawing>
        <wp:inline distT="0" distB="0" distL="0" distR="0">
          <wp:extent cx="5579745" cy="12700"/>
          <wp:effectExtent l="0" t="0" r="0" b="0"/>
          <wp:docPr id="320" name="IM 320"/>
          <wp:cNvGraphicFramePr/>
          <a:graphic>
            <a:graphicData uri="http://schemas.openxmlformats.org/drawingml/2006/picture">
              <pic:pic>
                <pic:nvPicPr>
                  <pic:cNvPr id="320" name="IM 320"/>
                  <pic:cNvPicPr/>
                </pic:nvPicPr>
                <pic:blipFill>
                  <a:blip r:embed="rId1"/>
                  <a:stretch>
                    <a:fillRect/>
                  </a:stretch>
                </pic:blipFill>
                <pic:spPr>
                  <a:xfrm rot="0">
                    <a:off x="0" y="0"/>
                    <a:ext cx="5579745" cy="12700"/>
                  </a:xfrm>
                  <a:prstGeom prst="rect">
                    <a:avLst/>
                  </a:prstGeom>
                </pic:spPr>
              </pic:pic>
            </a:graphicData>
          </a:graphic>
        </wp:inline>
      </w:drawing>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市政府文件</w:t>
    </w:r>
  </w:p>
  <w:p>
    <w:pPr>
      <w:ind w:firstLine="8"/>
      <w:spacing w:line="20" w:lineRule="exact"/>
      <w:rPr/>
    </w:pPr>
    <w:r>
      <w:rPr/>
      <w:drawing>
        <wp:inline distT="0" distB="0" distL="0" distR="0">
          <wp:extent cx="5579745" cy="12700"/>
          <wp:effectExtent l="0" t="0" r="0" b="0"/>
          <wp:docPr id="330" name="IM 330"/>
          <wp:cNvGraphicFramePr/>
          <a:graphic>
            <a:graphicData uri="http://schemas.openxmlformats.org/drawingml/2006/picture">
              <pic:pic>
                <pic:nvPicPr>
                  <pic:cNvPr id="330" name="IM 330"/>
                  <pic:cNvPicPr/>
                </pic:nvPicPr>
                <pic:blipFill>
                  <a:blip r:embed="rId1"/>
                  <a:stretch>
                    <a:fillRect/>
                  </a:stretch>
                </pic:blipFill>
                <pic:spPr>
                  <a:xfrm rot="0">
                    <a:off x="0" y="0"/>
                    <a:ext cx="5579745" cy="12700"/>
                  </a:xfrm>
                  <a:prstGeom prst="rect">
                    <a:avLst/>
                  </a:prstGeom>
                </pic:spPr>
              </pic:pic>
            </a:graphicData>
          </a:graphic>
        </wp:inline>
      </w:drawing>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市政府文件</w:t>
    </w:r>
  </w:p>
  <w:p>
    <w:pPr>
      <w:ind w:firstLine="22"/>
      <w:spacing w:line="20" w:lineRule="exact"/>
      <w:rPr/>
    </w:pPr>
    <w:r>
      <w:rPr/>
      <w:drawing>
        <wp:inline distT="0" distB="0" distL="0" distR="0">
          <wp:extent cx="5579745" cy="12700"/>
          <wp:effectExtent l="0" t="0" r="0" b="0"/>
          <wp:docPr id="340" name="IM 340"/>
          <wp:cNvGraphicFramePr/>
          <a:graphic>
            <a:graphicData uri="http://schemas.openxmlformats.org/drawingml/2006/picture">
              <pic:pic>
                <pic:nvPicPr>
                  <pic:cNvPr id="340" name="IM 340"/>
                  <pic:cNvPicPr/>
                </pic:nvPicPr>
                <pic:blipFill>
                  <a:blip r:embed="rId1"/>
                  <a:stretch>
                    <a:fillRect/>
                  </a:stretch>
                </pic:blipFill>
                <pic:spPr>
                  <a:xfrm rot="0">
                    <a:off x="0" y="0"/>
                    <a:ext cx="5579745" cy="12700"/>
                  </a:xfrm>
                  <a:prstGeom prst="rect">
                    <a:avLst/>
                  </a:prstGeom>
                </pic:spPr>
              </pic:pic>
            </a:graphicData>
          </a:graphic>
        </wp:inline>
      </w:drawing>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市政府文件</w:t>
    </w:r>
  </w:p>
  <w:p>
    <w:pPr>
      <w:ind w:firstLine="61"/>
      <w:spacing w:line="20" w:lineRule="exact"/>
      <w:rPr/>
    </w:pPr>
    <w:r>
      <w:rPr/>
      <w:drawing>
        <wp:inline distT="0" distB="0" distL="0" distR="0">
          <wp:extent cx="5579745" cy="12700"/>
          <wp:effectExtent l="0" t="0" r="0" b="0"/>
          <wp:docPr id="366" name="IM 366"/>
          <wp:cNvGraphicFramePr/>
          <a:graphic>
            <a:graphicData uri="http://schemas.openxmlformats.org/drawingml/2006/picture">
              <pic:pic>
                <pic:nvPicPr>
                  <pic:cNvPr id="366" name="IM 366"/>
                  <pic:cNvPicPr/>
                </pic:nvPicPr>
                <pic:blipFill>
                  <a:blip r:embed="rId1"/>
                  <a:stretch>
                    <a:fillRect/>
                  </a:stretch>
                </pic:blipFill>
                <pic:spPr>
                  <a:xfrm rot="0">
                    <a:off x="0" y="0"/>
                    <a:ext cx="5579745" cy="12700"/>
                  </a:xfrm>
                  <a:prstGeom prst="rect">
                    <a:avLst/>
                  </a:prstGeom>
                </pic:spPr>
              </pic:pic>
            </a:graphicData>
          </a:graphic>
        </wp:inline>
      </w:drawing>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205" w:lineRule="auto"/>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10"/>
      </w:rPr>
      <w:t>市政府文件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p>
    <w:pPr>
      <w:ind w:firstLine="23"/>
      <w:spacing w:line="20" w:lineRule="exact"/>
      <w:rPr/>
    </w:pPr>
    <w:r>
      <w:rPr/>
      <w:drawing>
        <wp:inline distT="0" distB="0" distL="0" distR="0">
          <wp:extent cx="5579745" cy="12700"/>
          <wp:effectExtent l="0" t="0" r="0" b="0"/>
          <wp:docPr id="372" name="IM 372"/>
          <wp:cNvGraphicFramePr/>
          <a:graphic>
            <a:graphicData uri="http://schemas.openxmlformats.org/drawingml/2006/picture">
              <pic:pic>
                <pic:nvPicPr>
                  <pic:cNvPr id="372" name="IM 372"/>
                  <pic:cNvPicPr/>
                </pic:nvPicPr>
                <pic:blipFill>
                  <a:blip r:embed="rId1"/>
                  <a:stretch>
                    <a:fillRect/>
                  </a:stretch>
                </pic:blipFill>
                <pic:spPr>
                  <a:xfrm rot="0">
                    <a:off x="0" y="0"/>
                    <a:ext cx="5579745" cy="12700"/>
                  </a:xfrm>
                  <a:prstGeom prst="rect">
                    <a:avLst/>
                  </a:prstGeom>
                </pic:spPr>
              </pic:pic>
            </a:graphicData>
          </a:graphic>
        </wp:inline>
      </w:drawing>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市政府文件</w:t>
    </w:r>
  </w:p>
  <w:p>
    <w:pPr>
      <w:ind w:firstLine="61"/>
      <w:spacing w:line="20" w:lineRule="exact"/>
      <w:rPr/>
    </w:pPr>
    <w:r>
      <w:rPr/>
      <w:drawing>
        <wp:inline distT="0" distB="0" distL="0" distR="0">
          <wp:extent cx="5579745" cy="12700"/>
          <wp:effectExtent l="0" t="0" r="0" b="0"/>
          <wp:docPr id="378" name="IM 378"/>
          <wp:cNvGraphicFramePr/>
          <a:graphic>
            <a:graphicData uri="http://schemas.openxmlformats.org/drawingml/2006/picture">
              <pic:pic>
                <pic:nvPicPr>
                  <pic:cNvPr id="378" name="IM 378"/>
                  <pic:cNvPicPr/>
                </pic:nvPicPr>
                <pic:blipFill>
                  <a:blip r:embed="rId1"/>
                  <a:stretch>
                    <a:fillRect/>
                  </a:stretch>
                </pic:blipFill>
                <pic:spPr>
                  <a:xfrm rot="0">
                    <a:off x="0" y="0"/>
                    <a:ext cx="5579745" cy="12700"/>
                  </a:xfrm>
                  <a:prstGeom prst="rect">
                    <a:avLst/>
                  </a:prstGeom>
                </pic:spPr>
              </pic:pic>
            </a:graphicData>
          </a:graphic>
        </wp:inline>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205" w:lineRule="auto"/>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10"/>
      </w:rPr>
      <w:t>市政府文件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p>
    <w:pPr>
      <w:ind w:firstLine="28"/>
      <w:spacing w:line="71" w:lineRule="exact"/>
      <w:rPr/>
    </w:pPr>
    <w:r>
      <w:rPr>
        <w:position w:val="-1"/>
      </w:rPr>
      <w:drawing>
        <wp:inline distT="0" distB="0" distL="0" distR="0">
          <wp:extent cx="5579745" cy="45719"/>
          <wp:effectExtent l="0" t="0" r="0" b="0"/>
          <wp:docPr id="12" name="IM 12"/>
          <wp:cNvGraphicFramePr/>
          <a:graphic>
            <a:graphicData uri="http://schemas.openxmlformats.org/drawingml/2006/picture">
              <pic:pic>
                <pic:nvPicPr>
                  <pic:cNvPr id="12" name="IM 12"/>
                  <pic:cNvPicPr/>
                </pic:nvPicPr>
                <pic:blipFill>
                  <a:blip r:embed="rId1"/>
                  <a:stretch>
                    <a:fillRect/>
                  </a:stretch>
                </pic:blipFill>
                <pic:spPr>
                  <a:xfrm rot="0">
                    <a:off x="0" y="0"/>
                    <a:ext cx="5579745" cy="45719"/>
                  </a:xfrm>
                  <a:prstGeom prst="rect">
                    <a:avLst/>
                  </a:prstGeom>
                </pic:spPr>
              </pic:pic>
            </a:graphicData>
          </a:graphic>
        </wp:inline>
      </w:drawing>
    </w:r>
  </w:p>
</w:hdr>
</file>

<file path=word/header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0"/>
      </w:rPr>
      <w:t>市政府文件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p>
    <w:pPr>
      <w:ind w:firstLine="23"/>
      <w:spacing w:line="20" w:lineRule="exact"/>
      <w:rPr/>
    </w:pPr>
    <w:r>
      <w:rPr/>
      <w:drawing>
        <wp:inline distT="0" distB="0" distL="0" distR="0">
          <wp:extent cx="5579745" cy="12700"/>
          <wp:effectExtent l="0" t="0" r="0" b="0"/>
          <wp:docPr id="384" name="IM 384"/>
          <wp:cNvGraphicFramePr/>
          <a:graphic>
            <a:graphicData uri="http://schemas.openxmlformats.org/drawingml/2006/picture">
              <pic:pic>
                <pic:nvPicPr>
                  <pic:cNvPr id="384" name="IM 384"/>
                  <pic:cNvPicPr/>
                </pic:nvPicPr>
                <pic:blipFill>
                  <a:blip r:embed="rId1"/>
                  <a:stretch>
                    <a:fillRect/>
                  </a:stretch>
                </pic:blipFill>
                <pic:spPr>
                  <a:xfrm rot="0">
                    <a:off x="0" y="0"/>
                    <a:ext cx="5579745" cy="12700"/>
                  </a:xfrm>
                  <a:prstGeom prst="rect">
                    <a:avLst/>
                  </a:prstGeom>
                </pic:spPr>
              </pic:pic>
            </a:graphicData>
          </a:graphic>
        </wp:inline>
      </w:drawing>
    </w:r>
  </w:p>
</w:hdr>
</file>

<file path=word/header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205" w:lineRule="auto"/>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10"/>
      </w:rPr>
      <w:t>市政府文件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p>
    <w:pPr>
      <w:ind w:firstLine="61"/>
      <w:spacing w:line="20" w:lineRule="exact"/>
      <w:rPr/>
    </w:pPr>
    <w:r>
      <w:rPr/>
      <w:drawing>
        <wp:inline distT="0" distB="0" distL="0" distR="0">
          <wp:extent cx="5579745" cy="12700"/>
          <wp:effectExtent l="0" t="0" r="0" b="0"/>
          <wp:docPr id="394" name="IM 394"/>
          <wp:cNvGraphicFramePr/>
          <a:graphic>
            <a:graphicData uri="http://schemas.openxmlformats.org/drawingml/2006/picture">
              <pic:pic>
                <pic:nvPicPr>
                  <pic:cNvPr id="394" name="IM 394"/>
                  <pic:cNvPicPr/>
                </pic:nvPicPr>
                <pic:blipFill>
                  <a:blip r:embed="rId1"/>
                  <a:stretch>
                    <a:fillRect/>
                  </a:stretch>
                </pic:blipFill>
                <pic:spPr>
                  <a:xfrm rot="0">
                    <a:off x="0" y="0"/>
                    <a:ext cx="5579745" cy="12700"/>
                  </a:xfrm>
                  <a:prstGeom prst="rect">
                    <a:avLst/>
                  </a:prstGeom>
                </pic:spPr>
              </pic:pic>
            </a:graphicData>
          </a:graphic>
        </wp:inline>
      </w:drawing>
    </w:r>
  </w:p>
</w:hdr>
</file>

<file path=word/header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0"/>
      </w:rPr>
      <w:t>市政府文件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p>
    <w:pPr>
      <w:ind w:firstLine="23"/>
      <w:spacing w:line="20" w:lineRule="exact"/>
      <w:rPr/>
    </w:pPr>
    <w:r>
      <w:rPr/>
      <w:drawing>
        <wp:inline distT="0" distB="0" distL="0" distR="0">
          <wp:extent cx="5579745" cy="12700"/>
          <wp:effectExtent l="0" t="0" r="0" b="0"/>
          <wp:docPr id="420" name="IM 420"/>
          <wp:cNvGraphicFramePr/>
          <a:graphic>
            <a:graphicData uri="http://schemas.openxmlformats.org/drawingml/2006/picture">
              <pic:pic>
                <pic:nvPicPr>
                  <pic:cNvPr id="420" name="IM 420"/>
                  <pic:cNvPicPr/>
                </pic:nvPicPr>
                <pic:blipFill>
                  <a:blip r:embed="rId1"/>
                  <a:stretch>
                    <a:fillRect/>
                  </a:stretch>
                </pic:blipFill>
                <pic:spPr>
                  <a:xfrm rot="0">
                    <a:off x="0" y="0"/>
                    <a:ext cx="5579745" cy="12700"/>
                  </a:xfrm>
                  <a:prstGeom prst="rect">
                    <a:avLst/>
                  </a:prstGeom>
                </pic:spPr>
              </pic:pic>
            </a:graphicData>
          </a:graphic>
        </wp:inline>
      </w:drawing>
    </w:r>
  </w:p>
</w:hdr>
</file>

<file path=word/header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205" w:lineRule="auto"/>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10"/>
      </w:rPr>
      <w:t>市政府文件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p>
    <w:pPr>
      <w:ind w:firstLine="34"/>
      <w:spacing w:line="20" w:lineRule="exact"/>
      <w:rPr/>
    </w:pPr>
    <w:r>
      <w:rPr/>
      <w:drawing>
        <wp:inline distT="0" distB="0" distL="0" distR="0">
          <wp:extent cx="5579745" cy="12700"/>
          <wp:effectExtent l="0" t="0" r="0" b="0"/>
          <wp:docPr id="430" name="IM 430"/>
          <wp:cNvGraphicFramePr/>
          <a:graphic>
            <a:graphicData uri="http://schemas.openxmlformats.org/drawingml/2006/picture">
              <pic:pic>
                <pic:nvPicPr>
                  <pic:cNvPr id="430" name="IM 430"/>
                  <pic:cNvPicPr/>
                </pic:nvPicPr>
                <pic:blipFill>
                  <a:blip r:embed="rId1"/>
                  <a:stretch>
                    <a:fillRect/>
                  </a:stretch>
                </pic:blipFill>
                <pic:spPr>
                  <a:xfrm rot="0">
                    <a:off x="0" y="0"/>
                    <a:ext cx="5579745" cy="12700"/>
                  </a:xfrm>
                  <a:prstGeom prst="rect">
                    <a:avLst/>
                  </a:prstGeom>
                </pic:spPr>
              </pic:pic>
            </a:graphicData>
          </a:graphic>
        </wp:inline>
      </w:drawing>
    </w:r>
  </w:p>
</w:hdr>
</file>

<file path=word/header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3"/>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市政府文件</w:t>
    </w:r>
  </w:p>
  <w:p>
    <w:pPr>
      <w:ind w:firstLine="61"/>
      <w:spacing w:line="20" w:lineRule="exact"/>
      <w:rPr/>
    </w:pPr>
    <w:r>
      <w:rPr/>
      <w:drawing>
        <wp:inline distT="0" distB="0" distL="0" distR="0">
          <wp:extent cx="5579745" cy="12700"/>
          <wp:effectExtent l="0" t="0" r="0" b="0"/>
          <wp:docPr id="444" name="IM 444"/>
          <wp:cNvGraphicFramePr/>
          <a:graphic>
            <a:graphicData uri="http://schemas.openxmlformats.org/drawingml/2006/picture">
              <pic:pic>
                <pic:nvPicPr>
                  <pic:cNvPr id="444" name="IM 444"/>
                  <pic:cNvPicPr/>
                </pic:nvPicPr>
                <pic:blipFill>
                  <a:blip r:embed="rId1"/>
                  <a:stretch>
                    <a:fillRect/>
                  </a:stretch>
                </pic:blipFill>
                <pic:spPr>
                  <a:xfrm rot="0">
                    <a:off x="0" y="0"/>
                    <a:ext cx="5579745" cy="12700"/>
                  </a:xfrm>
                  <a:prstGeom prst="rect">
                    <a:avLst/>
                  </a:prstGeom>
                </pic:spPr>
              </pic:pic>
            </a:graphicData>
          </a:graphic>
        </wp:inline>
      </w:drawing>
    </w:r>
  </w:p>
</w:hdr>
</file>

<file path=word/header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市政府文件</w:t>
    </w:r>
  </w:p>
  <w:p>
    <w:pPr>
      <w:ind w:firstLine="66"/>
      <w:spacing w:line="20" w:lineRule="exact"/>
      <w:rPr/>
    </w:pPr>
    <w:r>
      <w:rPr/>
      <w:drawing>
        <wp:inline distT="0" distB="0" distL="0" distR="0">
          <wp:extent cx="5579745" cy="12700"/>
          <wp:effectExtent l="0" t="0" r="0" b="0"/>
          <wp:docPr id="462" name="IM 462"/>
          <wp:cNvGraphicFramePr/>
          <a:graphic>
            <a:graphicData uri="http://schemas.openxmlformats.org/drawingml/2006/picture">
              <pic:pic>
                <pic:nvPicPr>
                  <pic:cNvPr id="462" name="IM 462"/>
                  <pic:cNvPicPr/>
                </pic:nvPicPr>
                <pic:blipFill>
                  <a:blip r:embed="rId1"/>
                  <a:stretch>
                    <a:fillRect/>
                  </a:stretch>
                </pic:blipFill>
                <pic:spPr>
                  <a:xfrm rot="0">
                    <a:off x="0" y="0"/>
                    <a:ext cx="5579745" cy="12700"/>
                  </a:xfrm>
                  <a:prstGeom prst="rect">
                    <a:avLst/>
                  </a:prstGeom>
                </pic:spPr>
              </pic:pic>
            </a:graphicData>
          </a:graphic>
        </wp:inline>
      </w:drawing>
    </w:r>
  </w:p>
</w:hdr>
</file>

<file path=word/header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205" w:lineRule="auto"/>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10"/>
      </w:rPr>
      <w:t>市政府文件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p>
    <w:pPr>
      <w:ind w:firstLine="66"/>
      <w:spacing w:line="20" w:lineRule="exact"/>
      <w:rPr/>
    </w:pPr>
    <w:r>
      <w:rPr/>
      <w:drawing>
        <wp:inline distT="0" distB="0" distL="0" distR="0">
          <wp:extent cx="5579745" cy="12700"/>
          <wp:effectExtent l="0" t="0" r="0" b="0"/>
          <wp:docPr id="468" name="IM 468"/>
          <wp:cNvGraphicFramePr/>
          <a:graphic>
            <a:graphicData uri="http://schemas.openxmlformats.org/drawingml/2006/picture">
              <pic:pic>
                <pic:nvPicPr>
                  <pic:cNvPr id="468" name="IM 468"/>
                  <pic:cNvPicPr/>
                </pic:nvPicPr>
                <pic:blipFill>
                  <a:blip r:embed="rId1"/>
                  <a:stretch>
                    <a:fillRect/>
                  </a:stretch>
                </pic:blipFill>
                <pic:spPr>
                  <a:xfrm rot="0">
                    <a:off x="0" y="0"/>
                    <a:ext cx="5579745" cy="12700"/>
                  </a:xfrm>
                  <a:prstGeom prst="rect">
                    <a:avLst/>
                  </a:prstGeom>
                </pic:spPr>
              </pic:pic>
            </a:graphicData>
          </a:graphic>
        </wp:inline>
      </w:drawing>
    </w:r>
  </w:p>
</w:hdr>
</file>

<file path=word/header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市政府文件</w:t>
    </w:r>
  </w:p>
  <w:p>
    <w:pPr>
      <w:ind w:firstLine="8"/>
      <w:spacing w:line="20" w:lineRule="exact"/>
      <w:rPr/>
    </w:pPr>
    <w:r>
      <w:rPr/>
      <w:drawing>
        <wp:inline distT="0" distB="0" distL="0" distR="0">
          <wp:extent cx="5579745" cy="12700"/>
          <wp:effectExtent l="0" t="0" r="0" b="0"/>
          <wp:docPr id="474" name="IM 474"/>
          <wp:cNvGraphicFramePr/>
          <a:graphic>
            <a:graphicData uri="http://schemas.openxmlformats.org/drawingml/2006/picture">
              <pic:pic>
                <pic:nvPicPr>
                  <pic:cNvPr id="474" name="IM 474"/>
                  <pic:cNvPicPr/>
                </pic:nvPicPr>
                <pic:blipFill>
                  <a:blip r:embed="rId1"/>
                  <a:stretch>
                    <a:fillRect/>
                  </a:stretch>
                </pic:blipFill>
                <pic:spPr>
                  <a:xfrm rot="0">
                    <a:off x="0" y="0"/>
                    <a:ext cx="5579745" cy="12700"/>
                  </a:xfrm>
                  <a:prstGeom prst="rect">
                    <a:avLst/>
                  </a:prstGeom>
                </pic:spPr>
              </pic:pic>
            </a:graphicData>
          </a:graphic>
        </wp:inline>
      </w:drawing>
    </w:r>
  </w:p>
</w:hdr>
</file>

<file path=word/header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4"/>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0"/>
      </w:rPr>
      <w:t>市政府文件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p>
    <w:pPr>
      <w:ind w:firstLine="61"/>
      <w:spacing w:line="20" w:lineRule="exact"/>
      <w:rPr/>
    </w:pPr>
    <w:r>
      <w:rPr/>
      <w:drawing>
        <wp:inline distT="0" distB="0" distL="0" distR="0">
          <wp:extent cx="5579745" cy="12700"/>
          <wp:effectExtent l="0" t="0" r="0" b="0"/>
          <wp:docPr id="488" name="IM 488"/>
          <wp:cNvGraphicFramePr/>
          <a:graphic>
            <a:graphicData uri="http://schemas.openxmlformats.org/drawingml/2006/picture">
              <pic:pic>
                <pic:nvPicPr>
                  <pic:cNvPr id="488" name="IM 488"/>
                  <pic:cNvPicPr/>
                </pic:nvPicPr>
                <pic:blipFill>
                  <a:blip r:embed="rId1"/>
                  <a:stretch>
                    <a:fillRect/>
                  </a:stretch>
                </pic:blipFill>
                <pic:spPr>
                  <a:xfrm rot="0">
                    <a:off x="0" y="0"/>
                    <a:ext cx="5579745" cy="12700"/>
                  </a:xfrm>
                  <a:prstGeom prst="rect">
                    <a:avLst/>
                  </a:prstGeom>
                </pic:spPr>
              </pic:pic>
            </a:graphicData>
          </a:graphic>
        </wp:inline>
      </w:drawing>
    </w:r>
  </w:p>
</w:hdr>
</file>

<file path=word/header3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市政府文件</w:t>
    </w:r>
  </w:p>
  <w:p>
    <w:pPr>
      <w:ind w:firstLine="66"/>
      <w:spacing w:line="20" w:lineRule="exact"/>
      <w:rPr/>
    </w:pPr>
    <w:r>
      <w:rPr/>
      <w:drawing>
        <wp:inline distT="0" distB="0" distL="0" distR="0">
          <wp:extent cx="5579745" cy="12700"/>
          <wp:effectExtent l="0" t="0" r="0" b="0"/>
          <wp:docPr id="494" name="IM 494"/>
          <wp:cNvGraphicFramePr/>
          <a:graphic>
            <a:graphicData uri="http://schemas.openxmlformats.org/drawingml/2006/picture">
              <pic:pic>
                <pic:nvPicPr>
                  <pic:cNvPr id="494" name="IM 494"/>
                  <pic:cNvPicPr/>
                </pic:nvPicPr>
                <pic:blipFill>
                  <a:blip r:embed="rId1"/>
                  <a:stretch>
                    <a:fillRect/>
                  </a:stretch>
                </pic:blipFill>
                <pic:spPr>
                  <a:xfrm rot="0">
                    <a:off x="0" y="0"/>
                    <a:ext cx="5579745" cy="12700"/>
                  </a:xfrm>
                  <a:prstGeom prst="rect">
                    <a:avLst/>
                  </a:prstGeom>
                </pic:spPr>
              </pic:pic>
            </a:graphicData>
          </a:graphic>
        </wp:inline>
      </w:drawing>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7"/>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市政府文件</w:t>
    </w:r>
  </w:p>
  <w:p>
    <w:pPr>
      <w:spacing w:line="71" w:lineRule="exact"/>
      <w:rPr/>
    </w:pPr>
    <w:r>
      <w:rPr>
        <w:position w:val="-1"/>
      </w:rPr>
      <w:drawing>
        <wp:inline distT="0" distB="0" distL="0" distR="0">
          <wp:extent cx="5579744" cy="45719"/>
          <wp:effectExtent l="0" t="0" r="0" b="0"/>
          <wp:docPr id="20" name="IM 20"/>
          <wp:cNvGraphicFramePr/>
          <a:graphic>
            <a:graphicData uri="http://schemas.openxmlformats.org/drawingml/2006/picture">
              <pic:pic>
                <pic:nvPicPr>
                  <pic:cNvPr id="20" name="IM 20"/>
                  <pic:cNvPicPr/>
                </pic:nvPicPr>
                <pic:blipFill>
                  <a:blip r:embed="rId1"/>
                  <a:stretch>
                    <a:fillRect/>
                  </a:stretch>
                </pic:blipFill>
                <pic:spPr>
                  <a:xfrm rot="0">
                    <a:off x="0" y="0"/>
                    <a:ext cx="5579744" cy="45719"/>
                  </a:xfrm>
                  <a:prstGeom prst="rect">
                    <a:avLst/>
                  </a:prstGeom>
                </pic:spPr>
              </pic:pic>
            </a:graphicData>
          </a:graphic>
        </wp:inline>
      </w:drawing>
    </w:r>
  </w:p>
</w:hdr>
</file>

<file path=word/header4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4"/>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0"/>
      </w:rPr>
      <w:t>市政府文件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p>
    <w:pPr>
      <w:ind w:firstLine="61"/>
      <w:spacing w:line="20" w:lineRule="exact"/>
      <w:rPr/>
    </w:pPr>
    <w:r>
      <w:rPr/>
      <w:drawing>
        <wp:inline distT="0" distB="0" distL="0" distR="0">
          <wp:extent cx="5579745" cy="12700"/>
          <wp:effectExtent l="0" t="0" r="0" b="0"/>
          <wp:docPr id="500" name="IM 500"/>
          <wp:cNvGraphicFramePr/>
          <a:graphic>
            <a:graphicData uri="http://schemas.openxmlformats.org/drawingml/2006/picture">
              <pic:pic>
                <pic:nvPicPr>
                  <pic:cNvPr id="500" name="IM 500"/>
                  <pic:cNvPicPr/>
                </pic:nvPicPr>
                <pic:blipFill>
                  <a:blip r:embed="rId1"/>
                  <a:stretch>
                    <a:fillRect/>
                  </a:stretch>
                </pic:blipFill>
                <pic:spPr>
                  <a:xfrm rot="0">
                    <a:off x="0" y="0"/>
                    <a:ext cx="5579745" cy="12700"/>
                  </a:xfrm>
                  <a:prstGeom prst="rect">
                    <a:avLst/>
                  </a:prstGeom>
                </pic:spPr>
              </pic:pic>
            </a:graphicData>
          </a:graphic>
        </wp:inline>
      </w:drawing>
    </w:r>
  </w:p>
</w:hdr>
</file>

<file path=word/header4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0"/>
      </w:rPr>
      <w:t>市政府文件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p>
    <w:pPr>
      <w:ind w:firstLine="23"/>
      <w:spacing w:line="20" w:lineRule="exact"/>
      <w:rPr/>
    </w:pPr>
    <w:r>
      <w:rPr/>
      <w:drawing>
        <wp:inline distT="0" distB="0" distL="0" distR="0">
          <wp:extent cx="5579745" cy="12700"/>
          <wp:effectExtent l="0" t="0" r="0" b="0"/>
          <wp:docPr id="510" name="IM 510"/>
          <wp:cNvGraphicFramePr/>
          <a:graphic>
            <a:graphicData uri="http://schemas.openxmlformats.org/drawingml/2006/picture">
              <pic:pic>
                <pic:nvPicPr>
                  <pic:cNvPr id="510" name="IM 510"/>
                  <pic:cNvPicPr/>
                </pic:nvPicPr>
                <pic:blipFill>
                  <a:blip r:embed="rId1"/>
                  <a:stretch>
                    <a:fillRect/>
                  </a:stretch>
                </pic:blipFill>
                <pic:spPr>
                  <a:xfrm rot="0">
                    <a:off x="0" y="0"/>
                    <a:ext cx="5579745" cy="12700"/>
                  </a:xfrm>
                  <a:prstGeom prst="rect">
                    <a:avLst/>
                  </a:prstGeom>
                </pic:spPr>
              </pic:pic>
            </a:graphicData>
          </a:graphic>
        </wp:inline>
      </w:drawing>
    </w:r>
  </w:p>
</w:hdr>
</file>

<file path=word/header4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市政府文件</w:t>
    </w:r>
  </w:p>
  <w:p>
    <w:pPr>
      <w:ind w:firstLine="8"/>
      <w:spacing w:line="20" w:lineRule="exact"/>
      <w:rPr/>
    </w:pPr>
    <w:r>
      <w:rPr/>
      <w:drawing>
        <wp:inline distT="0" distB="0" distL="0" distR="0">
          <wp:extent cx="5579745" cy="12700"/>
          <wp:effectExtent l="0" t="0" r="0" b="0"/>
          <wp:docPr id="548" name="IM 548"/>
          <wp:cNvGraphicFramePr/>
          <a:graphic>
            <a:graphicData uri="http://schemas.openxmlformats.org/drawingml/2006/picture">
              <pic:pic>
                <pic:nvPicPr>
                  <pic:cNvPr id="548" name="IM 548"/>
                  <pic:cNvPicPr/>
                </pic:nvPicPr>
                <pic:blipFill>
                  <a:blip r:embed="rId1"/>
                  <a:stretch>
                    <a:fillRect/>
                  </a:stretch>
                </pic:blipFill>
                <pic:spPr>
                  <a:xfrm rot="0">
                    <a:off x="0" y="0"/>
                    <a:ext cx="5579745" cy="12700"/>
                  </a:xfrm>
                  <a:prstGeom prst="rect">
                    <a:avLst/>
                  </a:prstGeom>
                </pic:spPr>
              </pic:pic>
            </a:graphicData>
          </a:graphic>
        </wp:inline>
      </w:drawing>
    </w:r>
  </w:p>
</w:hdr>
</file>

<file path=word/header4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市政府文件</w:t>
    </w:r>
  </w:p>
  <w:p>
    <w:pPr>
      <w:ind w:firstLine="34"/>
      <w:spacing w:line="20" w:lineRule="exact"/>
      <w:rPr/>
    </w:pPr>
    <w:r>
      <w:rPr/>
      <w:drawing>
        <wp:inline distT="0" distB="0" distL="0" distR="0">
          <wp:extent cx="5579745" cy="12700"/>
          <wp:effectExtent l="0" t="0" r="0" b="0"/>
          <wp:docPr id="558" name="IM 558"/>
          <wp:cNvGraphicFramePr/>
          <a:graphic>
            <a:graphicData uri="http://schemas.openxmlformats.org/drawingml/2006/picture">
              <pic:pic>
                <pic:nvPicPr>
                  <pic:cNvPr id="558" name="IM 558"/>
                  <pic:cNvPicPr/>
                </pic:nvPicPr>
                <pic:blipFill>
                  <a:blip r:embed="rId1"/>
                  <a:stretch>
                    <a:fillRect/>
                  </a:stretch>
                </pic:blipFill>
                <pic:spPr>
                  <a:xfrm rot="0">
                    <a:off x="0" y="0"/>
                    <a:ext cx="5579745" cy="12700"/>
                  </a:xfrm>
                  <a:prstGeom prst="rect">
                    <a:avLst/>
                  </a:prstGeom>
                </pic:spPr>
              </pic:pic>
            </a:graphicData>
          </a:graphic>
        </wp:inline>
      </w:drawing>
    </w:r>
  </w:p>
</w:hdr>
</file>

<file path=word/header4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市政府文件</w:t>
    </w:r>
  </w:p>
  <w:p>
    <w:pPr>
      <w:ind w:firstLine="8"/>
      <w:spacing w:line="20" w:lineRule="exact"/>
      <w:rPr/>
    </w:pPr>
    <w:r>
      <w:rPr/>
      <w:drawing>
        <wp:inline distT="0" distB="0" distL="0" distR="0">
          <wp:extent cx="5579745" cy="12700"/>
          <wp:effectExtent l="0" t="0" r="0" b="0"/>
          <wp:docPr id="576" name="IM 576"/>
          <wp:cNvGraphicFramePr/>
          <a:graphic>
            <a:graphicData uri="http://schemas.openxmlformats.org/drawingml/2006/picture">
              <pic:pic>
                <pic:nvPicPr>
                  <pic:cNvPr id="576" name="IM 576"/>
                  <pic:cNvPicPr/>
                </pic:nvPicPr>
                <pic:blipFill>
                  <a:blip r:embed="rId1"/>
                  <a:stretch>
                    <a:fillRect/>
                  </a:stretch>
                </pic:blipFill>
                <pic:spPr>
                  <a:xfrm rot="0">
                    <a:off x="0" y="0"/>
                    <a:ext cx="5579745" cy="12700"/>
                  </a:xfrm>
                  <a:prstGeom prst="rect">
                    <a:avLst/>
                  </a:prstGeom>
                </pic:spPr>
              </pic:pic>
            </a:graphicData>
          </a:graphic>
        </wp:inline>
      </w:drawing>
    </w:r>
  </w:p>
</w:hdr>
</file>

<file path=word/header4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205" w:lineRule="auto"/>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市委办、</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9"/>
      </w:rPr>
      <w:t>市政府办文件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《固原市人民政府公</w:t>
    </w:r>
    <w:r>
      <w:rPr>
        <w:rFonts w:ascii="Microsoft YaHei" w:hAnsi="Microsoft YaHei" w:eastAsia="Microsoft YaHei" w:cs="Microsoft YaHei"/>
        <w:sz w:val="20"/>
        <w:szCs w:val="20"/>
        <w:spacing w:val="8"/>
      </w:rPr>
      <w:t>报》</w:t>
    </w:r>
  </w:p>
  <w:p>
    <w:pPr>
      <w:ind w:firstLine="23"/>
      <w:spacing w:line="20" w:lineRule="exact"/>
      <w:rPr/>
    </w:pPr>
    <w:r>
      <w:rPr/>
      <w:drawing>
        <wp:inline distT="0" distB="0" distL="0" distR="0">
          <wp:extent cx="5579745" cy="12700"/>
          <wp:effectExtent l="0" t="0" r="0" b="0"/>
          <wp:docPr id="590" name="IM 590"/>
          <wp:cNvGraphicFramePr/>
          <a:graphic>
            <a:graphicData uri="http://schemas.openxmlformats.org/drawingml/2006/picture">
              <pic:pic>
                <pic:nvPicPr>
                  <pic:cNvPr id="590" name="IM 590"/>
                  <pic:cNvPicPr/>
                </pic:nvPicPr>
                <pic:blipFill>
                  <a:blip r:embed="rId1"/>
                  <a:stretch>
                    <a:fillRect/>
                  </a:stretch>
                </pic:blipFill>
                <pic:spPr>
                  <a:xfrm rot="0">
                    <a:off x="0" y="0"/>
                    <a:ext cx="5579745" cy="12700"/>
                  </a:xfrm>
                  <a:prstGeom prst="rect">
                    <a:avLst/>
                  </a:prstGeom>
                </pic:spPr>
              </pic:pic>
            </a:graphicData>
          </a:graphic>
        </wp:inline>
      </w:drawing>
    </w:r>
  </w:p>
</w:hdr>
</file>

<file path=word/header4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205" w:lineRule="auto"/>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市委办、</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8"/>
      </w:rPr>
      <w:t>市政府办文件</w:t>
    </w:r>
  </w:p>
  <w:p>
    <w:pPr>
      <w:ind w:firstLine="8"/>
      <w:spacing w:line="20" w:lineRule="exact"/>
      <w:rPr/>
    </w:pPr>
    <w:r>
      <w:rPr/>
      <w:drawing>
        <wp:inline distT="0" distB="0" distL="0" distR="0">
          <wp:extent cx="5579745" cy="12700"/>
          <wp:effectExtent l="0" t="0" r="0" b="0"/>
          <wp:docPr id="596" name="IM 596"/>
          <wp:cNvGraphicFramePr/>
          <a:graphic>
            <a:graphicData uri="http://schemas.openxmlformats.org/drawingml/2006/picture">
              <pic:pic>
                <pic:nvPicPr>
                  <pic:cNvPr id="596" name="IM 596"/>
                  <pic:cNvPicPr/>
                </pic:nvPicPr>
                <pic:blipFill>
                  <a:blip r:embed="rId1"/>
                  <a:stretch>
                    <a:fillRect/>
                  </a:stretch>
                </pic:blipFill>
                <pic:spPr>
                  <a:xfrm rot="0">
                    <a:off x="0" y="0"/>
                    <a:ext cx="5579745" cy="12700"/>
                  </a:xfrm>
                  <a:prstGeom prst="rect">
                    <a:avLst/>
                  </a:prstGeom>
                </pic:spPr>
              </pic:pic>
            </a:graphicData>
          </a:graphic>
        </wp:inline>
      </w:drawing>
    </w:r>
  </w:p>
</w:hdr>
</file>

<file path=word/header4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市委办、</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8"/>
      </w:rPr>
      <w:t>市政府办文件</w:t>
    </w:r>
  </w:p>
  <w:p>
    <w:pPr>
      <w:ind w:firstLine="8"/>
      <w:spacing w:line="20" w:lineRule="exact"/>
      <w:rPr/>
    </w:pPr>
    <w:r>
      <w:rPr/>
      <w:drawing>
        <wp:inline distT="0" distB="0" distL="0" distR="0">
          <wp:extent cx="5579745" cy="12700"/>
          <wp:effectExtent l="0" t="0" r="0" b="0"/>
          <wp:docPr id="614" name="IM 614"/>
          <wp:cNvGraphicFramePr/>
          <a:graphic>
            <a:graphicData uri="http://schemas.openxmlformats.org/drawingml/2006/picture">
              <pic:pic>
                <pic:nvPicPr>
                  <pic:cNvPr id="614" name="IM 614"/>
                  <pic:cNvPicPr/>
                </pic:nvPicPr>
                <pic:blipFill>
                  <a:blip r:embed="rId1"/>
                  <a:stretch>
                    <a:fillRect/>
                  </a:stretch>
                </pic:blipFill>
                <pic:spPr>
                  <a:xfrm rot="0">
                    <a:off x="0" y="0"/>
                    <a:ext cx="5579745" cy="12700"/>
                  </a:xfrm>
                  <a:prstGeom prst="rect">
                    <a:avLst/>
                  </a:prstGeom>
                </pic:spPr>
              </pic:pic>
            </a:graphicData>
          </a:graphic>
        </wp:inline>
      </w:drawing>
    </w:r>
  </w:p>
</w:hdr>
</file>

<file path=word/header4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市委办、</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9"/>
      </w:rPr>
      <w:t>市政府办文件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《固原市人民政府公</w:t>
    </w:r>
    <w:r>
      <w:rPr>
        <w:rFonts w:ascii="Microsoft YaHei" w:hAnsi="Microsoft YaHei" w:eastAsia="Microsoft YaHei" w:cs="Microsoft YaHei"/>
        <w:sz w:val="20"/>
        <w:szCs w:val="20"/>
        <w:spacing w:val="8"/>
      </w:rPr>
      <w:t>报》</w:t>
    </w:r>
  </w:p>
  <w:p>
    <w:pPr>
      <w:ind w:firstLine="23"/>
      <w:spacing w:line="20" w:lineRule="exact"/>
      <w:rPr/>
    </w:pPr>
    <w:r>
      <w:rPr/>
      <w:drawing>
        <wp:inline distT="0" distB="0" distL="0" distR="0">
          <wp:extent cx="5579745" cy="12700"/>
          <wp:effectExtent l="0" t="0" r="0" b="0"/>
          <wp:docPr id="624" name="IM 624"/>
          <wp:cNvGraphicFramePr/>
          <a:graphic>
            <a:graphicData uri="http://schemas.openxmlformats.org/drawingml/2006/picture">
              <pic:pic>
                <pic:nvPicPr>
                  <pic:cNvPr id="624" name="IM 624"/>
                  <pic:cNvPicPr/>
                </pic:nvPicPr>
                <pic:blipFill>
                  <a:blip r:embed="rId1"/>
                  <a:stretch>
                    <a:fillRect/>
                  </a:stretch>
                </pic:blipFill>
                <pic:spPr>
                  <a:xfrm rot="0">
                    <a:off x="0" y="0"/>
                    <a:ext cx="5579745" cy="12700"/>
                  </a:xfrm>
                  <a:prstGeom prst="rect">
                    <a:avLst/>
                  </a:prstGeom>
                </pic:spPr>
              </pic:pic>
            </a:graphicData>
          </a:graphic>
        </wp:inline>
      </w:drawing>
    </w:r>
  </w:p>
</w:hdr>
</file>

<file path=word/header4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市委办、</w:t>
    </w:r>
    <w:r>
      <w:rPr>
        <w:rFonts w:ascii="Microsoft YaHei" w:hAnsi="Microsoft YaHei" w:eastAsia="Microsoft YaHei" w:cs="Microsoft YaHei"/>
        <w:sz w:val="20"/>
        <w:szCs w:val="20"/>
        <w:spacing w:val="-25"/>
      </w:rPr>
      <w:t xml:space="preserve"> </w:t>
    </w:r>
    <w:r>
      <w:rPr>
        <w:rFonts w:ascii="Microsoft YaHei" w:hAnsi="Microsoft YaHei" w:eastAsia="Microsoft YaHei" w:cs="Microsoft YaHei"/>
        <w:sz w:val="20"/>
        <w:szCs w:val="20"/>
        <w:spacing w:val="8"/>
      </w:rPr>
      <w:t>市政府办文件</w:t>
    </w:r>
  </w:p>
  <w:p>
    <w:pPr>
      <w:ind w:firstLine="8"/>
      <w:spacing w:line="20" w:lineRule="exact"/>
      <w:rPr/>
    </w:pPr>
    <w:r>
      <w:rPr/>
      <w:drawing>
        <wp:inline distT="0" distB="0" distL="0" distR="0">
          <wp:extent cx="5579745" cy="12700"/>
          <wp:effectExtent l="0" t="0" r="0" b="0"/>
          <wp:docPr id="630" name="IM 630"/>
          <wp:cNvGraphicFramePr/>
          <a:graphic>
            <a:graphicData uri="http://schemas.openxmlformats.org/drawingml/2006/picture">
              <pic:pic>
                <pic:nvPicPr>
                  <pic:cNvPr id="630" name="IM 630"/>
                  <pic:cNvPicPr/>
                </pic:nvPicPr>
                <pic:blipFill>
                  <a:blip r:embed="rId1"/>
                  <a:stretch>
                    <a:fillRect/>
                  </a:stretch>
                </pic:blipFill>
                <pic:spPr>
                  <a:xfrm rot="0">
                    <a:off x="0" y="0"/>
                    <a:ext cx="5579745" cy="12700"/>
                  </a:xfrm>
                  <a:prstGeom prst="rect">
                    <a:avLst/>
                  </a:prstGeom>
                </pic:spPr>
              </pic:pic>
            </a:graphicData>
          </a:graphic>
        </wp:inline>
      </w:drawing>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0"/>
      </w:rPr>
      <w:t>市政府文件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p>
    <w:pPr>
      <w:ind w:firstLine="28"/>
      <w:spacing w:line="71" w:lineRule="exact"/>
      <w:rPr/>
    </w:pPr>
    <w:r>
      <w:rPr>
        <w:position w:val="-1"/>
      </w:rPr>
      <w:drawing>
        <wp:inline distT="0" distB="0" distL="0" distR="0">
          <wp:extent cx="5579745" cy="45719"/>
          <wp:effectExtent l="0" t="0" r="0" b="0"/>
          <wp:docPr id="24" name="IM 24"/>
          <wp:cNvGraphicFramePr/>
          <a:graphic>
            <a:graphicData uri="http://schemas.openxmlformats.org/drawingml/2006/picture">
              <pic:pic>
                <pic:nvPicPr>
                  <pic:cNvPr id="24" name="IM 24"/>
                  <pic:cNvPicPr/>
                </pic:nvPicPr>
                <pic:blipFill>
                  <a:blip r:embed="rId1"/>
                  <a:stretch>
                    <a:fillRect/>
                  </a:stretch>
                </pic:blipFill>
                <pic:spPr>
                  <a:xfrm rot="0">
                    <a:off x="0" y="0"/>
                    <a:ext cx="5579745" cy="45719"/>
                  </a:xfrm>
                  <a:prstGeom prst="rect">
                    <a:avLst/>
                  </a:prstGeom>
                </pic:spPr>
              </pic:pic>
            </a:graphicData>
          </a:graphic>
        </wp:inline>
      </w:drawing>
    </w:r>
  </w:p>
</w:hdr>
</file>

<file path=word/header5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市委办、</w:t>
    </w:r>
    <w:r>
      <w:rPr>
        <w:rFonts w:ascii="Microsoft YaHei" w:hAnsi="Microsoft YaHei" w:eastAsia="Microsoft YaHei" w:cs="Microsoft YaHei"/>
        <w:sz w:val="20"/>
        <w:szCs w:val="20"/>
        <w:spacing w:val="-25"/>
      </w:rPr>
      <w:t xml:space="preserve"> </w:t>
    </w:r>
    <w:r>
      <w:rPr>
        <w:rFonts w:ascii="Microsoft YaHei" w:hAnsi="Microsoft YaHei" w:eastAsia="Microsoft YaHei" w:cs="Microsoft YaHei"/>
        <w:sz w:val="20"/>
        <w:szCs w:val="20"/>
        <w:spacing w:val="8"/>
      </w:rPr>
      <w:t>市政府办文件</w:t>
    </w:r>
  </w:p>
  <w:p>
    <w:pPr>
      <w:ind w:firstLine="11"/>
      <w:spacing w:line="20" w:lineRule="exact"/>
      <w:rPr/>
    </w:pPr>
    <w:r>
      <w:rPr/>
      <w:drawing>
        <wp:inline distT="0" distB="0" distL="0" distR="0">
          <wp:extent cx="5579745" cy="12700"/>
          <wp:effectExtent l="0" t="0" r="0" b="0"/>
          <wp:docPr id="640" name="IM 640"/>
          <wp:cNvGraphicFramePr/>
          <a:graphic>
            <a:graphicData uri="http://schemas.openxmlformats.org/drawingml/2006/picture">
              <pic:pic>
                <pic:nvPicPr>
                  <pic:cNvPr id="640" name="IM 640"/>
                  <pic:cNvPicPr/>
                </pic:nvPicPr>
                <pic:blipFill>
                  <a:blip r:embed="rId1"/>
                  <a:stretch>
                    <a:fillRect/>
                  </a:stretch>
                </pic:blipFill>
                <pic:spPr>
                  <a:xfrm rot="0">
                    <a:off x="0" y="0"/>
                    <a:ext cx="5579745" cy="12700"/>
                  </a:xfrm>
                  <a:prstGeom prst="rect">
                    <a:avLst/>
                  </a:prstGeom>
                </pic:spPr>
              </pic:pic>
            </a:graphicData>
          </a:graphic>
        </wp:inline>
      </w:drawing>
    </w:r>
  </w:p>
</w:hdr>
</file>

<file path=word/header5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8"/>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市委办、</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9"/>
      </w:rPr>
      <w:t>市政府办文件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《固原市人民政府公</w:t>
    </w:r>
    <w:r>
      <w:rPr>
        <w:rFonts w:ascii="Microsoft YaHei" w:hAnsi="Microsoft YaHei" w:eastAsia="Microsoft YaHei" w:cs="Microsoft YaHei"/>
        <w:sz w:val="20"/>
        <w:szCs w:val="20"/>
        <w:spacing w:val="8"/>
      </w:rPr>
      <w:t>报》</w:t>
    </w:r>
  </w:p>
  <w:p>
    <w:pPr>
      <w:ind w:firstLine="115"/>
      <w:spacing w:line="20" w:lineRule="exact"/>
      <w:rPr/>
    </w:pPr>
    <w:r>
      <w:rPr/>
      <w:drawing>
        <wp:inline distT="0" distB="0" distL="0" distR="0">
          <wp:extent cx="8712200" cy="12700"/>
          <wp:effectExtent l="0" t="0" r="0" b="0"/>
          <wp:docPr id="646" name="IM 646"/>
          <wp:cNvGraphicFramePr/>
          <a:graphic>
            <a:graphicData uri="http://schemas.openxmlformats.org/drawingml/2006/picture">
              <pic:pic>
                <pic:nvPicPr>
                  <pic:cNvPr id="646" name="IM 646"/>
                  <pic:cNvPicPr/>
                </pic:nvPicPr>
                <pic:blipFill>
                  <a:blip r:embed="rId1"/>
                  <a:stretch>
                    <a:fillRect/>
                  </a:stretch>
                </pic:blipFill>
                <pic:spPr>
                  <a:xfrm rot="0">
                    <a:off x="0" y="0"/>
                    <a:ext cx="8712200" cy="12700"/>
                  </a:xfrm>
                  <a:prstGeom prst="rect">
                    <a:avLst/>
                  </a:prstGeom>
                </pic:spPr>
              </pic:pic>
            </a:graphicData>
          </a:graphic>
        </wp:inline>
      </w:drawing>
    </w:r>
  </w:p>
</w:hdr>
</file>

<file path=word/header5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7"/>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市委办、</w:t>
    </w:r>
    <w:r>
      <w:rPr>
        <w:rFonts w:ascii="Microsoft YaHei" w:hAnsi="Microsoft YaHei" w:eastAsia="Microsoft YaHei" w:cs="Microsoft YaHei"/>
        <w:sz w:val="20"/>
        <w:szCs w:val="20"/>
        <w:spacing w:val="-25"/>
      </w:rPr>
      <w:t xml:space="preserve"> </w:t>
    </w:r>
    <w:r>
      <w:rPr>
        <w:rFonts w:ascii="Microsoft YaHei" w:hAnsi="Microsoft YaHei" w:eastAsia="Microsoft YaHei" w:cs="Microsoft YaHei"/>
        <w:sz w:val="20"/>
        <w:szCs w:val="20"/>
        <w:spacing w:val="8"/>
      </w:rPr>
      <w:t>市政府办文件</w:t>
    </w:r>
  </w:p>
  <w:p>
    <w:pPr>
      <w:ind w:firstLine="115"/>
      <w:spacing w:line="20" w:lineRule="exact"/>
      <w:rPr/>
    </w:pPr>
    <w:r>
      <w:rPr/>
      <w:drawing>
        <wp:inline distT="0" distB="0" distL="0" distR="0">
          <wp:extent cx="8712200" cy="12700"/>
          <wp:effectExtent l="0" t="0" r="0" b="0"/>
          <wp:docPr id="652" name="IM 652"/>
          <wp:cNvGraphicFramePr/>
          <a:graphic>
            <a:graphicData uri="http://schemas.openxmlformats.org/drawingml/2006/picture">
              <pic:pic>
                <pic:nvPicPr>
                  <pic:cNvPr id="652" name="IM 652"/>
                  <pic:cNvPicPr/>
                </pic:nvPicPr>
                <pic:blipFill>
                  <a:blip r:embed="rId1"/>
                  <a:stretch>
                    <a:fillRect/>
                  </a:stretch>
                </pic:blipFill>
                <pic:spPr>
                  <a:xfrm rot="0">
                    <a:off x="0" y="0"/>
                    <a:ext cx="8712200" cy="12700"/>
                  </a:xfrm>
                  <a:prstGeom prst="rect">
                    <a:avLst/>
                  </a:prstGeom>
                </pic:spPr>
              </pic:pic>
            </a:graphicData>
          </a:graphic>
        </wp:inline>
      </w:drawing>
    </w:r>
  </w:p>
</w:hdr>
</file>

<file path=word/header5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7"/>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市委办、</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9"/>
      </w:rPr>
      <w:t>市政府办文件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《固原市人民政府公</w:t>
    </w:r>
    <w:r>
      <w:rPr>
        <w:rFonts w:ascii="Microsoft YaHei" w:hAnsi="Microsoft YaHei" w:eastAsia="Microsoft YaHei" w:cs="Microsoft YaHei"/>
        <w:sz w:val="20"/>
        <w:szCs w:val="20"/>
        <w:spacing w:val="8"/>
      </w:rPr>
      <w:t>报》</w:t>
    </w:r>
  </w:p>
  <w:p>
    <w:pPr>
      <w:ind w:firstLine="124"/>
      <w:spacing w:line="20" w:lineRule="exact"/>
      <w:rPr/>
    </w:pPr>
    <w:r>
      <w:rPr/>
      <w:drawing>
        <wp:inline distT="0" distB="0" distL="0" distR="0">
          <wp:extent cx="8712200" cy="12700"/>
          <wp:effectExtent l="0" t="0" r="0" b="0"/>
          <wp:docPr id="658" name="IM 658"/>
          <wp:cNvGraphicFramePr/>
          <a:graphic>
            <a:graphicData uri="http://schemas.openxmlformats.org/drawingml/2006/picture">
              <pic:pic>
                <pic:nvPicPr>
                  <pic:cNvPr id="658" name="IM 658"/>
                  <pic:cNvPicPr/>
                </pic:nvPicPr>
                <pic:blipFill>
                  <a:blip r:embed="rId1"/>
                  <a:stretch>
                    <a:fillRect/>
                  </a:stretch>
                </pic:blipFill>
                <pic:spPr>
                  <a:xfrm rot="0">
                    <a:off x="0" y="0"/>
                    <a:ext cx="8712200" cy="12700"/>
                  </a:xfrm>
                  <a:prstGeom prst="rect">
                    <a:avLst/>
                  </a:prstGeom>
                </pic:spPr>
              </pic:pic>
            </a:graphicData>
          </a:graphic>
        </wp:inline>
      </w:drawing>
    </w:r>
  </w:p>
</w:hdr>
</file>

<file path=word/header5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6"/>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市委办、</w:t>
    </w:r>
    <w:r>
      <w:rPr>
        <w:rFonts w:ascii="Microsoft YaHei" w:hAnsi="Microsoft YaHei" w:eastAsia="Microsoft YaHei" w:cs="Microsoft YaHei"/>
        <w:sz w:val="20"/>
        <w:szCs w:val="20"/>
        <w:spacing w:val="-25"/>
      </w:rPr>
      <w:t xml:space="preserve"> </w:t>
    </w:r>
    <w:r>
      <w:rPr>
        <w:rFonts w:ascii="Microsoft YaHei" w:hAnsi="Microsoft YaHei" w:eastAsia="Microsoft YaHei" w:cs="Microsoft YaHei"/>
        <w:sz w:val="20"/>
        <w:szCs w:val="20"/>
        <w:spacing w:val="8"/>
      </w:rPr>
      <w:t>市政府办文件</w:t>
    </w:r>
  </w:p>
  <w:p>
    <w:pPr>
      <w:ind w:firstLine="124"/>
      <w:spacing w:line="20" w:lineRule="exact"/>
      <w:rPr/>
    </w:pPr>
    <w:r>
      <w:rPr/>
      <w:drawing>
        <wp:inline distT="0" distB="0" distL="0" distR="0">
          <wp:extent cx="8712200" cy="12700"/>
          <wp:effectExtent l="0" t="0" r="0" b="0"/>
          <wp:docPr id="664" name="IM 664"/>
          <wp:cNvGraphicFramePr/>
          <a:graphic>
            <a:graphicData uri="http://schemas.openxmlformats.org/drawingml/2006/picture">
              <pic:pic>
                <pic:nvPicPr>
                  <pic:cNvPr id="664" name="IM 664"/>
                  <pic:cNvPicPr/>
                </pic:nvPicPr>
                <pic:blipFill>
                  <a:blip r:embed="rId1"/>
                  <a:stretch>
                    <a:fillRect/>
                  </a:stretch>
                </pic:blipFill>
                <pic:spPr>
                  <a:xfrm rot="0">
                    <a:off x="0" y="0"/>
                    <a:ext cx="8712200" cy="12700"/>
                  </a:xfrm>
                  <a:prstGeom prst="rect">
                    <a:avLst/>
                  </a:prstGeom>
                </pic:spPr>
              </pic:pic>
            </a:graphicData>
          </a:graphic>
        </wp:inline>
      </w:drawing>
    </w:r>
  </w:p>
</w:hdr>
</file>

<file path=word/header5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6"/>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市委办、</w:t>
    </w:r>
    <w:r>
      <w:rPr>
        <w:rFonts w:ascii="Microsoft YaHei" w:hAnsi="Microsoft YaHei" w:eastAsia="Microsoft YaHei" w:cs="Microsoft YaHei"/>
        <w:sz w:val="20"/>
        <w:szCs w:val="20"/>
        <w:spacing w:val="-26"/>
      </w:rPr>
      <w:t xml:space="preserve"> </w:t>
    </w:r>
    <w:r>
      <w:rPr>
        <w:rFonts w:ascii="Microsoft YaHei" w:hAnsi="Microsoft YaHei" w:eastAsia="Microsoft YaHei" w:cs="Microsoft YaHei"/>
        <w:sz w:val="20"/>
        <w:szCs w:val="20"/>
        <w:spacing w:val="8"/>
      </w:rPr>
      <w:t>市政府办文件</w:t>
    </w:r>
  </w:p>
  <w:p>
    <w:pPr>
      <w:ind w:firstLine="124"/>
      <w:spacing w:line="20" w:lineRule="exact"/>
      <w:rPr/>
    </w:pPr>
    <w:r>
      <w:rPr/>
      <w:drawing>
        <wp:inline distT="0" distB="0" distL="0" distR="0">
          <wp:extent cx="8712200" cy="12700"/>
          <wp:effectExtent l="0" t="0" r="0" b="0"/>
          <wp:docPr id="674" name="IM 674"/>
          <wp:cNvGraphicFramePr/>
          <a:graphic>
            <a:graphicData uri="http://schemas.openxmlformats.org/drawingml/2006/picture">
              <pic:pic>
                <pic:nvPicPr>
                  <pic:cNvPr id="674" name="IM 674"/>
                  <pic:cNvPicPr/>
                </pic:nvPicPr>
                <pic:blipFill>
                  <a:blip r:embed="rId1"/>
                  <a:stretch>
                    <a:fillRect/>
                  </a:stretch>
                </pic:blipFill>
                <pic:spPr>
                  <a:xfrm rot="0">
                    <a:off x="0" y="0"/>
                    <a:ext cx="8712200" cy="12700"/>
                  </a:xfrm>
                  <a:prstGeom prst="rect">
                    <a:avLst/>
                  </a:prstGeom>
                </pic:spPr>
              </pic:pic>
            </a:graphicData>
          </a:graphic>
        </wp:inline>
      </w:drawing>
    </w:r>
  </w:p>
</w:hdr>
</file>

<file path=word/header5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市委办、</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9"/>
      </w:rPr>
      <w:t>市政府办文件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《固原市人民政府公</w:t>
    </w:r>
    <w:r>
      <w:rPr>
        <w:rFonts w:ascii="Microsoft YaHei" w:hAnsi="Microsoft YaHei" w:eastAsia="Microsoft YaHei" w:cs="Microsoft YaHei"/>
        <w:sz w:val="20"/>
        <w:szCs w:val="20"/>
        <w:spacing w:val="8"/>
      </w:rPr>
      <w:t>报》</w:t>
    </w:r>
  </w:p>
  <w:p>
    <w:pPr>
      <w:ind w:firstLine="23"/>
      <w:spacing w:line="20" w:lineRule="exact"/>
      <w:rPr/>
    </w:pPr>
    <w:r>
      <w:rPr/>
      <w:drawing>
        <wp:inline distT="0" distB="0" distL="0" distR="0">
          <wp:extent cx="5579745" cy="12700"/>
          <wp:effectExtent l="0" t="0" r="0" b="0"/>
          <wp:docPr id="680" name="IM 680"/>
          <wp:cNvGraphicFramePr/>
          <a:graphic>
            <a:graphicData uri="http://schemas.openxmlformats.org/drawingml/2006/picture">
              <pic:pic>
                <pic:nvPicPr>
                  <pic:cNvPr id="680" name="IM 680"/>
                  <pic:cNvPicPr/>
                </pic:nvPicPr>
                <pic:blipFill>
                  <a:blip r:embed="rId1"/>
                  <a:stretch>
                    <a:fillRect/>
                  </a:stretch>
                </pic:blipFill>
                <pic:spPr>
                  <a:xfrm rot="0">
                    <a:off x="0" y="0"/>
                    <a:ext cx="5579745" cy="12700"/>
                  </a:xfrm>
                  <a:prstGeom prst="rect">
                    <a:avLst/>
                  </a:prstGeom>
                </pic:spPr>
              </pic:pic>
            </a:graphicData>
          </a:graphic>
        </wp:inline>
      </w:drawing>
    </w:r>
  </w:p>
</w:hdr>
</file>

<file path=word/header5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市委办、</w:t>
    </w:r>
    <w:r>
      <w:rPr>
        <w:rFonts w:ascii="Microsoft YaHei" w:hAnsi="Microsoft YaHei" w:eastAsia="Microsoft YaHei" w:cs="Microsoft YaHei"/>
        <w:sz w:val="20"/>
        <w:szCs w:val="20"/>
        <w:spacing w:val="-19"/>
      </w:rPr>
      <w:t xml:space="preserve"> </w:t>
    </w:r>
    <w:r>
      <w:rPr>
        <w:rFonts w:ascii="Microsoft YaHei" w:hAnsi="Microsoft YaHei" w:eastAsia="Microsoft YaHei" w:cs="Microsoft YaHei"/>
        <w:sz w:val="20"/>
        <w:szCs w:val="20"/>
        <w:spacing w:val="8"/>
      </w:rPr>
      <w:t>市政府办文件</w:t>
    </w:r>
  </w:p>
  <w:p>
    <w:pPr>
      <w:ind w:firstLine="8"/>
      <w:spacing w:line="20" w:lineRule="exact"/>
      <w:rPr/>
    </w:pPr>
    <w:r>
      <w:rPr/>
      <w:drawing>
        <wp:inline distT="0" distB="0" distL="0" distR="0">
          <wp:extent cx="5579745" cy="12700"/>
          <wp:effectExtent l="0" t="0" r="0" b="0"/>
          <wp:docPr id="690" name="IM 690"/>
          <wp:cNvGraphicFramePr/>
          <a:graphic>
            <a:graphicData uri="http://schemas.openxmlformats.org/drawingml/2006/picture">
              <pic:pic>
                <pic:nvPicPr>
                  <pic:cNvPr id="690" name="IM 690"/>
                  <pic:cNvPicPr/>
                </pic:nvPicPr>
                <pic:blipFill>
                  <a:blip r:embed="rId1"/>
                  <a:stretch>
                    <a:fillRect/>
                  </a:stretch>
                </pic:blipFill>
                <pic:spPr>
                  <a:xfrm rot="0">
                    <a:off x="0" y="0"/>
                    <a:ext cx="5579745" cy="12700"/>
                  </a:xfrm>
                  <a:prstGeom prst="rect">
                    <a:avLst/>
                  </a:prstGeom>
                </pic:spPr>
              </pic:pic>
            </a:graphicData>
          </a:graphic>
        </wp:inline>
      </w:drawing>
    </w:r>
  </w:p>
</w:hdr>
</file>

<file path=word/header5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市委办、</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9"/>
      </w:rPr>
      <w:t>市政府办文件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《固原市人民政府公</w:t>
    </w:r>
    <w:r>
      <w:rPr>
        <w:rFonts w:ascii="Microsoft YaHei" w:hAnsi="Microsoft YaHei" w:eastAsia="Microsoft YaHei" w:cs="Microsoft YaHei"/>
        <w:sz w:val="20"/>
        <w:szCs w:val="20"/>
        <w:spacing w:val="8"/>
      </w:rPr>
      <w:t>报》</w:t>
    </w:r>
  </w:p>
  <w:p>
    <w:pPr>
      <w:ind w:firstLine="23"/>
      <w:spacing w:line="20" w:lineRule="exact"/>
      <w:rPr/>
    </w:pPr>
    <w:r>
      <w:rPr/>
      <w:drawing>
        <wp:inline distT="0" distB="0" distL="0" distR="0">
          <wp:extent cx="5579745" cy="12700"/>
          <wp:effectExtent l="0" t="0" r="0" b="0"/>
          <wp:docPr id="696" name="IM 696"/>
          <wp:cNvGraphicFramePr/>
          <a:graphic>
            <a:graphicData uri="http://schemas.openxmlformats.org/drawingml/2006/picture">
              <pic:pic>
                <pic:nvPicPr>
                  <pic:cNvPr id="696" name="IM 696"/>
                  <pic:cNvPicPr/>
                </pic:nvPicPr>
                <pic:blipFill>
                  <a:blip r:embed="rId1"/>
                  <a:stretch>
                    <a:fillRect/>
                  </a:stretch>
                </pic:blipFill>
                <pic:spPr>
                  <a:xfrm rot="0">
                    <a:off x="0" y="0"/>
                    <a:ext cx="5579745" cy="12700"/>
                  </a:xfrm>
                  <a:prstGeom prst="rect">
                    <a:avLst/>
                  </a:prstGeom>
                </pic:spPr>
              </pic:pic>
            </a:graphicData>
          </a:graphic>
        </wp:inline>
      </w:drawing>
    </w:r>
  </w:p>
</w:hdr>
</file>

<file path=word/header5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市委办、</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8"/>
      </w:rPr>
      <w:t>市政府办文件</w:t>
    </w:r>
  </w:p>
  <w:p>
    <w:pPr>
      <w:ind w:firstLine="8"/>
      <w:spacing w:line="20" w:lineRule="exact"/>
      <w:rPr/>
    </w:pPr>
    <w:r>
      <w:rPr/>
      <w:drawing>
        <wp:inline distT="0" distB="0" distL="0" distR="0">
          <wp:extent cx="5579745" cy="12700"/>
          <wp:effectExtent l="0" t="0" r="0" b="0"/>
          <wp:docPr id="702" name="IM 702"/>
          <wp:cNvGraphicFramePr/>
          <a:graphic>
            <a:graphicData uri="http://schemas.openxmlformats.org/drawingml/2006/picture">
              <pic:pic>
                <pic:nvPicPr>
                  <pic:cNvPr id="702" name="IM 702"/>
                  <pic:cNvPicPr/>
                </pic:nvPicPr>
                <pic:blipFill>
                  <a:blip r:embed="rId1"/>
                  <a:stretch>
                    <a:fillRect/>
                  </a:stretch>
                </pic:blipFill>
                <pic:spPr>
                  <a:xfrm rot="0">
                    <a:off x="0" y="0"/>
                    <a:ext cx="5579745" cy="12700"/>
                  </a:xfrm>
                  <a:prstGeom prst="rect">
                    <a:avLst/>
                  </a:prstGeom>
                </pic:spPr>
              </pic:pic>
            </a:graphicData>
          </a:graphic>
        </wp:inline>
      </w:drawing>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7"/>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市政府文件</w:t>
    </w:r>
  </w:p>
  <w:p>
    <w:pPr>
      <w:spacing w:line="71" w:lineRule="exact"/>
      <w:rPr/>
    </w:pPr>
    <w:r>
      <w:rPr>
        <w:position w:val="-1"/>
      </w:rPr>
      <w:drawing>
        <wp:inline distT="0" distB="0" distL="0" distR="0">
          <wp:extent cx="5579744" cy="45719"/>
          <wp:effectExtent l="0" t="0" r="0" b="0"/>
          <wp:docPr id="28" name="IM 28"/>
          <wp:cNvGraphicFramePr/>
          <a:graphic>
            <a:graphicData uri="http://schemas.openxmlformats.org/drawingml/2006/picture">
              <pic:pic>
                <pic:nvPicPr>
                  <pic:cNvPr id="28" name="IM 28"/>
                  <pic:cNvPicPr/>
                </pic:nvPicPr>
                <pic:blipFill>
                  <a:blip r:embed="rId1"/>
                  <a:stretch>
                    <a:fillRect/>
                  </a:stretch>
                </pic:blipFill>
                <pic:spPr>
                  <a:xfrm rot="0">
                    <a:off x="0" y="0"/>
                    <a:ext cx="5579744" cy="45719"/>
                  </a:xfrm>
                  <a:prstGeom prst="rect">
                    <a:avLst/>
                  </a:prstGeom>
                </pic:spPr>
              </pic:pic>
            </a:graphicData>
          </a:graphic>
        </wp:inline>
      </w:drawing>
    </w:r>
  </w:p>
</w:hdr>
</file>

<file path=word/header6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市委办、</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9"/>
      </w:rPr>
      <w:t>市政府办文件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《固原市人民政府公</w:t>
    </w:r>
    <w:r>
      <w:rPr>
        <w:rFonts w:ascii="Microsoft YaHei" w:hAnsi="Microsoft YaHei" w:eastAsia="Microsoft YaHei" w:cs="Microsoft YaHei"/>
        <w:sz w:val="20"/>
        <w:szCs w:val="20"/>
        <w:spacing w:val="8"/>
      </w:rPr>
      <w:t>报》</w:t>
    </w:r>
  </w:p>
  <w:p>
    <w:pPr>
      <w:ind w:firstLine="23"/>
      <w:spacing w:line="20" w:lineRule="exact"/>
      <w:rPr/>
    </w:pPr>
    <w:r>
      <w:rPr/>
      <w:drawing>
        <wp:inline distT="0" distB="0" distL="0" distR="0">
          <wp:extent cx="5579745" cy="12700"/>
          <wp:effectExtent l="0" t="0" r="0" b="0"/>
          <wp:docPr id="708" name="IM 708"/>
          <wp:cNvGraphicFramePr/>
          <a:graphic>
            <a:graphicData uri="http://schemas.openxmlformats.org/drawingml/2006/picture">
              <pic:pic>
                <pic:nvPicPr>
                  <pic:cNvPr id="708" name="IM 708"/>
                  <pic:cNvPicPr/>
                </pic:nvPicPr>
                <pic:blipFill>
                  <a:blip r:embed="rId1"/>
                  <a:stretch>
                    <a:fillRect/>
                  </a:stretch>
                </pic:blipFill>
                <pic:spPr>
                  <a:xfrm rot="0">
                    <a:off x="0" y="0"/>
                    <a:ext cx="5579745" cy="12700"/>
                  </a:xfrm>
                  <a:prstGeom prst="rect">
                    <a:avLst/>
                  </a:prstGeom>
                </pic:spPr>
              </pic:pic>
            </a:graphicData>
          </a:graphic>
        </wp:inline>
      </w:drawing>
    </w:r>
  </w:p>
</w:hdr>
</file>

<file path=word/header6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1"/>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市委办、</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8"/>
      </w:rPr>
      <w:t>市政府办文件</w:t>
    </w:r>
  </w:p>
  <w:p>
    <w:pPr>
      <w:ind w:firstLine="119"/>
      <w:spacing w:line="20" w:lineRule="exact"/>
      <w:rPr/>
    </w:pPr>
    <w:r>
      <w:rPr/>
      <w:drawing>
        <wp:inline distT="0" distB="0" distL="0" distR="0">
          <wp:extent cx="8712200" cy="12700"/>
          <wp:effectExtent l="0" t="0" r="0" b="0"/>
          <wp:docPr id="714" name="IM 714"/>
          <wp:cNvGraphicFramePr/>
          <a:graphic>
            <a:graphicData uri="http://schemas.openxmlformats.org/drawingml/2006/picture">
              <pic:pic>
                <pic:nvPicPr>
                  <pic:cNvPr id="714" name="IM 714"/>
                  <pic:cNvPicPr/>
                </pic:nvPicPr>
                <pic:blipFill>
                  <a:blip r:embed="rId1"/>
                  <a:stretch>
                    <a:fillRect/>
                  </a:stretch>
                </pic:blipFill>
                <pic:spPr>
                  <a:xfrm rot="0">
                    <a:off x="0" y="0"/>
                    <a:ext cx="8712200" cy="12700"/>
                  </a:xfrm>
                  <a:prstGeom prst="rect">
                    <a:avLst/>
                  </a:prstGeom>
                </pic:spPr>
              </pic:pic>
            </a:graphicData>
          </a:graphic>
        </wp:inline>
      </w:drawing>
    </w:r>
  </w:p>
</w:hdr>
</file>

<file path=word/header6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7"/>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市委办、</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9"/>
      </w:rPr>
      <w:t>市政府办文件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《固原市人民政府公</w:t>
    </w:r>
    <w:r>
      <w:rPr>
        <w:rFonts w:ascii="Microsoft YaHei" w:hAnsi="Microsoft YaHei" w:eastAsia="Microsoft YaHei" w:cs="Microsoft YaHei"/>
        <w:sz w:val="20"/>
        <w:szCs w:val="20"/>
        <w:spacing w:val="8"/>
      </w:rPr>
      <w:t>报》</w:t>
    </w:r>
  </w:p>
  <w:p>
    <w:pPr>
      <w:ind w:firstLine="124"/>
      <w:spacing w:line="20" w:lineRule="exact"/>
      <w:rPr/>
    </w:pPr>
    <w:r>
      <w:rPr/>
      <w:drawing>
        <wp:inline distT="0" distB="0" distL="0" distR="0">
          <wp:extent cx="8712200" cy="12700"/>
          <wp:effectExtent l="0" t="0" r="0" b="0"/>
          <wp:docPr id="720" name="IM 720"/>
          <wp:cNvGraphicFramePr/>
          <a:graphic>
            <a:graphicData uri="http://schemas.openxmlformats.org/drawingml/2006/picture">
              <pic:pic>
                <pic:nvPicPr>
                  <pic:cNvPr id="720" name="IM 720"/>
                  <pic:cNvPicPr/>
                </pic:nvPicPr>
                <pic:blipFill>
                  <a:blip r:embed="rId1"/>
                  <a:stretch>
                    <a:fillRect/>
                  </a:stretch>
                </pic:blipFill>
                <pic:spPr>
                  <a:xfrm rot="0">
                    <a:off x="0" y="0"/>
                    <a:ext cx="8712200" cy="12700"/>
                  </a:xfrm>
                  <a:prstGeom prst="rect">
                    <a:avLst/>
                  </a:prstGeom>
                </pic:spPr>
              </pic:pic>
            </a:graphicData>
          </a:graphic>
        </wp:inline>
      </w:drawing>
    </w:r>
  </w:p>
</w:hdr>
</file>

<file path=word/header6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6"/>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市委办、</w:t>
    </w:r>
    <w:r>
      <w:rPr>
        <w:rFonts w:ascii="Microsoft YaHei" w:hAnsi="Microsoft YaHei" w:eastAsia="Microsoft YaHei" w:cs="Microsoft YaHei"/>
        <w:sz w:val="20"/>
        <w:szCs w:val="20"/>
        <w:spacing w:val="-30"/>
      </w:rPr>
      <w:t xml:space="preserve"> </w:t>
    </w:r>
    <w:r>
      <w:rPr>
        <w:rFonts w:ascii="Microsoft YaHei" w:hAnsi="Microsoft YaHei" w:eastAsia="Microsoft YaHei" w:cs="Microsoft YaHei"/>
        <w:sz w:val="20"/>
        <w:szCs w:val="20"/>
        <w:spacing w:val="8"/>
      </w:rPr>
      <w:t>市政府办文件</w:t>
    </w:r>
  </w:p>
  <w:p>
    <w:pPr>
      <w:ind w:firstLine="124"/>
      <w:spacing w:line="20" w:lineRule="exact"/>
      <w:rPr/>
    </w:pPr>
    <w:r>
      <w:rPr/>
      <w:drawing>
        <wp:inline distT="0" distB="0" distL="0" distR="0">
          <wp:extent cx="8712200" cy="12700"/>
          <wp:effectExtent l="0" t="0" r="0" b="0"/>
          <wp:docPr id="726" name="IM 726"/>
          <wp:cNvGraphicFramePr/>
          <a:graphic>
            <a:graphicData uri="http://schemas.openxmlformats.org/drawingml/2006/picture">
              <pic:pic>
                <pic:nvPicPr>
                  <pic:cNvPr id="726" name="IM 726"/>
                  <pic:cNvPicPr/>
                </pic:nvPicPr>
                <pic:blipFill>
                  <a:blip r:embed="rId1"/>
                  <a:stretch>
                    <a:fillRect/>
                  </a:stretch>
                </pic:blipFill>
                <pic:spPr>
                  <a:xfrm rot="0">
                    <a:off x="0" y="0"/>
                    <a:ext cx="8712200" cy="12700"/>
                  </a:xfrm>
                  <a:prstGeom prst="rect">
                    <a:avLst/>
                  </a:prstGeom>
                </pic:spPr>
              </pic:pic>
            </a:graphicData>
          </a:graphic>
        </wp:inline>
      </w:drawing>
    </w:r>
  </w:p>
</w:hdr>
</file>

<file path=word/header6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7"/>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市委办、</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9"/>
      </w:rPr>
      <w:t>市政府办文件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《固原市人民政府公</w:t>
    </w:r>
    <w:r>
      <w:rPr>
        <w:rFonts w:ascii="Microsoft YaHei" w:hAnsi="Microsoft YaHei" w:eastAsia="Microsoft YaHei" w:cs="Microsoft YaHei"/>
        <w:sz w:val="20"/>
        <w:szCs w:val="20"/>
        <w:spacing w:val="8"/>
      </w:rPr>
      <w:t>报》</w:t>
    </w:r>
  </w:p>
  <w:p>
    <w:pPr>
      <w:ind w:firstLine="124"/>
      <w:spacing w:line="20" w:lineRule="exact"/>
      <w:rPr/>
    </w:pPr>
    <w:r>
      <w:rPr/>
      <w:drawing>
        <wp:inline distT="0" distB="0" distL="0" distR="0">
          <wp:extent cx="8712200" cy="12700"/>
          <wp:effectExtent l="0" t="0" r="0" b="0"/>
          <wp:docPr id="732" name="IM 732"/>
          <wp:cNvGraphicFramePr/>
          <a:graphic>
            <a:graphicData uri="http://schemas.openxmlformats.org/drawingml/2006/picture">
              <pic:pic>
                <pic:nvPicPr>
                  <pic:cNvPr id="732" name="IM 732"/>
                  <pic:cNvPicPr/>
                </pic:nvPicPr>
                <pic:blipFill>
                  <a:blip r:embed="rId1"/>
                  <a:stretch>
                    <a:fillRect/>
                  </a:stretch>
                </pic:blipFill>
                <pic:spPr>
                  <a:xfrm rot="0">
                    <a:off x="0" y="0"/>
                    <a:ext cx="8712200" cy="12700"/>
                  </a:xfrm>
                  <a:prstGeom prst="rect">
                    <a:avLst/>
                  </a:prstGeom>
                </pic:spPr>
              </pic:pic>
            </a:graphicData>
          </a:graphic>
        </wp:inline>
      </w:drawing>
    </w:r>
  </w:p>
</w:hdr>
</file>

<file path=word/header6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6"/>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市委办、</w:t>
    </w:r>
    <w:r>
      <w:rPr>
        <w:rFonts w:ascii="Microsoft YaHei" w:hAnsi="Microsoft YaHei" w:eastAsia="Microsoft YaHei" w:cs="Microsoft YaHei"/>
        <w:sz w:val="20"/>
        <w:szCs w:val="20"/>
        <w:spacing w:val="-33"/>
      </w:rPr>
      <w:t xml:space="preserve"> </w:t>
    </w:r>
    <w:r>
      <w:rPr>
        <w:rFonts w:ascii="Microsoft YaHei" w:hAnsi="Microsoft YaHei" w:eastAsia="Microsoft YaHei" w:cs="Microsoft YaHei"/>
        <w:sz w:val="20"/>
        <w:szCs w:val="20"/>
        <w:spacing w:val="8"/>
      </w:rPr>
      <w:t>市政府办文件</w:t>
    </w:r>
  </w:p>
  <w:p>
    <w:pPr>
      <w:ind w:firstLine="124"/>
      <w:spacing w:line="20" w:lineRule="exact"/>
      <w:rPr/>
    </w:pPr>
    <w:r>
      <w:rPr/>
      <w:drawing>
        <wp:inline distT="0" distB="0" distL="0" distR="0">
          <wp:extent cx="8712200" cy="12700"/>
          <wp:effectExtent l="0" t="0" r="0" b="0"/>
          <wp:docPr id="738" name="IM 738"/>
          <wp:cNvGraphicFramePr/>
          <a:graphic>
            <a:graphicData uri="http://schemas.openxmlformats.org/drawingml/2006/picture">
              <pic:pic>
                <pic:nvPicPr>
                  <pic:cNvPr id="738" name="IM 738"/>
                  <pic:cNvPicPr/>
                </pic:nvPicPr>
                <pic:blipFill>
                  <a:blip r:embed="rId1"/>
                  <a:stretch>
                    <a:fillRect/>
                  </a:stretch>
                </pic:blipFill>
                <pic:spPr>
                  <a:xfrm rot="0">
                    <a:off x="0" y="0"/>
                    <a:ext cx="8712200" cy="12700"/>
                  </a:xfrm>
                  <a:prstGeom prst="rect">
                    <a:avLst/>
                  </a:prstGeom>
                </pic:spPr>
              </pic:pic>
            </a:graphicData>
          </a:graphic>
        </wp:inline>
      </w:drawing>
    </w:r>
  </w:p>
</w:hdr>
</file>

<file path=word/header6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市委办、</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8"/>
      </w:rPr>
      <w:t>市政府办文件</w:t>
    </w:r>
  </w:p>
  <w:p>
    <w:pPr>
      <w:ind w:firstLine="8"/>
      <w:spacing w:line="20" w:lineRule="exact"/>
      <w:rPr/>
    </w:pPr>
    <w:r>
      <w:rPr/>
      <w:drawing>
        <wp:inline distT="0" distB="0" distL="0" distR="0">
          <wp:extent cx="5579745" cy="12700"/>
          <wp:effectExtent l="0" t="0" r="0" b="0"/>
          <wp:docPr id="748" name="IM 748"/>
          <wp:cNvGraphicFramePr/>
          <a:graphic>
            <a:graphicData uri="http://schemas.openxmlformats.org/drawingml/2006/picture">
              <pic:pic>
                <pic:nvPicPr>
                  <pic:cNvPr id="748" name="IM 748"/>
                  <pic:cNvPicPr/>
                </pic:nvPicPr>
                <pic:blipFill>
                  <a:blip r:embed="rId1"/>
                  <a:stretch>
                    <a:fillRect/>
                  </a:stretch>
                </pic:blipFill>
                <pic:spPr>
                  <a:xfrm rot="0">
                    <a:off x="0" y="0"/>
                    <a:ext cx="5579745" cy="12700"/>
                  </a:xfrm>
                  <a:prstGeom prst="rect">
                    <a:avLst/>
                  </a:prstGeom>
                </pic:spPr>
              </pic:pic>
            </a:graphicData>
          </a:graphic>
        </wp:inline>
      </w:drawing>
    </w:r>
  </w:p>
</w:hdr>
</file>

<file path=word/header6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市委办、</w:t>
    </w:r>
    <w:r>
      <w:rPr>
        <w:rFonts w:ascii="Microsoft YaHei" w:hAnsi="Microsoft YaHei" w:eastAsia="Microsoft YaHei" w:cs="Microsoft YaHei"/>
        <w:sz w:val="20"/>
        <w:szCs w:val="20"/>
        <w:spacing w:val="-33"/>
      </w:rPr>
      <w:t xml:space="preserve"> </w:t>
    </w:r>
    <w:r>
      <w:rPr>
        <w:rFonts w:ascii="Microsoft YaHei" w:hAnsi="Microsoft YaHei" w:eastAsia="Microsoft YaHei" w:cs="Microsoft YaHei"/>
        <w:sz w:val="20"/>
        <w:szCs w:val="20"/>
        <w:spacing w:val="8"/>
      </w:rPr>
      <w:t>市政府办文件</w:t>
    </w:r>
  </w:p>
  <w:p>
    <w:pPr>
      <w:ind w:firstLine="8"/>
      <w:spacing w:line="20" w:lineRule="exact"/>
      <w:rPr/>
    </w:pPr>
    <w:r>
      <w:rPr/>
      <w:drawing>
        <wp:inline distT="0" distB="0" distL="0" distR="0">
          <wp:extent cx="5579745" cy="12700"/>
          <wp:effectExtent l="0" t="0" r="0" b="0"/>
          <wp:docPr id="762" name="IM 762"/>
          <wp:cNvGraphicFramePr/>
          <a:graphic>
            <a:graphicData uri="http://schemas.openxmlformats.org/drawingml/2006/picture">
              <pic:pic>
                <pic:nvPicPr>
                  <pic:cNvPr id="762" name="IM 762"/>
                  <pic:cNvPicPr/>
                </pic:nvPicPr>
                <pic:blipFill>
                  <a:blip r:embed="rId1"/>
                  <a:stretch>
                    <a:fillRect/>
                  </a:stretch>
                </pic:blipFill>
                <pic:spPr>
                  <a:xfrm rot="0">
                    <a:off x="0" y="0"/>
                    <a:ext cx="5579745" cy="12700"/>
                  </a:xfrm>
                  <a:prstGeom prst="rect">
                    <a:avLst/>
                  </a:prstGeom>
                </pic:spPr>
              </pic:pic>
            </a:graphicData>
          </a:graphic>
        </wp:inline>
      </w:drawing>
    </w:r>
  </w:p>
</w:hdr>
</file>

<file path=word/header6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《固原市人民政府公报》</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市委办、市政府办文件</w:t>
    </w:r>
  </w:p>
  <w:p>
    <w:pPr>
      <w:ind w:firstLine="60"/>
      <w:spacing w:line="20" w:lineRule="exact"/>
      <w:rPr/>
    </w:pPr>
    <w:r>
      <w:rPr/>
      <w:drawing>
        <wp:inline distT="0" distB="0" distL="0" distR="0">
          <wp:extent cx="8712200" cy="12700"/>
          <wp:effectExtent l="0" t="0" r="0" b="0"/>
          <wp:docPr id="772" name="IM 772"/>
          <wp:cNvGraphicFramePr/>
          <a:graphic>
            <a:graphicData uri="http://schemas.openxmlformats.org/drawingml/2006/picture">
              <pic:pic>
                <pic:nvPicPr>
                  <pic:cNvPr id="772" name="IM 772"/>
                  <pic:cNvPicPr/>
                </pic:nvPicPr>
                <pic:blipFill>
                  <a:blip r:embed="rId1"/>
                  <a:stretch>
                    <a:fillRect/>
                  </a:stretch>
                </pic:blipFill>
                <pic:spPr>
                  <a:xfrm rot="0">
                    <a:off x="0" y="0"/>
                    <a:ext cx="8712200" cy="12700"/>
                  </a:xfrm>
                  <a:prstGeom prst="rect">
                    <a:avLst/>
                  </a:prstGeom>
                </pic:spPr>
              </pic:pic>
            </a:graphicData>
          </a:graphic>
        </wp:inline>
      </w:drawing>
    </w:r>
  </w:p>
</w:hdr>
</file>

<file path=word/header6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205" w:lineRule="auto"/>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10"/>
      </w:rPr>
      <w:t>市委办、市政府办文件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p>
    <w:pPr>
      <w:ind w:firstLine="60"/>
      <w:spacing w:line="20" w:lineRule="exact"/>
      <w:rPr/>
    </w:pPr>
    <w:r>
      <w:rPr/>
      <w:drawing>
        <wp:inline distT="0" distB="0" distL="0" distR="0">
          <wp:extent cx="8712200" cy="12700"/>
          <wp:effectExtent l="0" t="0" r="0" b="0"/>
          <wp:docPr id="778" name="IM 778"/>
          <wp:cNvGraphicFramePr/>
          <a:graphic>
            <a:graphicData uri="http://schemas.openxmlformats.org/drawingml/2006/picture">
              <pic:pic>
                <pic:nvPicPr>
                  <pic:cNvPr id="778" name="IM 778"/>
                  <pic:cNvPicPr/>
                </pic:nvPicPr>
                <pic:blipFill>
                  <a:blip r:embed="rId1"/>
                  <a:stretch>
                    <a:fillRect/>
                  </a:stretch>
                </pic:blipFill>
                <pic:spPr>
                  <a:xfrm rot="0">
                    <a:off x="0" y="0"/>
                    <a:ext cx="8712200" cy="12700"/>
                  </a:xfrm>
                  <a:prstGeom prst="rect">
                    <a:avLst/>
                  </a:prstGeom>
                </pic:spPr>
              </pic:pic>
            </a:graphicData>
          </a:graphic>
        </wp:inline>
      </w:drawing>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205" w:lineRule="auto"/>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10"/>
      </w:rPr>
      <w:t>市政府文件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p>
    <w:pPr>
      <w:ind w:firstLine="28"/>
      <w:spacing w:line="71" w:lineRule="exact"/>
      <w:rPr/>
    </w:pPr>
    <w:r>
      <w:rPr>
        <w:position w:val="-1"/>
      </w:rPr>
      <w:drawing>
        <wp:inline distT="0" distB="0" distL="0" distR="0">
          <wp:extent cx="5579745" cy="45719"/>
          <wp:effectExtent l="0" t="0" r="0" b="0"/>
          <wp:docPr id="32" name="IM 32"/>
          <wp:cNvGraphicFramePr/>
          <a:graphic>
            <a:graphicData uri="http://schemas.openxmlformats.org/drawingml/2006/picture">
              <pic:pic>
                <pic:nvPicPr>
                  <pic:cNvPr id="32" name="IM 32"/>
                  <pic:cNvPicPr/>
                </pic:nvPicPr>
                <pic:blipFill>
                  <a:blip r:embed="rId1"/>
                  <a:stretch>
                    <a:fillRect/>
                  </a:stretch>
                </pic:blipFill>
                <pic:spPr>
                  <a:xfrm rot="0">
                    <a:off x="0" y="0"/>
                    <a:ext cx="5579745" cy="45719"/>
                  </a:xfrm>
                  <a:prstGeom prst="rect">
                    <a:avLst/>
                  </a:prstGeom>
                </pic:spPr>
              </pic:pic>
            </a:graphicData>
          </a:graphic>
        </wp:inline>
      </w:drawing>
    </w:r>
  </w:p>
</w:hdr>
</file>

<file path=word/header7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《固原市人民政府公报》</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市委办、市政府办文件</w:t>
    </w:r>
  </w:p>
  <w:p>
    <w:pPr>
      <w:ind w:firstLine="60"/>
      <w:spacing w:line="20" w:lineRule="exact"/>
      <w:rPr/>
    </w:pPr>
    <w:r>
      <w:rPr/>
      <w:drawing>
        <wp:inline distT="0" distB="0" distL="0" distR="0">
          <wp:extent cx="8712200" cy="12700"/>
          <wp:effectExtent l="0" t="0" r="0" b="0"/>
          <wp:docPr id="784" name="IM 784"/>
          <wp:cNvGraphicFramePr/>
          <a:graphic>
            <a:graphicData uri="http://schemas.openxmlformats.org/drawingml/2006/picture">
              <pic:pic>
                <pic:nvPicPr>
                  <pic:cNvPr id="784" name="IM 784"/>
                  <pic:cNvPicPr/>
                </pic:nvPicPr>
                <pic:blipFill>
                  <a:blip r:embed="rId1"/>
                  <a:stretch>
                    <a:fillRect/>
                  </a:stretch>
                </pic:blipFill>
                <pic:spPr>
                  <a:xfrm rot="0">
                    <a:off x="0" y="0"/>
                    <a:ext cx="8712200" cy="12700"/>
                  </a:xfrm>
                  <a:prstGeom prst="rect">
                    <a:avLst/>
                  </a:prstGeom>
                </pic:spPr>
              </pic:pic>
            </a:graphicData>
          </a:graphic>
        </wp:inline>
      </w:drawing>
    </w:r>
  </w:p>
</w:hdr>
</file>

<file path=word/header7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市委办、市政府办文件</w:t>
    </w:r>
  </w:p>
  <w:p>
    <w:pPr>
      <w:ind w:firstLine="8"/>
      <w:spacing w:line="20" w:lineRule="exact"/>
      <w:rPr/>
    </w:pPr>
    <w:r>
      <w:rPr/>
      <w:drawing>
        <wp:inline distT="0" distB="0" distL="0" distR="0">
          <wp:extent cx="5579745" cy="12700"/>
          <wp:effectExtent l="0" t="0" r="0" b="0"/>
          <wp:docPr id="810" name="IM 810"/>
          <wp:cNvGraphicFramePr/>
          <a:graphic>
            <a:graphicData uri="http://schemas.openxmlformats.org/drawingml/2006/picture">
              <pic:pic>
                <pic:nvPicPr>
                  <pic:cNvPr id="810" name="IM 810"/>
                  <pic:cNvPicPr/>
                </pic:nvPicPr>
                <pic:blipFill>
                  <a:blip r:embed="rId1"/>
                  <a:stretch>
                    <a:fillRect/>
                  </a:stretch>
                </pic:blipFill>
                <pic:spPr>
                  <a:xfrm rot="0">
                    <a:off x="0" y="0"/>
                    <a:ext cx="5579745" cy="12700"/>
                  </a:xfrm>
                  <a:prstGeom prst="rect">
                    <a:avLst/>
                  </a:prstGeom>
                </pic:spPr>
              </pic:pic>
            </a:graphicData>
          </a:graphic>
        </wp:inline>
      </w:drawing>
    </w:r>
  </w:p>
</w:hdr>
</file>

<file path=word/header7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205" w:lineRule="auto"/>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10"/>
      </w:rPr>
      <w:t>市委办、市政府办文件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p>
    <w:pPr>
      <w:ind w:firstLine="23"/>
      <w:spacing w:line="20" w:lineRule="exact"/>
      <w:rPr/>
    </w:pPr>
    <w:r>
      <w:rPr/>
      <w:drawing>
        <wp:inline distT="0" distB="0" distL="0" distR="0">
          <wp:extent cx="5579745" cy="12700"/>
          <wp:effectExtent l="0" t="0" r="0" b="0"/>
          <wp:docPr id="816" name="IM 816"/>
          <wp:cNvGraphicFramePr/>
          <a:graphic>
            <a:graphicData uri="http://schemas.openxmlformats.org/drawingml/2006/picture">
              <pic:pic>
                <pic:nvPicPr>
                  <pic:cNvPr id="816" name="IM 816"/>
                  <pic:cNvPicPr/>
                </pic:nvPicPr>
                <pic:blipFill>
                  <a:blip r:embed="rId1"/>
                  <a:stretch>
                    <a:fillRect/>
                  </a:stretch>
                </pic:blipFill>
                <pic:spPr>
                  <a:xfrm rot="0">
                    <a:off x="0" y="0"/>
                    <a:ext cx="5579745" cy="12700"/>
                  </a:xfrm>
                  <a:prstGeom prst="rect">
                    <a:avLst/>
                  </a:prstGeom>
                </pic:spPr>
              </pic:pic>
            </a:graphicData>
          </a:graphic>
        </wp:inline>
      </w:drawing>
    </w:r>
  </w:p>
</w:hdr>
</file>

<file path=word/header7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市委办、市政府办文件</w:t>
    </w:r>
  </w:p>
  <w:p>
    <w:pPr>
      <w:ind w:firstLine="8"/>
      <w:spacing w:line="20" w:lineRule="exact"/>
      <w:rPr/>
    </w:pPr>
    <w:r>
      <w:rPr/>
      <w:drawing>
        <wp:inline distT="0" distB="0" distL="0" distR="0">
          <wp:extent cx="5579745" cy="12700"/>
          <wp:effectExtent l="0" t="0" r="0" b="0"/>
          <wp:docPr id="822" name="IM 822"/>
          <wp:cNvGraphicFramePr/>
          <a:graphic>
            <a:graphicData uri="http://schemas.openxmlformats.org/drawingml/2006/picture">
              <pic:pic>
                <pic:nvPicPr>
                  <pic:cNvPr id="822" name="IM 822"/>
                  <pic:cNvPicPr/>
                </pic:nvPicPr>
                <pic:blipFill>
                  <a:blip r:embed="rId1"/>
                  <a:stretch>
                    <a:fillRect/>
                  </a:stretch>
                </pic:blipFill>
                <pic:spPr>
                  <a:xfrm rot="0">
                    <a:off x="0" y="0"/>
                    <a:ext cx="5579745" cy="12700"/>
                  </a:xfrm>
                  <a:prstGeom prst="rect">
                    <a:avLst/>
                  </a:prstGeom>
                </pic:spPr>
              </pic:pic>
            </a:graphicData>
          </a:graphic>
        </wp:inline>
      </w:drawing>
    </w:r>
  </w:p>
</w:hdr>
</file>

<file path=word/header7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3"/>
      <w:spacing w:before="40" w:line="19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《固原市人民政府公报》</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市委办、市政府办文件</w:t>
    </w:r>
  </w:p>
  <w:p>
    <w:pPr>
      <w:ind w:firstLine="122"/>
      <w:spacing w:line="20" w:lineRule="exact"/>
      <w:rPr/>
    </w:pPr>
    <w:r>
      <w:rPr/>
      <w:drawing>
        <wp:inline distT="0" distB="0" distL="0" distR="0">
          <wp:extent cx="8712200" cy="12700"/>
          <wp:effectExtent l="0" t="0" r="0" b="0"/>
          <wp:docPr id="832" name="IM 832"/>
          <wp:cNvGraphicFramePr/>
          <a:graphic>
            <a:graphicData uri="http://schemas.openxmlformats.org/drawingml/2006/picture">
              <pic:pic>
                <pic:nvPicPr>
                  <pic:cNvPr id="832" name="IM 832"/>
                  <pic:cNvPicPr/>
                </pic:nvPicPr>
                <pic:blipFill>
                  <a:blip r:embed="rId1"/>
                  <a:stretch>
                    <a:fillRect/>
                  </a:stretch>
                </pic:blipFill>
                <pic:spPr>
                  <a:xfrm rot="0">
                    <a:off x="0" y="0"/>
                    <a:ext cx="8712200" cy="12700"/>
                  </a:xfrm>
                  <a:prstGeom prst="rect">
                    <a:avLst/>
                  </a:prstGeom>
                </pic:spPr>
              </pic:pic>
            </a:graphicData>
          </a:graphic>
        </wp:inline>
      </w:drawing>
    </w:r>
  </w:p>
</w:hdr>
</file>

<file path=word/header7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5"/>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0"/>
      </w:rPr>
      <w:t>市委办、市政府办文件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p>
    <w:pPr>
      <w:ind w:firstLine="122"/>
      <w:spacing w:line="20" w:lineRule="exact"/>
      <w:rPr/>
    </w:pPr>
    <w:r>
      <w:rPr/>
      <w:drawing>
        <wp:inline distT="0" distB="0" distL="0" distR="0">
          <wp:extent cx="8712200" cy="12700"/>
          <wp:effectExtent l="0" t="0" r="0" b="0"/>
          <wp:docPr id="838" name="IM 838"/>
          <wp:cNvGraphicFramePr/>
          <a:graphic>
            <a:graphicData uri="http://schemas.openxmlformats.org/drawingml/2006/picture">
              <pic:pic>
                <pic:nvPicPr>
                  <pic:cNvPr id="838" name="IM 838"/>
                  <pic:cNvPicPr/>
                </pic:nvPicPr>
                <pic:blipFill>
                  <a:blip r:embed="rId1"/>
                  <a:stretch>
                    <a:fillRect/>
                  </a:stretch>
                </pic:blipFill>
                <pic:spPr>
                  <a:xfrm rot="0">
                    <a:off x="0" y="0"/>
                    <a:ext cx="8712200" cy="12700"/>
                  </a:xfrm>
                  <a:prstGeom prst="rect">
                    <a:avLst/>
                  </a:prstGeom>
                </pic:spPr>
              </pic:pic>
            </a:graphicData>
          </a:graphic>
        </wp:inline>
      </w:drawing>
    </w:r>
  </w:p>
</w:hdr>
</file>

<file path=word/header7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3"/>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市委办、市政府办文件</w:t>
    </w:r>
  </w:p>
  <w:p>
    <w:pPr>
      <w:ind w:firstLine="122"/>
      <w:spacing w:line="20" w:lineRule="exact"/>
      <w:rPr/>
    </w:pPr>
    <w:r>
      <w:rPr/>
      <w:drawing>
        <wp:inline distT="0" distB="0" distL="0" distR="0">
          <wp:extent cx="8712200" cy="12700"/>
          <wp:effectExtent l="0" t="0" r="0" b="0"/>
          <wp:docPr id="844" name="IM 844"/>
          <wp:cNvGraphicFramePr/>
          <a:graphic>
            <a:graphicData uri="http://schemas.openxmlformats.org/drawingml/2006/picture">
              <pic:pic>
                <pic:nvPicPr>
                  <pic:cNvPr id="844" name="IM 844"/>
                  <pic:cNvPicPr/>
                </pic:nvPicPr>
                <pic:blipFill>
                  <a:blip r:embed="rId1"/>
                  <a:stretch>
                    <a:fillRect/>
                  </a:stretch>
                </pic:blipFill>
                <pic:spPr>
                  <a:xfrm rot="0">
                    <a:off x="0" y="0"/>
                    <a:ext cx="8712200" cy="12700"/>
                  </a:xfrm>
                  <a:prstGeom prst="rect">
                    <a:avLst/>
                  </a:prstGeom>
                </pic:spPr>
              </pic:pic>
            </a:graphicData>
          </a:graphic>
        </wp:inline>
      </w:drawing>
    </w:r>
  </w:p>
</w:hdr>
</file>

<file path=word/header7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5"/>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0"/>
      </w:rPr>
      <w:t>市委办、市政府办文件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p>
    <w:pPr>
      <w:ind w:firstLine="122"/>
      <w:spacing w:line="20" w:lineRule="exact"/>
      <w:rPr/>
    </w:pPr>
    <w:r>
      <w:rPr/>
      <w:drawing>
        <wp:inline distT="0" distB="0" distL="0" distR="0">
          <wp:extent cx="8712200" cy="12700"/>
          <wp:effectExtent l="0" t="0" r="0" b="0"/>
          <wp:docPr id="850" name="IM 850"/>
          <wp:cNvGraphicFramePr/>
          <a:graphic>
            <a:graphicData uri="http://schemas.openxmlformats.org/drawingml/2006/picture">
              <pic:pic>
                <pic:nvPicPr>
                  <pic:cNvPr id="850" name="IM 850"/>
                  <pic:cNvPicPr/>
                </pic:nvPicPr>
                <pic:blipFill>
                  <a:blip r:embed="rId1"/>
                  <a:stretch>
                    <a:fillRect/>
                  </a:stretch>
                </pic:blipFill>
                <pic:spPr>
                  <a:xfrm rot="0">
                    <a:off x="0" y="0"/>
                    <a:ext cx="8712200" cy="12700"/>
                  </a:xfrm>
                  <a:prstGeom prst="rect">
                    <a:avLst/>
                  </a:prstGeom>
                </pic:spPr>
              </pic:pic>
            </a:graphicData>
          </a:graphic>
        </wp:inline>
      </w:drawing>
    </w:r>
  </w:p>
</w:hdr>
</file>

<file path=word/header7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13"/>
      <w:spacing w:before="37" w:line="19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市委办、市政府办文件</w:t>
    </w:r>
  </w:p>
  <w:p>
    <w:pPr>
      <w:ind w:firstLine="122"/>
      <w:spacing w:line="20" w:lineRule="exact"/>
      <w:rPr/>
    </w:pPr>
    <w:r>
      <w:rPr/>
      <w:drawing>
        <wp:inline distT="0" distB="0" distL="0" distR="0">
          <wp:extent cx="8712200" cy="12700"/>
          <wp:effectExtent l="0" t="0" r="0" b="0"/>
          <wp:docPr id="856" name="IM 856"/>
          <wp:cNvGraphicFramePr/>
          <a:graphic>
            <a:graphicData uri="http://schemas.openxmlformats.org/drawingml/2006/picture">
              <pic:pic>
                <pic:nvPicPr>
                  <pic:cNvPr id="856" name="IM 856"/>
                  <pic:cNvPicPr/>
                </pic:nvPicPr>
                <pic:blipFill>
                  <a:blip r:embed="rId1"/>
                  <a:stretch>
                    <a:fillRect/>
                  </a:stretch>
                </pic:blipFill>
                <pic:spPr>
                  <a:xfrm rot="0">
                    <a:off x="0" y="0"/>
                    <a:ext cx="8712200" cy="12700"/>
                  </a:xfrm>
                  <a:prstGeom prst="rect">
                    <a:avLst/>
                  </a:prstGeom>
                </pic:spPr>
              </pic:pic>
            </a:graphicData>
          </a:graphic>
        </wp:inline>
      </w:drawing>
    </w:r>
  </w:p>
</w:hdr>
</file>

<file path=word/header7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0"/>
      </w:rPr>
      <w:t>市委办、市政府办文件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p>
    <w:pPr>
      <w:ind w:firstLine="23"/>
      <w:spacing w:line="20" w:lineRule="exact"/>
      <w:rPr/>
    </w:pPr>
    <w:r>
      <w:rPr/>
      <w:drawing>
        <wp:inline distT="0" distB="0" distL="0" distR="0">
          <wp:extent cx="5579745" cy="12700"/>
          <wp:effectExtent l="0" t="0" r="0" b="0"/>
          <wp:docPr id="862" name="IM 862"/>
          <wp:cNvGraphicFramePr/>
          <a:graphic>
            <a:graphicData uri="http://schemas.openxmlformats.org/drawingml/2006/picture">
              <pic:pic>
                <pic:nvPicPr>
                  <pic:cNvPr id="862" name="IM 862"/>
                  <pic:cNvPicPr/>
                </pic:nvPicPr>
                <pic:blipFill>
                  <a:blip r:embed="rId1"/>
                  <a:stretch>
                    <a:fillRect/>
                  </a:stretch>
                </pic:blipFill>
                <pic:spPr>
                  <a:xfrm rot="0">
                    <a:off x="0" y="0"/>
                    <a:ext cx="5579745" cy="12700"/>
                  </a:xfrm>
                  <a:prstGeom prst="rect">
                    <a:avLst/>
                  </a:prstGeom>
                </pic:spPr>
              </pic:pic>
            </a:graphicData>
          </a:graphic>
        </wp:inline>
      </w:drawing>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9"/>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市政府文件</w:t>
    </w:r>
  </w:p>
  <w:p>
    <w:pPr>
      <w:ind w:firstLine="117"/>
      <w:spacing w:line="72" w:lineRule="exact"/>
      <w:rPr/>
    </w:pPr>
    <w:r>
      <w:rPr>
        <w:position w:val="-1"/>
      </w:rPr>
      <w:drawing>
        <wp:inline distT="0" distB="0" distL="0" distR="0">
          <wp:extent cx="5579745" cy="45720"/>
          <wp:effectExtent l="0" t="0" r="0" b="0"/>
          <wp:docPr id="36" name="IM 36"/>
          <wp:cNvGraphicFramePr/>
          <a:graphic>
            <a:graphicData uri="http://schemas.openxmlformats.org/drawingml/2006/picture">
              <pic:pic>
                <pic:nvPicPr>
                  <pic:cNvPr id="36" name="IM 36"/>
                  <pic:cNvPicPr/>
                </pic:nvPicPr>
                <pic:blipFill>
                  <a:blip r:embed="rId1"/>
                  <a:stretch>
                    <a:fillRect/>
                  </a:stretch>
                </pic:blipFill>
                <pic:spPr>
                  <a:xfrm rot="0">
                    <a:off x="0" y="0"/>
                    <a:ext cx="5579745" cy="45720"/>
                  </a:xfrm>
                  <a:prstGeom prst="rect">
                    <a:avLst/>
                  </a:prstGeom>
                </pic:spPr>
              </pic:pic>
            </a:graphicData>
          </a:graphic>
        </wp:inline>
      </w:drawing>
    </w:r>
  </w:p>
</w:hdr>
</file>

<file path=word/header8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市委办、市政府办文件</w:t>
    </w:r>
  </w:p>
  <w:p>
    <w:pPr>
      <w:ind w:firstLine="8"/>
      <w:spacing w:line="20" w:lineRule="exact"/>
      <w:rPr/>
    </w:pPr>
    <w:r>
      <w:rPr/>
      <w:drawing>
        <wp:inline distT="0" distB="0" distL="0" distR="0">
          <wp:extent cx="5579745" cy="12700"/>
          <wp:effectExtent l="0" t="0" r="0" b="0"/>
          <wp:docPr id="868" name="IM 868"/>
          <wp:cNvGraphicFramePr/>
          <a:graphic>
            <a:graphicData uri="http://schemas.openxmlformats.org/drawingml/2006/picture">
              <pic:pic>
                <pic:nvPicPr>
                  <pic:cNvPr id="868" name="IM 868"/>
                  <pic:cNvPicPr/>
                </pic:nvPicPr>
                <pic:blipFill>
                  <a:blip r:embed="rId1"/>
                  <a:stretch>
                    <a:fillRect/>
                  </a:stretch>
                </pic:blipFill>
                <pic:spPr>
                  <a:xfrm rot="0">
                    <a:off x="0" y="0"/>
                    <a:ext cx="5579745" cy="12700"/>
                  </a:xfrm>
                  <a:prstGeom prst="rect">
                    <a:avLst/>
                  </a:prstGeom>
                </pic:spPr>
              </pic:pic>
            </a:graphicData>
          </a:graphic>
        </wp:inline>
      </w:drawing>
    </w:r>
  </w:p>
</w:hdr>
</file>

<file path=word/header8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0"/>
      </w:rPr>
      <w:t>市委办、市政府办文件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p>
    <w:pPr>
      <w:ind w:firstLine="23"/>
      <w:spacing w:line="20" w:lineRule="exact"/>
      <w:rPr/>
    </w:pPr>
    <w:r>
      <w:rPr/>
      <w:drawing>
        <wp:inline distT="0" distB="0" distL="0" distR="0">
          <wp:extent cx="5579745" cy="12700"/>
          <wp:effectExtent l="0" t="0" r="0" b="0"/>
          <wp:docPr id="874" name="IM 874"/>
          <wp:cNvGraphicFramePr/>
          <a:graphic>
            <a:graphicData uri="http://schemas.openxmlformats.org/drawingml/2006/picture">
              <pic:pic>
                <pic:nvPicPr>
                  <pic:cNvPr id="874" name="IM 874"/>
                  <pic:cNvPicPr/>
                </pic:nvPicPr>
                <pic:blipFill>
                  <a:blip r:embed="rId1"/>
                  <a:stretch>
                    <a:fillRect/>
                  </a:stretch>
                </pic:blipFill>
                <pic:spPr>
                  <a:xfrm rot="0">
                    <a:off x="0" y="0"/>
                    <a:ext cx="5579745" cy="12700"/>
                  </a:xfrm>
                  <a:prstGeom prst="rect">
                    <a:avLst/>
                  </a:prstGeom>
                </pic:spPr>
              </pic:pic>
            </a:graphicData>
          </a:graphic>
        </wp:inline>
      </w:drawing>
    </w:r>
  </w:p>
</w:hdr>
</file>

<file path=word/header8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9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市委办、市政府办文件</w:t>
    </w:r>
  </w:p>
  <w:p>
    <w:pPr>
      <w:ind w:firstLine="8"/>
      <w:spacing w:line="20" w:lineRule="exact"/>
      <w:rPr/>
    </w:pPr>
    <w:r>
      <w:rPr/>
      <w:drawing>
        <wp:inline distT="0" distB="0" distL="0" distR="0">
          <wp:extent cx="5579745" cy="12700"/>
          <wp:effectExtent l="0" t="0" r="0" b="0"/>
          <wp:docPr id="880" name="IM 880"/>
          <wp:cNvGraphicFramePr/>
          <a:graphic>
            <a:graphicData uri="http://schemas.openxmlformats.org/drawingml/2006/picture">
              <pic:pic>
                <pic:nvPicPr>
                  <pic:cNvPr id="880" name="IM 880"/>
                  <pic:cNvPicPr/>
                </pic:nvPicPr>
                <pic:blipFill>
                  <a:blip r:embed="rId1"/>
                  <a:stretch>
                    <a:fillRect/>
                  </a:stretch>
                </pic:blipFill>
                <pic:spPr>
                  <a:xfrm rot="0">
                    <a:off x="0" y="0"/>
                    <a:ext cx="5579745" cy="12700"/>
                  </a:xfrm>
                  <a:prstGeom prst="rect">
                    <a:avLst/>
                  </a:prstGeom>
                </pic:spPr>
              </pic:pic>
            </a:graphicData>
          </a:graphic>
        </wp:inline>
      </w:drawing>
    </w:r>
  </w:p>
</w:hdr>
</file>

<file path=word/header8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市委办、</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9"/>
      </w:rPr>
      <w:t>市政府办文件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《固原市人民政府公</w:t>
    </w:r>
    <w:r>
      <w:rPr>
        <w:rFonts w:ascii="Microsoft YaHei" w:hAnsi="Microsoft YaHei" w:eastAsia="Microsoft YaHei" w:cs="Microsoft YaHei"/>
        <w:sz w:val="20"/>
        <w:szCs w:val="20"/>
        <w:spacing w:val="8"/>
      </w:rPr>
      <w:t>报》</w:t>
    </w:r>
  </w:p>
  <w:p>
    <w:pPr>
      <w:ind w:firstLine="23"/>
      <w:spacing w:line="20" w:lineRule="exact"/>
      <w:rPr/>
    </w:pPr>
    <w:r>
      <w:rPr/>
      <w:drawing>
        <wp:inline distT="0" distB="0" distL="0" distR="0">
          <wp:extent cx="5579745" cy="12700"/>
          <wp:effectExtent l="0" t="0" r="0" b="0"/>
          <wp:docPr id="886" name="IM 886"/>
          <wp:cNvGraphicFramePr/>
          <a:graphic>
            <a:graphicData uri="http://schemas.openxmlformats.org/drawingml/2006/picture">
              <pic:pic>
                <pic:nvPicPr>
                  <pic:cNvPr id="886" name="IM 886"/>
                  <pic:cNvPicPr/>
                </pic:nvPicPr>
                <pic:blipFill>
                  <a:blip r:embed="rId1"/>
                  <a:stretch>
                    <a:fillRect/>
                  </a:stretch>
                </pic:blipFill>
                <pic:spPr>
                  <a:xfrm rot="0">
                    <a:off x="0" y="0"/>
                    <a:ext cx="5579745" cy="12700"/>
                  </a:xfrm>
                  <a:prstGeom prst="rect">
                    <a:avLst/>
                  </a:prstGeom>
                </pic:spPr>
              </pic:pic>
            </a:graphicData>
          </a:graphic>
        </wp:inline>
      </w:drawing>
    </w:r>
  </w:p>
</w:hdr>
</file>

<file path=word/header8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市委办、</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8"/>
      </w:rPr>
      <w:t>市政府办文件</w:t>
    </w:r>
  </w:p>
  <w:p>
    <w:pPr>
      <w:ind w:firstLine="8"/>
      <w:spacing w:line="20" w:lineRule="exact"/>
      <w:rPr/>
    </w:pPr>
    <w:r>
      <w:rPr/>
      <w:drawing>
        <wp:inline distT="0" distB="0" distL="0" distR="0">
          <wp:extent cx="5579745" cy="12700"/>
          <wp:effectExtent l="0" t="0" r="0" b="0"/>
          <wp:docPr id="892" name="IM 892"/>
          <wp:cNvGraphicFramePr/>
          <a:graphic>
            <a:graphicData uri="http://schemas.openxmlformats.org/drawingml/2006/picture">
              <pic:pic>
                <pic:nvPicPr>
                  <pic:cNvPr id="892" name="IM 892"/>
                  <pic:cNvPicPr/>
                </pic:nvPicPr>
                <pic:blipFill>
                  <a:blip r:embed="rId1"/>
                  <a:stretch>
                    <a:fillRect/>
                  </a:stretch>
                </pic:blipFill>
                <pic:spPr>
                  <a:xfrm rot="0">
                    <a:off x="0" y="0"/>
                    <a:ext cx="5579745" cy="12700"/>
                  </a:xfrm>
                  <a:prstGeom prst="rect">
                    <a:avLst/>
                  </a:prstGeom>
                </pic:spPr>
              </pic:pic>
            </a:graphicData>
          </a:graphic>
        </wp:inline>
      </w:drawing>
    </w:r>
  </w:p>
</w:hdr>
</file>

<file path=word/header8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市委办、</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9"/>
      </w:rPr>
      <w:t>市政府办文件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《固原市人民政府公</w:t>
    </w:r>
    <w:r>
      <w:rPr>
        <w:rFonts w:ascii="Microsoft YaHei" w:hAnsi="Microsoft YaHei" w:eastAsia="Microsoft YaHei" w:cs="Microsoft YaHei"/>
        <w:sz w:val="20"/>
        <w:szCs w:val="20"/>
        <w:spacing w:val="8"/>
      </w:rPr>
      <w:t>报》</w:t>
    </w:r>
  </w:p>
  <w:p>
    <w:pPr>
      <w:ind w:firstLine="23"/>
      <w:spacing w:line="20" w:lineRule="exact"/>
      <w:rPr/>
    </w:pPr>
    <w:r>
      <w:rPr/>
      <w:drawing>
        <wp:inline distT="0" distB="0" distL="0" distR="0">
          <wp:extent cx="5579745" cy="12700"/>
          <wp:effectExtent l="0" t="0" r="0" b="0"/>
          <wp:docPr id="898" name="IM 898"/>
          <wp:cNvGraphicFramePr/>
          <a:graphic>
            <a:graphicData uri="http://schemas.openxmlformats.org/drawingml/2006/picture">
              <pic:pic>
                <pic:nvPicPr>
                  <pic:cNvPr id="898" name="IM 898"/>
                  <pic:cNvPicPr/>
                </pic:nvPicPr>
                <pic:blipFill>
                  <a:blip r:embed="rId1"/>
                  <a:stretch>
                    <a:fillRect/>
                  </a:stretch>
                </pic:blipFill>
                <pic:spPr>
                  <a:xfrm rot="0">
                    <a:off x="0" y="0"/>
                    <a:ext cx="5579745" cy="12700"/>
                  </a:xfrm>
                  <a:prstGeom prst="rect">
                    <a:avLst/>
                  </a:prstGeom>
                </pic:spPr>
              </pic:pic>
            </a:graphicData>
          </a:graphic>
        </wp:inline>
      </w:drawing>
    </w:r>
  </w:p>
</w:hdr>
</file>

<file path=word/header8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市委办、</w:t>
    </w:r>
    <w:r>
      <w:rPr>
        <w:rFonts w:ascii="Microsoft YaHei" w:hAnsi="Microsoft YaHei" w:eastAsia="Microsoft YaHei" w:cs="Microsoft YaHei"/>
        <w:sz w:val="20"/>
        <w:szCs w:val="20"/>
        <w:spacing w:val="-33"/>
      </w:rPr>
      <w:t xml:space="preserve"> </w:t>
    </w:r>
    <w:r>
      <w:rPr>
        <w:rFonts w:ascii="Microsoft YaHei" w:hAnsi="Microsoft YaHei" w:eastAsia="Microsoft YaHei" w:cs="Microsoft YaHei"/>
        <w:sz w:val="20"/>
        <w:szCs w:val="20"/>
        <w:spacing w:val="8"/>
      </w:rPr>
      <w:t>市政府办文件</w:t>
    </w:r>
  </w:p>
  <w:p>
    <w:pPr>
      <w:ind w:firstLine="8"/>
      <w:spacing w:line="20" w:lineRule="exact"/>
      <w:rPr/>
    </w:pPr>
    <w:r>
      <w:rPr/>
      <w:drawing>
        <wp:inline distT="0" distB="0" distL="0" distR="0">
          <wp:extent cx="5579745" cy="12700"/>
          <wp:effectExtent l="0" t="0" r="0" b="0"/>
          <wp:docPr id="904" name="IM 904"/>
          <wp:cNvGraphicFramePr/>
          <a:graphic>
            <a:graphicData uri="http://schemas.openxmlformats.org/drawingml/2006/picture">
              <pic:pic>
                <pic:nvPicPr>
                  <pic:cNvPr id="904" name="IM 904"/>
                  <pic:cNvPicPr/>
                </pic:nvPicPr>
                <pic:blipFill>
                  <a:blip r:embed="rId1"/>
                  <a:stretch>
                    <a:fillRect/>
                  </a:stretch>
                </pic:blipFill>
                <pic:spPr>
                  <a:xfrm rot="0">
                    <a:off x="0" y="0"/>
                    <a:ext cx="5579745" cy="12700"/>
                  </a:xfrm>
                  <a:prstGeom prst="rect">
                    <a:avLst/>
                  </a:prstGeom>
                </pic:spPr>
              </pic:pic>
            </a:graphicData>
          </a:graphic>
        </wp:inline>
      </w:drawing>
    </w:r>
  </w:p>
</w:hdr>
</file>

<file path=word/header8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市委办、</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9"/>
      </w:rPr>
      <w:t>市政府办文件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《固原市人民政府公</w:t>
    </w:r>
    <w:r>
      <w:rPr>
        <w:rFonts w:ascii="Microsoft YaHei" w:hAnsi="Microsoft YaHei" w:eastAsia="Microsoft YaHei" w:cs="Microsoft YaHei"/>
        <w:sz w:val="20"/>
        <w:szCs w:val="20"/>
        <w:spacing w:val="8"/>
      </w:rPr>
      <w:t>报》</w:t>
    </w:r>
  </w:p>
  <w:p>
    <w:pPr>
      <w:ind w:firstLine="23"/>
      <w:spacing w:line="20" w:lineRule="exact"/>
      <w:rPr/>
    </w:pPr>
    <w:r>
      <w:rPr/>
      <w:drawing>
        <wp:inline distT="0" distB="0" distL="0" distR="0">
          <wp:extent cx="5579745" cy="12700"/>
          <wp:effectExtent l="0" t="0" r="0" b="0"/>
          <wp:docPr id="910" name="IM 910"/>
          <wp:cNvGraphicFramePr/>
          <a:graphic>
            <a:graphicData uri="http://schemas.openxmlformats.org/drawingml/2006/picture">
              <pic:pic>
                <pic:nvPicPr>
                  <pic:cNvPr id="910" name="IM 910"/>
                  <pic:cNvPicPr/>
                </pic:nvPicPr>
                <pic:blipFill>
                  <a:blip r:embed="rId1"/>
                  <a:stretch>
                    <a:fillRect/>
                  </a:stretch>
                </pic:blipFill>
                <pic:spPr>
                  <a:xfrm rot="0">
                    <a:off x="0" y="0"/>
                    <a:ext cx="5579745" cy="12700"/>
                  </a:xfrm>
                  <a:prstGeom prst="rect">
                    <a:avLst/>
                  </a:prstGeom>
                </pic:spPr>
              </pic:pic>
            </a:graphicData>
          </a:graphic>
        </wp:inline>
      </w:drawing>
    </w:r>
  </w:p>
</w:hdr>
</file>

<file path=word/header8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9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市委办、</w:t>
    </w:r>
    <w:r>
      <w:rPr>
        <w:rFonts w:ascii="Microsoft YaHei" w:hAnsi="Microsoft YaHei" w:eastAsia="Microsoft YaHei" w:cs="Microsoft YaHei"/>
        <w:sz w:val="20"/>
        <w:szCs w:val="20"/>
        <w:spacing w:val="-33"/>
      </w:rPr>
      <w:t xml:space="preserve"> </w:t>
    </w:r>
    <w:r>
      <w:rPr>
        <w:rFonts w:ascii="Microsoft YaHei" w:hAnsi="Microsoft YaHei" w:eastAsia="Microsoft YaHei" w:cs="Microsoft YaHei"/>
        <w:sz w:val="20"/>
        <w:szCs w:val="20"/>
        <w:spacing w:val="8"/>
      </w:rPr>
      <w:t>市政府办文件</w:t>
    </w:r>
  </w:p>
  <w:p>
    <w:pPr>
      <w:ind w:firstLine="8"/>
      <w:spacing w:line="20" w:lineRule="exact"/>
      <w:rPr/>
    </w:pPr>
    <w:r>
      <w:rPr/>
      <w:drawing>
        <wp:inline distT="0" distB="0" distL="0" distR="0">
          <wp:extent cx="5579745" cy="12700"/>
          <wp:effectExtent l="0" t="0" r="0" b="0"/>
          <wp:docPr id="916" name="IM 916"/>
          <wp:cNvGraphicFramePr/>
          <a:graphic>
            <a:graphicData uri="http://schemas.openxmlformats.org/drawingml/2006/picture">
              <pic:pic>
                <pic:nvPicPr>
                  <pic:cNvPr id="916" name="IM 916"/>
                  <pic:cNvPicPr/>
                </pic:nvPicPr>
                <pic:blipFill>
                  <a:blip r:embed="rId1"/>
                  <a:stretch>
                    <a:fillRect/>
                  </a:stretch>
                </pic:blipFill>
                <pic:spPr>
                  <a:xfrm rot="0">
                    <a:off x="0" y="0"/>
                    <a:ext cx="5579745" cy="12700"/>
                  </a:xfrm>
                  <a:prstGeom prst="rect">
                    <a:avLst/>
                  </a:prstGeom>
                </pic:spPr>
              </pic:pic>
            </a:graphicData>
          </a:graphic>
        </wp:inline>
      </w:drawing>
    </w:r>
  </w:p>
</w:hdr>
</file>

<file path=word/header8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市委办、</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9"/>
      </w:rPr>
      <w:t>市政府办文件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《固原市人民政府公</w:t>
    </w:r>
    <w:r>
      <w:rPr>
        <w:rFonts w:ascii="Microsoft YaHei" w:hAnsi="Microsoft YaHei" w:eastAsia="Microsoft YaHei" w:cs="Microsoft YaHei"/>
        <w:sz w:val="20"/>
        <w:szCs w:val="20"/>
        <w:spacing w:val="8"/>
      </w:rPr>
      <w:t>报》</w:t>
    </w:r>
  </w:p>
  <w:p>
    <w:pPr>
      <w:ind w:firstLine="23"/>
      <w:spacing w:line="20" w:lineRule="exact"/>
      <w:rPr/>
    </w:pPr>
    <w:r>
      <w:rPr/>
      <w:drawing>
        <wp:inline distT="0" distB="0" distL="0" distR="0">
          <wp:extent cx="5579745" cy="12700"/>
          <wp:effectExtent l="0" t="0" r="0" b="0"/>
          <wp:docPr id="922" name="IM 922"/>
          <wp:cNvGraphicFramePr/>
          <a:graphic>
            <a:graphicData uri="http://schemas.openxmlformats.org/drawingml/2006/picture">
              <pic:pic>
                <pic:nvPicPr>
                  <pic:cNvPr id="922" name="IM 922"/>
                  <pic:cNvPicPr/>
                </pic:nvPicPr>
                <pic:blipFill>
                  <a:blip r:embed="rId1"/>
                  <a:stretch>
                    <a:fillRect/>
                  </a:stretch>
                </pic:blipFill>
                <pic:spPr>
                  <a:xfrm rot="0">
                    <a:off x="0" y="0"/>
                    <a:ext cx="5579745" cy="12700"/>
                  </a:xfrm>
                  <a:prstGeom prst="rect">
                    <a:avLst/>
                  </a:prstGeom>
                </pic:spPr>
              </pic:pic>
            </a:graphicData>
          </a:graphic>
        </wp:inline>
      </w:drawing>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0"/>
      </w:rPr>
      <w:t>市政府文件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10"/>
      </w:rPr>
      <w:t>《固原市人民政府公报》</w:t>
    </w:r>
  </w:p>
  <w:p>
    <w:pPr>
      <w:ind w:firstLine="117"/>
      <w:spacing w:line="71" w:lineRule="exact"/>
      <w:rPr/>
    </w:pPr>
    <w:r>
      <w:rPr>
        <w:position w:val="-1"/>
      </w:rPr>
      <w:drawing>
        <wp:inline distT="0" distB="0" distL="0" distR="0">
          <wp:extent cx="5579745" cy="45719"/>
          <wp:effectExtent l="0" t="0" r="0" b="0"/>
          <wp:docPr id="40" name="IM 40"/>
          <wp:cNvGraphicFramePr/>
          <a:graphic>
            <a:graphicData uri="http://schemas.openxmlformats.org/drawingml/2006/picture">
              <pic:pic>
                <pic:nvPicPr>
                  <pic:cNvPr id="40" name="IM 40"/>
                  <pic:cNvPicPr/>
                </pic:nvPicPr>
                <pic:blipFill>
                  <a:blip r:embed="rId1"/>
                  <a:stretch>
                    <a:fillRect/>
                  </a:stretch>
                </pic:blipFill>
                <pic:spPr>
                  <a:xfrm rot="0">
                    <a:off x="0" y="0"/>
                    <a:ext cx="5579745" cy="45719"/>
                  </a:xfrm>
                  <a:prstGeom prst="rect">
                    <a:avLst/>
                  </a:prstGeom>
                </pic:spPr>
              </pic:pic>
            </a:graphicData>
          </a:graphic>
        </wp:inline>
      </w:drawing>
    </w:r>
  </w:p>
</w:hdr>
</file>

<file path=word/header9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市委办、</w:t>
    </w:r>
    <w:r>
      <w:rPr>
        <w:rFonts w:ascii="Microsoft YaHei" w:hAnsi="Microsoft YaHei" w:eastAsia="Microsoft YaHei" w:cs="Microsoft YaHei"/>
        <w:sz w:val="20"/>
        <w:szCs w:val="20"/>
        <w:spacing w:val="-33"/>
      </w:rPr>
      <w:t xml:space="preserve"> </w:t>
    </w:r>
    <w:r>
      <w:rPr>
        <w:rFonts w:ascii="Microsoft YaHei" w:hAnsi="Microsoft YaHei" w:eastAsia="Microsoft YaHei" w:cs="Microsoft YaHei"/>
        <w:sz w:val="20"/>
        <w:szCs w:val="20"/>
        <w:spacing w:val="8"/>
      </w:rPr>
      <w:t>市政府办文件</w:t>
    </w:r>
  </w:p>
  <w:p>
    <w:pPr>
      <w:ind w:firstLine="8"/>
      <w:spacing w:line="20" w:lineRule="exact"/>
      <w:rPr/>
    </w:pPr>
    <w:r>
      <w:rPr/>
      <w:drawing>
        <wp:inline distT="0" distB="0" distL="0" distR="0">
          <wp:extent cx="5579745" cy="12700"/>
          <wp:effectExtent l="0" t="0" r="0" b="0"/>
          <wp:docPr id="928" name="IM 928"/>
          <wp:cNvGraphicFramePr/>
          <a:graphic>
            <a:graphicData uri="http://schemas.openxmlformats.org/drawingml/2006/picture">
              <pic:pic>
                <pic:nvPicPr>
                  <pic:cNvPr id="928" name="IM 928"/>
                  <pic:cNvPicPr/>
                </pic:nvPicPr>
                <pic:blipFill>
                  <a:blip r:embed="rId1"/>
                  <a:stretch>
                    <a:fillRect/>
                  </a:stretch>
                </pic:blipFill>
                <pic:spPr>
                  <a:xfrm rot="0">
                    <a:off x="0" y="0"/>
                    <a:ext cx="5579745" cy="12700"/>
                  </a:xfrm>
                  <a:prstGeom prst="rect">
                    <a:avLst/>
                  </a:prstGeom>
                </pic:spPr>
              </pic:pic>
            </a:graphicData>
          </a:graphic>
        </wp:inline>
      </w:drawing>
    </w:r>
  </w:p>
</w:hdr>
</file>

<file path=word/header9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6"/>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市委办、</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9"/>
      </w:rPr>
      <w:t>市政府办文件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《固原市人民政府公</w:t>
    </w:r>
    <w:r>
      <w:rPr>
        <w:rFonts w:ascii="Microsoft YaHei" w:hAnsi="Microsoft YaHei" w:eastAsia="Microsoft YaHei" w:cs="Microsoft YaHei"/>
        <w:sz w:val="20"/>
        <w:szCs w:val="20"/>
        <w:spacing w:val="8"/>
      </w:rPr>
      <w:t>报》</w:t>
    </w:r>
  </w:p>
  <w:p>
    <w:pPr>
      <w:ind w:firstLine="23"/>
      <w:spacing w:line="20" w:lineRule="exact"/>
      <w:rPr/>
    </w:pPr>
    <w:r>
      <w:rPr/>
      <w:drawing>
        <wp:inline distT="0" distB="0" distL="0" distR="0">
          <wp:extent cx="5579745" cy="12700"/>
          <wp:effectExtent l="0" t="0" r="0" b="0"/>
          <wp:docPr id="934" name="IM 934"/>
          <wp:cNvGraphicFramePr/>
          <a:graphic>
            <a:graphicData uri="http://schemas.openxmlformats.org/drawingml/2006/picture">
              <pic:pic>
                <pic:nvPicPr>
                  <pic:cNvPr id="934" name="IM 934"/>
                  <pic:cNvPicPr/>
                </pic:nvPicPr>
                <pic:blipFill>
                  <a:blip r:embed="rId1"/>
                  <a:stretch>
                    <a:fillRect/>
                  </a:stretch>
                </pic:blipFill>
                <pic:spPr>
                  <a:xfrm rot="0">
                    <a:off x="0" y="0"/>
                    <a:ext cx="5579745" cy="12700"/>
                  </a:xfrm>
                  <a:prstGeom prst="rect">
                    <a:avLst/>
                  </a:prstGeom>
                </pic:spPr>
              </pic:pic>
            </a:graphicData>
          </a:graphic>
        </wp:inline>
      </w:drawing>
    </w:r>
  </w:p>
</w:hdr>
</file>

<file path=word/header9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市委办、</w:t>
    </w:r>
    <w:r>
      <w:rPr>
        <w:rFonts w:ascii="Microsoft YaHei" w:hAnsi="Microsoft YaHei" w:eastAsia="Microsoft YaHei" w:cs="Microsoft YaHei"/>
        <w:sz w:val="20"/>
        <w:szCs w:val="20"/>
        <w:spacing w:val="-33"/>
      </w:rPr>
      <w:t xml:space="preserve"> </w:t>
    </w:r>
    <w:r>
      <w:rPr>
        <w:rFonts w:ascii="Microsoft YaHei" w:hAnsi="Microsoft YaHei" w:eastAsia="Microsoft YaHei" w:cs="Microsoft YaHei"/>
        <w:sz w:val="20"/>
        <w:szCs w:val="20"/>
        <w:spacing w:val="8"/>
      </w:rPr>
      <w:t>市政府办文件</w:t>
    </w:r>
  </w:p>
  <w:p>
    <w:pPr>
      <w:ind w:firstLine="8"/>
      <w:spacing w:line="20" w:lineRule="exact"/>
      <w:rPr/>
    </w:pPr>
    <w:r>
      <w:rPr/>
      <w:drawing>
        <wp:inline distT="0" distB="0" distL="0" distR="0">
          <wp:extent cx="5579745" cy="12700"/>
          <wp:effectExtent l="0" t="0" r="0" b="0"/>
          <wp:docPr id="940" name="IM 940"/>
          <wp:cNvGraphicFramePr/>
          <a:graphic>
            <a:graphicData uri="http://schemas.openxmlformats.org/drawingml/2006/picture">
              <pic:pic>
                <pic:nvPicPr>
                  <pic:cNvPr id="940" name="IM 940"/>
                  <pic:cNvPicPr/>
                </pic:nvPicPr>
                <pic:blipFill>
                  <a:blip r:embed="rId1"/>
                  <a:stretch>
                    <a:fillRect/>
                  </a:stretch>
                </pic:blipFill>
                <pic:spPr>
                  <a:xfrm rot="0">
                    <a:off x="0" y="0"/>
                    <a:ext cx="5579745" cy="12700"/>
                  </a:xfrm>
                  <a:prstGeom prst="rect">
                    <a:avLst/>
                  </a:prstGeom>
                </pic:spPr>
              </pic:pic>
            </a:graphicData>
          </a:graphic>
        </wp:inline>
      </w:drawing>
    </w:r>
  </w:p>
</w:hdr>
</file>

<file path=word/header9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3"/>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市委办、</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9"/>
      </w:rPr>
      <w:t>市政府办文件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《固原市人民政府公</w:t>
    </w:r>
    <w:r>
      <w:rPr>
        <w:rFonts w:ascii="Microsoft YaHei" w:hAnsi="Microsoft YaHei" w:eastAsia="Microsoft YaHei" w:cs="Microsoft YaHei"/>
        <w:sz w:val="20"/>
        <w:szCs w:val="20"/>
        <w:spacing w:val="8"/>
      </w:rPr>
      <w:t>报》</w:t>
    </w:r>
  </w:p>
  <w:p>
    <w:pPr>
      <w:ind w:firstLine="60"/>
      <w:spacing w:line="20" w:lineRule="exact"/>
      <w:rPr/>
    </w:pPr>
    <w:r>
      <w:rPr/>
      <w:drawing>
        <wp:inline distT="0" distB="0" distL="0" distR="0">
          <wp:extent cx="8712200" cy="12700"/>
          <wp:effectExtent l="0" t="0" r="0" b="0"/>
          <wp:docPr id="946" name="IM 946"/>
          <wp:cNvGraphicFramePr/>
          <a:graphic>
            <a:graphicData uri="http://schemas.openxmlformats.org/drawingml/2006/picture">
              <pic:pic>
                <pic:nvPicPr>
                  <pic:cNvPr id="946" name="IM 946"/>
                  <pic:cNvPicPr/>
                </pic:nvPicPr>
                <pic:blipFill>
                  <a:blip r:embed="rId1"/>
                  <a:stretch>
                    <a:fillRect/>
                  </a:stretch>
                </pic:blipFill>
                <pic:spPr>
                  <a:xfrm rot="0">
                    <a:off x="0" y="0"/>
                    <a:ext cx="8712200" cy="12700"/>
                  </a:xfrm>
                  <a:prstGeom prst="rect">
                    <a:avLst/>
                  </a:prstGeom>
                </pic:spPr>
              </pic:pic>
            </a:graphicData>
          </a:graphic>
        </wp:inline>
      </w:drawing>
    </w:r>
  </w:p>
</w:hdr>
</file>

<file path=word/header9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市委办、</w:t>
    </w:r>
    <w:r>
      <w:rPr>
        <w:rFonts w:ascii="Microsoft YaHei" w:hAnsi="Microsoft YaHei" w:eastAsia="Microsoft YaHei" w:cs="Microsoft YaHei"/>
        <w:sz w:val="20"/>
        <w:szCs w:val="20"/>
        <w:spacing w:val="-33"/>
      </w:rPr>
      <w:t xml:space="preserve"> </w:t>
    </w:r>
    <w:r>
      <w:rPr>
        <w:rFonts w:ascii="Microsoft YaHei" w:hAnsi="Microsoft YaHei" w:eastAsia="Microsoft YaHei" w:cs="Microsoft YaHei"/>
        <w:sz w:val="20"/>
        <w:szCs w:val="20"/>
        <w:spacing w:val="8"/>
      </w:rPr>
      <w:t>市政府办文件</w:t>
    </w:r>
  </w:p>
  <w:p>
    <w:pPr>
      <w:ind w:firstLine="60"/>
      <w:spacing w:line="20" w:lineRule="exact"/>
      <w:rPr/>
    </w:pPr>
    <w:r>
      <w:rPr/>
      <w:drawing>
        <wp:inline distT="0" distB="0" distL="0" distR="0">
          <wp:extent cx="8712200" cy="12700"/>
          <wp:effectExtent l="0" t="0" r="0" b="0"/>
          <wp:docPr id="952" name="IM 952"/>
          <wp:cNvGraphicFramePr/>
          <a:graphic>
            <a:graphicData uri="http://schemas.openxmlformats.org/drawingml/2006/picture">
              <pic:pic>
                <pic:nvPicPr>
                  <pic:cNvPr id="952" name="IM 952"/>
                  <pic:cNvPicPr/>
                </pic:nvPicPr>
                <pic:blipFill>
                  <a:blip r:embed="rId1"/>
                  <a:stretch>
                    <a:fillRect/>
                  </a:stretch>
                </pic:blipFill>
                <pic:spPr>
                  <a:xfrm rot="0">
                    <a:off x="0" y="0"/>
                    <a:ext cx="8712200" cy="12700"/>
                  </a:xfrm>
                  <a:prstGeom prst="rect">
                    <a:avLst/>
                  </a:prstGeom>
                </pic:spPr>
              </pic:pic>
            </a:graphicData>
          </a:graphic>
        </wp:inline>
      </w:drawing>
    </w:r>
  </w:p>
</w:hdr>
</file>

<file path=word/header9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
      <w:spacing w:before="41" w:line="20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市委办、</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9"/>
      </w:rPr>
      <w:t>市政府办文件</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《固原市人民政府公</w:t>
    </w:r>
    <w:r>
      <w:rPr>
        <w:rFonts w:ascii="Microsoft YaHei" w:hAnsi="Microsoft YaHei" w:eastAsia="Microsoft YaHei" w:cs="Microsoft YaHei"/>
        <w:sz w:val="20"/>
        <w:szCs w:val="20"/>
        <w:spacing w:val="8"/>
      </w:rPr>
      <w:t>报》</w:t>
    </w:r>
  </w:p>
  <w:p>
    <w:pPr>
      <w:ind w:firstLine="53"/>
      <w:spacing w:line="20" w:lineRule="exact"/>
      <w:rPr/>
    </w:pPr>
    <w:r>
      <w:rPr/>
      <w:drawing>
        <wp:inline distT="0" distB="0" distL="0" distR="0">
          <wp:extent cx="8712200" cy="12700"/>
          <wp:effectExtent l="0" t="0" r="0" b="0"/>
          <wp:docPr id="958" name="IM 958"/>
          <wp:cNvGraphicFramePr/>
          <a:graphic>
            <a:graphicData uri="http://schemas.openxmlformats.org/drawingml/2006/picture">
              <pic:pic>
                <pic:nvPicPr>
                  <pic:cNvPr id="958" name="IM 958"/>
                  <pic:cNvPicPr/>
                </pic:nvPicPr>
                <pic:blipFill>
                  <a:blip r:embed="rId1"/>
                  <a:stretch>
                    <a:fillRect/>
                  </a:stretch>
                </pic:blipFill>
                <pic:spPr>
                  <a:xfrm rot="0">
                    <a:off x="0" y="0"/>
                    <a:ext cx="8712200" cy="12700"/>
                  </a:xfrm>
                  <a:prstGeom prst="rect">
                    <a:avLst/>
                  </a:prstGeom>
                </pic:spPr>
              </pic:pic>
            </a:graphicData>
          </a:graphic>
        </wp:inline>
      </w:drawing>
    </w:r>
  </w:p>
</w:hdr>
</file>

<file path=word/header9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市委办、</w:t>
    </w:r>
    <w:r>
      <w:rPr>
        <w:rFonts w:ascii="Microsoft YaHei" w:hAnsi="Microsoft YaHei" w:eastAsia="Microsoft YaHei" w:cs="Microsoft YaHei"/>
        <w:sz w:val="20"/>
        <w:szCs w:val="20"/>
        <w:spacing w:val="-16"/>
      </w:rPr>
      <w:t xml:space="preserve"> </w:t>
    </w:r>
    <w:r>
      <w:rPr>
        <w:rFonts w:ascii="Microsoft YaHei" w:hAnsi="Microsoft YaHei" w:eastAsia="Microsoft YaHei" w:cs="Microsoft YaHei"/>
        <w:sz w:val="20"/>
        <w:szCs w:val="20"/>
        <w:spacing w:val="8"/>
      </w:rPr>
      <w:t>市政府办文件</w:t>
    </w:r>
  </w:p>
  <w:p>
    <w:pPr>
      <w:ind w:firstLine="53"/>
      <w:spacing w:line="20" w:lineRule="exact"/>
      <w:rPr/>
    </w:pPr>
    <w:r>
      <w:rPr/>
      <w:drawing>
        <wp:inline distT="0" distB="0" distL="0" distR="0">
          <wp:extent cx="8712200" cy="12700"/>
          <wp:effectExtent l="0" t="0" r="0" b="0"/>
          <wp:docPr id="964" name="IM 964"/>
          <wp:cNvGraphicFramePr/>
          <a:graphic>
            <a:graphicData uri="http://schemas.openxmlformats.org/drawingml/2006/picture">
              <pic:pic>
                <pic:nvPicPr>
                  <pic:cNvPr id="964" name="IM 964"/>
                  <pic:cNvPicPr/>
                </pic:nvPicPr>
                <pic:blipFill>
                  <a:blip r:embed="rId1"/>
                  <a:stretch>
                    <a:fillRect/>
                  </a:stretch>
                </pic:blipFill>
                <pic:spPr>
                  <a:xfrm rot="0">
                    <a:off x="0" y="0"/>
                    <a:ext cx="8712200" cy="12700"/>
                  </a:xfrm>
                  <a:prstGeom prst="rect">
                    <a:avLst/>
                  </a:prstGeom>
                </pic:spPr>
              </pic:pic>
            </a:graphicData>
          </a:graphic>
        </wp:inline>
      </w:drawing>
    </w:r>
  </w:p>
</w:hdr>
</file>

<file path=word/header9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0" w:line="203" w:lineRule="auto"/>
      <w:jc w:val="right"/>
      <w:rPr>
        <w:rFonts w:ascii="Microsoft YaHei" w:hAnsi="Microsoft YaHei" w:eastAsia="Microsoft YaHei" w:cs="Microsoft YaHei"/>
        <w:sz w:val="20"/>
        <w:szCs w:val="20"/>
      </w:rPr>
    </w:pPr>
    <w:r>
      <w:drawing>
        <wp:anchor distT="0" distB="0" distL="0" distR="0" simplePos="0" relativeHeight="251876352" behindDoc="0" locked="0" layoutInCell="1" allowOverlap="1">
          <wp:simplePos x="0" y="0"/>
          <wp:positionH relativeFrom="column">
            <wp:posOffset>0</wp:posOffset>
          </wp:positionH>
          <wp:positionV relativeFrom="paragraph">
            <wp:posOffset>171164</wp:posOffset>
          </wp:positionV>
          <wp:extent cx="5579745" cy="19050"/>
          <wp:effectExtent l="0" t="0" r="0" b="0"/>
          <wp:wrapNone/>
          <wp:docPr id="970" name="IM 970"/>
          <wp:cNvGraphicFramePr/>
          <a:graphic>
            <a:graphicData uri="http://schemas.openxmlformats.org/drawingml/2006/picture">
              <pic:pic>
                <pic:nvPicPr>
                  <pic:cNvPr id="970" name="IM 970"/>
                  <pic:cNvPicPr/>
                </pic:nvPicPr>
                <pic:blipFill>
                  <a:blip r:embed="rId1"/>
                  <a:stretch>
                    <a:fillRect/>
                  </a:stretch>
                </pic:blipFill>
                <pic:spPr>
                  <a:xfrm rot="0">
                    <a:off x="0" y="0"/>
                    <a:ext cx="5579745" cy="19050"/>
                  </a:xfrm>
                  <a:prstGeom prst="rect">
                    <a:avLst/>
                  </a:prstGeom>
                </pic:spPr>
              </pic:pic>
            </a:graphicData>
          </a:graphic>
        </wp:anchor>
      </w:drawing>
    </w:r>
    <w:r>
      <w:rPr>
        <w:rFonts w:ascii="Microsoft YaHei" w:hAnsi="Microsoft YaHei" w:eastAsia="Microsoft YaHei" w:cs="Microsoft YaHei"/>
        <w:sz w:val="20"/>
        <w:szCs w:val="20"/>
        <w:spacing w:val="9"/>
      </w:rPr>
      <w:t>市委办、</w:t>
    </w:r>
    <w:r>
      <w:rPr>
        <w:rFonts w:ascii="Microsoft YaHei" w:hAnsi="Microsoft YaHei" w:eastAsia="Microsoft YaHei" w:cs="Microsoft YaHei"/>
        <w:sz w:val="20"/>
        <w:szCs w:val="20"/>
        <w:spacing w:val="-34"/>
      </w:rPr>
      <w:t xml:space="preserve"> </w:t>
    </w:r>
    <w:r>
      <w:rPr>
        <w:rFonts w:ascii="Microsoft YaHei" w:hAnsi="Microsoft YaHei" w:eastAsia="Microsoft YaHei" w:cs="Microsoft YaHei"/>
        <w:sz w:val="20"/>
        <w:szCs w:val="20"/>
        <w:spacing w:val="9"/>
      </w:rPr>
      <w:t>市政府办文件</w:t>
    </w:r>
    <w:r>
      <w:rPr>
        <w:rFonts w:ascii="Microsoft YaHei" w:hAnsi="Microsoft YaHei" w:eastAsia="Microsoft YaHei" w:cs="Microsoft YaHei"/>
        <w:sz w:val="20"/>
        <w:szCs w:val="20"/>
        <w:spacing w:val="1"/>
      </w:rPr>
      <w:t xml:space="preserve">                      </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9"/>
      </w:rPr>
      <w:t>《固原市人民政府公</w:t>
    </w:r>
    <w:r>
      <w:rPr>
        <w:rFonts w:ascii="Microsoft YaHei" w:hAnsi="Microsoft YaHei" w:eastAsia="Microsoft YaHei" w:cs="Microsoft YaHei"/>
        <w:sz w:val="20"/>
        <w:szCs w:val="20"/>
        <w:spacing w:val="8"/>
      </w:rPr>
      <w:t>报》</w:t>
    </w:r>
  </w:p>
</w:hdr>
</file>

<file path=word/header9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市委办、</w:t>
    </w:r>
    <w:r>
      <w:rPr>
        <w:rFonts w:ascii="Microsoft YaHei" w:hAnsi="Microsoft YaHei" w:eastAsia="Microsoft YaHei" w:cs="Microsoft YaHei"/>
        <w:sz w:val="20"/>
        <w:szCs w:val="20"/>
        <w:spacing w:val="-16"/>
      </w:rPr>
      <w:t xml:space="preserve"> </w:t>
    </w:r>
    <w:r>
      <w:rPr>
        <w:rFonts w:ascii="Microsoft YaHei" w:hAnsi="Microsoft YaHei" w:eastAsia="Microsoft YaHei" w:cs="Microsoft YaHei"/>
        <w:sz w:val="20"/>
        <w:szCs w:val="20"/>
        <w:spacing w:val="8"/>
      </w:rPr>
      <w:t>市政府办文件</w:t>
    </w:r>
  </w:p>
  <w:p>
    <w:pPr>
      <w:ind w:firstLine="8"/>
      <w:spacing w:line="20" w:lineRule="exact"/>
      <w:rPr/>
    </w:pPr>
    <w:r>
      <w:rPr/>
      <w:drawing>
        <wp:inline distT="0" distB="0" distL="0" distR="0">
          <wp:extent cx="5579745" cy="12700"/>
          <wp:effectExtent l="0" t="0" r="0" b="0"/>
          <wp:docPr id="976" name="IM 976"/>
          <wp:cNvGraphicFramePr/>
          <a:graphic>
            <a:graphicData uri="http://schemas.openxmlformats.org/drawingml/2006/picture">
              <pic:pic>
                <pic:nvPicPr>
                  <pic:cNvPr id="976" name="IM 976"/>
                  <pic:cNvPicPr/>
                </pic:nvPicPr>
                <pic:blipFill>
                  <a:blip r:embed="rId1"/>
                  <a:stretch>
                    <a:fillRect/>
                  </a:stretch>
                </pic:blipFill>
                <pic:spPr>
                  <a:xfrm rot="0">
                    <a:off x="0" y="0"/>
                    <a:ext cx="5579745" cy="12700"/>
                  </a:xfrm>
                  <a:prstGeom prst="rect">
                    <a:avLst/>
                  </a:prstGeom>
                </pic:spPr>
              </pic:pic>
            </a:graphicData>
          </a:graphic>
        </wp:inline>
      </w:drawing>
    </w:r>
  </w:p>
</w:hdr>
</file>

<file path=word/header9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41"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《固原市人民政府公报》</w:t>
    </w:r>
    <w:r>
      <w:rPr>
        <w:rFonts w:ascii="Microsoft YaHei" w:hAnsi="Microsoft YaHei" w:eastAsia="Microsoft YaHei" w:cs="Microsoft YaHei"/>
        <w:sz w:val="20"/>
        <w:szCs w:val="20"/>
      </w:rPr>
      <w:t xml:space="preserve">                                                                          </w:t>
    </w:r>
    <w:r>
      <w:rPr>
        <w:rFonts w:ascii="Microsoft YaHei" w:hAnsi="Microsoft YaHei" w:eastAsia="Microsoft YaHei" w:cs="Microsoft YaHei"/>
        <w:sz w:val="20"/>
        <w:szCs w:val="20"/>
        <w:spacing w:val="8"/>
      </w:rPr>
      <w:t>市委办、</w:t>
    </w:r>
    <w:r>
      <w:rPr>
        <w:rFonts w:ascii="Microsoft YaHei" w:hAnsi="Microsoft YaHei" w:eastAsia="Microsoft YaHei" w:cs="Microsoft YaHei"/>
        <w:sz w:val="20"/>
        <w:szCs w:val="20"/>
        <w:spacing w:val="-15"/>
      </w:rPr>
      <w:t xml:space="preserve"> </w:t>
    </w:r>
    <w:r>
      <w:rPr>
        <w:rFonts w:ascii="Microsoft YaHei" w:hAnsi="Microsoft YaHei" w:eastAsia="Microsoft YaHei" w:cs="Microsoft YaHei"/>
        <w:sz w:val="20"/>
        <w:szCs w:val="20"/>
        <w:spacing w:val="8"/>
      </w:rPr>
      <w:t>市政府办文件</w:t>
    </w:r>
  </w:p>
  <w:p>
    <w:pPr>
      <w:ind w:firstLine="8"/>
      <w:spacing w:line="20" w:lineRule="exact"/>
      <w:rPr/>
    </w:pPr>
    <w:r>
      <w:rPr/>
      <w:drawing>
        <wp:inline distT="0" distB="0" distL="0" distR="0">
          <wp:extent cx="5579745" cy="12700"/>
          <wp:effectExtent l="0" t="0" r="0" b="0"/>
          <wp:docPr id="994" name="IM 994"/>
          <wp:cNvGraphicFramePr/>
          <a:graphic>
            <a:graphicData uri="http://schemas.openxmlformats.org/drawingml/2006/picture">
              <pic:pic>
                <pic:nvPicPr>
                  <pic:cNvPr id="994" name="IM 994"/>
                  <pic:cNvPicPr/>
                </pic:nvPicPr>
                <pic:blipFill>
                  <a:blip r:embed="rId1"/>
                  <a:stretch>
                    <a:fillRect/>
                  </a:stretch>
                </pic:blipFill>
                <pic:spPr>
                  <a:xfrm rot="0">
                    <a:off x="0" y="0"/>
                    <a:ext cx="5579745" cy="12700"/>
                  </a:xfrm>
                  <a:prstGeom prst="rect">
                    <a:avLst/>
                  </a:prstGeom>
                </pic:spPr>
              </pic:pic>
            </a:graphicData>
          </a:graphic>
        </wp:inline>
      </w:drawing>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20"/>
      <w:szCs w:val="20"/>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99" Type="http://schemas.openxmlformats.org/officeDocument/2006/relationships/image" Target="media/image997.png"/><Relationship Id="rId998" Type="http://schemas.openxmlformats.org/officeDocument/2006/relationships/footer" Target="footer413.xml"/><Relationship Id="rId997" Type="http://schemas.openxmlformats.org/officeDocument/2006/relationships/image" Target="media/image995.png"/><Relationship Id="rId996" Type="http://schemas.openxmlformats.org/officeDocument/2006/relationships/footer" Target="footer412.xml"/><Relationship Id="rId995" Type="http://schemas.openxmlformats.org/officeDocument/2006/relationships/image" Target="media/image993.png"/><Relationship Id="rId994" Type="http://schemas.openxmlformats.org/officeDocument/2006/relationships/footer" Target="footer411.xml"/><Relationship Id="rId993" Type="http://schemas.openxmlformats.org/officeDocument/2006/relationships/image" Target="media/image991.png"/><Relationship Id="rId992" Type="http://schemas.openxmlformats.org/officeDocument/2006/relationships/footer" Target="footer410.xml"/><Relationship Id="rId991" Type="http://schemas.openxmlformats.org/officeDocument/2006/relationships/image" Target="media/image989.png"/><Relationship Id="rId990" Type="http://schemas.openxmlformats.org/officeDocument/2006/relationships/footer" Target="footer409.xml"/><Relationship Id="rId99" Type="http://schemas.openxmlformats.org/officeDocument/2006/relationships/header" Target="header17.xml"/><Relationship Id="rId989" Type="http://schemas.openxmlformats.org/officeDocument/2006/relationships/image" Target="media/image987.png"/><Relationship Id="rId988" Type="http://schemas.openxmlformats.org/officeDocument/2006/relationships/footer" Target="footer408.xml"/><Relationship Id="rId987" Type="http://schemas.openxmlformats.org/officeDocument/2006/relationships/image" Target="media/image985.png"/><Relationship Id="rId986" Type="http://schemas.openxmlformats.org/officeDocument/2006/relationships/footer" Target="footer407.xml"/><Relationship Id="rId985" Type="http://schemas.openxmlformats.org/officeDocument/2006/relationships/image" Target="media/image983.png"/><Relationship Id="rId984" Type="http://schemas.openxmlformats.org/officeDocument/2006/relationships/footer" Target="footer406.xml"/><Relationship Id="rId983" Type="http://schemas.openxmlformats.org/officeDocument/2006/relationships/header" Target="header174.xml"/><Relationship Id="rId982" Type="http://schemas.openxmlformats.org/officeDocument/2006/relationships/image" Target="media/image980.png"/><Relationship Id="rId981" Type="http://schemas.openxmlformats.org/officeDocument/2006/relationships/footer" Target="footer405.xml"/><Relationship Id="rId980" Type="http://schemas.openxmlformats.org/officeDocument/2006/relationships/image" Target="media/image978.png"/><Relationship Id="rId98" Type="http://schemas.openxmlformats.org/officeDocument/2006/relationships/image" Target="media/image96.png"/><Relationship Id="rId979" Type="http://schemas.openxmlformats.org/officeDocument/2006/relationships/footer" Target="footer404.xml"/><Relationship Id="rId978" Type="http://schemas.openxmlformats.org/officeDocument/2006/relationships/image" Target="media/image976.png"/><Relationship Id="rId977" Type="http://schemas.openxmlformats.org/officeDocument/2006/relationships/footer" Target="footer403.xml"/><Relationship Id="rId976" Type="http://schemas.openxmlformats.org/officeDocument/2006/relationships/image" Target="media/image974.png"/><Relationship Id="rId975" Type="http://schemas.openxmlformats.org/officeDocument/2006/relationships/footer" Target="footer402.xml"/><Relationship Id="rId974" Type="http://schemas.openxmlformats.org/officeDocument/2006/relationships/image" Target="media/image972.png"/><Relationship Id="rId973" Type="http://schemas.openxmlformats.org/officeDocument/2006/relationships/footer" Target="footer401.xml"/><Relationship Id="rId972" Type="http://schemas.openxmlformats.org/officeDocument/2006/relationships/header" Target="header173.xml"/><Relationship Id="rId971" Type="http://schemas.openxmlformats.org/officeDocument/2006/relationships/image" Target="media/image969.png"/><Relationship Id="rId970" Type="http://schemas.openxmlformats.org/officeDocument/2006/relationships/image" Target="media/image968.png"/><Relationship Id="rId97" Type="http://schemas.openxmlformats.org/officeDocument/2006/relationships/footer" Target="footer61.xml"/><Relationship Id="rId969" Type="http://schemas.openxmlformats.org/officeDocument/2006/relationships/footer" Target="footer400.xml"/><Relationship Id="rId968" Type="http://schemas.openxmlformats.org/officeDocument/2006/relationships/header" Target="header172.xml"/><Relationship Id="rId967" Type="http://schemas.openxmlformats.org/officeDocument/2006/relationships/image" Target="media/image965.jpeg"/><Relationship Id="rId966" Type="http://schemas.openxmlformats.org/officeDocument/2006/relationships/image" Target="media/image964.png"/><Relationship Id="rId965" Type="http://schemas.openxmlformats.org/officeDocument/2006/relationships/image" Target="media/image963.png"/><Relationship Id="rId964" Type="http://schemas.openxmlformats.org/officeDocument/2006/relationships/header" Target="header171.xml"/><Relationship Id="rId963" Type="http://schemas.openxmlformats.org/officeDocument/2006/relationships/image" Target="media/image961.png"/><Relationship Id="rId962" Type="http://schemas.openxmlformats.org/officeDocument/2006/relationships/footer" Target="footer399.xml"/><Relationship Id="rId961" Type="http://schemas.openxmlformats.org/officeDocument/2006/relationships/image" Target="media/image959.png"/><Relationship Id="rId960" Type="http://schemas.openxmlformats.org/officeDocument/2006/relationships/footer" Target="footer398.xml"/><Relationship Id="rId96" Type="http://schemas.openxmlformats.org/officeDocument/2006/relationships/header" Target="header16.xml"/><Relationship Id="rId959" Type="http://schemas.openxmlformats.org/officeDocument/2006/relationships/image" Target="media/image957.png"/><Relationship Id="rId958" Type="http://schemas.openxmlformats.org/officeDocument/2006/relationships/footer" Target="footer397.xml"/><Relationship Id="rId957" Type="http://schemas.openxmlformats.org/officeDocument/2006/relationships/image" Target="media/image955.png"/><Relationship Id="rId956" Type="http://schemas.openxmlformats.org/officeDocument/2006/relationships/footer" Target="footer396.xml"/><Relationship Id="rId955" Type="http://schemas.openxmlformats.org/officeDocument/2006/relationships/image" Target="media/image953.png"/><Relationship Id="rId954" Type="http://schemas.openxmlformats.org/officeDocument/2006/relationships/footer" Target="footer395.xml"/><Relationship Id="rId953" Type="http://schemas.openxmlformats.org/officeDocument/2006/relationships/image" Target="media/image951.png"/><Relationship Id="rId952" Type="http://schemas.openxmlformats.org/officeDocument/2006/relationships/footer" Target="footer394.xml"/><Relationship Id="rId951" Type="http://schemas.openxmlformats.org/officeDocument/2006/relationships/image" Target="media/image949.png"/><Relationship Id="rId950" Type="http://schemas.openxmlformats.org/officeDocument/2006/relationships/footer" Target="footer393.xml"/><Relationship Id="rId95" Type="http://schemas.openxmlformats.org/officeDocument/2006/relationships/image" Target="media/image93.png"/><Relationship Id="rId949" Type="http://schemas.openxmlformats.org/officeDocument/2006/relationships/image" Target="media/image947.png"/><Relationship Id="rId948" Type="http://schemas.openxmlformats.org/officeDocument/2006/relationships/footer" Target="footer392.xml"/><Relationship Id="rId947" Type="http://schemas.openxmlformats.org/officeDocument/2006/relationships/image" Target="media/image945.png"/><Relationship Id="rId946" Type="http://schemas.openxmlformats.org/officeDocument/2006/relationships/footer" Target="footer391.xml"/><Relationship Id="rId945" Type="http://schemas.openxmlformats.org/officeDocument/2006/relationships/image" Target="media/image943.png"/><Relationship Id="rId944" Type="http://schemas.openxmlformats.org/officeDocument/2006/relationships/footer" Target="footer390.xml"/><Relationship Id="rId943" Type="http://schemas.openxmlformats.org/officeDocument/2006/relationships/image" Target="media/image941.png"/><Relationship Id="rId942" Type="http://schemas.openxmlformats.org/officeDocument/2006/relationships/footer" Target="footer389.xml"/><Relationship Id="rId941" Type="http://schemas.openxmlformats.org/officeDocument/2006/relationships/image" Target="media/image939.png"/><Relationship Id="rId940" Type="http://schemas.openxmlformats.org/officeDocument/2006/relationships/image" Target="media/image938.png"/><Relationship Id="rId94" Type="http://schemas.openxmlformats.org/officeDocument/2006/relationships/footer" Target="footer60.xml"/><Relationship Id="rId939" Type="http://schemas.openxmlformats.org/officeDocument/2006/relationships/image" Target="media/image937.png"/><Relationship Id="rId938" Type="http://schemas.openxmlformats.org/officeDocument/2006/relationships/footer" Target="footer388.xml"/><Relationship Id="rId937" Type="http://schemas.openxmlformats.org/officeDocument/2006/relationships/image" Target="media/image935.png"/><Relationship Id="rId936" Type="http://schemas.openxmlformats.org/officeDocument/2006/relationships/footer" Target="footer387.xml"/><Relationship Id="rId935" Type="http://schemas.openxmlformats.org/officeDocument/2006/relationships/image" Target="media/image933.png"/><Relationship Id="rId934" Type="http://schemas.openxmlformats.org/officeDocument/2006/relationships/footer" Target="footer386.xml"/><Relationship Id="rId933" Type="http://schemas.openxmlformats.org/officeDocument/2006/relationships/image" Target="media/image931.png"/><Relationship Id="rId932" Type="http://schemas.openxmlformats.org/officeDocument/2006/relationships/footer" Target="footer385.xml"/><Relationship Id="rId931" Type="http://schemas.openxmlformats.org/officeDocument/2006/relationships/image" Target="media/image929.png"/><Relationship Id="rId930" Type="http://schemas.openxmlformats.org/officeDocument/2006/relationships/footer" Target="footer384.xml"/><Relationship Id="rId93" Type="http://schemas.openxmlformats.org/officeDocument/2006/relationships/image" Target="media/image91.png"/><Relationship Id="rId929" Type="http://schemas.openxmlformats.org/officeDocument/2006/relationships/image" Target="media/image927.png"/><Relationship Id="rId928" Type="http://schemas.openxmlformats.org/officeDocument/2006/relationships/footer" Target="footer383.xml"/><Relationship Id="rId927" Type="http://schemas.openxmlformats.org/officeDocument/2006/relationships/image" Target="media/image925.png"/><Relationship Id="rId926" Type="http://schemas.openxmlformats.org/officeDocument/2006/relationships/footer" Target="footer382.xml"/><Relationship Id="rId925" Type="http://schemas.openxmlformats.org/officeDocument/2006/relationships/image" Target="media/image923.png"/><Relationship Id="rId924" Type="http://schemas.openxmlformats.org/officeDocument/2006/relationships/footer" Target="footer381.xml"/><Relationship Id="rId923" Type="http://schemas.openxmlformats.org/officeDocument/2006/relationships/image" Target="media/image921.png"/><Relationship Id="rId922" Type="http://schemas.openxmlformats.org/officeDocument/2006/relationships/footer" Target="footer380.xml"/><Relationship Id="rId921" Type="http://schemas.openxmlformats.org/officeDocument/2006/relationships/header" Target="header170.xml"/><Relationship Id="rId920" Type="http://schemas.openxmlformats.org/officeDocument/2006/relationships/image" Target="media/image918.png"/><Relationship Id="rId92" Type="http://schemas.openxmlformats.org/officeDocument/2006/relationships/footer" Target="footer59.xml"/><Relationship Id="rId919" Type="http://schemas.openxmlformats.org/officeDocument/2006/relationships/footer" Target="footer379.xml"/><Relationship Id="rId918" Type="http://schemas.openxmlformats.org/officeDocument/2006/relationships/image" Target="media/image916.png"/><Relationship Id="rId917" Type="http://schemas.openxmlformats.org/officeDocument/2006/relationships/footer" Target="footer378.xml"/><Relationship Id="rId916" Type="http://schemas.openxmlformats.org/officeDocument/2006/relationships/image" Target="media/image914.png"/><Relationship Id="rId915" Type="http://schemas.openxmlformats.org/officeDocument/2006/relationships/footer" Target="footer377.xml"/><Relationship Id="rId914" Type="http://schemas.openxmlformats.org/officeDocument/2006/relationships/image" Target="media/image912.png"/><Relationship Id="rId913" Type="http://schemas.openxmlformats.org/officeDocument/2006/relationships/footer" Target="footer376.xml"/><Relationship Id="rId912" Type="http://schemas.openxmlformats.org/officeDocument/2006/relationships/image" Target="media/image910.png"/><Relationship Id="rId911" Type="http://schemas.openxmlformats.org/officeDocument/2006/relationships/footer" Target="footer375.xml"/><Relationship Id="rId910" Type="http://schemas.openxmlformats.org/officeDocument/2006/relationships/image" Target="media/image908.png"/><Relationship Id="rId91" Type="http://schemas.openxmlformats.org/officeDocument/2006/relationships/header" Target="header15.xml"/><Relationship Id="rId909" Type="http://schemas.openxmlformats.org/officeDocument/2006/relationships/footer" Target="footer374.xml"/><Relationship Id="rId908" Type="http://schemas.openxmlformats.org/officeDocument/2006/relationships/image" Target="media/image906.png"/><Relationship Id="rId907" Type="http://schemas.openxmlformats.org/officeDocument/2006/relationships/footer" Target="footer373.xml"/><Relationship Id="rId906" Type="http://schemas.openxmlformats.org/officeDocument/2006/relationships/image" Target="media/image904.png"/><Relationship Id="rId905" Type="http://schemas.openxmlformats.org/officeDocument/2006/relationships/footer" Target="footer372.xml"/><Relationship Id="rId904" Type="http://schemas.openxmlformats.org/officeDocument/2006/relationships/image" Target="media/image902.png"/><Relationship Id="rId903" Type="http://schemas.openxmlformats.org/officeDocument/2006/relationships/footer" Target="footer371.xml"/><Relationship Id="rId902" Type="http://schemas.openxmlformats.org/officeDocument/2006/relationships/image" Target="media/image900.png"/><Relationship Id="rId901" Type="http://schemas.openxmlformats.org/officeDocument/2006/relationships/footer" Target="footer370.xml"/><Relationship Id="rId900" Type="http://schemas.openxmlformats.org/officeDocument/2006/relationships/image" Target="media/image898.png"/><Relationship Id="rId90" Type="http://schemas.openxmlformats.org/officeDocument/2006/relationships/image" Target="media/image88.png"/><Relationship Id="rId9" Type="http://schemas.openxmlformats.org/officeDocument/2006/relationships/footer" Target="footer4.xml"/><Relationship Id="rId899" Type="http://schemas.openxmlformats.org/officeDocument/2006/relationships/footer" Target="footer369.xml"/><Relationship Id="rId898" Type="http://schemas.openxmlformats.org/officeDocument/2006/relationships/image" Target="media/image896.png"/><Relationship Id="rId897" Type="http://schemas.openxmlformats.org/officeDocument/2006/relationships/footer" Target="footer368.xml"/><Relationship Id="rId896" Type="http://schemas.openxmlformats.org/officeDocument/2006/relationships/image" Target="media/image894.png"/><Relationship Id="rId895" Type="http://schemas.openxmlformats.org/officeDocument/2006/relationships/footer" Target="footer367.xml"/><Relationship Id="rId894" Type="http://schemas.openxmlformats.org/officeDocument/2006/relationships/image" Target="media/image892.png"/><Relationship Id="rId893" Type="http://schemas.openxmlformats.org/officeDocument/2006/relationships/footer" Target="footer366.xml"/><Relationship Id="rId892" Type="http://schemas.openxmlformats.org/officeDocument/2006/relationships/image" Target="media/image890.png"/><Relationship Id="rId891" Type="http://schemas.openxmlformats.org/officeDocument/2006/relationships/footer" Target="footer365.xml"/><Relationship Id="rId890" Type="http://schemas.openxmlformats.org/officeDocument/2006/relationships/header" Target="header169.xml"/><Relationship Id="rId89" Type="http://schemas.openxmlformats.org/officeDocument/2006/relationships/footer" Target="footer58.xml"/><Relationship Id="rId889" Type="http://schemas.openxmlformats.org/officeDocument/2006/relationships/image" Target="media/image887.png"/><Relationship Id="rId888" Type="http://schemas.openxmlformats.org/officeDocument/2006/relationships/footer" Target="footer364.xml"/><Relationship Id="rId887" Type="http://schemas.openxmlformats.org/officeDocument/2006/relationships/image" Target="media/image885.png"/><Relationship Id="rId886" Type="http://schemas.openxmlformats.org/officeDocument/2006/relationships/footer" Target="footer363.xml"/><Relationship Id="rId885" Type="http://schemas.openxmlformats.org/officeDocument/2006/relationships/image" Target="media/image883.png"/><Relationship Id="rId884" Type="http://schemas.openxmlformats.org/officeDocument/2006/relationships/footer" Target="footer362.xml"/><Relationship Id="rId883" Type="http://schemas.openxmlformats.org/officeDocument/2006/relationships/image" Target="media/image881.jpeg"/><Relationship Id="rId882" Type="http://schemas.openxmlformats.org/officeDocument/2006/relationships/image" Target="media/image880.png"/><Relationship Id="rId881" Type="http://schemas.openxmlformats.org/officeDocument/2006/relationships/footer" Target="footer361.xml"/><Relationship Id="rId880" Type="http://schemas.openxmlformats.org/officeDocument/2006/relationships/image" Target="media/image878.png"/><Relationship Id="rId88" Type="http://schemas.openxmlformats.org/officeDocument/2006/relationships/header" Target="header14.xml"/><Relationship Id="rId879" Type="http://schemas.openxmlformats.org/officeDocument/2006/relationships/footer" Target="footer360.xml"/><Relationship Id="rId878" Type="http://schemas.openxmlformats.org/officeDocument/2006/relationships/image" Target="media/image876.png"/><Relationship Id="rId877" Type="http://schemas.openxmlformats.org/officeDocument/2006/relationships/footer" Target="footer359.xml"/><Relationship Id="rId876" Type="http://schemas.openxmlformats.org/officeDocument/2006/relationships/image" Target="media/image874.png"/><Relationship Id="rId875" Type="http://schemas.openxmlformats.org/officeDocument/2006/relationships/footer" Target="footer358.xml"/><Relationship Id="rId874" Type="http://schemas.openxmlformats.org/officeDocument/2006/relationships/header" Target="header168.xml"/><Relationship Id="rId873" Type="http://schemas.openxmlformats.org/officeDocument/2006/relationships/image" Target="media/image871.png"/><Relationship Id="rId872" Type="http://schemas.openxmlformats.org/officeDocument/2006/relationships/footer" Target="footer357.xml"/><Relationship Id="rId871" Type="http://schemas.openxmlformats.org/officeDocument/2006/relationships/image" Target="media/image869.png"/><Relationship Id="rId870" Type="http://schemas.openxmlformats.org/officeDocument/2006/relationships/footer" Target="footer356.xml"/><Relationship Id="rId87" Type="http://schemas.openxmlformats.org/officeDocument/2006/relationships/image" Target="media/image85.png"/><Relationship Id="rId869" Type="http://schemas.openxmlformats.org/officeDocument/2006/relationships/image" Target="media/image867.png"/><Relationship Id="rId868" Type="http://schemas.openxmlformats.org/officeDocument/2006/relationships/footer" Target="footer355.xml"/><Relationship Id="rId867" Type="http://schemas.openxmlformats.org/officeDocument/2006/relationships/image" Target="media/image865.jpeg"/><Relationship Id="rId866" Type="http://schemas.openxmlformats.org/officeDocument/2006/relationships/image" Target="media/image864.png"/><Relationship Id="rId865" Type="http://schemas.openxmlformats.org/officeDocument/2006/relationships/footer" Target="footer354.xml"/><Relationship Id="rId864" Type="http://schemas.openxmlformats.org/officeDocument/2006/relationships/image" Target="media/image862.png"/><Relationship Id="rId863" Type="http://schemas.openxmlformats.org/officeDocument/2006/relationships/footer" Target="footer353.xml"/><Relationship Id="rId862" Type="http://schemas.openxmlformats.org/officeDocument/2006/relationships/image" Target="media/image860.png"/><Relationship Id="rId861" Type="http://schemas.openxmlformats.org/officeDocument/2006/relationships/footer" Target="footer352.xml"/><Relationship Id="rId860" Type="http://schemas.openxmlformats.org/officeDocument/2006/relationships/image" Target="media/image858.png"/><Relationship Id="rId86" Type="http://schemas.openxmlformats.org/officeDocument/2006/relationships/footer" Target="footer57.xml"/><Relationship Id="rId859" Type="http://schemas.openxmlformats.org/officeDocument/2006/relationships/footer" Target="footer351.xml"/><Relationship Id="rId858" Type="http://schemas.openxmlformats.org/officeDocument/2006/relationships/image" Target="media/image856.png"/><Relationship Id="rId857" Type="http://schemas.openxmlformats.org/officeDocument/2006/relationships/footer" Target="footer350.xml"/><Relationship Id="rId856" Type="http://schemas.openxmlformats.org/officeDocument/2006/relationships/header" Target="header167.xml"/><Relationship Id="rId855" Type="http://schemas.openxmlformats.org/officeDocument/2006/relationships/image" Target="media/image853.png"/><Relationship Id="rId854" Type="http://schemas.openxmlformats.org/officeDocument/2006/relationships/footer" Target="footer349.xml"/><Relationship Id="rId853" Type="http://schemas.openxmlformats.org/officeDocument/2006/relationships/image" Target="media/image851.png"/><Relationship Id="rId852" Type="http://schemas.openxmlformats.org/officeDocument/2006/relationships/footer" Target="footer348.xml"/><Relationship Id="rId851" Type="http://schemas.openxmlformats.org/officeDocument/2006/relationships/image" Target="media/image849.png"/><Relationship Id="rId850" Type="http://schemas.openxmlformats.org/officeDocument/2006/relationships/footer" Target="footer347.xml"/><Relationship Id="rId85" Type="http://schemas.openxmlformats.org/officeDocument/2006/relationships/image" Target="media/image83.png"/><Relationship Id="rId849" Type="http://schemas.openxmlformats.org/officeDocument/2006/relationships/image" Target="media/image847.png"/><Relationship Id="rId848" Type="http://schemas.openxmlformats.org/officeDocument/2006/relationships/footer" Target="footer346.xml"/><Relationship Id="rId847" Type="http://schemas.openxmlformats.org/officeDocument/2006/relationships/image" Target="media/image845.png"/><Relationship Id="rId846" Type="http://schemas.openxmlformats.org/officeDocument/2006/relationships/image" Target="media/image844.png"/><Relationship Id="rId845" Type="http://schemas.openxmlformats.org/officeDocument/2006/relationships/image" Target="media/image843.png"/><Relationship Id="rId844" Type="http://schemas.openxmlformats.org/officeDocument/2006/relationships/image" Target="media/image842.png"/><Relationship Id="rId843" Type="http://schemas.openxmlformats.org/officeDocument/2006/relationships/footer" Target="footer345.xml"/><Relationship Id="rId842" Type="http://schemas.openxmlformats.org/officeDocument/2006/relationships/header" Target="header166.xml"/><Relationship Id="rId841" Type="http://schemas.openxmlformats.org/officeDocument/2006/relationships/image" Target="media/image839.png"/><Relationship Id="rId840" Type="http://schemas.openxmlformats.org/officeDocument/2006/relationships/image" Target="media/image838.png"/><Relationship Id="rId84" Type="http://schemas.openxmlformats.org/officeDocument/2006/relationships/footer" Target="footer56.xml"/><Relationship Id="rId839" Type="http://schemas.openxmlformats.org/officeDocument/2006/relationships/image" Target="media/image837.png"/><Relationship Id="rId838" Type="http://schemas.openxmlformats.org/officeDocument/2006/relationships/footer" Target="footer344.xml"/><Relationship Id="rId837" Type="http://schemas.openxmlformats.org/officeDocument/2006/relationships/header" Target="header165.xml"/><Relationship Id="rId836" Type="http://schemas.openxmlformats.org/officeDocument/2006/relationships/image" Target="media/image834.png"/><Relationship Id="rId835" Type="http://schemas.openxmlformats.org/officeDocument/2006/relationships/footer" Target="footer343.xml"/><Relationship Id="rId834" Type="http://schemas.openxmlformats.org/officeDocument/2006/relationships/image" Target="media/image832.png"/><Relationship Id="rId833" Type="http://schemas.openxmlformats.org/officeDocument/2006/relationships/footer" Target="footer342.xml"/><Relationship Id="rId832" Type="http://schemas.openxmlformats.org/officeDocument/2006/relationships/image" Target="media/image830.png"/><Relationship Id="rId831" Type="http://schemas.openxmlformats.org/officeDocument/2006/relationships/footer" Target="footer341.xml"/><Relationship Id="rId830" Type="http://schemas.openxmlformats.org/officeDocument/2006/relationships/image" Target="media/image828.png"/><Relationship Id="rId83" Type="http://schemas.openxmlformats.org/officeDocument/2006/relationships/image" Target="media/image81.png"/><Relationship Id="rId829" Type="http://schemas.openxmlformats.org/officeDocument/2006/relationships/footer" Target="footer340.xml"/><Relationship Id="rId828" Type="http://schemas.openxmlformats.org/officeDocument/2006/relationships/image" Target="media/image826.png"/><Relationship Id="rId827" Type="http://schemas.openxmlformats.org/officeDocument/2006/relationships/footer" Target="footer339.xml"/><Relationship Id="rId826" Type="http://schemas.openxmlformats.org/officeDocument/2006/relationships/header" Target="header164.xml"/><Relationship Id="rId825" Type="http://schemas.openxmlformats.org/officeDocument/2006/relationships/image" Target="media/image823.png"/><Relationship Id="rId824" Type="http://schemas.openxmlformats.org/officeDocument/2006/relationships/footer" Target="footer338.xml"/><Relationship Id="rId823" Type="http://schemas.openxmlformats.org/officeDocument/2006/relationships/image" Target="media/image821.png"/><Relationship Id="rId822" Type="http://schemas.openxmlformats.org/officeDocument/2006/relationships/footer" Target="footer337.xml"/><Relationship Id="rId821" Type="http://schemas.openxmlformats.org/officeDocument/2006/relationships/image" Target="media/image819.png"/><Relationship Id="rId820" Type="http://schemas.openxmlformats.org/officeDocument/2006/relationships/footer" Target="footer336.xml"/><Relationship Id="rId82" Type="http://schemas.openxmlformats.org/officeDocument/2006/relationships/footer" Target="footer55.xml"/><Relationship Id="rId819" Type="http://schemas.openxmlformats.org/officeDocument/2006/relationships/header" Target="header163.xml"/><Relationship Id="rId818" Type="http://schemas.openxmlformats.org/officeDocument/2006/relationships/image" Target="media/image816.png"/><Relationship Id="rId817" Type="http://schemas.openxmlformats.org/officeDocument/2006/relationships/footer" Target="footer335.xml"/><Relationship Id="rId816" Type="http://schemas.openxmlformats.org/officeDocument/2006/relationships/header" Target="header162.xml"/><Relationship Id="rId815" Type="http://schemas.openxmlformats.org/officeDocument/2006/relationships/image" Target="media/image813.png"/><Relationship Id="rId814" Type="http://schemas.openxmlformats.org/officeDocument/2006/relationships/footer" Target="footer334.xml"/><Relationship Id="rId813" Type="http://schemas.openxmlformats.org/officeDocument/2006/relationships/header" Target="header161.xml"/><Relationship Id="rId812" Type="http://schemas.openxmlformats.org/officeDocument/2006/relationships/image" Target="media/image810.png"/><Relationship Id="rId811" Type="http://schemas.openxmlformats.org/officeDocument/2006/relationships/footer" Target="footer333.xml"/><Relationship Id="rId810" Type="http://schemas.openxmlformats.org/officeDocument/2006/relationships/header" Target="header160.xml"/><Relationship Id="rId81" Type="http://schemas.openxmlformats.org/officeDocument/2006/relationships/image" Target="media/image79.png"/><Relationship Id="rId809" Type="http://schemas.openxmlformats.org/officeDocument/2006/relationships/image" Target="media/image807.png"/><Relationship Id="rId808" Type="http://schemas.openxmlformats.org/officeDocument/2006/relationships/footer" Target="footer332.xml"/><Relationship Id="rId807" Type="http://schemas.openxmlformats.org/officeDocument/2006/relationships/header" Target="header159.xml"/><Relationship Id="rId806" Type="http://schemas.openxmlformats.org/officeDocument/2006/relationships/image" Target="media/image804.jpeg"/><Relationship Id="rId805" Type="http://schemas.openxmlformats.org/officeDocument/2006/relationships/image" Target="media/image803.png"/><Relationship Id="rId804" Type="http://schemas.openxmlformats.org/officeDocument/2006/relationships/footer" Target="footer331.xml"/><Relationship Id="rId803" Type="http://schemas.openxmlformats.org/officeDocument/2006/relationships/header" Target="header158.xml"/><Relationship Id="rId802" Type="http://schemas.openxmlformats.org/officeDocument/2006/relationships/image" Target="media/image800.jpeg"/><Relationship Id="rId801" Type="http://schemas.openxmlformats.org/officeDocument/2006/relationships/image" Target="media/image799.png"/><Relationship Id="rId800" Type="http://schemas.openxmlformats.org/officeDocument/2006/relationships/footer" Target="footer330.xml"/><Relationship Id="rId80" Type="http://schemas.openxmlformats.org/officeDocument/2006/relationships/footer" Target="footer54.xml"/><Relationship Id="rId8" Type="http://schemas.openxmlformats.org/officeDocument/2006/relationships/footer" Target="footer3.xml"/><Relationship Id="rId799" Type="http://schemas.openxmlformats.org/officeDocument/2006/relationships/header" Target="header157.xml"/><Relationship Id="rId798" Type="http://schemas.openxmlformats.org/officeDocument/2006/relationships/image" Target="media/image796.jpeg"/><Relationship Id="rId797" Type="http://schemas.openxmlformats.org/officeDocument/2006/relationships/footer" Target="footer329.xml"/><Relationship Id="rId796" Type="http://schemas.openxmlformats.org/officeDocument/2006/relationships/image" Target="media/image794.png"/><Relationship Id="rId795" Type="http://schemas.openxmlformats.org/officeDocument/2006/relationships/footer" Target="footer328.xml"/><Relationship Id="rId794" Type="http://schemas.openxmlformats.org/officeDocument/2006/relationships/header" Target="header156.xml"/><Relationship Id="rId793" Type="http://schemas.openxmlformats.org/officeDocument/2006/relationships/image" Target="media/image791.jpeg"/><Relationship Id="rId792" Type="http://schemas.openxmlformats.org/officeDocument/2006/relationships/footer" Target="footer327.xml"/><Relationship Id="rId791" Type="http://schemas.openxmlformats.org/officeDocument/2006/relationships/image" Target="media/image789.png"/><Relationship Id="rId790" Type="http://schemas.openxmlformats.org/officeDocument/2006/relationships/footer" Target="footer326.xml"/><Relationship Id="rId79" Type="http://schemas.openxmlformats.org/officeDocument/2006/relationships/image" Target="media/image77.png"/><Relationship Id="rId789" Type="http://schemas.openxmlformats.org/officeDocument/2006/relationships/header" Target="header155.xml"/><Relationship Id="rId788" Type="http://schemas.openxmlformats.org/officeDocument/2006/relationships/image" Target="media/image786.jpeg"/><Relationship Id="rId787" Type="http://schemas.openxmlformats.org/officeDocument/2006/relationships/footer" Target="footer325.xml"/><Relationship Id="rId786" Type="http://schemas.openxmlformats.org/officeDocument/2006/relationships/header" Target="header154.xml"/><Relationship Id="rId785" Type="http://schemas.openxmlformats.org/officeDocument/2006/relationships/image" Target="media/image783.png"/><Relationship Id="rId784" Type="http://schemas.openxmlformats.org/officeDocument/2006/relationships/footer" Target="footer324.xml"/><Relationship Id="rId783" Type="http://schemas.openxmlformats.org/officeDocument/2006/relationships/image" Target="media/image781.jpeg"/><Relationship Id="rId782" Type="http://schemas.openxmlformats.org/officeDocument/2006/relationships/footer" Target="footer323.xml"/><Relationship Id="rId781" Type="http://schemas.openxmlformats.org/officeDocument/2006/relationships/image" Target="media/image779.png"/><Relationship Id="rId780" Type="http://schemas.openxmlformats.org/officeDocument/2006/relationships/footer" Target="footer322.xml"/><Relationship Id="rId78" Type="http://schemas.openxmlformats.org/officeDocument/2006/relationships/footer" Target="footer53.xml"/><Relationship Id="rId779" Type="http://schemas.openxmlformats.org/officeDocument/2006/relationships/image" Target="media/image777.jpeg"/><Relationship Id="rId778" Type="http://schemas.openxmlformats.org/officeDocument/2006/relationships/footer" Target="footer321.xml"/><Relationship Id="rId777" Type="http://schemas.openxmlformats.org/officeDocument/2006/relationships/image" Target="media/image775.png"/><Relationship Id="rId776" Type="http://schemas.openxmlformats.org/officeDocument/2006/relationships/footer" Target="footer320.xml"/><Relationship Id="rId775" Type="http://schemas.openxmlformats.org/officeDocument/2006/relationships/image" Target="media/image773.jpeg"/><Relationship Id="rId774" Type="http://schemas.openxmlformats.org/officeDocument/2006/relationships/footer" Target="footer319.xml"/><Relationship Id="rId773" Type="http://schemas.openxmlformats.org/officeDocument/2006/relationships/image" Target="media/image771.png"/><Relationship Id="rId772" Type="http://schemas.openxmlformats.org/officeDocument/2006/relationships/footer" Target="footer318.xml"/><Relationship Id="rId771" Type="http://schemas.openxmlformats.org/officeDocument/2006/relationships/image" Target="media/image769.jpeg"/><Relationship Id="rId770" Type="http://schemas.openxmlformats.org/officeDocument/2006/relationships/footer" Target="footer317.xml"/><Relationship Id="rId77" Type="http://schemas.openxmlformats.org/officeDocument/2006/relationships/image" Target="media/image75.png"/><Relationship Id="rId769" Type="http://schemas.openxmlformats.org/officeDocument/2006/relationships/image" Target="media/image767.png"/><Relationship Id="rId768" Type="http://schemas.openxmlformats.org/officeDocument/2006/relationships/footer" Target="footer316.xml"/><Relationship Id="rId767" Type="http://schemas.openxmlformats.org/officeDocument/2006/relationships/image" Target="media/image765.jpeg"/><Relationship Id="rId766" Type="http://schemas.openxmlformats.org/officeDocument/2006/relationships/footer" Target="footer315.xml"/><Relationship Id="rId765" Type="http://schemas.openxmlformats.org/officeDocument/2006/relationships/image" Target="media/image763.png"/><Relationship Id="rId764" Type="http://schemas.openxmlformats.org/officeDocument/2006/relationships/footer" Target="footer314.xml"/><Relationship Id="rId763" Type="http://schemas.openxmlformats.org/officeDocument/2006/relationships/image" Target="media/image761.jpeg"/><Relationship Id="rId762" Type="http://schemas.openxmlformats.org/officeDocument/2006/relationships/footer" Target="footer313.xml"/><Relationship Id="rId761" Type="http://schemas.openxmlformats.org/officeDocument/2006/relationships/image" Target="media/image759.jpeg"/><Relationship Id="rId760" Type="http://schemas.openxmlformats.org/officeDocument/2006/relationships/image" Target="media/image758.png"/><Relationship Id="rId76" Type="http://schemas.openxmlformats.org/officeDocument/2006/relationships/footer" Target="footer52.xml"/><Relationship Id="rId759" Type="http://schemas.openxmlformats.org/officeDocument/2006/relationships/footer" Target="footer312.xml"/><Relationship Id="rId758" Type="http://schemas.openxmlformats.org/officeDocument/2006/relationships/image" Target="media/image756.jpeg"/><Relationship Id="rId757" Type="http://schemas.openxmlformats.org/officeDocument/2006/relationships/footer" Target="footer311.xml"/><Relationship Id="rId756" Type="http://schemas.openxmlformats.org/officeDocument/2006/relationships/image" Target="media/image754.png"/><Relationship Id="rId755" Type="http://schemas.openxmlformats.org/officeDocument/2006/relationships/footer" Target="footer310.xml"/><Relationship Id="rId754" Type="http://schemas.openxmlformats.org/officeDocument/2006/relationships/image" Target="media/image752.jpeg"/><Relationship Id="rId753" Type="http://schemas.openxmlformats.org/officeDocument/2006/relationships/footer" Target="footer309.xml"/><Relationship Id="rId752" Type="http://schemas.openxmlformats.org/officeDocument/2006/relationships/image" Target="media/image750.png"/><Relationship Id="rId751" Type="http://schemas.openxmlformats.org/officeDocument/2006/relationships/footer" Target="footer308.xml"/><Relationship Id="rId750" Type="http://schemas.openxmlformats.org/officeDocument/2006/relationships/header" Target="header153.xml"/><Relationship Id="rId75" Type="http://schemas.openxmlformats.org/officeDocument/2006/relationships/image" Target="media/image73.png"/><Relationship Id="rId749" Type="http://schemas.openxmlformats.org/officeDocument/2006/relationships/image" Target="media/image747.jpeg"/><Relationship Id="rId748" Type="http://schemas.openxmlformats.org/officeDocument/2006/relationships/footer" Target="footer307.xml"/><Relationship Id="rId747" Type="http://schemas.openxmlformats.org/officeDocument/2006/relationships/image" Target="media/image745.png"/><Relationship Id="rId746" Type="http://schemas.openxmlformats.org/officeDocument/2006/relationships/footer" Target="footer306.xml"/><Relationship Id="rId745" Type="http://schemas.openxmlformats.org/officeDocument/2006/relationships/image" Target="media/image743.jpeg"/><Relationship Id="rId744" Type="http://schemas.openxmlformats.org/officeDocument/2006/relationships/footer" Target="footer305.xml"/><Relationship Id="rId743" Type="http://schemas.openxmlformats.org/officeDocument/2006/relationships/header" Target="header152.xml"/><Relationship Id="rId742" Type="http://schemas.openxmlformats.org/officeDocument/2006/relationships/image" Target="media/image740.png"/><Relationship Id="rId741" Type="http://schemas.openxmlformats.org/officeDocument/2006/relationships/image" Target="media/image739.png"/><Relationship Id="rId740" Type="http://schemas.openxmlformats.org/officeDocument/2006/relationships/image" Target="media/image738.png"/><Relationship Id="rId74" Type="http://schemas.openxmlformats.org/officeDocument/2006/relationships/footer" Target="footer51.xml"/><Relationship Id="rId739" Type="http://schemas.openxmlformats.org/officeDocument/2006/relationships/image" Target="media/image737.png"/><Relationship Id="rId738" Type="http://schemas.openxmlformats.org/officeDocument/2006/relationships/footer" Target="footer304.xml"/><Relationship Id="rId737" Type="http://schemas.openxmlformats.org/officeDocument/2006/relationships/header" Target="header151.xml"/><Relationship Id="rId736" Type="http://schemas.openxmlformats.org/officeDocument/2006/relationships/image" Target="media/image734.jpeg"/><Relationship Id="rId735" Type="http://schemas.openxmlformats.org/officeDocument/2006/relationships/image" Target="media/image733.png"/><Relationship Id="rId734" Type="http://schemas.openxmlformats.org/officeDocument/2006/relationships/image" Target="media/image732.jpeg"/><Relationship Id="rId733" Type="http://schemas.openxmlformats.org/officeDocument/2006/relationships/footer" Target="footer303.xml"/><Relationship Id="rId732" Type="http://schemas.openxmlformats.org/officeDocument/2006/relationships/image" Target="media/image730.png"/><Relationship Id="rId731" Type="http://schemas.openxmlformats.org/officeDocument/2006/relationships/footer" Target="footer302.xml"/><Relationship Id="rId730" Type="http://schemas.openxmlformats.org/officeDocument/2006/relationships/image" Target="media/image728.jpeg"/><Relationship Id="rId73" Type="http://schemas.openxmlformats.org/officeDocument/2006/relationships/image" Target="media/image71.png"/><Relationship Id="rId729" Type="http://schemas.openxmlformats.org/officeDocument/2006/relationships/footer" Target="footer301.xml"/><Relationship Id="rId728" Type="http://schemas.openxmlformats.org/officeDocument/2006/relationships/header" Target="header150.xml"/><Relationship Id="rId727" Type="http://schemas.openxmlformats.org/officeDocument/2006/relationships/image" Target="media/image725.png"/><Relationship Id="rId726" Type="http://schemas.openxmlformats.org/officeDocument/2006/relationships/footer" Target="footer300.xml"/><Relationship Id="rId725" Type="http://schemas.openxmlformats.org/officeDocument/2006/relationships/image" Target="media/image723.jpeg"/><Relationship Id="rId724" Type="http://schemas.openxmlformats.org/officeDocument/2006/relationships/footer" Target="footer299.xml"/><Relationship Id="rId723" Type="http://schemas.openxmlformats.org/officeDocument/2006/relationships/header" Target="header149.xml"/><Relationship Id="rId722" Type="http://schemas.openxmlformats.org/officeDocument/2006/relationships/image" Target="media/image720.png"/><Relationship Id="rId721" Type="http://schemas.openxmlformats.org/officeDocument/2006/relationships/footer" Target="footer298.xml"/><Relationship Id="rId720" Type="http://schemas.openxmlformats.org/officeDocument/2006/relationships/header" Target="header148.xml"/><Relationship Id="rId72" Type="http://schemas.openxmlformats.org/officeDocument/2006/relationships/footer" Target="footer50.xml"/><Relationship Id="rId719" Type="http://schemas.openxmlformats.org/officeDocument/2006/relationships/image" Target="media/image717.png"/><Relationship Id="rId718" Type="http://schemas.openxmlformats.org/officeDocument/2006/relationships/footer" Target="footer297.xml"/><Relationship Id="rId717" Type="http://schemas.openxmlformats.org/officeDocument/2006/relationships/header" Target="header147.xml"/><Relationship Id="rId716" Type="http://schemas.openxmlformats.org/officeDocument/2006/relationships/image" Target="media/image714.png"/><Relationship Id="rId715" Type="http://schemas.openxmlformats.org/officeDocument/2006/relationships/footer" Target="footer296.xml"/><Relationship Id="rId714" Type="http://schemas.openxmlformats.org/officeDocument/2006/relationships/image" Target="media/image712.png"/><Relationship Id="rId713" Type="http://schemas.openxmlformats.org/officeDocument/2006/relationships/footer" Target="footer295.xml"/><Relationship Id="rId712" Type="http://schemas.openxmlformats.org/officeDocument/2006/relationships/image" Target="media/image710.png"/><Relationship Id="rId711" Type="http://schemas.openxmlformats.org/officeDocument/2006/relationships/image" Target="media/image709.png"/><Relationship Id="rId710" Type="http://schemas.openxmlformats.org/officeDocument/2006/relationships/footer" Target="footer294.xml"/><Relationship Id="rId71" Type="http://schemas.openxmlformats.org/officeDocument/2006/relationships/image" Target="media/image69.png"/><Relationship Id="rId709" Type="http://schemas.openxmlformats.org/officeDocument/2006/relationships/image" Target="media/image707.png"/><Relationship Id="rId708" Type="http://schemas.openxmlformats.org/officeDocument/2006/relationships/footer" Target="footer293.xml"/><Relationship Id="rId707" Type="http://schemas.openxmlformats.org/officeDocument/2006/relationships/header" Target="header146.xml"/><Relationship Id="rId706" Type="http://schemas.openxmlformats.org/officeDocument/2006/relationships/image" Target="media/image704.png"/><Relationship Id="rId705" Type="http://schemas.openxmlformats.org/officeDocument/2006/relationships/footer" Target="footer292.xml"/><Relationship Id="rId704" Type="http://schemas.openxmlformats.org/officeDocument/2006/relationships/image" Target="media/image702.png"/><Relationship Id="rId703" Type="http://schemas.openxmlformats.org/officeDocument/2006/relationships/footer" Target="footer291.xml"/><Relationship Id="rId702" Type="http://schemas.openxmlformats.org/officeDocument/2006/relationships/image" Target="media/image700.png"/><Relationship Id="rId701" Type="http://schemas.openxmlformats.org/officeDocument/2006/relationships/footer" Target="footer290.xml"/><Relationship Id="rId700" Type="http://schemas.openxmlformats.org/officeDocument/2006/relationships/image" Target="media/image698.png"/><Relationship Id="rId70" Type="http://schemas.openxmlformats.org/officeDocument/2006/relationships/footer" Target="footer49.xml"/><Relationship Id="rId7" Type="http://schemas.openxmlformats.org/officeDocument/2006/relationships/header" Target="header3.xml"/><Relationship Id="rId699" Type="http://schemas.openxmlformats.org/officeDocument/2006/relationships/footer" Target="footer289.xml"/><Relationship Id="rId698" Type="http://schemas.openxmlformats.org/officeDocument/2006/relationships/image" Target="media/image696.png"/><Relationship Id="rId697" Type="http://schemas.openxmlformats.org/officeDocument/2006/relationships/footer" Target="footer288.xml"/><Relationship Id="rId696" Type="http://schemas.openxmlformats.org/officeDocument/2006/relationships/image" Target="media/image694.png"/><Relationship Id="rId695" Type="http://schemas.openxmlformats.org/officeDocument/2006/relationships/footer" Target="footer287.xml"/><Relationship Id="rId694" Type="http://schemas.openxmlformats.org/officeDocument/2006/relationships/image" Target="media/image692.png"/><Relationship Id="rId693" Type="http://schemas.openxmlformats.org/officeDocument/2006/relationships/footer" Target="footer286.xml"/><Relationship Id="rId692" Type="http://schemas.openxmlformats.org/officeDocument/2006/relationships/header" Target="header145.xml"/><Relationship Id="rId691" Type="http://schemas.openxmlformats.org/officeDocument/2006/relationships/image" Target="media/image689.png"/><Relationship Id="rId690" Type="http://schemas.openxmlformats.org/officeDocument/2006/relationships/footer" Target="footer285.xml"/><Relationship Id="rId69" Type="http://schemas.openxmlformats.org/officeDocument/2006/relationships/image" Target="media/image67.png"/><Relationship Id="rId689" Type="http://schemas.openxmlformats.org/officeDocument/2006/relationships/header" Target="header144.xml"/><Relationship Id="rId688" Type="http://schemas.openxmlformats.org/officeDocument/2006/relationships/image" Target="media/image686.png"/><Relationship Id="rId687" Type="http://schemas.openxmlformats.org/officeDocument/2006/relationships/footer" Target="footer284.xml"/><Relationship Id="rId686" Type="http://schemas.openxmlformats.org/officeDocument/2006/relationships/header" Target="header143.xml"/><Relationship Id="rId685" Type="http://schemas.openxmlformats.org/officeDocument/2006/relationships/image" Target="media/image683.png"/><Relationship Id="rId684" Type="http://schemas.openxmlformats.org/officeDocument/2006/relationships/footer" Target="footer283.xml"/><Relationship Id="rId683" Type="http://schemas.openxmlformats.org/officeDocument/2006/relationships/image" Target="media/image681.png"/><Relationship Id="rId682" Type="http://schemas.openxmlformats.org/officeDocument/2006/relationships/footer" Target="footer282.xml"/><Relationship Id="rId681" Type="http://schemas.openxmlformats.org/officeDocument/2006/relationships/image" Target="media/image679.png"/><Relationship Id="rId680" Type="http://schemas.openxmlformats.org/officeDocument/2006/relationships/footer" Target="footer281.xml"/><Relationship Id="rId68" Type="http://schemas.openxmlformats.org/officeDocument/2006/relationships/footer" Target="footer48.xml"/><Relationship Id="rId679" Type="http://schemas.openxmlformats.org/officeDocument/2006/relationships/image" Target="media/image677.png"/><Relationship Id="rId678" Type="http://schemas.openxmlformats.org/officeDocument/2006/relationships/footer" Target="footer280.xml"/><Relationship Id="rId677" Type="http://schemas.openxmlformats.org/officeDocument/2006/relationships/header" Target="header142.xml"/><Relationship Id="rId676" Type="http://schemas.openxmlformats.org/officeDocument/2006/relationships/image" Target="media/image674.png"/><Relationship Id="rId675" Type="http://schemas.openxmlformats.org/officeDocument/2006/relationships/footer" Target="footer279.xml"/><Relationship Id="rId674" Type="http://schemas.openxmlformats.org/officeDocument/2006/relationships/image" Target="media/image672.png"/><Relationship Id="rId673" Type="http://schemas.openxmlformats.org/officeDocument/2006/relationships/footer" Target="footer278.xml"/><Relationship Id="rId672" Type="http://schemas.openxmlformats.org/officeDocument/2006/relationships/image" Target="media/image670.png"/><Relationship Id="rId671" Type="http://schemas.openxmlformats.org/officeDocument/2006/relationships/footer" Target="footer277.xml"/><Relationship Id="rId670" Type="http://schemas.openxmlformats.org/officeDocument/2006/relationships/image" Target="media/image668.png"/><Relationship Id="rId67" Type="http://schemas.openxmlformats.org/officeDocument/2006/relationships/image" Target="media/image65.png"/><Relationship Id="rId669" Type="http://schemas.openxmlformats.org/officeDocument/2006/relationships/footer" Target="footer276.xml"/><Relationship Id="rId668" Type="http://schemas.openxmlformats.org/officeDocument/2006/relationships/header" Target="header141.xml"/><Relationship Id="rId667" Type="http://schemas.openxmlformats.org/officeDocument/2006/relationships/image" Target="media/image665.png"/><Relationship Id="rId666" Type="http://schemas.openxmlformats.org/officeDocument/2006/relationships/footer" Target="footer275.xml"/><Relationship Id="rId665" Type="http://schemas.openxmlformats.org/officeDocument/2006/relationships/header" Target="header140.xml"/><Relationship Id="rId664" Type="http://schemas.openxmlformats.org/officeDocument/2006/relationships/image" Target="media/image662.png"/><Relationship Id="rId663" Type="http://schemas.openxmlformats.org/officeDocument/2006/relationships/footer" Target="footer274.xml"/><Relationship Id="rId662" Type="http://schemas.openxmlformats.org/officeDocument/2006/relationships/header" Target="header139.xml"/><Relationship Id="rId661" Type="http://schemas.openxmlformats.org/officeDocument/2006/relationships/image" Target="media/image659.png"/><Relationship Id="rId660" Type="http://schemas.openxmlformats.org/officeDocument/2006/relationships/footer" Target="footer273.xml"/><Relationship Id="rId66" Type="http://schemas.openxmlformats.org/officeDocument/2006/relationships/footer" Target="footer47.xml"/><Relationship Id="rId659" Type="http://schemas.openxmlformats.org/officeDocument/2006/relationships/image" Target="media/image657.png"/><Relationship Id="rId658" Type="http://schemas.openxmlformats.org/officeDocument/2006/relationships/footer" Target="footer272.xml"/><Relationship Id="rId657" Type="http://schemas.openxmlformats.org/officeDocument/2006/relationships/header" Target="header138.xml"/><Relationship Id="rId656" Type="http://schemas.openxmlformats.org/officeDocument/2006/relationships/image" Target="media/image654.png"/><Relationship Id="rId655" Type="http://schemas.openxmlformats.org/officeDocument/2006/relationships/footer" Target="footer271.xml"/><Relationship Id="rId654" Type="http://schemas.openxmlformats.org/officeDocument/2006/relationships/header" Target="header137.xml"/><Relationship Id="rId653" Type="http://schemas.openxmlformats.org/officeDocument/2006/relationships/image" Target="media/image651.png"/><Relationship Id="rId652" Type="http://schemas.openxmlformats.org/officeDocument/2006/relationships/footer" Target="footer270.xml"/><Relationship Id="rId651" Type="http://schemas.openxmlformats.org/officeDocument/2006/relationships/image" Target="media/image649.png"/><Relationship Id="rId650" Type="http://schemas.openxmlformats.org/officeDocument/2006/relationships/footer" Target="footer269.xml"/><Relationship Id="rId65" Type="http://schemas.openxmlformats.org/officeDocument/2006/relationships/image" Target="media/image63.png"/><Relationship Id="rId649" Type="http://schemas.openxmlformats.org/officeDocument/2006/relationships/image" Target="media/image647.png"/><Relationship Id="rId648" Type="http://schemas.openxmlformats.org/officeDocument/2006/relationships/footer" Target="footer268.xml"/><Relationship Id="rId647" Type="http://schemas.openxmlformats.org/officeDocument/2006/relationships/header" Target="header136.xml"/><Relationship Id="rId646" Type="http://schemas.openxmlformats.org/officeDocument/2006/relationships/image" Target="media/image644.png"/><Relationship Id="rId645" Type="http://schemas.openxmlformats.org/officeDocument/2006/relationships/footer" Target="footer267.xml"/><Relationship Id="rId644" Type="http://schemas.openxmlformats.org/officeDocument/2006/relationships/header" Target="header135.xml"/><Relationship Id="rId643" Type="http://schemas.openxmlformats.org/officeDocument/2006/relationships/image" Target="media/image641.png"/><Relationship Id="rId642" Type="http://schemas.openxmlformats.org/officeDocument/2006/relationships/footer" Target="footer266.xml"/><Relationship Id="rId641" Type="http://schemas.openxmlformats.org/officeDocument/2006/relationships/header" Target="header134.xml"/><Relationship Id="rId640" Type="http://schemas.openxmlformats.org/officeDocument/2006/relationships/image" Target="media/image638.png"/><Relationship Id="rId64" Type="http://schemas.openxmlformats.org/officeDocument/2006/relationships/footer" Target="footer46.xml"/><Relationship Id="rId639" Type="http://schemas.openxmlformats.org/officeDocument/2006/relationships/footer" Target="footer265.xml"/><Relationship Id="rId638" Type="http://schemas.openxmlformats.org/officeDocument/2006/relationships/header" Target="header133.xml"/><Relationship Id="rId637" Type="http://schemas.openxmlformats.org/officeDocument/2006/relationships/image" Target="media/image635.png"/><Relationship Id="rId636" Type="http://schemas.openxmlformats.org/officeDocument/2006/relationships/footer" Target="footer264.xml"/><Relationship Id="rId635" Type="http://schemas.openxmlformats.org/officeDocument/2006/relationships/header" Target="header132.xml"/><Relationship Id="rId634" Type="http://schemas.openxmlformats.org/officeDocument/2006/relationships/image" Target="media/image632.jpeg"/><Relationship Id="rId633" Type="http://schemas.openxmlformats.org/officeDocument/2006/relationships/image" Target="media/image631.png"/><Relationship Id="rId632" Type="http://schemas.openxmlformats.org/officeDocument/2006/relationships/footer" Target="footer263.xml"/><Relationship Id="rId631" Type="http://schemas.openxmlformats.org/officeDocument/2006/relationships/header" Target="header131.xml"/><Relationship Id="rId630" Type="http://schemas.openxmlformats.org/officeDocument/2006/relationships/image" Target="media/image628.png"/><Relationship Id="rId63" Type="http://schemas.openxmlformats.org/officeDocument/2006/relationships/image" Target="media/image61.png"/><Relationship Id="rId629" Type="http://schemas.openxmlformats.org/officeDocument/2006/relationships/image" Target="media/image627.png"/><Relationship Id="rId628" Type="http://schemas.openxmlformats.org/officeDocument/2006/relationships/footer" Target="footer262.xml"/><Relationship Id="rId627" Type="http://schemas.openxmlformats.org/officeDocument/2006/relationships/image" Target="media/image625.png"/><Relationship Id="rId626" Type="http://schemas.openxmlformats.org/officeDocument/2006/relationships/footer" Target="footer261.xml"/><Relationship Id="rId625" Type="http://schemas.openxmlformats.org/officeDocument/2006/relationships/image" Target="media/image623.png"/><Relationship Id="rId624" Type="http://schemas.openxmlformats.org/officeDocument/2006/relationships/footer" Target="footer260.xml"/><Relationship Id="rId623" Type="http://schemas.openxmlformats.org/officeDocument/2006/relationships/image" Target="media/image621.png"/><Relationship Id="rId622" Type="http://schemas.openxmlformats.org/officeDocument/2006/relationships/footer" Target="footer259.xml"/><Relationship Id="rId621" Type="http://schemas.openxmlformats.org/officeDocument/2006/relationships/image" Target="media/image619.png"/><Relationship Id="rId620" Type="http://schemas.openxmlformats.org/officeDocument/2006/relationships/footer" Target="footer258.xml"/><Relationship Id="rId62" Type="http://schemas.openxmlformats.org/officeDocument/2006/relationships/footer" Target="footer45.xml"/><Relationship Id="rId619" Type="http://schemas.openxmlformats.org/officeDocument/2006/relationships/image" Target="media/image617.png"/><Relationship Id="rId618" Type="http://schemas.openxmlformats.org/officeDocument/2006/relationships/footer" Target="footer257.xml"/><Relationship Id="rId617" Type="http://schemas.openxmlformats.org/officeDocument/2006/relationships/image" Target="media/image615.png"/><Relationship Id="rId616" Type="http://schemas.openxmlformats.org/officeDocument/2006/relationships/footer" Target="footer256.xml"/><Relationship Id="rId615" Type="http://schemas.openxmlformats.org/officeDocument/2006/relationships/image" Target="media/image613.png"/><Relationship Id="rId614" Type="http://schemas.openxmlformats.org/officeDocument/2006/relationships/footer" Target="footer255.xml"/><Relationship Id="rId613" Type="http://schemas.openxmlformats.org/officeDocument/2006/relationships/header" Target="header130.xml"/><Relationship Id="rId612" Type="http://schemas.openxmlformats.org/officeDocument/2006/relationships/image" Target="media/image610.png"/><Relationship Id="rId611" Type="http://schemas.openxmlformats.org/officeDocument/2006/relationships/image" Target="media/image609.png"/><Relationship Id="rId610" Type="http://schemas.openxmlformats.org/officeDocument/2006/relationships/footer" Target="footer254.xml"/><Relationship Id="rId61" Type="http://schemas.openxmlformats.org/officeDocument/2006/relationships/header" Target="header13.xml"/><Relationship Id="rId609" Type="http://schemas.openxmlformats.org/officeDocument/2006/relationships/header" Target="header129.xml"/><Relationship Id="rId608" Type="http://schemas.openxmlformats.org/officeDocument/2006/relationships/image" Target="media/image606.png"/><Relationship Id="rId607" Type="http://schemas.openxmlformats.org/officeDocument/2006/relationships/footer" Target="footer253.xml"/><Relationship Id="rId606" Type="http://schemas.openxmlformats.org/officeDocument/2006/relationships/header" Target="header128.xml"/><Relationship Id="rId605" Type="http://schemas.openxmlformats.org/officeDocument/2006/relationships/image" Target="media/image603.png"/><Relationship Id="rId604" Type="http://schemas.openxmlformats.org/officeDocument/2006/relationships/footer" Target="footer252.xml"/><Relationship Id="rId603" Type="http://schemas.openxmlformats.org/officeDocument/2006/relationships/header" Target="header127.xml"/><Relationship Id="rId602" Type="http://schemas.openxmlformats.org/officeDocument/2006/relationships/image" Target="media/image600.png"/><Relationship Id="rId601" Type="http://schemas.openxmlformats.org/officeDocument/2006/relationships/footer" Target="footer251.xml"/><Relationship Id="rId600" Type="http://schemas.openxmlformats.org/officeDocument/2006/relationships/header" Target="header126.xml"/><Relationship Id="rId60" Type="http://schemas.openxmlformats.org/officeDocument/2006/relationships/image" Target="media/image58.png"/><Relationship Id="rId6" Type="http://schemas.openxmlformats.org/officeDocument/2006/relationships/footer" Target="footer2.xml"/><Relationship Id="rId599" Type="http://schemas.openxmlformats.org/officeDocument/2006/relationships/image" Target="media/image597.png"/><Relationship Id="rId598" Type="http://schemas.openxmlformats.org/officeDocument/2006/relationships/footer" Target="footer250.xml"/><Relationship Id="rId597" Type="http://schemas.openxmlformats.org/officeDocument/2006/relationships/header" Target="header125.xml"/><Relationship Id="rId596" Type="http://schemas.openxmlformats.org/officeDocument/2006/relationships/image" Target="media/image594.png"/><Relationship Id="rId595" Type="http://schemas.openxmlformats.org/officeDocument/2006/relationships/footer" Target="footer249.xml"/><Relationship Id="rId594" Type="http://schemas.openxmlformats.org/officeDocument/2006/relationships/image" Target="media/image592.png"/><Relationship Id="rId593" Type="http://schemas.openxmlformats.org/officeDocument/2006/relationships/footer" Target="footer248.xml"/><Relationship Id="rId592" Type="http://schemas.openxmlformats.org/officeDocument/2006/relationships/image" Target="media/image590.png"/><Relationship Id="rId591" Type="http://schemas.openxmlformats.org/officeDocument/2006/relationships/footer" Target="footer247.xml"/><Relationship Id="rId590" Type="http://schemas.openxmlformats.org/officeDocument/2006/relationships/image" Target="media/image588.png"/><Relationship Id="rId59" Type="http://schemas.openxmlformats.org/officeDocument/2006/relationships/image" Target="media/image57.png"/><Relationship Id="rId589" Type="http://schemas.openxmlformats.org/officeDocument/2006/relationships/footer" Target="footer246.xml"/><Relationship Id="rId588" Type="http://schemas.openxmlformats.org/officeDocument/2006/relationships/image" Target="media/image586.png"/><Relationship Id="rId587" Type="http://schemas.openxmlformats.org/officeDocument/2006/relationships/footer" Target="footer245.xml"/><Relationship Id="rId586" Type="http://schemas.openxmlformats.org/officeDocument/2006/relationships/header" Target="header124.xml"/><Relationship Id="rId585" Type="http://schemas.openxmlformats.org/officeDocument/2006/relationships/image" Target="media/image583.png"/><Relationship Id="rId584" Type="http://schemas.openxmlformats.org/officeDocument/2006/relationships/footer" Target="footer244.xml"/><Relationship Id="rId583" Type="http://schemas.openxmlformats.org/officeDocument/2006/relationships/header" Target="header123.xml"/><Relationship Id="rId582" Type="http://schemas.openxmlformats.org/officeDocument/2006/relationships/image" Target="media/image580.png"/><Relationship Id="rId581" Type="http://schemas.openxmlformats.org/officeDocument/2006/relationships/footer" Target="footer243.xml"/><Relationship Id="rId580" Type="http://schemas.openxmlformats.org/officeDocument/2006/relationships/image" Target="media/image578.png"/><Relationship Id="rId58" Type="http://schemas.openxmlformats.org/officeDocument/2006/relationships/footer" Target="footer44.xml"/><Relationship Id="rId579" Type="http://schemas.openxmlformats.org/officeDocument/2006/relationships/footer" Target="footer242.xml"/><Relationship Id="rId578" Type="http://schemas.openxmlformats.org/officeDocument/2006/relationships/header" Target="header122.xml"/><Relationship Id="rId577" Type="http://schemas.openxmlformats.org/officeDocument/2006/relationships/image" Target="media/image575.png"/><Relationship Id="rId576" Type="http://schemas.openxmlformats.org/officeDocument/2006/relationships/footer" Target="footer241.xml"/><Relationship Id="rId575" Type="http://schemas.openxmlformats.org/officeDocument/2006/relationships/header" Target="header121.xml"/><Relationship Id="rId574" Type="http://schemas.openxmlformats.org/officeDocument/2006/relationships/image" Target="media/image572.png"/><Relationship Id="rId573" Type="http://schemas.openxmlformats.org/officeDocument/2006/relationships/footer" Target="footer240.xml"/><Relationship Id="rId572" Type="http://schemas.openxmlformats.org/officeDocument/2006/relationships/header" Target="header120.xml"/><Relationship Id="rId571" Type="http://schemas.openxmlformats.org/officeDocument/2006/relationships/image" Target="media/image569.png"/><Relationship Id="rId570" Type="http://schemas.openxmlformats.org/officeDocument/2006/relationships/footer" Target="footer239.xml"/><Relationship Id="rId57" Type="http://schemas.openxmlformats.org/officeDocument/2006/relationships/header" Target="header12.xml"/><Relationship Id="rId569" Type="http://schemas.openxmlformats.org/officeDocument/2006/relationships/header" Target="header119.xml"/><Relationship Id="rId568" Type="http://schemas.openxmlformats.org/officeDocument/2006/relationships/image" Target="media/image566.png"/><Relationship Id="rId567" Type="http://schemas.openxmlformats.org/officeDocument/2006/relationships/footer" Target="footer238.xml"/><Relationship Id="rId566" Type="http://schemas.openxmlformats.org/officeDocument/2006/relationships/image" Target="media/image564.png"/><Relationship Id="rId565" Type="http://schemas.openxmlformats.org/officeDocument/2006/relationships/footer" Target="footer237.xml"/><Relationship Id="rId564" Type="http://schemas.openxmlformats.org/officeDocument/2006/relationships/header" Target="header118.xml"/><Relationship Id="rId563" Type="http://schemas.openxmlformats.org/officeDocument/2006/relationships/image" Target="media/image561.png"/><Relationship Id="rId562" Type="http://schemas.openxmlformats.org/officeDocument/2006/relationships/footer" Target="footer236.xml"/><Relationship Id="rId561" Type="http://schemas.openxmlformats.org/officeDocument/2006/relationships/header" Target="header117.xml"/><Relationship Id="rId560" Type="http://schemas.openxmlformats.org/officeDocument/2006/relationships/image" Target="media/image558.png"/><Relationship Id="rId56" Type="http://schemas.openxmlformats.org/officeDocument/2006/relationships/footer" Target="footer43.xml"/><Relationship Id="rId559" Type="http://schemas.openxmlformats.org/officeDocument/2006/relationships/footer" Target="footer235.xml"/><Relationship Id="rId558" Type="http://schemas.openxmlformats.org/officeDocument/2006/relationships/header" Target="header116.xml"/><Relationship Id="rId557" Type="http://schemas.openxmlformats.org/officeDocument/2006/relationships/image" Target="media/image555.png"/><Relationship Id="rId556" Type="http://schemas.openxmlformats.org/officeDocument/2006/relationships/footer" Target="footer234.xml"/><Relationship Id="rId555" Type="http://schemas.openxmlformats.org/officeDocument/2006/relationships/header" Target="header115.xml"/><Relationship Id="rId554" Type="http://schemas.openxmlformats.org/officeDocument/2006/relationships/image" Target="media/image552.png"/><Relationship Id="rId553" Type="http://schemas.openxmlformats.org/officeDocument/2006/relationships/footer" Target="footer233.xml"/><Relationship Id="rId552" Type="http://schemas.openxmlformats.org/officeDocument/2006/relationships/header" Target="header114.xml"/><Relationship Id="rId551" Type="http://schemas.openxmlformats.org/officeDocument/2006/relationships/image" Target="media/image549.png"/><Relationship Id="rId550" Type="http://schemas.openxmlformats.org/officeDocument/2006/relationships/footer" Target="footer232.xml"/><Relationship Id="rId55" Type="http://schemas.openxmlformats.org/officeDocument/2006/relationships/footer" Target="footer42.xml"/><Relationship Id="rId549" Type="http://schemas.openxmlformats.org/officeDocument/2006/relationships/header" Target="header113.xml"/><Relationship Id="rId548" Type="http://schemas.openxmlformats.org/officeDocument/2006/relationships/image" Target="media/image546.png"/><Relationship Id="rId547" Type="http://schemas.openxmlformats.org/officeDocument/2006/relationships/footer" Target="footer231.xml"/><Relationship Id="rId546" Type="http://schemas.openxmlformats.org/officeDocument/2006/relationships/image" Target="media/image544.png"/><Relationship Id="rId545" Type="http://schemas.openxmlformats.org/officeDocument/2006/relationships/footer" Target="footer230.xml"/><Relationship Id="rId544" Type="http://schemas.openxmlformats.org/officeDocument/2006/relationships/header" Target="header112.xml"/><Relationship Id="rId543" Type="http://schemas.openxmlformats.org/officeDocument/2006/relationships/image" Target="media/image541.png"/><Relationship Id="rId542" Type="http://schemas.openxmlformats.org/officeDocument/2006/relationships/footer" Target="footer229.xml"/><Relationship Id="rId541" Type="http://schemas.openxmlformats.org/officeDocument/2006/relationships/image" Target="media/image539.png"/><Relationship Id="rId540" Type="http://schemas.openxmlformats.org/officeDocument/2006/relationships/footer" Target="footer228.xml"/><Relationship Id="rId54" Type="http://schemas.openxmlformats.org/officeDocument/2006/relationships/footer" Target="footer41.xml"/><Relationship Id="rId539" Type="http://schemas.openxmlformats.org/officeDocument/2006/relationships/header" Target="header111.xml"/><Relationship Id="rId538" Type="http://schemas.openxmlformats.org/officeDocument/2006/relationships/image" Target="media/image536.png"/><Relationship Id="rId537" Type="http://schemas.openxmlformats.org/officeDocument/2006/relationships/footer" Target="footer227.xml"/><Relationship Id="rId536" Type="http://schemas.openxmlformats.org/officeDocument/2006/relationships/header" Target="header110.xml"/><Relationship Id="rId535" Type="http://schemas.openxmlformats.org/officeDocument/2006/relationships/image" Target="media/image533.png"/><Relationship Id="rId534" Type="http://schemas.openxmlformats.org/officeDocument/2006/relationships/footer" Target="footer226.xml"/><Relationship Id="rId533" Type="http://schemas.openxmlformats.org/officeDocument/2006/relationships/header" Target="header109.xml"/><Relationship Id="rId532" Type="http://schemas.openxmlformats.org/officeDocument/2006/relationships/image" Target="media/image530.png"/><Relationship Id="rId531" Type="http://schemas.openxmlformats.org/officeDocument/2006/relationships/footer" Target="footer225.xml"/><Relationship Id="rId530" Type="http://schemas.openxmlformats.org/officeDocument/2006/relationships/header" Target="header108.xml"/><Relationship Id="rId53" Type="http://schemas.openxmlformats.org/officeDocument/2006/relationships/footer" Target="footer40.xml"/><Relationship Id="rId529" Type="http://schemas.openxmlformats.org/officeDocument/2006/relationships/image" Target="media/image527.png"/><Relationship Id="rId528" Type="http://schemas.openxmlformats.org/officeDocument/2006/relationships/footer" Target="footer224.xml"/><Relationship Id="rId527" Type="http://schemas.openxmlformats.org/officeDocument/2006/relationships/header" Target="header107.xml"/><Relationship Id="rId526" Type="http://schemas.openxmlformats.org/officeDocument/2006/relationships/image" Target="media/image524.png"/><Relationship Id="rId525" Type="http://schemas.openxmlformats.org/officeDocument/2006/relationships/footer" Target="footer223.xml"/><Relationship Id="rId524" Type="http://schemas.openxmlformats.org/officeDocument/2006/relationships/header" Target="header106.xml"/><Relationship Id="rId523" Type="http://schemas.openxmlformats.org/officeDocument/2006/relationships/image" Target="media/image521.png"/><Relationship Id="rId522" Type="http://schemas.openxmlformats.org/officeDocument/2006/relationships/footer" Target="footer222.xml"/><Relationship Id="rId521" Type="http://schemas.openxmlformats.org/officeDocument/2006/relationships/header" Target="header105.xml"/><Relationship Id="rId520" Type="http://schemas.openxmlformats.org/officeDocument/2006/relationships/image" Target="media/image518.png"/><Relationship Id="rId52" Type="http://schemas.openxmlformats.org/officeDocument/2006/relationships/footer" Target="footer39.xml"/><Relationship Id="rId519" Type="http://schemas.openxmlformats.org/officeDocument/2006/relationships/footer" Target="footer221.xml"/><Relationship Id="rId518" Type="http://schemas.openxmlformats.org/officeDocument/2006/relationships/image" Target="media/image516.png"/><Relationship Id="rId517" Type="http://schemas.openxmlformats.org/officeDocument/2006/relationships/footer" Target="footer220.xml"/><Relationship Id="rId516" Type="http://schemas.openxmlformats.org/officeDocument/2006/relationships/header" Target="header104.xml"/><Relationship Id="rId515" Type="http://schemas.openxmlformats.org/officeDocument/2006/relationships/image" Target="media/image513.png"/><Relationship Id="rId514" Type="http://schemas.openxmlformats.org/officeDocument/2006/relationships/footer" Target="footer219.xml"/><Relationship Id="rId513" Type="http://schemas.openxmlformats.org/officeDocument/2006/relationships/header" Target="header103.xml"/><Relationship Id="rId512" Type="http://schemas.openxmlformats.org/officeDocument/2006/relationships/image" Target="media/image510.png"/><Relationship Id="rId511" Type="http://schemas.openxmlformats.org/officeDocument/2006/relationships/footer" Target="footer218.xml"/><Relationship Id="rId510" Type="http://schemas.openxmlformats.org/officeDocument/2006/relationships/header" Target="header102.xml"/><Relationship Id="rId51" Type="http://schemas.openxmlformats.org/officeDocument/2006/relationships/footer" Target="footer38.xml"/><Relationship Id="rId509" Type="http://schemas.openxmlformats.org/officeDocument/2006/relationships/image" Target="media/image507.png"/><Relationship Id="rId508" Type="http://schemas.openxmlformats.org/officeDocument/2006/relationships/footer" Target="footer217.xml"/><Relationship Id="rId507" Type="http://schemas.openxmlformats.org/officeDocument/2006/relationships/image" Target="media/image505.png"/><Relationship Id="rId506" Type="http://schemas.openxmlformats.org/officeDocument/2006/relationships/footer" Target="footer216.xml"/><Relationship Id="rId505" Type="http://schemas.openxmlformats.org/officeDocument/2006/relationships/header" Target="header101.xml"/><Relationship Id="rId504" Type="http://schemas.openxmlformats.org/officeDocument/2006/relationships/image" Target="media/image502.png"/><Relationship Id="rId503" Type="http://schemas.openxmlformats.org/officeDocument/2006/relationships/footer" Target="footer215.xml"/><Relationship Id="rId502" Type="http://schemas.openxmlformats.org/officeDocument/2006/relationships/header" Target="header100.xml"/><Relationship Id="rId501" Type="http://schemas.openxmlformats.org/officeDocument/2006/relationships/image" Target="media/image499.png"/><Relationship Id="rId500" Type="http://schemas.openxmlformats.org/officeDocument/2006/relationships/footer" Target="footer214.xml"/><Relationship Id="rId50" Type="http://schemas.openxmlformats.org/officeDocument/2006/relationships/footer" Target="footer37.xml"/><Relationship Id="rId5" Type="http://schemas.openxmlformats.org/officeDocument/2006/relationships/header" Target="header2.xml"/><Relationship Id="rId499" Type="http://schemas.openxmlformats.org/officeDocument/2006/relationships/header" Target="header99.xml"/><Relationship Id="rId498" Type="http://schemas.openxmlformats.org/officeDocument/2006/relationships/image" Target="media/image496.png"/><Relationship Id="rId497" Type="http://schemas.openxmlformats.org/officeDocument/2006/relationships/footer" Target="footer213.xml"/><Relationship Id="rId496" Type="http://schemas.openxmlformats.org/officeDocument/2006/relationships/image" Target="media/image494.png"/><Relationship Id="rId495" Type="http://schemas.openxmlformats.org/officeDocument/2006/relationships/footer" Target="footer212.xml"/><Relationship Id="rId494" Type="http://schemas.openxmlformats.org/officeDocument/2006/relationships/image" Target="media/image492.png"/><Relationship Id="rId493" Type="http://schemas.openxmlformats.org/officeDocument/2006/relationships/footer" Target="footer211.xml"/><Relationship Id="rId492" Type="http://schemas.openxmlformats.org/officeDocument/2006/relationships/image" Target="media/image490.png"/><Relationship Id="rId491" Type="http://schemas.openxmlformats.org/officeDocument/2006/relationships/footer" Target="footer210.xml"/><Relationship Id="rId490" Type="http://schemas.openxmlformats.org/officeDocument/2006/relationships/header" Target="header98.xml"/><Relationship Id="rId49" Type="http://schemas.openxmlformats.org/officeDocument/2006/relationships/footer" Target="footer36.xml"/><Relationship Id="rId489" Type="http://schemas.openxmlformats.org/officeDocument/2006/relationships/image" Target="media/image487.png"/><Relationship Id="rId488" Type="http://schemas.openxmlformats.org/officeDocument/2006/relationships/footer" Target="footer209.xml"/><Relationship Id="rId487" Type="http://schemas.openxmlformats.org/officeDocument/2006/relationships/header" Target="header97.xml"/><Relationship Id="rId486" Type="http://schemas.openxmlformats.org/officeDocument/2006/relationships/image" Target="media/image484.png"/><Relationship Id="rId485" Type="http://schemas.openxmlformats.org/officeDocument/2006/relationships/footer" Target="footer208.xml"/><Relationship Id="rId484" Type="http://schemas.openxmlformats.org/officeDocument/2006/relationships/header" Target="header96.xml"/><Relationship Id="rId483" Type="http://schemas.openxmlformats.org/officeDocument/2006/relationships/image" Target="media/image481.png"/><Relationship Id="rId482" Type="http://schemas.openxmlformats.org/officeDocument/2006/relationships/footer" Target="footer207.xml"/><Relationship Id="rId481" Type="http://schemas.openxmlformats.org/officeDocument/2006/relationships/header" Target="header95.xml"/><Relationship Id="rId480" Type="http://schemas.openxmlformats.org/officeDocument/2006/relationships/image" Target="media/image478.png"/><Relationship Id="rId48" Type="http://schemas.openxmlformats.org/officeDocument/2006/relationships/footer" Target="footer35.xml"/><Relationship Id="rId479" Type="http://schemas.openxmlformats.org/officeDocument/2006/relationships/footer" Target="footer206.xml"/><Relationship Id="rId478" Type="http://schemas.openxmlformats.org/officeDocument/2006/relationships/header" Target="header94.xml"/><Relationship Id="rId477" Type="http://schemas.openxmlformats.org/officeDocument/2006/relationships/image" Target="media/image475.png"/><Relationship Id="rId476" Type="http://schemas.openxmlformats.org/officeDocument/2006/relationships/image" Target="media/image474.png"/><Relationship Id="rId475" Type="http://schemas.openxmlformats.org/officeDocument/2006/relationships/header" Target="header93.xml"/><Relationship Id="rId474" Type="http://schemas.openxmlformats.org/officeDocument/2006/relationships/image" Target="media/image472.png"/><Relationship Id="rId473" Type="http://schemas.openxmlformats.org/officeDocument/2006/relationships/footer" Target="footer205.xml"/><Relationship Id="rId472" Type="http://schemas.openxmlformats.org/officeDocument/2006/relationships/header" Target="header92.xml"/><Relationship Id="rId471" Type="http://schemas.openxmlformats.org/officeDocument/2006/relationships/image" Target="media/image469.png"/><Relationship Id="rId470" Type="http://schemas.openxmlformats.org/officeDocument/2006/relationships/footer" Target="footer204.xml"/><Relationship Id="rId47" Type="http://schemas.openxmlformats.org/officeDocument/2006/relationships/footer" Target="footer34.xml"/><Relationship Id="rId469" Type="http://schemas.openxmlformats.org/officeDocument/2006/relationships/header" Target="header91.xml"/><Relationship Id="rId468" Type="http://schemas.openxmlformats.org/officeDocument/2006/relationships/image" Target="media/image466.png"/><Relationship Id="rId467" Type="http://schemas.openxmlformats.org/officeDocument/2006/relationships/footer" Target="footer203.xml"/><Relationship Id="rId466" Type="http://schemas.openxmlformats.org/officeDocument/2006/relationships/header" Target="header90.xml"/><Relationship Id="rId465" Type="http://schemas.openxmlformats.org/officeDocument/2006/relationships/image" Target="media/image463.png"/><Relationship Id="rId464" Type="http://schemas.openxmlformats.org/officeDocument/2006/relationships/footer" Target="footer202.xml"/><Relationship Id="rId463" Type="http://schemas.openxmlformats.org/officeDocument/2006/relationships/header" Target="header89.xml"/><Relationship Id="rId462" Type="http://schemas.openxmlformats.org/officeDocument/2006/relationships/image" Target="media/image460.png"/><Relationship Id="rId461" Type="http://schemas.openxmlformats.org/officeDocument/2006/relationships/footer" Target="footer201.xml"/><Relationship Id="rId460" Type="http://schemas.openxmlformats.org/officeDocument/2006/relationships/header" Target="header88.xml"/><Relationship Id="rId46" Type="http://schemas.openxmlformats.org/officeDocument/2006/relationships/footer" Target="footer33.xml"/><Relationship Id="rId459" Type="http://schemas.openxmlformats.org/officeDocument/2006/relationships/image" Target="media/image457.png"/><Relationship Id="rId458" Type="http://schemas.openxmlformats.org/officeDocument/2006/relationships/footer" Target="footer200.xml"/><Relationship Id="rId457" Type="http://schemas.openxmlformats.org/officeDocument/2006/relationships/header" Target="header87.xml"/><Relationship Id="rId456" Type="http://schemas.openxmlformats.org/officeDocument/2006/relationships/image" Target="media/image454.png"/><Relationship Id="rId455" Type="http://schemas.openxmlformats.org/officeDocument/2006/relationships/footer" Target="footer199.xml"/><Relationship Id="rId454" Type="http://schemas.openxmlformats.org/officeDocument/2006/relationships/header" Target="header86.xml"/><Relationship Id="rId453" Type="http://schemas.openxmlformats.org/officeDocument/2006/relationships/image" Target="media/image451.png"/><Relationship Id="rId452" Type="http://schemas.openxmlformats.org/officeDocument/2006/relationships/footer" Target="footer198.xml"/><Relationship Id="rId451" Type="http://schemas.openxmlformats.org/officeDocument/2006/relationships/header" Target="header85.xml"/><Relationship Id="rId450" Type="http://schemas.openxmlformats.org/officeDocument/2006/relationships/image" Target="media/image448.png"/><Relationship Id="rId45" Type="http://schemas.openxmlformats.org/officeDocument/2006/relationships/footer" Target="footer32.xml"/><Relationship Id="rId449" Type="http://schemas.openxmlformats.org/officeDocument/2006/relationships/footer" Target="footer197.xml"/><Relationship Id="rId448" Type="http://schemas.openxmlformats.org/officeDocument/2006/relationships/header" Target="header84.xml"/><Relationship Id="rId447" Type="http://schemas.openxmlformats.org/officeDocument/2006/relationships/image" Target="media/image445.png"/><Relationship Id="rId446" Type="http://schemas.openxmlformats.org/officeDocument/2006/relationships/footer" Target="footer196.xml"/><Relationship Id="rId445" Type="http://schemas.openxmlformats.org/officeDocument/2006/relationships/header" Target="header83.xml"/><Relationship Id="rId444" Type="http://schemas.openxmlformats.org/officeDocument/2006/relationships/image" Target="media/image442.png"/><Relationship Id="rId443" Type="http://schemas.openxmlformats.org/officeDocument/2006/relationships/footer" Target="footer195.xml"/><Relationship Id="rId442" Type="http://schemas.openxmlformats.org/officeDocument/2006/relationships/header" Target="header82.xml"/><Relationship Id="rId441" Type="http://schemas.openxmlformats.org/officeDocument/2006/relationships/image" Target="media/image439.png"/><Relationship Id="rId440" Type="http://schemas.openxmlformats.org/officeDocument/2006/relationships/footer" Target="footer194.xml"/><Relationship Id="rId44" Type="http://schemas.openxmlformats.org/officeDocument/2006/relationships/footer" Target="footer31.xml"/><Relationship Id="rId439" Type="http://schemas.openxmlformats.org/officeDocument/2006/relationships/header" Target="header81.xml"/><Relationship Id="rId438" Type="http://schemas.openxmlformats.org/officeDocument/2006/relationships/image" Target="media/image436.png"/><Relationship Id="rId437" Type="http://schemas.openxmlformats.org/officeDocument/2006/relationships/footer" Target="footer193.xml"/><Relationship Id="rId436" Type="http://schemas.openxmlformats.org/officeDocument/2006/relationships/header" Target="header80.xml"/><Relationship Id="rId435" Type="http://schemas.openxmlformats.org/officeDocument/2006/relationships/image" Target="media/image433.png"/><Relationship Id="rId434" Type="http://schemas.openxmlformats.org/officeDocument/2006/relationships/image" Target="media/image432.png"/><Relationship Id="rId433" Type="http://schemas.openxmlformats.org/officeDocument/2006/relationships/header" Target="header79.xml"/><Relationship Id="rId432" Type="http://schemas.openxmlformats.org/officeDocument/2006/relationships/image" Target="media/image430.png"/><Relationship Id="rId431" Type="http://schemas.openxmlformats.org/officeDocument/2006/relationships/footer" Target="footer192.xml"/><Relationship Id="rId430" Type="http://schemas.openxmlformats.org/officeDocument/2006/relationships/header" Target="header78.xml"/><Relationship Id="rId43" Type="http://schemas.openxmlformats.org/officeDocument/2006/relationships/footer" Target="footer30.xml"/><Relationship Id="rId429" Type="http://schemas.openxmlformats.org/officeDocument/2006/relationships/image" Target="media/image427.png"/><Relationship Id="rId428" Type="http://schemas.openxmlformats.org/officeDocument/2006/relationships/footer" Target="footer191.xml"/><Relationship Id="rId427" Type="http://schemas.openxmlformats.org/officeDocument/2006/relationships/header" Target="header77.xml"/><Relationship Id="rId426" Type="http://schemas.openxmlformats.org/officeDocument/2006/relationships/image" Target="media/image424.png"/><Relationship Id="rId425" Type="http://schemas.openxmlformats.org/officeDocument/2006/relationships/footer" Target="footer190.xml"/><Relationship Id="rId424" Type="http://schemas.openxmlformats.org/officeDocument/2006/relationships/header" Target="header76.xml"/><Relationship Id="rId423" Type="http://schemas.openxmlformats.org/officeDocument/2006/relationships/image" Target="media/image421.png"/><Relationship Id="rId422" Type="http://schemas.openxmlformats.org/officeDocument/2006/relationships/footer" Target="footer189.xml"/><Relationship Id="rId421" Type="http://schemas.openxmlformats.org/officeDocument/2006/relationships/header" Target="header75.xml"/><Relationship Id="rId420" Type="http://schemas.openxmlformats.org/officeDocument/2006/relationships/image" Target="media/image418.png"/><Relationship Id="rId42" Type="http://schemas.openxmlformats.org/officeDocument/2006/relationships/footer" Target="footer29.xml"/><Relationship Id="rId419" Type="http://schemas.openxmlformats.org/officeDocument/2006/relationships/footer" Target="footer188.xml"/><Relationship Id="rId418" Type="http://schemas.openxmlformats.org/officeDocument/2006/relationships/header" Target="header74.xml"/><Relationship Id="rId417" Type="http://schemas.openxmlformats.org/officeDocument/2006/relationships/image" Target="media/image415.png"/><Relationship Id="rId416" Type="http://schemas.openxmlformats.org/officeDocument/2006/relationships/footer" Target="footer187.xml"/><Relationship Id="rId415" Type="http://schemas.openxmlformats.org/officeDocument/2006/relationships/image" Target="media/image413.png"/><Relationship Id="rId414" Type="http://schemas.openxmlformats.org/officeDocument/2006/relationships/footer" Target="footer186.xml"/><Relationship Id="rId413" Type="http://schemas.openxmlformats.org/officeDocument/2006/relationships/header" Target="header73.xml"/><Relationship Id="rId412" Type="http://schemas.openxmlformats.org/officeDocument/2006/relationships/image" Target="media/image410.png"/><Relationship Id="rId411" Type="http://schemas.openxmlformats.org/officeDocument/2006/relationships/footer" Target="footer185.xml"/><Relationship Id="rId410" Type="http://schemas.openxmlformats.org/officeDocument/2006/relationships/header" Target="header72.xml"/><Relationship Id="rId41" Type="http://schemas.openxmlformats.org/officeDocument/2006/relationships/footer" Target="footer28.xml"/><Relationship Id="rId409" Type="http://schemas.openxmlformats.org/officeDocument/2006/relationships/image" Target="media/image407.png"/><Relationship Id="rId408" Type="http://schemas.openxmlformats.org/officeDocument/2006/relationships/footer" Target="footer184.xml"/><Relationship Id="rId407" Type="http://schemas.openxmlformats.org/officeDocument/2006/relationships/header" Target="header71.xml"/><Relationship Id="rId406" Type="http://schemas.openxmlformats.org/officeDocument/2006/relationships/image" Target="media/image404.png"/><Relationship Id="rId405" Type="http://schemas.openxmlformats.org/officeDocument/2006/relationships/footer" Target="footer183.xml"/><Relationship Id="rId404" Type="http://schemas.openxmlformats.org/officeDocument/2006/relationships/image" Target="media/image402.png"/><Relationship Id="rId403" Type="http://schemas.openxmlformats.org/officeDocument/2006/relationships/footer" Target="footer182.xml"/><Relationship Id="rId402" Type="http://schemas.openxmlformats.org/officeDocument/2006/relationships/image" Target="media/image400.png"/><Relationship Id="rId401" Type="http://schemas.openxmlformats.org/officeDocument/2006/relationships/footer" Target="footer181.xml"/><Relationship Id="rId400" Type="http://schemas.openxmlformats.org/officeDocument/2006/relationships/image" Target="media/image398.png"/><Relationship Id="rId40" Type="http://schemas.openxmlformats.org/officeDocument/2006/relationships/footer" Target="footer27.xml"/><Relationship Id="rId4" Type="http://schemas.openxmlformats.org/officeDocument/2006/relationships/image" Target="media/image3.png"/><Relationship Id="rId399" Type="http://schemas.openxmlformats.org/officeDocument/2006/relationships/footer" Target="footer180.xml"/><Relationship Id="rId398" Type="http://schemas.openxmlformats.org/officeDocument/2006/relationships/image" Target="media/image396.png"/><Relationship Id="rId397" Type="http://schemas.openxmlformats.org/officeDocument/2006/relationships/footer" Target="footer179.xml"/><Relationship Id="rId396" Type="http://schemas.openxmlformats.org/officeDocument/2006/relationships/image" Target="media/image394.png"/><Relationship Id="rId395" Type="http://schemas.openxmlformats.org/officeDocument/2006/relationships/footer" Target="footer178.xml"/><Relationship Id="rId394" Type="http://schemas.openxmlformats.org/officeDocument/2006/relationships/header" Target="header70.xml"/><Relationship Id="rId393" Type="http://schemas.openxmlformats.org/officeDocument/2006/relationships/image" Target="media/image391.png"/><Relationship Id="rId392" Type="http://schemas.openxmlformats.org/officeDocument/2006/relationships/footer" Target="footer177.xml"/><Relationship Id="rId391" Type="http://schemas.openxmlformats.org/officeDocument/2006/relationships/header" Target="header69.xml"/><Relationship Id="rId390" Type="http://schemas.openxmlformats.org/officeDocument/2006/relationships/image" Target="media/image388.png"/><Relationship Id="rId39" Type="http://schemas.openxmlformats.org/officeDocument/2006/relationships/footer" Target="footer26.xml"/><Relationship Id="rId389" Type="http://schemas.openxmlformats.org/officeDocument/2006/relationships/image" Target="media/image387.png"/><Relationship Id="rId388" Type="http://schemas.openxmlformats.org/officeDocument/2006/relationships/header" Target="header68.xml"/><Relationship Id="rId387" Type="http://schemas.openxmlformats.org/officeDocument/2006/relationships/image" Target="media/image385.png"/><Relationship Id="rId386" Type="http://schemas.openxmlformats.org/officeDocument/2006/relationships/footer" Target="footer176.xml"/><Relationship Id="rId385" Type="http://schemas.openxmlformats.org/officeDocument/2006/relationships/image" Target="media/image383.png"/><Relationship Id="rId384" Type="http://schemas.openxmlformats.org/officeDocument/2006/relationships/footer" Target="footer175.xml"/><Relationship Id="rId383" Type="http://schemas.openxmlformats.org/officeDocument/2006/relationships/header" Target="header67.xml"/><Relationship Id="rId382" Type="http://schemas.openxmlformats.org/officeDocument/2006/relationships/image" Target="media/image380.png"/><Relationship Id="rId381" Type="http://schemas.openxmlformats.org/officeDocument/2006/relationships/footer" Target="footer174.xml"/><Relationship Id="rId380" Type="http://schemas.openxmlformats.org/officeDocument/2006/relationships/image" Target="media/image378.png"/><Relationship Id="rId38" Type="http://schemas.openxmlformats.org/officeDocument/2006/relationships/footer" Target="footer25.xml"/><Relationship Id="rId379" Type="http://schemas.openxmlformats.org/officeDocument/2006/relationships/image" Target="media/image377.png"/><Relationship Id="rId378" Type="http://schemas.openxmlformats.org/officeDocument/2006/relationships/image" Target="media/image376.png"/><Relationship Id="rId377" Type="http://schemas.openxmlformats.org/officeDocument/2006/relationships/footer" Target="footer173.xml"/><Relationship Id="rId376" Type="http://schemas.openxmlformats.org/officeDocument/2006/relationships/header" Target="header66.xml"/><Relationship Id="rId375" Type="http://schemas.openxmlformats.org/officeDocument/2006/relationships/image" Target="media/image373.png"/><Relationship Id="rId374" Type="http://schemas.openxmlformats.org/officeDocument/2006/relationships/footer" Target="footer172.xml"/><Relationship Id="rId373" Type="http://schemas.openxmlformats.org/officeDocument/2006/relationships/image" Target="media/image371.png"/><Relationship Id="rId372" Type="http://schemas.openxmlformats.org/officeDocument/2006/relationships/footer" Target="footer171.xml"/><Relationship Id="rId371" Type="http://schemas.openxmlformats.org/officeDocument/2006/relationships/header" Target="header65.xml"/><Relationship Id="rId370" Type="http://schemas.openxmlformats.org/officeDocument/2006/relationships/image" Target="media/image368.png"/><Relationship Id="rId37" Type="http://schemas.openxmlformats.org/officeDocument/2006/relationships/footer" Target="footer24.xml"/><Relationship Id="rId369" Type="http://schemas.openxmlformats.org/officeDocument/2006/relationships/footer" Target="footer170.xml"/><Relationship Id="rId368" Type="http://schemas.openxmlformats.org/officeDocument/2006/relationships/header" Target="header64.xml"/><Relationship Id="rId367" Type="http://schemas.openxmlformats.org/officeDocument/2006/relationships/image" Target="media/image365.png"/><Relationship Id="rId366" Type="http://schemas.openxmlformats.org/officeDocument/2006/relationships/footer" Target="footer169.xml"/><Relationship Id="rId365" Type="http://schemas.openxmlformats.org/officeDocument/2006/relationships/header" Target="header63.xml"/><Relationship Id="rId364" Type="http://schemas.openxmlformats.org/officeDocument/2006/relationships/image" Target="media/image362.png"/><Relationship Id="rId363" Type="http://schemas.openxmlformats.org/officeDocument/2006/relationships/footer" Target="footer168.xml"/><Relationship Id="rId362" Type="http://schemas.openxmlformats.org/officeDocument/2006/relationships/header" Target="header62.xml"/><Relationship Id="rId361" Type="http://schemas.openxmlformats.org/officeDocument/2006/relationships/image" Target="media/image359.png"/><Relationship Id="rId360" Type="http://schemas.openxmlformats.org/officeDocument/2006/relationships/footer" Target="footer167.xml"/><Relationship Id="rId36" Type="http://schemas.openxmlformats.org/officeDocument/2006/relationships/footer" Target="footer23.xml"/><Relationship Id="rId359" Type="http://schemas.openxmlformats.org/officeDocument/2006/relationships/header" Target="header61.xml"/><Relationship Id="rId358" Type="http://schemas.openxmlformats.org/officeDocument/2006/relationships/image" Target="media/image356.png"/><Relationship Id="rId357" Type="http://schemas.openxmlformats.org/officeDocument/2006/relationships/footer" Target="footer166.xml"/><Relationship Id="rId356" Type="http://schemas.openxmlformats.org/officeDocument/2006/relationships/header" Target="header60.xml"/><Relationship Id="rId355" Type="http://schemas.openxmlformats.org/officeDocument/2006/relationships/image" Target="media/image353.png"/><Relationship Id="rId354" Type="http://schemas.openxmlformats.org/officeDocument/2006/relationships/footer" Target="footer165.xml"/><Relationship Id="rId353" Type="http://schemas.openxmlformats.org/officeDocument/2006/relationships/header" Target="header59.xml"/><Relationship Id="rId352" Type="http://schemas.openxmlformats.org/officeDocument/2006/relationships/image" Target="media/image350.png"/><Relationship Id="rId351" Type="http://schemas.openxmlformats.org/officeDocument/2006/relationships/footer" Target="footer164.xml"/><Relationship Id="rId350" Type="http://schemas.openxmlformats.org/officeDocument/2006/relationships/header" Target="header58.xml"/><Relationship Id="rId35" Type="http://schemas.openxmlformats.org/officeDocument/2006/relationships/footer" Target="footer22.xml"/><Relationship Id="rId349" Type="http://schemas.openxmlformats.org/officeDocument/2006/relationships/image" Target="media/image347.png"/><Relationship Id="rId348" Type="http://schemas.openxmlformats.org/officeDocument/2006/relationships/footer" Target="footer163.xml"/><Relationship Id="rId347" Type="http://schemas.openxmlformats.org/officeDocument/2006/relationships/header" Target="header57.xml"/><Relationship Id="rId346" Type="http://schemas.openxmlformats.org/officeDocument/2006/relationships/image" Target="media/image344.png"/><Relationship Id="rId345" Type="http://schemas.openxmlformats.org/officeDocument/2006/relationships/image" Target="media/image343.png"/><Relationship Id="rId344" Type="http://schemas.openxmlformats.org/officeDocument/2006/relationships/image" Target="media/image342.png"/><Relationship Id="rId343" Type="http://schemas.openxmlformats.org/officeDocument/2006/relationships/footer" Target="footer162.xml"/><Relationship Id="rId342" Type="http://schemas.openxmlformats.org/officeDocument/2006/relationships/header" Target="header56.xml"/><Relationship Id="rId341" Type="http://schemas.openxmlformats.org/officeDocument/2006/relationships/image" Target="media/image339.png"/><Relationship Id="rId340" Type="http://schemas.openxmlformats.org/officeDocument/2006/relationships/footer" Target="footer161.xml"/><Relationship Id="rId34" Type="http://schemas.openxmlformats.org/officeDocument/2006/relationships/footer" Target="footer21.xml"/><Relationship Id="rId339" Type="http://schemas.openxmlformats.org/officeDocument/2006/relationships/header" Target="header55.xml"/><Relationship Id="rId338" Type="http://schemas.openxmlformats.org/officeDocument/2006/relationships/image" Target="media/image336.png"/><Relationship Id="rId337" Type="http://schemas.openxmlformats.org/officeDocument/2006/relationships/footer" Target="footer160.xml"/><Relationship Id="rId336" Type="http://schemas.openxmlformats.org/officeDocument/2006/relationships/image" Target="media/image334.png"/><Relationship Id="rId335" Type="http://schemas.openxmlformats.org/officeDocument/2006/relationships/footer" Target="footer159.xml"/><Relationship Id="rId334" Type="http://schemas.openxmlformats.org/officeDocument/2006/relationships/header" Target="header54.xml"/><Relationship Id="rId333" Type="http://schemas.openxmlformats.org/officeDocument/2006/relationships/image" Target="media/image331.png"/><Relationship Id="rId332" Type="http://schemas.openxmlformats.org/officeDocument/2006/relationships/footer" Target="footer158.xml"/><Relationship Id="rId331" Type="http://schemas.openxmlformats.org/officeDocument/2006/relationships/header" Target="header53.xml"/><Relationship Id="rId330" Type="http://schemas.openxmlformats.org/officeDocument/2006/relationships/image" Target="media/image328.png"/><Relationship Id="rId33" Type="http://schemas.openxmlformats.org/officeDocument/2006/relationships/footer" Target="footer20.xml"/><Relationship Id="rId329" Type="http://schemas.openxmlformats.org/officeDocument/2006/relationships/footer" Target="footer157.xml"/><Relationship Id="rId328" Type="http://schemas.openxmlformats.org/officeDocument/2006/relationships/header" Target="header52.xml"/><Relationship Id="rId327" Type="http://schemas.openxmlformats.org/officeDocument/2006/relationships/image" Target="media/image325.png"/><Relationship Id="rId326" Type="http://schemas.openxmlformats.org/officeDocument/2006/relationships/image" Target="media/image324.png"/><Relationship Id="rId325" Type="http://schemas.openxmlformats.org/officeDocument/2006/relationships/header" Target="header51.xml"/><Relationship Id="rId324" Type="http://schemas.openxmlformats.org/officeDocument/2006/relationships/image" Target="media/image322.png"/><Relationship Id="rId323" Type="http://schemas.openxmlformats.org/officeDocument/2006/relationships/footer" Target="footer156.xml"/><Relationship Id="rId322" Type="http://schemas.openxmlformats.org/officeDocument/2006/relationships/header" Target="header50.xml"/><Relationship Id="rId321" Type="http://schemas.openxmlformats.org/officeDocument/2006/relationships/image" Target="media/image319.png"/><Relationship Id="rId320" Type="http://schemas.openxmlformats.org/officeDocument/2006/relationships/footer" Target="footer155.xml"/><Relationship Id="rId32" Type="http://schemas.openxmlformats.org/officeDocument/2006/relationships/footer" Target="footer19.xml"/><Relationship Id="rId319" Type="http://schemas.openxmlformats.org/officeDocument/2006/relationships/image" Target="media/image317.png"/><Relationship Id="rId318" Type="http://schemas.openxmlformats.org/officeDocument/2006/relationships/footer" Target="footer154.xml"/><Relationship Id="rId317" Type="http://schemas.openxmlformats.org/officeDocument/2006/relationships/header" Target="header49.xml"/><Relationship Id="rId316" Type="http://schemas.openxmlformats.org/officeDocument/2006/relationships/image" Target="media/image314.png"/><Relationship Id="rId315" Type="http://schemas.openxmlformats.org/officeDocument/2006/relationships/footer" Target="footer153.xml"/><Relationship Id="rId314" Type="http://schemas.openxmlformats.org/officeDocument/2006/relationships/header" Target="header48.xml"/><Relationship Id="rId313" Type="http://schemas.openxmlformats.org/officeDocument/2006/relationships/image" Target="media/image311.png"/><Relationship Id="rId312" Type="http://schemas.openxmlformats.org/officeDocument/2006/relationships/image" Target="media/image310.png"/><Relationship Id="rId311" Type="http://schemas.openxmlformats.org/officeDocument/2006/relationships/image" Target="media/image309.png"/><Relationship Id="rId310" Type="http://schemas.openxmlformats.org/officeDocument/2006/relationships/footer" Target="footer152.xml"/><Relationship Id="rId31" Type="http://schemas.openxmlformats.org/officeDocument/2006/relationships/footer" Target="footer18.xml"/><Relationship Id="rId309" Type="http://schemas.openxmlformats.org/officeDocument/2006/relationships/header" Target="header47.xml"/><Relationship Id="rId308" Type="http://schemas.openxmlformats.org/officeDocument/2006/relationships/image" Target="media/image306.png"/><Relationship Id="rId307" Type="http://schemas.openxmlformats.org/officeDocument/2006/relationships/footer" Target="footer151.xml"/><Relationship Id="rId306" Type="http://schemas.openxmlformats.org/officeDocument/2006/relationships/image" Target="media/image304.png"/><Relationship Id="rId305" Type="http://schemas.openxmlformats.org/officeDocument/2006/relationships/footer" Target="footer150.xml"/><Relationship Id="rId304" Type="http://schemas.openxmlformats.org/officeDocument/2006/relationships/image" Target="media/image302.png"/><Relationship Id="rId303" Type="http://schemas.openxmlformats.org/officeDocument/2006/relationships/footer" Target="footer149.xml"/><Relationship Id="rId302" Type="http://schemas.openxmlformats.org/officeDocument/2006/relationships/image" Target="media/image300.png"/><Relationship Id="rId301" Type="http://schemas.openxmlformats.org/officeDocument/2006/relationships/footer" Target="footer148.xml"/><Relationship Id="rId300" Type="http://schemas.openxmlformats.org/officeDocument/2006/relationships/header" Target="header46.xml"/><Relationship Id="rId30" Type="http://schemas.openxmlformats.org/officeDocument/2006/relationships/footer" Target="footer17.xml"/><Relationship Id="rId3" Type="http://schemas.openxmlformats.org/officeDocument/2006/relationships/footer" Target="footer1.xml"/><Relationship Id="rId299" Type="http://schemas.openxmlformats.org/officeDocument/2006/relationships/image" Target="media/image297.png"/><Relationship Id="rId298" Type="http://schemas.openxmlformats.org/officeDocument/2006/relationships/footer" Target="footer147.xml"/><Relationship Id="rId297" Type="http://schemas.openxmlformats.org/officeDocument/2006/relationships/header" Target="header45.xml"/><Relationship Id="rId296" Type="http://schemas.openxmlformats.org/officeDocument/2006/relationships/image" Target="media/image294.png"/><Relationship Id="rId295" Type="http://schemas.openxmlformats.org/officeDocument/2006/relationships/footer" Target="footer146.xml"/><Relationship Id="rId294" Type="http://schemas.openxmlformats.org/officeDocument/2006/relationships/image" Target="media/image292.png"/><Relationship Id="rId293" Type="http://schemas.openxmlformats.org/officeDocument/2006/relationships/footer" Target="footer145.xml"/><Relationship Id="rId292" Type="http://schemas.openxmlformats.org/officeDocument/2006/relationships/image" Target="media/image290.png"/><Relationship Id="rId291" Type="http://schemas.openxmlformats.org/officeDocument/2006/relationships/footer" Target="footer144.xml"/><Relationship Id="rId290" Type="http://schemas.openxmlformats.org/officeDocument/2006/relationships/header" Target="header44.xml"/><Relationship Id="rId29" Type="http://schemas.openxmlformats.org/officeDocument/2006/relationships/footer" Target="footer16.xml"/><Relationship Id="rId289" Type="http://schemas.openxmlformats.org/officeDocument/2006/relationships/image" Target="media/image287.png"/><Relationship Id="rId288" Type="http://schemas.openxmlformats.org/officeDocument/2006/relationships/footer" Target="footer143.xml"/><Relationship Id="rId287" Type="http://schemas.openxmlformats.org/officeDocument/2006/relationships/image" Target="media/image285.png"/><Relationship Id="rId286" Type="http://schemas.openxmlformats.org/officeDocument/2006/relationships/footer" Target="footer142.xml"/><Relationship Id="rId285" Type="http://schemas.openxmlformats.org/officeDocument/2006/relationships/image" Target="media/image283.png"/><Relationship Id="rId284" Type="http://schemas.openxmlformats.org/officeDocument/2006/relationships/footer" Target="footer141.xml"/><Relationship Id="rId283" Type="http://schemas.openxmlformats.org/officeDocument/2006/relationships/image" Target="media/image281.png"/><Relationship Id="rId282" Type="http://schemas.openxmlformats.org/officeDocument/2006/relationships/footer" Target="footer140.xml"/><Relationship Id="rId281" Type="http://schemas.openxmlformats.org/officeDocument/2006/relationships/header" Target="header43.xml"/><Relationship Id="rId280" Type="http://schemas.openxmlformats.org/officeDocument/2006/relationships/image" Target="media/image278.png"/><Relationship Id="rId28" Type="http://schemas.openxmlformats.org/officeDocument/2006/relationships/footer" Target="footer15.xml"/><Relationship Id="rId279" Type="http://schemas.openxmlformats.org/officeDocument/2006/relationships/footer" Target="footer139.xml"/><Relationship Id="rId278" Type="http://schemas.openxmlformats.org/officeDocument/2006/relationships/image" Target="media/image276.png"/><Relationship Id="rId277" Type="http://schemas.openxmlformats.org/officeDocument/2006/relationships/footer" Target="footer138.xml"/><Relationship Id="rId276" Type="http://schemas.openxmlformats.org/officeDocument/2006/relationships/header" Target="header42.xml"/><Relationship Id="rId275" Type="http://schemas.openxmlformats.org/officeDocument/2006/relationships/image" Target="media/image273.png"/><Relationship Id="rId274" Type="http://schemas.openxmlformats.org/officeDocument/2006/relationships/footer" Target="footer137.xml"/><Relationship Id="rId273" Type="http://schemas.openxmlformats.org/officeDocument/2006/relationships/image" Target="media/image271.png"/><Relationship Id="rId272" Type="http://schemas.openxmlformats.org/officeDocument/2006/relationships/footer" Target="footer136.xml"/><Relationship Id="rId271" Type="http://schemas.openxmlformats.org/officeDocument/2006/relationships/image" Target="media/image269.png"/><Relationship Id="rId270" Type="http://schemas.openxmlformats.org/officeDocument/2006/relationships/footer" Target="footer135.xml"/><Relationship Id="rId27" Type="http://schemas.openxmlformats.org/officeDocument/2006/relationships/footer" Target="footer14.xml"/><Relationship Id="rId269" Type="http://schemas.openxmlformats.org/officeDocument/2006/relationships/image" Target="media/image267.png"/><Relationship Id="rId268" Type="http://schemas.openxmlformats.org/officeDocument/2006/relationships/footer" Target="footer134.xml"/><Relationship Id="rId267" Type="http://schemas.openxmlformats.org/officeDocument/2006/relationships/image" Target="media/image265.png"/><Relationship Id="rId266" Type="http://schemas.openxmlformats.org/officeDocument/2006/relationships/footer" Target="footer133.xml"/><Relationship Id="rId265" Type="http://schemas.openxmlformats.org/officeDocument/2006/relationships/image" Target="media/image263.png"/><Relationship Id="rId264" Type="http://schemas.openxmlformats.org/officeDocument/2006/relationships/footer" Target="footer132.xml"/><Relationship Id="rId263" Type="http://schemas.openxmlformats.org/officeDocument/2006/relationships/image" Target="media/image261.png"/><Relationship Id="rId262" Type="http://schemas.openxmlformats.org/officeDocument/2006/relationships/footer" Target="footer131.xml"/><Relationship Id="rId261" Type="http://schemas.openxmlformats.org/officeDocument/2006/relationships/image" Target="media/image259.png"/><Relationship Id="rId260" Type="http://schemas.openxmlformats.org/officeDocument/2006/relationships/footer" Target="footer130.xml"/><Relationship Id="rId26" Type="http://schemas.openxmlformats.org/officeDocument/2006/relationships/footer" Target="footer13.xml"/><Relationship Id="rId259" Type="http://schemas.openxmlformats.org/officeDocument/2006/relationships/image" Target="media/image257.png"/><Relationship Id="rId258" Type="http://schemas.openxmlformats.org/officeDocument/2006/relationships/footer" Target="footer129.xml"/><Relationship Id="rId257" Type="http://schemas.openxmlformats.org/officeDocument/2006/relationships/header" Target="header41.xml"/><Relationship Id="rId256" Type="http://schemas.openxmlformats.org/officeDocument/2006/relationships/image" Target="media/image254.png"/><Relationship Id="rId255" Type="http://schemas.openxmlformats.org/officeDocument/2006/relationships/footer" Target="footer128.xml"/><Relationship Id="rId254" Type="http://schemas.openxmlformats.org/officeDocument/2006/relationships/image" Target="media/image252.png"/><Relationship Id="rId253" Type="http://schemas.openxmlformats.org/officeDocument/2006/relationships/footer" Target="footer127.xml"/><Relationship Id="rId252" Type="http://schemas.openxmlformats.org/officeDocument/2006/relationships/header" Target="header40.xml"/><Relationship Id="rId251" Type="http://schemas.openxmlformats.org/officeDocument/2006/relationships/image" Target="media/image249.png"/><Relationship Id="rId250" Type="http://schemas.openxmlformats.org/officeDocument/2006/relationships/footer" Target="footer126.xml"/><Relationship Id="rId25" Type="http://schemas.openxmlformats.org/officeDocument/2006/relationships/header" Target="header11.xml"/><Relationship Id="rId249" Type="http://schemas.openxmlformats.org/officeDocument/2006/relationships/header" Target="header39.xml"/><Relationship Id="rId248" Type="http://schemas.openxmlformats.org/officeDocument/2006/relationships/image" Target="media/image246.png"/><Relationship Id="rId247" Type="http://schemas.openxmlformats.org/officeDocument/2006/relationships/footer" Target="footer125.xml"/><Relationship Id="rId246" Type="http://schemas.openxmlformats.org/officeDocument/2006/relationships/header" Target="header38.xml"/><Relationship Id="rId245" Type="http://schemas.openxmlformats.org/officeDocument/2006/relationships/image" Target="media/image243.png"/><Relationship Id="rId244" Type="http://schemas.openxmlformats.org/officeDocument/2006/relationships/footer" Target="footer124.xml"/><Relationship Id="rId243" Type="http://schemas.openxmlformats.org/officeDocument/2006/relationships/image" Target="media/image241.png"/><Relationship Id="rId242" Type="http://schemas.openxmlformats.org/officeDocument/2006/relationships/footer" Target="footer123.xml"/><Relationship Id="rId241" Type="http://schemas.openxmlformats.org/officeDocument/2006/relationships/image" Target="media/image239.png"/><Relationship Id="rId240" Type="http://schemas.openxmlformats.org/officeDocument/2006/relationships/footer" Target="footer122.xml"/><Relationship Id="rId24" Type="http://schemas.openxmlformats.org/officeDocument/2006/relationships/footer" Target="footer12.xml"/><Relationship Id="rId239" Type="http://schemas.openxmlformats.org/officeDocument/2006/relationships/header" Target="header37.xml"/><Relationship Id="rId238" Type="http://schemas.openxmlformats.org/officeDocument/2006/relationships/image" Target="media/image236.png"/><Relationship Id="rId237" Type="http://schemas.openxmlformats.org/officeDocument/2006/relationships/footer" Target="footer121.xml"/><Relationship Id="rId236" Type="http://schemas.openxmlformats.org/officeDocument/2006/relationships/header" Target="header36.xml"/><Relationship Id="rId235" Type="http://schemas.openxmlformats.org/officeDocument/2006/relationships/image" Target="media/image233.png"/><Relationship Id="rId234" Type="http://schemas.openxmlformats.org/officeDocument/2006/relationships/footer" Target="footer120.xml"/><Relationship Id="rId233" Type="http://schemas.openxmlformats.org/officeDocument/2006/relationships/header" Target="header35.xml"/><Relationship Id="rId232" Type="http://schemas.openxmlformats.org/officeDocument/2006/relationships/image" Target="media/image230.png"/><Relationship Id="rId231" Type="http://schemas.openxmlformats.org/officeDocument/2006/relationships/footer" Target="footer119.xml"/><Relationship Id="rId230" Type="http://schemas.openxmlformats.org/officeDocument/2006/relationships/image" Target="media/image228.png"/><Relationship Id="rId23" Type="http://schemas.openxmlformats.org/officeDocument/2006/relationships/header" Target="header10.xml"/><Relationship Id="rId229" Type="http://schemas.openxmlformats.org/officeDocument/2006/relationships/footer" Target="footer118.xml"/><Relationship Id="rId228" Type="http://schemas.openxmlformats.org/officeDocument/2006/relationships/image" Target="media/image226.png"/><Relationship Id="rId227" Type="http://schemas.openxmlformats.org/officeDocument/2006/relationships/footer" Target="footer117.xml"/><Relationship Id="rId226" Type="http://schemas.openxmlformats.org/officeDocument/2006/relationships/image" Target="media/image224.png"/><Relationship Id="rId225" Type="http://schemas.openxmlformats.org/officeDocument/2006/relationships/footer" Target="footer116.xml"/><Relationship Id="rId224" Type="http://schemas.openxmlformats.org/officeDocument/2006/relationships/header" Target="header34.xml"/><Relationship Id="rId223" Type="http://schemas.openxmlformats.org/officeDocument/2006/relationships/image" Target="media/image221.png"/><Relationship Id="rId222" Type="http://schemas.openxmlformats.org/officeDocument/2006/relationships/footer" Target="footer115.xml"/><Relationship Id="rId221" Type="http://schemas.openxmlformats.org/officeDocument/2006/relationships/image" Target="media/image219.png"/><Relationship Id="rId220" Type="http://schemas.openxmlformats.org/officeDocument/2006/relationships/footer" Target="footer114.xml"/><Relationship Id="rId22" Type="http://schemas.openxmlformats.org/officeDocument/2006/relationships/footer" Target="footer11.xml"/><Relationship Id="rId219" Type="http://schemas.openxmlformats.org/officeDocument/2006/relationships/image" Target="media/image217.png"/><Relationship Id="rId218" Type="http://schemas.openxmlformats.org/officeDocument/2006/relationships/footer" Target="footer113.xml"/><Relationship Id="rId217" Type="http://schemas.openxmlformats.org/officeDocument/2006/relationships/header" Target="header33.xml"/><Relationship Id="rId216" Type="http://schemas.openxmlformats.org/officeDocument/2006/relationships/image" Target="media/image214.png"/><Relationship Id="rId215" Type="http://schemas.openxmlformats.org/officeDocument/2006/relationships/footer" Target="footer112.xml"/><Relationship Id="rId214" Type="http://schemas.openxmlformats.org/officeDocument/2006/relationships/image" Target="media/image212.png"/><Relationship Id="rId213" Type="http://schemas.openxmlformats.org/officeDocument/2006/relationships/footer" Target="footer111.xml"/><Relationship Id="rId212" Type="http://schemas.openxmlformats.org/officeDocument/2006/relationships/header" Target="header32.xml"/><Relationship Id="rId211" Type="http://schemas.openxmlformats.org/officeDocument/2006/relationships/image" Target="media/image209.png"/><Relationship Id="rId210" Type="http://schemas.openxmlformats.org/officeDocument/2006/relationships/footer" Target="footer110.xml"/><Relationship Id="rId21" Type="http://schemas.openxmlformats.org/officeDocument/2006/relationships/header" Target="header9.xml"/><Relationship Id="rId209" Type="http://schemas.openxmlformats.org/officeDocument/2006/relationships/image" Target="media/image207.png"/><Relationship Id="rId208" Type="http://schemas.openxmlformats.org/officeDocument/2006/relationships/footer" Target="footer109.xml"/><Relationship Id="rId207" Type="http://schemas.openxmlformats.org/officeDocument/2006/relationships/image" Target="media/image205.png"/><Relationship Id="rId206" Type="http://schemas.openxmlformats.org/officeDocument/2006/relationships/footer" Target="footer108.xml"/><Relationship Id="rId205" Type="http://schemas.openxmlformats.org/officeDocument/2006/relationships/image" Target="media/image203.png"/><Relationship Id="rId204" Type="http://schemas.openxmlformats.org/officeDocument/2006/relationships/footer" Target="footer107.xml"/><Relationship Id="rId203" Type="http://schemas.openxmlformats.org/officeDocument/2006/relationships/image" Target="media/image201.png"/><Relationship Id="rId202" Type="http://schemas.openxmlformats.org/officeDocument/2006/relationships/footer" Target="footer106.xml"/><Relationship Id="rId201" Type="http://schemas.openxmlformats.org/officeDocument/2006/relationships/image" Target="media/image199.png"/><Relationship Id="rId200" Type="http://schemas.openxmlformats.org/officeDocument/2006/relationships/footer" Target="footer105.xml"/><Relationship Id="rId20" Type="http://schemas.openxmlformats.org/officeDocument/2006/relationships/footer" Target="footer10.xml"/><Relationship Id="rId2" Type="http://schemas.openxmlformats.org/officeDocument/2006/relationships/image" Target="media/image1.png"/><Relationship Id="rId199" Type="http://schemas.openxmlformats.org/officeDocument/2006/relationships/header" Target="header31.xml"/><Relationship Id="rId198" Type="http://schemas.openxmlformats.org/officeDocument/2006/relationships/image" Target="media/image196.png"/><Relationship Id="rId197" Type="http://schemas.openxmlformats.org/officeDocument/2006/relationships/footer" Target="footer104.xml"/><Relationship Id="rId196" Type="http://schemas.openxmlformats.org/officeDocument/2006/relationships/image" Target="media/image194.png"/><Relationship Id="rId195" Type="http://schemas.openxmlformats.org/officeDocument/2006/relationships/footer" Target="footer103.xml"/><Relationship Id="rId194" Type="http://schemas.openxmlformats.org/officeDocument/2006/relationships/header" Target="header30.xml"/><Relationship Id="rId193" Type="http://schemas.openxmlformats.org/officeDocument/2006/relationships/image" Target="media/image191.png"/><Relationship Id="rId192" Type="http://schemas.openxmlformats.org/officeDocument/2006/relationships/footer" Target="footer102.xml"/><Relationship Id="rId191" Type="http://schemas.openxmlformats.org/officeDocument/2006/relationships/header" Target="header29.xml"/><Relationship Id="rId190" Type="http://schemas.openxmlformats.org/officeDocument/2006/relationships/image" Target="media/image188.png"/><Relationship Id="rId19" Type="http://schemas.openxmlformats.org/officeDocument/2006/relationships/header" Target="header8.xml"/><Relationship Id="rId189" Type="http://schemas.openxmlformats.org/officeDocument/2006/relationships/footer" Target="footer101.xml"/><Relationship Id="rId188" Type="http://schemas.openxmlformats.org/officeDocument/2006/relationships/header" Target="header28.xml"/><Relationship Id="rId187" Type="http://schemas.openxmlformats.org/officeDocument/2006/relationships/image" Target="media/image185.png"/><Relationship Id="rId186" Type="http://schemas.openxmlformats.org/officeDocument/2006/relationships/footer" Target="footer100.xml"/><Relationship Id="rId185" Type="http://schemas.openxmlformats.org/officeDocument/2006/relationships/header" Target="header27.xml"/><Relationship Id="rId184" Type="http://schemas.openxmlformats.org/officeDocument/2006/relationships/image" Target="media/image182.png"/><Relationship Id="rId183" Type="http://schemas.openxmlformats.org/officeDocument/2006/relationships/footer" Target="footer99.xml"/><Relationship Id="rId182" Type="http://schemas.openxmlformats.org/officeDocument/2006/relationships/image" Target="media/image180.png"/><Relationship Id="rId181" Type="http://schemas.openxmlformats.org/officeDocument/2006/relationships/footer" Target="footer98.xml"/><Relationship Id="rId180" Type="http://schemas.openxmlformats.org/officeDocument/2006/relationships/image" Target="media/image178.png"/><Relationship Id="rId18" Type="http://schemas.openxmlformats.org/officeDocument/2006/relationships/footer" Target="footer9.xml"/><Relationship Id="rId179" Type="http://schemas.openxmlformats.org/officeDocument/2006/relationships/footer" Target="footer97.xml"/><Relationship Id="rId178" Type="http://schemas.openxmlformats.org/officeDocument/2006/relationships/image" Target="media/image176.png"/><Relationship Id="rId177" Type="http://schemas.openxmlformats.org/officeDocument/2006/relationships/footer" Target="footer96.xml"/><Relationship Id="rId176" Type="http://schemas.openxmlformats.org/officeDocument/2006/relationships/image" Target="media/image174.png"/><Relationship Id="rId175" Type="http://schemas.openxmlformats.org/officeDocument/2006/relationships/footer" Target="footer95.xml"/><Relationship Id="rId174" Type="http://schemas.openxmlformats.org/officeDocument/2006/relationships/image" Target="media/image172.png"/><Relationship Id="rId173" Type="http://schemas.openxmlformats.org/officeDocument/2006/relationships/footer" Target="footer94.xml"/><Relationship Id="rId172" Type="http://schemas.openxmlformats.org/officeDocument/2006/relationships/header" Target="header26.xml"/><Relationship Id="rId171" Type="http://schemas.openxmlformats.org/officeDocument/2006/relationships/image" Target="media/image169.png"/><Relationship Id="rId170" Type="http://schemas.openxmlformats.org/officeDocument/2006/relationships/footer" Target="footer93.xml"/><Relationship Id="rId17" Type="http://schemas.openxmlformats.org/officeDocument/2006/relationships/header" Target="header7.xml"/><Relationship Id="rId169" Type="http://schemas.openxmlformats.org/officeDocument/2006/relationships/image" Target="media/image167.png"/><Relationship Id="rId168" Type="http://schemas.openxmlformats.org/officeDocument/2006/relationships/footer" Target="footer92.xml"/><Relationship Id="rId167" Type="http://schemas.openxmlformats.org/officeDocument/2006/relationships/header" Target="header25.xml"/><Relationship Id="rId166" Type="http://schemas.openxmlformats.org/officeDocument/2006/relationships/image" Target="media/image164.png"/><Relationship Id="rId165" Type="http://schemas.openxmlformats.org/officeDocument/2006/relationships/footer" Target="footer91.xml"/><Relationship Id="rId164" Type="http://schemas.openxmlformats.org/officeDocument/2006/relationships/image" Target="media/image162.png"/><Relationship Id="rId163" Type="http://schemas.openxmlformats.org/officeDocument/2006/relationships/footer" Target="footer90.xml"/><Relationship Id="rId162" Type="http://schemas.openxmlformats.org/officeDocument/2006/relationships/header" Target="header24.xml"/><Relationship Id="rId161" Type="http://schemas.openxmlformats.org/officeDocument/2006/relationships/image" Target="media/image159.png"/><Relationship Id="rId160" Type="http://schemas.openxmlformats.org/officeDocument/2006/relationships/footer" Target="footer89.xml"/><Relationship Id="rId16" Type="http://schemas.openxmlformats.org/officeDocument/2006/relationships/footer" Target="footer8.xml"/><Relationship Id="rId159" Type="http://schemas.openxmlformats.org/officeDocument/2006/relationships/header" Target="header23.xml"/><Relationship Id="rId158" Type="http://schemas.openxmlformats.org/officeDocument/2006/relationships/image" Target="media/image156.png"/><Relationship Id="rId157" Type="http://schemas.openxmlformats.org/officeDocument/2006/relationships/footer" Target="footer88.xml"/><Relationship Id="rId156" Type="http://schemas.openxmlformats.org/officeDocument/2006/relationships/header" Target="header22.xml"/><Relationship Id="rId155" Type="http://schemas.openxmlformats.org/officeDocument/2006/relationships/image" Target="media/image153.png"/><Relationship Id="rId154" Type="http://schemas.openxmlformats.org/officeDocument/2006/relationships/footer" Target="footer87.xml"/><Relationship Id="rId153" Type="http://schemas.openxmlformats.org/officeDocument/2006/relationships/header" Target="header21.xml"/><Relationship Id="rId152" Type="http://schemas.openxmlformats.org/officeDocument/2006/relationships/image" Target="media/image150.png"/><Relationship Id="rId151" Type="http://schemas.openxmlformats.org/officeDocument/2006/relationships/footer" Target="footer86.xml"/><Relationship Id="rId150" Type="http://schemas.openxmlformats.org/officeDocument/2006/relationships/header" Target="header20.xml"/><Relationship Id="rId15" Type="http://schemas.openxmlformats.org/officeDocument/2006/relationships/header" Target="header6.xml"/><Relationship Id="rId149" Type="http://schemas.openxmlformats.org/officeDocument/2006/relationships/image" Target="media/image147.png"/><Relationship Id="rId148" Type="http://schemas.openxmlformats.org/officeDocument/2006/relationships/footer" Target="footer85.xml"/><Relationship Id="rId147" Type="http://schemas.openxmlformats.org/officeDocument/2006/relationships/header" Target="header19.xml"/><Relationship Id="rId146" Type="http://schemas.openxmlformats.org/officeDocument/2006/relationships/image" Target="media/image144.png"/><Relationship Id="rId145" Type="http://schemas.openxmlformats.org/officeDocument/2006/relationships/footer" Target="footer84.xml"/><Relationship Id="rId144" Type="http://schemas.openxmlformats.org/officeDocument/2006/relationships/image" Target="media/image142.png"/><Relationship Id="rId143" Type="http://schemas.openxmlformats.org/officeDocument/2006/relationships/footer" Target="footer83.xml"/><Relationship Id="rId142" Type="http://schemas.openxmlformats.org/officeDocument/2006/relationships/image" Target="media/image140.png"/><Relationship Id="rId141" Type="http://schemas.openxmlformats.org/officeDocument/2006/relationships/footer" Target="footer82.xml"/><Relationship Id="rId140" Type="http://schemas.openxmlformats.org/officeDocument/2006/relationships/image" Target="media/image138.png"/><Relationship Id="rId14" Type="http://schemas.openxmlformats.org/officeDocument/2006/relationships/footer" Target="footer7.xml"/><Relationship Id="rId139" Type="http://schemas.openxmlformats.org/officeDocument/2006/relationships/footer" Target="footer81.xml"/><Relationship Id="rId138" Type="http://schemas.openxmlformats.org/officeDocument/2006/relationships/image" Target="media/image136.png"/><Relationship Id="rId137" Type="http://schemas.openxmlformats.org/officeDocument/2006/relationships/footer" Target="footer80.xml"/><Relationship Id="rId136" Type="http://schemas.openxmlformats.org/officeDocument/2006/relationships/image" Target="media/image134.png"/><Relationship Id="rId135" Type="http://schemas.openxmlformats.org/officeDocument/2006/relationships/footer" Target="footer79.xml"/><Relationship Id="rId134" Type="http://schemas.openxmlformats.org/officeDocument/2006/relationships/image" Target="media/image132.png"/><Relationship Id="rId133" Type="http://schemas.openxmlformats.org/officeDocument/2006/relationships/footer" Target="footer78.xml"/><Relationship Id="rId132" Type="http://schemas.openxmlformats.org/officeDocument/2006/relationships/image" Target="media/image130.png"/><Relationship Id="rId131" Type="http://schemas.openxmlformats.org/officeDocument/2006/relationships/footer" Target="footer77.xml"/><Relationship Id="rId130" Type="http://schemas.openxmlformats.org/officeDocument/2006/relationships/image" Target="media/image128.png"/><Relationship Id="rId13" Type="http://schemas.openxmlformats.org/officeDocument/2006/relationships/header" Target="header5.xml"/><Relationship Id="rId129" Type="http://schemas.openxmlformats.org/officeDocument/2006/relationships/footer" Target="footer76.xml"/><Relationship Id="rId128" Type="http://schemas.openxmlformats.org/officeDocument/2006/relationships/image" Target="media/image126.png"/><Relationship Id="rId127" Type="http://schemas.openxmlformats.org/officeDocument/2006/relationships/footer" Target="footer75.xml"/><Relationship Id="rId126" Type="http://schemas.openxmlformats.org/officeDocument/2006/relationships/image" Target="media/image124.png"/><Relationship Id="rId1258" Type="http://schemas.openxmlformats.org/officeDocument/2006/relationships/fontTable" Target="fontTable.xml"/><Relationship Id="rId1257" Type="http://schemas.openxmlformats.org/officeDocument/2006/relationships/styles" Target="styles.xml"/><Relationship Id="rId1256" Type="http://schemas.openxmlformats.org/officeDocument/2006/relationships/settings" Target="settings.xml"/><Relationship Id="rId1255" Type="http://schemas.openxmlformats.org/officeDocument/2006/relationships/footer" Target="footer501.xml"/><Relationship Id="rId1254" Type="http://schemas.openxmlformats.org/officeDocument/2006/relationships/image" Target="media/image1251.png"/><Relationship Id="rId1253" Type="http://schemas.openxmlformats.org/officeDocument/2006/relationships/footer" Target="footer500.xml"/><Relationship Id="rId1252" Type="http://schemas.openxmlformats.org/officeDocument/2006/relationships/header" Target="header210.xml"/><Relationship Id="rId1251" Type="http://schemas.openxmlformats.org/officeDocument/2006/relationships/image" Target="media/image1248.jpeg"/><Relationship Id="rId1250" Type="http://schemas.openxmlformats.org/officeDocument/2006/relationships/image" Target="media/image1247.png"/><Relationship Id="rId125" Type="http://schemas.openxmlformats.org/officeDocument/2006/relationships/footer" Target="footer74.xml"/><Relationship Id="rId1249" Type="http://schemas.openxmlformats.org/officeDocument/2006/relationships/footer" Target="footer499.xml"/><Relationship Id="rId1248" Type="http://schemas.openxmlformats.org/officeDocument/2006/relationships/image" Target="media/image1245.png"/><Relationship Id="rId1247" Type="http://schemas.openxmlformats.org/officeDocument/2006/relationships/footer" Target="footer498.xml"/><Relationship Id="rId1246" Type="http://schemas.openxmlformats.org/officeDocument/2006/relationships/image" Target="media/image1243.png"/><Relationship Id="rId1245" Type="http://schemas.openxmlformats.org/officeDocument/2006/relationships/footer" Target="footer497.xml"/><Relationship Id="rId1244" Type="http://schemas.openxmlformats.org/officeDocument/2006/relationships/image" Target="media/image1241.png"/><Relationship Id="rId1243" Type="http://schemas.openxmlformats.org/officeDocument/2006/relationships/footer" Target="footer496.xml"/><Relationship Id="rId1242" Type="http://schemas.openxmlformats.org/officeDocument/2006/relationships/header" Target="header209.xml"/><Relationship Id="rId1241" Type="http://schemas.openxmlformats.org/officeDocument/2006/relationships/image" Target="media/image1238.png"/><Relationship Id="rId1240" Type="http://schemas.openxmlformats.org/officeDocument/2006/relationships/footer" Target="footer495.xml"/><Relationship Id="rId124" Type="http://schemas.openxmlformats.org/officeDocument/2006/relationships/image" Target="media/image122.png"/><Relationship Id="rId1239" Type="http://schemas.openxmlformats.org/officeDocument/2006/relationships/image" Target="media/image1236.png"/><Relationship Id="rId1238" Type="http://schemas.openxmlformats.org/officeDocument/2006/relationships/footer" Target="footer494.xml"/><Relationship Id="rId1237" Type="http://schemas.openxmlformats.org/officeDocument/2006/relationships/image" Target="media/image1234.png"/><Relationship Id="rId1236" Type="http://schemas.openxmlformats.org/officeDocument/2006/relationships/footer" Target="footer493.xml"/><Relationship Id="rId1235" Type="http://schemas.openxmlformats.org/officeDocument/2006/relationships/image" Target="media/image1232.png"/><Relationship Id="rId1234" Type="http://schemas.openxmlformats.org/officeDocument/2006/relationships/footer" Target="footer492.xml"/><Relationship Id="rId1233" Type="http://schemas.openxmlformats.org/officeDocument/2006/relationships/header" Target="header208.xml"/><Relationship Id="rId1232" Type="http://schemas.openxmlformats.org/officeDocument/2006/relationships/image" Target="media/image1229.png"/><Relationship Id="rId1231" Type="http://schemas.openxmlformats.org/officeDocument/2006/relationships/footer" Target="footer491.xml"/><Relationship Id="rId1230" Type="http://schemas.openxmlformats.org/officeDocument/2006/relationships/image" Target="media/image1227.png"/><Relationship Id="rId123" Type="http://schemas.openxmlformats.org/officeDocument/2006/relationships/footer" Target="footer73.xml"/><Relationship Id="rId1229" Type="http://schemas.openxmlformats.org/officeDocument/2006/relationships/image" Target="media/image1226.jpeg"/><Relationship Id="rId1228" Type="http://schemas.openxmlformats.org/officeDocument/2006/relationships/header" Target="header207.xml"/><Relationship Id="rId1227" Type="http://schemas.openxmlformats.org/officeDocument/2006/relationships/image" Target="media/image1224.png"/><Relationship Id="rId1226" Type="http://schemas.openxmlformats.org/officeDocument/2006/relationships/footer" Target="footer490.xml"/><Relationship Id="rId1225" Type="http://schemas.openxmlformats.org/officeDocument/2006/relationships/image" Target="media/image1222.png"/><Relationship Id="rId1224" Type="http://schemas.openxmlformats.org/officeDocument/2006/relationships/footer" Target="footer489.xml"/><Relationship Id="rId1223" Type="http://schemas.openxmlformats.org/officeDocument/2006/relationships/image" Target="media/image1220.png"/><Relationship Id="rId1222" Type="http://schemas.openxmlformats.org/officeDocument/2006/relationships/footer" Target="footer488.xml"/><Relationship Id="rId1221" Type="http://schemas.openxmlformats.org/officeDocument/2006/relationships/image" Target="media/image1218.png"/><Relationship Id="rId1220" Type="http://schemas.openxmlformats.org/officeDocument/2006/relationships/footer" Target="footer487.xml"/><Relationship Id="rId122" Type="http://schemas.openxmlformats.org/officeDocument/2006/relationships/image" Target="media/image120.png"/><Relationship Id="rId1219" Type="http://schemas.openxmlformats.org/officeDocument/2006/relationships/header" Target="header206.xml"/><Relationship Id="rId1218" Type="http://schemas.openxmlformats.org/officeDocument/2006/relationships/image" Target="media/image1215.png"/><Relationship Id="rId1217" Type="http://schemas.openxmlformats.org/officeDocument/2006/relationships/footer" Target="footer486.xml"/><Relationship Id="rId1216" Type="http://schemas.openxmlformats.org/officeDocument/2006/relationships/image" Target="media/image1213.png"/><Relationship Id="rId1215" Type="http://schemas.openxmlformats.org/officeDocument/2006/relationships/footer" Target="footer485.xml"/><Relationship Id="rId1214" Type="http://schemas.openxmlformats.org/officeDocument/2006/relationships/image" Target="media/image1211.png"/><Relationship Id="rId1213" Type="http://schemas.openxmlformats.org/officeDocument/2006/relationships/footer" Target="footer484.xml"/><Relationship Id="rId1212" Type="http://schemas.openxmlformats.org/officeDocument/2006/relationships/image" Target="media/image1209.png"/><Relationship Id="rId1211" Type="http://schemas.openxmlformats.org/officeDocument/2006/relationships/image" Target="media/image1208.png"/><Relationship Id="rId1210" Type="http://schemas.openxmlformats.org/officeDocument/2006/relationships/image" Target="media/image1207.png"/><Relationship Id="rId121" Type="http://schemas.openxmlformats.org/officeDocument/2006/relationships/footer" Target="footer72.xml"/><Relationship Id="rId1209" Type="http://schemas.openxmlformats.org/officeDocument/2006/relationships/image" Target="media/image1206.png"/><Relationship Id="rId1208" Type="http://schemas.openxmlformats.org/officeDocument/2006/relationships/footer" Target="footer483.xml"/><Relationship Id="rId1207" Type="http://schemas.openxmlformats.org/officeDocument/2006/relationships/header" Target="header205.xml"/><Relationship Id="rId1206" Type="http://schemas.openxmlformats.org/officeDocument/2006/relationships/image" Target="media/image1203.png"/><Relationship Id="rId1205" Type="http://schemas.openxmlformats.org/officeDocument/2006/relationships/footer" Target="footer482.xml"/><Relationship Id="rId1204" Type="http://schemas.openxmlformats.org/officeDocument/2006/relationships/image" Target="media/image1201.png"/><Relationship Id="rId1203" Type="http://schemas.openxmlformats.org/officeDocument/2006/relationships/image" Target="media/image1200.png"/><Relationship Id="rId1202" Type="http://schemas.openxmlformats.org/officeDocument/2006/relationships/image" Target="media/image1199.png"/><Relationship Id="rId1201" Type="http://schemas.openxmlformats.org/officeDocument/2006/relationships/footer" Target="footer481.xml"/><Relationship Id="rId1200" Type="http://schemas.openxmlformats.org/officeDocument/2006/relationships/header" Target="header204.xml"/><Relationship Id="rId120" Type="http://schemas.openxmlformats.org/officeDocument/2006/relationships/image" Target="media/image118.png"/><Relationship Id="rId12" Type="http://schemas.openxmlformats.org/officeDocument/2006/relationships/footer" Target="footer6.xml"/><Relationship Id="rId1199" Type="http://schemas.openxmlformats.org/officeDocument/2006/relationships/image" Target="media/image1196.png"/><Relationship Id="rId1198" Type="http://schemas.openxmlformats.org/officeDocument/2006/relationships/image" Target="media/image1195.png"/><Relationship Id="rId1197" Type="http://schemas.openxmlformats.org/officeDocument/2006/relationships/image" Target="media/image1194.png"/><Relationship Id="rId1196" Type="http://schemas.openxmlformats.org/officeDocument/2006/relationships/image" Target="media/image1193.png"/><Relationship Id="rId1195" Type="http://schemas.openxmlformats.org/officeDocument/2006/relationships/footer" Target="footer480.xml"/><Relationship Id="rId1194" Type="http://schemas.openxmlformats.org/officeDocument/2006/relationships/header" Target="header203.xml"/><Relationship Id="rId1193" Type="http://schemas.openxmlformats.org/officeDocument/2006/relationships/image" Target="media/image1190.png"/><Relationship Id="rId1192" Type="http://schemas.openxmlformats.org/officeDocument/2006/relationships/footer" Target="footer479.xml"/><Relationship Id="rId1191" Type="http://schemas.openxmlformats.org/officeDocument/2006/relationships/image" Target="media/image1188.png"/><Relationship Id="rId1190" Type="http://schemas.openxmlformats.org/officeDocument/2006/relationships/footer" Target="footer478.xml"/><Relationship Id="rId119" Type="http://schemas.openxmlformats.org/officeDocument/2006/relationships/footer" Target="footer71.xml"/><Relationship Id="rId1189" Type="http://schemas.openxmlformats.org/officeDocument/2006/relationships/image" Target="media/image1186.png"/><Relationship Id="rId1188" Type="http://schemas.openxmlformats.org/officeDocument/2006/relationships/image" Target="media/image1185.png"/><Relationship Id="rId1187" Type="http://schemas.openxmlformats.org/officeDocument/2006/relationships/image" Target="media/image1184.png"/><Relationship Id="rId1186" Type="http://schemas.openxmlformats.org/officeDocument/2006/relationships/image" Target="media/image1183.png"/><Relationship Id="rId1185" Type="http://schemas.openxmlformats.org/officeDocument/2006/relationships/footer" Target="footer477.xml"/><Relationship Id="rId1184" Type="http://schemas.openxmlformats.org/officeDocument/2006/relationships/header" Target="header202.xml"/><Relationship Id="rId1183" Type="http://schemas.openxmlformats.org/officeDocument/2006/relationships/image" Target="media/image1180.png"/><Relationship Id="rId1182" Type="http://schemas.openxmlformats.org/officeDocument/2006/relationships/image" Target="media/image1179.png"/><Relationship Id="rId1181" Type="http://schemas.openxmlformats.org/officeDocument/2006/relationships/image" Target="media/image1178.png"/><Relationship Id="rId1180" Type="http://schemas.openxmlformats.org/officeDocument/2006/relationships/footer" Target="footer476.xml"/><Relationship Id="rId118" Type="http://schemas.openxmlformats.org/officeDocument/2006/relationships/image" Target="media/image116.png"/><Relationship Id="rId1179" Type="http://schemas.openxmlformats.org/officeDocument/2006/relationships/header" Target="header201.xml"/><Relationship Id="rId1178" Type="http://schemas.openxmlformats.org/officeDocument/2006/relationships/image" Target="media/image1175.png"/><Relationship Id="rId1177" Type="http://schemas.openxmlformats.org/officeDocument/2006/relationships/footer" Target="footer475.xml"/><Relationship Id="rId1176" Type="http://schemas.openxmlformats.org/officeDocument/2006/relationships/header" Target="header200.xml"/><Relationship Id="rId1175" Type="http://schemas.openxmlformats.org/officeDocument/2006/relationships/image" Target="media/image1172.png"/><Relationship Id="rId1174" Type="http://schemas.openxmlformats.org/officeDocument/2006/relationships/footer" Target="footer474.xml"/><Relationship Id="rId1173" Type="http://schemas.openxmlformats.org/officeDocument/2006/relationships/image" Target="media/image1170.png"/><Relationship Id="rId1172" Type="http://schemas.openxmlformats.org/officeDocument/2006/relationships/footer" Target="footer473.xml"/><Relationship Id="rId1171" Type="http://schemas.openxmlformats.org/officeDocument/2006/relationships/header" Target="header199.xml"/><Relationship Id="rId1170" Type="http://schemas.openxmlformats.org/officeDocument/2006/relationships/hyperlink" Target="http://www.110.com/ask/browse-c72.html" TargetMode="External"/><Relationship Id="rId117" Type="http://schemas.openxmlformats.org/officeDocument/2006/relationships/footer" Target="footer70.xml"/><Relationship Id="rId1169" Type="http://schemas.openxmlformats.org/officeDocument/2006/relationships/image" Target="media/image1167.png"/><Relationship Id="rId1168" Type="http://schemas.openxmlformats.org/officeDocument/2006/relationships/footer" Target="footer472.xml"/><Relationship Id="rId1167" Type="http://schemas.openxmlformats.org/officeDocument/2006/relationships/header" Target="header198.xml"/><Relationship Id="rId1166" Type="http://schemas.openxmlformats.org/officeDocument/2006/relationships/image" Target="media/image1164.png"/><Relationship Id="rId1165" Type="http://schemas.openxmlformats.org/officeDocument/2006/relationships/footer" Target="footer471.xml"/><Relationship Id="rId1164" Type="http://schemas.openxmlformats.org/officeDocument/2006/relationships/header" Target="header197.xml"/><Relationship Id="rId1163" Type="http://schemas.openxmlformats.org/officeDocument/2006/relationships/image" Target="media/image1161.png"/><Relationship Id="rId1162" Type="http://schemas.openxmlformats.org/officeDocument/2006/relationships/footer" Target="footer470.xml"/><Relationship Id="rId1161" Type="http://schemas.openxmlformats.org/officeDocument/2006/relationships/image" Target="media/image1159.png"/><Relationship Id="rId1160" Type="http://schemas.openxmlformats.org/officeDocument/2006/relationships/footer" Target="footer469.xml"/><Relationship Id="rId116" Type="http://schemas.openxmlformats.org/officeDocument/2006/relationships/image" Target="media/image114.png"/><Relationship Id="rId1159" Type="http://schemas.openxmlformats.org/officeDocument/2006/relationships/header" Target="header196.xml"/><Relationship Id="rId1158" Type="http://schemas.openxmlformats.org/officeDocument/2006/relationships/image" Target="media/image1156.png"/><Relationship Id="rId1157" Type="http://schemas.openxmlformats.org/officeDocument/2006/relationships/footer" Target="footer468.xml"/><Relationship Id="rId1156" Type="http://schemas.openxmlformats.org/officeDocument/2006/relationships/header" Target="header195.xml"/><Relationship Id="rId1155" Type="http://schemas.openxmlformats.org/officeDocument/2006/relationships/image" Target="media/image1153.png"/><Relationship Id="rId1154" Type="http://schemas.openxmlformats.org/officeDocument/2006/relationships/footer" Target="footer467.xml"/><Relationship Id="rId1153" Type="http://schemas.openxmlformats.org/officeDocument/2006/relationships/header" Target="header194.xml"/><Relationship Id="rId1152" Type="http://schemas.openxmlformats.org/officeDocument/2006/relationships/image" Target="media/image1150.jpeg"/><Relationship Id="rId1151" Type="http://schemas.openxmlformats.org/officeDocument/2006/relationships/image" Target="media/image1149.png"/><Relationship Id="rId1150" Type="http://schemas.openxmlformats.org/officeDocument/2006/relationships/footer" Target="footer466.xml"/><Relationship Id="rId115" Type="http://schemas.openxmlformats.org/officeDocument/2006/relationships/footer" Target="footer69.xml"/><Relationship Id="rId1149" Type="http://schemas.openxmlformats.org/officeDocument/2006/relationships/header" Target="header193.xml"/><Relationship Id="rId1148" Type="http://schemas.openxmlformats.org/officeDocument/2006/relationships/image" Target="media/image1146.png"/><Relationship Id="rId1147" Type="http://schemas.openxmlformats.org/officeDocument/2006/relationships/image" Target="media/image1145.png"/><Relationship Id="rId1146" Type="http://schemas.openxmlformats.org/officeDocument/2006/relationships/footer" Target="footer465.xml"/><Relationship Id="rId1145" Type="http://schemas.openxmlformats.org/officeDocument/2006/relationships/header" Target="header192.xml"/><Relationship Id="rId1144" Type="http://schemas.openxmlformats.org/officeDocument/2006/relationships/image" Target="media/image1142.png"/><Relationship Id="rId1143" Type="http://schemas.openxmlformats.org/officeDocument/2006/relationships/footer" Target="footer464.xml"/><Relationship Id="rId1142" Type="http://schemas.openxmlformats.org/officeDocument/2006/relationships/image" Target="media/image1140.png"/><Relationship Id="rId1141" Type="http://schemas.openxmlformats.org/officeDocument/2006/relationships/footer" Target="footer463.xml"/><Relationship Id="rId1140" Type="http://schemas.openxmlformats.org/officeDocument/2006/relationships/image" Target="media/image1138.png"/><Relationship Id="rId114" Type="http://schemas.openxmlformats.org/officeDocument/2006/relationships/image" Target="media/image112.png"/><Relationship Id="rId1139" Type="http://schemas.openxmlformats.org/officeDocument/2006/relationships/footer" Target="footer462.xml"/><Relationship Id="rId1138" Type="http://schemas.openxmlformats.org/officeDocument/2006/relationships/image" Target="media/image1136.png"/><Relationship Id="rId1137" Type="http://schemas.openxmlformats.org/officeDocument/2006/relationships/footer" Target="footer461.xml"/><Relationship Id="rId1136" Type="http://schemas.openxmlformats.org/officeDocument/2006/relationships/image" Target="media/image1134.png"/><Relationship Id="rId1135" Type="http://schemas.openxmlformats.org/officeDocument/2006/relationships/footer" Target="footer460.xml"/><Relationship Id="rId1134" Type="http://schemas.openxmlformats.org/officeDocument/2006/relationships/image" Target="media/image1132.png"/><Relationship Id="rId1133" Type="http://schemas.openxmlformats.org/officeDocument/2006/relationships/footer" Target="footer459.xml"/><Relationship Id="rId1132" Type="http://schemas.openxmlformats.org/officeDocument/2006/relationships/header" Target="header191.xml"/><Relationship Id="rId1131" Type="http://schemas.openxmlformats.org/officeDocument/2006/relationships/image" Target="media/image1129.png"/><Relationship Id="rId1130" Type="http://schemas.openxmlformats.org/officeDocument/2006/relationships/image" Target="media/image1128.png"/><Relationship Id="rId113" Type="http://schemas.openxmlformats.org/officeDocument/2006/relationships/footer" Target="footer68.xml"/><Relationship Id="rId1129" Type="http://schemas.openxmlformats.org/officeDocument/2006/relationships/image" Target="media/image1127.png"/><Relationship Id="rId1128" Type="http://schemas.openxmlformats.org/officeDocument/2006/relationships/image" Target="media/image1126.png"/><Relationship Id="rId1127" Type="http://schemas.openxmlformats.org/officeDocument/2006/relationships/image" Target="media/image1125.png"/><Relationship Id="rId1126" Type="http://schemas.openxmlformats.org/officeDocument/2006/relationships/image" Target="media/image1124.png"/><Relationship Id="rId1125" Type="http://schemas.openxmlformats.org/officeDocument/2006/relationships/image" Target="media/image1123.png"/><Relationship Id="rId1124" Type="http://schemas.openxmlformats.org/officeDocument/2006/relationships/image" Target="media/image1122.png"/><Relationship Id="rId1123" Type="http://schemas.openxmlformats.org/officeDocument/2006/relationships/image" Target="media/image1121.png"/><Relationship Id="rId1122" Type="http://schemas.openxmlformats.org/officeDocument/2006/relationships/image" Target="media/image1120.png"/><Relationship Id="rId1121" Type="http://schemas.openxmlformats.org/officeDocument/2006/relationships/footer" Target="footer458.xml"/><Relationship Id="rId1120" Type="http://schemas.openxmlformats.org/officeDocument/2006/relationships/image" Target="media/image1118.jpeg"/><Relationship Id="rId112" Type="http://schemas.openxmlformats.org/officeDocument/2006/relationships/image" Target="media/image110.png"/><Relationship Id="rId1119" Type="http://schemas.openxmlformats.org/officeDocument/2006/relationships/image" Target="media/image1117.png"/><Relationship Id="rId1118" Type="http://schemas.openxmlformats.org/officeDocument/2006/relationships/footer" Target="footer457.xml"/><Relationship Id="rId1117" Type="http://schemas.openxmlformats.org/officeDocument/2006/relationships/header" Target="header190.xml"/><Relationship Id="rId1116" Type="http://schemas.openxmlformats.org/officeDocument/2006/relationships/image" Target="media/image1114.png"/><Relationship Id="rId1115" Type="http://schemas.openxmlformats.org/officeDocument/2006/relationships/footer" Target="footer456.xml"/><Relationship Id="rId1114" Type="http://schemas.openxmlformats.org/officeDocument/2006/relationships/image" Target="media/image1112.png"/><Relationship Id="rId1113" Type="http://schemas.openxmlformats.org/officeDocument/2006/relationships/footer" Target="footer455.xml"/><Relationship Id="rId1112" Type="http://schemas.openxmlformats.org/officeDocument/2006/relationships/header" Target="header189.xml"/><Relationship Id="rId1111" Type="http://schemas.openxmlformats.org/officeDocument/2006/relationships/image" Target="media/image1109.png"/><Relationship Id="rId1110" Type="http://schemas.openxmlformats.org/officeDocument/2006/relationships/footer" Target="footer454.xml"/><Relationship Id="rId111" Type="http://schemas.openxmlformats.org/officeDocument/2006/relationships/footer" Target="footer67.xml"/><Relationship Id="rId1109" Type="http://schemas.openxmlformats.org/officeDocument/2006/relationships/image" Target="media/image1107.png"/><Relationship Id="rId1108" Type="http://schemas.openxmlformats.org/officeDocument/2006/relationships/footer" Target="footer453.xml"/><Relationship Id="rId1107" Type="http://schemas.openxmlformats.org/officeDocument/2006/relationships/image" Target="media/image1105.png"/><Relationship Id="rId1106" Type="http://schemas.openxmlformats.org/officeDocument/2006/relationships/footer" Target="footer452.xml"/><Relationship Id="rId1105" Type="http://schemas.openxmlformats.org/officeDocument/2006/relationships/image" Target="media/image1103.png"/><Relationship Id="rId1104" Type="http://schemas.openxmlformats.org/officeDocument/2006/relationships/footer" Target="footer451.xml"/><Relationship Id="rId1103" Type="http://schemas.openxmlformats.org/officeDocument/2006/relationships/image" Target="media/image1101.png"/><Relationship Id="rId1102" Type="http://schemas.openxmlformats.org/officeDocument/2006/relationships/footer" Target="footer450.xml"/><Relationship Id="rId1101" Type="http://schemas.openxmlformats.org/officeDocument/2006/relationships/image" Target="media/image1099.png"/><Relationship Id="rId1100" Type="http://schemas.openxmlformats.org/officeDocument/2006/relationships/footer" Target="footer449.xml"/><Relationship Id="rId110" Type="http://schemas.openxmlformats.org/officeDocument/2006/relationships/image" Target="media/image108.png"/><Relationship Id="rId11" Type="http://schemas.openxmlformats.org/officeDocument/2006/relationships/header" Target="header4.xml"/><Relationship Id="rId1099" Type="http://schemas.openxmlformats.org/officeDocument/2006/relationships/image" Target="media/image1097.png"/><Relationship Id="rId1098" Type="http://schemas.openxmlformats.org/officeDocument/2006/relationships/footer" Target="footer448.xml"/><Relationship Id="rId1097" Type="http://schemas.openxmlformats.org/officeDocument/2006/relationships/image" Target="media/image1095.png"/><Relationship Id="rId1096" Type="http://schemas.openxmlformats.org/officeDocument/2006/relationships/footer" Target="footer447.xml"/><Relationship Id="rId1095" Type="http://schemas.openxmlformats.org/officeDocument/2006/relationships/image" Target="media/image1093.png"/><Relationship Id="rId1094" Type="http://schemas.openxmlformats.org/officeDocument/2006/relationships/footer" Target="footer446.xml"/><Relationship Id="rId1093" Type="http://schemas.openxmlformats.org/officeDocument/2006/relationships/image" Target="media/image1091.png"/><Relationship Id="rId1092" Type="http://schemas.openxmlformats.org/officeDocument/2006/relationships/footer" Target="footer445.xml"/><Relationship Id="rId1091" Type="http://schemas.openxmlformats.org/officeDocument/2006/relationships/header" Target="header188.xml"/><Relationship Id="rId1090" Type="http://schemas.openxmlformats.org/officeDocument/2006/relationships/image" Target="media/image1088.jpeg"/><Relationship Id="rId109" Type="http://schemas.openxmlformats.org/officeDocument/2006/relationships/footer" Target="footer66.xml"/><Relationship Id="rId1089" Type="http://schemas.openxmlformats.org/officeDocument/2006/relationships/image" Target="media/image1087.png"/><Relationship Id="rId1088" Type="http://schemas.openxmlformats.org/officeDocument/2006/relationships/image" Target="media/image1086.png"/><Relationship Id="rId1087" Type="http://schemas.openxmlformats.org/officeDocument/2006/relationships/image" Target="media/image1085.png"/><Relationship Id="rId1086" Type="http://schemas.openxmlformats.org/officeDocument/2006/relationships/image" Target="media/image1084.png"/><Relationship Id="rId1085" Type="http://schemas.openxmlformats.org/officeDocument/2006/relationships/header" Target="header187.xml"/><Relationship Id="rId1084" Type="http://schemas.openxmlformats.org/officeDocument/2006/relationships/image" Target="media/image1082.png"/><Relationship Id="rId1083" Type="http://schemas.openxmlformats.org/officeDocument/2006/relationships/image" Target="media/image1081.png"/><Relationship Id="rId1082" Type="http://schemas.openxmlformats.org/officeDocument/2006/relationships/image" Target="media/image1080.png"/><Relationship Id="rId1081" Type="http://schemas.openxmlformats.org/officeDocument/2006/relationships/footer" Target="footer444.xml"/><Relationship Id="rId1080" Type="http://schemas.openxmlformats.org/officeDocument/2006/relationships/image" Target="media/image1078.png"/><Relationship Id="rId108" Type="http://schemas.openxmlformats.org/officeDocument/2006/relationships/image" Target="media/image106.png"/><Relationship Id="rId1079" Type="http://schemas.openxmlformats.org/officeDocument/2006/relationships/footer" Target="footer443.xml"/><Relationship Id="rId1078" Type="http://schemas.openxmlformats.org/officeDocument/2006/relationships/image" Target="media/image1076.png"/><Relationship Id="rId1077" Type="http://schemas.openxmlformats.org/officeDocument/2006/relationships/footer" Target="footer442.xml"/><Relationship Id="rId1076" Type="http://schemas.openxmlformats.org/officeDocument/2006/relationships/image" Target="media/image1074.png"/><Relationship Id="rId1075" Type="http://schemas.openxmlformats.org/officeDocument/2006/relationships/footer" Target="footer441.xml"/><Relationship Id="rId1074" Type="http://schemas.openxmlformats.org/officeDocument/2006/relationships/image" Target="media/image1072.png"/><Relationship Id="rId1073" Type="http://schemas.openxmlformats.org/officeDocument/2006/relationships/footer" Target="footer440.xml"/><Relationship Id="rId1072" Type="http://schemas.openxmlformats.org/officeDocument/2006/relationships/image" Target="media/image1070.png"/><Relationship Id="rId1071" Type="http://schemas.openxmlformats.org/officeDocument/2006/relationships/footer" Target="footer439.xml"/><Relationship Id="rId1070" Type="http://schemas.openxmlformats.org/officeDocument/2006/relationships/image" Target="media/image1068.png"/><Relationship Id="rId107" Type="http://schemas.openxmlformats.org/officeDocument/2006/relationships/footer" Target="footer65.xml"/><Relationship Id="rId1069" Type="http://schemas.openxmlformats.org/officeDocument/2006/relationships/footer" Target="footer438.xml"/><Relationship Id="rId1068" Type="http://schemas.openxmlformats.org/officeDocument/2006/relationships/image" Target="media/image1066.png"/><Relationship Id="rId1067" Type="http://schemas.openxmlformats.org/officeDocument/2006/relationships/footer" Target="footer437.xml"/><Relationship Id="rId1066" Type="http://schemas.openxmlformats.org/officeDocument/2006/relationships/image" Target="media/image1064.png"/><Relationship Id="rId1065" Type="http://schemas.openxmlformats.org/officeDocument/2006/relationships/footer" Target="footer436.xml"/><Relationship Id="rId1064" Type="http://schemas.openxmlformats.org/officeDocument/2006/relationships/image" Target="media/image1062.png"/><Relationship Id="rId1063" Type="http://schemas.openxmlformats.org/officeDocument/2006/relationships/footer" Target="footer435.xml"/><Relationship Id="rId1062" Type="http://schemas.openxmlformats.org/officeDocument/2006/relationships/header" Target="header186.xml"/><Relationship Id="rId1061" Type="http://schemas.openxmlformats.org/officeDocument/2006/relationships/image" Target="media/image1059.png"/><Relationship Id="rId1060" Type="http://schemas.openxmlformats.org/officeDocument/2006/relationships/footer" Target="footer434.xml"/><Relationship Id="rId106" Type="http://schemas.openxmlformats.org/officeDocument/2006/relationships/image" Target="media/image104.png"/><Relationship Id="rId1059" Type="http://schemas.openxmlformats.org/officeDocument/2006/relationships/image" Target="media/image1057.png"/><Relationship Id="rId1058" Type="http://schemas.openxmlformats.org/officeDocument/2006/relationships/footer" Target="footer433.xml"/><Relationship Id="rId1057" Type="http://schemas.openxmlformats.org/officeDocument/2006/relationships/image" Target="media/image1055.png"/><Relationship Id="rId1056" Type="http://schemas.openxmlformats.org/officeDocument/2006/relationships/footer" Target="footer432.xml"/><Relationship Id="rId1055" Type="http://schemas.openxmlformats.org/officeDocument/2006/relationships/header" Target="header185.xml"/><Relationship Id="rId1054" Type="http://schemas.openxmlformats.org/officeDocument/2006/relationships/image" Target="media/image1052.png"/><Relationship Id="rId1053" Type="http://schemas.openxmlformats.org/officeDocument/2006/relationships/footer" Target="footer431.xml"/><Relationship Id="rId1052" Type="http://schemas.openxmlformats.org/officeDocument/2006/relationships/image" Target="media/image1050.png"/><Relationship Id="rId1051" Type="http://schemas.openxmlformats.org/officeDocument/2006/relationships/footer" Target="footer430.xml"/><Relationship Id="rId1050" Type="http://schemas.openxmlformats.org/officeDocument/2006/relationships/image" Target="media/image1048.png"/><Relationship Id="rId105" Type="http://schemas.openxmlformats.org/officeDocument/2006/relationships/footer" Target="footer64.xml"/><Relationship Id="rId1049" Type="http://schemas.openxmlformats.org/officeDocument/2006/relationships/footer" Target="footer429.xml"/><Relationship Id="rId1048" Type="http://schemas.openxmlformats.org/officeDocument/2006/relationships/header" Target="header184.xml"/><Relationship Id="rId1047" Type="http://schemas.openxmlformats.org/officeDocument/2006/relationships/image" Target="media/image1045.png"/><Relationship Id="rId1046" Type="http://schemas.openxmlformats.org/officeDocument/2006/relationships/image" Target="media/image1044.png"/><Relationship Id="rId1045" Type="http://schemas.openxmlformats.org/officeDocument/2006/relationships/footer" Target="footer428.xml"/><Relationship Id="rId1044" Type="http://schemas.openxmlformats.org/officeDocument/2006/relationships/image" Target="media/image1042.png"/><Relationship Id="rId1043" Type="http://schemas.openxmlformats.org/officeDocument/2006/relationships/image" Target="media/image1041.png"/><Relationship Id="rId1042" Type="http://schemas.openxmlformats.org/officeDocument/2006/relationships/footer" Target="footer427.xml"/><Relationship Id="rId1041" Type="http://schemas.openxmlformats.org/officeDocument/2006/relationships/header" Target="header183.xml"/><Relationship Id="rId1040" Type="http://schemas.openxmlformats.org/officeDocument/2006/relationships/image" Target="media/image1038.png"/><Relationship Id="rId104" Type="http://schemas.openxmlformats.org/officeDocument/2006/relationships/header" Target="header18.xml"/><Relationship Id="rId1039" Type="http://schemas.openxmlformats.org/officeDocument/2006/relationships/footer" Target="footer426.xml"/><Relationship Id="rId1038" Type="http://schemas.openxmlformats.org/officeDocument/2006/relationships/image" Target="media/image1036.png"/><Relationship Id="rId1037" Type="http://schemas.openxmlformats.org/officeDocument/2006/relationships/footer" Target="footer425.xml"/><Relationship Id="rId1036" Type="http://schemas.openxmlformats.org/officeDocument/2006/relationships/header" Target="header182.xml"/><Relationship Id="rId1035" Type="http://schemas.openxmlformats.org/officeDocument/2006/relationships/image" Target="media/image1033.png"/><Relationship Id="rId1034" Type="http://schemas.openxmlformats.org/officeDocument/2006/relationships/footer" Target="footer424.xml"/><Relationship Id="rId1033" Type="http://schemas.openxmlformats.org/officeDocument/2006/relationships/header" Target="header181.xml"/><Relationship Id="rId1032" Type="http://schemas.openxmlformats.org/officeDocument/2006/relationships/image" Target="media/image1030.png"/><Relationship Id="rId1031" Type="http://schemas.openxmlformats.org/officeDocument/2006/relationships/footer" Target="footer423.xml"/><Relationship Id="rId1030" Type="http://schemas.openxmlformats.org/officeDocument/2006/relationships/image" Target="media/image1028.png"/><Relationship Id="rId103" Type="http://schemas.openxmlformats.org/officeDocument/2006/relationships/image" Target="media/image101.png"/><Relationship Id="rId1029" Type="http://schemas.openxmlformats.org/officeDocument/2006/relationships/footer" Target="footer422.xml"/><Relationship Id="rId1028" Type="http://schemas.openxmlformats.org/officeDocument/2006/relationships/image" Target="media/image1026.png"/><Relationship Id="rId1027" Type="http://schemas.openxmlformats.org/officeDocument/2006/relationships/footer" Target="footer421.xml"/><Relationship Id="rId1026" Type="http://schemas.openxmlformats.org/officeDocument/2006/relationships/header" Target="header180.xml"/><Relationship Id="rId1025" Type="http://schemas.openxmlformats.org/officeDocument/2006/relationships/image" Target="media/image1023.png"/><Relationship Id="rId1024" Type="http://schemas.openxmlformats.org/officeDocument/2006/relationships/footer" Target="footer420.xml"/><Relationship Id="rId1023" Type="http://schemas.openxmlformats.org/officeDocument/2006/relationships/header" Target="header179.xml"/><Relationship Id="rId1022" Type="http://schemas.openxmlformats.org/officeDocument/2006/relationships/image" Target="media/image1020.png"/><Relationship Id="rId1021" Type="http://schemas.openxmlformats.org/officeDocument/2006/relationships/footer" Target="footer419.xml"/><Relationship Id="rId1020" Type="http://schemas.openxmlformats.org/officeDocument/2006/relationships/header" Target="header178.xml"/><Relationship Id="rId102" Type="http://schemas.openxmlformats.org/officeDocument/2006/relationships/footer" Target="footer63.xml"/><Relationship Id="rId1019" Type="http://schemas.openxmlformats.org/officeDocument/2006/relationships/image" Target="media/image1017.png"/><Relationship Id="rId1018" Type="http://schemas.openxmlformats.org/officeDocument/2006/relationships/footer" Target="footer418.xml"/><Relationship Id="rId1017" Type="http://schemas.openxmlformats.org/officeDocument/2006/relationships/header" Target="header177.xml"/><Relationship Id="rId1016" Type="http://schemas.openxmlformats.org/officeDocument/2006/relationships/image" Target="media/image1014.png"/><Relationship Id="rId1015" Type="http://schemas.openxmlformats.org/officeDocument/2006/relationships/image" Target="media/image1013.png"/><Relationship Id="rId1014" Type="http://schemas.openxmlformats.org/officeDocument/2006/relationships/image" Target="media/image1012.png"/><Relationship Id="rId1013" Type="http://schemas.openxmlformats.org/officeDocument/2006/relationships/image" Target="media/image1011.png"/><Relationship Id="rId1012" Type="http://schemas.openxmlformats.org/officeDocument/2006/relationships/footer" Target="footer417.xml"/><Relationship Id="rId1011" Type="http://schemas.openxmlformats.org/officeDocument/2006/relationships/header" Target="header176.xml"/><Relationship Id="rId1010" Type="http://schemas.openxmlformats.org/officeDocument/2006/relationships/image" Target="media/image1008.png"/><Relationship Id="rId101" Type="http://schemas.openxmlformats.org/officeDocument/2006/relationships/image" Target="media/image99.png"/><Relationship Id="rId1009" Type="http://schemas.openxmlformats.org/officeDocument/2006/relationships/image" Target="media/image1007.png"/><Relationship Id="rId1008" Type="http://schemas.openxmlformats.org/officeDocument/2006/relationships/image" Target="media/image1006.png"/><Relationship Id="rId1007" Type="http://schemas.openxmlformats.org/officeDocument/2006/relationships/image" Target="media/image1005.png"/><Relationship Id="rId1006" Type="http://schemas.openxmlformats.org/officeDocument/2006/relationships/header" Target="header175.xml"/><Relationship Id="rId1005" Type="http://schemas.openxmlformats.org/officeDocument/2006/relationships/image" Target="media/image1003.png"/><Relationship Id="rId1004" Type="http://schemas.openxmlformats.org/officeDocument/2006/relationships/footer" Target="footer416.xml"/><Relationship Id="rId1003" Type="http://schemas.openxmlformats.org/officeDocument/2006/relationships/image" Target="media/image1001.png"/><Relationship Id="rId1002" Type="http://schemas.openxmlformats.org/officeDocument/2006/relationships/footer" Target="footer415.xml"/><Relationship Id="rId1001" Type="http://schemas.openxmlformats.org/officeDocument/2006/relationships/image" Target="media/image999.png"/><Relationship Id="rId1000" Type="http://schemas.openxmlformats.org/officeDocument/2006/relationships/footer" Target="footer414.xml"/><Relationship Id="rId100" Type="http://schemas.openxmlformats.org/officeDocument/2006/relationships/footer" Target="footer62.xml"/><Relationship Id="rId10" Type="http://schemas.openxmlformats.org/officeDocument/2006/relationships/footer" Target="footer5.xml"/><Relationship Id="rId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19.png"/></Relationships>
</file>

<file path=word/_rels/footer100.xml.rels><?xml version="1.0" encoding="UTF-8" standalone="yes"?>
<Relationships xmlns="http://schemas.openxmlformats.org/package/2006/relationships"><Relationship Id="rId1" Type="http://schemas.openxmlformats.org/officeDocument/2006/relationships/image" Target="media/image184.png"/></Relationships>
</file>

<file path=word/_rels/footer101.xml.rels><?xml version="1.0" encoding="UTF-8" standalone="yes"?>
<Relationships xmlns="http://schemas.openxmlformats.org/package/2006/relationships"><Relationship Id="rId1" Type="http://schemas.openxmlformats.org/officeDocument/2006/relationships/image" Target="media/image187.png"/></Relationships>
</file>

<file path=word/_rels/footer102.xml.rels><?xml version="1.0" encoding="UTF-8" standalone="yes"?>
<Relationships xmlns="http://schemas.openxmlformats.org/package/2006/relationships"><Relationship Id="rId1" Type="http://schemas.openxmlformats.org/officeDocument/2006/relationships/image" Target="media/image190.png"/></Relationships>
</file>

<file path=word/_rels/footer103.xml.rels><?xml version="1.0" encoding="UTF-8" standalone="yes"?>
<Relationships xmlns="http://schemas.openxmlformats.org/package/2006/relationships"><Relationship Id="rId1" Type="http://schemas.openxmlformats.org/officeDocument/2006/relationships/image" Target="media/image193.png"/></Relationships>
</file>

<file path=word/_rels/footer104.xml.rels><?xml version="1.0" encoding="UTF-8" standalone="yes"?>
<Relationships xmlns="http://schemas.openxmlformats.org/package/2006/relationships"><Relationship Id="rId1" Type="http://schemas.openxmlformats.org/officeDocument/2006/relationships/image" Target="media/image195.png"/></Relationships>
</file>

<file path=word/_rels/footer105.xml.rels><?xml version="1.0" encoding="UTF-8" standalone="yes"?>
<Relationships xmlns="http://schemas.openxmlformats.org/package/2006/relationships"><Relationship Id="rId1" Type="http://schemas.openxmlformats.org/officeDocument/2006/relationships/image" Target="media/image198.png"/></Relationships>
</file>

<file path=word/_rels/footer106.xml.rels><?xml version="1.0" encoding="UTF-8" standalone="yes"?>
<Relationships xmlns="http://schemas.openxmlformats.org/package/2006/relationships"><Relationship Id="rId1" Type="http://schemas.openxmlformats.org/officeDocument/2006/relationships/image" Target="media/image200.png"/></Relationships>
</file>

<file path=word/_rels/footer107.xml.rels><?xml version="1.0" encoding="UTF-8" standalone="yes"?>
<Relationships xmlns="http://schemas.openxmlformats.org/package/2006/relationships"><Relationship Id="rId1" Type="http://schemas.openxmlformats.org/officeDocument/2006/relationships/image" Target="media/image202.png"/></Relationships>
</file>

<file path=word/_rels/footer108.xml.rels><?xml version="1.0" encoding="UTF-8" standalone="yes"?>
<Relationships xmlns="http://schemas.openxmlformats.org/package/2006/relationships"><Relationship Id="rId1" Type="http://schemas.openxmlformats.org/officeDocument/2006/relationships/image" Target="media/image204.png"/></Relationships>
</file>

<file path=word/_rels/footer109.xml.rels><?xml version="1.0" encoding="UTF-8" standalone="yes"?>
<Relationships xmlns="http://schemas.openxmlformats.org/package/2006/relationships"><Relationship Id="rId1" Type="http://schemas.openxmlformats.org/officeDocument/2006/relationships/image" Target="media/image206.png"/></Relationships>
</file>

<file path=word/_rels/footer11.xml.rels><?xml version="1.0" encoding="UTF-8" standalone="yes"?>
<Relationships xmlns="http://schemas.openxmlformats.org/package/2006/relationships"><Relationship Id="rId1" Type="http://schemas.openxmlformats.org/officeDocument/2006/relationships/image" Target="media/image21.png"/></Relationships>
</file>

<file path=word/_rels/footer110.xml.rels><?xml version="1.0" encoding="UTF-8" standalone="yes"?>
<Relationships xmlns="http://schemas.openxmlformats.org/package/2006/relationships"><Relationship Id="rId1" Type="http://schemas.openxmlformats.org/officeDocument/2006/relationships/image" Target="media/image208.png"/></Relationships>
</file>

<file path=word/_rels/footer111.xml.rels><?xml version="1.0" encoding="UTF-8" standalone="yes"?>
<Relationships xmlns="http://schemas.openxmlformats.org/package/2006/relationships"><Relationship Id="rId1" Type="http://schemas.openxmlformats.org/officeDocument/2006/relationships/image" Target="media/image211.png"/></Relationships>
</file>

<file path=word/_rels/footer112.xml.rels><?xml version="1.0" encoding="UTF-8" standalone="yes"?>
<Relationships xmlns="http://schemas.openxmlformats.org/package/2006/relationships"><Relationship Id="rId1" Type="http://schemas.openxmlformats.org/officeDocument/2006/relationships/image" Target="media/image213.png"/></Relationships>
</file>

<file path=word/_rels/footer113.xml.rels><?xml version="1.0" encoding="UTF-8" standalone="yes"?>
<Relationships xmlns="http://schemas.openxmlformats.org/package/2006/relationships"><Relationship Id="rId1" Type="http://schemas.openxmlformats.org/officeDocument/2006/relationships/image" Target="media/image216.png"/></Relationships>
</file>

<file path=word/_rels/footer114.xml.rels><?xml version="1.0" encoding="UTF-8" standalone="yes"?>
<Relationships xmlns="http://schemas.openxmlformats.org/package/2006/relationships"><Relationship Id="rId1" Type="http://schemas.openxmlformats.org/officeDocument/2006/relationships/image" Target="media/image218.png"/></Relationships>
</file>

<file path=word/_rels/footer115.xml.rels><?xml version="1.0" encoding="UTF-8" standalone="yes"?>
<Relationships xmlns="http://schemas.openxmlformats.org/package/2006/relationships"><Relationship Id="rId1" Type="http://schemas.openxmlformats.org/officeDocument/2006/relationships/image" Target="media/image220.png"/></Relationships>
</file>

<file path=word/_rels/footer116.xml.rels><?xml version="1.0" encoding="UTF-8" standalone="yes"?>
<Relationships xmlns="http://schemas.openxmlformats.org/package/2006/relationships"><Relationship Id="rId1" Type="http://schemas.openxmlformats.org/officeDocument/2006/relationships/image" Target="media/image223.png"/></Relationships>
</file>

<file path=word/_rels/footer117.xml.rels><?xml version="1.0" encoding="UTF-8" standalone="yes"?>
<Relationships xmlns="http://schemas.openxmlformats.org/package/2006/relationships"><Relationship Id="rId1" Type="http://schemas.openxmlformats.org/officeDocument/2006/relationships/image" Target="media/image225.png"/></Relationships>
</file>

<file path=word/_rels/footer118.xml.rels><?xml version="1.0" encoding="UTF-8" standalone="yes"?>
<Relationships xmlns="http://schemas.openxmlformats.org/package/2006/relationships"><Relationship Id="rId1" Type="http://schemas.openxmlformats.org/officeDocument/2006/relationships/image" Target="media/image227.png"/></Relationships>
</file>

<file path=word/_rels/footer119.xml.rels><?xml version="1.0" encoding="UTF-8" standalone="yes"?>
<Relationships xmlns="http://schemas.openxmlformats.org/package/2006/relationships"><Relationship Id="rId1" Type="http://schemas.openxmlformats.org/officeDocument/2006/relationships/image" Target="media/image229.png"/></Relationships>
</file>

<file path=word/_rels/footer12.xml.rels><?xml version="1.0" encoding="UTF-8" standalone="yes"?>
<Relationships xmlns="http://schemas.openxmlformats.org/package/2006/relationships"><Relationship Id="rId1" Type="http://schemas.openxmlformats.org/officeDocument/2006/relationships/image" Target="media/image23.png"/></Relationships>
</file>

<file path=word/_rels/footer120.xml.rels><?xml version="1.0" encoding="UTF-8" standalone="yes"?>
<Relationships xmlns="http://schemas.openxmlformats.org/package/2006/relationships"><Relationship Id="rId1" Type="http://schemas.openxmlformats.org/officeDocument/2006/relationships/image" Target="media/image232.png"/></Relationships>
</file>

<file path=word/_rels/footer121.xml.rels><?xml version="1.0" encoding="UTF-8" standalone="yes"?>
<Relationships xmlns="http://schemas.openxmlformats.org/package/2006/relationships"><Relationship Id="rId1" Type="http://schemas.openxmlformats.org/officeDocument/2006/relationships/image" Target="media/image235.png"/></Relationships>
</file>

<file path=word/_rels/footer122.xml.rels><?xml version="1.0" encoding="UTF-8" standalone="yes"?>
<Relationships xmlns="http://schemas.openxmlformats.org/package/2006/relationships"><Relationship Id="rId1" Type="http://schemas.openxmlformats.org/officeDocument/2006/relationships/image" Target="media/image238.png"/></Relationships>
</file>

<file path=word/_rels/footer123.xml.rels><?xml version="1.0" encoding="UTF-8" standalone="yes"?>
<Relationships xmlns="http://schemas.openxmlformats.org/package/2006/relationships"><Relationship Id="rId1" Type="http://schemas.openxmlformats.org/officeDocument/2006/relationships/image" Target="media/image240.png"/></Relationships>
</file>

<file path=word/_rels/footer124.xml.rels><?xml version="1.0" encoding="UTF-8" standalone="yes"?>
<Relationships xmlns="http://schemas.openxmlformats.org/package/2006/relationships"><Relationship Id="rId1" Type="http://schemas.openxmlformats.org/officeDocument/2006/relationships/image" Target="media/image242.png"/></Relationships>
</file>

<file path=word/_rels/footer125.xml.rels><?xml version="1.0" encoding="UTF-8" standalone="yes"?>
<Relationships xmlns="http://schemas.openxmlformats.org/package/2006/relationships"><Relationship Id="rId1" Type="http://schemas.openxmlformats.org/officeDocument/2006/relationships/image" Target="media/image245.png"/></Relationships>
</file>

<file path=word/_rels/footer126.xml.rels><?xml version="1.0" encoding="UTF-8" standalone="yes"?>
<Relationships xmlns="http://schemas.openxmlformats.org/package/2006/relationships"><Relationship Id="rId1" Type="http://schemas.openxmlformats.org/officeDocument/2006/relationships/image" Target="media/image248.png"/></Relationships>
</file>

<file path=word/_rels/footer127.xml.rels><?xml version="1.0" encoding="UTF-8" standalone="yes"?>
<Relationships xmlns="http://schemas.openxmlformats.org/package/2006/relationships"><Relationship Id="rId1" Type="http://schemas.openxmlformats.org/officeDocument/2006/relationships/image" Target="media/image251.png"/></Relationships>
</file>

<file path=word/_rels/footer128.xml.rels><?xml version="1.0" encoding="UTF-8" standalone="yes"?>
<Relationships xmlns="http://schemas.openxmlformats.org/package/2006/relationships"><Relationship Id="rId1" Type="http://schemas.openxmlformats.org/officeDocument/2006/relationships/image" Target="media/image253.png"/></Relationships>
</file>

<file path=word/_rels/footer129.xml.rels><?xml version="1.0" encoding="UTF-8" standalone="yes"?>
<Relationships xmlns="http://schemas.openxmlformats.org/package/2006/relationships"><Relationship Id="rId1" Type="http://schemas.openxmlformats.org/officeDocument/2006/relationships/image" Target="media/image256.png"/></Relationships>
</file>

<file path=word/_rels/footer13.xml.rels><?xml version="1.0" encoding="UTF-8" standalone="yes"?>
<Relationships xmlns="http://schemas.openxmlformats.org/package/2006/relationships"><Relationship Id="rId1" Type="http://schemas.openxmlformats.org/officeDocument/2006/relationships/image" Target="media/image25.png"/></Relationships>
</file>

<file path=word/_rels/footer130.xml.rels><?xml version="1.0" encoding="UTF-8" standalone="yes"?>
<Relationships xmlns="http://schemas.openxmlformats.org/package/2006/relationships"><Relationship Id="rId1" Type="http://schemas.openxmlformats.org/officeDocument/2006/relationships/image" Target="media/image258.png"/></Relationships>
</file>

<file path=word/_rels/footer131.xml.rels><?xml version="1.0" encoding="UTF-8" standalone="yes"?>
<Relationships xmlns="http://schemas.openxmlformats.org/package/2006/relationships"><Relationship Id="rId1" Type="http://schemas.openxmlformats.org/officeDocument/2006/relationships/image" Target="media/image260.png"/></Relationships>
</file>

<file path=word/_rels/footer132.xml.rels><?xml version="1.0" encoding="UTF-8" standalone="yes"?>
<Relationships xmlns="http://schemas.openxmlformats.org/package/2006/relationships"><Relationship Id="rId1" Type="http://schemas.openxmlformats.org/officeDocument/2006/relationships/image" Target="media/image262.png"/></Relationships>
</file>

<file path=word/_rels/footer133.xml.rels><?xml version="1.0" encoding="UTF-8" standalone="yes"?>
<Relationships xmlns="http://schemas.openxmlformats.org/package/2006/relationships"><Relationship Id="rId1" Type="http://schemas.openxmlformats.org/officeDocument/2006/relationships/image" Target="media/image264.png"/></Relationships>
</file>

<file path=word/_rels/footer134.xml.rels><?xml version="1.0" encoding="UTF-8" standalone="yes"?>
<Relationships xmlns="http://schemas.openxmlformats.org/package/2006/relationships"><Relationship Id="rId1" Type="http://schemas.openxmlformats.org/officeDocument/2006/relationships/image" Target="media/image266.png"/></Relationships>
</file>

<file path=word/_rels/footer135.xml.rels><?xml version="1.0" encoding="UTF-8" standalone="yes"?>
<Relationships xmlns="http://schemas.openxmlformats.org/package/2006/relationships"><Relationship Id="rId1" Type="http://schemas.openxmlformats.org/officeDocument/2006/relationships/image" Target="media/image268.png"/></Relationships>
</file>

<file path=word/_rels/footer136.xml.rels><?xml version="1.0" encoding="UTF-8" standalone="yes"?>
<Relationships xmlns="http://schemas.openxmlformats.org/package/2006/relationships"><Relationship Id="rId1" Type="http://schemas.openxmlformats.org/officeDocument/2006/relationships/image" Target="media/image270.png"/></Relationships>
</file>

<file path=word/_rels/footer137.xml.rels><?xml version="1.0" encoding="UTF-8" standalone="yes"?>
<Relationships xmlns="http://schemas.openxmlformats.org/package/2006/relationships"><Relationship Id="rId1" Type="http://schemas.openxmlformats.org/officeDocument/2006/relationships/image" Target="media/image272.png"/></Relationships>
</file>

<file path=word/_rels/footer138.xml.rels><?xml version="1.0" encoding="UTF-8" standalone="yes"?>
<Relationships xmlns="http://schemas.openxmlformats.org/package/2006/relationships"><Relationship Id="rId1" Type="http://schemas.openxmlformats.org/officeDocument/2006/relationships/image" Target="media/image275.png"/></Relationships>
</file>

<file path=word/_rels/footer139.xml.rels><?xml version="1.0" encoding="UTF-8" standalone="yes"?>
<Relationships xmlns="http://schemas.openxmlformats.org/package/2006/relationships"><Relationship Id="rId1" Type="http://schemas.openxmlformats.org/officeDocument/2006/relationships/image" Target="media/image277.png"/></Relationships>
</file>

<file path=word/_rels/footer14.xml.rels><?xml version="1.0" encoding="UTF-8" standalone="yes"?>
<Relationships xmlns="http://schemas.openxmlformats.org/package/2006/relationships"><Relationship Id="rId1" Type="http://schemas.openxmlformats.org/officeDocument/2006/relationships/image" Target="media/image26.png"/></Relationships>
</file>

<file path=word/_rels/footer140.xml.rels><?xml version="1.0" encoding="UTF-8" standalone="yes"?>
<Relationships xmlns="http://schemas.openxmlformats.org/package/2006/relationships"><Relationship Id="rId1" Type="http://schemas.openxmlformats.org/officeDocument/2006/relationships/image" Target="media/image280.png"/></Relationships>
</file>

<file path=word/_rels/footer141.xml.rels><?xml version="1.0" encoding="UTF-8" standalone="yes"?>
<Relationships xmlns="http://schemas.openxmlformats.org/package/2006/relationships"><Relationship Id="rId1" Type="http://schemas.openxmlformats.org/officeDocument/2006/relationships/image" Target="media/image282.png"/></Relationships>
</file>

<file path=word/_rels/footer142.xml.rels><?xml version="1.0" encoding="UTF-8" standalone="yes"?>
<Relationships xmlns="http://schemas.openxmlformats.org/package/2006/relationships"><Relationship Id="rId1" Type="http://schemas.openxmlformats.org/officeDocument/2006/relationships/image" Target="media/image284.png"/></Relationships>
</file>

<file path=word/_rels/footer143.xml.rels><?xml version="1.0" encoding="UTF-8" standalone="yes"?>
<Relationships xmlns="http://schemas.openxmlformats.org/package/2006/relationships"><Relationship Id="rId1" Type="http://schemas.openxmlformats.org/officeDocument/2006/relationships/image" Target="media/image286.png"/></Relationships>
</file>

<file path=word/_rels/footer144.xml.rels><?xml version="1.0" encoding="UTF-8" standalone="yes"?>
<Relationships xmlns="http://schemas.openxmlformats.org/package/2006/relationships"><Relationship Id="rId1" Type="http://schemas.openxmlformats.org/officeDocument/2006/relationships/image" Target="media/image289.png"/></Relationships>
</file>

<file path=word/_rels/footer145.xml.rels><?xml version="1.0" encoding="UTF-8" standalone="yes"?>
<Relationships xmlns="http://schemas.openxmlformats.org/package/2006/relationships"><Relationship Id="rId1" Type="http://schemas.openxmlformats.org/officeDocument/2006/relationships/image" Target="media/image291.png"/></Relationships>
</file>

<file path=word/_rels/footer146.xml.rels><?xml version="1.0" encoding="UTF-8" standalone="yes"?>
<Relationships xmlns="http://schemas.openxmlformats.org/package/2006/relationships"><Relationship Id="rId1" Type="http://schemas.openxmlformats.org/officeDocument/2006/relationships/image" Target="media/image293.png"/></Relationships>
</file>

<file path=word/_rels/footer147.xml.rels><?xml version="1.0" encoding="UTF-8" standalone="yes"?>
<Relationships xmlns="http://schemas.openxmlformats.org/package/2006/relationships"><Relationship Id="rId1" Type="http://schemas.openxmlformats.org/officeDocument/2006/relationships/image" Target="media/image296.png"/></Relationships>
</file>

<file path=word/_rels/footer148.xml.rels><?xml version="1.0" encoding="UTF-8" standalone="yes"?>
<Relationships xmlns="http://schemas.openxmlformats.org/package/2006/relationships"><Relationship Id="rId1" Type="http://schemas.openxmlformats.org/officeDocument/2006/relationships/image" Target="media/image299.png"/></Relationships>
</file>

<file path=word/_rels/footer149.xml.rels><?xml version="1.0" encoding="UTF-8" standalone="yes"?>
<Relationships xmlns="http://schemas.openxmlformats.org/package/2006/relationships"><Relationship Id="rId1" Type="http://schemas.openxmlformats.org/officeDocument/2006/relationships/image" Target="media/image301.png"/></Relationships>
</file>

<file path=word/_rels/footer15.xml.rels><?xml version="1.0" encoding="UTF-8" standalone="yes"?>
<Relationships xmlns="http://schemas.openxmlformats.org/package/2006/relationships"><Relationship Id="rId1" Type="http://schemas.openxmlformats.org/officeDocument/2006/relationships/image" Target="media/image27.png"/></Relationships>
</file>

<file path=word/_rels/footer150.xml.rels><?xml version="1.0" encoding="UTF-8" standalone="yes"?>
<Relationships xmlns="http://schemas.openxmlformats.org/package/2006/relationships"><Relationship Id="rId1" Type="http://schemas.openxmlformats.org/officeDocument/2006/relationships/image" Target="media/image303.png"/></Relationships>
</file>

<file path=word/_rels/footer151.xml.rels><?xml version="1.0" encoding="UTF-8" standalone="yes"?>
<Relationships xmlns="http://schemas.openxmlformats.org/package/2006/relationships"><Relationship Id="rId1" Type="http://schemas.openxmlformats.org/officeDocument/2006/relationships/image" Target="media/image305.png"/></Relationships>
</file>

<file path=word/_rels/footer152.xml.rels><?xml version="1.0" encoding="UTF-8" standalone="yes"?>
<Relationships xmlns="http://schemas.openxmlformats.org/package/2006/relationships"><Relationship Id="rId1" Type="http://schemas.openxmlformats.org/officeDocument/2006/relationships/image" Target="media/image308.png"/></Relationships>
</file>

<file path=word/_rels/footer153.xml.rels><?xml version="1.0" encoding="UTF-8" standalone="yes"?>
<Relationships xmlns="http://schemas.openxmlformats.org/package/2006/relationships"><Relationship Id="rId1" Type="http://schemas.openxmlformats.org/officeDocument/2006/relationships/image" Target="media/image313.png"/></Relationships>
</file>

<file path=word/_rels/footer154.xml.rels><?xml version="1.0" encoding="UTF-8" standalone="yes"?>
<Relationships xmlns="http://schemas.openxmlformats.org/package/2006/relationships"><Relationship Id="rId1" Type="http://schemas.openxmlformats.org/officeDocument/2006/relationships/image" Target="media/image316.png"/></Relationships>
</file>

<file path=word/_rels/footer155.xml.rels><?xml version="1.0" encoding="UTF-8" standalone="yes"?>
<Relationships xmlns="http://schemas.openxmlformats.org/package/2006/relationships"><Relationship Id="rId1" Type="http://schemas.openxmlformats.org/officeDocument/2006/relationships/image" Target="media/image318.png"/></Relationships>
</file>

<file path=word/_rels/footer156.xml.rels><?xml version="1.0" encoding="UTF-8" standalone="yes"?>
<Relationships xmlns="http://schemas.openxmlformats.org/package/2006/relationships"><Relationship Id="rId1" Type="http://schemas.openxmlformats.org/officeDocument/2006/relationships/image" Target="media/image321.png"/></Relationships>
</file>

<file path=word/_rels/footer157.xml.rels><?xml version="1.0" encoding="UTF-8" standalone="yes"?>
<Relationships xmlns="http://schemas.openxmlformats.org/package/2006/relationships"><Relationship Id="rId1" Type="http://schemas.openxmlformats.org/officeDocument/2006/relationships/image" Target="media/image327.png"/></Relationships>
</file>

<file path=word/_rels/footer158.xml.rels><?xml version="1.0" encoding="UTF-8" standalone="yes"?>
<Relationships xmlns="http://schemas.openxmlformats.org/package/2006/relationships"><Relationship Id="rId1" Type="http://schemas.openxmlformats.org/officeDocument/2006/relationships/image" Target="media/image330.png"/></Relationships>
</file>

<file path=word/_rels/footer159.xml.rels><?xml version="1.0" encoding="UTF-8" standalone="yes"?>
<Relationships xmlns="http://schemas.openxmlformats.org/package/2006/relationships"><Relationship Id="rId1" Type="http://schemas.openxmlformats.org/officeDocument/2006/relationships/image" Target="media/image333.png"/></Relationships>
</file>

<file path=word/_rels/footer16.xml.rels><?xml version="1.0" encoding="UTF-8" standalone="yes"?>
<Relationships xmlns="http://schemas.openxmlformats.org/package/2006/relationships"><Relationship Id="rId1" Type="http://schemas.openxmlformats.org/officeDocument/2006/relationships/image" Target="media/image28.png"/></Relationships>
</file>

<file path=word/_rels/footer160.xml.rels><?xml version="1.0" encoding="UTF-8" standalone="yes"?>
<Relationships xmlns="http://schemas.openxmlformats.org/package/2006/relationships"><Relationship Id="rId1" Type="http://schemas.openxmlformats.org/officeDocument/2006/relationships/image" Target="media/image335.png"/></Relationships>
</file>

<file path=word/_rels/footer161.xml.rels><?xml version="1.0" encoding="UTF-8" standalone="yes"?>
<Relationships xmlns="http://schemas.openxmlformats.org/package/2006/relationships"><Relationship Id="rId1" Type="http://schemas.openxmlformats.org/officeDocument/2006/relationships/image" Target="media/image338.png"/></Relationships>
</file>

<file path=word/_rels/footer162.xml.rels><?xml version="1.0" encoding="UTF-8" standalone="yes"?>
<Relationships xmlns="http://schemas.openxmlformats.org/package/2006/relationships"><Relationship Id="rId1" Type="http://schemas.openxmlformats.org/officeDocument/2006/relationships/image" Target="media/image341.png"/></Relationships>
</file>

<file path=word/_rels/footer163.xml.rels><?xml version="1.0" encoding="UTF-8" standalone="yes"?>
<Relationships xmlns="http://schemas.openxmlformats.org/package/2006/relationships"><Relationship Id="rId1" Type="http://schemas.openxmlformats.org/officeDocument/2006/relationships/image" Target="media/image346.png"/></Relationships>
</file>

<file path=word/_rels/footer164.xml.rels><?xml version="1.0" encoding="UTF-8" standalone="yes"?>
<Relationships xmlns="http://schemas.openxmlformats.org/package/2006/relationships"><Relationship Id="rId1" Type="http://schemas.openxmlformats.org/officeDocument/2006/relationships/image" Target="media/image349.png"/></Relationships>
</file>

<file path=word/_rels/footer165.xml.rels><?xml version="1.0" encoding="UTF-8" standalone="yes"?>
<Relationships xmlns="http://schemas.openxmlformats.org/package/2006/relationships"><Relationship Id="rId1" Type="http://schemas.openxmlformats.org/officeDocument/2006/relationships/image" Target="media/image352.png"/></Relationships>
</file>

<file path=word/_rels/footer166.xml.rels><?xml version="1.0" encoding="UTF-8" standalone="yes"?>
<Relationships xmlns="http://schemas.openxmlformats.org/package/2006/relationships"><Relationship Id="rId1" Type="http://schemas.openxmlformats.org/officeDocument/2006/relationships/image" Target="media/image355.png"/></Relationships>
</file>

<file path=word/_rels/footer167.xml.rels><?xml version="1.0" encoding="UTF-8" standalone="yes"?>
<Relationships xmlns="http://schemas.openxmlformats.org/package/2006/relationships"><Relationship Id="rId1" Type="http://schemas.openxmlformats.org/officeDocument/2006/relationships/image" Target="media/image358.png"/></Relationships>
</file>

<file path=word/_rels/footer168.xml.rels><?xml version="1.0" encoding="UTF-8" standalone="yes"?>
<Relationships xmlns="http://schemas.openxmlformats.org/package/2006/relationships"><Relationship Id="rId1" Type="http://schemas.openxmlformats.org/officeDocument/2006/relationships/image" Target="media/image361.png"/></Relationships>
</file>

<file path=word/_rels/footer169.xml.rels><?xml version="1.0" encoding="UTF-8" standalone="yes"?>
<Relationships xmlns="http://schemas.openxmlformats.org/package/2006/relationships"><Relationship Id="rId1" Type="http://schemas.openxmlformats.org/officeDocument/2006/relationships/image" Target="media/image364.png"/></Relationships>
</file>

<file path=word/_rels/footer17.xml.rels><?xml version="1.0" encoding="UTF-8" standalone="yes"?>
<Relationships xmlns="http://schemas.openxmlformats.org/package/2006/relationships"><Relationship Id="rId1" Type="http://schemas.openxmlformats.org/officeDocument/2006/relationships/image" Target="media/image29.png"/></Relationships>
</file>

<file path=word/_rels/footer170.xml.rels><?xml version="1.0" encoding="UTF-8" standalone="yes"?>
<Relationships xmlns="http://schemas.openxmlformats.org/package/2006/relationships"><Relationship Id="rId1" Type="http://schemas.openxmlformats.org/officeDocument/2006/relationships/image" Target="media/image367.png"/></Relationships>
</file>

<file path=word/_rels/footer171.xml.rels><?xml version="1.0" encoding="UTF-8" standalone="yes"?>
<Relationships xmlns="http://schemas.openxmlformats.org/package/2006/relationships"><Relationship Id="rId1" Type="http://schemas.openxmlformats.org/officeDocument/2006/relationships/image" Target="media/image370.png"/></Relationships>
</file>

<file path=word/_rels/footer172.xml.rels><?xml version="1.0" encoding="UTF-8" standalone="yes"?>
<Relationships xmlns="http://schemas.openxmlformats.org/package/2006/relationships"><Relationship Id="rId1" Type="http://schemas.openxmlformats.org/officeDocument/2006/relationships/image" Target="media/image372.png"/></Relationships>
</file>

<file path=word/_rels/footer173.xml.rels><?xml version="1.0" encoding="UTF-8" standalone="yes"?>
<Relationships xmlns="http://schemas.openxmlformats.org/package/2006/relationships"><Relationship Id="rId1" Type="http://schemas.openxmlformats.org/officeDocument/2006/relationships/image" Target="media/image375.png"/></Relationships>
</file>

<file path=word/_rels/footer174.xml.rels><?xml version="1.0" encoding="UTF-8" standalone="yes"?>
<Relationships xmlns="http://schemas.openxmlformats.org/package/2006/relationships"><Relationship Id="rId1" Type="http://schemas.openxmlformats.org/officeDocument/2006/relationships/image" Target="media/image379.png"/></Relationships>
</file>

<file path=word/_rels/footer175.xml.rels><?xml version="1.0" encoding="UTF-8" standalone="yes"?>
<Relationships xmlns="http://schemas.openxmlformats.org/package/2006/relationships"><Relationship Id="rId1" Type="http://schemas.openxmlformats.org/officeDocument/2006/relationships/image" Target="media/image382.png"/></Relationships>
</file>

<file path=word/_rels/footer176.xml.rels><?xml version="1.0" encoding="UTF-8" standalone="yes"?>
<Relationships xmlns="http://schemas.openxmlformats.org/package/2006/relationships"><Relationship Id="rId1" Type="http://schemas.openxmlformats.org/officeDocument/2006/relationships/image" Target="media/image384.png"/></Relationships>
</file>

<file path=word/_rels/footer177.xml.rels><?xml version="1.0" encoding="UTF-8" standalone="yes"?>
<Relationships xmlns="http://schemas.openxmlformats.org/package/2006/relationships"><Relationship Id="rId1" Type="http://schemas.openxmlformats.org/officeDocument/2006/relationships/image" Target="media/image390.png"/></Relationships>
</file>

<file path=word/_rels/footer178.xml.rels><?xml version="1.0" encoding="UTF-8" standalone="yes"?>
<Relationships xmlns="http://schemas.openxmlformats.org/package/2006/relationships"><Relationship Id="rId1" Type="http://schemas.openxmlformats.org/officeDocument/2006/relationships/image" Target="media/image393.png"/></Relationships>
</file>

<file path=word/_rels/footer179.xml.rels><?xml version="1.0" encoding="UTF-8" standalone="yes"?>
<Relationships xmlns="http://schemas.openxmlformats.org/package/2006/relationships"><Relationship Id="rId1" Type="http://schemas.openxmlformats.org/officeDocument/2006/relationships/image" Target="media/image395.png"/></Relationships>
</file>

<file path=word/_rels/footer18.xml.rels><?xml version="1.0" encoding="UTF-8" standalone="yes"?>
<Relationships xmlns="http://schemas.openxmlformats.org/package/2006/relationships"><Relationship Id="rId1" Type="http://schemas.openxmlformats.org/officeDocument/2006/relationships/image" Target="media/image30.png"/></Relationships>
</file>

<file path=word/_rels/footer180.xml.rels><?xml version="1.0" encoding="UTF-8" standalone="yes"?>
<Relationships xmlns="http://schemas.openxmlformats.org/package/2006/relationships"><Relationship Id="rId1" Type="http://schemas.openxmlformats.org/officeDocument/2006/relationships/image" Target="media/image397.png"/></Relationships>
</file>

<file path=word/_rels/footer181.xml.rels><?xml version="1.0" encoding="UTF-8" standalone="yes"?>
<Relationships xmlns="http://schemas.openxmlformats.org/package/2006/relationships"><Relationship Id="rId1" Type="http://schemas.openxmlformats.org/officeDocument/2006/relationships/image" Target="media/image399.png"/></Relationships>
</file>

<file path=word/_rels/footer182.xml.rels><?xml version="1.0" encoding="UTF-8" standalone="yes"?>
<Relationships xmlns="http://schemas.openxmlformats.org/package/2006/relationships"><Relationship Id="rId1" Type="http://schemas.openxmlformats.org/officeDocument/2006/relationships/image" Target="media/image401.png"/></Relationships>
</file>

<file path=word/_rels/footer183.xml.rels><?xml version="1.0" encoding="UTF-8" standalone="yes"?>
<Relationships xmlns="http://schemas.openxmlformats.org/package/2006/relationships"><Relationship Id="rId1" Type="http://schemas.openxmlformats.org/officeDocument/2006/relationships/image" Target="media/image403.png"/></Relationships>
</file>

<file path=word/_rels/footer184.xml.rels><?xml version="1.0" encoding="UTF-8" standalone="yes"?>
<Relationships xmlns="http://schemas.openxmlformats.org/package/2006/relationships"><Relationship Id="rId1" Type="http://schemas.openxmlformats.org/officeDocument/2006/relationships/image" Target="media/image406.png"/></Relationships>
</file>

<file path=word/_rels/footer185.xml.rels><?xml version="1.0" encoding="UTF-8" standalone="yes"?>
<Relationships xmlns="http://schemas.openxmlformats.org/package/2006/relationships"><Relationship Id="rId1" Type="http://schemas.openxmlformats.org/officeDocument/2006/relationships/image" Target="media/image409.png"/></Relationships>
</file>

<file path=word/_rels/footer186.xml.rels><?xml version="1.0" encoding="UTF-8" standalone="yes"?>
<Relationships xmlns="http://schemas.openxmlformats.org/package/2006/relationships"><Relationship Id="rId1" Type="http://schemas.openxmlformats.org/officeDocument/2006/relationships/image" Target="media/image412.png"/></Relationships>
</file>

<file path=word/_rels/footer187.xml.rels><?xml version="1.0" encoding="UTF-8" standalone="yes"?>
<Relationships xmlns="http://schemas.openxmlformats.org/package/2006/relationships"><Relationship Id="rId1" Type="http://schemas.openxmlformats.org/officeDocument/2006/relationships/image" Target="media/image414.png"/></Relationships>
</file>

<file path=word/_rels/footer188.xml.rels><?xml version="1.0" encoding="UTF-8" standalone="yes"?>
<Relationships xmlns="http://schemas.openxmlformats.org/package/2006/relationships"><Relationship Id="rId1" Type="http://schemas.openxmlformats.org/officeDocument/2006/relationships/image" Target="media/image417.png"/></Relationships>
</file>

<file path=word/_rels/footer189.xml.rels><?xml version="1.0" encoding="UTF-8" standalone="yes"?>
<Relationships xmlns="http://schemas.openxmlformats.org/package/2006/relationships"><Relationship Id="rId1" Type="http://schemas.openxmlformats.org/officeDocument/2006/relationships/image" Target="media/image420.png"/></Relationships>
</file>

<file path=word/_rels/footer19.xml.rels><?xml version="1.0" encoding="UTF-8" standalone="yes"?>
<Relationships xmlns="http://schemas.openxmlformats.org/package/2006/relationships"><Relationship Id="rId1" Type="http://schemas.openxmlformats.org/officeDocument/2006/relationships/image" Target="media/image31.png"/></Relationships>
</file>

<file path=word/_rels/footer190.xml.rels><?xml version="1.0" encoding="UTF-8" standalone="yes"?>
<Relationships xmlns="http://schemas.openxmlformats.org/package/2006/relationships"><Relationship Id="rId1" Type="http://schemas.openxmlformats.org/officeDocument/2006/relationships/image" Target="media/image423.png"/></Relationships>
</file>

<file path=word/_rels/footer191.xml.rels><?xml version="1.0" encoding="UTF-8" standalone="yes"?>
<Relationships xmlns="http://schemas.openxmlformats.org/package/2006/relationships"><Relationship Id="rId1" Type="http://schemas.openxmlformats.org/officeDocument/2006/relationships/image" Target="media/image426.png"/></Relationships>
</file>

<file path=word/_rels/footer192.xml.rels><?xml version="1.0" encoding="UTF-8" standalone="yes"?>
<Relationships xmlns="http://schemas.openxmlformats.org/package/2006/relationships"><Relationship Id="rId1" Type="http://schemas.openxmlformats.org/officeDocument/2006/relationships/image" Target="media/image429.png"/></Relationships>
</file>

<file path=word/_rels/footer193.xml.rels><?xml version="1.0" encoding="UTF-8" standalone="yes"?>
<Relationships xmlns="http://schemas.openxmlformats.org/package/2006/relationships"><Relationship Id="rId1" Type="http://schemas.openxmlformats.org/officeDocument/2006/relationships/image" Target="media/image435.png"/></Relationships>
</file>

<file path=word/_rels/footer194.xml.rels><?xml version="1.0" encoding="UTF-8" standalone="yes"?>
<Relationships xmlns="http://schemas.openxmlformats.org/package/2006/relationships"><Relationship Id="rId1" Type="http://schemas.openxmlformats.org/officeDocument/2006/relationships/image" Target="media/image438.png"/></Relationships>
</file>

<file path=word/_rels/footer195.xml.rels><?xml version="1.0" encoding="UTF-8" standalone="yes"?>
<Relationships xmlns="http://schemas.openxmlformats.org/package/2006/relationships"><Relationship Id="rId1" Type="http://schemas.openxmlformats.org/officeDocument/2006/relationships/image" Target="media/image441.png"/></Relationships>
</file>

<file path=word/_rels/footer196.xml.rels><?xml version="1.0" encoding="UTF-8" standalone="yes"?>
<Relationships xmlns="http://schemas.openxmlformats.org/package/2006/relationships"><Relationship Id="rId1" Type="http://schemas.openxmlformats.org/officeDocument/2006/relationships/image" Target="media/image444.png"/></Relationships>
</file>

<file path=word/_rels/footer197.xml.rels><?xml version="1.0" encoding="UTF-8" standalone="yes"?>
<Relationships xmlns="http://schemas.openxmlformats.org/package/2006/relationships"><Relationship Id="rId1" Type="http://schemas.openxmlformats.org/officeDocument/2006/relationships/image" Target="media/image447.png"/></Relationships>
</file>

<file path=word/_rels/footer198.xml.rels><?xml version="1.0" encoding="UTF-8" standalone="yes"?>
<Relationships xmlns="http://schemas.openxmlformats.org/package/2006/relationships"><Relationship Id="rId1" Type="http://schemas.openxmlformats.org/officeDocument/2006/relationships/image" Target="media/image450.png"/></Relationships>
</file>

<file path=word/_rels/footer199.xml.rels><?xml version="1.0" encoding="UTF-8" standalone="yes"?>
<Relationships xmlns="http://schemas.openxmlformats.org/package/2006/relationships"><Relationship Id="rId1" Type="http://schemas.openxmlformats.org/officeDocument/2006/relationships/image" Target="media/image45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20.xml.rels><?xml version="1.0" encoding="UTF-8" standalone="yes"?>
<Relationships xmlns="http://schemas.openxmlformats.org/package/2006/relationships"><Relationship Id="rId1" Type="http://schemas.openxmlformats.org/officeDocument/2006/relationships/image" Target="media/image32.png"/></Relationships>
</file>

<file path=word/_rels/footer200.xml.rels><?xml version="1.0" encoding="UTF-8" standalone="yes"?>
<Relationships xmlns="http://schemas.openxmlformats.org/package/2006/relationships"><Relationship Id="rId1" Type="http://schemas.openxmlformats.org/officeDocument/2006/relationships/image" Target="media/image456.png"/></Relationships>
</file>

<file path=word/_rels/footer201.xml.rels><?xml version="1.0" encoding="UTF-8" standalone="yes"?>
<Relationships xmlns="http://schemas.openxmlformats.org/package/2006/relationships"><Relationship Id="rId1" Type="http://schemas.openxmlformats.org/officeDocument/2006/relationships/image" Target="media/image459.png"/></Relationships>
</file>

<file path=word/_rels/footer202.xml.rels><?xml version="1.0" encoding="UTF-8" standalone="yes"?>
<Relationships xmlns="http://schemas.openxmlformats.org/package/2006/relationships"><Relationship Id="rId1" Type="http://schemas.openxmlformats.org/officeDocument/2006/relationships/image" Target="media/image462.png"/></Relationships>
</file>

<file path=word/_rels/footer203.xml.rels><?xml version="1.0" encoding="UTF-8" standalone="yes"?>
<Relationships xmlns="http://schemas.openxmlformats.org/package/2006/relationships"><Relationship Id="rId1" Type="http://schemas.openxmlformats.org/officeDocument/2006/relationships/image" Target="media/image465.png"/></Relationships>
</file>

<file path=word/_rels/footer204.xml.rels><?xml version="1.0" encoding="UTF-8" standalone="yes"?>
<Relationships xmlns="http://schemas.openxmlformats.org/package/2006/relationships"><Relationship Id="rId1" Type="http://schemas.openxmlformats.org/officeDocument/2006/relationships/image" Target="media/image468.png"/></Relationships>
</file>

<file path=word/_rels/footer205.xml.rels><?xml version="1.0" encoding="UTF-8" standalone="yes"?>
<Relationships xmlns="http://schemas.openxmlformats.org/package/2006/relationships"><Relationship Id="rId1" Type="http://schemas.openxmlformats.org/officeDocument/2006/relationships/image" Target="media/image471.png"/></Relationships>
</file>

<file path=word/_rels/footer206.xml.rels><?xml version="1.0" encoding="UTF-8" standalone="yes"?>
<Relationships xmlns="http://schemas.openxmlformats.org/package/2006/relationships"><Relationship Id="rId1" Type="http://schemas.openxmlformats.org/officeDocument/2006/relationships/image" Target="media/image477.png"/></Relationships>
</file>

<file path=word/_rels/footer207.xml.rels><?xml version="1.0" encoding="UTF-8" standalone="yes"?>
<Relationships xmlns="http://schemas.openxmlformats.org/package/2006/relationships"><Relationship Id="rId1" Type="http://schemas.openxmlformats.org/officeDocument/2006/relationships/image" Target="media/image480.png"/></Relationships>
</file>

<file path=word/_rels/footer208.xml.rels><?xml version="1.0" encoding="UTF-8" standalone="yes"?>
<Relationships xmlns="http://schemas.openxmlformats.org/package/2006/relationships"><Relationship Id="rId1" Type="http://schemas.openxmlformats.org/officeDocument/2006/relationships/image" Target="media/image483.png"/></Relationships>
</file>

<file path=word/_rels/footer209.xml.rels><?xml version="1.0" encoding="UTF-8" standalone="yes"?>
<Relationships xmlns="http://schemas.openxmlformats.org/package/2006/relationships"><Relationship Id="rId1" Type="http://schemas.openxmlformats.org/officeDocument/2006/relationships/image" Target="media/image486.png"/></Relationships>
</file>

<file path=word/_rels/footer21.xml.rels><?xml version="1.0" encoding="UTF-8" standalone="yes"?>
<Relationships xmlns="http://schemas.openxmlformats.org/package/2006/relationships"><Relationship Id="rId1" Type="http://schemas.openxmlformats.org/officeDocument/2006/relationships/image" Target="media/image33.png"/></Relationships>
</file>

<file path=word/_rels/footer210.xml.rels><?xml version="1.0" encoding="UTF-8" standalone="yes"?>
<Relationships xmlns="http://schemas.openxmlformats.org/package/2006/relationships"><Relationship Id="rId1" Type="http://schemas.openxmlformats.org/officeDocument/2006/relationships/image" Target="media/image489.png"/></Relationships>
</file>

<file path=word/_rels/footer211.xml.rels><?xml version="1.0" encoding="UTF-8" standalone="yes"?>
<Relationships xmlns="http://schemas.openxmlformats.org/package/2006/relationships"><Relationship Id="rId1" Type="http://schemas.openxmlformats.org/officeDocument/2006/relationships/image" Target="media/image491.png"/></Relationships>
</file>

<file path=word/_rels/footer212.xml.rels><?xml version="1.0" encoding="UTF-8" standalone="yes"?>
<Relationships xmlns="http://schemas.openxmlformats.org/package/2006/relationships"><Relationship Id="rId1" Type="http://schemas.openxmlformats.org/officeDocument/2006/relationships/image" Target="media/image493.png"/></Relationships>
</file>

<file path=word/_rels/footer213.xml.rels><?xml version="1.0" encoding="UTF-8" standalone="yes"?>
<Relationships xmlns="http://schemas.openxmlformats.org/package/2006/relationships"><Relationship Id="rId1" Type="http://schemas.openxmlformats.org/officeDocument/2006/relationships/image" Target="media/image495.png"/></Relationships>
</file>

<file path=word/_rels/footer214.xml.rels><?xml version="1.0" encoding="UTF-8" standalone="yes"?>
<Relationships xmlns="http://schemas.openxmlformats.org/package/2006/relationships"><Relationship Id="rId1" Type="http://schemas.openxmlformats.org/officeDocument/2006/relationships/image" Target="media/image498.png"/></Relationships>
</file>

<file path=word/_rels/footer215.xml.rels><?xml version="1.0" encoding="UTF-8" standalone="yes"?>
<Relationships xmlns="http://schemas.openxmlformats.org/package/2006/relationships"><Relationship Id="rId1" Type="http://schemas.openxmlformats.org/officeDocument/2006/relationships/image" Target="media/image501.png"/></Relationships>
</file>

<file path=word/_rels/footer216.xml.rels><?xml version="1.0" encoding="UTF-8" standalone="yes"?>
<Relationships xmlns="http://schemas.openxmlformats.org/package/2006/relationships"><Relationship Id="rId1" Type="http://schemas.openxmlformats.org/officeDocument/2006/relationships/image" Target="media/image504.png"/></Relationships>
</file>

<file path=word/_rels/footer217.xml.rels><?xml version="1.0" encoding="UTF-8" standalone="yes"?>
<Relationships xmlns="http://schemas.openxmlformats.org/package/2006/relationships"><Relationship Id="rId1" Type="http://schemas.openxmlformats.org/officeDocument/2006/relationships/image" Target="media/image506.png"/></Relationships>
</file>

<file path=word/_rels/footer218.xml.rels><?xml version="1.0" encoding="UTF-8" standalone="yes"?>
<Relationships xmlns="http://schemas.openxmlformats.org/package/2006/relationships"><Relationship Id="rId1" Type="http://schemas.openxmlformats.org/officeDocument/2006/relationships/image" Target="media/image509.png"/></Relationships>
</file>

<file path=word/_rels/footer219.xml.rels><?xml version="1.0" encoding="UTF-8" standalone="yes"?>
<Relationships xmlns="http://schemas.openxmlformats.org/package/2006/relationships"><Relationship Id="rId1" Type="http://schemas.openxmlformats.org/officeDocument/2006/relationships/image" Target="media/image512.png"/></Relationships>
</file>

<file path=word/_rels/footer22.xml.rels><?xml version="1.0" encoding="UTF-8" standalone="yes"?>
<Relationships xmlns="http://schemas.openxmlformats.org/package/2006/relationships"><Relationship Id="rId1" Type="http://schemas.openxmlformats.org/officeDocument/2006/relationships/image" Target="media/image34.png"/></Relationships>
</file>

<file path=word/_rels/footer220.xml.rels><?xml version="1.0" encoding="UTF-8" standalone="yes"?>
<Relationships xmlns="http://schemas.openxmlformats.org/package/2006/relationships"><Relationship Id="rId1" Type="http://schemas.openxmlformats.org/officeDocument/2006/relationships/image" Target="media/image515.png"/></Relationships>
</file>

<file path=word/_rels/footer221.xml.rels><?xml version="1.0" encoding="UTF-8" standalone="yes"?>
<Relationships xmlns="http://schemas.openxmlformats.org/package/2006/relationships"><Relationship Id="rId1" Type="http://schemas.openxmlformats.org/officeDocument/2006/relationships/image" Target="media/image517.png"/></Relationships>
</file>

<file path=word/_rels/footer222.xml.rels><?xml version="1.0" encoding="UTF-8" standalone="yes"?>
<Relationships xmlns="http://schemas.openxmlformats.org/package/2006/relationships"><Relationship Id="rId1" Type="http://schemas.openxmlformats.org/officeDocument/2006/relationships/image" Target="media/image520.png"/></Relationships>
</file>

<file path=word/_rels/footer223.xml.rels><?xml version="1.0" encoding="UTF-8" standalone="yes"?>
<Relationships xmlns="http://schemas.openxmlformats.org/package/2006/relationships"><Relationship Id="rId1" Type="http://schemas.openxmlformats.org/officeDocument/2006/relationships/image" Target="media/image523.png"/></Relationships>
</file>

<file path=word/_rels/footer224.xml.rels><?xml version="1.0" encoding="UTF-8" standalone="yes"?>
<Relationships xmlns="http://schemas.openxmlformats.org/package/2006/relationships"><Relationship Id="rId1" Type="http://schemas.openxmlformats.org/officeDocument/2006/relationships/image" Target="media/image526.png"/></Relationships>
</file>

<file path=word/_rels/footer225.xml.rels><?xml version="1.0" encoding="UTF-8" standalone="yes"?>
<Relationships xmlns="http://schemas.openxmlformats.org/package/2006/relationships"><Relationship Id="rId1" Type="http://schemas.openxmlformats.org/officeDocument/2006/relationships/image" Target="media/image529.png"/></Relationships>
</file>

<file path=word/_rels/footer226.xml.rels><?xml version="1.0" encoding="UTF-8" standalone="yes"?>
<Relationships xmlns="http://schemas.openxmlformats.org/package/2006/relationships"><Relationship Id="rId1" Type="http://schemas.openxmlformats.org/officeDocument/2006/relationships/image" Target="media/image532.png"/></Relationships>
</file>

<file path=word/_rels/footer227.xml.rels><?xml version="1.0" encoding="UTF-8" standalone="yes"?>
<Relationships xmlns="http://schemas.openxmlformats.org/package/2006/relationships"><Relationship Id="rId1" Type="http://schemas.openxmlformats.org/officeDocument/2006/relationships/image" Target="media/image535.png"/></Relationships>
</file>

<file path=word/_rels/footer228.xml.rels><?xml version="1.0" encoding="UTF-8" standalone="yes"?>
<Relationships xmlns="http://schemas.openxmlformats.org/package/2006/relationships"><Relationship Id="rId1" Type="http://schemas.openxmlformats.org/officeDocument/2006/relationships/image" Target="media/image538.png"/></Relationships>
</file>

<file path=word/_rels/footer229.xml.rels><?xml version="1.0" encoding="UTF-8" standalone="yes"?>
<Relationships xmlns="http://schemas.openxmlformats.org/package/2006/relationships"><Relationship Id="rId1" Type="http://schemas.openxmlformats.org/officeDocument/2006/relationships/image" Target="media/image540.png"/></Relationships>
</file>

<file path=word/_rels/footer23.xml.rels><?xml version="1.0" encoding="UTF-8" standalone="yes"?>
<Relationships xmlns="http://schemas.openxmlformats.org/package/2006/relationships"><Relationship Id="rId1" Type="http://schemas.openxmlformats.org/officeDocument/2006/relationships/image" Target="media/image35.png"/></Relationships>
</file>

<file path=word/_rels/footer230.xml.rels><?xml version="1.0" encoding="UTF-8" standalone="yes"?>
<Relationships xmlns="http://schemas.openxmlformats.org/package/2006/relationships"><Relationship Id="rId1" Type="http://schemas.openxmlformats.org/officeDocument/2006/relationships/image" Target="media/image543.png"/></Relationships>
</file>

<file path=word/_rels/footer231.xml.rels><?xml version="1.0" encoding="UTF-8" standalone="yes"?>
<Relationships xmlns="http://schemas.openxmlformats.org/package/2006/relationships"><Relationship Id="rId1" Type="http://schemas.openxmlformats.org/officeDocument/2006/relationships/image" Target="media/image545.png"/></Relationships>
</file>

<file path=word/_rels/footer232.xml.rels><?xml version="1.0" encoding="UTF-8" standalone="yes"?>
<Relationships xmlns="http://schemas.openxmlformats.org/package/2006/relationships"><Relationship Id="rId1" Type="http://schemas.openxmlformats.org/officeDocument/2006/relationships/image" Target="media/image548.png"/></Relationships>
</file>

<file path=word/_rels/footer233.xml.rels><?xml version="1.0" encoding="UTF-8" standalone="yes"?>
<Relationships xmlns="http://schemas.openxmlformats.org/package/2006/relationships"><Relationship Id="rId1" Type="http://schemas.openxmlformats.org/officeDocument/2006/relationships/image" Target="media/image551.png"/></Relationships>
</file>

<file path=word/_rels/footer234.xml.rels><?xml version="1.0" encoding="UTF-8" standalone="yes"?>
<Relationships xmlns="http://schemas.openxmlformats.org/package/2006/relationships"><Relationship Id="rId1" Type="http://schemas.openxmlformats.org/officeDocument/2006/relationships/image" Target="media/image554.png"/></Relationships>
</file>

<file path=word/_rels/footer235.xml.rels><?xml version="1.0" encoding="UTF-8" standalone="yes"?>
<Relationships xmlns="http://schemas.openxmlformats.org/package/2006/relationships"><Relationship Id="rId1" Type="http://schemas.openxmlformats.org/officeDocument/2006/relationships/image" Target="media/image557.png"/></Relationships>
</file>

<file path=word/_rels/footer236.xml.rels><?xml version="1.0" encoding="UTF-8" standalone="yes"?>
<Relationships xmlns="http://schemas.openxmlformats.org/package/2006/relationships"><Relationship Id="rId1" Type="http://schemas.openxmlformats.org/officeDocument/2006/relationships/image" Target="media/image560.png"/></Relationships>
</file>

<file path=word/_rels/footer237.xml.rels><?xml version="1.0" encoding="UTF-8" standalone="yes"?>
<Relationships xmlns="http://schemas.openxmlformats.org/package/2006/relationships"><Relationship Id="rId1" Type="http://schemas.openxmlformats.org/officeDocument/2006/relationships/image" Target="media/image563.png"/></Relationships>
</file>

<file path=word/_rels/footer238.xml.rels><?xml version="1.0" encoding="UTF-8" standalone="yes"?>
<Relationships xmlns="http://schemas.openxmlformats.org/package/2006/relationships"><Relationship Id="rId1" Type="http://schemas.openxmlformats.org/officeDocument/2006/relationships/image" Target="media/image565.png"/></Relationships>
</file>

<file path=word/_rels/footer239.xml.rels><?xml version="1.0" encoding="UTF-8" standalone="yes"?>
<Relationships xmlns="http://schemas.openxmlformats.org/package/2006/relationships"><Relationship Id="rId1" Type="http://schemas.openxmlformats.org/officeDocument/2006/relationships/image" Target="media/image568.png"/></Relationships>
</file>

<file path=word/_rels/footer24.xml.rels><?xml version="1.0" encoding="UTF-8" standalone="yes"?>
<Relationships xmlns="http://schemas.openxmlformats.org/package/2006/relationships"><Relationship Id="rId1" Type="http://schemas.openxmlformats.org/officeDocument/2006/relationships/image" Target="media/image36.png"/></Relationships>
</file>

<file path=word/_rels/footer240.xml.rels><?xml version="1.0" encoding="UTF-8" standalone="yes"?>
<Relationships xmlns="http://schemas.openxmlformats.org/package/2006/relationships"><Relationship Id="rId1" Type="http://schemas.openxmlformats.org/officeDocument/2006/relationships/image" Target="media/image571.png"/></Relationships>
</file>

<file path=word/_rels/footer241.xml.rels><?xml version="1.0" encoding="UTF-8" standalone="yes"?>
<Relationships xmlns="http://schemas.openxmlformats.org/package/2006/relationships"><Relationship Id="rId1" Type="http://schemas.openxmlformats.org/officeDocument/2006/relationships/image" Target="media/image574.png"/></Relationships>
</file>

<file path=word/_rels/footer242.xml.rels><?xml version="1.0" encoding="UTF-8" standalone="yes"?>
<Relationships xmlns="http://schemas.openxmlformats.org/package/2006/relationships"><Relationship Id="rId1" Type="http://schemas.openxmlformats.org/officeDocument/2006/relationships/image" Target="media/image577.png"/></Relationships>
</file>

<file path=word/_rels/footer243.xml.rels><?xml version="1.0" encoding="UTF-8" standalone="yes"?>
<Relationships xmlns="http://schemas.openxmlformats.org/package/2006/relationships"><Relationship Id="rId1" Type="http://schemas.openxmlformats.org/officeDocument/2006/relationships/image" Target="media/image579.png"/></Relationships>
</file>

<file path=word/_rels/footer244.xml.rels><?xml version="1.0" encoding="UTF-8" standalone="yes"?>
<Relationships xmlns="http://schemas.openxmlformats.org/package/2006/relationships"><Relationship Id="rId1" Type="http://schemas.openxmlformats.org/officeDocument/2006/relationships/image" Target="media/image582.png"/></Relationships>
</file>

<file path=word/_rels/footer245.xml.rels><?xml version="1.0" encoding="UTF-8" standalone="yes"?>
<Relationships xmlns="http://schemas.openxmlformats.org/package/2006/relationships"><Relationship Id="rId1" Type="http://schemas.openxmlformats.org/officeDocument/2006/relationships/image" Target="media/image585.png"/></Relationships>
</file>

<file path=word/_rels/footer246.xml.rels><?xml version="1.0" encoding="UTF-8" standalone="yes"?>
<Relationships xmlns="http://schemas.openxmlformats.org/package/2006/relationships"><Relationship Id="rId1" Type="http://schemas.openxmlformats.org/officeDocument/2006/relationships/image" Target="media/image587.png"/></Relationships>
</file>

<file path=word/_rels/footer247.xml.rels><?xml version="1.0" encoding="UTF-8" standalone="yes"?>
<Relationships xmlns="http://schemas.openxmlformats.org/package/2006/relationships"><Relationship Id="rId1" Type="http://schemas.openxmlformats.org/officeDocument/2006/relationships/image" Target="media/image589.png"/></Relationships>
</file>

<file path=word/_rels/footer248.xml.rels><?xml version="1.0" encoding="UTF-8" standalone="yes"?>
<Relationships xmlns="http://schemas.openxmlformats.org/package/2006/relationships"><Relationship Id="rId1" Type="http://schemas.openxmlformats.org/officeDocument/2006/relationships/image" Target="media/image591.png"/></Relationships>
</file>

<file path=word/_rels/footer249.xml.rels><?xml version="1.0" encoding="UTF-8" standalone="yes"?>
<Relationships xmlns="http://schemas.openxmlformats.org/package/2006/relationships"><Relationship Id="rId1" Type="http://schemas.openxmlformats.org/officeDocument/2006/relationships/image" Target="media/image593.png"/></Relationships>
</file>

<file path=word/_rels/footer25.xml.rels><?xml version="1.0" encoding="UTF-8" standalone="yes"?>
<Relationships xmlns="http://schemas.openxmlformats.org/package/2006/relationships"><Relationship Id="rId1" Type="http://schemas.openxmlformats.org/officeDocument/2006/relationships/image" Target="media/image37.png"/></Relationships>
</file>

<file path=word/_rels/footer250.xml.rels><?xml version="1.0" encoding="UTF-8" standalone="yes"?>
<Relationships xmlns="http://schemas.openxmlformats.org/package/2006/relationships"><Relationship Id="rId1" Type="http://schemas.openxmlformats.org/officeDocument/2006/relationships/image" Target="media/image596.png"/></Relationships>
</file>

<file path=word/_rels/footer251.xml.rels><?xml version="1.0" encoding="UTF-8" standalone="yes"?>
<Relationships xmlns="http://schemas.openxmlformats.org/package/2006/relationships"><Relationship Id="rId1" Type="http://schemas.openxmlformats.org/officeDocument/2006/relationships/image" Target="media/image599.png"/></Relationships>
</file>

<file path=word/_rels/footer252.xml.rels><?xml version="1.0" encoding="UTF-8" standalone="yes"?>
<Relationships xmlns="http://schemas.openxmlformats.org/package/2006/relationships"><Relationship Id="rId1" Type="http://schemas.openxmlformats.org/officeDocument/2006/relationships/image" Target="media/image602.png"/></Relationships>
</file>

<file path=word/_rels/footer253.xml.rels><?xml version="1.0" encoding="UTF-8" standalone="yes"?>
<Relationships xmlns="http://schemas.openxmlformats.org/package/2006/relationships"><Relationship Id="rId1" Type="http://schemas.openxmlformats.org/officeDocument/2006/relationships/image" Target="media/image605.png"/></Relationships>
</file>

<file path=word/_rels/footer254.xml.rels><?xml version="1.0" encoding="UTF-8" standalone="yes"?>
<Relationships xmlns="http://schemas.openxmlformats.org/package/2006/relationships"><Relationship Id="rId1" Type="http://schemas.openxmlformats.org/officeDocument/2006/relationships/image" Target="media/image608.png"/></Relationships>
</file>

<file path=word/_rels/footer255.xml.rels><?xml version="1.0" encoding="UTF-8" standalone="yes"?>
<Relationships xmlns="http://schemas.openxmlformats.org/package/2006/relationships"><Relationship Id="rId1" Type="http://schemas.openxmlformats.org/officeDocument/2006/relationships/image" Target="media/image612.png"/></Relationships>
</file>

<file path=word/_rels/footer256.xml.rels><?xml version="1.0" encoding="UTF-8" standalone="yes"?>
<Relationships xmlns="http://schemas.openxmlformats.org/package/2006/relationships"><Relationship Id="rId1" Type="http://schemas.openxmlformats.org/officeDocument/2006/relationships/image" Target="media/image614.png"/></Relationships>
</file>

<file path=word/_rels/footer257.xml.rels><?xml version="1.0" encoding="UTF-8" standalone="yes"?>
<Relationships xmlns="http://schemas.openxmlformats.org/package/2006/relationships"><Relationship Id="rId1" Type="http://schemas.openxmlformats.org/officeDocument/2006/relationships/image" Target="media/image616.png"/></Relationships>
</file>

<file path=word/_rels/footer258.xml.rels><?xml version="1.0" encoding="UTF-8" standalone="yes"?>
<Relationships xmlns="http://schemas.openxmlformats.org/package/2006/relationships"><Relationship Id="rId1" Type="http://schemas.openxmlformats.org/officeDocument/2006/relationships/image" Target="media/image618.png"/></Relationships>
</file>

<file path=word/_rels/footer259.xml.rels><?xml version="1.0" encoding="UTF-8" standalone="yes"?>
<Relationships xmlns="http://schemas.openxmlformats.org/package/2006/relationships"><Relationship Id="rId1" Type="http://schemas.openxmlformats.org/officeDocument/2006/relationships/image" Target="media/image620.png"/></Relationships>
</file>

<file path=word/_rels/footer26.xml.rels><?xml version="1.0" encoding="UTF-8" standalone="yes"?>
<Relationships xmlns="http://schemas.openxmlformats.org/package/2006/relationships"><Relationship Id="rId1" Type="http://schemas.openxmlformats.org/officeDocument/2006/relationships/image" Target="media/image38.png"/></Relationships>
</file>

<file path=word/_rels/footer260.xml.rels><?xml version="1.0" encoding="UTF-8" standalone="yes"?>
<Relationships xmlns="http://schemas.openxmlformats.org/package/2006/relationships"><Relationship Id="rId1" Type="http://schemas.openxmlformats.org/officeDocument/2006/relationships/image" Target="media/image622.png"/></Relationships>
</file>

<file path=word/_rels/footer261.xml.rels><?xml version="1.0" encoding="UTF-8" standalone="yes"?>
<Relationships xmlns="http://schemas.openxmlformats.org/package/2006/relationships"><Relationship Id="rId1" Type="http://schemas.openxmlformats.org/officeDocument/2006/relationships/image" Target="media/image624.png"/></Relationships>
</file>

<file path=word/_rels/footer262.xml.rels><?xml version="1.0" encoding="UTF-8" standalone="yes"?>
<Relationships xmlns="http://schemas.openxmlformats.org/package/2006/relationships"><Relationship Id="rId1" Type="http://schemas.openxmlformats.org/officeDocument/2006/relationships/image" Target="media/image626.png"/></Relationships>
</file>

<file path=word/_rels/footer263.xml.rels><?xml version="1.0" encoding="UTF-8" standalone="yes"?>
<Relationships xmlns="http://schemas.openxmlformats.org/package/2006/relationships"><Relationship Id="rId1" Type="http://schemas.openxmlformats.org/officeDocument/2006/relationships/image" Target="media/image630.png"/></Relationships>
</file>

<file path=word/_rels/footer264.xml.rels><?xml version="1.0" encoding="UTF-8" standalone="yes"?>
<Relationships xmlns="http://schemas.openxmlformats.org/package/2006/relationships"><Relationship Id="rId1" Type="http://schemas.openxmlformats.org/officeDocument/2006/relationships/image" Target="media/image634.png"/></Relationships>
</file>

<file path=word/_rels/footer265.xml.rels><?xml version="1.0" encoding="UTF-8" standalone="yes"?>
<Relationships xmlns="http://schemas.openxmlformats.org/package/2006/relationships"><Relationship Id="rId1" Type="http://schemas.openxmlformats.org/officeDocument/2006/relationships/image" Target="media/image637.png"/></Relationships>
</file>

<file path=word/_rels/footer266.xml.rels><?xml version="1.0" encoding="UTF-8" standalone="yes"?>
<Relationships xmlns="http://schemas.openxmlformats.org/package/2006/relationships"><Relationship Id="rId1" Type="http://schemas.openxmlformats.org/officeDocument/2006/relationships/image" Target="media/image640.png"/></Relationships>
</file>

<file path=word/_rels/footer267.xml.rels><?xml version="1.0" encoding="UTF-8" standalone="yes"?>
<Relationships xmlns="http://schemas.openxmlformats.org/package/2006/relationships"><Relationship Id="rId1" Type="http://schemas.openxmlformats.org/officeDocument/2006/relationships/image" Target="media/image643.png"/></Relationships>
</file>

<file path=word/_rels/footer268.xml.rels><?xml version="1.0" encoding="UTF-8" standalone="yes"?>
<Relationships xmlns="http://schemas.openxmlformats.org/package/2006/relationships"><Relationship Id="rId1" Type="http://schemas.openxmlformats.org/officeDocument/2006/relationships/image" Target="media/image646.png"/></Relationships>
</file>

<file path=word/_rels/footer269.xml.rels><?xml version="1.0" encoding="UTF-8" standalone="yes"?>
<Relationships xmlns="http://schemas.openxmlformats.org/package/2006/relationships"><Relationship Id="rId1" Type="http://schemas.openxmlformats.org/officeDocument/2006/relationships/image" Target="media/image648.png"/></Relationships>
</file>

<file path=word/_rels/footer27.xml.rels><?xml version="1.0" encoding="UTF-8" standalone="yes"?>
<Relationships xmlns="http://schemas.openxmlformats.org/package/2006/relationships"><Relationship Id="rId1" Type="http://schemas.openxmlformats.org/officeDocument/2006/relationships/image" Target="media/image39.png"/></Relationships>
</file>

<file path=word/_rels/footer270.xml.rels><?xml version="1.0" encoding="UTF-8" standalone="yes"?>
<Relationships xmlns="http://schemas.openxmlformats.org/package/2006/relationships"><Relationship Id="rId1" Type="http://schemas.openxmlformats.org/officeDocument/2006/relationships/image" Target="media/image650.png"/></Relationships>
</file>

<file path=word/_rels/footer271.xml.rels><?xml version="1.0" encoding="UTF-8" standalone="yes"?>
<Relationships xmlns="http://schemas.openxmlformats.org/package/2006/relationships"><Relationship Id="rId1" Type="http://schemas.openxmlformats.org/officeDocument/2006/relationships/image" Target="media/image653.png"/></Relationships>
</file>

<file path=word/_rels/footer272.xml.rels><?xml version="1.0" encoding="UTF-8" standalone="yes"?>
<Relationships xmlns="http://schemas.openxmlformats.org/package/2006/relationships"><Relationship Id="rId1" Type="http://schemas.openxmlformats.org/officeDocument/2006/relationships/image" Target="media/image656.png"/></Relationships>
</file>

<file path=word/_rels/footer273.xml.rels><?xml version="1.0" encoding="UTF-8" standalone="yes"?>
<Relationships xmlns="http://schemas.openxmlformats.org/package/2006/relationships"><Relationship Id="rId1" Type="http://schemas.openxmlformats.org/officeDocument/2006/relationships/image" Target="media/image658.png"/></Relationships>
</file>

<file path=word/_rels/footer274.xml.rels><?xml version="1.0" encoding="UTF-8" standalone="yes"?>
<Relationships xmlns="http://schemas.openxmlformats.org/package/2006/relationships"><Relationship Id="rId1" Type="http://schemas.openxmlformats.org/officeDocument/2006/relationships/image" Target="media/image661.png"/></Relationships>
</file>

<file path=word/_rels/footer275.xml.rels><?xml version="1.0" encoding="UTF-8" standalone="yes"?>
<Relationships xmlns="http://schemas.openxmlformats.org/package/2006/relationships"><Relationship Id="rId1" Type="http://schemas.openxmlformats.org/officeDocument/2006/relationships/image" Target="media/image664.png"/></Relationships>
</file>

<file path=word/_rels/footer276.xml.rels><?xml version="1.0" encoding="UTF-8" standalone="yes"?>
<Relationships xmlns="http://schemas.openxmlformats.org/package/2006/relationships"><Relationship Id="rId1" Type="http://schemas.openxmlformats.org/officeDocument/2006/relationships/image" Target="media/image667.png"/></Relationships>
</file>

<file path=word/_rels/footer277.xml.rels><?xml version="1.0" encoding="UTF-8" standalone="yes"?>
<Relationships xmlns="http://schemas.openxmlformats.org/package/2006/relationships"><Relationship Id="rId1" Type="http://schemas.openxmlformats.org/officeDocument/2006/relationships/image" Target="media/image669.png"/></Relationships>
</file>

<file path=word/_rels/footer278.xml.rels><?xml version="1.0" encoding="UTF-8" standalone="yes"?>
<Relationships xmlns="http://schemas.openxmlformats.org/package/2006/relationships"><Relationship Id="rId1" Type="http://schemas.openxmlformats.org/officeDocument/2006/relationships/image" Target="media/image671.png"/></Relationships>
</file>

<file path=word/_rels/footer279.xml.rels><?xml version="1.0" encoding="UTF-8" standalone="yes"?>
<Relationships xmlns="http://schemas.openxmlformats.org/package/2006/relationships"><Relationship Id="rId1" Type="http://schemas.openxmlformats.org/officeDocument/2006/relationships/image" Target="media/image673.png"/></Relationships>
</file>

<file path=word/_rels/footer28.xml.rels><?xml version="1.0" encoding="UTF-8" standalone="yes"?>
<Relationships xmlns="http://schemas.openxmlformats.org/package/2006/relationships"><Relationship Id="rId1" Type="http://schemas.openxmlformats.org/officeDocument/2006/relationships/image" Target="media/image40.png"/></Relationships>
</file>

<file path=word/_rels/footer280.xml.rels><?xml version="1.0" encoding="UTF-8" standalone="yes"?>
<Relationships xmlns="http://schemas.openxmlformats.org/package/2006/relationships"><Relationship Id="rId1" Type="http://schemas.openxmlformats.org/officeDocument/2006/relationships/image" Target="media/image676.png"/></Relationships>
</file>

<file path=word/_rels/footer281.xml.rels><?xml version="1.0" encoding="UTF-8" standalone="yes"?>
<Relationships xmlns="http://schemas.openxmlformats.org/package/2006/relationships"><Relationship Id="rId1" Type="http://schemas.openxmlformats.org/officeDocument/2006/relationships/image" Target="media/image678.png"/></Relationships>
</file>

<file path=word/_rels/footer282.xml.rels><?xml version="1.0" encoding="UTF-8" standalone="yes"?>
<Relationships xmlns="http://schemas.openxmlformats.org/package/2006/relationships"><Relationship Id="rId1" Type="http://schemas.openxmlformats.org/officeDocument/2006/relationships/image" Target="media/image680.png"/></Relationships>
</file>

<file path=word/_rels/footer283.xml.rels><?xml version="1.0" encoding="UTF-8" standalone="yes"?>
<Relationships xmlns="http://schemas.openxmlformats.org/package/2006/relationships"><Relationship Id="rId1" Type="http://schemas.openxmlformats.org/officeDocument/2006/relationships/image" Target="media/image682.png"/></Relationships>
</file>

<file path=word/_rels/footer284.xml.rels><?xml version="1.0" encoding="UTF-8" standalone="yes"?>
<Relationships xmlns="http://schemas.openxmlformats.org/package/2006/relationships"><Relationship Id="rId1" Type="http://schemas.openxmlformats.org/officeDocument/2006/relationships/image" Target="media/image685.png"/></Relationships>
</file>

<file path=word/_rels/footer285.xml.rels><?xml version="1.0" encoding="UTF-8" standalone="yes"?>
<Relationships xmlns="http://schemas.openxmlformats.org/package/2006/relationships"><Relationship Id="rId1" Type="http://schemas.openxmlformats.org/officeDocument/2006/relationships/image" Target="media/image688.png"/></Relationships>
</file>

<file path=word/_rels/footer286.xml.rels><?xml version="1.0" encoding="UTF-8" standalone="yes"?>
<Relationships xmlns="http://schemas.openxmlformats.org/package/2006/relationships"><Relationship Id="rId1" Type="http://schemas.openxmlformats.org/officeDocument/2006/relationships/image" Target="media/image691.png"/></Relationships>
</file>

<file path=word/_rels/footer287.xml.rels><?xml version="1.0" encoding="UTF-8" standalone="yes"?>
<Relationships xmlns="http://schemas.openxmlformats.org/package/2006/relationships"><Relationship Id="rId1" Type="http://schemas.openxmlformats.org/officeDocument/2006/relationships/image" Target="media/image693.png"/></Relationships>
</file>

<file path=word/_rels/footer288.xml.rels><?xml version="1.0" encoding="UTF-8" standalone="yes"?>
<Relationships xmlns="http://schemas.openxmlformats.org/package/2006/relationships"><Relationship Id="rId1" Type="http://schemas.openxmlformats.org/officeDocument/2006/relationships/image" Target="media/image695.png"/></Relationships>
</file>

<file path=word/_rels/footer289.xml.rels><?xml version="1.0" encoding="UTF-8" standalone="yes"?>
<Relationships xmlns="http://schemas.openxmlformats.org/package/2006/relationships"><Relationship Id="rId1" Type="http://schemas.openxmlformats.org/officeDocument/2006/relationships/image" Target="media/image697.png"/></Relationships>
</file>

<file path=word/_rels/footer29.xml.rels><?xml version="1.0" encoding="UTF-8" standalone="yes"?>
<Relationships xmlns="http://schemas.openxmlformats.org/package/2006/relationships"><Relationship Id="rId1" Type="http://schemas.openxmlformats.org/officeDocument/2006/relationships/image" Target="media/image41.png"/></Relationships>
</file>

<file path=word/_rels/footer290.xml.rels><?xml version="1.0" encoding="UTF-8" standalone="yes"?>
<Relationships xmlns="http://schemas.openxmlformats.org/package/2006/relationships"><Relationship Id="rId1" Type="http://schemas.openxmlformats.org/officeDocument/2006/relationships/image" Target="media/image699.png"/></Relationships>
</file>

<file path=word/_rels/footer291.xml.rels><?xml version="1.0" encoding="UTF-8" standalone="yes"?>
<Relationships xmlns="http://schemas.openxmlformats.org/package/2006/relationships"><Relationship Id="rId1" Type="http://schemas.openxmlformats.org/officeDocument/2006/relationships/image" Target="media/image701.png"/></Relationships>
</file>

<file path=word/_rels/footer292.xml.rels><?xml version="1.0" encoding="UTF-8" standalone="yes"?>
<Relationships xmlns="http://schemas.openxmlformats.org/package/2006/relationships"><Relationship Id="rId1" Type="http://schemas.openxmlformats.org/officeDocument/2006/relationships/image" Target="media/image703.png"/></Relationships>
</file>

<file path=word/_rels/footer293.xml.rels><?xml version="1.0" encoding="UTF-8" standalone="yes"?>
<Relationships xmlns="http://schemas.openxmlformats.org/package/2006/relationships"><Relationship Id="rId1" Type="http://schemas.openxmlformats.org/officeDocument/2006/relationships/image" Target="media/image706.png"/></Relationships>
</file>

<file path=word/_rels/footer294.xml.rels><?xml version="1.0" encoding="UTF-8" standalone="yes"?>
<Relationships xmlns="http://schemas.openxmlformats.org/package/2006/relationships"><Relationship Id="rId1" Type="http://schemas.openxmlformats.org/officeDocument/2006/relationships/image" Target="media/image708.png"/></Relationships>
</file>

<file path=word/_rels/footer295.xml.rels><?xml version="1.0" encoding="UTF-8" standalone="yes"?>
<Relationships xmlns="http://schemas.openxmlformats.org/package/2006/relationships"><Relationship Id="rId1" Type="http://schemas.openxmlformats.org/officeDocument/2006/relationships/image" Target="media/image711.png"/></Relationships>
</file>

<file path=word/_rels/footer296.xml.rels><?xml version="1.0" encoding="UTF-8" standalone="yes"?>
<Relationships xmlns="http://schemas.openxmlformats.org/package/2006/relationships"><Relationship Id="rId1" Type="http://schemas.openxmlformats.org/officeDocument/2006/relationships/image" Target="media/image713.png"/></Relationships>
</file>

<file path=word/_rels/footer297.xml.rels><?xml version="1.0" encoding="UTF-8" standalone="yes"?>
<Relationships xmlns="http://schemas.openxmlformats.org/package/2006/relationships"><Relationship Id="rId1" Type="http://schemas.openxmlformats.org/officeDocument/2006/relationships/image" Target="media/image716.jpeg"/></Relationships>
</file>

<file path=word/_rels/footer298.xml.rels><?xml version="1.0" encoding="UTF-8" standalone="yes"?>
<Relationships xmlns="http://schemas.openxmlformats.org/package/2006/relationships"><Relationship Id="rId1" Type="http://schemas.openxmlformats.org/officeDocument/2006/relationships/image" Target="media/image719.png"/></Relationships>
</file>

<file path=word/_rels/footer299.xml.rels><?xml version="1.0" encoding="UTF-8" standalone="yes"?>
<Relationships xmlns="http://schemas.openxmlformats.org/package/2006/relationships"><Relationship Id="rId1" Type="http://schemas.openxmlformats.org/officeDocument/2006/relationships/image" Target="media/image722.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30.xml.rels><?xml version="1.0" encoding="UTF-8" standalone="yes"?>
<Relationships xmlns="http://schemas.openxmlformats.org/package/2006/relationships"><Relationship Id="rId1" Type="http://schemas.openxmlformats.org/officeDocument/2006/relationships/image" Target="media/image42.png"/></Relationships>
</file>

<file path=word/_rels/footer300.xml.rels><?xml version="1.0" encoding="UTF-8" standalone="yes"?>
<Relationships xmlns="http://schemas.openxmlformats.org/package/2006/relationships"><Relationship Id="rId1" Type="http://schemas.openxmlformats.org/officeDocument/2006/relationships/image" Target="media/image724.png"/></Relationships>
</file>

<file path=word/_rels/footer301.xml.rels><?xml version="1.0" encoding="UTF-8" standalone="yes"?>
<Relationships xmlns="http://schemas.openxmlformats.org/package/2006/relationships"><Relationship Id="rId1" Type="http://schemas.openxmlformats.org/officeDocument/2006/relationships/image" Target="media/image727.png"/></Relationships>
</file>

<file path=word/_rels/footer302.xml.rels><?xml version="1.0" encoding="UTF-8" standalone="yes"?>
<Relationships xmlns="http://schemas.openxmlformats.org/package/2006/relationships"><Relationship Id="rId1" Type="http://schemas.openxmlformats.org/officeDocument/2006/relationships/image" Target="media/image729.png"/></Relationships>
</file>

<file path=word/_rels/footer303.xml.rels><?xml version="1.0" encoding="UTF-8" standalone="yes"?>
<Relationships xmlns="http://schemas.openxmlformats.org/package/2006/relationships"><Relationship Id="rId1" Type="http://schemas.openxmlformats.org/officeDocument/2006/relationships/image" Target="media/image731.png"/></Relationships>
</file>

<file path=word/_rels/footer304.xml.rels><?xml version="1.0" encoding="UTF-8" standalone="yes"?>
<Relationships xmlns="http://schemas.openxmlformats.org/package/2006/relationships"><Relationship Id="rId1" Type="http://schemas.openxmlformats.org/officeDocument/2006/relationships/image" Target="media/image736.png"/></Relationships>
</file>

<file path=word/_rels/footer305.xml.rels><?xml version="1.0" encoding="UTF-8" standalone="yes"?>
<Relationships xmlns="http://schemas.openxmlformats.org/package/2006/relationships"><Relationship Id="rId1" Type="http://schemas.openxmlformats.org/officeDocument/2006/relationships/image" Target="media/image742.png"/></Relationships>
</file>

<file path=word/_rels/footer306.xml.rels><?xml version="1.0" encoding="UTF-8" standalone="yes"?>
<Relationships xmlns="http://schemas.openxmlformats.org/package/2006/relationships"><Relationship Id="rId1" Type="http://schemas.openxmlformats.org/officeDocument/2006/relationships/image" Target="media/image744.png"/></Relationships>
</file>

<file path=word/_rels/footer307.xml.rels><?xml version="1.0" encoding="UTF-8" standalone="yes"?>
<Relationships xmlns="http://schemas.openxmlformats.org/package/2006/relationships"><Relationship Id="rId1" Type="http://schemas.openxmlformats.org/officeDocument/2006/relationships/image" Target="media/image746.png"/></Relationships>
</file>

<file path=word/_rels/footer308.xml.rels><?xml version="1.0" encoding="UTF-8" standalone="yes"?>
<Relationships xmlns="http://schemas.openxmlformats.org/package/2006/relationships"><Relationship Id="rId1" Type="http://schemas.openxmlformats.org/officeDocument/2006/relationships/image" Target="media/image749.png"/></Relationships>
</file>

<file path=word/_rels/footer309.xml.rels><?xml version="1.0" encoding="UTF-8" standalone="yes"?>
<Relationships xmlns="http://schemas.openxmlformats.org/package/2006/relationships"><Relationship Id="rId1" Type="http://schemas.openxmlformats.org/officeDocument/2006/relationships/image" Target="media/image751.png"/></Relationships>
</file>

<file path=word/_rels/footer31.xml.rels><?xml version="1.0" encoding="UTF-8" standalone="yes"?>
<Relationships xmlns="http://schemas.openxmlformats.org/package/2006/relationships"><Relationship Id="rId1" Type="http://schemas.openxmlformats.org/officeDocument/2006/relationships/image" Target="media/image43.png"/></Relationships>
</file>

<file path=word/_rels/footer310.xml.rels><?xml version="1.0" encoding="UTF-8" standalone="yes"?>
<Relationships xmlns="http://schemas.openxmlformats.org/package/2006/relationships"><Relationship Id="rId1" Type="http://schemas.openxmlformats.org/officeDocument/2006/relationships/image" Target="media/image753.png"/></Relationships>
</file>

<file path=word/_rels/footer311.xml.rels><?xml version="1.0" encoding="UTF-8" standalone="yes"?>
<Relationships xmlns="http://schemas.openxmlformats.org/package/2006/relationships"><Relationship Id="rId1" Type="http://schemas.openxmlformats.org/officeDocument/2006/relationships/image" Target="media/image755.png"/></Relationships>
</file>

<file path=word/_rels/footer312.xml.rels><?xml version="1.0" encoding="UTF-8" standalone="yes"?>
<Relationships xmlns="http://schemas.openxmlformats.org/package/2006/relationships"><Relationship Id="rId1" Type="http://schemas.openxmlformats.org/officeDocument/2006/relationships/image" Target="media/image757.png"/></Relationships>
</file>

<file path=word/_rels/footer313.xml.rels><?xml version="1.0" encoding="UTF-8" standalone="yes"?>
<Relationships xmlns="http://schemas.openxmlformats.org/package/2006/relationships"><Relationship Id="rId1" Type="http://schemas.openxmlformats.org/officeDocument/2006/relationships/image" Target="media/image760.png"/></Relationships>
</file>

<file path=word/_rels/footer314.xml.rels><?xml version="1.0" encoding="UTF-8" standalone="yes"?>
<Relationships xmlns="http://schemas.openxmlformats.org/package/2006/relationships"><Relationship Id="rId1" Type="http://schemas.openxmlformats.org/officeDocument/2006/relationships/image" Target="media/image762.png"/></Relationships>
</file>

<file path=word/_rels/footer315.xml.rels><?xml version="1.0" encoding="UTF-8" standalone="yes"?>
<Relationships xmlns="http://schemas.openxmlformats.org/package/2006/relationships"><Relationship Id="rId1" Type="http://schemas.openxmlformats.org/officeDocument/2006/relationships/image" Target="media/image764.png"/></Relationships>
</file>

<file path=word/_rels/footer316.xml.rels><?xml version="1.0" encoding="UTF-8" standalone="yes"?>
<Relationships xmlns="http://schemas.openxmlformats.org/package/2006/relationships"><Relationship Id="rId1" Type="http://schemas.openxmlformats.org/officeDocument/2006/relationships/image" Target="media/image766.png"/></Relationships>
</file>

<file path=word/_rels/footer317.xml.rels><?xml version="1.0" encoding="UTF-8" standalone="yes"?>
<Relationships xmlns="http://schemas.openxmlformats.org/package/2006/relationships"><Relationship Id="rId1" Type="http://schemas.openxmlformats.org/officeDocument/2006/relationships/image" Target="media/image768.png"/></Relationships>
</file>

<file path=word/_rels/footer318.xml.rels><?xml version="1.0" encoding="UTF-8" standalone="yes"?>
<Relationships xmlns="http://schemas.openxmlformats.org/package/2006/relationships"><Relationship Id="rId1" Type="http://schemas.openxmlformats.org/officeDocument/2006/relationships/image" Target="media/image770.png"/></Relationships>
</file>

<file path=word/_rels/footer319.xml.rels><?xml version="1.0" encoding="UTF-8" standalone="yes"?>
<Relationships xmlns="http://schemas.openxmlformats.org/package/2006/relationships"><Relationship Id="rId1" Type="http://schemas.openxmlformats.org/officeDocument/2006/relationships/image" Target="media/image772.png"/></Relationships>
</file>

<file path=word/_rels/footer32.xml.rels><?xml version="1.0" encoding="UTF-8" standalone="yes"?>
<Relationships xmlns="http://schemas.openxmlformats.org/package/2006/relationships"><Relationship Id="rId1" Type="http://schemas.openxmlformats.org/officeDocument/2006/relationships/image" Target="media/image44.png"/></Relationships>
</file>

<file path=word/_rels/footer320.xml.rels><?xml version="1.0" encoding="UTF-8" standalone="yes"?>
<Relationships xmlns="http://schemas.openxmlformats.org/package/2006/relationships"><Relationship Id="rId1" Type="http://schemas.openxmlformats.org/officeDocument/2006/relationships/image" Target="media/image774.png"/></Relationships>
</file>

<file path=word/_rels/footer321.xml.rels><?xml version="1.0" encoding="UTF-8" standalone="yes"?>
<Relationships xmlns="http://schemas.openxmlformats.org/package/2006/relationships"><Relationship Id="rId1" Type="http://schemas.openxmlformats.org/officeDocument/2006/relationships/image" Target="media/image776.png"/></Relationships>
</file>

<file path=word/_rels/footer322.xml.rels><?xml version="1.0" encoding="UTF-8" standalone="yes"?>
<Relationships xmlns="http://schemas.openxmlformats.org/package/2006/relationships"><Relationship Id="rId1" Type="http://schemas.openxmlformats.org/officeDocument/2006/relationships/image" Target="media/image778.png"/></Relationships>
</file>

<file path=word/_rels/footer323.xml.rels><?xml version="1.0" encoding="UTF-8" standalone="yes"?>
<Relationships xmlns="http://schemas.openxmlformats.org/package/2006/relationships"><Relationship Id="rId1" Type="http://schemas.openxmlformats.org/officeDocument/2006/relationships/image" Target="media/image780.png"/></Relationships>
</file>

<file path=word/_rels/footer324.xml.rels><?xml version="1.0" encoding="UTF-8" standalone="yes"?>
<Relationships xmlns="http://schemas.openxmlformats.org/package/2006/relationships"><Relationship Id="rId1" Type="http://schemas.openxmlformats.org/officeDocument/2006/relationships/image" Target="media/image782.png"/></Relationships>
</file>

<file path=word/_rels/footer325.xml.rels><?xml version="1.0" encoding="UTF-8" standalone="yes"?>
<Relationships xmlns="http://schemas.openxmlformats.org/package/2006/relationships"><Relationship Id="rId1" Type="http://schemas.openxmlformats.org/officeDocument/2006/relationships/image" Target="media/image785.png"/></Relationships>
</file>

<file path=word/_rels/footer326.xml.rels><?xml version="1.0" encoding="UTF-8" standalone="yes"?>
<Relationships xmlns="http://schemas.openxmlformats.org/package/2006/relationships"><Relationship Id="rId1" Type="http://schemas.openxmlformats.org/officeDocument/2006/relationships/image" Target="media/image788.png"/></Relationships>
</file>

<file path=word/_rels/footer327.xml.rels><?xml version="1.0" encoding="UTF-8" standalone="yes"?>
<Relationships xmlns="http://schemas.openxmlformats.org/package/2006/relationships"><Relationship Id="rId1" Type="http://schemas.openxmlformats.org/officeDocument/2006/relationships/image" Target="media/image790.png"/></Relationships>
</file>

<file path=word/_rels/footer328.xml.rels><?xml version="1.0" encoding="UTF-8" standalone="yes"?>
<Relationships xmlns="http://schemas.openxmlformats.org/package/2006/relationships"><Relationship Id="rId1" Type="http://schemas.openxmlformats.org/officeDocument/2006/relationships/image" Target="media/image793.png"/></Relationships>
</file>

<file path=word/_rels/footer329.xml.rels><?xml version="1.0" encoding="UTF-8" standalone="yes"?>
<Relationships xmlns="http://schemas.openxmlformats.org/package/2006/relationships"><Relationship Id="rId1" Type="http://schemas.openxmlformats.org/officeDocument/2006/relationships/image" Target="media/image795.png"/></Relationships>
</file>

<file path=word/_rels/footer33.xml.rels><?xml version="1.0" encoding="UTF-8" standalone="yes"?>
<Relationships xmlns="http://schemas.openxmlformats.org/package/2006/relationships"><Relationship Id="rId1" Type="http://schemas.openxmlformats.org/officeDocument/2006/relationships/image" Target="media/image45.png"/></Relationships>
</file>

<file path=word/_rels/footer330.xml.rels><?xml version="1.0" encoding="UTF-8" standalone="yes"?>
<Relationships xmlns="http://schemas.openxmlformats.org/package/2006/relationships"><Relationship Id="rId1" Type="http://schemas.openxmlformats.org/officeDocument/2006/relationships/image" Target="media/image798.png"/></Relationships>
</file>

<file path=word/_rels/footer331.xml.rels><?xml version="1.0" encoding="UTF-8" standalone="yes"?>
<Relationships xmlns="http://schemas.openxmlformats.org/package/2006/relationships"><Relationship Id="rId1" Type="http://schemas.openxmlformats.org/officeDocument/2006/relationships/image" Target="media/image802.png"/></Relationships>
</file>

<file path=word/_rels/footer332.xml.rels><?xml version="1.0" encoding="UTF-8" standalone="yes"?>
<Relationships xmlns="http://schemas.openxmlformats.org/package/2006/relationships"><Relationship Id="rId1" Type="http://schemas.openxmlformats.org/officeDocument/2006/relationships/image" Target="media/image806.png"/></Relationships>
</file>

<file path=word/_rels/footer333.xml.rels><?xml version="1.0" encoding="UTF-8" standalone="yes"?>
<Relationships xmlns="http://schemas.openxmlformats.org/package/2006/relationships"><Relationship Id="rId1" Type="http://schemas.openxmlformats.org/officeDocument/2006/relationships/image" Target="media/image809.png"/></Relationships>
</file>

<file path=word/_rels/footer334.xml.rels><?xml version="1.0" encoding="UTF-8" standalone="yes"?>
<Relationships xmlns="http://schemas.openxmlformats.org/package/2006/relationships"><Relationship Id="rId1" Type="http://schemas.openxmlformats.org/officeDocument/2006/relationships/image" Target="media/image812.png"/></Relationships>
</file>

<file path=word/_rels/footer335.xml.rels><?xml version="1.0" encoding="UTF-8" standalone="yes"?>
<Relationships xmlns="http://schemas.openxmlformats.org/package/2006/relationships"><Relationship Id="rId1" Type="http://schemas.openxmlformats.org/officeDocument/2006/relationships/image" Target="media/image815.png"/></Relationships>
</file>

<file path=word/_rels/footer336.xml.rels><?xml version="1.0" encoding="UTF-8" standalone="yes"?>
<Relationships xmlns="http://schemas.openxmlformats.org/package/2006/relationships"><Relationship Id="rId1" Type="http://schemas.openxmlformats.org/officeDocument/2006/relationships/image" Target="media/image818.png"/></Relationships>
</file>

<file path=word/_rels/footer337.xml.rels><?xml version="1.0" encoding="UTF-8" standalone="yes"?>
<Relationships xmlns="http://schemas.openxmlformats.org/package/2006/relationships"><Relationship Id="rId1" Type="http://schemas.openxmlformats.org/officeDocument/2006/relationships/image" Target="media/image820.png"/></Relationships>
</file>

<file path=word/_rels/footer338.xml.rels><?xml version="1.0" encoding="UTF-8" standalone="yes"?>
<Relationships xmlns="http://schemas.openxmlformats.org/package/2006/relationships"><Relationship Id="rId1" Type="http://schemas.openxmlformats.org/officeDocument/2006/relationships/image" Target="media/image822.png"/></Relationships>
</file>

<file path=word/_rels/footer339.xml.rels><?xml version="1.0" encoding="UTF-8" standalone="yes"?>
<Relationships xmlns="http://schemas.openxmlformats.org/package/2006/relationships"><Relationship Id="rId1" Type="http://schemas.openxmlformats.org/officeDocument/2006/relationships/image" Target="media/image825.png"/></Relationships>
</file>

<file path=word/_rels/footer34.xml.rels><?xml version="1.0" encoding="UTF-8" standalone="yes"?>
<Relationships xmlns="http://schemas.openxmlformats.org/package/2006/relationships"><Relationship Id="rId1" Type="http://schemas.openxmlformats.org/officeDocument/2006/relationships/image" Target="media/image46.png"/></Relationships>
</file>

<file path=word/_rels/footer340.xml.rels><?xml version="1.0" encoding="UTF-8" standalone="yes"?>
<Relationships xmlns="http://schemas.openxmlformats.org/package/2006/relationships"><Relationship Id="rId1" Type="http://schemas.openxmlformats.org/officeDocument/2006/relationships/image" Target="media/image827.png"/></Relationships>
</file>

<file path=word/_rels/footer341.xml.rels><?xml version="1.0" encoding="UTF-8" standalone="yes"?>
<Relationships xmlns="http://schemas.openxmlformats.org/package/2006/relationships"><Relationship Id="rId1" Type="http://schemas.openxmlformats.org/officeDocument/2006/relationships/image" Target="media/image829.png"/></Relationships>
</file>

<file path=word/_rels/footer342.xml.rels><?xml version="1.0" encoding="UTF-8" standalone="yes"?>
<Relationships xmlns="http://schemas.openxmlformats.org/package/2006/relationships"><Relationship Id="rId1" Type="http://schemas.openxmlformats.org/officeDocument/2006/relationships/image" Target="media/image831.png"/></Relationships>
</file>

<file path=word/_rels/footer343.xml.rels><?xml version="1.0" encoding="UTF-8" standalone="yes"?>
<Relationships xmlns="http://schemas.openxmlformats.org/package/2006/relationships"><Relationship Id="rId1" Type="http://schemas.openxmlformats.org/officeDocument/2006/relationships/image" Target="media/image833.png"/></Relationships>
</file>

<file path=word/_rels/footer344.xml.rels><?xml version="1.0" encoding="UTF-8" standalone="yes"?>
<Relationships xmlns="http://schemas.openxmlformats.org/package/2006/relationships"><Relationship Id="rId1" Type="http://schemas.openxmlformats.org/officeDocument/2006/relationships/image" Target="media/image836.png"/></Relationships>
</file>

<file path=word/_rels/footer345.xml.rels><?xml version="1.0" encoding="UTF-8" standalone="yes"?>
<Relationships xmlns="http://schemas.openxmlformats.org/package/2006/relationships"><Relationship Id="rId1" Type="http://schemas.openxmlformats.org/officeDocument/2006/relationships/image" Target="media/image841.png"/></Relationships>
</file>

<file path=word/_rels/footer346.xml.rels><?xml version="1.0" encoding="UTF-8" standalone="yes"?>
<Relationships xmlns="http://schemas.openxmlformats.org/package/2006/relationships"><Relationship Id="rId1" Type="http://schemas.openxmlformats.org/officeDocument/2006/relationships/image" Target="media/image846.png"/></Relationships>
</file>

<file path=word/_rels/footer347.xml.rels><?xml version="1.0" encoding="UTF-8" standalone="yes"?>
<Relationships xmlns="http://schemas.openxmlformats.org/package/2006/relationships"><Relationship Id="rId1" Type="http://schemas.openxmlformats.org/officeDocument/2006/relationships/image" Target="media/image848.png"/></Relationships>
</file>

<file path=word/_rels/footer348.xml.rels><?xml version="1.0" encoding="UTF-8" standalone="yes"?>
<Relationships xmlns="http://schemas.openxmlformats.org/package/2006/relationships"><Relationship Id="rId1" Type="http://schemas.openxmlformats.org/officeDocument/2006/relationships/image" Target="media/image850.png"/></Relationships>
</file>

<file path=word/_rels/footer349.xml.rels><?xml version="1.0" encoding="UTF-8" standalone="yes"?>
<Relationships xmlns="http://schemas.openxmlformats.org/package/2006/relationships"><Relationship Id="rId1" Type="http://schemas.openxmlformats.org/officeDocument/2006/relationships/image" Target="media/image852.png"/></Relationships>
</file>

<file path=word/_rels/footer35.xml.rels><?xml version="1.0" encoding="UTF-8" standalone="yes"?>
<Relationships xmlns="http://schemas.openxmlformats.org/package/2006/relationships"><Relationship Id="rId1" Type="http://schemas.openxmlformats.org/officeDocument/2006/relationships/image" Target="media/image47.png"/></Relationships>
</file>

<file path=word/_rels/footer350.xml.rels><?xml version="1.0" encoding="UTF-8" standalone="yes"?>
<Relationships xmlns="http://schemas.openxmlformats.org/package/2006/relationships"><Relationship Id="rId1" Type="http://schemas.openxmlformats.org/officeDocument/2006/relationships/image" Target="media/image855.png"/></Relationships>
</file>

<file path=word/_rels/footer351.xml.rels><?xml version="1.0" encoding="UTF-8" standalone="yes"?>
<Relationships xmlns="http://schemas.openxmlformats.org/package/2006/relationships"><Relationship Id="rId1" Type="http://schemas.openxmlformats.org/officeDocument/2006/relationships/image" Target="media/image857.png"/></Relationships>
</file>

<file path=word/_rels/footer352.xml.rels><?xml version="1.0" encoding="UTF-8" standalone="yes"?>
<Relationships xmlns="http://schemas.openxmlformats.org/package/2006/relationships"><Relationship Id="rId1" Type="http://schemas.openxmlformats.org/officeDocument/2006/relationships/image" Target="media/image859.png"/></Relationships>
</file>

<file path=word/_rels/footer353.xml.rels><?xml version="1.0" encoding="UTF-8" standalone="yes"?>
<Relationships xmlns="http://schemas.openxmlformats.org/package/2006/relationships"><Relationship Id="rId1" Type="http://schemas.openxmlformats.org/officeDocument/2006/relationships/image" Target="media/image861.png"/></Relationships>
</file>

<file path=word/_rels/footer354.xml.rels><?xml version="1.0" encoding="UTF-8" standalone="yes"?>
<Relationships xmlns="http://schemas.openxmlformats.org/package/2006/relationships"><Relationship Id="rId1" Type="http://schemas.openxmlformats.org/officeDocument/2006/relationships/image" Target="media/image863.png"/></Relationships>
</file>

<file path=word/_rels/footer355.xml.rels><?xml version="1.0" encoding="UTF-8" standalone="yes"?>
<Relationships xmlns="http://schemas.openxmlformats.org/package/2006/relationships"><Relationship Id="rId1" Type="http://schemas.openxmlformats.org/officeDocument/2006/relationships/image" Target="media/image866.png"/></Relationships>
</file>

<file path=word/_rels/footer356.xml.rels><?xml version="1.0" encoding="UTF-8" standalone="yes"?>
<Relationships xmlns="http://schemas.openxmlformats.org/package/2006/relationships"><Relationship Id="rId1" Type="http://schemas.openxmlformats.org/officeDocument/2006/relationships/image" Target="media/image868.png"/></Relationships>
</file>

<file path=word/_rels/footer357.xml.rels><?xml version="1.0" encoding="UTF-8" standalone="yes"?>
<Relationships xmlns="http://schemas.openxmlformats.org/package/2006/relationships"><Relationship Id="rId1" Type="http://schemas.openxmlformats.org/officeDocument/2006/relationships/image" Target="media/image870.png"/></Relationships>
</file>

<file path=word/_rels/footer358.xml.rels><?xml version="1.0" encoding="UTF-8" standalone="yes"?>
<Relationships xmlns="http://schemas.openxmlformats.org/package/2006/relationships"><Relationship Id="rId1" Type="http://schemas.openxmlformats.org/officeDocument/2006/relationships/image" Target="media/image873.png"/></Relationships>
</file>

<file path=word/_rels/footer359.xml.rels><?xml version="1.0" encoding="UTF-8" standalone="yes"?>
<Relationships xmlns="http://schemas.openxmlformats.org/package/2006/relationships"><Relationship Id="rId1" Type="http://schemas.openxmlformats.org/officeDocument/2006/relationships/image" Target="media/image875.png"/></Relationships>
</file>

<file path=word/_rels/footer36.xml.rels><?xml version="1.0" encoding="UTF-8" standalone="yes"?>
<Relationships xmlns="http://schemas.openxmlformats.org/package/2006/relationships"><Relationship Id="rId1" Type="http://schemas.openxmlformats.org/officeDocument/2006/relationships/image" Target="media/image48.png"/></Relationships>
</file>

<file path=word/_rels/footer360.xml.rels><?xml version="1.0" encoding="UTF-8" standalone="yes"?>
<Relationships xmlns="http://schemas.openxmlformats.org/package/2006/relationships"><Relationship Id="rId1" Type="http://schemas.openxmlformats.org/officeDocument/2006/relationships/image" Target="media/image877.png"/></Relationships>
</file>

<file path=word/_rels/footer361.xml.rels><?xml version="1.0" encoding="UTF-8" standalone="yes"?>
<Relationships xmlns="http://schemas.openxmlformats.org/package/2006/relationships"><Relationship Id="rId1" Type="http://schemas.openxmlformats.org/officeDocument/2006/relationships/image" Target="media/image879.png"/></Relationships>
</file>

<file path=word/_rels/footer362.xml.rels><?xml version="1.0" encoding="UTF-8" standalone="yes"?>
<Relationships xmlns="http://schemas.openxmlformats.org/package/2006/relationships"><Relationship Id="rId1" Type="http://schemas.openxmlformats.org/officeDocument/2006/relationships/image" Target="media/image882.png"/></Relationships>
</file>

<file path=word/_rels/footer363.xml.rels><?xml version="1.0" encoding="UTF-8" standalone="yes"?>
<Relationships xmlns="http://schemas.openxmlformats.org/package/2006/relationships"><Relationship Id="rId1" Type="http://schemas.openxmlformats.org/officeDocument/2006/relationships/image" Target="media/image884.png"/></Relationships>
</file>

<file path=word/_rels/footer364.xml.rels><?xml version="1.0" encoding="UTF-8" standalone="yes"?>
<Relationships xmlns="http://schemas.openxmlformats.org/package/2006/relationships"><Relationship Id="rId1" Type="http://schemas.openxmlformats.org/officeDocument/2006/relationships/image" Target="media/image886.png"/></Relationships>
</file>

<file path=word/_rels/footer365.xml.rels><?xml version="1.0" encoding="UTF-8" standalone="yes"?>
<Relationships xmlns="http://schemas.openxmlformats.org/package/2006/relationships"><Relationship Id="rId1" Type="http://schemas.openxmlformats.org/officeDocument/2006/relationships/image" Target="media/image889.png"/></Relationships>
</file>

<file path=word/_rels/footer366.xml.rels><?xml version="1.0" encoding="UTF-8" standalone="yes"?>
<Relationships xmlns="http://schemas.openxmlformats.org/package/2006/relationships"><Relationship Id="rId1" Type="http://schemas.openxmlformats.org/officeDocument/2006/relationships/image" Target="media/image891.png"/></Relationships>
</file>

<file path=word/_rels/footer367.xml.rels><?xml version="1.0" encoding="UTF-8" standalone="yes"?>
<Relationships xmlns="http://schemas.openxmlformats.org/package/2006/relationships"><Relationship Id="rId1" Type="http://schemas.openxmlformats.org/officeDocument/2006/relationships/image" Target="media/image893.png"/></Relationships>
</file>

<file path=word/_rels/footer368.xml.rels><?xml version="1.0" encoding="UTF-8" standalone="yes"?>
<Relationships xmlns="http://schemas.openxmlformats.org/package/2006/relationships"><Relationship Id="rId1" Type="http://schemas.openxmlformats.org/officeDocument/2006/relationships/image" Target="media/image895.png"/></Relationships>
</file>

<file path=word/_rels/footer369.xml.rels><?xml version="1.0" encoding="UTF-8" standalone="yes"?>
<Relationships xmlns="http://schemas.openxmlformats.org/package/2006/relationships"><Relationship Id="rId1" Type="http://schemas.openxmlformats.org/officeDocument/2006/relationships/image" Target="media/image897.png"/></Relationships>
</file>

<file path=word/_rels/footer37.xml.rels><?xml version="1.0" encoding="UTF-8" standalone="yes"?>
<Relationships xmlns="http://schemas.openxmlformats.org/package/2006/relationships"><Relationship Id="rId1" Type="http://schemas.openxmlformats.org/officeDocument/2006/relationships/image" Target="media/image49.png"/></Relationships>
</file>

<file path=word/_rels/footer370.xml.rels><?xml version="1.0" encoding="UTF-8" standalone="yes"?>
<Relationships xmlns="http://schemas.openxmlformats.org/package/2006/relationships"><Relationship Id="rId1" Type="http://schemas.openxmlformats.org/officeDocument/2006/relationships/image" Target="media/image899.png"/></Relationships>
</file>

<file path=word/_rels/footer371.xml.rels><?xml version="1.0" encoding="UTF-8" standalone="yes"?>
<Relationships xmlns="http://schemas.openxmlformats.org/package/2006/relationships"><Relationship Id="rId1" Type="http://schemas.openxmlformats.org/officeDocument/2006/relationships/image" Target="media/image901.png"/></Relationships>
</file>

<file path=word/_rels/footer372.xml.rels><?xml version="1.0" encoding="UTF-8" standalone="yes"?>
<Relationships xmlns="http://schemas.openxmlformats.org/package/2006/relationships"><Relationship Id="rId1" Type="http://schemas.openxmlformats.org/officeDocument/2006/relationships/image" Target="media/image903.png"/></Relationships>
</file>

<file path=word/_rels/footer373.xml.rels><?xml version="1.0" encoding="UTF-8" standalone="yes"?>
<Relationships xmlns="http://schemas.openxmlformats.org/package/2006/relationships"><Relationship Id="rId1" Type="http://schemas.openxmlformats.org/officeDocument/2006/relationships/image" Target="media/image905.png"/></Relationships>
</file>

<file path=word/_rels/footer374.xml.rels><?xml version="1.0" encoding="UTF-8" standalone="yes"?>
<Relationships xmlns="http://schemas.openxmlformats.org/package/2006/relationships"><Relationship Id="rId1" Type="http://schemas.openxmlformats.org/officeDocument/2006/relationships/image" Target="media/image907.png"/></Relationships>
</file>

<file path=word/_rels/footer375.xml.rels><?xml version="1.0" encoding="UTF-8" standalone="yes"?>
<Relationships xmlns="http://schemas.openxmlformats.org/package/2006/relationships"><Relationship Id="rId1" Type="http://schemas.openxmlformats.org/officeDocument/2006/relationships/image" Target="media/image909.png"/></Relationships>
</file>

<file path=word/_rels/footer376.xml.rels><?xml version="1.0" encoding="UTF-8" standalone="yes"?>
<Relationships xmlns="http://schemas.openxmlformats.org/package/2006/relationships"><Relationship Id="rId1" Type="http://schemas.openxmlformats.org/officeDocument/2006/relationships/image" Target="media/image911.png"/></Relationships>
</file>

<file path=word/_rels/footer377.xml.rels><?xml version="1.0" encoding="UTF-8" standalone="yes"?>
<Relationships xmlns="http://schemas.openxmlformats.org/package/2006/relationships"><Relationship Id="rId1" Type="http://schemas.openxmlformats.org/officeDocument/2006/relationships/image" Target="media/image913.png"/></Relationships>
</file>

<file path=word/_rels/footer378.xml.rels><?xml version="1.0" encoding="UTF-8" standalone="yes"?>
<Relationships xmlns="http://schemas.openxmlformats.org/package/2006/relationships"><Relationship Id="rId1" Type="http://schemas.openxmlformats.org/officeDocument/2006/relationships/image" Target="media/image915.png"/></Relationships>
</file>

<file path=word/_rels/footer379.xml.rels><?xml version="1.0" encoding="UTF-8" standalone="yes"?>
<Relationships xmlns="http://schemas.openxmlformats.org/package/2006/relationships"><Relationship Id="rId1" Type="http://schemas.openxmlformats.org/officeDocument/2006/relationships/image" Target="media/image917.png"/></Relationships>
</file>

<file path=word/_rels/footer38.xml.rels><?xml version="1.0" encoding="UTF-8" standalone="yes"?>
<Relationships xmlns="http://schemas.openxmlformats.org/package/2006/relationships"><Relationship Id="rId1" Type="http://schemas.openxmlformats.org/officeDocument/2006/relationships/image" Target="media/image50.png"/></Relationships>
</file>

<file path=word/_rels/footer380.xml.rels><?xml version="1.0" encoding="UTF-8" standalone="yes"?>
<Relationships xmlns="http://schemas.openxmlformats.org/package/2006/relationships"><Relationship Id="rId1" Type="http://schemas.openxmlformats.org/officeDocument/2006/relationships/image" Target="media/image920.png"/></Relationships>
</file>

<file path=word/_rels/footer381.xml.rels><?xml version="1.0" encoding="UTF-8" standalone="yes"?>
<Relationships xmlns="http://schemas.openxmlformats.org/package/2006/relationships"><Relationship Id="rId1" Type="http://schemas.openxmlformats.org/officeDocument/2006/relationships/image" Target="media/image922.png"/></Relationships>
</file>

<file path=word/_rels/footer382.xml.rels><?xml version="1.0" encoding="UTF-8" standalone="yes"?>
<Relationships xmlns="http://schemas.openxmlformats.org/package/2006/relationships"><Relationship Id="rId1" Type="http://schemas.openxmlformats.org/officeDocument/2006/relationships/image" Target="media/image924.png"/></Relationships>
</file>

<file path=word/_rels/footer383.xml.rels><?xml version="1.0" encoding="UTF-8" standalone="yes"?>
<Relationships xmlns="http://schemas.openxmlformats.org/package/2006/relationships"><Relationship Id="rId1" Type="http://schemas.openxmlformats.org/officeDocument/2006/relationships/image" Target="media/image926.png"/></Relationships>
</file>

<file path=word/_rels/footer384.xml.rels><?xml version="1.0" encoding="UTF-8" standalone="yes"?>
<Relationships xmlns="http://schemas.openxmlformats.org/package/2006/relationships"><Relationship Id="rId1" Type="http://schemas.openxmlformats.org/officeDocument/2006/relationships/image" Target="media/image928.png"/></Relationships>
</file>

<file path=word/_rels/footer385.xml.rels><?xml version="1.0" encoding="UTF-8" standalone="yes"?>
<Relationships xmlns="http://schemas.openxmlformats.org/package/2006/relationships"><Relationship Id="rId1" Type="http://schemas.openxmlformats.org/officeDocument/2006/relationships/image" Target="media/image930.png"/></Relationships>
</file>

<file path=word/_rels/footer386.xml.rels><?xml version="1.0" encoding="UTF-8" standalone="yes"?>
<Relationships xmlns="http://schemas.openxmlformats.org/package/2006/relationships"><Relationship Id="rId1" Type="http://schemas.openxmlformats.org/officeDocument/2006/relationships/image" Target="media/image932.png"/></Relationships>
</file>

<file path=word/_rels/footer387.xml.rels><?xml version="1.0" encoding="UTF-8" standalone="yes"?>
<Relationships xmlns="http://schemas.openxmlformats.org/package/2006/relationships"><Relationship Id="rId1" Type="http://schemas.openxmlformats.org/officeDocument/2006/relationships/image" Target="media/image934.png"/></Relationships>
</file>

<file path=word/_rels/footer388.xml.rels><?xml version="1.0" encoding="UTF-8" standalone="yes"?>
<Relationships xmlns="http://schemas.openxmlformats.org/package/2006/relationships"><Relationship Id="rId1" Type="http://schemas.openxmlformats.org/officeDocument/2006/relationships/image" Target="media/image936.png"/></Relationships>
</file>

<file path=word/_rels/footer389.xml.rels><?xml version="1.0" encoding="UTF-8" standalone="yes"?>
<Relationships xmlns="http://schemas.openxmlformats.org/package/2006/relationships"><Relationship Id="rId1" Type="http://schemas.openxmlformats.org/officeDocument/2006/relationships/image" Target="media/image940.png"/></Relationships>
</file>

<file path=word/_rels/footer39.xml.rels><?xml version="1.0" encoding="UTF-8" standalone="yes"?>
<Relationships xmlns="http://schemas.openxmlformats.org/package/2006/relationships"><Relationship Id="rId1" Type="http://schemas.openxmlformats.org/officeDocument/2006/relationships/image" Target="media/image51.png"/></Relationships>
</file>

<file path=word/_rels/footer390.xml.rels><?xml version="1.0" encoding="UTF-8" standalone="yes"?>
<Relationships xmlns="http://schemas.openxmlformats.org/package/2006/relationships"><Relationship Id="rId1" Type="http://schemas.openxmlformats.org/officeDocument/2006/relationships/image" Target="media/image942.png"/></Relationships>
</file>

<file path=word/_rels/footer391.xml.rels><?xml version="1.0" encoding="UTF-8" standalone="yes"?>
<Relationships xmlns="http://schemas.openxmlformats.org/package/2006/relationships"><Relationship Id="rId1" Type="http://schemas.openxmlformats.org/officeDocument/2006/relationships/image" Target="media/image944.png"/></Relationships>
</file>

<file path=word/_rels/footer392.xml.rels><?xml version="1.0" encoding="UTF-8" standalone="yes"?>
<Relationships xmlns="http://schemas.openxmlformats.org/package/2006/relationships"><Relationship Id="rId1" Type="http://schemas.openxmlformats.org/officeDocument/2006/relationships/image" Target="media/image946.png"/></Relationships>
</file>

<file path=word/_rels/footer393.xml.rels><?xml version="1.0" encoding="UTF-8" standalone="yes"?>
<Relationships xmlns="http://schemas.openxmlformats.org/package/2006/relationships"><Relationship Id="rId1" Type="http://schemas.openxmlformats.org/officeDocument/2006/relationships/image" Target="media/image948.png"/></Relationships>
</file>

<file path=word/_rels/footer394.xml.rels><?xml version="1.0" encoding="UTF-8" standalone="yes"?>
<Relationships xmlns="http://schemas.openxmlformats.org/package/2006/relationships"><Relationship Id="rId1" Type="http://schemas.openxmlformats.org/officeDocument/2006/relationships/image" Target="media/image950.png"/></Relationships>
</file>

<file path=word/_rels/footer395.xml.rels><?xml version="1.0" encoding="UTF-8" standalone="yes"?>
<Relationships xmlns="http://schemas.openxmlformats.org/package/2006/relationships"><Relationship Id="rId1" Type="http://schemas.openxmlformats.org/officeDocument/2006/relationships/image" Target="media/image952.png"/></Relationships>
</file>

<file path=word/_rels/footer396.xml.rels><?xml version="1.0" encoding="UTF-8" standalone="yes"?>
<Relationships xmlns="http://schemas.openxmlformats.org/package/2006/relationships"><Relationship Id="rId1" Type="http://schemas.openxmlformats.org/officeDocument/2006/relationships/image" Target="media/image954.png"/></Relationships>
</file>

<file path=word/_rels/footer397.xml.rels><?xml version="1.0" encoding="UTF-8" standalone="yes"?>
<Relationships xmlns="http://schemas.openxmlformats.org/package/2006/relationships"><Relationship Id="rId1" Type="http://schemas.openxmlformats.org/officeDocument/2006/relationships/image" Target="media/image956.png"/></Relationships>
</file>

<file path=word/_rels/footer398.xml.rels><?xml version="1.0" encoding="UTF-8" standalone="yes"?>
<Relationships xmlns="http://schemas.openxmlformats.org/package/2006/relationships"><Relationship Id="rId1" Type="http://schemas.openxmlformats.org/officeDocument/2006/relationships/image" Target="media/image958.png"/></Relationships>
</file>

<file path=word/_rels/footer399.xml.rels><?xml version="1.0" encoding="UTF-8" standalone="yes"?>
<Relationships xmlns="http://schemas.openxmlformats.org/package/2006/relationships"><Relationship Id="rId1" Type="http://schemas.openxmlformats.org/officeDocument/2006/relationships/image" Target="media/image960.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40.xml.rels><?xml version="1.0" encoding="UTF-8" standalone="yes"?>
<Relationships xmlns="http://schemas.openxmlformats.org/package/2006/relationships"><Relationship Id="rId1" Type="http://schemas.openxmlformats.org/officeDocument/2006/relationships/image" Target="media/image52.png"/></Relationships>
</file>

<file path=word/_rels/footer400.xml.rels><?xml version="1.0" encoding="UTF-8" standalone="yes"?>
<Relationships xmlns="http://schemas.openxmlformats.org/package/2006/relationships"><Relationship Id="rId1" Type="http://schemas.openxmlformats.org/officeDocument/2006/relationships/image" Target="media/image967.jpeg"/></Relationships>
</file>

<file path=word/_rels/footer401.xml.rels><?xml version="1.0" encoding="UTF-8" standalone="yes"?>
<Relationships xmlns="http://schemas.openxmlformats.org/package/2006/relationships"><Relationship Id="rId1" Type="http://schemas.openxmlformats.org/officeDocument/2006/relationships/image" Target="media/image971.png"/></Relationships>
</file>

<file path=word/_rels/footer402.xml.rels><?xml version="1.0" encoding="UTF-8" standalone="yes"?>
<Relationships xmlns="http://schemas.openxmlformats.org/package/2006/relationships"><Relationship Id="rId1" Type="http://schemas.openxmlformats.org/officeDocument/2006/relationships/image" Target="media/image973.png"/></Relationships>
</file>

<file path=word/_rels/footer403.xml.rels><?xml version="1.0" encoding="UTF-8" standalone="yes"?>
<Relationships xmlns="http://schemas.openxmlformats.org/package/2006/relationships"><Relationship Id="rId1" Type="http://schemas.openxmlformats.org/officeDocument/2006/relationships/image" Target="media/image975.png"/></Relationships>
</file>

<file path=word/_rels/footer404.xml.rels><?xml version="1.0" encoding="UTF-8" standalone="yes"?>
<Relationships xmlns="http://schemas.openxmlformats.org/package/2006/relationships"><Relationship Id="rId1" Type="http://schemas.openxmlformats.org/officeDocument/2006/relationships/image" Target="media/image977.png"/></Relationships>
</file>

<file path=word/_rels/footer405.xml.rels><?xml version="1.0" encoding="UTF-8" standalone="yes"?>
<Relationships xmlns="http://schemas.openxmlformats.org/package/2006/relationships"><Relationship Id="rId1" Type="http://schemas.openxmlformats.org/officeDocument/2006/relationships/image" Target="media/image979.png"/></Relationships>
</file>

<file path=word/_rels/footer406.xml.rels><?xml version="1.0" encoding="UTF-8" standalone="yes"?>
<Relationships xmlns="http://schemas.openxmlformats.org/package/2006/relationships"><Relationship Id="rId1" Type="http://schemas.openxmlformats.org/officeDocument/2006/relationships/image" Target="media/image982.png"/></Relationships>
</file>

<file path=word/_rels/footer407.xml.rels><?xml version="1.0" encoding="UTF-8" standalone="yes"?>
<Relationships xmlns="http://schemas.openxmlformats.org/package/2006/relationships"><Relationship Id="rId1" Type="http://schemas.openxmlformats.org/officeDocument/2006/relationships/image" Target="media/image984.png"/></Relationships>
</file>

<file path=word/_rels/footer408.xml.rels><?xml version="1.0" encoding="UTF-8" standalone="yes"?>
<Relationships xmlns="http://schemas.openxmlformats.org/package/2006/relationships"><Relationship Id="rId1" Type="http://schemas.openxmlformats.org/officeDocument/2006/relationships/image" Target="media/image986.png"/></Relationships>
</file>

<file path=word/_rels/footer409.xml.rels><?xml version="1.0" encoding="UTF-8" standalone="yes"?>
<Relationships xmlns="http://schemas.openxmlformats.org/package/2006/relationships"><Relationship Id="rId1" Type="http://schemas.openxmlformats.org/officeDocument/2006/relationships/image" Target="media/image988.png"/></Relationships>
</file>

<file path=word/_rels/footer41.xml.rels><?xml version="1.0" encoding="UTF-8" standalone="yes"?>
<Relationships xmlns="http://schemas.openxmlformats.org/package/2006/relationships"><Relationship Id="rId1" Type="http://schemas.openxmlformats.org/officeDocument/2006/relationships/image" Target="media/image53.png"/></Relationships>
</file>

<file path=word/_rels/footer410.xml.rels><?xml version="1.0" encoding="UTF-8" standalone="yes"?>
<Relationships xmlns="http://schemas.openxmlformats.org/package/2006/relationships"><Relationship Id="rId1" Type="http://schemas.openxmlformats.org/officeDocument/2006/relationships/image" Target="media/image990.png"/></Relationships>
</file>

<file path=word/_rels/footer411.xml.rels><?xml version="1.0" encoding="UTF-8" standalone="yes"?>
<Relationships xmlns="http://schemas.openxmlformats.org/package/2006/relationships"><Relationship Id="rId1" Type="http://schemas.openxmlformats.org/officeDocument/2006/relationships/image" Target="media/image992.png"/></Relationships>
</file>

<file path=word/_rels/footer412.xml.rels><?xml version="1.0" encoding="UTF-8" standalone="yes"?>
<Relationships xmlns="http://schemas.openxmlformats.org/package/2006/relationships"><Relationship Id="rId1" Type="http://schemas.openxmlformats.org/officeDocument/2006/relationships/image" Target="media/image994.png"/></Relationships>
</file>

<file path=word/_rels/footer413.xml.rels><?xml version="1.0" encoding="UTF-8" standalone="yes"?>
<Relationships xmlns="http://schemas.openxmlformats.org/package/2006/relationships"><Relationship Id="rId1" Type="http://schemas.openxmlformats.org/officeDocument/2006/relationships/image" Target="media/image996.png"/></Relationships>
</file>

<file path=word/_rels/footer414.xml.rels><?xml version="1.0" encoding="UTF-8" standalone="yes"?>
<Relationships xmlns="http://schemas.openxmlformats.org/package/2006/relationships"><Relationship Id="rId1" Type="http://schemas.openxmlformats.org/officeDocument/2006/relationships/image" Target="media/image998.png"/></Relationships>
</file>

<file path=word/_rels/footer415.xml.rels><?xml version="1.0" encoding="UTF-8" standalone="yes"?>
<Relationships xmlns="http://schemas.openxmlformats.org/package/2006/relationships"><Relationship Id="rId1" Type="http://schemas.openxmlformats.org/officeDocument/2006/relationships/image" Target="media/image1000.png"/></Relationships>
</file>

<file path=word/_rels/footer416.xml.rels><?xml version="1.0" encoding="UTF-8" standalone="yes"?>
<Relationships xmlns="http://schemas.openxmlformats.org/package/2006/relationships"><Relationship Id="rId1" Type="http://schemas.openxmlformats.org/officeDocument/2006/relationships/image" Target="media/image1002.png"/></Relationships>
</file>

<file path=word/_rels/footer417.xml.rels><?xml version="1.0" encoding="UTF-8" standalone="yes"?>
<Relationships xmlns="http://schemas.openxmlformats.org/package/2006/relationships"><Relationship Id="rId1" Type="http://schemas.openxmlformats.org/officeDocument/2006/relationships/image" Target="media/image1010.png"/></Relationships>
</file>

<file path=word/_rels/footer418.xml.rels><?xml version="1.0" encoding="UTF-8" standalone="yes"?>
<Relationships xmlns="http://schemas.openxmlformats.org/package/2006/relationships"><Relationship Id="rId1" Type="http://schemas.openxmlformats.org/officeDocument/2006/relationships/image" Target="media/image1016.jpeg"/></Relationships>
</file>

<file path=word/_rels/footer419.xml.rels><?xml version="1.0" encoding="UTF-8" standalone="yes"?>
<Relationships xmlns="http://schemas.openxmlformats.org/package/2006/relationships"><Relationship Id="rId1" Type="http://schemas.openxmlformats.org/officeDocument/2006/relationships/image" Target="media/image1019.jpeg"/></Relationships>
</file>

<file path=word/_rels/footer42.xml.rels><?xml version="1.0" encoding="UTF-8" standalone="yes"?>
<Relationships xmlns="http://schemas.openxmlformats.org/package/2006/relationships"><Relationship Id="rId1" Type="http://schemas.openxmlformats.org/officeDocument/2006/relationships/image" Target="media/image54.png"/></Relationships>
</file>

<file path=word/_rels/footer420.xml.rels><?xml version="1.0" encoding="UTF-8" standalone="yes"?>
<Relationships xmlns="http://schemas.openxmlformats.org/package/2006/relationships"><Relationship Id="rId1" Type="http://schemas.openxmlformats.org/officeDocument/2006/relationships/image" Target="media/image1022.png"/></Relationships>
</file>

<file path=word/_rels/footer421.xml.rels><?xml version="1.0" encoding="UTF-8" standalone="yes"?>
<Relationships xmlns="http://schemas.openxmlformats.org/package/2006/relationships"><Relationship Id="rId1" Type="http://schemas.openxmlformats.org/officeDocument/2006/relationships/image" Target="media/image1025.jpeg"/></Relationships>
</file>

<file path=word/_rels/footer422.xml.rels><?xml version="1.0" encoding="UTF-8" standalone="yes"?>
<Relationships xmlns="http://schemas.openxmlformats.org/package/2006/relationships"><Relationship Id="rId1" Type="http://schemas.openxmlformats.org/officeDocument/2006/relationships/image" Target="media/image1027.png"/></Relationships>
</file>

<file path=word/_rels/footer423.xml.rels><?xml version="1.0" encoding="UTF-8" standalone="yes"?>
<Relationships xmlns="http://schemas.openxmlformats.org/package/2006/relationships"><Relationship Id="rId1" Type="http://schemas.openxmlformats.org/officeDocument/2006/relationships/image" Target="media/image1029.jpeg"/></Relationships>
</file>

<file path=word/_rels/footer424.xml.rels><?xml version="1.0" encoding="UTF-8" standalone="yes"?>
<Relationships xmlns="http://schemas.openxmlformats.org/package/2006/relationships"><Relationship Id="rId1" Type="http://schemas.openxmlformats.org/officeDocument/2006/relationships/image" Target="media/image1032.png"/></Relationships>
</file>

<file path=word/_rels/footer425.xml.rels><?xml version="1.0" encoding="UTF-8" standalone="yes"?>
<Relationships xmlns="http://schemas.openxmlformats.org/package/2006/relationships"><Relationship Id="rId1" Type="http://schemas.openxmlformats.org/officeDocument/2006/relationships/image" Target="media/image1035.jpeg"/></Relationships>
</file>

<file path=word/_rels/footer426.xml.rels><?xml version="1.0" encoding="UTF-8" standalone="yes"?>
<Relationships xmlns="http://schemas.openxmlformats.org/package/2006/relationships"><Relationship Id="rId1" Type="http://schemas.openxmlformats.org/officeDocument/2006/relationships/image" Target="media/image1037.png"/></Relationships>
</file>

<file path=word/_rels/footer427.xml.rels><?xml version="1.0" encoding="UTF-8" standalone="yes"?>
<Relationships xmlns="http://schemas.openxmlformats.org/package/2006/relationships"><Relationship Id="rId1" Type="http://schemas.openxmlformats.org/officeDocument/2006/relationships/image" Target="media/image1040.png"/></Relationships>
</file>

<file path=word/_rels/footer428.xml.rels><?xml version="1.0" encoding="UTF-8" standalone="yes"?>
<Relationships xmlns="http://schemas.openxmlformats.org/package/2006/relationships"><Relationship Id="rId1" Type="http://schemas.openxmlformats.org/officeDocument/2006/relationships/image" Target="media/image1043.jpeg"/></Relationships>
</file>

<file path=word/_rels/footer429.xml.rels><?xml version="1.0" encoding="UTF-8" standalone="yes"?>
<Relationships xmlns="http://schemas.openxmlformats.org/package/2006/relationships"><Relationship Id="rId1" Type="http://schemas.openxmlformats.org/officeDocument/2006/relationships/image" Target="media/image1047.jpeg"/></Relationships>
</file>

<file path=word/_rels/footer43.xml.rels><?xml version="1.0" encoding="UTF-8" standalone="yes"?>
<Relationships xmlns="http://schemas.openxmlformats.org/package/2006/relationships"><Relationship Id="rId1" Type="http://schemas.openxmlformats.org/officeDocument/2006/relationships/image" Target="media/image55.png"/></Relationships>
</file>

<file path=word/_rels/footer430.xml.rels><?xml version="1.0" encoding="UTF-8" standalone="yes"?>
<Relationships xmlns="http://schemas.openxmlformats.org/package/2006/relationships"><Relationship Id="rId1" Type="http://schemas.openxmlformats.org/officeDocument/2006/relationships/image" Target="media/image1049.jpeg"/></Relationships>
</file>

<file path=word/_rels/footer431.xml.rels><?xml version="1.0" encoding="UTF-8" standalone="yes"?>
<Relationships xmlns="http://schemas.openxmlformats.org/package/2006/relationships"><Relationship Id="rId1" Type="http://schemas.openxmlformats.org/officeDocument/2006/relationships/image" Target="media/image1051.jpeg"/></Relationships>
</file>

<file path=word/_rels/footer432.xml.rels><?xml version="1.0" encoding="UTF-8" standalone="yes"?>
<Relationships xmlns="http://schemas.openxmlformats.org/package/2006/relationships"><Relationship Id="rId1" Type="http://schemas.openxmlformats.org/officeDocument/2006/relationships/image" Target="media/image1054.jpeg"/></Relationships>
</file>

<file path=word/_rels/footer433.xml.rels><?xml version="1.0" encoding="UTF-8" standalone="yes"?>
<Relationships xmlns="http://schemas.openxmlformats.org/package/2006/relationships"><Relationship Id="rId1" Type="http://schemas.openxmlformats.org/officeDocument/2006/relationships/image" Target="media/image1056.jpeg"/></Relationships>
</file>

<file path=word/_rels/footer434.xml.rels><?xml version="1.0" encoding="UTF-8" standalone="yes"?>
<Relationships xmlns="http://schemas.openxmlformats.org/package/2006/relationships"><Relationship Id="rId1" Type="http://schemas.openxmlformats.org/officeDocument/2006/relationships/image" Target="media/image1058.jpeg"/></Relationships>
</file>

<file path=word/_rels/footer435.xml.rels><?xml version="1.0" encoding="UTF-8" standalone="yes"?>
<Relationships xmlns="http://schemas.openxmlformats.org/package/2006/relationships"><Relationship Id="rId1" Type="http://schemas.openxmlformats.org/officeDocument/2006/relationships/image" Target="media/image1061.jpeg"/></Relationships>
</file>

<file path=word/_rels/footer436.xml.rels><?xml version="1.0" encoding="UTF-8" standalone="yes"?>
<Relationships xmlns="http://schemas.openxmlformats.org/package/2006/relationships"><Relationship Id="rId1" Type="http://schemas.openxmlformats.org/officeDocument/2006/relationships/image" Target="media/image1063.jpeg"/></Relationships>
</file>

<file path=word/_rels/footer437.xml.rels><?xml version="1.0" encoding="UTF-8" standalone="yes"?>
<Relationships xmlns="http://schemas.openxmlformats.org/package/2006/relationships"><Relationship Id="rId1" Type="http://schemas.openxmlformats.org/officeDocument/2006/relationships/image" Target="media/image1065.jpeg"/></Relationships>
</file>

<file path=word/_rels/footer438.xml.rels><?xml version="1.0" encoding="UTF-8" standalone="yes"?>
<Relationships xmlns="http://schemas.openxmlformats.org/package/2006/relationships"><Relationship Id="rId1" Type="http://schemas.openxmlformats.org/officeDocument/2006/relationships/image" Target="media/image1067.jpeg"/></Relationships>
</file>

<file path=word/_rels/footer439.xml.rels><?xml version="1.0" encoding="UTF-8" standalone="yes"?>
<Relationships xmlns="http://schemas.openxmlformats.org/package/2006/relationships"><Relationship Id="rId1" Type="http://schemas.openxmlformats.org/officeDocument/2006/relationships/image" Target="media/image1069.jpeg"/></Relationships>
</file>

<file path=word/_rels/footer440.xml.rels><?xml version="1.0" encoding="UTF-8" standalone="yes"?>
<Relationships xmlns="http://schemas.openxmlformats.org/package/2006/relationships"><Relationship Id="rId1" Type="http://schemas.openxmlformats.org/officeDocument/2006/relationships/image" Target="media/image1071.jpeg"/></Relationships>
</file>

<file path=word/_rels/footer441.xml.rels><?xml version="1.0" encoding="UTF-8" standalone="yes"?>
<Relationships xmlns="http://schemas.openxmlformats.org/package/2006/relationships"><Relationship Id="rId1" Type="http://schemas.openxmlformats.org/officeDocument/2006/relationships/image" Target="media/image1073.jpeg"/></Relationships>
</file>

<file path=word/_rels/footer442.xml.rels><?xml version="1.0" encoding="UTF-8" standalone="yes"?>
<Relationships xmlns="http://schemas.openxmlformats.org/package/2006/relationships"><Relationship Id="rId1" Type="http://schemas.openxmlformats.org/officeDocument/2006/relationships/image" Target="media/image1075.jpeg"/></Relationships>
</file>

<file path=word/_rels/footer443.xml.rels><?xml version="1.0" encoding="UTF-8" standalone="yes"?>
<Relationships xmlns="http://schemas.openxmlformats.org/package/2006/relationships"><Relationship Id="rId1" Type="http://schemas.openxmlformats.org/officeDocument/2006/relationships/image" Target="media/image1077.jpeg"/></Relationships>
</file>

<file path=word/_rels/footer444.xml.rels><?xml version="1.0" encoding="UTF-8" standalone="yes"?>
<Relationships xmlns="http://schemas.openxmlformats.org/package/2006/relationships"><Relationship Id="rId1" Type="http://schemas.openxmlformats.org/officeDocument/2006/relationships/image" Target="media/image1079.jpeg"/></Relationships>
</file>

<file path=word/_rels/footer445.xml.rels><?xml version="1.0" encoding="UTF-8" standalone="yes"?>
<Relationships xmlns="http://schemas.openxmlformats.org/package/2006/relationships"><Relationship Id="rId1" Type="http://schemas.openxmlformats.org/officeDocument/2006/relationships/image" Target="media/image1090.jpeg"/></Relationships>
</file>

<file path=word/_rels/footer446.xml.rels><?xml version="1.0" encoding="UTF-8" standalone="yes"?>
<Relationships xmlns="http://schemas.openxmlformats.org/package/2006/relationships"><Relationship Id="rId1" Type="http://schemas.openxmlformats.org/officeDocument/2006/relationships/image" Target="media/image1092.jpeg"/></Relationships>
</file>

<file path=word/_rels/footer447.xml.rels><?xml version="1.0" encoding="UTF-8" standalone="yes"?>
<Relationships xmlns="http://schemas.openxmlformats.org/package/2006/relationships"><Relationship Id="rId1" Type="http://schemas.openxmlformats.org/officeDocument/2006/relationships/image" Target="media/image1094.jpeg"/></Relationships>
</file>

<file path=word/_rels/footer448.xml.rels><?xml version="1.0" encoding="UTF-8" standalone="yes"?>
<Relationships xmlns="http://schemas.openxmlformats.org/package/2006/relationships"><Relationship Id="rId1" Type="http://schemas.openxmlformats.org/officeDocument/2006/relationships/image" Target="media/image1096.jpeg"/></Relationships>
</file>

<file path=word/_rels/footer449.xml.rels><?xml version="1.0" encoding="UTF-8" standalone="yes"?>
<Relationships xmlns="http://schemas.openxmlformats.org/package/2006/relationships"><Relationship Id="rId1" Type="http://schemas.openxmlformats.org/officeDocument/2006/relationships/image" Target="media/image1098.jpeg"/></Relationships>
</file>

<file path=word/_rels/footer45.xml.rels><?xml version="1.0" encoding="UTF-8" standalone="yes"?>
<Relationships xmlns="http://schemas.openxmlformats.org/package/2006/relationships"><Relationship Id="rId1" Type="http://schemas.openxmlformats.org/officeDocument/2006/relationships/image" Target="media/image60.png"/></Relationships>
</file>

<file path=word/_rels/footer450.xml.rels><?xml version="1.0" encoding="UTF-8" standalone="yes"?>
<Relationships xmlns="http://schemas.openxmlformats.org/package/2006/relationships"><Relationship Id="rId1" Type="http://schemas.openxmlformats.org/officeDocument/2006/relationships/image" Target="media/image1100.jpeg"/></Relationships>
</file>

<file path=word/_rels/footer451.xml.rels><?xml version="1.0" encoding="UTF-8" standalone="yes"?>
<Relationships xmlns="http://schemas.openxmlformats.org/package/2006/relationships"><Relationship Id="rId1" Type="http://schemas.openxmlformats.org/officeDocument/2006/relationships/image" Target="media/image1102.jpeg"/></Relationships>
</file>

<file path=word/_rels/footer452.xml.rels><?xml version="1.0" encoding="UTF-8" standalone="yes"?>
<Relationships xmlns="http://schemas.openxmlformats.org/package/2006/relationships"><Relationship Id="rId1" Type="http://schemas.openxmlformats.org/officeDocument/2006/relationships/image" Target="media/image1104.jpeg"/></Relationships>
</file>

<file path=word/_rels/footer453.xml.rels><?xml version="1.0" encoding="UTF-8" standalone="yes"?>
<Relationships xmlns="http://schemas.openxmlformats.org/package/2006/relationships"><Relationship Id="rId1" Type="http://schemas.openxmlformats.org/officeDocument/2006/relationships/image" Target="media/image1106.jpeg"/></Relationships>
</file>

<file path=word/_rels/footer454.xml.rels><?xml version="1.0" encoding="UTF-8" standalone="yes"?>
<Relationships xmlns="http://schemas.openxmlformats.org/package/2006/relationships"><Relationship Id="rId1" Type="http://schemas.openxmlformats.org/officeDocument/2006/relationships/image" Target="media/image1108.jpeg"/></Relationships>
</file>

<file path=word/_rels/footer455.xml.rels><?xml version="1.0" encoding="UTF-8" standalone="yes"?>
<Relationships xmlns="http://schemas.openxmlformats.org/package/2006/relationships"><Relationship Id="rId1" Type="http://schemas.openxmlformats.org/officeDocument/2006/relationships/image" Target="media/image1111.jpeg"/></Relationships>
</file>

<file path=word/_rels/footer456.xml.rels><?xml version="1.0" encoding="UTF-8" standalone="yes"?>
<Relationships xmlns="http://schemas.openxmlformats.org/package/2006/relationships"><Relationship Id="rId1" Type="http://schemas.openxmlformats.org/officeDocument/2006/relationships/image" Target="media/image1113.jpeg"/></Relationships>
</file>

<file path=word/_rels/footer457.xml.rels><?xml version="1.0" encoding="UTF-8" standalone="yes"?>
<Relationships xmlns="http://schemas.openxmlformats.org/package/2006/relationships"><Relationship Id="rId1" Type="http://schemas.openxmlformats.org/officeDocument/2006/relationships/image" Target="media/image1116.jpeg"/></Relationships>
</file>

<file path=word/_rels/footer458.xml.rels><?xml version="1.0" encoding="UTF-8" standalone="yes"?>
<Relationships xmlns="http://schemas.openxmlformats.org/package/2006/relationships"><Relationship Id="rId1" Type="http://schemas.openxmlformats.org/officeDocument/2006/relationships/image" Target="media/image1119.jpeg"/></Relationships>
</file>

<file path=word/_rels/footer459.xml.rels><?xml version="1.0" encoding="UTF-8" standalone="yes"?>
<Relationships xmlns="http://schemas.openxmlformats.org/package/2006/relationships"><Relationship Id="rId1" Type="http://schemas.openxmlformats.org/officeDocument/2006/relationships/image" Target="media/image1131.jpeg"/></Relationships>
</file>

<file path=word/_rels/footer46.xml.rels><?xml version="1.0" encoding="UTF-8" standalone="yes"?>
<Relationships xmlns="http://schemas.openxmlformats.org/package/2006/relationships"><Relationship Id="rId1" Type="http://schemas.openxmlformats.org/officeDocument/2006/relationships/image" Target="media/image62.png"/></Relationships>
</file>

<file path=word/_rels/footer460.xml.rels><?xml version="1.0" encoding="UTF-8" standalone="yes"?>
<Relationships xmlns="http://schemas.openxmlformats.org/package/2006/relationships"><Relationship Id="rId1" Type="http://schemas.openxmlformats.org/officeDocument/2006/relationships/image" Target="media/image1133.jpeg"/></Relationships>
</file>

<file path=word/_rels/footer461.xml.rels><?xml version="1.0" encoding="UTF-8" standalone="yes"?>
<Relationships xmlns="http://schemas.openxmlformats.org/package/2006/relationships"><Relationship Id="rId1" Type="http://schemas.openxmlformats.org/officeDocument/2006/relationships/image" Target="media/image1135.jpeg"/></Relationships>
</file>

<file path=word/_rels/footer462.xml.rels><?xml version="1.0" encoding="UTF-8" standalone="yes"?>
<Relationships xmlns="http://schemas.openxmlformats.org/package/2006/relationships"><Relationship Id="rId1" Type="http://schemas.openxmlformats.org/officeDocument/2006/relationships/image" Target="media/image1137.jpeg"/></Relationships>
</file>

<file path=word/_rels/footer463.xml.rels><?xml version="1.0" encoding="UTF-8" standalone="yes"?>
<Relationships xmlns="http://schemas.openxmlformats.org/package/2006/relationships"><Relationship Id="rId1" Type="http://schemas.openxmlformats.org/officeDocument/2006/relationships/image" Target="media/image1139.jpeg"/></Relationships>
</file>

<file path=word/_rels/footer464.xml.rels><?xml version="1.0" encoding="UTF-8" standalone="yes"?>
<Relationships xmlns="http://schemas.openxmlformats.org/package/2006/relationships"><Relationship Id="rId1" Type="http://schemas.openxmlformats.org/officeDocument/2006/relationships/image" Target="media/image1141.jpeg"/></Relationships>
</file>

<file path=word/_rels/footer465.xml.rels><?xml version="1.0" encoding="UTF-8" standalone="yes"?>
<Relationships xmlns="http://schemas.openxmlformats.org/package/2006/relationships"><Relationship Id="rId1" Type="http://schemas.openxmlformats.org/officeDocument/2006/relationships/image" Target="media/image1144.jpeg"/></Relationships>
</file>

<file path=word/_rels/footer466.xml.rels><?xml version="1.0" encoding="UTF-8" standalone="yes"?>
<Relationships xmlns="http://schemas.openxmlformats.org/package/2006/relationships"><Relationship Id="rId1" Type="http://schemas.openxmlformats.org/officeDocument/2006/relationships/image" Target="media/image1148.jpeg"/></Relationships>
</file>

<file path=word/_rels/footer467.xml.rels><?xml version="1.0" encoding="UTF-8" standalone="yes"?>
<Relationships xmlns="http://schemas.openxmlformats.org/package/2006/relationships"><Relationship Id="rId1" Type="http://schemas.openxmlformats.org/officeDocument/2006/relationships/image" Target="media/image1152.jpeg"/></Relationships>
</file>

<file path=word/_rels/footer468.xml.rels><?xml version="1.0" encoding="UTF-8" standalone="yes"?>
<Relationships xmlns="http://schemas.openxmlformats.org/package/2006/relationships"><Relationship Id="rId1" Type="http://schemas.openxmlformats.org/officeDocument/2006/relationships/image" Target="media/image1155.jpeg"/></Relationships>
</file>

<file path=word/_rels/footer469.xml.rels><?xml version="1.0" encoding="UTF-8" standalone="yes"?>
<Relationships xmlns="http://schemas.openxmlformats.org/package/2006/relationships"><Relationship Id="rId1" Type="http://schemas.openxmlformats.org/officeDocument/2006/relationships/image" Target="media/image1158.jpeg"/></Relationships>
</file>

<file path=word/_rels/footer47.xml.rels><?xml version="1.0" encoding="UTF-8" standalone="yes"?>
<Relationships xmlns="http://schemas.openxmlformats.org/package/2006/relationships"><Relationship Id="rId1" Type="http://schemas.openxmlformats.org/officeDocument/2006/relationships/image" Target="media/image64.png"/></Relationships>
</file>

<file path=word/_rels/footer470.xml.rels><?xml version="1.0" encoding="UTF-8" standalone="yes"?>
<Relationships xmlns="http://schemas.openxmlformats.org/package/2006/relationships"><Relationship Id="rId1" Type="http://schemas.openxmlformats.org/officeDocument/2006/relationships/image" Target="media/image1160.jpeg"/></Relationships>
</file>

<file path=word/_rels/footer471.xml.rels><?xml version="1.0" encoding="UTF-8" standalone="yes"?>
<Relationships xmlns="http://schemas.openxmlformats.org/package/2006/relationships"><Relationship Id="rId1" Type="http://schemas.openxmlformats.org/officeDocument/2006/relationships/image" Target="media/image1163.jpeg"/></Relationships>
</file>

<file path=word/_rels/footer472.xml.rels><?xml version="1.0" encoding="UTF-8" standalone="yes"?>
<Relationships xmlns="http://schemas.openxmlformats.org/package/2006/relationships"><Relationship Id="rId1" Type="http://schemas.openxmlformats.org/officeDocument/2006/relationships/image" Target="media/image1166.jpeg"/></Relationships>
</file>

<file path=word/_rels/footer473.xml.rels><?xml version="1.0" encoding="UTF-8" standalone="yes"?>
<Relationships xmlns="http://schemas.openxmlformats.org/package/2006/relationships"><Relationship Id="rId1" Type="http://schemas.openxmlformats.org/officeDocument/2006/relationships/image" Target="media/image1169.jpeg"/></Relationships>
</file>

<file path=word/_rels/footer474.xml.rels><?xml version="1.0" encoding="UTF-8" standalone="yes"?>
<Relationships xmlns="http://schemas.openxmlformats.org/package/2006/relationships"><Relationship Id="rId1" Type="http://schemas.openxmlformats.org/officeDocument/2006/relationships/image" Target="media/image1171.jpeg"/></Relationships>
</file>

<file path=word/_rels/footer475.xml.rels><?xml version="1.0" encoding="UTF-8" standalone="yes"?>
<Relationships xmlns="http://schemas.openxmlformats.org/package/2006/relationships"><Relationship Id="rId1" Type="http://schemas.openxmlformats.org/officeDocument/2006/relationships/image" Target="media/image1174.jpeg"/></Relationships>
</file>

<file path=word/_rels/footer476.xml.rels><?xml version="1.0" encoding="UTF-8" standalone="yes"?>
<Relationships xmlns="http://schemas.openxmlformats.org/package/2006/relationships"><Relationship Id="rId1" Type="http://schemas.openxmlformats.org/officeDocument/2006/relationships/image" Target="media/image1177.jpeg"/></Relationships>
</file>

<file path=word/_rels/footer477.xml.rels><?xml version="1.0" encoding="UTF-8" standalone="yes"?>
<Relationships xmlns="http://schemas.openxmlformats.org/package/2006/relationships"><Relationship Id="rId1" Type="http://schemas.openxmlformats.org/officeDocument/2006/relationships/image" Target="media/image1182.jpeg"/></Relationships>
</file>

<file path=word/_rels/footer478.xml.rels><?xml version="1.0" encoding="UTF-8" standalone="yes"?>
<Relationships xmlns="http://schemas.openxmlformats.org/package/2006/relationships"><Relationship Id="rId1" Type="http://schemas.openxmlformats.org/officeDocument/2006/relationships/image" Target="media/image1187.jpeg"/></Relationships>
</file>

<file path=word/_rels/footer479.xml.rels><?xml version="1.0" encoding="UTF-8" standalone="yes"?>
<Relationships xmlns="http://schemas.openxmlformats.org/package/2006/relationships"><Relationship Id="rId1" Type="http://schemas.openxmlformats.org/officeDocument/2006/relationships/image" Target="media/image1189.jpeg"/></Relationships>
</file>

<file path=word/_rels/footer48.xml.rels><?xml version="1.0" encoding="UTF-8" standalone="yes"?>
<Relationships xmlns="http://schemas.openxmlformats.org/package/2006/relationships"><Relationship Id="rId1" Type="http://schemas.openxmlformats.org/officeDocument/2006/relationships/image" Target="media/image66.png"/></Relationships>
</file>

<file path=word/_rels/footer480.xml.rels><?xml version="1.0" encoding="UTF-8" standalone="yes"?>
<Relationships xmlns="http://schemas.openxmlformats.org/package/2006/relationships"><Relationship Id="rId1" Type="http://schemas.openxmlformats.org/officeDocument/2006/relationships/image" Target="media/image1192.jpeg"/></Relationships>
</file>

<file path=word/_rels/footer481.xml.rels><?xml version="1.0" encoding="UTF-8" standalone="yes"?>
<Relationships xmlns="http://schemas.openxmlformats.org/package/2006/relationships"><Relationship Id="rId1" Type="http://schemas.openxmlformats.org/officeDocument/2006/relationships/image" Target="media/image1198.jpeg"/></Relationships>
</file>

<file path=word/_rels/footer482.xml.rels><?xml version="1.0" encoding="UTF-8" standalone="yes"?>
<Relationships xmlns="http://schemas.openxmlformats.org/package/2006/relationships"><Relationship Id="rId1" Type="http://schemas.openxmlformats.org/officeDocument/2006/relationships/image" Target="media/image1202.jpeg"/></Relationships>
</file>

<file path=word/_rels/footer483.xml.rels><?xml version="1.0" encoding="UTF-8" standalone="yes"?>
<Relationships xmlns="http://schemas.openxmlformats.org/package/2006/relationships"><Relationship Id="rId1" Type="http://schemas.openxmlformats.org/officeDocument/2006/relationships/image" Target="media/image1205.jpeg"/></Relationships>
</file>

<file path=word/_rels/footer484.xml.rels><?xml version="1.0" encoding="UTF-8" standalone="yes"?>
<Relationships xmlns="http://schemas.openxmlformats.org/package/2006/relationships"><Relationship Id="rId1" Type="http://schemas.openxmlformats.org/officeDocument/2006/relationships/image" Target="media/image1210.jpeg"/></Relationships>
</file>

<file path=word/_rels/footer485.xml.rels><?xml version="1.0" encoding="UTF-8" standalone="yes"?>
<Relationships xmlns="http://schemas.openxmlformats.org/package/2006/relationships"><Relationship Id="rId1" Type="http://schemas.openxmlformats.org/officeDocument/2006/relationships/image" Target="media/image1212.jpeg"/></Relationships>
</file>

<file path=word/_rels/footer486.xml.rels><?xml version="1.0" encoding="UTF-8" standalone="yes"?>
<Relationships xmlns="http://schemas.openxmlformats.org/package/2006/relationships"><Relationship Id="rId1" Type="http://schemas.openxmlformats.org/officeDocument/2006/relationships/image" Target="media/image1214.jpeg"/></Relationships>
</file>

<file path=word/_rels/footer487.xml.rels><?xml version="1.0" encoding="UTF-8" standalone="yes"?>
<Relationships xmlns="http://schemas.openxmlformats.org/package/2006/relationships"><Relationship Id="rId1" Type="http://schemas.openxmlformats.org/officeDocument/2006/relationships/image" Target="media/image1217.jpeg"/></Relationships>
</file>

<file path=word/_rels/footer488.xml.rels><?xml version="1.0" encoding="UTF-8" standalone="yes"?>
<Relationships xmlns="http://schemas.openxmlformats.org/package/2006/relationships"><Relationship Id="rId1" Type="http://schemas.openxmlformats.org/officeDocument/2006/relationships/image" Target="media/image1219.jpeg"/></Relationships>
</file>

<file path=word/_rels/footer489.xml.rels><?xml version="1.0" encoding="UTF-8" standalone="yes"?>
<Relationships xmlns="http://schemas.openxmlformats.org/package/2006/relationships"><Relationship Id="rId1" Type="http://schemas.openxmlformats.org/officeDocument/2006/relationships/image" Target="media/image1221.jpeg"/></Relationships>
</file>

<file path=word/_rels/footer49.xml.rels><?xml version="1.0" encoding="UTF-8" standalone="yes"?>
<Relationships xmlns="http://schemas.openxmlformats.org/package/2006/relationships"><Relationship Id="rId1" Type="http://schemas.openxmlformats.org/officeDocument/2006/relationships/image" Target="media/image68.png"/></Relationships>
</file>

<file path=word/_rels/footer490.xml.rels><?xml version="1.0" encoding="UTF-8" standalone="yes"?>
<Relationships xmlns="http://schemas.openxmlformats.org/package/2006/relationships"><Relationship Id="rId1" Type="http://schemas.openxmlformats.org/officeDocument/2006/relationships/image" Target="media/image1223.jpeg"/></Relationships>
</file>

<file path=word/_rels/footer491.xml.rels><?xml version="1.0" encoding="UTF-8" standalone="yes"?>
<Relationships xmlns="http://schemas.openxmlformats.org/package/2006/relationships"><Relationship Id="rId1" Type="http://schemas.openxmlformats.org/officeDocument/2006/relationships/image" Target="media/image1228.jpeg"/></Relationships>
</file>

<file path=word/_rels/footer492.xml.rels><?xml version="1.0" encoding="UTF-8" standalone="yes"?>
<Relationships xmlns="http://schemas.openxmlformats.org/package/2006/relationships"><Relationship Id="rId1" Type="http://schemas.openxmlformats.org/officeDocument/2006/relationships/image" Target="media/image1231.jpeg"/></Relationships>
</file>

<file path=word/_rels/footer493.xml.rels><?xml version="1.0" encoding="UTF-8" standalone="yes"?>
<Relationships xmlns="http://schemas.openxmlformats.org/package/2006/relationships"><Relationship Id="rId1" Type="http://schemas.openxmlformats.org/officeDocument/2006/relationships/image" Target="media/image1233.jpeg"/></Relationships>
</file>

<file path=word/_rels/footer494.xml.rels><?xml version="1.0" encoding="UTF-8" standalone="yes"?>
<Relationships xmlns="http://schemas.openxmlformats.org/package/2006/relationships"><Relationship Id="rId1" Type="http://schemas.openxmlformats.org/officeDocument/2006/relationships/image" Target="media/image1235.jpeg"/></Relationships>
</file>

<file path=word/_rels/footer495.xml.rels><?xml version="1.0" encoding="UTF-8" standalone="yes"?>
<Relationships xmlns="http://schemas.openxmlformats.org/package/2006/relationships"><Relationship Id="rId1" Type="http://schemas.openxmlformats.org/officeDocument/2006/relationships/image" Target="media/image1237.jpeg"/></Relationships>
</file>

<file path=word/_rels/footer496.xml.rels><?xml version="1.0" encoding="UTF-8" standalone="yes"?>
<Relationships xmlns="http://schemas.openxmlformats.org/package/2006/relationships"><Relationship Id="rId1" Type="http://schemas.openxmlformats.org/officeDocument/2006/relationships/image" Target="media/image1240.jpeg"/></Relationships>
</file>

<file path=word/_rels/footer497.xml.rels><?xml version="1.0" encoding="UTF-8" standalone="yes"?>
<Relationships xmlns="http://schemas.openxmlformats.org/package/2006/relationships"><Relationship Id="rId1" Type="http://schemas.openxmlformats.org/officeDocument/2006/relationships/image" Target="media/image1242.jpeg"/></Relationships>
</file>

<file path=word/_rels/footer498.xml.rels><?xml version="1.0" encoding="UTF-8" standalone="yes"?>
<Relationships xmlns="http://schemas.openxmlformats.org/package/2006/relationships"><Relationship Id="rId1" Type="http://schemas.openxmlformats.org/officeDocument/2006/relationships/image" Target="media/image1244.jpeg"/></Relationships>
</file>

<file path=word/_rels/footer499.xml.rels><?xml version="1.0" encoding="UTF-8" standalone="yes"?>
<Relationships xmlns="http://schemas.openxmlformats.org/package/2006/relationships"><Relationship Id="rId1" Type="http://schemas.openxmlformats.org/officeDocument/2006/relationships/image" Target="media/image1246.png"/></Relationships>
</file>

<file path=word/_rels/footer5.xml.rels><?xml version="1.0" encoding="UTF-8" standalone="yes"?>
<Relationships xmlns="http://schemas.openxmlformats.org/package/2006/relationships"><Relationship Id="rId1" Type="http://schemas.openxmlformats.org/officeDocument/2006/relationships/image" Target="media/image9.png"/></Relationships>
</file>

<file path=word/_rels/footer50.xml.rels><?xml version="1.0" encoding="UTF-8" standalone="yes"?>
<Relationships xmlns="http://schemas.openxmlformats.org/package/2006/relationships"><Relationship Id="rId1" Type="http://schemas.openxmlformats.org/officeDocument/2006/relationships/image" Target="media/image70.png"/></Relationships>
</file>

<file path=word/_rels/footer500.xml.rels><?xml version="1.0" encoding="UTF-8" standalone="yes"?>
<Relationships xmlns="http://schemas.openxmlformats.org/package/2006/relationships"><Relationship Id="rId1" Type="http://schemas.openxmlformats.org/officeDocument/2006/relationships/image" Target="media/image1250.jpeg"/></Relationships>
</file>

<file path=word/_rels/footer501.xml.rels><?xml version="1.0" encoding="UTF-8" standalone="yes"?>
<Relationships xmlns="http://schemas.openxmlformats.org/package/2006/relationships"><Relationship Id="rId1" Type="http://schemas.openxmlformats.org/officeDocument/2006/relationships/image" Target="media/image1252.png"/></Relationships>
</file>

<file path=word/_rels/footer51.xml.rels><?xml version="1.0" encoding="UTF-8" standalone="yes"?>
<Relationships xmlns="http://schemas.openxmlformats.org/package/2006/relationships"><Relationship Id="rId1" Type="http://schemas.openxmlformats.org/officeDocument/2006/relationships/image" Target="media/image72.png"/></Relationships>
</file>

<file path=word/_rels/footer52.xml.rels><?xml version="1.0" encoding="UTF-8" standalone="yes"?>
<Relationships xmlns="http://schemas.openxmlformats.org/package/2006/relationships"><Relationship Id="rId1" Type="http://schemas.openxmlformats.org/officeDocument/2006/relationships/image" Target="media/image74.png"/></Relationships>
</file>

<file path=word/_rels/footer53.xml.rels><?xml version="1.0" encoding="UTF-8" standalone="yes"?>
<Relationships xmlns="http://schemas.openxmlformats.org/package/2006/relationships"><Relationship Id="rId1" Type="http://schemas.openxmlformats.org/officeDocument/2006/relationships/image" Target="media/image76.png"/></Relationships>
</file>

<file path=word/_rels/footer54.xml.rels><?xml version="1.0" encoding="UTF-8" standalone="yes"?>
<Relationships xmlns="http://schemas.openxmlformats.org/package/2006/relationships"><Relationship Id="rId1" Type="http://schemas.openxmlformats.org/officeDocument/2006/relationships/image" Target="media/image78.png"/></Relationships>
</file>

<file path=word/_rels/footer55.xml.rels><?xml version="1.0" encoding="UTF-8" standalone="yes"?>
<Relationships xmlns="http://schemas.openxmlformats.org/package/2006/relationships"><Relationship Id="rId1" Type="http://schemas.openxmlformats.org/officeDocument/2006/relationships/image" Target="media/image80.png"/></Relationships>
</file>

<file path=word/_rels/footer56.xml.rels><?xml version="1.0" encoding="UTF-8" standalone="yes"?>
<Relationships xmlns="http://schemas.openxmlformats.org/package/2006/relationships"><Relationship Id="rId1" Type="http://schemas.openxmlformats.org/officeDocument/2006/relationships/image" Target="media/image82.png"/></Relationships>
</file>

<file path=word/_rels/footer57.xml.rels><?xml version="1.0" encoding="UTF-8" standalone="yes"?>
<Relationships xmlns="http://schemas.openxmlformats.org/package/2006/relationships"><Relationship Id="rId1" Type="http://schemas.openxmlformats.org/officeDocument/2006/relationships/image" Target="media/image84.png"/></Relationships>
</file>

<file path=word/_rels/footer58.xml.rels><?xml version="1.0" encoding="UTF-8" standalone="yes"?>
<Relationships xmlns="http://schemas.openxmlformats.org/package/2006/relationships"><Relationship Id="rId1" Type="http://schemas.openxmlformats.org/officeDocument/2006/relationships/image" Target="media/image87.png"/></Relationships>
</file>

<file path=word/_rels/footer59.xml.rels><?xml version="1.0" encoding="UTF-8" standalone="yes"?>
<Relationships xmlns="http://schemas.openxmlformats.org/package/2006/relationships"><Relationship Id="rId1" Type="http://schemas.openxmlformats.org/officeDocument/2006/relationships/image" Target="media/image90.png"/></Relationships>
</file>

<file path=word/_rels/footer6.xml.rels><?xml version="1.0" encoding="UTF-8" standalone="yes"?>
<Relationships xmlns="http://schemas.openxmlformats.org/package/2006/relationships"><Relationship Id="rId1" Type="http://schemas.openxmlformats.org/officeDocument/2006/relationships/image" Target="media/image11.png"/></Relationships>
</file>

<file path=word/_rels/footer60.xml.rels><?xml version="1.0" encoding="UTF-8" standalone="yes"?>
<Relationships xmlns="http://schemas.openxmlformats.org/package/2006/relationships"><Relationship Id="rId1" Type="http://schemas.openxmlformats.org/officeDocument/2006/relationships/image" Target="media/image92.png"/></Relationships>
</file>

<file path=word/_rels/footer61.xml.rels><?xml version="1.0" encoding="UTF-8" standalone="yes"?>
<Relationships xmlns="http://schemas.openxmlformats.org/package/2006/relationships"><Relationship Id="rId1" Type="http://schemas.openxmlformats.org/officeDocument/2006/relationships/image" Target="media/image95.png"/></Relationships>
</file>

<file path=word/_rels/footer62.xml.rels><?xml version="1.0" encoding="UTF-8" standalone="yes"?>
<Relationships xmlns="http://schemas.openxmlformats.org/package/2006/relationships"><Relationship Id="rId1" Type="http://schemas.openxmlformats.org/officeDocument/2006/relationships/image" Target="media/image98.png"/></Relationships>
</file>

<file path=word/_rels/footer63.xml.rels><?xml version="1.0" encoding="UTF-8" standalone="yes"?>
<Relationships xmlns="http://schemas.openxmlformats.org/package/2006/relationships"><Relationship Id="rId1" Type="http://schemas.openxmlformats.org/officeDocument/2006/relationships/image" Target="media/image100.png"/></Relationships>
</file>

<file path=word/_rels/footer64.xml.rels><?xml version="1.0" encoding="UTF-8" standalone="yes"?>
<Relationships xmlns="http://schemas.openxmlformats.org/package/2006/relationships"><Relationship Id="rId1" Type="http://schemas.openxmlformats.org/officeDocument/2006/relationships/image" Target="media/image103.png"/></Relationships>
</file>

<file path=word/_rels/footer65.xml.rels><?xml version="1.0" encoding="UTF-8" standalone="yes"?>
<Relationships xmlns="http://schemas.openxmlformats.org/package/2006/relationships"><Relationship Id="rId1" Type="http://schemas.openxmlformats.org/officeDocument/2006/relationships/image" Target="media/image105.png"/></Relationships>
</file>

<file path=word/_rels/footer66.xml.rels><?xml version="1.0" encoding="UTF-8" standalone="yes"?>
<Relationships xmlns="http://schemas.openxmlformats.org/package/2006/relationships"><Relationship Id="rId1" Type="http://schemas.openxmlformats.org/officeDocument/2006/relationships/image" Target="media/image107.png"/></Relationships>
</file>

<file path=word/_rels/footer67.xml.rels><?xml version="1.0" encoding="UTF-8" standalone="yes"?>
<Relationships xmlns="http://schemas.openxmlformats.org/package/2006/relationships"><Relationship Id="rId1" Type="http://schemas.openxmlformats.org/officeDocument/2006/relationships/image" Target="media/image109.png"/></Relationships>
</file>

<file path=word/_rels/footer68.xml.rels><?xml version="1.0" encoding="UTF-8" standalone="yes"?>
<Relationships xmlns="http://schemas.openxmlformats.org/package/2006/relationships"><Relationship Id="rId1" Type="http://schemas.openxmlformats.org/officeDocument/2006/relationships/image" Target="media/image111.png"/></Relationships>
</file>

<file path=word/_rels/footer69.xml.rels><?xml version="1.0" encoding="UTF-8" standalone="yes"?>
<Relationships xmlns="http://schemas.openxmlformats.org/package/2006/relationships"><Relationship Id="rId1" Type="http://schemas.openxmlformats.org/officeDocument/2006/relationships/image" Target="media/image113.png"/></Relationships>
</file>

<file path=word/_rels/footer7.xml.rels><?xml version="1.0" encoding="UTF-8" standalone="yes"?>
<Relationships xmlns="http://schemas.openxmlformats.org/package/2006/relationships"><Relationship Id="rId1" Type="http://schemas.openxmlformats.org/officeDocument/2006/relationships/image" Target="media/image13.png"/></Relationships>
</file>

<file path=word/_rels/footer70.xml.rels><?xml version="1.0" encoding="UTF-8" standalone="yes"?>
<Relationships xmlns="http://schemas.openxmlformats.org/package/2006/relationships"><Relationship Id="rId1" Type="http://schemas.openxmlformats.org/officeDocument/2006/relationships/image" Target="media/image115.png"/></Relationships>
</file>

<file path=word/_rels/footer71.xml.rels><?xml version="1.0" encoding="UTF-8" standalone="yes"?>
<Relationships xmlns="http://schemas.openxmlformats.org/package/2006/relationships"><Relationship Id="rId1" Type="http://schemas.openxmlformats.org/officeDocument/2006/relationships/image" Target="media/image117.png"/></Relationships>
</file>

<file path=word/_rels/footer72.xml.rels><?xml version="1.0" encoding="UTF-8" standalone="yes"?>
<Relationships xmlns="http://schemas.openxmlformats.org/package/2006/relationships"><Relationship Id="rId1" Type="http://schemas.openxmlformats.org/officeDocument/2006/relationships/image" Target="media/image119.png"/></Relationships>
</file>

<file path=word/_rels/footer73.xml.rels><?xml version="1.0" encoding="UTF-8" standalone="yes"?>
<Relationships xmlns="http://schemas.openxmlformats.org/package/2006/relationships"><Relationship Id="rId1" Type="http://schemas.openxmlformats.org/officeDocument/2006/relationships/image" Target="media/image121.png"/></Relationships>
</file>

<file path=word/_rels/footer74.xml.rels><?xml version="1.0" encoding="UTF-8" standalone="yes"?>
<Relationships xmlns="http://schemas.openxmlformats.org/package/2006/relationships"><Relationship Id="rId1" Type="http://schemas.openxmlformats.org/officeDocument/2006/relationships/image" Target="media/image123.png"/></Relationships>
</file>

<file path=word/_rels/footer75.xml.rels><?xml version="1.0" encoding="UTF-8" standalone="yes"?>
<Relationships xmlns="http://schemas.openxmlformats.org/package/2006/relationships"><Relationship Id="rId1" Type="http://schemas.openxmlformats.org/officeDocument/2006/relationships/image" Target="media/image125.png"/></Relationships>
</file>

<file path=word/_rels/footer76.xml.rels><?xml version="1.0" encoding="UTF-8" standalone="yes"?>
<Relationships xmlns="http://schemas.openxmlformats.org/package/2006/relationships"><Relationship Id="rId1" Type="http://schemas.openxmlformats.org/officeDocument/2006/relationships/image" Target="media/image127.png"/></Relationships>
</file>

<file path=word/_rels/footer77.xml.rels><?xml version="1.0" encoding="UTF-8" standalone="yes"?>
<Relationships xmlns="http://schemas.openxmlformats.org/package/2006/relationships"><Relationship Id="rId1" Type="http://schemas.openxmlformats.org/officeDocument/2006/relationships/image" Target="media/image129.png"/></Relationships>
</file>

<file path=word/_rels/footer78.xml.rels><?xml version="1.0" encoding="UTF-8" standalone="yes"?>
<Relationships xmlns="http://schemas.openxmlformats.org/package/2006/relationships"><Relationship Id="rId1" Type="http://schemas.openxmlformats.org/officeDocument/2006/relationships/image" Target="media/image131.png"/></Relationships>
</file>

<file path=word/_rels/footer79.xml.rels><?xml version="1.0" encoding="UTF-8" standalone="yes"?>
<Relationships xmlns="http://schemas.openxmlformats.org/package/2006/relationships"><Relationship Id="rId1" Type="http://schemas.openxmlformats.org/officeDocument/2006/relationships/image" Target="media/image133.png"/></Relationships>
</file>

<file path=word/_rels/footer8.xml.rels><?xml version="1.0" encoding="UTF-8" standalone="yes"?>
<Relationships xmlns="http://schemas.openxmlformats.org/package/2006/relationships"><Relationship Id="rId1" Type="http://schemas.openxmlformats.org/officeDocument/2006/relationships/image" Target="media/image15.png"/></Relationships>
</file>

<file path=word/_rels/footer80.xml.rels><?xml version="1.0" encoding="UTF-8" standalone="yes"?>
<Relationships xmlns="http://schemas.openxmlformats.org/package/2006/relationships"><Relationship Id="rId1" Type="http://schemas.openxmlformats.org/officeDocument/2006/relationships/image" Target="media/image135.png"/></Relationships>
</file>

<file path=word/_rels/footer81.xml.rels><?xml version="1.0" encoding="UTF-8" standalone="yes"?>
<Relationships xmlns="http://schemas.openxmlformats.org/package/2006/relationships"><Relationship Id="rId1" Type="http://schemas.openxmlformats.org/officeDocument/2006/relationships/image" Target="media/image137.png"/></Relationships>
</file>

<file path=word/_rels/footer82.xml.rels><?xml version="1.0" encoding="UTF-8" standalone="yes"?>
<Relationships xmlns="http://schemas.openxmlformats.org/package/2006/relationships"><Relationship Id="rId1" Type="http://schemas.openxmlformats.org/officeDocument/2006/relationships/image" Target="media/image139.png"/></Relationships>
</file>

<file path=word/_rels/footer83.xml.rels><?xml version="1.0" encoding="UTF-8" standalone="yes"?>
<Relationships xmlns="http://schemas.openxmlformats.org/package/2006/relationships"><Relationship Id="rId1" Type="http://schemas.openxmlformats.org/officeDocument/2006/relationships/image" Target="media/image141.png"/></Relationships>
</file>

<file path=word/_rels/footer84.xml.rels><?xml version="1.0" encoding="UTF-8" standalone="yes"?>
<Relationships xmlns="http://schemas.openxmlformats.org/package/2006/relationships"><Relationship Id="rId1" Type="http://schemas.openxmlformats.org/officeDocument/2006/relationships/image" Target="media/image143.png"/></Relationships>
</file>

<file path=word/_rels/footer85.xml.rels><?xml version="1.0" encoding="UTF-8" standalone="yes"?>
<Relationships xmlns="http://schemas.openxmlformats.org/package/2006/relationships"><Relationship Id="rId1" Type="http://schemas.openxmlformats.org/officeDocument/2006/relationships/image" Target="media/image146.png"/></Relationships>
</file>

<file path=word/_rels/footer86.xml.rels><?xml version="1.0" encoding="UTF-8" standalone="yes"?>
<Relationships xmlns="http://schemas.openxmlformats.org/package/2006/relationships"><Relationship Id="rId1" Type="http://schemas.openxmlformats.org/officeDocument/2006/relationships/image" Target="media/image149.jpeg"/></Relationships>
</file>

<file path=word/_rels/footer87.xml.rels><?xml version="1.0" encoding="UTF-8" standalone="yes"?>
<Relationships xmlns="http://schemas.openxmlformats.org/package/2006/relationships"><Relationship Id="rId1" Type="http://schemas.openxmlformats.org/officeDocument/2006/relationships/image" Target="media/image152.png"/></Relationships>
</file>

<file path=word/_rels/footer88.xml.rels><?xml version="1.0" encoding="UTF-8" standalone="yes"?>
<Relationships xmlns="http://schemas.openxmlformats.org/package/2006/relationships"><Relationship Id="rId1" Type="http://schemas.openxmlformats.org/officeDocument/2006/relationships/image" Target="media/image155.png"/></Relationships>
</file>

<file path=word/_rels/footer89.xml.rels><?xml version="1.0" encoding="UTF-8" standalone="yes"?>
<Relationships xmlns="http://schemas.openxmlformats.org/package/2006/relationships"><Relationship Id="rId1" Type="http://schemas.openxmlformats.org/officeDocument/2006/relationships/image" Target="media/image158.png"/></Relationships>
</file>

<file path=word/_rels/footer9.xml.rels><?xml version="1.0" encoding="UTF-8" standalone="yes"?>
<Relationships xmlns="http://schemas.openxmlformats.org/package/2006/relationships"><Relationship Id="rId1" Type="http://schemas.openxmlformats.org/officeDocument/2006/relationships/image" Target="media/image17.png"/></Relationships>
</file>

<file path=word/_rels/footer90.xml.rels><?xml version="1.0" encoding="UTF-8" standalone="yes"?>
<Relationships xmlns="http://schemas.openxmlformats.org/package/2006/relationships"><Relationship Id="rId1" Type="http://schemas.openxmlformats.org/officeDocument/2006/relationships/image" Target="media/image161.png"/></Relationships>
</file>

<file path=word/_rels/footer91.xml.rels><?xml version="1.0" encoding="UTF-8" standalone="yes"?>
<Relationships xmlns="http://schemas.openxmlformats.org/package/2006/relationships"><Relationship Id="rId1" Type="http://schemas.openxmlformats.org/officeDocument/2006/relationships/image" Target="media/image163.png"/></Relationships>
</file>

<file path=word/_rels/footer92.xml.rels><?xml version="1.0" encoding="UTF-8" standalone="yes"?>
<Relationships xmlns="http://schemas.openxmlformats.org/package/2006/relationships"><Relationship Id="rId1" Type="http://schemas.openxmlformats.org/officeDocument/2006/relationships/image" Target="media/image166.png"/></Relationships>
</file>

<file path=word/_rels/footer93.xml.rels><?xml version="1.0" encoding="UTF-8" standalone="yes"?>
<Relationships xmlns="http://schemas.openxmlformats.org/package/2006/relationships"><Relationship Id="rId1" Type="http://schemas.openxmlformats.org/officeDocument/2006/relationships/image" Target="media/image168.png"/></Relationships>
</file>

<file path=word/_rels/footer94.xml.rels><?xml version="1.0" encoding="UTF-8" standalone="yes"?>
<Relationships xmlns="http://schemas.openxmlformats.org/package/2006/relationships"><Relationship Id="rId1" Type="http://schemas.openxmlformats.org/officeDocument/2006/relationships/image" Target="media/image171.png"/></Relationships>
</file>

<file path=word/_rels/footer95.xml.rels><?xml version="1.0" encoding="UTF-8" standalone="yes"?>
<Relationships xmlns="http://schemas.openxmlformats.org/package/2006/relationships"><Relationship Id="rId1" Type="http://schemas.openxmlformats.org/officeDocument/2006/relationships/image" Target="media/image173.png"/></Relationships>
</file>

<file path=word/_rels/footer96.xml.rels><?xml version="1.0" encoding="UTF-8" standalone="yes"?>
<Relationships xmlns="http://schemas.openxmlformats.org/package/2006/relationships"><Relationship Id="rId1" Type="http://schemas.openxmlformats.org/officeDocument/2006/relationships/image" Target="media/image175.png"/></Relationships>
</file>

<file path=word/_rels/footer97.xml.rels><?xml version="1.0" encoding="UTF-8" standalone="yes"?>
<Relationships xmlns="http://schemas.openxmlformats.org/package/2006/relationships"><Relationship Id="rId1" Type="http://schemas.openxmlformats.org/officeDocument/2006/relationships/image" Target="media/image177.png"/></Relationships>
</file>

<file path=word/_rels/footer98.xml.rels><?xml version="1.0" encoding="UTF-8" standalone="yes"?>
<Relationships xmlns="http://schemas.openxmlformats.org/package/2006/relationships"><Relationship Id="rId1" Type="http://schemas.openxmlformats.org/officeDocument/2006/relationships/image" Target="media/image179.png"/></Relationships>
</file>

<file path=word/_rels/footer99.xml.rels><?xml version="1.0" encoding="UTF-8" standalone="yes"?>
<Relationships xmlns="http://schemas.openxmlformats.org/package/2006/relationships"><Relationship Id="rId1" Type="http://schemas.openxmlformats.org/officeDocument/2006/relationships/image" Target="media/image181.png"/></Relationships>
</file>

<file path=word/_rels/header10.xml.rels><?xml version="1.0" encoding="UTF-8" standalone="yes"?>
<Relationships xmlns="http://schemas.openxmlformats.org/package/2006/relationships"><Relationship Id="rId1" Type="http://schemas.openxmlformats.org/officeDocument/2006/relationships/image" Target="media/image22.png"/></Relationships>
</file>

<file path=word/_rels/header100.xml.rels><?xml version="1.0" encoding="UTF-8" standalone="yes"?>
<Relationships xmlns="http://schemas.openxmlformats.org/package/2006/relationships"><Relationship Id="rId1" Type="http://schemas.openxmlformats.org/officeDocument/2006/relationships/image" Target="media/image500.png"/></Relationships>
</file>

<file path=word/_rels/header101.xml.rels><?xml version="1.0" encoding="UTF-8" standalone="yes"?>
<Relationships xmlns="http://schemas.openxmlformats.org/package/2006/relationships"><Relationship Id="rId1" Type="http://schemas.openxmlformats.org/officeDocument/2006/relationships/image" Target="media/image503.png"/></Relationships>
</file>

<file path=word/_rels/header102.xml.rels><?xml version="1.0" encoding="UTF-8" standalone="yes"?>
<Relationships xmlns="http://schemas.openxmlformats.org/package/2006/relationships"><Relationship Id="rId1" Type="http://schemas.openxmlformats.org/officeDocument/2006/relationships/image" Target="media/image508.png"/></Relationships>
</file>

<file path=word/_rels/header103.xml.rels><?xml version="1.0" encoding="UTF-8" standalone="yes"?>
<Relationships xmlns="http://schemas.openxmlformats.org/package/2006/relationships"><Relationship Id="rId1" Type="http://schemas.openxmlformats.org/officeDocument/2006/relationships/image" Target="media/image511.png"/></Relationships>
</file>

<file path=word/_rels/header104.xml.rels><?xml version="1.0" encoding="UTF-8" standalone="yes"?>
<Relationships xmlns="http://schemas.openxmlformats.org/package/2006/relationships"><Relationship Id="rId1" Type="http://schemas.openxmlformats.org/officeDocument/2006/relationships/image" Target="media/image514.png"/></Relationships>
</file>

<file path=word/_rels/header105.xml.rels><?xml version="1.0" encoding="UTF-8" standalone="yes"?>
<Relationships xmlns="http://schemas.openxmlformats.org/package/2006/relationships"><Relationship Id="rId1" Type="http://schemas.openxmlformats.org/officeDocument/2006/relationships/image" Target="media/image519.png"/></Relationships>
</file>

<file path=word/_rels/header106.xml.rels><?xml version="1.0" encoding="UTF-8" standalone="yes"?>
<Relationships xmlns="http://schemas.openxmlformats.org/package/2006/relationships"><Relationship Id="rId1" Type="http://schemas.openxmlformats.org/officeDocument/2006/relationships/image" Target="media/image522.png"/></Relationships>
</file>

<file path=word/_rels/header107.xml.rels><?xml version="1.0" encoding="UTF-8" standalone="yes"?>
<Relationships xmlns="http://schemas.openxmlformats.org/package/2006/relationships"><Relationship Id="rId1" Type="http://schemas.openxmlformats.org/officeDocument/2006/relationships/image" Target="media/image525.png"/></Relationships>
</file>

<file path=word/_rels/header108.xml.rels><?xml version="1.0" encoding="UTF-8" standalone="yes"?>
<Relationships xmlns="http://schemas.openxmlformats.org/package/2006/relationships"><Relationship Id="rId1" Type="http://schemas.openxmlformats.org/officeDocument/2006/relationships/image" Target="media/image528.png"/></Relationships>
</file>

<file path=word/_rels/header109.xml.rels><?xml version="1.0" encoding="UTF-8" standalone="yes"?>
<Relationships xmlns="http://schemas.openxmlformats.org/package/2006/relationships"><Relationship Id="rId1" Type="http://schemas.openxmlformats.org/officeDocument/2006/relationships/image" Target="media/image531.png"/></Relationships>
</file>

<file path=word/_rels/header11.xml.rels><?xml version="1.0" encoding="UTF-8" standalone="yes"?>
<Relationships xmlns="http://schemas.openxmlformats.org/package/2006/relationships"><Relationship Id="rId1" Type="http://schemas.openxmlformats.org/officeDocument/2006/relationships/image" Target="media/image24.png"/></Relationships>
</file>

<file path=word/_rels/header110.xml.rels><?xml version="1.0" encoding="UTF-8" standalone="yes"?>
<Relationships xmlns="http://schemas.openxmlformats.org/package/2006/relationships"><Relationship Id="rId1" Type="http://schemas.openxmlformats.org/officeDocument/2006/relationships/image" Target="media/image534.png"/></Relationships>
</file>

<file path=word/_rels/header111.xml.rels><?xml version="1.0" encoding="UTF-8" standalone="yes"?>
<Relationships xmlns="http://schemas.openxmlformats.org/package/2006/relationships"><Relationship Id="rId1" Type="http://schemas.openxmlformats.org/officeDocument/2006/relationships/image" Target="media/image537.png"/></Relationships>
</file>

<file path=word/_rels/header112.xml.rels><?xml version="1.0" encoding="UTF-8" standalone="yes"?>
<Relationships xmlns="http://schemas.openxmlformats.org/package/2006/relationships"><Relationship Id="rId1" Type="http://schemas.openxmlformats.org/officeDocument/2006/relationships/image" Target="media/image542.png"/></Relationships>
</file>

<file path=word/_rels/header113.xml.rels><?xml version="1.0" encoding="UTF-8" standalone="yes"?>
<Relationships xmlns="http://schemas.openxmlformats.org/package/2006/relationships"><Relationship Id="rId1" Type="http://schemas.openxmlformats.org/officeDocument/2006/relationships/image" Target="media/image547.png"/></Relationships>
</file>

<file path=word/_rels/header114.xml.rels><?xml version="1.0" encoding="UTF-8" standalone="yes"?>
<Relationships xmlns="http://schemas.openxmlformats.org/package/2006/relationships"><Relationship Id="rId1" Type="http://schemas.openxmlformats.org/officeDocument/2006/relationships/image" Target="media/image550.png"/></Relationships>
</file>

<file path=word/_rels/header115.xml.rels><?xml version="1.0" encoding="UTF-8" standalone="yes"?>
<Relationships xmlns="http://schemas.openxmlformats.org/package/2006/relationships"><Relationship Id="rId1" Type="http://schemas.openxmlformats.org/officeDocument/2006/relationships/image" Target="media/image553.png"/></Relationships>
</file>

<file path=word/_rels/header116.xml.rels><?xml version="1.0" encoding="UTF-8" standalone="yes"?>
<Relationships xmlns="http://schemas.openxmlformats.org/package/2006/relationships"><Relationship Id="rId1" Type="http://schemas.openxmlformats.org/officeDocument/2006/relationships/image" Target="media/image556.png"/></Relationships>
</file>

<file path=word/_rels/header117.xml.rels><?xml version="1.0" encoding="UTF-8" standalone="yes"?>
<Relationships xmlns="http://schemas.openxmlformats.org/package/2006/relationships"><Relationship Id="rId1" Type="http://schemas.openxmlformats.org/officeDocument/2006/relationships/image" Target="media/image559.png"/></Relationships>
</file>

<file path=word/_rels/header118.xml.rels><?xml version="1.0" encoding="UTF-8" standalone="yes"?>
<Relationships xmlns="http://schemas.openxmlformats.org/package/2006/relationships"><Relationship Id="rId1" Type="http://schemas.openxmlformats.org/officeDocument/2006/relationships/image" Target="media/image562.png"/></Relationships>
</file>

<file path=word/_rels/header119.xml.rels><?xml version="1.0" encoding="UTF-8" standalone="yes"?>
<Relationships xmlns="http://schemas.openxmlformats.org/package/2006/relationships"><Relationship Id="rId1" Type="http://schemas.openxmlformats.org/officeDocument/2006/relationships/image" Target="media/image567.png"/></Relationships>
</file>

<file path=word/_rels/header12.xml.rels><?xml version="1.0" encoding="UTF-8" standalone="yes"?>
<Relationships xmlns="http://schemas.openxmlformats.org/package/2006/relationships"><Relationship Id="rId1" Type="http://schemas.openxmlformats.org/officeDocument/2006/relationships/image" Target="media/image56.jpeg"/></Relationships>
</file>

<file path=word/_rels/header120.xml.rels><?xml version="1.0" encoding="UTF-8" standalone="yes"?>
<Relationships xmlns="http://schemas.openxmlformats.org/package/2006/relationships"><Relationship Id="rId1" Type="http://schemas.openxmlformats.org/officeDocument/2006/relationships/image" Target="media/image570.png"/></Relationships>
</file>

<file path=word/_rels/header121.xml.rels><?xml version="1.0" encoding="UTF-8" standalone="yes"?>
<Relationships xmlns="http://schemas.openxmlformats.org/package/2006/relationships"><Relationship Id="rId1" Type="http://schemas.openxmlformats.org/officeDocument/2006/relationships/image" Target="media/image573.png"/></Relationships>
</file>

<file path=word/_rels/header122.xml.rels><?xml version="1.0" encoding="UTF-8" standalone="yes"?>
<Relationships xmlns="http://schemas.openxmlformats.org/package/2006/relationships"><Relationship Id="rId1" Type="http://schemas.openxmlformats.org/officeDocument/2006/relationships/image" Target="media/image576.png"/></Relationships>
</file>

<file path=word/_rels/header123.xml.rels><?xml version="1.0" encoding="UTF-8" standalone="yes"?>
<Relationships xmlns="http://schemas.openxmlformats.org/package/2006/relationships"><Relationship Id="rId1" Type="http://schemas.openxmlformats.org/officeDocument/2006/relationships/image" Target="media/image581.png"/></Relationships>
</file>

<file path=word/_rels/header124.xml.rels><?xml version="1.0" encoding="UTF-8" standalone="yes"?>
<Relationships xmlns="http://schemas.openxmlformats.org/package/2006/relationships"><Relationship Id="rId1" Type="http://schemas.openxmlformats.org/officeDocument/2006/relationships/image" Target="media/image584.png"/></Relationships>
</file>

<file path=word/_rels/header125.xml.rels><?xml version="1.0" encoding="UTF-8" standalone="yes"?>
<Relationships xmlns="http://schemas.openxmlformats.org/package/2006/relationships"><Relationship Id="rId1" Type="http://schemas.openxmlformats.org/officeDocument/2006/relationships/image" Target="media/image595.png"/></Relationships>
</file>

<file path=word/_rels/header126.xml.rels><?xml version="1.0" encoding="UTF-8" standalone="yes"?>
<Relationships xmlns="http://schemas.openxmlformats.org/package/2006/relationships"><Relationship Id="rId1" Type="http://schemas.openxmlformats.org/officeDocument/2006/relationships/image" Target="media/image598.png"/></Relationships>
</file>

<file path=word/_rels/header127.xml.rels><?xml version="1.0" encoding="UTF-8" standalone="yes"?>
<Relationships xmlns="http://schemas.openxmlformats.org/package/2006/relationships"><Relationship Id="rId1" Type="http://schemas.openxmlformats.org/officeDocument/2006/relationships/image" Target="media/image601.png"/></Relationships>
</file>

<file path=word/_rels/header128.xml.rels><?xml version="1.0" encoding="UTF-8" standalone="yes"?>
<Relationships xmlns="http://schemas.openxmlformats.org/package/2006/relationships"><Relationship Id="rId1" Type="http://schemas.openxmlformats.org/officeDocument/2006/relationships/image" Target="media/image604.png"/></Relationships>
</file>

<file path=word/_rels/header129.xml.rels><?xml version="1.0" encoding="UTF-8" standalone="yes"?>
<Relationships xmlns="http://schemas.openxmlformats.org/package/2006/relationships"><Relationship Id="rId1" Type="http://schemas.openxmlformats.org/officeDocument/2006/relationships/image" Target="media/image607.png"/></Relationships>
</file>

<file path=word/_rels/header13.xml.rels><?xml version="1.0" encoding="UTF-8" standalone="yes"?>
<Relationships xmlns="http://schemas.openxmlformats.org/package/2006/relationships"><Relationship Id="rId1" Type="http://schemas.openxmlformats.org/officeDocument/2006/relationships/image" Target="media/image59.jpeg"/></Relationships>
</file>

<file path=word/_rels/header130.xml.rels><?xml version="1.0" encoding="UTF-8" standalone="yes"?>
<Relationships xmlns="http://schemas.openxmlformats.org/package/2006/relationships"><Relationship Id="rId1" Type="http://schemas.openxmlformats.org/officeDocument/2006/relationships/image" Target="media/image611.png"/></Relationships>
</file>

<file path=word/_rels/header131.xml.rels><?xml version="1.0" encoding="UTF-8" standalone="yes"?>
<Relationships xmlns="http://schemas.openxmlformats.org/package/2006/relationships"><Relationship Id="rId1" Type="http://schemas.openxmlformats.org/officeDocument/2006/relationships/image" Target="media/image629.png"/></Relationships>
</file>

<file path=word/_rels/header132.xml.rels><?xml version="1.0" encoding="UTF-8" standalone="yes"?>
<Relationships xmlns="http://schemas.openxmlformats.org/package/2006/relationships"><Relationship Id="rId1" Type="http://schemas.openxmlformats.org/officeDocument/2006/relationships/image" Target="media/image633.png"/></Relationships>
</file>

<file path=word/_rels/header133.xml.rels><?xml version="1.0" encoding="UTF-8" standalone="yes"?>
<Relationships xmlns="http://schemas.openxmlformats.org/package/2006/relationships"><Relationship Id="rId1" Type="http://schemas.openxmlformats.org/officeDocument/2006/relationships/image" Target="media/image636.png"/></Relationships>
</file>

<file path=word/_rels/header134.xml.rels><?xml version="1.0" encoding="UTF-8" standalone="yes"?>
<Relationships xmlns="http://schemas.openxmlformats.org/package/2006/relationships"><Relationship Id="rId1" Type="http://schemas.openxmlformats.org/officeDocument/2006/relationships/image" Target="media/image639.png"/></Relationships>
</file>

<file path=word/_rels/header135.xml.rels><?xml version="1.0" encoding="UTF-8" standalone="yes"?>
<Relationships xmlns="http://schemas.openxmlformats.org/package/2006/relationships"><Relationship Id="rId1" Type="http://schemas.openxmlformats.org/officeDocument/2006/relationships/image" Target="media/image642.png"/></Relationships>
</file>

<file path=word/_rels/header136.xml.rels><?xml version="1.0" encoding="UTF-8" standalone="yes"?>
<Relationships xmlns="http://schemas.openxmlformats.org/package/2006/relationships"><Relationship Id="rId1" Type="http://schemas.openxmlformats.org/officeDocument/2006/relationships/image" Target="media/image645.png"/></Relationships>
</file>

<file path=word/_rels/header137.xml.rels><?xml version="1.0" encoding="UTF-8" standalone="yes"?>
<Relationships xmlns="http://schemas.openxmlformats.org/package/2006/relationships"><Relationship Id="rId1" Type="http://schemas.openxmlformats.org/officeDocument/2006/relationships/image" Target="media/image652.png"/></Relationships>
</file>

<file path=word/_rels/header138.xml.rels><?xml version="1.0" encoding="UTF-8" standalone="yes"?>
<Relationships xmlns="http://schemas.openxmlformats.org/package/2006/relationships"><Relationship Id="rId1" Type="http://schemas.openxmlformats.org/officeDocument/2006/relationships/image" Target="media/image655.png"/></Relationships>
</file>

<file path=word/_rels/header139.xml.rels><?xml version="1.0" encoding="UTF-8" standalone="yes"?>
<Relationships xmlns="http://schemas.openxmlformats.org/package/2006/relationships"><Relationship Id="rId1" Type="http://schemas.openxmlformats.org/officeDocument/2006/relationships/image" Target="media/image660.png"/></Relationships>
</file>

<file path=word/_rels/header14.xml.rels><?xml version="1.0" encoding="UTF-8" standalone="yes"?>
<Relationships xmlns="http://schemas.openxmlformats.org/package/2006/relationships"><Relationship Id="rId1" Type="http://schemas.openxmlformats.org/officeDocument/2006/relationships/image" Target="media/image86.jpeg"/></Relationships>
</file>

<file path=word/_rels/header140.xml.rels><?xml version="1.0" encoding="UTF-8" standalone="yes"?>
<Relationships xmlns="http://schemas.openxmlformats.org/package/2006/relationships"><Relationship Id="rId1" Type="http://schemas.openxmlformats.org/officeDocument/2006/relationships/image" Target="media/image663.png"/></Relationships>
</file>

<file path=word/_rels/header141.xml.rels><?xml version="1.0" encoding="UTF-8" standalone="yes"?>
<Relationships xmlns="http://schemas.openxmlformats.org/package/2006/relationships"><Relationship Id="rId1" Type="http://schemas.openxmlformats.org/officeDocument/2006/relationships/image" Target="media/image666.png"/></Relationships>
</file>

<file path=word/_rels/header142.xml.rels><?xml version="1.0" encoding="UTF-8" standalone="yes"?>
<Relationships xmlns="http://schemas.openxmlformats.org/package/2006/relationships"><Relationship Id="rId1" Type="http://schemas.openxmlformats.org/officeDocument/2006/relationships/image" Target="media/image675.png"/></Relationships>
</file>

<file path=word/_rels/header143.xml.rels><?xml version="1.0" encoding="UTF-8" standalone="yes"?>
<Relationships xmlns="http://schemas.openxmlformats.org/package/2006/relationships"><Relationship Id="rId1" Type="http://schemas.openxmlformats.org/officeDocument/2006/relationships/image" Target="media/image684.png"/></Relationships>
</file>

<file path=word/_rels/header144.xml.rels><?xml version="1.0" encoding="UTF-8" standalone="yes"?>
<Relationships xmlns="http://schemas.openxmlformats.org/package/2006/relationships"><Relationship Id="rId1" Type="http://schemas.openxmlformats.org/officeDocument/2006/relationships/image" Target="media/image687.png"/></Relationships>
</file>

<file path=word/_rels/header145.xml.rels><?xml version="1.0" encoding="UTF-8" standalone="yes"?>
<Relationships xmlns="http://schemas.openxmlformats.org/package/2006/relationships"><Relationship Id="rId1" Type="http://schemas.openxmlformats.org/officeDocument/2006/relationships/image" Target="media/image690.png"/></Relationships>
</file>

<file path=word/_rels/header146.xml.rels><?xml version="1.0" encoding="UTF-8" standalone="yes"?>
<Relationships xmlns="http://schemas.openxmlformats.org/package/2006/relationships"><Relationship Id="rId1" Type="http://schemas.openxmlformats.org/officeDocument/2006/relationships/image" Target="media/image705.png"/></Relationships>
</file>

<file path=word/_rels/header147.xml.rels><?xml version="1.0" encoding="UTF-8" standalone="yes"?>
<Relationships xmlns="http://schemas.openxmlformats.org/package/2006/relationships"><Relationship Id="rId1" Type="http://schemas.openxmlformats.org/officeDocument/2006/relationships/image" Target="media/image715.png"/></Relationships>
</file>

<file path=word/_rels/header148.xml.rels><?xml version="1.0" encoding="UTF-8" standalone="yes"?>
<Relationships xmlns="http://schemas.openxmlformats.org/package/2006/relationships"><Relationship Id="rId1" Type="http://schemas.openxmlformats.org/officeDocument/2006/relationships/image" Target="media/image718.png"/></Relationships>
</file>

<file path=word/_rels/header149.xml.rels><?xml version="1.0" encoding="UTF-8" standalone="yes"?>
<Relationships xmlns="http://schemas.openxmlformats.org/package/2006/relationships"><Relationship Id="rId1" Type="http://schemas.openxmlformats.org/officeDocument/2006/relationships/image" Target="media/image721.png"/></Relationships>
</file>

<file path=word/_rels/header15.xml.rels><?xml version="1.0" encoding="UTF-8" standalone="yes"?>
<Relationships xmlns="http://schemas.openxmlformats.org/package/2006/relationships"><Relationship Id="rId1" Type="http://schemas.openxmlformats.org/officeDocument/2006/relationships/image" Target="media/image89.jpeg"/></Relationships>
</file>

<file path=word/_rels/header150.xml.rels><?xml version="1.0" encoding="UTF-8" standalone="yes"?>
<Relationships xmlns="http://schemas.openxmlformats.org/package/2006/relationships"><Relationship Id="rId1" Type="http://schemas.openxmlformats.org/officeDocument/2006/relationships/image" Target="media/image726.png"/></Relationships>
</file>

<file path=word/_rels/header151.xml.rels><?xml version="1.0" encoding="UTF-8" standalone="yes"?>
<Relationships xmlns="http://schemas.openxmlformats.org/package/2006/relationships"><Relationship Id="rId1" Type="http://schemas.openxmlformats.org/officeDocument/2006/relationships/image" Target="media/image735.png"/></Relationships>
</file>

<file path=word/_rels/header152.xml.rels><?xml version="1.0" encoding="UTF-8" standalone="yes"?>
<Relationships xmlns="http://schemas.openxmlformats.org/package/2006/relationships"><Relationship Id="rId1" Type="http://schemas.openxmlformats.org/officeDocument/2006/relationships/image" Target="media/image741.png"/></Relationships>
</file>

<file path=word/_rels/header153.xml.rels><?xml version="1.0" encoding="UTF-8" standalone="yes"?>
<Relationships xmlns="http://schemas.openxmlformats.org/package/2006/relationships"><Relationship Id="rId1" Type="http://schemas.openxmlformats.org/officeDocument/2006/relationships/image" Target="media/image748.png"/></Relationships>
</file>

<file path=word/_rels/header154.xml.rels><?xml version="1.0" encoding="UTF-8" standalone="yes"?>
<Relationships xmlns="http://schemas.openxmlformats.org/package/2006/relationships"><Relationship Id="rId1" Type="http://schemas.openxmlformats.org/officeDocument/2006/relationships/image" Target="media/image784.png"/></Relationships>
</file>

<file path=word/_rels/header155.xml.rels><?xml version="1.0" encoding="UTF-8" standalone="yes"?>
<Relationships xmlns="http://schemas.openxmlformats.org/package/2006/relationships"><Relationship Id="rId1" Type="http://schemas.openxmlformats.org/officeDocument/2006/relationships/image" Target="media/image787.png"/></Relationships>
</file>

<file path=word/_rels/header156.xml.rels><?xml version="1.0" encoding="UTF-8" standalone="yes"?>
<Relationships xmlns="http://schemas.openxmlformats.org/package/2006/relationships"><Relationship Id="rId1" Type="http://schemas.openxmlformats.org/officeDocument/2006/relationships/image" Target="media/image792.png"/></Relationships>
</file>

<file path=word/_rels/header157.xml.rels><?xml version="1.0" encoding="UTF-8" standalone="yes"?>
<Relationships xmlns="http://schemas.openxmlformats.org/package/2006/relationships"><Relationship Id="rId1" Type="http://schemas.openxmlformats.org/officeDocument/2006/relationships/image" Target="media/image797.png"/></Relationships>
</file>

<file path=word/_rels/header158.xml.rels><?xml version="1.0" encoding="UTF-8" standalone="yes"?>
<Relationships xmlns="http://schemas.openxmlformats.org/package/2006/relationships"><Relationship Id="rId1" Type="http://schemas.openxmlformats.org/officeDocument/2006/relationships/image" Target="media/image801.png"/></Relationships>
</file>

<file path=word/_rels/header159.xml.rels><?xml version="1.0" encoding="UTF-8" standalone="yes"?>
<Relationships xmlns="http://schemas.openxmlformats.org/package/2006/relationships"><Relationship Id="rId1" Type="http://schemas.openxmlformats.org/officeDocument/2006/relationships/image" Target="media/image805.png"/></Relationships>
</file>

<file path=word/_rels/header16.xml.rels><?xml version="1.0" encoding="UTF-8" standalone="yes"?>
<Relationships xmlns="http://schemas.openxmlformats.org/package/2006/relationships"><Relationship Id="rId1" Type="http://schemas.openxmlformats.org/officeDocument/2006/relationships/image" Target="media/image94.jpeg"/></Relationships>
</file>

<file path=word/_rels/header160.xml.rels><?xml version="1.0" encoding="UTF-8" standalone="yes"?>
<Relationships xmlns="http://schemas.openxmlformats.org/package/2006/relationships"><Relationship Id="rId1" Type="http://schemas.openxmlformats.org/officeDocument/2006/relationships/image" Target="media/image808.png"/></Relationships>
</file>

<file path=word/_rels/header161.xml.rels><?xml version="1.0" encoding="UTF-8" standalone="yes"?>
<Relationships xmlns="http://schemas.openxmlformats.org/package/2006/relationships"><Relationship Id="rId1" Type="http://schemas.openxmlformats.org/officeDocument/2006/relationships/image" Target="media/image811.png"/></Relationships>
</file>

<file path=word/_rels/header162.xml.rels><?xml version="1.0" encoding="UTF-8" standalone="yes"?>
<Relationships xmlns="http://schemas.openxmlformats.org/package/2006/relationships"><Relationship Id="rId1" Type="http://schemas.openxmlformats.org/officeDocument/2006/relationships/image" Target="media/image814.png"/></Relationships>
</file>

<file path=word/_rels/header163.xml.rels><?xml version="1.0" encoding="UTF-8" standalone="yes"?>
<Relationships xmlns="http://schemas.openxmlformats.org/package/2006/relationships"><Relationship Id="rId1" Type="http://schemas.openxmlformats.org/officeDocument/2006/relationships/image" Target="media/image817.png"/></Relationships>
</file>

<file path=word/_rels/header164.xml.rels><?xml version="1.0" encoding="UTF-8" standalone="yes"?>
<Relationships xmlns="http://schemas.openxmlformats.org/package/2006/relationships"><Relationship Id="rId1" Type="http://schemas.openxmlformats.org/officeDocument/2006/relationships/image" Target="media/image824.png"/></Relationships>
</file>

<file path=word/_rels/header165.xml.rels><?xml version="1.0" encoding="UTF-8" standalone="yes"?>
<Relationships xmlns="http://schemas.openxmlformats.org/package/2006/relationships"><Relationship Id="rId1" Type="http://schemas.openxmlformats.org/officeDocument/2006/relationships/image" Target="media/image835.png"/></Relationships>
</file>

<file path=word/_rels/header166.xml.rels><?xml version="1.0" encoding="UTF-8" standalone="yes"?>
<Relationships xmlns="http://schemas.openxmlformats.org/package/2006/relationships"><Relationship Id="rId1" Type="http://schemas.openxmlformats.org/officeDocument/2006/relationships/image" Target="media/image840.png"/></Relationships>
</file>

<file path=word/_rels/header167.xml.rels><?xml version="1.0" encoding="UTF-8" standalone="yes"?>
<Relationships xmlns="http://schemas.openxmlformats.org/package/2006/relationships"><Relationship Id="rId1" Type="http://schemas.openxmlformats.org/officeDocument/2006/relationships/image" Target="media/image854.png"/></Relationships>
</file>

<file path=word/_rels/header168.xml.rels><?xml version="1.0" encoding="UTF-8" standalone="yes"?>
<Relationships xmlns="http://schemas.openxmlformats.org/package/2006/relationships"><Relationship Id="rId1" Type="http://schemas.openxmlformats.org/officeDocument/2006/relationships/image" Target="media/image872.png"/></Relationships>
</file>

<file path=word/_rels/header169.xml.rels><?xml version="1.0" encoding="UTF-8" standalone="yes"?>
<Relationships xmlns="http://schemas.openxmlformats.org/package/2006/relationships"><Relationship Id="rId1" Type="http://schemas.openxmlformats.org/officeDocument/2006/relationships/image" Target="media/image888.png"/></Relationships>
</file>

<file path=word/_rels/header17.xml.rels><?xml version="1.0" encoding="UTF-8" standalone="yes"?>
<Relationships xmlns="http://schemas.openxmlformats.org/package/2006/relationships"><Relationship Id="rId1" Type="http://schemas.openxmlformats.org/officeDocument/2006/relationships/image" Target="media/image97.jpeg"/></Relationships>
</file>

<file path=word/_rels/header170.xml.rels><?xml version="1.0" encoding="UTF-8" standalone="yes"?>
<Relationships xmlns="http://schemas.openxmlformats.org/package/2006/relationships"><Relationship Id="rId1" Type="http://schemas.openxmlformats.org/officeDocument/2006/relationships/image" Target="media/image919.png"/></Relationships>
</file>

<file path=word/_rels/header171.xml.rels><?xml version="1.0" encoding="UTF-8" standalone="yes"?>
<Relationships xmlns="http://schemas.openxmlformats.org/package/2006/relationships"><Relationship Id="rId1" Type="http://schemas.openxmlformats.org/officeDocument/2006/relationships/image" Target="media/image962.png"/></Relationships>
</file>

<file path=word/_rels/header172.xml.rels><?xml version="1.0" encoding="UTF-8" standalone="yes"?>
<Relationships xmlns="http://schemas.openxmlformats.org/package/2006/relationships"><Relationship Id="rId1" Type="http://schemas.openxmlformats.org/officeDocument/2006/relationships/image" Target="media/image966.png"/></Relationships>
</file>

<file path=word/_rels/header173.xml.rels><?xml version="1.0" encoding="UTF-8" standalone="yes"?>
<Relationships xmlns="http://schemas.openxmlformats.org/package/2006/relationships"><Relationship Id="rId1" Type="http://schemas.openxmlformats.org/officeDocument/2006/relationships/image" Target="media/image970.png"/></Relationships>
</file>

<file path=word/_rels/header174.xml.rels><?xml version="1.0" encoding="UTF-8" standalone="yes"?>
<Relationships xmlns="http://schemas.openxmlformats.org/package/2006/relationships"><Relationship Id="rId1" Type="http://schemas.openxmlformats.org/officeDocument/2006/relationships/image" Target="media/image981.png"/></Relationships>
</file>

<file path=word/_rels/header175.xml.rels><?xml version="1.0" encoding="UTF-8" standalone="yes"?>
<Relationships xmlns="http://schemas.openxmlformats.org/package/2006/relationships"><Relationship Id="rId1" Type="http://schemas.openxmlformats.org/officeDocument/2006/relationships/image" Target="media/image1004.png"/></Relationships>
</file>

<file path=word/_rels/header176.xml.rels><?xml version="1.0" encoding="UTF-8" standalone="yes"?>
<Relationships xmlns="http://schemas.openxmlformats.org/package/2006/relationships"><Relationship Id="rId1" Type="http://schemas.openxmlformats.org/officeDocument/2006/relationships/image" Target="media/image1009.png"/></Relationships>
</file>

<file path=word/_rels/header177.xml.rels><?xml version="1.0" encoding="UTF-8" standalone="yes"?>
<Relationships xmlns="http://schemas.openxmlformats.org/package/2006/relationships"><Relationship Id="rId1" Type="http://schemas.openxmlformats.org/officeDocument/2006/relationships/image" Target="media/image1015.png"/></Relationships>
</file>

<file path=word/_rels/header178.xml.rels><?xml version="1.0" encoding="UTF-8" standalone="yes"?>
<Relationships xmlns="http://schemas.openxmlformats.org/package/2006/relationships"><Relationship Id="rId1" Type="http://schemas.openxmlformats.org/officeDocument/2006/relationships/image" Target="media/image1018.png"/></Relationships>
</file>

<file path=word/_rels/header179.xml.rels><?xml version="1.0" encoding="UTF-8" standalone="yes"?>
<Relationships xmlns="http://schemas.openxmlformats.org/package/2006/relationships"><Relationship Id="rId1" Type="http://schemas.openxmlformats.org/officeDocument/2006/relationships/image" Target="media/image1021.png"/></Relationships>
</file>

<file path=word/_rels/header18.xml.rels><?xml version="1.0" encoding="UTF-8" standalone="yes"?>
<Relationships xmlns="http://schemas.openxmlformats.org/package/2006/relationships"><Relationship Id="rId1" Type="http://schemas.openxmlformats.org/officeDocument/2006/relationships/image" Target="media/image102.jpeg"/></Relationships>
</file>

<file path=word/_rels/header180.xml.rels><?xml version="1.0" encoding="UTF-8" standalone="yes"?>
<Relationships xmlns="http://schemas.openxmlformats.org/package/2006/relationships"><Relationship Id="rId1" Type="http://schemas.openxmlformats.org/officeDocument/2006/relationships/image" Target="media/image1024.png"/></Relationships>
</file>

<file path=word/_rels/header181.xml.rels><?xml version="1.0" encoding="UTF-8" standalone="yes"?>
<Relationships xmlns="http://schemas.openxmlformats.org/package/2006/relationships"><Relationship Id="rId1" Type="http://schemas.openxmlformats.org/officeDocument/2006/relationships/image" Target="media/image1031.png"/></Relationships>
</file>

<file path=word/_rels/header182.xml.rels><?xml version="1.0" encoding="UTF-8" standalone="yes"?>
<Relationships xmlns="http://schemas.openxmlformats.org/package/2006/relationships"><Relationship Id="rId1" Type="http://schemas.openxmlformats.org/officeDocument/2006/relationships/image" Target="media/image1034.png"/></Relationships>
</file>

<file path=word/_rels/header183.xml.rels><?xml version="1.0" encoding="UTF-8" standalone="yes"?>
<Relationships xmlns="http://schemas.openxmlformats.org/package/2006/relationships"><Relationship Id="rId1" Type="http://schemas.openxmlformats.org/officeDocument/2006/relationships/image" Target="media/image1039.png"/></Relationships>
</file>

<file path=word/_rels/header184.xml.rels><?xml version="1.0" encoding="UTF-8" standalone="yes"?>
<Relationships xmlns="http://schemas.openxmlformats.org/package/2006/relationships"><Relationship Id="rId1" Type="http://schemas.openxmlformats.org/officeDocument/2006/relationships/image" Target="media/image1046.png"/></Relationships>
</file>

<file path=word/_rels/header185.xml.rels><?xml version="1.0" encoding="UTF-8" standalone="yes"?>
<Relationships xmlns="http://schemas.openxmlformats.org/package/2006/relationships"><Relationship Id="rId1" Type="http://schemas.openxmlformats.org/officeDocument/2006/relationships/image" Target="media/image1053.png"/></Relationships>
</file>

<file path=word/_rels/header186.xml.rels><?xml version="1.0" encoding="UTF-8" standalone="yes"?>
<Relationships xmlns="http://schemas.openxmlformats.org/package/2006/relationships"><Relationship Id="rId1" Type="http://schemas.openxmlformats.org/officeDocument/2006/relationships/image" Target="media/image1060.png"/></Relationships>
</file>

<file path=word/_rels/header187.xml.rels><?xml version="1.0" encoding="UTF-8" standalone="yes"?>
<Relationships xmlns="http://schemas.openxmlformats.org/package/2006/relationships"><Relationship Id="rId1" Type="http://schemas.openxmlformats.org/officeDocument/2006/relationships/image" Target="media/image1083.png"/></Relationships>
</file>

<file path=word/_rels/header188.xml.rels><?xml version="1.0" encoding="UTF-8" standalone="yes"?>
<Relationships xmlns="http://schemas.openxmlformats.org/package/2006/relationships"><Relationship Id="rId1" Type="http://schemas.openxmlformats.org/officeDocument/2006/relationships/image" Target="media/image1089.png"/></Relationships>
</file>

<file path=word/_rels/header189.xml.rels><?xml version="1.0" encoding="UTF-8" standalone="yes"?>
<Relationships xmlns="http://schemas.openxmlformats.org/package/2006/relationships"><Relationship Id="rId1" Type="http://schemas.openxmlformats.org/officeDocument/2006/relationships/image" Target="media/image1110.png"/></Relationships>
</file>

<file path=word/_rels/header19.xml.rels><?xml version="1.0" encoding="UTF-8" standalone="yes"?>
<Relationships xmlns="http://schemas.openxmlformats.org/package/2006/relationships"><Relationship Id="rId1" Type="http://schemas.openxmlformats.org/officeDocument/2006/relationships/image" Target="media/image145.jpeg"/></Relationships>
</file>

<file path=word/_rels/header190.xml.rels><?xml version="1.0" encoding="UTF-8" standalone="yes"?>
<Relationships xmlns="http://schemas.openxmlformats.org/package/2006/relationships"><Relationship Id="rId1" Type="http://schemas.openxmlformats.org/officeDocument/2006/relationships/image" Target="media/image1115.png"/></Relationships>
</file>

<file path=word/_rels/header191.xml.rels><?xml version="1.0" encoding="UTF-8" standalone="yes"?>
<Relationships xmlns="http://schemas.openxmlformats.org/package/2006/relationships"><Relationship Id="rId1" Type="http://schemas.openxmlformats.org/officeDocument/2006/relationships/image" Target="media/image1130.png"/></Relationships>
</file>

<file path=word/_rels/header192.xml.rels><?xml version="1.0" encoding="UTF-8" standalone="yes"?>
<Relationships xmlns="http://schemas.openxmlformats.org/package/2006/relationships"><Relationship Id="rId1" Type="http://schemas.openxmlformats.org/officeDocument/2006/relationships/image" Target="media/image1143.png"/></Relationships>
</file>

<file path=word/_rels/header193.xml.rels><?xml version="1.0" encoding="UTF-8" standalone="yes"?>
<Relationships xmlns="http://schemas.openxmlformats.org/package/2006/relationships"><Relationship Id="rId1" Type="http://schemas.openxmlformats.org/officeDocument/2006/relationships/image" Target="media/image1147.png"/></Relationships>
</file>

<file path=word/_rels/header194.xml.rels><?xml version="1.0" encoding="UTF-8" standalone="yes"?>
<Relationships xmlns="http://schemas.openxmlformats.org/package/2006/relationships"><Relationship Id="rId1" Type="http://schemas.openxmlformats.org/officeDocument/2006/relationships/image" Target="media/image1151.png"/></Relationships>
</file>

<file path=word/_rels/header195.xml.rels><?xml version="1.0" encoding="UTF-8" standalone="yes"?>
<Relationships xmlns="http://schemas.openxmlformats.org/package/2006/relationships"><Relationship Id="rId1" Type="http://schemas.openxmlformats.org/officeDocument/2006/relationships/image" Target="media/image1154.png"/></Relationships>
</file>

<file path=word/_rels/header196.xml.rels><?xml version="1.0" encoding="UTF-8" standalone="yes"?>
<Relationships xmlns="http://schemas.openxmlformats.org/package/2006/relationships"><Relationship Id="rId1" Type="http://schemas.openxmlformats.org/officeDocument/2006/relationships/image" Target="media/image1157.png"/></Relationships>
</file>

<file path=word/_rels/header197.xml.rels><?xml version="1.0" encoding="UTF-8" standalone="yes"?>
<Relationships xmlns="http://schemas.openxmlformats.org/package/2006/relationships"><Relationship Id="rId1" Type="http://schemas.openxmlformats.org/officeDocument/2006/relationships/image" Target="media/image1162.png"/></Relationships>
</file>

<file path=word/_rels/header198.xml.rels><?xml version="1.0" encoding="UTF-8" standalone="yes"?>
<Relationships xmlns="http://schemas.openxmlformats.org/package/2006/relationships"><Relationship Id="rId1" Type="http://schemas.openxmlformats.org/officeDocument/2006/relationships/image" Target="media/image1165.png"/></Relationships>
</file>

<file path=word/_rels/header199.xml.rels><?xml version="1.0" encoding="UTF-8" standalone="yes"?>
<Relationships xmlns="http://schemas.openxmlformats.org/package/2006/relationships"><Relationship Id="rId1" Type="http://schemas.openxmlformats.org/officeDocument/2006/relationships/image" Target="media/image1168.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1" Type="http://schemas.openxmlformats.org/officeDocument/2006/relationships/image" Target="media/image148.jpeg"/></Relationships>
</file>

<file path=word/_rels/header200.xml.rels><?xml version="1.0" encoding="UTF-8" standalone="yes"?>
<Relationships xmlns="http://schemas.openxmlformats.org/package/2006/relationships"><Relationship Id="rId1" Type="http://schemas.openxmlformats.org/officeDocument/2006/relationships/image" Target="media/image1173.png"/></Relationships>
</file>

<file path=word/_rels/header201.xml.rels><?xml version="1.0" encoding="UTF-8" standalone="yes"?>
<Relationships xmlns="http://schemas.openxmlformats.org/package/2006/relationships"><Relationship Id="rId1" Type="http://schemas.openxmlformats.org/officeDocument/2006/relationships/image" Target="media/image1176.png"/></Relationships>
</file>

<file path=word/_rels/header202.xml.rels><?xml version="1.0" encoding="UTF-8" standalone="yes"?>
<Relationships xmlns="http://schemas.openxmlformats.org/package/2006/relationships"><Relationship Id="rId1" Type="http://schemas.openxmlformats.org/officeDocument/2006/relationships/image" Target="media/image1181.png"/></Relationships>
</file>

<file path=word/_rels/header203.xml.rels><?xml version="1.0" encoding="UTF-8" standalone="yes"?>
<Relationships xmlns="http://schemas.openxmlformats.org/package/2006/relationships"><Relationship Id="rId1" Type="http://schemas.openxmlformats.org/officeDocument/2006/relationships/image" Target="media/image1191.png"/></Relationships>
</file>

<file path=word/_rels/header204.xml.rels><?xml version="1.0" encoding="UTF-8" standalone="yes"?>
<Relationships xmlns="http://schemas.openxmlformats.org/package/2006/relationships"><Relationship Id="rId1" Type="http://schemas.openxmlformats.org/officeDocument/2006/relationships/image" Target="media/image1197.png"/></Relationships>
</file>

<file path=word/_rels/header205.xml.rels><?xml version="1.0" encoding="UTF-8" standalone="yes"?>
<Relationships xmlns="http://schemas.openxmlformats.org/package/2006/relationships"><Relationship Id="rId1" Type="http://schemas.openxmlformats.org/officeDocument/2006/relationships/image" Target="media/image1204.png"/></Relationships>
</file>

<file path=word/_rels/header206.xml.rels><?xml version="1.0" encoding="UTF-8" standalone="yes"?>
<Relationships xmlns="http://schemas.openxmlformats.org/package/2006/relationships"><Relationship Id="rId1" Type="http://schemas.openxmlformats.org/officeDocument/2006/relationships/image" Target="media/image1216.png"/></Relationships>
</file>

<file path=word/_rels/header207.xml.rels><?xml version="1.0" encoding="UTF-8" standalone="yes"?>
<Relationships xmlns="http://schemas.openxmlformats.org/package/2006/relationships"><Relationship Id="rId1" Type="http://schemas.openxmlformats.org/officeDocument/2006/relationships/image" Target="media/image1225.png"/></Relationships>
</file>

<file path=word/_rels/header208.xml.rels><?xml version="1.0" encoding="UTF-8" standalone="yes"?>
<Relationships xmlns="http://schemas.openxmlformats.org/package/2006/relationships"><Relationship Id="rId1" Type="http://schemas.openxmlformats.org/officeDocument/2006/relationships/image" Target="media/image1230.png"/></Relationships>
</file>

<file path=word/_rels/header209.xml.rels><?xml version="1.0" encoding="UTF-8" standalone="yes"?>
<Relationships xmlns="http://schemas.openxmlformats.org/package/2006/relationships"><Relationship Id="rId1" Type="http://schemas.openxmlformats.org/officeDocument/2006/relationships/image" Target="media/image1239.png"/></Relationships>
</file>

<file path=word/_rels/header21.xml.rels><?xml version="1.0" encoding="UTF-8" standalone="yes"?>
<Relationships xmlns="http://schemas.openxmlformats.org/package/2006/relationships"><Relationship Id="rId1" Type="http://schemas.openxmlformats.org/officeDocument/2006/relationships/image" Target="media/image151.jpeg"/></Relationships>
</file>

<file path=word/_rels/header210.xml.rels><?xml version="1.0" encoding="UTF-8" standalone="yes"?>
<Relationships xmlns="http://schemas.openxmlformats.org/package/2006/relationships"><Relationship Id="rId1" Type="http://schemas.openxmlformats.org/officeDocument/2006/relationships/image" Target="media/image1249.png"/></Relationships>
</file>

<file path=word/_rels/header22.xml.rels><?xml version="1.0" encoding="UTF-8" standalone="yes"?>
<Relationships xmlns="http://schemas.openxmlformats.org/package/2006/relationships"><Relationship Id="rId1" Type="http://schemas.openxmlformats.org/officeDocument/2006/relationships/image" Target="media/image154.jpeg"/></Relationships>
</file>

<file path=word/_rels/header23.xml.rels><?xml version="1.0" encoding="UTF-8" standalone="yes"?>
<Relationships xmlns="http://schemas.openxmlformats.org/package/2006/relationships"><Relationship Id="rId1" Type="http://schemas.openxmlformats.org/officeDocument/2006/relationships/image" Target="media/image157.jpeg"/></Relationships>
</file>

<file path=word/_rels/header24.xml.rels><?xml version="1.0" encoding="UTF-8" standalone="yes"?>
<Relationships xmlns="http://schemas.openxmlformats.org/package/2006/relationships"><Relationship Id="rId1" Type="http://schemas.openxmlformats.org/officeDocument/2006/relationships/image" Target="media/image160.jpeg"/></Relationships>
</file>

<file path=word/_rels/header25.xml.rels><?xml version="1.0" encoding="UTF-8" standalone="yes"?>
<Relationships xmlns="http://schemas.openxmlformats.org/package/2006/relationships"><Relationship Id="rId1" Type="http://schemas.openxmlformats.org/officeDocument/2006/relationships/image" Target="media/image165.jpeg"/></Relationships>
</file>

<file path=word/_rels/header26.xml.rels><?xml version="1.0" encoding="UTF-8" standalone="yes"?>
<Relationships xmlns="http://schemas.openxmlformats.org/package/2006/relationships"><Relationship Id="rId1" Type="http://schemas.openxmlformats.org/officeDocument/2006/relationships/image" Target="media/image170.jpeg"/></Relationships>
</file>

<file path=word/_rels/header27.xml.rels><?xml version="1.0" encoding="UTF-8" standalone="yes"?>
<Relationships xmlns="http://schemas.openxmlformats.org/package/2006/relationships"><Relationship Id="rId1" Type="http://schemas.openxmlformats.org/officeDocument/2006/relationships/image" Target="media/image183.jpeg"/></Relationships>
</file>

<file path=word/_rels/header28.xml.rels><?xml version="1.0" encoding="UTF-8" standalone="yes"?>
<Relationships xmlns="http://schemas.openxmlformats.org/package/2006/relationships"><Relationship Id="rId1" Type="http://schemas.openxmlformats.org/officeDocument/2006/relationships/image" Target="media/image186.jpeg"/></Relationships>
</file>

<file path=word/_rels/header29.xml.rels><?xml version="1.0" encoding="UTF-8" standalone="yes"?>
<Relationships xmlns="http://schemas.openxmlformats.org/package/2006/relationships"><Relationship Id="rId1" Type="http://schemas.openxmlformats.org/officeDocument/2006/relationships/image" Target="media/image189.jpe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30.xml.rels><?xml version="1.0" encoding="UTF-8" standalone="yes"?>
<Relationships xmlns="http://schemas.openxmlformats.org/package/2006/relationships"><Relationship Id="rId1" Type="http://schemas.openxmlformats.org/officeDocument/2006/relationships/image" Target="media/image192.jpeg"/></Relationships>
</file>

<file path=word/_rels/header31.xml.rels><?xml version="1.0" encoding="UTF-8" standalone="yes"?>
<Relationships xmlns="http://schemas.openxmlformats.org/package/2006/relationships"><Relationship Id="rId1" Type="http://schemas.openxmlformats.org/officeDocument/2006/relationships/image" Target="media/image197.jpeg"/></Relationships>
</file>

<file path=word/_rels/header32.xml.rels><?xml version="1.0" encoding="UTF-8" standalone="yes"?>
<Relationships xmlns="http://schemas.openxmlformats.org/package/2006/relationships"><Relationship Id="rId1" Type="http://schemas.openxmlformats.org/officeDocument/2006/relationships/image" Target="media/image210.jpeg"/></Relationships>
</file>

<file path=word/_rels/header33.xml.rels><?xml version="1.0" encoding="UTF-8" standalone="yes"?>
<Relationships xmlns="http://schemas.openxmlformats.org/package/2006/relationships"><Relationship Id="rId1" Type="http://schemas.openxmlformats.org/officeDocument/2006/relationships/image" Target="media/image215.jpeg"/></Relationships>
</file>

<file path=word/_rels/header34.xml.rels><?xml version="1.0" encoding="UTF-8" standalone="yes"?>
<Relationships xmlns="http://schemas.openxmlformats.org/package/2006/relationships"><Relationship Id="rId1" Type="http://schemas.openxmlformats.org/officeDocument/2006/relationships/image" Target="media/image222.jpeg"/></Relationships>
</file>

<file path=word/_rels/header35.xml.rels><?xml version="1.0" encoding="UTF-8" standalone="yes"?>
<Relationships xmlns="http://schemas.openxmlformats.org/package/2006/relationships"><Relationship Id="rId1" Type="http://schemas.openxmlformats.org/officeDocument/2006/relationships/image" Target="media/image231.jpeg"/></Relationships>
</file>

<file path=word/_rels/header36.xml.rels><?xml version="1.0" encoding="UTF-8" standalone="yes"?>
<Relationships xmlns="http://schemas.openxmlformats.org/package/2006/relationships"><Relationship Id="rId1" Type="http://schemas.openxmlformats.org/officeDocument/2006/relationships/image" Target="media/image234.jpeg"/></Relationships>
</file>

<file path=word/_rels/header37.xml.rels><?xml version="1.0" encoding="UTF-8" standalone="yes"?>
<Relationships xmlns="http://schemas.openxmlformats.org/package/2006/relationships"><Relationship Id="rId1" Type="http://schemas.openxmlformats.org/officeDocument/2006/relationships/image" Target="media/image237.jpeg"/></Relationships>
</file>

<file path=word/_rels/header38.xml.rels><?xml version="1.0" encoding="UTF-8" standalone="yes"?>
<Relationships xmlns="http://schemas.openxmlformats.org/package/2006/relationships"><Relationship Id="rId1" Type="http://schemas.openxmlformats.org/officeDocument/2006/relationships/image" Target="media/image244.jpeg"/></Relationships>
</file>

<file path=word/_rels/header39.xml.rels><?xml version="1.0" encoding="UTF-8" standalone="yes"?>
<Relationships xmlns="http://schemas.openxmlformats.org/package/2006/relationships"><Relationship Id="rId1" Type="http://schemas.openxmlformats.org/officeDocument/2006/relationships/image" Target="media/image247.jpe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40.xml.rels><?xml version="1.0" encoding="UTF-8" standalone="yes"?>
<Relationships xmlns="http://schemas.openxmlformats.org/package/2006/relationships"><Relationship Id="rId1" Type="http://schemas.openxmlformats.org/officeDocument/2006/relationships/image" Target="media/image250.jpeg"/></Relationships>
</file>

<file path=word/_rels/header41.xml.rels><?xml version="1.0" encoding="UTF-8" standalone="yes"?>
<Relationships xmlns="http://schemas.openxmlformats.org/package/2006/relationships"><Relationship Id="rId1" Type="http://schemas.openxmlformats.org/officeDocument/2006/relationships/image" Target="media/image255.jpeg"/></Relationships>
</file>

<file path=word/_rels/header42.xml.rels><?xml version="1.0" encoding="UTF-8" standalone="yes"?>
<Relationships xmlns="http://schemas.openxmlformats.org/package/2006/relationships"><Relationship Id="rId1" Type="http://schemas.openxmlformats.org/officeDocument/2006/relationships/image" Target="media/image274.jpeg"/></Relationships>
</file>

<file path=word/_rels/header43.xml.rels><?xml version="1.0" encoding="UTF-8" standalone="yes"?>
<Relationships xmlns="http://schemas.openxmlformats.org/package/2006/relationships"><Relationship Id="rId1" Type="http://schemas.openxmlformats.org/officeDocument/2006/relationships/image" Target="media/image279.jpeg"/></Relationships>
</file>

<file path=word/_rels/header44.xml.rels><?xml version="1.0" encoding="UTF-8" standalone="yes"?>
<Relationships xmlns="http://schemas.openxmlformats.org/package/2006/relationships"><Relationship Id="rId1" Type="http://schemas.openxmlformats.org/officeDocument/2006/relationships/image" Target="media/image288.jpeg"/></Relationships>
</file>

<file path=word/_rels/header45.xml.rels><?xml version="1.0" encoding="UTF-8" standalone="yes"?>
<Relationships xmlns="http://schemas.openxmlformats.org/package/2006/relationships"><Relationship Id="rId1" Type="http://schemas.openxmlformats.org/officeDocument/2006/relationships/image" Target="media/image295.jpeg"/></Relationships>
</file>

<file path=word/_rels/header46.xml.rels><?xml version="1.0" encoding="UTF-8" standalone="yes"?>
<Relationships xmlns="http://schemas.openxmlformats.org/package/2006/relationships"><Relationship Id="rId1" Type="http://schemas.openxmlformats.org/officeDocument/2006/relationships/image" Target="media/image298.jpeg"/></Relationships>
</file>

<file path=word/_rels/header47.xml.rels><?xml version="1.0" encoding="UTF-8" standalone="yes"?>
<Relationships xmlns="http://schemas.openxmlformats.org/package/2006/relationships"><Relationship Id="rId1" Type="http://schemas.openxmlformats.org/officeDocument/2006/relationships/image" Target="media/image307.png"/></Relationships>
</file>

<file path=word/_rels/header48.xml.rels><?xml version="1.0" encoding="UTF-8" standalone="yes"?>
<Relationships xmlns="http://schemas.openxmlformats.org/package/2006/relationships"><Relationship Id="rId1" Type="http://schemas.openxmlformats.org/officeDocument/2006/relationships/image" Target="media/image312.jpeg"/></Relationships>
</file>

<file path=word/_rels/header49.xml.rels><?xml version="1.0" encoding="UTF-8" standalone="yes"?>
<Relationships xmlns="http://schemas.openxmlformats.org/package/2006/relationships"><Relationship Id="rId1" Type="http://schemas.openxmlformats.org/officeDocument/2006/relationships/image" Target="media/image315.png"/></Relationships>
</file>

<file path=word/_rels/header5.xml.rels><?xml version="1.0" encoding="UTF-8" standalone="yes"?>
<Relationships xmlns="http://schemas.openxmlformats.org/package/2006/relationships"><Relationship Id="rId1" Type="http://schemas.openxmlformats.org/officeDocument/2006/relationships/image" Target="media/image12.png"/></Relationships>
</file>

<file path=word/_rels/header50.xml.rels><?xml version="1.0" encoding="UTF-8" standalone="yes"?>
<Relationships xmlns="http://schemas.openxmlformats.org/package/2006/relationships"><Relationship Id="rId1" Type="http://schemas.openxmlformats.org/officeDocument/2006/relationships/image" Target="media/image320.png"/></Relationships>
</file>

<file path=word/_rels/header51.xml.rels><?xml version="1.0" encoding="UTF-8" standalone="yes"?>
<Relationships xmlns="http://schemas.openxmlformats.org/package/2006/relationships"><Relationship Id="rId1" Type="http://schemas.openxmlformats.org/officeDocument/2006/relationships/image" Target="media/image323.jpeg"/></Relationships>
</file>

<file path=word/_rels/header52.xml.rels><?xml version="1.0" encoding="UTF-8" standalone="yes"?>
<Relationships xmlns="http://schemas.openxmlformats.org/package/2006/relationships"><Relationship Id="rId1" Type="http://schemas.openxmlformats.org/officeDocument/2006/relationships/image" Target="media/image326.png"/></Relationships>
</file>

<file path=word/_rels/header53.xml.rels><?xml version="1.0" encoding="UTF-8" standalone="yes"?>
<Relationships xmlns="http://schemas.openxmlformats.org/package/2006/relationships"><Relationship Id="rId1" Type="http://schemas.openxmlformats.org/officeDocument/2006/relationships/image" Target="media/image329.jpeg"/></Relationships>
</file>

<file path=word/_rels/header54.xml.rels><?xml version="1.0" encoding="UTF-8" standalone="yes"?>
<Relationships xmlns="http://schemas.openxmlformats.org/package/2006/relationships"><Relationship Id="rId1" Type="http://schemas.openxmlformats.org/officeDocument/2006/relationships/image" Target="media/image332.png"/></Relationships>
</file>

<file path=word/_rels/header55.xml.rels><?xml version="1.0" encoding="UTF-8" standalone="yes"?>
<Relationships xmlns="http://schemas.openxmlformats.org/package/2006/relationships"><Relationship Id="rId1" Type="http://schemas.openxmlformats.org/officeDocument/2006/relationships/image" Target="media/image337.png"/></Relationships>
</file>

<file path=word/_rels/header56.xml.rels><?xml version="1.0" encoding="UTF-8" standalone="yes"?>
<Relationships xmlns="http://schemas.openxmlformats.org/package/2006/relationships"><Relationship Id="rId1" Type="http://schemas.openxmlformats.org/officeDocument/2006/relationships/image" Target="media/image340.jpeg"/></Relationships>
</file>

<file path=word/_rels/header57.xml.rels><?xml version="1.0" encoding="UTF-8" standalone="yes"?>
<Relationships xmlns="http://schemas.openxmlformats.org/package/2006/relationships"><Relationship Id="rId1" Type="http://schemas.openxmlformats.org/officeDocument/2006/relationships/image" Target="media/image345.png"/></Relationships>
</file>

<file path=word/_rels/header58.xml.rels><?xml version="1.0" encoding="UTF-8" standalone="yes"?>
<Relationships xmlns="http://schemas.openxmlformats.org/package/2006/relationships"><Relationship Id="rId1" Type="http://schemas.openxmlformats.org/officeDocument/2006/relationships/image" Target="media/image348.jpeg"/></Relationships>
</file>

<file path=word/_rels/header59.xml.rels><?xml version="1.0" encoding="UTF-8" standalone="yes"?>
<Relationships xmlns="http://schemas.openxmlformats.org/package/2006/relationships"><Relationship Id="rId1" Type="http://schemas.openxmlformats.org/officeDocument/2006/relationships/image" Target="media/image351.png"/></Relationships>
</file>

<file path=word/_rels/header6.xml.rels><?xml version="1.0" encoding="UTF-8" standalone="yes"?>
<Relationships xmlns="http://schemas.openxmlformats.org/package/2006/relationships"><Relationship Id="rId1" Type="http://schemas.openxmlformats.org/officeDocument/2006/relationships/image" Target="media/image14.png"/></Relationships>
</file>

<file path=word/_rels/header60.xml.rels><?xml version="1.0" encoding="UTF-8" standalone="yes"?>
<Relationships xmlns="http://schemas.openxmlformats.org/package/2006/relationships"><Relationship Id="rId1" Type="http://schemas.openxmlformats.org/officeDocument/2006/relationships/image" Target="media/image354.jpeg"/></Relationships>
</file>

<file path=word/_rels/header61.xml.rels><?xml version="1.0" encoding="UTF-8" standalone="yes"?>
<Relationships xmlns="http://schemas.openxmlformats.org/package/2006/relationships"><Relationship Id="rId1" Type="http://schemas.openxmlformats.org/officeDocument/2006/relationships/image" Target="media/image357.png"/></Relationships>
</file>

<file path=word/_rels/header62.xml.rels><?xml version="1.0" encoding="UTF-8" standalone="yes"?>
<Relationships xmlns="http://schemas.openxmlformats.org/package/2006/relationships"><Relationship Id="rId1" Type="http://schemas.openxmlformats.org/officeDocument/2006/relationships/image" Target="media/image360.jpeg"/></Relationships>
</file>

<file path=word/_rels/header63.xml.rels><?xml version="1.0" encoding="UTF-8" standalone="yes"?>
<Relationships xmlns="http://schemas.openxmlformats.org/package/2006/relationships"><Relationship Id="rId1" Type="http://schemas.openxmlformats.org/officeDocument/2006/relationships/image" Target="media/image363.png"/></Relationships>
</file>

<file path=word/_rels/header64.xml.rels><?xml version="1.0" encoding="UTF-8" standalone="yes"?>
<Relationships xmlns="http://schemas.openxmlformats.org/package/2006/relationships"><Relationship Id="rId1" Type="http://schemas.openxmlformats.org/officeDocument/2006/relationships/image" Target="media/image366.jpeg"/></Relationships>
</file>

<file path=word/_rels/header65.xml.rels><?xml version="1.0" encoding="UTF-8" standalone="yes"?>
<Relationships xmlns="http://schemas.openxmlformats.org/package/2006/relationships"><Relationship Id="rId1" Type="http://schemas.openxmlformats.org/officeDocument/2006/relationships/image" Target="media/image369.png"/></Relationships>
</file>

<file path=word/_rels/header66.xml.rels><?xml version="1.0" encoding="UTF-8" standalone="yes"?>
<Relationships xmlns="http://schemas.openxmlformats.org/package/2006/relationships"><Relationship Id="rId1" Type="http://schemas.openxmlformats.org/officeDocument/2006/relationships/image" Target="media/image374.png"/></Relationships>
</file>

<file path=word/_rels/header67.xml.rels><?xml version="1.0" encoding="UTF-8" standalone="yes"?>
<Relationships xmlns="http://schemas.openxmlformats.org/package/2006/relationships"><Relationship Id="rId1" Type="http://schemas.openxmlformats.org/officeDocument/2006/relationships/image" Target="media/image381.png"/></Relationships>
</file>

<file path=word/_rels/header68.xml.rels><?xml version="1.0" encoding="UTF-8" standalone="yes"?>
<Relationships xmlns="http://schemas.openxmlformats.org/package/2006/relationships"><Relationship Id="rId1" Type="http://schemas.openxmlformats.org/officeDocument/2006/relationships/image" Target="media/image386.png"/></Relationships>
</file>

<file path=word/_rels/header69.xml.rels><?xml version="1.0" encoding="UTF-8" standalone="yes"?>
<Relationships xmlns="http://schemas.openxmlformats.org/package/2006/relationships"><Relationship Id="rId1" Type="http://schemas.openxmlformats.org/officeDocument/2006/relationships/image" Target="media/image389.jpeg"/></Relationships>
</file>

<file path=word/_rels/header7.xml.rels><?xml version="1.0" encoding="UTF-8" standalone="yes"?>
<Relationships xmlns="http://schemas.openxmlformats.org/package/2006/relationships"><Relationship Id="rId1" Type="http://schemas.openxmlformats.org/officeDocument/2006/relationships/image" Target="media/image16.png"/></Relationships>
</file>

<file path=word/_rels/header70.xml.rels><?xml version="1.0" encoding="UTF-8" standalone="yes"?>
<Relationships xmlns="http://schemas.openxmlformats.org/package/2006/relationships"><Relationship Id="rId1" Type="http://schemas.openxmlformats.org/officeDocument/2006/relationships/image" Target="media/image392.png"/></Relationships>
</file>

<file path=word/_rels/header71.xml.rels><?xml version="1.0" encoding="UTF-8" standalone="yes"?>
<Relationships xmlns="http://schemas.openxmlformats.org/package/2006/relationships"><Relationship Id="rId1" Type="http://schemas.openxmlformats.org/officeDocument/2006/relationships/image" Target="media/image405.png"/></Relationships>
</file>

<file path=word/_rels/header72.xml.rels><?xml version="1.0" encoding="UTF-8" standalone="yes"?>
<Relationships xmlns="http://schemas.openxmlformats.org/package/2006/relationships"><Relationship Id="rId1" Type="http://schemas.openxmlformats.org/officeDocument/2006/relationships/image" Target="media/image408.jpeg"/></Relationships>
</file>

<file path=word/_rels/header73.xml.rels><?xml version="1.0" encoding="UTF-8" standalone="yes"?>
<Relationships xmlns="http://schemas.openxmlformats.org/package/2006/relationships"><Relationship Id="rId1" Type="http://schemas.openxmlformats.org/officeDocument/2006/relationships/image" Target="media/image411.png"/></Relationships>
</file>

<file path=word/_rels/header74.xml.rels><?xml version="1.0" encoding="UTF-8" standalone="yes"?>
<Relationships xmlns="http://schemas.openxmlformats.org/package/2006/relationships"><Relationship Id="rId1" Type="http://schemas.openxmlformats.org/officeDocument/2006/relationships/image" Target="media/image416.png"/></Relationships>
</file>

<file path=word/_rels/header75.xml.rels><?xml version="1.0" encoding="UTF-8" standalone="yes"?>
<Relationships xmlns="http://schemas.openxmlformats.org/package/2006/relationships"><Relationship Id="rId1" Type="http://schemas.openxmlformats.org/officeDocument/2006/relationships/image" Target="media/image419.jpeg"/></Relationships>
</file>

<file path=word/_rels/header76.xml.rels><?xml version="1.0" encoding="UTF-8" standalone="yes"?>
<Relationships xmlns="http://schemas.openxmlformats.org/package/2006/relationships"><Relationship Id="rId1" Type="http://schemas.openxmlformats.org/officeDocument/2006/relationships/image" Target="media/image422.png"/></Relationships>
</file>

<file path=word/_rels/header77.xml.rels><?xml version="1.0" encoding="UTF-8" standalone="yes"?>
<Relationships xmlns="http://schemas.openxmlformats.org/package/2006/relationships"><Relationship Id="rId1" Type="http://schemas.openxmlformats.org/officeDocument/2006/relationships/image" Target="media/image425.jpeg"/></Relationships>
</file>

<file path=word/_rels/header78.xml.rels><?xml version="1.0" encoding="UTF-8" standalone="yes"?>
<Relationships xmlns="http://schemas.openxmlformats.org/package/2006/relationships"><Relationship Id="rId1" Type="http://schemas.openxmlformats.org/officeDocument/2006/relationships/image" Target="media/image428.png"/></Relationships>
</file>

<file path=word/_rels/header79.xml.rels><?xml version="1.0" encoding="UTF-8" standalone="yes"?>
<Relationships xmlns="http://schemas.openxmlformats.org/package/2006/relationships"><Relationship Id="rId1" Type="http://schemas.openxmlformats.org/officeDocument/2006/relationships/image" Target="media/image431.jpeg"/></Relationships>
</file>

<file path=word/_rels/header8.xml.rels><?xml version="1.0" encoding="UTF-8" standalone="yes"?>
<Relationships xmlns="http://schemas.openxmlformats.org/package/2006/relationships"><Relationship Id="rId1" Type="http://schemas.openxmlformats.org/officeDocument/2006/relationships/image" Target="media/image18.png"/></Relationships>
</file>

<file path=word/_rels/header80.xml.rels><?xml version="1.0" encoding="UTF-8" standalone="yes"?>
<Relationships xmlns="http://schemas.openxmlformats.org/package/2006/relationships"><Relationship Id="rId1" Type="http://schemas.openxmlformats.org/officeDocument/2006/relationships/image" Target="media/image434.png"/></Relationships>
</file>

<file path=word/_rels/header81.xml.rels><?xml version="1.0" encoding="UTF-8" standalone="yes"?>
<Relationships xmlns="http://schemas.openxmlformats.org/package/2006/relationships"><Relationship Id="rId1" Type="http://schemas.openxmlformats.org/officeDocument/2006/relationships/image" Target="media/image437.jpeg"/></Relationships>
</file>

<file path=word/_rels/header82.xml.rels><?xml version="1.0" encoding="UTF-8" standalone="yes"?>
<Relationships xmlns="http://schemas.openxmlformats.org/package/2006/relationships"><Relationship Id="rId1" Type="http://schemas.openxmlformats.org/officeDocument/2006/relationships/image" Target="media/image440.png"/></Relationships>
</file>

<file path=word/_rels/header83.xml.rels><?xml version="1.0" encoding="UTF-8" standalone="yes"?>
<Relationships xmlns="http://schemas.openxmlformats.org/package/2006/relationships"><Relationship Id="rId1" Type="http://schemas.openxmlformats.org/officeDocument/2006/relationships/image" Target="media/image443.jpeg"/></Relationships>
</file>

<file path=word/_rels/header84.xml.rels><?xml version="1.0" encoding="UTF-8" standalone="yes"?>
<Relationships xmlns="http://schemas.openxmlformats.org/package/2006/relationships"><Relationship Id="rId1" Type="http://schemas.openxmlformats.org/officeDocument/2006/relationships/image" Target="media/image446.png"/></Relationships>
</file>

<file path=word/_rels/header85.xml.rels><?xml version="1.0" encoding="UTF-8" standalone="yes"?>
<Relationships xmlns="http://schemas.openxmlformats.org/package/2006/relationships"><Relationship Id="rId1" Type="http://schemas.openxmlformats.org/officeDocument/2006/relationships/image" Target="media/image449.jpeg"/></Relationships>
</file>

<file path=word/_rels/header86.xml.rels><?xml version="1.0" encoding="UTF-8" standalone="yes"?>
<Relationships xmlns="http://schemas.openxmlformats.org/package/2006/relationships"><Relationship Id="rId1" Type="http://schemas.openxmlformats.org/officeDocument/2006/relationships/image" Target="media/image452.png"/></Relationships>
</file>

<file path=word/_rels/header87.xml.rels><?xml version="1.0" encoding="UTF-8" standalone="yes"?>
<Relationships xmlns="http://schemas.openxmlformats.org/package/2006/relationships"><Relationship Id="rId1" Type="http://schemas.openxmlformats.org/officeDocument/2006/relationships/image" Target="media/image455.jpeg"/></Relationships>
</file>

<file path=word/_rels/header88.xml.rels><?xml version="1.0" encoding="UTF-8" standalone="yes"?>
<Relationships xmlns="http://schemas.openxmlformats.org/package/2006/relationships"><Relationship Id="rId1" Type="http://schemas.openxmlformats.org/officeDocument/2006/relationships/image" Target="media/image458.png"/></Relationships>
</file>

<file path=word/_rels/header89.xml.rels><?xml version="1.0" encoding="UTF-8" standalone="yes"?>
<Relationships xmlns="http://schemas.openxmlformats.org/package/2006/relationships"><Relationship Id="rId1" Type="http://schemas.openxmlformats.org/officeDocument/2006/relationships/image" Target="media/image461.jpeg"/></Relationships>
</file>

<file path=word/_rels/header9.xml.rels><?xml version="1.0" encoding="UTF-8" standalone="yes"?>
<Relationships xmlns="http://schemas.openxmlformats.org/package/2006/relationships"><Relationship Id="rId1" Type="http://schemas.openxmlformats.org/officeDocument/2006/relationships/image" Target="media/image20.png"/></Relationships>
</file>

<file path=word/_rels/header90.xml.rels><?xml version="1.0" encoding="UTF-8" standalone="yes"?>
<Relationships xmlns="http://schemas.openxmlformats.org/package/2006/relationships"><Relationship Id="rId1" Type="http://schemas.openxmlformats.org/officeDocument/2006/relationships/image" Target="media/image464.png"/></Relationships>
</file>

<file path=word/_rels/header91.xml.rels><?xml version="1.0" encoding="UTF-8" standalone="yes"?>
<Relationships xmlns="http://schemas.openxmlformats.org/package/2006/relationships"><Relationship Id="rId1" Type="http://schemas.openxmlformats.org/officeDocument/2006/relationships/image" Target="media/image467.jpeg"/></Relationships>
</file>

<file path=word/_rels/header92.xml.rels><?xml version="1.0" encoding="UTF-8" standalone="yes"?>
<Relationships xmlns="http://schemas.openxmlformats.org/package/2006/relationships"><Relationship Id="rId1" Type="http://schemas.openxmlformats.org/officeDocument/2006/relationships/image" Target="media/image470.png"/></Relationships>
</file>

<file path=word/_rels/header93.xml.rels><?xml version="1.0" encoding="UTF-8" standalone="yes"?>
<Relationships xmlns="http://schemas.openxmlformats.org/package/2006/relationships"><Relationship Id="rId1" Type="http://schemas.openxmlformats.org/officeDocument/2006/relationships/image" Target="media/image473.jpeg"/></Relationships>
</file>

<file path=word/_rels/header94.xml.rels><?xml version="1.0" encoding="UTF-8" standalone="yes"?>
<Relationships xmlns="http://schemas.openxmlformats.org/package/2006/relationships"><Relationship Id="rId1" Type="http://schemas.openxmlformats.org/officeDocument/2006/relationships/image" Target="media/image476.png"/></Relationships>
</file>

<file path=word/_rels/header95.xml.rels><?xml version="1.0" encoding="UTF-8" standalone="yes"?>
<Relationships xmlns="http://schemas.openxmlformats.org/package/2006/relationships"><Relationship Id="rId1" Type="http://schemas.openxmlformats.org/officeDocument/2006/relationships/image" Target="media/image479.jpeg"/></Relationships>
</file>

<file path=word/_rels/header96.xml.rels><?xml version="1.0" encoding="UTF-8" standalone="yes"?>
<Relationships xmlns="http://schemas.openxmlformats.org/package/2006/relationships"><Relationship Id="rId1" Type="http://schemas.openxmlformats.org/officeDocument/2006/relationships/image" Target="media/image482.png"/></Relationships>
</file>

<file path=word/_rels/header97.xml.rels><?xml version="1.0" encoding="UTF-8" standalone="yes"?>
<Relationships xmlns="http://schemas.openxmlformats.org/package/2006/relationships"><Relationship Id="rId1" Type="http://schemas.openxmlformats.org/officeDocument/2006/relationships/image" Target="media/image485.png"/></Relationships>
</file>

<file path=word/_rels/header98.xml.rels><?xml version="1.0" encoding="UTF-8" standalone="yes"?>
<Relationships xmlns="http://schemas.openxmlformats.org/package/2006/relationships"><Relationship Id="rId1" Type="http://schemas.openxmlformats.org/officeDocument/2006/relationships/image" Target="media/image488.png"/></Relationships>
</file>

<file path=word/_rels/header99.xml.rels><?xml version="1.0" encoding="UTF-8" standalone="yes"?>
<Relationships xmlns="http://schemas.openxmlformats.org/package/2006/relationships"><Relationship Id="rId1" Type="http://schemas.openxmlformats.org/officeDocument/2006/relationships/image" Target="media/image497.pn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2024-03-12T17:16:23Z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2026-03-19T10:38:11</vt:filetime>
  </property>
</Properties>
</file>